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theme/themeOverride4.xml" ContentType="application/vnd.openxmlformats-officedocument.themeOverride+xml"/>
  <Override PartName="/word/charts/chart12.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23DA9" w:rsidRPr="00006A39" w:rsidRDefault="00323DA9" w:rsidP="00721203">
      <w:pPr>
        <w:pStyle w:val="a3"/>
        <w:widowControl w:val="0"/>
        <w:autoSpaceDE w:val="0"/>
        <w:autoSpaceDN w:val="0"/>
        <w:spacing w:before="0" w:beforeAutospacing="0" w:after="0" w:afterAutospacing="0" w:line="264" w:lineRule="auto"/>
        <w:jc w:val="center"/>
        <w:rPr>
          <w:b/>
          <w:bCs/>
          <w:sz w:val="28"/>
          <w:szCs w:val="28"/>
          <w:lang w:val="uk-UA"/>
        </w:rPr>
      </w:pPr>
      <w:r w:rsidRPr="00006A39">
        <w:rPr>
          <w:b/>
          <w:bCs/>
          <w:sz w:val="28"/>
          <w:szCs w:val="28"/>
          <w:lang w:val="uk-UA"/>
        </w:rPr>
        <w:t>МІНІСТЕРСТВО ОХОРОНИ ЗДОРОВ’Я УКРАЇНИ</w:t>
      </w:r>
    </w:p>
    <w:p w:rsidR="00323DA9" w:rsidRPr="00006A39" w:rsidRDefault="00323DA9" w:rsidP="00721203">
      <w:pPr>
        <w:pStyle w:val="a3"/>
        <w:widowControl w:val="0"/>
        <w:autoSpaceDE w:val="0"/>
        <w:autoSpaceDN w:val="0"/>
        <w:spacing w:before="0" w:beforeAutospacing="0" w:after="0" w:afterAutospacing="0" w:line="264" w:lineRule="auto"/>
        <w:jc w:val="center"/>
        <w:rPr>
          <w:b/>
          <w:bCs/>
          <w:sz w:val="28"/>
          <w:szCs w:val="28"/>
          <w:lang w:val="uk-UA"/>
        </w:rPr>
      </w:pPr>
      <w:r w:rsidRPr="00006A39">
        <w:rPr>
          <w:b/>
          <w:bCs/>
          <w:sz w:val="28"/>
          <w:szCs w:val="28"/>
          <w:lang w:val="uk-UA"/>
        </w:rPr>
        <w:t>ДУ «ІНСТИТУТ СТРАТЕГІЧНИХ ДОСЛІДЖЕНЬ МОЗ УКРАЇНИ»</w:t>
      </w:r>
    </w:p>
    <w:p w:rsidR="00323DA9" w:rsidRPr="00FB4C38" w:rsidRDefault="00323DA9" w:rsidP="00721203">
      <w:pPr>
        <w:widowControl w:val="0"/>
        <w:jc w:val="center"/>
        <w:rPr>
          <w:rFonts w:eastAsia="Times New Roman"/>
          <w:b/>
          <w:bCs/>
          <w:color w:val="000000" w:themeColor="text1"/>
          <w:szCs w:val="28"/>
          <w:lang w:eastAsia="ru-RU"/>
        </w:rPr>
      </w:pPr>
      <w:r w:rsidRPr="00FB4C38">
        <w:rPr>
          <w:rFonts w:eastAsia="Times New Roman"/>
          <w:b/>
          <w:bCs/>
          <w:color w:val="000000" w:themeColor="text1"/>
          <w:szCs w:val="28"/>
          <w:lang w:eastAsia="ru-RU"/>
        </w:rPr>
        <w:t>ХАРКІВСЬКИЙ НАЦІОНАЛЬНИЙ МЕДИЧНИЙ УНІВЕРСИТЕТ</w:t>
      </w:r>
    </w:p>
    <w:p w:rsidR="00323DA9" w:rsidRPr="00006A39" w:rsidRDefault="00323DA9" w:rsidP="00721203">
      <w:pPr>
        <w:widowControl w:val="0"/>
        <w:rPr>
          <w:szCs w:val="28"/>
        </w:rPr>
      </w:pPr>
    </w:p>
    <w:p w:rsidR="00323DA9" w:rsidRPr="00C43A65" w:rsidRDefault="00323DA9" w:rsidP="00C43A65">
      <w:pPr>
        <w:widowControl w:val="0"/>
        <w:rPr>
          <w:b/>
          <w:szCs w:val="28"/>
          <w:lang w:val="ru-RU"/>
        </w:rPr>
      </w:pPr>
    </w:p>
    <w:p w:rsidR="00323DA9" w:rsidRPr="00006A39" w:rsidRDefault="00323DA9" w:rsidP="00721203">
      <w:pPr>
        <w:widowControl w:val="0"/>
        <w:jc w:val="center"/>
        <w:rPr>
          <w:b/>
          <w:szCs w:val="28"/>
        </w:rPr>
      </w:pPr>
    </w:p>
    <w:tbl>
      <w:tblPr>
        <w:tblW w:w="0" w:type="auto"/>
        <w:tblLook w:val="01E0" w:firstRow="1" w:lastRow="1" w:firstColumn="1" w:lastColumn="1" w:noHBand="0" w:noVBand="0"/>
      </w:tblPr>
      <w:tblGrid>
        <w:gridCol w:w="4751"/>
        <w:gridCol w:w="4820"/>
      </w:tblGrid>
      <w:tr w:rsidR="00323DA9" w:rsidRPr="00006A39" w:rsidTr="00323DA9">
        <w:tc>
          <w:tcPr>
            <w:tcW w:w="4751" w:type="dxa"/>
            <w:shd w:val="clear" w:color="auto" w:fill="auto"/>
          </w:tcPr>
          <w:p w:rsidR="00323DA9" w:rsidRPr="0071569D" w:rsidRDefault="00323DA9" w:rsidP="00721203">
            <w:pPr>
              <w:widowControl w:val="0"/>
              <w:jc w:val="center"/>
              <w:rPr>
                <w:szCs w:val="28"/>
                <w:lang w:val="ru-RU"/>
              </w:rPr>
            </w:pPr>
          </w:p>
        </w:tc>
        <w:tc>
          <w:tcPr>
            <w:tcW w:w="4820" w:type="dxa"/>
            <w:shd w:val="clear" w:color="auto" w:fill="auto"/>
          </w:tcPr>
          <w:p w:rsidR="00323DA9" w:rsidRPr="00006A39" w:rsidRDefault="00323DA9" w:rsidP="00721203">
            <w:pPr>
              <w:widowControl w:val="0"/>
              <w:ind w:firstLine="709"/>
              <w:rPr>
                <w:szCs w:val="28"/>
              </w:rPr>
            </w:pPr>
            <w:r w:rsidRPr="00006A39">
              <w:rPr>
                <w:szCs w:val="28"/>
              </w:rPr>
              <w:t>Кваліфікаційна наукова праця</w:t>
            </w:r>
          </w:p>
          <w:p w:rsidR="00323DA9" w:rsidRPr="00006A39" w:rsidRDefault="00323DA9" w:rsidP="00721203">
            <w:pPr>
              <w:widowControl w:val="0"/>
              <w:ind w:firstLine="709"/>
              <w:rPr>
                <w:szCs w:val="28"/>
              </w:rPr>
            </w:pPr>
            <w:r w:rsidRPr="00006A39">
              <w:rPr>
                <w:szCs w:val="28"/>
              </w:rPr>
              <w:t>на правах рукопису</w:t>
            </w:r>
          </w:p>
          <w:p w:rsidR="00323DA9" w:rsidRPr="00006A39" w:rsidRDefault="00323DA9" w:rsidP="00721203">
            <w:pPr>
              <w:widowControl w:val="0"/>
              <w:jc w:val="center"/>
              <w:rPr>
                <w:szCs w:val="28"/>
              </w:rPr>
            </w:pPr>
          </w:p>
        </w:tc>
      </w:tr>
    </w:tbl>
    <w:p w:rsidR="00323DA9" w:rsidRPr="00006A39" w:rsidRDefault="00323DA9" w:rsidP="00721203">
      <w:pPr>
        <w:widowControl w:val="0"/>
        <w:jc w:val="center"/>
        <w:rPr>
          <w:szCs w:val="28"/>
        </w:rPr>
      </w:pPr>
    </w:p>
    <w:p w:rsidR="00323DA9" w:rsidRPr="00006A39" w:rsidRDefault="00323DA9" w:rsidP="00721203">
      <w:pPr>
        <w:widowControl w:val="0"/>
        <w:jc w:val="center"/>
        <w:rPr>
          <w:b/>
          <w:szCs w:val="28"/>
        </w:rPr>
      </w:pPr>
      <w:r w:rsidRPr="00006A39">
        <w:rPr>
          <w:b/>
          <w:szCs w:val="28"/>
        </w:rPr>
        <w:t>ДУДНИК СВІТЛАНА ВАЛЕРІЇВНА</w:t>
      </w:r>
    </w:p>
    <w:p w:rsidR="00323DA9" w:rsidRPr="00006A39" w:rsidRDefault="00323DA9" w:rsidP="00721203">
      <w:pPr>
        <w:widowControl w:val="0"/>
        <w:jc w:val="center"/>
        <w:rPr>
          <w:szCs w:val="28"/>
        </w:rPr>
      </w:pPr>
    </w:p>
    <w:p w:rsidR="00434913" w:rsidRPr="00A2153A" w:rsidRDefault="00441F83" w:rsidP="00434913">
      <w:pPr>
        <w:widowControl w:val="0"/>
        <w:jc w:val="right"/>
      </w:pPr>
      <w:r w:rsidRPr="008E392D">
        <w:rPr>
          <w:rFonts w:ascii="Arial" w:hAnsi="Arial" w:cs="Arial"/>
          <w:color w:val="222222"/>
          <w:shd w:val="clear" w:color="auto" w:fill="FFFFFF"/>
        </w:rPr>
        <w:t xml:space="preserve">                                                                 </w:t>
      </w:r>
      <w:r w:rsidR="00323DA9" w:rsidRPr="00A2153A">
        <w:rPr>
          <w:rFonts w:ascii="Arial" w:hAnsi="Arial" w:cs="Arial"/>
          <w:color w:val="222222"/>
          <w:shd w:val="clear" w:color="auto" w:fill="FFFFFF"/>
        </w:rPr>
        <w:t xml:space="preserve"> </w:t>
      </w:r>
      <w:r w:rsidR="00434913" w:rsidRPr="00A2153A">
        <w:rPr>
          <w:bCs/>
        </w:rPr>
        <w:t xml:space="preserve">УДК </w:t>
      </w:r>
      <w:r w:rsidR="00434913" w:rsidRPr="00A2153A">
        <w:rPr>
          <w:color w:val="222222"/>
          <w:szCs w:val="28"/>
          <w:shd w:val="clear" w:color="auto" w:fill="FFFFFF"/>
        </w:rPr>
        <w:t>316.4:314.4:616-053.2:001.8</w:t>
      </w:r>
    </w:p>
    <w:p w:rsidR="00323DA9" w:rsidRPr="008E392D" w:rsidRDefault="00323DA9" w:rsidP="00434913">
      <w:pPr>
        <w:widowControl w:val="0"/>
        <w:rPr>
          <w:szCs w:val="28"/>
        </w:rPr>
      </w:pPr>
    </w:p>
    <w:p w:rsidR="00323DA9" w:rsidRPr="0084024B" w:rsidRDefault="00523C72" w:rsidP="00721203">
      <w:pPr>
        <w:widowControl w:val="0"/>
        <w:jc w:val="center"/>
        <w:rPr>
          <w:szCs w:val="28"/>
        </w:rPr>
      </w:pPr>
      <w:r w:rsidRPr="008E392D">
        <w:rPr>
          <w:szCs w:val="28"/>
        </w:rPr>
        <w:t>ДИСЕРТАЦІЯ</w:t>
      </w:r>
      <w:r w:rsidR="00323DA9" w:rsidRPr="0084024B">
        <w:rPr>
          <w:szCs w:val="28"/>
        </w:rPr>
        <w:t xml:space="preserve"> </w:t>
      </w:r>
    </w:p>
    <w:p w:rsidR="003337FA" w:rsidRPr="008E392D" w:rsidRDefault="00E53169" w:rsidP="0084024B">
      <w:pPr>
        <w:widowControl w:val="0"/>
        <w:spacing w:before="240"/>
        <w:jc w:val="center"/>
        <w:rPr>
          <w:b/>
          <w:szCs w:val="28"/>
        </w:rPr>
      </w:pPr>
      <w:r>
        <w:rPr>
          <w:b/>
          <w:szCs w:val="28"/>
        </w:rPr>
        <w:t>ОБҐ</w:t>
      </w:r>
      <w:r w:rsidR="003337FA" w:rsidRPr="003337FA">
        <w:rPr>
          <w:b/>
          <w:szCs w:val="28"/>
        </w:rPr>
        <w:t xml:space="preserve">РУНТУВАННЯ ІННОВАЦІЙНОЇ СИСТЕМИ </w:t>
      </w:r>
    </w:p>
    <w:p w:rsidR="003337FA" w:rsidRPr="003337FA" w:rsidRDefault="003337FA" w:rsidP="003337FA">
      <w:pPr>
        <w:widowControl w:val="0"/>
        <w:jc w:val="center"/>
        <w:rPr>
          <w:b/>
          <w:szCs w:val="28"/>
          <w:lang w:val="ru-RU"/>
        </w:rPr>
      </w:pPr>
      <w:r w:rsidRPr="003337FA">
        <w:rPr>
          <w:b/>
          <w:szCs w:val="28"/>
        </w:rPr>
        <w:t>МЕДИКО-СОЦІАЛЬНОЇ ДОПОМОГИ ДІТЯМ ДО 5 РОКІВ В УКРАЇНІ</w:t>
      </w:r>
    </w:p>
    <w:p w:rsidR="00323DA9" w:rsidRPr="003337FA" w:rsidRDefault="00323DA9" w:rsidP="00721203">
      <w:pPr>
        <w:widowControl w:val="0"/>
        <w:jc w:val="center"/>
        <w:rPr>
          <w:szCs w:val="28"/>
          <w:lang w:val="ru-RU"/>
        </w:rPr>
      </w:pPr>
    </w:p>
    <w:p w:rsidR="00323DA9" w:rsidRPr="00C43A65" w:rsidRDefault="003337FA" w:rsidP="00721203">
      <w:pPr>
        <w:widowControl w:val="0"/>
        <w:jc w:val="center"/>
        <w:rPr>
          <w:szCs w:val="28"/>
          <w:lang w:val="ru-RU"/>
        </w:rPr>
      </w:pPr>
      <w:r>
        <w:rPr>
          <w:szCs w:val="28"/>
        </w:rPr>
        <w:t>14.02.03</w:t>
      </w:r>
      <w:r w:rsidR="001A3BEA">
        <w:rPr>
          <w:szCs w:val="28"/>
          <w:lang w:val="ru-RU"/>
        </w:rPr>
        <w:t xml:space="preserve"> – с</w:t>
      </w:r>
      <w:r w:rsidR="00323DA9" w:rsidRPr="00006A39">
        <w:rPr>
          <w:szCs w:val="28"/>
        </w:rPr>
        <w:t>оціальна медицина</w:t>
      </w:r>
    </w:p>
    <w:p w:rsidR="00323DA9" w:rsidRPr="00441F83" w:rsidRDefault="00323DA9" w:rsidP="003337FA">
      <w:pPr>
        <w:widowControl w:val="0"/>
        <w:tabs>
          <w:tab w:val="left" w:pos="4310"/>
        </w:tabs>
        <w:rPr>
          <w:szCs w:val="28"/>
          <w:lang w:val="ru-RU"/>
        </w:rPr>
      </w:pPr>
    </w:p>
    <w:p w:rsidR="00323DA9" w:rsidRPr="00006A39" w:rsidRDefault="00323DA9" w:rsidP="0084024B">
      <w:pPr>
        <w:widowControl w:val="0"/>
        <w:jc w:val="center"/>
        <w:rPr>
          <w:szCs w:val="28"/>
        </w:rPr>
      </w:pPr>
      <w:r w:rsidRPr="00006A39">
        <w:rPr>
          <w:szCs w:val="28"/>
        </w:rPr>
        <w:t>Подається на здобуття науковог</w:t>
      </w:r>
      <w:r w:rsidR="0084024B">
        <w:rPr>
          <w:szCs w:val="28"/>
        </w:rPr>
        <w:t>о ступеня доктора медичних наук</w:t>
      </w:r>
    </w:p>
    <w:p w:rsidR="00323DA9" w:rsidRPr="00006A39" w:rsidRDefault="00323DA9" w:rsidP="00721203">
      <w:pPr>
        <w:widowControl w:val="0"/>
        <w:rPr>
          <w:szCs w:val="28"/>
        </w:rPr>
      </w:pPr>
      <w:r w:rsidRPr="00006A39">
        <w:rPr>
          <w:szCs w:val="28"/>
        </w:rPr>
        <w:t>Дисертація містить результати власних досліджень. Використання ідей, результатів і текстів інших авторів мають посилання на відповідне джерело.</w:t>
      </w:r>
    </w:p>
    <w:p w:rsidR="00323DA9" w:rsidRPr="00006A39" w:rsidRDefault="00323DA9" w:rsidP="00721203">
      <w:pPr>
        <w:widowControl w:val="0"/>
        <w:rPr>
          <w:szCs w:val="28"/>
        </w:rPr>
      </w:pPr>
      <w:r w:rsidRPr="00006A39">
        <w:rPr>
          <w:szCs w:val="28"/>
        </w:rPr>
        <w:t>______________</w:t>
      </w:r>
      <w:r w:rsidR="00013EF9">
        <w:rPr>
          <w:szCs w:val="28"/>
        </w:rPr>
        <w:t>______</w:t>
      </w:r>
      <w:r w:rsidRPr="00006A39">
        <w:rPr>
          <w:szCs w:val="28"/>
        </w:rPr>
        <w:t xml:space="preserve"> С.В. Дудник</w:t>
      </w:r>
    </w:p>
    <w:p w:rsidR="006B0127" w:rsidRDefault="006B0127" w:rsidP="00721203">
      <w:pPr>
        <w:widowControl w:val="0"/>
        <w:overflowPunct w:val="0"/>
        <w:autoSpaceDE w:val="0"/>
        <w:autoSpaceDN w:val="0"/>
        <w:adjustRightInd w:val="0"/>
        <w:rPr>
          <w:szCs w:val="28"/>
        </w:rPr>
      </w:pPr>
    </w:p>
    <w:p w:rsidR="00323DA9" w:rsidRPr="00006A39" w:rsidRDefault="00323DA9" w:rsidP="00721203">
      <w:pPr>
        <w:widowControl w:val="0"/>
        <w:overflowPunct w:val="0"/>
        <w:autoSpaceDE w:val="0"/>
        <w:autoSpaceDN w:val="0"/>
        <w:adjustRightInd w:val="0"/>
        <w:rPr>
          <w:szCs w:val="28"/>
        </w:rPr>
      </w:pPr>
      <w:r w:rsidRPr="00006A39">
        <w:rPr>
          <w:szCs w:val="28"/>
        </w:rPr>
        <w:t>Науковий консультант: Слабкий Геннадій Олексійович</w:t>
      </w:r>
      <w:r w:rsidRPr="00006A39">
        <w:rPr>
          <w:b/>
          <w:szCs w:val="28"/>
        </w:rPr>
        <w:t xml:space="preserve">, </w:t>
      </w:r>
      <w:r w:rsidRPr="00006A39">
        <w:rPr>
          <w:szCs w:val="28"/>
        </w:rPr>
        <w:t>доктор медичних наук, професор.</w:t>
      </w:r>
    </w:p>
    <w:p w:rsidR="00323DA9" w:rsidRPr="00006A39" w:rsidRDefault="00323DA9" w:rsidP="00721203">
      <w:pPr>
        <w:widowControl w:val="0"/>
        <w:rPr>
          <w:szCs w:val="28"/>
        </w:rPr>
      </w:pPr>
    </w:p>
    <w:p w:rsidR="00802DB0" w:rsidRPr="006B0127" w:rsidRDefault="00802DB0" w:rsidP="00BB4233">
      <w:pPr>
        <w:widowControl w:val="0"/>
        <w:jc w:val="center"/>
        <w:rPr>
          <w:szCs w:val="28"/>
          <w:lang w:val="ru-RU"/>
        </w:rPr>
      </w:pPr>
    </w:p>
    <w:p w:rsidR="00323DA9" w:rsidRPr="006B0127" w:rsidRDefault="00D124EE" w:rsidP="00BB4233">
      <w:pPr>
        <w:widowControl w:val="0"/>
        <w:jc w:val="center"/>
        <w:rPr>
          <w:szCs w:val="28"/>
          <w:lang w:val="ru-RU"/>
        </w:rPr>
      </w:pPr>
      <w:r w:rsidRPr="006B0127">
        <w:rPr>
          <w:szCs w:val="28"/>
        </w:rPr>
        <w:t xml:space="preserve">Київ – </w:t>
      </w:r>
      <w:r w:rsidR="00D03B77" w:rsidRPr="006B0127">
        <w:rPr>
          <w:szCs w:val="28"/>
        </w:rPr>
        <w:t>202</w:t>
      </w:r>
      <w:r w:rsidR="00D03B77" w:rsidRPr="006B0127">
        <w:rPr>
          <w:szCs w:val="28"/>
          <w:lang w:val="ru-RU"/>
        </w:rPr>
        <w:t>0</w:t>
      </w:r>
    </w:p>
    <w:p w:rsidR="009F051C" w:rsidRPr="00006A39" w:rsidRDefault="009F051C" w:rsidP="009F051C">
      <w:pPr>
        <w:widowControl w:val="0"/>
        <w:ind w:firstLine="709"/>
        <w:jc w:val="center"/>
        <w:rPr>
          <w:rFonts w:eastAsia="Calibri"/>
          <w:i/>
          <w:iCs/>
          <w:color w:val="000000"/>
          <w:szCs w:val="28"/>
        </w:rPr>
      </w:pPr>
      <w:r w:rsidRPr="00006A39">
        <w:rPr>
          <w:rFonts w:eastAsia="Calibri"/>
          <w:b/>
          <w:bCs/>
          <w:color w:val="000000"/>
          <w:szCs w:val="28"/>
          <w:shd w:val="clear" w:color="auto" w:fill="FFFFFF"/>
        </w:rPr>
        <w:lastRenderedPageBreak/>
        <w:t>АНОТАЦІЯ</w:t>
      </w:r>
    </w:p>
    <w:p w:rsidR="009F051C" w:rsidRPr="001A3BEA" w:rsidRDefault="009F051C" w:rsidP="009F051C">
      <w:pPr>
        <w:widowControl w:val="0"/>
        <w:ind w:firstLine="709"/>
        <w:rPr>
          <w:rFonts w:eastAsia="Times New Roman"/>
          <w:color w:val="000000"/>
          <w:szCs w:val="28"/>
          <w:lang w:eastAsia="uk-UA"/>
        </w:rPr>
      </w:pPr>
      <w:r w:rsidRPr="001A3BEA">
        <w:rPr>
          <w:rFonts w:eastAsia="Calibri"/>
          <w:iCs/>
          <w:color w:val="000000"/>
          <w:szCs w:val="28"/>
        </w:rPr>
        <w:t>Дудник С.В.</w:t>
      </w:r>
      <w:r w:rsidRPr="001A3BEA">
        <w:rPr>
          <w:rFonts w:eastAsia="Times New Roman"/>
          <w:color w:val="000000"/>
          <w:szCs w:val="28"/>
          <w:lang w:eastAsia="uk-UA"/>
        </w:rPr>
        <w:t xml:space="preserve"> </w:t>
      </w:r>
      <w:r w:rsidR="00092FD1" w:rsidRPr="001A3BEA">
        <w:rPr>
          <w:rFonts w:eastAsia="Times New Roman"/>
          <w:szCs w:val="28"/>
          <w:lang w:eastAsia="uk-UA"/>
        </w:rPr>
        <w:t xml:space="preserve">Обґрунтування інноваційної системи медико-соціальної допомоги дітям до 5 років в Україні. </w:t>
      </w:r>
      <w:r w:rsidRPr="001A3BEA">
        <w:rPr>
          <w:rFonts w:eastAsia="Times New Roman"/>
          <w:color w:val="000000"/>
          <w:szCs w:val="28"/>
          <w:lang w:eastAsia="uk-UA"/>
        </w:rPr>
        <w:t>– Кваліфікаційна наукова праця на правах рукопису.</w:t>
      </w:r>
    </w:p>
    <w:p w:rsidR="009F051C" w:rsidRPr="00006A39" w:rsidRDefault="009F051C" w:rsidP="009F051C">
      <w:pPr>
        <w:widowControl w:val="0"/>
        <w:ind w:firstLine="709"/>
        <w:rPr>
          <w:rFonts w:eastAsia="Times New Roman"/>
          <w:color w:val="000000"/>
          <w:szCs w:val="28"/>
          <w:lang w:eastAsia="uk-UA"/>
        </w:rPr>
      </w:pPr>
      <w:r w:rsidRPr="00006A39">
        <w:rPr>
          <w:rFonts w:eastAsia="Times New Roman"/>
          <w:color w:val="000000"/>
          <w:szCs w:val="28"/>
          <w:lang w:eastAsia="uk-UA"/>
        </w:rPr>
        <w:t>Дисертація на здобуття наукового ступеня доктора медичних наук за спеціальніст</w:t>
      </w:r>
      <w:r w:rsidR="00802DB0">
        <w:rPr>
          <w:rFonts w:eastAsia="Times New Roman"/>
          <w:color w:val="000000"/>
          <w:szCs w:val="28"/>
          <w:lang w:eastAsia="uk-UA"/>
        </w:rPr>
        <w:t>ю 14.02.03</w:t>
      </w:r>
      <w:r w:rsidR="00892FD0">
        <w:rPr>
          <w:rFonts w:eastAsia="Times New Roman"/>
          <w:color w:val="000000"/>
          <w:szCs w:val="28"/>
          <w:lang w:val="ru-RU" w:eastAsia="uk-UA"/>
        </w:rPr>
        <w:t xml:space="preserve">  «С</w:t>
      </w:r>
      <w:r w:rsidR="00892FD0">
        <w:rPr>
          <w:rFonts w:eastAsia="Times New Roman"/>
          <w:color w:val="000000"/>
          <w:szCs w:val="28"/>
          <w:lang w:eastAsia="uk-UA"/>
        </w:rPr>
        <w:t>оціальна медицина</w:t>
      </w:r>
      <w:r w:rsidR="00892FD0">
        <w:rPr>
          <w:rFonts w:eastAsia="Times New Roman"/>
          <w:color w:val="000000"/>
          <w:szCs w:val="28"/>
          <w:lang w:val="ru-RU" w:eastAsia="uk-UA"/>
        </w:rPr>
        <w:t xml:space="preserve">» </w:t>
      </w:r>
      <w:r w:rsidR="00892FD0" w:rsidRPr="00892FD0">
        <w:rPr>
          <w:rFonts w:eastAsia="Times New Roman"/>
          <w:color w:val="000000"/>
          <w:szCs w:val="28"/>
          <w:lang w:val="ru-RU" w:eastAsia="uk-UA"/>
        </w:rPr>
        <w:t>(</w:t>
      </w:r>
      <w:r w:rsidR="000B4426">
        <w:rPr>
          <w:rFonts w:eastAsia="Times New Roman"/>
          <w:color w:val="000000"/>
          <w:szCs w:val="28"/>
          <w:lang w:val="ru-RU" w:eastAsia="uk-UA"/>
        </w:rPr>
        <w:t>222 – Медицина</w:t>
      </w:r>
      <w:r w:rsidR="00892FD0" w:rsidRPr="00892FD0">
        <w:rPr>
          <w:rFonts w:eastAsia="Times New Roman"/>
          <w:color w:val="000000"/>
          <w:szCs w:val="28"/>
          <w:lang w:val="ru-RU" w:eastAsia="uk-UA"/>
        </w:rPr>
        <w:t>)</w:t>
      </w:r>
      <w:r w:rsidRPr="00006A39">
        <w:rPr>
          <w:rFonts w:eastAsia="Times New Roman"/>
          <w:color w:val="000000"/>
          <w:szCs w:val="28"/>
          <w:lang w:eastAsia="uk-UA"/>
        </w:rPr>
        <w:t xml:space="preserve">. </w:t>
      </w:r>
    </w:p>
    <w:p w:rsidR="009F051C" w:rsidRPr="00006A39" w:rsidRDefault="009F051C" w:rsidP="009F051C">
      <w:pPr>
        <w:widowControl w:val="0"/>
        <w:ind w:firstLine="709"/>
        <w:rPr>
          <w:rFonts w:eastAsia="Calibri"/>
          <w:szCs w:val="28"/>
        </w:rPr>
      </w:pPr>
      <w:r w:rsidRPr="00006A39">
        <w:rPr>
          <w:rFonts w:eastAsia="Times New Roman"/>
          <w:color w:val="000000"/>
          <w:szCs w:val="28"/>
          <w:lang w:eastAsia="uk-UA"/>
        </w:rPr>
        <w:t xml:space="preserve">Дисертація виконана в </w:t>
      </w:r>
      <w:r w:rsidRPr="00006A39">
        <w:rPr>
          <w:rFonts w:eastAsia="Calibri"/>
          <w:color w:val="000000"/>
          <w:szCs w:val="28"/>
        </w:rPr>
        <w:t>ДУ</w:t>
      </w:r>
      <w:r w:rsidRPr="00006A39">
        <w:rPr>
          <w:rFonts w:eastAsia="Calibri"/>
          <w:szCs w:val="28"/>
        </w:rPr>
        <w:t xml:space="preserve"> «Український інститут стратегічних досліджень Міністерства охоро</w:t>
      </w:r>
      <w:r w:rsidR="00F80EA2">
        <w:rPr>
          <w:rFonts w:eastAsia="Calibri"/>
          <w:szCs w:val="28"/>
        </w:rPr>
        <w:t>ни здоров’я України», Київ, 202</w:t>
      </w:r>
      <w:r w:rsidR="00A2153A">
        <w:rPr>
          <w:rFonts w:eastAsia="Calibri"/>
          <w:szCs w:val="28"/>
          <w:lang w:val="ru-RU"/>
        </w:rPr>
        <w:t>0</w:t>
      </w:r>
      <w:r w:rsidRPr="00006A39">
        <w:rPr>
          <w:rFonts w:eastAsia="Calibri"/>
          <w:szCs w:val="28"/>
        </w:rPr>
        <w:t xml:space="preserve">. </w:t>
      </w:r>
    </w:p>
    <w:p w:rsidR="009F051C" w:rsidRPr="00206B55" w:rsidRDefault="009F051C" w:rsidP="009F051C">
      <w:pPr>
        <w:widowControl w:val="0"/>
        <w:ind w:firstLine="709"/>
        <w:rPr>
          <w:rFonts w:eastAsia="Times New Roman"/>
          <w:color w:val="000000"/>
          <w:szCs w:val="28"/>
          <w:lang w:eastAsia="uk-UA"/>
        </w:rPr>
      </w:pPr>
      <w:r w:rsidRPr="00006A39">
        <w:rPr>
          <w:rFonts w:eastAsia="Calibri"/>
          <w:szCs w:val="28"/>
        </w:rPr>
        <w:t xml:space="preserve">Дисертація захищається в </w:t>
      </w:r>
      <w:r w:rsidRPr="00006A39">
        <w:rPr>
          <w:rFonts w:eastAsia="Times New Roman"/>
          <w:color w:val="000000"/>
          <w:szCs w:val="28"/>
          <w:lang w:eastAsia="uk-UA"/>
        </w:rPr>
        <w:t>Харківському національному медичному ун</w:t>
      </w:r>
      <w:r w:rsidR="001C5DDB">
        <w:rPr>
          <w:rFonts w:eastAsia="Times New Roman"/>
          <w:color w:val="000000"/>
          <w:szCs w:val="28"/>
          <w:lang w:eastAsia="uk-UA"/>
        </w:rPr>
        <w:t>іверситеті, Харків, 202</w:t>
      </w:r>
      <w:r w:rsidR="001C5DDB">
        <w:rPr>
          <w:rFonts w:eastAsia="Times New Roman"/>
          <w:color w:val="000000"/>
          <w:szCs w:val="28"/>
          <w:lang w:val="ru-RU" w:eastAsia="uk-UA"/>
        </w:rPr>
        <w:t>1</w:t>
      </w:r>
      <w:r w:rsidRPr="00006A39">
        <w:rPr>
          <w:rFonts w:eastAsia="Times New Roman"/>
          <w:color w:val="000000"/>
          <w:szCs w:val="28"/>
          <w:lang w:eastAsia="uk-UA"/>
        </w:rPr>
        <w:t>.</w:t>
      </w:r>
    </w:p>
    <w:p w:rsidR="00092FD1" w:rsidRPr="006201DD" w:rsidRDefault="009F051C" w:rsidP="00092FD1">
      <w:pPr>
        <w:widowControl w:val="0"/>
        <w:ind w:firstLine="709"/>
        <w:rPr>
          <w:rFonts w:eastAsia="Calibri"/>
          <w:szCs w:val="28"/>
        </w:rPr>
      </w:pPr>
      <w:r w:rsidRPr="006201DD">
        <w:rPr>
          <w:rFonts w:eastAsia="Times New Roman"/>
          <w:szCs w:val="28"/>
          <w:lang w:eastAsia="uk-UA"/>
        </w:rPr>
        <w:t xml:space="preserve">Дисертація присвячена вирішенню важливої науково-практичної задачі охорони здоров’я – науковому обґрунтуванню </w:t>
      </w:r>
      <w:r w:rsidR="00092FD1" w:rsidRPr="006201DD">
        <w:rPr>
          <w:rFonts w:eastAsia="Calibri"/>
          <w:szCs w:val="28"/>
        </w:rPr>
        <w:t>інноваційної</w:t>
      </w:r>
      <w:r w:rsidR="00092FD1" w:rsidRPr="006201DD">
        <w:rPr>
          <w:rFonts w:eastAsia="Calibri"/>
          <w:b/>
          <w:szCs w:val="28"/>
        </w:rPr>
        <w:t xml:space="preserve"> </w:t>
      </w:r>
      <w:r w:rsidR="00092FD1" w:rsidRPr="006201DD">
        <w:rPr>
          <w:rFonts w:eastAsia="Calibri"/>
          <w:szCs w:val="28"/>
        </w:rPr>
        <w:t xml:space="preserve">системи медико-соціальної допомоги дітям до 5 років в Україні. </w:t>
      </w:r>
    </w:p>
    <w:p w:rsidR="009F051C" w:rsidRPr="00DB1FE3" w:rsidRDefault="00092FD1" w:rsidP="00092FD1">
      <w:pPr>
        <w:widowControl w:val="0"/>
        <w:ind w:firstLine="709"/>
        <w:rPr>
          <w:szCs w:val="28"/>
        </w:rPr>
      </w:pPr>
      <w:r w:rsidRPr="00DB1FE3">
        <w:rPr>
          <w:szCs w:val="28"/>
        </w:rPr>
        <w:t xml:space="preserve">Метою роботи є </w:t>
      </w:r>
      <w:r w:rsidR="00DB1FE3" w:rsidRPr="00DB1FE3">
        <w:rPr>
          <w:szCs w:val="28"/>
        </w:rPr>
        <w:t>збереження здоров’я дитячого населення та сприяння зниженню смертності дітей віком до 5 років життя шляхом обґрунтування та розробки інноваційної</w:t>
      </w:r>
      <w:r w:rsidR="00DB1FE3" w:rsidRPr="00DB1FE3">
        <w:rPr>
          <w:b/>
          <w:szCs w:val="28"/>
        </w:rPr>
        <w:t xml:space="preserve"> </w:t>
      </w:r>
      <w:r w:rsidR="00DB1FE3" w:rsidRPr="00DB1FE3">
        <w:rPr>
          <w:szCs w:val="28"/>
        </w:rPr>
        <w:t>системи медико-соціальної допомоги дітям до 5 років життя.</w:t>
      </w:r>
    </w:p>
    <w:p w:rsidR="009F051C" w:rsidRPr="00441F83" w:rsidRDefault="009F051C" w:rsidP="009F051C">
      <w:pPr>
        <w:widowControl w:val="0"/>
        <w:ind w:firstLine="709"/>
        <w:rPr>
          <w:szCs w:val="28"/>
        </w:rPr>
      </w:pPr>
      <w:r w:rsidRPr="00441F83">
        <w:rPr>
          <w:szCs w:val="28"/>
        </w:rPr>
        <w:t xml:space="preserve">Для досягнення поставленої мети: </w:t>
      </w:r>
    </w:p>
    <w:p w:rsidR="009F051C" w:rsidRPr="00441F83" w:rsidRDefault="009F051C" w:rsidP="0074719A">
      <w:pPr>
        <w:pStyle w:val="a5"/>
        <w:widowControl w:val="0"/>
        <w:numPr>
          <w:ilvl w:val="0"/>
          <w:numId w:val="30"/>
        </w:numPr>
        <w:tabs>
          <w:tab w:val="left" w:pos="1276"/>
        </w:tabs>
        <w:ind w:left="0" w:firstLine="709"/>
        <w:rPr>
          <w:rFonts w:eastAsia="Times New Roman"/>
          <w:szCs w:val="28"/>
          <w:lang w:eastAsia="uk-UA"/>
        </w:rPr>
      </w:pPr>
      <w:r w:rsidRPr="00441F83">
        <w:rPr>
          <w:rFonts w:eastAsia="Times New Roman"/>
          <w:szCs w:val="28"/>
          <w:lang w:eastAsia="uk-UA"/>
        </w:rPr>
        <w:t xml:space="preserve">проаналізовано показники смертності дітей </w:t>
      </w:r>
      <w:r w:rsidRPr="00441F83">
        <w:rPr>
          <w:szCs w:val="28"/>
        </w:rPr>
        <w:t xml:space="preserve">у віковій категорії 0-5 років на предмет встановлення: </w:t>
      </w:r>
      <w:r w:rsidRPr="00441F83">
        <w:t>основних його трендів</w:t>
      </w:r>
      <w:r w:rsidRPr="00441F83">
        <w:rPr>
          <w:szCs w:val="28"/>
        </w:rPr>
        <w:t xml:space="preserve"> в Україні </w:t>
      </w:r>
      <w:r w:rsidRPr="00441F83">
        <w:t>порівняно з референтними країнами; особливостей вікової, статевої, причинної та регіональної структури показника смертності, у т.ч. показника смертнос</w:t>
      </w:r>
      <w:r w:rsidR="00B5436E">
        <w:t>ті дітей віком до 1 року поза</w:t>
      </w:r>
      <w:r w:rsidRPr="00441F83">
        <w:t xml:space="preserve"> стаціонару;</w:t>
      </w:r>
      <w:r w:rsidR="00765AE0">
        <w:rPr>
          <w:szCs w:val="28"/>
        </w:rPr>
        <w:t xml:space="preserve"> </w:t>
      </w:r>
      <w:r w:rsidRPr="00441F83">
        <w:rPr>
          <w:szCs w:val="28"/>
        </w:rPr>
        <w:t>тягаря даного показника на систему охорон</w:t>
      </w:r>
      <w:r w:rsidR="00E47BC0">
        <w:rPr>
          <w:szCs w:val="28"/>
        </w:rPr>
        <w:t xml:space="preserve">и здоров’я шляхом аналізу </w:t>
      </w:r>
      <w:r w:rsidR="00E47BC0">
        <w:rPr>
          <w:rFonts w:eastAsia="Times New Roman"/>
          <w:szCs w:val="28"/>
          <w:lang w:eastAsia="uk-UA"/>
        </w:rPr>
        <w:t>статистичних даних</w:t>
      </w:r>
      <w:r w:rsidRPr="00441F83">
        <w:rPr>
          <w:rFonts w:eastAsia="Times New Roman"/>
          <w:szCs w:val="28"/>
          <w:lang w:eastAsia="uk-UA"/>
        </w:rPr>
        <w:t xml:space="preserve"> МОЗ</w:t>
      </w:r>
      <w:r w:rsidR="00E47BC0">
        <w:rPr>
          <w:rFonts w:eastAsia="Times New Roman"/>
          <w:szCs w:val="28"/>
          <w:lang w:eastAsia="uk-UA"/>
        </w:rPr>
        <w:t xml:space="preserve"> України</w:t>
      </w:r>
      <w:r w:rsidR="00F15AA0">
        <w:rPr>
          <w:rFonts w:eastAsia="Times New Roman"/>
          <w:szCs w:val="28"/>
          <w:lang w:eastAsia="uk-UA"/>
        </w:rPr>
        <w:t>,</w:t>
      </w:r>
      <w:r w:rsidRPr="00441F83">
        <w:rPr>
          <w:rFonts w:eastAsia="Times New Roman"/>
          <w:szCs w:val="28"/>
          <w:lang w:eastAsia="uk-UA"/>
        </w:rPr>
        <w:t xml:space="preserve"> </w:t>
      </w:r>
      <w:r w:rsidR="00F15AA0">
        <w:rPr>
          <w:rFonts w:eastAsia="Times New Roman"/>
          <w:szCs w:val="28"/>
          <w:lang w:eastAsia="uk-UA"/>
        </w:rPr>
        <w:t xml:space="preserve">Державної служби статистики України </w:t>
      </w:r>
      <w:r w:rsidRPr="00441F83">
        <w:rPr>
          <w:szCs w:val="28"/>
        </w:rPr>
        <w:t xml:space="preserve">за </w:t>
      </w:r>
      <w:r w:rsidRPr="00441F83">
        <w:rPr>
          <w:rFonts w:eastAsia="Times New Roman"/>
          <w:szCs w:val="28"/>
          <w:lang w:eastAsia="uk-UA"/>
        </w:rPr>
        <w:t xml:space="preserve">25 регіонами України </w:t>
      </w:r>
      <w:r w:rsidR="00B67B26" w:rsidRPr="00D06BEF">
        <w:rPr>
          <w:rFonts w:eastAsia="Times New Roman"/>
          <w:szCs w:val="28"/>
          <w:lang w:eastAsia="uk-UA"/>
        </w:rPr>
        <w:t>(2009-2018</w:t>
      </w:r>
      <w:r w:rsidRPr="00D06BEF">
        <w:rPr>
          <w:rFonts w:eastAsia="Times New Roman"/>
          <w:szCs w:val="28"/>
          <w:lang w:eastAsia="uk-UA"/>
        </w:rPr>
        <w:t xml:space="preserve"> рр.)</w:t>
      </w:r>
      <w:r w:rsidRPr="00441F83">
        <w:rPr>
          <w:rFonts w:eastAsia="Times New Roman"/>
          <w:szCs w:val="28"/>
          <w:lang w:eastAsia="uk-UA"/>
        </w:rPr>
        <w:t xml:space="preserve"> та глобальної електронної бази </w:t>
      </w:r>
      <w:r w:rsidRPr="00441F83">
        <w:rPr>
          <w:rFonts w:eastAsia="Times New Roman"/>
          <w:szCs w:val="28"/>
          <w:lang w:val="en-US" w:eastAsia="uk-UA"/>
        </w:rPr>
        <w:t>Institute</w:t>
      </w:r>
      <w:r w:rsidRPr="00441F83">
        <w:rPr>
          <w:rFonts w:eastAsia="Times New Roman"/>
          <w:szCs w:val="28"/>
          <w:lang w:eastAsia="uk-UA"/>
        </w:rPr>
        <w:t xml:space="preserve"> </w:t>
      </w:r>
      <w:r w:rsidRPr="00441F83">
        <w:rPr>
          <w:rFonts w:eastAsia="Times New Roman"/>
          <w:szCs w:val="28"/>
          <w:lang w:val="en-US" w:eastAsia="uk-UA"/>
        </w:rPr>
        <w:t>Health</w:t>
      </w:r>
      <w:r w:rsidRPr="00441F83">
        <w:rPr>
          <w:rFonts w:eastAsia="Times New Roman"/>
          <w:szCs w:val="28"/>
          <w:lang w:eastAsia="uk-UA"/>
        </w:rPr>
        <w:t xml:space="preserve"> </w:t>
      </w:r>
      <w:r w:rsidRPr="00441F83">
        <w:rPr>
          <w:rFonts w:eastAsia="Times New Roman"/>
          <w:szCs w:val="28"/>
          <w:lang w:val="en-US" w:eastAsia="uk-UA"/>
        </w:rPr>
        <w:t>Metrics</w:t>
      </w:r>
      <w:r w:rsidRPr="00441F83">
        <w:rPr>
          <w:rFonts w:eastAsia="Times New Roman"/>
          <w:szCs w:val="28"/>
          <w:lang w:eastAsia="uk-UA"/>
        </w:rPr>
        <w:t xml:space="preserve"> </w:t>
      </w:r>
      <w:r w:rsidRPr="00441F83">
        <w:rPr>
          <w:rFonts w:eastAsia="Times New Roman"/>
          <w:szCs w:val="28"/>
          <w:lang w:val="en-US" w:eastAsia="uk-UA"/>
        </w:rPr>
        <w:t>and</w:t>
      </w:r>
      <w:r w:rsidRPr="00441F83">
        <w:rPr>
          <w:rFonts w:eastAsia="Times New Roman"/>
          <w:szCs w:val="28"/>
          <w:lang w:eastAsia="uk-UA"/>
        </w:rPr>
        <w:t xml:space="preserve"> </w:t>
      </w:r>
      <w:r w:rsidRPr="00441F83">
        <w:rPr>
          <w:rFonts w:eastAsia="Times New Roman"/>
          <w:szCs w:val="28"/>
          <w:lang w:val="en-US" w:eastAsia="uk-UA"/>
        </w:rPr>
        <w:t>Evaluation</w:t>
      </w:r>
      <w:r w:rsidR="00B313FB">
        <w:rPr>
          <w:rFonts w:eastAsia="Times New Roman"/>
          <w:szCs w:val="28"/>
          <w:lang w:eastAsia="uk-UA"/>
        </w:rPr>
        <w:t xml:space="preserve"> (2009-2019 рр.);</w:t>
      </w:r>
    </w:p>
    <w:p w:rsidR="009F051C" w:rsidRDefault="009F051C" w:rsidP="0074719A">
      <w:pPr>
        <w:pStyle w:val="a5"/>
        <w:widowControl w:val="0"/>
        <w:numPr>
          <w:ilvl w:val="0"/>
          <w:numId w:val="30"/>
        </w:numPr>
        <w:tabs>
          <w:tab w:val="left" w:pos="1276"/>
        </w:tabs>
        <w:ind w:left="0" w:firstLine="709"/>
        <w:rPr>
          <w:rFonts w:eastAsia="Times New Roman"/>
          <w:szCs w:val="28"/>
          <w:lang w:eastAsia="uk-UA"/>
        </w:rPr>
      </w:pPr>
      <w:r>
        <w:rPr>
          <w:rFonts w:eastAsia="Times New Roman"/>
          <w:szCs w:val="28"/>
          <w:lang w:eastAsia="uk-UA"/>
        </w:rPr>
        <w:t xml:space="preserve">досліджено рівень захворюваності дітей визначеної вікової категорії в Україні порівняно з референтними країнами з метою визначення динаміки та структури захворюваності дітей у вікових категоріях до 6 років, до 1 року та до 28 діб життя, встановлення зв’язків показників захворюваності та поширеності зі смертністю </w:t>
      </w:r>
      <w:r w:rsidRPr="00004456">
        <w:rPr>
          <w:rFonts w:eastAsia="Times New Roman"/>
          <w:szCs w:val="28"/>
          <w:lang w:eastAsia="uk-UA"/>
        </w:rPr>
        <w:t xml:space="preserve">шляхом аналізу </w:t>
      </w:r>
      <w:r w:rsidRPr="0028691E">
        <w:rPr>
          <w:rFonts w:eastAsia="Times New Roman"/>
          <w:szCs w:val="28"/>
          <w:lang w:eastAsia="uk-UA"/>
        </w:rPr>
        <w:t xml:space="preserve">статистичних </w:t>
      </w:r>
      <w:r w:rsidR="00F91610">
        <w:rPr>
          <w:rFonts w:eastAsia="Times New Roman"/>
          <w:szCs w:val="28"/>
          <w:lang w:eastAsia="uk-UA"/>
        </w:rPr>
        <w:t xml:space="preserve">даних МОЗ України </w:t>
      </w:r>
      <w:r w:rsidRPr="00004456">
        <w:rPr>
          <w:rFonts w:eastAsia="Times New Roman"/>
          <w:szCs w:val="28"/>
          <w:lang w:eastAsia="uk-UA"/>
        </w:rPr>
        <w:t xml:space="preserve">за </w:t>
      </w:r>
      <w:r w:rsidR="00D06BEF">
        <w:rPr>
          <w:rFonts w:eastAsia="Times New Roman"/>
          <w:szCs w:val="28"/>
          <w:lang w:eastAsia="uk-UA"/>
        </w:rPr>
        <w:t xml:space="preserve">25 регіонами </w:t>
      </w:r>
      <w:r w:rsidR="00D06BEF">
        <w:rPr>
          <w:rFonts w:eastAsia="Times New Roman"/>
          <w:szCs w:val="28"/>
          <w:lang w:eastAsia="uk-UA"/>
        </w:rPr>
        <w:lastRenderedPageBreak/>
        <w:t>України (2013-2018</w:t>
      </w:r>
      <w:r w:rsidRPr="0028691E">
        <w:rPr>
          <w:rFonts w:eastAsia="Times New Roman"/>
          <w:szCs w:val="28"/>
          <w:lang w:eastAsia="uk-UA"/>
        </w:rPr>
        <w:t xml:space="preserve"> рр.) та глобальної електронної бази </w:t>
      </w:r>
      <w:r w:rsidRPr="00004456">
        <w:rPr>
          <w:rFonts w:eastAsia="Times New Roman"/>
          <w:szCs w:val="28"/>
          <w:lang w:eastAsia="uk-UA"/>
        </w:rPr>
        <w:t>Institute</w:t>
      </w:r>
      <w:r w:rsidRPr="0028691E">
        <w:rPr>
          <w:rFonts w:eastAsia="Times New Roman"/>
          <w:szCs w:val="28"/>
          <w:lang w:eastAsia="uk-UA"/>
        </w:rPr>
        <w:t xml:space="preserve"> </w:t>
      </w:r>
      <w:r w:rsidRPr="00004456">
        <w:rPr>
          <w:rFonts w:eastAsia="Times New Roman"/>
          <w:szCs w:val="28"/>
          <w:lang w:eastAsia="uk-UA"/>
        </w:rPr>
        <w:t>Health</w:t>
      </w:r>
      <w:r w:rsidRPr="0028691E">
        <w:rPr>
          <w:rFonts w:eastAsia="Times New Roman"/>
          <w:szCs w:val="28"/>
          <w:lang w:eastAsia="uk-UA"/>
        </w:rPr>
        <w:t xml:space="preserve"> </w:t>
      </w:r>
      <w:r w:rsidRPr="00004456">
        <w:rPr>
          <w:rFonts w:eastAsia="Times New Roman"/>
          <w:szCs w:val="28"/>
          <w:lang w:eastAsia="uk-UA"/>
        </w:rPr>
        <w:t>Metrics</w:t>
      </w:r>
      <w:r w:rsidRPr="0028691E">
        <w:rPr>
          <w:rFonts w:eastAsia="Times New Roman"/>
          <w:szCs w:val="28"/>
          <w:lang w:eastAsia="uk-UA"/>
        </w:rPr>
        <w:t xml:space="preserve"> </w:t>
      </w:r>
      <w:r w:rsidRPr="00004456">
        <w:rPr>
          <w:rFonts w:eastAsia="Times New Roman"/>
          <w:szCs w:val="28"/>
          <w:lang w:eastAsia="uk-UA"/>
        </w:rPr>
        <w:t>and</w:t>
      </w:r>
      <w:r w:rsidRPr="0028691E">
        <w:rPr>
          <w:rFonts w:eastAsia="Times New Roman"/>
          <w:szCs w:val="28"/>
          <w:lang w:eastAsia="uk-UA"/>
        </w:rPr>
        <w:t xml:space="preserve"> </w:t>
      </w:r>
      <w:r w:rsidRPr="00004456">
        <w:rPr>
          <w:rFonts w:eastAsia="Times New Roman"/>
          <w:szCs w:val="28"/>
          <w:lang w:eastAsia="uk-UA"/>
        </w:rPr>
        <w:t>Evoluation</w:t>
      </w:r>
      <w:r w:rsidR="009F5634">
        <w:rPr>
          <w:rFonts w:eastAsia="Times New Roman"/>
          <w:szCs w:val="28"/>
          <w:lang w:eastAsia="uk-UA"/>
        </w:rPr>
        <w:t xml:space="preserve"> (20</w:t>
      </w:r>
      <w:r w:rsidR="008E1B0B">
        <w:rPr>
          <w:rFonts w:eastAsia="Times New Roman"/>
          <w:szCs w:val="28"/>
          <w:lang w:eastAsia="uk-UA"/>
        </w:rPr>
        <w:t>10</w:t>
      </w:r>
      <w:r w:rsidR="00B313FB">
        <w:rPr>
          <w:rFonts w:eastAsia="Times New Roman"/>
          <w:szCs w:val="28"/>
          <w:lang w:eastAsia="uk-UA"/>
        </w:rPr>
        <w:t>-2019 рр.);</w:t>
      </w:r>
    </w:p>
    <w:p w:rsidR="009F051C" w:rsidRPr="0028691E" w:rsidRDefault="009F051C" w:rsidP="0074719A">
      <w:pPr>
        <w:pStyle w:val="a5"/>
        <w:widowControl w:val="0"/>
        <w:numPr>
          <w:ilvl w:val="0"/>
          <w:numId w:val="30"/>
        </w:numPr>
        <w:tabs>
          <w:tab w:val="left" w:pos="1276"/>
        </w:tabs>
        <w:ind w:left="0" w:firstLine="709"/>
        <w:rPr>
          <w:rFonts w:eastAsia="Times New Roman"/>
          <w:szCs w:val="28"/>
          <w:lang w:eastAsia="uk-UA"/>
        </w:rPr>
      </w:pPr>
      <w:r w:rsidRPr="00004456">
        <w:rPr>
          <w:rFonts w:eastAsia="Times New Roman"/>
          <w:szCs w:val="28"/>
          <w:lang w:eastAsia="uk-UA"/>
        </w:rPr>
        <w:t>вивчено</w:t>
      </w:r>
      <w:r w:rsidRPr="00852C8D">
        <w:rPr>
          <w:rFonts w:eastAsia="Times New Roman"/>
          <w:szCs w:val="28"/>
          <w:lang w:eastAsia="uk-UA"/>
        </w:rPr>
        <w:t xml:space="preserve"> </w:t>
      </w:r>
      <w:r w:rsidRPr="00004456">
        <w:rPr>
          <w:rFonts w:eastAsia="Times New Roman"/>
          <w:szCs w:val="28"/>
          <w:lang w:eastAsia="uk-UA"/>
        </w:rPr>
        <w:t xml:space="preserve">організацію медичної допомоги дитячому населенню, її організаційні аспекти, кадрове та ресурсне забезпечення первинної медико-санітарної допомоги на засадах загальної лікарської практики-сімейної медицини, спеціалізованої та високоспеціалізованої служби охорони здоров’я дітей, перинатальної допомоги в Україні </w:t>
      </w:r>
      <w:r w:rsidRPr="00852C8D">
        <w:rPr>
          <w:rFonts w:eastAsia="Times New Roman"/>
          <w:szCs w:val="28"/>
          <w:lang w:eastAsia="uk-UA"/>
        </w:rPr>
        <w:t xml:space="preserve">на предмет ідентифікації прихованих </w:t>
      </w:r>
      <w:r>
        <w:rPr>
          <w:rFonts w:eastAsia="Times New Roman"/>
          <w:szCs w:val="28"/>
          <w:lang w:eastAsia="uk-UA"/>
        </w:rPr>
        <w:t xml:space="preserve">ризиків, які можуть бути пов’язані зі смертністю дітей в Україні, на основі аналізу нормативно-правової бази України, </w:t>
      </w:r>
      <w:r w:rsidRPr="00852C8D">
        <w:rPr>
          <w:rFonts w:eastAsia="Times New Roman"/>
          <w:szCs w:val="28"/>
          <w:lang w:eastAsia="uk-UA"/>
        </w:rPr>
        <w:t xml:space="preserve">статистичних </w:t>
      </w:r>
      <w:r w:rsidR="00115C21" w:rsidRPr="00115C21">
        <w:rPr>
          <w:rFonts w:eastAsia="Times New Roman"/>
          <w:szCs w:val="28"/>
          <w:lang w:eastAsia="uk-UA"/>
        </w:rPr>
        <w:t xml:space="preserve">даних </w:t>
      </w:r>
      <w:r w:rsidRPr="00852C8D">
        <w:rPr>
          <w:rFonts w:eastAsia="Times New Roman"/>
          <w:szCs w:val="28"/>
          <w:lang w:eastAsia="uk-UA"/>
        </w:rPr>
        <w:t>МОЗ України</w:t>
      </w:r>
      <w:r>
        <w:rPr>
          <w:rFonts w:eastAsia="Times New Roman"/>
          <w:szCs w:val="28"/>
          <w:lang w:eastAsia="uk-UA"/>
        </w:rPr>
        <w:t xml:space="preserve"> за 2013-2018</w:t>
      </w:r>
      <w:r w:rsidR="002D01E7">
        <w:rPr>
          <w:rFonts w:eastAsia="Times New Roman"/>
          <w:szCs w:val="28"/>
          <w:lang w:eastAsia="uk-UA"/>
        </w:rPr>
        <w:t> </w:t>
      </w:r>
      <w:r>
        <w:rPr>
          <w:rFonts w:eastAsia="Times New Roman"/>
          <w:szCs w:val="28"/>
          <w:lang w:eastAsia="uk-UA"/>
        </w:rPr>
        <w:t>рр.</w:t>
      </w:r>
      <w:r w:rsidR="00B313FB">
        <w:rPr>
          <w:rFonts w:eastAsia="Times New Roman"/>
          <w:szCs w:val="28"/>
          <w:lang w:eastAsia="uk-UA"/>
        </w:rPr>
        <w:t>;</w:t>
      </w:r>
    </w:p>
    <w:p w:rsidR="009F051C" w:rsidRDefault="009F051C" w:rsidP="0074719A">
      <w:pPr>
        <w:pStyle w:val="a5"/>
        <w:widowControl w:val="0"/>
        <w:numPr>
          <w:ilvl w:val="0"/>
          <w:numId w:val="30"/>
        </w:numPr>
        <w:tabs>
          <w:tab w:val="left" w:pos="1276"/>
        </w:tabs>
        <w:ind w:left="0" w:firstLine="709"/>
        <w:rPr>
          <w:rFonts w:eastAsia="Times New Roman"/>
          <w:szCs w:val="28"/>
          <w:lang w:eastAsia="uk-UA"/>
        </w:rPr>
      </w:pPr>
      <w:r w:rsidRPr="00F77589">
        <w:rPr>
          <w:rFonts w:eastAsia="Times New Roman"/>
          <w:szCs w:val="28"/>
          <w:lang w:eastAsia="uk-UA"/>
        </w:rPr>
        <w:t xml:space="preserve">проаналізовано </w:t>
      </w:r>
      <w:r w:rsidR="00EE5E9E">
        <w:rPr>
          <w:rFonts w:eastAsia="Times New Roman"/>
          <w:szCs w:val="28"/>
          <w:lang w:eastAsia="uk-UA"/>
        </w:rPr>
        <w:t xml:space="preserve">ситуацію з готовністю </w:t>
      </w:r>
      <w:r w:rsidRPr="00721203">
        <w:rPr>
          <w:rFonts w:eastAsia="Times New Roman"/>
          <w:szCs w:val="28"/>
          <w:lang w:eastAsia="uk-UA"/>
        </w:rPr>
        <w:t>лікар</w:t>
      </w:r>
      <w:r>
        <w:rPr>
          <w:rFonts w:eastAsia="Times New Roman"/>
          <w:szCs w:val="28"/>
          <w:lang w:eastAsia="uk-UA"/>
        </w:rPr>
        <w:t>ів</w:t>
      </w:r>
      <w:r w:rsidR="00950C4B">
        <w:rPr>
          <w:rFonts w:eastAsia="Times New Roman"/>
          <w:szCs w:val="28"/>
          <w:lang w:eastAsia="uk-UA"/>
        </w:rPr>
        <w:t xml:space="preserve"> зага</w:t>
      </w:r>
      <w:r w:rsidR="00661287">
        <w:rPr>
          <w:rFonts w:eastAsia="Times New Roman"/>
          <w:szCs w:val="28"/>
          <w:lang w:eastAsia="uk-UA"/>
        </w:rPr>
        <w:t>льної практики-сімейних лікарів</w:t>
      </w:r>
      <w:r w:rsidRPr="00721203">
        <w:rPr>
          <w:rFonts w:eastAsia="Times New Roman"/>
          <w:szCs w:val="28"/>
          <w:lang w:eastAsia="uk-UA"/>
        </w:rPr>
        <w:t xml:space="preserve"> </w:t>
      </w:r>
      <w:r>
        <w:rPr>
          <w:rFonts w:eastAsia="Times New Roman"/>
          <w:szCs w:val="28"/>
          <w:lang w:eastAsia="uk-UA"/>
        </w:rPr>
        <w:t>запобіг</w:t>
      </w:r>
      <w:r w:rsidR="008B6C03">
        <w:rPr>
          <w:rFonts w:eastAsia="Times New Roman"/>
          <w:szCs w:val="28"/>
          <w:lang w:eastAsia="uk-UA"/>
        </w:rPr>
        <w:t>ати відворотним випадкам смерті</w:t>
      </w:r>
      <w:r>
        <w:rPr>
          <w:rFonts w:eastAsia="Times New Roman"/>
          <w:szCs w:val="28"/>
          <w:lang w:eastAsia="uk-UA"/>
        </w:rPr>
        <w:t xml:space="preserve"> дітей шляхом вивчення рівня </w:t>
      </w:r>
      <w:r w:rsidRPr="00721203">
        <w:rPr>
          <w:rFonts w:eastAsia="Times New Roman"/>
          <w:szCs w:val="28"/>
          <w:lang w:eastAsia="uk-UA"/>
        </w:rPr>
        <w:t xml:space="preserve">самооцінки лікарями </w:t>
      </w:r>
      <w:r w:rsidR="00316EC0">
        <w:rPr>
          <w:rFonts w:eastAsia="Times New Roman"/>
          <w:szCs w:val="28"/>
          <w:lang w:eastAsia="uk-UA"/>
        </w:rPr>
        <w:t>центрів первинної медико-санітарної допомоги (</w:t>
      </w:r>
      <w:r>
        <w:rPr>
          <w:rFonts w:eastAsia="Times New Roman"/>
          <w:szCs w:val="28"/>
          <w:lang w:eastAsia="uk-UA"/>
        </w:rPr>
        <w:t>ЦПМСД</w:t>
      </w:r>
      <w:r w:rsidR="00316EC0">
        <w:rPr>
          <w:rFonts w:eastAsia="Times New Roman"/>
          <w:szCs w:val="28"/>
          <w:lang w:eastAsia="uk-UA"/>
        </w:rPr>
        <w:t>)</w:t>
      </w:r>
      <w:r w:rsidRPr="00721203">
        <w:rPr>
          <w:rFonts w:eastAsia="Times New Roman"/>
          <w:szCs w:val="28"/>
          <w:lang w:eastAsia="uk-UA"/>
        </w:rPr>
        <w:t xml:space="preserve"> власних теоретичних знань та практичних навичок</w:t>
      </w:r>
      <w:r>
        <w:rPr>
          <w:rFonts w:eastAsia="Times New Roman"/>
          <w:szCs w:val="28"/>
          <w:lang w:eastAsia="uk-UA"/>
        </w:rPr>
        <w:t xml:space="preserve"> </w:t>
      </w:r>
      <w:r w:rsidRPr="00721203">
        <w:rPr>
          <w:rFonts w:eastAsia="Times New Roman"/>
          <w:szCs w:val="28"/>
          <w:lang w:eastAsia="uk-UA"/>
        </w:rPr>
        <w:t>з тактики дій при окремих станах, які загрожують життю дітей</w:t>
      </w:r>
      <w:r>
        <w:rPr>
          <w:rFonts w:eastAsia="Times New Roman"/>
          <w:szCs w:val="28"/>
          <w:lang w:eastAsia="uk-UA"/>
        </w:rPr>
        <w:t>,</w:t>
      </w:r>
      <w:r w:rsidRPr="00852C8D">
        <w:rPr>
          <w:rFonts w:eastAsia="Times New Roman"/>
          <w:szCs w:val="28"/>
          <w:lang w:eastAsia="uk-UA"/>
        </w:rPr>
        <w:t xml:space="preserve"> за даними соціологічного опитування </w:t>
      </w:r>
      <w:r>
        <w:rPr>
          <w:rFonts w:eastAsia="Times New Roman"/>
          <w:szCs w:val="28"/>
          <w:lang w:eastAsia="uk-UA"/>
        </w:rPr>
        <w:t>400</w:t>
      </w:r>
      <w:r w:rsidRPr="00852C8D">
        <w:rPr>
          <w:rFonts w:eastAsia="Times New Roman"/>
          <w:szCs w:val="28"/>
          <w:lang w:eastAsia="uk-UA"/>
        </w:rPr>
        <w:t xml:space="preserve"> лікарів</w:t>
      </w:r>
      <w:r>
        <w:rPr>
          <w:rFonts w:eastAsia="Times New Roman"/>
          <w:szCs w:val="28"/>
          <w:lang w:eastAsia="uk-UA"/>
        </w:rPr>
        <w:t xml:space="preserve"> відповідного профілю</w:t>
      </w:r>
      <w:r w:rsidRPr="00721203">
        <w:rPr>
          <w:rFonts w:eastAsia="Times New Roman"/>
          <w:szCs w:val="28"/>
          <w:lang w:eastAsia="uk-UA"/>
        </w:rPr>
        <w:t xml:space="preserve">, </w:t>
      </w:r>
      <w:r>
        <w:rPr>
          <w:rFonts w:eastAsia="Times New Roman"/>
          <w:szCs w:val="28"/>
          <w:lang w:eastAsia="uk-UA"/>
        </w:rPr>
        <w:t xml:space="preserve">а також </w:t>
      </w:r>
      <w:r w:rsidRPr="00721203">
        <w:rPr>
          <w:rFonts w:eastAsia="Times New Roman"/>
          <w:szCs w:val="28"/>
          <w:lang w:eastAsia="uk-UA"/>
        </w:rPr>
        <w:t xml:space="preserve">вивчення </w:t>
      </w:r>
      <w:r w:rsidRPr="000025DA">
        <w:rPr>
          <w:rFonts w:eastAsia="Times New Roman"/>
          <w:szCs w:val="28"/>
          <w:lang w:eastAsia="uk-UA"/>
        </w:rPr>
        <w:t>рівня інформованості батьків щодо здоров’яформуючих технологій на рівні сім’ї та вміння розпізнавати загрозливі для життя дітей стани і такти</w:t>
      </w:r>
      <w:r w:rsidR="00A529DD">
        <w:rPr>
          <w:rFonts w:eastAsia="Times New Roman"/>
          <w:szCs w:val="28"/>
          <w:lang w:eastAsia="uk-UA"/>
        </w:rPr>
        <w:t>к</w:t>
      </w:r>
      <w:r w:rsidR="00A529DD" w:rsidRPr="00A529DD">
        <w:rPr>
          <w:rFonts w:eastAsia="Times New Roman"/>
          <w:szCs w:val="28"/>
          <w:lang w:eastAsia="uk-UA"/>
        </w:rPr>
        <w:t>и</w:t>
      </w:r>
      <w:r w:rsidRPr="000025DA">
        <w:rPr>
          <w:rFonts w:eastAsia="Times New Roman"/>
          <w:szCs w:val="28"/>
          <w:lang w:eastAsia="uk-UA"/>
        </w:rPr>
        <w:t xml:space="preserve"> дій при них </w:t>
      </w:r>
      <w:r w:rsidRPr="00852C8D">
        <w:rPr>
          <w:rFonts w:eastAsia="Times New Roman"/>
          <w:szCs w:val="28"/>
          <w:lang w:eastAsia="uk-UA"/>
        </w:rPr>
        <w:t xml:space="preserve">за даними соціологічного опитування </w:t>
      </w:r>
      <w:r>
        <w:rPr>
          <w:rFonts w:eastAsia="Times New Roman"/>
          <w:szCs w:val="28"/>
          <w:lang w:eastAsia="uk-UA"/>
        </w:rPr>
        <w:t>400 батьків, я</w:t>
      </w:r>
      <w:r w:rsidR="00B313FB">
        <w:rPr>
          <w:rFonts w:eastAsia="Times New Roman"/>
          <w:szCs w:val="28"/>
          <w:lang w:eastAsia="uk-UA"/>
        </w:rPr>
        <w:t>кі мають дітей віком до 5 років;</w:t>
      </w:r>
    </w:p>
    <w:p w:rsidR="006F3485" w:rsidRDefault="006F3485" w:rsidP="006F3485">
      <w:pPr>
        <w:pStyle w:val="a5"/>
        <w:widowControl w:val="0"/>
        <w:numPr>
          <w:ilvl w:val="0"/>
          <w:numId w:val="30"/>
        </w:numPr>
        <w:tabs>
          <w:tab w:val="left" w:pos="1276"/>
        </w:tabs>
        <w:ind w:left="0" w:firstLine="709"/>
        <w:rPr>
          <w:rFonts w:eastAsia="Times New Roman"/>
          <w:szCs w:val="28"/>
          <w:lang w:eastAsia="uk-UA"/>
        </w:rPr>
      </w:pPr>
      <w:r>
        <w:rPr>
          <w:rFonts w:eastAsia="Times New Roman"/>
          <w:szCs w:val="28"/>
          <w:lang w:eastAsia="uk-UA"/>
        </w:rPr>
        <w:t xml:space="preserve">обґрунтовано та розроблено </w:t>
      </w:r>
      <w:r w:rsidRPr="00107525">
        <w:rPr>
          <w:rFonts w:eastAsia="Times New Roman"/>
          <w:szCs w:val="28"/>
          <w:lang w:eastAsia="uk-UA"/>
        </w:rPr>
        <w:t>методологію</w:t>
      </w:r>
      <w:r>
        <w:rPr>
          <w:rFonts w:eastAsia="Times New Roman"/>
          <w:szCs w:val="28"/>
          <w:lang w:eastAsia="uk-UA"/>
        </w:rPr>
        <w:t xml:space="preserve"> та моделі </w:t>
      </w:r>
      <w:r w:rsidRPr="00107525">
        <w:rPr>
          <w:rFonts w:eastAsia="Times New Roman"/>
          <w:szCs w:val="28"/>
          <w:lang w:eastAsia="uk-UA"/>
        </w:rPr>
        <w:t>комплексної оцінки стану перинатальної допомоги в Україні</w:t>
      </w:r>
      <w:r>
        <w:rPr>
          <w:rFonts w:eastAsia="Times New Roman"/>
          <w:szCs w:val="28"/>
          <w:lang w:eastAsia="uk-UA"/>
        </w:rPr>
        <w:t>: з’ясовано значущі індикатори</w:t>
      </w:r>
      <w:r w:rsidRPr="00107525">
        <w:rPr>
          <w:rFonts w:eastAsia="Times New Roman"/>
          <w:szCs w:val="28"/>
          <w:lang w:eastAsia="uk-UA"/>
        </w:rPr>
        <w:t xml:space="preserve"> оцінки діяльності закладів і </w:t>
      </w:r>
      <w:r>
        <w:rPr>
          <w:rFonts w:eastAsia="Times New Roman"/>
          <w:szCs w:val="28"/>
          <w:lang w:eastAsia="uk-UA"/>
        </w:rPr>
        <w:t>установ перинатальної допомоги</w:t>
      </w:r>
      <w:r w:rsidRPr="00107525">
        <w:rPr>
          <w:rFonts w:eastAsia="Times New Roman"/>
          <w:szCs w:val="28"/>
          <w:lang w:eastAsia="uk-UA"/>
        </w:rPr>
        <w:t xml:space="preserve"> </w:t>
      </w:r>
      <w:r>
        <w:rPr>
          <w:rFonts w:eastAsia="Times New Roman"/>
          <w:szCs w:val="28"/>
          <w:lang w:eastAsia="uk-UA"/>
        </w:rPr>
        <w:t xml:space="preserve">(19 індикаторів) </w:t>
      </w:r>
      <w:r w:rsidRPr="00107525">
        <w:rPr>
          <w:rFonts w:eastAsia="Times New Roman"/>
          <w:szCs w:val="28"/>
          <w:lang w:eastAsia="uk-UA"/>
        </w:rPr>
        <w:t xml:space="preserve">з їх нормативними значеннями </w:t>
      </w:r>
      <w:r>
        <w:rPr>
          <w:rFonts w:eastAsia="Times New Roman"/>
          <w:szCs w:val="28"/>
          <w:lang w:eastAsia="uk-UA"/>
        </w:rPr>
        <w:t>за даними</w:t>
      </w:r>
      <w:r w:rsidRPr="00107525">
        <w:rPr>
          <w:rFonts w:eastAsia="Times New Roman"/>
          <w:szCs w:val="28"/>
          <w:lang w:eastAsia="uk-UA"/>
        </w:rPr>
        <w:t xml:space="preserve"> фокус-інтерв’ювання 29 експертів</w:t>
      </w:r>
      <w:r w:rsidR="002A7879">
        <w:rPr>
          <w:rFonts w:eastAsia="Times New Roman"/>
          <w:szCs w:val="28"/>
          <w:lang w:eastAsia="uk-UA"/>
        </w:rPr>
        <w:t>, а також проведено</w:t>
      </w:r>
      <w:r w:rsidR="002A7879" w:rsidRPr="002A7879">
        <w:rPr>
          <w:rFonts w:eastAsia="Times New Roman"/>
          <w:szCs w:val="28"/>
          <w:lang w:val="ru-RU" w:eastAsia="uk-UA"/>
        </w:rPr>
        <w:t xml:space="preserve"> </w:t>
      </w:r>
      <w:r>
        <w:rPr>
          <w:rFonts w:eastAsia="Times New Roman"/>
          <w:szCs w:val="28"/>
          <w:lang w:eastAsia="uk-UA"/>
        </w:rPr>
        <w:t>апробацію</w:t>
      </w:r>
      <w:r w:rsidR="002A7879" w:rsidRPr="002A7879">
        <w:rPr>
          <w:rFonts w:eastAsia="Times New Roman"/>
          <w:szCs w:val="28"/>
          <w:lang w:val="ru-RU" w:eastAsia="uk-UA"/>
        </w:rPr>
        <w:t xml:space="preserve"> </w:t>
      </w:r>
      <w:r w:rsidR="002A7879">
        <w:rPr>
          <w:rFonts w:eastAsia="Times New Roman"/>
          <w:szCs w:val="28"/>
          <w:lang w:eastAsia="uk-UA"/>
        </w:rPr>
        <w:t>комплексної оцінки</w:t>
      </w:r>
      <w:r>
        <w:rPr>
          <w:rFonts w:eastAsia="Times New Roman"/>
          <w:szCs w:val="28"/>
          <w:lang w:eastAsia="uk-UA"/>
        </w:rPr>
        <w:t xml:space="preserve"> у закладах, згрупованих залежно від рівня надання перинатальної допомоги (первинного, вторинного та третинного);</w:t>
      </w:r>
    </w:p>
    <w:p w:rsidR="009F051C" w:rsidRPr="000D35DB" w:rsidRDefault="008E392D" w:rsidP="0074719A">
      <w:pPr>
        <w:pStyle w:val="a5"/>
        <w:widowControl w:val="0"/>
        <w:numPr>
          <w:ilvl w:val="0"/>
          <w:numId w:val="30"/>
        </w:numPr>
        <w:tabs>
          <w:tab w:val="left" w:pos="1276"/>
        </w:tabs>
        <w:ind w:left="0" w:firstLine="709"/>
        <w:rPr>
          <w:rFonts w:eastAsia="Times New Roman"/>
          <w:szCs w:val="28"/>
          <w:lang w:eastAsia="uk-UA"/>
        </w:rPr>
      </w:pPr>
      <w:r>
        <w:rPr>
          <w:rFonts w:eastAsia="Times New Roman"/>
          <w:szCs w:val="28"/>
          <w:lang w:eastAsia="uk-UA"/>
        </w:rPr>
        <w:t>обґрунтовано та</w:t>
      </w:r>
      <w:r w:rsidR="009F051C">
        <w:rPr>
          <w:rFonts w:eastAsia="Times New Roman"/>
          <w:szCs w:val="28"/>
          <w:lang w:eastAsia="uk-UA"/>
        </w:rPr>
        <w:t xml:space="preserve"> розроблено </w:t>
      </w:r>
      <w:r>
        <w:rPr>
          <w:rFonts w:eastAsia="Times New Roman"/>
          <w:szCs w:val="28"/>
          <w:lang w:eastAsia="uk-UA"/>
        </w:rPr>
        <w:t xml:space="preserve">інноваційну </w:t>
      </w:r>
      <w:r w:rsidR="009F051C" w:rsidRPr="00006A39">
        <w:rPr>
          <w:szCs w:val="28"/>
        </w:rPr>
        <w:t xml:space="preserve">систему </w:t>
      </w:r>
      <w:r>
        <w:rPr>
          <w:szCs w:val="28"/>
        </w:rPr>
        <w:t xml:space="preserve">медико-соціальної допомоги дітям </w:t>
      </w:r>
      <w:r w:rsidR="009F051C" w:rsidRPr="00006A39">
        <w:rPr>
          <w:szCs w:val="28"/>
        </w:rPr>
        <w:t>до 5 років в Україні з визначенням її основних структурних елементів та інтеграційно-логістичних зв’язків, а також дове</w:t>
      </w:r>
      <w:r w:rsidR="009F051C">
        <w:rPr>
          <w:szCs w:val="28"/>
        </w:rPr>
        <w:t xml:space="preserve">дено </w:t>
      </w:r>
      <w:r w:rsidR="009F051C" w:rsidRPr="00006A39">
        <w:rPr>
          <w:szCs w:val="28"/>
        </w:rPr>
        <w:t>ефективність запровадження окремих її інноваційних елементів</w:t>
      </w:r>
      <w:r w:rsidR="009F051C">
        <w:rPr>
          <w:szCs w:val="28"/>
        </w:rPr>
        <w:t xml:space="preserve"> на національному рівні.</w:t>
      </w:r>
    </w:p>
    <w:p w:rsidR="009F051C" w:rsidRPr="00006A39" w:rsidRDefault="009F051C" w:rsidP="009F051C">
      <w:pPr>
        <w:pStyle w:val="a5"/>
        <w:widowControl w:val="0"/>
        <w:tabs>
          <w:tab w:val="left" w:pos="1134"/>
        </w:tabs>
        <w:ind w:left="0" w:firstLine="708"/>
        <w:rPr>
          <w:szCs w:val="28"/>
        </w:rPr>
      </w:pPr>
      <w:r>
        <w:rPr>
          <w:szCs w:val="28"/>
        </w:rPr>
        <w:t xml:space="preserve">Встановлено </w:t>
      </w:r>
      <w:r w:rsidRPr="00006A39">
        <w:rPr>
          <w:szCs w:val="28"/>
        </w:rPr>
        <w:t xml:space="preserve">достовірне зниження за </w:t>
      </w:r>
      <w:r w:rsidR="00B313FB">
        <w:rPr>
          <w:szCs w:val="28"/>
        </w:rPr>
        <w:t>період спостереження</w:t>
      </w:r>
      <w:r w:rsidRPr="00006A39">
        <w:rPr>
          <w:szCs w:val="28"/>
        </w:rPr>
        <w:t xml:space="preserve"> показника смертності дітей віком до</w:t>
      </w:r>
      <w:r w:rsidR="00D34922">
        <w:rPr>
          <w:szCs w:val="28"/>
        </w:rPr>
        <w:t xml:space="preserve"> 5</w:t>
      </w:r>
      <w:r w:rsidR="00621F09">
        <w:rPr>
          <w:szCs w:val="28"/>
        </w:rPr>
        <w:t xml:space="preserve"> років життя з 9,3 до 8,3 </w:t>
      </w:r>
      <w:r w:rsidR="0095577D">
        <w:rPr>
          <w:szCs w:val="28"/>
        </w:rPr>
        <w:t>у</w:t>
      </w:r>
      <w:r w:rsidRPr="00006A39">
        <w:rPr>
          <w:szCs w:val="28"/>
        </w:rPr>
        <w:t xml:space="preserve"> розрахунку на 1000 дітей </w:t>
      </w:r>
      <w:r w:rsidRPr="00006A39">
        <w:rPr>
          <w:szCs w:val="28"/>
        </w:rPr>
        <w:lastRenderedPageBreak/>
        <w:t xml:space="preserve">відповідного віку (ВШ 0,79; р&lt;0,001), </w:t>
      </w:r>
      <w:r>
        <w:rPr>
          <w:szCs w:val="28"/>
        </w:rPr>
        <w:t xml:space="preserve">показника </w:t>
      </w:r>
      <w:r w:rsidRPr="00006A39">
        <w:rPr>
          <w:szCs w:val="28"/>
        </w:rPr>
        <w:t xml:space="preserve">малюкової смертності з </w:t>
      </w:r>
      <w:r w:rsidR="00A64279">
        <w:rPr>
          <w:szCs w:val="28"/>
        </w:rPr>
        <w:t xml:space="preserve">7,8 до 7,0 (ВШ 0,97, р=0,0002) </w:t>
      </w:r>
      <w:r w:rsidR="0095577D">
        <w:rPr>
          <w:szCs w:val="28"/>
        </w:rPr>
        <w:t>у</w:t>
      </w:r>
      <w:r w:rsidRPr="00006A39">
        <w:rPr>
          <w:szCs w:val="28"/>
        </w:rPr>
        <w:t xml:space="preserve"> розрахунку на 1000 відповідного віку, </w:t>
      </w:r>
      <w:r w:rsidRPr="00D97E77">
        <w:rPr>
          <w:color w:val="000000" w:themeColor="text1"/>
          <w:szCs w:val="28"/>
        </w:rPr>
        <w:t>показника DALYs у випадк</w:t>
      </w:r>
      <w:r w:rsidR="00D34922">
        <w:rPr>
          <w:color w:val="000000" w:themeColor="text1"/>
          <w:szCs w:val="28"/>
        </w:rPr>
        <w:t>у смертності дітей віком до 5</w:t>
      </w:r>
      <w:r w:rsidRPr="00D97E77">
        <w:rPr>
          <w:color w:val="000000" w:themeColor="text1"/>
          <w:szCs w:val="28"/>
        </w:rPr>
        <w:t xml:space="preserve"> років життя в Україні </w:t>
      </w:r>
      <w:r w:rsidRPr="00006A39">
        <w:rPr>
          <w:szCs w:val="28"/>
        </w:rPr>
        <w:t xml:space="preserve">за всіма причинами з </w:t>
      </w:r>
      <w:r w:rsidR="002D05FD" w:rsidRPr="003D1A2E">
        <w:rPr>
          <w:szCs w:val="28"/>
        </w:rPr>
        <w:t>21</w:t>
      </w:r>
      <w:r w:rsidR="002D05FD" w:rsidRPr="003D1A2E">
        <w:rPr>
          <w:szCs w:val="28"/>
          <w:lang w:val="en-US"/>
        </w:rPr>
        <w:t> </w:t>
      </w:r>
      <w:r w:rsidR="002D05FD" w:rsidRPr="003D1A2E">
        <w:rPr>
          <w:szCs w:val="28"/>
        </w:rPr>
        <w:t>673,59 до 17 185,91</w:t>
      </w:r>
      <w:r w:rsidRPr="003D1A2E">
        <w:rPr>
          <w:szCs w:val="28"/>
        </w:rPr>
        <w:t xml:space="preserve"> </w:t>
      </w:r>
      <w:r w:rsidR="006F4099">
        <w:rPr>
          <w:szCs w:val="28"/>
        </w:rPr>
        <w:t>втрачених років життя в</w:t>
      </w:r>
      <w:r w:rsidRPr="00006A39">
        <w:rPr>
          <w:szCs w:val="28"/>
        </w:rPr>
        <w:t xml:space="preserve"> розрахунку на 100 тис. осіб (р&lt;0,001)</w:t>
      </w:r>
      <w:r>
        <w:rPr>
          <w:szCs w:val="28"/>
        </w:rPr>
        <w:t xml:space="preserve"> на тлі сталих показників ранньої та пізньої неонатальної смертності. </w:t>
      </w:r>
      <w:r w:rsidRPr="00006A39">
        <w:rPr>
          <w:szCs w:val="28"/>
        </w:rPr>
        <w:t xml:space="preserve">Встановлено </w:t>
      </w:r>
      <w:r>
        <w:rPr>
          <w:szCs w:val="28"/>
        </w:rPr>
        <w:t>структурні, вікові, статеві та регіональні</w:t>
      </w:r>
      <w:r w:rsidRPr="00006A39">
        <w:rPr>
          <w:szCs w:val="28"/>
        </w:rPr>
        <w:t xml:space="preserve"> особливості показника смертності дітей віком до 5 років</w:t>
      </w:r>
      <w:r w:rsidR="00AB0F8A">
        <w:rPr>
          <w:szCs w:val="28"/>
        </w:rPr>
        <w:t xml:space="preserve"> </w:t>
      </w:r>
      <w:r w:rsidRPr="00006A39">
        <w:rPr>
          <w:szCs w:val="28"/>
        </w:rPr>
        <w:t>в Україні</w:t>
      </w:r>
      <w:r w:rsidR="00AB0F8A">
        <w:rPr>
          <w:szCs w:val="28"/>
        </w:rPr>
        <w:t xml:space="preserve"> </w:t>
      </w:r>
      <w:r w:rsidR="00AB0F8A" w:rsidRPr="00AB0F8A">
        <w:rPr>
          <w:szCs w:val="28"/>
        </w:rPr>
        <w:t>за час спостереження</w:t>
      </w:r>
      <w:r>
        <w:rPr>
          <w:szCs w:val="28"/>
        </w:rPr>
        <w:t>, зокрема</w:t>
      </w:r>
      <w:r w:rsidRPr="00006A39">
        <w:rPr>
          <w:szCs w:val="28"/>
        </w:rPr>
        <w:t xml:space="preserve">: </w:t>
      </w:r>
    </w:p>
    <w:p w:rsidR="009F051C" w:rsidRPr="00006A39" w:rsidRDefault="009F051C" w:rsidP="0074719A">
      <w:pPr>
        <w:pStyle w:val="a5"/>
        <w:widowControl w:val="0"/>
        <w:numPr>
          <w:ilvl w:val="0"/>
          <w:numId w:val="25"/>
        </w:numPr>
        <w:ind w:left="426"/>
        <w:rPr>
          <w:szCs w:val="28"/>
        </w:rPr>
      </w:pPr>
      <w:r w:rsidRPr="00006A39">
        <w:rPr>
          <w:szCs w:val="28"/>
        </w:rPr>
        <w:t>сталі статеві диспропорції, оскільки шанси хлопчиків померти у віці до 5 років залишаються вищи</w:t>
      </w:r>
      <w:r w:rsidR="0062195A">
        <w:rPr>
          <w:szCs w:val="28"/>
        </w:rPr>
        <w:t xml:space="preserve">ми за шанси дівчат (хлопчики за період спостереження: </w:t>
      </w:r>
      <w:r w:rsidRPr="00006A39">
        <w:rPr>
          <w:szCs w:val="28"/>
        </w:rPr>
        <w:t>ВШ</w:t>
      </w:r>
      <w:r w:rsidR="000147E1">
        <w:rPr>
          <w:lang w:val="en-US"/>
        </w:rPr>
        <w:t> </w:t>
      </w:r>
      <w:r w:rsidRPr="00006A39">
        <w:rPr>
          <w:szCs w:val="28"/>
        </w:rPr>
        <w:t>1,2, р&lt;</w:t>
      </w:r>
      <w:r w:rsidR="0062195A">
        <w:rPr>
          <w:szCs w:val="28"/>
        </w:rPr>
        <w:t xml:space="preserve">0,001 та </w:t>
      </w:r>
      <w:r w:rsidRPr="00006A39">
        <w:rPr>
          <w:szCs w:val="28"/>
        </w:rPr>
        <w:t xml:space="preserve">ВШ 1,27, р&lt;0,001); </w:t>
      </w:r>
    </w:p>
    <w:p w:rsidR="009F051C" w:rsidRPr="00006A39" w:rsidRDefault="009F051C" w:rsidP="0074719A">
      <w:pPr>
        <w:pStyle w:val="a5"/>
        <w:widowControl w:val="0"/>
        <w:numPr>
          <w:ilvl w:val="0"/>
          <w:numId w:val="25"/>
        </w:numPr>
        <w:ind w:left="426"/>
        <w:rPr>
          <w:szCs w:val="28"/>
        </w:rPr>
      </w:pPr>
      <w:r w:rsidRPr="00006A39">
        <w:rPr>
          <w:szCs w:val="28"/>
        </w:rPr>
        <w:t xml:space="preserve">наявні відмінності в структурі за місцем проживання та статтю, оскільки даний показник достовірно зменшився </w:t>
      </w:r>
      <w:r w:rsidR="0038328D" w:rsidRPr="0038328D">
        <w:rPr>
          <w:szCs w:val="28"/>
        </w:rPr>
        <w:t xml:space="preserve">як </w:t>
      </w:r>
      <w:r w:rsidRPr="00006A39">
        <w:rPr>
          <w:szCs w:val="28"/>
        </w:rPr>
        <w:t>серед хлопчиків сільської (ВШ 0,89 [95% ДІ 0,79-1,00], р=0,048), так і міської місцевості (ВШ 0,86 [95% ДІ 0,78-0,94], р=0,0008), проте залишились на тому ж самому рівні серед дівчат сільської місцевості (ВШ 1,01 [95% ДІ 0,89-1,15], р=0,816) та дівчат міської місцевості (ВШ 0,92 [95% ДІ 0,83-1,02], р=0,1007);</w:t>
      </w:r>
    </w:p>
    <w:p w:rsidR="009F051C" w:rsidRPr="00006A39" w:rsidRDefault="009F051C" w:rsidP="0074719A">
      <w:pPr>
        <w:pStyle w:val="a5"/>
        <w:widowControl w:val="0"/>
        <w:numPr>
          <w:ilvl w:val="0"/>
          <w:numId w:val="25"/>
        </w:numPr>
        <w:ind w:left="426"/>
        <w:rPr>
          <w:szCs w:val="28"/>
        </w:rPr>
      </w:pPr>
      <w:r w:rsidRPr="00006A39">
        <w:rPr>
          <w:szCs w:val="28"/>
        </w:rPr>
        <w:t>сталі регіональні диспропорції, оскільки міжквартильні інтервали вказаних показників не зменшуються (для показника смертності дітей віком до 5 років</w:t>
      </w:r>
      <w:r w:rsidR="00A15F81">
        <w:rPr>
          <w:szCs w:val="28"/>
        </w:rPr>
        <w:t xml:space="preserve"> – </w:t>
      </w:r>
      <w:r w:rsidR="00A15F81" w:rsidRPr="006D1AD5">
        <w:rPr>
          <w:szCs w:val="28"/>
        </w:rPr>
        <w:t xml:space="preserve">Ме </w:t>
      </w:r>
      <w:r w:rsidR="006D1AD5" w:rsidRPr="006D1AD5">
        <w:rPr>
          <w:szCs w:val="28"/>
        </w:rPr>
        <w:t>186,7</w:t>
      </w:r>
      <w:r w:rsidR="00A15F81" w:rsidRPr="006D1AD5">
        <w:rPr>
          <w:szCs w:val="28"/>
        </w:rPr>
        <w:t xml:space="preserve">; МКІ 40,6 </w:t>
      </w:r>
      <w:r w:rsidR="006D1AD5" w:rsidRPr="006D1AD5">
        <w:rPr>
          <w:szCs w:val="28"/>
        </w:rPr>
        <w:t>та Ме 151,5</w:t>
      </w:r>
      <w:r w:rsidR="00A64279">
        <w:rPr>
          <w:szCs w:val="28"/>
        </w:rPr>
        <w:t xml:space="preserve">; МКІ 40,4 </w:t>
      </w:r>
      <w:r w:rsidR="007961D0">
        <w:rPr>
          <w:szCs w:val="28"/>
        </w:rPr>
        <w:t>у</w:t>
      </w:r>
      <w:r w:rsidRPr="006D1AD5">
        <w:rPr>
          <w:szCs w:val="28"/>
        </w:rPr>
        <w:t xml:space="preserve"> </w:t>
      </w:r>
      <w:r w:rsidRPr="00006A39">
        <w:rPr>
          <w:color w:val="000000" w:themeColor="text1"/>
          <w:szCs w:val="28"/>
        </w:rPr>
        <w:t>розрахунку на 100 тис. відповідного віку</w:t>
      </w:r>
      <w:r w:rsidRPr="00006A39">
        <w:rPr>
          <w:szCs w:val="28"/>
        </w:rPr>
        <w:t xml:space="preserve"> і для малюкової смертності – Ме 7,59; МКІ 1,47 та М</w:t>
      </w:r>
      <w:r w:rsidR="00A64279">
        <w:rPr>
          <w:szCs w:val="28"/>
        </w:rPr>
        <w:t xml:space="preserve">е 7,0; МКІ 1,7 </w:t>
      </w:r>
      <w:r w:rsidR="007961D0">
        <w:rPr>
          <w:szCs w:val="28"/>
        </w:rPr>
        <w:t>у</w:t>
      </w:r>
      <w:r w:rsidRPr="00006A39">
        <w:rPr>
          <w:szCs w:val="28"/>
        </w:rPr>
        <w:t xml:space="preserve"> розрахунку на 1000 народжених живими); </w:t>
      </w:r>
    </w:p>
    <w:p w:rsidR="009F051C" w:rsidRDefault="00983967" w:rsidP="0074719A">
      <w:pPr>
        <w:pStyle w:val="a5"/>
        <w:widowControl w:val="0"/>
        <w:numPr>
          <w:ilvl w:val="0"/>
          <w:numId w:val="25"/>
        </w:numPr>
        <w:ind w:left="426"/>
        <w:rPr>
          <w:szCs w:val="28"/>
        </w:rPr>
      </w:pPr>
      <w:r>
        <w:rPr>
          <w:szCs w:val="28"/>
        </w:rPr>
        <w:t>незмінну причинну</w:t>
      </w:r>
      <w:r w:rsidR="009F051C" w:rsidRPr="00006A39">
        <w:rPr>
          <w:szCs w:val="28"/>
        </w:rPr>
        <w:t xml:space="preserve"> с</w:t>
      </w:r>
      <w:r w:rsidR="00CC5EEA">
        <w:rPr>
          <w:szCs w:val="28"/>
        </w:rPr>
        <w:t>труктур</w:t>
      </w:r>
      <w:r w:rsidR="00CC5EEA" w:rsidRPr="00CC5EEA">
        <w:rPr>
          <w:szCs w:val="28"/>
        </w:rPr>
        <w:t>у</w:t>
      </w:r>
      <w:r w:rsidR="009F051C" w:rsidRPr="00006A39">
        <w:rPr>
          <w:szCs w:val="28"/>
        </w:rPr>
        <w:t xml:space="preserve"> як показника смертності дітей віком до 5 років, так і показника малюкової смертності, оскільки перші три рейти</w:t>
      </w:r>
      <w:r w:rsidR="00C96CB2">
        <w:rPr>
          <w:szCs w:val="28"/>
        </w:rPr>
        <w:t>нгові місця залишаються сталими</w:t>
      </w:r>
      <w:r w:rsidR="009F051C" w:rsidRPr="00006A39">
        <w:rPr>
          <w:szCs w:val="28"/>
        </w:rPr>
        <w:t xml:space="preserve"> для показника сме</w:t>
      </w:r>
      <w:r w:rsidR="00C96CB2">
        <w:rPr>
          <w:szCs w:val="28"/>
        </w:rPr>
        <w:t>ртності дітей віком до 5 років:</w:t>
      </w:r>
      <w:r w:rsidR="009F051C" w:rsidRPr="00006A39">
        <w:rPr>
          <w:szCs w:val="28"/>
        </w:rPr>
        <w:t xml:space="preserve"> розлади у матері, що пов’язані з вагітністю, та неонатальні розлади 62,03 (95% ДІ 46,88-77,66), </w:t>
      </w:r>
      <w:r w:rsidR="009F051C">
        <w:rPr>
          <w:szCs w:val="28"/>
        </w:rPr>
        <w:t>і</w:t>
      </w:r>
      <w:r w:rsidR="009F051C" w:rsidRPr="00006A39">
        <w:rPr>
          <w:szCs w:val="28"/>
        </w:rPr>
        <w:t>нші неінфекційні хвороби 52,32 (95% ДІ 41,53-71,75) та ненавмисні травми 16,17 (95% ДІ 13,01-19,44)</w:t>
      </w:r>
      <w:r w:rsidR="009F051C">
        <w:rPr>
          <w:szCs w:val="28"/>
        </w:rPr>
        <w:t>;</w:t>
      </w:r>
    </w:p>
    <w:p w:rsidR="009F051C" w:rsidRPr="00006A39" w:rsidRDefault="00C3079A" w:rsidP="0074719A">
      <w:pPr>
        <w:pStyle w:val="a5"/>
        <w:widowControl w:val="0"/>
        <w:numPr>
          <w:ilvl w:val="0"/>
          <w:numId w:val="25"/>
        </w:numPr>
        <w:ind w:left="426"/>
        <w:rPr>
          <w:szCs w:val="28"/>
        </w:rPr>
      </w:pPr>
      <w:r w:rsidRPr="00C3079A">
        <w:rPr>
          <w:rFonts w:eastAsia="Calibri"/>
          <w:szCs w:val="28"/>
        </w:rPr>
        <w:t>відсутність динаміки у частках дітей віком до 1-го року життя</w:t>
      </w:r>
      <w:r>
        <w:rPr>
          <w:rFonts w:eastAsia="Calibri"/>
          <w:szCs w:val="28"/>
        </w:rPr>
        <w:t>, які помирають поза стаціонару</w:t>
      </w:r>
      <w:r w:rsidR="009F051C" w:rsidRPr="00006A39">
        <w:rPr>
          <w:rFonts w:eastAsia="Calibri"/>
          <w:szCs w:val="28"/>
        </w:rPr>
        <w:t>,</w:t>
      </w:r>
      <w:r w:rsidR="009F051C">
        <w:rPr>
          <w:rFonts w:eastAsia="Calibri"/>
          <w:szCs w:val="28"/>
        </w:rPr>
        <w:t xml:space="preserve"> у загальній кількост</w:t>
      </w:r>
      <w:r w:rsidR="00CC5EEA">
        <w:rPr>
          <w:rFonts w:eastAsia="Calibri"/>
          <w:szCs w:val="28"/>
        </w:rPr>
        <w:t xml:space="preserve">і </w:t>
      </w:r>
      <w:r w:rsidR="009F051C" w:rsidRPr="00006A39">
        <w:rPr>
          <w:rFonts w:eastAsia="Calibri"/>
          <w:szCs w:val="28"/>
        </w:rPr>
        <w:t>померлих дітей, які перебували під наглядом дитячих поліклінічних закладі</w:t>
      </w:r>
      <w:r w:rsidR="00D05647">
        <w:rPr>
          <w:rFonts w:eastAsia="Calibri"/>
          <w:szCs w:val="28"/>
        </w:rPr>
        <w:t xml:space="preserve">в сфери управління МОЗ України </w:t>
      </w:r>
      <w:r w:rsidR="00D05647" w:rsidRPr="00D05647">
        <w:rPr>
          <w:rFonts w:eastAsia="Calibri"/>
          <w:szCs w:val="28"/>
        </w:rPr>
        <w:lastRenderedPageBreak/>
        <w:t>(40,94% та 43,8%, р=0,409),</w:t>
      </w:r>
      <w:r w:rsidR="009F051C" w:rsidRPr="00400338">
        <w:rPr>
          <w:rFonts w:eastAsia="Calibri"/>
          <w:szCs w:val="28"/>
        </w:rPr>
        <w:t xml:space="preserve"> </w:t>
      </w:r>
      <w:r w:rsidR="009F051C" w:rsidRPr="00006A39">
        <w:rPr>
          <w:rFonts w:eastAsia="Calibri"/>
          <w:szCs w:val="28"/>
        </w:rPr>
        <w:t>на тлі</w:t>
      </w:r>
      <w:r w:rsidR="009F051C" w:rsidRPr="00400338">
        <w:rPr>
          <w:rFonts w:eastAsia="Calibri"/>
          <w:szCs w:val="28"/>
        </w:rPr>
        <w:t xml:space="preserve"> </w:t>
      </w:r>
      <w:r w:rsidR="009F051C" w:rsidRPr="00006A39">
        <w:rPr>
          <w:rFonts w:eastAsia="Calibri"/>
          <w:szCs w:val="28"/>
        </w:rPr>
        <w:t>достовірн</w:t>
      </w:r>
      <w:r w:rsidR="009F051C">
        <w:rPr>
          <w:rFonts w:eastAsia="Calibri"/>
          <w:szCs w:val="28"/>
        </w:rPr>
        <w:t>ого</w:t>
      </w:r>
      <w:r w:rsidR="00356B73">
        <w:rPr>
          <w:rFonts w:eastAsia="Calibri"/>
          <w:szCs w:val="28"/>
        </w:rPr>
        <w:t xml:space="preserve"> зниження за 20</w:t>
      </w:r>
      <w:r w:rsidR="00356B73" w:rsidRPr="00356B73">
        <w:rPr>
          <w:rFonts w:eastAsia="Calibri"/>
          <w:szCs w:val="28"/>
        </w:rPr>
        <w:t>09</w:t>
      </w:r>
      <w:r w:rsidR="009F051C" w:rsidRPr="00006A39">
        <w:rPr>
          <w:rFonts w:eastAsia="Calibri"/>
          <w:szCs w:val="28"/>
        </w:rPr>
        <w:t>-2018 рр. показника смертності поза стаціонаром дітей віком до 1</w:t>
      </w:r>
      <w:r w:rsidR="00EE03A7">
        <w:rPr>
          <w:rFonts w:eastAsia="Calibri"/>
          <w:szCs w:val="28"/>
        </w:rPr>
        <w:t xml:space="preserve">-го року життя, з 1,36 до 0,89 </w:t>
      </w:r>
      <w:r w:rsidR="0024097E">
        <w:rPr>
          <w:rFonts w:eastAsia="Calibri"/>
          <w:szCs w:val="28"/>
        </w:rPr>
        <w:t>у</w:t>
      </w:r>
      <w:r w:rsidR="009F051C" w:rsidRPr="00006A39">
        <w:rPr>
          <w:rFonts w:eastAsia="Calibri"/>
          <w:szCs w:val="28"/>
        </w:rPr>
        <w:t xml:space="preserve"> розрахунку на 1000 дітей відповідного віку (ВШ 0,77 (95% ДІ 0</w:t>
      </w:r>
      <w:r w:rsidR="00BF7CB1">
        <w:rPr>
          <w:rFonts w:eastAsia="Calibri"/>
          <w:szCs w:val="28"/>
        </w:rPr>
        <w:t>,</w:t>
      </w:r>
      <w:r w:rsidR="009F051C" w:rsidRPr="00006A39">
        <w:rPr>
          <w:rFonts w:eastAsia="Calibri"/>
          <w:szCs w:val="28"/>
        </w:rPr>
        <w:t xml:space="preserve">67-0,89, р&lt;0,001), </w:t>
      </w:r>
      <w:r w:rsidR="009F051C">
        <w:rPr>
          <w:rFonts w:eastAsia="Calibri"/>
          <w:szCs w:val="28"/>
        </w:rPr>
        <w:t>збереженні</w:t>
      </w:r>
      <w:r w:rsidR="009F051C" w:rsidRPr="00006A39">
        <w:rPr>
          <w:rFonts w:eastAsia="Calibri"/>
          <w:szCs w:val="28"/>
        </w:rPr>
        <w:t xml:space="preserve"> суттєв</w:t>
      </w:r>
      <w:r w:rsidR="009F051C">
        <w:rPr>
          <w:rFonts w:eastAsia="Calibri"/>
          <w:szCs w:val="28"/>
        </w:rPr>
        <w:t>их</w:t>
      </w:r>
      <w:r w:rsidR="009F051C" w:rsidRPr="00006A39">
        <w:rPr>
          <w:rFonts w:eastAsia="Calibri"/>
          <w:szCs w:val="28"/>
        </w:rPr>
        <w:t xml:space="preserve"> варіаці</w:t>
      </w:r>
      <w:r w:rsidR="009F051C">
        <w:rPr>
          <w:rFonts w:eastAsia="Calibri"/>
          <w:szCs w:val="28"/>
        </w:rPr>
        <w:t>й</w:t>
      </w:r>
      <w:r w:rsidR="009F051C" w:rsidRPr="00006A39">
        <w:rPr>
          <w:rFonts w:eastAsia="Calibri"/>
          <w:szCs w:val="28"/>
        </w:rPr>
        <w:t xml:space="preserve"> даного показника за окремими адміністративними територіями (відповідні МКІ 0,7 та 0,74)</w:t>
      </w:r>
      <w:r w:rsidR="009F051C">
        <w:rPr>
          <w:rFonts w:eastAsia="Calibri"/>
          <w:szCs w:val="28"/>
        </w:rPr>
        <w:t xml:space="preserve"> та його</w:t>
      </w:r>
      <w:r w:rsidR="009F051C" w:rsidRPr="00006A39">
        <w:rPr>
          <w:rFonts w:eastAsia="Calibri"/>
          <w:szCs w:val="28"/>
        </w:rPr>
        <w:t xml:space="preserve"> причинн</w:t>
      </w:r>
      <w:r w:rsidR="009F051C">
        <w:rPr>
          <w:rFonts w:eastAsia="Calibri"/>
          <w:szCs w:val="28"/>
        </w:rPr>
        <w:t>ої</w:t>
      </w:r>
      <w:r w:rsidR="009F051C" w:rsidRPr="00006A39">
        <w:rPr>
          <w:rFonts w:eastAsia="Calibri"/>
          <w:szCs w:val="28"/>
        </w:rPr>
        <w:t xml:space="preserve"> структур</w:t>
      </w:r>
      <w:r w:rsidR="009F051C">
        <w:rPr>
          <w:rFonts w:eastAsia="Calibri"/>
          <w:szCs w:val="28"/>
        </w:rPr>
        <w:t>и</w:t>
      </w:r>
      <w:r w:rsidR="009F051C" w:rsidRPr="00006A39">
        <w:rPr>
          <w:rFonts w:eastAsia="Calibri"/>
          <w:szCs w:val="28"/>
        </w:rPr>
        <w:t xml:space="preserve"> (перші рейтингові місця: травми, отруєння та деякі інші наслідки дії зовнішніх причин (І місце), симптоми, ознаки та відхилення від норми (ІІ місце), хвороби органів дихання (ІІІ місце)</w:t>
      </w:r>
      <w:r w:rsidR="009F051C">
        <w:rPr>
          <w:rFonts w:eastAsia="Calibri"/>
          <w:szCs w:val="28"/>
        </w:rPr>
        <w:t>.</w:t>
      </w:r>
    </w:p>
    <w:p w:rsidR="009F051C" w:rsidRDefault="009F051C" w:rsidP="009F051C">
      <w:pPr>
        <w:pStyle w:val="a5"/>
        <w:widowControl w:val="0"/>
        <w:tabs>
          <w:tab w:val="left" w:pos="1276"/>
        </w:tabs>
        <w:ind w:left="0" w:firstLine="709"/>
        <w:rPr>
          <w:rFonts w:eastAsia="Calibri"/>
          <w:szCs w:val="28"/>
        </w:rPr>
      </w:pPr>
      <w:r>
        <w:rPr>
          <w:rFonts w:eastAsia="Times New Roman"/>
          <w:szCs w:val="28"/>
          <w:lang w:eastAsia="uk-UA"/>
        </w:rPr>
        <w:t xml:space="preserve">Виявлено </w:t>
      </w:r>
      <w:r w:rsidRPr="00006A39">
        <w:rPr>
          <w:rFonts w:eastAsia="Calibri"/>
          <w:szCs w:val="28"/>
        </w:rPr>
        <w:t xml:space="preserve">достовірне зниження за </w:t>
      </w:r>
      <w:r w:rsidR="003A45DF" w:rsidRPr="003A45DF">
        <w:rPr>
          <w:rFonts w:eastAsia="Calibri"/>
          <w:szCs w:val="28"/>
        </w:rPr>
        <w:t xml:space="preserve">період дослідження </w:t>
      </w:r>
      <w:r w:rsidRPr="00006A39">
        <w:rPr>
          <w:rFonts w:eastAsia="Calibri"/>
          <w:szCs w:val="28"/>
        </w:rPr>
        <w:t xml:space="preserve">показника захворюваності дітей віком </w:t>
      </w:r>
      <w:r w:rsidR="00A64279">
        <w:rPr>
          <w:rFonts w:eastAsia="Calibri"/>
          <w:szCs w:val="28"/>
        </w:rPr>
        <w:t xml:space="preserve">0-6 років з 1545,44 до 1455,94 </w:t>
      </w:r>
      <w:r w:rsidR="0024097E">
        <w:rPr>
          <w:rFonts w:eastAsia="Calibri"/>
          <w:szCs w:val="28"/>
        </w:rPr>
        <w:t>у</w:t>
      </w:r>
      <w:r w:rsidRPr="00006A39">
        <w:rPr>
          <w:rFonts w:eastAsia="Calibri"/>
          <w:szCs w:val="28"/>
        </w:rPr>
        <w:t xml:space="preserve"> розрахунку на 1000 дітей відповідного віку (р&lt;0,001) поряд зі </w:t>
      </w:r>
      <w:r w:rsidRPr="00006A39">
        <w:rPr>
          <w:rFonts w:eastAsia="Times New Roman"/>
          <w:szCs w:val="28"/>
          <w:lang w:eastAsia="ru-RU"/>
        </w:rPr>
        <w:t xml:space="preserve">зростанням рівня </w:t>
      </w:r>
      <w:r w:rsidR="00161964">
        <w:rPr>
          <w:rFonts w:eastAsia="Times New Roman"/>
          <w:szCs w:val="28"/>
          <w:lang w:eastAsia="ru-RU"/>
        </w:rPr>
        <w:t>народження хворими і захворілих</w:t>
      </w:r>
      <w:r w:rsidRPr="00006A39">
        <w:rPr>
          <w:rFonts w:eastAsia="Times New Roman"/>
          <w:szCs w:val="28"/>
          <w:lang w:eastAsia="ru-RU"/>
        </w:rPr>
        <w:t xml:space="preserve"> новонароджених на 10,5%</w:t>
      </w:r>
      <w:r w:rsidRPr="00006A39">
        <w:rPr>
          <w:szCs w:val="28"/>
        </w:rPr>
        <w:t xml:space="preserve"> (з 149,4‰ до 165,59‰); </w:t>
      </w:r>
      <w:r w:rsidRPr="00006A39">
        <w:rPr>
          <w:rFonts w:eastAsia="Calibri"/>
          <w:szCs w:val="28"/>
        </w:rPr>
        <w:t xml:space="preserve">зменшення </w:t>
      </w:r>
      <w:r>
        <w:rPr>
          <w:rFonts w:eastAsia="Calibri"/>
          <w:szCs w:val="28"/>
        </w:rPr>
        <w:t xml:space="preserve">показника захворюваності </w:t>
      </w:r>
      <w:r w:rsidRPr="00006A39">
        <w:rPr>
          <w:rFonts w:eastAsia="Calibri"/>
          <w:szCs w:val="28"/>
        </w:rPr>
        <w:t>за класами: розлади психіки та поведінки (ВШ 0,774, р&lt;0,001), хвороби систему кровообігу (ВШ 0,736, р&lt;0,001]) та деякі інфекційні та паразитарні хвороби (ВШ 0,818, р&lt;0,001)</w:t>
      </w:r>
      <w:r>
        <w:rPr>
          <w:rFonts w:eastAsia="Calibri"/>
          <w:szCs w:val="28"/>
        </w:rPr>
        <w:t xml:space="preserve"> та </w:t>
      </w:r>
      <w:r w:rsidRPr="00006A39">
        <w:rPr>
          <w:rFonts w:eastAsia="Calibri"/>
          <w:szCs w:val="28"/>
        </w:rPr>
        <w:t>збільшення показника захворюваності за класом «симптоми, ознаки та відхилення від норми, що виявлені при клінічних та лабораторних дослідженнях, не класифіковані в інших рубриках» (ВШ 1,055 [95%</w:t>
      </w:r>
      <w:r w:rsidR="00900AF5">
        <w:t> </w:t>
      </w:r>
      <w:r w:rsidRPr="00006A39">
        <w:rPr>
          <w:rFonts w:eastAsia="Calibri"/>
          <w:szCs w:val="28"/>
        </w:rPr>
        <w:t>ДІ 1,023-1,088], р=0005)</w:t>
      </w:r>
      <w:r>
        <w:rPr>
          <w:rFonts w:eastAsia="Calibri"/>
          <w:szCs w:val="28"/>
        </w:rPr>
        <w:t xml:space="preserve">, тобто станами, які опосередковано можуть свідчити про недостатню діагностику і, відповідно, виявлення хвороб. Підтвердженням цьому може бути й отриманий </w:t>
      </w:r>
      <w:r w:rsidRPr="00006A39">
        <w:rPr>
          <w:rFonts w:eastAsia="Calibri"/>
          <w:szCs w:val="28"/>
        </w:rPr>
        <w:t xml:space="preserve">негативний достовірний зв’язок між показником захворюваності та показником смертності дітей </w:t>
      </w:r>
      <w:r>
        <w:rPr>
          <w:rFonts w:eastAsia="Calibri"/>
          <w:szCs w:val="28"/>
        </w:rPr>
        <w:t>вікової категорії до 5 років</w:t>
      </w:r>
      <w:r w:rsidR="00102B3F">
        <w:rPr>
          <w:rFonts w:eastAsia="Calibri"/>
          <w:szCs w:val="28"/>
        </w:rPr>
        <w:t xml:space="preserve"> за регресією Пуассона (</w:t>
      </w:r>
      <w:r w:rsidR="00432EF0" w:rsidRPr="00432EF0">
        <w:rPr>
          <w:rFonts w:eastAsia="Calibri"/>
          <w:szCs w:val="28"/>
          <w:lang w:val="en-US"/>
        </w:rPr>
        <w:t>Coef</w:t>
      </w:r>
      <w:r w:rsidR="00432EF0" w:rsidRPr="00432EF0">
        <w:rPr>
          <w:rFonts w:eastAsia="Calibri"/>
          <w:szCs w:val="28"/>
        </w:rPr>
        <w:t>.</w:t>
      </w:r>
      <w:r w:rsidR="00102B3F" w:rsidRPr="00102B3F">
        <w:rPr>
          <w:rFonts w:eastAsia="Calibri"/>
          <w:szCs w:val="28"/>
        </w:rPr>
        <w:t xml:space="preserve"> </w:t>
      </w:r>
      <w:r w:rsidRPr="00006A39">
        <w:rPr>
          <w:rFonts w:eastAsia="Calibri"/>
          <w:szCs w:val="28"/>
        </w:rPr>
        <w:t>-0.000438, р&lt;0,001)</w:t>
      </w:r>
      <w:r>
        <w:rPr>
          <w:rFonts w:eastAsia="Calibri"/>
          <w:szCs w:val="28"/>
        </w:rPr>
        <w:t xml:space="preserve"> за окремими адміністративними територіями, оскільки вищий рівень смертності асоціюється з нижчим рівнем з</w:t>
      </w:r>
      <w:r w:rsidR="002A6C74">
        <w:rPr>
          <w:rFonts w:eastAsia="Calibri"/>
          <w:szCs w:val="28"/>
        </w:rPr>
        <w:t>ахворюваності, що дає підстави вважати</w:t>
      </w:r>
      <w:r>
        <w:rPr>
          <w:rFonts w:eastAsia="Calibri"/>
          <w:szCs w:val="28"/>
        </w:rPr>
        <w:t xml:space="preserve"> </w:t>
      </w:r>
      <w:r w:rsidR="002A6C74" w:rsidRPr="002A6C74">
        <w:rPr>
          <w:rFonts w:eastAsia="Calibri"/>
          <w:szCs w:val="28"/>
        </w:rPr>
        <w:t xml:space="preserve">низьким </w:t>
      </w:r>
      <w:r>
        <w:rPr>
          <w:rFonts w:eastAsia="Calibri"/>
          <w:szCs w:val="28"/>
        </w:rPr>
        <w:t>виявлення захворювань серед дітей віком до 5 років</w:t>
      </w:r>
      <w:r w:rsidR="00D101E9" w:rsidRPr="00D101E9">
        <w:rPr>
          <w:rFonts w:eastAsia="Calibri"/>
          <w:szCs w:val="28"/>
        </w:rPr>
        <w:t xml:space="preserve"> життя</w:t>
      </w:r>
      <w:r>
        <w:rPr>
          <w:rFonts w:eastAsia="Calibri"/>
          <w:szCs w:val="28"/>
        </w:rPr>
        <w:t>.</w:t>
      </w:r>
    </w:p>
    <w:p w:rsidR="00023206" w:rsidRPr="00BF2934" w:rsidRDefault="009F051C" w:rsidP="009F051C">
      <w:pPr>
        <w:pStyle w:val="a5"/>
        <w:widowControl w:val="0"/>
        <w:tabs>
          <w:tab w:val="left" w:pos="1276"/>
        </w:tabs>
        <w:ind w:left="0" w:firstLine="709"/>
        <w:rPr>
          <w:rFonts w:eastAsia="Times New Roman"/>
          <w:color w:val="FF0000"/>
          <w:szCs w:val="28"/>
          <w:lang w:eastAsia="uk-UA"/>
        </w:rPr>
      </w:pPr>
      <w:r>
        <w:rPr>
          <w:rFonts w:eastAsia="Times New Roman"/>
          <w:szCs w:val="28"/>
          <w:lang w:eastAsia="uk-UA"/>
        </w:rPr>
        <w:t>Порівняльний аналіз показників смертності та захворюваності дітей вікової групи до 5 років виявив значні їх відмінності від аналогічних показників референтних країн. Якщо показник см</w:t>
      </w:r>
      <w:r w:rsidR="00D80E1A">
        <w:rPr>
          <w:rFonts w:eastAsia="Times New Roman"/>
          <w:szCs w:val="28"/>
          <w:lang w:eastAsia="uk-UA"/>
        </w:rPr>
        <w:t>ертності у 2019 р. в Україні (163,35 на 100 тис. відповідного населення</w:t>
      </w:r>
      <w:r>
        <w:rPr>
          <w:rFonts w:eastAsia="Times New Roman"/>
          <w:szCs w:val="28"/>
          <w:lang w:eastAsia="uk-UA"/>
        </w:rPr>
        <w:t>) вияв</w:t>
      </w:r>
      <w:r w:rsidR="00B11562">
        <w:rPr>
          <w:rFonts w:eastAsia="Times New Roman"/>
          <w:szCs w:val="28"/>
          <w:lang w:eastAsia="uk-UA"/>
        </w:rPr>
        <w:t xml:space="preserve">ився найвищим відносно </w:t>
      </w:r>
      <w:r>
        <w:rPr>
          <w:rFonts w:eastAsia="Times New Roman"/>
          <w:szCs w:val="28"/>
          <w:lang w:eastAsia="uk-UA"/>
        </w:rPr>
        <w:t xml:space="preserve"> Німеччини, Англії та Іспанії</w:t>
      </w:r>
      <w:r w:rsidR="00F40675">
        <w:rPr>
          <w:rFonts w:eastAsia="Times New Roman"/>
          <w:szCs w:val="28"/>
          <w:lang w:eastAsia="uk-UA"/>
        </w:rPr>
        <w:t xml:space="preserve"> тощо</w:t>
      </w:r>
      <w:r>
        <w:rPr>
          <w:rFonts w:eastAsia="Times New Roman"/>
          <w:szCs w:val="28"/>
          <w:lang w:eastAsia="uk-UA"/>
        </w:rPr>
        <w:t>, то показник захвор</w:t>
      </w:r>
      <w:r w:rsidR="001A1FD2">
        <w:rPr>
          <w:rFonts w:eastAsia="Times New Roman"/>
          <w:szCs w:val="28"/>
          <w:lang w:eastAsia="uk-UA"/>
        </w:rPr>
        <w:t>юваності – значно нижчим за аналогічний</w:t>
      </w:r>
      <w:r w:rsidR="00617B30">
        <w:rPr>
          <w:rFonts w:eastAsia="Times New Roman"/>
          <w:szCs w:val="28"/>
          <w:lang w:eastAsia="uk-UA"/>
        </w:rPr>
        <w:t xml:space="preserve"> показник у</w:t>
      </w:r>
      <w:r>
        <w:rPr>
          <w:rFonts w:eastAsia="Times New Roman"/>
          <w:szCs w:val="28"/>
          <w:lang w:eastAsia="uk-UA"/>
        </w:rPr>
        <w:t xml:space="preserve"> </w:t>
      </w:r>
      <w:r>
        <w:rPr>
          <w:rFonts w:eastAsia="Times New Roman"/>
          <w:szCs w:val="28"/>
          <w:lang w:eastAsia="uk-UA"/>
        </w:rPr>
        <w:lastRenderedPageBreak/>
        <w:t>референтних країнах, щ</w:t>
      </w:r>
      <w:r w:rsidR="009301AA">
        <w:rPr>
          <w:rFonts w:eastAsia="Times New Roman"/>
          <w:szCs w:val="28"/>
          <w:lang w:eastAsia="uk-UA"/>
        </w:rPr>
        <w:t>о підтверджує думку щодо низько</w:t>
      </w:r>
      <w:r w:rsidR="009301AA" w:rsidRPr="009301AA">
        <w:rPr>
          <w:rFonts w:eastAsia="Times New Roman"/>
          <w:szCs w:val="28"/>
          <w:lang w:eastAsia="uk-UA"/>
        </w:rPr>
        <w:t>го</w:t>
      </w:r>
      <w:r w:rsidR="009301AA">
        <w:rPr>
          <w:rFonts w:eastAsia="Times New Roman"/>
          <w:szCs w:val="28"/>
          <w:lang w:eastAsia="uk-UA"/>
        </w:rPr>
        <w:t xml:space="preserve"> виявл</w:t>
      </w:r>
      <w:r w:rsidR="009301AA" w:rsidRPr="009301AA">
        <w:rPr>
          <w:rFonts w:eastAsia="Times New Roman"/>
          <w:szCs w:val="28"/>
          <w:lang w:eastAsia="uk-UA"/>
        </w:rPr>
        <w:t>ення</w:t>
      </w:r>
      <w:r>
        <w:rPr>
          <w:rFonts w:eastAsia="Times New Roman"/>
          <w:szCs w:val="28"/>
          <w:lang w:eastAsia="uk-UA"/>
        </w:rPr>
        <w:t xml:space="preserve"> захворювань і, відповідно, що може бути прихованим ризиком підвищення смертності дітей віком до 5 років</w:t>
      </w:r>
      <w:r w:rsidR="007C5502" w:rsidRPr="007C5502">
        <w:rPr>
          <w:rFonts w:eastAsia="Times New Roman"/>
          <w:szCs w:val="28"/>
          <w:lang w:eastAsia="uk-UA"/>
        </w:rPr>
        <w:t xml:space="preserve"> життя</w:t>
      </w:r>
      <w:r>
        <w:rPr>
          <w:rFonts w:eastAsia="Times New Roman"/>
          <w:szCs w:val="28"/>
          <w:lang w:eastAsia="uk-UA"/>
        </w:rPr>
        <w:t xml:space="preserve">. </w:t>
      </w:r>
    </w:p>
    <w:p w:rsidR="009F051C" w:rsidRDefault="009F051C" w:rsidP="009F051C">
      <w:pPr>
        <w:pStyle w:val="a5"/>
        <w:widowControl w:val="0"/>
        <w:tabs>
          <w:tab w:val="left" w:pos="1276"/>
        </w:tabs>
        <w:ind w:left="0" w:firstLine="709"/>
      </w:pPr>
      <w:r>
        <w:rPr>
          <w:rFonts w:eastAsia="Times New Roman"/>
          <w:szCs w:val="28"/>
          <w:lang w:eastAsia="ru-RU"/>
        </w:rPr>
        <w:t xml:space="preserve">Показано, що </w:t>
      </w:r>
      <w:r w:rsidRPr="00006A39">
        <w:rPr>
          <w:rFonts w:eastAsia="Times New Roman"/>
          <w:szCs w:val="28"/>
          <w:lang w:eastAsia="ru-RU"/>
        </w:rPr>
        <w:t xml:space="preserve">на тлі скорочення </w:t>
      </w:r>
      <w:r w:rsidRPr="00006A39">
        <w:rPr>
          <w:szCs w:val="28"/>
        </w:rPr>
        <w:t>кількості дитячих стаціонарних ліжок цілодобового спостереження на</w:t>
      </w:r>
      <w:r w:rsidR="00DC234E">
        <w:rPr>
          <w:szCs w:val="28"/>
        </w:rPr>
        <w:t xml:space="preserve"> 21,5% (з 51382 ліжка у 2013 р.</w:t>
      </w:r>
      <w:r w:rsidRPr="00006A39">
        <w:rPr>
          <w:szCs w:val="28"/>
        </w:rPr>
        <w:t xml:space="preserve"> до 40312 у 2018 р.) за більшістю профілями її надання</w:t>
      </w:r>
      <w:r>
        <w:rPr>
          <w:szCs w:val="28"/>
        </w:rPr>
        <w:t xml:space="preserve"> відмічається</w:t>
      </w:r>
      <w:r w:rsidRPr="00006A39">
        <w:rPr>
          <w:szCs w:val="28"/>
        </w:rPr>
        <w:t xml:space="preserve"> стал</w:t>
      </w:r>
      <w:r>
        <w:rPr>
          <w:szCs w:val="28"/>
        </w:rPr>
        <w:t>а</w:t>
      </w:r>
      <w:r w:rsidRPr="00006A39">
        <w:rPr>
          <w:szCs w:val="28"/>
        </w:rPr>
        <w:t xml:space="preserve"> інтенсивн</w:t>
      </w:r>
      <w:r>
        <w:rPr>
          <w:szCs w:val="28"/>
        </w:rPr>
        <w:t>і</w:t>
      </w:r>
      <w:r w:rsidRPr="00006A39">
        <w:rPr>
          <w:szCs w:val="28"/>
        </w:rPr>
        <w:t>ст</w:t>
      </w:r>
      <w:r>
        <w:rPr>
          <w:szCs w:val="28"/>
        </w:rPr>
        <w:t>ь</w:t>
      </w:r>
      <w:r w:rsidRPr="00006A39">
        <w:rPr>
          <w:szCs w:val="28"/>
        </w:rPr>
        <w:t xml:space="preserve"> роботи дитячих ліжок (середньорічна зайнятість ліжка 312,36 днів на рік у 2013 р. та 302,5 у 2018 р. –</w:t>
      </w:r>
      <w:r w:rsidR="002774CE">
        <w:rPr>
          <w:szCs w:val="28"/>
        </w:rPr>
        <w:t xml:space="preserve"> </w:t>
      </w:r>
      <w:r w:rsidRPr="00006A39">
        <w:rPr>
          <w:szCs w:val="28"/>
        </w:rPr>
        <w:t xml:space="preserve">відповідно), при цьому </w:t>
      </w:r>
      <w:r w:rsidRPr="00006A39">
        <w:rPr>
          <w:rFonts w:eastAsia="Times New Roman"/>
          <w:szCs w:val="28"/>
          <w:lang w:eastAsia="ru-RU"/>
        </w:rPr>
        <w:t>доведено достовірні зв’язки між смертністю дітей віком до 5 років</w:t>
      </w:r>
      <w:r w:rsidR="007611B4" w:rsidRPr="007611B4">
        <w:rPr>
          <w:rFonts w:eastAsia="Times New Roman"/>
          <w:szCs w:val="28"/>
          <w:lang w:eastAsia="ru-RU"/>
        </w:rPr>
        <w:t xml:space="preserve"> життя</w:t>
      </w:r>
      <w:r w:rsidRPr="00006A39">
        <w:rPr>
          <w:rFonts w:eastAsia="Times New Roman"/>
          <w:szCs w:val="28"/>
          <w:lang w:eastAsia="ru-RU"/>
        </w:rPr>
        <w:t xml:space="preserve"> та </w:t>
      </w:r>
      <w:r w:rsidR="00F40675">
        <w:rPr>
          <w:rFonts w:eastAsia="Times New Roman"/>
          <w:szCs w:val="28"/>
        </w:rPr>
        <w:t>кількістю</w:t>
      </w:r>
      <w:r w:rsidR="00A64279">
        <w:rPr>
          <w:rFonts w:eastAsia="Times New Roman"/>
          <w:szCs w:val="28"/>
        </w:rPr>
        <w:t xml:space="preserve"> пролікованих дітей у</w:t>
      </w:r>
      <w:r w:rsidRPr="00006A39">
        <w:rPr>
          <w:rFonts w:eastAsia="Times New Roman"/>
          <w:szCs w:val="28"/>
        </w:rPr>
        <w:t xml:space="preserve"> розрахунку на одне ліжко денного стаціонару</w:t>
      </w:r>
      <w:r w:rsidRPr="00006A39">
        <w:rPr>
          <w:szCs w:val="28"/>
        </w:rPr>
        <w:t xml:space="preserve"> (</w:t>
      </w:r>
      <w:r w:rsidR="00432EF0" w:rsidRPr="00432EF0">
        <w:rPr>
          <w:szCs w:val="28"/>
          <w:lang w:val="en-US"/>
        </w:rPr>
        <w:t>Coef</w:t>
      </w:r>
      <w:r w:rsidR="00432EF0" w:rsidRPr="00432EF0">
        <w:rPr>
          <w:szCs w:val="28"/>
        </w:rPr>
        <w:t xml:space="preserve">. </w:t>
      </w:r>
      <w:r w:rsidRPr="00006A39">
        <w:rPr>
          <w:szCs w:val="28"/>
        </w:rPr>
        <w:t>0,001, р=0,038) та</w:t>
      </w:r>
      <w:r w:rsidRPr="00006A39">
        <w:t xml:space="preserve"> часткою дітей переведених з одного закла</w:t>
      </w:r>
      <w:r>
        <w:t>ду в інший (</w:t>
      </w:r>
      <w:r w:rsidR="00432EF0" w:rsidRPr="00432EF0">
        <w:rPr>
          <w:lang w:val="en-US"/>
        </w:rPr>
        <w:t>Coef</w:t>
      </w:r>
      <w:r w:rsidR="00432EF0" w:rsidRPr="00432EF0">
        <w:t xml:space="preserve">. </w:t>
      </w:r>
      <w:r>
        <w:t xml:space="preserve">1,004; р&lt;0,001), а також показниками, які характеризують кадрове забезпечення, зокрема </w:t>
      </w:r>
      <w:r w:rsidRPr="00006A39">
        <w:rPr>
          <w:rFonts w:eastAsia="Times New Roman"/>
          <w:szCs w:val="28"/>
          <w:lang w:eastAsia="ru-RU"/>
        </w:rPr>
        <w:t>забезпеченіст</w:t>
      </w:r>
      <w:r>
        <w:rPr>
          <w:rFonts w:eastAsia="Times New Roman"/>
          <w:szCs w:val="28"/>
          <w:lang w:eastAsia="ru-RU"/>
        </w:rPr>
        <w:t>ю</w:t>
      </w:r>
      <w:r w:rsidRPr="00006A39">
        <w:rPr>
          <w:rFonts w:eastAsia="Times New Roman"/>
          <w:szCs w:val="28"/>
          <w:lang w:eastAsia="ru-RU"/>
        </w:rPr>
        <w:t xml:space="preserve"> </w:t>
      </w:r>
      <w:r w:rsidRPr="00006A39">
        <w:rPr>
          <w:szCs w:val="28"/>
        </w:rPr>
        <w:t xml:space="preserve">педіатрами </w:t>
      </w:r>
      <w:r>
        <w:t>(</w:t>
      </w:r>
      <w:r w:rsidR="00432EF0" w:rsidRPr="00432EF0">
        <w:rPr>
          <w:lang w:val="en-US"/>
        </w:rPr>
        <w:t>Coef</w:t>
      </w:r>
      <w:r w:rsidR="00432EF0" w:rsidRPr="00432EF0">
        <w:t xml:space="preserve">. </w:t>
      </w:r>
      <w:r w:rsidRPr="00006A39">
        <w:rPr>
          <w:szCs w:val="28"/>
        </w:rPr>
        <w:t>0,739; р&lt;0,001</w:t>
      </w:r>
      <w:r>
        <w:rPr>
          <w:szCs w:val="28"/>
        </w:rPr>
        <w:t>)</w:t>
      </w:r>
      <w:r w:rsidRPr="00006A39">
        <w:rPr>
          <w:szCs w:val="28"/>
        </w:rPr>
        <w:t xml:space="preserve">, </w:t>
      </w:r>
      <w:r>
        <w:rPr>
          <w:szCs w:val="28"/>
        </w:rPr>
        <w:t>у т.ч.</w:t>
      </w:r>
      <w:r w:rsidRPr="00006A39">
        <w:rPr>
          <w:szCs w:val="28"/>
        </w:rPr>
        <w:t xml:space="preserve"> дільничними педіатрами (</w:t>
      </w:r>
      <w:r w:rsidR="00D02F92" w:rsidRPr="00D02F92">
        <w:rPr>
          <w:lang w:val="en-US"/>
        </w:rPr>
        <w:t>Coef</w:t>
      </w:r>
      <w:r w:rsidR="00D02F92" w:rsidRPr="00D02F92">
        <w:t xml:space="preserve">. </w:t>
      </w:r>
      <w:r w:rsidRPr="00006A39">
        <w:t>0,958</w:t>
      </w:r>
      <w:r>
        <w:t>;</w:t>
      </w:r>
      <w:r w:rsidRPr="00006A39">
        <w:t xml:space="preserve"> р&lt;0,001)</w:t>
      </w:r>
      <w:r>
        <w:t xml:space="preserve"> та</w:t>
      </w:r>
      <w:r w:rsidRPr="00006A39">
        <w:t xml:space="preserve"> укомплектованіст</w:t>
      </w:r>
      <w:r>
        <w:t>ю</w:t>
      </w:r>
      <w:r w:rsidRPr="00006A39">
        <w:t xml:space="preserve"> середнім медичним персоналом відділень </w:t>
      </w:r>
      <w:r>
        <w:t>постнатального догляду</w:t>
      </w:r>
      <w:r w:rsidRPr="00006A39">
        <w:t xml:space="preserve"> (</w:t>
      </w:r>
      <w:r w:rsidR="00432EF0" w:rsidRPr="00432EF0">
        <w:rPr>
          <w:lang w:val="en-US"/>
        </w:rPr>
        <w:t>Coef</w:t>
      </w:r>
      <w:r w:rsidR="00432EF0" w:rsidRPr="00432EF0">
        <w:t>.</w:t>
      </w:r>
      <w:r w:rsidRPr="00006A39">
        <w:t xml:space="preserve"> 0,997; р=0,032)</w:t>
      </w:r>
      <w:r>
        <w:t>.</w:t>
      </w:r>
    </w:p>
    <w:p w:rsidR="009F051C" w:rsidRPr="000025DA" w:rsidRDefault="009F051C" w:rsidP="009F051C">
      <w:pPr>
        <w:pStyle w:val="a5"/>
        <w:widowControl w:val="0"/>
        <w:tabs>
          <w:tab w:val="left" w:pos="1276"/>
        </w:tabs>
        <w:ind w:left="0" w:firstLine="709"/>
        <w:rPr>
          <w:rFonts w:eastAsia="Times New Roman"/>
          <w:szCs w:val="28"/>
          <w:lang w:eastAsia="uk-UA"/>
        </w:rPr>
      </w:pPr>
      <w:r>
        <w:rPr>
          <w:rFonts w:eastAsia="Calibri"/>
          <w:szCs w:val="28"/>
        </w:rPr>
        <w:t xml:space="preserve">Прихованими ризиками щодо підвищення рівня смертності дітей може також стати </w:t>
      </w:r>
      <w:r w:rsidRPr="00006A39">
        <w:rPr>
          <w:rFonts w:eastAsia="Calibri"/>
          <w:szCs w:val="28"/>
        </w:rPr>
        <w:t>недостатній рівень теоретичних знань та практичних навичок лікарів</w:t>
      </w:r>
      <w:r w:rsidR="00E70AFD">
        <w:rPr>
          <w:rFonts w:eastAsia="Calibri"/>
          <w:szCs w:val="28"/>
        </w:rPr>
        <w:t xml:space="preserve"> загальної практики-сімейних лікарів </w:t>
      </w:r>
      <w:r w:rsidRPr="00006A39">
        <w:rPr>
          <w:rFonts w:eastAsia="Calibri"/>
          <w:szCs w:val="28"/>
        </w:rPr>
        <w:t xml:space="preserve"> </w:t>
      </w:r>
      <w:r w:rsidR="00E70AFD">
        <w:rPr>
          <w:rFonts w:eastAsia="Calibri"/>
          <w:szCs w:val="28"/>
        </w:rPr>
        <w:t>(Л</w:t>
      </w:r>
      <w:r w:rsidR="00F60063">
        <w:rPr>
          <w:rFonts w:eastAsia="Calibri"/>
          <w:szCs w:val="28"/>
        </w:rPr>
        <w:t>ЗП-СЛ</w:t>
      </w:r>
      <w:r w:rsidR="00E70AFD">
        <w:rPr>
          <w:rFonts w:eastAsia="Calibri"/>
          <w:szCs w:val="28"/>
        </w:rPr>
        <w:t>)</w:t>
      </w:r>
      <w:r>
        <w:rPr>
          <w:rFonts w:eastAsia="Calibri"/>
          <w:szCs w:val="28"/>
        </w:rPr>
        <w:t xml:space="preserve"> </w:t>
      </w:r>
      <w:r w:rsidRPr="00006A39">
        <w:rPr>
          <w:rFonts w:eastAsia="Calibri"/>
          <w:szCs w:val="28"/>
        </w:rPr>
        <w:t xml:space="preserve">з питань запобігання смерті дітей, оскільки 67,75±2,3% з них вказали на недостатню теоретичну підготовку та 70,25±2,3% лікарів – на недостатню практичну підготовку з </w:t>
      </w:r>
      <w:r>
        <w:rPr>
          <w:rFonts w:eastAsia="Calibri"/>
          <w:szCs w:val="28"/>
        </w:rPr>
        <w:t xml:space="preserve">питань </w:t>
      </w:r>
      <w:r w:rsidRPr="00006A39">
        <w:rPr>
          <w:rFonts w:eastAsia="Calibri"/>
          <w:szCs w:val="28"/>
        </w:rPr>
        <w:t xml:space="preserve">надання </w:t>
      </w:r>
      <w:r>
        <w:rPr>
          <w:rFonts w:eastAsia="Calibri"/>
          <w:szCs w:val="28"/>
        </w:rPr>
        <w:t xml:space="preserve">невідкладної </w:t>
      </w:r>
      <w:r w:rsidRPr="00006A39">
        <w:rPr>
          <w:rFonts w:eastAsia="Calibri"/>
          <w:szCs w:val="28"/>
        </w:rPr>
        <w:t xml:space="preserve">допомоги при виникненні життєво-загрозливих станів </w:t>
      </w:r>
      <w:r>
        <w:rPr>
          <w:rFonts w:eastAsia="Calibri"/>
          <w:szCs w:val="28"/>
        </w:rPr>
        <w:t>(</w:t>
      </w:r>
      <w:r w:rsidRPr="00006A39">
        <w:rPr>
          <w:szCs w:val="28"/>
        </w:rPr>
        <w:t>опік</w:t>
      </w:r>
      <w:r>
        <w:rPr>
          <w:szCs w:val="28"/>
        </w:rPr>
        <w:t>у</w:t>
      </w:r>
      <w:r w:rsidRPr="00006A39">
        <w:rPr>
          <w:szCs w:val="28"/>
        </w:rPr>
        <w:t xml:space="preserve"> дихальних шляхів, крупі, падінні з висоти, черепно-мозковій травмі, враженні електричним струмом)</w:t>
      </w:r>
      <w:r>
        <w:rPr>
          <w:szCs w:val="28"/>
        </w:rPr>
        <w:t xml:space="preserve"> </w:t>
      </w:r>
      <w:r w:rsidRPr="00006A39">
        <w:rPr>
          <w:rFonts w:eastAsia="Calibri"/>
          <w:szCs w:val="28"/>
        </w:rPr>
        <w:t xml:space="preserve">у дітей, при цьому </w:t>
      </w:r>
      <w:r w:rsidRPr="00006A39">
        <w:rPr>
          <w:szCs w:val="28"/>
        </w:rPr>
        <w:t>лише 2</w:t>
      </w:r>
      <w:r w:rsidR="000C3320">
        <w:rPr>
          <w:szCs w:val="28"/>
        </w:rPr>
        <w:t>1,25±2,0% лікарів організували</w:t>
      </w:r>
      <w:r w:rsidRPr="00006A39">
        <w:rPr>
          <w:szCs w:val="28"/>
        </w:rPr>
        <w:t xml:space="preserve"> школу відповідального батьківства і 15,75±1,8% респондентів проводили навчання батьків тактиці дій при загрозливих життю дітей станах</w:t>
      </w:r>
      <w:r>
        <w:rPr>
          <w:szCs w:val="28"/>
        </w:rPr>
        <w:t>.</w:t>
      </w:r>
      <w:r w:rsidRPr="00006A39">
        <w:rPr>
          <w:rFonts w:eastAsia="Calibri"/>
          <w:szCs w:val="28"/>
        </w:rPr>
        <w:t xml:space="preserve"> </w:t>
      </w:r>
      <w:r>
        <w:rPr>
          <w:rFonts w:eastAsia="Calibri"/>
          <w:szCs w:val="28"/>
        </w:rPr>
        <w:t>Соціологічне дослідження батьків</w:t>
      </w:r>
      <w:r w:rsidR="006352EA">
        <w:rPr>
          <w:rFonts w:eastAsia="Calibri"/>
          <w:szCs w:val="28"/>
        </w:rPr>
        <w:t xml:space="preserve">, у яких є діти </w:t>
      </w:r>
      <w:r>
        <w:rPr>
          <w:rFonts w:eastAsia="Calibri"/>
          <w:szCs w:val="28"/>
        </w:rPr>
        <w:t>віком до 5</w:t>
      </w:r>
      <w:r w:rsidR="00B06E59">
        <w:rPr>
          <w:lang w:val="en-US"/>
        </w:rPr>
        <w:t> </w:t>
      </w:r>
      <w:r>
        <w:rPr>
          <w:rFonts w:eastAsia="Calibri"/>
          <w:szCs w:val="28"/>
        </w:rPr>
        <w:t>років</w:t>
      </w:r>
      <w:r w:rsidR="006352EA">
        <w:rPr>
          <w:rFonts w:eastAsia="Calibri"/>
          <w:szCs w:val="28"/>
        </w:rPr>
        <w:t xml:space="preserve"> життя,</w:t>
      </w:r>
      <w:r>
        <w:rPr>
          <w:rFonts w:eastAsia="Calibri"/>
          <w:szCs w:val="28"/>
        </w:rPr>
        <w:t xml:space="preserve"> продемонструвало їх </w:t>
      </w:r>
      <w:r w:rsidRPr="00006A39">
        <w:rPr>
          <w:rFonts w:eastAsia="Calibri"/>
          <w:szCs w:val="28"/>
        </w:rPr>
        <w:t>низьк</w:t>
      </w:r>
      <w:r>
        <w:rPr>
          <w:rFonts w:eastAsia="Calibri"/>
          <w:szCs w:val="28"/>
        </w:rPr>
        <w:t>у</w:t>
      </w:r>
      <w:r w:rsidRPr="00006A39">
        <w:rPr>
          <w:rFonts w:eastAsia="Calibri"/>
          <w:szCs w:val="28"/>
        </w:rPr>
        <w:t xml:space="preserve"> обізнан</w:t>
      </w:r>
      <w:r>
        <w:rPr>
          <w:rFonts w:eastAsia="Calibri"/>
          <w:szCs w:val="28"/>
        </w:rPr>
        <w:t>і</w:t>
      </w:r>
      <w:r w:rsidRPr="00006A39">
        <w:rPr>
          <w:rFonts w:eastAsia="Calibri"/>
          <w:szCs w:val="28"/>
        </w:rPr>
        <w:t>ст</w:t>
      </w:r>
      <w:r>
        <w:rPr>
          <w:rFonts w:eastAsia="Calibri"/>
          <w:szCs w:val="28"/>
        </w:rPr>
        <w:t>ь</w:t>
      </w:r>
      <w:r w:rsidRPr="00006A39">
        <w:rPr>
          <w:rFonts w:eastAsia="Calibri"/>
          <w:szCs w:val="28"/>
        </w:rPr>
        <w:t xml:space="preserve"> (менше 39,5%) з тактиці дій при переважній більшості загрозливих для життя дітей станів. </w:t>
      </w:r>
    </w:p>
    <w:p w:rsidR="009F051C" w:rsidRPr="000025DA" w:rsidRDefault="009F051C" w:rsidP="009F051C">
      <w:pPr>
        <w:pStyle w:val="a5"/>
        <w:widowControl w:val="0"/>
        <w:tabs>
          <w:tab w:val="left" w:pos="1276"/>
        </w:tabs>
        <w:ind w:left="0" w:firstLine="709"/>
        <w:rPr>
          <w:rFonts w:eastAsia="Times New Roman"/>
          <w:szCs w:val="28"/>
          <w:lang w:eastAsia="uk-UA"/>
        </w:rPr>
      </w:pPr>
      <w:r w:rsidRPr="00006A39">
        <w:rPr>
          <w:rFonts w:eastAsia="Calibri"/>
          <w:szCs w:val="28"/>
        </w:rPr>
        <w:t>Обґрунтовано та розроблено методологію комплексної оцінки стану перинатальної допомоги в Україні – інструменту, який дозволяє своєчасно отримувати і комплексно аналізувати дані щодо регіоналізації перинатальної допомоги для наступного прийняття або коре</w:t>
      </w:r>
      <w:r>
        <w:rPr>
          <w:rFonts w:eastAsia="Calibri"/>
          <w:szCs w:val="28"/>
        </w:rPr>
        <w:t>г</w:t>
      </w:r>
      <w:r w:rsidRPr="00006A39">
        <w:rPr>
          <w:rFonts w:eastAsia="Calibri"/>
          <w:szCs w:val="28"/>
        </w:rPr>
        <w:t xml:space="preserve">ування управлінських рішень, який </w:t>
      </w:r>
      <w:r w:rsidRPr="00006A39">
        <w:rPr>
          <w:rFonts w:eastAsia="Calibri"/>
          <w:szCs w:val="28"/>
        </w:rPr>
        <w:lastRenderedPageBreak/>
        <w:t>включає індикатори якості з високим рівнем доказовості, систему моніторинг</w:t>
      </w:r>
      <w:r>
        <w:rPr>
          <w:rFonts w:eastAsia="Calibri"/>
          <w:szCs w:val="28"/>
        </w:rPr>
        <w:t xml:space="preserve">у та методику оцінки. Апробація даної методології виявила її високу ефективність на рівні країни, яка дозволила </w:t>
      </w:r>
      <w:r w:rsidRPr="00006A39">
        <w:rPr>
          <w:rFonts w:eastAsia="Calibri"/>
          <w:szCs w:val="28"/>
        </w:rPr>
        <w:t>визнач</w:t>
      </w:r>
      <w:r>
        <w:rPr>
          <w:rFonts w:eastAsia="Calibri"/>
          <w:szCs w:val="28"/>
        </w:rPr>
        <w:t>ити</w:t>
      </w:r>
      <w:r w:rsidRPr="00006A39">
        <w:rPr>
          <w:rFonts w:eastAsia="Calibri"/>
          <w:szCs w:val="28"/>
        </w:rPr>
        <w:t xml:space="preserve"> 3 групи адміністративних територій</w:t>
      </w:r>
      <w:r>
        <w:rPr>
          <w:rFonts w:eastAsia="Calibri"/>
          <w:szCs w:val="28"/>
        </w:rPr>
        <w:t xml:space="preserve"> </w:t>
      </w:r>
      <w:r w:rsidRPr="00006A39">
        <w:rPr>
          <w:rFonts w:eastAsia="Calibri"/>
          <w:szCs w:val="28"/>
        </w:rPr>
        <w:t xml:space="preserve">щодо </w:t>
      </w:r>
      <w:r>
        <w:rPr>
          <w:rFonts w:eastAsia="Calibri"/>
          <w:szCs w:val="28"/>
        </w:rPr>
        <w:t xml:space="preserve">рівня запровадження </w:t>
      </w:r>
      <w:r w:rsidRPr="00006A39">
        <w:rPr>
          <w:rFonts w:eastAsia="Calibri"/>
          <w:szCs w:val="28"/>
        </w:rPr>
        <w:t xml:space="preserve">регіоналізації перинатальної допомоги: І група </w:t>
      </w:r>
      <w:r>
        <w:rPr>
          <w:rFonts w:eastAsia="Calibri"/>
          <w:szCs w:val="28"/>
        </w:rPr>
        <w:t xml:space="preserve">територій з </w:t>
      </w:r>
      <w:r w:rsidRPr="00006A39">
        <w:rPr>
          <w:rFonts w:eastAsia="Calibri"/>
          <w:szCs w:val="28"/>
        </w:rPr>
        <w:t>достатньо ефективн</w:t>
      </w:r>
      <w:r>
        <w:rPr>
          <w:rFonts w:eastAsia="Calibri"/>
          <w:szCs w:val="28"/>
        </w:rPr>
        <w:t>ою</w:t>
      </w:r>
      <w:r w:rsidRPr="00006A39">
        <w:rPr>
          <w:rFonts w:eastAsia="Calibri"/>
          <w:szCs w:val="28"/>
        </w:rPr>
        <w:t xml:space="preserve"> діяльніст</w:t>
      </w:r>
      <w:r>
        <w:rPr>
          <w:rFonts w:eastAsia="Calibri"/>
          <w:szCs w:val="28"/>
        </w:rPr>
        <w:t>ю</w:t>
      </w:r>
      <w:r w:rsidRPr="00006A39">
        <w:rPr>
          <w:rFonts w:eastAsia="Calibri"/>
          <w:szCs w:val="28"/>
        </w:rPr>
        <w:t xml:space="preserve"> перинатальної служби</w:t>
      </w:r>
      <w:r>
        <w:rPr>
          <w:rFonts w:eastAsia="Calibri"/>
          <w:szCs w:val="28"/>
        </w:rPr>
        <w:t>, оскільки</w:t>
      </w:r>
      <w:r w:rsidRPr="00006A39">
        <w:rPr>
          <w:rFonts w:eastAsia="Calibri"/>
          <w:szCs w:val="28"/>
        </w:rPr>
        <w:t xml:space="preserve"> </w:t>
      </w:r>
      <w:r>
        <w:rPr>
          <w:rFonts w:eastAsia="Calibri"/>
          <w:szCs w:val="28"/>
        </w:rPr>
        <w:t>коефіцієнт</w:t>
      </w:r>
      <w:r w:rsidRPr="00006A39">
        <w:rPr>
          <w:rFonts w:eastAsia="Calibri"/>
          <w:szCs w:val="28"/>
        </w:rPr>
        <w:t xml:space="preserve"> досягнення результатів </w:t>
      </w:r>
      <w:r>
        <w:rPr>
          <w:rFonts w:eastAsia="Calibri"/>
          <w:szCs w:val="28"/>
        </w:rPr>
        <w:t>має</w:t>
      </w:r>
      <w:r w:rsidRPr="00006A39">
        <w:rPr>
          <w:rFonts w:eastAsia="Calibri"/>
          <w:szCs w:val="28"/>
        </w:rPr>
        <w:t xml:space="preserve"> високи</w:t>
      </w:r>
      <w:r>
        <w:rPr>
          <w:rFonts w:eastAsia="Calibri"/>
          <w:szCs w:val="28"/>
        </w:rPr>
        <w:t>й</w:t>
      </w:r>
      <w:r w:rsidRPr="00006A39">
        <w:rPr>
          <w:rFonts w:eastAsia="Calibri"/>
          <w:szCs w:val="28"/>
        </w:rPr>
        <w:t xml:space="preserve"> рів</w:t>
      </w:r>
      <w:r>
        <w:rPr>
          <w:rFonts w:eastAsia="Calibri"/>
          <w:szCs w:val="28"/>
        </w:rPr>
        <w:t>е</w:t>
      </w:r>
      <w:r w:rsidRPr="00006A39">
        <w:rPr>
          <w:rFonts w:eastAsia="Calibri"/>
          <w:szCs w:val="28"/>
        </w:rPr>
        <w:t>н</w:t>
      </w:r>
      <w:r>
        <w:rPr>
          <w:rFonts w:eastAsia="Calibri"/>
          <w:szCs w:val="28"/>
        </w:rPr>
        <w:t>ь</w:t>
      </w:r>
      <w:r w:rsidRPr="00006A39">
        <w:rPr>
          <w:rFonts w:eastAsia="Calibri"/>
          <w:szCs w:val="28"/>
        </w:rPr>
        <w:t xml:space="preserve"> (ККО ≥ 0,80), ІІ група </w:t>
      </w:r>
      <w:r>
        <w:rPr>
          <w:rFonts w:eastAsia="Calibri"/>
          <w:szCs w:val="28"/>
        </w:rPr>
        <w:t xml:space="preserve">територій </w:t>
      </w:r>
      <w:r w:rsidRPr="00006A39">
        <w:rPr>
          <w:rFonts w:eastAsia="Calibri"/>
          <w:szCs w:val="28"/>
        </w:rPr>
        <w:t xml:space="preserve">з вище </w:t>
      </w:r>
      <w:r>
        <w:rPr>
          <w:rFonts w:eastAsia="Calibri"/>
          <w:szCs w:val="28"/>
        </w:rPr>
        <w:t xml:space="preserve">за </w:t>
      </w:r>
      <w:r w:rsidRPr="00006A39">
        <w:rPr>
          <w:rFonts w:eastAsia="Calibri"/>
          <w:szCs w:val="28"/>
        </w:rPr>
        <w:t>середн</w:t>
      </w:r>
      <w:r>
        <w:rPr>
          <w:rFonts w:eastAsia="Calibri"/>
          <w:szCs w:val="28"/>
        </w:rPr>
        <w:t>ій</w:t>
      </w:r>
      <w:r w:rsidRPr="00006A39">
        <w:rPr>
          <w:rFonts w:eastAsia="Calibri"/>
          <w:szCs w:val="28"/>
        </w:rPr>
        <w:t xml:space="preserve"> рів</w:t>
      </w:r>
      <w:r>
        <w:rPr>
          <w:rFonts w:eastAsia="Calibri"/>
          <w:szCs w:val="28"/>
        </w:rPr>
        <w:t>е</w:t>
      </w:r>
      <w:r w:rsidRPr="00006A39">
        <w:rPr>
          <w:rFonts w:eastAsia="Calibri"/>
          <w:szCs w:val="28"/>
        </w:rPr>
        <w:t>н</w:t>
      </w:r>
      <w:r>
        <w:rPr>
          <w:rFonts w:eastAsia="Calibri"/>
          <w:szCs w:val="28"/>
        </w:rPr>
        <w:t>ь</w:t>
      </w:r>
      <w:r w:rsidRPr="00006A39">
        <w:rPr>
          <w:rFonts w:eastAsia="Calibri"/>
          <w:szCs w:val="28"/>
        </w:rPr>
        <w:t xml:space="preserve"> (ККО 07-0,79), що потребує посилення окремих компонентів діяльності закладів і установ перинатальної служби і ІІІ група проблемних регіонів з середнім рівн</w:t>
      </w:r>
      <w:r w:rsidR="004E7074">
        <w:rPr>
          <w:rFonts w:eastAsia="Calibri"/>
          <w:szCs w:val="28"/>
        </w:rPr>
        <w:t>ем (ККО 0,6-0,69), що потребує</w:t>
      </w:r>
      <w:r w:rsidRPr="00006A39">
        <w:rPr>
          <w:rFonts w:eastAsia="Calibri"/>
          <w:szCs w:val="28"/>
        </w:rPr>
        <w:t xml:space="preserve"> прийняття управлінських рішень з питань більш ефективної діяльності закладів</w:t>
      </w:r>
      <w:r>
        <w:rPr>
          <w:rFonts w:eastAsia="Calibri"/>
          <w:szCs w:val="28"/>
        </w:rPr>
        <w:t xml:space="preserve"> і установ перинатальної служби</w:t>
      </w:r>
      <w:r w:rsidRPr="00006A39">
        <w:rPr>
          <w:rFonts w:eastAsia="Calibri"/>
          <w:szCs w:val="28"/>
        </w:rPr>
        <w:t>.</w:t>
      </w:r>
    </w:p>
    <w:p w:rsidR="009F051C" w:rsidRPr="00BF2934" w:rsidRDefault="009F051C" w:rsidP="009F051C">
      <w:pPr>
        <w:rPr>
          <w:szCs w:val="28"/>
        </w:rPr>
      </w:pPr>
      <w:r>
        <w:tab/>
      </w:r>
      <w:r w:rsidRPr="00852C8D">
        <w:rPr>
          <w:szCs w:val="28"/>
        </w:rPr>
        <w:t>Базуючись на глобальних (ВООЗ</w:t>
      </w:r>
      <w:r>
        <w:rPr>
          <w:szCs w:val="28"/>
        </w:rPr>
        <w:t>, ООН</w:t>
      </w:r>
      <w:r w:rsidRPr="00852C8D">
        <w:rPr>
          <w:szCs w:val="28"/>
        </w:rPr>
        <w:t>), європейських (ЄС, Рада Європи, Європейська комісія), міжнародних і вітчизняних рекомендаціях та ініціативах, по</w:t>
      </w:r>
      <w:r w:rsidR="007611B4">
        <w:rPr>
          <w:szCs w:val="28"/>
        </w:rPr>
        <w:t xml:space="preserve">зитивному закордонному досвіді </w:t>
      </w:r>
      <w:r w:rsidR="007611B4" w:rsidRPr="007611B4">
        <w:rPr>
          <w:szCs w:val="28"/>
        </w:rPr>
        <w:t>в</w:t>
      </w:r>
      <w:r w:rsidRPr="00852C8D">
        <w:rPr>
          <w:szCs w:val="28"/>
        </w:rPr>
        <w:t xml:space="preserve">провадження глобальних ініціатив ВООЗ </w:t>
      </w:r>
      <w:r>
        <w:rPr>
          <w:szCs w:val="28"/>
        </w:rPr>
        <w:t>із запобігання відворотних випадків смерті дітей</w:t>
      </w:r>
      <w:r w:rsidRPr="00852C8D">
        <w:rPr>
          <w:szCs w:val="28"/>
        </w:rPr>
        <w:t xml:space="preserve"> у повсякденну медичну практику</w:t>
      </w:r>
      <w:r w:rsidR="006B1D83">
        <w:rPr>
          <w:szCs w:val="28"/>
        </w:rPr>
        <w:t>, а також</w:t>
      </w:r>
      <w:r w:rsidRPr="00852C8D">
        <w:rPr>
          <w:szCs w:val="28"/>
        </w:rPr>
        <w:t xml:space="preserve"> </w:t>
      </w:r>
      <w:r w:rsidR="006B1D83">
        <w:t>особливостях</w:t>
      </w:r>
      <w:r>
        <w:t xml:space="preserve"> </w:t>
      </w:r>
      <w:r w:rsidRPr="00006A39">
        <w:t>вікової, статевої, причинної та регіональної структури показника смертності</w:t>
      </w:r>
      <w:r w:rsidRPr="00852C8D">
        <w:rPr>
          <w:szCs w:val="28"/>
        </w:rPr>
        <w:t xml:space="preserve"> </w:t>
      </w:r>
      <w:r>
        <w:rPr>
          <w:szCs w:val="28"/>
        </w:rPr>
        <w:t xml:space="preserve">в Україні, </w:t>
      </w:r>
      <w:r w:rsidRPr="00852C8D">
        <w:rPr>
          <w:szCs w:val="28"/>
        </w:rPr>
        <w:t xml:space="preserve">існуючих </w:t>
      </w:r>
      <w:r>
        <w:rPr>
          <w:szCs w:val="28"/>
        </w:rPr>
        <w:t>прихованих ризиків організації надання медичної допомоги дітям,</w:t>
      </w:r>
      <w:r w:rsidRPr="00852C8D">
        <w:rPr>
          <w:szCs w:val="28"/>
        </w:rPr>
        <w:t xml:space="preserve"> обґрунтовано, розроблено та апробовано на рівні окремих інноваційних елемен</w:t>
      </w:r>
      <w:r w:rsidRPr="005B2718">
        <w:rPr>
          <w:szCs w:val="28"/>
        </w:rPr>
        <w:t xml:space="preserve">тів </w:t>
      </w:r>
      <w:r w:rsidR="008261D7" w:rsidRPr="005B2718">
        <w:rPr>
          <w:szCs w:val="28"/>
        </w:rPr>
        <w:t>інноваційну систему</w:t>
      </w:r>
      <w:r w:rsidR="001862F9" w:rsidRPr="005B2718">
        <w:rPr>
          <w:szCs w:val="28"/>
        </w:rPr>
        <w:t xml:space="preserve"> медико-соціальної допомоги дітям до 5</w:t>
      </w:r>
      <w:r w:rsidR="006B1D83">
        <w:rPr>
          <w:szCs w:val="28"/>
          <w:lang w:val="ru-RU"/>
        </w:rPr>
        <w:t> </w:t>
      </w:r>
      <w:r w:rsidR="001862F9" w:rsidRPr="005B2718">
        <w:rPr>
          <w:szCs w:val="28"/>
        </w:rPr>
        <w:t>років</w:t>
      </w:r>
      <w:r w:rsidRPr="005B2718">
        <w:rPr>
          <w:szCs w:val="28"/>
        </w:rPr>
        <w:t xml:space="preserve">, </w:t>
      </w:r>
      <w:r w:rsidRPr="005B2718">
        <w:rPr>
          <w:rFonts w:eastAsia="Calibri"/>
          <w:szCs w:val="28"/>
        </w:rPr>
        <w:t>яка ма</w:t>
      </w:r>
      <w:r w:rsidR="002905B0">
        <w:rPr>
          <w:rFonts w:eastAsia="Calibri"/>
          <w:szCs w:val="28"/>
        </w:rPr>
        <w:t>є багатосекторальне спрямування</w:t>
      </w:r>
      <w:r w:rsidR="002905B0" w:rsidRPr="002905B0">
        <w:rPr>
          <w:rFonts w:eastAsia="Calibri"/>
          <w:szCs w:val="28"/>
        </w:rPr>
        <w:t xml:space="preserve"> та</w:t>
      </w:r>
      <w:r w:rsidRPr="005B2718">
        <w:rPr>
          <w:rFonts w:eastAsia="Calibri"/>
          <w:szCs w:val="28"/>
        </w:rPr>
        <w:t xml:space="preserve"> </w:t>
      </w:r>
      <w:r w:rsidR="00CB773B" w:rsidRPr="005B2718">
        <w:rPr>
          <w:rFonts w:eastAsia="Calibri"/>
          <w:szCs w:val="28"/>
        </w:rPr>
        <w:t>5 рівнів</w:t>
      </w:r>
      <w:r w:rsidRPr="005B2718">
        <w:rPr>
          <w:rFonts w:eastAsia="Calibri"/>
          <w:szCs w:val="28"/>
        </w:rPr>
        <w:t xml:space="preserve"> (</w:t>
      </w:r>
      <w:r w:rsidR="00CB773B" w:rsidRPr="005B2718">
        <w:rPr>
          <w:rFonts w:eastAsia="Calibri"/>
          <w:szCs w:val="28"/>
        </w:rPr>
        <w:t>владний, галузевий</w:t>
      </w:r>
      <w:r w:rsidRPr="005B2718">
        <w:rPr>
          <w:rFonts w:eastAsia="Calibri"/>
          <w:szCs w:val="28"/>
        </w:rPr>
        <w:t>,</w:t>
      </w:r>
      <w:r w:rsidR="0019135D">
        <w:rPr>
          <w:rFonts w:eastAsia="Calibri"/>
          <w:szCs w:val="28"/>
        </w:rPr>
        <w:t xml:space="preserve"> між</w:t>
      </w:r>
      <w:r w:rsidR="00CB773B" w:rsidRPr="005B2718">
        <w:rPr>
          <w:rFonts w:eastAsia="Calibri"/>
          <w:szCs w:val="28"/>
        </w:rPr>
        <w:t>секторальний,</w:t>
      </w:r>
      <w:r w:rsidRPr="005B2718">
        <w:rPr>
          <w:rFonts w:eastAsia="Calibri"/>
          <w:szCs w:val="28"/>
        </w:rPr>
        <w:t xml:space="preserve"> </w:t>
      </w:r>
      <w:r w:rsidR="00CB773B" w:rsidRPr="005B2718">
        <w:rPr>
          <w:rFonts w:eastAsia="Calibri"/>
          <w:szCs w:val="28"/>
        </w:rPr>
        <w:t>локальний/</w:t>
      </w:r>
      <w:r w:rsidRPr="005B2718">
        <w:rPr>
          <w:rFonts w:eastAsia="Calibri"/>
          <w:szCs w:val="28"/>
        </w:rPr>
        <w:t>громадський</w:t>
      </w:r>
      <w:r w:rsidR="0019135D" w:rsidRPr="0019135D">
        <w:rPr>
          <w:rFonts w:eastAsia="Calibri"/>
          <w:szCs w:val="28"/>
        </w:rPr>
        <w:t>,</w:t>
      </w:r>
      <w:r w:rsidR="0019135D" w:rsidRPr="0019135D">
        <w:t xml:space="preserve"> </w:t>
      </w:r>
      <w:r w:rsidR="0019135D">
        <w:rPr>
          <w:rFonts w:eastAsia="Calibri"/>
          <w:szCs w:val="28"/>
        </w:rPr>
        <w:t>сімейний</w:t>
      </w:r>
      <w:r w:rsidRPr="005B2718">
        <w:rPr>
          <w:rFonts w:eastAsia="Calibri"/>
          <w:szCs w:val="28"/>
        </w:rPr>
        <w:t>),</w:t>
      </w:r>
      <w:r w:rsidR="002905B0" w:rsidRPr="002905B0">
        <w:rPr>
          <w:rFonts w:eastAsia="Calibri"/>
          <w:szCs w:val="28"/>
        </w:rPr>
        <w:t xml:space="preserve"> що</w:t>
      </w:r>
      <w:r w:rsidRPr="005B2718">
        <w:rPr>
          <w:rFonts w:eastAsia="Calibri"/>
          <w:szCs w:val="28"/>
        </w:rPr>
        <w:t xml:space="preserve"> </w:t>
      </w:r>
      <w:r w:rsidRPr="00006A39">
        <w:rPr>
          <w:rFonts w:eastAsia="Calibri"/>
          <w:szCs w:val="28"/>
        </w:rPr>
        <w:t>забезпечує доступність, комплексність, етапність, наступність медичної допомоги</w:t>
      </w:r>
      <w:r>
        <w:rPr>
          <w:rFonts w:eastAsia="Calibri"/>
          <w:szCs w:val="28"/>
        </w:rPr>
        <w:t xml:space="preserve">, та має низку інноваційних елементів, </w:t>
      </w:r>
      <w:r w:rsidR="001862F9">
        <w:rPr>
          <w:rFonts w:eastAsia="Calibri"/>
          <w:szCs w:val="28"/>
        </w:rPr>
        <w:t>і</w:t>
      </w:r>
      <w:r>
        <w:rPr>
          <w:rFonts w:eastAsia="Calibri"/>
          <w:szCs w:val="28"/>
        </w:rPr>
        <w:t xml:space="preserve">з яких найбільш важливими є запровадження електронної системи охорони здоров’я, реформування фінансування галузі охорони здоров’я, розроблення Національного плану дій </w:t>
      </w:r>
      <w:r w:rsidR="002905B0">
        <w:rPr>
          <w:rFonts w:eastAsia="Calibri"/>
          <w:szCs w:val="28"/>
        </w:rPr>
        <w:t>і</w:t>
      </w:r>
      <w:r>
        <w:rPr>
          <w:rFonts w:eastAsia="Calibri"/>
          <w:szCs w:val="28"/>
        </w:rPr>
        <w:t>з запобіга</w:t>
      </w:r>
      <w:r w:rsidR="002905B0">
        <w:rPr>
          <w:rFonts w:eastAsia="Calibri"/>
          <w:szCs w:val="28"/>
        </w:rPr>
        <w:t>ння відворотних випадків смерті</w:t>
      </w:r>
      <w:r>
        <w:rPr>
          <w:rFonts w:eastAsia="Calibri"/>
          <w:szCs w:val="28"/>
        </w:rPr>
        <w:t xml:space="preserve"> дітей</w:t>
      </w:r>
      <w:r w:rsidRPr="00006A39">
        <w:rPr>
          <w:rFonts w:eastAsia="Calibri"/>
          <w:szCs w:val="28"/>
        </w:rPr>
        <w:t xml:space="preserve">. Продемонстровано, що запровадження інноваційних елементів системи, насамперед ЕСОЗ дозволило в режимі реального часу моніторувати базові індикатори якості </w:t>
      </w:r>
      <w:r w:rsidR="003D1A2E">
        <w:rPr>
          <w:rFonts w:eastAsia="Calibri"/>
          <w:szCs w:val="28"/>
        </w:rPr>
        <w:t xml:space="preserve">надання перинатальної допомоги. </w:t>
      </w:r>
      <w:r w:rsidRPr="00006A39">
        <w:rPr>
          <w:szCs w:val="28"/>
        </w:rPr>
        <w:t xml:space="preserve">Відповідність запропонованої системи напрямам реформування вітчизняної медичної галузі та кращим світовим взірцям, а також позитивна її оцінка експертами </w:t>
      </w:r>
      <w:r w:rsidRPr="00006A39">
        <w:rPr>
          <w:rFonts w:eastAsia="Times New Roman"/>
          <w:szCs w:val="28"/>
        </w:rPr>
        <w:t xml:space="preserve">(98,0%) </w:t>
      </w:r>
      <w:r w:rsidRPr="00006A39">
        <w:rPr>
          <w:szCs w:val="28"/>
        </w:rPr>
        <w:t>дозволяють рекомендувати її для впровадження у практику системи охорони здоров’я України.</w:t>
      </w:r>
    </w:p>
    <w:p w:rsidR="00504F7C" w:rsidRPr="00D03410" w:rsidRDefault="00323DA9" w:rsidP="00E7220B">
      <w:pPr>
        <w:widowControl w:val="0"/>
        <w:shd w:val="clear" w:color="auto" w:fill="FFFFFF"/>
        <w:ind w:firstLine="450"/>
        <w:rPr>
          <w:rFonts w:eastAsia="Times New Roman"/>
          <w:color w:val="000000" w:themeColor="text1"/>
          <w:szCs w:val="28"/>
          <w:lang w:val="ru-RU" w:eastAsia="ru-RU"/>
        </w:rPr>
      </w:pPr>
      <w:r w:rsidRPr="00504F7C">
        <w:rPr>
          <w:rFonts w:eastAsia="Times New Roman"/>
          <w:b/>
          <w:color w:val="000000" w:themeColor="text1"/>
          <w:szCs w:val="28"/>
          <w:lang w:eastAsia="ru-RU"/>
        </w:rPr>
        <w:lastRenderedPageBreak/>
        <w:t xml:space="preserve">Ключові слова: </w:t>
      </w:r>
      <w:r w:rsidR="00504F7C" w:rsidRPr="00504F7C">
        <w:rPr>
          <w:rFonts w:eastAsia="Times New Roman"/>
          <w:color w:val="000000" w:themeColor="text1"/>
          <w:szCs w:val="28"/>
          <w:lang w:eastAsia="ru-RU"/>
        </w:rPr>
        <w:t>інноваційна система, медико-соціальна допомога, перинатальна допомога,  діти до 5 років, смертність, захворюваність, у</w:t>
      </w:r>
      <w:r w:rsidR="00D03410">
        <w:rPr>
          <w:rFonts w:eastAsia="Times New Roman"/>
          <w:color w:val="000000" w:themeColor="text1"/>
          <w:szCs w:val="28"/>
          <w:lang w:eastAsia="ru-RU"/>
        </w:rPr>
        <w:t>правління якістю</w:t>
      </w:r>
      <w:r w:rsidR="00D03410">
        <w:rPr>
          <w:rFonts w:eastAsia="Times New Roman"/>
          <w:color w:val="000000" w:themeColor="text1"/>
          <w:szCs w:val="28"/>
          <w:lang w:val="ru-RU" w:eastAsia="ru-RU"/>
        </w:rPr>
        <w:t>.</w:t>
      </w:r>
    </w:p>
    <w:p w:rsidR="001F71C2" w:rsidRPr="00342FCF" w:rsidRDefault="001F71C2" w:rsidP="001F71C2">
      <w:pPr>
        <w:widowControl w:val="0"/>
        <w:shd w:val="clear" w:color="auto" w:fill="FFFFFF"/>
        <w:spacing w:before="240" w:after="240"/>
        <w:ind w:left="284"/>
        <w:contextualSpacing/>
        <w:jc w:val="center"/>
        <w:rPr>
          <w:rFonts w:eastAsia="Calibri"/>
          <w:b/>
          <w:lang w:val="en-US"/>
        </w:rPr>
      </w:pPr>
      <w:r w:rsidRPr="00CD0202">
        <w:rPr>
          <w:rFonts w:eastAsia="Times New Roman"/>
          <w:color w:val="000000" w:themeColor="text1"/>
          <w:szCs w:val="28"/>
          <w:lang w:eastAsia="ru-RU"/>
        </w:rPr>
        <w:tab/>
      </w:r>
      <w:r w:rsidRPr="00342FCF">
        <w:rPr>
          <w:rFonts w:eastAsia="Calibri"/>
          <w:b/>
          <w:lang w:val="en-US"/>
        </w:rPr>
        <w:t>SUMMARY</w:t>
      </w:r>
    </w:p>
    <w:p w:rsidR="001F71C2" w:rsidRPr="00167501" w:rsidRDefault="001F71C2" w:rsidP="001F71C2">
      <w:pPr>
        <w:spacing w:before="240"/>
        <w:ind w:firstLine="749"/>
        <w:rPr>
          <w:rFonts w:eastAsia="Calibri"/>
        </w:rPr>
      </w:pPr>
      <w:proofErr w:type="gramStart"/>
      <w:r w:rsidRPr="00167501">
        <w:rPr>
          <w:rFonts w:eastAsia="Calibri"/>
          <w:lang w:val="en-US"/>
        </w:rPr>
        <w:t>Dudnyk S.V. Substantiation of an innovative system of medical-social care for children up to 5 years in Ukraine.</w:t>
      </w:r>
      <w:proofErr w:type="gramEnd"/>
      <w:r w:rsidRPr="00167501">
        <w:rPr>
          <w:rFonts w:eastAsia="Calibri"/>
          <w:lang w:val="en-US"/>
        </w:rPr>
        <w:t xml:space="preserve"> – </w:t>
      </w:r>
      <w:r w:rsidR="00501614" w:rsidRPr="00501614">
        <w:rPr>
          <w:rFonts w:eastAsia="Calibri"/>
        </w:rPr>
        <w:t xml:space="preserve">Qualifying scientific work </w:t>
      </w:r>
      <w:r w:rsidR="00501614">
        <w:rPr>
          <w:rFonts w:eastAsia="Calibri"/>
        </w:rPr>
        <w:t>on the rights of the manuscript</w:t>
      </w:r>
      <w:r w:rsidRPr="00167501">
        <w:rPr>
          <w:rFonts w:eastAsia="Calibri"/>
        </w:rPr>
        <w:t>.</w:t>
      </w:r>
    </w:p>
    <w:p w:rsidR="001F71C2" w:rsidRPr="001F71C2" w:rsidRDefault="001F71C2" w:rsidP="001F71C2">
      <w:pPr>
        <w:ind w:firstLine="749"/>
        <w:rPr>
          <w:rFonts w:eastAsia="Calibri"/>
          <w:lang w:val="en-US"/>
        </w:rPr>
      </w:pPr>
      <w:proofErr w:type="gramStart"/>
      <w:r w:rsidRPr="001F71C2">
        <w:rPr>
          <w:rFonts w:eastAsia="Calibri"/>
          <w:lang w:val="en-US"/>
        </w:rPr>
        <w:t xml:space="preserve">Thesis for the scientific degree of Doctor of Medical Sciences in specialty </w:t>
      </w:r>
      <w:r w:rsidRPr="001F71C2">
        <w:rPr>
          <w:rFonts w:eastAsia="Times New Roman"/>
          <w:color w:val="000000"/>
          <w:szCs w:val="28"/>
          <w:lang w:val="en-US" w:eastAsia="uk-UA"/>
        </w:rPr>
        <w:t xml:space="preserve">14.02.03 </w:t>
      </w:r>
      <w:r w:rsidRPr="001F71C2">
        <w:rPr>
          <w:rFonts w:eastAsia="Calibri"/>
          <w:lang w:val="en-US"/>
        </w:rPr>
        <w:t>«So</w:t>
      </w:r>
      <w:r w:rsidR="00FA2CE3">
        <w:rPr>
          <w:rFonts w:eastAsia="Calibri"/>
          <w:lang w:val="en-US"/>
        </w:rPr>
        <w:t>cial medicine»</w:t>
      </w:r>
      <w:r w:rsidR="00167501" w:rsidRPr="00167501">
        <w:rPr>
          <w:rFonts w:eastAsia="Calibri"/>
          <w:lang w:val="en-US"/>
        </w:rPr>
        <w:t xml:space="preserve"> </w:t>
      </w:r>
      <w:r w:rsidR="005A189C" w:rsidRPr="005A189C">
        <w:rPr>
          <w:rFonts w:eastAsia="Calibri"/>
          <w:lang w:val="en-US"/>
        </w:rPr>
        <w:t>(222 – Medicine).</w:t>
      </w:r>
      <w:proofErr w:type="gramEnd"/>
    </w:p>
    <w:p w:rsidR="001F71C2" w:rsidRPr="001F71C2" w:rsidRDefault="001F71C2" w:rsidP="001F71C2">
      <w:pPr>
        <w:ind w:firstLine="749"/>
        <w:rPr>
          <w:rFonts w:eastAsia="Calibri"/>
          <w:lang w:val="en-US"/>
        </w:rPr>
      </w:pPr>
      <w:r w:rsidRPr="001F71C2">
        <w:rPr>
          <w:rFonts w:eastAsia="Calibri"/>
          <w:lang w:val="en-US"/>
        </w:rPr>
        <w:t xml:space="preserve">The dissertation was completed at the </w:t>
      </w:r>
      <w:r w:rsidR="00EA11FE">
        <w:rPr>
          <w:rFonts w:eastAsia="Calibri"/>
          <w:lang w:val="en-US"/>
        </w:rPr>
        <w:t xml:space="preserve">SE </w:t>
      </w:r>
      <w:r w:rsidR="00EA11FE">
        <w:rPr>
          <w:rFonts w:eastAsia="Calibri"/>
        </w:rPr>
        <w:t>«</w:t>
      </w:r>
      <w:r w:rsidRPr="001F71C2">
        <w:rPr>
          <w:rFonts w:eastAsia="Calibri"/>
          <w:lang w:val="en-US"/>
        </w:rPr>
        <w:t>Ukrainian Institute for Strategic Studies of the Ministry of H</w:t>
      </w:r>
      <w:r w:rsidR="00835E58">
        <w:rPr>
          <w:rFonts w:eastAsia="Calibri"/>
          <w:lang w:val="en-US"/>
        </w:rPr>
        <w:t>ealthcare of Ukraine</w:t>
      </w:r>
      <w:r w:rsidR="00EA11FE">
        <w:rPr>
          <w:rFonts w:eastAsia="Calibri"/>
        </w:rPr>
        <w:t>»</w:t>
      </w:r>
      <w:r w:rsidR="00835E58">
        <w:rPr>
          <w:rFonts w:eastAsia="Calibri"/>
          <w:lang w:val="en-US"/>
        </w:rPr>
        <w:t>, Kyiv, 202</w:t>
      </w:r>
      <w:r w:rsidR="00835E58" w:rsidRPr="00835E58">
        <w:rPr>
          <w:rFonts w:eastAsia="Calibri"/>
          <w:lang w:val="en-US"/>
        </w:rPr>
        <w:t>0</w:t>
      </w:r>
      <w:r w:rsidRPr="001F71C2">
        <w:rPr>
          <w:rFonts w:eastAsia="Calibri"/>
          <w:lang w:val="en-US"/>
        </w:rPr>
        <w:t>.</w:t>
      </w:r>
    </w:p>
    <w:p w:rsidR="001F71C2" w:rsidRPr="001F71C2" w:rsidRDefault="001F71C2" w:rsidP="001F71C2">
      <w:pPr>
        <w:ind w:firstLine="749"/>
        <w:rPr>
          <w:rFonts w:eastAsia="Calibri"/>
          <w:lang w:val="en-US"/>
        </w:rPr>
      </w:pPr>
      <w:r w:rsidRPr="001F71C2">
        <w:rPr>
          <w:rFonts w:eastAsia="Calibri"/>
          <w:lang w:val="en-US"/>
        </w:rPr>
        <w:t>The thesis is defended at Kharkiv National Medical University, Kharkiv, 2021.</w:t>
      </w:r>
    </w:p>
    <w:p w:rsidR="001F71C2" w:rsidRPr="001F71C2" w:rsidRDefault="001F71C2" w:rsidP="001F71C2">
      <w:pPr>
        <w:ind w:firstLine="749"/>
        <w:rPr>
          <w:rFonts w:eastAsia="Calibri"/>
          <w:lang w:val="en-US"/>
        </w:rPr>
      </w:pPr>
      <w:r w:rsidRPr="001F71C2">
        <w:rPr>
          <w:rFonts w:eastAsia="Calibri"/>
          <w:lang w:val="en-US"/>
        </w:rPr>
        <w:t>The dissertation is devoted to the solution of an important scientific and practical problem of healthcare, namely the scientific substantiation of an innovative system of medical-social care for children up to 5 years in Ukraine.</w:t>
      </w:r>
    </w:p>
    <w:p w:rsidR="001F71C2" w:rsidRPr="001F71C2" w:rsidRDefault="00CF43C2" w:rsidP="001F71C2">
      <w:pPr>
        <w:ind w:firstLine="749"/>
        <w:rPr>
          <w:rFonts w:eastAsia="Calibri"/>
          <w:lang w:val="en-US"/>
        </w:rPr>
      </w:pPr>
      <w:r w:rsidRPr="00CF43C2">
        <w:rPr>
          <w:rFonts w:eastAsia="Calibri"/>
          <w:lang w:val="en-US"/>
        </w:rPr>
        <w:t>The purpose of the research is to preserve children's health and promote the reduction of mortality of children up to 5 years of life through the study and development of i</w:t>
      </w:r>
      <w:r>
        <w:rPr>
          <w:rFonts w:eastAsia="Calibri"/>
          <w:lang w:val="en-US"/>
        </w:rPr>
        <w:t>nnovative system of medical-</w:t>
      </w:r>
      <w:r w:rsidRPr="00CF43C2">
        <w:rPr>
          <w:rFonts w:eastAsia="Calibri"/>
          <w:lang w:val="en-US"/>
        </w:rPr>
        <w:t>social care for</w:t>
      </w:r>
      <w:r>
        <w:rPr>
          <w:rFonts w:eastAsia="Calibri"/>
          <w:lang w:val="en-US"/>
        </w:rPr>
        <w:t xml:space="preserve"> children up to 5 years of life</w:t>
      </w:r>
      <w:r w:rsidR="001F71C2" w:rsidRPr="001F71C2">
        <w:rPr>
          <w:rFonts w:eastAsia="Calibri"/>
          <w:lang w:val="en-US"/>
        </w:rPr>
        <w:t>.</w:t>
      </w:r>
    </w:p>
    <w:p w:rsidR="001F71C2" w:rsidRPr="001F71C2" w:rsidRDefault="001F71C2" w:rsidP="001F71C2">
      <w:pPr>
        <w:ind w:firstLine="749"/>
        <w:rPr>
          <w:rFonts w:eastAsia="Calibri"/>
          <w:lang w:val="en-US"/>
        </w:rPr>
      </w:pPr>
      <w:r w:rsidRPr="001F71C2">
        <w:rPr>
          <w:rFonts w:eastAsia="Calibri"/>
          <w:lang w:val="en-US"/>
        </w:rPr>
        <w:t>To achieve this aim, the following tasks have been fulfilled:</w:t>
      </w:r>
    </w:p>
    <w:p w:rsidR="001F71C2" w:rsidRPr="001F71C2" w:rsidRDefault="001F71C2" w:rsidP="001F71C2">
      <w:pPr>
        <w:ind w:firstLine="749"/>
        <w:rPr>
          <w:rFonts w:eastAsia="Calibri"/>
          <w:lang w:val="en-US"/>
        </w:rPr>
      </w:pPr>
      <w:r w:rsidRPr="001F71C2">
        <w:rPr>
          <w:rFonts w:eastAsia="Calibri"/>
          <w:lang w:val="en-US"/>
        </w:rPr>
        <w:t xml:space="preserve">- the mortality rates of children in the age category of 0-5 years were analyzed in order to establish: its main trends in Ukraine as compared to the referential countries; features of age, sex, causal and regional structure of mortality rate, including mortality rate of children under 1 year of age outside the hospital; as well as the burden of this indicator on the healthcare system by analyzing </w:t>
      </w:r>
      <w:r w:rsidR="00AE76FC">
        <w:rPr>
          <w:rFonts w:eastAsia="Calibri"/>
          <w:lang w:val="en-US"/>
        </w:rPr>
        <w:t xml:space="preserve">the </w:t>
      </w:r>
      <w:r w:rsidR="00AE76FC" w:rsidRPr="00AE76FC">
        <w:rPr>
          <w:rFonts w:eastAsia="Calibri"/>
          <w:lang w:val="en-US"/>
        </w:rPr>
        <w:t xml:space="preserve">statistical data </w:t>
      </w:r>
      <w:r w:rsidRPr="001F71C2">
        <w:rPr>
          <w:rFonts w:eastAsia="Calibri"/>
          <w:lang w:val="en-US"/>
        </w:rPr>
        <w:t>of the Ministry of Healthcare</w:t>
      </w:r>
      <w:r w:rsidR="00AE76FC" w:rsidRPr="00AE76FC">
        <w:rPr>
          <w:rFonts w:eastAsia="Calibri"/>
          <w:lang w:val="en-US"/>
        </w:rPr>
        <w:t xml:space="preserve"> </w:t>
      </w:r>
      <w:r w:rsidR="00AE76FC">
        <w:rPr>
          <w:rFonts w:eastAsia="Calibri"/>
          <w:lang w:val="en-US"/>
        </w:rPr>
        <w:t>and State Statistics Service of Ukraine</w:t>
      </w:r>
      <w:r w:rsidR="00AE76FC" w:rsidRPr="00AE76FC">
        <w:rPr>
          <w:rFonts w:eastAsia="Calibri"/>
          <w:lang w:val="en-US"/>
        </w:rPr>
        <w:t xml:space="preserve"> </w:t>
      </w:r>
      <w:r w:rsidRPr="001F71C2">
        <w:rPr>
          <w:rFonts w:eastAsia="Calibri"/>
          <w:lang w:val="en-US"/>
        </w:rPr>
        <w:t xml:space="preserve"> for 25 regions of Ukraine (20</w:t>
      </w:r>
      <w:r w:rsidRPr="001F71C2">
        <w:rPr>
          <w:rFonts w:eastAsia="Calibri"/>
        </w:rPr>
        <w:t>09</w:t>
      </w:r>
      <w:r w:rsidRPr="001F71C2">
        <w:rPr>
          <w:rFonts w:eastAsia="Calibri"/>
          <w:lang w:val="en-US"/>
        </w:rPr>
        <w:t>-201</w:t>
      </w:r>
      <w:r w:rsidRPr="001F71C2">
        <w:rPr>
          <w:rFonts w:eastAsia="Calibri"/>
        </w:rPr>
        <w:t>8</w:t>
      </w:r>
      <w:r w:rsidRPr="001F71C2">
        <w:rPr>
          <w:rFonts w:eastAsia="Calibri"/>
          <w:lang w:val="en-US"/>
        </w:rPr>
        <w:t>) and the global electronic database of the Institute for Health Metrics and Evaluation (2009-2019).</w:t>
      </w:r>
    </w:p>
    <w:p w:rsidR="001F71C2" w:rsidRPr="001F71C2" w:rsidRDefault="001F71C2" w:rsidP="001F71C2">
      <w:pPr>
        <w:ind w:firstLine="749"/>
        <w:rPr>
          <w:rFonts w:eastAsia="Calibri"/>
          <w:lang w:val="en-US"/>
        </w:rPr>
      </w:pPr>
      <w:r w:rsidRPr="001F71C2">
        <w:rPr>
          <w:rFonts w:eastAsia="Calibri"/>
          <w:lang w:val="en-US"/>
        </w:rPr>
        <w:t>- the level of morbidity of children of the defined age category in Ukraine in comparison with referential countries was studied in order to determine the dynamics and structure of morbidity of children in the age categories up to 6 years, up to 1 year and up to 28 days, to establish relationships between morbidity and prevalence with mortali</w:t>
      </w:r>
      <w:r w:rsidR="002E12CA">
        <w:rPr>
          <w:rFonts w:eastAsia="Calibri"/>
          <w:lang w:val="en-US"/>
        </w:rPr>
        <w:t xml:space="preserve">ty by the analysis of </w:t>
      </w:r>
      <w:r w:rsidR="00FA66E0" w:rsidRPr="00FA66E0">
        <w:rPr>
          <w:rFonts w:eastAsia="Calibri"/>
          <w:lang w:val="en-US"/>
        </w:rPr>
        <w:t xml:space="preserve">statistical data </w:t>
      </w:r>
      <w:r w:rsidRPr="001F71C2">
        <w:rPr>
          <w:rFonts w:eastAsia="Calibri"/>
          <w:lang w:val="en-US"/>
        </w:rPr>
        <w:t>of the Ministry of Healthcare for 25 regions of Ukraine (20</w:t>
      </w:r>
      <w:r w:rsidRPr="001F71C2">
        <w:rPr>
          <w:rFonts w:eastAsia="Calibri"/>
        </w:rPr>
        <w:t>13</w:t>
      </w:r>
      <w:r w:rsidRPr="001F71C2">
        <w:rPr>
          <w:rFonts w:eastAsia="Calibri"/>
          <w:lang w:val="en-US"/>
        </w:rPr>
        <w:t>-</w:t>
      </w:r>
      <w:r w:rsidRPr="001F71C2">
        <w:rPr>
          <w:rFonts w:eastAsia="Calibri"/>
          <w:lang w:val="en-US"/>
        </w:rPr>
        <w:lastRenderedPageBreak/>
        <w:t>201</w:t>
      </w:r>
      <w:r w:rsidRPr="001F71C2">
        <w:rPr>
          <w:rFonts w:eastAsia="Calibri"/>
        </w:rPr>
        <w:t>8</w:t>
      </w:r>
      <w:r w:rsidRPr="001F71C2">
        <w:rPr>
          <w:rFonts w:eastAsia="Calibri"/>
          <w:lang w:val="en-US"/>
        </w:rPr>
        <w:t>) and the global electronic database of the Institute for Health Metrics and Evolution (20</w:t>
      </w:r>
      <w:r w:rsidRPr="001F71C2">
        <w:rPr>
          <w:rFonts w:eastAsia="Calibri"/>
        </w:rPr>
        <w:t>10</w:t>
      </w:r>
      <w:r w:rsidRPr="001F71C2">
        <w:rPr>
          <w:rFonts w:eastAsia="Calibri"/>
          <w:lang w:val="en-US"/>
        </w:rPr>
        <w:t>-2019).</w:t>
      </w:r>
    </w:p>
    <w:p w:rsidR="001F71C2" w:rsidRPr="001F71C2" w:rsidRDefault="001F71C2" w:rsidP="001F71C2">
      <w:pPr>
        <w:ind w:firstLine="749"/>
        <w:rPr>
          <w:rFonts w:eastAsia="Calibri"/>
          <w:lang w:val="en-US"/>
        </w:rPr>
      </w:pPr>
      <w:r w:rsidRPr="001F71C2">
        <w:rPr>
          <w:rFonts w:eastAsia="Calibri"/>
          <w:lang w:val="en-US"/>
        </w:rPr>
        <w:t xml:space="preserve">- the organization of medical care for children, its organizational aspects, staff and resource provision of primary healthcare on the basis of general medical practice – family medicine, specialized and highly specialized child health service, perinatal care in Ukraine were studied to identify hidden risks, which may be related to child mortality in Ukraine, based on the analysis of the regulatory framework of Ukraine, </w:t>
      </w:r>
      <w:r w:rsidR="00FA66E0" w:rsidRPr="00FA66E0">
        <w:rPr>
          <w:rFonts w:eastAsia="Calibri"/>
          <w:lang w:val="en-US"/>
        </w:rPr>
        <w:t xml:space="preserve">the statistical data </w:t>
      </w:r>
      <w:r w:rsidRPr="001F71C2">
        <w:rPr>
          <w:rFonts w:eastAsia="Calibri"/>
          <w:lang w:val="en-US"/>
        </w:rPr>
        <w:t>of the Ministry of Healthcare for 2013-2018.</w:t>
      </w:r>
    </w:p>
    <w:p w:rsidR="001F71C2" w:rsidRPr="001F71C2" w:rsidRDefault="001F71C2" w:rsidP="001F71C2">
      <w:pPr>
        <w:ind w:firstLine="749"/>
        <w:rPr>
          <w:rFonts w:eastAsia="Calibri"/>
          <w:lang w:val="en-US"/>
        </w:rPr>
      </w:pPr>
      <w:r w:rsidRPr="001F71C2">
        <w:rPr>
          <w:rFonts w:eastAsia="Calibri"/>
          <w:lang w:val="en-US"/>
        </w:rPr>
        <w:t>- the situation with the ability of general practitioners to prevent manageable death cases among children was analyzed by studying the level of self-assessment by doctors at primary health care centers of their theoretical knowledge and practical skills in tactics of action in certain conditions that threaten the lives of children, according to a survey of 400 doctors of the corresponding profile, as well as the study of the level of parents’ awareness of health technologies at the family level and the ability to recognize life-threatening conditions of children and their tactics of action according to a survey of 400 parents who have children up to 5 years.</w:t>
      </w:r>
    </w:p>
    <w:p w:rsidR="00061AF0" w:rsidRPr="00061AF0" w:rsidRDefault="001F71C2" w:rsidP="001F71C2">
      <w:pPr>
        <w:ind w:firstLine="749"/>
        <w:rPr>
          <w:rFonts w:eastAsia="Calibri"/>
          <w:lang w:val="en-US"/>
        </w:rPr>
      </w:pPr>
      <w:r w:rsidRPr="001F71C2">
        <w:rPr>
          <w:rFonts w:eastAsia="Calibri"/>
          <w:lang w:val="en-US"/>
        </w:rPr>
        <w:t>- the methodology</w:t>
      </w:r>
      <w:r w:rsidR="008D5113">
        <w:rPr>
          <w:rFonts w:eastAsia="Calibri"/>
        </w:rPr>
        <w:t xml:space="preserve"> </w:t>
      </w:r>
      <w:r w:rsidR="008D5113">
        <w:rPr>
          <w:rFonts w:eastAsia="Calibri"/>
          <w:lang w:val="en-US"/>
        </w:rPr>
        <w:t>and models</w:t>
      </w:r>
      <w:r w:rsidRPr="001F71C2">
        <w:rPr>
          <w:rFonts w:eastAsia="Calibri"/>
          <w:lang w:val="en-US"/>
        </w:rPr>
        <w:t xml:space="preserve"> of a comprehensive assessment for the state of perinatal ca</w:t>
      </w:r>
      <w:r w:rsidR="00611E10">
        <w:rPr>
          <w:rFonts w:eastAsia="Calibri"/>
          <w:lang w:val="en-US"/>
        </w:rPr>
        <w:t>re in Ukraine were</w:t>
      </w:r>
      <w:r w:rsidRPr="001F71C2">
        <w:rPr>
          <w:rFonts w:eastAsia="Calibri"/>
          <w:lang w:val="en-US"/>
        </w:rPr>
        <w:t xml:space="preserve"> substantiated</w:t>
      </w:r>
      <w:r w:rsidR="008D5113">
        <w:rPr>
          <w:rFonts w:eastAsia="Calibri"/>
          <w:lang w:val="en-US"/>
        </w:rPr>
        <w:t xml:space="preserve"> and developed</w:t>
      </w:r>
      <w:r w:rsidRPr="001F71C2">
        <w:rPr>
          <w:rFonts w:eastAsia="Calibri"/>
          <w:lang w:val="en-US"/>
        </w:rPr>
        <w:t xml:space="preserve">; </w:t>
      </w:r>
      <w:r w:rsidR="00975F56" w:rsidRPr="00975F56">
        <w:rPr>
          <w:rFonts w:eastAsia="Calibri"/>
          <w:lang w:val="en-US"/>
        </w:rPr>
        <w:t>identified significant indicators for assessing the activities of institutions and institutions of perinatal care (19 indicators) with their normative values according to focus interviews of 29 experts,</w:t>
      </w:r>
      <w:r w:rsidR="00061AF0" w:rsidRPr="00061AF0">
        <w:t xml:space="preserve"> </w:t>
      </w:r>
      <w:r w:rsidR="00061AF0" w:rsidRPr="00061AF0">
        <w:rPr>
          <w:rFonts w:eastAsia="Calibri"/>
          <w:lang w:val="en-US"/>
        </w:rPr>
        <w:t>the comprehensive</w:t>
      </w:r>
      <w:r w:rsidR="00061AF0">
        <w:rPr>
          <w:rFonts w:eastAsia="Calibri"/>
          <w:lang w:val="en-US"/>
        </w:rPr>
        <w:t xml:space="preserve"> assessment model was tested at</w:t>
      </w:r>
      <w:r w:rsidR="00061AF0" w:rsidRPr="00061AF0">
        <w:rPr>
          <w:rFonts w:eastAsia="Calibri"/>
          <w:lang w:val="en-US"/>
        </w:rPr>
        <w:t xml:space="preserve"> institutions grouped according to the level of perinatal care (p</w:t>
      </w:r>
      <w:r w:rsidR="00061AF0">
        <w:rPr>
          <w:rFonts w:eastAsia="Calibri"/>
          <w:lang w:val="en-US"/>
        </w:rPr>
        <w:t>rimary, secondary and tertiary).</w:t>
      </w:r>
    </w:p>
    <w:p w:rsidR="00A77800" w:rsidRDefault="001F71C2" w:rsidP="001F71C2">
      <w:pPr>
        <w:ind w:firstLine="749"/>
        <w:rPr>
          <w:rFonts w:eastAsia="Calibri"/>
        </w:rPr>
      </w:pPr>
      <w:r w:rsidRPr="001F71C2">
        <w:rPr>
          <w:rFonts w:eastAsia="Calibri"/>
          <w:lang w:val="en-US"/>
        </w:rPr>
        <w:t xml:space="preserve">- </w:t>
      </w:r>
      <w:r w:rsidR="00A77800" w:rsidRPr="00A77800">
        <w:rPr>
          <w:rFonts w:eastAsia="Calibri"/>
          <w:lang w:val="en-US"/>
        </w:rPr>
        <w:t>the innovative system of medical-social care for children up to 5 years in Ukraine was substantiated and developed with the definition of its main structural elements, as well as integration and logistics links, and the effectiveness of introducing some of its innovative elements at the national level was proven</w:t>
      </w:r>
      <w:r w:rsidR="00A77800">
        <w:rPr>
          <w:rFonts w:eastAsia="Calibri"/>
        </w:rPr>
        <w:t>.</w:t>
      </w:r>
    </w:p>
    <w:p w:rsidR="001F71C2" w:rsidRPr="001F71C2" w:rsidRDefault="001F71C2" w:rsidP="001F71C2">
      <w:pPr>
        <w:ind w:firstLine="749"/>
        <w:rPr>
          <w:rFonts w:eastAsia="Calibri"/>
          <w:lang w:val="en-US"/>
        </w:rPr>
      </w:pPr>
      <w:r w:rsidRPr="001F71C2">
        <w:rPr>
          <w:rFonts w:eastAsia="Calibri"/>
          <w:lang w:val="en-US"/>
        </w:rPr>
        <w:t>There was a significant decrease in the mortality rate of children up t</w:t>
      </w:r>
      <w:r w:rsidR="00C31BB5">
        <w:rPr>
          <w:rFonts w:eastAsia="Calibri"/>
          <w:lang w:val="en-US"/>
        </w:rPr>
        <w:t>o 5 years from 9.3 to 8.3 per 1</w:t>
      </w:r>
      <w:r w:rsidRPr="001F71C2">
        <w:rPr>
          <w:rFonts w:eastAsia="Calibri"/>
          <w:lang w:val="en-US"/>
        </w:rPr>
        <w:t>000 chi</w:t>
      </w:r>
      <w:r w:rsidR="00C31BB5">
        <w:rPr>
          <w:rFonts w:eastAsia="Calibri"/>
          <w:lang w:val="en-US"/>
        </w:rPr>
        <w:t>ldren of the relevant age (OR 0</w:t>
      </w:r>
      <w:r w:rsidR="00C31BB5">
        <w:rPr>
          <w:rFonts w:eastAsia="Calibri"/>
        </w:rPr>
        <w:t>.</w:t>
      </w:r>
      <w:r w:rsidRPr="001F71C2">
        <w:rPr>
          <w:rFonts w:eastAsia="Calibri"/>
          <w:lang w:val="en-US"/>
        </w:rPr>
        <w:t xml:space="preserve">79; p &lt;0.001), the infant mortality rate from 7.8 to </w:t>
      </w:r>
      <w:r w:rsidR="0093069F">
        <w:rPr>
          <w:rFonts w:eastAsia="Calibri"/>
          <w:lang w:val="en-US"/>
        </w:rPr>
        <w:t>7.0 (OR 0.97, p = 0.0002) per 1</w:t>
      </w:r>
      <w:r w:rsidRPr="001F71C2">
        <w:rPr>
          <w:rFonts w:eastAsia="Calibri"/>
          <w:lang w:val="en-US"/>
        </w:rPr>
        <w:t xml:space="preserve">000 children of the relevant age, as well as the DALYs indicator in the case of mortality of children under 5 years of age in Ukraine </w:t>
      </w:r>
      <w:r w:rsidRPr="001F71C2">
        <w:rPr>
          <w:rFonts w:eastAsia="Calibri"/>
          <w:lang w:val="en-US"/>
        </w:rPr>
        <w:lastRenderedPageBreak/>
        <w:t xml:space="preserve">for all reasons from </w:t>
      </w:r>
      <w:r w:rsidRPr="001F71C2">
        <w:rPr>
          <w:rFonts w:eastAsia="Calibri"/>
        </w:rPr>
        <w:t>21</w:t>
      </w:r>
      <w:r w:rsidRPr="001F71C2">
        <w:rPr>
          <w:rFonts w:eastAsia="Calibri"/>
          <w:lang w:val="en-US"/>
        </w:rPr>
        <w:t> </w:t>
      </w:r>
      <w:r w:rsidRPr="001F71C2">
        <w:rPr>
          <w:rFonts w:eastAsia="Calibri"/>
        </w:rPr>
        <w:t xml:space="preserve">673,59 до 17 185,91 </w:t>
      </w:r>
      <w:r w:rsidRPr="001F71C2">
        <w:rPr>
          <w:rFonts w:eastAsia="Calibri"/>
          <w:lang w:val="en-US"/>
        </w:rPr>
        <w:t xml:space="preserve"> per 100 thousand children (p &lt;0.001) against the background of permanent indicators of early and late neonatal mortality. The structural, age, sex and regional features of the mortality rate of children under 5 years of age in Ukraine were defined, in particular:</w:t>
      </w:r>
    </w:p>
    <w:p w:rsidR="001F71C2" w:rsidRPr="001F71C2" w:rsidRDefault="001F71C2" w:rsidP="001F71C2">
      <w:pPr>
        <w:ind w:firstLine="749"/>
        <w:rPr>
          <w:rFonts w:eastAsia="Calibri"/>
          <w:lang w:val="en-US"/>
        </w:rPr>
      </w:pPr>
      <w:r w:rsidRPr="001F71C2">
        <w:rPr>
          <w:rFonts w:eastAsia="Calibri"/>
          <w:lang w:val="en-US"/>
        </w:rPr>
        <w:t xml:space="preserve">- </w:t>
      </w:r>
      <w:proofErr w:type="gramStart"/>
      <w:r w:rsidRPr="001F71C2">
        <w:rPr>
          <w:rFonts w:eastAsia="Calibri"/>
          <w:lang w:val="en-US"/>
        </w:rPr>
        <w:t>constant</w:t>
      </w:r>
      <w:proofErr w:type="gramEnd"/>
      <w:r w:rsidRPr="001F71C2">
        <w:rPr>
          <w:rFonts w:eastAsia="Calibri"/>
          <w:lang w:val="en-US"/>
        </w:rPr>
        <w:t xml:space="preserve"> gender disparities, as the chances of boys to die before the age of 5 years remain higher than the chances of girls (in 2014 - OR 1.2, p &lt;0.001 and in 2018 - OR 1.27, p &lt;0.001);</w:t>
      </w:r>
    </w:p>
    <w:p w:rsidR="001F71C2" w:rsidRPr="001F71C2" w:rsidRDefault="001F71C2" w:rsidP="001F71C2">
      <w:pPr>
        <w:ind w:firstLine="749"/>
        <w:rPr>
          <w:rFonts w:eastAsia="Calibri"/>
          <w:lang w:val="en-US"/>
        </w:rPr>
      </w:pPr>
      <w:r w:rsidRPr="001F71C2">
        <w:rPr>
          <w:rFonts w:eastAsia="Calibri"/>
          <w:lang w:val="en-US"/>
        </w:rPr>
        <w:t>- there are differences in the structure by place of residence and sex, as this indicator decreased significantly among boys in both rural (OR 0.89 [95% CI 0.79-1.00], p = 0.048) and urban areas (OR 0.86 [95% CI 0.78-0.94], p = 0.0008), but remained at the same level among rural girls (OR 1.01 [95% CI 0.89-1.15], p = 0.816) and girls in urban areas (OR 0.92 [95% CI 0.83-1.02], p = 0.1007);</w:t>
      </w:r>
    </w:p>
    <w:p w:rsidR="001F71C2" w:rsidRPr="001F71C2" w:rsidRDefault="001F71C2" w:rsidP="001F71C2">
      <w:pPr>
        <w:ind w:firstLine="749"/>
        <w:rPr>
          <w:rFonts w:eastAsia="Calibri"/>
          <w:lang w:val="en-US"/>
        </w:rPr>
      </w:pPr>
      <w:r w:rsidRPr="001F71C2">
        <w:rPr>
          <w:rFonts w:eastAsia="Calibri"/>
          <w:lang w:val="en-US"/>
        </w:rPr>
        <w:t>- constant regional disparities, as the interquartile ranges of these indicators do not decrease (for the mortality rate of children up to 5 years – Me 1</w:t>
      </w:r>
      <w:r w:rsidR="00C31BB5">
        <w:rPr>
          <w:rFonts w:eastAsia="Calibri"/>
        </w:rPr>
        <w:t>86.</w:t>
      </w:r>
      <w:r w:rsidRPr="001F71C2">
        <w:rPr>
          <w:rFonts w:eastAsia="Calibri"/>
        </w:rPr>
        <w:t>7</w:t>
      </w:r>
      <w:r w:rsidRPr="001F71C2">
        <w:rPr>
          <w:rFonts w:eastAsia="Calibri"/>
          <w:lang w:val="en-US"/>
        </w:rPr>
        <w:t>; IQR 40.6 in 2014 and Me 1</w:t>
      </w:r>
      <w:r w:rsidRPr="001F71C2">
        <w:rPr>
          <w:rFonts w:eastAsia="Calibri"/>
        </w:rPr>
        <w:t>51</w:t>
      </w:r>
      <w:r w:rsidRPr="001F71C2">
        <w:rPr>
          <w:rFonts w:eastAsia="Calibri"/>
          <w:lang w:val="en-US"/>
        </w:rPr>
        <w:t>.</w:t>
      </w:r>
      <w:r w:rsidRPr="001F71C2">
        <w:rPr>
          <w:rFonts w:eastAsia="Calibri"/>
        </w:rPr>
        <w:t>5</w:t>
      </w:r>
      <w:r w:rsidRPr="001F71C2">
        <w:rPr>
          <w:rFonts w:eastAsia="Calibri"/>
          <w:lang w:val="en-US"/>
        </w:rPr>
        <w:t>; IQR 40.4 per 100 thousand children of the relevant age in 2018 and for infant mortality - Me 7.59; IQR 1.47 and Me 7.0; IQR 1.7 per 1.000 live births);</w:t>
      </w:r>
    </w:p>
    <w:p w:rsidR="001F71C2" w:rsidRPr="001F71C2" w:rsidRDefault="001F71C2" w:rsidP="001F71C2">
      <w:pPr>
        <w:ind w:firstLine="749"/>
        <w:rPr>
          <w:rFonts w:eastAsia="Calibri"/>
          <w:lang w:val="en-US"/>
        </w:rPr>
      </w:pPr>
      <w:r w:rsidRPr="001F71C2">
        <w:rPr>
          <w:rFonts w:eastAsia="Calibri"/>
          <w:lang w:val="en-US"/>
        </w:rPr>
        <w:t>- the unchanged causal structure of both the mortality rate of children up to 5 years and the infant mortality rate, as the first three rankings remain stable: for the mortality rate of children up to 5 years: - maternal disorders related to pregnancy and neonatal disorders 62.03 (95% CI 46.88-77.66), other non-communicable diseases 52.32 (95% CI 41.53-71.75) and unintentional injuries 16.17 (95% CI 13.01-19.44);</w:t>
      </w:r>
    </w:p>
    <w:p w:rsidR="001F71C2" w:rsidRPr="001F71C2" w:rsidRDefault="001F71C2" w:rsidP="001F71C2">
      <w:pPr>
        <w:ind w:firstLine="749"/>
        <w:rPr>
          <w:rFonts w:eastAsia="Calibri"/>
          <w:lang w:val="en-US"/>
        </w:rPr>
      </w:pPr>
      <w:r w:rsidRPr="001F71C2">
        <w:rPr>
          <w:rFonts w:eastAsia="Calibri"/>
          <w:lang w:val="en-US"/>
        </w:rPr>
        <w:t xml:space="preserve">- the constant  proportion </w:t>
      </w:r>
      <w:r w:rsidRPr="001F71C2">
        <w:rPr>
          <w:rFonts w:eastAsia="Calibri"/>
        </w:rPr>
        <w:t xml:space="preserve">of children </w:t>
      </w:r>
      <w:r w:rsidRPr="001F71C2">
        <w:rPr>
          <w:rFonts w:eastAsia="Calibri"/>
          <w:lang w:val="en-US"/>
        </w:rPr>
        <w:t>up to 1 year who die outside the hospital in the total number of children of deceased children who were under the supervision of children's clinics under the management of the Ministry of Healthcare of Ukraine (40,94% та 43,8%, р=0,409), against the background of a significant decrease in the in-hospital mortality rate of children under 1 year of age (2009</w:t>
      </w:r>
      <w:r w:rsidR="0093069F">
        <w:rPr>
          <w:rFonts w:eastAsia="Calibri"/>
          <w:lang w:val="en-US"/>
        </w:rPr>
        <w:t>-2018), from 1.36 to 0.89 per 1</w:t>
      </w:r>
      <w:r w:rsidRPr="001F71C2">
        <w:rPr>
          <w:rFonts w:eastAsia="Calibri"/>
          <w:lang w:val="en-US"/>
        </w:rPr>
        <w:t>000 children of the relevant age (OR 0.77 (95 % CI 0</w:t>
      </w:r>
      <w:r w:rsidR="00C31BB5">
        <w:rPr>
          <w:rFonts w:eastAsia="Calibri"/>
        </w:rPr>
        <w:t>.</w:t>
      </w:r>
      <w:r w:rsidRPr="001F71C2">
        <w:rPr>
          <w:rFonts w:eastAsia="Calibri"/>
          <w:lang w:val="en-US"/>
        </w:rPr>
        <w:t xml:space="preserve">67-0.89, p &lt;0.001), preservation of significant variations of this indicator by separate administrative territories (IQR 0.7 and 0.74, respectively) and its causal structure (first rating places: injuries, poisonings and some other consequences </w:t>
      </w:r>
      <w:r w:rsidRPr="001F71C2">
        <w:rPr>
          <w:rFonts w:eastAsia="Calibri"/>
          <w:lang w:val="en-US"/>
        </w:rPr>
        <w:lastRenderedPageBreak/>
        <w:t>of action external causes (first place), symptoms, signs and abnormalities (second place), respiratory diseases (third place).</w:t>
      </w:r>
    </w:p>
    <w:p w:rsidR="001F71C2" w:rsidRPr="001F71C2" w:rsidRDefault="001F71C2" w:rsidP="001F71C2">
      <w:pPr>
        <w:ind w:firstLine="749"/>
        <w:rPr>
          <w:rFonts w:eastAsia="Calibri"/>
          <w:lang w:val="en-US"/>
        </w:rPr>
      </w:pPr>
      <w:r w:rsidRPr="001F71C2">
        <w:rPr>
          <w:rFonts w:eastAsia="Calibri"/>
          <w:lang w:val="en-US"/>
        </w:rPr>
        <w:t xml:space="preserve">There was a significant decrease over the study period in the incidence of children’s morbidity aged 0-6 years from 1545.44 to 1455.94 per 1000 children of the relevant age (p &lt;0.001), along with an increase in the birth rate of sick and affected newborns by </w:t>
      </w:r>
      <w:r w:rsidR="00C31BB5">
        <w:rPr>
          <w:rFonts w:eastAsia="Calibri"/>
          <w:lang w:val="en-US"/>
        </w:rPr>
        <w:t>10.5 % (from 149.4‰ to 165.59</w:t>
      </w:r>
      <w:r w:rsidR="00C31BB5" w:rsidRPr="00C31BB5">
        <w:rPr>
          <w:rFonts w:eastAsia="Calibri"/>
          <w:lang w:val="en-US"/>
        </w:rPr>
        <w:t>‰</w:t>
      </w:r>
      <w:r w:rsidRPr="001F71C2">
        <w:rPr>
          <w:rFonts w:eastAsia="Calibri"/>
          <w:lang w:val="en-US"/>
        </w:rPr>
        <w:t xml:space="preserve">); decrease in the morbidity rate by classes: mental and behavioral disorders (OR 0.774, p &lt;0.001), circulatory system diseases (OR 0.736, p &lt;0.001]) and some infectious and parasitic diseases (OR 0.818, p &lt;0.001) and increase in the morbidity rate by the class “symptoms, signs and abnormalities detected in clinical and laboratory studies, not classified in other headings” (OR 1.055 [95% CI 1.023-1.088], p = 0.005), i.e., conditions that may indirectly indicate the insufficient diagnosis and, accordingly, inappropriate detection of disease. This can be confirmed by a negative relationship between morbidity and mortality of children </w:t>
      </w:r>
      <w:proofErr w:type="gramStart"/>
      <w:r w:rsidRPr="001F71C2">
        <w:rPr>
          <w:rFonts w:eastAsia="Calibri"/>
          <w:lang w:val="en-US"/>
        </w:rPr>
        <w:t>under</w:t>
      </w:r>
      <w:proofErr w:type="gramEnd"/>
      <w:r w:rsidRPr="001F71C2">
        <w:rPr>
          <w:rFonts w:eastAsia="Calibri"/>
          <w:lang w:val="en-US"/>
        </w:rPr>
        <w:t xml:space="preserve"> 5 years of age according to the Poisson regression (</w:t>
      </w:r>
      <w:r w:rsidR="00D02F92" w:rsidRPr="00D02F92">
        <w:rPr>
          <w:rFonts w:eastAsia="Calibri"/>
          <w:lang w:val="en-US"/>
        </w:rPr>
        <w:t>Coef</w:t>
      </w:r>
      <w:r w:rsidR="00D02F92" w:rsidRPr="00D02F92">
        <w:rPr>
          <w:rFonts w:eastAsia="Calibri"/>
        </w:rPr>
        <w:t xml:space="preserve">. </w:t>
      </w:r>
      <w:r w:rsidRPr="001F71C2">
        <w:rPr>
          <w:rFonts w:eastAsia="Calibri"/>
          <w:lang w:val="en-US"/>
        </w:rPr>
        <w:t>-0.000438, p &lt;0.001) in some administrative territories, as higher mortality is associated with lower morbidity, which suggests a low level of disease detection among children up to 5 years.</w:t>
      </w:r>
    </w:p>
    <w:p w:rsidR="001F71C2" w:rsidRPr="001F71C2" w:rsidRDefault="001F71C2" w:rsidP="001F71C2">
      <w:pPr>
        <w:ind w:firstLine="749"/>
        <w:rPr>
          <w:rFonts w:eastAsia="Calibri"/>
          <w:lang w:val="en-US"/>
        </w:rPr>
      </w:pPr>
      <w:r w:rsidRPr="001F71C2">
        <w:rPr>
          <w:rFonts w:eastAsia="Calibri"/>
          <w:lang w:val="en-US"/>
        </w:rPr>
        <w:t>A comparative analysis of mortality and morbidity in children up to 5 years revealed significant differences from similar indicators in the referential countries. The mortality rate in 2019 in Ukraine (163.35 per 100 thousand of the corresponding population) was the highest relative to the United States, Germany, England and Spain, whereas the morbidity rate was much lower than the same rate in the referential countries, which confirms the suggestion about a low level of disease detection and, accordingly, which may be a hidden risk of increased mortality in children up to 5 years.</w:t>
      </w:r>
    </w:p>
    <w:p w:rsidR="001F71C2" w:rsidRPr="001F71C2" w:rsidRDefault="001F71C2" w:rsidP="001F71C2">
      <w:pPr>
        <w:ind w:firstLine="749"/>
        <w:rPr>
          <w:rFonts w:eastAsia="Calibri"/>
          <w:lang w:val="en-US"/>
        </w:rPr>
      </w:pPr>
      <w:r w:rsidRPr="001F71C2">
        <w:rPr>
          <w:rFonts w:eastAsia="Calibri"/>
          <w:lang w:val="en-US"/>
        </w:rPr>
        <w:t>It was shown that against the background of a reduced number of children's inpatient beds of around the clock monitoring by 21.5% (from 51.382 beds in 2013 to 40.312 in 2018) for most profiles of its provision, there is a constant intensity of children's beds (average annual bed occupancy 312.36 days per year in 2013 and 302.5 in 2018 - respectively), with reliable links between the mortality of children up to 5 years and such indicators as the number of treated children per day hospital bed (</w:t>
      </w:r>
      <w:r w:rsidR="00D02F92" w:rsidRPr="00D02F92">
        <w:rPr>
          <w:rFonts w:eastAsia="Calibri"/>
          <w:lang w:val="en-US"/>
        </w:rPr>
        <w:t>Coef</w:t>
      </w:r>
      <w:r w:rsidR="00D02F92" w:rsidRPr="00D02F92">
        <w:rPr>
          <w:rFonts w:eastAsia="Calibri"/>
        </w:rPr>
        <w:t xml:space="preserve">. </w:t>
      </w:r>
      <w:r w:rsidRPr="001F71C2">
        <w:rPr>
          <w:rFonts w:eastAsia="Calibri"/>
          <w:lang w:val="en-US"/>
        </w:rPr>
        <w:t xml:space="preserve"> 0.001, p = 0.038) and the share of children transferred from one institution to another (</w:t>
      </w:r>
      <w:r w:rsidR="00D02F92" w:rsidRPr="00D02F92">
        <w:rPr>
          <w:rFonts w:eastAsia="Calibri"/>
          <w:lang w:val="en-US"/>
        </w:rPr>
        <w:t>Coef</w:t>
      </w:r>
      <w:r w:rsidR="00D02F92" w:rsidRPr="00D02F92">
        <w:rPr>
          <w:rFonts w:eastAsia="Calibri"/>
        </w:rPr>
        <w:t xml:space="preserve">. </w:t>
      </w:r>
      <w:r w:rsidRPr="001F71C2">
        <w:rPr>
          <w:rFonts w:eastAsia="Calibri"/>
          <w:lang w:val="en-US"/>
        </w:rPr>
        <w:t xml:space="preserve">1.004; p </w:t>
      </w:r>
      <w:r w:rsidRPr="001F71C2">
        <w:rPr>
          <w:rFonts w:eastAsia="Calibri"/>
          <w:lang w:val="en-US"/>
        </w:rPr>
        <w:lastRenderedPageBreak/>
        <w:t>&lt;0.001), as well as indicators that characterize the staff provision, in particular the provision with pediatricians (</w:t>
      </w:r>
      <w:r w:rsidR="0097360D" w:rsidRPr="0097360D">
        <w:rPr>
          <w:rFonts w:eastAsia="Calibri"/>
          <w:lang w:val="en-US"/>
        </w:rPr>
        <w:t>Coef</w:t>
      </w:r>
      <w:r w:rsidR="0097360D" w:rsidRPr="0097360D">
        <w:rPr>
          <w:rFonts w:eastAsia="Calibri"/>
        </w:rPr>
        <w:t>.</w:t>
      </w:r>
      <w:r w:rsidRPr="001F71C2">
        <w:rPr>
          <w:rFonts w:eastAsia="Calibri"/>
          <w:lang w:val="en-US"/>
        </w:rPr>
        <w:t xml:space="preserve"> 0.739; p &lt;0.001), including district pediatricians (</w:t>
      </w:r>
      <w:r w:rsidR="0097360D" w:rsidRPr="0097360D">
        <w:rPr>
          <w:rFonts w:eastAsia="Calibri"/>
          <w:lang w:val="en-US"/>
        </w:rPr>
        <w:t>Coef</w:t>
      </w:r>
      <w:r w:rsidR="0097360D" w:rsidRPr="0097360D">
        <w:rPr>
          <w:rFonts w:eastAsia="Calibri"/>
        </w:rPr>
        <w:t>.</w:t>
      </w:r>
      <w:r w:rsidR="0097360D" w:rsidRPr="0097360D">
        <w:rPr>
          <w:lang w:val="en-US"/>
        </w:rPr>
        <w:t> </w:t>
      </w:r>
      <w:r w:rsidRPr="001F71C2">
        <w:rPr>
          <w:rFonts w:eastAsia="Calibri"/>
          <w:lang w:val="en-US"/>
        </w:rPr>
        <w:t>0.958; p &lt;0.001) and staffing with paramedics in postnatal care (</w:t>
      </w:r>
      <w:r w:rsidR="00D02F92" w:rsidRPr="00D02F92">
        <w:rPr>
          <w:rFonts w:eastAsia="Calibri"/>
          <w:lang w:val="en-US"/>
        </w:rPr>
        <w:t>Coef</w:t>
      </w:r>
      <w:r w:rsidR="00721405">
        <w:rPr>
          <w:rFonts w:eastAsia="Calibri"/>
        </w:rPr>
        <w:t xml:space="preserve">. </w:t>
      </w:r>
      <w:r w:rsidRPr="001F71C2">
        <w:rPr>
          <w:rFonts w:eastAsia="Calibri"/>
          <w:lang w:val="en-US"/>
        </w:rPr>
        <w:t>0.997; p</w:t>
      </w:r>
      <w:r w:rsidR="0097360D">
        <w:rPr>
          <w:rFonts w:eastAsia="Calibri"/>
          <w:lang w:val="en-US"/>
        </w:rPr>
        <w:t> </w:t>
      </w:r>
      <w:r w:rsidRPr="001F71C2">
        <w:rPr>
          <w:rFonts w:eastAsia="Calibri"/>
          <w:lang w:val="en-US"/>
        </w:rPr>
        <w:t>=</w:t>
      </w:r>
      <w:r w:rsidR="0097360D">
        <w:rPr>
          <w:lang w:val="en-US"/>
        </w:rPr>
        <w:t> </w:t>
      </w:r>
      <w:r w:rsidRPr="001F71C2">
        <w:rPr>
          <w:rFonts w:eastAsia="Calibri"/>
          <w:lang w:val="en-US"/>
        </w:rPr>
        <w:t>0.032).</w:t>
      </w:r>
    </w:p>
    <w:p w:rsidR="001F71C2" w:rsidRPr="001F71C2" w:rsidRDefault="001F71C2" w:rsidP="001F71C2">
      <w:pPr>
        <w:ind w:firstLine="749"/>
        <w:rPr>
          <w:rFonts w:eastAsia="Calibri"/>
          <w:lang w:val="en-US"/>
        </w:rPr>
      </w:pPr>
      <w:r w:rsidRPr="001F71C2">
        <w:rPr>
          <w:rFonts w:eastAsia="Calibri"/>
          <w:lang w:val="en-US"/>
        </w:rPr>
        <w:t>The hidden risks of increasing child mortality may also be the insufficient level of theoretical knowledge and practical skills in specialists in general medical practice – family medicine on child death prevention, as 67.75 ± 2.3% of them indicated insufficient theoretical training and 70.25 ± 2.3% of doctors - insufficient practical training in providing emergency care in the event of life-threatening conditions (burns of the respiratory tract, croup, falls from a height, traumatic brain injury, electric shock) in children, with only 21.25 ± 2.0% of doctors who organized a school of responsible parenting and 15.75 ± 1.8% of respondents who taught parents the tactics of action in life-threatening conditions for children. A sociological survey of parents of children up to 5 years showed their low awareness (less than 39.5%) of the tactics of action in the vast majority of life-threatening conditions for children.</w:t>
      </w:r>
    </w:p>
    <w:p w:rsidR="001F71C2" w:rsidRPr="001F71C2" w:rsidRDefault="001F71C2" w:rsidP="001F71C2">
      <w:pPr>
        <w:ind w:firstLine="749"/>
        <w:rPr>
          <w:rFonts w:eastAsia="Calibri"/>
          <w:lang w:val="en-US"/>
        </w:rPr>
      </w:pPr>
      <w:r w:rsidRPr="001F71C2">
        <w:rPr>
          <w:rFonts w:eastAsia="Calibri"/>
          <w:lang w:val="en-US"/>
        </w:rPr>
        <w:t>The methodology for a comprehensive assessment of perinatal care in Ukraine was substantiated and developed – a tool that enables doctors to receive in a timely manner and analyze comprehensively the data on regionalization of perinatal care for further adoption or adjustment of management decisions, which includes quality indicators with a high level of evidence, monitoring system and evaluation methodology. Approbation of this methodology revealed its high efficiency at the national level, which allowed the researcher to determine 3 groups of administrative territories in terms of the level of implemented regionalization of perinatal care: group I of territories with sufficiently effective perinatal service</w:t>
      </w:r>
      <w:r w:rsidR="00721405">
        <w:rPr>
          <w:rFonts w:eastAsia="Calibri"/>
        </w:rPr>
        <w:t xml:space="preserve"> (</w:t>
      </w:r>
      <w:r w:rsidR="00721405" w:rsidRPr="00721405">
        <w:rPr>
          <w:rFonts w:eastAsia="Calibri"/>
        </w:rPr>
        <w:t>coefficient of c</w:t>
      </w:r>
      <w:r w:rsidR="00721405">
        <w:rPr>
          <w:rFonts w:eastAsia="Calibri"/>
        </w:rPr>
        <w:t>omprehensive assessment ≥ 0.</w:t>
      </w:r>
      <w:r w:rsidR="00721405" w:rsidRPr="00721405">
        <w:rPr>
          <w:rFonts w:eastAsia="Calibri"/>
        </w:rPr>
        <w:t>80)</w:t>
      </w:r>
      <w:r w:rsidRPr="001F71C2">
        <w:rPr>
          <w:rFonts w:eastAsia="Calibri"/>
          <w:lang w:val="en-US"/>
        </w:rPr>
        <w:t>, group ІІ of territories with an above-average level (coefficient of comprehensive assessment 0.7-0.79), which needs strengthening of separate components of activity of establishments and facilities of perinatal service and group ІІІ of problem regions with an average level (coefficient of comprehensive assessment 0.6-0.69), requiring acceptance of management decisions on more effective activities of institutions and facilities of perinatal service.</w:t>
      </w:r>
    </w:p>
    <w:p w:rsidR="00765D90" w:rsidRPr="00765D90" w:rsidRDefault="001F71C2" w:rsidP="00765D90">
      <w:pPr>
        <w:ind w:firstLine="749"/>
        <w:rPr>
          <w:rFonts w:eastAsia="Calibri"/>
        </w:rPr>
      </w:pPr>
      <w:r w:rsidRPr="001F71C2">
        <w:rPr>
          <w:rFonts w:eastAsia="Calibri"/>
          <w:lang w:val="en-US"/>
        </w:rPr>
        <w:lastRenderedPageBreak/>
        <w:t>Based on global (WHO, UN), European (EU, Council of Europe, European Commission), international and domestic recommendations and initiatives, positive foreign experience in implementing WHO global initiatives to prevent manageable death cases among children in everyday medical practice; peculiarities of age, sex, causal and regional structure of mortality rate in Ukraine, as well as the existing hidden risks of organizing medical care for children, were substantiated, developed and tested at the level of individual innovative elements of an innovative system of medical-social care for children up to 5 years in Ukraine, which has a multisectoral commitment, 5 directions (state,</w:t>
      </w:r>
      <w:r w:rsidRPr="001F71C2">
        <w:rPr>
          <w:rFonts w:eastAsia="Calibri"/>
        </w:rPr>
        <w:t xml:space="preserve"> </w:t>
      </w:r>
      <w:r w:rsidRPr="001F71C2">
        <w:rPr>
          <w:rFonts w:eastAsia="Calibri"/>
          <w:lang w:val="en-US"/>
        </w:rPr>
        <w:t>sectoral, intersectoral, family, local</w:t>
      </w:r>
      <w:r w:rsidRPr="001F71C2">
        <w:rPr>
          <w:rFonts w:eastAsia="Calibri"/>
        </w:rPr>
        <w:t>/</w:t>
      </w:r>
      <w:r w:rsidRPr="001F71C2">
        <w:rPr>
          <w:rFonts w:eastAsia="Calibri"/>
          <w:lang w:val="en-US"/>
        </w:rPr>
        <w:t>public), provides accessibility, comprehensiveness, phasing, continuity of medical care, and has a number of innovative elements, the most important of which are the introduction of electronic health care, reforming the financing of public health, development of the National Action Plan for the prevention of manageable death cases among children. It was demonstrated that the introduction of innovative elements of the system, primarily electronic health care, allowed doctors to monitor the basic indicators of the quality of perinatal care in real-time</w:t>
      </w:r>
      <w:r w:rsidRPr="001F71C2">
        <w:rPr>
          <w:rFonts w:eastAsia="Calibri"/>
        </w:rPr>
        <w:t xml:space="preserve">. </w:t>
      </w:r>
      <w:r w:rsidRPr="001F71C2">
        <w:rPr>
          <w:rFonts w:eastAsia="Calibri"/>
          <w:lang w:val="en-US"/>
        </w:rPr>
        <w:t>The compliance of the proposed system with the directions of reforming the domestic medical field and the best world models, as well as its positive assessment by experts (98.0%) allows the researcher to recommend it for implementation in the practice of the healthcare system of Ukraine.</w:t>
      </w:r>
    </w:p>
    <w:p w:rsidR="001F71C2" w:rsidRDefault="001F71C2" w:rsidP="001F71C2">
      <w:pPr>
        <w:widowControl w:val="0"/>
        <w:tabs>
          <w:tab w:val="left" w:pos="1080"/>
        </w:tabs>
        <w:ind w:firstLine="709"/>
        <w:rPr>
          <w:rFonts w:eastAsia="Times New Roman"/>
          <w:b/>
          <w:iCs/>
          <w:color w:val="000000"/>
          <w:szCs w:val="28"/>
          <w:lang w:val="en-US" w:eastAsia="ru-RU"/>
        </w:rPr>
      </w:pPr>
      <w:r w:rsidRPr="001F71C2">
        <w:rPr>
          <w:rFonts w:eastAsia="Times New Roman"/>
          <w:b/>
          <w:iCs/>
          <w:color w:val="000000"/>
          <w:szCs w:val="28"/>
          <w:lang w:val="en-US" w:eastAsia="ru-RU"/>
        </w:rPr>
        <w:t>Key words</w:t>
      </w:r>
      <w:r w:rsidRPr="001F71C2">
        <w:rPr>
          <w:rFonts w:eastAsia="Times New Roman"/>
          <w:iCs/>
          <w:color w:val="000000"/>
          <w:szCs w:val="28"/>
          <w:lang w:val="en-US" w:eastAsia="ru-RU"/>
        </w:rPr>
        <w:t xml:space="preserve">: innovative system, medical-social care, </w:t>
      </w:r>
      <w:r w:rsidRPr="001F71C2">
        <w:rPr>
          <w:rFonts w:eastAsia="Times New Roman"/>
          <w:iCs/>
          <w:color w:val="000000"/>
          <w:szCs w:val="28"/>
          <w:lang w:eastAsia="ru-RU"/>
        </w:rPr>
        <w:t>perinatal care</w:t>
      </w:r>
      <w:r w:rsidRPr="001F71C2">
        <w:rPr>
          <w:rFonts w:eastAsia="Times New Roman"/>
          <w:iCs/>
          <w:color w:val="000000"/>
          <w:szCs w:val="28"/>
          <w:lang w:val="en-US" w:eastAsia="ru-RU"/>
        </w:rPr>
        <w:t>, children up to 5</w:t>
      </w:r>
      <w:r>
        <w:rPr>
          <w:rFonts w:eastAsia="Times New Roman"/>
          <w:iCs/>
          <w:color w:val="000000"/>
          <w:szCs w:val="28"/>
          <w:lang w:val="en-US" w:eastAsia="ru-RU"/>
        </w:rPr>
        <w:t> </w:t>
      </w:r>
      <w:r w:rsidRPr="001F71C2">
        <w:rPr>
          <w:rFonts w:eastAsia="Times New Roman"/>
          <w:iCs/>
          <w:color w:val="000000"/>
          <w:szCs w:val="28"/>
          <w:lang w:val="en-US" w:eastAsia="ru-RU"/>
        </w:rPr>
        <w:t xml:space="preserve">years, </w:t>
      </w:r>
      <w:r w:rsidRPr="001F71C2">
        <w:rPr>
          <w:rFonts w:eastAsia="Times New Roman"/>
          <w:iCs/>
          <w:color w:val="000000"/>
          <w:szCs w:val="28"/>
          <w:lang w:eastAsia="ru-RU"/>
        </w:rPr>
        <w:t xml:space="preserve">mortality, morbidity, </w:t>
      </w:r>
      <w:r w:rsidR="00C820F8">
        <w:rPr>
          <w:rFonts w:eastAsia="Times New Roman"/>
          <w:iCs/>
          <w:color w:val="000000"/>
          <w:szCs w:val="28"/>
          <w:lang w:eastAsia="ru-RU"/>
        </w:rPr>
        <w:t>quality management</w:t>
      </w:r>
      <w:r w:rsidRPr="001F71C2">
        <w:rPr>
          <w:rFonts w:eastAsia="Times New Roman"/>
          <w:iCs/>
          <w:color w:val="000000"/>
          <w:szCs w:val="28"/>
          <w:lang w:val="en-US" w:eastAsia="ru-RU"/>
        </w:rPr>
        <w:t>.</w:t>
      </w:r>
    </w:p>
    <w:p w:rsidR="001F71C2" w:rsidRPr="00D63846" w:rsidRDefault="001F71C2" w:rsidP="005930E7">
      <w:pPr>
        <w:widowControl w:val="0"/>
        <w:tabs>
          <w:tab w:val="left" w:pos="1080"/>
        </w:tabs>
        <w:rPr>
          <w:rFonts w:eastAsia="Times New Roman"/>
          <w:b/>
          <w:iCs/>
          <w:color w:val="000000"/>
          <w:szCs w:val="28"/>
          <w:lang w:val="en-US" w:eastAsia="ru-RU"/>
        </w:rPr>
      </w:pPr>
    </w:p>
    <w:p w:rsidR="00434FF1" w:rsidRPr="00373E93" w:rsidRDefault="003D1A8C" w:rsidP="00F56089">
      <w:pPr>
        <w:pageBreakBefore/>
        <w:widowControl w:val="0"/>
        <w:shd w:val="clear" w:color="auto" w:fill="FFFFFF"/>
        <w:ind w:firstLine="448"/>
        <w:rPr>
          <w:rFonts w:eastAsia="Times New Roman"/>
          <w:b/>
          <w:iCs/>
          <w:color w:val="000000"/>
          <w:szCs w:val="28"/>
          <w:lang w:val="ru-RU" w:eastAsia="ru-RU"/>
        </w:rPr>
      </w:pPr>
      <w:r w:rsidRPr="00C70CAC">
        <w:rPr>
          <w:rFonts w:eastAsia="Times New Roman"/>
          <w:iCs/>
          <w:color w:val="000000"/>
          <w:szCs w:val="28"/>
          <w:lang w:eastAsia="ru-RU"/>
        </w:rPr>
        <w:lastRenderedPageBreak/>
        <w:t xml:space="preserve">           </w:t>
      </w:r>
      <w:r w:rsidR="00434FF1" w:rsidRPr="00373E93">
        <w:rPr>
          <w:rFonts w:eastAsia="Times New Roman"/>
          <w:b/>
          <w:iCs/>
          <w:color w:val="000000"/>
          <w:szCs w:val="28"/>
          <w:lang w:eastAsia="ru-RU"/>
        </w:rPr>
        <w:t>СПИСОК ОПУБЛІКОВАНИХ ПРАЦЬ ЗА ТЕМОЮ ДИСЕРТАЦІЇ</w:t>
      </w:r>
    </w:p>
    <w:p w:rsidR="004075F4" w:rsidRPr="00924A7D" w:rsidRDefault="004075F4" w:rsidP="00D91883">
      <w:pPr>
        <w:widowControl w:val="0"/>
        <w:tabs>
          <w:tab w:val="left" w:pos="1080"/>
        </w:tabs>
        <w:ind w:firstLine="709"/>
        <w:jc w:val="center"/>
        <w:rPr>
          <w:b/>
          <w:szCs w:val="28"/>
          <w:lang w:eastAsia="ru-RU"/>
        </w:rPr>
      </w:pPr>
      <w:r w:rsidRPr="00924A7D">
        <w:rPr>
          <w:b/>
          <w:szCs w:val="28"/>
          <w:lang w:eastAsia="ru-RU"/>
        </w:rPr>
        <w:t>Наукові праці, в яких опубліковані основні результати дисертації</w:t>
      </w:r>
    </w:p>
    <w:p w:rsidR="00D91883" w:rsidRPr="00231499" w:rsidRDefault="00D91883" w:rsidP="00D91883">
      <w:pPr>
        <w:widowControl w:val="0"/>
        <w:numPr>
          <w:ilvl w:val="0"/>
          <w:numId w:val="3"/>
        </w:numPr>
        <w:ind w:left="0" w:firstLine="284"/>
        <w:contextualSpacing/>
        <w:rPr>
          <w:rFonts w:eastAsia="Calibri"/>
          <w:szCs w:val="28"/>
        </w:rPr>
      </w:pPr>
      <w:r w:rsidRPr="00231499">
        <w:rPr>
          <w:rFonts w:eastAsia="Calibri"/>
          <w:szCs w:val="28"/>
        </w:rPr>
        <w:t xml:space="preserve">Дудник С. В. Сучасні тенденції малюкової смертності в Україні. Україна. Здоров’я нації. 2016. № 4 (40). С. 32–37. </w:t>
      </w:r>
    </w:p>
    <w:p w:rsidR="00D91883" w:rsidRPr="00231499" w:rsidRDefault="00D91883" w:rsidP="00D91883">
      <w:pPr>
        <w:widowControl w:val="0"/>
        <w:numPr>
          <w:ilvl w:val="0"/>
          <w:numId w:val="3"/>
        </w:numPr>
        <w:ind w:left="0" w:firstLine="284"/>
        <w:contextualSpacing/>
        <w:rPr>
          <w:rFonts w:eastAsia="Calibri"/>
          <w:szCs w:val="28"/>
        </w:rPr>
      </w:pPr>
      <w:r w:rsidRPr="00231499">
        <w:rPr>
          <w:rFonts w:eastAsia="Calibri"/>
          <w:szCs w:val="28"/>
        </w:rPr>
        <w:t>Дудник С. В. Детермінанти малюкової смертності залежно від статі та місця мешканця. Україна. Здоров’я нації. 2016. № 4/1 (41). С. 113–121.</w:t>
      </w:r>
    </w:p>
    <w:p w:rsidR="00D91883" w:rsidRPr="00231499" w:rsidRDefault="00D91883" w:rsidP="00D91883">
      <w:pPr>
        <w:widowControl w:val="0"/>
        <w:numPr>
          <w:ilvl w:val="0"/>
          <w:numId w:val="3"/>
        </w:numPr>
        <w:ind w:left="0" w:firstLine="284"/>
        <w:contextualSpacing/>
        <w:rPr>
          <w:rFonts w:eastAsia="Calibri"/>
          <w:szCs w:val="28"/>
        </w:rPr>
      </w:pPr>
      <w:r w:rsidRPr="00231499">
        <w:rPr>
          <w:rFonts w:eastAsia="Calibri"/>
          <w:szCs w:val="28"/>
        </w:rPr>
        <w:t xml:space="preserve">Дудник С. В. Регіональні тенденції малюкової смертності в Україні. Україна. Здоров’я нації. 2017. № 1 (42). С. 34–40. </w:t>
      </w:r>
    </w:p>
    <w:p w:rsidR="00D91883" w:rsidRPr="00231499" w:rsidRDefault="00D91883" w:rsidP="00D91883">
      <w:pPr>
        <w:widowControl w:val="0"/>
        <w:numPr>
          <w:ilvl w:val="0"/>
          <w:numId w:val="3"/>
        </w:numPr>
        <w:ind w:left="0" w:firstLine="284"/>
        <w:contextualSpacing/>
        <w:rPr>
          <w:rFonts w:eastAsia="Calibri"/>
          <w:szCs w:val="28"/>
        </w:rPr>
      </w:pPr>
      <w:r w:rsidRPr="00231499">
        <w:rPr>
          <w:rFonts w:eastAsia="Calibri"/>
          <w:szCs w:val="28"/>
        </w:rPr>
        <w:t xml:space="preserve">Дудник С. В. Порівняльна характеристика і сучасні тенденції рівня дитячої смертності в Україні, державах Європейського регіону та країнах пострадянського простору. Україна. Здоров’я нації. 2017. № 4 (45). С. 29–35. </w:t>
      </w:r>
    </w:p>
    <w:p w:rsidR="00D91883" w:rsidRPr="00231499" w:rsidRDefault="00D91883" w:rsidP="00D91883">
      <w:pPr>
        <w:widowControl w:val="0"/>
        <w:numPr>
          <w:ilvl w:val="0"/>
          <w:numId w:val="3"/>
        </w:numPr>
        <w:ind w:left="0" w:firstLine="284"/>
        <w:contextualSpacing/>
        <w:rPr>
          <w:rFonts w:eastAsia="Calibri"/>
          <w:szCs w:val="28"/>
        </w:rPr>
      </w:pPr>
      <w:r w:rsidRPr="00231499">
        <w:rPr>
          <w:rFonts w:eastAsia="Calibri"/>
          <w:szCs w:val="28"/>
        </w:rPr>
        <w:t xml:space="preserve">Дудник С. В. Перспективні напрями досягнення ефективної державної політики у сфері охорони здоров’я та попередження дитячої смертності. Україна. Здоров’я нації. 2017. № 4/1 (46). С. 46–53. </w:t>
      </w:r>
    </w:p>
    <w:p w:rsidR="00D91883" w:rsidRPr="00231499" w:rsidRDefault="00D91883" w:rsidP="00D91883">
      <w:pPr>
        <w:widowControl w:val="0"/>
        <w:numPr>
          <w:ilvl w:val="0"/>
          <w:numId w:val="3"/>
        </w:numPr>
        <w:ind w:left="0" w:firstLine="284"/>
        <w:contextualSpacing/>
        <w:rPr>
          <w:rFonts w:eastAsia="Calibri"/>
          <w:szCs w:val="28"/>
        </w:rPr>
      </w:pPr>
      <w:r w:rsidRPr="00231499">
        <w:rPr>
          <w:rFonts w:eastAsia="Calibri"/>
          <w:szCs w:val="28"/>
        </w:rPr>
        <w:t xml:space="preserve">Дудник С. В. Економічні збитки держави внаслідок малюкової смертності. Економіка і право охорони здоров’я. 2017. № 1 (5). С. 5–9. </w:t>
      </w:r>
    </w:p>
    <w:p w:rsidR="00D91883" w:rsidRPr="00231499" w:rsidRDefault="00D91883" w:rsidP="00D91883">
      <w:pPr>
        <w:widowControl w:val="0"/>
        <w:numPr>
          <w:ilvl w:val="0"/>
          <w:numId w:val="3"/>
        </w:numPr>
        <w:ind w:left="0" w:firstLine="284"/>
        <w:contextualSpacing/>
        <w:rPr>
          <w:rFonts w:eastAsia="Calibri"/>
          <w:szCs w:val="28"/>
        </w:rPr>
      </w:pPr>
      <w:r w:rsidRPr="00231499">
        <w:rPr>
          <w:rFonts w:eastAsia="Calibri"/>
          <w:szCs w:val="28"/>
        </w:rPr>
        <w:t xml:space="preserve">Дудник С. В. Профілактика дитячого травматизму як один із пріоритетів напрямів охорони здоров’я: сучасні підходи до попередження дитячої смертності та інвалідності. Економіка і право охорони здоров’я. 2017. № 2 (6). С. 36–41.  </w:t>
      </w:r>
    </w:p>
    <w:p w:rsidR="00D91883" w:rsidRPr="00231499" w:rsidRDefault="00D91883" w:rsidP="00D91883">
      <w:pPr>
        <w:widowControl w:val="0"/>
        <w:numPr>
          <w:ilvl w:val="0"/>
          <w:numId w:val="3"/>
        </w:numPr>
        <w:ind w:left="0" w:firstLine="284"/>
        <w:contextualSpacing/>
        <w:rPr>
          <w:rFonts w:eastAsia="Calibri"/>
          <w:szCs w:val="28"/>
        </w:rPr>
      </w:pPr>
      <w:r w:rsidRPr="00231499">
        <w:rPr>
          <w:rFonts w:eastAsia="Calibri"/>
          <w:szCs w:val="28"/>
        </w:rPr>
        <w:t>Slabkiy G. О., Dudnyk S. V., Tyapkin G. M. Modern status and age-specific tendencies of mortality of Ukraine`s children from external causes. The Unity of science: International scientific periodical journal. Vienna, Аus</w:t>
      </w:r>
      <w:r w:rsidR="00065F95">
        <w:rPr>
          <w:rFonts w:eastAsia="Calibri"/>
          <w:szCs w:val="28"/>
        </w:rPr>
        <w:t>tria. October 2017. Р. 81–84. (</w:t>
      </w:r>
      <w:r w:rsidRPr="00231499">
        <w:rPr>
          <w:rFonts w:eastAsia="Calibri"/>
          <w:i/>
          <w:szCs w:val="28"/>
        </w:rPr>
        <w:t>Дисертанту належить аналіз матеріалів дослідження, формування висновків, підготовка матеріалів до публікації</w:t>
      </w:r>
      <w:r w:rsidRPr="00231499">
        <w:rPr>
          <w:rFonts w:eastAsia="Calibri"/>
          <w:szCs w:val="28"/>
        </w:rPr>
        <w:t>].</w:t>
      </w:r>
    </w:p>
    <w:p w:rsidR="00D91883" w:rsidRPr="00231499" w:rsidRDefault="00D91883" w:rsidP="00D91883">
      <w:pPr>
        <w:widowControl w:val="0"/>
        <w:numPr>
          <w:ilvl w:val="0"/>
          <w:numId w:val="3"/>
        </w:numPr>
        <w:ind w:left="0" w:firstLine="284"/>
        <w:contextualSpacing/>
        <w:rPr>
          <w:rFonts w:eastAsia="Calibri"/>
          <w:szCs w:val="28"/>
        </w:rPr>
      </w:pPr>
      <w:r w:rsidRPr="00231499">
        <w:rPr>
          <w:rFonts w:eastAsia="Calibri"/>
          <w:szCs w:val="28"/>
        </w:rPr>
        <w:t>Слабкий Г. О., Дудник С. В., Тяпкін Г. М. Аналіз смертності дітей у віці до п’яти років від природжених вад розвитку, деформацій та хромосомних аномалій в Україні</w:t>
      </w:r>
      <w:r w:rsidRPr="00231499">
        <w:rPr>
          <w:rFonts w:eastAsia="Calibri"/>
          <w:i/>
          <w:szCs w:val="28"/>
        </w:rPr>
        <w:t xml:space="preserve">. </w:t>
      </w:r>
      <w:r w:rsidRPr="00231499">
        <w:rPr>
          <w:rFonts w:eastAsia="Calibri"/>
          <w:szCs w:val="28"/>
        </w:rPr>
        <w:t xml:space="preserve">Intermedical Jornal (Slovenská republika). 2017. № ІІ (10). С. 83–90. </w:t>
      </w:r>
      <w:r w:rsidR="00065F95">
        <w:rPr>
          <w:rFonts w:eastAsia="Calibri"/>
          <w:szCs w:val="28"/>
        </w:rPr>
        <w:t>(</w:t>
      </w:r>
      <w:r w:rsidRPr="00231499">
        <w:rPr>
          <w:rFonts w:eastAsia="Calibri"/>
          <w:i/>
          <w:szCs w:val="28"/>
        </w:rPr>
        <w:t>Дисертанту належить збір та статистична обробка матеріалів, аналіз та узагальнення результатів, написання статті</w:t>
      </w:r>
      <w:r w:rsidRPr="00231499">
        <w:rPr>
          <w:rFonts w:eastAsia="Calibri"/>
          <w:szCs w:val="28"/>
        </w:rPr>
        <w:t>).</w:t>
      </w:r>
    </w:p>
    <w:p w:rsidR="00D91883" w:rsidRPr="00231499" w:rsidRDefault="00D91883" w:rsidP="00D91883">
      <w:pPr>
        <w:widowControl w:val="0"/>
        <w:numPr>
          <w:ilvl w:val="0"/>
          <w:numId w:val="3"/>
        </w:numPr>
        <w:ind w:left="0" w:firstLine="284"/>
        <w:contextualSpacing/>
        <w:rPr>
          <w:rFonts w:eastAsia="Calibri"/>
          <w:szCs w:val="28"/>
        </w:rPr>
      </w:pPr>
      <w:r w:rsidRPr="00231499">
        <w:rPr>
          <w:rFonts w:eastAsia="Calibri"/>
          <w:szCs w:val="28"/>
        </w:rPr>
        <w:t xml:space="preserve">Дудник С. В. Стан здоров’я та деякі аспекти організації надання медичної </w:t>
      </w:r>
      <w:r w:rsidRPr="00231499">
        <w:rPr>
          <w:rFonts w:eastAsia="Calibri"/>
          <w:szCs w:val="28"/>
        </w:rPr>
        <w:lastRenderedPageBreak/>
        <w:t xml:space="preserve">допомоги дитячому населенню України. Україна. Здоров’я нації. </w:t>
      </w:r>
      <w:r w:rsidRPr="00231499">
        <w:rPr>
          <w:rFonts w:eastAsia="Calibri"/>
          <w:spacing w:val="-14"/>
          <w:szCs w:val="28"/>
        </w:rPr>
        <w:t>2018. № 1 (47)</w:t>
      </w:r>
      <w:r>
        <w:rPr>
          <w:rFonts w:eastAsia="Calibri"/>
          <w:spacing w:val="-14"/>
          <w:szCs w:val="28"/>
        </w:rPr>
        <w:t>.</w:t>
      </w:r>
      <w:r w:rsidRPr="00231499">
        <w:rPr>
          <w:rFonts w:eastAsia="Calibri"/>
          <w:spacing w:val="-14"/>
          <w:szCs w:val="28"/>
        </w:rPr>
        <w:t xml:space="preserve"> С.</w:t>
      </w:r>
      <w:r>
        <w:rPr>
          <w:rFonts w:eastAsia="Calibri"/>
          <w:spacing w:val="-14"/>
          <w:szCs w:val="28"/>
          <w:lang w:val="ru-RU"/>
        </w:rPr>
        <w:t> </w:t>
      </w:r>
      <w:r w:rsidRPr="00231499">
        <w:rPr>
          <w:rFonts w:eastAsia="Calibri"/>
          <w:szCs w:val="28"/>
        </w:rPr>
        <w:t>26</w:t>
      </w:r>
      <w:r>
        <w:rPr>
          <w:rFonts w:eastAsia="Calibri"/>
          <w:szCs w:val="28"/>
          <w:lang w:val="ru-RU"/>
        </w:rPr>
        <w:t> </w:t>
      </w:r>
      <w:r w:rsidRPr="00B12CA0">
        <w:rPr>
          <w:rFonts w:eastAsia="Calibri"/>
          <w:szCs w:val="28"/>
        </w:rPr>
        <w:t>-</w:t>
      </w:r>
      <w:r w:rsidRPr="00231499">
        <w:rPr>
          <w:rFonts w:eastAsia="Calibri"/>
          <w:szCs w:val="28"/>
        </w:rPr>
        <w:t xml:space="preserve">33. </w:t>
      </w:r>
    </w:p>
    <w:p w:rsidR="00D91883" w:rsidRPr="00231499" w:rsidRDefault="00D91883" w:rsidP="00D91883">
      <w:pPr>
        <w:widowControl w:val="0"/>
        <w:numPr>
          <w:ilvl w:val="0"/>
          <w:numId w:val="3"/>
        </w:numPr>
        <w:ind w:left="0" w:firstLine="284"/>
        <w:contextualSpacing/>
        <w:rPr>
          <w:rFonts w:eastAsia="Calibri"/>
          <w:szCs w:val="28"/>
        </w:rPr>
      </w:pPr>
      <w:r w:rsidRPr="00231499">
        <w:rPr>
          <w:rFonts w:eastAsia="Calibri"/>
          <w:szCs w:val="28"/>
        </w:rPr>
        <w:t>Дудник С. В. Тенденції смертності дітей у віці до 1-го року життя від деяких інфекційних та паразитарних хвороб. Україна. Здоров’я нації. 2018. № 3 (50)</w:t>
      </w:r>
      <w:r>
        <w:rPr>
          <w:rFonts w:eastAsia="Calibri"/>
          <w:szCs w:val="28"/>
        </w:rPr>
        <w:t>.</w:t>
      </w:r>
      <w:r w:rsidRPr="00231499">
        <w:rPr>
          <w:rFonts w:eastAsia="Calibri"/>
          <w:szCs w:val="28"/>
        </w:rPr>
        <w:t xml:space="preserve"> С. 33–44. </w:t>
      </w:r>
    </w:p>
    <w:p w:rsidR="00D91883" w:rsidRPr="00231499" w:rsidRDefault="00D91883" w:rsidP="00D91883">
      <w:pPr>
        <w:widowControl w:val="0"/>
        <w:numPr>
          <w:ilvl w:val="0"/>
          <w:numId w:val="3"/>
        </w:numPr>
        <w:ind w:left="0" w:firstLine="284"/>
        <w:contextualSpacing/>
        <w:rPr>
          <w:rFonts w:eastAsia="Calibri"/>
          <w:szCs w:val="28"/>
        </w:rPr>
      </w:pPr>
      <w:r w:rsidRPr="00231499">
        <w:rPr>
          <w:rFonts w:eastAsia="Calibri"/>
          <w:szCs w:val="28"/>
        </w:rPr>
        <w:t>Дудіна О. О., Дудник С. В., Слабкий Г. О. Ретроспективний аналіз стану здоров’я новонароджених в Україні. Україна. Здоров’я нації. 2018. № 4 (52)</w:t>
      </w:r>
      <w:r>
        <w:rPr>
          <w:rFonts w:eastAsia="Calibri"/>
          <w:szCs w:val="28"/>
        </w:rPr>
        <w:t>.</w:t>
      </w:r>
      <w:r w:rsidRPr="00231499">
        <w:rPr>
          <w:rFonts w:eastAsia="Calibri"/>
          <w:szCs w:val="28"/>
        </w:rPr>
        <w:t xml:space="preserve"> С. 21–26. </w:t>
      </w:r>
      <w:r w:rsidR="00065F95">
        <w:rPr>
          <w:szCs w:val="28"/>
          <w:lang w:eastAsia="ru-RU"/>
        </w:rPr>
        <w:t>(</w:t>
      </w:r>
      <w:r w:rsidRPr="00231499">
        <w:rPr>
          <w:i/>
          <w:szCs w:val="28"/>
          <w:lang w:eastAsia="ru-RU"/>
        </w:rPr>
        <w:t>Дисертанту належить ідея написання статті, обробка матеріалу, формування висновків</w:t>
      </w:r>
      <w:r w:rsidRPr="00231499">
        <w:rPr>
          <w:szCs w:val="28"/>
          <w:lang w:eastAsia="ru-RU"/>
        </w:rPr>
        <w:t xml:space="preserve">).  </w:t>
      </w:r>
    </w:p>
    <w:p w:rsidR="00D91883" w:rsidRPr="00231499" w:rsidRDefault="00D91883" w:rsidP="00D91883">
      <w:pPr>
        <w:widowControl w:val="0"/>
        <w:numPr>
          <w:ilvl w:val="0"/>
          <w:numId w:val="3"/>
        </w:numPr>
        <w:ind w:left="0" w:firstLine="284"/>
        <w:contextualSpacing/>
        <w:rPr>
          <w:rFonts w:eastAsia="Calibri"/>
          <w:szCs w:val="28"/>
        </w:rPr>
      </w:pPr>
      <w:r w:rsidRPr="00231499">
        <w:rPr>
          <w:rFonts w:eastAsia="Calibri"/>
          <w:szCs w:val="28"/>
        </w:rPr>
        <w:t xml:space="preserve">Дудник С. В. Сучасний стан та тенденції смертності дітей поза стаціонаром. Україна. Здоров’я нації. 2018. № 4/1 (53). С. 98–104. </w:t>
      </w:r>
    </w:p>
    <w:p w:rsidR="00D91883" w:rsidRPr="00231499" w:rsidRDefault="00D91883" w:rsidP="00D91883">
      <w:pPr>
        <w:widowControl w:val="0"/>
        <w:numPr>
          <w:ilvl w:val="0"/>
          <w:numId w:val="3"/>
        </w:numPr>
        <w:ind w:left="0" w:firstLine="284"/>
        <w:contextualSpacing/>
        <w:rPr>
          <w:rFonts w:eastAsia="Calibri"/>
          <w:szCs w:val="28"/>
        </w:rPr>
      </w:pPr>
      <w:r w:rsidRPr="00231499">
        <w:rPr>
          <w:rFonts w:eastAsia="Calibri"/>
          <w:szCs w:val="28"/>
        </w:rPr>
        <w:t>Дудіна О. О., Дудник С. В. Методологічні підходи до визначення показників ефективності діяльності закладів перинатальної допомоги. Економіка і право охорони здоров’я.</w:t>
      </w:r>
      <w:r w:rsidR="00726C9B" w:rsidRPr="00726C9B">
        <w:rPr>
          <w:rFonts w:eastAsia="Calibri"/>
          <w:szCs w:val="28"/>
        </w:rPr>
        <w:t xml:space="preserve"> </w:t>
      </w:r>
      <w:r w:rsidRPr="00231499">
        <w:rPr>
          <w:rFonts w:eastAsia="Calibri"/>
          <w:szCs w:val="28"/>
        </w:rPr>
        <w:t xml:space="preserve"> 2018.</w:t>
      </w:r>
      <w:r w:rsidR="00726C9B" w:rsidRPr="00726C9B">
        <w:rPr>
          <w:rFonts w:eastAsia="Calibri"/>
          <w:szCs w:val="28"/>
        </w:rPr>
        <w:t xml:space="preserve"> </w:t>
      </w:r>
      <w:r w:rsidRPr="00231499">
        <w:rPr>
          <w:rFonts w:eastAsia="Calibri"/>
          <w:szCs w:val="28"/>
        </w:rPr>
        <w:t xml:space="preserve"> № 2 (8). С. 23–3</w:t>
      </w:r>
      <w:r w:rsidR="00065F95">
        <w:rPr>
          <w:rFonts w:eastAsia="Calibri"/>
          <w:szCs w:val="28"/>
        </w:rPr>
        <w:t>1. (</w:t>
      </w:r>
      <w:r w:rsidRPr="00231499">
        <w:rPr>
          <w:rFonts w:eastAsia="Calibri"/>
          <w:i/>
          <w:szCs w:val="28"/>
        </w:rPr>
        <w:t>Дисертанту належить збір та обробка матеріалів, аналіз та узагальнення результатів, написання статті</w:t>
      </w:r>
      <w:r w:rsidRPr="00231499">
        <w:rPr>
          <w:rFonts w:eastAsia="Calibri"/>
          <w:szCs w:val="28"/>
        </w:rPr>
        <w:t>).</w:t>
      </w:r>
    </w:p>
    <w:p w:rsidR="00D91883" w:rsidRPr="00231499" w:rsidRDefault="00D91883" w:rsidP="00D91883">
      <w:pPr>
        <w:widowControl w:val="0"/>
        <w:numPr>
          <w:ilvl w:val="0"/>
          <w:numId w:val="3"/>
        </w:numPr>
        <w:ind w:left="0" w:firstLine="284"/>
        <w:contextualSpacing/>
        <w:rPr>
          <w:rFonts w:eastAsia="Calibri"/>
          <w:szCs w:val="28"/>
        </w:rPr>
      </w:pPr>
      <w:r w:rsidRPr="00231499">
        <w:rPr>
          <w:rFonts w:eastAsia="Calibri"/>
          <w:szCs w:val="28"/>
        </w:rPr>
        <w:t>Слабкий Г. О., Дудник С. В. Тенденції стану здоров’я дитячого населення та доступності медичної допомоги (за даними вибіркового опитування домогосподарств із дітьми). Вісник соціальної гігієни та організації охорони здоров’я Укра</w:t>
      </w:r>
      <w:r w:rsidR="00065F95">
        <w:rPr>
          <w:rFonts w:eastAsia="Calibri"/>
          <w:szCs w:val="28"/>
        </w:rPr>
        <w:t>їни. 2018. № 2 (76). С. 8–13. (</w:t>
      </w:r>
      <w:r w:rsidRPr="00231499">
        <w:rPr>
          <w:rFonts w:eastAsia="Calibri"/>
          <w:i/>
          <w:szCs w:val="28"/>
        </w:rPr>
        <w:t>Дисертанту належить збір та обробка матеріалів, аналіз та узагальнення результатів, написання статті</w:t>
      </w:r>
      <w:r w:rsidRPr="00231499">
        <w:rPr>
          <w:rFonts w:eastAsia="Calibri"/>
          <w:szCs w:val="28"/>
        </w:rPr>
        <w:t>).</w:t>
      </w:r>
    </w:p>
    <w:p w:rsidR="00D91883" w:rsidRPr="00231499" w:rsidRDefault="00D91883" w:rsidP="00D91883">
      <w:pPr>
        <w:widowControl w:val="0"/>
        <w:numPr>
          <w:ilvl w:val="0"/>
          <w:numId w:val="3"/>
        </w:numPr>
        <w:ind w:left="0" w:firstLine="284"/>
        <w:contextualSpacing/>
        <w:rPr>
          <w:rFonts w:eastAsia="Calibri"/>
          <w:szCs w:val="28"/>
        </w:rPr>
      </w:pPr>
      <w:r w:rsidRPr="00231499">
        <w:rPr>
          <w:rFonts w:eastAsia="Calibri"/>
          <w:szCs w:val="28"/>
        </w:rPr>
        <w:t xml:space="preserve"> Слабкий Г. О., Дудник С. В. Правове забезпечення медичної допомоги дитячому населенню в Україні. Intermedical Jornal (Slovenská republi</w:t>
      </w:r>
      <w:r w:rsidR="00065F95">
        <w:rPr>
          <w:rFonts w:eastAsia="Calibri"/>
          <w:szCs w:val="28"/>
        </w:rPr>
        <w:t>ka) 2018. № І (11). С. 19–23. (</w:t>
      </w:r>
      <w:r w:rsidRPr="00231499">
        <w:rPr>
          <w:rFonts w:eastAsia="Calibri"/>
          <w:i/>
          <w:szCs w:val="28"/>
        </w:rPr>
        <w:t>Дисертанту належить збір, аналіз та узагальнення результатів, написання статті)</w:t>
      </w:r>
      <w:r w:rsidRPr="00231499">
        <w:rPr>
          <w:rFonts w:eastAsia="Calibri"/>
          <w:szCs w:val="28"/>
        </w:rPr>
        <w:t>.</w:t>
      </w:r>
    </w:p>
    <w:p w:rsidR="00D91883" w:rsidRPr="00231499" w:rsidRDefault="00D91883" w:rsidP="00D91883">
      <w:pPr>
        <w:widowControl w:val="0"/>
        <w:numPr>
          <w:ilvl w:val="0"/>
          <w:numId w:val="3"/>
        </w:numPr>
        <w:ind w:left="0" w:firstLine="284"/>
        <w:contextualSpacing/>
        <w:rPr>
          <w:rFonts w:eastAsia="Calibri"/>
          <w:szCs w:val="28"/>
        </w:rPr>
      </w:pPr>
      <w:r w:rsidRPr="00231499">
        <w:rPr>
          <w:rFonts w:eastAsia="Calibri"/>
          <w:szCs w:val="28"/>
        </w:rPr>
        <w:t xml:space="preserve"> Slabkiy G. О., Dudnyk S. V., Kachala L. O. Retrospective analysis of infant mortality and under-five years` mortality of children in Ukraine. The Unity of Science: International Scientific Professional Periodical Journal. Vienna, Austria. December 2017 / </w:t>
      </w:r>
      <w:r w:rsidR="00065F95">
        <w:rPr>
          <w:rFonts w:eastAsia="Calibri"/>
          <w:szCs w:val="28"/>
        </w:rPr>
        <w:t>January 2018. Р. 103–107. (</w:t>
      </w:r>
      <w:r w:rsidRPr="00231499">
        <w:rPr>
          <w:i/>
          <w:szCs w:val="28"/>
          <w:lang w:eastAsia="ru-RU"/>
        </w:rPr>
        <w:t>Дисертанту належить ідея написання статті, обробка матеріалу, формування висновків)</w:t>
      </w:r>
      <w:r w:rsidRPr="00231499">
        <w:rPr>
          <w:szCs w:val="28"/>
          <w:lang w:eastAsia="ru-RU"/>
        </w:rPr>
        <w:t xml:space="preserve">. </w:t>
      </w:r>
    </w:p>
    <w:p w:rsidR="00D91883" w:rsidRPr="00231499" w:rsidRDefault="00D91883" w:rsidP="00D91883">
      <w:pPr>
        <w:widowControl w:val="0"/>
        <w:numPr>
          <w:ilvl w:val="0"/>
          <w:numId w:val="3"/>
        </w:numPr>
        <w:ind w:left="0" w:firstLine="284"/>
        <w:contextualSpacing/>
        <w:rPr>
          <w:rFonts w:eastAsia="Calibri"/>
          <w:szCs w:val="28"/>
        </w:rPr>
      </w:pPr>
      <w:r w:rsidRPr="00231499">
        <w:rPr>
          <w:szCs w:val="28"/>
          <w:lang w:val="ru-RU" w:eastAsia="ru-RU"/>
        </w:rPr>
        <w:t xml:space="preserve">Слабкий Г. О., Дудник С. В. До питання сучасного стану деяких </w:t>
      </w:r>
      <w:proofErr w:type="gramStart"/>
      <w:r w:rsidRPr="00231499">
        <w:rPr>
          <w:szCs w:val="28"/>
          <w:lang w:val="ru-RU" w:eastAsia="ru-RU"/>
        </w:rPr>
        <w:t>соц</w:t>
      </w:r>
      <w:proofErr w:type="gramEnd"/>
      <w:r w:rsidRPr="00231499">
        <w:rPr>
          <w:szCs w:val="28"/>
          <w:lang w:val="ru-RU" w:eastAsia="ru-RU"/>
        </w:rPr>
        <w:t>іально-</w:t>
      </w:r>
      <w:r w:rsidRPr="00231499">
        <w:rPr>
          <w:szCs w:val="28"/>
          <w:lang w:val="ru-RU" w:eastAsia="ru-RU"/>
        </w:rPr>
        <w:lastRenderedPageBreak/>
        <w:t>економічних детермінант дитячої смертності в Україні. Перинатология и педиатрия. Украина. 2018. № 4 (76). С. 78–86. (</w:t>
      </w:r>
      <w:r w:rsidRPr="00231499">
        <w:rPr>
          <w:i/>
          <w:szCs w:val="28"/>
          <w:lang w:val="ru-RU" w:eastAsia="ru-RU"/>
        </w:rPr>
        <w:t xml:space="preserve">Дисертанту належить аналіз матеріалів </w:t>
      </w:r>
      <w:proofErr w:type="gramStart"/>
      <w:r w:rsidRPr="00231499">
        <w:rPr>
          <w:i/>
          <w:szCs w:val="28"/>
          <w:lang w:val="ru-RU" w:eastAsia="ru-RU"/>
        </w:rPr>
        <w:t>досл</w:t>
      </w:r>
      <w:proofErr w:type="gramEnd"/>
      <w:r w:rsidRPr="00231499">
        <w:rPr>
          <w:i/>
          <w:szCs w:val="28"/>
          <w:lang w:val="ru-RU" w:eastAsia="ru-RU"/>
        </w:rPr>
        <w:t>ідження, формування висновків, підготовка матеріалів до публікації</w:t>
      </w:r>
      <w:r w:rsidRPr="00231499">
        <w:rPr>
          <w:szCs w:val="28"/>
          <w:lang w:val="ru-RU" w:eastAsia="ru-RU"/>
        </w:rPr>
        <w:t xml:space="preserve">). </w:t>
      </w:r>
      <w:r w:rsidRPr="00231499">
        <w:rPr>
          <w:szCs w:val="28"/>
          <w:lang w:eastAsia="ru-RU"/>
        </w:rPr>
        <w:t xml:space="preserve"> </w:t>
      </w:r>
    </w:p>
    <w:p w:rsidR="00D91883" w:rsidRPr="00231499" w:rsidRDefault="00D91883" w:rsidP="00D91883">
      <w:pPr>
        <w:widowControl w:val="0"/>
        <w:numPr>
          <w:ilvl w:val="0"/>
          <w:numId w:val="3"/>
        </w:numPr>
        <w:ind w:left="0" w:firstLine="284"/>
        <w:contextualSpacing/>
        <w:rPr>
          <w:rFonts w:eastAsia="Calibri"/>
          <w:szCs w:val="28"/>
        </w:rPr>
      </w:pPr>
      <w:r w:rsidRPr="00231499">
        <w:rPr>
          <w:rFonts w:eastAsia="Calibri"/>
          <w:szCs w:val="28"/>
        </w:rPr>
        <w:t>Слабкий Г. О., Дудіна О. О., Дудник С. В. Методологія комплексної оцінки стану перинатальної допомоги. Перинатология и педиатрия. Украина. 201</w:t>
      </w:r>
      <w:r w:rsidR="00065F95">
        <w:rPr>
          <w:rFonts w:eastAsia="Calibri"/>
          <w:szCs w:val="28"/>
        </w:rPr>
        <w:t>9. №</w:t>
      </w:r>
      <w:r w:rsidR="00D82B06">
        <w:rPr>
          <w:rFonts w:eastAsia="Calibri"/>
          <w:szCs w:val="28"/>
          <w:lang w:val="ru-RU"/>
        </w:rPr>
        <w:t> </w:t>
      </w:r>
      <w:r w:rsidR="00065F95">
        <w:rPr>
          <w:rFonts w:eastAsia="Calibri"/>
          <w:szCs w:val="28"/>
        </w:rPr>
        <w:t>1</w:t>
      </w:r>
      <w:r w:rsidR="00EE4500">
        <w:rPr>
          <w:rFonts w:eastAsia="Calibri"/>
          <w:szCs w:val="28"/>
          <w:lang w:val="ru-RU"/>
        </w:rPr>
        <w:t> </w:t>
      </w:r>
      <w:r w:rsidR="00726C9B">
        <w:rPr>
          <w:rFonts w:eastAsia="Calibri"/>
          <w:szCs w:val="28"/>
        </w:rPr>
        <w:t>(77). С.</w:t>
      </w:r>
      <w:r w:rsidR="00726C9B" w:rsidRPr="00726C9B">
        <w:rPr>
          <w:rFonts w:eastAsia="Calibri"/>
          <w:szCs w:val="28"/>
        </w:rPr>
        <w:t xml:space="preserve"> </w:t>
      </w:r>
      <w:r w:rsidR="00065F95">
        <w:rPr>
          <w:rFonts w:eastAsia="Calibri"/>
          <w:szCs w:val="28"/>
        </w:rPr>
        <w:t>36–41. (</w:t>
      </w:r>
      <w:r w:rsidRPr="00231499">
        <w:rPr>
          <w:rFonts w:eastAsia="Calibri"/>
          <w:i/>
          <w:szCs w:val="28"/>
        </w:rPr>
        <w:t>Дисертанту належить аналіз матеріалів дослідження, формування висновків, підготовка матеріалів до публікації</w:t>
      </w:r>
      <w:r w:rsidRPr="00231499">
        <w:rPr>
          <w:rFonts w:eastAsia="Calibri"/>
          <w:szCs w:val="28"/>
        </w:rPr>
        <w:t>).</w:t>
      </w:r>
    </w:p>
    <w:p w:rsidR="00D91883" w:rsidRPr="00231499" w:rsidRDefault="00D91883" w:rsidP="00D91883">
      <w:pPr>
        <w:widowControl w:val="0"/>
        <w:numPr>
          <w:ilvl w:val="0"/>
          <w:numId w:val="3"/>
        </w:numPr>
        <w:ind w:left="0" w:firstLine="284"/>
        <w:contextualSpacing/>
        <w:rPr>
          <w:rFonts w:eastAsia="Calibri"/>
          <w:szCs w:val="28"/>
        </w:rPr>
      </w:pPr>
      <w:r w:rsidRPr="00231499">
        <w:rPr>
          <w:rFonts w:eastAsia="Calibri"/>
          <w:szCs w:val="28"/>
        </w:rPr>
        <w:t xml:space="preserve">Слабкий Г. О., Дудіна О. О., Дудник С. В. Комплексна оцінка діяльності закладів перинатальної допомоги України. Україна. Здоров’я нації. 2019. № 1 (54). С. 79–87. </w:t>
      </w:r>
      <w:r w:rsidR="00065F95">
        <w:rPr>
          <w:szCs w:val="28"/>
          <w:lang w:eastAsia="ru-RU"/>
        </w:rPr>
        <w:t>(</w:t>
      </w:r>
      <w:r w:rsidRPr="00231499">
        <w:rPr>
          <w:i/>
          <w:szCs w:val="28"/>
          <w:lang w:eastAsia="ru-RU"/>
        </w:rPr>
        <w:t>Дисертанту належить ідея написання статті,</w:t>
      </w:r>
      <w:r>
        <w:rPr>
          <w:i/>
          <w:szCs w:val="28"/>
          <w:lang w:eastAsia="ru-RU"/>
        </w:rPr>
        <w:t xml:space="preserve"> збір та</w:t>
      </w:r>
      <w:r w:rsidRPr="00231499">
        <w:rPr>
          <w:i/>
          <w:szCs w:val="28"/>
          <w:lang w:eastAsia="ru-RU"/>
        </w:rPr>
        <w:t xml:space="preserve"> обробка матеріалу, формування висновків)</w:t>
      </w:r>
      <w:r w:rsidRPr="00231499">
        <w:rPr>
          <w:szCs w:val="28"/>
          <w:lang w:eastAsia="ru-RU"/>
        </w:rPr>
        <w:t xml:space="preserve">.  </w:t>
      </w:r>
    </w:p>
    <w:p w:rsidR="00D91883" w:rsidRPr="00231499" w:rsidRDefault="00D91883" w:rsidP="00D91883">
      <w:pPr>
        <w:widowControl w:val="0"/>
        <w:numPr>
          <w:ilvl w:val="0"/>
          <w:numId w:val="3"/>
        </w:numPr>
        <w:ind w:left="0" w:firstLine="284"/>
        <w:contextualSpacing/>
        <w:rPr>
          <w:rFonts w:eastAsia="Calibri"/>
          <w:szCs w:val="28"/>
        </w:rPr>
      </w:pPr>
      <w:r w:rsidRPr="00231499">
        <w:rPr>
          <w:rFonts w:eastAsia="Calibri"/>
          <w:szCs w:val="28"/>
        </w:rPr>
        <w:t xml:space="preserve">Дудник С. В. Характеристика системи попередження дитячої смертності. Україна. Здоров’я нації. 2019. № 2 (55). С. 41–50. </w:t>
      </w:r>
    </w:p>
    <w:p w:rsidR="00D91883" w:rsidRPr="00231499" w:rsidRDefault="00D91883" w:rsidP="00D91883">
      <w:pPr>
        <w:widowControl w:val="0"/>
        <w:numPr>
          <w:ilvl w:val="0"/>
          <w:numId w:val="3"/>
        </w:numPr>
        <w:ind w:left="0" w:firstLine="284"/>
        <w:contextualSpacing/>
        <w:rPr>
          <w:rFonts w:eastAsia="Calibri"/>
          <w:szCs w:val="28"/>
        </w:rPr>
      </w:pPr>
      <w:r w:rsidRPr="00231499">
        <w:rPr>
          <w:rFonts w:eastAsia="Calibri"/>
          <w:szCs w:val="28"/>
        </w:rPr>
        <w:t xml:space="preserve"> Slabkiy G. O., Dudnyk S. V. The results of sociological survey of parents about preserving the health of children and preventing their premature death. The Unity оf Science: International Scientific Professional Periodical Journal. Vienna, Austria. J</w:t>
      </w:r>
      <w:r w:rsidR="00065F95">
        <w:rPr>
          <w:rFonts w:eastAsia="Calibri"/>
          <w:szCs w:val="28"/>
        </w:rPr>
        <w:t>une 2019. P. 76–79. (</w:t>
      </w:r>
      <w:r w:rsidRPr="00231499">
        <w:rPr>
          <w:rFonts w:eastAsia="Calibri"/>
          <w:i/>
          <w:szCs w:val="28"/>
        </w:rPr>
        <w:t>Дисертантом проведено збір та статистичну обробку матеріалів, аналіз та узагальнення результатів, написання статті)</w:t>
      </w:r>
      <w:r w:rsidRPr="00231499">
        <w:rPr>
          <w:rFonts w:eastAsia="Calibri"/>
          <w:szCs w:val="28"/>
        </w:rPr>
        <w:t>.</w:t>
      </w:r>
    </w:p>
    <w:p w:rsidR="00D91883" w:rsidRPr="00231499" w:rsidRDefault="00D91883" w:rsidP="00D91883">
      <w:pPr>
        <w:widowControl w:val="0"/>
        <w:numPr>
          <w:ilvl w:val="0"/>
          <w:numId w:val="3"/>
        </w:numPr>
        <w:ind w:left="0" w:firstLine="284"/>
        <w:contextualSpacing/>
        <w:rPr>
          <w:rFonts w:eastAsia="Calibri"/>
          <w:szCs w:val="28"/>
        </w:rPr>
      </w:pPr>
      <w:r w:rsidRPr="00231499">
        <w:rPr>
          <w:rFonts w:eastAsia="Calibri"/>
          <w:szCs w:val="28"/>
        </w:rPr>
        <w:t xml:space="preserve"> Slabkiy G. O., Dudnyk S. V., Dudina O. O. Status and tendencies of the children’s health care service of Ukraine: organizational, staffing and resource provision. The Unity оf Science: International Scientific Professional Periodical Journal. Vienna, Austria. December 201</w:t>
      </w:r>
      <w:r w:rsidR="00065F95">
        <w:rPr>
          <w:rFonts w:eastAsia="Calibri"/>
          <w:szCs w:val="28"/>
        </w:rPr>
        <w:t>8 / January 2019. P. 136–140. (</w:t>
      </w:r>
      <w:r w:rsidRPr="00231499">
        <w:rPr>
          <w:rFonts w:eastAsia="Calibri"/>
          <w:i/>
          <w:szCs w:val="28"/>
        </w:rPr>
        <w:t>Дисертанту належить збір та обробка матеріалів, аналіз та узагальнення результатів, написання статті</w:t>
      </w:r>
      <w:r w:rsidRPr="00231499">
        <w:rPr>
          <w:rFonts w:eastAsia="Calibri"/>
          <w:szCs w:val="28"/>
        </w:rPr>
        <w:t>).</w:t>
      </w:r>
    </w:p>
    <w:p w:rsidR="00D91883" w:rsidRPr="00231499" w:rsidRDefault="00D91883" w:rsidP="00D91883">
      <w:pPr>
        <w:widowControl w:val="0"/>
        <w:numPr>
          <w:ilvl w:val="0"/>
          <w:numId w:val="3"/>
        </w:numPr>
        <w:ind w:left="0" w:firstLine="284"/>
        <w:contextualSpacing/>
        <w:rPr>
          <w:rFonts w:eastAsia="Calibri"/>
          <w:szCs w:val="28"/>
        </w:rPr>
      </w:pPr>
      <w:r w:rsidRPr="00231499">
        <w:rPr>
          <w:rFonts w:eastAsia="Calibri"/>
          <w:szCs w:val="28"/>
        </w:rPr>
        <w:t xml:space="preserve"> Ковальова О. М., Дудник С. В., Похилько В. І., Муратова О. В., Кузєнкова Г. А. Основні тенденції плодово-малюкових втрат у ваговій категорії ≥ 2500 г в Україні. Вісник проблем біології і медицини. 2019. Вип. 2 (1). С. 13</w:t>
      </w:r>
      <w:r w:rsidR="00065F95">
        <w:rPr>
          <w:rFonts w:eastAsia="Calibri"/>
          <w:szCs w:val="28"/>
        </w:rPr>
        <w:t>5–139. (</w:t>
      </w:r>
      <w:r w:rsidRPr="00231499">
        <w:rPr>
          <w:rFonts w:eastAsia="Calibri"/>
          <w:i/>
          <w:szCs w:val="28"/>
        </w:rPr>
        <w:t>Дисертантом проведено збір та статистичну обробку матеріалів, аналіз та узагальнення результатів, написання статті)</w:t>
      </w:r>
      <w:r w:rsidRPr="00231499">
        <w:rPr>
          <w:rFonts w:eastAsia="Calibri"/>
          <w:szCs w:val="28"/>
        </w:rPr>
        <w:t>.</w:t>
      </w:r>
    </w:p>
    <w:p w:rsidR="00D91883" w:rsidRPr="00231499" w:rsidRDefault="00D91883" w:rsidP="00D91883">
      <w:pPr>
        <w:widowControl w:val="0"/>
        <w:numPr>
          <w:ilvl w:val="0"/>
          <w:numId w:val="3"/>
        </w:numPr>
        <w:ind w:left="0" w:firstLine="284"/>
        <w:contextualSpacing/>
        <w:rPr>
          <w:rFonts w:eastAsia="Calibri"/>
          <w:szCs w:val="28"/>
        </w:rPr>
      </w:pPr>
      <w:r w:rsidRPr="00231499">
        <w:rPr>
          <w:rFonts w:eastAsia="Calibri"/>
          <w:szCs w:val="28"/>
        </w:rPr>
        <w:t xml:space="preserve">Слабкий Г.О., Дудник С.В. Готовність лікарів загальної практики — сімейних лікарів до попередження передчасної смерті дітей: за даними соціологічного </w:t>
      </w:r>
      <w:r w:rsidRPr="00231499">
        <w:rPr>
          <w:rFonts w:eastAsia="Calibri"/>
          <w:szCs w:val="28"/>
        </w:rPr>
        <w:lastRenderedPageBreak/>
        <w:t>дослідження. Сучасна педіатрія. Україн</w:t>
      </w:r>
      <w:r w:rsidR="00065F95">
        <w:rPr>
          <w:rFonts w:eastAsia="Calibri"/>
          <w:szCs w:val="28"/>
        </w:rPr>
        <w:t>а. 2019. № 5 (101). С. 57–63. (</w:t>
      </w:r>
      <w:r w:rsidRPr="00231499">
        <w:rPr>
          <w:rFonts w:eastAsia="Calibri"/>
          <w:i/>
          <w:szCs w:val="28"/>
        </w:rPr>
        <w:t>Дисертанту належить</w:t>
      </w:r>
      <w:r>
        <w:rPr>
          <w:rFonts w:eastAsia="Calibri"/>
          <w:i/>
          <w:szCs w:val="28"/>
        </w:rPr>
        <w:t xml:space="preserve"> проведення соціологічного дослідження,</w:t>
      </w:r>
      <w:r w:rsidRPr="00231499">
        <w:rPr>
          <w:rFonts w:eastAsia="Calibri"/>
          <w:i/>
          <w:szCs w:val="28"/>
        </w:rPr>
        <w:t xml:space="preserve"> обробка матеріалу, формування висновків, підготовка матеріалів до публікації</w:t>
      </w:r>
      <w:r w:rsidRPr="00231499">
        <w:rPr>
          <w:rFonts w:eastAsia="Calibri"/>
          <w:szCs w:val="28"/>
        </w:rPr>
        <w:t xml:space="preserve">). </w:t>
      </w:r>
    </w:p>
    <w:p w:rsidR="00D91883" w:rsidRPr="00907922" w:rsidRDefault="00D91883" w:rsidP="00D91883">
      <w:pPr>
        <w:widowControl w:val="0"/>
        <w:numPr>
          <w:ilvl w:val="0"/>
          <w:numId w:val="3"/>
        </w:numPr>
        <w:ind w:left="0" w:firstLine="284"/>
        <w:contextualSpacing/>
        <w:rPr>
          <w:rFonts w:eastAsia="Calibri"/>
          <w:b/>
          <w:color w:val="FF0000"/>
          <w:szCs w:val="28"/>
        </w:rPr>
      </w:pPr>
      <w:r w:rsidRPr="00231499">
        <w:rPr>
          <w:rFonts w:eastAsia="Calibri"/>
          <w:szCs w:val="28"/>
        </w:rPr>
        <w:t>Дудіна О. О., Моісеєнко Р. О., Дудник С. В., Габорець Ю. Ю. Ситуаційний аналіз стану здоров’я дітей. Щорічна доповідь про стан здоров’я населення, санітарно-епідемічну ситуацію та результати діяльності системи охорони здоров’я України. 2017 рік. Монографія. / МОЗ України, ДУ ”УІСД МОЗ України“. Киї</w:t>
      </w:r>
      <w:r w:rsidR="00065F95">
        <w:rPr>
          <w:rFonts w:eastAsia="Calibri"/>
          <w:szCs w:val="28"/>
        </w:rPr>
        <w:t>в: Медінформ, 2018. С. 39–64. (</w:t>
      </w:r>
      <w:r w:rsidRPr="00231499">
        <w:rPr>
          <w:rFonts w:eastAsia="Calibri"/>
          <w:i/>
          <w:szCs w:val="28"/>
        </w:rPr>
        <w:t>Дисертанту належить збір та статистична обробка матеріалів, аналіз та узагальнення результатів, написання розділу монографії</w:t>
      </w:r>
      <w:r w:rsidRPr="00231499">
        <w:rPr>
          <w:rFonts w:eastAsia="Calibri"/>
          <w:szCs w:val="28"/>
        </w:rPr>
        <w:t xml:space="preserve">). </w:t>
      </w:r>
      <w:r>
        <w:rPr>
          <w:rFonts w:eastAsia="Calibri"/>
          <w:szCs w:val="28"/>
        </w:rPr>
        <w:t xml:space="preserve"> </w:t>
      </w:r>
    </w:p>
    <w:p w:rsidR="00D91883" w:rsidRPr="00065F95" w:rsidRDefault="00D91883" w:rsidP="00065F95">
      <w:pPr>
        <w:widowControl w:val="0"/>
        <w:numPr>
          <w:ilvl w:val="0"/>
          <w:numId w:val="3"/>
        </w:numPr>
        <w:ind w:left="0" w:firstLine="284"/>
        <w:contextualSpacing/>
        <w:rPr>
          <w:rFonts w:eastAsia="Calibri"/>
          <w:szCs w:val="28"/>
        </w:rPr>
      </w:pPr>
      <w:r w:rsidRPr="00231499">
        <w:rPr>
          <w:rFonts w:eastAsia="Calibri"/>
          <w:szCs w:val="28"/>
        </w:rPr>
        <w:t>Slabkiy G., Dudnyk S. Retrospective analysis of child hospital mortality Scientific basis of modern medicine: collective monograph. Boston: Pri</w:t>
      </w:r>
      <w:r>
        <w:rPr>
          <w:rFonts w:eastAsia="Calibri"/>
          <w:szCs w:val="28"/>
        </w:rPr>
        <w:t>media eLaunch, 2020. P. 87–92. (</w:t>
      </w:r>
      <w:r w:rsidRPr="003405EE">
        <w:rPr>
          <w:rFonts w:eastAsia="Calibri"/>
          <w:i/>
          <w:szCs w:val="28"/>
        </w:rPr>
        <w:t>Дисертанту належить аналіз матеріалів дослідження, формування висновків, підготовка матеріалів до публікації</w:t>
      </w:r>
      <w:r>
        <w:rPr>
          <w:rFonts w:eastAsia="Calibri"/>
          <w:szCs w:val="28"/>
        </w:rPr>
        <w:t>)</w:t>
      </w:r>
      <w:r w:rsidRPr="00231499">
        <w:rPr>
          <w:rFonts w:eastAsia="Calibri"/>
          <w:szCs w:val="28"/>
        </w:rPr>
        <w:t xml:space="preserve">. </w:t>
      </w:r>
    </w:p>
    <w:p w:rsidR="00D91883" w:rsidRPr="00373E93" w:rsidRDefault="00D91883" w:rsidP="00D91883">
      <w:pPr>
        <w:widowControl w:val="0"/>
        <w:ind w:firstLine="284"/>
        <w:contextualSpacing/>
        <w:jc w:val="center"/>
        <w:rPr>
          <w:rFonts w:eastAsia="Calibri"/>
          <w:b/>
          <w:szCs w:val="28"/>
        </w:rPr>
      </w:pPr>
      <w:r w:rsidRPr="00373E93">
        <w:rPr>
          <w:rFonts w:eastAsia="Calibri"/>
          <w:b/>
          <w:szCs w:val="28"/>
        </w:rPr>
        <w:t>Опубліковані праці апробаційного характеру</w:t>
      </w:r>
    </w:p>
    <w:p w:rsidR="00D91883" w:rsidRPr="001776EC" w:rsidRDefault="00D91883" w:rsidP="00D91883">
      <w:pPr>
        <w:widowControl w:val="0"/>
        <w:numPr>
          <w:ilvl w:val="0"/>
          <w:numId w:val="3"/>
        </w:numPr>
        <w:ind w:left="0" w:firstLine="284"/>
        <w:contextualSpacing/>
        <w:rPr>
          <w:rFonts w:eastAsia="Calibri"/>
          <w:szCs w:val="28"/>
        </w:rPr>
      </w:pPr>
      <w:r w:rsidRPr="001776EC">
        <w:rPr>
          <w:rFonts w:eastAsia="Calibri"/>
          <w:szCs w:val="28"/>
        </w:rPr>
        <w:t>Габорець Ю. Ю., Дудник С. В., Дудіна О. О., Волошина У. В. Характеристика рівня народжуваності в Україні</w:t>
      </w:r>
      <w:r w:rsidRPr="001776EC">
        <w:rPr>
          <w:rFonts w:eastAsia="Calibri"/>
          <w:i/>
          <w:szCs w:val="28"/>
        </w:rPr>
        <w:t>. Організація та управління охороною здоров'я 2016</w:t>
      </w:r>
      <w:r w:rsidRPr="001776EC">
        <w:rPr>
          <w:rFonts w:eastAsia="Calibri"/>
          <w:szCs w:val="28"/>
        </w:rPr>
        <w:t>: тези доп. наук.-практ. конф. з міжнар. участю (Київ, 18–20 жовт. 2016 р.). Київ, 2016: КиївЕкспоПлаза. С</w:t>
      </w:r>
      <w:r w:rsidR="00C9516E">
        <w:rPr>
          <w:rFonts w:eastAsia="Calibri"/>
          <w:szCs w:val="28"/>
        </w:rPr>
        <w:t>. 27–28. (</w:t>
      </w:r>
      <w:r w:rsidRPr="001776EC">
        <w:rPr>
          <w:rFonts w:eastAsia="Calibri"/>
          <w:i/>
          <w:szCs w:val="28"/>
        </w:rPr>
        <w:t>Дисертанту належить обробка матеріалу, формування висновків, підготовка матеріалів до публікації</w:t>
      </w:r>
      <w:r w:rsidRPr="001776EC">
        <w:rPr>
          <w:rFonts w:eastAsia="Calibri"/>
          <w:szCs w:val="28"/>
        </w:rPr>
        <w:t xml:space="preserve">). </w:t>
      </w:r>
    </w:p>
    <w:p w:rsidR="00D91883" w:rsidRPr="00231499" w:rsidRDefault="00D91883" w:rsidP="00D91883">
      <w:pPr>
        <w:widowControl w:val="0"/>
        <w:numPr>
          <w:ilvl w:val="0"/>
          <w:numId w:val="3"/>
        </w:numPr>
        <w:ind w:left="0" w:firstLine="284"/>
        <w:contextualSpacing/>
        <w:rPr>
          <w:rFonts w:eastAsia="Calibri"/>
          <w:szCs w:val="28"/>
        </w:rPr>
      </w:pPr>
      <w:r w:rsidRPr="00231499">
        <w:rPr>
          <w:rFonts w:eastAsia="Calibri"/>
          <w:szCs w:val="28"/>
        </w:rPr>
        <w:t xml:space="preserve"> Слабкий Г. О., Дудник С. В. Щодо малюкової смертності внаслідок ВІЛ-інфекції. Профілактична медицина. 2016. № 3/4 (27). Додаток. С. 135–136. (За кожне життя разом: прискорення до мети 90-90-90: матеріали Третьої національної наук.-практ. Конф</w:t>
      </w:r>
      <w:r w:rsidR="00C9516E">
        <w:rPr>
          <w:rFonts w:eastAsia="Calibri"/>
          <w:szCs w:val="28"/>
        </w:rPr>
        <w:t>. (Київ, 21-23 лист. 2016 р.).(</w:t>
      </w:r>
      <w:r w:rsidRPr="00231499">
        <w:rPr>
          <w:rFonts w:eastAsia="Calibri"/>
          <w:i/>
          <w:szCs w:val="28"/>
        </w:rPr>
        <w:t>Дисертанту належить обробка матеріалу, формування висновків, підготовка матеріалів до публікації</w:t>
      </w:r>
      <w:r w:rsidRPr="00231499">
        <w:rPr>
          <w:rFonts w:eastAsia="Calibri"/>
          <w:szCs w:val="28"/>
        </w:rPr>
        <w:t>).</w:t>
      </w:r>
    </w:p>
    <w:p w:rsidR="00D91883" w:rsidRPr="00231499" w:rsidRDefault="00D91883" w:rsidP="00D91883">
      <w:pPr>
        <w:widowControl w:val="0"/>
        <w:numPr>
          <w:ilvl w:val="0"/>
          <w:numId w:val="3"/>
        </w:numPr>
        <w:ind w:left="0" w:firstLine="284"/>
        <w:contextualSpacing/>
        <w:rPr>
          <w:rFonts w:eastAsia="Calibri"/>
          <w:szCs w:val="28"/>
        </w:rPr>
      </w:pPr>
      <w:r w:rsidRPr="00231499">
        <w:rPr>
          <w:szCs w:val="28"/>
          <w:lang w:val="ru-RU" w:eastAsia="ru-RU"/>
        </w:rPr>
        <w:t xml:space="preserve">Слабкий Г. О., Габорець Ю. Ю., Дудіна О. О., Дудник С. В., Рогач І. М., Качала Л. О. До питання ефективності медичної допомоги новонародженим недоношеним дітям в Україні. Матеріали 71-ї наук. конф. професорського-викладац.cкладу УЖНУ (Ужгород,  27–28 лют. 2017 р.) / Факультет </w:t>
      </w:r>
      <w:proofErr w:type="gramStart"/>
      <w:r w:rsidRPr="00231499">
        <w:rPr>
          <w:szCs w:val="28"/>
          <w:lang w:val="ru-RU" w:eastAsia="ru-RU"/>
        </w:rPr>
        <w:t>п</w:t>
      </w:r>
      <w:proofErr w:type="gramEnd"/>
      <w:r w:rsidRPr="00231499">
        <w:rPr>
          <w:szCs w:val="28"/>
          <w:lang w:val="ru-RU" w:eastAsia="ru-RU"/>
        </w:rPr>
        <w:t xml:space="preserve">іслядипломної освіти та доуніверситетської підготовки. Ужгород: </w:t>
      </w:r>
      <w:proofErr w:type="gramStart"/>
      <w:r w:rsidRPr="00231499">
        <w:rPr>
          <w:szCs w:val="28"/>
          <w:lang w:val="ru-RU" w:eastAsia="ru-RU"/>
        </w:rPr>
        <w:t>Р</w:t>
      </w:r>
      <w:proofErr w:type="gramEnd"/>
      <w:r w:rsidRPr="00231499">
        <w:rPr>
          <w:szCs w:val="28"/>
          <w:lang w:val="ru-RU" w:eastAsia="ru-RU"/>
        </w:rPr>
        <w:t>ІК-У, 2017. С. 50–51. (</w:t>
      </w:r>
      <w:r w:rsidRPr="00231499">
        <w:rPr>
          <w:i/>
          <w:szCs w:val="28"/>
          <w:lang w:val="ru-RU" w:eastAsia="ru-RU"/>
        </w:rPr>
        <w:t>Дисертанту належить обробка матеріалу, формування висновків</w:t>
      </w:r>
      <w:r w:rsidRPr="00231499">
        <w:rPr>
          <w:szCs w:val="28"/>
          <w:lang w:val="ru-RU" w:eastAsia="ru-RU"/>
        </w:rPr>
        <w:t>).</w:t>
      </w:r>
    </w:p>
    <w:p w:rsidR="00D91883" w:rsidRPr="00231499" w:rsidRDefault="00D91883" w:rsidP="00D91883">
      <w:pPr>
        <w:widowControl w:val="0"/>
        <w:numPr>
          <w:ilvl w:val="0"/>
          <w:numId w:val="3"/>
        </w:numPr>
        <w:ind w:left="0" w:firstLine="284"/>
        <w:contextualSpacing/>
        <w:rPr>
          <w:rFonts w:eastAsia="Calibri"/>
          <w:szCs w:val="28"/>
        </w:rPr>
      </w:pPr>
      <w:r w:rsidRPr="00231499">
        <w:rPr>
          <w:rFonts w:eastAsia="Calibri"/>
          <w:szCs w:val="28"/>
        </w:rPr>
        <w:lastRenderedPageBreak/>
        <w:t xml:space="preserve">Дудник С. В. Малюкова смертність у статевому аспекті. Впровадження сучасних досягнень медичної науки у практику охорони здоров’я України: матеріали VI Медичному конгресу (Київ, 25-27 квіт. 2017 р.). Київ: КиївЄкспоПлаза, 2017. С. 147. </w:t>
      </w:r>
    </w:p>
    <w:p w:rsidR="00D91883" w:rsidRPr="00231499" w:rsidRDefault="00D91883" w:rsidP="00D91883">
      <w:pPr>
        <w:widowControl w:val="0"/>
        <w:numPr>
          <w:ilvl w:val="0"/>
          <w:numId w:val="3"/>
        </w:numPr>
        <w:shd w:val="clear" w:color="auto" w:fill="FFFFFF"/>
        <w:ind w:left="0" w:firstLine="284"/>
        <w:contextualSpacing/>
        <w:rPr>
          <w:szCs w:val="28"/>
          <w:lang w:eastAsia="ru-RU"/>
        </w:rPr>
      </w:pPr>
      <w:r w:rsidRPr="00231499">
        <w:rPr>
          <w:rFonts w:eastAsia="Calibri"/>
          <w:szCs w:val="28"/>
        </w:rPr>
        <w:t xml:space="preserve"> Габорець Ю. Ю., Дудіна О. О., Дудник С. В. Динаміка показника живонароджених дітей на 1 тис. осіб наявного населення. Україна. Здоров’я нації. 2017. № 3 (44). С. 311. (Актуальні питання розвитку системи громадського здоров’я в Україні:</w:t>
      </w:r>
      <w:r w:rsidRPr="00231499">
        <w:rPr>
          <w:rFonts w:eastAsia="Calibri"/>
          <w:i/>
          <w:szCs w:val="28"/>
        </w:rPr>
        <w:t xml:space="preserve"> </w:t>
      </w:r>
      <w:r w:rsidRPr="00231499">
        <w:rPr>
          <w:rFonts w:eastAsia="Calibri"/>
          <w:szCs w:val="28"/>
        </w:rPr>
        <w:t>матеріали наук.-практ. конф. з міжнар. участю (Ужгород, 24-25 трав</w:t>
      </w:r>
      <w:r w:rsidRPr="00231499">
        <w:rPr>
          <w:rFonts w:eastAsia="Calibri"/>
          <w:szCs w:val="28"/>
          <w:lang w:val="ru-RU"/>
        </w:rPr>
        <w:t>ня</w:t>
      </w:r>
      <w:r w:rsidR="00C9516E">
        <w:rPr>
          <w:rFonts w:eastAsia="Calibri"/>
          <w:szCs w:val="28"/>
        </w:rPr>
        <w:t xml:space="preserve"> 2017 р.). (</w:t>
      </w:r>
      <w:r w:rsidRPr="00231499">
        <w:rPr>
          <w:rFonts w:eastAsia="Calibri"/>
          <w:i/>
          <w:szCs w:val="28"/>
        </w:rPr>
        <w:t>Дисертанту належить обробка матеріалу, формування висновків, підготовка матеріалів до публікації</w:t>
      </w:r>
      <w:r w:rsidRPr="00231499">
        <w:rPr>
          <w:rFonts w:eastAsia="Calibri"/>
          <w:szCs w:val="28"/>
        </w:rPr>
        <w:t xml:space="preserve">). </w:t>
      </w:r>
    </w:p>
    <w:p w:rsidR="00D91883" w:rsidRPr="00231499" w:rsidRDefault="00D91883" w:rsidP="00D91883">
      <w:pPr>
        <w:widowControl w:val="0"/>
        <w:numPr>
          <w:ilvl w:val="0"/>
          <w:numId w:val="3"/>
        </w:numPr>
        <w:shd w:val="clear" w:color="auto" w:fill="FFFFFF"/>
        <w:ind w:left="0" w:firstLine="284"/>
        <w:contextualSpacing/>
        <w:rPr>
          <w:szCs w:val="28"/>
          <w:lang w:eastAsia="ru-RU"/>
        </w:rPr>
      </w:pPr>
      <w:r w:rsidRPr="00231499">
        <w:rPr>
          <w:szCs w:val="28"/>
          <w:lang w:eastAsia="ru-RU"/>
        </w:rPr>
        <w:t xml:space="preserve">Слабкий Г. О., Дудник С. В. Щодо характеристики показників малюкової смертності внаслідок хвороб органів дихання. Загальне охоплення послугами охорони здоров’я – для всіх і всюди: матеріали наук.-практ. конф. з міжнар. участю до Всесвітнього дня Здоров’я 2018 р. (Київ, 05-06 квітня 2018 </w:t>
      </w:r>
      <w:r w:rsidR="00C9516E">
        <w:rPr>
          <w:szCs w:val="28"/>
          <w:lang w:eastAsia="ru-RU"/>
        </w:rPr>
        <w:t>р.). Київ., 2018. С. 150–152. (</w:t>
      </w:r>
      <w:r w:rsidRPr="00231499">
        <w:rPr>
          <w:i/>
          <w:szCs w:val="28"/>
          <w:lang w:eastAsia="ru-RU"/>
        </w:rPr>
        <w:t>Дисертанту належить обробка та узагальнення матеріалу, формування висновків</w:t>
      </w:r>
      <w:r w:rsidRPr="00231499">
        <w:rPr>
          <w:szCs w:val="28"/>
          <w:lang w:eastAsia="ru-RU"/>
        </w:rPr>
        <w:t>).</w:t>
      </w:r>
    </w:p>
    <w:p w:rsidR="00D91883" w:rsidRPr="00231499" w:rsidRDefault="00D91883" w:rsidP="00D91883">
      <w:pPr>
        <w:widowControl w:val="0"/>
        <w:numPr>
          <w:ilvl w:val="0"/>
          <w:numId w:val="3"/>
        </w:numPr>
        <w:ind w:left="0" w:firstLine="284"/>
        <w:contextualSpacing/>
        <w:rPr>
          <w:rFonts w:eastAsia="Calibri"/>
          <w:szCs w:val="28"/>
        </w:rPr>
      </w:pPr>
      <w:r w:rsidRPr="00231499">
        <w:rPr>
          <w:rFonts w:eastAsia="Calibri"/>
          <w:szCs w:val="28"/>
        </w:rPr>
        <w:t xml:space="preserve">Слабкий Г. О., Дудник С. В. Смертність дітей сільської місцевості поза стаціонаром в контексті первинної медико-санітарної допомоги. Україна. Здоров’я нації. 2018. № 2 (49). С. 95. (Актуальні питання надання медичної допомоги на засадах ПМСД: матеріали міжнар. </w:t>
      </w:r>
      <w:r w:rsidRPr="00231499">
        <w:rPr>
          <w:rFonts w:eastAsia="Calibri"/>
          <w:szCs w:val="28"/>
          <w:lang w:val="ru-RU"/>
        </w:rPr>
        <w:t>н</w:t>
      </w:r>
      <w:r w:rsidRPr="00231499">
        <w:rPr>
          <w:rFonts w:eastAsia="Calibri"/>
          <w:szCs w:val="28"/>
        </w:rPr>
        <w:t>ауково</w:t>
      </w:r>
      <w:r w:rsidRPr="00231499">
        <w:rPr>
          <w:rFonts w:eastAsia="Calibri"/>
          <w:szCs w:val="28"/>
          <w:lang w:val="ru-RU"/>
        </w:rPr>
        <w:t>-</w:t>
      </w:r>
      <w:r w:rsidRPr="00231499">
        <w:rPr>
          <w:rFonts w:eastAsia="Calibri"/>
          <w:szCs w:val="28"/>
        </w:rPr>
        <w:t xml:space="preserve">практ. конф. (18-19 квіт. 2018 р., м. Ужгород). </w:t>
      </w:r>
      <w:r w:rsidR="00C9516E">
        <w:rPr>
          <w:szCs w:val="28"/>
          <w:lang w:eastAsia="ru-RU"/>
        </w:rPr>
        <w:t>(</w:t>
      </w:r>
      <w:r w:rsidRPr="00231499">
        <w:rPr>
          <w:i/>
          <w:szCs w:val="28"/>
          <w:lang w:eastAsia="ru-RU"/>
        </w:rPr>
        <w:t>Дисертанту належить збір та обробка матеріалу, підготовка матеріалу до публікації</w:t>
      </w:r>
      <w:r w:rsidRPr="00231499">
        <w:rPr>
          <w:szCs w:val="28"/>
          <w:lang w:eastAsia="ru-RU"/>
        </w:rPr>
        <w:t>).</w:t>
      </w:r>
    </w:p>
    <w:p w:rsidR="00D91883" w:rsidRPr="00231499" w:rsidRDefault="00D91883" w:rsidP="00D91883">
      <w:pPr>
        <w:widowControl w:val="0"/>
        <w:numPr>
          <w:ilvl w:val="0"/>
          <w:numId w:val="3"/>
        </w:numPr>
        <w:ind w:left="0" w:firstLine="284"/>
        <w:contextualSpacing/>
        <w:rPr>
          <w:rFonts w:eastAsia="Calibri"/>
          <w:szCs w:val="28"/>
        </w:rPr>
      </w:pPr>
      <w:r w:rsidRPr="00231499">
        <w:rPr>
          <w:rFonts w:eastAsia="Calibri"/>
          <w:szCs w:val="28"/>
        </w:rPr>
        <w:t>Дудник С. В. Щодо малюкової смертності від вроджених вад розвитку, деформацій та хромосомних аномалій в Україні. Впровадження сучасних досягнень медичної науки у практику охорони здоров’я України: матеріали VII Міжнар. медичного конгресу</w:t>
      </w:r>
      <w:r w:rsidRPr="00231499">
        <w:rPr>
          <w:rFonts w:eastAsia="Calibri"/>
          <w:i/>
          <w:szCs w:val="28"/>
        </w:rPr>
        <w:t xml:space="preserve"> </w:t>
      </w:r>
      <w:r w:rsidRPr="00231499">
        <w:rPr>
          <w:rFonts w:eastAsia="Calibri"/>
          <w:szCs w:val="28"/>
        </w:rPr>
        <w:t>(Київ, 25-27 квітня. 2018 р.). Київ: КиївЕкспоПлаза. С. 7.</w:t>
      </w:r>
      <w:r w:rsidRPr="00231499">
        <w:rPr>
          <w:szCs w:val="28"/>
          <w:lang w:eastAsia="ru-RU"/>
        </w:rPr>
        <w:t xml:space="preserve"> </w:t>
      </w:r>
      <w:r w:rsidR="00C9516E">
        <w:rPr>
          <w:rFonts w:eastAsia="Calibri"/>
          <w:i/>
          <w:szCs w:val="28"/>
        </w:rPr>
        <w:t>(</w:t>
      </w:r>
      <w:r w:rsidRPr="00231499">
        <w:rPr>
          <w:rFonts w:eastAsia="Calibri"/>
          <w:i/>
          <w:szCs w:val="28"/>
        </w:rPr>
        <w:t>Дисертанту належить ідея написання тез, аналіз матеріалів дослідження, формування висновків</w:t>
      </w:r>
      <w:r w:rsidRPr="00231499">
        <w:rPr>
          <w:rFonts w:eastAsia="Calibri"/>
          <w:szCs w:val="28"/>
        </w:rPr>
        <w:t>).</w:t>
      </w:r>
    </w:p>
    <w:p w:rsidR="00D91883" w:rsidRPr="00231499" w:rsidRDefault="00D91883" w:rsidP="00D91883">
      <w:pPr>
        <w:widowControl w:val="0"/>
        <w:numPr>
          <w:ilvl w:val="0"/>
          <w:numId w:val="3"/>
        </w:numPr>
        <w:ind w:left="0" w:firstLine="284"/>
        <w:contextualSpacing/>
        <w:rPr>
          <w:rFonts w:eastAsia="Calibri"/>
          <w:bCs/>
          <w:szCs w:val="28"/>
        </w:rPr>
      </w:pPr>
      <w:r w:rsidRPr="00231499">
        <w:rPr>
          <w:rFonts w:eastAsia="Calibri"/>
          <w:szCs w:val="28"/>
        </w:rPr>
        <w:t>Габорець Ю. Ю., Дудіна О.</w:t>
      </w:r>
      <w:r w:rsidRPr="00231499">
        <w:rPr>
          <w:rFonts w:eastAsia="Calibri"/>
          <w:szCs w:val="28"/>
          <w:lang w:val="ru-RU"/>
        </w:rPr>
        <w:t> </w:t>
      </w:r>
      <w:r w:rsidRPr="00231499">
        <w:rPr>
          <w:rFonts w:eastAsia="Calibri"/>
          <w:szCs w:val="28"/>
        </w:rPr>
        <w:t>О., Дудник С.</w:t>
      </w:r>
      <w:r w:rsidRPr="00231499">
        <w:rPr>
          <w:rFonts w:eastAsia="Calibri"/>
          <w:szCs w:val="28"/>
          <w:lang w:val="ru-RU"/>
        </w:rPr>
        <w:t> </w:t>
      </w:r>
      <w:r w:rsidRPr="00231499">
        <w:rPr>
          <w:rFonts w:eastAsia="Calibri"/>
          <w:szCs w:val="28"/>
        </w:rPr>
        <w:t>В.</w:t>
      </w:r>
      <w:r w:rsidRPr="00231499">
        <w:rPr>
          <w:rFonts w:eastAsia="Calibri"/>
          <w:i/>
          <w:szCs w:val="28"/>
        </w:rPr>
        <w:t xml:space="preserve"> </w:t>
      </w:r>
      <w:r w:rsidRPr="00231499">
        <w:rPr>
          <w:rFonts w:eastAsia="Calibri"/>
          <w:szCs w:val="28"/>
        </w:rPr>
        <w:t xml:space="preserve">Тенденції захворюваності дитячого населення України. Україна. Здоров’я нації. 2018. № 3 (50). С. 119–120. </w:t>
      </w:r>
      <w:r w:rsidRPr="00231499">
        <w:rPr>
          <w:rFonts w:eastAsia="Calibri"/>
          <w:szCs w:val="28"/>
        </w:rPr>
        <w:lastRenderedPageBreak/>
        <w:t xml:space="preserve">(Актуальні питання розвитку системи громадського здоров’я в Україні: тези доповідей учасників науково-практична конференції з міжнародною участю (Ужгород, 17–18 трав. 2018 р.). </w:t>
      </w:r>
      <w:r w:rsidR="00C9516E">
        <w:rPr>
          <w:szCs w:val="28"/>
          <w:lang w:eastAsia="ru-RU"/>
        </w:rPr>
        <w:t>(</w:t>
      </w:r>
      <w:r w:rsidRPr="00231499">
        <w:rPr>
          <w:i/>
          <w:szCs w:val="28"/>
          <w:lang w:eastAsia="ru-RU"/>
        </w:rPr>
        <w:t>Дисертанту належить обробка матеріалу, формування висновків)</w:t>
      </w:r>
      <w:r w:rsidRPr="00231499">
        <w:rPr>
          <w:szCs w:val="28"/>
          <w:lang w:eastAsia="ru-RU"/>
        </w:rPr>
        <w:t>.</w:t>
      </w:r>
    </w:p>
    <w:p w:rsidR="00D91883" w:rsidRPr="00231499" w:rsidRDefault="00D91883" w:rsidP="00D91883">
      <w:pPr>
        <w:widowControl w:val="0"/>
        <w:numPr>
          <w:ilvl w:val="0"/>
          <w:numId w:val="3"/>
        </w:numPr>
        <w:ind w:left="0" w:firstLine="284"/>
        <w:contextualSpacing/>
        <w:rPr>
          <w:rFonts w:eastAsia="Calibri"/>
          <w:szCs w:val="28"/>
        </w:rPr>
      </w:pPr>
      <w:r w:rsidRPr="00231499">
        <w:rPr>
          <w:rFonts w:eastAsia="Calibri"/>
          <w:szCs w:val="28"/>
        </w:rPr>
        <w:t>Dudnyk S., Slabkiy G., Dudina O., Gaborets Y., Kachala L. The Characteristic of Infants Disability in Ukraine. The faces of contemporary pediatrics from clinical problems to public health: Abstract book of International paediatric conference</w:t>
      </w:r>
      <w:r w:rsidRPr="00231499">
        <w:rPr>
          <w:rFonts w:eastAsia="Calibri"/>
          <w:i/>
          <w:szCs w:val="28"/>
        </w:rPr>
        <w:t xml:space="preserve"> </w:t>
      </w:r>
      <w:r w:rsidRPr="00231499">
        <w:rPr>
          <w:rFonts w:eastAsia="Calibri"/>
          <w:szCs w:val="28"/>
        </w:rPr>
        <w:t>(Rzeszow, Poland, 24-26 may 2018).</w:t>
      </w:r>
      <w:r w:rsidRPr="00231499">
        <w:rPr>
          <w:rFonts w:eastAsia="Calibri"/>
          <w:i/>
          <w:szCs w:val="28"/>
        </w:rPr>
        <w:t xml:space="preserve"> </w:t>
      </w:r>
      <w:r w:rsidRPr="00231499">
        <w:rPr>
          <w:rFonts w:eastAsia="Calibri"/>
          <w:szCs w:val="28"/>
        </w:rPr>
        <w:t>Rzeszow, Poland, 2018. P. 31.</w:t>
      </w:r>
      <w:r w:rsidRPr="00231499">
        <w:rPr>
          <w:szCs w:val="28"/>
        </w:rPr>
        <w:t xml:space="preserve"> </w:t>
      </w:r>
      <w:r w:rsidR="00C9516E">
        <w:rPr>
          <w:rFonts w:eastAsia="Calibri"/>
          <w:szCs w:val="28"/>
        </w:rPr>
        <w:t>(</w:t>
      </w:r>
      <w:r w:rsidRPr="00231499">
        <w:rPr>
          <w:rFonts w:eastAsia="Calibri"/>
          <w:i/>
          <w:szCs w:val="28"/>
        </w:rPr>
        <w:t>Дисертанту належить обробка матеріалу, формування висновків, підготовка матеріалів до публікації</w:t>
      </w:r>
      <w:r w:rsidRPr="00231499">
        <w:rPr>
          <w:rFonts w:eastAsia="Calibri"/>
          <w:szCs w:val="28"/>
        </w:rPr>
        <w:t xml:space="preserve">). </w:t>
      </w:r>
    </w:p>
    <w:p w:rsidR="00D91883" w:rsidRPr="00231499" w:rsidRDefault="00D91883" w:rsidP="00D91883">
      <w:pPr>
        <w:widowControl w:val="0"/>
        <w:numPr>
          <w:ilvl w:val="0"/>
          <w:numId w:val="3"/>
        </w:numPr>
        <w:ind w:left="0" w:firstLine="284"/>
        <w:contextualSpacing/>
        <w:rPr>
          <w:rFonts w:eastAsia="Calibri"/>
          <w:szCs w:val="28"/>
        </w:rPr>
      </w:pPr>
      <w:r w:rsidRPr="00231499">
        <w:rPr>
          <w:rFonts w:eastAsia="Calibri"/>
          <w:szCs w:val="28"/>
        </w:rPr>
        <w:t xml:space="preserve">Дудник С. В., Слабкий Г. О. Тенденції дитячої інвалідності та організаційно-правові аспекти реабілітації дітей в Україні. </w:t>
      </w:r>
      <w:r w:rsidRPr="00231499">
        <w:rPr>
          <w:rFonts w:eastAsia="Calibri"/>
          <w:i/>
          <w:szCs w:val="28"/>
        </w:rPr>
        <w:t>Україна. Здоров’я нації</w:t>
      </w:r>
      <w:r w:rsidRPr="00231499">
        <w:rPr>
          <w:rFonts w:eastAsia="Calibri"/>
          <w:szCs w:val="28"/>
        </w:rPr>
        <w:t>. 2018. №</w:t>
      </w:r>
      <w:r w:rsidR="008B2960">
        <w:rPr>
          <w:rFonts w:eastAsia="Calibri"/>
          <w:szCs w:val="28"/>
          <w:lang w:val="ru-RU"/>
        </w:rPr>
        <w:t> </w:t>
      </w:r>
      <w:r w:rsidRPr="00231499">
        <w:rPr>
          <w:rFonts w:eastAsia="Calibri"/>
          <w:szCs w:val="28"/>
        </w:rPr>
        <w:t>3/1</w:t>
      </w:r>
      <w:r w:rsidR="008B2960">
        <w:rPr>
          <w:rFonts w:eastAsia="Calibri"/>
          <w:szCs w:val="28"/>
          <w:lang w:val="ru-RU"/>
        </w:rPr>
        <w:t> </w:t>
      </w:r>
      <w:r w:rsidRPr="00231499">
        <w:rPr>
          <w:rFonts w:eastAsia="Calibri"/>
          <w:szCs w:val="28"/>
        </w:rPr>
        <w:t xml:space="preserve">(51). С. 22–25. (Актуальні питання у сфері надання комплексних послуг особам з інвалідністю: матеріали учасників науково-практичної конференції з міжнародною участю (Ужгород, 19-21 верес. 2018 р.). </w:t>
      </w:r>
      <w:r w:rsidR="00C9516E">
        <w:rPr>
          <w:i/>
          <w:szCs w:val="28"/>
          <w:lang w:eastAsia="ru-RU"/>
        </w:rPr>
        <w:t>(</w:t>
      </w:r>
      <w:r w:rsidRPr="00231499">
        <w:rPr>
          <w:i/>
          <w:szCs w:val="28"/>
          <w:lang w:eastAsia="ru-RU"/>
        </w:rPr>
        <w:t>Дисертанту належить обробка матеріалу, формування висновків, підготовка матеріалів до публікації)</w:t>
      </w:r>
      <w:r w:rsidRPr="00231499">
        <w:rPr>
          <w:szCs w:val="28"/>
          <w:lang w:eastAsia="ru-RU"/>
        </w:rPr>
        <w:t>.</w:t>
      </w:r>
    </w:p>
    <w:p w:rsidR="00D91883" w:rsidRPr="00231499" w:rsidRDefault="00D91883" w:rsidP="00D91883">
      <w:pPr>
        <w:widowControl w:val="0"/>
        <w:numPr>
          <w:ilvl w:val="0"/>
          <w:numId w:val="3"/>
        </w:numPr>
        <w:ind w:left="0" w:firstLine="284"/>
        <w:contextualSpacing/>
        <w:rPr>
          <w:rFonts w:eastAsia="Calibri"/>
          <w:szCs w:val="28"/>
        </w:rPr>
      </w:pPr>
      <w:r w:rsidRPr="00231499">
        <w:rPr>
          <w:rFonts w:eastAsia="Calibri"/>
          <w:szCs w:val="28"/>
        </w:rPr>
        <w:t>Слабкий Г. О., Дудіна О. О., Дудник С. В., Качала Л. О. Щодо стану перинатальної та малюкової смертності в Україні як складових репродуктивних втрат. Perspectives of science and education: The 5-th International youth conference (New York, October 19, 2018). New York, USA</w:t>
      </w:r>
      <w:r w:rsidR="00C9516E">
        <w:rPr>
          <w:rFonts w:eastAsia="Calibri"/>
          <w:szCs w:val="28"/>
        </w:rPr>
        <w:t>: SLOVO\WORD, 2018. P. 29–40. (</w:t>
      </w:r>
      <w:r w:rsidRPr="00231499">
        <w:rPr>
          <w:rFonts w:eastAsia="Calibri"/>
          <w:i/>
          <w:szCs w:val="28"/>
        </w:rPr>
        <w:t>Дисертанту належить аналіз матеріалів дослідження, формування висновків, підготовка матеріалів до публікації</w:t>
      </w:r>
      <w:r w:rsidRPr="00231499">
        <w:rPr>
          <w:rFonts w:eastAsia="Calibri"/>
          <w:szCs w:val="28"/>
        </w:rPr>
        <w:t>).</w:t>
      </w:r>
    </w:p>
    <w:p w:rsidR="00D91883" w:rsidRPr="00231499" w:rsidRDefault="00D91883" w:rsidP="00D91883">
      <w:pPr>
        <w:pStyle w:val="a5"/>
        <w:widowControl w:val="0"/>
        <w:numPr>
          <w:ilvl w:val="0"/>
          <w:numId w:val="3"/>
        </w:numPr>
        <w:shd w:val="clear" w:color="auto" w:fill="FFFFFF"/>
        <w:spacing w:after="200"/>
        <w:ind w:left="0" w:firstLine="284"/>
        <w:rPr>
          <w:szCs w:val="28"/>
          <w:lang w:eastAsia="ru-RU"/>
        </w:rPr>
      </w:pPr>
      <w:r w:rsidRPr="00231499">
        <w:rPr>
          <w:szCs w:val="28"/>
          <w:lang w:eastAsia="ru-RU"/>
        </w:rPr>
        <w:t>Слабкий Г. О., Дудник С. В. Методичні підходи до обґрунтування сучасної функціонально-організаційної системи попередження дитячої смертності в Україні. Економіка і право охорони здоров'я України. 2018. № 2(8). С. 138. (Маркери оцінки якості життя через призму громадського здоров’я: матеріали учасників конф. (</w:t>
      </w:r>
      <w:r w:rsidR="00C9516E">
        <w:rPr>
          <w:szCs w:val="28"/>
          <w:lang w:eastAsia="ru-RU"/>
        </w:rPr>
        <w:t>Ужгород, 8-9 лист. 2018 р.)). (</w:t>
      </w:r>
      <w:r w:rsidRPr="00231499">
        <w:rPr>
          <w:i/>
          <w:szCs w:val="28"/>
          <w:lang w:eastAsia="ru-RU"/>
        </w:rPr>
        <w:t>Дисертанту належить ідея написання тез, аналіз матеріалів дослідження, підготовка матеріалів до публікаці)</w:t>
      </w:r>
    </w:p>
    <w:p w:rsidR="00D91883" w:rsidRPr="00231499" w:rsidRDefault="00D91883" w:rsidP="00D91883">
      <w:pPr>
        <w:pStyle w:val="a5"/>
        <w:widowControl w:val="0"/>
        <w:numPr>
          <w:ilvl w:val="0"/>
          <w:numId w:val="3"/>
        </w:numPr>
        <w:shd w:val="clear" w:color="auto" w:fill="FFFFFF"/>
        <w:spacing w:after="200"/>
        <w:ind w:left="0" w:firstLine="284"/>
        <w:rPr>
          <w:szCs w:val="28"/>
          <w:lang w:eastAsia="ru-RU"/>
        </w:rPr>
      </w:pPr>
      <w:r w:rsidRPr="00231499">
        <w:rPr>
          <w:szCs w:val="28"/>
          <w:lang w:eastAsia="ru-RU"/>
        </w:rPr>
        <w:t xml:space="preserve">Слабкий Г. А., Дудник С. В. К вопросу о сохранении перинатального здоровья, предотвращении смертности и оптимизации медицинской помощи матерям и новорожденным. Проблемы биологии и медицины. 2018. № 4/1 (105). </w:t>
      </w:r>
      <w:r w:rsidRPr="00231499">
        <w:rPr>
          <w:szCs w:val="28"/>
          <w:lang w:eastAsia="ru-RU"/>
        </w:rPr>
        <w:lastRenderedPageBreak/>
        <w:t>C.</w:t>
      </w:r>
      <w:r w:rsidR="008B2960">
        <w:rPr>
          <w:szCs w:val="28"/>
          <w:lang w:val="ru-RU" w:eastAsia="ru-RU"/>
        </w:rPr>
        <w:t> </w:t>
      </w:r>
      <w:r w:rsidRPr="00231499">
        <w:rPr>
          <w:szCs w:val="28"/>
          <w:lang w:eastAsia="ru-RU"/>
        </w:rPr>
        <w:t>138. (Инновационные технологии в медицине: материалы науч.-практ. конф. с междунар. участием (Самарканд, 30 нояб.-1 декаб. 2018 г.) / по</w:t>
      </w:r>
      <w:r w:rsidR="00C9516E">
        <w:rPr>
          <w:szCs w:val="28"/>
          <w:lang w:eastAsia="ru-RU"/>
        </w:rPr>
        <w:t>д. ред проф. А. М. Шамсиева). (</w:t>
      </w:r>
      <w:r w:rsidRPr="00231499">
        <w:rPr>
          <w:i/>
          <w:szCs w:val="28"/>
          <w:lang w:eastAsia="ru-RU"/>
        </w:rPr>
        <w:t>Дисертанту належить ідея написання, аналіз матеріалів дослідження, підготовка матеріалів до публікації</w:t>
      </w:r>
      <w:r w:rsidRPr="00231499">
        <w:rPr>
          <w:szCs w:val="28"/>
          <w:lang w:eastAsia="ru-RU"/>
        </w:rPr>
        <w:t xml:space="preserve">). </w:t>
      </w:r>
    </w:p>
    <w:p w:rsidR="00D91883" w:rsidRPr="00231499" w:rsidRDefault="00D91883" w:rsidP="00D91883">
      <w:pPr>
        <w:pStyle w:val="a5"/>
        <w:widowControl w:val="0"/>
        <w:numPr>
          <w:ilvl w:val="0"/>
          <w:numId w:val="3"/>
        </w:numPr>
        <w:shd w:val="clear" w:color="auto" w:fill="FFFFFF"/>
        <w:spacing w:after="200"/>
        <w:ind w:left="0" w:firstLine="284"/>
        <w:rPr>
          <w:szCs w:val="28"/>
          <w:lang w:eastAsia="ru-RU"/>
        </w:rPr>
      </w:pPr>
      <w:r w:rsidRPr="00231499">
        <w:rPr>
          <w:szCs w:val="28"/>
          <w:lang w:eastAsia="ru-RU"/>
        </w:rPr>
        <w:t>Слабкий Г. О., Дудник С. В., Качала Л. О. Оцінка економічної складової смертності дітей у віці до 1-го року життя. Матеріали 72-ї підсумкової наук. конф. професорсько-викладацького складу УжНУ / МОН України; Ужгородський національний університет; Факультет післядипломної освіти та до університетської підг</w:t>
      </w:r>
      <w:r w:rsidR="00C9516E">
        <w:rPr>
          <w:szCs w:val="28"/>
          <w:lang w:eastAsia="ru-RU"/>
        </w:rPr>
        <w:t>отовки. Ужгород. 2018. С. 78. (</w:t>
      </w:r>
      <w:r w:rsidRPr="00231499">
        <w:rPr>
          <w:i/>
          <w:szCs w:val="28"/>
          <w:lang w:eastAsia="ru-RU"/>
        </w:rPr>
        <w:t>Дисертанту належить обробка матеріалу, формування висновків, підготовка матеріалів до публікації</w:t>
      </w:r>
      <w:r w:rsidRPr="00231499">
        <w:rPr>
          <w:szCs w:val="28"/>
          <w:lang w:eastAsia="ru-RU"/>
        </w:rPr>
        <w:t xml:space="preserve">). </w:t>
      </w:r>
    </w:p>
    <w:p w:rsidR="00D91883" w:rsidRPr="00231499" w:rsidRDefault="00D91883" w:rsidP="00D91883">
      <w:pPr>
        <w:pStyle w:val="a5"/>
        <w:widowControl w:val="0"/>
        <w:numPr>
          <w:ilvl w:val="0"/>
          <w:numId w:val="3"/>
        </w:numPr>
        <w:shd w:val="clear" w:color="auto" w:fill="FFFFFF"/>
        <w:spacing w:after="200"/>
        <w:ind w:left="0" w:firstLine="284"/>
        <w:rPr>
          <w:szCs w:val="28"/>
          <w:lang w:eastAsia="ru-RU"/>
        </w:rPr>
      </w:pPr>
      <w:r w:rsidRPr="00231499">
        <w:rPr>
          <w:szCs w:val="28"/>
          <w:lang w:eastAsia="ru-RU"/>
        </w:rPr>
        <w:t>Слабкий Г. О., Дудник С. В. Щодо функціонально-організаційної системи попередження дитячої смертності. Впровадження сучасних досягнень медичної науки у практику охорони здоров'я України: матеріали VIII Міжнародного Медичного Конгресу (Київ, 17–19 квіт.</w:t>
      </w:r>
      <w:r w:rsidR="00C9516E">
        <w:rPr>
          <w:szCs w:val="28"/>
          <w:lang w:eastAsia="ru-RU"/>
        </w:rPr>
        <w:t xml:space="preserve"> 2019 р.). Київ, 2019. С. 6.  (</w:t>
      </w:r>
      <w:r w:rsidRPr="00231499">
        <w:rPr>
          <w:i/>
          <w:szCs w:val="28"/>
          <w:lang w:eastAsia="ru-RU"/>
        </w:rPr>
        <w:t>Дисертанту належить ідея написання, аналіз, формування та підготовка матеріалу до публікації</w:t>
      </w:r>
      <w:r w:rsidRPr="00231499">
        <w:rPr>
          <w:szCs w:val="28"/>
          <w:lang w:eastAsia="ru-RU"/>
        </w:rPr>
        <w:t>).</w:t>
      </w:r>
    </w:p>
    <w:p w:rsidR="00D91883" w:rsidRPr="00C9516E" w:rsidRDefault="00D91883" w:rsidP="00C9516E">
      <w:pPr>
        <w:pStyle w:val="a5"/>
        <w:widowControl w:val="0"/>
        <w:numPr>
          <w:ilvl w:val="0"/>
          <w:numId w:val="3"/>
        </w:numPr>
        <w:shd w:val="clear" w:color="auto" w:fill="FFFFFF"/>
        <w:spacing w:after="200"/>
        <w:ind w:left="0" w:firstLine="284"/>
        <w:rPr>
          <w:szCs w:val="28"/>
          <w:lang w:eastAsia="ru-RU"/>
        </w:rPr>
      </w:pPr>
      <w:r w:rsidRPr="00231499">
        <w:rPr>
          <w:szCs w:val="28"/>
          <w:lang w:eastAsia="ru-RU"/>
        </w:rPr>
        <w:t xml:space="preserve">Слабкий Г. О., Дудник С. В. Щодо детермінант дитячої смертності за даними соціологічного опитування. </w:t>
      </w:r>
      <w:r w:rsidRPr="00231499">
        <w:rPr>
          <w:szCs w:val="28"/>
          <w:lang w:val="en-US" w:eastAsia="ru-RU"/>
        </w:rPr>
        <w:t>Advances of science: Proceedings of articles the international scientific conference (Czech Republic, Karlovy Vary, Ukraine, Kyiv, 27 June 2019) / Ed. Prof. L. N. Katjuhin, I. A. Salov, I. S. Danilova, N. S. Burina. Czech Republic, Karlovy Vary, Ukraine, Kyiv. 2019. P. 99–103. [</w:t>
      </w:r>
      <w:r w:rsidRPr="00231499">
        <w:rPr>
          <w:szCs w:val="28"/>
          <w:lang w:eastAsia="ru-RU"/>
        </w:rPr>
        <w:t>Електронний</w:t>
      </w:r>
      <w:r w:rsidRPr="00231499">
        <w:rPr>
          <w:szCs w:val="28"/>
          <w:lang w:val="en-US" w:eastAsia="ru-RU"/>
        </w:rPr>
        <w:t xml:space="preserve"> </w:t>
      </w:r>
      <w:r w:rsidRPr="00231499">
        <w:rPr>
          <w:szCs w:val="28"/>
          <w:lang w:eastAsia="ru-RU"/>
        </w:rPr>
        <w:t>ресурс</w:t>
      </w:r>
      <w:r w:rsidRPr="00231499">
        <w:rPr>
          <w:szCs w:val="28"/>
          <w:lang w:val="en-US" w:eastAsia="ru-RU"/>
        </w:rPr>
        <w:t xml:space="preserve">] Electron. Txt. D. (1 </w:t>
      </w:r>
      <w:r w:rsidRPr="00231499">
        <w:rPr>
          <w:szCs w:val="28"/>
          <w:lang w:eastAsia="ru-RU"/>
        </w:rPr>
        <w:t>файл</w:t>
      </w:r>
      <w:r w:rsidRPr="00231499">
        <w:rPr>
          <w:szCs w:val="28"/>
          <w:lang w:val="en-US" w:eastAsia="ru-RU"/>
        </w:rPr>
        <w:t xml:space="preserve"> 6 MB). Czech Republic, Karlovy Vary: Skleněný Můstek, Ukraine, Kyiv: MCNIP, 2019. </w:t>
      </w:r>
      <w:r w:rsidR="00C9516E">
        <w:rPr>
          <w:szCs w:val="28"/>
          <w:lang w:eastAsia="ru-RU"/>
        </w:rPr>
        <w:t>(</w:t>
      </w:r>
      <w:r w:rsidRPr="00231499">
        <w:rPr>
          <w:i/>
          <w:szCs w:val="28"/>
          <w:lang w:eastAsia="ru-RU"/>
        </w:rPr>
        <w:t>Дисертанту належить ідея написання, аналіз матеріалів дослідження, підготовка матеріалів до публікації</w:t>
      </w:r>
      <w:r w:rsidRPr="00231499">
        <w:rPr>
          <w:szCs w:val="28"/>
          <w:lang w:eastAsia="ru-RU"/>
        </w:rPr>
        <w:t>).</w:t>
      </w:r>
    </w:p>
    <w:p w:rsidR="00D91883" w:rsidRPr="00373E93" w:rsidRDefault="00D91883" w:rsidP="00D91883">
      <w:pPr>
        <w:pStyle w:val="a5"/>
        <w:widowControl w:val="0"/>
        <w:shd w:val="clear" w:color="auto" w:fill="FFFFFF"/>
        <w:ind w:left="644"/>
        <w:rPr>
          <w:b/>
          <w:szCs w:val="28"/>
          <w:lang w:eastAsia="ru-RU"/>
        </w:rPr>
      </w:pPr>
      <w:r w:rsidRPr="00373E93">
        <w:rPr>
          <w:b/>
          <w:szCs w:val="28"/>
          <w:lang w:eastAsia="ru-RU"/>
        </w:rPr>
        <w:t>Опубліковані праці, які додатково відображають результати дисертації</w:t>
      </w:r>
    </w:p>
    <w:p w:rsidR="00D91883" w:rsidRPr="00231499" w:rsidRDefault="00D91883" w:rsidP="00D91883">
      <w:pPr>
        <w:pStyle w:val="a5"/>
        <w:widowControl w:val="0"/>
        <w:numPr>
          <w:ilvl w:val="0"/>
          <w:numId w:val="3"/>
        </w:numPr>
        <w:shd w:val="clear" w:color="auto" w:fill="FFFFFF"/>
        <w:spacing w:after="200"/>
        <w:ind w:left="0" w:firstLine="284"/>
        <w:rPr>
          <w:szCs w:val="28"/>
          <w:lang w:eastAsia="ru-RU"/>
        </w:rPr>
      </w:pPr>
      <w:r w:rsidRPr="00231499">
        <w:rPr>
          <w:szCs w:val="28"/>
          <w:lang w:eastAsia="ru-RU"/>
        </w:rPr>
        <w:t>Slabkiy G. O., Dudina O. O., Dudnyk S. V., Kachala L. A. Dynamics of the physical development of newborns. The Unity оf Science: International Scientific Professional Periodical Journal. Vienna, Austria. December 201</w:t>
      </w:r>
      <w:r w:rsidR="00C9516E">
        <w:rPr>
          <w:szCs w:val="28"/>
          <w:lang w:eastAsia="ru-RU"/>
        </w:rPr>
        <w:t>8 / January 2019. P. 140–143. (</w:t>
      </w:r>
      <w:r w:rsidRPr="00231499">
        <w:rPr>
          <w:i/>
          <w:szCs w:val="28"/>
          <w:lang w:eastAsia="ru-RU"/>
        </w:rPr>
        <w:t>Дисертанту належить обробка матеріалу, формування висновків, підготовка матеріалів до публікації</w:t>
      </w:r>
      <w:r w:rsidRPr="00231499">
        <w:rPr>
          <w:szCs w:val="28"/>
          <w:lang w:eastAsia="ru-RU"/>
        </w:rPr>
        <w:t xml:space="preserve">). </w:t>
      </w:r>
    </w:p>
    <w:p w:rsidR="00D91883" w:rsidRPr="00D91883" w:rsidRDefault="00D91883" w:rsidP="00065F95">
      <w:pPr>
        <w:pStyle w:val="a5"/>
        <w:widowControl w:val="0"/>
        <w:numPr>
          <w:ilvl w:val="0"/>
          <w:numId w:val="3"/>
        </w:numPr>
        <w:shd w:val="clear" w:color="auto" w:fill="FFFFFF"/>
        <w:spacing w:before="240" w:after="240"/>
        <w:ind w:left="0" w:firstLine="284"/>
        <w:rPr>
          <w:szCs w:val="28"/>
          <w:lang w:eastAsia="ru-RU"/>
        </w:rPr>
      </w:pPr>
      <w:r w:rsidRPr="00231499">
        <w:rPr>
          <w:szCs w:val="28"/>
          <w:lang w:eastAsia="ru-RU"/>
        </w:rPr>
        <w:lastRenderedPageBreak/>
        <w:t xml:space="preserve">Дудіна О. О., Слабкий Г. О., Дудник С. В. Комплексна оцінка діяльності закладів та установ перинатальної допомоги: метод. </w:t>
      </w:r>
      <w:r>
        <w:rPr>
          <w:szCs w:val="28"/>
          <w:lang w:eastAsia="ru-RU"/>
        </w:rPr>
        <w:t>р</w:t>
      </w:r>
      <w:r w:rsidRPr="00231499">
        <w:rPr>
          <w:szCs w:val="28"/>
          <w:lang w:eastAsia="ru-RU"/>
        </w:rPr>
        <w:t>е</w:t>
      </w:r>
      <w:r w:rsidR="00C9516E">
        <w:rPr>
          <w:szCs w:val="28"/>
          <w:lang w:eastAsia="ru-RU"/>
        </w:rPr>
        <w:t>комендації. Київ, 2019. 34 с. (</w:t>
      </w:r>
      <w:r w:rsidRPr="00231499">
        <w:rPr>
          <w:i/>
          <w:szCs w:val="28"/>
          <w:lang w:eastAsia="ru-RU"/>
        </w:rPr>
        <w:t>Дисертанту належить ідея написання методичних рекомендацій, аналіз матеріалів дослідження, підготовка матеріалів до публікації</w:t>
      </w:r>
      <w:r w:rsidRPr="00231499">
        <w:rPr>
          <w:szCs w:val="28"/>
          <w:lang w:eastAsia="ru-RU"/>
        </w:rPr>
        <w:t>).</w:t>
      </w:r>
    </w:p>
    <w:p w:rsidR="00F649D9" w:rsidRPr="00A00578" w:rsidRDefault="00F649D9" w:rsidP="00EF7241">
      <w:pPr>
        <w:rPr>
          <w:i/>
        </w:rPr>
      </w:pPr>
      <w:r w:rsidRPr="00A00578">
        <w:rPr>
          <w:i/>
        </w:rPr>
        <w:br w:type="page"/>
      </w:r>
    </w:p>
    <w:p w:rsidR="00323DA9" w:rsidRPr="00006A39" w:rsidRDefault="00323DA9" w:rsidP="00721203">
      <w:pPr>
        <w:widowControl w:val="0"/>
        <w:sectPr w:rsidR="00323DA9" w:rsidRPr="00006A39" w:rsidSect="00ED49A7">
          <w:headerReference w:type="default" r:id="rId9"/>
          <w:pgSz w:w="11906" w:h="16838"/>
          <w:pgMar w:top="1134" w:right="567" w:bottom="1134" w:left="1134" w:header="708" w:footer="708" w:gutter="0"/>
          <w:cols w:space="708"/>
          <w:titlePg/>
          <w:docGrid w:linePitch="381"/>
        </w:sectPr>
      </w:pPr>
    </w:p>
    <w:p w:rsidR="00040BBC" w:rsidRPr="00A65758" w:rsidRDefault="00323DA9" w:rsidP="00A65758">
      <w:pPr>
        <w:pageBreakBefore/>
        <w:widowControl w:val="0"/>
        <w:spacing w:after="240"/>
        <w:jc w:val="center"/>
        <w:rPr>
          <w:b/>
          <w:szCs w:val="28"/>
          <w:lang w:val="ru-RU"/>
        </w:rPr>
      </w:pPr>
      <w:r w:rsidRPr="00006A39">
        <w:rPr>
          <w:b/>
          <w:szCs w:val="28"/>
        </w:rPr>
        <w:lastRenderedPageBreak/>
        <w:t>ЗМІСТ</w:t>
      </w:r>
    </w:p>
    <w:tbl>
      <w:tblPr>
        <w:tblW w:w="9498" w:type="dxa"/>
        <w:jc w:val="center"/>
        <w:tblInd w:w="-5" w:type="dxa"/>
        <w:tblLayout w:type="fixed"/>
        <w:tblLook w:val="04A0" w:firstRow="1" w:lastRow="0" w:firstColumn="1" w:lastColumn="0" w:noHBand="0" w:noVBand="1"/>
      </w:tblPr>
      <w:tblGrid>
        <w:gridCol w:w="1490"/>
        <w:gridCol w:w="7157"/>
        <w:gridCol w:w="851"/>
      </w:tblGrid>
      <w:tr w:rsidR="00040BBC" w:rsidRPr="00040BBC" w:rsidTr="008B1882">
        <w:trPr>
          <w:jc w:val="center"/>
        </w:trPr>
        <w:tc>
          <w:tcPr>
            <w:tcW w:w="1490" w:type="dxa"/>
          </w:tcPr>
          <w:p w:rsidR="00040BBC" w:rsidRPr="00040BBC" w:rsidRDefault="00040BBC" w:rsidP="00040BBC">
            <w:pPr>
              <w:widowControl w:val="0"/>
              <w:rPr>
                <w:rFonts w:eastAsia="Calibri"/>
                <w:szCs w:val="28"/>
              </w:rPr>
            </w:pPr>
          </w:p>
        </w:tc>
        <w:tc>
          <w:tcPr>
            <w:tcW w:w="7157" w:type="dxa"/>
          </w:tcPr>
          <w:p w:rsidR="00040BBC" w:rsidRPr="00040BBC" w:rsidRDefault="00F56089" w:rsidP="00040BBC">
            <w:pPr>
              <w:widowControl w:val="0"/>
              <w:rPr>
                <w:rFonts w:eastAsia="Calibri"/>
                <w:szCs w:val="28"/>
              </w:rPr>
            </w:pPr>
            <w:r w:rsidRPr="008A546E">
              <w:rPr>
                <w:rFonts w:eastAsia="Calibri"/>
                <w:szCs w:val="28"/>
              </w:rPr>
              <w:t>ПЕРЕЛІК УМОВНИХ СКОРОЧЕНЬ..</w:t>
            </w:r>
            <w:r w:rsidR="00040BBC" w:rsidRPr="008A546E">
              <w:rPr>
                <w:rFonts w:eastAsia="Calibri"/>
                <w:szCs w:val="28"/>
              </w:rPr>
              <w:t>……………………</w:t>
            </w:r>
          </w:p>
        </w:tc>
        <w:tc>
          <w:tcPr>
            <w:tcW w:w="851" w:type="dxa"/>
          </w:tcPr>
          <w:p w:rsidR="00040BBC" w:rsidRPr="00040BBC" w:rsidRDefault="00040BBC" w:rsidP="00040BBC">
            <w:pPr>
              <w:widowControl w:val="0"/>
              <w:jc w:val="center"/>
              <w:rPr>
                <w:rFonts w:eastAsia="Calibri"/>
                <w:szCs w:val="28"/>
                <w:lang w:val="ru-RU"/>
              </w:rPr>
            </w:pPr>
            <w:r w:rsidRPr="00040BBC">
              <w:rPr>
                <w:rFonts w:eastAsia="Calibri"/>
                <w:szCs w:val="28"/>
                <w:lang w:val="ru-RU"/>
              </w:rPr>
              <w:t>26</w:t>
            </w:r>
          </w:p>
        </w:tc>
      </w:tr>
      <w:tr w:rsidR="00040BBC" w:rsidRPr="00040BBC" w:rsidTr="008B1882">
        <w:trPr>
          <w:jc w:val="center"/>
        </w:trPr>
        <w:tc>
          <w:tcPr>
            <w:tcW w:w="1490" w:type="dxa"/>
          </w:tcPr>
          <w:p w:rsidR="00040BBC" w:rsidRPr="00040BBC" w:rsidRDefault="00040BBC" w:rsidP="00040BBC">
            <w:pPr>
              <w:widowControl w:val="0"/>
              <w:rPr>
                <w:rFonts w:eastAsia="Calibri"/>
                <w:szCs w:val="28"/>
              </w:rPr>
            </w:pPr>
          </w:p>
        </w:tc>
        <w:tc>
          <w:tcPr>
            <w:tcW w:w="7157" w:type="dxa"/>
          </w:tcPr>
          <w:p w:rsidR="00040BBC" w:rsidRPr="00040BBC" w:rsidRDefault="00040BBC" w:rsidP="00040BBC">
            <w:pPr>
              <w:widowControl w:val="0"/>
              <w:rPr>
                <w:rFonts w:eastAsia="Calibri"/>
                <w:szCs w:val="28"/>
              </w:rPr>
            </w:pPr>
            <w:r w:rsidRPr="00040BBC">
              <w:rPr>
                <w:rFonts w:eastAsia="Calibri"/>
                <w:szCs w:val="28"/>
              </w:rPr>
              <w:t>ВСТУП………………………………………………….…..</w:t>
            </w:r>
          </w:p>
        </w:tc>
        <w:tc>
          <w:tcPr>
            <w:tcW w:w="851" w:type="dxa"/>
          </w:tcPr>
          <w:p w:rsidR="00040BBC" w:rsidRPr="00040BBC" w:rsidRDefault="00040BBC" w:rsidP="00040BBC">
            <w:pPr>
              <w:widowControl w:val="0"/>
              <w:jc w:val="center"/>
              <w:rPr>
                <w:rFonts w:eastAsia="Calibri"/>
                <w:szCs w:val="28"/>
                <w:lang w:val="ru-RU"/>
              </w:rPr>
            </w:pPr>
            <w:r w:rsidRPr="00040BBC">
              <w:rPr>
                <w:rFonts w:eastAsia="Calibri"/>
                <w:szCs w:val="28"/>
                <w:lang w:val="ru-RU"/>
              </w:rPr>
              <w:t>28</w:t>
            </w:r>
          </w:p>
        </w:tc>
      </w:tr>
      <w:tr w:rsidR="00040BBC" w:rsidRPr="00040BBC" w:rsidTr="008B1882">
        <w:trPr>
          <w:jc w:val="center"/>
        </w:trPr>
        <w:tc>
          <w:tcPr>
            <w:tcW w:w="1490" w:type="dxa"/>
          </w:tcPr>
          <w:p w:rsidR="00040BBC" w:rsidRPr="00040BBC" w:rsidRDefault="00040BBC" w:rsidP="00040BBC">
            <w:pPr>
              <w:widowControl w:val="0"/>
              <w:rPr>
                <w:rFonts w:eastAsia="Calibri"/>
                <w:szCs w:val="28"/>
              </w:rPr>
            </w:pPr>
            <w:r w:rsidRPr="00040BBC">
              <w:rPr>
                <w:rFonts w:eastAsia="Calibri"/>
                <w:szCs w:val="28"/>
              </w:rPr>
              <w:t>РОЗДІЛ 1</w:t>
            </w:r>
          </w:p>
        </w:tc>
        <w:tc>
          <w:tcPr>
            <w:tcW w:w="7157" w:type="dxa"/>
          </w:tcPr>
          <w:p w:rsidR="00040BBC" w:rsidRPr="00040BBC" w:rsidRDefault="00040BBC" w:rsidP="00040BBC">
            <w:pPr>
              <w:widowControl w:val="0"/>
              <w:rPr>
                <w:rFonts w:eastAsia="Calibri"/>
                <w:szCs w:val="28"/>
                <w:lang w:val="ru-RU"/>
              </w:rPr>
            </w:pPr>
            <w:r w:rsidRPr="00040BBC">
              <w:rPr>
                <w:rFonts w:eastAsia="Calibri"/>
                <w:szCs w:val="28"/>
              </w:rPr>
              <w:t>Д</w:t>
            </w:r>
            <w:r w:rsidRPr="00040BBC">
              <w:rPr>
                <w:rFonts w:eastAsia="Calibri"/>
                <w:szCs w:val="28"/>
                <w:lang w:val="ru-RU"/>
              </w:rPr>
              <w:t>ИТЯЧА СМЕРТНІСТЬ ЯК ІНТЕГРАЛЬНИЙ ПОКАЗНИК</w:t>
            </w:r>
            <w:r w:rsidRPr="00040BBC">
              <w:rPr>
                <w:rFonts w:eastAsia="Calibri"/>
                <w:szCs w:val="28"/>
              </w:rPr>
              <w:t>, ЩО ХАРАКТЕРИЗУЄ СТАН МЕДИКО-СОЦІАЛЬНОЇ ДОПОМОГИ ДИТЯЧОМУ НАСЕЛЕННЮ (аналітичний огляд наукової літератури</w:t>
            </w:r>
            <w:r w:rsidRPr="00040BBC">
              <w:rPr>
                <w:rFonts w:eastAsia="Calibri"/>
                <w:szCs w:val="28"/>
                <w:lang w:val="ru-RU"/>
              </w:rPr>
              <w:t>)</w:t>
            </w:r>
            <w:r w:rsidRPr="00040BBC">
              <w:rPr>
                <w:rFonts w:eastAsia="Calibri"/>
                <w:szCs w:val="28"/>
              </w:rPr>
              <w:t>.</w:t>
            </w:r>
            <w:r w:rsidRPr="00040BBC">
              <w:rPr>
                <w:rFonts w:eastAsia="Calibri"/>
                <w:szCs w:val="28"/>
                <w:lang w:val="ru-RU"/>
              </w:rPr>
              <w:t>.</w:t>
            </w:r>
          </w:p>
        </w:tc>
        <w:tc>
          <w:tcPr>
            <w:tcW w:w="851" w:type="dxa"/>
          </w:tcPr>
          <w:p w:rsidR="00040BBC" w:rsidRPr="00040BBC" w:rsidRDefault="00040BBC" w:rsidP="00040BBC">
            <w:pPr>
              <w:widowControl w:val="0"/>
              <w:jc w:val="center"/>
              <w:rPr>
                <w:rFonts w:eastAsia="Calibri"/>
                <w:szCs w:val="28"/>
              </w:rPr>
            </w:pPr>
          </w:p>
          <w:p w:rsidR="00040BBC" w:rsidRPr="00040BBC" w:rsidRDefault="00040BBC" w:rsidP="00040BBC">
            <w:pPr>
              <w:widowControl w:val="0"/>
              <w:jc w:val="center"/>
              <w:rPr>
                <w:rFonts w:eastAsia="Calibri"/>
                <w:szCs w:val="28"/>
              </w:rPr>
            </w:pPr>
          </w:p>
          <w:p w:rsidR="00040BBC" w:rsidRPr="00040BBC" w:rsidRDefault="00040BBC" w:rsidP="00040BBC">
            <w:pPr>
              <w:jc w:val="center"/>
              <w:rPr>
                <w:rFonts w:eastAsia="Calibri"/>
                <w:szCs w:val="28"/>
              </w:rPr>
            </w:pPr>
          </w:p>
          <w:p w:rsidR="00040BBC" w:rsidRPr="00040BBC" w:rsidRDefault="00B637DD" w:rsidP="00040BBC">
            <w:pPr>
              <w:jc w:val="center"/>
              <w:rPr>
                <w:rFonts w:eastAsia="Calibri"/>
                <w:szCs w:val="28"/>
                <w:lang w:val="ru-RU"/>
              </w:rPr>
            </w:pPr>
            <w:r>
              <w:rPr>
                <w:rFonts w:eastAsia="Calibri"/>
                <w:szCs w:val="28"/>
                <w:lang w:val="ru-RU"/>
              </w:rPr>
              <w:t>41</w:t>
            </w:r>
          </w:p>
        </w:tc>
      </w:tr>
      <w:tr w:rsidR="00040BBC" w:rsidRPr="00040BBC" w:rsidTr="008B1882">
        <w:trPr>
          <w:jc w:val="center"/>
        </w:trPr>
        <w:tc>
          <w:tcPr>
            <w:tcW w:w="1490" w:type="dxa"/>
          </w:tcPr>
          <w:p w:rsidR="00040BBC" w:rsidRPr="00040BBC" w:rsidRDefault="00040BBC" w:rsidP="00040BBC">
            <w:pPr>
              <w:widowControl w:val="0"/>
              <w:rPr>
                <w:rFonts w:eastAsia="Calibri"/>
                <w:szCs w:val="28"/>
              </w:rPr>
            </w:pPr>
            <w:r w:rsidRPr="00040BBC">
              <w:rPr>
                <w:rFonts w:eastAsia="Calibri"/>
                <w:szCs w:val="28"/>
              </w:rPr>
              <w:t>1.1</w:t>
            </w:r>
          </w:p>
        </w:tc>
        <w:tc>
          <w:tcPr>
            <w:tcW w:w="7157" w:type="dxa"/>
          </w:tcPr>
          <w:p w:rsidR="00040BBC" w:rsidRPr="00040BBC" w:rsidRDefault="00040BBC" w:rsidP="00040BBC">
            <w:pPr>
              <w:widowControl w:val="0"/>
              <w:rPr>
                <w:rFonts w:eastAsia="Calibri"/>
                <w:szCs w:val="28"/>
                <w:lang w:val="ru-RU"/>
              </w:rPr>
            </w:pPr>
            <w:r w:rsidRPr="00040BBC">
              <w:rPr>
                <w:rFonts w:eastAsia="Calibri"/>
                <w:szCs w:val="28"/>
              </w:rPr>
              <w:t>Стан та тенденції</w:t>
            </w:r>
            <w:r w:rsidRPr="00040BBC">
              <w:rPr>
                <w:rFonts w:eastAsia="Calibri"/>
                <w:szCs w:val="28"/>
                <w:lang w:val="ru-RU"/>
              </w:rPr>
              <w:t xml:space="preserve"> показника </w:t>
            </w:r>
            <w:r w:rsidRPr="00040BBC">
              <w:rPr>
                <w:rFonts w:eastAsia="Calibri"/>
                <w:szCs w:val="28"/>
              </w:rPr>
              <w:t>дитячої смертності  в світі та Україні……………………………………………………</w:t>
            </w:r>
            <w:r w:rsidRPr="00040BBC">
              <w:rPr>
                <w:rFonts w:eastAsia="Calibri"/>
                <w:szCs w:val="28"/>
                <w:lang w:val="ru-RU"/>
              </w:rPr>
              <w:t>…..</w:t>
            </w:r>
          </w:p>
        </w:tc>
        <w:tc>
          <w:tcPr>
            <w:tcW w:w="851" w:type="dxa"/>
          </w:tcPr>
          <w:p w:rsidR="00040BBC" w:rsidRPr="00040BBC" w:rsidRDefault="00040BBC" w:rsidP="00040BBC">
            <w:pPr>
              <w:widowControl w:val="0"/>
              <w:jc w:val="center"/>
              <w:rPr>
                <w:rFonts w:eastAsia="Calibri"/>
                <w:szCs w:val="28"/>
              </w:rPr>
            </w:pPr>
          </w:p>
          <w:p w:rsidR="00040BBC" w:rsidRPr="00040BBC" w:rsidRDefault="00B637DD" w:rsidP="00040BBC">
            <w:pPr>
              <w:widowControl w:val="0"/>
              <w:jc w:val="center"/>
              <w:rPr>
                <w:rFonts w:eastAsia="Calibri"/>
                <w:szCs w:val="28"/>
                <w:lang w:val="ru-RU"/>
              </w:rPr>
            </w:pPr>
            <w:r>
              <w:rPr>
                <w:rFonts w:eastAsia="Calibri"/>
                <w:szCs w:val="28"/>
              </w:rPr>
              <w:t>41</w:t>
            </w:r>
          </w:p>
        </w:tc>
      </w:tr>
      <w:tr w:rsidR="00040BBC" w:rsidRPr="00040BBC" w:rsidTr="008B1882">
        <w:trPr>
          <w:jc w:val="center"/>
        </w:trPr>
        <w:tc>
          <w:tcPr>
            <w:tcW w:w="1490" w:type="dxa"/>
          </w:tcPr>
          <w:p w:rsidR="00040BBC" w:rsidRPr="00040BBC" w:rsidRDefault="00040BBC" w:rsidP="00040BBC">
            <w:pPr>
              <w:widowControl w:val="0"/>
              <w:rPr>
                <w:rFonts w:eastAsia="Calibri"/>
                <w:szCs w:val="28"/>
              </w:rPr>
            </w:pPr>
            <w:r w:rsidRPr="00040BBC">
              <w:rPr>
                <w:rFonts w:eastAsia="Calibri"/>
                <w:szCs w:val="28"/>
              </w:rPr>
              <w:t>1.2.  </w:t>
            </w:r>
          </w:p>
        </w:tc>
        <w:tc>
          <w:tcPr>
            <w:tcW w:w="7157" w:type="dxa"/>
          </w:tcPr>
          <w:p w:rsidR="00040BBC" w:rsidRPr="00040BBC" w:rsidRDefault="00040BBC" w:rsidP="00040BBC">
            <w:pPr>
              <w:widowControl w:val="0"/>
              <w:rPr>
                <w:rFonts w:eastAsia="Calibri"/>
                <w:szCs w:val="28"/>
                <w:lang w:val="ru-RU"/>
              </w:rPr>
            </w:pPr>
            <w:r w:rsidRPr="00040BBC">
              <w:rPr>
                <w:rFonts w:eastAsia="Calibri"/>
                <w:szCs w:val="28"/>
              </w:rPr>
              <w:t>Сучасні погляди на причини та зв’язки показника дитячої смертності з іншими медико-соціальними факторами……</w:t>
            </w:r>
            <w:r w:rsidRPr="00040BBC">
              <w:rPr>
                <w:rFonts w:eastAsia="Calibri"/>
                <w:szCs w:val="28"/>
                <w:lang w:val="ru-RU"/>
              </w:rPr>
              <w:t>……………………………………………....</w:t>
            </w:r>
          </w:p>
        </w:tc>
        <w:tc>
          <w:tcPr>
            <w:tcW w:w="851" w:type="dxa"/>
          </w:tcPr>
          <w:p w:rsidR="00040BBC" w:rsidRPr="00040BBC" w:rsidRDefault="00040BBC" w:rsidP="00040BBC">
            <w:pPr>
              <w:widowControl w:val="0"/>
              <w:jc w:val="center"/>
              <w:rPr>
                <w:rFonts w:eastAsia="Calibri"/>
                <w:szCs w:val="28"/>
              </w:rPr>
            </w:pPr>
          </w:p>
          <w:p w:rsidR="00040BBC" w:rsidRPr="00040BBC" w:rsidRDefault="00040BBC" w:rsidP="00040BBC">
            <w:pPr>
              <w:widowControl w:val="0"/>
              <w:jc w:val="center"/>
              <w:rPr>
                <w:rFonts w:eastAsia="Calibri"/>
                <w:szCs w:val="28"/>
                <w:lang w:val="ru-RU"/>
              </w:rPr>
            </w:pPr>
          </w:p>
          <w:p w:rsidR="00040BBC" w:rsidRPr="00040BBC" w:rsidRDefault="00B272D7" w:rsidP="00040BBC">
            <w:pPr>
              <w:jc w:val="center"/>
              <w:rPr>
                <w:rFonts w:eastAsia="Calibri"/>
                <w:szCs w:val="28"/>
                <w:lang w:val="ru-RU"/>
              </w:rPr>
            </w:pPr>
            <w:r>
              <w:rPr>
                <w:rFonts w:eastAsia="Calibri"/>
                <w:szCs w:val="28"/>
                <w:lang w:val="ru-RU"/>
              </w:rPr>
              <w:t>46</w:t>
            </w:r>
          </w:p>
        </w:tc>
      </w:tr>
      <w:tr w:rsidR="00040BBC" w:rsidRPr="00040BBC" w:rsidTr="008B1882">
        <w:trPr>
          <w:jc w:val="center"/>
        </w:trPr>
        <w:tc>
          <w:tcPr>
            <w:tcW w:w="1490" w:type="dxa"/>
          </w:tcPr>
          <w:p w:rsidR="00040BBC" w:rsidRPr="00040BBC" w:rsidRDefault="00040BBC" w:rsidP="00040BBC">
            <w:pPr>
              <w:widowControl w:val="0"/>
              <w:rPr>
                <w:rFonts w:eastAsia="Calibri"/>
                <w:szCs w:val="28"/>
              </w:rPr>
            </w:pPr>
            <w:r w:rsidRPr="00040BBC">
              <w:rPr>
                <w:rFonts w:eastAsia="Calibri"/>
                <w:szCs w:val="28"/>
              </w:rPr>
              <w:t>1.3.</w:t>
            </w:r>
          </w:p>
        </w:tc>
        <w:tc>
          <w:tcPr>
            <w:tcW w:w="7157" w:type="dxa"/>
          </w:tcPr>
          <w:p w:rsidR="00040BBC" w:rsidRPr="00040BBC" w:rsidRDefault="00040BBC" w:rsidP="00040BBC">
            <w:pPr>
              <w:widowControl w:val="0"/>
              <w:rPr>
                <w:rFonts w:eastAsia="Calibri"/>
                <w:szCs w:val="28"/>
              </w:rPr>
            </w:pPr>
            <w:r w:rsidRPr="00040BBC">
              <w:rPr>
                <w:rFonts w:eastAsia="Calibri"/>
                <w:szCs w:val="28"/>
              </w:rPr>
              <w:t>Сучасні підходи до запобігання відворотних випадків смерті дітей…………………………………………………</w:t>
            </w:r>
            <w:r w:rsidRPr="00040BBC">
              <w:rPr>
                <w:rFonts w:eastAsia="Calibri"/>
                <w:szCs w:val="28"/>
                <w:lang w:val="ru-RU"/>
              </w:rPr>
              <w:t>.</w:t>
            </w:r>
            <w:r w:rsidRPr="00040BBC">
              <w:rPr>
                <w:rFonts w:eastAsia="Calibri"/>
                <w:szCs w:val="28"/>
              </w:rPr>
              <w:t>.</w:t>
            </w:r>
          </w:p>
        </w:tc>
        <w:tc>
          <w:tcPr>
            <w:tcW w:w="851" w:type="dxa"/>
          </w:tcPr>
          <w:p w:rsidR="00040BBC" w:rsidRPr="00040BBC" w:rsidRDefault="00040BBC" w:rsidP="00040BBC">
            <w:pPr>
              <w:widowControl w:val="0"/>
              <w:jc w:val="center"/>
              <w:rPr>
                <w:rFonts w:eastAsia="Calibri"/>
                <w:szCs w:val="28"/>
              </w:rPr>
            </w:pPr>
          </w:p>
          <w:p w:rsidR="00040BBC" w:rsidRPr="00040BBC" w:rsidRDefault="00B637DD" w:rsidP="00040BBC">
            <w:pPr>
              <w:widowControl w:val="0"/>
              <w:jc w:val="center"/>
              <w:rPr>
                <w:rFonts w:eastAsia="Calibri"/>
                <w:szCs w:val="28"/>
                <w:lang w:val="ru-RU"/>
              </w:rPr>
            </w:pPr>
            <w:r>
              <w:rPr>
                <w:rFonts w:eastAsia="Calibri"/>
                <w:szCs w:val="28"/>
                <w:lang w:val="ru-RU"/>
              </w:rPr>
              <w:t>59</w:t>
            </w:r>
          </w:p>
        </w:tc>
      </w:tr>
      <w:tr w:rsidR="00040BBC" w:rsidRPr="00040BBC" w:rsidTr="008B1882">
        <w:trPr>
          <w:jc w:val="center"/>
        </w:trPr>
        <w:tc>
          <w:tcPr>
            <w:tcW w:w="1490" w:type="dxa"/>
          </w:tcPr>
          <w:p w:rsidR="00040BBC" w:rsidRPr="00040BBC" w:rsidRDefault="00040BBC" w:rsidP="00040BBC">
            <w:pPr>
              <w:widowControl w:val="0"/>
              <w:rPr>
                <w:rFonts w:eastAsia="Calibri"/>
                <w:szCs w:val="28"/>
              </w:rPr>
            </w:pPr>
            <w:r w:rsidRPr="00040BBC">
              <w:rPr>
                <w:rFonts w:eastAsia="Calibri"/>
                <w:szCs w:val="28"/>
              </w:rPr>
              <w:t>1.4.  </w:t>
            </w:r>
          </w:p>
        </w:tc>
        <w:tc>
          <w:tcPr>
            <w:tcW w:w="7157" w:type="dxa"/>
          </w:tcPr>
          <w:p w:rsidR="00040BBC" w:rsidRPr="00040BBC" w:rsidRDefault="00040BBC" w:rsidP="00040BBC">
            <w:pPr>
              <w:widowControl w:val="0"/>
              <w:rPr>
                <w:rFonts w:eastAsia="Calibri"/>
                <w:szCs w:val="28"/>
                <w:lang w:val="ru-RU"/>
              </w:rPr>
            </w:pPr>
            <w:r w:rsidRPr="00040BBC">
              <w:rPr>
                <w:rFonts w:eastAsia="Calibri"/>
                <w:szCs w:val="28"/>
              </w:rPr>
              <w:t>Існуючі нормативно-правові акти та наукові дослідження щодо шляхів зниження смертності дітей в Україні…………</w:t>
            </w:r>
            <w:r w:rsidRPr="00040BBC">
              <w:rPr>
                <w:rFonts w:eastAsia="Calibri"/>
                <w:szCs w:val="28"/>
                <w:lang w:val="ru-RU"/>
              </w:rPr>
              <w:t>……………………………………………..</w:t>
            </w:r>
          </w:p>
        </w:tc>
        <w:tc>
          <w:tcPr>
            <w:tcW w:w="851" w:type="dxa"/>
          </w:tcPr>
          <w:p w:rsidR="00040BBC" w:rsidRPr="00040BBC" w:rsidRDefault="00040BBC" w:rsidP="00040BBC">
            <w:pPr>
              <w:widowControl w:val="0"/>
              <w:jc w:val="center"/>
              <w:rPr>
                <w:rFonts w:eastAsia="Calibri"/>
                <w:szCs w:val="28"/>
              </w:rPr>
            </w:pPr>
          </w:p>
          <w:p w:rsidR="00040BBC" w:rsidRPr="00040BBC" w:rsidRDefault="00040BBC" w:rsidP="00040BBC">
            <w:pPr>
              <w:widowControl w:val="0"/>
              <w:jc w:val="center"/>
              <w:rPr>
                <w:rFonts w:eastAsia="Calibri"/>
                <w:szCs w:val="28"/>
                <w:lang w:val="ru-RU"/>
              </w:rPr>
            </w:pPr>
          </w:p>
          <w:p w:rsidR="00040BBC" w:rsidRPr="00040BBC" w:rsidRDefault="00B637DD" w:rsidP="00040BBC">
            <w:pPr>
              <w:jc w:val="center"/>
              <w:rPr>
                <w:rFonts w:eastAsia="Calibri"/>
                <w:szCs w:val="28"/>
                <w:lang w:val="ru-RU"/>
              </w:rPr>
            </w:pPr>
            <w:r>
              <w:rPr>
                <w:rFonts w:eastAsia="Calibri"/>
                <w:szCs w:val="28"/>
                <w:lang w:val="ru-RU"/>
              </w:rPr>
              <w:t>74</w:t>
            </w:r>
          </w:p>
        </w:tc>
      </w:tr>
      <w:tr w:rsidR="00040BBC" w:rsidRPr="00040BBC" w:rsidTr="008B1882">
        <w:trPr>
          <w:jc w:val="center"/>
        </w:trPr>
        <w:tc>
          <w:tcPr>
            <w:tcW w:w="1490" w:type="dxa"/>
          </w:tcPr>
          <w:p w:rsidR="00040BBC" w:rsidRPr="00040BBC" w:rsidRDefault="00040BBC" w:rsidP="00040BBC">
            <w:pPr>
              <w:widowControl w:val="0"/>
              <w:rPr>
                <w:rFonts w:eastAsia="Calibri"/>
                <w:szCs w:val="28"/>
              </w:rPr>
            </w:pPr>
            <w:r w:rsidRPr="00040BBC">
              <w:rPr>
                <w:rFonts w:eastAsia="Calibri"/>
                <w:szCs w:val="28"/>
              </w:rPr>
              <w:t>1.5.</w:t>
            </w:r>
          </w:p>
        </w:tc>
        <w:tc>
          <w:tcPr>
            <w:tcW w:w="7157" w:type="dxa"/>
          </w:tcPr>
          <w:p w:rsidR="00040BBC" w:rsidRPr="00040BBC" w:rsidRDefault="00040BBC" w:rsidP="00040BBC">
            <w:pPr>
              <w:widowControl w:val="0"/>
              <w:rPr>
                <w:rFonts w:eastAsia="Calibri"/>
                <w:szCs w:val="28"/>
                <w:lang w:val="ru-RU"/>
              </w:rPr>
            </w:pPr>
            <w:r w:rsidRPr="00040BBC">
              <w:rPr>
                <w:rFonts w:eastAsia="Calibri"/>
                <w:szCs w:val="28"/>
              </w:rPr>
              <w:t>Обґрунтування необхідності подальших досліджень…</w:t>
            </w:r>
            <w:r w:rsidRPr="00040BBC">
              <w:rPr>
                <w:rFonts w:eastAsia="Calibri"/>
                <w:szCs w:val="28"/>
                <w:lang w:val="ru-RU"/>
              </w:rPr>
              <w:t>.</w:t>
            </w:r>
            <w:r w:rsidRPr="00040BBC">
              <w:rPr>
                <w:rFonts w:eastAsia="Calibri"/>
                <w:szCs w:val="28"/>
              </w:rPr>
              <w:t>…</w:t>
            </w:r>
          </w:p>
        </w:tc>
        <w:tc>
          <w:tcPr>
            <w:tcW w:w="851" w:type="dxa"/>
          </w:tcPr>
          <w:p w:rsidR="00040BBC" w:rsidRPr="00040BBC" w:rsidRDefault="00CE3341" w:rsidP="00040BBC">
            <w:pPr>
              <w:widowControl w:val="0"/>
              <w:jc w:val="center"/>
              <w:rPr>
                <w:rFonts w:eastAsia="Calibri"/>
                <w:szCs w:val="28"/>
                <w:lang w:val="ru-RU"/>
              </w:rPr>
            </w:pPr>
            <w:r>
              <w:rPr>
                <w:rFonts w:eastAsia="Calibri"/>
                <w:szCs w:val="28"/>
                <w:lang w:val="ru-RU"/>
              </w:rPr>
              <w:t>79</w:t>
            </w:r>
            <w:bookmarkStart w:id="0" w:name="_GoBack"/>
            <w:bookmarkEnd w:id="0"/>
          </w:p>
        </w:tc>
      </w:tr>
      <w:tr w:rsidR="00040BBC" w:rsidRPr="00040BBC" w:rsidTr="008B1882">
        <w:trPr>
          <w:jc w:val="center"/>
        </w:trPr>
        <w:tc>
          <w:tcPr>
            <w:tcW w:w="1490" w:type="dxa"/>
          </w:tcPr>
          <w:p w:rsidR="00040BBC" w:rsidRPr="00040BBC" w:rsidRDefault="00040BBC" w:rsidP="00040BBC">
            <w:pPr>
              <w:widowControl w:val="0"/>
              <w:rPr>
                <w:rFonts w:eastAsia="Calibri"/>
                <w:szCs w:val="28"/>
              </w:rPr>
            </w:pPr>
            <w:r w:rsidRPr="00040BBC">
              <w:rPr>
                <w:rFonts w:eastAsia="Calibri"/>
                <w:szCs w:val="28"/>
              </w:rPr>
              <w:t>РОЗДІЛ 2</w:t>
            </w:r>
          </w:p>
        </w:tc>
        <w:tc>
          <w:tcPr>
            <w:tcW w:w="7157" w:type="dxa"/>
          </w:tcPr>
          <w:p w:rsidR="00040BBC" w:rsidRPr="00040BBC" w:rsidRDefault="00040BBC" w:rsidP="00040BBC">
            <w:pPr>
              <w:widowControl w:val="0"/>
              <w:rPr>
                <w:rFonts w:eastAsia="Calibri"/>
                <w:szCs w:val="28"/>
              </w:rPr>
            </w:pPr>
            <w:r w:rsidRPr="00040BBC">
              <w:rPr>
                <w:rFonts w:eastAsia="Calibri"/>
                <w:szCs w:val="28"/>
              </w:rPr>
              <w:t>ПРОГРАМА, МАТЕРІАЛИ, МЕТОДИ Й ОБСЯГИ ДОСЛІДЖЕННЯ …………………………………………</w:t>
            </w:r>
            <w:r w:rsidRPr="00040BBC">
              <w:rPr>
                <w:rFonts w:eastAsia="Calibri"/>
                <w:szCs w:val="28"/>
                <w:lang w:val="ru-RU"/>
              </w:rPr>
              <w:t>..</w:t>
            </w:r>
            <w:r w:rsidRPr="00040BBC">
              <w:rPr>
                <w:rFonts w:eastAsia="Calibri"/>
                <w:szCs w:val="28"/>
              </w:rPr>
              <w:t>..</w:t>
            </w:r>
          </w:p>
        </w:tc>
        <w:tc>
          <w:tcPr>
            <w:tcW w:w="851" w:type="dxa"/>
          </w:tcPr>
          <w:p w:rsidR="00040BBC" w:rsidRPr="00040BBC" w:rsidRDefault="00040BBC" w:rsidP="00040BBC">
            <w:pPr>
              <w:widowControl w:val="0"/>
              <w:jc w:val="center"/>
              <w:rPr>
                <w:rFonts w:eastAsia="Calibri"/>
                <w:szCs w:val="28"/>
              </w:rPr>
            </w:pPr>
          </w:p>
          <w:p w:rsidR="00040BBC" w:rsidRPr="00040BBC" w:rsidRDefault="00B637DD" w:rsidP="00040BBC">
            <w:pPr>
              <w:widowControl w:val="0"/>
              <w:jc w:val="center"/>
              <w:rPr>
                <w:rFonts w:eastAsia="Calibri"/>
                <w:szCs w:val="28"/>
                <w:lang w:val="ru-RU"/>
              </w:rPr>
            </w:pPr>
            <w:r>
              <w:rPr>
                <w:rFonts w:eastAsia="Calibri"/>
                <w:szCs w:val="28"/>
                <w:lang w:val="ru-RU"/>
              </w:rPr>
              <w:t>82</w:t>
            </w:r>
          </w:p>
        </w:tc>
      </w:tr>
      <w:tr w:rsidR="00040BBC" w:rsidRPr="00040BBC" w:rsidTr="008B1882">
        <w:trPr>
          <w:jc w:val="center"/>
        </w:trPr>
        <w:tc>
          <w:tcPr>
            <w:tcW w:w="1490" w:type="dxa"/>
          </w:tcPr>
          <w:p w:rsidR="00040BBC" w:rsidRPr="00040BBC" w:rsidRDefault="00040BBC" w:rsidP="00040BBC">
            <w:pPr>
              <w:widowControl w:val="0"/>
              <w:rPr>
                <w:rFonts w:eastAsia="Calibri"/>
                <w:szCs w:val="28"/>
              </w:rPr>
            </w:pPr>
            <w:r w:rsidRPr="00040BBC">
              <w:rPr>
                <w:rFonts w:eastAsia="Calibri"/>
                <w:szCs w:val="28"/>
              </w:rPr>
              <w:t>2.1.</w:t>
            </w:r>
          </w:p>
        </w:tc>
        <w:tc>
          <w:tcPr>
            <w:tcW w:w="7157" w:type="dxa"/>
          </w:tcPr>
          <w:p w:rsidR="00040BBC" w:rsidRPr="00040BBC" w:rsidRDefault="00040BBC" w:rsidP="00040BBC">
            <w:pPr>
              <w:widowControl w:val="0"/>
              <w:rPr>
                <w:rFonts w:eastAsia="Calibri"/>
                <w:szCs w:val="28"/>
                <w:lang w:val="ru-RU"/>
              </w:rPr>
            </w:pPr>
            <w:r w:rsidRPr="00040BBC">
              <w:rPr>
                <w:rFonts w:eastAsia="Calibri"/>
                <w:szCs w:val="28"/>
              </w:rPr>
              <w:t>Програма</w:t>
            </w:r>
            <w:r w:rsidRPr="00040BBC">
              <w:rPr>
                <w:rFonts w:eastAsia="Calibri"/>
                <w:szCs w:val="28"/>
                <w:lang w:val="ru-RU"/>
              </w:rPr>
              <w:t xml:space="preserve"> </w:t>
            </w:r>
            <w:r w:rsidRPr="00040BBC">
              <w:rPr>
                <w:rFonts w:eastAsia="Calibri"/>
                <w:szCs w:val="28"/>
              </w:rPr>
              <w:t>дослідження……………………………………..</w:t>
            </w:r>
            <w:r w:rsidRPr="00040BBC">
              <w:rPr>
                <w:rFonts w:eastAsia="Calibri"/>
                <w:szCs w:val="28"/>
                <w:lang w:val="ru-RU"/>
              </w:rPr>
              <w:t>.</w:t>
            </w:r>
          </w:p>
        </w:tc>
        <w:tc>
          <w:tcPr>
            <w:tcW w:w="851" w:type="dxa"/>
          </w:tcPr>
          <w:p w:rsidR="00040BBC" w:rsidRPr="00040BBC" w:rsidRDefault="00B637DD" w:rsidP="00040BBC">
            <w:pPr>
              <w:widowControl w:val="0"/>
              <w:jc w:val="center"/>
              <w:rPr>
                <w:rFonts w:eastAsia="Calibri"/>
                <w:szCs w:val="28"/>
                <w:lang w:val="ru-RU"/>
              </w:rPr>
            </w:pPr>
            <w:r>
              <w:rPr>
                <w:rFonts w:eastAsia="Calibri"/>
                <w:szCs w:val="28"/>
                <w:lang w:val="ru-RU"/>
              </w:rPr>
              <w:t>82</w:t>
            </w:r>
          </w:p>
        </w:tc>
      </w:tr>
      <w:tr w:rsidR="00040BBC" w:rsidRPr="00040BBC" w:rsidTr="008B1882">
        <w:trPr>
          <w:jc w:val="center"/>
        </w:trPr>
        <w:tc>
          <w:tcPr>
            <w:tcW w:w="1490" w:type="dxa"/>
          </w:tcPr>
          <w:p w:rsidR="00040BBC" w:rsidRPr="00040BBC" w:rsidRDefault="00040BBC" w:rsidP="00040BBC">
            <w:pPr>
              <w:widowControl w:val="0"/>
              <w:rPr>
                <w:rFonts w:eastAsia="Calibri"/>
                <w:szCs w:val="28"/>
              </w:rPr>
            </w:pPr>
            <w:r w:rsidRPr="00040BBC">
              <w:rPr>
                <w:rFonts w:eastAsia="Calibri"/>
                <w:szCs w:val="28"/>
              </w:rPr>
              <w:t>2.2.</w:t>
            </w:r>
          </w:p>
        </w:tc>
        <w:tc>
          <w:tcPr>
            <w:tcW w:w="7157" w:type="dxa"/>
          </w:tcPr>
          <w:p w:rsidR="00040BBC" w:rsidRPr="00040BBC" w:rsidRDefault="00040BBC" w:rsidP="00040BBC">
            <w:pPr>
              <w:widowControl w:val="0"/>
              <w:rPr>
                <w:rFonts w:eastAsia="Calibri"/>
                <w:szCs w:val="28"/>
                <w:lang w:val="ru-RU"/>
              </w:rPr>
            </w:pPr>
            <w:r w:rsidRPr="00040BBC">
              <w:rPr>
                <w:rFonts w:eastAsia="Calibri"/>
                <w:szCs w:val="28"/>
              </w:rPr>
              <w:t>Методи та обсяги дослідження..…………………………</w:t>
            </w:r>
            <w:r w:rsidRPr="00040BBC">
              <w:rPr>
                <w:rFonts w:eastAsia="Calibri"/>
                <w:szCs w:val="28"/>
                <w:lang w:val="ru-RU"/>
              </w:rPr>
              <w:t>..</w:t>
            </w:r>
          </w:p>
        </w:tc>
        <w:tc>
          <w:tcPr>
            <w:tcW w:w="851" w:type="dxa"/>
          </w:tcPr>
          <w:p w:rsidR="00040BBC" w:rsidRPr="00040BBC" w:rsidRDefault="00B637DD" w:rsidP="00040BBC">
            <w:pPr>
              <w:widowControl w:val="0"/>
              <w:jc w:val="center"/>
              <w:rPr>
                <w:rFonts w:eastAsia="Calibri"/>
                <w:szCs w:val="28"/>
              </w:rPr>
            </w:pPr>
            <w:r>
              <w:rPr>
                <w:rFonts w:eastAsia="Calibri"/>
                <w:szCs w:val="28"/>
              </w:rPr>
              <w:t>89</w:t>
            </w:r>
          </w:p>
        </w:tc>
      </w:tr>
      <w:tr w:rsidR="00040BBC" w:rsidRPr="00040BBC" w:rsidTr="008B1882">
        <w:trPr>
          <w:jc w:val="center"/>
        </w:trPr>
        <w:tc>
          <w:tcPr>
            <w:tcW w:w="1490" w:type="dxa"/>
          </w:tcPr>
          <w:p w:rsidR="00040BBC" w:rsidRPr="00040BBC" w:rsidRDefault="00040BBC" w:rsidP="00040BBC">
            <w:pPr>
              <w:widowControl w:val="0"/>
              <w:rPr>
                <w:rFonts w:eastAsia="Calibri"/>
                <w:szCs w:val="28"/>
              </w:rPr>
            </w:pPr>
            <w:r w:rsidRPr="00040BBC">
              <w:rPr>
                <w:rFonts w:eastAsia="Calibri"/>
                <w:szCs w:val="28"/>
              </w:rPr>
              <w:t>2.3.</w:t>
            </w:r>
          </w:p>
        </w:tc>
        <w:tc>
          <w:tcPr>
            <w:tcW w:w="7157" w:type="dxa"/>
          </w:tcPr>
          <w:p w:rsidR="00040BBC" w:rsidRPr="00040BBC" w:rsidRDefault="00040BBC" w:rsidP="00040BBC">
            <w:pPr>
              <w:widowControl w:val="0"/>
              <w:rPr>
                <w:rFonts w:eastAsia="Calibri"/>
                <w:szCs w:val="28"/>
              </w:rPr>
            </w:pPr>
            <w:r w:rsidRPr="00040BBC">
              <w:rPr>
                <w:rFonts w:eastAsia="Calibri"/>
                <w:szCs w:val="28"/>
              </w:rPr>
              <w:t>Статистичні методи дослідження………………………….</w:t>
            </w:r>
          </w:p>
        </w:tc>
        <w:tc>
          <w:tcPr>
            <w:tcW w:w="851" w:type="dxa"/>
          </w:tcPr>
          <w:p w:rsidR="00040BBC" w:rsidRPr="00040BBC" w:rsidRDefault="00B637DD" w:rsidP="00040BBC">
            <w:pPr>
              <w:widowControl w:val="0"/>
              <w:jc w:val="center"/>
              <w:rPr>
                <w:rFonts w:eastAsia="Calibri"/>
                <w:szCs w:val="28"/>
              </w:rPr>
            </w:pPr>
            <w:r>
              <w:rPr>
                <w:rFonts w:eastAsia="Calibri"/>
                <w:szCs w:val="28"/>
              </w:rPr>
              <w:t>95</w:t>
            </w:r>
          </w:p>
        </w:tc>
      </w:tr>
      <w:tr w:rsidR="00040BBC" w:rsidRPr="00040BBC" w:rsidTr="008B1882">
        <w:trPr>
          <w:jc w:val="center"/>
        </w:trPr>
        <w:tc>
          <w:tcPr>
            <w:tcW w:w="1490" w:type="dxa"/>
          </w:tcPr>
          <w:p w:rsidR="00040BBC" w:rsidRPr="00040BBC" w:rsidRDefault="00040BBC" w:rsidP="00040BBC">
            <w:pPr>
              <w:widowControl w:val="0"/>
              <w:rPr>
                <w:rFonts w:eastAsia="Calibri"/>
                <w:szCs w:val="28"/>
              </w:rPr>
            </w:pPr>
          </w:p>
        </w:tc>
        <w:tc>
          <w:tcPr>
            <w:tcW w:w="7157" w:type="dxa"/>
          </w:tcPr>
          <w:p w:rsidR="00040BBC" w:rsidRPr="00040BBC" w:rsidRDefault="00040BBC" w:rsidP="00040BBC">
            <w:pPr>
              <w:widowControl w:val="0"/>
              <w:rPr>
                <w:rFonts w:eastAsia="Calibri"/>
                <w:szCs w:val="28"/>
              </w:rPr>
            </w:pPr>
            <w:r w:rsidRPr="00040BBC">
              <w:rPr>
                <w:rFonts w:eastAsia="Calibri"/>
                <w:szCs w:val="28"/>
              </w:rPr>
              <w:t>Висновки до розділу 2……………………………………...</w:t>
            </w:r>
          </w:p>
        </w:tc>
        <w:tc>
          <w:tcPr>
            <w:tcW w:w="851" w:type="dxa"/>
          </w:tcPr>
          <w:p w:rsidR="00040BBC" w:rsidRPr="00040BBC" w:rsidRDefault="00B637DD" w:rsidP="00040BBC">
            <w:pPr>
              <w:widowControl w:val="0"/>
              <w:jc w:val="center"/>
              <w:rPr>
                <w:rFonts w:eastAsia="Calibri"/>
                <w:szCs w:val="28"/>
              </w:rPr>
            </w:pPr>
            <w:r>
              <w:rPr>
                <w:rFonts w:eastAsia="Calibri"/>
                <w:szCs w:val="28"/>
              </w:rPr>
              <w:t>96</w:t>
            </w:r>
          </w:p>
        </w:tc>
      </w:tr>
      <w:tr w:rsidR="00040BBC" w:rsidRPr="00040BBC" w:rsidTr="008B1882">
        <w:trPr>
          <w:jc w:val="center"/>
        </w:trPr>
        <w:tc>
          <w:tcPr>
            <w:tcW w:w="1490" w:type="dxa"/>
          </w:tcPr>
          <w:p w:rsidR="00040BBC" w:rsidRPr="00040BBC" w:rsidRDefault="00040BBC" w:rsidP="00040BBC">
            <w:pPr>
              <w:widowControl w:val="0"/>
              <w:rPr>
                <w:rFonts w:eastAsia="Calibri"/>
                <w:szCs w:val="28"/>
              </w:rPr>
            </w:pPr>
            <w:r w:rsidRPr="00040BBC">
              <w:rPr>
                <w:rFonts w:eastAsia="Calibri"/>
                <w:szCs w:val="28"/>
              </w:rPr>
              <w:t>РОЗДІЛ 3</w:t>
            </w:r>
          </w:p>
        </w:tc>
        <w:tc>
          <w:tcPr>
            <w:tcW w:w="7157" w:type="dxa"/>
          </w:tcPr>
          <w:p w:rsidR="00040BBC" w:rsidRPr="00040BBC" w:rsidRDefault="00040BBC" w:rsidP="00040BBC">
            <w:pPr>
              <w:widowControl w:val="0"/>
              <w:rPr>
                <w:rFonts w:eastAsia="Calibri"/>
                <w:szCs w:val="28"/>
              </w:rPr>
            </w:pPr>
            <w:r w:rsidRPr="00040BBC">
              <w:rPr>
                <w:rFonts w:eastAsia="Calibri"/>
                <w:szCs w:val="28"/>
              </w:rPr>
              <w:t>ТРЕНДИ ТА КІЛЬКІСНА Й ЯКІСНА СТРУКТУРА ПОКАЗНИКА СМЕРТНОСТІ ДІТЕЙ ВІКОМ ДО 5 РОКІВ ЖИТТЯ В УКРАЇНІ ………………………………</w:t>
            </w:r>
          </w:p>
        </w:tc>
        <w:tc>
          <w:tcPr>
            <w:tcW w:w="851" w:type="dxa"/>
          </w:tcPr>
          <w:p w:rsidR="00040BBC" w:rsidRPr="00040BBC" w:rsidRDefault="00040BBC" w:rsidP="00040BBC">
            <w:pPr>
              <w:widowControl w:val="0"/>
              <w:jc w:val="center"/>
              <w:rPr>
                <w:rFonts w:eastAsia="Calibri"/>
                <w:szCs w:val="28"/>
              </w:rPr>
            </w:pPr>
          </w:p>
          <w:p w:rsidR="00040BBC" w:rsidRPr="00040BBC" w:rsidRDefault="00040BBC" w:rsidP="00040BBC">
            <w:pPr>
              <w:widowControl w:val="0"/>
              <w:jc w:val="center"/>
              <w:rPr>
                <w:rFonts w:eastAsia="Calibri"/>
                <w:szCs w:val="28"/>
              </w:rPr>
            </w:pPr>
          </w:p>
          <w:p w:rsidR="00040BBC" w:rsidRPr="00040BBC" w:rsidRDefault="00B637DD" w:rsidP="00040BBC">
            <w:pPr>
              <w:widowControl w:val="0"/>
              <w:jc w:val="center"/>
              <w:rPr>
                <w:rFonts w:eastAsia="Calibri"/>
                <w:szCs w:val="28"/>
              </w:rPr>
            </w:pPr>
            <w:r>
              <w:rPr>
                <w:rFonts w:eastAsia="Calibri"/>
                <w:szCs w:val="28"/>
              </w:rPr>
              <w:t>98</w:t>
            </w:r>
          </w:p>
        </w:tc>
      </w:tr>
      <w:tr w:rsidR="00040BBC" w:rsidRPr="00040BBC" w:rsidTr="008B1882">
        <w:trPr>
          <w:jc w:val="center"/>
        </w:trPr>
        <w:tc>
          <w:tcPr>
            <w:tcW w:w="1490" w:type="dxa"/>
          </w:tcPr>
          <w:p w:rsidR="00040BBC" w:rsidRPr="00040BBC" w:rsidRDefault="00040BBC" w:rsidP="00040BBC">
            <w:pPr>
              <w:widowControl w:val="0"/>
              <w:rPr>
                <w:rFonts w:eastAsia="Calibri"/>
                <w:szCs w:val="28"/>
              </w:rPr>
            </w:pPr>
            <w:r w:rsidRPr="00040BBC">
              <w:rPr>
                <w:rFonts w:eastAsia="Calibri"/>
                <w:szCs w:val="28"/>
              </w:rPr>
              <w:t>3.1.</w:t>
            </w:r>
          </w:p>
        </w:tc>
        <w:tc>
          <w:tcPr>
            <w:tcW w:w="7157" w:type="dxa"/>
          </w:tcPr>
          <w:p w:rsidR="00040BBC" w:rsidRPr="00040BBC" w:rsidRDefault="00040BBC" w:rsidP="00040BBC">
            <w:pPr>
              <w:widowControl w:val="0"/>
              <w:rPr>
                <w:rFonts w:eastAsia="Calibri"/>
                <w:szCs w:val="28"/>
              </w:rPr>
            </w:pPr>
            <w:r w:rsidRPr="00040BBC">
              <w:rPr>
                <w:rFonts w:eastAsia="Calibri"/>
                <w:szCs w:val="28"/>
              </w:rPr>
              <w:t>Основні тренди показника смертності дітей віком до 5</w:t>
            </w:r>
            <w:r w:rsidRPr="00040BBC">
              <w:rPr>
                <w:rFonts w:ascii="Calibri" w:eastAsia="Calibri" w:hAnsi="Calibri"/>
                <w:sz w:val="22"/>
                <w:lang w:val="ru-RU"/>
              </w:rPr>
              <w:t> </w:t>
            </w:r>
            <w:r w:rsidRPr="00040BBC">
              <w:rPr>
                <w:rFonts w:eastAsia="Calibri"/>
                <w:szCs w:val="28"/>
              </w:rPr>
              <w:t xml:space="preserve">років життя в Україні та показників, що комплексно </w:t>
            </w:r>
            <w:r w:rsidRPr="00040BBC">
              <w:rPr>
                <w:rFonts w:eastAsia="Calibri"/>
                <w:szCs w:val="28"/>
              </w:rPr>
              <w:lastRenderedPageBreak/>
              <w:t>характеризують його структуру…………..………………..</w:t>
            </w:r>
          </w:p>
        </w:tc>
        <w:tc>
          <w:tcPr>
            <w:tcW w:w="851" w:type="dxa"/>
          </w:tcPr>
          <w:p w:rsidR="00040BBC" w:rsidRPr="00040BBC" w:rsidRDefault="00040BBC" w:rsidP="00040BBC">
            <w:pPr>
              <w:widowControl w:val="0"/>
              <w:jc w:val="center"/>
              <w:rPr>
                <w:rFonts w:eastAsia="Calibri"/>
                <w:szCs w:val="28"/>
              </w:rPr>
            </w:pPr>
          </w:p>
          <w:p w:rsidR="00040BBC" w:rsidRPr="00040BBC" w:rsidRDefault="00040BBC" w:rsidP="00040BBC">
            <w:pPr>
              <w:widowControl w:val="0"/>
              <w:jc w:val="center"/>
              <w:rPr>
                <w:rFonts w:eastAsia="Calibri"/>
                <w:szCs w:val="28"/>
              </w:rPr>
            </w:pPr>
          </w:p>
          <w:p w:rsidR="00040BBC" w:rsidRPr="00040BBC" w:rsidRDefault="00B637DD" w:rsidP="00040BBC">
            <w:pPr>
              <w:widowControl w:val="0"/>
              <w:jc w:val="center"/>
              <w:rPr>
                <w:rFonts w:eastAsia="Calibri"/>
                <w:szCs w:val="28"/>
              </w:rPr>
            </w:pPr>
            <w:r>
              <w:rPr>
                <w:rFonts w:eastAsia="Calibri"/>
                <w:szCs w:val="28"/>
              </w:rPr>
              <w:lastRenderedPageBreak/>
              <w:t>98</w:t>
            </w:r>
          </w:p>
        </w:tc>
      </w:tr>
      <w:tr w:rsidR="00040BBC" w:rsidRPr="00040BBC" w:rsidTr="008B1882">
        <w:trPr>
          <w:jc w:val="center"/>
        </w:trPr>
        <w:tc>
          <w:tcPr>
            <w:tcW w:w="1490" w:type="dxa"/>
          </w:tcPr>
          <w:p w:rsidR="00040BBC" w:rsidRPr="00040BBC" w:rsidRDefault="00040BBC" w:rsidP="00040BBC">
            <w:pPr>
              <w:widowControl w:val="0"/>
              <w:rPr>
                <w:rFonts w:eastAsia="Calibri"/>
                <w:szCs w:val="28"/>
              </w:rPr>
            </w:pPr>
            <w:r w:rsidRPr="00040BBC">
              <w:rPr>
                <w:rFonts w:eastAsia="Calibri"/>
                <w:szCs w:val="28"/>
              </w:rPr>
              <w:lastRenderedPageBreak/>
              <w:t>3.2.</w:t>
            </w:r>
          </w:p>
        </w:tc>
        <w:tc>
          <w:tcPr>
            <w:tcW w:w="7157" w:type="dxa"/>
          </w:tcPr>
          <w:p w:rsidR="00040BBC" w:rsidRPr="00040BBC" w:rsidRDefault="00040BBC" w:rsidP="00040BBC">
            <w:pPr>
              <w:widowControl w:val="0"/>
              <w:ind w:firstLine="34"/>
              <w:rPr>
                <w:rFonts w:eastAsia="Calibri"/>
                <w:szCs w:val="28"/>
              </w:rPr>
            </w:pPr>
            <w:r w:rsidRPr="00040BBC">
              <w:rPr>
                <w:rFonts w:eastAsia="Calibri"/>
                <w:szCs w:val="28"/>
              </w:rPr>
              <w:t>Тренди та структура показника смертності дітей віком до 1 року життя в Україні………………………………………</w:t>
            </w:r>
          </w:p>
        </w:tc>
        <w:tc>
          <w:tcPr>
            <w:tcW w:w="851" w:type="dxa"/>
          </w:tcPr>
          <w:p w:rsidR="00AC047F" w:rsidRDefault="00AC047F" w:rsidP="00040BBC">
            <w:pPr>
              <w:widowControl w:val="0"/>
              <w:jc w:val="center"/>
              <w:rPr>
                <w:rFonts w:eastAsia="Calibri"/>
                <w:szCs w:val="28"/>
              </w:rPr>
            </w:pPr>
          </w:p>
          <w:p w:rsidR="00040BBC" w:rsidRPr="00040BBC" w:rsidRDefault="00B637DD" w:rsidP="00040BBC">
            <w:pPr>
              <w:widowControl w:val="0"/>
              <w:jc w:val="center"/>
              <w:rPr>
                <w:rFonts w:eastAsia="Calibri"/>
                <w:szCs w:val="28"/>
              </w:rPr>
            </w:pPr>
            <w:r>
              <w:rPr>
                <w:rFonts w:eastAsia="Calibri"/>
                <w:szCs w:val="28"/>
              </w:rPr>
              <w:t>105</w:t>
            </w:r>
          </w:p>
        </w:tc>
      </w:tr>
      <w:tr w:rsidR="00040BBC" w:rsidRPr="00040BBC" w:rsidTr="008B1882">
        <w:trPr>
          <w:jc w:val="center"/>
        </w:trPr>
        <w:tc>
          <w:tcPr>
            <w:tcW w:w="1490" w:type="dxa"/>
          </w:tcPr>
          <w:p w:rsidR="00040BBC" w:rsidRPr="00040BBC" w:rsidRDefault="00040BBC" w:rsidP="00040BBC">
            <w:pPr>
              <w:widowControl w:val="0"/>
              <w:rPr>
                <w:rFonts w:eastAsia="Calibri"/>
                <w:szCs w:val="28"/>
              </w:rPr>
            </w:pPr>
            <w:r w:rsidRPr="00040BBC">
              <w:rPr>
                <w:rFonts w:eastAsia="Calibri"/>
                <w:szCs w:val="28"/>
              </w:rPr>
              <w:t>3.2.1.</w:t>
            </w:r>
          </w:p>
        </w:tc>
        <w:tc>
          <w:tcPr>
            <w:tcW w:w="7157" w:type="dxa"/>
          </w:tcPr>
          <w:p w:rsidR="00040BBC" w:rsidRPr="00040BBC" w:rsidRDefault="00040BBC" w:rsidP="00040BBC">
            <w:pPr>
              <w:widowControl w:val="0"/>
              <w:ind w:firstLine="34"/>
              <w:rPr>
                <w:rFonts w:eastAsia="Calibri"/>
                <w:szCs w:val="28"/>
              </w:rPr>
            </w:pPr>
            <w:r w:rsidRPr="00040BBC">
              <w:rPr>
                <w:rFonts w:eastAsia="Calibri"/>
                <w:szCs w:val="28"/>
              </w:rPr>
              <w:t>Зміни структури показника малюкової смертності в Україні………………………………………………………</w:t>
            </w:r>
          </w:p>
        </w:tc>
        <w:tc>
          <w:tcPr>
            <w:tcW w:w="851" w:type="dxa"/>
          </w:tcPr>
          <w:p w:rsidR="00040BBC" w:rsidRPr="00040BBC" w:rsidRDefault="00040BBC" w:rsidP="00040BBC">
            <w:pPr>
              <w:widowControl w:val="0"/>
              <w:jc w:val="center"/>
              <w:rPr>
                <w:rFonts w:eastAsia="Calibri"/>
                <w:szCs w:val="28"/>
              </w:rPr>
            </w:pPr>
          </w:p>
          <w:p w:rsidR="00040BBC" w:rsidRPr="00040BBC" w:rsidRDefault="00B637DD" w:rsidP="00040BBC">
            <w:pPr>
              <w:widowControl w:val="0"/>
              <w:jc w:val="center"/>
              <w:rPr>
                <w:rFonts w:eastAsia="Calibri"/>
                <w:szCs w:val="28"/>
              </w:rPr>
            </w:pPr>
            <w:r>
              <w:rPr>
                <w:rFonts w:eastAsia="Calibri"/>
                <w:szCs w:val="28"/>
              </w:rPr>
              <w:t>105</w:t>
            </w:r>
          </w:p>
        </w:tc>
      </w:tr>
      <w:tr w:rsidR="00040BBC" w:rsidRPr="00040BBC" w:rsidTr="008B1882">
        <w:trPr>
          <w:jc w:val="center"/>
        </w:trPr>
        <w:tc>
          <w:tcPr>
            <w:tcW w:w="1490" w:type="dxa"/>
          </w:tcPr>
          <w:p w:rsidR="00040BBC" w:rsidRPr="00040BBC" w:rsidRDefault="00040BBC" w:rsidP="00040BBC">
            <w:pPr>
              <w:widowControl w:val="0"/>
              <w:rPr>
                <w:rFonts w:eastAsia="Calibri"/>
                <w:szCs w:val="28"/>
              </w:rPr>
            </w:pPr>
            <w:r w:rsidRPr="00040BBC">
              <w:rPr>
                <w:rFonts w:eastAsia="Calibri"/>
                <w:szCs w:val="28"/>
              </w:rPr>
              <w:t>3.2.2</w:t>
            </w:r>
          </w:p>
        </w:tc>
        <w:tc>
          <w:tcPr>
            <w:tcW w:w="7157" w:type="dxa"/>
          </w:tcPr>
          <w:p w:rsidR="00040BBC" w:rsidRPr="00040BBC" w:rsidRDefault="00040BBC" w:rsidP="00040BBC">
            <w:pPr>
              <w:widowControl w:val="0"/>
              <w:ind w:firstLine="34"/>
              <w:rPr>
                <w:rFonts w:eastAsia="Calibri"/>
                <w:szCs w:val="28"/>
              </w:rPr>
            </w:pPr>
            <w:r w:rsidRPr="00040BBC">
              <w:rPr>
                <w:rFonts w:eastAsia="Calibri"/>
                <w:szCs w:val="28"/>
              </w:rPr>
              <w:t>Позалікарняна смертність дітей віком до 1 року життя в Україні ………………………………………………………</w:t>
            </w:r>
          </w:p>
        </w:tc>
        <w:tc>
          <w:tcPr>
            <w:tcW w:w="851" w:type="dxa"/>
          </w:tcPr>
          <w:p w:rsidR="00040BBC" w:rsidRPr="00040BBC" w:rsidRDefault="00040BBC" w:rsidP="00040BBC">
            <w:pPr>
              <w:widowControl w:val="0"/>
              <w:jc w:val="center"/>
              <w:rPr>
                <w:rFonts w:eastAsia="Calibri"/>
                <w:szCs w:val="28"/>
              </w:rPr>
            </w:pPr>
          </w:p>
          <w:p w:rsidR="00040BBC" w:rsidRPr="00040BBC" w:rsidRDefault="00B637DD" w:rsidP="00040BBC">
            <w:pPr>
              <w:widowControl w:val="0"/>
              <w:jc w:val="center"/>
              <w:rPr>
                <w:rFonts w:eastAsia="Calibri"/>
                <w:szCs w:val="28"/>
                <w:lang w:val="en-US"/>
              </w:rPr>
            </w:pPr>
            <w:r>
              <w:rPr>
                <w:rFonts w:eastAsia="Calibri"/>
                <w:szCs w:val="28"/>
              </w:rPr>
              <w:t>117</w:t>
            </w:r>
          </w:p>
        </w:tc>
      </w:tr>
      <w:tr w:rsidR="00040BBC" w:rsidRPr="00040BBC" w:rsidTr="008B1882">
        <w:trPr>
          <w:jc w:val="center"/>
        </w:trPr>
        <w:tc>
          <w:tcPr>
            <w:tcW w:w="1490" w:type="dxa"/>
          </w:tcPr>
          <w:p w:rsidR="00040BBC" w:rsidRPr="00040BBC" w:rsidRDefault="00040BBC" w:rsidP="00040BBC">
            <w:pPr>
              <w:widowControl w:val="0"/>
              <w:rPr>
                <w:rFonts w:eastAsia="Calibri"/>
                <w:szCs w:val="28"/>
              </w:rPr>
            </w:pPr>
            <w:r w:rsidRPr="00040BBC">
              <w:rPr>
                <w:rFonts w:eastAsia="Calibri"/>
                <w:szCs w:val="28"/>
                <w:lang w:val="en-US"/>
              </w:rPr>
              <w:t>3</w:t>
            </w:r>
            <w:r w:rsidRPr="00040BBC">
              <w:rPr>
                <w:rFonts w:eastAsia="Calibri"/>
                <w:szCs w:val="28"/>
              </w:rPr>
              <w:t>.2.3</w:t>
            </w:r>
          </w:p>
        </w:tc>
        <w:tc>
          <w:tcPr>
            <w:tcW w:w="7157" w:type="dxa"/>
          </w:tcPr>
          <w:p w:rsidR="00040BBC" w:rsidRPr="00040BBC" w:rsidRDefault="00040BBC" w:rsidP="00040BBC">
            <w:pPr>
              <w:widowControl w:val="0"/>
              <w:rPr>
                <w:rFonts w:eastAsia="Calibri"/>
                <w:szCs w:val="28"/>
                <w:lang w:val="ru-RU"/>
              </w:rPr>
            </w:pPr>
            <w:r w:rsidRPr="00040BBC">
              <w:rPr>
                <w:rFonts w:eastAsia="Calibri"/>
                <w:szCs w:val="28"/>
                <w:lang w:val="ru-RU"/>
              </w:rPr>
              <w:t xml:space="preserve">Смертність дітей до 1 року життя у </w:t>
            </w:r>
            <w:proofErr w:type="gramStart"/>
            <w:r w:rsidRPr="00040BBC">
              <w:rPr>
                <w:rFonts w:eastAsia="Calibri"/>
                <w:szCs w:val="28"/>
                <w:lang w:val="ru-RU"/>
              </w:rPr>
              <w:t>л</w:t>
            </w:r>
            <w:proofErr w:type="gramEnd"/>
            <w:r w:rsidRPr="00040BBC">
              <w:rPr>
                <w:rFonts w:eastAsia="Calibri"/>
                <w:szCs w:val="28"/>
                <w:lang w:val="ru-RU"/>
              </w:rPr>
              <w:t>ікарняних стаціонарах………………………………………………….</w:t>
            </w:r>
          </w:p>
        </w:tc>
        <w:tc>
          <w:tcPr>
            <w:tcW w:w="851" w:type="dxa"/>
          </w:tcPr>
          <w:p w:rsidR="00AC047F" w:rsidRDefault="00AC047F" w:rsidP="00040BBC">
            <w:pPr>
              <w:widowControl w:val="0"/>
              <w:jc w:val="center"/>
              <w:rPr>
                <w:rFonts w:eastAsia="Calibri"/>
                <w:szCs w:val="28"/>
                <w:lang w:val="ru-RU"/>
              </w:rPr>
            </w:pPr>
          </w:p>
          <w:p w:rsidR="00040BBC" w:rsidRPr="00040BBC" w:rsidRDefault="00B637DD" w:rsidP="00040BBC">
            <w:pPr>
              <w:widowControl w:val="0"/>
              <w:jc w:val="center"/>
              <w:rPr>
                <w:rFonts w:eastAsia="Calibri"/>
                <w:szCs w:val="28"/>
                <w:lang w:val="ru-RU"/>
              </w:rPr>
            </w:pPr>
            <w:r>
              <w:rPr>
                <w:rFonts w:eastAsia="Calibri"/>
                <w:szCs w:val="28"/>
                <w:lang w:val="ru-RU"/>
              </w:rPr>
              <w:t>124</w:t>
            </w:r>
          </w:p>
        </w:tc>
      </w:tr>
      <w:tr w:rsidR="00040BBC" w:rsidRPr="00040BBC" w:rsidTr="008B1882">
        <w:trPr>
          <w:jc w:val="center"/>
        </w:trPr>
        <w:tc>
          <w:tcPr>
            <w:tcW w:w="1490" w:type="dxa"/>
          </w:tcPr>
          <w:p w:rsidR="00040BBC" w:rsidRPr="00040BBC" w:rsidRDefault="00040BBC" w:rsidP="00040BBC">
            <w:pPr>
              <w:widowControl w:val="0"/>
              <w:rPr>
                <w:rFonts w:eastAsia="Calibri"/>
                <w:szCs w:val="28"/>
              </w:rPr>
            </w:pPr>
            <w:r w:rsidRPr="00040BBC">
              <w:rPr>
                <w:rFonts w:eastAsia="Calibri"/>
                <w:szCs w:val="28"/>
              </w:rPr>
              <w:t>3.3.</w:t>
            </w:r>
          </w:p>
        </w:tc>
        <w:tc>
          <w:tcPr>
            <w:tcW w:w="7157" w:type="dxa"/>
          </w:tcPr>
          <w:p w:rsidR="00040BBC" w:rsidRPr="00040BBC" w:rsidRDefault="00040BBC" w:rsidP="00040BBC">
            <w:pPr>
              <w:widowControl w:val="0"/>
              <w:ind w:firstLine="34"/>
              <w:rPr>
                <w:rFonts w:eastAsia="Calibri"/>
                <w:szCs w:val="28"/>
              </w:rPr>
            </w:pPr>
            <w:r w:rsidRPr="00040BBC">
              <w:rPr>
                <w:rFonts w:eastAsia="Calibri"/>
                <w:szCs w:val="28"/>
              </w:rPr>
              <w:t>Рівень і тенденції показників тягаря хвороб (DALYs) і років життя втрачених внаслідок передчасної смерті (YLLs) в Україні та розвинених країнах світу……………</w:t>
            </w:r>
          </w:p>
        </w:tc>
        <w:tc>
          <w:tcPr>
            <w:tcW w:w="851" w:type="dxa"/>
          </w:tcPr>
          <w:p w:rsidR="00040BBC" w:rsidRPr="00040BBC" w:rsidRDefault="00040BBC" w:rsidP="00040BBC">
            <w:pPr>
              <w:widowControl w:val="0"/>
              <w:jc w:val="center"/>
              <w:rPr>
                <w:rFonts w:eastAsia="Calibri"/>
                <w:szCs w:val="28"/>
              </w:rPr>
            </w:pPr>
          </w:p>
          <w:p w:rsidR="00040BBC" w:rsidRPr="00040BBC" w:rsidRDefault="00040BBC" w:rsidP="00040BBC">
            <w:pPr>
              <w:widowControl w:val="0"/>
              <w:jc w:val="center"/>
              <w:rPr>
                <w:rFonts w:eastAsia="Calibri"/>
                <w:szCs w:val="28"/>
              </w:rPr>
            </w:pPr>
          </w:p>
          <w:p w:rsidR="00040BBC" w:rsidRPr="00040BBC" w:rsidRDefault="002842BC" w:rsidP="00040BBC">
            <w:pPr>
              <w:widowControl w:val="0"/>
              <w:jc w:val="center"/>
              <w:rPr>
                <w:rFonts w:eastAsia="Calibri"/>
                <w:szCs w:val="28"/>
              </w:rPr>
            </w:pPr>
            <w:r>
              <w:rPr>
                <w:rFonts w:eastAsia="Calibri"/>
                <w:szCs w:val="28"/>
              </w:rPr>
              <w:t>130</w:t>
            </w:r>
          </w:p>
        </w:tc>
      </w:tr>
      <w:tr w:rsidR="00040BBC" w:rsidRPr="00040BBC" w:rsidTr="008B1882">
        <w:trPr>
          <w:jc w:val="center"/>
        </w:trPr>
        <w:tc>
          <w:tcPr>
            <w:tcW w:w="1490" w:type="dxa"/>
          </w:tcPr>
          <w:p w:rsidR="00040BBC" w:rsidRPr="00040BBC" w:rsidRDefault="00040BBC" w:rsidP="00040BBC">
            <w:pPr>
              <w:widowControl w:val="0"/>
              <w:rPr>
                <w:rFonts w:eastAsia="Calibri"/>
                <w:szCs w:val="28"/>
              </w:rPr>
            </w:pPr>
          </w:p>
        </w:tc>
        <w:tc>
          <w:tcPr>
            <w:tcW w:w="7157" w:type="dxa"/>
          </w:tcPr>
          <w:p w:rsidR="00040BBC" w:rsidRPr="00040BBC" w:rsidRDefault="00040BBC" w:rsidP="00040BBC">
            <w:pPr>
              <w:widowControl w:val="0"/>
              <w:ind w:firstLine="34"/>
              <w:rPr>
                <w:rFonts w:eastAsia="Calibri"/>
                <w:szCs w:val="28"/>
              </w:rPr>
            </w:pPr>
            <w:r w:rsidRPr="00040BBC">
              <w:rPr>
                <w:rFonts w:eastAsia="Calibri"/>
                <w:szCs w:val="28"/>
              </w:rPr>
              <w:t>Висновки до розділу 3……………………………………..</w:t>
            </w:r>
          </w:p>
        </w:tc>
        <w:tc>
          <w:tcPr>
            <w:tcW w:w="851" w:type="dxa"/>
          </w:tcPr>
          <w:p w:rsidR="00040BBC" w:rsidRPr="00040BBC" w:rsidRDefault="002842BC" w:rsidP="00040BBC">
            <w:pPr>
              <w:widowControl w:val="0"/>
              <w:jc w:val="center"/>
              <w:rPr>
                <w:rFonts w:eastAsia="Calibri"/>
                <w:szCs w:val="28"/>
              </w:rPr>
            </w:pPr>
            <w:r>
              <w:rPr>
                <w:rFonts w:eastAsia="Calibri"/>
                <w:szCs w:val="28"/>
              </w:rPr>
              <w:t>135</w:t>
            </w:r>
          </w:p>
        </w:tc>
      </w:tr>
      <w:tr w:rsidR="00040BBC" w:rsidRPr="00040BBC" w:rsidTr="008B1882">
        <w:trPr>
          <w:jc w:val="center"/>
        </w:trPr>
        <w:tc>
          <w:tcPr>
            <w:tcW w:w="1490" w:type="dxa"/>
          </w:tcPr>
          <w:p w:rsidR="00040BBC" w:rsidRPr="00040BBC" w:rsidRDefault="00040BBC" w:rsidP="00040BBC">
            <w:pPr>
              <w:widowControl w:val="0"/>
              <w:rPr>
                <w:rFonts w:eastAsia="Calibri"/>
                <w:szCs w:val="28"/>
              </w:rPr>
            </w:pPr>
            <w:r w:rsidRPr="00040BBC">
              <w:rPr>
                <w:rFonts w:eastAsia="Calibri"/>
                <w:szCs w:val="28"/>
              </w:rPr>
              <w:t>РОЗДІЛ 4</w:t>
            </w:r>
          </w:p>
        </w:tc>
        <w:tc>
          <w:tcPr>
            <w:tcW w:w="7157" w:type="dxa"/>
          </w:tcPr>
          <w:p w:rsidR="00040BBC" w:rsidRPr="00040BBC" w:rsidRDefault="00040BBC" w:rsidP="00040BBC">
            <w:pPr>
              <w:widowControl w:val="0"/>
              <w:ind w:firstLine="34"/>
              <w:rPr>
                <w:rFonts w:eastAsia="Calibri"/>
                <w:szCs w:val="28"/>
              </w:rPr>
            </w:pPr>
            <w:r w:rsidRPr="00040BBC">
              <w:rPr>
                <w:rFonts w:eastAsia="Calibri"/>
                <w:szCs w:val="28"/>
              </w:rPr>
              <w:t xml:space="preserve">ЗАХВОРЮВАНІСТЬ ДІТЕЙ ВІКОМ ДО 5 РОКІВ ЖИТТЯ В УКРАЇНИ ТА ЇЇ ЗВ’ЯЗКИ ЗІ СМЕРТНІСТЮ... </w:t>
            </w:r>
          </w:p>
        </w:tc>
        <w:tc>
          <w:tcPr>
            <w:tcW w:w="851" w:type="dxa"/>
          </w:tcPr>
          <w:p w:rsidR="00040BBC" w:rsidRPr="00040BBC" w:rsidRDefault="00040BBC" w:rsidP="00040BBC">
            <w:pPr>
              <w:widowControl w:val="0"/>
              <w:jc w:val="center"/>
              <w:rPr>
                <w:rFonts w:eastAsia="Calibri"/>
                <w:szCs w:val="28"/>
              </w:rPr>
            </w:pPr>
          </w:p>
          <w:p w:rsidR="00040BBC" w:rsidRPr="00040BBC" w:rsidRDefault="002842BC" w:rsidP="00040BBC">
            <w:pPr>
              <w:widowControl w:val="0"/>
              <w:jc w:val="center"/>
              <w:rPr>
                <w:rFonts w:eastAsia="Calibri"/>
                <w:szCs w:val="28"/>
              </w:rPr>
            </w:pPr>
            <w:r>
              <w:rPr>
                <w:rFonts w:eastAsia="Calibri"/>
                <w:szCs w:val="28"/>
              </w:rPr>
              <w:t>144</w:t>
            </w:r>
          </w:p>
        </w:tc>
      </w:tr>
      <w:tr w:rsidR="00040BBC" w:rsidRPr="00040BBC" w:rsidTr="008B1882">
        <w:trPr>
          <w:jc w:val="center"/>
        </w:trPr>
        <w:tc>
          <w:tcPr>
            <w:tcW w:w="1490" w:type="dxa"/>
          </w:tcPr>
          <w:p w:rsidR="00040BBC" w:rsidRPr="00040BBC" w:rsidRDefault="00040BBC" w:rsidP="00040BBC">
            <w:pPr>
              <w:widowControl w:val="0"/>
              <w:rPr>
                <w:rFonts w:eastAsia="Calibri"/>
                <w:szCs w:val="28"/>
              </w:rPr>
            </w:pPr>
            <w:r w:rsidRPr="00040BBC">
              <w:rPr>
                <w:rFonts w:eastAsia="Calibri"/>
                <w:szCs w:val="28"/>
              </w:rPr>
              <w:t>4.1.</w:t>
            </w:r>
          </w:p>
        </w:tc>
        <w:tc>
          <w:tcPr>
            <w:tcW w:w="7157" w:type="dxa"/>
          </w:tcPr>
          <w:p w:rsidR="00040BBC" w:rsidRPr="00040BBC" w:rsidRDefault="00040BBC" w:rsidP="00040BBC">
            <w:pPr>
              <w:widowControl w:val="0"/>
              <w:ind w:firstLine="34"/>
              <w:rPr>
                <w:rFonts w:eastAsia="Calibri"/>
                <w:b/>
                <w:szCs w:val="28"/>
              </w:rPr>
            </w:pPr>
            <w:r w:rsidRPr="00040BBC">
              <w:rPr>
                <w:rFonts w:eastAsia="Calibri"/>
                <w:szCs w:val="28"/>
              </w:rPr>
              <w:t>Динаміка та структура показників захворюваності дітей віком 0-6 років життя в Україні…………………………….</w:t>
            </w:r>
          </w:p>
        </w:tc>
        <w:tc>
          <w:tcPr>
            <w:tcW w:w="851" w:type="dxa"/>
          </w:tcPr>
          <w:p w:rsidR="00040BBC" w:rsidRPr="00040BBC" w:rsidRDefault="00040BBC" w:rsidP="00040BBC">
            <w:pPr>
              <w:widowControl w:val="0"/>
              <w:jc w:val="center"/>
              <w:rPr>
                <w:rFonts w:eastAsia="Calibri"/>
                <w:szCs w:val="28"/>
              </w:rPr>
            </w:pPr>
          </w:p>
          <w:p w:rsidR="00040BBC" w:rsidRPr="00040BBC" w:rsidRDefault="002842BC" w:rsidP="00040BBC">
            <w:pPr>
              <w:widowControl w:val="0"/>
              <w:jc w:val="center"/>
              <w:rPr>
                <w:rFonts w:eastAsia="Calibri"/>
                <w:szCs w:val="28"/>
                <w:lang w:val="ru-RU"/>
              </w:rPr>
            </w:pPr>
            <w:r>
              <w:rPr>
                <w:rFonts w:eastAsia="Calibri"/>
                <w:szCs w:val="28"/>
              </w:rPr>
              <w:t>144</w:t>
            </w:r>
          </w:p>
        </w:tc>
      </w:tr>
      <w:tr w:rsidR="00040BBC" w:rsidRPr="00040BBC" w:rsidTr="008B1882">
        <w:trPr>
          <w:jc w:val="center"/>
        </w:trPr>
        <w:tc>
          <w:tcPr>
            <w:tcW w:w="1490" w:type="dxa"/>
          </w:tcPr>
          <w:p w:rsidR="00040BBC" w:rsidRPr="00040BBC" w:rsidRDefault="00040BBC" w:rsidP="00040BBC">
            <w:pPr>
              <w:widowControl w:val="0"/>
              <w:rPr>
                <w:rFonts w:eastAsia="Calibri"/>
                <w:szCs w:val="28"/>
              </w:rPr>
            </w:pPr>
            <w:r w:rsidRPr="00040BBC">
              <w:rPr>
                <w:rFonts w:eastAsia="Calibri"/>
                <w:bCs/>
                <w:kern w:val="36"/>
                <w:szCs w:val="28"/>
              </w:rPr>
              <w:t>4.2.</w:t>
            </w:r>
          </w:p>
        </w:tc>
        <w:tc>
          <w:tcPr>
            <w:tcW w:w="7157" w:type="dxa"/>
          </w:tcPr>
          <w:p w:rsidR="00040BBC" w:rsidRPr="00040BBC" w:rsidRDefault="00040BBC" w:rsidP="00040BBC">
            <w:pPr>
              <w:widowControl w:val="0"/>
              <w:ind w:firstLine="34"/>
              <w:rPr>
                <w:rFonts w:eastAsia="Calibri"/>
                <w:szCs w:val="28"/>
              </w:rPr>
            </w:pPr>
            <w:r w:rsidRPr="00040BBC">
              <w:rPr>
                <w:rFonts w:eastAsia="Calibri"/>
                <w:bCs/>
                <w:kern w:val="36"/>
                <w:szCs w:val="28"/>
              </w:rPr>
              <w:t>Аналіз показників захворюваності дітей першого року життя ………………………………………………………...</w:t>
            </w:r>
          </w:p>
        </w:tc>
        <w:tc>
          <w:tcPr>
            <w:tcW w:w="851" w:type="dxa"/>
          </w:tcPr>
          <w:p w:rsidR="00040BBC" w:rsidRPr="00040BBC" w:rsidRDefault="00040BBC" w:rsidP="00040BBC">
            <w:pPr>
              <w:widowControl w:val="0"/>
              <w:jc w:val="center"/>
              <w:rPr>
                <w:rFonts w:eastAsia="Calibri"/>
                <w:szCs w:val="28"/>
              </w:rPr>
            </w:pPr>
          </w:p>
          <w:p w:rsidR="00040BBC" w:rsidRPr="00040BBC" w:rsidRDefault="002842BC" w:rsidP="00040BBC">
            <w:pPr>
              <w:widowControl w:val="0"/>
              <w:jc w:val="center"/>
              <w:rPr>
                <w:rFonts w:eastAsia="Calibri"/>
                <w:szCs w:val="28"/>
              </w:rPr>
            </w:pPr>
            <w:r>
              <w:rPr>
                <w:rFonts w:eastAsia="Calibri"/>
                <w:szCs w:val="28"/>
              </w:rPr>
              <w:t>150</w:t>
            </w:r>
          </w:p>
        </w:tc>
      </w:tr>
      <w:tr w:rsidR="00040BBC" w:rsidRPr="00040BBC" w:rsidTr="008B1882">
        <w:trPr>
          <w:jc w:val="center"/>
        </w:trPr>
        <w:tc>
          <w:tcPr>
            <w:tcW w:w="1490" w:type="dxa"/>
          </w:tcPr>
          <w:p w:rsidR="00040BBC" w:rsidRPr="00040BBC" w:rsidRDefault="00040BBC" w:rsidP="00040BBC">
            <w:pPr>
              <w:widowControl w:val="0"/>
              <w:rPr>
                <w:rFonts w:eastAsia="Calibri"/>
                <w:bCs/>
                <w:kern w:val="36"/>
                <w:szCs w:val="28"/>
              </w:rPr>
            </w:pPr>
          </w:p>
        </w:tc>
        <w:tc>
          <w:tcPr>
            <w:tcW w:w="7157" w:type="dxa"/>
          </w:tcPr>
          <w:p w:rsidR="00040BBC" w:rsidRPr="00040BBC" w:rsidRDefault="00040BBC" w:rsidP="00040BBC">
            <w:pPr>
              <w:widowControl w:val="0"/>
              <w:ind w:firstLine="34"/>
              <w:rPr>
                <w:rFonts w:eastAsia="Calibri"/>
                <w:bCs/>
                <w:kern w:val="36"/>
                <w:szCs w:val="28"/>
              </w:rPr>
            </w:pPr>
            <w:r w:rsidRPr="00040BBC">
              <w:rPr>
                <w:rFonts w:eastAsia="Calibri"/>
                <w:szCs w:val="28"/>
                <w:lang w:eastAsia="ru-RU"/>
              </w:rPr>
              <w:t>Висновки до  розділу 4……………………………………..</w:t>
            </w:r>
          </w:p>
        </w:tc>
        <w:tc>
          <w:tcPr>
            <w:tcW w:w="851" w:type="dxa"/>
          </w:tcPr>
          <w:p w:rsidR="00040BBC" w:rsidRPr="00040BBC" w:rsidRDefault="002842BC" w:rsidP="00040BBC">
            <w:pPr>
              <w:widowControl w:val="0"/>
              <w:jc w:val="center"/>
              <w:rPr>
                <w:rFonts w:eastAsia="Calibri"/>
                <w:szCs w:val="28"/>
              </w:rPr>
            </w:pPr>
            <w:r>
              <w:rPr>
                <w:rFonts w:eastAsia="Calibri"/>
                <w:szCs w:val="28"/>
              </w:rPr>
              <w:t>163</w:t>
            </w:r>
          </w:p>
        </w:tc>
      </w:tr>
      <w:tr w:rsidR="00040BBC" w:rsidRPr="00040BBC" w:rsidTr="008B1882">
        <w:trPr>
          <w:jc w:val="center"/>
        </w:trPr>
        <w:tc>
          <w:tcPr>
            <w:tcW w:w="1490" w:type="dxa"/>
          </w:tcPr>
          <w:p w:rsidR="00040BBC" w:rsidRPr="00040BBC" w:rsidRDefault="00040BBC" w:rsidP="00040BBC">
            <w:pPr>
              <w:widowControl w:val="0"/>
              <w:rPr>
                <w:rFonts w:eastAsia="Calibri"/>
                <w:bCs/>
                <w:kern w:val="36"/>
                <w:szCs w:val="28"/>
              </w:rPr>
            </w:pPr>
            <w:r w:rsidRPr="00040BBC">
              <w:rPr>
                <w:rFonts w:eastAsia="Calibri"/>
                <w:szCs w:val="28"/>
              </w:rPr>
              <w:t>РОЗДІЛ 5</w:t>
            </w:r>
          </w:p>
        </w:tc>
        <w:tc>
          <w:tcPr>
            <w:tcW w:w="7157" w:type="dxa"/>
          </w:tcPr>
          <w:p w:rsidR="00040BBC" w:rsidRPr="00040BBC" w:rsidRDefault="00040BBC" w:rsidP="00040BBC">
            <w:pPr>
              <w:widowControl w:val="0"/>
              <w:ind w:firstLine="34"/>
              <w:rPr>
                <w:rFonts w:eastAsia="Calibri"/>
                <w:bCs/>
                <w:kern w:val="36"/>
                <w:szCs w:val="28"/>
              </w:rPr>
            </w:pPr>
            <w:r w:rsidRPr="00040BBC">
              <w:rPr>
                <w:rFonts w:eastAsia="Calibri"/>
                <w:bCs/>
                <w:kern w:val="36"/>
                <w:szCs w:val="28"/>
              </w:rPr>
              <w:t>ОРГАНІЗАЦІЯ МЕДИЧНОЇ ДОПОМОГИ ДИТЯЧОМУ НАСЕЛЕННЮ ТА ЇЇ ЗВ’ЯЗКИ ЗІ СМЕРТНІСТЮ ДІТЕЙ ВІКОМ 0-5 РОКІВ ЖИТТЯ………………………………...</w:t>
            </w:r>
          </w:p>
        </w:tc>
        <w:tc>
          <w:tcPr>
            <w:tcW w:w="851" w:type="dxa"/>
          </w:tcPr>
          <w:p w:rsidR="00040BBC" w:rsidRPr="00040BBC" w:rsidRDefault="00040BBC" w:rsidP="00040BBC">
            <w:pPr>
              <w:widowControl w:val="0"/>
              <w:jc w:val="center"/>
              <w:rPr>
                <w:rFonts w:eastAsia="Calibri"/>
                <w:szCs w:val="28"/>
              </w:rPr>
            </w:pPr>
          </w:p>
          <w:p w:rsidR="00040BBC" w:rsidRPr="00040BBC" w:rsidRDefault="00040BBC" w:rsidP="00040BBC">
            <w:pPr>
              <w:widowControl w:val="0"/>
              <w:jc w:val="center"/>
              <w:rPr>
                <w:rFonts w:eastAsia="Calibri"/>
                <w:szCs w:val="28"/>
              </w:rPr>
            </w:pPr>
          </w:p>
          <w:p w:rsidR="00040BBC" w:rsidRPr="00040BBC" w:rsidRDefault="002842BC" w:rsidP="00040BBC">
            <w:pPr>
              <w:widowControl w:val="0"/>
              <w:jc w:val="center"/>
              <w:rPr>
                <w:rFonts w:eastAsia="Calibri"/>
                <w:szCs w:val="28"/>
              </w:rPr>
            </w:pPr>
            <w:r>
              <w:rPr>
                <w:rFonts w:eastAsia="Calibri"/>
                <w:szCs w:val="28"/>
              </w:rPr>
              <w:t>168</w:t>
            </w:r>
          </w:p>
        </w:tc>
      </w:tr>
      <w:tr w:rsidR="00040BBC" w:rsidRPr="00040BBC" w:rsidTr="008B1882">
        <w:trPr>
          <w:jc w:val="center"/>
        </w:trPr>
        <w:tc>
          <w:tcPr>
            <w:tcW w:w="1490" w:type="dxa"/>
          </w:tcPr>
          <w:p w:rsidR="00040BBC" w:rsidRPr="00040BBC" w:rsidRDefault="00040BBC" w:rsidP="00040BBC">
            <w:pPr>
              <w:widowControl w:val="0"/>
              <w:rPr>
                <w:rFonts w:eastAsia="Calibri"/>
                <w:szCs w:val="28"/>
              </w:rPr>
            </w:pPr>
            <w:r w:rsidRPr="00040BBC">
              <w:rPr>
                <w:rFonts w:eastAsia="Calibri"/>
                <w:bCs/>
                <w:kern w:val="36"/>
                <w:szCs w:val="28"/>
              </w:rPr>
              <w:t>5.1.</w:t>
            </w:r>
            <w:r w:rsidRPr="00040BBC">
              <w:rPr>
                <w:rFonts w:eastAsia="Calibri"/>
                <w:bCs/>
                <w:kern w:val="36"/>
                <w:szCs w:val="28"/>
              </w:rPr>
              <w:tab/>
            </w:r>
          </w:p>
        </w:tc>
        <w:tc>
          <w:tcPr>
            <w:tcW w:w="7157" w:type="dxa"/>
          </w:tcPr>
          <w:p w:rsidR="00040BBC" w:rsidRPr="00040BBC" w:rsidRDefault="00040BBC" w:rsidP="00040BBC">
            <w:pPr>
              <w:widowControl w:val="0"/>
              <w:ind w:firstLine="34"/>
              <w:rPr>
                <w:rFonts w:eastAsia="Calibri"/>
                <w:bCs/>
                <w:kern w:val="36"/>
                <w:szCs w:val="28"/>
              </w:rPr>
            </w:pPr>
            <w:r w:rsidRPr="00040BBC">
              <w:rPr>
                <w:rFonts w:eastAsia="Calibri"/>
                <w:bCs/>
                <w:kern w:val="36"/>
                <w:szCs w:val="28"/>
              </w:rPr>
              <w:t>Характеристика інфраструктурного забезпечення та її зв’язки з летальністю……………………………………….</w:t>
            </w:r>
          </w:p>
        </w:tc>
        <w:tc>
          <w:tcPr>
            <w:tcW w:w="851" w:type="dxa"/>
          </w:tcPr>
          <w:p w:rsidR="00040BBC" w:rsidRPr="00040BBC" w:rsidRDefault="00040BBC" w:rsidP="00040BBC">
            <w:pPr>
              <w:widowControl w:val="0"/>
              <w:jc w:val="center"/>
              <w:rPr>
                <w:rFonts w:eastAsia="Calibri"/>
                <w:szCs w:val="28"/>
              </w:rPr>
            </w:pPr>
          </w:p>
          <w:p w:rsidR="00040BBC" w:rsidRPr="00040BBC" w:rsidRDefault="002842BC" w:rsidP="00040BBC">
            <w:pPr>
              <w:widowControl w:val="0"/>
              <w:jc w:val="center"/>
              <w:rPr>
                <w:rFonts w:eastAsia="Calibri"/>
                <w:szCs w:val="28"/>
              </w:rPr>
            </w:pPr>
            <w:r>
              <w:rPr>
                <w:rFonts w:eastAsia="Calibri"/>
                <w:szCs w:val="28"/>
              </w:rPr>
              <w:t>168</w:t>
            </w:r>
          </w:p>
        </w:tc>
      </w:tr>
      <w:tr w:rsidR="00040BBC" w:rsidRPr="00040BBC" w:rsidTr="008B1882">
        <w:trPr>
          <w:jc w:val="center"/>
        </w:trPr>
        <w:tc>
          <w:tcPr>
            <w:tcW w:w="1490" w:type="dxa"/>
          </w:tcPr>
          <w:p w:rsidR="00040BBC" w:rsidRPr="00040BBC" w:rsidRDefault="00040BBC" w:rsidP="00040BBC">
            <w:pPr>
              <w:widowControl w:val="0"/>
              <w:rPr>
                <w:rFonts w:eastAsia="Calibri"/>
                <w:bCs/>
                <w:kern w:val="36"/>
                <w:szCs w:val="28"/>
              </w:rPr>
            </w:pPr>
            <w:r w:rsidRPr="00040BBC">
              <w:rPr>
                <w:rFonts w:eastAsia="Calibri"/>
                <w:bCs/>
                <w:kern w:val="36"/>
                <w:szCs w:val="28"/>
              </w:rPr>
              <w:t>5.2.</w:t>
            </w:r>
          </w:p>
        </w:tc>
        <w:tc>
          <w:tcPr>
            <w:tcW w:w="7157" w:type="dxa"/>
          </w:tcPr>
          <w:p w:rsidR="00040BBC" w:rsidRPr="00040BBC" w:rsidRDefault="00040BBC" w:rsidP="00040BBC">
            <w:pPr>
              <w:widowControl w:val="0"/>
              <w:ind w:firstLine="34"/>
              <w:rPr>
                <w:rFonts w:eastAsia="Calibri"/>
                <w:bCs/>
                <w:kern w:val="36"/>
                <w:szCs w:val="28"/>
              </w:rPr>
            </w:pPr>
            <w:r w:rsidRPr="00040BBC">
              <w:rPr>
                <w:rFonts w:eastAsia="Calibri"/>
                <w:bCs/>
                <w:kern w:val="36"/>
                <w:szCs w:val="28"/>
              </w:rPr>
              <w:t>Характеристика  кадрового забезпечення педі</w:t>
            </w:r>
            <w:r w:rsidR="006C3135">
              <w:rPr>
                <w:rFonts w:eastAsia="Calibri"/>
                <w:bCs/>
                <w:kern w:val="36"/>
                <w:szCs w:val="28"/>
              </w:rPr>
              <w:t xml:space="preserve">атричних підрозділів закладів </w:t>
            </w:r>
            <w:r w:rsidR="006C3135">
              <w:rPr>
                <w:rFonts w:eastAsia="Calibri"/>
                <w:bCs/>
                <w:kern w:val="36"/>
                <w:szCs w:val="28"/>
                <w:lang w:val="ru-RU"/>
              </w:rPr>
              <w:t>охорони здоров'я</w:t>
            </w:r>
            <w:r w:rsidRPr="00040BBC">
              <w:rPr>
                <w:rFonts w:eastAsia="Calibri"/>
                <w:bCs/>
                <w:kern w:val="36"/>
                <w:szCs w:val="28"/>
              </w:rPr>
              <w:t xml:space="preserve"> та його зв’язки з летальністю……</w:t>
            </w:r>
            <w:r w:rsidR="006C3135">
              <w:rPr>
                <w:rFonts w:eastAsia="Calibri"/>
                <w:bCs/>
                <w:kern w:val="36"/>
                <w:szCs w:val="28"/>
              </w:rPr>
              <w:t>……………………………………………..</w:t>
            </w:r>
          </w:p>
        </w:tc>
        <w:tc>
          <w:tcPr>
            <w:tcW w:w="851" w:type="dxa"/>
          </w:tcPr>
          <w:p w:rsidR="00040BBC" w:rsidRPr="00040BBC" w:rsidRDefault="00040BBC" w:rsidP="00040BBC">
            <w:pPr>
              <w:widowControl w:val="0"/>
              <w:jc w:val="center"/>
              <w:rPr>
                <w:rFonts w:eastAsia="Calibri"/>
                <w:szCs w:val="28"/>
              </w:rPr>
            </w:pPr>
          </w:p>
          <w:p w:rsidR="006C3135" w:rsidRDefault="006C3135" w:rsidP="00040BBC">
            <w:pPr>
              <w:widowControl w:val="0"/>
              <w:jc w:val="center"/>
              <w:rPr>
                <w:rFonts w:eastAsia="Calibri"/>
                <w:szCs w:val="28"/>
              </w:rPr>
            </w:pPr>
          </w:p>
          <w:p w:rsidR="00040BBC" w:rsidRPr="00040BBC" w:rsidRDefault="002842BC" w:rsidP="00040BBC">
            <w:pPr>
              <w:widowControl w:val="0"/>
              <w:jc w:val="center"/>
              <w:rPr>
                <w:rFonts w:eastAsia="Calibri"/>
                <w:szCs w:val="28"/>
              </w:rPr>
            </w:pPr>
            <w:r>
              <w:rPr>
                <w:rFonts w:eastAsia="Calibri"/>
                <w:szCs w:val="28"/>
              </w:rPr>
              <w:t>182</w:t>
            </w:r>
          </w:p>
        </w:tc>
      </w:tr>
      <w:tr w:rsidR="00040BBC" w:rsidRPr="00040BBC" w:rsidTr="008B1882">
        <w:trPr>
          <w:jc w:val="center"/>
        </w:trPr>
        <w:tc>
          <w:tcPr>
            <w:tcW w:w="1490" w:type="dxa"/>
          </w:tcPr>
          <w:p w:rsidR="00040BBC" w:rsidRPr="00040BBC" w:rsidRDefault="00040BBC" w:rsidP="00040BBC">
            <w:pPr>
              <w:widowControl w:val="0"/>
              <w:rPr>
                <w:rFonts w:eastAsia="Calibri"/>
                <w:bCs/>
                <w:kern w:val="36"/>
                <w:szCs w:val="28"/>
              </w:rPr>
            </w:pPr>
          </w:p>
        </w:tc>
        <w:tc>
          <w:tcPr>
            <w:tcW w:w="7157" w:type="dxa"/>
          </w:tcPr>
          <w:p w:rsidR="00040BBC" w:rsidRPr="00040BBC" w:rsidRDefault="003C4A2D" w:rsidP="00040BBC">
            <w:pPr>
              <w:widowControl w:val="0"/>
              <w:ind w:firstLine="34"/>
              <w:rPr>
                <w:rFonts w:eastAsia="Calibri"/>
                <w:bCs/>
                <w:kern w:val="36"/>
                <w:szCs w:val="28"/>
              </w:rPr>
            </w:pPr>
            <w:r>
              <w:rPr>
                <w:rFonts w:eastAsia="Calibri"/>
                <w:szCs w:val="28"/>
              </w:rPr>
              <w:t>Висновки до розділу 5</w:t>
            </w:r>
            <w:r w:rsidR="00040BBC" w:rsidRPr="00040BBC">
              <w:rPr>
                <w:rFonts w:eastAsia="Calibri"/>
                <w:szCs w:val="28"/>
              </w:rPr>
              <w:t>……………………………………...</w:t>
            </w:r>
          </w:p>
        </w:tc>
        <w:tc>
          <w:tcPr>
            <w:tcW w:w="851" w:type="dxa"/>
          </w:tcPr>
          <w:p w:rsidR="00040BBC" w:rsidRPr="00040BBC" w:rsidRDefault="002842BC" w:rsidP="00040BBC">
            <w:pPr>
              <w:widowControl w:val="0"/>
              <w:jc w:val="center"/>
              <w:rPr>
                <w:rFonts w:eastAsia="Calibri"/>
                <w:szCs w:val="28"/>
              </w:rPr>
            </w:pPr>
            <w:r>
              <w:rPr>
                <w:rFonts w:eastAsia="Calibri"/>
                <w:szCs w:val="28"/>
              </w:rPr>
              <w:t>193</w:t>
            </w:r>
          </w:p>
        </w:tc>
      </w:tr>
      <w:tr w:rsidR="00040BBC" w:rsidRPr="00040BBC" w:rsidTr="008B1882">
        <w:trPr>
          <w:jc w:val="center"/>
        </w:trPr>
        <w:tc>
          <w:tcPr>
            <w:tcW w:w="1490" w:type="dxa"/>
          </w:tcPr>
          <w:p w:rsidR="00040BBC" w:rsidRPr="00040BBC" w:rsidRDefault="00040BBC" w:rsidP="00040BBC">
            <w:pPr>
              <w:widowControl w:val="0"/>
              <w:rPr>
                <w:rFonts w:eastAsia="Calibri"/>
                <w:bCs/>
                <w:kern w:val="36"/>
                <w:szCs w:val="28"/>
              </w:rPr>
            </w:pPr>
            <w:r w:rsidRPr="00040BBC">
              <w:rPr>
                <w:rFonts w:eastAsia="Calibri"/>
                <w:bCs/>
                <w:kern w:val="36"/>
                <w:szCs w:val="28"/>
              </w:rPr>
              <w:t>РОЗДІЛ 6</w:t>
            </w:r>
          </w:p>
        </w:tc>
        <w:tc>
          <w:tcPr>
            <w:tcW w:w="7157" w:type="dxa"/>
          </w:tcPr>
          <w:p w:rsidR="00040BBC" w:rsidRPr="00040BBC" w:rsidRDefault="00040BBC" w:rsidP="00040BBC">
            <w:pPr>
              <w:widowControl w:val="0"/>
              <w:ind w:firstLine="34"/>
              <w:rPr>
                <w:rFonts w:eastAsia="Calibri"/>
                <w:bCs/>
                <w:kern w:val="36"/>
                <w:szCs w:val="28"/>
              </w:rPr>
            </w:pPr>
            <w:r w:rsidRPr="00040BBC">
              <w:rPr>
                <w:rFonts w:eastAsia="Calibri"/>
                <w:bCs/>
                <w:kern w:val="36"/>
                <w:szCs w:val="28"/>
              </w:rPr>
              <w:t xml:space="preserve">ГОТОВНІСТЬ БАТЬКІВ ТА ЛІКАРІВ ЗАГАЛЬНОЇ </w:t>
            </w:r>
            <w:r w:rsidRPr="00040BBC">
              <w:rPr>
                <w:rFonts w:eastAsia="Calibri"/>
                <w:bCs/>
                <w:kern w:val="36"/>
                <w:szCs w:val="28"/>
              </w:rPr>
              <w:lastRenderedPageBreak/>
              <w:t>ПРАКТИКИ-СІМЕЙНИХ ЛІКАРІВ ДО ЗАПОБІГАННЯ ДИТЯЧОЇ СМЕРТНОСТІ ТА ЗБЕРЕЖЕННЯ ЗДОРОВ’Я ДІТЕЙ (за результатами соціологічного дослідження)…...</w:t>
            </w:r>
          </w:p>
        </w:tc>
        <w:tc>
          <w:tcPr>
            <w:tcW w:w="851" w:type="dxa"/>
          </w:tcPr>
          <w:p w:rsidR="00040BBC" w:rsidRPr="00040BBC" w:rsidRDefault="00040BBC" w:rsidP="00040BBC">
            <w:pPr>
              <w:widowControl w:val="0"/>
              <w:jc w:val="center"/>
              <w:rPr>
                <w:rFonts w:eastAsia="Calibri"/>
                <w:szCs w:val="28"/>
              </w:rPr>
            </w:pPr>
          </w:p>
          <w:p w:rsidR="00040BBC" w:rsidRPr="00040BBC" w:rsidRDefault="00040BBC" w:rsidP="00040BBC">
            <w:pPr>
              <w:widowControl w:val="0"/>
              <w:jc w:val="center"/>
              <w:rPr>
                <w:rFonts w:eastAsia="Calibri"/>
                <w:szCs w:val="28"/>
              </w:rPr>
            </w:pPr>
          </w:p>
          <w:p w:rsidR="00040BBC" w:rsidRPr="00040BBC" w:rsidRDefault="00040BBC" w:rsidP="00040BBC">
            <w:pPr>
              <w:widowControl w:val="0"/>
              <w:jc w:val="center"/>
              <w:rPr>
                <w:rFonts w:eastAsia="Calibri"/>
                <w:szCs w:val="28"/>
              </w:rPr>
            </w:pPr>
          </w:p>
          <w:p w:rsidR="00040BBC" w:rsidRPr="00040BBC" w:rsidRDefault="002842BC" w:rsidP="00040BBC">
            <w:pPr>
              <w:widowControl w:val="0"/>
              <w:jc w:val="center"/>
              <w:rPr>
                <w:rFonts w:eastAsia="Calibri"/>
                <w:szCs w:val="28"/>
              </w:rPr>
            </w:pPr>
            <w:r>
              <w:rPr>
                <w:rFonts w:eastAsia="Calibri"/>
                <w:szCs w:val="28"/>
              </w:rPr>
              <w:t>197</w:t>
            </w:r>
          </w:p>
        </w:tc>
      </w:tr>
      <w:tr w:rsidR="00040BBC" w:rsidRPr="00040BBC" w:rsidTr="008B1882">
        <w:trPr>
          <w:jc w:val="center"/>
        </w:trPr>
        <w:tc>
          <w:tcPr>
            <w:tcW w:w="1490" w:type="dxa"/>
          </w:tcPr>
          <w:p w:rsidR="00040BBC" w:rsidRPr="00040BBC" w:rsidRDefault="00040BBC" w:rsidP="00040BBC">
            <w:pPr>
              <w:widowControl w:val="0"/>
              <w:rPr>
                <w:rFonts w:eastAsia="Calibri"/>
                <w:bCs/>
                <w:kern w:val="36"/>
                <w:szCs w:val="28"/>
              </w:rPr>
            </w:pPr>
            <w:r w:rsidRPr="00040BBC">
              <w:rPr>
                <w:rFonts w:eastAsia="Calibri"/>
                <w:bCs/>
                <w:kern w:val="36"/>
                <w:szCs w:val="28"/>
              </w:rPr>
              <w:lastRenderedPageBreak/>
              <w:t>6.1.</w:t>
            </w:r>
          </w:p>
        </w:tc>
        <w:tc>
          <w:tcPr>
            <w:tcW w:w="7157" w:type="dxa"/>
          </w:tcPr>
          <w:p w:rsidR="00040BBC" w:rsidRPr="00040BBC" w:rsidRDefault="00040BBC" w:rsidP="00040BBC">
            <w:pPr>
              <w:widowControl w:val="0"/>
              <w:ind w:firstLine="34"/>
              <w:rPr>
                <w:rFonts w:eastAsia="Calibri"/>
                <w:bCs/>
                <w:kern w:val="36"/>
                <w:szCs w:val="28"/>
              </w:rPr>
            </w:pPr>
            <w:r w:rsidRPr="00040BBC">
              <w:rPr>
                <w:rFonts w:eastAsia="Calibri"/>
                <w:bCs/>
                <w:kern w:val="36"/>
                <w:szCs w:val="28"/>
              </w:rPr>
              <w:t>Оцінки стану здоров’я дітей за даними соціологічного дослідження батьків………………………………………..</w:t>
            </w:r>
          </w:p>
        </w:tc>
        <w:tc>
          <w:tcPr>
            <w:tcW w:w="851" w:type="dxa"/>
          </w:tcPr>
          <w:p w:rsidR="00040BBC" w:rsidRPr="00040BBC" w:rsidRDefault="00040BBC" w:rsidP="00040BBC">
            <w:pPr>
              <w:widowControl w:val="0"/>
              <w:jc w:val="center"/>
              <w:rPr>
                <w:rFonts w:eastAsia="Calibri"/>
                <w:szCs w:val="28"/>
              </w:rPr>
            </w:pPr>
          </w:p>
          <w:p w:rsidR="00040BBC" w:rsidRPr="00040BBC" w:rsidRDefault="002842BC" w:rsidP="00040BBC">
            <w:pPr>
              <w:widowControl w:val="0"/>
              <w:jc w:val="center"/>
              <w:rPr>
                <w:rFonts w:eastAsia="Calibri"/>
                <w:szCs w:val="28"/>
              </w:rPr>
            </w:pPr>
            <w:r>
              <w:rPr>
                <w:rFonts w:eastAsia="Calibri"/>
                <w:szCs w:val="28"/>
              </w:rPr>
              <w:t>198</w:t>
            </w:r>
          </w:p>
        </w:tc>
      </w:tr>
      <w:tr w:rsidR="00040BBC" w:rsidRPr="00040BBC" w:rsidTr="008B1882">
        <w:trPr>
          <w:jc w:val="center"/>
        </w:trPr>
        <w:tc>
          <w:tcPr>
            <w:tcW w:w="1490" w:type="dxa"/>
          </w:tcPr>
          <w:p w:rsidR="00040BBC" w:rsidRPr="00040BBC" w:rsidRDefault="00040BBC" w:rsidP="00040BBC">
            <w:pPr>
              <w:widowControl w:val="0"/>
              <w:rPr>
                <w:rFonts w:eastAsia="Calibri"/>
                <w:bCs/>
                <w:kern w:val="36"/>
                <w:szCs w:val="28"/>
              </w:rPr>
            </w:pPr>
            <w:r w:rsidRPr="00040BBC">
              <w:rPr>
                <w:rFonts w:eastAsia="Calibri"/>
                <w:bCs/>
                <w:kern w:val="36"/>
                <w:szCs w:val="28"/>
              </w:rPr>
              <w:t>6.2.</w:t>
            </w:r>
          </w:p>
        </w:tc>
        <w:tc>
          <w:tcPr>
            <w:tcW w:w="7157" w:type="dxa"/>
          </w:tcPr>
          <w:p w:rsidR="00040BBC" w:rsidRPr="00040BBC" w:rsidRDefault="00040BBC" w:rsidP="00040BBC">
            <w:pPr>
              <w:widowControl w:val="0"/>
              <w:ind w:firstLine="34"/>
              <w:rPr>
                <w:rFonts w:eastAsia="Calibri"/>
                <w:bCs/>
                <w:kern w:val="36"/>
                <w:szCs w:val="28"/>
              </w:rPr>
            </w:pPr>
            <w:r w:rsidRPr="00040BBC">
              <w:rPr>
                <w:rFonts w:eastAsia="Calibri"/>
                <w:bCs/>
                <w:kern w:val="36"/>
                <w:szCs w:val="28"/>
              </w:rPr>
              <w:t>Результати соціологічного дослідження щодо готовності лікарів загальної практики-сімейних лікарів до попередження  передчасної смерті дітей………………….</w:t>
            </w:r>
          </w:p>
        </w:tc>
        <w:tc>
          <w:tcPr>
            <w:tcW w:w="851" w:type="dxa"/>
          </w:tcPr>
          <w:p w:rsidR="00040BBC" w:rsidRPr="00040BBC" w:rsidRDefault="00040BBC" w:rsidP="00040BBC">
            <w:pPr>
              <w:widowControl w:val="0"/>
              <w:jc w:val="center"/>
              <w:rPr>
                <w:rFonts w:eastAsia="Calibri"/>
                <w:szCs w:val="28"/>
              </w:rPr>
            </w:pPr>
          </w:p>
          <w:p w:rsidR="00040BBC" w:rsidRPr="00040BBC" w:rsidRDefault="00040BBC" w:rsidP="00040BBC">
            <w:pPr>
              <w:widowControl w:val="0"/>
              <w:jc w:val="center"/>
              <w:rPr>
                <w:rFonts w:eastAsia="Calibri"/>
                <w:szCs w:val="28"/>
              </w:rPr>
            </w:pPr>
          </w:p>
          <w:p w:rsidR="00040BBC" w:rsidRPr="00040BBC" w:rsidRDefault="002842BC" w:rsidP="00040BBC">
            <w:pPr>
              <w:widowControl w:val="0"/>
              <w:jc w:val="center"/>
              <w:rPr>
                <w:rFonts w:eastAsia="Calibri"/>
                <w:szCs w:val="28"/>
              </w:rPr>
            </w:pPr>
            <w:r>
              <w:rPr>
                <w:rFonts w:eastAsia="Calibri"/>
                <w:szCs w:val="28"/>
              </w:rPr>
              <w:t>205</w:t>
            </w:r>
          </w:p>
        </w:tc>
      </w:tr>
      <w:tr w:rsidR="00040BBC" w:rsidRPr="00040BBC" w:rsidTr="008B1882">
        <w:trPr>
          <w:jc w:val="center"/>
        </w:trPr>
        <w:tc>
          <w:tcPr>
            <w:tcW w:w="1490" w:type="dxa"/>
          </w:tcPr>
          <w:p w:rsidR="00040BBC" w:rsidRPr="00040BBC" w:rsidRDefault="00040BBC" w:rsidP="00040BBC">
            <w:pPr>
              <w:widowControl w:val="0"/>
              <w:rPr>
                <w:rFonts w:eastAsia="Calibri"/>
                <w:bCs/>
                <w:kern w:val="36"/>
                <w:szCs w:val="28"/>
              </w:rPr>
            </w:pPr>
          </w:p>
        </w:tc>
        <w:tc>
          <w:tcPr>
            <w:tcW w:w="7157" w:type="dxa"/>
          </w:tcPr>
          <w:p w:rsidR="00040BBC" w:rsidRPr="00040BBC" w:rsidRDefault="00040BBC" w:rsidP="00040BBC">
            <w:pPr>
              <w:widowControl w:val="0"/>
              <w:ind w:firstLine="34"/>
              <w:rPr>
                <w:rFonts w:eastAsia="Calibri"/>
                <w:bCs/>
                <w:kern w:val="36"/>
                <w:szCs w:val="28"/>
              </w:rPr>
            </w:pPr>
            <w:r w:rsidRPr="00040BBC">
              <w:rPr>
                <w:rFonts w:eastAsia="Calibri"/>
                <w:bCs/>
                <w:kern w:val="36"/>
                <w:szCs w:val="28"/>
              </w:rPr>
              <w:t>Висновки до розділу 6……………………………………</w:t>
            </w:r>
          </w:p>
        </w:tc>
        <w:tc>
          <w:tcPr>
            <w:tcW w:w="851" w:type="dxa"/>
          </w:tcPr>
          <w:p w:rsidR="00040BBC" w:rsidRPr="00CE6282" w:rsidRDefault="00CE6282" w:rsidP="00040BBC">
            <w:pPr>
              <w:widowControl w:val="0"/>
              <w:jc w:val="center"/>
              <w:rPr>
                <w:rFonts w:eastAsia="Calibri"/>
                <w:szCs w:val="28"/>
                <w:lang w:val="ru-RU"/>
              </w:rPr>
            </w:pPr>
            <w:r>
              <w:rPr>
                <w:rFonts w:eastAsia="Calibri"/>
                <w:szCs w:val="28"/>
              </w:rPr>
              <w:t>21</w:t>
            </w:r>
            <w:r w:rsidR="002842BC">
              <w:rPr>
                <w:rFonts w:eastAsia="Calibri"/>
                <w:szCs w:val="28"/>
                <w:lang w:val="ru-RU"/>
              </w:rPr>
              <w:t>2</w:t>
            </w:r>
          </w:p>
        </w:tc>
      </w:tr>
      <w:tr w:rsidR="00040BBC" w:rsidRPr="00040BBC" w:rsidTr="008B1882">
        <w:trPr>
          <w:jc w:val="center"/>
        </w:trPr>
        <w:tc>
          <w:tcPr>
            <w:tcW w:w="1490" w:type="dxa"/>
          </w:tcPr>
          <w:p w:rsidR="00040BBC" w:rsidRPr="00910F4B" w:rsidRDefault="00040BBC" w:rsidP="00040BBC">
            <w:pPr>
              <w:widowControl w:val="0"/>
              <w:rPr>
                <w:rFonts w:eastAsia="Calibri"/>
                <w:bCs/>
                <w:kern w:val="36"/>
                <w:szCs w:val="28"/>
              </w:rPr>
            </w:pPr>
            <w:r w:rsidRPr="00910F4B">
              <w:rPr>
                <w:rFonts w:eastAsia="Times New Roman"/>
                <w:szCs w:val="28"/>
                <w:lang w:eastAsia="ru-RU"/>
              </w:rPr>
              <w:t>РОЗДІЛ 7</w:t>
            </w:r>
          </w:p>
        </w:tc>
        <w:tc>
          <w:tcPr>
            <w:tcW w:w="7157" w:type="dxa"/>
          </w:tcPr>
          <w:p w:rsidR="00040BBC" w:rsidRPr="00040BBC" w:rsidRDefault="00040BBC" w:rsidP="00040BBC">
            <w:pPr>
              <w:widowControl w:val="0"/>
              <w:ind w:firstLine="34"/>
              <w:rPr>
                <w:rFonts w:eastAsia="Calibri"/>
                <w:bCs/>
                <w:kern w:val="36"/>
                <w:szCs w:val="28"/>
              </w:rPr>
            </w:pPr>
            <w:r w:rsidRPr="00040BBC">
              <w:rPr>
                <w:rFonts w:eastAsia="Calibri"/>
                <w:bCs/>
                <w:kern w:val="36"/>
                <w:szCs w:val="28"/>
              </w:rPr>
              <w:t>ОБҐРУНТУВАННЯ, РОЗРОБЛЕННЯ ТА АПРОБАЦІЯ КОМПЛЕКСНОЇ ОЦІНКИ СТАНУ ПЕРИНАТАЛЬНОЇ ДОПОМОГИ В УКРАЇНІ…………………………………..</w:t>
            </w:r>
          </w:p>
        </w:tc>
        <w:tc>
          <w:tcPr>
            <w:tcW w:w="851" w:type="dxa"/>
          </w:tcPr>
          <w:p w:rsidR="00040BBC" w:rsidRPr="00040BBC" w:rsidRDefault="00040BBC" w:rsidP="00040BBC">
            <w:pPr>
              <w:widowControl w:val="0"/>
              <w:jc w:val="center"/>
              <w:rPr>
                <w:rFonts w:eastAsia="Calibri"/>
                <w:szCs w:val="28"/>
              </w:rPr>
            </w:pPr>
          </w:p>
          <w:p w:rsidR="00040BBC" w:rsidRPr="00040BBC" w:rsidRDefault="00040BBC" w:rsidP="00040BBC">
            <w:pPr>
              <w:widowControl w:val="0"/>
              <w:jc w:val="center"/>
              <w:rPr>
                <w:rFonts w:eastAsia="Calibri"/>
                <w:szCs w:val="28"/>
              </w:rPr>
            </w:pPr>
          </w:p>
          <w:p w:rsidR="00040BBC" w:rsidRPr="00040BBC" w:rsidRDefault="002842BC" w:rsidP="00040BBC">
            <w:pPr>
              <w:widowControl w:val="0"/>
              <w:jc w:val="center"/>
              <w:rPr>
                <w:rFonts w:eastAsia="Calibri"/>
                <w:szCs w:val="28"/>
              </w:rPr>
            </w:pPr>
            <w:r>
              <w:rPr>
                <w:rFonts w:eastAsia="Calibri"/>
                <w:szCs w:val="28"/>
              </w:rPr>
              <w:t>215</w:t>
            </w:r>
          </w:p>
        </w:tc>
      </w:tr>
      <w:tr w:rsidR="00040BBC" w:rsidRPr="00040BBC" w:rsidTr="008B1882">
        <w:trPr>
          <w:jc w:val="center"/>
        </w:trPr>
        <w:tc>
          <w:tcPr>
            <w:tcW w:w="1490" w:type="dxa"/>
          </w:tcPr>
          <w:p w:rsidR="00040BBC" w:rsidRPr="00040BBC" w:rsidRDefault="00040BBC" w:rsidP="00040BBC">
            <w:pPr>
              <w:widowControl w:val="0"/>
              <w:rPr>
                <w:rFonts w:eastAsia="Times New Roman"/>
                <w:szCs w:val="28"/>
                <w:lang w:eastAsia="ru-RU"/>
              </w:rPr>
            </w:pPr>
            <w:r w:rsidRPr="00040BBC">
              <w:rPr>
                <w:rFonts w:eastAsia="Calibri"/>
                <w:bCs/>
                <w:kern w:val="36"/>
                <w:szCs w:val="28"/>
              </w:rPr>
              <w:t>7.1.</w:t>
            </w:r>
          </w:p>
        </w:tc>
        <w:tc>
          <w:tcPr>
            <w:tcW w:w="7157" w:type="dxa"/>
          </w:tcPr>
          <w:p w:rsidR="00040BBC" w:rsidRPr="00040BBC" w:rsidRDefault="00040BBC" w:rsidP="00040BBC">
            <w:pPr>
              <w:widowControl w:val="0"/>
              <w:ind w:firstLine="34"/>
              <w:rPr>
                <w:rFonts w:eastAsia="Calibri"/>
                <w:bCs/>
                <w:kern w:val="36"/>
                <w:szCs w:val="28"/>
              </w:rPr>
            </w:pPr>
            <w:r w:rsidRPr="00040BBC">
              <w:rPr>
                <w:rFonts w:eastAsia="Calibri"/>
                <w:bCs/>
                <w:kern w:val="36"/>
                <w:szCs w:val="28"/>
              </w:rPr>
              <w:t>Комплексна оцінка стану перинатальної допомоги в Україні: індикатори діяльності, методика оцінки, оцінка перинатальної допомоги за рівнями………………………</w:t>
            </w:r>
          </w:p>
        </w:tc>
        <w:tc>
          <w:tcPr>
            <w:tcW w:w="851" w:type="dxa"/>
          </w:tcPr>
          <w:p w:rsidR="00040BBC" w:rsidRPr="00040BBC" w:rsidRDefault="00040BBC" w:rsidP="00040BBC">
            <w:pPr>
              <w:widowControl w:val="0"/>
              <w:jc w:val="center"/>
              <w:rPr>
                <w:rFonts w:eastAsia="Calibri"/>
                <w:szCs w:val="28"/>
              </w:rPr>
            </w:pPr>
          </w:p>
          <w:p w:rsidR="00040BBC" w:rsidRPr="00040BBC" w:rsidRDefault="00040BBC" w:rsidP="00040BBC">
            <w:pPr>
              <w:widowControl w:val="0"/>
              <w:jc w:val="center"/>
              <w:rPr>
                <w:rFonts w:eastAsia="Calibri"/>
                <w:szCs w:val="28"/>
              </w:rPr>
            </w:pPr>
          </w:p>
          <w:p w:rsidR="00040BBC" w:rsidRPr="00040BBC" w:rsidRDefault="002842BC" w:rsidP="00040BBC">
            <w:pPr>
              <w:widowControl w:val="0"/>
              <w:jc w:val="center"/>
              <w:rPr>
                <w:rFonts w:eastAsia="Calibri"/>
                <w:szCs w:val="28"/>
              </w:rPr>
            </w:pPr>
            <w:r>
              <w:rPr>
                <w:rFonts w:eastAsia="Calibri"/>
                <w:szCs w:val="28"/>
              </w:rPr>
              <w:t>215</w:t>
            </w:r>
          </w:p>
        </w:tc>
      </w:tr>
      <w:tr w:rsidR="00040BBC" w:rsidRPr="00040BBC" w:rsidTr="008B1882">
        <w:trPr>
          <w:jc w:val="center"/>
        </w:trPr>
        <w:tc>
          <w:tcPr>
            <w:tcW w:w="1490" w:type="dxa"/>
          </w:tcPr>
          <w:p w:rsidR="00040BBC" w:rsidRPr="00040BBC" w:rsidRDefault="00040BBC" w:rsidP="00040BBC">
            <w:pPr>
              <w:widowControl w:val="0"/>
              <w:rPr>
                <w:rFonts w:eastAsia="Calibri"/>
                <w:bCs/>
                <w:kern w:val="36"/>
                <w:szCs w:val="28"/>
              </w:rPr>
            </w:pPr>
            <w:r w:rsidRPr="00040BBC">
              <w:rPr>
                <w:rFonts w:eastAsia="Calibri"/>
                <w:bCs/>
                <w:kern w:val="36"/>
                <w:szCs w:val="28"/>
              </w:rPr>
              <w:t>7.1.1</w:t>
            </w:r>
          </w:p>
        </w:tc>
        <w:tc>
          <w:tcPr>
            <w:tcW w:w="7157" w:type="dxa"/>
          </w:tcPr>
          <w:p w:rsidR="00040BBC" w:rsidRPr="00040BBC" w:rsidRDefault="00040BBC" w:rsidP="00040BBC">
            <w:pPr>
              <w:widowControl w:val="0"/>
              <w:ind w:firstLine="34"/>
              <w:rPr>
                <w:rFonts w:eastAsia="Calibri"/>
                <w:bCs/>
                <w:kern w:val="36"/>
                <w:szCs w:val="28"/>
              </w:rPr>
            </w:pPr>
            <w:r w:rsidRPr="00040BBC">
              <w:rPr>
                <w:rFonts w:eastAsia="Calibri"/>
                <w:bCs/>
                <w:kern w:val="36"/>
                <w:szCs w:val="28"/>
              </w:rPr>
              <w:t>Модель оцінювання якості надання медичної допомоги на догоспітальному етапі перинатальної допомоги………</w:t>
            </w:r>
          </w:p>
        </w:tc>
        <w:tc>
          <w:tcPr>
            <w:tcW w:w="851" w:type="dxa"/>
          </w:tcPr>
          <w:p w:rsidR="00040BBC" w:rsidRPr="00040BBC" w:rsidRDefault="00040BBC" w:rsidP="00040BBC">
            <w:pPr>
              <w:widowControl w:val="0"/>
              <w:jc w:val="center"/>
              <w:rPr>
                <w:rFonts w:eastAsia="Calibri"/>
                <w:szCs w:val="28"/>
              </w:rPr>
            </w:pPr>
          </w:p>
          <w:p w:rsidR="00040BBC" w:rsidRPr="00040BBC" w:rsidRDefault="002842BC" w:rsidP="00040BBC">
            <w:pPr>
              <w:widowControl w:val="0"/>
              <w:jc w:val="center"/>
              <w:rPr>
                <w:rFonts w:eastAsia="Calibri"/>
                <w:szCs w:val="28"/>
              </w:rPr>
            </w:pPr>
            <w:r>
              <w:rPr>
                <w:rFonts w:eastAsia="Calibri"/>
                <w:szCs w:val="28"/>
              </w:rPr>
              <w:t>225</w:t>
            </w:r>
          </w:p>
        </w:tc>
      </w:tr>
      <w:tr w:rsidR="00040BBC" w:rsidRPr="00040BBC" w:rsidTr="008B1882">
        <w:trPr>
          <w:jc w:val="center"/>
        </w:trPr>
        <w:tc>
          <w:tcPr>
            <w:tcW w:w="1490" w:type="dxa"/>
          </w:tcPr>
          <w:p w:rsidR="00040BBC" w:rsidRPr="00040BBC" w:rsidRDefault="00040BBC" w:rsidP="00040BBC">
            <w:pPr>
              <w:widowControl w:val="0"/>
              <w:rPr>
                <w:rFonts w:eastAsia="Calibri"/>
                <w:bCs/>
                <w:kern w:val="36"/>
                <w:szCs w:val="28"/>
              </w:rPr>
            </w:pPr>
            <w:r w:rsidRPr="00040BBC">
              <w:rPr>
                <w:rFonts w:eastAsia="Calibri"/>
                <w:bCs/>
                <w:kern w:val="36"/>
                <w:szCs w:val="28"/>
              </w:rPr>
              <w:t>7.1.2.</w:t>
            </w:r>
          </w:p>
        </w:tc>
        <w:tc>
          <w:tcPr>
            <w:tcW w:w="7157" w:type="dxa"/>
          </w:tcPr>
          <w:p w:rsidR="00040BBC" w:rsidRPr="00040BBC" w:rsidRDefault="00040BBC" w:rsidP="00040BBC">
            <w:pPr>
              <w:widowControl w:val="0"/>
              <w:ind w:firstLine="34"/>
              <w:rPr>
                <w:rFonts w:eastAsia="Calibri"/>
                <w:bCs/>
                <w:kern w:val="36"/>
                <w:szCs w:val="28"/>
              </w:rPr>
            </w:pPr>
            <w:r w:rsidRPr="00040BBC">
              <w:rPr>
                <w:rFonts w:eastAsia="Calibri"/>
                <w:bCs/>
                <w:kern w:val="36"/>
                <w:szCs w:val="28"/>
              </w:rPr>
              <w:t>Модель оцінювання якості надання медичної допомоги на госпітальному етапі перинатальної допомоги…………</w:t>
            </w:r>
          </w:p>
        </w:tc>
        <w:tc>
          <w:tcPr>
            <w:tcW w:w="851" w:type="dxa"/>
          </w:tcPr>
          <w:p w:rsidR="00040BBC" w:rsidRPr="00040BBC" w:rsidRDefault="00040BBC" w:rsidP="00040BBC">
            <w:pPr>
              <w:widowControl w:val="0"/>
              <w:jc w:val="center"/>
              <w:rPr>
                <w:rFonts w:eastAsia="Calibri"/>
                <w:szCs w:val="28"/>
              </w:rPr>
            </w:pPr>
          </w:p>
          <w:p w:rsidR="00040BBC" w:rsidRPr="00040BBC" w:rsidRDefault="002842BC" w:rsidP="00040BBC">
            <w:pPr>
              <w:widowControl w:val="0"/>
              <w:jc w:val="center"/>
              <w:rPr>
                <w:rFonts w:eastAsia="Calibri"/>
                <w:szCs w:val="28"/>
              </w:rPr>
            </w:pPr>
            <w:r>
              <w:rPr>
                <w:rFonts w:eastAsia="Calibri"/>
                <w:szCs w:val="28"/>
              </w:rPr>
              <w:t>229</w:t>
            </w:r>
          </w:p>
        </w:tc>
      </w:tr>
      <w:tr w:rsidR="00040BBC" w:rsidRPr="00040BBC" w:rsidTr="008B1882">
        <w:trPr>
          <w:jc w:val="center"/>
        </w:trPr>
        <w:tc>
          <w:tcPr>
            <w:tcW w:w="1490" w:type="dxa"/>
          </w:tcPr>
          <w:p w:rsidR="00040BBC" w:rsidRPr="00040BBC" w:rsidRDefault="00040BBC" w:rsidP="00040BBC">
            <w:pPr>
              <w:widowControl w:val="0"/>
              <w:rPr>
                <w:rFonts w:eastAsia="Calibri"/>
                <w:bCs/>
                <w:kern w:val="36"/>
                <w:szCs w:val="28"/>
              </w:rPr>
            </w:pPr>
            <w:r w:rsidRPr="00040BBC">
              <w:rPr>
                <w:rFonts w:eastAsia="Calibri"/>
                <w:bCs/>
                <w:kern w:val="36"/>
                <w:szCs w:val="28"/>
              </w:rPr>
              <w:t>7.2.</w:t>
            </w:r>
          </w:p>
        </w:tc>
        <w:tc>
          <w:tcPr>
            <w:tcW w:w="7157" w:type="dxa"/>
          </w:tcPr>
          <w:p w:rsidR="00040BBC" w:rsidRPr="00040BBC" w:rsidRDefault="00040BBC" w:rsidP="00D479E9">
            <w:pPr>
              <w:widowControl w:val="0"/>
              <w:ind w:firstLine="34"/>
              <w:rPr>
                <w:rFonts w:eastAsia="Calibri"/>
                <w:bCs/>
                <w:kern w:val="36"/>
                <w:szCs w:val="28"/>
              </w:rPr>
            </w:pPr>
            <w:r w:rsidRPr="00040BBC">
              <w:rPr>
                <w:rFonts w:eastAsia="Calibri"/>
                <w:bCs/>
                <w:kern w:val="36"/>
                <w:szCs w:val="28"/>
              </w:rPr>
              <w:t>Апробація к</w:t>
            </w:r>
            <w:r w:rsidR="00DF1A5C">
              <w:rPr>
                <w:rFonts w:eastAsia="Calibri"/>
                <w:bCs/>
                <w:kern w:val="36"/>
                <w:szCs w:val="28"/>
              </w:rPr>
              <w:t>омплексної оцінки діяльності закладів перинатальної допомоги</w:t>
            </w:r>
            <w:r w:rsidRPr="00040BBC">
              <w:rPr>
                <w:rFonts w:eastAsia="Calibri"/>
                <w:bCs/>
                <w:kern w:val="36"/>
                <w:szCs w:val="28"/>
              </w:rPr>
              <w:t xml:space="preserve"> І, ІІ і ІІІ рівнів на національному </w:t>
            </w:r>
            <w:r w:rsidR="00D479E9">
              <w:rPr>
                <w:rFonts w:eastAsia="Calibri"/>
                <w:bCs/>
                <w:kern w:val="36"/>
                <w:szCs w:val="28"/>
              </w:rPr>
              <w:t>рівні………………………………</w:t>
            </w:r>
            <w:r w:rsidR="00DF1A5C">
              <w:rPr>
                <w:rFonts w:eastAsia="Calibri"/>
                <w:bCs/>
                <w:kern w:val="36"/>
                <w:szCs w:val="28"/>
              </w:rPr>
              <w:t>…………………………..</w:t>
            </w:r>
          </w:p>
        </w:tc>
        <w:tc>
          <w:tcPr>
            <w:tcW w:w="851" w:type="dxa"/>
          </w:tcPr>
          <w:p w:rsidR="00040BBC" w:rsidRPr="00040BBC" w:rsidRDefault="00040BBC" w:rsidP="00040BBC">
            <w:pPr>
              <w:widowControl w:val="0"/>
              <w:jc w:val="center"/>
              <w:rPr>
                <w:rFonts w:eastAsia="Calibri"/>
                <w:szCs w:val="28"/>
              </w:rPr>
            </w:pPr>
          </w:p>
          <w:p w:rsidR="00DF1A5C" w:rsidRDefault="00DF1A5C" w:rsidP="00D479E9">
            <w:pPr>
              <w:widowControl w:val="0"/>
              <w:jc w:val="center"/>
              <w:rPr>
                <w:rFonts w:eastAsia="Calibri"/>
                <w:szCs w:val="28"/>
              </w:rPr>
            </w:pPr>
          </w:p>
          <w:p w:rsidR="00040BBC" w:rsidRPr="00040BBC" w:rsidRDefault="002842BC" w:rsidP="00D479E9">
            <w:pPr>
              <w:widowControl w:val="0"/>
              <w:jc w:val="center"/>
              <w:rPr>
                <w:rFonts w:eastAsia="Calibri"/>
                <w:szCs w:val="28"/>
              </w:rPr>
            </w:pPr>
            <w:r>
              <w:rPr>
                <w:rFonts w:eastAsia="Calibri"/>
                <w:szCs w:val="28"/>
              </w:rPr>
              <w:t>241</w:t>
            </w:r>
          </w:p>
        </w:tc>
      </w:tr>
      <w:tr w:rsidR="00040BBC" w:rsidRPr="00040BBC" w:rsidTr="008B1882">
        <w:trPr>
          <w:jc w:val="center"/>
        </w:trPr>
        <w:tc>
          <w:tcPr>
            <w:tcW w:w="1490" w:type="dxa"/>
          </w:tcPr>
          <w:p w:rsidR="00040BBC" w:rsidRPr="00040BBC" w:rsidRDefault="00040BBC" w:rsidP="00040BBC">
            <w:pPr>
              <w:widowControl w:val="0"/>
              <w:rPr>
                <w:rFonts w:eastAsia="Calibri"/>
                <w:bCs/>
                <w:kern w:val="36"/>
                <w:szCs w:val="28"/>
              </w:rPr>
            </w:pPr>
          </w:p>
        </w:tc>
        <w:tc>
          <w:tcPr>
            <w:tcW w:w="7157" w:type="dxa"/>
          </w:tcPr>
          <w:p w:rsidR="00040BBC" w:rsidRPr="00040BBC" w:rsidRDefault="00040BBC" w:rsidP="00040BBC">
            <w:pPr>
              <w:widowControl w:val="0"/>
              <w:ind w:firstLine="34"/>
              <w:rPr>
                <w:rFonts w:eastAsia="Calibri"/>
                <w:bCs/>
                <w:kern w:val="36"/>
                <w:szCs w:val="28"/>
              </w:rPr>
            </w:pPr>
            <w:r w:rsidRPr="00040BBC">
              <w:rPr>
                <w:rFonts w:eastAsia="Calibri"/>
                <w:bCs/>
                <w:kern w:val="36"/>
                <w:szCs w:val="28"/>
              </w:rPr>
              <w:t>Висновки до розділу 7……………………………………...</w:t>
            </w:r>
          </w:p>
        </w:tc>
        <w:tc>
          <w:tcPr>
            <w:tcW w:w="851" w:type="dxa"/>
          </w:tcPr>
          <w:p w:rsidR="00040BBC" w:rsidRPr="00040BBC" w:rsidRDefault="002842BC" w:rsidP="00040BBC">
            <w:pPr>
              <w:widowControl w:val="0"/>
              <w:jc w:val="center"/>
              <w:rPr>
                <w:rFonts w:eastAsia="Calibri"/>
                <w:szCs w:val="28"/>
              </w:rPr>
            </w:pPr>
            <w:r>
              <w:rPr>
                <w:rFonts w:eastAsia="Calibri"/>
                <w:szCs w:val="28"/>
              </w:rPr>
              <w:t>256</w:t>
            </w:r>
          </w:p>
        </w:tc>
      </w:tr>
      <w:tr w:rsidR="00040BBC" w:rsidRPr="00040BBC" w:rsidTr="008B1882">
        <w:trPr>
          <w:jc w:val="center"/>
        </w:trPr>
        <w:tc>
          <w:tcPr>
            <w:tcW w:w="1490" w:type="dxa"/>
          </w:tcPr>
          <w:p w:rsidR="00040BBC" w:rsidRPr="00040BBC" w:rsidRDefault="00040BBC" w:rsidP="00040BBC">
            <w:pPr>
              <w:widowControl w:val="0"/>
              <w:rPr>
                <w:rFonts w:eastAsia="Calibri"/>
                <w:bCs/>
                <w:kern w:val="36"/>
                <w:szCs w:val="28"/>
              </w:rPr>
            </w:pPr>
            <w:r w:rsidRPr="00040BBC">
              <w:rPr>
                <w:rFonts w:eastAsia="Calibri"/>
                <w:bCs/>
                <w:kern w:val="36"/>
                <w:szCs w:val="28"/>
              </w:rPr>
              <w:t>РОЗДІЛ 8</w:t>
            </w:r>
          </w:p>
        </w:tc>
        <w:tc>
          <w:tcPr>
            <w:tcW w:w="7157" w:type="dxa"/>
          </w:tcPr>
          <w:p w:rsidR="00040BBC" w:rsidRPr="00040BBC" w:rsidRDefault="00040BBC" w:rsidP="00040BBC">
            <w:pPr>
              <w:widowControl w:val="0"/>
              <w:ind w:firstLine="34"/>
              <w:rPr>
                <w:rFonts w:eastAsia="Calibri"/>
                <w:bCs/>
                <w:kern w:val="36"/>
                <w:szCs w:val="28"/>
              </w:rPr>
            </w:pPr>
            <w:r w:rsidRPr="00040BBC">
              <w:rPr>
                <w:rFonts w:eastAsia="Calibri"/>
                <w:bCs/>
                <w:kern w:val="36"/>
                <w:szCs w:val="28"/>
              </w:rPr>
              <w:t>НАУКОВЕ ОБГРУНТУВАННЯ ІННОВАЦІЙНОЇ СИСТЕМИ МЕДИКО-СОЦІАЛЬНОЇ ДОПОМОГИ ДІТЯМ ДО 5 РОКІВ ЖИТТЯ В УКРАЇНІ……………….</w:t>
            </w:r>
          </w:p>
        </w:tc>
        <w:tc>
          <w:tcPr>
            <w:tcW w:w="851" w:type="dxa"/>
          </w:tcPr>
          <w:p w:rsidR="00040BBC" w:rsidRPr="00040BBC" w:rsidRDefault="00040BBC" w:rsidP="00040BBC">
            <w:pPr>
              <w:widowControl w:val="0"/>
              <w:jc w:val="center"/>
              <w:rPr>
                <w:rFonts w:eastAsia="Calibri"/>
                <w:szCs w:val="28"/>
              </w:rPr>
            </w:pPr>
          </w:p>
          <w:p w:rsidR="00040BBC" w:rsidRPr="00040BBC" w:rsidRDefault="00040BBC" w:rsidP="00040BBC">
            <w:pPr>
              <w:widowControl w:val="0"/>
              <w:jc w:val="center"/>
              <w:rPr>
                <w:rFonts w:eastAsia="Calibri"/>
                <w:szCs w:val="28"/>
              </w:rPr>
            </w:pPr>
          </w:p>
          <w:p w:rsidR="00040BBC" w:rsidRPr="00040BBC" w:rsidRDefault="002842BC" w:rsidP="00040BBC">
            <w:pPr>
              <w:widowControl w:val="0"/>
              <w:jc w:val="center"/>
              <w:rPr>
                <w:rFonts w:eastAsia="Calibri"/>
                <w:szCs w:val="28"/>
              </w:rPr>
            </w:pPr>
            <w:r>
              <w:rPr>
                <w:rFonts w:eastAsia="Calibri"/>
                <w:szCs w:val="28"/>
              </w:rPr>
              <w:t>259</w:t>
            </w:r>
          </w:p>
        </w:tc>
      </w:tr>
      <w:tr w:rsidR="00040BBC" w:rsidRPr="00040BBC" w:rsidTr="008B1882">
        <w:trPr>
          <w:jc w:val="center"/>
        </w:trPr>
        <w:tc>
          <w:tcPr>
            <w:tcW w:w="1490" w:type="dxa"/>
          </w:tcPr>
          <w:p w:rsidR="00040BBC" w:rsidRPr="00040BBC" w:rsidRDefault="00040BBC" w:rsidP="00040BBC">
            <w:pPr>
              <w:widowControl w:val="0"/>
              <w:rPr>
                <w:rFonts w:eastAsia="Calibri"/>
                <w:bCs/>
                <w:kern w:val="36"/>
                <w:szCs w:val="28"/>
              </w:rPr>
            </w:pPr>
            <w:r w:rsidRPr="00040BBC">
              <w:rPr>
                <w:rFonts w:eastAsia="Calibri"/>
                <w:bCs/>
                <w:kern w:val="36"/>
                <w:szCs w:val="28"/>
              </w:rPr>
              <w:t>8.1.</w:t>
            </w:r>
          </w:p>
        </w:tc>
        <w:tc>
          <w:tcPr>
            <w:tcW w:w="7157" w:type="dxa"/>
          </w:tcPr>
          <w:p w:rsidR="00040BBC" w:rsidRPr="00040BBC" w:rsidRDefault="00040BBC" w:rsidP="00040BBC">
            <w:pPr>
              <w:widowControl w:val="0"/>
              <w:ind w:firstLine="34"/>
              <w:rPr>
                <w:rFonts w:eastAsia="Calibri"/>
                <w:bCs/>
                <w:kern w:val="36"/>
                <w:szCs w:val="28"/>
              </w:rPr>
            </w:pPr>
            <w:r w:rsidRPr="00040BBC">
              <w:rPr>
                <w:rFonts w:eastAsia="Calibri"/>
                <w:bCs/>
                <w:kern w:val="36"/>
                <w:szCs w:val="28"/>
              </w:rPr>
              <w:t>Концептуальні підходи до обґрунтування інноваційної системи медико-соціальної допомоги дітям до 5 років життя…..……………………………………………………..</w:t>
            </w:r>
          </w:p>
        </w:tc>
        <w:tc>
          <w:tcPr>
            <w:tcW w:w="851" w:type="dxa"/>
          </w:tcPr>
          <w:p w:rsidR="00040BBC" w:rsidRPr="00040BBC" w:rsidRDefault="00040BBC" w:rsidP="00040BBC">
            <w:pPr>
              <w:widowControl w:val="0"/>
              <w:jc w:val="center"/>
              <w:rPr>
                <w:rFonts w:eastAsia="Calibri"/>
                <w:szCs w:val="28"/>
              </w:rPr>
            </w:pPr>
          </w:p>
          <w:p w:rsidR="00040BBC" w:rsidRPr="00040BBC" w:rsidRDefault="00040BBC" w:rsidP="00040BBC">
            <w:pPr>
              <w:widowControl w:val="0"/>
              <w:jc w:val="center"/>
              <w:rPr>
                <w:rFonts w:eastAsia="Calibri"/>
                <w:szCs w:val="28"/>
              </w:rPr>
            </w:pPr>
          </w:p>
          <w:p w:rsidR="00040BBC" w:rsidRPr="00040BBC" w:rsidRDefault="002842BC" w:rsidP="00040BBC">
            <w:pPr>
              <w:widowControl w:val="0"/>
              <w:jc w:val="center"/>
              <w:rPr>
                <w:rFonts w:eastAsia="Calibri"/>
                <w:szCs w:val="28"/>
              </w:rPr>
            </w:pPr>
            <w:r>
              <w:rPr>
                <w:rFonts w:eastAsia="Calibri"/>
                <w:szCs w:val="28"/>
              </w:rPr>
              <w:t>260</w:t>
            </w:r>
          </w:p>
        </w:tc>
      </w:tr>
      <w:tr w:rsidR="00040BBC" w:rsidRPr="00040BBC" w:rsidTr="008B1882">
        <w:trPr>
          <w:jc w:val="center"/>
        </w:trPr>
        <w:tc>
          <w:tcPr>
            <w:tcW w:w="1490" w:type="dxa"/>
          </w:tcPr>
          <w:p w:rsidR="00040BBC" w:rsidRPr="00040BBC" w:rsidRDefault="00040BBC" w:rsidP="00040BBC">
            <w:pPr>
              <w:widowControl w:val="0"/>
              <w:rPr>
                <w:rFonts w:eastAsia="Calibri"/>
                <w:bCs/>
                <w:kern w:val="36"/>
                <w:szCs w:val="28"/>
              </w:rPr>
            </w:pPr>
            <w:r w:rsidRPr="00040BBC">
              <w:rPr>
                <w:rFonts w:eastAsia="Calibri"/>
                <w:bCs/>
                <w:kern w:val="36"/>
                <w:szCs w:val="28"/>
              </w:rPr>
              <w:t>8.2.</w:t>
            </w:r>
          </w:p>
        </w:tc>
        <w:tc>
          <w:tcPr>
            <w:tcW w:w="7157" w:type="dxa"/>
          </w:tcPr>
          <w:p w:rsidR="00040BBC" w:rsidRPr="00040BBC" w:rsidRDefault="00040BBC" w:rsidP="00040BBC">
            <w:pPr>
              <w:widowControl w:val="0"/>
              <w:ind w:firstLine="34"/>
              <w:rPr>
                <w:rFonts w:eastAsia="Calibri"/>
                <w:bCs/>
                <w:kern w:val="36"/>
                <w:szCs w:val="28"/>
              </w:rPr>
            </w:pPr>
            <w:r w:rsidRPr="00040BBC">
              <w:rPr>
                <w:rFonts w:eastAsia="Calibri"/>
                <w:bCs/>
                <w:kern w:val="36"/>
                <w:szCs w:val="28"/>
              </w:rPr>
              <w:t>Теоретичне підґрунтя інноваційної системи медико-</w:t>
            </w:r>
            <w:r w:rsidRPr="00040BBC">
              <w:rPr>
                <w:rFonts w:eastAsia="Calibri"/>
                <w:bCs/>
                <w:kern w:val="36"/>
                <w:szCs w:val="28"/>
              </w:rPr>
              <w:lastRenderedPageBreak/>
              <w:t xml:space="preserve">соціальної допомоги дітям до 5 років життя…………..…. </w:t>
            </w:r>
          </w:p>
        </w:tc>
        <w:tc>
          <w:tcPr>
            <w:tcW w:w="851" w:type="dxa"/>
          </w:tcPr>
          <w:p w:rsidR="00040BBC" w:rsidRPr="00040BBC" w:rsidRDefault="00040BBC" w:rsidP="00040BBC">
            <w:pPr>
              <w:widowControl w:val="0"/>
              <w:jc w:val="center"/>
              <w:rPr>
                <w:rFonts w:eastAsia="Calibri"/>
                <w:szCs w:val="28"/>
              </w:rPr>
            </w:pPr>
          </w:p>
          <w:p w:rsidR="00040BBC" w:rsidRPr="00040BBC" w:rsidRDefault="002842BC" w:rsidP="00040BBC">
            <w:pPr>
              <w:widowControl w:val="0"/>
              <w:jc w:val="center"/>
              <w:rPr>
                <w:rFonts w:eastAsia="Calibri"/>
                <w:szCs w:val="28"/>
              </w:rPr>
            </w:pPr>
            <w:r>
              <w:rPr>
                <w:rFonts w:eastAsia="Calibri"/>
                <w:szCs w:val="28"/>
              </w:rPr>
              <w:lastRenderedPageBreak/>
              <w:t>272</w:t>
            </w:r>
          </w:p>
        </w:tc>
      </w:tr>
      <w:tr w:rsidR="00040BBC" w:rsidRPr="00040BBC" w:rsidTr="008B1882">
        <w:trPr>
          <w:jc w:val="center"/>
        </w:trPr>
        <w:tc>
          <w:tcPr>
            <w:tcW w:w="1490" w:type="dxa"/>
          </w:tcPr>
          <w:p w:rsidR="00040BBC" w:rsidRPr="00040BBC" w:rsidRDefault="00040BBC" w:rsidP="00040BBC">
            <w:pPr>
              <w:widowControl w:val="0"/>
              <w:rPr>
                <w:rFonts w:eastAsia="Calibri"/>
                <w:bCs/>
                <w:kern w:val="36"/>
                <w:szCs w:val="28"/>
              </w:rPr>
            </w:pPr>
            <w:r w:rsidRPr="00040BBC">
              <w:rPr>
                <w:rFonts w:eastAsia="Calibri"/>
                <w:bCs/>
                <w:kern w:val="36"/>
                <w:szCs w:val="28"/>
              </w:rPr>
              <w:lastRenderedPageBreak/>
              <w:t>8.3.</w:t>
            </w:r>
          </w:p>
        </w:tc>
        <w:tc>
          <w:tcPr>
            <w:tcW w:w="7157" w:type="dxa"/>
          </w:tcPr>
          <w:p w:rsidR="00040BBC" w:rsidRPr="00040BBC" w:rsidRDefault="00040BBC" w:rsidP="00040BBC">
            <w:pPr>
              <w:widowControl w:val="0"/>
              <w:ind w:firstLine="34"/>
              <w:rPr>
                <w:rFonts w:eastAsia="Calibri"/>
                <w:bCs/>
                <w:kern w:val="36"/>
                <w:szCs w:val="28"/>
              </w:rPr>
            </w:pPr>
            <w:r w:rsidRPr="00040BBC">
              <w:rPr>
                <w:rFonts w:eastAsia="Calibri"/>
                <w:bCs/>
                <w:kern w:val="36"/>
                <w:szCs w:val="28"/>
              </w:rPr>
              <w:t xml:space="preserve">Характеристика інноваційної системи медико-соціальної допомоги дітям до 5 років………………………………….. </w:t>
            </w:r>
          </w:p>
        </w:tc>
        <w:tc>
          <w:tcPr>
            <w:tcW w:w="851" w:type="dxa"/>
          </w:tcPr>
          <w:p w:rsidR="00040BBC" w:rsidRPr="00040BBC" w:rsidRDefault="00040BBC" w:rsidP="00040BBC">
            <w:pPr>
              <w:widowControl w:val="0"/>
              <w:jc w:val="center"/>
              <w:rPr>
                <w:rFonts w:eastAsia="Calibri"/>
                <w:szCs w:val="28"/>
              </w:rPr>
            </w:pPr>
          </w:p>
          <w:p w:rsidR="00040BBC" w:rsidRPr="00040BBC" w:rsidRDefault="002842BC" w:rsidP="00040BBC">
            <w:pPr>
              <w:widowControl w:val="0"/>
              <w:jc w:val="center"/>
              <w:rPr>
                <w:rFonts w:eastAsia="Calibri"/>
                <w:szCs w:val="28"/>
              </w:rPr>
            </w:pPr>
            <w:r>
              <w:rPr>
                <w:rFonts w:eastAsia="Calibri"/>
                <w:szCs w:val="28"/>
              </w:rPr>
              <w:t>274</w:t>
            </w:r>
          </w:p>
        </w:tc>
      </w:tr>
      <w:tr w:rsidR="00040BBC" w:rsidRPr="00040BBC" w:rsidTr="008B1882">
        <w:trPr>
          <w:jc w:val="center"/>
        </w:trPr>
        <w:tc>
          <w:tcPr>
            <w:tcW w:w="1490" w:type="dxa"/>
          </w:tcPr>
          <w:p w:rsidR="00040BBC" w:rsidRPr="00040BBC" w:rsidRDefault="00040BBC" w:rsidP="00040BBC">
            <w:pPr>
              <w:widowControl w:val="0"/>
              <w:rPr>
                <w:rFonts w:eastAsia="Calibri"/>
                <w:bCs/>
                <w:kern w:val="36"/>
                <w:szCs w:val="28"/>
              </w:rPr>
            </w:pPr>
            <w:r w:rsidRPr="00040BBC">
              <w:rPr>
                <w:rFonts w:eastAsia="Calibri"/>
                <w:bCs/>
                <w:kern w:val="36"/>
                <w:szCs w:val="28"/>
              </w:rPr>
              <w:t>8.4.</w:t>
            </w:r>
          </w:p>
        </w:tc>
        <w:tc>
          <w:tcPr>
            <w:tcW w:w="7157" w:type="dxa"/>
          </w:tcPr>
          <w:p w:rsidR="00040BBC" w:rsidRPr="00040BBC" w:rsidRDefault="00040BBC" w:rsidP="00040BBC">
            <w:pPr>
              <w:widowControl w:val="0"/>
              <w:ind w:firstLine="34"/>
              <w:rPr>
                <w:rFonts w:eastAsia="Calibri"/>
                <w:bCs/>
                <w:kern w:val="36"/>
                <w:szCs w:val="28"/>
              </w:rPr>
            </w:pPr>
            <w:r w:rsidRPr="00040BBC">
              <w:rPr>
                <w:rFonts w:eastAsia="Calibri"/>
                <w:bCs/>
                <w:kern w:val="36"/>
                <w:szCs w:val="28"/>
              </w:rPr>
              <w:t>Ефективність впровадження інноваційних елементів системи на національному рівні……..…………………..…</w:t>
            </w:r>
          </w:p>
        </w:tc>
        <w:tc>
          <w:tcPr>
            <w:tcW w:w="851" w:type="dxa"/>
          </w:tcPr>
          <w:p w:rsidR="00040BBC" w:rsidRPr="00040BBC" w:rsidRDefault="00040BBC" w:rsidP="00040BBC">
            <w:pPr>
              <w:widowControl w:val="0"/>
              <w:jc w:val="center"/>
              <w:rPr>
                <w:rFonts w:eastAsia="Calibri"/>
                <w:szCs w:val="28"/>
              </w:rPr>
            </w:pPr>
          </w:p>
          <w:p w:rsidR="00040BBC" w:rsidRPr="00040BBC" w:rsidRDefault="002842BC" w:rsidP="00040BBC">
            <w:pPr>
              <w:widowControl w:val="0"/>
              <w:jc w:val="center"/>
              <w:rPr>
                <w:rFonts w:eastAsia="Calibri"/>
                <w:szCs w:val="28"/>
              </w:rPr>
            </w:pPr>
            <w:r>
              <w:rPr>
                <w:rFonts w:eastAsia="Calibri"/>
                <w:szCs w:val="28"/>
              </w:rPr>
              <w:t>287</w:t>
            </w:r>
          </w:p>
        </w:tc>
      </w:tr>
      <w:tr w:rsidR="00040BBC" w:rsidRPr="00040BBC" w:rsidTr="008B1882">
        <w:trPr>
          <w:jc w:val="center"/>
        </w:trPr>
        <w:tc>
          <w:tcPr>
            <w:tcW w:w="1490" w:type="dxa"/>
          </w:tcPr>
          <w:p w:rsidR="00040BBC" w:rsidRPr="00040BBC" w:rsidRDefault="00040BBC" w:rsidP="00040BBC">
            <w:pPr>
              <w:widowControl w:val="0"/>
              <w:rPr>
                <w:rFonts w:eastAsia="Calibri"/>
                <w:bCs/>
                <w:kern w:val="36"/>
                <w:szCs w:val="28"/>
              </w:rPr>
            </w:pPr>
            <w:r w:rsidRPr="00040BBC">
              <w:rPr>
                <w:rFonts w:eastAsia="Calibri"/>
                <w:bCs/>
                <w:kern w:val="36"/>
                <w:szCs w:val="28"/>
              </w:rPr>
              <w:t>8.5</w:t>
            </w:r>
          </w:p>
        </w:tc>
        <w:tc>
          <w:tcPr>
            <w:tcW w:w="7157" w:type="dxa"/>
          </w:tcPr>
          <w:p w:rsidR="00040BBC" w:rsidRPr="00040BBC" w:rsidRDefault="00040BBC" w:rsidP="00040BBC">
            <w:pPr>
              <w:widowControl w:val="0"/>
              <w:ind w:firstLine="34"/>
              <w:rPr>
                <w:rFonts w:eastAsia="Calibri"/>
                <w:bCs/>
                <w:kern w:val="36"/>
                <w:szCs w:val="28"/>
              </w:rPr>
            </w:pPr>
            <w:r w:rsidRPr="00040BBC">
              <w:rPr>
                <w:rFonts w:eastAsia="Calibri"/>
                <w:bCs/>
                <w:kern w:val="36"/>
                <w:szCs w:val="28"/>
              </w:rPr>
              <w:t>Експертна оцінка обґрунтованої інноваційної системи медико-соціальної допомоги дітям до 5 років в Україні…</w:t>
            </w:r>
          </w:p>
        </w:tc>
        <w:tc>
          <w:tcPr>
            <w:tcW w:w="851" w:type="dxa"/>
          </w:tcPr>
          <w:p w:rsidR="00040BBC" w:rsidRPr="00040BBC" w:rsidRDefault="00040BBC" w:rsidP="00040BBC">
            <w:pPr>
              <w:widowControl w:val="0"/>
              <w:jc w:val="center"/>
              <w:rPr>
                <w:rFonts w:eastAsia="Calibri"/>
                <w:szCs w:val="28"/>
              </w:rPr>
            </w:pPr>
          </w:p>
          <w:p w:rsidR="00040BBC" w:rsidRPr="00040BBC" w:rsidRDefault="002842BC" w:rsidP="00040BBC">
            <w:pPr>
              <w:widowControl w:val="0"/>
              <w:jc w:val="center"/>
              <w:rPr>
                <w:rFonts w:eastAsia="Calibri"/>
                <w:szCs w:val="28"/>
              </w:rPr>
            </w:pPr>
            <w:r>
              <w:rPr>
                <w:rFonts w:eastAsia="Calibri"/>
                <w:szCs w:val="28"/>
              </w:rPr>
              <w:t>303</w:t>
            </w:r>
          </w:p>
        </w:tc>
      </w:tr>
      <w:tr w:rsidR="00040BBC" w:rsidRPr="00040BBC" w:rsidTr="008B1882">
        <w:trPr>
          <w:jc w:val="center"/>
        </w:trPr>
        <w:tc>
          <w:tcPr>
            <w:tcW w:w="1490" w:type="dxa"/>
          </w:tcPr>
          <w:p w:rsidR="00040BBC" w:rsidRPr="00040BBC" w:rsidRDefault="00040BBC" w:rsidP="00040BBC">
            <w:pPr>
              <w:widowControl w:val="0"/>
              <w:rPr>
                <w:rFonts w:eastAsia="Calibri"/>
                <w:bCs/>
                <w:kern w:val="36"/>
                <w:szCs w:val="28"/>
              </w:rPr>
            </w:pPr>
          </w:p>
        </w:tc>
        <w:tc>
          <w:tcPr>
            <w:tcW w:w="7157" w:type="dxa"/>
          </w:tcPr>
          <w:p w:rsidR="00040BBC" w:rsidRPr="00040BBC" w:rsidRDefault="00040BBC" w:rsidP="00040BBC">
            <w:pPr>
              <w:widowControl w:val="0"/>
              <w:ind w:firstLine="34"/>
              <w:rPr>
                <w:rFonts w:eastAsia="Calibri"/>
                <w:bCs/>
                <w:kern w:val="36"/>
                <w:szCs w:val="28"/>
              </w:rPr>
            </w:pPr>
            <w:r w:rsidRPr="00040BBC">
              <w:rPr>
                <w:rFonts w:eastAsia="Calibri"/>
                <w:bCs/>
                <w:kern w:val="36"/>
                <w:szCs w:val="28"/>
              </w:rPr>
              <w:t>Висновки до розділу 8……………………………………...</w:t>
            </w:r>
          </w:p>
        </w:tc>
        <w:tc>
          <w:tcPr>
            <w:tcW w:w="851" w:type="dxa"/>
          </w:tcPr>
          <w:p w:rsidR="00040BBC" w:rsidRPr="00040BBC" w:rsidRDefault="002842BC" w:rsidP="00040BBC">
            <w:pPr>
              <w:widowControl w:val="0"/>
              <w:jc w:val="center"/>
              <w:rPr>
                <w:rFonts w:eastAsia="Calibri"/>
                <w:szCs w:val="28"/>
              </w:rPr>
            </w:pPr>
            <w:r>
              <w:rPr>
                <w:rFonts w:eastAsia="Calibri"/>
                <w:szCs w:val="28"/>
              </w:rPr>
              <w:t>305</w:t>
            </w:r>
          </w:p>
        </w:tc>
      </w:tr>
      <w:tr w:rsidR="00040BBC" w:rsidRPr="00040BBC" w:rsidTr="008B1882">
        <w:trPr>
          <w:jc w:val="center"/>
        </w:trPr>
        <w:tc>
          <w:tcPr>
            <w:tcW w:w="1490" w:type="dxa"/>
          </w:tcPr>
          <w:p w:rsidR="00040BBC" w:rsidRPr="00040BBC" w:rsidRDefault="00040BBC" w:rsidP="00040BBC">
            <w:pPr>
              <w:widowControl w:val="0"/>
              <w:rPr>
                <w:rFonts w:eastAsia="Calibri"/>
                <w:bCs/>
                <w:szCs w:val="28"/>
              </w:rPr>
            </w:pPr>
          </w:p>
        </w:tc>
        <w:tc>
          <w:tcPr>
            <w:tcW w:w="7157" w:type="dxa"/>
          </w:tcPr>
          <w:p w:rsidR="00040BBC" w:rsidRPr="00A23A52" w:rsidRDefault="002D45F3" w:rsidP="00040BBC">
            <w:pPr>
              <w:widowControl w:val="0"/>
              <w:rPr>
                <w:rFonts w:eastAsia="Calibri"/>
                <w:bCs/>
                <w:szCs w:val="28"/>
              </w:rPr>
            </w:pPr>
            <w:r w:rsidRPr="00A23A52">
              <w:rPr>
                <w:rFonts w:eastAsia="Calibri"/>
                <w:bCs/>
                <w:szCs w:val="28"/>
              </w:rPr>
              <w:t>ВИСНОВКИ</w:t>
            </w:r>
            <w:r w:rsidR="00040BBC" w:rsidRPr="00A23A52">
              <w:rPr>
                <w:rFonts w:eastAsia="Calibri"/>
                <w:bCs/>
                <w:szCs w:val="28"/>
              </w:rPr>
              <w:t>…………………………………………………</w:t>
            </w:r>
          </w:p>
        </w:tc>
        <w:tc>
          <w:tcPr>
            <w:tcW w:w="851" w:type="dxa"/>
          </w:tcPr>
          <w:p w:rsidR="00040BBC" w:rsidRPr="00040BBC" w:rsidRDefault="002842BC" w:rsidP="00040BBC">
            <w:pPr>
              <w:widowControl w:val="0"/>
              <w:jc w:val="center"/>
              <w:rPr>
                <w:rFonts w:eastAsia="Calibri"/>
                <w:szCs w:val="28"/>
              </w:rPr>
            </w:pPr>
            <w:r>
              <w:rPr>
                <w:rFonts w:eastAsia="Calibri"/>
                <w:szCs w:val="28"/>
              </w:rPr>
              <w:t>309</w:t>
            </w:r>
          </w:p>
        </w:tc>
      </w:tr>
      <w:tr w:rsidR="00420113" w:rsidRPr="00040BBC" w:rsidTr="008B1882">
        <w:trPr>
          <w:jc w:val="center"/>
        </w:trPr>
        <w:tc>
          <w:tcPr>
            <w:tcW w:w="1490" w:type="dxa"/>
          </w:tcPr>
          <w:p w:rsidR="00420113" w:rsidRPr="00040BBC" w:rsidRDefault="00420113" w:rsidP="00040BBC">
            <w:pPr>
              <w:widowControl w:val="0"/>
              <w:rPr>
                <w:rFonts w:eastAsia="Calibri"/>
                <w:bCs/>
                <w:szCs w:val="28"/>
              </w:rPr>
            </w:pPr>
          </w:p>
        </w:tc>
        <w:tc>
          <w:tcPr>
            <w:tcW w:w="7157" w:type="dxa"/>
          </w:tcPr>
          <w:p w:rsidR="00420113" w:rsidRPr="00A23A52" w:rsidRDefault="00420113" w:rsidP="00040BBC">
            <w:pPr>
              <w:widowControl w:val="0"/>
              <w:rPr>
                <w:rFonts w:eastAsia="Calibri"/>
                <w:bCs/>
                <w:szCs w:val="28"/>
              </w:rPr>
            </w:pPr>
            <w:r>
              <w:rPr>
                <w:rFonts w:eastAsia="Calibri"/>
                <w:bCs/>
                <w:szCs w:val="28"/>
              </w:rPr>
              <w:t>ПРАКТИЧНІ РЕКОМЕНДАЦІЇ</w:t>
            </w:r>
            <w:r w:rsidR="00AA2572">
              <w:rPr>
                <w:rFonts w:eastAsia="Calibri"/>
                <w:bCs/>
                <w:szCs w:val="28"/>
              </w:rPr>
              <w:t>…………………………….</w:t>
            </w:r>
          </w:p>
        </w:tc>
        <w:tc>
          <w:tcPr>
            <w:tcW w:w="851" w:type="dxa"/>
          </w:tcPr>
          <w:p w:rsidR="00420113" w:rsidRDefault="00420113" w:rsidP="00040BBC">
            <w:pPr>
              <w:widowControl w:val="0"/>
              <w:jc w:val="center"/>
              <w:rPr>
                <w:rFonts w:eastAsia="Calibri"/>
                <w:szCs w:val="28"/>
              </w:rPr>
            </w:pPr>
            <w:r>
              <w:rPr>
                <w:rFonts w:eastAsia="Calibri"/>
                <w:szCs w:val="28"/>
              </w:rPr>
              <w:t>316</w:t>
            </w:r>
          </w:p>
        </w:tc>
      </w:tr>
      <w:tr w:rsidR="00040BBC" w:rsidRPr="00040BBC" w:rsidTr="008B1882">
        <w:trPr>
          <w:jc w:val="center"/>
        </w:trPr>
        <w:tc>
          <w:tcPr>
            <w:tcW w:w="1490" w:type="dxa"/>
          </w:tcPr>
          <w:p w:rsidR="00040BBC" w:rsidRPr="00040BBC" w:rsidRDefault="00040BBC" w:rsidP="00040BBC">
            <w:pPr>
              <w:widowControl w:val="0"/>
              <w:rPr>
                <w:rFonts w:eastAsia="Calibri"/>
                <w:bCs/>
                <w:szCs w:val="28"/>
              </w:rPr>
            </w:pPr>
          </w:p>
        </w:tc>
        <w:tc>
          <w:tcPr>
            <w:tcW w:w="7157" w:type="dxa"/>
          </w:tcPr>
          <w:p w:rsidR="00040BBC" w:rsidRPr="00A23A52" w:rsidRDefault="00040BBC" w:rsidP="00040BBC">
            <w:pPr>
              <w:widowControl w:val="0"/>
              <w:rPr>
                <w:rFonts w:eastAsia="Calibri"/>
                <w:bCs/>
                <w:szCs w:val="28"/>
              </w:rPr>
            </w:pPr>
            <w:r w:rsidRPr="00A23A52">
              <w:rPr>
                <w:rFonts w:eastAsia="Calibri"/>
                <w:bCs/>
                <w:szCs w:val="28"/>
              </w:rPr>
              <w:t>С</w:t>
            </w:r>
            <w:r w:rsidR="002D45F3" w:rsidRPr="00A23A52">
              <w:rPr>
                <w:rFonts w:eastAsia="Calibri"/>
                <w:bCs/>
                <w:szCs w:val="28"/>
              </w:rPr>
              <w:t>ПИСОК ВИКОРИСТАНИХ ДЖЕРЕЛ ЛІТЕРАТУР</w:t>
            </w:r>
            <w:r w:rsidR="000E71D7" w:rsidRPr="00A23A52">
              <w:rPr>
                <w:rFonts w:eastAsia="Calibri"/>
                <w:bCs/>
                <w:szCs w:val="28"/>
              </w:rPr>
              <w:t>И</w:t>
            </w:r>
            <w:r w:rsidR="002D45F3" w:rsidRPr="00A23A52">
              <w:rPr>
                <w:rFonts w:eastAsia="Calibri"/>
                <w:bCs/>
                <w:szCs w:val="28"/>
              </w:rPr>
              <w:t>…</w:t>
            </w:r>
          </w:p>
        </w:tc>
        <w:tc>
          <w:tcPr>
            <w:tcW w:w="851" w:type="dxa"/>
          </w:tcPr>
          <w:p w:rsidR="00040BBC" w:rsidRPr="00623B6A" w:rsidRDefault="00B9070E" w:rsidP="000E71D7">
            <w:pPr>
              <w:widowControl w:val="0"/>
              <w:jc w:val="center"/>
              <w:rPr>
                <w:rFonts w:eastAsia="Calibri"/>
                <w:szCs w:val="28"/>
                <w:lang w:val="ru-RU"/>
              </w:rPr>
            </w:pPr>
            <w:r w:rsidRPr="00623B6A">
              <w:rPr>
                <w:rFonts w:eastAsia="Calibri"/>
                <w:szCs w:val="28"/>
              </w:rPr>
              <w:t>3</w:t>
            </w:r>
            <w:r w:rsidR="00CE5CE7" w:rsidRPr="00623B6A">
              <w:rPr>
                <w:rFonts w:eastAsia="Calibri"/>
                <w:szCs w:val="28"/>
                <w:lang w:val="ru-RU"/>
              </w:rPr>
              <w:t>19</w:t>
            </w:r>
          </w:p>
        </w:tc>
      </w:tr>
      <w:tr w:rsidR="00040BBC" w:rsidRPr="00040BBC" w:rsidTr="008B1882">
        <w:trPr>
          <w:jc w:val="center"/>
        </w:trPr>
        <w:tc>
          <w:tcPr>
            <w:tcW w:w="1490" w:type="dxa"/>
          </w:tcPr>
          <w:p w:rsidR="00040BBC" w:rsidRPr="00040BBC" w:rsidRDefault="00040BBC" w:rsidP="00040BBC">
            <w:pPr>
              <w:widowControl w:val="0"/>
              <w:rPr>
                <w:rFonts w:eastAsia="Calibri"/>
                <w:bCs/>
                <w:szCs w:val="28"/>
              </w:rPr>
            </w:pPr>
          </w:p>
        </w:tc>
        <w:tc>
          <w:tcPr>
            <w:tcW w:w="7157" w:type="dxa"/>
          </w:tcPr>
          <w:p w:rsidR="00040BBC" w:rsidRPr="00A23A52" w:rsidRDefault="002D45F3" w:rsidP="00040BBC">
            <w:pPr>
              <w:widowControl w:val="0"/>
              <w:rPr>
                <w:rFonts w:eastAsia="Calibri"/>
                <w:bCs/>
                <w:szCs w:val="28"/>
              </w:rPr>
            </w:pPr>
            <w:r w:rsidRPr="00A23A52">
              <w:rPr>
                <w:rFonts w:eastAsia="Calibri"/>
                <w:bCs/>
                <w:szCs w:val="28"/>
              </w:rPr>
              <w:t>ДОДАТКИ…</w:t>
            </w:r>
            <w:r w:rsidR="00040BBC" w:rsidRPr="00A23A52">
              <w:rPr>
                <w:rFonts w:eastAsia="Calibri"/>
                <w:bCs/>
                <w:szCs w:val="28"/>
              </w:rPr>
              <w:t>………………………………………………...</w:t>
            </w:r>
          </w:p>
        </w:tc>
        <w:tc>
          <w:tcPr>
            <w:tcW w:w="851" w:type="dxa"/>
          </w:tcPr>
          <w:p w:rsidR="00040BBC" w:rsidRPr="00623B6A" w:rsidRDefault="00B9070E" w:rsidP="00040BBC">
            <w:pPr>
              <w:widowControl w:val="0"/>
              <w:jc w:val="center"/>
              <w:rPr>
                <w:rFonts w:eastAsia="Calibri"/>
                <w:szCs w:val="28"/>
                <w:lang w:val="ru-RU"/>
              </w:rPr>
            </w:pPr>
            <w:r w:rsidRPr="00623B6A">
              <w:rPr>
                <w:rFonts w:eastAsia="Calibri"/>
                <w:szCs w:val="28"/>
              </w:rPr>
              <w:t>36</w:t>
            </w:r>
            <w:r w:rsidR="00CE5CE7" w:rsidRPr="00623B6A">
              <w:rPr>
                <w:rFonts w:eastAsia="Calibri"/>
                <w:szCs w:val="28"/>
                <w:lang w:val="ru-RU"/>
              </w:rPr>
              <w:t>8</w:t>
            </w:r>
          </w:p>
        </w:tc>
      </w:tr>
    </w:tbl>
    <w:p w:rsidR="00323DA9" w:rsidRPr="00006A39" w:rsidRDefault="00040BBC" w:rsidP="00040BBC">
      <w:pPr>
        <w:widowControl w:val="0"/>
        <w:tabs>
          <w:tab w:val="left" w:pos="1161"/>
          <w:tab w:val="center" w:pos="5386"/>
        </w:tabs>
        <w:autoSpaceDE w:val="0"/>
        <w:autoSpaceDN w:val="0"/>
        <w:adjustRightInd w:val="0"/>
        <w:ind w:firstLine="567"/>
        <w:jc w:val="left"/>
        <w:rPr>
          <w:b/>
          <w:color w:val="FF0000"/>
          <w:szCs w:val="28"/>
        </w:rPr>
      </w:pPr>
      <w:r>
        <w:rPr>
          <w:szCs w:val="28"/>
        </w:rPr>
        <w:tab/>
      </w:r>
      <w:r w:rsidR="00323DA9" w:rsidRPr="00006A39">
        <w:rPr>
          <w:szCs w:val="28"/>
        </w:rPr>
        <w:br w:type="page"/>
      </w:r>
    </w:p>
    <w:p w:rsidR="00323DA9" w:rsidRPr="005D2AA4" w:rsidRDefault="005D2AA4" w:rsidP="008C2554">
      <w:pPr>
        <w:pageBreakBefore/>
        <w:widowControl w:val="0"/>
        <w:tabs>
          <w:tab w:val="left" w:pos="2741"/>
        </w:tabs>
        <w:spacing w:after="200" w:line="276" w:lineRule="auto"/>
        <w:jc w:val="center"/>
        <w:rPr>
          <w:rFonts w:eastAsia="Calibri"/>
          <w:b/>
          <w:szCs w:val="28"/>
          <w:lang w:val="ru-RU"/>
        </w:rPr>
      </w:pPr>
      <w:r>
        <w:rPr>
          <w:rFonts w:eastAsia="Calibri"/>
          <w:b/>
          <w:szCs w:val="28"/>
        </w:rPr>
        <w:lastRenderedPageBreak/>
        <w:t xml:space="preserve">ПЕРЕЛІК УМОВНИХ </w:t>
      </w:r>
      <w:r>
        <w:rPr>
          <w:rFonts w:eastAsia="Calibri"/>
          <w:b/>
          <w:szCs w:val="28"/>
          <w:lang w:val="ru-RU"/>
        </w:rPr>
        <w:t>СКОРОЧЕНЬ</w:t>
      </w:r>
    </w:p>
    <w:tbl>
      <w:tblPr>
        <w:tblW w:w="0" w:type="auto"/>
        <w:jc w:val="center"/>
        <w:tblLook w:val="04A0" w:firstRow="1" w:lastRow="0" w:firstColumn="1" w:lastColumn="0" w:noHBand="0" w:noVBand="1"/>
      </w:tblPr>
      <w:tblGrid>
        <w:gridCol w:w="1528"/>
        <w:gridCol w:w="567"/>
        <w:gridCol w:w="7788"/>
      </w:tblGrid>
      <w:tr w:rsidR="00F37592" w:rsidRPr="00F37592" w:rsidTr="00DE0A54">
        <w:trPr>
          <w:trHeight w:val="309"/>
          <w:jc w:val="center"/>
        </w:trPr>
        <w:tc>
          <w:tcPr>
            <w:tcW w:w="1528" w:type="dxa"/>
          </w:tcPr>
          <w:p w:rsidR="00F37592" w:rsidRPr="00F37592" w:rsidRDefault="00F37592" w:rsidP="00F37592">
            <w:pPr>
              <w:widowControl w:val="0"/>
              <w:tabs>
                <w:tab w:val="left" w:pos="3000"/>
              </w:tabs>
              <w:jc w:val="left"/>
              <w:rPr>
                <w:rFonts w:eastAsia="Times New Roman"/>
                <w:szCs w:val="28"/>
                <w:lang w:eastAsia="ru-RU"/>
              </w:rPr>
            </w:pPr>
            <w:r w:rsidRPr="00F37592">
              <w:rPr>
                <w:rFonts w:eastAsia="Times New Roman"/>
                <w:szCs w:val="28"/>
                <w:lang w:eastAsia="ru-RU"/>
              </w:rPr>
              <w:t>БЛІЛ</w:t>
            </w:r>
          </w:p>
        </w:tc>
        <w:tc>
          <w:tcPr>
            <w:tcW w:w="567" w:type="dxa"/>
          </w:tcPr>
          <w:p w:rsidR="00F37592" w:rsidRPr="00F37592" w:rsidRDefault="00F37592" w:rsidP="00F37592">
            <w:pPr>
              <w:widowControl w:val="0"/>
              <w:tabs>
                <w:tab w:val="left" w:pos="3000"/>
              </w:tabs>
              <w:spacing w:line="240" w:lineRule="auto"/>
              <w:jc w:val="center"/>
              <w:rPr>
                <w:rFonts w:eastAsia="Times New Roman"/>
                <w:szCs w:val="28"/>
                <w:lang w:eastAsia="ru-RU"/>
              </w:rPr>
            </w:pPr>
            <w:r w:rsidRPr="00F37592">
              <w:rPr>
                <w:rFonts w:eastAsia="Times New Roman"/>
                <w:szCs w:val="28"/>
                <w:lang w:eastAsia="ru-RU"/>
              </w:rPr>
              <w:t>–</w:t>
            </w:r>
          </w:p>
        </w:tc>
        <w:tc>
          <w:tcPr>
            <w:tcW w:w="7788" w:type="dxa"/>
          </w:tcPr>
          <w:p w:rsidR="00F37592" w:rsidRPr="00F37592" w:rsidRDefault="00F37592" w:rsidP="00F37592">
            <w:pPr>
              <w:widowControl w:val="0"/>
              <w:tabs>
                <w:tab w:val="left" w:pos="3000"/>
              </w:tabs>
              <w:spacing w:line="240" w:lineRule="auto"/>
              <w:rPr>
                <w:rFonts w:eastAsia="Times New Roman"/>
                <w:szCs w:val="28"/>
                <w:lang w:eastAsia="ru-RU"/>
              </w:rPr>
            </w:pPr>
            <w:r w:rsidRPr="000E71D7">
              <w:rPr>
                <w:rFonts w:eastAsia="Calibri"/>
                <w:color w:val="000000"/>
                <w:szCs w:val="28"/>
                <w:lang w:val="ru-RU"/>
              </w:rPr>
              <w:t xml:space="preserve">багатопрофільна </w:t>
            </w:r>
            <w:proofErr w:type="gramStart"/>
            <w:r w:rsidRPr="000E71D7">
              <w:rPr>
                <w:rFonts w:eastAsia="Calibri"/>
                <w:color w:val="000000"/>
                <w:szCs w:val="28"/>
                <w:lang w:val="ru-RU"/>
              </w:rPr>
              <w:t>л</w:t>
            </w:r>
            <w:proofErr w:type="gramEnd"/>
            <w:r w:rsidRPr="000E71D7">
              <w:rPr>
                <w:rFonts w:eastAsia="Calibri"/>
                <w:color w:val="000000"/>
                <w:szCs w:val="28"/>
                <w:lang w:val="ru-RU"/>
              </w:rPr>
              <w:t>ікарня інтенсивного лікування</w:t>
            </w:r>
          </w:p>
        </w:tc>
      </w:tr>
      <w:tr w:rsidR="00F37592" w:rsidRPr="00F37592" w:rsidTr="00DE0A54">
        <w:trPr>
          <w:trHeight w:val="309"/>
          <w:jc w:val="center"/>
        </w:trPr>
        <w:tc>
          <w:tcPr>
            <w:tcW w:w="1528" w:type="dxa"/>
          </w:tcPr>
          <w:p w:rsidR="00F37592" w:rsidRPr="00F37592" w:rsidRDefault="00F37592" w:rsidP="00F37592">
            <w:pPr>
              <w:widowControl w:val="0"/>
              <w:tabs>
                <w:tab w:val="left" w:pos="3000"/>
              </w:tabs>
              <w:jc w:val="left"/>
              <w:rPr>
                <w:rFonts w:eastAsia="Times New Roman"/>
                <w:szCs w:val="28"/>
                <w:lang w:eastAsia="ru-RU"/>
              </w:rPr>
            </w:pPr>
            <w:r w:rsidRPr="00F37592">
              <w:rPr>
                <w:rFonts w:eastAsia="Times New Roman"/>
                <w:szCs w:val="28"/>
                <w:lang w:eastAsia="ru-RU"/>
              </w:rPr>
              <w:t>ВІТН</w:t>
            </w:r>
          </w:p>
        </w:tc>
        <w:tc>
          <w:tcPr>
            <w:tcW w:w="567" w:type="dxa"/>
          </w:tcPr>
          <w:p w:rsidR="00F37592" w:rsidRPr="00F37592" w:rsidRDefault="00F37592" w:rsidP="00F37592">
            <w:pPr>
              <w:widowControl w:val="0"/>
              <w:tabs>
                <w:tab w:val="left" w:pos="3000"/>
              </w:tabs>
              <w:spacing w:line="240" w:lineRule="auto"/>
              <w:jc w:val="center"/>
              <w:rPr>
                <w:rFonts w:eastAsia="Times New Roman"/>
                <w:szCs w:val="28"/>
                <w:lang w:eastAsia="ru-RU"/>
              </w:rPr>
            </w:pPr>
            <w:r w:rsidRPr="00F37592">
              <w:rPr>
                <w:rFonts w:eastAsia="Times New Roman"/>
                <w:szCs w:val="28"/>
                <w:lang w:eastAsia="ru-RU"/>
              </w:rPr>
              <w:t>–</w:t>
            </w:r>
          </w:p>
        </w:tc>
        <w:tc>
          <w:tcPr>
            <w:tcW w:w="7788" w:type="dxa"/>
          </w:tcPr>
          <w:p w:rsidR="00F37592" w:rsidRPr="00F37592" w:rsidRDefault="00F37592" w:rsidP="00F37592">
            <w:pPr>
              <w:widowControl w:val="0"/>
              <w:tabs>
                <w:tab w:val="left" w:pos="3000"/>
              </w:tabs>
              <w:spacing w:line="240" w:lineRule="auto"/>
              <w:rPr>
                <w:rFonts w:eastAsia="Times New Roman"/>
                <w:szCs w:val="28"/>
                <w:lang w:eastAsia="ru-RU"/>
              </w:rPr>
            </w:pPr>
            <w:r w:rsidRPr="00F37592">
              <w:rPr>
                <w:rFonts w:eastAsia="Times New Roman"/>
                <w:szCs w:val="28"/>
                <w:lang w:eastAsia="ru-RU"/>
              </w:rPr>
              <w:t>відділення інтенсивної терапії новонароджених</w:t>
            </w:r>
          </w:p>
        </w:tc>
      </w:tr>
      <w:tr w:rsidR="00F37592" w:rsidRPr="00F37592" w:rsidTr="00DE0A54">
        <w:trPr>
          <w:trHeight w:val="309"/>
          <w:jc w:val="center"/>
        </w:trPr>
        <w:tc>
          <w:tcPr>
            <w:tcW w:w="1528" w:type="dxa"/>
            <w:hideMark/>
          </w:tcPr>
          <w:p w:rsidR="00F37592" w:rsidRPr="00F37592" w:rsidRDefault="00F37592" w:rsidP="00F37592">
            <w:pPr>
              <w:widowControl w:val="0"/>
              <w:tabs>
                <w:tab w:val="left" w:pos="3000"/>
              </w:tabs>
              <w:jc w:val="left"/>
              <w:rPr>
                <w:rFonts w:eastAsia="Times New Roman"/>
                <w:b/>
                <w:szCs w:val="28"/>
                <w:lang w:eastAsia="ru-RU"/>
              </w:rPr>
            </w:pPr>
            <w:r w:rsidRPr="00F37592">
              <w:rPr>
                <w:rFonts w:eastAsia="Times New Roman"/>
                <w:szCs w:val="28"/>
                <w:lang w:eastAsia="ru-RU"/>
              </w:rPr>
              <w:t>ВНЗ</w:t>
            </w:r>
          </w:p>
        </w:tc>
        <w:tc>
          <w:tcPr>
            <w:tcW w:w="567" w:type="dxa"/>
            <w:hideMark/>
          </w:tcPr>
          <w:p w:rsidR="00F37592" w:rsidRPr="00F37592" w:rsidRDefault="00F37592" w:rsidP="00F37592">
            <w:pPr>
              <w:widowControl w:val="0"/>
              <w:tabs>
                <w:tab w:val="left" w:pos="3000"/>
              </w:tabs>
              <w:spacing w:line="240" w:lineRule="auto"/>
              <w:jc w:val="center"/>
              <w:rPr>
                <w:rFonts w:eastAsia="Times New Roman"/>
                <w:szCs w:val="28"/>
                <w:lang w:eastAsia="ru-RU"/>
              </w:rPr>
            </w:pPr>
            <w:r w:rsidRPr="00F37592">
              <w:rPr>
                <w:rFonts w:eastAsia="Times New Roman"/>
                <w:szCs w:val="28"/>
                <w:lang w:eastAsia="ru-RU"/>
              </w:rPr>
              <w:t>–</w:t>
            </w:r>
          </w:p>
        </w:tc>
        <w:tc>
          <w:tcPr>
            <w:tcW w:w="7788" w:type="dxa"/>
            <w:hideMark/>
          </w:tcPr>
          <w:p w:rsidR="00F37592" w:rsidRPr="00F37592" w:rsidRDefault="00F37592" w:rsidP="00F37592">
            <w:pPr>
              <w:widowControl w:val="0"/>
              <w:tabs>
                <w:tab w:val="left" w:pos="3000"/>
              </w:tabs>
              <w:spacing w:line="240" w:lineRule="auto"/>
              <w:rPr>
                <w:rFonts w:eastAsia="Times New Roman"/>
                <w:szCs w:val="28"/>
                <w:lang w:eastAsia="ru-RU"/>
              </w:rPr>
            </w:pPr>
            <w:r w:rsidRPr="00F37592">
              <w:rPr>
                <w:rFonts w:eastAsia="Times New Roman"/>
                <w:szCs w:val="28"/>
                <w:lang w:eastAsia="ru-RU"/>
              </w:rPr>
              <w:t>вищі навчальні заклади</w:t>
            </w:r>
          </w:p>
        </w:tc>
      </w:tr>
      <w:tr w:rsidR="00F37592" w:rsidRPr="00F37592" w:rsidTr="00DE0A54">
        <w:trPr>
          <w:trHeight w:val="309"/>
          <w:jc w:val="center"/>
        </w:trPr>
        <w:tc>
          <w:tcPr>
            <w:tcW w:w="1528" w:type="dxa"/>
          </w:tcPr>
          <w:p w:rsidR="00F37592" w:rsidRPr="00F37592" w:rsidRDefault="00F37592" w:rsidP="00F37592">
            <w:pPr>
              <w:widowControl w:val="0"/>
              <w:tabs>
                <w:tab w:val="left" w:pos="3000"/>
              </w:tabs>
              <w:jc w:val="left"/>
              <w:rPr>
                <w:rFonts w:eastAsia="Times New Roman"/>
                <w:szCs w:val="28"/>
                <w:lang w:eastAsia="ru-RU"/>
              </w:rPr>
            </w:pPr>
            <w:r w:rsidRPr="00F37592">
              <w:rPr>
                <w:rFonts w:eastAsia="Times New Roman"/>
                <w:szCs w:val="28"/>
                <w:lang w:eastAsia="ru-RU"/>
              </w:rPr>
              <w:t xml:space="preserve">ВООЗ </w:t>
            </w:r>
          </w:p>
        </w:tc>
        <w:tc>
          <w:tcPr>
            <w:tcW w:w="567" w:type="dxa"/>
          </w:tcPr>
          <w:p w:rsidR="00F37592" w:rsidRPr="00F37592" w:rsidRDefault="00F37592" w:rsidP="00F37592">
            <w:pPr>
              <w:widowControl w:val="0"/>
              <w:tabs>
                <w:tab w:val="left" w:pos="3000"/>
              </w:tabs>
              <w:spacing w:line="240" w:lineRule="auto"/>
              <w:jc w:val="center"/>
              <w:rPr>
                <w:rFonts w:eastAsia="Times New Roman"/>
                <w:szCs w:val="28"/>
                <w:lang w:eastAsia="ru-RU"/>
              </w:rPr>
            </w:pPr>
            <w:r w:rsidRPr="00F37592">
              <w:rPr>
                <w:rFonts w:eastAsia="Times New Roman"/>
                <w:szCs w:val="28"/>
                <w:lang w:eastAsia="ru-RU"/>
              </w:rPr>
              <w:t>–</w:t>
            </w:r>
          </w:p>
        </w:tc>
        <w:tc>
          <w:tcPr>
            <w:tcW w:w="7788" w:type="dxa"/>
          </w:tcPr>
          <w:p w:rsidR="00F37592" w:rsidRPr="00F37592" w:rsidRDefault="00F37592" w:rsidP="00F37592">
            <w:pPr>
              <w:widowControl w:val="0"/>
              <w:tabs>
                <w:tab w:val="left" w:pos="3000"/>
              </w:tabs>
              <w:spacing w:line="240" w:lineRule="auto"/>
              <w:rPr>
                <w:rFonts w:eastAsia="Times New Roman"/>
                <w:szCs w:val="28"/>
                <w:lang w:eastAsia="ru-RU"/>
              </w:rPr>
            </w:pPr>
            <w:r w:rsidRPr="00F37592">
              <w:rPr>
                <w:rFonts w:eastAsia="Times New Roman"/>
                <w:szCs w:val="28"/>
                <w:lang w:eastAsia="ru-RU"/>
              </w:rPr>
              <w:t>Всесвітня організація охорони здоров’я</w:t>
            </w:r>
          </w:p>
        </w:tc>
      </w:tr>
      <w:tr w:rsidR="00F37592" w:rsidRPr="00F37592" w:rsidTr="00DE0A54">
        <w:trPr>
          <w:trHeight w:val="309"/>
          <w:jc w:val="center"/>
        </w:trPr>
        <w:tc>
          <w:tcPr>
            <w:tcW w:w="1528" w:type="dxa"/>
          </w:tcPr>
          <w:p w:rsidR="00F37592" w:rsidRPr="00F37592" w:rsidRDefault="00F37592" w:rsidP="00F37592">
            <w:pPr>
              <w:widowControl w:val="0"/>
              <w:tabs>
                <w:tab w:val="left" w:pos="3000"/>
              </w:tabs>
              <w:jc w:val="left"/>
              <w:rPr>
                <w:rFonts w:eastAsia="Times New Roman"/>
                <w:szCs w:val="28"/>
                <w:lang w:eastAsia="ru-RU"/>
              </w:rPr>
            </w:pPr>
            <w:r w:rsidRPr="00F37592">
              <w:rPr>
                <w:rFonts w:eastAsia="Times New Roman"/>
                <w:szCs w:val="28"/>
                <w:lang w:eastAsia="ru-RU"/>
              </w:rPr>
              <w:t>ВШ</w:t>
            </w:r>
          </w:p>
        </w:tc>
        <w:tc>
          <w:tcPr>
            <w:tcW w:w="567" w:type="dxa"/>
          </w:tcPr>
          <w:p w:rsidR="00F37592" w:rsidRPr="00F37592" w:rsidRDefault="00F37592" w:rsidP="00F37592">
            <w:pPr>
              <w:widowControl w:val="0"/>
              <w:tabs>
                <w:tab w:val="left" w:pos="3000"/>
              </w:tabs>
              <w:spacing w:line="240" w:lineRule="auto"/>
              <w:jc w:val="center"/>
              <w:rPr>
                <w:rFonts w:eastAsia="Times New Roman"/>
                <w:szCs w:val="28"/>
                <w:lang w:eastAsia="ru-RU"/>
              </w:rPr>
            </w:pPr>
            <w:r w:rsidRPr="00F37592">
              <w:rPr>
                <w:rFonts w:eastAsia="Times New Roman"/>
                <w:szCs w:val="28"/>
                <w:lang w:eastAsia="ru-RU"/>
              </w:rPr>
              <w:t>–</w:t>
            </w:r>
          </w:p>
        </w:tc>
        <w:tc>
          <w:tcPr>
            <w:tcW w:w="7788" w:type="dxa"/>
          </w:tcPr>
          <w:p w:rsidR="00F37592" w:rsidRPr="00F37592" w:rsidRDefault="00F37592" w:rsidP="00F37592">
            <w:pPr>
              <w:widowControl w:val="0"/>
              <w:tabs>
                <w:tab w:val="left" w:pos="3000"/>
              </w:tabs>
              <w:spacing w:line="240" w:lineRule="auto"/>
              <w:rPr>
                <w:rFonts w:eastAsia="Times New Roman"/>
                <w:szCs w:val="28"/>
                <w:lang w:eastAsia="ru-RU"/>
              </w:rPr>
            </w:pPr>
            <w:r w:rsidRPr="00F37592">
              <w:rPr>
                <w:rFonts w:eastAsia="Times New Roman"/>
                <w:szCs w:val="28"/>
                <w:lang w:eastAsia="ru-RU"/>
              </w:rPr>
              <w:t>відношення шансів</w:t>
            </w:r>
          </w:p>
        </w:tc>
      </w:tr>
      <w:tr w:rsidR="00F37592" w:rsidRPr="00F37592" w:rsidTr="00DE0A54">
        <w:trPr>
          <w:trHeight w:val="309"/>
          <w:jc w:val="center"/>
        </w:trPr>
        <w:tc>
          <w:tcPr>
            <w:tcW w:w="1528" w:type="dxa"/>
          </w:tcPr>
          <w:p w:rsidR="00F37592" w:rsidRPr="00F37592" w:rsidRDefault="00F37592" w:rsidP="00F37592">
            <w:pPr>
              <w:widowControl w:val="0"/>
              <w:tabs>
                <w:tab w:val="left" w:pos="3000"/>
              </w:tabs>
              <w:jc w:val="left"/>
              <w:rPr>
                <w:rFonts w:eastAsia="Times New Roman"/>
                <w:szCs w:val="28"/>
                <w:lang w:eastAsia="ru-RU"/>
              </w:rPr>
            </w:pPr>
            <w:r w:rsidRPr="00F37592">
              <w:rPr>
                <w:rFonts w:eastAsia="Times New Roman"/>
                <w:szCs w:val="28"/>
                <w:lang w:eastAsia="ru-RU"/>
              </w:rPr>
              <w:t>ДЕЦ</w:t>
            </w:r>
          </w:p>
        </w:tc>
        <w:tc>
          <w:tcPr>
            <w:tcW w:w="567" w:type="dxa"/>
          </w:tcPr>
          <w:p w:rsidR="00F37592" w:rsidRPr="00F37592" w:rsidRDefault="00F37592" w:rsidP="00F37592">
            <w:pPr>
              <w:widowControl w:val="0"/>
              <w:tabs>
                <w:tab w:val="left" w:pos="3000"/>
              </w:tabs>
              <w:spacing w:line="240" w:lineRule="auto"/>
              <w:jc w:val="center"/>
              <w:rPr>
                <w:rFonts w:eastAsia="Times New Roman"/>
                <w:szCs w:val="28"/>
                <w:lang w:eastAsia="ru-RU"/>
              </w:rPr>
            </w:pPr>
            <w:r w:rsidRPr="00F37592">
              <w:rPr>
                <w:rFonts w:eastAsia="Times New Roman"/>
                <w:szCs w:val="28"/>
                <w:lang w:eastAsia="ru-RU"/>
              </w:rPr>
              <w:t>–</w:t>
            </w:r>
          </w:p>
        </w:tc>
        <w:tc>
          <w:tcPr>
            <w:tcW w:w="7788" w:type="dxa"/>
          </w:tcPr>
          <w:p w:rsidR="00F37592" w:rsidRPr="00F37592" w:rsidRDefault="00E12F95" w:rsidP="00F37592">
            <w:pPr>
              <w:widowControl w:val="0"/>
              <w:tabs>
                <w:tab w:val="left" w:pos="3000"/>
              </w:tabs>
              <w:spacing w:line="240" w:lineRule="auto"/>
              <w:rPr>
                <w:rFonts w:eastAsia="Times New Roman"/>
                <w:szCs w:val="28"/>
                <w:lang w:eastAsia="ru-RU"/>
              </w:rPr>
            </w:pPr>
            <w:r>
              <w:rPr>
                <w:rFonts w:eastAsia="Times New Roman"/>
                <w:szCs w:val="28"/>
                <w:lang w:eastAsia="ru-RU"/>
              </w:rPr>
              <w:t>д</w:t>
            </w:r>
            <w:r w:rsidR="00F37592" w:rsidRPr="00F37592">
              <w:rPr>
                <w:rFonts w:eastAsia="Times New Roman"/>
                <w:szCs w:val="28"/>
                <w:lang w:eastAsia="ru-RU"/>
              </w:rPr>
              <w:t>ержавний експертний центр</w:t>
            </w:r>
          </w:p>
        </w:tc>
      </w:tr>
      <w:tr w:rsidR="00E12F95" w:rsidRPr="00F37592" w:rsidTr="00DE0A54">
        <w:trPr>
          <w:trHeight w:val="309"/>
          <w:jc w:val="center"/>
        </w:trPr>
        <w:tc>
          <w:tcPr>
            <w:tcW w:w="1528" w:type="dxa"/>
          </w:tcPr>
          <w:p w:rsidR="00E12F95" w:rsidRPr="00F37592" w:rsidRDefault="00E12F95" w:rsidP="00F37592">
            <w:pPr>
              <w:widowControl w:val="0"/>
              <w:tabs>
                <w:tab w:val="left" w:pos="3000"/>
              </w:tabs>
              <w:jc w:val="left"/>
              <w:rPr>
                <w:rFonts w:eastAsia="Times New Roman"/>
                <w:szCs w:val="28"/>
                <w:lang w:eastAsia="ru-RU"/>
              </w:rPr>
            </w:pPr>
            <w:r>
              <w:rPr>
                <w:rFonts w:eastAsia="Times New Roman"/>
                <w:szCs w:val="28"/>
                <w:lang w:eastAsia="ru-RU"/>
              </w:rPr>
              <w:t>ДЗ</w:t>
            </w:r>
          </w:p>
        </w:tc>
        <w:tc>
          <w:tcPr>
            <w:tcW w:w="567" w:type="dxa"/>
          </w:tcPr>
          <w:p w:rsidR="00E12F95" w:rsidRPr="00F37592" w:rsidRDefault="00E12F95" w:rsidP="00F37592">
            <w:pPr>
              <w:widowControl w:val="0"/>
              <w:tabs>
                <w:tab w:val="left" w:pos="3000"/>
              </w:tabs>
              <w:spacing w:line="240" w:lineRule="auto"/>
              <w:jc w:val="center"/>
              <w:rPr>
                <w:rFonts w:eastAsia="Times New Roman"/>
                <w:szCs w:val="28"/>
                <w:lang w:eastAsia="ru-RU"/>
              </w:rPr>
            </w:pPr>
            <w:r w:rsidRPr="00E12F95">
              <w:rPr>
                <w:rFonts w:eastAsia="Times New Roman"/>
                <w:szCs w:val="28"/>
                <w:lang w:eastAsia="ru-RU"/>
              </w:rPr>
              <w:t>–</w:t>
            </w:r>
          </w:p>
        </w:tc>
        <w:tc>
          <w:tcPr>
            <w:tcW w:w="7788" w:type="dxa"/>
          </w:tcPr>
          <w:p w:rsidR="00E12F95" w:rsidRPr="00F37592" w:rsidRDefault="00E12F95" w:rsidP="00F37592">
            <w:pPr>
              <w:widowControl w:val="0"/>
              <w:tabs>
                <w:tab w:val="left" w:pos="3000"/>
              </w:tabs>
              <w:spacing w:line="240" w:lineRule="auto"/>
              <w:rPr>
                <w:rFonts w:eastAsia="Times New Roman"/>
                <w:szCs w:val="28"/>
                <w:lang w:eastAsia="ru-RU"/>
              </w:rPr>
            </w:pPr>
            <w:r>
              <w:rPr>
                <w:rFonts w:eastAsia="Times New Roman"/>
                <w:szCs w:val="28"/>
                <w:lang w:eastAsia="ru-RU"/>
              </w:rPr>
              <w:t>державний заклад</w:t>
            </w:r>
          </w:p>
        </w:tc>
      </w:tr>
      <w:tr w:rsidR="00F37592" w:rsidRPr="00F37592" w:rsidTr="00DE0A54">
        <w:trPr>
          <w:trHeight w:val="309"/>
          <w:jc w:val="center"/>
        </w:trPr>
        <w:tc>
          <w:tcPr>
            <w:tcW w:w="1528" w:type="dxa"/>
            <w:hideMark/>
          </w:tcPr>
          <w:p w:rsidR="00F37592" w:rsidRPr="00F37592" w:rsidRDefault="00F37592" w:rsidP="00F37592">
            <w:pPr>
              <w:widowControl w:val="0"/>
              <w:tabs>
                <w:tab w:val="left" w:pos="3000"/>
              </w:tabs>
              <w:jc w:val="left"/>
              <w:rPr>
                <w:rFonts w:eastAsia="Times New Roman"/>
                <w:szCs w:val="28"/>
                <w:lang w:eastAsia="ru-RU"/>
              </w:rPr>
            </w:pPr>
            <w:r w:rsidRPr="00F37592">
              <w:rPr>
                <w:rFonts w:eastAsia="Times New Roman"/>
                <w:szCs w:val="28"/>
                <w:lang w:eastAsia="ru-RU"/>
              </w:rPr>
              <w:t>ДІ</w:t>
            </w:r>
          </w:p>
        </w:tc>
        <w:tc>
          <w:tcPr>
            <w:tcW w:w="567" w:type="dxa"/>
            <w:hideMark/>
          </w:tcPr>
          <w:p w:rsidR="00F37592" w:rsidRPr="00F37592" w:rsidRDefault="00F37592" w:rsidP="00F37592">
            <w:pPr>
              <w:widowControl w:val="0"/>
              <w:tabs>
                <w:tab w:val="left" w:pos="3000"/>
              </w:tabs>
              <w:spacing w:line="240" w:lineRule="auto"/>
              <w:jc w:val="center"/>
              <w:rPr>
                <w:rFonts w:eastAsia="Times New Roman"/>
                <w:szCs w:val="28"/>
                <w:lang w:eastAsia="ru-RU"/>
              </w:rPr>
            </w:pPr>
            <w:r w:rsidRPr="00F37592">
              <w:rPr>
                <w:rFonts w:eastAsia="Times New Roman"/>
                <w:szCs w:val="28"/>
                <w:lang w:eastAsia="ru-RU"/>
              </w:rPr>
              <w:t>–</w:t>
            </w:r>
          </w:p>
        </w:tc>
        <w:tc>
          <w:tcPr>
            <w:tcW w:w="7788" w:type="dxa"/>
            <w:hideMark/>
          </w:tcPr>
          <w:p w:rsidR="00F37592" w:rsidRPr="00F37592" w:rsidRDefault="00F37592" w:rsidP="00F37592">
            <w:pPr>
              <w:widowControl w:val="0"/>
              <w:tabs>
                <w:tab w:val="left" w:pos="3000"/>
              </w:tabs>
              <w:spacing w:line="240" w:lineRule="auto"/>
              <w:rPr>
                <w:rFonts w:eastAsia="Times New Roman"/>
                <w:szCs w:val="28"/>
                <w:lang w:eastAsia="ru-RU"/>
              </w:rPr>
            </w:pPr>
            <w:r w:rsidRPr="00F37592">
              <w:rPr>
                <w:rFonts w:eastAsia="Times New Roman"/>
                <w:szCs w:val="28"/>
                <w:lang w:eastAsia="ru-RU"/>
              </w:rPr>
              <w:t xml:space="preserve">довірчий інтервал </w:t>
            </w:r>
          </w:p>
        </w:tc>
      </w:tr>
      <w:tr w:rsidR="00F37592" w:rsidRPr="00F37592" w:rsidTr="00DE0A54">
        <w:trPr>
          <w:trHeight w:val="309"/>
          <w:jc w:val="center"/>
        </w:trPr>
        <w:tc>
          <w:tcPr>
            <w:tcW w:w="1528" w:type="dxa"/>
          </w:tcPr>
          <w:p w:rsidR="00F37592" w:rsidRPr="00F37592" w:rsidRDefault="00F37592" w:rsidP="00F37592">
            <w:pPr>
              <w:widowControl w:val="0"/>
              <w:tabs>
                <w:tab w:val="left" w:pos="3000"/>
              </w:tabs>
              <w:jc w:val="left"/>
              <w:rPr>
                <w:rFonts w:eastAsia="Times New Roman"/>
                <w:szCs w:val="28"/>
                <w:lang w:eastAsia="ru-RU"/>
              </w:rPr>
            </w:pPr>
            <w:r w:rsidRPr="00F37592">
              <w:rPr>
                <w:rFonts w:eastAsia="Times New Roman"/>
                <w:szCs w:val="28"/>
                <w:lang w:eastAsia="ru-RU"/>
              </w:rPr>
              <w:t>ДЛ</w:t>
            </w:r>
          </w:p>
        </w:tc>
        <w:tc>
          <w:tcPr>
            <w:tcW w:w="567" w:type="dxa"/>
          </w:tcPr>
          <w:p w:rsidR="00F37592" w:rsidRPr="00F37592" w:rsidRDefault="00F37592" w:rsidP="00F37592">
            <w:pPr>
              <w:widowControl w:val="0"/>
              <w:tabs>
                <w:tab w:val="left" w:pos="3000"/>
              </w:tabs>
              <w:spacing w:line="240" w:lineRule="auto"/>
              <w:jc w:val="center"/>
              <w:rPr>
                <w:rFonts w:eastAsia="Times New Roman"/>
                <w:szCs w:val="28"/>
                <w:lang w:eastAsia="ru-RU"/>
              </w:rPr>
            </w:pPr>
            <w:r w:rsidRPr="00F37592">
              <w:rPr>
                <w:rFonts w:eastAsia="Times New Roman"/>
                <w:szCs w:val="28"/>
                <w:lang w:eastAsia="ru-RU"/>
              </w:rPr>
              <w:t>–</w:t>
            </w:r>
          </w:p>
        </w:tc>
        <w:tc>
          <w:tcPr>
            <w:tcW w:w="7788" w:type="dxa"/>
          </w:tcPr>
          <w:p w:rsidR="00F37592" w:rsidRPr="00F37592" w:rsidRDefault="00F37592" w:rsidP="00F37592">
            <w:pPr>
              <w:widowControl w:val="0"/>
              <w:tabs>
                <w:tab w:val="left" w:pos="3000"/>
              </w:tabs>
              <w:spacing w:line="240" w:lineRule="auto"/>
              <w:rPr>
                <w:rFonts w:eastAsia="Times New Roman"/>
                <w:szCs w:val="28"/>
                <w:lang w:eastAsia="ru-RU"/>
              </w:rPr>
            </w:pPr>
            <w:r w:rsidRPr="00F37592">
              <w:rPr>
                <w:rFonts w:eastAsia="Times New Roman"/>
                <w:szCs w:val="28"/>
                <w:lang w:eastAsia="ru-RU"/>
              </w:rPr>
              <w:t>дитяча лікарня</w:t>
            </w:r>
          </w:p>
        </w:tc>
      </w:tr>
      <w:tr w:rsidR="00F37592" w:rsidRPr="00F37592" w:rsidTr="00DE0A54">
        <w:trPr>
          <w:trHeight w:val="309"/>
          <w:jc w:val="center"/>
        </w:trPr>
        <w:tc>
          <w:tcPr>
            <w:tcW w:w="1528" w:type="dxa"/>
          </w:tcPr>
          <w:p w:rsidR="00F37592" w:rsidRPr="00F37592" w:rsidRDefault="00F37592" w:rsidP="00F37592">
            <w:pPr>
              <w:widowControl w:val="0"/>
              <w:tabs>
                <w:tab w:val="left" w:pos="3000"/>
              </w:tabs>
              <w:jc w:val="left"/>
              <w:rPr>
                <w:rFonts w:eastAsia="Times New Roman"/>
                <w:szCs w:val="28"/>
                <w:lang w:eastAsia="ru-RU"/>
              </w:rPr>
            </w:pPr>
            <w:r w:rsidRPr="00F37592">
              <w:rPr>
                <w:rFonts w:eastAsia="Times New Roman"/>
                <w:szCs w:val="28"/>
                <w:lang w:eastAsia="ru-RU"/>
              </w:rPr>
              <w:t>ЕСОЗ</w:t>
            </w:r>
          </w:p>
        </w:tc>
        <w:tc>
          <w:tcPr>
            <w:tcW w:w="567" w:type="dxa"/>
          </w:tcPr>
          <w:p w:rsidR="00F37592" w:rsidRPr="00F37592" w:rsidRDefault="00F37592" w:rsidP="00F37592">
            <w:pPr>
              <w:widowControl w:val="0"/>
              <w:tabs>
                <w:tab w:val="left" w:pos="3000"/>
              </w:tabs>
              <w:spacing w:line="240" w:lineRule="auto"/>
              <w:jc w:val="center"/>
              <w:rPr>
                <w:rFonts w:eastAsia="Times New Roman"/>
                <w:szCs w:val="28"/>
                <w:lang w:eastAsia="ru-RU"/>
              </w:rPr>
            </w:pPr>
            <w:r w:rsidRPr="00F37592">
              <w:rPr>
                <w:rFonts w:eastAsia="Times New Roman"/>
                <w:szCs w:val="28"/>
                <w:lang w:eastAsia="ru-RU"/>
              </w:rPr>
              <w:t>–</w:t>
            </w:r>
          </w:p>
        </w:tc>
        <w:tc>
          <w:tcPr>
            <w:tcW w:w="7788" w:type="dxa"/>
          </w:tcPr>
          <w:p w:rsidR="00F37592" w:rsidRPr="00F37592" w:rsidRDefault="00F37592" w:rsidP="00F37592">
            <w:pPr>
              <w:widowControl w:val="0"/>
              <w:tabs>
                <w:tab w:val="left" w:pos="3000"/>
              </w:tabs>
              <w:spacing w:line="240" w:lineRule="auto"/>
              <w:rPr>
                <w:rFonts w:eastAsia="Times New Roman"/>
                <w:szCs w:val="28"/>
                <w:lang w:eastAsia="ru-RU"/>
              </w:rPr>
            </w:pPr>
            <w:r w:rsidRPr="00F37592">
              <w:rPr>
                <w:rFonts w:eastAsia="Times New Roman"/>
                <w:szCs w:val="28"/>
                <w:lang w:eastAsia="ru-RU"/>
              </w:rPr>
              <w:t>електрона система охорони здоров’я</w:t>
            </w:r>
          </w:p>
        </w:tc>
      </w:tr>
      <w:tr w:rsidR="00F37592" w:rsidRPr="00F37592" w:rsidTr="00DE0A54">
        <w:trPr>
          <w:trHeight w:val="309"/>
          <w:jc w:val="center"/>
        </w:trPr>
        <w:tc>
          <w:tcPr>
            <w:tcW w:w="1528" w:type="dxa"/>
          </w:tcPr>
          <w:p w:rsidR="00F37592" w:rsidRPr="00F37592" w:rsidRDefault="00F37592" w:rsidP="00F37592">
            <w:pPr>
              <w:widowControl w:val="0"/>
              <w:tabs>
                <w:tab w:val="left" w:pos="3000"/>
              </w:tabs>
              <w:jc w:val="left"/>
              <w:rPr>
                <w:rFonts w:eastAsia="Times New Roman"/>
                <w:szCs w:val="28"/>
                <w:lang w:eastAsia="ru-RU"/>
              </w:rPr>
            </w:pPr>
            <w:r w:rsidRPr="00F37592">
              <w:rPr>
                <w:rFonts w:eastAsia="Calibri"/>
                <w:color w:val="000000"/>
                <w:szCs w:val="28"/>
                <w:lang w:val="en-US"/>
              </w:rPr>
              <w:t>ЄРБ ВООЗ</w:t>
            </w:r>
          </w:p>
        </w:tc>
        <w:tc>
          <w:tcPr>
            <w:tcW w:w="567" w:type="dxa"/>
          </w:tcPr>
          <w:p w:rsidR="00F37592" w:rsidRPr="00F37592" w:rsidRDefault="00F37592" w:rsidP="00F37592">
            <w:pPr>
              <w:widowControl w:val="0"/>
              <w:tabs>
                <w:tab w:val="left" w:pos="3000"/>
              </w:tabs>
              <w:spacing w:line="240" w:lineRule="auto"/>
              <w:jc w:val="left"/>
              <w:rPr>
                <w:rFonts w:eastAsia="Times New Roman"/>
                <w:szCs w:val="28"/>
                <w:lang w:eastAsia="ru-RU"/>
              </w:rPr>
            </w:pPr>
            <w:r w:rsidRPr="00F37592">
              <w:rPr>
                <w:rFonts w:eastAsia="Times New Roman"/>
                <w:szCs w:val="28"/>
                <w:lang w:eastAsia="ru-RU"/>
              </w:rPr>
              <w:t xml:space="preserve"> –</w:t>
            </w:r>
          </w:p>
        </w:tc>
        <w:tc>
          <w:tcPr>
            <w:tcW w:w="7788" w:type="dxa"/>
          </w:tcPr>
          <w:p w:rsidR="00F37592" w:rsidRPr="00F37592" w:rsidRDefault="00F37592" w:rsidP="00F37592">
            <w:pPr>
              <w:widowControl w:val="0"/>
              <w:tabs>
                <w:tab w:val="left" w:pos="3000"/>
              </w:tabs>
              <w:rPr>
                <w:rFonts w:eastAsia="Times New Roman"/>
                <w:szCs w:val="28"/>
                <w:lang w:val="ru-RU" w:eastAsia="ru-RU"/>
              </w:rPr>
            </w:pPr>
            <w:r w:rsidRPr="00F37592">
              <w:rPr>
                <w:rFonts w:eastAsia="Calibri"/>
                <w:color w:val="000000"/>
                <w:szCs w:val="28"/>
                <w:lang w:val="ru-RU"/>
              </w:rPr>
              <w:t>Європейське регіональне бюро Всесвітньої організації охорони здоров’я</w:t>
            </w:r>
          </w:p>
        </w:tc>
      </w:tr>
      <w:tr w:rsidR="00F37592" w:rsidRPr="00F37592" w:rsidTr="00DE0A54">
        <w:trPr>
          <w:trHeight w:val="309"/>
          <w:jc w:val="center"/>
        </w:trPr>
        <w:tc>
          <w:tcPr>
            <w:tcW w:w="1528" w:type="dxa"/>
          </w:tcPr>
          <w:p w:rsidR="00F37592" w:rsidRPr="00F37592" w:rsidRDefault="00F37592" w:rsidP="00F37592">
            <w:pPr>
              <w:widowControl w:val="0"/>
              <w:tabs>
                <w:tab w:val="left" w:pos="3000"/>
              </w:tabs>
              <w:jc w:val="left"/>
              <w:rPr>
                <w:rFonts w:eastAsia="Times New Roman"/>
                <w:szCs w:val="28"/>
                <w:lang w:eastAsia="ru-RU"/>
              </w:rPr>
            </w:pPr>
            <w:r w:rsidRPr="00F37592">
              <w:rPr>
                <w:rFonts w:eastAsia="Times New Roman"/>
                <w:szCs w:val="28"/>
                <w:lang w:eastAsia="ru-RU"/>
              </w:rPr>
              <w:t>ЄС</w:t>
            </w:r>
          </w:p>
        </w:tc>
        <w:tc>
          <w:tcPr>
            <w:tcW w:w="567" w:type="dxa"/>
          </w:tcPr>
          <w:p w:rsidR="00F37592" w:rsidRPr="00F37592" w:rsidRDefault="00F37592" w:rsidP="00F37592">
            <w:pPr>
              <w:widowControl w:val="0"/>
              <w:tabs>
                <w:tab w:val="left" w:pos="3000"/>
              </w:tabs>
              <w:spacing w:line="240" w:lineRule="auto"/>
              <w:jc w:val="center"/>
              <w:rPr>
                <w:rFonts w:eastAsia="Times New Roman"/>
                <w:szCs w:val="28"/>
                <w:lang w:eastAsia="ru-RU"/>
              </w:rPr>
            </w:pPr>
            <w:r w:rsidRPr="00F37592">
              <w:rPr>
                <w:rFonts w:eastAsia="Times New Roman"/>
                <w:szCs w:val="28"/>
                <w:lang w:eastAsia="ru-RU"/>
              </w:rPr>
              <w:t>–</w:t>
            </w:r>
          </w:p>
        </w:tc>
        <w:tc>
          <w:tcPr>
            <w:tcW w:w="7788" w:type="dxa"/>
          </w:tcPr>
          <w:p w:rsidR="00F37592" w:rsidRPr="00F37592" w:rsidRDefault="00F37592" w:rsidP="00F37592">
            <w:pPr>
              <w:widowControl w:val="0"/>
              <w:tabs>
                <w:tab w:val="left" w:pos="3000"/>
              </w:tabs>
              <w:spacing w:line="240" w:lineRule="auto"/>
              <w:rPr>
                <w:rFonts w:eastAsia="Times New Roman"/>
                <w:szCs w:val="28"/>
                <w:lang w:eastAsia="ru-RU"/>
              </w:rPr>
            </w:pPr>
            <w:r w:rsidRPr="00F37592">
              <w:rPr>
                <w:rFonts w:eastAsia="Times New Roman"/>
                <w:szCs w:val="28"/>
                <w:lang w:eastAsia="ru-RU"/>
              </w:rPr>
              <w:t>Європейський Союз</w:t>
            </w:r>
          </w:p>
        </w:tc>
      </w:tr>
      <w:tr w:rsidR="00F37592" w:rsidRPr="00F37592" w:rsidTr="00DE0A54">
        <w:trPr>
          <w:trHeight w:val="309"/>
          <w:jc w:val="center"/>
        </w:trPr>
        <w:tc>
          <w:tcPr>
            <w:tcW w:w="1528" w:type="dxa"/>
          </w:tcPr>
          <w:p w:rsidR="00F37592" w:rsidRPr="00F37592" w:rsidRDefault="00F37592" w:rsidP="00F37592">
            <w:pPr>
              <w:widowControl w:val="0"/>
              <w:tabs>
                <w:tab w:val="left" w:pos="3000"/>
              </w:tabs>
              <w:jc w:val="left"/>
              <w:rPr>
                <w:rFonts w:eastAsia="Times New Roman"/>
                <w:b/>
                <w:szCs w:val="28"/>
                <w:lang w:eastAsia="ru-RU"/>
              </w:rPr>
            </w:pPr>
            <w:r w:rsidRPr="00F37592">
              <w:rPr>
                <w:rFonts w:eastAsia="Times New Roman"/>
                <w:szCs w:val="28"/>
                <w:lang w:eastAsia="ru-RU"/>
              </w:rPr>
              <w:t xml:space="preserve">ЗОЗ </w:t>
            </w:r>
          </w:p>
        </w:tc>
        <w:tc>
          <w:tcPr>
            <w:tcW w:w="567" w:type="dxa"/>
          </w:tcPr>
          <w:p w:rsidR="00F37592" w:rsidRPr="00F37592" w:rsidRDefault="00F37592" w:rsidP="00F37592">
            <w:pPr>
              <w:widowControl w:val="0"/>
              <w:tabs>
                <w:tab w:val="left" w:pos="3000"/>
              </w:tabs>
              <w:spacing w:line="240" w:lineRule="auto"/>
              <w:jc w:val="center"/>
              <w:rPr>
                <w:rFonts w:eastAsia="Times New Roman"/>
                <w:szCs w:val="28"/>
                <w:lang w:eastAsia="ru-RU"/>
              </w:rPr>
            </w:pPr>
            <w:r w:rsidRPr="00F37592">
              <w:rPr>
                <w:rFonts w:eastAsia="Times New Roman"/>
                <w:szCs w:val="28"/>
                <w:lang w:eastAsia="ru-RU"/>
              </w:rPr>
              <w:t>–</w:t>
            </w:r>
          </w:p>
        </w:tc>
        <w:tc>
          <w:tcPr>
            <w:tcW w:w="7788" w:type="dxa"/>
          </w:tcPr>
          <w:p w:rsidR="00F37592" w:rsidRPr="00F37592" w:rsidRDefault="00F37592" w:rsidP="00F37592">
            <w:pPr>
              <w:widowControl w:val="0"/>
              <w:tabs>
                <w:tab w:val="left" w:pos="3000"/>
              </w:tabs>
              <w:spacing w:line="240" w:lineRule="auto"/>
              <w:rPr>
                <w:rFonts w:eastAsia="Times New Roman"/>
                <w:szCs w:val="28"/>
                <w:lang w:eastAsia="ru-RU"/>
              </w:rPr>
            </w:pPr>
            <w:r w:rsidRPr="00F37592">
              <w:rPr>
                <w:rFonts w:eastAsia="Times New Roman"/>
                <w:szCs w:val="28"/>
                <w:lang w:eastAsia="ru-RU"/>
              </w:rPr>
              <w:t>заклад охорони здоров’я</w:t>
            </w:r>
          </w:p>
        </w:tc>
      </w:tr>
      <w:tr w:rsidR="00F37592" w:rsidRPr="00F37592" w:rsidTr="00DE0A54">
        <w:trPr>
          <w:trHeight w:val="309"/>
          <w:jc w:val="center"/>
        </w:trPr>
        <w:tc>
          <w:tcPr>
            <w:tcW w:w="1528" w:type="dxa"/>
          </w:tcPr>
          <w:p w:rsidR="00F37592" w:rsidRPr="00F37592" w:rsidRDefault="00F37592" w:rsidP="00F37592">
            <w:pPr>
              <w:widowControl w:val="0"/>
              <w:tabs>
                <w:tab w:val="left" w:pos="3000"/>
              </w:tabs>
              <w:jc w:val="left"/>
              <w:rPr>
                <w:rFonts w:eastAsia="Times New Roman"/>
                <w:szCs w:val="28"/>
                <w:lang w:eastAsia="ru-RU"/>
              </w:rPr>
            </w:pPr>
            <w:r w:rsidRPr="00F37592">
              <w:rPr>
                <w:rFonts w:eastAsia="Times New Roman"/>
                <w:szCs w:val="28"/>
                <w:lang w:eastAsia="ru-RU"/>
              </w:rPr>
              <w:t>ЗПД</w:t>
            </w:r>
          </w:p>
        </w:tc>
        <w:tc>
          <w:tcPr>
            <w:tcW w:w="567" w:type="dxa"/>
          </w:tcPr>
          <w:p w:rsidR="00F37592" w:rsidRPr="00F37592" w:rsidRDefault="00F37592" w:rsidP="00F37592">
            <w:pPr>
              <w:widowControl w:val="0"/>
              <w:tabs>
                <w:tab w:val="left" w:pos="3000"/>
              </w:tabs>
              <w:spacing w:line="240" w:lineRule="auto"/>
              <w:jc w:val="center"/>
              <w:rPr>
                <w:rFonts w:eastAsia="Times New Roman"/>
                <w:szCs w:val="28"/>
                <w:lang w:eastAsia="ru-RU"/>
              </w:rPr>
            </w:pPr>
            <w:r w:rsidRPr="00F37592">
              <w:rPr>
                <w:rFonts w:eastAsia="Times New Roman"/>
                <w:szCs w:val="28"/>
                <w:lang w:eastAsia="ru-RU"/>
              </w:rPr>
              <w:t>–</w:t>
            </w:r>
          </w:p>
        </w:tc>
        <w:tc>
          <w:tcPr>
            <w:tcW w:w="7788" w:type="dxa"/>
          </w:tcPr>
          <w:p w:rsidR="00F37592" w:rsidRPr="00F37592" w:rsidRDefault="00F37592" w:rsidP="00F37592">
            <w:pPr>
              <w:widowControl w:val="0"/>
              <w:tabs>
                <w:tab w:val="left" w:pos="3000"/>
              </w:tabs>
              <w:spacing w:line="240" w:lineRule="auto"/>
              <w:rPr>
                <w:rFonts w:eastAsia="Times New Roman"/>
                <w:szCs w:val="28"/>
                <w:lang w:eastAsia="ru-RU"/>
              </w:rPr>
            </w:pPr>
            <w:r w:rsidRPr="00F37592">
              <w:rPr>
                <w:rFonts w:eastAsia="Times New Roman"/>
                <w:szCs w:val="28"/>
                <w:lang w:eastAsia="ru-RU"/>
              </w:rPr>
              <w:t>заклад перинатальної допомоги</w:t>
            </w:r>
          </w:p>
        </w:tc>
      </w:tr>
      <w:tr w:rsidR="00F37592" w:rsidRPr="00F37592" w:rsidTr="00DE0A54">
        <w:trPr>
          <w:trHeight w:val="309"/>
          <w:jc w:val="center"/>
        </w:trPr>
        <w:tc>
          <w:tcPr>
            <w:tcW w:w="1528" w:type="dxa"/>
          </w:tcPr>
          <w:p w:rsidR="00F37592" w:rsidRPr="00F37592" w:rsidRDefault="00F37592" w:rsidP="00F37592">
            <w:pPr>
              <w:widowControl w:val="0"/>
              <w:tabs>
                <w:tab w:val="left" w:pos="3000"/>
              </w:tabs>
              <w:jc w:val="left"/>
              <w:rPr>
                <w:rFonts w:eastAsia="Times New Roman"/>
                <w:szCs w:val="28"/>
                <w:lang w:eastAsia="ru-RU"/>
              </w:rPr>
            </w:pPr>
            <w:r w:rsidRPr="00F37592">
              <w:rPr>
                <w:rFonts w:eastAsia="Calibri"/>
                <w:color w:val="000000"/>
                <w:szCs w:val="28"/>
                <w:lang w:val="en-US"/>
              </w:rPr>
              <w:t>ІОЯСДМН</w:t>
            </w:r>
          </w:p>
        </w:tc>
        <w:tc>
          <w:tcPr>
            <w:tcW w:w="567" w:type="dxa"/>
          </w:tcPr>
          <w:p w:rsidR="00F37592" w:rsidRPr="00F37592" w:rsidRDefault="00F37592" w:rsidP="00F37592">
            <w:pPr>
              <w:widowControl w:val="0"/>
              <w:tabs>
                <w:tab w:val="left" w:pos="3000"/>
              </w:tabs>
              <w:spacing w:line="240" w:lineRule="auto"/>
              <w:jc w:val="center"/>
              <w:rPr>
                <w:rFonts w:eastAsia="Times New Roman"/>
                <w:szCs w:val="28"/>
                <w:lang w:eastAsia="ru-RU"/>
              </w:rPr>
            </w:pPr>
            <w:r w:rsidRPr="00F37592">
              <w:rPr>
                <w:rFonts w:eastAsia="Times New Roman"/>
                <w:szCs w:val="28"/>
                <w:lang w:eastAsia="ru-RU"/>
              </w:rPr>
              <w:t>–</w:t>
            </w:r>
          </w:p>
        </w:tc>
        <w:tc>
          <w:tcPr>
            <w:tcW w:w="7788" w:type="dxa"/>
          </w:tcPr>
          <w:p w:rsidR="00F37592" w:rsidRPr="00F37592" w:rsidRDefault="00F37592" w:rsidP="00F37592">
            <w:pPr>
              <w:contextualSpacing/>
              <w:rPr>
                <w:rFonts w:eastAsia="Calibri"/>
                <w:color w:val="000000"/>
                <w:szCs w:val="28"/>
              </w:rPr>
            </w:pPr>
            <w:r w:rsidRPr="00F37592">
              <w:rPr>
                <w:rFonts w:eastAsia="Calibri"/>
                <w:color w:val="000000"/>
                <w:szCs w:val="28"/>
              </w:rPr>
              <w:t xml:space="preserve">інструмент для оцінки якості стаціонарної допомоги </w:t>
            </w:r>
          </w:p>
          <w:p w:rsidR="00F37592" w:rsidRPr="00F37592" w:rsidRDefault="00F37592" w:rsidP="00F37592">
            <w:pPr>
              <w:widowControl w:val="0"/>
              <w:tabs>
                <w:tab w:val="left" w:pos="3000"/>
              </w:tabs>
              <w:rPr>
                <w:rFonts w:eastAsia="Times New Roman"/>
                <w:szCs w:val="28"/>
                <w:lang w:eastAsia="ru-RU"/>
              </w:rPr>
            </w:pPr>
            <w:r w:rsidRPr="00F37592">
              <w:rPr>
                <w:rFonts w:eastAsia="Calibri"/>
                <w:color w:val="000000"/>
                <w:szCs w:val="28"/>
              </w:rPr>
              <w:t>матерям і новонародженим</w:t>
            </w:r>
          </w:p>
        </w:tc>
      </w:tr>
      <w:tr w:rsidR="00F37592" w:rsidRPr="00F37592" w:rsidTr="00DE0A54">
        <w:trPr>
          <w:trHeight w:val="309"/>
          <w:jc w:val="center"/>
        </w:trPr>
        <w:tc>
          <w:tcPr>
            <w:tcW w:w="1528" w:type="dxa"/>
          </w:tcPr>
          <w:p w:rsidR="00F37592" w:rsidRPr="00F37592" w:rsidRDefault="00F37592" w:rsidP="00F37592">
            <w:pPr>
              <w:widowControl w:val="0"/>
              <w:tabs>
                <w:tab w:val="left" w:pos="3000"/>
              </w:tabs>
              <w:jc w:val="left"/>
              <w:rPr>
                <w:rFonts w:eastAsia="Calibri"/>
                <w:color w:val="000000"/>
                <w:szCs w:val="28"/>
              </w:rPr>
            </w:pPr>
            <w:r w:rsidRPr="00F37592">
              <w:rPr>
                <w:rFonts w:eastAsia="Calibri"/>
                <w:color w:val="000000"/>
                <w:szCs w:val="28"/>
              </w:rPr>
              <w:t>КДНЗ</w:t>
            </w:r>
          </w:p>
        </w:tc>
        <w:tc>
          <w:tcPr>
            <w:tcW w:w="567" w:type="dxa"/>
          </w:tcPr>
          <w:p w:rsidR="00F37592" w:rsidRPr="00F37592" w:rsidRDefault="00F37592" w:rsidP="00F37592">
            <w:pPr>
              <w:widowControl w:val="0"/>
              <w:tabs>
                <w:tab w:val="left" w:pos="3000"/>
              </w:tabs>
              <w:spacing w:line="240" w:lineRule="auto"/>
              <w:jc w:val="center"/>
              <w:rPr>
                <w:rFonts w:eastAsia="Times New Roman"/>
                <w:szCs w:val="28"/>
                <w:lang w:eastAsia="ru-RU"/>
              </w:rPr>
            </w:pPr>
            <w:r w:rsidRPr="00F37592">
              <w:rPr>
                <w:rFonts w:eastAsia="Times New Roman"/>
                <w:szCs w:val="28"/>
                <w:lang w:eastAsia="ru-RU"/>
              </w:rPr>
              <w:t>–</w:t>
            </w:r>
          </w:p>
        </w:tc>
        <w:tc>
          <w:tcPr>
            <w:tcW w:w="7788" w:type="dxa"/>
          </w:tcPr>
          <w:p w:rsidR="00F37592" w:rsidRPr="00F37592" w:rsidRDefault="00F37592" w:rsidP="00F37592">
            <w:pPr>
              <w:contextualSpacing/>
              <w:rPr>
                <w:rFonts w:eastAsia="Calibri"/>
                <w:color w:val="000000"/>
                <w:szCs w:val="28"/>
              </w:rPr>
            </w:pPr>
            <w:r w:rsidRPr="00F37592">
              <w:rPr>
                <w:rFonts w:eastAsia="Calibri"/>
                <w:color w:val="000000"/>
                <w:szCs w:val="28"/>
                <w:lang w:val="en-US"/>
              </w:rPr>
              <w:t>коефіцієнт досягнення нормативного значення</w:t>
            </w:r>
          </w:p>
        </w:tc>
      </w:tr>
      <w:tr w:rsidR="00F37592" w:rsidRPr="00F37592" w:rsidTr="00DE0A54">
        <w:trPr>
          <w:trHeight w:val="320"/>
          <w:jc w:val="center"/>
        </w:trPr>
        <w:tc>
          <w:tcPr>
            <w:tcW w:w="1528" w:type="dxa"/>
          </w:tcPr>
          <w:p w:rsidR="00F37592" w:rsidRPr="00F37592" w:rsidRDefault="00F37592" w:rsidP="00F37592">
            <w:pPr>
              <w:widowControl w:val="0"/>
              <w:tabs>
                <w:tab w:val="left" w:pos="3000"/>
              </w:tabs>
              <w:jc w:val="left"/>
              <w:rPr>
                <w:rFonts w:eastAsia="Times New Roman"/>
                <w:szCs w:val="28"/>
                <w:lang w:eastAsia="ru-RU"/>
              </w:rPr>
            </w:pPr>
            <w:r w:rsidRPr="00F37592">
              <w:rPr>
                <w:rFonts w:eastAsia="Times New Roman"/>
                <w:szCs w:val="28"/>
                <w:lang w:eastAsia="ru-RU"/>
              </w:rPr>
              <w:t>КДР</w:t>
            </w:r>
          </w:p>
        </w:tc>
        <w:tc>
          <w:tcPr>
            <w:tcW w:w="567" w:type="dxa"/>
          </w:tcPr>
          <w:p w:rsidR="00F37592" w:rsidRPr="00F37592" w:rsidRDefault="00F37592" w:rsidP="00F37592">
            <w:pPr>
              <w:widowControl w:val="0"/>
              <w:tabs>
                <w:tab w:val="left" w:pos="3000"/>
              </w:tabs>
              <w:spacing w:line="240" w:lineRule="auto"/>
              <w:jc w:val="center"/>
              <w:rPr>
                <w:rFonts w:eastAsia="Times New Roman"/>
                <w:szCs w:val="28"/>
                <w:lang w:eastAsia="ru-RU"/>
              </w:rPr>
            </w:pPr>
            <w:r w:rsidRPr="00F37592">
              <w:rPr>
                <w:rFonts w:eastAsia="Times New Roman"/>
                <w:szCs w:val="28"/>
                <w:lang w:eastAsia="ru-RU"/>
              </w:rPr>
              <w:t>–</w:t>
            </w:r>
          </w:p>
        </w:tc>
        <w:tc>
          <w:tcPr>
            <w:tcW w:w="7788" w:type="dxa"/>
          </w:tcPr>
          <w:p w:rsidR="00F37592" w:rsidRPr="00F37592" w:rsidRDefault="00F37592" w:rsidP="00F37592">
            <w:pPr>
              <w:widowControl w:val="0"/>
              <w:tabs>
                <w:tab w:val="left" w:pos="3000"/>
              </w:tabs>
              <w:spacing w:line="240" w:lineRule="auto"/>
              <w:rPr>
                <w:rFonts w:eastAsia="Times New Roman"/>
                <w:szCs w:val="28"/>
                <w:lang w:eastAsia="ru-RU"/>
              </w:rPr>
            </w:pPr>
            <w:r w:rsidRPr="00F37592">
              <w:rPr>
                <w:rFonts w:eastAsia="Times New Roman"/>
                <w:szCs w:val="28"/>
                <w:lang w:eastAsia="ru-RU"/>
              </w:rPr>
              <w:t>коефіцієнт досягнення результату</w:t>
            </w:r>
          </w:p>
        </w:tc>
      </w:tr>
      <w:tr w:rsidR="00F37592" w:rsidRPr="00F37592" w:rsidTr="00DE0A54">
        <w:trPr>
          <w:trHeight w:val="320"/>
          <w:jc w:val="center"/>
        </w:trPr>
        <w:tc>
          <w:tcPr>
            <w:tcW w:w="1528" w:type="dxa"/>
          </w:tcPr>
          <w:p w:rsidR="00F37592" w:rsidRPr="00F37592" w:rsidRDefault="00F37592" w:rsidP="00F37592">
            <w:pPr>
              <w:widowControl w:val="0"/>
              <w:tabs>
                <w:tab w:val="left" w:pos="3000"/>
              </w:tabs>
              <w:jc w:val="left"/>
              <w:rPr>
                <w:rFonts w:eastAsia="Times New Roman"/>
                <w:szCs w:val="28"/>
                <w:lang w:eastAsia="ru-RU"/>
              </w:rPr>
            </w:pPr>
            <w:r w:rsidRPr="00F37592">
              <w:rPr>
                <w:rFonts w:eastAsia="Times New Roman"/>
                <w:szCs w:val="28"/>
                <w:lang w:eastAsia="ru-RU"/>
              </w:rPr>
              <w:t>КДЦ</w:t>
            </w:r>
          </w:p>
        </w:tc>
        <w:tc>
          <w:tcPr>
            <w:tcW w:w="567" w:type="dxa"/>
          </w:tcPr>
          <w:p w:rsidR="00F37592" w:rsidRPr="00F37592" w:rsidRDefault="00F37592" w:rsidP="00F37592">
            <w:pPr>
              <w:widowControl w:val="0"/>
              <w:tabs>
                <w:tab w:val="left" w:pos="3000"/>
              </w:tabs>
              <w:spacing w:line="240" w:lineRule="auto"/>
              <w:jc w:val="center"/>
              <w:rPr>
                <w:rFonts w:eastAsia="Times New Roman"/>
                <w:szCs w:val="28"/>
                <w:lang w:eastAsia="ru-RU"/>
              </w:rPr>
            </w:pPr>
            <w:r w:rsidRPr="00F37592">
              <w:rPr>
                <w:rFonts w:eastAsia="Times New Roman"/>
                <w:szCs w:val="28"/>
                <w:lang w:eastAsia="ru-RU"/>
              </w:rPr>
              <w:t>–</w:t>
            </w:r>
          </w:p>
        </w:tc>
        <w:tc>
          <w:tcPr>
            <w:tcW w:w="7788" w:type="dxa"/>
          </w:tcPr>
          <w:p w:rsidR="00F37592" w:rsidRPr="00F37592" w:rsidRDefault="00F37592" w:rsidP="00F37592">
            <w:pPr>
              <w:widowControl w:val="0"/>
              <w:tabs>
                <w:tab w:val="left" w:pos="3000"/>
              </w:tabs>
              <w:spacing w:line="240" w:lineRule="auto"/>
              <w:rPr>
                <w:rFonts w:eastAsia="Times New Roman"/>
                <w:szCs w:val="28"/>
                <w:lang w:eastAsia="ru-RU"/>
              </w:rPr>
            </w:pPr>
            <w:r w:rsidRPr="00F37592">
              <w:rPr>
                <w:rFonts w:eastAsia="Calibri"/>
                <w:color w:val="000000"/>
                <w:szCs w:val="28"/>
                <w:lang w:val="en-US"/>
              </w:rPr>
              <w:t>клініко-діагностичні центр</w:t>
            </w:r>
          </w:p>
        </w:tc>
      </w:tr>
      <w:tr w:rsidR="00F37592" w:rsidRPr="00F37592" w:rsidTr="00DE0A54">
        <w:trPr>
          <w:trHeight w:val="320"/>
          <w:jc w:val="center"/>
        </w:trPr>
        <w:tc>
          <w:tcPr>
            <w:tcW w:w="1528" w:type="dxa"/>
          </w:tcPr>
          <w:p w:rsidR="00F37592" w:rsidRPr="00F37592" w:rsidRDefault="00F37592" w:rsidP="00F37592">
            <w:pPr>
              <w:widowControl w:val="0"/>
              <w:tabs>
                <w:tab w:val="left" w:pos="3000"/>
              </w:tabs>
              <w:jc w:val="left"/>
              <w:rPr>
                <w:rFonts w:eastAsia="Times New Roman"/>
                <w:szCs w:val="28"/>
                <w:lang w:eastAsia="ru-RU"/>
              </w:rPr>
            </w:pPr>
            <w:r w:rsidRPr="00F37592">
              <w:rPr>
                <w:rFonts w:eastAsia="Times New Roman"/>
                <w:szCs w:val="28"/>
                <w:lang w:eastAsia="ru-RU"/>
              </w:rPr>
              <w:t>ККО</w:t>
            </w:r>
          </w:p>
        </w:tc>
        <w:tc>
          <w:tcPr>
            <w:tcW w:w="567" w:type="dxa"/>
          </w:tcPr>
          <w:p w:rsidR="00F37592" w:rsidRPr="00F37592" w:rsidRDefault="00F37592" w:rsidP="00F37592">
            <w:pPr>
              <w:widowControl w:val="0"/>
              <w:tabs>
                <w:tab w:val="left" w:pos="3000"/>
              </w:tabs>
              <w:spacing w:line="240" w:lineRule="auto"/>
              <w:jc w:val="center"/>
              <w:rPr>
                <w:rFonts w:eastAsia="Times New Roman"/>
                <w:szCs w:val="28"/>
                <w:lang w:eastAsia="ru-RU"/>
              </w:rPr>
            </w:pPr>
            <w:r w:rsidRPr="00F37592">
              <w:rPr>
                <w:rFonts w:eastAsia="Times New Roman"/>
                <w:szCs w:val="28"/>
                <w:lang w:eastAsia="ru-RU"/>
              </w:rPr>
              <w:t>–</w:t>
            </w:r>
          </w:p>
        </w:tc>
        <w:tc>
          <w:tcPr>
            <w:tcW w:w="7788" w:type="dxa"/>
          </w:tcPr>
          <w:p w:rsidR="00F37592" w:rsidRPr="00F37592" w:rsidRDefault="00F37592" w:rsidP="00F37592">
            <w:pPr>
              <w:widowControl w:val="0"/>
              <w:tabs>
                <w:tab w:val="left" w:pos="3000"/>
              </w:tabs>
              <w:spacing w:line="240" w:lineRule="auto"/>
              <w:rPr>
                <w:rFonts w:eastAsia="Times New Roman"/>
                <w:szCs w:val="28"/>
                <w:lang w:val="ru-RU" w:eastAsia="ru-RU"/>
              </w:rPr>
            </w:pPr>
            <w:r w:rsidRPr="00F37592">
              <w:rPr>
                <w:rFonts w:eastAsia="Times New Roman"/>
                <w:szCs w:val="28"/>
                <w:lang w:eastAsia="ru-RU"/>
              </w:rPr>
              <w:t>коефіцієнт комплексної оцінки</w:t>
            </w:r>
          </w:p>
        </w:tc>
      </w:tr>
      <w:tr w:rsidR="00F37592" w:rsidRPr="00F37592" w:rsidTr="00DE0A54">
        <w:trPr>
          <w:trHeight w:val="320"/>
          <w:jc w:val="center"/>
        </w:trPr>
        <w:tc>
          <w:tcPr>
            <w:tcW w:w="1528" w:type="dxa"/>
          </w:tcPr>
          <w:p w:rsidR="00F37592" w:rsidRPr="00F37592" w:rsidRDefault="00F37592" w:rsidP="00F37592">
            <w:pPr>
              <w:widowControl w:val="0"/>
              <w:tabs>
                <w:tab w:val="left" w:pos="3000"/>
              </w:tabs>
              <w:jc w:val="left"/>
              <w:rPr>
                <w:rFonts w:eastAsia="Times New Roman"/>
                <w:szCs w:val="28"/>
                <w:lang w:eastAsia="ru-RU"/>
              </w:rPr>
            </w:pPr>
            <w:r w:rsidRPr="00F37592">
              <w:rPr>
                <w:rFonts w:eastAsia="Times New Roman"/>
                <w:szCs w:val="28"/>
                <w:lang w:eastAsia="ru-RU"/>
              </w:rPr>
              <w:t>ЛЗП-СЛ</w:t>
            </w:r>
          </w:p>
        </w:tc>
        <w:tc>
          <w:tcPr>
            <w:tcW w:w="567" w:type="dxa"/>
          </w:tcPr>
          <w:p w:rsidR="00F37592" w:rsidRPr="00F37592" w:rsidRDefault="00F37592" w:rsidP="00F37592">
            <w:pPr>
              <w:widowControl w:val="0"/>
              <w:tabs>
                <w:tab w:val="left" w:pos="3000"/>
              </w:tabs>
              <w:spacing w:line="240" w:lineRule="auto"/>
              <w:jc w:val="center"/>
              <w:rPr>
                <w:rFonts w:eastAsia="Times New Roman"/>
                <w:szCs w:val="28"/>
                <w:lang w:eastAsia="ru-RU"/>
              </w:rPr>
            </w:pPr>
            <w:r w:rsidRPr="00F37592">
              <w:rPr>
                <w:rFonts w:eastAsia="Times New Roman"/>
                <w:szCs w:val="28"/>
                <w:lang w:eastAsia="ru-RU"/>
              </w:rPr>
              <w:t>–</w:t>
            </w:r>
          </w:p>
        </w:tc>
        <w:tc>
          <w:tcPr>
            <w:tcW w:w="7788" w:type="dxa"/>
          </w:tcPr>
          <w:p w:rsidR="00F37592" w:rsidRPr="00F37592" w:rsidRDefault="00F37592" w:rsidP="00F37592">
            <w:pPr>
              <w:widowControl w:val="0"/>
              <w:tabs>
                <w:tab w:val="left" w:pos="3000"/>
              </w:tabs>
              <w:spacing w:line="240" w:lineRule="auto"/>
              <w:rPr>
                <w:rFonts w:eastAsia="Times New Roman"/>
                <w:szCs w:val="28"/>
                <w:lang w:val="ru-RU" w:eastAsia="ru-RU"/>
              </w:rPr>
            </w:pPr>
            <w:proofErr w:type="gramStart"/>
            <w:r w:rsidRPr="00F37592">
              <w:rPr>
                <w:rFonts w:eastAsia="Calibri"/>
                <w:color w:val="000000"/>
                <w:szCs w:val="28"/>
                <w:lang w:val="ru-RU"/>
              </w:rPr>
              <w:t>л</w:t>
            </w:r>
            <w:proofErr w:type="gramEnd"/>
            <w:r w:rsidRPr="00F37592">
              <w:rPr>
                <w:rFonts w:eastAsia="Calibri"/>
                <w:color w:val="000000"/>
                <w:szCs w:val="28"/>
                <w:lang w:val="ru-RU"/>
              </w:rPr>
              <w:t>ікар загальної практики-сімейний лікар</w:t>
            </w:r>
          </w:p>
        </w:tc>
      </w:tr>
      <w:tr w:rsidR="00F37592" w:rsidRPr="00F37592" w:rsidTr="00DE0A54">
        <w:trPr>
          <w:trHeight w:val="320"/>
          <w:jc w:val="center"/>
        </w:trPr>
        <w:tc>
          <w:tcPr>
            <w:tcW w:w="1528" w:type="dxa"/>
          </w:tcPr>
          <w:p w:rsidR="00F37592" w:rsidRPr="00F37592" w:rsidRDefault="00F37592" w:rsidP="00F37592">
            <w:pPr>
              <w:widowControl w:val="0"/>
              <w:tabs>
                <w:tab w:val="left" w:pos="3000"/>
              </w:tabs>
              <w:jc w:val="left"/>
              <w:rPr>
                <w:rFonts w:eastAsia="Times New Roman"/>
                <w:szCs w:val="28"/>
                <w:lang w:eastAsia="ru-RU"/>
              </w:rPr>
            </w:pPr>
            <w:r w:rsidRPr="00F37592">
              <w:rPr>
                <w:rFonts w:eastAsia="Times New Roman"/>
                <w:szCs w:val="28"/>
                <w:lang w:eastAsia="ru-RU"/>
              </w:rPr>
              <w:t>Ме</w:t>
            </w:r>
          </w:p>
        </w:tc>
        <w:tc>
          <w:tcPr>
            <w:tcW w:w="567" w:type="dxa"/>
          </w:tcPr>
          <w:p w:rsidR="00F37592" w:rsidRPr="00F37592" w:rsidRDefault="00F37592" w:rsidP="00F37592">
            <w:pPr>
              <w:widowControl w:val="0"/>
              <w:tabs>
                <w:tab w:val="left" w:pos="3000"/>
              </w:tabs>
              <w:spacing w:line="240" w:lineRule="auto"/>
              <w:jc w:val="center"/>
              <w:rPr>
                <w:rFonts w:eastAsia="Times New Roman"/>
                <w:szCs w:val="28"/>
                <w:lang w:eastAsia="ru-RU"/>
              </w:rPr>
            </w:pPr>
            <w:r w:rsidRPr="00F37592">
              <w:rPr>
                <w:rFonts w:eastAsia="Times New Roman"/>
                <w:szCs w:val="28"/>
                <w:lang w:eastAsia="ru-RU"/>
              </w:rPr>
              <w:t>–</w:t>
            </w:r>
          </w:p>
        </w:tc>
        <w:tc>
          <w:tcPr>
            <w:tcW w:w="7788" w:type="dxa"/>
          </w:tcPr>
          <w:p w:rsidR="00F37592" w:rsidRPr="00F37592" w:rsidRDefault="00F37592" w:rsidP="00F37592">
            <w:pPr>
              <w:widowControl w:val="0"/>
              <w:tabs>
                <w:tab w:val="left" w:pos="3000"/>
              </w:tabs>
              <w:spacing w:line="240" w:lineRule="auto"/>
              <w:rPr>
                <w:rFonts w:eastAsia="Times New Roman"/>
                <w:szCs w:val="28"/>
                <w:lang w:eastAsia="ru-RU"/>
              </w:rPr>
            </w:pPr>
            <w:r w:rsidRPr="00F37592">
              <w:rPr>
                <w:rFonts w:eastAsia="Times New Roman"/>
                <w:szCs w:val="28"/>
                <w:lang w:eastAsia="ru-RU"/>
              </w:rPr>
              <w:t>медіана</w:t>
            </w:r>
          </w:p>
        </w:tc>
      </w:tr>
      <w:tr w:rsidR="00F37592" w:rsidRPr="00F37592" w:rsidTr="00DE0A54">
        <w:trPr>
          <w:trHeight w:val="320"/>
          <w:jc w:val="center"/>
        </w:trPr>
        <w:tc>
          <w:tcPr>
            <w:tcW w:w="1528" w:type="dxa"/>
          </w:tcPr>
          <w:p w:rsidR="00F37592" w:rsidRPr="00F37592" w:rsidRDefault="00F37592" w:rsidP="00F37592">
            <w:pPr>
              <w:widowControl w:val="0"/>
              <w:tabs>
                <w:tab w:val="left" w:pos="3000"/>
              </w:tabs>
              <w:jc w:val="left"/>
              <w:rPr>
                <w:rFonts w:eastAsia="Times New Roman"/>
                <w:szCs w:val="28"/>
                <w:lang w:eastAsia="ru-RU"/>
              </w:rPr>
            </w:pPr>
            <w:r w:rsidRPr="00F37592">
              <w:rPr>
                <w:rFonts w:eastAsia="Times New Roman"/>
                <w:szCs w:val="28"/>
                <w:lang w:val="ru-RU" w:eastAsia="ru-RU"/>
              </w:rPr>
              <w:t>МіО РПД</w:t>
            </w:r>
          </w:p>
        </w:tc>
        <w:tc>
          <w:tcPr>
            <w:tcW w:w="567" w:type="dxa"/>
          </w:tcPr>
          <w:p w:rsidR="00F37592" w:rsidRPr="00F37592" w:rsidRDefault="00F37592" w:rsidP="00F37592">
            <w:pPr>
              <w:widowControl w:val="0"/>
              <w:tabs>
                <w:tab w:val="left" w:pos="3000"/>
              </w:tabs>
              <w:spacing w:line="240" w:lineRule="auto"/>
              <w:jc w:val="center"/>
              <w:rPr>
                <w:rFonts w:eastAsia="Times New Roman"/>
                <w:szCs w:val="28"/>
                <w:lang w:eastAsia="ru-RU"/>
              </w:rPr>
            </w:pPr>
            <w:r w:rsidRPr="00F37592">
              <w:rPr>
                <w:rFonts w:eastAsia="Times New Roman"/>
                <w:szCs w:val="28"/>
                <w:lang w:eastAsia="ru-RU"/>
              </w:rPr>
              <w:t>–</w:t>
            </w:r>
          </w:p>
        </w:tc>
        <w:tc>
          <w:tcPr>
            <w:tcW w:w="7788" w:type="dxa"/>
          </w:tcPr>
          <w:p w:rsidR="00F37592" w:rsidRPr="00F37592" w:rsidRDefault="00F37592" w:rsidP="00F37592">
            <w:pPr>
              <w:widowControl w:val="0"/>
              <w:tabs>
                <w:tab w:val="left" w:pos="3000"/>
              </w:tabs>
              <w:spacing w:line="240" w:lineRule="auto"/>
              <w:rPr>
                <w:rFonts w:eastAsia="Times New Roman"/>
                <w:szCs w:val="28"/>
                <w:lang w:eastAsia="ru-RU"/>
              </w:rPr>
            </w:pPr>
            <w:r w:rsidRPr="00F37592">
              <w:rPr>
                <w:rFonts w:eastAsia="Times New Roman"/>
                <w:szCs w:val="28"/>
                <w:lang w:eastAsia="ru-RU"/>
              </w:rPr>
              <w:t>моніторинг і оцінка регіоналізації перинатальної допомоги</w:t>
            </w:r>
          </w:p>
        </w:tc>
      </w:tr>
      <w:tr w:rsidR="00F37592" w:rsidRPr="00F37592" w:rsidTr="00DE0A54">
        <w:trPr>
          <w:trHeight w:val="320"/>
          <w:jc w:val="center"/>
        </w:trPr>
        <w:tc>
          <w:tcPr>
            <w:tcW w:w="1528" w:type="dxa"/>
          </w:tcPr>
          <w:p w:rsidR="00F37592" w:rsidRPr="00F37592" w:rsidRDefault="00F37592" w:rsidP="00F37592">
            <w:pPr>
              <w:widowControl w:val="0"/>
              <w:tabs>
                <w:tab w:val="left" w:pos="3000"/>
              </w:tabs>
              <w:jc w:val="left"/>
              <w:rPr>
                <w:rFonts w:eastAsia="Times New Roman"/>
                <w:szCs w:val="28"/>
                <w:lang w:eastAsia="ru-RU"/>
              </w:rPr>
            </w:pPr>
            <w:r w:rsidRPr="00F37592">
              <w:rPr>
                <w:rFonts w:eastAsia="Times New Roman"/>
                <w:szCs w:val="28"/>
                <w:lang w:eastAsia="ru-RU"/>
              </w:rPr>
              <w:t>МКІ</w:t>
            </w:r>
          </w:p>
        </w:tc>
        <w:tc>
          <w:tcPr>
            <w:tcW w:w="567" w:type="dxa"/>
          </w:tcPr>
          <w:p w:rsidR="00F37592" w:rsidRPr="00F37592" w:rsidRDefault="00F37592" w:rsidP="00F37592">
            <w:pPr>
              <w:widowControl w:val="0"/>
              <w:tabs>
                <w:tab w:val="left" w:pos="3000"/>
              </w:tabs>
              <w:spacing w:line="240" w:lineRule="auto"/>
              <w:jc w:val="center"/>
              <w:rPr>
                <w:rFonts w:eastAsia="Times New Roman"/>
                <w:szCs w:val="28"/>
                <w:lang w:eastAsia="ru-RU"/>
              </w:rPr>
            </w:pPr>
            <w:r w:rsidRPr="00F37592">
              <w:rPr>
                <w:rFonts w:eastAsia="Times New Roman"/>
                <w:szCs w:val="28"/>
                <w:lang w:eastAsia="ru-RU"/>
              </w:rPr>
              <w:t>–</w:t>
            </w:r>
          </w:p>
        </w:tc>
        <w:tc>
          <w:tcPr>
            <w:tcW w:w="7788" w:type="dxa"/>
          </w:tcPr>
          <w:p w:rsidR="00F37592" w:rsidRPr="00F37592" w:rsidRDefault="00F37592" w:rsidP="00F37592">
            <w:pPr>
              <w:widowControl w:val="0"/>
              <w:tabs>
                <w:tab w:val="left" w:pos="3000"/>
              </w:tabs>
              <w:spacing w:line="240" w:lineRule="auto"/>
              <w:rPr>
                <w:rFonts w:eastAsia="Times New Roman"/>
                <w:szCs w:val="28"/>
                <w:lang w:eastAsia="ru-RU"/>
              </w:rPr>
            </w:pPr>
            <w:r w:rsidRPr="00F37592">
              <w:rPr>
                <w:rFonts w:eastAsia="Times New Roman"/>
                <w:szCs w:val="28"/>
                <w:lang w:eastAsia="ru-RU"/>
              </w:rPr>
              <w:t>м</w:t>
            </w:r>
            <w:r w:rsidRPr="00F37592">
              <w:rPr>
                <w:rFonts w:eastAsia="Times New Roman"/>
                <w:szCs w:val="28"/>
                <w:lang w:val="ru-RU" w:eastAsia="ru-RU"/>
              </w:rPr>
              <w:t>е</w:t>
            </w:r>
            <w:r w:rsidRPr="00F37592">
              <w:rPr>
                <w:rFonts w:eastAsia="Times New Roman"/>
                <w:szCs w:val="28"/>
                <w:lang w:eastAsia="ru-RU"/>
              </w:rPr>
              <w:t>жкварт</w:t>
            </w:r>
            <w:r w:rsidRPr="00F37592">
              <w:rPr>
                <w:rFonts w:eastAsia="Times New Roman"/>
                <w:szCs w:val="28"/>
                <w:lang w:val="ru-RU" w:eastAsia="ru-RU"/>
              </w:rPr>
              <w:t>и</w:t>
            </w:r>
            <w:r w:rsidRPr="00F37592">
              <w:rPr>
                <w:rFonts w:eastAsia="Times New Roman"/>
                <w:szCs w:val="28"/>
                <w:lang w:eastAsia="ru-RU"/>
              </w:rPr>
              <w:t>льний інтервал</w:t>
            </w:r>
          </w:p>
        </w:tc>
      </w:tr>
      <w:tr w:rsidR="00F37592" w:rsidRPr="00F37592" w:rsidTr="00DE0A54">
        <w:trPr>
          <w:trHeight w:val="320"/>
          <w:jc w:val="center"/>
        </w:trPr>
        <w:tc>
          <w:tcPr>
            <w:tcW w:w="1528" w:type="dxa"/>
          </w:tcPr>
          <w:p w:rsidR="00F37592" w:rsidRPr="00F37592" w:rsidRDefault="00F37592" w:rsidP="00F37592">
            <w:pPr>
              <w:widowControl w:val="0"/>
              <w:tabs>
                <w:tab w:val="left" w:pos="3000"/>
              </w:tabs>
              <w:jc w:val="left"/>
              <w:rPr>
                <w:rFonts w:eastAsia="Times New Roman"/>
                <w:szCs w:val="28"/>
                <w:lang w:eastAsia="ru-RU"/>
              </w:rPr>
            </w:pPr>
            <w:r w:rsidRPr="00F37592">
              <w:rPr>
                <w:rFonts w:eastAsia="Times New Roman"/>
                <w:szCs w:val="28"/>
                <w:lang w:eastAsia="ru-RU"/>
              </w:rPr>
              <w:t>МКО</w:t>
            </w:r>
          </w:p>
        </w:tc>
        <w:tc>
          <w:tcPr>
            <w:tcW w:w="567" w:type="dxa"/>
          </w:tcPr>
          <w:p w:rsidR="00F37592" w:rsidRPr="00F37592" w:rsidRDefault="00F37592" w:rsidP="00F37592">
            <w:pPr>
              <w:widowControl w:val="0"/>
              <w:tabs>
                <w:tab w:val="left" w:pos="3000"/>
              </w:tabs>
              <w:spacing w:line="240" w:lineRule="auto"/>
              <w:jc w:val="center"/>
              <w:rPr>
                <w:rFonts w:eastAsia="Times New Roman"/>
                <w:szCs w:val="28"/>
                <w:lang w:eastAsia="ru-RU"/>
              </w:rPr>
            </w:pPr>
            <w:r w:rsidRPr="00F37592">
              <w:rPr>
                <w:rFonts w:eastAsia="Times New Roman"/>
                <w:szCs w:val="28"/>
                <w:lang w:eastAsia="ru-RU"/>
              </w:rPr>
              <w:t>–</w:t>
            </w:r>
          </w:p>
        </w:tc>
        <w:tc>
          <w:tcPr>
            <w:tcW w:w="7788" w:type="dxa"/>
          </w:tcPr>
          <w:p w:rsidR="00F37592" w:rsidRPr="00F37592" w:rsidRDefault="00F37592" w:rsidP="00F37592">
            <w:pPr>
              <w:widowControl w:val="0"/>
              <w:tabs>
                <w:tab w:val="left" w:pos="3000"/>
              </w:tabs>
              <w:spacing w:line="240" w:lineRule="auto"/>
              <w:rPr>
                <w:rFonts w:eastAsia="Times New Roman"/>
                <w:szCs w:val="28"/>
                <w:lang w:eastAsia="ru-RU"/>
              </w:rPr>
            </w:pPr>
            <w:r w:rsidRPr="00F37592">
              <w:rPr>
                <w:rFonts w:eastAsia="Times New Roman"/>
                <w:szCs w:val="28"/>
                <w:lang w:eastAsia="ru-RU"/>
              </w:rPr>
              <w:t>модель комплексної оцінки</w:t>
            </w:r>
          </w:p>
        </w:tc>
      </w:tr>
      <w:tr w:rsidR="00F37592" w:rsidRPr="00F37592" w:rsidTr="00DE0A54">
        <w:trPr>
          <w:trHeight w:val="320"/>
          <w:jc w:val="center"/>
        </w:trPr>
        <w:tc>
          <w:tcPr>
            <w:tcW w:w="1528" w:type="dxa"/>
          </w:tcPr>
          <w:p w:rsidR="00F37592" w:rsidRPr="00F37592" w:rsidRDefault="00F37592" w:rsidP="00F37592">
            <w:pPr>
              <w:widowControl w:val="0"/>
              <w:tabs>
                <w:tab w:val="left" w:pos="3000"/>
              </w:tabs>
              <w:jc w:val="left"/>
              <w:rPr>
                <w:rFonts w:eastAsia="Times New Roman"/>
                <w:szCs w:val="28"/>
                <w:lang w:eastAsia="ru-RU"/>
              </w:rPr>
            </w:pPr>
            <w:r w:rsidRPr="00F37592">
              <w:rPr>
                <w:rFonts w:eastAsia="Times New Roman"/>
                <w:szCs w:val="28"/>
                <w:lang w:eastAsia="ru-RU"/>
              </w:rPr>
              <w:t>МКР</w:t>
            </w:r>
          </w:p>
        </w:tc>
        <w:tc>
          <w:tcPr>
            <w:tcW w:w="567" w:type="dxa"/>
          </w:tcPr>
          <w:p w:rsidR="00F37592" w:rsidRPr="00F37592" w:rsidRDefault="00F37592" w:rsidP="00F37592">
            <w:pPr>
              <w:widowControl w:val="0"/>
              <w:tabs>
                <w:tab w:val="left" w:pos="3000"/>
              </w:tabs>
              <w:spacing w:line="240" w:lineRule="auto"/>
              <w:jc w:val="center"/>
              <w:rPr>
                <w:rFonts w:eastAsia="Times New Roman"/>
                <w:szCs w:val="28"/>
                <w:lang w:eastAsia="ru-RU"/>
              </w:rPr>
            </w:pPr>
            <w:r w:rsidRPr="00F37592">
              <w:rPr>
                <w:rFonts w:eastAsia="Times New Roman"/>
                <w:szCs w:val="28"/>
                <w:lang w:eastAsia="ru-RU"/>
              </w:rPr>
              <w:t>–</w:t>
            </w:r>
          </w:p>
        </w:tc>
        <w:tc>
          <w:tcPr>
            <w:tcW w:w="7788" w:type="dxa"/>
          </w:tcPr>
          <w:p w:rsidR="00F37592" w:rsidRPr="00F37592" w:rsidRDefault="00F37592" w:rsidP="00F37592">
            <w:pPr>
              <w:widowControl w:val="0"/>
              <w:tabs>
                <w:tab w:val="left" w:pos="3000"/>
              </w:tabs>
              <w:spacing w:line="240" w:lineRule="auto"/>
              <w:rPr>
                <w:rFonts w:eastAsia="Times New Roman"/>
                <w:szCs w:val="28"/>
                <w:lang w:eastAsia="ru-RU"/>
              </w:rPr>
            </w:pPr>
            <w:r w:rsidRPr="00F37592">
              <w:rPr>
                <w:rFonts w:eastAsia="Times New Roman"/>
                <w:szCs w:val="28"/>
                <w:lang w:eastAsia="ru-RU"/>
              </w:rPr>
              <w:t>модель кінцевих результатів</w:t>
            </w:r>
          </w:p>
        </w:tc>
      </w:tr>
      <w:tr w:rsidR="00ED5311" w:rsidRPr="00F37592" w:rsidTr="00DE0A54">
        <w:trPr>
          <w:trHeight w:val="320"/>
          <w:jc w:val="center"/>
        </w:trPr>
        <w:tc>
          <w:tcPr>
            <w:tcW w:w="1528" w:type="dxa"/>
          </w:tcPr>
          <w:p w:rsidR="00ED5311" w:rsidRPr="00F37592" w:rsidRDefault="00ED5311" w:rsidP="00F37592">
            <w:pPr>
              <w:widowControl w:val="0"/>
              <w:tabs>
                <w:tab w:val="left" w:pos="3000"/>
              </w:tabs>
              <w:jc w:val="left"/>
              <w:rPr>
                <w:rFonts w:eastAsia="Times New Roman"/>
                <w:szCs w:val="28"/>
                <w:lang w:eastAsia="ru-RU"/>
              </w:rPr>
            </w:pPr>
            <w:r>
              <w:rPr>
                <w:rFonts w:eastAsia="Times New Roman"/>
                <w:szCs w:val="28"/>
                <w:lang w:eastAsia="ru-RU"/>
              </w:rPr>
              <w:t>млн</w:t>
            </w:r>
          </w:p>
        </w:tc>
        <w:tc>
          <w:tcPr>
            <w:tcW w:w="567" w:type="dxa"/>
          </w:tcPr>
          <w:p w:rsidR="00ED5311" w:rsidRPr="00F37592" w:rsidRDefault="00ED5311" w:rsidP="00F37592">
            <w:pPr>
              <w:widowControl w:val="0"/>
              <w:tabs>
                <w:tab w:val="left" w:pos="3000"/>
              </w:tabs>
              <w:spacing w:line="240" w:lineRule="auto"/>
              <w:jc w:val="center"/>
              <w:rPr>
                <w:rFonts w:eastAsia="Times New Roman"/>
                <w:szCs w:val="28"/>
                <w:lang w:eastAsia="ru-RU"/>
              </w:rPr>
            </w:pPr>
            <w:r w:rsidRPr="00ED5311">
              <w:rPr>
                <w:rFonts w:eastAsia="Times New Roman"/>
                <w:szCs w:val="28"/>
                <w:lang w:eastAsia="ru-RU"/>
              </w:rPr>
              <w:t>–</w:t>
            </w:r>
          </w:p>
        </w:tc>
        <w:tc>
          <w:tcPr>
            <w:tcW w:w="7788" w:type="dxa"/>
          </w:tcPr>
          <w:p w:rsidR="00ED5311" w:rsidRPr="00F37592" w:rsidRDefault="00ED5311" w:rsidP="00F37592">
            <w:pPr>
              <w:widowControl w:val="0"/>
              <w:tabs>
                <w:tab w:val="left" w:pos="3000"/>
              </w:tabs>
              <w:spacing w:line="240" w:lineRule="auto"/>
              <w:rPr>
                <w:rFonts w:eastAsia="Times New Roman"/>
                <w:szCs w:val="28"/>
                <w:lang w:eastAsia="ru-RU"/>
              </w:rPr>
            </w:pPr>
            <w:r>
              <w:rPr>
                <w:rFonts w:eastAsia="Times New Roman"/>
                <w:szCs w:val="28"/>
                <w:lang w:eastAsia="ru-RU"/>
              </w:rPr>
              <w:t>мільйон</w:t>
            </w:r>
          </w:p>
        </w:tc>
      </w:tr>
      <w:tr w:rsidR="00F37592" w:rsidRPr="00F37592" w:rsidTr="00DE0A54">
        <w:trPr>
          <w:trHeight w:val="309"/>
          <w:jc w:val="center"/>
        </w:trPr>
        <w:tc>
          <w:tcPr>
            <w:tcW w:w="1528" w:type="dxa"/>
            <w:hideMark/>
          </w:tcPr>
          <w:p w:rsidR="00F37592" w:rsidRPr="00F37592" w:rsidRDefault="00F37592" w:rsidP="00F37592">
            <w:pPr>
              <w:widowControl w:val="0"/>
              <w:tabs>
                <w:tab w:val="left" w:pos="3000"/>
              </w:tabs>
              <w:jc w:val="left"/>
              <w:rPr>
                <w:rFonts w:eastAsia="Times New Roman"/>
                <w:szCs w:val="28"/>
                <w:lang w:eastAsia="ru-RU"/>
              </w:rPr>
            </w:pPr>
            <w:r w:rsidRPr="00F37592">
              <w:rPr>
                <w:rFonts w:eastAsia="Times New Roman"/>
                <w:szCs w:val="28"/>
                <w:lang w:eastAsia="ru-RU"/>
              </w:rPr>
              <w:lastRenderedPageBreak/>
              <w:t>МОЗ</w:t>
            </w:r>
          </w:p>
        </w:tc>
        <w:tc>
          <w:tcPr>
            <w:tcW w:w="567" w:type="dxa"/>
            <w:hideMark/>
          </w:tcPr>
          <w:p w:rsidR="00F37592" w:rsidRPr="00F37592" w:rsidRDefault="00F37592" w:rsidP="00F37592">
            <w:pPr>
              <w:widowControl w:val="0"/>
              <w:tabs>
                <w:tab w:val="left" w:pos="3000"/>
              </w:tabs>
              <w:spacing w:line="240" w:lineRule="auto"/>
              <w:jc w:val="center"/>
              <w:rPr>
                <w:rFonts w:eastAsia="Times New Roman"/>
                <w:szCs w:val="28"/>
                <w:lang w:eastAsia="ru-RU"/>
              </w:rPr>
            </w:pPr>
            <w:r w:rsidRPr="00F37592">
              <w:rPr>
                <w:rFonts w:eastAsia="Times New Roman"/>
                <w:szCs w:val="28"/>
                <w:lang w:eastAsia="ru-RU"/>
              </w:rPr>
              <w:t>–</w:t>
            </w:r>
          </w:p>
        </w:tc>
        <w:tc>
          <w:tcPr>
            <w:tcW w:w="7788" w:type="dxa"/>
            <w:hideMark/>
          </w:tcPr>
          <w:p w:rsidR="00F37592" w:rsidRPr="00F37592" w:rsidRDefault="00F37592" w:rsidP="00F37592">
            <w:pPr>
              <w:widowControl w:val="0"/>
              <w:tabs>
                <w:tab w:val="left" w:pos="3000"/>
              </w:tabs>
              <w:spacing w:line="240" w:lineRule="auto"/>
              <w:rPr>
                <w:rFonts w:eastAsia="Times New Roman"/>
                <w:szCs w:val="28"/>
                <w:lang w:eastAsia="ru-RU"/>
              </w:rPr>
            </w:pPr>
            <w:r w:rsidRPr="00F37592">
              <w:rPr>
                <w:rFonts w:eastAsia="Times New Roman"/>
                <w:szCs w:val="28"/>
                <w:lang w:eastAsia="ru-RU"/>
              </w:rPr>
              <w:t>Міністерство охорони здоров’я України</w:t>
            </w:r>
          </w:p>
        </w:tc>
      </w:tr>
      <w:tr w:rsidR="00F37592" w:rsidRPr="00F37592" w:rsidTr="00DE0A54">
        <w:trPr>
          <w:trHeight w:val="309"/>
          <w:jc w:val="center"/>
        </w:trPr>
        <w:tc>
          <w:tcPr>
            <w:tcW w:w="1528" w:type="dxa"/>
          </w:tcPr>
          <w:p w:rsidR="00F37592" w:rsidRPr="00F37592" w:rsidRDefault="00F37592" w:rsidP="00F37592">
            <w:pPr>
              <w:widowControl w:val="0"/>
              <w:tabs>
                <w:tab w:val="left" w:pos="3000"/>
              </w:tabs>
              <w:jc w:val="left"/>
              <w:rPr>
                <w:rFonts w:eastAsia="Times New Roman"/>
                <w:szCs w:val="28"/>
                <w:lang w:eastAsia="ru-RU"/>
              </w:rPr>
            </w:pPr>
            <w:r w:rsidRPr="00F37592">
              <w:rPr>
                <w:rFonts w:eastAsia="Times New Roman"/>
                <w:szCs w:val="28"/>
                <w:lang w:eastAsia="ru-RU"/>
              </w:rPr>
              <w:t>МОН</w:t>
            </w:r>
          </w:p>
        </w:tc>
        <w:tc>
          <w:tcPr>
            <w:tcW w:w="567" w:type="dxa"/>
          </w:tcPr>
          <w:p w:rsidR="00F37592" w:rsidRPr="00F37592" w:rsidRDefault="00F37592" w:rsidP="00F37592">
            <w:pPr>
              <w:widowControl w:val="0"/>
              <w:tabs>
                <w:tab w:val="left" w:pos="3000"/>
              </w:tabs>
              <w:spacing w:line="240" w:lineRule="auto"/>
              <w:jc w:val="center"/>
              <w:rPr>
                <w:rFonts w:eastAsia="Times New Roman"/>
                <w:szCs w:val="28"/>
                <w:lang w:eastAsia="ru-RU"/>
              </w:rPr>
            </w:pPr>
            <w:r w:rsidRPr="00F37592">
              <w:rPr>
                <w:rFonts w:eastAsia="Times New Roman"/>
                <w:szCs w:val="28"/>
                <w:lang w:eastAsia="ru-RU"/>
              </w:rPr>
              <w:t>–</w:t>
            </w:r>
          </w:p>
        </w:tc>
        <w:tc>
          <w:tcPr>
            <w:tcW w:w="7788" w:type="dxa"/>
          </w:tcPr>
          <w:p w:rsidR="00F37592" w:rsidRPr="00F37592" w:rsidRDefault="00F37592" w:rsidP="00F37592">
            <w:pPr>
              <w:widowControl w:val="0"/>
              <w:tabs>
                <w:tab w:val="left" w:pos="3000"/>
              </w:tabs>
              <w:spacing w:line="240" w:lineRule="auto"/>
              <w:rPr>
                <w:rFonts w:eastAsia="Times New Roman"/>
                <w:szCs w:val="28"/>
                <w:lang w:eastAsia="ru-RU"/>
              </w:rPr>
            </w:pPr>
            <w:r w:rsidRPr="00F37592">
              <w:rPr>
                <w:rFonts w:eastAsia="Times New Roman"/>
                <w:szCs w:val="28"/>
                <w:lang w:eastAsia="ru-RU"/>
              </w:rPr>
              <w:t>Міністерство освіти і науки</w:t>
            </w:r>
            <w:r w:rsidRPr="00F37592">
              <w:rPr>
                <w:rFonts w:eastAsia="Times New Roman"/>
                <w:szCs w:val="28"/>
                <w:lang w:val="ru-RU" w:eastAsia="ru-RU"/>
              </w:rPr>
              <w:t xml:space="preserve"> України</w:t>
            </w:r>
          </w:p>
        </w:tc>
      </w:tr>
      <w:tr w:rsidR="00F37592" w:rsidRPr="00F37592" w:rsidTr="00DE0A54">
        <w:trPr>
          <w:trHeight w:val="309"/>
          <w:jc w:val="center"/>
        </w:trPr>
        <w:tc>
          <w:tcPr>
            <w:tcW w:w="1528" w:type="dxa"/>
          </w:tcPr>
          <w:p w:rsidR="00F37592" w:rsidRPr="00F37592" w:rsidRDefault="00F37592" w:rsidP="00F37592">
            <w:pPr>
              <w:widowControl w:val="0"/>
              <w:tabs>
                <w:tab w:val="left" w:pos="3000"/>
              </w:tabs>
              <w:jc w:val="left"/>
              <w:rPr>
                <w:rFonts w:eastAsia="Times New Roman"/>
                <w:szCs w:val="28"/>
                <w:lang w:eastAsia="ru-RU"/>
              </w:rPr>
            </w:pPr>
            <w:r w:rsidRPr="00F37592">
              <w:rPr>
                <w:rFonts w:eastAsia="Times New Roman"/>
                <w:szCs w:val="28"/>
                <w:lang w:eastAsia="ru-RU"/>
              </w:rPr>
              <w:t>НДР</w:t>
            </w:r>
          </w:p>
        </w:tc>
        <w:tc>
          <w:tcPr>
            <w:tcW w:w="567" w:type="dxa"/>
          </w:tcPr>
          <w:p w:rsidR="00F37592" w:rsidRPr="00F37592" w:rsidRDefault="00F37592" w:rsidP="00F37592">
            <w:pPr>
              <w:widowControl w:val="0"/>
              <w:tabs>
                <w:tab w:val="left" w:pos="3000"/>
              </w:tabs>
              <w:spacing w:line="240" w:lineRule="auto"/>
              <w:jc w:val="center"/>
              <w:rPr>
                <w:rFonts w:eastAsia="Times New Roman"/>
                <w:szCs w:val="28"/>
                <w:lang w:eastAsia="ru-RU"/>
              </w:rPr>
            </w:pPr>
            <w:r w:rsidRPr="00F37592">
              <w:rPr>
                <w:rFonts w:eastAsia="Times New Roman"/>
                <w:szCs w:val="28"/>
                <w:lang w:eastAsia="ru-RU"/>
              </w:rPr>
              <w:t>–</w:t>
            </w:r>
          </w:p>
        </w:tc>
        <w:tc>
          <w:tcPr>
            <w:tcW w:w="7788" w:type="dxa"/>
          </w:tcPr>
          <w:p w:rsidR="00F37592" w:rsidRPr="00F37592" w:rsidRDefault="00F37592" w:rsidP="00F37592">
            <w:pPr>
              <w:widowControl w:val="0"/>
              <w:tabs>
                <w:tab w:val="left" w:pos="3000"/>
              </w:tabs>
              <w:spacing w:line="240" w:lineRule="auto"/>
              <w:rPr>
                <w:rFonts w:eastAsia="Times New Roman"/>
                <w:szCs w:val="28"/>
                <w:lang w:eastAsia="ru-RU"/>
              </w:rPr>
            </w:pPr>
            <w:r w:rsidRPr="00F37592">
              <w:rPr>
                <w:rFonts w:eastAsia="Times New Roman"/>
                <w:szCs w:val="28"/>
                <w:lang w:eastAsia="ru-RU"/>
              </w:rPr>
              <w:t>науково-дослідна робота</w:t>
            </w:r>
          </w:p>
        </w:tc>
      </w:tr>
      <w:tr w:rsidR="00F37592" w:rsidRPr="00F37592" w:rsidTr="00DE0A54">
        <w:trPr>
          <w:trHeight w:val="309"/>
          <w:jc w:val="center"/>
        </w:trPr>
        <w:tc>
          <w:tcPr>
            <w:tcW w:w="1528" w:type="dxa"/>
          </w:tcPr>
          <w:p w:rsidR="00F37592" w:rsidRPr="00F37592" w:rsidRDefault="00F37592" w:rsidP="00F37592">
            <w:pPr>
              <w:widowControl w:val="0"/>
              <w:tabs>
                <w:tab w:val="left" w:pos="3000"/>
              </w:tabs>
              <w:jc w:val="left"/>
              <w:rPr>
                <w:rFonts w:eastAsia="Times New Roman"/>
                <w:szCs w:val="28"/>
                <w:lang w:eastAsia="ru-RU"/>
              </w:rPr>
            </w:pPr>
            <w:r w:rsidRPr="00F37592">
              <w:rPr>
                <w:rFonts w:eastAsia="Times New Roman"/>
                <w:szCs w:val="28"/>
                <w:lang w:eastAsia="ru-RU"/>
              </w:rPr>
              <w:t>НПА</w:t>
            </w:r>
          </w:p>
        </w:tc>
        <w:tc>
          <w:tcPr>
            <w:tcW w:w="567" w:type="dxa"/>
          </w:tcPr>
          <w:p w:rsidR="00F37592" w:rsidRPr="00F37592" w:rsidRDefault="00F37592" w:rsidP="00F37592">
            <w:pPr>
              <w:widowControl w:val="0"/>
              <w:tabs>
                <w:tab w:val="left" w:pos="3000"/>
              </w:tabs>
              <w:spacing w:line="240" w:lineRule="auto"/>
              <w:jc w:val="center"/>
              <w:rPr>
                <w:rFonts w:eastAsia="Times New Roman"/>
                <w:szCs w:val="28"/>
                <w:lang w:eastAsia="ru-RU"/>
              </w:rPr>
            </w:pPr>
            <w:r w:rsidRPr="00F37592">
              <w:rPr>
                <w:rFonts w:eastAsia="Times New Roman"/>
                <w:szCs w:val="28"/>
                <w:lang w:eastAsia="ru-RU"/>
              </w:rPr>
              <w:t>–</w:t>
            </w:r>
          </w:p>
        </w:tc>
        <w:tc>
          <w:tcPr>
            <w:tcW w:w="7788" w:type="dxa"/>
          </w:tcPr>
          <w:p w:rsidR="00F37592" w:rsidRPr="00F37592" w:rsidRDefault="00F37592" w:rsidP="00F37592">
            <w:pPr>
              <w:widowControl w:val="0"/>
              <w:tabs>
                <w:tab w:val="left" w:pos="3000"/>
              </w:tabs>
              <w:spacing w:line="240" w:lineRule="auto"/>
              <w:rPr>
                <w:rFonts w:eastAsia="Times New Roman"/>
                <w:szCs w:val="28"/>
                <w:lang w:eastAsia="ru-RU"/>
              </w:rPr>
            </w:pPr>
            <w:r w:rsidRPr="00F37592">
              <w:rPr>
                <w:rFonts w:eastAsia="Times New Roman"/>
                <w:szCs w:val="28"/>
                <w:lang w:eastAsia="ru-RU"/>
              </w:rPr>
              <w:t>нормативно-правовий акт</w:t>
            </w:r>
          </w:p>
        </w:tc>
      </w:tr>
      <w:tr w:rsidR="00F37592" w:rsidRPr="00F37592" w:rsidTr="00DE0A54">
        <w:trPr>
          <w:trHeight w:val="309"/>
          <w:jc w:val="center"/>
        </w:trPr>
        <w:tc>
          <w:tcPr>
            <w:tcW w:w="1528" w:type="dxa"/>
          </w:tcPr>
          <w:p w:rsidR="00F37592" w:rsidRPr="00F37592" w:rsidRDefault="00F37592" w:rsidP="00F37592">
            <w:pPr>
              <w:widowControl w:val="0"/>
              <w:tabs>
                <w:tab w:val="left" w:pos="3000"/>
              </w:tabs>
              <w:jc w:val="left"/>
              <w:rPr>
                <w:rFonts w:eastAsia="Times New Roman"/>
                <w:szCs w:val="28"/>
                <w:lang w:eastAsia="ru-RU"/>
              </w:rPr>
            </w:pPr>
            <w:r w:rsidRPr="00F37592">
              <w:rPr>
                <w:rFonts w:eastAsia="Times New Roman"/>
                <w:szCs w:val="28"/>
                <w:lang w:eastAsia="ru-RU"/>
              </w:rPr>
              <w:t>НСЗУ</w:t>
            </w:r>
          </w:p>
        </w:tc>
        <w:tc>
          <w:tcPr>
            <w:tcW w:w="567" w:type="dxa"/>
          </w:tcPr>
          <w:p w:rsidR="00F37592" w:rsidRPr="00F37592" w:rsidRDefault="00F37592" w:rsidP="00F37592">
            <w:pPr>
              <w:widowControl w:val="0"/>
              <w:tabs>
                <w:tab w:val="left" w:pos="3000"/>
              </w:tabs>
              <w:spacing w:line="240" w:lineRule="auto"/>
              <w:jc w:val="center"/>
              <w:rPr>
                <w:rFonts w:eastAsia="Times New Roman"/>
                <w:szCs w:val="28"/>
                <w:lang w:eastAsia="ru-RU"/>
              </w:rPr>
            </w:pPr>
            <w:r w:rsidRPr="00F37592">
              <w:rPr>
                <w:rFonts w:eastAsia="Times New Roman"/>
                <w:szCs w:val="28"/>
                <w:lang w:eastAsia="ru-RU"/>
              </w:rPr>
              <w:t>–</w:t>
            </w:r>
          </w:p>
        </w:tc>
        <w:tc>
          <w:tcPr>
            <w:tcW w:w="7788" w:type="dxa"/>
          </w:tcPr>
          <w:p w:rsidR="00F37592" w:rsidRPr="00F37592" w:rsidRDefault="00F37592" w:rsidP="00F37592">
            <w:pPr>
              <w:widowControl w:val="0"/>
              <w:tabs>
                <w:tab w:val="left" w:pos="3000"/>
              </w:tabs>
              <w:spacing w:line="240" w:lineRule="auto"/>
              <w:rPr>
                <w:rFonts w:eastAsia="Times New Roman"/>
                <w:szCs w:val="28"/>
                <w:lang w:val="ru-RU" w:eastAsia="ru-RU"/>
              </w:rPr>
            </w:pPr>
            <w:r w:rsidRPr="00F37592">
              <w:rPr>
                <w:rFonts w:eastAsia="Times New Roman"/>
                <w:szCs w:val="28"/>
                <w:lang w:eastAsia="ru-RU"/>
              </w:rPr>
              <w:t>Національна служба здоров’я України</w:t>
            </w:r>
          </w:p>
        </w:tc>
      </w:tr>
      <w:tr w:rsidR="00F37592" w:rsidRPr="00F37592" w:rsidTr="00DE0A54">
        <w:trPr>
          <w:trHeight w:val="309"/>
          <w:jc w:val="center"/>
        </w:trPr>
        <w:tc>
          <w:tcPr>
            <w:tcW w:w="1528" w:type="dxa"/>
            <w:hideMark/>
          </w:tcPr>
          <w:p w:rsidR="00F37592" w:rsidRPr="00F37592" w:rsidRDefault="00F37592" w:rsidP="00F37592">
            <w:pPr>
              <w:widowControl w:val="0"/>
              <w:tabs>
                <w:tab w:val="left" w:pos="3000"/>
              </w:tabs>
              <w:jc w:val="left"/>
              <w:rPr>
                <w:rFonts w:eastAsia="Times New Roman"/>
                <w:szCs w:val="28"/>
                <w:lang w:eastAsia="ru-RU"/>
              </w:rPr>
            </w:pPr>
            <w:r w:rsidRPr="00F37592">
              <w:rPr>
                <w:rFonts w:eastAsia="Times New Roman"/>
                <w:szCs w:val="28"/>
                <w:lang w:eastAsia="ru-RU"/>
              </w:rPr>
              <w:t>ОЗ</w:t>
            </w:r>
          </w:p>
        </w:tc>
        <w:tc>
          <w:tcPr>
            <w:tcW w:w="567" w:type="dxa"/>
            <w:hideMark/>
          </w:tcPr>
          <w:p w:rsidR="00F37592" w:rsidRPr="00F37592" w:rsidRDefault="00F37592" w:rsidP="00F37592">
            <w:pPr>
              <w:widowControl w:val="0"/>
              <w:tabs>
                <w:tab w:val="left" w:pos="3000"/>
              </w:tabs>
              <w:spacing w:line="240" w:lineRule="auto"/>
              <w:jc w:val="center"/>
              <w:rPr>
                <w:rFonts w:eastAsia="Times New Roman"/>
                <w:szCs w:val="28"/>
                <w:lang w:eastAsia="ru-RU"/>
              </w:rPr>
            </w:pPr>
            <w:r w:rsidRPr="00F37592">
              <w:rPr>
                <w:rFonts w:eastAsia="Times New Roman"/>
                <w:szCs w:val="28"/>
                <w:lang w:eastAsia="ru-RU"/>
              </w:rPr>
              <w:t>–</w:t>
            </w:r>
          </w:p>
        </w:tc>
        <w:tc>
          <w:tcPr>
            <w:tcW w:w="7788" w:type="dxa"/>
            <w:hideMark/>
          </w:tcPr>
          <w:p w:rsidR="00F37592" w:rsidRPr="00F37592" w:rsidRDefault="00F37592" w:rsidP="00F37592">
            <w:pPr>
              <w:widowControl w:val="0"/>
              <w:tabs>
                <w:tab w:val="left" w:pos="3000"/>
              </w:tabs>
              <w:spacing w:line="240" w:lineRule="auto"/>
              <w:rPr>
                <w:rFonts w:eastAsia="Times New Roman"/>
                <w:szCs w:val="28"/>
                <w:lang w:eastAsia="ru-RU"/>
              </w:rPr>
            </w:pPr>
            <w:r w:rsidRPr="00F37592">
              <w:rPr>
                <w:rFonts w:eastAsia="Times New Roman"/>
                <w:szCs w:val="28"/>
                <w:lang w:eastAsia="ru-RU"/>
              </w:rPr>
              <w:t>охорона здоров’я</w:t>
            </w:r>
          </w:p>
        </w:tc>
      </w:tr>
      <w:tr w:rsidR="00F37592" w:rsidRPr="00F37592" w:rsidTr="00DE0A54">
        <w:trPr>
          <w:trHeight w:val="309"/>
          <w:jc w:val="center"/>
        </w:trPr>
        <w:tc>
          <w:tcPr>
            <w:tcW w:w="1528" w:type="dxa"/>
          </w:tcPr>
          <w:p w:rsidR="00F37592" w:rsidRPr="00F37592" w:rsidRDefault="00F37592" w:rsidP="00F37592">
            <w:pPr>
              <w:widowControl w:val="0"/>
              <w:tabs>
                <w:tab w:val="left" w:pos="3000"/>
              </w:tabs>
              <w:jc w:val="left"/>
              <w:rPr>
                <w:rFonts w:eastAsia="Times New Roman"/>
                <w:szCs w:val="28"/>
                <w:lang w:eastAsia="ru-RU"/>
              </w:rPr>
            </w:pPr>
            <w:r w:rsidRPr="00F37592">
              <w:rPr>
                <w:rFonts w:eastAsia="Times New Roman"/>
                <w:szCs w:val="28"/>
                <w:lang w:eastAsia="ru-RU"/>
              </w:rPr>
              <w:t>ООН</w:t>
            </w:r>
          </w:p>
        </w:tc>
        <w:tc>
          <w:tcPr>
            <w:tcW w:w="567" w:type="dxa"/>
          </w:tcPr>
          <w:p w:rsidR="00F37592" w:rsidRPr="00F37592" w:rsidRDefault="00F37592" w:rsidP="00F37592">
            <w:pPr>
              <w:widowControl w:val="0"/>
              <w:tabs>
                <w:tab w:val="left" w:pos="3000"/>
              </w:tabs>
              <w:spacing w:line="240" w:lineRule="auto"/>
              <w:jc w:val="center"/>
              <w:rPr>
                <w:rFonts w:eastAsia="Times New Roman"/>
                <w:szCs w:val="28"/>
                <w:lang w:eastAsia="ru-RU"/>
              </w:rPr>
            </w:pPr>
            <w:r w:rsidRPr="00F37592">
              <w:rPr>
                <w:rFonts w:eastAsia="Times New Roman"/>
                <w:szCs w:val="28"/>
                <w:lang w:eastAsia="ru-RU"/>
              </w:rPr>
              <w:t>–</w:t>
            </w:r>
          </w:p>
        </w:tc>
        <w:tc>
          <w:tcPr>
            <w:tcW w:w="7788" w:type="dxa"/>
          </w:tcPr>
          <w:p w:rsidR="00F37592" w:rsidRPr="00F37592" w:rsidRDefault="00F37592" w:rsidP="00F37592">
            <w:pPr>
              <w:widowControl w:val="0"/>
              <w:tabs>
                <w:tab w:val="left" w:pos="3000"/>
              </w:tabs>
              <w:spacing w:line="240" w:lineRule="auto"/>
              <w:rPr>
                <w:rFonts w:eastAsia="Times New Roman"/>
                <w:szCs w:val="28"/>
                <w:lang w:eastAsia="ru-RU"/>
              </w:rPr>
            </w:pPr>
            <w:r w:rsidRPr="00F37592">
              <w:rPr>
                <w:rFonts w:eastAsia="Times New Roman"/>
                <w:szCs w:val="28"/>
                <w:lang w:eastAsia="ru-RU"/>
              </w:rPr>
              <w:t>Організація Об’єднаних Націй</w:t>
            </w:r>
          </w:p>
        </w:tc>
      </w:tr>
      <w:tr w:rsidR="00F37592" w:rsidRPr="00F37592" w:rsidTr="00DE0A54">
        <w:trPr>
          <w:trHeight w:val="309"/>
          <w:jc w:val="center"/>
        </w:trPr>
        <w:tc>
          <w:tcPr>
            <w:tcW w:w="1528" w:type="dxa"/>
          </w:tcPr>
          <w:p w:rsidR="00F37592" w:rsidRPr="00F37592" w:rsidRDefault="00F37592" w:rsidP="00F37592">
            <w:pPr>
              <w:widowControl w:val="0"/>
              <w:tabs>
                <w:tab w:val="left" w:pos="3000"/>
              </w:tabs>
              <w:jc w:val="left"/>
              <w:rPr>
                <w:rFonts w:eastAsia="Times New Roman"/>
                <w:szCs w:val="28"/>
                <w:lang w:eastAsia="ru-RU"/>
              </w:rPr>
            </w:pPr>
            <w:r w:rsidRPr="00F37592">
              <w:rPr>
                <w:rFonts w:eastAsia="Times New Roman"/>
                <w:szCs w:val="28"/>
                <w:lang w:eastAsia="ru-RU"/>
              </w:rPr>
              <w:t>ПД</w:t>
            </w:r>
          </w:p>
        </w:tc>
        <w:tc>
          <w:tcPr>
            <w:tcW w:w="567" w:type="dxa"/>
          </w:tcPr>
          <w:p w:rsidR="00F37592" w:rsidRPr="00F37592" w:rsidRDefault="00F37592" w:rsidP="00F37592">
            <w:pPr>
              <w:widowControl w:val="0"/>
              <w:tabs>
                <w:tab w:val="left" w:pos="3000"/>
              </w:tabs>
              <w:spacing w:line="240" w:lineRule="auto"/>
              <w:jc w:val="center"/>
              <w:rPr>
                <w:rFonts w:eastAsia="Times New Roman"/>
                <w:szCs w:val="28"/>
                <w:lang w:eastAsia="ru-RU"/>
              </w:rPr>
            </w:pPr>
            <w:r w:rsidRPr="00F37592">
              <w:rPr>
                <w:rFonts w:eastAsia="Times New Roman"/>
                <w:szCs w:val="28"/>
                <w:lang w:eastAsia="ru-RU"/>
              </w:rPr>
              <w:t>–</w:t>
            </w:r>
          </w:p>
        </w:tc>
        <w:tc>
          <w:tcPr>
            <w:tcW w:w="7788" w:type="dxa"/>
          </w:tcPr>
          <w:p w:rsidR="00F37592" w:rsidRPr="00F37592" w:rsidRDefault="00F37592" w:rsidP="00F37592">
            <w:pPr>
              <w:widowControl w:val="0"/>
              <w:tabs>
                <w:tab w:val="left" w:pos="3000"/>
              </w:tabs>
              <w:spacing w:line="240" w:lineRule="auto"/>
              <w:rPr>
                <w:rFonts w:eastAsia="Times New Roman"/>
                <w:szCs w:val="28"/>
                <w:lang w:eastAsia="ru-RU"/>
              </w:rPr>
            </w:pPr>
            <w:r w:rsidRPr="00F37592">
              <w:rPr>
                <w:rFonts w:eastAsia="Times New Roman"/>
                <w:szCs w:val="28"/>
                <w:lang w:eastAsia="ru-RU"/>
              </w:rPr>
              <w:t>перинатальна допомоги</w:t>
            </w:r>
          </w:p>
        </w:tc>
      </w:tr>
      <w:tr w:rsidR="00F37592" w:rsidRPr="00F37592" w:rsidTr="00DE0A54">
        <w:trPr>
          <w:trHeight w:val="309"/>
          <w:jc w:val="center"/>
        </w:trPr>
        <w:tc>
          <w:tcPr>
            <w:tcW w:w="1528" w:type="dxa"/>
          </w:tcPr>
          <w:p w:rsidR="00F37592" w:rsidRPr="00F37592" w:rsidRDefault="00F37592" w:rsidP="00F37592">
            <w:pPr>
              <w:widowControl w:val="0"/>
              <w:tabs>
                <w:tab w:val="left" w:pos="3000"/>
              </w:tabs>
              <w:jc w:val="left"/>
              <w:rPr>
                <w:rFonts w:eastAsia="Times New Roman"/>
                <w:szCs w:val="28"/>
                <w:lang w:eastAsia="ru-RU"/>
              </w:rPr>
            </w:pPr>
            <w:r w:rsidRPr="00F37592">
              <w:rPr>
                <w:rFonts w:eastAsia="Times New Roman"/>
                <w:szCs w:val="28"/>
                <w:lang w:eastAsia="ru-RU"/>
              </w:rPr>
              <w:t>ПМСД</w:t>
            </w:r>
          </w:p>
        </w:tc>
        <w:tc>
          <w:tcPr>
            <w:tcW w:w="567" w:type="dxa"/>
          </w:tcPr>
          <w:p w:rsidR="00F37592" w:rsidRPr="00F37592" w:rsidRDefault="00F37592" w:rsidP="00F37592">
            <w:pPr>
              <w:widowControl w:val="0"/>
              <w:tabs>
                <w:tab w:val="left" w:pos="3000"/>
              </w:tabs>
              <w:spacing w:line="240" w:lineRule="auto"/>
              <w:jc w:val="center"/>
              <w:rPr>
                <w:rFonts w:eastAsia="Times New Roman"/>
                <w:szCs w:val="28"/>
                <w:lang w:eastAsia="ru-RU"/>
              </w:rPr>
            </w:pPr>
            <w:r w:rsidRPr="00F37592">
              <w:rPr>
                <w:rFonts w:eastAsia="Times New Roman"/>
                <w:szCs w:val="28"/>
                <w:lang w:eastAsia="ru-RU"/>
              </w:rPr>
              <w:t>–</w:t>
            </w:r>
          </w:p>
        </w:tc>
        <w:tc>
          <w:tcPr>
            <w:tcW w:w="7788" w:type="dxa"/>
          </w:tcPr>
          <w:p w:rsidR="00F37592" w:rsidRPr="00F37592" w:rsidRDefault="00F37592" w:rsidP="00F37592">
            <w:pPr>
              <w:widowControl w:val="0"/>
              <w:tabs>
                <w:tab w:val="left" w:pos="3000"/>
              </w:tabs>
              <w:spacing w:line="240" w:lineRule="auto"/>
              <w:rPr>
                <w:rFonts w:eastAsia="Times New Roman"/>
                <w:szCs w:val="28"/>
                <w:lang w:eastAsia="ru-RU"/>
              </w:rPr>
            </w:pPr>
            <w:r w:rsidRPr="00F37592">
              <w:rPr>
                <w:rFonts w:eastAsia="Times New Roman"/>
                <w:szCs w:val="28"/>
                <w:lang w:eastAsia="ru-RU"/>
              </w:rPr>
              <w:t>первинна медико-санітарна допомога</w:t>
            </w:r>
          </w:p>
        </w:tc>
      </w:tr>
      <w:tr w:rsidR="00F37592" w:rsidRPr="00F37592" w:rsidTr="00DE0A54">
        <w:trPr>
          <w:trHeight w:val="309"/>
          <w:jc w:val="center"/>
        </w:trPr>
        <w:tc>
          <w:tcPr>
            <w:tcW w:w="1528" w:type="dxa"/>
          </w:tcPr>
          <w:p w:rsidR="00F37592" w:rsidRPr="00F37592" w:rsidRDefault="00F37592" w:rsidP="00F37592">
            <w:pPr>
              <w:widowControl w:val="0"/>
              <w:tabs>
                <w:tab w:val="left" w:pos="3000"/>
              </w:tabs>
              <w:jc w:val="left"/>
              <w:rPr>
                <w:rFonts w:eastAsia="Times New Roman"/>
                <w:szCs w:val="28"/>
                <w:lang w:eastAsia="ru-RU"/>
              </w:rPr>
            </w:pPr>
            <w:r w:rsidRPr="00F37592">
              <w:rPr>
                <w:rFonts w:eastAsia="Times New Roman"/>
                <w:szCs w:val="28"/>
                <w:lang w:eastAsia="ru-RU"/>
              </w:rPr>
              <w:t>ПЦ</w:t>
            </w:r>
          </w:p>
        </w:tc>
        <w:tc>
          <w:tcPr>
            <w:tcW w:w="567" w:type="dxa"/>
          </w:tcPr>
          <w:p w:rsidR="00F37592" w:rsidRPr="00F37592" w:rsidRDefault="00F37592" w:rsidP="00F37592">
            <w:pPr>
              <w:widowControl w:val="0"/>
              <w:tabs>
                <w:tab w:val="left" w:pos="3000"/>
              </w:tabs>
              <w:spacing w:line="240" w:lineRule="auto"/>
              <w:jc w:val="center"/>
              <w:rPr>
                <w:rFonts w:eastAsia="Times New Roman"/>
                <w:szCs w:val="28"/>
                <w:lang w:eastAsia="ru-RU"/>
              </w:rPr>
            </w:pPr>
            <w:r w:rsidRPr="00F37592">
              <w:rPr>
                <w:rFonts w:eastAsia="Times New Roman"/>
                <w:szCs w:val="28"/>
                <w:lang w:eastAsia="ru-RU"/>
              </w:rPr>
              <w:t>–</w:t>
            </w:r>
          </w:p>
        </w:tc>
        <w:tc>
          <w:tcPr>
            <w:tcW w:w="7788" w:type="dxa"/>
          </w:tcPr>
          <w:p w:rsidR="00F37592" w:rsidRPr="00F37592" w:rsidRDefault="00F37592" w:rsidP="00F37592">
            <w:pPr>
              <w:widowControl w:val="0"/>
              <w:tabs>
                <w:tab w:val="left" w:pos="3000"/>
              </w:tabs>
              <w:spacing w:line="240" w:lineRule="auto"/>
              <w:rPr>
                <w:rFonts w:eastAsia="Times New Roman"/>
                <w:szCs w:val="28"/>
                <w:lang w:eastAsia="ru-RU"/>
              </w:rPr>
            </w:pPr>
            <w:r w:rsidRPr="00F37592">
              <w:rPr>
                <w:rFonts w:eastAsia="Times New Roman"/>
                <w:szCs w:val="28"/>
                <w:lang w:eastAsia="ru-RU"/>
              </w:rPr>
              <w:t>перинатальний центр</w:t>
            </w:r>
          </w:p>
        </w:tc>
      </w:tr>
      <w:tr w:rsidR="00F37592" w:rsidRPr="00F37592" w:rsidTr="00DE0A54">
        <w:trPr>
          <w:trHeight w:val="309"/>
          <w:jc w:val="center"/>
        </w:trPr>
        <w:tc>
          <w:tcPr>
            <w:tcW w:w="1528" w:type="dxa"/>
          </w:tcPr>
          <w:p w:rsidR="00F37592" w:rsidRPr="00F37592" w:rsidRDefault="00F37592" w:rsidP="00F37592">
            <w:pPr>
              <w:widowControl w:val="0"/>
              <w:tabs>
                <w:tab w:val="left" w:pos="3000"/>
              </w:tabs>
              <w:jc w:val="left"/>
              <w:rPr>
                <w:rFonts w:eastAsia="Times New Roman"/>
                <w:szCs w:val="28"/>
                <w:lang w:eastAsia="ru-RU"/>
              </w:rPr>
            </w:pPr>
            <w:r w:rsidRPr="00F37592">
              <w:rPr>
                <w:rFonts w:eastAsia="Times New Roman"/>
                <w:szCs w:val="28"/>
                <w:lang w:eastAsia="ru-RU"/>
              </w:rPr>
              <w:t>РЛ</w:t>
            </w:r>
          </w:p>
        </w:tc>
        <w:tc>
          <w:tcPr>
            <w:tcW w:w="567" w:type="dxa"/>
          </w:tcPr>
          <w:p w:rsidR="00F37592" w:rsidRPr="00F37592" w:rsidRDefault="00F37592" w:rsidP="00F37592">
            <w:pPr>
              <w:widowControl w:val="0"/>
              <w:tabs>
                <w:tab w:val="left" w:pos="3000"/>
              </w:tabs>
              <w:spacing w:line="240" w:lineRule="auto"/>
              <w:jc w:val="center"/>
              <w:rPr>
                <w:rFonts w:eastAsia="Times New Roman"/>
                <w:szCs w:val="28"/>
                <w:lang w:eastAsia="ru-RU"/>
              </w:rPr>
            </w:pPr>
            <w:r w:rsidRPr="00F37592">
              <w:rPr>
                <w:rFonts w:eastAsia="Times New Roman"/>
                <w:szCs w:val="28"/>
                <w:lang w:eastAsia="ru-RU"/>
              </w:rPr>
              <w:t>–</w:t>
            </w:r>
          </w:p>
        </w:tc>
        <w:tc>
          <w:tcPr>
            <w:tcW w:w="7788" w:type="dxa"/>
          </w:tcPr>
          <w:p w:rsidR="00F37592" w:rsidRPr="00F37592" w:rsidRDefault="00F37592" w:rsidP="00F37592">
            <w:pPr>
              <w:widowControl w:val="0"/>
              <w:tabs>
                <w:tab w:val="left" w:pos="3000"/>
              </w:tabs>
              <w:spacing w:line="240" w:lineRule="auto"/>
              <w:rPr>
                <w:rFonts w:eastAsia="Times New Roman"/>
                <w:szCs w:val="28"/>
                <w:lang w:eastAsia="ru-RU"/>
              </w:rPr>
            </w:pPr>
            <w:r w:rsidRPr="00F37592">
              <w:rPr>
                <w:rFonts w:eastAsia="Times New Roman"/>
                <w:szCs w:val="28"/>
                <w:lang w:eastAsia="ru-RU"/>
              </w:rPr>
              <w:t>районна лікарня</w:t>
            </w:r>
          </w:p>
        </w:tc>
      </w:tr>
      <w:tr w:rsidR="00F37592" w:rsidRPr="00F37592" w:rsidTr="00DE0A54">
        <w:trPr>
          <w:trHeight w:val="309"/>
          <w:jc w:val="center"/>
        </w:trPr>
        <w:tc>
          <w:tcPr>
            <w:tcW w:w="1528" w:type="dxa"/>
          </w:tcPr>
          <w:p w:rsidR="00F37592" w:rsidRPr="00F37592" w:rsidRDefault="00F37592" w:rsidP="00F37592">
            <w:pPr>
              <w:widowControl w:val="0"/>
              <w:tabs>
                <w:tab w:val="left" w:pos="3000"/>
              </w:tabs>
              <w:jc w:val="left"/>
              <w:rPr>
                <w:rFonts w:eastAsia="Times New Roman"/>
                <w:szCs w:val="28"/>
                <w:lang w:eastAsia="ru-RU"/>
              </w:rPr>
            </w:pPr>
            <w:r w:rsidRPr="00F37592">
              <w:rPr>
                <w:rFonts w:eastAsia="Times New Roman"/>
                <w:szCs w:val="28"/>
                <w:lang w:eastAsia="ru-RU"/>
              </w:rPr>
              <w:t>РПД</w:t>
            </w:r>
          </w:p>
        </w:tc>
        <w:tc>
          <w:tcPr>
            <w:tcW w:w="567" w:type="dxa"/>
          </w:tcPr>
          <w:p w:rsidR="00F37592" w:rsidRPr="00F37592" w:rsidRDefault="00F37592" w:rsidP="00F37592">
            <w:pPr>
              <w:widowControl w:val="0"/>
              <w:tabs>
                <w:tab w:val="left" w:pos="3000"/>
              </w:tabs>
              <w:spacing w:line="240" w:lineRule="auto"/>
              <w:jc w:val="center"/>
              <w:rPr>
                <w:rFonts w:eastAsia="Times New Roman"/>
                <w:szCs w:val="28"/>
                <w:lang w:eastAsia="ru-RU"/>
              </w:rPr>
            </w:pPr>
            <w:r w:rsidRPr="00F37592">
              <w:rPr>
                <w:rFonts w:eastAsia="Times New Roman"/>
                <w:szCs w:val="28"/>
                <w:lang w:eastAsia="ru-RU"/>
              </w:rPr>
              <w:t>–</w:t>
            </w:r>
          </w:p>
        </w:tc>
        <w:tc>
          <w:tcPr>
            <w:tcW w:w="7788" w:type="dxa"/>
          </w:tcPr>
          <w:p w:rsidR="00F37592" w:rsidRPr="00F37592" w:rsidRDefault="00F37592" w:rsidP="00F37592">
            <w:pPr>
              <w:widowControl w:val="0"/>
              <w:tabs>
                <w:tab w:val="left" w:pos="3000"/>
              </w:tabs>
              <w:spacing w:line="240" w:lineRule="auto"/>
              <w:rPr>
                <w:rFonts w:eastAsia="Times New Roman"/>
                <w:szCs w:val="28"/>
                <w:lang w:eastAsia="ru-RU"/>
              </w:rPr>
            </w:pPr>
            <w:r w:rsidRPr="00F37592">
              <w:rPr>
                <w:rFonts w:eastAsia="Calibri"/>
                <w:color w:val="000000"/>
                <w:szCs w:val="28"/>
                <w:lang w:val="en-US"/>
              </w:rPr>
              <w:t>регіоналізація перинатальної допомоги</w:t>
            </w:r>
          </w:p>
        </w:tc>
      </w:tr>
      <w:tr w:rsidR="00F37592" w:rsidRPr="00F37592" w:rsidTr="00DE0A54">
        <w:trPr>
          <w:trHeight w:val="309"/>
          <w:jc w:val="center"/>
        </w:trPr>
        <w:tc>
          <w:tcPr>
            <w:tcW w:w="1528" w:type="dxa"/>
          </w:tcPr>
          <w:p w:rsidR="00F37592" w:rsidRPr="00F37592" w:rsidRDefault="00F37592" w:rsidP="00F37592">
            <w:pPr>
              <w:widowControl w:val="0"/>
              <w:tabs>
                <w:tab w:val="left" w:pos="3000"/>
              </w:tabs>
              <w:jc w:val="left"/>
              <w:rPr>
                <w:rFonts w:eastAsia="Times New Roman"/>
                <w:szCs w:val="28"/>
                <w:lang w:eastAsia="ru-RU"/>
              </w:rPr>
            </w:pPr>
            <w:r w:rsidRPr="00F37592">
              <w:rPr>
                <w:rFonts w:eastAsia="Times New Roman"/>
                <w:szCs w:val="28"/>
                <w:lang w:val="en-US" w:eastAsia="ru-RU"/>
              </w:rPr>
              <w:t>C</w:t>
            </w:r>
            <w:r w:rsidRPr="00F37592">
              <w:rPr>
                <w:rFonts w:eastAsia="Times New Roman"/>
                <w:szCs w:val="28"/>
                <w:lang w:eastAsia="ru-RU"/>
              </w:rPr>
              <w:t>ЛА</w:t>
            </w:r>
          </w:p>
        </w:tc>
        <w:tc>
          <w:tcPr>
            <w:tcW w:w="567" w:type="dxa"/>
          </w:tcPr>
          <w:p w:rsidR="00F37592" w:rsidRPr="00F37592" w:rsidRDefault="00F37592" w:rsidP="00F37592">
            <w:pPr>
              <w:widowControl w:val="0"/>
              <w:tabs>
                <w:tab w:val="left" w:pos="3000"/>
              </w:tabs>
              <w:spacing w:line="240" w:lineRule="auto"/>
              <w:jc w:val="center"/>
              <w:rPr>
                <w:rFonts w:eastAsia="Times New Roman"/>
                <w:szCs w:val="28"/>
                <w:lang w:eastAsia="ru-RU"/>
              </w:rPr>
            </w:pPr>
            <w:r w:rsidRPr="00F37592">
              <w:rPr>
                <w:rFonts w:eastAsia="Times New Roman"/>
                <w:szCs w:val="28"/>
                <w:lang w:eastAsia="ru-RU"/>
              </w:rPr>
              <w:t>–</w:t>
            </w:r>
          </w:p>
        </w:tc>
        <w:tc>
          <w:tcPr>
            <w:tcW w:w="7788" w:type="dxa"/>
          </w:tcPr>
          <w:p w:rsidR="00F37592" w:rsidRPr="00F37592" w:rsidRDefault="00F37592" w:rsidP="00F37592">
            <w:pPr>
              <w:widowControl w:val="0"/>
              <w:tabs>
                <w:tab w:val="left" w:pos="3000"/>
              </w:tabs>
              <w:spacing w:line="240" w:lineRule="auto"/>
              <w:rPr>
                <w:rFonts w:eastAsia="Times New Roman"/>
                <w:szCs w:val="28"/>
                <w:lang w:eastAsia="ru-RU"/>
              </w:rPr>
            </w:pPr>
            <w:r w:rsidRPr="00F37592">
              <w:rPr>
                <w:rFonts w:eastAsia="Calibri"/>
                <w:color w:val="000000"/>
                <w:szCs w:val="28"/>
                <w:lang w:val="en-US"/>
              </w:rPr>
              <w:t>сільська лікарська амбулаторія</w:t>
            </w:r>
          </w:p>
        </w:tc>
      </w:tr>
      <w:tr w:rsidR="00F37592" w:rsidRPr="00F37592" w:rsidTr="00DE0A54">
        <w:trPr>
          <w:trHeight w:val="309"/>
          <w:jc w:val="center"/>
        </w:trPr>
        <w:tc>
          <w:tcPr>
            <w:tcW w:w="1528" w:type="dxa"/>
          </w:tcPr>
          <w:p w:rsidR="00F37592" w:rsidRPr="00F37592" w:rsidRDefault="00F37592" w:rsidP="00F37592">
            <w:pPr>
              <w:widowControl w:val="0"/>
              <w:tabs>
                <w:tab w:val="left" w:pos="3000"/>
              </w:tabs>
              <w:jc w:val="left"/>
              <w:rPr>
                <w:rFonts w:eastAsia="Times New Roman"/>
                <w:szCs w:val="28"/>
                <w:lang w:eastAsia="ru-RU"/>
              </w:rPr>
            </w:pPr>
            <w:r w:rsidRPr="00F37592">
              <w:rPr>
                <w:rFonts w:eastAsia="Times New Roman"/>
                <w:szCs w:val="28"/>
                <w:lang w:eastAsia="ru-RU"/>
              </w:rPr>
              <w:t>СПЕП</w:t>
            </w:r>
          </w:p>
        </w:tc>
        <w:tc>
          <w:tcPr>
            <w:tcW w:w="567" w:type="dxa"/>
          </w:tcPr>
          <w:p w:rsidR="00F37592" w:rsidRPr="00F37592" w:rsidRDefault="00F37592" w:rsidP="00F37592">
            <w:pPr>
              <w:widowControl w:val="0"/>
              <w:tabs>
                <w:tab w:val="left" w:pos="3000"/>
              </w:tabs>
              <w:spacing w:line="240" w:lineRule="auto"/>
              <w:jc w:val="center"/>
              <w:rPr>
                <w:rFonts w:eastAsia="Times New Roman"/>
                <w:szCs w:val="28"/>
                <w:lang w:eastAsia="ru-RU"/>
              </w:rPr>
            </w:pPr>
            <w:r w:rsidRPr="00F37592">
              <w:rPr>
                <w:rFonts w:eastAsia="Times New Roman"/>
                <w:szCs w:val="28"/>
                <w:lang w:eastAsia="ru-RU"/>
              </w:rPr>
              <w:t>–</w:t>
            </w:r>
          </w:p>
        </w:tc>
        <w:tc>
          <w:tcPr>
            <w:tcW w:w="7788" w:type="dxa"/>
          </w:tcPr>
          <w:p w:rsidR="00F37592" w:rsidRPr="00F37592" w:rsidRDefault="00F37592" w:rsidP="000977FA">
            <w:pPr>
              <w:contextualSpacing/>
              <w:rPr>
                <w:rFonts w:eastAsia="Calibri"/>
                <w:color w:val="000000"/>
                <w:szCs w:val="28"/>
              </w:rPr>
            </w:pPr>
            <w:r w:rsidRPr="00F37592">
              <w:rPr>
                <w:rFonts w:eastAsia="Calibri"/>
                <w:color w:val="000000"/>
                <w:szCs w:val="28"/>
              </w:rPr>
              <w:t xml:space="preserve">сприяння підвищенню ефективності перинатальної </w:t>
            </w:r>
          </w:p>
          <w:p w:rsidR="00F37592" w:rsidRPr="00F37592" w:rsidRDefault="00F37592" w:rsidP="000977FA">
            <w:pPr>
              <w:widowControl w:val="0"/>
              <w:tabs>
                <w:tab w:val="left" w:pos="3000"/>
              </w:tabs>
              <w:rPr>
                <w:rFonts w:eastAsia="Calibri"/>
                <w:color w:val="000000"/>
                <w:szCs w:val="28"/>
                <w:lang w:val="ru-RU"/>
              </w:rPr>
            </w:pPr>
            <w:r w:rsidRPr="00F37592">
              <w:rPr>
                <w:rFonts w:eastAsia="Calibri"/>
                <w:color w:val="000000"/>
                <w:szCs w:val="28"/>
              </w:rPr>
              <w:t>допомоги</w:t>
            </w:r>
          </w:p>
        </w:tc>
      </w:tr>
      <w:tr w:rsidR="00F37592" w:rsidRPr="00F37592" w:rsidTr="00DE0A54">
        <w:trPr>
          <w:trHeight w:val="309"/>
          <w:jc w:val="center"/>
        </w:trPr>
        <w:tc>
          <w:tcPr>
            <w:tcW w:w="1528" w:type="dxa"/>
          </w:tcPr>
          <w:p w:rsidR="00F37592" w:rsidRPr="00F37592" w:rsidRDefault="00F37592" w:rsidP="00F37592">
            <w:pPr>
              <w:widowControl w:val="0"/>
              <w:tabs>
                <w:tab w:val="left" w:pos="3000"/>
              </w:tabs>
              <w:jc w:val="left"/>
              <w:rPr>
                <w:rFonts w:eastAsia="Times New Roman"/>
                <w:szCs w:val="28"/>
                <w:lang w:eastAsia="ru-RU"/>
              </w:rPr>
            </w:pPr>
            <w:r w:rsidRPr="00F37592">
              <w:rPr>
                <w:rFonts w:eastAsia="Times New Roman"/>
                <w:szCs w:val="28"/>
                <w:lang w:eastAsia="ru-RU"/>
              </w:rPr>
              <w:t>ФАП</w:t>
            </w:r>
          </w:p>
        </w:tc>
        <w:tc>
          <w:tcPr>
            <w:tcW w:w="567" w:type="dxa"/>
          </w:tcPr>
          <w:p w:rsidR="00F37592" w:rsidRPr="00F37592" w:rsidRDefault="00F37592" w:rsidP="00F37592">
            <w:pPr>
              <w:widowControl w:val="0"/>
              <w:tabs>
                <w:tab w:val="left" w:pos="3000"/>
              </w:tabs>
              <w:spacing w:line="240" w:lineRule="auto"/>
              <w:jc w:val="center"/>
              <w:rPr>
                <w:rFonts w:eastAsia="Times New Roman"/>
                <w:szCs w:val="28"/>
                <w:lang w:eastAsia="ru-RU"/>
              </w:rPr>
            </w:pPr>
            <w:r w:rsidRPr="00F37592">
              <w:rPr>
                <w:rFonts w:eastAsia="Times New Roman"/>
                <w:szCs w:val="28"/>
                <w:lang w:eastAsia="ru-RU"/>
              </w:rPr>
              <w:t>–</w:t>
            </w:r>
          </w:p>
        </w:tc>
        <w:tc>
          <w:tcPr>
            <w:tcW w:w="7788" w:type="dxa"/>
          </w:tcPr>
          <w:p w:rsidR="00F37592" w:rsidRPr="00F37592" w:rsidRDefault="00F37592" w:rsidP="00F37592">
            <w:pPr>
              <w:widowControl w:val="0"/>
              <w:tabs>
                <w:tab w:val="left" w:pos="3000"/>
              </w:tabs>
              <w:spacing w:line="240" w:lineRule="auto"/>
              <w:rPr>
                <w:rFonts w:eastAsia="Times New Roman"/>
                <w:szCs w:val="28"/>
                <w:lang w:eastAsia="ru-RU"/>
              </w:rPr>
            </w:pPr>
            <w:r w:rsidRPr="00F37592">
              <w:rPr>
                <w:rFonts w:eastAsia="Times New Roman"/>
                <w:szCs w:val="28"/>
                <w:lang w:eastAsia="ru-RU"/>
              </w:rPr>
              <w:t>фельдшерсько-акушерський пункт</w:t>
            </w:r>
          </w:p>
        </w:tc>
      </w:tr>
      <w:tr w:rsidR="00F37592" w:rsidRPr="00F37592" w:rsidTr="00DE0A54">
        <w:trPr>
          <w:trHeight w:val="309"/>
          <w:jc w:val="center"/>
        </w:trPr>
        <w:tc>
          <w:tcPr>
            <w:tcW w:w="1528" w:type="dxa"/>
          </w:tcPr>
          <w:p w:rsidR="00F37592" w:rsidRPr="00F37592" w:rsidRDefault="00F37592" w:rsidP="00F37592">
            <w:pPr>
              <w:widowControl w:val="0"/>
              <w:tabs>
                <w:tab w:val="left" w:pos="3000"/>
              </w:tabs>
              <w:jc w:val="left"/>
              <w:rPr>
                <w:rFonts w:eastAsia="Times New Roman"/>
                <w:szCs w:val="28"/>
                <w:lang w:eastAsia="ru-RU"/>
              </w:rPr>
            </w:pPr>
            <w:r w:rsidRPr="00F37592">
              <w:rPr>
                <w:rFonts w:eastAsia="Times New Roman"/>
                <w:szCs w:val="28"/>
                <w:lang w:eastAsia="ru-RU"/>
              </w:rPr>
              <w:t>ФП</w:t>
            </w:r>
          </w:p>
        </w:tc>
        <w:tc>
          <w:tcPr>
            <w:tcW w:w="567" w:type="dxa"/>
          </w:tcPr>
          <w:p w:rsidR="00F37592" w:rsidRPr="00F37592" w:rsidRDefault="00F37592" w:rsidP="00F37592">
            <w:pPr>
              <w:widowControl w:val="0"/>
              <w:tabs>
                <w:tab w:val="left" w:pos="3000"/>
              </w:tabs>
              <w:spacing w:line="240" w:lineRule="auto"/>
              <w:jc w:val="center"/>
              <w:rPr>
                <w:rFonts w:eastAsia="Times New Roman"/>
                <w:szCs w:val="28"/>
                <w:lang w:eastAsia="ru-RU"/>
              </w:rPr>
            </w:pPr>
            <w:r w:rsidRPr="00F37592">
              <w:rPr>
                <w:rFonts w:eastAsia="Times New Roman"/>
                <w:szCs w:val="28"/>
                <w:lang w:eastAsia="ru-RU"/>
              </w:rPr>
              <w:t>–</w:t>
            </w:r>
          </w:p>
        </w:tc>
        <w:tc>
          <w:tcPr>
            <w:tcW w:w="7788" w:type="dxa"/>
          </w:tcPr>
          <w:p w:rsidR="00F37592" w:rsidRPr="00F37592" w:rsidRDefault="00F37592" w:rsidP="00F37592">
            <w:pPr>
              <w:widowControl w:val="0"/>
              <w:tabs>
                <w:tab w:val="left" w:pos="3000"/>
              </w:tabs>
              <w:spacing w:line="240" w:lineRule="auto"/>
              <w:rPr>
                <w:rFonts w:eastAsia="Times New Roman"/>
                <w:szCs w:val="28"/>
                <w:lang w:eastAsia="ru-RU"/>
              </w:rPr>
            </w:pPr>
            <w:r w:rsidRPr="00F37592">
              <w:rPr>
                <w:rFonts w:eastAsia="Calibri"/>
                <w:color w:val="000000"/>
                <w:szCs w:val="28"/>
                <w:lang w:val="en-US"/>
              </w:rPr>
              <w:t>фельдшерський пункт</w:t>
            </w:r>
          </w:p>
        </w:tc>
      </w:tr>
      <w:tr w:rsidR="00F37592" w:rsidRPr="00F37592" w:rsidTr="00DE0A54">
        <w:trPr>
          <w:trHeight w:val="309"/>
          <w:jc w:val="center"/>
        </w:trPr>
        <w:tc>
          <w:tcPr>
            <w:tcW w:w="1528" w:type="dxa"/>
          </w:tcPr>
          <w:p w:rsidR="00F37592" w:rsidRPr="00F37592" w:rsidRDefault="00F37592" w:rsidP="00F37592">
            <w:pPr>
              <w:widowControl w:val="0"/>
              <w:tabs>
                <w:tab w:val="left" w:pos="3000"/>
              </w:tabs>
              <w:jc w:val="left"/>
              <w:rPr>
                <w:rFonts w:eastAsia="Times New Roman"/>
                <w:szCs w:val="28"/>
                <w:lang w:eastAsia="ru-RU"/>
              </w:rPr>
            </w:pPr>
            <w:r w:rsidRPr="00F37592">
              <w:rPr>
                <w:rFonts w:eastAsia="Times New Roman"/>
                <w:szCs w:val="28"/>
                <w:lang w:eastAsia="ru-RU"/>
              </w:rPr>
              <w:t>ЦМС</w:t>
            </w:r>
          </w:p>
        </w:tc>
        <w:tc>
          <w:tcPr>
            <w:tcW w:w="567" w:type="dxa"/>
          </w:tcPr>
          <w:p w:rsidR="00F37592" w:rsidRPr="00F37592" w:rsidRDefault="00F37592" w:rsidP="00F37592">
            <w:pPr>
              <w:widowControl w:val="0"/>
              <w:tabs>
                <w:tab w:val="left" w:pos="3000"/>
              </w:tabs>
              <w:spacing w:line="240" w:lineRule="auto"/>
              <w:jc w:val="center"/>
              <w:rPr>
                <w:rFonts w:eastAsia="Times New Roman"/>
                <w:szCs w:val="28"/>
                <w:lang w:eastAsia="ru-RU"/>
              </w:rPr>
            </w:pPr>
            <w:r w:rsidRPr="00F37592">
              <w:rPr>
                <w:rFonts w:eastAsia="Times New Roman"/>
                <w:szCs w:val="28"/>
                <w:lang w:eastAsia="ru-RU"/>
              </w:rPr>
              <w:t>–</w:t>
            </w:r>
          </w:p>
        </w:tc>
        <w:tc>
          <w:tcPr>
            <w:tcW w:w="7788" w:type="dxa"/>
          </w:tcPr>
          <w:p w:rsidR="00F37592" w:rsidRPr="00F37592" w:rsidRDefault="00F37592" w:rsidP="00F37592">
            <w:pPr>
              <w:widowControl w:val="0"/>
              <w:tabs>
                <w:tab w:val="left" w:pos="3000"/>
              </w:tabs>
              <w:spacing w:line="240" w:lineRule="auto"/>
              <w:rPr>
                <w:rFonts w:eastAsia="Times New Roman"/>
                <w:szCs w:val="28"/>
                <w:lang w:eastAsia="ru-RU"/>
              </w:rPr>
            </w:pPr>
            <w:r w:rsidRPr="00F37592">
              <w:rPr>
                <w:rFonts w:eastAsia="Times New Roman"/>
                <w:szCs w:val="28"/>
                <w:lang w:eastAsia="ru-RU"/>
              </w:rPr>
              <w:t>центр медичної статистики</w:t>
            </w:r>
          </w:p>
        </w:tc>
      </w:tr>
      <w:tr w:rsidR="00F37592" w:rsidRPr="00F37592" w:rsidTr="00DE0A54">
        <w:trPr>
          <w:trHeight w:val="309"/>
          <w:jc w:val="center"/>
        </w:trPr>
        <w:tc>
          <w:tcPr>
            <w:tcW w:w="1528" w:type="dxa"/>
          </w:tcPr>
          <w:p w:rsidR="00F37592" w:rsidRPr="00F37592" w:rsidRDefault="00F37592" w:rsidP="00F37592">
            <w:pPr>
              <w:widowControl w:val="0"/>
              <w:tabs>
                <w:tab w:val="left" w:pos="3000"/>
              </w:tabs>
              <w:jc w:val="left"/>
              <w:rPr>
                <w:rFonts w:eastAsia="Times New Roman"/>
                <w:szCs w:val="28"/>
                <w:lang w:eastAsia="ru-RU"/>
              </w:rPr>
            </w:pPr>
            <w:r w:rsidRPr="00F37592">
              <w:rPr>
                <w:rFonts w:eastAsia="Times New Roman"/>
                <w:szCs w:val="28"/>
                <w:lang w:eastAsia="ru-RU"/>
              </w:rPr>
              <w:t>ЦПМСД</w:t>
            </w:r>
          </w:p>
        </w:tc>
        <w:tc>
          <w:tcPr>
            <w:tcW w:w="567" w:type="dxa"/>
          </w:tcPr>
          <w:p w:rsidR="00F37592" w:rsidRPr="00F37592" w:rsidRDefault="00F37592" w:rsidP="00F37592">
            <w:pPr>
              <w:widowControl w:val="0"/>
              <w:tabs>
                <w:tab w:val="left" w:pos="3000"/>
              </w:tabs>
              <w:spacing w:line="240" w:lineRule="auto"/>
              <w:jc w:val="center"/>
              <w:rPr>
                <w:rFonts w:eastAsia="Times New Roman"/>
                <w:szCs w:val="28"/>
                <w:lang w:eastAsia="ru-RU"/>
              </w:rPr>
            </w:pPr>
            <w:r w:rsidRPr="00F37592">
              <w:rPr>
                <w:rFonts w:eastAsia="Times New Roman"/>
                <w:szCs w:val="28"/>
                <w:lang w:eastAsia="ru-RU"/>
              </w:rPr>
              <w:t>–</w:t>
            </w:r>
          </w:p>
        </w:tc>
        <w:tc>
          <w:tcPr>
            <w:tcW w:w="7788" w:type="dxa"/>
          </w:tcPr>
          <w:p w:rsidR="00F37592" w:rsidRPr="00F37592" w:rsidRDefault="00F37592" w:rsidP="00F37592">
            <w:pPr>
              <w:widowControl w:val="0"/>
              <w:tabs>
                <w:tab w:val="left" w:pos="3000"/>
              </w:tabs>
              <w:spacing w:line="240" w:lineRule="auto"/>
              <w:rPr>
                <w:rFonts w:eastAsia="Times New Roman"/>
                <w:szCs w:val="28"/>
                <w:lang w:eastAsia="ru-RU"/>
              </w:rPr>
            </w:pPr>
            <w:r w:rsidRPr="00F37592">
              <w:rPr>
                <w:rFonts w:eastAsia="Times New Roman"/>
                <w:szCs w:val="28"/>
                <w:lang w:eastAsia="ru-RU"/>
              </w:rPr>
              <w:t>центр первинної медико-санітарної допомоги</w:t>
            </w:r>
          </w:p>
        </w:tc>
      </w:tr>
      <w:tr w:rsidR="00F37592" w:rsidRPr="00F37592" w:rsidTr="00DE0A54">
        <w:trPr>
          <w:trHeight w:val="309"/>
          <w:jc w:val="center"/>
        </w:trPr>
        <w:tc>
          <w:tcPr>
            <w:tcW w:w="1528" w:type="dxa"/>
          </w:tcPr>
          <w:p w:rsidR="00F37592" w:rsidRPr="00F37592" w:rsidRDefault="00F37592" w:rsidP="00F37592">
            <w:pPr>
              <w:widowControl w:val="0"/>
              <w:tabs>
                <w:tab w:val="left" w:pos="3000"/>
              </w:tabs>
              <w:jc w:val="left"/>
              <w:rPr>
                <w:rFonts w:eastAsia="Times New Roman"/>
                <w:szCs w:val="28"/>
                <w:lang w:eastAsia="ru-RU"/>
              </w:rPr>
            </w:pPr>
            <w:r w:rsidRPr="00F37592">
              <w:rPr>
                <w:rFonts w:eastAsia="Times New Roman"/>
                <w:szCs w:val="28"/>
                <w:lang w:eastAsia="ru-RU"/>
              </w:rPr>
              <w:t>ЦРЛ</w:t>
            </w:r>
          </w:p>
        </w:tc>
        <w:tc>
          <w:tcPr>
            <w:tcW w:w="567" w:type="dxa"/>
          </w:tcPr>
          <w:p w:rsidR="00F37592" w:rsidRPr="00F37592" w:rsidRDefault="00F37592" w:rsidP="00F37592">
            <w:pPr>
              <w:widowControl w:val="0"/>
              <w:tabs>
                <w:tab w:val="left" w:pos="3000"/>
              </w:tabs>
              <w:spacing w:line="240" w:lineRule="auto"/>
              <w:jc w:val="center"/>
              <w:rPr>
                <w:rFonts w:eastAsia="Times New Roman"/>
                <w:szCs w:val="28"/>
                <w:lang w:eastAsia="ru-RU"/>
              </w:rPr>
            </w:pPr>
            <w:r w:rsidRPr="00F37592">
              <w:rPr>
                <w:rFonts w:eastAsia="Times New Roman"/>
                <w:szCs w:val="28"/>
                <w:lang w:eastAsia="ru-RU"/>
              </w:rPr>
              <w:t>–</w:t>
            </w:r>
          </w:p>
        </w:tc>
        <w:tc>
          <w:tcPr>
            <w:tcW w:w="7788" w:type="dxa"/>
          </w:tcPr>
          <w:p w:rsidR="00F37592" w:rsidRPr="00F37592" w:rsidRDefault="00F37592" w:rsidP="00F37592">
            <w:pPr>
              <w:widowControl w:val="0"/>
              <w:tabs>
                <w:tab w:val="left" w:pos="3000"/>
              </w:tabs>
              <w:spacing w:line="240" w:lineRule="auto"/>
              <w:rPr>
                <w:rFonts w:eastAsia="Times New Roman"/>
                <w:szCs w:val="28"/>
                <w:lang w:eastAsia="ru-RU"/>
              </w:rPr>
            </w:pPr>
            <w:r w:rsidRPr="00F37592">
              <w:rPr>
                <w:rFonts w:eastAsia="Times New Roman"/>
                <w:szCs w:val="28"/>
                <w:lang w:eastAsia="ru-RU"/>
              </w:rPr>
              <w:t>центральна районна лікарня</w:t>
            </w:r>
          </w:p>
        </w:tc>
      </w:tr>
      <w:tr w:rsidR="00F37592" w:rsidRPr="00F37592" w:rsidTr="00DE0A54">
        <w:trPr>
          <w:trHeight w:val="309"/>
          <w:jc w:val="center"/>
        </w:trPr>
        <w:tc>
          <w:tcPr>
            <w:tcW w:w="1528" w:type="dxa"/>
          </w:tcPr>
          <w:p w:rsidR="00F37592" w:rsidRPr="00F37592" w:rsidRDefault="00F37592" w:rsidP="00F37592">
            <w:pPr>
              <w:widowControl w:val="0"/>
              <w:tabs>
                <w:tab w:val="left" w:pos="3000"/>
              </w:tabs>
              <w:jc w:val="left"/>
              <w:rPr>
                <w:rFonts w:eastAsia="Times New Roman"/>
                <w:szCs w:val="28"/>
                <w:lang w:eastAsia="ru-RU"/>
              </w:rPr>
            </w:pPr>
            <w:r w:rsidRPr="00F37592">
              <w:rPr>
                <w:rFonts w:eastAsia="Times New Roman"/>
                <w:szCs w:val="28"/>
                <w:lang w:eastAsia="ru-RU"/>
              </w:rPr>
              <w:t>ЦСР</w:t>
            </w:r>
          </w:p>
        </w:tc>
        <w:tc>
          <w:tcPr>
            <w:tcW w:w="567" w:type="dxa"/>
          </w:tcPr>
          <w:p w:rsidR="00F37592" w:rsidRPr="00F37592" w:rsidRDefault="00F37592" w:rsidP="00F37592">
            <w:pPr>
              <w:widowControl w:val="0"/>
              <w:tabs>
                <w:tab w:val="left" w:pos="3000"/>
              </w:tabs>
              <w:spacing w:line="240" w:lineRule="auto"/>
              <w:jc w:val="center"/>
              <w:rPr>
                <w:rFonts w:eastAsia="Times New Roman"/>
                <w:szCs w:val="28"/>
                <w:lang w:eastAsia="ru-RU"/>
              </w:rPr>
            </w:pPr>
            <w:r w:rsidRPr="00F37592">
              <w:rPr>
                <w:rFonts w:eastAsia="Times New Roman"/>
                <w:szCs w:val="28"/>
                <w:lang w:eastAsia="ru-RU"/>
              </w:rPr>
              <w:t>–</w:t>
            </w:r>
          </w:p>
        </w:tc>
        <w:tc>
          <w:tcPr>
            <w:tcW w:w="7788" w:type="dxa"/>
          </w:tcPr>
          <w:p w:rsidR="00F37592" w:rsidRPr="00F37592" w:rsidRDefault="00F37592" w:rsidP="00F37592">
            <w:pPr>
              <w:widowControl w:val="0"/>
              <w:tabs>
                <w:tab w:val="left" w:pos="3000"/>
              </w:tabs>
              <w:spacing w:line="240" w:lineRule="auto"/>
              <w:rPr>
                <w:rFonts w:eastAsia="Times New Roman"/>
                <w:szCs w:val="28"/>
                <w:lang w:eastAsia="ru-RU"/>
              </w:rPr>
            </w:pPr>
            <w:r w:rsidRPr="00F37592">
              <w:rPr>
                <w:rFonts w:eastAsia="Times New Roman"/>
                <w:szCs w:val="28"/>
                <w:lang w:eastAsia="ru-RU"/>
              </w:rPr>
              <w:t>цілі стаого розвитку</w:t>
            </w:r>
          </w:p>
        </w:tc>
      </w:tr>
      <w:tr w:rsidR="00F37592" w:rsidRPr="00F37592" w:rsidTr="00DE0A54">
        <w:trPr>
          <w:trHeight w:val="309"/>
          <w:jc w:val="center"/>
        </w:trPr>
        <w:tc>
          <w:tcPr>
            <w:tcW w:w="1528" w:type="dxa"/>
          </w:tcPr>
          <w:p w:rsidR="00F37592" w:rsidRPr="00F37592" w:rsidRDefault="00F37592" w:rsidP="00F37592">
            <w:pPr>
              <w:widowControl w:val="0"/>
              <w:tabs>
                <w:tab w:val="left" w:pos="3000"/>
              </w:tabs>
              <w:jc w:val="left"/>
              <w:rPr>
                <w:rFonts w:eastAsia="Times New Roman"/>
                <w:szCs w:val="28"/>
                <w:lang w:eastAsia="ru-RU"/>
              </w:rPr>
            </w:pPr>
            <w:r w:rsidRPr="00F37592">
              <w:rPr>
                <w:rFonts w:eastAsia="Times New Roman"/>
                <w:szCs w:val="28"/>
                <w:lang w:eastAsia="ru-RU"/>
              </w:rPr>
              <w:t>ЮНІСЕФ</w:t>
            </w:r>
          </w:p>
        </w:tc>
        <w:tc>
          <w:tcPr>
            <w:tcW w:w="567" w:type="dxa"/>
          </w:tcPr>
          <w:p w:rsidR="00F37592" w:rsidRPr="00F37592" w:rsidRDefault="00F37592" w:rsidP="00F37592">
            <w:pPr>
              <w:widowControl w:val="0"/>
              <w:tabs>
                <w:tab w:val="left" w:pos="3000"/>
              </w:tabs>
              <w:spacing w:line="240" w:lineRule="auto"/>
              <w:jc w:val="center"/>
              <w:rPr>
                <w:rFonts w:eastAsia="Times New Roman"/>
                <w:szCs w:val="28"/>
                <w:lang w:eastAsia="ru-RU"/>
              </w:rPr>
            </w:pPr>
            <w:r w:rsidRPr="00F37592">
              <w:rPr>
                <w:rFonts w:eastAsia="Times New Roman"/>
                <w:szCs w:val="28"/>
                <w:lang w:eastAsia="ru-RU"/>
              </w:rPr>
              <w:t>–</w:t>
            </w:r>
          </w:p>
        </w:tc>
        <w:tc>
          <w:tcPr>
            <w:tcW w:w="7788" w:type="dxa"/>
          </w:tcPr>
          <w:p w:rsidR="00F37592" w:rsidRPr="00F37592" w:rsidRDefault="00F37592" w:rsidP="00F37592">
            <w:pPr>
              <w:widowControl w:val="0"/>
              <w:tabs>
                <w:tab w:val="left" w:pos="3000"/>
              </w:tabs>
              <w:spacing w:line="240" w:lineRule="auto"/>
              <w:rPr>
                <w:rFonts w:eastAsia="Times New Roman"/>
                <w:szCs w:val="28"/>
                <w:lang w:eastAsia="ru-RU"/>
              </w:rPr>
            </w:pPr>
            <w:r w:rsidRPr="00F37592">
              <w:rPr>
                <w:rFonts w:eastAsia="Times New Roman"/>
                <w:szCs w:val="28"/>
                <w:lang w:eastAsia="ru-RU"/>
              </w:rPr>
              <w:t>United Nations Children's Fund, UNICEF </w:t>
            </w:r>
          </w:p>
        </w:tc>
      </w:tr>
      <w:tr w:rsidR="00F37592" w:rsidRPr="00F37592" w:rsidTr="00DE0A54">
        <w:trPr>
          <w:trHeight w:val="309"/>
          <w:jc w:val="center"/>
        </w:trPr>
        <w:tc>
          <w:tcPr>
            <w:tcW w:w="1528" w:type="dxa"/>
          </w:tcPr>
          <w:p w:rsidR="00F37592" w:rsidRPr="00F37592" w:rsidRDefault="00F37592" w:rsidP="00F37592">
            <w:pPr>
              <w:widowControl w:val="0"/>
              <w:tabs>
                <w:tab w:val="left" w:pos="3000"/>
              </w:tabs>
              <w:jc w:val="left"/>
              <w:rPr>
                <w:rFonts w:eastAsia="Times New Roman"/>
                <w:szCs w:val="28"/>
                <w:lang w:eastAsia="ru-RU"/>
              </w:rPr>
            </w:pPr>
            <w:r w:rsidRPr="00F37592">
              <w:rPr>
                <w:rFonts w:eastAsia="Times New Roman"/>
                <w:szCs w:val="28"/>
                <w:lang w:val="en-US" w:eastAsia="ru-RU"/>
              </w:rPr>
              <w:t>DALY</w:t>
            </w:r>
          </w:p>
        </w:tc>
        <w:tc>
          <w:tcPr>
            <w:tcW w:w="567" w:type="dxa"/>
          </w:tcPr>
          <w:p w:rsidR="00F37592" w:rsidRPr="00F37592" w:rsidRDefault="00F37592" w:rsidP="00F37592">
            <w:pPr>
              <w:widowControl w:val="0"/>
              <w:tabs>
                <w:tab w:val="left" w:pos="3000"/>
              </w:tabs>
              <w:spacing w:line="240" w:lineRule="auto"/>
              <w:jc w:val="center"/>
              <w:rPr>
                <w:rFonts w:eastAsia="Times New Roman"/>
                <w:szCs w:val="28"/>
                <w:lang w:eastAsia="ru-RU"/>
              </w:rPr>
            </w:pPr>
            <w:r w:rsidRPr="00F37592">
              <w:rPr>
                <w:rFonts w:eastAsia="Times New Roman"/>
                <w:szCs w:val="28"/>
                <w:lang w:eastAsia="ru-RU"/>
              </w:rPr>
              <w:t>–</w:t>
            </w:r>
          </w:p>
        </w:tc>
        <w:tc>
          <w:tcPr>
            <w:tcW w:w="7788" w:type="dxa"/>
          </w:tcPr>
          <w:p w:rsidR="00F37592" w:rsidRPr="00F37592" w:rsidRDefault="00F37592" w:rsidP="00F37592">
            <w:pPr>
              <w:widowControl w:val="0"/>
              <w:tabs>
                <w:tab w:val="left" w:pos="3000"/>
              </w:tabs>
              <w:spacing w:line="240" w:lineRule="auto"/>
              <w:rPr>
                <w:rFonts w:eastAsia="Times New Roman"/>
                <w:szCs w:val="28"/>
                <w:lang w:eastAsia="ru-RU"/>
              </w:rPr>
            </w:pPr>
            <w:r w:rsidRPr="00F37592">
              <w:rPr>
                <w:rFonts w:eastAsia="Times New Roman"/>
                <w:szCs w:val="28"/>
                <w:lang w:eastAsia="ru-RU"/>
              </w:rPr>
              <w:t>тягар хвороб, Disability-adjusted life year</w:t>
            </w:r>
          </w:p>
        </w:tc>
      </w:tr>
      <w:tr w:rsidR="00F37592" w:rsidRPr="00F37592" w:rsidTr="00DE0A54">
        <w:trPr>
          <w:trHeight w:val="309"/>
          <w:jc w:val="center"/>
        </w:trPr>
        <w:tc>
          <w:tcPr>
            <w:tcW w:w="1528" w:type="dxa"/>
          </w:tcPr>
          <w:p w:rsidR="00F37592" w:rsidRPr="00F37592" w:rsidRDefault="00F37592" w:rsidP="00F37592">
            <w:pPr>
              <w:widowControl w:val="0"/>
              <w:tabs>
                <w:tab w:val="left" w:pos="3000"/>
              </w:tabs>
              <w:jc w:val="left"/>
              <w:rPr>
                <w:rFonts w:eastAsia="Times New Roman"/>
                <w:szCs w:val="28"/>
                <w:lang w:eastAsia="ru-RU"/>
              </w:rPr>
            </w:pPr>
            <w:r w:rsidRPr="00F37592">
              <w:rPr>
                <w:rFonts w:eastAsia="Times New Roman"/>
                <w:szCs w:val="28"/>
                <w:lang w:eastAsia="ru-RU"/>
              </w:rPr>
              <w:t>Q</w:t>
            </w:r>
          </w:p>
        </w:tc>
        <w:tc>
          <w:tcPr>
            <w:tcW w:w="567" w:type="dxa"/>
          </w:tcPr>
          <w:p w:rsidR="00F37592" w:rsidRPr="00F37592" w:rsidRDefault="00F37592" w:rsidP="00F37592">
            <w:pPr>
              <w:widowControl w:val="0"/>
              <w:tabs>
                <w:tab w:val="left" w:pos="3000"/>
              </w:tabs>
              <w:spacing w:line="240" w:lineRule="auto"/>
              <w:jc w:val="center"/>
              <w:rPr>
                <w:rFonts w:eastAsia="Times New Roman"/>
                <w:szCs w:val="28"/>
                <w:lang w:eastAsia="ru-RU"/>
              </w:rPr>
            </w:pPr>
            <w:r w:rsidRPr="00F37592">
              <w:rPr>
                <w:rFonts w:eastAsia="Times New Roman"/>
                <w:szCs w:val="28"/>
                <w:lang w:eastAsia="ru-RU"/>
              </w:rPr>
              <w:t>–</w:t>
            </w:r>
          </w:p>
        </w:tc>
        <w:tc>
          <w:tcPr>
            <w:tcW w:w="7788" w:type="dxa"/>
          </w:tcPr>
          <w:p w:rsidR="00F37592" w:rsidRPr="00F37592" w:rsidRDefault="00F37592" w:rsidP="00F37592">
            <w:pPr>
              <w:widowControl w:val="0"/>
              <w:tabs>
                <w:tab w:val="left" w:pos="3000"/>
              </w:tabs>
              <w:spacing w:line="240" w:lineRule="auto"/>
              <w:rPr>
                <w:rFonts w:eastAsia="Times New Roman"/>
                <w:szCs w:val="28"/>
                <w:lang w:eastAsia="ru-RU"/>
              </w:rPr>
            </w:pPr>
            <w:r w:rsidRPr="00F37592">
              <w:rPr>
                <w:rFonts w:eastAsia="Times New Roman"/>
                <w:szCs w:val="28"/>
                <w:lang w:eastAsia="ru-RU"/>
              </w:rPr>
              <w:t>квартиль</w:t>
            </w:r>
          </w:p>
        </w:tc>
      </w:tr>
      <w:tr w:rsidR="00F37592" w:rsidRPr="00F37592" w:rsidTr="00DE0A54">
        <w:trPr>
          <w:trHeight w:val="309"/>
          <w:jc w:val="center"/>
        </w:trPr>
        <w:tc>
          <w:tcPr>
            <w:tcW w:w="1528" w:type="dxa"/>
          </w:tcPr>
          <w:p w:rsidR="00F37592" w:rsidRPr="00F37592" w:rsidRDefault="00F37592" w:rsidP="00F37592">
            <w:pPr>
              <w:widowControl w:val="0"/>
              <w:tabs>
                <w:tab w:val="left" w:pos="3000"/>
              </w:tabs>
              <w:jc w:val="left"/>
              <w:rPr>
                <w:rFonts w:eastAsia="Times New Roman"/>
                <w:szCs w:val="28"/>
                <w:lang w:val="en-US" w:eastAsia="ru-RU"/>
              </w:rPr>
            </w:pPr>
            <w:r w:rsidRPr="00F37592">
              <w:rPr>
                <w:rFonts w:eastAsia="Times New Roman"/>
                <w:szCs w:val="28"/>
                <w:lang w:val="en-US" w:eastAsia="ru-RU"/>
              </w:rPr>
              <w:t>YLL</w:t>
            </w:r>
          </w:p>
        </w:tc>
        <w:tc>
          <w:tcPr>
            <w:tcW w:w="567" w:type="dxa"/>
          </w:tcPr>
          <w:p w:rsidR="00F37592" w:rsidRPr="00F37592" w:rsidRDefault="00F37592" w:rsidP="00F37592">
            <w:pPr>
              <w:widowControl w:val="0"/>
              <w:tabs>
                <w:tab w:val="left" w:pos="3000"/>
              </w:tabs>
              <w:spacing w:line="240" w:lineRule="auto"/>
              <w:jc w:val="center"/>
              <w:rPr>
                <w:rFonts w:eastAsia="Times New Roman"/>
                <w:szCs w:val="28"/>
                <w:lang w:eastAsia="ru-RU"/>
              </w:rPr>
            </w:pPr>
            <w:r w:rsidRPr="00F37592">
              <w:rPr>
                <w:rFonts w:eastAsia="Times New Roman"/>
                <w:szCs w:val="28"/>
                <w:lang w:eastAsia="ru-RU"/>
              </w:rPr>
              <w:t>–</w:t>
            </w:r>
          </w:p>
        </w:tc>
        <w:tc>
          <w:tcPr>
            <w:tcW w:w="7788" w:type="dxa"/>
          </w:tcPr>
          <w:p w:rsidR="00F37592" w:rsidRPr="00F37592" w:rsidRDefault="00F37592" w:rsidP="00F37592">
            <w:pPr>
              <w:widowControl w:val="0"/>
              <w:tabs>
                <w:tab w:val="left" w:pos="3000"/>
              </w:tabs>
              <w:spacing w:line="240" w:lineRule="auto"/>
              <w:rPr>
                <w:rFonts w:eastAsia="Times New Roman"/>
                <w:szCs w:val="28"/>
                <w:lang w:eastAsia="uk-UA"/>
              </w:rPr>
            </w:pPr>
            <w:r w:rsidRPr="00F37592">
              <w:rPr>
                <w:rFonts w:eastAsia="Calibri"/>
                <w:szCs w:val="28"/>
                <w:lang w:val="en-US"/>
              </w:rPr>
              <w:t>years of life lost</w:t>
            </w:r>
          </w:p>
        </w:tc>
      </w:tr>
      <w:tr w:rsidR="00F37592" w:rsidRPr="00F37592" w:rsidTr="00DE0A54">
        <w:trPr>
          <w:trHeight w:val="309"/>
          <w:jc w:val="center"/>
        </w:trPr>
        <w:tc>
          <w:tcPr>
            <w:tcW w:w="1528" w:type="dxa"/>
          </w:tcPr>
          <w:p w:rsidR="00F37592" w:rsidRPr="00F37592" w:rsidRDefault="00F37592" w:rsidP="00F37592">
            <w:pPr>
              <w:widowControl w:val="0"/>
              <w:tabs>
                <w:tab w:val="left" w:pos="3000"/>
              </w:tabs>
              <w:jc w:val="left"/>
              <w:rPr>
                <w:rFonts w:eastAsia="Times New Roman"/>
                <w:szCs w:val="28"/>
                <w:lang w:val="en-US" w:eastAsia="ru-RU"/>
              </w:rPr>
            </w:pPr>
            <w:r w:rsidRPr="00F37592">
              <w:rPr>
                <w:rFonts w:eastAsia="Times New Roman"/>
                <w:szCs w:val="28"/>
                <w:lang w:val="en-US" w:eastAsia="ru-RU"/>
              </w:rPr>
              <w:t>YLD</w:t>
            </w:r>
          </w:p>
        </w:tc>
        <w:tc>
          <w:tcPr>
            <w:tcW w:w="567" w:type="dxa"/>
          </w:tcPr>
          <w:p w:rsidR="00F37592" w:rsidRPr="00F37592" w:rsidRDefault="00F37592" w:rsidP="00F37592">
            <w:pPr>
              <w:widowControl w:val="0"/>
              <w:tabs>
                <w:tab w:val="left" w:pos="3000"/>
              </w:tabs>
              <w:spacing w:line="240" w:lineRule="auto"/>
              <w:jc w:val="center"/>
              <w:rPr>
                <w:rFonts w:eastAsia="Times New Roman"/>
                <w:szCs w:val="28"/>
                <w:lang w:eastAsia="ru-RU"/>
              </w:rPr>
            </w:pPr>
            <w:r w:rsidRPr="00F37592">
              <w:rPr>
                <w:rFonts w:eastAsia="Times New Roman"/>
                <w:szCs w:val="28"/>
                <w:lang w:eastAsia="ru-RU"/>
              </w:rPr>
              <w:t>–</w:t>
            </w:r>
          </w:p>
        </w:tc>
        <w:tc>
          <w:tcPr>
            <w:tcW w:w="7788" w:type="dxa"/>
          </w:tcPr>
          <w:p w:rsidR="00F37592" w:rsidRPr="00F37592" w:rsidRDefault="00F37592" w:rsidP="00F37592">
            <w:pPr>
              <w:widowControl w:val="0"/>
              <w:tabs>
                <w:tab w:val="left" w:pos="3000"/>
              </w:tabs>
              <w:spacing w:line="240" w:lineRule="auto"/>
              <w:rPr>
                <w:rFonts w:eastAsia="Times New Roman"/>
                <w:szCs w:val="28"/>
                <w:lang w:eastAsia="uk-UA"/>
              </w:rPr>
            </w:pPr>
            <w:r w:rsidRPr="00F37592">
              <w:rPr>
                <w:rFonts w:eastAsia="Times New Roman"/>
                <w:szCs w:val="28"/>
                <w:lang w:val="en-US" w:eastAsia="uk-UA"/>
              </w:rPr>
              <w:t>y</w:t>
            </w:r>
            <w:r w:rsidRPr="00F37592">
              <w:rPr>
                <w:rFonts w:eastAsia="Times New Roman"/>
                <w:szCs w:val="28"/>
                <w:lang w:eastAsia="uk-UA"/>
              </w:rPr>
              <w:t>ears of healthy life lost due to disability</w:t>
            </w:r>
          </w:p>
        </w:tc>
      </w:tr>
    </w:tbl>
    <w:p w:rsidR="00323DA9" w:rsidRPr="00F37592" w:rsidRDefault="00323DA9" w:rsidP="00721203">
      <w:pPr>
        <w:widowControl w:val="0"/>
        <w:tabs>
          <w:tab w:val="left" w:pos="1312"/>
        </w:tabs>
        <w:spacing w:after="200" w:line="276" w:lineRule="auto"/>
        <w:jc w:val="left"/>
        <w:rPr>
          <w:rFonts w:eastAsia="Calibri"/>
          <w:szCs w:val="28"/>
          <w:lang w:val="en-US"/>
        </w:rPr>
      </w:pPr>
    </w:p>
    <w:p w:rsidR="00323DA9" w:rsidRDefault="00323DA9" w:rsidP="00721203">
      <w:pPr>
        <w:widowControl w:val="0"/>
        <w:spacing w:after="200" w:line="276" w:lineRule="auto"/>
        <w:jc w:val="left"/>
        <w:rPr>
          <w:rFonts w:eastAsia="Calibri"/>
          <w:szCs w:val="28"/>
        </w:rPr>
      </w:pPr>
    </w:p>
    <w:p w:rsidR="00323DA9" w:rsidRPr="00D00544" w:rsidRDefault="00323DA9" w:rsidP="00721203">
      <w:pPr>
        <w:widowControl w:val="0"/>
        <w:rPr>
          <w:lang w:val="en-US"/>
        </w:rPr>
        <w:sectPr w:rsidR="00323DA9" w:rsidRPr="00D00544" w:rsidSect="00E242B0">
          <w:pgSz w:w="11906" w:h="16838"/>
          <w:pgMar w:top="1134" w:right="567" w:bottom="1134" w:left="1134" w:header="708" w:footer="708" w:gutter="0"/>
          <w:cols w:space="708"/>
          <w:docGrid w:linePitch="360"/>
        </w:sectPr>
      </w:pPr>
    </w:p>
    <w:p w:rsidR="00916D90" w:rsidRPr="00D00544" w:rsidRDefault="00323DA9" w:rsidP="008C2554">
      <w:pPr>
        <w:pageBreakBefore/>
        <w:widowControl w:val="0"/>
        <w:tabs>
          <w:tab w:val="left" w:pos="0"/>
        </w:tabs>
        <w:spacing w:after="240"/>
        <w:jc w:val="center"/>
        <w:rPr>
          <w:rFonts w:eastAsia="Calibri"/>
          <w:b/>
          <w:szCs w:val="28"/>
          <w:lang w:val="en-US"/>
        </w:rPr>
      </w:pPr>
      <w:r w:rsidRPr="00006A39">
        <w:rPr>
          <w:rFonts w:eastAsia="Calibri"/>
          <w:b/>
          <w:szCs w:val="28"/>
        </w:rPr>
        <w:lastRenderedPageBreak/>
        <w:t>ВСТУП</w:t>
      </w:r>
    </w:p>
    <w:p w:rsidR="00C70CAC" w:rsidRPr="00340C5A" w:rsidRDefault="00C70CAC" w:rsidP="00277836">
      <w:pPr>
        <w:widowControl w:val="0"/>
        <w:ind w:firstLine="709"/>
        <w:rPr>
          <w:rFonts w:eastAsia="Times New Roman"/>
          <w:szCs w:val="28"/>
          <w:lang w:eastAsia="uk-UA"/>
        </w:rPr>
      </w:pPr>
      <w:r w:rsidRPr="00C70CAC">
        <w:rPr>
          <w:rFonts w:eastAsia="Times New Roman"/>
          <w:b/>
          <w:szCs w:val="28"/>
          <w:lang w:eastAsia="uk-UA"/>
        </w:rPr>
        <w:t>Актуальність теми</w:t>
      </w:r>
      <w:r w:rsidRPr="00C70CAC">
        <w:rPr>
          <w:rFonts w:eastAsia="Times New Roman"/>
          <w:szCs w:val="28"/>
          <w:lang w:eastAsia="uk-UA"/>
        </w:rPr>
        <w:t xml:space="preserve">. </w:t>
      </w:r>
      <w:r w:rsidR="00961972" w:rsidRPr="00961972">
        <w:rPr>
          <w:rFonts w:eastAsia="Times New Roman"/>
          <w:szCs w:val="28"/>
          <w:lang w:eastAsia="uk-UA"/>
        </w:rPr>
        <w:t xml:space="preserve">Майбутнє суспільства й людства перебуває в прямій залежності від стану здоров’я дітей, тому його підтримка й збереження життя є ключовим завданням та важливою умовою успішного економічного розвитку держави. Зміцнення здоров'я дітей належить до однієї з найактуальніших і найбільш значущих проблем держави й суспільства, оскільки здоров'я дитячого населення – це не лише інтегральний показник якості життя дітей, але й фундаментальна основа формування потенціалу здоров'я суспільства </w:t>
      </w:r>
      <w:r w:rsidR="00B3115F" w:rsidRPr="00B3115F">
        <w:rPr>
          <w:rFonts w:eastAsia="Times New Roman"/>
          <w:szCs w:val="28"/>
          <w:lang w:eastAsia="uk-UA"/>
        </w:rPr>
        <w:t>[1</w:t>
      </w:r>
      <w:r w:rsidR="00340C5A" w:rsidRPr="00340C5A">
        <w:rPr>
          <w:rFonts w:eastAsia="Times New Roman"/>
          <w:szCs w:val="28"/>
          <w:lang w:eastAsia="uk-UA"/>
        </w:rPr>
        <w:t>-5</w:t>
      </w:r>
      <w:r w:rsidR="00B3115F" w:rsidRPr="00B3115F">
        <w:rPr>
          <w:rFonts w:eastAsia="Times New Roman"/>
          <w:szCs w:val="28"/>
          <w:lang w:eastAsia="uk-UA"/>
        </w:rPr>
        <w:t>]</w:t>
      </w:r>
      <w:r w:rsidR="00340C5A" w:rsidRPr="00340C5A">
        <w:rPr>
          <w:rFonts w:eastAsia="Times New Roman"/>
          <w:szCs w:val="28"/>
          <w:lang w:eastAsia="uk-UA"/>
        </w:rPr>
        <w:t>.</w:t>
      </w:r>
    </w:p>
    <w:p w:rsidR="00C70CAC" w:rsidRPr="00C70CAC" w:rsidRDefault="00C70CAC" w:rsidP="00C70CAC">
      <w:pPr>
        <w:widowControl w:val="0"/>
        <w:ind w:firstLine="567"/>
        <w:rPr>
          <w:rFonts w:eastAsia="Times New Roman"/>
          <w:szCs w:val="28"/>
          <w:lang w:eastAsia="uk-UA"/>
        </w:rPr>
      </w:pPr>
      <w:r w:rsidRPr="00C70CAC">
        <w:rPr>
          <w:rFonts w:eastAsia="Times New Roman"/>
          <w:szCs w:val="28"/>
          <w:lang w:eastAsia="uk-UA"/>
        </w:rPr>
        <w:t>За даними Організації Об’єднаних Націй (ООН) та Всесвітньої організації охорони здоров’я (ВООЗ) у світі значна кількість дітей помирає у віці до 5 років життя, при цьому 46% з них – у перші 2</w:t>
      </w:r>
      <w:r w:rsidR="00E41BB7">
        <w:rPr>
          <w:rFonts w:eastAsia="Times New Roman"/>
          <w:szCs w:val="28"/>
          <w:lang w:eastAsia="uk-UA"/>
        </w:rPr>
        <w:t>8 дні життя</w:t>
      </w:r>
      <w:r w:rsidR="00E41BB7" w:rsidRPr="00E41BB7">
        <w:rPr>
          <w:rFonts w:eastAsia="Times New Roman"/>
          <w:szCs w:val="28"/>
          <w:lang w:eastAsia="uk-UA"/>
        </w:rPr>
        <w:t xml:space="preserve"> [6]. </w:t>
      </w:r>
      <w:r w:rsidRPr="00C70CAC">
        <w:rPr>
          <w:rFonts w:eastAsia="Times New Roman"/>
          <w:szCs w:val="28"/>
          <w:lang w:eastAsia="uk-UA"/>
        </w:rPr>
        <w:t xml:space="preserve">Світовий банк, ЮНІСЕФ, ВООЗ та Відділ народонаселення ООН прогнозують, що при відсутності дій як на глобальному, так і на регіональних рівнях, протягом 2017-2030 років помруть близько 60 мільйонів дітей у віці до 5 років життя, половина з яких будуть новонароджені </w:t>
      </w:r>
      <w:r w:rsidR="007D09C1" w:rsidRPr="007D09C1">
        <w:rPr>
          <w:rFonts w:eastAsia="Times New Roman"/>
          <w:szCs w:val="28"/>
          <w:lang w:eastAsia="uk-UA"/>
        </w:rPr>
        <w:t>[</w:t>
      </w:r>
      <w:r w:rsidR="00F72FE5" w:rsidRPr="00F72FE5">
        <w:rPr>
          <w:rFonts w:eastAsia="Times New Roman"/>
          <w:szCs w:val="28"/>
          <w:lang w:eastAsia="uk-UA"/>
        </w:rPr>
        <w:t>6-8</w:t>
      </w:r>
      <w:r w:rsidR="007D09C1" w:rsidRPr="007D09C1">
        <w:rPr>
          <w:rFonts w:eastAsia="Times New Roman"/>
          <w:szCs w:val="28"/>
          <w:lang w:eastAsia="uk-UA"/>
        </w:rPr>
        <w:t>]</w:t>
      </w:r>
      <w:r w:rsidRPr="00C70CAC">
        <w:rPr>
          <w:rFonts w:eastAsia="Times New Roman"/>
          <w:szCs w:val="28"/>
          <w:lang w:eastAsia="uk-UA"/>
        </w:rPr>
        <w:t>. Зважаючи на це, ООН закликає уряди країн визначати національні цілі сталого розвитку до 2030 року, у т.ч. з мінімізації випадків смертей, яким можна запобігти, серед дітей віком до 5 років</w:t>
      </w:r>
      <w:r w:rsidRPr="00C70CAC">
        <w:rPr>
          <w:rFonts w:eastAsia="Calibri"/>
          <w:szCs w:val="28"/>
          <w:lang w:eastAsia="uk-UA"/>
        </w:rPr>
        <w:t xml:space="preserve"> життя </w:t>
      </w:r>
      <w:r w:rsidRPr="00C70CAC">
        <w:rPr>
          <w:rFonts w:eastAsia="Times New Roman"/>
          <w:szCs w:val="28"/>
          <w:lang w:eastAsia="uk-UA"/>
        </w:rPr>
        <w:t xml:space="preserve">та новонароджених </w:t>
      </w:r>
      <w:r w:rsidR="00A97300" w:rsidRPr="00A97300">
        <w:rPr>
          <w:rFonts w:eastAsia="Times New Roman"/>
          <w:szCs w:val="28"/>
          <w:lang w:eastAsia="uk-UA"/>
        </w:rPr>
        <w:t xml:space="preserve">[9], </w:t>
      </w:r>
      <w:r w:rsidRPr="00C70CAC">
        <w:rPr>
          <w:rFonts w:eastAsia="Times New Roman"/>
          <w:szCs w:val="28"/>
          <w:lang w:eastAsia="uk-UA"/>
        </w:rPr>
        <w:t xml:space="preserve">розробляти програми з покращення надання медичної допомоги дітям </w:t>
      </w:r>
      <w:r w:rsidR="009262FC">
        <w:rPr>
          <w:rFonts w:eastAsia="Times New Roman"/>
          <w:szCs w:val="28"/>
          <w:lang w:eastAsia="uk-UA"/>
        </w:rPr>
        <w:t>і</w:t>
      </w:r>
      <w:r w:rsidRPr="00C70CAC">
        <w:rPr>
          <w:rFonts w:eastAsia="Times New Roman"/>
          <w:szCs w:val="28"/>
          <w:lang w:eastAsia="uk-UA"/>
        </w:rPr>
        <w:t>з досягненням цільових значень індикаторних показників (ЮНІСЕФ, 2016)</w:t>
      </w:r>
      <w:r w:rsidR="00251022" w:rsidRPr="00251022">
        <w:rPr>
          <w:rFonts w:eastAsia="Times New Roman"/>
          <w:szCs w:val="28"/>
          <w:lang w:eastAsia="uk-UA"/>
        </w:rPr>
        <w:t xml:space="preserve"> [</w:t>
      </w:r>
      <w:r w:rsidR="00C0624B" w:rsidRPr="00C0624B">
        <w:rPr>
          <w:rFonts w:eastAsia="Times New Roman"/>
          <w:szCs w:val="28"/>
          <w:lang w:eastAsia="uk-UA"/>
        </w:rPr>
        <w:t>1, 7</w:t>
      </w:r>
      <w:r w:rsidR="00251022" w:rsidRPr="00251022">
        <w:rPr>
          <w:rFonts w:eastAsia="Times New Roman"/>
          <w:szCs w:val="28"/>
          <w:lang w:eastAsia="uk-UA"/>
        </w:rPr>
        <w:t>]</w:t>
      </w:r>
      <w:r w:rsidRPr="00C70CAC">
        <w:rPr>
          <w:rFonts w:eastAsia="Times New Roman"/>
          <w:szCs w:val="28"/>
          <w:lang w:eastAsia="uk-UA"/>
        </w:rPr>
        <w:t xml:space="preserve">. </w:t>
      </w:r>
    </w:p>
    <w:p w:rsidR="00C70CAC" w:rsidRPr="00C70CAC" w:rsidRDefault="00C70CAC" w:rsidP="008D0ACF">
      <w:pPr>
        <w:widowControl w:val="0"/>
        <w:shd w:val="clear" w:color="auto" w:fill="FFFFFF" w:themeFill="background1"/>
        <w:ind w:firstLine="567"/>
        <w:rPr>
          <w:rFonts w:eastAsia="Times New Roman"/>
          <w:szCs w:val="28"/>
          <w:lang w:eastAsia="uk-UA"/>
        </w:rPr>
      </w:pPr>
      <w:r w:rsidRPr="00C70CAC">
        <w:rPr>
          <w:rFonts w:eastAsia="Times New Roman"/>
          <w:szCs w:val="28"/>
          <w:lang w:eastAsia="uk-UA"/>
        </w:rPr>
        <w:t>За роки незалежності в Україні відбулось зниження показника малюкової смертності та всіх її складових</w:t>
      </w:r>
      <w:r w:rsidR="00251022">
        <w:rPr>
          <w:rFonts w:eastAsia="Times New Roman"/>
          <w:szCs w:val="28"/>
          <w:lang w:val="ru-RU" w:eastAsia="uk-UA"/>
        </w:rPr>
        <w:t xml:space="preserve"> </w:t>
      </w:r>
      <w:r w:rsidR="00251022" w:rsidRPr="00251022">
        <w:rPr>
          <w:rFonts w:eastAsia="Times New Roman"/>
          <w:szCs w:val="28"/>
          <w:lang w:val="ru-RU" w:eastAsia="uk-UA"/>
        </w:rPr>
        <w:t>[10, 11]</w:t>
      </w:r>
      <w:r w:rsidRPr="00C70CAC">
        <w:rPr>
          <w:rFonts w:eastAsia="Times New Roman"/>
          <w:szCs w:val="28"/>
          <w:lang w:eastAsia="uk-UA"/>
        </w:rPr>
        <w:t xml:space="preserve">. Цьому сприяло виконання заходів міжнародних програм та стратегій ВООЗ </w:t>
      </w:r>
      <w:r w:rsidR="006348BC">
        <w:rPr>
          <w:rFonts w:eastAsia="Times New Roman"/>
          <w:szCs w:val="28"/>
          <w:lang w:eastAsia="uk-UA"/>
        </w:rPr>
        <w:t>і</w:t>
      </w:r>
      <w:r w:rsidRPr="00C70CAC">
        <w:rPr>
          <w:rFonts w:eastAsia="Times New Roman"/>
          <w:szCs w:val="28"/>
          <w:lang w:eastAsia="uk-UA"/>
        </w:rPr>
        <w:t xml:space="preserve">з глобальних пріоритетів репродуктивного здоров’я </w:t>
      </w:r>
      <w:r w:rsidR="00C0624B" w:rsidRPr="00C0624B">
        <w:rPr>
          <w:rFonts w:eastAsia="Times New Roman"/>
          <w:szCs w:val="28"/>
          <w:lang w:eastAsia="uk-UA"/>
        </w:rPr>
        <w:t>[2,</w:t>
      </w:r>
      <w:r w:rsidR="00ED0C66">
        <w:rPr>
          <w:rFonts w:eastAsia="Times New Roman"/>
          <w:szCs w:val="28"/>
          <w:lang w:val="ru-RU" w:eastAsia="uk-UA"/>
        </w:rPr>
        <w:t> </w:t>
      </w:r>
      <w:r w:rsidR="00C0624B" w:rsidRPr="00C0624B">
        <w:rPr>
          <w:rFonts w:eastAsia="Times New Roman"/>
          <w:szCs w:val="28"/>
          <w:lang w:eastAsia="uk-UA"/>
        </w:rPr>
        <w:t>4,</w:t>
      </w:r>
      <w:r w:rsidR="00ED0C66">
        <w:rPr>
          <w:rFonts w:eastAsia="Times New Roman"/>
          <w:szCs w:val="28"/>
          <w:lang w:val="ru-RU" w:eastAsia="uk-UA"/>
        </w:rPr>
        <w:t> </w:t>
      </w:r>
      <w:r w:rsidR="00723421" w:rsidRPr="00723421">
        <w:rPr>
          <w:rFonts w:eastAsia="Times New Roman"/>
          <w:szCs w:val="28"/>
          <w:lang w:eastAsia="uk-UA"/>
        </w:rPr>
        <w:t>12</w:t>
      </w:r>
      <w:r w:rsidR="00C0624B" w:rsidRPr="00C0624B">
        <w:rPr>
          <w:rFonts w:eastAsia="Times New Roman"/>
          <w:szCs w:val="28"/>
          <w:lang w:eastAsia="uk-UA"/>
        </w:rPr>
        <w:t>]</w:t>
      </w:r>
      <w:r w:rsidRPr="00C70CAC">
        <w:rPr>
          <w:rFonts w:eastAsia="Times New Roman"/>
          <w:szCs w:val="28"/>
          <w:lang w:eastAsia="uk-UA"/>
        </w:rPr>
        <w:t>, переорієнтація медичної допомоги дітям та перинатальної допомоги на науково обґрунтовану практику, впровадження регіоналізації перинатальної допомоги тощо</w:t>
      </w:r>
      <w:r w:rsidR="00ED0C66">
        <w:rPr>
          <w:rFonts w:eastAsia="Times New Roman"/>
          <w:szCs w:val="28"/>
          <w:lang w:val="en-US" w:eastAsia="uk-UA"/>
        </w:rPr>
        <w:t> </w:t>
      </w:r>
      <w:r w:rsidR="00ED0C66" w:rsidRPr="00ED0C66">
        <w:rPr>
          <w:rFonts w:eastAsia="Times New Roman"/>
          <w:szCs w:val="28"/>
          <w:lang w:eastAsia="uk-UA"/>
        </w:rPr>
        <w:t>[13</w:t>
      </w:r>
      <w:r w:rsidR="00ED0C66">
        <w:rPr>
          <w:rFonts w:eastAsia="Times New Roman"/>
          <w:szCs w:val="28"/>
          <w:lang w:eastAsia="uk-UA"/>
        </w:rPr>
        <w:t>-</w:t>
      </w:r>
      <w:r w:rsidR="00ED0C66" w:rsidRPr="00ED0C66">
        <w:rPr>
          <w:rFonts w:eastAsia="Times New Roman"/>
          <w:szCs w:val="28"/>
          <w:lang w:eastAsia="uk-UA"/>
        </w:rPr>
        <w:t>22]</w:t>
      </w:r>
      <w:r w:rsidRPr="00C70CAC">
        <w:rPr>
          <w:rFonts w:eastAsia="Times New Roman"/>
          <w:szCs w:val="28"/>
          <w:lang w:eastAsia="uk-UA"/>
        </w:rPr>
        <w:t>. Проте рівень дитячої смертності майже у 1,5-2 рази продовжує перевищувати показники розвинених країн</w:t>
      </w:r>
      <w:r w:rsidR="007471B5" w:rsidRPr="007471B5">
        <w:rPr>
          <w:rFonts w:eastAsia="Times New Roman"/>
          <w:szCs w:val="28"/>
          <w:lang w:eastAsia="uk-UA"/>
        </w:rPr>
        <w:t xml:space="preserve"> [10</w:t>
      </w:r>
      <w:r w:rsidR="007471B5">
        <w:rPr>
          <w:rFonts w:eastAsia="Times New Roman"/>
          <w:szCs w:val="28"/>
          <w:lang w:eastAsia="uk-UA"/>
        </w:rPr>
        <w:t>,</w:t>
      </w:r>
      <w:r w:rsidR="007471B5" w:rsidRPr="007471B5">
        <w:rPr>
          <w:rFonts w:eastAsia="Times New Roman"/>
          <w:szCs w:val="28"/>
          <w:lang w:eastAsia="uk-UA"/>
        </w:rPr>
        <w:t xml:space="preserve"> 11, 23, </w:t>
      </w:r>
      <w:r w:rsidR="007471B5">
        <w:rPr>
          <w:rFonts w:eastAsia="Times New Roman"/>
          <w:szCs w:val="28"/>
          <w:lang w:eastAsia="uk-UA"/>
        </w:rPr>
        <w:t>24</w:t>
      </w:r>
      <w:r w:rsidR="007471B5" w:rsidRPr="007471B5">
        <w:rPr>
          <w:rFonts w:eastAsia="Times New Roman"/>
          <w:szCs w:val="28"/>
          <w:lang w:eastAsia="uk-UA"/>
        </w:rPr>
        <w:t>]</w:t>
      </w:r>
      <w:r w:rsidRPr="00C70CAC">
        <w:rPr>
          <w:rFonts w:eastAsia="Times New Roman"/>
          <w:szCs w:val="28"/>
          <w:lang w:eastAsia="uk-UA"/>
        </w:rPr>
        <w:t xml:space="preserve">, де концептуальні підходи до відтворення здорових поколінь тісно пов'язані з соціально-економічною політикою, </w:t>
      </w:r>
      <w:r w:rsidRPr="00C70CAC">
        <w:rPr>
          <w:rFonts w:eastAsia="Times New Roman"/>
          <w:szCs w:val="28"/>
          <w:lang w:eastAsia="uk-UA"/>
        </w:rPr>
        <w:lastRenderedPageBreak/>
        <w:t xml:space="preserve">зі зміцненням репродуктивного здоров'я жінок та зменшенням репродуктивних втрат </w:t>
      </w:r>
      <w:r w:rsidR="008D0ACF" w:rsidRPr="008D0ACF">
        <w:rPr>
          <w:rFonts w:eastAsia="Times New Roman"/>
          <w:szCs w:val="28"/>
          <w:lang w:eastAsia="uk-UA"/>
        </w:rPr>
        <w:t>[</w:t>
      </w:r>
      <w:r w:rsidR="00951EFA" w:rsidRPr="00951EFA">
        <w:rPr>
          <w:rFonts w:eastAsia="Times New Roman"/>
          <w:szCs w:val="28"/>
          <w:lang w:eastAsia="uk-UA"/>
        </w:rPr>
        <w:t xml:space="preserve">2, </w:t>
      </w:r>
      <w:r w:rsidR="00506A89" w:rsidRPr="002A7447">
        <w:rPr>
          <w:rFonts w:eastAsia="Times New Roman"/>
          <w:szCs w:val="28"/>
          <w:lang w:eastAsia="uk-UA"/>
        </w:rPr>
        <w:t>25</w:t>
      </w:r>
      <w:r w:rsidR="00826C45" w:rsidRPr="008E32CA">
        <w:rPr>
          <w:rFonts w:eastAsia="Times New Roman"/>
          <w:szCs w:val="28"/>
          <w:lang w:eastAsia="uk-UA"/>
        </w:rPr>
        <w:t>-</w:t>
      </w:r>
      <w:r w:rsidR="00826C45">
        <w:rPr>
          <w:rFonts w:eastAsia="Times New Roman"/>
          <w:szCs w:val="28"/>
          <w:lang w:eastAsia="uk-UA"/>
        </w:rPr>
        <w:t>2</w:t>
      </w:r>
      <w:r w:rsidR="00826C45" w:rsidRPr="008E32CA">
        <w:rPr>
          <w:rFonts w:eastAsia="Times New Roman"/>
          <w:szCs w:val="28"/>
          <w:lang w:eastAsia="uk-UA"/>
        </w:rPr>
        <w:t>7</w:t>
      </w:r>
      <w:r w:rsidR="008D0ACF" w:rsidRPr="008D0ACF">
        <w:rPr>
          <w:rFonts w:eastAsia="Times New Roman"/>
          <w:szCs w:val="28"/>
          <w:lang w:eastAsia="uk-UA"/>
        </w:rPr>
        <w:t>]</w:t>
      </w:r>
      <w:r w:rsidRPr="00C70CAC">
        <w:rPr>
          <w:rFonts w:eastAsia="Times New Roman"/>
          <w:szCs w:val="28"/>
          <w:lang w:eastAsia="uk-UA"/>
        </w:rPr>
        <w:t xml:space="preserve">. Тому й для України, в умовах прогнозованого подальшого зниження чисельності населення </w:t>
      </w:r>
      <w:r w:rsidR="003459AC" w:rsidRPr="003459AC">
        <w:rPr>
          <w:rFonts w:eastAsia="Times New Roman"/>
          <w:szCs w:val="28"/>
          <w:lang w:eastAsia="uk-UA"/>
        </w:rPr>
        <w:t>[</w:t>
      </w:r>
      <w:r w:rsidR="00CC3C00">
        <w:rPr>
          <w:rFonts w:eastAsia="Times New Roman"/>
          <w:szCs w:val="28"/>
          <w:lang w:eastAsia="uk-UA"/>
        </w:rPr>
        <w:t>28</w:t>
      </w:r>
      <w:r w:rsidR="00CC3C00" w:rsidRPr="00CC3C00">
        <w:rPr>
          <w:rFonts w:eastAsia="Times New Roman"/>
          <w:szCs w:val="28"/>
          <w:lang w:eastAsia="uk-UA"/>
        </w:rPr>
        <w:t>-30</w:t>
      </w:r>
      <w:r w:rsidR="003459AC" w:rsidRPr="003459AC">
        <w:rPr>
          <w:rFonts w:eastAsia="Times New Roman"/>
          <w:szCs w:val="28"/>
          <w:lang w:eastAsia="uk-UA"/>
        </w:rPr>
        <w:t>]</w:t>
      </w:r>
      <w:r w:rsidRPr="00C70CAC">
        <w:rPr>
          <w:rFonts w:eastAsia="Times New Roman"/>
          <w:szCs w:val="28"/>
          <w:lang w:eastAsia="uk-UA"/>
        </w:rPr>
        <w:t xml:space="preserve">, найважливішою проблемою демографічної політики й необхідною умовою забезпечення національної безпеки постає відтворення населення за рахунок підвищення народжуваності, збереження репродуктивного потенціалу та здоров'я покоління, яке народжується </w:t>
      </w:r>
      <w:r w:rsidR="000D0E75" w:rsidRPr="000D0E75">
        <w:rPr>
          <w:rFonts w:eastAsia="Times New Roman"/>
          <w:szCs w:val="28"/>
          <w:lang w:eastAsia="uk-UA"/>
        </w:rPr>
        <w:t>[</w:t>
      </w:r>
      <w:r w:rsidR="00E3155E" w:rsidRPr="00E3155E">
        <w:rPr>
          <w:rFonts w:eastAsia="Times New Roman"/>
          <w:szCs w:val="28"/>
          <w:lang w:eastAsia="uk-UA"/>
        </w:rPr>
        <w:t>30-37</w:t>
      </w:r>
      <w:r w:rsidR="000D0E75" w:rsidRPr="000D0E75">
        <w:rPr>
          <w:rFonts w:eastAsia="Times New Roman"/>
          <w:szCs w:val="28"/>
          <w:lang w:eastAsia="uk-UA"/>
        </w:rPr>
        <w:t>]</w:t>
      </w:r>
      <w:r w:rsidRPr="00C70CAC">
        <w:rPr>
          <w:rFonts w:eastAsia="Times New Roman"/>
          <w:szCs w:val="28"/>
          <w:lang w:eastAsia="uk-UA"/>
        </w:rPr>
        <w:t xml:space="preserve">. </w:t>
      </w:r>
    </w:p>
    <w:p w:rsidR="00C70CAC" w:rsidRPr="00C70CAC" w:rsidRDefault="00C70CAC" w:rsidP="00C70CAC">
      <w:pPr>
        <w:widowControl w:val="0"/>
        <w:ind w:firstLine="567"/>
        <w:rPr>
          <w:rFonts w:eastAsia="Times New Roman"/>
          <w:szCs w:val="28"/>
          <w:lang w:eastAsia="uk-UA"/>
        </w:rPr>
      </w:pPr>
      <w:r w:rsidRPr="00C70CAC">
        <w:rPr>
          <w:rFonts w:eastAsia="Times New Roman"/>
          <w:szCs w:val="28"/>
          <w:lang w:eastAsia="uk-UA"/>
        </w:rPr>
        <w:t xml:space="preserve">Європейська політика щодо збереження здоров'я дитячого населення та зниження дитячої смертності у XXI столітті ґрунтується на подальшій розбудові регіональних систем охорони здоров’я (ОЗ) </w:t>
      </w:r>
      <w:r w:rsidR="00390348" w:rsidRPr="004369E7">
        <w:rPr>
          <w:rFonts w:eastAsia="Times New Roman"/>
          <w:szCs w:val="28"/>
          <w:lang w:eastAsia="uk-UA"/>
        </w:rPr>
        <w:t>[</w:t>
      </w:r>
      <w:r w:rsidR="000E3C21" w:rsidRPr="004369E7">
        <w:rPr>
          <w:rFonts w:eastAsia="Times New Roman"/>
          <w:szCs w:val="28"/>
          <w:lang w:eastAsia="uk-UA"/>
        </w:rPr>
        <w:t>3</w:t>
      </w:r>
      <w:r w:rsidR="004369E7" w:rsidRPr="004369E7">
        <w:rPr>
          <w:rFonts w:eastAsia="Times New Roman"/>
          <w:szCs w:val="28"/>
          <w:lang w:eastAsia="uk-UA"/>
        </w:rPr>
        <w:t xml:space="preserve">, 4, </w:t>
      </w:r>
      <w:r w:rsidR="00837663" w:rsidRPr="004369E7">
        <w:rPr>
          <w:rFonts w:eastAsia="Times New Roman"/>
          <w:szCs w:val="28"/>
          <w:lang w:eastAsia="uk-UA"/>
        </w:rPr>
        <w:t xml:space="preserve">5, </w:t>
      </w:r>
      <w:r w:rsidR="004369E7" w:rsidRPr="004369E7">
        <w:rPr>
          <w:rFonts w:eastAsia="Times New Roman"/>
          <w:szCs w:val="28"/>
          <w:lang w:eastAsia="uk-UA"/>
        </w:rPr>
        <w:t xml:space="preserve">7, </w:t>
      </w:r>
      <w:r w:rsidR="002A1EE3" w:rsidRPr="004369E7">
        <w:rPr>
          <w:rFonts w:eastAsia="Times New Roman"/>
          <w:szCs w:val="28"/>
          <w:lang w:eastAsia="uk-UA"/>
        </w:rPr>
        <w:t>38, 39</w:t>
      </w:r>
      <w:r w:rsidR="00390348" w:rsidRPr="004369E7">
        <w:rPr>
          <w:rFonts w:eastAsia="Times New Roman"/>
          <w:szCs w:val="28"/>
          <w:lang w:eastAsia="uk-UA"/>
        </w:rPr>
        <w:t>]</w:t>
      </w:r>
      <w:r w:rsidRPr="004369E7">
        <w:rPr>
          <w:rFonts w:eastAsia="Times New Roman"/>
          <w:szCs w:val="28"/>
          <w:lang w:eastAsia="uk-UA"/>
        </w:rPr>
        <w:t xml:space="preserve">, </w:t>
      </w:r>
      <w:r w:rsidRPr="00C70CAC">
        <w:rPr>
          <w:rFonts w:eastAsia="Times New Roman"/>
          <w:szCs w:val="28"/>
          <w:lang w:eastAsia="uk-UA"/>
        </w:rPr>
        <w:t xml:space="preserve">на комплексному аналізі стану здоров'я жінок і потомства, яке народжується, на існуючих особливостях перинатальної допомоги, на ідентифікованих причинах дитячої смертності та інвалідності </w:t>
      </w:r>
      <w:r w:rsidR="00390348" w:rsidRPr="00390348">
        <w:rPr>
          <w:rFonts w:eastAsia="Times New Roman"/>
          <w:szCs w:val="28"/>
          <w:lang w:eastAsia="uk-UA"/>
        </w:rPr>
        <w:t>[</w:t>
      </w:r>
      <w:r w:rsidR="00511EC2" w:rsidRPr="00511EC2">
        <w:rPr>
          <w:rFonts w:eastAsia="Times New Roman"/>
          <w:szCs w:val="28"/>
          <w:lang w:eastAsia="uk-UA"/>
        </w:rPr>
        <w:t>4</w:t>
      </w:r>
      <w:r w:rsidR="00511EC2">
        <w:rPr>
          <w:rFonts w:eastAsia="Times New Roman"/>
          <w:szCs w:val="28"/>
          <w:lang w:eastAsia="uk-UA"/>
        </w:rPr>
        <w:t xml:space="preserve">, </w:t>
      </w:r>
      <w:r w:rsidR="00511EC2" w:rsidRPr="00511EC2">
        <w:rPr>
          <w:rFonts w:eastAsia="Times New Roman"/>
          <w:szCs w:val="28"/>
          <w:lang w:eastAsia="uk-UA"/>
        </w:rPr>
        <w:t>38, 12</w:t>
      </w:r>
      <w:r w:rsidR="00390348" w:rsidRPr="00390348">
        <w:rPr>
          <w:rFonts w:eastAsia="Times New Roman"/>
          <w:szCs w:val="28"/>
          <w:lang w:eastAsia="uk-UA"/>
        </w:rPr>
        <w:t>]</w:t>
      </w:r>
      <w:r w:rsidRPr="00C70CAC">
        <w:rPr>
          <w:rFonts w:eastAsia="Times New Roman"/>
          <w:szCs w:val="28"/>
          <w:lang w:eastAsia="uk-UA"/>
        </w:rPr>
        <w:t xml:space="preserve">. </w:t>
      </w:r>
    </w:p>
    <w:p w:rsidR="00C70CAC" w:rsidRPr="00C70CAC" w:rsidRDefault="00C70CAC" w:rsidP="00C70CAC">
      <w:pPr>
        <w:widowControl w:val="0"/>
        <w:ind w:firstLine="567"/>
        <w:rPr>
          <w:rFonts w:eastAsia="Times New Roman"/>
          <w:szCs w:val="28"/>
          <w:lang w:eastAsia="uk-UA"/>
        </w:rPr>
      </w:pPr>
      <w:r w:rsidRPr="00C70CAC">
        <w:rPr>
          <w:rFonts w:eastAsia="Times New Roman"/>
          <w:szCs w:val="28"/>
          <w:lang w:eastAsia="uk-UA"/>
        </w:rPr>
        <w:t>В Україні вищезазначеним питанням присвячено низку наукових досліджень, в яких оцінено стан організаційно-ресурсного та матеріально-технічного забезпечення медичної допомоги дитячому населенню та визначено стратегію розвитку допомоги дітям</w:t>
      </w:r>
      <w:r w:rsidR="001A7C8C">
        <w:rPr>
          <w:rFonts w:eastAsia="Times New Roman"/>
          <w:szCs w:val="28"/>
          <w:lang w:eastAsia="uk-UA"/>
        </w:rPr>
        <w:t xml:space="preserve"> України</w:t>
      </w:r>
      <w:r w:rsidR="001A7C8C" w:rsidRPr="001A7C8C">
        <w:rPr>
          <w:rFonts w:eastAsia="Times New Roman"/>
          <w:szCs w:val="28"/>
          <w:lang w:eastAsia="uk-UA"/>
        </w:rPr>
        <w:t xml:space="preserve"> </w:t>
      </w:r>
      <w:r w:rsidR="00390348" w:rsidRPr="00390348">
        <w:rPr>
          <w:rFonts w:eastAsia="Times New Roman"/>
          <w:szCs w:val="28"/>
          <w:lang w:eastAsia="uk-UA"/>
        </w:rPr>
        <w:t>[</w:t>
      </w:r>
      <w:r w:rsidR="004C0AF6" w:rsidRPr="004C0AF6">
        <w:rPr>
          <w:rFonts w:eastAsia="Times New Roman"/>
          <w:szCs w:val="28"/>
          <w:lang w:eastAsia="uk-UA"/>
        </w:rPr>
        <w:t xml:space="preserve">14, </w:t>
      </w:r>
      <w:r w:rsidR="0016433E" w:rsidRPr="0016433E">
        <w:rPr>
          <w:rFonts w:eastAsia="Times New Roman"/>
          <w:szCs w:val="28"/>
          <w:lang w:eastAsia="uk-UA"/>
        </w:rPr>
        <w:t xml:space="preserve">23, </w:t>
      </w:r>
      <w:r w:rsidR="001A7C8C" w:rsidRPr="001A7C8C">
        <w:rPr>
          <w:rFonts w:eastAsia="Times New Roman"/>
          <w:szCs w:val="28"/>
          <w:lang w:eastAsia="uk-UA"/>
        </w:rPr>
        <w:t xml:space="preserve">24, </w:t>
      </w:r>
      <w:r w:rsidR="0016433E" w:rsidRPr="0016433E">
        <w:rPr>
          <w:rFonts w:eastAsia="Times New Roman"/>
          <w:szCs w:val="28"/>
          <w:lang w:eastAsia="uk-UA"/>
        </w:rPr>
        <w:t xml:space="preserve">40, </w:t>
      </w:r>
      <w:r w:rsidR="004C0AF6" w:rsidRPr="004C0AF6">
        <w:rPr>
          <w:rFonts w:eastAsia="Times New Roman"/>
          <w:szCs w:val="28"/>
          <w:lang w:eastAsia="uk-UA"/>
        </w:rPr>
        <w:t>41</w:t>
      </w:r>
      <w:r w:rsidR="00390348" w:rsidRPr="00390348">
        <w:rPr>
          <w:rFonts w:eastAsia="Times New Roman"/>
          <w:szCs w:val="28"/>
          <w:lang w:eastAsia="uk-UA"/>
        </w:rPr>
        <w:t>]</w:t>
      </w:r>
      <w:r w:rsidRPr="00C70CAC">
        <w:rPr>
          <w:rFonts w:eastAsia="Times New Roman"/>
          <w:szCs w:val="28"/>
          <w:lang w:eastAsia="uk-UA"/>
        </w:rPr>
        <w:t xml:space="preserve">, однак питання щодо трендів захворюваності та причинної, вікової, статевої, регіональної структури показників смертності дітей віком до 5 років життя, її зв’язків </w:t>
      </w:r>
      <w:r w:rsidR="00977CAB">
        <w:rPr>
          <w:rFonts w:eastAsia="Times New Roman"/>
          <w:szCs w:val="28"/>
          <w:lang w:eastAsia="uk-UA"/>
        </w:rPr>
        <w:t>і</w:t>
      </w:r>
      <w:r w:rsidRPr="00C70CAC">
        <w:rPr>
          <w:rFonts w:eastAsia="Times New Roman"/>
          <w:szCs w:val="28"/>
          <w:lang w:eastAsia="uk-UA"/>
        </w:rPr>
        <w:t>з функціонально-організаційними чинниками галузі ОЗ, які б було покладено в обґрунтування та розроблення інноваційної системи медико-соціальної допомоги дитячому населенню, вивчено недостатньо.</w:t>
      </w:r>
    </w:p>
    <w:p w:rsidR="00C70CAC" w:rsidRPr="00C70CAC" w:rsidRDefault="00C70CAC" w:rsidP="00C70CAC">
      <w:pPr>
        <w:widowControl w:val="0"/>
        <w:ind w:firstLine="567"/>
        <w:rPr>
          <w:rFonts w:eastAsia="Times New Roman"/>
          <w:szCs w:val="28"/>
          <w:lang w:eastAsia="uk-UA"/>
        </w:rPr>
      </w:pPr>
      <w:r w:rsidRPr="00C70CAC">
        <w:rPr>
          <w:rFonts w:eastAsia="Times New Roman"/>
          <w:szCs w:val="28"/>
          <w:lang w:eastAsia="uk-UA"/>
        </w:rPr>
        <w:t>Відсутність комплексних та системних досліджень з аналізу відповідності існуючої системи надання медичної допомоги дитячому населенню сучасним світовим вимогам, рекомендаціям та регіональним особливостям, недостатність наукових праць з питань покращення стану здоров’я дітей віком до 5 років життя та, відповідно, зниження дитячої смертності, обумовили актуальність даного дослідження, визначили його мету й завдання.</w:t>
      </w:r>
    </w:p>
    <w:p w:rsidR="00C70CAC" w:rsidRPr="00C70CAC" w:rsidRDefault="00C70CAC" w:rsidP="00C70CAC">
      <w:pPr>
        <w:widowControl w:val="0"/>
        <w:ind w:firstLine="567"/>
        <w:rPr>
          <w:rFonts w:eastAsia="Times New Roman"/>
          <w:szCs w:val="28"/>
          <w:lang w:eastAsia="uk-UA"/>
        </w:rPr>
      </w:pPr>
      <w:r w:rsidRPr="00C70CAC">
        <w:rPr>
          <w:rFonts w:eastAsia="Times New Roman"/>
          <w:szCs w:val="28"/>
          <w:lang w:eastAsia="uk-UA"/>
        </w:rPr>
        <w:t>Актуальність роботи посилюється необхідністю виконання Закону України від 19</w:t>
      </w:r>
      <w:r w:rsidR="00CE0D35">
        <w:rPr>
          <w:rFonts w:eastAsia="Times New Roman"/>
          <w:szCs w:val="28"/>
          <w:lang w:val="ru-RU" w:eastAsia="uk-UA"/>
        </w:rPr>
        <w:t> </w:t>
      </w:r>
      <w:r w:rsidRPr="00C70CAC">
        <w:rPr>
          <w:rFonts w:eastAsia="Times New Roman"/>
          <w:szCs w:val="28"/>
          <w:lang w:eastAsia="uk-UA"/>
        </w:rPr>
        <w:t xml:space="preserve">жовтня 2017 року № 2168-VIII «Про державні фінансові гарантії медичного </w:t>
      </w:r>
      <w:r w:rsidRPr="00C70CAC">
        <w:rPr>
          <w:rFonts w:eastAsia="Times New Roman"/>
          <w:szCs w:val="28"/>
          <w:lang w:eastAsia="uk-UA"/>
        </w:rPr>
        <w:lastRenderedPageBreak/>
        <w:t>обслуговування населення» та розпорядження Кабінету Міністрів України від 30</w:t>
      </w:r>
      <w:r w:rsidR="008C22F8">
        <w:rPr>
          <w:rFonts w:eastAsia="Times New Roman"/>
          <w:szCs w:val="28"/>
          <w:lang w:val="ru-RU" w:eastAsia="uk-UA"/>
        </w:rPr>
        <w:t> </w:t>
      </w:r>
      <w:r w:rsidRPr="00C70CAC">
        <w:rPr>
          <w:rFonts w:eastAsia="Times New Roman"/>
          <w:szCs w:val="28"/>
          <w:lang w:eastAsia="uk-UA"/>
        </w:rPr>
        <w:t>листопада 2016 р. № 1002-р «Про схвалення концепції розвитку системи громадського здоров’я».</w:t>
      </w:r>
    </w:p>
    <w:p w:rsidR="00C70CAC" w:rsidRPr="00C70CAC" w:rsidRDefault="00C70CAC" w:rsidP="00C70CAC">
      <w:pPr>
        <w:widowControl w:val="0"/>
        <w:ind w:firstLine="567"/>
        <w:rPr>
          <w:rFonts w:eastAsia="Times New Roman"/>
          <w:szCs w:val="28"/>
          <w:lang w:eastAsia="uk-UA"/>
        </w:rPr>
      </w:pPr>
      <w:r w:rsidRPr="00C70CAC">
        <w:rPr>
          <w:rFonts w:eastAsia="Times New Roman"/>
          <w:b/>
          <w:szCs w:val="28"/>
          <w:lang w:eastAsia="uk-UA"/>
        </w:rPr>
        <w:t>Зв’язок роботи з науковими програмами, планами, темами</w:t>
      </w:r>
      <w:r w:rsidRPr="00C70CAC">
        <w:rPr>
          <w:rFonts w:eastAsia="Times New Roman"/>
          <w:szCs w:val="28"/>
          <w:lang w:eastAsia="uk-UA"/>
        </w:rPr>
        <w:t xml:space="preserve">. </w:t>
      </w:r>
    </w:p>
    <w:p w:rsidR="00C70CAC" w:rsidRPr="00C70CAC" w:rsidRDefault="00C70CAC" w:rsidP="00C70CAC">
      <w:pPr>
        <w:widowControl w:val="0"/>
        <w:ind w:firstLine="567"/>
        <w:rPr>
          <w:rFonts w:eastAsia="Times New Roman"/>
          <w:szCs w:val="28"/>
          <w:lang w:eastAsia="uk-UA"/>
        </w:rPr>
      </w:pPr>
      <w:r w:rsidRPr="00C70CAC">
        <w:rPr>
          <w:rFonts w:eastAsia="Times New Roman"/>
          <w:szCs w:val="28"/>
          <w:lang w:eastAsia="uk-UA"/>
        </w:rPr>
        <w:t xml:space="preserve">Дисертаційне дослідження проводилось у рамках виконання науково-дослідних робіт державної установи «Український інститут стратегічних досліджень МОЗ України» на замовлення МОЗ України: «Науково-методичний супровід регіоналізації перинатальної допомоги» (прикладна, № державної реєстрації 0114U006051, строки виконання 2014-2016 рр.) та «Наукове обґрунтування і розробка системи заходів по оптимізації ефективності медичної допомоги матерям і новонародженим в умовах регіоналізації перинатальної допомоги» (№ державної реєстрації 0117U002419, строки виконання 2017–2019 рр.). Дисертант був виконавцем окремих фрагментів НДР. </w:t>
      </w:r>
    </w:p>
    <w:p w:rsidR="00C70CAC" w:rsidRPr="00C70CAC" w:rsidRDefault="00C70CAC" w:rsidP="00431FDC">
      <w:pPr>
        <w:widowControl w:val="0"/>
        <w:ind w:firstLine="709"/>
        <w:rPr>
          <w:rFonts w:eastAsia="Times New Roman"/>
          <w:szCs w:val="28"/>
          <w:lang w:eastAsia="uk-UA"/>
        </w:rPr>
      </w:pPr>
      <w:r w:rsidRPr="00C70CAC">
        <w:rPr>
          <w:rFonts w:eastAsia="Times New Roman"/>
          <w:b/>
          <w:szCs w:val="28"/>
          <w:lang w:eastAsia="uk-UA"/>
        </w:rPr>
        <w:t>Мета дослідження:</w:t>
      </w:r>
      <w:r w:rsidRPr="00C70CAC">
        <w:rPr>
          <w:rFonts w:eastAsia="Times New Roman"/>
          <w:szCs w:val="28"/>
          <w:lang w:eastAsia="uk-UA"/>
        </w:rPr>
        <w:t xml:space="preserve"> збереження здоров’я дитячого населення та сприяння зниженню смертності дітей віком до 5 років життя шляхом обґрунтування та розробки інноваційної</w:t>
      </w:r>
      <w:r w:rsidRPr="00C70CAC">
        <w:rPr>
          <w:rFonts w:eastAsia="Times New Roman"/>
          <w:b/>
          <w:szCs w:val="28"/>
          <w:lang w:eastAsia="uk-UA"/>
        </w:rPr>
        <w:t xml:space="preserve"> </w:t>
      </w:r>
      <w:r w:rsidRPr="00C70CAC">
        <w:rPr>
          <w:rFonts w:eastAsia="Times New Roman"/>
          <w:szCs w:val="28"/>
          <w:lang w:eastAsia="uk-UA"/>
        </w:rPr>
        <w:t>системи медико-соціальної допомоги дітям до 5 років життя.</w:t>
      </w:r>
    </w:p>
    <w:p w:rsidR="00EF5437" w:rsidRPr="00EF5437" w:rsidRDefault="00EF5437" w:rsidP="00EF5437">
      <w:pPr>
        <w:widowControl w:val="0"/>
        <w:ind w:firstLine="709"/>
        <w:rPr>
          <w:rFonts w:eastAsia="Times New Roman"/>
          <w:bCs/>
          <w:iCs/>
          <w:szCs w:val="28"/>
          <w:lang w:eastAsia="uk-UA"/>
        </w:rPr>
      </w:pPr>
      <w:r w:rsidRPr="00EF5437">
        <w:rPr>
          <w:rFonts w:eastAsia="Times New Roman"/>
          <w:b/>
          <w:szCs w:val="28"/>
          <w:lang w:eastAsia="uk-UA"/>
        </w:rPr>
        <w:t>Завдання дослідження</w:t>
      </w:r>
      <w:r w:rsidRPr="00EF5437">
        <w:rPr>
          <w:rFonts w:eastAsia="Times New Roman"/>
          <w:szCs w:val="28"/>
          <w:lang w:eastAsia="uk-UA"/>
        </w:rPr>
        <w:t xml:space="preserve">, </w:t>
      </w:r>
      <w:r w:rsidRPr="00EF5437">
        <w:rPr>
          <w:rFonts w:eastAsia="Times New Roman"/>
          <w:bCs/>
          <w:iCs/>
          <w:szCs w:val="28"/>
          <w:lang w:eastAsia="uk-UA"/>
        </w:rPr>
        <w:t>зумовлені поставленою метою, передбачали:</w:t>
      </w:r>
    </w:p>
    <w:p w:rsidR="00EF5437" w:rsidRPr="00EF5437" w:rsidRDefault="00EF5437" w:rsidP="00EF5437">
      <w:pPr>
        <w:widowControl w:val="0"/>
        <w:numPr>
          <w:ilvl w:val="0"/>
          <w:numId w:val="45"/>
        </w:numPr>
        <w:ind w:left="0" w:firstLine="360"/>
        <w:contextualSpacing/>
        <w:rPr>
          <w:rFonts w:eastAsia="Calibri"/>
          <w:szCs w:val="28"/>
        </w:rPr>
      </w:pPr>
      <w:r w:rsidRPr="00EF5437">
        <w:rPr>
          <w:rFonts w:eastAsia="Calibri"/>
          <w:szCs w:val="28"/>
        </w:rPr>
        <w:t>Вивчити основні напрями і доказові підходи до зниження смертності та організації медико-соціальної допомоги дітям віком до 5 років життя в розвинених країнах світу та в Україні за даними міжнародних і вітчизняних науково-інформаційних джерел.</w:t>
      </w:r>
    </w:p>
    <w:p w:rsidR="00EF5437" w:rsidRPr="00EF5437" w:rsidRDefault="00EF5437" w:rsidP="00EF5437">
      <w:pPr>
        <w:widowControl w:val="0"/>
        <w:numPr>
          <w:ilvl w:val="0"/>
          <w:numId w:val="45"/>
        </w:numPr>
        <w:ind w:left="0" w:firstLine="360"/>
        <w:contextualSpacing/>
        <w:rPr>
          <w:rFonts w:eastAsia="Calibri"/>
          <w:szCs w:val="28"/>
        </w:rPr>
      </w:pPr>
      <w:r w:rsidRPr="00EF5437">
        <w:rPr>
          <w:rFonts w:eastAsia="Calibri"/>
          <w:szCs w:val="28"/>
        </w:rPr>
        <w:t>Встановити основні тенденції в змінах кількісної та якісної структури показника смертності дітей до 5 років життя в Україні, а також оцінити глобальний тягар смертності дітей даної вікової категорії.</w:t>
      </w:r>
    </w:p>
    <w:p w:rsidR="00EF5437" w:rsidRPr="00EF5437" w:rsidRDefault="00EF5437" w:rsidP="00EF5437">
      <w:pPr>
        <w:widowControl w:val="0"/>
        <w:numPr>
          <w:ilvl w:val="0"/>
          <w:numId w:val="45"/>
        </w:numPr>
        <w:ind w:left="0" w:firstLine="360"/>
        <w:contextualSpacing/>
        <w:rPr>
          <w:rFonts w:eastAsia="Calibri"/>
          <w:szCs w:val="28"/>
        </w:rPr>
      </w:pPr>
      <w:r w:rsidRPr="00EF5437">
        <w:rPr>
          <w:rFonts w:eastAsia="Calibri"/>
          <w:szCs w:val="28"/>
        </w:rPr>
        <w:t>Дослідити та проаналізувати динаміку й структуру захворюваності дітей віком до 5 років життя та ідентифікувати хвороби, які найбільше пов’язані з показником смертності немовлят.</w:t>
      </w:r>
    </w:p>
    <w:p w:rsidR="00EF5437" w:rsidRPr="00EF5437" w:rsidRDefault="00EF5437" w:rsidP="00EF5437">
      <w:pPr>
        <w:widowControl w:val="0"/>
        <w:numPr>
          <w:ilvl w:val="0"/>
          <w:numId w:val="45"/>
        </w:numPr>
        <w:ind w:left="0" w:firstLine="360"/>
        <w:contextualSpacing/>
        <w:rPr>
          <w:rFonts w:eastAsia="Calibri"/>
          <w:szCs w:val="28"/>
        </w:rPr>
      </w:pPr>
      <w:r w:rsidRPr="00EF5437">
        <w:rPr>
          <w:rFonts w:eastAsia="Calibri"/>
          <w:szCs w:val="28"/>
        </w:rPr>
        <w:t xml:space="preserve">Вивчити систему надання медичної допомоги дітям та визначити основні її компоненти, які найбільше асоціюються з показником смертності дітей віком до 5 </w:t>
      </w:r>
      <w:r w:rsidRPr="00EF5437">
        <w:rPr>
          <w:rFonts w:eastAsia="Calibri"/>
          <w:szCs w:val="28"/>
        </w:rPr>
        <w:lastRenderedPageBreak/>
        <w:t xml:space="preserve">років </w:t>
      </w:r>
      <w:r w:rsidRPr="00EF5437">
        <w:rPr>
          <w:rFonts w:eastAsia="Calibri"/>
          <w:szCs w:val="28"/>
          <w:lang w:val="ru-RU"/>
        </w:rPr>
        <w:t>життя</w:t>
      </w:r>
      <w:r w:rsidRPr="00EF5437">
        <w:rPr>
          <w:rFonts w:eastAsia="Calibri"/>
          <w:szCs w:val="28"/>
        </w:rPr>
        <w:t>.</w:t>
      </w:r>
    </w:p>
    <w:p w:rsidR="00EF5437" w:rsidRPr="00EF5437" w:rsidRDefault="00EF5437" w:rsidP="00EF5437">
      <w:pPr>
        <w:widowControl w:val="0"/>
        <w:numPr>
          <w:ilvl w:val="0"/>
          <w:numId w:val="45"/>
        </w:numPr>
        <w:ind w:left="0" w:firstLine="360"/>
        <w:contextualSpacing/>
        <w:rPr>
          <w:rFonts w:eastAsia="Calibri"/>
          <w:szCs w:val="28"/>
        </w:rPr>
      </w:pPr>
      <w:r w:rsidRPr="00EF5437">
        <w:rPr>
          <w:rFonts w:eastAsia="Calibri"/>
          <w:szCs w:val="28"/>
        </w:rPr>
        <w:t>Встановити та провести аналіз рівня професійної готовності лікарів загальної практики-сімейних лікарів (</w:t>
      </w:r>
      <w:r w:rsidR="009E4A33">
        <w:rPr>
          <w:rFonts w:eastAsia="Calibri"/>
          <w:szCs w:val="28"/>
        </w:rPr>
        <w:t>ЛЗП-СЛ) та обізнаності батьків у</w:t>
      </w:r>
      <w:r w:rsidRPr="00EF5437">
        <w:rPr>
          <w:rFonts w:eastAsia="Calibri"/>
          <w:szCs w:val="28"/>
        </w:rPr>
        <w:t xml:space="preserve"> питаннях збереження здоров’я та запобігання відворотним випадкам смерті дітей до 5 років життя.</w:t>
      </w:r>
    </w:p>
    <w:p w:rsidR="00EF5437" w:rsidRPr="00EF5437" w:rsidRDefault="00EF5437" w:rsidP="00EF5437">
      <w:pPr>
        <w:widowControl w:val="0"/>
        <w:numPr>
          <w:ilvl w:val="0"/>
          <w:numId w:val="45"/>
        </w:numPr>
        <w:ind w:left="0" w:firstLine="360"/>
        <w:contextualSpacing/>
        <w:rPr>
          <w:rFonts w:eastAsia="Calibri"/>
          <w:szCs w:val="28"/>
        </w:rPr>
      </w:pPr>
      <w:r w:rsidRPr="00EF5437">
        <w:rPr>
          <w:rFonts w:eastAsia="Calibri"/>
          <w:szCs w:val="28"/>
        </w:rPr>
        <w:t>Обґрунтувати, розробити та апробувати методологію комплексної оцінки стану перинатальної допомоги в Україні.</w:t>
      </w:r>
    </w:p>
    <w:p w:rsidR="00EF5437" w:rsidRPr="00EF5437" w:rsidRDefault="00EF5437" w:rsidP="00EF5437">
      <w:pPr>
        <w:widowControl w:val="0"/>
        <w:numPr>
          <w:ilvl w:val="0"/>
          <w:numId w:val="45"/>
        </w:numPr>
        <w:ind w:left="0" w:firstLine="360"/>
        <w:contextualSpacing/>
        <w:rPr>
          <w:rFonts w:eastAsia="Calibri"/>
          <w:szCs w:val="28"/>
        </w:rPr>
      </w:pPr>
      <w:r w:rsidRPr="00EF5437">
        <w:rPr>
          <w:rFonts w:eastAsia="Calibri"/>
          <w:szCs w:val="28"/>
        </w:rPr>
        <w:t>Обґрунтувати та розробити інноваційну систему медико-соціальної допомоги дітям до 5 років життя в Україні, скеровану на зменшення смертності дітей даної вікової категорії з визначенням її основних інноваційних структурно-організаційних елементів та інтеграційно-логістичних зв’язків, провести її експертну оцінку та довести ефективність окремих елементів.</w:t>
      </w:r>
    </w:p>
    <w:p w:rsidR="00EF5437" w:rsidRPr="00EF5437" w:rsidRDefault="00EF5437" w:rsidP="00EF5437">
      <w:pPr>
        <w:widowControl w:val="0"/>
        <w:ind w:firstLine="567"/>
        <w:rPr>
          <w:rFonts w:eastAsia="Times New Roman"/>
          <w:szCs w:val="28"/>
          <w:lang w:eastAsia="uk-UA"/>
        </w:rPr>
      </w:pPr>
      <w:r w:rsidRPr="00EF5437">
        <w:rPr>
          <w:rFonts w:eastAsia="Times New Roman"/>
          <w:b/>
          <w:szCs w:val="28"/>
          <w:lang w:eastAsia="uk-UA"/>
        </w:rPr>
        <w:t>Об'єкт дослідження</w:t>
      </w:r>
      <w:r w:rsidRPr="00EF5437">
        <w:rPr>
          <w:rFonts w:eastAsia="Times New Roman"/>
          <w:szCs w:val="28"/>
          <w:lang w:eastAsia="uk-UA"/>
        </w:rPr>
        <w:t>: система медико-соціальної допомоги дітям до 5 років життя.</w:t>
      </w:r>
    </w:p>
    <w:p w:rsidR="00EF5437" w:rsidRPr="00EF5437" w:rsidRDefault="00EF5437" w:rsidP="00EF5437">
      <w:pPr>
        <w:widowControl w:val="0"/>
        <w:ind w:firstLine="567"/>
        <w:rPr>
          <w:rFonts w:eastAsia="Times New Roman"/>
          <w:szCs w:val="28"/>
          <w:lang w:eastAsia="uk-UA"/>
        </w:rPr>
      </w:pPr>
      <w:r w:rsidRPr="00EF5437">
        <w:rPr>
          <w:rFonts w:eastAsia="Times New Roman"/>
          <w:b/>
          <w:szCs w:val="28"/>
          <w:lang w:eastAsia="uk-UA"/>
        </w:rPr>
        <w:t>Предмет дослідження:</w:t>
      </w:r>
      <w:r w:rsidRPr="00EF5437">
        <w:rPr>
          <w:rFonts w:eastAsia="Times New Roman"/>
          <w:szCs w:val="28"/>
          <w:lang w:eastAsia="uk-UA"/>
        </w:rPr>
        <w:t xml:space="preserve"> показники смертності та за</w:t>
      </w:r>
      <w:r w:rsidR="0047206A">
        <w:rPr>
          <w:rFonts w:eastAsia="Times New Roman"/>
          <w:szCs w:val="28"/>
          <w:lang w:eastAsia="uk-UA"/>
        </w:rPr>
        <w:t>хворюваності дітей віком до 5 </w:t>
      </w:r>
      <w:r w:rsidRPr="00EF5437">
        <w:rPr>
          <w:rFonts w:eastAsia="Times New Roman"/>
          <w:szCs w:val="28"/>
          <w:lang w:eastAsia="uk-UA"/>
        </w:rPr>
        <w:t xml:space="preserve">років життя та їх тягар, система надання медичної допомоги дитячому населенню, система перинатальної допомоги та оцінювання її якості, рівень знань лікарів та батьків </w:t>
      </w:r>
      <w:r w:rsidR="00BA2A08">
        <w:rPr>
          <w:rFonts w:eastAsia="Times New Roman"/>
          <w:szCs w:val="28"/>
          <w:lang w:eastAsia="uk-UA"/>
        </w:rPr>
        <w:t>і</w:t>
      </w:r>
      <w:r w:rsidRPr="00EF5437">
        <w:rPr>
          <w:rFonts w:eastAsia="Times New Roman"/>
          <w:szCs w:val="28"/>
          <w:lang w:eastAsia="uk-UA"/>
        </w:rPr>
        <w:t>з питань запобігання випадкам дитячої смерті</w:t>
      </w:r>
      <w:r w:rsidRPr="00EF5437">
        <w:rPr>
          <w:rFonts w:eastAsia="Times New Roman"/>
          <w:color w:val="5B9BD5"/>
          <w:szCs w:val="28"/>
          <w:lang w:eastAsia="uk-UA"/>
        </w:rPr>
        <w:t xml:space="preserve">, </w:t>
      </w:r>
      <w:r w:rsidRPr="00EF5437">
        <w:rPr>
          <w:rFonts w:eastAsia="Times New Roman"/>
          <w:szCs w:val="28"/>
          <w:lang w:eastAsia="uk-UA"/>
        </w:rPr>
        <w:t>ефективність впровадження організаційних заходів.</w:t>
      </w:r>
    </w:p>
    <w:p w:rsidR="00EC493A" w:rsidRPr="00EC493A" w:rsidRDefault="00EC493A" w:rsidP="00EC493A">
      <w:pPr>
        <w:widowControl w:val="0"/>
        <w:ind w:firstLine="567"/>
        <w:rPr>
          <w:rFonts w:eastAsia="Times New Roman"/>
          <w:szCs w:val="28"/>
          <w:lang w:eastAsia="uk-UA"/>
        </w:rPr>
      </w:pPr>
      <w:r w:rsidRPr="00EC493A">
        <w:rPr>
          <w:rFonts w:eastAsia="Times New Roman"/>
          <w:b/>
          <w:bCs/>
          <w:szCs w:val="28"/>
          <w:lang w:eastAsia="uk-UA"/>
        </w:rPr>
        <w:t xml:space="preserve">Наукова база дослідження: </w:t>
      </w:r>
      <w:r w:rsidRPr="00EC493A">
        <w:rPr>
          <w:rFonts w:eastAsia="Times New Roman"/>
          <w:bCs/>
          <w:szCs w:val="28"/>
          <w:lang w:eastAsia="uk-UA"/>
        </w:rPr>
        <w:t>дитячі лікарні,</w:t>
      </w:r>
      <w:r w:rsidRPr="00EC493A">
        <w:rPr>
          <w:rFonts w:eastAsia="Times New Roman"/>
          <w:b/>
          <w:bCs/>
          <w:szCs w:val="28"/>
          <w:lang w:eastAsia="uk-UA"/>
        </w:rPr>
        <w:t xml:space="preserve"> </w:t>
      </w:r>
      <w:r w:rsidRPr="00EC493A">
        <w:rPr>
          <w:rFonts w:eastAsia="Times New Roman"/>
          <w:bCs/>
          <w:szCs w:val="28"/>
          <w:lang w:eastAsia="uk-UA"/>
        </w:rPr>
        <w:t>перинатальні центри (ПЦ), акушерські стаціонари І-ІІ рівнів,</w:t>
      </w:r>
      <w:r w:rsidRPr="00EC493A">
        <w:rPr>
          <w:rFonts w:eastAsia="Times New Roman"/>
          <w:bCs/>
          <w:color w:val="FF0000"/>
          <w:szCs w:val="28"/>
          <w:lang w:eastAsia="uk-UA"/>
        </w:rPr>
        <w:t xml:space="preserve"> </w:t>
      </w:r>
      <w:r w:rsidRPr="00EC493A">
        <w:rPr>
          <w:rFonts w:eastAsia="Times New Roman"/>
          <w:bCs/>
          <w:szCs w:val="28"/>
          <w:lang w:eastAsia="uk-UA"/>
        </w:rPr>
        <w:t>які надають медичну допомогу дітям віком до 5 років, і підпорядковуються МОЗ</w:t>
      </w:r>
      <w:r w:rsidRPr="00EC493A">
        <w:rPr>
          <w:rFonts w:eastAsia="Times New Roman"/>
          <w:szCs w:val="28"/>
          <w:lang w:eastAsia="uk-UA"/>
        </w:rPr>
        <w:t>.</w:t>
      </w:r>
    </w:p>
    <w:p w:rsidR="00EC493A" w:rsidRPr="00EC493A" w:rsidRDefault="00EC493A" w:rsidP="00EC493A">
      <w:pPr>
        <w:widowControl w:val="0"/>
        <w:ind w:firstLine="567"/>
        <w:rPr>
          <w:rFonts w:eastAsia="Times New Roman"/>
          <w:szCs w:val="28"/>
          <w:lang w:eastAsia="uk-UA"/>
        </w:rPr>
      </w:pPr>
      <w:r w:rsidRPr="00EC493A">
        <w:rPr>
          <w:rFonts w:eastAsia="Times New Roman"/>
          <w:szCs w:val="28"/>
          <w:lang w:eastAsia="uk-UA"/>
        </w:rPr>
        <w:t>Дослідження охоплювало період з 20</w:t>
      </w:r>
      <w:r w:rsidRPr="00EC493A">
        <w:rPr>
          <w:rFonts w:eastAsia="Times New Roman"/>
          <w:szCs w:val="28"/>
          <w:lang w:val="ru-RU" w:eastAsia="uk-UA"/>
        </w:rPr>
        <w:t>09</w:t>
      </w:r>
      <w:r w:rsidRPr="00EC493A">
        <w:rPr>
          <w:rFonts w:eastAsia="Times New Roman"/>
          <w:szCs w:val="28"/>
          <w:lang w:eastAsia="uk-UA"/>
        </w:rPr>
        <w:t xml:space="preserve"> до 2020 р</w:t>
      </w:r>
      <w:r w:rsidRPr="00EC493A">
        <w:rPr>
          <w:rFonts w:eastAsia="Times New Roman"/>
          <w:szCs w:val="28"/>
          <w:lang w:val="ru-RU" w:eastAsia="uk-UA"/>
        </w:rPr>
        <w:t>р</w:t>
      </w:r>
      <w:r w:rsidRPr="00EC493A">
        <w:rPr>
          <w:rFonts w:eastAsia="Times New Roman"/>
          <w:szCs w:val="28"/>
          <w:lang w:eastAsia="uk-UA"/>
        </w:rPr>
        <w:t>.</w:t>
      </w:r>
    </w:p>
    <w:p w:rsidR="00EC493A" w:rsidRPr="00EC493A" w:rsidRDefault="00EC493A" w:rsidP="00EC493A">
      <w:pPr>
        <w:widowControl w:val="0"/>
        <w:ind w:firstLine="567"/>
        <w:rPr>
          <w:rFonts w:eastAsia="Times New Roman"/>
          <w:b/>
          <w:szCs w:val="28"/>
          <w:lang w:eastAsia="uk-UA"/>
        </w:rPr>
      </w:pPr>
      <w:r w:rsidRPr="00EC493A">
        <w:rPr>
          <w:rFonts w:eastAsia="Times New Roman"/>
          <w:szCs w:val="28"/>
          <w:lang w:eastAsia="uk-UA"/>
        </w:rPr>
        <w:t>У досліджені безпосередньо та в різних комбінаціях використані наступні методи дослідження:</w:t>
      </w:r>
    </w:p>
    <w:p w:rsidR="00EC493A" w:rsidRPr="00EC493A" w:rsidRDefault="00EC493A" w:rsidP="00EC493A">
      <w:pPr>
        <w:widowControl w:val="0"/>
        <w:numPr>
          <w:ilvl w:val="0"/>
          <w:numId w:val="1"/>
        </w:numPr>
        <w:ind w:left="0" w:firstLine="360"/>
        <w:contextualSpacing/>
        <w:rPr>
          <w:rFonts w:eastAsia="Times New Roman"/>
          <w:szCs w:val="28"/>
          <w:lang w:eastAsia="uk-UA"/>
        </w:rPr>
      </w:pPr>
      <w:r w:rsidRPr="00EC493A">
        <w:rPr>
          <w:rFonts w:eastAsia="Times New Roman"/>
          <w:i/>
          <w:iCs/>
          <w:szCs w:val="28"/>
          <w:lang w:eastAsia="uk-UA"/>
        </w:rPr>
        <w:t>системний підхід та системний аналіз</w:t>
      </w:r>
      <w:r w:rsidRPr="00EC493A">
        <w:rPr>
          <w:rFonts w:eastAsia="Times New Roman"/>
          <w:szCs w:val="28"/>
          <w:lang w:eastAsia="uk-UA"/>
        </w:rPr>
        <w:t xml:space="preserve"> – для формування та розв'язання проблеми системного дослідження на всіх етапах роботи;</w:t>
      </w:r>
    </w:p>
    <w:p w:rsidR="00EC493A" w:rsidRPr="00EC493A" w:rsidRDefault="00EC493A" w:rsidP="00EC493A">
      <w:pPr>
        <w:widowControl w:val="0"/>
        <w:numPr>
          <w:ilvl w:val="0"/>
          <w:numId w:val="1"/>
        </w:numPr>
        <w:ind w:left="0" w:firstLine="360"/>
        <w:contextualSpacing/>
        <w:rPr>
          <w:rFonts w:eastAsia="Times New Roman"/>
          <w:szCs w:val="28"/>
          <w:lang w:eastAsia="uk-UA"/>
        </w:rPr>
      </w:pPr>
      <w:r w:rsidRPr="00EC493A">
        <w:rPr>
          <w:rFonts w:eastAsia="Times New Roman"/>
          <w:i/>
          <w:iCs/>
          <w:szCs w:val="28"/>
          <w:lang w:eastAsia="uk-UA"/>
        </w:rPr>
        <w:t xml:space="preserve">бібліосемантичний </w:t>
      </w:r>
      <w:r w:rsidRPr="00EC493A">
        <w:rPr>
          <w:rFonts w:eastAsia="Times New Roman"/>
          <w:szCs w:val="28"/>
          <w:lang w:eastAsia="uk-UA"/>
        </w:rPr>
        <w:t xml:space="preserve">– </w:t>
      </w:r>
      <w:r w:rsidR="00D27E86" w:rsidRPr="00D27E86">
        <w:rPr>
          <w:rFonts w:eastAsia="Times New Roman"/>
          <w:szCs w:val="28"/>
          <w:lang w:eastAsia="uk-UA"/>
        </w:rPr>
        <w:t xml:space="preserve">для вивчення та проведення аналізу даних наукової літератури щодо стану та тенденцій дитячої смертності у світі та в Україні, її детермінант, сучасних підходів до організації </w:t>
      </w:r>
      <w:r w:rsidR="00D27E86">
        <w:rPr>
          <w:rFonts w:eastAsia="Times New Roman"/>
          <w:szCs w:val="28"/>
          <w:lang w:eastAsia="uk-UA"/>
        </w:rPr>
        <w:t>медичної допомоги</w:t>
      </w:r>
      <w:r w:rsidRPr="00EC493A">
        <w:rPr>
          <w:rFonts w:eastAsia="Times New Roman"/>
          <w:szCs w:val="28"/>
          <w:lang w:eastAsia="uk-UA"/>
        </w:rPr>
        <w:t>;</w:t>
      </w:r>
    </w:p>
    <w:p w:rsidR="00EC493A" w:rsidRPr="00EC493A" w:rsidRDefault="00EC493A" w:rsidP="00EC493A">
      <w:pPr>
        <w:widowControl w:val="0"/>
        <w:numPr>
          <w:ilvl w:val="0"/>
          <w:numId w:val="1"/>
        </w:numPr>
        <w:ind w:left="0" w:firstLine="360"/>
        <w:contextualSpacing/>
        <w:rPr>
          <w:rFonts w:eastAsia="Times New Roman"/>
          <w:szCs w:val="28"/>
          <w:lang w:eastAsia="uk-UA"/>
        </w:rPr>
      </w:pPr>
      <w:r w:rsidRPr="00EC493A">
        <w:rPr>
          <w:rFonts w:eastAsia="Times New Roman"/>
          <w:i/>
          <w:szCs w:val="28"/>
          <w:lang w:eastAsia="uk-UA"/>
        </w:rPr>
        <w:lastRenderedPageBreak/>
        <w:t>медико-</w:t>
      </w:r>
      <w:r w:rsidRPr="00EC493A">
        <w:rPr>
          <w:rFonts w:eastAsia="Times New Roman"/>
          <w:i/>
          <w:iCs/>
          <w:szCs w:val="28"/>
          <w:lang w:eastAsia="uk-UA"/>
        </w:rPr>
        <w:t>статистичний</w:t>
      </w:r>
      <w:r w:rsidRPr="00EC493A">
        <w:rPr>
          <w:rFonts w:eastAsia="Times New Roman"/>
          <w:szCs w:val="28"/>
          <w:lang w:eastAsia="uk-UA"/>
        </w:rPr>
        <w:t xml:space="preserve"> – для характеристики показників дитячої смертності, захворюваності, ресурсного забезпечення системи медичної допомоги дитячому населенню, перинатальної допомоги, визначення обсягу спостережень у соціологічних, експертних дослідженнях, а також оцінки вірогідності їх результатів;</w:t>
      </w:r>
    </w:p>
    <w:p w:rsidR="00EC493A" w:rsidRPr="00EC493A" w:rsidRDefault="00EC493A" w:rsidP="00EC493A">
      <w:pPr>
        <w:widowControl w:val="0"/>
        <w:numPr>
          <w:ilvl w:val="0"/>
          <w:numId w:val="1"/>
        </w:numPr>
        <w:ind w:left="0" w:firstLine="360"/>
        <w:contextualSpacing/>
        <w:rPr>
          <w:rFonts w:eastAsia="Times New Roman"/>
          <w:szCs w:val="28"/>
          <w:lang w:eastAsia="uk-UA"/>
        </w:rPr>
      </w:pPr>
      <w:r w:rsidRPr="00EC493A">
        <w:rPr>
          <w:rFonts w:eastAsia="Times New Roman"/>
          <w:i/>
          <w:iCs/>
          <w:szCs w:val="28"/>
          <w:lang w:eastAsia="uk-UA"/>
        </w:rPr>
        <w:t>епідеміологічний</w:t>
      </w:r>
      <w:r w:rsidRPr="00EC493A">
        <w:rPr>
          <w:rFonts w:eastAsia="Times New Roman"/>
          <w:szCs w:val="28"/>
          <w:lang w:eastAsia="uk-UA"/>
        </w:rPr>
        <w:t xml:space="preserve"> – для вивчення рівнів, динаміки та структури дитячої смертності, її зв'язків </w:t>
      </w:r>
      <w:r w:rsidR="00F2177D">
        <w:rPr>
          <w:rFonts w:eastAsia="Times New Roman"/>
          <w:szCs w:val="28"/>
          <w:lang w:eastAsia="uk-UA"/>
        </w:rPr>
        <w:t>і</w:t>
      </w:r>
      <w:r w:rsidRPr="00EC493A">
        <w:rPr>
          <w:rFonts w:eastAsia="Times New Roman"/>
          <w:szCs w:val="28"/>
          <w:lang w:eastAsia="uk-UA"/>
        </w:rPr>
        <w:t>з захворюваністю та показниками, що комплексно характеризують інфраструктурне і ресурсне забезпечення служби медичної допомоги дитячому населенню України;</w:t>
      </w:r>
    </w:p>
    <w:p w:rsidR="00EC493A" w:rsidRPr="00EC493A" w:rsidRDefault="00EC493A" w:rsidP="00EC493A">
      <w:pPr>
        <w:widowControl w:val="0"/>
        <w:numPr>
          <w:ilvl w:val="0"/>
          <w:numId w:val="1"/>
        </w:numPr>
        <w:ind w:left="0" w:firstLine="360"/>
        <w:contextualSpacing/>
        <w:rPr>
          <w:rFonts w:eastAsia="Times New Roman"/>
          <w:szCs w:val="28"/>
          <w:lang w:eastAsia="uk-UA"/>
        </w:rPr>
      </w:pPr>
      <w:r w:rsidRPr="00EC493A">
        <w:rPr>
          <w:rFonts w:eastAsia="Times New Roman"/>
          <w:i/>
          <w:iCs/>
          <w:szCs w:val="28"/>
          <w:lang w:eastAsia="uk-UA"/>
        </w:rPr>
        <w:t xml:space="preserve">соціологічний </w:t>
      </w:r>
      <w:r w:rsidRPr="00EC493A">
        <w:rPr>
          <w:rFonts w:eastAsia="Times New Roman"/>
          <w:szCs w:val="28"/>
          <w:lang w:eastAsia="uk-UA"/>
        </w:rPr>
        <w:t xml:space="preserve">– для вивчення рівня теоретичних знань та практичних навичок ЛЗП-СЛ </w:t>
      </w:r>
      <w:r w:rsidR="00832632">
        <w:rPr>
          <w:rFonts w:eastAsia="Times New Roman"/>
          <w:szCs w:val="28"/>
          <w:lang w:eastAsia="uk-UA"/>
        </w:rPr>
        <w:t>і</w:t>
      </w:r>
      <w:r w:rsidRPr="00EC493A">
        <w:rPr>
          <w:rFonts w:eastAsia="Times New Roman"/>
          <w:szCs w:val="28"/>
          <w:lang w:eastAsia="uk-UA"/>
        </w:rPr>
        <w:t xml:space="preserve">з питань запобігання смерті дітей віком до п’яти років та обізнаності батьків </w:t>
      </w:r>
      <w:r w:rsidR="00832632">
        <w:rPr>
          <w:rFonts w:eastAsia="Times New Roman"/>
          <w:szCs w:val="28"/>
          <w:lang w:eastAsia="uk-UA"/>
        </w:rPr>
        <w:t>і</w:t>
      </w:r>
      <w:r w:rsidRPr="00EC493A">
        <w:rPr>
          <w:rFonts w:eastAsia="Times New Roman"/>
          <w:szCs w:val="28"/>
          <w:lang w:eastAsia="uk-UA"/>
        </w:rPr>
        <w:t xml:space="preserve">з питань тактики дій при переважній більшості загрозливих для життя дітей станів; </w:t>
      </w:r>
    </w:p>
    <w:p w:rsidR="00EC493A" w:rsidRPr="00EC493A" w:rsidRDefault="00EC493A" w:rsidP="00EC493A">
      <w:pPr>
        <w:widowControl w:val="0"/>
        <w:numPr>
          <w:ilvl w:val="0"/>
          <w:numId w:val="1"/>
        </w:numPr>
        <w:ind w:left="0" w:firstLine="360"/>
        <w:contextualSpacing/>
        <w:rPr>
          <w:rFonts w:eastAsia="Times New Roman"/>
          <w:szCs w:val="28"/>
          <w:lang w:eastAsia="uk-UA"/>
        </w:rPr>
      </w:pPr>
      <w:r w:rsidRPr="00EC493A">
        <w:rPr>
          <w:rFonts w:eastAsia="Times New Roman"/>
          <w:i/>
          <w:iCs/>
          <w:szCs w:val="28"/>
          <w:lang w:eastAsia="uk-UA"/>
        </w:rPr>
        <w:t>фокус-інтерв’ювання</w:t>
      </w:r>
      <w:r w:rsidRPr="00EC493A">
        <w:rPr>
          <w:rFonts w:eastAsia="Times New Roman"/>
          <w:szCs w:val="28"/>
          <w:lang w:eastAsia="uk-UA"/>
        </w:rPr>
        <w:t xml:space="preserve"> – для якісного відбору та формування переліку найбільш значущих індикаторів оцінки діяльності закладів і установ перинатальної допомоги;</w:t>
      </w:r>
    </w:p>
    <w:p w:rsidR="00EC493A" w:rsidRPr="00EC493A" w:rsidRDefault="00EC493A" w:rsidP="00EC493A">
      <w:pPr>
        <w:widowControl w:val="0"/>
        <w:numPr>
          <w:ilvl w:val="0"/>
          <w:numId w:val="1"/>
        </w:numPr>
        <w:ind w:left="0" w:firstLine="360"/>
        <w:contextualSpacing/>
        <w:rPr>
          <w:rFonts w:eastAsia="Times New Roman"/>
          <w:szCs w:val="28"/>
          <w:lang w:eastAsia="uk-UA"/>
        </w:rPr>
      </w:pPr>
      <w:r w:rsidRPr="00EC493A">
        <w:rPr>
          <w:rFonts w:eastAsia="Times New Roman"/>
          <w:i/>
          <w:iCs/>
          <w:szCs w:val="28"/>
          <w:lang w:eastAsia="uk-UA"/>
        </w:rPr>
        <w:t>концептуального й описового моделювання</w:t>
      </w:r>
      <w:r w:rsidRPr="00EC493A">
        <w:rPr>
          <w:rFonts w:eastAsia="Times New Roman"/>
          <w:szCs w:val="28"/>
          <w:lang w:eastAsia="uk-UA"/>
        </w:rPr>
        <w:t xml:space="preserve"> – з метою розробки та представлення моделі комплексної оцінки (МКО) діяльності служби перинатальної допомоги та </w:t>
      </w:r>
      <w:r w:rsidR="000E1690" w:rsidRPr="000E1690">
        <w:rPr>
          <w:rFonts w:eastAsia="Times New Roman"/>
          <w:szCs w:val="28"/>
          <w:lang w:eastAsia="uk-UA"/>
        </w:rPr>
        <w:t>інноваційної системи медико-соціальної допомоги дітям до 5 років</w:t>
      </w:r>
      <w:r w:rsidRPr="00EC493A">
        <w:rPr>
          <w:rFonts w:eastAsia="Times New Roman"/>
          <w:szCs w:val="28"/>
          <w:lang w:eastAsia="uk-UA"/>
        </w:rPr>
        <w:t>;</w:t>
      </w:r>
    </w:p>
    <w:p w:rsidR="00EC493A" w:rsidRPr="00EC493A" w:rsidRDefault="00EC493A" w:rsidP="00EC493A">
      <w:pPr>
        <w:widowControl w:val="0"/>
        <w:numPr>
          <w:ilvl w:val="0"/>
          <w:numId w:val="1"/>
        </w:numPr>
        <w:ind w:left="0" w:firstLine="426"/>
        <w:contextualSpacing/>
        <w:rPr>
          <w:rFonts w:eastAsia="Times New Roman"/>
          <w:szCs w:val="28"/>
          <w:lang w:eastAsia="uk-UA"/>
        </w:rPr>
      </w:pPr>
      <w:r w:rsidRPr="00EC493A">
        <w:rPr>
          <w:rFonts w:eastAsia="Times New Roman"/>
          <w:i/>
          <w:szCs w:val="28"/>
          <w:lang w:eastAsia="uk-UA"/>
        </w:rPr>
        <w:t>організаційного проектування</w:t>
      </w:r>
      <w:r w:rsidRPr="00EC493A">
        <w:rPr>
          <w:rFonts w:eastAsia="Times New Roman"/>
          <w:szCs w:val="28"/>
          <w:lang w:eastAsia="uk-UA"/>
        </w:rPr>
        <w:t xml:space="preserve"> – для розробки інноваційної системи медико-соціальної допомоги дітям;</w:t>
      </w:r>
    </w:p>
    <w:p w:rsidR="00EC493A" w:rsidRPr="00EC493A" w:rsidRDefault="00EC493A" w:rsidP="00EC493A">
      <w:pPr>
        <w:widowControl w:val="0"/>
        <w:numPr>
          <w:ilvl w:val="0"/>
          <w:numId w:val="1"/>
        </w:numPr>
        <w:ind w:left="0" w:firstLine="360"/>
        <w:contextualSpacing/>
        <w:rPr>
          <w:rFonts w:eastAsia="Times New Roman"/>
          <w:szCs w:val="28"/>
          <w:lang w:eastAsia="uk-UA"/>
        </w:rPr>
      </w:pPr>
      <w:r w:rsidRPr="00EC493A">
        <w:rPr>
          <w:rFonts w:eastAsia="Times New Roman"/>
          <w:i/>
          <w:iCs/>
          <w:szCs w:val="28"/>
          <w:lang w:eastAsia="uk-UA"/>
        </w:rPr>
        <w:t>експертних оцінок</w:t>
      </w:r>
      <w:r w:rsidRPr="00EC493A">
        <w:rPr>
          <w:rFonts w:eastAsia="Times New Roman"/>
          <w:szCs w:val="28"/>
          <w:lang w:eastAsia="uk-UA"/>
        </w:rPr>
        <w:t xml:space="preserve"> – </w:t>
      </w:r>
      <w:r w:rsidRPr="00EC493A">
        <w:rPr>
          <w:rFonts w:eastAsia="Times New Roman"/>
          <w:iCs/>
          <w:szCs w:val="28"/>
          <w:lang w:eastAsia="uk-UA"/>
        </w:rPr>
        <w:t>для отримання незалежної оцінки та визначення прийнятності обґрунтованої та розробленої інноваційної системи медико-соціальної допомоги дітям до 5 років життя та її складових;</w:t>
      </w:r>
    </w:p>
    <w:p w:rsidR="00EC493A" w:rsidRPr="00EC493A" w:rsidRDefault="00EC493A" w:rsidP="00EC493A">
      <w:pPr>
        <w:widowControl w:val="0"/>
        <w:numPr>
          <w:ilvl w:val="0"/>
          <w:numId w:val="1"/>
        </w:numPr>
        <w:ind w:left="0" w:firstLine="360"/>
        <w:contextualSpacing/>
        <w:rPr>
          <w:rFonts w:eastAsia="Times New Roman"/>
          <w:szCs w:val="28"/>
          <w:lang w:eastAsia="uk-UA"/>
        </w:rPr>
      </w:pPr>
      <w:r w:rsidRPr="00EC493A">
        <w:rPr>
          <w:rFonts w:eastAsia="Times New Roman"/>
          <w:i/>
          <w:iCs/>
          <w:szCs w:val="28"/>
          <w:lang w:eastAsia="uk-UA"/>
        </w:rPr>
        <w:t xml:space="preserve">біостатистичний </w:t>
      </w:r>
      <w:r w:rsidRPr="00EC493A">
        <w:rPr>
          <w:rFonts w:eastAsia="Times New Roman"/>
          <w:szCs w:val="28"/>
          <w:lang w:eastAsia="uk-UA"/>
        </w:rPr>
        <w:t>– для статистичного аналізу матеріалів дослідження (методи описової та аналітичної статистики, кореляційний аналіз, регресійний аналіз).</w:t>
      </w:r>
    </w:p>
    <w:p w:rsidR="00817E3C" w:rsidRPr="00231499" w:rsidRDefault="00817E3C" w:rsidP="00ED6FF9">
      <w:pPr>
        <w:widowControl w:val="0"/>
        <w:ind w:firstLine="709"/>
        <w:rPr>
          <w:szCs w:val="28"/>
        </w:rPr>
      </w:pPr>
      <w:r w:rsidRPr="00231499">
        <w:rPr>
          <w:b/>
          <w:szCs w:val="28"/>
        </w:rPr>
        <w:t xml:space="preserve">Наукова новизна одержаних результатів </w:t>
      </w:r>
      <w:r w:rsidRPr="00231499">
        <w:rPr>
          <w:szCs w:val="28"/>
        </w:rPr>
        <w:t xml:space="preserve">полягає в тому, що </w:t>
      </w:r>
      <w:r w:rsidRPr="00BB2A2B">
        <w:rPr>
          <w:szCs w:val="28"/>
          <w:lang w:val="ru-RU"/>
        </w:rPr>
        <w:t>в</w:t>
      </w:r>
      <w:r w:rsidRPr="00231499">
        <w:rPr>
          <w:szCs w:val="28"/>
        </w:rPr>
        <w:t xml:space="preserve">перше в Україні: </w:t>
      </w:r>
    </w:p>
    <w:p w:rsidR="00ED6FF9" w:rsidRPr="00ED6FF9" w:rsidRDefault="00ED6FF9" w:rsidP="00ED6FF9">
      <w:pPr>
        <w:widowControl w:val="0"/>
        <w:numPr>
          <w:ilvl w:val="0"/>
          <w:numId w:val="39"/>
        </w:numPr>
        <w:tabs>
          <w:tab w:val="left" w:pos="426"/>
        </w:tabs>
        <w:ind w:left="0" w:firstLine="142"/>
        <w:contextualSpacing/>
        <w:rPr>
          <w:rFonts w:eastAsia="Calibri"/>
          <w:szCs w:val="28"/>
        </w:rPr>
      </w:pPr>
      <w:r w:rsidRPr="00ED6FF9">
        <w:rPr>
          <w:rFonts w:eastAsia="Calibri"/>
          <w:szCs w:val="28"/>
        </w:rPr>
        <w:t>обґрунтовано інноваційну систему медико-соціальної допомоги дітям до 5 років життя, скеровану на зменшення смертності дітей даної вікової категорії, центральним елемен</w:t>
      </w:r>
      <w:r w:rsidR="0062457F">
        <w:rPr>
          <w:rFonts w:eastAsia="Calibri"/>
          <w:szCs w:val="28"/>
        </w:rPr>
        <w:t xml:space="preserve">том якої є дитина віком до 5 </w:t>
      </w:r>
      <w:r w:rsidRPr="00ED6FF9">
        <w:rPr>
          <w:rFonts w:eastAsia="Calibri"/>
          <w:szCs w:val="28"/>
        </w:rPr>
        <w:t xml:space="preserve">років життя та її родина, стратегічним напрямом – збереження здоров’я та життя дітей, а тактичним напрямом – суттєве оновлення </w:t>
      </w:r>
      <w:r w:rsidRPr="00ED6FF9">
        <w:rPr>
          <w:rFonts w:eastAsia="Calibri"/>
          <w:szCs w:val="28"/>
        </w:rPr>
        <w:lastRenderedPageBreak/>
        <w:t>існуючої галузі охорони здоров’я за р</w:t>
      </w:r>
      <w:r w:rsidR="00447EC2">
        <w:rPr>
          <w:rFonts w:eastAsia="Calibri"/>
          <w:szCs w:val="28"/>
        </w:rPr>
        <w:t>ахунок запровадження нових або в</w:t>
      </w:r>
      <w:r w:rsidRPr="00ED6FF9">
        <w:rPr>
          <w:rFonts w:eastAsia="Calibri"/>
          <w:szCs w:val="28"/>
        </w:rPr>
        <w:t>досконалених багаторівневих структ</w:t>
      </w:r>
      <w:r w:rsidR="00C23CB2">
        <w:rPr>
          <w:rFonts w:eastAsia="Calibri"/>
          <w:szCs w:val="28"/>
        </w:rPr>
        <w:t>урно-організаційних технологій у</w:t>
      </w:r>
      <w:r w:rsidRPr="00ED6FF9">
        <w:rPr>
          <w:rFonts w:eastAsia="Calibri"/>
          <w:szCs w:val="28"/>
        </w:rPr>
        <w:t xml:space="preserve"> межах галузі та налагодження вертикальних і горизонтальних інтеграційних зв’язків з іншими державними та недержавними секторами, запровадження якої буде мати медичний, соціальний та екон</w:t>
      </w:r>
      <w:r w:rsidR="00FC16A3">
        <w:rPr>
          <w:rFonts w:eastAsia="Calibri"/>
          <w:szCs w:val="28"/>
        </w:rPr>
        <w:t>омічний ефект. На п’яти рівнях</w:t>
      </w:r>
      <w:r w:rsidRPr="00ED6FF9">
        <w:rPr>
          <w:rFonts w:eastAsia="Calibri"/>
          <w:szCs w:val="28"/>
        </w:rPr>
        <w:t xml:space="preserve"> системи (владному, галузевому, міжсекторальному, локальному/громада, сімейному) найбільш важливими новими елементами системи постають: програма медичних гарантій </w:t>
      </w:r>
      <w:r w:rsidR="00361BB4">
        <w:rPr>
          <w:rFonts w:eastAsia="Calibri"/>
          <w:szCs w:val="28"/>
        </w:rPr>
        <w:t>і</w:t>
      </w:r>
      <w:r w:rsidRPr="00ED6FF9">
        <w:rPr>
          <w:rFonts w:eastAsia="Calibri"/>
          <w:szCs w:val="28"/>
        </w:rPr>
        <w:t>з новими механізмами фінансування галузі охорони здоров’я, електронна система охорони здоров’я з реєстрами пацієнтів, надання інтегрованих послуг, що передбачає спільне фінансування закладів, які надають послуги з катамнестичного спостереження, раннього втручання, реабілітаційної та паліативної допомоги, МОЗ України, Міністерством соціальної політики України, органами місцевого самоврядування й меценатами та залучення вказаних структур до організації й надання таких послуг на регіональному/місцевому рівнях;</w:t>
      </w:r>
    </w:p>
    <w:p w:rsidR="00ED6FF9" w:rsidRPr="00ED6FF9" w:rsidRDefault="00ED6FF9" w:rsidP="00ED6FF9">
      <w:pPr>
        <w:widowControl w:val="0"/>
        <w:numPr>
          <w:ilvl w:val="0"/>
          <w:numId w:val="39"/>
        </w:numPr>
        <w:tabs>
          <w:tab w:val="left" w:pos="426"/>
        </w:tabs>
        <w:ind w:left="0" w:firstLine="142"/>
        <w:contextualSpacing/>
        <w:rPr>
          <w:rFonts w:eastAsia="Calibri"/>
          <w:szCs w:val="28"/>
        </w:rPr>
      </w:pPr>
      <w:r w:rsidRPr="00ED6FF9">
        <w:rPr>
          <w:rFonts w:eastAsia="Calibri"/>
          <w:szCs w:val="28"/>
        </w:rPr>
        <w:t>обґрунтовано методологію комплексної оцінки стану перинатальної допомоги в Україні, яка включає систему моніторингу та методику оцінювання за трьома компонентами (забезпеченість кадрами, діяльність, та результативність) на основі сумарної оцінки результатів діяльності за 19 індикаторами якості, апробація якої дозволила визначити основні проблемні компоненти надання перинатальної допомоги на рівні країни, серед яких найнижчим і сталим є компонент результативності (у 2018</w:t>
      </w:r>
      <w:r w:rsidR="008A4D6E">
        <w:rPr>
          <w:rFonts w:eastAsia="Calibri"/>
          <w:szCs w:val="28"/>
        </w:rPr>
        <w:t> </w:t>
      </w:r>
      <w:r w:rsidRPr="00ED6FF9">
        <w:rPr>
          <w:rFonts w:eastAsia="Calibri"/>
          <w:szCs w:val="28"/>
        </w:rPr>
        <w:t>р. Ме 0,77; Q</w:t>
      </w:r>
      <w:r w:rsidRPr="00ED6FF9">
        <w:rPr>
          <w:rFonts w:eastAsia="Calibri"/>
          <w:szCs w:val="28"/>
          <w:vertAlign w:val="subscript"/>
        </w:rPr>
        <w:t>1</w:t>
      </w:r>
      <w:r w:rsidRPr="00ED6FF9">
        <w:rPr>
          <w:rFonts w:eastAsia="Calibri"/>
          <w:szCs w:val="28"/>
        </w:rPr>
        <w:t xml:space="preserve"> 0,67; Q</w:t>
      </w:r>
      <w:r w:rsidRPr="00ED6FF9">
        <w:rPr>
          <w:rFonts w:eastAsia="Calibri"/>
          <w:szCs w:val="28"/>
          <w:vertAlign w:val="subscript"/>
        </w:rPr>
        <w:t>3</w:t>
      </w:r>
      <w:r w:rsidRPr="00ED6FF9">
        <w:rPr>
          <w:rFonts w:eastAsia="Calibri"/>
          <w:szCs w:val="28"/>
        </w:rPr>
        <w:t xml:space="preserve"> 0,85; р=0,6067 відносно 2017 р.), а також сформувати три групи адміністративних територій </w:t>
      </w:r>
      <w:r w:rsidR="00F43A49">
        <w:rPr>
          <w:rFonts w:eastAsia="Calibri"/>
          <w:szCs w:val="28"/>
        </w:rPr>
        <w:t>і</w:t>
      </w:r>
      <w:r w:rsidRPr="00ED6FF9">
        <w:rPr>
          <w:rFonts w:eastAsia="Calibri"/>
          <w:szCs w:val="28"/>
        </w:rPr>
        <w:t>з різними значеннями компонентів і, відповідно, диференційованими управлінськими рішеннями;</w:t>
      </w:r>
    </w:p>
    <w:p w:rsidR="00ED6FF9" w:rsidRPr="00ED6FF9" w:rsidRDefault="00ED6FF9" w:rsidP="00ED6FF9">
      <w:pPr>
        <w:widowControl w:val="0"/>
        <w:numPr>
          <w:ilvl w:val="0"/>
          <w:numId w:val="39"/>
        </w:numPr>
        <w:tabs>
          <w:tab w:val="left" w:pos="426"/>
        </w:tabs>
        <w:ind w:left="0" w:firstLine="142"/>
        <w:contextualSpacing/>
        <w:rPr>
          <w:rFonts w:eastAsia="Calibri"/>
          <w:szCs w:val="28"/>
        </w:rPr>
      </w:pPr>
      <w:r w:rsidRPr="00ED6FF9">
        <w:rPr>
          <w:rFonts w:eastAsia="Calibri"/>
          <w:szCs w:val="28"/>
        </w:rPr>
        <w:t>доведено ефективність електронної системи ОЗ в моніторингу та аналізі кількісних й якісних показників смертності новонароджених у режимі реального часу;</w:t>
      </w:r>
    </w:p>
    <w:p w:rsidR="00ED6FF9" w:rsidRPr="00ED6FF9" w:rsidRDefault="00ED6FF9" w:rsidP="00ED6FF9">
      <w:pPr>
        <w:widowControl w:val="0"/>
        <w:numPr>
          <w:ilvl w:val="0"/>
          <w:numId w:val="39"/>
        </w:numPr>
        <w:tabs>
          <w:tab w:val="left" w:pos="426"/>
        </w:tabs>
        <w:ind w:left="0" w:firstLine="142"/>
        <w:contextualSpacing/>
        <w:rPr>
          <w:rFonts w:eastAsia="Calibri"/>
          <w:szCs w:val="28"/>
        </w:rPr>
      </w:pPr>
      <w:r w:rsidRPr="00ED6FF9">
        <w:rPr>
          <w:rFonts w:eastAsia="Calibri"/>
          <w:szCs w:val="28"/>
        </w:rPr>
        <w:t>встановлено динаміку зниження за 2010-2019 рр. тягаря смертності дітей віком до 5</w:t>
      </w:r>
      <w:r w:rsidR="00DD53F8">
        <w:rPr>
          <w:rFonts w:eastAsia="Calibri"/>
          <w:szCs w:val="28"/>
        </w:rPr>
        <w:t> </w:t>
      </w:r>
      <w:r w:rsidRPr="00ED6FF9">
        <w:rPr>
          <w:rFonts w:eastAsia="Calibri"/>
          <w:szCs w:val="28"/>
        </w:rPr>
        <w:t>років життя, зокрема, за показником DALYs (Disability-adjusted life year</w:t>
      </w:r>
      <w:r w:rsidRPr="00ED6FF9">
        <w:rPr>
          <w:rFonts w:eastAsia="Calibri"/>
          <w:szCs w:val="28"/>
          <w:lang w:val="en-US"/>
        </w:rPr>
        <w:t>s</w:t>
      </w:r>
      <w:r w:rsidRPr="00ED6FF9">
        <w:rPr>
          <w:rFonts w:eastAsia="Calibri"/>
          <w:szCs w:val="28"/>
        </w:rPr>
        <w:t>) на галузь ОЗ (з 21</w:t>
      </w:r>
      <w:r w:rsidRPr="00ED6FF9">
        <w:rPr>
          <w:rFonts w:eastAsia="Calibri"/>
          <w:szCs w:val="28"/>
          <w:lang w:val="en-US"/>
        </w:rPr>
        <w:t> </w:t>
      </w:r>
      <w:r w:rsidRPr="00ED6FF9">
        <w:rPr>
          <w:rFonts w:eastAsia="Calibri"/>
          <w:szCs w:val="28"/>
        </w:rPr>
        <w:t xml:space="preserve">673,59 до 17 185,91 втрачених років життя в розрахунку на 100 тис. осіб, </w:t>
      </w:r>
      <w:r w:rsidRPr="00ED6FF9">
        <w:rPr>
          <w:rFonts w:eastAsia="Calibri"/>
          <w:szCs w:val="28"/>
        </w:rPr>
        <w:lastRenderedPageBreak/>
        <w:t>р&lt;0,001) та його повікову та причинну структуру, при цьому найбільший внесок мали «розлади у матері, пов’язані з вагітністю та неонатальні розлади» (34,75% [95% ДІ 28,29-39,29]), «інші неінфекційні хвороби» 26,8% [95% ДІ 22,96-35,99]), «ненавмисні травми» (8,46% [95% ДІ 7,14-9,57]), «інші інфекційні захворювання (5,76% [95% ДІ 4,18-8,62]) та «респіраторні інфекції та туберкульоз» (5,68% [95% ДІ 4,75-6,51]);</w:t>
      </w:r>
    </w:p>
    <w:p w:rsidR="00ED6FF9" w:rsidRPr="00ED6FF9" w:rsidRDefault="00ED6FF9" w:rsidP="00ED6FF9">
      <w:pPr>
        <w:widowControl w:val="0"/>
        <w:numPr>
          <w:ilvl w:val="0"/>
          <w:numId w:val="39"/>
        </w:numPr>
        <w:tabs>
          <w:tab w:val="left" w:pos="426"/>
        </w:tabs>
        <w:ind w:left="0" w:firstLine="142"/>
        <w:contextualSpacing/>
        <w:rPr>
          <w:rFonts w:eastAsia="Calibri"/>
          <w:szCs w:val="28"/>
        </w:rPr>
      </w:pPr>
      <w:r w:rsidRPr="00ED6FF9">
        <w:rPr>
          <w:rFonts w:eastAsia="Calibri"/>
          <w:szCs w:val="28"/>
        </w:rPr>
        <w:t>комплексно проаналізовано та визначено основні особливості показника смертності дітей віком до 5 років життя, серед яких найбільш вагомими є значне переважання над аналогічними показниками референтних країн, а також сталі за час дослідження тренди показника ранньої неонатальної, пізньої неонатальної, постнеонатальної смертності, повікова та статева структура, регіональні дис</w:t>
      </w:r>
      <w:r w:rsidR="006B7CCB">
        <w:rPr>
          <w:rFonts w:eastAsia="Calibri"/>
          <w:szCs w:val="28"/>
        </w:rPr>
        <w:t>пропорції (МКІ=40,6 та МКІ=40,4</w:t>
      </w:r>
      <w:r w:rsidRPr="00ED6FF9">
        <w:rPr>
          <w:rFonts w:eastAsia="Calibri"/>
          <w:szCs w:val="28"/>
        </w:rPr>
        <w:t>); причинна структура, оскільки перші рейтингові місця займають розлади у матері, що пов’язані з вагітністю, та неонатальні розлади (62,03), інші неінфекційні хвороби (52,32) та ненавмисні травми (16,1</w:t>
      </w:r>
      <w:r w:rsidR="00DF4164">
        <w:rPr>
          <w:rFonts w:eastAsia="Calibri"/>
          <w:szCs w:val="28"/>
        </w:rPr>
        <w:t>7 у</w:t>
      </w:r>
      <w:r w:rsidRPr="00ED6FF9">
        <w:rPr>
          <w:rFonts w:eastAsia="Calibri"/>
          <w:szCs w:val="28"/>
        </w:rPr>
        <w:t xml:space="preserve"> розрахунку на 100 тис. відповідного населення);</w:t>
      </w:r>
    </w:p>
    <w:p w:rsidR="00ED6FF9" w:rsidRPr="00ED6FF9" w:rsidRDefault="00ED6FF9" w:rsidP="00ED6FF9">
      <w:pPr>
        <w:widowControl w:val="0"/>
        <w:numPr>
          <w:ilvl w:val="0"/>
          <w:numId w:val="39"/>
        </w:numPr>
        <w:tabs>
          <w:tab w:val="left" w:pos="426"/>
        </w:tabs>
        <w:ind w:left="0" w:firstLine="142"/>
        <w:contextualSpacing/>
        <w:rPr>
          <w:rFonts w:eastAsia="Calibri"/>
          <w:szCs w:val="28"/>
        </w:rPr>
      </w:pPr>
      <w:r w:rsidRPr="00ED6FF9">
        <w:rPr>
          <w:rFonts w:eastAsia="Calibri"/>
          <w:szCs w:val="28"/>
        </w:rPr>
        <w:t xml:space="preserve">вивчено динаміку показників та структуру смертності поза стаціонару дітей віком до 1 року життя, які перебували під наглядом дитячих поліклінічних закладів сфери управління МОЗ України й доведено сталу частку дітей віком до 1-го року життя, </w:t>
      </w:r>
      <w:r w:rsidR="000A6889">
        <w:rPr>
          <w:rFonts w:eastAsia="Calibri"/>
          <w:szCs w:val="28"/>
        </w:rPr>
        <w:t>які помирають поза стаціонару, в</w:t>
      </w:r>
      <w:r w:rsidRPr="00ED6FF9">
        <w:rPr>
          <w:rFonts w:eastAsia="Calibri"/>
          <w:szCs w:val="28"/>
        </w:rPr>
        <w:t xml:space="preserve"> загальній кількості померлих дітей (40,94% та 43,8%, р=0,409), збереження суттєвих варіацій даного показника за окремими адміністративними територіями (МКІ 0,7 та 0,74) та його причинної структури (І рейтингове місце – травми, отруєння та деякі інші наслідки дії зовнішніх причин, ІІ</w:t>
      </w:r>
      <w:r w:rsidR="00AF2C6F">
        <w:rPr>
          <w:rFonts w:eastAsia="Calibri"/>
          <w:szCs w:val="28"/>
        </w:rPr>
        <w:t> </w:t>
      </w:r>
      <w:r w:rsidRPr="00ED6FF9">
        <w:rPr>
          <w:rFonts w:eastAsia="Calibri"/>
          <w:szCs w:val="28"/>
        </w:rPr>
        <w:t>місце – симптоми, ознаки та відхилення від норми, ІІІ місце – хвороби органів дихання);</w:t>
      </w:r>
    </w:p>
    <w:p w:rsidR="00ED6FF9" w:rsidRPr="00ED6FF9" w:rsidRDefault="00ED6FF9" w:rsidP="00ED6FF9">
      <w:pPr>
        <w:widowControl w:val="0"/>
        <w:numPr>
          <w:ilvl w:val="0"/>
          <w:numId w:val="39"/>
        </w:numPr>
        <w:tabs>
          <w:tab w:val="left" w:pos="426"/>
        </w:tabs>
        <w:ind w:left="0" w:firstLine="142"/>
        <w:contextualSpacing/>
        <w:rPr>
          <w:rFonts w:eastAsia="Calibri"/>
          <w:szCs w:val="28"/>
        </w:rPr>
      </w:pPr>
      <w:r w:rsidRPr="00ED6FF9">
        <w:rPr>
          <w:rFonts w:eastAsia="Calibri"/>
          <w:szCs w:val="28"/>
        </w:rPr>
        <w:t>ідентифіковано приховані ризики збільшення смертності дітей віком до 5 років життя, які можуть бути закладені в окремих компонентах системи надання медичної допомоги дитячому населенню, зокрема:</w:t>
      </w:r>
    </w:p>
    <w:p w:rsidR="00ED6FF9" w:rsidRPr="00ED6FF9" w:rsidRDefault="00ED6FF9" w:rsidP="00ED6FF9">
      <w:pPr>
        <w:widowControl w:val="0"/>
        <w:numPr>
          <w:ilvl w:val="0"/>
          <w:numId w:val="38"/>
        </w:numPr>
        <w:ind w:left="709" w:hanging="284"/>
        <w:contextualSpacing/>
        <w:rPr>
          <w:rFonts w:eastAsia="Calibri"/>
          <w:szCs w:val="28"/>
        </w:rPr>
      </w:pPr>
      <w:r w:rsidRPr="00ED6FF9">
        <w:rPr>
          <w:rFonts w:eastAsia="Calibri"/>
          <w:szCs w:val="28"/>
        </w:rPr>
        <w:t>у недостатній діагностиці і виявленні хвороб у дітей, що підтверджується негативним достовірним зв’язком між показником захворюваності та показником смертності дітей вікової категорії до 5 років життя за регресією Пуассона (</w:t>
      </w:r>
      <w:r w:rsidRPr="00ED6FF9">
        <w:rPr>
          <w:rFonts w:eastAsia="Calibri"/>
          <w:szCs w:val="28"/>
          <w:lang w:val="en-US"/>
        </w:rPr>
        <w:t>Coef</w:t>
      </w:r>
      <w:r w:rsidRPr="00ED6FF9">
        <w:rPr>
          <w:rFonts w:eastAsia="Calibri"/>
          <w:szCs w:val="28"/>
        </w:rPr>
        <w:t xml:space="preserve">. </w:t>
      </w:r>
      <w:r w:rsidR="00E47B63">
        <w:rPr>
          <w:rFonts w:eastAsia="Calibri"/>
          <w:szCs w:val="28"/>
        </w:rPr>
        <w:t xml:space="preserve">  </w:t>
      </w:r>
      <w:r w:rsidRPr="00ED6FF9">
        <w:rPr>
          <w:rFonts w:eastAsia="Calibri"/>
          <w:szCs w:val="28"/>
        </w:rPr>
        <w:lastRenderedPageBreak/>
        <w:t>-</w:t>
      </w:r>
      <w:r w:rsidR="00E47B63">
        <w:rPr>
          <w:rFonts w:eastAsia="Calibri"/>
          <w:szCs w:val="28"/>
        </w:rPr>
        <w:t> </w:t>
      </w:r>
      <w:r w:rsidRPr="00ED6FF9">
        <w:rPr>
          <w:rFonts w:eastAsia="Calibri"/>
          <w:szCs w:val="28"/>
        </w:rPr>
        <w:t>0,000438, р&lt;0,001) та збільшенням за 2013-2017 рр. показника захворюваності за класом «симптоми, ознаки та відхилення від норми, що виявлені при клінічних та лабораторних дослідженнях, не класифіковані в інших рубриках» (ВШ 1,055 [95% ДІ 1,023-1,088], р=0005);</w:t>
      </w:r>
    </w:p>
    <w:p w:rsidR="00ED6FF9" w:rsidRPr="00ED6FF9" w:rsidRDefault="00ED6FF9" w:rsidP="00ED6FF9">
      <w:pPr>
        <w:widowControl w:val="0"/>
        <w:numPr>
          <w:ilvl w:val="0"/>
          <w:numId w:val="38"/>
        </w:numPr>
        <w:ind w:left="709" w:hanging="284"/>
        <w:contextualSpacing/>
        <w:rPr>
          <w:rFonts w:eastAsia="Calibri"/>
          <w:szCs w:val="28"/>
        </w:rPr>
      </w:pPr>
      <w:r w:rsidRPr="00ED6FF9">
        <w:rPr>
          <w:rFonts w:eastAsia="Calibri"/>
          <w:szCs w:val="28"/>
        </w:rPr>
        <w:t xml:space="preserve">у завантаженості ліжок денного стаціонару (за кількістю пролікованих дітей у розрахунку на одне ліжко денного стаціонару </w:t>
      </w:r>
      <w:r w:rsidRPr="00ED6FF9">
        <w:rPr>
          <w:rFonts w:eastAsia="Calibri"/>
          <w:szCs w:val="28"/>
          <w:lang w:val="ru-RU"/>
        </w:rPr>
        <w:t>(</w:t>
      </w:r>
      <w:r w:rsidRPr="00ED6FF9">
        <w:rPr>
          <w:rFonts w:eastAsia="Calibri"/>
          <w:szCs w:val="28"/>
          <w:lang w:val="en-US"/>
        </w:rPr>
        <w:t>Coef</w:t>
      </w:r>
      <w:r w:rsidRPr="00ED6FF9">
        <w:rPr>
          <w:rFonts w:eastAsia="Calibri"/>
          <w:szCs w:val="28"/>
        </w:rPr>
        <w:t xml:space="preserve">. 0,001, р=0,038); </w:t>
      </w:r>
    </w:p>
    <w:p w:rsidR="00ED6FF9" w:rsidRPr="00ED6FF9" w:rsidRDefault="00ED6FF9" w:rsidP="00ED6FF9">
      <w:pPr>
        <w:widowControl w:val="0"/>
        <w:numPr>
          <w:ilvl w:val="0"/>
          <w:numId w:val="38"/>
        </w:numPr>
        <w:ind w:left="709" w:hanging="284"/>
        <w:contextualSpacing/>
        <w:rPr>
          <w:rFonts w:eastAsia="Calibri"/>
          <w:szCs w:val="28"/>
        </w:rPr>
      </w:pPr>
      <w:r w:rsidRPr="00ED6FF9">
        <w:rPr>
          <w:rFonts w:eastAsia="Calibri"/>
          <w:szCs w:val="28"/>
        </w:rPr>
        <w:t>у значній частці дітей, переведених з одного закладу в інший (</w:t>
      </w:r>
      <w:r w:rsidRPr="00ED6FF9">
        <w:rPr>
          <w:rFonts w:eastAsia="Calibri"/>
          <w:szCs w:val="28"/>
          <w:lang w:val="en-US"/>
        </w:rPr>
        <w:t>Coef</w:t>
      </w:r>
      <w:r w:rsidRPr="00ED6FF9">
        <w:rPr>
          <w:rFonts w:eastAsia="Calibri"/>
          <w:szCs w:val="28"/>
        </w:rPr>
        <w:t xml:space="preserve">. 1,004; р&lt;0,001); </w:t>
      </w:r>
    </w:p>
    <w:p w:rsidR="00ED6FF9" w:rsidRPr="00ED6FF9" w:rsidRDefault="00ED6FF9" w:rsidP="00ED6FF9">
      <w:pPr>
        <w:widowControl w:val="0"/>
        <w:numPr>
          <w:ilvl w:val="0"/>
          <w:numId w:val="38"/>
        </w:numPr>
        <w:ind w:left="709" w:hanging="284"/>
        <w:contextualSpacing/>
        <w:rPr>
          <w:rFonts w:eastAsia="Calibri"/>
          <w:szCs w:val="28"/>
        </w:rPr>
      </w:pPr>
      <w:r w:rsidRPr="00ED6FF9">
        <w:rPr>
          <w:rFonts w:eastAsia="Calibri"/>
          <w:szCs w:val="28"/>
        </w:rPr>
        <w:t>у кадровому забезпеченні педіатрами (</w:t>
      </w:r>
      <w:r w:rsidRPr="00ED6FF9">
        <w:rPr>
          <w:rFonts w:eastAsia="Calibri"/>
          <w:szCs w:val="28"/>
          <w:lang w:val="en-US"/>
        </w:rPr>
        <w:t>Coef</w:t>
      </w:r>
      <w:r w:rsidRPr="00ED6FF9">
        <w:rPr>
          <w:rFonts w:eastAsia="Calibri"/>
          <w:szCs w:val="28"/>
        </w:rPr>
        <w:t>.</w:t>
      </w:r>
      <w:r w:rsidRPr="00ED6FF9">
        <w:rPr>
          <w:rFonts w:eastAsia="Calibri"/>
          <w:szCs w:val="28"/>
          <w:lang w:val="ru-RU"/>
        </w:rPr>
        <w:t xml:space="preserve"> </w:t>
      </w:r>
      <w:r w:rsidRPr="00ED6FF9">
        <w:rPr>
          <w:rFonts w:eastAsia="Calibri"/>
          <w:szCs w:val="28"/>
        </w:rPr>
        <w:t>0,739; р&lt;0,001) та укомплектованістю середнім медичним персоналом відділень постнатального догляду (</w:t>
      </w:r>
      <w:r w:rsidRPr="00ED6FF9">
        <w:rPr>
          <w:rFonts w:eastAsia="Calibri"/>
          <w:szCs w:val="28"/>
          <w:lang w:val="en-US"/>
        </w:rPr>
        <w:t>Coef</w:t>
      </w:r>
      <w:r w:rsidRPr="00ED6FF9">
        <w:rPr>
          <w:rFonts w:eastAsia="Calibri"/>
          <w:szCs w:val="28"/>
        </w:rPr>
        <w:t xml:space="preserve">. 0,997; р=0,032); </w:t>
      </w:r>
    </w:p>
    <w:p w:rsidR="00ED6FF9" w:rsidRPr="00ED6FF9" w:rsidRDefault="00ED6FF9" w:rsidP="00ED6FF9">
      <w:pPr>
        <w:widowControl w:val="0"/>
        <w:numPr>
          <w:ilvl w:val="0"/>
          <w:numId w:val="38"/>
        </w:numPr>
        <w:ind w:left="709" w:hanging="284"/>
        <w:contextualSpacing/>
        <w:rPr>
          <w:rFonts w:eastAsia="Calibri"/>
          <w:szCs w:val="28"/>
        </w:rPr>
      </w:pPr>
      <w:r w:rsidRPr="00ED6FF9">
        <w:rPr>
          <w:rFonts w:eastAsia="Calibri"/>
          <w:szCs w:val="28"/>
        </w:rPr>
        <w:t xml:space="preserve">у недостатньому рівні теоретичної та практичної підготовки </w:t>
      </w:r>
      <w:r w:rsidR="00923973">
        <w:rPr>
          <w:rFonts w:eastAsia="Calibri"/>
          <w:szCs w:val="28"/>
        </w:rPr>
        <w:t>ЛЗП-СЛ</w:t>
      </w:r>
      <w:r w:rsidRPr="00ED6FF9">
        <w:rPr>
          <w:rFonts w:eastAsia="Calibri"/>
          <w:szCs w:val="28"/>
        </w:rPr>
        <w:t xml:space="preserve"> з питань надання невідкладної допомоги при виникненні станів, які загрожують життю дітей, що підтвердили відповідно 67,75±2,3% та 70,25±2,3% лікарів при соціологічному дослідженні.</w:t>
      </w:r>
    </w:p>
    <w:p w:rsidR="005B22B6" w:rsidRPr="005B22B6" w:rsidRDefault="00ED6FF9" w:rsidP="005B22B6">
      <w:pPr>
        <w:widowControl w:val="0"/>
        <w:ind w:left="708"/>
        <w:rPr>
          <w:rFonts w:eastAsia="Calibri"/>
          <w:i/>
          <w:szCs w:val="28"/>
          <w:lang w:val="ru-RU" w:eastAsia="uk-UA"/>
        </w:rPr>
      </w:pPr>
      <w:r w:rsidRPr="00ED6FF9">
        <w:rPr>
          <w:rFonts w:eastAsia="Calibri"/>
          <w:i/>
          <w:szCs w:val="28"/>
          <w:lang w:eastAsia="uk-UA"/>
        </w:rPr>
        <w:t>Набули п</w:t>
      </w:r>
      <w:r w:rsidR="005B22B6">
        <w:rPr>
          <w:rFonts w:eastAsia="Calibri"/>
          <w:i/>
          <w:szCs w:val="28"/>
          <w:lang w:eastAsia="uk-UA"/>
        </w:rPr>
        <w:t>одальшого розвитку знання щодо:</w:t>
      </w:r>
    </w:p>
    <w:p w:rsidR="005B22B6" w:rsidRPr="005B22B6" w:rsidRDefault="00ED6FF9" w:rsidP="005B22B6">
      <w:pPr>
        <w:pStyle w:val="a5"/>
        <w:widowControl w:val="0"/>
        <w:numPr>
          <w:ilvl w:val="0"/>
          <w:numId w:val="58"/>
        </w:numPr>
        <w:rPr>
          <w:rFonts w:eastAsia="Calibri"/>
          <w:i/>
          <w:szCs w:val="28"/>
          <w:lang w:val="ru-RU" w:eastAsia="uk-UA"/>
        </w:rPr>
      </w:pPr>
      <w:r w:rsidRPr="005B22B6">
        <w:rPr>
          <w:rFonts w:eastAsia="Calibri"/>
          <w:szCs w:val="28"/>
        </w:rPr>
        <w:t>показників смертності дітей віком до 5</w:t>
      </w:r>
      <w:r w:rsidR="005B22B6" w:rsidRPr="005B22B6">
        <w:rPr>
          <w:rFonts w:eastAsia="Calibri"/>
          <w:szCs w:val="28"/>
        </w:rPr>
        <w:t xml:space="preserve"> років життя та його складових;</w:t>
      </w:r>
    </w:p>
    <w:p w:rsidR="005B22B6" w:rsidRPr="005B22B6" w:rsidRDefault="00ED6FF9" w:rsidP="005B22B6">
      <w:pPr>
        <w:pStyle w:val="a5"/>
        <w:widowControl w:val="0"/>
        <w:numPr>
          <w:ilvl w:val="0"/>
          <w:numId w:val="58"/>
        </w:numPr>
        <w:rPr>
          <w:rFonts w:eastAsia="Calibri"/>
          <w:i/>
          <w:szCs w:val="28"/>
          <w:lang w:val="ru-RU" w:eastAsia="uk-UA"/>
        </w:rPr>
      </w:pPr>
      <w:r w:rsidRPr="005B22B6">
        <w:rPr>
          <w:rFonts w:eastAsia="Calibri"/>
          <w:szCs w:val="28"/>
        </w:rPr>
        <w:t>стану здоров’я дитячого населення України за показниками захворюваності та поширеності хвороб за окремими нозологіями в різних вікових категоріях;</w:t>
      </w:r>
    </w:p>
    <w:p w:rsidR="005B22B6" w:rsidRPr="005B22B6" w:rsidRDefault="00ED6FF9" w:rsidP="005B22B6">
      <w:pPr>
        <w:pStyle w:val="a5"/>
        <w:widowControl w:val="0"/>
        <w:numPr>
          <w:ilvl w:val="0"/>
          <w:numId w:val="58"/>
        </w:numPr>
        <w:rPr>
          <w:rFonts w:eastAsia="Calibri"/>
          <w:i/>
          <w:szCs w:val="28"/>
          <w:lang w:val="ru-RU" w:eastAsia="uk-UA"/>
        </w:rPr>
      </w:pPr>
      <w:r w:rsidRPr="005B22B6">
        <w:rPr>
          <w:rFonts w:eastAsia="Calibri"/>
          <w:szCs w:val="28"/>
        </w:rPr>
        <w:t>стану медичної допомоги дитячому населенню на всіх рівнях надання медичної допомоги та показників її діяльності;</w:t>
      </w:r>
    </w:p>
    <w:p w:rsidR="00ED6FF9" w:rsidRPr="003A2725" w:rsidRDefault="00ED6FF9" w:rsidP="005B22B6">
      <w:pPr>
        <w:pStyle w:val="a5"/>
        <w:widowControl w:val="0"/>
        <w:numPr>
          <w:ilvl w:val="0"/>
          <w:numId w:val="58"/>
        </w:numPr>
        <w:rPr>
          <w:rFonts w:eastAsia="Calibri"/>
          <w:i/>
          <w:szCs w:val="28"/>
          <w:lang w:val="ru-RU" w:eastAsia="uk-UA"/>
        </w:rPr>
      </w:pPr>
      <w:r w:rsidRPr="005B22B6">
        <w:rPr>
          <w:rFonts w:eastAsia="Calibri"/>
          <w:szCs w:val="28"/>
        </w:rPr>
        <w:t>низької обізнаності батьків (менше 39,5%) щодо тактики дій при переважній більшості загрозливих для життя дітей станів.</w:t>
      </w:r>
    </w:p>
    <w:p w:rsidR="00ED6FF9" w:rsidRPr="00ED6FF9" w:rsidRDefault="00ED6FF9" w:rsidP="00ED6FF9">
      <w:pPr>
        <w:widowControl w:val="0"/>
        <w:tabs>
          <w:tab w:val="left" w:pos="0"/>
        </w:tabs>
        <w:ind w:firstLine="567"/>
        <w:rPr>
          <w:rFonts w:eastAsia="Calibri"/>
          <w:szCs w:val="28"/>
          <w:lang w:eastAsia="uk-UA"/>
        </w:rPr>
      </w:pPr>
      <w:r w:rsidRPr="00ED6FF9">
        <w:rPr>
          <w:rFonts w:eastAsia="Calibri"/>
          <w:b/>
          <w:szCs w:val="28"/>
          <w:lang w:eastAsia="uk-UA"/>
        </w:rPr>
        <w:t>Теоретичне значення</w:t>
      </w:r>
      <w:r w:rsidRPr="00ED6FF9">
        <w:rPr>
          <w:rFonts w:eastAsia="Calibri"/>
          <w:szCs w:val="28"/>
          <w:lang w:eastAsia="uk-UA"/>
        </w:rPr>
        <w:t xml:space="preserve"> полягає у суттєвому доповненні теорії соціальної медицини в частині організації медико-соціальної допомоги дітям до 5 років життя в Україні</w:t>
      </w:r>
      <w:r w:rsidRPr="00ED6FF9">
        <w:rPr>
          <w:rFonts w:eastAsia="Times New Roman"/>
          <w:szCs w:val="28"/>
          <w:lang w:eastAsia="uk-UA"/>
        </w:rPr>
        <w:t xml:space="preserve">, скерованої на  зниження </w:t>
      </w:r>
      <w:r w:rsidRPr="00ED6FF9">
        <w:rPr>
          <w:rFonts w:eastAsia="Calibri"/>
          <w:szCs w:val="28"/>
          <w:lang w:eastAsia="uk-UA"/>
        </w:rPr>
        <w:t xml:space="preserve">дитячої </w:t>
      </w:r>
      <w:r w:rsidRPr="00ED6FF9">
        <w:rPr>
          <w:rFonts w:eastAsia="Times New Roman"/>
          <w:szCs w:val="28"/>
          <w:lang w:eastAsia="uk-UA"/>
        </w:rPr>
        <w:t>смертності</w:t>
      </w:r>
      <w:r w:rsidRPr="00ED6FF9">
        <w:rPr>
          <w:rFonts w:eastAsia="Times New Roman"/>
          <w:szCs w:val="28"/>
          <w:lang w:eastAsia="ru-RU"/>
        </w:rPr>
        <w:t>.</w:t>
      </w:r>
    </w:p>
    <w:p w:rsidR="00ED6FF9" w:rsidRPr="00ED6FF9" w:rsidRDefault="00ED6FF9" w:rsidP="00ED6FF9">
      <w:pPr>
        <w:widowControl w:val="0"/>
        <w:tabs>
          <w:tab w:val="left" w:pos="1080"/>
        </w:tabs>
        <w:ind w:firstLine="567"/>
        <w:rPr>
          <w:rFonts w:eastAsia="Calibri"/>
          <w:szCs w:val="28"/>
          <w:lang w:eastAsia="uk-UA"/>
        </w:rPr>
      </w:pPr>
      <w:r w:rsidRPr="00ED6FF9">
        <w:rPr>
          <w:rFonts w:eastAsia="Calibri"/>
          <w:b/>
          <w:szCs w:val="28"/>
          <w:lang w:eastAsia="uk-UA"/>
        </w:rPr>
        <w:t>Практичне значення</w:t>
      </w:r>
      <w:r w:rsidRPr="00ED6FF9">
        <w:rPr>
          <w:rFonts w:eastAsia="Calibri"/>
          <w:szCs w:val="28"/>
          <w:lang w:eastAsia="uk-UA"/>
        </w:rPr>
        <w:t xml:space="preserve"> одержаних результатів полягає в тому, що вони стали підставою для:</w:t>
      </w:r>
    </w:p>
    <w:p w:rsidR="00ED6FF9" w:rsidRPr="00ED6FF9" w:rsidRDefault="00ED6FF9" w:rsidP="00ED6FF9">
      <w:pPr>
        <w:widowControl w:val="0"/>
        <w:numPr>
          <w:ilvl w:val="0"/>
          <w:numId w:val="27"/>
        </w:numPr>
        <w:tabs>
          <w:tab w:val="left" w:pos="851"/>
        </w:tabs>
        <w:ind w:left="0" w:firstLine="567"/>
        <w:contextualSpacing/>
        <w:rPr>
          <w:rFonts w:eastAsia="Calibri"/>
          <w:strike/>
          <w:szCs w:val="28"/>
        </w:rPr>
      </w:pPr>
      <w:r w:rsidRPr="00ED6FF9">
        <w:rPr>
          <w:rFonts w:eastAsia="Calibri"/>
          <w:szCs w:val="28"/>
        </w:rPr>
        <w:lastRenderedPageBreak/>
        <w:t>обґрунтування та розробки інноваційної системи медико-соціальної допомоги дітям до 5 років життя в Україні, скерованої на зменшення смертності дітей даної вікової категорії;</w:t>
      </w:r>
    </w:p>
    <w:p w:rsidR="00ED6FF9" w:rsidRPr="00ED6FF9" w:rsidRDefault="00ED6FF9" w:rsidP="00ED6FF9">
      <w:pPr>
        <w:widowControl w:val="0"/>
        <w:numPr>
          <w:ilvl w:val="0"/>
          <w:numId w:val="27"/>
        </w:numPr>
        <w:tabs>
          <w:tab w:val="left" w:pos="851"/>
        </w:tabs>
        <w:ind w:left="0" w:firstLine="567"/>
        <w:contextualSpacing/>
        <w:rPr>
          <w:rFonts w:eastAsia="Calibri"/>
          <w:szCs w:val="28"/>
        </w:rPr>
      </w:pPr>
      <w:r w:rsidRPr="00ED6FF9">
        <w:rPr>
          <w:rFonts w:eastAsia="Calibri"/>
          <w:szCs w:val="28"/>
        </w:rPr>
        <w:t xml:space="preserve">впровадження в практичну охорону здоров’я окремих елементів системи медико-соціальної допомоги дітям до 5 років </w:t>
      </w:r>
      <w:r w:rsidRPr="00ED6FF9">
        <w:rPr>
          <w:rFonts w:eastAsia="Calibri"/>
          <w:szCs w:val="28"/>
          <w:lang w:val="ru-RU"/>
        </w:rPr>
        <w:t>життя</w:t>
      </w:r>
      <w:r w:rsidRPr="00ED6FF9">
        <w:rPr>
          <w:rFonts w:eastAsia="Calibri"/>
          <w:szCs w:val="28"/>
        </w:rPr>
        <w:t>;</w:t>
      </w:r>
    </w:p>
    <w:p w:rsidR="00ED6FF9" w:rsidRPr="00ED6FF9" w:rsidRDefault="00561641" w:rsidP="00ED6FF9">
      <w:pPr>
        <w:widowControl w:val="0"/>
        <w:numPr>
          <w:ilvl w:val="0"/>
          <w:numId w:val="27"/>
        </w:numPr>
        <w:tabs>
          <w:tab w:val="left" w:pos="851"/>
        </w:tabs>
        <w:ind w:left="0" w:firstLine="567"/>
        <w:contextualSpacing/>
        <w:rPr>
          <w:rFonts w:eastAsia="Calibri"/>
          <w:szCs w:val="28"/>
        </w:rPr>
      </w:pPr>
      <w:r>
        <w:rPr>
          <w:rFonts w:eastAsia="Calibri"/>
          <w:szCs w:val="28"/>
        </w:rPr>
        <w:t>розробки</w:t>
      </w:r>
      <w:r w:rsidR="00ED6FF9" w:rsidRPr="00ED6FF9">
        <w:rPr>
          <w:rFonts w:eastAsia="Calibri"/>
          <w:szCs w:val="28"/>
        </w:rPr>
        <w:t xml:space="preserve"> та використання методології та МКО перинатальної допомоги на всіх рівнях її надання; </w:t>
      </w:r>
    </w:p>
    <w:p w:rsidR="00ED6FF9" w:rsidRPr="00ED6FF9" w:rsidRDefault="00ED6FF9" w:rsidP="00ED6FF9">
      <w:pPr>
        <w:widowControl w:val="0"/>
        <w:numPr>
          <w:ilvl w:val="0"/>
          <w:numId w:val="27"/>
        </w:numPr>
        <w:tabs>
          <w:tab w:val="left" w:pos="851"/>
        </w:tabs>
        <w:ind w:left="0" w:firstLine="567"/>
        <w:contextualSpacing/>
        <w:rPr>
          <w:rFonts w:eastAsia="Calibri"/>
          <w:szCs w:val="28"/>
        </w:rPr>
      </w:pPr>
      <w:r w:rsidRPr="00ED6FF9">
        <w:rPr>
          <w:rFonts w:eastAsia="Calibri"/>
          <w:szCs w:val="28"/>
        </w:rPr>
        <w:t xml:space="preserve">удосконалення навчальних програм з підготовки спеціалістів на до- та післядипломному рівнях на кафедрах соціальної медицини та економіки охорони здоров'я вищих навчальних закладів (ВНЗ) України шляхом доповнення робочих планів новими розділами і положеннями. </w:t>
      </w:r>
    </w:p>
    <w:p w:rsidR="00FA2211" w:rsidRPr="00231499" w:rsidRDefault="00FA2211" w:rsidP="00392469">
      <w:pPr>
        <w:widowControl w:val="0"/>
        <w:tabs>
          <w:tab w:val="left" w:pos="1080"/>
        </w:tabs>
        <w:ind w:firstLine="567"/>
        <w:rPr>
          <w:rFonts w:eastAsia="Calibri"/>
          <w:szCs w:val="28"/>
        </w:rPr>
      </w:pPr>
      <w:r w:rsidRPr="00231499">
        <w:rPr>
          <w:rFonts w:eastAsia="Calibri"/>
          <w:b/>
          <w:szCs w:val="28"/>
        </w:rPr>
        <w:t xml:space="preserve">Впровадження результатів дослідження </w:t>
      </w:r>
      <w:r w:rsidRPr="00231499">
        <w:rPr>
          <w:rFonts w:eastAsia="Calibri"/>
          <w:szCs w:val="28"/>
        </w:rPr>
        <w:t>проводилося на етапах його вико</w:t>
      </w:r>
      <w:r w:rsidRPr="00231499">
        <w:rPr>
          <w:rFonts w:eastAsia="Calibri"/>
          <w:szCs w:val="28"/>
        </w:rPr>
        <w:softHyphen/>
        <w:t xml:space="preserve">нання: </w:t>
      </w:r>
    </w:p>
    <w:p w:rsidR="00392469" w:rsidRPr="00392469" w:rsidRDefault="00392469" w:rsidP="00392469">
      <w:pPr>
        <w:widowControl w:val="0"/>
        <w:tabs>
          <w:tab w:val="left" w:pos="1080"/>
        </w:tabs>
        <w:ind w:firstLine="709"/>
        <w:rPr>
          <w:rFonts w:eastAsia="Calibri"/>
          <w:i/>
          <w:szCs w:val="28"/>
          <w:lang w:eastAsia="uk-UA"/>
        </w:rPr>
      </w:pPr>
      <w:r w:rsidRPr="00392469">
        <w:rPr>
          <w:rFonts w:eastAsia="Calibri"/>
          <w:i/>
          <w:szCs w:val="28"/>
          <w:lang w:eastAsia="uk-UA"/>
        </w:rPr>
        <w:t>а) на державному рівні:</w:t>
      </w:r>
    </w:p>
    <w:p w:rsidR="00392469" w:rsidRPr="00392469" w:rsidRDefault="00392469" w:rsidP="00392469">
      <w:pPr>
        <w:widowControl w:val="0"/>
        <w:numPr>
          <w:ilvl w:val="0"/>
          <w:numId w:val="27"/>
        </w:numPr>
        <w:tabs>
          <w:tab w:val="left" w:pos="851"/>
        </w:tabs>
        <w:ind w:left="0" w:firstLine="567"/>
        <w:contextualSpacing/>
        <w:rPr>
          <w:rFonts w:eastAsia="Calibri"/>
          <w:szCs w:val="28"/>
        </w:rPr>
      </w:pPr>
      <w:r w:rsidRPr="00392469">
        <w:rPr>
          <w:rFonts w:eastAsia="Calibri"/>
          <w:szCs w:val="28"/>
        </w:rPr>
        <w:t>при підготовці проєкту Постанови КМУ від 5 лютого 2020 р. № 65 «Деякі питання реалізації програми державних гарантій медичного обслуговування населення у 2020 році».</w:t>
      </w:r>
    </w:p>
    <w:p w:rsidR="00392469" w:rsidRPr="00392469" w:rsidRDefault="00392469" w:rsidP="00392469">
      <w:pPr>
        <w:widowControl w:val="0"/>
        <w:tabs>
          <w:tab w:val="left" w:pos="1080"/>
        </w:tabs>
        <w:ind w:firstLine="709"/>
        <w:rPr>
          <w:rFonts w:eastAsia="Calibri"/>
          <w:szCs w:val="28"/>
          <w:lang w:eastAsia="uk-UA"/>
        </w:rPr>
      </w:pPr>
      <w:r w:rsidRPr="00392469">
        <w:rPr>
          <w:rFonts w:eastAsia="Calibri"/>
          <w:i/>
          <w:szCs w:val="28"/>
          <w:lang w:eastAsia="uk-UA"/>
        </w:rPr>
        <w:t>б) на галузевому</w:t>
      </w:r>
      <w:r w:rsidRPr="00392469">
        <w:rPr>
          <w:rFonts w:eastAsia="Calibri"/>
          <w:szCs w:val="28"/>
          <w:lang w:eastAsia="uk-UA"/>
        </w:rPr>
        <w:t xml:space="preserve"> </w:t>
      </w:r>
      <w:r w:rsidRPr="00392469">
        <w:rPr>
          <w:rFonts w:eastAsia="Calibri"/>
          <w:i/>
          <w:szCs w:val="28"/>
          <w:lang w:eastAsia="uk-UA"/>
        </w:rPr>
        <w:t>рівні:</w:t>
      </w:r>
    </w:p>
    <w:p w:rsidR="00392469" w:rsidRPr="00392469" w:rsidRDefault="00392469" w:rsidP="00392469">
      <w:pPr>
        <w:widowControl w:val="0"/>
        <w:numPr>
          <w:ilvl w:val="0"/>
          <w:numId w:val="27"/>
        </w:numPr>
        <w:tabs>
          <w:tab w:val="left" w:pos="851"/>
        </w:tabs>
        <w:ind w:left="0" w:firstLine="567"/>
        <w:contextualSpacing/>
        <w:rPr>
          <w:rFonts w:eastAsia="Calibri"/>
          <w:szCs w:val="28"/>
        </w:rPr>
      </w:pPr>
      <w:r w:rsidRPr="00392469">
        <w:rPr>
          <w:rFonts w:eastAsia="Calibri"/>
          <w:szCs w:val="28"/>
        </w:rPr>
        <w:t>при підготовці проєкту умов закупівлі медичних послуг, які будуть надаватися за програмою медичних гарантій, та їх специфікації щодо «Стаціонарної допомоги дорослим та дітям з нехірургічними (соматичними) захворюваннями» (Наказ НСЗУ від 20.12.2019 №540 «Деякі питання роботи експертних та робочих груп в Національній службі здоров’я України»), специфікації та умови закупівлі пакетів медичних послуг у 2020 р. (погоджені МОЗ України 21.01.2020); проєктів умов закупівлі медичних послуг, які будуть надаватися за пакетами медичних гарантій у 2021 (Наказ НСЗУ від 16.09.2020 №234 «Деякі питання роботи робочих груп експертів в Національній службі здоров’я України»);</w:t>
      </w:r>
    </w:p>
    <w:p w:rsidR="00392469" w:rsidRPr="00392469" w:rsidRDefault="00392469" w:rsidP="00392469">
      <w:pPr>
        <w:numPr>
          <w:ilvl w:val="0"/>
          <w:numId w:val="27"/>
        </w:numPr>
        <w:tabs>
          <w:tab w:val="left" w:pos="851"/>
        </w:tabs>
        <w:spacing w:after="200"/>
        <w:ind w:left="0" w:firstLine="567"/>
        <w:contextualSpacing/>
        <w:rPr>
          <w:rFonts w:ascii="Calibri" w:eastAsia="Calibri" w:hAnsi="Calibri"/>
          <w:b/>
          <w:szCs w:val="28"/>
        </w:rPr>
      </w:pPr>
      <w:r w:rsidRPr="00392469">
        <w:rPr>
          <w:rFonts w:eastAsia="Calibri"/>
          <w:szCs w:val="28"/>
        </w:rPr>
        <w:t xml:space="preserve">при розробці галузевих стандартів медичної допомоги за напрямом «Педіатрія та неонатологія» (наказ МОЗ України від 18.08.2020 №1908 «Про утворення та </w:t>
      </w:r>
      <w:r w:rsidRPr="00392469">
        <w:rPr>
          <w:rFonts w:eastAsia="Calibri"/>
          <w:szCs w:val="28"/>
        </w:rPr>
        <w:lastRenderedPageBreak/>
        <w:t>затвердження персональних складів мультидисциплінарних робочих груп з розробки галузевих ста</w:t>
      </w:r>
      <w:r w:rsidR="00E031E8">
        <w:rPr>
          <w:rFonts w:eastAsia="Calibri"/>
          <w:szCs w:val="28"/>
        </w:rPr>
        <w:t>ндартів медичної допомоги» (проє</w:t>
      </w:r>
      <w:r w:rsidRPr="00392469">
        <w:rPr>
          <w:rFonts w:eastAsia="Calibri"/>
          <w:szCs w:val="28"/>
        </w:rPr>
        <w:t>кти): 1) уніфікований клінічний протокол первинної, вторинної (спеціалізованої) та третинної (високоспеціалізованої) медичної допомоги «Гострий середній отит»</w:t>
      </w:r>
      <w:r w:rsidR="00D2762A">
        <w:rPr>
          <w:rFonts w:eastAsia="Calibri"/>
          <w:szCs w:val="28"/>
        </w:rPr>
        <w:t>;</w:t>
      </w:r>
      <w:r w:rsidR="006C310D">
        <w:rPr>
          <w:rFonts w:eastAsia="Calibri"/>
          <w:szCs w:val="28"/>
        </w:rPr>
        <w:t xml:space="preserve"> </w:t>
      </w:r>
      <w:r w:rsidRPr="00392469">
        <w:rPr>
          <w:rFonts w:eastAsia="Calibri"/>
          <w:szCs w:val="28"/>
        </w:rPr>
        <w:t>2) уніфікований клінічний протокол первинної, вторинної (спеціалізованої) та третинної (високоспеціалізованої) медичної допомоги «Тонзиліт»; 3)</w:t>
      </w:r>
      <w:r w:rsidRPr="00392469">
        <w:rPr>
          <w:rFonts w:ascii="Calibri" w:eastAsia="Batang" w:hAnsi="Calibri"/>
          <w:b/>
          <w:szCs w:val="28"/>
          <w:lang w:eastAsia="ru-RU"/>
        </w:rPr>
        <w:t xml:space="preserve"> </w:t>
      </w:r>
      <w:r w:rsidRPr="00392469">
        <w:rPr>
          <w:rFonts w:eastAsia="Calibri"/>
          <w:szCs w:val="28"/>
        </w:rPr>
        <w:t>уніфікований клінічний протокол первинної медичної допомоги «Інтегроване ведення хвороб дитячого віку»; 4) клінічна настанова «Ведення найбільш поширених станів у дітей віком до 5-ти років у контексті інтегрованого ведення хвороб дитячого віку».</w:t>
      </w:r>
    </w:p>
    <w:p w:rsidR="00392469" w:rsidRPr="00392469" w:rsidRDefault="00392469" w:rsidP="00392469">
      <w:pPr>
        <w:widowControl w:val="0"/>
        <w:numPr>
          <w:ilvl w:val="0"/>
          <w:numId w:val="27"/>
        </w:numPr>
        <w:tabs>
          <w:tab w:val="left" w:pos="1080"/>
        </w:tabs>
        <w:ind w:left="0" w:firstLine="709"/>
        <w:contextualSpacing/>
        <w:rPr>
          <w:rFonts w:eastAsia="Calibri"/>
          <w:b/>
          <w:szCs w:val="28"/>
        </w:rPr>
      </w:pPr>
      <w:r w:rsidRPr="00392469">
        <w:rPr>
          <w:rFonts w:eastAsia="Calibri"/>
          <w:szCs w:val="28"/>
        </w:rPr>
        <w:t>при розробці методичних рекомендацій,</w:t>
      </w:r>
      <w:r w:rsidRPr="00392469">
        <w:rPr>
          <w:rFonts w:eastAsia="Calibri"/>
          <w:b/>
          <w:szCs w:val="28"/>
        </w:rPr>
        <w:t xml:space="preserve"> </w:t>
      </w:r>
      <w:r w:rsidRPr="00392469">
        <w:rPr>
          <w:rFonts w:eastAsia="Calibri"/>
          <w:szCs w:val="28"/>
        </w:rPr>
        <w:t>затверджених МОЗ України:</w:t>
      </w:r>
      <w:r w:rsidRPr="00392469">
        <w:rPr>
          <w:rFonts w:eastAsia="Calibri"/>
          <w:b/>
          <w:szCs w:val="28"/>
        </w:rPr>
        <w:t xml:space="preserve"> </w:t>
      </w:r>
    </w:p>
    <w:p w:rsidR="00392469" w:rsidRPr="00392469" w:rsidRDefault="00392469" w:rsidP="00392469">
      <w:pPr>
        <w:widowControl w:val="0"/>
        <w:tabs>
          <w:tab w:val="left" w:pos="709"/>
        </w:tabs>
        <w:spacing w:after="200"/>
        <w:contextualSpacing/>
        <w:rPr>
          <w:rFonts w:eastAsia="Calibri"/>
          <w:szCs w:val="28"/>
          <w:lang w:eastAsia="uk-UA"/>
        </w:rPr>
      </w:pPr>
      <w:r w:rsidRPr="00392469">
        <w:rPr>
          <w:rFonts w:eastAsia="Calibri"/>
          <w:szCs w:val="28"/>
          <w:lang w:eastAsia="uk-UA"/>
        </w:rPr>
        <w:tab/>
        <w:t>Дудіна О.</w:t>
      </w:r>
      <w:r w:rsidRPr="00392469">
        <w:rPr>
          <w:rFonts w:eastAsia="Calibri"/>
          <w:szCs w:val="28"/>
          <w:lang w:val="ru-RU" w:eastAsia="uk-UA"/>
        </w:rPr>
        <w:t> </w:t>
      </w:r>
      <w:r w:rsidRPr="00392469">
        <w:rPr>
          <w:rFonts w:eastAsia="Calibri"/>
          <w:szCs w:val="28"/>
          <w:lang w:eastAsia="uk-UA"/>
        </w:rPr>
        <w:t>О., Слабкий Г.</w:t>
      </w:r>
      <w:r w:rsidRPr="00392469">
        <w:rPr>
          <w:rFonts w:eastAsia="Calibri"/>
          <w:szCs w:val="28"/>
          <w:lang w:val="ru-RU" w:eastAsia="uk-UA"/>
        </w:rPr>
        <w:t> </w:t>
      </w:r>
      <w:r w:rsidRPr="00392469">
        <w:rPr>
          <w:rFonts w:eastAsia="Calibri"/>
          <w:szCs w:val="28"/>
          <w:lang w:eastAsia="uk-UA"/>
        </w:rPr>
        <w:t>О., Дудник С.</w:t>
      </w:r>
      <w:r w:rsidRPr="00392469">
        <w:rPr>
          <w:rFonts w:eastAsia="Calibri"/>
          <w:szCs w:val="28"/>
          <w:lang w:val="ru-RU" w:eastAsia="uk-UA"/>
        </w:rPr>
        <w:t> </w:t>
      </w:r>
      <w:r w:rsidRPr="00392469">
        <w:rPr>
          <w:rFonts w:eastAsia="Calibri"/>
          <w:szCs w:val="28"/>
          <w:lang w:eastAsia="uk-UA"/>
        </w:rPr>
        <w:t xml:space="preserve">В. Комплексна оцінка діяльності закладів та установ перинатальної допомоги: метод. рекомендації. </w:t>
      </w:r>
      <w:r w:rsidRPr="00392469">
        <w:rPr>
          <w:rFonts w:eastAsia="Calibri"/>
          <w:spacing w:val="-18"/>
          <w:szCs w:val="28"/>
          <w:lang w:eastAsia="uk-UA"/>
        </w:rPr>
        <w:t>Київ</w:t>
      </w:r>
      <w:r w:rsidRPr="00392469">
        <w:rPr>
          <w:rFonts w:eastAsia="Calibri"/>
          <w:spacing w:val="-18"/>
          <w:szCs w:val="28"/>
          <w:lang w:val="ru-RU" w:eastAsia="uk-UA"/>
        </w:rPr>
        <w:t xml:space="preserve">, 2019. 34 </w:t>
      </w:r>
      <w:r w:rsidRPr="00392469">
        <w:rPr>
          <w:rFonts w:eastAsia="Calibri"/>
          <w:szCs w:val="28"/>
          <w:lang w:val="ru-RU" w:eastAsia="uk-UA"/>
        </w:rPr>
        <w:t>с.</w:t>
      </w:r>
    </w:p>
    <w:p w:rsidR="00392469" w:rsidRPr="00392469" w:rsidRDefault="00392469" w:rsidP="00392469">
      <w:pPr>
        <w:widowControl w:val="0"/>
        <w:tabs>
          <w:tab w:val="left" w:pos="1080"/>
        </w:tabs>
        <w:ind w:firstLine="567"/>
        <w:rPr>
          <w:rFonts w:eastAsia="Calibri"/>
          <w:szCs w:val="28"/>
          <w:lang w:eastAsia="uk-UA"/>
        </w:rPr>
      </w:pPr>
      <w:r w:rsidRPr="00392469">
        <w:rPr>
          <w:rFonts w:eastAsia="Calibri"/>
          <w:szCs w:val="28"/>
          <w:lang w:val="ru-RU" w:eastAsia="uk-UA"/>
        </w:rPr>
        <w:t>в</w:t>
      </w:r>
      <w:r w:rsidRPr="00392469">
        <w:rPr>
          <w:rFonts w:eastAsia="Calibri"/>
          <w:i/>
          <w:szCs w:val="28"/>
          <w:lang w:val="ru-RU" w:eastAsia="uk-UA"/>
        </w:rPr>
        <w:t xml:space="preserve">) на регіональному </w:t>
      </w:r>
      <w:proofErr w:type="gramStart"/>
      <w:r w:rsidRPr="00392469">
        <w:rPr>
          <w:rFonts w:eastAsia="Calibri"/>
          <w:i/>
          <w:szCs w:val="28"/>
          <w:lang w:val="ru-RU" w:eastAsia="uk-UA"/>
        </w:rPr>
        <w:t>р</w:t>
      </w:r>
      <w:proofErr w:type="gramEnd"/>
      <w:r w:rsidRPr="00392469">
        <w:rPr>
          <w:rFonts w:eastAsia="Calibri"/>
          <w:i/>
          <w:szCs w:val="28"/>
          <w:lang w:val="ru-RU" w:eastAsia="uk-UA"/>
        </w:rPr>
        <w:t>івні</w:t>
      </w:r>
      <w:r w:rsidRPr="00392469">
        <w:rPr>
          <w:rFonts w:eastAsia="Calibri"/>
          <w:i/>
          <w:szCs w:val="28"/>
          <w:lang w:eastAsia="uk-UA"/>
        </w:rPr>
        <w:t xml:space="preserve"> </w:t>
      </w:r>
      <w:r w:rsidRPr="00392469">
        <w:rPr>
          <w:rFonts w:eastAsia="Calibri"/>
          <w:szCs w:val="28"/>
          <w:lang w:eastAsia="uk-UA"/>
        </w:rPr>
        <w:t>результати дослідження використано</w:t>
      </w:r>
      <w:r w:rsidRPr="00392469">
        <w:rPr>
          <w:rFonts w:eastAsia="Calibri"/>
          <w:szCs w:val="28"/>
          <w:lang w:val="ru-RU" w:eastAsia="uk-UA"/>
        </w:rPr>
        <w:t>:</w:t>
      </w:r>
    </w:p>
    <w:p w:rsidR="00392469" w:rsidRPr="00392469" w:rsidRDefault="00392469" w:rsidP="00392469">
      <w:pPr>
        <w:widowControl w:val="0"/>
        <w:numPr>
          <w:ilvl w:val="0"/>
          <w:numId w:val="27"/>
        </w:numPr>
        <w:tabs>
          <w:tab w:val="left" w:pos="851"/>
        </w:tabs>
        <w:ind w:left="0" w:firstLine="567"/>
        <w:contextualSpacing/>
        <w:rPr>
          <w:rFonts w:eastAsia="Calibri"/>
          <w:szCs w:val="28"/>
        </w:rPr>
      </w:pPr>
      <w:r w:rsidRPr="00392469">
        <w:rPr>
          <w:rFonts w:eastAsia="Calibri"/>
          <w:szCs w:val="28"/>
        </w:rPr>
        <w:t xml:space="preserve">у навчальному процесі: ДВНЗ «Івано-Франківський національний медичний університет» (акт впровадження від 15.03.2019 р.), Львівського національного медичного університету імені Данила Галицького (акти впровадження від 27.03.2019 р. та від 26.11.2020 р.), державного закладу «Запорізька медична академія післядипломної освіти Міністерства охорони здоров'я» (акти впровадження від 11.02.2020 р. та від 15.09.2020 р.), Харківської медичної академії післядипломної освіти (акти впровадження від 21.02.2020 р. та від 07.04.2020 р.), Української медичної стоматологічної академії (акти впровадження від 12.02.2020 р. та від 15.11.2020 р.), ДВНЗ «Ужгородський національний університет» (акт впровадження від 22.12.2019 р.), медичного інституту Сумського державного університету МОH України (акт впровадження від 22.09.2020 р.), Тернопільського національного медичного університету ім. І. Я. Горбачевського (акт впровадження від 14.10.2020 р.);  </w:t>
      </w:r>
    </w:p>
    <w:p w:rsidR="00392469" w:rsidRPr="00392469" w:rsidRDefault="00885F1F" w:rsidP="00392469">
      <w:pPr>
        <w:widowControl w:val="0"/>
        <w:numPr>
          <w:ilvl w:val="0"/>
          <w:numId w:val="27"/>
        </w:numPr>
        <w:tabs>
          <w:tab w:val="left" w:pos="851"/>
        </w:tabs>
        <w:ind w:left="0" w:firstLine="567"/>
        <w:contextualSpacing/>
        <w:rPr>
          <w:rFonts w:eastAsia="Calibri"/>
          <w:szCs w:val="28"/>
        </w:rPr>
      </w:pPr>
      <w:r>
        <w:rPr>
          <w:rFonts w:eastAsia="Calibri"/>
          <w:szCs w:val="28"/>
        </w:rPr>
        <w:t xml:space="preserve">у </w:t>
      </w:r>
      <w:r w:rsidR="00392469" w:rsidRPr="00392469">
        <w:rPr>
          <w:rFonts w:eastAsia="Calibri"/>
          <w:szCs w:val="28"/>
        </w:rPr>
        <w:t xml:space="preserve">лікувально-діагностичному процесі Житомирського обласного перинатального центру Житомирської обласної ради (акт впровадження від 09.09.2020 р.). </w:t>
      </w:r>
    </w:p>
    <w:p w:rsidR="00392469" w:rsidRPr="00392469" w:rsidRDefault="00392469" w:rsidP="00392469">
      <w:pPr>
        <w:widowControl w:val="0"/>
        <w:ind w:firstLine="567"/>
        <w:rPr>
          <w:rFonts w:eastAsia="Times New Roman"/>
          <w:szCs w:val="28"/>
          <w:lang w:eastAsia="uk-UA"/>
        </w:rPr>
      </w:pPr>
      <w:r w:rsidRPr="00392469">
        <w:rPr>
          <w:rFonts w:eastAsia="Times New Roman"/>
          <w:b/>
          <w:szCs w:val="28"/>
          <w:lang w:eastAsia="uk-UA"/>
        </w:rPr>
        <w:lastRenderedPageBreak/>
        <w:t>Особистий внесок здобувача</w:t>
      </w:r>
      <w:r w:rsidRPr="00392469">
        <w:rPr>
          <w:rFonts w:eastAsia="Times New Roman"/>
          <w:szCs w:val="28"/>
          <w:lang w:eastAsia="uk-UA"/>
        </w:rPr>
        <w:t>. Дисертаційна робота є самостійно виконаною науковою роботою автора. Автором особисто визначено тему та сформульовано мету й завдання дослідження, розроблено програму дослідження, обрано методичний апарат для досягнення поставлених завдань, розраховано обсяги дослідження, здійснено пошук та проведено аналіз сучасних науково-інформаційних джерел вітчизняної та світової літератури з даної проблеми, проведено збір і викопіювання первинних матеріалів, статистичних даних, розроблено анкети соціологічного дослідження й особисто проведено анкетування респондентів, визначено медико-соціальні детермінанти дитячої смертності, розроблено методологію та модель комплексної оцінки перинатальної допомоги, проведено статистичне та математичне опрацювання зібраного наукового матеріалу, оцінку системи перинатальної допомоги в цілому та за рівнями її надання, проаналізовано та узагальнено отримані результати, обґрунтовано наукові положення, науково обґрунтовано та розроблено інноваційну систему медико-соціальної допомоги дітям до 5 років життя в Україні, самостійно сформульовано висновки та запропоновано практичні рекомендації, впроваджено окремі результати дослідження в практику, що знайшло відображення в друкованих працях. Здобувачем проведено статистичний аналіз отриманих даних на основі пакету статистичного аналізу Microsoft Excel, отримані дані обро</w:t>
      </w:r>
      <w:r w:rsidR="0045524D">
        <w:rPr>
          <w:rFonts w:eastAsia="Times New Roman"/>
          <w:szCs w:val="28"/>
          <w:lang w:eastAsia="uk-UA"/>
        </w:rPr>
        <w:t>блено</w:t>
      </w:r>
      <w:r w:rsidRPr="00392469">
        <w:rPr>
          <w:rFonts w:eastAsia="Times New Roman"/>
          <w:szCs w:val="28"/>
          <w:lang w:eastAsia="uk-UA"/>
        </w:rPr>
        <w:t xml:space="preserve"> на персональному комп’ютері за допомогою ліцензованої програми Statistika 6.0,</w:t>
      </w:r>
      <w:r w:rsidRPr="00392469">
        <w:rPr>
          <w:rFonts w:eastAsia="Calibri"/>
          <w:szCs w:val="28"/>
        </w:rPr>
        <w:t xml:space="preserve"> </w:t>
      </w:r>
      <w:r w:rsidRPr="00392469">
        <w:rPr>
          <w:rFonts w:eastAsia="Calibri"/>
          <w:szCs w:val="28"/>
          <w:lang w:val="en-US"/>
        </w:rPr>
        <w:t>STATA</w:t>
      </w:r>
      <w:r w:rsidRPr="00392469">
        <w:rPr>
          <w:rFonts w:eastAsia="Calibri"/>
          <w:szCs w:val="28"/>
        </w:rPr>
        <w:t xml:space="preserve"> 14 </w:t>
      </w:r>
      <w:r w:rsidRPr="00392469">
        <w:rPr>
          <w:rFonts w:eastAsia="Times New Roman"/>
          <w:szCs w:val="28"/>
          <w:lang w:eastAsia="uk-UA"/>
        </w:rPr>
        <w:t>та засобами мови  програмування Python з використанням бібліотек pandas, matplotlib, scipy.</w:t>
      </w:r>
    </w:p>
    <w:p w:rsidR="00392469" w:rsidRPr="00392469" w:rsidRDefault="00392469" w:rsidP="00392469">
      <w:pPr>
        <w:widowControl w:val="0"/>
        <w:autoSpaceDE w:val="0"/>
        <w:autoSpaceDN w:val="0"/>
        <w:adjustRightInd w:val="0"/>
        <w:ind w:firstLine="567"/>
        <w:rPr>
          <w:rFonts w:eastAsia="Times New Roman"/>
          <w:szCs w:val="28"/>
          <w:lang w:eastAsia="uk-UA"/>
        </w:rPr>
      </w:pPr>
      <w:r w:rsidRPr="00392469">
        <w:rPr>
          <w:rFonts w:eastAsia="Times New Roman"/>
          <w:szCs w:val="28"/>
          <w:lang w:eastAsia="uk-UA"/>
        </w:rPr>
        <w:t>Автором одноосібно підготовлено та опубліковано 11 наукових праць у фахових виданнях України. В роботах, виконаних у співавторстві внесок автора є визначальним і полягає у безпосередній участі у формуванні інформаційної бази даних, мети та завдань, обговоренні результатів та підготовці висновків. Ідеї співавторів не використовувалися.</w:t>
      </w:r>
    </w:p>
    <w:p w:rsidR="00392469" w:rsidRDefault="00392469" w:rsidP="00392469">
      <w:pPr>
        <w:widowControl w:val="0"/>
        <w:autoSpaceDE w:val="0"/>
        <w:autoSpaceDN w:val="0"/>
        <w:adjustRightInd w:val="0"/>
        <w:ind w:firstLine="567"/>
        <w:rPr>
          <w:rFonts w:eastAsia="Times New Roman"/>
          <w:szCs w:val="28"/>
          <w:lang w:val="ru-RU" w:eastAsia="uk-UA"/>
        </w:rPr>
      </w:pPr>
      <w:r w:rsidRPr="00392469">
        <w:rPr>
          <w:rFonts w:eastAsia="Times New Roman"/>
          <w:b/>
          <w:szCs w:val="28"/>
          <w:lang w:eastAsia="uk-UA"/>
        </w:rPr>
        <w:t>Апробація результатів дисертації</w:t>
      </w:r>
      <w:r w:rsidRPr="00392469">
        <w:rPr>
          <w:rFonts w:eastAsia="Times New Roman"/>
          <w:szCs w:val="28"/>
          <w:lang w:eastAsia="uk-UA"/>
        </w:rPr>
        <w:t>. Основні положення та результати дисертаційного дослідження оприлюднені та апробовані на з’їздах, конгресах, науково-практичних конференціях, зокрема:</w:t>
      </w:r>
    </w:p>
    <w:p w:rsidR="00392469" w:rsidRDefault="00392469" w:rsidP="00392469">
      <w:pPr>
        <w:widowControl w:val="0"/>
        <w:autoSpaceDE w:val="0"/>
        <w:autoSpaceDN w:val="0"/>
        <w:adjustRightInd w:val="0"/>
        <w:ind w:firstLine="567"/>
        <w:rPr>
          <w:rFonts w:eastAsia="Times New Roman"/>
          <w:szCs w:val="28"/>
          <w:lang w:val="ru-RU" w:eastAsia="uk-UA"/>
        </w:rPr>
      </w:pPr>
      <w:r>
        <w:rPr>
          <w:rFonts w:eastAsia="Times New Roman"/>
          <w:szCs w:val="28"/>
          <w:lang w:val="ru-RU" w:eastAsia="uk-UA"/>
        </w:rPr>
        <w:lastRenderedPageBreak/>
        <w:t xml:space="preserve">- </w:t>
      </w:r>
      <w:r w:rsidRPr="00392469">
        <w:rPr>
          <w:rFonts w:eastAsia="Calibri"/>
          <w:i/>
          <w:szCs w:val="28"/>
        </w:rPr>
        <w:t>міжнародном</w:t>
      </w:r>
      <w:r w:rsidRPr="00392469">
        <w:rPr>
          <w:rFonts w:eastAsia="Calibri"/>
          <w:szCs w:val="28"/>
        </w:rPr>
        <w:t xml:space="preserve">у: науково-практичній конференції з міжнародною участю «Організація та управління охороною здоров'я 2016» (18–20 жовтня 2016 р., м. Київ), VI міжнародному медичному конгресі «Впровадження сучасних досягнень медичної науки у практику охорони </w:t>
      </w:r>
      <w:proofErr w:type="gramStart"/>
      <w:r w:rsidRPr="00392469">
        <w:rPr>
          <w:rFonts w:eastAsia="Calibri"/>
          <w:szCs w:val="28"/>
        </w:rPr>
        <w:t>здоров'я Укра</w:t>
      </w:r>
      <w:proofErr w:type="gramEnd"/>
      <w:r w:rsidRPr="00392469">
        <w:rPr>
          <w:rFonts w:eastAsia="Calibri"/>
          <w:szCs w:val="28"/>
        </w:rPr>
        <w:t>їни» (25–27 квітня 2017 р., м. Київ), науково-практичній конференції з міжнародною участю «Актуальні питання розвитку системи грома</w:t>
      </w:r>
      <w:r w:rsidR="001970C6">
        <w:rPr>
          <w:rFonts w:eastAsia="Calibri"/>
          <w:szCs w:val="28"/>
        </w:rPr>
        <w:t>дського здоров’я в Україні» (24–</w:t>
      </w:r>
      <w:r w:rsidRPr="00392469">
        <w:rPr>
          <w:rFonts w:eastAsia="Calibri"/>
          <w:szCs w:val="28"/>
        </w:rPr>
        <w:t xml:space="preserve">25 травня 2017, м. Ужгород), науково-практичній конференції з міжнародною участю до Всесвітнього дня Здоров’я 2018 р. «Загальне охоплення послугами охорони здоров’я – для всіх і всюди» (05–06 квітня 2018 р., м. Київ), міжнародній науково-практичній конференції «Актуальні питання надання медичної допомоги на засадах ПМСД» (18–19 квітня 2018 р., м. Ужгород), науково-практичній конференції з міжнародною участю «Актуальні питання розвитку системи громадського здоров'я в Україні» (17–18 травня 2018 р., м. Ужгород), науково-практичній конференції з міжнародною участю «Актуальні питання у сфері надання комплексних послуг особам з інвалідністю» (19–21 вересня 2018 р., м. Ужгород), VII Міжнародному медичному конгресі «Впровадження сучасних досягнень медичної науки у практику охорони здоров’я України» (25–27 квітня 2018 р. м. Київ), </w:t>
      </w:r>
      <w:r w:rsidRPr="00392469">
        <w:rPr>
          <w:rFonts w:eastAsia="Calibri"/>
          <w:szCs w:val="28"/>
          <w:lang w:val="en-US"/>
        </w:rPr>
        <w:t>International</w:t>
      </w:r>
      <w:r w:rsidRPr="00392469">
        <w:rPr>
          <w:rFonts w:eastAsia="Calibri"/>
          <w:szCs w:val="28"/>
        </w:rPr>
        <w:t xml:space="preserve"> </w:t>
      </w:r>
      <w:r w:rsidRPr="00392469">
        <w:rPr>
          <w:rFonts w:eastAsia="Calibri"/>
          <w:szCs w:val="28"/>
          <w:lang w:val="en-US"/>
        </w:rPr>
        <w:t>paediatric</w:t>
      </w:r>
      <w:r w:rsidRPr="00392469">
        <w:rPr>
          <w:rFonts w:eastAsia="Calibri"/>
          <w:szCs w:val="28"/>
        </w:rPr>
        <w:t xml:space="preserve"> </w:t>
      </w:r>
      <w:r w:rsidRPr="00392469">
        <w:rPr>
          <w:rFonts w:eastAsia="Calibri"/>
          <w:szCs w:val="28"/>
          <w:lang w:val="en-US"/>
        </w:rPr>
        <w:t>conference</w:t>
      </w:r>
      <w:r w:rsidRPr="00392469">
        <w:rPr>
          <w:rFonts w:eastAsia="Calibri"/>
          <w:szCs w:val="28"/>
        </w:rPr>
        <w:t xml:space="preserve">. </w:t>
      </w:r>
      <w:r w:rsidRPr="00392469">
        <w:rPr>
          <w:rFonts w:eastAsia="Calibri"/>
          <w:szCs w:val="28"/>
          <w:lang w:val="en-US"/>
        </w:rPr>
        <w:t>«The faces of contemporary pediatrics from clinical problems to public health</w:t>
      </w:r>
      <w:r w:rsidR="001970C6">
        <w:rPr>
          <w:rFonts w:eastAsia="Calibri"/>
          <w:szCs w:val="28"/>
        </w:rPr>
        <w:t>» (24–</w:t>
      </w:r>
      <w:r w:rsidRPr="00392469">
        <w:rPr>
          <w:rFonts w:eastAsia="Calibri"/>
          <w:szCs w:val="28"/>
        </w:rPr>
        <w:t>26</w:t>
      </w:r>
      <w:r w:rsidRPr="00392469">
        <w:rPr>
          <w:rFonts w:eastAsia="Calibri"/>
          <w:szCs w:val="28"/>
          <w:lang w:val="en-US"/>
        </w:rPr>
        <w:t> M</w:t>
      </w:r>
      <w:r w:rsidRPr="00392469">
        <w:rPr>
          <w:rFonts w:eastAsia="Calibri"/>
          <w:szCs w:val="28"/>
        </w:rPr>
        <w:t xml:space="preserve">ay 2018, Rzeszow, Poland), науково-практичній конференції з міжнародною участю «Інноваційні технології в медицині» (30 листопада-1 грудня 2018 р., м. Самарканд, Республіка Узбекистан), </w:t>
      </w:r>
      <w:r w:rsidRPr="00392469">
        <w:rPr>
          <w:rFonts w:eastAsia="Calibri"/>
          <w:szCs w:val="28"/>
          <w:lang w:val="en-US"/>
        </w:rPr>
        <w:t>The</w:t>
      </w:r>
      <w:r w:rsidRPr="00392469">
        <w:rPr>
          <w:rFonts w:eastAsia="Calibri"/>
          <w:szCs w:val="28"/>
        </w:rPr>
        <w:t xml:space="preserve"> 5</w:t>
      </w:r>
      <w:r w:rsidRPr="00392469">
        <w:rPr>
          <w:rFonts w:eastAsia="Calibri"/>
          <w:szCs w:val="28"/>
          <w:lang w:val="en-US"/>
        </w:rPr>
        <w:t>th</w:t>
      </w:r>
      <w:r w:rsidRPr="00392469">
        <w:rPr>
          <w:rFonts w:eastAsia="Calibri"/>
          <w:szCs w:val="28"/>
        </w:rPr>
        <w:t xml:space="preserve"> </w:t>
      </w:r>
      <w:r w:rsidRPr="00392469">
        <w:rPr>
          <w:rFonts w:eastAsia="Calibri"/>
          <w:szCs w:val="28"/>
          <w:lang w:val="en-US"/>
        </w:rPr>
        <w:t>International</w:t>
      </w:r>
      <w:r w:rsidRPr="00392469">
        <w:rPr>
          <w:rFonts w:eastAsia="Calibri"/>
          <w:szCs w:val="28"/>
        </w:rPr>
        <w:t xml:space="preserve"> </w:t>
      </w:r>
      <w:r w:rsidRPr="00392469">
        <w:rPr>
          <w:rFonts w:eastAsia="Calibri"/>
          <w:szCs w:val="28"/>
          <w:lang w:val="en-US"/>
        </w:rPr>
        <w:t>youth</w:t>
      </w:r>
      <w:r w:rsidRPr="00392469">
        <w:rPr>
          <w:rFonts w:eastAsia="Calibri"/>
          <w:szCs w:val="28"/>
        </w:rPr>
        <w:t xml:space="preserve"> </w:t>
      </w:r>
      <w:r w:rsidRPr="00392469">
        <w:rPr>
          <w:rFonts w:eastAsia="Calibri"/>
          <w:szCs w:val="28"/>
          <w:lang w:val="en-US"/>
        </w:rPr>
        <w:t>conference</w:t>
      </w:r>
      <w:r w:rsidRPr="00392469">
        <w:rPr>
          <w:rFonts w:eastAsia="Calibri"/>
          <w:szCs w:val="28"/>
        </w:rPr>
        <w:t xml:space="preserve"> «</w:t>
      </w:r>
      <w:r w:rsidRPr="00392469">
        <w:rPr>
          <w:rFonts w:eastAsia="Calibri"/>
          <w:szCs w:val="28"/>
          <w:lang w:val="en-US"/>
        </w:rPr>
        <w:t>Perspectives</w:t>
      </w:r>
      <w:r w:rsidRPr="00392469">
        <w:rPr>
          <w:rFonts w:eastAsia="Calibri"/>
          <w:szCs w:val="28"/>
        </w:rPr>
        <w:t xml:space="preserve"> </w:t>
      </w:r>
      <w:r w:rsidRPr="00392469">
        <w:rPr>
          <w:rFonts w:eastAsia="Calibri"/>
          <w:szCs w:val="28"/>
          <w:lang w:val="en-US"/>
        </w:rPr>
        <w:t>of</w:t>
      </w:r>
      <w:r w:rsidRPr="00392469">
        <w:rPr>
          <w:rFonts w:eastAsia="Calibri"/>
          <w:szCs w:val="28"/>
        </w:rPr>
        <w:t xml:space="preserve"> </w:t>
      </w:r>
      <w:r w:rsidRPr="00392469">
        <w:rPr>
          <w:rFonts w:eastAsia="Calibri"/>
          <w:szCs w:val="28"/>
          <w:lang w:val="en-US"/>
        </w:rPr>
        <w:t>science</w:t>
      </w:r>
      <w:r w:rsidRPr="00392469">
        <w:rPr>
          <w:rFonts w:eastAsia="Calibri"/>
          <w:szCs w:val="28"/>
        </w:rPr>
        <w:t xml:space="preserve"> </w:t>
      </w:r>
      <w:r w:rsidRPr="00392469">
        <w:rPr>
          <w:rFonts w:eastAsia="Calibri"/>
          <w:szCs w:val="28"/>
          <w:lang w:val="en-US"/>
        </w:rPr>
        <w:t>and</w:t>
      </w:r>
      <w:r w:rsidRPr="00392469">
        <w:rPr>
          <w:rFonts w:eastAsia="Calibri"/>
          <w:szCs w:val="28"/>
        </w:rPr>
        <w:t xml:space="preserve"> </w:t>
      </w:r>
      <w:r w:rsidRPr="00392469">
        <w:rPr>
          <w:rFonts w:eastAsia="Calibri"/>
          <w:szCs w:val="28"/>
          <w:lang w:val="en-US"/>
        </w:rPr>
        <w:t>educational</w:t>
      </w:r>
      <w:r w:rsidRPr="00392469">
        <w:rPr>
          <w:rFonts w:eastAsia="Calibri"/>
          <w:szCs w:val="28"/>
        </w:rPr>
        <w:t>» (</w:t>
      </w:r>
      <w:r w:rsidRPr="00392469">
        <w:rPr>
          <w:rFonts w:eastAsia="Calibri"/>
          <w:szCs w:val="28"/>
          <w:lang w:val="en-US"/>
        </w:rPr>
        <w:t>October</w:t>
      </w:r>
      <w:r w:rsidRPr="00392469">
        <w:rPr>
          <w:rFonts w:eastAsia="Calibri"/>
          <w:szCs w:val="28"/>
        </w:rPr>
        <w:t xml:space="preserve"> 19, 2018, </w:t>
      </w:r>
      <w:r w:rsidRPr="00392469">
        <w:rPr>
          <w:rFonts w:eastAsia="Calibri"/>
          <w:szCs w:val="28"/>
          <w:lang w:val="en-US"/>
        </w:rPr>
        <w:t>New</w:t>
      </w:r>
      <w:r w:rsidRPr="00392469">
        <w:rPr>
          <w:rFonts w:eastAsia="Calibri"/>
          <w:szCs w:val="28"/>
        </w:rPr>
        <w:t xml:space="preserve"> </w:t>
      </w:r>
      <w:r w:rsidRPr="00392469">
        <w:rPr>
          <w:rFonts w:eastAsia="Calibri"/>
          <w:szCs w:val="28"/>
          <w:lang w:val="en-US"/>
        </w:rPr>
        <w:t>York</w:t>
      </w:r>
      <w:r w:rsidRPr="00392469">
        <w:rPr>
          <w:rFonts w:eastAsia="Calibri"/>
          <w:szCs w:val="28"/>
        </w:rPr>
        <w:t>, USA), VIII Міжнародний медичний конгрес (17–19 квітня 2019 р., Київ), Proceedings of articles the international scientific conference (27 June 2019, Karlovy Vary, Czech Republic, Kyiv, Ukraine),</w:t>
      </w:r>
      <w:r w:rsidRPr="00392469">
        <w:rPr>
          <w:rFonts w:eastAsia="Times New Roman"/>
          <w:szCs w:val="28"/>
          <w:lang w:eastAsia="uk-UA"/>
        </w:rPr>
        <w:t xml:space="preserve"> </w:t>
      </w:r>
      <w:r w:rsidRPr="00392469">
        <w:rPr>
          <w:rFonts w:eastAsia="Calibri"/>
          <w:szCs w:val="28"/>
        </w:rPr>
        <w:t>науково-практичній конференції з міжнародною участю «Актуальні педіатричні питання гром</w:t>
      </w:r>
      <w:r w:rsidR="001970C6">
        <w:rPr>
          <w:rFonts w:eastAsia="Calibri"/>
          <w:szCs w:val="28"/>
        </w:rPr>
        <w:t xml:space="preserve">адського здоров’я» (31 жовтня–1 </w:t>
      </w:r>
      <w:r w:rsidRPr="00392469">
        <w:rPr>
          <w:rFonts w:eastAsia="Calibri"/>
          <w:szCs w:val="28"/>
        </w:rPr>
        <w:t xml:space="preserve">листопада 2019 р., м. Полтава), науково-практичній конференції з міжнародною участю «Актуальні питання розвитку системи надання освітніх, соціальних, медичних, абілітаційних/реабілітаційних послуг особам з інвалідністю» в рамках забезпечення </w:t>
      </w:r>
      <w:r w:rsidRPr="00392469">
        <w:rPr>
          <w:rFonts w:eastAsia="Calibri"/>
          <w:szCs w:val="28"/>
        </w:rPr>
        <w:lastRenderedPageBreak/>
        <w:t>виконання плану заходів з реалізації другого етапу Національної стратегії реформування системи інституційного догляду та вихова</w:t>
      </w:r>
      <w:r w:rsidR="00D23406">
        <w:rPr>
          <w:rFonts w:eastAsia="Calibri"/>
          <w:szCs w:val="28"/>
        </w:rPr>
        <w:t>ння дітей на 2017-2026 роки (23–</w:t>
      </w:r>
      <w:r w:rsidRPr="00392469">
        <w:rPr>
          <w:rFonts w:eastAsia="Calibri"/>
          <w:szCs w:val="28"/>
        </w:rPr>
        <w:t>25 вересня 2020 р., м. Ужгород); Всеукраїнській науково-практичній онлайн-конференції з міжнародною участю «ІІ Полтавські перинатальні читання ім.</w:t>
      </w:r>
      <w:r w:rsidR="008B3D25">
        <w:rPr>
          <w:rFonts w:eastAsia="Calibri"/>
          <w:szCs w:val="28"/>
        </w:rPr>
        <w:t> </w:t>
      </w:r>
      <w:r w:rsidRPr="00392469">
        <w:rPr>
          <w:rFonts w:eastAsia="Calibri"/>
          <w:szCs w:val="28"/>
        </w:rPr>
        <w:t>Н.М. Максимовича-Амбодика», присвячена 100-річчю Української медичної стоматологічної</w:t>
      </w:r>
      <w:r w:rsidRPr="00D23406">
        <w:rPr>
          <w:rFonts w:eastAsia="Calibri"/>
          <w:szCs w:val="28"/>
        </w:rPr>
        <w:t xml:space="preserve"> </w:t>
      </w:r>
      <w:r w:rsidRPr="00392469">
        <w:rPr>
          <w:rFonts w:eastAsia="Calibri"/>
          <w:szCs w:val="28"/>
        </w:rPr>
        <w:t>академії</w:t>
      </w:r>
      <w:r w:rsidRPr="00D23406">
        <w:rPr>
          <w:rFonts w:eastAsia="Calibri"/>
          <w:szCs w:val="28"/>
        </w:rPr>
        <w:t xml:space="preserve"> </w:t>
      </w:r>
      <w:r w:rsidRPr="00392469">
        <w:rPr>
          <w:rFonts w:eastAsia="Calibri"/>
          <w:szCs w:val="28"/>
        </w:rPr>
        <w:t>«</w:t>
      </w:r>
      <w:r w:rsidRPr="00D23406">
        <w:rPr>
          <w:rFonts w:eastAsia="Calibri"/>
          <w:szCs w:val="28"/>
        </w:rPr>
        <w:t xml:space="preserve">Перинатальна </w:t>
      </w:r>
      <w:r w:rsidRPr="00392469">
        <w:rPr>
          <w:rFonts w:eastAsia="Calibri"/>
          <w:szCs w:val="28"/>
        </w:rPr>
        <w:t>допомога в умовах реформування системи охорони здоров’я України: проблеми і перспективи</w:t>
      </w:r>
      <w:r w:rsidR="007079AD">
        <w:rPr>
          <w:rFonts w:eastAsia="Calibri"/>
          <w:szCs w:val="28"/>
          <w:lang w:val="ru-RU"/>
        </w:rPr>
        <w:t>» (27–</w:t>
      </w:r>
      <w:r w:rsidRPr="00392469">
        <w:rPr>
          <w:rFonts w:eastAsia="Calibri"/>
          <w:szCs w:val="28"/>
          <w:lang w:val="ru-RU"/>
        </w:rPr>
        <w:t>28 листопада 2020</w:t>
      </w:r>
      <w:r w:rsidRPr="00392469">
        <w:rPr>
          <w:rFonts w:eastAsia="Calibri"/>
          <w:szCs w:val="28"/>
        </w:rPr>
        <w:t> </w:t>
      </w:r>
      <w:r w:rsidRPr="00392469">
        <w:rPr>
          <w:rFonts w:eastAsia="Calibri"/>
          <w:szCs w:val="28"/>
          <w:lang w:val="ru-RU"/>
        </w:rPr>
        <w:t xml:space="preserve">р., </w:t>
      </w:r>
      <w:r w:rsidRPr="00392469">
        <w:rPr>
          <w:rFonts w:eastAsia="Calibri"/>
          <w:szCs w:val="28"/>
        </w:rPr>
        <w:t>м. </w:t>
      </w:r>
      <w:proofErr w:type="gramStart"/>
      <w:r w:rsidRPr="00392469">
        <w:rPr>
          <w:rFonts w:eastAsia="Calibri"/>
          <w:szCs w:val="28"/>
          <w:lang w:val="ru-RU"/>
        </w:rPr>
        <w:t>Полтава);</w:t>
      </w:r>
      <w:proofErr w:type="gramEnd"/>
    </w:p>
    <w:p w:rsidR="00392469" w:rsidRPr="00392469" w:rsidRDefault="00392469" w:rsidP="00392469">
      <w:pPr>
        <w:widowControl w:val="0"/>
        <w:autoSpaceDE w:val="0"/>
        <w:autoSpaceDN w:val="0"/>
        <w:adjustRightInd w:val="0"/>
        <w:ind w:firstLine="567"/>
        <w:rPr>
          <w:rFonts w:eastAsia="Times New Roman"/>
          <w:szCs w:val="28"/>
          <w:lang w:eastAsia="uk-UA"/>
        </w:rPr>
      </w:pPr>
      <w:r>
        <w:rPr>
          <w:rFonts w:eastAsia="Times New Roman"/>
          <w:szCs w:val="28"/>
          <w:lang w:val="ru-RU" w:eastAsia="uk-UA"/>
        </w:rPr>
        <w:t xml:space="preserve">- </w:t>
      </w:r>
      <w:r w:rsidRPr="00392469">
        <w:rPr>
          <w:rFonts w:eastAsia="Calibri"/>
          <w:i/>
          <w:szCs w:val="28"/>
        </w:rPr>
        <w:t xml:space="preserve"> національному</w:t>
      </w:r>
      <w:r w:rsidRPr="00392469">
        <w:rPr>
          <w:rFonts w:eastAsia="Calibri"/>
          <w:szCs w:val="28"/>
        </w:rPr>
        <w:t>: Третій національній науково-практичній конференції «За кожне життя разом: пр</w:t>
      </w:r>
      <w:r w:rsidR="00AB0BE3">
        <w:rPr>
          <w:rFonts w:eastAsia="Calibri"/>
          <w:szCs w:val="28"/>
        </w:rPr>
        <w:t>искорення до мети 90-90-90» (21–</w:t>
      </w:r>
      <w:r w:rsidRPr="00392469">
        <w:rPr>
          <w:rFonts w:eastAsia="Calibri"/>
          <w:szCs w:val="28"/>
        </w:rPr>
        <w:t>23 листопада 2016 р., м. Київ); 71-шій підсумковій науковій конференції професорсько-викладацького складу ДВНЗ</w:t>
      </w:r>
      <w:r w:rsidR="00C04E43">
        <w:rPr>
          <w:rFonts w:eastAsia="Calibri"/>
          <w:szCs w:val="28"/>
        </w:rPr>
        <w:t> </w:t>
      </w:r>
      <w:r w:rsidRPr="00392469">
        <w:rPr>
          <w:rFonts w:eastAsia="Calibri"/>
          <w:szCs w:val="28"/>
        </w:rPr>
        <w:t>«Ужгородський національний університет» (27–28 лютого 2017 р., Ужгород, Україна); 72-гій підсумковій науковій конференцій професорсько-викладацького складу УжНУ</w:t>
      </w:r>
      <w:r w:rsidR="008F3B10">
        <w:rPr>
          <w:rFonts w:eastAsia="Calibri"/>
          <w:szCs w:val="28"/>
        </w:rPr>
        <w:t> </w:t>
      </w:r>
      <w:r w:rsidRPr="00392469">
        <w:rPr>
          <w:rFonts w:eastAsia="Calibri"/>
          <w:szCs w:val="28"/>
        </w:rPr>
        <w:t>/</w:t>
      </w:r>
      <w:r w:rsidR="008F3B10">
        <w:rPr>
          <w:rFonts w:eastAsia="Calibri"/>
          <w:szCs w:val="28"/>
        </w:rPr>
        <w:t> </w:t>
      </w:r>
      <w:r w:rsidRPr="00392469">
        <w:rPr>
          <w:rFonts w:eastAsia="Calibri"/>
          <w:szCs w:val="28"/>
        </w:rPr>
        <w:t>МОН України «Маркери оцінки якості життя через п</w:t>
      </w:r>
      <w:r w:rsidR="00AB0BE3">
        <w:rPr>
          <w:rFonts w:eastAsia="Calibri"/>
          <w:szCs w:val="28"/>
        </w:rPr>
        <w:t>ризму громадського здоров’я» (8–</w:t>
      </w:r>
      <w:r w:rsidRPr="00392469">
        <w:rPr>
          <w:rFonts w:eastAsia="Calibri"/>
          <w:szCs w:val="28"/>
        </w:rPr>
        <w:t xml:space="preserve">9 листопада 2018 р., м. Ужгород). </w:t>
      </w:r>
    </w:p>
    <w:p w:rsidR="00392469" w:rsidRPr="00392469" w:rsidRDefault="00392469" w:rsidP="00392469">
      <w:pPr>
        <w:widowControl w:val="0"/>
        <w:ind w:firstLine="709"/>
        <w:rPr>
          <w:rFonts w:eastAsia="TimesNewRoman"/>
          <w:szCs w:val="28"/>
          <w:lang w:eastAsia="uk-UA"/>
        </w:rPr>
      </w:pPr>
      <w:r w:rsidRPr="00392469">
        <w:rPr>
          <w:rFonts w:eastAsia="Times New Roman"/>
          <w:b/>
          <w:szCs w:val="28"/>
          <w:lang w:eastAsia="uk-UA"/>
        </w:rPr>
        <w:t xml:space="preserve">Публікації. </w:t>
      </w:r>
      <w:r w:rsidRPr="00392469">
        <w:rPr>
          <w:rFonts w:eastAsia="Times New Roman"/>
          <w:szCs w:val="28"/>
          <w:lang w:eastAsia="uk-UA"/>
        </w:rPr>
        <w:t>За матеріалами</w:t>
      </w:r>
      <w:r w:rsidRPr="00392469">
        <w:rPr>
          <w:rFonts w:eastAsia="Times New Roman"/>
          <w:b/>
          <w:szCs w:val="28"/>
          <w:lang w:eastAsia="uk-UA"/>
        </w:rPr>
        <w:t xml:space="preserve"> </w:t>
      </w:r>
      <w:r w:rsidRPr="00392469">
        <w:rPr>
          <w:rFonts w:eastAsia="TimesNewRoman"/>
          <w:szCs w:val="28"/>
          <w:lang w:eastAsia="uk-UA"/>
        </w:rPr>
        <w:t xml:space="preserve">дисертації опубліковано 46 наукових праць: праці, в яких опубліковано основні результати дослідження – 27, у тому числі 19 статей у фахових виданнях, регламентованих МОН України (з них – 11 одноосібні), 6 статей – в іноземних виданнях, 2 монографії (1 у зарубіжному виданні); праці апробаційного характеру – 17 тез у матеріалах конференцій, симпозіумів, конгресів, з’їздів, семінарів; праці, які додатково відображають результати дисертації – 2, зокрема 1 стаття у іноземному виданні та 1 методичні рекомендації. </w:t>
      </w:r>
    </w:p>
    <w:p w:rsidR="00392469" w:rsidRPr="00392469" w:rsidRDefault="00392469" w:rsidP="00392469">
      <w:pPr>
        <w:widowControl w:val="0"/>
        <w:autoSpaceDE w:val="0"/>
        <w:autoSpaceDN w:val="0"/>
        <w:adjustRightInd w:val="0"/>
        <w:ind w:firstLine="709"/>
        <w:rPr>
          <w:rFonts w:eastAsia="Times New Roman"/>
          <w:szCs w:val="28"/>
          <w:lang w:eastAsia="uk-UA"/>
        </w:rPr>
      </w:pPr>
      <w:r w:rsidRPr="00392469">
        <w:rPr>
          <w:rFonts w:eastAsia="Times New Roman"/>
          <w:b/>
          <w:bCs/>
          <w:szCs w:val="28"/>
          <w:lang w:eastAsia="uk-UA"/>
        </w:rPr>
        <w:t xml:space="preserve">Обсяг та структура дисертації. </w:t>
      </w:r>
      <w:r w:rsidRPr="00392469">
        <w:rPr>
          <w:rFonts w:eastAsia="Times New Roman"/>
          <w:bCs/>
          <w:szCs w:val="28"/>
          <w:lang w:eastAsia="uk-UA"/>
        </w:rPr>
        <w:t>Дисертація</w:t>
      </w:r>
      <w:r w:rsidR="00752102">
        <w:rPr>
          <w:rFonts w:eastAsia="Times New Roman"/>
          <w:szCs w:val="28"/>
          <w:lang w:eastAsia="uk-UA"/>
        </w:rPr>
        <w:t xml:space="preserve"> викладена на 490</w:t>
      </w:r>
      <w:r w:rsidRPr="00392469">
        <w:rPr>
          <w:rFonts w:eastAsia="Times New Roman"/>
          <w:szCs w:val="28"/>
          <w:lang w:eastAsia="uk-UA"/>
        </w:rPr>
        <w:t xml:space="preserve"> сторінках друкованого тексту (основний текст – 288 сторінок), складається з анотації, вступу, аналітичного огляду наукової літератури, програми, </w:t>
      </w:r>
      <w:r w:rsidR="00AD5D7A">
        <w:rPr>
          <w:rFonts w:eastAsia="Times New Roman"/>
          <w:szCs w:val="28"/>
          <w:lang w:eastAsia="uk-UA"/>
        </w:rPr>
        <w:t xml:space="preserve">матеріалів, </w:t>
      </w:r>
      <w:r w:rsidRPr="00392469">
        <w:rPr>
          <w:rFonts w:eastAsia="Times New Roman"/>
          <w:szCs w:val="28"/>
          <w:lang w:eastAsia="uk-UA"/>
        </w:rPr>
        <w:t>методів і обсягів дослід</w:t>
      </w:r>
      <w:r w:rsidR="00CF4959">
        <w:rPr>
          <w:rFonts w:eastAsia="Times New Roman"/>
          <w:szCs w:val="28"/>
          <w:lang w:eastAsia="uk-UA"/>
        </w:rPr>
        <w:t>ження</w:t>
      </w:r>
      <w:r w:rsidRPr="00392469">
        <w:rPr>
          <w:rFonts w:eastAsia="Times New Roman"/>
          <w:szCs w:val="28"/>
          <w:lang w:eastAsia="uk-UA"/>
        </w:rPr>
        <w:t xml:space="preserve">, 6 розділів власних досліджень, висновків, </w:t>
      </w:r>
      <w:r w:rsidR="00D70298">
        <w:rPr>
          <w:rFonts w:eastAsia="Times New Roman"/>
          <w:szCs w:val="28"/>
          <w:lang w:eastAsia="uk-UA"/>
        </w:rPr>
        <w:t xml:space="preserve">практичних рекомендацій, </w:t>
      </w:r>
      <w:r w:rsidRPr="00392469">
        <w:rPr>
          <w:rFonts w:eastAsia="Times New Roman"/>
          <w:szCs w:val="28"/>
          <w:lang w:eastAsia="uk-UA"/>
        </w:rPr>
        <w:t>списку використаних джерел (372 джерела, 93 кирилицею, 279 латиницею) та 78 додатків. Робота ілюстрована 48 таблицями та 48 рисунками.</w:t>
      </w:r>
    </w:p>
    <w:p w:rsidR="00323DA9" w:rsidRPr="005B22B6" w:rsidRDefault="00F43822" w:rsidP="005B22B6">
      <w:pPr>
        <w:jc w:val="center"/>
        <w:rPr>
          <w:rFonts w:eastAsia="TimesNewRoman"/>
          <w:color w:val="FF0000"/>
          <w:szCs w:val="28"/>
        </w:rPr>
      </w:pPr>
      <w:r>
        <w:rPr>
          <w:rFonts w:eastAsia="TimesNewRoman"/>
          <w:color w:val="FF0000"/>
          <w:szCs w:val="28"/>
        </w:rPr>
        <w:br w:type="page"/>
      </w:r>
      <w:r w:rsidR="00323DA9" w:rsidRPr="00006A39">
        <w:rPr>
          <w:rFonts w:eastAsia="Calibri"/>
          <w:b/>
          <w:szCs w:val="28"/>
        </w:rPr>
        <w:lastRenderedPageBreak/>
        <w:t>РОЗДІЛ 1</w:t>
      </w:r>
    </w:p>
    <w:p w:rsidR="00323DA9" w:rsidRPr="003106A8" w:rsidRDefault="008011AE" w:rsidP="003106A8">
      <w:pPr>
        <w:widowControl w:val="0"/>
        <w:spacing w:after="240"/>
        <w:jc w:val="center"/>
        <w:rPr>
          <w:rFonts w:eastAsia="Calibri"/>
          <w:b/>
          <w:szCs w:val="28"/>
        </w:rPr>
      </w:pPr>
      <w:r w:rsidRPr="008011AE">
        <w:rPr>
          <w:rFonts w:eastAsia="Calibri"/>
          <w:b/>
          <w:szCs w:val="28"/>
        </w:rPr>
        <w:t>Д</w:t>
      </w:r>
      <w:r w:rsidRPr="00A67438">
        <w:rPr>
          <w:rFonts w:eastAsia="Calibri"/>
          <w:b/>
          <w:szCs w:val="28"/>
        </w:rPr>
        <w:t>ИТЯЧА СМЕРТНІСТЬ ЯК ІНТЕГРАЛЬНИЙ ПОКАЗНИК</w:t>
      </w:r>
      <w:r w:rsidRPr="008011AE">
        <w:rPr>
          <w:rFonts w:eastAsia="Calibri"/>
          <w:b/>
          <w:szCs w:val="28"/>
        </w:rPr>
        <w:t xml:space="preserve">, ЩО ХАРАКТЕРИЗУЄ СТАН МЕДИКО-СОЦІАЛЬНОЇ ДОПОМОГИ ДИТЯЧОМУ НАСЕЛЕННЮ </w:t>
      </w:r>
      <w:r w:rsidR="00323DA9" w:rsidRPr="00006A39">
        <w:rPr>
          <w:rFonts w:eastAsia="Calibri"/>
          <w:b/>
          <w:szCs w:val="28"/>
        </w:rPr>
        <w:t>(аналітичний огляд наукової літератури)</w:t>
      </w:r>
    </w:p>
    <w:p w:rsidR="004C7A03" w:rsidRPr="00110032" w:rsidRDefault="00323DA9" w:rsidP="00110032">
      <w:pPr>
        <w:widowControl w:val="0"/>
        <w:ind w:firstLine="709"/>
        <w:rPr>
          <w:rFonts w:eastAsia="Times New Roman"/>
          <w:color w:val="000000" w:themeColor="text1"/>
          <w:szCs w:val="28"/>
          <w:lang w:eastAsia="ru-RU"/>
        </w:rPr>
      </w:pPr>
      <w:r w:rsidRPr="00006A39">
        <w:rPr>
          <w:rFonts w:eastAsia="Times New Roman"/>
          <w:szCs w:val="28"/>
          <w:lang w:eastAsia="ru-RU"/>
        </w:rPr>
        <w:t xml:space="preserve">Незмінним індикатором рівня </w:t>
      </w:r>
      <w:r w:rsidR="007D60EE">
        <w:rPr>
          <w:rFonts w:eastAsia="Times New Roman"/>
          <w:szCs w:val="28"/>
          <w:lang w:eastAsia="ru-RU"/>
        </w:rPr>
        <w:t xml:space="preserve">і якості життя, стану здоров'я </w:t>
      </w:r>
      <w:r w:rsidRPr="00006A39">
        <w:rPr>
          <w:rFonts w:eastAsia="Times New Roman"/>
          <w:szCs w:val="28"/>
          <w:lang w:eastAsia="ru-RU"/>
        </w:rPr>
        <w:t xml:space="preserve">населення, своєчасності, доступності, адекватності медичної допомоги виступає рівень дитячої смертності, особливо це стосується показників малюкової смертності та смертності дітей </w:t>
      </w:r>
      <w:r w:rsidR="00AD0383">
        <w:rPr>
          <w:rFonts w:eastAsia="Times New Roman"/>
          <w:color w:val="000000" w:themeColor="text1"/>
          <w:szCs w:val="28"/>
          <w:lang w:eastAsia="ru-RU"/>
        </w:rPr>
        <w:t xml:space="preserve">у віці до </w:t>
      </w:r>
      <w:r w:rsidR="007D60EE">
        <w:rPr>
          <w:rFonts w:eastAsia="Times New Roman"/>
          <w:color w:val="000000" w:themeColor="text1"/>
          <w:szCs w:val="28"/>
          <w:lang w:eastAsia="ru-RU"/>
        </w:rPr>
        <w:t>5</w:t>
      </w:r>
      <w:r w:rsidRPr="00EA77E3">
        <w:rPr>
          <w:rFonts w:eastAsia="Times New Roman"/>
          <w:color w:val="000000" w:themeColor="text1"/>
          <w:szCs w:val="28"/>
          <w:lang w:eastAsia="ru-RU"/>
        </w:rPr>
        <w:t xml:space="preserve"> років життя. Більш ніж половина з випадків с</w:t>
      </w:r>
      <w:r w:rsidR="00AD0383">
        <w:rPr>
          <w:rFonts w:eastAsia="Times New Roman"/>
          <w:color w:val="000000" w:themeColor="text1"/>
          <w:szCs w:val="28"/>
          <w:lang w:eastAsia="ru-RU"/>
        </w:rPr>
        <w:t xml:space="preserve">мерті серед дітей у віці до </w:t>
      </w:r>
      <w:r w:rsidR="007D60EE">
        <w:rPr>
          <w:rFonts w:eastAsia="Times New Roman"/>
          <w:color w:val="000000" w:themeColor="text1"/>
          <w:szCs w:val="28"/>
          <w:lang w:val="ru-RU" w:eastAsia="ru-RU"/>
        </w:rPr>
        <w:t>5</w:t>
      </w:r>
      <w:r w:rsidRPr="00EA77E3">
        <w:rPr>
          <w:rFonts w:eastAsia="Times New Roman"/>
          <w:color w:val="000000" w:themeColor="text1"/>
          <w:szCs w:val="28"/>
          <w:lang w:eastAsia="ru-RU"/>
        </w:rPr>
        <w:t xml:space="preserve"> років – це випадки смерті дітей раннього віку, які можна було попередити </w:t>
      </w:r>
      <w:r w:rsidR="00AD0383">
        <w:rPr>
          <w:rFonts w:eastAsia="Times New Roman"/>
          <w:color w:val="000000" w:themeColor="text1"/>
          <w:szCs w:val="28"/>
          <w:lang w:val="ru-RU" w:eastAsia="ru-RU"/>
        </w:rPr>
        <w:t xml:space="preserve">або </w:t>
      </w:r>
      <w:r w:rsidR="00AD0383">
        <w:rPr>
          <w:rFonts w:eastAsia="Times New Roman"/>
          <w:color w:val="000000" w:themeColor="text1"/>
          <w:szCs w:val="28"/>
          <w:lang w:eastAsia="ru-RU"/>
        </w:rPr>
        <w:t xml:space="preserve">лікувати </w:t>
      </w:r>
      <w:r w:rsidRPr="00EA77E3">
        <w:rPr>
          <w:rFonts w:eastAsia="Times New Roman"/>
          <w:color w:val="000000" w:themeColor="text1"/>
          <w:szCs w:val="28"/>
          <w:lang w:eastAsia="ru-RU"/>
        </w:rPr>
        <w:t>при наявності доступу до ефективних, простих та доступних по вартості заходів [</w:t>
      </w:r>
      <w:r w:rsidR="00284E43" w:rsidRPr="00284E43">
        <w:rPr>
          <w:rFonts w:eastAsia="Times New Roman"/>
          <w:color w:val="000000" w:themeColor="text1"/>
          <w:szCs w:val="28"/>
          <w:lang w:val="ru-RU" w:eastAsia="ru-RU"/>
        </w:rPr>
        <w:t>6</w:t>
      </w:r>
      <w:r w:rsidR="002E78B5" w:rsidRPr="00AD0383">
        <w:rPr>
          <w:rFonts w:eastAsia="Times New Roman"/>
          <w:color w:val="000000" w:themeColor="text1"/>
          <w:szCs w:val="28"/>
          <w:lang w:eastAsia="ru-RU"/>
        </w:rPr>
        <w:t>, 42-44</w:t>
      </w:r>
      <w:r w:rsidRPr="00EA77E3">
        <w:rPr>
          <w:rFonts w:eastAsia="Times New Roman"/>
          <w:color w:val="000000" w:themeColor="text1"/>
          <w:szCs w:val="28"/>
          <w:lang w:eastAsia="ru-RU"/>
        </w:rPr>
        <w:t>].</w:t>
      </w:r>
      <w:r w:rsidRPr="00EA77E3">
        <w:rPr>
          <w:rFonts w:ascii="Calibri" w:eastAsia="Calibri" w:hAnsi="Calibri"/>
          <w:color w:val="000000" w:themeColor="text1"/>
          <w:sz w:val="22"/>
        </w:rPr>
        <w:t xml:space="preserve"> </w:t>
      </w:r>
      <w:r w:rsidRPr="00EA77E3">
        <w:rPr>
          <w:rFonts w:eastAsia="Times New Roman"/>
          <w:color w:val="000000" w:themeColor="text1"/>
          <w:szCs w:val="28"/>
          <w:lang w:eastAsia="ru-RU"/>
        </w:rPr>
        <w:t>Всі цивілізовані держави у світі опікуються питанням охорони здоров'я матерів, новонароджених, дітей та підлітк</w:t>
      </w:r>
      <w:r w:rsidR="00D56971">
        <w:rPr>
          <w:rFonts w:eastAsia="Times New Roman"/>
          <w:color w:val="000000" w:themeColor="text1"/>
          <w:szCs w:val="28"/>
          <w:lang w:eastAsia="ru-RU"/>
        </w:rPr>
        <w:t>ів, яке займає центральне місце</w:t>
      </w:r>
      <w:r w:rsidRPr="00EA77E3">
        <w:rPr>
          <w:rFonts w:eastAsia="Times New Roman"/>
          <w:color w:val="000000" w:themeColor="text1"/>
          <w:szCs w:val="28"/>
          <w:lang w:eastAsia="ru-RU"/>
        </w:rPr>
        <w:t xml:space="preserve"> в</w:t>
      </w:r>
      <w:r w:rsidR="006A7FAC">
        <w:rPr>
          <w:rFonts w:eastAsia="Times New Roman"/>
          <w:color w:val="000000" w:themeColor="text1"/>
          <w:szCs w:val="28"/>
          <w:lang w:eastAsia="ru-RU"/>
        </w:rPr>
        <w:t xml:space="preserve"> зв’язку з тим, що благополуччя</w:t>
      </w:r>
      <w:r w:rsidRPr="00EA77E3">
        <w:rPr>
          <w:rFonts w:eastAsia="Times New Roman"/>
          <w:color w:val="000000" w:themeColor="text1"/>
          <w:szCs w:val="28"/>
          <w:lang w:eastAsia="ru-RU"/>
        </w:rPr>
        <w:t xml:space="preserve"> вищезазначених категорій населення є основою для отримання здорових майбутніх поколінь [</w:t>
      </w:r>
      <w:r w:rsidR="00284E43" w:rsidRPr="00284E43">
        <w:rPr>
          <w:rFonts w:eastAsia="Times New Roman"/>
          <w:color w:val="000000" w:themeColor="text1"/>
          <w:szCs w:val="28"/>
          <w:lang w:eastAsia="ru-RU"/>
        </w:rPr>
        <w:t>6</w:t>
      </w:r>
      <w:r w:rsidR="008918B9" w:rsidRPr="008918B9">
        <w:rPr>
          <w:rFonts w:eastAsia="Times New Roman"/>
          <w:color w:val="000000" w:themeColor="text1"/>
          <w:szCs w:val="28"/>
          <w:lang w:eastAsia="ru-RU"/>
        </w:rPr>
        <w:t xml:space="preserve">, </w:t>
      </w:r>
      <w:r w:rsidR="00284E43" w:rsidRPr="00284E43">
        <w:rPr>
          <w:rFonts w:eastAsia="Times New Roman"/>
          <w:color w:val="000000" w:themeColor="text1"/>
          <w:szCs w:val="28"/>
          <w:lang w:eastAsia="ru-RU"/>
        </w:rPr>
        <w:t>12, 25</w:t>
      </w:r>
      <w:r w:rsidR="008918B9" w:rsidRPr="008918B9">
        <w:rPr>
          <w:rFonts w:eastAsia="Times New Roman"/>
          <w:color w:val="000000" w:themeColor="text1"/>
          <w:szCs w:val="28"/>
          <w:lang w:eastAsia="ru-RU"/>
        </w:rPr>
        <w:t>, 43, 45</w:t>
      </w:r>
      <w:r w:rsidR="008918B9">
        <w:rPr>
          <w:rFonts w:eastAsia="Times New Roman"/>
          <w:color w:val="000000" w:themeColor="text1"/>
          <w:szCs w:val="28"/>
          <w:lang w:eastAsia="ru-RU"/>
        </w:rPr>
        <w:t>-5</w:t>
      </w:r>
      <w:r w:rsidR="008918B9" w:rsidRPr="008918B9">
        <w:rPr>
          <w:rFonts w:eastAsia="Times New Roman"/>
          <w:color w:val="000000" w:themeColor="text1"/>
          <w:szCs w:val="28"/>
          <w:lang w:eastAsia="ru-RU"/>
        </w:rPr>
        <w:t>4</w:t>
      </w:r>
      <w:r w:rsidRPr="00EA77E3">
        <w:rPr>
          <w:rFonts w:eastAsia="Times New Roman"/>
          <w:color w:val="000000" w:themeColor="text1"/>
          <w:szCs w:val="28"/>
          <w:lang w:eastAsia="ru-RU"/>
        </w:rPr>
        <w:t>].</w:t>
      </w:r>
    </w:p>
    <w:p w:rsidR="00323DA9" w:rsidRPr="00E9037A" w:rsidRDefault="00682B7E" w:rsidP="00110032">
      <w:pPr>
        <w:pStyle w:val="a5"/>
        <w:widowControl w:val="0"/>
        <w:numPr>
          <w:ilvl w:val="1"/>
          <w:numId w:val="19"/>
        </w:numPr>
        <w:spacing w:before="240" w:after="240"/>
        <w:jc w:val="left"/>
        <w:rPr>
          <w:rFonts w:eastAsia="Calibri"/>
          <w:b/>
          <w:szCs w:val="28"/>
        </w:rPr>
      </w:pPr>
      <w:r w:rsidRPr="00E9037A">
        <w:rPr>
          <w:rFonts w:eastAsia="Calibri"/>
          <w:b/>
          <w:szCs w:val="28"/>
        </w:rPr>
        <w:t>Стан та тенденції</w:t>
      </w:r>
      <w:r w:rsidR="00850E5D" w:rsidRPr="00E9037A">
        <w:rPr>
          <w:rFonts w:eastAsia="Calibri"/>
          <w:b/>
          <w:szCs w:val="28"/>
        </w:rPr>
        <w:t xml:space="preserve"> </w:t>
      </w:r>
      <w:r w:rsidR="00B27016" w:rsidRPr="00E9037A">
        <w:rPr>
          <w:rFonts w:eastAsia="Calibri"/>
          <w:b/>
          <w:szCs w:val="28"/>
          <w:lang w:val="ru-RU"/>
        </w:rPr>
        <w:t xml:space="preserve"> показника </w:t>
      </w:r>
      <w:r w:rsidR="00850E5D" w:rsidRPr="00E9037A">
        <w:rPr>
          <w:rFonts w:eastAsia="Calibri"/>
          <w:b/>
          <w:szCs w:val="28"/>
        </w:rPr>
        <w:t>дитячої смертності  в світі та Україні</w:t>
      </w:r>
    </w:p>
    <w:p w:rsidR="00323DA9" w:rsidRPr="00EA77E3" w:rsidRDefault="00323DA9" w:rsidP="00721203">
      <w:pPr>
        <w:widowControl w:val="0"/>
        <w:ind w:firstLine="709"/>
        <w:rPr>
          <w:rFonts w:eastAsia="Calibri"/>
          <w:color w:val="000000" w:themeColor="text1"/>
          <w:szCs w:val="28"/>
        </w:rPr>
      </w:pPr>
      <w:r w:rsidRPr="00EA77E3">
        <w:rPr>
          <w:rFonts w:eastAsia="Calibri"/>
          <w:color w:val="000000" w:themeColor="text1"/>
          <w:szCs w:val="28"/>
        </w:rPr>
        <w:t>В демог</w:t>
      </w:r>
      <w:r w:rsidR="00E74652">
        <w:rPr>
          <w:rFonts w:eastAsia="Calibri"/>
          <w:color w:val="000000" w:themeColor="text1"/>
          <w:szCs w:val="28"/>
        </w:rPr>
        <w:t>рафії європейських країн термін</w:t>
      </w:r>
      <w:r w:rsidRPr="00EA77E3">
        <w:rPr>
          <w:rFonts w:eastAsia="Calibri"/>
          <w:color w:val="000000" w:themeColor="text1"/>
          <w:szCs w:val="28"/>
        </w:rPr>
        <w:t xml:space="preserve"> «дитяча смертність» </w:t>
      </w:r>
      <w:r w:rsidR="00E74652">
        <w:rPr>
          <w:rFonts w:eastAsia="Calibri"/>
          <w:color w:val="000000" w:themeColor="text1"/>
          <w:szCs w:val="28"/>
        </w:rPr>
        <w:t>вживається</w:t>
      </w:r>
      <w:r w:rsidR="007E6079">
        <w:rPr>
          <w:rFonts w:eastAsia="Calibri"/>
          <w:color w:val="000000" w:themeColor="text1"/>
          <w:szCs w:val="28"/>
        </w:rPr>
        <w:t xml:space="preserve"> до смерті дітей у віці до </w:t>
      </w:r>
      <w:r w:rsidR="007E6079" w:rsidRPr="00415460">
        <w:rPr>
          <w:rFonts w:eastAsia="Calibri"/>
          <w:color w:val="000000" w:themeColor="text1"/>
          <w:szCs w:val="28"/>
        </w:rPr>
        <w:t>5-</w:t>
      </w:r>
      <w:r w:rsidRPr="00EA77E3">
        <w:rPr>
          <w:rFonts w:eastAsia="Calibri"/>
          <w:color w:val="000000" w:themeColor="text1"/>
          <w:szCs w:val="28"/>
        </w:rPr>
        <w:t>ти років (ймовірність</w:t>
      </w:r>
      <w:r w:rsidR="00FA0560">
        <w:rPr>
          <w:rFonts w:eastAsia="Calibri"/>
          <w:color w:val="000000" w:themeColor="text1"/>
          <w:szCs w:val="28"/>
        </w:rPr>
        <w:t xml:space="preserve"> того</w:t>
      </w:r>
      <w:r w:rsidRPr="00EA77E3">
        <w:rPr>
          <w:rFonts w:eastAsia="Calibri"/>
          <w:color w:val="000000" w:themeColor="text1"/>
          <w:szCs w:val="28"/>
        </w:rPr>
        <w:t>, що новонароджена дити</w:t>
      </w:r>
      <w:r w:rsidR="007E6079">
        <w:rPr>
          <w:rFonts w:eastAsia="Calibri"/>
          <w:color w:val="000000" w:themeColor="text1"/>
          <w:szCs w:val="28"/>
        </w:rPr>
        <w:t xml:space="preserve">на помре до досягнення </w:t>
      </w:r>
      <w:r w:rsidR="00415460">
        <w:rPr>
          <w:rFonts w:eastAsia="Calibri"/>
          <w:color w:val="000000" w:themeColor="text1"/>
          <w:szCs w:val="28"/>
        </w:rPr>
        <w:t>п’ятирічного віку</w:t>
      </w:r>
      <w:r w:rsidRPr="00EA77E3">
        <w:rPr>
          <w:rFonts w:eastAsia="Calibri"/>
          <w:color w:val="000000" w:themeColor="text1"/>
          <w:szCs w:val="28"/>
        </w:rPr>
        <w:t xml:space="preserve"> відповідно до існуючих вікових моделей смертності</w:t>
      </w:r>
      <w:r w:rsidR="00FA0560" w:rsidRPr="00FA0560">
        <w:t xml:space="preserve"> </w:t>
      </w:r>
      <w:r w:rsidR="00FA0560">
        <w:rPr>
          <w:rFonts w:eastAsia="Calibri"/>
          <w:color w:val="000000" w:themeColor="text1"/>
          <w:szCs w:val="28"/>
        </w:rPr>
        <w:t>в розрахунку на</w:t>
      </w:r>
      <w:r w:rsidR="00FA0560" w:rsidRPr="00FA0560">
        <w:rPr>
          <w:rFonts w:eastAsia="Calibri"/>
          <w:color w:val="000000" w:themeColor="text1"/>
          <w:szCs w:val="28"/>
        </w:rPr>
        <w:t xml:space="preserve"> 1000 живонароджених</w:t>
      </w:r>
      <w:r w:rsidRPr="00EA77E3">
        <w:rPr>
          <w:rFonts w:eastAsia="Calibri"/>
          <w:color w:val="000000" w:themeColor="text1"/>
          <w:szCs w:val="28"/>
        </w:rPr>
        <w:t xml:space="preserve">), малюкова смертність відноситься </w:t>
      </w:r>
      <w:r w:rsidR="00440342">
        <w:rPr>
          <w:rFonts w:eastAsia="Calibri"/>
          <w:color w:val="000000" w:themeColor="text1"/>
          <w:szCs w:val="28"/>
        </w:rPr>
        <w:t>до смерті дітей у віці до 1</w:t>
      </w:r>
      <w:r w:rsidRPr="00EA77E3">
        <w:rPr>
          <w:rFonts w:eastAsia="Calibri"/>
          <w:color w:val="000000" w:themeColor="text1"/>
          <w:szCs w:val="28"/>
        </w:rPr>
        <w:t xml:space="preserve"> року</w:t>
      </w:r>
      <w:r w:rsidR="00153E19">
        <w:rPr>
          <w:rFonts w:eastAsia="Calibri"/>
          <w:color w:val="000000" w:themeColor="text1"/>
          <w:szCs w:val="28"/>
        </w:rPr>
        <w:t xml:space="preserve"> життя</w:t>
      </w:r>
      <w:r w:rsidRPr="00EA77E3">
        <w:rPr>
          <w:rFonts w:eastAsia="Calibri"/>
          <w:color w:val="000000" w:themeColor="text1"/>
          <w:szCs w:val="28"/>
        </w:rPr>
        <w:t xml:space="preserve"> (число смертей дітей у віці до 1 року</w:t>
      </w:r>
      <w:r w:rsidR="00153E19">
        <w:rPr>
          <w:rFonts w:eastAsia="Calibri"/>
          <w:color w:val="000000" w:themeColor="text1"/>
          <w:szCs w:val="28"/>
        </w:rPr>
        <w:t xml:space="preserve"> в розрахунку на</w:t>
      </w:r>
      <w:r w:rsidR="00440342">
        <w:rPr>
          <w:rFonts w:eastAsia="Calibri"/>
          <w:color w:val="000000" w:themeColor="text1"/>
          <w:szCs w:val="28"/>
        </w:rPr>
        <w:t xml:space="preserve"> 1000 живонароджених) і смертність</w:t>
      </w:r>
      <w:r w:rsidRPr="00EA77E3">
        <w:rPr>
          <w:rFonts w:eastAsia="Calibri"/>
          <w:color w:val="000000" w:themeColor="text1"/>
          <w:szCs w:val="28"/>
        </w:rPr>
        <w:t xml:space="preserve"> новонароджених визначається як смерть протягом перших </w:t>
      </w:r>
      <w:r w:rsidR="006D581E">
        <w:rPr>
          <w:rFonts w:eastAsia="Calibri"/>
          <w:color w:val="000000" w:themeColor="text1"/>
          <w:szCs w:val="28"/>
        </w:rPr>
        <w:t>28 днів життя (0-27 днів</w:t>
      </w:r>
      <w:r w:rsidR="003D4527">
        <w:rPr>
          <w:rFonts w:eastAsia="Calibri"/>
          <w:color w:val="000000" w:themeColor="text1"/>
          <w:szCs w:val="28"/>
          <w:lang w:val="ru-RU"/>
        </w:rPr>
        <w:t xml:space="preserve"> 23 год.</w:t>
      </w:r>
      <w:r w:rsidR="006D581E">
        <w:rPr>
          <w:rFonts w:eastAsia="Calibri"/>
          <w:color w:val="000000" w:themeColor="text1"/>
          <w:szCs w:val="28"/>
        </w:rPr>
        <w:t>) [</w:t>
      </w:r>
      <w:r w:rsidR="006D581E" w:rsidRPr="00415460">
        <w:rPr>
          <w:rFonts w:eastAsia="Calibri"/>
          <w:color w:val="000000" w:themeColor="text1"/>
          <w:szCs w:val="28"/>
        </w:rPr>
        <w:t>55,</w:t>
      </w:r>
      <w:r w:rsidR="00163085" w:rsidRPr="00415460">
        <w:rPr>
          <w:rFonts w:eastAsia="Calibri"/>
          <w:color w:val="000000" w:themeColor="text1"/>
          <w:szCs w:val="28"/>
        </w:rPr>
        <w:t xml:space="preserve"> </w:t>
      </w:r>
      <w:r w:rsidR="006D581E" w:rsidRPr="00415460">
        <w:rPr>
          <w:rFonts w:eastAsia="Calibri"/>
          <w:color w:val="000000" w:themeColor="text1"/>
          <w:szCs w:val="28"/>
        </w:rPr>
        <w:t>56</w:t>
      </w:r>
      <w:r w:rsidRPr="00EA77E3">
        <w:rPr>
          <w:rFonts w:eastAsia="Calibri"/>
          <w:color w:val="000000" w:themeColor="text1"/>
          <w:szCs w:val="28"/>
        </w:rPr>
        <w:t>].</w:t>
      </w:r>
    </w:p>
    <w:p w:rsidR="00323DA9" w:rsidRPr="00EA77E3" w:rsidRDefault="00323DA9" w:rsidP="00721203">
      <w:pPr>
        <w:widowControl w:val="0"/>
        <w:ind w:firstLine="709"/>
        <w:rPr>
          <w:rFonts w:eastAsia="Calibri"/>
          <w:color w:val="000000" w:themeColor="text1"/>
          <w:szCs w:val="28"/>
        </w:rPr>
      </w:pPr>
      <w:r w:rsidRPr="00EA77E3">
        <w:rPr>
          <w:rFonts w:eastAsia="Calibri"/>
          <w:color w:val="000000" w:themeColor="text1"/>
          <w:szCs w:val="28"/>
        </w:rPr>
        <w:t xml:space="preserve">У цілому, за останні два десятиліття було досягнуто </w:t>
      </w:r>
      <w:r w:rsidR="003D4527">
        <w:rPr>
          <w:rFonts w:eastAsia="Calibri"/>
          <w:color w:val="000000" w:themeColor="text1"/>
          <w:szCs w:val="28"/>
        </w:rPr>
        <w:t>величезного прогресу у виживан</w:t>
      </w:r>
      <w:r w:rsidR="003D4527" w:rsidRPr="0012630D">
        <w:rPr>
          <w:rFonts w:eastAsia="Calibri"/>
          <w:color w:val="000000" w:themeColor="text1"/>
          <w:szCs w:val="28"/>
        </w:rPr>
        <w:t>ості</w:t>
      </w:r>
      <w:r w:rsidRPr="00EA77E3">
        <w:rPr>
          <w:rFonts w:eastAsia="Calibri"/>
          <w:color w:val="000000" w:themeColor="text1"/>
          <w:szCs w:val="28"/>
        </w:rPr>
        <w:t xml:space="preserve"> дітей у світі</w:t>
      </w:r>
      <w:r w:rsidR="00981579">
        <w:rPr>
          <w:rFonts w:eastAsia="Calibri"/>
          <w:color w:val="000000" w:themeColor="text1"/>
          <w:szCs w:val="28"/>
        </w:rPr>
        <w:t xml:space="preserve">: </w:t>
      </w:r>
      <w:r w:rsidRPr="00EA77E3">
        <w:rPr>
          <w:rFonts w:eastAsia="Calibri"/>
          <w:color w:val="000000" w:themeColor="text1"/>
          <w:szCs w:val="28"/>
        </w:rPr>
        <w:t>загальна кількість смертей серед дітей і підлітків у віці до 15</w:t>
      </w:r>
      <w:r w:rsidR="006F773B">
        <w:rPr>
          <w:rFonts w:eastAsia="Calibri"/>
          <w:color w:val="000000" w:themeColor="text1"/>
          <w:szCs w:val="28"/>
          <w:lang w:val="en-US"/>
        </w:rPr>
        <w:t> </w:t>
      </w:r>
      <w:r w:rsidRPr="00EA77E3">
        <w:rPr>
          <w:rFonts w:eastAsia="Calibri"/>
          <w:color w:val="000000" w:themeColor="text1"/>
          <w:szCs w:val="28"/>
        </w:rPr>
        <w:t>років</w:t>
      </w:r>
      <w:r w:rsidR="00163085">
        <w:rPr>
          <w:rFonts w:eastAsia="Calibri"/>
          <w:color w:val="000000" w:themeColor="text1"/>
          <w:szCs w:val="28"/>
        </w:rPr>
        <w:t xml:space="preserve"> знизилася на 56% з 14,2 (14,0</w:t>
      </w:r>
      <w:r w:rsidR="00163085" w:rsidRPr="0012630D">
        <w:rPr>
          <w:rFonts w:eastAsia="Calibri"/>
          <w:color w:val="000000" w:themeColor="text1"/>
          <w:szCs w:val="28"/>
        </w:rPr>
        <w:t>-</w:t>
      </w:r>
      <w:r w:rsidRPr="00EA77E3">
        <w:rPr>
          <w:rFonts w:eastAsia="Calibri"/>
          <w:color w:val="000000" w:themeColor="text1"/>
          <w:szCs w:val="28"/>
        </w:rPr>
        <w:t>14,5</w:t>
      </w:r>
      <w:r w:rsidR="003D4527">
        <w:rPr>
          <w:rFonts w:eastAsia="Calibri"/>
          <w:color w:val="000000" w:themeColor="text1"/>
          <w:szCs w:val="28"/>
        </w:rPr>
        <w:t>) млн</w:t>
      </w:r>
      <w:r w:rsidR="00163085">
        <w:rPr>
          <w:rFonts w:eastAsia="Calibri"/>
          <w:color w:val="000000" w:themeColor="text1"/>
          <w:szCs w:val="28"/>
        </w:rPr>
        <w:t xml:space="preserve"> у 1990 році до 6,2 (6,0</w:t>
      </w:r>
      <w:r w:rsidR="00163085" w:rsidRPr="0012630D">
        <w:rPr>
          <w:rFonts w:eastAsia="Calibri"/>
          <w:color w:val="000000" w:themeColor="text1"/>
          <w:szCs w:val="28"/>
        </w:rPr>
        <w:t>-</w:t>
      </w:r>
      <w:r w:rsidR="003D4527">
        <w:rPr>
          <w:rFonts w:eastAsia="Calibri"/>
          <w:color w:val="000000" w:themeColor="text1"/>
          <w:szCs w:val="28"/>
        </w:rPr>
        <w:t xml:space="preserve">6,7) </w:t>
      </w:r>
      <w:r w:rsidR="0012630D">
        <w:rPr>
          <w:rFonts w:eastAsia="Calibri"/>
          <w:color w:val="000000" w:themeColor="text1"/>
          <w:szCs w:val="28"/>
        </w:rPr>
        <w:t>млн дітей</w:t>
      </w:r>
      <w:r w:rsidRPr="00EA77E3">
        <w:rPr>
          <w:rFonts w:eastAsia="Calibri"/>
          <w:color w:val="000000" w:themeColor="text1"/>
          <w:szCs w:val="28"/>
        </w:rPr>
        <w:t xml:space="preserve"> у 2018 р., при цьому більш ніж половину випадків смерті можна було попередити. Серед </w:t>
      </w:r>
      <w:r w:rsidR="005A5D4A">
        <w:rPr>
          <w:rFonts w:eastAsia="Calibri"/>
          <w:color w:val="000000" w:themeColor="text1"/>
          <w:szCs w:val="28"/>
        </w:rPr>
        <w:lastRenderedPageBreak/>
        <w:t>померлих дітей  – 2,5 млн новонароджених, 1,5 млн</w:t>
      </w:r>
      <w:r w:rsidRPr="00EA77E3">
        <w:rPr>
          <w:rFonts w:eastAsia="Calibri"/>
          <w:color w:val="000000" w:themeColor="text1"/>
          <w:szCs w:val="28"/>
        </w:rPr>
        <w:t xml:space="preserve"> – діти у віці від 1 до 11 місяців, 1,3</w:t>
      </w:r>
      <w:r w:rsidR="005A5D4A">
        <w:rPr>
          <w:lang w:val="ru-RU"/>
        </w:rPr>
        <w:t> </w:t>
      </w:r>
      <w:r w:rsidR="005A5D4A">
        <w:rPr>
          <w:rFonts w:eastAsia="Calibri"/>
          <w:color w:val="000000" w:themeColor="text1"/>
          <w:szCs w:val="28"/>
        </w:rPr>
        <w:t>млн</w:t>
      </w:r>
      <w:r w:rsidR="007E6079">
        <w:rPr>
          <w:rFonts w:eastAsia="Calibri"/>
          <w:color w:val="000000" w:themeColor="text1"/>
          <w:szCs w:val="28"/>
        </w:rPr>
        <w:t xml:space="preserve"> – діти у віці від 1 </w:t>
      </w:r>
      <w:r w:rsidR="00DA4F78" w:rsidRPr="00DA4F78">
        <w:rPr>
          <w:rFonts w:eastAsia="Calibri"/>
          <w:color w:val="000000" w:themeColor="text1"/>
          <w:szCs w:val="28"/>
        </w:rPr>
        <w:t>до</w:t>
      </w:r>
      <w:r w:rsidR="007E6079">
        <w:rPr>
          <w:rFonts w:eastAsia="Calibri"/>
          <w:color w:val="000000" w:themeColor="text1"/>
          <w:szCs w:val="28"/>
        </w:rPr>
        <w:t xml:space="preserve"> 4 рок</w:t>
      </w:r>
      <w:r w:rsidR="00DA4F78">
        <w:rPr>
          <w:rFonts w:eastAsia="Calibri"/>
          <w:color w:val="000000" w:themeColor="text1"/>
          <w:szCs w:val="28"/>
        </w:rPr>
        <w:t>ів</w:t>
      </w:r>
      <w:r w:rsidR="007E6079">
        <w:rPr>
          <w:rFonts w:eastAsia="Calibri"/>
          <w:color w:val="000000" w:themeColor="text1"/>
          <w:szCs w:val="28"/>
        </w:rPr>
        <w:t xml:space="preserve">, і </w:t>
      </w:r>
      <w:r w:rsidRPr="00EA77E3">
        <w:rPr>
          <w:rFonts w:eastAsia="Calibri"/>
          <w:color w:val="000000" w:themeColor="text1"/>
          <w:szCs w:val="28"/>
        </w:rPr>
        <w:t xml:space="preserve"> </w:t>
      </w:r>
      <w:r w:rsidR="003C5681" w:rsidRPr="004A788F">
        <w:rPr>
          <w:rFonts w:eastAsia="Calibri"/>
          <w:szCs w:val="28"/>
        </w:rPr>
        <w:t xml:space="preserve">майже 1 </w:t>
      </w:r>
      <w:r w:rsidR="005A5D4A">
        <w:rPr>
          <w:rFonts w:eastAsia="Calibri"/>
          <w:color w:val="000000" w:themeColor="text1"/>
          <w:szCs w:val="28"/>
        </w:rPr>
        <w:t>м</w:t>
      </w:r>
      <w:r w:rsidR="005A5D4A" w:rsidRPr="005A5D4A">
        <w:rPr>
          <w:rFonts w:eastAsia="Calibri"/>
          <w:color w:val="000000" w:themeColor="text1"/>
          <w:szCs w:val="28"/>
        </w:rPr>
        <w:t>лн</w:t>
      </w:r>
      <w:r w:rsidRPr="00EA77E3">
        <w:rPr>
          <w:rFonts w:eastAsia="Calibri"/>
          <w:color w:val="000000" w:themeColor="text1"/>
          <w:szCs w:val="28"/>
        </w:rPr>
        <w:t xml:space="preserve"> – діти і підлітки</w:t>
      </w:r>
      <w:r w:rsidR="005C3B3D">
        <w:rPr>
          <w:rFonts w:eastAsia="Calibri"/>
          <w:color w:val="000000" w:themeColor="text1"/>
          <w:szCs w:val="28"/>
        </w:rPr>
        <w:t xml:space="preserve"> у віці від 5 до 14</w:t>
      </w:r>
      <w:r w:rsidR="005A5D4A">
        <w:rPr>
          <w:lang w:val="ru-RU"/>
        </w:rPr>
        <w:t> </w:t>
      </w:r>
      <w:r w:rsidR="005C3B3D">
        <w:rPr>
          <w:rFonts w:eastAsia="Calibri"/>
          <w:color w:val="000000" w:themeColor="text1"/>
          <w:szCs w:val="28"/>
        </w:rPr>
        <w:t>років. При цьому, на тлі позитивних тенденцій щодо скорочення дитячої смертності, с</w:t>
      </w:r>
      <w:r w:rsidR="005C3B3D" w:rsidRPr="005C3B3D">
        <w:rPr>
          <w:rFonts w:eastAsia="Calibri"/>
          <w:color w:val="000000" w:themeColor="text1"/>
          <w:szCs w:val="28"/>
        </w:rPr>
        <w:t>траждан</w:t>
      </w:r>
      <w:r w:rsidR="005C3B3D">
        <w:rPr>
          <w:rFonts w:eastAsia="Calibri"/>
          <w:color w:val="000000" w:themeColor="text1"/>
          <w:szCs w:val="28"/>
        </w:rPr>
        <w:t>ня і смертність</w:t>
      </w:r>
      <w:r w:rsidR="005C3B3D" w:rsidRPr="005C3B3D">
        <w:rPr>
          <w:rFonts w:eastAsia="Calibri"/>
          <w:color w:val="000000" w:themeColor="text1"/>
          <w:szCs w:val="28"/>
        </w:rPr>
        <w:t xml:space="preserve"> дітей у світі залишаються значними і не отримують адекватної уваги, якої заслуговують</w:t>
      </w:r>
      <w:r w:rsidR="005C3B3D">
        <w:rPr>
          <w:rFonts w:eastAsia="Calibri"/>
          <w:color w:val="000000" w:themeColor="text1"/>
          <w:szCs w:val="28"/>
        </w:rPr>
        <w:t>. Так,</w:t>
      </w:r>
      <w:r w:rsidR="005C3B3D" w:rsidRPr="005C3B3D">
        <w:rPr>
          <w:rFonts w:eastAsia="Calibri"/>
          <w:color w:val="000000" w:themeColor="text1"/>
          <w:szCs w:val="28"/>
        </w:rPr>
        <w:t xml:space="preserve"> </w:t>
      </w:r>
      <w:r w:rsidR="005C3B3D">
        <w:rPr>
          <w:rFonts w:eastAsia="Calibri"/>
          <w:color w:val="000000" w:themeColor="text1"/>
          <w:szCs w:val="28"/>
        </w:rPr>
        <w:t>протягом</w:t>
      </w:r>
      <w:r w:rsidRPr="00EA77E3">
        <w:rPr>
          <w:rFonts w:eastAsia="Calibri"/>
          <w:color w:val="000000" w:themeColor="text1"/>
          <w:szCs w:val="28"/>
        </w:rPr>
        <w:t xml:space="preserve"> 2018 р. кожні п'ять секунд</w:t>
      </w:r>
      <w:r w:rsidR="005C3B3D" w:rsidRPr="005C3B3D">
        <w:rPr>
          <w:rFonts w:eastAsia="Calibri"/>
          <w:color w:val="000000" w:themeColor="text1"/>
          <w:szCs w:val="28"/>
        </w:rPr>
        <w:t xml:space="preserve"> у світі</w:t>
      </w:r>
      <w:r w:rsidRPr="00EA77E3">
        <w:rPr>
          <w:rFonts w:eastAsia="Calibri"/>
          <w:color w:val="000000" w:themeColor="text1"/>
          <w:szCs w:val="28"/>
        </w:rPr>
        <w:t xml:space="preserve"> пом</w:t>
      </w:r>
      <w:r w:rsidR="005C3B3D">
        <w:rPr>
          <w:rFonts w:eastAsia="Calibri"/>
          <w:color w:val="000000" w:themeColor="text1"/>
          <w:szCs w:val="28"/>
        </w:rPr>
        <w:t xml:space="preserve">ирала одна дитина або підліток </w:t>
      </w:r>
      <w:r w:rsidR="00284E43">
        <w:rPr>
          <w:rFonts w:eastAsia="Calibri"/>
          <w:color w:val="000000" w:themeColor="text1"/>
          <w:szCs w:val="28"/>
        </w:rPr>
        <w:t>[</w:t>
      </w:r>
      <w:r w:rsidR="00284E43" w:rsidRPr="00284E43">
        <w:rPr>
          <w:rFonts w:eastAsia="Calibri"/>
          <w:color w:val="000000" w:themeColor="text1"/>
          <w:szCs w:val="28"/>
        </w:rPr>
        <w:t>6</w:t>
      </w:r>
      <w:r w:rsidRPr="00EA77E3">
        <w:rPr>
          <w:rFonts w:eastAsia="Calibri"/>
          <w:color w:val="000000" w:themeColor="text1"/>
          <w:szCs w:val="28"/>
        </w:rPr>
        <w:t>]. Тягар дитячої смертності залишається величезним – число дітей у віці 0-15 років, які померли в 20</w:t>
      </w:r>
      <w:r w:rsidR="005A5D4A">
        <w:rPr>
          <w:rFonts w:eastAsia="Calibri"/>
          <w:color w:val="000000" w:themeColor="text1"/>
          <w:szCs w:val="28"/>
        </w:rPr>
        <w:t>18 році, становить 6,2 м</w:t>
      </w:r>
      <w:r w:rsidR="005A5D4A">
        <w:rPr>
          <w:rFonts w:eastAsia="Calibri"/>
          <w:color w:val="000000" w:themeColor="text1"/>
          <w:szCs w:val="28"/>
          <w:lang w:val="ru-RU"/>
        </w:rPr>
        <w:t>лн</w:t>
      </w:r>
      <w:r w:rsidRPr="00EA77E3">
        <w:rPr>
          <w:rFonts w:eastAsia="Calibri"/>
          <w:color w:val="000000" w:themeColor="text1"/>
          <w:szCs w:val="28"/>
        </w:rPr>
        <w:t>, що еквівалентно нинішньому</w:t>
      </w:r>
      <w:r w:rsidR="000B5834">
        <w:rPr>
          <w:rFonts w:eastAsia="Calibri"/>
          <w:color w:val="000000" w:themeColor="text1"/>
          <w:szCs w:val="28"/>
        </w:rPr>
        <w:t xml:space="preserve"> населенню Нікарагуа [57</w:t>
      </w:r>
      <w:r w:rsidRPr="00EA77E3">
        <w:rPr>
          <w:rFonts w:eastAsia="Calibri"/>
          <w:color w:val="000000" w:themeColor="text1"/>
          <w:szCs w:val="28"/>
        </w:rPr>
        <w:t>].</w:t>
      </w:r>
    </w:p>
    <w:p w:rsidR="00323DA9" w:rsidRPr="00EA77E3" w:rsidRDefault="00323DA9" w:rsidP="00721203">
      <w:pPr>
        <w:widowControl w:val="0"/>
        <w:ind w:firstLine="709"/>
        <w:rPr>
          <w:rFonts w:eastAsia="Calibri"/>
          <w:color w:val="000000" w:themeColor="text1"/>
          <w:szCs w:val="28"/>
        </w:rPr>
      </w:pPr>
      <w:r w:rsidRPr="00EA77E3">
        <w:rPr>
          <w:rFonts w:eastAsia="Calibri"/>
          <w:color w:val="000000" w:themeColor="text1"/>
          <w:szCs w:val="28"/>
        </w:rPr>
        <w:t xml:space="preserve">Розподіл смертності серед дітей і підлітків за віком показує, що найвищий ризик смерті припадає на період новонародженості (перші 28 днів життя). У 2018 році рівень неонатальної смертності </w:t>
      </w:r>
      <w:r w:rsidR="00567617" w:rsidRPr="00E41BC5">
        <w:rPr>
          <w:rFonts w:eastAsia="Calibri"/>
          <w:color w:val="000000" w:themeColor="text1"/>
          <w:szCs w:val="28"/>
        </w:rPr>
        <w:t xml:space="preserve">у світі </w:t>
      </w:r>
      <w:r w:rsidR="005C3B3D">
        <w:rPr>
          <w:rFonts w:eastAsia="Calibri"/>
          <w:color w:val="000000" w:themeColor="text1"/>
          <w:szCs w:val="28"/>
        </w:rPr>
        <w:t>становив 18</w:t>
      </w:r>
      <w:r w:rsidR="005C3B3D" w:rsidRPr="005C3B3D">
        <w:rPr>
          <w:rFonts w:eastAsia="Calibri"/>
          <w:color w:val="000000" w:themeColor="text1"/>
          <w:szCs w:val="28"/>
        </w:rPr>
        <w:t>‰</w:t>
      </w:r>
      <w:r w:rsidRPr="00EA77E3">
        <w:rPr>
          <w:rFonts w:eastAsia="Calibri"/>
          <w:color w:val="000000" w:themeColor="text1"/>
          <w:szCs w:val="28"/>
        </w:rPr>
        <w:t xml:space="preserve">. </w:t>
      </w:r>
      <w:r w:rsidR="00D3109F">
        <w:rPr>
          <w:rFonts w:eastAsia="Calibri"/>
          <w:color w:val="000000" w:themeColor="text1"/>
          <w:szCs w:val="28"/>
        </w:rPr>
        <w:t>Й</w:t>
      </w:r>
      <w:r w:rsidR="00981579">
        <w:rPr>
          <w:rFonts w:eastAsia="Calibri"/>
          <w:color w:val="000000" w:themeColor="text1"/>
          <w:szCs w:val="28"/>
        </w:rPr>
        <w:t xml:space="preserve">мовірність смерті після 1-го місяця і до досягнення </w:t>
      </w:r>
      <w:r w:rsidRPr="00EA77E3">
        <w:rPr>
          <w:rFonts w:eastAsia="Calibri"/>
          <w:color w:val="000000" w:themeColor="text1"/>
          <w:szCs w:val="28"/>
        </w:rPr>
        <w:t>1 року становила 11‰, ймовірні</w:t>
      </w:r>
      <w:r w:rsidR="00981579">
        <w:rPr>
          <w:rFonts w:eastAsia="Calibri"/>
          <w:color w:val="000000" w:themeColor="text1"/>
          <w:szCs w:val="28"/>
        </w:rPr>
        <w:t>сть смерті у віці після</w:t>
      </w:r>
      <w:r w:rsidRPr="00EA77E3">
        <w:rPr>
          <w:rFonts w:eastAsia="Calibri"/>
          <w:color w:val="000000" w:themeColor="text1"/>
          <w:szCs w:val="28"/>
        </w:rPr>
        <w:t xml:space="preserve"> 1</w:t>
      </w:r>
      <w:r w:rsidR="00424505">
        <w:rPr>
          <w:rFonts w:eastAsia="Calibri"/>
          <w:color w:val="000000" w:themeColor="text1"/>
          <w:szCs w:val="28"/>
        </w:rPr>
        <w:t xml:space="preserve"> року і до досягнення віку 5</w:t>
      </w:r>
      <w:r w:rsidR="005C3B3D">
        <w:rPr>
          <w:rFonts w:eastAsia="Calibri"/>
          <w:color w:val="000000" w:themeColor="text1"/>
          <w:szCs w:val="28"/>
        </w:rPr>
        <w:t xml:space="preserve"> </w:t>
      </w:r>
      <w:r w:rsidRPr="00EA77E3">
        <w:rPr>
          <w:rFonts w:eastAsia="Calibri"/>
          <w:color w:val="000000" w:themeColor="text1"/>
          <w:szCs w:val="28"/>
        </w:rPr>
        <w:t>років становила 10‰, для дітей у віці 5-14 років ймовір</w:t>
      </w:r>
      <w:r w:rsidR="00DD4C96">
        <w:rPr>
          <w:rFonts w:eastAsia="Calibri"/>
          <w:color w:val="000000" w:themeColor="text1"/>
          <w:szCs w:val="28"/>
        </w:rPr>
        <w:t>ність смерті оцінювалася у 7‰ [</w:t>
      </w:r>
      <w:r w:rsidR="00DD4C96" w:rsidRPr="00DD4C96">
        <w:rPr>
          <w:rFonts w:eastAsia="Calibri"/>
          <w:color w:val="000000" w:themeColor="text1"/>
          <w:szCs w:val="28"/>
        </w:rPr>
        <w:t>6</w:t>
      </w:r>
      <w:r w:rsidRPr="00EA77E3">
        <w:rPr>
          <w:rFonts w:eastAsia="Calibri"/>
          <w:color w:val="000000" w:themeColor="text1"/>
          <w:szCs w:val="28"/>
        </w:rPr>
        <w:t>].</w:t>
      </w:r>
    </w:p>
    <w:p w:rsidR="00323DA9" w:rsidRPr="00EA77E3" w:rsidRDefault="00323DA9" w:rsidP="00721203">
      <w:pPr>
        <w:widowControl w:val="0"/>
        <w:ind w:firstLine="709"/>
        <w:rPr>
          <w:rFonts w:eastAsia="Calibri"/>
          <w:color w:val="000000" w:themeColor="text1"/>
          <w:szCs w:val="28"/>
        </w:rPr>
      </w:pPr>
      <w:r w:rsidRPr="00EA77E3">
        <w:rPr>
          <w:rFonts w:eastAsia="Calibri"/>
          <w:color w:val="000000" w:themeColor="text1"/>
          <w:szCs w:val="28"/>
        </w:rPr>
        <w:t xml:space="preserve">У </w:t>
      </w:r>
      <w:r w:rsidR="00644EBA">
        <w:rPr>
          <w:rFonts w:eastAsia="Calibri"/>
          <w:color w:val="000000" w:themeColor="text1"/>
          <w:szCs w:val="28"/>
        </w:rPr>
        <w:t xml:space="preserve">2018 році </w:t>
      </w:r>
      <w:r w:rsidRPr="00EA77E3">
        <w:rPr>
          <w:rFonts w:eastAsia="Calibri"/>
          <w:color w:val="000000" w:themeColor="text1"/>
          <w:szCs w:val="28"/>
        </w:rPr>
        <w:t xml:space="preserve">85% смертей серед дітей і підлітків </w:t>
      </w:r>
      <w:r w:rsidR="00644EBA">
        <w:rPr>
          <w:rFonts w:eastAsia="Calibri"/>
          <w:color w:val="000000" w:themeColor="text1"/>
          <w:szCs w:val="28"/>
        </w:rPr>
        <w:t>у світі відбулися в перші 5</w:t>
      </w:r>
      <w:r w:rsidRPr="00EA77E3">
        <w:rPr>
          <w:rFonts w:eastAsia="Calibri"/>
          <w:color w:val="000000" w:themeColor="text1"/>
          <w:szCs w:val="28"/>
        </w:rPr>
        <w:t xml:space="preserve"> ро</w:t>
      </w:r>
      <w:r w:rsidR="00627EC4">
        <w:rPr>
          <w:rFonts w:eastAsia="Calibri"/>
          <w:color w:val="000000" w:themeColor="text1"/>
          <w:szCs w:val="28"/>
        </w:rPr>
        <w:t>ків життя, що склало 5,3 млн</w:t>
      </w:r>
      <w:r w:rsidR="00644EBA">
        <w:rPr>
          <w:rFonts w:eastAsia="Calibri"/>
          <w:color w:val="000000" w:themeColor="text1"/>
          <w:szCs w:val="28"/>
        </w:rPr>
        <w:t xml:space="preserve"> смертей</w:t>
      </w:r>
      <w:r w:rsidR="00916CEA">
        <w:rPr>
          <w:rFonts w:eastAsia="Calibri"/>
          <w:color w:val="000000" w:themeColor="text1"/>
          <w:szCs w:val="28"/>
        </w:rPr>
        <w:t xml:space="preserve"> (</w:t>
      </w:r>
      <w:r w:rsidR="00424505">
        <w:rPr>
          <w:rFonts w:eastAsia="Calibri"/>
          <w:color w:val="000000" w:themeColor="text1"/>
          <w:szCs w:val="28"/>
        </w:rPr>
        <w:t>12,5 млн</w:t>
      </w:r>
      <w:r w:rsidR="00916CEA" w:rsidRPr="00916CEA">
        <w:rPr>
          <w:rFonts w:eastAsia="Calibri"/>
          <w:color w:val="000000" w:themeColor="text1"/>
          <w:szCs w:val="28"/>
        </w:rPr>
        <w:t xml:space="preserve"> у 1990 р</w:t>
      </w:r>
      <w:r w:rsidR="00916CEA">
        <w:rPr>
          <w:rFonts w:eastAsia="Calibri"/>
          <w:color w:val="000000" w:themeColor="text1"/>
          <w:szCs w:val="28"/>
        </w:rPr>
        <w:t>.)</w:t>
      </w:r>
      <w:r w:rsidR="00F50194">
        <w:rPr>
          <w:rFonts w:eastAsia="Calibri"/>
          <w:color w:val="000000" w:themeColor="text1"/>
          <w:szCs w:val="28"/>
        </w:rPr>
        <w:t>, з яких 47% – у</w:t>
      </w:r>
      <w:r w:rsidR="00644EBA">
        <w:rPr>
          <w:rFonts w:eastAsia="Calibri"/>
          <w:color w:val="000000" w:themeColor="text1"/>
          <w:szCs w:val="28"/>
        </w:rPr>
        <w:t xml:space="preserve"> 1-й</w:t>
      </w:r>
      <w:r w:rsidRPr="00EA77E3">
        <w:rPr>
          <w:rFonts w:eastAsia="Calibri"/>
          <w:color w:val="000000" w:themeColor="text1"/>
          <w:szCs w:val="28"/>
        </w:rPr>
        <w:t xml:space="preserve"> місяць життя, 29%</w:t>
      </w:r>
      <w:r w:rsidR="00627EC4">
        <w:rPr>
          <w:rFonts w:eastAsia="Calibri"/>
          <w:color w:val="000000" w:themeColor="text1"/>
          <w:szCs w:val="28"/>
        </w:rPr>
        <w:t xml:space="preserve"> –</w:t>
      </w:r>
      <w:r w:rsidRPr="00EA77E3">
        <w:rPr>
          <w:rFonts w:eastAsia="Calibri"/>
          <w:color w:val="000000" w:themeColor="text1"/>
          <w:szCs w:val="28"/>
        </w:rPr>
        <w:t xml:space="preserve"> у віці 1-11 місяців і 25%</w:t>
      </w:r>
      <w:r w:rsidR="00F50194">
        <w:rPr>
          <w:rFonts w:eastAsia="Calibri"/>
          <w:color w:val="000000" w:themeColor="text1"/>
          <w:szCs w:val="28"/>
        </w:rPr>
        <w:t xml:space="preserve"> – </w:t>
      </w:r>
      <w:r w:rsidRPr="00EA77E3">
        <w:rPr>
          <w:rFonts w:eastAsia="Calibri"/>
          <w:color w:val="000000" w:themeColor="text1"/>
          <w:szCs w:val="28"/>
        </w:rPr>
        <w:t>у віці 1-4 роки</w:t>
      </w:r>
      <w:r w:rsidR="00644EBA">
        <w:rPr>
          <w:rFonts w:eastAsia="Calibri"/>
          <w:color w:val="000000" w:themeColor="text1"/>
          <w:szCs w:val="28"/>
        </w:rPr>
        <w:t xml:space="preserve">. </w:t>
      </w:r>
      <w:r w:rsidR="006C76AE" w:rsidRPr="006C76AE">
        <w:rPr>
          <w:rFonts w:eastAsia="Calibri"/>
          <w:color w:val="000000" w:themeColor="text1"/>
          <w:szCs w:val="28"/>
        </w:rPr>
        <w:t xml:space="preserve">В середньому в 2018 р. 15 000 дітей вмирали </w:t>
      </w:r>
      <w:r w:rsidR="00916FF6">
        <w:rPr>
          <w:rFonts w:eastAsia="Calibri"/>
          <w:color w:val="000000" w:themeColor="text1"/>
          <w:szCs w:val="28"/>
          <w:lang w:val="ru-RU"/>
        </w:rPr>
        <w:t xml:space="preserve">кожен день </w:t>
      </w:r>
      <w:r w:rsidR="006C76AE" w:rsidRPr="006C76AE">
        <w:rPr>
          <w:rFonts w:eastAsia="Calibri"/>
          <w:color w:val="000000" w:themeColor="text1"/>
          <w:szCs w:val="28"/>
        </w:rPr>
        <w:t>до досягне</w:t>
      </w:r>
      <w:r w:rsidR="006C76AE">
        <w:rPr>
          <w:rFonts w:eastAsia="Calibri"/>
          <w:color w:val="000000" w:themeColor="text1"/>
          <w:szCs w:val="28"/>
        </w:rPr>
        <w:t>ння 5</w:t>
      </w:r>
      <w:r w:rsidR="00214A0D">
        <w:rPr>
          <w:rFonts w:eastAsia="Calibri"/>
          <w:color w:val="000000" w:themeColor="text1"/>
          <w:szCs w:val="28"/>
        </w:rPr>
        <w:t>-ти</w:t>
      </w:r>
      <w:r w:rsidR="00916FF6">
        <w:rPr>
          <w:rFonts w:eastAsia="Calibri"/>
          <w:color w:val="000000" w:themeColor="text1"/>
          <w:szCs w:val="28"/>
        </w:rPr>
        <w:t xml:space="preserve"> років</w:t>
      </w:r>
      <w:r w:rsidR="00916FF6">
        <w:rPr>
          <w:rFonts w:eastAsia="Calibri"/>
          <w:color w:val="000000" w:themeColor="text1"/>
          <w:szCs w:val="28"/>
          <w:lang w:val="ru-RU"/>
        </w:rPr>
        <w:t xml:space="preserve"> </w:t>
      </w:r>
      <w:r w:rsidR="00424505">
        <w:rPr>
          <w:rFonts w:eastAsia="Calibri"/>
          <w:color w:val="000000" w:themeColor="text1"/>
          <w:szCs w:val="28"/>
        </w:rPr>
        <w:t>у</w:t>
      </w:r>
      <w:r w:rsidR="006C76AE" w:rsidRPr="006C76AE">
        <w:rPr>
          <w:rFonts w:eastAsia="Calibri"/>
          <w:color w:val="000000" w:themeColor="text1"/>
          <w:szCs w:val="28"/>
        </w:rPr>
        <w:t xml:space="preserve"> порівнянні з 34</w:t>
      </w:r>
      <w:r w:rsidR="00916FF6">
        <w:rPr>
          <w:rFonts w:eastAsia="Calibri"/>
          <w:color w:val="000000" w:themeColor="text1"/>
          <w:szCs w:val="28"/>
        </w:rPr>
        <w:t> </w:t>
      </w:r>
      <w:r w:rsidR="006C76AE" w:rsidRPr="006C76AE">
        <w:rPr>
          <w:rFonts w:eastAsia="Calibri"/>
          <w:color w:val="000000" w:themeColor="text1"/>
          <w:szCs w:val="28"/>
        </w:rPr>
        <w:t>000</w:t>
      </w:r>
      <w:r w:rsidR="00916FF6">
        <w:rPr>
          <w:rFonts w:eastAsia="Calibri"/>
          <w:color w:val="000000" w:themeColor="text1"/>
          <w:szCs w:val="28"/>
          <w:lang w:val="ru-RU"/>
        </w:rPr>
        <w:t xml:space="preserve"> дітей</w:t>
      </w:r>
      <w:r w:rsidR="006C76AE" w:rsidRPr="006C76AE">
        <w:rPr>
          <w:rFonts w:eastAsia="Calibri"/>
          <w:color w:val="000000" w:themeColor="text1"/>
          <w:szCs w:val="28"/>
        </w:rPr>
        <w:t xml:space="preserve"> у 1990 р. і 27000</w:t>
      </w:r>
      <w:r w:rsidR="00916FF6">
        <w:rPr>
          <w:rFonts w:eastAsia="Calibri"/>
          <w:color w:val="000000" w:themeColor="text1"/>
          <w:szCs w:val="28"/>
        </w:rPr>
        <w:t xml:space="preserve"> дітей</w:t>
      </w:r>
      <w:r w:rsidR="006C76AE" w:rsidRPr="006C76AE">
        <w:rPr>
          <w:rFonts w:eastAsia="Calibri"/>
          <w:color w:val="000000" w:themeColor="text1"/>
          <w:szCs w:val="28"/>
        </w:rPr>
        <w:t xml:space="preserve"> у 2000 р. </w:t>
      </w:r>
      <w:r w:rsidR="00D550A2">
        <w:rPr>
          <w:rFonts w:eastAsia="Calibri"/>
          <w:color w:val="000000" w:themeColor="text1"/>
          <w:szCs w:val="28"/>
        </w:rPr>
        <w:t>Слід зазначити, що г</w:t>
      </w:r>
      <w:r w:rsidRPr="00EA77E3">
        <w:rPr>
          <w:rFonts w:eastAsia="Calibri"/>
          <w:color w:val="000000" w:themeColor="text1"/>
          <w:szCs w:val="28"/>
        </w:rPr>
        <w:t xml:space="preserve">лобальний рівень </w:t>
      </w:r>
      <w:r w:rsidR="00424505">
        <w:rPr>
          <w:rFonts w:eastAsia="Calibri"/>
          <w:color w:val="000000" w:themeColor="text1"/>
          <w:szCs w:val="28"/>
        </w:rPr>
        <w:t>смертності дітей у віці до 5 </w:t>
      </w:r>
      <w:r w:rsidRPr="00EA77E3">
        <w:rPr>
          <w:rFonts w:eastAsia="Calibri"/>
          <w:color w:val="000000" w:themeColor="text1"/>
          <w:szCs w:val="28"/>
        </w:rPr>
        <w:t>років знизився до 39</w:t>
      </w:r>
      <w:r w:rsidR="00644EBA" w:rsidRPr="00644EBA">
        <w:rPr>
          <w:rFonts w:eastAsia="Calibri"/>
          <w:color w:val="000000" w:themeColor="text1"/>
          <w:szCs w:val="28"/>
        </w:rPr>
        <w:t>‰</w:t>
      </w:r>
      <w:r w:rsidR="00644EBA">
        <w:rPr>
          <w:rFonts w:eastAsia="Calibri"/>
          <w:color w:val="000000" w:themeColor="text1"/>
          <w:szCs w:val="28"/>
        </w:rPr>
        <w:t xml:space="preserve"> у 2018 році (</w:t>
      </w:r>
      <w:r w:rsidRPr="00EA77E3">
        <w:rPr>
          <w:rFonts w:eastAsia="Calibri"/>
          <w:color w:val="000000" w:themeColor="text1"/>
          <w:szCs w:val="28"/>
        </w:rPr>
        <w:t>з 93‰  у 1990 році і 76‰ у 2000 році – на 59% і 49% відповідно</w:t>
      </w:r>
      <w:r w:rsidR="00644EBA">
        <w:rPr>
          <w:rFonts w:eastAsia="Calibri"/>
          <w:color w:val="000000" w:themeColor="text1"/>
          <w:szCs w:val="28"/>
        </w:rPr>
        <w:t>)</w:t>
      </w:r>
      <w:r w:rsidRPr="00EA77E3">
        <w:rPr>
          <w:rFonts w:eastAsia="Calibri"/>
          <w:color w:val="000000" w:themeColor="text1"/>
          <w:szCs w:val="28"/>
        </w:rPr>
        <w:t>.</w:t>
      </w:r>
      <w:r w:rsidR="00D550A2" w:rsidRPr="00D550A2">
        <w:rPr>
          <w:rFonts w:eastAsia="Calibri"/>
          <w:color w:val="000000" w:themeColor="text1"/>
          <w:szCs w:val="28"/>
        </w:rPr>
        <w:t xml:space="preserve"> </w:t>
      </w:r>
      <w:r w:rsidRPr="00EA77E3">
        <w:rPr>
          <w:rFonts w:eastAsia="Calibri"/>
          <w:color w:val="000000" w:themeColor="text1"/>
          <w:szCs w:val="28"/>
        </w:rPr>
        <w:t>Коефіцієнт неонатальної смертності знизився до 18‰ у 2018</w:t>
      </w:r>
      <w:r w:rsidR="00A4485C">
        <w:rPr>
          <w:rFonts w:eastAsia="Calibri"/>
          <w:color w:val="000000" w:themeColor="text1"/>
          <w:szCs w:val="28"/>
          <w:lang w:val="ru-RU"/>
        </w:rPr>
        <w:t> </w:t>
      </w:r>
      <w:r w:rsidRPr="00EA77E3">
        <w:rPr>
          <w:rFonts w:eastAsia="Calibri"/>
          <w:color w:val="000000" w:themeColor="text1"/>
          <w:szCs w:val="28"/>
        </w:rPr>
        <w:t xml:space="preserve">році </w:t>
      </w:r>
      <w:r w:rsidR="00916CEA">
        <w:rPr>
          <w:rFonts w:eastAsia="Calibri"/>
          <w:color w:val="000000" w:themeColor="text1"/>
          <w:szCs w:val="28"/>
        </w:rPr>
        <w:t>(</w:t>
      </w:r>
      <w:r w:rsidR="006D190C">
        <w:rPr>
          <w:rFonts w:eastAsia="Calibri"/>
          <w:color w:val="000000" w:themeColor="text1"/>
          <w:szCs w:val="28"/>
        </w:rPr>
        <w:t>з 37‰ у</w:t>
      </w:r>
      <w:r w:rsidRPr="00EA77E3">
        <w:rPr>
          <w:rFonts w:eastAsia="Calibri"/>
          <w:color w:val="000000" w:themeColor="text1"/>
          <w:szCs w:val="28"/>
        </w:rPr>
        <w:t xml:space="preserve"> 1990 році і 31‰ у 2000 р</w:t>
      </w:r>
      <w:r w:rsidR="00F43822" w:rsidRPr="00EA77E3">
        <w:rPr>
          <w:rFonts w:eastAsia="Calibri"/>
          <w:color w:val="000000" w:themeColor="text1"/>
          <w:szCs w:val="28"/>
          <w:lang w:val="ru-RU"/>
        </w:rPr>
        <w:t>.</w:t>
      </w:r>
      <w:r w:rsidRPr="00EA77E3">
        <w:rPr>
          <w:rFonts w:eastAsia="Calibri"/>
          <w:color w:val="000000" w:themeColor="text1"/>
          <w:szCs w:val="28"/>
        </w:rPr>
        <w:t xml:space="preserve"> – на 52% і 42% відповідно</w:t>
      </w:r>
      <w:r w:rsidR="00916CEA">
        <w:rPr>
          <w:rFonts w:eastAsia="Calibri"/>
          <w:color w:val="000000" w:themeColor="text1"/>
          <w:szCs w:val="28"/>
        </w:rPr>
        <w:t>)</w:t>
      </w:r>
      <w:r w:rsidRPr="00EA77E3">
        <w:rPr>
          <w:rFonts w:eastAsia="Calibri"/>
          <w:color w:val="000000" w:themeColor="text1"/>
          <w:szCs w:val="28"/>
        </w:rPr>
        <w:t>. Глобальне число випадків смерті нов</w:t>
      </w:r>
      <w:r w:rsidR="0064675D">
        <w:rPr>
          <w:rFonts w:eastAsia="Calibri"/>
          <w:color w:val="000000" w:themeColor="text1"/>
          <w:szCs w:val="28"/>
        </w:rPr>
        <w:t xml:space="preserve">онароджених знизилось </w:t>
      </w:r>
      <w:r w:rsidR="006D190C">
        <w:rPr>
          <w:rFonts w:eastAsia="Calibri"/>
          <w:color w:val="000000" w:themeColor="text1"/>
          <w:szCs w:val="28"/>
        </w:rPr>
        <w:t>і</w:t>
      </w:r>
      <w:r w:rsidR="0064675D">
        <w:rPr>
          <w:rFonts w:eastAsia="Calibri"/>
          <w:color w:val="000000" w:themeColor="text1"/>
          <w:szCs w:val="28"/>
        </w:rPr>
        <w:t>з 5,0 млн</w:t>
      </w:r>
      <w:r w:rsidRPr="00EA77E3">
        <w:rPr>
          <w:rFonts w:eastAsia="Calibri"/>
          <w:color w:val="000000" w:themeColor="text1"/>
          <w:szCs w:val="28"/>
        </w:rPr>
        <w:t xml:space="preserve"> осіб у 1990 р</w:t>
      </w:r>
      <w:r w:rsidR="00F43822" w:rsidRPr="00EA77E3">
        <w:rPr>
          <w:rFonts w:eastAsia="Calibri"/>
          <w:color w:val="000000" w:themeColor="text1"/>
          <w:szCs w:val="28"/>
        </w:rPr>
        <w:t>.</w:t>
      </w:r>
      <w:r w:rsidRPr="00EA77E3">
        <w:rPr>
          <w:rFonts w:eastAsia="Calibri"/>
          <w:color w:val="000000" w:themeColor="text1"/>
          <w:szCs w:val="28"/>
        </w:rPr>
        <w:t xml:space="preserve"> до 2,5</w:t>
      </w:r>
      <w:r w:rsidR="0064675D">
        <w:rPr>
          <w:rFonts w:eastAsia="Calibri"/>
          <w:color w:val="000000" w:themeColor="text1"/>
          <w:szCs w:val="28"/>
        </w:rPr>
        <w:t xml:space="preserve"> млн</w:t>
      </w:r>
      <w:r w:rsidRPr="00EA77E3">
        <w:rPr>
          <w:rFonts w:eastAsia="Calibri"/>
          <w:color w:val="000000" w:themeColor="text1"/>
          <w:szCs w:val="28"/>
        </w:rPr>
        <w:t xml:space="preserve"> осіб у 2018 р</w:t>
      </w:r>
      <w:r w:rsidR="00F43822" w:rsidRPr="00EA77E3">
        <w:rPr>
          <w:rFonts w:eastAsia="Calibri"/>
          <w:color w:val="000000" w:themeColor="text1"/>
          <w:szCs w:val="28"/>
        </w:rPr>
        <w:t>.</w:t>
      </w:r>
      <w:r w:rsidRPr="00EA77E3">
        <w:rPr>
          <w:rFonts w:eastAsia="Calibri"/>
          <w:color w:val="000000" w:themeColor="text1"/>
          <w:szCs w:val="28"/>
        </w:rPr>
        <w:t>, або 7 000 випадків смерті кожен день у 2018 р. в порівнянні з 14 000 в</w:t>
      </w:r>
      <w:r w:rsidR="00D550A2">
        <w:rPr>
          <w:rFonts w:eastAsia="Calibri"/>
          <w:color w:val="000000" w:themeColor="text1"/>
          <w:szCs w:val="28"/>
        </w:rPr>
        <w:t xml:space="preserve">ипадків у 1990 р. </w:t>
      </w:r>
      <w:r w:rsidR="00113194">
        <w:rPr>
          <w:rFonts w:eastAsia="Calibri"/>
          <w:color w:val="000000" w:themeColor="text1"/>
          <w:szCs w:val="28"/>
        </w:rPr>
        <w:t>[</w:t>
      </w:r>
      <w:r w:rsidR="00113194">
        <w:rPr>
          <w:rFonts w:eastAsia="Calibri"/>
          <w:color w:val="000000" w:themeColor="text1"/>
          <w:szCs w:val="28"/>
          <w:lang w:val="ru-RU"/>
        </w:rPr>
        <w:t>6</w:t>
      </w:r>
      <w:r w:rsidR="00F5271F">
        <w:rPr>
          <w:rFonts w:eastAsia="Calibri"/>
          <w:color w:val="000000" w:themeColor="text1"/>
          <w:szCs w:val="28"/>
        </w:rPr>
        <w:t xml:space="preserve">, </w:t>
      </w:r>
      <w:r w:rsidR="000C5386">
        <w:rPr>
          <w:rFonts w:eastAsia="Calibri"/>
          <w:color w:val="000000" w:themeColor="text1"/>
          <w:szCs w:val="28"/>
        </w:rPr>
        <w:t xml:space="preserve">43, </w:t>
      </w:r>
      <w:r w:rsidR="00113194">
        <w:rPr>
          <w:rFonts w:eastAsia="Calibri"/>
          <w:color w:val="000000" w:themeColor="text1"/>
          <w:szCs w:val="28"/>
          <w:lang w:val="ru-RU"/>
        </w:rPr>
        <w:t xml:space="preserve">56, </w:t>
      </w:r>
      <w:r w:rsidR="00F5271F">
        <w:rPr>
          <w:rFonts w:eastAsia="Calibri"/>
          <w:color w:val="000000" w:themeColor="text1"/>
          <w:szCs w:val="28"/>
        </w:rPr>
        <w:t>58</w:t>
      </w:r>
      <w:r w:rsidRPr="00EA77E3">
        <w:rPr>
          <w:rFonts w:eastAsia="Calibri"/>
          <w:color w:val="000000" w:themeColor="text1"/>
          <w:szCs w:val="28"/>
        </w:rPr>
        <w:t xml:space="preserve">].   </w:t>
      </w:r>
    </w:p>
    <w:p w:rsidR="00323DA9" w:rsidRPr="00D763FC" w:rsidRDefault="006D190C" w:rsidP="00D763FC">
      <w:pPr>
        <w:widowControl w:val="0"/>
        <w:ind w:firstLine="709"/>
        <w:rPr>
          <w:rFonts w:eastAsia="Calibri"/>
          <w:color w:val="000000" w:themeColor="text1"/>
          <w:szCs w:val="28"/>
        </w:rPr>
      </w:pPr>
      <w:r>
        <w:rPr>
          <w:rFonts w:eastAsia="Calibri"/>
          <w:color w:val="000000" w:themeColor="text1"/>
          <w:szCs w:val="28"/>
        </w:rPr>
        <w:t>Для с</w:t>
      </w:r>
      <w:r w:rsidR="00D550A2">
        <w:rPr>
          <w:rFonts w:eastAsia="Calibri"/>
          <w:color w:val="000000" w:themeColor="text1"/>
          <w:szCs w:val="28"/>
        </w:rPr>
        <w:t>мертності дітей</w:t>
      </w:r>
      <w:r w:rsidR="00980F87">
        <w:rPr>
          <w:rFonts w:eastAsia="Calibri"/>
          <w:color w:val="000000" w:themeColor="text1"/>
          <w:szCs w:val="28"/>
        </w:rPr>
        <w:t xml:space="preserve"> </w:t>
      </w:r>
      <w:r>
        <w:rPr>
          <w:rFonts w:eastAsia="Calibri"/>
          <w:color w:val="000000" w:themeColor="text1"/>
          <w:szCs w:val="28"/>
        </w:rPr>
        <w:t xml:space="preserve">характерні </w:t>
      </w:r>
      <w:r w:rsidR="00980F87">
        <w:rPr>
          <w:rFonts w:eastAsia="Calibri"/>
          <w:color w:val="000000" w:themeColor="text1"/>
          <w:szCs w:val="28"/>
        </w:rPr>
        <w:t xml:space="preserve">регіональні відмінності. Так, </w:t>
      </w:r>
      <w:r w:rsidR="00323DA9" w:rsidRPr="00EA77E3">
        <w:rPr>
          <w:rFonts w:eastAsia="Calibri"/>
          <w:color w:val="000000" w:themeColor="text1"/>
          <w:szCs w:val="28"/>
        </w:rPr>
        <w:t>Африка н</w:t>
      </w:r>
      <w:r>
        <w:rPr>
          <w:rFonts w:eastAsia="Calibri"/>
          <w:color w:val="000000" w:themeColor="text1"/>
          <w:szCs w:val="28"/>
        </w:rPr>
        <w:t xml:space="preserve">а південь від Сахари </w:t>
      </w:r>
      <w:r>
        <w:rPr>
          <w:rFonts w:eastAsia="Calibri"/>
          <w:color w:val="000000" w:themeColor="text1"/>
          <w:szCs w:val="28"/>
          <w:lang w:val="ru-RU"/>
        </w:rPr>
        <w:t>продовжує залишатись</w:t>
      </w:r>
      <w:r w:rsidR="00323DA9" w:rsidRPr="00EA77E3">
        <w:rPr>
          <w:rFonts w:eastAsia="Calibri"/>
          <w:color w:val="000000" w:themeColor="text1"/>
          <w:szCs w:val="28"/>
        </w:rPr>
        <w:t xml:space="preserve"> регіоном </w:t>
      </w:r>
      <w:r>
        <w:rPr>
          <w:rFonts w:eastAsia="Calibri"/>
          <w:color w:val="000000" w:themeColor="text1"/>
          <w:szCs w:val="28"/>
        </w:rPr>
        <w:t>і</w:t>
      </w:r>
      <w:r w:rsidR="00323DA9" w:rsidRPr="00EA77E3">
        <w:rPr>
          <w:rFonts w:eastAsia="Calibri"/>
          <w:color w:val="000000" w:themeColor="text1"/>
          <w:szCs w:val="28"/>
        </w:rPr>
        <w:t xml:space="preserve">з найвищим рівнем </w:t>
      </w:r>
      <w:r>
        <w:rPr>
          <w:rFonts w:eastAsia="Calibri"/>
          <w:color w:val="000000" w:themeColor="text1"/>
          <w:szCs w:val="28"/>
        </w:rPr>
        <w:t>смертності дітей у віці до 5</w:t>
      </w:r>
      <w:r w:rsidR="00980F87">
        <w:rPr>
          <w:rFonts w:eastAsia="Calibri"/>
          <w:color w:val="000000" w:themeColor="text1"/>
          <w:szCs w:val="28"/>
        </w:rPr>
        <w:t xml:space="preserve"> років у світі, де помирає 1</w:t>
      </w:r>
      <w:r w:rsidR="002B15BE">
        <w:rPr>
          <w:rFonts w:eastAsia="Calibri"/>
          <w:color w:val="000000" w:themeColor="text1"/>
          <w:szCs w:val="28"/>
          <w:lang w:val="ru-RU"/>
        </w:rPr>
        <w:t xml:space="preserve"> дитина</w:t>
      </w:r>
      <w:r w:rsidR="00980F87">
        <w:rPr>
          <w:rFonts w:eastAsia="Calibri"/>
          <w:color w:val="000000" w:themeColor="text1"/>
          <w:szCs w:val="28"/>
        </w:rPr>
        <w:t xml:space="preserve"> з 13 дітей до </w:t>
      </w:r>
      <w:r w:rsidR="00980F87" w:rsidRPr="00980F87">
        <w:rPr>
          <w:rFonts w:eastAsia="Calibri"/>
          <w:color w:val="000000" w:themeColor="text1"/>
          <w:szCs w:val="28"/>
        </w:rPr>
        <w:t>до свого п'ятиріччя</w:t>
      </w:r>
      <w:r w:rsidR="00980F87">
        <w:rPr>
          <w:rFonts w:eastAsia="Calibri"/>
          <w:color w:val="000000" w:themeColor="text1"/>
          <w:szCs w:val="28"/>
        </w:rPr>
        <w:t xml:space="preserve"> (2018 р. – </w:t>
      </w:r>
      <w:r w:rsidR="00980F87">
        <w:rPr>
          <w:rFonts w:eastAsia="Calibri"/>
          <w:color w:val="000000" w:themeColor="text1"/>
          <w:szCs w:val="28"/>
        </w:rPr>
        <w:lastRenderedPageBreak/>
        <w:t>78</w:t>
      </w:r>
      <w:r w:rsidR="00980F87" w:rsidRPr="00980F87">
        <w:rPr>
          <w:rFonts w:eastAsia="Calibri"/>
          <w:color w:val="000000" w:themeColor="text1"/>
          <w:szCs w:val="28"/>
        </w:rPr>
        <w:t>‰</w:t>
      </w:r>
      <w:r w:rsidR="00980F87">
        <w:rPr>
          <w:rFonts w:eastAsia="Calibri"/>
          <w:color w:val="000000" w:themeColor="text1"/>
          <w:szCs w:val="28"/>
        </w:rPr>
        <w:t>)</w:t>
      </w:r>
      <w:r w:rsidR="00323DA9" w:rsidRPr="00EA77E3">
        <w:rPr>
          <w:rFonts w:eastAsia="Calibri"/>
          <w:color w:val="000000" w:themeColor="text1"/>
          <w:szCs w:val="28"/>
        </w:rPr>
        <w:t>.</w:t>
      </w:r>
      <w:r w:rsidR="00D763FC">
        <w:rPr>
          <w:rFonts w:eastAsia="Calibri"/>
          <w:color w:val="000000" w:themeColor="text1"/>
          <w:szCs w:val="28"/>
        </w:rPr>
        <w:t xml:space="preserve"> </w:t>
      </w:r>
      <w:r w:rsidR="00323DA9" w:rsidRPr="00EA77E3">
        <w:rPr>
          <w:rFonts w:eastAsia="NewtonC-Bold" w:cs="NewtonC-Bold"/>
          <w:bCs/>
          <w:color w:val="000000" w:themeColor="text1"/>
          <w:szCs w:val="28"/>
          <w:lang w:eastAsia="ru-RU"/>
        </w:rPr>
        <w:t>Рівень дитячої смертності в Європейському регіоні також характеризується поміт</w:t>
      </w:r>
      <w:r w:rsidR="00411815">
        <w:rPr>
          <w:rFonts w:eastAsia="NewtonC-Bold" w:cs="NewtonC-Bold"/>
          <w:bCs/>
          <w:color w:val="000000" w:themeColor="text1"/>
          <w:szCs w:val="28"/>
          <w:lang w:eastAsia="ru-RU"/>
        </w:rPr>
        <w:t xml:space="preserve">ною регіональною диференціацією, а саме </w:t>
      </w:r>
      <w:r w:rsidR="00323DA9" w:rsidRPr="00EA77E3">
        <w:rPr>
          <w:rFonts w:eastAsia="NewtonC-Bold" w:cs="NewtonC-Bold"/>
          <w:bCs/>
          <w:color w:val="000000" w:themeColor="text1"/>
          <w:szCs w:val="28"/>
          <w:lang w:eastAsia="ru-RU"/>
        </w:rPr>
        <w:t>більш розвинені країни з кращими економічними і соціальними умовами для м</w:t>
      </w:r>
      <w:r w:rsidR="00411815">
        <w:rPr>
          <w:rFonts w:eastAsia="NewtonC-Bold" w:cs="NewtonC-Bold"/>
          <w:bCs/>
          <w:color w:val="000000" w:themeColor="text1"/>
          <w:szCs w:val="28"/>
          <w:lang w:eastAsia="ru-RU"/>
        </w:rPr>
        <w:t>атерів і новонароджених,</w:t>
      </w:r>
      <w:r w:rsidR="00323DA9" w:rsidRPr="00EA77E3">
        <w:rPr>
          <w:rFonts w:eastAsia="NewtonC-Bold" w:cs="NewtonC-Bold"/>
          <w:bCs/>
          <w:color w:val="000000" w:themeColor="text1"/>
          <w:szCs w:val="28"/>
          <w:lang w:eastAsia="ru-RU"/>
        </w:rPr>
        <w:t xml:space="preserve"> ефективною системою охорони здоров'я мають помітно нижчі показники малюкової смертності</w:t>
      </w:r>
      <w:r w:rsidR="00411815">
        <w:rPr>
          <w:rFonts w:eastAsia="NewtonC-Bold" w:cs="NewtonC-Bold"/>
          <w:bCs/>
          <w:color w:val="000000" w:themeColor="text1"/>
          <w:szCs w:val="28"/>
          <w:lang w:eastAsia="ru-RU"/>
        </w:rPr>
        <w:t>.</w:t>
      </w:r>
      <w:r w:rsidR="00323DA9" w:rsidRPr="00EA77E3">
        <w:rPr>
          <w:rFonts w:eastAsia="NewtonC-Bold" w:cs="NewtonC-Bold"/>
          <w:bCs/>
          <w:color w:val="000000" w:themeColor="text1"/>
          <w:szCs w:val="28"/>
          <w:lang w:eastAsia="ru-RU"/>
        </w:rPr>
        <w:t xml:space="preserve"> </w:t>
      </w:r>
      <w:r w:rsidR="00411815">
        <w:rPr>
          <w:rFonts w:eastAsia="NewtonC-Bold" w:cs="NewtonC-Bold"/>
          <w:bCs/>
          <w:color w:val="000000" w:themeColor="text1"/>
          <w:szCs w:val="28"/>
          <w:lang w:eastAsia="ru-RU"/>
        </w:rPr>
        <w:t xml:space="preserve">Найнижчі рівні смертності дітей у віці до 1 року життя </w:t>
      </w:r>
      <w:r w:rsidR="00323DA9" w:rsidRPr="00EA77E3">
        <w:rPr>
          <w:rFonts w:eastAsia="NewtonC-Bold" w:cs="NewtonC-Bold"/>
          <w:bCs/>
          <w:color w:val="000000" w:themeColor="text1"/>
          <w:szCs w:val="28"/>
          <w:lang w:eastAsia="ru-RU"/>
        </w:rPr>
        <w:t>зареєстровані у країнах Північної Європи (де показник не перевищує 5</w:t>
      </w:r>
      <w:r w:rsidR="00841DD1" w:rsidRPr="00841DD1">
        <w:rPr>
          <w:rFonts w:eastAsia="NewtonC-Bold" w:cs="NewtonC-Bold"/>
          <w:bCs/>
          <w:color w:val="000000" w:themeColor="text1"/>
          <w:szCs w:val="28"/>
          <w:lang w:eastAsia="ru-RU"/>
        </w:rPr>
        <w:t>‰</w:t>
      </w:r>
      <w:r w:rsidR="002B15BE">
        <w:rPr>
          <w:rFonts w:eastAsia="NewtonC-Bold" w:cs="NewtonC-Bold"/>
          <w:bCs/>
          <w:color w:val="000000" w:themeColor="text1"/>
          <w:szCs w:val="28"/>
          <w:lang w:eastAsia="ru-RU"/>
        </w:rPr>
        <w:t>), а найвищі</w:t>
      </w:r>
      <w:r w:rsidR="002B15BE" w:rsidRPr="002B15BE">
        <w:rPr>
          <w:rFonts w:eastAsia="NewtonC-Bold" w:cs="NewtonC-Bold"/>
          <w:bCs/>
          <w:color w:val="000000" w:themeColor="text1"/>
          <w:szCs w:val="28"/>
          <w:lang w:eastAsia="ru-RU"/>
        </w:rPr>
        <w:t xml:space="preserve"> – </w:t>
      </w:r>
      <w:r w:rsidR="00323DA9" w:rsidRPr="00EA77E3">
        <w:rPr>
          <w:rFonts w:eastAsia="NewtonC-Bold" w:cs="NewtonC-Bold"/>
          <w:bCs/>
          <w:color w:val="000000" w:themeColor="text1"/>
          <w:szCs w:val="28"/>
          <w:lang w:eastAsia="ru-RU"/>
        </w:rPr>
        <w:t xml:space="preserve">зосереджені в країнах Центральної Європи (за винятком Чехії та Словенії). </w:t>
      </w:r>
      <w:r w:rsidR="00C71B5B">
        <w:rPr>
          <w:rFonts w:eastAsia="NewtonC-Bold" w:cs="NewtonC-Bold"/>
          <w:bCs/>
          <w:color w:val="000000" w:themeColor="text1"/>
          <w:szCs w:val="28"/>
          <w:lang w:val="ru-RU" w:eastAsia="ru-RU"/>
        </w:rPr>
        <w:t>Таким чином, т</w:t>
      </w:r>
      <w:r w:rsidR="00323DA9" w:rsidRPr="00EA77E3">
        <w:rPr>
          <w:rFonts w:eastAsia="NewtonC-Bold" w:cs="NewtonC-Bold"/>
          <w:bCs/>
          <w:color w:val="000000" w:themeColor="text1"/>
          <w:szCs w:val="28"/>
          <w:lang w:eastAsia="ru-RU"/>
        </w:rPr>
        <w:t xml:space="preserve">ягар дитячої смертності нерівномірно розподілений по регіонах </w:t>
      </w:r>
      <w:proofErr w:type="gramStart"/>
      <w:r w:rsidR="00323DA9" w:rsidRPr="00EA77E3">
        <w:rPr>
          <w:rFonts w:eastAsia="NewtonC-Bold" w:cs="NewtonC-Bold"/>
          <w:bCs/>
          <w:color w:val="000000" w:themeColor="text1"/>
          <w:szCs w:val="28"/>
          <w:lang w:eastAsia="ru-RU"/>
        </w:rPr>
        <w:t>св</w:t>
      </w:r>
      <w:proofErr w:type="gramEnd"/>
      <w:r w:rsidR="00323DA9" w:rsidRPr="00EA77E3">
        <w:rPr>
          <w:rFonts w:eastAsia="NewtonC-Bold" w:cs="NewtonC-Bold"/>
          <w:bCs/>
          <w:color w:val="000000" w:themeColor="text1"/>
          <w:szCs w:val="28"/>
          <w:lang w:eastAsia="ru-RU"/>
        </w:rPr>
        <w:t>іту. У 2</w:t>
      </w:r>
      <w:r w:rsidR="002B15BE">
        <w:rPr>
          <w:rFonts w:eastAsia="NewtonC-Bold" w:cs="NewtonC-Bold"/>
          <w:bCs/>
          <w:color w:val="000000" w:themeColor="text1"/>
          <w:szCs w:val="28"/>
          <w:lang w:eastAsia="ru-RU"/>
        </w:rPr>
        <w:t>018 р. більше половини (3,3 млн</w:t>
      </w:r>
      <w:r w:rsidR="00323DA9" w:rsidRPr="00EA77E3">
        <w:rPr>
          <w:rFonts w:eastAsia="NewtonC-Bold" w:cs="NewtonC-Bold"/>
          <w:bCs/>
          <w:color w:val="000000" w:themeColor="text1"/>
          <w:szCs w:val="28"/>
          <w:lang w:eastAsia="ru-RU"/>
        </w:rPr>
        <w:t>) всіх дітей у віці до 15 років померли в країнах Афри</w:t>
      </w:r>
      <w:r w:rsidR="00411815">
        <w:rPr>
          <w:rFonts w:eastAsia="NewtonC-Bold" w:cs="NewtonC-Bold"/>
          <w:bCs/>
          <w:color w:val="000000" w:themeColor="text1"/>
          <w:szCs w:val="28"/>
          <w:lang w:eastAsia="ru-RU"/>
        </w:rPr>
        <w:t xml:space="preserve">ки на південь від Сахари, </w:t>
      </w:r>
      <w:r w:rsidR="00323DA9" w:rsidRPr="00EA77E3">
        <w:rPr>
          <w:rFonts w:eastAsia="NewtonC-Bold" w:cs="NewtonC-Bold"/>
          <w:bCs/>
          <w:color w:val="000000" w:themeColor="text1"/>
          <w:szCs w:val="28"/>
          <w:lang w:eastAsia="ru-RU"/>
        </w:rPr>
        <w:t xml:space="preserve">в Центральній </w:t>
      </w:r>
      <w:r w:rsidR="00411815">
        <w:rPr>
          <w:rFonts w:eastAsia="NewtonC-Bold" w:cs="NewtonC-Bold"/>
          <w:bCs/>
          <w:color w:val="000000" w:themeColor="text1"/>
          <w:szCs w:val="28"/>
          <w:lang w:eastAsia="ru-RU"/>
        </w:rPr>
        <w:t>і Південній Азії померло</w:t>
      </w:r>
      <w:r w:rsidR="002B15BE">
        <w:rPr>
          <w:rFonts w:eastAsia="NewtonC-Bold" w:cs="NewtonC-Bold"/>
          <w:bCs/>
          <w:color w:val="000000" w:themeColor="text1"/>
          <w:szCs w:val="28"/>
          <w:lang w:eastAsia="ru-RU"/>
        </w:rPr>
        <w:t xml:space="preserve"> 28% (1,8 млн</w:t>
      </w:r>
      <w:r w:rsidR="00411815">
        <w:rPr>
          <w:rFonts w:eastAsia="NewtonC-Bold" w:cs="NewtonC-Bold"/>
          <w:bCs/>
          <w:color w:val="000000" w:themeColor="text1"/>
          <w:szCs w:val="28"/>
          <w:lang w:eastAsia="ru-RU"/>
        </w:rPr>
        <w:t xml:space="preserve"> дітей</w:t>
      </w:r>
      <w:r w:rsidR="00323DA9" w:rsidRPr="00EA77E3">
        <w:rPr>
          <w:rFonts w:eastAsia="NewtonC-Bold" w:cs="NewtonC-Bold"/>
          <w:bCs/>
          <w:color w:val="000000" w:themeColor="text1"/>
          <w:szCs w:val="28"/>
          <w:lang w:eastAsia="ru-RU"/>
        </w:rPr>
        <w:t>). На регіони Австралії та Нової Зеландії, Східної та Південно-Східної Азії, Північної Африки та Західної Азії, Європи і Північної Америки, Латинської Америки і Карибського басейну і Океанії (виключаючи Австралію і Нову Зеландію) доводиться 19% а</w:t>
      </w:r>
      <w:r w:rsidR="002B15BE">
        <w:rPr>
          <w:rFonts w:eastAsia="NewtonC-Bold" w:cs="NewtonC-Bold"/>
          <w:bCs/>
          <w:color w:val="000000" w:themeColor="text1"/>
          <w:szCs w:val="28"/>
          <w:lang w:eastAsia="ru-RU"/>
        </w:rPr>
        <w:t>бо 1,2 млн</w:t>
      </w:r>
      <w:r w:rsidR="00425C00">
        <w:rPr>
          <w:rFonts w:eastAsia="NewtonC-Bold" w:cs="NewtonC-Bold"/>
          <w:bCs/>
          <w:color w:val="000000" w:themeColor="text1"/>
          <w:szCs w:val="28"/>
          <w:lang w:eastAsia="ru-RU"/>
        </w:rPr>
        <w:t xml:space="preserve"> дітей</w:t>
      </w:r>
      <w:r w:rsidR="002B15BE" w:rsidRPr="002B15BE">
        <w:rPr>
          <w:rFonts w:eastAsia="NewtonC-Bold" w:cs="NewtonC-Bold"/>
          <w:bCs/>
          <w:color w:val="000000" w:themeColor="text1"/>
          <w:szCs w:val="28"/>
          <w:lang w:eastAsia="ru-RU"/>
        </w:rPr>
        <w:t>,</w:t>
      </w:r>
      <w:r w:rsidR="00926108">
        <w:rPr>
          <w:rFonts w:eastAsia="NewtonC-Bold" w:cs="NewtonC-Bold"/>
          <w:bCs/>
          <w:color w:val="000000" w:themeColor="text1"/>
          <w:szCs w:val="28"/>
          <w:lang w:eastAsia="ru-RU"/>
        </w:rPr>
        <w:t xml:space="preserve"> які</w:t>
      </w:r>
      <w:r w:rsidR="002B15BE" w:rsidRPr="002B15BE">
        <w:rPr>
          <w:rFonts w:eastAsia="NewtonC-Bold" w:cs="NewtonC-Bold"/>
          <w:bCs/>
          <w:color w:val="000000" w:themeColor="text1"/>
          <w:szCs w:val="28"/>
          <w:lang w:eastAsia="ru-RU"/>
        </w:rPr>
        <w:t xml:space="preserve"> померли</w:t>
      </w:r>
      <w:r w:rsidR="00425C00">
        <w:rPr>
          <w:rFonts w:eastAsia="NewtonC-Bold" w:cs="NewtonC-Bold"/>
          <w:bCs/>
          <w:color w:val="000000" w:themeColor="text1"/>
          <w:szCs w:val="28"/>
          <w:lang w:eastAsia="ru-RU"/>
        </w:rPr>
        <w:t xml:space="preserve"> до 15 років [</w:t>
      </w:r>
      <w:r w:rsidR="00425C00" w:rsidRPr="002F1D8E">
        <w:rPr>
          <w:rFonts w:eastAsia="NewtonC-Bold" w:cs="NewtonC-Bold"/>
          <w:bCs/>
          <w:color w:val="000000" w:themeColor="text1"/>
          <w:szCs w:val="28"/>
          <w:lang w:eastAsia="ru-RU"/>
        </w:rPr>
        <w:t>6</w:t>
      </w:r>
      <w:r w:rsidR="00D763FC">
        <w:rPr>
          <w:rFonts w:eastAsia="NewtonC-Bold" w:cs="NewtonC-Bold"/>
          <w:bCs/>
          <w:color w:val="000000" w:themeColor="text1"/>
          <w:szCs w:val="28"/>
          <w:lang w:eastAsia="ru-RU"/>
        </w:rPr>
        <w:t>, 43</w:t>
      </w:r>
      <w:r w:rsidR="00000770">
        <w:rPr>
          <w:rFonts w:eastAsia="NewtonC-Bold" w:cs="NewtonC-Bold"/>
          <w:bCs/>
          <w:color w:val="000000" w:themeColor="text1"/>
          <w:szCs w:val="28"/>
          <w:lang w:eastAsia="ru-RU"/>
        </w:rPr>
        <w:t>, 47</w:t>
      </w:r>
      <w:r w:rsidR="00323DA9" w:rsidRPr="00EA77E3">
        <w:rPr>
          <w:rFonts w:eastAsia="NewtonC-Bold" w:cs="NewtonC-Bold"/>
          <w:bCs/>
          <w:color w:val="000000" w:themeColor="text1"/>
          <w:szCs w:val="28"/>
          <w:lang w:eastAsia="ru-RU"/>
        </w:rPr>
        <w:t>].</w:t>
      </w:r>
    </w:p>
    <w:p w:rsidR="00323DA9" w:rsidRPr="00EA77E3" w:rsidRDefault="0027308C" w:rsidP="00721203">
      <w:pPr>
        <w:widowControl w:val="0"/>
        <w:ind w:firstLine="709"/>
        <w:rPr>
          <w:rFonts w:eastAsia="Calibri"/>
          <w:color w:val="000000" w:themeColor="text1"/>
          <w:szCs w:val="28"/>
        </w:rPr>
      </w:pPr>
      <w:r>
        <w:rPr>
          <w:rFonts w:eastAsia="Calibri"/>
          <w:color w:val="000000" w:themeColor="text1"/>
          <w:szCs w:val="28"/>
          <w:lang w:val="ru-RU"/>
        </w:rPr>
        <w:t>Із</w:t>
      </w:r>
      <w:r w:rsidR="00C71B5B">
        <w:rPr>
          <w:rFonts w:eastAsia="Calibri"/>
          <w:color w:val="000000" w:themeColor="text1"/>
          <w:szCs w:val="28"/>
          <w:lang w:val="ru-RU"/>
        </w:rPr>
        <w:t xml:space="preserve"> урахуванням вищенаведеного, стає зрозумілою необхідність</w:t>
      </w:r>
      <w:r w:rsidR="00C71B5B">
        <w:rPr>
          <w:rFonts w:eastAsia="Calibri"/>
          <w:color w:val="000000" w:themeColor="text1"/>
          <w:szCs w:val="28"/>
        </w:rPr>
        <w:t xml:space="preserve">  прискорення</w:t>
      </w:r>
      <w:r w:rsidR="00323DA9" w:rsidRPr="00EA77E3">
        <w:rPr>
          <w:rFonts w:eastAsia="Calibri"/>
          <w:color w:val="000000" w:themeColor="text1"/>
          <w:szCs w:val="28"/>
        </w:rPr>
        <w:t xml:space="preserve"> прогрес</w:t>
      </w:r>
      <w:r w:rsidR="00C71B5B">
        <w:rPr>
          <w:rFonts w:eastAsia="Calibri"/>
          <w:color w:val="000000" w:themeColor="text1"/>
          <w:szCs w:val="28"/>
        </w:rPr>
        <w:t>у</w:t>
      </w:r>
      <w:r w:rsidR="007F224E">
        <w:rPr>
          <w:rFonts w:eastAsia="Calibri"/>
          <w:color w:val="000000" w:themeColor="text1"/>
          <w:szCs w:val="28"/>
        </w:rPr>
        <w:t xml:space="preserve"> в</w:t>
      </w:r>
      <w:r w:rsidR="00C74869">
        <w:rPr>
          <w:rFonts w:eastAsia="Calibri"/>
          <w:color w:val="000000" w:themeColor="text1"/>
          <w:szCs w:val="28"/>
        </w:rPr>
        <w:t xml:space="preserve"> попередженні</w:t>
      </w:r>
      <w:r w:rsidR="00323DA9" w:rsidRPr="00EA77E3">
        <w:rPr>
          <w:rFonts w:eastAsia="Calibri"/>
          <w:color w:val="000000" w:themeColor="text1"/>
          <w:szCs w:val="28"/>
        </w:rPr>
        <w:t xml:space="preserve"> дитячої смертності. Поточні тенденції перед</w:t>
      </w:r>
      <w:r w:rsidR="00560C16">
        <w:rPr>
          <w:rFonts w:eastAsia="Calibri"/>
          <w:color w:val="000000" w:themeColor="text1"/>
          <w:szCs w:val="28"/>
        </w:rPr>
        <w:t xml:space="preserve">бачають, що близько 52 </w:t>
      </w:r>
      <w:proofErr w:type="gramStart"/>
      <w:r w:rsidR="00560C16">
        <w:rPr>
          <w:rFonts w:eastAsia="Calibri"/>
          <w:color w:val="000000" w:themeColor="text1"/>
          <w:szCs w:val="28"/>
        </w:rPr>
        <w:t>млн</w:t>
      </w:r>
      <w:proofErr w:type="gramEnd"/>
      <w:r w:rsidR="00323DA9" w:rsidRPr="00EA77E3">
        <w:rPr>
          <w:rFonts w:eastAsia="Calibri"/>
          <w:color w:val="000000" w:themeColor="text1"/>
          <w:szCs w:val="28"/>
        </w:rPr>
        <w:t xml:space="preserve"> дітей у віці до 5 років</w:t>
      </w:r>
      <w:r w:rsidR="009464A4">
        <w:rPr>
          <w:rFonts w:eastAsia="Calibri"/>
          <w:color w:val="000000" w:themeColor="text1"/>
          <w:szCs w:val="28"/>
        </w:rPr>
        <w:t xml:space="preserve"> життя</w:t>
      </w:r>
      <w:r>
        <w:rPr>
          <w:rFonts w:eastAsia="Calibri"/>
          <w:color w:val="000000" w:themeColor="text1"/>
          <w:szCs w:val="28"/>
        </w:rPr>
        <w:t xml:space="preserve"> помруть у</w:t>
      </w:r>
      <w:r w:rsidR="00323DA9" w:rsidRPr="00EA77E3">
        <w:rPr>
          <w:rFonts w:eastAsia="Calibri"/>
          <w:color w:val="000000" w:themeColor="text1"/>
          <w:szCs w:val="28"/>
        </w:rPr>
        <w:t xml:space="preserve"> період між 2019 і 2030 рр.</w:t>
      </w:r>
      <w:r w:rsidR="00C71B5B">
        <w:rPr>
          <w:rFonts w:eastAsia="Calibri"/>
          <w:color w:val="000000" w:themeColor="text1"/>
          <w:szCs w:val="28"/>
        </w:rPr>
        <w:t xml:space="preserve"> При цьому м</w:t>
      </w:r>
      <w:r w:rsidR="00323DA9" w:rsidRPr="00EA77E3">
        <w:rPr>
          <w:rFonts w:eastAsia="Calibri"/>
          <w:color w:val="000000" w:themeColor="text1"/>
          <w:szCs w:val="28"/>
        </w:rPr>
        <w:t>айже половин</w:t>
      </w:r>
      <w:r>
        <w:rPr>
          <w:rFonts w:eastAsia="Calibri"/>
          <w:color w:val="000000" w:themeColor="text1"/>
          <w:szCs w:val="28"/>
        </w:rPr>
        <w:t>а з цих смертей у віці до 5 </w:t>
      </w:r>
      <w:r w:rsidR="00C71B5B">
        <w:rPr>
          <w:rFonts w:eastAsia="Calibri"/>
          <w:color w:val="000000" w:themeColor="text1"/>
          <w:szCs w:val="28"/>
        </w:rPr>
        <w:t xml:space="preserve"> років відбудеться</w:t>
      </w:r>
      <w:r w:rsidR="00323DA9" w:rsidRPr="00EA77E3">
        <w:rPr>
          <w:rFonts w:ascii="Calibri" w:eastAsia="Calibri" w:hAnsi="Calibri"/>
          <w:color w:val="000000" w:themeColor="text1"/>
          <w:sz w:val="22"/>
        </w:rPr>
        <w:t xml:space="preserve"> </w:t>
      </w:r>
      <w:r w:rsidR="00323DA9" w:rsidRPr="00EA77E3">
        <w:rPr>
          <w:rFonts w:eastAsia="Calibri"/>
          <w:color w:val="000000" w:themeColor="text1"/>
          <w:szCs w:val="28"/>
        </w:rPr>
        <w:t>у неонатальному періоді,</w:t>
      </w:r>
      <w:r w:rsidR="00C71B5B">
        <w:rPr>
          <w:rFonts w:eastAsia="Calibri"/>
          <w:color w:val="000000" w:themeColor="text1"/>
          <w:szCs w:val="28"/>
        </w:rPr>
        <w:t xml:space="preserve"> </w:t>
      </w:r>
      <w:r w:rsidR="00423791">
        <w:rPr>
          <w:rFonts w:eastAsia="Calibri"/>
          <w:color w:val="000000" w:themeColor="text1"/>
          <w:szCs w:val="28"/>
        </w:rPr>
        <w:t xml:space="preserve">і більшості з них </w:t>
      </w:r>
      <w:r w:rsidR="00323DA9" w:rsidRPr="00EA77E3">
        <w:rPr>
          <w:rFonts w:eastAsia="Calibri"/>
          <w:color w:val="000000" w:themeColor="text1"/>
          <w:szCs w:val="28"/>
        </w:rPr>
        <w:t>можна запобігти, досягнувши високого рівня охоплення якісною допологової допомогою, кваліфікованою допомогою при народженні, післяпологовою допомогою матері і дитині, а також доглядом за недоношеними новонародженими, з малою вагою т</w:t>
      </w:r>
      <w:r w:rsidR="002F1D8E">
        <w:rPr>
          <w:rFonts w:eastAsia="Calibri"/>
          <w:color w:val="000000" w:themeColor="text1"/>
          <w:szCs w:val="28"/>
        </w:rPr>
        <w:t>іла і хворими новонародженими [</w:t>
      </w:r>
      <w:r w:rsidR="002F1D8E" w:rsidRPr="002F1D8E">
        <w:rPr>
          <w:rFonts w:eastAsia="Calibri"/>
          <w:color w:val="000000" w:themeColor="text1"/>
          <w:szCs w:val="28"/>
        </w:rPr>
        <w:t>6</w:t>
      </w:r>
      <w:r w:rsidR="009B5E12" w:rsidRPr="009B5E12">
        <w:rPr>
          <w:rFonts w:eastAsia="Calibri"/>
          <w:color w:val="000000" w:themeColor="text1"/>
          <w:szCs w:val="28"/>
        </w:rPr>
        <w:t>,</w:t>
      </w:r>
      <w:r w:rsidR="003E7AF4">
        <w:rPr>
          <w:rFonts w:eastAsia="Calibri"/>
          <w:color w:val="000000" w:themeColor="text1"/>
          <w:szCs w:val="28"/>
        </w:rPr>
        <w:t xml:space="preserve"> 8,</w:t>
      </w:r>
      <w:r w:rsidR="009B5E12" w:rsidRPr="009B5E12">
        <w:rPr>
          <w:rFonts w:eastAsia="Calibri"/>
          <w:color w:val="000000" w:themeColor="text1"/>
          <w:szCs w:val="28"/>
        </w:rPr>
        <w:t xml:space="preserve"> 56</w:t>
      </w:r>
      <w:r w:rsidR="00323DA9" w:rsidRPr="00EA77E3">
        <w:rPr>
          <w:rFonts w:eastAsia="Calibri"/>
          <w:color w:val="000000" w:themeColor="text1"/>
          <w:szCs w:val="28"/>
        </w:rPr>
        <w:t>].</w:t>
      </w:r>
    </w:p>
    <w:p w:rsidR="00323DA9" w:rsidRPr="00EA77E3" w:rsidRDefault="00323DA9" w:rsidP="00721203">
      <w:pPr>
        <w:widowControl w:val="0"/>
        <w:ind w:firstLine="709"/>
        <w:rPr>
          <w:rFonts w:eastAsia="Calibri"/>
          <w:color w:val="000000" w:themeColor="text1"/>
          <w:szCs w:val="28"/>
        </w:rPr>
      </w:pPr>
      <w:r w:rsidRPr="00EA77E3">
        <w:rPr>
          <w:rFonts w:eastAsia="Calibri"/>
          <w:color w:val="000000" w:themeColor="text1"/>
          <w:szCs w:val="28"/>
        </w:rPr>
        <w:t>У 2018 р. 121 країна вже досягла рівня смертності дітей у віці до 5</w:t>
      </w:r>
      <w:r w:rsidR="006C733B">
        <w:rPr>
          <w:rFonts w:eastAsia="Calibri"/>
          <w:color w:val="000000" w:themeColor="text1"/>
          <w:szCs w:val="28"/>
        </w:rPr>
        <w:t>-ти</w:t>
      </w:r>
      <w:r w:rsidRPr="00EA77E3">
        <w:rPr>
          <w:rFonts w:eastAsia="Calibri"/>
          <w:color w:val="000000" w:themeColor="text1"/>
          <w:szCs w:val="28"/>
        </w:rPr>
        <w:t xml:space="preserve"> років</w:t>
      </w:r>
      <w:r w:rsidR="009464A4">
        <w:rPr>
          <w:rFonts w:eastAsia="Calibri"/>
          <w:color w:val="000000" w:themeColor="text1"/>
          <w:szCs w:val="28"/>
        </w:rPr>
        <w:t xml:space="preserve"> </w:t>
      </w:r>
      <w:r w:rsidRPr="00EA77E3">
        <w:rPr>
          <w:rFonts w:eastAsia="Calibri"/>
          <w:color w:val="000000" w:themeColor="text1"/>
          <w:szCs w:val="28"/>
        </w:rPr>
        <w:t xml:space="preserve"> нижче цільового показника Цілей в галузі сталого розвитку (ЦСР), що становить 25</w:t>
      </w:r>
      <w:r w:rsidR="006C733B" w:rsidRPr="006C733B">
        <w:rPr>
          <w:rFonts w:eastAsia="Calibri"/>
          <w:bCs/>
          <w:color w:val="000000" w:themeColor="text1"/>
          <w:szCs w:val="28"/>
        </w:rPr>
        <w:t>‰</w:t>
      </w:r>
      <w:r w:rsidRPr="00EA77E3">
        <w:rPr>
          <w:rFonts w:eastAsia="Calibri"/>
          <w:color w:val="000000" w:themeColor="text1"/>
          <w:szCs w:val="28"/>
        </w:rPr>
        <w:t xml:space="preserve"> або менш</w:t>
      </w:r>
      <w:r w:rsidR="006C733B">
        <w:rPr>
          <w:rFonts w:eastAsia="Calibri"/>
          <w:color w:val="000000" w:themeColor="text1"/>
          <w:szCs w:val="28"/>
        </w:rPr>
        <w:t>е</w:t>
      </w:r>
      <w:r w:rsidRPr="00EA77E3">
        <w:rPr>
          <w:rFonts w:eastAsia="Calibri"/>
          <w:color w:val="000000" w:themeColor="text1"/>
          <w:szCs w:val="28"/>
        </w:rPr>
        <w:t xml:space="preserve">, при цьому ці країни </w:t>
      </w:r>
      <w:r w:rsidR="00FF0264">
        <w:rPr>
          <w:rFonts w:eastAsia="Calibri"/>
          <w:color w:val="000000" w:themeColor="text1"/>
          <w:szCs w:val="28"/>
        </w:rPr>
        <w:t>мають досягати</w:t>
      </w:r>
      <w:r w:rsidR="006C733B">
        <w:rPr>
          <w:rFonts w:eastAsia="Calibri"/>
          <w:color w:val="000000" w:themeColor="text1"/>
          <w:szCs w:val="28"/>
        </w:rPr>
        <w:t xml:space="preserve"> подальшого</w:t>
      </w:r>
      <w:r w:rsidRPr="00EA77E3">
        <w:rPr>
          <w:rFonts w:eastAsia="Calibri"/>
          <w:color w:val="000000" w:themeColor="text1"/>
          <w:szCs w:val="28"/>
        </w:rPr>
        <w:t xml:space="preserve"> про</w:t>
      </w:r>
      <w:r w:rsidR="006C733B">
        <w:rPr>
          <w:rFonts w:eastAsia="Calibri"/>
          <w:color w:val="000000" w:themeColor="text1"/>
          <w:szCs w:val="28"/>
        </w:rPr>
        <w:t>гресу</w:t>
      </w:r>
      <w:r w:rsidRPr="00EA77E3">
        <w:rPr>
          <w:rFonts w:eastAsia="Calibri"/>
          <w:color w:val="000000" w:themeColor="text1"/>
          <w:szCs w:val="28"/>
        </w:rPr>
        <w:t>. Іншим 74 країнам необхідно буде прискорити прогрес, щоб досягти ЦСР до 2030 року. Якщо до 2030 р. всі країни досягнуть ціль</w:t>
      </w:r>
      <w:r w:rsidR="00C95425">
        <w:rPr>
          <w:rFonts w:eastAsia="Calibri"/>
          <w:color w:val="000000" w:themeColor="text1"/>
          <w:szCs w:val="28"/>
        </w:rPr>
        <w:t>ових показників ЦСР по виживаності</w:t>
      </w:r>
      <w:r w:rsidRPr="00EA77E3">
        <w:rPr>
          <w:rFonts w:eastAsia="Calibri"/>
          <w:color w:val="000000" w:themeColor="text1"/>
          <w:szCs w:val="28"/>
        </w:rPr>
        <w:t xml:space="preserve"> дітей, </w:t>
      </w:r>
      <w:r w:rsidR="009464A4">
        <w:rPr>
          <w:rFonts w:eastAsia="Calibri"/>
          <w:color w:val="000000" w:themeColor="text1"/>
          <w:szCs w:val="28"/>
        </w:rPr>
        <w:t xml:space="preserve">у світі </w:t>
      </w:r>
      <w:r w:rsidR="00695D7C">
        <w:rPr>
          <w:rFonts w:eastAsia="Calibri"/>
          <w:color w:val="000000" w:themeColor="text1"/>
          <w:szCs w:val="28"/>
        </w:rPr>
        <w:t>будуть врятовані</w:t>
      </w:r>
      <w:r w:rsidRPr="00EA77E3">
        <w:rPr>
          <w:rFonts w:eastAsia="Calibri"/>
          <w:color w:val="000000" w:themeColor="text1"/>
          <w:szCs w:val="28"/>
        </w:rPr>
        <w:t xml:space="preserve"> 11 </w:t>
      </w:r>
      <w:r w:rsidR="009464A4">
        <w:rPr>
          <w:rFonts w:eastAsia="Calibri"/>
          <w:color w:val="000000" w:themeColor="text1"/>
          <w:szCs w:val="28"/>
        </w:rPr>
        <w:t>млн</w:t>
      </w:r>
      <w:r w:rsidR="006C733B">
        <w:rPr>
          <w:rFonts w:eastAsia="Calibri"/>
          <w:color w:val="000000" w:themeColor="text1"/>
          <w:szCs w:val="28"/>
        </w:rPr>
        <w:t xml:space="preserve"> дітей </w:t>
      </w:r>
      <w:r w:rsidRPr="00EA77E3">
        <w:rPr>
          <w:rFonts w:eastAsia="Calibri"/>
          <w:color w:val="000000" w:themeColor="text1"/>
          <w:szCs w:val="28"/>
        </w:rPr>
        <w:t>у віці до 5 років</w:t>
      </w:r>
      <w:r w:rsidR="00225468">
        <w:rPr>
          <w:rFonts w:eastAsia="Calibri"/>
          <w:color w:val="000000" w:themeColor="text1"/>
          <w:szCs w:val="28"/>
        </w:rPr>
        <w:t xml:space="preserve"> життя</w:t>
      </w:r>
      <w:r w:rsidRPr="00EA77E3">
        <w:rPr>
          <w:rFonts w:eastAsia="Calibri"/>
          <w:color w:val="000000" w:themeColor="text1"/>
          <w:szCs w:val="28"/>
        </w:rPr>
        <w:t xml:space="preserve"> [</w:t>
      </w:r>
      <w:r w:rsidR="002C7B2C" w:rsidRPr="00695D7C">
        <w:rPr>
          <w:rFonts w:eastAsia="Calibri"/>
          <w:color w:val="000000" w:themeColor="text1"/>
          <w:szCs w:val="28"/>
        </w:rPr>
        <w:t>6</w:t>
      </w:r>
      <w:r w:rsidR="000C5386">
        <w:rPr>
          <w:rFonts w:eastAsia="Calibri"/>
          <w:color w:val="000000" w:themeColor="text1"/>
          <w:szCs w:val="28"/>
        </w:rPr>
        <w:t xml:space="preserve">, </w:t>
      </w:r>
      <w:r w:rsidR="002C7B2C" w:rsidRPr="00695D7C">
        <w:rPr>
          <w:rFonts w:eastAsia="Calibri"/>
          <w:color w:val="000000" w:themeColor="text1"/>
          <w:szCs w:val="28"/>
        </w:rPr>
        <w:t xml:space="preserve">9, </w:t>
      </w:r>
      <w:r w:rsidR="000C5386">
        <w:rPr>
          <w:rFonts w:eastAsia="Calibri"/>
          <w:color w:val="000000" w:themeColor="text1"/>
          <w:szCs w:val="28"/>
        </w:rPr>
        <w:t>45, 59, 60</w:t>
      </w:r>
      <w:r w:rsidRPr="00EA77E3">
        <w:rPr>
          <w:rFonts w:eastAsia="Calibri"/>
          <w:color w:val="000000" w:themeColor="text1"/>
          <w:szCs w:val="28"/>
        </w:rPr>
        <w:t>].</w:t>
      </w:r>
    </w:p>
    <w:p w:rsidR="00323DA9" w:rsidRPr="00EA77E3" w:rsidRDefault="006D108B" w:rsidP="00721203">
      <w:pPr>
        <w:widowControl w:val="0"/>
        <w:ind w:firstLine="708"/>
        <w:contextualSpacing/>
        <w:rPr>
          <w:rFonts w:eastAsia="Calibri"/>
          <w:color w:val="000000" w:themeColor="text1"/>
          <w:szCs w:val="28"/>
        </w:rPr>
      </w:pPr>
      <w:r>
        <w:rPr>
          <w:rFonts w:eastAsia="Calibri"/>
          <w:color w:val="000000" w:themeColor="text1"/>
          <w:szCs w:val="28"/>
        </w:rPr>
        <w:lastRenderedPageBreak/>
        <w:t>ЦСР</w:t>
      </w:r>
      <w:r>
        <w:rPr>
          <w:rFonts w:eastAsia="Calibri"/>
          <w:color w:val="000000" w:themeColor="text1"/>
          <w:szCs w:val="28"/>
          <w:lang w:val="ru-RU"/>
        </w:rPr>
        <w:t xml:space="preserve"> </w:t>
      </w:r>
      <w:r w:rsidR="00323DA9" w:rsidRPr="00EA77E3">
        <w:rPr>
          <w:rFonts w:eastAsia="Calibri"/>
          <w:color w:val="000000" w:themeColor="text1"/>
          <w:szCs w:val="28"/>
        </w:rPr>
        <w:t>заплановано скорочення рівня смертності новонароджених дітей до 12</w:t>
      </w:r>
      <w:r w:rsidR="00D65C19" w:rsidRPr="00D65C19">
        <w:rPr>
          <w:rFonts w:eastAsia="Calibri"/>
          <w:bCs/>
          <w:color w:val="000000" w:themeColor="text1"/>
          <w:szCs w:val="28"/>
        </w:rPr>
        <w:t>‰</w:t>
      </w:r>
      <w:r w:rsidR="00D65C19">
        <w:rPr>
          <w:rFonts w:eastAsia="Calibri"/>
          <w:bCs/>
          <w:color w:val="000000" w:themeColor="text1"/>
          <w:szCs w:val="28"/>
        </w:rPr>
        <w:t xml:space="preserve"> </w:t>
      </w:r>
      <w:r w:rsidR="00323DA9" w:rsidRPr="00EA77E3">
        <w:rPr>
          <w:rFonts w:eastAsia="Calibri"/>
          <w:color w:val="000000" w:themeColor="text1"/>
          <w:szCs w:val="28"/>
        </w:rPr>
        <w:t xml:space="preserve">до 2030 року у світі. </w:t>
      </w:r>
      <w:r w:rsidR="00D65C19">
        <w:rPr>
          <w:rFonts w:eastAsia="Calibri"/>
          <w:color w:val="000000" w:themeColor="text1"/>
          <w:szCs w:val="28"/>
        </w:rPr>
        <w:t>ЦСР</w:t>
      </w:r>
      <w:r w:rsidR="00323DA9" w:rsidRPr="00EA77E3">
        <w:rPr>
          <w:rFonts w:eastAsia="Calibri"/>
          <w:color w:val="000000" w:themeColor="text1"/>
          <w:szCs w:val="28"/>
        </w:rPr>
        <w:t>, прийняті Орган</w:t>
      </w:r>
      <w:r w:rsidR="00D65C19">
        <w:rPr>
          <w:rFonts w:eastAsia="Calibri"/>
          <w:color w:val="000000" w:themeColor="text1"/>
          <w:szCs w:val="28"/>
        </w:rPr>
        <w:t>ізацією Об'єднаних Націй (ООН) у</w:t>
      </w:r>
      <w:r w:rsidR="00B475D3">
        <w:rPr>
          <w:rFonts w:eastAsia="Calibri"/>
          <w:color w:val="000000" w:themeColor="text1"/>
          <w:szCs w:val="28"/>
        </w:rPr>
        <w:t xml:space="preserve"> 2015 р.</w:t>
      </w:r>
      <w:r w:rsidR="00323DA9" w:rsidRPr="00EA77E3">
        <w:rPr>
          <w:rFonts w:eastAsia="Calibri"/>
          <w:color w:val="000000" w:themeColor="text1"/>
          <w:szCs w:val="28"/>
        </w:rPr>
        <w:t>, спрямовані на забезпечення здорового способу життя та сприяння благополуччю всіх дітей, а саме завдання 3.2 полягає в тому, щоб до 2030 року покласти край запобіжної смертності новона</w:t>
      </w:r>
      <w:r w:rsidR="006C733B">
        <w:rPr>
          <w:rFonts w:eastAsia="Calibri"/>
          <w:color w:val="000000" w:themeColor="text1"/>
          <w:szCs w:val="28"/>
        </w:rPr>
        <w:t>роджених і дітей у віці до 5-ти</w:t>
      </w:r>
      <w:r w:rsidR="00323DA9" w:rsidRPr="00EA77E3">
        <w:rPr>
          <w:rFonts w:eastAsia="Calibri"/>
          <w:color w:val="000000" w:themeColor="text1"/>
          <w:szCs w:val="28"/>
        </w:rPr>
        <w:t xml:space="preserve"> років</w:t>
      </w:r>
      <w:r w:rsidR="00B475D3">
        <w:rPr>
          <w:rFonts w:eastAsia="Calibri"/>
          <w:color w:val="000000" w:themeColor="text1"/>
          <w:szCs w:val="28"/>
        </w:rPr>
        <w:t xml:space="preserve"> життя</w:t>
      </w:r>
      <w:r w:rsidR="00323DA9" w:rsidRPr="00EA77E3">
        <w:rPr>
          <w:rFonts w:eastAsia="Calibri"/>
          <w:color w:val="000000" w:themeColor="text1"/>
          <w:szCs w:val="28"/>
        </w:rPr>
        <w:t>. До того ж, у глобального порядка денного в галузі охорони здоров'я дітей з'являються нові пріоритети,</w:t>
      </w:r>
      <w:r w:rsidR="000B49F0">
        <w:rPr>
          <w:rFonts w:eastAsia="Calibri"/>
          <w:color w:val="000000" w:themeColor="text1"/>
          <w:szCs w:val="28"/>
        </w:rPr>
        <w:t xml:space="preserve"> такі як вроджені вади</w:t>
      </w:r>
      <w:r w:rsidR="00323DA9" w:rsidRPr="00EA77E3">
        <w:rPr>
          <w:rFonts w:eastAsia="Calibri"/>
          <w:color w:val="000000" w:themeColor="text1"/>
          <w:szCs w:val="28"/>
        </w:rPr>
        <w:t xml:space="preserve"> розвитку, травми і неінфекційні захворювання (хронічні респіраторні хвороби, набуті хвороби серця, </w:t>
      </w:r>
      <w:r w:rsidR="0070327F">
        <w:rPr>
          <w:rFonts w:eastAsia="Calibri"/>
          <w:color w:val="000000" w:themeColor="text1"/>
          <w:szCs w:val="28"/>
        </w:rPr>
        <w:t>онкологічні захворювання</w:t>
      </w:r>
      <w:r w:rsidR="00323DA9" w:rsidRPr="00EA77E3">
        <w:rPr>
          <w:rFonts w:eastAsia="Calibri"/>
          <w:color w:val="000000" w:themeColor="text1"/>
          <w:szCs w:val="28"/>
        </w:rPr>
        <w:t>, діабет і ожирі</w:t>
      </w:r>
      <w:r w:rsidR="00BA0C7D">
        <w:rPr>
          <w:rFonts w:eastAsia="Calibri"/>
          <w:color w:val="000000" w:themeColor="text1"/>
          <w:szCs w:val="28"/>
        </w:rPr>
        <w:t>ння). За даними ВООЗ, кожна 33-я</w:t>
      </w:r>
      <w:r w:rsidR="00323DA9" w:rsidRPr="00EA77E3">
        <w:rPr>
          <w:rFonts w:eastAsia="Calibri"/>
          <w:color w:val="000000" w:themeColor="text1"/>
          <w:szCs w:val="28"/>
        </w:rPr>
        <w:t xml:space="preserve"> дитина народжується з вродженими вадами розвитку, тобто щ</w:t>
      </w:r>
      <w:r w:rsidR="00785F69">
        <w:rPr>
          <w:rFonts w:eastAsia="Calibri"/>
          <w:color w:val="000000" w:themeColor="text1"/>
          <w:szCs w:val="28"/>
        </w:rPr>
        <w:t>орічно народжується 3,2 млн</w:t>
      </w:r>
      <w:r w:rsidR="00323DA9" w:rsidRPr="00EA77E3">
        <w:rPr>
          <w:rFonts w:eastAsia="Calibri"/>
          <w:color w:val="000000" w:themeColor="text1"/>
          <w:szCs w:val="28"/>
        </w:rPr>
        <w:t xml:space="preserve"> дітей з інвалідністю, обумовленої вродженими вадами. Глобальний тягар хвороб, обумовлений не</w:t>
      </w:r>
      <w:r w:rsidR="006411EF">
        <w:rPr>
          <w:rFonts w:eastAsia="Calibri"/>
          <w:color w:val="000000" w:themeColor="text1"/>
          <w:szCs w:val="28"/>
        </w:rPr>
        <w:t>інфекційними захворюваннями</w:t>
      </w:r>
      <w:r w:rsidR="006E044F">
        <w:rPr>
          <w:rFonts w:eastAsia="Calibri"/>
          <w:color w:val="000000" w:themeColor="text1"/>
          <w:szCs w:val="28"/>
        </w:rPr>
        <w:t>,</w:t>
      </w:r>
      <w:r w:rsidR="00323DA9" w:rsidRPr="00EA77E3">
        <w:rPr>
          <w:rFonts w:eastAsia="Calibri"/>
          <w:color w:val="000000" w:themeColor="text1"/>
          <w:szCs w:val="28"/>
        </w:rPr>
        <w:t xml:space="preserve"> що вражають дітей у дитинстві і пізніше в житті, швидко</w:t>
      </w:r>
      <w:r w:rsidR="00D65C19">
        <w:rPr>
          <w:rFonts w:eastAsia="Calibri"/>
          <w:color w:val="000000" w:themeColor="text1"/>
          <w:szCs w:val="28"/>
        </w:rPr>
        <w:t xml:space="preserve"> зростає, незважаючи на те, що</w:t>
      </w:r>
      <w:r w:rsidR="00323DA9" w:rsidRPr="00EA77E3">
        <w:rPr>
          <w:rFonts w:eastAsia="Calibri"/>
          <w:color w:val="000000" w:themeColor="text1"/>
          <w:szCs w:val="28"/>
        </w:rPr>
        <w:t xml:space="preserve"> </w:t>
      </w:r>
      <w:r w:rsidR="00D65C19" w:rsidRPr="00D65C19">
        <w:rPr>
          <w:rFonts w:eastAsia="Calibri"/>
          <w:color w:val="000000" w:themeColor="text1"/>
          <w:szCs w:val="28"/>
        </w:rPr>
        <w:t>вплив</w:t>
      </w:r>
      <w:r w:rsidR="00D65C19">
        <w:rPr>
          <w:rFonts w:eastAsia="Calibri"/>
          <w:color w:val="000000" w:themeColor="text1"/>
          <w:szCs w:val="28"/>
        </w:rPr>
        <w:t>у</w:t>
      </w:r>
      <w:r w:rsidR="00D65C19" w:rsidRPr="00D65C19">
        <w:rPr>
          <w:rFonts w:eastAsia="Calibri"/>
          <w:color w:val="000000" w:themeColor="text1"/>
          <w:szCs w:val="28"/>
        </w:rPr>
        <w:t xml:space="preserve"> </w:t>
      </w:r>
      <w:r w:rsidR="00D65C19">
        <w:rPr>
          <w:rFonts w:eastAsia="Calibri"/>
          <w:color w:val="000000" w:themeColor="text1"/>
          <w:szCs w:val="28"/>
        </w:rPr>
        <w:t>багатьо</w:t>
      </w:r>
      <w:r w:rsidR="00D65C19" w:rsidRPr="00D65C19">
        <w:rPr>
          <w:rFonts w:eastAsia="Calibri"/>
          <w:color w:val="000000" w:themeColor="text1"/>
          <w:szCs w:val="28"/>
        </w:rPr>
        <w:t>х</w:t>
      </w:r>
      <w:r w:rsidR="00D65C19">
        <w:rPr>
          <w:rFonts w:eastAsia="Calibri"/>
          <w:color w:val="000000" w:themeColor="text1"/>
          <w:szCs w:val="28"/>
        </w:rPr>
        <w:t xml:space="preserve"> факторів</w:t>
      </w:r>
      <w:r w:rsidR="00323DA9" w:rsidRPr="00EA77E3">
        <w:rPr>
          <w:rFonts w:eastAsia="Calibri"/>
          <w:color w:val="000000" w:themeColor="text1"/>
          <w:szCs w:val="28"/>
        </w:rPr>
        <w:t xml:space="preserve"> ризику </w:t>
      </w:r>
      <w:r w:rsidR="00D65C19">
        <w:rPr>
          <w:rFonts w:eastAsia="Calibri"/>
          <w:color w:val="000000" w:themeColor="text1"/>
          <w:szCs w:val="28"/>
        </w:rPr>
        <w:t>також можна запобігати</w:t>
      </w:r>
      <w:r w:rsidR="00323DA9" w:rsidRPr="00EA77E3">
        <w:rPr>
          <w:rFonts w:eastAsia="Calibri"/>
          <w:color w:val="000000" w:themeColor="text1"/>
          <w:szCs w:val="28"/>
        </w:rPr>
        <w:t xml:space="preserve"> [</w:t>
      </w:r>
      <w:r w:rsidR="001C68A2" w:rsidRPr="001C68A2">
        <w:rPr>
          <w:rFonts w:eastAsia="Calibri"/>
          <w:color w:val="000000" w:themeColor="text1"/>
          <w:szCs w:val="28"/>
        </w:rPr>
        <w:t>6</w:t>
      </w:r>
      <w:r w:rsidR="009A00C4">
        <w:rPr>
          <w:rFonts w:eastAsia="Calibri"/>
          <w:color w:val="000000" w:themeColor="text1"/>
          <w:szCs w:val="28"/>
        </w:rPr>
        <w:t>, 45, 54, 59-62</w:t>
      </w:r>
      <w:r w:rsidR="00323DA9" w:rsidRPr="00EA77E3">
        <w:rPr>
          <w:rFonts w:eastAsia="Calibri"/>
          <w:color w:val="000000" w:themeColor="text1"/>
          <w:szCs w:val="28"/>
        </w:rPr>
        <w:t>].</w:t>
      </w:r>
    </w:p>
    <w:p w:rsidR="00323DA9" w:rsidRPr="001A5E14" w:rsidRDefault="00323DA9" w:rsidP="00744D1A">
      <w:pPr>
        <w:widowControl w:val="0"/>
        <w:ind w:firstLine="708"/>
        <w:contextualSpacing/>
        <w:rPr>
          <w:rFonts w:eastAsia="Calibri"/>
          <w:color w:val="000000" w:themeColor="text1"/>
          <w:szCs w:val="28"/>
        </w:rPr>
      </w:pPr>
      <w:r w:rsidRPr="00EA77E3">
        <w:rPr>
          <w:rFonts w:eastAsia="Calibri"/>
          <w:color w:val="000000" w:themeColor="text1"/>
          <w:szCs w:val="28"/>
        </w:rPr>
        <w:t>Протягом 2000-2018 рр. як дитяча так і малюкова смертність мали тенденції до скорочення у всіх регіонах ЮНІСЕФ</w:t>
      </w:r>
      <w:r w:rsidR="00D65C19">
        <w:rPr>
          <w:rFonts w:eastAsia="Calibri"/>
          <w:color w:val="000000" w:themeColor="text1"/>
          <w:szCs w:val="28"/>
        </w:rPr>
        <w:t>,</w:t>
      </w:r>
      <w:r w:rsidR="008B6D5E">
        <w:rPr>
          <w:rFonts w:eastAsia="Calibri"/>
          <w:color w:val="000000" w:themeColor="text1"/>
          <w:szCs w:val="28"/>
        </w:rPr>
        <w:t xml:space="preserve"> </w:t>
      </w:r>
      <w:r w:rsidR="00D65C19">
        <w:rPr>
          <w:rFonts w:eastAsia="Calibri"/>
          <w:color w:val="000000" w:themeColor="text1"/>
          <w:szCs w:val="28"/>
        </w:rPr>
        <w:t>при цьому</w:t>
      </w:r>
      <w:r w:rsidRPr="00EA77E3">
        <w:rPr>
          <w:rFonts w:eastAsia="Calibri"/>
          <w:color w:val="000000" w:themeColor="text1"/>
          <w:szCs w:val="28"/>
        </w:rPr>
        <w:t xml:space="preserve"> рівні дитячої смертності значно відрізняються в залежності від регіону</w:t>
      </w:r>
      <w:r w:rsidR="003157BC">
        <w:rPr>
          <w:rFonts w:eastAsia="Calibri"/>
          <w:color w:val="000000" w:themeColor="text1"/>
          <w:szCs w:val="28"/>
        </w:rPr>
        <w:t xml:space="preserve"> (</w:t>
      </w:r>
      <w:r w:rsidR="003157BC" w:rsidRPr="003157BC">
        <w:rPr>
          <w:rFonts w:eastAsia="Calibri"/>
          <w:color w:val="000000" w:themeColor="text1"/>
          <w:szCs w:val="28"/>
        </w:rPr>
        <w:t xml:space="preserve">за даними </w:t>
      </w:r>
      <w:r w:rsidR="003157BC" w:rsidRPr="003157BC">
        <w:rPr>
          <w:rFonts w:eastAsia="Calibri"/>
          <w:bCs/>
          <w:color w:val="000000" w:themeColor="text1"/>
          <w:szCs w:val="28"/>
        </w:rPr>
        <w:t>UNICEF Data</w:t>
      </w:r>
      <w:r w:rsidR="003157BC" w:rsidRPr="003157BC">
        <w:rPr>
          <w:rFonts w:eastAsia="Calibri"/>
          <w:color w:val="000000" w:themeColor="text1"/>
          <w:szCs w:val="28"/>
        </w:rPr>
        <w:t>: Monitoring the situation of children and women)</w:t>
      </w:r>
      <w:r w:rsidRPr="00EA77E3">
        <w:rPr>
          <w:rFonts w:eastAsia="Calibri"/>
          <w:color w:val="000000" w:themeColor="text1"/>
          <w:szCs w:val="28"/>
        </w:rPr>
        <w:t>. Темп убутку смертності дітей у віці до 5</w:t>
      </w:r>
      <w:r w:rsidR="006E044F">
        <w:rPr>
          <w:rFonts w:eastAsia="Calibri"/>
          <w:color w:val="000000" w:themeColor="text1"/>
          <w:szCs w:val="28"/>
        </w:rPr>
        <w:t xml:space="preserve"> </w:t>
      </w:r>
      <w:r w:rsidRPr="00EA77E3">
        <w:rPr>
          <w:rFonts w:eastAsia="Calibri"/>
          <w:color w:val="000000" w:themeColor="text1"/>
          <w:szCs w:val="28"/>
        </w:rPr>
        <w:t>років коливався від 22,7% у Північній Америці до 64,4% у Східній Європі і Центральній Азії. Найнижчі рівні дитячої смертності спостерігаються у Західній Європі (3,76‰</w:t>
      </w:r>
      <w:r w:rsidR="00C13F6E">
        <w:rPr>
          <w:rFonts w:eastAsia="Calibri"/>
          <w:color w:val="000000" w:themeColor="text1"/>
          <w:szCs w:val="28"/>
        </w:rPr>
        <w:t xml:space="preserve"> </w:t>
      </w:r>
      <w:r w:rsidRPr="00EA77E3">
        <w:rPr>
          <w:rFonts w:eastAsia="Calibri"/>
          <w:color w:val="000000" w:themeColor="text1"/>
          <w:szCs w:val="28"/>
        </w:rPr>
        <w:t xml:space="preserve"> з </w:t>
      </w:r>
      <w:r w:rsidR="00C13F6E">
        <w:rPr>
          <w:rFonts w:eastAsia="Calibri"/>
          <w:color w:val="000000" w:themeColor="text1"/>
          <w:szCs w:val="28"/>
        </w:rPr>
        <w:t xml:space="preserve"> </w:t>
      </w:r>
      <w:r w:rsidRPr="00EA77E3">
        <w:rPr>
          <w:rFonts w:eastAsia="Calibri"/>
          <w:color w:val="000000" w:themeColor="text1"/>
          <w:szCs w:val="28"/>
        </w:rPr>
        <w:t xml:space="preserve">темпом убутку відносно </w:t>
      </w:r>
      <w:r w:rsidR="00C13F6E">
        <w:rPr>
          <w:rFonts w:eastAsia="Calibri"/>
          <w:color w:val="000000" w:themeColor="text1"/>
          <w:szCs w:val="28"/>
        </w:rPr>
        <w:t xml:space="preserve"> </w:t>
      </w:r>
      <w:r w:rsidRPr="00EA77E3">
        <w:rPr>
          <w:rFonts w:eastAsia="Calibri"/>
          <w:color w:val="000000" w:themeColor="text1"/>
          <w:szCs w:val="28"/>
        </w:rPr>
        <w:t>2000 р.</w:t>
      </w:r>
      <w:r w:rsidR="00C13F6E">
        <w:rPr>
          <w:rFonts w:eastAsia="Calibri"/>
          <w:color w:val="000000" w:themeColor="text1"/>
          <w:szCs w:val="28"/>
        </w:rPr>
        <w:t>, -</w:t>
      </w:r>
      <w:r w:rsidRPr="00EA77E3">
        <w:rPr>
          <w:rFonts w:eastAsia="Calibri"/>
          <w:color w:val="000000" w:themeColor="text1"/>
          <w:szCs w:val="28"/>
        </w:rPr>
        <w:t>39,4%), Північній Америці (6,39‰, -22,7% відповідно), Європі і Центральній Азії (8,72‰, -59,3% відповідно). Незважаючи на тенденції щодо зниження рівня смертності дітей, в окремих регіонах залишаються її критично високі рівні, а саме: у Західній і Центральній Африці (96,7‰, з темпом убутку відносно 2000 р. -43,0%), у Африці на південь від Сахари (77,51‰, -49,3% відповідно), у Східній і Південній Африці (56,96‰, -58,2% відповідно), у Південній Азії (42,13‰, -55,2% відповідно), на Близькому Сході і Північній Африці (21,82‰,</w:t>
      </w:r>
      <w:r w:rsidR="001A5E14">
        <w:rPr>
          <w:rFonts w:eastAsia="Calibri"/>
          <w:color w:val="000000" w:themeColor="text1"/>
          <w:szCs w:val="28"/>
        </w:rPr>
        <w:t xml:space="preserve"> - 48,4% відповідно)</w:t>
      </w:r>
      <w:r w:rsidR="001A5E14" w:rsidRPr="001A5E14">
        <w:rPr>
          <w:rFonts w:eastAsia="Calibri"/>
          <w:color w:val="000000" w:themeColor="text1"/>
          <w:szCs w:val="28"/>
        </w:rPr>
        <w:t xml:space="preserve"> [63].</w:t>
      </w:r>
    </w:p>
    <w:p w:rsidR="00323DA9" w:rsidRPr="00EA77E3" w:rsidRDefault="00323DA9" w:rsidP="003157BC">
      <w:pPr>
        <w:widowControl w:val="0"/>
        <w:ind w:firstLine="708"/>
        <w:rPr>
          <w:rFonts w:eastAsia="Calibri"/>
          <w:color w:val="000000" w:themeColor="text1"/>
          <w:sz w:val="22"/>
        </w:rPr>
      </w:pPr>
      <w:r w:rsidRPr="00EA77E3">
        <w:rPr>
          <w:rFonts w:eastAsia="Calibri"/>
          <w:color w:val="000000" w:themeColor="text1"/>
          <w:szCs w:val="28"/>
        </w:rPr>
        <w:t xml:space="preserve">Найнижчі рівні малюкової смертності, як і смертності дітей у віці до 5 років, </w:t>
      </w:r>
      <w:r w:rsidRPr="00EA77E3">
        <w:rPr>
          <w:rFonts w:eastAsia="Calibri"/>
          <w:color w:val="000000" w:themeColor="text1"/>
          <w:szCs w:val="28"/>
        </w:rPr>
        <w:lastRenderedPageBreak/>
        <w:t>спостерігаються у Західній Європі (3,16‰ з темпом убутку відносно 2000 р. -38,9%), Північній Америці (5,49‰, -21,2% відповідно), Європі і Центральній Азії (7,54‰, -57,7% відповідно)</w:t>
      </w:r>
      <w:r w:rsidR="00C13F6E">
        <w:rPr>
          <w:rFonts w:eastAsia="Calibri"/>
          <w:color w:val="000000" w:themeColor="text1"/>
          <w:szCs w:val="28"/>
        </w:rPr>
        <w:t xml:space="preserve"> </w:t>
      </w:r>
      <w:r w:rsidR="00C13F6E" w:rsidRPr="00C13F6E">
        <w:rPr>
          <w:rFonts w:eastAsia="Calibri"/>
          <w:color w:val="000000" w:themeColor="text1"/>
          <w:szCs w:val="28"/>
        </w:rPr>
        <w:t xml:space="preserve">(за даними </w:t>
      </w:r>
      <w:r w:rsidR="00C13F6E" w:rsidRPr="00C13F6E">
        <w:rPr>
          <w:rFonts w:eastAsia="Calibri"/>
          <w:bCs/>
          <w:color w:val="000000" w:themeColor="text1"/>
          <w:szCs w:val="28"/>
        </w:rPr>
        <w:t>UNICEF Data</w:t>
      </w:r>
      <w:r w:rsidR="00C13F6E" w:rsidRPr="00C13F6E">
        <w:rPr>
          <w:rFonts w:eastAsia="Calibri"/>
          <w:color w:val="000000" w:themeColor="text1"/>
          <w:szCs w:val="28"/>
        </w:rPr>
        <w:t>: Monitoring the situation of children and women)</w:t>
      </w:r>
      <w:r w:rsidRPr="00EA77E3">
        <w:rPr>
          <w:rFonts w:eastAsia="Calibri"/>
          <w:color w:val="000000" w:themeColor="text1"/>
          <w:szCs w:val="28"/>
        </w:rPr>
        <w:t>. Найвищі рівні малюкової смертності протягом 2000-2018 рр. зафіксовано у Західній і Центральній Африці (64,25‰, з темпом убутку</w:t>
      </w:r>
      <w:r w:rsidR="00C13F6E">
        <w:rPr>
          <w:rFonts w:eastAsia="Calibri"/>
          <w:color w:val="000000" w:themeColor="text1"/>
          <w:szCs w:val="28"/>
        </w:rPr>
        <w:t xml:space="preserve"> </w:t>
      </w:r>
      <w:r w:rsidRPr="00EA77E3">
        <w:rPr>
          <w:rFonts w:eastAsia="Calibri"/>
          <w:color w:val="000000" w:themeColor="text1"/>
          <w:szCs w:val="28"/>
        </w:rPr>
        <w:t xml:space="preserve"> відносно </w:t>
      </w:r>
      <w:r w:rsidR="00C13F6E">
        <w:rPr>
          <w:rFonts w:eastAsia="Calibri"/>
          <w:color w:val="000000" w:themeColor="text1"/>
          <w:szCs w:val="28"/>
        </w:rPr>
        <w:t xml:space="preserve"> </w:t>
      </w:r>
      <w:r w:rsidRPr="00EA77E3">
        <w:rPr>
          <w:rFonts w:eastAsia="Calibri"/>
          <w:color w:val="000000" w:themeColor="text1"/>
          <w:szCs w:val="28"/>
        </w:rPr>
        <w:t>2000 р.</w:t>
      </w:r>
      <w:r w:rsidR="00C13F6E">
        <w:rPr>
          <w:rFonts w:eastAsia="Calibri"/>
          <w:color w:val="000000" w:themeColor="text1"/>
          <w:szCs w:val="28"/>
        </w:rPr>
        <w:t xml:space="preserve"> </w:t>
      </w:r>
      <w:r w:rsidRPr="00EA77E3">
        <w:rPr>
          <w:rFonts w:eastAsia="Calibri"/>
          <w:color w:val="000000" w:themeColor="text1"/>
          <w:szCs w:val="28"/>
        </w:rPr>
        <w:t xml:space="preserve"> -36,6%), </w:t>
      </w:r>
      <w:r w:rsidR="00C13F6E">
        <w:rPr>
          <w:rFonts w:eastAsia="Calibri"/>
          <w:color w:val="000000" w:themeColor="text1"/>
          <w:szCs w:val="28"/>
        </w:rPr>
        <w:t xml:space="preserve"> </w:t>
      </w:r>
      <w:r w:rsidRPr="00EA77E3">
        <w:rPr>
          <w:rFonts w:eastAsia="Calibri"/>
          <w:color w:val="000000" w:themeColor="text1"/>
          <w:szCs w:val="28"/>
        </w:rPr>
        <w:t xml:space="preserve">у </w:t>
      </w:r>
      <w:r w:rsidR="00C13F6E">
        <w:rPr>
          <w:rFonts w:eastAsia="Calibri"/>
          <w:color w:val="000000" w:themeColor="text1"/>
          <w:szCs w:val="28"/>
        </w:rPr>
        <w:t xml:space="preserve"> </w:t>
      </w:r>
      <w:r w:rsidRPr="00EA77E3">
        <w:rPr>
          <w:rFonts w:eastAsia="Calibri"/>
          <w:color w:val="000000" w:themeColor="text1"/>
          <w:szCs w:val="28"/>
        </w:rPr>
        <w:t xml:space="preserve">Африці </w:t>
      </w:r>
      <w:r w:rsidR="00C13F6E">
        <w:rPr>
          <w:rFonts w:eastAsia="Calibri"/>
          <w:color w:val="000000" w:themeColor="text1"/>
          <w:szCs w:val="28"/>
        </w:rPr>
        <w:t xml:space="preserve"> </w:t>
      </w:r>
      <w:r w:rsidRPr="00EA77E3">
        <w:rPr>
          <w:rFonts w:eastAsia="Calibri"/>
          <w:color w:val="000000" w:themeColor="text1"/>
          <w:szCs w:val="28"/>
        </w:rPr>
        <w:t xml:space="preserve">на </w:t>
      </w:r>
      <w:r w:rsidR="00C13F6E">
        <w:rPr>
          <w:rFonts w:eastAsia="Calibri"/>
          <w:color w:val="000000" w:themeColor="text1"/>
          <w:szCs w:val="28"/>
        </w:rPr>
        <w:t xml:space="preserve"> </w:t>
      </w:r>
      <w:r w:rsidRPr="00EA77E3">
        <w:rPr>
          <w:rFonts w:eastAsia="Calibri"/>
          <w:color w:val="000000" w:themeColor="text1"/>
          <w:szCs w:val="28"/>
        </w:rPr>
        <w:t xml:space="preserve">південь від </w:t>
      </w:r>
      <w:r w:rsidR="00C13F6E">
        <w:rPr>
          <w:rFonts w:eastAsia="Calibri"/>
          <w:color w:val="000000" w:themeColor="text1"/>
          <w:szCs w:val="28"/>
        </w:rPr>
        <w:t xml:space="preserve"> </w:t>
      </w:r>
      <w:r w:rsidRPr="00EA77E3">
        <w:rPr>
          <w:rFonts w:eastAsia="Calibri"/>
          <w:color w:val="000000" w:themeColor="text1"/>
          <w:szCs w:val="28"/>
        </w:rPr>
        <w:t xml:space="preserve">Сахари </w:t>
      </w:r>
      <w:r w:rsidR="00C13F6E">
        <w:rPr>
          <w:rFonts w:eastAsia="Calibri"/>
          <w:color w:val="000000" w:themeColor="text1"/>
          <w:szCs w:val="28"/>
        </w:rPr>
        <w:t xml:space="preserve"> </w:t>
      </w:r>
      <w:r w:rsidRPr="00EA77E3">
        <w:rPr>
          <w:rFonts w:eastAsia="Calibri"/>
          <w:color w:val="000000" w:themeColor="text1"/>
          <w:szCs w:val="28"/>
        </w:rPr>
        <w:t>(52,73‰,</w:t>
      </w:r>
      <w:r w:rsidR="00C13F6E">
        <w:rPr>
          <w:rFonts w:eastAsia="Calibri"/>
          <w:color w:val="000000" w:themeColor="text1"/>
          <w:szCs w:val="28"/>
        </w:rPr>
        <w:t xml:space="preserve"> </w:t>
      </w:r>
      <w:r w:rsidRPr="00EA77E3">
        <w:rPr>
          <w:rFonts w:eastAsia="Calibri"/>
          <w:color w:val="000000" w:themeColor="text1"/>
          <w:szCs w:val="28"/>
        </w:rPr>
        <w:t xml:space="preserve"> -42,9% відповідно), у Східній і Південній Африці (40,41‰, -51,7% відповідно), у Південній Азії (34,51‰, -50,1% відповідно), на Близькому Сході і Північній Африці (18,27‰, -46,1% відповідно). В цілому, діапазон темпу убутку малюкової смертності за регіонами коливався від 21,2% у Північній Америці до 62,7% у Сх</w:t>
      </w:r>
      <w:r w:rsidR="001A5E14">
        <w:rPr>
          <w:rFonts w:eastAsia="Calibri"/>
          <w:color w:val="000000" w:themeColor="text1"/>
          <w:szCs w:val="28"/>
        </w:rPr>
        <w:t>ідній Європі і Центральній Азії</w:t>
      </w:r>
      <w:r w:rsidR="001A5E14" w:rsidRPr="001A5E14">
        <w:rPr>
          <w:rFonts w:eastAsia="Calibri"/>
          <w:color w:val="000000" w:themeColor="text1"/>
          <w:szCs w:val="28"/>
        </w:rPr>
        <w:t xml:space="preserve"> [63]. </w:t>
      </w:r>
      <w:r w:rsidR="003157BC">
        <w:rPr>
          <w:rFonts w:eastAsia="Calibri"/>
          <w:color w:val="000000" w:themeColor="text1"/>
          <w:szCs w:val="28"/>
        </w:rPr>
        <w:t xml:space="preserve"> </w:t>
      </w:r>
    </w:p>
    <w:p w:rsidR="00DD2AB0" w:rsidRDefault="00DD2AB0" w:rsidP="00DD2AB0">
      <w:pPr>
        <w:widowControl w:val="0"/>
        <w:tabs>
          <w:tab w:val="left" w:pos="1115"/>
        </w:tabs>
        <w:ind w:firstLine="708"/>
        <w:rPr>
          <w:rFonts w:eastAsia="Calibri"/>
          <w:color w:val="000000" w:themeColor="text1"/>
          <w:szCs w:val="28"/>
        </w:rPr>
      </w:pPr>
      <w:r>
        <w:rPr>
          <w:rFonts w:eastAsia="Calibri"/>
          <w:color w:val="000000" w:themeColor="text1"/>
          <w:szCs w:val="28"/>
        </w:rPr>
        <w:t>З</w:t>
      </w:r>
      <w:r w:rsidR="003157BC" w:rsidRPr="003157BC">
        <w:rPr>
          <w:rFonts w:eastAsia="Calibri"/>
          <w:color w:val="000000" w:themeColor="text1"/>
          <w:szCs w:val="28"/>
        </w:rPr>
        <w:t>а даними бази UN Inter-agency Group for Child Mortality Estimation (UN IGME</w:t>
      </w:r>
      <w:r w:rsidR="003157BC">
        <w:rPr>
          <w:rFonts w:eastAsia="Calibri"/>
          <w:b/>
          <w:color w:val="000000" w:themeColor="text1"/>
          <w:szCs w:val="28"/>
        </w:rPr>
        <w:t>)</w:t>
      </w:r>
      <w:r>
        <w:rPr>
          <w:rFonts w:eastAsia="Calibri"/>
          <w:b/>
          <w:color w:val="000000" w:themeColor="text1"/>
          <w:szCs w:val="28"/>
        </w:rPr>
        <w:t xml:space="preserve"> </w:t>
      </w:r>
      <w:r w:rsidRPr="00DD2AB0">
        <w:rPr>
          <w:rFonts w:eastAsia="Calibri"/>
          <w:color w:val="000000" w:themeColor="text1"/>
          <w:szCs w:val="28"/>
        </w:rPr>
        <w:t>протягом 2000-2018 рр.</w:t>
      </w:r>
      <w:r w:rsidR="003157BC" w:rsidRPr="003157BC">
        <w:rPr>
          <w:rFonts w:eastAsia="Calibri"/>
          <w:color w:val="000000" w:themeColor="text1"/>
          <w:szCs w:val="28"/>
        </w:rPr>
        <w:t xml:space="preserve"> </w:t>
      </w:r>
      <w:r w:rsidR="00323DA9" w:rsidRPr="00EA77E3">
        <w:rPr>
          <w:rFonts w:eastAsia="Calibri"/>
          <w:color w:val="000000" w:themeColor="text1"/>
          <w:szCs w:val="28"/>
        </w:rPr>
        <w:t>рівен</w:t>
      </w:r>
      <w:r w:rsidR="00C6631F">
        <w:rPr>
          <w:rFonts w:eastAsia="Calibri"/>
          <w:color w:val="000000" w:themeColor="text1"/>
          <w:szCs w:val="28"/>
        </w:rPr>
        <w:t>ь смертності дітей у віці до 5</w:t>
      </w:r>
      <w:r w:rsidR="00323DA9" w:rsidRPr="00EA77E3">
        <w:rPr>
          <w:rFonts w:eastAsia="Calibri"/>
          <w:color w:val="000000" w:themeColor="text1"/>
          <w:szCs w:val="28"/>
        </w:rPr>
        <w:t xml:space="preserve"> років в Україні знизився на 52,6% з 18,42‰ у 2000 р. до 8,43‰ у 2018 р., але даний показник залишається одним із найвищих як серед розвинутих країн світу, країн європейського регіону в цілому, так і зокрема серед країн Євросо</w:t>
      </w:r>
      <w:r w:rsidR="00CB4AE8">
        <w:rPr>
          <w:rFonts w:eastAsia="Calibri"/>
          <w:color w:val="000000" w:themeColor="text1"/>
          <w:szCs w:val="28"/>
        </w:rPr>
        <w:t xml:space="preserve">юзу, де за підсумками 2018 р. </w:t>
      </w:r>
      <w:r w:rsidR="00CB4AE8" w:rsidRPr="008C2663">
        <w:rPr>
          <w:rFonts w:eastAsia="Calibri"/>
          <w:color w:val="000000" w:themeColor="text1"/>
          <w:szCs w:val="28"/>
        </w:rPr>
        <w:t>Україну</w:t>
      </w:r>
      <w:r w:rsidR="00323DA9" w:rsidRPr="00EA77E3">
        <w:rPr>
          <w:rFonts w:eastAsia="Calibri"/>
          <w:color w:val="000000" w:themeColor="text1"/>
          <w:szCs w:val="28"/>
        </w:rPr>
        <w:t xml:space="preserve"> випереджає тільки Туреччина (10,6‰). Слід зазначити, що у переважній більшості європейських країн, рівень</w:t>
      </w:r>
      <w:r w:rsidR="00C6631F">
        <w:rPr>
          <w:rFonts w:eastAsia="Calibri"/>
          <w:color w:val="000000" w:themeColor="text1"/>
          <w:szCs w:val="28"/>
        </w:rPr>
        <w:t xml:space="preserve"> смертності дітей у віці до 5</w:t>
      </w:r>
      <w:r w:rsidR="00323DA9" w:rsidRPr="00EA77E3">
        <w:rPr>
          <w:rFonts w:eastAsia="Calibri"/>
          <w:color w:val="000000" w:themeColor="text1"/>
          <w:szCs w:val="28"/>
        </w:rPr>
        <w:t xml:space="preserve"> років життя ще у</w:t>
      </w:r>
      <w:r>
        <w:rPr>
          <w:rFonts w:eastAsia="Calibri"/>
          <w:color w:val="000000" w:themeColor="text1"/>
          <w:szCs w:val="28"/>
        </w:rPr>
        <w:t xml:space="preserve"> 2000 р. був нижчим за український </w:t>
      </w:r>
      <w:r w:rsidR="00323DA9" w:rsidRPr="00EA77E3">
        <w:rPr>
          <w:rFonts w:eastAsia="Calibri"/>
          <w:color w:val="000000" w:themeColor="text1"/>
          <w:szCs w:val="28"/>
        </w:rPr>
        <w:t>показник 2018 року. У 2018 р. середньоєвропейський рівен</w:t>
      </w:r>
      <w:r>
        <w:rPr>
          <w:rFonts w:eastAsia="Calibri"/>
          <w:color w:val="000000" w:themeColor="text1"/>
          <w:szCs w:val="28"/>
        </w:rPr>
        <w:t xml:space="preserve">ь смертності дітей у </w:t>
      </w:r>
      <w:r w:rsidR="00B878AC">
        <w:rPr>
          <w:rFonts w:eastAsia="Calibri"/>
          <w:color w:val="000000" w:themeColor="text1"/>
          <w:szCs w:val="28"/>
        </w:rPr>
        <w:t>віці до 5</w:t>
      </w:r>
      <w:r w:rsidR="00323DA9" w:rsidRPr="00EA77E3">
        <w:rPr>
          <w:rFonts w:eastAsia="Calibri"/>
          <w:color w:val="000000" w:themeColor="text1"/>
          <w:szCs w:val="28"/>
        </w:rPr>
        <w:t xml:space="preserve"> років дорівнював 5,09‰, який протягом 2000-2018 рр. мав тенденцію до зниження на 51,0%. Аналогічні тенденції до зниження смертності дітей у віці до 5</w:t>
      </w:r>
      <w:r>
        <w:rPr>
          <w:rFonts w:eastAsia="Calibri"/>
          <w:color w:val="000000" w:themeColor="text1"/>
          <w:szCs w:val="28"/>
        </w:rPr>
        <w:t>-ти</w:t>
      </w:r>
      <w:r w:rsidR="00323DA9" w:rsidRPr="00EA77E3">
        <w:rPr>
          <w:rFonts w:eastAsia="Calibri"/>
          <w:color w:val="000000" w:themeColor="text1"/>
          <w:szCs w:val="28"/>
        </w:rPr>
        <w:t xml:space="preserve"> років спостерігались у всіх європейських країнах (діапазон зниження показників дитячої</w:t>
      </w:r>
      <w:r w:rsidR="00122851">
        <w:rPr>
          <w:rFonts w:eastAsia="Calibri"/>
          <w:color w:val="000000" w:themeColor="text1"/>
          <w:szCs w:val="28"/>
        </w:rPr>
        <w:t xml:space="preserve"> смертності від 27% у Швейцарії</w:t>
      </w:r>
      <w:r w:rsidR="00323DA9" w:rsidRPr="00EA77E3">
        <w:rPr>
          <w:rFonts w:eastAsia="Calibri"/>
          <w:color w:val="000000" w:themeColor="text1"/>
          <w:szCs w:val="28"/>
        </w:rPr>
        <w:t xml:space="preserve"> до 72% у Туреччині). Найнижчі рівні дитячої смертності спостерігаються у Фінляндії (1,7‰), Ісландії і Сан-Маріно (1,96‰), Словенії (2,14‰), Норвегії (2,54‰), Швеції (2,71‰). Вищі за середньоєвропейський рівень дитячої смертності зафіксовано у Сербії (5,55‰), Словаччині (5,59‰), Боснії та Герцеговині (5,81‰), Болгарії (7,06‰),  Румунії</w:t>
      </w:r>
      <w:r w:rsidR="003D594D">
        <w:rPr>
          <w:rFonts w:eastAsia="Calibri"/>
          <w:color w:val="000000" w:themeColor="text1"/>
          <w:szCs w:val="28"/>
          <w:lang w:val="ru-RU"/>
        </w:rPr>
        <w:t> </w:t>
      </w:r>
      <w:r w:rsidR="00323DA9" w:rsidRPr="00EA77E3">
        <w:rPr>
          <w:rFonts w:eastAsia="Calibri"/>
          <w:color w:val="000000" w:themeColor="text1"/>
          <w:szCs w:val="28"/>
        </w:rPr>
        <w:t>(7,28‰)</w:t>
      </w:r>
      <w:r w:rsidR="003D594D">
        <w:rPr>
          <w:rFonts w:eastAsia="Calibri"/>
          <w:color w:val="000000" w:themeColor="text1"/>
          <w:szCs w:val="28"/>
          <w:lang w:val="ru-RU"/>
        </w:rPr>
        <w:t> </w:t>
      </w:r>
      <w:r w:rsidR="001A5E14">
        <w:rPr>
          <w:rFonts w:eastAsia="Calibri"/>
          <w:color w:val="000000" w:themeColor="text1"/>
          <w:szCs w:val="28"/>
        </w:rPr>
        <w:t>[6</w:t>
      </w:r>
      <w:r>
        <w:rPr>
          <w:rFonts w:eastAsia="Calibri"/>
          <w:color w:val="000000" w:themeColor="text1"/>
          <w:szCs w:val="28"/>
        </w:rPr>
        <w:t>4].</w:t>
      </w:r>
    </w:p>
    <w:p w:rsidR="00323DA9" w:rsidRPr="006A2295" w:rsidRDefault="00323DA9" w:rsidP="00DD2AB0">
      <w:pPr>
        <w:widowControl w:val="0"/>
        <w:tabs>
          <w:tab w:val="left" w:pos="1115"/>
        </w:tabs>
        <w:ind w:firstLine="708"/>
        <w:rPr>
          <w:rFonts w:eastAsia="Calibri"/>
          <w:color w:val="000000" w:themeColor="text1"/>
          <w:sz w:val="22"/>
        </w:rPr>
      </w:pPr>
      <w:r w:rsidRPr="00EA77E3">
        <w:rPr>
          <w:rFonts w:eastAsia="Times New Roman"/>
          <w:color w:val="000000" w:themeColor="text1"/>
          <w:szCs w:val="28"/>
          <w:lang w:eastAsia="ru-RU"/>
        </w:rPr>
        <w:t>За аналізований період у всіх країна</w:t>
      </w:r>
      <w:r w:rsidR="001C68A2">
        <w:rPr>
          <w:rFonts w:eastAsia="Times New Roman"/>
          <w:color w:val="000000" w:themeColor="text1"/>
          <w:szCs w:val="28"/>
          <w:lang w:eastAsia="ru-RU"/>
        </w:rPr>
        <w:t xml:space="preserve">х пострадянського простору </w:t>
      </w:r>
      <w:r w:rsidRPr="00EA77E3">
        <w:rPr>
          <w:rFonts w:eastAsia="Times New Roman"/>
          <w:color w:val="000000" w:themeColor="text1"/>
          <w:szCs w:val="28"/>
          <w:lang w:eastAsia="ru-RU"/>
        </w:rPr>
        <w:t xml:space="preserve"> спостерігались тенденції до зниження рівні</w:t>
      </w:r>
      <w:r w:rsidR="00334324">
        <w:rPr>
          <w:rFonts w:eastAsia="Times New Roman"/>
          <w:color w:val="000000" w:themeColor="text1"/>
          <w:szCs w:val="28"/>
          <w:lang w:eastAsia="ru-RU"/>
        </w:rPr>
        <w:t xml:space="preserve">в смертності дітей у віці </w:t>
      </w:r>
      <w:r w:rsidR="005B4B43">
        <w:rPr>
          <w:rFonts w:eastAsia="Times New Roman"/>
          <w:color w:val="000000" w:themeColor="text1"/>
          <w:szCs w:val="28"/>
          <w:lang w:eastAsia="ru-RU"/>
        </w:rPr>
        <w:t>до 5</w:t>
      </w:r>
      <w:r w:rsidRPr="00EA77E3">
        <w:rPr>
          <w:rFonts w:eastAsia="Times New Roman"/>
          <w:color w:val="000000" w:themeColor="text1"/>
          <w:szCs w:val="28"/>
          <w:lang w:eastAsia="ru-RU"/>
        </w:rPr>
        <w:t xml:space="preserve"> років</w:t>
      </w:r>
      <w:r w:rsidR="00045D3A">
        <w:rPr>
          <w:rFonts w:eastAsia="Times New Roman"/>
          <w:color w:val="000000" w:themeColor="text1"/>
          <w:szCs w:val="28"/>
          <w:lang w:eastAsia="ru-RU"/>
        </w:rPr>
        <w:t xml:space="preserve"> </w:t>
      </w:r>
      <w:r w:rsidR="00045D3A" w:rsidRPr="00045D3A">
        <w:rPr>
          <w:rFonts w:eastAsia="Times New Roman"/>
          <w:color w:val="000000" w:themeColor="text1"/>
          <w:szCs w:val="28"/>
          <w:lang w:eastAsia="ru-RU"/>
        </w:rPr>
        <w:t xml:space="preserve">(за даними бази </w:t>
      </w:r>
      <w:r w:rsidR="00045D3A" w:rsidRPr="00045D3A">
        <w:rPr>
          <w:rFonts w:eastAsia="Times New Roman"/>
          <w:color w:val="000000" w:themeColor="text1"/>
          <w:szCs w:val="28"/>
          <w:lang w:eastAsia="ru-RU"/>
        </w:rPr>
        <w:lastRenderedPageBreak/>
        <w:t>UN</w:t>
      </w:r>
      <w:r w:rsidR="0076080D">
        <w:rPr>
          <w:lang w:val="ru-RU"/>
        </w:rPr>
        <w:t> </w:t>
      </w:r>
      <w:r w:rsidR="00045D3A" w:rsidRPr="00045D3A">
        <w:rPr>
          <w:rFonts w:eastAsia="Times New Roman"/>
          <w:color w:val="000000" w:themeColor="text1"/>
          <w:szCs w:val="28"/>
          <w:lang w:eastAsia="ru-RU"/>
        </w:rPr>
        <w:t>Inter-agency Group for Child Mortality Estimation, UN IGME)</w:t>
      </w:r>
      <w:r w:rsidRPr="00045D3A">
        <w:rPr>
          <w:rFonts w:eastAsia="Times New Roman"/>
          <w:color w:val="000000" w:themeColor="text1"/>
          <w:szCs w:val="28"/>
          <w:lang w:eastAsia="ru-RU"/>
        </w:rPr>
        <w:t xml:space="preserve">. </w:t>
      </w:r>
      <w:r w:rsidR="001C68A2">
        <w:rPr>
          <w:rFonts w:eastAsia="Times New Roman"/>
          <w:color w:val="000000" w:themeColor="text1"/>
          <w:szCs w:val="28"/>
          <w:lang w:val="en-US" w:eastAsia="ru-RU"/>
        </w:rPr>
        <w:t>C</w:t>
      </w:r>
      <w:r w:rsidRPr="00EA77E3">
        <w:rPr>
          <w:rFonts w:eastAsia="Times New Roman"/>
          <w:color w:val="000000" w:themeColor="text1"/>
          <w:szCs w:val="28"/>
          <w:lang w:eastAsia="ru-RU"/>
        </w:rPr>
        <w:t xml:space="preserve">лід зазначити, </w:t>
      </w:r>
      <w:r w:rsidR="00353E24">
        <w:rPr>
          <w:rFonts w:eastAsia="Times New Roman"/>
          <w:color w:val="000000" w:themeColor="text1"/>
          <w:szCs w:val="28"/>
          <w:lang w:eastAsia="ru-RU"/>
        </w:rPr>
        <w:t xml:space="preserve">що як у 2000 </w:t>
      </w:r>
      <w:proofErr w:type="gramStart"/>
      <w:r w:rsidR="00353E24">
        <w:rPr>
          <w:rFonts w:eastAsia="Times New Roman"/>
          <w:color w:val="000000" w:themeColor="text1"/>
          <w:szCs w:val="28"/>
          <w:lang w:eastAsia="ru-RU"/>
        </w:rPr>
        <w:t>р.</w:t>
      </w:r>
      <w:r w:rsidR="00353E24" w:rsidRPr="00353E24">
        <w:rPr>
          <w:rFonts w:eastAsia="Times New Roman"/>
          <w:color w:val="000000" w:themeColor="text1"/>
          <w:szCs w:val="28"/>
          <w:lang w:eastAsia="ru-RU"/>
        </w:rPr>
        <w:t>,</w:t>
      </w:r>
      <w:proofErr w:type="gramEnd"/>
      <w:r w:rsidRPr="00EA77E3">
        <w:rPr>
          <w:rFonts w:eastAsia="Times New Roman"/>
          <w:color w:val="000000" w:themeColor="text1"/>
          <w:szCs w:val="28"/>
          <w:lang w:eastAsia="ru-RU"/>
        </w:rPr>
        <w:t xml:space="preserve"> так і у 2018р. у переважній більшості країн рівні дитячої смертності вищі за аналогічні у країнах європейсько</w:t>
      </w:r>
      <w:r w:rsidR="00334324">
        <w:rPr>
          <w:rFonts w:eastAsia="Times New Roman"/>
          <w:color w:val="000000" w:themeColor="text1"/>
          <w:szCs w:val="28"/>
          <w:lang w:eastAsia="ru-RU"/>
        </w:rPr>
        <w:t>го регіону. Л</w:t>
      </w:r>
      <w:r w:rsidRPr="00EA77E3">
        <w:rPr>
          <w:rFonts w:eastAsia="Times New Roman"/>
          <w:color w:val="000000" w:themeColor="text1"/>
          <w:szCs w:val="28"/>
          <w:lang w:eastAsia="ru-RU"/>
        </w:rPr>
        <w:t>ише 4 країни мають показники дитячої смертності дітей у віці до 5 років</w:t>
      </w:r>
      <w:r w:rsidR="00353E24">
        <w:rPr>
          <w:rFonts w:eastAsia="Times New Roman"/>
          <w:color w:val="000000" w:themeColor="text1"/>
          <w:szCs w:val="28"/>
          <w:lang w:eastAsia="ru-RU"/>
        </w:rPr>
        <w:t xml:space="preserve"> життя</w:t>
      </w:r>
      <w:r w:rsidRPr="00EA77E3">
        <w:rPr>
          <w:rFonts w:eastAsia="Times New Roman"/>
          <w:color w:val="000000" w:themeColor="text1"/>
          <w:szCs w:val="28"/>
          <w:lang w:eastAsia="ru-RU"/>
        </w:rPr>
        <w:t xml:space="preserve"> нижчі за середньоєвропейський показник смертності: Білорусь (3,42‰), Естонія (2,65‰), Латвія (3,86‰), Литва (4,04‰). Найвищі показники дитячої смертності спостерігались у Азербайджані (21,52‰), Киргизстані (18,94‰), Таджикистані (34,77‰), Туркменістані (45,81‰), Узбекистані (21,45‰). При цьому діапазон темпу убутку рівні</w:t>
      </w:r>
      <w:r w:rsidR="003E17FD">
        <w:rPr>
          <w:rFonts w:eastAsia="Times New Roman"/>
          <w:color w:val="000000" w:themeColor="text1"/>
          <w:szCs w:val="28"/>
          <w:lang w:eastAsia="ru-RU"/>
        </w:rPr>
        <w:t>в смертності дітей у віці до 5</w:t>
      </w:r>
      <w:r w:rsidRPr="00EA77E3">
        <w:rPr>
          <w:rFonts w:eastAsia="Times New Roman"/>
          <w:color w:val="000000" w:themeColor="text1"/>
          <w:szCs w:val="28"/>
          <w:lang w:eastAsia="ru-RU"/>
        </w:rPr>
        <w:t xml:space="preserve"> років у країнах пострадянського простору коливався від 49,5% </w:t>
      </w:r>
      <w:r w:rsidR="00334324">
        <w:rPr>
          <w:rFonts w:eastAsia="Times New Roman"/>
          <w:color w:val="000000" w:themeColor="text1"/>
          <w:szCs w:val="28"/>
          <w:lang w:eastAsia="ru-RU"/>
        </w:rPr>
        <w:t>у Молдові до 76,9% у Казахстані.</w:t>
      </w:r>
      <w:r w:rsidR="003232DE">
        <w:rPr>
          <w:rFonts w:eastAsia="Times New Roman"/>
          <w:color w:val="000000" w:themeColor="text1"/>
          <w:szCs w:val="28"/>
          <w:lang w:eastAsia="ru-RU"/>
        </w:rPr>
        <w:t xml:space="preserve"> Також, п</w:t>
      </w:r>
      <w:r w:rsidRPr="00EA77E3">
        <w:rPr>
          <w:rFonts w:eastAsia="Times New Roman"/>
          <w:color w:val="000000" w:themeColor="text1"/>
          <w:szCs w:val="28"/>
          <w:lang w:eastAsia="ru-RU"/>
        </w:rPr>
        <w:t>ротягом 2000-2018 рр.</w:t>
      </w:r>
      <w:r w:rsidR="00A77780">
        <w:rPr>
          <w:rFonts w:eastAsia="Times New Roman"/>
          <w:color w:val="000000" w:themeColor="text1"/>
          <w:szCs w:val="28"/>
          <w:lang w:eastAsia="ru-RU"/>
        </w:rPr>
        <w:t xml:space="preserve"> у</w:t>
      </w:r>
      <w:r w:rsidR="003232DE" w:rsidRPr="003232DE">
        <w:rPr>
          <w:rFonts w:eastAsia="Times New Roman"/>
          <w:color w:val="000000" w:themeColor="text1"/>
          <w:szCs w:val="28"/>
          <w:lang w:eastAsia="ru-RU"/>
        </w:rPr>
        <w:t xml:space="preserve"> країнах пострадянського простору</w:t>
      </w:r>
      <w:r w:rsidRPr="00EA77E3">
        <w:rPr>
          <w:rFonts w:eastAsia="Times New Roman"/>
          <w:color w:val="000000" w:themeColor="text1"/>
          <w:szCs w:val="28"/>
          <w:lang w:eastAsia="ru-RU"/>
        </w:rPr>
        <w:t xml:space="preserve"> відбулось зниження рівнів малюкової смертності</w:t>
      </w:r>
      <w:r w:rsidR="00A77780">
        <w:rPr>
          <w:rFonts w:eastAsia="Times New Roman"/>
          <w:color w:val="000000" w:themeColor="text1"/>
          <w:szCs w:val="28"/>
          <w:lang w:eastAsia="ru-RU"/>
        </w:rPr>
        <w:t>, що продовжують залишатись</w:t>
      </w:r>
      <w:r w:rsidRPr="00EA77E3">
        <w:rPr>
          <w:rFonts w:eastAsia="Times New Roman"/>
          <w:color w:val="000000" w:themeColor="text1"/>
          <w:szCs w:val="28"/>
          <w:lang w:eastAsia="ru-RU"/>
        </w:rPr>
        <w:t xml:space="preserve"> на достатньо високому рівні, лише у</w:t>
      </w:r>
      <w:r w:rsidRPr="00EA77E3">
        <w:rPr>
          <w:rFonts w:ascii="Calibri" w:eastAsia="Calibri" w:hAnsi="Calibri"/>
          <w:color w:val="000000" w:themeColor="text1"/>
          <w:sz w:val="22"/>
        </w:rPr>
        <w:t xml:space="preserve"> </w:t>
      </w:r>
      <w:r w:rsidRPr="00EA77E3">
        <w:rPr>
          <w:rFonts w:eastAsia="Times New Roman"/>
          <w:color w:val="000000" w:themeColor="text1"/>
          <w:szCs w:val="28"/>
          <w:lang w:eastAsia="ru-RU"/>
        </w:rPr>
        <w:t>Білорусі (2,57‰), Естонії (2,08‰), Латвії (3,30‰) та Литві (3,26‰)</w:t>
      </w:r>
      <w:r w:rsidRPr="00EA77E3">
        <w:rPr>
          <w:rFonts w:eastAsia="NewtonC-Bold"/>
          <w:bCs/>
          <w:color w:val="000000" w:themeColor="text1"/>
          <w:szCs w:val="28"/>
          <w:lang w:eastAsia="ru-RU"/>
        </w:rPr>
        <w:t xml:space="preserve"> сформовано рівні малюкової смертності у межах європейських</w:t>
      </w:r>
      <w:r w:rsidR="00DD2AB0">
        <w:rPr>
          <w:rFonts w:eastAsia="NewtonC-Bold"/>
          <w:bCs/>
          <w:color w:val="000000" w:themeColor="text1"/>
          <w:szCs w:val="28"/>
          <w:lang w:eastAsia="ru-RU"/>
        </w:rPr>
        <w:t xml:space="preserve"> показників</w:t>
      </w:r>
      <w:r w:rsidRPr="00EA77E3">
        <w:rPr>
          <w:rFonts w:eastAsia="NewtonC-Bold"/>
          <w:bCs/>
          <w:color w:val="000000" w:themeColor="text1"/>
          <w:szCs w:val="28"/>
          <w:lang w:eastAsia="ru-RU"/>
        </w:rPr>
        <w:t>. Найвищі рівні малюкової смертності в країнах пострадянського простору мають країни, в яких спостерігаються найвищі рівні смертності дітей до 5 років, а саме: Азербайджан (19,19‰), Киргизстан (16,92‰), Таджикистан (30,42‰), Туркменістан (39,34‰), Узбекистан (19,12‰)</w:t>
      </w:r>
      <w:r w:rsidR="001A5E14" w:rsidRPr="001A5E14">
        <w:rPr>
          <w:rFonts w:eastAsia="NewtonC-Bold"/>
          <w:bCs/>
          <w:color w:val="000000" w:themeColor="text1"/>
          <w:szCs w:val="28"/>
          <w:lang w:eastAsia="ru-RU"/>
        </w:rPr>
        <w:t xml:space="preserve"> </w:t>
      </w:r>
      <w:r w:rsidR="001A5E14">
        <w:rPr>
          <w:rFonts w:eastAsia="Calibri"/>
          <w:color w:val="000000" w:themeColor="text1"/>
          <w:szCs w:val="28"/>
        </w:rPr>
        <w:t>[6</w:t>
      </w:r>
      <w:r w:rsidR="001A5E14" w:rsidRPr="001A5E14">
        <w:rPr>
          <w:rFonts w:eastAsia="Calibri"/>
          <w:color w:val="000000" w:themeColor="text1"/>
          <w:szCs w:val="28"/>
        </w:rPr>
        <w:t xml:space="preserve">4]. </w:t>
      </w:r>
      <w:r w:rsidR="001A5E14">
        <w:rPr>
          <w:rFonts w:eastAsia="Calibri"/>
          <w:color w:val="000000" w:themeColor="text1"/>
          <w:szCs w:val="28"/>
        </w:rPr>
        <w:t xml:space="preserve"> </w:t>
      </w:r>
    </w:p>
    <w:p w:rsidR="006A6EFF" w:rsidRPr="00461275" w:rsidRDefault="00323DA9" w:rsidP="00461275">
      <w:pPr>
        <w:widowControl w:val="0"/>
        <w:ind w:firstLine="709"/>
        <w:rPr>
          <w:rFonts w:eastAsia="Times New Roman"/>
          <w:color w:val="000000" w:themeColor="text1"/>
          <w:szCs w:val="28"/>
          <w:lang w:eastAsia="ru-RU"/>
        </w:rPr>
      </w:pPr>
      <w:r w:rsidRPr="00EA77E3">
        <w:rPr>
          <w:rFonts w:eastAsia="Times New Roman"/>
          <w:color w:val="000000" w:themeColor="text1"/>
          <w:szCs w:val="28"/>
          <w:lang w:eastAsia="ru-RU"/>
        </w:rPr>
        <w:t xml:space="preserve">У країнах Європейського регіону також тривають тенденції до поступового зниження малюкової смертності. </w:t>
      </w:r>
      <w:r w:rsidR="006A2295" w:rsidRPr="006A2295">
        <w:rPr>
          <w:rFonts w:eastAsia="Times New Roman"/>
          <w:color w:val="000000" w:themeColor="text1"/>
          <w:szCs w:val="28"/>
          <w:lang w:eastAsia="ru-RU"/>
        </w:rPr>
        <w:t xml:space="preserve">За даними бази UN Inter-agency Group for Child Mortality Estimation (UN IGME) </w:t>
      </w:r>
      <w:r w:rsidR="006A2295">
        <w:rPr>
          <w:rFonts w:eastAsia="Times New Roman"/>
          <w:color w:val="000000" w:themeColor="text1"/>
          <w:szCs w:val="28"/>
          <w:lang w:eastAsia="ru-RU"/>
        </w:rPr>
        <w:t>с</w:t>
      </w:r>
      <w:r w:rsidRPr="00EA77E3">
        <w:rPr>
          <w:rFonts w:eastAsia="Times New Roman"/>
          <w:color w:val="000000" w:themeColor="text1"/>
          <w:szCs w:val="28"/>
          <w:lang w:eastAsia="ru-RU"/>
        </w:rPr>
        <w:t xml:space="preserve">ередньоєвропейський показник малюкової смертності знизився з 8,77‰ у 2000 р. до 4,31‰ у 2018 р. (темп убутку -50,9%). Найнижчий рівень </w:t>
      </w:r>
      <w:r w:rsidR="00091D52">
        <w:rPr>
          <w:rFonts w:eastAsia="Times New Roman"/>
          <w:color w:val="000000" w:themeColor="text1"/>
          <w:szCs w:val="28"/>
          <w:lang w:eastAsia="ru-RU"/>
        </w:rPr>
        <w:t>малюкової смертності у 2018 р.</w:t>
      </w:r>
      <w:r w:rsidRPr="00EA77E3">
        <w:rPr>
          <w:rFonts w:eastAsia="Times New Roman"/>
          <w:color w:val="000000" w:themeColor="text1"/>
          <w:szCs w:val="28"/>
          <w:lang w:eastAsia="ru-RU"/>
        </w:rPr>
        <w:t xml:space="preserve">  спостерігався у Фінляндії (1,38‰),</w:t>
      </w:r>
      <w:r w:rsidRPr="00EA77E3">
        <w:rPr>
          <w:rFonts w:ascii="Calibri" w:eastAsia="Calibri" w:hAnsi="Calibri"/>
          <w:color w:val="000000" w:themeColor="text1"/>
          <w:sz w:val="22"/>
        </w:rPr>
        <w:t xml:space="preserve"> </w:t>
      </w:r>
      <w:r w:rsidR="00091D52">
        <w:rPr>
          <w:rFonts w:eastAsia="Times New Roman"/>
          <w:color w:val="000000" w:themeColor="text1"/>
          <w:szCs w:val="28"/>
          <w:lang w:eastAsia="ru-RU"/>
        </w:rPr>
        <w:t>Ісландії (1,53‰), Люксембурзі</w:t>
      </w:r>
      <w:r w:rsidRPr="00EA77E3">
        <w:rPr>
          <w:rFonts w:eastAsia="Times New Roman"/>
          <w:color w:val="000000" w:themeColor="text1"/>
          <w:szCs w:val="28"/>
          <w:lang w:eastAsia="ru-RU"/>
        </w:rPr>
        <w:t xml:space="preserve"> (1,94‰), Сан-</w:t>
      </w:r>
      <w:r w:rsidR="00091D52">
        <w:rPr>
          <w:rFonts w:eastAsia="Times New Roman"/>
          <w:color w:val="000000" w:themeColor="text1"/>
          <w:szCs w:val="28"/>
          <w:lang w:eastAsia="ru-RU"/>
        </w:rPr>
        <w:t>Марино (1,74‰), Словенії</w:t>
      </w:r>
      <w:r w:rsidRPr="00EA77E3">
        <w:rPr>
          <w:rFonts w:eastAsia="Times New Roman"/>
          <w:color w:val="000000" w:themeColor="text1"/>
          <w:szCs w:val="28"/>
          <w:lang w:eastAsia="ru-RU"/>
        </w:rPr>
        <w:t xml:space="preserve"> (</w:t>
      </w:r>
      <w:r w:rsidR="00091D52">
        <w:rPr>
          <w:rFonts w:eastAsia="Times New Roman"/>
          <w:color w:val="000000" w:themeColor="text1"/>
          <w:szCs w:val="28"/>
          <w:lang w:eastAsia="ru-RU"/>
        </w:rPr>
        <w:t>1,73‰). Найвищі рівні зафіксовано</w:t>
      </w:r>
      <w:r w:rsidRPr="00EA77E3">
        <w:rPr>
          <w:rFonts w:eastAsia="Times New Roman"/>
          <w:color w:val="000000" w:themeColor="text1"/>
          <w:szCs w:val="28"/>
          <w:lang w:eastAsia="ru-RU"/>
        </w:rPr>
        <w:t xml:space="preserve"> у Румунії (6,13‰) і Туреччині (9,10‰)</w:t>
      </w:r>
      <w:r w:rsidR="0089471E" w:rsidRPr="00091D52">
        <w:rPr>
          <w:rFonts w:eastAsia="Times New Roman"/>
          <w:color w:val="000000" w:themeColor="text1"/>
          <w:szCs w:val="28"/>
          <w:lang w:eastAsia="ru-RU"/>
        </w:rPr>
        <w:t xml:space="preserve"> </w:t>
      </w:r>
      <w:r w:rsidR="0089471E">
        <w:rPr>
          <w:rFonts w:eastAsia="Calibri"/>
          <w:color w:val="000000" w:themeColor="text1"/>
          <w:szCs w:val="28"/>
        </w:rPr>
        <w:t>[6</w:t>
      </w:r>
      <w:r w:rsidR="0089471E" w:rsidRPr="001A5E14">
        <w:rPr>
          <w:rFonts w:eastAsia="Calibri"/>
          <w:color w:val="000000" w:themeColor="text1"/>
          <w:szCs w:val="28"/>
        </w:rPr>
        <w:t>4</w:t>
      </w:r>
      <w:r w:rsidR="0089471E">
        <w:rPr>
          <w:rFonts w:eastAsia="Calibri"/>
          <w:color w:val="000000" w:themeColor="text1"/>
          <w:szCs w:val="28"/>
        </w:rPr>
        <w:t>]</w:t>
      </w:r>
      <w:r w:rsidRPr="00EA77E3">
        <w:rPr>
          <w:rFonts w:eastAsia="Times New Roman"/>
          <w:color w:val="000000" w:themeColor="text1"/>
          <w:szCs w:val="28"/>
          <w:lang w:eastAsia="ru-RU"/>
        </w:rPr>
        <w:t>.</w:t>
      </w:r>
    </w:p>
    <w:p w:rsidR="00E650BA" w:rsidRPr="00E650BA" w:rsidRDefault="00E650BA" w:rsidP="00E650BA">
      <w:pPr>
        <w:widowControl w:val="0"/>
        <w:spacing w:before="240" w:after="240"/>
        <w:ind w:firstLine="709"/>
        <w:rPr>
          <w:rFonts w:eastAsia="Times New Roman"/>
          <w:color w:val="000000" w:themeColor="text1"/>
          <w:szCs w:val="28"/>
          <w:lang w:eastAsia="ru-RU"/>
        </w:rPr>
      </w:pPr>
      <w:r w:rsidRPr="00E650BA">
        <w:rPr>
          <w:rFonts w:eastAsia="Times New Roman"/>
          <w:b/>
          <w:color w:val="000000" w:themeColor="text1"/>
          <w:szCs w:val="28"/>
          <w:lang w:eastAsia="ru-RU"/>
        </w:rPr>
        <w:t xml:space="preserve">1.2. </w:t>
      </w:r>
      <w:r w:rsidR="00850E5D" w:rsidRPr="00E650BA">
        <w:rPr>
          <w:rFonts w:eastAsia="Calibri"/>
          <w:b/>
          <w:color w:val="000000" w:themeColor="text1"/>
          <w:szCs w:val="28"/>
        </w:rPr>
        <w:t>Сучасні</w:t>
      </w:r>
      <w:r w:rsidR="00850E5D" w:rsidRPr="00EA77E3">
        <w:rPr>
          <w:rFonts w:eastAsia="Calibri"/>
          <w:b/>
          <w:color w:val="000000" w:themeColor="text1"/>
          <w:szCs w:val="28"/>
        </w:rPr>
        <w:t xml:space="preserve"> погляди на причини та зв’язки показника дитячої смертності з іншими медико-соціальними факторами</w:t>
      </w:r>
    </w:p>
    <w:p w:rsidR="00323DA9" w:rsidRPr="001C6944" w:rsidRDefault="00C5000B" w:rsidP="001C6944">
      <w:pPr>
        <w:widowControl w:val="0"/>
        <w:ind w:firstLine="709"/>
        <w:rPr>
          <w:rFonts w:eastAsia="Calibri"/>
          <w:color w:val="000000" w:themeColor="text1"/>
          <w:szCs w:val="28"/>
        </w:rPr>
      </w:pPr>
      <w:r>
        <w:rPr>
          <w:rFonts w:eastAsia="Calibri"/>
          <w:color w:val="000000" w:themeColor="text1"/>
          <w:szCs w:val="28"/>
        </w:rPr>
        <w:t xml:space="preserve">На </w:t>
      </w:r>
      <w:r w:rsidR="00323DA9" w:rsidRPr="00EA77E3">
        <w:rPr>
          <w:rFonts w:eastAsia="Calibri"/>
          <w:color w:val="000000" w:themeColor="text1"/>
          <w:szCs w:val="28"/>
        </w:rPr>
        <w:t>дитячу с</w:t>
      </w:r>
      <w:r>
        <w:rPr>
          <w:rFonts w:eastAsia="Calibri"/>
          <w:color w:val="000000" w:themeColor="text1"/>
          <w:szCs w:val="28"/>
        </w:rPr>
        <w:t>мертність впливає безліч різних</w:t>
      </w:r>
      <w:r w:rsidR="00323DA9" w:rsidRPr="00EA77E3">
        <w:rPr>
          <w:rFonts w:eastAsia="Calibri"/>
          <w:color w:val="000000" w:themeColor="text1"/>
          <w:szCs w:val="28"/>
        </w:rPr>
        <w:t xml:space="preserve"> </w:t>
      </w:r>
      <w:r>
        <w:rPr>
          <w:rFonts w:eastAsia="Calibri"/>
          <w:color w:val="000000" w:themeColor="text1"/>
          <w:szCs w:val="28"/>
        </w:rPr>
        <w:t xml:space="preserve">і </w:t>
      </w:r>
      <w:r w:rsidR="00323DA9" w:rsidRPr="00EA77E3">
        <w:rPr>
          <w:rFonts w:eastAsia="Calibri"/>
          <w:color w:val="000000" w:themeColor="text1"/>
          <w:szCs w:val="28"/>
        </w:rPr>
        <w:t xml:space="preserve">взаємопов'язаних демографічних, </w:t>
      </w:r>
      <w:r w:rsidR="00323DA9" w:rsidRPr="00EA77E3">
        <w:rPr>
          <w:rFonts w:eastAsia="Calibri"/>
          <w:color w:val="000000" w:themeColor="text1"/>
          <w:szCs w:val="28"/>
        </w:rPr>
        <w:lastRenderedPageBreak/>
        <w:t>медико-соціальних, соціально-економічних факторів</w:t>
      </w:r>
      <w:r w:rsidR="00923F36">
        <w:rPr>
          <w:rFonts w:eastAsia="Calibri"/>
          <w:color w:val="000000" w:themeColor="text1"/>
          <w:szCs w:val="28"/>
        </w:rPr>
        <w:t xml:space="preserve"> і визначений ними спосіб життя.</w:t>
      </w:r>
      <w:r w:rsidR="000C3757" w:rsidRPr="000C3757">
        <w:rPr>
          <w:rFonts w:eastAsia="Calibri"/>
          <w:color w:val="000000" w:themeColor="text1"/>
          <w:szCs w:val="28"/>
        </w:rPr>
        <w:t xml:space="preserve"> </w:t>
      </w:r>
      <w:r w:rsidR="006D7869">
        <w:rPr>
          <w:rFonts w:eastAsia="Calibri"/>
          <w:color w:val="000000" w:themeColor="text1"/>
          <w:szCs w:val="28"/>
        </w:rPr>
        <w:t>При цьому, д</w:t>
      </w:r>
      <w:r w:rsidR="00923F36">
        <w:rPr>
          <w:rFonts w:eastAsia="Calibri"/>
          <w:color w:val="000000" w:themeColor="text1"/>
          <w:szCs w:val="28"/>
        </w:rPr>
        <w:t>ля</w:t>
      </w:r>
      <w:r w:rsidR="00323DA9" w:rsidRPr="00EA77E3">
        <w:rPr>
          <w:rFonts w:eastAsia="Calibri"/>
          <w:color w:val="000000" w:themeColor="text1"/>
          <w:szCs w:val="28"/>
        </w:rPr>
        <w:t xml:space="preserve"> подальших кроків необхідно визначити ті чинники, які є визначальними і </w:t>
      </w:r>
      <w:r w:rsidR="000C3757">
        <w:rPr>
          <w:rFonts w:eastAsia="Calibri"/>
          <w:color w:val="000000" w:themeColor="text1"/>
          <w:szCs w:val="28"/>
          <w:lang w:val="ru-RU"/>
        </w:rPr>
        <w:t xml:space="preserve">на які </w:t>
      </w:r>
      <w:r w:rsidR="000C3757">
        <w:rPr>
          <w:rFonts w:eastAsia="Calibri"/>
          <w:color w:val="000000" w:themeColor="text1"/>
          <w:szCs w:val="28"/>
        </w:rPr>
        <w:t xml:space="preserve">можна впливати </w:t>
      </w:r>
      <w:r w:rsidR="00803903">
        <w:rPr>
          <w:rFonts w:eastAsia="Calibri"/>
          <w:color w:val="000000" w:themeColor="text1"/>
          <w:szCs w:val="28"/>
        </w:rPr>
        <w:t>[</w:t>
      </w:r>
      <w:r w:rsidR="006D3A04" w:rsidRPr="006D3A04">
        <w:rPr>
          <w:rFonts w:eastAsia="Calibri"/>
          <w:color w:val="000000" w:themeColor="text1"/>
          <w:szCs w:val="28"/>
          <w:lang w:val="ru-RU"/>
        </w:rPr>
        <w:t>6</w:t>
      </w:r>
      <w:r w:rsidR="00803903">
        <w:rPr>
          <w:rFonts w:eastAsia="Calibri"/>
          <w:color w:val="000000" w:themeColor="text1"/>
          <w:szCs w:val="28"/>
          <w:lang w:val="ru-RU"/>
        </w:rPr>
        <w:t>,</w:t>
      </w:r>
      <w:r w:rsidR="00771A33">
        <w:rPr>
          <w:rFonts w:eastAsia="Calibri"/>
          <w:color w:val="000000" w:themeColor="text1"/>
          <w:szCs w:val="28"/>
          <w:lang w:val="ru-RU"/>
        </w:rPr>
        <w:t xml:space="preserve"> </w:t>
      </w:r>
      <w:r w:rsidR="00771A33" w:rsidRPr="00771A33">
        <w:rPr>
          <w:rFonts w:eastAsia="Calibri"/>
          <w:color w:val="000000" w:themeColor="text1"/>
          <w:szCs w:val="28"/>
          <w:lang w:val="ru-RU"/>
        </w:rPr>
        <w:t>25</w:t>
      </w:r>
      <w:r w:rsidR="00803903">
        <w:rPr>
          <w:rFonts w:eastAsia="Calibri"/>
          <w:color w:val="000000" w:themeColor="text1"/>
          <w:szCs w:val="28"/>
          <w:lang w:val="ru-RU"/>
        </w:rPr>
        <w:t>,</w:t>
      </w:r>
      <w:r w:rsidR="00803903" w:rsidRPr="00803903">
        <w:rPr>
          <w:rFonts w:eastAsia="Calibri"/>
          <w:color w:val="000000" w:themeColor="text1"/>
          <w:szCs w:val="28"/>
          <w:lang w:val="ru-RU"/>
        </w:rPr>
        <w:t xml:space="preserve"> 56</w:t>
      </w:r>
      <w:r w:rsidR="00803903">
        <w:rPr>
          <w:rFonts w:eastAsia="Calibri"/>
          <w:color w:val="000000" w:themeColor="text1"/>
          <w:szCs w:val="28"/>
          <w:lang w:val="ru-RU"/>
        </w:rPr>
        <w:t>,</w:t>
      </w:r>
      <w:r w:rsidR="00803903" w:rsidRPr="00803903">
        <w:rPr>
          <w:rFonts w:eastAsia="Calibri"/>
          <w:color w:val="000000" w:themeColor="text1"/>
          <w:szCs w:val="28"/>
          <w:lang w:val="ru-RU"/>
        </w:rPr>
        <w:t xml:space="preserve"> 65</w:t>
      </w:r>
      <w:r w:rsidR="00803903">
        <w:rPr>
          <w:rFonts w:eastAsia="Calibri"/>
          <w:color w:val="000000" w:themeColor="text1"/>
          <w:szCs w:val="28"/>
          <w:lang w:val="ru-RU"/>
        </w:rPr>
        <w:t>,</w:t>
      </w:r>
      <w:r w:rsidR="00803903" w:rsidRPr="00803903">
        <w:rPr>
          <w:rFonts w:eastAsia="Calibri"/>
          <w:color w:val="000000" w:themeColor="text1"/>
          <w:szCs w:val="28"/>
          <w:lang w:val="ru-RU"/>
        </w:rPr>
        <w:t xml:space="preserve"> 66</w:t>
      </w:r>
      <w:r w:rsidR="00323DA9" w:rsidRPr="00EA77E3">
        <w:rPr>
          <w:rFonts w:eastAsia="Calibri"/>
          <w:color w:val="000000" w:themeColor="text1"/>
          <w:szCs w:val="28"/>
        </w:rPr>
        <w:t>]. Очікується, що число народжень в світі між 2015 і 2030 рр. залишиться незмінни</w:t>
      </w:r>
      <w:r w:rsidR="00461275">
        <w:rPr>
          <w:rFonts w:eastAsia="Calibri"/>
          <w:color w:val="000000" w:themeColor="text1"/>
          <w:szCs w:val="28"/>
        </w:rPr>
        <w:t>м і складе близько 140 млн</w:t>
      </w:r>
      <w:r w:rsidR="00323DA9" w:rsidRPr="00EA77E3">
        <w:rPr>
          <w:rFonts w:eastAsia="Calibri"/>
          <w:color w:val="000000" w:themeColor="text1"/>
          <w:szCs w:val="28"/>
        </w:rPr>
        <w:t xml:space="preserve"> народжень на рік. Якщо припустити, що глобальний рівень дитячої смертності залишиться на рівні, який був на початок періоду прийняття ЦСР (4,5%), т</w:t>
      </w:r>
      <w:r w:rsidR="001C7AB6">
        <w:rPr>
          <w:rFonts w:eastAsia="Calibri"/>
          <w:color w:val="000000" w:themeColor="text1"/>
          <w:szCs w:val="28"/>
        </w:rPr>
        <w:t>о людство буде мати 6,3 млн</w:t>
      </w:r>
      <w:r w:rsidR="00323DA9" w:rsidRPr="00EA77E3">
        <w:rPr>
          <w:rFonts w:eastAsia="Calibri"/>
          <w:color w:val="000000" w:themeColor="text1"/>
          <w:szCs w:val="28"/>
        </w:rPr>
        <w:t xml:space="preserve"> дитяч</w:t>
      </w:r>
      <w:r w:rsidR="001C7AB6">
        <w:rPr>
          <w:rFonts w:eastAsia="Calibri"/>
          <w:color w:val="000000" w:themeColor="text1"/>
          <w:szCs w:val="28"/>
        </w:rPr>
        <w:t>их смертей на рік – 100 млн</w:t>
      </w:r>
      <w:r w:rsidR="00323DA9" w:rsidRPr="00EA77E3">
        <w:rPr>
          <w:rFonts w:eastAsia="Calibri"/>
          <w:color w:val="000000" w:themeColor="text1"/>
          <w:szCs w:val="28"/>
        </w:rPr>
        <w:t xml:space="preserve"> дитячих смертей до 2030 року. Слід зазначити, що в тих країнах, де показники стану здоров'я громадян кращі, показники дитячої смертності в 10 разів нижчі, ніж в середньому в світі, що свідчить про те, що</w:t>
      </w:r>
      <w:r w:rsidR="001C7AB6">
        <w:rPr>
          <w:rFonts w:eastAsia="Calibri"/>
          <w:color w:val="000000" w:themeColor="text1"/>
          <w:szCs w:val="28"/>
        </w:rPr>
        <w:t xml:space="preserve"> більшості випадкам смерті</w:t>
      </w:r>
      <w:r w:rsidR="00323DA9" w:rsidRPr="00EA77E3">
        <w:rPr>
          <w:rFonts w:eastAsia="Calibri"/>
          <w:color w:val="000000" w:themeColor="text1"/>
          <w:szCs w:val="28"/>
        </w:rPr>
        <w:t xml:space="preserve"> дітей можна запобігти [</w:t>
      </w:r>
      <w:r w:rsidR="009C2903">
        <w:rPr>
          <w:rFonts w:eastAsia="Calibri"/>
          <w:color w:val="000000" w:themeColor="text1"/>
          <w:szCs w:val="28"/>
        </w:rPr>
        <w:t>45, 59, 60, 67</w:t>
      </w:r>
      <w:r w:rsidR="00323DA9" w:rsidRPr="00EA77E3">
        <w:rPr>
          <w:rFonts w:eastAsia="Calibri"/>
          <w:color w:val="000000" w:themeColor="text1"/>
          <w:szCs w:val="28"/>
        </w:rPr>
        <w:t xml:space="preserve">]. </w:t>
      </w:r>
    </w:p>
    <w:p w:rsidR="00323DA9" w:rsidRPr="00EA77E3" w:rsidRDefault="00323DA9" w:rsidP="00721203">
      <w:pPr>
        <w:widowControl w:val="0"/>
        <w:ind w:firstLine="709"/>
        <w:rPr>
          <w:rFonts w:eastAsia="Calibri"/>
          <w:color w:val="000000" w:themeColor="text1"/>
          <w:szCs w:val="28"/>
        </w:rPr>
      </w:pPr>
      <w:r w:rsidRPr="00EA77E3">
        <w:rPr>
          <w:rFonts w:eastAsia="Calibri"/>
          <w:color w:val="000000" w:themeColor="text1"/>
          <w:szCs w:val="28"/>
        </w:rPr>
        <w:t>Щоб зменшити смертність дітей, потрібно знати</w:t>
      </w:r>
      <w:r w:rsidR="00867678">
        <w:rPr>
          <w:rFonts w:eastAsia="Calibri"/>
          <w:color w:val="000000" w:themeColor="text1"/>
          <w:szCs w:val="28"/>
        </w:rPr>
        <w:t>:</w:t>
      </w:r>
      <w:r w:rsidRPr="00EA77E3">
        <w:rPr>
          <w:rFonts w:eastAsia="Calibri"/>
          <w:color w:val="000000" w:themeColor="text1"/>
          <w:szCs w:val="28"/>
        </w:rPr>
        <w:t xml:space="preserve"> де, від чого або чому вмирають діти. Більшість дитячих смертей сьогодні є результатом ві</w:t>
      </w:r>
      <w:r w:rsidR="00BC0F5F">
        <w:rPr>
          <w:rFonts w:eastAsia="Calibri"/>
          <w:color w:val="000000" w:themeColor="text1"/>
          <w:szCs w:val="28"/>
        </w:rPr>
        <w:t>дом</w:t>
      </w:r>
      <w:r w:rsidR="00867678">
        <w:rPr>
          <w:rFonts w:eastAsia="Calibri"/>
          <w:color w:val="000000" w:themeColor="text1"/>
          <w:szCs w:val="28"/>
        </w:rPr>
        <w:t>их причин</w:t>
      </w:r>
      <w:r w:rsidRPr="00EA77E3">
        <w:rPr>
          <w:rFonts w:eastAsia="Calibri"/>
          <w:color w:val="000000" w:themeColor="text1"/>
          <w:szCs w:val="28"/>
        </w:rPr>
        <w:t>, і</w:t>
      </w:r>
      <w:r w:rsidR="00867678">
        <w:rPr>
          <w:rFonts w:eastAsia="Calibri"/>
          <w:color w:val="000000" w:themeColor="text1"/>
          <w:szCs w:val="28"/>
        </w:rPr>
        <w:t xml:space="preserve">з запобіганням яких </w:t>
      </w:r>
      <w:r w:rsidR="00BC0F5F">
        <w:rPr>
          <w:rFonts w:eastAsia="Calibri"/>
          <w:color w:val="000000" w:themeColor="text1"/>
          <w:szCs w:val="28"/>
        </w:rPr>
        <w:t>пов</w:t>
      </w:r>
      <w:r w:rsidR="00867678">
        <w:rPr>
          <w:rFonts w:eastAsia="Calibri"/>
          <w:color w:val="000000" w:themeColor="text1"/>
          <w:szCs w:val="28"/>
        </w:rPr>
        <w:t>’</w:t>
      </w:r>
      <w:r w:rsidR="00BC0F5F">
        <w:rPr>
          <w:rFonts w:eastAsia="Calibri"/>
          <w:color w:val="000000" w:themeColor="text1"/>
          <w:szCs w:val="28"/>
        </w:rPr>
        <w:t>язано попередження мільйонів</w:t>
      </w:r>
      <w:r w:rsidRPr="00EA77E3">
        <w:rPr>
          <w:rFonts w:eastAsia="Calibri"/>
          <w:color w:val="000000" w:themeColor="text1"/>
          <w:szCs w:val="28"/>
        </w:rPr>
        <w:t xml:space="preserve"> дитячих смертей за остан</w:t>
      </w:r>
      <w:r w:rsidR="009A433B">
        <w:rPr>
          <w:rFonts w:eastAsia="Calibri"/>
          <w:color w:val="000000" w:themeColor="text1"/>
          <w:szCs w:val="28"/>
        </w:rPr>
        <w:t>ні декілька десятиліть [7, 46, 68</w:t>
      </w:r>
      <w:r w:rsidRPr="00EA77E3">
        <w:rPr>
          <w:rFonts w:eastAsia="Calibri"/>
          <w:color w:val="000000" w:themeColor="text1"/>
          <w:szCs w:val="28"/>
        </w:rPr>
        <w:t xml:space="preserve">]. </w:t>
      </w:r>
    </w:p>
    <w:p w:rsidR="00323DA9" w:rsidRPr="00EA77E3" w:rsidRDefault="00323DA9" w:rsidP="006C7045">
      <w:pPr>
        <w:widowControl w:val="0"/>
        <w:ind w:firstLine="709"/>
        <w:rPr>
          <w:rFonts w:eastAsia="Calibri"/>
          <w:color w:val="000000" w:themeColor="text1"/>
          <w:szCs w:val="28"/>
        </w:rPr>
      </w:pPr>
      <w:r w:rsidRPr="00EA77E3">
        <w:rPr>
          <w:rFonts w:eastAsia="Calibri"/>
          <w:color w:val="000000" w:themeColor="text1"/>
          <w:szCs w:val="28"/>
        </w:rPr>
        <w:t>Найбільша кількість випадків смерті дітей у 2017 році (15%) відб</w:t>
      </w:r>
      <w:r w:rsidR="00BA30EA">
        <w:rPr>
          <w:rFonts w:eastAsia="Calibri"/>
          <w:color w:val="000000" w:themeColor="text1"/>
          <w:szCs w:val="28"/>
        </w:rPr>
        <w:t>ула</w:t>
      </w:r>
      <w:r w:rsidRPr="00EA77E3">
        <w:rPr>
          <w:rFonts w:eastAsia="Calibri"/>
          <w:color w:val="000000" w:themeColor="text1"/>
          <w:szCs w:val="28"/>
        </w:rPr>
        <w:t>сь внаслідок пневмонії та інших захворювань нижніх дихальних шляхів. Майже кожна сьома дитина у</w:t>
      </w:r>
      <w:r w:rsidR="001E4344">
        <w:rPr>
          <w:rFonts w:eastAsia="Calibri"/>
          <w:color w:val="000000" w:themeColor="text1"/>
          <w:szCs w:val="28"/>
        </w:rPr>
        <w:t xml:space="preserve"> світі, </w:t>
      </w:r>
      <w:r w:rsidRPr="00EA77E3">
        <w:rPr>
          <w:rFonts w:eastAsia="Calibri"/>
          <w:color w:val="000000" w:themeColor="text1"/>
          <w:szCs w:val="28"/>
        </w:rPr>
        <w:t xml:space="preserve"> померла від інфек</w:t>
      </w:r>
      <w:r w:rsidR="009D3B08">
        <w:rPr>
          <w:rFonts w:eastAsia="Calibri"/>
          <w:color w:val="000000" w:themeColor="text1"/>
          <w:szCs w:val="28"/>
        </w:rPr>
        <w:t>ці</w:t>
      </w:r>
      <w:r w:rsidR="005B1055">
        <w:rPr>
          <w:rFonts w:eastAsia="Calibri"/>
          <w:color w:val="000000" w:themeColor="text1"/>
          <w:szCs w:val="28"/>
        </w:rPr>
        <w:t>ї</w:t>
      </w:r>
      <w:r w:rsidR="001E4344">
        <w:rPr>
          <w:rFonts w:eastAsia="Calibri"/>
          <w:color w:val="000000" w:themeColor="text1"/>
          <w:szCs w:val="28"/>
        </w:rPr>
        <w:t xml:space="preserve"> нижніх дихальних шляхів (насампе</w:t>
      </w:r>
      <w:r w:rsidR="005B1055">
        <w:rPr>
          <w:rFonts w:eastAsia="Calibri"/>
          <w:color w:val="000000" w:themeColor="text1"/>
          <w:szCs w:val="28"/>
        </w:rPr>
        <w:t>ред бактеріальних інфекцій), яка</w:t>
      </w:r>
      <w:r w:rsidRPr="00EA77E3">
        <w:rPr>
          <w:rFonts w:eastAsia="Calibri"/>
          <w:color w:val="000000" w:themeColor="text1"/>
          <w:szCs w:val="28"/>
        </w:rPr>
        <w:t xml:space="preserve"> залишається головною причиною смертності протяг</w:t>
      </w:r>
      <w:r w:rsidR="00F8655F">
        <w:rPr>
          <w:rFonts w:eastAsia="Calibri"/>
          <w:color w:val="000000" w:themeColor="text1"/>
          <w:szCs w:val="28"/>
        </w:rPr>
        <w:t>ом останніх трьох десятиліть [69-74</w:t>
      </w:r>
      <w:r w:rsidRPr="00EA77E3">
        <w:rPr>
          <w:rFonts w:eastAsia="Calibri"/>
          <w:color w:val="000000" w:themeColor="text1"/>
          <w:szCs w:val="28"/>
        </w:rPr>
        <w:t>].</w:t>
      </w:r>
      <w:r w:rsidR="006C7045">
        <w:rPr>
          <w:rFonts w:eastAsia="Calibri"/>
          <w:color w:val="000000" w:themeColor="text1"/>
          <w:szCs w:val="28"/>
        </w:rPr>
        <w:t xml:space="preserve"> </w:t>
      </w:r>
      <w:r w:rsidRPr="00EA77E3">
        <w:rPr>
          <w:rFonts w:eastAsia="Calibri"/>
          <w:color w:val="000000" w:themeColor="text1"/>
          <w:szCs w:val="28"/>
        </w:rPr>
        <w:t xml:space="preserve">12% дитячих смертей відбувається через передчасні пологи та неонатальні розлади. </w:t>
      </w:r>
      <w:r w:rsidR="006C7045">
        <w:rPr>
          <w:rFonts w:eastAsia="Calibri"/>
          <w:color w:val="000000" w:themeColor="text1"/>
          <w:szCs w:val="28"/>
        </w:rPr>
        <w:t xml:space="preserve">Слід зауважити, що </w:t>
      </w:r>
      <w:r w:rsidRPr="00EA77E3">
        <w:rPr>
          <w:rFonts w:eastAsia="Calibri"/>
          <w:color w:val="000000" w:themeColor="text1"/>
          <w:szCs w:val="28"/>
        </w:rPr>
        <w:t>чим молодша д</w:t>
      </w:r>
      <w:r w:rsidR="00CE33B8">
        <w:rPr>
          <w:rFonts w:eastAsia="Calibri"/>
          <w:color w:val="000000" w:themeColor="text1"/>
          <w:szCs w:val="28"/>
        </w:rPr>
        <w:t>итина, тим вище ризик смерті</w:t>
      </w:r>
      <w:r w:rsidRPr="00EA77E3">
        <w:rPr>
          <w:rFonts w:eastAsia="Calibri"/>
          <w:color w:val="000000" w:themeColor="text1"/>
          <w:szCs w:val="28"/>
        </w:rPr>
        <w:t xml:space="preserve">. </w:t>
      </w:r>
      <w:r w:rsidR="006C7045">
        <w:rPr>
          <w:rFonts w:eastAsia="Calibri"/>
          <w:color w:val="000000" w:themeColor="text1"/>
          <w:szCs w:val="28"/>
        </w:rPr>
        <w:t>У перший рік життя помирає в 3</w:t>
      </w:r>
      <w:r w:rsidRPr="00EA77E3">
        <w:rPr>
          <w:rFonts w:eastAsia="Calibri"/>
          <w:color w:val="000000" w:themeColor="text1"/>
          <w:szCs w:val="28"/>
        </w:rPr>
        <w:t xml:space="preserve"> рази більше дітей, ніж у наступні чотири роки. І більшість дітей, які</w:t>
      </w:r>
      <w:r w:rsidR="00ED61AC">
        <w:rPr>
          <w:rFonts w:eastAsia="Calibri"/>
          <w:color w:val="000000" w:themeColor="text1"/>
          <w:szCs w:val="28"/>
        </w:rPr>
        <w:t xml:space="preserve"> вмирають у</w:t>
      </w:r>
      <w:r w:rsidR="00AC0642">
        <w:rPr>
          <w:rFonts w:eastAsia="Calibri"/>
          <w:color w:val="000000" w:themeColor="text1"/>
          <w:szCs w:val="28"/>
        </w:rPr>
        <w:t xml:space="preserve"> перший рік життя, гинуть</w:t>
      </w:r>
      <w:r w:rsidR="002418D6">
        <w:rPr>
          <w:rFonts w:eastAsia="Calibri"/>
          <w:color w:val="000000" w:themeColor="text1"/>
          <w:szCs w:val="28"/>
        </w:rPr>
        <w:t xml:space="preserve"> у неонатальному періоді.</w:t>
      </w:r>
      <w:r w:rsidRPr="00EA77E3">
        <w:rPr>
          <w:rFonts w:eastAsia="Calibri"/>
          <w:color w:val="000000" w:themeColor="text1"/>
          <w:szCs w:val="28"/>
        </w:rPr>
        <w:t xml:space="preserve"> Пе</w:t>
      </w:r>
      <w:r w:rsidR="00AC0642">
        <w:rPr>
          <w:rFonts w:eastAsia="Calibri"/>
          <w:color w:val="000000" w:themeColor="text1"/>
          <w:szCs w:val="28"/>
        </w:rPr>
        <w:t>редчасні пологи (діти, які</w:t>
      </w:r>
      <w:r w:rsidRPr="00EA77E3">
        <w:rPr>
          <w:rFonts w:eastAsia="Calibri"/>
          <w:color w:val="000000" w:themeColor="text1"/>
          <w:szCs w:val="28"/>
        </w:rPr>
        <w:t xml:space="preserve"> народилися до 37-го тижня вагітності) є одним з основних чинників, що визначає неонатальну смертність, і тому ускладнення, що виникають в результаті передчасних пологів, зазвичай групуються з неонатальними розладами. Діти, народжені недоношеними, мають високий ризик родових травм, недостатнього розвитку органі</w:t>
      </w:r>
      <w:r w:rsidR="00E60763">
        <w:rPr>
          <w:rFonts w:eastAsia="Calibri"/>
          <w:color w:val="000000" w:themeColor="text1"/>
          <w:szCs w:val="28"/>
        </w:rPr>
        <w:t>в і  інфекційних захворювань [75-81</w:t>
      </w:r>
      <w:r w:rsidRPr="00EA77E3">
        <w:rPr>
          <w:rFonts w:eastAsia="Calibri"/>
          <w:color w:val="000000" w:themeColor="text1"/>
          <w:szCs w:val="28"/>
        </w:rPr>
        <w:t>].</w:t>
      </w:r>
    </w:p>
    <w:p w:rsidR="00323DA9" w:rsidRPr="00EA77E3" w:rsidRDefault="00323DA9" w:rsidP="00721203">
      <w:pPr>
        <w:widowControl w:val="0"/>
        <w:ind w:firstLine="709"/>
        <w:rPr>
          <w:rFonts w:eastAsia="Calibri"/>
          <w:color w:val="000000" w:themeColor="text1"/>
          <w:szCs w:val="28"/>
        </w:rPr>
      </w:pPr>
      <w:r w:rsidRPr="00EA77E3">
        <w:rPr>
          <w:rFonts w:eastAsia="Calibri"/>
          <w:color w:val="000000" w:themeColor="text1"/>
          <w:szCs w:val="28"/>
        </w:rPr>
        <w:t>10% випадків дитячої смерті у світі</w:t>
      </w:r>
      <w:r w:rsidR="004C160E">
        <w:rPr>
          <w:rFonts w:eastAsia="Calibri"/>
          <w:color w:val="000000" w:themeColor="text1"/>
          <w:szCs w:val="28"/>
        </w:rPr>
        <w:t xml:space="preserve"> відбуваються внаслідок діарейни</w:t>
      </w:r>
      <w:r w:rsidRPr="00EA77E3">
        <w:rPr>
          <w:rFonts w:eastAsia="Calibri"/>
          <w:color w:val="000000" w:themeColor="text1"/>
          <w:szCs w:val="28"/>
        </w:rPr>
        <w:t xml:space="preserve">х </w:t>
      </w:r>
      <w:r w:rsidRPr="00EA77E3">
        <w:rPr>
          <w:rFonts w:eastAsia="Calibri"/>
          <w:color w:val="000000" w:themeColor="text1"/>
          <w:szCs w:val="28"/>
        </w:rPr>
        <w:lastRenderedPageBreak/>
        <w:t>захворюв</w:t>
      </w:r>
      <w:r w:rsidR="00C91B00">
        <w:rPr>
          <w:rFonts w:eastAsia="Calibri"/>
          <w:color w:val="000000" w:themeColor="text1"/>
          <w:szCs w:val="28"/>
        </w:rPr>
        <w:t>а</w:t>
      </w:r>
      <w:r w:rsidR="00FB07DC">
        <w:rPr>
          <w:rFonts w:eastAsia="Calibri"/>
          <w:color w:val="000000" w:themeColor="text1"/>
          <w:szCs w:val="28"/>
        </w:rPr>
        <w:t>нь. У 2017 році</w:t>
      </w:r>
      <w:r w:rsidRPr="00EA77E3">
        <w:rPr>
          <w:rFonts w:eastAsia="Calibri"/>
          <w:color w:val="000000" w:themeColor="text1"/>
          <w:szCs w:val="28"/>
        </w:rPr>
        <w:t xml:space="preserve"> від діарейних захворювань </w:t>
      </w:r>
      <w:r w:rsidR="00FB07DC">
        <w:rPr>
          <w:rFonts w:eastAsia="Calibri"/>
          <w:color w:val="000000" w:themeColor="text1"/>
          <w:szCs w:val="28"/>
        </w:rPr>
        <w:t xml:space="preserve">у світі </w:t>
      </w:r>
      <w:r w:rsidRPr="00EA77E3">
        <w:rPr>
          <w:rFonts w:eastAsia="Calibri"/>
          <w:color w:val="000000" w:themeColor="text1"/>
          <w:szCs w:val="28"/>
        </w:rPr>
        <w:t>п</w:t>
      </w:r>
      <w:r w:rsidR="00ED61AC">
        <w:rPr>
          <w:rFonts w:eastAsia="Calibri"/>
          <w:color w:val="000000" w:themeColor="text1"/>
          <w:szCs w:val="28"/>
        </w:rPr>
        <w:t>омерло майже 1,6 млн</w:t>
      </w:r>
      <w:r w:rsidR="006C7045">
        <w:rPr>
          <w:rFonts w:eastAsia="Calibri"/>
          <w:color w:val="000000" w:themeColor="text1"/>
          <w:szCs w:val="28"/>
        </w:rPr>
        <w:t xml:space="preserve"> осіб, т</w:t>
      </w:r>
      <w:r w:rsidR="00FB07DC">
        <w:rPr>
          <w:rFonts w:eastAsia="Calibri"/>
          <w:color w:val="000000" w:themeColor="text1"/>
          <w:szCs w:val="28"/>
        </w:rPr>
        <w:t xml:space="preserve">ретину всіх померлих становили </w:t>
      </w:r>
      <w:r w:rsidRPr="00EA77E3">
        <w:rPr>
          <w:rFonts w:eastAsia="Calibri"/>
          <w:color w:val="000000" w:themeColor="text1"/>
          <w:szCs w:val="28"/>
        </w:rPr>
        <w:t>діти у віці до 5-ти років. Кожна десят</w:t>
      </w:r>
      <w:r w:rsidR="00B47DCE">
        <w:rPr>
          <w:rFonts w:eastAsia="Calibri"/>
          <w:color w:val="000000" w:themeColor="text1"/>
          <w:szCs w:val="28"/>
        </w:rPr>
        <w:t>а дитина у 2017 році померла від ротавірусної інфекції</w:t>
      </w:r>
      <w:r w:rsidR="00C41641">
        <w:rPr>
          <w:rFonts w:eastAsia="Calibri"/>
          <w:color w:val="000000" w:themeColor="text1"/>
          <w:szCs w:val="28"/>
        </w:rPr>
        <w:t>, холери</w:t>
      </w:r>
      <w:r w:rsidRPr="00EA77E3">
        <w:rPr>
          <w:rFonts w:eastAsia="Calibri"/>
          <w:color w:val="000000" w:themeColor="text1"/>
          <w:szCs w:val="28"/>
        </w:rPr>
        <w:t>, шигельоз</w:t>
      </w:r>
      <w:r w:rsidR="00C41641">
        <w:rPr>
          <w:rFonts w:eastAsia="Calibri"/>
          <w:color w:val="000000" w:themeColor="text1"/>
          <w:szCs w:val="28"/>
        </w:rPr>
        <w:t>у та інших</w:t>
      </w:r>
      <w:r w:rsidRPr="00EA77E3">
        <w:rPr>
          <w:rFonts w:eastAsia="Calibri"/>
          <w:color w:val="000000" w:themeColor="text1"/>
          <w:szCs w:val="28"/>
        </w:rPr>
        <w:t xml:space="preserve"> інфекці</w:t>
      </w:r>
      <w:r w:rsidR="00C41641">
        <w:rPr>
          <w:rFonts w:eastAsia="Calibri"/>
          <w:color w:val="000000" w:themeColor="text1"/>
          <w:szCs w:val="28"/>
        </w:rPr>
        <w:t>йних захворювань</w:t>
      </w:r>
      <w:r w:rsidRPr="00EA77E3">
        <w:rPr>
          <w:rFonts w:eastAsia="Calibri"/>
          <w:color w:val="000000" w:themeColor="text1"/>
          <w:szCs w:val="28"/>
        </w:rPr>
        <w:t>, які пр</w:t>
      </w:r>
      <w:r w:rsidR="00B47DCE">
        <w:rPr>
          <w:rFonts w:eastAsia="Calibri"/>
          <w:color w:val="000000" w:themeColor="text1"/>
          <w:szCs w:val="28"/>
        </w:rPr>
        <w:t xml:space="preserve">изводять до діареї. За даними ВООЗ: </w:t>
      </w:r>
      <w:r w:rsidRPr="00EA77E3">
        <w:rPr>
          <w:rFonts w:eastAsia="Calibri"/>
          <w:color w:val="000000" w:themeColor="text1"/>
          <w:szCs w:val="28"/>
        </w:rPr>
        <w:t xml:space="preserve">діарейні захворювання «піддаються </w:t>
      </w:r>
      <w:r w:rsidR="006C7045">
        <w:rPr>
          <w:rFonts w:eastAsia="Calibri"/>
          <w:color w:val="000000" w:themeColor="text1"/>
          <w:szCs w:val="28"/>
        </w:rPr>
        <w:t>як лікуванню т</w:t>
      </w:r>
      <w:r w:rsidR="00C43518">
        <w:rPr>
          <w:rFonts w:eastAsia="Calibri"/>
          <w:color w:val="000000" w:themeColor="text1"/>
          <w:szCs w:val="28"/>
        </w:rPr>
        <w:t>ак і запобіганню», зокрема таким</w:t>
      </w:r>
      <w:r w:rsidR="006C7045">
        <w:rPr>
          <w:rFonts w:eastAsia="Calibri"/>
          <w:color w:val="000000" w:themeColor="text1"/>
          <w:szCs w:val="28"/>
        </w:rPr>
        <w:t xml:space="preserve"> </w:t>
      </w:r>
      <w:r w:rsidRPr="00EA77E3">
        <w:rPr>
          <w:rFonts w:eastAsia="Calibri"/>
          <w:color w:val="000000" w:themeColor="text1"/>
          <w:szCs w:val="28"/>
        </w:rPr>
        <w:t>п</w:t>
      </w:r>
      <w:r w:rsidR="00C43518">
        <w:rPr>
          <w:rFonts w:eastAsia="Calibri"/>
          <w:color w:val="000000" w:themeColor="text1"/>
          <w:szCs w:val="28"/>
        </w:rPr>
        <w:t>ростим способом</w:t>
      </w:r>
      <w:r w:rsidR="006C7045">
        <w:rPr>
          <w:rFonts w:eastAsia="Calibri"/>
          <w:color w:val="000000" w:themeColor="text1"/>
          <w:szCs w:val="28"/>
        </w:rPr>
        <w:t xml:space="preserve"> лікування діареї як</w:t>
      </w:r>
      <w:r w:rsidRPr="00EA77E3">
        <w:rPr>
          <w:rFonts w:eastAsia="Calibri"/>
          <w:color w:val="000000" w:themeColor="text1"/>
          <w:szCs w:val="28"/>
        </w:rPr>
        <w:t xml:space="preserve"> збільшення охоплення пероральною регідратац</w:t>
      </w:r>
      <w:r w:rsidR="006871ED">
        <w:rPr>
          <w:rFonts w:eastAsia="Calibri"/>
          <w:color w:val="000000" w:themeColor="text1"/>
          <w:szCs w:val="28"/>
        </w:rPr>
        <w:t>ійною терапією дітей [</w:t>
      </w:r>
      <w:r w:rsidR="00495D6B" w:rsidRPr="00495D6B">
        <w:rPr>
          <w:rFonts w:eastAsia="Calibri"/>
          <w:color w:val="000000" w:themeColor="text1"/>
          <w:szCs w:val="28"/>
        </w:rPr>
        <w:t>67</w:t>
      </w:r>
      <w:r w:rsidR="00495D6B">
        <w:rPr>
          <w:rFonts w:eastAsia="Calibri"/>
          <w:color w:val="000000" w:themeColor="text1"/>
          <w:szCs w:val="28"/>
        </w:rPr>
        <w:t xml:space="preserve">, </w:t>
      </w:r>
      <w:r w:rsidR="006871ED">
        <w:rPr>
          <w:rFonts w:eastAsia="Calibri"/>
          <w:color w:val="000000" w:themeColor="text1"/>
          <w:szCs w:val="28"/>
        </w:rPr>
        <w:t>70, 74, 82-85</w:t>
      </w:r>
      <w:r w:rsidRPr="00EA77E3">
        <w:rPr>
          <w:rFonts w:eastAsia="Calibri"/>
          <w:color w:val="000000" w:themeColor="text1"/>
          <w:szCs w:val="28"/>
        </w:rPr>
        <w:t xml:space="preserve">].  </w:t>
      </w:r>
    </w:p>
    <w:p w:rsidR="00323DA9" w:rsidRPr="00EA77E3" w:rsidRDefault="00323DA9" w:rsidP="00721203">
      <w:pPr>
        <w:widowControl w:val="0"/>
        <w:ind w:firstLine="709"/>
        <w:rPr>
          <w:rFonts w:eastAsia="Calibri"/>
          <w:color w:val="000000" w:themeColor="text1"/>
          <w:szCs w:val="28"/>
        </w:rPr>
      </w:pPr>
      <w:r w:rsidRPr="00EA77E3">
        <w:rPr>
          <w:rFonts w:eastAsia="Calibri"/>
          <w:color w:val="000000" w:themeColor="text1"/>
          <w:szCs w:val="28"/>
        </w:rPr>
        <w:t>9% дитячих смертей у світі відбуваються через вроджені дефекти, які  визначаються фізичними</w:t>
      </w:r>
      <w:r w:rsidR="00750723">
        <w:rPr>
          <w:rFonts w:eastAsia="Calibri"/>
          <w:color w:val="000000" w:themeColor="text1"/>
          <w:szCs w:val="28"/>
        </w:rPr>
        <w:t xml:space="preserve"> або генетичними порушеннями (</w:t>
      </w:r>
      <w:r w:rsidR="00D22FFE">
        <w:rPr>
          <w:rFonts w:eastAsia="Calibri"/>
          <w:color w:val="000000" w:themeColor="text1"/>
          <w:szCs w:val="28"/>
        </w:rPr>
        <w:t xml:space="preserve">дефекти </w:t>
      </w:r>
      <w:r w:rsidRPr="00EA77E3">
        <w:rPr>
          <w:rFonts w:eastAsia="Calibri"/>
          <w:color w:val="000000" w:themeColor="text1"/>
          <w:szCs w:val="28"/>
        </w:rPr>
        <w:t>нервової трубки, дефекти серця, синдром</w:t>
      </w:r>
      <w:r w:rsidR="00750723">
        <w:rPr>
          <w:rFonts w:eastAsia="Calibri"/>
          <w:color w:val="000000" w:themeColor="text1"/>
          <w:szCs w:val="28"/>
        </w:rPr>
        <w:t xml:space="preserve"> Дауна, мікроцефалія</w:t>
      </w:r>
      <w:r w:rsidR="002B131C">
        <w:rPr>
          <w:rFonts w:eastAsia="Calibri"/>
          <w:color w:val="000000" w:themeColor="text1"/>
          <w:szCs w:val="28"/>
        </w:rPr>
        <w:t xml:space="preserve"> та інші</w:t>
      </w:r>
      <w:r w:rsidR="00750723">
        <w:rPr>
          <w:rFonts w:eastAsia="Calibri"/>
          <w:color w:val="000000" w:themeColor="text1"/>
          <w:szCs w:val="28"/>
        </w:rPr>
        <w:t>)</w:t>
      </w:r>
      <w:r w:rsidR="002B131C">
        <w:rPr>
          <w:rFonts w:eastAsia="Calibri"/>
          <w:color w:val="000000" w:themeColor="text1"/>
          <w:szCs w:val="28"/>
        </w:rPr>
        <w:t xml:space="preserve"> [86-88</w:t>
      </w:r>
      <w:r w:rsidRPr="00EA77E3">
        <w:rPr>
          <w:rFonts w:eastAsia="Calibri"/>
          <w:color w:val="000000" w:themeColor="text1"/>
          <w:szCs w:val="28"/>
        </w:rPr>
        <w:t>].</w:t>
      </w:r>
    </w:p>
    <w:p w:rsidR="00323DA9" w:rsidRPr="00EA77E3" w:rsidRDefault="00B47DCE" w:rsidP="00721203">
      <w:pPr>
        <w:widowControl w:val="0"/>
        <w:ind w:firstLine="709"/>
        <w:rPr>
          <w:rFonts w:eastAsia="Calibri"/>
          <w:color w:val="000000" w:themeColor="text1"/>
          <w:szCs w:val="28"/>
        </w:rPr>
      </w:pPr>
      <w:r>
        <w:rPr>
          <w:rFonts w:eastAsia="Calibri"/>
          <w:color w:val="000000" w:themeColor="text1"/>
          <w:szCs w:val="28"/>
        </w:rPr>
        <w:t>Кампанії</w:t>
      </w:r>
      <w:r w:rsidR="00323DA9" w:rsidRPr="00EA77E3">
        <w:rPr>
          <w:rFonts w:eastAsia="Calibri"/>
          <w:color w:val="000000" w:themeColor="text1"/>
          <w:szCs w:val="28"/>
        </w:rPr>
        <w:t xml:space="preserve"> по вакцинації і доступності антибіотиків значно допомогли знизити смертність від інфекційних захворювань </w:t>
      </w:r>
      <w:r>
        <w:rPr>
          <w:rFonts w:eastAsia="Calibri"/>
          <w:color w:val="000000" w:themeColor="text1"/>
          <w:szCs w:val="28"/>
        </w:rPr>
        <w:t xml:space="preserve">дітей </w:t>
      </w:r>
      <w:r w:rsidR="00323DA9" w:rsidRPr="00EA77E3">
        <w:rPr>
          <w:rFonts w:eastAsia="Calibri"/>
          <w:color w:val="000000" w:themeColor="text1"/>
          <w:szCs w:val="28"/>
        </w:rPr>
        <w:t>у сві</w:t>
      </w:r>
      <w:r w:rsidR="00A02F87">
        <w:rPr>
          <w:rFonts w:eastAsia="Calibri"/>
          <w:color w:val="000000" w:themeColor="text1"/>
          <w:szCs w:val="28"/>
        </w:rPr>
        <w:t>ті. За оцінками ВООЗ, в період  2000-2017 рр.</w:t>
      </w:r>
      <w:r w:rsidR="00323DA9" w:rsidRPr="00EA77E3">
        <w:rPr>
          <w:rFonts w:eastAsia="Calibri"/>
          <w:color w:val="000000" w:themeColor="text1"/>
          <w:szCs w:val="28"/>
        </w:rPr>
        <w:t xml:space="preserve"> вакцинація в</w:t>
      </w:r>
      <w:r w:rsidR="00814A0C">
        <w:rPr>
          <w:rFonts w:eastAsia="Calibri"/>
          <w:color w:val="000000" w:themeColor="text1"/>
          <w:szCs w:val="28"/>
        </w:rPr>
        <w:t>ід кору запобігла 21,1 млн</w:t>
      </w:r>
      <w:r w:rsidR="00323DA9" w:rsidRPr="00EA77E3">
        <w:rPr>
          <w:rFonts w:eastAsia="Calibri"/>
          <w:color w:val="000000" w:themeColor="text1"/>
          <w:szCs w:val="28"/>
        </w:rPr>
        <w:t xml:space="preserve"> випадків смерті по всій Африці. На даний час людство має вакцини від туберкульозу, менінгіту, гепатиту та коклюшу. Від малярії можна захиститись обробленими інсектицидом протимоскітними сітками,  або впровадж</w:t>
      </w:r>
      <w:r w:rsidR="008F29B9">
        <w:rPr>
          <w:rFonts w:eastAsia="Calibri"/>
          <w:color w:val="000000" w:themeColor="text1"/>
          <w:szCs w:val="28"/>
        </w:rPr>
        <w:t>енням протималярійних вакцин [89-93</w:t>
      </w:r>
      <w:r w:rsidR="00323DA9" w:rsidRPr="00EA77E3">
        <w:rPr>
          <w:rFonts w:eastAsia="Calibri"/>
          <w:color w:val="000000" w:themeColor="text1"/>
          <w:szCs w:val="28"/>
        </w:rPr>
        <w:t>].</w:t>
      </w:r>
    </w:p>
    <w:p w:rsidR="00323DA9" w:rsidRPr="00EA77E3" w:rsidRDefault="00323DA9" w:rsidP="004170CA">
      <w:pPr>
        <w:widowControl w:val="0"/>
        <w:ind w:firstLine="709"/>
        <w:rPr>
          <w:rFonts w:eastAsia="Calibri"/>
          <w:color w:val="000000" w:themeColor="text1"/>
          <w:szCs w:val="28"/>
        </w:rPr>
      </w:pPr>
      <w:r w:rsidRPr="00EA77E3">
        <w:rPr>
          <w:rFonts w:eastAsia="Calibri"/>
          <w:color w:val="000000" w:themeColor="text1"/>
          <w:szCs w:val="28"/>
        </w:rPr>
        <w:t>Як було зазначено вище, пневмонія є основною причиною дитячої смертності у світі, при цьому число дітей, які помирають від пневмонії, значно скоротилося за останні три десятиліття. У 1990 році від пнев</w:t>
      </w:r>
      <w:r w:rsidR="00B47DCE">
        <w:rPr>
          <w:rFonts w:eastAsia="Calibri"/>
          <w:color w:val="000000" w:themeColor="text1"/>
          <w:szCs w:val="28"/>
        </w:rPr>
        <w:t>монії щорічно помирало понад 2</w:t>
      </w:r>
      <w:r w:rsidR="001617AF">
        <w:rPr>
          <w:rFonts w:eastAsia="Calibri"/>
          <w:color w:val="000000" w:themeColor="text1"/>
          <w:szCs w:val="28"/>
        </w:rPr>
        <w:t xml:space="preserve"> млн</w:t>
      </w:r>
      <w:r w:rsidRPr="00EA77E3">
        <w:rPr>
          <w:rFonts w:eastAsia="Calibri"/>
          <w:color w:val="000000" w:themeColor="text1"/>
          <w:szCs w:val="28"/>
        </w:rPr>
        <w:t xml:space="preserve"> дітей на рік,</w:t>
      </w:r>
      <w:r w:rsidR="001617AF">
        <w:rPr>
          <w:rFonts w:eastAsia="Calibri"/>
          <w:color w:val="000000" w:themeColor="text1"/>
          <w:szCs w:val="28"/>
        </w:rPr>
        <w:t xml:space="preserve"> але</w:t>
      </w:r>
      <w:r w:rsidRPr="00EA77E3">
        <w:rPr>
          <w:rFonts w:eastAsia="Calibri"/>
          <w:color w:val="000000" w:themeColor="text1"/>
          <w:szCs w:val="28"/>
        </w:rPr>
        <w:t xml:space="preserve"> до 2017 року кількість випадків смерті скоротилась майже на дві третини. Зниженню сприяли поліпшення основних факторів ризику, таких як дитяче виснаження, забруднення повітря і погані санітарні умови, скорочення глобальної бідності та поліпшення доступності техно</w:t>
      </w:r>
      <w:r w:rsidR="000140ED">
        <w:rPr>
          <w:rFonts w:eastAsia="Calibri"/>
          <w:color w:val="000000" w:themeColor="text1"/>
          <w:szCs w:val="28"/>
        </w:rPr>
        <w:t>логій охорони здоров'я (</w:t>
      </w:r>
      <w:r w:rsidRPr="00EA77E3">
        <w:rPr>
          <w:rFonts w:eastAsia="Calibri"/>
          <w:color w:val="000000" w:themeColor="text1"/>
          <w:szCs w:val="28"/>
        </w:rPr>
        <w:t>пневмококові вакцини і</w:t>
      </w:r>
      <w:r w:rsidR="004C0367">
        <w:rPr>
          <w:rFonts w:eastAsia="Calibri"/>
          <w:color w:val="000000" w:themeColor="text1"/>
          <w:szCs w:val="28"/>
        </w:rPr>
        <w:t xml:space="preserve"> антибіотики</w:t>
      </w:r>
      <w:r w:rsidR="000140ED">
        <w:rPr>
          <w:rFonts w:eastAsia="Calibri"/>
          <w:color w:val="000000" w:themeColor="text1"/>
          <w:szCs w:val="28"/>
        </w:rPr>
        <w:t>)</w:t>
      </w:r>
      <w:r w:rsidR="004C0367">
        <w:rPr>
          <w:rFonts w:eastAsia="Calibri"/>
          <w:color w:val="000000" w:themeColor="text1"/>
          <w:szCs w:val="28"/>
        </w:rPr>
        <w:t xml:space="preserve">. </w:t>
      </w:r>
      <w:r w:rsidR="007F3EFF">
        <w:rPr>
          <w:rFonts w:eastAsia="Calibri"/>
          <w:color w:val="000000" w:themeColor="text1"/>
          <w:szCs w:val="28"/>
        </w:rPr>
        <w:t>Отже, п</w:t>
      </w:r>
      <w:r w:rsidR="004C0367">
        <w:rPr>
          <w:rFonts w:eastAsia="Calibri"/>
          <w:color w:val="000000" w:themeColor="text1"/>
          <w:szCs w:val="28"/>
        </w:rPr>
        <w:t xml:space="preserve">невмонія – це </w:t>
      </w:r>
      <w:r w:rsidRPr="00EA77E3">
        <w:rPr>
          <w:rFonts w:eastAsia="Calibri"/>
          <w:color w:val="000000" w:themeColor="text1"/>
          <w:szCs w:val="28"/>
        </w:rPr>
        <w:t xml:space="preserve">хвороба, </w:t>
      </w:r>
      <w:r w:rsidR="004C0367">
        <w:rPr>
          <w:rFonts w:eastAsia="Calibri"/>
          <w:color w:val="000000" w:themeColor="text1"/>
          <w:szCs w:val="28"/>
        </w:rPr>
        <w:t xml:space="preserve">яку </w:t>
      </w:r>
      <w:r w:rsidR="007F3EFF">
        <w:rPr>
          <w:rFonts w:eastAsia="Calibri"/>
          <w:color w:val="000000" w:themeColor="text1"/>
          <w:szCs w:val="28"/>
        </w:rPr>
        <w:t>можна контролювати за допомогою доступних основних заходів</w:t>
      </w:r>
      <w:r w:rsidRPr="00EA77E3">
        <w:rPr>
          <w:rFonts w:eastAsia="Calibri"/>
          <w:color w:val="000000" w:themeColor="text1"/>
          <w:szCs w:val="28"/>
        </w:rPr>
        <w:t xml:space="preserve"> охор</w:t>
      </w:r>
      <w:r w:rsidR="00E17CAA">
        <w:rPr>
          <w:rFonts w:eastAsia="Calibri"/>
          <w:color w:val="000000" w:themeColor="text1"/>
          <w:szCs w:val="28"/>
        </w:rPr>
        <w:t>они здоров'я, т</w:t>
      </w:r>
      <w:r w:rsidR="00B47DCE">
        <w:rPr>
          <w:rFonts w:eastAsia="Calibri"/>
          <w:color w:val="000000" w:themeColor="text1"/>
          <w:szCs w:val="28"/>
        </w:rPr>
        <w:t xml:space="preserve">ому найчастіше вона реєструється </w:t>
      </w:r>
      <w:r w:rsidRPr="00EA77E3">
        <w:rPr>
          <w:rFonts w:eastAsia="Calibri"/>
          <w:color w:val="000000" w:themeColor="text1"/>
          <w:szCs w:val="28"/>
        </w:rPr>
        <w:t>в бідних місцях, де відсутня інфраструктура охорони зд</w:t>
      </w:r>
      <w:r w:rsidR="00CF6687">
        <w:rPr>
          <w:rFonts w:eastAsia="Calibri"/>
          <w:color w:val="000000" w:themeColor="text1"/>
          <w:szCs w:val="28"/>
        </w:rPr>
        <w:t xml:space="preserve">оров'я та люди не </w:t>
      </w:r>
      <w:r w:rsidRPr="00EA77E3">
        <w:rPr>
          <w:rFonts w:eastAsia="Calibri"/>
          <w:color w:val="000000" w:themeColor="text1"/>
          <w:szCs w:val="28"/>
        </w:rPr>
        <w:t>можуть дозволити собі лікування</w:t>
      </w:r>
      <w:r w:rsidR="00CF6687">
        <w:rPr>
          <w:rFonts w:eastAsia="Calibri"/>
          <w:color w:val="000000" w:themeColor="text1"/>
          <w:szCs w:val="28"/>
        </w:rPr>
        <w:t xml:space="preserve"> в достатньому обсязі</w:t>
      </w:r>
      <w:r w:rsidR="00E25C9D">
        <w:rPr>
          <w:rFonts w:eastAsia="Calibri"/>
          <w:color w:val="000000" w:themeColor="text1"/>
          <w:szCs w:val="28"/>
        </w:rPr>
        <w:t>. Н</w:t>
      </w:r>
      <w:r w:rsidRPr="00EA77E3">
        <w:rPr>
          <w:rFonts w:eastAsia="Calibri"/>
          <w:color w:val="000000" w:themeColor="text1"/>
          <w:szCs w:val="28"/>
        </w:rPr>
        <w:t>едостатнє харчування є основною при</w:t>
      </w:r>
      <w:r w:rsidR="00E25C9D">
        <w:rPr>
          <w:rFonts w:eastAsia="Calibri"/>
          <w:color w:val="000000" w:themeColor="text1"/>
          <w:szCs w:val="28"/>
        </w:rPr>
        <w:t>чиною смертності від пневмонії, а саме н</w:t>
      </w:r>
      <w:r w:rsidRPr="00EA77E3">
        <w:rPr>
          <w:rFonts w:eastAsia="Calibri"/>
          <w:color w:val="000000" w:themeColor="text1"/>
          <w:szCs w:val="28"/>
        </w:rPr>
        <w:t xml:space="preserve">едоїдання в дитячому віці, </w:t>
      </w:r>
      <w:r w:rsidRPr="00EA77E3">
        <w:rPr>
          <w:rFonts w:eastAsia="Calibri"/>
          <w:color w:val="000000" w:themeColor="text1"/>
          <w:szCs w:val="28"/>
        </w:rPr>
        <w:lastRenderedPageBreak/>
        <w:t>особливо так зване «дитяче виснаження» (діти, чия вага занадто мала для зросту), є найбільшим фактором ризику розвитку пневмонії у дітей</w:t>
      </w:r>
      <w:r w:rsidR="00E25C9D">
        <w:rPr>
          <w:rFonts w:eastAsia="Calibri"/>
          <w:color w:val="000000" w:themeColor="text1"/>
          <w:szCs w:val="28"/>
        </w:rPr>
        <w:t>, пов’язаним з дефіцитом енергії</w:t>
      </w:r>
      <w:r w:rsidR="00E25C9D" w:rsidRPr="00E25C9D">
        <w:rPr>
          <w:rFonts w:eastAsia="Calibri"/>
          <w:color w:val="000000" w:themeColor="text1"/>
          <w:szCs w:val="28"/>
        </w:rPr>
        <w:t>, необхідної для боротьби з інфекцією</w:t>
      </w:r>
      <w:r w:rsidR="00E25C9D">
        <w:rPr>
          <w:rFonts w:eastAsia="Calibri"/>
          <w:color w:val="000000" w:themeColor="text1"/>
          <w:szCs w:val="28"/>
        </w:rPr>
        <w:t xml:space="preserve"> </w:t>
      </w:r>
      <w:r w:rsidRPr="00EA77E3">
        <w:rPr>
          <w:rFonts w:eastAsia="Calibri"/>
          <w:color w:val="000000" w:themeColor="text1"/>
          <w:szCs w:val="28"/>
        </w:rPr>
        <w:t>[</w:t>
      </w:r>
      <w:r w:rsidR="0082658F" w:rsidRPr="00310811">
        <w:rPr>
          <w:rFonts w:eastAsia="Calibri"/>
          <w:color w:val="000000" w:themeColor="text1"/>
          <w:szCs w:val="28"/>
        </w:rPr>
        <w:t xml:space="preserve">67, </w:t>
      </w:r>
      <w:r w:rsidR="00FA51DD">
        <w:rPr>
          <w:rFonts w:eastAsia="Calibri"/>
          <w:color w:val="000000" w:themeColor="text1"/>
          <w:szCs w:val="28"/>
        </w:rPr>
        <w:t>70, 71, 73, 74, 94-96</w:t>
      </w:r>
      <w:r w:rsidRPr="00EA77E3">
        <w:rPr>
          <w:rFonts w:eastAsia="Calibri"/>
          <w:color w:val="000000" w:themeColor="text1"/>
          <w:szCs w:val="28"/>
        </w:rPr>
        <w:t>]. Наступним факт</w:t>
      </w:r>
      <w:r w:rsidR="00E25C9D">
        <w:rPr>
          <w:rFonts w:eastAsia="Calibri"/>
          <w:color w:val="000000" w:themeColor="text1"/>
          <w:szCs w:val="28"/>
        </w:rPr>
        <w:t xml:space="preserve">ором ризику, який </w:t>
      </w:r>
      <w:r w:rsidRPr="00EA77E3">
        <w:rPr>
          <w:rFonts w:eastAsia="Calibri"/>
          <w:color w:val="000000" w:themeColor="text1"/>
          <w:szCs w:val="28"/>
        </w:rPr>
        <w:t>привів до 29% смертей від пневмонії в 2017 році</w:t>
      </w:r>
      <w:r w:rsidR="00E25C9D">
        <w:rPr>
          <w:rFonts w:eastAsia="Calibri"/>
          <w:color w:val="000000" w:themeColor="text1"/>
          <w:szCs w:val="28"/>
        </w:rPr>
        <w:t>, є</w:t>
      </w:r>
      <w:r w:rsidRPr="00EA77E3">
        <w:rPr>
          <w:rFonts w:ascii="Calibri" w:eastAsia="Calibri" w:hAnsi="Calibri"/>
          <w:color w:val="000000" w:themeColor="text1"/>
          <w:sz w:val="22"/>
        </w:rPr>
        <w:t xml:space="preserve"> </w:t>
      </w:r>
      <w:r w:rsidRPr="00EA77E3">
        <w:rPr>
          <w:rFonts w:eastAsia="Calibri"/>
          <w:color w:val="000000" w:themeColor="text1"/>
          <w:szCs w:val="28"/>
        </w:rPr>
        <w:t>забруднення повітря всередині приміщень. Забруднення атмосферного повітря стало причи</w:t>
      </w:r>
      <w:r w:rsidR="00E25C9D">
        <w:rPr>
          <w:rFonts w:eastAsia="Calibri"/>
          <w:color w:val="000000" w:themeColor="text1"/>
          <w:szCs w:val="28"/>
        </w:rPr>
        <w:t>ною ще 18% всіх дитячих смертей</w:t>
      </w:r>
      <w:r w:rsidR="00354391">
        <w:rPr>
          <w:rFonts w:eastAsia="Calibri"/>
          <w:color w:val="000000" w:themeColor="text1"/>
          <w:szCs w:val="28"/>
        </w:rPr>
        <w:t xml:space="preserve"> у світі</w:t>
      </w:r>
      <w:r w:rsidR="00E25C9D">
        <w:rPr>
          <w:rFonts w:eastAsia="Calibri"/>
          <w:color w:val="000000" w:themeColor="text1"/>
          <w:szCs w:val="28"/>
        </w:rPr>
        <w:t>. Д</w:t>
      </w:r>
      <w:r w:rsidRPr="00EA77E3">
        <w:rPr>
          <w:rFonts w:eastAsia="Calibri"/>
          <w:color w:val="000000" w:themeColor="text1"/>
          <w:szCs w:val="28"/>
        </w:rPr>
        <w:t>рібні забруднюючі частинки погіршують здатність імунної систе</w:t>
      </w:r>
      <w:r w:rsidR="007101ED">
        <w:rPr>
          <w:rFonts w:eastAsia="Calibri"/>
          <w:color w:val="000000" w:themeColor="text1"/>
          <w:szCs w:val="28"/>
        </w:rPr>
        <w:t>ми дитини боротися з інфекцією та</w:t>
      </w:r>
      <w:r w:rsidRPr="00EA77E3">
        <w:rPr>
          <w:rFonts w:eastAsia="Calibri"/>
          <w:color w:val="000000" w:themeColor="text1"/>
          <w:szCs w:val="28"/>
        </w:rPr>
        <w:t xml:space="preserve"> позбавитись її. </w:t>
      </w:r>
      <w:r w:rsidR="00E25C9D">
        <w:rPr>
          <w:rFonts w:eastAsia="Calibri"/>
          <w:color w:val="000000" w:themeColor="text1"/>
          <w:szCs w:val="28"/>
        </w:rPr>
        <w:t>Також, з</w:t>
      </w:r>
      <w:r w:rsidRPr="00EA77E3">
        <w:rPr>
          <w:rFonts w:eastAsia="Calibri"/>
          <w:color w:val="000000" w:themeColor="text1"/>
          <w:szCs w:val="28"/>
        </w:rPr>
        <w:t>а результатами низки досліджень щодо оцінки впливу пасивног</w:t>
      </w:r>
      <w:r w:rsidR="00FE3435">
        <w:rPr>
          <w:rFonts w:eastAsia="Calibri"/>
          <w:color w:val="000000" w:themeColor="text1"/>
          <w:szCs w:val="28"/>
        </w:rPr>
        <w:t>о куріння на дітей</w:t>
      </w:r>
      <w:r w:rsidRPr="00EA77E3">
        <w:rPr>
          <w:rFonts w:eastAsia="Calibri"/>
          <w:color w:val="000000" w:themeColor="text1"/>
          <w:szCs w:val="28"/>
        </w:rPr>
        <w:t xml:space="preserve"> встановлено, що діти, які живуть в сім'ях з курцями, з більшою ймовірн</w:t>
      </w:r>
      <w:r w:rsidR="001102BD">
        <w:rPr>
          <w:rFonts w:eastAsia="Calibri"/>
          <w:color w:val="000000" w:themeColor="text1"/>
          <w:szCs w:val="28"/>
        </w:rPr>
        <w:t>істю хворіють пневмонію та</w:t>
      </w:r>
      <w:r w:rsidRPr="00EA77E3">
        <w:rPr>
          <w:rFonts w:eastAsia="Calibri"/>
          <w:color w:val="000000" w:themeColor="text1"/>
          <w:szCs w:val="28"/>
        </w:rPr>
        <w:t xml:space="preserve"> іншими респіраторними з</w:t>
      </w:r>
      <w:r w:rsidR="00803EF8">
        <w:rPr>
          <w:rFonts w:eastAsia="Calibri"/>
          <w:color w:val="000000" w:themeColor="text1"/>
          <w:szCs w:val="28"/>
        </w:rPr>
        <w:t>ахворюваннями. Дані свідчать</w:t>
      </w:r>
      <w:r w:rsidR="0000036E">
        <w:rPr>
          <w:rFonts w:eastAsia="Calibri"/>
          <w:color w:val="000000" w:themeColor="text1"/>
          <w:szCs w:val="28"/>
        </w:rPr>
        <w:t>, що вплив пасивного куріння призвів до 61</w:t>
      </w:r>
      <w:r w:rsidRPr="00EA77E3">
        <w:rPr>
          <w:rFonts w:eastAsia="Calibri"/>
          <w:color w:val="000000" w:themeColor="text1"/>
          <w:szCs w:val="28"/>
        </w:rPr>
        <w:t>000 смер</w:t>
      </w:r>
      <w:r w:rsidR="0000036E">
        <w:rPr>
          <w:rFonts w:eastAsia="Calibri"/>
          <w:color w:val="000000" w:themeColor="text1"/>
          <w:szCs w:val="28"/>
        </w:rPr>
        <w:t xml:space="preserve">тей </w:t>
      </w:r>
      <w:r w:rsidRPr="00EA77E3">
        <w:rPr>
          <w:rFonts w:eastAsia="Calibri"/>
          <w:color w:val="000000" w:themeColor="text1"/>
          <w:szCs w:val="28"/>
        </w:rPr>
        <w:t>серед дітей у віці до 5</w:t>
      </w:r>
      <w:r w:rsidR="004C0367">
        <w:rPr>
          <w:rFonts w:eastAsia="Calibri"/>
          <w:color w:val="000000" w:themeColor="text1"/>
          <w:szCs w:val="28"/>
        </w:rPr>
        <w:t>-ти</w:t>
      </w:r>
      <w:r w:rsidRPr="00EA77E3">
        <w:rPr>
          <w:rFonts w:eastAsia="Calibri"/>
          <w:color w:val="000000" w:themeColor="text1"/>
          <w:szCs w:val="28"/>
        </w:rPr>
        <w:t xml:space="preserve"> років від захворювань нижніх дихальних шляхів у 2017 році [</w:t>
      </w:r>
      <w:r w:rsidR="00BE4390">
        <w:rPr>
          <w:rFonts w:eastAsia="Calibri"/>
          <w:color w:val="000000" w:themeColor="text1"/>
          <w:szCs w:val="28"/>
        </w:rPr>
        <w:t>97-107</w:t>
      </w:r>
      <w:r w:rsidRPr="00EA77E3">
        <w:rPr>
          <w:rFonts w:eastAsia="Calibri"/>
          <w:color w:val="000000" w:themeColor="text1"/>
          <w:szCs w:val="28"/>
        </w:rPr>
        <w:t>]. Підвищення ризику розвитку пневмонії у дітей відбувається при впливі інших патогенних мікр</w:t>
      </w:r>
      <w:r w:rsidR="00776A97">
        <w:rPr>
          <w:rFonts w:eastAsia="Calibri"/>
          <w:color w:val="000000" w:themeColor="text1"/>
          <w:szCs w:val="28"/>
        </w:rPr>
        <w:t xml:space="preserve">оорганізмів, таких як кір і </w:t>
      </w:r>
      <w:r w:rsidR="00B34898">
        <w:rPr>
          <w:rFonts w:eastAsia="Calibri"/>
          <w:color w:val="000000" w:themeColor="text1"/>
          <w:szCs w:val="28"/>
        </w:rPr>
        <w:t>вірус імунодефіциту люди</w:t>
      </w:r>
      <w:r w:rsidR="00B34898" w:rsidRPr="00B34898">
        <w:rPr>
          <w:rFonts w:eastAsia="Calibri"/>
          <w:color w:val="000000" w:themeColor="text1"/>
          <w:szCs w:val="28"/>
        </w:rPr>
        <w:t xml:space="preserve">ни </w:t>
      </w:r>
      <w:r w:rsidR="00B34898">
        <w:rPr>
          <w:rFonts w:eastAsia="Calibri"/>
          <w:color w:val="000000" w:themeColor="text1"/>
          <w:szCs w:val="28"/>
        </w:rPr>
        <w:t>(</w:t>
      </w:r>
      <w:r w:rsidR="00776A97">
        <w:rPr>
          <w:rFonts w:eastAsia="Calibri"/>
          <w:color w:val="000000" w:themeColor="text1"/>
          <w:szCs w:val="28"/>
        </w:rPr>
        <w:t>ВІЛ</w:t>
      </w:r>
      <w:r w:rsidR="00B34898">
        <w:rPr>
          <w:rFonts w:eastAsia="Calibri"/>
          <w:color w:val="000000" w:themeColor="text1"/>
          <w:szCs w:val="28"/>
        </w:rPr>
        <w:t>)</w:t>
      </w:r>
      <w:r w:rsidR="00776A97">
        <w:rPr>
          <w:rFonts w:eastAsia="Calibri"/>
          <w:color w:val="000000" w:themeColor="text1"/>
          <w:szCs w:val="28"/>
        </w:rPr>
        <w:t xml:space="preserve">. </w:t>
      </w:r>
      <w:r w:rsidRPr="00EA77E3">
        <w:rPr>
          <w:rFonts w:eastAsia="Calibri"/>
          <w:color w:val="000000" w:themeColor="text1"/>
          <w:szCs w:val="28"/>
        </w:rPr>
        <w:t>Дослідження,  що опубліковане в Lancet Infec</w:t>
      </w:r>
      <w:r w:rsidR="00C6425C">
        <w:rPr>
          <w:rFonts w:eastAsia="Calibri"/>
          <w:color w:val="000000" w:themeColor="text1"/>
          <w:szCs w:val="28"/>
          <w:lang w:val="en-US"/>
        </w:rPr>
        <w:t>t</w:t>
      </w:r>
      <w:r w:rsidRPr="00EA77E3">
        <w:rPr>
          <w:rFonts w:eastAsia="Calibri"/>
          <w:color w:val="000000" w:themeColor="text1"/>
          <w:szCs w:val="28"/>
        </w:rPr>
        <w:t>ious Diseases, показало, що у дітей з ВІЛ ризик померти від пневмонії в 7</w:t>
      </w:r>
      <w:r w:rsidR="00B34898">
        <w:rPr>
          <w:lang w:val="en-US"/>
        </w:rPr>
        <w:t> </w:t>
      </w:r>
      <w:r w:rsidRPr="00EA77E3">
        <w:rPr>
          <w:rFonts w:eastAsia="Calibri"/>
          <w:color w:val="000000" w:themeColor="text1"/>
          <w:szCs w:val="28"/>
        </w:rPr>
        <w:t>разів вищий, ніж у дітей без нього, а також частка дитячих смертей від пневмонії, яку можна віднести до ВІЛ, в р</w:t>
      </w:r>
      <w:r w:rsidR="00635B0A">
        <w:rPr>
          <w:rFonts w:eastAsia="Calibri"/>
          <w:color w:val="000000" w:themeColor="text1"/>
          <w:szCs w:val="28"/>
        </w:rPr>
        <w:t>ізних країнах сильно відрізняється</w:t>
      </w:r>
      <w:r w:rsidR="002E68D5">
        <w:rPr>
          <w:rFonts w:eastAsia="Calibri"/>
          <w:color w:val="000000" w:themeColor="text1"/>
          <w:szCs w:val="28"/>
        </w:rPr>
        <w:t xml:space="preserve"> [108</w:t>
      </w:r>
      <w:r w:rsidRPr="00EA77E3">
        <w:rPr>
          <w:rFonts w:eastAsia="Calibri"/>
          <w:color w:val="000000" w:themeColor="text1"/>
          <w:szCs w:val="28"/>
        </w:rPr>
        <w:t>]. Пневмонія не є хворобою, що легко передається, вона вимагає тісного контакту для передачі збудників іншим людям через повітрян</w:t>
      </w:r>
      <w:r w:rsidR="0046036F">
        <w:rPr>
          <w:rFonts w:eastAsia="Calibri"/>
          <w:color w:val="000000" w:themeColor="text1"/>
          <w:szCs w:val="28"/>
        </w:rPr>
        <w:t>і краплі, тому проживання великого числа</w:t>
      </w:r>
      <w:r w:rsidRPr="00EA77E3">
        <w:rPr>
          <w:rFonts w:eastAsia="Calibri"/>
          <w:color w:val="000000" w:themeColor="text1"/>
          <w:szCs w:val="28"/>
        </w:rPr>
        <w:t xml:space="preserve"> людей</w:t>
      </w:r>
      <w:r w:rsidR="0046036F">
        <w:rPr>
          <w:rFonts w:eastAsia="Calibri"/>
          <w:color w:val="000000" w:themeColor="text1"/>
          <w:szCs w:val="28"/>
        </w:rPr>
        <w:t xml:space="preserve"> в одному приміщенні</w:t>
      </w:r>
      <w:r w:rsidRPr="00EA77E3">
        <w:rPr>
          <w:rFonts w:eastAsia="Calibri"/>
          <w:color w:val="000000" w:themeColor="text1"/>
          <w:szCs w:val="28"/>
        </w:rPr>
        <w:t xml:space="preserve"> також збільшує ризик пневмонії. Це ще одна причина, за якою пневмонія є хворобою бідності: у 2015 році 47% дітей в країнах з низьким і середнім рівнем доходу жили в переповнених домогосподарствах. Незважаючи на досягнуті успіхи в попередженні дитячої смертності</w:t>
      </w:r>
      <w:r w:rsidR="00C6425C">
        <w:rPr>
          <w:rFonts w:eastAsia="Calibri"/>
          <w:color w:val="000000" w:themeColor="text1"/>
          <w:szCs w:val="28"/>
        </w:rPr>
        <w:t>, більше 800 000 дітей у світі по</w:t>
      </w:r>
      <w:r w:rsidRPr="00EA77E3">
        <w:rPr>
          <w:rFonts w:eastAsia="Calibri"/>
          <w:color w:val="000000" w:themeColor="text1"/>
          <w:szCs w:val="28"/>
        </w:rPr>
        <w:t>мирають від пневмонії щороку. Знаючи провідні чинники, які роблять дітей уразливими до</w:t>
      </w:r>
      <w:r w:rsidR="000D0ADC">
        <w:rPr>
          <w:rFonts w:eastAsia="Calibri"/>
          <w:color w:val="000000" w:themeColor="text1"/>
          <w:szCs w:val="28"/>
        </w:rPr>
        <w:t xml:space="preserve"> цієї хвороби, </w:t>
      </w:r>
      <w:r w:rsidR="000D0ADC" w:rsidRPr="004518F3">
        <w:rPr>
          <w:rFonts w:eastAsia="Calibri"/>
          <w:color w:val="000000" w:themeColor="text1"/>
          <w:szCs w:val="28"/>
        </w:rPr>
        <w:t>важливою задачею</w:t>
      </w:r>
      <w:r w:rsidR="000D0ADC">
        <w:rPr>
          <w:rFonts w:eastAsia="Calibri"/>
          <w:color w:val="000000" w:themeColor="text1"/>
          <w:szCs w:val="28"/>
        </w:rPr>
        <w:t xml:space="preserve"> стає</w:t>
      </w:r>
      <w:r w:rsidR="000D0ADC" w:rsidRPr="004518F3">
        <w:rPr>
          <w:rFonts w:eastAsia="Calibri"/>
          <w:color w:val="000000" w:themeColor="text1"/>
          <w:szCs w:val="28"/>
        </w:rPr>
        <w:t xml:space="preserve"> </w:t>
      </w:r>
      <w:r w:rsidR="004518F3" w:rsidRPr="004518F3">
        <w:rPr>
          <w:rFonts w:eastAsia="Calibri"/>
          <w:color w:val="000000" w:themeColor="text1"/>
          <w:szCs w:val="28"/>
        </w:rPr>
        <w:t xml:space="preserve">необхідність </w:t>
      </w:r>
      <w:r w:rsidR="004518F3">
        <w:rPr>
          <w:rFonts w:eastAsia="Calibri"/>
          <w:color w:val="000000" w:themeColor="text1"/>
          <w:szCs w:val="28"/>
        </w:rPr>
        <w:t>зменш</w:t>
      </w:r>
      <w:r w:rsidR="004518F3" w:rsidRPr="004518F3">
        <w:rPr>
          <w:rFonts w:eastAsia="Calibri"/>
          <w:color w:val="000000" w:themeColor="text1"/>
          <w:szCs w:val="28"/>
        </w:rPr>
        <w:t>ення їх</w:t>
      </w:r>
      <w:r w:rsidR="00F41563">
        <w:rPr>
          <w:rFonts w:eastAsia="Calibri"/>
          <w:color w:val="000000" w:themeColor="text1"/>
          <w:szCs w:val="28"/>
        </w:rPr>
        <w:t xml:space="preserve"> </w:t>
      </w:r>
      <w:r w:rsidR="004518F3" w:rsidRPr="004518F3">
        <w:rPr>
          <w:rFonts w:eastAsia="Calibri"/>
          <w:color w:val="000000" w:themeColor="text1"/>
          <w:szCs w:val="28"/>
        </w:rPr>
        <w:t>впливу</w:t>
      </w:r>
      <w:r w:rsidR="0082658F" w:rsidRPr="0082658F">
        <w:rPr>
          <w:rFonts w:eastAsia="Calibri"/>
          <w:color w:val="000000" w:themeColor="text1"/>
          <w:szCs w:val="28"/>
        </w:rPr>
        <w:t xml:space="preserve"> </w:t>
      </w:r>
      <w:r w:rsidR="00F41563">
        <w:rPr>
          <w:rFonts w:eastAsia="Calibri"/>
          <w:color w:val="000000" w:themeColor="text1"/>
          <w:szCs w:val="28"/>
        </w:rPr>
        <w:t>[109</w:t>
      </w:r>
      <w:r w:rsidR="007828EF" w:rsidRPr="007828EF">
        <w:rPr>
          <w:rFonts w:eastAsia="Calibri"/>
          <w:color w:val="000000" w:themeColor="text1"/>
          <w:szCs w:val="28"/>
        </w:rPr>
        <w:t>, 110</w:t>
      </w:r>
      <w:r w:rsidRPr="00EA77E3">
        <w:rPr>
          <w:rFonts w:eastAsia="Calibri"/>
          <w:color w:val="000000" w:themeColor="text1"/>
          <w:szCs w:val="28"/>
        </w:rPr>
        <w:t>]. Один із засобів зменшити показники смертності дітей від пневмонії – це заст</w:t>
      </w:r>
      <w:r w:rsidR="004518F3">
        <w:rPr>
          <w:rFonts w:eastAsia="Calibri"/>
          <w:color w:val="000000" w:themeColor="text1"/>
          <w:szCs w:val="28"/>
        </w:rPr>
        <w:t>осування вакцин проти пневмонії</w:t>
      </w:r>
      <w:r w:rsidR="004518F3" w:rsidRPr="004518F3">
        <w:rPr>
          <w:rFonts w:eastAsia="Calibri"/>
          <w:color w:val="000000" w:themeColor="text1"/>
          <w:szCs w:val="28"/>
        </w:rPr>
        <w:t>,</w:t>
      </w:r>
      <w:r w:rsidR="00813DEE">
        <w:rPr>
          <w:rFonts w:eastAsia="Calibri"/>
          <w:color w:val="000000" w:themeColor="text1"/>
          <w:szCs w:val="28"/>
        </w:rPr>
        <w:t xml:space="preserve"> серед яких </w:t>
      </w:r>
      <w:r w:rsidRPr="00EA77E3">
        <w:rPr>
          <w:rFonts w:eastAsia="Calibri"/>
          <w:color w:val="000000" w:themeColor="text1"/>
          <w:szCs w:val="28"/>
        </w:rPr>
        <w:t>декілька версій пневмококової кон'югатної вакцини (PCV, Pneumococcal Conjugate Vaccine)</w:t>
      </w:r>
      <w:r w:rsidR="00363F1E">
        <w:rPr>
          <w:rFonts w:eastAsia="Calibri"/>
          <w:color w:val="000000" w:themeColor="text1"/>
          <w:szCs w:val="28"/>
        </w:rPr>
        <w:t xml:space="preserve"> для дітей </w:t>
      </w:r>
      <w:r w:rsidRPr="00EA77E3">
        <w:rPr>
          <w:rFonts w:eastAsia="Calibri"/>
          <w:color w:val="000000" w:themeColor="text1"/>
          <w:szCs w:val="28"/>
        </w:rPr>
        <w:t>молодше 24 місяців</w:t>
      </w:r>
      <w:r w:rsidR="00363F1E">
        <w:rPr>
          <w:rFonts w:eastAsia="Calibri"/>
          <w:color w:val="000000" w:themeColor="text1"/>
          <w:szCs w:val="28"/>
        </w:rPr>
        <w:t xml:space="preserve">, а саме PVC13, </w:t>
      </w:r>
      <w:r w:rsidRPr="00EA77E3">
        <w:rPr>
          <w:rFonts w:eastAsia="Calibri"/>
          <w:color w:val="000000" w:themeColor="text1"/>
          <w:szCs w:val="28"/>
        </w:rPr>
        <w:t>яка</w:t>
      </w:r>
      <w:r w:rsidR="00813DEE">
        <w:rPr>
          <w:rFonts w:eastAsia="Calibri"/>
          <w:color w:val="000000" w:themeColor="text1"/>
          <w:szCs w:val="28"/>
        </w:rPr>
        <w:t xml:space="preserve"> має </w:t>
      </w:r>
      <w:r w:rsidR="00813DEE">
        <w:rPr>
          <w:rFonts w:eastAsia="Calibri"/>
          <w:color w:val="000000" w:themeColor="text1"/>
          <w:szCs w:val="28"/>
        </w:rPr>
        <w:lastRenderedPageBreak/>
        <w:t>85% ефективності</w:t>
      </w:r>
      <w:r w:rsidRPr="00EA77E3">
        <w:rPr>
          <w:rFonts w:eastAsia="Calibri"/>
          <w:color w:val="000000" w:themeColor="text1"/>
          <w:szCs w:val="28"/>
        </w:rPr>
        <w:t xml:space="preserve"> проти інвазивних інфекцій, викликаних специфічними </w:t>
      </w:r>
      <w:r w:rsidR="00132A07">
        <w:rPr>
          <w:rFonts w:eastAsia="Calibri"/>
          <w:color w:val="000000" w:themeColor="text1"/>
          <w:szCs w:val="28"/>
        </w:rPr>
        <w:t>пневмококовими штамами</w:t>
      </w:r>
      <w:r w:rsidRPr="00EA77E3">
        <w:rPr>
          <w:rFonts w:eastAsia="Calibri"/>
          <w:color w:val="000000" w:themeColor="text1"/>
          <w:szCs w:val="28"/>
        </w:rPr>
        <w:t>, включеними до</w:t>
      </w:r>
      <w:r w:rsidR="002F1870">
        <w:rPr>
          <w:rFonts w:eastAsia="Calibri"/>
          <w:color w:val="000000" w:themeColor="text1"/>
          <w:szCs w:val="28"/>
        </w:rPr>
        <w:t xml:space="preserve"> складу вакцини. </w:t>
      </w:r>
      <w:r w:rsidRPr="00EA77E3">
        <w:rPr>
          <w:rFonts w:eastAsia="Calibri"/>
          <w:color w:val="000000" w:themeColor="text1"/>
          <w:szCs w:val="28"/>
        </w:rPr>
        <w:t xml:space="preserve">Іншою вакциною, яка широко використовується для захисту дітей від пневмоній, є вакцина проти </w:t>
      </w:r>
      <w:r w:rsidR="009A62CE">
        <w:rPr>
          <w:rFonts w:eastAsia="Calibri"/>
          <w:color w:val="000000" w:themeColor="text1"/>
          <w:szCs w:val="28"/>
        </w:rPr>
        <w:t>гемофі</w:t>
      </w:r>
      <w:r w:rsidR="00B64D2E">
        <w:rPr>
          <w:rFonts w:eastAsia="Calibri"/>
          <w:color w:val="000000" w:themeColor="text1"/>
          <w:szCs w:val="28"/>
        </w:rPr>
        <w:t>льної</w:t>
      </w:r>
      <w:r w:rsidR="00B64D2E" w:rsidRPr="00B64D2E">
        <w:rPr>
          <w:rFonts w:eastAsia="Calibri"/>
          <w:color w:val="000000" w:themeColor="text1"/>
          <w:szCs w:val="28"/>
        </w:rPr>
        <w:t xml:space="preserve"> пало</w:t>
      </w:r>
      <w:r w:rsidR="00B64D2E">
        <w:rPr>
          <w:rFonts w:eastAsia="Calibri"/>
          <w:color w:val="000000" w:themeColor="text1"/>
          <w:szCs w:val="28"/>
        </w:rPr>
        <w:t>чки типу</w:t>
      </w:r>
      <w:r w:rsidR="00B64D2E" w:rsidRPr="00B64D2E">
        <w:rPr>
          <w:rFonts w:eastAsia="Calibri"/>
          <w:color w:val="000000" w:themeColor="text1"/>
          <w:szCs w:val="28"/>
        </w:rPr>
        <w:t xml:space="preserve"> b</w:t>
      </w:r>
      <w:r w:rsidR="00B64D2E">
        <w:rPr>
          <w:rFonts w:eastAsia="Calibri"/>
          <w:color w:val="000000" w:themeColor="text1"/>
          <w:szCs w:val="28"/>
        </w:rPr>
        <w:t xml:space="preserve"> (</w:t>
      </w:r>
      <w:r w:rsidR="00B64D2E" w:rsidRPr="00B64D2E">
        <w:rPr>
          <w:rFonts w:eastAsia="Calibri"/>
          <w:color w:val="000000" w:themeColor="text1"/>
          <w:szCs w:val="28"/>
        </w:rPr>
        <w:t>Haemophilus influenzae типу b</w:t>
      </w:r>
      <w:r w:rsidR="00B64D2E">
        <w:rPr>
          <w:rFonts w:eastAsia="Calibri"/>
          <w:color w:val="000000" w:themeColor="text1"/>
          <w:szCs w:val="28"/>
        </w:rPr>
        <w:t xml:space="preserve">, </w:t>
      </w:r>
      <w:r w:rsidRPr="00EA77E3">
        <w:rPr>
          <w:rFonts w:eastAsia="Calibri"/>
          <w:color w:val="000000" w:themeColor="text1"/>
          <w:szCs w:val="28"/>
        </w:rPr>
        <w:t>Hib</w:t>
      </w:r>
      <w:r w:rsidR="00B64D2E">
        <w:rPr>
          <w:rFonts w:eastAsia="Calibri"/>
          <w:color w:val="000000" w:themeColor="text1"/>
          <w:szCs w:val="28"/>
        </w:rPr>
        <w:t>)</w:t>
      </w:r>
      <w:r w:rsidR="00813DEE">
        <w:rPr>
          <w:rFonts w:eastAsia="Calibri"/>
          <w:color w:val="000000" w:themeColor="text1"/>
          <w:szCs w:val="28"/>
        </w:rPr>
        <w:t>, основної причини</w:t>
      </w:r>
      <w:r w:rsidRPr="00EA77E3">
        <w:rPr>
          <w:rFonts w:eastAsia="Calibri"/>
          <w:color w:val="000000" w:themeColor="text1"/>
          <w:szCs w:val="28"/>
        </w:rPr>
        <w:t xml:space="preserve"> менінгіту у дітей, яка також є причиною близько 2% випадків смерті в</w:t>
      </w:r>
      <w:r w:rsidR="00813DEE">
        <w:rPr>
          <w:rFonts w:eastAsia="Calibri"/>
          <w:color w:val="000000" w:themeColor="text1"/>
          <w:szCs w:val="28"/>
        </w:rPr>
        <w:t>ід пневмонії у дітей молодше</w:t>
      </w:r>
      <w:r w:rsidR="00B64D2E">
        <w:rPr>
          <w:rFonts w:eastAsia="Calibri"/>
          <w:color w:val="000000" w:themeColor="text1"/>
          <w:szCs w:val="28"/>
        </w:rPr>
        <w:t xml:space="preserve"> 5</w:t>
      </w:r>
      <w:r w:rsidRPr="00EA77E3">
        <w:rPr>
          <w:rFonts w:eastAsia="Calibri"/>
          <w:color w:val="000000" w:themeColor="text1"/>
          <w:szCs w:val="28"/>
        </w:rPr>
        <w:t xml:space="preserve"> років. Імунізація проти Hib забезпечує близько 70% захисту від пневмонії, пов'язаної з Hib, і 84% захисту </w:t>
      </w:r>
      <w:r w:rsidR="00844409">
        <w:rPr>
          <w:rFonts w:eastAsia="Calibri"/>
          <w:color w:val="000000" w:themeColor="text1"/>
          <w:szCs w:val="28"/>
        </w:rPr>
        <w:t>дітей від менінгіту</w:t>
      </w:r>
      <w:r w:rsidRPr="00EA77E3">
        <w:rPr>
          <w:rFonts w:eastAsia="Calibri"/>
          <w:color w:val="000000" w:themeColor="text1"/>
          <w:szCs w:val="28"/>
        </w:rPr>
        <w:t xml:space="preserve">. Також слід </w:t>
      </w:r>
      <w:r w:rsidR="00844409">
        <w:rPr>
          <w:rFonts w:eastAsia="Calibri"/>
          <w:color w:val="000000" w:themeColor="text1"/>
          <w:szCs w:val="28"/>
        </w:rPr>
        <w:t xml:space="preserve">наголосити, що сприяння та </w:t>
      </w:r>
      <w:r w:rsidRPr="00EA77E3">
        <w:rPr>
          <w:rFonts w:eastAsia="Calibri"/>
          <w:color w:val="000000" w:themeColor="text1"/>
          <w:szCs w:val="28"/>
        </w:rPr>
        <w:t xml:space="preserve">заохочення матерів до грудного вигодовування </w:t>
      </w:r>
      <w:r w:rsidR="00844409">
        <w:rPr>
          <w:rFonts w:eastAsia="Calibri"/>
          <w:color w:val="000000" w:themeColor="text1"/>
          <w:szCs w:val="28"/>
        </w:rPr>
        <w:t xml:space="preserve">дитини </w:t>
      </w:r>
      <w:r w:rsidRPr="00EA77E3">
        <w:rPr>
          <w:rFonts w:eastAsia="Calibri"/>
          <w:color w:val="000000" w:themeColor="text1"/>
          <w:szCs w:val="28"/>
        </w:rPr>
        <w:t>протягом перших 6</w:t>
      </w:r>
      <w:r w:rsidR="00844409">
        <w:rPr>
          <w:rFonts w:eastAsia="Calibri"/>
          <w:color w:val="000000" w:themeColor="text1"/>
          <w:szCs w:val="28"/>
        </w:rPr>
        <w:t xml:space="preserve"> місяців її життя</w:t>
      </w:r>
      <w:r w:rsidRPr="00EA77E3">
        <w:rPr>
          <w:rFonts w:eastAsia="Calibri"/>
          <w:color w:val="000000" w:themeColor="text1"/>
          <w:szCs w:val="28"/>
        </w:rPr>
        <w:t xml:space="preserve"> позитивно позначається на ск</w:t>
      </w:r>
      <w:r w:rsidR="00844409">
        <w:rPr>
          <w:rFonts w:eastAsia="Calibri"/>
          <w:color w:val="000000" w:themeColor="text1"/>
          <w:szCs w:val="28"/>
        </w:rPr>
        <w:t>ороченні недоїдання у дітей, що в свою чергу</w:t>
      </w:r>
      <w:r w:rsidRPr="00EA77E3">
        <w:rPr>
          <w:rFonts w:eastAsia="Calibri"/>
          <w:color w:val="000000" w:themeColor="text1"/>
          <w:szCs w:val="28"/>
        </w:rPr>
        <w:t xml:space="preserve"> захищає від інфекційних</w:t>
      </w:r>
      <w:r w:rsidR="00844409">
        <w:rPr>
          <w:rFonts w:eastAsia="Calibri"/>
          <w:color w:val="000000" w:themeColor="text1"/>
          <w:szCs w:val="28"/>
        </w:rPr>
        <w:t xml:space="preserve"> захворювань</w:t>
      </w:r>
      <w:r w:rsidRPr="00EA77E3">
        <w:rPr>
          <w:rFonts w:eastAsia="Calibri"/>
          <w:color w:val="000000" w:themeColor="text1"/>
          <w:szCs w:val="28"/>
        </w:rPr>
        <w:t>. См</w:t>
      </w:r>
      <w:r w:rsidR="00E97B1C">
        <w:rPr>
          <w:rFonts w:eastAsia="Calibri"/>
          <w:color w:val="000000" w:themeColor="text1"/>
          <w:szCs w:val="28"/>
        </w:rPr>
        <w:t>ертність від пневмонії у дітей у</w:t>
      </w:r>
      <w:r w:rsidRPr="00EA77E3">
        <w:rPr>
          <w:rFonts w:eastAsia="Calibri"/>
          <w:color w:val="000000" w:themeColor="text1"/>
          <w:szCs w:val="28"/>
        </w:rPr>
        <w:t xml:space="preserve"> країнах, що розвиваються, і де не годують дітей протягом перших 5 місяц</w:t>
      </w:r>
      <w:r w:rsidR="00A170DD">
        <w:rPr>
          <w:rFonts w:eastAsia="Calibri"/>
          <w:color w:val="000000" w:themeColor="text1"/>
          <w:szCs w:val="28"/>
        </w:rPr>
        <w:t>ів життя материнським молоком, у 15 разів вища, ніж у тих</w:t>
      </w:r>
      <w:r w:rsidRPr="00EA77E3">
        <w:rPr>
          <w:rFonts w:eastAsia="Calibri"/>
          <w:color w:val="000000" w:themeColor="text1"/>
          <w:szCs w:val="28"/>
        </w:rPr>
        <w:t xml:space="preserve"> хто отрим</w:t>
      </w:r>
      <w:r w:rsidR="00A663DD">
        <w:rPr>
          <w:rFonts w:eastAsia="Calibri"/>
          <w:color w:val="000000" w:themeColor="text1"/>
          <w:szCs w:val="28"/>
        </w:rPr>
        <w:t>ує виключно материнське молоко</w:t>
      </w:r>
      <w:r w:rsidR="00A170DD">
        <w:rPr>
          <w:rFonts w:eastAsia="Calibri"/>
          <w:color w:val="000000" w:themeColor="text1"/>
          <w:szCs w:val="28"/>
        </w:rPr>
        <w:t xml:space="preserve"> </w:t>
      </w:r>
      <w:r w:rsidR="00C043E5">
        <w:rPr>
          <w:rFonts w:eastAsia="Calibri"/>
          <w:color w:val="000000" w:themeColor="text1"/>
          <w:szCs w:val="28"/>
        </w:rPr>
        <w:t>[110-123</w:t>
      </w:r>
      <w:r w:rsidR="004170CA">
        <w:rPr>
          <w:rFonts w:eastAsia="Calibri"/>
          <w:color w:val="000000" w:themeColor="text1"/>
          <w:szCs w:val="28"/>
        </w:rPr>
        <w:t>].</w:t>
      </w:r>
      <w:r w:rsidR="00CA6A1B" w:rsidRPr="00CA6A1B">
        <w:rPr>
          <w:rFonts w:eastAsia="Calibri"/>
          <w:color w:val="000000" w:themeColor="text1"/>
          <w:szCs w:val="28"/>
        </w:rPr>
        <w:t xml:space="preserve"> </w:t>
      </w:r>
      <w:r w:rsidRPr="00EA77E3">
        <w:rPr>
          <w:rFonts w:eastAsia="Calibri"/>
          <w:color w:val="000000" w:themeColor="text1"/>
          <w:szCs w:val="28"/>
        </w:rPr>
        <w:t>В останні десятиліття було досягнуто значного прогресу в зниженні рівня забруднення повітря, особливо забруднення повітря всередині приміщень</w:t>
      </w:r>
      <w:r w:rsidR="004170CA">
        <w:rPr>
          <w:rFonts w:eastAsia="Calibri"/>
          <w:color w:val="000000" w:themeColor="text1"/>
          <w:szCs w:val="28"/>
        </w:rPr>
        <w:t>, що має скоротити</w:t>
      </w:r>
      <w:r w:rsidRPr="00EA77E3">
        <w:rPr>
          <w:rFonts w:eastAsia="Calibri"/>
          <w:color w:val="000000" w:themeColor="text1"/>
          <w:szCs w:val="28"/>
        </w:rPr>
        <w:t xml:space="preserve"> кількість випадків пнев</w:t>
      </w:r>
      <w:r w:rsidR="004170CA">
        <w:rPr>
          <w:rFonts w:eastAsia="Calibri"/>
          <w:color w:val="000000" w:themeColor="text1"/>
          <w:szCs w:val="28"/>
        </w:rPr>
        <w:t xml:space="preserve">монії та  обмежити </w:t>
      </w:r>
      <w:r w:rsidRPr="00EA77E3">
        <w:rPr>
          <w:rFonts w:eastAsia="Calibri"/>
          <w:color w:val="000000" w:themeColor="text1"/>
          <w:szCs w:val="28"/>
        </w:rPr>
        <w:t>захв</w:t>
      </w:r>
      <w:r w:rsidR="004170CA">
        <w:rPr>
          <w:rFonts w:eastAsia="Calibri"/>
          <w:color w:val="000000" w:themeColor="text1"/>
          <w:szCs w:val="28"/>
        </w:rPr>
        <w:t xml:space="preserve">орюваність </w:t>
      </w:r>
      <w:r w:rsidR="00560D3C">
        <w:rPr>
          <w:rFonts w:eastAsia="Calibri"/>
          <w:color w:val="000000" w:themeColor="text1"/>
          <w:szCs w:val="28"/>
        </w:rPr>
        <w:t xml:space="preserve">дітей </w:t>
      </w:r>
      <w:r w:rsidR="004170CA" w:rsidRPr="004170CA">
        <w:rPr>
          <w:rFonts w:eastAsia="Calibri"/>
          <w:color w:val="000000" w:themeColor="text1"/>
          <w:szCs w:val="28"/>
        </w:rPr>
        <w:t xml:space="preserve">астмою </w:t>
      </w:r>
      <w:r w:rsidR="00560D3C">
        <w:rPr>
          <w:rFonts w:eastAsia="Calibri"/>
          <w:color w:val="000000" w:themeColor="text1"/>
          <w:szCs w:val="28"/>
        </w:rPr>
        <w:t>[</w:t>
      </w:r>
      <w:r w:rsidR="00CA6A1B" w:rsidRPr="007850BF">
        <w:rPr>
          <w:rFonts w:eastAsia="Calibri"/>
          <w:color w:val="000000" w:themeColor="text1"/>
          <w:szCs w:val="28"/>
          <w:lang w:val="ru-RU"/>
        </w:rPr>
        <w:t xml:space="preserve">69, </w:t>
      </w:r>
      <w:r w:rsidR="00560D3C">
        <w:rPr>
          <w:rFonts w:eastAsia="Calibri"/>
          <w:color w:val="000000" w:themeColor="text1"/>
          <w:szCs w:val="28"/>
        </w:rPr>
        <w:t>96-98</w:t>
      </w:r>
      <w:r w:rsidR="00A21871" w:rsidRPr="007850BF">
        <w:rPr>
          <w:rFonts w:eastAsia="Calibri"/>
          <w:color w:val="000000" w:themeColor="text1"/>
          <w:szCs w:val="28"/>
          <w:lang w:val="ru-RU"/>
        </w:rPr>
        <w:t>, 105</w:t>
      </w:r>
      <w:r w:rsidRPr="00EA77E3">
        <w:rPr>
          <w:rFonts w:eastAsia="Calibri"/>
          <w:color w:val="000000" w:themeColor="text1"/>
          <w:szCs w:val="28"/>
        </w:rPr>
        <w:t>].</w:t>
      </w:r>
    </w:p>
    <w:p w:rsidR="00323DA9" w:rsidRPr="00EA77E3" w:rsidRDefault="00323DA9" w:rsidP="00721203">
      <w:pPr>
        <w:widowControl w:val="0"/>
        <w:ind w:firstLine="709"/>
        <w:rPr>
          <w:rFonts w:eastAsia="Calibri"/>
          <w:color w:val="000000" w:themeColor="text1"/>
          <w:szCs w:val="28"/>
        </w:rPr>
      </w:pPr>
      <w:r w:rsidRPr="00EA77E3">
        <w:rPr>
          <w:rFonts w:eastAsia="Calibri"/>
          <w:color w:val="000000" w:themeColor="text1"/>
          <w:szCs w:val="28"/>
        </w:rPr>
        <w:t xml:space="preserve">Наступною важливою детермінантою дитячої смертності є недоступність медичних послуг, неможливість отримання лікування за різними причинами. </w:t>
      </w:r>
      <w:r w:rsidR="00912059">
        <w:rPr>
          <w:rFonts w:eastAsia="Calibri"/>
          <w:color w:val="000000" w:themeColor="text1"/>
          <w:szCs w:val="28"/>
        </w:rPr>
        <w:t xml:space="preserve">Так, </w:t>
      </w:r>
      <w:r w:rsidRPr="00EA77E3">
        <w:rPr>
          <w:rFonts w:eastAsia="Calibri"/>
          <w:color w:val="000000" w:themeColor="text1"/>
          <w:szCs w:val="28"/>
        </w:rPr>
        <w:t xml:space="preserve">дитина з підозрою на пневмонію (симптомами утруднення дихання і кашлю) повинна бути доставлена до лікаря, щоб забезпечити правильне і негайне лікування. </w:t>
      </w:r>
      <w:r w:rsidR="00912059">
        <w:rPr>
          <w:rFonts w:eastAsia="Calibri"/>
          <w:color w:val="000000" w:themeColor="text1"/>
          <w:szCs w:val="28"/>
        </w:rPr>
        <w:t>Пізнє звернення збільшує</w:t>
      </w:r>
      <w:r w:rsidRPr="00EA77E3">
        <w:rPr>
          <w:rFonts w:eastAsia="Calibri"/>
          <w:color w:val="000000" w:themeColor="text1"/>
          <w:szCs w:val="28"/>
        </w:rPr>
        <w:t xml:space="preserve"> ймовірність смерті дитини. У всьому світі менш ніж 2/3 дітей з симптомами пневмонії були доставлені до медичного працівника в 2016 році, і цей показник ще нижчий у місцях, де послуги з охорони здоров'я найбільш необ</w:t>
      </w:r>
      <w:r w:rsidR="00912059">
        <w:rPr>
          <w:rFonts w:eastAsia="Calibri"/>
          <w:color w:val="000000" w:themeColor="text1"/>
          <w:szCs w:val="28"/>
        </w:rPr>
        <w:t xml:space="preserve">хідні </w:t>
      </w:r>
      <w:r w:rsidR="00E53825">
        <w:rPr>
          <w:rFonts w:eastAsia="Calibri"/>
          <w:color w:val="000000" w:themeColor="text1"/>
          <w:szCs w:val="28"/>
        </w:rPr>
        <w:t>[124</w:t>
      </w:r>
      <w:r w:rsidRPr="00EA77E3">
        <w:rPr>
          <w:rFonts w:eastAsia="Calibri"/>
          <w:color w:val="000000" w:themeColor="text1"/>
          <w:szCs w:val="28"/>
        </w:rPr>
        <w:t>].</w:t>
      </w:r>
    </w:p>
    <w:p w:rsidR="00323DA9" w:rsidRPr="00EA77E3" w:rsidRDefault="0092753A" w:rsidP="0092753A">
      <w:pPr>
        <w:widowControl w:val="0"/>
        <w:ind w:firstLine="709"/>
        <w:rPr>
          <w:rFonts w:eastAsia="Calibri"/>
          <w:color w:val="000000" w:themeColor="text1"/>
          <w:szCs w:val="28"/>
        </w:rPr>
      </w:pPr>
      <w:r>
        <w:rPr>
          <w:rFonts w:eastAsia="Calibri"/>
          <w:color w:val="000000" w:themeColor="text1"/>
          <w:szCs w:val="28"/>
        </w:rPr>
        <w:t>Б</w:t>
      </w:r>
      <w:r w:rsidRPr="0092753A">
        <w:rPr>
          <w:rFonts w:eastAsia="Calibri"/>
          <w:color w:val="000000" w:themeColor="text1"/>
          <w:szCs w:val="28"/>
        </w:rPr>
        <w:t>ільшість випадків пневмонії мають бактеріальне походження, і основним курсом лікування зазвичай є антибіотики</w:t>
      </w:r>
      <w:r w:rsidR="00E2162D">
        <w:rPr>
          <w:rFonts w:eastAsia="Calibri"/>
          <w:color w:val="000000" w:themeColor="text1"/>
          <w:szCs w:val="28"/>
        </w:rPr>
        <w:t>. Т</w:t>
      </w:r>
      <w:r>
        <w:rPr>
          <w:rFonts w:eastAsia="Calibri"/>
          <w:color w:val="000000" w:themeColor="text1"/>
          <w:szCs w:val="28"/>
        </w:rPr>
        <w:t>ому у місяцях з браком ресурсів та неможливістю швидкої діагностики</w:t>
      </w:r>
      <w:r w:rsidRPr="0092753A">
        <w:rPr>
          <w:rFonts w:eastAsia="Calibri"/>
          <w:color w:val="000000" w:themeColor="text1"/>
          <w:szCs w:val="28"/>
        </w:rPr>
        <w:t xml:space="preserve"> причини захворювання,</w:t>
      </w:r>
      <w:r>
        <w:rPr>
          <w:rFonts w:eastAsia="Calibri"/>
          <w:color w:val="000000" w:themeColor="text1"/>
          <w:szCs w:val="28"/>
        </w:rPr>
        <w:t xml:space="preserve"> враховуючи потенційно високий ризик</w:t>
      </w:r>
      <w:r w:rsidRPr="0092753A">
        <w:rPr>
          <w:rFonts w:eastAsia="Calibri"/>
          <w:color w:val="000000" w:themeColor="text1"/>
          <w:szCs w:val="28"/>
        </w:rPr>
        <w:t xml:space="preserve"> смерті від нелікованої пневмонії, ВООЗ рекомендує лікування антибіотиками в залежності від симптом</w:t>
      </w:r>
      <w:r w:rsidR="00E2162D">
        <w:rPr>
          <w:rFonts w:eastAsia="Calibri"/>
          <w:color w:val="000000" w:themeColor="text1"/>
          <w:szCs w:val="28"/>
        </w:rPr>
        <w:t xml:space="preserve">ів захворювання і його важкості ще </w:t>
      </w:r>
      <w:r w:rsidRPr="0092753A">
        <w:rPr>
          <w:rFonts w:eastAsia="Calibri"/>
          <w:color w:val="000000" w:themeColor="text1"/>
          <w:szCs w:val="28"/>
        </w:rPr>
        <w:t xml:space="preserve">до того, як </w:t>
      </w:r>
      <w:r w:rsidRPr="0092753A">
        <w:rPr>
          <w:rFonts w:eastAsia="Calibri"/>
          <w:color w:val="000000" w:themeColor="text1"/>
          <w:szCs w:val="28"/>
        </w:rPr>
        <w:lastRenderedPageBreak/>
        <w:t>стане відома причина захворювання.</w:t>
      </w:r>
      <w:r>
        <w:rPr>
          <w:rFonts w:eastAsia="Calibri"/>
          <w:color w:val="000000" w:themeColor="text1"/>
          <w:szCs w:val="28"/>
        </w:rPr>
        <w:t xml:space="preserve"> </w:t>
      </w:r>
      <w:r w:rsidR="00323DA9" w:rsidRPr="00EA77E3">
        <w:rPr>
          <w:rFonts w:eastAsia="Calibri"/>
          <w:color w:val="000000" w:themeColor="text1"/>
          <w:szCs w:val="28"/>
        </w:rPr>
        <w:t>Амоксицилін, ампіцилін і гентаміцин найбільш часто використовуються для лікування пневмонії, що також пов’язано з їх невеликою вартістю, ефективністю (курс амоксициліну коштує менше 50 центів) [</w:t>
      </w:r>
      <w:r w:rsidR="00860294" w:rsidRPr="007850BF">
        <w:rPr>
          <w:rFonts w:eastAsia="Calibri"/>
          <w:color w:val="000000" w:themeColor="text1"/>
          <w:szCs w:val="28"/>
        </w:rPr>
        <w:t xml:space="preserve">7, </w:t>
      </w:r>
      <w:r w:rsidR="00C12E04">
        <w:rPr>
          <w:rFonts w:eastAsia="Calibri"/>
          <w:color w:val="000000" w:themeColor="text1"/>
          <w:szCs w:val="28"/>
        </w:rPr>
        <w:t>125, 126</w:t>
      </w:r>
      <w:r w:rsidR="00323DA9" w:rsidRPr="00EA77E3">
        <w:rPr>
          <w:rFonts w:eastAsia="Calibri"/>
          <w:color w:val="000000" w:themeColor="text1"/>
          <w:szCs w:val="28"/>
        </w:rPr>
        <w:t>].</w:t>
      </w:r>
    </w:p>
    <w:p w:rsidR="00323DA9" w:rsidRPr="00EA77E3" w:rsidRDefault="00323DA9" w:rsidP="00721203">
      <w:pPr>
        <w:widowControl w:val="0"/>
        <w:ind w:firstLine="709"/>
        <w:rPr>
          <w:rFonts w:eastAsia="Calibri"/>
          <w:color w:val="000000" w:themeColor="text1"/>
          <w:szCs w:val="28"/>
        </w:rPr>
      </w:pPr>
      <w:r w:rsidRPr="00EA77E3">
        <w:rPr>
          <w:rFonts w:eastAsia="Calibri"/>
          <w:color w:val="000000" w:themeColor="text1"/>
          <w:szCs w:val="28"/>
        </w:rPr>
        <w:t>Також велике значення має можливість</w:t>
      </w:r>
      <w:r w:rsidR="002818B8">
        <w:rPr>
          <w:rFonts w:eastAsia="Calibri"/>
          <w:color w:val="000000" w:themeColor="text1"/>
          <w:szCs w:val="28"/>
        </w:rPr>
        <w:t>, при необхідності,</w:t>
      </w:r>
      <w:r w:rsidRPr="00EA77E3">
        <w:rPr>
          <w:rFonts w:eastAsia="Calibri"/>
          <w:color w:val="000000" w:themeColor="text1"/>
          <w:szCs w:val="28"/>
        </w:rPr>
        <w:t xml:space="preserve"> от</w:t>
      </w:r>
      <w:r w:rsidR="002818B8">
        <w:rPr>
          <w:rFonts w:eastAsia="Calibri"/>
          <w:color w:val="000000" w:themeColor="text1"/>
          <w:szCs w:val="28"/>
        </w:rPr>
        <w:t xml:space="preserve">римання дітьми </w:t>
      </w:r>
      <w:r w:rsidRPr="00EA77E3">
        <w:rPr>
          <w:rFonts w:eastAsia="Calibri"/>
          <w:color w:val="000000" w:themeColor="text1"/>
          <w:szCs w:val="28"/>
        </w:rPr>
        <w:t xml:space="preserve">кисневої терапії. </w:t>
      </w:r>
      <w:r w:rsidR="002818B8">
        <w:rPr>
          <w:rFonts w:eastAsia="Calibri"/>
          <w:color w:val="000000" w:themeColor="text1"/>
          <w:szCs w:val="28"/>
        </w:rPr>
        <w:t>За результатами досліджень, у випадку розвитку</w:t>
      </w:r>
      <w:r w:rsidRPr="00EA77E3">
        <w:rPr>
          <w:rFonts w:eastAsia="Calibri"/>
          <w:color w:val="000000" w:themeColor="text1"/>
          <w:szCs w:val="28"/>
        </w:rPr>
        <w:t xml:space="preserve"> </w:t>
      </w:r>
      <w:r w:rsidR="002818B8">
        <w:rPr>
          <w:rFonts w:eastAsia="Calibri"/>
          <w:color w:val="000000" w:themeColor="text1"/>
          <w:szCs w:val="28"/>
        </w:rPr>
        <w:t>гіпоксемії</w:t>
      </w:r>
      <w:r w:rsidR="002818B8" w:rsidRPr="002818B8">
        <w:rPr>
          <w:rFonts w:eastAsia="Calibri"/>
          <w:color w:val="000000" w:themeColor="text1"/>
          <w:szCs w:val="28"/>
        </w:rPr>
        <w:t xml:space="preserve"> у дитини з пневмонією</w:t>
      </w:r>
      <w:r w:rsidRPr="00EA77E3">
        <w:rPr>
          <w:rFonts w:eastAsia="Calibri"/>
          <w:color w:val="000000" w:themeColor="text1"/>
          <w:szCs w:val="28"/>
        </w:rPr>
        <w:t>, ризик смерті зростає в 5 разів</w:t>
      </w:r>
      <w:r w:rsidR="002818B8">
        <w:rPr>
          <w:rFonts w:eastAsia="Calibri"/>
          <w:color w:val="000000" w:themeColor="text1"/>
          <w:szCs w:val="28"/>
        </w:rPr>
        <w:t>, при цьому киснева терапія здатна знизити його</w:t>
      </w:r>
      <w:r w:rsidRPr="00EA77E3">
        <w:rPr>
          <w:rFonts w:eastAsia="Calibri"/>
          <w:color w:val="000000" w:themeColor="text1"/>
          <w:szCs w:val="28"/>
        </w:rPr>
        <w:t xml:space="preserve"> на 35%. При цьому, потреба в спеціальному обладнанні для діагностики та лікування гіпоксемії, як і раніше, являє собою істотний бар'єр в умовах обмежених ре</w:t>
      </w:r>
      <w:r w:rsidR="00A84D39">
        <w:rPr>
          <w:rFonts w:eastAsia="Calibri"/>
          <w:color w:val="000000" w:themeColor="text1"/>
          <w:szCs w:val="28"/>
        </w:rPr>
        <w:t>сурсів. З 2017 року ВООЗ включи</w:t>
      </w:r>
      <w:r w:rsidR="00A84D39">
        <w:rPr>
          <w:rFonts w:eastAsia="Calibri"/>
          <w:color w:val="000000" w:themeColor="text1"/>
          <w:szCs w:val="28"/>
          <w:lang w:val="ru-RU"/>
        </w:rPr>
        <w:t>ла</w:t>
      </w:r>
      <w:r w:rsidR="00A84D39">
        <w:rPr>
          <w:rFonts w:eastAsia="Calibri"/>
          <w:color w:val="000000" w:themeColor="text1"/>
          <w:szCs w:val="28"/>
        </w:rPr>
        <w:t xml:space="preserve"> кисень </w:t>
      </w:r>
      <w:r w:rsidR="00A84D39">
        <w:rPr>
          <w:rFonts w:eastAsia="Calibri"/>
          <w:color w:val="000000" w:themeColor="text1"/>
          <w:szCs w:val="28"/>
          <w:lang w:val="ru-RU"/>
        </w:rPr>
        <w:t>у</w:t>
      </w:r>
      <w:r w:rsidR="00A84D39">
        <w:rPr>
          <w:rFonts w:eastAsia="Calibri"/>
          <w:color w:val="000000" w:themeColor="text1"/>
          <w:szCs w:val="28"/>
        </w:rPr>
        <w:t xml:space="preserve"> свій </w:t>
      </w:r>
      <w:r w:rsidR="00A84D39">
        <w:rPr>
          <w:rFonts w:eastAsia="Calibri"/>
          <w:color w:val="000000" w:themeColor="text1"/>
          <w:szCs w:val="28"/>
          <w:lang w:val="ru-RU"/>
        </w:rPr>
        <w:t>перелік</w:t>
      </w:r>
      <w:r w:rsidRPr="00EA77E3">
        <w:rPr>
          <w:rFonts w:eastAsia="Calibri"/>
          <w:color w:val="000000" w:themeColor="text1"/>
          <w:szCs w:val="28"/>
        </w:rPr>
        <w:t xml:space="preserve"> основних лікарських засобів, тому що поліпшення доступу до кисню може щорічно </w:t>
      </w:r>
      <w:r w:rsidR="002442DA">
        <w:rPr>
          <w:rFonts w:eastAsia="Calibri"/>
          <w:color w:val="000000" w:themeColor="text1"/>
          <w:szCs w:val="28"/>
        </w:rPr>
        <w:t>рятувати життя 120 000 дітей [127-130</w:t>
      </w:r>
      <w:r w:rsidRPr="00EA77E3">
        <w:rPr>
          <w:rFonts w:eastAsia="Calibri"/>
          <w:color w:val="000000" w:themeColor="text1"/>
          <w:szCs w:val="28"/>
        </w:rPr>
        <w:t>].</w:t>
      </w:r>
    </w:p>
    <w:p w:rsidR="00323DA9" w:rsidRPr="00EA77E3" w:rsidRDefault="00323DA9" w:rsidP="00721203">
      <w:pPr>
        <w:widowControl w:val="0"/>
        <w:ind w:firstLine="709"/>
        <w:rPr>
          <w:rFonts w:eastAsia="Calibri"/>
          <w:color w:val="000000" w:themeColor="text1"/>
          <w:szCs w:val="28"/>
        </w:rPr>
      </w:pPr>
      <w:r w:rsidRPr="00EA77E3">
        <w:rPr>
          <w:rFonts w:eastAsia="Calibri"/>
          <w:color w:val="000000" w:themeColor="text1"/>
          <w:szCs w:val="28"/>
        </w:rPr>
        <w:t xml:space="preserve">Як вже </w:t>
      </w:r>
      <w:r w:rsidR="00D00116">
        <w:rPr>
          <w:rFonts w:eastAsia="Calibri"/>
          <w:color w:val="000000" w:themeColor="text1"/>
          <w:szCs w:val="28"/>
        </w:rPr>
        <w:t xml:space="preserve">було </w:t>
      </w:r>
      <w:r w:rsidRPr="00EA77E3">
        <w:rPr>
          <w:rFonts w:eastAsia="Calibri"/>
          <w:color w:val="000000" w:themeColor="text1"/>
          <w:szCs w:val="28"/>
        </w:rPr>
        <w:t>зазначено вище, діарейні захворювання є однією з головних причин смерті дітей у всьому світі. При цьому рівень смертності дітей від діарейних захворювань є найвищим в найбідніших країнах світу, простежується взаємозв'язок між рівнем смертності від діарейних захворювань і середнім рівнем доходу в країні. Смертність</w:t>
      </w:r>
      <w:r w:rsidR="00D00116">
        <w:rPr>
          <w:rFonts w:eastAsia="Calibri"/>
          <w:color w:val="000000" w:themeColor="text1"/>
          <w:szCs w:val="28"/>
        </w:rPr>
        <w:t xml:space="preserve"> дітей</w:t>
      </w:r>
      <w:r w:rsidRPr="00EA77E3">
        <w:rPr>
          <w:rFonts w:eastAsia="Calibri"/>
          <w:color w:val="000000" w:themeColor="text1"/>
          <w:szCs w:val="28"/>
        </w:rPr>
        <w:t xml:space="preserve"> від діарейних захворювань у бідних країнах щорічно пер</w:t>
      </w:r>
      <w:r w:rsidR="00D00116">
        <w:rPr>
          <w:rFonts w:eastAsia="Calibri"/>
          <w:color w:val="000000" w:themeColor="text1"/>
          <w:szCs w:val="28"/>
        </w:rPr>
        <w:t>евищує 100 випадків смерті</w:t>
      </w:r>
      <w:r w:rsidRPr="00EA77E3">
        <w:rPr>
          <w:rFonts w:eastAsia="Calibri"/>
          <w:color w:val="000000" w:themeColor="text1"/>
          <w:szCs w:val="28"/>
        </w:rPr>
        <w:t xml:space="preserve"> на 100000 дітей. У той час, як у країнах з високим рівнем доходу, рівень смертності </w:t>
      </w:r>
      <w:r w:rsidR="00D00116">
        <w:rPr>
          <w:rFonts w:eastAsia="Calibri"/>
          <w:color w:val="000000" w:themeColor="text1"/>
          <w:szCs w:val="28"/>
        </w:rPr>
        <w:t xml:space="preserve">дітей </w:t>
      </w:r>
      <w:r w:rsidR="00D00116" w:rsidRPr="00D00116">
        <w:rPr>
          <w:rFonts w:eastAsia="Calibri"/>
          <w:color w:val="000000" w:themeColor="text1"/>
          <w:szCs w:val="28"/>
        </w:rPr>
        <w:t xml:space="preserve">від діарейних захворювань </w:t>
      </w:r>
      <w:r w:rsidRPr="00EA77E3">
        <w:rPr>
          <w:rFonts w:eastAsia="Calibri"/>
          <w:color w:val="000000" w:themeColor="text1"/>
          <w:szCs w:val="28"/>
        </w:rPr>
        <w:t>дуже низький, а саме у багатьох європейських країнах, а також у деяких багатих азіатських країнах</w:t>
      </w:r>
      <w:r w:rsidR="001F065F">
        <w:rPr>
          <w:rFonts w:eastAsia="Calibri"/>
          <w:color w:val="000000" w:themeColor="text1"/>
          <w:szCs w:val="28"/>
        </w:rPr>
        <w:t>,</w:t>
      </w:r>
      <w:r w:rsidRPr="00EA77E3">
        <w:rPr>
          <w:rFonts w:eastAsia="Calibri"/>
          <w:color w:val="000000" w:themeColor="text1"/>
          <w:szCs w:val="28"/>
        </w:rPr>
        <w:t xml:space="preserve"> цей показник нижче 1</w:t>
      </w:r>
      <w:r w:rsidR="001F065F">
        <w:rPr>
          <w:rFonts w:eastAsia="Calibri"/>
          <w:color w:val="000000" w:themeColor="text1"/>
          <w:szCs w:val="28"/>
        </w:rPr>
        <w:t xml:space="preserve"> випадка</w:t>
      </w:r>
      <w:r w:rsidR="00A47E3E">
        <w:rPr>
          <w:rFonts w:eastAsia="Calibri"/>
          <w:color w:val="000000" w:themeColor="text1"/>
          <w:szCs w:val="28"/>
        </w:rPr>
        <w:t xml:space="preserve"> на 100</w:t>
      </w:r>
      <w:r w:rsidRPr="00EA77E3">
        <w:rPr>
          <w:rFonts w:eastAsia="Calibri"/>
          <w:color w:val="000000" w:themeColor="text1"/>
          <w:szCs w:val="28"/>
        </w:rPr>
        <w:t>000 дітей на рік. Таким ч</w:t>
      </w:r>
      <w:r w:rsidR="00A47E3E">
        <w:rPr>
          <w:rFonts w:eastAsia="Calibri"/>
          <w:color w:val="000000" w:themeColor="text1"/>
          <w:szCs w:val="28"/>
        </w:rPr>
        <w:t>ином, існує дві основні причини</w:t>
      </w:r>
      <w:r w:rsidRPr="00EA77E3">
        <w:rPr>
          <w:rFonts w:eastAsia="Calibri"/>
          <w:color w:val="000000" w:themeColor="text1"/>
          <w:szCs w:val="28"/>
        </w:rPr>
        <w:t xml:space="preserve"> через які число дітей, що вмирають від діареї, є все ще високим: поширеність факторів ризику, пов'язаних з діареєю, і відсутність дос</w:t>
      </w:r>
      <w:r w:rsidR="009016B4">
        <w:rPr>
          <w:rFonts w:eastAsia="Calibri"/>
          <w:color w:val="000000" w:themeColor="text1"/>
          <w:szCs w:val="28"/>
        </w:rPr>
        <w:t>тупу до основних видів медичної допомоги</w:t>
      </w:r>
      <w:r w:rsidRPr="00EA77E3">
        <w:rPr>
          <w:rFonts w:eastAsia="Calibri"/>
          <w:color w:val="000000" w:themeColor="text1"/>
          <w:szCs w:val="28"/>
        </w:rPr>
        <w:t>. Н</w:t>
      </w:r>
      <w:r w:rsidR="00A710B3">
        <w:rPr>
          <w:rFonts w:eastAsia="Calibri"/>
          <w:color w:val="000000" w:themeColor="text1"/>
          <w:szCs w:val="28"/>
        </w:rPr>
        <w:t>а даний час світу відомі</w:t>
      </w:r>
      <w:r w:rsidRPr="00EA77E3">
        <w:rPr>
          <w:rFonts w:eastAsia="Calibri"/>
          <w:color w:val="000000" w:themeColor="text1"/>
          <w:szCs w:val="28"/>
        </w:rPr>
        <w:t xml:space="preserve"> </w:t>
      </w:r>
      <w:r w:rsidR="00A710B3">
        <w:rPr>
          <w:rFonts w:eastAsia="Calibri"/>
          <w:color w:val="000000" w:themeColor="text1"/>
          <w:szCs w:val="28"/>
        </w:rPr>
        <w:t xml:space="preserve">заходи </w:t>
      </w:r>
      <w:r w:rsidRPr="00EA77E3">
        <w:rPr>
          <w:rFonts w:eastAsia="Calibri"/>
          <w:color w:val="000000" w:themeColor="text1"/>
          <w:szCs w:val="28"/>
        </w:rPr>
        <w:t>для лікува</w:t>
      </w:r>
      <w:r w:rsidR="00653EC0">
        <w:rPr>
          <w:rFonts w:eastAsia="Calibri"/>
          <w:color w:val="000000" w:themeColor="text1"/>
          <w:szCs w:val="28"/>
        </w:rPr>
        <w:t>ння діареї:</w:t>
      </w:r>
      <w:r w:rsidRPr="00EA77E3">
        <w:rPr>
          <w:rFonts w:eastAsia="Calibri"/>
          <w:color w:val="000000" w:themeColor="text1"/>
          <w:szCs w:val="28"/>
        </w:rPr>
        <w:t xml:space="preserve"> </w:t>
      </w:r>
      <w:r w:rsidR="009016B4">
        <w:rPr>
          <w:rFonts w:eastAsia="Calibri"/>
          <w:color w:val="000000" w:themeColor="text1"/>
          <w:szCs w:val="28"/>
        </w:rPr>
        <w:t>оральна регідратаційна терапія</w:t>
      </w:r>
      <w:r w:rsidR="009016B4" w:rsidRPr="009016B4">
        <w:rPr>
          <w:rFonts w:eastAsia="Calibri"/>
          <w:color w:val="000000" w:themeColor="text1"/>
          <w:szCs w:val="28"/>
        </w:rPr>
        <w:t xml:space="preserve"> </w:t>
      </w:r>
      <w:r w:rsidR="009016B4">
        <w:rPr>
          <w:rFonts w:eastAsia="Calibri"/>
          <w:color w:val="000000" w:themeColor="text1"/>
          <w:szCs w:val="28"/>
        </w:rPr>
        <w:t>(</w:t>
      </w:r>
      <w:r w:rsidRPr="00EA77E3">
        <w:rPr>
          <w:rFonts w:eastAsia="Calibri"/>
          <w:color w:val="000000" w:themeColor="text1"/>
          <w:szCs w:val="28"/>
        </w:rPr>
        <w:t>ОРТ</w:t>
      </w:r>
      <w:r w:rsidR="009016B4">
        <w:rPr>
          <w:rFonts w:eastAsia="Calibri"/>
          <w:color w:val="000000" w:themeColor="text1"/>
          <w:szCs w:val="28"/>
        </w:rPr>
        <w:t>)</w:t>
      </w:r>
      <w:r w:rsidRPr="00EA77E3">
        <w:rPr>
          <w:rFonts w:eastAsia="Calibri"/>
          <w:color w:val="000000" w:themeColor="text1"/>
          <w:szCs w:val="28"/>
        </w:rPr>
        <w:t xml:space="preserve">, </w:t>
      </w:r>
      <w:r w:rsidR="009016B4" w:rsidRPr="009016B4">
        <w:rPr>
          <w:rFonts w:eastAsia="Calibri"/>
          <w:color w:val="000000" w:themeColor="text1"/>
          <w:szCs w:val="28"/>
        </w:rPr>
        <w:t>терапевтичне використання цинку</w:t>
      </w:r>
      <w:r w:rsidR="009016B4">
        <w:rPr>
          <w:rFonts w:eastAsia="Calibri"/>
          <w:color w:val="000000" w:themeColor="text1"/>
          <w:szCs w:val="28"/>
        </w:rPr>
        <w:t>,</w:t>
      </w:r>
      <w:r w:rsidR="009016B4" w:rsidRPr="009016B4">
        <w:rPr>
          <w:rFonts w:eastAsia="Calibri"/>
          <w:color w:val="000000" w:themeColor="text1"/>
          <w:szCs w:val="28"/>
        </w:rPr>
        <w:t xml:space="preserve"> </w:t>
      </w:r>
      <w:r w:rsidRPr="00EA77E3">
        <w:rPr>
          <w:rFonts w:eastAsia="Calibri"/>
          <w:color w:val="000000" w:themeColor="text1"/>
          <w:szCs w:val="28"/>
        </w:rPr>
        <w:t>грудне вигодовування</w:t>
      </w:r>
      <w:r w:rsidR="00653EC0">
        <w:rPr>
          <w:rFonts w:eastAsia="Calibri"/>
          <w:color w:val="000000" w:themeColor="text1"/>
          <w:szCs w:val="28"/>
        </w:rPr>
        <w:t xml:space="preserve"> і поліпшення санітарії, що </w:t>
      </w:r>
      <w:r w:rsidRPr="00EA77E3">
        <w:rPr>
          <w:rFonts w:eastAsia="Calibri"/>
          <w:color w:val="000000" w:themeColor="text1"/>
          <w:szCs w:val="28"/>
        </w:rPr>
        <w:t xml:space="preserve">спрямовані на всі причини діареї, </w:t>
      </w:r>
      <w:r w:rsidR="00653EC0">
        <w:rPr>
          <w:rFonts w:eastAsia="Calibri"/>
          <w:color w:val="000000" w:themeColor="text1"/>
          <w:szCs w:val="28"/>
        </w:rPr>
        <w:t xml:space="preserve">та </w:t>
      </w:r>
      <w:r w:rsidRPr="00EA77E3">
        <w:rPr>
          <w:rFonts w:eastAsia="Calibri"/>
          <w:color w:val="000000" w:themeColor="text1"/>
          <w:szCs w:val="28"/>
        </w:rPr>
        <w:t xml:space="preserve"> вакцинація і вико</w:t>
      </w:r>
      <w:r w:rsidR="00653EC0">
        <w:rPr>
          <w:rFonts w:eastAsia="Calibri"/>
          <w:color w:val="000000" w:themeColor="text1"/>
          <w:szCs w:val="28"/>
        </w:rPr>
        <w:t>ристання антибіотиків, що</w:t>
      </w:r>
      <w:r w:rsidRPr="00EA77E3">
        <w:rPr>
          <w:rFonts w:eastAsia="Calibri"/>
          <w:color w:val="000000" w:themeColor="text1"/>
          <w:szCs w:val="28"/>
        </w:rPr>
        <w:t xml:space="preserve"> спрямовані проти збудників захворювання.</w:t>
      </w:r>
      <w:r w:rsidR="009016B4">
        <w:rPr>
          <w:rFonts w:eastAsia="Calibri"/>
          <w:color w:val="000000" w:themeColor="text1"/>
          <w:szCs w:val="28"/>
        </w:rPr>
        <w:t xml:space="preserve"> </w:t>
      </w:r>
      <w:r w:rsidR="00BC294D">
        <w:rPr>
          <w:rFonts w:eastAsia="Calibri"/>
          <w:color w:val="000000" w:themeColor="text1"/>
          <w:szCs w:val="28"/>
        </w:rPr>
        <w:t>У разі невдалих</w:t>
      </w:r>
      <w:r w:rsidRPr="00EA77E3">
        <w:rPr>
          <w:rFonts w:eastAsia="Calibri"/>
          <w:color w:val="000000" w:themeColor="text1"/>
          <w:szCs w:val="28"/>
        </w:rPr>
        <w:t xml:space="preserve"> профілактичних заходів є кілька варіантів лікування діарейних захворювань, включаючи нутріційні втручання і застосування антибіотиків за </w:t>
      </w:r>
      <w:r w:rsidR="006A47B8">
        <w:rPr>
          <w:rFonts w:eastAsia="Calibri"/>
          <w:color w:val="000000" w:themeColor="text1"/>
          <w:szCs w:val="28"/>
        </w:rPr>
        <w:lastRenderedPageBreak/>
        <w:t>необхідністю, але</w:t>
      </w:r>
      <w:r w:rsidRPr="00EA77E3">
        <w:rPr>
          <w:rFonts w:eastAsia="Calibri"/>
          <w:color w:val="000000" w:themeColor="text1"/>
          <w:szCs w:val="28"/>
        </w:rPr>
        <w:t xml:space="preserve"> кращий засіб від діарейних захворювань – це розчин для пероральної регідратації. Оцінки ефективності пероральної регідратації (ORS, oral rehydration salts) варіюють в залежності від джерела, при цьому деякі припускають, що поточне використання ORS допомагає запобігти 69</w:t>
      </w:r>
      <w:r w:rsidR="006A47B8">
        <w:rPr>
          <w:rFonts w:eastAsia="Calibri"/>
          <w:color w:val="000000" w:themeColor="text1"/>
          <w:szCs w:val="28"/>
        </w:rPr>
        <w:t>% випадків смерті від діареї, і</w:t>
      </w:r>
      <w:r w:rsidRPr="00EA77E3">
        <w:rPr>
          <w:rFonts w:eastAsia="Calibri"/>
          <w:color w:val="000000" w:themeColor="text1"/>
          <w:szCs w:val="28"/>
        </w:rPr>
        <w:t xml:space="preserve"> якщо охоплення регідратацією буде збільшено майже до 100%, 93% випадків смерті від діар</w:t>
      </w:r>
      <w:r w:rsidR="00807A9C">
        <w:rPr>
          <w:rFonts w:eastAsia="Calibri"/>
          <w:color w:val="000000" w:themeColor="text1"/>
          <w:szCs w:val="28"/>
        </w:rPr>
        <w:t xml:space="preserve">еї можна буде </w:t>
      </w:r>
      <w:r w:rsidR="000A76AB">
        <w:rPr>
          <w:rFonts w:eastAsia="Calibri"/>
          <w:color w:val="000000" w:themeColor="text1"/>
          <w:szCs w:val="28"/>
        </w:rPr>
        <w:t>попередити [</w:t>
      </w:r>
      <w:r w:rsidR="00AE33CF" w:rsidRPr="00AE33CF">
        <w:rPr>
          <w:rFonts w:eastAsia="Calibri"/>
          <w:color w:val="000000" w:themeColor="text1"/>
          <w:szCs w:val="28"/>
        </w:rPr>
        <w:t xml:space="preserve">67, </w:t>
      </w:r>
      <w:r w:rsidR="000A76AB">
        <w:rPr>
          <w:rFonts w:eastAsia="Calibri"/>
          <w:color w:val="000000" w:themeColor="text1"/>
          <w:szCs w:val="28"/>
        </w:rPr>
        <w:t>69</w:t>
      </w:r>
      <w:r w:rsidRPr="00EA77E3">
        <w:rPr>
          <w:rFonts w:eastAsia="Calibri"/>
          <w:color w:val="000000" w:themeColor="text1"/>
          <w:szCs w:val="28"/>
        </w:rPr>
        <w:t xml:space="preserve">, </w:t>
      </w:r>
      <w:r w:rsidR="000E1CCD" w:rsidRPr="000E1CCD">
        <w:rPr>
          <w:rFonts w:eastAsia="Calibri"/>
          <w:color w:val="000000" w:themeColor="text1"/>
          <w:szCs w:val="28"/>
        </w:rPr>
        <w:t>131-139</w:t>
      </w:r>
      <w:r w:rsidRPr="000E1CCD">
        <w:rPr>
          <w:rFonts w:eastAsia="Calibri"/>
          <w:color w:val="000000" w:themeColor="text1"/>
          <w:szCs w:val="28"/>
        </w:rPr>
        <w:t>].</w:t>
      </w:r>
    </w:p>
    <w:p w:rsidR="00323DA9" w:rsidRPr="00EA77E3" w:rsidRDefault="00222C68" w:rsidP="00721203">
      <w:pPr>
        <w:widowControl w:val="0"/>
        <w:ind w:firstLine="709"/>
        <w:rPr>
          <w:rFonts w:eastAsia="Calibri"/>
          <w:color w:val="000000" w:themeColor="text1"/>
          <w:szCs w:val="28"/>
        </w:rPr>
      </w:pPr>
      <w:r>
        <w:rPr>
          <w:rFonts w:eastAsia="Calibri"/>
          <w:color w:val="000000" w:themeColor="text1"/>
          <w:szCs w:val="28"/>
        </w:rPr>
        <w:t>С</w:t>
      </w:r>
      <w:r w:rsidR="00323DA9" w:rsidRPr="00EA77E3">
        <w:rPr>
          <w:rFonts w:eastAsia="Calibri"/>
          <w:color w:val="000000" w:themeColor="text1"/>
          <w:szCs w:val="28"/>
        </w:rPr>
        <w:t xml:space="preserve">лід зауважити, що на глобальному рівні найбільш вразливою віковою групою щодо смертності від малярії </w:t>
      </w:r>
      <w:r>
        <w:rPr>
          <w:rFonts w:eastAsia="Calibri"/>
          <w:color w:val="000000" w:themeColor="text1"/>
          <w:szCs w:val="28"/>
        </w:rPr>
        <w:t>також є діти у віці до 5-ти років  (</w:t>
      </w:r>
      <w:r w:rsidR="00323DA9" w:rsidRPr="00EA77E3">
        <w:rPr>
          <w:rFonts w:eastAsia="Calibri"/>
          <w:color w:val="000000" w:themeColor="text1"/>
          <w:szCs w:val="28"/>
        </w:rPr>
        <w:t>три з чотирьох жертв малярії – це діти у віці до 5</w:t>
      </w:r>
      <w:r w:rsidR="00733C1C" w:rsidRPr="00733C1C">
        <w:rPr>
          <w:rFonts w:eastAsia="Calibri"/>
          <w:color w:val="000000" w:themeColor="text1"/>
          <w:szCs w:val="28"/>
        </w:rPr>
        <w:t>-ти</w:t>
      </w:r>
      <w:r w:rsidR="00323DA9" w:rsidRPr="00EA77E3">
        <w:rPr>
          <w:rFonts w:eastAsia="Calibri"/>
          <w:color w:val="000000" w:themeColor="text1"/>
          <w:szCs w:val="28"/>
        </w:rPr>
        <w:t xml:space="preserve"> років</w:t>
      </w:r>
      <w:r>
        <w:rPr>
          <w:rFonts w:eastAsia="Calibri"/>
          <w:color w:val="000000" w:themeColor="text1"/>
          <w:szCs w:val="28"/>
        </w:rPr>
        <w:t>)</w:t>
      </w:r>
      <w:r w:rsidR="00323DA9" w:rsidRPr="00EA77E3">
        <w:rPr>
          <w:rFonts w:eastAsia="Calibri"/>
          <w:color w:val="000000" w:themeColor="text1"/>
          <w:szCs w:val="28"/>
        </w:rPr>
        <w:t>, що робить малярію однією з основних причин дитячої смертності в сучасному світі. Кількість смертей від малярії має тенденцію до зниження з віком</w:t>
      </w:r>
      <w:r w:rsidR="00733C1C" w:rsidRPr="00733C1C">
        <w:rPr>
          <w:rFonts w:eastAsia="Calibri"/>
          <w:color w:val="000000" w:themeColor="text1"/>
          <w:szCs w:val="28"/>
        </w:rPr>
        <w:t>, п</w:t>
      </w:r>
      <w:r w:rsidR="00323DA9" w:rsidRPr="00EA77E3">
        <w:rPr>
          <w:rFonts w:eastAsia="Calibri"/>
          <w:color w:val="000000" w:themeColor="text1"/>
          <w:szCs w:val="28"/>
        </w:rPr>
        <w:t>ри об'єднанні вікових категорій, діти у віці до 14 років складають більше 2/3 у стру</w:t>
      </w:r>
      <w:r w:rsidR="00F32203">
        <w:rPr>
          <w:rFonts w:eastAsia="Calibri"/>
          <w:color w:val="000000" w:themeColor="text1"/>
          <w:szCs w:val="28"/>
        </w:rPr>
        <w:t>ктурі смертності від малярії [140, 141-145</w:t>
      </w:r>
      <w:r w:rsidR="00323DA9" w:rsidRPr="00EA77E3">
        <w:rPr>
          <w:rFonts w:eastAsia="Calibri"/>
          <w:color w:val="000000" w:themeColor="text1"/>
          <w:szCs w:val="28"/>
        </w:rPr>
        <w:t>].</w:t>
      </w:r>
    </w:p>
    <w:p w:rsidR="00323DA9" w:rsidRPr="00EA77E3" w:rsidRDefault="00323DA9" w:rsidP="00721203">
      <w:pPr>
        <w:widowControl w:val="0"/>
        <w:ind w:firstLine="709"/>
        <w:rPr>
          <w:rFonts w:eastAsia="Calibri"/>
          <w:color w:val="000000" w:themeColor="text1"/>
          <w:szCs w:val="28"/>
        </w:rPr>
      </w:pPr>
      <w:r w:rsidRPr="00EA77E3">
        <w:rPr>
          <w:rFonts w:eastAsia="Calibri"/>
          <w:color w:val="000000" w:themeColor="text1"/>
          <w:szCs w:val="28"/>
        </w:rPr>
        <w:t xml:space="preserve">Також, великою проблемою </w:t>
      </w:r>
      <w:r w:rsidR="002C187C">
        <w:rPr>
          <w:rFonts w:eastAsia="Calibri"/>
          <w:color w:val="000000" w:themeColor="text1"/>
          <w:szCs w:val="28"/>
        </w:rPr>
        <w:t xml:space="preserve">у світі </w:t>
      </w:r>
      <w:r w:rsidRPr="00EA77E3">
        <w:rPr>
          <w:rFonts w:eastAsia="Calibri"/>
          <w:color w:val="000000" w:themeColor="text1"/>
          <w:szCs w:val="28"/>
        </w:rPr>
        <w:t>є захворюваність дітей на ВІЛ, передача якого зазвичай відбувається від матері (передача від матері до дитини, mother-to-child-transmission; MTCT) або під час вагітності</w:t>
      </w:r>
      <w:r w:rsidR="004432B1">
        <w:rPr>
          <w:rFonts w:eastAsia="Calibri"/>
          <w:color w:val="000000" w:themeColor="text1"/>
          <w:szCs w:val="28"/>
        </w:rPr>
        <w:t>,</w:t>
      </w:r>
      <w:r w:rsidRPr="00EA77E3">
        <w:rPr>
          <w:rFonts w:eastAsia="Calibri"/>
          <w:color w:val="000000" w:themeColor="text1"/>
          <w:szCs w:val="28"/>
        </w:rPr>
        <w:t xml:space="preserve"> або пологів, або при грудному вигодовуванні. У всьому світі число дітей (до 14 років), що живуть з ВІЛ, досягло піку в 2005 </w:t>
      </w:r>
      <w:r w:rsidR="004432B1">
        <w:rPr>
          <w:rFonts w:eastAsia="Calibri"/>
          <w:color w:val="000000" w:themeColor="text1"/>
          <w:szCs w:val="28"/>
        </w:rPr>
        <w:t>році, склавши приблизно 2,1 млн</w:t>
      </w:r>
      <w:r w:rsidRPr="00EA77E3">
        <w:rPr>
          <w:rFonts w:eastAsia="Calibri"/>
          <w:color w:val="000000" w:themeColor="text1"/>
          <w:szCs w:val="28"/>
        </w:rPr>
        <w:t xml:space="preserve"> дітей. У 2017 р. ц</w:t>
      </w:r>
      <w:r w:rsidR="004432B1">
        <w:rPr>
          <w:rFonts w:eastAsia="Calibri"/>
          <w:color w:val="000000" w:themeColor="text1"/>
          <w:szCs w:val="28"/>
        </w:rPr>
        <w:t>ей показник знизився до 1,8 млн</w:t>
      </w:r>
      <w:r w:rsidRPr="00EA77E3">
        <w:rPr>
          <w:rFonts w:eastAsia="Calibri"/>
          <w:color w:val="000000" w:themeColor="text1"/>
          <w:szCs w:val="28"/>
        </w:rPr>
        <w:t xml:space="preserve"> дітей у світі, при цьому у цьому ж році близько 180 </w:t>
      </w:r>
      <w:r w:rsidR="001B454D">
        <w:rPr>
          <w:rFonts w:eastAsia="Calibri"/>
          <w:color w:val="000000" w:themeColor="text1"/>
          <w:szCs w:val="28"/>
        </w:rPr>
        <w:t>000 дітей були інфіковані ВІЛ. Й</w:t>
      </w:r>
      <w:r w:rsidRPr="00EA77E3">
        <w:rPr>
          <w:rFonts w:eastAsia="Calibri"/>
          <w:color w:val="000000" w:themeColor="text1"/>
          <w:szCs w:val="28"/>
        </w:rPr>
        <w:t>мовірність передачі вірусу дитині від ВІЛ-позитивної матері становить від 15 до 45%. Ефективні послуги з профілактики передачі</w:t>
      </w:r>
      <w:r w:rsidR="004778DC">
        <w:rPr>
          <w:rFonts w:eastAsia="Calibri"/>
          <w:color w:val="000000" w:themeColor="text1"/>
          <w:szCs w:val="28"/>
        </w:rPr>
        <w:t xml:space="preserve"> ВІЛ</w:t>
      </w:r>
      <w:r w:rsidRPr="00EA77E3">
        <w:rPr>
          <w:rFonts w:eastAsia="Calibri"/>
          <w:color w:val="000000" w:themeColor="text1"/>
          <w:szCs w:val="28"/>
        </w:rPr>
        <w:t xml:space="preserve"> від матері до дитини (prevention of mother-to-child transmission (PMTCT))</w:t>
      </w:r>
      <w:r w:rsidR="00D17223">
        <w:rPr>
          <w:rFonts w:eastAsia="Calibri"/>
          <w:color w:val="000000" w:themeColor="text1"/>
          <w:szCs w:val="28"/>
        </w:rPr>
        <w:t xml:space="preserve">, які включають </w:t>
      </w:r>
      <w:r w:rsidR="00D17223" w:rsidRPr="00D17223">
        <w:rPr>
          <w:rFonts w:eastAsia="Calibri"/>
          <w:color w:val="000000" w:themeColor="text1"/>
          <w:szCs w:val="28"/>
        </w:rPr>
        <w:t>проведення антиретровірусної терапії (АРТ) для матері та новонароджен</w:t>
      </w:r>
      <w:r w:rsidR="00D17223">
        <w:rPr>
          <w:rFonts w:eastAsia="Calibri"/>
          <w:color w:val="000000" w:themeColor="text1"/>
          <w:szCs w:val="28"/>
        </w:rPr>
        <w:t>ого, правильне годування груддю</w:t>
      </w:r>
      <w:r w:rsidR="00D17223" w:rsidRPr="00D17223">
        <w:rPr>
          <w:rFonts w:eastAsia="Calibri"/>
          <w:color w:val="000000" w:themeColor="text1"/>
          <w:szCs w:val="28"/>
        </w:rPr>
        <w:t xml:space="preserve"> і раннє тестування дитини на ВІЛ-інфекцію</w:t>
      </w:r>
      <w:r w:rsidR="004432B1">
        <w:rPr>
          <w:rFonts w:eastAsia="Calibri"/>
          <w:color w:val="000000" w:themeColor="text1"/>
          <w:szCs w:val="28"/>
        </w:rPr>
        <w:t xml:space="preserve"> </w:t>
      </w:r>
      <w:r w:rsidRPr="00EA77E3">
        <w:rPr>
          <w:rFonts w:eastAsia="Calibri"/>
          <w:color w:val="000000" w:themeColor="text1"/>
          <w:szCs w:val="28"/>
        </w:rPr>
        <w:t>можуть знизити ймовірність п</w:t>
      </w:r>
      <w:r w:rsidR="00D17223">
        <w:rPr>
          <w:rFonts w:eastAsia="Calibri"/>
          <w:color w:val="000000" w:themeColor="text1"/>
          <w:szCs w:val="28"/>
        </w:rPr>
        <w:t xml:space="preserve">ередачі вірусу немовляти до 5% </w:t>
      </w:r>
      <w:r w:rsidR="002E7D68">
        <w:rPr>
          <w:rFonts w:eastAsia="Calibri"/>
          <w:color w:val="000000" w:themeColor="text1"/>
          <w:szCs w:val="28"/>
        </w:rPr>
        <w:t>[146-150</w:t>
      </w:r>
      <w:r w:rsidRPr="00EA77E3">
        <w:rPr>
          <w:rFonts w:eastAsia="Calibri"/>
          <w:color w:val="000000" w:themeColor="text1"/>
          <w:szCs w:val="28"/>
        </w:rPr>
        <w:t>].</w:t>
      </w:r>
    </w:p>
    <w:p w:rsidR="00323DA9" w:rsidRPr="00EA77E3" w:rsidRDefault="00566F20" w:rsidP="00721203">
      <w:pPr>
        <w:widowControl w:val="0"/>
        <w:ind w:firstLine="709"/>
        <w:rPr>
          <w:rFonts w:eastAsia="Calibri"/>
          <w:color w:val="000000" w:themeColor="text1"/>
          <w:szCs w:val="28"/>
        </w:rPr>
      </w:pPr>
      <w:r>
        <w:rPr>
          <w:rFonts w:eastAsia="Calibri"/>
          <w:color w:val="000000" w:themeColor="text1"/>
          <w:szCs w:val="28"/>
        </w:rPr>
        <w:t>Для впровадження ефективних заходів</w:t>
      </w:r>
      <w:r w:rsidR="00323DA9" w:rsidRPr="00EA77E3">
        <w:rPr>
          <w:rFonts w:eastAsia="Calibri"/>
          <w:color w:val="000000" w:themeColor="text1"/>
          <w:szCs w:val="28"/>
        </w:rPr>
        <w:t>, які</w:t>
      </w:r>
      <w:r w:rsidR="00AD6D21">
        <w:rPr>
          <w:rFonts w:eastAsia="Calibri"/>
          <w:color w:val="000000" w:themeColor="text1"/>
          <w:szCs w:val="28"/>
        </w:rPr>
        <w:t xml:space="preserve"> здатні </w:t>
      </w:r>
      <w:r>
        <w:rPr>
          <w:rFonts w:eastAsia="Calibri"/>
          <w:color w:val="000000" w:themeColor="text1"/>
          <w:szCs w:val="28"/>
        </w:rPr>
        <w:t>врятувати</w:t>
      </w:r>
      <w:r w:rsidR="00C139A6">
        <w:rPr>
          <w:rFonts w:eastAsia="Calibri"/>
          <w:color w:val="000000" w:themeColor="text1"/>
          <w:szCs w:val="28"/>
        </w:rPr>
        <w:t xml:space="preserve"> життя дітей</w:t>
      </w:r>
      <w:r>
        <w:rPr>
          <w:rFonts w:ascii="Calibri" w:eastAsia="Calibri" w:hAnsi="Calibri"/>
          <w:color w:val="000000" w:themeColor="text1"/>
          <w:sz w:val="22"/>
        </w:rPr>
        <w:t>,</w:t>
      </w:r>
      <w:r w:rsidRPr="00566F20">
        <w:rPr>
          <w:rFonts w:eastAsia="Calibri"/>
          <w:color w:val="000000" w:themeColor="text1"/>
          <w:szCs w:val="28"/>
        </w:rPr>
        <w:t xml:space="preserve"> необхідно</w:t>
      </w:r>
      <w:r w:rsidR="00323DA9" w:rsidRPr="00EA77E3">
        <w:rPr>
          <w:rFonts w:eastAsia="Calibri"/>
          <w:color w:val="000000" w:themeColor="text1"/>
          <w:szCs w:val="28"/>
        </w:rPr>
        <w:t xml:space="preserve"> розуміти в якому </w:t>
      </w:r>
      <w:r w:rsidR="00793012">
        <w:rPr>
          <w:rFonts w:eastAsia="Calibri"/>
          <w:color w:val="000000" w:themeColor="text1"/>
          <w:szCs w:val="28"/>
        </w:rPr>
        <w:t xml:space="preserve">віці </w:t>
      </w:r>
      <w:r w:rsidR="00323DA9" w:rsidRPr="00EA77E3">
        <w:rPr>
          <w:rFonts w:eastAsia="Calibri"/>
          <w:color w:val="000000" w:themeColor="text1"/>
          <w:szCs w:val="28"/>
        </w:rPr>
        <w:t xml:space="preserve">вмирають діти. </w:t>
      </w:r>
      <w:r w:rsidR="008E3ADB">
        <w:rPr>
          <w:rFonts w:eastAsia="Calibri"/>
          <w:color w:val="000000" w:themeColor="text1"/>
          <w:szCs w:val="28"/>
        </w:rPr>
        <w:t>При цьому слід зазначити,</w:t>
      </w:r>
      <w:r w:rsidR="008E3ADB" w:rsidRPr="008E3ADB">
        <w:rPr>
          <w:rFonts w:eastAsia="Calibri"/>
          <w:color w:val="000000" w:themeColor="text1"/>
          <w:szCs w:val="28"/>
        </w:rPr>
        <w:t xml:space="preserve"> </w:t>
      </w:r>
      <w:r w:rsidR="008E3ADB">
        <w:rPr>
          <w:rFonts w:eastAsia="Calibri"/>
          <w:color w:val="000000" w:themeColor="text1"/>
          <w:szCs w:val="28"/>
        </w:rPr>
        <w:t>що причини смерті дітей, які</w:t>
      </w:r>
      <w:r w:rsidR="00323DA9" w:rsidRPr="00EA77E3">
        <w:rPr>
          <w:rFonts w:eastAsia="Calibri"/>
          <w:color w:val="000000" w:themeColor="text1"/>
          <w:szCs w:val="28"/>
        </w:rPr>
        <w:t xml:space="preserve"> вмирають в перші кілька днів </w:t>
      </w:r>
      <w:r w:rsidR="00AD6D21">
        <w:rPr>
          <w:rFonts w:eastAsia="Calibri"/>
          <w:color w:val="000000" w:themeColor="text1"/>
          <w:szCs w:val="28"/>
        </w:rPr>
        <w:t>або тижнів життя, дуже відрізняю</w:t>
      </w:r>
      <w:r w:rsidR="00323DA9" w:rsidRPr="00EA77E3">
        <w:rPr>
          <w:rFonts w:eastAsia="Calibri"/>
          <w:color w:val="000000" w:themeColor="text1"/>
          <w:szCs w:val="28"/>
        </w:rPr>
        <w:t xml:space="preserve">ться від </w:t>
      </w:r>
      <w:r w:rsidR="00FE5386">
        <w:rPr>
          <w:rFonts w:eastAsia="Calibri"/>
          <w:color w:val="000000" w:themeColor="text1"/>
          <w:szCs w:val="28"/>
        </w:rPr>
        <w:t>причин смерті в наступні місяці та роки</w:t>
      </w:r>
      <w:r w:rsidR="00AD6D21">
        <w:rPr>
          <w:rFonts w:eastAsia="Calibri"/>
          <w:color w:val="000000" w:themeColor="text1"/>
          <w:szCs w:val="28"/>
        </w:rPr>
        <w:t xml:space="preserve">, також </w:t>
      </w:r>
      <w:r w:rsidR="008E3ADB">
        <w:rPr>
          <w:rFonts w:eastAsia="Calibri"/>
          <w:color w:val="000000" w:themeColor="text1"/>
          <w:szCs w:val="28"/>
        </w:rPr>
        <w:t>відрізняються</w:t>
      </w:r>
      <w:r w:rsidR="00AD6D21">
        <w:rPr>
          <w:rFonts w:eastAsia="Calibri"/>
          <w:color w:val="000000" w:themeColor="text1"/>
          <w:szCs w:val="28"/>
        </w:rPr>
        <w:t xml:space="preserve"> і</w:t>
      </w:r>
      <w:r w:rsidR="00323DA9" w:rsidRPr="00EA77E3">
        <w:rPr>
          <w:rFonts w:eastAsia="Calibri"/>
          <w:color w:val="000000" w:themeColor="text1"/>
          <w:szCs w:val="28"/>
        </w:rPr>
        <w:t xml:space="preserve"> заходи щодо </w:t>
      </w:r>
      <w:r w:rsidR="00323DA9" w:rsidRPr="00EA77E3">
        <w:rPr>
          <w:rFonts w:eastAsia="Calibri"/>
          <w:color w:val="000000" w:themeColor="text1"/>
          <w:szCs w:val="28"/>
        </w:rPr>
        <w:lastRenderedPageBreak/>
        <w:t>запобігання цих смертей. Діти найчаст</w:t>
      </w:r>
      <w:r w:rsidR="00FE5386">
        <w:rPr>
          <w:rFonts w:eastAsia="Calibri"/>
          <w:color w:val="000000" w:themeColor="text1"/>
          <w:szCs w:val="28"/>
        </w:rPr>
        <w:t>іше вмирають в перші дні життя (34,5% у</w:t>
      </w:r>
      <w:r w:rsidR="00323DA9" w:rsidRPr="00EA77E3">
        <w:rPr>
          <w:rFonts w:eastAsia="Calibri"/>
          <w:color w:val="000000" w:themeColor="text1"/>
          <w:szCs w:val="28"/>
        </w:rPr>
        <w:t xml:space="preserve"> загальній кількості дитячих смертей</w:t>
      </w:r>
      <w:r w:rsidR="00FE5386">
        <w:rPr>
          <w:rFonts w:eastAsia="Calibri"/>
          <w:color w:val="000000" w:themeColor="text1"/>
          <w:szCs w:val="28"/>
        </w:rPr>
        <w:t xml:space="preserve"> або в середньому </w:t>
      </w:r>
      <w:r w:rsidR="00FE5386" w:rsidRPr="00FE5386">
        <w:rPr>
          <w:rFonts w:eastAsia="Calibri"/>
          <w:color w:val="000000" w:themeColor="text1"/>
          <w:szCs w:val="28"/>
        </w:rPr>
        <w:t xml:space="preserve">5096 дітей молодше одного тижня вмирають </w:t>
      </w:r>
      <w:r w:rsidR="00214819">
        <w:rPr>
          <w:rFonts w:eastAsia="Calibri"/>
          <w:color w:val="000000" w:themeColor="text1"/>
          <w:szCs w:val="28"/>
        </w:rPr>
        <w:t>у світі щодня</w:t>
      </w:r>
      <w:r w:rsidR="00FE5386">
        <w:rPr>
          <w:rFonts w:eastAsia="Calibri"/>
          <w:color w:val="000000" w:themeColor="text1"/>
          <w:szCs w:val="28"/>
        </w:rPr>
        <w:t>).</w:t>
      </w:r>
      <w:r w:rsidR="00323DA9" w:rsidRPr="00EA77E3">
        <w:rPr>
          <w:rFonts w:eastAsia="Calibri"/>
          <w:color w:val="000000" w:themeColor="text1"/>
          <w:szCs w:val="28"/>
        </w:rPr>
        <w:t xml:space="preserve"> Якщо подивитись на ймовірність смерті, вона є найвищою в перші 24 годи</w:t>
      </w:r>
      <w:r w:rsidR="00C139A6">
        <w:rPr>
          <w:rFonts w:eastAsia="Calibri"/>
          <w:color w:val="000000" w:themeColor="text1"/>
          <w:szCs w:val="28"/>
        </w:rPr>
        <w:t>ни життя. Новонароджені в 4</w:t>
      </w:r>
      <w:r w:rsidR="00947310">
        <w:rPr>
          <w:rFonts w:eastAsia="Calibri"/>
          <w:color w:val="000000" w:themeColor="text1"/>
          <w:szCs w:val="28"/>
        </w:rPr>
        <w:t xml:space="preserve"> рази частіше вмирають у</w:t>
      </w:r>
      <w:r w:rsidR="00323DA9" w:rsidRPr="00EA77E3">
        <w:rPr>
          <w:rFonts w:eastAsia="Calibri"/>
          <w:color w:val="000000" w:themeColor="text1"/>
          <w:szCs w:val="28"/>
        </w:rPr>
        <w:t xml:space="preserve"> перші 24 години життя, ніж</w:t>
      </w:r>
      <w:r w:rsidR="00947310">
        <w:rPr>
          <w:rFonts w:eastAsia="Calibri"/>
          <w:color w:val="000000" w:themeColor="text1"/>
          <w:szCs w:val="28"/>
        </w:rPr>
        <w:t xml:space="preserve"> у</w:t>
      </w:r>
      <w:r w:rsidR="00C139A6">
        <w:rPr>
          <w:rFonts w:eastAsia="Calibri"/>
          <w:color w:val="000000" w:themeColor="text1"/>
          <w:szCs w:val="28"/>
        </w:rPr>
        <w:t xml:space="preserve"> наступні 24 роки, і в 9</w:t>
      </w:r>
      <w:r w:rsidR="00323DA9" w:rsidRPr="00EA77E3">
        <w:rPr>
          <w:rFonts w:eastAsia="Calibri"/>
          <w:color w:val="000000" w:themeColor="text1"/>
          <w:szCs w:val="28"/>
        </w:rPr>
        <w:t xml:space="preserve"> разів частіше</w:t>
      </w:r>
      <w:r w:rsidR="00C139A6">
        <w:rPr>
          <w:rFonts w:eastAsia="Calibri"/>
          <w:color w:val="000000" w:themeColor="text1"/>
          <w:szCs w:val="28"/>
        </w:rPr>
        <w:t>, ніж на 7-й</w:t>
      </w:r>
      <w:r w:rsidR="00F256C6">
        <w:rPr>
          <w:rFonts w:eastAsia="Calibri"/>
          <w:color w:val="000000" w:themeColor="text1"/>
          <w:szCs w:val="28"/>
        </w:rPr>
        <w:t xml:space="preserve"> день життя [151</w:t>
      </w:r>
      <w:r w:rsidR="00323DA9" w:rsidRPr="00EA77E3">
        <w:rPr>
          <w:rFonts w:eastAsia="Calibri"/>
          <w:color w:val="000000" w:themeColor="text1"/>
          <w:szCs w:val="28"/>
        </w:rPr>
        <w:t>]. У той ча</w:t>
      </w:r>
      <w:r w:rsidR="006F0191">
        <w:rPr>
          <w:rFonts w:eastAsia="Calibri"/>
          <w:color w:val="000000" w:themeColor="text1"/>
          <w:szCs w:val="28"/>
        </w:rPr>
        <w:t xml:space="preserve">с як </w:t>
      </w:r>
      <w:r w:rsidR="00C139A6">
        <w:rPr>
          <w:rFonts w:eastAsia="Calibri"/>
          <w:color w:val="000000" w:themeColor="text1"/>
          <w:szCs w:val="28"/>
        </w:rPr>
        <w:t xml:space="preserve">у світі </w:t>
      </w:r>
      <w:r w:rsidR="006F0191">
        <w:rPr>
          <w:rFonts w:eastAsia="Calibri"/>
          <w:color w:val="000000" w:themeColor="text1"/>
          <w:szCs w:val="28"/>
        </w:rPr>
        <w:t>дитяча смертність знизилась</w:t>
      </w:r>
      <w:r w:rsidR="00323DA9" w:rsidRPr="00EA77E3">
        <w:rPr>
          <w:rFonts w:eastAsia="Calibri"/>
          <w:color w:val="000000" w:themeColor="text1"/>
          <w:szCs w:val="28"/>
        </w:rPr>
        <w:t xml:space="preserve"> у всіх вікових групах, темпи зниження не бул</w:t>
      </w:r>
      <w:r w:rsidR="00C139A6">
        <w:rPr>
          <w:rFonts w:eastAsia="Calibri"/>
          <w:color w:val="000000" w:themeColor="text1"/>
          <w:szCs w:val="28"/>
        </w:rPr>
        <w:t xml:space="preserve">и рівномірними. Так, запобігання смертності дітей старшого віку має більший прогрес </w:t>
      </w:r>
      <w:r w:rsidR="00323DA9" w:rsidRPr="00EA77E3">
        <w:rPr>
          <w:rFonts w:eastAsia="Calibri"/>
          <w:color w:val="000000" w:themeColor="text1"/>
          <w:szCs w:val="28"/>
        </w:rPr>
        <w:t xml:space="preserve">ніж </w:t>
      </w:r>
      <w:r w:rsidR="00CC62D3">
        <w:rPr>
          <w:rFonts w:eastAsia="Calibri"/>
          <w:color w:val="000000" w:themeColor="text1"/>
          <w:szCs w:val="28"/>
        </w:rPr>
        <w:t xml:space="preserve">попередження випадків смерті </w:t>
      </w:r>
      <w:r w:rsidR="004F75BC">
        <w:rPr>
          <w:rFonts w:eastAsia="Calibri"/>
          <w:color w:val="000000" w:themeColor="text1"/>
          <w:szCs w:val="28"/>
        </w:rPr>
        <w:t>дітей молодшого віку. Із</w:t>
      </w:r>
      <w:r w:rsidR="00323DA9" w:rsidRPr="00EA77E3">
        <w:rPr>
          <w:rFonts w:eastAsia="Calibri"/>
          <w:color w:val="000000" w:themeColor="text1"/>
          <w:szCs w:val="28"/>
        </w:rPr>
        <w:t xml:space="preserve"> 1990 року </w:t>
      </w:r>
      <w:r w:rsidR="004F75BC">
        <w:rPr>
          <w:rFonts w:eastAsia="Calibri"/>
          <w:color w:val="000000" w:themeColor="text1"/>
          <w:szCs w:val="28"/>
        </w:rPr>
        <w:t xml:space="preserve">дитяча </w:t>
      </w:r>
      <w:r w:rsidR="00323DA9" w:rsidRPr="00EA77E3">
        <w:rPr>
          <w:rFonts w:eastAsia="Calibri"/>
          <w:color w:val="000000" w:themeColor="text1"/>
          <w:szCs w:val="28"/>
        </w:rPr>
        <w:t>смертність знизилася на: 65% у дітей у віці від 1 до 4 р</w:t>
      </w:r>
      <w:r w:rsidR="00C35895">
        <w:rPr>
          <w:rFonts w:eastAsia="Calibri"/>
          <w:color w:val="000000" w:themeColor="text1"/>
          <w:szCs w:val="28"/>
        </w:rPr>
        <w:t>оків</w:t>
      </w:r>
      <w:r w:rsidR="00A0333B">
        <w:rPr>
          <w:rFonts w:eastAsia="Calibri"/>
          <w:color w:val="000000" w:themeColor="text1"/>
          <w:szCs w:val="28"/>
        </w:rPr>
        <w:t xml:space="preserve"> життя</w:t>
      </w:r>
      <w:r w:rsidR="00C35895">
        <w:rPr>
          <w:rFonts w:eastAsia="Calibri"/>
          <w:color w:val="000000" w:themeColor="text1"/>
          <w:szCs w:val="28"/>
        </w:rPr>
        <w:t>; 58% у дітей молодше 1 року</w:t>
      </w:r>
      <w:r w:rsidR="00A0333B">
        <w:rPr>
          <w:rFonts w:eastAsia="Calibri"/>
          <w:color w:val="000000" w:themeColor="text1"/>
          <w:szCs w:val="28"/>
        </w:rPr>
        <w:t xml:space="preserve"> життя</w:t>
      </w:r>
      <w:r w:rsidR="00C35895">
        <w:rPr>
          <w:rFonts w:eastAsia="Calibri"/>
          <w:color w:val="000000" w:themeColor="text1"/>
          <w:szCs w:val="28"/>
        </w:rPr>
        <w:t>; 49% у новонароджених;</w:t>
      </w:r>
      <w:r w:rsidR="00A0333B">
        <w:rPr>
          <w:rFonts w:eastAsia="Calibri"/>
          <w:color w:val="000000" w:themeColor="text1"/>
          <w:szCs w:val="28"/>
        </w:rPr>
        <w:t xml:space="preserve"> 39% для дітей молодше 1</w:t>
      </w:r>
      <w:r w:rsidR="00323DA9" w:rsidRPr="00EA77E3">
        <w:rPr>
          <w:rFonts w:eastAsia="Calibri"/>
          <w:color w:val="000000" w:themeColor="text1"/>
          <w:szCs w:val="28"/>
        </w:rPr>
        <w:t xml:space="preserve"> тижня</w:t>
      </w:r>
      <w:r w:rsidR="00A0333B">
        <w:rPr>
          <w:rFonts w:eastAsia="Calibri"/>
          <w:color w:val="000000" w:themeColor="text1"/>
          <w:szCs w:val="28"/>
        </w:rPr>
        <w:t xml:space="preserve"> життя</w:t>
      </w:r>
      <w:r w:rsidR="00323DA9" w:rsidRPr="00EA77E3">
        <w:rPr>
          <w:rFonts w:eastAsia="Calibri"/>
          <w:color w:val="000000" w:themeColor="text1"/>
          <w:szCs w:val="28"/>
        </w:rPr>
        <w:t xml:space="preserve">. </w:t>
      </w:r>
      <w:r w:rsidR="003A15A0">
        <w:rPr>
          <w:rFonts w:eastAsia="Calibri"/>
          <w:color w:val="000000" w:themeColor="text1"/>
          <w:szCs w:val="28"/>
        </w:rPr>
        <w:t xml:space="preserve">Це пов’язано з тим, що </w:t>
      </w:r>
      <w:r w:rsidR="003A15A0" w:rsidRPr="003A15A0">
        <w:rPr>
          <w:rFonts w:eastAsia="Calibri"/>
          <w:color w:val="000000" w:themeColor="text1"/>
          <w:szCs w:val="28"/>
        </w:rPr>
        <w:t xml:space="preserve">причини смерті у дітей </w:t>
      </w:r>
      <w:r w:rsidR="003A15A0">
        <w:rPr>
          <w:rFonts w:eastAsia="Calibri"/>
          <w:color w:val="000000" w:themeColor="text1"/>
          <w:szCs w:val="28"/>
        </w:rPr>
        <w:t xml:space="preserve">молодшого віку </w:t>
      </w:r>
      <w:r w:rsidR="003A15A0" w:rsidRPr="003A15A0">
        <w:rPr>
          <w:rFonts w:eastAsia="Calibri"/>
          <w:color w:val="000000" w:themeColor="text1"/>
          <w:szCs w:val="28"/>
        </w:rPr>
        <w:t>достатньо різні</w:t>
      </w:r>
      <w:r w:rsidR="00122C86">
        <w:rPr>
          <w:rFonts w:eastAsia="Calibri"/>
          <w:color w:val="000000" w:themeColor="text1"/>
          <w:szCs w:val="28"/>
        </w:rPr>
        <w:t>, а</w:t>
      </w:r>
      <w:r w:rsidR="003A15A0">
        <w:rPr>
          <w:rFonts w:eastAsia="Calibri"/>
          <w:color w:val="000000" w:themeColor="text1"/>
          <w:szCs w:val="28"/>
        </w:rPr>
        <w:t xml:space="preserve"> смертність дітей старшого віку пов'язана</w:t>
      </w:r>
      <w:r w:rsidR="00323DA9" w:rsidRPr="00EA77E3">
        <w:rPr>
          <w:rFonts w:eastAsia="Calibri"/>
          <w:color w:val="000000" w:themeColor="text1"/>
          <w:szCs w:val="28"/>
        </w:rPr>
        <w:t xml:space="preserve"> </w:t>
      </w:r>
      <w:r w:rsidR="003A15A0">
        <w:rPr>
          <w:rFonts w:eastAsia="Calibri"/>
          <w:color w:val="000000" w:themeColor="text1"/>
          <w:szCs w:val="28"/>
        </w:rPr>
        <w:t xml:space="preserve">в переважній більшості із </w:t>
      </w:r>
      <w:r w:rsidR="00323DA9" w:rsidRPr="00EA77E3">
        <w:rPr>
          <w:rFonts w:eastAsia="Calibri"/>
          <w:color w:val="000000" w:themeColor="text1"/>
          <w:szCs w:val="28"/>
        </w:rPr>
        <w:t xml:space="preserve">захворюваннями (діарея, пневмонія, кір та менінгіт), яким можна запобігти за допомогою вакцинації, а </w:t>
      </w:r>
      <w:r w:rsidR="003A15A0">
        <w:rPr>
          <w:rFonts w:eastAsia="Calibri"/>
          <w:color w:val="000000" w:themeColor="text1"/>
          <w:szCs w:val="28"/>
        </w:rPr>
        <w:t xml:space="preserve">у випадку </w:t>
      </w:r>
      <w:r w:rsidR="00323DA9" w:rsidRPr="00EA77E3">
        <w:rPr>
          <w:rFonts w:eastAsia="Calibri"/>
          <w:color w:val="000000" w:themeColor="text1"/>
          <w:szCs w:val="28"/>
        </w:rPr>
        <w:t xml:space="preserve"> коли хвороба не може бути в</w:t>
      </w:r>
      <w:r w:rsidR="003974FA">
        <w:rPr>
          <w:rFonts w:eastAsia="Calibri"/>
          <w:color w:val="000000" w:themeColor="text1"/>
          <w:szCs w:val="28"/>
        </w:rPr>
        <w:t>ідвернена, вона може бути виліку</w:t>
      </w:r>
      <w:r w:rsidR="00323DA9" w:rsidRPr="00EA77E3">
        <w:rPr>
          <w:rFonts w:eastAsia="Calibri"/>
          <w:color w:val="000000" w:themeColor="text1"/>
          <w:szCs w:val="28"/>
        </w:rPr>
        <w:t xml:space="preserve">вана. </w:t>
      </w:r>
      <w:r w:rsidR="00122C86">
        <w:rPr>
          <w:rFonts w:eastAsia="Calibri"/>
          <w:color w:val="000000" w:themeColor="text1"/>
          <w:szCs w:val="28"/>
        </w:rPr>
        <w:t>Тому, по мірі</w:t>
      </w:r>
      <w:r w:rsidR="00323DA9" w:rsidRPr="00EA77E3">
        <w:rPr>
          <w:rFonts w:eastAsia="Calibri"/>
          <w:color w:val="000000" w:themeColor="text1"/>
          <w:szCs w:val="28"/>
        </w:rPr>
        <w:t xml:space="preserve"> зниження </w:t>
      </w:r>
      <w:r w:rsidR="00254DB6" w:rsidRPr="00254DB6">
        <w:rPr>
          <w:rFonts w:eastAsia="Calibri"/>
          <w:color w:val="000000" w:themeColor="text1"/>
          <w:szCs w:val="28"/>
        </w:rPr>
        <w:t xml:space="preserve">загального </w:t>
      </w:r>
      <w:r w:rsidR="00323DA9" w:rsidRPr="00EA77E3">
        <w:rPr>
          <w:rFonts w:eastAsia="Calibri"/>
          <w:color w:val="000000" w:themeColor="text1"/>
          <w:szCs w:val="28"/>
        </w:rPr>
        <w:t xml:space="preserve">рівня дитячої смертності в усьому світі, увага повинна все більше </w:t>
      </w:r>
      <w:r w:rsidR="0039494B" w:rsidRPr="0039494B">
        <w:rPr>
          <w:rFonts w:eastAsia="Calibri"/>
          <w:color w:val="000000" w:themeColor="text1"/>
          <w:szCs w:val="28"/>
        </w:rPr>
        <w:t>спрямовуватись</w:t>
      </w:r>
      <w:r w:rsidR="00323DA9" w:rsidRPr="00EA77E3">
        <w:rPr>
          <w:rFonts w:eastAsia="Calibri"/>
          <w:color w:val="000000" w:themeColor="text1"/>
          <w:szCs w:val="28"/>
        </w:rPr>
        <w:t xml:space="preserve"> на порятунок дітей в перші дні життя</w:t>
      </w:r>
      <w:r w:rsidR="00254DB6" w:rsidRPr="00254DB6">
        <w:rPr>
          <w:rFonts w:eastAsia="Calibri"/>
          <w:color w:val="000000" w:themeColor="text1"/>
          <w:szCs w:val="28"/>
        </w:rPr>
        <w:t>.</w:t>
      </w:r>
      <w:r w:rsidR="00696CB7">
        <w:rPr>
          <w:rFonts w:eastAsia="Calibri"/>
          <w:color w:val="000000" w:themeColor="text1"/>
          <w:szCs w:val="28"/>
        </w:rPr>
        <w:t xml:space="preserve"> </w:t>
      </w:r>
      <w:proofErr w:type="gramStart"/>
      <w:r w:rsidR="00696CB7">
        <w:rPr>
          <w:rFonts w:eastAsia="Calibri"/>
          <w:color w:val="000000" w:themeColor="text1"/>
          <w:szCs w:val="28"/>
          <w:lang w:val="ru-RU"/>
        </w:rPr>
        <w:t>Пров</w:t>
      </w:r>
      <w:proofErr w:type="gramEnd"/>
      <w:r w:rsidR="00696CB7">
        <w:rPr>
          <w:rFonts w:eastAsia="Calibri"/>
          <w:color w:val="000000" w:themeColor="text1"/>
          <w:szCs w:val="28"/>
          <w:lang w:val="ru-RU"/>
        </w:rPr>
        <w:t xml:space="preserve">ідним заходом </w:t>
      </w:r>
      <w:r w:rsidR="00D81E01">
        <w:rPr>
          <w:rFonts w:eastAsia="Calibri"/>
          <w:color w:val="000000" w:themeColor="text1"/>
          <w:szCs w:val="28"/>
          <w:lang w:val="ru-RU"/>
        </w:rPr>
        <w:t>і</w:t>
      </w:r>
      <w:r w:rsidR="00696CB7">
        <w:rPr>
          <w:rFonts w:eastAsia="Calibri"/>
          <w:color w:val="000000" w:themeColor="text1"/>
          <w:szCs w:val="28"/>
          <w:lang w:val="ru-RU"/>
        </w:rPr>
        <w:t xml:space="preserve">з попередження дитячої смертності </w:t>
      </w:r>
      <w:r w:rsidR="00696CB7">
        <w:rPr>
          <w:rFonts w:eastAsia="Calibri"/>
          <w:color w:val="000000" w:themeColor="text1"/>
          <w:szCs w:val="28"/>
        </w:rPr>
        <w:t>є</w:t>
      </w:r>
      <w:r w:rsidR="00323DA9" w:rsidRPr="00EA77E3">
        <w:rPr>
          <w:rFonts w:eastAsia="Calibri"/>
          <w:color w:val="000000" w:themeColor="text1"/>
          <w:szCs w:val="28"/>
        </w:rPr>
        <w:t xml:space="preserve"> </w:t>
      </w:r>
      <w:r w:rsidR="003A15A0">
        <w:rPr>
          <w:rFonts w:eastAsia="Calibri"/>
          <w:color w:val="000000" w:themeColor="text1"/>
          <w:szCs w:val="28"/>
        </w:rPr>
        <w:t>зростання охоплення базовою допомогою матерів і новонароджених</w:t>
      </w:r>
      <w:r w:rsidR="00323DA9" w:rsidRPr="00EA77E3">
        <w:rPr>
          <w:rFonts w:eastAsia="Calibri"/>
          <w:color w:val="000000" w:themeColor="text1"/>
          <w:szCs w:val="28"/>
        </w:rPr>
        <w:t>. За оста</w:t>
      </w:r>
      <w:r w:rsidR="00696CB7">
        <w:rPr>
          <w:rFonts w:eastAsia="Calibri"/>
          <w:color w:val="000000" w:themeColor="text1"/>
          <w:szCs w:val="28"/>
        </w:rPr>
        <w:t xml:space="preserve">нні десятиліття </w:t>
      </w:r>
      <w:r w:rsidR="00D94C0A">
        <w:rPr>
          <w:rFonts w:eastAsia="Calibri"/>
          <w:color w:val="000000" w:themeColor="text1"/>
          <w:szCs w:val="28"/>
        </w:rPr>
        <w:t>збільшилась кількість</w:t>
      </w:r>
      <w:r w:rsidR="00323DA9" w:rsidRPr="00EA77E3">
        <w:rPr>
          <w:rFonts w:eastAsia="Calibri"/>
          <w:color w:val="000000" w:themeColor="text1"/>
          <w:szCs w:val="28"/>
        </w:rPr>
        <w:t xml:space="preserve"> жінок</w:t>
      </w:r>
      <w:r w:rsidR="00D94C0A">
        <w:rPr>
          <w:rFonts w:eastAsia="Calibri"/>
          <w:color w:val="000000" w:themeColor="text1"/>
          <w:szCs w:val="28"/>
        </w:rPr>
        <w:t>, які</w:t>
      </w:r>
      <w:r w:rsidR="00323DA9" w:rsidRPr="00EA77E3">
        <w:rPr>
          <w:rFonts w:eastAsia="Calibri"/>
          <w:color w:val="000000" w:themeColor="text1"/>
          <w:szCs w:val="28"/>
        </w:rPr>
        <w:t xml:space="preserve"> отримують допологову допомогу, більше пологів відвідує кваліфікований медичний працівник, більше новонароджених отримують виключн</w:t>
      </w:r>
      <w:r w:rsidR="00D94C0A">
        <w:rPr>
          <w:rFonts w:eastAsia="Calibri"/>
          <w:color w:val="000000" w:themeColor="text1"/>
          <w:szCs w:val="28"/>
        </w:rPr>
        <w:t>о грудне вигодовування, але цього недостатньо</w:t>
      </w:r>
      <w:r w:rsidR="00323DA9" w:rsidRPr="00EA77E3">
        <w:rPr>
          <w:rFonts w:eastAsia="Calibri"/>
          <w:color w:val="000000" w:themeColor="text1"/>
          <w:szCs w:val="28"/>
        </w:rPr>
        <w:t>. Так, у 2014 р. у світі, охоплення зігріванням новонароджених склало 11%; охоплення виявленням та лікуванням сифілісу у новонароджених становило всь</w:t>
      </w:r>
      <w:r w:rsidR="00D94C0A">
        <w:rPr>
          <w:rFonts w:eastAsia="Calibri"/>
          <w:color w:val="000000" w:themeColor="text1"/>
          <w:szCs w:val="28"/>
        </w:rPr>
        <w:t>ого 23%; тільки 49% пологів були проведені</w:t>
      </w:r>
      <w:r w:rsidR="00323DA9" w:rsidRPr="00EA77E3">
        <w:rPr>
          <w:rFonts w:eastAsia="Calibri"/>
          <w:color w:val="000000" w:themeColor="text1"/>
          <w:szCs w:val="28"/>
        </w:rPr>
        <w:t xml:space="preserve"> з використа</w:t>
      </w:r>
      <w:r w:rsidR="00D81E01">
        <w:rPr>
          <w:rFonts w:eastAsia="Calibri"/>
          <w:color w:val="000000" w:themeColor="text1"/>
          <w:szCs w:val="28"/>
        </w:rPr>
        <w:t xml:space="preserve">нням практики чистих пологів; </w:t>
      </w:r>
      <w:r w:rsidR="00323DA9" w:rsidRPr="00EA77E3">
        <w:rPr>
          <w:rFonts w:eastAsia="Calibri"/>
          <w:color w:val="000000" w:themeColor="text1"/>
          <w:szCs w:val="28"/>
        </w:rPr>
        <w:t>тільки 8% новонароджених з інфекціями отримували пероральні антибіо</w:t>
      </w:r>
      <w:r w:rsidR="009F2C6D">
        <w:rPr>
          <w:rFonts w:eastAsia="Calibri"/>
          <w:color w:val="000000" w:themeColor="text1"/>
          <w:szCs w:val="28"/>
        </w:rPr>
        <w:t>тики [</w:t>
      </w:r>
      <w:r w:rsidR="00AE33CF" w:rsidRPr="00AE33CF">
        <w:rPr>
          <w:rFonts w:eastAsia="Calibri"/>
          <w:color w:val="000000" w:themeColor="text1"/>
          <w:szCs w:val="28"/>
        </w:rPr>
        <w:t>4, 7,</w:t>
      </w:r>
      <w:r w:rsidR="00DD1C18" w:rsidRPr="00DD1C18">
        <w:rPr>
          <w:rFonts w:eastAsia="Calibri"/>
          <w:color w:val="000000" w:themeColor="text1"/>
          <w:szCs w:val="28"/>
        </w:rPr>
        <w:t xml:space="preserve"> 68,</w:t>
      </w:r>
      <w:r w:rsidR="00AE33CF" w:rsidRPr="00AE33CF">
        <w:rPr>
          <w:rFonts w:eastAsia="Calibri"/>
          <w:color w:val="000000" w:themeColor="text1"/>
          <w:szCs w:val="28"/>
        </w:rPr>
        <w:t xml:space="preserve"> </w:t>
      </w:r>
      <w:r w:rsidR="009F2C6D">
        <w:rPr>
          <w:rFonts w:eastAsia="Calibri"/>
          <w:color w:val="000000" w:themeColor="text1"/>
          <w:szCs w:val="28"/>
        </w:rPr>
        <w:t>152</w:t>
      </w:r>
      <w:r w:rsidR="00323DA9" w:rsidRPr="00EA77E3">
        <w:rPr>
          <w:rFonts w:eastAsia="Calibri"/>
          <w:color w:val="000000" w:themeColor="text1"/>
          <w:szCs w:val="28"/>
        </w:rPr>
        <w:t>].</w:t>
      </w:r>
    </w:p>
    <w:p w:rsidR="00323DA9" w:rsidRPr="00EA77E3" w:rsidRDefault="007B172A" w:rsidP="00721203">
      <w:pPr>
        <w:widowControl w:val="0"/>
        <w:ind w:firstLine="709"/>
        <w:rPr>
          <w:rFonts w:eastAsia="Calibri"/>
          <w:color w:val="000000" w:themeColor="text1"/>
          <w:szCs w:val="28"/>
        </w:rPr>
      </w:pPr>
      <w:r>
        <w:rPr>
          <w:rFonts w:eastAsia="Calibri"/>
          <w:color w:val="000000" w:themeColor="text1"/>
          <w:szCs w:val="28"/>
        </w:rPr>
        <w:t>П</w:t>
      </w:r>
      <w:r w:rsidRPr="007B172A">
        <w:rPr>
          <w:rFonts w:eastAsia="Calibri"/>
          <w:color w:val="000000" w:themeColor="text1"/>
          <w:szCs w:val="28"/>
        </w:rPr>
        <w:t>ередчасні народження, а саме ускладнення передчасних пологів</w:t>
      </w:r>
      <w:r w:rsidR="005C4746">
        <w:rPr>
          <w:rFonts w:eastAsia="Calibri"/>
          <w:color w:val="000000" w:themeColor="text1"/>
          <w:szCs w:val="28"/>
        </w:rPr>
        <w:t>,</w:t>
      </w:r>
      <w:r w:rsidRPr="007B172A">
        <w:rPr>
          <w:rFonts w:eastAsia="Calibri"/>
          <w:color w:val="000000" w:themeColor="text1"/>
          <w:szCs w:val="28"/>
        </w:rPr>
        <w:t xml:space="preserve"> є </w:t>
      </w:r>
      <w:r w:rsidR="00E0111E">
        <w:rPr>
          <w:rFonts w:eastAsia="Calibri"/>
          <w:color w:val="000000" w:themeColor="text1"/>
          <w:szCs w:val="28"/>
        </w:rPr>
        <w:t>однією з основних причин</w:t>
      </w:r>
      <w:r w:rsidRPr="007B172A">
        <w:rPr>
          <w:rFonts w:eastAsia="Calibri"/>
          <w:color w:val="000000" w:themeColor="text1"/>
          <w:szCs w:val="28"/>
        </w:rPr>
        <w:t xml:space="preserve"> смерті </w:t>
      </w:r>
      <w:r w:rsidR="00E0111E">
        <w:rPr>
          <w:rFonts w:eastAsia="Calibri"/>
          <w:color w:val="000000" w:themeColor="text1"/>
          <w:szCs w:val="28"/>
          <w:lang w:val="ru-RU"/>
        </w:rPr>
        <w:t xml:space="preserve">дітей </w:t>
      </w:r>
      <w:r w:rsidR="00323DA9" w:rsidRPr="00EA77E3">
        <w:rPr>
          <w:rFonts w:eastAsia="Calibri"/>
          <w:color w:val="000000" w:themeColor="text1"/>
          <w:szCs w:val="28"/>
        </w:rPr>
        <w:t>прот</w:t>
      </w:r>
      <w:r w:rsidR="00E0111E">
        <w:rPr>
          <w:rFonts w:eastAsia="Calibri"/>
          <w:color w:val="000000" w:themeColor="text1"/>
          <w:szCs w:val="28"/>
        </w:rPr>
        <w:t>ягом першого місяця життя</w:t>
      </w:r>
      <w:r w:rsidR="00323DA9" w:rsidRPr="00EA77E3">
        <w:rPr>
          <w:rFonts w:eastAsia="Calibri"/>
          <w:color w:val="000000" w:themeColor="text1"/>
          <w:szCs w:val="28"/>
        </w:rPr>
        <w:t>.  Так, пона</w:t>
      </w:r>
      <w:r>
        <w:rPr>
          <w:rFonts w:eastAsia="Calibri"/>
          <w:color w:val="000000" w:themeColor="text1"/>
          <w:szCs w:val="28"/>
        </w:rPr>
        <w:t>д 600 000 новонароджених</w:t>
      </w:r>
      <w:r w:rsidR="00323DA9" w:rsidRPr="00EA77E3">
        <w:rPr>
          <w:rFonts w:eastAsia="Calibri"/>
          <w:color w:val="000000" w:themeColor="text1"/>
          <w:szCs w:val="28"/>
        </w:rPr>
        <w:t xml:space="preserve"> у 2017 р. </w:t>
      </w:r>
      <w:r>
        <w:rPr>
          <w:rFonts w:eastAsia="Calibri"/>
          <w:color w:val="000000" w:themeColor="text1"/>
          <w:szCs w:val="28"/>
        </w:rPr>
        <w:t xml:space="preserve">померли </w:t>
      </w:r>
      <w:r w:rsidR="00323DA9" w:rsidRPr="00EA77E3">
        <w:rPr>
          <w:rFonts w:eastAsia="Calibri"/>
          <w:color w:val="000000" w:themeColor="text1"/>
          <w:szCs w:val="28"/>
        </w:rPr>
        <w:t xml:space="preserve">внаслідок ускладнень, що виникли в результаті </w:t>
      </w:r>
      <w:r w:rsidR="00323DA9" w:rsidRPr="00EA77E3">
        <w:rPr>
          <w:rFonts w:eastAsia="Calibri"/>
          <w:color w:val="000000" w:themeColor="text1"/>
          <w:szCs w:val="28"/>
        </w:rPr>
        <w:lastRenderedPageBreak/>
        <w:t>передчасних полог</w:t>
      </w:r>
      <w:r>
        <w:rPr>
          <w:rFonts w:eastAsia="Calibri"/>
          <w:color w:val="000000" w:themeColor="text1"/>
          <w:szCs w:val="28"/>
        </w:rPr>
        <w:t>ів. Б</w:t>
      </w:r>
      <w:r w:rsidR="00323DA9" w:rsidRPr="00EA77E3">
        <w:rPr>
          <w:rFonts w:eastAsia="Calibri"/>
          <w:color w:val="000000" w:themeColor="text1"/>
          <w:szCs w:val="28"/>
        </w:rPr>
        <w:t>лизько 1 з 10 новонароджених народ</w:t>
      </w:r>
      <w:r>
        <w:rPr>
          <w:rFonts w:eastAsia="Calibri"/>
          <w:color w:val="000000" w:themeColor="text1"/>
          <w:szCs w:val="28"/>
        </w:rPr>
        <w:t>жується передчасно щороку, при цьому</w:t>
      </w:r>
      <w:r w:rsidR="00323DA9" w:rsidRPr="00EA77E3">
        <w:rPr>
          <w:rFonts w:eastAsia="Calibri"/>
          <w:color w:val="000000" w:themeColor="text1"/>
          <w:szCs w:val="28"/>
        </w:rPr>
        <w:t xml:space="preserve"> </w:t>
      </w:r>
      <w:r w:rsidR="00E0111E">
        <w:rPr>
          <w:rFonts w:eastAsia="Calibri"/>
          <w:color w:val="000000" w:themeColor="text1"/>
          <w:szCs w:val="28"/>
        </w:rPr>
        <w:t xml:space="preserve">існує </w:t>
      </w:r>
      <w:r w:rsidRPr="007B172A">
        <w:rPr>
          <w:rFonts w:eastAsia="Calibri"/>
          <w:color w:val="000000" w:themeColor="text1"/>
          <w:szCs w:val="28"/>
        </w:rPr>
        <w:t xml:space="preserve">розрив </w:t>
      </w:r>
      <w:r>
        <w:rPr>
          <w:rFonts w:eastAsia="Calibri"/>
          <w:color w:val="000000" w:themeColor="text1"/>
          <w:szCs w:val="28"/>
        </w:rPr>
        <w:t xml:space="preserve">в рівнях смертності дітей внаслідок передчасних пологів </w:t>
      </w:r>
      <w:r w:rsidRPr="007B172A">
        <w:rPr>
          <w:rFonts w:eastAsia="Calibri"/>
          <w:color w:val="000000" w:themeColor="text1"/>
          <w:szCs w:val="28"/>
        </w:rPr>
        <w:t>між країнами з високим і низьким рівнем доходу</w:t>
      </w:r>
      <w:r w:rsidR="00323DA9" w:rsidRPr="00EA77E3">
        <w:rPr>
          <w:rFonts w:eastAsia="Calibri"/>
          <w:color w:val="000000" w:themeColor="text1"/>
          <w:szCs w:val="28"/>
        </w:rPr>
        <w:t xml:space="preserve"> </w:t>
      </w:r>
      <w:r w:rsidR="0013389B">
        <w:rPr>
          <w:rFonts w:eastAsia="Calibri"/>
          <w:color w:val="000000" w:themeColor="text1"/>
          <w:szCs w:val="28"/>
        </w:rPr>
        <w:t>[79</w:t>
      </w:r>
      <w:r w:rsidR="000664BA" w:rsidRPr="000664BA">
        <w:rPr>
          <w:rFonts w:eastAsia="Calibri"/>
          <w:color w:val="000000" w:themeColor="text1"/>
          <w:szCs w:val="28"/>
        </w:rPr>
        <w:t>, 80</w:t>
      </w:r>
      <w:r w:rsidR="00323DA9" w:rsidRPr="00EA77E3">
        <w:rPr>
          <w:rFonts w:eastAsia="Calibri"/>
          <w:color w:val="000000" w:themeColor="text1"/>
          <w:szCs w:val="28"/>
        </w:rPr>
        <w:t xml:space="preserve">]. </w:t>
      </w:r>
      <w:r>
        <w:rPr>
          <w:rFonts w:eastAsia="Calibri"/>
          <w:color w:val="000000" w:themeColor="text1"/>
          <w:szCs w:val="28"/>
        </w:rPr>
        <w:t>Також</w:t>
      </w:r>
      <w:r w:rsidR="00E0111E">
        <w:rPr>
          <w:rFonts w:eastAsia="Calibri"/>
          <w:color w:val="000000" w:themeColor="text1"/>
          <w:szCs w:val="28"/>
        </w:rPr>
        <w:t xml:space="preserve"> </w:t>
      </w:r>
      <w:r>
        <w:rPr>
          <w:rFonts w:eastAsia="Calibri"/>
          <w:color w:val="000000" w:themeColor="text1"/>
          <w:szCs w:val="28"/>
        </w:rPr>
        <w:t>причин</w:t>
      </w:r>
      <w:r w:rsidR="00E0111E">
        <w:rPr>
          <w:rFonts w:eastAsia="Calibri"/>
          <w:color w:val="000000" w:themeColor="text1"/>
          <w:szCs w:val="28"/>
        </w:rPr>
        <w:t>ами</w:t>
      </w:r>
      <w:r>
        <w:rPr>
          <w:rFonts w:eastAsia="Calibri"/>
          <w:color w:val="000000" w:themeColor="text1"/>
          <w:szCs w:val="28"/>
        </w:rPr>
        <w:t xml:space="preserve"> смерті</w:t>
      </w:r>
      <w:r w:rsidR="00E0111E">
        <w:rPr>
          <w:rFonts w:eastAsia="Calibri"/>
          <w:color w:val="000000" w:themeColor="text1"/>
          <w:szCs w:val="28"/>
        </w:rPr>
        <w:t xml:space="preserve"> дітей є </w:t>
      </w:r>
      <w:r w:rsidR="00323DA9" w:rsidRPr="00EA77E3">
        <w:rPr>
          <w:rFonts w:eastAsia="Calibri"/>
          <w:color w:val="000000" w:themeColor="text1"/>
          <w:szCs w:val="28"/>
        </w:rPr>
        <w:t>енцефалопатія новонароджених внаслідок асфіксії і травм при народже</w:t>
      </w:r>
      <w:r>
        <w:rPr>
          <w:rFonts w:eastAsia="Calibri"/>
          <w:color w:val="000000" w:themeColor="text1"/>
          <w:szCs w:val="28"/>
        </w:rPr>
        <w:t>нні</w:t>
      </w:r>
      <w:r w:rsidR="00FF0B9D">
        <w:rPr>
          <w:rFonts w:eastAsia="Calibri"/>
          <w:color w:val="000000" w:themeColor="text1"/>
          <w:szCs w:val="28"/>
        </w:rPr>
        <w:t xml:space="preserve"> </w:t>
      </w:r>
      <w:r w:rsidR="00F0413E">
        <w:rPr>
          <w:rFonts w:eastAsia="Calibri"/>
          <w:color w:val="000000" w:themeColor="text1"/>
          <w:szCs w:val="28"/>
        </w:rPr>
        <w:t>[1</w:t>
      </w:r>
      <w:r w:rsidR="00F0413E" w:rsidRPr="00F0413E">
        <w:rPr>
          <w:rFonts w:eastAsia="Calibri"/>
          <w:color w:val="000000" w:themeColor="text1"/>
          <w:szCs w:val="28"/>
        </w:rPr>
        <w:t>53-155</w:t>
      </w:r>
      <w:r w:rsidR="00E0111E">
        <w:rPr>
          <w:rFonts w:eastAsia="Calibri"/>
          <w:color w:val="000000" w:themeColor="text1"/>
          <w:szCs w:val="28"/>
        </w:rPr>
        <w:t xml:space="preserve">], </w:t>
      </w:r>
      <w:r w:rsidR="00323DA9" w:rsidRPr="00EA77E3">
        <w:rPr>
          <w:rFonts w:eastAsia="Calibri"/>
          <w:color w:val="000000" w:themeColor="text1"/>
          <w:szCs w:val="28"/>
        </w:rPr>
        <w:t>інші неонатальні розлади, вроджені вади</w:t>
      </w:r>
      <w:r>
        <w:rPr>
          <w:rFonts w:eastAsia="Calibri"/>
          <w:color w:val="000000" w:themeColor="text1"/>
          <w:szCs w:val="28"/>
        </w:rPr>
        <w:t xml:space="preserve"> розвитку</w:t>
      </w:r>
      <w:r w:rsidR="00323DA9" w:rsidRPr="00EA77E3">
        <w:rPr>
          <w:rFonts w:eastAsia="Calibri"/>
          <w:color w:val="000000" w:themeColor="text1"/>
          <w:szCs w:val="28"/>
        </w:rPr>
        <w:t>, інфе</w:t>
      </w:r>
      <w:r w:rsidR="000074ED">
        <w:rPr>
          <w:rFonts w:eastAsia="Calibri"/>
          <w:color w:val="000000" w:themeColor="text1"/>
          <w:szCs w:val="28"/>
        </w:rPr>
        <w:t>кції нижніх дихальних шляхів [</w:t>
      </w:r>
      <w:r w:rsidR="000074ED" w:rsidRPr="000074ED">
        <w:rPr>
          <w:rFonts w:eastAsia="Calibri"/>
          <w:color w:val="000000" w:themeColor="text1"/>
          <w:szCs w:val="28"/>
        </w:rPr>
        <w:t>79</w:t>
      </w:r>
      <w:r w:rsidR="00323DA9" w:rsidRPr="00EA77E3">
        <w:rPr>
          <w:rFonts w:eastAsia="Calibri"/>
          <w:color w:val="000000" w:themeColor="text1"/>
          <w:szCs w:val="28"/>
        </w:rPr>
        <w:t xml:space="preserve">]. На даний час існує два способи зниження рівня </w:t>
      </w:r>
      <w:r w:rsidR="00E0111E">
        <w:rPr>
          <w:rFonts w:eastAsia="Calibri"/>
          <w:color w:val="000000" w:themeColor="text1"/>
          <w:szCs w:val="28"/>
        </w:rPr>
        <w:t>передчасної смертності: зменшення поширеності</w:t>
      </w:r>
      <w:r w:rsidR="00323DA9" w:rsidRPr="00EA77E3">
        <w:rPr>
          <w:rFonts w:eastAsia="Calibri"/>
          <w:color w:val="000000" w:themeColor="text1"/>
          <w:szCs w:val="28"/>
        </w:rPr>
        <w:t xml:space="preserve"> п</w:t>
      </w:r>
      <w:r w:rsidR="00E0111E">
        <w:rPr>
          <w:rFonts w:eastAsia="Calibri"/>
          <w:color w:val="000000" w:themeColor="text1"/>
          <w:szCs w:val="28"/>
        </w:rPr>
        <w:t>ередчасних пологів і забезпечення кращого</w:t>
      </w:r>
      <w:r w:rsidR="00323DA9" w:rsidRPr="00EA77E3">
        <w:rPr>
          <w:rFonts w:eastAsia="Calibri"/>
          <w:color w:val="000000" w:themeColor="text1"/>
          <w:szCs w:val="28"/>
        </w:rPr>
        <w:t xml:space="preserve"> до</w:t>
      </w:r>
      <w:r w:rsidR="008D19A6">
        <w:rPr>
          <w:rFonts w:eastAsia="Calibri"/>
          <w:color w:val="000000" w:themeColor="text1"/>
          <w:szCs w:val="28"/>
        </w:rPr>
        <w:t>гляд</w:t>
      </w:r>
      <w:r w:rsidR="00E0111E">
        <w:rPr>
          <w:rFonts w:eastAsia="Calibri"/>
          <w:color w:val="000000" w:themeColor="text1"/>
          <w:szCs w:val="28"/>
        </w:rPr>
        <w:t xml:space="preserve">у за </w:t>
      </w:r>
      <w:r w:rsidR="00E0111E">
        <w:rPr>
          <w:rFonts w:eastAsia="Calibri"/>
          <w:color w:val="000000" w:themeColor="text1"/>
          <w:szCs w:val="28"/>
          <w:lang w:val="ru-RU"/>
        </w:rPr>
        <w:t>передчасно народженими</w:t>
      </w:r>
      <w:r w:rsidR="008D19A6">
        <w:rPr>
          <w:rFonts w:eastAsia="Calibri"/>
          <w:color w:val="000000" w:themeColor="text1"/>
          <w:szCs w:val="28"/>
        </w:rPr>
        <w:t xml:space="preserve"> дітьми [</w:t>
      </w:r>
      <w:r w:rsidR="007419F3" w:rsidRPr="007419F3">
        <w:rPr>
          <w:rFonts w:eastAsia="Calibri"/>
          <w:color w:val="000000" w:themeColor="text1"/>
          <w:szCs w:val="28"/>
          <w:lang w:val="ru-RU"/>
        </w:rPr>
        <w:t xml:space="preserve">4, 12, </w:t>
      </w:r>
      <w:r w:rsidR="003C253A" w:rsidRPr="003C253A">
        <w:rPr>
          <w:rFonts w:eastAsia="Calibri"/>
          <w:color w:val="000000" w:themeColor="text1"/>
          <w:szCs w:val="28"/>
          <w:lang w:val="ru-RU"/>
        </w:rPr>
        <w:t xml:space="preserve">77, </w:t>
      </w:r>
      <w:r w:rsidR="008D19A6">
        <w:rPr>
          <w:rFonts w:eastAsia="Calibri"/>
          <w:color w:val="000000" w:themeColor="text1"/>
          <w:szCs w:val="28"/>
        </w:rPr>
        <w:t>1</w:t>
      </w:r>
      <w:r w:rsidR="008D19A6">
        <w:rPr>
          <w:rFonts w:eastAsia="Calibri"/>
          <w:color w:val="000000" w:themeColor="text1"/>
          <w:szCs w:val="28"/>
          <w:lang w:val="ru-RU"/>
        </w:rPr>
        <w:t>56</w:t>
      </w:r>
      <w:r w:rsidR="00323DA9" w:rsidRPr="00EA77E3">
        <w:rPr>
          <w:rFonts w:eastAsia="Calibri"/>
          <w:color w:val="000000" w:themeColor="text1"/>
          <w:szCs w:val="28"/>
        </w:rPr>
        <w:t>].</w:t>
      </w:r>
    </w:p>
    <w:p w:rsidR="00323DA9" w:rsidRPr="00EA77E3" w:rsidRDefault="00E0111E" w:rsidP="00721203">
      <w:pPr>
        <w:widowControl w:val="0"/>
        <w:ind w:firstLine="709"/>
        <w:rPr>
          <w:rFonts w:eastAsia="Calibri"/>
          <w:color w:val="000000" w:themeColor="text1"/>
          <w:szCs w:val="28"/>
        </w:rPr>
      </w:pPr>
      <w:r>
        <w:rPr>
          <w:rFonts w:eastAsia="Calibri"/>
          <w:color w:val="000000" w:themeColor="text1"/>
          <w:szCs w:val="28"/>
        </w:rPr>
        <w:t xml:space="preserve">Слід зазначити, що майже </w:t>
      </w:r>
      <w:r w:rsidR="00323DA9" w:rsidRPr="00EA77E3">
        <w:rPr>
          <w:rFonts w:eastAsia="Calibri"/>
          <w:color w:val="000000" w:themeColor="text1"/>
          <w:szCs w:val="28"/>
        </w:rPr>
        <w:t>70% передчасних полог</w:t>
      </w:r>
      <w:r>
        <w:rPr>
          <w:rFonts w:eastAsia="Calibri"/>
          <w:color w:val="000000" w:themeColor="text1"/>
          <w:szCs w:val="28"/>
        </w:rPr>
        <w:t>ів є спонтанними, при цьому</w:t>
      </w:r>
      <w:r w:rsidR="00323DA9" w:rsidRPr="00EA77E3">
        <w:rPr>
          <w:rFonts w:eastAsia="Calibri"/>
          <w:color w:val="000000" w:themeColor="text1"/>
          <w:szCs w:val="28"/>
        </w:rPr>
        <w:t xml:space="preserve"> в</w:t>
      </w:r>
      <w:r>
        <w:rPr>
          <w:rFonts w:eastAsia="Calibri"/>
          <w:color w:val="000000" w:themeColor="text1"/>
          <w:szCs w:val="28"/>
        </w:rPr>
        <w:t>ідносно мало втручань надійно оцінено</w:t>
      </w:r>
      <w:r w:rsidR="00323DA9" w:rsidRPr="00EA77E3">
        <w:rPr>
          <w:rFonts w:eastAsia="Calibri"/>
          <w:color w:val="000000" w:themeColor="text1"/>
          <w:szCs w:val="28"/>
        </w:rPr>
        <w:t xml:space="preserve"> на предмет їх ефективності щодо зниження показників передчасних пологів. Системний огляд літератури, проведений Кокранівської бібліотекою, виявив 4 в</w:t>
      </w:r>
      <w:r w:rsidR="007040AB">
        <w:rPr>
          <w:rFonts w:eastAsia="Calibri"/>
          <w:color w:val="000000" w:themeColor="text1"/>
          <w:szCs w:val="28"/>
        </w:rPr>
        <w:t xml:space="preserve">тручання, які </w:t>
      </w:r>
      <w:r w:rsidR="00323DA9" w:rsidRPr="00EA77E3">
        <w:rPr>
          <w:rFonts w:eastAsia="Calibri"/>
          <w:color w:val="000000" w:themeColor="text1"/>
          <w:szCs w:val="28"/>
        </w:rPr>
        <w:t>вплив</w:t>
      </w:r>
      <w:r w:rsidR="007040AB">
        <w:rPr>
          <w:rFonts w:eastAsia="Calibri"/>
          <w:color w:val="000000" w:themeColor="text1"/>
          <w:szCs w:val="28"/>
        </w:rPr>
        <w:t>ають</w:t>
      </w:r>
      <w:r w:rsidR="00323DA9" w:rsidRPr="00EA77E3">
        <w:rPr>
          <w:rFonts w:eastAsia="Calibri"/>
          <w:color w:val="000000" w:themeColor="text1"/>
          <w:szCs w:val="28"/>
        </w:rPr>
        <w:t xml:space="preserve"> на скор</w:t>
      </w:r>
      <w:r w:rsidR="007040AB">
        <w:rPr>
          <w:rFonts w:eastAsia="Calibri"/>
          <w:color w:val="000000" w:themeColor="text1"/>
          <w:szCs w:val="28"/>
        </w:rPr>
        <w:t xml:space="preserve">очення передчасних пологів: </w:t>
      </w:r>
      <w:r w:rsidR="00323DA9" w:rsidRPr="00EA77E3">
        <w:rPr>
          <w:rFonts w:eastAsia="Calibri"/>
          <w:color w:val="000000" w:themeColor="text1"/>
          <w:szCs w:val="28"/>
        </w:rPr>
        <w:t>надання регулярної акушерської допомоги під час вагітності, проведення скрині</w:t>
      </w:r>
      <w:r w:rsidR="007040AB">
        <w:rPr>
          <w:rFonts w:eastAsia="Calibri"/>
          <w:color w:val="000000" w:themeColor="text1"/>
          <w:szCs w:val="28"/>
        </w:rPr>
        <w:t>нгу на інфекції статевих шляхів, вживання добавки цинку,</w:t>
      </w:r>
      <w:r w:rsidR="00323DA9" w:rsidRPr="00EA77E3">
        <w:rPr>
          <w:rFonts w:eastAsia="Calibri"/>
          <w:color w:val="000000" w:themeColor="text1"/>
          <w:szCs w:val="28"/>
        </w:rPr>
        <w:t xml:space="preserve"> накладення шва на шийку матки (цервикальный серкляж) жінкам </w:t>
      </w:r>
      <w:r w:rsidR="006747FF">
        <w:rPr>
          <w:rFonts w:eastAsia="Calibri"/>
          <w:color w:val="000000" w:themeColor="text1"/>
          <w:szCs w:val="28"/>
        </w:rPr>
        <w:t>і</w:t>
      </w:r>
      <w:r w:rsidR="00323DA9" w:rsidRPr="00EA77E3">
        <w:rPr>
          <w:rFonts w:eastAsia="Calibri"/>
          <w:color w:val="000000" w:themeColor="text1"/>
          <w:szCs w:val="28"/>
        </w:rPr>
        <w:t>з високим ризиком передчасних пологів</w:t>
      </w:r>
      <w:r w:rsidR="007040AB">
        <w:rPr>
          <w:rFonts w:eastAsia="Calibri"/>
          <w:color w:val="000000" w:themeColor="text1"/>
          <w:szCs w:val="28"/>
        </w:rPr>
        <w:t xml:space="preserve"> </w:t>
      </w:r>
      <w:r w:rsidR="00323DA9" w:rsidRPr="00EA77E3">
        <w:rPr>
          <w:rFonts w:eastAsia="Calibri"/>
          <w:color w:val="000000" w:themeColor="text1"/>
          <w:szCs w:val="28"/>
        </w:rPr>
        <w:t>[</w:t>
      </w:r>
      <w:r w:rsidR="003C253A" w:rsidRPr="003C253A">
        <w:rPr>
          <w:rFonts w:eastAsia="Calibri"/>
          <w:color w:val="000000" w:themeColor="text1"/>
          <w:szCs w:val="28"/>
        </w:rPr>
        <w:t xml:space="preserve">77, </w:t>
      </w:r>
      <w:r w:rsidR="00A3054B">
        <w:rPr>
          <w:rFonts w:eastAsia="Calibri"/>
          <w:color w:val="000000" w:themeColor="text1"/>
          <w:szCs w:val="28"/>
        </w:rPr>
        <w:t>15</w:t>
      </w:r>
      <w:r w:rsidR="00A3054B" w:rsidRPr="00A3054B">
        <w:rPr>
          <w:rFonts w:eastAsia="Calibri"/>
          <w:color w:val="000000" w:themeColor="text1"/>
          <w:szCs w:val="28"/>
        </w:rPr>
        <w:t>7</w:t>
      </w:r>
      <w:r w:rsidR="005B4AA2">
        <w:rPr>
          <w:rFonts w:eastAsia="Calibri"/>
          <w:color w:val="000000" w:themeColor="text1"/>
          <w:szCs w:val="28"/>
        </w:rPr>
        <w:t>-</w:t>
      </w:r>
      <w:r w:rsidR="005B4AA2" w:rsidRPr="005B4AA2">
        <w:rPr>
          <w:rFonts w:eastAsia="Calibri"/>
          <w:color w:val="000000" w:themeColor="text1"/>
          <w:szCs w:val="28"/>
        </w:rPr>
        <w:t>165</w:t>
      </w:r>
      <w:r w:rsidR="00323DA9" w:rsidRPr="00EA77E3">
        <w:rPr>
          <w:rFonts w:eastAsia="Calibri"/>
          <w:color w:val="000000" w:themeColor="text1"/>
          <w:szCs w:val="28"/>
        </w:rPr>
        <w:t>].</w:t>
      </w:r>
    </w:p>
    <w:p w:rsidR="005E0DB5" w:rsidRDefault="00323DA9" w:rsidP="00721203">
      <w:pPr>
        <w:widowControl w:val="0"/>
        <w:ind w:firstLine="709"/>
        <w:rPr>
          <w:rFonts w:eastAsia="Calibri"/>
          <w:color w:val="000000" w:themeColor="text1"/>
          <w:szCs w:val="28"/>
        </w:rPr>
      </w:pPr>
      <w:r w:rsidRPr="00EA77E3">
        <w:rPr>
          <w:rFonts w:eastAsia="Calibri"/>
          <w:color w:val="000000" w:themeColor="text1"/>
          <w:szCs w:val="28"/>
        </w:rPr>
        <w:t>Важливу роль</w:t>
      </w:r>
      <w:r w:rsidR="00A82B6D">
        <w:rPr>
          <w:rFonts w:eastAsia="Calibri"/>
          <w:color w:val="000000" w:themeColor="text1"/>
          <w:szCs w:val="28"/>
        </w:rPr>
        <w:t xml:space="preserve"> в попередженні дитячої смертності</w:t>
      </w:r>
      <w:r w:rsidRPr="00EA77E3">
        <w:rPr>
          <w:rFonts w:eastAsia="Calibri"/>
          <w:color w:val="000000" w:themeColor="text1"/>
          <w:szCs w:val="28"/>
        </w:rPr>
        <w:t xml:space="preserve"> грає забезпечення догляду</w:t>
      </w:r>
      <w:r w:rsidR="00D52E4A">
        <w:rPr>
          <w:rFonts w:eastAsia="Calibri"/>
          <w:color w:val="000000" w:themeColor="text1"/>
          <w:szCs w:val="28"/>
        </w:rPr>
        <w:t xml:space="preserve"> та застосування доступних втручань</w:t>
      </w:r>
      <w:r w:rsidRPr="00EA77E3">
        <w:rPr>
          <w:rFonts w:eastAsia="Calibri"/>
          <w:color w:val="000000" w:themeColor="text1"/>
          <w:szCs w:val="28"/>
        </w:rPr>
        <w:t xml:space="preserve"> за </w:t>
      </w:r>
      <w:r w:rsidR="00864922">
        <w:rPr>
          <w:rFonts w:eastAsia="Calibri"/>
          <w:color w:val="000000" w:themeColor="text1"/>
          <w:szCs w:val="28"/>
        </w:rPr>
        <w:t>передчасно народженими</w:t>
      </w:r>
      <w:r w:rsidRPr="00EA77E3">
        <w:rPr>
          <w:rFonts w:eastAsia="Calibri"/>
          <w:color w:val="000000" w:themeColor="text1"/>
          <w:szCs w:val="28"/>
        </w:rPr>
        <w:t xml:space="preserve"> новонародженими. </w:t>
      </w:r>
      <w:r w:rsidR="00D52E4A">
        <w:rPr>
          <w:rFonts w:eastAsia="Calibri"/>
          <w:color w:val="000000" w:themeColor="text1"/>
          <w:szCs w:val="28"/>
        </w:rPr>
        <w:t>85%</w:t>
      </w:r>
      <w:r w:rsidRPr="00EA77E3">
        <w:rPr>
          <w:rFonts w:eastAsia="Calibri"/>
          <w:color w:val="000000" w:themeColor="text1"/>
          <w:szCs w:val="28"/>
        </w:rPr>
        <w:t xml:space="preserve"> передчасних пологів припадає на cередній або пізній передчасний період (визначається як народження між 32 і менш ніж 37 тижнями </w:t>
      </w:r>
      <w:r w:rsidR="00A82B6D">
        <w:rPr>
          <w:rFonts w:eastAsia="Calibri"/>
          <w:color w:val="000000" w:themeColor="text1"/>
          <w:szCs w:val="28"/>
        </w:rPr>
        <w:t xml:space="preserve">вагітності). </w:t>
      </w:r>
      <w:r w:rsidRPr="00EA77E3">
        <w:rPr>
          <w:rFonts w:eastAsia="Calibri"/>
          <w:color w:val="000000" w:themeColor="text1"/>
          <w:szCs w:val="28"/>
        </w:rPr>
        <w:t xml:space="preserve">Дослідження, опубліковане в 2014 році в журналі The Lancet, показало, що якщо до 2025 року доступні втручання досягнуть високих показників охоплення </w:t>
      </w:r>
      <w:r w:rsidR="00134CA8">
        <w:rPr>
          <w:rFonts w:eastAsia="Calibri"/>
          <w:color w:val="000000" w:themeColor="text1"/>
          <w:szCs w:val="28"/>
        </w:rPr>
        <w:t xml:space="preserve">(90-99%), </w:t>
      </w:r>
      <w:r w:rsidR="00D52E4A">
        <w:rPr>
          <w:rFonts w:eastAsia="Calibri"/>
          <w:color w:val="000000" w:themeColor="text1"/>
          <w:szCs w:val="28"/>
        </w:rPr>
        <w:t>смертність передчасно народжених дітей</w:t>
      </w:r>
      <w:r w:rsidRPr="00EA77E3">
        <w:rPr>
          <w:rFonts w:eastAsia="Calibri"/>
          <w:color w:val="000000" w:themeColor="text1"/>
          <w:szCs w:val="28"/>
        </w:rPr>
        <w:t xml:space="preserve"> </w:t>
      </w:r>
      <w:r w:rsidR="00134CA8">
        <w:rPr>
          <w:rFonts w:eastAsia="Calibri"/>
          <w:color w:val="000000" w:themeColor="text1"/>
          <w:szCs w:val="28"/>
        </w:rPr>
        <w:t xml:space="preserve">скоротиться </w:t>
      </w:r>
      <w:r w:rsidRPr="00EA77E3">
        <w:rPr>
          <w:rFonts w:eastAsia="Calibri"/>
          <w:color w:val="000000" w:themeColor="text1"/>
          <w:szCs w:val="28"/>
        </w:rPr>
        <w:t>на 58% в порівнянні з їх рівнями в 2012 році</w:t>
      </w:r>
      <w:r w:rsidR="005E0DB5">
        <w:rPr>
          <w:rFonts w:eastAsia="Calibri"/>
          <w:color w:val="000000" w:themeColor="text1"/>
          <w:szCs w:val="28"/>
        </w:rPr>
        <w:t>. Серед найпростіших втручань</w:t>
      </w:r>
      <w:r w:rsidRPr="00EA77E3">
        <w:rPr>
          <w:rFonts w:eastAsia="Calibri"/>
          <w:color w:val="000000" w:themeColor="text1"/>
          <w:szCs w:val="28"/>
        </w:rPr>
        <w:t xml:space="preserve"> – догляд в лікарні і мет</w:t>
      </w:r>
      <w:r w:rsidR="00134CA8">
        <w:rPr>
          <w:rFonts w:eastAsia="Calibri"/>
          <w:color w:val="000000" w:themeColor="text1"/>
          <w:szCs w:val="28"/>
        </w:rPr>
        <w:t>од кенгуру здатні попередити</w:t>
      </w:r>
      <w:r w:rsidRPr="00EA77E3">
        <w:rPr>
          <w:rFonts w:eastAsia="Calibri"/>
          <w:color w:val="000000" w:themeColor="text1"/>
          <w:szCs w:val="28"/>
        </w:rPr>
        <w:t xml:space="preserve"> 50% смертей.</w:t>
      </w:r>
      <w:r w:rsidR="005E0DB5" w:rsidRPr="005E0DB5">
        <w:rPr>
          <w:rFonts w:eastAsia="Calibri"/>
          <w:color w:val="000000" w:themeColor="text1"/>
          <w:szCs w:val="28"/>
        </w:rPr>
        <w:t xml:space="preserve"> Догляд методом кенгуру передбачає раннє годування груддю </w:t>
      </w:r>
      <w:r w:rsidR="005E0DB5">
        <w:rPr>
          <w:rFonts w:eastAsia="Calibri"/>
          <w:color w:val="000000" w:themeColor="text1"/>
          <w:szCs w:val="28"/>
        </w:rPr>
        <w:t>та</w:t>
      </w:r>
      <w:r w:rsidR="005E0DB5" w:rsidRPr="005E0DB5">
        <w:rPr>
          <w:rFonts w:eastAsia="Calibri"/>
          <w:color w:val="000000" w:themeColor="text1"/>
          <w:szCs w:val="28"/>
        </w:rPr>
        <w:t xml:space="preserve"> 24-годинний контакт шкіра-до-шкіри матері і новонародженого,</w:t>
      </w:r>
      <w:r w:rsidR="005E0DB5">
        <w:rPr>
          <w:rFonts w:eastAsia="Calibri"/>
          <w:color w:val="000000" w:themeColor="text1"/>
          <w:szCs w:val="28"/>
        </w:rPr>
        <w:t xml:space="preserve"> і </w:t>
      </w:r>
      <w:r w:rsidR="005E0DB5" w:rsidRPr="005E0DB5">
        <w:rPr>
          <w:rFonts w:eastAsia="Calibri"/>
          <w:color w:val="000000" w:themeColor="text1"/>
          <w:szCs w:val="28"/>
        </w:rPr>
        <w:t>може знизити ризик смерті</w:t>
      </w:r>
      <w:r w:rsidR="005A6CBD">
        <w:rPr>
          <w:rFonts w:eastAsia="Calibri"/>
          <w:color w:val="000000" w:themeColor="text1"/>
          <w:szCs w:val="28"/>
        </w:rPr>
        <w:t xml:space="preserve"> новонароджених до</w:t>
      </w:r>
      <w:r w:rsidR="005E0DB5">
        <w:rPr>
          <w:rFonts w:eastAsia="Calibri"/>
          <w:color w:val="000000" w:themeColor="text1"/>
          <w:szCs w:val="28"/>
        </w:rPr>
        <w:t xml:space="preserve"> 51%. </w:t>
      </w:r>
      <w:r w:rsidR="00134CA8">
        <w:rPr>
          <w:rFonts w:eastAsia="Calibri"/>
          <w:color w:val="000000" w:themeColor="text1"/>
          <w:szCs w:val="28"/>
        </w:rPr>
        <w:t>Також, з</w:t>
      </w:r>
      <w:r w:rsidRPr="00EA77E3">
        <w:rPr>
          <w:rFonts w:eastAsia="Calibri"/>
          <w:color w:val="000000" w:themeColor="text1"/>
          <w:szCs w:val="28"/>
        </w:rPr>
        <w:t>абезпечуючи ма</w:t>
      </w:r>
      <w:r w:rsidR="005E0DB5">
        <w:rPr>
          <w:rFonts w:eastAsia="Calibri"/>
          <w:color w:val="000000" w:themeColor="text1"/>
          <w:szCs w:val="28"/>
        </w:rPr>
        <w:t>терів антенатальними стероїдами</w:t>
      </w:r>
      <w:r w:rsidR="00134CA8">
        <w:rPr>
          <w:rFonts w:eastAsia="Calibri"/>
          <w:color w:val="000000" w:themeColor="text1"/>
          <w:szCs w:val="28"/>
        </w:rPr>
        <w:t xml:space="preserve">, </w:t>
      </w:r>
      <w:r w:rsidRPr="00EA77E3">
        <w:rPr>
          <w:rFonts w:eastAsia="Calibri"/>
          <w:color w:val="000000" w:themeColor="text1"/>
          <w:szCs w:val="28"/>
        </w:rPr>
        <w:t>можна досягти скорочення смертно</w:t>
      </w:r>
      <w:r w:rsidR="00113119">
        <w:rPr>
          <w:rFonts w:eastAsia="Calibri"/>
          <w:color w:val="000000" w:themeColor="text1"/>
          <w:szCs w:val="28"/>
        </w:rPr>
        <w:t>сті новонароджених ще на 31% [</w:t>
      </w:r>
      <w:r w:rsidR="00113119">
        <w:rPr>
          <w:rFonts w:eastAsia="Calibri"/>
          <w:color w:val="000000" w:themeColor="text1"/>
          <w:szCs w:val="28"/>
          <w:lang w:val="ru-RU"/>
        </w:rPr>
        <w:t>68</w:t>
      </w:r>
      <w:r w:rsidR="00113119">
        <w:rPr>
          <w:rFonts w:eastAsia="Calibri"/>
          <w:color w:val="000000" w:themeColor="text1"/>
          <w:szCs w:val="28"/>
        </w:rPr>
        <w:t xml:space="preserve">, </w:t>
      </w:r>
      <w:r w:rsidR="00113119">
        <w:rPr>
          <w:rFonts w:eastAsia="Calibri"/>
          <w:color w:val="000000" w:themeColor="text1"/>
          <w:szCs w:val="28"/>
          <w:lang w:val="ru-RU"/>
        </w:rPr>
        <w:t>81</w:t>
      </w:r>
      <w:r w:rsidR="005E0DB5">
        <w:rPr>
          <w:rFonts w:eastAsia="Calibri"/>
          <w:color w:val="000000" w:themeColor="text1"/>
          <w:szCs w:val="28"/>
          <w:lang w:val="ru-RU"/>
        </w:rPr>
        <w:t>, 166, 167</w:t>
      </w:r>
      <w:r w:rsidRPr="00EA77E3">
        <w:rPr>
          <w:rFonts w:eastAsia="Calibri"/>
          <w:color w:val="000000" w:themeColor="text1"/>
          <w:szCs w:val="28"/>
        </w:rPr>
        <w:t xml:space="preserve">]. </w:t>
      </w:r>
    </w:p>
    <w:p w:rsidR="00323DA9" w:rsidRPr="00EA77E3" w:rsidRDefault="00323DA9" w:rsidP="00D82E85">
      <w:pPr>
        <w:widowControl w:val="0"/>
        <w:ind w:firstLine="709"/>
        <w:rPr>
          <w:rFonts w:eastAsia="Calibri"/>
          <w:color w:val="000000" w:themeColor="text1"/>
          <w:szCs w:val="28"/>
        </w:rPr>
      </w:pPr>
      <w:r w:rsidRPr="00EA77E3">
        <w:rPr>
          <w:rFonts w:eastAsia="Calibri"/>
          <w:color w:val="000000" w:themeColor="text1"/>
          <w:szCs w:val="28"/>
        </w:rPr>
        <w:lastRenderedPageBreak/>
        <w:t>За глобальними показниками смертності серед немовлят з</w:t>
      </w:r>
      <w:r w:rsidR="00AE27B2">
        <w:rPr>
          <w:rFonts w:eastAsia="Calibri"/>
          <w:color w:val="000000" w:themeColor="text1"/>
          <w:szCs w:val="28"/>
        </w:rPr>
        <w:t>а різними</w:t>
      </w:r>
      <w:r w:rsidRPr="00EA77E3">
        <w:rPr>
          <w:rFonts w:eastAsia="Calibri"/>
          <w:color w:val="000000" w:themeColor="text1"/>
          <w:szCs w:val="28"/>
        </w:rPr>
        <w:t xml:space="preserve"> причин</w:t>
      </w:r>
      <w:r w:rsidR="00AE27B2">
        <w:rPr>
          <w:rFonts w:eastAsia="Calibri"/>
          <w:color w:val="000000" w:themeColor="text1"/>
          <w:szCs w:val="28"/>
        </w:rPr>
        <w:t>ами</w:t>
      </w:r>
      <w:r w:rsidR="008016E4">
        <w:rPr>
          <w:rFonts w:eastAsia="Calibri"/>
          <w:color w:val="000000" w:themeColor="text1"/>
          <w:szCs w:val="28"/>
        </w:rPr>
        <w:t xml:space="preserve"> у 2018</w:t>
      </w:r>
      <w:r w:rsidRPr="00EA77E3">
        <w:rPr>
          <w:rFonts w:eastAsia="Calibri"/>
          <w:color w:val="000000" w:themeColor="text1"/>
          <w:szCs w:val="28"/>
        </w:rPr>
        <w:t xml:space="preserve"> році, отриманими з</w:t>
      </w:r>
      <w:r w:rsidR="00AE27B2">
        <w:rPr>
          <w:rFonts w:eastAsia="Calibri"/>
          <w:color w:val="000000" w:themeColor="text1"/>
          <w:szCs w:val="28"/>
        </w:rPr>
        <w:t>а результатами</w:t>
      </w:r>
      <w:r w:rsidRPr="00EA77E3">
        <w:rPr>
          <w:rFonts w:eastAsia="Calibri"/>
          <w:color w:val="000000" w:themeColor="text1"/>
          <w:szCs w:val="28"/>
        </w:rPr>
        <w:t xml:space="preserve"> дослідження IHME (Institute for Health Me</w:t>
      </w:r>
      <w:r w:rsidR="00AE27B2">
        <w:rPr>
          <w:rFonts w:eastAsia="Calibri"/>
          <w:color w:val="000000" w:themeColor="text1"/>
          <w:szCs w:val="28"/>
        </w:rPr>
        <w:t>trics and Evaluation) «Глобальний</w:t>
      </w:r>
      <w:r w:rsidRPr="00EA77E3">
        <w:rPr>
          <w:rFonts w:eastAsia="Calibri"/>
          <w:color w:val="000000" w:themeColor="text1"/>
          <w:szCs w:val="28"/>
        </w:rPr>
        <w:t xml:space="preserve"> тягар хвороб», рівні смертності серед хлопчиків за всіма основними причи</w:t>
      </w:r>
      <w:r w:rsidR="00AE27B2">
        <w:rPr>
          <w:rFonts w:eastAsia="Calibri"/>
          <w:color w:val="000000" w:themeColor="text1"/>
          <w:szCs w:val="28"/>
        </w:rPr>
        <w:t>нами смерті вищі ніж у дівчаток. Дані</w:t>
      </w:r>
      <w:r w:rsidRPr="00EA77E3">
        <w:rPr>
          <w:rFonts w:eastAsia="Calibri"/>
          <w:color w:val="000000" w:themeColor="text1"/>
          <w:szCs w:val="28"/>
        </w:rPr>
        <w:t xml:space="preserve"> статеві відмінност</w:t>
      </w:r>
      <w:r w:rsidR="004E64E5">
        <w:rPr>
          <w:rFonts w:eastAsia="Calibri"/>
          <w:color w:val="000000" w:themeColor="text1"/>
          <w:szCs w:val="28"/>
        </w:rPr>
        <w:t xml:space="preserve">і </w:t>
      </w:r>
      <w:r w:rsidR="00DA4571">
        <w:rPr>
          <w:rFonts w:eastAsia="Calibri"/>
          <w:color w:val="000000" w:themeColor="text1"/>
          <w:szCs w:val="28"/>
        </w:rPr>
        <w:t>були за</w:t>
      </w:r>
      <w:r w:rsidR="00DA4571" w:rsidRPr="00E526A3">
        <w:rPr>
          <w:rFonts w:eastAsia="Calibri"/>
          <w:color w:val="000000" w:themeColor="text1"/>
          <w:szCs w:val="28"/>
        </w:rPr>
        <w:t>фіксовано</w:t>
      </w:r>
      <w:r w:rsidRPr="00EA77E3">
        <w:rPr>
          <w:rFonts w:eastAsia="Calibri"/>
          <w:color w:val="000000" w:themeColor="text1"/>
          <w:szCs w:val="28"/>
        </w:rPr>
        <w:t xml:space="preserve"> </w:t>
      </w:r>
      <w:r w:rsidR="008016E4">
        <w:rPr>
          <w:rFonts w:eastAsia="Calibri"/>
          <w:color w:val="000000" w:themeColor="text1"/>
          <w:szCs w:val="28"/>
        </w:rPr>
        <w:t xml:space="preserve">ще </w:t>
      </w:r>
      <w:r w:rsidRPr="00EA77E3">
        <w:rPr>
          <w:rFonts w:eastAsia="Calibri"/>
          <w:color w:val="000000" w:themeColor="text1"/>
          <w:szCs w:val="28"/>
        </w:rPr>
        <w:t>майже століття тому. При цьому є кілька причин</w:t>
      </w:r>
      <w:r w:rsidR="004E64E5" w:rsidRPr="004E64E5">
        <w:rPr>
          <w:rFonts w:eastAsia="Calibri"/>
          <w:color w:val="000000" w:themeColor="text1"/>
          <w:szCs w:val="28"/>
        </w:rPr>
        <w:t xml:space="preserve"> за якими рівень смертності </w:t>
      </w:r>
      <w:r w:rsidR="004E64E5">
        <w:rPr>
          <w:rFonts w:eastAsia="Calibri"/>
          <w:color w:val="000000" w:themeColor="text1"/>
          <w:szCs w:val="28"/>
        </w:rPr>
        <w:t>дівчаток вищий ніж у хлопчиків</w:t>
      </w:r>
      <w:r w:rsidRPr="00EA77E3">
        <w:rPr>
          <w:rFonts w:eastAsia="Calibri"/>
          <w:color w:val="000000" w:themeColor="text1"/>
          <w:szCs w:val="28"/>
        </w:rPr>
        <w:t xml:space="preserve">  </w:t>
      </w:r>
      <w:r w:rsidR="004E64E5">
        <w:rPr>
          <w:rFonts w:eastAsia="Calibri"/>
          <w:color w:val="000000" w:themeColor="text1"/>
          <w:szCs w:val="28"/>
        </w:rPr>
        <w:t>(</w:t>
      </w:r>
      <w:r w:rsidRPr="00EA77E3">
        <w:rPr>
          <w:rFonts w:eastAsia="Calibri"/>
          <w:color w:val="000000" w:themeColor="text1"/>
          <w:szCs w:val="28"/>
        </w:rPr>
        <w:t>ВІЛ/СНІД, дефіцит поживних речовин, коклюш та ін.</w:t>
      </w:r>
      <w:r w:rsidR="004E64E5">
        <w:rPr>
          <w:rFonts w:eastAsia="Calibri"/>
          <w:color w:val="000000" w:themeColor="text1"/>
          <w:szCs w:val="28"/>
        </w:rPr>
        <w:t>)</w:t>
      </w:r>
      <w:r w:rsidRPr="00EA77E3">
        <w:rPr>
          <w:rFonts w:eastAsia="Calibri"/>
          <w:color w:val="000000" w:themeColor="text1"/>
          <w:szCs w:val="28"/>
        </w:rPr>
        <w:t>, але в ці</w:t>
      </w:r>
      <w:r w:rsidR="002E3F8D">
        <w:rPr>
          <w:rFonts w:eastAsia="Calibri"/>
          <w:color w:val="000000" w:themeColor="text1"/>
          <w:szCs w:val="28"/>
        </w:rPr>
        <w:t>лому хлопчики частіше вмирають у</w:t>
      </w:r>
      <w:r w:rsidRPr="00EA77E3">
        <w:rPr>
          <w:rFonts w:eastAsia="Calibri"/>
          <w:color w:val="000000" w:themeColor="text1"/>
          <w:szCs w:val="28"/>
        </w:rPr>
        <w:t xml:space="preserve"> д</w:t>
      </w:r>
      <w:r w:rsidR="004E64E5">
        <w:rPr>
          <w:rFonts w:eastAsia="Calibri"/>
          <w:color w:val="000000" w:themeColor="text1"/>
          <w:szCs w:val="28"/>
        </w:rPr>
        <w:t xml:space="preserve">итинстві </w:t>
      </w:r>
      <w:r w:rsidR="00CB7AF5">
        <w:rPr>
          <w:rFonts w:eastAsia="Calibri"/>
          <w:color w:val="000000" w:themeColor="text1"/>
          <w:szCs w:val="28"/>
        </w:rPr>
        <w:t>[</w:t>
      </w:r>
      <w:r w:rsidR="00CB7AF5" w:rsidRPr="00CB7AF5">
        <w:rPr>
          <w:rFonts w:eastAsia="Calibri"/>
          <w:color w:val="000000" w:themeColor="text1"/>
          <w:szCs w:val="28"/>
        </w:rPr>
        <w:t>168, 169</w:t>
      </w:r>
      <w:r w:rsidR="00CC378C">
        <w:rPr>
          <w:rFonts w:eastAsia="Calibri"/>
          <w:color w:val="000000" w:themeColor="text1"/>
          <w:szCs w:val="28"/>
        </w:rPr>
        <w:t xml:space="preserve">]. У хлопчиків </w:t>
      </w:r>
      <w:r w:rsidRPr="00EA77E3">
        <w:rPr>
          <w:rFonts w:eastAsia="Calibri"/>
          <w:color w:val="000000" w:themeColor="text1"/>
          <w:szCs w:val="28"/>
        </w:rPr>
        <w:t xml:space="preserve">підвищений ризик </w:t>
      </w:r>
      <w:r w:rsidR="00CC378C">
        <w:rPr>
          <w:rFonts w:eastAsia="Calibri"/>
          <w:color w:val="000000" w:themeColor="text1"/>
          <w:szCs w:val="28"/>
        </w:rPr>
        <w:t xml:space="preserve">виникнення </w:t>
      </w:r>
      <w:r w:rsidRPr="00EA77E3">
        <w:rPr>
          <w:rFonts w:eastAsia="Calibri"/>
          <w:color w:val="000000" w:themeColor="text1"/>
          <w:szCs w:val="28"/>
        </w:rPr>
        <w:t>ускладнень</w:t>
      </w:r>
      <w:r w:rsidR="00CC378C">
        <w:rPr>
          <w:rFonts w:eastAsia="Calibri"/>
          <w:color w:val="000000" w:themeColor="text1"/>
          <w:szCs w:val="28"/>
        </w:rPr>
        <w:t xml:space="preserve"> </w:t>
      </w:r>
      <w:r w:rsidR="00CC378C" w:rsidRPr="00CC378C">
        <w:rPr>
          <w:rFonts w:eastAsia="Calibri"/>
          <w:color w:val="000000" w:themeColor="text1"/>
          <w:szCs w:val="28"/>
        </w:rPr>
        <w:t>в перші кілька днів життя</w:t>
      </w:r>
      <w:r w:rsidR="00CC378C">
        <w:rPr>
          <w:rFonts w:eastAsia="Calibri"/>
          <w:color w:val="000000" w:themeColor="text1"/>
          <w:szCs w:val="28"/>
        </w:rPr>
        <w:t xml:space="preserve"> (</w:t>
      </w:r>
      <w:r w:rsidR="00CC378C" w:rsidRPr="00CC378C">
        <w:rPr>
          <w:rFonts w:eastAsia="Calibri"/>
          <w:color w:val="000000" w:themeColor="text1"/>
          <w:szCs w:val="28"/>
        </w:rPr>
        <w:t>передчасні пологи, асфіксія, вроджені вади і аномалії серця</w:t>
      </w:r>
      <w:r w:rsidR="00CC378C">
        <w:rPr>
          <w:rFonts w:eastAsia="Calibri"/>
          <w:color w:val="000000" w:themeColor="text1"/>
          <w:szCs w:val="28"/>
        </w:rPr>
        <w:t xml:space="preserve">) </w:t>
      </w:r>
      <w:r w:rsidR="00204B2F">
        <w:rPr>
          <w:rFonts w:eastAsia="Calibri"/>
          <w:color w:val="000000" w:themeColor="text1"/>
          <w:szCs w:val="28"/>
        </w:rPr>
        <w:t>та</w:t>
      </w:r>
      <w:r w:rsidRPr="00EA77E3">
        <w:rPr>
          <w:rFonts w:eastAsia="Calibri"/>
          <w:color w:val="000000" w:themeColor="text1"/>
          <w:szCs w:val="28"/>
        </w:rPr>
        <w:t xml:space="preserve"> </w:t>
      </w:r>
      <w:r w:rsidR="00CC378C">
        <w:rPr>
          <w:rFonts w:eastAsia="Calibri"/>
          <w:color w:val="000000" w:themeColor="text1"/>
          <w:szCs w:val="28"/>
        </w:rPr>
        <w:t xml:space="preserve">внаслідок </w:t>
      </w:r>
      <w:r w:rsidRPr="00EA77E3">
        <w:rPr>
          <w:rFonts w:eastAsia="Calibri"/>
          <w:color w:val="000000" w:themeColor="text1"/>
          <w:szCs w:val="28"/>
        </w:rPr>
        <w:t>інфекційних захв</w:t>
      </w:r>
      <w:r w:rsidR="00CC378C">
        <w:rPr>
          <w:rFonts w:eastAsia="Calibri"/>
          <w:color w:val="000000" w:themeColor="text1"/>
          <w:szCs w:val="28"/>
        </w:rPr>
        <w:t>орювань</w:t>
      </w:r>
      <w:r w:rsidR="00E40B5B">
        <w:rPr>
          <w:rFonts w:eastAsia="Calibri"/>
          <w:color w:val="000000" w:themeColor="text1"/>
          <w:szCs w:val="28"/>
        </w:rPr>
        <w:t xml:space="preserve"> [1</w:t>
      </w:r>
      <w:r w:rsidR="00E40B5B" w:rsidRPr="00E40B5B">
        <w:rPr>
          <w:rFonts w:eastAsia="Calibri"/>
          <w:color w:val="000000" w:themeColor="text1"/>
          <w:szCs w:val="28"/>
        </w:rPr>
        <w:t>70</w:t>
      </w:r>
      <w:r w:rsidRPr="00EA77E3">
        <w:rPr>
          <w:rFonts w:eastAsia="Calibri"/>
          <w:color w:val="000000" w:themeColor="text1"/>
          <w:szCs w:val="28"/>
        </w:rPr>
        <w:t xml:space="preserve">]. </w:t>
      </w:r>
      <w:r w:rsidR="003E7F52">
        <w:rPr>
          <w:rFonts w:eastAsia="Calibri"/>
          <w:color w:val="000000" w:themeColor="text1"/>
          <w:szCs w:val="28"/>
        </w:rPr>
        <w:t xml:space="preserve"> Також, х</w:t>
      </w:r>
      <w:r w:rsidRPr="00EA77E3">
        <w:rPr>
          <w:rFonts w:eastAsia="Calibri"/>
          <w:color w:val="000000" w:themeColor="text1"/>
          <w:szCs w:val="28"/>
        </w:rPr>
        <w:t>лопчики, як правило, мають більш</w:t>
      </w:r>
      <w:r w:rsidR="00204B2F">
        <w:rPr>
          <w:rFonts w:eastAsia="Calibri"/>
          <w:color w:val="000000" w:themeColor="text1"/>
          <w:szCs w:val="28"/>
        </w:rPr>
        <w:t xml:space="preserve">у </w:t>
      </w:r>
      <w:r w:rsidRPr="00EA77E3">
        <w:rPr>
          <w:rFonts w:eastAsia="Calibri"/>
          <w:color w:val="000000" w:themeColor="text1"/>
          <w:szCs w:val="28"/>
        </w:rPr>
        <w:t>вагу при на</w:t>
      </w:r>
      <w:r w:rsidR="00204B2F">
        <w:rPr>
          <w:rFonts w:eastAsia="Calibri"/>
          <w:color w:val="000000" w:themeColor="text1"/>
          <w:szCs w:val="28"/>
        </w:rPr>
        <w:t xml:space="preserve">родженні, ніж дівчатка, що збільшує ризик </w:t>
      </w:r>
      <w:r w:rsidR="00837956">
        <w:rPr>
          <w:rFonts w:eastAsia="Calibri"/>
          <w:color w:val="000000" w:themeColor="text1"/>
          <w:szCs w:val="28"/>
        </w:rPr>
        <w:t xml:space="preserve">їх </w:t>
      </w:r>
      <w:r w:rsidR="00204B2F">
        <w:rPr>
          <w:rFonts w:eastAsia="Calibri"/>
          <w:color w:val="000000" w:themeColor="text1"/>
          <w:szCs w:val="28"/>
        </w:rPr>
        <w:t xml:space="preserve">народження </w:t>
      </w:r>
      <w:r w:rsidRPr="00EA77E3">
        <w:rPr>
          <w:rFonts w:eastAsia="Calibri"/>
          <w:color w:val="000000" w:themeColor="text1"/>
          <w:szCs w:val="28"/>
        </w:rPr>
        <w:t>до закінчення терміну вагітн</w:t>
      </w:r>
      <w:r w:rsidR="00204B2F">
        <w:rPr>
          <w:rFonts w:eastAsia="Calibri"/>
          <w:color w:val="000000" w:themeColor="text1"/>
          <w:szCs w:val="28"/>
        </w:rPr>
        <w:t>ості та</w:t>
      </w:r>
      <w:r w:rsidR="00D86F13">
        <w:rPr>
          <w:rFonts w:eastAsia="Calibri"/>
          <w:color w:val="000000" w:themeColor="text1"/>
          <w:szCs w:val="28"/>
        </w:rPr>
        <w:t xml:space="preserve"> </w:t>
      </w:r>
      <w:r w:rsidR="00204B2F">
        <w:rPr>
          <w:rFonts w:eastAsia="Calibri"/>
          <w:color w:val="000000" w:themeColor="text1"/>
          <w:szCs w:val="28"/>
        </w:rPr>
        <w:t>ризик смерті</w:t>
      </w:r>
      <w:r w:rsidRPr="00EA77E3">
        <w:rPr>
          <w:rFonts w:eastAsia="Calibri"/>
          <w:color w:val="000000" w:themeColor="text1"/>
          <w:szCs w:val="28"/>
        </w:rPr>
        <w:t xml:space="preserve"> внаслідок передчасних пологів. </w:t>
      </w:r>
      <w:r w:rsidR="00E84915">
        <w:rPr>
          <w:rFonts w:eastAsia="Calibri"/>
          <w:color w:val="000000" w:themeColor="text1"/>
          <w:szCs w:val="28"/>
        </w:rPr>
        <w:t>Слід зазначити, що</w:t>
      </w:r>
      <w:r w:rsidRPr="00EA77E3">
        <w:rPr>
          <w:rFonts w:eastAsia="Calibri"/>
          <w:color w:val="000000" w:themeColor="text1"/>
          <w:szCs w:val="28"/>
        </w:rPr>
        <w:t xml:space="preserve"> хлопчики </w:t>
      </w:r>
      <w:r w:rsidR="00E84915">
        <w:rPr>
          <w:rFonts w:eastAsia="Calibri"/>
          <w:color w:val="000000" w:themeColor="text1"/>
          <w:szCs w:val="28"/>
        </w:rPr>
        <w:t>при народженні</w:t>
      </w:r>
      <w:r w:rsidR="009302A2" w:rsidRPr="009302A2">
        <w:rPr>
          <w:rFonts w:eastAsia="Calibri"/>
          <w:color w:val="000000" w:themeColor="text1"/>
          <w:szCs w:val="28"/>
        </w:rPr>
        <w:t xml:space="preserve"> менш фізіологічно зрілі</w:t>
      </w:r>
      <w:r w:rsidR="00E84915">
        <w:rPr>
          <w:rFonts w:eastAsia="Calibri"/>
          <w:color w:val="000000" w:themeColor="text1"/>
          <w:szCs w:val="28"/>
        </w:rPr>
        <w:t xml:space="preserve">, тому </w:t>
      </w:r>
      <w:r w:rsidRPr="00EA77E3">
        <w:rPr>
          <w:rFonts w:eastAsia="Calibri"/>
          <w:color w:val="000000" w:themeColor="text1"/>
          <w:szCs w:val="28"/>
        </w:rPr>
        <w:t xml:space="preserve">вони </w:t>
      </w:r>
      <w:r w:rsidR="00E84915">
        <w:rPr>
          <w:rFonts w:eastAsia="Calibri"/>
          <w:color w:val="000000" w:themeColor="text1"/>
          <w:szCs w:val="28"/>
        </w:rPr>
        <w:t>схильні до</w:t>
      </w:r>
      <w:r w:rsidRPr="00EA77E3">
        <w:rPr>
          <w:rFonts w:eastAsia="Calibri"/>
          <w:color w:val="000000" w:themeColor="text1"/>
          <w:szCs w:val="28"/>
        </w:rPr>
        <w:t xml:space="preserve"> ризику затримки фізіологічної фун</w:t>
      </w:r>
      <w:r w:rsidR="0060560A">
        <w:rPr>
          <w:rFonts w:eastAsia="Calibri"/>
          <w:color w:val="000000" w:themeColor="text1"/>
          <w:szCs w:val="28"/>
        </w:rPr>
        <w:t>кції (наприклад, функції легень</w:t>
      </w:r>
      <w:r w:rsidRPr="00EA77E3">
        <w:rPr>
          <w:rFonts w:eastAsia="Calibri"/>
          <w:color w:val="000000" w:themeColor="text1"/>
          <w:szCs w:val="28"/>
        </w:rPr>
        <w:t>) і несприятливих неврологічних наслідків. Дослідження показали, що навіть у разі звичайної вагітності, дозрівання легенів у хлопчиків відстає від дівчаток приблизно на один тиждень</w:t>
      </w:r>
      <w:r w:rsidR="00F86C05">
        <w:rPr>
          <w:rFonts w:eastAsia="Calibri"/>
          <w:color w:val="000000" w:themeColor="text1"/>
          <w:szCs w:val="28"/>
        </w:rPr>
        <w:t xml:space="preserve"> [1</w:t>
      </w:r>
      <w:r w:rsidR="00F86C05" w:rsidRPr="00F86C05">
        <w:rPr>
          <w:rFonts w:eastAsia="Calibri"/>
          <w:color w:val="000000" w:themeColor="text1"/>
          <w:szCs w:val="28"/>
        </w:rPr>
        <w:t>71-178</w:t>
      </w:r>
      <w:r w:rsidRPr="00EA77E3">
        <w:rPr>
          <w:rFonts w:eastAsia="Calibri"/>
          <w:color w:val="000000" w:themeColor="text1"/>
          <w:szCs w:val="28"/>
        </w:rPr>
        <w:t xml:space="preserve">]. </w:t>
      </w:r>
      <w:r w:rsidR="00ED4085">
        <w:rPr>
          <w:rFonts w:eastAsia="Calibri"/>
          <w:color w:val="000000" w:themeColor="text1"/>
          <w:szCs w:val="28"/>
        </w:rPr>
        <w:t>Також хлопчики мають більш високий ризик захворіти на інфекційні захворювання</w:t>
      </w:r>
      <w:r w:rsidR="005C24E8">
        <w:rPr>
          <w:rFonts w:eastAsia="Calibri"/>
          <w:color w:val="000000" w:themeColor="text1"/>
          <w:szCs w:val="28"/>
        </w:rPr>
        <w:t>, що передаються</w:t>
      </w:r>
      <w:r w:rsidRPr="00EA77E3">
        <w:rPr>
          <w:rFonts w:eastAsia="Calibri"/>
          <w:color w:val="000000" w:themeColor="text1"/>
          <w:szCs w:val="28"/>
        </w:rPr>
        <w:t xml:space="preserve"> від людини до людини, тра</w:t>
      </w:r>
      <w:r w:rsidR="00ED4085">
        <w:rPr>
          <w:rFonts w:eastAsia="Calibri"/>
          <w:color w:val="000000" w:themeColor="text1"/>
          <w:szCs w:val="28"/>
        </w:rPr>
        <w:t xml:space="preserve">нсмісивні інфекції, інфекції, які </w:t>
      </w:r>
      <w:r w:rsidRPr="00EA77E3">
        <w:rPr>
          <w:rFonts w:eastAsia="Calibri"/>
          <w:color w:val="000000" w:themeColor="text1"/>
          <w:szCs w:val="28"/>
        </w:rPr>
        <w:t xml:space="preserve"> передаються через кров, харчові </w:t>
      </w:r>
      <w:r w:rsidR="0043797F">
        <w:rPr>
          <w:rFonts w:eastAsia="Calibri"/>
          <w:color w:val="000000" w:themeColor="text1"/>
          <w:szCs w:val="28"/>
        </w:rPr>
        <w:t xml:space="preserve"> </w:t>
      </w:r>
      <w:r w:rsidRPr="00EA77E3">
        <w:rPr>
          <w:rFonts w:eastAsia="Calibri"/>
          <w:color w:val="000000" w:themeColor="text1"/>
          <w:szCs w:val="28"/>
        </w:rPr>
        <w:t>та водні захворювання інфекційної е</w:t>
      </w:r>
      <w:r w:rsidR="00A0010A">
        <w:rPr>
          <w:rFonts w:eastAsia="Calibri"/>
          <w:color w:val="000000" w:themeColor="text1"/>
          <w:szCs w:val="28"/>
        </w:rPr>
        <w:t>тіології</w:t>
      </w:r>
      <w:r w:rsidR="00A0010A" w:rsidRPr="00A0010A">
        <w:rPr>
          <w:rFonts w:eastAsia="Calibri"/>
          <w:color w:val="000000" w:themeColor="text1"/>
          <w:szCs w:val="28"/>
        </w:rPr>
        <w:t xml:space="preserve">, що </w:t>
      </w:r>
      <w:r w:rsidR="00A0010A">
        <w:rPr>
          <w:rFonts w:eastAsia="Calibri"/>
          <w:color w:val="000000" w:themeColor="text1"/>
          <w:szCs w:val="28"/>
        </w:rPr>
        <w:t>пов</w:t>
      </w:r>
      <w:r w:rsidR="00925E0B">
        <w:rPr>
          <w:rFonts w:eastAsia="Calibri"/>
          <w:color w:val="000000" w:themeColor="text1"/>
          <w:szCs w:val="28"/>
        </w:rPr>
        <w:t>’</w:t>
      </w:r>
      <w:r w:rsidR="00A0010A">
        <w:rPr>
          <w:rFonts w:eastAsia="Calibri"/>
          <w:color w:val="000000" w:themeColor="text1"/>
          <w:szCs w:val="28"/>
        </w:rPr>
        <w:t>язано з більш слабкою імунною системою хлопчиків</w:t>
      </w:r>
      <w:r w:rsidRPr="00EA77E3">
        <w:rPr>
          <w:rFonts w:eastAsia="Calibri"/>
          <w:color w:val="000000" w:themeColor="text1"/>
          <w:szCs w:val="28"/>
        </w:rPr>
        <w:t>. Є дв</w:t>
      </w:r>
      <w:r w:rsidR="00D960DF">
        <w:rPr>
          <w:rFonts w:eastAsia="Calibri"/>
          <w:color w:val="000000" w:themeColor="text1"/>
          <w:szCs w:val="28"/>
        </w:rPr>
        <w:t xml:space="preserve">і основні гіпотези даного явища. </w:t>
      </w:r>
      <w:r w:rsidR="009104B5">
        <w:rPr>
          <w:rFonts w:eastAsia="Calibri"/>
          <w:color w:val="000000" w:themeColor="text1"/>
          <w:szCs w:val="28"/>
        </w:rPr>
        <w:t xml:space="preserve">Перша, пов’язана з тим, що біологічно чоловіки та жінки  </w:t>
      </w:r>
      <w:r w:rsidR="00A645FC">
        <w:rPr>
          <w:rFonts w:eastAsia="Calibri"/>
          <w:color w:val="000000" w:themeColor="text1"/>
          <w:szCs w:val="28"/>
        </w:rPr>
        <w:t xml:space="preserve">відрізняються за статевими хромосомами (у жінок дві Х-хромосоми, </w:t>
      </w:r>
      <w:r w:rsidR="00A645FC" w:rsidRPr="00A645FC">
        <w:rPr>
          <w:rFonts w:eastAsia="Calibri"/>
          <w:color w:val="000000" w:themeColor="text1"/>
          <w:szCs w:val="28"/>
        </w:rPr>
        <w:t>у чоловіків</w:t>
      </w:r>
      <w:r w:rsidR="00C66B6E">
        <w:rPr>
          <w:rFonts w:eastAsia="Calibri"/>
          <w:color w:val="000000" w:themeColor="text1"/>
          <w:szCs w:val="28"/>
        </w:rPr>
        <w:t xml:space="preserve"> одна Х і одна Y-хромосома). Саме</w:t>
      </w:r>
      <w:r w:rsidR="00A645FC" w:rsidRPr="00A645FC">
        <w:rPr>
          <w:rFonts w:eastAsia="Calibri"/>
          <w:color w:val="000000" w:themeColor="text1"/>
          <w:szCs w:val="28"/>
        </w:rPr>
        <w:t xml:space="preserve"> Х-хромосоми містять більшу кількість генів, пов'язаних з імунітетом</w:t>
      </w:r>
      <w:r w:rsidR="00C66B6E">
        <w:rPr>
          <w:rFonts w:eastAsia="Calibri"/>
          <w:color w:val="000000" w:themeColor="text1"/>
          <w:szCs w:val="28"/>
        </w:rPr>
        <w:t xml:space="preserve">, тому наявність двох </w:t>
      </w:r>
      <w:r w:rsidR="00C66B6E" w:rsidRPr="00C66B6E">
        <w:rPr>
          <w:rFonts w:eastAsia="Calibri"/>
          <w:color w:val="000000" w:themeColor="text1"/>
          <w:szCs w:val="28"/>
        </w:rPr>
        <w:t xml:space="preserve">Х-хромосом </w:t>
      </w:r>
      <w:r w:rsidR="00C66B6E">
        <w:rPr>
          <w:rFonts w:eastAsia="Calibri"/>
          <w:color w:val="000000" w:themeColor="text1"/>
          <w:szCs w:val="28"/>
        </w:rPr>
        <w:t>свідчать про</w:t>
      </w:r>
      <w:r w:rsidR="00C66B6E" w:rsidRPr="00C66B6E">
        <w:rPr>
          <w:rFonts w:eastAsia="Calibri"/>
          <w:color w:val="000000" w:themeColor="text1"/>
          <w:szCs w:val="28"/>
        </w:rPr>
        <w:t xml:space="preserve"> </w:t>
      </w:r>
      <w:r w:rsidR="00C66B6E">
        <w:rPr>
          <w:rFonts w:eastAsia="Calibri"/>
          <w:color w:val="000000" w:themeColor="text1"/>
          <w:szCs w:val="28"/>
        </w:rPr>
        <w:t xml:space="preserve">більш сильнішу імунну систему у дівчаток, </w:t>
      </w:r>
      <w:r w:rsidR="00A645FC">
        <w:rPr>
          <w:rFonts w:eastAsia="Calibri"/>
          <w:color w:val="000000" w:themeColor="text1"/>
          <w:szCs w:val="28"/>
        </w:rPr>
        <w:t>ніж</w:t>
      </w:r>
      <w:r w:rsidR="00C66B6E">
        <w:rPr>
          <w:rFonts w:eastAsia="Calibri"/>
          <w:color w:val="000000" w:themeColor="text1"/>
          <w:szCs w:val="28"/>
        </w:rPr>
        <w:t xml:space="preserve"> у хлопчи</w:t>
      </w:r>
      <w:r w:rsidRPr="00EA77E3">
        <w:rPr>
          <w:rFonts w:eastAsia="Calibri"/>
          <w:color w:val="000000" w:themeColor="text1"/>
          <w:szCs w:val="28"/>
        </w:rPr>
        <w:t>ків</w:t>
      </w:r>
      <w:r w:rsidR="002D4B75">
        <w:rPr>
          <w:rFonts w:eastAsia="Calibri"/>
          <w:color w:val="000000" w:themeColor="text1"/>
          <w:szCs w:val="28"/>
        </w:rPr>
        <w:t>.</w:t>
      </w:r>
      <w:r w:rsidR="00D82E85" w:rsidRPr="00D82E85">
        <w:rPr>
          <w:rFonts w:eastAsia="Calibri"/>
          <w:szCs w:val="28"/>
        </w:rPr>
        <w:t xml:space="preserve"> </w:t>
      </w:r>
      <w:r w:rsidR="009302A2">
        <w:rPr>
          <w:rFonts w:eastAsia="Calibri"/>
          <w:color w:val="000000" w:themeColor="text1"/>
          <w:szCs w:val="28"/>
        </w:rPr>
        <w:t>С</w:t>
      </w:r>
      <w:r w:rsidRPr="00EA77E3">
        <w:rPr>
          <w:rFonts w:eastAsia="Calibri"/>
          <w:color w:val="000000" w:themeColor="text1"/>
          <w:szCs w:val="28"/>
        </w:rPr>
        <w:t xml:space="preserve">татеві гормони </w:t>
      </w:r>
      <w:r w:rsidR="009302A2">
        <w:rPr>
          <w:rFonts w:eastAsia="Calibri"/>
          <w:color w:val="000000" w:themeColor="text1"/>
          <w:szCs w:val="28"/>
        </w:rPr>
        <w:t xml:space="preserve">також </w:t>
      </w:r>
      <w:r w:rsidRPr="00EA77E3">
        <w:rPr>
          <w:rFonts w:eastAsia="Calibri"/>
          <w:color w:val="000000" w:themeColor="text1"/>
          <w:szCs w:val="28"/>
        </w:rPr>
        <w:t>можуть бути ще однією ключовою причиною слабкої імунн</w:t>
      </w:r>
      <w:r w:rsidR="00BD3071">
        <w:rPr>
          <w:rFonts w:eastAsia="Calibri"/>
          <w:color w:val="000000" w:themeColor="text1"/>
          <w:szCs w:val="28"/>
        </w:rPr>
        <w:t>ої системи у чоловіків: тестостерон</w:t>
      </w:r>
      <w:r w:rsidRPr="00EA77E3">
        <w:rPr>
          <w:rFonts w:eastAsia="Calibri"/>
          <w:color w:val="000000" w:themeColor="text1"/>
          <w:szCs w:val="28"/>
        </w:rPr>
        <w:t xml:space="preserve"> пригнічує дві основні частини імунної системи – В і Т-лімфоцити. </w:t>
      </w:r>
      <w:r w:rsidR="002E6E9B" w:rsidRPr="002E6E9B">
        <w:rPr>
          <w:rFonts w:eastAsia="Calibri"/>
          <w:color w:val="000000" w:themeColor="text1"/>
          <w:szCs w:val="28"/>
        </w:rPr>
        <w:t xml:space="preserve">Також хлопчики більш сприйнятливі до специфічних генетичних захворювань. </w:t>
      </w:r>
      <w:r w:rsidR="00E365F1">
        <w:rPr>
          <w:rFonts w:eastAsia="Calibri"/>
          <w:color w:val="000000" w:themeColor="text1"/>
          <w:szCs w:val="28"/>
        </w:rPr>
        <w:t>Отже, т</w:t>
      </w:r>
      <w:r w:rsidRPr="00EA77E3">
        <w:rPr>
          <w:rFonts w:eastAsia="Calibri"/>
          <w:color w:val="000000" w:themeColor="text1"/>
          <w:szCs w:val="28"/>
        </w:rPr>
        <w:t xml:space="preserve">ой факт, що хлопчики більш </w:t>
      </w:r>
      <w:r w:rsidRPr="00EA77E3">
        <w:rPr>
          <w:rFonts w:eastAsia="Calibri"/>
          <w:color w:val="000000" w:themeColor="text1"/>
          <w:szCs w:val="28"/>
        </w:rPr>
        <w:lastRenderedPageBreak/>
        <w:t>сприйнятливі, ніж дівчатка, до ряду захворювань</w:t>
      </w:r>
      <w:r w:rsidR="00E365F1">
        <w:rPr>
          <w:rFonts w:eastAsia="Calibri"/>
          <w:color w:val="000000" w:themeColor="text1"/>
          <w:szCs w:val="28"/>
        </w:rPr>
        <w:t xml:space="preserve"> полягає</w:t>
      </w:r>
      <w:r w:rsidRPr="00EA77E3">
        <w:rPr>
          <w:rFonts w:eastAsia="Calibri"/>
          <w:color w:val="000000" w:themeColor="text1"/>
          <w:szCs w:val="28"/>
        </w:rPr>
        <w:t xml:space="preserve"> у біологічних відмінностях між статями, зокрема, відмінності в зрілості, статевих хромосомах і гормонах. Таким чином, в умовах, коли діти обох статей лікуються однаково, показники малюкової та дитячої смертності б</w:t>
      </w:r>
      <w:r w:rsidR="00F6302E">
        <w:rPr>
          <w:rFonts w:eastAsia="Calibri"/>
          <w:color w:val="000000" w:themeColor="text1"/>
          <w:szCs w:val="28"/>
        </w:rPr>
        <w:t>удуть дещо вище у хлопчиків [</w:t>
      </w:r>
      <w:r w:rsidR="00A0017E" w:rsidRPr="00A0017E">
        <w:rPr>
          <w:rFonts w:eastAsia="Calibri"/>
          <w:color w:val="000000" w:themeColor="text1"/>
          <w:szCs w:val="28"/>
          <w:lang w:val="ru-RU"/>
        </w:rPr>
        <w:t xml:space="preserve">67, </w:t>
      </w:r>
      <w:r w:rsidR="00F6302E">
        <w:rPr>
          <w:rFonts w:eastAsia="Calibri"/>
          <w:color w:val="000000" w:themeColor="text1"/>
          <w:szCs w:val="28"/>
        </w:rPr>
        <w:t>1</w:t>
      </w:r>
      <w:r w:rsidR="00F6302E">
        <w:rPr>
          <w:rFonts w:eastAsia="Calibri"/>
          <w:color w:val="000000" w:themeColor="text1"/>
          <w:szCs w:val="28"/>
          <w:lang w:val="ru-RU"/>
        </w:rPr>
        <w:t>79</w:t>
      </w:r>
      <w:r w:rsidR="00F6302E">
        <w:rPr>
          <w:rFonts w:eastAsia="Calibri"/>
          <w:color w:val="000000" w:themeColor="text1"/>
          <w:szCs w:val="28"/>
        </w:rPr>
        <w:t>-1</w:t>
      </w:r>
      <w:r w:rsidR="00F6302E">
        <w:rPr>
          <w:rFonts w:eastAsia="Calibri"/>
          <w:color w:val="000000" w:themeColor="text1"/>
          <w:szCs w:val="28"/>
          <w:lang w:val="ru-RU"/>
        </w:rPr>
        <w:t>83</w:t>
      </w:r>
      <w:r w:rsidRPr="00EA77E3">
        <w:rPr>
          <w:rFonts w:eastAsia="Calibri"/>
          <w:color w:val="000000" w:themeColor="text1"/>
          <w:szCs w:val="28"/>
        </w:rPr>
        <w:t>].</w:t>
      </w:r>
    </w:p>
    <w:p w:rsidR="00323DA9" w:rsidRPr="00EA77E3" w:rsidRDefault="0035399B" w:rsidP="00D556A1">
      <w:pPr>
        <w:widowControl w:val="0"/>
        <w:ind w:firstLine="709"/>
        <w:rPr>
          <w:rFonts w:eastAsia="Calibri"/>
          <w:color w:val="000000" w:themeColor="text1"/>
          <w:szCs w:val="28"/>
        </w:rPr>
      </w:pPr>
      <w:r w:rsidRPr="0035399B">
        <w:rPr>
          <w:rFonts w:eastAsia="Calibri"/>
          <w:color w:val="000000" w:themeColor="text1"/>
          <w:szCs w:val="28"/>
        </w:rPr>
        <w:t>Рівень доходу сім'ї є однією з детермінант</w:t>
      </w:r>
      <w:r w:rsidR="00323DA9" w:rsidRPr="00EA77E3">
        <w:rPr>
          <w:rFonts w:eastAsia="Calibri"/>
          <w:color w:val="000000" w:themeColor="text1"/>
          <w:szCs w:val="28"/>
        </w:rPr>
        <w:t xml:space="preserve"> дитячої смертності</w:t>
      </w:r>
      <w:r>
        <w:rPr>
          <w:rFonts w:eastAsia="Calibri"/>
          <w:color w:val="000000" w:themeColor="text1"/>
          <w:szCs w:val="28"/>
        </w:rPr>
        <w:t>. Спостерігається кореляційний зв’язок між рівнем</w:t>
      </w:r>
      <w:r w:rsidR="00033D42">
        <w:rPr>
          <w:rFonts w:eastAsia="Calibri"/>
          <w:color w:val="000000" w:themeColor="text1"/>
          <w:szCs w:val="28"/>
        </w:rPr>
        <w:t xml:space="preserve"> доходів у</w:t>
      </w:r>
      <w:r w:rsidR="00323DA9" w:rsidRPr="00EA77E3">
        <w:rPr>
          <w:rFonts w:eastAsia="Calibri"/>
          <w:color w:val="000000" w:themeColor="text1"/>
          <w:szCs w:val="28"/>
        </w:rPr>
        <w:t xml:space="preserve"> країні </w:t>
      </w:r>
      <w:r>
        <w:rPr>
          <w:rFonts w:eastAsia="Calibri"/>
          <w:color w:val="000000" w:themeColor="text1"/>
          <w:szCs w:val="28"/>
        </w:rPr>
        <w:t>та рівнем дитячої смертності. Н</w:t>
      </w:r>
      <w:r w:rsidR="00323DA9" w:rsidRPr="00EA77E3">
        <w:rPr>
          <w:rFonts w:eastAsia="Calibri"/>
          <w:color w:val="000000" w:themeColor="text1"/>
          <w:szCs w:val="28"/>
        </w:rPr>
        <w:t>айвищі рівні дитячої смертності</w:t>
      </w:r>
      <w:r>
        <w:rPr>
          <w:rFonts w:eastAsia="Calibri"/>
          <w:color w:val="000000" w:themeColor="text1"/>
          <w:szCs w:val="28"/>
        </w:rPr>
        <w:t xml:space="preserve"> мають найбідніші країни світу, або країни</w:t>
      </w:r>
      <w:r w:rsidR="00323DA9" w:rsidRPr="00EA77E3">
        <w:rPr>
          <w:rFonts w:eastAsia="Calibri"/>
          <w:color w:val="000000" w:themeColor="text1"/>
          <w:szCs w:val="28"/>
        </w:rPr>
        <w:t xml:space="preserve">, де велика частина населення </w:t>
      </w:r>
      <w:r>
        <w:rPr>
          <w:rFonts w:eastAsia="Calibri"/>
          <w:color w:val="000000" w:themeColor="text1"/>
          <w:szCs w:val="28"/>
        </w:rPr>
        <w:t xml:space="preserve">живе в умовах крайньої бідності. При цьому </w:t>
      </w:r>
      <w:r w:rsidR="00AC5A8B">
        <w:rPr>
          <w:rFonts w:eastAsia="Calibri"/>
          <w:color w:val="000000" w:themeColor="text1"/>
          <w:szCs w:val="28"/>
        </w:rPr>
        <w:t xml:space="preserve">в </w:t>
      </w:r>
      <w:r>
        <w:rPr>
          <w:rFonts w:eastAsia="Calibri"/>
          <w:color w:val="000000" w:themeColor="text1"/>
          <w:szCs w:val="28"/>
        </w:rPr>
        <w:t>країн</w:t>
      </w:r>
      <w:r w:rsidR="00AC5A8B">
        <w:rPr>
          <w:rFonts w:eastAsia="Calibri"/>
          <w:color w:val="000000" w:themeColor="text1"/>
          <w:szCs w:val="28"/>
        </w:rPr>
        <w:t>ах</w:t>
      </w:r>
      <w:r>
        <w:rPr>
          <w:rFonts w:eastAsia="Calibri"/>
          <w:color w:val="000000" w:themeColor="text1"/>
          <w:szCs w:val="28"/>
        </w:rPr>
        <w:t xml:space="preserve"> </w:t>
      </w:r>
      <w:r w:rsidR="00033D42">
        <w:rPr>
          <w:rFonts w:eastAsia="Calibri"/>
          <w:color w:val="000000" w:themeColor="text1"/>
          <w:szCs w:val="28"/>
        </w:rPr>
        <w:t>і</w:t>
      </w:r>
      <w:r>
        <w:rPr>
          <w:rFonts w:eastAsia="Calibri"/>
          <w:color w:val="000000" w:themeColor="text1"/>
          <w:szCs w:val="28"/>
        </w:rPr>
        <w:t>з високими доходами</w:t>
      </w:r>
      <w:r w:rsidR="00D556A1">
        <w:rPr>
          <w:rFonts w:eastAsia="Calibri"/>
          <w:color w:val="000000" w:themeColor="text1"/>
          <w:szCs w:val="28"/>
        </w:rPr>
        <w:t xml:space="preserve"> реєструються </w:t>
      </w:r>
      <w:r w:rsidR="00323DA9" w:rsidRPr="00EA77E3">
        <w:rPr>
          <w:rFonts w:eastAsia="Calibri"/>
          <w:color w:val="000000" w:themeColor="text1"/>
          <w:szCs w:val="28"/>
        </w:rPr>
        <w:t xml:space="preserve">найнижчі </w:t>
      </w:r>
      <w:r w:rsidR="00305EF2">
        <w:rPr>
          <w:rFonts w:eastAsia="Calibri"/>
          <w:color w:val="000000" w:themeColor="text1"/>
          <w:szCs w:val="28"/>
        </w:rPr>
        <w:t>показники</w:t>
      </w:r>
      <w:r w:rsidR="00D556A1">
        <w:rPr>
          <w:rFonts w:eastAsia="Calibri"/>
          <w:color w:val="000000" w:themeColor="text1"/>
          <w:szCs w:val="28"/>
        </w:rPr>
        <w:t xml:space="preserve"> смертності дітей</w:t>
      </w:r>
      <w:r w:rsidR="00305EF2">
        <w:rPr>
          <w:rFonts w:eastAsia="Calibri"/>
          <w:color w:val="000000" w:themeColor="text1"/>
          <w:szCs w:val="28"/>
        </w:rPr>
        <w:t xml:space="preserve"> </w:t>
      </w:r>
      <w:r w:rsidR="00614645">
        <w:rPr>
          <w:rFonts w:eastAsia="Calibri"/>
          <w:color w:val="000000" w:themeColor="text1"/>
          <w:szCs w:val="28"/>
        </w:rPr>
        <w:t>[1</w:t>
      </w:r>
      <w:r w:rsidR="00614645" w:rsidRPr="00A76AC8">
        <w:rPr>
          <w:rFonts w:eastAsia="Calibri"/>
          <w:color w:val="000000" w:themeColor="text1"/>
          <w:szCs w:val="28"/>
        </w:rPr>
        <w:t>84-189</w:t>
      </w:r>
      <w:r w:rsidR="00503429">
        <w:rPr>
          <w:rFonts w:eastAsia="Calibri"/>
          <w:color w:val="000000" w:themeColor="text1"/>
          <w:szCs w:val="28"/>
        </w:rPr>
        <w:t xml:space="preserve">]. </w:t>
      </w:r>
      <w:r w:rsidR="00AC5A8B">
        <w:rPr>
          <w:rFonts w:eastAsia="Calibri"/>
          <w:color w:val="000000" w:themeColor="text1"/>
          <w:szCs w:val="28"/>
        </w:rPr>
        <w:t>Ж</w:t>
      </w:r>
      <w:r w:rsidR="00A76AC8">
        <w:rPr>
          <w:rFonts w:eastAsia="Calibri"/>
          <w:color w:val="000000" w:themeColor="text1"/>
          <w:szCs w:val="28"/>
        </w:rPr>
        <w:t>іноч</w:t>
      </w:r>
      <w:r w:rsidR="00AC5A8B">
        <w:rPr>
          <w:rFonts w:eastAsia="Calibri"/>
          <w:color w:val="000000" w:themeColor="text1"/>
          <w:szCs w:val="28"/>
        </w:rPr>
        <w:t>а</w:t>
      </w:r>
      <w:r w:rsidR="00A76AC8">
        <w:rPr>
          <w:rFonts w:eastAsia="Calibri"/>
          <w:color w:val="000000" w:themeColor="text1"/>
          <w:szCs w:val="28"/>
        </w:rPr>
        <w:t xml:space="preserve"> освіт</w:t>
      </w:r>
      <w:r w:rsidR="00AC5A8B">
        <w:rPr>
          <w:rFonts w:eastAsia="Calibri"/>
          <w:color w:val="000000" w:themeColor="text1"/>
          <w:szCs w:val="28"/>
        </w:rPr>
        <w:t>а</w:t>
      </w:r>
      <w:r w:rsidR="00A76AC8">
        <w:rPr>
          <w:rFonts w:eastAsia="Calibri"/>
          <w:color w:val="000000" w:themeColor="text1"/>
          <w:szCs w:val="28"/>
        </w:rPr>
        <w:t xml:space="preserve"> також виступає чинником, що визначає</w:t>
      </w:r>
      <w:r w:rsidR="00323DA9" w:rsidRPr="00EA77E3">
        <w:rPr>
          <w:rFonts w:eastAsia="Calibri"/>
          <w:color w:val="000000" w:themeColor="text1"/>
          <w:szCs w:val="28"/>
        </w:rPr>
        <w:t xml:space="preserve"> дитя</w:t>
      </w:r>
      <w:r w:rsidR="00A76AC8">
        <w:rPr>
          <w:rFonts w:eastAsia="Calibri"/>
          <w:color w:val="000000" w:themeColor="text1"/>
          <w:szCs w:val="28"/>
        </w:rPr>
        <w:t xml:space="preserve">чу смертність. За результатами </w:t>
      </w:r>
      <w:r w:rsidR="00285CB1">
        <w:rPr>
          <w:rFonts w:eastAsia="Calibri"/>
          <w:color w:val="000000" w:themeColor="text1"/>
          <w:szCs w:val="28"/>
        </w:rPr>
        <w:t xml:space="preserve">наукових </w:t>
      </w:r>
      <w:r w:rsidR="00A76AC8">
        <w:rPr>
          <w:rFonts w:eastAsia="Calibri"/>
          <w:color w:val="000000" w:themeColor="text1"/>
          <w:szCs w:val="28"/>
        </w:rPr>
        <w:t>досліджень доведено вплив освіти жінок на здоров'я дітей</w:t>
      </w:r>
      <w:r w:rsidR="00285CB1">
        <w:rPr>
          <w:rFonts w:eastAsia="Calibri"/>
          <w:color w:val="000000" w:themeColor="text1"/>
          <w:szCs w:val="28"/>
        </w:rPr>
        <w:t>, а саме с</w:t>
      </w:r>
      <w:r w:rsidR="00A76AC8">
        <w:rPr>
          <w:rFonts w:eastAsia="Calibri"/>
          <w:color w:val="000000" w:themeColor="text1"/>
          <w:szCs w:val="28"/>
        </w:rPr>
        <w:t xml:space="preserve">постерігається зв’язок рівня освіти жіночого населення з </w:t>
      </w:r>
      <w:r w:rsidR="00323DA9" w:rsidRPr="00EA77E3">
        <w:rPr>
          <w:rFonts w:eastAsia="Calibri"/>
          <w:color w:val="000000" w:themeColor="text1"/>
          <w:szCs w:val="28"/>
        </w:rPr>
        <w:t>показник</w:t>
      </w:r>
      <w:r w:rsidR="00503429">
        <w:rPr>
          <w:rFonts w:eastAsia="Calibri"/>
          <w:color w:val="000000" w:themeColor="text1"/>
          <w:szCs w:val="28"/>
        </w:rPr>
        <w:t xml:space="preserve">ами дитячої смертності, </w:t>
      </w:r>
      <w:r w:rsidR="00323DA9" w:rsidRPr="00EA77E3">
        <w:rPr>
          <w:rFonts w:eastAsia="Calibri"/>
          <w:color w:val="000000" w:themeColor="text1"/>
          <w:szCs w:val="28"/>
        </w:rPr>
        <w:t>з людськ</w:t>
      </w:r>
      <w:r w:rsidR="00A76AC8">
        <w:rPr>
          <w:rFonts w:eastAsia="Calibri"/>
          <w:color w:val="000000" w:themeColor="text1"/>
          <w:szCs w:val="28"/>
        </w:rPr>
        <w:t>им та економічним розвитком</w:t>
      </w:r>
      <w:r w:rsidR="00503429">
        <w:rPr>
          <w:rFonts w:eastAsia="Calibri"/>
          <w:color w:val="000000" w:themeColor="text1"/>
          <w:szCs w:val="28"/>
        </w:rPr>
        <w:t>: чим вище освіта жінок тим нижче рівень дитячої смертності та вище показники людського та економі</w:t>
      </w:r>
      <w:r w:rsidR="00476C6E">
        <w:rPr>
          <w:rFonts w:eastAsia="Calibri"/>
          <w:color w:val="000000" w:themeColor="text1"/>
          <w:szCs w:val="28"/>
        </w:rPr>
        <w:t>ч</w:t>
      </w:r>
      <w:r w:rsidR="00503429">
        <w:rPr>
          <w:rFonts w:eastAsia="Calibri"/>
          <w:color w:val="000000" w:themeColor="text1"/>
          <w:szCs w:val="28"/>
        </w:rPr>
        <w:t>ного розвитку</w:t>
      </w:r>
      <w:r w:rsidR="00FF2CE1">
        <w:rPr>
          <w:rFonts w:eastAsia="Calibri"/>
          <w:color w:val="000000" w:themeColor="text1"/>
          <w:szCs w:val="28"/>
        </w:rPr>
        <w:t xml:space="preserve">. </w:t>
      </w:r>
      <w:r w:rsidR="00FF2CE1" w:rsidRPr="00FF2CE1">
        <w:rPr>
          <w:rFonts w:eastAsia="Calibri"/>
          <w:color w:val="000000" w:themeColor="text1"/>
          <w:szCs w:val="28"/>
        </w:rPr>
        <w:t xml:space="preserve">В цілому, </w:t>
      </w:r>
      <w:r w:rsidR="00285CB1">
        <w:rPr>
          <w:rFonts w:eastAsia="Calibri"/>
          <w:color w:val="000000" w:themeColor="text1"/>
          <w:szCs w:val="28"/>
        </w:rPr>
        <w:t>рівень дитячої смертності</w:t>
      </w:r>
      <w:r w:rsidR="00285CB1" w:rsidRPr="00285CB1">
        <w:rPr>
          <w:rFonts w:eastAsia="Calibri"/>
          <w:color w:val="000000" w:themeColor="text1"/>
          <w:szCs w:val="28"/>
        </w:rPr>
        <w:t xml:space="preserve"> знижується </w:t>
      </w:r>
      <w:r w:rsidR="00FF2CE1" w:rsidRPr="00FF2CE1">
        <w:rPr>
          <w:rFonts w:eastAsia="Calibri"/>
          <w:color w:val="000000" w:themeColor="text1"/>
          <w:szCs w:val="28"/>
        </w:rPr>
        <w:t xml:space="preserve">при збільшенні </w:t>
      </w:r>
      <w:r w:rsidR="00285CB1">
        <w:rPr>
          <w:rFonts w:eastAsia="Calibri"/>
          <w:color w:val="000000" w:themeColor="text1"/>
          <w:szCs w:val="28"/>
        </w:rPr>
        <w:t>середнього рівня освіти матері</w:t>
      </w:r>
      <w:r w:rsidR="00FF2CE1" w:rsidRPr="00FF2CE1">
        <w:rPr>
          <w:rFonts w:eastAsia="Calibri"/>
          <w:color w:val="000000" w:themeColor="text1"/>
          <w:szCs w:val="28"/>
        </w:rPr>
        <w:t>. Вважають, що зниження дитячої смертності більш ніж на 50% в усьому світі за період 1</w:t>
      </w:r>
      <w:r w:rsidR="000C1E00">
        <w:rPr>
          <w:rFonts w:eastAsia="Calibri"/>
          <w:color w:val="000000" w:themeColor="text1"/>
          <w:szCs w:val="28"/>
        </w:rPr>
        <w:t>970-2010 рр. можна пояснити підвищенням</w:t>
      </w:r>
      <w:r w:rsidR="00FF2CE1" w:rsidRPr="00FF2CE1">
        <w:rPr>
          <w:rFonts w:eastAsia="Calibri"/>
          <w:color w:val="000000" w:themeColor="text1"/>
          <w:szCs w:val="28"/>
        </w:rPr>
        <w:t xml:space="preserve"> освіти жінок, при цьому економічне зростання (ВВП)</w:t>
      </w:r>
      <w:r w:rsidR="000C1E00">
        <w:rPr>
          <w:rFonts w:eastAsia="Calibri"/>
          <w:color w:val="000000" w:themeColor="text1"/>
          <w:szCs w:val="28"/>
        </w:rPr>
        <w:t xml:space="preserve"> мало менший вплив</w:t>
      </w:r>
      <w:r w:rsidR="00FF2CE1" w:rsidRPr="00FF2CE1">
        <w:rPr>
          <w:rFonts w:eastAsia="Calibri"/>
          <w:color w:val="000000" w:themeColor="text1"/>
          <w:szCs w:val="28"/>
        </w:rPr>
        <w:t xml:space="preserve"> на </w:t>
      </w:r>
      <w:r w:rsidR="000C1E00">
        <w:rPr>
          <w:rFonts w:eastAsia="Calibri"/>
          <w:color w:val="000000" w:themeColor="text1"/>
          <w:szCs w:val="28"/>
        </w:rPr>
        <w:t>її зниження</w:t>
      </w:r>
      <w:r w:rsidR="00D556A1">
        <w:rPr>
          <w:rFonts w:eastAsia="Calibri"/>
          <w:color w:val="000000" w:themeColor="text1"/>
          <w:szCs w:val="28"/>
        </w:rPr>
        <w:t xml:space="preserve">. </w:t>
      </w:r>
      <w:r w:rsidR="00AC5A8B">
        <w:rPr>
          <w:rFonts w:eastAsia="Calibri"/>
          <w:color w:val="000000" w:themeColor="text1"/>
          <w:szCs w:val="28"/>
        </w:rPr>
        <w:t>Слід зазначити, що</w:t>
      </w:r>
      <w:r w:rsidR="00323DA9" w:rsidRPr="00EA77E3">
        <w:rPr>
          <w:rFonts w:eastAsia="Calibri"/>
          <w:color w:val="000000" w:themeColor="text1"/>
          <w:szCs w:val="28"/>
        </w:rPr>
        <w:t xml:space="preserve"> </w:t>
      </w:r>
      <w:r w:rsidR="00D556A1">
        <w:rPr>
          <w:rFonts w:eastAsia="Calibri"/>
          <w:color w:val="000000" w:themeColor="text1"/>
          <w:szCs w:val="28"/>
        </w:rPr>
        <w:t xml:space="preserve">дитяча смертність </w:t>
      </w:r>
      <w:r w:rsidR="00AC5A8B">
        <w:rPr>
          <w:rFonts w:eastAsia="Calibri"/>
          <w:color w:val="000000" w:themeColor="text1"/>
          <w:szCs w:val="28"/>
        </w:rPr>
        <w:t xml:space="preserve">також </w:t>
      </w:r>
      <w:r w:rsidR="00D556A1">
        <w:rPr>
          <w:rFonts w:eastAsia="Calibri"/>
          <w:color w:val="000000" w:themeColor="text1"/>
          <w:szCs w:val="28"/>
        </w:rPr>
        <w:t xml:space="preserve">залежить </w:t>
      </w:r>
      <w:r w:rsidR="00AC5A8B">
        <w:rPr>
          <w:rFonts w:eastAsia="Calibri"/>
          <w:color w:val="000000" w:themeColor="text1"/>
          <w:szCs w:val="28"/>
        </w:rPr>
        <w:t xml:space="preserve">і </w:t>
      </w:r>
      <w:r w:rsidR="00D556A1">
        <w:rPr>
          <w:rFonts w:eastAsia="Calibri"/>
          <w:color w:val="000000" w:themeColor="text1"/>
          <w:szCs w:val="28"/>
        </w:rPr>
        <w:t xml:space="preserve">від  віку матері. В групі підвищеного ризику знаходяться діти </w:t>
      </w:r>
      <w:r w:rsidR="00323DA9" w:rsidRPr="00EA77E3">
        <w:rPr>
          <w:rFonts w:eastAsia="Calibri"/>
          <w:color w:val="000000" w:themeColor="text1"/>
          <w:szCs w:val="28"/>
        </w:rPr>
        <w:t>дуже молодих і літніх матерів</w:t>
      </w:r>
      <w:r w:rsidR="00D556A1">
        <w:rPr>
          <w:rFonts w:eastAsia="Calibri"/>
          <w:color w:val="000000" w:themeColor="text1"/>
          <w:szCs w:val="28"/>
        </w:rPr>
        <w:t>.</w:t>
      </w:r>
      <w:r w:rsidR="00323DA9" w:rsidRPr="00EA77E3">
        <w:rPr>
          <w:rFonts w:eastAsia="Calibri"/>
          <w:color w:val="000000" w:themeColor="text1"/>
          <w:szCs w:val="28"/>
        </w:rPr>
        <w:t xml:space="preserve"> </w:t>
      </w:r>
      <w:r w:rsidR="00D556A1">
        <w:rPr>
          <w:rFonts w:eastAsia="Calibri"/>
          <w:color w:val="000000" w:themeColor="text1"/>
          <w:szCs w:val="28"/>
        </w:rPr>
        <w:t xml:space="preserve">До того ж, </w:t>
      </w:r>
      <w:r w:rsidR="00AC5A8B">
        <w:rPr>
          <w:rFonts w:eastAsia="Calibri"/>
          <w:color w:val="000000" w:themeColor="text1"/>
          <w:szCs w:val="28"/>
        </w:rPr>
        <w:t>с</w:t>
      </w:r>
      <w:r w:rsidR="00323DA9" w:rsidRPr="00EA77E3">
        <w:rPr>
          <w:rFonts w:eastAsia="Calibri"/>
          <w:color w:val="000000" w:themeColor="text1"/>
          <w:szCs w:val="28"/>
        </w:rPr>
        <w:t>постерігається залежність між дитячою смертністю і поширеністю підліткової вагітності, а саме в країнах з низькою</w:t>
      </w:r>
      <w:r w:rsidR="00286546">
        <w:rPr>
          <w:rFonts w:eastAsia="Calibri"/>
          <w:color w:val="000000" w:themeColor="text1"/>
          <w:szCs w:val="28"/>
        </w:rPr>
        <w:t xml:space="preserve"> дитячою смертністю, як правило</w:t>
      </w:r>
      <w:r w:rsidR="00280B06">
        <w:rPr>
          <w:rFonts w:eastAsia="Calibri"/>
          <w:color w:val="000000" w:themeColor="text1"/>
          <w:szCs w:val="28"/>
        </w:rPr>
        <w:t>,</w:t>
      </w:r>
      <w:r w:rsidR="00323DA9" w:rsidRPr="00EA77E3">
        <w:rPr>
          <w:rFonts w:eastAsia="Calibri"/>
          <w:color w:val="000000" w:themeColor="text1"/>
          <w:szCs w:val="28"/>
        </w:rPr>
        <w:t xml:space="preserve"> менше матерів-підлітків. Існують як біологічні, так і соціальні чинники, які впливають і пояснюють чому наслідки для здоров'я </w:t>
      </w:r>
      <w:r w:rsidR="00D556A1">
        <w:rPr>
          <w:rFonts w:eastAsia="Calibri"/>
          <w:color w:val="000000" w:themeColor="text1"/>
          <w:szCs w:val="28"/>
        </w:rPr>
        <w:t xml:space="preserve">дитини </w:t>
      </w:r>
      <w:r w:rsidR="009E580F">
        <w:rPr>
          <w:rFonts w:eastAsia="Calibri"/>
          <w:color w:val="000000" w:themeColor="text1"/>
          <w:szCs w:val="28"/>
        </w:rPr>
        <w:t>є найгіршими у самих молодих</w:t>
      </w:r>
      <w:r w:rsidR="00323DA9" w:rsidRPr="00EA77E3">
        <w:rPr>
          <w:rFonts w:eastAsia="Calibri"/>
          <w:color w:val="000000" w:themeColor="text1"/>
          <w:szCs w:val="28"/>
        </w:rPr>
        <w:t xml:space="preserve"> матерів. Це може бути пр</w:t>
      </w:r>
      <w:r w:rsidR="009E580F">
        <w:rPr>
          <w:rFonts w:eastAsia="Calibri"/>
          <w:color w:val="000000" w:themeColor="text1"/>
          <w:szCs w:val="28"/>
        </w:rPr>
        <w:t>ямим ре</w:t>
      </w:r>
      <w:r w:rsidR="006522C7">
        <w:rPr>
          <w:rFonts w:eastAsia="Calibri"/>
          <w:color w:val="000000" w:themeColor="text1"/>
          <w:szCs w:val="28"/>
        </w:rPr>
        <w:t>зультатом більш складного перебі</w:t>
      </w:r>
      <w:r w:rsidR="009E580F">
        <w:rPr>
          <w:rFonts w:eastAsia="Calibri"/>
          <w:color w:val="000000" w:themeColor="text1"/>
          <w:szCs w:val="28"/>
        </w:rPr>
        <w:t xml:space="preserve">гу </w:t>
      </w:r>
      <w:r w:rsidR="00323DA9" w:rsidRPr="00EA77E3">
        <w:rPr>
          <w:rFonts w:eastAsia="Calibri"/>
          <w:color w:val="000000" w:themeColor="text1"/>
          <w:szCs w:val="28"/>
        </w:rPr>
        <w:t>вагітності, пологів або поганого фізичного розвитку дитин</w:t>
      </w:r>
      <w:r w:rsidR="00FF2CE1">
        <w:rPr>
          <w:rFonts w:eastAsia="Calibri"/>
          <w:color w:val="000000" w:themeColor="text1"/>
          <w:szCs w:val="28"/>
        </w:rPr>
        <w:t>и та</w:t>
      </w:r>
      <w:r w:rsidR="00323DA9" w:rsidRPr="00EA77E3">
        <w:rPr>
          <w:rFonts w:eastAsia="Calibri"/>
          <w:color w:val="000000" w:themeColor="text1"/>
          <w:szCs w:val="28"/>
        </w:rPr>
        <w:t xml:space="preserve"> іншими детермінантами. </w:t>
      </w:r>
      <w:r w:rsidR="00D556A1">
        <w:rPr>
          <w:rFonts w:eastAsia="Calibri"/>
          <w:color w:val="000000" w:themeColor="text1"/>
          <w:szCs w:val="28"/>
        </w:rPr>
        <w:t>В</w:t>
      </w:r>
      <w:r w:rsidR="00323DA9" w:rsidRPr="00EA77E3">
        <w:rPr>
          <w:rFonts w:eastAsia="Calibri"/>
          <w:color w:val="000000" w:themeColor="text1"/>
          <w:szCs w:val="28"/>
        </w:rPr>
        <w:t xml:space="preserve">ідстрочка </w:t>
      </w:r>
      <w:r w:rsidR="0093691F">
        <w:rPr>
          <w:rFonts w:eastAsia="Calibri"/>
          <w:color w:val="000000" w:themeColor="text1"/>
          <w:szCs w:val="28"/>
        </w:rPr>
        <w:t xml:space="preserve">жінками </w:t>
      </w:r>
      <w:r w:rsidR="003E1DEF">
        <w:rPr>
          <w:rFonts w:eastAsia="Calibri"/>
          <w:color w:val="000000" w:themeColor="text1"/>
          <w:szCs w:val="28"/>
        </w:rPr>
        <w:t xml:space="preserve">настання </w:t>
      </w:r>
      <w:r w:rsidR="0093691F">
        <w:rPr>
          <w:rFonts w:eastAsia="Calibri"/>
          <w:color w:val="000000" w:themeColor="text1"/>
          <w:szCs w:val="28"/>
        </w:rPr>
        <w:t xml:space="preserve">вагітності та </w:t>
      </w:r>
      <w:r w:rsidR="00323DA9" w:rsidRPr="00EA77E3">
        <w:rPr>
          <w:rFonts w:eastAsia="Calibri"/>
          <w:color w:val="000000" w:themeColor="text1"/>
          <w:szCs w:val="28"/>
        </w:rPr>
        <w:t xml:space="preserve">пологів до 20 років </w:t>
      </w:r>
      <w:r w:rsidR="00D556A1">
        <w:rPr>
          <w:rFonts w:eastAsia="Calibri"/>
          <w:color w:val="000000" w:themeColor="text1"/>
          <w:szCs w:val="28"/>
        </w:rPr>
        <w:t>здатна значно знизити</w:t>
      </w:r>
      <w:r w:rsidR="00323DA9" w:rsidRPr="00EA77E3">
        <w:rPr>
          <w:rFonts w:eastAsia="Calibri"/>
          <w:color w:val="000000" w:themeColor="text1"/>
          <w:szCs w:val="28"/>
        </w:rPr>
        <w:t xml:space="preserve"> ризик дитячої смертності або інших несприятливих наслідків для здоров'я</w:t>
      </w:r>
      <w:r w:rsidR="00D556A1">
        <w:rPr>
          <w:rFonts w:eastAsia="Calibri"/>
          <w:color w:val="000000" w:themeColor="text1"/>
          <w:szCs w:val="28"/>
        </w:rPr>
        <w:t xml:space="preserve"> дитини</w:t>
      </w:r>
      <w:r w:rsidR="00323DA9" w:rsidRPr="00EA77E3">
        <w:rPr>
          <w:rFonts w:eastAsia="Calibri"/>
          <w:color w:val="000000" w:themeColor="text1"/>
          <w:szCs w:val="28"/>
        </w:rPr>
        <w:t xml:space="preserve">. </w:t>
      </w:r>
      <w:r w:rsidR="00FF2CE1" w:rsidRPr="00FF2CE1">
        <w:rPr>
          <w:rFonts w:eastAsia="Calibri"/>
          <w:color w:val="000000" w:themeColor="text1"/>
          <w:szCs w:val="28"/>
        </w:rPr>
        <w:t xml:space="preserve">Таким чином,  дитяча смертність є не тільки виключно медичною, а </w:t>
      </w:r>
      <w:r w:rsidR="00FF2CE1" w:rsidRPr="00FF2CE1">
        <w:rPr>
          <w:rFonts w:eastAsia="Calibri"/>
          <w:color w:val="000000" w:themeColor="text1"/>
          <w:szCs w:val="28"/>
        </w:rPr>
        <w:lastRenderedPageBreak/>
        <w:t>ще і медико-соціальною проблемою</w:t>
      </w:r>
      <w:r w:rsidR="003E18A6">
        <w:rPr>
          <w:rFonts w:eastAsia="Calibri"/>
          <w:color w:val="000000" w:themeColor="text1"/>
          <w:szCs w:val="28"/>
        </w:rPr>
        <w:t>, до</w:t>
      </w:r>
      <w:r w:rsidR="00DC5695">
        <w:rPr>
          <w:rFonts w:eastAsia="Calibri"/>
          <w:color w:val="000000" w:themeColor="text1"/>
          <w:szCs w:val="28"/>
        </w:rPr>
        <w:t xml:space="preserve"> вирішення якої мають долучатися</w:t>
      </w:r>
      <w:r w:rsidR="003E18A6">
        <w:rPr>
          <w:rFonts w:eastAsia="Calibri"/>
          <w:color w:val="000000" w:themeColor="text1"/>
          <w:szCs w:val="28"/>
        </w:rPr>
        <w:t xml:space="preserve"> і інші державні сектори</w:t>
      </w:r>
      <w:r w:rsidR="002E4FDF">
        <w:rPr>
          <w:rFonts w:eastAsia="Calibri"/>
          <w:color w:val="000000" w:themeColor="text1"/>
          <w:szCs w:val="28"/>
        </w:rPr>
        <w:t xml:space="preserve"> [</w:t>
      </w:r>
      <w:r w:rsidR="00FF2CE1">
        <w:rPr>
          <w:rFonts w:eastAsia="Calibri"/>
          <w:color w:val="000000" w:themeColor="text1"/>
          <w:szCs w:val="28"/>
        </w:rPr>
        <w:t>190-</w:t>
      </w:r>
      <w:r w:rsidR="002E4FDF" w:rsidRPr="002E4FDF">
        <w:rPr>
          <w:rFonts w:eastAsia="Calibri"/>
          <w:color w:val="000000" w:themeColor="text1"/>
          <w:szCs w:val="28"/>
        </w:rPr>
        <w:t>194</w:t>
      </w:r>
      <w:r w:rsidR="00323DA9" w:rsidRPr="00EA77E3">
        <w:rPr>
          <w:rFonts w:eastAsia="Calibri"/>
          <w:color w:val="000000" w:themeColor="text1"/>
          <w:szCs w:val="28"/>
        </w:rPr>
        <w:t xml:space="preserve">]. </w:t>
      </w:r>
    </w:p>
    <w:p w:rsidR="00323DA9" w:rsidRPr="00EA77E3" w:rsidRDefault="004C077E" w:rsidP="00E760B8">
      <w:pPr>
        <w:widowControl w:val="0"/>
        <w:ind w:firstLine="709"/>
        <w:rPr>
          <w:rFonts w:eastAsia="Calibri"/>
          <w:color w:val="000000" w:themeColor="text1"/>
          <w:szCs w:val="28"/>
        </w:rPr>
      </w:pPr>
      <w:r>
        <w:rPr>
          <w:rFonts w:eastAsia="Calibri"/>
          <w:color w:val="000000" w:themeColor="text1"/>
          <w:szCs w:val="28"/>
        </w:rPr>
        <w:t>Один із значних</w:t>
      </w:r>
      <w:r w:rsidR="00323DA9" w:rsidRPr="00EA77E3">
        <w:rPr>
          <w:rFonts w:eastAsia="Calibri"/>
          <w:color w:val="000000" w:themeColor="text1"/>
          <w:szCs w:val="28"/>
        </w:rPr>
        <w:t xml:space="preserve"> вплив</w:t>
      </w:r>
      <w:r>
        <w:rPr>
          <w:rFonts w:eastAsia="Calibri"/>
          <w:color w:val="000000" w:themeColor="text1"/>
          <w:szCs w:val="28"/>
        </w:rPr>
        <w:t>ів</w:t>
      </w:r>
      <w:r w:rsidR="00323DA9" w:rsidRPr="00EA77E3">
        <w:rPr>
          <w:rFonts w:eastAsia="Calibri"/>
          <w:color w:val="000000" w:themeColor="text1"/>
          <w:szCs w:val="28"/>
        </w:rPr>
        <w:t xml:space="preserve"> на рівень дитячої смертності має система ох</w:t>
      </w:r>
      <w:r w:rsidR="00FD0E49">
        <w:rPr>
          <w:rFonts w:eastAsia="Calibri"/>
          <w:color w:val="000000" w:themeColor="text1"/>
          <w:szCs w:val="28"/>
        </w:rPr>
        <w:t>орони здоров'я. В публікаціях Американського економічного журналу</w:t>
      </w:r>
      <w:r w:rsidR="00323DA9" w:rsidRPr="00EA77E3">
        <w:rPr>
          <w:rFonts w:eastAsia="Calibri"/>
          <w:color w:val="000000" w:themeColor="text1"/>
          <w:szCs w:val="28"/>
        </w:rPr>
        <w:t xml:space="preserve"> автори повідомляють, що реформа охорони здоров'я призводить до значного</w:t>
      </w:r>
      <w:r w:rsidR="00323DA9" w:rsidRPr="00EA77E3">
        <w:rPr>
          <w:rFonts w:ascii="Calibri" w:eastAsia="Calibri" w:hAnsi="Calibri"/>
          <w:color w:val="000000" w:themeColor="text1"/>
          <w:sz w:val="22"/>
        </w:rPr>
        <w:t xml:space="preserve"> </w:t>
      </w:r>
      <w:r w:rsidR="00323DA9" w:rsidRPr="00EA77E3">
        <w:rPr>
          <w:rFonts w:eastAsia="Calibri"/>
          <w:color w:val="000000" w:themeColor="text1"/>
          <w:szCs w:val="28"/>
        </w:rPr>
        <w:t>зниження дитячої с</w:t>
      </w:r>
      <w:r w:rsidR="00FD0E49">
        <w:rPr>
          <w:rFonts w:eastAsia="Calibri"/>
          <w:color w:val="000000" w:themeColor="text1"/>
          <w:szCs w:val="28"/>
        </w:rPr>
        <w:t>мертності, особливо серед бідного населення</w:t>
      </w:r>
      <w:r w:rsidR="00323DA9" w:rsidRPr="00EA77E3">
        <w:rPr>
          <w:rFonts w:eastAsia="Calibri"/>
          <w:color w:val="000000" w:themeColor="text1"/>
          <w:szCs w:val="28"/>
        </w:rPr>
        <w:t xml:space="preserve"> (як приклад Таїланд, де було проведено реформу у 2001 році, що сприяло значному з</w:t>
      </w:r>
      <w:r w:rsidR="000F6994">
        <w:rPr>
          <w:rFonts w:eastAsia="Calibri"/>
          <w:color w:val="000000" w:themeColor="text1"/>
          <w:szCs w:val="28"/>
        </w:rPr>
        <w:t>ниженню дитячої смертності) [1</w:t>
      </w:r>
      <w:r w:rsidR="000F6994">
        <w:rPr>
          <w:rFonts w:eastAsia="Calibri"/>
          <w:color w:val="000000" w:themeColor="text1"/>
          <w:szCs w:val="28"/>
          <w:lang w:val="ru-RU"/>
        </w:rPr>
        <w:t>95</w:t>
      </w:r>
      <w:r w:rsidR="00323DA9" w:rsidRPr="00EA77E3">
        <w:rPr>
          <w:rFonts w:eastAsia="Calibri"/>
          <w:color w:val="000000" w:themeColor="text1"/>
          <w:szCs w:val="28"/>
        </w:rPr>
        <w:t>]. В більш розвинутих країнах можна досягти зазначених результатів без залучення значних фінансових надходжень, використовуючи власні резер</w:t>
      </w:r>
      <w:r w:rsidR="00517A40">
        <w:rPr>
          <w:rFonts w:eastAsia="Calibri"/>
          <w:color w:val="000000" w:themeColor="text1"/>
          <w:szCs w:val="28"/>
        </w:rPr>
        <w:t>ви закладів охорони здоров’я, які</w:t>
      </w:r>
      <w:r w:rsidR="00323DA9" w:rsidRPr="00EA77E3">
        <w:rPr>
          <w:rFonts w:eastAsia="Calibri"/>
          <w:color w:val="000000" w:themeColor="text1"/>
          <w:szCs w:val="28"/>
        </w:rPr>
        <w:t xml:space="preserve"> стають доступними  за рахунок оптимізації призначень медичних препаратів і відмови від дорогих препаратів з недоведеною ефективністю, виключення діагностично незначущих обстежень та ін., а також шляхом всеосяжного оперативного контролю над пацієнтами реанімаційного профілю дитячого віку і надання їм своєчасної невідкладної стаціонарної, реанімаційної та реанімаційно-консульт</w:t>
      </w:r>
      <w:r w:rsidR="00517A40">
        <w:rPr>
          <w:rFonts w:eastAsia="Calibri"/>
          <w:color w:val="000000" w:themeColor="text1"/>
          <w:szCs w:val="28"/>
        </w:rPr>
        <w:t>ативної допомоги з залученням ресурсів і засобів медичних закладів</w:t>
      </w:r>
      <w:r w:rsidR="00323DA9" w:rsidRPr="00EA77E3">
        <w:rPr>
          <w:rFonts w:eastAsia="Calibri"/>
          <w:color w:val="000000" w:themeColor="text1"/>
          <w:szCs w:val="28"/>
        </w:rPr>
        <w:t xml:space="preserve"> III рівня</w:t>
      </w:r>
      <w:r w:rsidR="00517A40">
        <w:rPr>
          <w:rFonts w:eastAsia="Calibri"/>
          <w:color w:val="000000" w:themeColor="text1"/>
          <w:szCs w:val="28"/>
        </w:rPr>
        <w:t xml:space="preserve"> надання допомоги</w:t>
      </w:r>
      <w:r w:rsidR="00323DA9" w:rsidRPr="00EA77E3">
        <w:rPr>
          <w:rFonts w:eastAsia="Calibri"/>
          <w:color w:val="000000" w:themeColor="text1"/>
          <w:szCs w:val="28"/>
        </w:rPr>
        <w:t>.</w:t>
      </w:r>
      <w:r w:rsidR="00323DA9" w:rsidRPr="00EA77E3">
        <w:rPr>
          <w:rFonts w:ascii="Calibri" w:eastAsia="Calibri" w:hAnsi="Calibri"/>
          <w:color w:val="000000" w:themeColor="text1"/>
          <w:sz w:val="22"/>
        </w:rPr>
        <w:t xml:space="preserve"> </w:t>
      </w:r>
      <w:r w:rsidR="00323DA9" w:rsidRPr="00EA77E3">
        <w:rPr>
          <w:rFonts w:eastAsia="Calibri"/>
          <w:color w:val="000000" w:themeColor="text1"/>
          <w:szCs w:val="28"/>
        </w:rPr>
        <w:t>Ефективна організація і вдосконалення т</w:t>
      </w:r>
      <w:r w:rsidR="00517A40">
        <w:rPr>
          <w:rFonts w:eastAsia="Calibri"/>
          <w:color w:val="000000" w:themeColor="text1"/>
          <w:szCs w:val="28"/>
        </w:rPr>
        <w:t>ехнологій надання невідкладної й</w:t>
      </w:r>
      <w:r w:rsidR="00323DA9" w:rsidRPr="00EA77E3">
        <w:rPr>
          <w:rFonts w:eastAsia="Calibri"/>
          <w:color w:val="000000" w:themeColor="text1"/>
          <w:szCs w:val="28"/>
        </w:rPr>
        <w:t xml:space="preserve"> реанімаційної допомоги є потужним засобом зниження кількості летальних випадків у дітей. Показники коефіцієнта малюкової смертності багато в чому визначаються як величиною валового регіонального продукту так і організацією медичної допомоги з дотриманням вимог сучасних загальноприйнятих протоколів діа</w:t>
      </w:r>
      <w:r w:rsidR="00FD0E49">
        <w:rPr>
          <w:rFonts w:eastAsia="Calibri"/>
          <w:color w:val="000000" w:themeColor="text1"/>
          <w:szCs w:val="28"/>
        </w:rPr>
        <w:t>гностики та лікування. Д</w:t>
      </w:r>
      <w:r w:rsidR="00323DA9" w:rsidRPr="00EA77E3">
        <w:rPr>
          <w:rFonts w:eastAsia="Calibri"/>
          <w:color w:val="000000" w:themeColor="text1"/>
          <w:szCs w:val="28"/>
        </w:rPr>
        <w:t>ані досліджень свідчать, що високі витрати на охорону здоров'я, в цілому, супроводжуються більш низьки</w:t>
      </w:r>
      <w:r w:rsidR="00764CCD">
        <w:rPr>
          <w:rFonts w:eastAsia="Calibri"/>
          <w:color w:val="000000" w:themeColor="text1"/>
          <w:szCs w:val="28"/>
        </w:rPr>
        <w:t>м рівнем дитячої смертності [1</w:t>
      </w:r>
      <w:r w:rsidR="00764CCD" w:rsidRPr="00FD0E49">
        <w:rPr>
          <w:rFonts w:eastAsia="Calibri"/>
          <w:color w:val="000000" w:themeColor="text1"/>
          <w:szCs w:val="28"/>
        </w:rPr>
        <w:t>96-204</w:t>
      </w:r>
      <w:r w:rsidR="00323DA9" w:rsidRPr="00EA77E3">
        <w:rPr>
          <w:rFonts w:eastAsia="Calibri"/>
          <w:color w:val="000000" w:themeColor="text1"/>
          <w:szCs w:val="28"/>
        </w:rPr>
        <w:t>].</w:t>
      </w:r>
      <w:r w:rsidR="00E760B8">
        <w:rPr>
          <w:rFonts w:eastAsia="Calibri"/>
          <w:color w:val="000000" w:themeColor="text1"/>
          <w:szCs w:val="28"/>
        </w:rPr>
        <w:t xml:space="preserve"> </w:t>
      </w:r>
      <w:r w:rsidR="00BE03BE">
        <w:rPr>
          <w:rFonts w:eastAsia="Calibri"/>
          <w:color w:val="000000" w:themeColor="text1"/>
          <w:szCs w:val="28"/>
        </w:rPr>
        <w:t xml:space="preserve">Існує невірна думка, </w:t>
      </w:r>
      <w:r w:rsidR="00323DA9" w:rsidRPr="00EA77E3">
        <w:rPr>
          <w:rFonts w:eastAsia="Calibri"/>
          <w:color w:val="000000" w:themeColor="text1"/>
          <w:szCs w:val="28"/>
        </w:rPr>
        <w:t>що зниження дитячої смертності буде сприяти перенаселенню пла</w:t>
      </w:r>
      <w:r w:rsidR="00BE03BE">
        <w:rPr>
          <w:rFonts w:eastAsia="Calibri"/>
          <w:color w:val="000000" w:themeColor="text1"/>
          <w:szCs w:val="28"/>
        </w:rPr>
        <w:t xml:space="preserve">нети, але слід зазначити, що </w:t>
      </w:r>
      <w:r w:rsidR="00323DA9" w:rsidRPr="00EA77E3">
        <w:rPr>
          <w:rFonts w:eastAsia="Calibri"/>
          <w:color w:val="000000" w:themeColor="text1"/>
          <w:szCs w:val="28"/>
        </w:rPr>
        <w:t xml:space="preserve">коли </w:t>
      </w:r>
      <w:r w:rsidR="00BE03BE">
        <w:rPr>
          <w:rFonts w:eastAsia="Calibri"/>
          <w:color w:val="000000" w:themeColor="text1"/>
          <w:szCs w:val="28"/>
        </w:rPr>
        <w:t>зростає виживаність дітей</w:t>
      </w:r>
      <w:r w:rsidR="00323DA9" w:rsidRPr="00EA77E3">
        <w:rPr>
          <w:rFonts w:eastAsia="Calibri"/>
          <w:color w:val="000000" w:themeColor="text1"/>
          <w:szCs w:val="28"/>
        </w:rPr>
        <w:t xml:space="preserve">, народжуваність падає, і тимчасовий приріст населення закінчується. </w:t>
      </w:r>
      <w:r w:rsidR="00BE03BE">
        <w:rPr>
          <w:rFonts w:eastAsia="Calibri"/>
          <w:color w:val="000000" w:themeColor="text1"/>
          <w:szCs w:val="28"/>
        </w:rPr>
        <w:t xml:space="preserve">Таким чином, для </w:t>
      </w:r>
      <w:r w:rsidR="00323DA9" w:rsidRPr="00EA77E3">
        <w:rPr>
          <w:rFonts w:eastAsia="Calibri"/>
          <w:color w:val="000000" w:themeColor="text1"/>
          <w:szCs w:val="28"/>
        </w:rPr>
        <w:t xml:space="preserve"> п</w:t>
      </w:r>
      <w:r w:rsidR="00BE03BE">
        <w:rPr>
          <w:rFonts w:eastAsia="Calibri"/>
          <w:color w:val="000000" w:themeColor="text1"/>
          <w:szCs w:val="28"/>
        </w:rPr>
        <w:t>рипинення зростання населення світу треба знижувати смертність</w:t>
      </w:r>
      <w:r w:rsidR="003F7FC8">
        <w:rPr>
          <w:rFonts w:eastAsia="Calibri"/>
          <w:color w:val="000000" w:themeColor="text1"/>
          <w:szCs w:val="28"/>
        </w:rPr>
        <w:t xml:space="preserve"> дітей [</w:t>
      </w:r>
      <w:r w:rsidR="003F7FC8" w:rsidRPr="003F7FC8">
        <w:rPr>
          <w:rFonts w:eastAsia="Calibri"/>
          <w:color w:val="000000" w:themeColor="text1"/>
          <w:szCs w:val="28"/>
        </w:rPr>
        <w:t>205</w:t>
      </w:r>
      <w:r w:rsidR="00323DA9" w:rsidRPr="00EA77E3">
        <w:rPr>
          <w:rFonts w:eastAsia="Calibri"/>
          <w:color w:val="000000" w:themeColor="text1"/>
          <w:szCs w:val="28"/>
        </w:rPr>
        <w:t>].</w:t>
      </w:r>
    </w:p>
    <w:p w:rsidR="00323DA9" w:rsidRPr="00EA77E3" w:rsidRDefault="00323DA9" w:rsidP="00721203">
      <w:pPr>
        <w:widowControl w:val="0"/>
        <w:ind w:firstLine="708"/>
        <w:rPr>
          <w:rFonts w:eastAsia="Calibri"/>
          <w:color w:val="000000" w:themeColor="text1"/>
          <w:szCs w:val="28"/>
        </w:rPr>
      </w:pPr>
      <w:r w:rsidRPr="00EA77E3">
        <w:rPr>
          <w:rFonts w:eastAsia="Calibri"/>
          <w:color w:val="000000" w:themeColor="text1"/>
          <w:szCs w:val="28"/>
        </w:rPr>
        <w:t>Як було зазначено вище, соціальні детермінанти мають значний впли</w:t>
      </w:r>
      <w:r w:rsidR="00944CF1">
        <w:rPr>
          <w:rFonts w:eastAsia="Calibri"/>
          <w:color w:val="000000" w:themeColor="text1"/>
          <w:szCs w:val="28"/>
        </w:rPr>
        <w:t xml:space="preserve">в на дитячу смертність. Дані </w:t>
      </w:r>
      <w:r w:rsidR="00123190">
        <w:rPr>
          <w:rFonts w:eastAsia="Calibri"/>
          <w:color w:val="000000" w:themeColor="text1"/>
          <w:szCs w:val="28"/>
        </w:rPr>
        <w:t xml:space="preserve">світових </w:t>
      </w:r>
      <w:r w:rsidR="00944CF1">
        <w:rPr>
          <w:rFonts w:eastAsia="Calibri"/>
          <w:color w:val="000000" w:themeColor="text1"/>
          <w:szCs w:val="28"/>
        </w:rPr>
        <w:t>досліджень с</w:t>
      </w:r>
      <w:r w:rsidR="00AE4781" w:rsidRPr="00AE4781">
        <w:rPr>
          <w:rFonts w:eastAsia="Calibri"/>
          <w:color w:val="000000" w:themeColor="text1"/>
          <w:szCs w:val="28"/>
        </w:rPr>
        <w:t>в</w:t>
      </w:r>
      <w:r w:rsidR="00944CF1">
        <w:rPr>
          <w:rFonts w:eastAsia="Calibri"/>
          <w:color w:val="000000" w:themeColor="text1"/>
          <w:szCs w:val="28"/>
        </w:rPr>
        <w:t>ідчать</w:t>
      </w:r>
      <w:r w:rsidRPr="00EA77E3">
        <w:rPr>
          <w:rFonts w:eastAsia="Calibri"/>
          <w:color w:val="000000" w:themeColor="text1"/>
          <w:szCs w:val="28"/>
        </w:rPr>
        <w:t xml:space="preserve">, що </w:t>
      </w:r>
      <w:r w:rsidR="00944CF1">
        <w:rPr>
          <w:rFonts w:eastAsia="Calibri"/>
          <w:color w:val="000000" w:themeColor="text1"/>
          <w:szCs w:val="28"/>
        </w:rPr>
        <w:t>значний</w:t>
      </w:r>
      <w:r w:rsidRPr="00EA77E3">
        <w:rPr>
          <w:rFonts w:eastAsia="Calibri"/>
          <w:color w:val="000000" w:themeColor="text1"/>
          <w:szCs w:val="28"/>
        </w:rPr>
        <w:t xml:space="preserve"> вплив на</w:t>
      </w:r>
      <w:r w:rsidR="00944CF1">
        <w:rPr>
          <w:rFonts w:eastAsia="Calibri"/>
          <w:color w:val="000000" w:themeColor="text1"/>
          <w:szCs w:val="28"/>
        </w:rPr>
        <w:t xml:space="preserve"> виживаність дітей </w:t>
      </w:r>
      <w:r w:rsidR="00944CF1">
        <w:rPr>
          <w:rFonts w:eastAsia="Calibri"/>
          <w:color w:val="000000" w:themeColor="text1"/>
          <w:szCs w:val="28"/>
        </w:rPr>
        <w:lastRenderedPageBreak/>
        <w:t>старше 1-го</w:t>
      </w:r>
      <w:r w:rsidRPr="00EA77E3">
        <w:rPr>
          <w:rFonts w:eastAsia="Calibri"/>
          <w:color w:val="000000" w:themeColor="text1"/>
          <w:szCs w:val="28"/>
        </w:rPr>
        <w:t xml:space="preserve"> місяця має зовнішнє довкілля, в якому вони перебувають. В зв’язку з цим для пос</w:t>
      </w:r>
      <w:r w:rsidR="00944CF1">
        <w:rPr>
          <w:rFonts w:eastAsia="Calibri"/>
          <w:color w:val="000000" w:themeColor="text1"/>
          <w:szCs w:val="28"/>
        </w:rPr>
        <w:t>тнеонатальної смертності важливі заходи, що спрямовані</w:t>
      </w:r>
      <w:r w:rsidRPr="00EA77E3">
        <w:rPr>
          <w:rFonts w:eastAsia="Calibri"/>
          <w:color w:val="000000" w:themeColor="text1"/>
          <w:szCs w:val="28"/>
        </w:rPr>
        <w:t xml:space="preserve"> на соціально-економічну среду. </w:t>
      </w:r>
      <w:r w:rsidR="00944CF1">
        <w:rPr>
          <w:rFonts w:eastAsia="Calibri"/>
          <w:color w:val="000000" w:themeColor="text1"/>
          <w:szCs w:val="28"/>
        </w:rPr>
        <w:t>Зростання доходів сім’ї сприяють поліпшенню</w:t>
      </w:r>
      <w:r w:rsidRPr="00EA77E3">
        <w:rPr>
          <w:rFonts w:eastAsia="Calibri"/>
          <w:color w:val="000000" w:themeColor="text1"/>
          <w:szCs w:val="28"/>
        </w:rPr>
        <w:t xml:space="preserve"> забезпеченості жит</w:t>
      </w:r>
      <w:r w:rsidR="00944CF1">
        <w:rPr>
          <w:rFonts w:eastAsia="Calibri"/>
          <w:color w:val="000000" w:themeColor="text1"/>
          <w:szCs w:val="28"/>
        </w:rPr>
        <w:t>лом і житлових умов, продовольчій безпеці</w:t>
      </w:r>
      <w:r w:rsidRPr="00EA77E3">
        <w:rPr>
          <w:rFonts w:eastAsia="Calibri"/>
          <w:color w:val="000000" w:themeColor="text1"/>
          <w:szCs w:val="28"/>
        </w:rPr>
        <w:t>, доступ</w:t>
      </w:r>
      <w:r w:rsidR="00944CF1">
        <w:rPr>
          <w:rFonts w:eastAsia="Calibri"/>
          <w:color w:val="000000" w:themeColor="text1"/>
          <w:szCs w:val="28"/>
        </w:rPr>
        <w:t>у</w:t>
      </w:r>
      <w:r w:rsidRPr="00EA77E3">
        <w:rPr>
          <w:rFonts w:eastAsia="Calibri"/>
          <w:color w:val="000000" w:themeColor="text1"/>
          <w:szCs w:val="28"/>
        </w:rPr>
        <w:t xml:space="preserve"> до чистої води і належної санітарії, доступ</w:t>
      </w:r>
      <w:r w:rsidR="00944CF1">
        <w:rPr>
          <w:rFonts w:eastAsia="Calibri"/>
          <w:color w:val="000000" w:themeColor="text1"/>
          <w:szCs w:val="28"/>
        </w:rPr>
        <w:t>у</w:t>
      </w:r>
      <w:r w:rsidRPr="00EA77E3">
        <w:rPr>
          <w:rFonts w:eastAsia="Calibri"/>
          <w:color w:val="000000" w:themeColor="text1"/>
          <w:szCs w:val="28"/>
        </w:rPr>
        <w:t xml:space="preserve"> до медико-санітарної допомоги, </w:t>
      </w:r>
      <w:r w:rsidR="00944CF1">
        <w:rPr>
          <w:rFonts w:eastAsia="Calibri"/>
          <w:color w:val="000000" w:themeColor="text1"/>
          <w:szCs w:val="28"/>
        </w:rPr>
        <w:t xml:space="preserve">поліпшенню </w:t>
      </w:r>
      <w:r w:rsidRPr="00EA77E3">
        <w:rPr>
          <w:rFonts w:eastAsia="Calibri"/>
          <w:color w:val="000000" w:themeColor="text1"/>
          <w:szCs w:val="28"/>
        </w:rPr>
        <w:t>догляд</w:t>
      </w:r>
      <w:r w:rsidR="00944CF1">
        <w:rPr>
          <w:rFonts w:eastAsia="Calibri"/>
          <w:color w:val="000000" w:themeColor="text1"/>
          <w:szCs w:val="28"/>
        </w:rPr>
        <w:t>у</w:t>
      </w:r>
      <w:r w:rsidRPr="00EA77E3">
        <w:rPr>
          <w:rFonts w:eastAsia="Calibri"/>
          <w:color w:val="000000" w:themeColor="text1"/>
          <w:szCs w:val="28"/>
        </w:rPr>
        <w:t xml:space="preserve"> за ді</w:t>
      </w:r>
      <w:r w:rsidR="00944CF1">
        <w:rPr>
          <w:rFonts w:eastAsia="Calibri"/>
          <w:color w:val="000000" w:themeColor="text1"/>
          <w:szCs w:val="28"/>
        </w:rPr>
        <w:t>тьми грудного віку та практичних методик</w:t>
      </w:r>
      <w:r w:rsidRPr="00EA77E3">
        <w:rPr>
          <w:rFonts w:eastAsia="Calibri"/>
          <w:color w:val="000000" w:themeColor="text1"/>
          <w:szCs w:val="28"/>
        </w:rPr>
        <w:t xml:space="preserve"> годування, які впливають на безпосередні чинники ризику дитячої смертності –  недоїдання, діарею і гострі респіраторні інфекції. Комісія ВООЗ </w:t>
      </w:r>
      <w:r w:rsidR="00123190">
        <w:rPr>
          <w:rFonts w:eastAsia="Calibri"/>
          <w:color w:val="000000" w:themeColor="text1"/>
          <w:szCs w:val="28"/>
        </w:rPr>
        <w:t>і</w:t>
      </w:r>
      <w:r w:rsidRPr="00EA77E3">
        <w:rPr>
          <w:rFonts w:eastAsia="Calibri"/>
          <w:color w:val="000000" w:themeColor="text1"/>
          <w:szCs w:val="28"/>
        </w:rPr>
        <w:t>з соціальних детермінант здоров'я</w:t>
      </w:r>
      <w:r w:rsidR="00DA7997">
        <w:rPr>
          <w:rFonts w:eastAsia="Calibri"/>
          <w:color w:val="000000" w:themeColor="text1"/>
          <w:szCs w:val="28"/>
        </w:rPr>
        <w:t xml:space="preserve"> у 2010 р.</w:t>
      </w:r>
      <w:r w:rsidRPr="00EA77E3">
        <w:rPr>
          <w:rFonts w:eastAsia="Calibri"/>
          <w:color w:val="000000" w:themeColor="text1"/>
          <w:szCs w:val="28"/>
        </w:rPr>
        <w:t xml:space="preserve"> представила концептуальні основи цілого ряду детермінант, починаючи від біологічних і поведінкових факторів ризику найближчих до хвороби, до більш віддалених соціально-культурних та економ</w:t>
      </w:r>
      <w:r w:rsidR="00944CF1">
        <w:rPr>
          <w:rFonts w:eastAsia="Calibri"/>
          <w:color w:val="000000" w:themeColor="text1"/>
          <w:szCs w:val="28"/>
        </w:rPr>
        <w:t xml:space="preserve">ічних факторів, </w:t>
      </w:r>
      <w:r w:rsidRPr="00EA77E3">
        <w:rPr>
          <w:rFonts w:eastAsia="Calibri"/>
          <w:color w:val="000000" w:themeColor="text1"/>
          <w:szCs w:val="28"/>
        </w:rPr>
        <w:t>факторів політики (в області охорони здоров'я і в соціальній сфері), керівництва та соціально-політичного контекста. Політика, що проводиться за межами сектора охорони здоров'я, не впливає на здоров'я та виживаність сама по собі, а</w:t>
      </w:r>
      <w:r w:rsidR="00123190">
        <w:rPr>
          <w:rFonts w:eastAsia="Calibri"/>
          <w:color w:val="000000" w:themeColor="text1"/>
          <w:szCs w:val="28"/>
        </w:rPr>
        <w:t>ле</w:t>
      </w:r>
      <w:r w:rsidRPr="00EA77E3">
        <w:rPr>
          <w:rFonts w:eastAsia="Calibri"/>
          <w:color w:val="000000" w:themeColor="text1"/>
          <w:szCs w:val="28"/>
        </w:rPr>
        <w:t xml:space="preserve"> впливає через складний синергізм структурних, соціально-культурних, поведінкови</w:t>
      </w:r>
      <w:r w:rsidR="00DA27D0">
        <w:rPr>
          <w:rFonts w:eastAsia="Calibri"/>
          <w:color w:val="000000" w:themeColor="text1"/>
          <w:szCs w:val="28"/>
        </w:rPr>
        <w:t>х і біологічних детермінант [</w:t>
      </w:r>
      <w:r w:rsidR="008C004C">
        <w:rPr>
          <w:rFonts w:eastAsia="Calibri"/>
          <w:color w:val="000000" w:themeColor="text1"/>
          <w:szCs w:val="28"/>
        </w:rPr>
        <w:t xml:space="preserve">7, 25, </w:t>
      </w:r>
      <w:r w:rsidR="00DA27D0">
        <w:rPr>
          <w:rFonts w:eastAsia="Calibri"/>
          <w:color w:val="000000" w:themeColor="text1"/>
          <w:szCs w:val="28"/>
          <w:lang w:val="ru-RU"/>
        </w:rPr>
        <w:t>206-211</w:t>
      </w:r>
      <w:r w:rsidRPr="00EA77E3">
        <w:rPr>
          <w:rFonts w:eastAsia="Calibri"/>
          <w:color w:val="000000" w:themeColor="text1"/>
          <w:szCs w:val="28"/>
        </w:rPr>
        <w:t>].</w:t>
      </w:r>
    </w:p>
    <w:p w:rsidR="007F2004" w:rsidRPr="007F2004" w:rsidRDefault="00F176CA" w:rsidP="007F2004">
      <w:pPr>
        <w:widowControl w:val="0"/>
        <w:spacing w:after="240"/>
        <w:ind w:firstLine="708"/>
        <w:rPr>
          <w:rFonts w:eastAsia="Calibri"/>
          <w:color w:val="000000" w:themeColor="text1"/>
          <w:szCs w:val="28"/>
          <w:lang w:val="ru-RU"/>
        </w:rPr>
      </w:pPr>
      <w:r>
        <w:rPr>
          <w:rFonts w:eastAsia="Calibri"/>
          <w:color w:val="000000" w:themeColor="text1"/>
          <w:szCs w:val="28"/>
        </w:rPr>
        <w:t>У</w:t>
      </w:r>
      <w:r w:rsidR="00323DA9" w:rsidRPr="00EA77E3">
        <w:rPr>
          <w:rFonts w:eastAsia="Calibri"/>
          <w:color w:val="000000" w:themeColor="text1"/>
          <w:szCs w:val="28"/>
        </w:rPr>
        <w:t xml:space="preserve"> березні 2017 р ВООЗ випустила друге видання доповіді «Inheriting a sustainable world: The atlas on children's health and the environment» («Успадкувати стійкий мир: атлас здоров'я дітей і нав</w:t>
      </w:r>
      <w:r w:rsidR="007D6D70">
        <w:rPr>
          <w:rFonts w:eastAsia="Calibri"/>
          <w:color w:val="000000" w:themeColor="text1"/>
          <w:szCs w:val="28"/>
        </w:rPr>
        <w:t>колишнього середовища»), у</w:t>
      </w:r>
      <w:r w:rsidR="00323DA9" w:rsidRPr="00EA77E3">
        <w:rPr>
          <w:rFonts w:eastAsia="Calibri"/>
          <w:color w:val="000000" w:themeColor="text1"/>
          <w:szCs w:val="28"/>
        </w:rPr>
        <w:t xml:space="preserve"> я</w:t>
      </w:r>
      <w:r>
        <w:rPr>
          <w:rFonts w:eastAsia="Calibri"/>
          <w:color w:val="000000" w:themeColor="text1"/>
          <w:szCs w:val="28"/>
        </w:rPr>
        <w:t xml:space="preserve">кому зазначено </w:t>
      </w:r>
      <w:r w:rsidR="00323DA9" w:rsidRPr="00EA77E3">
        <w:rPr>
          <w:rFonts w:eastAsia="Calibri"/>
          <w:color w:val="000000" w:themeColor="text1"/>
          <w:szCs w:val="28"/>
        </w:rPr>
        <w:t>вплив навколишнього середовища н</w:t>
      </w:r>
      <w:r w:rsidR="007D6D70">
        <w:rPr>
          <w:rFonts w:eastAsia="Calibri"/>
          <w:color w:val="000000" w:themeColor="text1"/>
          <w:szCs w:val="28"/>
        </w:rPr>
        <w:t>а здоров'я дітей і рекомендовано</w:t>
      </w:r>
      <w:r w:rsidR="00323DA9" w:rsidRPr="00EA77E3">
        <w:rPr>
          <w:rFonts w:eastAsia="Calibri"/>
          <w:color w:val="000000" w:themeColor="text1"/>
          <w:szCs w:val="28"/>
        </w:rPr>
        <w:t xml:space="preserve"> рішення для запобігання захворювань і ви</w:t>
      </w:r>
      <w:r w:rsidR="00FE3B5C">
        <w:rPr>
          <w:rFonts w:eastAsia="Calibri"/>
          <w:color w:val="000000" w:themeColor="text1"/>
          <w:szCs w:val="28"/>
        </w:rPr>
        <w:t>падків смерті</w:t>
      </w:r>
      <w:r w:rsidR="007D6D70">
        <w:rPr>
          <w:rFonts w:eastAsia="Calibri"/>
          <w:color w:val="000000" w:themeColor="text1"/>
          <w:szCs w:val="28"/>
        </w:rPr>
        <w:t xml:space="preserve"> дітей у </w:t>
      </w:r>
      <w:r w:rsidR="00FE3B5C">
        <w:rPr>
          <w:rFonts w:eastAsia="Calibri"/>
          <w:color w:val="000000" w:themeColor="text1"/>
          <w:szCs w:val="28"/>
        </w:rPr>
        <w:t>майбутньому [</w:t>
      </w:r>
      <w:r w:rsidR="00FE3B5C" w:rsidRPr="00FE3B5C">
        <w:rPr>
          <w:rFonts w:eastAsia="Calibri"/>
          <w:color w:val="000000" w:themeColor="text1"/>
          <w:szCs w:val="28"/>
        </w:rPr>
        <w:t>212</w:t>
      </w:r>
      <w:r w:rsidR="00323DA9" w:rsidRPr="00EA77E3">
        <w:rPr>
          <w:rFonts w:eastAsia="Calibri"/>
          <w:color w:val="000000" w:themeColor="text1"/>
          <w:szCs w:val="28"/>
        </w:rPr>
        <w:t xml:space="preserve">]. Значну частину найбільш поширених причин смерті дітей у віці від 1 місяця до 5 років можна попередити за допомогою заходів, спрямованих на зниження ризиків, пов'язаних </w:t>
      </w:r>
      <w:r w:rsidR="00AC093A">
        <w:rPr>
          <w:rFonts w:eastAsia="Calibri"/>
          <w:color w:val="000000" w:themeColor="text1"/>
          <w:szCs w:val="28"/>
        </w:rPr>
        <w:t>і</w:t>
      </w:r>
      <w:r w:rsidR="00323DA9" w:rsidRPr="00EA77E3">
        <w:rPr>
          <w:rFonts w:eastAsia="Calibri"/>
          <w:color w:val="000000" w:themeColor="text1"/>
          <w:szCs w:val="28"/>
        </w:rPr>
        <w:t>з навколишнім середовищем</w:t>
      </w:r>
      <w:r w:rsidR="00520A75">
        <w:rPr>
          <w:rFonts w:eastAsia="Calibri"/>
          <w:color w:val="000000" w:themeColor="text1"/>
          <w:szCs w:val="28"/>
        </w:rPr>
        <w:t xml:space="preserve">. </w:t>
      </w:r>
      <w:r w:rsidR="00323DA9" w:rsidRPr="00EA77E3">
        <w:rPr>
          <w:rFonts w:eastAsia="Calibri"/>
          <w:color w:val="000000" w:themeColor="text1"/>
          <w:szCs w:val="28"/>
        </w:rPr>
        <w:t>Шкідливий вплив може</w:t>
      </w:r>
      <w:r w:rsidR="00AE0222">
        <w:rPr>
          <w:rFonts w:eastAsia="Calibri"/>
          <w:color w:val="000000" w:themeColor="text1"/>
          <w:szCs w:val="28"/>
        </w:rPr>
        <w:t xml:space="preserve"> поча</w:t>
      </w:r>
      <w:r w:rsidR="00AC093A">
        <w:rPr>
          <w:rFonts w:eastAsia="Calibri"/>
          <w:color w:val="000000" w:themeColor="text1"/>
          <w:szCs w:val="28"/>
        </w:rPr>
        <w:t>тися ще в утробі матері й</w:t>
      </w:r>
      <w:r w:rsidR="00323DA9" w:rsidRPr="00EA77E3">
        <w:rPr>
          <w:rFonts w:eastAsia="Calibri"/>
          <w:color w:val="000000" w:themeColor="text1"/>
          <w:szCs w:val="28"/>
        </w:rPr>
        <w:t xml:space="preserve"> підвищувати ризик передчасних пологів. Крім того, якщо діти грудного та дошкільного віку піддаються впливу забрудненого повітря </w:t>
      </w:r>
      <w:r w:rsidR="00AC093A">
        <w:rPr>
          <w:rFonts w:eastAsia="Calibri"/>
          <w:color w:val="000000" w:themeColor="text1"/>
          <w:szCs w:val="28"/>
        </w:rPr>
        <w:t xml:space="preserve">всередині і поза приміщеннями, </w:t>
      </w:r>
      <w:r w:rsidR="00323DA9" w:rsidRPr="00EA77E3">
        <w:rPr>
          <w:rFonts w:eastAsia="Calibri"/>
          <w:color w:val="000000" w:themeColor="text1"/>
          <w:szCs w:val="28"/>
        </w:rPr>
        <w:t xml:space="preserve">вторинного тютюнового диму, їм загрожує підвищений ризик розвитку пневмонії в дитинстві і хронічних респіраторних хвороб, таких як астма, протягом життя. Вплив забрудненого повітря може також підвищувати ризик розвитку хвороб серця, інсульту і раку </w:t>
      </w:r>
      <w:r w:rsidR="00323DA9" w:rsidRPr="00EA77E3">
        <w:rPr>
          <w:rFonts w:eastAsia="Calibri"/>
          <w:color w:val="000000" w:themeColor="text1"/>
          <w:szCs w:val="28"/>
        </w:rPr>
        <w:lastRenderedPageBreak/>
        <w:t>протягом життя. Друга доповідь</w:t>
      </w:r>
      <w:r w:rsidR="000502C6" w:rsidRPr="007850BF">
        <w:rPr>
          <w:rFonts w:eastAsia="Calibri"/>
          <w:color w:val="000000" w:themeColor="text1"/>
          <w:szCs w:val="28"/>
          <w:lang w:val="en-US"/>
        </w:rPr>
        <w:t xml:space="preserve"> </w:t>
      </w:r>
      <w:r w:rsidR="00323DA9" w:rsidRPr="00EA77E3">
        <w:rPr>
          <w:rFonts w:ascii="Calibri" w:eastAsia="Calibri" w:hAnsi="Calibri"/>
          <w:color w:val="000000" w:themeColor="text1"/>
          <w:sz w:val="22"/>
        </w:rPr>
        <w:t xml:space="preserve"> «</w:t>
      </w:r>
      <w:r w:rsidR="00323DA9" w:rsidRPr="00EA77E3">
        <w:rPr>
          <w:rFonts w:eastAsia="Calibri"/>
          <w:color w:val="000000" w:themeColor="text1"/>
          <w:szCs w:val="28"/>
        </w:rPr>
        <w:t>Do not pollute my future! The impact of the envi</w:t>
      </w:r>
      <w:r w:rsidR="000502C6">
        <w:rPr>
          <w:rFonts w:eastAsia="Calibri"/>
          <w:color w:val="000000" w:themeColor="text1"/>
          <w:szCs w:val="28"/>
        </w:rPr>
        <w:t>ronment on children's health» (</w:t>
      </w:r>
      <w:r w:rsidR="00323DA9" w:rsidRPr="00EA77E3">
        <w:rPr>
          <w:rFonts w:eastAsia="Calibri"/>
          <w:color w:val="000000" w:themeColor="text1"/>
          <w:szCs w:val="28"/>
        </w:rPr>
        <w:t>«Не забруднюйте моє майбутнє! Вплив навколишнього середовища на здоров'я дітей») містить всебічний огляд впливу навколишнього середовища на здоров'я дітей, що свідчить</w:t>
      </w:r>
      <w:r w:rsidR="00661E43">
        <w:rPr>
          <w:rFonts w:eastAsia="Calibri"/>
          <w:color w:val="000000" w:themeColor="text1"/>
          <w:szCs w:val="28"/>
        </w:rPr>
        <w:t xml:space="preserve"> про масштаби цієї проблеми [</w:t>
      </w:r>
      <w:r w:rsidR="00661E43">
        <w:rPr>
          <w:rFonts w:eastAsia="Calibri"/>
          <w:color w:val="000000" w:themeColor="text1"/>
          <w:szCs w:val="28"/>
          <w:lang w:val="ru-RU"/>
        </w:rPr>
        <w:t>213</w:t>
      </w:r>
      <w:r w:rsidR="00AC093A">
        <w:rPr>
          <w:rFonts w:eastAsia="Calibri"/>
          <w:color w:val="000000" w:themeColor="text1"/>
          <w:szCs w:val="28"/>
        </w:rPr>
        <w:t>]. Щорічно: 570</w:t>
      </w:r>
      <w:r w:rsidR="00323DA9" w:rsidRPr="00EA77E3">
        <w:rPr>
          <w:rFonts w:eastAsia="Calibri"/>
          <w:color w:val="000000" w:themeColor="text1"/>
          <w:szCs w:val="28"/>
        </w:rPr>
        <w:t>000 дітей у віці до 5</w:t>
      </w:r>
      <w:r w:rsidR="00D84DAE">
        <w:rPr>
          <w:rFonts w:eastAsia="Calibri"/>
          <w:color w:val="000000" w:themeColor="text1"/>
          <w:szCs w:val="28"/>
        </w:rPr>
        <w:t>-ти</w:t>
      </w:r>
      <w:r w:rsidR="00323DA9" w:rsidRPr="00EA77E3">
        <w:rPr>
          <w:rFonts w:eastAsia="Calibri"/>
          <w:color w:val="000000" w:themeColor="text1"/>
          <w:szCs w:val="28"/>
        </w:rPr>
        <w:t xml:space="preserve"> років помирають від респіраторних інфекцій, таких як пневмонія, обумовлених забрудненням повітря всередині і поза приміщеннями і вторинним тютюновим</w:t>
      </w:r>
      <w:r w:rsidR="00AC093A">
        <w:rPr>
          <w:rFonts w:eastAsia="Calibri"/>
          <w:color w:val="000000" w:themeColor="text1"/>
          <w:szCs w:val="28"/>
        </w:rPr>
        <w:t xml:space="preserve"> димом; 361</w:t>
      </w:r>
      <w:r w:rsidR="00520A75">
        <w:rPr>
          <w:rFonts w:eastAsia="Calibri"/>
          <w:color w:val="000000" w:themeColor="text1"/>
          <w:szCs w:val="28"/>
        </w:rPr>
        <w:t>000 дітей –</w:t>
      </w:r>
      <w:r w:rsidR="00D84DAE">
        <w:rPr>
          <w:rFonts w:eastAsia="Calibri"/>
          <w:color w:val="000000" w:themeColor="text1"/>
          <w:szCs w:val="28"/>
        </w:rPr>
        <w:t xml:space="preserve"> від діареї через поганий</w:t>
      </w:r>
      <w:r w:rsidR="00323DA9" w:rsidRPr="00EA77E3">
        <w:rPr>
          <w:rFonts w:eastAsia="Calibri"/>
          <w:color w:val="000000" w:themeColor="text1"/>
          <w:szCs w:val="28"/>
        </w:rPr>
        <w:t xml:space="preserve"> доступу до чистої води, санітарії та г</w:t>
      </w:r>
      <w:r w:rsidR="00AC093A">
        <w:rPr>
          <w:rFonts w:eastAsia="Calibri"/>
          <w:color w:val="000000" w:themeColor="text1"/>
          <w:szCs w:val="28"/>
        </w:rPr>
        <w:t>ігієни; 270</w:t>
      </w:r>
      <w:r w:rsidR="00520A75">
        <w:rPr>
          <w:rFonts w:eastAsia="Calibri"/>
          <w:color w:val="000000" w:themeColor="text1"/>
          <w:szCs w:val="28"/>
        </w:rPr>
        <w:t xml:space="preserve">000 дітей </w:t>
      </w:r>
      <w:r w:rsidR="00323DA9" w:rsidRPr="00EA77E3">
        <w:rPr>
          <w:rFonts w:eastAsia="Calibri"/>
          <w:color w:val="000000" w:themeColor="text1"/>
          <w:szCs w:val="28"/>
        </w:rPr>
        <w:t>протягом їх першого місяця життя</w:t>
      </w:r>
      <w:r w:rsidR="00520A75">
        <w:rPr>
          <w:rFonts w:eastAsia="Calibri"/>
          <w:color w:val="000000" w:themeColor="text1"/>
          <w:szCs w:val="28"/>
        </w:rPr>
        <w:t xml:space="preserve"> – </w:t>
      </w:r>
      <w:r w:rsidR="00323DA9" w:rsidRPr="00EA77E3">
        <w:rPr>
          <w:rFonts w:eastAsia="Calibri"/>
          <w:color w:val="000000" w:themeColor="text1"/>
          <w:szCs w:val="28"/>
        </w:rPr>
        <w:t xml:space="preserve"> від стан</w:t>
      </w:r>
      <w:r w:rsidR="00520A75">
        <w:rPr>
          <w:rFonts w:eastAsia="Calibri"/>
          <w:color w:val="000000" w:themeColor="text1"/>
          <w:szCs w:val="28"/>
        </w:rPr>
        <w:t>ів, включаючи недоношеність, яким</w:t>
      </w:r>
      <w:r w:rsidR="00323DA9" w:rsidRPr="00EA77E3">
        <w:rPr>
          <w:rFonts w:eastAsia="Calibri"/>
          <w:color w:val="000000" w:themeColor="text1"/>
          <w:szCs w:val="28"/>
        </w:rPr>
        <w:t xml:space="preserve"> можна було б запобігти при забезпеченні доступу до чистої води, санітарії та гігієни в медичних установах, і зниженні рівнів забруднення повітря; 200000 дітей у віці до 5 років помирають в результаті ненавмисних травм, зумовлених довкіллям, таких як отруєння, падіння і утоплення. </w:t>
      </w:r>
      <w:r w:rsidR="006D7497">
        <w:rPr>
          <w:rFonts w:eastAsia="Calibri"/>
          <w:color w:val="000000" w:themeColor="text1"/>
          <w:szCs w:val="28"/>
        </w:rPr>
        <w:t xml:space="preserve">Також, </w:t>
      </w:r>
      <w:r w:rsidR="00323DA9" w:rsidRPr="00EA77E3">
        <w:rPr>
          <w:rFonts w:eastAsia="Calibri"/>
          <w:color w:val="000000" w:themeColor="text1"/>
          <w:szCs w:val="28"/>
        </w:rPr>
        <w:t xml:space="preserve">в даний час 11-14% дітей у віці </w:t>
      </w:r>
      <w:r w:rsidR="00AC093A">
        <w:rPr>
          <w:rFonts w:eastAsia="Calibri"/>
          <w:color w:val="000000" w:themeColor="text1"/>
          <w:szCs w:val="28"/>
        </w:rPr>
        <w:t xml:space="preserve">до </w:t>
      </w:r>
      <w:r w:rsidR="00323DA9" w:rsidRPr="00EA77E3">
        <w:rPr>
          <w:rFonts w:eastAsia="Calibri"/>
          <w:color w:val="000000" w:themeColor="text1"/>
          <w:szCs w:val="28"/>
        </w:rPr>
        <w:t>5 років і старше в усьому світі мают</w:t>
      </w:r>
      <w:r w:rsidR="00AC093A">
        <w:rPr>
          <w:rFonts w:eastAsia="Calibri"/>
          <w:color w:val="000000" w:themeColor="text1"/>
          <w:szCs w:val="28"/>
        </w:rPr>
        <w:t>ь симптоми астми, з них 44% випадків х</w:t>
      </w:r>
      <w:r w:rsidR="001C0595">
        <w:rPr>
          <w:rFonts w:eastAsia="Calibri"/>
          <w:color w:val="000000" w:themeColor="text1"/>
          <w:szCs w:val="28"/>
        </w:rPr>
        <w:t>в</w:t>
      </w:r>
      <w:r w:rsidR="00AC093A">
        <w:rPr>
          <w:rFonts w:eastAsia="Calibri"/>
          <w:color w:val="000000" w:themeColor="text1"/>
          <w:szCs w:val="28"/>
        </w:rPr>
        <w:t xml:space="preserve">ороби пов’язані </w:t>
      </w:r>
      <w:r w:rsidR="00323DA9" w:rsidRPr="00EA77E3">
        <w:rPr>
          <w:rFonts w:eastAsia="Calibri"/>
          <w:color w:val="000000" w:themeColor="text1"/>
          <w:szCs w:val="28"/>
        </w:rPr>
        <w:t>з впливом навколишнього середовища [</w:t>
      </w:r>
      <w:r w:rsidR="00E3176A">
        <w:rPr>
          <w:rFonts w:eastAsia="Calibri"/>
          <w:color w:val="000000" w:themeColor="text1"/>
          <w:szCs w:val="28"/>
          <w:lang w:val="ru-RU"/>
        </w:rPr>
        <w:t>212-223</w:t>
      </w:r>
      <w:r w:rsidR="00323DA9" w:rsidRPr="00EA77E3">
        <w:rPr>
          <w:rFonts w:eastAsia="Calibri"/>
          <w:color w:val="000000" w:themeColor="text1"/>
          <w:szCs w:val="28"/>
        </w:rPr>
        <w:t>].</w:t>
      </w:r>
    </w:p>
    <w:p w:rsidR="00323DA9" w:rsidRPr="007F2004" w:rsidRDefault="00284B85" w:rsidP="00284B85">
      <w:pPr>
        <w:widowControl w:val="0"/>
        <w:tabs>
          <w:tab w:val="left" w:pos="523"/>
        </w:tabs>
        <w:spacing w:line="276" w:lineRule="auto"/>
        <w:ind w:left="567"/>
        <w:contextualSpacing/>
        <w:jc w:val="left"/>
        <w:rPr>
          <w:rFonts w:eastAsia="Calibri"/>
          <w:b/>
          <w:color w:val="000000" w:themeColor="text1"/>
          <w:szCs w:val="28"/>
        </w:rPr>
      </w:pPr>
      <w:r>
        <w:rPr>
          <w:rFonts w:eastAsia="Calibri"/>
          <w:b/>
          <w:color w:val="000000" w:themeColor="text1"/>
          <w:szCs w:val="28"/>
          <w:lang w:val="ru-RU"/>
        </w:rPr>
        <w:t xml:space="preserve">1.3. </w:t>
      </w:r>
      <w:r w:rsidR="0038765E">
        <w:rPr>
          <w:rFonts w:eastAsia="Calibri"/>
          <w:b/>
          <w:color w:val="000000" w:themeColor="text1"/>
          <w:szCs w:val="28"/>
        </w:rPr>
        <w:t xml:space="preserve"> </w:t>
      </w:r>
      <w:r w:rsidR="002B4033" w:rsidRPr="002B4033">
        <w:rPr>
          <w:rFonts w:eastAsia="Calibri"/>
          <w:b/>
          <w:szCs w:val="28"/>
        </w:rPr>
        <w:t>Сучасні</w:t>
      </w:r>
      <w:r w:rsidR="00850E5D" w:rsidRPr="00F0065A">
        <w:rPr>
          <w:rFonts w:eastAsia="Calibri"/>
          <w:b/>
          <w:color w:val="FF0000"/>
          <w:szCs w:val="28"/>
        </w:rPr>
        <w:t xml:space="preserve"> </w:t>
      </w:r>
      <w:r w:rsidR="00850E5D" w:rsidRPr="00EA77E3">
        <w:rPr>
          <w:rFonts w:eastAsia="Calibri"/>
          <w:b/>
          <w:color w:val="000000" w:themeColor="text1"/>
          <w:szCs w:val="28"/>
        </w:rPr>
        <w:t>підходи до запобігання відворотних випадків смерті дітей</w:t>
      </w:r>
    </w:p>
    <w:p w:rsidR="007F2004" w:rsidRPr="007F2004" w:rsidRDefault="007F2004" w:rsidP="007F2004">
      <w:pPr>
        <w:widowControl w:val="0"/>
        <w:tabs>
          <w:tab w:val="left" w:pos="523"/>
        </w:tabs>
        <w:spacing w:line="276" w:lineRule="auto"/>
        <w:ind w:left="993"/>
        <w:contextualSpacing/>
        <w:jc w:val="left"/>
        <w:rPr>
          <w:rFonts w:eastAsia="Calibri"/>
          <w:b/>
          <w:color w:val="000000" w:themeColor="text1"/>
          <w:szCs w:val="28"/>
        </w:rPr>
      </w:pPr>
    </w:p>
    <w:p w:rsidR="00323DA9" w:rsidRPr="00EA77E3" w:rsidRDefault="00D86AAF" w:rsidP="007F2004">
      <w:pPr>
        <w:widowControl w:val="0"/>
        <w:tabs>
          <w:tab w:val="left" w:pos="426"/>
        </w:tabs>
        <w:ind w:firstLine="709"/>
        <w:rPr>
          <w:rFonts w:eastAsia="Calibri"/>
          <w:color w:val="000000" w:themeColor="text1"/>
          <w:szCs w:val="28"/>
        </w:rPr>
      </w:pPr>
      <w:r>
        <w:rPr>
          <w:rFonts w:eastAsia="Calibri"/>
          <w:color w:val="000000" w:themeColor="text1"/>
          <w:szCs w:val="28"/>
        </w:rPr>
        <w:t>Попередження дитячої смертності є п</w:t>
      </w:r>
      <w:r w:rsidR="00323DA9" w:rsidRPr="00EA77E3">
        <w:rPr>
          <w:rFonts w:eastAsia="Calibri"/>
          <w:color w:val="000000" w:themeColor="text1"/>
          <w:szCs w:val="28"/>
        </w:rPr>
        <w:t>ровідним завданням сьогодення для всіх країн світу</w:t>
      </w:r>
      <w:r>
        <w:rPr>
          <w:rFonts w:eastAsia="Calibri"/>
          <w:color w:val="000000" w:themeColor="text1"/>
          <w:szCs w:val="28"/>
        </w:rPr>
        <w:t>. В зв’язку з чим державна політика має бути спрямованої на</w:t>
      </w:r>
      <w:r w:rsidR="00743985">
        <w:rPr>
          <w:rFonts w:eastAsia="Calibri"/>
          <w:color w:val="000000" w:themeColor="text1"/>
          <w:szCs w:val="28"/>
        </w:rPr>
        <w:t>:</w:t>
      </w:r>
      <w:r>
        <w:rPr>
          <w:rFonts w:eastAsia="Calibri"/>
          <w:color w:val="000000" w:themeColor="text1"/>
          <w:szCs w:val="28"/>
        </w:rPr>
        <w:t xml:space="preserve"> надання можливості повного розкриття свого потенціалу розвитку маленьким</w:t>
      </w:r>
      <w:r w:rsidR="00535822">
        <w:rPr>
          <w:rFonts w:eastAsia="Calibri"/>
          <w:color w:val="000000" w:themeColor="text1"/>
          <w:szCs w:val="28"/>
        </w:rPr>
        <w:t xml:space="preserve"> дітям</w:t>
      </w:r>
      <w:r w:rsidR="00323DA9" w:rsidRPr="00EA77E3">
        <w:rPr>
          <w:rFonts w:eastAsia="Calibri"/>
          <w:color w:val="000000" w:themeColor="text1"/>
          <w:szCs w:val="28"/>
        </w:rPr>
        <w:t xml:space="preserve">, створивши середовище для сприяння </w:t>
      </w:r>
      <w:r w:rsidR="00743985">
        <w:rPr>
          <w:rFonts w:eastAsia="Calibri"/>
          <w:color w:val="000000" w:themeColor="text1"/>
          <w:szCs w:val="28"/>
        </w:rPr>
        <w:t xml:space="preserve">їх </w:t>
      </w:r>
      <w:r w:rsidR="00323DA9" w:rsidRPr="00EA77E3">
        <w:rPr>
          <w:rFonts w:eastAsia="Calibri"/>
          <w:color w:val="000000" w:themeColor="text1"/>
          <w:szCs w:val="28"/>
        </w:rPr>
        <w:t>емоційному, когнітивному, мовному та с</w:t>
      </w:r>
      <w:r w:rsidR="00535822">
        <w:rPr>
          <w:rFonts w:eastAsia="Calibri"/>
          <w:color w:val="000000" w:themeColor="text1"/>
          <w:szCs w:val="28"/>
        </w:rPr>
        <w:t>оціальному розвитку; забезпечення адекватного харчування; забезпечення оптимального фізичного і психічного</w:t>
      </w:r>
      <w:r w:rsidR="00323DA9" w:rsidRPr="00EA77E3">
        <w:rPr>
          <w:rFonts w:eastAsia="Calibri"/>
          <w:color w:val="000000" w:themeColor="text1"/>
          <w:szCs w:val="28"/>
        </w:rPr>
        <w:t xml:space="preserve"> здоров</w:t>
      </w:r>
      <w:r w:rsidR="00535822">
        <w:rPr>
          <w:rFonts w:eastAsia="Calibri"/>
          <w:color w:val="000000" w:themeColor="text1"/>
          <w:szCs w:val="28"/>
        </w:rPr>
        <w:t>'я та розвитку</w:t>
      </w:r>
      <w:r w:rsidR="00743985">
        <w:rPr>
          <w:rFonts w:eastAsia="Calibri"/>
          <w:color w:val="000000" w:themeColor="text1"/>
          <w:szCs w:val="28"/>
        </w:rPr>
        <w:t xml:space="preserve"> дітей</w:t>
      </w:r>
      <w:r w:rsidR="00535822">
        <w:rPr>
          <w:rFonts w:eastAsia="Calibri"/>
          <w:color w:val="000000" w:themeColor="text1"/>
          <w:szCs w:val="28"/>
        </w:rPr>
        <w:t>; розширення</w:t>
      </w:r>
      <w:r w:rsidR="00323DA9" w:rsidRPr="00EA77E3">
        <w:rPr>
          <w:rFonts w:eastAsia="Calibri"/>
          <w:color w:val="000000" w:themeColor="text1"/>
          <w:szCs w:val="28"/>
        </w:rPr>
        <w:t xml:space="preserve"> можливо</w:t>
      </w:r>
      <w:r w:rsidR="00535822">
        <w:rPr>
          <w:rFonts w:eastAsia="Calibri"/>
          <w:color w:val="000000" w:themeColor="text1"/>
          <w:szCs w:val="28"/>
        </w:rPr>
        <w:t>сті підтримки сімей; гарантування</w:t>
      </w:r>
      <w:r w:rsidR="00323DA9" w:rsidRPr="00EA77E3">
        <w:rPr>
          <w:rFonts w:eastAsia="Calibri"/>
          <w:color w:val="000000" w:themeColor="text1"/>
          <w:szCs w:val="28"/>
        </w:rPr>
        <w:t xml:space="preserve"> захист</w:t>
      </w:r>
      <w:r w:rsidR="00535822">
        <w:rPr>
          <w:rFonts w:eastAsia="Calibri"/>
          <w:color w:val="000000" w:themeColor="text1"/>
          <w:szCs w:val="28"/>
        </w:rPr>
        <w:t>у</w:t>
      </w:r>
      <w:r w:rsidR="00323DA9" w:rsidRPr="00EA77E3">
        <w:rPr>
          <w:rFonts w:eastAsia="Calibri"/>
          <w:color w:val="000000" w:themeColor="text1"/>
          <w:szCs w:val="28"/>
        </w:rPr>
        <w:t xml:space="preserve"> від соціальних, економічних</w:t>
      </w:r>
      <w:r w:rsidR="00535822">
        <w:rPr>
          <w:rFonts w:eastAsia="Calibri"/>
          <w:color w:val="000000" w:themeColor="text1"/>
          <w:szCs w:val="28"/>
        </w:rPr>
        <w:t xml:space="preserve"> і екологічних ризиків; вирішення</w:t>
      </w:r>
      <w:r w:rsidR="00323DA9" w:rsidRPr="00EA77E3">
        <w:rPr>
          <w:rFonts w:eastAsia="Calibri"/>
          <w:color w:val="000000" w:themeColor="text1"/>
          <w:szCs w:val="28"/>
        </w:rPr>
        <w:t xml:space="preserve"> проблеми розвитку на ранньому етап</w:t>
      </w:r>
      <w:r w:rsidR="00535822">
        <w:rPr>
          <w:rFonts w:eastAsia="Calibri"/>
          <w:color w:val="000000" w:themeColor="text1"/>
          <w:szCs w:val="28"/>
        </w:rPr>
        <w:t>і з</w:t>
      </w:r>
      <w:r w:rsidR="00323DA9" w:rsidRPr="00EA77E3">
        <w:rPr>
          <w:rFonts w:eastAsia="Calibri"/>
          <w:color w:val="000000" w:themeColor="text1"/>
          <w:szCs w:val="28"/>
        </w:rPr>
        <w:t xml:space="preserve"> моніторинг</w:t>
      </w:r>
      <w:r w:rsidR="00535822">
        <w:rPr>
          <w:rFonts w:eastAsia="Calibri"/>
          <w:color w:val="000000" w:themeColor="text1"/>
          <w:szCs w:val="28"/>
        </w:rPr>
        <w:t>ом</w:t>
      </w:r>
      <w:r w:rsidR="00743985">
        <w:rPr>
          <w:rFonts w:eastAsia="Calibri"/>
          <w:color w:val="000000" w:themeColor="text1"/>
          <w:szCs w:val="28"/>
        </w:rPr>
        <w:t xml:space="preserve"> розвитку та ранньої ідентифікації</w:t>
      </w:r>
      <w:r w:rsidR="00323DA9" w:rsidRPr="00EA77E3">
        <w:rPr>
          <w:rFonts w:eastAsia="Calibri"/>
          <w:color w:val="000000" w:themeColor="text1"/>
          <w:szCs w:val="28"/>
        </w:rPr>
        <w:t xml:space="preserve"> розвитку; визн</w:t>
      </w:r>
      <w:r w:rsidR="00535822">
        <w:rPr>
          <w:rFonts w:eastAsia="Calibri"/>
          <w:color w:val="000000" w:themeColor="text1"/>
          <w:szCs w:val="28"/>
        </w:rPr>
        <w:t>ачення ризиків</w:t>
      </w:r>
      <w:r w:rsidR="00BC6EC6">
        <w:rPr>
          <w:rFonts w:eastAsia="Calibri"/>
          <w:color w:val="000000" w:themeColor="text1"/>
          <w:szCs w:val="28"/>
        </w:rPr>
        <w:t>; забезпечення раннього</w:t>
      </w:r>
      <w:r w:rsidR="00323DA9" w:rsidRPr="00EA77E3">
        <w:rPr>
          <w:rFonts w:eastAsia="Calibri"/>
          <w:color w:val="000000" w:themeColor="text1"/>
          <w:szCs w:val="28"/>
        </w:rPr>
        <w:t xml:space="preserve"> втручання і доступ</w:t>
      </w:r>
      <w:r w:rsidR="00BC6EC6">
        <w:rPr>
          <w:rFonts w:eastAsia="Calibri"/>
          <w:color w:val="000000" w:themeColor="text1"/>
          <w:szCs w:val="28"/>
        </w:rPr>
        <w:t>у</w:t>
      </w:r>
      <w:r w:rsidR="00323DA9" w:rsidRPr="00EA77E3">
        <w:rPr>
          <w:rFonts w:eastAsia="Calibri"/>
          <w:color w:val="000000" w:themeColor="text1"/>
          <w:szCs w:val="28"/>
        </w:rPr>
        <w:t xml:space="preserve"> до </w:t>
      </w:r>
      <w:r w:rsidR="00BC6EC6">
        <w:rPr>
          <w:rFonts w:eastAsia="Calibri"/>
          <w:color w:val="000000" w:themeColor="text1"/>
          <w:szCs w:val="28"/>
        </w:rPr>
        <w:t>реабілітаційних послуг; прийняття підхо</w:t>
      </w:r>
      <w:r w:rsidR="00323DA9" w:rsidRPr="00EA77E3">
        <w:rPr>
          <w:rFonts w:eastAsia="Calibri"/>
          <w:color w:val="000000" w:themeColor="text1"/>
          <w:szCs w:val="28"/>
        </w:rPr>
        <w:t>д</w:t>
      </w:r>
      <w:r w:rsidR="00BC6EC6">
        <w:rPr>
          <w:rFonts w:eastAsia="Calibri"/>
          <w:color w:val="000000" w:themeColor="text1"/>
          <w:szCs w:val="28"/>
        </w:rPr>
        <w:t>у, заснованого</w:t>
      </w:r>
      <w:r w:rsidR="00323DA9" w:rsidRPr="00EA77E3">
        <w:rPr>
          <w:rFonts w:eastAsia="Calibri"/>
          <w:color w:val="000000" w:themeColor="text1"/>
          <w:szCs w:val="28"/>
        </w:rPr>
        <w:t xml:space="preserve"> на конкретних потребах дітей і сімей, обставинах і надан</w:t>
      </w:r>
      <w:r w:rsidR="00BC6EC6">
        <w:rPr>
          <w:rFonts w:eastAsia="Calibri"/>
          <w:color w:val="000000" w:themeColor="text1"/>
          <w:szCs w:val="28"/>
        </w:rPr>
        <w:t>ні</w:t>
      </w:r>
      <w:r w:rsidR="00CD549C">
        <w:rPr>
          <w:rFonts w:eastAsia="Calibri"/>
          <w:color w:val="000000" w:themeColor="text1"/>
          <w:szCs w:val="28"/>
        </w:rPr>
        <w:t xml:space="preserve"> підтримки</w:t>
      </w:r>
      <w:r w:rsidR="002C4362">
        <w:rPr>
          <w:rFonts w:eastAsia="Calibri"/>
          <w:color w:val="000000" w:themeColor="text1"/>
          <w:szCs w:val="28"/>
        </w:rPr>
        <w:t xml:space="preserve"> [</w:t>
      </w:r>
      <w:r w:rsidR="00727CFB" w:rsidRPr="00727CFB">
        <w:rPr>
          <w:rFonts w:eastAsia="Calibri"/>
          <w:color w:val="000000" w:themeColor="text1"/>
          <w:szCs w:val="28"/>
        </w:rPr>
        <w:t>6</w:t>
      </w:r>
      <w:r w:rsidR="00323DA9" w:rsidRPr="00EA77E3">
        <w:rPr>
          <w:rFonts w:eastAsia="Calibri"/>
          <w:color w:val="000000" w:themeColor="text1"/>
          <w:szCs w:val="28"/>
        </w:rPr>
        <w:t>, 4</w:t>
      </w:r>
      <w:r w:rsidR="002C4362" w:rsidRPr="002C4362">
        <w:rPr>
          <w:rFonts w:eastAsia="Calibri"/>
          <w:color w:val="000000" w:themeColor="text1"/>
          <w:szCs w:val="28"/>
        </w:rPr>
        <w:t>6</w:t>
      </w:r>
      <w:r w:rsidR="00BA4638">
        <w:rPr>
          <w:rFonts w:eastAsia="Calibri"/>
          <w:color w:val="000000" w:themeColor="text1"/>
          <w:szCs w:val="28"/>
        </w:rPr>
        <w:t xml:space="preserve">, </w:t>
      </w:r>
      <w:r w:rsidR="00BA4638" w:rsidRPr="00BA4638">
        <w:rPr>
          <w:rFonts w:eastAsia="Calibri"/>
          <w:color w:val="000000" w:themeColor="text1"/>
          <w:szCs w:val="28"/>
        </w:rPr>
        <w:t>224-229</w:t>
      </w:r>
      <w:r w:rsidR="00323DA9" w:rsidRPr="00EA77E3">
        <w:rPr>
          <w:rFonts w:eastAsia="Calibri"/>
          <w:color w:val="000000" w:themeColor="text1"/>
          <w:szCs w:val="28"/>
        </w:rPr>
        <w:t>].</w:t>
      </w:r>
    </w:p>
    <w:p w:rsidR="00323DA9" w:rsidRPr="00EA77E3" w:rsidRDefault="00A064CF" w:rsidP="00D838EC">
      <w:pPr>
        <w:widowControl w:val="0"/>
        <w:tabs>
          <w:tab w:val="left" w:pos="426"/>
        </w:tabs>
        <w:ind w:firstLine="709"/>
        <w:rPr>
          <w:rFonts w:eastAsia="Calibri"/>
          <w:color w:val="000000" w:themeColor="text1"/>
          <w:szCs w:val="28"/>
        </w:rPr>
      </w:pPr>
      <w:r>
        <w:rPr>
          <w:rFonts w:eastAsia="Calibri"/>
          <w:color w:val="000000" w:themeColor="text1"/>
          <w:szCs w:val="28"/>
        </w:rPr>
        <w:lastRenderedPageBreak/>
        <w:t xml:space="preserve">При </w:t>
      </w:r>
      <w:r w:rsidR="00323DA9" w:rsidRPr="00EA77E3">
        <w:rPr>
          <w:rFonts w:eastAsia="Calibri"/>
          <w:color w:val="000000" w:themeColor="text1"/>
          <w:szCs w:val="28"/>
        </w:rPr>
        <w:t>досягнуто</w:t>
      </w:r>
      <w:r>
        <w:rPr>
          <w:rFonts w:eastAsia="Calibri"/>
          <w:color w:val="000000" w:themeColor="text1"/>
          <w:szCs w:val="28"/>
        </w:rPr>
        <w:t>му прогресі</w:t>
      </w:r>
      <w:r w:rsidR="00323DA9" w:rsidRPr="00EA77E3">
        <w:rPr>
          <w:rFonts w:eastAsia="Calibri"/>
          <w:color w:val="000000" w:themeColor="text1"/>
          <w:szCs w:val="28"/>
        </w:rPr>
        <w:t xml:space="preserve"> в скороченні числа випадків дитячої </w:t>
      </w:r>
      <w:r w:rsidR="009D141A">
        <w:rPr>
          <w:rFonts w:eastAsia="Calibri"/>
          <w:color w:val="000000" w:themeColor="text1"/>
          <w:szCs w:val="28"/>
        </w:rPr>
        <w:t xml:space="preserve">і малюкової смертності у </w:t>
      </w:r>
      <w:r w:rsidR="00323DA9" w:rsidRPr="00EA77E3">
        <w:rPr>
          <w:rFonts w:eastAsia="Calibri"/>
          <w:color w:val="000000" w:themeColor="text1"/>
          <w:szCs w:val="28"/>
        </w:rPr>
        <w:t>світі, рівень неоната</w:t>
      </w:r>
      <w:r>
        <w:rPr>
          <w:rFonts w:eastAsia="Calibri"/>
          <w:color w:val="000000" w:themeColor="text1"/>
          <w:szCs w:val="28"/>
        </w:rPr>
        <w:t xml:space="preserve">льної смертності </w:t>
      </w:r>
      <w:r w:rsidR="00323DA9" w:rsidRPr="00EA77E3">
        <w:rPr>
          <w:rFonts w:eastAsia="Calibri"/>
          <w:color w:val="000000" w:themeColor="text1"/>
          <w:szCs w:val="28"/>
        </w:rPr>
        <w:t xml:space="preserve">знижувався більш повільними темпами, незважаючи на те, що значній </w:t>
      </w:r>
      <w:r>
        <w:rPr>
          <w:rFonts w:eastAsia="Calibri"/>
          <w:color w:val="000000" w:themeColor="text1"/>
          <w:szCs w:val="28"/>
        </w:rPr>
        <w:t xml:space="preserve">їх частці </w:t>
      </w:r>
      <w:r w:rsidR="00323DA9" w:rsidRPr="00EA77E3">
        <w:rPr>
          <w:rFonts w:eastAsia="Calibri"/>
          <w:color w:val="000000" w:themeColor="text1"/>
          <w:szCs w:val="28"/>
        </w:rPr>
        <w:t>можна було запобігти. Останнім часом багато урядів</w:t>
      </w:r>
      <w:r w:rsidR="003F39BA">
        <w:rPr>
          <w:rFonts w:eastAsia="Calibri"/>
          <w:color w:val="000000" w:themeColor="text1"/>
          <w:szCs w:val="28"/>
        </w:rPr>
        <w:t xml:space="preserve"> країн </w:t>
      </w:r>
      <w:r w:rsidR="00323DA9" w:rsidRPr="00EA77E3">
        <w:rPr>
          <w:rFonts w:eastAsia="Calibri"/>
          <w:color w:val="000000" w:themeColor="text1"/>
          <w:szCs w:val="28"/>
        </w:rPr>
        <w:t>взя</w:t>
      </w:r>
      <w:r w:rsidR="003F39BA">
        <w:rPr>
          <w:rFonts w:eastAsia="Calibri"/>
          <w:color w:val="000000" w:themeColor="text1"/>
          <w:szCs w:val="28"/>
        </w:rPr>
        <w:t xml:space="preserve">ли на себе нові зобов'язання </w:t>
      </w:r>
      <w:r w:rsidR="007F384F">
        <w:rPr>
          <w:rFonts w:eastAsia="Calibri"/>
          <w:color w:val="000000" w:themeColor="text1"/>
          <w:szCs w:val="28"/>
        </w:rPr>
        <w:t>з порятунку дитячих життів у</w:t>
      </w:r>
      <w:r w:rsidR="00323DA9" w:rsidRPr="00EA77E3">
        <w:rPr>
          <w:rFonts w:eastAsia="Calibri"/>
          <w:color w:val="000000" w:themeColor="text1"/>
          <w:szCs w:val="28"/>
        </w:rPr>
        <w:t xml:space="preserve"> цілому</w:t>
      </w:r>
      <w:r w:rsidR="003F39BA">
        <w:rPr>
          <w:rFonts w:eastAsia="Calibri"/>
          <w:color w:val="000000" w:themeColor="text1"/>
          <w:szCs w:val="28"/>
        </w:rPr>
        <w:t xml:space="preserve">, </w:t>
      </w:r>
      <w:r w:rsidR="00323DA9" w:rsidRPr="00EA77E3">
        <w:rPr>
          <w:rFonts w:eastAsia="Calibri"/>
          <w:color w:val="000000" w:themeColor="text1"/>
          <w:szCs w:val="28"/>
        </w:rPr>
        <w:t>життів новонароджених у відповідь на Глобальну страте</w:t>
      </w:r>
      <w:r w:rsidR="00513011">
        <w:rPr>
          <w:rFonts w:eastAsia="Calibri"/>
          <w:color w:val="000000" w:themeColor="text1"/>
          <w:szCs w:val="28"/>
        </w:rPr>
        <w:t>гію ООН</w:t>
      </w:r>
      <w:r w:rsidR="00323DA9" w:rsidRPr="00EA77E3">
        <w:rPr>
          <w:rFonts w:eastAsia="Calibri"/>
          <w:color w:val="000000" w:themeColor="text1"/>
          <w:szCs w:val="28"/>
        </w:rPr>
        <w:t xml:space="preserve"> </w:t>
      </w:r>
      <w:r w:rsidR="007F384F">
        <w:rPr>
          <w:rFonts w:eastAsia="Calibri"/>
          <w:color w:val="000000" w:themeColor="text1"/>
          <w:szCs w:val="28"/>
        </w:rPr>
        <w:t>і</w:t>
      </w:r>
      <w:r w:rsidR="00323DA9" w:rsidRPr="00EA77E3">
        <w:rPr>
          <w:rFonts w:eastAsia="Calibri"/>
          <w:color w:val="000000" w:themeColor="text1"/>
          <w:szCs w:val="28"/>
        </w:rPr>
        <w:t>з охорони здоров'я жі</w:t>
      </w:r>
      <w:r w:rsidR="007F384F">
        <w:rPr>
          <w:rFonts w:eastAsia="Calibri"/>
          <w:color w:val="000000" w:themeColor="text1"/>
          <w:szCs w:val="28"/>
        </w:rPr>
        <w:t xml:space="preserve">нок і дітей та </w:t>
      </w:r>
      <w:r w:rsidR="00323DA9" w:rsidRPr="00EA77E3">
        <w:rPr>
          <w:rFonts w:eastAsia="Calibri"/>
          <w:color w:val="000000" w:themeColor="text1"/>
          <w:szCs w:val="28"/>
        </w:rPr>
        <w:t>супроводжуючу її ініціативу «Кожна жінка, кожна дитина», Глобальну стратегію охорони здоров’я жінок, дітей та підлітків «Виживати, процвітати, змінювати» (2016–2030 рр.), а також Глобальний план дій ВООЗ «Кожен новонароджений» (Every Newborn Action Plan, ENAP), запущений у 2014 році, який містить «дорожню карту» стратегічних дій щодо викорінення запобіжної смертності та мертвонародження новонароджених та сприяння зниженню материнської смертності та захворюваності [</w:t>
      </w:r>
      <w:r w:rsidR="000A6A1B" w:rsidRPr="000A6A1B">
        <w:rPr>
          <w:rFonts w:eastAsia="Calibri"/>
          <w:color w:val="000000" w:themeColor="text1"/>
          <w:szCs w:val="28"/>
        </w:rPr>
        <w:t>4</w:t>
      </w:r>
      <w:r w:rsidR="000A6A1B">
        <w:rPr>
          <w:rFonts w:eastAsia="Calibri"/>
          <w:color w:val="000000" w:themeColor="text1"/>
          <w:szCs w:val="28"/>
        </w:rPr>
        <w:t>, 1</w:t>
      </w:r>
      <w:r w:rsidR="000A6A1B" w:rsidRPr="000A6A1B">
        <w:rPr>
          <w:rFonts w:eastAsia="Calibri"/>
          <w:color w:val="000000" w:themeColor="text1"/>
          <w:szCs w:val="28"/>
        </w:rPr>
        <w:t>2</w:t>
      </w:r>
      <w:r w:rsidR="00CC1FBF" w:rsidRPr="00CC1FBF">
        <w:rPr>
          <w:rFonts w:eastAsia="Calibri"/>
          <w:color w:val="000000" w:themeColor="text1"/>
          <w:szCs w:val="28"/>
        </w:rPr>
        <w:t xml:space="preserve">, </w:t>
      </w:r>
      <w:r w:rsidR="00323DA9" w:rsidRPr="00EA77E3">
        <w:rPr>
          <w:rFonts w:eastAsia="Calibri"/>
          <w:color w:val="000000" w:themeColor="text1"/>
          <w:szCs w:val="28"/>
        </w:rPr>
        <w:t>4</w:t>
      </w:r>
      <w:r w:rsidR="00B36D88" w:rsidRPr="00B36D88">
        <w:rPr>
          <w:rFonts w:eastAsia="Calibri"/>
          <w:color w:val="000000" w:themeColor="text1"/>
          <w:szCs w:val="28"/>
        </w:rPr>
        <w:t>6</w:t>
      </w:r>
      <w:r w:rsidR="00B36D88">
        <w:rPr>
          <w:rFonts w:eastAsia="Calibri"/>
          <w:color w:val="000000" w:themeColor="text1"/>
          <w:szCs w:val="28"/>
        </w:rPr>
        <w:t xml:space="preserve">, </w:t>
      </w:r>
      <w:r w:rsidR="00B36D88" w:rsidRPr="00B36D88">
        <w:rPr>
          <w:rFonts w:eastAsia="Calibri"/>
          <w:color w:val="000000" w:themeColor="text1"/>
          <w:szCs w:val="28"/>
        </w:rPr>
        <w:t>54</w:t>
      </w:r>
      <w:r w:rsidR="00323DA9" w:rsidRPr="00EA77E3">
        <w:rPr>
          <w:rFonts w:eastAsia="Calibri"/>
          <w:color w:val="000000" w:themeColor="text1"/>
          <w:szCs w:val="28"/>
        </w:rPr>
        <w:t>,</w:t>
      </w:r>
      <w:r w:rsidR="00CC1FBF" w:rsidRPr="00CC1FBF">
        <w:rPr>
          <w:rFonts w:eastAsia="Calibri"/>
          <w:color w:val="000000" w:themeColor="text1"/>
          <w:szCs w:val="28"/>
        </w:rPr>
        <w:t xml:space="preserve"> 230, 231</w:t>
      </w:r>
      <w:r w:rsidR="00DB5A7B">
        <w:rPr>
          <w:rFonts w:eastAsia="Calibri"/>
          <w:color w:val="000000" w:themeColor="text1"/>
          <w:szCs w:val="28"/>
        </w:rPr>
        <w:t xml:space="preserve">]. </w:t>
      </w:r>
      <w:r w:rsidR="00DB5A7B">
        <w:rPr>
          <w:rFonts w:eastAsia="Times New Roman"/>
          <w:color w:val="000000" w:themeColor="text1"/>
          <w:szCs w:val="28"/>
          <w:lang w:eastAsia="ru-RU"/>
        </w:rPr>
        <w:t>С</w:t>
      </w:r>
      <w:r w:rsidR="00323DA9" w:rsidRPr="00EA77E3">
        <w:rPr>
          <w:rFonts w:eastAsia="Times New Roman"/>
          <w:color w:val="000000" w:themeColor="text1"/>
          <w:szCs w:val="28"/>
          <w:lang w:eastAsia="ru-RU"/>
        </w:rPr>
        <w:t xml:space="preserve">учасні стратегії багатьох країн у сфері охорони здоров'я дітей та попередження дитячої смертності </w:t>
      </w:r>
      <w:r w:rsidR="005E33D5">
        <w:rPr>
          <w:rFonts w:eastAsia="Times New Roman"/>
          <w:color w:val="000000" w:themeColor="text1"/>
          <w:szCs w:val="28"/>
          <w:lang w:eastAsia="ru-RU"/>
        </w:rPr>
        <w:t xml:space="preserve">базуються на фактичних даних  та </w:t>
      </w:r>
      <w:r w:rsidR="00323DA9" w:rsidRPr="00EA77E3">
        <w:rPr>
          <w:rFonts w:eastAsia="Times New Roman"/>
          <w:color w:val="000000" w:themeColor="text1"/>
          <w:szCs w:val="28"/>
          <w:lang w:eastAsia="ru-RU"/>
        </w:rPr>
        <w:t>мають концепції, керівні принципи, цілі і комплекс основних завдань, у відповідн</w:t>
      </w:r>
      <w:r w:rsidR="00EA7D99">
        <w:rPr>
          <w:rFonts w:eastAsia="Times New Roman"/>
          <w:color w:val="000000" w:themeColor="text1"/>
          <w:szCs w:val="28"/>
          <w:lang w:eastAsia="ru-RU"/>
        </w:rPr>
        <w:t>ості до</w:t>
      </w:r>
      <w:r w:rsidR="007F384F">
        <w:rPr>
          <w:rFonts w:eastAsia="Times New Roman"/>
          <w:color w:val="000000" w:themeColor="text1"/>
          <w:szCs w:val="28"/>
          <w:lang w:eastAsia="ru-RU"/>
        </w:rPr>
        <w:t xml:space="preserve"> прийнятих</w:t>
      </w:r>
      <w:r w:rsidR="00EA7D99" w:rsidRPr="00EA7D99">
        <w:rPr>
          <w:rFonts w:eastAsia="Times New Roman"/>
          <w:color w:val="000000" w:themeColor="text1"/>
          <w:szCs w:val="28"/>
          <w:lang w:eastAsia="ru-RU"/>
        </w:rPr>
        <w:t xml:space="preserve"> </w:t>
      </w:r>
      <w:r w:rsidR="00EA7D99">
        <w:rPr>
          <w:rFonts w:eastAsia="Times New Roman"/>
          <w:color w:val="000000" w:themeColor="text1"/>
          <w:szCs w:val="28"/>
          <w:lang w:eastAsia="ru-RU"/>
        </w:rPr>
        <w:t>ЦСР</w:t>
      </w:r>
      <w:r w:rsidR="00323DA9" w:rsidRPr="00EA77E3">
        <w:rPr>
          <w:rFonts w:eastAsia="Times New Roman"/>
          <w:color w:val="000000" w:themeColor="text1"/>
          <w:szCs w:val="28"/>
          <w:lang w:eastAsia="ru-RU"/>
        </w:rPr>
        <w:t xml:space="preserve">, де зазначені основні напрямки </w:t>
      </w:r>
      <w:r w:rsidR="00DB5A7B">
        <w:rPr>
          <w:rFonts w:eastAsia="Times New Roman"/>
          <w:color w:val="000000" w:themeColor="text1"/>
          <w:szCs w:val="28"/>
          <w:lang w:eastAsia="ru-RU"/>
        </w:rPr>
        <w:t xml:space="preserve">дій. </w:t>
      </w:r>
      <w:r w:rsidR="00883603">
        <w:rPr>
          <w:rFonts w:eastAsia="Times New Roman"/>
          <w:color w:val="000000" w:themeColor="text1"/>
          <w:szCs w:val="28"/>
          <w:lang w:eastAsia="ru-RU"/>
        </w:rPr>
        <w:t>Слід зазначити, що п</w:t>
      </w:r>
      <w:r w:rsidR="00323DA9" w:rsidRPr="00EA77E3">
        <w:rPr>
          <w:rFonts w:eastAsia="Times New Roman"/>
          <w:color w:val="000000" w:themeColor="text1"/>
          <w:szCs w:val="28"/>
          <w:lang w:eastAsia="ru-RU"/>
        </w:rPr>
        <w:t xml:space="preserve">раво на здоров'я </w:t>
      </w:r>
      <w:r w:rsidR="00883603">
        <w:rPr>
          <w:rFonts w:eastAsia="Times New Roman"/>
          <w:color w:val="000000" w:themeColor="text1"/>
          <w:szCs w:val="28"/>
          <w:lang w:eastAsia="ru-RU"/>
        </w:rPr>
        <w:t xml:space="preserve">визнано </w:t>
      </w:r>
      <w:r w:rsidR="00323DA9" w:rsidRPr="00EA77E3">
        <w:rPr>
          <w:rFonts w:eastAsia="Times New Roman"/>
          <w:color w:val="000000" w:themeColor="text1"/>
          <w:szCs w:val="28"/>
          <w:lang w:eastAsia="ru-RU"/>
        </w:rPr>
        <w:t>базовим правом людини в ряді міжнародних договорів, зокрема в Міжнародному пакті про економічні, соціальні і культурні права, Конвенції про ліквідацію всіх форм дискримінації щодо жінок і Конвенції про права дитини</w:t>
      </w:r>
      <w:r w:rsidR="009721C7">
        <w:rPr>
          <w:rFonts w:eastAsia="Calibri"/>
          <w:color w:val="000000" w:themeColor="text1"/>
          <w:szCs w:val="28"/>
        </w:rPr>
        <w:t xml:space="preserve"> [</w:t>
      </w:r>
      <w:r w:rsidR="009721C7" w:rsidRPr="009721C7">
        <w:rPr>
          <w:rFonts w:eastAsia="Calibri"/>
          <w:color w:val="000000" w:themeColor="text1"/>
          <w:szCs w:val="28"/>
        </w:rPr>
        <w:t>45</w:t>
      </w:r>
      <w:r w:rsidR="009721C7">
        <w:rPr>
          <w:rFonts w:eastAsia="Calibri"/>
          <w:color w:val="000000" w:themeColor="text1"/>
          <w:szCs w:val="28"/>
        </w:rPr>
        <w:t xml:space="preserve">, </w:t>
      </w:r>
      <w:r w:rsidR="009721C7" w:rsidRPr="009721C7">
        <w:rPr>
          <w:rFonts w:eastAsia="Calibri"/>
          <w:color w:val="000000" w:themeColor="text1"/>
          <w:szCs w:val="28"/>
        </w:rPr>
        <w:t>232-235</w:t>
      </w:r>
      <w:r w:rsidR="00323DA9" w:rsidRPr="00EA77E3">
        <w:rPr>
          <w:rFonts w:eastAsia="Calibri"/>
          <w:color w:val="000000" w:themeColor="text1"/>
          <w:szCs w:val="28"/>
        </w:rPr>
        <w:t>].</w:t>
      </w:r>
      <w:r w:rsidR="00D72567">
        <w:rPr>
          <w:rFonts w:eastAsia="Calibri"/>
          <w:color w:val="000000" w:themeColor="text1"/>
          <w:szCs w:val="28"/>
        </w:rPr>
        <w:t xml:space="preserve"> З урахуванням вищезазначених документів, о</w:t>
      </w:r>
      <w:r w:rsidR="00323DA9" w:rsidRPr="00EA77E3">
        <w:rPr>
          <w:rFonts w:eastAsia="Calibri"/>
          <w:color w:val="000000" w:themeColor="text1"/>
          <w:szCs w:val="28"/>
        </w:rPr>
        <w:t>дним із важливих підходів</w:t>
      </w:r>
      <w:r w:rsidR="00D838EC">
        <w:rPr>
          <w:rFonts w:eastAsia="Calibri"/>
          <w:color w:val="000000" w:themeColor="text1"/>
          <w:szCs w:val="28"/>
        </w:rPr>
        <w:t>, який має використовуватись</w:t>
      </w:r>
      <w:r w:rsidR="00323DA9" w:rsidRPr="00EA77E3">
        <w:rPr>
          <w:rFonts w:eastAsia="Calibri"/>
          <w:color w:val="000000" w:themeColor="text1"/>
          <w:szCs w:val="28"/>
        </w:rPr>
        <w:t xml:space="preserve"> у ефективних стратегіях – це підхід «всього жи</w:t>
      </w:r>
      <w:r w:rsidR="00D838EC">
        <w:rPr>
          <w:rFonts w:eastAsia="Calibri"/>
          <w:color w:val="000000" w:themeColor="text1"/>
          <w:szCs w:val="28"/>
        </w:rPr>
        <w:t xml:space="preserve">ттєвого циклу» для </w:t>
      </w:r>
      <w:r w:rsidR="00323DA9" w:rsidRPr="00EA77E3">
        <w:rPr>
          <w:rFonts w:eastAsia="Calibri"/>
          <w:color w:val="000000" w:themeColor="text1"/>
          <w:szCs w:val="28"/>
        </w:rPr>
        <w:t>досягнення найвищих стандартів фізичного, психічного і соціального здоров'я і благополуччя на кожному віковому етапі, тому що здоров'я людини в кожному віковому періоді впливає на його здоров'я в наступні періоди, а також побічно впливає на наступне покоління. Охорона здоров'я протягом всього життєвого циклу включає в себе багато складових</w:t>
      </w:r>
      <w:r w:rsidR="006A0A1C">
        <w:rPr>
          <w:rFonts w:eastAsia="Calibri"/>
          <w:color w:val="000000" w:themeColor="text1"/>
          <w:szCs w:val="28"/>
        </w:rPr>
        <w:t xml:space="preserve">, але провідними з них є </w:t>
      </w:r>
      <w:r w:rsidR="00323DA9" w:rsidRPr="00EA77E3">
        <w:rPr>
          <w:rFonts w:eastAsia="Calibri"/>
          <w:color w:val="000000" w:themeColor="text1"/>
          <w:szCs w:val="28"/>
        </w:rPr>
        <w:t>якість догляду за вагітними жінками та новонародженими, сучасні засоби контрацепці</w:t>
      </w:r>
      <w:r w:rsidR="006A0A1C">
        <w:rPr>
          <w:rFonts w:eastAsia="Calibri"/>
          <w:color w:val="000000" w:themeColor="text1"/>
          <w:szCs w:val="28"/>
        </w:rPr>
        <w:t xml:space="preserve">ї, </w:t>
      </w:r>
      <w:r w:rsidR="00323DA9" w:rsidRPr="00EA77E3">
        <w:rPr>
          <w:rFonts w:eastAsia="Calibri"/>
          <w:color w:val="000000" w:themeColor="text1"/>
          <w:szCs w:val="28"/>
        </w:rPr>
        <w:t xml:space="preserve">якість медичної допомоги при народженні, своєчасне проведення імунізації, грудне вигодовування і якісне харчування, адекватний розвиток дитини у ранньому дитинстві, інвестування у </w:t>
      </w:r>
      <w:r w:rsidR="00323DA9" w:rsidRPr="00EA77E3">
        <w:rPr>
          <w:rFonts w:eastAsia="Calibri"/>
          <w:color w:val="000000" w:themeColor="text1"/>
          <w:szCs w:val="28"/>
        </w:rPr>
        <w:lastRenderedPageBreak/>
        <w:t>людський капітал (підлітків і молоді), запровадження стимулів для системи охорони здоров'я, інвестиції в систе</w:t>
      </w:r>
      <w:r w:rsidR="004A0755">
        <w:rPr>
          <w:rFonts w:eastAsia="Calibri"/>
          <w:color w:val="000000" w:themeColor="text1"/>
          <w:szCs w:val="28"/>
        </w:rPr>
        <w:t>му охорони здоров'я і кадри [</w:t>
      </w:r>
      <w:r w:rsidR="004A0755" w:rsidRPr="004A0755">
        <w:rPr>
          <w:rFonts w:eastAsia="Calibri"/>
          <w:color w:val="000000" w:themeColor="text1"/>
          <w:szCs w:val="28"/>
        </w:rPr>
        <w:t>231</w:t>
      </w:r>
      <w:r w:rsidR="004A0755">
        <w:rPr>
          <w:rFonts w:eastAsia="Calibri"/>
          <w:color w:val="000000" w:themeColor="text1"/>
          <w:szCs w:val="28"/>
        </w:rPr>
        <w:t>, 2</w:t>
      </w:r>
      <w:r w:rsidR="004A0755" w:rsidRPr="004A0755">
        <w:rPr>
          <w:rFonts w:eastAsia="Calibri"/>
          <w:color w:val="000000" w:themeColor="text1"/>
          <w:szCs w:val="28"/>
        </w:rPr>
        <w:t>36</w:t>
      </w:r>
      <w:r w:rsidR="00323DA9" w:rsidRPr="00EA77E3">
        <w:rPr>
          <w:rFonts w:eastAsia="Calibri"/>
          <w:color w:val="000000" w:themeColor="text1"/>
          <w:szCs w:val="28"/>
        </w:rPr>
        <w:t>].</w:t>
      </w:r>
    </w:p>
    <w:p w:rsidR="00323DA9" w:rsidRPr="00EA77E3" w:rsidRDefault="00002054" w:rsidP="00721203">
      <w:pPr>
        <w:widowControl w:val="0"/>
        <w:tabs>
          <w:tab w:val="left" w:pos="426"/>
        </w:tabs>
        <w:ind w:firstLine="709"/>
        <w:rPr>
          <w:rFonts w:eastAsia="Calibri"/>
          <w:color w:val="000000" w:themeColor="text1"/>
          <w:szCs w:val="28"/>
        </w:rPr>
      </w:pPr>
      <w:r w:rsidRPr="00002054">
        <w:rPr>
          <w:rFonts w:eastAsia="Calibri"/>
          <w:color w:val="000000" w:themeColor="text1"/>
          <w:szCs w:val="28"/>
        </w:rPr>
        <w:t>Д</w:t>
      </w:r>
      <w:r w:rsidR="000B5150">
        <w:rPr>
          <w:rFonts w:eastAsia="Calibri"/>
          <w:color w:val="000000" w:themeColor="text1"/>
          <w:szCs w:val="28"/>
        </w:rPr>
        <w:t xml:space="preserve">ля </w:t>
      </w:r>
      <w:r w:rsidR="00323DA9" w:rsidRPr="00EA77E3">
        <w:rPr>
          <w:rFonts w:eastAsia="Calibri"/>
          <w:color w:val="000000" w:themeColor="text1"/>
          <w:szCs w:val="28"/>
        </w:rPr>
        <w:t>успішно</w:t>
      </w:r>
      <w:r w:rsidR="000B5150">
        <w:rPr>
          <w:rFonts w:eastAsia="Calibri"/>
          <w:color w:val="000000" w:themeColor="text1"/>
          <w:szCs w:val="28"/>
        </w:rPr>
        <w:t>ї реалізації державної політики</w:t>
      </w:r>
      <w:r w:rsidR="00323DA9" w:rsidRPr="00EA77E3">
        <w:rPr>
          <w:rFonts w:eastAsia="Calibri"/>
          <w:color w:val="000000" w:themeColor="text1"/>
          <w:szCs w:val="28"/>
        </w:rPr>
        <w:t xml:space="preserve"> в сфері охорони здоров'я дітей та попередження дитячої смертності країни повинні включити і п</w:t>
      </w:r>
      <w:r w:rsidR="000B5150">
        <w:rPr>
          <w:rFonts w:eastAsia="Calibri"/>
          <w:color w:val="000000" w:themeColor="text1"/>
          <w:szCs w:val="28"/>
        </w:rPr>
        <w:t xml:space="preserve">роводити роботу </w:t>
      </w:r>
      <w:r w:rsidR="00871C5C">
        <w:rPr>
          <w:rFonts w:eastAsia="Calibri"/>
          <w:color w:val="000000" w:themeColor="text1"/>
          <w:szCs w:val="28"/>
        </w:rPr>
        <w:t>за</w:t>
      </w:r>
      <w:r w:rsidR="00323DA9" w:rsidRPr="00EA77E3">
        <w:rPr>
          <w:rFonts w:eastAsia="Calibri"/>
          <w:color w:val="000000" w:themeColor="text1"/>
          <w:szCs w:val="28"/>
        </w:rPr>
        <w:t xml:space="preserve"> взаємопов'язаним</w:t>
      </w:r>
      <w:r w:rsidR="00871C5C">
        <w:rPr>
          <w:rFonts w:eastAsia="Calibri"/>
          <w:color w:val="000000" w:themeColor="text1"/>
          <w:szCs w:val="28"/>
        </w:rPr>
        <w:t>и</w:t>
      </w:r>
      <w:r w:rsidR="00323DA9" w:rsidRPr="00EA77E3">
        <w:rPr>
          <w:rFonts w:eastAsia="Calibri"/>
          <w:color w:val="000000" w:themeColor="text1"/>
          <w:szCs w:val="28"/>
        </w:rPr>
        <w:t xml:space="preserve"> і взаємозалежним</w:t>
      </w:r>
      <w:r w:rsidR="00871C5C">
        <w:rPr>
          <w:rFonts w:eastAsia="Calibri"/>
          <w:color w:val="000000" w:themeColor="text1"/>
          <w:szCs w:val="28"/>
        </w:rPr>
        <w:t>и</w:t>
      </w:r>
      <w:r w:rsidR="00323DA9" w:rsidRPr="00EA77E3">
        <w:rPr>
          <w:rFonts w:eastAsia="Calibri"/>
          <w:color w:val="000000" w:themeColor="text1"/>
          <w:szCs w:val="28"/>
        </w:rPr>
        <w:t xml:space="preserve"> напрямам</w:t>
      </w:r>
      <w:r w:rsidR="000B5150">
        <w:rPr>
          <w:rFonts w:eastAsia="Calibri"/>
          <w:color w:val="000000" w:themeColor="text1"/>
          <w:szCs w:val="28"/>
        </w:rPr>
        <w:t>и</w:t>
      </w:r>
      <w:r w:rsidR="00323DA9" w:rsidRPr="00EA77E3">
        <w:rPr>
          <w:rFonts w:eastAsia="Calibri"/>
          <w:color w:val="000000" w:themeColor="text1"/>
          <w:szCs w:val="28"/>
        </w:rPr>
        <w:t>: 1) керівництво на рівні країн; 2) фінансування в інтересах здоров'я; 3) стійкість систем охорони здоров'я; 4) розвиток індивідуального потенціалу; 5) залучення спільнот; 6) б</w:t>
      </w:r>
      <w:r w:rsidR="00BF1EFB">
        <w:rPr>
          <w:rFonts w:eastAsia="Calibri"/>
          <w:color w:val="000000" w:themeColor="text1"/>
          <w:szCs w:val="28"/>
        </w:rPr>
        <w:t>агатосекторальна діяльність; 7)</w:t>
      </w:r>
      <w:r w:rsidR="00BF1EFB">
        <w:rPr>
          <w:rFonts w:eastAsia="Calibri"/>
          <w:color w:val="000000" w:themeColor="text1"/>
          <w:szCs w:val="28"/>
          <w:lang w:val="ru-RU"/>
        </w:rPr>
        <w:t> </w:t>
      </w:r>
      <w:r w:rsidR="00323DA9" w:rsidRPr="00EA77E3">
        <w:rPr>
          <w:rFonts w:eastAsia="Calibri"/>
          <w:color w:val="000000" w:themeColor="text1"/>
          <w:szCs w:val="28"/>
        </w:rPr>
        <w:t>дії в умовах гуманітарних криз і нестабільності; 8) дослідження та інновації; 9)</w:t>
      </w:r>
      <w:r w:rsidR="00F943A2">
        <w:rPr>
          <w:rFonts w:eastAsia="Calibri"/>
          <w:color w:val="000000" w:themeColor="text1"/>
          <w:szCs w:val="28"/>
          <w:lang w:val="ru-RU"/>
        </w:rPr>
        <w:t> </w:t>
      </w:r>
      <w:r w:rsidR="00323DA9" w:rsidRPr="00EA77E3">
        <w:rPr>
          <w:rFonts w:eastAsia="Calibri"/>
          <w:color w:val="000000" w:themeColor="text1"/>
          <w:szCs w:val="28"/>
        </w:rPr>
        <w:t>підзвітність та моніторинг. Ці дев'ять напрямів діяльності є ключовими, робота повинна вестись спираючись на наукові дані і практичний досвід, дослідження в сфері пошуку ефективних заходів і підходів, а також на актуальні уявлення про комплексний характер охорони здоров'я та сталий розвиток. Також сучасні наявні дані вк</w:t>
      </w:r>
      <w:r w:rsidR="00F2589A">
        <w:rPr>
          <w:rFonts w:eastAsia="Calibri"/>
          <w:color w:val="000000" w:themeColor="text1"/>
          <w:szCs w:val="28"/>
        </w:rPr>
        <w:t>азують на принципову важливість</w:t>
      </w:r>
      <w:r w:rsidR="00F2589A" w:rsidRPr="00F2589A">
        <w:rPr>
          <w:rFonts w:eastAsia="Calibri"/>
          <w:color w:val="000000" w:themeColor="text1"/>
          <w:szCs w:val="28"/>
        </w:rPr>
        <w:t xml:space="preserve"> </w:t>
      </w:r>
      <w:r w:rsidR="00F2589A">
        <w:rPr>
          <w:rFonts w:eastAsia="Calibri"/>
          <w:color w:val="000000" w:themeColor="text1"/>
          <w:szCs w:val="28"/>
        </w:rPr>
        <w:t>паралельної і</w:t>
      </w:r>
      <w:r w:rsidR="00F2589A" w:rsidRPr="00F2589A">
        <w:rPr>
          <w:rFonts w:eastAsia="Calibri"/>
          <w:color w:val="000000" w:themeColor="text1"/>
          <w:szCs w:val="28"/>
        </w:rPr>
        <w:t xml:space="preserve"> </w:t>
      </w:r>
      <w:r w:rsidR="00F2589A">
        <w:rPr>
          <w:rFonts w:eastAsia="Calibri"/>
          <w:color w:val="000000" w:themeColor="text1"/>
          <w:szCs w:val="28"/>
        </w:rPr>
        <w:t>комплексної роботи по</w:t>
      </w:r>
      <w:r w:rsidR="00F2589A" w:rsidRPr="00F2589A">
        <w:rPr>
          <w:rFonts w:eastAsia="Calibri"/>
          <w:color w:val="000000" w:themeColor="text1"/>
          <w:szCs w:val="28"/>
        </w:rPr>
        <w:t xml:space="preserve"> </w:t>
      </w:r>
      <w:r w:rsidR="00323DA9" w:rsidRPr="00EA77E3">
        <w:rPr>
          <w:rFonts w:eastAsia="Calibri"/>
          <w:color w:val="000000" w:themeColor="text1"/>
          <w:szCs w:val="28"/>
        </w:rPr>
        <w:t>ключовим взаємозалежним н</w:t>
      </w:r>
      <w:r w:rsidR="00F2589A">
        <w:rPr>
          <w:rFonts w:eastAsia="Calibri"/>
          <w:color w:val="000000" w:themeColor="text1"/>
          <w:szCs w:val="28"/>
        </w:rPr>
        <w:t xml:space="preserve">апрямам, оскільки окремо </w:t>
      </w:r>
      <w:r w:rsidR="00F2589A" w:rsidRPr="00F2589A">
        <w:rPr>
          <w:rFonts w:eastAsia="Calibri"/>
          <w:color w:val="000000" w:themeColor="text1"/>
          <w:szCs w:val="28"/>
        </w:rPr>
        <w:t>жоден</w:t>
      </w:r>
      <w:r w:rsidR="00F2589A">
        <w:rPr>
          <w:rFonts w:eastAsia="Calibri"/>
          <w:color w:val="000000" w:themeColor="text1"/>
          <w:szCs w:val="28"/>
        </w:rPr>
        <w:t xml:space="preserve"> напрям і</w:t>
      </w:r>
      <w:r w:rsidR="00323DA9" w:rsidRPr="00EA77E3">
        <w:rPr>
          <w:rFonts w:eastAsia="Calibri"/>
          <w:color w:val="000000" w:themeColor="text1"/>
          <w:szCs w:val="28"/>
        </w:rPr>
        <w:t xml:space="preserve"> сектор не дадуть необхідних результатів, у будь-якому випадку потрібні більш комплексні та синергічні підходи до міжсекторальної взаємодії [</w:t>
      </w:r>
      <w:r w:rsidR="002413F0" w:rsidRPr="002413F0">
        <w:rPr>
          <w:rFonts w:eastAsia="Calibri"/>
          <w:color w:val="000000" w:themeColor="text1"/>
          <w:szCs w:val="28"/>
        </w:rPr>
        <w:t>4, 12</w:t>
      </w:r>
      <w:r w:rsidR="006B2E5D" w:rsidRPr="006B2E5D">
        <w:rPr>
          <w:rFonts w:eastAsia="Calibri"/>
          <w:color w:val="000000" w:themeColor="text1"/>
          <w:szCs w:val="28"/>
        </w:rPr>
        <w:t>, 54, 231</w:t>
      </w:r>
      <w:r w:rsidR="00323DA9" w:rsidRPr="00EA77E3">
        <w:rPr>
          <w:rFonts w:eastAsia="Calibri"/>
          <w:color w:val="000000" w:themeColor="text1"/>
          <w:szCs w:val="28"/>
        </w:rPr>
        <w:t>].</w:t>
      </w:r>
    </w:p>
    <w:p w:rsidR="00323DA9" w:rsidRPr="00EA77E3" w:rsidRDefault="00323DA9" w:rsidP="00721203">
      <w:pPr>
        <w:widowControl w:val="0"/>
        <w:ind w:firstLine="709"/>
        <w:rPr>
          <w:rFonts w:eastAsia="Calibri"/>
          <w:color w:val="000000" w:themeColor="text1"/>
          <w:szCs w:val="28"/>
        </w:rPr>
      </w:pPr>
      <w:r w:rsidRPr="00EA77E3">
        <w:rPr>
          <w:rFonts w:eastAsia="Calibri"/>
          <w:color w:val="000000" w:themeColor="text1"/>
          <w:szCs w:val="28"/>
        </w:rPr>
        <w:t>На сучасному етапі, за даними ВООЗ, існує достатньо багато перспективних інновацій орієнтованих на зд</w:t>
      </w:r>
      <w:r w:rsidR="00E17456">
        <w:rPr>
          <w:rFonts w:eastAsia="Calibri"/>
          <w:color w:val="000000" w:themeColor="text1"/>
          <w:szCs w:val="28"/>
        </w:rPr>
        <w:t>оров'я жінок, дітей і підлітків</w:t>
      </w:r>
      <w:r w:rsidR="00E17456" w:rsidRPr="00E17456">
        <w:rPr>
          <w:rFonts w:eastAsia="Calibri"/>
          <w:color w:val="000000" w:themeColor="text1"/>
          <w:szCs w:val="28"/>
        </w:rPr>
        <w:t>.</w:t>
      </w:r>
      <w:r w:rsidR="00E17456">
        <w:rPr>
          <w:rFonts w:eastAsia="Calibri"/>
          <w:color w:val="000000" w:themeColor="text1"/>
          <w:szCs w:val="28"/>
        </w:rPr>
        <w:t xml:space="preserve">  </w:t>
      </w:r>
      <w:r w:rsidR="00E17456" w:rsidRPr="00A1789B">
        <w:rPr>
          <w:rFonts w:eastAsia="Calibri"/>
          <w:color w:val="000000" w:themeColor="text1"/>
          <w:szCs w:val="28"/>
        </w:rPr>
        <w:t>Б</w:t>
      </w:r>
      <w:r w:rsidRPr="00EA77E3">
        <w:rPr>
          <w:rFonts w:eastAsia="Calibri"/>
          <w:color w:val="000000" w:themeColor="text1"/>
          <w:szCs w:val="28"/>
        </w:rPr>
        <w:t>ільше 1000 інновацій знаходяться на стадії досліджень та розробки. «Вузьким місцем» інновацій є етап «виведення в практичну площину»: кожна перспективна інновація або проект на стадії перевірки правильності концепції вима</w:t>
      </w:r>
      <w:r w:rsidR="008143F1">
        <w:rPr>
          <w:rFonts w:eastAsia="Calibri"/>
          <w:color w:val="000000" w:themeColor="text1"/>
          <w:szCs w:val="28"/>
        </w:rPr>
        <w:t>гають в середньому більше 1 млн</w:t>
      </w:r>
      <w:r w:rsidRPr="00EA77E3">
        <w:rPr>
          <w:rFonts w:eastAsia="Calibri"/>
          <w:color w:val="000000" w:themeColor="text1"/>
          <w:szCs w:val="28"/>
        </w:rPr>
        <w:t xml:space="preserve"> дол. США. Створений в рамках ініціативи «Кожна жінка, кожна дитина» ринок інновацій покликаний розширити це «вузьке місце», надавши сприятливе середовище і механізм для розгляду (за участю глобального партнерства зацікавлених сторін) інновацій, визначення найбільш перспективних методів фінансування для прискорення їх практичної реалізації, забезпечення їх стійкості та ефективності. Поставлено мету до 2020 р</w:t>
      </w:r>
      <w:r w:rsidR="008143F1" w:rsidRPr="008143F1">
        <w:rPr>
          <w:rFonts w:eastAsia="Calibri"/>
          <w:color w:val="000000" w:themeColor="text1"/>
          <w:szCs w:val="28"/>
        </w:rPr>
        <w:t>.</w:t>
      </w:r>
      <w:r w:rsidRPr="00EA77E3">
        <w:rPr>
          <w:rFonts w:eastAsia="Calibri"/>
          <w:color w:val="000000" w:themeColor="text1"/>
          <w:szCs w:val="28"/>
        </w:rPr>
        <w:t xml:space="preserve"> реалізувати на практиці в достатньому м</w:t>
      </w:r>
      <w:r w:rsidR="008143F1">
        <w:rPr>
          <w:rFonts w:eastAsia="Calibri"/>
          <w:color w:val="000000" w:themeColor="text1"/>
          <w:szCs w:val="28"/>
        </w:rPr>
        <w:t>асштабі щонайменше 20 інновацій</w:t>
      </w:r>
      <w:r w:rsidRPr="00EA77E3">
        <w:rPr>
          <w:rFonts w:eastAsia="Calibri"/>
          <w:color w:val="000000" w:themeColor="text1"/>
          <w:szCs w:val="28"/>
        </w:rPr>
        <w:t xml:space="preserve"> і</w:t>
      </w:r>
      <w:r w:rsidR="008143F1" w:rsidRPr="008143F1">
        <w:rPr>
          <w:rFonts w:eastAsia="Calibri"/>
          <w:color w:val="000000" w:themeColor="text1"/>
          <w:szCs w:val="28"/>
        </w:rPr>
        <w:t>,</w:t>
      </w:r>
      <w:r w:rsidRPr="00EA77E3">
        <w:rPr>
          <w:rFonts w:eastAsia="Calibri"/>
          <w:color w:val="000000" w:themeColor="text1"/>
          <w:szCs w:val="28"/>
        </w:rPr>
        <w:t xml:space="preserve"> як мінімум</w:t>
      </w:r>
      <w:r w:rsidR="008143F1" w:rsidRPr="008143F1">
        <w:rPr>
          <w:rFonts w:eastAsia="Calibri"/>
          <w:color w:val="000000" w:themeColor="text1"/>
          <w:szCs w:val="28"/>
        </w:rPr>
        <w:t>,</w:t>
      </w:r>
      <w:r w:rsidRPr="00EA77E3">
        <w:rPr>
          <w:rFonts w:eastAsia="Calibri"/>
          <w:color w:val="000000" w:themeColor="text1"/>
          <w:szCs w:val="28"/>
        </w:rPr>
        <w:t xml:space="preserve"> 10 з них повинні набути широкого п</w:t>
      </w:r>
      <w:r w:rsidR="008143F1">
        <w:rPr>
          <w:rFonts w:eastAsia="Calibri"/>
          <w:color w:val="000000" w:themeColor="text1"/>
          <w:szCs w:val="28"/>
        </w:rPr>
        <w:t xml:space="preserve">оширення </w:t>
      </w:r>
      <w:r w:rsidR="008143F1" w:rsidRPr="008143F1">
        <w:rPr>
          <w:rFonts w:eastAsia="Calibri"/>
          <w:color w:val="000000" w:themeColor="text1"/>
          <w:szCs w:val="28"/>
        </w:rPr>
        <w:t>та</w:t>
      </w:r>
      <w:r w:rsidRPr="00EA77E3">
        <w:rPr>
          <w:rFonts w:eastAsia="Calibri"/>
          <w:color w:val="000000" w:themeColor="text1"/>
          <w:szCs w:val="28"/>
        </w:rPr>
        <w:t xml:space="preserve"> почати робити істотний </w:t>
      </w:r>
      <w:r w:rsidRPr="00EA77E3">
        <w:rPr>
          <w:rFonts w:eastAsia="Calibri"/>
          <w:color w:val="000000" w:themeColor="text1"/>
          <w:szCs w:val="28"/>
        </w:rPr>
        <w:lastRenderedPageBreak/>
        <w:t>позитивний вплив на здоров'я жінок, дітей і підлітків до 2030 року [</w:t>
      </w:r>
      <w:r w:rsidR="00824F8E" w:rsidRPr="00824F8E">
        <w:rPr>
          <w:rFonts w:eastAsia="Calibri"/>
          <w:color w:val="000000" w:themeColor="text1"/>
          <w:szCs w:val="28"/>
        </w:rPr>
        <w:t xml:space="preserve">4, </w:t>
      </w:r>
      <w:r w:rsidR="00824F8E">
        <w:rPr>
          <w:rFonts w:eastAsia="Calibri"/>
          <w:color w:val="000000" w:themeColor="text1"/>
          <w:szCs w:val="28"/>
        </w:rPr>
        <w:t>5, 1</w:t>
      </w:r>
      <w:r w:rsidR="00824F8E" w:rsidRPr="00824F8E">
        <w:rPr>
          <w:rFonts w:eastAsia="Calibri"/>
          <w:color w:val="000000" w:themeColor="text1"/>
          <w:szCs w:val="28"/>
        </w:rPr>
        <w:t>2</w:t>
      </w:r>
      <w:r w:rsidR="002E54E5" w:rsidRPr="002E54E5">
        <w:rPr>
          <w:rFonts w:eastAsia="Calibri"/>
          <w:color w:val="000000" w:themeColor="text1"/>
          <w:szCs w:val="28"/>
        </w:rPr>
        <w:t>, 54, 230, 231</w:t>
      </w:r>
      <w:r w:rsidRPr="00EA77E3">
        <w:rPr>
          <w:rFonts w:eastAsia="Calibri"/>
          <w:color w:val="000000" w:themeColor="text1"/>
          <w:szCs w:val="28"/>
        </w:rPr>
        <w:t>].</w:t>
      </w:r>
    </w:p>
    <w:p w:rsidR="00323DA9" w:rsidRPr="00EA77E3" w:rsidRDefault="000139EC" w:rsidP="00721203">
      <w:pPr>
        <w:widowControl w:val="0"/>
        <w:ind w:firstLine="709"/>
        <w:rPr>
          <w:rFonts w:eastAsia="Calibri"/>
          <w:color w:val="000000" w:themeColor="text1"/>
          <w:szCs w:val="28"/>
        </w:rPr>
      </w:pPr>
      <w:r>
        <w:rPr>
          <w:rFonts w:eastAsia="Calibri"/>
          <w:color w:val="000000" w:themeColor="text1"/>
          <w:szCs w:val="28"/>
        </w:rPr>
        <w:t>Не менш важливим</w:t>
      </w:r>
      <w:r w:rsidR="00323DA9" w:rsidRPr="00EA77E3">
        <w:rPr>
          <w:rFonts w:eastAsia="Calibri"/>
          <w:color w:val="000000" w:themeColor="text1"/>
          <w:szCs w:val="28"/>
        </w:rPr>
        <w:t xml:space="preserve"> напрямом ефективної стратегії є впровадження максимально точної системи підзвітності за результати, ресурси і права в країні. </w:t>
      </w:r>
      <w:r>
        <w:rPr>
          <w:rFonts w:eastAsia="Calibri"/>
          <w:color w:val="000000" w:themeColor="text1"/>
          <w:szCs w:val="28"/>
        </w:rPr>
        <w:t xml:space="preserve">Підзвітність грає важливу роль </w:t>
      </w:r>
      <w:r w:rsidRPr="000139EC">
        <w:rPr>
          <w:rFonts w:eastAsia="Calibri"/>
          <w:color w:val="000000" w:themeColor="text1"/>
          <w:szCs w:val="28"/>
        </w:rPr>
        <w:t>у</w:t>
      </w:r>
      <w:r w:rsidR="00323DA9" w:rsidRPr="00EA77E3">
        <w:rPr>
          <w:rFonts w:eastAsia="Calibri"/>
          <w:color w:val="000000" w:themeColor="text1"/>
          <w:szCs w:val="28"/>
        </w:rPr>
        <w:t xml:space="preserve"> прискоренні прогресу в інтересах здоров'я</w:t>
      </w:r>
      <w:r w:rsidR="00B271C0">
        <w:rPr>
          <w:rFonts w:eastAsia="Calibri"/>
          <w:color w:val="000000" w:themeColor="text1"/>
          <w:szCs w:val="28"/>
        </w:rPr>
        <w:t xml:space="preserve"> жінок, дітей і підлітків, </w:t>
      </w:r>
      <w:r w:rsidR="00323DA9" w:rsidRPr="00EA77E3">
        <w:rPr>
          <w:rFonts w:eastAsia="Calibri"/>
          <w:color w:val="000000" w:themeColor="text1"/>
          <w:szCs w:val="28"/>
        </w:rPr>
        <w:t xml:space="preserve">полегшує відстеження ресурсів, </w:t>
      </w:r>
      <w:r w:rsidR="00E17456">
        <w:rPr>
          <w:rFonts w:eastAsia="Calibri"/>
          <w:color w:val="000000" w:themeColor="text1"/>
          <w:szCs w:val="28"/>
        </w:rPr>
        <w:t>результатів і дотримання прав</w:t>
      </w:r>
      <w:r w:rsidR="00E17456" w:rsidRPr="00E17456">
        <w:rPr>
          <w:rFonts w:eastAsia="Calibri"/>
          <w:color w:val="000000" w:themeColor="text1"/>
          <w:szCs w:val="28"/>
        </w:rPr>
        <w:t xml:space="preserve">, </w:t>
      </w:r>
      <w:r w:rsidR="00323DA9" w:rsidRPr="00EA77E3">
        <w:rPr>
          <w:rFonts w:eastAsia="Calibri"/>
          <w:color w:val="000000" w:themeColor="text1"/>
          <w:szCs w:val="28"/>
        </w:rPr>
        <w:t>дозволяє отримувати інформа</w:t>
      </w:r>
      <w:r>
        <w:rPr>
          <w:rFonts w:eastAsia="Calibri"/>
          <w:color w:val="000000" w:themeColor="text1"/>
          <w:szCs w:val="28"/>
        </w:rPr>
        <w:t>цію про</w:t>
      </w:r>
      <w:r w:rsidRPr="000139EC">
        <w:rPr>
          <w:rFonts w:eastAsia="Calibri"/>
          <w:color w:val="000000" w:themeColor="text1"/>
          <w:szCs w:val="28"/>
        </w:rPr>
        <w:t xml:space="preserve"> </w:t>
      </w:r>
      <w:r w:rsidR="00E17456">
        <w:rPr>
          <w:rFonts w:eastAsia="Calibri"/>
          <w:color w:val="000000" w:themeColor="text1"/>
          <w:szCs w:val="28"/>
        </w:rPr>
        <w:t>заходи</w:t>
      </w:r>
      <w:r w:rsidRPr="000139EC">
        <w:rPr>
          <w:rFonts w:eastAsia="Calibri"/>
          <w:color w:val="000000" w:themeColor="text1"/>
          <w:szCs w:val="28"/>
        </w:rPr>
        <w:t>,</w:t>
      </w:r>
      <w:r>
        <w:rPr>
          <w:rFonts w:eastAsia="Calibri"/>
          <w:color w:val="000000" w:themeColor="text1"/>
          <w:szCs w:val="28"/>
        </w:rPr>
        <w:t xml:space="preserve"> які</w:t>
      </w:r>
      <w:r w:rsidR="00E17456">
        <w:rPr>
          <w:rFonts w:eastAsia="Calibri"/>
          <w:color w:val="000000" w:themeColor="text1"/>
          <w:szCs w:val="28"/>
        </w:rPr>
        <w:t xml:space="preserve"> </w:t>
      </w:r>
      <w:r>
        <w:rPr>
          <w:rFonts w:eastAsia="Calibri"/>
          <w:color w:val="000000" w:themeColor="text1"/>
          <w:szCs w:val="28"/>
        </w:rPr>
        <w:t>«</w:t>
      </w:r>
      <w:r w:rsidR="00E17456">
        <w:rPr>
          <w:rFonts w:eastAsia="Calibri"/>
          <w:color w:val="000000" w:themeColor="text1"/>
          <w:szCs w:val="28"/>
        </w:rPr>
        <w:t>працюють</w:t>
      </w:r>
      <w:r>
        <w:rPr>
          <w:rFonts w:eastAsia="Calibri"/>
          <w:color w:val="000000" w:themeColor="text1"/>
          <w:szCs w:val="28"/>
        </w:rPr>
        <w:t>»</w:t>
      </w:r>
      <w:r w:rsidR="00E17456" w:rsidRPr="00E17456">
        <w:rPr>
          <w:rFonts w:eastAsia="Calibri"/>
          <w:color w:val="000000" w:themeColor="text1"/>
          <w:szCs w:val="28"/>
        </w:rPr>
        <w:t xml:space="preserve">. </w:t>
      </w:r>
      <w:r w:rsidR="00323DA9" w:rsidRPr="00EA77E3">
        <w:rPr>
          <w:rFonts w:eastAsia="Calibri"/>
          <w:color w:val="000000" w:themeColor="text1"/>
          <w:szCs w:val="28"/>
        </w:rPr>
        <w:t>Комісія ООН з питань інформації та підзвітності в інтересах охорони здоров'я жінок і дітей охарактеризувала підзвітність як циклічний процес, спрямований на отримання знань і постійне вдосконалення, що включає три основних ета</w:t>
      </w:r>
      <w:r w:rsidR="002E22AC">
        <w:rPr>
          <w:rFonts w:eastAsia="Calibri"/>
          <w:color w:val="000000" w:themeColor="text1"/>
          <w:szCs w:val="28"/>
        </w:rPr>
        <w:t>пи: моніторинг, огляд і дії [</w:t>
      </w:r>
      <w:r w:rsidR="00B46117">
        <w:rPr>
          <w:rFonts w:eastAsia="Calibri"/>
          <w:color w:val="000000" w:themeColor="text1"/>
          <w:szCs w:val="28"/>
        </w:rPr>
        <w:t>3</w:t>
      </w:r>
      <w:r w:rsidR="00B46117" w:rsidRPr="00B46117">
        <w:rPr>
          <w:rFonts w:eastAsia="Calibri"/>
          <w:color w:val="000000" w:themeColor="text1"/>
          <w:szCs w:val="28"/>
        </w:rPr>
        <w:t>8</w:t>
      </w:r>
      <w:r w:rsidR="002E22AC" w:rsidRPr="002E22AC">
        <w:rPr>
          <w:rFonts w:eastAsia="Calibri"/>
          <w:color w:val="000000" w:themeColor="text1"/>
          <w:szCs w:val="28"/>
        </w:rPr>
        <w:t xml:space="preserve">, 237, </w:t>
      </w:r>
      <w:r w:rsidR="004E4710" w:rsidRPr="004E4710">
        <w:rPr>
          <w:rFonts w:eastAsia="Calibri"/>
          <w:color w:val="000000" w:themeColor="text1"/>
          <w:szCs w:val="28"/>
        </w:rPr>
        <w:t>238</w:t>
      </w:r>
      <w:r w:rsidR="00323DA9" w:rsidRPr="00EA77E3">
        <w:rPr>
          <w:rFonts w:eastAsia="Calibri"/>
          <w:color w:val="000000" w:themeColor="text1"/>
          <w:szCs w:val="28"/>
        </w:rPr>
        <w:t>].</w:t>
      </w:r>
    </w:p>
    <w:p w:rsidR="00323DA9" w:rsidRPr="00EA77E3" w:rsidRDefault="006D3618" w:rsidP="00721203">
      <w:pPr>
        <w:widowControl w:val="0"/>
        <w:ind w:firstLine="709"/>
        <w:rPr>
          <w:rFonts w:eastAsia="Times New Roman"/>
          <w:bCs/>
          <w:color w:val="000000" w:themeColor="text1"/>
          <w:szCs w:val="28"/>
        </w:rPr>
      </w:pPr>
      <w:r>
        <w:rPr>
          <w:rFonts w:eastAsia="Times New Roman"/>
          <w:bCs/>
          <w:color w:val="000000" w:themeColor="text1"/>
          <w:szCs w:val="28"/>
        </w:rPr>
        <w:t>В</w:t>
      </w:r>
      <w:r w:rsidRPr="006D3618">
        <w:rPr>
          <w:rFonts w:eastAsia="Times New Roman"/>
          <w:bCs/>
          <w:color w:val="000000" w:themeColor="text1"/>
          <w:szCs w:val="28"/>
        </w:rPr>
        <w:t xml:space="preserve"> стратегіях</w:t>
      </w:r>
      <w:r>
        <w:rPr>
          <w:rFonts w:eastAsia="Times New Roman"/>
          <w:bCs/>
          <w:color w:val="000000" w:themeColor="text1"/>
          <w:szCs w:val="28"/>
        </w:rPr>
        <w:t>,</w:t>
      </w:r>
      <w:r w:rsidRPr="006D3618">
        <w:rPr>
          <w:rFonts w:eastAsia="Times New Roman"/>
          <w:bCs/>
          <w:color w:val="000000" w:themeColor="text1"/>
          <w:szCs w:val="28"/>
        </w:rPr>
        <w:t xml:space="preserve"> </w:t>
      </w:r>
      <w:r w:rsidR="00323DA9" w:rsidRPr="00EA77E3">
        <w:rPr>
          <w:rFonts w:eastAsia="Times New Roman"/>
          <w:bCs/>
          <w:color w:val="000000" w:themeColor="text1"/>
          <w:szCs w:val="28"/>
        </w:rPr>
        <w:t xml:space="preserve">поряд із підходом </w:t>
      </w:r>
      <w:r w:rsidR="00B271C0">
        <w:rPr>
          <w:rFonts w:eastAsia="Times New Roman"/>
          <w:bCs/>
          <w:color w:val="000000" w:themeColor="text1"/>
          <w:szCs w:val="28"/>
        </w:rPr>
        <w:t xml:space="preserve">до </w:t>
      </w:r>
      <w:r w:rsidR="00323DA9" w:rsidRPr="00EA77E3">
        <w:rPr>
          <w:rFonts w:eastAsia="Times New Roman"/>
          <w:bCs/>
          <w:color w:val="000000" w:themeColor="text1"/>
          <w:szCs w:val="28"/>
        </w:rPr>
        <w:t>«всього життєвого циклу»</w:t>
      </w:r>
      <w:r>
        <w:rPr>
          <w:rFonts w:eastAsia="Times New Roman"/>
          <w:bCs/>
          <w:color w:val="000000" w:themeColor="text1"/>
          <w:szCs w:val="28"/>
        </w:rPr>
        <w:t>,</w:t>
      </w:r>
      <w:r w:rsidR="00323DA9" w:rsidRPr="00EA77E3">
        <w:rPr>
          <w:rFonts w:eastAsia="Times New Roman"/>
          <w:bCs/>
          <w:color w:val="000000" w:themeColor="text1"/>
          <w:szCs w:val="28"/>
        </w:rPr>
        <w:t xml:space="preserve"> </w:t>
      </w:r>
      <w:r>
        <w:rPr>
          <w:rFonts w:eastAsia="Times New Roman"/>
          <w:bCs/>
          <w:color w:val="000000" w:themeColor="text1"/>
          <w:szCs w:val="28"/>
        </w:rPr>
        <w:t>обов'язково застосовується</w:t>
      </w:r>
      <w:r w:rsidR="00323DA9" w:rsidRPr="00EA77E3">
        <w:rPr>
          <w:rFonts w:eastAsia="Times New Roman"/>
          <w:bCs/>
          <w:color w:val="000000" w:themeColor="text1"/>
          <w:szCs w:val="28"/>
        </w:rPr>
        <w:t xml:space="preserve"> комплексний і багатосекторальний підхід, в рамках якого враховуються такі суміжні фактори як харчування, освіта, гендерна рівність, попередження дитячих шлюбів, водопостачання, санітарія та гігієна (інвестиції в цих секторах приносять 4</w:t>
      </w:r>
      <w:r w:rsidR="005F64F9">
        <w:rPr>
          <w:rFonts w:eastAsia="Times New Roman"/>
          <w:bCs/>
          <w:color w:val="000000" w:themeColor="text1"/>
          <w:szCs w:val="28"/>
        </w:rPr>
        <w:t> </w:t>
      </w:r>
      <w:r w:rsidR="00323DA9" w:rsidRPr="00EA77E3">
        <w:rPr>
          <w:rFonts w:eastAsia="Times New Roman"/>
          <w:bCs/>
          <w:color w:val="000000" w:themeColor="text1"/>
          <w:szCs w:val="28"/>
        </w:rPr>
        <w:t>дол. США на кожен вкладений долар і можуть приносити глобальній економіці 260</w:t>
      </w:r>
      <w:r w:rsidR="005F64F9">
        <w:rPr>
          <w:rFonts w:eastAsia="Times New Roman"/>
          <w:bCs/>
          <w:color w:val="000000" w:themeColor="text1"/>
          <w:szCs w:val="28"/>
        </w:rPr>
        <w:t> млрд</w:t>
      </w:r>
      <w:r w:rsidR="00323DA9" w:rsidRPr="00EA77E3">
        <w:rPr>
          <w:rFonts w:eastAsia="Times New Roman"/>
          <w:bCs/>
          <w:color w:val="000000" w:themeColor="text1"/>
          <w:szCs w:val="28"/>
        </w:rPr>
        <w:t xml:space="preserve"> дол. США щорічно, якщо буде забезпечений загальний доступ до цих благ), чисте повітря, інфраструктура, розрив в плані справедливості в галузі охорони здоров'я все</w:t>
      </w:r>
      <w:r>
        <w:rPr>
          <w:rFonts w:eastAsia="Times New Roman"/>
          <w:bCs/>
          <w:color w:val="000000" w:themeColor="text1"/>
          <w:szCs w:val="28"/>
        </w:rPr>
        <w:t>редині країни і між ними, та інші</w:t>
      </w:r>
      <w:r w:rsidR="00323DA9" w:rsidRPr="00EA77E3">
        <w:rPr>
          <w:rFonts w:eastAsia="Times New Roman"/>
          <w:bCs/>
          <w:color w:val="000000" w:themeColor="text1"/>
          <w:szCs w:val="28"/>
        </w:rPr>
        <w:t xml:space="preserve"> фактори, що грають важливу роль в д</w:t>
      </w:r>
      <w:r>
        <w:rPr>
          <w:rFonts w:eastAsia="Times New Roman"/>
          <w:bCs/>
          <w:color w:val="000000" w:themeColor="text1"/>
          <w:szCs w:val="28"/>
        </w:rPr>
        <w:t>осягненні ЦСР</w:t>
      </w:r>
      <w:r w:rsidR="00323DA9" w:rsidRPr="00EA77E3">
        <w:rPr>
          <w:rFonts w:eastAsia="Times New Roman"/>
          <w:bCs/>
          <w:color w:val="000000" w:themeColor="text1"/>
          <w:szCs w:val="28"/>
        </w:rPr>
        <w:t xml:space="preserve"> в сфері охорони здоров'я </w:t>
      </w:r>
      <w:r>
        <w:rPr>
          <w:rFonts w:eastAsia="Times New Roman"/>
          <w:bCs/>
          <w:color w:val="000000" w:themeColor="text1"/>
          <w:szCs w:val="28"/>
        </w:rPr>
        <w:t>дітей, матерів та підлітків. Близько 50% поліпшення показників</w:t>
      </w:r>
      <w:r w:rsidR="00323DA9" w:rsidRPr="00EA77E3">
        <w:rPr>
          <w:rFonts w:eastAsia="Times New Roman"/>
          <w:bCs/>
          <w:color w:val="000000" w:themeColor="text1"/>
          <w:szCs w:val="28"/>
        </w:rPr>
        <w:t xml:space="preserve"> здоров'я жінок, дітей і підлітків пов'язані з інвестиціями поза сектором охорони здоров'я. </w:t>
      </w:r>
      <w:r w:rsidR="000659FA">
        <w:rPr>
          <w:rFonts w:eastAsia="Times New Roman"/>
          <w:bCs/>
          <w:color w:val="000000" w:themeColor="text1"/>
          <w:szCs w:val="28"/>
        </w:rPr>
        <w:t>Отже, з</w:t>
      </w:r>
      <w:r w:rsidR="00090035">
        <w:rPr>
          <w:rFonts w:eastAsia="Times New Roman"/>
          <w:bCs/>
          <w:color w:val="000000" w:themeColor="text1"/>
          <w:szCs w:val="28"/>
        </w:rPr>
        <w:t>аходи, які</w:t>
      </w:r>
      <w:r w:rsidR="00323DA9" w:rsidRPr="00EA77E3">
        <w:rPr>
          <w:rFonts w:eastAsia="Times New Roman"/>
          <w:bCs/>
          <w:color w:val="000000" w:themeColor="text1"/>
          <w:szCs w:val="28"/>
        </w:rPr>
        <w:t xml:space="preserve"> проводяться поза сектором охорони здоров'я, необхідно вважати основою для національних стратегій охорони здоров'я жінок, дітей і підлітків і відстежувати так само, як і з</w:t>
      </w:r>
      <w:r w:rsidR="008F5606">
        <w:rPr>
          <w:rFonts w:eastAsia="Times New Roman"/>
          <w:bCs/>
          <w:color w:val="000000" w:themeColor="text1"/>
          <w:szCs w:val="28"/>
        </w:rPr>
        <w:t xml:space="preserve">аходи в сфері охорони здоров'я </w:t>
      </w:r>
      <w:r w:rsidR="00323DA9" w:rsidRPr="00EA77E3">
        <w:rPr>
          <w:rFonts w:eastAsia="Calibri"/>
          <w:color w:val="000000" w:themeColor="text1"/>
          <w:szCs w:val="28"/>
        </w:rPr>
        <w:t>[</w:t>
      </w:r>
      <w:r w:rsidR="002F53AB">
        <w:rPr>
          <w:rFonts w:eastAsia="Calibri"/>
          <w:color w:val="000000" w:themeColor="text1"/>
          <w:szCs w:val="28"/>
          <w:lang w:val="ru-RU"/>
        </w:rPr>
        <w:t>4</w:t>
      </w:r>
      <w:r w:rsidR="00761B71">
        <w:rPr>
          <w:rFonts w:eastAsia="Calibri"/>
          <w:color w:val="000000" w:themeColor="text1"/>
          <w:szCs w:val="28"/>
        </w:rPr>
        <w:t>, 45, 54, 59, 60, 75, 231</w:t>
      </w:r>
      <w:r w:rsidR="00323DA9" w:rsidRPr="00EA77E3">
        <w:rPr>
          <w:rFonts w:eastAsia="Calibri"/>
          <w:color w:val="000000" w:themeColor="text1"/>
          <w:szCs w:val="28"/>
        </w:rPr>
        <w:t>].</w:t>
      </w:r>
    </w:p>
    <w:p w:rsidR="00323DA9" w:rsidRPr="00EA77E3" w:rsidRDefault="006355E3" w:rsidP="00721203">
      <w:pPr>
        <w:widowControl w:val="0"/>
        <w:ind w:firstLine="709"/>
        <w:rPr>
          <w:rFonts w:eastAsia="Calibri"/>
          <w:color w:val="000000" w:themeColor="text1"/>
          <w:szCs w:val="28"/>
        </w:rPr>
      </w:pPr>
      <w:r>
        <w:rPr>
          <w:rFonts w:eastAsia="Calibri"/>
          <w:color w:val="000000" w:themeColor="text1"/>
          <w:szCs w:val="28"/>
        </w:rPr>
        <w:t>В рамках ЦСР</w:t>
      </w:r>
      <w:r w:rsidR="00323DA9" w:rsidRPr="00EA77E3">
        <w:rPr>
          <w:rFonts w:eastAsia="Calibri"/>
          <w:color w:val="000000" w:themeColor="text1"/>
          <w:szCs w:val="28"/>
        </w:rPr>
        <w:t xml:space="preserve"> країни проводять </w:t>
      </w:r>
      <w:r w:rsidR="00FD527D">
        <w:rPr>
          <w:rFonts w:eastAsia="Calibri"/>
          <w:color w:val="000000" w:themeColor="text1"/>
          <w:szCs w:val="28"/>
        </w:rPr>
        <w:t>заходи</w:t>
      </w:r>
      <w:r w:rsidR="00323DA9" w:rsidRPr="00EA77E3">
        <w:rPr>
          <w:rFonts w:eastAsia="Calibri"/>
          <w:color w:val="000000" w:themeColor="text1"/>
          <w:szCs w:val="28"/>
        </w:rPr>
        <w:t xml:space="preserve"> з тим</w:t>
      </w:r>
      <w:r w:rsidR="00FD527D">
        <w:rPr>
          <w:rFonts w:eastAsia="Calibri"/>
          <w:color w:val="000000" w:themeColor="text1"/>
          <w:szCs w:val="28"/>
        </w:rPr>
        <w:t>,</w:t>
      </w:r>
      <w:r w:rsidR="00323DA9" w:rsidRPr="00EA77E3">
        <w:rPr>
          <w:rFonts w:eastAsia="Calibri"/>
          <w:color w:val="000000" w:themeColor="text1"/>
          <w:szCs w:val="28"/>
        </w:rPr>
        <w:t xml:space="preserve"> щоб захистити здоров'я дітей від впливу навколишнього середовища і покласти край запобіжної смертності новонароджених і дітей у віці до 5</w:t>
      </w:r>
      <w:r>
        <w:rPr>
          <w:rFonts w:eastAsia="Calibri"/>
          <w:color w:val="000000" w:themeColor="text1"/>
          <w:szCs w:val="28"/>
        </w:rPr>
        <w:t xml:space="preserve">-ти років до 2030 року. Ціль </w:t>
      </w:r>
      <w:r w:rsidR="00323DA9" w:rsidRPr="00EA77E3">
        <w:rPr>
          <w:rFonts w:eastAsia="Calibri"/>
          <w:color w:val="000000" w:themeColor="text1"/>
          <w:szCs w:val="28"/>
        </w:rPr>
        <w:t>3</w:t>
      </w:r>
      <w:r>
        <w:rPr>
          <w:rFonts w:eastAsia="Calibri"/>
          <w:color w:val="000000" w:themeColor="text1"/>
          <w:szCs w:val="28"/>
        </w:rPr>
        <w:t xml:space="preserve"> спрямована</w:t>
      </w:r>
      <w:r w:rsidR="00323DA9" w:rsidRPr="00EA77E3">
        <w:rPr>
          <w:rFonts w:eastAsia="Calibri"/>
          <w:color w:val="000000" w:themeColor="text1"/>
          <w:szCs w:val="28"/>
        </w:rPr>
        <w:t xml:space="preserve"> на забезпечення здорового способу життя та сприяння благополуччю для всіх людей, інші </w:t>
      </w:r>
      <w:r w:rsidR="00323DA9" w:rsidRPr="00EA77E3">
        <w:rPr>
          <w:rFonts w:eastAsia="Calibri"/>
          <w:color w:val="000000" w:themeColor="text1"/>
          <w:szCs w:val="28"/>
        </w:rPr>
        <w:lastRenderedPageBreak/>
        <w:t xml:space="preserve">ЦСР також орієнтовані на поліпшення води, санітарії та гігієни, здійснення переходу до чистих видів палива для зниження рівнів забруднення повітря і </w:t>
      </w:r>
      <w:r w:rsidR="00FD527D">
        <w:rPr>
          <w:rFonts w:eastAsia="Calibri"/>
          <w:color w:val="000000" w:themeColor="text1"/>
          <w:szCs w:val="28"/>
        </w:rPr>
        <w:t xml:space="preserve">зупинення </w:t>
      </w:r>
      <w:r w:rsidR="00323DA9" w:rsidRPr="00EA77E3">
        <w:rPr>
          <w:rFonts w:eastAsia="Calibri"/>
          <w:color w:val="000000" w:themeColor="text1"/>
          <w:szCs w:val="28"/>
        </w:rPr>
        <w:t>зміни клімату – все це матиме позитивний вплив на здоров'я дітей</w:t>
      </w:r>
      <w:r w:rsidR="00654BD7">
        <w:rPr>
          <w:rFonts w:eastAsia="Calibri"/>
          <w:color w:val="000000" w:themeColor="text1"/>
          <w:szCs w:val="28"/>
        </w:rPr>
        <w:t xml:space="preserve"> [45, 59, 60, 75, 213, 239</w:t>
      </w:r>
      <w:r w:rsidR="00323DA9" w:rsidRPr="00EA77E3">
        <w:rPr>
          <w:rFonts w:eastAsia="Calibri"/>
          <w:color w:val="000000" w:themeColor="text1"/>
          <w:szCs w:val="28"/>
        </w:rPr>
        <w:t>].</w:t>
      </w:r>
    </w:p>
    <w:p w:rsidR="00323DA9" w:rsidRPr="00EA77E3" w:rsidRDefault="00323DA9" w:rsidP="00721203">
      <w:pPr>
        <w:widowControl w:val="0"/>
        <w:ind w:firstLine="709"/>
        <w:rPr>
          <w:rFonts w:eastAsia="Calibri"/>
          <w:color w:val="000000" w:themeColor="text1"/>
          <w:szCs w:val="28"/>
        </w:rPr>
      </w:pPr>
      <w:r w:rsidRPr="00EA77E3">
        <w:rPr>
          <w:rFonts w:eastAsia="Times New Roman"/>
          <w:bCs/>
          <w:color w:val="000000" w:themeColor="text1"/>
          <w:szCs w:val="28"/>
        </w:rPr>
        <w:t>За даними ВООЗ, найбільшого прогресу в захисті здоров'я жінок, дітей і підлітків у максимально короткі терміни домоглися ті країни, які об'єднує одна спільна риса: ефективне керівництво, що проявляється у спільній роботі різних гілок влади із активною взаємодією з міс</w:t>
      </w:r>
      <w:r w:rsidR="000933B4">
        <w:rPr>
          <w:rFonts w:eastAsia="Times New Roman"/>
          <w:bCs/>
          <w:color w:val="000000" w:themeColor="text1"/>
          <w:szCs w:val="28"/>
        </w:rPr>
        <w:t xml:space="preserve">цевими громадами, </w:t>
      </w:r>
      <w:r w:rsidRPr="00EA77E3">
        <w:rPr>
          <w:rFonts w:eastAsia="Times New Roman"/>
          <w:bCs/>
          <w:color w:val="000000" w:themeColor="text1"/>
          <w:szCs w:val="28"/>
        </w:rPr>
        <w:t>суспільством, молоддю та приватним сектором для досягнення поставлених цілей в області охорони здоров'я. Потреби</w:t>
      </w:r>
      <w:r w:rsidR="000933B4">
        <w:rPr>
          <w:rFonts w:eastAsia="Times New Roman"/>
          <w:bCs/>
          <w:color w:val="000000" w:themeColor="text1"/>
          <w:szCs w:val="28"/>
        </w:rPr>
        <w:t xml:space="preserve"> дітей мають стати пріоритетом у</w:t>
      </w:r>
      <w:r w:rsidRPr="00EA77E3">
        <w:rPr>
          <w:rFonts w:eastAsia="Times New Roman"/>
          <w:bCs/>
          <w:color w:val="000000" w:themeColor="text1"/>
          <w:szCs w:val="28"/>
        </w:rPr>
        <w:t xml:space="preserve"> рамках всіх державних секторів і для цього необхідна політична воля на самому найвищому рівні. Державне керівництво (на рівні політиків, парламентаріїв і державних службовців) – це єдиний спосіб забезпечити міцний фундамент для систем охорони здоров'я, який включає ефективні державні установи, управлінський потенціал, всеосяжне законодавство, повне оснащення співробітників, інфраструктуру, достатнє фінансування, надійні дані для при</w:t>
      </w:r>
      <w:r w:rsidR="00735E03">
        <w:rPr>
          <w:rFonts w:eastAsia="Times New Roman"/>
          <w:bCs/>
          <w:color w:val="000000" w:themeColor="text1"/>
          <w:szCs w:val="28"/>
        </w:rPr>
        <w:t>йняття рішень</w:t>
      </w:r>
      <w:r w:rsidR="008D34DC">
        <w:rPr>
          <w:rFonts w:eastAsia="Times New Roman"/>
          <w:bCs/>
          <w:color w:val="000000" w:themeColor="text1"/>
          <w:szCs w:val="28"/>
        </w:rPr>
        <w:t>, прозорість і підзвітність</w:t>
      </w:r>
      <w:r w:rsidR="008D34DC" w:rsidRPr="008D34DC">
        <w:rPr>
          <w:rFonts w:eastAsia="Times New Roman"/>
          <w:bCs/>
          <w:color w:val="000000" w:themeColor="text1"/>
          <w:szCs w:val="28"/>
        </w:rPr>
        <w:t xml:space="preserve"> </w:t>
      </w:r>
      <w:r w:rsidRPr="00EA77E3">
        <w:rPr>
          <w:rFonts w:eastAsia="Calibri"/>
          <w:color w:val="000000" w:themeColor="text1"/>
          <w:szCs w:val="28"/>
        </w:rPr>
        <w:t>[</w:t>
      </w:r>
      <w:r w:rsidR="00313C9A" w:rsidRPr="00313C9A">
        <w:rPr>
          <w:rFonts w:eastAsia="Calibri"/>
          <w:color w:val="000000" w:themeColor="text1"/>
          <w:szCs w:val="28"/>
        </w:rPr>
        <w:t>4</w:t>
      </w:r>
      <w:r w:rsidR="00687A4E">
        <w:rPr>
          <w:rFonts w:eastAsia="Calibri"/>
          <w:color w:val="000000" w:themeColor="text1"/>
          <w:szCs w:val="28"/>
        </w:rPr>
        <w:t xml:space="preserve">, </w:t>
      </w:r>
      <w:r w:rsidR="00687A4E" w:rsidRPr="00687A4E">
        <w:rPr>
          <w:rFonts w:eastAsia="Calibri"/>
          <w:color w:val="000000" w:themeColor="text1"/>
          <w:szCs w:val="28"/>
        </w:rPr>
        <w:t>6</w:t>
      </w:r>
      <w:r w:rsidR="00687A4E">
        <w:rPr>
          <w:rFonts w:eastAsia="Calibri"/>
          <w:color w:val="000000" w:themeColor="text1"/>
          <w:szCs w:val="28"/>
        </w:rPr>
        <w:t>, 3</w:t>
      </w:r>
      <w:r w:rsidR="00687A4E" w:rsidRPr="00687A4E">
        <w:rPr>
          <w:rFonts w:eastAsia="Calibri"/>
          <w:color w:val="000000" w:themeColor="text1"/>
          <w:szCs w:val="28"/>
        </w:rPr>
        <w:t>9</w:t>
      </w:r>
      <w:r w:rsidR="00CD077E">
        <w:rPr>
          <w:rFonts w:eastAsia="Calibri"/>
          <w:color w:val="000000" w:themeColor="text1"/>
          <w:szCs w:val="28"/>
        </w:rPr>
        <w:t>, 54, 231, 240-244</w:t>
      </w:r>
      <w:r w:rsidRPr="00EA77E3">
        <w:rPr>
          <w:rFonts w:eastAsia="Calibri"/>
          <w:color w:val="000000" w:themeColor="text1"/>
          <w:szCs w:val="28"/>
        </w:rPr>
        <w:t>].</w:t>
      </w:r>
    </w:p>
    <w:p w:rsidR="00323DA9" w:rsidRPr="00EA77E3" w:rsidRDefault="00323DA9" w:rsidP="00721203">
      <w:pPr>
        <w:widowControl w:val="0"/>
        <w:ind w:firstLine="709"/>
        <w:rPr>
          <w:rFonts w:eastAsia="Calibri"/>
          <w:color w:val="000000" w:themeColor="text1"/>
          <w:szCs w:val="28"/>
        </w:rPr>
      </w:pPr>
      <w:r w:rsidRPr="00EA77E3">
        <w:rPr>
          <w:rFonts w:eastAsia="Times New Roman"/>
          <w:bCs/>
          <w:color w:val="000000" w:themeColor="text1"/>
          <w:szCs w:val="28"/>
        </w:rPr>
        <w:t>За даними ВООЗ та ООН</w:t>
      </w:r>
      <w:r w:rsidR="00107B20">
        <w:rPr>
          <w:rFonts w:eastAsia="Times New Roman"/>
          <w:bCs/>
          <w:color w:val="000000" w:themeColor="text1"/>
          <w:szCs w:val="28"/>
        </w:rPr>
        <w:t>,</w:t>
      </w:r>
      <w:r w:rsidRPr="00EA77E3">
        <w:rPr>
          <w:rFonts w:eastAsia="Times New Roman"/>
          <w:bCs/>
          <w:color w:val="000000" w:themeColor="text1"/>
          <w:szCs w:val="28"/>
        </w:rPr>
        <w:t xml:space="preserve"> фінансування стратегій охорони здоров'я дітей для д</w:t>
      </w:r>
      <w:r w:rsidR="00BD53E2">
        <w:rPr>
          <w:rFonts w:eastAsia="Times New Roman"/>
          <w:bCs/>
          <w:color w:val="000000" w:themeColor="text1"/>
          <w:szCs w:val="28"/>
        </w:rPr>
        <w:t>осягнення цільових результатів у</w:t>
      </w:r>
      <w:r w:rsidRPr="00EA77E3">
        <w:rPr>
          <w:rFonts w:eastAsia="Times New Roman"/>
          <w:bCs/>
          <w:color w:val="000000" w:themeColor="text1"/>
          <w:szCs w:val="28"/>
        </w:rPr>
        <w:t xml:space="preserve"> 63 країнах </w:t>
      </w:r>
      <w:r w:rsidR="00BD53E2">
        <w:rPr>
          <w:rFonts w:eastAsia="Times New Roman"/>
          <w:bCs/>
          <w:color w:val="000000" w:themeColor="text1"/>
          <w:szCs w:val="28"/>
        </w:rPr>
        <w:t>і</w:t>
      </w:r>
      <w:r w:rsidRPr="00EA77E3">
        <w:rPr>
          <w:rFonts w:eastAsia="Times New Roman"/>
          <w:bCs/>
          <w:color w:val="000000" w:themeColor="text1"/>
          <w:szCs w:val="28"/>
        </w:rPr>
        <w:t>з рівнем дохо</w:t>
      </w:r>
      <w:r w:rsidR="00BD53E2">
        <w:rPr>
          <w:rFonts w:eastAsia="Times New Roman"/>
          <w:bCs/>
          <w:color w:val="000000" w:themeColor="text1"/>
          <w:szCs w:val="28"/>
        </w:rPr>
        <w:t>дів нижче середнього і низьким та значним</w:t>
      </w:r>
      <w:r w:rsidRPr="00EA77E3">
        <w:rPr>
          <w:rFonts w:eastAsia="Times New Roman"/>
          <w:bCs/>
          <w:color w:val="000000" w:themeColor="text1"/>
          <w:szCs w:val="28"/>
        </w:rPr>
        <w:t xml:space="preserve"> тяг</w:t>
      </w:r>
      <w:r w:rsidR="00BD53E2">
        <w:rPr>
          <w:rFonts w:eastAsia="Times New Roman"/>
          <w:bCs/>
          <w:color w:val="000000" w:themeColor="text1"/>
          <w:szCs w:val="28"/>
        </w:rPr>
        <w:t>арем хвороб зажадають 33,3 млрд</w:t>
      </w:r>
      <w:r w:rsidRPr="00EA77E3">
        <w:rPr>
          <w:rFonts w:eastAsia="Times New Roman"/>
          <w:bCs/>
          <w:color w:val="000000" w:themeColor="text1"/>
          <w:szCs w:val="28"/>
        </w:rPr>
        <w:t xml:space="preserve"> дол. США, близ</w:t>
      </w:r>
      <w:r w:rsidR="008A2D51">
        <w:rPr>
          <w:rFonts w:eastAsia="Times New Roman"/>
          <w:bCs/>
          <w:color w:val="000000" w:themeColor="text1"/>
          <w:szCs w:val="28"/>
        </w:rPr>
        <w:t>ько 10 дол. США на душу населен</w:t>
      </w:r>
      <w:r w:rsidR="008A2D51" w:rsidRPr="00354D86">
        <w:rPr>
          <w:rFonts w:eastAsia="Times New Roman"/>
          <w:bCs/>
          <w:color w:val="000000" w:themeColor="text1"/>
          <w:szCs w:val="28"/>
        </w:rPr>
        <w:t>н</w:t>
      </w:r>
      <w:r w:rsidRPr="00EA77E3">
        <w:rPr>
          <w:rFonts w:eastAsia="Times New Roman"/>
          <w:bCs/>
          <w:color w:val="000000" w:themeColor="text1"/>
          <w:szCs w:val="28"/>
        </w:rPr>
        <w:t>я. Для виконання цих фінансових вимог необхідний підхід, що поєднує в собі внутрішнє фінансування, зовнішню підтримку та інноваційні методи, а також ефективне використання наявних ресурсів. За оцінками, 20-40% витрат на охорону здоров'я «не приносить ніякої користі для здоров'я населення через технічні труднощі або неефективний розподіл коштів». В переважній більшості країн охорона здоров'я дітей і підлітків здійснюється в основному за рахунок внутрішніх джерел фінансування, при цьому в багатьох країнах ос</w:t>
      </w:r>
      <w:r w:rsidR="00F916B8">
        <w:rPr>
          <w:rFonts w:eastAsia="Times New Roman"/>
          <w:bCs/>
          <w:color w:val="000000" w:themeColor="text1"/>
          <w:szCs w:val="28"/>
        </w:rPr>
        <w:t>новна частина коштів надходить у</w:t>
      </w:r>
      <w:r w:rsidRPr="00EA77E3">
        <w:rPr>
          <w:rFonts w:eastAsia="Times New Roman"/>
          <w:bCs/>
          <w:color w:val="000000" w:themeColor="text1"/>
          <w:szCs w:val="28"/>
        </w:rPr>
        <w:t xml:space="preserve"> сферу охорони здоров'я з приватного сектора і з платежів фізичних осіб, що може створювати певні економічні труднощі, які ускладнюються кризами. Економічне зростання створює цінні можливості для збільшення державних витрат на охорону здоров'я. Все </w:t>
      </w:r>
      <w:r w:rsidRPr="00EA77E3">
        <w:rPr>
          <w:rFonts w:eastAsia="Times New Roman"/>
          <w:bCs/>
          <w:color w:val="000000" w:themeColor="text1"/>
          <w:szCs w:val="28"/>
        </w:rPr>
        <w:lastRenderedPageBreak/>
        <w:t>більш помітну роль відіграють інноваційні фінансові механізми (як національні, так і міжнародні). У період з 2001 по 2013 рр. саме вони дозволили зібрати майже 100 млрд. дол. США на по</w:t>
      </w:r>
      <w:r w:rsidR="004C4BF7">
        <w:rPr>
          <w:rFonts w:eastAsia="Times New Roman"/>
          <w:bCs/>
          <w:color w:val="000000" w:themeColor="text1"/>
          <w:szCs w:val="28"/>
        </w:rPr>
        <w:t xml:space="preserve">треби охорони здоров'я і </w:t>
      </w:r>
      <w:r w:rsidRPr="00EA77E3">
        <w:rPr>
          <w:rFonts w:eastAsia="Times New Roman"/>
          <w:bCs/>
          <w:color w:val="000000" w:themeColor="text1"/>
          <w:szCs w:val="28"/>
        </w:rPr>
        <w:t xml:space="preserve">обсяг коштів зростає щорічно приблизно на 11%. З урахуванням вищенаведеного для адекватного фінансування охорони здоров'я дітей необхідно знайти достатні ресурси і стабільні джерела фінансування, забезпечити доцільність витрат і підвищення фінансової захищеності особливо малозабезпечених жінок, дітей та підлітків, забезпечити впровадження комплексних і новаторських підходів до фінансування </w:t>
      </w:r>
      <w:r w:rsidRPr="00EA77E3">
        <w:rPr>
          <w:rFonts w:eastAsia="Calibri"/>
          <w:color w:val="000000" w:themeColor="text1"/>
          <w:szCs w:val="28"/>
        </w:rPr>
        <w:t>[</w:t>
      </w:r>
      <w:r w:rsidR="00075CD2" w:rsidRPr="00075CD2">
        <w:rPr>
          <w:rFonts w:eastAsia="Calibri"/>
          <w:color w:val="000000" w:themeColor="text1"/>
          <w:szCs w:val="28"/>
        </w:rPr>
        <w:t>4</w:t>
      </w:r>
      <w:r w:rsidR="00075CD2">
        <w:rPr>
          <w:rFonts w:eastAsia="Calibri"/>
          <w:color w:val="000000" w:themeColor="text1"/>
          <w:szCs w:val="28"/>
        </w:rPr>
        <w:t xml:space="preserve">, </w:t>
      </w:r>
      <w:r w:rsidR="00075CD2" w:rsidRPr="00075CD2">
        <w:rPr>
          <w:rFonts w:eastAsia="Calibri"/>
          <w:color w:val="000000" w:themeColor="text1"/>
          <w:szCs w:val="28"/>
        </w:rPr>
        <w:t>6</w:t>
      </w:r>
      <w:r w:rsidR="0049541B">
        <w:rPr>
          <w:rFonts w:eastAsia="Calibri"/>
          <w:color w:val="000000" w:themeColor="text1"/>
          <w:szCs w:val="28"/>
        </w:rPr>
        <w:t>, 1</w:t>
      </w:r>
      <w:r w:rsidR="0049541B" w:rsidRPr="0049541B">
        <w:rPr>
          <w:rFonts w:eastAsia="Calibri"/>
          <w:color w:val="000000" w:themeColor="text1"/>
          <w:szCs w:val="28"/>
        </w:rPr>
        <w:t>2</w:t>
      </w:r>
      <w:r w:rsidR="008003D4">
        <w:rPr>
          <w:rFonts w:eastAsia="Calibri"/>
          <w:color w:val="000000" w:themeColor="text1"/>
          <w:szCs w:val="28"/>
        </w:rPr>
        <w:t>, 54, 230, 231, 245, 246</w:t>
      </w:r>
      <w:r w:rsidRPr="00EA77E3">
        <w:rPr>
          <w:rFonts w:eastAsia="Calibri"/>
          <w:color w:val="000000" w:themeColor="text1"/>
          <w:szCs w:val="28"/>
        </w:rPr>
        <w:t>].</w:t>
      </w:r>
    </w:p>
    <w:p w:rsidR="00323DA9" w:rsidRPr="00EA77E3" w:rsidRDefault="00A55A92" w:rsidP="00721203">
      <w:pPr>
        <w:widowControl w:val="0"/>
        <w:ind w:firstLine="709"/>
        <w:rPr>
          <w:rFonts w:eastAsia="Calibri"/>
          <w:color w:val="000000" w:themeColor="text1"/>
          <w:szCs w:val="28"/>
        </w:rPr>
      </w:pPr>
      <w:r>
        <w:rPr>
          <w:rFonts w:eastAsia="Times New Roman"/>
          <w:bCs/>
          <w:color w:val="000000" w:themeColor="text1"/>
          <w:szCs w:val="28"/>
        </w:rPr>
        <w:t>З</w:t>
      </w:r>
      <w:r w:rsidR="00323DA9" w:rsidRPr="00EA77E3">
        <w:rPr>
          <w:rFonts w:eastAsia="Times New Roman"/>
          <w:bCs/>
          <w:color w:val="000000" w:themeColor="text1"/>
          <w:szCs w:val="28"/>
        </w:rPr>
        <w:t>абезпечення ефективної державної політики в галузі охорони дитячого здоров'я і по</w:t>
      </w:r>
      <w:r w:rsidR="000976B4">
        <w:rPr>
          <w:rFonts w:eastAsia="Times New Roman"/>
          <w:bCs/>
          <w:color w:val="000000" w:themeColor="text1"/>
          <w:szCs w:val="28"/>
        </w:rPr>
        <w:t xml:space="preserve">передження дитячої смертності </w:t>
      </w:r>
      <w:r>
        <w:rPr>
          <w:rFonts w:eastAsia="Times New Roman"/>
          <w:bCs/>
          <w:color w:val="000000" w:themeColor="text1"/>
          <w:szCs w:val="28"/>
        </w:rPr>
        <w:t xml:space="preserve">можливо за умови </w:t>
      </w:r>
      <w:r w:rsidR="00323DA9" w:rsidRPr="00EA77E3">
        <w:rPr>
          <w:rFonts w:eastAsia="Times New Roman"/>
          <w:bCs/>
          <w:color w:val="000000" w:themeColor="text1"/>
          <w:szCs w:val="28"/>
        </w:rPr>
        <w:t>створення стійкої системи охорони здоров'я. Так, у багатьох країнах з високим тягарем материнської і дитячої смертності системи охорони здоров'я є малоефективними. Якість послуг, що надаються</w:t>
      </w:r>
      <w:r w:rsidR="000976B4">
        <w:rPr>
          <w:rFonts w:eastAsia="Times New Roman"/>
          <w:bCs/>
          <w:color w:val="000000" w:themeColor="text1"/>
          <w:szCs w:val="28"/>
        </w:rPr>
        <w:t>,</w:t>
      </w:r>
      <w:r w:rsidR="00323DA9" w:rsidRPr="00EA77E3">
        <w:rPr>
          <w:rFonts w:eastAsia="Times New Roman"/>
          <w:bCs/>
          <w:color w:val="000000" w:themeColor="text1"/>
          <w:szCs w:val="28"/>
        </w:rPr>
        <w:t xml:space="preserve"> страждає через брак персоналу та матеріального забезпечення, відсутність політичної волі, слабкого довгострокового планування, низьку готовність до надзвичайних ситуацій і браку стабільного фінансування. Для підвищення ефективності систем охорони здоров'я необхідний високий інституційний та людський потенціал, без нього неможливо забезпечити стійкість, необхідну для подолання труднощів, з якими стикаються системи охорони здоров'я, і спадкоємність в наданні всьому населенню ефективних та якісних послуг незалежно від віку та інших умов. Добре підготовлені до надзвичайних ситуацій і здатні передбачати потреби населення в галузі охорони здоров'я системи та медико-санітарні працівники більш оперативно реагують на кризи і краще справляються з їх наслідками. Уряди повинні розробляти такі національні стратегії охорони здоров'я, які націлені на зміцнення всіх елементів систем охорони здоров'я, що забезпечують загальне охоплення медико-санітарною допомогою: управління та стратегічне керівництво, медичні кадри, медичні товари, вакцини та технології, системи медико-санітарної інформації, фінансування охорони здоров'я та надання послуг. Зміцнення систем охорони здоров'я дає і побічні вигоди</w:t>
      </w:r>
      <w:r w:rsidR="00D50432">
        <w:rPr>
          <w:rFonts w:eastAsia="Times New Roman"/>
          <w:bCs/>
          <w:color w:val="000000" w:themeColor="text1"/>
          <w:szCs w:val="28"/>
        </w:rPr>
        <w:t>:</w:t>
      </w:r>
      <w:r w:rsidR="00320B9C">
        <w:rPr>
          <w:rFonts w:eastAsia="Times New Roman"/>
          <w:bCs/>
          <w:color w:val="000000" w:themeColor="text1"/>
          <w:szCs w:val="28"/>
        </w:rPr>
        <w:t xml:space="preserve"> стимулювання соціально-економічного розвитку, сприяння гендерній</w:t>
      </w:r>
      <w:r w:rsidR="00323DA9" w:rsidRPr="00EA77E3">
        <w:rPr>
          <w:rFonts w:eastAsia="Times New Roman"/>
          <w:bCs/>
          <w:color w:val="000000" w:themeColor="text1"/>
          <w:szCs w:val="28"/>
        </w:rPr>
        <w:t xml:space="preserve"> рівно</w:t>
      </w:r>
      <w:r w:rsidR="00320B9C">
        <w:rPr>
          <w:rFonts w:eastAsia="Times New Roman"/>
          <w:bCs/>
          <w:color w:val="000000" w:themeColor="text1"/>
          <w:szCs w:val="28"/>
        </w:rPr>
        <w:t xml:space="preserve">сті, </w:t>
      </w:r>
      <w:r w:rsidR="00320B9C">
        <w:rPr>
          <w:rFonts w:eastAsia="Times New Roman"/>
          <w:bCs/>
          <w:color w:val="000000" w:themeColor="text1"/>
          <w:szCs w:val="28"/>
        </w:rPr>
        <w:lastRenderedPageBreak/>
        <w:t>розширення</w:t>
      </w:r>
      <w:r w:rsidR="00323DA9" w:rsidRPr="00EA77E3">
        <w:rPr>
          <w:rFonts w:eastAsia="Times New Roman"/>
          <w:bCs/>
          <w:color w:val="000000" w:themeColor="text1"/>
          <w:szCs w:val="28"/>
        </w:rPr>
        <w:t xml:space="preserve"> можливостей молоді [</w:t>
      </w:r>
      <w:r w:rsidR="00A8261F" w:rsidRPr="00A8261F">
        <w:rPr>
          <w:rFonts w:eastAsia="Times New Roman"/>
          <w:bCs/>
          <w:color w:val="000000" w:themeColor="text1"/>
          <w:szCs w:val="28"/>
        </w:rPr>
        <w:t xml:space="preserve">1, </w:t>
      </w:r>
      <w:r w:rsidR="0035251C" w:rsidRPr="0035251C">
        <w:rPr>
          <w:rFonts w:eastAsia="Times New Roman"/>
          <w:bCs/>
          <w:color w:val="000000" w:themeColor="text1"/>
          <w:szCs w:val="28"/>
        </w:rPr>
        <w:t>4</w:t>
      </w:r>
      <w:r w:rsidR="0035251C">
        <w:rPr>
          <w:rFonts w:eastAsia="Times New Roman"/>
          <w:bCs/>
          <w:color w:val="000000" w:themeColor="text1"/>
          <w:szCs w:val="28"/>
        </w:rPr>
        <w:t xml:space="preserve">, </w:t>
      </w:r>
      <w:r w:rsidR="0035251C" w:rsidRPr="0035251C">
        <w:rPr>
          <w:rFonts w:eastAsia="Times New Roman"/>
          <w:bCs/>
          <w:color w:val="000000" w:themeColor="text1"/>
          <w:szCs w:val="28"/>
        </w:rPr>
        <w:t>6</w:t>
      </w:r>
      <w:r w:rsidR="00A025EE">
        <w:rPr>
          <w:rFonts w:eastAsia="Times New Roman"/>
          <w:bCs/>
          <w:color w:val="000000" w:themeColor="text1"/>
          <w:szCs w:val="28"/>
        </w:rPr>
        <w:t>, 1</w:t>
      </w:r>
      <w:r w:rsidR="00A025EE" w:rsidRPr="00A025EE">
        <w:rPr>
          <w:rFonts w:eastAsia="Times New Roman"/>
          <w:bCs/>
          <w:color w:val="000000" w:themeColor="text1"/>
          <w:szCs w:val="28"/>
        </w:rPr>
        <w:t>2</w:t>
      </w:r>
      <w:r w:rsidR="00A025EE">
        <w:rPr>
          <w:rFonts w:eastAsia="Times New Roman"/>
          <w:bCs/>
          <w:color w:val="000000" w:themeColor="text1"/>
          <w:szCs w:val="28"/>
        </w:rPr>
        <w:t xml:space="preserve">, </w:t>
      </w:r>
      <w:r w:rsidR="00A025EE" w:rsidRPr="00A025EE">
        <w:rPr>
          <w:rFonts w:eastAsia="Times New Roman"/>
          <w:bCs/>
          <w:color w:val="000000" w:themeColor="text1"/>
          <w:szCs w:val="28"/>
        </w:rPr>
        <w:t>25</w:t>
      </w:r>
      <w:r w:rsidR="00A25CFD">
        <w:rPr>
          <w:rFonts w:eastAsia="Times New Roman"/>
          <w:bCs/>
          <w:color w:val="000000" w:themeColor="text1"/>
          <w:szCs w:val="28"/>
        </w:rPr>
        <w:t>, 43, 46, 47, 51, 54, 230, 231</w:t>
      </w:r>
      <w:r w:rsidR="00323DA9" w:rsidRPr="00EA77E3">
        <w:rPr>
          <w:rFonts w:eastAsia="Times New Roman"/>
          <w:bCs/>
          <w:color w:val="000000" w:themeColor="text1"/>
          <w:szCs w:val="28"/>
        </w:rPr>
        <w:t xml:space="preserve">]. </w:t>
      </w:r>
    </w:p>
    <w:p w:rsidR="00323DA9" w:rsidRPr="00EA77E3" w:rsidRDefault="00CB6CDA" w:rsidP="00721203">
      <w:pPr>
        <w:widowControl w:val="0"/>
        <w:ind w:firstLine="709"/>
        <w:rPr>
          <w:rFonts w:eastAsia="Calibri"/>
          <w:color w:val="000000" w:themeColor="text1"/>
          <w:szCs w:val="28"/>
        </w:rPr>
      </w:pPr>
      <w:r>
        <w:rPr>
          <w:rFonts w:eastAsia="Times New Roman"/>
          <w:bCs/>
          <w:color w:val="000000" w:themeColor="text1"/>
          <w:szCs w:val="28"/>
        </w:rPr>
        <w:t>Важливою складовою попередження дитячої смертності</w:t>
      </w:r>
      <w:r w:rsidR="00323DA9" w:rsidRPr="00EA77E3">
        <w:rPr>
          <w:rFonts w:eastAsia="Times New Roman"/>
          <w:bCs/>
          <w:color w:val="000000" w:themeColor="text1"/>
          <w:szCs w:val="28"/>
        </w:rPr>
        <w:t xml:space="preserve"> є підтримка індивідуального потенціалу в зв’язку з тим, що  жінки, діти і підлітки потенційно роблять найбільший внесок у поліпшення власного здоров'я та формування процвітаючого та сталого суспільства. Крім того, вони здатні передати капітал, накопичений в соціальній сфері та галузі охорони здоров'я, майбутнім поколінням. Однак</w:t>
      </w:r>
      <w:r w:rsidR="00340711">
        <w:rPr>
          <w:rFonts w:eastAsia="Times New Roman"/>
          <w:bCs/>
          <w:color w:val="000000" w:themeColor="text1"/>
          <w:szCs w:val="28"/>
        </w:rPr>
        <w:t>,</w:t>
      </w:r>
      <w:r w:rsidR="00323DA9" w:rsidRPr="00EA77E3">
        <w:rPr>
          <w:rFonts w:eastAsia="Times New Roman"/>
          <w:bCs/>
          <w:color w:val="000000" w:themeColor="text1"/>
          <w:szCs w:val="28"/>
        </w:rPr>
        <w:t xml:space="preserve"> вони не зможуть зіграти цю ключову роль, якщо керівництво країн і суспільство не забезпечать захист прав людини і доступ до життєво необхідних товарів, послуг та інформації, а також не розширять можливості для соціальної, економічної і політичної участі. Кожна людина з народження має унікальний біологічний потенціал здоров'я, зміни якого у наступних етапах життя пов'язані з освітою</w:t>
      </w:r>
      <w:r w:rsidR="00340711">
        <w:rPr>
          <w:rFonts w:eastAsia="Times New Roman"/>
          <w:bCs/>
          <w:color w:val="000000" w:themeColor="text1"/>
          <w:szCs w:val="28"/>
        </w:rPr>
        <w:t>, навичками і життєвим досвідом,</w:t>
      </w:r>
      <w:r w:rsidR="00323DA9" w:rsidRPr="00EA77E3">
        <w:rPr>
          <w:rFonts w:eastAsia="Times New Roman"/>
          <w:bCs/>
          <w:color w:val="000000" w:themeColor="text1"/>
          <w:szCs w:val="28"/>
        </w:rPr>
        <w:t xml:space="preserve"> </w:t>
      </w:r>
      <w:r w:rsidR="00340711">
        <w:rPr>
          <w:rFonts w:eastAsia="Times New Roman"/>
          <w:bCs/>
          <w:color w:val="000000" w:themeColor="text1"/>
          <w:szCs w:val="28"/>
        </w:rPr>
        <w:t>т</w:t>
      </w:r>
      <w:r w:rsidR="000D10BE">
        <w:rPr>
          <w:rFonts w:eastAsia="Times New Roman"/>
          <w:bCs/>
          <w:color w:val="000000" w:themeColor="text1"/>
          <w:szCs w:val="28"/>
        </w:rPr>
        <w:t>ому о</w:t>
      </w:r>
      <w:r w:rsidR="00323DA9" w:rsidRPr="00EA77E3">
        <w:rPr>
          <w:rFonts w:eastAsia="Times New Roman"/>
          <w:bCs/>
          <w:color w:val="000000" w:themeColor="text1"/>
          <w:szCs w:val="28"/>
        </w:rPr>
        <w:t>собливо необхідно інвестувати у ранній фізичний, розумовий і соціальний розвиток (мозок і інші системи організму дитини найбільш інтенсивно ро</w:t>
      </w:r>
      <w:r w:rsidR="00340711">
        <w:rPr>
          <w:rFonts w:eastAsia="Times New Roman"/>
          <w:bCs/>
          <w:color w:val="000000" w:themeColor="text1"/>
          <w:szCs w:val="28"/>
        </w:rPr>
        <w:t>звиваються протягом перших 3-х</w:t>
      </w:r>
      <w:r w:rsidR="00323DA9" w:rsidRPr="00EA77E3">
        <w:rPr>
          <w:rFonts w:eastAsia="Times New Roman"/>
          <w:bCs/>
          <w:color w:val="000000" w:themeColor="text1"/>
          <w:szCs w:val="28"/>
        </w:rPr>
        <w:t xml:space="preserve"> років життя), який визначає здоров'я людини як </w:t>
      </w:r>
      <w:r w:rsidR="00340711">
        <w:rPr>
          <w:rFonts w:eastAsia="Times New Roman"/>
          <w:bCs/>
          <w:color w:val="000000" w:themeColor="text1"/>
          <w:szCs w:val="28"/>
        </w:rPr>
        <w:t>у</w:t>
      </w:r>
      <w:r w:rsidR="00F46EFB">
        <w:rPr>
          <w:rFonts w:eastAsia="Times New Roman"/>
          <w:bCs/>
          <w:color w:val="000000" w:themeColor="text1"/>
          <w:szCs w:val="28"/>
        </w:rPr>
        <w:t xml:space="preserve"> сьогоденні так і майбутньому</w:t>
      </w:r>
      <w:r w:rsidR="00323DA9" w:rsidRPr="00EA77E3">
        <w:rPr>
          <w:rFonts w:eastAsia="Times New Roman"/>
          <w:bCs/>
          <w:color w:val="000000" w:themeColor="text1"/>
          <w:szCs w:val="28"/>
        </w:rPr>
        <w:t xml:space="preserve"> </w:t>
      </w:r>
      <w:r w:rsidR="00323DA9" w:rsidRPr="00EA77E3">
        <w:rPr>
          <w:rFonts w:eastAsia="Calibri"/>
          <w:color w:val="000000" w:themeColor="text1"/>
          <w:szCs w:val="28"/>
        </w:rPr>
        <w:t>[</w:t>
      </w:r>
      <w:r w:rsidR="00662D77" w:rsidRPr="00662D77">
        <w:rPr>
          <w:rFonts w:eastAsia="Calibri"/>
          <w:color w:val="000000" w:themeColor="text1"/>
          <w:szCs w:val="28"/>
        </w:rPr>
        <w:t>4</w:t>
      </w:r>
      <w:r w:rsidR="00662D77">
        <w:rPr>
          <w:rFonts w:eastAsia="Calibri"/>
          <w:color w:val="000000" w:themeColor="text1"/>
          <w:szCs w:val="28"/>
        </w:rPr>
        <w:t>, 1</w:t>
      </w:r>
      <w:r w:rsidR="00662D77" w:rsidRPr="00662D77">
        <w:rPr>
          <w:rFonts w:eastAsia="Calibri"/>
          <w:color w:val="000000" w:themeColor="text1"/>
          <w:szCs w:val="28"/>
        </w:rPr>
        <w:t>2</w:t>
      </w:r>
      <w:r w:rsidR="00B9111A">
        <w:rPr>
          <w:rFonts w:eastAsia="Calibri"/>
          <w:color w:val="000000" w:themeColor="text1"/>
          <w:szCs w:val="28"/>
        </w:rPr>
        <w:t>, 54, 197, 230, 231, 247-249</w:t>
      </w:r>
      <w:r w:rsidR="00323DA9" w:rsidRPr="00EA77E3">
        <w:rPr>
          <w:rFonts w:eastAsia="Calibri"/>
          <w:color w:val="000000" w:themeColor="text1"/>
          <w:szCs w:val="28"/>
        </w:rPr>
        <w:t>].</w:t>
      </w:r>
    </w:p>
    <w:p w:rsidR="00323DA9" w:rsidRPr="00EA77E3" w:rsidRDefault="00323DA9" w:rsidP="00721203">
      <w:pPr>
        <w:widowControl w:val="0"/>
        <w:ind w:firstLine="709"/>
        <w:rPr>
          <w:rFonts w:eastAsia="Calibri"/>
          <w:color w:val="000000" w:themeColor="text1"/>
          <w:szCs w:val="28"/>
        </w:rPr>
      </w:pPr>
      <w:r w:rsidRPr="00EA77E3">
        <w:rPr>
          <w:rFonts w:eastAsia="Times New Roman"/>
          <w:bCs/>
          <w:color w:val="000000" w:themeColor="text1"/>
          <w:szCs w:val="28"/>
        </w:rPr>
        <w:t>Залучення громад – це наступний важливий напрям для реалізації ефективної державної політики в сфері охорони здоров'я дітей та попередження дитячої смертності</w:t>
      </w:r>
      <w:r w:rsidR="00ED7ADA">
        <w:rPr>
          <w:rFonts w:eastAsia="Times New Roman"/>
          <w:bCs/>
          <w:color w:val="000000" w:themeColor="text1"/>
          <w:szCs w:val="28"/>
        </w:rPr>
        <w:t xml:space="preserve"> За визначенням ВООЗ, громада – </w:t>
      </w:r>
      <w:r w:rsidRPr="00EA77E3">
        <w:rPr>
          <w:rFonts w:eastAsia="Times New Roman"/>
          <w:bCs/>
          <w:color w:val="000000" w:themeColor="text1"/>
          <w:szCs w:val="28"/>
        </w:rPr>
        <w:t xml:space="preserve">це широкий термін для позначення об'єднання людей на місцевому, національному та міжнародному рівнях, пов'язаних або не пов'язаних між собою в просторовому відношенні, які мають спільні інтереси, проблеми та інші визначальні риси. На даний час існує низка країн, які слугують переконливим прикладом ефективності залучення громад. На особливу увагу заслуговують жіночі об'єднання, які надають підтримку вагітним </w:t>
      </w:r>
      <w:r w:rsidR="000D10BE">
        <w:rPr>
          <w:rFonts w:eastAsia="Times New Roman"/>
          <w:bCs/>
          <w:color w:val="000000" w:themeColor="text1"/>
          <w:szCs w:val="28"/>
        </w:rPr>
        <w:t>жінкам і молодим матерям, участі</w:t>
      </w:r>
      <w:r w:rsidRPr="00EA77E3">
        <w:rPr>
          <w:rFonts w:eastAsia="Times New Roman"/>
          <w:bCs/>
          <w:color w:val="000000" w:themeColor="text1"/>
          <w:szCs w:val="28"/>
        </w:rPr>
        <w:t xml:space="preserve"> чоловіків і хлопчиків у програмах в г</w:t>
      </w:r>
      <w:r w:rsidR="000D10BE">
        <w:rPr>
          <w:rFonts w:eastAsia="Times New Roman"/>
          <w:bCs/>
          <w:color w:val="000000" w:themeColor="text1"/>
          <w:szCs w:val="28"/>
        </w:rPr>
        <w:t>алузі охорони здоров'я та участі</w:t>
      </w:r>
      <w:r w:rsidRPr="00EA77E3">
        <w:rPr>
          <w:rFonts w:eastAsia="Times New Roman"/>
          <w:bCs/>
          <w:color w:val="000000" w:themeColor="text1"/>
          <w:szCs w:val="28"/>
        </w:rPr>
        <w:t xml:space="preserve"> пацієнтів у заходах, спрямованих на підвищення якості послуг у сфері охорони здоров'я у містах. Організації громадянського суспільства, релігійні об'єднання, а також місцеві, релігійні та громадські лідери також грають важливу роль в усуненні соціальних і культурних </w:t>
      </w:r>
      <w:r w:rsidRPr="00EA77E3">
        <w:rPr>
          <w:rFonts w:eastAsia="Times New Roman"/>
          <w:bCs/>
          <w:color w:val="000000" w:themeColor="text1"/>
          <w:szCs w:val="28"/>
        </w:rPr>
        <w:lastRenderedPageBreak/>
        <w:t xml:space="preserve">перешкод для популяризації здорової поведінки </w:t>
      </w:r>
      <w:r w:rsidR="00662D77">
        <w:rPr>
          <w:rFonts w:eastAsia="Calibri"/>
          <w:color w:val="000000" w:themeColor="text1"/>
          <w:szCs w:val="28"/>
        </w:rPr>
        <w:t>[3</w:t>
      </w:r>
      <w:r w:rsidR="00662D77" w:rsidRPr="00662D77">
        <w:rPr>
          <w:rFonts w:eastAsia="Calibri"/>
          <w:color w:val="000000" w:themeColor="text1"/>
          <w:szCs w:val="28"/>
        </w:rPr>
        <w:t>8, 39</w:t>
      </w:r>
      <w:r w:rsidR="007C32BA">
        <w:rPr>
          <w:rFonts w:eastAsia="Calibri"/>
          <w:color w:val="000000" w:themeColor="text1"/>
          <w:szCs w:val="28"/>
        </w:rPr>
        <w:t>, 54, 230, 250</w:t>
      </w:r>
      <w:r w:rsidRPr="00EA77E3">
        <w:rPr>
          <w:rFonts w:eastAsia="Calibri"/>
          <w:color w:val="000000" w:themeColor="text1"/>
          <w:szCs w:val="28"/>
        </w:rPr>
        <w:t>].</w:t>
      </w:r>
    </w:p>
    <w:p w:rsidR="00323DA9" w:rsidRPr="00EA77E3" w:rsidRDefault="006C41B1" w:rsidP="00721203">
      <w:pPr>
        <w:widowControl w:val="0"/>
        <w:ind w:firstLine="709"/>
        <w:rPr>
          <w:rFonts w:eastAsia="Calibri"/>
          <w:color w:val="000000" w:themeColor="text1"/>
          <w:szCs w:val="28"/>
        </w:rPr>
      </w:pPr>
      <w:r>
        <w:rPr>
          <w:rFonts w:eastAsia="Times New Roman"/>
          <w:bCs/>
          <w:color w:val="000000" w:themeColor="text1"/>
          <w:szCs w:val="28"/>
        </w:rPr>
        <w:t>Слід зазначити, що б</w:t>
      </w:r>
      <w:r w:rsidR="00323DA9" w:rsidRPr="00EA77E3">
        <w:rPr>
          <w:rFonts w:eastAsia="Times New Roman"/>
          <w:bCs/>
          <w:color w:val="000000" w:themeColor="text1"/>
          <w:szCs w:val="28"/>
        </w:rPr>
        <w:t xml:space="preserve">удь-яка країна для реалізації ефективної політики щодо </w:t>
      </w:r>
      <w:r>
        <w:rPr>
          <w:rFonts w:eastAsia="Times New Roman"/>
          <w:bCs/>
          <w:color w:val="000000" w:themeColor="text1"/>
          <w:szCs w:val="28"/>
        </w:rPr>
        <w:t xml:space="preserve">збереження здоров'я дітей </w:t>
      </w:r>
      <w:r w:rsidR="00323DA9" w:rsidRPr="00EA77E3">
        <w:rPr>
          <w:rFonts w:eastAsia="Times New Roman"/>
          <w:bCs/>
          <w:color w:val="000000" w:themeColor="text1"/>
          <w:szCs w:val="28"/>
        </w:rPr>
        <w:t>має бути здатною діяти в умовах гуманітарних криз і нестабі</w:t>
      </w:r>
      <w:r w:rsidR="00E5319B">
        <w:rPr>
          <w:rFonts w:eastAsia="Times New Roman"/>
          <w:bCs/>
          <w:color w:val="000000" w:themeColor="text1"/>
          <w:szCs w:val="28"/>
        </w:rPr>
        <w:t>льних ситуацій. Б</w:t>
      </w:r>
      <w:r w:rsidR="00323DA9" w:rsidRPr="00EA77E3">
        <w:rPr>
          <w:rFonts w:eastAsia="Times New Roman"/>
          <w:bCs/>
          <w:color w:val="000000" w:themeColor="text1"/>
          <w:szCs w:val="28"/>
        </w:rPr>
        <w:t xml:space="preserve">ільше половини випадків смерті матерів, новонароджених і дітей відбуваються в умовах гуманітарних криз, в тому числі в конфліктних і постконфліктних ситуаціях, транснаціональних криз, у країнах, які пережили одне або кілька серйозних стихійних лих, і в умовах затяжної соціально-економічної і політичної нестабільності </w:t>
      </w:r>
      <w:r w:rsidR="00957098">
        <w:rPr>
          <w:rFonts w:eastAsia="Calibri"/>
          <w:color w:val="000000" w:themeColor="text1"/>
          <w:szCs w:val="28"/>
        </w:rPr>
        <w:t>[54</w:t>
      </w:r>
      <w:r w:rsidR="00323DA9" w:rsidRPr="00EA77E3">
        <w:rPr>
          <w:rFonts w:eastAsia="Calibri"/>
          <w:color w:val="000000" w:themeColor="text1"/>
          <w:szCs w:val="28"/>
        </w:rPr>
        <w:t>].</w:t>
      </w:r>
    </w:p>
    <w:p w:rsidR="00323DA9" w:rsidRPr="00EA77E3" w:rsidRDefault="00323DA9" w:rsidP="002E2C06">
      <w:pPr>
        <w:widowControl w:val="0"/>
        <w:ind w:firstLine="709"/>
        <w:rPr>
          <w:rFonts w:eastAsia="Calibri"/>
          <w:color w:val="000000" w:themeColor="text1"/>
          <w:szCs w:val="28"/>
        </w:rPr>
      </w:pPr>
      <w:r w:rsidRPr="00EA77E3">
        <w:rPr>
          <w:rFonts w:eastAsia="Calibri"/>
          <w:color w:val="000000" w:themeColor="text1"/>
          <w:szCs w:val="28"/>
        </w:rPr>
        <w:t>За рекомендацією ВООЗ</w:t>
      </w:r>
      <w:r w:rsidR="00F74320">
        <w:rPr>
          <w:rFonts w:eastAsia="Calibri"/>
          <w:color w:val="000000" w:themeColor="text1"/>
          <w:szCs w:val="28"/>
        </w:rPr>
        <w:t>, існують 6 провідних рішень, які</w:t>
      </w:r>
      <w:r w:rsidRPr="00EA77E3">
        <w:rPr>
          <w:rFonts w:eastAsia="Calibri"/>
          <w:color w:val="000000" w:themeColor="text1"/>
          <w:szCs w:val="28"/>
        </w:rPr>
        <w:t xml:space="preserve"> мають бути застосовані для попер</w:t>
      </w:r>
      <w:r w:rsidR="006D5B64">
        <w:rPr>
          <w:rFonts w:eastAsia="Calibri"/>
          <w:color w:val="000000" w:themeColor="text1"/>
          <w:szCs w:val="28"/>
        </w:rPr>
        <w:t>едження дитячої смертності</w:t>
      </w:r>
      <w:r w:rsidRPr="00EA77E3">
        <w:rPr>
          <w:rFonts w:eastAsia="Calibri"/>
          <w:color w:val="000000" w:themeColor="text1"/>
          <w:szCs w:val="28"/>
        </w:rPr>
        <w:t>: негайне і виключно грудне вигодовування; кваліфікований обслуговуючий персонал для допологової, пологової і післяпологової допомоги; доступ до харчування і мікроелементів; знання сім'ї про ознаки небезпеки в здоров'ї дитини; покращений доступ до води, санітарії та гігієни; імунізація. Ефективні втручання для покращення здоров’я дитя</w:t>
      </w:r>
      <w:r w:rsidR="006D5B64">
        <w:rPr>
          <w:rFonts w:eastAsia="Calibri"/>
          <w:color w:val="000000" w:themeColor="text1"/>
          <w:szCs w:val="28"/>
        </w:rPr>
        <w:t>чого населення і новонароджених</w:t>
      </w:r>
      <w:r w:rsidRPr="00EA77E3">
        <w:rPr>
          <w:rFonts w:eastAsia="Calibri"/>
          <w:color w:val="000000" w:themeColor="text1"/>
          <w:szCs w:val="28"/>
        </w:rPr>
        <w:t xml:space="preserve"> </w:t>
      </w:r>
      <w:r w:rsidR="006D5B64">
        <w:rPr>
          <w:rFonts w:eastAsia="Calibri"/>
          <w:color w:val="000000" w:themeColor="text1"/>
          <w:szCs w:val="28"/>
        </w:rPr>
        <w:t xml:space="preserve">включають </w:t>
      </w:r>
      <w:r w:rsidRPr="00EA77E3">
        <w:rPr>
          <w:rFonts w:eastAsia="Calibri"/>
          <w:color w:val="000000" w:themeColor="text1"/>
          <w:szCs w:val="28"/>
        </w:rPr>
        <w:t>комплексні ефективні медичні послуги з охорони репродуктивного здоров’я, здоров’я матерів, новонароджених, дітей і підлітків з мак</w:t>
      </w:r>
      <w:r w:rsidR="00062B83">
        <w:rPr>
          <w:rFonts w:eastAsia="Calibri"/>
          <w:color w:val="000000" w:themeColor="text1"/>
          <w:szCs w:val="28"/>
        </w:rPr>
        <w:t>симальним охопленням. Допомога впливає на припинення випадків</w:t>
      </w:r>
      <w:r w:rsidRPr="00EA77E3">
        <w:rPr>
          <w:rFonts w:eastAsia="Calibri"/>
          <w:color w:val="000000" w:themeColor="text1"/>
          <w:szCs w:val="28"/>
        </w:rPr>
        <w:t xml:space="preserve"> неонатальної смерті і мертвонароджень, які можна попередити, і включає</w:t>
      </w:r>
      <w:r w:rsidRPr="00EA77E3">
        <w:rPr>
          <w:rFonts w:ascii="Calibri" w:eastAsia="Calibri" w:hAnsi="Calibri"/>
          <w:color w:val="000000" w:themeColor="text1"/>
          <w:sz w:val="22"/>
        </w:rPr>
        <w:t xml:space="preserve"> </w:t>
      </w:r>
      <w:r w:rsidRPr="00EA77E3">
        <w:rPr>
          <w:rFonts w:eastAsia="Calibri"/>
          <w:color w:val="000000" w:themeColor="text1"/>
          <w:szCs w:val="28"/>
        </w:rPr>
        <w:t>догляд до пологів, пологів і першого тижня життя</w:t>
      </w:r>
      <w:r w:rsidR="00062B83">
        <w:rPr>
          <w:rFonts w:eastAsia="Calibri"/>
          <w:color w:val="000000" w:themeColor="text1"/>
          <w:szCs w:val="28"/>
        </w:rPr>
        <w:t xml:space="preserve"> дитини, турботу</w:t>
      </w:r>
      <w:r w:rsidRPr="00EA77E3">
        <w:rPr>
          <w:rFonts w:eastAsia="Calibri"/>
          <w:color w:val="000000" w:themeColor="text1"/>
          <w:szCs w:val="28"/>
        </w:rPr>
        <w:t xml:space="preserve"> про маленьких і хворих новонароджених.</w:t>
      </w:r>
      <w:r w:rsidRPr="00EA77E3">
        <w:rPr>
          <w:rFonts w:ascii="Calibri" w:eastAsia="Calibri" w:hAnsi="Calibri"/>
          <w:color w:val="000000" w:themeColor="text1"/>
          <w:sz w:val="22"/>
        </w:rPr>
        <w:t xml:space="preserve"> </w:t>
      </w:r>
      <w:r w:rsidRPr="00EA77E3">
        <w:rPr>
          <w:rFonts w:eastAsia="Calibri"/>
          <w:color w:val="000000" w:themeColor="text1"/>
          <w:szCs w:val="28"/>
        </w:rPr>
        <w:t>Заходи в комплексі «догляд під час пологів, навколо пологів і в перший тиждень після пологів</w:t>
      </w:r>
      <w:r w:rsidR="009778C4">
        <w:rPr>
          <w:rFonts w:eastAsia="Calibri"/>
          <w:color w:val="000000" w:themeColor="text1"/>
          <w:szCs w:val="28"/>
        </w:rPr>
        <w:t>»</w:t>
      </w:r>
      <w:r w:rsidRPr="00EA77E3">
        <w:rPr>
          <w:rFonts w:eastAsia="Calibri"/>
          <w:color w:val="000000" w:themeColor="text1"/>
          <w:szCs w:val="28"/>
        </w:rPr>
        <w:t xml:space="preserve"> включають (але не обмежуються ними) кваліфіковану допомогу при народженні, базову і комплексну акушерську допомогу, ведення передчасних пологів (включаючи використання антенатальних кортикостероїдів) і основний догляд за новонародженими (гігієнічний догляд, терморегуляція, підтримка грудного вигодовування і, при необхідності, реанімація новонароджених). Важливо, щоб втручання для матері та новонародженого розглядалися як функціональна одиниця, яка здійснюється в вузьке тимчасове вікно однієї і тієї ж комплексною медичною командою, яка попереджає і / або лікує ускладнення, включаючи матір і дитину разом. Догляд за маленькими і хворими </w:t>
      </w:r>
      <w:r w:rsidRPr="00EA77E3">
        <w:rPr>
          <w:rFonts w:eastAsia="Calibri"/>
          <w:color w:val="000000" w:themeColor="text1"/>
          <w:szCs w:val="28"/>
        </w:rPr>
        <w:lastRenderedPageBreak/>
        <w:t>новонародженими включає заходи з профілактики ускладнень, що виникають у р</w:t>
      </w:r>
      <w:r w:rsidR="00964187">
        <w:rPr>
          <w:rFonts w:eastAsia="Calibri"/>
          <w:color w:val="000000" w:themeColor="text1"/>
          <w:szCs w:val="28"/>
        </w:rPr>
        <w:t>езультаті передчасних пологів і</w:t>
      </w:r>
      <w:r w:rsidRPr="00EA77E3">
        <w:rPr>
          <w:rFonts w:eastAsia="Calibri"/>
          <w:color w:val="000000" w:themeColor="text1"/>
          <w:szCs w:val="28"/>
        </w:rPr>
        <w:t>/або недостатнього гестаційного віку, неонатальних інфекцій (сепсис, менінгіт, пневмонія, інфекці</w:t>
      </w:r>
      <w:r w:rsidR="00F916B8">
        <w:rPr>
          <w:rFonts w:eastAsia="Calibri"/>
          <w:color w:val="000000" w:themeColor="text1"/>
          <w:szCs w:val="28"/>
        </w:rPr>
        <w:t>ї</w:t>
      </w:r>
      <w:r w:rsidRPr="00EA77E3">
        <w:rPr>
          <w:rFonts w:eastAsia="Calibri"/>
          <w:color w:val="000000" w:themeColor="text1"/>
          <w:szCs w:val="28"/>
        </w:rPr>
        <w:t>, що викликають діарею). Належна допомога маловагим</w:t>
      </w:r>
      <w:r w:rsidR="00964187">
        <w:rPr>
          <w:rFonts w:eastAsia="Calibri"/>
          <w:color w:val="000000" w:themeColor="text1"/>
          <w:szCs w:val="28"/>
        </w:rPr>
        <w:t xml:space="preserve"> і хворим новонародженим полягає у додатковому термічному</w:t>
      </w:r>
      <w:r w:rsidRPr="00EA77E3">
        <w:rPr>
          <w:rFonts w:eastAsia="Calibri"/>
          <w:color w:val="000000" w:themeColor="text1"/>
          <w:szCs w:val="28"/>
        </w:rPr>
        <w:t xml:space="preserve"> догляд</w:t>
      </w:r>
      <w:r w:rsidR="00964187">
        <w:rPr>
          <w:rFonts w:eastAsia="Calibri"/>
          <w:color w:val="000000" w:themeColor="text1"/>
          <w:szCs w:val="28"/>
        </w:rPr>
        <w:t xml:space="preserve">і і підтримці </w:t>
      </w:r>
      <w:r w:rsidRPr="00EA77E3">
        <w:rPr>
          <w:rFonts w:eastAsia="Calibri"/>
          <w:color w:val="000000" w:themeColor="text1"/>
          <w:szCs w:val="28"/>
        </w:rPr>
        <w:t>годування маленьких або недоношених дітей, в тому числі догляду методом кенгуру, лікування антибіотиками при інфекціях і повне до</w:t>
      </w:r>
      <w:r w:rsidR="00964187">
        <w:rPr>
          <w:rFonts w:eastAsia="Calibri"/>
          <w:color w:val="000000" w:themeColor="text1"/>
          <w:szCs w:val="28"/>
        </w:rPr>
        <w:t xml:space="preserve">поміжне медичне обслуговування </w:t>
      </w:r>
      <w:r w:rsidRPr="00EA77E3">
        <w:rPr>
          <w:rFonts w:eastAsia="Calibri"/>
          <w:color w:val="000000" w:themeColor="text1"/>
          <w:szCs w:val="28"/>
        </w:rPr>
        <w:t>[</w:t>
      </w:r>
      <w:r w:rsidR="00280AAC" w:rsidRPr="00280AAC">
        <w:rPr>
          <w:rFonts w:eastAsia="Calibri"/>
          <w:color w:val="000000" w:themeColor="text1"/>
          <w:szCs w:val="28"/>
        </w:rPr>
        <w:t>4</w:t>
      </w:r>
      <w:r w:rsidR="00280AAC">
        <w:rPr>
          <w:rFonts w:eastAsia="Calibri"/>
          <w:color w:val="000000" w:themeColor="text1"/>
          <w:szCs w:val="28"/>
        </w:rPr>
        <w:t>, 1</w:t>
      </w:r>
      <w:r w:rsidR="00280AAC" w:rsidRPr="00280AAC">
        <w:rPr>
          <w:rFonts w:eastAsia="Calibri"/>
          <w:color w:val="000000" w:themeColor="text1"/>
          <w:szCs w:val="28"/>
        </w:rPr>
        <w:t>2</w:t>
      </w:r>
      <w:r w:rsidR="00BA6D37">
        <w:rPr>
          <w:rFonts w:eastAsia="Calibri"/>
          <w:color w:val="000000" w:themeColor="text1"/>
          <w:szCs w:val="28"/>
        </w:rPr>
        <w:t xml:space="preserve">, </w:t>
      </w:r>
      <w:r w:rsidR="00280AAC" w:rsidRPr="00280AAC">
        <w:rPr>
          <w:rFonts w:eastAsia="Calibri"/>
          <w:color w:val="000000" w:themeColor="text1"/>
          <w:szCs w:val="28"/>
        </w:rPr>
        <w:t xml:space="preserve">50, </w:t>
      </w:r>
      <w:r w:rsidR="00BA6D37">
        <w:rPr>
          <w:rFonts w:eastAsia="Calibri"/>
          <w:color w:val="000000" w:themeColor="text1"/>
          <w:szCs w:val="28"/>
        </w:rPr>
        <w:t>231, 251, 252</w:t>
      </w:r>
      <w:r w:rsidR="002E2C06">
        <w:rPr>
          <w:rFonts w:eastAsia="Calibri"/>
          <w:color w:val="000000" w:themeColor="text1"/>
          <w:szCs w:val="28"/>
        </w:rPr>
        <w:t>]. Також с</w:t>
      </w:r>
      <w:r w:rsidR="001D47CC">
        <w:rPr>
          <w:rFonts w:eastAsia="Calibri"/>
          <w:color w:val="000000" w:themeColor="text1"/>
          <w:szCs w:val="28"/>
        </w:rPr>
        <w:t>лід зазначити, що не менш важлива увага має приділятись догляду за</w:t>
      </w:r>
      <w:r w:rsidRPr="00EA77E3">
        <w:rPr>
          <w:rFonts w:eastAsia="Calibri"/>
          <w:color w:val="000000" w:themeColor="text1"/>
          <w:szCs w:val="28"/>
        </w:rPr>
        <w:t xml:space="preserve"> </w:t>
      </w:r>
      <w:r w:rsidR="002E2C06">
        <w:rPr>
          <w:rFonts w:eastAsia="Calibri"/>
          <w:color w:val="000000" w:themeColor="text1"/>
          <w:szCs w:val="28"/>
        </w:rPr>
        <w:t xml:space="preserve">здоровими </w:t>
      </w:r>
      <w:r w:rsidRPr="00EA77E3">
        <w:rPr>
          <w:rFonts w:eastAsia="Calibri"/>
          <w:color w:val="000000" w:themeColor="text1"/>
          <w:szCs w:val="28"/>
        </w:rPr>
        <w:t>новонародженим</w:t>
      </w:r>
      <w:r w:rsidR="001D47CC">
        <w:rPr>
          <w:rFonts w:eastAsia="Calibri"/>
          <w:color w:val="000000" w:themeColor="text1"/>
          <w:szCs w:val="28"/>
        </w:rPr>
        <w:t>и</w:t>
      </w:r>
      <w:r w:rsidR="002E2C06">
        <w:rPr>
          <w:rFonts w:eastAsia="Calibri"/>
          <w:color w:val="000000" w:themeColor="text1"/>
          <w:szCs w:val="28"/>
        </w:rPr>
        <w:t xml:space="preserve">, який </w:t>
      </w:r>
      <w:r w:rsidRPr="00EA77E3">
        <w:rPr>
          <w:rFonts w:eastAsia="Calibri"/>
          <w:color w:val="000000" w:themeColor="text1"/>
          <w:szCs w:val="28"/>
        </w:rPr>
        <w:t>включає ранній початок грудного вигодовування, профілактику гіпотермії, відповідний догляд за пуповиною. Пильне спостереження протягом 24 годин і як мінімум три дода</w:t>
      </w:r>
      <w:r w:rsidR="002E2C06">
        <w:rPr>
          <w:rFonts w:eastAsia="Calibri"/>
          <w:color w:val="000000" w:themeColor="text1"/>
          <w:szCs w:val="28"/>
        </w:rPr>
        <w:t>ткових постнатальних контакти (</w:t>
      </w:r>
      <w:r w:rsidRPr="00EA77E3">
        <w:rPr>
          <w:rFonts w:eastAsia="Calibri"/>
          <w:color w:val="000000" w:themeColor="text1"/>
          <w:szCs w:val="28"/>
        </w:rPr>
        <w:t>протягом 48-72 години, між 7 і 14 днями і через шість тижнів після народження) рекомендується для всіх матерів і новонароджених, щоб встановити адекватні методи догляду за новонародженим та виявити будь-які небезпечні для життя умови. Інші втручання в рамках безперервної допомоги також мають життєво важливе значення для виживання і здоров'я жінки і дитини</w:t>
      </w:r>
      <w:r w:rsidR="008C662F">
        <w:rPr>
          <w:rFonts w:eastAsia="Calibri"/>
          <w:color w:val="000000" w:themeColor="text1"/>
          <w:szCs w:val="28"/>
        </w:rPr>
        <w:t xml:space="preserve"> [</w:t>
      </w:r>
      <w:r w:rsidR="008C662F" w:rsidRPr="008C662F">
        <w:rPr>
          <w:rFonts w:eastAsia="Calibri"/>
          <w:color w:val="000000" w:themeColor="text1"/>
          <w:szCs w:val="28"/>
        </w:rPr>
        <w:t>4</w:t>
      </w:r>
      <w:r w:rsidR="00D95527">
        <w:rPr>
          <w:rFonts w:eastAsia="Calibri"/>
          <w:color w:val="000000" w:themeColor="text1"/>
          <w:szCs w:val="28"/>
        </w:rPr>
        <w:t>, 231</w:t>
      </w:r>
      <w:r w:rsidRPr="00EA77E3">
        <w:rPr>
          <w:rFonts w:eastAsia="Calibri"/>
          <w:color w:val="000000" w:themeColor="text1"/>
          <w:szCs w:val="28"/>
        </w:rPr>
        <w:t>].</w:t>
      </w:r>
    </w:p>
    <w:p w:rsidR="00323DA9" w:rsidRPr="00EA77E3" w:rsidRDefault="002E2C06" w:rsidP="00EE1CBA">
      <w:pPr>
        <w:widowControl w:val="0"/>
        <w:ind w:firstLine="709"/>
        <w:rPr>
          <w:rFonts w:eastAsia="Calibri"/>
          <w:color w:val="000000" w:themeColor="text1"/>
          <w:szCs w:val="28"/>
        </w:rPr>
      </w:pPr>
      <w:r>
        <w:rPr>
          <w:rFonts w:eastAsia="Calibri"/>
          <w:color w:val="000000" w:themeColor="text1"/>
          <w:szCs w:val="28"/>
        </w:rPr>
        <w:t>Важливу роль</w:t>
      </w:r>
      <w:r w:rsidR="00E64578">
        <w:rPr>
          <w:rFonts w:eastAsia="Calibri"/>
          <w:color w:val="000000" w:themeColor="text1"/>
          <w:szCs w:val="28"/>
        </w:rPr>
        <w:t xml:space="preserve"> у відстроченні, інтервалі, </w:t>
      </w:r>
      <w:r w:rsidR="00E64578" w:rsidRPr="00E64578">
        <w:rPr>
          <w:rFonts w:eastAsia="Calibri"/>
          <w:color w:val="000000" w:themeColor="text1"/>
          <w:szCs w:val="28"/>
        </w:rPr>
        <w:t xml:space="preserve">обмеженні народжуваності, </w:t>
      </w:r>
      <w:r w:rsidR="0099630E">
        <w:rPr>
          <w:rFonts w:eastAsia="Calibri"/>
          <w:color w:val="000000" w:themeColor="text1"/>
          <w:szCs w:val="28"/>
        </w:rPr>
        <w:t xml:space="preserve"> </w:t>
      </w:r>
      <w:r w:rsidR="00E64578" w:rsidRPr="00E64578">
        <w:rPr>
          <w:rFonts w:eastAsia="Calibri"/>
          <w:color w:val="000000" w:themeColor="text1"/>
          <w:szCs w:val="28"/>
        </w:rPr>
        <w:t>зниженні смертності новонароджених і поліпшенні здоров</w:t>
      </w:r>
      <w:r w:rsidR="0099630E">
        <w:rPr>
          <w:rFonts w:eastAsia="Calibri"/>
          <w:color w:val="000000" w:themeColor="text1"/>
          <w:szCs w:val="28"/>
        </w:rPr>
        <w:t>'я матерів</w:t>
      </w:r>
      <w:r w:rsidR="00E64578">
        <w:rPr>
          <w:rFonts w:eastAsia="Calibri"/>
          <w:color w:val="000000" w:themeColor="text1"/>
          <w:szCs w:val="28"/>
        </w:rPr>
        <w:t xml:space="preserve"> грає</w:t>
      </w:r>
      <w:r w:rsidR="00E64578" w:rsidRPr="00E64578">
        <w:rPr>
          <w:rFonts w:eastAsia="Calibri"/>
          <w:color w:val="000000" w:themeColor="text1"/>
          <w:szCs w:val="28"/>
        </w:rPr>
        <w:t xml:space="preserve"> </w:t>
      </w:r>
      <w:r w:rsidR="00E64578">
        <w:rPr>
          <w:rFonts w:eastAsia="Calibri"/>
          <w:color w:val="000000" w:themeColor="text1"/>
          <w:szCs w:val="28"/>
        </w:rPr>
        <w:t>контрацепція</w:t>
      </w:r>
      <w:r w:rsidR="00323DA9" w:rsidRPr="00EA77E3">
        <w:rPr>
          <w:rFonts w:eastAsia="Calibri"/>
          <w:color w:val="000000" w:themeColor="text1"/>
          <w:szCs w:val="28"/>
        </w:rPr>
        <w:t>. Доступ до планування сім'ї та право ко</w:t>
      </w:r>
      <w:r w:rsidR="0099630E">
        <w:rPr>
          <w:rFonts w:eastAsia="Calibri"/>
          <w:color w:val="000000" w:themeColor="text1"/>
          <w:szCs w:val="28"/>
        </w:rPr>
        <w:t>нтролювати частоту вагітностей</w:t>
      </w:r>
      <w:r w:rsidR="00323DA9" w:rsidRPr="00EA77E3">
        <w:rPr>
          <w:rFonts w:eastAsia="Calibri"/>
          <w:color w:val="000000" w:themeColor="text1"/>
          <w:szCs w:val="28"/>
        </w:rPr>
        <w:t xml:space="preserve"> розширює права і можливості жінок і дівчаток, що сприяє</w:t>
      </w:r>
      <w:r w:rsidR="00F35923">
        <w:rPr>
          <w:rFonts w:eastAsia="Calibri"/>
          <w:color w:val="000000" w:themeColor="text1"/>
          <w:szCs w:val="28"/>
        </w:rPr>
        <w:t xml:space="preserve"> поліпшенню здоров'я і виживанню</w:t>
      </w:r>
      <w:r w:rsidR="00323DA9" w:rsidRPr="00EA77E3">
        <w:rPr>
          <w:rFonts w:eastAsia="Calibri"/>
          <w:color w:val="000000" w:themeColor="text1"/>
          <w:szCs w:val="28"/>
        </w:rPr>
        <w:t xml:space="preserve"> дітей. Інвестиції в планування сім'ї </w:t>
      </w:r>
      <w:r w:rsidR="00D77030">
        <w:rPr>
          <w:rFonts w:eastAsia="Calibri"/>
          <w:color w:val="000000" w:themeColor="text1"/>
          <w:szCs w:val="28"/>
        </w:rPr>
        <w:t>здатні внести</w:t>
      </w:r>
      <w:r w:rsidR="00323DA9" w:rsidRPr="00EA77E3">
        <w:rPr>
          <w:rFonts w:eastAsia="Calibri"/>
          <w:color w:val="000000" w:themeColor="text1"/>
          <w:szCs w:val="28"/>
        </w:rPr>
        <w:t xml:space="preserve"> значний вклад в загальне зниження материнс</w:t>
      </w:r>
      <w:r w:rsidR="00D77030">
        <w:rPr>
          <w:rFonts w:eastAsia="Calibri"/>
          <w:color w:val="000000" w:themeColor="text1"/>
          <w:szCs w:val="28"/>
        </w:rPr>
        <w:t>ької та неонатальної смертності, а саме</w:t>
      </w:r>
      <w:r w:rsidR="00323DA9" w:rsidRPr="00EA77E3">
        <w:rPr>
          <w:rFonts w:eastAsia="Calibri"/>
          <w:color w:val="000000" w:themeColor="text1"/>
          <w:szCs w:val="28"/>
        </w:rPr>
        <w:t xml:space="preserve"> число неба</w:t>
      </w:r>
      <w:r w:rsidR="00F35923">
        <w:rPr>
          <w:rFonts w:eastAsia="Calibri"/>
          <w:color w:val="000000" w:themeColor="text1"/>
          <w:szCs w:val="28"/>
        </w:rPr>
        <w:t>жаних вагітностей може попередити</w:t>
      </w:r>
      <w:r w:rsidR="00323DA9" w:rsidRPr="00EA77E3">
        <w:rPr>
          <w:rFonts w:eastAsia="Calibri"/>
          <w:color w:val="000000" w:themeColor="text1"/>
          <w:szCs w:val="28"/>
        </w:rPr>
        <w:t xml:space="preserve"> 60% материнської і 57% дитячої смертності [</w:t>
      </w:r>
      <w:r w:rsidR="008C662F" w:rsidRPr="008C662F">
        <w:rPr>
          <w:rFonts w:eastAsia="Calibri"/>
          <w:color w:val="000000" w:themeColor="text1"/>
          <w:szCs w:val="28"/>
          <w:lang w:val="ru-RU"/>
        </w:rPr>
        <w:t>6</w:t>
      </w:r>
      <w:r w:rsidR="00ED690A">
        <w:rPr>
          <w:rFonts w:eastAsia="Calibri"/>
          <w:color w:val="000000" w:themeColor="text1"/>
          <w:szCs w:val="28"/>
        </w:rPr>
        <w:t xml:space="preserve">, </w:t>
      </w:r>
      <w:r w:rsidR="008C662F" w:rsidRPr="008C662F">
        <w:rPr>
          <w:rFonts w:eastAsia="Calibri"/>
          <w:color w:val="000000" w:themeColor="text1"/>
          <w:szCs w:val="28"/>
          <w:lang w:val="ru-RU"/>
        </w:rPr>
        <w:t xml:space="preserve">8, </w:t>
      </w:r>
      <w:r w:rsidR="00ED690A">
        <w:rPr>
          <w:rFonts w:eastAsia="Calibri"/>
          <w:color w:val="000000" w:themeColor="text1"/>
          <w:szCs w:val="28"/>
        </w:rPr>
        <w:t>54, 231, 253</w:t>
      </w:r>
      <w:r w:rsidR="00EE1CBA">
        <w:rPr>
          <w:rFonts w:eastAsia="Calibri"/>
          <w:color w:val="000000" w:themeColor="text1"/>
          <w:szCs w:val="28"/>
        </w:rPr>
        <w:t xml:space="preserve">]. </w:t>
      </w:r>
      <w:r w:rsidR="00323DA9" w:rsidRPr="00EA77E3">
        <w:rPr>
          <w:rFonts w:eastAsia="Calibri"/>
          <w:color w:val="000000" w:themeColor="text1"/>
          <w:szCs w:val="28"/>
        </w:rPr>
        <w:t>Додаткові компоненти догляду до</w:t>
      </w:r>
      <w:r w:rsidR="0055584C">
        <w:rPr>
          <w:rFonts w:eastAsia="Calibri"/>
          <w:color w:val="000000" w:themeColor="text1"/>
          <w:szCs w:val="28"/>
        </w:rPr>
        <w:t xml:space="preserve"> настання</w:t>
      </w:r>
      <w:r w:rsidR="00323DA9" w:rsidRPr="00EA77E3">
        <w:rPr>
          <w:rFonts w:eastAsia="Calibri"/>
          <w:color w:val="000000" w:themeColor="text1"/>
          <w:szCs w:val="28"/>
        </w:rPr>
        <w:t xml:space="preserve"> і між</w:t>
      </w:r>
      <w:r w:rsidR="0055584C">
        <w:rPr>
          <w:rFonts w:eastAsia="Calibri"/>
          <w:color w:val="000000" w:themeColor="text1"/>
          <w:szCs w:val="28"/>
        </w:rPr>
        <w:t xml:space="preserve"> настанням вагітностей</w:t>
      </w:r>
      <w:r w:rsidR="00323DA9" w:rsidRPr="00EA77E3">
        <w:rPr>
          <w:rFonts w:eastAsia="Calibri"/>
          <w:color w:val="000000" w:themeColor="text1"/>
          <w:szCs w:val="28"/>
        </w:rPr>
        <w:t xml:space="preserve">, які впливають на здоров'я новонароджених, включають навчання </w:t>
      </w:r>
      <w:r w:rsidR="00EE1CBA">
        <w:rPr>
          <w:rFonts w:eastAsia="Calibri"/>
          <w:color w:val="000000" w:themeColor="text1"/>
          <w:szCs w:val="28"/>
        </w:rPr>
        <w:t>з життєвих навичок</w:t>
      </w:r>
      <w:r w:rsidR="00323DA9" w:rsidRPr="00EA77E3">
        <w:rPr>
          <w:rFonts w:eastAsia="Calibri"/>
          <w:color w:val="000000" w:themeColor="text1"/>
          <w:szCs w:val="28"/>
        </w:rPr>
        <w:t>, харчування, профілактики</w:t>
      </w:r>
      <w:r w:rsidR="00EE1CBA">
        <w:rPr>
          <w:rFonts w:eastAsia="Calibri"/>
          <w:color w:val="000000" w:themeColor="text1"/>
          <w:szCs w:val="28"/>
        </w:rPr>
        <w:t xml:space="preserve"> і боротьби</w:t>
      </w:r>
      <w:r w:rsidR="00323DA9" w:rsidRPr="00EA77E3">
        <w:rPr>
          <w:rFonts w:eastAsia="Calibri"/>
          <w:color w:val="000000" w:themeColor="text1"/>
          <w:szCs w:val="28"/>
        </w:rPr>
        <w:t xml:space="preserve"> з</w:t>
      </w:r>
      <w:r w:rsidR="00EE1CBA">
        <w:rPr>
          <w:rFonts w:eastAsia="Calibri"/>
          <w:color w:val="000000" w:themeColor="text1"/>
          <w:szCs w:val="28"/>
        </w:rPr>
        <w:t>і</w:t>
      </w:r>
      <w:r w:rsidR="00323DA9" w:rsidRPr="00EA77E3">
        <w:rPr>
          <w:rFonts w:eastAsia="Calibri"/>
          <w:color w:val="000000" w:themeColor="text1"/>
          <w:szCs w:val="28"/>
        </w:rPr>
        <w:t xml:space="preserve"> шкідливими звичками (включаючи куріння </w:t>
      </w:r>
      <w:r w:rsidR="00EE1CBA">
        <w:rPr>
          <w:rFonts w:eastAsia="Calibri"/>
          <w:color w:val="000000" w:themeColor="text1"/>
          <w:szCs w:val="28"/>
        </w:rPr>
        <w:t xml:space="preserve">та </w:t>
      </w:r>
      <w:r w:rsidR="00323DA9" w:rsidRPr="00EA77E3">
        <w:rPr>
          <w:rFonts w:eastAsia="Calibri"/>
          <w:color w:val="000000" w:themeColor="text1"/>
          <w:szCs w:val="28"/>
        </w:rPr>
        <w:t>вживання алкоголю), виявлення і лікування таких захворювань, як інфекції, що</w:t>
      </w:r>
      <w:r w:rsidR="00EE1CBA">
        <w:rPr>
          <w:rFonts w:eastAsia="Calibri"/>
          <w:color w:val="000000" w:themeColor="text1"/>
          <w:szCs w:val="28"/>
        </w:rPr>
        <w:t xml:space="preserve"> передаються статевим шляхом, психічні захворювання, </w:t>
      </w:r>
      <w:r w:rsidR="00323DA9" w:rsidRPr="00EA77E3">
        <w:rPr>
          <w:rFonts w:eastAsia="Calibri"/>
          <w:color w:val="000000" w:themeColor="text1"/>
          <w:szCs w:val="28"/>
        </w:rPr>
        <w:t xml:space="preserve">боротьба з насильством </w:t>
      </w:r>
      <w:r w:rsidR="000572D4">
        <w:rPr>
          <w:rFonts w:eastAsia="Calibri"/>
          <w:color w:val="000000" w:themeColor="text1"/>
          <w:szCs w:val="28"/>
        </w:rPr>
        <w:t>і</w:t>
      </w:r>
      <w:r w:rsidR="00323DA9" w:rsidRPr="00EA77E3">
        <w:rPr>
          <w:rFonts w:eastAsia="Calibri"/>
          <w:color w:val="000000" w:themeColor="text1"/>
          <w:szCs w:val="28"/>
        </w:rPr>
        <w:t xml:space="preserve">з боку інтимного партнера. Харчовий статус жінок має особливо важливе значення в зв’язку з тим, що </w:t>
      </w:r>
      <w:r w:rsidR="00323DA9" w:rsidRPr="00EA77E3">
        <w:rPr>
          <w:rFonts w:eastAsia="Calibri"/>
          <w:color w:val="000000" w:themeColor="text1"/>
          <w:szCs w:val="28"/>
        </w:rPr>
        <w:lastRenderedPageBreak/>
        <w:t>якщо жінка «недоїдала» до вагітності, з більшою ймовірністю вона народить дитину передчасно або маленькою по вазі для гестаційного віку при народженні, або передчасно і з маленькою вагою. Дуже важливо розірвати порочне коло поганого здоров'я і недоїдання, особливо з урахуванням зростаючої кількості фактичних даних про зв'язок між низькою вагою новонароджених при народженні і</w:t>
      </w:r>
      <w:r w:rsidR="00BF1A6F">
        <w:rPr>
          <w:rFonts w:eastAsia="Calibri"/>
          <w:color w:val="000000" w:themeColor="text1"/>
          <w:szCs w:val="28"/>
        </w:rPr>
        <w:t xml:space="preserve"> недостатнім харчуванням в перші 1000 днів життя та</w:t>
      </w:r>
      <w:r w:rsidR="00323DA9" w:rsidRPr="00EA77E3">
        <w:rPr>
          <w:rFonts w:eastAsia="Calibri"/>
          <w:color w:val="000000" w:themeColor="text1"/>
          <w:szCs w:val="28"/>
        </w:rPr>
        <w:t xml:space="preserve"> зроста</w:t>
      </w:r>
      <w:r w:rsidR="0002185F">
        <w:rPr>
          <w:rFonts w:eastAsia="Calibri"/>
          <w:color w:val="000000" w:themeColor="text1"/>
          <w:szCs w:val="28"/>
        </w:rPr>
        <w:t>нням неінфекційних захворювань у</w:t>
      </w:r>
      <w:r w:rsidR="00323DA9" w:rsidRPr="00EA77E3">
        <w:rPr>
          <w:rFonts w:eastAsia="Calibri"/>
          <w:color w:val="000000" w:themeColor="text1"/>
          <w:szCs w:val="28"/>
        </w:rPr>
        <w:t xml:space="preserve"> зрілому віці.</w:t>
      </w:r>
      <w:r w:rsidR="00323DA9" w:rsidRPr="00EA77E3">
        <w:rPr>
          <w:rFonts w:ascii="Calibri" w:eastAsia="Calibri" w:hAnsi="Calibri"/>
          <w:color w:val="000000" w:themeColor="text1"/>
          <w:sz w:val="22"/>
        </w:rPr>
        <w:t xml:space="preserve"> </w:t>
      </w:r>
      <w:r w:rsidR="00323DA9" w:rsidRPr="00EA77E3">
        <w:rPr>
          <w:rFonts w:eastAsia="Calibri"/>
          <w:color w:val="000000" w:themeColor="text1"/>
          <w:szCs w:val="28"/>
        </w:rPr>
        <w:t>Попередження ранньої небажаної вагітності у дівчаток-підлітків є важливим компонентом посилення здоров'я новонароджених</w:t>
      </w:r>
      <w:r w:rsidR="000C6BF3">
        <w:rPr>
          <w:rFonts w:eastAsia="Calibri"/>
          <w:color w:val="000000" w:themeColor="text1"/>
          <w:szCs w:val="28"/>
        </w:rPr>
        <w:t xml:space="preserve"> і </w:t>
      </w:r>
      <w:r w:rsidR="00323DA9" w:rsidRPr="00EA77E3">
        <w:rPr>
          <w:rFonts w:eastAsia="Calibri"/>
          <w:color w:val="000000" w:themeColor="text1"/>
          <w:szCs w:val="28"/>
        </w:rPr>
        <w:t>потужним засобом порятунку життів матері</w:t>
      </w:r>
      <w:r w:rsidR="00BF1A6F">
        <w:rPr>
          <w:rFonts w:eastAsia="Calibri"/>
          <w:color w:val="000000" w:themeColor="text1"/>
          <w:szCs w:val="28"/>
        </w:rPr>
        <w:t>в</w:t>
      </w:r>
      <w:r w:rsidR="000C6BF3">
        <w:rPr>
          <w:rFonts w:eastAsia="Calibri"/>
          <w:color w:val="000000" w:themeColor="text1"/>
          <w:szCs w:val="28"/>
        </w:rPr>
        <w:t xml:space="preserve"> та новонароджених</w:t>
      </w:r>
      <w:r w:rsidR="00323DA9" w:rsidRPr="00EA77E3">
        <w:rPr>
          <w:rFonts w:eastAsia="Calibri"/>
          <w:color w:val="000000" w:themeColor="text1"/>
          <w:szCs w:val="28"/>
        </w:rPr>
        <w:t>, а також розширює права і можливості дівчаток для  закін</w:t>
      </w:r>
      <w:r w:rsidR="00237D9F">
        <w:rPr>
          <w:rFonts w:eastAsia="Calibri"/>
          <w:color w:val="000000" w:themeColor="text1"/>
          <w:szCs w:val="28"/>
        </w:rPr>
        <w:t>чення своєї освіти [</w:t>
      </w:r>
      <w:r w:rsidR="00237D9F" w:rsidRPr="00237D9F">
        <w:rPr>
          <w:rFonts w:eastAsia="Calibri"/>
          <w:color w:val="000000" w:themeColor="text1"/>
          <w:szCs w:val="28"/>
        </w:rPr>
        <w:t>4</w:t>
      </w:r>
      <w:r w:rsidR="00237D9F">
        <w:rPr>
          <w:rFonts w:eastAsia="Calibri"/>
          <w:color w:val="000000" w:themeColor="text1"/>
          <w:szCs w:val="28"/>
        </w:rPr>
        <w:t>, 1</w:t>
      </w:r>
      <w:r w:rsidR="00237D9F" w:rsidRPr="00237D9F">
        <w:rPr>
          <w:rFonts w:eastAsia="Calibri"/>
          <w:color w:val="000000" w:themeColor="text1"/>
          <w:szCs w:val="28"/>
        </w:rPr>
        <w:t>2</w:t>
      </w:r>
      <w:r w:rsidR="0033227E">
        <w:rPr>
          <w:rFonts w:eastAsia="Calibri"/>
          <w:color w:val="000000" w:themeColor="text1"/>
          <w:szCs w:val="28"/>
        </w:rPr>
        <w:t>, 54, 230, 231, 240</w:t>
      </w:r>
      <w:r w:rsidR="00323DA9" w:rsidRPr="00EA77E3">
        <w:rPr>
          <w:rFonts w:eastAsia="Calibri"/>
          <w:color w:val="000000" w:themeColor="text1"/>
          <w:szCs w:val="28"/>
        </w:rPr>
        <w:t>].</w:t>
      </w:r>
    </w:p>
    <w:p w:rsidR="00323DA9" w:rsidRPr="00EA77E3" w:rsidRDefault="00323DA9" w:rsidP="00721203">
      <w:pPr>
        <w:widowControl w:val="0"/>
        <w:ind w:firstLine="709"/>
        <w:rPr>
          <w:rFonts w:eastAsia="Calibri"/>
          <w:color w:val="000000" w:themeColor="text1"/>
          <w:szCs w:val="28"/>
        </w:rPr>
      </w:pPr>
      <w:r w:rsidRPr="00EA77E3">
        <w:rPr>
          <w:rFonts w:eastAsia="Calibri"/>
          <w:color w:val="000000" w:themeColor="text1"/>
          <w:szCs w:val="28"/>
        </w:rPr>
        <w:t>Працівники охорони здоров'я на рівні громад, особливо в сільських районах, можуть відігравати важливу роль у подоланні розриву між службами охорони здоров'я і сім'ями. Було доведено, що відвідування</w:t>
      </w:r>
      <w:r w:rsidR="0093512F">
        <w:rPr>
          <w:rFonts w:eastAsia="Calibri"/>
          <w:color w:val="000000" w:themeColor="text1"/>
          <w:szCs w:val="28"/>
          <w:lang w:val="ru-RU"/>
        </w:rPr>
        <w:t xml:space="preserve"> жінок</w:t>
      </w:r>
      <w:r w:rsidR="00F35B1F">
        <w:rPr>
          <w:rFonts w:eastAsia="Calibri"/>
          <w:color w:val="000000" w:themeColor="text1"/>
          <w:szCs w:val="28"/>
        </w:rPr>
        <w:t xml:space="preserve"> на дому під час вагітності та</w:t>
      </w:r>
      <w:r w:rsidRPr="00EA77E3">
        <w:rPr>
          <w:rFonts w:eastAsia="Calibri"/>
          <w:color w:val="000000" w:themeColor="text1"/>
          <w:szCs w:val="28"/>
        </w:rPr>
        <w:t xml:space="preserve"> в перший тиждень після пологів роблять позитивний вплив на практику щодо догляду за новонародженими і показниками неонатальної смертності. Забезпечення безперервного догляду протягом усього життя вимагає цільної, функціональної координації між рівнями служб охорони здоров'я  та державним</w:t>
      </w:r>
      <w:r w:rsidR="00466F64">
        <w:rPr>
          <w:rFonts w:eastAsia="Calibri"/>
          <w:color w:val="000000" w:themeColor="text1"/>
          <w:szCs w:val="28"/>
        </w:rPr>
        <w:t xml:space="preserve"> і приватним секторами [</w:t>
      </w:r>
      <w:r w:rsidR="00466F64" w:rsidRPr="00466F64">
        <w:rPr>
          <w:rFonts w:eastAsia="Calibri"/>
          <w:color w:val="000000" w:themeColor="text1"/>
          <w:szCs w:val="28"/>
        </w:rPr>
        <w:t>4</w:t>
      </w:r>
      <w:r w:rsidR="00B82FB0">
        <w:rPr>
          <w:rFonts w:eastAsia="Calibri"/>
          <w:color w:val="000000" w:themeColor="text1"/>
          <w:szCs w:val="28"/>
        </w:rPr>
        <w:t>, 231</w:t>
      </w:r>
      <w:r w:rsidRPr="00EA77E3">
        <w:rPr>
          <w:rFonts w:eastAsia="Calibri"/>
          <w:color w:val="000000" w:themeColor="text1"/>
          <w:szCs w:val="28"/>
        </w:rPr>
        <w:t>].</w:t>
      </w:r>
    </w:p>
    <w:p w:rsidR="00323DA9" w:rsidRPr="00EA77E3" w:rsidRDefault="00323DA9" w:rsidP="00721203">
      <w:pPr>
        <w:widowControl w:val="0"/>
        <w:ind w:firstLine="709"/>
        <w:rPr>
          <w:rFonts w:eastAsia="Calibri"/>
          <w:color w:val="000000" w:themeColor="text1"/>
          <w:szCs w:val="28"/>
        </w:rPr>
      </w:pPr>
      <w:r w:rsidRPr="00EA77E3">
        <w:rPr>
          <w:rFonts w:eastAsia="Calibri"/>
          <w:color w:val="000000" w:themeColor="text1"/>
          <w:szCs w:val="28"/>
        </w:rPr>
        <w:t>Для реалізації ефективної політики профілактики дитячої смертності ВООЗ рекомендує</w:t>
      </w:r>
      <w:r w:rsidR="0093512F">
        <w:rPr>
          <w:rFonts w:eastAsia="Calibri"/>
          <w:color w:val="000000" w:themeColor="text1"/>
          <w:szCs w:val="28"/>
        </w:rPr>
        <w:t>: 1)</w:t>
      </w:r>
      <w:r w:rsidRPr="00EA77E3">
        <w:rPr>
          <w:rFonts w:eastAsia="Calibri"/>
          <w:color w:val="000000" w:themeColor="text1"/>
          <w:szCs w:val="28"/>
        </w:rPr>
        <w:t xml:space="preserve"> урядам у співпраці із зацікавленими сторонами  проводити систематичний ситуаційний аналіз та узгоджувати основні заходи по впливу на ситуацію і її корекцію;</w:t>
      </w:r>
      <w:r w:rsidR="00FA1000">
        <w:rPr>
          <w:rFonts w:eastAsia="Calibri"/>
          <w:color w:val="000000" w:themeColor="text1"/>
          <w:szCs w:val="28"/>
        </w:rPr>
        <w:t xml:space="preserve"> 2)</w:t>
      </w:r>
      <w:r w:rsidRPr="00EA77E3">
        <w:rPr>
          <w:rFonts w:eastAsia="Calibri"/>
          <w:color w:val="000000" w:themeColor="text1"/>
          <w:szCs w:val="28"/>
        </w:rPr>
        <w:t xml:space="preserve"> вживати заходів щодо розширення охоплення кваліфікованою медичною допомогою при народженні в медичних установах; </w:t>
      </w:r>
      <w:r w:rsidR="00FA1000">
        <w:rPr>
          <w:rFonts w:eastAsia="Calibri"/>
          <w:color w:val="000000" w:themeColor="text1"/>
          <w:szCs w:val="28"/>
        </w:rPr>
        <w:t>3</w:t>
      </w:r>
      <w:r w:rsidR="0093512F">
        <w:rPr>
          <w:rFonts w:eastAsia="Calibri"/>
          <w:color w:val="000000" w:themeColor="text1"/>
          <w:szCs w:val="28"/>
        </w:rPr>
        <w:t>)</w:t>
      </w:r>
      <w:r w:rsidR="00F35B1F">
        <w:rPr>
          <w:rFonts w:eastAsia="Calibri"/>
          <w:color w:val="000000" w:themeColor="text1"/>
          <w:szCs w:val="28"/>
        </w:rPr>
        <w:t> </w:t>
      </w:r>
      <w:r w:rsidRPr="00EA77E3">
        <w:rPr>
          <w:rFonts w:eastAsia="Calibri"/>
          <w:color w:val="000000" w:themeColor="text1"/>
          <w:szCs w:val="28"/>
        </w:rPr>
        <w:t xml:space="preserve">підвищувати обізнаність спільноти про важливість періоду народження і першого тижня життя для запобігання материнської смертності, смертності новонароджених, малюкової, дитячої смертності та мертвонародження; </w:t>
      </w:r>
      <w:r w:rsidR="00FA1000">
        <w:rPr>
          <w:rFonts w:eastAsia="Calibri"/>
          <w:color w:val="000000" w:themeColor="text1"/>
          <w:szCs w:val="28"/>
        </w:rPr>
        <w:t>4</w:t>
      </w:r>
      <w:r w:rsidR="0093512F">
        <w:rPr>
          <w:rFonts w:eastAsia="Calibri"/>
          <w:color w:val="000000" w:themeColor="text1"/>
          <w:szCs w:val="28"/>
        </w:rPr>
        <w:t xml:space="preserve">) </w:t>
      </w:r>
      <w:r w:rsidRPr="00EA77E3">
        <w:rPr>
          <w:rFonts w:eastAsia="Calibri"/>
          <w:color w:val="000000" w:themeColor="text1"/>
          <w:szCs w:val="28"/>
        </w:rPr>
        <w:t xml:space="preserve">підвищувати підзвітність всіх відповідних зацікавлених сторін; </w:t>
      </w:r>
      <w:r w:rsidR="00FA1000">
        <w:rPr>
          <w:rFonts w:eastAsia="Calibri"/>
          <w:color w:val="000000" w:themeColor="text1"/>
          <w:szCs w:val="28"/>
        </w:rPr>
        <w:t>5</w:t>
      </w:r>
      <w:r w:rsidR="0093512F">
        <w:rPr>
          <w:rFonts w:eastAsia="Calibri"/>
          <w:color w:val="000000" w:themeColor="text1"/>
          <w:szCs w:val="28"/>
        </w:rPr>
        <w:t xml:space="preserve">) </w:t>
      </w:r>
      <w:r w:rsidRPr="00EA77E3">
        <w:rPr>
          <w:rFonts w:eastAsia="Calibri"/>
          <w:color w:val="000000" w:themeColor="text1"/>
          <w:szCs w:val="28"/>
        </w:rPr>
        <w:t>розробити або вдосконалити Національні плани з охорони здоров'я новонароджених в рамках репродуктивної сфери, здоров'я і харчування матерів, новонароджених і дітей;</w:t>
      </w:r>
      <w:r w:rsidR="00FA1000">
        <w:rPr>
          <w:rFonts w:eastAsia="Calibri"/>
          <w:color w:val="000000" w:themeColor="text1"/>
          <w:szCs w:val="28"/>
        </w:rPr>
        <w:t xml:space="preserve"> 6</w:t>
      </w:r>
      <w:r w:rsidR="0093512F">
        <w:rPr>
          <w:rFonts w:eastAsia="Calibri"/>
          <w:color w:val="000000" w:themeColor="text1"/>
          <w:szCs w:val="28"/>
        </w:rPr>
        <w:t>)</w:t>
      </w:r>
      <w:r w:rsidRPr="00EA77E3">
        <w:rPr>
          <w:rFonts w:eastAsia="Calibri"/>
          <w:color w:val="000000" w:themeColor="text1"/>
          <w:szCs w:val="28"/>
        </w:rPr>
        <w:t xml:space="preserve"> виділити адекватні фінансові ресурси </w:t>
      </w:r>
      <w:r w:rsidRPr="00EA77E3">
        <w:rPr>
          <w:rFonts w:eastAsia="Calibri"/>
          <w:color w:val="000000" w:themeColor="text1"/>
          <w:szCs w:val="28"/>
        </w:rPr>
        <w:lastRenderedPageBreak/>
        <w:t>для реалізації національного плану [</w:t>
      </w:r>
      <w:r w:rsidR="005E589D" w:rsidRPr="005E589D">
        <w:rPr>
          <w:rFonts w:eastAsia="Calibri"/>
          <w:color w:val="000000" w:themeColor="text1"/>
          <w:szCs w:val="28"/>
        </w:rPr>
        <w:t>4</w:t>
      </w:r>
      <w:r w:rsidR="005E589D">
        <w:rPr>
          <w:rFonts w:eastAsia="Calibri"/>
          <w:color w:val="000000" w:themeColor="text1"/>
          <w:szCs w:val="28"/>
        </w:rPr>
        <w:t xml:space="preserve">, </w:t>
      </w:r>
      <w:r w:rsidR="005E589D" w:rsidRPr="005E589D">
        <w:rPr>
          <w:rFonts w:eastAsia="Calibri"/>
          <w:color w:val="000000" w:themeColor="text1"/>
          <w:szCs w:val="28"/>
        </w:rPr>
        <w:t xml:space="preserve">7, </w:t>
      </w:r>
      <w:r w:rsidR="005E589D">
        <w:rPr>
          <w:rFonts w:eastAsia="Calibri"/>
          <w:color w:val="000000" w:themeColor="text1"/>
          <w:szCs w:val="28"/>
        </w:rPr>
        <w:t>1</w:t>
      </w:r>
      <w:r w:rsidR="005E589D" w:rsidRPr="005E589D">
        <w:rPr>
          <w:rFonts w:eastAsia="Calibri"/>
          <w:color w:val="000000" w:themeColor="text1"/>
          <w:szCs w:val="28"/>
        </w:rPr>
        <w:t>2</w:t>
      </w:r>
      <w:r w:rsidR="00AF32D4">
        <w:rPr>
          <w:rFonts w:eastAsia="Calibri"/>
          <w:color w:val="000000" w:themeColor="text1"/>
          <w:szCs w:val="28"/>
        </w:rPr>
        <w:t>,</w:t>
      </w:r>
      <w:r w:rsidR="005E589D" w:rsidRPr="005E589D">
        <w:rPr>
          <w:rFonts w:eastAsia="Calibri"/>
          <w:color w:val="000000" w:themeColor="text1"/>
          <w:szCs w:val="28"/>
        </w:rPr>
        <w:t xml:space="preserve"> 39,</w:t>
      </w:r>
      <w:r w:rsidR="00AF32D4">
        <w:rPr>
          <w:rFonts w:eastAsia="Calibri"/>
          <w:color w:val="000000" w:themeColor="text1"/>
          <w:szCs w:val="28"/>
        </w:rPr>
        <w:t xml:space="preserve"> 231, 243</w:t>
      </w:r>
      <w:r w:rsidRPr="00EA77E3">
        <w:rPr>
          <w:rFonts w:eastAsia="Calibri"/>
          <w:color w:val="000000" w:themeColor="text1"/>
          <w:szCs w:val="28"/>
        </w:rPr>
        <w:t>].</w:t>
      </w:r>
    </w:p>
    <w:p w:rsidR="00323DA9" w:rsidRPr="00EA77E3" w:rsidRDefault="00323DA9" w:rsidP="00721203">
      <w:pPr>
        <w:widowControl w:val="0"/>
        <w:ind w:firstLine="709"/>
        <w:rPr>
          <w:rFonts w:eastAsia="Calibri"/>
          <w:color w:val="000000" w:themeColor="text1"/>
          <w:szCs w:val="28"/>
        </w:rPr>
      </w:pPr>
      <w:r w:rsidRPr="00EA77E3">
        <w:rPr>
          <w:rFonts w:eastAsia="Calibri"/>
          <w:color w:val="000000" w:themeColor="text1"/>
          <w:szCs w:val="28"/>
        </w:rPr>
        <w:t>За рекоменд</w:t>
      </w:r>
      <w:r w:rsidR="00B74601">
        <w:rPr>
          <w:rFonts w:eastAsia="Calibri"/>
          <w:color w:val="000000" w:themeColor="text1"/>
          <w:szCs w:val="28"/>
        </w:rPr>
        <w:t>аціями ВООЗ, необхідно поліпшувати</w:t>
      </w:r>
      <w:r w:rsidRPr="00EA77E3">
        <w:rPr>
          <w:rFonts w:eastAsia="Calibri"/>
          <w:color w:val="000000" w:themeColor="text1"/>
          <w:szCs w:val="28"/>
        </w:rPr>
        <w:t xml:space="preserve"> якість догля</w:t>
      </w:r>
      <w:r w:rsidR="00B74601">
        <w:rPr>
          <w:rFonts w:eastAsia="Calibri"/>
          <w:color w:val="000000" w:themeColor="text1"/>
          <w:szCs w:val="28"/>
        </w:rPr>
        <w:t>ду за матір'ю та новонародженим</w:t>
      </w:r>
      <w:r w:rsidRPr="00EA77E3">
        <w:rPr>
          <w:rFonts w:eastAsia="Calibri"/>
          <w:color w:val="000000" w:themeColor="text1"/>
          <w:szCs w:val="28"/>
        </w:rPr>
        <w:t>, оскільки на тлі отримання кваліфікованої допомоги залишається ризик надання неоптимальної або неякісної допомоги</w:t>
      </w:r>
      <w:r w:rsidR="00B74601">
        <w:rPr>
          <w:rFonts w:eastAsia="Calibri"/>
          <w:color w:val="000000" w:themeColor="text1"/>
          <w:szCs w:val="28"/>
        </w:rPr>
        <w:t>. К</w:t>
      </w:r>
      <w:r w:rsidRPr="00EA77E3">
        <w:rPr>
          <w:rFonts w:eastAsia="Calibri"/>
          <w:color w:val="000000" w:themeColor="text1"/>
          <w:szCs w:val="28"/>
        </w:rPr>
        <w:t>ожна третя вагітна жінка потребує втручання п</w:t>
      </w:r>
      <w:r w:rsidR="00B74601">
        <w:rPr>
          <w:rFonts w:eastAsia="Calibri"/>
          <w:color w:val="000000" w:themeColor="text1"/>
          <w:szCs w:val="28"/>
        </w:rPr>
        <w:t>ід час пологів</w:t>
      </w:r>
      <w:r w:rsidR="005117B3">
        <w:rPr>
          <w:rFonts w:eastAsia="Calibri"/>
          <w:color w:val="000000" w:themeColor="text1"/>
          <w:szCs w:val="28"/>
        </w:rPr>
        <w:t>. В</w:t>
      </w:r>
      <w:r w:rsidRPr="00EA77E3">
        <w:rPr>
          <w:rFonts w:eastAsia="Calibri"/>
          <w:color w:val="000000" w:themeColor="text1"/>
          <w:szCs w:val="28"/>
        </w:rPr>
        <w:t xml:space="preserve">ід 5% до 15% </w:t>
      </w:r>
      <w:r w:rsidR="005117B3">
        <w:rPr>
          <w:rFonts w:eastAsia="Calibri"/>
          <w:color w:val="000000" w:themeColor="text1"/>
          <w:szCs w:val="28"/>
        </w:rPr>
        <w:t>вагітних жінок</w:t>
      </w:r>
      <w:r w:rsidR="00B74601">
        <w:rPr>
          <w:rFonts w:eastAsia="Calibri"/>
          <w:color w:val="000000" w:themeColor="text1"/>
          <w:szCs w:val="28"/>
        </w:rPr>
        <w:t xml:space="preserve"> </w:t>
      </w:r>
      <w:r w:rsidR="005117B3">
        <w:rPr>
          <w:rFonts w:eastAsia="Calibri"/>
          <w:color w:val="000000" w:themeColor="text1"/>
          <w:szCs w:val="28"/>
        </w:rPr>
        <w:t>потребують</w:t>
      </w:r>
      <w:r w:rsidRPr="00EA77E3">
        <w:rPr>
          <w:rFonts w:eastAsia="Calibri"/>
          <w:color w:val="000000" w:themeColor="text1"/>
          <w:szCs w:val="28"/>
        </w:rPr>
        <w:t xml:space="preserve"> кесаревого розтину, при цьому показники частоти кеса</w:t>
      </w:r>
      <w:r w:rsidR="00B74601">
        <w:rPr>
          <w:rFonts w:eastAsia="Calibri"/>
          <w:color w:val="000000" w:themeColor="text1"/>
          <w:szCs w:val="28"/>
        </w:rPr>
        <w:t>ревого розтину менше 5%</w:t>
      </w:r>
      <w:r w:rsidRPr="00EA77E3">
        <w:rPr>
          <w:rFonts w:eastAsia="Calibri"/>
          <w:color w:val="000000" w:themeColor="text1"/>
          <w:szCs w:val="28"/>
        </w:rPr>
        <w:t xml:space="preserve"> є маркером недоступності невідкладної та інтенсивної терапії матері і новонародженого. </w:t>
      </w:r>
      <w:r w:rsidR="00A51F07">
        <w:rPr>
          <w:rFonts w:eastAsia="Calibri"/>
          <w:color w:val="000000" w:themeColor="text1"/>
          <w:szCs w:val="28"/>
        </w:rPr>
        <w:t xml:space="preserve">Також </w:t>
      </w:r>
      <w:r w:rsidRPr="00EA77E3">
        <w:rPr>
          <w:rFonts w:eastAsia="Calibri"/>
          <w:color w:val="000000" w:themeColor="text1"/>
          <w:szCs w:val="28"/>
        </w:rPr>
        <w:t xml:space="preserve">кожна служба допомоги при пологах повинна мати можливість для надання життєво важливої ​​допомоги жінкам і новонародженим, забезпечуючи безперебійний доступ до транспортування у разі виникнення серйозних ускладнень. </w:t>
      </w:r>
      <w:r w:rsidR="005117B3">
        <w:rPr>
          <w:rFonts w:eastAsia="Calibri"/>
          <w:color w:val="000000" w:themeColor="text1"/>
          <w:szCs w:val="28"/>
        </w:rPr>
        <w:t>Слід зазначити, що я</w:t>
      </w:r>
      <w:r w:rsidRPr="00EA77E3">
        <w:rPr>
          <w:rFonts w:eastAsia="Calibri"/>
          <w:color w:val="000000" w:themeColor="text1"/>
          <w:szCs w:val="28"/>
        </w:rPr>
        <w:t>кість медичної допомоги особливо важлива для зниження ризику інвалідності та інших порушень. Наприклад, недоношені діти вразливі в плані офтальмологічних ускладнень. Сліпоті від ретинопатії при недоношеності можна запобігти шляхом поліпшення якості догляду за новонародженими, включаючи більш безпечне використання кисню, і шляхом раннього виявлення ретинопатії (необхідно стежити за недоношеними дітьми та перевіряти їх очі). Наступною важливою умовою для попередження дитячої смертнос</w:t>
      </w:r>
      <w:r w:rsidR="005117B3">
        <w:rPr>
          <w:rFonts w:eastAsia="Calibri"/>
          <w:color w:val="000000" w:themeColor="text1"/>
          <w:szCs w:val="28"/>
        </w:rPr>
        <w:t>ті</w:t>
      </w:r>
      <w:r w:rsidRPr="00EA77E3">
        <w:rPr>
          <w:rFonts w:eastAsia="Calibri"/>
          <w:color w:val="000000" w:themeColor="text1"/>
          <w:szCs w:val="28"/>
        </w:rPr>
        <w:t xml:space="preserve"> є суцільний безперервний зв'язок (наступність) між установами первинної медичної допомоги та установами наступних рівнів на</w:t>
      </w:r>
      <w:r w:rsidR="005117B3">
        <w:rPr>
          <w:rFonts w:eastAsia="Calibri"/>
          <w:color w:val="000000" w:themeColor="text1"/>
          <w:szCs w:val="28"/>
        </w:rPr>
        <w:t>дання медичної допомоги. І</w:t>
      </w:r>
      <w:r w:rsidRPr="00EA77E3">
        <w:rPr>
          <w:rFonts w:eastAsia="Calibri"/>
          <w:color w:val="000000" w:themeColor="text1"/>
          <w:szCs w:val="28"/>
        </w:rPr>
        <w:t>снують переконливі докази того, що стандарт освіти лікарів, медсестер і акушерок залишається низьким у багатьох країнах. Деякі акушерські програми не відповідають світовим стандартам, і студенти не набувають компетенцій, необхідних для впевненого надання якісних послуг. При цьому в багатьох регіонах спостерігається брак медичного персоналу, погано обладнані лікарні і невелика заробітна плата, які ведуть до зниження мотивації і низької якості обслуговування.</w:t>
      </w:r>
      <w:r w:rsidRPr="00EA77E3">
        <w:rPr>
          <w:rFonts w:ascii="Calibri" w:eastAsia="Calibri" w:hAnsi="Calibri"/>
          <w:color w:val="000000" w:themeColor="text1"/>
          <w:sz w:val="22"/>
        </w:rPr>
        <w:t xml:space="preserve"> </w:t>
      </w:r>
      <w:r w:rsidRPr="00EA77E3">
        <w:rPr>
          <w:rFonts w:eastAsia="Calibri"/>
          <w:color w:val="000000" w:themeColor="text1"/>
          <w:szCs w:val="28"/>
        </w:rPr>
        <w:t xml:space="preserve">Медичні служби повинні займатися факторами ризику несприятливих неонатальних результатів, що включають підліткову вагітність, короткі інтервали між пологами, недоїдання (недостатня вага і ожиріння), хронічні захворювання (такі як діабет), інфекційні захворювання (такі як туберкульоз і ВІЛ), токсикоманію (тютюн і вживання </w:t>
      </w:r>
      <w:r w:rsidRPr="00EA77E3">
        <w:rPr>
          <w:rFonts w:eastAsia="Calibri"/>
          <w:color w:val="000000" w:themeColor="text1"/>
          <w:szCs w:val="28"/>
        </w:rPr>
        <w:lastRenderedPageBreak/>
        <w:t>алкоголю), наси</w:t>
      </w:r>
      <w:r w:rsidR="00DD51E6">
        <w:rPr>
          <w:rFonts w:eastAsia="Calibri"/>
          <w:color w:val="000000" w:themeColor="text1"/>
          <w:szCs w:val="28"/>
        </w:rPr>
        <w:t>льство в сім'ї і погане</w:t>
      </w:r>
      <w:r w:rsidRPr="00EA77E3">
        <w:rPr>
          <w:rFonts w:eastAsia="Calibri"/>
          <w:color w:val="000000" w:themeColor="text1"/>
          <w:szCs w:val="28"/>
        </w:rPr>
        <w:t xml:space="preserve"> </w:t>
      </w:r>
      <w:r w:rsidR="00DD51E6">
        <w:rPr>
          <w:rFonts w:eastAsia="Calibri"/>
          <w:color w:val="000000" w:themeColor="text1"/>
          <w:szCs w:val="28"/>
        </w:rPr>
        <w:t>психологічне</w:t>
      </w:r>
      <w:r w:rsidR="00130D22">
        <w:rPr>
          <w:rFonts w:eastAsia="Calibri"/>
          <w:color w:val="000000" w:themeColor="text1"/>
          <w:szCs w:val="28"/>
        </w:rPr>
        <w:t xml:space="preserve"> здоров'я [</w:t>
      </w:r>
      <w:r w:rsidR="00130D22" w:rsidRPr="00130D22">
        <w:rPr>
          <w:rFonts w:eastAsia="Calibri"/>
          <w:color w:val="000000" w:themeColor="text1"/>
          <w:szCs w:val="28"/>
          <w:lang w:val="ru-RU"/>
        </w:rPr>
        <w:t>3, 4</w:t>
      </w:r>
      <w:r w:rsidR="00BE2844">
        <w:rPr>
          <w:rFonts w:eastAsia="Calibri"/>
          <w:color w:val="000000" w:themeColor="text1"/>
          <w:szCs w:val="28"/>
        </w:rPr>
        <w:t xml:space="preserve">, </w:t>
      </w:r>
      <w:r w:rsidR="00130D22" w:rsidRPr="00130D22">
        <w:rPr>
          <w:rFonts w:eastAsia="Calibri"/>
          <w:color w:val="000000" w:themeColor="text1"/>
          <w:szCs w:val="28"/>
          <w:lang w:val="ru-RU"/>
        </w:rPr>
        <w:t xml:space="preserve">6, 12, </w:t>
      </w:r>
      <w:r w:rsidR="00BE2844">
        <w:rPr>
          <w:rFonts w:eastAsia="Calibri"/>
          <w:color w:val="000000" w:themeColor="text1"/>
          <w:szCs w:val="28"/>
        </w:rPr>
        <w:t>231</w:t>
      </w:r>
      <w:r w:rsidRPr="00EA77E3">
        <w:rPr>
          <w:rFonts w:eastAsia="Calibri"/>
          <w:color w:val="000000" w:themeColor="text1"/>
          <w:szCs w:val="28"/>
        </w:rPr>
        <w:t>].</w:t>
      </w:r>
    </w:p>
    <w:p w:rsidR="00323DA9" w:rsidRPr="00EA77E3" w:rsidRDefault="00323DA9" w:rsidP="00721203">
      <w:pPr>
        <w:widowControl w:val="0"/>
        <w:ind w:firstLine="709"/>
        <w:rPr>
          <w:rFonts w:eastAsia="Calibri"/>
          <w:color w:val="000000" w:themeColor="text1"/>
          <w:szCs w:val="28"/>
        </w:rPr>
      </w:pPr>
      <w:r w:rsidRPr="00EA77E3">
        <w:rPr>
          <w:rFonts w:eastAsia="Calibri"/>
          <w:color w:val="000000" w:themeColor="text1"/>
          <w:szCs w:val="28"/>
        </w:rPr>
        <w:t xml:space="preserve">На підставі вищевикладених документів ВООЗ, ЮНІСЕФ, урядам у співпраці </w:t>
      </w:r>
      <w:r w:rsidR="00F81E01">
        <w:rPr>
          <w:rFonts w:eastAsia="Calibri"/>
          <w:color w:val="000000" w:themeColor="text1"/>
          <w:szCs w:val="28"/>
        </w:rPr>
        <w:t>із зацікавленими сторонами необхідно:</w:t>
      </w:r>
      <w:r w:rsidR="00BB7A9C">
        <w:rPr>
          <w:rFonts w:eastAsia="Calibri"/>
          <w:color w:val="000000" w:themeColor="text1"/>
          <w:szCs w:val="28"/>
        </w:rPr>
        <w:t xml:space="preserve"> 1) </w:t>
      </w:r>
      <w:r w:rsidR="00F81E01">
        <w:rPr>
          <w:rFonts w:eastAsia="Calibri"/>
          <w:color w:val="000000" w:themeColor="text1"/>
          <w:szCs w:val="28"/>
        </w:rPr>
        <w:t>о</w:t>
      </w:r>
      <w:r w:rsidRPr="00EA77E3">
        <w:rPr>
          <w:rFonts w:eastAsia="Calibri"/>
          <w:color w:val="000000" w:themeColor="text1"/>
          <w:szCs w:val="28"/>
        </w:rPr>
        <w:t xml:space="preserve">новити національну політику, керівні принципи, норми і стандарти по догляду за матерями та новонародженими; </w:t>
      </w:r>
      <w:r w:rsidR="00F81E01">
        <w:rPr>
          <w:rFonts w:eastAsia="Calibri"/>
          <w:color w:val="000000" w:themeColor="text1"/>
          <w:szCs w:val="28"/>
        </w:rPr>
        <w:t xml:space="preserve">2) </w:t>
      </w:r>
      <w:r w:rsidRPr="00EA77E3">
        <w:rPr>
          <w:rFonts w:eastAsia="Calibri"/>
          <w:color w:val="000000" w:themeColor="text1"/>
          <w:szCs w:val="28"/>
        </w:rPr>
        <w:t xml:space="preserve">ввести в дію ефективні системи поліпшення якості медичної допомоги для надання високоякісних послуг та догляду за новонародженими; </w:t>
      </w:r>
      <w:r w:rsidR="00F81E01">
        <w:rPr>
          <w:rFonts w:eastAsia="Calibri"/>
          <w:color w:val="000000" w:themeColor="text1"/>
          <w:szCs w:val="28"/>
        </w:rPr>
        <w:t xml:space="preserve">3) </w:t>
      </w:r>
      <w:r w:rsidRPr="00EA77E3">
        <w:rPr>
          <w:rFonts w:eastAsia="Calibri"/>
          <w:color w:val="000000" w:themeColor="text1"/>
          <w:szCs w:val="28"/>
        </w:rPr>
        <w:t>прийняти</w:t>
      </w:r>
      <w:r w:rsidR="00F81E01">
        <w:rPr>
          <w:rFonts w:eastAsia="Calibri"/>
          <w:color w:val="000000" w:themeColor="text1"/>
          <w:szCs w:val="28"/>
        </w:rPr>
        <w:t>,</w:t>
      </w:r>
      <w:r w:rsidRPr="00EA77E3">
        <w:rPr>
          <w:rFonts w:eastAsia="Calibri"/>
          <w:color w:val="000000" w:themeColor="text1"/>
          <w:szCs w:val="28"/>
        </w:rPr>
        <w:t xml:space="preserve"> засновані на </w:t>
      </w:r>
      <w:r w:rsidR="00F81E01">
        <w:rPr>
          <w:rFonts w:eastAsia="Calibri"/>
          <w:color w:val="000000" w:themeColor="text1"/>
          <w:szCs w:val="28"/>
        </w:rPr>
        <w:t>компетенція</w:t>
      </w:r>
      <w:r w:rsidR="00BB7A9C">
        <w:rPr>
          <w:rFonts w:eastAsia="Calibri"/>
          <w:color w:val="000000" w:themeColor="text1"/>
          <w:szCs w:val="28"/>
        </w:rPr>
        <w:t>х</w:t>
      </w:r>
      <w:r w:rsidR="00F81E01">
        <w:rPr>
          <w:rFonts w:eastAsia="Calibri"/>
          <w:color w:val="000000" w:themeColor="text1"/>
          <w:szCs w:val="28"/>
        </w:rPr>
        <w:t>,</w:t>
      </w:r>
      <w:r w:rsidRPr="00EA77E3">
        <w:rPr>
          <w:rFonts w:eastAsia="Calibri"/>
          <w:color w:val="000000" w:themeColor="text1"/>
          <w:szCs w:val="28"/>
        </w:rPr>
        <w:t xml:space="preserve"> навчальні програми для навчання працівників охорони здоров'я та впровадити сучасну нормат</w:t>
      </w:r>
      <w:r w:rsidR="00C17509">
        <w:rPr>
          <w:rFonts w:eastAsia="Calibri"/>
          <w:color w:val="000000" w:themeColor="text1"/>
          <w:szCs w:val="28"/>
        </w:rPr>
        <w:t>ивно-правову базу для акушерського</w:t>
      </w:r>
      <w:r w:rsidRPr="00EA77E3">
        <w:rPr>
          <w:rFonts w:eastAsia="Calibri"/>
          <w:color w:val="000000" w:themeColor="text1"/>
          <w:szCs w:val="28"/>
        </w:rPr>
        <w:t xml:space="preserve"> та іншого медичного персоналу;</w:t>
      </w:r>
      <w:r w:rsidR="00F81E01">
        <w:rPr>
          <w:rFonts w:eastAsia="Calibri"/>
          <w:color w:val="000000" w:themeColor="text1"/>
          <w:szCs w:val="28"/>
        </w:rPr>
        <w:t xml:space="preserve"> 4)</w:t>
      </w:r>
      <w:r w:rsidRPr="00EA77E3">
        <w:rPr>
          <w:rFonts w:eastAsia="Calibri"/>
          <w:color w:val="000000" w:themeColor="text1"/>
          <w:szCs w:val="28"/>
        </w:rPr>
        <w:t xml:space="preserve"> забезпечити післяпологові візити в перший тиждень, а також якісний додатковий догляд за дітьми, народженими з маленькою вагою і хворими новонародженими;</w:t>
      </w:r>
      <w:r w:rsidR="00F81E01">
        <w:rPr>
          <w:rFonts w:eastAsia="Calibri"/>
          <w:color w:val="000000" w:themeColor="text1"/>
          <w:szCs w:val="28"/>
        </w:rPr>
        <w:t xml:space="preserve"> 5)</w:t>
      </w:r>
      <w:r w:rsidR="00F81E01">
        <w:t> </w:t>
      </w:r>
      <w:r w:rsidRPr="00EA77E3">
        <w:rPr>
          <w:rFonts w:eastAsia="Calibri"/>
          <w:color w:val="000000" w:themeColor="text1"/>
          <w:szCs w:val="28"/>
        </w:rPr>
        <w:t>розглянути і оцінити інноваційні підходи для мотивації персоналу і поліпшення доступу до якісного обслуговування;</w:t>
      </w:r>
      <w:r w:rsidR="000B36AA">
        <w:rPr>
          <w:rFonts w:eastAsia="Calibri"/>
          <w:color w:val="000000" w:themeColor="text1"/>
          <w:szCs w:val="28"/>
        </w:rPr>
        <w:t xml:space="preserve"> 6)</w:t>
      </w:r>
      <w:r w:rsidRPr="00EA77E3">
        <w:rPr>
          <w:rFonts w:eastAsia="Calibri"/>
          <w:color w:val="000000" w:themeColor="text1"/>
          <w:szCs w:val="28"/>
        </w:rPr>
        <w:t xml:space="preserve"> досліджувати ефективність витрат і пов'язаних з ними ризиків на основі фінансування;</w:t>
      </w:r>
      <w:r w:rsidR="000B36AA">
        <w:rPr>
          <w:rFonts w:eastAsia="Calibri"/>
          <w:color w:val="000000" w:themeColor="text1"/>
          <w:szCs w:val="28"/>
        </w:rPr>
        <w:t xml:space="preserve"> 7</w:t>
      </w:r>
      <w:r w:rsidR="00DA3F99">
        <w:rPr>
          <w:rFonts w:eastAsia="Calibri"/>
          <w:color w:val="000000" w:themeColor="text1"/>
          <w:szCs w:val="28"/>
        </w:rPr>
        <w:t>)</w:t>
      </w:r>
      <w:r w:rsidRPr="00EA77E3">
        <w:rPr>
          <w:rFonts w:eastAsia="Calibri"/>
          <w:color w:val="000000" w:themeColor="text1"/>
          <w:szCs w:val="28"/>
        </w:rPr>
        <w:t xml:space="preserve"> забезпечити укомплектованість медичних закладів</w:t>
      </w:r>
      <w:r w:rsidR="00DA3F99">
        <w:rPr>
          <w:rFonts w:eastAsia="Calibri"/>
          <w:color w:val="000000" w:themeColor="text1"/>
          <w:szCs w:val="28"/>
        </w:rPr>
        <w:t xml:space="preserve"> міждисциплінарними групами для </w:t>
      </w:r>
      <w:r w:rsidR="0079261E">
        <w:rPr>
          <w:rFonts w:eastAsia="Calibri"/>
          <w:color w:val="000000" w:themeColor="text1"/>
          <w:szCs w:val="28"/>
        </w:rPr>
        <w:t>роботи</w:t>
      </w:r>
      <w:r w:rsidRPr="00EA77E3">
        <w:rPr>
          <w:rFonts w:eastAsia="Calibri"/>
          <w:color w:val="000000" w:themeColor="text1"/>
          <w:szCs w:val="28"/>
        </w:rPr>
        <w:t xml:space="preserve"> з ускладненнями у матері і новонародженого на відповідному рівні медичної допомоги,</w:t>
      </w:r>
      <w:r w:rsidR="000B36AA">
        <w:rPr>
          <w:rFonts w:eastAsia="Calibri"/>
          <w:color w:val="000000" w:themeColor="text1"/>
          <w:szCs w:val="28"/>
        </w:rPr>
        <w:t xml:space="preserve"> 8</w:t>
      </w:r>
      <w:r w:rsidR="0079261E">
        <w:rPr>
          <w:rFonts w:eastAsia="Calibri"/>
          <w:color w:val="000000" w:themeColor="text1"/>
          <w:szCs w:val="28"/>
        </w:rPr>
        <w:t>)</w:t>
      </w:r>
      <w:r w:rsidRPr="00EA77E3">
        <w:rPr>
          <w:rFonts w:eastAsia="Calibri"/>
          <w:color w:val="000000" w:themeColor="text1"/>
          <w:szCs w:val="28"/>
        </w:rPr>
        <w:t xml:space="preserve"> мати базовий оптимум інфраструктури;</w:t>
      </w:r>
      <w:r w:rsidR="000B36AA">
        <w:rPr>
          <w:rFonts w:eastAsia="Calibri"/>
          <w:color w:val="000000" w:themeColor="text1"/>
          <w:szCs w:val="28"/>
        </w:rPr>
        <w:t xml:space="preserve"> 9</w:t>
      </w:r>
      <w:r w:rsidR="0079261E">
        <w:rPr>
          <w:rFonts w:eastAsia="Calibri"/>
          <w:color w:val="000000" w:themeColor="text1"/>
          <w:szCs w:val="28"/>
        </w:rPr>
        <w:t>)</w:t>
      </w:r>
      <w:r w:rsidRPr="00EA77E3">
        <w:rPr>
          <w:rFonts w:eastAsia="Calibri"/>
          <w:color w:val="000000" w:themeColor="text1"/>
          <w:szCs w:val="28"/>
        </w:rPr>
        <w:t xml:space="preserve"> забезпечити життєво важливими товарами для здоров'я жінок і дітей через включення їх в кожен національний перел</w:t>
      </w:r>
      <w:r w:rsidR="0079261E">
        <w:rPr>
          <w:rFonts w:eastAsia="Calibri"/>
          <w:color w:val="000000" w:themeColor="text1"/>
          <w:szCs w:val="28"/>
        </w:rPr>
        <w:t>ік основних лікарських засобів;</w:t>
      </w:r>
      <w:r w:rsidR="000B36AA">
        <w:rPr>
          <w:rFonts w:eastAsia="Calibri"/>
          <w:color w:val="000000" w:themeColor="text1"/>
          <w:szCs w:val="28"/>
        </w:rPr>
        <w:t xml:space="preserve"> 10</w:t>
      </w:r>
      <w:r w:rsidR="0079261E">
        <w:rPr>
          <w:rFonts w:eastAsia="Calibri"/>
          <w:color w:val="000000" w:themeColor="text1"/>
          <w:szCs w:val="28"/>
        </w:rPr>
        <w:t xml:space="preserve">) </w:t>
      </w:r>
      <w:r w:rsidRPr="00EA77E3">
        <w:rPr>
          <w:rFonts w:eastAsia="Calibri"/>
          <w:color w:val="000000" w:themeColor="text1"/>
          <w:szCs w:val="28"/>
        </w:rPr>
        <w:t xml:space="preserve">розробити стратегії  залучення постачальників з приватного сектора для посилення роботи з профілактики дитячої смертності, мертвонароджуваності, смертності новонароджених та матерів; </w:t>
      </w:r>
      <w:r w:rsidR="000B36AA">
        <w:rPr>
          <w:rFonts w:eastAsia="Calibri"/>
          <w:color w:val="000000" w:themeColor="text1"/>
          <w:szCs w:val="28"/>
        </w:rPr>
        <w:t>11</w:t>
      </w:r>
      <w:r w:rsidR="0079261E">
        <w:rPr>
          <w:rFonts w:eastAsia="Calibri"/>
          <w:color w:val="000000" w:themeColor="text1"/>
          <w:szCs w:val="28"/>
        </w:rPr>
        <w:t xml:space="preserve">) </w:t>
      </w:r>
      <w:r w:rsidRPr="00EA77E3">
        <w:rPr>
          <w:rFonts w:eastAsia="Calibri"/>
          <w:color w:val="000000" w:themeColor="text1"/>
          <w:szCs w:val="28"/>
        </w:rPr>
        <w:t>розробити інноваційні технології для поліпшення показників здоров'я новонароджених та матерів;</w:t>
      </w:r>
      <w:r w:rsidR="000B36AA">
        <w:rPr>
          <w:rFonts w:eastAsia="Calibri"/>
          <w:color w:val="000000" w:themeColor="text1"/>
          <w:szCs w:val="28"/>
        </w:rPr>
        <w:t xml:space="preserve"> 12</w:t>
      </w:r>
      <w:r w:rsidR="0079261E">
        <w:rPr>
          <w:rFonts w:eastAsia="Calibri"/>
          <w:color w:val="000000" w:themeColor="text1"/>
          <w:szCs w:val="28"/>
        </w:rPr>
        <w:t>)</w:t>
      </w:r>
      <w:r w:rsidRPr="00EA77E3">
        <w:rPr>
          <w:rFonts w:eastAsia="Calibri"/>
          <w:color w:val="000000" w:themeColor="text1"/>
          <w:szCs w:val="28"/>
        </w:rPr>
        <w:t xml:space="preserve"> організувати систему спостереження та реагування на материнську і перинатальну смерть</w:t>
      </w:r>
      <w:r w:rsidR="0079261E">
        <w:rPr>
          <w:rFonts w:eastAsia="Calibri"/>
          <w:color w:val="000000" w:themeColor="text1"/>
          <w:szCs w:val="28"/>
        </w:rPr>
        <w:t xml:space="preserve"> (</w:t>
      </w:r>
      <w:r w:rsidR="000B36AA">
        <w:rPr>
          <w:rFonts w:eastAsia="Calibri"/>
          <w:color w:val="000000" w:themeColor="text1"/>
          <w:szCs w:val="28"/>
        </w:rPr>
        <w:t>переважно протягом 24 годин); 13</w:t>
      </w:r>
      <w:r w:rsidR="0079261E">
        <w:rPr>
          <w:rFonts w:eastAsia="Calibri"/>
          <w:color w:val="000000" w:themeColor="text1"/>
          <w:szCs w:val="28"/>
        </w:rPr>
        <w:t xml:space="preserve">) </w:t>
      </w:r>
      <w:r w:rsidRPr="00EA77E3">
        <w:rPr>
          <w:rFonts w:eastAsia="Calibri"/>
          <w:color w:val="000000" w:themeColor="text1"/>
          <w:szCs w:val="28"/>
        </w:rPr>
        <w:t xml:space="preserve">посилити громадський контроль за якістю медичної допомоги матерям і новонародженим шляхом підвищення усвідомлення і розширення участі </w:t>
      </w:r>
      <w:r w:rsidR="005C414C">
        <w:rPr>
          <w:rFonts w:eastAsia="Calibri"/>
          <w:color w:val="000000" w:themeColor="text1"/>
          <w:szCs w:val="28"/>
        </w:rPr>
        <w:t>спільноти [</w:t>
      </w:r>
      <w:r w:rsidR="005C414C" w:rsidRPr="005C414C">
        <w:rPr>
          <w:rFonts w:eastAsia="Calibri"/>
          <w:color w:val="000000" w:themeColor="text1"/>
          <w:szCs w:val="28"/>
        </w:rPr>
        <w:t>4</w:t>
      </w:r>
      <w:r w:rsidR="005C414C">
        <w:rPr>
          <w:rFonts w:eastAsia="Calibri"/>
          <w:color w:val="000000" w:themeColor="text1"/>
          <w:szCs w:val="28"/>
        </w:rPr>
        <w:t>, 1</w:t>
      </w:r>
      <w:r w:rsidR="005C414C" w:rsidRPr="005C414C">
        <w:rPr>
          <w:rFonts w:eastAsia="Calibri"/>
          <w:color w:val="000000" w:themeColor="text1"/>
          <w:szCs w:val="28"/>
        </w:rPr>
        <w:t>2</w:t>
      </w:r>
      <w:r w:rsidR="000D7C44">
        <w:rPr>
          <w:rFonts w:eastAsia="Calibri"/>
          <w:color w:val="000000" w:themeColor="text1"/>
          <w:szCs w:val="28"/>
        </w:rPr>
        <w:t>, 54, 230, 231, 235, 240, 241</w:t>
      </w:r>
      <w:r w:rsidRPr="00EA77E3">
        <w:rPr>
          <w:rFonts w:eastAsia="Calibri"/>
          <w:color w:val="000000" w:themeColor="text1"/>
          <w:szCs w:val="28"/>
        </w:rPr>
        <w:t>].</w:t>
      </w:r>
    </w:p>
    <w:p w:rsidR="00323DA9" w:rsidRPr="00EA77E3" w:rsidRDefault="00323DA9" w:rsidP="00721203">
      <w:pPr>
        <w:widowControl w:val="0"/>
        <w:ind w:firstLine="709"/>
        <w:rPr>
          <w:rFonts w:eastAsia="Calibri"/>
          <w:color w:val="000000" w:themeColor="text1"/>
          <w:szCs w:val="28"/>
        </w:rPr>
      </w:pPr>
      <w:r w:rsidRPr="00EA77E3">
        <w:rPr>
          <w:rFonts w:eastAsia="Calibri"/>
          <w:color w:val="000000" w:themeColor="text1"/>
          <w:szCs w:val="28"/>
        </w:rPr>
        <w:t xml:space="preserve">Наступними </w:t>
      </w:r>
      <w:r w:rsidR="001275CE">
        <w:rPr>
          <w:rFonts w:eastAsia="Calibri"/>
          <w:color w:val="000000" w:themeColor="text1"/>
          <w:szCs w:val="28"/>
        </w:rPr>
        <w:t xml:space="preserve">основними діями </w:t>
      </w:r>
      <w:r w:rsidRPr="00EA77E3">
        <w:rPr>
          <w:rFonts w:eastAsia="Calibri"/>
          <w:color w:val="000000" w:themeColor="text1"/>
          <w:szCs w:val="28"/>
        </w:rPr>
        <w:t xml:space="preserve">на державному рівні повинні бути: проведення систематичного аналізу перешкод для досягнення повномасштабного і високого рівня охоплення ефективними інтервенційними пакетами матері і дитини для якісного </w:t>
      </w:r>
      <w:r w:rsidRPr="00EA77E3">
        <w:rPr>
          <w:rFonts w:eastAsia="Calibri"/>
          <w:color w:val="000000" w:themeColor="text1"/>
          <w:szCs w:val="28"/>
        </w:rPr>
        <w:lastRenderedPageBreak/>
        <w:t>догляду за ними в рамках сист</w:t>
      </w:r>
      <w:r w:rsidR="001C6573">
        <w:rPr>
          <w:rFonts w:eastAsia="Calibri"/>
          <w:color w:val="000000" w:themeColor="text1"/>
          <w:szCs w:val="28"/>
        </w:rPr>
        <w:t>еми охорони здоров'я і спільнот</w:t>
      </w:r>
      <w:r w:rsidRPr="00EA77E3">
        <w:rPr>
          <w:rFonts w:eastAsia="Calibri"/>
          <w:color w:val="000000" w:themeColor="text1"/>
          <w:szCs w:val="28"/>
        </w:rPr>
        <w:t xml:space="preserve"> </w:t>
      </w:r>
      <w:r w:rsidR="0079261E">
        <w:rPr>
          <w:rFonts w:eastAsia="Calibri"/>
          <w:color w:val="000000" w:themeColor="text1"/>
          <w:szCs w:val="28"/>
        </w:rPr>
        <w:t>та</w:t>
      </w:r>
      <w:r w:rsidRPr="00EA77E3">
        <w:rPr>
          <w:rFonts w:eastAsia="Calibri"/>
          <w:color w:val="000000" w:themeColor="text1"/>
          <w:szCs w:val="28"/>
        </w:rPr>
        <w:t xml:space="preserve"> усунення існуючих перешкод; забезпечення інтеграції дій із охорони здоров'я новонароджених в існуючі репродуктивні, материнські ініціативи в області охо</w:t>
      </w:r>
      <w:r w:rsidR="0079261E">
        <w:rPr>
          <w:rFonts w:eastAsia="Calibri"/>
          <w:color w:val="000000" w:themeColor="text1"/>
          <w:szCs w:val="28"/>
        </w:rPr>
        <w:t xml:space="preserve">рони здоров'я новонароджених, </w:t>
      </w:r>
      <w:r w:rsidRPr="00EA77E3">
        <w:rPr>
          <w:rFonts w:eastAsia="Calibri"/>
          <w:color w:val="000000" w:themeColor="text1"/>
          <w:szCs w:val="28"/>
        </w:rPr>
        <w:t>дітей і платформи надання послуг; підготовка та реалізація плану розвитку кадрових ресурсів охорони здоров'я для забезпечення компетентності та підвищення мотивації; оптимізація роботи наявного персоналу, розглядаючи делегування завдань по здоров'ю новонароджених і дітей персоналу середнього рівня з відповідною підготовкою; прийняття і забезпечення дотримання законів і політики щодо справедливого доступу та якісного догляду за матерями та новонародженими в державному і приватному секторах; планування послуг з охорони здоров'я матері та новонародженого на основі доведеної ефективності; забезпечення усунення бар'єрів (соціальних і фінансових), які обмежують доступ до медичної допомоги; відстеження національних витрат на охорону здоров'я, в тому числі витрати на здоров'я матері та новонародженого, і мобілізація додаткових внутрішніх ресурсів; розробка цільових програм в школі і за її межами для розширення можливостей підлітків і молоді, доступ</w:t>
      </w:r>
      <w:r w:rsidR="001C6573">
        <w:rPr>
          <w:rFonts w:eastAsia="Calibri"/>
          <w:color w:val="000000" w:themeColor="text1"/>
          <w:szCs w:val="28"/>
        </w:rPr>
        <w:t>у</w:t>
      </w:r>
      <w:r w:rsidRPr="00EA77E3">
        <w:rPr>
          <w:rFonts w:eastAsia="Calibri"/>
          <w:color w:val="000000" w:themeColor="text1"/>
          <w:szCs w:val="28"/>
        </w:rPr>
        <w:t xml:space="preserve"> до сучасних методів контрацепції, їх використання та надання повної підтримки вагітним підліткам</w:t>
      </w:r>
      <w:r w:rsidR="00A10B6D">
        <w:rPr>
          <w:rFonts w:eastAsia="Calibri"/>
          <w:color w:val="000000" w:themeColor="text1"/>
          <w:szCs w:val="28"/>
        </w:rPr>
        <w:t xml:space="preserve"> [</w:t>
      </w:r>
      <w:r w:rsidR="000D675B" w:rsidRPr="000D675B">
        <w:rPr>
          <w:rFonts w:eastAsia="Calibri"/>
          <w:color w:val="000000" w:themeColor="text1"/>
          <w:szCs w:val="28"/>
        </w:rPr>
        <w:t>2, 4</w:t>
      </w:r>
      <w:r w:rsidR="00A10B6D" w:rsidRPr="00A10B6D">
        <w:rPr>
          <w:rFonts w:eastAsia="Calibri"/>
          <w:color w:val="000000" w:themeColor="text1"/>
          <w:szCs w:val="28"/>
        </w:rPr>
        <w:t xml:space="preserve">, </w:t>
      </w:r>
      <w:r w:rsidR="000D675B">
        <w:rPr>
          <w:rFonts w:eastAsia="Calibri"/>
          <w:color w:val="000000" w:themeColor="text1"/>
          <w:szCs w:val="28"/>
        </w:rPr>
        <w:t>1</w:t>
      </w:r>
      <w:r w:rsidR="000D675B" w:rsidRPr="000D675B">
        <w:rPr>
          <w:rFonts w:eastAsia="Calibri"/>
          <w:color w:val="000000" w:themeColor="text1"/>
          <w:szCs w:val="28"/>
        </w:rPr>
        <w:t>2</w:t>
      </w:r>
      <w:r w:rsidR="000D675B">
        <w:rPr>
          <w:rFonts w:eastAsia="Calibri"/>
          <w:color w:val="000000" w:themeColor="text1"/>
          <w:szCs w:val="28"/>
        </w:rPr>
        <w:t>, 3</w:t>
      </w:r>
      <w:r w:rsidR="000D675B" w:rsidRPr="000D675B">
        <w:rPr>
          <w:rFonts w:eastAsia="Calibri"/>
          <w:color w:val="000000" w:themeColor="text1"/>
          <w:szCs w:val="28"/>
        </w:rPr>
        <w:t>6</w:t>
      </w:r>
      <w:r w:rsidR="00A10B6D" w:rsidRPr="00A10B6D">
        <w:rPr>
          <w:rFonts w:eastAsia="Calibri"/>
          <w:color w:val="000000" w:themeColor="text1"/>
          <w:szCs w:val="28"/>
        </w:rPr>
        <w:t>, 54, 230, 231, 240, 243</w:t>
      </w:r>
      <w:r w:rsidRPr="00EA77E3">
        <w:rPr>
          <w:rFonts w:eastAsia="Calibri"/>
          <w:color w:val="000000" w:themeColor="text1"/>
          <w:szCs w:val="28"/>
        </w:rPr>
        <w:t>].</w:t>
      </w:r>
    </w:p>
    <w:p w:rsidR="00323DA9" w:rsidRPr="00EA77E3" w:rsidRDefault="00323DA9" w:rsidP="00721203">
      <w:pPr>
        <w:widowControl w:val="0"/>
        <w:ind w:firstLine="709"/>
        <w:rPr>
          <w:rFonts w:eastAsia="Calibri"/>
          <w:color w:val="000000" w:themeColor="text1"/>
          <w:szCs w:val="28"/>
        </w:rPr>
      </w:pPr>
      <w:r w:rsidRPr="00EA77E3">
        <w:rPr>
          <w:rFonts w:eastAsia="Calibri"/>
          <w:color w:val="000000" w:themeColor="text1"/>
          <w:szCs w:val="28"/>
        </w:rPr>
        <w:t xml:space="preserve">Важливим резервом для зниження дитячої смертності є можливість використання ролі батьків, сім'ї </w:t>
      </w:r>
      <w:r w:rsidR="004C1A48">
        <w:rPr>
          <w:rFonts w:eastAsia="Calibri"/>
          <w:color w:val="000000" w:themeColor="text1"/>
          <w:szCs w:val="28"/>
        </w:rPr>
        <w:t xml:space="preserve">та спільнот. При цьому необхідно </w:t>
      </w:r>
      <w:r w:rsidRPr="00EA77E3">
        <w:rPr>
          <w:rFonts w:eastAsia="Calibri"/>
          <w:color w:val="000000" w:themeColor="text1"/>
          <w:szCs w:val="28"/>
        </w:rPr>
        <w:t>проводити систематичний аналіз перешкод використання жінками, сім'ями та громадами основних методів догляду на дому, активн</w:t>
      </w:r>
      <w:r w:rsidR="00534B65">
        <w:rPr>
          <w:rFonts w:eastAsia="Calibri"/>
          <w:color w:val="000000" w:themeColor="text1"/>
          <w:szCs w:val="28"/>
        </w:rPr>
        <w:t>о залучаючи громади у визначенні</w:t>
      </w:r>
      <w:r w:rsidRPr="00EA77E3">
        <w:rPr>
          <w:rFonts w:eastAsia="Calibri"/>
          <w:color w:val="000000" w:themeColor="text1"/>
          <w:szCs w:val="28"/>
        </w:rPr>
        <w:t xml:space="preserve"> пріоритет</w:t>
      </w:r>
      <w:r w:rsidR="004C1A48">
        <w:rPr>
          <w:rFonts w:eastAsia="Calibri"/>
          <w:color w:val="000000" w:themeColor="text1"/>
          <w:szCs w:val="28"/>
        </w:rPr>
        <w:t>і</w:t>
      </w:r>
      <w:r w:rsidR="00534B65">
        <w:rPr>
          <w:rFonts w:eastAsia="Calibri"/>
          <w:color w:val="000000" w:themeColor="text1"/>
          <w:szCs w:val="28"/>
        </w:rPr>
        <w:t>в і плануванні</w:t>
      </w:r>
      <w:r w:rsidR="00D075C5">
        <w:rPr>
          <w:rFonts w:eastAsia="Calibri"/>
          <w:color w:val="000000" w:themeColor="text1"/>
          <w:szCs w:val="28"/>
        </w:rPr>
        <w:t xml:space="preserve"> відповідних дій </w:t>
      </w:r>
      <w:r w:rsidR="00AA6C40">
        <w:rPr>
          <w:rFonts w:eastAsia="Calibri"/>
          <w:color w:val="000000" w:themeColor="text1"/>
          <w:szCs w:val="28"/>
        </w:rPr>
        <w:t>[</w:t>
      </w:r>
      <w:r w:rsidR="005E045B" w:rsidRPr="005E045B">
        <w:rPr>
          <w:rFonts w:eastAsia="Calibri"/>
          <w:color w:val="000000" w:themeColor="text1"/>
          <w:szCs w:val="28"/>
          <w:lang w:val="ru-RU"/>
        </w:rPr>
        <w:t>4</w:t>
      </w:r>
      <w:r w:rsidR="005E045B">
        <w:rPr>
          <w:rFonts w:eastAsia="Calibri"/>
          <w:color w:val="000000" w:themeColor="text1"/>
          <w:szCs w:val="28"/>
        </w:rPr>
        <w:t xml:space="preserve">, </w:t>
      </w:r>
      <w:r w:rsidR="005E045B" w:rsidRPr="005E045B">
        <w:rPr>
          <w:rFonts w:eastAsia="Calibri"/>
          <w:color w:val="000000" w:themeColor="text1"/>
          <w:szCs w:val="28"/>
          <w:lang w:val="ru-RU"/>
        </w:rPr>
        <w:t>6</w:t>
      </w:r>
      <w:r w:rsidR="00AA6C40" w:rsidRPr="00AA6C40">
        <w:rPr>
          <w:rFonts w:eastAsia="Calibri"/>
          <w:color w:val="000000" w:themeColor="text1"/>
          <w:szCs w:val="28"/>
        </w:rPr>
        <w:t>, 46, 54, 230, 231, 250</w:t>
      </w:r>
      <w:r w:rsidRPr="00EA77E3">
        <w:rPr>
          <w:rFonts w:eastAsia="Calibri"/>
          <w:color w:val="000000" w:themeColor="text1"/>
          <w:szCs w:val="28"/>
        </w:rPr>
        <w:t>].</w:t>
      </w:r>
    </w:p>
    <w:p w:rsidR="00323DA9" w:rsidRPr="00EA77E3" w:rsidRDefault="00B37575" w:rsidP="00721203">
      <w:pPr>
        <w:widowControl w:val="0"/>
        <w:ind w:firstLine="709"/>
        <w:rPr>
          <w:rFonts w:eastAsia="Calibri"/>
          <w:color w:val="000000" w:themeColor="text1"/>
          <w:szCs w:val="28"/>
        </w:rPr>
      </w:pPr>
      <w:r>
        <w:rPr>
          <w:rFonts w:eastAsia="Calibri"/>
          <w:color w:val="000000" w:themeColor="text1"/>
          <w:szCs w:val="28"/>
        </w:rPr>
        <w:t>Для якісного та</w:t>
      </w:r>
      <w:r w:rsidR="00323DA9" w:rsidRPr="00EA77E3">
        <w:rPr>
          <w:rFonts w:eastAsia="Calibri"/>
          <w:color w:val="000000" w:themeColor="text1"/>
          <w:szCs w:val="28"/>
        </w:rPr>
        <w:t xml:space="preserve"> кількісног</w:t>
      </w:r>
      <w:r>
        <w:rPr>
          <w:rFonts w:eastAsia="Calibri"/>
          <w:color w:val="000000" w:themeColor="text1"/>
          <w:szCs w:val="28"/>
        </w:rPr>
        <w:t>о розуміння процесів смертності з подальшою розробкою заходів профілактики</w:t>
      </w:r>
      <w:r w:rsidR="00323DA9" w:rsidRPr="00EA77E3">
        <w:rPr>
          <w:rFonts w:eastAsia="Calibri"/>
          <w:color w:val="000000" w:themeColor="text1"/>
          <w:szCs w:val="28"/>
        </w:rPr>
        <w:t xml:space="preserve"> необхідно на рівні держави </w:t>
      </w:r>
      <w:r>
        <w:rPr>
          <w:rFonts w:eastAsia="Calibri"/>
          <w:color w:val="000000" w:themeColor="text1"/>
          <w:szCs w:val="28"/>
        </w:rPr>
        <w:t>сприяти</w:t>
      </w:r>
      <w:r w:rsidR="00323DA9" w:rsidRPr="00EA77E3">
        <w:rPr>
          <w:rFonts w:eastAsia="Calibri"/>
          <w:color w:val="000000" w:themeColor="text1"/>
          <w:szCs w:val="28"/>
        </w:rPr>
        <w:t xml:space="preserve"> реєстрації кожного народження дитини, живими або мертвонародженими, а також смертей </w:t>
      </w:r>
      <w:r>
        <w:rPr>
          <w:rFonts w:eastAsia="Calibri"/>
          <w:color w:val="000000" w:themeColor="text1"/>
          <w:szCs w:val="28"/>
        </w:rPr>
        <w:t xml:space="preserve">новонароджених і дітей в цілому. </w:t>
      </w:r>
      <w:r w:rsidR="002211D4">
        <w:rPr>
          <w:rFonts w:eastAsia="Calibri"/>
          <w:color w:val="000000" w:themeColor="text1"/>
          <w:szCs w:val="28"/>
        </w:rPr>
        <w:t>Потрібно</w:t>
      </w:r>
      <w:r>
        <w:rPr>
          <w:rFonts w:eastAsia="Calibri"/>
          <w:color w:val="000000" w:themeColor="text1"/>
          <w:szCs w:val="28"/>
        </w:rPr>
        <w:t xml:space="preserve"> </w:t>
      </w:r>
      <w:r w:rsidR="00323DA9" w:rsidRPr="00EA77E3">
        <w:rPr>
          <w:rFonts w:eastAsia="Calibri"/>
          <w:color w:val="000000" w:themeColor="text1"/>
          <w:szCs w:val="28"/>
        </w:rPr>
        <w:t>розглянути питання про використання свідоцтв з конкретною інформацією про п</w:t>
      </w:r>
      <w:r w:rsidR="00A1789B">
        <w:rPr>
          <w:rFonts w:eastAsia="Calibri"/>
          <w:color w:val="000000" w:themeColor="text1"/>
          <w:szCs w:val="28"/>
        </w:rPr>
        <w:t>еринатальну смерть із додатковими даними</w:t>
      </w:r>
      <w:r w:rsidR="00323DA9" w:rsidRPr="00EA77E3">
        <w:rPr>
          <w:rFonts w:eastAsia="Calibri"/>
          <w:color w:val="000000" w:themeColor="text1"/>
          <w:szCs w:val="28"/>
        </w:rPr>
        <w:t xml:space="preserve"> про мертвонародження, гестаційний вік, вагу при народженні на дод</w:t>
      </w:r>
      <w:r>
        <w:rPr>
          <w:rFonts w:eastAsia="Calibri"/>
          <w:color w:val="000000" w:themeColor="text1"/>
          <w:szCs w:val="28"/>
        </w:rPr>
        <w:t xml:space="preserve">аток до </w:t>
      </w:r>
      <w:r>
        <w:rPr>
          <w:rFonts w:eastAsia="Calibri"/>
          <w:color w:val="000000" w:themeColor="text1"/>
          <w:szCs w:val="28"/>
        </w:rPr>
        <w:lastRenderedPageBreak/>
        <w:t>мат</w:t>
      </w:r>
      <w:r w:rsidR="00B83B00">
        <w:rPr>
          <w:rFonts w:eastAsia="Calibri"/>
          <w:color w:val="000000" w:themeColor="text1"/>
          <w:szCs w:val="28"/>
        </w:rPr>
        <w:t>еринських ускладнень. Н</w:t>
      </w:r>
      <w:r>
        <w:rPr>
          <w:rFonts w:eastAsia="Calibri"/>
          <w:color w:val="000000" w:themeColor="text1"/>
          <w:szCs w:val="28"/>
        </w:rPr>
        <w:t>еобхідно</w:t>
      </w:r>
      <w:r w:rsidR="00323DA9" w:rsidRPr="00EA77E3">
        <w:rPr>
          <w:rFonts w:eastAsia="Calibri"/>
          <w:color w:val="000000" w:themeColor="text1"/>
          <w:szCs w:val="28"/>
        </w:rPr>
        <w:t xml:space="preserve"> розробити мінімальний перинатальний набір даних і забезпечити збір всіх результатів пологів, з узгодженими термінами і перехресними посиланнями на бази даних для реєст</w:t>
      </w:r>
      <w:r>
        <w:rPr>
          <w:rFonts w:eastAsia="Calibri"/>
          <w:color w:val="000000" w:themeColor="text1"/>
          <w:szCs w:val="28"/>
        </w:rPr>
        <w:t>рації пр</w:t>
      </w:r>
      <w:r w:rsidR="00C73763">
        <w:rPr>
          <w:rFonts w:eastAsia="Calibri"/>
          <w:color w:val="000000" w:themeColor="text1"/>
          <w:szCs w:val="28"/>
        </w:rPr>
        <w:t xml:space="preserve">иродного руху населення, а також </w:t>
      </w:r>
      <w:r w:rsidR="00323DA9" w:rsidRPr="00EA77E3">
        <w:rPr>
          <w:rFonts w:eastAsia="Calibri"/>
          <w:color w:val="000000" w:themeColor="text1"/>
          <w:szCs w:val="28"/>
        </w:rPr>
        <w:t>інституціоналізувати е</w:t>
      </w:r>
      <w:r>
        <w:rPr>
          <w:rFonts w:eastAsia="Calibri"/>
          <w:color w:val="000000" w:themeColor="text1"/>
          <w:szCs w:val="28"/>
        </w:rPr>
        <w:t>піднагляд і відповідні заходи щодо</w:t>
      </w:r>
      <w:r w:rsidR="00323DA9" w:rsidRPr="00EA77E3">
        <w:rPr>
          <w:rFonts w:eastAsia="Calibri"/>
          <w:color w:val="000000" w:themeColor="text1"/>
          <w:szCs w:val="28"/>
        </w:rPr>
        <w:t xml:space="preserve"> м</w:t>
      </w:r>
      <w:r>
        <w:rPr>
          <w:rFonts w:eastAsia="Calibri"/>
          <w:color w:val="000000" w:themeColor="text1"/>
          <w:szCs w:val="28"/>
        </w:rPr>
        <w:t>атеринської та перинатальної</w:t>
      </w:r>
      <w:r w:rsidR="00323DA9" w:rsidRPr="00EA77E3">
        <w:rPr>
          <w:rFonts w:eastAsia="Calibri"/>
          <w:color w:val="000000" w:themeColor="text1"/>
          <w:szCs w:val="28"/>
        </w:rPr>
        <w:t xml:space="preserve"> смертності, пов'язуючи перинатальну смертність і вжиття заходів щодо усунення чин</w:t>
      </w:r>
      <w:r>
        <w:rPr>
          <w:rFonts w:eastAsia="Calibri"/>
          <w:color w:val="000000" w:themeColor="text1"/>
          <w:szCs w:val="28"/>
        </w:rPr>
        <w:t xml:space="preserve">ників. </w:t>
      </w:r>
      <w:r w:rsidR="00C73763">
        <w:rPr>
          <w:rFonts w:eastAsia="Calibri"/>
          <w:color w:val="000000" w:themeColor="text1"/>
          <w:szCs w:val="28"/>
        </w:rPr>
        <w:t xml:space="preserve">Важливо </w:t>
      </w:r>
      <w:r w:rsidR="00323DA9" w:rsidRPr="00EA77E3">
        <w:rPr>
          <w:rFonts w:eastAsia="Calibri"/>
          <w:color w:val="000000" w:themeColor="text1"/>
          <w:szCs w:val="28"/>
        </w:rPr>
        <w:t>відслідковувати результати захворюваності та інвалідності, особливо при інт</w:t>
      </w:r>
      <w:r w:rsidR="00C73763">
        <w:rPr>
          <w:rFonts w:eastAsia="Calibri"/>
          <w:color w:val="000000" w:themeColor="text1"/>
          <w:szCs w:val="28"/>
        </w:rPr>
        <w:t>енсивній терапії новонароджених,</w:t>
      </w:r>
      <w:r w:rsidR="00323DA9" w:rsidRPr="00EA77E3">
        <w:rPr>
          <w:rFonts w:eastAsia="Calibri"/>
          <w:color w:val="000000" w:themeColor="text1"/>
          <w:szCs w:val="28"/>
        </w:rPr>
        <w:t xml:space="preserve"> оцінювати і визначати національні показники надання послуг для матерів, новонароджених, дітей і показників здоров'я (в тому числі і на основі глобальних показників</w:t>
      </w:r>
      <w:r w:rsidR="00C73763">
        <w:rPr>
          <w:rFonts w:eastAsia="Calibri"/>
          <w:color w:val="000000" w:themeColor="text1"/>
          <w:szCs w:val="28"/>
        </w:rPr>
        <w:t>)</w:t>
      </w:r>
      <w:r w:rsidR="00D35DF1">
        <w:rPr>
          <w:rFonts w:eastAsia="Calibri"/>
          <w:color w:val="000000" w:themeColor="text1"/>
          <w:szCs w:val="28"/>
        </w:rPr>
        <w:t xml:space="preserve"> [</w:t>
      </w:r>
      <w:r w:rsidR="00442020" w:rsidRPr="00442020">
        <w:rPr>
          <w:rFonts w:eastAsia="Calibri"/>
          <w:color w:val="000000" w:themeColor="text1"/>
          <w:szCs w:val="28"/>
        </w:rPr>
        <w:t>4</w:t>
      </w:r>
      <w:r w:rsidR="00442020">
        <w:rPr>
          <w:rFonts w:eastAsia="Calibri"/>
          <w:color w:val="000000" w:themeColor="text1"/>
          <w:szCs w:val="28"/>
        </w:rPr>
        <w:t>, 1</w:t>
      </w:r>
      <w:r w:rsidR="00442020" w:rsidRPr="00442020">
        <w:rPr>
          <w:rFonts w:eastAsia="Calibri"/>
          <w:color w:val="000000" w:themeColor="text1"/>
          <w:szCs w:val="28"/>
        </w:rPr>
        <w:t>2</w:t>
      </w:r>
      <w:r w:rsidR="00C6136D" w:rsidRPr="00C6136D">
        <w:rPr>
          <w:rFonts w:eastAsia="Calibri"/>
          <w:color w:val="000000" w:themeColor="text1"/>
          <w:szCs w:val="28"/>
        </w:rPr>
        <w:t>, 54, 230, 231</w:t>
      </w:r>
      <w:r w:rsidR="00323DA9" w:rsidRPr="00EA77E3">
        <w:rPr>
          <w:rFonts w:eastAsia="Calibri"/>
          <w:color w:val="000000" w:themeColor="text1"/>
          <w:szCs w:val="28"/>
        </w:rPr>
        <w:t>].</w:t>
      </w:r>
    </w:p>
    <w:p w:rsidR="00323DA9" w:rsidRDefault="00323DA9" w:rsidP="00721203">
      <w:pPr>
        <w:widowControl w:val="0"/>
        <w:ind w:firstLine="709"/>
        <w:rPr>
          <w:rFonts w:eastAsia="Calibri"/>
          <w:color w:val="000000" w:themeColor="text1"/>
          <w:szCs w:val="28"/>
        </w:rPr>
      </w:pPr>
      <w:r w:rsidRPr="00EA77E3">
        <w:rPr>
          <w:rFonts w:eastAsia="Calibri"/>
          <w:color w:val="000000" w:themeColor="text1"/>
          <w:szCs w:val="28"/>
        </w:rPr>
        <w:t>Структуру впливу на кожну дитину з метою попередження дитячої смертності, можна представити у вигляді схеми, яка включає основні «точки дотику»: «кожен новонароджений», «кожна жінка», «кожна</w:t>
      </w:r>
      <w:r w:rsidR="00181D9E">
        <w:rPr>
          <w:rFonts w:eastAsia="Calibri"/>
          <w:color w:val="000000" w:themeColor="text1"/>
          <w:szCs w:val="28"/>
        </w:rPr>
        <w:t xml:space="preserve"> дитина», а також цілі, </w:t>
      </w:r>
      <w:r w:rsidRPr="00EA77E3">
        <w:rPr>
          <w:rFonts w:eastAsia="Calibri"/>
          <w:color w:val="000000" w:themeColor="text1"/>
          <w:szCs w:val="28"/>
        </w:rPr>
        <w:t>складові, спрямовані на припинення смер</w:t>
      </w:r>
      <w:r w:rsidR="008547FD">
        <w:rPr>
          <w:rFonts w:eastAsia="Calibri"/>
          <w:color w:val="000000" w:themeColor="text1"/>
          <w:szCs w:val="28"/>
        </w:rPr>
        <w:t>тей серед жінок, новонароджених та</w:t>
      </w:r>
      <w:r w:rsidRPr="00EA77E3">
        <w:rPr>
          <w:rFonts w:eastAsia="Calibri"/>
          <w:color w:val="000000" w:themeColor="text1"/>
          <w:szCs w:val="28"/>
        </w:rPr>
        <w:t xml:space="preserve"> дітей, які можна попередити, і мертвонароджень, а також складові щодо поліпшення розвитку дітей і людського капі</w:t>
      </w:r>
      <w:r w:rsidR="005E244D">
        <w:rPr>
          <w:rFonts w:eastAsia="Calibri"/>
          <w:color w:val="000000" w:themeColor="text1"/>
          <w:szCs w:val="28"/>
        </w:rPr>
        <w:t>талу [</w:t>
      </w:r>
      <w:r w:rsidR="0083032B" w:rsidRPr="0083032B">
        <w:rPr>
          <w:rFonts w:eastAsia="Calibri"/>
          <w:color w:val="000000" w:themeColor="text1"/>
          <w:szCs w:val="28"/>
        </w:rPr>
        <w:t>4</w:t>
      </w:r>
      <w:r w:rsidR="00F54F3C">
        <w:rPr>
          <w:rFonts w:eastAsia="Calibri"/>
          <w:color w:val="000000" w:themeColor="text1"/>
          <w:szCs w:val="28"/>
        </w:rPr>
        <w:t>].</w:t>
      </w:r>
      <w:r w:rsidR="00F54F3C" w:rsidRPr="00F54F3C">
        <w:rPr>
          <w:rFonts w:eastAsia="Calibri"/>
          <w:color w:val="000000" w:themeColor="text1"/>
          <w:szCs w:val="28"/>
        </w:rPr>
        <w:t xml:space="preserve"> </w:t>
      </w:r>
      <w:r w:rsidRPr="00EA77E3">
        <w:rPr>
          <w:rFonts w:eastAsia="Calibri"/>
          <w:color w:val="000000" w:themeColor="text1"/>
          <w:szCs w:val="28"/>
        </w:rPr>
        <w:t xml:space="preserve">Таким чином структура включає в себе всі пакети з охорони репродуктивного здоров'я, здоров'я матерів, новонароджених і дітей. Особливу </w:t>
      </w:r>
      <w:r w:rsidR="00F54F3C">
        <w:rPr>
          <w:rFonts w:eastAsia="Calibri"/>
          <w:color w:val="000000" w:themeColor="text1"/>
          <w:szCs w:val="28"/>
        </w:rPr>
        <w:t>уваг</w:t>
      </w:r>
      <w:r w:rsidR="00F54F3C">
        <w:rPr>
          <w:rFonts w:eastAsia="Calibri"/>
          <w:color w:val="000000" w:themeColor="text1"/>
          <w:szCs w:val="28"/>
          <w:lang w:val="ru-RU"/>
        </w:rPr>
        <w:t>у</w:t>
      </w:r>
      <w:r w:rsidRPr="00EA77E3">
        <w:rPr>
          <w:rFonts w:eastAsia="Calibri"/>
          <w:color w:val="000000" w:themeColor="text1"/>
          <w:szCs w:val="28"/>
        </w:rPr>
        <w:t xml:space="preserve"> приділяється турботі про жінок і дітей під час пологів і в перший тиждень життя, а також по догляду за маленькими і хворими новонародженими з метою забезпечення загального охоплення. Збільшення охоплення якістю медичної допомоги вимагає розширення програм в межах систем охорони здоров'я та спільноти. Внесок у зміцнення системи охорони здоров'я вимагає ретельного вимірювання, надійне відстеження програм і підзвітність. Нарешті, соціально-політичн</w:t>
      </w:r>
      <w:r w:rsidR="00F858A0">
        <w:rPr>
          <w:rFonts w:eastAsia="Calibri"/>
          <w:color w:val="000000" w:themeColor="text1"/>
          <w:szCs w:val="28"/>
        </w:rPr>
        <w:t>і, економічні</w:t>
      </w:r>
      <w:r w:rsidRPr="00EA77E3">
        <w:rPr>
          <w:rFonts w:eastAsia="Calibri"/>
          <w:color w:val="000000" w:themeColor="text1"/>
          <w:szCs w:val="28"/>
        </w:rPr>
        <w:t>, екологічні, біологічні та правові умови впливають на всі рівні змін (рис.1.1).</w:t>
      </w:r>
    </w:p>
    <w:p w:rsidR="008A5817" w:rsidRDefault="000C00D5" w:rsidP="0007105C">
      <w:pPr>
        <w:widowControl w:val="0"/>
        <w:ind w:firstLine="709"/>
        <w:rPr>
          <w:rFonts w:eastAsia="Calibri"/>
          <w:bCs/>
          <w:color w:val="000000" w:themeColor="text1"/>
          <w:szCs w:val="28"/>
          <w:lang w:val="ru-RU"/>
        </w:rPr>
      </w:pPr>
      <w:r w:rsidRPr="000C00D5">
        <w:rPr>
          <w:rFonts w:eastAsia="Calibri"/>
          <w:bCs/>
          <w:color w:val="000000" w:themeColor="text1"/>
          <w:szCs w:val="28"/>
        </w:rPr>
        <w:t>Для вирішення питання щодо скорочення дитячої смертності ВООЗ ставить за мету вже до 2025 року охопити якісною медичною допомогою при народженні 95% жінок, які  будуть народжувати за допомогою кваліфікованого фахівця, а кожна жінка і її новонароджена дитина отримають ефективний якісний і адекватний догляд.</w:t>
      </w:r>
      <w:r w:rsidR="00E329EA" w:rsidRPr="00E329EA">
        <w:rPr>
          <w:rFonts w:eastAsia="Times New Roman"/>
          <w:bCs/>
          <w:color w:val="000000" w:themeColor="text1"/>
          <w:szCs w:val="28"/>
        </w:rPr>
        <w:t xml:space="preserve"> </w:t>
      </w:r>
      <w:r w:rsidR="00E329EA" w:rsidRPr="00E329EA">
        <w:rPr>
          <w:rFonts w:eastAsia="Calibri"/>
          <w:bCs/>
          <w:color w:val="000000" w:themeColor="text1"/>
          <w:szCs w:val="28"/>
        </w:rPr>
        <w:t xml:space="preserve">Охоплення якісним доглядом  новонароджених у групі ризику має становити </w:t>
      </w:r>
      <w:r w:rsidR="00E329EA" w:rsidRPr="00E329EA">
        <w:rPr>
          <w:rFonts w:eastAsia="Calibri"/>
          <w:bCs/>
          <w:color w:val="000000" w:themeColor="text1"/>
          <w:szCs w:val="28"/>
        </w:rPr>
        <w:lastRenderedPageBreak/>
        <w:t xml:space="preserve">принаймні 75% дітей, які не дихають при народженні </w:t>
      </w:r>
      <w:r w:rsidR="00B75878">
        <w:rPr>
          <w:rFonts w:eastAsia="Calibri"/>
          <w:bCs/>
          <w:color w:val="000000" w:themeColor="text1"/>
          <w:szCs w:val="28"/>
        </w:rPr>
        <w:t>і</w:t>
      </w:r>
      <w:r w:rsidR="00E329EA">
        <w:rPr>
          <w:rFonts w:eastAsia="Calibri"/>
          <w:bCs/>
          <w:color w:val="000000" w:themeColor="text1"/>
          <w:szCs w:val="28"/>
        </w:rPr>
        <w:t xml:space="preserve"> </w:t>
      </w:r>
      <w:r w:rsidR="00E329EA" w:rsidRPr="00E329EA">
        <w:rPr>
          <w:rFonts w:eastAsia="Calibri"/>
          <w:bCs/>
          <w:color w:val="000000" w:themeColor="text1"/>
          <w:szCs w:val="28"/>
        </w:rPr>
        <w:t>будуть</w:t>
      </w:r>
      <w:r w:rsidR="00E329EA">
        <w:rPr>
          <w:rFonts w:eastAsia="Calibri"/>
          <w:bCs/>
          <w:color w:val="000000" w:themeColor="text1"/>
          <w:szCs w:val="28"/>
        </w:rPr>
        <w:t xml:space="preserve"> </w:t>
      </w:r>
      <w:r w:rsidR="00E329EA" w:rsidRPr="00E329EA">
        <w:rPr>
          <w:rFonts w:eastAsia="Calibri"/>
          <w:bCs/>
          <w:color w:val="000000" w:themeColor="text1"/>
          <w:szCs w:val="28"/>
        </w:rPr>
        <w:t xml:space="preserve">реанімовані </w:t>
      </w:r>
      <w:r w:rsidR="00B75878">
        <w:rPr>
          <w:rFonts w:eastAsia="Calibri"/>
          <w:bCs/>
          <w:color w:val="000000" w:themeColor="text1"/>
          <w:szCs w:val="28"/>
        </w:rPr>
        <w:t>за</w:t>
      </w:r>
      <w:r w:rsidR="00E329EA">
        <w:rPr>
          <w:rFonts w:eastAsia="Calibri"/>
          <w:bCs/>
          <w:color w:val="000000" w:themeColor="text1"/>
          <w:szCs w:val="28"/>
        </w:rPr>
        <w:t xml:space="preserve"> </w:t>
      </w:r>
      <w:r w:rsidR="00E329EA" w:rsidRPr="00E329EA">
        <w:rPr>
          <w:rFonts w:eastAsia="Calibri"/>
          <w:bCs/>
          <w:color w:val="000000" w:themeColor="text1"/>
          <w:szCs w:val="28"/>
        </w:rPr>
        <w:t>допо</w:t>
      </w:r>
      <w:r w:rsidR="00F67982">
        <w:rPr>
          <w:rFonts w:eastAsia="Calibri"/>
          <w:bCs/>
          <w:color w:val="000000" w:themeColor="text1"/>
          <w:szCs w:val="28"/>
        </w:rPr>
        <w:t>могою штучної вентиляції леген</w:t>
      </w:r>
      <w:r w:rsidR="00F67982" w:rsidRPr="00F67982">
        <w:rPr>
          <w:rFonts w:eastAsia="Calibri"/>
          <w:bCs/>
          <w:color w:val="000000" w:themeColor="text1"/>
          <w:szCs w:val="28"/>
        </w:rPr>
        <w:t>ь</w:t>
      </w:r>
      <w:r w:rsidR="00E329EA">
        <w:rPr>
          <w:rFonts w:eastAsia="Calibri"/>
          <w:bCs/>
          <w:color w:val="000000" w:themeColor="text1"/>
          <w:szCs w:val="28"/>
        </w:rPr>
        <w:t xml:space="preserve"> </w:t>
      </w:r>
      <w:r w:rsidR="00E329EA" w:rsidRPr="00E329EA">
        <w:rPr>
          <w:rFonts w:eastAsia="Calibri"/>
          <w:bCs/>
          <w:color w:val="000000" w:themeColor="text1"/>
          <w:szCs w:val="28"/>
        </w:rPr>
        <w:t xml:space="preserve">і </w:t>
      </w:r>
      <w:r w:rsidR="00B75878" w:rsidRPr="00B75878">
        <w:rPr>
          <w:rFonts w:eastAsia="Calibri"/>
          <w:bCs/>
          <w:color w:val="000000" w:themeColor="text1"/>
          <w:szCs w:val="28"/>
        </w:rPr>
        <w:t>маски; щонайменше 75% стабільних недоношених новонароджених або дітей вагою менше 2000 г отримають догляд за методом кенгуру і інший підтримуючий догляд; 75% новонароджених з можливою серйозною бактеріальною інфекцією отримають терапію антибіотиками.</w:t>
      </w:r>
      <w:r w:rsidR="00B75878" w:rsidRPr="00B75878">
        <w:rPr>
          <w:rFonts w:eastAsia="Times New Roman"/>
          <w:bCs/>
          <w:color w:val="000000" w:themeColor="text1"/>
          <w:szCs w:val="28"/>
        </w:rPr>
        <w:t xml:space="preserve"> </w:t>
      </w:r>
      <w:r w:rsidR="00B10755" w:rsidRPr="00B10755">
        <w:rPr>
          <w:rFonts w:eastAsia="Calibri"/>
          <w:bCs/>
          <w:color w:val="000000" w:themeColor="text1"/>
          <w:szCs w:val="28"/>
        </w:rPr>
        <w:t xml:space="preserve">Важливим компонентом цього є зв'язок з підходами за участю громадськості та батьківськими групами </w:t>
      </w:r>
      <w:r w:rsidR="00B75878" w:rsidRPr="00B75878">
        <w:rPr>
          <w:rFonts w:eastAsia="Calibri"/>
          <w:bCs/>
          <w:color w:val="000000" w:themeColor="text1"/>
          <w:szCs w:val="28"/>
        </w:rPr>
        <w:t>[</w:t>
      </w:r>
      <w:r w:rsidR="0083032B">
        <w:rPr>
          <w:rFonts w:eastAsia="Calibri"/>
          <w:bCs/>
          <w:color w:val="000000" w:themeColor="text1"/>
          <w:szCs w:val="28"/>
          <w:lang w:val="ru-RU"/>
        </w:rPr>
        <w:t>2, 4</w:t>
      </w:r>
      <w:r w:rsidR="00B75878" w:rsidRPr="00B75878">
        <w:rPr>
          <w:rFonts w:eastAsia="Calibri"/>
          <w:bCs/>
          <w:color w:val="000000" w:themeColor="text1"/>
          <w:szCs w:val="28"/>
          <w:lang w:val="ru-RU"/>
        </w:rPr>
        <w:t>, 54, 230</w:t>
      </w:r>
      <w:r w:rsidR="00B75878" w:rsidRPr="00B75878">
        <w:rPr>
          <w:rFonts w:eastAsia="Calibri"/>
          <w:bCs/>
          <w:color w:val="000000" w:themeColor="text1"/>
          <w:szCs w:val="28"/>
        </w:rPr>
        <w:t xml:space="preserve">, </w:t>
      </w:r>
      <w:r w:rsidR="00B75878" w:rsidRPr="00B75878">
        <w:rPr>
          <w:rFonts w:eastAsia="Calibri"/>
          <w:bCs/>
          <w:color w:val="000000" w:themeColor="text1"/>
          <w:szCs w:val="28"/>
          <w:lang w:val="ru-RU"/>
        </w:rPr>
        <w:t>231</w:t>
      </w:r>
      <w:r w:rsidR="00D075C5">
        <w:rPr>
          <w:rFonts w:eastAsia="Calibri"/>
          <w:bCs/>
          <w:color w:val="000000" w:themeColor="text1"/>
          <w:szCs w:val="28"/>
        </w:rPr>
        <w:t>].</w:t>
      </w:r>
    </w:p>
    <w:p w:rsidR="009912A2" w:rsidRPr="009912A2" w:rsidRDefault="009912A2" w:rsidP="0007105C">
      <w:pPr>
        <w:widowControl w:val="0"/>
        <w:ind w:firstLine="709"/>
        <w:rPr>
          <w:rFonts w:eastAsia="Calibri"/>
          <w:bCs/>
          <w:color w:val="000000" w:themeColor="text1"/>
          <w:szCs w:val="28"/>
          <w:lang w:val="ru-RU"/>
        </w:rPr>
      </w:pPr>
    </w:p>
    <w:p w:rsidR="002D292A" w:rsidRPr="008A5817" w:rsidRDefault="00EC2269" w:rsidP="00D075C5">
      <w:pPr>
        <w:widowControl w:val="0"/>
        <w:rPr>
          <w:rFonts w:eastAsia="Calibri"/>
          <w:color w:val="000000" w:themeColor="text1"/>
          <w:szCs w:val="28"/>
          <w:lang w:val="ru-RU"/>
        </w:rPr>
      </w:pPr>
      <w:r>
        <w:rPr>
          <w:rFonts w:eastAsia="Calibri"/>
          <w:color w:val="000000" w:themeColor="text1"/>
          <w:szCs w:val="28"/>
          <w:lang w:val="ru-RU"/>
        </w:rPr>
        <w:t xml:space="preserve">       </w:t>
      </w:r>
      <w:r w:rsidR="00FD3E34" w:rsidRPr="00EA77E3">
        <w:rPr>
          <w:rFonts w:ascii="Calibri" w:eastAsia="Calibri" w:hAnsi="Calibri"/>
          <w:noProof/>
          <w:color w:val="000000" w:themeColor="text1"/>
          <w:sz w:val="22"/>
          <w:lang w:val="ru-RU" w:eastAsia="ru-RU"/>
        </w:rPr>
        <mc:AlternateContent>
          <mc:Choice Requires="wpg">
            <w:drawing>
              <wp:inline distT="0" distB="0" distL="0" distR="0" wp14:anchorId="21DE13EB" wp14:editId="5FAEE2DB">
                <wp:extent cx="5867951" cy="4169891"/>
                <wp:effectExtent l="19050" t="0" r="19050" b="2540"/>
                <wp:docPr id="56" name="Группа 5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67951" cy="4169891"/>
                          <a:chOff x="-698" y="1562"/>
                          <a:chExt cx="63185" cy="48353"/>
                        </a:xfrm>
                      </wpg:grpSpPr>
                      <wps:wsp>
                        <wps:cNvPr id="279" name="Прямоугольник: скругленные углы 1"/>
                        <wps:cNvSpPr>
                          <a:spLocks noChangeArrowheads="1"/>
                        </wps:cNvSpPr>
                        <wps:spPr bwMode="auto">
                          <a:xfrm>
                            <a:off x="5193" y="1562"/>
                            <a:ext cx="57054" cy="5721"/>
                          </a:xfrm>
                          <a:prstGeom prst="roundRect">
                            <a:avLst>
                              <a:gd name="adj" fmla="val 16667"/>
                            </a:avLst>
                          </a:prstGeom>
                          <a:gradFill rotWithShape="1">
                            <a:gsLst>
                              <a:gs pos="0">
                                <a:srgbClr val="9AB5E4"/>
                              </a:gs>
                              <a:gs pos="50000">
                                <a:srgbClr val="C2D1ED"/>
                              </a:gs>
                              <a:gs pos="100000">
                                <a:srgbClr val="E1E8F5"/>
                              </a:gs>
                            </a:gsLst>
                            <a:path path="shape">
                              <a:fillToRect t="100000" r="100000"/>
                            </a:path>
                          </a:gradFill>
                          <a:ln w="25400">
                            <a:solidFill>
                              <a:schemeClr val="accent1">
                                <a:lumMod val="50000"/>
                                <a:lumOff val="0"/>
                              </a:schemeClr>
                            </a:solidFill>
                            <a:round/>
                            <a:headEnd/>
                            <a:tailEnd/>
                          </a:ln>
                        </wps:spPr>
                        <wps:txbx>
                          <w:txbxContent>
                            <w:p w:rsidR="001E1DF5" w:rsidRPr="00D075C5" w:rsidRDefault="001E1DF5" w:rsidP="00B75878">
                              <w:pPr>
                                <w:spacing w:line="240" w:lineRule="auto"/>
                                <w:jc w:val="center"/>
                                <w:rPr>
                                  <w:b/>
                                  <w:color w:val="000000" w:themeColor="text1"/>
                                  <w:sz w:val="24"/>
                                  <w:szCs w:val="24"/>
                                </w:rPr>
                              </w:pPr>
                              <w:r w:rsidRPr="00D075C5">
                                <w:rPr>
                                  <w:b/>
                                  <w:color w:val="000000" w:themeColor="text1"/>
                                  <w:sz w:val="24"/>
                                  <w:szCs w:val="24"/>
                                </w:rPr>
                                <w:t>Припинення смертей матерів, мертвонароджень, новонароджених і дітей Поліпшення розвитку дитини і людського капіталу</w:t>
                              </w:r>
                            </w:p>
                          </w:txbxContent>
                        </wps:txbx>
                        <wps:bodyPr rot="0" vert="horz" wrap="square" lIns="0" tIns="0" rIns="0" bIns="0" anchor="ctr" anchorCtr="0" upright="1">
                          <a:noAutofit/>
                        </wps:bodyPr>
                      </wps:wsp>
                      <wps:wsp>
                        <wps:cNvPr id="280" name="Прямоугольник: скругленные углы 2"/>
                        <wps:cNvSpPr>
                          <a:spLocks noChangeArrowheads="1"/>
                        </wps:cNvSpPr>
                        <wps:spPr bwMode="auto">
                          <a:xfrm>
                            <a:off x="6062" y="8606"/>
                            <a:ext cx="14306" cy="3620"/>
                          </a:xfrm>
                          <a:prstGeom prst="roundRect">
                            <a:avLst>
                              <a:gd name="adj" fmla="val 16667"/>
                            </a:avLst>
                          </a:prstGeom>
                          <a:gradFill rotWithShape="1">
                            <a:gsLst>
                              <a:gs pos="0">
                                <a:srgbClr val="9AB5E4"/>
                              </a:gs>
                              <a:gs pos="50000">
                                <a:srgbClr val="C2D1ED"/>
                              </a:gs>
                              <a:gs pos="100000">
                                <a:srgbClr val="E1E8F5"/>
                              </a:gs>
                            </a:gsLst>
                            <a:path path="shape">
                              <a:fillToRect t="100000" r="100000"/>
                            </a:path>
                          </a:gradFill>
                          <a:ln w="25400">
                            <a:solidFill>
                              <a:schemeClr val="accent1">
                                <a:lumMod val="50000"/>
                                <a:lumOff val="0"/>
                              </a:schemeClr>
                            </a:solidFill>
                            <a:round/>
                            <a:headEnd/>
                            <a:tailEnd/>
                          </a:ln>
                        </wps:spPr>
                        <wps:txbx>
                          <w:txbxContent>
                            <w:p w:rsidR="001E1DF5" w:rsidRPr="00D075C5" w:rsidRDefault="001E1DF5" w:rsidP="00B75878">
                              <w:pPr>
                                <w:spacing w:line="240" w:lineRule="auto"/>
                                <w:jc w:val="center"/>
                                <w:rPr>
                                  <w:b/>
                                  <w:color w:val="000000" w:themeColor="text1"/>
                                  <w:sz w:val="24"/>
                                  <w:szCs w:val="24"/>
                                </w:rPr>
                              </w:pPr>
                              <w:r w:rsidRPr="00D075C5">
                                <w:rPr>
                                  <w:b/>
                                  <w:color w:val="000000" w:themeColor="text1"/>
                                  <w:sz w:val="24"/>
                                  <w:szCs w:val="24"/>
                                </w:rPr>
                                <w:t>Кожна жінка</w:t>
                              </w:r>
                            </w:p>
                          </w:txbxContent>
                        </wps:txbx>
                        <wps:bodyPr rot="0" vert="horz" wrap="square" lIns="0" tIns="36000" rIns="0" bIns="36000" anchor="ctr" anchorCtr="0" upright="1">
                          <a:noAutofit/>
                        </wps:bodyPr>
                      </wps:wsp>
                      <wps:wsp>
                        <wps:cNvPr id="281" name="Прямоугольник: скругленные углы 3"/>
                        <wps:cNvSpPr>
                          <a:spLocks noChangeArrowheads="1"/>
                        </wps:cNvSpPr>
                        <wps:spPr bwMode="auto">
                          <a:xfrm>
                            <a:off x="21474" y="7998"/>
                            <a:ext cx="20624" cy="4227"/>
                          </a:xfrm>
                          <a:prstGeom prst="roundRect">
                            <a:avLst>
                              <a:gd name="adj" fmla="val 16667"/>
                            </a:avLst>
                          </a:prstGeom>
                          <a:gradFill rotWithShape="1">
                            <a:gsLst>
                              <a:gs pos="0">
                                <a:srgbClr val="9AB5E4"/>
                              </a:gs>
                              <a:gs pos="50000">
                                <a:srgbClr val="C2D1ED"/>
                              </a:gs>
                              <a:gs pos="100000">
                                <a:srgbClr val="E1E8F5"/>
                              </a:gs>
                            </a:gsLst>
                            <a:path path="shape">
                              <a:fillToRect t="100000" r="100000"/>
                            </a:path>
                          </a:gradFill>
                          <a:ln w="25400">
                            <a:solidFill>
                              <a:schemeClr val="accent1">
                                <a:lumMod val="50000"/>
                                <a:lumOff val="0"/>
                              </a:schemeClr>
                            </a:solidFill>
                            <a:round/>
                            <a:headEnd/>
                            <a:tailEnd/>
                          </a:ln>
                        </wps:spPr>
                        <wps:txbx>
                          <w:txbxContent>
                            <w:p w:rsidR="001E1DF5" w:rsidRPr="00D075C5" w:rsidRDefault="001E1DF5" w:rsidP="00B75878">
                              <w:pPr>
                                <w:spacing w:line="240" w:lineRule="auto"/>
                                <w:jc w:val="center"/>
                                <w:rPr>
                                  <w:b/>
                                  <w:color w:val="000000" w:themeColor="text1"/>
                                  <w:sz w:val="24"/>
                                  <w:szCs w:val="24"/>
                                </w:rPr>
                              </w:pPr>
                              <w:r w:rsidRPr="00D075C5">
                                <w:rPr>
                                  <w:b/>
                                  <w:color w:val="000000" w:themeColor="text1"/>
                                  <w:sz w:val="24"/>
                                  <w:szCs w:val="24"/>
                                </w:rPr>
                                <w:t>Кожен новонароджений</w:t>
                              </w:r>
                            </w:p>
                          </w:txbxContent>
                        </wps:txbx>
                        <wps:bodyPr rot="0" vert="horz" wrap="square" lIns="0" tIns="0" rIns="0" bIns="0" anchor="ctr" anchorCtr="0" upright="1">
                          <a:noAutofit/>
                        </wps:bodyPr>
                      </wps:wsp>
                      <wps:wsp>
                        <wps:cNvPr id="282" name="Прямоугольник: скругленные углы 4"/>
                        <wps:cNvSpPr>
                          <a:spLocks noChangeArrowheads="1"/>
                        </wps:cNvSpPr>
                        <wps:spPr bwMode="auto">
                          <a:xfrm>
                            <a:off x="43457" y="8606"/>
                            <a:ext cx="16354" cy="3620"/>
                          </a:xfrm>
                          <a:prstGeom prst="roundRect">
                            <a:avLst>
                              <a:gd name="adj" fmla="val 16667"/>
                            </a:avLst>
                          </a:prstGeom>
                          <a:gradFill rotWithShape="1">
                            <a:gsLst>
                              <a:gs pos="0">
                                <a:srgbClr val="9AB5E4"/>
                              </a:gs>
                              <a:gs pos="50000">
                                <a:srgbClr val="C2D1ED"/>
                              </a:gs>
                              <a:gs pos="100000">
                                <a:srgbClr val="E1E8F5"/>
                              </a:gs>
                            </a:gsLst>
                            <a:path path="shape">
                              <a:fillToRect t="100000" r="100000"/>
                            </a:path>
                          </a:gradFill>
                          <a:ln w="25400">
                            <a:solidFill>
                              <a:schemeClr val="accent1">
                                <a:lumMod val="50000"/>
                                <a:lumOff val="0"/>
                              </a:schemeClr>
                            </a:solidFill>
                            <a:round/>
                            <a:headEnd/>
                            <a:tailEnd/>
                          </a:ln>
                        </wps:spPr>
                        <wps:txbx>
                          <w:txbxContent>
                            <w:p w:rsidR="001E1DF5" w:rsidRPr="00D075C5" w:rsidRDefault="001E1DF5" w:rsidP="00B75878">
                              <w:pPr>
                                <w:spacing w:line="240" w:lineRule="auto"/>
                                <w:jc w:val="center"/>
                                <w:rPr>
                                  <w:b/>
                                  <w:color w:val="000000" w:themeColor="text1"/>
                                  <w:sz w:val="24"/>
                                  <w:szCs w:val="24"/>
                                </w:rPr>
                              </w:pPr>
                              <w:r w:rsidRPr="00D075C5">
                                <w:rPr>
                                  <w:b/>
                                  <w:color w:val="000000" w:themeColor="text1"/>
                                  <w:sz w:val="24"/>
                                  <w:szCs w:val="24"/>
                                </w:rPr>
                                <w:t>Кожна дитина</w:t>
                              </w:r>
                            </w:p>
                          </w:txbxContent>
                        </wps:txbx>
                        <wps:bodyPr rot="0" vert="horz" wrap="square" lIns="0" tIns="0" rIns="0" bIns="0" anchor="ctr" anchorCtr="0" upright="1">
                          <a:noAutofit/>
                        </wps:bodyPr>
                      </wps:wsp>
                      <wps:wsp>
                        <wps:cNvPr id="283" name="Равнобедренный треугольник 5"/>
                        <wps:cNvSpPr>
                          <a:spLocks noChangeArrowheads="1"/>
                        </wps:cNvSpPr>
                        <wps:spPr bwMode="auto">
                          <a:xfrm>
                            <a:off x="23768" y="12065"/>
                            <a:ext cx="15240" cy="3193"/>
                          </a:xfrm>
                          <a:prstGeom prst="triangle">
                            <a:avLst>
                              <a:gd name="adj" fmla="val 50000"/>
                            </a:avLst>
                          </a:prstGeom>
                          <a:gradFill rotWithShape="1">
                            <a:gsLst>
                              <a:gs pos="0">
                                <a:srgbClr val="FFD5AD"/>
                              </a:gs>
                              <a:gs pos="50000">
                                <a:srgbClr val="FFE3CC"/>
                              </a:gs>
                              <a:gs pos="100000">
                                <a:srgbClr val="FFF1E5"/>
                              </a:gs>
                            </a:gsLst>
                            <a:path path="shape">
                              <a:fillToRect t="100000" r="100000"/>
                            </a:path>
                          </a:gradFill>
                          <a:ln w="25400">
                            <a:solidFill>
                              <a:schemeClr val="accent1">
                                <a:lumMod val="50000"/>
                                <a:lumOff val="0"/>
                              </a:schemeClr>
                            </a:solidFill>
                            <a:miter lim="800000"/>
                            <a:headEnd/>
                            <a:tailEnd/>
                          </a:ln>
                        </wps:spPr>
                        <wps:bodyPr rot="0" vert="horz" wrap="square" lIns="91440" tIns="45720" rIns="91440" bIns="45720" anchor="ctr" anchorCtr="0" upright="1">
                          <a:noAutofit/>
                        </wps:bodyPr>
                      </wps:wsp>
                      <wps:wsp>
                        <wps:cNvPr id="284" name="Прямоугольник: скругленные углы 9"/>
                        <wps:cNvSpPr>
                          <a:spLocks noChangeArrowheads="1"/>
                        </wps:cNvSpPr>
                        <wps:spPr bwMode="auto">
                          <a:xfrm>
                            <a:off x="56022" y="19269"/>
                            <a:ext cx="6465" cy="5970"/>
                          </a:xfrm>
                          <a:prstGeom prst="roundRect">
                            <a:avLst>
                              <a:gd name="adj" fmla="val 16667"/>
                            </a:avLst>
                          </a:prstGeom>
                          <a:gradFill rotWithShape="1">
                            <a:gsLst>
                              <a:gs pos="0">
                                <a:srgbClr val="FFD5AD"/>
                              </a:gs>
                              <a:gs pos="50000">
                                <a:srgbClr val="FFE3CC"/>
                              </a:gs>
                              <a:gs pos="100000">
                                <a:srgbClr val="FFF1E5"/>
                              </a:gs>
                            </a:gsLst>
                            <a:path path="shape">
                              <a:fillToRect t="100000" r="100000"/>
                            </a:path>
                          </a:gradFill>
                          <a:ln w="25400">
                            <a:solidFill>
                              <a:schemeClr val="accent1">
                                <a:lumMod val="50000"/>
                                <a:lumOff val="0"/>
                              </a:schemeClr>
                            </a:solidFill>
                            <a:round/>
                            <a:headEnd/>
                            <a:tailEnd/>
                          </a:ln>
                        </wps:spPr>
                        <wps:txbx>
                          <w:txbxContent>
                            <w:p w:rsidR="001E1DF5" w:rsidRPr="004C5EC9" w:rsidRDefault="001E1DF5" w:rsidP="00FD3E34">
                              <w:pPr>
                                <w:spacing w:line="240" w:lineRule="auto"/>
                                <w:jc w:val="center"/>
                                <w:rPr>
                                  <w:b/>
                                  <w:color w:val="000000" w:themeColor="text1"/>
                                  <w:sz w:val="16"/>
                                  <w:szCs w:val="16"/>
                                </w:rPr>
                              </w:pPr>
                              <w:r w:rsidRPr="004C5EC9">
                                <w:rPr>
                                  <w:b/>
                                  <w:color w:val="000000" w:themeColor="text1"/>
                                  <w:sz w:val="16"/>
                                  <w:szCs w:val="16"/>
                                </w:rPr>
                                <w:t>Охорона здоров’я підлітків</w:t>
                              </w:r>
                            </w:p>
                          </w:txbxContent>
                        </wps:txbx>
                        <wps:bodyPr rot="0" vert="horz" wrap="square" lIns="0" tIns="0" rIns="0" bIns="0" anchor="ctr" anchorCtr="0" upright="1">
                          <a:noAutofit/>
                        </wps:bodyPr>
                      </wps:wsp>
                      <wps:wsp>
                        <wps:cNvPr id="285" name="Прямоугольник: скругленные углы 12"/>
                        <wps:cNvSpPr>
                          <a:spLocks noChangeArrowheads="1"/>
                        </wps:cNvSpPr>
                        <wps:spPr bwMode="auto">
                          <a:xfrm>
                            <a:off x="21701" y="15480"/>
                            <a:ext cx="8026" cy="7339"/>
                          </a:xfrm>
                          <a:prstGeom prst="roundRect">
                            <a:avLst>
                              <a:gd name="adj" fmla="val 16667"/>
                            </a:avLst>
                          </a:prstGeom>
                          <a:gradFill rotWithShape="1">
                            <a:gsLst>
                              <a:gs pos="0">
                                <a:srgbClr val="FFD5AD"/>
                              </a:gs>
                              <a:gs pos="50000">
                                <a:srgbClr val="FFE3CC"/>
                              </a:gs>
                              <a:gs pos="100000">
                                <a:srgbClr val="FFF1E5"/>
                              </a:gs>
                            </a:gsLst>
                            <a:path path="shape">
                              <a:fillToRect t="100000" r="100000"/>
                            </a:path>
                          </a:gradFill>
                          <a:ln w="25400">
                            <a:solidFill>
                              <a:schemeClr val="accent1">
                                <a:lumMod val="50000"/>
                                <a:lumOff val="0"/>
                              </a:schemeClr>
                            </a:solidFill>
                            <a:round/>
                            <a:headEnd/>
                            <a:tailEnd/>
                          </a:ln>
                        </wps:spPr>
                        <wps:txbx>
                          <w:txbxContent>
                            <w:p w:rsidR="001E1DF5" w:rsidRPr="00876D49" w:rsidRDefault="001E1DF5" w:rsidP="00FD3E34">
                              <w:pPr>
                                <w:spacing w:line="240" w:lineRule="auto"/>
                                <w:jc w:val="center"/>
                                <w:rPr>
                                  <w:b/>
                                  <w:color w:val="000000" w:themeColor="text1"/>
                                  <w:sz w:val="16"/>
                                  <w:szCs w:val="16"/>
                                </w:rPr>
                              </w:pPr>
                              <w:r w:rsidRPr="00876D49">
                                <w:rPr>
                                  <w:b/>
                                  <w:color w:val="000000" w:themeColor="text1"/>
                                  <w:sz w:val="16"/>
                                  <w:szCs w:val="16"/>
                                </w:rPr>
                                <w:t>Турбота навколо народження</w:t>
                              </w:r>
                            </w:p>
                          </w:txbxContent>
                        </wps:txbx>
                        <wps:bodyPr rot="0" vert="horz" wrap="square" lIns="0" tIns="0" rIns="0" bIns="0" anchor="ctr" anchorCtr="0" upright="1">
                          <a:noAutofit/>
                        </wps:bodyPr>
                      </wps:wsp>
                      <wps:wsp>
                        <wps:cNvPr id="286" name="Прямоугольник: скругленные углы 13"/>
                        <wps:cNvSpPr>
                          <a:spLocks noChangeArrowheads="1"/>
                        </wps:cNvSpPr>
                        <wps:spPr bwMode="auto">
                          <a:xfrm>
                            <a:off x="29859" y="15637"/>
                            <a:ext cx="10414" cy="7180"/>
                          </a:xfrm>
                          <a:prstGeom prst="roundRect">
                            <a:avLst>
                              <a:gd name="adj" fmla="val 16667"/>
                            </a:avLst>
                          </a:prstGeom>
                          <a:gradFill rotWithShape="1">
                            <a:gsLst>
                              <a:gs pos="0">
                                <a:srgbClr val="FFD5AD"/>
                              </a:gs>
                              <a:gs pos="50000">
                                <a:srgbClr val="FFE3CC"/>
                              </a:gs>
                              <a:gs pos="100000">
                                <a:srgbClr val="FFF1E5"/>
                              </a:gs>
                            </a:gsLst>
                            <a:path path="shape">
                              <a:fillToRect t="100000" r="100000"/>
                            </a:path>
                          </a:gradFill>
                          <a:ln w="25400">
                            <a:solidFill>
                              <a:schemeClr val="accent1">
                                <a:lumMod val="50000"/>
                                <a:lumOff val="0"/>
                              </a:schemeClr>
                            </a:solidFill>
                            <a:round/>
                            <a:headEnd/>
                            <a:tailEnd/>
                          </a:ln>
                        </wps:spPr>
                        <wps:txbx>
                          <w:txbxContent>
                            <w:p w:rsidR="001E1DF5" w:rsidRPr="00876D49" w:rsidRDefault="001E1DF5" w:rsidP="00FD3E34">
                              <w:pPr>
                                <w:spacing w:line="240" w:lineRule="auto"/>
                                <w:jc w:val="center"/>
                                <w:rPr>
                                  <w:b/>
                                  <w:color w:val="000000" w:themeColor="text1"/>
                                  <w:sz w:val="16"/>
                                  <w:szCs w:val="16"/>
                                </w:rPr>
                              </w:pPr>
                              <w:r w:rsidRPr="00876D49">
                                <w:rPr>
                                  <w:b/>
                                  <w:color w:val="000000" w:themeColor="text1"/>
                                  <w:sz w:val="16"/>
                                  <w:szCs w:val="16"/>
                                </w:rPr>
                                <w:t>Д</w:t>
                              </w:r>
                              <w:r>
                                <w:rPr>
                                  <w:b/>
                                  <w:color w:val="000000" w:themeColor="text1"/>
                                  <w:sz w:val="16"/>
                                  <w:szCs w:val="16"/>
                                </w:rPr>
                                <w:t>опомога маловагом</w:t>
                              </w:r>
                              <w:r w:rsidRPr="00876D49">
                                <w:rPr>
                                  <w:b/>
                                  <w:color w:val="000000" w:themeColor="text1"/>
                                  <w:sz w:val="16"/>
                                  <w:szCs w:val="16"/>
                                </w:rPr>
                                <w:t>им</w:t>
                              </w:r>
                              <w:r>
                                <w:rPr>
                                  <w:b/>
                                  <w:color w:val="000000" w:themeColor="text1"/>
                                  <w:sz w:val="16"/>
                                  <w:szCs w:val="16"/>
                                </w:rPr>
                                <w:t xml:space="preserve"> і хворим новонародженим</w:t>
                              </w:r>
                            </w:p>
                          </w:txbxContent>
                        </wps:txbx>
                        <wps:bodyPr rot="0" vert="horz" wrap="square" lIns="0" tIns="0" rIns="0" bIns="0" anchor="ctr" anchorCtr="0" upright="1">
                          <a:noAutofit/>
                        </wps:bodyPr>
                      </wps:wsp>
                      <wps:wsp>
                        <wps:cNvPr id="1024" name="Прямоугольник: скругленные углы 16"/>
                        <wps:cNvSpPr>
                          <a:spLocks noChangeArrowheads="1"/>
                        </wps:cNvSpPr>
                        <wps:spPr bwMode="auto">
                          <a:xfrm>
                            <a:off x="6285" y="28119"/>
                            <a:ext cx="55692" cy="3688"/>
                          </a:xfrm>
                          <a:prstGeom prst="roundRect">
                            <a:avLst>
                              <a:gd name="adj" fmla="val 16667"/>
                            </a:avLst>
                          </a:prstGeom>
                          <a:gradFill rotWithShape="1">
                            <a:gsLst>
                              <a:gs pos="0">
                                <a:srgbClr val="D5A6E4"/>
                              </a:gs>
                              <a:gs pos="50000">
                                <a:srgbClr val="E3C8ED"/>
                              </a:gs>
                              <a:gs pos="100000">
                                <a:srgbClr val="F1E4F6"/>
                              </a:gs>
                            </a:gsLst>
                            <a:path path="shape">
                              <a:fillToRect t="100000" r="100000"/>
                            </a:path>
                          </a:gradFill>
                          <a:ln w="25400">
                            <a:solidFill>
                              <a:schemeClr val="accent1">
                                <a:lumMod val="50000"/>
                                <a:lumOff val="0"/>
                              </a:schemeClr>
                            </a:solidFill>
                            <a:round/>
                            <a:headEnd/>
                            <a:tailEnd/>
                          </a:ln>
                        </wps:spPr>
                        <wps:txbx>
                          <w:txbxContent>
                            <w:p w:rsidR="001E1DF5" w:rsidRPr="00A460C0" w:rsidRDefault="001E1DF5" w:rsidP="00FD3E34">
                              <w:pPr>
                                <w:jc w:val="center"/>
                                <w:rPr>
                                  <w:b/>
                                  <w:color w:val="000000" w:themeColor="text1"/>
                                  <w:sz w:val="20"/>
                                  <w:szCs w:val="20"/>
                                </w:rPr>
                              </w:pPr>
                              <w:r w:rsidRPr="00A460C0">
                                <w:rPr>
                                  <w:b/>
                                  <w:color w:val="000000" w:themeColor="text1"/>
                                  <w:sz w:val="20"/>
                                  <w:szCs w:val="20"/>
                                </w:rPr>
                                <w:t>ЯКІСТЬ ДОПОМОГИ З ІННОВАЦІЯМИ</w:t>
                              </w:r>
                            </w:p>
                          </w:txbxContent>
                        </wps:txbx>
                        <wps:bodyPr rot="0" vert="horz" wrap="square" lIns="0" tIns="0" rIns="0" bIns="0" anchor="ctr" anchorCtr="0" upright="1">
                          <a:noAutofit/>
                        </wps:bodyPr>
                      </wps:wsp>
                      <wps:wsp>
                        <wps:cNvPr id="1025" name="Прямоугольник: скругленные углы 17"/>
                        <wps:cNvSpPr>
                          <a:spLocks noChangeArrowheads="1"/>
                        </wps:cNvSpPr>
                        <wps:spPr bwMode="auto">
                          <a:xfrm>
                            <a:off x="6186" y="32167"/>
                            <a:ext cx="9679" cy="6011"/>
                          </a:xfrm>
                          <a:prstGeom prst="roundRect">
                            <a:avLst>
                              <a:gd name="adj" fmla="val 16667"/>
                            </a:avLst>
                          </a:prstGeom>
                          <a:gradFill rotWithShape="1">
                            <a:gsLst>
                              <a:gs pos="0">
                                <a:srgbClr val="D5A6E4"/>
                              </a:gs>
                              <a:gs pos="50000">
                                <a:srgbClr val="E3C8ED"/>
                              </a:gs>
                              <a:gs pos="100000">
                                <a:srgbClr val="F1E4F6"/>
                              </a:gs>
                            </a:gsLst>
                            <a:path path="shape">
                              <a:fillToRect t="100000" r="100000"/>
                            </a:path>
                          </a:gradFill>
                          <a:ln w="25400">
                            <a:solidFill>
                              <a:schemeClr val="accent1">
                                <a:lumMod val="50000"/>
                                <a:lumOff val="0"/>
                              </a:schemeClr>
                            </a:solidFill>
                            <a:round/>
                            <a:headEnd/>
                            <a:tailEnd/>
                          </a:ln>
                        </wps:spPr>
                        <wps:txbx>
                          <w:txbxContent>
                            <w:p w:rsidR="001E1DF5" w:rsidRPr="00D21CA4" w:rsidRDefault="001E1DF5" w:rsidP="00FD3E34">
                              <w:pPr>
                                <w:spacing w:line="240" w:lineRule="auto"/>
                                <w:jc w:val="center"/>
                                <w:rPr>
                                  <w:b/>
                                  <w:color w:val="000000" w:themeColor="text1"/>
                                  <w:sz w:val="18"/>
                                  <w:szCs w:val="18"/>
                                </w:rPr>
                              </w:pPr>
                              <w:r w:rsidRPr="00D21CA4">
                                <w:rPr>
                                  <w:b/>
                                  <w:color w:val="000000" w:themeColor="text1"/>
                                  <w:sz w:val="18"/>
                                  <w:szCs w:val="18"/>
                                </w:rPr>
                                <w:t>Працівники охорони здоров’я</w:t>
                              </w:r>
                            </w:p>
                          </w:txbxContent>
                        </wps:txbx>
                        <wps:bodyPr rot="0" vert="horz" wrap="square" lIns="0" tIns="0" rIns="0" bIns="0" anchor="ctr" anchorCtr="0" upright="1">
                          <a:noAutofit/>
                        </wps:bodyPr>
                      </wps:wsp>
                      <wps:wsp>
                        <wps:cNvPr id="1027" name="Прямоугольник: скругленные углы 18"/>
                        <wps:cNvSpPr>
                          <a:spLocks noChangeArrowheads="1"/>
                        </wps:cNvSpPr>
                        <wps:spPr bwMode="auto">
                          <a:xfrm>
                            <a:off x="16333" y="32168"/>
                            <a:ext cx="9535" cy="6010"/>
                          </a:xfrm>
                          <a:prstGeom prst="roundRect">
                            <a:avLst>
                              <a:gd name="adj" fmla="val 16667"/>
                            </a:avLst>
                          </a:prstGeom>
                          <a:gradFill rotWithShape="1">
                            <a:gsLst>
                              <a:gs pos="0">
                                <a:srgbClr val="D5A6E4"/>
                              </a:gs>
                              <a:gs pos="50000">
                                <a:srgbClr val="E3C8ED"/>
                              </a:gs>
                              <a:gs pos="100000">
                                <a:srgbClr val="F1E4F6"/>
                              </a:gs>
                            </a:gsLst>
                            <a:path path="shape">
                              <a:fillToRect l="100000" t="100000"/>
                            </a:path>
                          </a:gradFill>
                          <a:ln w="25400">
                            <a:solidFill>
                              <a:schemeClr val="accent1">
                                <a:lumMod val="50000"/>
                                <a:lumOff val="0"/>
                              </a:schemeClr>
                            </a:solidFill>
                            <a:round/>
                            <a:headEnd/>
                            <a:tailEnd/>
                          </a:ln>
                        </wps:spPr>
                        <wps:txbx>
                          <w:txbxContent>
                            <w:p w:rsidR="001E1DF5" w:rsidRPr="00D21CA4" w:rsidRDefault="001E1DF5" w:rsidP="00FD3E34">
                              <w:pPr>
                                <w:spacing w:line="240" w:lineRule="auto"/>
                                <w:jc w:val="center"/>
                                <w:rPr>
                                  <w:b/>
                                  <w:color w:val="000000" w:themeColor="text1"/>
                                  <w:sz w:val="18"/>
                                  <w:szCs w:val="18"/>
                                </w:rPr>
                              </w:pPr>
                              <w:r w:rsidRPr="00D21CA4">
                                <w:rPr>
                                  <w:b/>
                                  <w:color w:val="000000" w:themeColor="text1"/>
                                  <w:sz w:val="18"/>
                                  <w:szCs w:val="18"/>
                                </w:rPr>
                                <w:t>Товари і технології</w:t>
                              </w:r>
                            </w:p>
                          </w:txbxContent>
                        </wps:txbx>
                        <wps:bodyPr rot="0" vert="horz" wrap="square" lIns="0" tIns="0" rIns="0" bIns="0" anchor="ctr" anchorCtr="0" upright="1">
                          <a:noAutofit/>
                        </wps:bodyPr>
                      </wps:wsp>
                      <wps:wsp>
                        <wps:cNvPr id="1028" name="Прямоугольник: скругленные углы 19"/>
                        <wps:cNvSpPr>
                          <a:spLocks noChangeArrowheads="1"/>
                        </wps:cNvSpPr>
                        <wps:spPr bwMode="auto">
                          <a:xfrm>
                            <a:off x="26198" y="32160"/>
                            <a:ext cx="14547" cy="6018"/>
                          </a:xfrm>
                          <a:prstGeom prst="roundRect">
                            <a:avLst>
                              <a:gd name="adj" fmla="val 16667"/>
                            </a:avLst>
                          </a:prstGeom>
                          <a:gradFill rotWithShape="1">
                            <a:gsLst>
                              <a:gs pos="0">
                                <a:srgbClr val="D5A6E4"/>
                              </a:gs>
                              <a:gs pos="50000">
                                <a:srgbClr val="E3C8ED"/>
                              </a:gs>
                              <a:gs pos="100000">
                                <a:srgbClr val="F1E4F6"/>
                              </a:gs>
                            </a:gsLst>
                            <a:path path="shape">
                              <a:fillToRect t="100000" r="100000"/>
                            </a:path>
                          </a:gradFill>
                          <a:ln w="25400">
                            <a:solidFill>
                              <a:schemeClr val="accent1">
                                <a:lumMod val="50000"/>
                                <a:lumOff val="0"/>
                              </a:schemeClr>
                            </a:solidFill>
                            <a:round/>
                            <a:headEnd/>
                            <a:tailEnd/>
                          </a:ln>
                        </wps:spPr>
                        <wps:txbx>
                          <w:txbxContent>
                            <w:p w:rsidR="001E1DF5" w:rsidRPr="00D21CA4" w:rsidRDefault="001E1DF5" w:rsidP="00FD3E34">
                              <w:pPr>
                                <w:spacing w:line="240" w:lineRule="auto"/>
                                <w:jc w:val="center"/>
                                <w:rPr>
                                  <w:b/>
                                  <w:color w:val="000000" w:themeColor="text1"/>
                                  <w:sz w:val="18"/>
                                  <w:szCs w:val="18"/>
                                </w:rPr>
                              </w:pPr>
                              <w:r w:rsidRPr="00D21CA4">
                                <w:rPr>
                                  <w:b/>
                                  <w:color w:val="000000" w:themeColor="text1"/>
                                  <w:sz w:val="18"/>
                                  <w:szCs w:val="18"/>
                                </w:rPr>
                                <w:t>Інформаційні системи охорони здоров’я</w:t>
                              </w:r>
                            </w:p>
                          </w:txbxContent>
                        </wps:txbx>
                        <wps:bodyPr rot="0" vert="horz" wrap="square" lIns="0" tIns="0" rIns="0" bIns="0" anchor="ctr" anchorCtr="0" upright="1">
                          <a:noAutofit/>
                        </wps:bodyPr>
                      </wps:wsp>
                      <wps:wsp>
                        <wps:cNvPr id="1029" name="Прямоугольник: скругленные углы 20"/>
                        <wps:cNvSpPr>
                          <a:spLocks noChangeArrowheads="1"/>
                        </wps:cNvSpPr>
                        <wps:spPr bwMode="auto">
                          <a:xfrm>
                            <a:off x="41084" y="32168"/>
                            <a:ext cx="21026" cy="6011"/>
                          </a:xfrm>
                          <a:prstGeom prst="roundRect">
                            <a:avLst>
                              <a:gd name="adj" fmla="val 16667"/>
                            </a:avLst>
                          </a:prstGeom>
                          <a:gradFill rotWithShape="1">
                            <a:gsLst>
                              <a:gs pos="0">
                                <a:srgbClr val="D5A6E4"/>
                              </a:gs>
                              <a:gs pos="50000">
                                <a:srgbClr val="E3C8ED"/>
                              </a:gs>
                              <a:gs pos="100000">
                                <a:srgbClr val="F1E4F6"/>
                              </a:gs>
                            </a:gsLst>
                            <a:path path="shape">
                              <a:fillToRect t="100000" r="100000"/>
                            </a:path>
                          </a:gradFill>
                          <a:ln w="25400">
                            <a:solidFill>
                              <a:schemeClr val="accent1">
                                <a:lumMod val="50000"/>
                                <a:lumOff val="0"/>
                              </a:schemeClr>
                            </a:solidFill>
                            <a:round/>
                            <a:headEnd/>
                            <a:tailEnd/>
                          </a:ln>
                        </wps:spPr>
                        <wps:txbx>
                          <w:txbxContent>
                            <w:p w:rsidR="001E1DF5" w:rsidRPr="00792B34" w:rsidRDefault="001E1DF5" w:rsidP="00FD3E34">
                              <w:pPr>
                                <w:spacing w:line="240" w:lineRule="auto"/>
                                <w:jc w:val="center"/>
                                <w:rPr>
                                  <w:b/>
                                  <w:color w:val="000000" w:themeColor="text1"/>
                                  <w:sz w:val="18"/>
                                  <w:szCs w:val="18"/>
                                </w:rPr>
                              </w:pPr>
                              <w:r w:rsidRPr="00792B34">
                                <w:rPr>
                                  <w:b/>
                                  <w:color w:val="000000" w:themeColor="text1"/>
                                  <w:sz w:val="18"/>
                                  <w:szCs w:val="18"/>
                                </w:rPr>
                                <w:t>Громада з розширення прав і</w:t>
                              </w:r>
                              <w:r w:rsidRPr="00792B34">
                                <w:rPr>
                                  <w:color w:val="000000" w:themeColor="text1"/>
                                  <w:sz w:val="18"/>
                                  <w:szCs w:val="18"/>
                                </w:rPr>
                                <w:t xml:space="preserve"> </w:t>
                              </w:r>
                              <w:r w:rsidRPr="00792B34">
                                <w:rPr>
                                  <w:b/>
                                  <w:color w:val="000000" w:themeColor="text1"/>
                                  <w:sz w:val="18"/>
                                  <w:szCs w:val="18"/>
                                </w:rPr>
                                <w:t>можливостей і</w:t>
                              </w:r>
                            </w:p>
                            <w:p w:rsidR="001E1DF5" w:rsidRPr="00792B34" w:rsidRDefault="001E1DF5" w:rsidP="00FD3E34">
                              <w:pPr>
                                <w:jc w:val="center"/>
                                <w:rPr>
                                  <w:b/>
                                  <w:sz w:val="18"/>
                                  <w:szCs w:val="18"/>
                                </w:rPr>
                              </w:pPr>
                              <w:r>
                                <w:rPr>
                                  <w:b/>
                                  <w:color w:val="000000" w:themeColor="text1"/>
                                  <w:sz w:val="18"/>
                                  <w:szCs w:val="18"/>
                                </w:rPr>
                                <w:t>здорова поведінка вдома</w:t>
                              </w:r>
                            </w:p>
                          </w:txbxContent>
                        </wps:txbx>
                        <wps:bodyPr rot="0" vert="horz" wrap="square" lIns="0" tIns="0" rIns="0" bIns="0" anchor="ctr" anchorCtr="0" upright="1">
                          <a:noAutofit/>
                        </wps:bodyPr>
                      </wps:wsp>
                      <wps:wsp>
                        <wps:cNvPr id="1030" name="Прямоугольник: скругленные углы 22"/>
                        <wps:cNvSpPr>
                          <a:spLocks noChangeArrowheads="1"/>
                        </wps:cNvSpPr>
                        <wps:spPr bwMode="auto">
                          <a:xfrm>
                            <a:off x="48992" y="17371"/>
                            <a:ext cx="7101" cy="7254"/>
                          </a:xfrm>
                          <a:prstGeom prst="roundRect">
                            <a:avLst>
                              <a:gd name="adj" fmla="val 16667"/>
                            </a:avLst>
                          </a:prstGeom>
                          <a:gradFill rotWithShape="1">
                            <a:gsLst>
                              <a:gs pos="0">
                                <a:srgbClr val="FFD5AD"/>
                              </a:gs>
                              <a:gs pos="50000">
                                <a:srgbClr val="FFE3CC"/>
                              </a:gs>
                              <a:gs pos="100000">
                                <a:srgbClr val="FFF1E5"/>
                              </a:gs>
                            </a:gsLst>
                            <a:path path="shape">
                              <a:fillToRect t="100000" r="100000"/>
                            </a:path>
                          </a:gradFill>
                          <a:ln w="25400">
                            <a:solidFill>
                              <a:schemeClr val="accent1">
                                <a:lumMod val="50000"/>
                                <a:lumOff val="0"/>
                              </a:schemeClr>
                            </a:solidFill>
                            <a:round/>
                            <a:headEnd/>
                            <a:tailEnd/>
                          </a:ln>
                        </wps:spPr>
                        <wps:txbx>
                          <w:txbxContent>
                            <w:p w:rsidR="001E1DF5" w:rsidRPr="00876D49" w:rsidRDefault="001E1DF5" w:rsidP="00FD3E34">
                              <w:pPr>
                                <w:spacing w:line="240" w:lineRule="auto"/>
                                <w:jc w:val="center"/>
                                <w:rPr>
                                  <w:b/>
                                  <w:color w:val="000000" w:themeColor="text1"/>
                                  <w:sz w:val="16"/>
                                  <w:szCs w:val="16"/>
                                </w:rPr>
                              </w:pPr>
                              <w:r w:rsidRPr="00876D49">
                                <w:rPr>
                                  <w:b/>
                                  <w:color w:val="000000" w:themeColor="text1"/>
                                  <w:sz w:val="16"/>
                                  <w:szCs w:val="16"/>
                                </w:rPr>
                                <w:t>Охорона здоров’я та розвитку дитини</w:t>
                              </w:r>
                            </w:p>
                          </w:txbxContent>
                        </wps:txbx>
                        <wps:bodyPr rot="0" vert="horz" wrap="square" lIns="0" tIns="0" rIns="0" bIns="0" anchor="ctr" anchorCtr="0" upright="1">
                          <a:noAutofit/>
                        </wps:bodyPr>
                      </wps:wsp>
                      <wps:wsp>
                        <wps:cNvPr id="1031" name="Прямоугольник: скругленные углы 23"/>
                        <wps:cNvSpPr>
                          <a:spLocks noChangeArrowheads="1"/>
                        </wps:cNvSpPr>
                        <wps:spPr bwMode="auto">
                          <a:xfrm>
                            <a:off x="40342" y="17662"/>
                            <a:ext cx="8582" cy="4633"/>
                          </a:xfrm>
                          <a:prstGeom prst="roundRect">
                            <a:avLst>
                              <a:gd name="adj" fmla="val 16667"/>
                            </a:avLst>
                          </a:prstGeom>
                          <a:gradFill rotWithShape="1">
                            <a:gsLst>
                              <a:gs pos="0">
                                <a:srgbClr val="FFD5AD"/>
                              </a:gs>
                              <a:gs pos="50000">
                                <a:srgbClr val="FFE3CC"/>
                              </a:gs>
                              <a:gs pos="100000">
                                <a:srgbClr val="FFF1E5"/>
                              </a:gs>
                            </a:gsLst>
                            <a:path path="shape">
                              <a:fillToRect t="100000" r="100000"/>
                            </a:path>
                          </a:gradFill>
                          <a:ln w="25400">
                            <a:solidFill>
                              <a:schemeClr val="accent1">
                                <a:lumMod val="50000"/>
                                <a:lumOff val="0"/>
                              </a:schemeClr>
                            </a:solidFill>
                            <a:round/>
                            <a:headEnd/>
                            <a:tailEnd/>
                          </a:ln>
                        </wps:spPr>
                        <wps:txbx>
                          <w:txbxContent>
                            <w:p w:rsidR="001E1DF5" w:rsidRPr="005115AA" w:rsidRDefault="001E1DF5" w:rsidP="00FD3E34">
                              <w:pPr>
                                <w:spacing w:line="240" w:lineRule="auto"/>
                                <w:jc w:val="center"/>
                                <w:rPr>
                                  <w:b/>
                                  <w:color w:val="000000" w:themeColor="text1"/>
                                  <w:sz w:val="16"/>
                                  <w:szCs w:val="16"/>
                                </w:rPr>
                              </w:pPr>
                              <w:r w:rsidRPr="005115AA">
                                <w:rPr>
                                  <w:b/>
                                  <w:color w:val="000000" w:themeColor="text1"/>
                                  <w:sz w:val="16"/>
                                  <w:szCs w:val="16"/>
                                </w:rPr>
                                <w:t>Постнатальна допомога</w:t>
                              </w:r>
                            </w:p>
                          </w:txbxContent>
                        </wps:txbx>
                        <wps:bodyPr rot="0" vert="horz" wrap="square" lIns="0" tIns="0" rIns="0" bIns="0" anchor="t" anchorCtr="0" upright="1">
                          <a:noAutofit/>
                        </wps:bodyPr>
                      </wps:wsp>
                      <wps:wsp>
                        <wps:cNvPr id="1032" name="Прямоугольник: скругленные углы 24"/>
                        <wps:cNvSpPr>
                          <a:spLocks noChangeArrowheads="1"/>
                        </wps:cNvSpPr>
                        <wps:spPr bwMode="auto">
                          <a:xfrm>
                            <a:off x="14791" y="17072"/>
                            <a:ext cx="6681" cy="7115"/>
                          </a:xfrm>
                          <a:prstGeom prst="roundRect">
                            <a:avLst>
                              <a:gd name="adj" fmla="val 16667"/>
                            </a:avLst>
                          </a:prstGeom>
                          <a:gradFill rotWithShape="1">
                            <a:gsLst>
                              <a:gs pos="0">
                                <a:srgbClr val="FFD5AD"/>
                              </a:gs>
                              <a:gs pos="50000">
                                <a:srgbClr val="FFE3CC"/>
                              </a:gs>
                              <a:gs pos="100000">
                                <a:srgbClr val="FFF1E5"/>
                              </a:gs>
                            </a:gsLst>
                            <a:path path="shape">
                              <a:fillToRect t="100000" r="100000"/>
                            </a:path>
                          </a:gradFill>
                          <a:ln w="25400">
                            <a:solidFill>
                              <a:schemeClr val="accent1">
                                <a:lumMod val="50000"/>
                                <a:lumOff val="0"/>
                              </a:schemeClr>
                            </a:solidFill>
                            <a:round/>
                            <a:headEnd/>
                            <a:tailEnd/>
                          </a:ln>
                        </wps:spPr>
                        <wps:txbx>
                          <w:txbxContent>
                            <w:p w:rsidR="001E1DF5" w:rsidRPr="00DF1999" w:rsidRDefault="001E1DF5" w:rsidP="00FD3E34">
                              <w:pPr>
                                <w:jc w:val="center"/>
                                <w:rPr>
                                  <w:b/>
                                  <w:color w:val="000000" w:themeColor="text1"/>
                                  <w:sz w:val="16"/>
                                  <w:szCs w:val="16"/>
                                </w:rPr>
                              </w:pPr>
                              <w:r w:rsidRPr="00DF1999">
                                <w:rPr>
                                  <w:b/>
                                  <w:color w:val="000000" w:themeColor="text1"/>
                                  <w:sz w:val="16"/>
                                  <w:szCs w:val="16"/>
                                </w:rPr>
                                <w:t>Догляд за вагітними</w:t>
                              </w:r>
                            </w:p>
                          </w:txbxContent>
                        </wps:txbx>
                        <wps:bodyPr rot="0" vert="horz" wrap="square" lIns="0" tIns="0" rIns="0" bIns="0" anchor="ctr" anchorCtr="0" upright="1">
                          <a:noAutofit/>
                        </wps:bodyPr>
                      </wps:wsp>
                      <wps:wsp>
                        <wps:cNvPr id="1033" name="Прямоугольник: скругленные углы 25"/>
                        <wps:cNvSpPr>
                          <a:spLocks noChangeArrowheads="1"/>
                        </wps:cNvSpPr>
                        <wps:spPr bwMode="auto">
                          <a:xfrm>
                            <a:off x="5194" y="18426"/>
                            <a:ext cx="9108" cy="6202"/>
                          </a:xfrm>
                          <a:prstGeom prst="roundRect">
                            <a:avLst>
                              <a:gd name="adj" fmla="val 16667"/>
                            </a:avLst>
                          </a:prstGeom>
                          <a:gradFill rotWithShape="1">
                            <a:gsLst>
                              <a:gs pos="0">
                                <a:srgbClr val="FFD5AD"/>
                              </a:gs>
                              <a:gs pos="50000">
                                <a:srgbClr val="FFE3CC"/>
                              </a:gs>
                              <a:gs pos="100000">
                                <a:srgbClr val="FFF1E5"/>
                              </a:gs>
                            </a:gsLst>
                            <a:path path="shape">
                              <a:fillToRect t="100000" r="100000"/>
                            </a:path>
                          </a:gradFill>
                          <a:ln w="25400">
                            <a:solidFill>
                              <a:schemeClr val="accent1">
                                <a:lumMod val="50000"/>
                                <a:lumOff val="0"/>
                              </a:schemeClr>
                            </a:solidFill>
                            <a:round/>
                            <a:headEnd/>
                            <a:tailEnd/>
                          </a:ln>
                        </wps:spPr>
                        <wps:txbx>
                          <w:txbxContent>
                            <w:p w:rsidR="001E1DF5" w:rsidRDefault="001E1DF5" w:rsidP="00FD3E34">
                              <w:pPr>
                                <w:spacing w:line="240" w:lineRule="auto"/>
                                <w:jc w:val="center"/>
                                <w:rPr>
                                  <w:b/>
                                  <w:color w:val="000000" w:themeColor="text1"/>
                                  <w:sz w:val="16"/>
                                  <w:szCs w:val="16"/>
                                </w:rPr>
                              </w:pPr>
                              <w:r w:rsidRPr="00EB2229">
                                <w:rPr>
                                  <w:b/>
                                  <w:color w:val="000000" w:themeColor="text1"/>
                                  <w:sz w:val="16"/>
                                  <w:szCs w:val="16"/>
                                </w:rPr>
                                <w:t xml:space="preserve">Репродуктивна </w:t>
                              </w:r>
                              <w:r>
                                <w:rPr>
                                  <w:b/>
                                  <w:color w:val="000000" w:themeColor="text1"/>
                                  <w:sz w:val="16"/>
                                  <w:szCs w:val="16"/>
                                </w:rPr>
                                <w:t>охорона</w:t>
                              </w:r>
                            </w:p>
                            <w:p w:rsidR="001E1DF5" w:rsidRPr="00EB2229" w:rsidRDefault="001E1DF5" w:rsidP="00FD3E34">
                              <w:pPr>
                                <w:spacing w:line="240" w:lineRule="auto"/>
                                <w:jc w:val="center"/>
                                <w:rPr>
                                  <w:b/>
                                  <w:color w:val="000000" w:themeColor="text1"/>
                                  <w:sz w:val="16"/>
                                  <w:szCs w:val="16"/>
                                </w:rPr>
                              </w:pPr>
                              <w:r w:rsidRPr="00EB2229">
                                <w:rPr>
                                  <w:b/>
                                  <w:color w:val="000000" w:themeColor="text1"/>
                                  <w:sz w:val="16"/>
                                  <w:szCs w:val="16"/>
                                </w:rPr>
                                <w:t>здоров’я</w:t>
                              </w:r>
                            </w:p>
                          </w:txbxContent>
                        </wps:txbx>
                        <wps:bodyPr rot="0" vert="horz" wrap="square" lIns="0" tIns="0" rIns="0" bIns="0" anchor="t" anchorCtr="0" upright="1">
                          <a:noAutofit/>
                        </wps:bodyPr>
                      </wps:wsp>
                      <wps:wsp>
                        <wps:cNvPr id="1034" name="Стрелка: вверх 27"/>
                        <wps:cNvSpPr>
                          <a:spLocks noChangeArrowheads="1"/>
                        </wps:cNvSpPr>
                        <wps:spPr bwMode="auto">
                          <a:xfrm>
                            <a:off x="-552" y="11927"/>
                            <a:ext cx="5611" cy="13395"/>
                          </a:xfrm>
                          <a:prstGeom prst="upArrow">
                            <a:avLst>
                              <a:gd name="adj1" fmla="val 50000"/>
                              <a:gd name="adj2" fmla="val 50011"/>
                            </a:avLst>
                          </a:prstGeom>
                          <a:solidFill>
                            <a:schemeClr val="accent1">
                              <a:lumMod val="40000"/>
                              <a:lumOff val="60000"/>
                            </a:schemeClr>
                          </a:solidFill>
                          <a:ln w="25400">
                            <a:solidFill>
                              <a:schemeClr val="accent1">
                                <a:lumMod val="50000"/>
                                <a:lumOff val="0"/>
                              </a:schemeClr>
                            </a:solidFill>
                            <a:miter lim="800000"/>
                            <a:headEnd/>
                            <a:tailEnd/>
                          </a:ln>
                        </wps:spPr>
                        <wps:txbx>
                          <w:txbxContent>
                            <w:p w:rsidR="001E1DF5" w:rsidRPr="00BF1548" w:rsidRDefault="001E1DF5" w:rsidP="00FD3E34">
                              <w:pPr>
                                <w:spacing w:line="240" w:lineRule="auto"/>
                                <w:rPr>
                                  <w:b/>
                                  <w:color w:val="000000" w:themeColor="text1"/>
                                  <w:sz w:val="18"/>
                                  <w:szCs w:val="18"/>
                                </w:rPr>
                              </w:pPr>
                              <w:r w:rsidRPr="00BF1548">
                                <w:rPr>
                                  <w:b/>
                                  <w:color w:val="000000" w:themeColor="text1"/>
                                  <w:sz w:val="18"/>
                                  <w:szCs w:val="18"/>
                                </w:rPr>
                                <w:t>РЕЗУЛЬТАТ</w:t>
                              </w:r>
                              <w:r>
                                <w:rPr>
                                  <w:b/>
                                  <w:color w:val="000000" w:themeColor="text1"/>
                                  <w:sz w:val="18"/>
                                  <w:szCs w:val="18"/>
                                </w:rPr>
                                <w:t>И</w:t>
                              </w:r>
                            </w:p>
                          </w:txbxContent>
                        </wps:txbx>
                        <wps:bodyPr rot="0" vert="vert270" wrap="square" lIns="36000" tIns="36000" rIns="36000" bIns="36000" anchor="t" anchorCtr="0" upright="1">
                          <a:noAutofit/>
                        </wps:bodyPr>
                      </wps:wsp>
                      <wps:wsp>
                        <wps:cNvPr id="1035" name="Стрелка: вверх 29"/>
                        <wps:cNvSpPr>
                          <a:spLocks noChangeArrowheads="1"/>
                        </wps:cNvSpPr>
                        <wps:spPr bwMode="auto">
                          <a:xfrm>
                            <a:off x="-698" y="26380"/>
                            <a:ext cx="5892" cy="10471"/>
                          </a:xfrm>
                          <a:prstGeom prst="upArrow">
                            <a:avLst>
                              <a:gd name="adj1" fmla="val 50000"/>
                              <a:gd name="adj2" fmla="val 50007"/>
                            </a:avLst>
                          </a:prstGeom>
                          <a:gradFill rotWithShape="1">
                            <a:gsLst>
                              <a:gs pos="0">
                                <a:srgbClr val="9AB5E4"/>
                              </a:gs>
                              <a:gs pos="50000">
                                <a:srgbClr val="C2D1ED"/>
                              </a:gs>
                              <a:gs pos="100000">
                                <a:srgbClr val="E1E8F5"/>
                              </a:gs>
                            </a:gsLst>
                            <a:path path="rect">
                              <a:fillToRect t="100000" r="100000"/>
                            </a:path>
                          </a:gradFill>
                          <a:ln w="25400">
                            <a:solidFill>
                              <a:schemeClr val="accent1">
                                <a:lumMod val="50000"/>
                                <a:lumOff val="0"/>
                              </a:schemeClr>
                            </a:solidFill>
                            <a:miter lim="800000"/>
                            <a:headEnd/>
                            <a:tailEnd/>
                          </a:ln>
                        </wps:spPr>
                        <wps:txbx>
                          <w:txbxContent>
                            <w:p w:rsidR="001E1DF5" w:rsidRPr="00D25139" w:rsidRDefault="001E1DF5" w:rsidP="00FD3E34">
                              <w:pPr>
                                <w:jc w:val="center"/>
                                <w:rPr>
                                  <w:b/>
                                  <w:color w:val="000000" w:themeColor="text1"/>
                                  <w:sz w:val="18"/>
                                  <w:szCs w:val="18"/>
                                </w:rPr>
                              </w:pPr>
                              <w:r>
                                <w:rPr>
                                  <w:b/>
                                  <w:color w:val="000000" w:themeColor="text1"/>
                                  <w:sz w:val="18"/>
                                  <w:szCs w:val="18"/>
                                </w:rPr>
                                <w:t>ВИХІДНІ</w:t>
                              </w:r>
                            </w:p>
                          </w:txbxContent>
                        </wps:txbx>
                        <wps:bodyPr rot="0" vert="vert270" wrap="square" lIns="0" tIns="0" rIns="0" bIns="0" anchor="t" anchorCtr="0" upright="1">
                          <a:noAutofit/>
                        </wps:bodyPr>
                      </wps:wsp>
                      <wps:wsp>
                        <wps:cNvPr id="1036" name="Прямоугольник: скругленные углы 30"/>
                        <wps:cNvSpPr>
                          <a:spLocks noChangeArrowheads="1"/>
                        </wps:cNvSpPr>
                        <wps:spPr bwMode="auto">
                          <a:xfrm>
                            <a:off x="6282" y="38555"/>
                            <a:ext cx="55963" cy="4909"/>
                          </a:xfrm>
                          <a:prstGeom prst="roundRect">
                            <a:avLst>
                              <a:gd name="adj" fmla="val 16667"/>
                            </a:avLst>
                          </a:prstGeom>
                          <a:gradFill rotWithShape="1">
                            <a:gsLst>
                              <a:gs pos="0">
                                <a:srgbClr val="D5A6E4"/>
                              </a:gs>
                              <a:gs pos="50000">
                                <a:srgbClr val="E3C8ED"/>
                              </a:gs>
                              <a:gs pos="100000">
                                <a:srgbClr val="F1E4F6"/>
                              </a:gs>
                            </a:gsLst>
                            <a:lin ang="8100000" scaled="1"/>
                          </a:gradFill>
                          <a:ln w="25400">
                            <a:solidFill>
                              <a:schemeClr val="accent1">
                                <a:lumMod val="50000"/>
                                <a:lumOff val="0"/>
                              </a:schemeClr>
                            </a:solidFill>
                            <a:round/>
                            <a:headEnd/>
                            <a:tailEnd/>
                          </a:ln>
                        </wps:spPr>
                        <wps:txbx>
                          <w:txbxContent>
                            <w:p w:rsidR="001E1DF5" w:rsidRPr="00FB10EF" w:rsidRDefault="001E1DF5" w:rsidP="0007105C">
                              <w:pPr>
                                <w:spacing w:line="220" w:lineRule="exact"/>
                                <w:jc w:val="center"/>
                                <w:rPr>
                                  <w:b/>
                                  <w:color w:val="000000" w:themeColor="text1"/>
                                </w:rPr>
                              </w:pPr>
                              <w:r w:rsidRPr="00FB10EF">
                                <w:rPr>
                                  <w:b/>
                                  <w:color w:val="000000" w:themeColor="text1"/>
                                </w:rPr>
                                <w:t xml:space="preserve">Облік кожної жінки, кожного новонародженого, кожної дитини:      </w:t>
                              </w:r>
                              <w:r w:rsidRPr="00FB10EF">
                                <w:rPr>
                                  <w:b/>
                                  <w:color w:val="000000" w:themeColor="text1"/>
                                  <w:sz w:val="18"/>
                                  <w:szCs w:val="18"/>
                                </w:rPr>
                                <w:t>Підзвітність і дані для досягнення справедливості</w:t>
                              </w:r>
                            </w:p>
                          </w:txbxContent>
                        </wps:txbx>
                        <wps:bodyPr rot="0" vert="horz" wrap="square" lIns="0" tIns="0" rIns="0" bIns="0" anchor="ctr" anchorCtr="0" upright="1">
                          <a:noAutofit/>
                        </wps:bodyPr>
                      </wps:wsp>
                      <wps:wsp>
                        <wps:cNvPr id="1037" name="Прямоугольник: скругленные углы 31"/>
                        <wps:cNvSpPr>
                          <a:spLocks noChangeArrowheads="1"/>
                        </wps:cNvSpPr>
                        <wps:spPr bwMode="auto">
                          <a:xfrm>
                            <a:off x="6062" y="43910"/>
                            <a:ext cx="56051" cy="3433"/>
                          </a:xfrm>
                          <a:prstGeom prst="roundRect">
                            <a:avLst>
                              <a:gd name="adj" fmla="val 16667"/>
                            </a:avLst>
                          </a:prstGeom>
                          <a:solidFill>
                            <a:schemeClr val="accent4">
                              <a:lumMod val="20000"/>
                              <a:lumOff val="80000"/>
                            </a:schemeClr>
                          </a:solidFill>
                          <a:ln w="25400">
                            <a:solidFill>
                              <a:schemeClr val="accent1">
                                <a:lumMod val="50000"/>
                                <a:lumOff val="0"/>
                              </a:schemeClr>
                            </a:solidFill>
                            <a:round/>
                            <a:headEnd/>
                            <a:tailEnd/>
                          </a:ln>
                        </wps:spPr>
                        <wps:txbx>
                          <w:txbxContent>
                            <w:p w:rsidR="001E1DF5" w:rsidRPr="00FB10EF" w:rsidRDefault="001E1DF5" w:rsidP="00FD3E34">
                              <w:pPr>
                                <w:jc w:val="center"/>
                                <w:rPr>
                                  <w:b/>
                                  <w:color w:val="000000" w:themeColor="text1"/>
                                </w:rPr>
                              </w:pPr>
                              <w:r w:rsidRPr="00FB10EF">
                                <w:rPr>
                                  <w:b/>
                                  <w:color w:val="000000" w:themeColor="text1"/>
                                </w:rPr>
                                <w:t xml:space="preserve">Керівництво, </w:t>
                              </w:r>
                              <w:r w:rsidRPr="00FB10EF">
                                <w:rPr>
                                  <w:b/>
                                  <w:color w:val="000000" w:themeColor="text1"/>
                                  <w:lang w:val="en-US"/>
                                </w:rPr>
                                <w:t>управління</w:t>
                              </w:r>
                              <w:r w:rsidRPr="00FB10EF">
                                <w:rPr>
                                  <w:b/>
                                  <w:color w:val="000000" w:themeColor="text1"/>
                                </w:rPr>
                                <w:t>, партнерство і фінансування</w:t>
                              </w:r>
                            </w:p>
                          </w:txbxContent>
                        </wps:txbx>
                        <wps:bodyPr rot="0" vert="horz" wrap="square" lIns="0" tIns="0" rIns="0" bIns="0" anchor="ctr" anchorCtr="0" upright="1">
                          <a:noAutofit/>
                        </wps:bodyPr>
                      </wps:wsp>
                      <wps:wsp>
                        <wps:cNvPr id="1038" name="Стрелка: вверх 32"/>
                        <wps:cNvSpPr>
                          <a:spLocks noChangeArrowheads="1"/>
                        </wps:cNvSpPr>
                        <wps:spPr bwMode="auto">
                          <a:xfrm>
                            <a:off x="-473" y="37429"/>
                            <a:ext cx="5667" cy="9932"/>
                          </a:xfrm>
                          <a:prstGeom prst="upArrow">
                            <a:avLst>
                              <a:gd name="adj1" fmla="val 50000"/>
                              <a:gd name="adj2" fmla="val 50006"/>
                            </a:avLst>
                          </a:prstGeom>
                          <a:gradFill rotWithShape="1">
                            <a:gsLst>
                              <a:gs pos="0">
                                <a:srgbClr val="9AB5E4"/>
                              </a:gs>
                              <a:gs pos="50000">
                                <a:srgbClr val="C2D1ED"/>
                              </a:gs>
                              <a:gs pos="100000">
                                <a:srgbClr val="E1E8F5"/>
                              </a:gs>
                            </a:gsLst>
                            <a:path path="rect">
                              <a:fillToRect t="100000" r="100000"/>
                            </a:path>
                          </a:gradFill>
                          <a:ln w="25400">
                            <a:solidFill>
                              <a:schemeClr val="accent1">
                                <a:lumMod val="50000"/>
                                <a:lumOff val="0"/>
                              </a:schemeClr>
                            </a:solidFill>
                            <a:miter lim="800000"/>
                            <a:headEnd/>
                            <a:tailEnd/>
                          </a:ln>
                        </wps:spPr>
                        <wps:txbx>
                          <w:txbxContent>
                            <w:p w:rsidR="001E1DF5" w:rsidRPr="00D25139" w:rsidRDefault="001E1DF5" w:rsidP="00FD3E34">
                              <w:pPr>
                                <w:jc w:val="center"/>
                                <w:rPr>
                                  <w:b/>
                                  <w:color w:val="000000" w:themeColor="text1"/>
                                  <w:sz w:val="18"/>
                                  <w:szCs w:val="18"/>
                                </w:rPr>
                              </w:pPr>
                              <w:r w:rsidRPr="00D25139">
                                <w:rPr>
                                  <w:b/>
                                  <w:color w:val="000000" w:themeColor="text1"/>
                                  <w:sz w:val="18"/>
                                  <w:szCs w:val="18"/>
                                </w:rPr>
                                <w:t>ВХІДНІ</w:t>
                              </w:r>
                            </w:p>
                          </w:txbxContent>
                        </wps:txbx>
                        <wps:bodyPr rot="0" vert="vert270" wrap="square" lIns="0" tIns="0" rIns="0" bIns="0" anchor="t" anchorCtr="0" upright="1">
                          <a:noAutofit/>
                        </wps:bodyPr>
                      </wps:wsp>
                      <wps:wsp>
                        <wps:cNvPr id="1039" name="Прямоугольник: скругленные углы 33"/>
                        <wps:cNvSpPr>
                          <a:spLocks noChangeArrowheads="1"/>
                        </wps:cNvSpPr>
                        <wps:spPr bwMode="auto">
                          <a:xfrm>
                            <a:off x="4518" y="47372"/>
                            <a:ext cx="57359" cy="2543"/>
                          </a:xfrm>
                          <a:prstGeom prst="roundRect">
                            <a:avLst>
                              <a:gd name="adj" fmla="val 16667"/>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round/>
                                <a:headEnd/>
                                <a:tailEnd/>
                              </a14:hiddenLine>
                            </a:ext>
                          </a:extLst>
                        </wps:spPr>
                        <wps:txbx>
                          <w:txbxContent>
                            <w:p w:rsidR="001E1DF5" w:rsidRPr="00B75878" w:rsidRDefault="001E1DF5" w:rsidP="00FD3E34">
                              <w:pPr>
                                <w:spacing w:line="240" w:lineRule="auto"/>
                                <w:jc w:val="center"/>
                                <w:rPr>
                                  <w:b/>
                                  <w:color w:val="000000" w:themeColor="text1"/>
                                  <w:sz w:val="20"/>
                                  <w:szCs w:val="20"/>
                                </w:rPr>
                              </w:pPr>
                              <w:r w:rsidRPr="00B75878">
                                <w:rPr>
                                  <w:b/>
                                  <w:color w:val="000000" w:themeColor="text1"/>
                                  <w:sz w:val="20"/>
                                  <w:szCs w:val="20"/>
                                </w:rPr>
                                <w:t>Контекстуальні фактори: епідеміологічні, довкілля, економічні і соціо-культуральні</w:t>
                              </w:r>
                            </w:p>
                          </w:txbxContent>
                        </wps:txbx>
                        <wps:bodyPr rot="0" vert="horz" wrap="square" lIns="0" tIns="0" rIns="0" bIns="0" anchor="ctr" anchorCtr="0" upright="1">
                          <a:noAutofit/>
                        </wps:bodyPr>
                      </wps:wsp>
                      <wps:wsp>
                        <wps:cNvPr id="287" name="Арка 15"/>
                        <wps:cNvSpPr>
                          <a:spLocks/>
                        </wps:cNvSpPr>
                        <wps:spPr bwMode="auto">
                          <a:xfrm>
                            <a:off x="6483" y="23458"/>
                            <a:ext cx="55404" cy="10092"/>
                          </a:xfrm>
                          <a:custGeom>
                            <a:avLst/>
                            <a:gdLst>
                              <a:gd name="T0" fmla="*/ 0 w 5540438"/>
                              <a:gd name="T1" fmla="*/ 550083 h 1100166"/>
                              <a:gd name="T2" fmla="*/ 2770219 w 5540438"/>
                              <a:gd name="T3" fmla="*/ 0 h 1100166"/>
                              <a:gd name="T4" fmla="*/ 5540438 w 5540438"/>
                              <a:gd name="T5" fmla="*/ 550083 h 1100166"/>
                              <a:gd name="T6" fmla="*/ 5265397 w 5540438"/>
                              <a:gd name="T7" fmla="*/ 550083 h 1100166"/>
                              <a:gd name="T8" fmla="*/ 2770219 w 5540438"/>
                              <a:gd name="T9" fmla="*/ 275041 h 1100166"/>
                              <a:gd name="T10" fmla="*/ 275041 w 5540438"/>
                              <a:gd name="T11" fmla="*/ 550083 h 1100166"/>
                              <a:gd name="T12" fmla="*/ 0 w 5540438"/>
                              <a:gd name="T13" fmla="*/ 550083 h 1100166"/>
                              <a:gd name="T14" fmla="*/ 0 60000 65536"/>
                              <a:gd name="T15" fmla="*/ 0 60000 65536"/>
                              <a:gd name="T16" fmla="*/ 0 60000 65536"/>
                              <a:gd name="T17" fmla="*/ 0 60000 65536"/>
                              <a:gd name="T18" fmla="*/ 0 60000 65536"/>
                              <a:gd name="T19" fmla="*/ 0 60000 65536"/>
                              <a:gd name="T20" fmla="*/ 0 60000 65536"/>
                              <a:gd name="T21" fmla="*/ 0 w 5540438"/>
                              <a:gd name="T22" fmla="*/ 0 h 1100166"/>
                              <a:gd name="T23" fmla="*/ 5540438 w 5540438"/>
                              <a:gd name="T24" fmla="*/ 1100166 h 1100166"/>
                            </a:gdLst>
                            <a:ahLst/>
                            <a:cxnLst>
                              <a:cxn ang="T14">
                                <a:pos x="T0" y="T1"/>
                              </a:cxn>
                              <a:cxn ang="T15">
                                <a:pos x="T2" y="T3"/>
                              </a:cxn>
                              <a:cxn ang="T16">
                                <a:pos x="T4" y="T5"/>
                              </a:cxn>
                              <a:cxn ang="T17">
                                <a:pos x="T6" y="T7"/>
                              </a:cxn>
                              <a:cxn ang="T18">
                                <a:pos x="T8" y="T9"/>
                              </a:cxn>
                              <a:cxn ang="T19">
                                <a:pos x="T10" y="T11"/>
                              </a:cxn>
                              <a:cxn ang="T20">
                                <a:pos x="T12" y="T13"/>
                              </a:cxn>
                            </a:cxnLst>
                            <a:rect l="T21" t="T22" r="T23" b="T24"/>
                            <a:pathLst>
                              <a:path w="5540438" h="1100166">
                                <a:moveTo>
                                  <a:pt x="0" y="550083"/>
                                </a:moveTo>
                                <a:cubicBezTo>
                                  <a:pt x="0" y="246281"/>
                                  <a:pt x="1240269" y="0"/>
                                  <a:pt x="2770219" y="0"/>
                                </a:cubicBezTo>
                                <a:cubicBezTo>
                                  <a:pt x="4300169" y="0"/>
                                  <a:pt x="5540438" y="246281"/>
                                  <a:pt x="5540438" y="550083"/>
                                </a:cubicBezTo>
                                <a:lnTo>
                                  <a:pt x="5265397" y="550083"/>
                                </a:lnTo>
                                <a:cubicBezTo>
                                  <a:pt x="5265397" y="398181"/>
                                  <a:pt x="4148268" y="275041"/>
                                  <a:pt x="2770219" y="275041"/>
                                </a:cubicBezTo>
                                <a:cubicBezTo>
                                  <a:pt x="1392170" y="275041"/>
                                  <a:pt x="275041" y="398181"/>
                                  <a:pt x="275041" y="550083"/>
                                </a:cubicBezTo>
                                <a:lnTo>
                                  <a:pt x="0" y="550083"/>
                                </a:lnTo>
                                <a:close/>
                              </a:path>
                            </a:pathLst>
                          </a:custGeom>
                          <a:solidFill>
                            <a:schemeClr val="accent5">
                              <a:lumMod val="20000"/>
                              <a:lumOff val="80000"/>
                            </a:schemeClr>
                          </a:solidFill>
                          <a:ln w="25400">
                            <a:solidFill>
                              <a:schemeClr val="accent1">
                                <a:lumMod val="50000"/>
                                <a:lumOff val="0"/>
                              </a:schemeClr>
                            </a:solidFill>
                            <a:miter lim="800000"/>
                            <a:headEnd/>
                            <a:tailEnd/>
                          </a:ln>
                        </wps:spPr>
                        <wps:txbx>
                          <w:txbxContent>
                            <w:p w:rsidR="001E1DF5" w:rsidRPr="00033B2A" w:rsidRDefault="001E1DF5" w:rsidP="00FD3E34">
                              <w:pPr>
                                <w:jc w:val="center"/>
                                <w:rPr>
                                  <w:b/>
                                  <w:color w:val="000000" w:themeColor="text1"/>
                                </w:rPr>
                              </w:pPr>
                              <w:r>
                                <w:rPr>
                                  <w:b/>
                                  <w:color w:val="000000" w:themeColor="text1"/>
                                </w:rPr>
                                <w:t>УНІВЕРСАЛЬНЕ ОХОПЛЕННЯ</w:t>
                              </w:r>
                            </w:p>
                          </w:txbxContent>
                        </wps:txbx>
                        <wps:bodyPr rot="0" vert="horz" wrap="square" lIns="0" tIns="36000" rIns="0" bIns="0" anchor="t" anchorCtr="0" upright="1">
                          <a:noAutofit/>
                        </wps:bodyPr>
                      </wps:wsp>
                    </wpg:wgp>
                  </a:graphicData>
                </a:graphic>
              </wp:inline>
            </w:drawing>
          </mc:Choice>
          <mc:Fallback>
            <w:pict>
              <v:group id="Группа 56" o:spid="_x0000_s1026" style="width:462.05pt;height:328.35pt;mso-position-horizontal-relative:char;mso-position-vertical-relative:line" coordorigin="-698,1562" coordsize="63185,4835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">
                <v:roundrect id="Прямоугольник: скругленные углы 1" o:spid="_x0000_s1027" style="position:absolute;left:5193;top:1562;width:57054;height:5721;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fUAKsIA&#10;AADcAAAADwAAAGRycy9kb3ducmV2LnhtbESP3YrCMBSE7xd8h3CEvVk0bcG/ahSRFfTOvwc4NMe2&#10;tDkpTdT69kYQvBxm5htmsepMLe7UutKygngYgSDOrC45V3A5bwdTEM4ja6wtk4InOVgtez8LTLV9&#10;8JHuJ5+LAGGXooLC+yaV0mUFGXRD2xAH72pbgz7INpe6xUeAm1omUTSWBksOCwU2tCkoq043o8DF&#10;/4ndTfeTbXxoNjweVVHyVyn12+/WcxCeOv8Nf9o7rSCZzOB9JhwBuX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R9QAqwgAAANwAAAAPAAAAAAAAAAAAAAAAAJgCAABkcnMvZG93&#10;bnJldi54bWxQSwUGAAAAAAQABAD1AAAAhwMAAAAA&#10;" fillcolor="#9ab5e4" strokecolor="#1f4d78 [1604]" strokeweight="2pt">
                  <v:fill color2="#e1e8f5" rotate="t" focusposition=",1" focussize="" colors="0 #9ab5e4;.5 #c2d1ed;1 #e1e8f5" focus="100%" type="gradientRadial"/>
                  <v:textbox inset="0,0,0,0">
                    <w:txbxContent>
                      <w:p w:rsidR="0057431A" w:rsidRPr="00D075C5" w:rsidRDefault="0057431A" w:rsidP="00B75878">
                        <w:pPr>
                          <w:spacing w:line="240" w:lineRule="auto"/>
                          <w:jc w:val="center"/>
                          <w:rPr>
                            <w:b/>
                            <w:color w:val="000000" w:themeColor="text1"/>
                            <w:sz w:val="24"/>
                            <w:szCs w:val="24"/>
                          </w:rPr>
                        </w:pPr>
                        <w:r w:rsidRPr="00D075C5">
                          <w:rPr>
                            <w:b/>
                            <w:color w:val="000000" w:themeColor="text1"/>
                            <w:sz w:val="24"/>
                            <w:szCs w:val="24"/>
                          </w:rPr>
                          <w:t>Припинення смертей матерів, мертвонароджень, новонароджених і дітей Поліпшення розвитку дитини і людського капіталу</w:t>
                        </w:r>
                      </w:p>
                    </w:txbxContent>
                  </v:textbox>
                </v:roundrect>
                <v:roundrect id="Прямоугольник: скругленные углы 2" o:spid="_x0000_s1028" style="position:absolute;left:6062;top:8606;width:14306;height:3620;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KdHt8EA&#10;AADcAAAADwAAAGRycy9kb3ducmV2LnhtbERPy4rCMBTdD/gP4QruxsQHg3SMooLgpsJYZ+Hu0lzb&#10;YnNTm2jr35vFwCwP571c97YWT2p95VjDZKxAEOfOVFxoOGf7zwUIH5AN1o5Jw4s8rFeDjyUmxnX8&#10;Q89TKEQMYZ+ghjKEJpHS5yVZ9GPXEEfu6lqLIcK2kKbFLobbWk6V+pIWK44NJTa0Kym/nR5Ww1HN&#10;0uxXXWa7y3nr793ccJ6mWo+G/eYbRKA+/Iv/3AejYbqI8+OZeATk6g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ynR7fBAAAA3AAAAA8AAAAAAAAAAAAAAAAAmAIAAGRycy9kb3du&#10;cmV2LnhtbFBLBQYAAAAABAAEAPUAAACGAwAAAAA=&#10;" fillcolor="#9ab5e4" strokecolor="#1f4d78 [1604]" strokeweight="2pt">
                  <v:fill color2="#e1e8f5" rotate="t" focusposition=",1" focussize="" colors="0 #9ab5e4;.5 #c2d1ed;1 #e1e8f5" focus="100%" type="gradientRadial"/>
                  <v:textbox inset="0,1mm,0,1mm">
                    <w:txbxContent>
                      <w:p w:rsidR="0057431A" w:rsidRPr="00D075C5" w:rsidRDefault="0057431A" w:rsidP="00B75878">
                        <w:pPr>
                          <w:spacing w:line="240" w:lineRule="auto"/>
                          <w:jc w:val="center"/>
                          <w:rPr>
                            <w:b/>
                            <w:color w:val="000000" w:themeColor="text1"/>
                            <w:sz w:val="24"/>
                            <w:szCs w:val="24"/>
                          </w:rPr>
                        </w:pPr>
                        <w:r w:rsidRPr="00D075C5">
                          <w:rPr>
                            <w:b/>
                            <w:color w:val="000000" w:themeColor="text1"/>
                            <w:sz w:val="24"/>
                            <w:szCs w:val="24"/>
                          </w:rPr>
                          <w:t>Кожна жінка</w:t>
                        </w:r>
                      </w:p>
                    </w:txbxContent>
                  </v:textbox>
                </v:roundrect>
                <v:roundrect id="Прямоугольник: скругленные углы 3" o:spid="_x0000_s1029" style="position:absolute;left:21474;top:7998;width:20624;height:4227;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lZ8C8MA&#10;AADcAAAADwAAAGRycy9kb3ducmV2LnhtbESP0WqDQBRE3wP9h+UG+hLqqtBUjGsoIYH0rTX9gIt7&#10;q6J7V9yN2r/vFgp9HGbmDFMcVzOImSbXWVaQRDEI4trqjhsFn7fLUwbCeWSNg2VS8E0OjuXDpsBc&#10;24U/aK58IwKEXY4KWu/HXEpXt2TQRXYkDt6XnQz6IKdG6gmXADeDTON4Lw12HBZaHOnUUt1Xd6PA&#10;JefUXrO3l0vyPp54/9zH6a5X6nG7vh5AeFr9f/ivfdUK0iyB3zPhCMjy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lZ8C8MAAADcAAAADwAAAAAAAAAAAAAAAACYAgAAZHJzL2Rv&#10;d25yZXYueG1sUEsFBgAAAAAEAAQA9QAAAIgDAAAAAA==&#10;" fillcolor="#9ab5e4" strokecolor="#1f4d78 [1604]" strokeweight="2pt">
                  <v:fill color2="#e1e8f5" rotate="t" focusposition=",1" focussize="" colors="0 #9ab5e4;.5 #c2d1ed;1 #e1e8f5" focus="100%" type="gradientRadial"/>
                  <v:textbox inset="0,0,0,0">
                    <w:txbxContent>
                      <w:p w:rsidR="0057431A" w:rsidRPr="00D075C5" w:rsidRDefault="0057431A" w:rsidP="00B75878">
                        <w:pPr>
                          <w:spacing w:line="240" w:lineRule="auto"/>
                          <w:jc w:val="center"/>
                          <w:rPr>
                            <w:b/>
                            <w:color w:val="000000" w:themeColor="text1"/>
                            <w:sz w:val="24"/>
                            <w:szCs w:val="24"/>
                          </w:rPr>
                        </w:pPr>
                        <w:r w:rsidRPr="00D075C5">
                          <w:rPr>
                            <w:b/>
                            <w:color w:val="000000" w:themeColor="text1"/>
                            <w:sz w:val="24"/>
                            <w:szCs w:val="24"/>
                          </w:rPr>
                          <w:t>Кожен новонароджений</w:t>
                        </w:r>
                      </w:p>
                    </w:txbxContent>
                  </v:textbox>
                </v:roundrect>
                <v:roundrect id="Прямоугольник: скругленные углы 4" o:spid="_x0000_s1030" style="position:absolute;left:43457;top:8606;width:16354;height:3620;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oTifMMA&#10;AADcAAAADwAAAGRycy9kb3ducmV2LnhtbESP3YrCMBSE74V9h3AEb2RNG9At1SiLKOidP/sAh+Zs&#10;W9qclCZqffvNguDlMDPfMKvNYFtxp97XjjWkswQEceFMzaWGn+v+MwPhA7LB1jFpeJKHzfpjtMLc&#10;uAef6X4JpYgQ9jlqqELocil9UZFFP3MdcfR+XW8xRNmX0vT4iHDbSpUkC2mx5rhQYUfbiormcrMa&#10;fLpT7pAdv/bpqdvyYt4katpoPRkP30sQgYbwDr/aB6NBZQr+z8QjIN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oTifMMAAADcAAAADwAAAAAAAAAAAAAAAACYAgAAZHJzL2Rv&#10;d25yZXYueG1sUEsFBgAAAAAEAAQA9QAAAIgDAAAAAA==&#10;" fillcolor="#9ab5e4" strokecolor="#1f4d78 [1604]" strokeweight="2pt">
                  <v:fill color2="#e1e8f5" rotate="t" focusposition=",1" focussize="" colors="0 #9ab5e4;.5 #c2d1ed;1 #e1e8f5" focus="100%" type="gradientRadial"/>
                  <v:textbox inset="0,0,0,0">
                    <w:txbxContent>
                      <w:p w:rsidR="0057431A" w:rsidRPr="00D075C5" w:rsidRDefault="0057431A" w:rsidP="00B75878">
                        <w:pPr>
                          <w:spacing w:line="240" w:lineRule="auto"/>
                          <w:jc w:val="center"/>
                          <w:rPr>
                            <w:b/>
                            <w:color w:val="000000" w:themeColor="text1"/>
                            <w:sz w:val="24"/>
                            <w:szCs w:val="24"/>
                          </w:rPr>
                        </w:pPr>
                        <w:r w:rsidRPr="00D075C5">
                          <w:rPr>
                            <w:b/>
                            <w:color w:val="000000" w:themeColor="text1"/>
                            <w:sz w:val="24"/>
                            <w:szCs w:val="24"/>
                          </w:rPr>
                          <w:t>Кожна дитина</w:t>
                        </w:r>
                      </w:p>
                    </w:txbxContent>
                  </v:textbox>
                </v:roundrect>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Равнобедренный треугольник 5" o:spid="_x0000_s1031" type="#_x0000_t5" style="position:absolute;left:23768;top:12065;width:15240;height:319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iR4ecQA&#10;AADcAAAADwAAAGRycy9kb3ducmV2LnhtbESPwU7DMBBE75X4B2uRuFGHIEoa6la0AsGpiNIPWMVL&#10;HLDXaWxS8/e4ElKPo5l5o1mskrNipCF0nhXcTAsQxI3XHbcK9h/P1xWIEJE1Ws+k4JcCrJYXkwXW&#10;2h/5ncZdbEWGcKhRgYmxr6UMjSGHYep74ux9+sFhzHJopR7wmOHOyrIoZtJhx3nBYE8bQ8337scp&#10;wDd7l17ma4vp3jxtx6+DK8qDUleX6fEBRKQUz+H/9qtWUFa3cDqTj4Bc/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okeHnEAAAA3AAAAA8AAAAAAAAAAAAAAAAAmAIAAGRycy9k&#10;b3ducmV2LnhtbFBLBQYAAAAABAAEAPUAAACJAwAAAAA=&#10;" fillcolor="#ffd5ad" strokecolor="#1f4d78 [1604]" strokeweight="2pt">
                  <v:fill color2="#fff1e5" rotate="t" focusposition=",1" focussize="" colors="0 #ffd5ad;.5 #ffe3cc;1 #fff1e5" focus="100%" type="gradientRadial"/>
                </v:shape>
                <v:roundrect id="Прямоугольник: скругленные углы 9" o:spid="_x0000_s1032" style="position:absolute;left:56022;top:19269;width:6465;height:5970;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ZB5w8QA&#10;AADcAAAADwAAAGRycy9kb3ducmV2LnhtbESPQWvCQBSE7wX/w/IEb3VTEbGpqxRB9CDYWnt/ZJ+b&#10;YPZtyD416a/vCoUeh5n5hlmsOl+rG7WxCmzgZZyBIi6CrdgZOH1tnuegoiBbrAOTgZ4irJaDpwXm&#10;Ntz5k25HcSpBOOZooBRpcq1jUZLHOA4NcfLOofUoSbZO2xbvCe5rPcmymfZYcVoosaF1ScXlePUG&#10;MrcPH0XvDvH1Z2v777NcTjMxZjTs3t9ACXXyH/5r76yByXwKjzPpCOjl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WQecPEAAAA3AAAAA8AAAAAAAAAAAAAAAAAmAIAAGRycy9k&#10;b3ducmV2LnhtbFBLBQYAAAAABAAEAPUAAACJAwAAAAA=&#10;" fillcolor="#ffd5ad" strokecolor="#1f4d78 [1604]" strokeweight="2pt">
                  <v:fill color2="#fff1e5" rotate="t" focusposition=",1" focussize="" colors="0 #ffd5ad;.5 #ffe3cc;1 #fff1e5" focus="100%" type="gradientRadial"/>
                  <v:textbox inset="0,0,0,0">
                    <w:txbxContent>
                      <w:p w:rsidR="0057431A" w:rsidRPr="004C5EC9" w:rsidRDefault="0057431A" w:rsidP="00FD3E34">
                        <w:pPr>
                          <w:spacing w:line="240" w:lineRule="auto"/>
                          <w:jc w:val="center"/>
                          <w:rPr>
                            <w:b/>
                            <w:color w:val="000000" w:themeColor="text1"/>
                            <w:sz w:val="16"/>
                            <w:szCs w:val="16"/>
                          </w:rPr>
                        </w:pPr>
                        <w:r w:rsidRPr="004C5EC9">
                          <w:rPr>
                            <w:b/>
                            <w:color w:val="000000" w:themeColor="text1"/>
                            <w:sz w:val="16"/>
                            <w:szCs w:val="16"/>
                          </w:rPr>
                          <w:t>Охорона здоров’я підлітків</w:t>
                        </w:r>
                      </w:p>
                    </w:txbxContent>
                  </v:textbox>
                </v:roundrect>
                <v:roundrect id="Прямоугольник: скругленные углы 12" o:spid="_x0000_s1033" style="position:absolute;left:21701;top:15480;width:8026;height:7339;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tzcWMQA&#10;AADcAAAADwAAAGRycy9kb3ducmV2LnhtbESPQWvCQBSE7wX/w/IEb3VTQbGpqxRB9CDYWnt/ZJ+b&#10;YPZtyD416a/vCoUeh5n5hlmsOl+rG7WxCmzgZZyBIi6CrdgZOH1tnuegoiBbrAOTgZ4irJaDpwXm&#10;Ntz5k25HcSpBOOZooBRpcq1jUZLHOA4NcfLOofUoSbZO2xbvCe5rPcmymfZYcVoosaF1ScXlePUG&#10;MrcPH0XvDvH1Z2v777NcTjMxZjTs3t9ACXXyH/5r76yByXwKjzPpCOjl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rc3FjEAAAA3AAAAA8AAAAAAAAAAAAAAAAAmAIAAGRycy9k&#10;b3ducmV2LnhtbFBLBQYAAAAABAAEAPUAAACJAwAAAAA=&#10;" fillcolor="#ffd5ad" strokecolor="#1f4d78 [1604]" strokeweight="2pt">
                  <v:fill color2="#fff1e5" rotate="t" focusposition=",1" focussize="" colors="0 #ffd5ad;.5 #ffe3cc;1 #fff1e5" focus="100%" type="gradientRadial"/>
                  <v:textbox inset="0,0,0,0">
                    <w:txbxContent>
                      <w:p w:rsidR="0057431A" w:rsidRPr="00876D49" w:rsidRDefault="0057431A" w:rsidP="00FD3E34">
                        <w:pPr>
                          <w:spacing w:line="240" w:lineRule="auto"/>
                          <w:jc w:val="center"/>
                          <w:rPr>
                            <w:b/>
                            <w:color w:val="000000" w:themeColor="text1"/>
                            <w:sz w:val="16"/>
                            <w:szCs w:val="16"/>
                          </w:rPr>
                        </w:pPr>
                        <w:r w:rsidRPr="00876D49">
                          <w:rPr>
                            <w:b/>
                            <w:color w:val="000000" w:themeColor="text1"/>
                            <w:sz w:val="16"/>
                            <w:szCs w:val="16"/>
                          </w:rPr>
                          <w:t>Турбота навколо народження</w:t>
                        </w:r>
                      </w:p>
                    </w:txbxContent>
                  </v:textbox>
                </v:roundrect>
                <v:roundrect id="Прямоугольник: скругленные углы 13" o:spid="_x0000_s1034" style="position:absolute;left:29859;top:15637;width:10414;height:7180;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g5CL8MA&#10;AADcAAAADwAAAGRycy9kb3ducmV2LnhtbESPQWvCQBSE70L/w/IK3nRTD8GmriJCsYeCrdr7I/vc&#10;BLNvQ/apib/eLRR6HGbmG2ax6n2jrtTFOrCBl2kGirgMtmZn4Hh4n8xBRUG22AQmAwNFWC2fRgss&#10;bLjxN1334lSCcCzQQCXSFlrHsiKPcRpa4uSdQudRkuycth3eEtw3epZlufZYc1qosKVNReV5f/EG&#10;MvcZvsrB7eLrfWuHn5Ocj7kYM37u12+ghHr5D/+1P6yB2TyH3zPpCOjl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g5CL8MAAADcAAAADwAAAAAAAAAAAAAAAACYAgAAZHJzL2Rv&#10;d25yZXYueG1sUEsFBgAAAAAEAAQA9QAAAIgDAAAAAA==&#10;" fillcolor="#ffd5ad" strokecolor="#1f4d78 [1604]" strokeweight="2pt">
                  <v:fill color2="#fff1e5" rotate="t" focusposition=",1" focussize="" colors="0 #ffd5ad;.5 #ffe3cc;1 #fff1e5" focus="100%" type="gradientRadial"/>
                  <v:textbox inset="0,0,0,0">
                    <w:txbxContent>
                      <w:p w:rsidR="0057431A" w:rsidRPr="00876D49" w:rsidRDefault="0057431A" w:rsidP="00FD3E34">
                        <w:pPr>
                          <w:spacing w:line="240" w:lineRule="auto"/>
                          <w:jc w:val="center"/>
                          <w:rPr>
                            <w:b/>
                            <w:color w:val="000000" w:themeColor="text1"/>
                            <w:sz w:val="16"/>
                            <w:szCs w:val="16"/>
                          </w:rPr>
                        </w:pPr>
                        <w:r w:rsidRPr="00876D49">
                          <w:rPr>
                            <w:b/>
                            <w:color w:val="000000" w:themeColor="text1"/>
                            <w:sz w:val="16"/>
                            <w:szCs w:val="16"/>
                          </w:rPr>
                          <w:t>Д</w:t>
                        </w:r>
                        <w:r>
                          <w:rPr>
                            <w:b/>
                            <w:color w:val="000000" w:themeColor="text1"/>
                            <w:sz w:val="16"/>
                            <w:szCs w:val="16"/>
                          </w:rPr>
                          <w:t>опомога маловагом</w:t>
                        </w:r>
                        <w:r w:rsidRPr="00876D49">
                          <w:rPr>
                            <w:b/>
                            <w:color w:val="000000" w:themeColor="text1"/>
                            <w:sz w:val="16"/>
                            <w:szCs w:val="16"/>
                          </w:rPr>
                          <w:t>им</w:t>
                        </w:r>
                        <w:r>
                          <w:rPr>
                            <w:b/>
                            <w:color w:val="000000" w:themeColor="text1"/>
                            <w:sz w:val="16"/>
                            <w:szCs w:val="16"/>
                          </w:rPr>
                          <w:t xml:space="preserve"> і хворим новонародженим</w:t>
                        </w:r>
                      </w:p>
                    </w:txbxContent>
                  </v:textbox>
                </v:roundrect>
                <v:roundrect id="Прямоугольник: скругленные углы 16" o:spid="_x0000_s1035" style="position:absolute;left:6285;top:28119;width:55692;height:3688;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tPM88MA&#10;AADdAAAADwAAAGRycy9kb3ducmV2LnhtbERP3WrCMBS+H/gO4Qi7m2nFDalGEUUZbAxrfYBDc2xL&#10;m5OSRNu9/TIY7O58fL9nvR1NJx7kfGNZQTpLQBCXVjdcKbgWx5clCB+QNXaWScE3edhuJk9rzLQd&#10;OKfHJVQihrDPUEEdQp9J6cuaDPqZ7Ykjd7POYIjQVVI7HGK46eQ8Sd6kwYZjQ4097Wsq28vdKBhu&#10;h/DhXtPiKz3l7vxZtPnOt0o9T8fdCkSgMfyL/9zvOs5P5gv4/SaeID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tPM88MAAADdAAAADwAAAAAAAAAAAAAAAACYAgAAZHJzL2Rv&#10;d25yZXYueG1sUEsFBgAAAAAEAAQA9QAAAIgDAAAAAA==&#10;" fillcolor="#d5a6e4" strokecolor="#1f4d78 [1604]" strokeweight="2pt">
                  <v:fill color2="#f1e4f6" rotate="t" focusposition=",1" focussize="" colors="0 #d5a6e4;.5 #e3c8ed;1 #f1e4f6" focus="100%" type="gradientRadial"/>
                  <v:textbox inset="0,0,0,0">
                    <w:txbxContent>
                      <w:p w:rsidR="0057431A" w:rsidRPr="00A460C0" w:rsidRDefault="0057431A" w:rsidP="00FD3E34">
                        <w:pPr>
                          <w:jc w:val="center"/>
                          <w:rPr>
                            <w:b/>
                            <w:color w:val="000000" w:themeColor="text1"/>
                            <w:sz w:val="20"/>
                            <w:szCs w:val="20"/>
                          </w:rPr>
                        </w:pPr>
                        <w:r w:rsidRPr="00A460C0">
                          <w:rPr>
                            <w:b/>
                            <w:color w:val="000000" w:themeColor="text1"/>
                            <w:sz w:val="20"/>
                            <w:szCs w:val="20"/>
                          </w:rPr>
                          <w:t>ЯКІСТЬ ДОПОМОГИ З ІННОВАЦІЯМИ</w:t>
                        </w:r>
                      </w:p>
                    </w:txbxContent>
                  </v:textbox>
                </v:roundrect>
                <v:roundrect id="Прямоугольник: скругленные углы 17" o:spid="_x0000_s1036" style="position:absolute;left:6186;top:32167;width:9679;height:6011;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Z9paMIA&#10;AADdAAAADwAAAGRycy9kb3ducmV2LnhtbERP3WrCMBS+H+wdwhl4N9MKjlGNIhuK4Bir9QEOzbEt&#10;bU5KEm19eyMIuzsf3+9ZrkfTiSs531hWkE4TEMSl1Q1XCk7F9v0ThA/IGjvLpOBGHtar15clZtoO&#10;nNP1GCoRQ9hnqKAOoc+k9GVNBv3U9sSRO1tnMEToKqkdDjHcdHKWJB/SYMOxocaevmoq2+PFKBjO&#10;3+Hg5mnxm+5y9/dTtPnGt0pN3sbNAkSgMfyLn+69jvOT2Rwe38QT5OoO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Nn2lowgAAAN0AAAAPAAAAAAAAAAAAAAAAAJgCAABkcnMvZG93&#10;bnJldi54bWxQSwUGAAAAAAQABAD1AAAAhwMAAAAA&#10;" fillcolor="#d5a6e4" strokecolor="#1f4d78 [1604]" strokeweight="2pt">
                  <v:fill color2="#f1e4f6" rotate="t" focusposition=",1" focussize="" colors="0 #d5a6e4;.5 #e3c8ed;1 #f1e4f6" focus="100%" type="gradientRadial"/>
                  <v:textbox inset="0,0,0,0">
                    <w:txbxContent>
                      <w:p w:rsidR="0057431A" w:rsidRPr="00D21CA4" w:rsidRDefault="0057431A" w:rsidP="00FD3E34">
                        <w:pPr>
                          <w:spacing w:line="240" w:lineRule="auto"/>
                          <w:jc w:val="center"/>
                          <w:rPr>
                            <w:b/>
                            <w:color w:val="000000" w:themeColor="text1"/>
                            <w:sz w:val="18"/>
                            <w:szCs w:val="18"/>
                          </w:rPr>
                        </w:pPr>
                        <w:r w:rsidRPr="00D21CA4">
                          <w:rPr>
                            <w:b/>
                            <w:color w:val="000000" w:themeColor="text1"/>
                            <w:sz w:val="18"/>
                            <w:szCs w:val="18"/>
                          </w:rPr>
                          <w:t>Працівники охорони здоров’я</w:t>
                        </w:r>
                      </w:p>
                    </w:txbxContent>
                  </v:textbox>
                </v:roundrect>
                <v:roundrect id="Прямоугольник: скругленные углы 18" o:spid="_x0000_s1037" style="position:absolute;left:16333;top:32168;width:9535;height:6010;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PJ9ksQA&#10;AADdAAAADwAAAGRycy9kb3ducmV2LnhtbERPTYvCMBC9C/6HMMLeNNWDSjWKKIVdWERdL97GZmyL&#10;zaSbpNr995sFYW/zeJ+zXHemFg9yvrKsYDxKQBDnVldcKDh/ZcM5CB+QNdaWScEPeViv+r0lpto+&#10;+UiPUyhEDGGfooIyhCaV0uclGfQj2xBH7madwRChK6R2+IzhppaTJJlKgxXHhhIb2paU30+tUXDY&#10;fbeZu2wPH8d2386yy/VzP3VKvQ26zQJEoC78i1/udx3nJ5MZ/H0TT5Cr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jyfZLEAAAA3QAAAA8AAAAAAAAAAAAAAAAAmAIAAGRycy9k&#10;b3ducmV2LnhtbFBLBQYAAAAABAAEAPUAAACJAwAAAAA=&#10;" fillcolor="#d5a6e4" strokecolor="#1f4d78 [1604]" strokeweight="2pt">
                  <v:fill color2="#f1e4f6" rotate="t" focusposition="1,1" focussize="" colors="0 #d5a6e4;.5 #e3c8ed;1 #f1e4f6" focus="100%" type="gradientRadial"/>
                  <v:textbox inset="0,0,0,0">
                    <w:txbxContent>
                      <w:p w:rsidR="0057431A" w:rsidRPr="00D21CA4" w:rsidRDefault="0057431A" w:rsidP="00FD3E34">
                        <w:pPr>
                          <w:spacing w:line="240" w:lineRule="auto"/>
                          <w:jc w:val="center"/>
                          <w:rPr>
                            <w:b/>
                            <w:color w:val="000000" w:themeColor="text1"/>
                            <w:sz w:val="18"/>
                            <w:szCs w:val="18"/>
                          </w:rPr>
                        </w:pPr>
                        <w:r w:rsidRPr="00D21CA4">
                          <w:rPr>
                            <w:b/>
                            <w:color w:val="000000" w:themeColor="text1"/>
                            <w:sz w:val="18"/>
                            <w:szCs w:val="18"/>
                          </w:rPr>
                          <w:t>Товари і технології</w:t>
                        </w:r>
                      </w:p>
                    </w:txbxContent>
                  </v:textbox>
                </v:roundrect>
                <v:roundrect id="Прямоугольник: скругленные углы 19" o:spid="_x0000_s1038" style="position:absolute;left:26198;top:32160;width:14547;height:6018;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57G9sYA&#10;AADdAAAADwAAAGRycy9kb3ducmV2LnhtbESP0WrDMAxF3wf9B6PC3lYnhY2R1S2lZaWwMZZmHyBi&#10;NQmJ5WB7Tfb308NgbxL36t6jzW52g7pRiJ1nA/kqA0Vce9txY+Cren14BhUTssXBMxn4oQi77eJu&#10;g4X1E5d0u6RGSQjHAg20KY2F1rFuyWFc+ZFYtKsPDpOsodE24CThbtDrLHvSDjuWhhZHOrRU95dv&#10;Z2C6HtNbeMyrj/xUhs/3qi/3sTfmfjnvX0AlmtO/+e/6bAU/WwuufCMj6O0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57G9sYAAADdAAAADwAAAAAAAAAAAAAAAACYAgAAZHJz&#10;L2Rvd25yZXYueG1sUEsFBgAAAAAEAAQA9QAAAIsDAAAAAA==&#10;" fillcolor="#d5a6e4" strokecolor="#1f4d78 [1604]" strokeweight="2pt">
                  <v:fill color2="#f1e4f6" rotate="t" focusposition=",1" focussize="" colors="0 #d5a6e4;.5 #e3c8ed;1 #f1e4f6" focus="100%" type="gradientRadial"/>
                  <v:textbox inset="0,0,0,0">
                    <w:txbxContent>
                      <w:p w:rsidR="0057431A" w:rsidRPr="00D21CA4" w:rsidRDefault="0057431A" w:rsidP="00FD3E34">
                        <w:pPr>
                          <w:spacing w:line="240" w:lineRule="auto"/>
                          <w:jc w:val="center"/>
                          <w:rPr>
                            <w:b/>
                            <w:color w:val="000000" w:themeColor="text1"/>
                            <w:sz w:val="18"/>
                            <w:szCs w:val="18"/>
                          </w:rPr>
                        </w:pPr>
                        <w:r w:rsidRPr="00D21CA4">
                          <w:rPr>
                            <w:b/>
                            <w:color w:val="000000" w:themeColor="text1"/>
                            <w:sz w:val="18"/>
                            <w:szCs w:val="18"/>
                          </w:rPr>
                          <w:t>Інформаційні системи охорони здоров’я</w:t>
                        </w:r>
                      </w:p>
                    </w:txbxContent>
                  </v:textbox>
                </v:roundrect>
                <v:roundrect id="Прямоугольник: скругленные углы 20" o:spid="_x0000_s1039" style="position:absolute;left:41084;top:32168;width:21026;height:6011;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NJjbcMA&#10;AADdAAAADwAAAGRycy9kb3ducmV2LnhtbERP3WrCMBS+H/gO4Qi7m2kFx6xGEUUZbAxrfYBDc2xL&#10;m5OSRNu9/TIY7O58fL9nvR1NJx7kfGNZQTpLQBCXVjdcKbgWx5c3ED4ga+wsk4Jv8rDdTJ7WmGk7&#10;cE6PS6hEDGGfoYI6hD6T0pc1GfQz2xNH7madwRChq6R2OMRw08l5krxKgw3Hhhp72tdUtpe7UTDc&#10;DuHDLdLiKz3l7vxZtPnOt0o9T8fdCkSgMfyL/9zvOs5P5kv4/SaeID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NJjbcMAAADdAAAADwAAAAAAAAAAAAAAAACYAgAAZHJzL2Rv&#10;d25yZXYueG1sUEsFBgAAAAAEAAQA9QAAAIgDAAAAAA==&#10;" fillcolor="#d5a6e4" strokecolor="#1f4d78 [1604]" strokeweight="2pt">
                  <v:fill color2="#f1e4f6" rotate="t" focusposition=",1" focussize="" colors="0 #d5a6e4;.5 #e3c8ed;1 #f1e4f6" focus="100%" type="gradientRadial"/>
                  <v:textbox inset="0,0,0,0">
                    <w:txbxContent>
                      <w:p w:rsidR="0057431A" w:rsidRPr="00792B34" w:rsidRDefault="0057431A" w:rsidP="00FD3E34">
                        <w:pPr>
                          <w:spacing w:line="240" w:lineRule="auto"/>
                          <w:jc w:val="center"/>
                          <w:rPr>
                            <w:b/>
                            <w:color w:val="000000" w:themeColor="text1"/>
                            <w:sz w:val="18"/>
                            <w:szCs w:val="18"/>
                          </w:rPr>
                        </w:pPr>
                        <w:r w:rsidRPr="00792B34">
                          <w:rPr>
                            <w:b/>
                            <w:color w:val="000000" w:themeColor="text1"/>
                            <w:sz w:val="18"/>
                            <w:szCs w:val="18"/>
                          </w:rPr>
                          <w:t>Громада з розширення прав і</w:t>
                        </w:r>
                        <w:r w:rsidRPr="00792B34">
                          <w:rPr>
                            <w:color w:val="000000" w:themeColor="text1"/>
                            <w:sz w:val="18"/>
                            <w:szCs w:val="18"/>
                          </w:rPr>
                          <w:t xml:space="preserve"> </w:t>
                        </w:r>
                        <w:r w:rsidRPr="00792B34">
                          <w:rPr>
                            <w:b/>
                            <w:color w:val="000000" w:themeColor="text1"/>
                            <w:sz w:val="18"/>
                            <w:szCs w:val="18"/>
                          </w:rPr>
                          <w:t>можливостей і</w:t>
                        </w:r>
                      </w:p>
                      <w:p w:rsidR="0057431A" w:rsidRPr="00792B34" w:rsidRDefault="0057431A" w:rsidP="00FD3E34">
                        <w:pPr>
                          <w:jc w:val="center"/>
                          <w:rPr>
                            <w:b/>
                            <w:sz w:val="18"/>
                            <w:szCs w:val="18"/>
                          </w:rPr>
                        </w:pPr>
                        <w:r>
                          <w:rPr>
                            <w:b/>
                            <w:color w:val="000000" w:themeColor="text1"/>
                            <w:sz w:val="18"/>
                            <w:szCs w:val="18"/>
                          </w:rPr>
                          <w:t>здорова поведінка вдома</w:t>
                        </w:r>
                      </w:p>
                    </w:txbxContent>
                  </v:textbox>
                </v:roundrect>
                <v:roundrect id="Прямоугольник: скругленные углы 22" o:spid="_x0000_s1040" style="position:absolute;left:48992;top:17371;width:7101;height:7254;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5V4EMQA&#10;AADdAAAADwAAAGRycy9kb3ducmV2LnhtbESPQUsDQQyF74L/YUjBm52pQtG10yKC6EFQ23oPO+ns&#10;0p3MshPbXX+9OQjeEt7Le19WmzF15kRDaTN7WMwdGOI6h5ajh/3u+foOTBHkgF1m8jBRgc368mKF&#10;Vchn/qTTVqLREC4VemhE+sraUjeUsMxzT6zaIQ8JRdch2jDgWcNTZ2+cW9qELWtDgz09NVQft9/J&#10;g4tv+aOe4nu5/3kJ09dBjvuleH81Gx8fwAiN8m/+u34Niu9ulV+/0RHs+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eVeBDEAAAA3QAAAA8AAAAAAAAAAAAAAAAAmAIAAGRycy9k&#10;b3ducmV2LnhtbFBLBQYAAAAABAAEAPUAAACJAwAAAAA=&#10;" fillcolor="#ffd5ad" strokecolor="#1f4d78 [1604]" strokeweight="2pt">
                  <v:fill color2="#fff1e5" rotate="t" focusposition=",1" focussize="" colors="0 #ffd5ad;.5 #ffe3cc;1 #fff1e5" focus="100%" type="gradientRadial"/>
                  <v:textbox inset="0,0,0,0">
                    <w:txbxContent>
                      <w:p w:rsidR="0057431A" w:rsidRPr="00876D49" w:rsidRDefault="0057431A" w:rsidP="00FD3E34">
                        <w:pPr>
                          <w:spacing w:line="240" w:lineRule="auto"/>
                          <w:jc w:val="center"/>
                          <w:rPr>
                            <w:b/>
                            <w:color w:val="000000" w:themeColor="text1"/>
                            <w:sz w:val="16"/>
                            <w:szCs w:val="16"/>
                          </w:rPr>
                        </w:pPr>
                        <w:r w:rsidRPr="00876D49">
                          <w:rPr>
                            <w:b/>
                            <w:color w:val="000000" w:themeColor="text1"/>
                            <w:sz w:val="16"/>
                            <w:szCs w:val="16"/>
                          </w:rPr>
                          <w:t>Охорона здоров’я та розвитку дитини</w:t>
                        </w:r>
                      </w:p>
                    </w:txbxContent>
                  </v:textbox>
                </v:roundrect>
                <v:roundrect id="Прямоугольник: скругленные углы 23" o:spid="_x0000_s1041" style="position:absolute;left:40342;top:17662;width:8582;height:4633;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D7QucMA&#10;AADdAAAADwAAAGRycy9kb3ducmV2LnhtbERPyWrDMBC9F/IPYgK9NbJbcIIbJSQ1pgXTQ5beB2tq&#10;m1ojY6le/r4KBHqbx1tnu59MKwbqXWNZQbyKQBCXVjdcKbhe8qcNCOeRNbaWScFMDva7xcMWU21H&#10;PtFw9pUIIexSVFB736VSurImg25lO+LAfdveoA+wr6TucQzhppXPUZRIgw2Hhho7equp/Dn/GgXN&#10;qciS+Pi+nquvzzzPijJbF06px+V0eAXhafL/4rv7Q4f50UsMt2/CCXL3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D7QucMAAADdAAAADwAAAAAAAAAAAAAAAACYAgAAZHJzL2Rv&#10;d25yZXYueG1sUEsFBgAAAAAEAAQA9QAAAIgDAAAAAA==&#10;" fillcolor="#ffd5ad" strokecolor="#1f4d78 [1604]" strokeweight="2pt">
                  <v:fill color2="#fff1e5" rotate="t" focusposition=",1" focussize="" colors="0 #ffd5ad;.5 #ffe3cc;1 #fff1e5" focus="100%" type="gradientRadial"/>
                  <v:textbox inset="0,0,0,0">
                    <w:txbxContent>
                      <w:p w:rsidR="0057431A" w:rsidRPr="005115AA" w:rsidRDefault="0057431A" w:rsidP="00FD3E34">
                        <w:pPr>
                          <w:spacing w:line="240" w:lineRule="auto"/>
                          <w:jc w:val="center"/>
                          <w:rPr>
                            <w:b/>
                            <w:color w:val="000000" w:themeColor="text1"/>
                            <w:sz w:val="16"/>
                            <w:szCs w:val="16"/>
                          </w:rPr>
                        </w:pPr>
                        <w:r w:rsidRPr="005115AA">
                          <w:rPr>
                            <w:b/>
                            <w:color w:val="000000" w:themeColor="text1"/>
                            <w:sz w:val="16"/>
                            <w:szCs w:val="16"/>
                          </w:rPr>
                          <w:t>Постнатальна допомога</w:t>
                        </w:r>
                      </w:p>
                    </w:txbxContent>
                  </v:textbox>
                </v:roundrect>
                <v:roundrect id="Прямоугольник: скругленные углы 24" o:spid="_x0000_s1042" style="position:absolute;left:14791;top:17072;width:6681;height:7115;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AtD/MMA&#10;AADdAAAADwAAAGRycy9kb3ducmV2LnhtbERPTUsDMRC9F/wPYQRvbWKFUtemRYSiB0G7rfdhM80u&#10;3UyWzbTd9dcbQfA2j/c5q80QWnWhPjWRLdzPDCjiKrqGvYXDfjtdgkqC7LCNTBZGSrBZ30xWWLh4&#10;5R1dSvEqh3Aq0EIt0hVap6qmgGkWO+LMHWMfUDLsvXY9XnN4aPXcmIUO2HBuqLGjl5qqU3kOFox/&#10;j5/V6D/S4/erG7+OcjosxNq72+H5CZTQIP/iP/eby/PNwxx+v8kn6PU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AtD/MMAAADdAAAADwAAAAAAAAAAAAAAAACYAgAAZHJzL2Rv&#10;d25yZXYueG1sUEsFBgAAAAAEAAQA9QAAAIgDAAAAAA==&#10;" fillcolor="#ffd5ad" strokecolor="#1f4d78 [1604]" strokeweight="2pt">
                  <v:fill color2="#fff1e5" rotate="t" focusposition=",1" focussize="" colors="0 #ffd5ad;.5 #ffe3cc;1 #fff1e5" focus="100%" type="gradientRadial"/>
                  <v:textbox inset="0,0,0,0">
                    <w:txbxContent>
                      <w:p w:rsidR="0057431A" w:rsidRPr="00DF1999" w:rsidRDefault="0057431A" w:rsidP="00FD3E34">
                        <w:pPr>
                          <w:jc w:val="center"/>
                          <w:rPr>
                            <w:b/>
                            <w:color w:val="000000" w:themeColor="text1"/>
                            <w:sz w:val="16"/>
                            <w:szCs w:val="16"/>
                          </w:rPr>
                        </w:pPr>
                        <w:r w:rsidRPr="00DF1999">
                          <w:rPr>
                            <w:b/>
                            <w:color w:val="000000" w:themeColor="text1"/>
                            <w:sz w:val="16"/>
                            <w:szCs w:val="16"/>
                          </w:rPr>
                          <w:t>Догляд за вагітними</w:t>
                        </w:r>
                      </w:p>
                    </w:txbxContent>
                  </v:textbox>
                </v:roundrect>
                <v:roundrect id="Прямоугольник: скругленные углы 25" o:spid="_x0000_s1043" style="position:absolute;left:5194;top:18426;width:9108;height:6202;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6DrVcQA&#10;AADdAAAADwAAAGRycy9kb3ducmV2LnhtbERPTWuDQBC9B/oflin0FtdUSIrJJqQVaUF60Cb3wZ2o&#10;xJ0Vd2vMv+8WCr3N433O7jCbXkw0us6yglUUgyCure64UXD6ypcvIJxH1thbJgV3cnDYPyx2mGp7&#10;45KmyjcihLBLUUHr/ZBK6eqWDLrIDsSBu9jRoA9wbKQe8RbCTS+f43gtDXYcGloc6K2l+lp9GwVd&#10;WWTr1ev75t6cP/M8K+psUzilnh7n4xaEp9n/i//cHzrMj5MEfr8JJ8j9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ug61XEAAAA3QAAAA8AAAAAAAAAAAAAAAAAmAIAAGRycy9k&#10;b3ducmV2LnhtbFBLBQYAAAAABAAEAPUAAACJAwAAAAA=&#10;" fillcolor="#ffd5ad" strokecolor="#1f4d78 [1604]" strokeweight="2pt">
                  <v:fill color2="#fff1e5" rotate="t" focusposition=",1" focussize="" colors="0 #ffd5ad;.5 #ffe3cc;1 #fff1e5" focus="100%" type="gradientRadial"/>
                  <v:textbox inset="0,0,0,0">
                    <w:txbxContent>
                      <w:p w:rsidR="0057431A" w:rsidRDefault="0057431A" w:rsidP="00FD3E34">
                        <w:pPr>
                          <w:spacing w:line="240" w:lineRule="auto"/>
                          <w:jc w:val="center"/>
                          <w:rPr>
                            <w:b/>
                            <w:color w:val="000000" w:themeColor="text1"/>
                            <w:sz w:val="16"/>
                            <w:szCs w:val="16"/>
                          </w:rPr>
                        </w:pPr>
                        <w:r w:rsidRPr="00EB2229">
                          <w:rPr>
                            <w:b/>
                            <w:color w:val="000000" w:themeColor="text1"/>
                            <w:sz w:val="16"/>
                            <w:szCs w:val="16"/>
                          </w:rPr>
                          <w:t xml:space="preserve">Репродуктивна </w:t>
                        </w:r>
                        <w:r>
                          <w:rPr>
                            <w:b/>
                            <w:color w:val="000000" w:themeColor="text1"/>
                            <w:sz w:val="16"/>
                            <w:szCs w:val="16"/>
                          </w:rPr>
                          <w:t>охорона</w:t>
                        </w:r>
                      </w:p>
                      <w:p w:rsidR="0057431A" w:rsidRPr="00EB2229" w:rsidRDefault="0057431A" w:rsidP="00FD3E34">
                        <w:pPr>
                          <w:spacing w:line="240" w:lineRule="auto"/>
                          <w:jc w:val="center"/>
                          <w:rPr>
                            <w:b/>
                            <w:color w:val="000000" w:themeColor="text1"/>
                            <w:sz w:val="16"/>
                            <w:szCs w:val="16"/>
                          </w:rPr>
                        </w:pPr>
                        <w:r w:rsidRPr="00EB2229">
                          <w:rPr>
                            <w:b/>
                            <w:color w:val="000000" w:themeColor="text1"/>
                            <w:sz w:val="16"/>
                            <w:szCs w:val="16"/>
                          </w:rPr>
                          <w:t>здоров’я</w:t>
                        </w:r>
                      </w:p>
                    </w:txbxContent>
                  </v:textbox>
                </v:roundre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Стрелка: вверх 27" o:spid="_x0000_s1044" type="#_x0000_t68" style="position:absolute;left:-552;top:11927;width:5611;height:133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pwudsQA&#10;AADdAAAADwAAAGRycy9kb3ducmV2LnhtbERPTYvCMBC9L/gfwgheZE3VRaQaZXFXFNGDrngem7Et&#10;20xKE2v990YQvM3jfc503phC1FS53LKCfi8CQZxYnXOq4Pi3/ByDcB5ZY2GZFNzJwXzW+phirO2N&#10;91QffCpCCLsYFWTel7GULsnIoOvZkjhwF1sZ9AFWqdQV3kK4KeQgikbSYM6hIcOSFhkl/4erUbBc&#10;/W5220G6OR233fPPsOvX9X6nVKfdfE9AeGr8W/xyr3WYHw2/4PlNOEHOH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qcLnbEAAAA3QAAAA8AAAAAAAAAAAAAAAAAmAIAAGRycy9k&#10;b3ducmV2LnhtbFBLBQYAAAAABAAEAPUAAACJAwAAAAA=&#10;" adj="4525" fillcolor="#bdd6ee [1300]" strokecolor="#1f4d78 [1604]" strokeweight="2pt">
                  <v:textbox style="layout-flow:vertical;mso-layout-flow-alt:bottom-to-top" inset="1mm,1mm,1mm,1mm">
                    <w:txbxContent>
                      <w:p w:rsidR="0057431A" w:rsidRPr="00BF1548" w:rsidRDefault="0057431A" w:rsidP="00FD3E34">
                        <w:pPr>
                          <w:spacing w:line="240" w:lineRule="auto"/>
                          <w:rPr>
                            <w:b/>
                            <w:color w:val="000000" w:themeColor="text1"/>
                            <w:sz w:val="18"/>
                            <w:szCs w:val="18"/>
                          </w:rPr>
                        </w:pPr>
                        <w:r w:rsidRPr="00BF1548">
                          <w:rPr>
                            <w:b/>
                            <w:color w:val="000000" w:themeColor="text1"/>
                            <w:sz w:val="18"/>
                            <w:szCs w:val="18"/>
                          </w:rPr>
                          <w:t>РЕЗУЛЬТАТ</w:t>
                        </w:r>
                        <w:r>
                          <w:rPr>
                            <w:b/>
                            <w:color w:val="000000" w:themeColor="text1"/>
                            <w:sz w:val="18"/>
                            <w:szCs w:val="18"/>
                          </w:rPr>
                          <w:t>И</w:t>
                        </w:r>
                      </w:p>
                    </w:txbxContent>
                  </v:textbox>
                </v:shape>
                <v:shape id="Стрелка: вверх 29" o:spid="_x0000_s1045" type="#_x0000_t68" style="position:absolute;left:-698;top:26380;width:5892;height:104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yCtR8QA&#10;AADdAAAADwAAAGRycy9kb3ducmV2LnhtbERPTWvCQBC9C/0Pywi9SN1tSoukrqEUpIKnRg85TrNj&#10;EszOhuyaRH+9Wyj0No/3Oetssq0YqPeNYw3PSwWCuHSm4UrD8bB9WoHwAdlg65g0XMlDtnmYrTE1&#10;buRvGvJQiRjCPkUNdQhdKqUva7Lol64jjtzJ9RZDhH0lTY9jDLetTJR6kxYbjg01dvRZU3nOL1bD&#10;z4F3q72SSe7ORWNuX8XChELrx/n08Q4i0BT+xX/unYnz1csr/H4TT5Cb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cgrUfEAAAA3QAAAA8AAAAAAAAAAAAAAAAAmAIAAGRycy9k&#10;b3ducmV2LnhtbFBLBQYAAAAABAAEAPUAAACJAwAAAAA=&#10;" adj="6078" fillcolor="#9ab5e4" strokecolor="#1f4d78 [1604]" strokeweight="2pt">
                  <v:fill color2="#e1e8f5" rotate="t" focusposition=",1" focussize="" colors="0 #9ab5e4;.5 #c2d1ed;1 #e1e8f5" focus="100%" type="gradientRadial">
                    <o:fill v:ext="view" type="gradientCenter"/>
                  </v:fill>
                  <v:textbox style="layout-flow:vertical;mso-layout-flow-alt:bottom-to-top" inset="0,0,0,0">
                    <w:txbxContent>
                      <w:p w:rsidR="0057431A" w:rsidRPr="00D25139" w:rsidRDefault="0057431A" w:rsidP="00FD3E34">
                        <w:pPr>
                          <w:jc w:val="center"/>
                          <w:rPr>
                            <w:b/>
                            <w:color w:val="000000" w:themeColor="text1"/>
                            <w:sz w:val="18"/>
                            <w:szCs w:val="18"/>
                          </w:rPr>
                        </w:pPr>
                        <w:r>
                          <w:rPr>
                            <w:b/>
                            <w:color w:val="000000" w:themeColor="text1"/>
                            <w:sz w:val="18"/>
                            <w:szCs w:val="18"/>
                          </w:rPr>
                          <w:t>ВИХІДНІ</w:t>
                        </w:r>
                      </w:p>
                    </w:txbxContent>
                  </v:textbox>
                </v:shape>
                <v:roundrect id="Прямоугольник: скругленные углы 30" o:spid="_x0000_s1046" style="position:absolute;left:6282;top:38555;width:55963;height:4909;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GcPesIA&#10;AADdAAAADwAAAGRycy9kb3ducmV2LnhtbERPS27CMBDdI/UO1lTqDhwoitoUgygSnx2Q9gDTeEii&#10;xuPIdiDcHiMhsZun953ZojeNOJPztWUF41ECgriwuuZSwe/PevgBwgdkjY1lUnAlD4v5y2CGmbYX&#10;PtI5D6WIIewzVFCF0GZS+qIig35kW+LInawzGCJ0pdQOLzHcNHKSJKk0WHNsqLClVUXFf94ZBdO/&#10;5WZ8cNvTmvPvunPpZ1fstVJvr/3yC0SgPjzFD/dOx/nJewr3b+IJcn4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sZw96wgAAAN0AAAAPAAAAAAAAAAAAAAAAAJgCAABkcnMvZG93&#10;bnJldi54bWxQSwUGAAAAAAQABAD1AAAAhwMAAAAA&#10;" fillcolor="#d5a6e4" strokecolor="#1f4d78 [1604]" strokeweight="2pt">
                  <v:fill color2="#f1e4f6" rotate="t" angle="315" colors="0 #d5a6e4;.5 #e3c8ed;1 #f1e4f6" focus="100%" type="gradient"/>
                  <v:textbox inset="0,0,0,0">
                    <w:txbxContent>
                      <w:p w:rsidR="0057431A" w:rsidRPr="00FB10EF" w:rsidRDefault="0057431A" w:rsidP="0007105C">
                        <w:pPr>
                          <w:spacing w:line="220" w:lineRule="exact"/>
                          <w:jc w:val="center"/>
                          <w:rPr>
                            <w:b/>
                            <w:color w:val="000000" w:themeColor="text1"/>
                          </w:rPr>
                        </w:pPr>
                        <w:r w:rsidRPr="00FB10EF">
                          <w:rPr>
                            <w:b/>
                            <w:color w:val="000000" w:themeColor="text1"/>
                          </w:rPr>
                          <w:t xml:space="preserve">Облік кожної жінки, кожного новонародженого, кожної дитини:      </w:t>
                        </w:r>
                        <w:r w:rsidRPr="00FB10EF">
                          <w:rPr>
                            <w:b/>
                            <w:color w:val="000000" w:themeColor="text1"/>
                            <w:sz w:val="18"/>
                            <w:szCs w:val="18"/>
                          </w:rPr>
                          <w:t>Підзвітність і дані для досягнення справедливості</w:t>
                        </w:r>
                      </w:p>
                    </w:txbxContent>
                  </v:textbox>
                </v:roundrect>
                <v:roundrect id="Прямоугольник: скругленные углы 31" o:spid="_x0000_s1047" style="position:absolute;left:6062;top:43910;width:56051;height:3433;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S2cecMA&#10;AADdAAAADwAAAGRycy9kb3ducmV2LnhtbERPTWvCQBC9F/wPyxS81d1WaEt0FbEIuaSQWAq9Ddkx&#10;CWZnQ3ZN4r93BaG3ebzPWW8n24qBet841vC6UCCIS2carjT8HA8vnyB8QDbYOiYNV/Kw3cye1pgY&#10;N3JOQxEqEUPYJ6ihDqFLpPRlTRb9wnXEkTu53mKIsK+k6XGM4baVb0q9S4sNx4YaO9rXVJ6Li9XQ&#10;LdNGjd82y7+Ct0f+zf4uVab1/HnarUAEmsK/+OFOTZyvlh9w/yaeIDc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S2cecMAAADdAAAADwAAAAAAAAAAAAAAAACYAgAAZHJzL2Rv&#10;d25yZXYueG1sUEsFBgAAAAAEAAQA9QAAAIgDAAAAAA==&#10;" fillcolor="#fff2cc [663]" strokecolor="#1f4d78 [1604]" strokeweight="2pt">
                  <v:textbox inset="0,0,0,0">
                    <w:txbxContent>
                      <w:p w:rsidR="0057431A" w:rsidRPr="00FB10EF" w:rsidRDefault="0057431A" w:rsidP="00FD3E34">
                        <w:pPr>
                          <w:jc w:val="center"/>
                          <w:rPr>
                            <w:b/>
                            <w:color w:val="000000" w:themeColor="text1"/>
                          </w:rPr>
                        </w:pPr>
                        <w:r w:rsidRPr="00FB10EF">
                          <w:rPr>
                            <w:b/>
                            <w:color w:val="000000" w:themeColor="text1"/>
                          </w:rPr>
                          <w:t xml:space="preserve">Керівництво, </w:t>
                        </w:r>
                        <w:r w:rsidRPr="00FB10EF">
                          <w:rPr>
                            <w:b/>
                            <w:color w:val="000000" w:themeColor="text1"/>
                            <w:lang w:val="en-US"/>
                          </w:rPr>
                          <w:t>управління</w:t>
                        </w:r>
                        <w:r w:rsidRPr="00FB10EF">
                          <w:rPr>
                            <w:b/>
                            <w:color w:val="000000" w:themeColor="text1"/>
                          </w:rPr>
                          <w:t>, партнерство і фінансування</w:t>
                        </w:r>
                      </w:p>
                    </w:txbxContent>
                  </v:textbox>
                </v:roundrect>
                <v:shape id="Стрелка: вверх 32" o:spid="_x0000_s1048" type="#_x0000_t68" style="position:absolute;left:-473;top:37429;width:5667;height:99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AXmcQA&#10;AADdAAAADwAAAGRycy9kb3ducmV2LnhtbESPTWvDMAyG74P9B6NBb6u9tXQjrVvCYNBrszF2VGM1&#10;SRvLIXaTdL9+Ogx2k9D78Wizm3yrBupjE9jC09yAIi6Da7iy8Pnx/vgKKiZkh21gsnCjCLvt/d0G&#10;MxdGPtBQpEpJCMcMLdQpdZnWsazJY5yHjlhup9B7TLL2lXY9jhLuW/1szEp7bFgaauzorabyUly9&#10;lKyupng5/4x5MXyl/HhcLs3t29rZw5SvQSWa0r/4z713gm8WgivfyAh6+w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yAF5nEAAAA3QAAAA8AAAAAAAAAAAAAAAAAmAIAAGRycy9k&#10;b3ducmV2LnhtbFBLBQYAAAAABAAEAPUAAACJAwAAAAA=&#10;" adj="6163" fillcolor="#9ab5e4" strokecolor="#1f4d78 [1604]" strokeweight="2pt">
                  <v:fill color2="#e1e8f5" rotate="t" focusposition=",1" focussize="" colors="0 #9ab5e4;.5 #c2d1ed;1 #e1e8f5" focus="100%" type="gradientRadial">
                    <o:fill v:ext="view" type="gradientCenter"/>
                  </v:fill>
                  <v:textbox style="layout-flow:vertical;mso-layout-flow-alt:bottom-to-top" inset="0,0,0,0">
                    <w:txbxContent>
                      <w:p w:rsidR="0057431A" w:rsidRPr="00D25139" w:rsidRDefault="0057431A" w:rsidP="00FD3E34">
                        <w:pPr>
                          <w:jc w:val="center"/>
                          <w:rPr>
                            <w:b/>
                            <w:color w:val="000000" w:themeColor="text1"/>
                            <w:sz w:val="18"/>
                            <w:szCs w:val="18"/>
                          </w:rPr>
                        </w:pPr>
                        <w:r w:rsidRPr="00D25139">
                          <w:rPr>
                            <w:b/>
                            <w:color w:val="000000" w:themeColor="text1"/>
                            <w:sz w:val="18"/>
                            <w:szCs w:val="18"/>
                          </w:rPr>
                          <w:t>ВХІДНІ</w:t>
                        </w:r>
                      </w:p>
                    </w:txbxContent>
                  </v:textbox>
                </v:shape>
                <v:roundrect id="Прямоугольник: скругленные углы 33" o:spid="_x0000_s1049" style="position:absolute;left:4518;top:47372;width:57359;height:2543;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tRGzsQA&#10;AADdAAAADwAAAGRycy9kb3ducmV2LnhtbERPS2vCQBC+F/wPywje6sYWikY3In2A1kNr9JDjkJ08&#10;MDsbsqtJ/fVdodDbfHzPWa0H04grda62rGA2jUAQ51bXXCo4HT8e5yCcR9bYWCYFP+RgnYweVhhr&#10;2/OBrqkvRQhhF6OCyvs2ltLlFRl0U9sSB66wnUEfYFdK3WEfwk0jn6LoRRqsOTRU2NJrRfk5vRgF&#10;9ZvOvvfs7Gd2y776gvPb7n2u1GQ8bJYgPA3+X/zn3uowP3pewP2bcIJM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LURs7EAAAA3QAAAA8AAAAAAAAAAAAAAAAAmAIAAGRycy9k&#10;b3ducmV2LnhtbFBLBQYAAAAABAAEAPUAAACJAwAAAAA=&#10;" filled="f" stroked="f" strokeweight="2pt">
                  <v:textbox inset="0,0,0,0">
                    <w:txbxContent>
                      <w:p w:rsidR="0057431A" w:rsidRPr="00B75878" w:rsidRDefault="0057431A" w:rsidP="00FD3E34">
                        <w:pPr>
                          <w:spacing w:line="240" w:lineRule="auto"/>
                          <w:jc w:val="center"/>
                          <w:rPr>
                            <w:b/>
                            <w:color w:val="000000" w:themeColor="text1"/>
                            <w:sz w:val="20"/>
                            <w:szCs w:val="20"/>
                          </w:rPr>
                        </w:pPr>
                        <w:r w:rsidRPr="00B75878">
                          <w:rPr>
                            <w:b/>
                            <w:color w:val="000000" w:themeColor="text1"/>
                            <w:sz w:val="20"/>
                            <w:szCs w:val="20"/>
                          </w:rPr>
                          <w:t>Контекстуальні фактори: епідеміологічні, довкілля, економічні і соціо-культуральні</w:t>
                        </w:r>
                      </w:p>
                    </w:txbxContent>
                  </v:textbox>
                </v:roundrect>
                <v:shape id="Арка 15" o:spid="_x0000_s1050" style="position:absolute;left:6483;top:23458;width:55404;height:10092;visibility:visible;mso-wrap-style:square;v-text-anchor:top" coordsize="5540438,1100166"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DSIMQA&#10;AADcAAAADwAAAGRycy9kb3ducmV2LnhtbESPQWsCMRSE70L/Q3gFb5rVg11Wo2ih4MEeqoJ4e26e&#10;m8XNy7LJavz3TaHgcZiZb5jFKtpG3KnztWMFk3EGgrh0uuZKwfHwNcpB+ICssXFMCp7kYbV8Gyyw&#10;0O7BP3Tfh0okCPsCFZgQ2kJKXxqy6MeuJU7e1XUWQ5JdJXWHjwS3jZxm2UxarDktGGzp01B52/dW&#10;wfc6trm5+J3bTvrz6dlvZucQlRq+x/UcRKAYXuH/9lYrmOYf8HcmHQG5/A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6A0iDEAAAA3AAAAA8AAAAAAAAAAAAAAAAAmAIAAGRycy9k&#10;b3ducmV2LnhtbFBLBQYAAAAABAAEAPUAAACJAwAAAAA=&#10;" adj="-11796480,,5400" path="m,550083c,246281,1240269,,2770219,,4300169,,5540438,246281,5540438,550083r-275041,c5265397,398181,4148268,275041,2770219,275041v-1378049,,-2495178,123140,-2495178,275042l,550083xe" fillcolor="#d9e2f3 [664]" strokecolor="#1f4d78 [1604]" strokeweight="2pt">
                  <v:stroke joinstyle="miter"/>
                  <v:formulas/>
                  <v:path arrowok="t" o:connecttype="custom" o:connectlocs="0,5046;27702,0;55404,5046;52654,5046;27702,2523;2750,5046;0,5046" o:connectangles="0,0,0,0,0,0,0" textboxrect="0,0,5540438,1100166"/>
                  <v:textbox inset="0,1mm,0,0">
                    <w:txbxContent>
                      <w:p w:rsidR="0057431A" w:rsidRPr="00033B2A" w:rsidRDefault="0057431A" w:rsidP="00FD3E34">
                        <w:pPr>
                          <w:jc w:val="center"/>
                          <w:rPr>
                            <w:b/>
                            <w:color w:val="000000" w:themeColor="text1"/>
                          </w:rPr>
                        </w:pPr>
                        <w:r>
                          <w:rPr>
                            <w:b/>
                            <w:color w:val="000000" w:themeColor="text1"/>
                          </w:rPr>
                          <w:t>УНІВЕРСАЛЬНЕ ОХОПЛЕННЯ</w:t>
                        </w:r>
                      </w:p>
                    </w:txbxContent>
                  </v:textbox>
                </v:shape>
                <w10:anchorlock/>
              </v:group>
            </w:pict>
          </mc:Fallback>
        </mc:AlternateContent>
      </w:r>
    </w:p>
    <w:p w:rsidR="00D075C5" w:rsidRPr="009912A2" w:rsidRDefault="00DD0C36" w:rsidP="009912A2">
      <w:pPr>
        <w:widowControl w:val="0"/>
        <w:spacing w:after="200"/>
        <w:ind w:firstLine="709"/>
        <w:rPr>
          <w:rFonts w:eastAsia="Calibri"/>
          <w:color w:val="000000" w:themeColor="text1"/>
          <w:szCs w:val="28"/>
        </w:rPr>
      </w:pPr>
      <w:r w:rsidRPr="001C60D5">
        <w:rPr>
          <w:rFonts w:eastAsia="Times New Roman"/>
          <w:bCs/>
          <w:color w:val="000000" w:themeColor="text1"/>
          <w:szCs w:val="28"/>
        </w:rPr>
        <w:t>Рис. 1.</w:t>
      </w:r>
      <w:r w:rsidR="00B53F22" w:rsidRPr="001C60D5">
        <w:rPr>
          <w:rFonts w:eastAsia="Times New Roman"/>
          <w:bCs/>
          <w:color w:val="000000" w:themeColor="text1"/>
          <w:szCs w:val="28"/>
        </w:rPr>
        <w:t>1</w:t>
      </w:r>
      <w:r w:rsidR="00A4502A">
        <w:rPr>
          <w:rFonts w:eastAsia="Times New Roman"/>
          <w:bCs/>
          <w:color w:val="000000" w:themeColor="text1"/>
          <w:szCs w:val="28"/>
          <w:lang w:val="ru-RU"/>
        </w:rPr>
        <w:t>.</w:t>
      </w:r>
      <w:r w:rsidRPr="001C60D5">
        <w:rPr>
          <w:rFonts w:eastAsia="Times New Roman"/>
          <w:bCs/>
          <w:color w:val="000000" w:themeColor="text1"/>
          <w:szCs w:val="28"/>
        </w:rPr>
        <w:t xml:space="preserve"> Структура впливу на кожну дитину з попередження дитячої смертності </w:t>
      </w:r>
      <w:r w:rsidRPr="001C60D5">
        <w:rPr>
          <w:rFonts w:eastAsia="Calibri"/>
          <w:color w:val="000000" w:themeColor="text1"/>
          <w:szCs w:val="28"/>
        </w:rPr>
        <w:t>(джерело: Every Newborn: an action</w:t>
      </w:r>
      <w:r w:rsidR="002F32BA">
        <w:rPr>
          <w:rFonts w:eastAsia="Calibri"/>
          <w:color w:val="000000" w:themeColor="text1"/>
          <w:szCs w:val="28"/>
        </w:rPr>
        <w:t xml:space="preserve"> plan to end preventable deaths</w:t>
      </w:r>
      <w:r w:rsidR="009912A2" w:rsidRPr="009912A2">
        <w:rPr>
          <w:rFonts w:eastAsia="Calibri"/>
          <w:color w:val="000000" w:themeColor="text1"/>
          <w:szCs w:val="28"/>
        </w:rPr>
        <w:t>)</w:t>
      </w:r>
    </w:p>
    <w:p w:rsidR="00323DA9" w:rsidRPr="009B3E8D" w:rsidRDefault="00D075C5" w:rsidP="009B3E8D">
      <w:pPr>
        <w:ind w:firstLine="709"/>
        <w:rPr>
          <w:rFonts w:eastAsia="Calibri"/>
          <w:szCs w:val="28"/>
        </w:rPr>
      </w:pPr>
      <w:r w:rsidRPr="00D075C5">
        <w:rPr>
          <w:rFonts w:eastAsia="Calibri"/>
          <w:szCs w:val="28"/>
        </w:rPr>
        <w:t>Слід зазначити, що на даний час провідними міжнародними правовими документами, що регулюють державні політики з питань охорони здоров'я дітей у  Європейс</w:t>
      </w:r>
      <w:r w:rsidR="00C9296F">
        <w:rPr>
          <w:rFonts w:eastAsia="Calibri"/>
          <w:szCs w:val="28"/>
        </w:rPr>
        <w:t xml:space="preserve">ькому регіоні, і в тому числі </w:t>
      </w:r>
      <w:r w:rsidR="00C9296F">
        <w:rPr>
          <w:rFonts w:eastAsia="Calibri"/>
          <w:szCs w:val="28"/>
          <w:lang w:val="ru-RU"/>
        </w:rPr>
        <w:t xml:space="preserve">в </w:t>
      </w:r>
      <w:r w:rsidR="00C9296F">
        <w:rPr>
          <w:rFonts w:eastAsia="Calibri"/>
          <w:szCs w:val="28"/>
        </w:rPr>
        <w:t>Україн</w:t>
      </w:r>
      <w:r w:rsidR="00C9296F">
        <w:rPr>
          <w:rFonts w:eastAsia="Calibri"/>
          <w:szCs w:val="28"/>
          <w:lang w:val="ru-RU"/>
        </w:rPr>
        <w:t>і</w:t>
      </w:r>
      <w:r w:rsidRPr="00D075C5">
        <w:rPr>
          <w:rFonts w:eastAsia="Calibri"/>
          <w:szCs w:val="28"/>
        </w:rPr>
        <w:t>, для досягнен</w:t>
      </w:r>
      <w:r w:rsidR="00BF1EE9">
        <w:rPr>
          <w:rFonts w:eastAsia="Calibri"/>
          <w:szCs w:val="28"/>
        </w:rPr>
        <w:t xml:space="preserve">ня оптимального рівня здоров'я </w:t>
      </w:r>
      <w:r w:rsidRPr="00D075C5">
        <w:rPr>
          <w:rFonts w:eastAsia="Calibri"/>
          <w:szCs w:val="28"/>
        </w:rPr>
        <w:t xml:space="preserve">є: 1) Конвенція про права дитини (Конвенція ратифікована Постановою ВР </w:t>
      </w:r>
      <w:r w:rsidRPr="00D075C5">
        <w:rPr>
          <w:rFonts w:eastAsia="Calibri"/>
          <w:szCs w:val="28"/>
        </w:rPr>
        <w:lastRenderedPageBreak/>
        <w:t>№</w:t>
      </w:r>
      <w:r w:rsidR="00BF1EE9">
        <w:rPr>
          <w:rFonts w:eastAsia="Calibri"/>
          <w:szCs w:val="28"/>
        </w:rPr>
        <w:t> </w:t>
      </w:r>
      <w:r w:rsidR="00DC286C">
        <w:rPr>
          <w:rFonts w:eastAsia="Calibri"/>
          <w:szCs w:val="28"/>
        </w:rPr>
        <w:t>789-XII від 27.02.91), у</w:t>
      </w:r>
      <w:r w:rsidRPr="00D075C5">
        <w:rPr>
          <w:rFonts w:eastAsia="Calibri"/>
          <w:szCs w:val="28"/>
        </w:rPr>
        <w:t xml:space="preserve"> якій чітко окреслено право дитини на здо</w:t>
      </w:r>
      <w:r w:rsidR="00DC286C">
        <w:rPr>
          <w:rFonts w:eastAsia="Calibri"/>
          <w:szCs w:val="28"/>
        </w:rPr>
        <w:t xml:space="preserve">ров'я, його максимальний захист та </w:t>
      </w:r>
      <w:r w:rsidRPr="00D075C5">
        <w:rPr>
          <w:rFonts w:eastAsia="Calibri"/>
          <w:szCs w:val="28"/>
        </w:rPr>
        <w:t>забезпечення у різних умовах життя дитини; 2) Стратегія ВООЗ «Інвестуючи в майбутнє дітей: Європейська стратегія охорони здоров'я дітей і підлітків, 2015-2020 рр.», де наголошено на тому, що із</w:t>
      </w:r>
      <w:r w:rsidR="007850BF">
        <w:rPr>
          <w:rFonts w:eastAsia="Calibri"/>
          <w:szCs w:val="28"/>
          <w:lang w:val="ru-RU"/>
        </w:rPr>
        <w:t xml:space="preserve"> </w:t>
      </w:r>
      <w:r w:rsidR="00323DA9" w:rsidRPr="00EA77E3">
        <w:rPr>
          <w:rFonts w:eastAsia="Calibri"/>
          <w:color w:val="000000" w:themeColor="text1"/>
          <w:szCs w:val="28"/>
        </w:rPr>
        <w:t>зростанням дотри</w:t>
      </w:r>
      <w:r w:rsidR="00DC286C">
        <w:rPr>
          <w:rFonts w:eastAsia="Calibri"/>
          <w:color w:val="000000" w:themeColor="text1"/>
          <w:szCs w:val="28"/>
        </w:rPr>
        <w:t>мання прав людини</w:t>
      </w:r>
      <w:r w:rsidR="00E20060">
        <w:rPr>
          <w:rFonts w:eastAsia="Calibri"/>
          <w:color w:val="000000" w:themeColor="text1"/>
          <w:szCs w:val="28"/>
        </w:rPr>
        <w:t xml:space="preserve"> вони</w:t>
      </w:r>
      <w:r w:rsidR="00323DA9" w:rsidRPr="00EA77E3">
        <w:rPr>
          <w:rFonts w:eastAsia="Calibri"/>
          <w:color w:val="000000" w:themeColor="text1"/>
          <w:szCs w:val="28"/>
        </w:rPr>
        <w:t xml:space="preserve"> стають ефективним інструментом в укріпленні систе</w:t>
      </w:r>
      <w:r w:rsidR="00E20060">
        <w:rPr>
          <w:rFonts w:eastAsia="Calibri"/>
          <w:color w:val="000000" w:themeColor="text1"/>
          <w:szCs w:val="28"/>
        </w:rPr>
        <w:t>м охорони здоров'я та покращенні</w:t>
      </w:r>
      <w:r w:rsidR="00323DA9" w:rsidRPr="00EA77E3">
        <w:rPr>
          <w:rFonts w:eastAsia="Calibri"/>
          <w:color w:val="000000" w:themeColor="text1"/>
          <w:szCs w:val="28"/>
        </w:rPr>
        <w:t xml:space="preserve"> здоров'я населення в цілому і кожного громадянина окремо;</w:t>
      </w:r>
      <w:r w:rsidR="00E20060">
        <w:rPr>
          <w:rFonts w:eastAsia="Calibri"/>
          <w:color w:val="000000" w:themeColor="text1"/>
          <w:szCs w:val="28"/>
        </w:rPr>
        <w:t xml:space="preserve"> 3)</w:t>
      </w:r>
      <w:r w:rsidR="00BF1EE9">
        <w:rPr>
          <w:rFonts w:eastAsia="Calibri"/>
          <w:color w:val="000000" w:themeColor="text1"/>
          <w:szCs w:val="28"/>
        </w:rPr>
        <w:t> </w:t>
      </w:r>
      <w:r w:rsidR="0082769C">
        <w:rPr>
          <w:rFonts w:eastAsia="Calibri"/>
          <w:color w:val="000000" w:themeColor="text1"/>
          <w:szCs w:val="28"/>
        </w:rPr>
        <w:t xml:space="preserve">Здоров'я – </w:t>
      </w:r>
      <w:r w:rsidR="00323DA9" w:rsidRPr="00EA77E3">
        <w:rPr>
          <w:rFonts w:eastAsia="Calibri"/>
          <w:color w:val="000000" w:themeColor="text1"/>
          <w:szCs w:val="28"/>
        </w:rPr>
        <w:t>2020. Лідерство в інтересах здоров'я і благополуччя в ХХ</w:t>
      </w:r>
      <w:r w:rsidR="00323DA9" w:rsidRPr="004836F9">
        <w:rPr>
          <w:rFonts w:eastAsia="Calibri"/>
          <w:szCs w:val="28"/>
        </w:rPr>
        <w:t>I</w:t>
      </w:r>
      <w:r w:rsidR="00323DA9" w:rsidRPr="00EA77E3">
        <w:rPr>
          <w:rFonts w:eastAsia="Calibri"/>
          <w:color w:val="000000" w:themeColor="text1"/>
          <w:szCs w:val="28"/>
        </w:rPr>
        <w:t xml:space="preserve"> столітті в Єв</w:t>
      </w:r>
      <w:r w:rsidR="00E20060">
        <w:rPr>
          <w:rFonts w:eastAsia="Calibri"/>
          <w:color w:val="000000" w:themeColor="text1"/>
          <w:szCs w:val="28"/>
        </w:rPr>
        <w:t xml:space="preserve">ропі. Здоров'я і благополуччя – </w:t>
      </w:r>
      <w:r w:rsidR="00323DA9" w:rsidRPr="00EA77E3">
        <w:rPr>
          <w:rFonts w:eastAsia="Calibri"/>
          <w:color w:val="000000" w:themeColor="text1"/>
          <w:szCs w:val="28"/>
        </w:rPr>
        <w:t xml:space="preserve">спільні цілі і спільна відповідальність. ВООЗ, </w:t>
      </w:r>
      <w:smartTag w:uri="urn:schemas-microsoft-com:office:smarttags" w:element="metricconverter">
        <w:smartTagPr>
          <w:attr w:name="ProductID" w:val="2012 г"/>
        </w:smartTagPr>
        <w:r w:rsidR="00323DA9" w:rsidRPr="00EA77E3">
          <w:rPr>
            <w:rFonts w:eastAsia="Calibri"/>
            <w:color w:val="000000" w:themeColor="text1"/>
            <w:szCs w:val="28"/>
          </w:rPr>
          <w:t>2012 г</w:t>
        </w:r>
      </w:smartTag>
      <w:r w:rsidR="00323DA9" w:rsidRPr="00EA77E3">
        <w:rPr>
          <w:rFonts w:eastAsia="Calibri"/>
          <w:color w:val="000000" w:themeColor="text1"/>
          <w:szCs w:val="28"/>
        </w:rPr>
        <w:t xml:space="preserve">. (Здоров'я-2020: основи Європейської політики на підтримку дій всієї держави і суспільства в інтересах здоров'я і благополуччя, 2013), цей документ має надати гарантовану медичну допомогу дитині протягом її розвитку; </w:t>
      </w:r>
      <w:r w:rsidR="00E20060">
        <w:rPr>
          <w:rFonts w:eastAsia="Calibri"/>
          <w:color w:val="000000" w:themeColor="text1"/>
          <w:szCs w:val="28"/>
        </w:rPr>
        <w:t xml:space="preserve">4) </w:t>
      </w:r>
      <w:r w:rsidR="00323DA9" w:rsidRPr="00EA77E3">
        <w:rPr>
          <w:rFonts w:eastAsia="Calibri"/>
          <w:color w:val="000000" w:themeColor="text1"/>
          <w:szCs w:val="28"/>
        </w:rPr>
        <w:t xml:space="preserve">Глобальна стратегія охорони здоров'я жінок, дітей та підлітків (2016-2030 рр.): виживати, процвітати, міняти; </w:t>
      </w:r>
      <w:r w:rsidR="00E20060">
        <w:rPr>
          <w:rFonts w:eastAsia="Calibri"/>
          <w:color w:val="000000" w:themeColor="text1"/>
          <w:szCs w:val="28"/>
        </w:rPr>
        <w:t xml:space="preserve">5) </w:t>
      </w:r>
      <w:r w:rsidR="00323DA9" w:rsidRPr="00EA77E3">
        <w:rPr>
          <w:rFonts w:eastAsia="Calibri"/>
          <w:color w:val="000000" w:themeColor="text1"/>
          <w:szCs w:val="28"/>
        </w:rPr>
        <w:t>також трохи раніше були прийняті наступні документи, актуальність яких зберігається і на даний час: «Стратегія в галузі репродуктивного здоров'я» ВООЗ, що була прийнята у 2004 р.; Європейська стратегія «Здоров'я та розвиток дітей і підлітків» (2005, 2008 pp., Копенгаген); Глобальна стратегія охорони здоров'я жінок та ді</w:t>
      </w:r>
      <w:r w:rsidR="00BE3C58">
        <w:rPr>
          <w:rFonts w:eastAsia="Calibri"/>
          <w:color w:val="000000" w:themeColor="text1"/>
          <w:szCs w:val="28"/>
        </w:rPr>
        <w:t>тей ООН (2010 р., Нью-Йорк) [</w:t>
      </w:r>
      <w:r w:rsidR="00BE3C58" w:rsidRPr="00BE3C58">
        <w:rPr>
          <w:rFonts w:eastAsia="Calibri"/>
          <w:color w:val="000000" w:themeColor="text1"/>
          <w:szCs w:val="28"/>
        </w:rPr>
        <w:t>54</w:t>
      </w:r>
      <w:r w:rsidR="00BE3C58">
        <w:rPr>
          <w:rFonts w:eastAsia="Calibri"/>
          <w:color w:val="000000" w:themeColor="text1"/>
          <w:szCs w:val="28"/>
        </w:rPr>
        <w:t xml:space="preserve">, </w:t>
      </w:r>
      <w:r w:rsidR="00BE3C58" w:rsidRPr="00AC343C">
        <w:rPr>
          <w:rFonts w:eastAsia="Calibri"/>
          <w:color w:val="000000" w:themeColor="text1"/>
          <w:szCs w:val="28"/>
        </w:rPr>
        <w:t>235</w:t>
      </w:r>
      <w:r w:rsidR="00AC343C">
        <w:rPr>
          <w:rFonts w:eastAsia="Calibri"/>
          <w:color w:val="000000" w:themeColor="text1"/>
          <w:szCs w:val="28"/>
        </w:rPr>
        <w:t>,</w:t>
      </w:r>
      <w:r w:rsidR="00AC343C" w:rsidRPr="00BF798D">
        <w:rPr>
          <w:rFonts w:eastAsia="Calibri"/>
          <w:color w:val="000000" w:themeColor="text1"/>
          <w:szCs w:val="28"/>
        </w:rPr>
        <w:t xml:space="preserve"> </w:t>
      </w:r>
      <w:r w:rsidR="00AC343C">
        <w:rPr>
          <w:rFonts w:eastAsia="Calibri"/>
          <w:color w:val="000000" w:themeColor="text1"/>
          <w:szCs w:val="28"/>
        </w:rPr>
        <w:t>2</w:t>
      </w:r>
      <w:r w:rsidR="00AC343C" w:rsidRPr="00BF798D">
        <w:rPr>
          <w:rFonts w:eastAsia="Calibri"/>
          <w:color w:val="000000" w:themeColor="text1"/>
          <w:szCs w:val="28"/>
        </w:rPr>
        <w:t>54</w:t>
      </w:r>
      <w:r w:rsidR="00DC2A28" w:rsidRPr="00EA77E3">
        <w:rPr>
          <w:rFonts w:eastAsia="Calibri"/>
          <w:color w:val="000000" w:themeColor="text1"/>
          <w:szCs w:val="28"/>
        </w:rPr>
        <w:t>-</w:t>
      </w:r>
      <w:r w:rsidR="00AC343C">
        <w:rPr>
          <w:rFonts w:eastAsia="Calibri"/>
          <w:color w:val="000000" w:themeColor="text1"/>
          <w:szCs w:val="28"/>
        </w:rPr>
        <w:t>2</w:t>
      </w:r>
      <w:r w:rsidR="00AC343C" w:rsidRPr="00AC343C">
        <w:rPr>
          <w:rFonts w:eastAsia="Calibri"/>
          <w:color w:val="000000" w:themeColor="text1"/>
          <w:szCs w:val="28"/>
        </w:rPr>
        <w:t>61</w:t>
      </w:r>
      <w:r w:rsidR="00323DA9" w:rsidRPr="00EA77E3">
        <w:rPr>
          <w:rFonts w:eastAsia="Calibri"/>
          <w:color w:val="000000" w:themeColor="text1"/>
          <w:szCs w:val="28"/>
        </w:rPr>
        <w:t>].</w:t>
      </w:r>
    </w:p>
    <w:p w:rsidR="00323DA9" w:rsidRPr="009B3E8D" w:rsidRDefault="00323DA9" w:rsidP="009B3E8D">
      <w:pPr>
        <w:widowControl w:val="0"/>
        <w:spacing w:before="240" w:after="240"/>
        <w:ind w:firstLine="708"/>
        <w:outlineLvl w:val="2"/>
        <w:rPr>
          <w:rFonts w:eastAsia="Calibri"/>
          <w:b/>
          <w:color w:val="000000" w:themeColor="text1"/>
          <w:szCs w:val="28"/>
          <w:lang w:val="ru-RU"/>
        </w:rPr>
      </w:pPr>
      <w:r w:rsidRPr="00EA77E3">
        <w:rPr>
          <w:rFonts w:eastAsia="Calibri"/>
          <w:b/>
          <w:color w:val="000000" w:themeColor="text1"/>
          <w:szCs w:val="28"/>
        </w:rPr>
        <w:t xml:space="preserve">1.4. </w:t>
      </w:r>
      <w:r w:rsidR="00850E5D" w:rsidRPr="00EA77E3">
        <w:rPr>
          <w:rFonts w:eastAsia="Calibri"/>
          <w:b/>
          <w:color w:val="000000" w:themeColor="text1"/>
          <w:szCs w:val="28"/>
        </w:rPr>
        <w:t>Існуючі нормативно-правові акти та наукові дослідження щодо шляхів зниження смертності дітей в Україні</w:t>
      </w:r>
    </w:p>
    <w:p w:rsidR="00FA7C88" w:rsidRDefault="00323DA9" w:rsidP="00721203">
      <w:pPr>
        <w:widowControl w:val="0"/>
        <w:ind w:firstLine="709"/>
        <w:rPr>
          <w:rFonts w:eastAsia="Calibri"/>
          <w:color w:val="000000" w:themeColor="text1"/>
          <w:szCs w:val="28"/>
        </w:rPr>
      </w:pPr>
      <w:r w:rsidRPr="00EA77E3">
        <w:rPr>
          <w:rFonts w:eastAsia="Calibri"/>
          <w:color w:val="000000" w:themeColor="text1"/>
          <w:szCs w:val="28"/>
        </w:rPr>
        <w:t>В Україні реалізація права дитини на здоров'я гарантується та регламент</w:t>
      </w:r>
      <w:r w:rsidR="0085013C">
        <w:rPr>
          <w:rFonts w:eastAsia="Calibri"/>
          <w:color w:val="000000" w:themeColor="text1"/>
          <w:szCs w:val="28"/>
        </w:rPr>
        <w:t>ується Конституцією України [</w:t>
      </w:r>
      <w:r w:rsidR="0085013C">
        <w:rPr>
          <w:rFonts w:eastAsia="Calibri"/>
          <w:color w:val="000000" w:themeColor="text1"/>
          <w:szCs w:val="28"/>
          <w:lang w:val="ru-RU"/>
        </w:rPr>
        <w:t>262</w:t>
      </w:r>
      <w:r w:rsidRPr="00EA77E3">
        <w:rPr>
          <w:rFonts w:eastAsia="Calibri"/>
          <w:color w:val="000000" w:themeColor="text1"/>
          <w:szCs w:val="28"/>
        </w:rPr>
        <w:t>], Основами законодавства України про охорону здоров'я та у змінах до них (редакція від 30.01.2</w:t>
      </w:r>
      <w:r w:rsidR="007402FA">
        <w:rPr>
          <w:rFonts w:eastAsia="Calibri"/>
          <w:color w:val="000000" w:themeColor="text1"/>
          <w:szCs w:val="28"/>
        </w:rPr>
        <w:t>018 р., підстава 2168-VIII) [2</w:t>
      </w:r>
      <w:r w:rsidR="007402FA">
        <w:rPr>
          <w:rFonts w:eastAsia="Calibri"/>
          <w:color w:val="000000" w:themeColor="text1"/>
          <w:szCs w:val="28"/>
          <w:lang w:val="ru-RU"/>
        </w:rPr>
        <w:t>63</w:t>
      </w:r>
      <w:r w:rsidRPr="00EA77E3">
        <w:rPr>
          <w:rFonts w:eastAsia="Calibri"/>
          <w:color w:val="000000" w:themeColor="text1"/>
          <w:szCs w:val="28"/>
        </w:rPr>
        <w:t>], Закону Укра</w:t>
      </w:r>
      <w:r w:rsidR="00DF1096">
        <w:rPr>
          <w:rFonts w:eastAsia="Calibri"/>
          <w:color w:val="000000" w:themeColor="text1"/>
          <w:szCs w:val="28"/>
        </w:rPr>
        <w:t>їни «Про охорону дитинства» [2</w:t>
      </w:r>
      <w:r w:rsidR="00DF1096">
        <w:rPr>
          <w:rFonts w:eastAsia="Calibri"/>
          <w:color w:val="000000" w:themeColor="text1"/>
          <w:szCs w:val="28"/>
          <w:lang w:val="ru-RU"/>
        </w:rPr>
        <w:t>64</w:t>
      </w:r>
      <w:r w:rsidRPr="00EA77E3">
        <w:rPr>
          <w:rFonts w:eastAsia="Calibri"/>
          <w:color w:val="000000" w:themeColor="text1"/>
          <w:szCs w:val="28"/>
        </w:rPr>
        <w:t>], Законом України від 07.08.2011 р. № 3611-V1 «Про внесення змін до Основ законодавства України про охорону здоров'я» (із змінами</w:t>
      </w:r>
      <w:r w:rsidRPr="00EA77E3">
        <w:rPr>
          <w:rFonts w:eastAsia="Calibri"/>
          <w:iCs/>
          <w:color w:val="000000" w:themeColor="text1"/>
          <w:szCs w:val="28"/>
        </w:rPr>
        <w:t>, внесеними згідно із Законом N 2168-VIII (</w:t>
      </w:r>
      <w:hyperlink r:id="rId10" w:tgtFrame="_blank" w:history="1">
        <w:r w:rsidRPr="00EA77E3">
          <w:rPr>
            <w:rFonts w:eastAsia="Calibri"/>
            <w:iCs/>
            <w:color w:val="000000" w:themeColor="text1"/>
            <w:szCs w:val="28"/>
          </w:rPr>
          <w:t>2168-19</w:t>
        </w:r>
      </w:hyperlink>
      <w:r w:rsidRPr="00EA77E3">
        <w:rPr>
          <w:rFonts w:eastAsia="Calibri"/>
          <w:iCs/>
          <w:color w:val="000000" w:themeColor="text1"/>
          <w:szCs w:val="28"/>
        </w:rPr>
        <w:t xml:space="preserve">) від 19.10.2017) </w:t>
      </w:r>
      <w:r w:rsidR="00666AB1">
        <w:rPr>
          <w:rFonts w:eastAsia="Calibri"/>
          <w:color w:val="000000" w:themeColor="text1"/>
          <w:szCs w:val="28"/>
        </w:rPr>
        <w:t>[2</w:t>
      </w:r>
      <w:r w:rsidR="00666AB1">
        <w:rPr>
          <w:rFonts w:eastAsia="Calibri"/>
          <w:color w:val="000000" w:themeColor="text1"/>
          <w:szCs w:val="28"/>
          <w:lang w:val="ru-RU"/>
        </w:rPr>
        <w:t>63</w:t>
      </w:r>
      <w:r w:rsidR="00666AB1">
        <w:rPr>
          <w:rFonts w:eastAsia="Calibri"/>
          <w:color w:val="000000" w:themeColor="text1"/>
          <w:szCs w:val="28"/>
        </w:rPr>
        <w:t>, 2</w:t>
      </w:r>
      <w:r w:rsidR="00666AB1">
        <w:rPr>
          <w:rFonts w:eastAsia="Calibri"/>
          <w:color w:val="000000" w:themeColor="text1"/>
          <w:szCs w:val="28"/>
          <w:lang w:val="ru-RU"/>
        </w:rPr>
        <w:t>65</w:t>
      </w:r>
      <w:r w:rsidRPr="00EA77E3">
        <w:rPr>
          <w:rFonts w:eastAsia="Calibri"/>
          <w:color w:val="000000" w:themeColor="text1"/>
          <w:szCs w:val="28"/>
        </w:rPr>
        <w:t>]</w:t>
      </w:r>
      <w:r w:rsidRPr="00EA77E3">
        <w:rPr>
          <w:rFonts w:eastAsia="Calibri"/>
          <w:iCs/>
          <w:color w:val="000000" w:themeColor="text1"/>
          <w:szCs w:val="28"/>
        </w:rPr>
        <w:t xml:space="preserve">. У вищезазначених документах зазначено, що діти в Україні гарантовано забезпечуються медичною допомогою на всіх рівнях її надання, здоров'я, яких підлягає захисту з </w:t>
      </w:r>
      <w:r w:rsidRPr="00EA77E3">
        <w:rPr>
          <w:rFonts w:eastAsia="Calibri"/>
          <w:iCs/>
          <w:color w:val="000000" w:themeColor="text1"/>
          <w:szCs w:val="28"/>
        </w:rPr>
        <w:lastRenderedPageBreak/>
        <w:t xml:space="preserve">метою отримання максимально досяжного рівня здоров'я. </w:t>
      </w:r>
      <w:r w:rsidR="00DB61ED">
        <w:rPr>
          <w:rFonts w:eastAsia="Calibri"/>
          <w:iCs/>
          <w:color w:val="000000" w:themeColor="text1"/>
          <w:szCs w:val="28"/>
        </w:rPr>
        <w:t xml:space="preserve">Також, </w:t>
      </w:r>
      <w:r w:rsidR="00D66EB5" w:rsidRPr="00D66EB5">
        <w:rPr>
          <w:rFonts w:eastAsia="Calibri"/>
          <w:iCs/>
          <w:color w:val="000000" w:themeColor="text1"/>
          <w:szCs w:val="28"/>
        </w:rPr>
        <w:t>у різні роки незалежності</w:t>
      </w:r>
      <w:r w:rsidR="00D66EB5">
        <w:rPr>
          <w:rFonts w:eastAsia="Calibri"/>
          <w:iCs/>
          <w:color w:val="000000" w:themeColor="text1"/>
          <w:szCs w:val="28"/>
        </w:rPr>
        <w:t xml:space="preserve"> України</w:t>
      </w:r>
      <w:r w:rsidR="00D66EB5" w:rsidRPr="00D66EB5">
        <w:rPr>
          <w:rFonts w:eastAsia="Calibri"/>
          <w:iCs/>
          <w:color w:val="000000" w:themeColor="text1"/>
          <w:szCs w:val="28"/>
        </w:rPr>
        <w:t xml:space="preserve"> з метою збереження і зміцнення здоров'я дітей</w:t>
      </w:r>
      <w:r w:rsidRPr="00EA77E3">
        <w:rPr>
          <w:rFonts w:eastAsia="Calibri"/>
          <w:iCs/>
          <w:color w:val="000000" w:themeColor="text1"/>
          <w:szCs w:val="28"/>
        </w:rPr>
        <w:t xml:space="preserve"> було прийнято ряд нормативно правових актів, що регламентували забезпечення медичною допомогою дітей: Закон України «Про Загальнодержавну програму "Національний план дій щодо реалізації Конвенції ООН про права дитини" на період до 2016 року (прийняття від 05.03.2009, 1065-VI) </w:t>
      </w:r>
      <w:r w:rsidR="00E73FFA">
        <w:rPr>
          <w:rFonts w:eastAsia="Calibri"/>
          <w:color w:val="000000" w:themeColor="text1"/>
          <w:szCs w:val="28"/>
        </w:rPr>
        <w:t>[2</w:t>
      </w:r>
      <w:r w:rsidR="00E73FFA" w:rsidRPr="00D66EB5">
        <w:rPr>
          <w:rFonts w:eastAsia="Calibri"/>
          <w:color w:val="000000" w:themeColor="text1"/>
          <w:szCs w:val="28"/>
        </w:rPr>
        <w:t>66</w:t>
      </w:r>
      <w:r w:rsidR="00B4136E">
        <w:rPr>
          <w:rFonts w:eastAsia="Calibri"/>
          <w:color w:val="000000" w:themeColor="text1"/>
          <w:szCs w:val="28"/>
        </w:rPr>
        <w:t>];</w:t>
      </w:r>
      <w:r w:rsidR="00B4136E">
        <w:rPr>
          <w:rFonts w:eastAsia="Calibri"/>
          <w:iCs/>
          <w:color w:val="000000" w:themeColor="text1"/>
          <w:szCs w:val="28"/>
        </w:rPr>
        <w:t xml:space="preserve"> Держана програма</w:t>
      </w:r>
      <w:r w:rsidRPr="00EA77E3">
        <w:rPr>
          <w:rFonts w:eastAsia="Calibri"/>
          <w:iCs/>
          <w:color w:val="000000" w:themeColor="text1"/>
          <w:szCs w:val="28"/>
        </w:rPr>
        <w:t xml:space="preserve"> </w:t>
      </w:r>
      <w:r w:rsidRPr="00EA77E3">
        <w:rPr>
          <w:rFonts w:eastAsia="Calibri"/>
          <w:color w:val="000000" w:themeColor="text1"/>
          <w:szCs w:val="28"/>
        </w:rPr>
        <w:t xml:space="preserve">«Репродуктивне здоров'я </w:t>
      </w:r>
      <w:r w:rsidR="000E30CC">
        <w:rPr>
          <w:rFonts w:eastAsia="Calibri"/>
          <w:color w:val="000000" w:themeColor="text1"/>
          <w:szCs w:val="28"/>
        </w:rPr>
        <w:t>нації» на період до 2015 р. [2</w:t>
      </w:r>
      <w:r w:rsidR="000E30CC" w:rsidRPr="00D66EB5">
        <w:rPr>
          <w:rFonts w:eastAsia="Calibri"/>
          <w:color w:val="000000" w:themeColor="text1"/>
          <w:szCs w:val="28"/>
        </w:rPr>
        <w:t>67</w:t>
      </w:r>
      <w:r w:rsidR="00B4136E">
        <w:rPr>
          <w:rFonts w:eastAsia="Calibri"/>
          <w:color w:val="000000" w:themeColor="text1"/>
          <w:szCs w:val="28"/>
        </w:rPr>
        <w:t xml:space="preserve">], </w:t>
      </w:r>
      <w:r w:rsidRPr="00EA77E3">
        <w:rPr>
          <w:rFonts w:eastAsia="Calibri"/>
          <w:color w:val="000000" w:themeColor="text1"/>
          <w:szCs w:val="28"/>
        </w:rPr>
        <w:t>затверджена постановою Кабінету Міністрів Украї</w:t>
      </w:r>
      <w:r w:rsidR="00B4136E">
        <w:rPr>
          <w:rFonts w:eastAsia="Calibri"/>
          <w:color w:val="000000" w:themeColor="text1"/>
          <w:szCs w:val="28"/>
        </w:rPr>
        <w:t xml:space="preserve">ни від 27 грудня 2006 р. № 1849; </w:t>
      </w:r>
      <w:r w:rsidRPr="00EA77E3">
        <w:rPr>
          <w:rFonts w:eastAsia="Calibri"/>
          <w:color w:val="000000" w:themeColor="text1"/>
          <w:szCs w:val="28"/>
        </w:rPr>
        <w:t>Закон України від 21.10.2009 р. № 1658-VI «Про Загальнодержавну програму імунопрофілактики та захисту населення від інфекційни</w:t>
      </w:r>
      <w:r w:rsidR="004B64A5">
        <w:rPr>
          <w:rFonts w:eastAsia="Calibri"/>
          <w:color w:val="000000" w:themeColor="text1"/>
          <w:szCs w:val="28"/>
        </w:rPr>
        <w:t>х хвороб на 2009–2015 роки» [2</w:t>
      </w:r>
      <w:r w:rsidR="004B64A5" w:rsidRPr="004B64A5">
        <w:rPr>
          <w:rFonts w:eastAsia="Calibri"/>
          <w:color w:val="000000" w:themeColor="text1"/>
          <w:szCs w:val="28"/>
        </w:rPr>
        <w:t>68</w:t>
      </w:r>
      <w:r w:rsidRPr="00EA77E3">
        <w:rPr>
          <w:rFonts w:eastAsia="Calibri"/>
          <w:color w:val="000000" w:themeColor="text1"/>
          <w:szCs w:val="28"/>
        </w:rPr>
        <w:t>], яким затверджено н</w:t>
      </w:r>
      <w:r w:rsidR="004836F9">
        <w:rPr>
          <w:rFonts w:eastAsia="Calibri"/>
          <w:color w:val="000000" w:themeColor="text1"/>
          <w:szCs w:val="28"/>
        </w:rPr>
        <w:t>ижній поріг охоплення щепленням</w:t>
      </w:r>
      <w:r w:rsidRPr="00EA77E3">
        <w:rPr>
          <w:rFonts w:eastAsia="Calibri"/>
          <w:color w:val="000000" w:themeColor="text1"/>
          <w:szCs w:val="28"/>
        </w:rPr>
        <w:t xml:space="preserve"> дітей на рівні не менше ніж 95</w:t>
      </w:r>
      <w:r w:rsidR="00D66EB5">
        <w:rPr>
          <w:rFonts w:eastAsia="Calibri"/>
          <w:color w:val="000000" w:themeColor="text1"/>
          <w:szCs w:val="28"/>
        </w:rPr>
        <w:t> </w:t>
      </w:r>
      <w:r w:rsidR="00B4136E">
        <w:rPr>
          <w:rFonts w:eastAsia="Calibri"/>
          <w:color w:val="000000" w:themeColor="text1"/>
          <w:szCs w:val="28"/>
        </w:rPr>
        <w:t>%; Концепція</w:t>
      </w:r>
      <w:r w:rsidRPr="00EA77E3">
        <w:rPr>
          <w:rFonts w:eastAsia="Calibri"/>
          <w:color w:val="000000" w:themeColor="text1"/>
          <w:szCs w:val="28"/>
        </w:rPr>
        <w:t xml:space="preserve"> та заходи щодо подальшого розв</w:t>
      </w:r>
      <w:r w:rsidR="00B4136E">
        <w:rPr>
          <w:rFonts w:eastAsia="Calibri"/>
          <w:color w:val="000000" w:themeColor="text1"/>
          <w:szCs w:val="28"/>
        </w:rPr>
        <w:t>итку перинатальної допомоги, які</w:t>
      </w:r>
      <w:r w:rsidRPr="00EA77E3">
        <w:rPr>
          <w:rFonts w:eastAsia="Calibri"/>
          <w:color w:val="000000" w:themeColor="text1"/>
          <w:szCs w:val="28"/>
        </w:rPr>
        <w:t xml:space="preserve"> затверджені Наказом МОЗ Ук</w:t>
      </w:r>
      <w:r w:rsidR="00EF37EC">
        <w:rPr>
          <w:rFonts w:eastAsia="Calibri"/>
          <w:color w:val="000000" w:themeColor="text1"/>
          <w:szCs w:val="28"/>
        </w:rPr>
        <w:t>раїни №52 від 02.02.2011 р. [2</w:t>
      </w:r>
      <w:r w:rsidR="00EF37EC" w:rsidRPr="00EF37EC">
        <w:rPr>
          <w:rFonts w:eastAsia="Calibri"/>
          <w:color w:val="000000" w:themeColor="text1"/>
          <w:szCs w:val="28"/>
        </w:rPr>
        <w:t>69</w:t>
      </w:r>
      <w:r w:rsidR="00B4136E">
        <w:rPr>
          <w:rFonts w:eastAsia="Calibri"/>
          <w:color w:val="000000" w:themeColor="text1"/>
          <w:szCs w:val="28"/>
        </w:rPr>
        <w:t xml:space="preserve">]; </w:t>
      </w:r>
      <w:r w:rsidRPr="00EA77E3">
        <w:rPr>
          <w:rFonts w:eastAsia="Calibri"/>
          <w:color w:val="000000" w:themeColor="text1"/>
          <w:szCs w:val="28"/>
        </w:rPr>
        <w:t xml:space="preserve">Розпорядження </w:t>
      </w:r>
      <w:r w:rsidR="00B4136E">
        <w:rPr>
          <w:rFonts w:eastAsia="Calibri"/>
          <w:color w:val="000000" w:themeColor="text1"/>
          <w:szCs w:val="28"/>
        </w:rPr>
        <w:t xml:space="preserve">КМУ </w:t>
      </w:r>
      <w:r w:rsidRPr="00EA77E3">
        <w:rPr>
          <w:rFonts w:eastAsia="Calibri"/>
          <w:color w:val="000000" w:themeColor="text1"/>
          <w:szCs w:val="28"/>
        </w:rPr>
        <w:t>від 27 травня 2013 р. № 334-р «Про затвердження плану заходів з реалізації у 2013</w:t>
      </w:r>
      <w:r w:rsidR="001E57B0">
        <w:rPr>
          <w:rFonts w:eastAsia="Calibri"/>
          <w:color w:val="000000" w:themeColor="text1"/>
          <w:szCs w:val="28"/>
        </w:rPr>
        <w:t> </w:t>
      </w:r>
      <w:r w:rsidRPr="00EA77E3">
        <w:rPr>
          <w:rFonts w:eastAsia="Calibri"/>
          <w:color w:val="000000" w:themeColor="text1"/>
          <w:szCs w:val="28"/>
        </w:rPr>
        <w:t>році націо</w:t>
      </w:r>
      <w:r w:rsidR="00CD2223">
        <w:rPr>
          <w:rFonts w:eastAsia="Calibri"/>
          <w:color w:val="000000" w:themeColor="text1"/>
          <w:szCs w:val="28"/>
        </w:rPr>
        <w:t xml:space="preserve">нального проєкту </w:t>
      </w:r>
      <w:r w:rsidR="00CD2223" w:rsidRPr="00CD2223">
        <w:rPr>
          <w:rFonts w:eastAsia="Calibri"/>
          <w:color w:val="000000" w:themeColor="text1"/>
          <w:szCs w:val="28"/>
        </w:rPr>
        <w:t>«</w:t>
      </w:r>
      <w:r w:rsidR="00CD2223">
        <w:rPr>
          <w:rFonts w:eastAsia="Calibri"/>
          <w:color w:val="000000" w:themeColor="text1"/>
          <w:szCs w:val="28"/>
        </w:rPr>
        <w:t>Нове життя</w:t>
      </w:r>
      <w:r w:rsidR="00CD2223" w:rsidRPr="00CD2223">
        <w:rPr>
          <w:rFonts w:eastAsia="Calibri"/>
          <w:color w:val="000000" w:themeColor="text1"/>
          <w:szCs w:val="28"/>
        </w:rPr>
        <w:t xml:space="preserve"> – </w:t>
      </w:r>
      <w:r w:rsidRPr="00EA77E3">
        <w:rPr>
          <w:rFonts w:eastAsia="Calibri"/>
          <w:color w:val="000000" w:themeColor="text1"/>
          <w:szCs w:val="28"/>
        </w:rPr>
        <w:t>нова якість о</w:t>
      </w:r>
      <w:r w:rsidR="00CD2223">
        <w:rPr>
          <w:rFonts w:eastAsia="Calibri"/>
          <w:color w:val="000000" w:themeColor="text1"/>
          <w:szCs w:val="28"/>
        </w:rPr>
        <w:t>хорони материнства та дитинства</w:t>
      </w:r>
      <w:r w:rsidR="00CD2223" w:rsidRPr="00CD2223">
        <w:rPr>
          <w:rFonts w:eastAsia="Calibri"/>
          <w:color w:val="000000" w:themeColor="text1"/>
          <w:szCs w:val="28"/>
        </w:rPr>
        <w:t xml:space="preserve">» </w:t>
      </w:r>
      <w:r w:rsidRPr="00EA77E3">
        <w:rPr>
          <w:rFonts w:eastAsia="Calibri"/>
          <w:color w:val="000000" w:themeColor="text1"/>
          <w:szCs w:val="28"/>
        </w:rPr>
        <w:t xml:space="preserve"> (Указ Президента України ві</w:t>
      </w:r>
      <w:r w:rsidR="00EF37EC">
        <w:rPr>
          <w:rFonts w:eastAsia="Calibri"/>
          <w:color w:val="000000" w:themeColor="text1"/>
          <w:szCs w:val="28"/>
        </w:rPr>
        <w:t>д 27.04.2011 р. № 504/2011) [2</w:t>
      </w:r>
      <w:r w:rsidR="00EF37EC" w:rsidRPr="00EF37EC">
        <w:rPr>
          <w:rFonts w:eastAsia="Calibri"/>
          <w:color w:val="000000" w:themeColor="text1"/>
          <w:szCs w:val="28"/>
        </w:rPr>
        <w:t>70</w:t>
      </w:r>
      <w:r w:rsidRPr="00EA77E3">
        <w:rPr>
          <w:rFonts w:eastAsia="Calibri"/>
          <w:color w:val="000000" w:themeColor="text1"/>
          <w:szCs w:val="28"/>
        </w:rPr>
        <w:t xml:space="preserve">], який мав вирішити багато питань, пов’язаних із охороною здоров'я матерів, виживаності дітей, мертвонароджуваності, підвищення якості надання перинатальної допомоги, але з причини несприятливої економічної ситуації </w:t>
      </w:r>
      <w:r w:rsidR="00CD2223">
        <w:rPr>
          <w:rFonts w:eastAsia="Calibri"/>
          <w:color w:val="000000" w:themeColor="text1"/>
          <w:szCs w:val="28"/>
        </w:rPr>
        <w:t>реал</w:t>
      </w:r>
      <w:r w:rsidR="00B4136E">
        <w:rPr>
          <w:rFonts w:eastAsia="Calibri"/>
          <w:color w:val="000000" w:themeColor="text1"/>
          <w:szCs w:val="28"/>
        </w:rPr>
        <w:t>ізацію</w:t>
      </w:r>
      <w:r w:rsidR="00CD2223">
        <w:rPr>
          <w:rFonts w:eastAsia="Calibri"/>
          <w:color w:val="000000" w:themeColor="text1"/>
          <w:szCs w:val="28"/>
        </w:rPr>
        <w:t xml:space="preserve"> </w:t>
      </w:r>
      <w:r w:rsidR="00B4136E">
        <w:rPr>
          <w:rFonts w:eastAsia="Calibri"/>
          <w:color w:val="000000" w:themeColor="text1"/>
          <w:szCs w:val="28"/>
        </w:rPr>
        <w:t>проє</w:t>
      </w:r>
      <w:r w:rsidR="00CD2223">
        <w:rPr>
          <w:rFonts w:eastAsia="Calibri"/>
          <w:color w:val="000000" w:themeColor="text1"/>
          <w:szCs w:val="28"/>
        </w:rPr>
        <w:t>кту було призупинено</w:t>
      </w:r>
      <w:r w:rsidR="00CD2223" w:rsidRPr="00CD2223">
        <w:rPr>
          <w:rFonts w:eastAsia="Calibri"/>
          <w:color w:val="000000" w:themeColor="text1"/>
          <w:szCs w:val="28"/>
        </w:rPr>
        <w:t xml:space="preserve"> </w:t>
      </w:r>
      <w:r w:rsidRPr="00EA77E3">
        <w:rPr>
          <w:rFonts w:eastAsia="Calibri"/>
          <w:color w:val="000000" w:themeColor="text1"/>
          <w:szCs w:val="28"/>
        </w:rPr>
        <w:t>постановою КМУ від 05.03.2014</w:t>
      </w:r>
      <w:r w:rsidR="001E57B0">
        <w:rPr>
          <w:rFonts w:eastAsia="Calibri"/>
          <w:color w:val="000000" w:themeColor="text1"/>
          <w:szCs w:val="28"/>
        </w:rPr>
        <w:t> </w:t>
      </w:r>
      <w:r w:rsidRPr="00EA77E3">
        <w:rPr>
          <w:rFonts w:eastAsia="Calibri"/>
          <w:color w:val="000000" w:themeColor="text1"/>
          <w:szCs w:val="28"/>
        </w:rPr>
        <w:t>р. №</w:t>
      </w:r>
      <w:r w:rsidR="001E57B0">
        <w:rPr>
          <w:rFonts w:eastAsia="Calibri"/>
          <w:color w:val="000000" w:themeColor="text1"/>
          <w:szCs w:val="28"/>
          <w:lang w:val="ru-RU"/>
        </w:rPr>
        <w:t> </w:t>
      </w:r>
      <w:r w:rsidRPr="00EA77E3">
        <w:rPr>
          <w:rFonts w:eastAsia="Calibri"/>
          <w:color w:val="000000" w:themeColor="text1"/>
          <w:szCs w:val="28"/>
        </w:rPr>
        <w:t xml:space="preserve">71 «Деякі питання оптимізації державних цільових програм і національних проектів, економії бюджетних коштів та визнання такими, що втратили чинність, деяких актів </w:t>
      </w:r>
      <w:r w:rsidR="00467F04">
        <w:rPr>
          <w:rFonts w:eastAsia="Calibri"/>
          <w:color w:val="000000" w:themeColor="text1"/>
          <w:szCs w:val="28"/>
        </w:rPr>
        <w:t>Кабінету Міністрів України» [2</w:t>
      </w:r>
      <w:r w:rsidR="00467F04" w:rsidRPr="00467F04">
        <w:rPr>
          <w:rFonts w:eastAsia="Calibri"/>
          <w:color w:val="000000" w:themeColor="text1"/>
          <w:szCs w:val="28"/>
        </w:rPr>
        <w:t>71</w:t>
      </w:r>
      <w:r w:rsidR="00CD2223">
        <w:rPr>
          <w:rFonts w:eastAsia="Calibri"/>
          <w:color w:val="000000" w:themeColor="text1"/>
          <w:szCs w:val="28"/>
        </w:rPr>
        <w:t xml:space="preserve">]. </w:t>
      </w:r>
      <w:r w:rsidRPr="00EA77E3">
        <w:rPr>
          <w:rFonts w:eastAsia="Calibri"/>
          <w:color w:val="000000" w:themeColor="text1"/>
          <w:szCs w:val="28"/>
        </w:rPr>
        <w:t>До того протягом 10 років (1996–2005</w:t>
      </w:r>
      <w:r w:rsidR="00CD2223">
        <w:rPr>
          <w:rFonts w:eastAsia="Calibri"/>
          <w:color w:val="000000" w:themeColor="text1"/>
          <w:szCs w:val="28"/>
          <w:lang w:val="ru-RU"/>
        </w:rPr>
        <w:t> </w:t>
      </w:r>
      <w:r w:rsidRPr="00EA77E3">
        <w:rPr>
          <w:rFonts w:eastAsia="Calibri"/>
          <w:color w:val="000000" w:themeColor="text1"/>
          <w:szCs w:val="28"/>
        </w:rPr>
        <w:t>pp.) в Україні діяла</w:t>
      </w:r>
      <w:r w:rsidR="00CD2223">
        <w:rPr>
          <w:rFonts w:eastAsia="Calibri"/>
          <w:color w:val="000000" w:themeColor="text1"/>
          <w:szCs w:val="28"/>
        </w:rPr>
        <w:t>,</w:t>
      </w:r>
      <w:r w:rsidRPr="00EA77E3">
        <w:rPr>
          <w:rFonts w:eastAsia="Calibri"/>
          <w:color w:val="000000" w:themeColor="text1"/>
          <w:szCs w:val="28"/>
        </w:rPr>
        <w:t xml:space="preserve"> розроблена відповідно до положень Конвенції ООН про права дитини</w:t>
      </w:r>
      <w:r w:rsidR="00CD2223">
        <w:rPr>
          <w:rFonts w:eastAsia="Calibri"/>
          <w:color w:val="000000" w:themeColor="text1"/>
          <w:szCs w:val="28"/>
        </w:rPr>
        <w:t>,</w:t>
      </w:r>
      <w:r w:rsidRPr="00EA77E3">
        <w:rPr>
          <w:rFonts w:eastAsia="Calibri"/>
          <w:color w:val="000000" w:themeColor="text1"/>
          <w:szCs w:val="28"/>
        </w:rPr>
        <w:t xml:space="preserve"> Національна програма «Діти України», </w:t>
      </w:r>
      <w:r w:rsidR="00B4136E">
        <w:rPr>
          <w:rFonts w:eastAsia="Calibri"/>
          <w:color w:val="000000" w:themeColor="text1"/>
          <w:szCs w:val="28"/>
        </w:rPr>
        <w:t xml:space="preserve">яка </w:t>
      </w:r>
      <w:r w:rsidRPr="00EA77E3">
        <w:rPr>
          <w:rFonts w:eastAsia="Calibri"/>
          <w:color w:val="000000" w:themeColor="text1"/>
          <w:szCs w:val="28"/>
        </w:rPr>
        <w:t>затверджена Указом Президента Україн</w:t>
      </w:r>
      <w:r w:rsidR="00BF5038">
        <w:rPr>
          <w:rFonts w:eastAsia="Calibri"/>
          <w:color w:val="000000" w:themeColor="text1"/>
          <w:szCs w:val="28"/>
        </w:rPr>
        <w:t>и від 18.01.1996 р. № 63/96 [2</w:t>
      </w:r>
      <w:r w:rsidR="00BF5038">
        <w:rPr>
          <w:rFonts w:eastAsia="Calibri"/>
          <w:color w:val="000000" w:themeColor="text1"/>
          <w:szCs w:val="28"/>
          <w:lang w:val="ru-RU"/>
        </w:rPr>
        <w:t>72</w:t>
      </w:r>
      <w:r w:rsidR="00B4136E">
        <w:rPr>
          <w:rFonts w:eastAsia="Calibri"/>
          <w:color w:val="000000" w:themeColor="text1"/>
          <w:szCs w:val="28"/>
        </w:rPr>
        <w:t xml:space="preserve">] і </w:t>
      </w:r>
      <w:r w:rsidRPr="00EA77E3">
        <w:rPr>
          <w:rFonts w:eastAsia="Calibri"/>
          <w:color w:val="000000" w:themeColor="text1"/>
          <w:szCs w:val="28"/>
        </w:rPr>
        <w:t xml:space="preserve">подовжена Указом Президента України «Про додаткові заходи щодо забезпечення виконання Національної програми «Діти України» до </w:t>
      </w:r>
      <w:r w:rsidR="00BF5038">
        <w:rPr>
          <w:rFonts w:eastAsia="Calibri"/>
          <w:color w:val="000000" w:themeColor="text1"/>
          <w:szCs w:val="28"/>
        </w:rPr>
        <w:t>2005 р. [2</w:t>
      </w:r>
      <w:r w:rsidR="00BF5038">
        <w:rPr>
          <w:rFonts w:eastAsia="Calibri"/>
          <w:color w:val="000000" w:themeColor="text1"/>
          <w:szCs w:val="28"/>
          <w:lang w:val="ru-RU"/>
        </w:rPr>
        <w:t>73</w:t>
      </w:r>
      <w:r w:rsidR="00CD2223">
        <w:rPr>
          <w:rFonts w:eastAsia="Calibri"/>
          <w:color w:val="000000" w:themeColor="text1"/>
          <w:szCs w:val="28"/>
        </w:rPr>
        <w:t>].  П</w:t>
      </w:r>
      <w:r w:rsidRPr="00EA77E3">
        <w:rPr>
          <w:rFonts w:eastAsia="Calibri"/>
          <w:color w:val="000000" w:themeColor="text1"/>
          <w:szCs w:val="28"/>
        </w:rPr>
        <w:t xml:space="preserve">ри цьому слід зауважити, що на даний час в Україні немає </w:t>
      </w:r>
      <w:r w:rsidR="004836F9">
        <w:rPr>
          <w:rFonts w:eastAsia="Calibri"/>
          <w:color w:val="000000" w:themeColor="text1"/>
          <w:szCs w:val="28"/>
        </w:rPr>
        <w:t xml:space="preserve">жодної </w:t>
      </w:r>
      <w:r w:rsidRPr="00EA77E3">
        <w:rPr>
          <w:rFonts w:eastAsia="Calibri"/>
          <w:color w:val="000000" w:themeColor="text1"/>
          <w:szCs w:val="28"/>
        </w:rPr>
        <w:t>діючої Державної програм</w:t>
      </w:r>
      <w:r w:rsidR="00DE77C1">
        <w:rPr>
          <w:rFonts w:eastAsia="Calibri"/>
          <w:color w:val="000000" w:themeColor="text1"/>
          <w:szCs w:val="28"/>
        </w:rPr>
        <w:t>и або</w:t>
      </w:r>
      <w:r w:rsidR="00CD2223">
        <w:rPr>
          <w:rFonts w:eastAsia="Calibri"/>
          <w:color w:val="000000" w:themeColor="text1"/>
          <w:szCs w:val="28"/>
        </w:rPr>
        <w:t xml:space="preserve"> Національного плану дій </w:t>
      </w:r>
      <w:r w:rsidRPr="00EA77E3">
        <w:rPr>
          <w:rFonts w:eastAsia="Calibri"/>
          <w:color w:val="000000" w:themeColor="text1"/>
          <w:szCs w:val="28"/>
        </w:rPr>
        <w:t xml:space="preserve">щодо  охорони </w:t>
      </w:r>
      <w:r w:rsidRPr="00EA77E3">
        <w:rPr>
          <w:rFonts w:eastAsia="Calibri"/>
          <w:color w:val="000000" w:themeColor="text1"/>
          <w:szCs w:val="28"/>
        </w:rPr>
        <w:lastRenderedPageBreak/>
        <w:t xml:space="preserve">здоров'я дітей та підлітків. Також, слід зазначити, що в Україні у відповідь на  прийняття </w:t>
      </w:r>
      <w:r w:rsidR="004836F9">
        <w:rPr>
          <w:rFonts w:eastAsia="Calibri"/>
          <w:szCs w:val="28"/>
        </w:rPr>
        <w:t xml:space="preserve">«Здоров'я – </w:t>
      </w:r>
      <w:r w:rsidRPr="00DE77C1">
        <w:rPr>
          <w:rFonts w:eastAsia="Calibri"/>
          <w:szCs w:val="28"/>
        </w:rPr>
        <w:t>2020. Лідерство в інтересах здоров'я і благополуччя в ХХI столітті в Європі. Здоров'я і благополуччя - спільні цілі і спільна відповідальність»</w:t>
      </w:r>
      <w:r w:rsidR="00DE77C1">
        <w:rPr>
          <w:rFonts w:eastAsia="Calibri"/>
          <w:szCs w:val="28"/>
        </w:rPr>
        <w:t>,</w:t>
      </w:r>
      <w:r w:rsidRPr="00DE77C1">
        <w:rPr>
          <w:rFonts w:eastAsia="Calibri"/>
          <w:szCs w:val="28"/>
        </w:rPr>
        <w:t xml:space="preserve"> ВООЗ, </w:t>
      </w:r>
      <w:smartTag w:uri="urn:schemas-microsoft-com:office:smarttags" w:element="metricconverter">
        <w:smartTagPr>
          <w:attr w:name="ProductID" w:val="2012 г"/>
        </w:smartTagPr>
        <w:r w:rsidRPr="00DE77C1">
          <w:rPr>
            <w:rFonts w:eastAsia="Calibri"/>
            <w:szCs w:val="28"/>
          </w:rPr>
          <w:t>2012 г</w:t>
        </w:r>
      </w:smartTag>
      <w:r w:rsidR="00D434C2" w:rsidRPr="00DE77C1">
        <w:rPr>
          <w:rFonts w:eastAsia="Calibri"/>
          <w:szCs w:val="28"/>
        </w:rPr>
        <w:t xml:space="preserve">. </w:t>
      </w:r>
      <w:r w:rsidR="00D434C2">
        <w:rPr>
          <w:rFonts w:eastAsia="Calibri"/>
          <w:color w:val="000000" w:themeColor="text1"/>
          <w:szCs w:val="28"/>
        </w:rPr>
        <w:t>[2</w:t>
      </w:r>
      <w:r w:rsidR="00D434C2" w:rsidRPr="00D434C2">
        <w:rPr>
          <w:rFonts w:eastAsia="Calibri"/>
          <w:color w:val="000000" w:themeColor="text1"/>
          <w:szCs w:val="28"/>
        </w:rPr>
        <w:t>56, 257</w:t>
      </w:r>
      <w:r w:rsidR="00DE77C1">
        <w:rPr>
          <w:rFonts w:eastAsia="Calibri"/>
          <w:color w:val="000000" w:themeColor="text1"/>
          <w:szCs w:val="28"/>
        </w:rPr>
        <w:t>]</w:t>
      </w:r>
      <w:r w:rsidRPr="00EA77E3">
        <w:rPr>
          <w:rFonts w:eastAsia="Calibri"/>
          <w:color w:val="000000" w:themeColor="text1"/>
          <w:szCs w:val="28"/>
        </w:rPr>
        <w:t xml:space="preserve"> із застосуванням провідних досягнень служби охорони здоров'я дітей ВООЗ, було розроблено та впроваджено Загальнодер</w:t>
      </w:r>
      <w:r w:rsidR="004836F9">
        <w:rPr>
          <w:rFonts w:eastAsia="Calibri"/>
          <w:color w:val="000000" w:themeColor="text1"/>
          <w:szCs w:val="28"/>
        </w:rPr>
        <w:t xml:space="preserve">жавну програму «Здоров'я – </w:t>
      </w:r>
      <w:r w:rsidRPr="00EA77E3">
        <w:rPr>
          <w:rFonts w:eastAsia="Calibri"/>
          <w:color w:val="000000" w:themeColor="text1"/>
          <w:szCs w:val="28"/>
        </w:rPr>
        <w:t xml:space="preserve">2020: український вимір» («Про схвалення Концепції Загальнодержавної програми «Здоров'я-2020: український вимір» </w:t>
      </w:r>
      <w:r w:rsidR="00470A07">
        <w:rPr>
          <w:rFonts w:eastAsia="Calibri"/>
          <w:color w:val="000000" w:themeColor="text1"/>
          <w:szCs w:val="28"/>
        </w:rPr>
        <w:t>від 31.10.2011</w:t>
      </w:r>
      <w:r w:rsidR="00BB001C">
        <w:rPr>
          <w:rFonts w:eastAsia="Calibri"/>
          <w:color w:val="000000" w:themeColor="text1"/>
          <w:szCs w:val="28"/>
        </w:rPr>
        <w:t> </w:t>
      </w:r>
      <w:r w:rsidR="00470A07">
        <w:rPr>
          <w:rFonts w:eastAsia="Calibri"/>
          <w:color w:val="000000" w:themeColor="text1"/>
          <w:szCs w:val="28"/>
        </w:rPr>
        <w:t>р. № 1164-р) [2</w:t>
      </w:r>
      <w:r w:rsidR="00470A07" w:rsidRPr="00470A07">
        <w:rPr>
          <w:rFonts w:eastAsia="Calibri"/>
          <w:color w:val="000000" w:themeColor="text1"/>
          <w:szCs w:val="28"/>
        </w:rPr>
        <w:t>74</w:t>
      </w:r>
      <w:r w:rsidRPr="00EA77E3">
        <w:rPr>
          <w:rFonts w:eastAsia="Calibri"/>
          <w:color w:val="000000" w:themeColor="text1"/>
          <w:szCs w:val="28"/>
        </w:rPr>
        <w:t>], яка мала за ціль переорієнтувати систему охорони здоров'я Укр</w:t>
      </w:r>
      <w:r w:rsidR="004836F9">
        <w:rPr>
          <w:rFonts w:eastAsia="Calibri"/>
          <w:color w:val="000000" w:themeColor="text1"/>
          <w:szCs w:val="28"/>
        </w:rPr>
        <w:t xml:space="preserve">аїни у профілактичному напрямі </w:t>
      </w:r>
      <w:r w:rsidRPr="00EA77E3">
        <w:rPr>
          <w:rFonts w:eastAsia="Calibri"/>
          <w:color w:val="000000" w:themeColor="text1"/>
          <w:szCs w:val="28"/>
        </w:rPr>
        <w:t xml:space="preserve">за сучасними принципами ВООЗ, розвивати первинну медико-санітарну допомогу на засадах сімейної медицини, запровадити сучасні медичні стандарти, клінічні протоколи, настанови, </w:t>
      </w:r>
      <w:r w:rsidR="00DE77C1">
        <w:rPr>
          <w:rFonts w:eastAsia="Calibri"/>
          <w:color w:val="000000" w:themeColor="text1"/>
          <w:szCs w:val="28"/>
        </w:rPr>
        <w:t>соціальні стандарти</w:t>
      </w:r>
      <w:r w:rsidRPr="00EA77E3">
        <w:rPr>
          <w:rFonts w:eastAsia="Calibri"/>
          <w:color w:val="000000" w:themeColor="text1"/>
          <w:szCs w:val="28"/>
        </w:rPr>
        <w:t xml:space="preserve"> у відповідності до міжнародних документів та вітчизняних нормативно-правових актів </w:t>
      </w:r>
      <w:r w:rsidR="004836F9">
        <w:rPr>
          <w:rFonts w:eastAsia="Calibri"/>
          <w:color w:val="000000" w:themeColor="text1"/>
          <w:szCs w:val="28"/>
        </w:rPr>
        <w:t>і</w:t>
      </w:r>
      <w:r w:rsidRPr="00EA77E3">
        <w:rPr>
          <w:rFonts w:eastAsia="Calibri"/>
          <w:color w:val="000000" w:themeColor="text1"/>
          <w:szCs w:val="28"/>
        </w:rPr>
        <w:t>з</w:t>
      </w:r>
      <w:r w:rsidR="00DE77C1">
        <w:rPr>
          <w:rFonts w:eastAsia="Calibri"/>
          <w:color w:val="000000" w:themeColor="text1"/>
          <w:szCs w:val="28"/>
        </w:rPr>
        <w:t xml:space="preserve"> урахуванням сучасної ситуації та</w:t>
      </w:r>
      <w:r w:rsidRPr="00EA77E3">
        <w:rPr>
          <w:rFonts w:eastAsia="Calibri"/>
          <w:color w:val="000000" w:themeColor="text1"/>
          <w:szCs w:val="28"/>
        </w:rPr>
        <w:t xml:space="preserve"> вимог у соціальній сфері, розр</w:t>
      </w:r>
      <w:r w:rsidR="004836F9">
        <w:rPr>
          <w:rFonts w:eastAsia="Calibri"/>
          <w:color w:val="000000" w:themeColor="text1"/>
          <w:szCs w:val="28"/>
        </w:rPr>
        <w:t>обка яких має супроводжуватись</w:t>
      </w:r>
      <w:r w:rsidRPr="00EA77E3">
        <w:rPr>
          <w:rFonts w:eastAsia="Calibri"/>
          <w:color w:val="000000" w:themeColor="text1"/>
          <w:szCs w:val="28"/>
        </w:rPr>
        <w:t xml:space="preserve"> науковим дослідженням і підтвердже</w:t>
      </w:r>
      <w:r w:rsidR="00FA7C88">
        <w:rPr>
          <w:rFonts w:eastAsia="Calibri"/>
          <w:color w:val="000000" w:themeColor="text1"/>
          <w:szCs w:val="28"/>
        </w:rPr>
        <w:t xml:space="preserve">нням їх ефективності. </w:t>
      </w:r>
    </w:p>
    <w:p w:rsidR="00323DA9" w:rsidRPr="00EA77E3" w:rsidRDefault="00FA7C88" w:rsidP="00721203">
      <w:pPr>
        <w:widowControl w:val="0"/>
        <w:ind w:firstLine="709"/>
        <w:rPr>
          <w:rFonts w:eastAsia="Calibri"/>
          <w:color w:val="000000" w:themeColor="text1"/>
          <w:szCs w:val="28"/>
        </w:rPr>
      </w:pPr>
      <w:r>
        <w:rPr>
          <w:rFonts w:eastAsia="Calibri"/>
          <w:color w:val="000000" w:themeColor="text1"/>
          <w:szCs w:val="28"/>
        </w:rPr>
        <w:t>З</w:t>
      </w:r>
      <w:r w:rsidR="00323DA9" w:rsidRPr="00EA77E3">
        <w:rPr>
          <w:rFonts w:eastAsia="Calibri"/>
          <w:color w:val="000000" w:themeColor="text1"/>
          <w:szCs w:val="28"/>
        </w:rPr>
        <w:t>а результатами виконання вищенаведеної низки нормативно-правових актів</w:t>
      </w:r>
      <w:r w:rsidRPr="00FA7C88">
        <w:rPr>
          <w:rFonts w:eastAsia="Calibri"/>
          <w:color w:val="000000" w:themeColor="text1"/>
          <w:szCs w:val="28"/>
        </w:rPr>
        <w:t xml:space="preserve"> щодо охорони здоров'я дітей</w:t>
      </w:r>
      <w:r w:rsidR="00323DA9" w:rsidRPr="00EA77E3">
        <w:rPr>
          <w:rFonts w:eastAsia="Calibri"/>
          <w:color w:val="000000" w:themeColor="text1"/>
          <w:szCs w:val="28"/>
        </w:rPr>
        <w:t xml:space="preserve"> в Україні, в тому числі і «Національного плану дій щодо реалізації Конвенції ООН пр</w:t>
      </w:r>
      <w:r w:rsidR="00D36C15">
        <w:rPr>
          <w:rFonts w:eastAsia="Calibri"/>
          <w:color w:val="000000" w:themeColor="text1"/>
          <w:szCs w:val="28"/>
        </w:rPr>
        <w:t>о права дитини» [2</w:t>
      </w:r>
      <w:r w:rsidR="00D36C15" w:rsidRPr="00D36C15">
        <w:rPr>
          <w:rFonts w:eastAsia="Calibri"/>
          <w:color w:val="000000" w:themeColor="text1"/>
          <w:szCs w:val="28"/>
        </w:rPr>
        <w:t>66</w:t>
      </w:r>
      <w:r w:rsidR="00127459">
        <w:rPr>
          <w:rFonts w:eastAsia="Calibri"/>
          <w:color w:val="000000" w:themeColor="text1"/>
          <w:szCs w:val="28"/>
        </w:rPr>
        <w:t>], який</w:t>
      </w:r>
      <w:r w:rsidR="00323DA9" w:rsidRPr="00EA77E3">
        <w:rPr>
          <w:rFonts w:eastAsia="Calibri"/>
          <w:color w:val="000000" w:themeColor="text1"/>
          <w:szCs w:val="28"/>
        </w:rPr>
        <w:t xml:space="preserve"> був впроваджений на період до 2016</w:t>
      </w:r>
      <w:r w:rsidR="00127459">
        <w:rPr>
          <w:rFonts w:eastAsia="Calibri"/>
          <w:color w:val="000000" w:themeColor="text1"/>
          <w:szCs w:val="28"/>
        </w:rPr>
        <w:t xml:space="preserve"> р., </w:t>
      </w:r>
      <w:r w:rsidR="00323DA9" w:rsidRPr="00EA77E3">
        <w:rPr>
          <w:rFonts w:eastAsia="Calibri"/>
          <w:color w:val="000000" w:themeColor="text1"/>
          <w:szCs w:val="28"/>
        </w:rPr>
        <w:t>очікуваних результаті</w:t>
      </w:r>
      <w:r w:rsidR="00127459">
        <w:rPr>
          <w:rFonts w:eastAsia="Calibri"/>
          <w:color w:val="000000" w:themeColor="text1"/>
          <w:szCs w:val="28"/>
        </w:rPr>
        <w:t>в</w:t>
      </w:r>
      <w:r w:rsidR="00323DA9" w:rsidRPr="00EA77E3">
        <w:rPr>
          <w:rFonts w:eastAsia="Calibri"/>
          <w:color w:val="000000" w:themeColor="text1"/>
          <w:szCs w:val="28"/>
        </w:rPr>
        <w:t xml:space="preserve"> досягнуто</w:t>
      </w:r>
      <w:r w:rsidR="00127459">
        <w:rPr>
          <w:rFonts w:eastAsia="Calibri"/>
          <w:color w:val="000000" w:themeColor="text1"/>
          <w:szCs w:val="28"/>
        </w:rPr>
        <w:t xml:space="preserve"> не було. </w:t>
      </w:r>
      <w:r w:rsidR="007364F2">
        <w:rPr>
          <w:rFonts w:eastAsia="Calibri"/>
          <w:color w:val="000000" w:themeColor="text1"/>
          <w:szCs w:val="28"/>
        </w:rPr>
        <w:t>З</w:t>
      </w:r>
      <w:r w:rsidR="00127459">
        <w:rPr>
          <w:rFonts w:eastAsia="Calibri"/>
          <w:color w:val="000000" w:themeColor="text1"/>
          <w:szCs w:val="28"/>
        </w:rPr>
        <w:t>а даними експертів ВООЗ</w:t>
      </w:r>
      <w:r w:rsidR="00323DA9" w:rsidRPr="00EA77E3">
        <w:rPr>
          <w:rFonts w:eastAsia="Calibri"/>
          <w:color w:val="000000" w:themeColor="text1"/>
          <w:szCs w:val="28"/>
        </w:rPr>
        <w:t xml:space="preserve"> для здійснення ефективної політики має сенс впровадження </w:t>
      </w:r>
      <w:r w:rsidR="00323DA9" w:rsidRPr="00B23F23">
        <w:rPr>
          <w:rFonts w:eastAsia="Calibri"/>
          <w:szCs w:val="28"/>
        </w:rPr>
        <w:t>методу стратегічного планування з дотриманням правової складової та правовим супро</w:t>
      </w:r>
      <w:r w:rsidR="00B23F23" w:rsidRPr="00B23F23">
        <w:rPr>
          <w:rFonts w:eastAsia="Calibri"/>
          <w:szCs w:val="28"/>
        </w:rPr>
        <w:t>водом на Національному рівні. Державне</w:t>
      </w:r>
      <w:r w:rsidR="00323DA9" w:rsidRPr="00B23F23">
        <w:rPr>
          <w:rFonts w:eastAsia="Calibri"/>
          <w:szCs w:val="28"/>
        </w:rPr>
        <w:t xml:space="preserve"> регулювання </w:t>
      </w:r>
      <w:r w:rsidR="00B23F23" w:rsidRPr="00B23F23">
        <w:rPr>
          <w:rFonts w:eastAsia="Calibri"/>
          <w:szCs w:val="28"/>
        </w:rPr>
        <w:t xml:space="preserve">забезпечення здоров'я дітей </w:t>
      </w:r>
      <w:r w:rsidR="00323DA9" w:rsidRPr="00B23F23">
        <w:rPr>
          <w:rFonts w:eastAsia="Calibri"/>
          <w:szCs w:val="28"/>
        </w:rPr>
        <w:t>має бути комплексним, носити всеохоплюючий характер з високим рівнем ре</w:t>
      </w:r>
      <w:r w:rsidR="00B23F23" w:rsidRPr="00B23F23">
        <w:rPr>
          <w:rFonts w:eastAsia="Calibri"/>
          <w:szCs w:val="28"/>
        </w:rPr>
        <w:t>алізації, переглядом</w:t>
      </w:r>
      <w:r w:rsidR="00323DA9" w:rsidRPr="00B23F23">
        <w:rPr>
          <w:rFonts w:eastAsia="Calibri"/>
          <w:szCs w:val="28"/>
        </w:rPr>
        <w:t xml:space="preserve"> кожні 5-10 років з дотриманням основної умови – це доступності медичної допомоги </w:t>
      </w:r>
      <w:r w:rsidR="00871A71" w:rsidRPr="00B23F23">
        <w:rPr>
          <w:rFonts w:eastAsia="Calibri"/>
          <w:szCs w:val="28"/>
        </w:rPr>
        <w:t>всім дітям, що її потребують [</w:t>
      </w:r>
      <w:r w:rsidR="00DE2807">
        <w:rPr>
          <w:rFonts w:eastAsia="Calibri"/>
          <w:color w:val="000000" w:themeColor="text1"/>
          <w:szCs w:val="28"/>
        </w:rPr>
        <w:t>4, 12</w:t>
      </w:r>
      <w:r w:rsidR="00871A71" w:rsidRPr="00871A71">
        <w:rPr>
          <w:rFonts w:eastAsia="Calibri"/>
          <w:color w:val="000000" w:themeColor="text1"/>
          <w:szCs w:val="28"/>
        </w:rPr>
        <w:t>, 54, 60, 231</w:t>
      </w:r>
      <w:r w:rsidR="00323DA9" w:rsidRPr="00EA77E3">
        <w:rPr>
          <w:rFonts w:eastAsia="Calibri"/>
          <w:color w:val="000000" w:themeColor="text1"/>
          <w:szCs w:val="28"/>
        </w:rPr>
        <w:t>].</w:t>
      </w:r>
    </w:p>
    <w:p w:rsidR="00323DA9" w:rsidRPr="00EA77E3" w:rsidRDefault="00323DA9" w:rsidP="00721203">
      <w:pPr>
        <w:widowControl w:val="0"/>
        <w:ind w:firstLine="709"/>
        <w:rPr>
          <w:rFonts w:eastAsia="Times New Roman"/>
          <w:color w:val="000000" w:themeColor="text1"/>
          <w:szCs w:val="28"/>
          <w:lang w:eastAsia="ru-RU"/>
        </w:rPr>
      </w:pPr>
      <w:r w:rsidRPr="00EA77E3">
        <w:rPr>
          <w:rFonts w:eastAsia="Times New Roman"/>
          <w:color w:val="000000" w:themeColor="text1"/>
          <w:szCs w:val="28"/>
          <w:lang w:eastAsia="ru-RU"/>
        </w:rPr>
        <w:t xml:space="preserve">Протягом останніх років політика розвинених країн спрямована на вирішення демографічних проблем і підвищення народжуваності для довгострокової перспективи відтворення населення для чого проводиться постійний аналіз соціальної політики щодо зміцнення репродуктивного здоров’я і попередження репродуктивних втрат. Слід </w:t>
      </w:r>
      <w:r w:rsidRPr="00EA77E3">
        <w:rPr>
          <w:rFonts w:eastAsia="Times New Roman"/>
          <w:color w:val="000000" w:themeColor="text1"/>
          <w:szCs w:val="28"/>
          <w:lang w:eastAsia="ru-RU"/>
        </w:rPr>
        <w:lastRenderedPageBreak/>
        <w:t>наголосити, що дотримання країнами, а також Україною, запропонованих міжнародних заходів, виконання стратегій ВООЗ та ініціатив, впровадження науково обгрунтованої практики у перинатальну допомогу, а саме регіоналізації перинатальної допомоги</w:t>
      </w:r>
      <w:r w:rsidR="00056C0C">
        <w:rPr>
          <w:rFonts w:eastAsia="Times New Roman"/>
          <w:color w:val="000000" w:themeColor="text1"/>
          <w:szCs w:val="28"/>
          <w:lang w:eastAsia="ru-RU"/>
        </w:rPr>
        <w:t>,</w:t>
      </w:r>
      <w:r w:rsidRPr="00EA77E3">
        <w:rPr>
          <w:rFonts w:eastAsia="Times New Roman"/>
          <w:color w:val="000000" w:themeColor="text1"/>
          <w:szCs w:val="28"/>
          <w:lang w:eastAsia="ru-RU"/>
        </w:rPr>
        <w:t xml:space="preserve"> призвели до зменшення рівнів материнської смертності, смертності новонароджених, дитячої смертності, зниження показників перинатальної допомоги </w:t>
      </w:r>
      <w:r w:rsidR="00605BF6">
        <w:rPr>
          <w:rFonts w:eastAsia="Times New Roman"/>
          <w:color w:val="000000" w:themeColor="text1"/>
          <w:szCs w:val="28"/>
          <w:lang w:eastAsia="ru-RU"/>
        </w:rPr>
        <w:t>тощо. Репродуктивне здоров</w:t>
      </w:r>
      <w:r w:rsidRPr="00EA77E3">
        <w:rPr>
          <w:rFonts w:eastAsia="Times New Roman"/>
          <w:color w:val="000000" w:themeColor="text1"/>
          <w:szCs w:val="28"/>
          <w:lang w:eastAsia="ru-RU"/>
        </w:rPr>
        <w:t xml:space="preserve">’я визначає соціально-демографічний розвиток країн, оскільки новонароджені визначають здоров’я майбутніх поколінь, а  внутрішньоутробний і ранній постнатальний розвиток залежить від якості життя в соціумі і здоров’я самої сім’ї </w:t>
      </w:r>
      <w:r w:rsidR="00D02F21" w:rsidRPr="00D02F21">
        <w:rPr>
          <w:rFonts w:eastAsia="Calibri"/>
          <w:color w:val="000000" w:themeColor="text1"/>
          <w:szCs w:val="28"/>
        </w:rPr>
        <w:t>[</w:t>
      </w:r>
      <w:r w:rsidR="006F62A9">
        <w:rPr>
          <w:rFonts w:eastAsia="Calibri"/>
          <w:color w:val="000000" w:themeColor="text1"/>
          <w:szCs w:val="28"/>
        </w:rPr>
        <w:t>17</w:t>
      </w:r>
      <w:r w:rsidR="00855E13" w:rsidRPr="00855E13">
        <w:rPr>
          <w:rFonts w:eastAsia="Calibri"/>
          <w:color w:val="000000" w:themeColor="text1"/>
          <w:szCs w:val="28"/>
        </w:rPr>
        <w:t xml:space="preserve">, </w:t>
      </w:r>
      <w:r w:rsidR="006F62A9">
        <w:rPr>
          <w:rFonts w:eastAsia="Calibri"/>
          <w:color w:val="000000" w:themeColor="text1"/>
          <w:szCs w:val="28"/>
        </w:rPr>
        <w:t>41</w:t>
      </w:r>
      <w:r w:rsidRPr="00D02F21">
        <w:rPr>
          <w:rFonts w:eastAsia="Calibri"/>
          <w:b/>
          <w:color w:val="000000" w:themeColor="text1"/>
          <w:szCs w:val="28"/>
        </w:rPr>
        <w:t>,</w:t>
      </w:r>
      <w:r w:rsidRPr="00EA77E3">
        <w:rPr>
          <w:rFonts w:eastAsia="Calibri"/>
          <w:color w:val="000000" w:themeColor="text1"/>
          <w:szCs w:val="28"/>
        </w:rPr>
        <w:t xml:space="preserve"> </w:t>
      </w:r>
      <w:r w:rsidR="009036F3">
        <w:rPr>
          <w:rFonts w:eastAsia="Calibri"/>
          <w:color w:val="000000" w:themeColor="text1"/>
          <w:szCs w:val="28"/>
        </w:rPr>
        <w:t>275-27</w:t>
      </w:r>
      <w:r w:rsidR="009036F3" w:rsidRPr="009036F3">
        <w:rPr>
          <w:rFonts w:eastAsia="Calibri"/>
          <w:color w:val="000000" w:themeColor="text1"/>
          <w:szCs w:val="28"/>
        </w:rPr>
        <w:t>8</w:t>
      </w:r>
      <w:r w:rsidRPr="00EA77E3">
        <w:rPr>
          <w:rFonts w:eastAsia="Calibri"/>
          <w:color w:val="000000" w:themeColor="text1"/>
          <w:szCs w:val="28"/>
        </w:rPr>
        <w:t>].</w:t>
      </w:r>
    </w:p>
    <w:p w:rsidR="00323DA9" w:rsidRPr="00EA77E3" w:rsidRDefault="00872F76" w:rsidP="00721203">
      <w:pPr>
        <w:widowControl w:val="0"/>
        <w:ind w:firstLine="709"/>
        <w:rPr>
          <w:rFonts w:eastAsia="Times New Roman"/>
          <w:color w:val="000000" w:themeColor="text1"/>
          <w:szCs w:val="28"/>
          <w:lang w:eastAsia="ru-RU"/>
        </w:rPr>
      </w:pPr>
      <w:r>
        <w:rPr>
          <w:rFonts w:eastAsia="Times New Roman"/>
          <w:color w:val="000000" w:themeColor="text1"/>
          <w:szCs w:val="28"/>
          <w:lang w:eastAsia="ru-RU"/>
        </w:rPr>
        <w:t>На даний час немає розроблених узагальнених індексів</w:t>
      </w:r>
      <w:r w:rsidR="003D6D96">
        <w:rPr>
          <w:rFonts w:eastAsia="Times New Roman"/>
          <w:color w:val="000000" w:themeColor="text1"/>
          <w:szCs w:val="28"/>
          <w:lang w:eastAsia="ru-RU"/>
        </w:rPr>
        <w:t>, які</w:t>
      </w:r>
      <w:r w:rsidR="00323DA9" w:rsidRPr="00EA77E3">
        <w:rPr>
          <w:rFonts w:eastAsia="Times New Roman"/>
          <w:color w:val="000000" w:themeColor="text1"/>
          <w:szCs w:val="28"/>
          <w:lang w:eastAsia="ru-RU"/>
        </w:rPr>
        <w:t xml:space="preserve"> характеризують стан ре</w:t>
      </w:r>
      <w:r>
        <w:rPr>
          <w:rFonts w:eastAsia="Times New Roman"/>
          <w:color w:val="000000" w:themeColor="text1"/>
          <w:szCs w:val="28"/>
          <w:lang w:eastAsia="ru-RU"/>
        </w:rPr>
        <w:t>продуктивного потенціалу</w:t>
      </w:r>
      <w:r w:rsidR="0074178D">
        <w:rPr>
          <w:rFonts w:eastAsia="Times New Roman"/>
          <w:color w:val="000000" w:themeColor="text1"/>
          <w:szCs w:val="28"/>
          <w:lang w:eastAsia="ru-RU"/>
        </w:rPr>
        <w:t>. Д</w:t>
      </w:r>
      <w:r w:rsidR="00323DA9" w:rsidRPr="00EA77E3">
        <w:rPr>
          <w:rFonts w:eastAsia="Times New Roman"/>
          <w:color w:val="000000" w:themeColor="text1"/>
          <w:szCs w:val="28"/>
          <w:lang w:eastAsia="ru-RU"/>
        </w:rPr>
        <w:t>ля оцінки стану репродуктивного здоров’я на національному і міжнародному рівнях ВООЗ рекомендовано сімнадцять показників</w:t>
      </w:r>
      <w:r w:rsidR="00323DA9" w:rsidRPr="00EA77E3">
        <w:rPr>
          <w:rFonts w:eastAsia="Times New Roman"/>
          <w:bCs/>
          <w:color w:val="000000" w:themeColor="text1"/>
          <w:szCs w:val="28"/>
          <w:lang w:eastAsia="ru-RU"/>
        </w:rPr>
        <w:t xml:space="preserve">, зокрема </w:t>
      </w:r>
      <w:r w:rsidR="00323DA9" w:rsidRPr="00EA77E3">
        <w:rPr>
          <w:rFonts w:eastAsia="Times New Roman"/>
          <w:color w:val="000000" w:themeColor="text1"/>
          <w:szCs w:val="28"/>
          <w:lang w:eastAsia="ru-RU"/>
        </w:rPr>
        <w:t>демографічні показники (загальні і спеціальні коефіцієнти природного руху населення, малюкова, перинат</w:t>
      </w:r>
      <w:r>
        <w:rPr>
          <w:rFonts w:eastAsia="Times New Roman"/>
          <w:color w:val="000000" w:themeColor="text1"/>
          <w:szCs w:val="28"/>
          <w:lang w:eastAsia="ru-RU"/>
        </w:rPr>
        <w:t>альна і материнська смертність),</w:t>
      </w:r>
      <w:r w:rsidR="00323DA9" w:rsidRPr="00EA77E3">
        <w:rPr>
          <w:rFonts w:eastAsia="Times New Roman"/>
          <w:color w:val="000000" w:themeColor="text1"/>
          <w:szCs w:val="28"/>
          <w:lang w:eastAsia="ru-RU"/>
        </w:rPr>
        <w:t xml:space="preserve"> д</w:t>
      </w:r>
      <w:r w:rsidR="0074178D">
        <w:rPr>
          <w:rFonts w:eastAsia="Times New Roman"/>
          <w:color w:val="000000" w:themeColor="text1"/>
          <w:szCs w:val="28"/>
          <w:lang w:eastAsia="ru-RU"/>
        </w:rPr>
        <w:t>еякі показники здоров’я жінок (</w:t>
      </w:r>
      <w:r w:rsidR="00323DA9" w:rsidRPr="00EA77E3">
        <w:rPr>
          <w:rFonts w:eastAsia="Times New Roman"/>
          <w:color w:val="000000" w:themeColor="text1"/>
          <w:szCs w:val="28"/>
          <w:lang w:eastAsia="ru-RU"/>
        </w:rPr>
        <w:t>частота екстрагенітальної патології вагітних, характер гестаційних ускладнень і ускладнень родового акту, частота безпліддя в браку, поширеність генітальної і екстрагенітальної патології, рівень порушень сексуального з</w:t>
      </w:r>
      <w:r w:rsidR="007E7731">
        <w:rPr>
          <w:rFonts w:eastAsia="Times New Roman"/>
          <w:color w:val="000000" w:themeColor="text1"/>
          <w:szCs w:val="28"/>
          <w:lang w:eastAsia="ru-RU"/>
        </w:rPr>
        <w:t>доров’я, рівень поширеності інфекцій, що передаються статевим шляхом</w:t>
      </w:r>
      <w:r w:rsidR="0074178D">
        <w:rPr>
          <w:rFonts w:eastAsia="Times New Roman"/>
          <w:color w:val="000000" w:themeColor="text1"/>
          <w:szCs w:val="28"/>
          <w:lang w:eastAsia="ru-RU"/>
        </w:rPr>
        <w:t>)</w:t>
      </w:r>
      <w:r>
        <w:rPr>
          <w:rFonts w:eastAsia="Times New Roman"/>
          <w:color w:val="000000" w:themeColor="text1"/>
          <w:szCs w:val="28"/>
          <w:lang w:eastAsia="ru-RU"/>
        </w:rPr>
        <w:t>,</w:t>
      </w:r>
      <w:r w:rsidR="00323DA9" w:rsidRPr="00EA77E3">
        <w:rPr>
          <w:rFonts w:eastAsia="Times New Roman"/>
          <w:color w:val="000000" w:themeColor="text1"/>
          <w:szCs w:val="28"/>
          <w:lang w:eastAsia="ru-RU"/>
        </w:rPr>
        <w:t xml:space="preserve"> поширеність використання </w:t>
      </w:r>
      <w:r>
        <w:rPr>
          <w:rFonts w:eastAsia="Times New Roman"/>
          <w:color w:val="000000" w:themeColor="text1"/>
          <w:szCs w:val="28"/>
          <w:lang w:eastAsia="ru-RU"/>
        </w:rPr>
        <w:t>методів контрацепції та</w:t>
      </w:r>
      <w:r w:rsidR="00323DA9" w:rsidRPr="00EA77E3">
        <w:rPr>
          <w:rFonts w:eastAsia="Times New Roman"/>
          <w:color w:val="000000" w:themeColor="text1"/>
          <w:szCs w:val="28"/>
          <w:lang w:eastAsia="ru-RU"/>
        </w:rPr>
        <w:t xml:space="preserve"> рівень абортів. Разом з тим, різні країни і міжнародні організації пропонують різні рекомендації стосовно того, які </w:t>
      </w:r>
      <w:r w:rsidR="0074178D">
        <w:rPr>
          <w:rFonts w:eastAsia="Times New Roman"/>
          <w:color w:val="000000" w:themeColor="text1"/>
          <w:szCs w:val="28"/>
          <w:lang w:eastAsia="ru-RU"/>
        </w:rPr>
        <w:t xml:space="preserve">саме </w:t>
      </w:r>
      <w:r w:rsidR="00323DA9" w:rsidRPr="00EA77E3">
        <w:rPr>
          <w:rFonts w:eastAsia="Times New Roman"/>
          <w:color w:val="000000" w:themeColor="text1"/>
          <w:szCs w:val="28"/>
          <w:lang w:eastAsia="ru-RU"/>
        </w:rPr>
        <w:t xml:space="preserve">показники оцінювати. Кількість показників для оцінки стану репродуктивного здоров’я коливається від 10 в Данії до 43 в Канаді. </w:t>
      </w:r>
      <w:r w:rsidR="00274E1F">
        <w:rPr>
          <w:rFonts w:eastAsia="Times New Roman"/>
          <w:color w:val="000000" w:themeColor="text1"/>
          <w:szCs w:val="28"/>
          <w:lang w:eastAsia="ru-RU"/>
        </w:rPr>
        <w:t>В цілому, п</w:t>
      </w:r>
      <w:r w:rsidR="00323DA9" w:rsidRPr="00EA77E3">
        <w:rPr>
          <w:rFonts w:eastAsia="Times New Roman"/>
          <w:color w:val="000000" w:themeColor="text1"/>
          <w:szCs w:val="28"/>
          <w:lang w:eastAsia="ru-RU"/>
        </w:rPr>
        <w:t>оказники репродуктивного здоров'я – ц</w:t>
      </w:r>
      <w:r w:rsidR="00A019A8">
        <w:rPr>
          <w:rFonts w:eastAsia="Times New Roman"/>
          <w:color w:val="000000" w:themeColor="text1"/>
          <w:szCs w:val="28"/>
          <w:lang w:eastAsia="ru-RU"/>
        </w:rPr>
        <w:t xml:space="preserve">е </w:t>
      </w:r>
      <w:r w:rsidR="00323DA9" w:rsidRPr="00EA77E3">
        <w:rPr>
          <w:rFonts w:eastAsia="Times New Roman"/>
          <w:color w:val="000000" w:themeColor="text1"/>
          <w:szCs w:val="28"/>
          <w:lang w:eastAsia="ru-RU"/>
        </w:rPr>
        <w:t>па</w:t>
      </w:r>
      <w:r w:rsidR="00A019A8">
        <w:rPr>
          <w:rFonts w:eastAsia="Times New Roman"/>
          <w:color w:val="000000" w:themeColor="text1"/>
          <w:szCs w:val="28"/>
          <w:lang w:eastAsia="ru-RU"/>
        </w:rPr>
        <w:t>раметри, які допомагають отримати  певну характеристику</w:t>
      </w:r>
      <w:r w:rsidR="00323DA9" w:rsidRPr="00EA77E3">
        <w:rPr>
          <w:rFonts w:eastAsia="Times New Roman"/>
          <w:color w:val="000000" w:themeColor="text1"/>
          <w:szCs w:val="28"/>
          <w:lang w:eastAsia="ru-RU"/>
        </w:rPr>
        <w:t xml:space="preserve"> стану здоров'я населення. </w:t>
      </w:r>
      <w:r w:rsidR="0074178D">
        <w:rPr>
          <w:rFonts w:eastAsia="Times New Roman"/>
          <w:color w:val="000000" w:themeColor="text1"/>
          <w:szCs w:val="28"/>
          <w:lang w:eastAsia="ru-RU"/>
        </w:rPr>
        <w:t xml:space="preserve">Вони узагальнюють дані </w:t>
      </w:r>
      <w:r w:rsidR="00323DA9" w:rsidRPr="00EA77E3">
        <w:rPr>
          <w:rFonts w:eastAsia="Times New Roman"/>
          <w:color w:val="000000" w:themeColor="text1"/>
          <w:szCs w:val="28"/>
          <w:lang w:eastAsia="ru-RU"/>
        </w:rPr>
        <w:t>з метою оцінки поточного стану реп</w:t>
      </w:r>
      <w:r w:rsidR="0074178D">
        <w:rPr>
          <w:rFonts w:eastAsia="Times New Roman"/>
          <w:color w:val="000000" w:themeColor="text1"/>
          <w:szCs w:val="28"/>
          <w:lang w:eastAsia="ru-RU"/>
        </w:rPr>
        <w:t>родуктивного здоров'я населення, виявлення проблем, які</w:t>
      </w:r>
      <w:r w:rsidR="00323DA9" w:rsidRPr="00EA77E3">
        <w:rPr>
          <w:rFonts w:eastAsia="Times New Roman"/>
          <w:color w:val="000000" w:themeColor="text1"/>
          <w:szCs w:val="28"/>
          <w:lang w:eastAsia="ru-RU"/>
        </w:rPr>
        <w:t xml:space="preserve"> м</w:t>
      </w:r>
      <w:r w:rsidR="0074178D">
        <w:rPr>
          <w:rFonts w:eastAsia="Times New Roman"/>
          <w:color w:val="000000" w:themeColor="text1"/>
          <w:szCs w:val="28"/>
          <w:lang w:eastAsia="ru-RU"/>
        </w:rPr>
        <w:t xml:space="preserve">ають відношення до планування, </w:t>
      </w:r>
      <w:r w:rsidR="00323DA9" w:rsidRPr="00EA77E3">
        <w:rPr>
          <w:rFonts w:eastAsia="Times New Roman"/>
          <w:color w:val="000000" w:themeColor="text1"/>
          <w:szCs w:val="28"/>
          <w:lang w:eastAsia="ru-RU"/>
        </w:rPr>
        <w:t>проведення заходів і прогр</w:t>
      </w:r>
      <w:r w:rsidR="0074178D">
        <w:rPr>
          <w:rFonts w:eastAsia="Times New Roman"/>
          <w:color w:val="000000" w:themeColor="text1"/>
          <w:szCs w:val="28"/>
          <w:lang w:eastAsia="ru-RU"/>
        </w:rPr>
        <w:t>ам із забезпечення формування і збереження</w:t>
      </w:r>
      <w:r w:rsidR="00323DA9" w:rsidRPr="00EA77E3">
        <w:rPr>
          <w:rFonts w:eastAsia="Times New Roman"/>
          <w:color w:val="000000" w:themeColor="text1"/>
          <w:szCs w:val="28"/>
          <w:lang w:eastAsia="ru-RU"/>
        </w:rPr>
        <w:t xml:space="preserve"> реп</w:t>
      </w:r>
      <w:r w:rsidR="0074178D">
        <w:rPr>
          <w:rFonts w:eastAsia="Times New Roman"/>
          <w:color w:val="000000" w:themeColor="text1"/>
          <w:szCs w:val="28"/>
          <w:lang w:eastAsia="ru-RU"/>
        </w:rPr>
        <w:t>родуктивного здоров'я населення, а також</w:t>
      </w:r>
      <w:r w:rsidR="00323DA9" w:rsidRPr="00EA77E3">
        <w:rPr>
          <w:rFonts w:eastAsia="Times New Roman"/>
          <w:color w:val="000000" w:themeColor="text1"/>
          <w:szCs w:val="28"/>
          <w:lang w:eastAsia="ru-RU"/>
        </w:rPr>
        <w:t xml:space="preserve"> моніторування впровадження та ефективності програм</w:t>
      </w:r>
      <w:r w:rsidR="009F2A45">
        <w:rPr>
          <w:rFonts w:eastAsia="Times New Roman"/>
          <w:color w:val="000000" w:themeColor="text1"/>
          <w:szCs w:val="28"/>
          <w:lang w:eastAsia="ru-RU"/>
        </w:rPr>
        <w:t xml:space="preserve"> з</w:t>
      </w:r>
      <w:r w:rsidR="00323DA9" w:rsidRPr="00EA77E3">
        <w:rPr>
          <w:rFonts w:eastAsia="Times New Roman"/>
          <w:color w:val="000000" w:themeColor="text1"/>
          <w:szCs w:val="28"/>
          <w:lang w:eastAsia="ru-RU"/>
        </w:rPr>
        <w:t xml:space="preserve"> поліпшення репродуктивного здоров'я. Згідно визначенню </w:t>
      </w:r>
      <w:r w:rsidR="00323DA9" w:rsidRPr="00EA77E3">
        <w:rPr>
          <w:rFonts w:eastAsia="Times New Roman"/>
          <w:color w:val="000000" w:themeColor="text1"/>
          <w:szCs w:val="28"/>
          <w:lang w:eastAsia="ru-RU"/>
        </w:rPr>
        <w:lastRenderedPageBreak/>
        <w:t>ВООЗ, показники репродуктивного здоров'я повинні бути етичними, корисними (маркерами прогресу), науково обґрунтованими (валідними</w:t>
      </w:r>
      <w:r w:rsidR="00197409">
        <w:rPr>
          <w:rFonts w:eastAsia="Times New Roman"/>
          <w:color w:val="000000" w:themeColor="text1"/>
          <w:szCs w:val="28"/>
          <w:lang w:eastAsia="ru-RU"/>
        </w:rPr>
        <w:t xml:space="preserve">, </w:t>
      </w:r>
      <w:r w:rsidR="00323DA9" w:rsidRPr="00EA77E3">
        <w:rPr>
          <w:rFonts w:eastAsia="Times New Roman"/>
          <w:color w:val="000000" w:themeColor="text1"/>
          <w:szCs w:val="28"/>
          <w:lang w:eastAsia="ru-RU"/>
        </w:rPr>
        <w:t>сп</w:t>
      </w:r>
      <w:r w:rsidR="00197409">
        <w:rPr>
          <w:rFonts w:eastAsia="Times New Roman"/>
          <w:color w:val="000000" w:themeColor="text1"/>
          <w:szCs w:val="28"/>
          <w:lang w:eastAsia="ru-RU"/>
        </w:rPr>
        <w:t>ецифічними, чутливими, надійними</w:t>
      </w:r>
      <w:r w:rsidR="00323DA9" w:rsidRPr="00EA77E3">
        <w:rPr>
          <w:rFonts w:eastAsia="Times New Roman"/>
          <w:color w:val="000000" w:themeColor="text1"/>
          <w:szCs w:val="28"/>
          <w:lang w:eastAsia="ru-RU"/>
        </w:rPr>
        <w:t>), репрезентативними (робити адекватне заключення щодо ситуації або групи населення),</w:t>
      </w:r>
      <w:r w:rsidR="00274E1F">
        <w:rPr>
          <w:rFonts w:eastAsia="Times New Roman"/>
          <w:color w:val="000000" w:themeColor="text1"/>
          <w:szCs w:val="28"/>
          <w:lang w:eastAsia="ru-RU"/>
        </w:rPr>
        <w:t xml:space="preserve"> зрозумілими (легко визначатись і інтерпретуватись</w:t>
      </w:r>
      <w:r w:rsidR="00323DA9" w:rsidRPr="00EA77E3">
        <w:rPr>
          <w:rFonts w:eastAsia="Times New Roman"/>
          <w:color w:val="000000" w:themeColor="text1"/>
          <w:szCs w:val="28"/>
          <w:lang w:eastAsia="ru-RU"/>
        </w:rPr>
        <w:t xml:space="preserve">), доступними (необхідні дані повинні вже існувати або легко збиратися доступними методами). </w:t>
      </w:r>
      <w:r w:rsidR="00274E1F">
        <w:rPr>
          <w:rFonts w:eastAsia="Times New Roman"/>
          <w:color w:val="000000" w:themeColor="text1"/>
          <w:szCs w:val="28"/>
          <w:lang w:eastAsia="ru-RU"/>
        </w:rPr>
        <w:t>Слід зазначити, що р</w:t>
      </w:r>
      <w:r w:rsidR="00323DA9" w:rsidRPr="00EA77E3">
        <w:rPr>
          <w:rFonts w:eastAsia="Times New Roman"/>
          <w:color w:val="000000" w:themeColor="text1"/>
          <w:szCs w:val="28"/>
          <w:lang w:eastAsia="ru-RU"/>
        </w:rPr>
        <w:t>епродуктивне здоров'я знаходиться під впливом багатьох аспектів здоров'я людини, особливо ВІЛ інфекції, харчування, здоров'я немовлят та дітей, здоров'я і сексуальності підлітків, стилю життя і фак</w:t>
      </w:r>
      <w:r w:rsidR="00656423">
        <w:rPr>
          <w:rFonts w:eastAsia="Times New Roman"/>
          <w:color w:val="000000" w:themeColor="text1"/>
          <w:szCs w:val="28"/>
          <w:lang w:eastAsia="ru-RU"/>
        </w:rPr>
        <w:t>торів навколишнього середовища, р</w:t>
      </w:r>
      <w:r w:rsidR="00FA4BEF">
        <w:rPr>
          <w:rFonts w:eastAsia="Times New Roman"/>
          <w:color w:val="000000" w:themeColor="text1"/>
          <w:szCs w:val="28"/>
          <w:lang w:eastAsia="ru-RU"/>
        </w:rPr>
        <w:t>ізних соціальних та культурних чинників</w:t>
      </w:r>
      <w:r w:rsidR="00274E1F">
        <w:rPr>
          <w:rFonts w:eastAsia="Times New Roman"/>
          <w:color w:val="000000" w:themeColor="text1"/>
          <w:szCs w:val="28"/>
          <w:lang w:eastAsia="ru-RU"/>
        </w:rPr>
        <w:t>, тому</w:t>
      </w:r>
      <w:r w:rsidR="00656423">
        <w:rPr>
          <w:rFonts w:eastAsia="Times New Roman"/>
          <w:color w:val="000000" w:themeColor="text1"/>
          <w:szCs w:val="28"/>
          <w:lang w:eastAsia="ru-RU"/>
        </w:rPr>
        <w:t xml:space="preserve"> </w:t>
      </w:r>
      <w:r w:rsidR="00274E1F">
        <w:rPr>
          <w:rFonts w:eastAsia="Times New Roman"/>
          <w:color w:val="000000" w:themeColor="text1"/>
          <w:szCs w:val="28"/>
          <w:lang w:eastAsia="ru-RU"/>
        </w:rPr>
        <w:t>а</w:t>
      </w:r>
      <w:r w:rsidR="00323DA9" w:rsidRPr="00EA77E3">
        <w:rPr>
          <w:rFonts w:eastAsia="Times New Roman"/>
          <w:color w:val="000000" w:themeColor="text1"/>
          <w:szCs w:val="28"/>
          <w:lang w:eastAsia="ru-RU"/>
        </w:rPr>
        <w:t>наліз цих факт</w:t>
      </w:r>
      <w:r w:rsidR="00A608B4">
        <w:rPr>
          <w:rFonts w:eastAsia="Times New Roman"/>
          <w:color w:val="000000" w:themeColor="text1"/>
          <w:szCs w:val="28"/>
          <w:lang w:eastAsia="ru-RU"/>
        </w:rPr>
        <w:t xml:space="preserve">орів </w:t>
      </w:r>
      <w:r w:rsidR="009E531D">
        <w:rPr>
          <w:rFonts w:eastAsia="Times New Roman"/>
          <w:color w:val="000000" w:themeColor="text1"/>
          <w:szCs w:val="28"/>
          <w:lang w:eastAsia="ru-RU"/>
        </w:rPr>
        <w:t xml:space="preserve">важливий і </w:t>
      </w:r>
      <w:r w:rsidR="00A608B4">
        <w:rPr>
          <w:rFonts w:eastAsia="Times New Roman"/>
          <w:color w:val="000000" w:themeColor="text1"/>
          <w:szCs w:val="28"/>
          <w:lang w:eastAsia="ru-RU"/>
        </w:rPr>
        <w:t>дозволяє визнача</w:t>
      </w:r>
      <w:r w:rsidR="00323DA9" w:rsidRPr="00EA77E3">
        <w:rPr>
          <w:rFonts w:eastAsia="Times New Roman"/>
          <w:color w:val="000000" w:themeColor="text1"/>
          <w:szCs w:val="28"/>
          <w:lang w:eastAsia="ru-RU"/>
        </w:rPr>
        <w:t xml:space="preserve">ти сфери докладання зусиль для поліпшення репродуктивного здоров'я </w:t>
      </w:r>
      <w:r w:rsidR="00323DA9" w:rsidRPr="00EA77E3">
        <w:rPr>
          <w:rFonts w:eastAsia="Calibri"/>
          <w:color w:val="000000" w:themeColor="text1"/>
          <w:szCs w:val="28"/>
        </w:rPr>
        <w:t>[</w:t>
      </w:r>
      <w:r w:rsidR="00953BE8">
        <w:rPr>
          <w:rFonts w:eastAsia="Calibri"/>
          <w:color w:val="000000" w:themeColor="text1"/>
          <w:szCs w:val="28"/>
        </w:rPr>
        <w:t>5</w:t>
      </w:r>
      <w:r w:rsidR="000003CF" w:rsidRPr="00274E1F">
        <w:rPr>
          <w:rFonts w:eastAsia="Calibri"/>
          <w:color w:val="000000" w:themeColor="text1"/>
          <w:szCs w:val="28"/>
        </w:rPr>
        <w:t xml:space="preserve">, </w:t>
      </w:r>
      <w:r w:rsidR="000003CF">
        <w:rPr>
          <w:rFonts w:eastAsia="Calibri"/>
          <w:color w:val="000000" w:themeColor="text1"/>
          <w:szCs w:val="28"/>
        </w:rPr>
        <w:t>2</w:t>
      </w:r>
      <w:r w:rsidR="000003CF" w:rsidRPr="00274E1F">
        <w:rPr>
          <w:rFonts w:eastAsia="Calibri"/>
          <w:color w:val="000000" w:themeColor="text1"/>
          <w:szCs w:val="28"/>
        </w:rPr>
        <w:t>79</w:t>
      </w:r>
      <w:r w:rsidR="000003CF">
        <w:rPr>
          <w:rFonts w:eastAsia="Calibri"/>
          <w:color w:val="000000" w:themeColor="text1"/>
          <w:szCs w:val="28"/>
        </w:rPr>
        <w:t>-2</w:t>
      </w:r>
      <w:r w:rsidR="000003CF" w:rsidRPr="00274E1F">
        <w:rPr>
          <w:rFonts w:eastAsia="Calibri"/>
          <w:color w:val="000000" w:themeColor="text1"/>
          <w:szCs w:val="28"/>
        </w:rPr>
        <w:t>85</w:t>
      </w:r>
      <w:r w:rsidR="00323DA9" w:rsidRPr="00EA77E3">
        <w:rPr>
          <w:rFonts w:eastAsia="Calibri"/>
          <w:color w:val="000000" w:themeColor="text1"/>
          <w:szCs w:val="28"/>
        </w:rPr>
        <w:t>].</w:t>
      </w:r>
    </w:p>
    <w:p w:rsidR="00323DA9" w:rsidRPr="00EA77E3" w:rsidRDefault="00323DA9" w:rsidP="00721203">
      <w:pPr>
        <w:widowControl w:val="0"/>
        <w:ind w:firstLine="709"/>
        <w:rPr>
          <w:rFonts w:eastAsia="Calibri"/>
          <w:color w:val="000000" w:themeColor="text1"/>
          <w:szCs w:val="28"/>
        </w:rPr>
      </w:pPr>
      <w:r w:rsidRPr="00EA77E3">
        <w:rPr>
          <w:rFonts w:eastAsia="Times New Roman"/>
          <w:color w:val="000000" w:themeColor="text1"/>
          <w:szCs w:val="28"/>
          <w:lang w:eastAsia="ru-RU"/>
        </w:rPr>
        <w:t>Досвід більшості країн вказав на те, що питання з попередження дитяч</w:t>
      </w:r>
      <w:r w:rsidR="007E7731">
        <w:rPr>
          <w:rFonts w:eastAsia="Times New Roman"/>
          <w:color w:val="000000" w:themeColor="text1"/>
          <w:szCs w:val="28"/>
          <w:lang w:eastAsia="ru-RU"/>
        </w:rPr>
        <w:t>ої смертності</w:t>
      </w:r>
      <w:r w:rsidR="002937A3">
        <w:rPr>
          <w:rFonts w:eastAsia="Times New Roman"/>
          <w:color w:val="000000" w:themeColor="text1"/>
          <w:szCs w:val="28"/>
          <w:lang w:eastAsia="ru-RU"/>
        </w:rPr>
        <w:t xml:space="preserve">, а також </w:t>
      </w:r>
      <w:r w:rsidR="0084500B">
        <w:rPr>
          <w:rFonts w:eastAsia="Times New Roman"/>
          <w:color w:val="000000" w:themeColor="text1"/>
          <w:szCs w:val="28"/>
          <w:lang w:eastAsia="ru-RU"/>
        </w:rPr>
        <w:t>перинатальної</w:t>
      </w:r>
      <w:r w:rsidRPr="00EA77E3">
        <w:rPr>
          <w:rFonts w:eastAsia="Times New Roman"/>
          <w:color w:val="000000" w:themeColor="text1"/>
          <w:szCs w:val="28"/>
          <w:lang w:eastAsia="ru-RU"/>
        </w:rPr>
        <w:t>, малюковою смертності, не вирішити виключно сучасними медичними технологіями та високотехно</w:t>
      </w:r>
      <w:r w:rsidR="002937A3">
        <w:rPr>
          <w:rFonts w:eastAsia="Times New Roman"/>
          <w:color w:val="000000" w:themeColor="text1"/>
          <w:szCs w:val="28"/>
          <w:lang w:eastAsia="ru-RU"/>
        </w:rPr>
        <w:t>логічним обладнанням, тому стає</w:t>
      </w:r>
      <w:r w:rsidRPr="00EA77E3">
        <w:rPr>
          <w:rFonts w:eastAsia="Times New Roman"/>
          <w:color w:val="000000" w:themeColor="text1"/>
          <w:szCs w:val="28"/>
          <w:lang w:eastAsia="ru-RU"/>
        </w:rPr>
        <w:t xml:space="preserve"> зрозумілим необхідність застосування адекватних послідовних заходів організаційного і адміні</w:t>
      </w:r>
      <w:r w:rsidR="002937A3">
        <w:rPr>
          <w:rFonts w:eastAsia="Times New Roman"/>
          <w:color w:val="000000" w:themeColor="text1"/>
          <w:szCs w:val="28"/>
          <w:lang w:eastAsia="ru-RU"/>
        </w:rPr>
        <w:t xml:space="preserve">стративного характеру, які </w:t>
      </w:r>
      <w:r w:rsidRPr="00EA77E3">
        <w:rPr>
          <w:rFonts w:eastAsia="Times New Roman"/>
          <w:color w:val="000000" w:themeColor="text1"/>
          <w:szCs w:val="28"/>
          <w:lang w:eastAsia="ru-RU"/>
        </w:rPr>
        <w:t xml:space="preserve"> </w:t>
      </w:r>
      <w:r w:rsidR="002937A3">
        <w:rPr>
          <w:rFonts w:eastAsia="Times New Roman"/>
          <w:color w:val="000000" w:themeColor="text1"/>
          <w:szCs w:val="28"/>
          <w:lang w:eastAsia="ru-RU"/>
        </w:rPr>
        <w:t>забезпечують</w:t>
      </w:r>
      <w:r w:rsidRPr="00EA77E3">
        <w:rPr>
          <w:rFonts w:eastAsia="Times New Roman"/>
          <w:color w:val="000000" w:themeColor="text1"/>
          <w:szCs w:val="28"/>
          <w:lang w:eastAsia="ru-RU"/>
        </w:rPr>
        <w:t xml:space="preserve"> якісну і доступну перинатальну допомогу у відповідності з її складністю. Саме тому у європейських країнах, а також в Україні, впроваджено модель, що будується за  адміністративно–територіальним принципом, і має забезпечувати медичною допомогою жінок і дітей від первинного до високоспеціалізованого рівня за потребою. Ця модель називається «регіоналіз</w:t>
      </w:r>
      <w:r w:rsidR="0084500B">
        <w:rPr>
          <w:rFonts w:eastAsia="Times New Roman"/>
          <w:color w:val="000000" w:themeColor="text1"/>
          <w:szCs w:val="28"/>
          <w:lang w:eastAsia="ru-RU"/>
        </w:rPr>
        <w:t xml:space="preserve">ація перинатальної допомоги», </w:t>
      </w:r>
      <w:r w:rsidRPr="00EA77E3">
        <w:rPr>
          <w:rFonts w:eastAsia="Times New Roman"/>
          <w:color w:val="000000" w:themeColor="text1"/>
          <w:szCs w:val="28"/>
          <w:lang w:eastAsia="ru-RU"/>
        </w:rPr>
        <w:t>яка включає в себе сучасні медичні технології</w:t>
      </w:r>
      <w:r w:rsidR="0084500B">
        <w:rPr>
          <w:rFonts w:eastAsia="Times New Roman"/>
          <w:color w:val="000000" w:themeColor="text1"/>
          <w:szCs w:val="28"/>
          <w:lang w:eastAsia="ru-RU"/>
        </w:rPr>
        <w:t>,  спрямовує</w:t>
      </w:r>
      <w:r w:rsidRPr="00EA77E3">
        <w:rPr>
          <w:rFonts w:eastAsia="Times New Roman"/>
          <w:color w:val="000000" w:themeColor="text1"/>
          <w:szCs w:val="28"/>
          <w:lang w:eastAsia="ru-RU"/>
        </w:rPr>
        <w:t xml:space="preserve">  вагітних до </w:t>
      </w:r>
      <w:r w:rsidR="00105DFD">
        <w:rPr>
          <w:rFonts w:eastAsia="Times New Roman"/>
          <w:color w:val="000000" w:themeColor="text1"/>
          <w:szCs w:val="28"/>
          <w:lang w:eastAsia="ru-RU"/>
        </w:rPr>
        <w:t>закладу охорони здоров’я (</w:t>
      </w:r>
      <w:r w:rsidRPr="00EA77E3">
        <w:rPr>
          <w:rFonts w:eastAsia="Times New Roman"/>
          <w:color w:val="000000" w:themeColor="text1"/>
          <w:szCs w:val="28"/>
          <w:lang w:eastAsia="ru-RU"/>
        </w:rPr>
        <w:t>ЗОЗ</w:t>
      </w:r>
      <w:r w:rsidR="00105DFD">
        <w:rPr>
          <w:rFonts w:eastAsia="Times New Roman"/>
          <w:color w:val="000000" w:themeColor="text1"/>
          <w:szCs w:val="28"/>
          <w:lang w:eastAsia="ru-RU"/>
        </w:rPr>
        <w:t>)</w:t>
      </w:r>
      <w:r w:rsidRPr="00EA77E3">
        <w:rPr>
          <w:rFonts w:eastAsia="Times New Roman"/>
          <w:color w:val="000000" w:themeColor="text1"/>
          <w:szCs w:val="28"/>
          <w:lang w:eastAsia="ru-RU"/>
        </w:rPr>
        <w:t xml:space="preserve"> відповідного рівня в залежності від ступеня перинатального ризику</w:t>
      </w:r>
      <w:r w:rsidR="0084500B">
        <w:rPr>
          <w:rFonts w:eastAsia="Times New Roman"/>
          <w:color w:val="000000" w:themeColor="text1"/>
          <w:szCs w:val="28"/>
          <w:lang w:eastAsia="ru-RU"/>
        </w:rPr>
        <w:t xml:space="preserve"> тощо</w:t>
      </w:r>
      <w:r w:rsidRPr="00EA77E3">
        <w:rPr>
          <w:rFonts w:eastAsia="Times New Roman"/>
          <w:color w:val="000000" w:themeColor="text1"/>
          <w:szCs w:val="28"/>
          <w:lang w:eastAsia="ru-RU"/>
        </w:rPr>
        <w:t xml:space="preserve"> </w:t>
      </w:r>
      <w:r w:rsidRPr="00EA77E3">
        <w:rPr>
          <w:rFonts w:eastAsia="Calibri"/>
          <w:color w:val="000000" w:themeColor="text1"/>
          <w:szCs w:val="28"/>
        </w:rPr>
        <w:t>[</w:t>
      </w:r>
      <w:r w:rsidR="00D85FD4">
        <w:rPr>
          <w:rFonts w:eastAsia="Calibri"/>
          <w:color w:val="000000" w:themeColor="text1"/>
          <w:szCs w:val="28"/>
        </w:rPr>
        <w:t>286-292</w:t>
      </w:r>
      <w:r w:rsidRPr="00EA77E3">
        <w:rPr>
          <w:rFonts w:eastAsia="Calibri"/>
          <w:color w:val="000000" w:themeColor="text1"/>
          <w:szCs w:val="28"/>
        </w:rPr>
        <w:t>].</w:t>
      </w:r>
    </w:p>
    <w:p w:rsidR="00323DA9" w:rsidRPr="00EA77E3" w:rsidRDefault="00A26DEA" w:rsidP="00721203">
      <w:pPr>
        <w:widowControl w:val="0"/>
        <w:ind w:firstLine="720"/>
        <w:rPr>
          <w:rFonts w:eastAsia="Times New Roman"/>
          <w:color w:val="000000" w:themeColor="text1"/>
          <w:szCs w:val="28"/>
          <w:lang w:eastAsia="ru-RU"/>
        </w:rPr>
      </w:pPr>
      <w:r w:rsidRPr="00A26DEA">
        <w:rPr>
          <w:rFonts w:eastAsia="Times New Roman"/>
          <w:szCs w:val="28"/>
          <w:lang w:eastAsia="ru-RU"/>
        </w:rPr>
        <w:t>Р</w:t>
      </w:r>
      <w:r w:rsidR="00323DA9" w:rsidRPr="00A26DEA">
        <w:rPr>
          <w:rFonts w:eastAsia="Times New Roman"/>
          <w:szCs w:val="28"/>
          <w:lang w:eastAsia="ru-RU"/>
        </w:rPr>
        <w:t xml:space="preserve">егіоналізація перинатальної допомоги </w:t>
      </w:r>
      <w:r w:rsidRPr="00A26DEA">
        <w:rPr>
          <w:rFonts w:eastAsia="Times New Roman"/>
          <w:szCs w:val="28"/>
          <w:lang w:eastAsia="ru-RU"/>
        </w:rPr>
        <w:t xml:space="preserve">розпочалась у 1930-1940 роках у США </w:t>
      </w:r>
      <w:r w:rsidR="00323DA9" w:rsidRPr="00A26DEA">
        <w:rPr>
          <w:rFonts w:eastAsia="Times New Roman"/>
          <w:szCs w:val="28"/>
          <w:lang w:eastAsia="ru-RU"/>
        </w:rPr>
        <w:t>у вигляді розвитку центрів для передчасно народжених дітей</w:t>
      </w:r>
      <w:r w:rsidRPr="00A26DEA">
        <w:rPr>
          <w:rFonts w:eastAsia="Times New Roman"/>
          <w:szCs w:val="28"/>
          <w:lang w:eastAsia="ru-RU"/>
        </w:rPr>
        <w:t>, і вже напри</w:t>
      </w:r>
      <w:r w:rsidR="00323DA9" w:rsidRPr="00A26DEA">
        <w:rPr>
          <w:rFonts w:eastAsia="Times New Roman"/>
          <w:szCs w:val="28"/>
          <w:lang w:eastAsia="ru-RU"/>
        </w:rPr>
        <w:t>кінці ХХ сторіччя</w:t>
      </w:r>
      <w:r w:rsidRPr="00A26DEA">
        <w:rPr>
          <w:rFonts w:eastAsia="Times New Roman"/>
          <w:szCs w:val="28"/>
          <w:lang w:eastAsia="ru-RU"/>
        </w:rPr>
        <w:t xml:space="preserve"> вона стала стандартом догляду</w:t>
      </w:r>
      <w:r w:rsidR="00323DA9" w:rsidRPr="00A26DEA">
        <w:rPr>
          <w:rFonts w:eastAsia="Times New Roman"/>
          <w:szCs w:val="28"/>
          <w:lang w:eastAsia="ru-RU"/>
        </w:rPr>
        <w:t xml:space="preserve"> з ідентифікацією риз</w:t>
      </w:r>
      <w:r w:rsidR="00CD6215" w:rsidRPr="00A26DEA">
        <w:rPr>
          <w:rFonts w:eastAsia="Times New Roman"/>
          <w:szCs w:val="28"/>
          <w:lang w:eastAsia="ru-RU"/>
        </w:rPr>
        <w:t xml:space="preserve">иків, транспортування, впровадження </w:t>
      </w:r>
      <w:r w:rsidR="00323DA9" w:rsidRPr="00A26DEA">
        <w:rPr>
          <w:rFonts w:eastAsia="Times New Roman"/>
          <w:szCs w:val="28"/>
          <w:lang w:eastAsia="ru-RU"/>
        </w:rPr>
        <w:t>технологічно удосконалено</w:t>
      </w:r>
      <w:r w:rsidR="007E7731">
        <w:rPr>
          <w:rFonts w:eastAsia="Times New Roman"/>
          <w:szCs w:val="28"/>
          <w:lang w:eastAsia="ru-RU"/>
        </w:rPr>
        <w:t>го устаткування та використання</w:t>
      </w:r>
      <w:r w:rsidR="00323DA9" w:rsidRPr="00A26DEA">
        <w:rPr>
          <w:rFonts w:eastAsia="Times New Roman"/>
          <w:szCs w:val="28"/>
          <w:lang w:eastAsia="ru-RU"/>
        </w:rPr>
        <w:t xml:space="preserve"> концепції рівнів медичної допомоги </w:t>
      </w:r>
      <w:r w:rsidR="00323DA9" w:rsidRPr="00EA77E3">
        <w:rPr>
          <w:rFonts w:eastAsia="Times New Roman"/>
          <w:color w:val="000000" w:themeColor="text1"/>
          <w:szCs w:val="28"/>
          <w:lang w:eastAsia="ru-RU"/>
        </w:rPr>
        <w:sym w:font="Symbol" w:char="F05B"/>
      </w:r>
      <w:r w:rsidR="00B86F2C">
        <w:rPr>
          <w:rFonts w:eastAsia="Times New Roman"/>
          <w:color w:val="000000" w:themeColor="text1"/>
          <w:szCs w:val="28"/>
          <w:lang w:eastAsia="ru-RU"/>
        </w:rPr>
        <w:t>277, 293-296</w:t>
      </w:r>
      <w:r w:rsidR="00323DA9" w:rsidRPr="00EA77E3">
        <w:rPr>
          <w:rFonts w:eastAsia="Times New Roman"/>
          <w:color w:val="000000" w:themeColor="text1"/>
          <w:szCs w:val="28"/>
          <w:lang w:eastAsia="ru-RU"/>
        </w:rPr>
        <w:t>]. Дослідження</w:t>
      </w:r>
      <w:r w:rsidR="00EC610F" w:rsidRPr="00EC610F">
        <w:rPr>
          <w:rFonts w:eastAsia="Times New Roman"/>
          <w:color w:val="000000" w:themeColor="text1"/>
          <w:szCs w:val="28"/>
          <w:lang w:eastAsia="ru-RU"/>
        </w:rPr>
        <w:t xml:space="preserve"> по вивченню рівня смертності </w:t>
      </w:r>
      <w:r w:rsidR="00EC610F" w:rsidRPr="00EC610F">
        <w:rPr>
          <w:rFonts w:eastAsia="Times New Roman"/>
          <w:color w:val="000000" w:themeColor="text1"/>
          <w:szCs w:val="28"/>
          <w:lang w:eastAsia="ru-RU"/>
        </w:rPr>
        <w:lastRenderedPageBreak/>
        <w:t>та захворюваності новонароджених в залежності від рівня надання допомоги</w:t>
      </w:r>
      <w:r w:rsidR="00323DA9" w:rsidRPr="00EA77E3">
        <w:rPr>
          <w:rFonts w:eastAsia="Times New Roman"/>
          <w:color w:val="000000" w:themeColor="text1"/>
          <w:szCs w:val="28"/>
          <w:lang w:eastAsia="ru-RU"/>
        </w:rPr>
        <w:t>, яке проводилось в Канаді</w:t>
      </w:r>
      <w:r w:rsidR="00EC610F">
        <w:rPr>
          <w:rFonts w:eastAsia="Times New Roman"/>
          <w:color w:val="000000" w:themeColor="text1"/>
          <w:szCs w:val="28"/>
          <w:lang w:eastAsia="ru-RU"/>
        </w:rPr>
        <w:t>,</w:t>
      </w:r>
      <w:r w:rsidR="00323DA9" w:rsidRPr="00EA77E3">
        <w:rPr>
          <w:rFonts w:eastAsia="Times New Roman"/>
          <w:color w:val="000000" w:themeColor="text1"/>
          <w:szCs w:val="28"/>
          <w:lang w:eastAsia="ru-RU"/>
        </w:rPr>
        <w:t xml:space="preserve"> продемонструвало, що більшість випадків </w:t>
      </w:r>
      <w:r w:rsidR="00EC610F">
        <w:rPr>
          <w:rFonts w:eastAsia="Times New Roman"/>
          <w:color w:val="000000" w:themeColor="text1"/>
          <w:szCs w:val="28"/>
          <w:lang w:eastAsia="ru-RU"/>
        </w:rPr>
        <w:t>смертей новонароджених</w:t>
      </w:r>
      <w:r w:rsidR="00323DA9" w:rsidRPr="00EA77E3">
        <w:rPr>
          <w:rFonts w:eastAsia="Times New Roman"/>
          <w:color w:val="000000" w:themeColor="text1"/>
          <w:szCs w:val="28"/>
          <w:lang w:eastAsia="ru-RU"/>
        </w:rPr>
        <w:t xml:space="preserve"> протягом перших діб після госпіталізації</w:t>
      </w:r>
      <w:r w:rsidR="00EC610F">
        <w:rPr>
          <w:rFonts w:eastAsia="Times New Roman"/>
          <w:color w:val="000000" w:themeColor="text1"/>
          <w:szCs w:val="28"/>
          <w:lang w:eastAsia="ru-RU"/>
        </w:rPr>
        <w:t xml:space="preserve"> на ІІІ рівень надання допомоги</w:t>
      </w:r>
      <w:r w:rsidR="008E4BC3">
        <w:rPr>
          <w:rFonts w:eastAsia="Times New Roman"/>
          <w:color w:val="000000" w:themeColor="text1"/>
          <w:szCs w:val="28"/>
          <w:lang w:eastAsia="ru-RU"/>
        </w:rPr>
        <w:t xml:space="preserve"> ста</w:t>
      </w:r>
      <w:r w:rsidR="00EC610F">
        <w:rPr>
          <w:rFonts w:eastAsia="Times New Roman"/>
          <w:color w:val="000000" w:themeColor="text1"/>
          <w:szCs w:val="28"/>
          <w:lang w:eastAsia="ru-RU"/>
        </w:rPr>
        <w:t>новило</w:t>
      </w:r>
      <w:r w:rsidR="00323DA9" w:rsidRPr="00EA77E3">
        <w:rPr>
          <w:rFonts w:eastAsia="Times New Roman"/>
          <w:color w:val="000000" w:themeColor="text1"/>
          <w:szCs w:val="28"/>
          <w:lang w:eastAsia="ru-RU"/>
        </w:rPr>
        <w:t xml:space="preserve"> протягом 2 діб</w:t>
      </w:r>
      <w:r w:rsidR="00EC610F">
        <w:rPr>
          <w:rFonts w:eastAsia="Times New Roman"/>
          <w:color w:val="000000" w:themeColor="text1"/>
          <w:szCs w:val="28"/>
          <w:lang w:eastAsia="ru-RU"/>
        </w:rPr>
        <w:t xml:space="preserve"> – 40%, протягом 3 діб – </w:t>
      </w:r>
      <w:r w:rsidR="00323DA9" w:rsidRPr="00EA77E3">
        <w:rPr>
          <w:rFonts w:eastAsia="Times New Roman"/>
          <w:color w:val="000000" w:themeColor="text1"/>
          <w:szCs w:val="28"/>
          <w:lang w:eastAsia="ru-RU"/>
        </w:rPr>
        <w:t>5</w:t>
      </w:r>
      <w:r w:rsidR="00EC610F">
        <w:rPr>
          <w:rFonts w:eastAsia="Times New Roman"/>
          <w:color w:val="000000" w:themeColor="text1"/>
          <w:szCs w:val="28"/>
          <w:lang w:eastAsia="ru-RU"/>
        </w:rPr>
        <w:t>0%, більшість випадків припадало</w:t>
      </w:r>
      <w:r w:rsidR="00323DA9" w:rsidRPr="00EA77E3">
        <w:rPr>
          <w:rFonts w:eastAsia="Times New Roman"/>
          <w:color w:val="000000" w:themeColor="text1"/>
          <w:szCs w:val="28"/>
          <w:lang w:eastAsia="ru-RU"/>
        </w:rPr>
        <w:t xml:space="preserve"> на новонароджених з гестаційним віком менше 28 тижнів (48%) та з вродженими вадами р</w:t>
      </w:r>
      <w:r w:rsidR="008E4BC3">
        <w:rPr>
          <w:rFonts w:eastAsia="Times New Roman"/>
          <w:color w:val="000000" w:themeColor="text1"/>
          <w:szCs w:val="28"/>
          <w:lang w:eastAsia="ru-RU"/>
        </w:rPr>
        <w:t xml:space="preserve">озвитку (34%). При цьому </w:t>
      </w:r>
      <w:r w:rsidR="00323DA9" w:rsidRPr="00EA77E3">
        <w:rPr>
          <w:rFonts w:eastAsia="Times New Roman"/>
          <w:color w:val="000000" w:themeColor="text1"/>
          <w:szCs w:val="28"/>
          <w:lang w:eastAsia="ru-RU"/>
        </w:rPr>
        <w:t>більшість випадків</w:t>
      </w:r>
      <w:r w:rsidR="007C0F1A">
        <w:rPr>
          <w:rFonts w:eastAsia="Times New Roman"/>
          <w:color w:val="000000" w:themeColor="text1"/>
          <w:szCs w:val="28"/>
          <w:lang w:eastAsia="ru-RU"/>
        </w:rPr>
        <w:t xml:space="preserve"> смерті дітей</w:t>
      </w:r>
      <w:r w:rsidR="005B2873">
        <w:rPr>
          <w:rFonts w:eastAsia="Times New Roman"/>
          <w:color w:val="000000" w:themeColor="text1"/>
          <w:szCs w:val="28"/>
          <w:lang w:eastAsia="ru-RU"/>
        </w:rPr>
        <w:t xml:space="preserve"> можна попередити</w:t>
      </w:r>
      <w:r w:rsidR="007E7731">
        <w:rPr>
          <w:rFonts w:eastAsia="Times New Roman"/>
          <w:color w:val="000000" w:themeColor="text1"/>
          <w:szCs w:val="28"/>
          <w:lang w:eastAsia="ru-RU"/>
        </w:rPr>
        <w:t>,</w:t>
      </w:r>
      <w:r w:rsidR="005B2873">
        <w:rPr>
          <w:rFonts w:eastAsia="Times New Roman"/>
          <w:color w:val="000000" w:themeColor="text1"/>
          <w:szCs w:val="28"/>
          <w:lang w:eastAsia="ru-RU"/>
        </w:rPr>
        <w:t xml:space="preserve"> якщо</w:t>
      </w:r>
      <w:r w:rsidR="00323DA9" w:rsidRPr="00EA77E3">
        <w:rPr>
          <w:rFonts w:eastAsia="Times New Roman"/>
          <w:color w:val="000000" w:themeColor="text1"/>
          <w:szCs w:val="28"/>
          <w:lang w:eastAsia="ru-RU"/>
        </w:rPr>
        <w:t xml:space="preserve"> народження таких дітей</w:t>
      </w:r>
      <w:r w:rsidR="005B2873">
        <w:rPr>
          <w:rFonts w:eastAsia="Times New Roman"/>
          <w:color w:val="000000" w:themeColor="text1"/>
          <w:szCs w:val="28"/>
          <w:lang w:eastAsia="ru-RU"/>
        </w:rPr>
        <w:t xml:space="preserve"> відбудеться</w:t>
      </w:r>
      <w:r w:rsidR="00323DA9" w:rsidRPr="00EA77E3">
        <w:rPr>
          <w:rFonts w:eastAsia="Times New Roman"/>
          <w:color w:val="000000" w:themeColor="text1"/>
          <w:szCs w:val="28"/>
          <w:lang w:eastAsia="ru-RU"/>
        </w:rPr>
        <w:t xml:space="preserve"> на ІІІ рівні надання</w:t>
      </w:r>
      <w:r w:rsidR="007C0F1A">
        <w:rPr>
          <w:rFonts w:eastAsia="Times New Roman"/>
          <w:color w:val="000000" w:themeColor="text1"/>
          <w:szCs w:val="28"/>
          <w:lang w:eastAsia="ru-RU"/>
        </w:rPr>
        <w:t xml:space="preserve"> медичної</w:t>
      </w:r>
      <w:r w:rsidR="005B2873">
        <w:rPr>
          <w:rFonts w:eastAsia="Times New Roman"/>
          <w:color w:val="000000" w:themeColor="text1"/>
          <w:szCs w:val="28"/>
          <w:lang w:eastAsia="ru-RU"/>
        </w:rPr>
        <w:t xml:space="preserve"> допомоги, уникаючи</w:t>
      </w:r>
      <w:r w:rsidR="005B2873" w:rsidRPr="005B2873">
        <w:rPr>
          <w:rFonts w:eastAsia="Times New Roman"/>
          <w:color w:val="000000" w:themeColor="text1"/>
          <w:szCs w:val="28"/>
          <w:lang w:eastAsia="ru-RU"/>
        </w:rPr>
        <w:t xml:space="preserve"> </w:t>
      </w:r>
      <w:r w:rsidR="005B2873">
        <w:rPr>
          <w:rFonts w:eastAsia="Times New Roman"/>
          <w:color w:val="000000" w:themeColor="text1"/>
          <w:szCs w:val="28"/>
          <w:lang w:eastAsia="ru-RU"/>
        </w:rPr>
        <w:t>погіршення</w:t>
      </w:r>
      <w:r w:rsidR="005B2873" w:rsidRPr="005B2873">
        <w:rPr>
          <w:rFonts w:eastAsia="Times New Roman"/>
          <w:color w:val="000000" w:themeColor="text1"/>
          <w:szCs w:val="28"/>
          <w:lang w:eastAsia="ru-RU"/>
        </w:rPr>
        <w:t xml:space="preserve"> стан</w:t>
      </w:r>
      <w:r w:rsidR="005B2873">
        <w:rPr>
          <w:rFonts w:eastAsia="Times New Roman"/>
          <w:color w:val="000000" w:themeColor="text1"/>
          <w:szCs w:val="28"/>
          <w:lang w:eastAsia="ru-RU"/>
        </w:rPr>
        <w:t>у дитини і підвищення</w:t>
      </w:r>
      <w:r w:rsidR="005B2873" w:rsidRPr="005B2873">
        <w:rPr>
          <w:rFonts w:eastAsia="Times New Roman"/>
          <w:color w:val="000000" w:themeColor="text1"/>
          <w:szCs w:val="28"/>
          <w:lang w:eastAsia="ru-RU"/>
        </w:rPr>
        <w:t xml:space="preserve"> ризик</w:t>
      </w:r>
      <w:r w:rsidR="005B2873">
        <w:rPr>
          <w:rFonts w:eastAsia="Times New Roman"/>
          <w:color w:val="000000" w:themeColor="text1"/>
          <w:szCs w:val="28"/>
          <w:lang w:eastAsia="ru-RU"/>
        </w:rPr>
        <w:t>у</w:t>
      </w:r>
      <w:r w:rsidR="005B2873" w:rsidRPr="005B2873">
        <w:rPr>
          <w:rFonts w:eastAsia="Times New Roman"/>
          <w:color w:val="000000" w:themeColor="text1"/>
          <w:szCs w:val="28"/>
          <w:lang w:eastAsia="ru-RU"/>
        </w:rPr>
        <w:t xml:space="preserve"> її смерті або важкого захворювання</w:t>
      </w:r>
      <w:r w:rsidR="00323DA9" w:rsidRPr="00EA77E3">
        <w:rPr>
          <w:rFonts w:eastAsia="Times New Roman"/>
          <w:color w:val="000000" w:themeColor="text1"/>
          <w:szCs w:val="28"/>
          <w:lang w:eastAsia="ru-RU"/>
        </w:rPr>
        <w:t xml:space="preserve"> </w:t>
      </w:r>
      <w:r w:rsidR="005B2873">
        <w:rPr>
          <w:rFonts w:eastAsia="Times New Roman"/>
          <w:color w:val="000000" w:themeColor="text1"/>
          <w:szCs w:val="28"/>
          <w:lang w:eastAsia="ru-RU"/>
        </w:rPr>
        <w:t xml:space="preserve">за рахунок виключення </w:t>
      </w:r>
      <w:r w:rsidR="00323DA9" w:rsidRPr="00EA77E3">
        <w:rPr>
          <w:rFonts w:eastAsia="Times New Roman"/>
          <w:color w:val="000000" w:themeColor="text1"/>
          <w:szCs w:val="28"/>
          <w:lang w:eastAsia="ru-RU"/>
        </w:rPr>
        <w:t>трансп</w:t>
      </w:r>
      <w:r w:rsidR="005B2873">
        <w:rPr>
          <w:rFonts w:eastAsia="Times New Roman"/>
          <w:color w:val="000000" w:themeColor="text1"/>
          <w:szCs w:val="28"/>
          <w:lang w:eastAsia="ru-RU"/>
        </w:rPr>
        <w:t>ортування</w:t>
      </w:r>
      <w:r w:rsidR="00B92BAD">
        <w:rPr>
          <w:rFonts w:eastAsia="Times New Roman"/>
          <w:color w:val="000000" w:themeColor="text1"/>
          <w:szCs w:val="28"/>
          <w:lang w:eastAsia="ru-RU"/>
        </w:rPr>
        <w:t xml:space="preserve"> </w:t>
      </w:r>
      <w:r w:rsidR="00C00FC1">
        <w:rPr>
          <w:rFonts w:eastAsia="Times New Roman"/>
          <w:color w:val="000000" w:themeColor="text1"/>
          <w:szCs w:val="28"/>
          <w:lang w:eastAsia="ru-RU"/>
        </w:rPr>
        <w:t>[297</w:t>
      </w:r>
      <w:r w:rsidR="00323DA9" w:rsidRPr="00EA77E3">
        <w:rPr>
          <w:rFonts w:eastAsia="Times New Roman"/>
          <w:color w:val="000000" w:themeColor="text1"/>
          <w:szCs w:val="28"/>
          <w:lang w:eastAsia="ru-RU"/>
        </w:rPr>
        <w:t>].</w:t>
      </w:r>
    </w:p>
    <w:p w:rsidR="00F31B7F" w:rsidRDefault="00323DA9" w:rsidP="00F31B7F">
      <w:pPr>
        <w:widowControl w:val="0"/>
        <w:ind w:firstLine="720"/>
        <w:rPr>
          <w:rFonts w:eastAsia="Times New Roman"/>
          <w:color w:val="000000" w:themeColor="text1"/>
          <w:szCs w:val="28"/>
          <w:lang w:val="ru-RU" w:eastAsia="ru-RU"/>
        </w:rPr>
      </w:pPr>
      <w:r w:rsidRPr="00EA77E3">
        <w:rPr>
          <w:rFonts w:eastAsia="Times New Roman"/>
          <w:color w:val="000000" w:themeColor="text1"/>
          <w:szCs w:val="28"/>
          <w:lang w:eastAsia="ru-RU"/>
        </w:rPr>
        <w:t>В 2000 р. опубліковано результати дос</w:t>
      </w:r>
      <w:r w:rsidR="005B2873">
        <w:rPr>
          <w:rFonts w:eastAsia="Times New Roman"/>
          <w:color w:val="000000" w:themeColor="text1"/>
          <w:szCs w:val="28"/>
          <w:lang w:eastAsia="ru-RU"/>
        </w:rPr>
        <w:t>лідження, в якому порівнювались</w:t>
      </w:r>
      <w:r w:rsidRPr="00EA77E3">
        <w:rPr>
          <w:rFonts w:eastAsia="Times New Roman"/>
          <w:color w:val="000000" w:themeColor="text1"/>
          <w:szCs w:val="28"/>
          <w:lang w:eastAsia="ru-RU"/>
        </w:rPr>
        <w:t xml:space="preserve"> рівні неонатальної смертності у новонароджених, які народились на різних (І, ІІ і ІІІ) рівнях</w:t>
      </w:r>
      <w:r w:rsidR="005B2873">
        <w:rPr>
          <w:rFonts w:eastAsia="Times New Roman"/>
          <w:color w:val="000000" w:themeColor="text1"/>
          <w:szCs w:val="28"/>
          <w:lang w:eastAsia="ru-RU"/>
        </w:rPr>
        <w:t xml:space="preserve"> надання перинатальної допомоги. А</w:t>
      </w:r>
      <w:r w:rsidRPr="00EA77E3">
        <w:rPr>
          <w:rFonts w:eastAsia="Times New Roman"/>
          <w:color w:val="000000" w:themeColor="text1"/>
          <w:szCs w:val="28"/>
          <w:lang w:eastAsia="ru-RU"/>
        </w:rPr>
        <w:t>втори довели, що відносний ризик смерті у новонароджених на І та ІІ рівнях був вищий (RR 1,9 при 95% ДІ 1,6–2,2) порівняно з ІІІ рі</w:t>
      </w:r>
      <w:r w:rsidR="005B2873">
        <w:rPr>
          <w:rFonts w:eastAsia="Times New Roman"/>
          <w:color w:val="000000" w:themeColor="text1"/>
          <w:szCs w:val="28"/>
          <w:lang w:eastAsia="ru-RU"/>
        </w:rPr>
        <w:t xml:space="preserve">внем (RR 1,2 при 95% ДІ 0,7–1,9), </w:t>
      </w:r>
      <w:r w:rsidRPr="00EA77E3">
        <w:rPr>
          <w:rFonts w:eastAsia="Times New Roman"/>
          <w:color w:val="000000" w:themeColor="text1"/>
          <w:szCs w:val="28"/>
          <w:lang w:eastAsia="ru-RU"/>
        </w:rPr>
        <w:t>триваліст</w:t>
      </w:r>
      <w:r w:rsidR="005B2873">
        <w:rPr>
          <w:rFonts w:eastAsia="Times New Roman"/>
          <w:color w:val="000000" w:themeColor="text1"/>
          <w:szCs w:val="28"/>
          <w:lang w:eastAsia="ru-RU"/>
        </w:rPr>
        <w:t>ь госпіталізації також є вищою</w:t>
      </w:r>
      <w:r w:rsidRPr="00EA77E3">
        <w:rPr>
          <w:rFonts w:eastAsia="Times New Roman"/>
          <w:color w:val="000000" w:themeColor="text1"/>
          <w:szCs w:val="28"/>
          <w:lang w:eastAsia="ru-RU"/>
        </w:rPr>
        <w:t xml:space="preserve"> на І та ІІ рівнях надання допомоги. Аналіз результатів 41 дослідження за період з 1976 по 2010</w:t>
      </w:r>
      <w:r w:rsidR="00A177A9">
        <w:rPr>
          <w:rFonts w:eastAsia="Times New Roman"/>
          <w:color w:val="000000" w:themeColor="text1"/>
          <w:szCs w:val="28"/>
          <w:lang w:eastAsia="ru-RU"/>
        </w:rPr>
        <w:t> </w:t>
      </w:r>
      <w:r w:rsidRPr="00EA77E3">
        <w:rPr>
          <w:rFonts w:eastAsia="Times New Roman"/>
          <w:color w:val="000000" w:themeColor="text1"/>
          <w:szCs w:val="28"/>
          <w:lang w:eastAsia="ru-RU"/>
        </w:rPr>
        <w:t xml:space="preserve">рр., виявив, підвищенні ризики смертності дітей, що народились з дуже низькою вагою поза перинатальних закладів ІІІ рівня.  У перших перинатальних центрах Японії було об’єднано акушерські та дитячі відділення, що вплинуло на зростання виходжуваності новонароджених з вагою тіла менш ніж </w:t>
      </w:r>
      <w:smartTag w:uri="urn:schemas-microsoft-com:office:smarttags" w:element="metricconverter">
        <w:smartTagPr>
          <w:attr w:name="ProductID" w:val="1000 г"/>
        </w:smartTagPr>
        <w:r w:rsidRPr="00EA77E3">
          <w:rPr>
            <w:rFonts w:eastAsia="Times New Roman"/>
            <w:color w:val="000000" w:themeColor="text1"/>
            <w:szCs w:val="28"/>
            <w:lang w:eastAsia="ru-RU"/>
          </w:rPr>
          <w:t>1000 г</w:t>
        </w:r>
      </w:smartTag>
      <w:r w:rsidRPr="00EA77E3">
        <w:rPr>
          <w:rFonts w:eastAsia="Times New Roman"/>
          <w:color w:val="000000" w:themeColor="text1"/>
          <w:szCs w:val="28"/>
          <w:lang w:eastAsia="ru-RU"/>
        </w:rPr>
        <w:t xml:space="preserve"> (з 44,7% у 1989 р. до 83,0% у 2009 р.). На даний час у Японії сформовано найнижчі рівні смертності передчасно народжених новонароджених у світі, а також виживаності 90% немовлят незалежно від їх маси тіла при народженні </w:t>
      </w:r>
      <w:r w:rsidR="0048319E">
        <w:rPr>
          <w:rFonts w:eastAsia="Calibri"/>
          <w:color w:val="000000" w:themeColor="text1"/>
          <w:szCs w:val="28"/>
        </w:rPr>
        <w:t>[2</w:t>
      </w:r>
      <w:r w:rsidR="0048319E">
        <w:rPr>
          <w:rFonts w:eastAsia="Calibri"/>
          <w:color w:val="000000" w:themeColor="text1"/>
          <w:szCs w:val="28"/>
          <w:lang w:val="ru-RU"/>
        </w:rPr>
        <w:t>98</w:t>
      </w:r>
      <w:r w:rsidR="00811F67">
        <w:rPr>
          <w:rFonts w:eastAsia="Calibri"/>
          <w:color w:val="000000" w:themeColor="text1"/>
          <w:szCs w:val="28"/>
        </w:rPr>
        <w:t>-</w:t>
      </w:r>
      <w:r w:rsidR="0048319E">
        <w:rPr>
          <w:rFonts w:eastAsia="Calibri"/>
          <w:color w:val="000000" w:themeColor="text1"/>
          <w:szCs w:val="28"/>
          <w:lang w:val="ru-RU"/>
        </w:rPr>
        <w:t>300</w:t>
      </w:r>
      <w:r w:rsidRPr="00EA77E3">
        <w:rPr>
          <w:rFonts w:eastAsia="Calibri"/>
          <w:color w:val="000000" w:themeColor="text1"/>
          <w:szCs w:val="28"/>
        </w:rPr>
        <w:t xml:space="preserve">]. </w:t>
      </w:r>
      <w:r w:rsidRPr="00EA77E3">
        <w:rPr>
          <w:rFonts w:eastAsia="Times New Roman"/>
          <w:color w:val="000000" w:themeColor="text1"/>
          <w:szCs w:val="28"/>
          <w:lang w:eastAsia="ru-RU"/>
        </w:rPr>
        <w:t>Все вищенаведене свідчить про ефективність регіоналізації перинатальної допомоги як медичної технології, що здатна впливати на зниження рі</w:t>
      </w:r>
      <w:r w:rsidR="00AB563B">
        <w:rPr>
          <w:rFonts w:eastAsia="Times New Roman"/>
          <w:color w:val="000000" w:themeColor="text1"/>
          <w:szCs w:val="28"/>
          <w:lang w:eastAsia="ru-RU"/>
        </w:rPr>
        <w:t>внів перинатальної смертності,</w:t>
      </w:r>
      <w:r w:rsidRPr="00EA77E3">
        <w:rPr>
          <w:rFonts w:eastAsia="Times New Roman"/>
          <w:color w:val="000000" w:themeColor="text1"/>
          <w:szCs w:val="28"/>
          <w:lang w:eastAsia="ru-RU"/>
        </w:rPr>
        <w:t xml:space="preserve"> смертності жінок</w:t>
      </w:r>
      <w:r w:rsidR="00AB563B">
        <w:rPr>
          <w:rFonts w:eastAsia="Times New Roman"/>
          <w:color w:val="000000" w:themeColor="text1"/>
          <w:szCs w:val="28"/>
          <w:lang w:eastAsia="ru-RU"/>
        </w:rPr>
        <w:t>, а також смертності дітей до 5 років життя</w:t>
      </w:r>
      <w:r w:rsidRPr="00EA77E3">
        <w:rPr>
          <w:rFonts w:eastAsia="Times New Roman"/>
          <w:color w:val="000000" w:themeColor="text1"/>
          <w:szCs w:val="28"/>
          <w:lang w:eastAsia="ru-RU"/>
        </w:rPr>
        <w:t xml:space="preserve"> </w:t>
      </w:r>
      <w:r w:rsidR="00DB6DF3">
        <w:rPr>
          <w:rFonts w:eastAsia="Calibri"/>
          <w:color w:val="000000" w:themeColor="text1"/>
          <w:szCs w:val="28"/>
        </w:rPr>
        <w:t>[</w:t>
      </w:r>
      <w:r w:rsidR="00DB6DF3">
        <w:rPr>
          <w:rFonts w:eastAsia="Calibri"/>
          <w:color w:val="000000" w:themeColor="text1"/>
          <w:szCs w:val="28"/>
          <w:lang w:val="ru-RU"/>
        </w:rPr>
        <w:t>292, 301, 302</w:t>
      </w:r>
      <w:r w:rsidRPr="00EA77E3">
        <w:rPr>
          <w:rFonts w:eastAsia="Calibri"/>
          <w:color w:val="000000" w:themeColor="text1"/>
          <w:szCs w:val="28"/>
        </w:rPr>
        <w:t xml:space="preserve">]. </w:t>
      </w:r>
    </w:p>
    <w:p w:rsidR="00323DA9" w:rsidRPr="00F31B7F" w:rsidRDefault="00323DA9" w:rsidP="00F31B7F">
      <w:pPr>
        <w:widowControl w:val="0"/>
        <w:spacing w:before="240" w:after="240"/>
        <w:ind w:firstLine="720"/>
        <w:rPr>
          <w:rFonts w:eastAsia="Times New Roman"/>
          <w:color w:val="000000" w:themeColor="text1"/>
          <w:szCs w:val="28"/>
          <w:lang w:val="ru-RU" w:eastAsia="ru-RU"/>
        </w:rPr>
      </w:pPr>
      <w:r w:rsidRPr="00EA77E3">
        <w:rPr>
          <w:rFonts w:eastAsia="Calibri"/>
          <w:b/>
          <w:color w:val="000000" w:themeColor="text1"/>
          <w:szCs w:val="28"/>
        </w:rPr>
        <w:t>1.5. Обґрунтування  не</w:t>
      </w:r>
      <w:r w:rsidR="00554876">
        <w:rPr>
          <w:rFonts w:eastAsia="Calibri"/>
          <w:b/>
          <w:color w:val="000000" w:themeColor="text1"/>
          <w:szCs w:val="28"/>
        </w:rPr>
        <w:t>обхідності подальших досліджень</w:t>
      </w:r>
    </w:p>
    <w:p w:rsidR="00323DA9" w:rsidRPr="00EA77E3" w:rsidRDefault="00B77601" w:rsidP="00721203">
      <w:pPr>
        <w:widowControl w:val="0"/>
        <w:ind w:firstLine="709"/>
        <w:rPr>
          <w:rFonts w:eastAsia="Calibri"/>
          <w:color w:val="000000" w:themeColor="text1"/>
          <w:szCs w:val="28"/>
        </w:rPr>
      </w:pPr>
      <w:r>
        <w:rPr>
          <w:rFonts w:eastAsia="Calibri"/>
          <w:color w:val="000000" w:themeColor="text1"/>
          <w:szCs w:val="28"/>
        </w:rPr>
        <w:t>Країни світу з їх с</w:t>
      </w:r>
      <w:r w:rsidR="00323DA9" w:rsidRPr="00EA77E3">
        <w:rPr>
          <w:rFonts w:eastAsia="Calibri"/>
          <w:color w:val="000000" w:themeColor="text1"/>
          <w:szCs w:val="28"/>
        </w:rPr>
        <w:t xml:space="preserve">истемами охорони здоров’я стикаються з проблемою дитячої </w:t>
      </w:r>
      <w:r w:rsidR="00323DA9" w:rsidRPr="00EA77E3">
        <w:rPr>
          <w:rFonts w:eastAsia="Calibri"/>
          <w:color w:val="000000" w:themeColor="text1"/>
          <w:szCs w:val="28"/>
        </w:rPr>
        <w:lastRenderedPageBreak/>
        <w:t xml:space="preserve">смертності ї пошуку шляхів її </w:t>
      </w:r>
      <w:r w:rsidR="001016D4" w:rsidRPr="00EA77E3">
        <w:rPr>
          <w:rFonts w:eastAsia="Calibri"/>
          <w:color w:val="000000" w:themeColor="text1"/>
          <w:szCs w:val="28"/>
        </w:rPr>
        <w:t>зниження</w:t>
      </w:r>
      <w:r w:rsidR="00323DA9" w:rsidRPr="00EA77E3">
        <w:rPr>
          <w:rFonts w:eastAsia="Calibri"/>
          <w:color w:val="000000" w:themeColor="text1"/>
          <w:szCs w:val="28"/>
        </w:rPr>
        <w:t xml:space="preserve">. В зв’язку з тим, що у світі </w:t>
      </w:r>
      <w:r w:rsidR="003C5AF7">
        <w:rPr>
          <w:rFonts w:eastAsia="Calibri"/>
          <w:color w:val="000000" w:themeColor="text1"/>
          <w:szCs w:val="28"/>
        </w:rPr>
        <w:t>спостерігається значний розрив у</w:t>
      </w:r>
      <w:r w:rsidR="00323DA9" w:rsidRPr="00EA77E3">
        <w:rPr>
          <w:rFonts w:eastAsia="Calibri"/>
          <w:color w:val="000000" w:themeColor="text1"/>
          <w:szCs w:val="28"/>
        </w:rPr>
        <w:t xml:space="preserve"> рівнях дитячої смертності, єдиної універсальної системи профілактики смертності дитячого населення для всіх країн не існує, але існує низка документів, які підтримані країнами членами і включають в себе стратегії та заходи дій  щодо зниження дитячої смертності, яку можна попередити, серед них: Глобальна стратегія ООН з охорони здоров'я жінок і дітей і супроводжуюча її ініціатива «Кожна жінка, кожна дитина», Глобальна стратегія охорони здоров’я жінок, дітей та підлітків «Виживати, процвітати, змінювати» (2016–2030 рр.), а також Глобальний план дій ВООЗ «Кожен новонароджений», а також</w:t>
      </w:r>
      <w:r w:rsidR="00EA7D99">
        <w:rPr>
          <w:rFonts w:eastAsia="Times New Roman"/>
          <w:color w:val="000000" w:themeColor="text1"/>
          <w:szCs w:val="28"/>
          <w:lang w:eastAsia="ru-RU"/>
        </w:rPr>
        <w:t xml:space="preserve"> ЦСР</w:t>
      </w:r>
      <w:r w:rsidR="00EA7D99" w:rsidRPr="00EA7D99">
        <w:rPr>
          <w:rFonts w:eastAsia="Times New Roman"/>
          <w:color w:val="000000" w:themeColor="text1"/>
          <w:szCs w:val="28"/>
          <w:lang w:eastAsia="ru-RU"/>
        </w:rPr>
        <w:t xml:space="preserve"> </w:t>
      </w:r>
      <w:r w:rsidR="00BE2B87">
        <w:rPr>
          <w:rFonts w:eastAsia="Times New Roman"/>
          <w:color w:val="000000" w:themeColor="text1"/>
          <w:szCs w:val="28"/>
          <w:lang w:eastAsia="ru-RU"/>
        </w:rPr>
        <w:t>ООН [</w:t>
      </w:r>
      <w:r w:rsidR="00F51E9B">
        <w:rPr>
          <w:rFonts w:eastAsia="Times New Roman"/>
          <w:color w:val="000000" w:themeColor="text1"/>
          <w:szCs w:val="28"/>
          <w:lang w:eastAsia="ru-RU"/>
        </w:rPr>
        <w:t>4, 12</w:t>
      </w:r>
      <w:r w:rsidR="00BE2B87" w:rsidRPr="00BE2B87">
        <w:rPr>
          <w:rFonts w:eastAsia="Times New Roman"/>
          <w:color w:val="000000" w:themeColor="text1"/>
          <w:szCs w:val="28"/>
          <w:lang w:eastAsia="ru-RU"/>
        </w:rPr>
        <w:t>, 54, 60, 231</w:t>
      </w:r>
      <w:r w:rsidR="00323DA9" w:rsidRPr="00EA77E3">
        <w:rPr>
          <w:rFonts w:eastAsia="Times New Roman"/>
          <w:color w:val="000000" w:themeColor="text1"/>
          <w:szCs w:val="28"/>
          <w:lang w:eastAsia="ru-RU"/>
        </w:rPr>
        <w:t xml:space="preserve">]. У відповідь на вищезазначені документи країни світу мають імплементувати рекомендовані документи на національному рівні та інтегрувати їх у різні сектори державної політики, </w:t>
      </w:r>
      <w:r w:rsidR="000A2819">
        <w:rPr>
          <w:rFonts w:eastAsia="Times New Roman"/>
          <w:color w:val="000000" w:themeColor="text1"/>
          <w:szCs w:val="28"/>
          <w:lang w:eastAsia="ru-RU"/>
        </w:rPr>
        <w:t>що має вплинути</w:t>
      </w:r>
      <w:r w:rsidR="00323DA9" w:rsidRPr="00EA77E3">
        <w:rPr>
          <w:rFonts w:eastAsia="Times New Roman"/>
          <w:color w:val="000000" w:themeColor="text1"/>
          <w:szCs w:val="28"/>
          <w:lang w:eastAsia="ru-RU"/>
        </w:rPr>
        <w:t xml:space="preserve"> на рівень дитячої смертності.</w:t>
      </w:r>
      <w:r w:rsidR="00323DA9" w:rsidRPr="00EA77E3">
        <w:rPr>
          <w:rFonts w:eastAsia="Calibri"/>
          <w:color w:val="000000" w:themeColor="text1"/>
          <w:szCs w:val="28"/>
        </w:rPr>
        <w:t xml:space="preserve"> На даний час в Україні не імплементовано Глобальну стратегію ООН з охорони здоров</w:t>
      </w:r>
      <w:r w:rsidR="003C5AF7">
        <w:rPr>
          <w:rFonts w:eastAsia="Calibri"/>
          <w:color w:val="000000" w:themeColor="text1"/>
          <w:szCs w:val="28"/>
        </w:rPr>
        <w:t>'я жінок і дітей і супроводжуючу</w:t>
      </w:r>
      <w:r w:rsidR="00323DA9" w:rsidRPr="00EA77E3">
        <w:rPr>
          <w:rFonts w:eastAsia="Calibri"/>
          <w:color w:val="000000" w:themeColor="text1"/>
          <w:szCs w:val="28"/>
        </w:rPr>
        <w:t xml:space="preserve"> її ініціативу «Кожна жінка, кожна дитина», а також Глобальний план дій ВООЗ «Кожен новонароджений</w:t>
      </w:r>
      <w:r w:rsidR="00B366DA">
        <w:rPr>
          <w:rFonts w:eastAsia="Calibri"/>
          <w:color w:val="000000" w:themeColor="text1"/>
          <w:szCs w:val="28"/>
        </w:rPr>
        <w:t>»</w:t>
      </w:r>
      <w:r w:rsidR="00323DA9" w:rsidRPr="00EA77E3">
        <w:rPr>
          <w:rFonts w:eastAsia="Calibri"/>
          <w:color w:val="000000" w:themeColor="text1"/>
          <w:szCs w:val="28"/>
        </w:rPr>
        <w:t>, також немає жодної діючої програми щодо попередження дитячої смертно</w:t>
      </w:r>
      <w:r w:rsidR="00B366DA">
        <w:rPr>
          <w:rFonts w:eastAsia="Calibri"/>
          <w:color w:val="000000" w:themeColor="text1"/>
          <w:szCs w:val="28"/>
        </w:rPr>
        <w:t>сті, не зважаючи на акцентуванні</w:t>
      </w:r>
      <w:r w:rsidR="00323DA9" w:rsidRPr="00EA77E3">
        <w:rPr>
          <w:rFonts w:eastAsia="Calibri"/>
          <w:color w:val="000000" w:themeColor="text1"/>
          <w:szCs w:val="28"/>
        </w:rPr>
        <w:t xml:space="preserve"> </w:t>
      </w:r>
      <w:r w:rsidR="00B366DA">
        <w:rPr>
          <w:rFonts w:eastAsia="Calibri"/>
          <w:color w:val="000000" w:themeColor="text1"/>
          <w:szCs w:val="28"/>
        </w:rPr>
        <w:t xml:space="preserve">уваги </w:t>
      </w:r>
      <w:r w:rsidR="00323DA9" w:rsidRPr="00EA77E3">
        <w:rPr>
          <w:rFonts w:eastAsia="Calibri"/>
          <w:color w:val="000000" w:themeColor="text1"/>
          <w:szCs w:val="28"/>
        </w:rPr>
        <w:t>укр</w:t>
      </w:r>
      <w:r w:rsidR="00B366DA">
        <w:rPr>
          <w:rFonts w:eastAsia="Calibri"/>
          <w:color w:val="000000" w:themeColor="text1"/>
          <w:szCs w:val="28"/>
        </w:rPr>
        <w:t>аїнськими вченими</w:t>
      </w:r>
      <w:r w:rsidR="00323DA9" w:rsidRPr="00EA77E3">
        <w:rPr>
          <w:rFonts w:eastAsia="Calibri"/>
          <w:color w:val="000000" w:themeColor="text1"/>
          <w:szCs w:val="28"/>
        </w:rPr>
        <w:t xml:space="preserve"> на стратегічності для держави напряму надання якісної медичної допомоги матері та дитини, попередженні дитячої смертності та необхідності імплементації міжн</w:t>
      </w:r>
      <w:r w:rsidR="00EF1915">
        <w:rPr>
          <w:rFonts w:eastAsia="Calibri"/>
          <w:color w:val="000000" w:themeColor="text1"/>
          <w:szCs w:val="28"/>
        </w:rPr>
        <w:t>ародних документів [</w:t>
      </w:r>
      <w:r w:rsidR="00D826C8">
        <w:rPr>
          <w:rFonts w:eastAsia="Calibri"/>
          <w:color w:val="000000" w:themeColor="text1"/>
          <w:szCs w:val="28"/>
        </w:rPr>
        <w:t>14, 30, 34</w:t>
      </w:r>
      <w:r w:rsidR="00EF1915" w:rsidRPr="00EF1915">
        <w:rPr>
          <w:rFonts w:eastAsia="Calibri"/>
          <w:color w:val="000000" w:themeColor="text1"/>
          <w:szCs w:val="28"/>
        </w:rPr>
        <w:t>,</w:t>
      </w:r>
      <w:r w:rsidR="00D826C8">
        <w:rPr>
          <w:rFonts w:eastAsia="Calibri"/>
          <w:color w:val="000000" w:themeColor="text1"/>
          <w:szCs w:val="28"/>
        </w:rPr>
        <w:t xml:space="preserve"> 40,</w:t>
      </w:r>
      <w:r w:rsidR="00EF1915" w:rsidRPr="00EF1915">
        <w:rPr>
          <w:rFonts w:eastAsia="Calibri"/>
          <w:color w:val="000000" w:themeColor="text1"/>
          <w:szCs w:val="28"/>
        </w:rPr>
        <w:t xml:space="preserve"> 301, 302</w:t>
      </w:r>
      <w:r w:rsidR="00B366DA">
        <w:rPr>
          <w:rFonts w:eastAsia="Calibri"/>
          <w:color w:val="000000" w:themeColor="text1"/>
          <w:szCs w:val="28"/>
        </w:rPr>
        <w:t xml:space="preserve">].  При цьому </w:t>
      </w:r>
      <w:r w:rsidR="00323DA9" w:rsidRPr="00EA77E3">
        <w:rPr>
          <w:rFonts w:eastAsia="Calibri"/>
          <w:color w:val="000000" w:themeColor="text1"/>
          <w:szCs w:val="28"/>
        </w:rPr>
        <w:t xml:space="preserve">в </w:t>
      </w:r>
      <w:r w:rsidR="00323DA9" w:rsidRPr="00EA77E3">
        <w:rPr>
          <w:rFonts w:eastAsia="Times New Roman"/>
          <w:color w:val="000000" w:themeColor="text1"/>
          <w:szCs w:val="28"/>
          <w:lang w:eastAsia="ru-RU"/>
        </w:rPr>
        <w:t>Україні продовжує спостерігатись один з найвищих показників дитячої смертності в порівнянні з розвинутими країнами Європейського регіону як серед дітей до 5</w:t>
      </w:r>
      <w:r w:rsidR="00B366DA">
        <w:rPr>
          <w:rFonts w:eastAsia="Times New Roman"/>
          <w:color w:val="000000" w:themeColor="text1"/>
          <w:szCs w:val="28"/>
          <w:lang w:eastAsia="ru-RU"/>
        </w:rPr>
        <w:t>-ти</w:t>
      </w:r>
      <w:r w:rsidR="00323DA9" w:rsidRPr="00EA77E3">
        <w:rPr>
          <w:rFonts w:eastAsia="Times New Roman"/>
          <w:color w:val="000000" w:themeColor="text1"/>
          <w:szCs w:val="28"/>
          <w:lang w:eastAsia="ru-RU"/>
        </w:rPr>
        <w:t xml:space="preserve"> років, так і малюкової смертності, що потребує негайного застосування системних ефективних дій на державному рівні щодо її попередження та усунення факторів ризику із залученням багатьох державних секторів.</w:t>
      </w:r>
    </w:p>
    <w:p w:rsidR="00323DA9" w:rsidRPr="00EA77E3" w:rsidRDefault="00323DA9" w:rsidP="00721203">
      <w:pPr>
        <w:widowControl w:val="0"/>
        <w:ind w:firstLine="709"/>
        <w:rPr>
          <w:rFonts w:eastAsia="Calibri"/>
          <w:color w:val="000000" w:themeColor="text1"/>
          <w:szCs w:val="28"/>
        </w:rPr>
      </w:pPr>
      <w:r w:rsidRPr="00EA77E3">
        <w:rPr>
          <w:rFonts w:eastAsia="Calibri"/>
          <w:color w:val="000000" w:themeColor="text1"/>
          <w:szCs w:val="28"/>
        </w:rPr>
        <w:t>Дослідження щодо зниження неонатальної, малюкової і дитячої смертності визначаються у світі як глобальні, і тому є особливо актуальними та повинні бути в центрі уваги країн</w:t>
      </w:r>
      <w:r w:rsidR="003C5AF7">
        <w:rPr>
          <w:rFonts w:eastAsia="Calibri"/>
          <w:color w:val="000000" w:themeColor="text1"/>
          <w:szCs w:val="28"/>
        </w:rPr>
        <w:t xml:space="preserve"> світу та головними дослідницьки</w:t>
      </w:r>
      <w:r w:rsidRPr="00EA77E3">
        <w:rPr>
          <w:rFonts w:eastAsia="Calibri"/>
          <w:color w:val="000000" w:themeColor="text1"/>
          <w:szCs w:val="28"/>
        </w:rPr>
        <w:t>ми пріоритетами. На даний час комплексні наукові роботи з системним підходом до вивчення проблеми дитяч</w:t>
      </w:r>
      <w:r w:rsidR="00996F44">
        <w:rPr>
          <w:rFonts w:eastAsia="Calibri"/>
          <w:color w:val="000000" w:themeColor="text1"/>
          <w:szCs w:val="28"/>
        </w:rPr>
        <w:t xml:space="preserve">ої </w:t>
      </w:r>
      <w:r w:rsidR="00996F44">
        <w:rPr>
          <w:rFonts w:eastAsia="Calibri"/>
          <w:color w:val="000000" w:themeColor="text1"/>
          <w:szCs w:val="28"/>
        </w:rPr>
        <w:lastRenderedPageBreak/>
        <w:t>смертності та її попередження</w:t>
      </w:r>
      <w:r w:rsidRPr="00EA77E3">
        <w:rPr>
          <w:rFonts w:eastAsia="Calibri"/>
          <w:color w:val="000000" w:themeColor="text1"/>
          <w:szCs w:val="28"/>
        </w:rPr>
        <w:t xml:space="preserve"> на державному рівні відсутні, існують поодинокі роботи з даного напряму, які не вирішують проблему дитячої смертності на даному етапі розвитку суспільства, трансформації системи охорони здоров’я. Залишаються недостатньо вивченими питання механізмів імплементації існуючих міжнародних стратегій і ініціатив щодо організаційного удосконалення та оптимізації системи медичної допомоги дитячому населенню в напрямі попередження дитячої смертності </w:t>
      </w:r>
      <w:r w:rsidRPr="00B93BA5">
        <w:rPr>
          <w:rFonts w:eastAsia="Calibri"/>
          <w:szCs w:val="28"/>
        </w:rPr>
        <w:t xml:space="preserve">на всіх рівнях її надання, забезпечення її якості, доступності, відповідності потреби і обсягів, залучення інших державних секторів із врахуванням особливостей дитячої смертності та її детермінант, </w:t>
      </w:r>
      <w:r w:rsidRPr="00EA77E3">
        <w:rPr>
          <w:rFonts w:eastAsia="Calibri"/>
          <w:color w:val="000000" w:themeColor="text1"/>
          <w:szCs w:val="28"/>
        </w:rPr>
        <w:t>які є результатом взаємопов'язаних демографічних, медико-соціальних, соціально-е</w:t>
      </w:r>
      <w:r w:rsidR="003B41B9">
        <w:rPr>
          <w:rFonts w:eastAsia="Calibri"/>
          <w:color w:val="000000" w:themeColor="text1"/>
          <w:szCs w:val="28"/>
        </w:rPr>
        <w:t>кономічних факторів і визначених</w:t>
      </w:r>
      <w:r w:rsidRPr="00EA77E3">
        <w:rPr>
          <w:rFonts w:eastAsia="Calibri"/>
          <w:color w:val="000000" w:themeColor="text1"/>
          <w:szCs w:val="28"/>
        </w:rPr>
        <w:t xml:space="preserve"> ними способом життя. Все вищезазначене </w:t>
      </w:r>
      <w:r w:rsidRPr="00EA77E3">
        <w:rPr>
          <w:rFonts w:eastAsia="Times New Roman"/>
          <w:color w:val="000000" w:themeColor="text1"/>
          <w:szCs w:val="28"/>
          <w:lang w:eastAsia="ru-RU"/>
        </w:rPr>
        <w:t>визначило</w:t>
      </w:r>
      <w:r w:rsidRPr="00EA77E3">
        <w:rPr>
          <w:rFonts w:eastAsia="Calibri"/>
          <w:color w:val="000000" w:themeColor="text1"/>
          <w:szCs w:val="28"/>
        </w:rPr>
        <w:t xml:space="preserve"> актуальність дисертаційного дослідження, його тему, мету, завдання та програму.</w:t>
      </w:r>
      <w:r w:rsidRPr="00EA77E3">
        <w:rPr>
          <w:rFonts w:eastAsia="Calibri"/>
          <w:color w:val="000000" w:themeColor="text1"/>
          <w:szCs w:val="28"/>
        </w:rPr>
        <w:br w:type="page"/>
      </w:r>
    </w:p>
    <w:p w:rsidR="00323DA9" w:rsidRPr="00006A39" w:rsidRDefault="00323DA9" w:rsidP="00721203">
      <w:pPr>
        <w:widowControl w:val="0"/>
        <w:spacing w:line="240" w:lineRule="auto"/>
        <w:jc w:val="center"/>
        <w:rPr>
          <w:rFonts w:eastAsia="Times New Roman"/>
          <w:b/>
          <w:bCs/>
          <w:kern w:val="36"/>
          <w:szCs w:val="28"/>
          <w:lang w:eastAsia="ru-RU"/>
        </w:rPr>
      </w:pPr>
      <w:r w:rsidRPr="00006A39">
        <w:rPr>
          <w:rFonts w:eastAsia="Times New Roman"/>
          <w:b/>
          <w:bCs/>
          <w:kern w:val="36"/>
          <w:szCs w:val="28"/>
          <w:lang w:eastAsia="ru-RU"/>
        </w:rPr>
        <w:lastRenderedPageBreak/>
        <w:t>РОЗДІЛ 2</w:t>
      </w:r>
    </w:p>
    <w:p w:rsidR="00323DA9" w:rsidRPr="00006A39" w:rsidRDefault="00323DA9" w:rsidP="00721203">
      <w:pPr>
        <w:widowControl w:val="0"/>
        <w:spacing w:line="240" w:lineRule="auto"/>
        <w:ind w:firstLine="709"/>
        <w:rPr>
          <w:rFonts w:eastAsia="Times New Roman"/>
          <w:bCs/>
          <w:i/>
          <w:kern w:val="36"/>
          <w:szCs w:val="28"/>
          <w:lang w:eastAsia="ru-RU"/>
        </w:rPr>
      </w:pPr>
    </w:p>
    <w:p w:rsidR="00323DA9" w:rsidRPr="003106A8" w:rsidRDefault="00D3445B" w:rsidP="003106A8">
      <w:pPr>
        <w:widowControl w:val="0"/>
        <w:spacing w:after="240" w:line="240" w:lineRule="auto"/>
        <w:jc w:val="center"/>
        <w:rPr>
          <w:rFonts w:eastAsia="Times New Roman"/>
          <w:b/>
          <w:bCs/>
          <w:szCs w:val="28"/>
          <w:lang w:val="ru-RU" w:eastAsia="ru-RU"/>
        </w:rPr>
      </w:pPr>
      <w:r>
        <w:rPr>
          <w:rFonts w:eastAsia="Times New Roman"/>
          <w:b/>
          <w:bCs/>
          <w:szCs w:val="28"/>
          <w:lang w:eastAsia="ru-RU"/>
        </w:rPr>
        <w:t xml:space="preserve">ПРОГРАМА, МАТЕРІАЛИ, </w:t>
      </w:r>
      <w:r w:rsidR="00323DA9" w:rsidRPr="00006A39">
        <w:rPr>
          <w:rFonts w:eastAsia="Times New Roman"/>
          <w:b/>
          <w:bCs/>
          <w:szCs w:val="28"/>
          <w:lang w:eastAsia="ru-RU"/>
        </w:rPr>
        <w:t>МЕТОДИ</w:t>
      </w:r>
      <w:r>
        <w:rPr>
          <w:rFonts w:eastAsia="Times New Roman"/>
          <w:b/>
          <w:bCs/>
          <w:szCs w:val="28"/>
          <w:lang w:eastAsia="ru-RU"/>
        </w:rPr>
        <w:t xml:space="preserve"> Й ОБСЯГИ</w:t>
      </w:r>
      <w:r w:rsidR="00323DA9" w:rsidRPr="00006A39">
        <w:rPr>
          <w:rFonts w:eastAsia="Times New Roman"/>
          <w:b/>
          <w:bCs/>
          <w:szCs w:val="28"/>
          <w:lang w:eastAsia="ru-RU"/>
        </w:rPr>
        <w:t xml:space="preserve"> ДОСЛІДЖЕННЯ</w:t>
      </w:r>
    </w:p>
    <w:p w:rsidR="00C723DE" w:rsidRPr="00C723DE" w:rsidRDefault="00C723DE" w:rsidP="003106A8">
      <w:pPr>
        <w:pStyle w:val="af9"/>
        <w:widowControl w:val="0"/>
        <w:ind w:right="-23" w:firstLine="707"/>
        <w:rPr>
          <w:b/>
          <w:color w:val="000000" w:themeColor="text1"/>
        </w:rPr>
      </w:pPr>
      <w:r w:rsidRPr="00C723DE">
        <w:rPr>
          <w:b/>
          <w:color w:val="000000" w:themeColor="text1"/>
        </w:rPr>
        <w:t>2.1. Програма дослідження</w:t>
      </w:r>
    </w:p>
    <w:p w:rsidR="00323DA9" w:rsidRPr="00006A39" w:rsidRDefault="00323DA9" w:rsidP="00721203">
      <w:pPr>
        <w:pStyle w:val="af9"/>
        <w:widowControl w:val="0"/>
        <w:spacing w:after="0"/>
        <w:ind w:right="-23" w:firstLine="707"/>
        <w:rPr>
          <w:color w:val="000000" w:themeColor="text1"/>
        </w:rPr>
      </w:pPr>
      <w:r w:rsidRPr="00006A39">
        <w:rPr>
          <w:color w:val="000000" w:themeColor="text1"/>
        </w:rPr>
        <w:t xml:space="preserve">Для досягнення головної мети </w:t>
      </w:r>
      <w:r w:rsidR="00850E5D" w:rsidRPr="00006A39">
        <w:rPr>
          <w:color w:val="000000" w:themeColor="text1"/>
        </w:rPr>
        <w:t xml:space="preserve">дослідження </w:t>
      </w:r>
      <w:r w:rsidRPr="00006A39">
        <w:rPr>
          <w:color w:val="000000" w:themeColor="text1"/>
        </w:rPr>
        <w:t xml:space="preserve">створено спеціальну, розроблену на підставі системного підходу, програму, яка передбачила </w:t>
      </w:r>
      <w:r w:rsidR="00850E5D" w:rsidRPr="00006A39">
        <w:rPr>
          <w:color w:val="000000" w:themeColor="text1"/>
        </w:rPr>
        <w:t xml:space="preserve">його </w:t>
      </w:r>
      <w:r w:rsidR="00A4502A">
        <w:rPr>
          <w:color w:val="000000" w:themeColor="text1"/>
        </w:rPr>
        <w:t>виконання у вісім</w:t>
      </w:r>
      <w:r w:rsidRPr="00006A39">
        <w:rPr>
          <w:color w:val="000000" w:themeColor="text1"/>
        </w:rPr>
        <w:t xml:space="preserve"> етапів, кожен з яких спрямовувався на вирішення завдань роботи із використанням адекватних методів та достатнім обсягом фактичного матеріалу, що забезпечило можливість отримання повної, достовірної інформації для оцінки стану об’єкта та предметів, що підлягали вивченню. Завдяки багаторівневій структуризації забезпечено системність дослідження, результати попередніх етапів ставали логічною основою для наступних етапів, узагальнення одержаних результатів та наукового обґрунтування висновків (рис. 2.1).</w:t>
      </w:r>
    </w:p>
    <w:p w:rsidR="00323DA9" w:rsidRPr="001204CA" w:rsidRDefault="00323DA9" w:rsidP="00721203">
      <w:pPr>
        <w:pStyle w:val="af9"/>
        <w:widowControl w:val="0"/>
        <w:spacing w:after="0"/>
        <w:ind w:right="-23" w:firstLine="566"/>
        <w:rPr>
          <w:color w:val="000000" w:themeColor="text1"/>
        </w:rPr>
      </w:pPr>
      <w:r w:rsidRPr="00006A39">
        <w:rPr>
          <w:color w:val="000000" w:themeColor="text1"/>
        </w:rPr>
        <w:t xml:space="preserve">У першому розділі представлено результати аналітичного огляду </w:t>
      </w:r>
      <w:r w:rsidR="002D6CC2">
        <w:rPr>
          <w:color w:val="000000" w:themeColor="text1"/>
        </w:rPr>
        <w:t xml:space="preserve">зарубіжної та вітчизняної </w:t>
      </w:r>
      <w:r w:rsidRPr="00006A39">
        <w:rPr>
          <w:color w:val="000000" w:themeColor="text1"/>
        </w:rPr>
        <w:t>наукової літератури щ</w:t>
      </w:r>
      <w:r w:rsidR="006313DB">
        <w:rPr>
          <w:color w:val="000000" w:themeColor="text1"/>
        </w:rPr>
        <w:t xml:space="preserve">одо вивчення сучасних </w:t>
      </w:r>
      <w:r w:rsidRPr="00006A39">
        <w:rPr>
          <w:color w:val="000000" w:themeColor="text1"/>
        </w:rPr>
        <w:t>тенденцій дитячої смертності у світі, в окремих розвинутих країнах та країнах пострадянського простору, аналізу детермінант дитячої смертності, політики ВООЗ щодо сучасних підходів до зниження показників смертності дитячого населення та чинних міжна</w:t>
      </w:r>
      <w:r w:rsidR="000773D0">
        <w:rPr>
          <w:color w:val="000000" w:themeColor="text1"/>
        </w:rPr>
        <w:t xml:space="preserve">родних документів, </w:t>
      </w:r>
      <w:r w:rsidRPr="00006A39">
        <w:rPr>
          <w:color w:val="000000" w:themeColor="text1"/>
        </w:rPr>
        <w:t>обґрунтування необхідності подальших досліджень у напрямі запобіга</w:t>
      </w:r>
      <w:r w:rsidR="00C92C28">
        <w:rPr>
          <w:color w:val="000000" w:themeColor="text1"/>
        </w:rPr>
        <w:t>ння відворотних випадків смерті</w:t>
      </w:r>
      <w:r w:rsidR="006313DB">
        <w:rPr>
          <w:color w:val="000000" w:themeColor="text1"/>
        </w:rPr>
        <w:t xml:space="preserve">, </w:t>
      </w:r>
      <w:r w:rsidR="00C92C28">
        <w:rPr>
          <w:color w:val="000000" w:themeColor="text1"/>
        </w:rPr>
        <w:t>організації надання медичної допомоги</w:t>
      </w:r>
      <w:r w:rsidR="00C92C28" w:rsidRPr="00C92C28">
        <w:rPr>
          <w:rFonts w:eastAsiaTheme="minorHAnsi"/>
          <w:color w:val="000000" w:themeColor="text1"/>
          <w:szCs w:val="22"/>
          <w:lang w:eastAsia="en-US"/>
        </w:rPr>
        <w:t xml:space="preserve"> </w:t>
      </w:r>
      <w:r w:rsidR="00C92C28">
        <w:rPr>
          <w:color w:val="000000" w:themeColor="text1"/>
        </w:rPr>
        <w:t>дітям</w:t>
      </w:r>
      <w:r w:rsidR="00C92C28" w:rsidRPr="00C92C28">
        <w:rPr>
          <w:color w:val="000000" w:themeColor="text1"/>
        </w:rPr>
        <w:t xml:space="preserve"> віком до 5 років життя</w:t>
      </w:r>
      <w:r w:rsidRPr="00006A39">
        <w:rPr>
          <w:color w:val="000000" w:themeColor="text1"/>
        </w:rPr>
        <w:t>. Результати аналізу свідчать про актуальність дослідження, необхідність імплементації міжнародних стратегій та ініціатив щодо зниження дитячої смертності та охорони репродуктивного здоров’я з адаптацією до сучасних процесів реформування в Україні,</w:t>
      </w:r>
      <w:r w:rsidR="005A22BE">
        <w:rPr>
          <w:color w:val="000000" w:themeColor="text1"/>
        </w:rPr>
        <w:t xml:space="preserve"> зокрема </w:t>
      </w:r>
      <w:r w:rsidR="005A22BE" w:rsidRPr="005A22BE">
        <w:rPr>
          <w:color w:val="000000" w:themeColor="text1"/>
        </w:rPr>
        <w:t>Національного плану дій в рамках глобальної ініціативи ООН та ВООЗ</w:t>
      </w:r>
      <w:r w:rsidR="00612D00">
        <w:rPr>
          <w:color w:val="000000" w:themeColor="text1"/>
        </w:rPr>
        <w:t>,</w:t>
      </w:r>
      <w:r w:rsidR="005A22BE" w:rsidRPr="005A22BE">
        <w:rPr>
          <w:color w:val="000000" w:themeColor="text1"/>
        </w:rPr>
        <w:t xml:space="preserve"> ЮНІСЕФ «Кожна жінка, кожна дитина»</w:t>
      </w:r>
      <w:r w:rsidR="005A22BE">
        <w:rPr>
          <w:color w:val="000000" w:themeColor="text1"/>
        </w:rPr>
        <w:t>,</w:t>
      </w:r>
      <w:r w:rsidRPr="00006A39">
        <w:rPr>
          <w:color w:val="000000" w:themeColor="text1"/>
        </w:rPr>
        <w:t xml:space="preserve"> а також удосконалення чинної системи охорони здоров’я матері </w:t>
      </w:r>
      <w:r w:rsidR="00B069AE" w:rsidRPr="00006A39">
        <w:rPr>
          <w:color w:val="000000" w:themeColor="text1"/>
        </w:rPr>
        <w:t>й</w:t>
      </w:r>
      <w:r w:rsidRPr="00006A39">
        <w:rPr>
          <w:color w:val="000000" w:themeColor="text1"/>
        </w:rPr>
        <w:t xml:space="preserve"> дитини та впровадження </w:t>
      </w:r>
      <w:r w:rsidR="005A22BE">
        <w:rPr>
          <w:color w:val="000000" w:themeColor="text1"/>
        </w:rPr>
        <w:t>інноваційної</w:t>
      </w:r>
      <w:r w:rsidRPr="00006A39">
        <w:rPr>
          <w:color w:val="000000" w:themeColor="text1"/>
        </w:rPr>
        <w:t xml:space="preserve"> системи </w:t>
      </w:r>
      <w:r w:rsidR="005A22BE">
        <w:rPr>
          <w:color w:val="000000" w:themeColor="text1"/>
        </w:rPr>
        <w:t>медико-соціальної допомоги дітям віком до 5 років життя в Україні.</w:t>
      </w:r>
    </w:p>
    <w:p w:rsidR="001204CA" w:rsidRPr="005A22BE" w:rsidRDefault="001204CA" w:rsidP="005A22BE">
      <w:pPr>
        <w:tabs>
          <w:tab w:val="left" w:pos="1220"/>
        </w:tabs>
        <w:rPr>
          <w:lang w:eastAsia="ru-RU"/>
        </w:rPr>
        <w:sectPr w:rsidR="001204CA" w:rsidRPr="005A22BE" w:rsidSect="00E242B0">
          <w:pgSz w:w="12240" w:h="15840"/>
          <w:pgMar w:top="1134" w:right="567" w:bottom="1134" w:left="1134" w:header="709" w:footer="709" w:gutter="0"/>
          <w:cols w:space="708"/>
          <w:docGrid w:linePitch="360"/>
        </w:sectPr>
      </w:pPr>
    </w:p>
    <w:p w:rsidR="001204CA" w:rsidRPr="001204CA" w:rsidRDefault="001204CA" w:rsidP="001204CA">
      <w:pPr>
        <w:autoSpaceDE w:val="0"/>
        <w:autoSpaceDN w:val="0"/>
        <w:adjustRightInd w:val="0"/>
        <w:spacing w:line="240" w:lineRule="auto"/>
        <w:ind w:left="-426"/>
        <w:rPr>
          <w:rFonts w:eastAsia="Times New Roman"/>
          <w:szCs w:val="28"/>
          <w:lang w:eastAsia="uk-UA"/>
        </w:rPr>
      </w:pPr>
      <w:r w:rsidRPr="001204CA">
        <w:rPr>
          <w:rFonts w:eastAsia="Times New Roman"/>
          <w:noProof/>
          <w:szCs w:val="28"/>
          <w:lang w:val="ru-RU" w:eastAsia="ru-RU"/>
        </w:rPr>
        <w:lastRenderedPageBreak/>
        <mc:AlternateContent>
          <mc:Choice Requires="wps">
            <w:drawing>
              <wp:anchor distT="0" distB="0" distL="114300" distR="114300" simplePos="0" relativeHeight="251916288" behindDoc="0" locked="0" layoutInCell="1" allowOverlap="1" wp14:anchorId="5341D488" wp14:editId="1F83519B">
                <wp:simplePos x="0" y="0"/>
                <wp:positionH relativeFrom="column">
                  <wp:posOffset>-46990</wp:posOffset>
                </wp:positionH>
                <wp:positionV relativeFrom="paragraph">
                  <wp:posOffset>118745</wp:posOffset>
                </wp:positionV>
                <wp:extent cx="800100" cy="317500"/>
                <wp:effectExtent l="0" t="0" r="57150" b="63500"/>
                <wp:wrapNone/>
                <wp:docPr id="257" name="Прямоугольник 2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00100" cy="317500"/>
                        </a:xfrm>
                        <a:prstGeom prst="rect">
                          <a:avLst/>
                        </a:prstGeom>
                        <a:gradFill rotWithShape="1">
                          <a:gsLst>
                            <a:gs pos="0">
                              <a:srgbClr val="C0C0C0"/>
                            </a:gs>
                            <a:gs pos="50000">
                              <a:srgbClr val="FBFBFB"/>
                            </a:gs>
                            <a:gs pos="100000">
                              <a:srgbClr val="C0C0C0"/>
                            </a:gs>
                          </a:gsLst>
                          <a:lin ang="5400000" scaled="1"/>
                        </a:gradFill>
                        <a:ln w="25400">
                          <a:solidFill>
                            <a:srgbClr val="000000"/>
                          </a:solidFill>
                          <a:miter lim="800000"/>
                          <a:headEnd/>
                          <a:tailEnd/>
                        </a:ln>
                        <a:effectLst>
                          <a:outerShdw dist="53882" dir="2700000" algn="ctr" rotWithShape="0">
                            <a:srgbClr val="808080"/>
                          </a:outerShdw>
                        </a:effectLst>
                      </wps:spPr>
                      <wps:txbx>
                        <w:txbxContent>
                          <w:p w:rsidR="001E1DF5" w:rsidRPr="006A2E50" w:rsidRDefault="001E1DF5" w:rsidP="001204CA">
                            <w:pPr>
                              <w:spacing w:before="120"/>
                              <w:rPr>
                                <w:b/>
                                <w:szCs w:val="28"/>
                              </w:rPr>
                            </w:pPr>
                            <w:r w:rsidRPr="006A2E50">
                              <w:rPr>
                                <w:b/>
                                <w:szCs w:val="28"/>
                              </w:rPr>
                              <w:t>І етап</w:t>
                            </w:r>
                          </w:p>
                        </w:txbxContent>
                      </wps:txbx>
                      <wps:bodyPr rot="0" vert="horz" wrap="square" lIns="72000" tIns="0" rIns="72000" bIns="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257" o:spid="_x0000_s1051" style="position:absolute;left:0;text-align:left;margin-left:-3.7pt;margin-top:9.35pt;width:63pt;height:25pt;z-index:251916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" fillcolor="silver" strokeweight="2pt">
                <v:fill color2="#fbfbfb" rotate="t" focus="50%" type="gradient"/>
                <v:shadow on="t" offset="3pt,3pt"/>
                <v:textbox inset="2mm,0,2mm,0">
                  <w:txbxContent>
                    <w:p w:rsidR="0057431A" w:rsidRPr="006A2E50" w:rsidRDefault="0057431A" w:rsidP="001204CA">
                      <w:pPr>
                        <w:spacing w:before="120"/>
                        <w:rPr>
                          <w:b/>
                          <w:szCs w:val="28"/>
                        </w:rPr>
                      </w:pPr>
                      <w:r w:rsidRPr="006A2E50">
                        <w:rPr>
                          <w:b/>
                          <w:szCs w:val="28"/>
                        </w:rPr>
                        <w:t>І етап</w:t>
                      </w:r>
                    </w:p>
                  </w:txbxContent>
                </v:textbox>
              </v:rect>
            </w:pict>
          </mc:Fallback>
        </mc:AlternateContent>
      </w:r>
      <w:r w:rsidRPr="001204CA">
        <w:rPr>
          <w:rFonts w:eastAsia="Times New Roman"/>
          <w:noProof/>
          <w:szCs w:val="28"/>
          <w:lang w:val="ru-RU" w:eastAsia="ru-RU"/>
        </w:rPr>
        <mc:AlternateContent>
          <mc:Choice Requires="wps">
            <w:drawing>
              <wp:anchor distT="0" distB="0" distL="114300" distR="114300" simplePos="0" relativeHeight="251917312" behindDoc="0" locked="0" layoutInCell="1" allowOverlap="1" wp14:anchorId="0BDE65E1" wp14:editId="6DF70F8C">
                <wp:simplePos x="0" y="0"/>
                <wp:positionH relativeFrom="column">
                  <wp:posOffset>854268</wp:posOffset>
                </wp:positionH>
                <wp:positionV relativeFrom="paragraph">
                  <wp:posOffset>121837</wp:posOffset>
                </wp:positionV>
                <wp:extent cx="5621020" cy="349858"/>
                <wp:effectExtent l="0" t="0" r="55880" b="50800"/>
                <wp:wrapNone/>
                <wp:docPr id="258" name="Скругленный прямоугольник 2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21020" cy="349858"/>
                        </a:xfrm>
                        <a:prstGeom prst="roundRect">
                          <a:avLst>
                            <a:gd name="adj" fmla="val 16667"/>
                          </a:avLst>
                        </a:prstGeom>
                        <a:gradFill rotWithShape="1">
                          <a:gsLst>
                            <a:gs pos="0">
                              <a:srgbClr val="C0C0C0"/>
                            </a:gs>
                            <a:gs pos="50000">
                              <a:srgbClr val="C0C0C0">
                                <a:gamma/>
                                <a:tint val="0"/>
                                <a:invGamma/>
                              </a:srgbClr>
                            </a:gs>
                            <a:gs pos="100000">
                              <a:srgbClr val="C0C0C0"/>
                            </a:gs>
                          </a:gsLst>
                          <a:lin ang="5400000" scaled="1"/>
                        </a:gradFill>
                        <a:ln w="25400">
                          <a:solidFill>
                            <a:srgbClr val="000000"/>
                          </a:solidFill>
                          <a:round/>
                          <a:headEnd/>
                          <a:tailEnd/>
                        </a:ln>
                        <a:effectLst>
                          <a:outerShdw dist="35921" dir="2700000" algn="ctr" rotWithShape="0">
                            <a:srgbClr val="808080"/>
                          </a:outerShdw>
                        </a:effectLst>
                      </wps:spPr>
                      <wps:txbx>
                        <w:txbxContent>
                          <w:p w:rsidR="001E1DF5" w:rsidRPr="006A2E50" w:rsidRDefault="001E1DF5" w:rsidP="001204CA">
                            <w:pPr>
                              <w:spacing w:line="216" w:lineRule="auto"/>
                              <w:jc w:val="center"/>
                              <w:rPr>
                                <w:sz w:val="22"/>
                              </w:rPr>
                            </w:pPr>
                            <w:r w:rsidRPr="006A2E50">
                              <w:rPr>
                                <w:b/>
                                <w:sz w:val="22"/>
                              </w:rPr>
                              <w:t xml:space="preserve">Аналітичний огляд </w:t>
                            </w:r>
                            <w:r>
                              <w:rPr>
                                <w:b/>
                                <w:sz w:val="22"/>
                              </w:rPr>
                              <w:t xml:space="preserve">наукових джерел з питань </w:t>
                            </w:r>
                            <w:r w:rsidRPr="006A2E50">
                              <w:rPr>
                                <w:b/>
                                <w:sz w:val="22"/>
                              </w:rPr>
                              <w:t xml:space="preserve">сучасних підходів до </w:t>
                            </w:r>
                            <w:r>
                              <w:rPr>
                                <w:b/>
                                <w:sz w:val="22"/>
                              </w:rPr>
                              <w:t xml:space="preserve">зниження дитячої смертності та </w:t>
                            </w:r>
                            <w:r w:rsidRPr="006A2E50">
                              <w:rPr>
                                <w:b/>
                                <w:bCs/>
                                <w:sz w:val="22"/>
                              </w:rPr>
                              <w:t>надання медико-соціальної допомоги дітям</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258" o:spid="_x0000_s1052" style="position:absolute;left:0;text-align:left;margin-left:67.25pt;margin-top:9.6pt;width:442.6pt;height:27.55pt;z-index:251917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" fillcolor="silver" strokeweight="2pt">
                <v:fill rotate="t" focus="50%" type="gradient"/>
                <v:shadow on="t"/>
                <v:textbox inset="0,0,0,0">
                  <w:txbxContent>
                    <w:p w:rsidR="0057431A" w:rsidRPr="006A2E50" w:rsidRDefault="0057431A" w:rsidP="001204CA">
                      <w:pPr>
                        <w:spacing w:line="216" w:lineRule="auto"/>
                        <w:jc w:val="center"/>
                        <w:rPr>
                          <w:sz w:val="22"/>
                        </w:rPr>
                      </w:pPr>
                      <w:r w:rsidRPr="006A2E50">
                        <w:rPr>
                          <w:b/>
                          <w:sz w:val="22"/>
                        </w:rPr>
                        <w:t xml:space="preserve">Аналітичний огляд </w:t>
                      </w:r>
                      <w:r>
                        <w:rPr>
                          <w:b/>
                          <w:sz w:val="22"/>
                        </w:rPr>
                        <w:t xml:space="preserve">наукових джерел з питань </w:t>
                      </w:r>
                      <w:r w:rsidRPr="006A2E50">
                        <w:rPr>
                          <w:b/>
                          <w:sz w:val="22"/>
                        </w:rPr>
                        <w:t xml:space="preserve">сучасних підходів до </w:t>
                      </w:r>
                      <w:r>
                        <w:rPr>
                          <w:b/>
                          <w:sz w:val="22"/>
                        </w:rPr>
                        <w:t xml:space="preserve">зниження дитячої смертності та </w:t>
                      </w:r>
                      <w:r w:rsidRPr="006A2E50">
                        <w:rPr>
                          <w:b/>
                          <w:bCs/>
                          <w:sz w:val="22"/>
                        </w:rPr>
                        <w:t>надання медико-соціальної допомоги дітям</w:t>
                      </w:r>
                    </w:p>
                  </w:txbxContent>
                </v:textbox>
              </v:roundrect>
            </w:pict>
          </mc:Fallback>
        </mc:AlternateContent>
      </w:r>
    </w:p>
    <w:p w:rsidR="001204CA" w:rsidRPr="001204CA" w:rsidRDefault="001204CA" w:rsidP="001204CA">
      <w:pPr>
        <w:autoSpaceDE w:val="0"/>
        <w:autoSpaceDN w:val="0"/>
        <w:adjustRightInd w:val="0"/>
        <w:spacing w:line="240" w:lineRule="auto"/>
        <w:ind w:firstLine="709"/>
        <w:rPr>
          <w:rFonts w:eastAsia="Times New Roman"/>
          <w:szCs w:val="28"/>
          <w:lang w:eastAsia="uk-UA"/>
        </w:rPr>
      </w:pPr>
    </w:p>
    <w:p w:rsidR="001204CA" w:rsidRPr="001204CA" w:rsidRDefault="001204CA" w:rsidP="001204CA">
      <w:pPr>
        <w:autoSpaceDE w:val="0"/>
        <w:autoSpaceDN w:val="0"/>
        <w:adjustRightInd w:val="0"/>
        <w:spacing w:line="240" w:lineRule="auto"/>
        <w:ind w:firstLine="709"/>
        <w:rPr>
          <w:rFonts w:eastAsia="Times New Roman"/>
          <w:szCs w:val="28"/>
          <w:lang w:eastAsia="uk-UA"/>
        </w:rPr>
      </w:pPr>
      <w:r w:rsidRPr="001204CA">
        <w:rPr>
          <w:rFonts w:eastAsia="Times New Roman"/>
          <w:noProof/>
          <w:szCs w:val="28"/>
          <w:lang w:val="ru-RU" w:eastAsia="ru-RU"/>
        </w:rPr>
        <mc:AlternateContent>
          <mc:Choice Requires="wps">
            <w:drawing>
              <wp:anchor distT="0" distB="0" distL="114300" distR="114300" simplePos="0" relativeHeight="251918336" behindDoc="0" locked="0" layoutInCell="1" allowOverlap="1" wp14:anchorId="3A1C7182" wp14:editId="703B679C">
                <wp:simplePos x="0" y="0"/>
                <wp:positionH relativeFrom="column">
                  <wp:posOffset>-40640</wp:posOffset>
                </wp:positionH>
                <wp:positionV relativeFrom="paragraph">
                  <wp:posOffset>116205</wp:posOffset>
                </wp:positionV>
                <wp:extent cx="6518910" cy="298450"/>
                <wp:effectExtent l="0" t="0" r="15240" b="25400"/>
                <wp:wrapNone/>
                <wp:docPr id="259" name="Прямоугольник 2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18910" cy="298450"/>
                        </a:xfrm>
                        <a:prstGeom prst="rect">
                          <a:avLst/>
                        </a:prstGeom>
                        <a:solidFill>
                          <a:srgbClr val="FFFFFF"/>
                        </a:solidFill>
                        <a:ln w="9525">
                          <a:solidFill>
                            <a:srgbClr val="000000"/>
                          </a:solidFill>
                          <a:miter lim="800000"/>
                          <a:headEnd/>
                          <a:tailEnd/>
                        </a:ln>
                      </wps:spPr>
                      <wps:txbx>
                        <w:txbxContent>
                          <w:p w:rsidR="001E1DF5" w:rsidRPr="006A2E50" w:rsidRDefault="001E1DF5" w:rsidP="001204CA">
                            <w:pPr>
                              <w:spacing w:line="216" w:lineRule="auto"/>
                              <w:jc w:val="center"/>
                              <w:rPr>
                                <w:sz w:val="22"/>
                              </w:rPr>
                            </w:pPr>
                            <w:r w:rsidRPr="006A2E50">
                              <w:rPr>
                                <w:sz w:val="22"/>
                              </w:rPr>
                              <w:t>Системний аналіз наукових праць, реферативних баз бібліотек, нормативно-правових актів, статистичн</w:t>
                            </w:r>
                            <w:r>
                              <w:rPr>
                                <w:sz w:val="22"/>
                              </w:rPr>
                              <w:t xml:space="preserve">о-довідкових матеріалів: всього </w:t>
                            </w:r>
                            <w:r>
                              <w:rPr>
                                <w:sz w:val="22"/>
                                <w:lang w:val="ru-RU"/>
                              </w:rPr>
                              <w:t>372</w:t>
                            </w:r>
                            <w:r w:rsidRPr="008242AD">
                              <w:rPr>
                                <w:color w:val="FF0000"/>
                                <w:sz w:val="22"/>
                              </w:rPr>
                              <w:t xml:space="preserve"> </w:t>
                            </w:r>
                            <w:r w:rsidRPr="008F308F">
                              <w:rPr>
                                <w:sz w:val="22"/>
                              </w:rPr>
                              <w:t xml:space="preserve">джерела, </w:t>
                            </w:r>
                            <w:r>
                              <w:rPr>
                                <w:sz w:val="22"/>
                              </w:rPr>
                              <w:t xml:space="preserve">з них </w:t>
                            </w:r>
                            <w:r>
                              <w:rPr>
                                <w:sz w:val="22"/>
                                <w:lang w:val="ru-RU"/>
                              </w:rPr>
                              <w:t>9</w:t>
                            </w:r>
                            <w:r w:rsidRPr="00B2433B">
                              <w:rPr>
                                <w:sz w:val="22"/>
                                <w:lang w:val="ru-RU"/>
                              </w:rPr>
                              <w:t>3 к</w:t>
                            </w:r>
                            <w:r w:rsidRPr="00B2433B">
                              <w:rPr>
                                <w:sz w:val="22"/>
                              </w:rPr>
                              <w:t>и</w:t>
                            </w:r>
                            <w:r>
                              <w:rPr>
                                <w:sz w:val="22"/>
                                <w:lang w:val="ru-RU"/>
                              </w:rPr>
                              <w:t>рилицею, 279</w:t>
                            </w:r>
                            <w:r w:rsidRPr="00B2433B">
                              <w:rPr>
                                <w:sz w:val="22"/>
                                <w:lang w:val="ru-RU"/>
                              </w:rPr>
                              <w:t xml:space="preserve"> латиницею</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259" o:spid="_x0000_s1053" style="position:absolute;left:0;text-align:left;margin-left:-3.2pt;margin-top:9.15pt;width:513.3pt;height:23.5pt;z-index:251918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">
                <v:textbox inset="0,0,0,0">
                  <w:txbxContent>
                    <w:p w:rsidR="0057431A" w:rsidRPr="006A2E50" w:rsidRDefault="0057431A" w:rsidP="001204CA">
                      <w:pPr>
                        <w:spacing w:line="216" w:lineRule="auto"/>
                        <w:jc w:val="center"/>
                        <w:rPr>
                          <w:sz w:val="22"/>
                        </w:rPr>
                      </w:pPr>
                      <w:r w:rsidRPr="006A2E50">
                        <w:rPr>
                          <w:sz w:val="22"/>
                        </w:rPr>
                        <w:t>Системний аналіз наукових праць, реферативних баз бібліотек, нормативно-правових актів, статистичн</w:t>
                      </w:r>
                      <w:r>
                        <w:rPr>
                          <w:sz w:val="22"/>
                        </w:rPr>
                        <w:t xml:space="preserve">о-довідкових матеріалів: всього </w:t>
                      </w:r>
                      <w:r>
                        <w:rPr>
                          <w:sz w:val="22"/>
                          <w:lang w:val="ru-RU"/>
                        </w:rPr>
                        <w:t>372</w:t>
                      </w:r>
                      <w:r w:rsidRPr="008242AD">
                        <w:rPr>
                          <w:color w:val="FF0000"/>
                          <w:sz w:val="22"/>
                        </w:rPr>
                        <w:t xml:space="preserve"> </w:t>
                      </w:r>
                      <w:r w:rsidRPr="008F308F">
                        <w:rPr>
                          <w:sz w:val="22"/>
                        </w:rPr>
                        <w:t xml:space="preserve">джерела, </w:t>
                      </w:r>
                      <w:r>
                        <w:rPr>
                          <w:sz w:val="22"/>
                        </w:rPr>
                        <w:t xml:space="preserve">з них </w:t>
                      </w:r>
                      <w:r>
                        <w:rPr>
                          <w:sz w:val="22"/>
                          <w:lang w:val="ru-RU"/>
                        </w:rPr>
                        <w:t>9</w:t>
                      </w:r>
                      <w:r w:rsidRPr="00B2433B">
                        <w:rPr>
                          <w:sz w:val="22"/>
                          <w:lang w:val="ru-RU"/>
                        </w:rPr>
                        <w:t>3 к</w:t>
                      </w:r>
                      <w:r w:rsidRPr="00B2433B">
                        <w:rPr>
                          <w:sz w:val="22"/>
                        </w:rPr>
                        <w:t>и</w:t>
                      </w:r>
                      <w:r>
                        <w:rPr>
                          <w:sz w:val="22"/>
                          <w:lang w:val="ru-RU"/>
                        </w:rPr>
                        <w:t>рилицею, 279</w:t>
                      </w:r>
                      <w:r w:rsidRPr="00B2433B">
                        <w:rPr>
                          <w:sz w:val="22"/>
                          <w:lang w:val="ru-RU"/>
                        </w:rPr>
                        <w:t xml:space="preserve"> латиницею</w:t>
                      </w:r>
                    </w:p>
                  </w:txbxContent>
                </v:textbox>
              </v:rect>
            </w:pict>
          </mc:Fallback>
        </mc:AlternateContent>
      </w:r>
      <w:r w:rsidRPr="001204CA">
        <w:rPr>
          <w:rFonts w:eastAsia="Times New Roman"/>
          <w:noProof/>
          <w:szCs w:val="28"/>
          <w:lang w:val="ru-RU" w:eastAsia="ru-RU"/>
        </w:rPr>
        <mc:AlternateContent>
          <mc:Choice Requires="wps">
            <w:drawing>
              <wp:anchor distT="0" distB="0" distL="114300" distR="114300" simplePos="0" relativeHeight="251948032" behindDoc="0" locked="0" layoutInCell="1" allowOverlap="1" wp14:anchorId="3202AE47" wp14:editId="2BE4B522">
                <wp:simplePos x="0" y="0"/>
                <wp:positionH relativeFrom="column">
                  <wp:posOffset>3509644</wp:posOffset>
                </wp:positionH>
                <wp:positionV relativeFrom="paragraph">
                  <wp:posOffset>61346</wp:posOffset>
                </wp:positionV>
                <wp:extent cx="66040" cy="79375"/>
                <wp:effectExtent l="19050" t="0" r="29210" b="34925"/>
                <wp:wrapNone/>
                <wp:docPr id="260" name="Равнобедренный треугольник 260"/>
                <wp:cNvGraphicFramePr/>
                <a:graphic xmlns:a="http://schemas.openxmlformats.org/drawingml/2006/main">
                  <a:graphicData uri="http://schemas.microsoft.com/office/word/2010/wordprocessingShape">
                    <wps:wsp>
                      <wps:cNvSpPr/>
                      <wps:spPr>
                        <a:xfrm rot="10800000">
                          <a:off x="0" y="0"/>
                          <a:ext cx="66040" cy="79375"/>
                        </a:xfrm>
                        <a:prstGeom prst="triangle">
                          <a:avLst/>
                        </a:prstGeom>
                        <a:solidFill>
                          <a:sysClr val="windowText" lastClr="000000"/>
                        </a:solidFill>
                        <a:ln w="12700" cap="flat" cmpd="sng" algn="ctr">
                          <a:solidFill>
                            <a:sysClr val="windowText" lastClr="000000">
                              <a:shade val="50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Равнобедренный треугольник 260" o:spid="_x0000_s1026" type="#_x0000_t5" style="position:absolute;margin-left:276.35pt;margin-top:4.85pt;width:5.2pt;height:6.25pt;rotation:180;z-index:251948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" fillcolor="windowText" strokeweight="1pt"/>
            </w:pict>
          </mc:Fallback>
        </mc:AlternateContent>
      </w:r>
    </w:p>
    <w:p w:rsidR="001204CA" w:rsidRPr="001204CA" w:rsidRDefault="001204CA" w:rsidP="001204CA">
      <w:pPr>
        <w:autoSpaceDE w:val="0"/>
        <w:autoSpaceDN w:val="0"/>
        <w:adjustRightInd w:val="0"/>
        <w:spacing w:line="240" w:lineRule="auto"/>
        <w:ind w:firstLine="709"/>
        <w:rPr>
          <w:rFonts w:eastAsia="Times New Roman"/>
          <w:szCs w:val="28"/>
          <w:lang w:eastAsia="uk-UA"/>
        </w:rPr>
      </w:pPr>
    </w:p>
    <w:p w:rsidR="001204CA" w:rsidRPr="001204CA" w:rsidRDefault="001204CA" w:rsidP="001204CA">
      <w:pPr>
        <w:autoSpaceDE w:val="0"/>
        <w:autoSpaceDN w:val="0"/>
        <w:adjustRightInd w:val="0"/>
        <w:spacing w:line="240" w:lineRule="auto"/>
        <w:ind w:firstLine="709"/>
        <w:rPr>
          <w:rFonts w:eastAsia="Times New Roman"/>
          <w:szCs w:val="28"/>
          <w:lang w:eastAsia="uk-UA"/>
        </w:rPr>
      </w:pPr>
      <w:r w:rsidRPr="001204CA">
        <w:rPr>
          <w:rFonts w:eastAsia="Times New Roman"/>
          <w:noProof/>
          <w:szCs w:val="28"/>
          <w:lang w:val="ru-RU" w:eastAsia="ru-RU"/>
        </w:rPr>
        <mc:AlternateContent>
          <mc:Choice Requires="wps">
            <w:drawing>
              <wp:anchor distT="0" distB="0" distL="114300" distR="114300" simplePos="0" relativeHeight="251923456" behindDoc="0" locked="0" layoutInCell="1" allowOverlap="1" wp14:anchorId="00059CF1" wp14:editId="726276E1">
                <wp:simplePos x="0" y="0"/>
                <wp:positionH relativeFrom="column">
                  <wp:posOffset>-38100</wp:posOffset>
                </wp:positionH>
                <wp:positionV relativeFrom="paragraph">
                  <wp:posOffset>40005</wp:posOffset>
                </wp:positionV>
                <wp:extent cx="800100" cy="341630"/>
                <wp:effectExtent l="0" t="0" r="57150" b="58420"/>
                <wp:wrapNone/>
                <wp:docPr id="261" name="Прямоугольник 2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00100" cy="341630"/>
                        </a:xfrm>
                        <a:prstGeom prst="rect">
                          <a:avLst/>
                        </a:prstGeom>
                        <a:gradFill rotWithShape="1">
                          <a:gsLst>
                            <a:gs pos="0">
                              <a:srgbClr val="C0C0C0"/>
                            </a:gs>
                            <a:gs pos="50000">
                              <a:srgbClr val="FBFBFB"/>
                            </a:gs>
                            <a:gs pos="100000">
                              <a:srgbClr val="C0C0C0"/>
                            </a:gs>
                          </a:gsLst>
                          <a:lin ang="5400000" scaled="1"/>
                        </a:gradFill>
                        <a:ln w="25400">
                          <a:solidFill>
                            <a:srgbClr val="000000"/>
                          </a:solidFill>
                          <a:miter lim="800000"/>
                          <a:headEnd/>
                          <a:tailEnd/>
                        </a:ln>
                        <a:effectLst>
                          <a:outerShdw dist="53882" dir="2700000" algn="ctr" rotWithShape="0">
                            <a:srgbClr val="808080"/>
                          </a:outerShdw>
                        </a:effectLst>
                      </wps:spPr>
                      <wps:txbx>
                        <w:txbxContent>
                          <w:p w:rsidR="001E1DF5" w:rsidRPr="002B7096" w:rsidRDefault="001E1DF5" w:rsidP="001204CA">
                            <w:pPr>
                              <w:spacing w:before="120"/>
                              <w:jc w:val="center"/>
                              <w:rPr>
                                <w:b/>
                                <w:szCs w:val="28"/>
                              </w:rPr>
                            </w:pPr>
                            <w:r w:rsidRPr="002B7096">
                              <w:rPr>
                                <w:b/>
                                <w:szCs w:val="28"/>
                              </w:rPr>
                              <w:t>І</w:t>
                            </w:r>
                            <w:r>
                              <w:rPr>
                                <w:b/>
                                <w:szCs w:val="28"/>
                              </w:rPr>
                              <w:t>І</w:t>
                            </w:r>
                            <w:r w:rsidRPr="002B7096">
                              <w:rPr>
                                <w:b/>
                                <w:szCs w:val="28"/>
                              </w:rPr>
                              <w:t xml:space="preserve"> етап</w:t>
                            </w:r>
                          </w:p>
                        </w:txbxContent>
                      </wps:txbx>
                      <wps:bodyPr rot="0" vert="horz" wrap="square" lIns="18000" tIns="10800" rIns="18000" bIns="1080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261" o:spid="_x0000_s1054" style="position:absolute;left:0;text-align:left;margin-left:-3pt;margin-top:3.15pt;width:63pt;height:26.9pt;z-index:251923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" fillcolor="silver" strokeweight="2pt">
                <v:fill color2="#fbfbfb" rotate="t" focus="50%" type="gradient"/>
                <v:shadow on="t" offset="3pt,3pt"/>
                <v:textbox inset=".5mm,.3mm,.5mm,.3mm">
                  <w:txbxContent>
                    <w:p w:rsidR="0057431A" w:rsidRPr="002B7096" w:rsidRDefault="0057431A" w:rsidP="001204CA">
                      <w:pPr>
                        <w:spacing w:before="120"/>
                        <w:jc w:val="center"/>
                        <w:rPr>
                          <w:b/>
                          <w:szCs w:val="28"/>
                        </w:rPr>
                      </w:pPr>
                      <w:r w:rsidRPr="002B7096">
                        <w:rPr>
                          <w:b/>
                          <w:szCs w:val="28"/>
                        </w:rPr>
                        <w:t>І</w:t>
                      </w:r>
                      <w:r>
                        <w:rPr>
                          <w:b/>
                          <w:szCs w:val="28"/>
                        </w:rPr>
                        <w:t>І</w:t>
                      </w:r>
                      <w:r w:rsidRPr="002B7096">
                        <w:rPr>
                          <w:b/>
                          <w:szCs w:val="28"/>
                        </w:rPr>
                        <w:t xml:space="preserve"> етап</w:t>
                      </w:r>
                    </w:p>
                  </w:txbxContent>
                </v:textbox>
              </v:rect>
            </w:pict>
          </mc:Fallback>
        </mc:AlternateContent>
      </w:r>
      <w:r w:rsidRPr="001204CA">
        <w:rPr>
          <w:rFonts w:eastAsia="Times New Roman"/>
          <w:noProof/>
          <w:szCs w:val="28"/>
          <w:lang w:val="ru-RU" w:eastAsia="ru-RU"/>
        </w:rPr>
        <mc:AlternateContent>
          <mc:Choice Requires="wps">
            <w:drawing>
              <wp:anchor distT="0" distB="0" distL="114300" distR="114300" simplePos="0" relativeHeight="251924480" behindDoc="0" locked="0" layoutInCell="1" allowOverlap="1" wp14:anchorId="467791D2" wp14:editId="7422051F">
                <wp:simplePos x="0" y="0"/>
                <wp:positionH relativeFrom="column">
                  <wp:posOffset>828675</wp:posOffset>
                </wp:positionH>
                <wp:positionV relativeFrom="paragraph">
                  <wp:posOffset>40005</wp:posOffset>
                </wp:positionV>
                <wp:extent cx="5656580" cy="341630"/>
                <wp:effectExtent l="0" t="0" r="58420" b="58420"/>
                <wp:wrapNone/>
                <wp:docPr id="262" name="Скругленный прямоугольник 2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56580" cy="341630"/>
                        </a:xfrm>
                        <a:prstGeom prst="roundRect">
                          <a:avLst>
                            <a:gd name="adj" fmla="val 16667"/>
                          </a:avLst>
                        </a:prstGeom>
                        <a:gradFill rotWithShape="1">
                          <a:gsLst>
                            <a:gs pos="0">
                              <a:srgbClr val="C0C0C0"/>
                            </a:gs>
                            <a:gs pos="50000">
                              <a:srgbClr val="FFFFFF"/>
                            </a:gs>
                            <a:gs pos="100000">
                              <a:srgbClr val="C0C0C0"/>
                            </a:gs>
                          </a:gsLst>
                          <a:lin ang="5400000" scaled="1"/>
                        </a:gradFill>
                        <a:ln w="25400">
                          <a:solidFill>
                            <a:srgbClr val="000000"/>
                          </a:solidFill>
                          <a:round/>
                          <a:headEnd/>
                          <a:tailEnd/>
                        </a:ln>
                        <a:effectLst>
                          <a:outerShdw dist="35921" dir="2700000" algn="ctr" rotWithShape="0">
                            <a:srgbClr val="808080"/>
                          </a:outerShdw>
                        </a:effectLst>
                      </wps:spPr>
                      <wps:txbx>
                        <w:txbxContent>
                          <w:p w:rsidR="001E1DF5" w:rsidRPr="006A2E50" w:rsidRDefault="001E1DF5" w:rsidP="001204CA">
                            <w:pPr>
                              <w:spacing w:line="216" w:lineRule="auto"/>
                              <w:jc w:val="center"/>
                              <w:rPr>
                                <w:b/>
                                <w:sz w:val="22"/>
                              </w:rPr>
                            </w:pPr>
                            <w:r w:rsidRPr="006A2E50">
                              <w:rPr>
                                <w:b/>
                                <w:sz w:val="22"/>
                              </w:rPr>
                              <w:t xml:space="preserve">Визначення напряму, розробка програми, формування мети, </w:t>
                            </w:r>
                          </w:p>
                          <w:p w:rsidR="001E1DF5" w:rsidRPr="006A2E50" w:rsidRDefault="001E1DF5" w:rsidP="001204CA">
                            <w:pPr>
                              <w:spacing w:line="216" w:lineRule="auto"/>
                              <w:jc w:val="center"/>
                              <w:rPr>
                                <w:sz w:val="22"/>
                              </w:rPr>
                            </w:pPr>
                            <w:r w:rsidRPr="006A2E50">
                              <w:rPr>
                                <w:b/>
                                <w:sz w:val="22"/>
                              </w:rPr>
                              <w:t xml:space="preserve">завдань, методів та обсягу досліджень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262" o:spid="_x0000_s1055" style="position:absolute;left:0;text-align:left;margin-left:65.25pt;margin-top:3.15pt;width:445.4pt;height:26.9pt;z-index:251924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" fillcolor="silver" strokeweight="2pt">
                <v:fill rotate="t" focus="50%" type="gradient"/>
                <v:shadow on="t"/>
                <v:textbox inset="0,0,0,0">
                  <w:txbxContent>
                    <w:p w:rsidR="0057431A" w:rsidRPr="006A2E50" w:rsidRDefault="0057431A" w:rsidP="001204CA">
                      <w:pPr>
                        <w:spacing w:line="216" w:lineRule="auto"/>
                        <w:jc w:val="center"/>
                        <w:rPr>
                          <w:b/>
                          <w:sz w:val="22"/>
                        </w:rPr>
                      </w:pPr>
                      <w:r w:rsidRPr="006A2E50">
                        <w:rPr>
                          <w:b/>
                          <w:sz w:val="22"/>
                        </w:rPr>
                        <w:t xml:space="preserve">Визначення напряму, розробка програми, формування мети, </w:t>
                      </w:r>
                    </w:p>
                    <w:p w:rsidR="0057431A" w:rsidRPr="006A2E50" w:rsidRDefault="0057431A" w:rsidP="001204CA">
                      <w:pPr>
                        <w:spacing w:line="216" w:lineRule="auto"/>
                        <w:jc w:val="center"/>
                        <w:rPr>
                          <w:sz w:val="22"/>
                        </w:rPr>
                      </w:pPr>
                      <w:r w:rsidRPr="006A2E50">
                        <w:rPr>
                          <w:b/>
                          <w:sz w:val="22"/>
                        </w:rPr>
                        <w:t xml:space="preserve">завдань, методів та обсягу досліджень </w:t>
                      </w:r>
                    </w:p>
                  </w:txbxContent>
                </v:textbox>
              </v:roundrect>
            </w:pict>
          </mc:Fallback>
        </mc:AlternateContent>
      </w:r>
    </w:p>
    <w:p w:rsidR="001204CA" w:rsidRPr="001204CA" w:rsidRDefault="001204CA" w:rsidP="001204CA">
      <w:pPr>
        <w:autoSpaceDE w:val="0"/>
        <w:autoSpaceDN w:val="0"/>
        <w:adjustRightInd w:val="0"/>
        <w:spacing w:line="240" w:lineRule="auto"/>
        <w:rPr>
          <w:rFonts w:eastAsia="Times New Roman"/>
          <w:szCs w:val="28"/>
          <w:lang w:eastAsia="uk-UA"/>
        </w:rPr>
      </w:pPr>
      <w:r w:rsidRPr="001204CA">
        <w:rPr>
          <w:rFonts w:eastAsia="Times New Roman"/>
          <w:noProof/>
          <w:szCs w:val="28"/>
          <w:lang w:val="ru-RU" w:eastAsia="ru-RU"/>
        </w:rPr>
        <mc:AlternateContent>
          <mc:Choice Requires="wps">
            <w:drawing>
              <wp:anchor distT="0" distB="0" distL="114300" distR="114300" simplePos="0" relativeHeight="251950080" behindDoc="0" locked="0" layoutInCell="1" allowOverlap="1" wp14:anchorId="582B5C50" wp14:editId="1281520A">
                <wp:simplePos x="0" y="0"/>
                <wp:positionH relativeFrom="column">
                  <wp:posOffset>5093335</wp:posOffset>
                </wp:positionH>
                <wp:positionV relativeFrom="paragraph">
                  <wp:posOffset>177165</wp:posOffset>
                </wp:positionV>
                <wp:extent cx="66040" cy="79375"/>
                <wp:effectExtent l="19050" t="0" r="29210" b="34925"/>
                <wp:wrapNone/>
                <wp:docPr id="263" name="Равнобедренный треугольник 263"/>
                <wp:cNvGraphicFramePr/>
                <a:graphic xmlns:a="http://schemas.openxmlformats.org/drawingml/2006/main">
                  <a:graphicData uri="http://schemas.microsoft.com/office/word/2010/wordprocessingShape">
                    <wps:wsp>
                      <wps:cNvSpPr/>
                      <wps:spPr>
                        <a:xfrm rot="10800000">
                          <a:off x="0" y="0"/>
                          <a:ext cx="66040" cy="79375"/>
                        </a:xfrm>
                        <a:prstGeom prst="triangle">
                          <a:avLst/>
                        </a:prstGeom>
                        <a:solidFill>
                          <a:sysClr val="windowText" lastClr="000000"/>
                        </a:solidFill>
                        <a:ln w="12700" cap="flat" cmpd="sng" algn="ctr">
                          <a:solidFill>
                            <a:sysClr val="windowText" lastClr="000000">
                              <a:shade val="50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Равнобедренный треугольник 263" o:spid="_x0000_s1026" type="#_x0000_t5" style="position:absolute;margin-left:401.05pt;margin-top:13.95pt;width:5.2pt;height:6.25pt;rotation:180;z-index:251950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" fillcolor="windowText" strokeweight="1pt"/>
            </w:pict>
          </mc:Fallback>
        </mc:AlternateContent>
      </w:r>
      <w:r w:rsidRPr="001204CA">
        <w:rPr>
          <w:rFonts w:eastAsia="Times New Roman"/>
          <w:noProof/>
          <w:szCs w:val="28"/>
          <w:lang w:val="ru-RU" w:eastAsia="ru-RU"/>
        </w:rPr>
        <mc:AlternateContent>
          <mc:Choice Requires="wps">
            <w:drawing>
              <wp:anchor distT="0" distB="0" distL="114300" distR="114300" simplePos="0" relativeHeight="251949056" behindDoc="0" locked="0" layoutInCell="1" allowOverlap="1" wp14:anchorId="06350F78" wp14:editId="3C9F2D29">
                <wp:simplePos x="0" y="0"/>
                <wp:positionH relativeFrom="column">
                  <wp:posOffset>2117090</wp:posOffset>
                </wp:positionH>
                <wp:positionV relativeFrom="paragraph">
                  <wp:posOffset>179705</wp:posOffset>
                </wp:positionV>
                <wp:extent cx="66040" cy="79375"/>
                <wp:effectExtent l="19050" t="0" r="29210" b="34925"/>
                <wp:wrapNone/>
                <wp:docPr id="264" name="Равнобедренный треугольник 264"/>
                <wp:cNvGraphicFramePr/>
                <a:graphic xmlns:a="http://schemas.openxmlformats.org/drawingml/2006/main">
                  <a:graphicData uri="http://schemas.microsoft.com/office/word/2010/wordprocessingShape">
                    <wps:wsp>
                      <wps:cNvSpPr/>
                      <wps:spPr>
                        <a:xfrm rot="10800000">
                          <a:off x="0" y="0"/>
                          <a:ext cx="66040" cy="79375"/>
                        </a:xfrm>
                        <a:prstGeom prst="triangle">
                          <a:avLst/>
                        </a:prstGeom>
                        <a:solidFill>
                          <a:sysClr val="windowText" lastClr="000000"/>
                        </a:solidFill>
                        <a:ln w="12700" cap="flat" cmpd="sng" algn="ctr">
                          <a:solidFill>
                            <a:sysClr val="windowText" lastClr="000000">
                              <a:shade val="50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Равнобедренный треугольник 264" o:spid="_x0000_s1026" type="#_x0000_t5" style="position:absolute;margin-left:166.7pt;margin-top:14.15pt;width:5.2pt;height:6.25pt;rotation:180;z-index:251949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" fillcolor="windowText" strokeweight="1pt"/>
            </w:pict>
          </mc:Fallback>
        </mc:AlternateContent>
      </w:r>
    </w:p>
    <w:p w:rsidR="001204CA" w:rsidRPr="001204CA" w:rsidRDefault="001204CA" w:rsidP="001204CA">
      <w:pPr>
        <w:tabs>
          <w:tab w:val="left" w:pos="2317"/>
          <w:tab w:val="left" w:pos="5885"/>
        </w:tabs>
        <w:autoSpaceDE w:val="0"/>
        <w:autoSpaceDN w:val="0"/>
        <w:adjustRightInd w:val="0"/>
        <w:spacing w:line="240" w:lineRule="auto"/>
        <w:rPr>
          <w:rFonts w:eastAsia="Times New Roman"/>
          <w:szCs w:val="28"/>
          <w:lang w:eastAsia="uk-UA"/>
        </w:rPr>
      </w:pPr>
      <w:r w:rsidRPr="001204CA">
        <w:rPr>
          <w:rFonts w:eastAsia="Times New Roman"/>
          <w:noProof/>
          <w:szCs w:val="28"/>
          <w:lang w:val="ru-RU" w:eastAsia="ru-RU"/>
        </w:rPr>
        <mc:AlternateContent>
          <mc:Choice Requires="wps">
            <w:drawing>
              <wp:anchor distT="0" distB="0" distL="114300" distR="114300" simplePos="0" relativeHeight="251925504" behindDoc="0" locked="0" layoutInCell="1" allowOverlap="1" wp14:anchorId="41944B12" wp14:editId="7110CED2">
                <wp:simplePos x="0" y="0"/>
                <wp:positionH relativeFrom="column">
                  <wp:posOffset>-45720</wp:posOffset>
                </wp:positionH>
                <wp:positionV relativeFrom="paragraph">
                  <wp:posOffset>36195</wp:posOffset>
                </wp:positionV>
                <wp:extent cx="3797935" cy="323215"/>
                <wp:effectExtent l="0" t="0" r="12065" b="19685"/>
                <wp:wrapNone/>
                <wp:docPr id="265" name="Скругленный прямоугольник 2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97935" cy="323215"/>
                        </a:xfrm>
                        <a:prstGeom prst="roundRect">
                          <a:avLst>
                            <a:gd name="adj" fmla="val 16667"/>
                          </a:avLst>
                        </a:prstGeom>
                        <a:solidFill>
                          <a:srgbClr val="FFFFFF"/>
                        </a:solidFill>
                        <a:ln w="9525">
                          <a:solidFill>
                            <a:srgbClr val="000000"/>
                          </a:solidFill>
                          <a:round/>
                          <a:headEnd/>
                          <a:tailEnd/>
                        </a:ln>
                      </wps:spPr>
                      <wps:txbx>
                        <w:txbxContent>
                          <w:p w:rsidR="001E1DF5" w:rsidRPr="006A2E50" w:rsidRDefault="001E1DF5" w:rsidP="001204CA">
                            <w:pPr>
                              <w:spacing w:line="216" w:lineRule="auto"/>
                              <w:jc w:val="center"/>
                              <w:rPr>
                                <w:sz w:val="22"/>
                              </w:rPr>
                            </w:pPr>
                            <w:r>
                              <w:rPr>
                                <w:sz w:val="22"/>
                              </w:rPr>
                              <w:t>Обґрунтування предмету та методів вивчення</w:t>
                            </w:r>
                            <w:r w:rsidRPr="006A2E50">
                              <w:rPr>
                                <w:sz w:val="22"/>
                              </w:rPr>
                              <w:t xml:space="preserve"> системи </w:t>
                            </w:r>
                          </w:p>
                          <w:p w:rsidR="001E1DF5" w:rsidRPr="006A2E50" w:rsidRDefault="001E1DF5" w:rsidP="001204CA">
                            <w:pPr>
                              <w:spacing w:line="216" w:lineRule="auto"/>
                              <w:jc w:val="center"/>
                              <w:rPr>
                                <w:sz w:val="22"/>
                              </w:rPr>
                            </w:pPr>
                            <w:r w:rsidRPr="006A2E50">
                              <w:rPr>
                                <w:sz w:val="22"/>
                              </w:rPr>
                              <w:t>медико-соціальної допомоги дітям до 5 років</w:t>
                            </w:r>
                          </w:p>
                          <w:p w:rsidR="001E1DF5" w:rsidRPr="006D1A82" w:rsidRDefault="001E1DF5" w:rsidP="001204CA"/>
                          <w:p w:rsidR="001E1DF5" w:rsidRPr="00F167B2" w:rsidRDefault="001E1DF5" w:rsidP="001204CA"/>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265" o:spid="_x0000_s1056" style="position:absolute;left:0;text-align:left;margin-left:-3.6pt;margin-top:2.85pt;width:299.05pt;height:25.45pt;z-index:251925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">
                <v:textbox inset="0,0,0,0">
                  <w:txbxContent>
                    <w:p w:rsidR="0057431A" w:rsidRPr="006A2E50" w:rsidRDefault="0057431A" w:rsidP="001204CA">
                      <w:pPr>
                        <w:spacing w:line="216" w:lineRule="auto"/>
                        <w:jc w:val="center"/>
                        <w:rPr>
                          <w:sz w:val="22"/>
                        </w:rPr>
                      </w:pPr>
                      <w:r>
                        <w:rPr>
                          <w:sz w:val="22"/>
                        </w:rPr>
                        <w:t>Обґрунтування предмету та методів вивчення</w:t>
                      </w:r>
                      <w:r w:rsidRPr="006A2E50">
                        <w:rPr>
                          <w:sz w:val="22"/>
                        </w:rPr>
                        <w:t xml:space="preserve"> системи </w:t>
                      </w:r>
                    </w:p>
                    <w:p w:rsidR="0057431A" w:rsidRPr="006A2E50" w:rsidRDefault="0057431A" w:rsidP="001204CA">
                      <w:pPr>
                        <w:spacing w:line="216" w:lineRule="auto"/>
                        <w:jc w:val="center"/>
                        <w:rPr>
                          <w:sz w:val="22"/>
                        </w:rPr>
                      </w:pPr>
                      <w:r w:rsidRPr="006A2E50">
                        <w:rPr>
                          <w:sz w:val="22"/>
                        </w:rPr>
                        <w:t>медико-соціальної допомоги дітям до 5 років</w:t>
                      </w:r>
                    </w:p>
                    <w:p w:rsidR="0057431A" w:rsidRPr="006D1A82" w:rsidRDefault="0057431A" w:rsidP="001204CA"/>
                    <w:p w:rsidR="0057431A" w:rsidRPr="00F167B2" w:rsidRDefault="0057431A" w:rsidP="001204CA"/>
                  </w:txbxContent>
                </v:textbox>
              </v:roundrect>
            </w:pict>
          </mc:Fallback>
        </mc:AlternateContent>
      </w:r>
      <w:r w:rsidRPr="001204CA">
        <w:rPr>
          <w:rFonts w:eastAsia="Times New Roman"/>
          <w:noProof/>
          <w:szCs w:val="28"/>
          <w:lang w:val="ru-RU" w:eastAsia="ru-RU"/>
        </w:rPr>
        <mc:AlternateContent>
          <mc:Choice Requires="wps">
            <w:drawing>
              <wp:anchor distT="0" distB="0" distL="114300" distR="114300" simplePos="0" relativeHeight="251926528" behindDoc="0" locked="0" layoutInCell="1" allowOverlap="1" wp14:anchorId="2CDB53F6" wp14:editId="7530E000">
                <wp:simplePos x="0" y="0"/>
                <wp:positionH relativeFrom="column">
                  <wp:posOffset>3779520</wp:posOffset>
                </wp:positionH>
                <wp:positionV relativeFrom="paragraph">
                  <wp:posOffset>37465</wp:posOffset>
                </wp:positionV>
                <wp:extent cx="2706370" cy="323215"/>
                <wp:effectExtent l="0" t="0" r="17780" b="19685"/>
                <wp:wrapNone/>
                <wp:docPr id="266" name="Скругленный прямоугольник 26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06370" cy="323215"/>
                        </a:xfrm>
                        <a:prstGeom prst="roundRect">
                          <a:avLst>
                            <a:gd name="adj" fmla="val 16667"/>
                          </a:avLst>
                        </a:prstGeom>
                        <a:solidFill>
                          <a:srgbClr val="FFFFFF"/>
                        </a:solidFill>
                        <a:ln w="9525">
                          <a:solidFill>
                            <a:srgbClr val="000000"/>
                          </a:solidFill>
                          <a:round/>
                          <a:headEnd/>
                          <a:tailEnd/>
                        </a:ln>
                      </wps:spPr>
                      <wps:txbx>
                        <w:txbxContent>
                          <w:p w:rsidR="001E1DF5" w:rsidRPr="006A2E50" w:rsidRDefault="001E1DF5" w:rsidP="001204CA">
                            <w:pPr>
                              <w:spacing w:line="216" w:lineRule="auto"/>
                              <w:jc w:val="center"/>
                              <w:rPr>
                                <w:sz w:val="22"/>
                              </w:rPr>
                            </w:pPr>
                            <w:r w:rsidRPr="006A2E50">
                              <w:rPr>
                                <w:sz w:val="22"/>
                              </w:rPr>
                              <w:t xml:space="preserve">Визначення </w:t>
                            </w:r>
                          </w:p>
                          <w:p w:rsidR="001E1DF5" w:rsidRPr="006A2E50" w:rsidRDefault="001E1DF5" w:rsidP="001204CA">
                            <w:pPr>
                              <w:spacing w:line="216" w:lineRule="auto"/>
                              <w:jc w:val="center"/>
                              <w:rPr>
                                <w:sz w:val="22"/>
                              </w:rPr>
                            </w:pPr>
                            <w:r w:rsidRPr="006A2E50">
                              <w:rPr>
                                <w:sz w:val="22"/>
                              </w:rPr>
                              <w:t>обсягів досліджень</w:t>
                            </w:r>
                          </w:p>
                          <w:p w:rsidR="001E1DF5" w:rsidRPr="00F167B2" w:rsidRDefault="001E1DF5" w:rsidP="001204CA"/>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266" o:spid="_x0000_s1057" style="position:absolute;left:0;text-align:left;margin-left:297.6pt;margin-top:2.95pt;width:213.1pt;height:25.45pt;z-index:251926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">
                <v:textbox inset="0,0,0,0">
                  <w:txbxContent>
                    <w:p w:rsidR="0057431A" w:rsidRPr="006A2E50" w:rsidRDefault="0057431A" w:rsidP="001204CA">
                      <w:pPr>
                        <w:spacing w:line="216" w:lineRule="auto"/>
                        <w:jc w:val="center"/>
                        <w:rPr>
                          <w:sz w:val="22"/>
                        </w:rPr>
                      </w:pPr>
                      <w:r w:rsidRPr="006A2E50">
                        <w:rPr>
                          <w:sz w:val="22"/>
                        </w:rPr>
                        <w:t xml:space="preserve">Визначення </w:t>
                      </w:r>
                    </w:p>
                    <w:p w:rsidR="0057431A" w:rsidRPr="006A2E50" w:rsidRDefault="0057431A" w:rsidP="001204CA">
                      <w:pPr>
                        <w:spacing w:line="216" w:lineRule="auto"/>
                        <w:jc w:val="center"/>
                        <w:rPr>
                          <w:sz w:val="22"/>
                        </w:rPr>
                      </w:pPr>
                      <w:r w:rsidRPr="006A2E50">
                        <w:rPr>
                          <w:sz w:val="22"/>
                        </w:rPr>
                        <w:t>обсягів досліджень</w:t>
                      </w:r>
                    </w:p>
                    <w:p w:rsidR="0057431A" w:rsidRPr="00F167B2" w:rsidRDefault="0057431A" w:rsidP="001204CA"/>
                  </w:txbxContent>
                </v:textbox>
              </v:roundrect>
            </w:pict>
          </mc:Fallback>
        </mc:AlternateContent>
      </w:r>
      <w:r w:rsidRPr="001204CA">
        <w:rPr>
          <w:rFonts w:eastAsia="Times New Roman"/>
          <w:szCs w:val="28"/>
          <w:lang w:eastAsia="uk-UA"/>
        </w:rPr>
        <w:tab/>
      </w:r>
      <w:r w:rsidRPr="001204CA">
        <w:rPr>
          <w:rFonts w:eastAsia="Times New Roman"/>
          <w:szCs w:val="28"/>
          <w:lang w:eastAsia="uk-UA"/>
        </w:rPr>
        <w:tab/>
      </w:r>
    </w:p>
    <w:p w:rsidR="001204CA" w:rsidRPr="001204CA" w:rsidRDefault="001204CA" w:rsidP="001204CA">
      <w:pPr>
        <w:autoSpaceDE w:val="0"/>
        <w:autoSpaceDN w:val="0"/>
        <w:adjustRightInd w:val="0"/>
        <w:spacing w:line="240" w:lineRule="auto"/>
        <w:rPr>
          <w:rFonts w:eastAsia="Times New Roman"/>
          <w:szCs w:val="28"/>
          <w:lang w:eastAsia="uk-UA"/>
        </w:rPr>
      </w:pPr>
      <w:r w:rsidRPr="001204CA">
        <w:rPr>
          <w:rFonts w:eastAsia="Times New Roman"/>
          <w:noProof/>
          <w:szCs w:val="28"/>
          <w:lang w:val="ru-RU" w:eastAsia="ru-RU"/>
        </w:rPr>
        <mc:AlternateContent>
          <mc:Choice Requires="wps">
            <w:drawing>
              <wp:anchor distT="0" distB="0" distL="114300" distR="114300" simplePos="0" relativeHeight="251927552" behindDoc="0" locked="0" layoutInCell="1" allowOverlap="1" wp14:anchorId="6F0E65D2" wp14:editId="166512DE">
                <wp:simplePos x="0" y="0"/>
                <wp:positionH relativeFrom="column">
                  <wp:posOffset>852170</wp:posOffset>
                </wp:positionH>
                <wp:positionV relativeFrom="paragraph">
                  <wp:posOffset>189865</wp:posOffset>
                </wp:positionV>
                <wp:extent cx="5656580" cy="349250"/>
                <wp:effectExtent l="0" t="0" r="58420" b="50800"/>
                <wp:wrapNone/>
                <wp:docPr id="267" name="Скругленный прямоугольник 2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56580" cy="349250"/>
                        </a:xfrm>
                        <a:prstGeom prst="roundRect">
                          <a:avLst>
                            <a:gd name="adj" fmla="val 16667"/>
                          </a:avLst>
                        </a:prstGeom>
                        <a:gradFill rotWithShape="1">
                          <a:gsLst>
                            <a:gs pos="0">
                              <a:srgbClr val="C0C0C0"/>
                            </a:gs>
                            <a:gs pos="50000">
                              <a:srgbClr val="FFFFFF"/>
                            </a:gs>
                            <a:gs pos="100000">
                              <a:srgbClr val="C0C0C0"/>
                            </a:gs>
                          </a:gsLst>
                          <a:lin ang="5400000" scaled="1"/>
                        </a:gradFill>
                        <a:ln w="25400">
                          <a:solidFill>
                            <a:srgbClr val="000000"/>
                          </a:solidFill>
                          <a:round/>
                          <a:headEnd/>
                          <a:tailEnd/>
                        </a:ln>
                        <a:effectLst>
                          <a:outerShdw dist="35921" dir="2700000" algn="ctr" rotWithShape="0">
                            <a:srgbClr val="808080"/>
                          </a:outerShdw>
                        </a:effectLst>
                      </wps:spPr>
                      <wps:txbx>
                        <w:txbxContent>
                          <w:p w:rsidR="001E1DF5" w:rsidRPr="00BB2E60" w:rsidRDefault="001E1DF5" w:rsidP="001204CA">
                            <w:pPr>
                              <w:spacing w:line="216" w:lineRule="auto"/>
                              <w:jc w:val="center"/>
                              <w:rPr>
                                <w:b/>
                                <w:sz w:val="22"/>
                              </w:rPr>
                            </w:pPr>
                            <w:r>
                              <w:rPr>
                                <w:b/>
                                <w:sz w:val="22"/>
                              </w:rPr>
                              <w:t xml:space="preserve">Вивчення трендів та характеристик </w:t>
                            </w:r>
                            <w:r w:rsidRPr="00BB2E60">
                              <w:rPr>
                                <w:b/>
                                <w:sz w:val="22"/>
                              </w:rPr>
                              <w:t xml:space="preserve">показників </w:t>
                            </w:r>
                          </w:p>
                          <w:p w:rsidR="001E1DF5" w:rsidRPr="005D30DA" w:rsidRDefault="001E1DF5" w:rsidP="001204CA">
                            <w:pPr>
                              <w:spacing w:line="216" w:lineRule="auto"/>
                              <w:jc w:val="center"/>
                              <w:rPr>
                                <w:b/>
                                <w:sz w:val="22"/>
                              </w:rPr>
                            </w:pPr>
                            <w:r>
                              <w:rPr>
                                <w:b/>
                                <w:sz w:val="22"/>
                              </w:rPr>
                              <w:t>смертності дітей віком до 5 років життя</w:t>
                            </w:r>
                            <w:r w:rsidRPr="00BB2E60">
                              <w:rPr>
                                <w:b/>
                                <w:sz w:val="22"/>
                              </w:rPr>
                              <w:t xml:space="preserve"> в Україні</w:t>
                            </w:r>
                            <w:r>
                              <w:rPr>
                                <w:b/>
                                <w:sz w:val="22"/>
                              </w:rPr>
                              <w:t xml:space="preserve"> </w:t>
                            </w:r>
                            <w:r w:rsidRPr="005D30DA">
                              <w:rPr>
                                <w:b/>
                                <w:sz w:val="22"/>
                              </w:rPr>
                              <w:t xml:space="preserve">та розвинених країнах світу </w:t>
                            </w:r>
                          </w:p>
                          <w:p w:rsidR="001E1DF5" w:rsidRPr="00BB2E60" w:rsidRDefault="001E1DF5" w:rsidP="001204CA">
                            <w:pPr>
                              <w:jc w:val="center"/>
                              <w:rPr>
                                <w:sz w:val="22"/>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267" o:spid="_x0000_s1058" style="position:absolute;left:0;text-align:left;margin-left:67.1pt;margin-top:14.95pt;width:445.4pt;height:27.5pt;z-index:251927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" fillcolor="silver" strokeweight="2pt">
                <v:fill rotate="t" focus="50%" type="gradient"/>
                <v:shadow on="t"/>
                <v:textbox inset="0,0,0,0">
                  <w:txbxContent>
                    <w:p w:rsidR="0057431A" w:rsidRPr="00BB2E60" w:rsidRDefault="0057431A" w:rsidP="001204CA">
                      <w:pPr>
                        <w:spacing w:line="216" w:lineRule="auto"/>
                        <w:jc w:val="center"/>
                        <w:rPr>
                          <w:b/>
                          <w:sz w:val="22"/>
                        </w:rPr>
                      </w:pPr>
                      <w:r>
                        <w:rPr>
                          <w:b/>
                          <w:sz w:val="22"/>
                        </w:rPr>
                        <w:t xml:space="preserve">Вивчення трендів та характеристик </w:t>
                      </w:r>
                      <w:r w:rsidRPr="00BB2E60">
                        <w:rPr>
                          <w:b/>
                          <w:sz w:val="22"/>
                        </w:rPr>
                        <w:t xml:space="preserve">показників </w:t>
                      </w:r>
                    </w:p>
                    <w:p w:rsidR="0057431A" w:rsidRPr="005D30DA" w:rsidRDefault="0057431A" w:rsidP="001204CA">
                      <w:pPr>
                        <w:spacing w:line="216" w:lineRule="auto"/>
                        <w:jc w:val="center"/>
                        <w:rPr>
                          <w:b/>
                          <w:sz w:val="22"/>
                        </w:rPr>
                      </w:pPr>
                      <w:r>
                        <w:rPr>
                          <w:b/>
                          <w:sz w:val="22"/>
                        </w:rPr>
                        <w:t>смертності дітей віком до 5 років життя</w:t>
                      </w:r>
                      <w:r w:rsidRPr="00BB2E60">
                        <w:rPr>
                          <w:b/>
                          <w:sz w:val="22"/>
                        </w:rPr>
                        <w:t xml:space="preserve"> в Україні</w:t>
                      </w:r>
                      <w:r>
                        <w:rPr>
                          <w:b/>
                          <w:sz w:val="22"/>
                        </w:rPr>
                        <w:t xml:space="preserve"> </w:t>
                      </w:r>
                      <w:r w:rsidRPr="005D30DA">
                        <w:rPr>
                          <w:b/>
                          <w:sz w:val="22"/>
                        </w:rPr>
                        <w:t xml:space="preserve">та розвинених країнах світу </w:t>
                      </w:r>
                    </w:p>
                    <w:p w:rsidR="0057431A" w:rsidRPr="00BB2E60" w:rsidRDefault="0057431A" w:rsidP="001204CA">
                      <w:pPr>
                        <w:jc w:val="center"/>
                        <w:rPr>
                          <w:sz w:val="22"/>
                        </w:rPr>
                      </w:pPr>
                    </w:p>
                  </w:txbxContent>
                </v:textbox>
              </v:roundrect>
            </w:pict>
          </mc:Fallback>
        </mc:AlternateContent>
      </w:r>
      <w:r w:rsidRPr="001204CA">
        <w:rPr>
          <w:rFonts w:eastAsia="Times New Roman"/>
          <w:noProof/>
          <w:szCs w:val="28"/>
          <w:lang w:val="ru-RU" w:eastAsia="ru-RU"/>
        </w:rPr>
        <mc:AlternateContent>
          <mc:Choice Requires="wps">
            <w:drawing>
              <wp:anchor distT="0" distB="0" distL="114300" distR="114300" simplePos="0" relativeHeight="251922432" behindDoc="0" locked="0" layoutInCell="1" allowOverlap="1" wp14:anchorId="3E917F94" wp14:editId="6ED81BB1">
                <wp:simplePos x="0" y="0"/>
                <wp:positionH relativeFrom="column">
                  <wp:posOffset>-52070</wp:posOffset>
                </wp:positionH>
                <wp:positionV relativeFrom="paragraph">
                  <wp:posOffset>189865</wp:posOffset>
                </wp:positionV>
                <wp:extent cx="807720" cy="349250"/>
                <wp:effectExtent l="0" t="0" r="49530" b="50800"/>
                <wp:wrapNone/>
                <wp:docPr id="268" name="Прямоугольник 2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07720" cy="349250"/>
                        </a:xfrm>
                        <a:prstGeom prst="rect">
                          <a:avLst/>
                        </a:prstGeom>
                        <a:gradFill rotWithShape="1">
                          <a:gsLst>
                            <a:gs pos="0">
                              <a:srgbClr val="C0C0C0"/>
                            </a:gs>
                            <a:gs pos="50000">
                              <a:srgbClr val="FBFBFB"/>
                            </a:gs>
                            <a:gs pos="100000">
                              <a:srgbClr val="C0C0C0"/>
                            </a:gs>
                          </a:gsLst>
                          <a:lin ang="5400000" scaled="1"/>
                        </a:gradFill>
                        <a:ln w="25400">
                          <a:solidFill>
                            <a:srgbClr val="000000"/>
                          </a:solidFill>
                          <a:miter lim="800000"/>
                          <a:headEnd/>
                          <a:tailEnd/>
                        </a:ln>
                        <a:effectLst>
                          <a:outerShdw dist="53882" dir="2700000" algn="ctr" rotWithShape="0">
                            <a:srgbClr val="808080"/>
                          </a:outerShdw>
                        </a:effectLst>
                      </wps:spPr>
                      <wps:txbx>
                        <w:txbxContent>
                          <w:p w:rsidR="001E1DF5" w:rsidRPr="002B7096" w:rsidRDefault="001E1DF5" w:rsidP="001204CA">
                            <w:pPr>
                              <w:spacing w:before="120"/>
                              <w:jc w:val="center"/>
                              <w:rPr>
                                <w:b/>
                                <w:szCs w:val="28"/>
                              </w:rPr>
                            </w:pPr>
                            <w:r w:rsidRPr="002B7096">
                              <w:rPr>
                                <w:b/>
                                <w:szCs w:val="28"/>
                              </w:rPr>
                              <w:t>ІІ</w:t>
                            </w:r>
                            <w:r>
                              <w:rPr>
                                <w:b/>
                                <w:szCs w:val="28"/>
                              </w:rPr>
                              <w:t>І</w:t>
                            </w:r>
                            <w:r w:rsidRPr="002B7096">
                              <w:rPr>
                                <w:b/>
                                <w:szCs w:val="28"/>
                              </w:rPr>
                              <w:t xml:space="preserve"> етап</w:t>
                            </w:r>
                          </w:p>
                        </w:txbxContent>
                      </wps:txbx>
                      <wps:bodyPr rot="0" vert="horz" wrap="square" lIns="18000" tIns="10800" rIns="18000" bIns="1080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268" o:spid="_x0000_s1059" style="position:absolute;left:0;text-align:left;margin-left:-4.1pt;margin-top:14.95pt;width:63.6pt;height:27.5pt;z-index:251922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" fillcolor="silver" strokeweight="2pt">
                <v:fill color2="#fbfbfb" rotate="t" focus="50%" type="gradient"/>
                <v:shadow on="t" offset="3pt,3pt"/>
                <v:textbox inset=".5mm,.3mm,.5mm,.3mm">
                  <w:txbxContent>
                    <w:p w:rsidR="0057431A" w:rsidRPr="002B7096" w:rsidRDefault="0057431A" w:rsidP="001204CA">
                      <w:pPr>
                        <w:spacing w:before="120"/>
                        <w:jc w:val="center"/>
                        <w:rPr>
                          <w:b/>
                          <w:szCs w:val="28"/>
                        </w:rPr>
                      </w:pPr>
                      <w:r w:rsidRPr="002B7096">
                        <w:rPr>
                          <w:b/>
                          <w:szCs w:val="28"/>
                        </w:rPr>
                        <w:t>ІІ</w:t>
                      </w:r>
                      <w:r>
                        <w:rPr>
                          <w:b/>
                          <w:szCs w:val="28"/>
                        </w:rPr>
                        <w:t>І</w:t>
                      </w:r>
                      <w:r w:rsidRPr="002B7096">
                        <w:rPr>
                          <w:b/>
                          <w:szCs w:val="28"/>
                        </w:rPr>
                        <w:t xml:space="preserve"> етап</w:t>
                      </w:r>
                    </w:p>
                  </w:txbxContent>
                </v:textbox>
              </v:rect>
            </w:pict>
          </mc:Fallback>
        </mc:AlternateContent>
      </w:r>
    </w:p>
    <w:p w:rsidR="001204CA" w:rsidRPr="001204CA" w:rsidRDefault="001204CA" w:rsidP="001204CA">
      <w:pPr>
        <w:autoSpaceDE w:val="0"/>
        <w:autoSpaceDN w:val="0"/>
        <w:adjustRightInd w:val="0"/>
        <w:spacing w:line="240" w:lineRule="auto"/>
        <w:rPr>
          <w:rFonts w:eastAsia="Times New Roman"/>
          <w:szCs w:val="28"/>
          <w:lang w:eastAsia="uk-UA"/>
        </w:rPr>
      </w:pPr>
    </w:p>
    <w:p w:rsidR="001204CA" w:rsidRPr="001204CA" w:rsidRDefault="001204CA" w:rsidP="001204CA">
      <w:pPr>
        <w:autoSpaceDE w:val="0"/>
        <w:autoSpaceDN w:val="0"/>
        <w:adjustRightInd w:val="0"/>
        <w:spacing w:line="240" w:lineRule="auto"/>
        <w:rPr>
          <w:rFonts w:eastAsia="Times New Roman"/>
          <w:szCs w:val="28"/>
          <w:lang w:eastAsia="uk-UA"/>
        </w:rPr>
      </w:pPr>
      <w:r w:rsidRPr="001204CA">
        <w:rPr>
          <w:rFonts w:eastAsia="Times New Roman"/>
          <w:noProof/>
          <w:szCs w:val="28"/>
          <w:lang w:val="ru-RU" w:eastAsia="ru-RU"/>
        </w:rPr>
        <mc:AlternateContent>
          <mc:Choice Requires="wps">
            <w:drawing>
              <wp:anchor distT="0" distB="0" distL="114300" distR="114300" simplePos="0" relativeHeight="251930624" behindDoc="0" locked="0" layoutInCell="1" allowOverlap="1" wp14:anchorId="73AB47B7" wp14:editId="0CEB1F69">
                <wp:simplePos x="0" y="0"/>
                <wp:positionH relativeFrom="column">
                  <wp:posOffset>4207510</wp:posOffset>
                </wp:positionH>
                <wp:positionV relativeFrom="paragraph">
                  <wp:posOffset>183515</wp:posOffset>
                </wp:positionV>
                <wp:extent cx="2306955" cy="628650"/>
                <wp:effectExtent l="0" t="0" r="17145" b="19050"/>
                <wp:wrapNone/>
                <wp:docPr id="269" name="Скругленный прямоугольник 2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06955" cy="628650"/>
                        </a:xfrm>
                        <a:prstGeom prst="roundRect">
                          <a:avLst>
                            <a:gd name="adj" fmla="val 16667"/>
                          </a:avLst>
                        </a:prstGeom>
                        <a:solidFill>
                          <a:srgbClr val="FFFFFF"/>
                        </a:solidFill>
                        <a:ln w="9525">
                          <a:solidFill>
                            <a:srgbClr val="000000"/>
                          </a:solidFill>
                          <a:round/>
                          <a:headEnd/>
                          <a:tailEnd/>
                        </a:ln>
                      </wps:spPr>
                      <wps:txbx>
                        <w:txbxContent>
                          <w:p w:rsidR="001E1DF5" w:rsidRPr="00FC344A" w:rsidRDefault="001E1DF5" w:rsidP="001204CA">
                            <w:pPr>
                              <w:spacing w:line="216" w:lineRule="auto"/>
                              <w:jc w:val="center"/>
                              <w:rPr>
                                <w:sz w:val="22"/>
                              </w:rPr>
                            </w:pPr>
                            <w:r>
                              <w:rPr>
                                <w:sz w:val="22"/>
                              </w:rPr>
                              <w:t>Комплексний а</w:t>
                            </w:r>
                            <w:r w:rsidRPr="00FC344A">
                              <w:rPr>
                                <w:sz w:val="22"/>
                              </w:rPr>
                              <w:t>наліз тягаря хвороб (DALYs) і років життя втрачених внаслідок передчасної смерті (YLLs)</w:t>
                            </w:r>
                            <w:r w:rsidRPr="00FC344A">
                              <w:rPr>
                                <w:b/>
                                <w:sz w:val="22"/>
                              </w:rPr>
                              <w:t xml:space="preserve"> </w:t>
                            </w:r>
                            <w:r w:rsidRPr="00FC344A">
                              <w:rPr>
                                <w:sz w:val="22"/>
                              </w:rPr>
                              <w:t xml:space="preserve">в Україні та </w:t>
                            </w:r>
                            <w:r>
                              <w:rPr>
                                <w:sz w:val="22"/>
                              </w:rPr>
                              <w:t>країнах світу</w:t>
                            </w:r>
                          </w:p>
                          <w:p w:rsidR="001E1DF5" w:rsidRPr="00054EF1" w:rsidRDefault="001E1DF5" w:rsidP="001204CA">
                            <w:pPr>
                              <w:jc w:val="center"/>
                              <w:rPr>
                                <w:sz w:val="22"/>
                              </w:rPr>
                            </w:pPr>
                          </w:p>
                          <w:p w:rsidR="001E1DF5" w:rsidRPr="00A0794D" w:rsidRDefault="001E1DF5" w:rsidP="001204CA">
                            <w:pPr>
                              <w:jc w:val="cente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269" o:spid="_x0000_s1060" style="position:absolute;left:0;text-align:left;margin-left:331.3pt;margin-top:14.45pt;width:181.65pt;height:49.5pt;z-index:251930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">
                <v:textbox inset="0,0,0,0">
                  <w:txbxContent>
                    <w:p w:rsidR="0057431A" w:rsidRPr="00FC344A" w:rsidRDefault="0057431A" w:rsidP="001204CA">
                      <w:pPr>
                        <w:spacing w:line="216" w:lineRule="auto"/>
                        <w:jc w:val="center"/>
                        <w:rPr>
                          <w:sz w:val="22"/>
                        </w:rPr>
                      </w:pPr>
                      <w:r>
                        <w:rPr>
                          <w:sz w:val="22"/>
                        </w:rPr>
                        <w:t>Комплексний а</w:t>
                      </w:r>
                      <w:r w:rsidRPr="00FC344A">
                        <w:rPr>
                          <w:sz w:val="22"/>
                        </w:rPr>
                        <w:t>наліз тягаря хвороб (DALYs) і років життя втрачених внаслідок передчасної смерті (YLLs)</w:t>
                      </w:r>
                      <w:r w:rsidRPr="00FC344A">
                        <w:rPr>
                          <w:b/>
                          <w:sz w:val="22"/>
                        </w:rPr>
                        <w:t xml:space="preserve"> </w:t>
                      </w:r>
                      <w:r w:rsidRPr="00FC344A">
                        <w:rPr>
                          <w:sz w:val="22"/>
                        </w:rPr>
                        <w:t xml:space="preserve">в Україні та </w:t>
                      </w:r>
                      <w:r>
                        <w:rPr>
                          <w:sz w:val="22"/>
                        </w:rPr>
                        <w:t>країнах світу</w:t>
                      </w:r>
                    </w:p>
                    <w:p w:rsidR="0057431A" w:rsidRPr="00054EF1" w:rsidRDefault="0057431A" w:rsidP="001204CA">
                      <w:pPr>
                        <w:jc w:val="center"/>
                        <w:rPr>
                          <w:sz w:val="22"/>
                        </w:rPr>
                      </w:pPr>
                    </w:p>
                    <w:p w:rsidR="0057431A" w:rsidRPr="00A0794D" w:rsidRDefault="0057431A" w:rsidP="001204CA">
                      <w:pPr>
                        <w:jc w:val="center"/>
                      </w:pPr>
                    </w:p>
                  </w:txbxContent>
                </v:textbox>
              </v:roundrect>
            </w:pict>
          </mc:Fallback>
        </mc:AlternateContent>
      </w:r>
      <w:r w:rsidRPr="001204CA">
        <w:rPr>
          <w:rFonts w:eastAsia="Times New Roman"/>
          <w:noProof/>
          <w:szCs w:val="28"/>
          <w:lang w:val="ru-RU" w:eastAsia="ru-RU"/>
        </w:rPr>
        <mc:AlternateContent>
          <mc:Choice Requires="wps">
            <w:drawing>
              <wp:anchor distT="0" distB="0" distL="114300" distR="114300" simplePos="0" relativeHeight="251929600" behindDoc="0" locked="0" layoutInCell="1" allowOverlap="1" wp14:anchorId="3320B039" wp14:editId="08155393">
                <wp:simplePos x="0" y="0"/>
                <wp:positionH relativeFrom="column">
                  <wp:posOffset>2435860</wp:posOffset>
                </wp:positionH>
                <wp:positionV relativeFrom="paragraph">
                  <wp:posOffset>183515</wp:posOffset>
                </wp:positionV>
                <wp:extent cx="1739900" cy="628650"/>
                <wp:effectExtent l="0" t="0" r="12700" b="19050"/>
                <wp:wrapNone/>
                <wp:docPr id="270" name="Скругленный прямоугольник 27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39900" cy="628650"/>
                        </a:xfrm>
                        <a:prstGeom prst="roundRect">
                          <a:avLst>
                            <a:gd name="adj" fmla="val 16667"/>
                          </a:avLst>
                        </a:prstGeom>
                        <a:solidFill>
                          <a:srgbClr val="FFFFFF"/>
                        </a:solidFill>
                        <a:ln w="9525">
                          <a:solidFill>
                            <a:srgbClr val="000000"/>
                          </a:solidFill>
                          <a:round/>
                          <a:headEnd/>
                          <a:tailEnd/>
                        </a:ln>
                      </wps:spPr>
                      <wps:txbx>
                        <w:txbxContent>
                          <w:p w:rsidR="001E1DF5" w:rsidRPr="00EE33F5" w:rsidRDefault="001E1DF5" w:rsidP="001204CA">
                            <w:pPr>
                              <w:spacing w:line="216" w:lineRule="auto"/>
                              <w:jc w:val="center"/>
                              <w:rPr>
                                <w:sz w:val="22"/>
                              </w:rPr>
                            </w:pPr>
                            <w:r>
                              <w:rPr>
                                <w:sz w:val="22"/>
                              </w:rPr>
                              <w:t>Комплексний аналіз динаміки</w:t>
                            </w:r>
                            <w:r w:rsidRPr="00EE33F5">
                              <w:rPr>
                                <w:sz w:val="22"/>
                              </w:rPr>
                              <w:t xml:space="preserve"> та структури </w:t>
                            </w:r>
                            <w:r w:rsidRPr="00DA1BB7">
                              <w:rPr>
                                <w:sz w:val="22"/>
                              </w:rPr>
                              <w:t>смертності поза стаціонару</w:t>
                            </w:r>
                            <w:r w:rsidRPr="00193345">
                              <w:rPr>
                                <w:sz w:val="22"/>
                                <w:lang w:val="ru-RU"/>
                              </w:rPr>
                              <w:t xml:space="preserve"> </w:t>
                            </w:r>
                            <w:r w:rsidRPr="00DA1BB7">
                              <w:rPr>
                                <w:sz w:val="22"/>
                              </w:rPr>
                              <w:t>серед дітей до 1 року життя</w:t>
                            </w:r>
                          </w:p>
                          <w:p w:rsidR="001E1DF5" w:rsidRPr="00A0794D" w:rsidRDefault="001E1DF5" w:rsidP="001204CA">
                            <w:pPr>
                              <w:spacing w:line="216" w:lineRule="auto"/>
                              <w:jc w:val="cente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270" o:spid="_x0000_s1061" style="position:absolute;left:0;text-align:left;margin-left:191.8pt;margin-top:14.45pt;width:137pt;height:49.5pt;z-index:251929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">
                <v:textbox inset="0,0,0,0">
                  <w:txbxContent>
                    <w:p w:rsidR="0057431A" w:rsidRPr="00EE33F5" w:rsidRDefault="0057431A" w:rsidP="001204CA">
                      <w:pPr>
                        <w:spacing w:line="216" w:lineRule="auto"/>
                        <w:jc w:val="center"/>
                        <w:rPr>
                          <w:sz w:val="22"/>
                        </w:rPr>
                      </w:pPr>
                      <w:r>
                        <w:rPr>
                          <w:sz w:val="22"/>
                        </w:rPr>
                        <w:t>Комплексний аналіз динаміки</w:t>
                      </w:r>
                      <w:r w:rsidRPr="00EE33F5">
                        <w:rPr>
                          <w:sz w:val="22"/>
                        </w:rPr>
                        <w:t xml:space="preserve"> та структури </w:t>
                      </w:r>
                      <w:r w:rsidRPr="00DA1BB7">
                        <w:rPr>
                          <w:sz w:val="22"/>
                        </w:rPr>
                        <w:t>смертності поза стаціонару</w:t>
                      </w:r>
                      <w:r w:rsidRPr="00193345">
                        <w:rPr>
                          <w:sz w:val="22"/>
                          <w:lang w:val="ru-RU"/>
                        </w:rPr>
                        <w:t xml:space="preserve"> </w:t>
                      </w:r>
                      <w:r w:rsidRPr="00DA1BB7">
                        <w:rPr>
                          <w:sz w:val="22"/>
                        </w:rPr>
                        <w:t>серед дітей до 1 року життя</w:t>
                      </w:r>
                    </w:p>
                    <w:p w:rsidR="0057431A" w:rsidRPr="00A0794D" w:rsidRDefault="0057431A" w:rsidP="001204CA">
                      <w:pPr>
                        <w:spacing w:line="216" w:lineRule="auto"/>
                        <w:jc w:val="center"/>
                      </w:pPr>
                    </w:p>
                  </w:txbxContent>
                </v:textbox>
              </v:roundrect>
            </w:pict>
          </mc:Fallback>
        </mc:AlternateContent>
      </w:r>
      <w:r w:rsidRPr="001204CA">
        <w:rPr>
          <w:rFonts w:eastAsia="Times New Roman"/>
          <w:noProof/>
          <w:szCs w:val="28"/>
          <w:lang w:val="ru-RU" w:eastAsia="ru-RU"/>
        </w:rPr>
        <mc:AlternateContent>
          <mc:Choice Requires="wps">
            <w:drawing>
              <wp:anchor distT="0" distB="0" distL="114300" distR="114300" simplePos="0" relativeHeight="251928576" behindDoc="0" locked="0" layoutInCell="1" allowOverlap="1" wp14:anchorId="3533F237" wp14:editId="24DFEA38">
                <wp:simplePos x="0" y="0"/>
                <wp:positionH relativeFrom="column">
                  <wp:posOffset>-78740</wp:posOffset>
                </wp:positionH>
                <wp:positionV relativeFrom="paragraph">
                  <wp:posOffset>189865</wp:posOffset>
                </wp:positionV>
                <wp:extent cx="2489200" cy="622300"/>
                <wp:effectExtent l="0" t="0" r="25400" b="25400"/>
                <wp:wrapNone/>
                <wp:docPr id="271" name="Скругленный прямоугольник 2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89200" cy="622300"/>
                        </a:xfrm>
                        <a:prstGeom prst="roundRect">
                          <a:avLst>
                            <a:gd name="adj" fmla="val 16667"/>
                          </a:avLst>
                        </a:prstGeom>
                        <a:solidFill>
                          <a:srgbClr val="FFFFFF"/>
                        </a:solidFill>
                        <a:ln w="9525">
                          <a:solidFill>
                            <a:srgbClr val="000000"/>
                          </a:solidFill>
                          <a:round/>
                          <a:headEnd/>
                          <a:tailEnd/>
                        </a:ln>
                      </wps:spPr>
                      <wps:txbx>
                        <w:txbxContent>
                          <w:p w:rsidR="001E1DF5" w:rsidRPr="0004018C" w:rsidRDefault="001E1DF5" w:rsidP="001204CA">
                            <w:pPr>
                              <w:spacing w:line="216" w:lineRule="auto"/>
                              <w:jc w:val="center"/>
                              <w:rPr>
                                <w:sz w:val="22"/>
                              </w:rPr>
                            </w:pPr>
                            <w:r>
                              <w:rPr>
                                <w:sz w:val="22"/>
                              </w:rPr>
                              <w:t xml:space="preserve">Комплексний </w:t>
                            </w:r>
                            <w:r w:rsidRPr="00DA1BB7">
                              <w:rPr>
                                <w:sz w:val="22"/>
                              </w:rPr>
                              <w:t>аналіз трендів, структури смертності дітей та її складових (за віком, статтю, регіоном, причиною) в Україні та порівняно з країнами</w:t>
                            </w:r>
                            <w:r>
                              <w:rPr>
                                <w:sz w:val="22"/>
                                <w:lang w:val="ru-RU"/>
                              </w:rPr>
                              <w:t xml:space="preserve"> світу</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271" o:spid="_x0000_s1062" style="position:absolute;left:0;text-align:left;margin-left:-6.2pt;margin-top:14.95pt;width:196pt;height:49pt;z-index:251928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">
                <v:textbox inset="0,0,0,0">
                  <w:txbxContent>
                    <w:p w:rsidR="0057431A" w:rsidRPr="0004018C" w:rsidRDefault="0057431A" w:rsidP="001204CA">
                      <w:pPr>
                        <w:spacing w:line="216" w:lineRule="auto"/>
                        <w:jc w:val="center"/>
                        <w:rPr>
                          <w:sz w:val="22"/>
                        </w:rPr>
                      </w:pPr>
                      <w:r>
                        <w:rPr>
                          <w:sz w:val="22"/>
                        </w:rPr>
                        <w:t xml:space="preserve">Комплексний </w:t>
                      </w:r>
                      <w:r w:rsidRPr="00DA1BB7">
                        <w:rPr>
                          <w:sz w:val="22"/>
                        </w:rPr>
                        <w:t>аналіз трендів, структури смертності дітей та її складових (за віком, статтю, регіоном, причиною) в Україні та порівняно з країнами</w:t>
                      </w:r>
                      <w:r>
                        <w:rPr>
                          <w:sz w:val="22"/>
                          <w:lang w:val="ru-RU"/>
                        </w:rPr>
                        <w:t xml:space="preserve"> світу</w:t>
                      </w:r>
                    </w:p>
                  </w:txbxContent>
                </v:textbox>
              </v:roundrect>
            </w:pict>
          </mc:Fallback>
        </mc:AlternateContent>
      </w:r>
      <w:r w:rsidRPr="001204CA">
        <w:rPr>
          <w:rFonts w:eastAsia="Times New Roman"/>
          <w:noProof/>
          <w:szCs w:val="28"/>
          <w:lang w:val="ru-RU" w:eastAsia="ru-RU"/>
        </w:rPr>
        <mc:AlternateContent>
          <mc:Choice Requires="wps">
            <w:drawing>
              <wp:anchor distT="0" distB="0" distL="114300" distR="114300" simplePos="0" relativeHeight="251953152" behindDoc="0" locked="0" layoutInCell="1" allowOverlap="1" wp14:anchorId="3D292FB3" wp14:editId="7017B932">
                <wp:simplePos x="0" y="0"/>
                <wp:positionH relativeFrom="column">
                  <wp:posOffset>5247640</wp:posOffset>
                </wp:positionH>
                <wp:positionV relativeFrom="paragraph">
                  <wp:posOffset>111125</wp:posOffset>
                </wp:positionV>
                <wp:extent cx="66040" cy="79375"/>
                <wp:effectExtent l="19050" t="0" r="29210" b="34925"/>
                <wp:wrapNone/>
                <wp:docPr id="272" name="Равнобедренный треугольник 272"/>
                <wp:cNvGraphicFramePr/>
                <a:graphic xmlns:a="http://schemas.openxmlformats.org/drawingml/2006/main">
                  <a:graphicData uri="http://schemas.microsoft.com/office/word/2010/wordprocessingShape">
                    <wps:wsp>
                      <wps:cNvSpPr/>
                      <wps:spPr>
                        <a:xfrm rot="10800000">
                          <a:off x="0" y="0"/>
                          <a:ext cx="66040" cy="79375"/>
                        </a:xfrm>
                        <a:prstGeom prst="triangle">
                          <a:avLst/>
                        </a:prstGeom>
                        <a:solidFill>
                          <a:sysClr val="windowText" lastClr="000000"/>
                        </a:solidFill>
                        <a:ln w="12700" cap="flat" cmpd="sng" algn="ctr">
                          <a:solidFill>
                            <a:sysClr val="windowText" lastClr="000000">
                              <a:shade val="50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Равнобедренный треугольник 272" o:spid="_x0000_s1026" type="#_x0000_t5" style="position:absolute;margin-left:413.2pt;margin-top:8.75pt;width:5.2pt;height:6.25pt;rotation:180;z-index:251953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" fillcolor="windowText" strokeweight="1pt"/>
            </w:pict>
          </mc:Fallback>
        </mc:AlternateContent>
      </w:r>
      <w:r w:rsidRPr="001204CA">
        <w:rPr>
          <w:rFonts w:eastAsia="Times New Roman"/>
          <w:noProof/>
          <w:szCs w:val="28"/>
          <w:lang w:val="ru-RU" w:eastAsia="ru-RU"/>
        </w:rPr>
        <mc:AlternateContent>
          <mc:Choice Requires="wps">
            <w:drawing>
              <wp:anchor distT="0" distB="0" distL="114300" distR="114300" simplePos="0" relativeHeight="251952128" behindDoc="0" locked="0" layoutInCell="1" allowOverlap="1" wp14:anchorId="5928A4D4" wp14:editId="074847FD">
                <wp:simplePos x="0" y="0"/>
                <wp:positionH relativeFrom="column">
                  <wp:posOffset>3232150</wp:posOffset>
                </wp:positionH>
                <wp:positionV relativeFrom="paragraph">
                  <wp:posOffset>111125</wp:posOffset>
                </wp:positionV>
                <wp:extent cx="66040" cy="79375"/>
                <wp:effectExtent l="19050" t="0" r="29210" b="34925"/>
                <wp:wrapNone/>
                <wp:docPr id="273" name="Равнобедренный треугольник 273"/>
                <wp:cNvGraphicFramePr/>
                <a:graphic xmlns:a="http://schemas.openxmlformats.org/drawingml/2006/main">
                  <a:graphicData uri="http://schemas.microsoft.com/office/word/2010/wordprocessingShape">
                    <wps:wsp>
                      <wps:cNvSpPr/>
                      <wps:spPr>
                        <a:xfrm rot="10800000">
                          <a:off x="0" y="0"/>
                          <a:ext cx="66040" cy="79375"/>
                        </a:xfrm>
                        <a:prstGeom prst="triangle">
                          <a:avLst/>
                        </a:prstGeom>
                        <a:solidFill>
                          <a:sysClr val="windowText" lastClr="000000"/>
                        </a:solidFill>
                        <a:ln w="12700" cap="flat" cmpd="sng" algn="ctr">
                          <a:solidFill>
                            <a:sysClr val="windowText" lastClr="000000">
                              <a:shade val="50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Равнобедренный треугольник 273" o:spid="_x0000_s1026" type="#_x0000_t5" style="position:absolute;margin-left:254.5pt;margin-top:8.75pt;width:5.2pt;height:6.25pt;rotation:180;z-index:251952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" fillcolor="windowText" strokeweight="1pt"/>
            </w:pict>
          </mc:Fallback>
        </mc:AlternateContent>
      </w:r>
      <w:r w:rsidRPr="001204CA">
        <w:rPr>
          <w:rFonts w:eastAsia="Times New Roman"/>
          <w:noProof/>
          <w:szCs w:val="28"/>
          <w:lang w:val="ru-RU" w:eastAsia="ru-RU"/>
        </w:rPr>
        <mc:AlternateContent>
          <mc:Choice Requires="wps">
            <w:drawing>
              <wp:anchor distT="0" distB="0" distL="114300" distR="114300" simplePos="0" relativeHeight="251951104" behindDoc="0" locked="0" layoutInCell="1" allowOverlap="1" wp14:anchorId="7AFE68C2" wp14:editId="0D05CEFE">
                <wp:simplePos x="0" y="0"/>
                <wp:positionH relativeFrom="column">
                  <wp:posOffset>1196340</wp:posOffset>
                </wp:positionH>
                <wp:positionV relativeFrom="paragraph">
                  <wp:posOffset>111125</wp:posOffset>
                </wp:positionV>
                <wp:extent cx="66040" cy="79375"/>
                <wp:effectExtent l="19050" t="0" r="29210" b="34925"/>
                <wp:wrapNone/>
                <wp:docPr id="274" name="Равнобедренный треугольник 274"/>
                <wp:cNvGraphicFramePr/>
                <a:graphic xmlns:a="http://schemas.openxmlformats.org/drawingml/2006/main">
                  <a:graphicData uri="http://schemas.microsoft.com/office/word/2010/wordprocessingShape">
                    <wps:wsp>
                      <wps:cNvSpPr/>
                      <wps:spPr>
                        <a:xfrm rot="10800000">
                          <a:off x="0" y="0"/>
                          <a:ext cx="66040" cy="79375"/>
                        </a:xfrm>
                        <a:prstGeom prst="triangle">
                          <a:avLst/>
                        </a:prstGeom>
                        <a:solidFill>
                          <a:sysClr val="windowText" lastClr="000000"/>
                        </a:solidFill>
                        <a:ln w="12700" cap="flat" cmpd="sng" algn="ctr">
                          <a:solidFill>
                            <a:sysClr val="windowText" lastClr="000000">
                              <a:shade val="50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Равнобедренный треугольник 274" o:spid="_x0000_s1026" type="#_x0000_t5" style="position:absolute;margin-left:94.2pt;margin-top:8.75pt;width:5.2pt;height:6.25pt;rotation:180;z-index:251951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" fillcolor="windowText" strokeweight="1pt"/>
            </w:pict>
          </mc:Fallback>
        </mc:AlternateContent>
      </w:r>
    </w:p>
    <w:p w:rsidR="001204CA" w:rsidRPr="001204CA" w:rsidRDefault="001204CA" w:rsidP="001204CA">
      <w:pPr>
        <w:autoSpaceDE w:val="0"/>
        <w:autoSpaceDN w:val="0"/>
        <w:adjustRightInd w:val="0"/>
        <w:spacing w:line="240" w:lineRule="auto"/>
        <w:rPr>
          <w:rFonts w:eastAsia="Times New Roman"/>
          <w:szCs w:val="28"/>
          <w:lang w:eastAsia="uk-UA"/>
        </w:rPr>
      </w:pPr>
    </w:p>
    <w:p w:rsidR="001204CA" w:rsidRPr="001204CA" w:rsidRDefault="001204CA" w:rsidP="001204CA">
      <w:pPr>
        <w:autoSpaceDE w:val="0"/>
        <w:autoSpaceDN w:val="0"/>
        <w:adjustRightInd w:val="0"/>
        <w:spacing w:line="240" w:lineRule="auto"/>
        <w:rPr>
          <w:rFonts w:eastAsia="Times New Roman"/>
          <w:szCs w:val="28"/>
          <w:lang w:eastAsia="uk-UA"/>
        </w:rPr>
      </w:pPr>
    </w:p>
    <w:p w:rsidR="001204CA" w:rsidRPr="001204CA" w:rsidRDefault="001204CA" w:rsidP="001204CA">
      <w:pPr>
        <w:autoSpaceDE w:val="0"/>
        <w:autoSpaceDN w:val="0"/>
        <w:adjustRightInd w:val="0"/>
        <w:spacing w:line="240" w:lineRule="auto"/>
        <w:rPr>
          <w:rFonts w:eastAsia="Times New Roman"/>
          <w:szCs w:val="28"/>
          <w:lang w:eastAsia="uk-UA"/>
        </w:rPr>
      </w:pPr>
      <w:r w:rsidRPr="001204CA">
        <w:rPr>
          <w:rFonts w:eastAsia="Times New Roman"/>
          <w:noProof/>
          <w:szCs w:val="28"/>
          <w:lang w:val="ru-RU" w:eastAsia="ru-RU"/>
        </w:rPr>
        <mc:AlternateContent>
          <mc:Choice Requires="wps">
            <w:drawing>
              <wp:anchor distT="0" distB="0" distL="114300" distR="114300" simplePos="0" relativeHeight="251954176" behindDoc="0" locked="0" layoutInCell="1" allowOverlap="1" wp14:anchorId="32E2AB22" wp14:editId="3CCC0E6B">
                <wp:simplePos x="0" y="0"/>
                <wp:positionH relativeFrom="column">
                  <wp:posOffset>1199515</wp:posOffset>
                </wp:positionH>
                <wp:positionV relativeFrom="paragraph">
                  <wp:posOffset>161290</wp:posOffset>
                </wp:positionV>
                <wp:extent cx="66040" cy="79375"/>
                <wp:effectExtent l="19050" t="0" r="29210" b="34925"/>
                <wp:wrapNone/>
                <wp:docPr id="275" name="Равнобедренный треугольник 275"/>
                <wp:cNvGraphicFramePr/>
                <a:graphic xmlns:a="http://schemas.openxmlformats.org/drawingml/2006/main">
                  <a:graphicData uri="http://schemas.microsoft.com/office/word/2010/wordprocessingShape">
                    <wps:wsp>
                      <wps:cNvSpPr/>
                      <wps:spPr>
                        <a:xfrm rot="10800000">
                          <a:off x="0" y="0"/>
                          <a:ext cx="66040" cy="79375"/>
                        </a:xfrm>
                        <a:prstGeom prst="triangle">
                          <a:avLst/>
                        </a:prstGeom>
                        <a:solidFill>
                          <a:sysClr val="windowText" lastClr="000000"/>
                        </a:solidFill>
                        <a:ln w="12700" cap="flat" cmpd="sng" algn="ctr">
                          <a:solidFill>
                            <a:sysClr val="windowText" lastClr="000000">
                              <a:shade val="50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Равнобедренный треугольник 275" o:spid="_x0000_s1026" type="#_x0000_t5" style="position:absolute;margin-left:94.45pt;margin-top:12.7pt;width:5.2pt;height:6.25pt;rotation:180;z-index:251954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" fillcolor="windowText" strokeweight="1pt"/>
            </w:pict>
          </mc:Fallback>
        </mc:AlternateContent>
      </w:r>
      <w:r w:rsidRPr="001204CA">
        <w:rPr>
          <w:rFonts w:eastAsia="Times New Roman"/>
          <w:noProof/>
          <w:szCs w:val="28"/>
          <w:lang w:val="ru-RU" w:eastAsia="ru-RU"/>
        </w:rPr>
        <mc:AlternateContent>
          <mc:Choice Requires="wps">
            <w:drawing>
              <wp:anchor distT="0" distB="0" distL="114300" distR="114300" simplePos="0" relativeHeight="251955200" behindDoc="0" locked="0" layoutInCell="1" allowOverlap="1" wp14:anchorId="7B51FB41" wp14:editId="1320EB65">
                <wp:simplePos x="0" y="0"/>
                <wp:positionH relativeFrom="column">
                  <wp:posOffset>3232150</wp:posOffset>
                </wp:positionH>
                <wp:positionV relativeFrom="paragraph">
                  <wp:posOffset>161290</wp:posOffset>
                </wp:positionV>
                <wp:extent cx="66040" cy="79375"/>
                <wp:effectExtent l="19050" t="0" r="29210" b="34925"/>
                <wp:wrapNone/>
                <wp:docPr id="276" name="Равнобедренный треугольник 276"/>
                <wp:cNvGraphicFramePr/>
                <a:graphic xmlns:a="http://schemas.openxmlformats.org/drawingml/2006/main">
                  <a:graphicData uri="http://schemas.microsoft.com/office/word/2010/wordprocessingShape">
                    <wps:wsp>
                      <wps:cNvSpPr/>
                      <wps:spPr>
                        <a:xfrm rot="10800000">
                          <a:off x="0" y="0"/>
                          <a:ext cx="66040" cy="79375"/>
                        </a:xfrm>
                        <a:prstGeom prst="triangle">
                          <a:avLst/>
                        </a:prstGeom>
                        <a:solidFill>
                          <a:sysClr val="windowText" lastClr="000000"/>
                        </a:solidFill>
                        <a:ln w="12700" cap="flat" cmpd="sng" algn="ctr">
                          <a:solidFill>
                            <a:sysClr val="windowText" lastClr="000000">
                              <a:shade val="50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Равнобедренный треугольник 276" o:spid="_x0000_s1026" type="#_x0000_t5" style="position:absolute;margin-left:254.5pt;margin-top:12.7pt;width:5.2pt;height:6.25pt;rotation:180;z-index:251955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" fillcolor="windowText" strokeweight="1pt"/>
            </w:pict>
          </mc:Fallback>
        </mc:AlternateContent>
      </w:r>
      <w:r w:rsidRPr="001204CA">
        <w:rPr>
          <w:rFonts w:eastAsia="Times New Roman"/>
          <w:noProof/>
          <w:szCs w:val="28"/>
          <w:lang w:val="ru-RU" w:eastAsia="ru-RU"/>
        </w:rPr>
        <mc:AlternateContent>
          <mc:Choice Requires="wps">
            <w:drawing>
              <wp:anchor distT="0" distB="0" distL="114300" distR="114300" simplePos="0" relativeHeight="251956224" behindDoc="0" locked="0" layoutInCell="1" allowOverlap="1" wp14:anchorId="70F3420D" wp14:editId="3F39EE0D">
                <wp:simplePos x="0" y="0"/>
                <wp:positionH relativeFrom="column">
                  <wp:posOffset>5283200</wp:posOffset>
                </wp:positionH>
                <wp:positionV relativeFrom="paragraph">
                  <wp:posOffset>158115</wp:posOffset>
                </wp:positionV>
                <wp:extent cx="66040" cy="79375"/>
                <wp:effectExtent l="19050" t="0" r="29210" b="34925"/>
                <wp:wrapNone/>
                <wp:docPr id="277" name="Равнобедренный треугольник 277"/>
                <wp:cNvGraphicFramePr/>
                <a:graphic xmlns:a="http://schemas.openxmlformats.org/drawingml/2006/main">
                  <a:graphicData uri="http://schemas.microsoft.com/office/word/2010/wordprocessingShape">
                    <wps:wsp>
                      <wps:cNvSpPr/>
                      <wps:spPr>
                        <a:xfrm rot="10800000">
                          <a:off x="0" y="0"/>
                          <a:ext cx="66040" cy="79375"/>
                        </a:xfrm>
                        <a:prstGeom prst="triangle">
                          <a:avLst/>
                        </a:prstGeom>
                        <a:solidFill>
                          <a:sysClr val="windowText" lastClr="000000"/>
                        </a:solidFill>
                        <a:ln w="12700" cap="flat" cmpd="sng" algn="ctr">
                          <a:solidFill>
                            <a:sysClr val="windowText" lastClr="000000">
                              <a:shade val="50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Равнобедренный треугольник 277" o:spid="_x0000_s1026" type="#_x0000_t5" style="position:absolute;margin-left:416pt;margin-top:12.45pt;width:5.2pt;height:6.25pt;rotation:180;z-index:251956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" fillcolor="windowText" strokeweight="1pt"/>
            </w:pict>
          </mc:Fallback>
        </mc:AlternateContent>
      </w:r>
    </w:p>
    <w:p w:rsidR="001204CA" w:rsidRPr="001204CA" w:rsidRDefault="001204CA" w:rsidP="001204CA">
      <w:pPr>
        <w:autoSpaceDE w:val="0"/>
        <w:autoSpaceDN w:val="0"/>
        <w:adjustRightInd w:val="0"/>
        <w:spacing w:line="240" w:lineRule="auto"/>
        <w:rPr>
          <w:rFonts w:eastAsia="Times New Roman"/>
          <w:szCs w:val="28"/>
          <w:lang w:eastAsia="uk-UA"/>
        </w:rPr>
      </w:pPr>
      <w:r w:rsidRPr="001204CA">
        <w:rPr>
          <w:rFonts w:eastAsia="Times New Roman"/>
          <w:noProof/>
          <w:szCs w:val="28"/>
          <w:lang w:val="ru-RU" w:eastAsia="ru-RU"/>
        </w:rPr>
        <mc:AlternateContent>
          <mc:Choice Requires="wps">
            <w:drawing>
              <wp:anchor distT="0" distB="0" distL="114300" distR="114300" simplePos="0" relativeHeight="251931648" behindDoc="0" locked="0" layoutInCell="1" allowOverlap="1" wp14:anchorId="2C6E2FD5" wp14:editId="1A2DC052">
                <wp:simplePos x="0" y="0"/>
                <wp:positionH relativeFrom="column">
                  <wp:posOffset>-72390</wp:posOffset>
                </wp:positionH>
                <wp:positionV relativeFrom="paragraph">
                  <wp:posOffset>32385</wp:posOffset>
                </wp:positionV>
                <wp:extent cx="6586855" cy="1473200"/>
                <wp:effectExtent l="0" t="0" r="23495" b="12700"/>
                <wp:wrapNone/>
                <wp:docPr id="278" name="Прямоугольник 2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86855" cy="1473200"/>
                        </a:xfrm>
                        <a:prstGeom prst="rect">
                          <a:avLst/>
                        </a:prstGeom>
                        <a:solidFill>
                          <a:srgbClr val="FFFFFF"/>
                        </a:solidFill>
                        <a:ln w="9525">
                          <a:solidFill>
                            <a:srgbClr val="000000"/>
                          </a:solidFill>
                          <a:miter lim="800000"/>
                          <a:headEnd/>
                          <a:tailEnd/>
                        </a:ln>
                      </wps:spPr>
                      <wps:txbx>
                        <w:txbxContent>
                          <w:p w:rsidR="001E1DF5" w:rsidRPr="00A3499A" w:rsidRDefault="001E1DF5" w:rsidP="001204CA">
                            <w:pPr>
                              <w:spacing w:line="216" w:lineRule="auto"/>
                              <w:rPr>
                                <w:sz w:val="22"/>
                              </w:rPr>
                            </w:pPr>
                            <w:r w:rsidRPr="00A3499A">
                              <w:rPr>
                                <w:sz w:val="22"/>
                              </w:rPr>
                              <w:t>Дані ДЗ ЦМС МОЗ України, Держа</w:t>
                            </w:r>
                            <w:r>
                              <w:rPr>
                                <w:sz w:val="22"/>
                              </w:rPr>
                              <w:t>вної служби статистики України</w:t>
                            </w:r>
                            <w:r w:rsidRPr="00A3499A">
                              <w:rPr>
                                <w:sz w:val="22"/>
                              </w:rPr>
                              <w:t>: ф.№20 «Звіт лікувально-профілактичного закладу»; ф.№31«Звіт про медичну допомогу дітям», ф.№21«Звіт про медичну допомогу вагітним, роділлям і породіллям»; «Моніторинг стану здоров’я матері та дитини»;</w:t>
                            </w:r>
                            <w:r w:rsidRPr="00A3499A">
                              <w:rPr>
                                <w:color w:val="000000"/>
                                <w:spacing w:val="-4"/>
                                <w:sz w:val="22"/>
                                <w:lang w:eastAsia="ru-RU"/>
                              </w:rPr>
                              <w:t xml:space="preserve"> </w:t>
                            </w:r>
                            <w:r w:rsidRPr="00A3499A">
                              <w:rPr>
                                <w:sz w:val="22"/>
                              </w:rPr>
                              <w:t>середня чисельність постійного населення за статтю і віком;</w:t>
                            </w:r>
                            <w:r w:rsidRPr="00A3499A">
                              <w:rPr>
                                <w:b/>
                                <w:color w:val="000000"/>
                                <w:spacing w:val="-4"/>
                                <w:sz w:val="22"/>
                                <w:lang w:eastAsia="ru-RU"/>
                              </w:rPr>
                              <w:t xml:space="preserve"> </w:t>
                            </w:r>
                            <w:r w:rsidRPr="00A3499A">
                              <w:rPr>
                                <w:color w:val="000000"/>
                                <w:spacing w:val="-4"/>
                                <w:sz w:val="22"/>
                                <w:lang w:eastAsia="ru-RU"/>
                              </w:rPr>
                              <w:t>ф.</w:t>
                            </w:r>
                            <w:r w:rsidRPr="00A3499A">
                              <w:rPr>
                                <w:b/>
                                <w:color w:val="000000"/>
                                <w:spacing w:val="-4"/>
                                <w:sz w:val="22"/>
                                <w:lang w:eastAsia="ru-RU"/>
                              </w:rPr>
                              <w:t xml:space="preserve"> </w:t>
                            </w:r>
                            <w:r w:rsidRPr="00A3499A">
                              <w:rPr>
                                <w:sz w:val="22"/>
                              </w:rPr>
                              <w:t>АС-2 «Смертність дітей у віці до 1 року за причинами смерті»; ф.ТС2 «Коефіцієнти смертності за статтю, віковими групами та причинами смерті»; ф. С-5p «Розподіл померлих дітей у віці до 5 років, за статтю, віком, роком народження»; ф. С-6 «Розподіл померлих за статтю та віком»; ф</w:t>
                            </w:r>
                            <w:r w:rsidRPr="00A3499A">
                              <w:rPr>
                                <w:b/>
                                <w:sz w:val="22"/>
                              </w:rPr>
                              <w:t xml:space="preserve">. </w:t>
                            </w:r>
                            <w:r w:rsidRPr="00A3499A">
                              <w:rPr>
                                <w:sz w:val="22"/>
                              </w:rPr>
                              <w:t xml:space="preserve">С-8p «Розподіл померлих за статтю, віковими групами та причинами смерті»; ф. С-11p «Розподіл померлих за статтю, віком, роком народження» - </w:t>
                            </w:r>
                            <w:r w:rsidRPr="005B7471">
                              <w:rPr>
                                <w:color w:val="000000" w:themeColor="text1"/>
                                <w:sz w:val="22"/>
                              </w:rPr>
                              <w:t xml:space="preserve">за 2009-2018 рр. всього 1298 од. </w:t>
                            </w:r>
                            <w:r w:rsidRPr="00A3499A">
                              <w:rPr>
                                <w:sz w:val="22"/>
                              </w:rPr>
                              <w:t xml:space="preserve">База даних (WHO Global Health Observatory, World Bank Open Data, </w:t>
                            </w:r>
                            <w:r w:rsidRPr="00A3499A">
                              <w:rPr>
                                <w:sz w:val="22"/>
                                <w:lang w:val="en-US"/>
                              </w:rPr>
                              <w:t xml:space="preserve">WHO </w:t>
                            </w:r>
                            <w:r w:rsidRPr="00A3499A">
                              <w:rPr>
                                <w:sz w:val="22"/>
                              </w:rPr>
                              <w:t>European Health for All Dat</w:t>
                            </w:r>
                            <w:r>
                              <w:rPr>
                                <w:sz w:val="22"/>
                              </w:rPr>
                              <w:t>abase (HFA/DB), CDC Wonder</w:t>
                            </w:r>
                            <w:r w:rsidRPr="00A3499A">
                              <w:rPr>
                                <w:sz w:val="22"/>
                              </w:rPr>
                              <w:t>, The Institute for Health Metrics and Evaluation (IHME)</w:t>
                            </w:r>
                            <w:r w:rsidRPr="00A3499A">
                              <w:rPr>
                                <w:sz w:val="22"/>
                                <w:lang w:val="en-US"/>
                              </w:rPr>
                              <w:t xml:space="preserve"> updated</w:t>
                            </w:r>
                            <w:r w:rsidRPr="00A3499A">
                              <w:rPr>
                                <w:sz w:val="22"/>
                              </w:rPr>
                              <w:t xml:space="preserve">: </w:t>
                            </w:r>
                            <w:r w:rsidRPr="00A3499A">
                              <w:rPr>
                                <w:sz w:val="22"/>
                                <w:lang w:val="en-US"/>
                              </w:rPr>
                              <w:t>September</w:t>
                            </w:r>
                            <w:r w:rsidRPr="00A3499A">
                              <w:rPr>
                                <w:sz w:val="22"/>
                              </w:rPr>
                              <w:t xml:space="preserve">, 2020) за 2009-2019 рр. </w:t>
                            </w:r>
                          </w:p>
                          <w:p w:rsidR="001E1DF5" w:rsidRDefault="001E1DF5" w:rsidP="001204CA">
                            <w:pPr>
                              <w:jc w:val="center"/>
                              <w:rPr>
                                <w:color w:val="2E74B5" w:themeColor="accent1" w:themeShade="BF"/>
                                <w:sz w:val="22"/>
                                <w:lang w:val="en-US"/>
                              </w:rPr>
                            </w:pPr>
                          </w:p>
                          <w:p w:rsidR="001E1DF5" w:rsidRPr="003457E1" w:rsidRDefault="001E1DF5" w:rsidP="001204CA">
                            <w:pPr>
                              <w:jc w:val="center"/>
                              <w:rPr>
                                <w:color w:val="2E74B5" w:themeColor="accent1" w:themeShade="BF"/>
                                <w:lang w:val="en-US"/>
                              </w:rPr>
                            </w:pPr>
                          </w:p>
                        </w:txbxContent>
                      </wps:txbx>
                      <wps:bodyPr rot="0" vert="horz" wrap="square" lIns="18000" tIns="10800" rIns="18000" bIns="1080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278" o:spid="_x0000_s1063" style="position:absolute;left:0;text-align:left;margin-left:-5.7pt;margin-top:2.55pt;width:518.65pt;height:116pt;z-index:251931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">
                <v:textbox inset=".5mm,.3mm,.5mm,.3mm">
                  <w:txbxContent>
                    <w:p w:rsidR="0057431A" w:rsidRPr="00A3499A" w:rsidRDefault="0057431A" w:rsidP="001204CA">
                      <w:pPr>
                        <w:spacing w:line="216" w:lineRule="auto"/>
                        <w:rPr>
                          <w:sz w:val="22"/>
                        </w:rPr>
                      </w:pPr>
                      <w:r w:rsidRPr="00A3499A">
                        <w:rPr>
                          <w:sz w:val="22"/>
                        </w:rPr>
                        <w:t>Дані ДЗ ЦМС МОЗ України, Держа</w:t>
                      </w:r>
                      <w:r>
                        <w:rPr>
                          <w:sz w:val="22"/>
                        </w:rPr>
                        <w:t>вної служби статистики України</w:t>
                      </w:r>
                      <w:r w:rsidRPr="00A3499A">
                        <w:rPr>
                          <w:sz w:val="22"/>
                        </w:rPr>
                        <w:t>: ф.№20 «Звіт лікувально-профілактичного закладу»; ф.№31«Звіт про медичну допомогу дітям», ф.№21«Звіт про медичну допомогу вагітним, роділлям і породіллям»; «Моніторинг стану здоров’я матері та дитини»;</w:t>
                      </w:r>
                      <w:r w:rsidRPr="00A3499A">
                        <w:rPr>
                          <w:color w:val="000000"/>
                          <w:spacing w:val="-4"/>
                          <w:sz w:val="22"/>
                          <w:lang w:eastAsia="ru-RU"/>
                        </w:rPr>
                        <w:t xml:space="preserve"> </w:t>
                      </w:r>
                      <w:r w:rsidRPr="00A3499A">
                        <w:rPr>
                          <w:sz w:val="22"/>
                        </w:rPr>
                        <w:t>середня чисельність постійного населення за статтю і віком;</w:t>
                      </w:r>
                      <w:r w:rsidRPr="00A3499A">
                        <w:rPr>
                          <w:b/>
                          <w:color w:val="000000"/>
                          <w:spacing w:val="-4"/>
                          <w:sz w:val="22"/>
                          <w:lang w:eastAsia="ru-RU"/>
                        </w:rPr>
                        <w:t xml:space="preserve"> </w:t>
                      </w:r>
                      <w:r w:rsidRPr="00A3499A">
                        <w:rPr>
                          <w:color w:val="000000"/>
                          <w:spacing w:val="-4"/>
                          <w:sz w:val="22"/>
                          <w:lang w:eastAsia="ru-RU"/>
                        </w:rPr>
                        <w:t>ф.</w:t>
                      </w:r>
                      <w:r w:rsidRPr="00A3499A">
                        <w:rPr>
                          <w:b/>
                          <w:color w:val="000000"/>
                          <w:spacing w:val="-4"/>
                          <w:sz w:val="22"/>
                          <w:lang w:eastAsia="ru-RU"/>
                        </w:rPr>
                        <w:t xml:space="preserve"> </w:t>
                      </w:r>
                      <w:r w:rsidRPr="00A3499A">
                        <w:rPr>
                          <w:sz w:val="22"/>
                        </w:rPr>
                        <w:t>АС-2 «Смертність дітей у віці до 1 року за причинами смерті»; ф.ТС2 «Коефіцієнти смертності за статтю, віковими групами та причинами смерті»; ф. С-5p «Розподіл померлих дітей у віці до 5 років, за статтю, віком, роком народження»; ф. С-6 «Розподіл померлих за статтю та віком»; ф</w:t>
                      </w:r>
                      <w:r w:rsidRPr="00A3499A">
                        <w:rPr>
                          <w:b/>
                          <w:sz w:val="22"/>
                        </w:rPr>
                        <w:t xml:space="preserve">. </w:t>
                      </w:r>
                      <w:r w:rsidRPr="00A3499A">
                        <w:rPr>
                          <w:sz w:val="22"/>
                        </w:rPr>
                        <w:t xml:space="preserve">С-8p «Розподіл померлих за статтю, віковими групами та причинами смерті»; ф. С-11p «Розподіл померлих за статтю, віком, роком народження» - </w:t>
                      </w:r>
                      <w:r w:rsidRPr="005B7471">
                        <w:rPr>
                          <w:color w:val="000000" w:themeColor="text1"/>
                          <w:sz w:val="22"/>
                        </w:rPr>
                        <w:t xml:space="preserve">за 2009-2018 рр. всього 1298 од. </w:t>
                      </w:r>
                      <w:r w:rsidRPr="00A3499A">
                        <w:rPr>
                          <w:sz w:val="22"/>
                        </w:rPr>
                        <w:t xml:space="preserve">База даних (WHO Global Health Observatory, World Bank Open Data, </w:t>
                      </w:r>
                      <w:r w:rsidRPr="00A3499A">
                        <w:rPr>
                          <w:sz w:val="22"/>
                          <w:lang w:val="en-US"/>
                        </w:rPr>
                        <w:t xml:space="preserve">WHO </w:t>
                      </w:r>
                      <w:r w:rsidRPr="00A3499A">
                        <w:rPr>
                          <w:sz w:val="22"/>
                        </w:rPr>
                        <w:t>European Health for All Dat</w:t>
                      </w:r>
                      <w:r>
                        <w:rPr>
                          <w:sz w:val="22"/>
                        </w:rPr>
                        <w:t>abase (HFA/DB), CDC Wonder</w:t>
                      </w:r>
                      <w:r w:rsidRPr="00A3499A">
                        <w:rPr>
                          <w:sz w:val="22"/>
                        </w:rPr>
                        <w:t>, The Institute for Health Metrics and Evaluation (IHME)</w:t>
                      </w:r>
                      <w:r w:rsidRPr="00A3499A">
                        <w:rPr>
                          <w:sz w:val="22"/>
                          <w:lang w:val="en-US"/>
                        </w:rPr>
                        <w:t xml:space="preserve"> updated</w:t>
                      </w:r>
                      <w:r w:rsidRPr="00A3499A">
                        <w:rPr>
                          <w:sz w:val="22"/>
                        </w:rPr>
                        <w:t xml:space="preserve">: </w:t>
                      </w:r>
                      <w:r w:rsidRPr="00A3499A">
                        <w:rPr>
                          <w:sz w:val="22"/>
                          <w:lang w:val="en-US"/>
                        </w:rPr>
                        <w:t>September</w:t>
                      </w:r>
                      <w:r w:rsidRPr="00A3499A">
                        <w:rPr>
                          <w:sz w:val="22"/>
                        </w:rPr>
                        <w:t xml:space="preserve">, 2020) за 2009-2019 рр. </w:t>
                      </w:r>
                    </w:p>
                    <w:p w:rsidR="0057431A" w:rsidRDefault="0057431A" w:rsidP="001204CA">
                      <w:pPr>
                        <w:jc w:val="center"/>
                        <w:rPr>
                          <w:color w:val="2E74B5" w:themeColor="accent1" w:themeShade="BF"/>
                          <w:sz w:val="22"/>
                          <w:lang w:val="en-US"/>
                        </w:rPr>
                      </w:pPr>
                    </w:p>
                    <w:p w:rsidR="0057431A" w:rsidRPr="003457E1" w:rsidRDefault="0057431A" w:rsidP="001204CA">
                      <w:pPr>
                        <w:jc w:val="center"/>
                        <w:rPr>
                          <w:color w:val="2E74B5" w:themeColor="accent1" w:themeShade="BF"/>
                          <w:lang w:val="en-US"/>
                        </w:rPr>
                      </w:pPr>
                    </w:p>
                  </w:txbxContent>
                </v:textbox>
              </v:rect>
            </w:pict>
          </mc:Fallback>
        </mc:AlternateContent>
      </w:r>
    </w:p>
    <w:p w:rsidR="001204CA" w:rsidRPr="001204CA" w:rsidRDefault="001204CA" w:rsidP="001204CA">
      <w:pPr>
        <w:autoSpaceDE w:val="0"/>
        <w:autoSpaceDN w:val="0"/>
        <w:adjustRightInd w:val="0"/>
        <w:spacing w:line="240" w:lineRule="auto"/>
        <w:rPr>
          <w:rFonts w:eastAsia="Times New Roman"/>
          <w:szCs w:val="28"/>
          <w:lang w:eastAsia="uk-UA"/>
        </w:rPr>
      </w:pPr>
    </w:p>
    <w:p w:rsidR="001204CA" w:rsidRPr="001204CA" w:rsidRDefault="001204CA" w:rsidP="001204CA">
      <w:pPr>
        <w:autoSpaceDE w:val="0"/>
        <w:autoSpaceDN w:val="0"/>
        <w:adjustRightInd w:val="0"/>
        <w:spacing w:line="240" w:lineRule="auto"/>
        <w:rPr>
          <w:rFonts w:eastAsia="Times New Roman"/>
          <w:szCs w:val="28"/>
          <w:lang w:eastAsia="uk-UA"/>
        </w:rPr>
      </w:pPr>
    </w:p>
    <w:p w:rsidR="001204CA" w:rsidRPr="001204CA" w:rsidRDefault="001204CA" w:rsidP="001204CA">
      <w:pPr>
        <w:autoSpaceDE w:val="0"/>
        <w:autoSpaceDN w:val="0"/>
        <w:adjustRightInd w:val="0"/>
        <w:spacing w:line="240" w:lineRule="auto"/>
        <w:rPr>
          <w:rFonts w:eastAsia="Times New Roman"/>
          <w:szCs w:val="28"/>
          <w:lang w:eastAsia="uk-UA"/>
        </w:rPr>
      </w:pPr>
    </w:p>
    <w:p w:rsidR="001204CA" w:rsidRPr="001204CA" w:rsidRDefault="001204CA" w:rsidP="001204CA">
      <w:pPr>
        <w:autoSpaceDE w:val="0"/>
        <w:autoSpaceDN w:val="0"/>
        <w:adjustRightInd w:val="0"/>
        <w:spacing w:line="240" w:lineRule="auto"/>
        <w:rPr>
          <w:rFonts w:eastAsia="Times New Roman"/>
          <w:szCs w:val="28"/>
          <w:lang w:eastAsia="uk-UA"/>
        </w:rPr>
      </w:pPr>
    </w:p>
    <w:p w:rsidR="001204CA" w:rsidRPr="001204CA" w:rsidRDefault="001204CA" w:rsidP="001204CA">
      <w:pPr>
        <w:autoSpaceDE w:val="0"/>
        <w:autoSpaceDN w:val="0"/>
        <w:adjustRightInd w:val="0"/>
        <w:spacing w:line="240" w:lineRule="auto"/>
        <w:rPr>
          <w:rFonts w:eastAsia="Times New Roman"/>
          <w:szCs w:val="28"/>
          <w:lang w:eastAsia="uk-UA"/>
        </w:rPr>
      </w:pPr>
    </w:p>
    <w:p w:rsidR="001204CA" w:rsidRPr="001204CA" w:rsidRDefault="001204CA" w:rsidP="001204CA">
      <w:pPr>
        <w:autoSpaceDE w:val="0"/>
        <w:autoSpaceDN w:val="0"/>
        <w:adjustRightInd w:val="0"/>
        <w:spacing w:line="240" w:lineRule="auto"/>
        <w:rPr>
          <w:rFonts w:eastAsia="Times New Roman"/>
          <w:szCs w:val="28"/>
          <w:lang w:eastAsia="uk-UA"/>
        </w:rPr>
      </w:pPr>
    </w:p>
    <w:p w:rsidR="001204CA" w:rsidRPr="001204CA" w:rsidRDefault="001204CA" w:rsidP="001204CA">
      <w:pPr>
        <w:widowControl w:val="0"/>
        <w:autoSpaceDE w:val="0"/>
        <w:autoSpaceDN w:val="0"/>
        <w:spacing w:line="240" w:lineRule="auto"/>
        <w:ind w:left="290" w:right="72"/>
        <w:rPr>
          <w:rFonts w:eastAsia="Times New Roman"/>
          <w:sz w:val="22"/>
        </w:rPr>
      </w:pPr>
      <w:r w:rsidRPr="001204CA">
        <w:rPr>
          <w:rFonts w:eastAsia="Times New Roman"/>
          <w:noProof/>
          <w:szCs w:val="28"/>
          <w:lang w:val="ru-RU" w:eastAsia="ru-RU"/>
        </w:rPr>
        <mc:AlternateContent>
          <mc:Choice Requires="wps">
            <w:drawing>
              <wp:anchor distT="0" distB="0" distL="114300" distR="114300" simplePos="0" relativeHeight="251937792" behindDoc="0" locked="0" layoutInCell="1" allowOverlap="1" wp14:anchorId="6837B745" wp14:editId="3C7EB5B9">
                <wp:simplePos x="0" y="0"/>
                <wp:positionH relativeFrom="column">
                  <wp:posOffset>778510</wp:posOffset>
                </wp:positionH>
                <wp:positionV relativeFrom="paragraph">
                  <wp:posOffset>125095</wp:posOffset>
                </wp:positionV>
                <wp:extent cx="5699760" cy="397510"/>
                <wp:effectExtent l="0" t="0" r="53340" b="59690"/>
                <wp:wrapNone/>
                <wp:docPr id="98" name="Скругленный прямоугольник 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99760" cy="397510"/>
                        </a:xfrm>
                        <a:prstGeom prst="roundRect">
                          <a:avLst>
                            <a:gd name="adj" fmla="val 16667"/>
                          </a:avLst>
                        </a:prstGeom>
                        <a:gradFill rotWithShape="1">
                          <a:gsLst>
                            <a:gs pos="0">
                              <a:srgbClr val="C0C0C0"/>
                            </a:gs>
                            <a:gs pos="50000">
                              <a:srgbClr val="FFFFFF"/>
                            </a:gs>
                            <a:gs pos="100000">
                              <a:srgbClr val="C0C0C0"/>
                            </a:gs>
                          </a:gsLst>
                          <a:lin ang="5400000" scaled="1"/>
                        </a:gradFill>
                        <a:ln w="25400">
                          <a:solidFill>
                            <a:srgbClr val="000000"/>
                          </a:solidFill>
                          <a:round/>
                          <a:headEnd/>
                          <a:tailEnd/>
                        </a:ln>
                        <a:effectLst>
                          <a:outerShdw dist="35921" dir="2700000" algn="ctr" rotWithShape="0">
                            <a:srgbClr val="808080"/>
                          </a:outerShdw>
                        </a:effectLst>
                      </wps:spPr>
                      <wps:txbx>
                        <w:txbxContent>
                          <w:p w:rsidR="001E1DF5" w:rsidRPr="00753479" w:rsidRDefault="001E1DF5" w:rsidP="00CC171D">
                            <w:pPr>
                              <w:spacing w:line="240" w:lineRule="auto"/>
                              <w:jc w:val="center"/>
                              <w:rPr>
                                <w:sz w:val="22"/>
                              </w:rPr>
                            </w:pPr>
                            <w:r>
                              <w:rPr>
                                <w:b/>
                                <w:sz w:val="22"/>
                              </w:rPr>
                              <w:t>Вивчення динаміки та структури</w:t>
                            </w:r>
                            <w:r w:rsidRPr="00753479">
                              <w:rPr>
                                <w:b/>
                                <w:sz w:val="22"/>
                              </w:rPr>
                              <w:t xml:space="preserve"> захворюваності дітей </w:t>
                            </w:r>
                            <w:r w:rsidRPr="002167AE">
                              <w:rPr>
                                <w:b/>
                                <w:sz w:val="22"/>
                              </w:rPr>
                              <w:t>віком до 5 років</w:t>
                            </w:r>
                            <w:r>
                              <w:rPr>
                                <w:b/>
                                <w:sz w:val="22"/>
                              </w:rPr>
                              <w:t xml:space="preserve"> життя</w:t>
                            </w:r>
                            <w:r w:rsidRPr="002167AE">
                              <w:rPr>
                                <w:b/>
                                <w:sz w:val="22"/>
                              </w:rPr>
                              <w:t xml:space="preserve"> </w:t>
                            </w:r>
                            <w:r w:rsidRPr="00753479">
                              <w:rPr>
                                <w:b/>
                                <w:sz w:val="22"/>
                              </w:rPr>
                              <w:t xml:space="preserve">України та розвинених країнах світу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98" o:spid="_x0000_s1064" style="position:absolute;left:0;text-align:left;margin-left:61.3pt;margin-top:9.85pt;width:448.8pt;height:31.3pt;z-index:251937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" fillcolor="silver" strokeweight="2pt">
                <v:fill rotate="t" focus="50%" type="gradient"/>
                <v:shadow on="t"/>
                <v:textbox inset="0,0,0,0">
                  <w:txbxContent>
                    <w:p w:rsidR="0057431A" w:rsidRPr="00753479" w:rsidRDefault="0057431A" w:rsidP="00CC171D">
                      <w:pPr>
                        <w:spacing w:line="240" w:lineRule="auto"/>
                        <w:jc w:val="center"/>
                        <w:rPr>
                          <w:sz w:val="22"/>
                        </w:rPr>
                      </w:pPr>
                      <w:r>
                        <w:rPr>
                          <w:b/>
                          <w:sz w:val="22"/>
                        </w:rPr>
                        <w:t>Вивчення динаміки та структури</w:t>
                      </w:r>
                      <w:r w:rsidRPr="00753479">
                        <w:rPr>
                          <w:b/>
                          <w:sz w:val="22"/>
                        </w:rPr>
                        <w:t xml:space="preserve"> захворюваності дітей </w:t>
                      </w:r>
                      <w:r w:rsidRPr="002167AE">
                        <w:rPr>
                          <w:b/>
                          <w:sz w:val="22"/>
                        </w:rPr>
                        <w:t>віком до 5 років</w:t>
                      </w:r>
                      <w:r>
                        <w:rPr>
                          <w:b/>
                          <w:sz w:val="22"/>
                        </w:rPr>
                        <w:t xml:space="preserve"> життя</w:t>
                      </w:r>
                      <w:r w:rsidRPr="002167AE">
                        <w:rPr>
                          <w:b/>
                          <w:sz w:val="22"/>
                        </w:rPr>
                        <w:t xml:space="preserve"> </w:t>
                      </w:r>
                      <w:r w:rsidRPr="00753479">
                        <w:rPr>
                          <w:b/>
                          <w:sz w:val="22"/>
                        </w:rPr>
                        <w:t xml:space="preserve">України та розвинених країнах світу </w:t>
                      </w:r>
                    </w:p>
                  </w:txbxContent>
                </v:textbox>
              </v:roundrect>
            </w:pict>
          </mc:Fallback>
        </mc:AlternateContent>
      </w:r>
      <w:r w:rsidRPr="001204CA">
        <w:rPr>
          <w:rFonts w:eastAsia="Times New Roman"/>
          <w:noProof/>
          <w:szCs w:val="28"/>
          <w:lang w:val="ru-RU" w:eastAsia="ru-RU"/>
        </w:rPr>
        <mc:AlternateContent>
          <mc:Choice Requires="wps">
            <w:drawing>
              <wp:anchor distT="0" distB="0" distL="114300" distR="114300" simplePos="0" relativeHeight="251921408" behindDoc="0" locked="0" layoutInCell="1" allowOverlap="1" wp14:anchorId="640E4402" wp14:editId="1253FDB6">
                <wp:simplePos x="0" y="0"/>
                <wp:positionH relativeFrom="column">
                  <wp:posOffset>-78740</wp:posOffset>
                </wp:positionH>
                <wp:positionV relativeFrom="paragraph">
                  <wp:posOffset>121285</wp:posOffset>
                </wp:positionV>
                <wp:extent cx="800100" cy="397510"/>
                <wp:effectExtent l="0" t="0" r="57150" b="59690"/>
                <wp:wrapNone/>
                <wp:docPr id="99" name="Прямоугольник 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00100" cy="397510"/>
                        </a:xfrm>
                        <a:prstGeom prst="rect">
                          <a:avLst/>
                        </a:prstGeom>
                        <a:gradFill rotWithShape="1">
                          <a:gsLst>
                            <a:gs pos="0">
                              <a:srgbClr val="C0C0C0"/>
                            </a:gs>
                            <a:gs pos="50000">
                              <a:srgbClr val="FBFBFB"/>
                            </a:gs>
                            <a:gs pos="100000">
                              <a:srgbClr val="C0C0C0"/>
                            </a:gs>
                          </a:gsLst>
                          <a:lin ang="5400000" scaled="1"/>
                        </a:gradFill>
                        <a:ln w="25400">
                          <a:solidFill>
                            <a:srgbClr val="000000"/>
                          </a:solidFill>
                          <a:miter lim="800000"/>
                          <a:headEnd/>
                          <a:tailEnd/>
                        </a:ln>
                        <a:effectLst>
                          <a:outerShdw dist="53882" dir="2700000" algn="ctr" rotWithShape="0">
                            <a:srgbClr val="808080"/>
                          </a:outerShdw>
                        </a:effectLst>
                      </wps:spPr>
                      <wps:txbx>
                        <w:txbxContent>
                          <w:p w:rsidR="001E1DF5" w:rsidRPr="002B7096" w:rsidRDefault="001E1DF5" w:rsidP="001204CA">
                            <w:pPr>
                              <w:spacing w:before="120"/>
                              <w:jc w:val="center"/>
                              <w:rPr>
                                <w:b/>
                                <w:szCs w:val="28"/>
                              </w:rPr>
                            </w:pPr>
                            <w:r>
                              <w:rPr>
                                <w:b/>
                                <w:szCs w:val="28"/>
                              </w:rPr>
                              <w:t>І</w:t>
                            </w:r>
                            <w:r>
                              <w:rPr>
                                <w:b/>
                                <w:szCs w:val="28"/>
                                <w:lang w:val="en-US"/>
                              </w:rPr>
                              <w:t>V</w:t>
                            </w:r>
                            <w:r w:rsidRPr="002B7096">
                              <w:rPr>
                                <w:b/>
                                <w:szCs w:val="28"/>
                              </w:rPr>
                              <w:t xml:space="preserve"> етап</w:t>
                            </w:r>
                          </w:p>
                        </w:txbxContent>
                      </wps:txbx>
                      <wps:bodyPr rot="0" vert="horz" wrap="square" lIns="18000" tIns="10800" rIns="18000" bIns="1080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99" o:spid="_x0000_s1065" style="position:absolute;left:0;text-align:left;margin-left:-6.2pt;margin-top:9.55pt;width:63pt;height:31.3pt;z-index:251921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" fillcolor="silver" strokeweight="2pt">
                <v:fill color2="#fbfbfb" rotate="t" focus="50%" type="gradient"/>
                <v:shadow on="t" offset="3pt,3pt"/>
                <v:textbox inset=".5mm,.3mm,.5mm,.3mm">
                  <w:txbxContent>
                    <w:p w:rsidR="0057431A" w:rsidRPr="002B7096" w:rsidRDefault="0057431A" w:rsidP="001204CA">
                      <w:pPr>
                        <w:spacing w:before="120"/>
                        <w:jc w:val="center"/>
                        <w:rPr>
                          <w:b/>
                          <w:szCs w:val="28"/>
                        </w:rPr>
                      </w:pPr>
                      <w:r>
                        <w:rPr>
                          <w:b/>
                          <w:szCs w:val="28"/>
                        </w:rPr>
                        <w:t>І</w:t>
                      </w:r>
                      <w:r>
                        <w:rPr>
                          <w:b/>
                          <w:szCs w:val="28"/>
                          <w:lang w:val="en-US"/>
                        </w:rPr>
                        <w:t>V</w:t>
                      </w:r>
                      <w:r w:rsidRPr="002B7096">
                        <w:rPr>
                          <w:b/>
                          <w:szCs w:val="28"/>
                        </w:rPr>
                        <w:t xml:space="preserve"> етап</w:t>
                      </w:r>
                    </w:p>
                  </w:txbxContent>
                </v:textbox>
              </v:rect>
            </w:pict>
          </mc:Fallback>
        </mc:AlternateContent>
      </w:r>
    </w:p>
    <w:p w:rsidR="001204CA" w:rsidRPr="001204CA" w:rsidRDefault="001204CA" w:rsidP="001204CA">
      <w:pPr>
        <w:widowControl w:val="0"/>
        <w:autoSpaceDE w:val="0"/>
        <w:autoSpaceDN w:val="0"/>
        <w:spacing w:line="240" w:lineRule="auto"/>
        <w:ind w:left="290" w:right="72"/>
        <w:rPr>
          <w:rFonts w:eastAsia="Times New Roman"/>
          <w:sz w:val="22"/>
        </w:rPr>
      </w:pPr>
    </w:p>
    <w:p w:rsidR="001204CA" w:rsidRPr="001204CA" w:rsidRDefault="001204CA" w:rsidP="001204CA">
      <w:pPr>
        <w:widowControl w:val="0"/>
        <w:autoSpaceDE w:val="0"/>
        <w:autoSpaceDN w:val="0"/>
        <w:spacing w:line="240" w:lineRule="auto"/>
        <w:ind w:left="290" w:right="72"/>
        <w:rPr>
          <w:rFonts w:eastAsia="Times New Roman"/>
          <w:sz w:val="22"/>
        </w:rPr>
      </w:pPr>
    </w:p>
    <w:p w:rsidR="001204CA" w:rsidRPr="001204CA" w:rsidRDefault="001204CA" w:rsidP="001204CA">
      <w:pPr>
        <w:widowControl w:val="0"/>
        <w:autoSpaceDE w:val="0"/>
        <w:autoSpaceDN w:val="0"/>
        <w:spacing w:line="240" w:lineRule="auto"/>
        <w:ind w:left="290" w:right="72"/>
        <w:rPr>
          <w:rFonts w:eastAsia="Times New Roman"/>
          <w:sz w:val="22"/>
        </w:rPr>
      </w:pPr>
      <w:r w:rsidRPr="001204CA">
        <w:rPr>
          <w:rFonts w:eastAsia="Times New Roman"/>
          <w:noProof/>
          <w:szCs w:val="28"/>
          <w:lang w:val="ru-RU" w:eastAsia="ru-RU"/>
        </w:rPr>
        <mc:AlternateContent>
          <mc:Choice Requires="wps">
            <w:drawing>
              <wp:anchor distT="0" distB="0" distL="114300" distR="114300" simplePos="0" relativeHeight="251959296" behindDoc="0" locked="0" layoutInCell="1" allowOverlap="1" wp14:anchorId="3B38E1B2" wp14:editId="10373472">
                <wp:simplePos x="0" y="0"/>
                <wp:positionH relativeFrom="column">
                  <wp:posOffset>5390515</wp:posOffset>
                </wp:positionH>
                <wp:positionV relativeFrom="paragraph">
                  <wp:posOffset>15240</wp:posOffset>
                </wp:positionV>
                <wp:extent cx="66040" cy="79375"/>
                <wp:effectExtent l="19050" t="0" r="29210" b="34925"/>
                <wp:wrapNone/>
                <wp:docPr id="100" name="Равнобедренный треугольник 100"/>
                <wp:cNvGraphicFramePr/>
                <a:graphic xmlns:a="http://schemas.openxmlformats.org/drawingml/2006/main">
                  <a:graphicData uri="http://schemas.microsoft.com/office/word/2010/wordprocessingShape">
                    <wps:wsp>
                      <wps:cNvSpPr/>
                      <wps:spPr>
                        <a:xfrm rot="10800000">
                          <a:off x="0" y="0"/>
                          <a:ext cx="66040" cy="79375"/>
                        </a:xfrm>
                        <a:prstGeom prst="triangle">
                          <a:avLst/>
                        </a:prstGeom>
                        <a:solidFill>
                          <a:sysClr val="windowText" lastClr="000000"/>
                        </a:solidFill>
                        <a:ln w="12700" cap="flat" cmpd="sng" algn="ctr">
                          <a:solidFill>
                            <a:sysClr val="windowText" lastClr="000000">
                              <a:shade val="50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Равнобедренный треугольник 100" o:spid="_x0000_s1026" type="#_x0000_t5" style="position:absolute;margin-left:424.45pt;margin-top:1.2pt;width:5.2pt;height:6.25pt;rotation:180;z-index:251959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" fillcolor="windowText" strokeweight="1pt"/>
            </w:pict>
          </mc:Fallback>
        </mc:AlternateContent>
      </w:r>
      <w:r w:rsidRPr="001204CA">
        <w:rPr>
          <w:rFonts w:eastAsia="Times New Roman"/>
          <w:noProof/>
          <w:szCs w:val="28"/>
          <w:lang w:val="ru-RU" w:eastAsia="ru-RU"/>
        </w:rPr>
        <mc:AlternateContent>
          <mc:Choice Requires="wps">
            <w:drawing>
              <wp:anchor distT="0" distB="0" distL="114300" distR="114300" simplePos="0" relativeHeight="251958272" behindDoc="0" locked="0" layoutInCell="1" allowOverlap="1" wp14:anchorId="30E3B788" wp14:editId="2B04A623">
                <wp:simplePos x="0" y="0"/>
                <wp:positionH relativeFrom="column">
                  <wp:posOffset>1265555</wp:posOffset>
                </wp:positionH>
                <wp:positionV relativeFrom="paragraph">
                  <wp:posOffset>31750</wp:posOffset>
                </wp:positionV>
                <wp:extent cx="66040" cy="79375"/>
                <wp:effectExtent l="19050" t="0" r="29210" b="34925"/>
                <wp:wrapNone/>
                <wp:docPr id="101" name="Равнобедренный треугольник 101"/>
                <wp:cNvGraphicFramePr/>
                <a:graphic xmlns:a="http://schemas.openxmlformats.org/drawingml/2006/main">
                  <a:graphicData uri="http://schemas.microsoft.com/office/word/2010/wordprocessingShape">
                    <wps:wsp>
                      <wps:cNvSpPr/>
                      <wps:spPr>
                        <a:xfrm rot="10800000">
                          <a:off x="0" y="0"/>
                          <a:ext cx="66040" cy="79375"/>
                        </a:xfrm>
                        <a:prstGeom prst="triangle">
                          <a:avLst/>
                        </a:prstGeom>
                        <a:solidFill>
                          <a:sysClr val="windowText" lastClr="000000"/>
                        </a:solidFill>
                        <a:ln w="12700" cap="flat" cmpd="sng" algn="ctr">
                          <a:solidFill>
                            <a:sysClr val="windowText" lastClr="000000">
                              <a:shade val="50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Равнобедренный треугольник 101" o:spid="_x0000_s1026" type="#_x0000_t5" style="position:absolute;margin-left:99.65pt;margin-top:2.5pt;width:5.2pt;height:6.25pt;rotation:180;z-index:251958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" fillcolor="windowText" strokeweight="1pt"/>
            </w:pict>
          </mc:Fallback>
        </mc:AlternateContent>
      </w:r>
      <w:r w:rsidRPr="001204CA">
        <w:rPr>
          <w:rFonts w:eastAsia="Times New Roman"/>
          <w:noProof/>
          <w:szCs w:val="28"/>
          <w:lang w:val="ru-RU" w:eastAsia="ru-RU"/>
        </w:rPr>
        <mc:AlternateContent>
          <mc:Choice Requires="wps">
            <w:drawing>
              <wp:anchor distT="0" distB="0" distL="114300" distR="114300" simplePos="0" relativeHeight="251941888" behindDoc="0" locked="0" layoutInCell="1" allowOverlap="1" wp14:anchorId="6C665C5C" wp14:editId="2DF238D9">
                <wp:simplePos x="0" y="0"/>
                <wp:positionH relativeFrom="column">
                  <wp:posOffset>3956050</wp:posOffset>
                </wp:positionH>
                <wp:positionV relativeFrom="paragraph">
                  <wp:posOffset>93980</wp:posOffset>
                </wp:positionV>
                <wp:extent cx="2516505" cy="317500"/>
                <wp:effectExtent l="0" t="0" r="17145" b="25400"/>
                <wp:wrapNone/>
                <wp:docPr id="102" name="Скругленный прямоугольник 1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16505" cy="317500"/>
                        </a:xfrm>
                        <a:prstGeom prst="roundRect">
                          <a:avLst>
                            <a:gd name="adj" fmla="val 16667"/>
                          </a:avLst>
                        </a:prstGeom>
                        <a:solidFill>
                          <a:srgbClr val="FFFFFF"/>
                        </a:solidFill>
                        <a:ln w="9525">
                          <a:solidFill>
                            <a:srgbClr val="000000"/>
                          </a:solidFill>
                          <a:round/>
                          <a:headEnd/>
                          <a:tailEnd/>
                        </a:ln>
                      </wps:spPr>
                      <wps:txbx>
                        <w:txbxContent>
                          <w:p w:rsidR="001E1DF5" w:rsidRPr="0004018C" w:rsidRDefault="001E1DF5" w:rsidP="001204CA">
                            <w:pPr>
                              <w:spacing w:line="216" w:lineRule="auto"/>
                              <w:jc w:val="center"/>
                              <w:rPr>
                                <w:sz w:val="22"/>
                              </w:rPr>
                            </w:pPr>
                            <w:r w:rsidRPr="00F56542">
                              <w:rPr>
                                <w:bCs/>
                                <w:sz w:val="22"/>
                              </w:rPr>
                              <w:t xml:space="preserve">Аналіз показників захворюваності дітей </w:t>
                            </w:r>
                            <w:r>
                              <w:rPr>
                                <w:bCs/>
                                <w:sz w:val="22"/>
                              </w:rPr>
                              <w:t xml:space="preserve">1 року життя та </w:t>
                            </w:r>
                            <w:r w:rsidRPr="00F56542">
                              <w:rPr>
                                <w:bCs/>
                                <w:sz w:val="22"/>
                              </w:rPr>
                              <w:t xml:space="preserve">зв’язки зі </w:t>
                            </w:r>
                            <w:r>
                              <w:rPr>
                                <w:bCs/>
                                <w:sz w:val="22"/>
                              </w:rPr>
                              <w:t xml:space="preserve">смертністю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102" o:spid="_x0000_s1066" style="position:absolute;left:0;text-align:left;margin-left:311.5pt;margin-top:7.4pt;width:198.15pt;height:25pt;z-index:251941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">
                <v:textbox inset="0,0,0,0">
                  <w:txbxContent>
                    <w:p w:rsidR="0057431A" w:rsidRPr="0004018C" w:rsidRDefault="0057431A" w:rsidP="001204CA">
                      <w:pPr>
                        <w:spacing w:line="216" w:lineRule="auto"/>
                        <w:jc w:val="center"/>
                        <w:rPr>
                          <w:sz w:val="22"/>
                        </w:rPr>
                      </w:pPr>
                      <w:r w:rsidRPr="00F56542">
                        <w:rPr>
                          <w:bCs/>
                          <w:sz w:val="22"/>
                        </w:rPr>
                        <w:t xml:space="preserve">Аналіз показників захворюваності дітей </w:t>
                      </w:r>
                      <w:r>
                        <w:rPr>
                          <w:bCs/>
                          <w:sz w:val="22"/>
                        </w:rPr>
                        <w:t xml:space="preserve">1 року життя та </w:t>
                      </w:r>
                      <w:r w:rsidRPr="00F56542">
                        <w:rPr>
                          <w:bCs/>
                          <w:sz w:val="22"/>
                        </w:rPr>
                        <w:t xml:space="preserve">зв’язки зі </w:t>
                      </w:r>
                      <w:r>
                        <w:rPr>
                          <w:bCs/>
                          <w:sz w:val="22"/>
                        </w:rPr>
                        <w:t xml:space="preserve">смертністю </w:t>
                      </w:r>
                    </w:p>
                  </w:txbxContent>
                </v:textbox>
              </v:roundrect>
            </w:pict>
          </mc:Fallback>
        </mc:AlternateContent>
      </w:r>
      <w:r w:rsidRPr="001204CA">
        <w:rPr>
          <w:rFonts w:eastAsia="Times New Roman"/>
          <w:noProof/>
          <w:szCs w:val="28"/>
          <w:lang w:val="ru-RU" w:eastAsia="ru-RU"/>
        </w:rPr>
        <mc:AlternateContent>
          <mc:Choice Requires="wps">
            <w:drawing>
              <wp:anchor distT="0" distB="0" distL="114300" distR="114300" simplePos="0" relativeHeight="251940864" behindDoc="0" locked="0" layoutInCell="1" allowOverlap="1" wp14:anchorId="407BA73C" wp14:editId="62CB90CC">
                <wp:simplePos x="0" y="0"/>
                <wp:positionH relativeFrom="column">
                  <wp:posOffset>-104140</wp:posOffset>
                </wp:positionH>
                <wp:positionV relativeFrom="paragraph">
                  <wp:posOffset>93980</wp:posOffset>
                </wp:positionV>
                <wp:extent cx="4006850" cy="317500"/>
                <wp:effectExtent l="0" t="0" r="12700" b="25400"/>
                <wp:wrapNone/>
                <wp:docPr id="103" name="Скругленный прямоугольник 10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006850" cy="317500"/>
                        </a:xfrm>
                        <a:prstGeom prst="roundRect">
                          <a:avLst>
                            <a:gd name="adj" fmla="val 16667"/>
                          </a:avLst>
                        </a:prstGeom>
                        <a:solidFill>
                          <a:srgbClr val="FFFFFF"/>
                        </a:solidFill>
                        <a:ln w="9525">
                          <a:solidFill>
                            <a:srgbClr val="000000"/>
                          </a:solidFill>
                          <a:round/>
                          <a:headEnd/>
                          <a:tailEnd/>
                        </a:ln>
                      </wps:spPr>
                      <wps:txbx>
                        <w:txbxContent>
                          <w:p w:rsidR="001E1DF5" w:rsidRPr="00F56542" w:rsidRDefault="001E1DF5" w:rsidP="001204CA">
                            <w:pPr>
                              <w:spacing w:line="216" w:lineRule="auto"/>
                              <w:jc w:val="center"/>
                              <w:rPr>
                                <w:sz w:val="22"/>
                              </w:rPr>
                            </w:pPr>
                            <w:r w:rsidRPr="00F56542">
                              <w:rPr>
                                <w:sz w:val="22"/>
                              </w:rPr>
                              <w:t xml:space="preserve">Аналіз динаміки показників та структури захворюваності серед дітей віком 0-6 років в Україні та розвинених країнах </w:t>
                            </w:r>
                          </w:p>
                          <w:p w:rsidR="001E1DF5" w:rsidRPr="0004018C" w:rsidRDefault="001E1DF5" w:rsidP="001204CA">
                            <w:pPr>
                              <w:spacing w:line="216" w:lineRule="auto"/>
                              <w:jc w:val="center"/>
                              <w:rPr>
                                <w:sz w:val="22"/>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103" o:spid="_x0000_s1067" style="position:absolute;left:0;text-align:left;margin-left:-8.2pt;margin-top:7.4pt;width:315.5pt;height:25pt;z-index:251940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">
                <v:textbox inset="0,0,0,0">
                  <w:txbxContent>
                    <w:p w:rsidR="0057431A" w:rsidRPr="00F56542" w:rsidRDefault="0057431A" w:rsidP="001204CA">
                      <w:pPr>
                        <w:spacing w:line="216" w:lineRule="auto"/>
                        <w:jc w:val="center"/>
                        <w:rPr>
                          <w:sz w:val="22"/>
                        </w:rPr>
                      </w:pPr>
                      <w:r w:rsidRPr="00F56542">
                        <w:rPr>
                          <w:sz w:val="22"/>
                        </w:rPr>
                        <w:t xml:space="preserve">Аналіз динаміки показників та структури захворюваності серед дітей віком 0-6 років в Україні та розвинених країнах </w:t>
                      </w:r>
                    </w:p>
                    <w:p w:rsidR="0057431A" w:rsidRPr="0004018C" w:rsidRDefault="0057431A" w:rsidP="001204CA">
                      <w:pPr>
                        <w:spacing w:line="216" w:lineRule="auto"/>
                        <w:jc w:val="center"/>
                        <w:rPr>
                          <w:sz w:val="22"/>
                        </w:rPr>
                      </w:pPr>
                    </w:p>
                  </w:txbxContent>
                </v:textbox>
              </v:roundrect>
            </w:pict>
          </mc:Fallback>
        </mc:AlternateContent>
      </w:r>
    </w:p>
    <w:p w:rsidR="001204CA" w:rsidRPr="001204CA" w:rsidRDefault="001204CA" w:rsidP="001204CA">
      <w:pPr>
        <w:tabs>
          <w:tab w:val="left" w:pos="4364"/>
        </w:tabs>
        <w:autoSpaceDE w:val="0"/>
        <w:autoSpaceDN w:val="0"/>
        <w:adjustRightInd w:val="0"/>
        <w:spacing w:line="240" w:lineRule="auto"/>
        <w:rPr>
          <w:rFonts w:eastAsia="Times New Roman"/>
          <w:szCs w:val="28"/>
          <w:lang w:eastAsia="uk-UA"/>
        </w:rPr>
      </w:pPr>
      <w:r w:rsidRPr="001204CA">
        <w:rPr>
          <w:rFonts w:eastAsia="Times New Roman"/>
          <w:szCs w:val="28"/>
          <w:lang w:eastAsia="uk-UA"/>
        </w:rPr>
        <w:tab/>
      </w:r>
    </w:p>
    <w:p w:rsidR="001204CA" w:rsidRPr="001204CA" w:rsidRDefault="001204CA" w:rsidP="001204CA">
      <w:pPr>
        <w:autoSpaceDE w:val="0"/>
        <w:autoSpaceDN w:val="0"/>
        <w:adjustRightInd w:val="0"/>
        <w:spacing w:line="240" w:lineRule="auto"/>
        <w:rPr>
          <w:rFonts w:eastAsia="Times New Roman"/>
          <w:szCs w:val="28"/>
          <w:lang w:eastAsia="uk-UA"/>
        </w:rPr>
      </w:pPr>
      <w:r w:rsidRPr="001204CA">
        <w:rPr>
          <w:rFonts w:eastAsia="Times New Roman"/>
          <w:noProof/>
          <w:szCs w:val="28"/>
          <w:lang w:val="ru-RU" w:eastAsia="ru-RU"/>
        </w:rPr>
        <mc:AlternateContent>
          <mc:Choice Requires="wps">
            <w:drawing>
              <wp:anchor distT="0" distB="0" distL="114300" distR="114300" simplePos="0" relativeHeight="251961344" behindDoc="0" locked="0" layoutInCell="1" allowOverlap="1" wp14:anchorId="367EC072" wp14:editId="37A9A331">
                <wp:simplePos x="0" y="0"/>
                <wp:positionH relativeFrom="column">
                  <wp:posOffset>5386070</wp:posOffset>
                </wp:positionH>
                <wp:positionV relativeFrom="paragraph">
                  <wp:posOffset>31116</wp:posOffset>
                </wp:positionV>
                <wp:extent cx="66040" cy="79375"/>
                <wp:effectExtent l="19050" t="0" r="29210" b="34925"/>
                <wp:wrapNone/>
                <wp:docPr id="104" name="Равнобедренный треугольник 104"/>
                <wp:cNvGraphicFramePr/>
                <a:graphic xmlns:a="http://schemas.openxmlformats.org/drawingml/2006/main">
                  <a:graphicData uri="http://schemas.microsoft.com/office/word/2010/wordprocessingShape">
                    <wps:wsp>
                      <wps:cNvSpPr/>
                      <wps:spPr>
                        <a:xfrm rot="10800000">
                          <a:off x="0" y="0"/>
                          <a:ext cx="66040" cy="79375"/>
                        </a:xfrm>
                        <a:prstGeom prst="triangle">
                          <a:avLst/>
                        </a:prstGeom>
                        <a:solidFill>
                          <a:sysClr val="windowText" lastClr="000000"/>
                        </a:solidFill>
                        <a:ln w="12700" cap="flat" cmpd="sng" algn="ctr">
                          <a:solidFill>
                            <a:sysClr val="windowText" lastClr="000000">
                              <a:shade val="50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Равнобедренный треугольник 104" o:spid="_x0000_s1026" type="#_x0000_t5" style="position:absolute;margin-left:424.1pt;margin-top:2.45pt;width:5.2pt;height:6.25pt;rotation:180;z-index:251961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" fillcolor="windowText" strokeweight="1pt"/>
            </w:pict>
          </mc:Fallback>
        </mc:AlternateContent>
      </w:r>
      <w:r w:rsidRPr="001204CA">
        <w:rPr>
          <w:rFonts w:eastAsia="Times New Roman"/>
          <w:noProof/>
          <w:szCs w:val="28"/>
          <w:lang w:val="ru-RU" w:eastAsia="ru-RU"/>
        </w:rPr>
        <mc:AlternateContent>
          <mc:Choice Requires="wps">
            <w:drawing>
              <wp:anchor distT="0" distB="0" distL="114300" distR="114300" simplePos="0" relativeHeight="251960320" behindDoc="0" locked="0" layoutInCell="1" allowOverlap="1" wp14:anchorId="01E6571C" wp14:editId="7CA88B82">
                <wp:simplePos x="0" y="0"/>
                <wp:positionH relativeFrom="column">
                  <wp:posOffset>1265555</wp:posOffset>
                </wp:positionH>
                <wp:positionV relativeFrom="paragraph">
                  <wp:posOffset>43815</wp:posOffset>
                </wp:positionV>
                <wp:extent cx="66040" cy="79375"/>
                <wp:effectExtent l="19050" t="0" r="29210" b="34925"/>
                <wp:wrapNone/>
                <wp:docPr id="105" name="Равнобедренный треугольник 105"/>
                <wp:cNvGraphicFramePr/>
                <a:graphic xmlns:a="http://schemas.openxmlformats.org/drawingml/2006/main">
                  <a:graphicData uri="http://schemas.microsoft.com/office/word/2010/wordprocessingShape">
                    <wps:wsp>
                      <wps:cNvSpPr/>
                      <wps:spPr>
                        <a:xfrm rot="10800000">
                          <a:off x="0" y="0"/>
                          <a:ext cx="66040" cy="79375"/>
                        </a:xfrm>
                        <a:prstGeom prst="triangle">
                          <a:avLst/>
                        </a:prstGeom>
                        <a:solidFill>
                          <a:sysClr val="windowText" lastClr="000000"/>
                        </a:solidFill>
                        <a:ln w="12700" cap="flat" cmpd="sng" algn="ctr">
                          <a:solidFill>
                            <a:sysClr val="windowText" lastClr="000000">
                              <a:shade val="50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Равнобедренный треугольник 105" o:spid="_x0000_s1026" type="#_x0000_t5" style="position:absolute;margin-left:99.65pt;margin-top:3.45pt;width:5.2pt;height:6.25pt;rotation:180;z-index:251960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" fillcolor="windowText" strokeweight="1pt"/>
            </w:pict>
          </mc:Fallback>
        </mc:AlternateContent>
      </w:r>
      <w:r w:rsidRPr="001204CA">
        <w:rPr>
          <w:rFonts w:eastAsia="Times New Roman"/>
          <w:noProof/>
          <w:szCs w:val="28"/>
          <w:lang w:val="ru-RU" w:eastAsia="ru-RU"/>
        </w:rPr>
        <mc:AlternateContent>
          <mc:Choice Requires="wps">
            <w:drawing>
              <wp:anchor distT="0" distB="0" distL="114300" distR="114300" simplePos="0" relativeHeight="251942912" behindDoc="0" locked="0" layoutInCell="1" allowOverlap="1" wp14:anchorId="68FCFF39" wp14:editId="4CD82E5C">
                <wp:simplePos x="0" y="0"/>
                <wp:positionH relativeFrom="column">
                  <wp:posOffset>-65405</wp:posOffset>
                </wp:positionH>
                <wp:positionV relativeFrom="paragraph">
                  <wp:posOffset>84455</wp:posOffset>
                </wp:positionV>
                <wp:extent cx="6541770" cy="1022350"/>
                <wp:effectExtent l="0" t="0" r="11430" b="25400"/>
                <wp:wrapNone/>
                <wp:docPr id="106" name="Прямоугольник 1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41770" cy="1022350"/>
                        </a:xfrm>
                        <a:prstGeom prst="rect">
                          <a:avLst/>
                        </a:prstGeom>
                        <a:solidFill>
                          <a:srgbClr val="FFFFFF"/>
                        </a:solidFill>
                        <a:ln w="9525">
                          <a:solidFill>
                            <a:srgbClr val="000000"/>
                          </a:solidFill>
                          <a:miter lim="800000"/>
                          <a:headEnd/>
                          <a:tailEnd/>
                        </a:ln>
                      </wps:spPr>
                      <wps:txbx>
                        <w:txbxContent>
                          <w:p w:rsidR="001E1DF5" w:rsidRPr="002B5BAC" w:rsidRDefault="001E1DF5" w:rsidP="00CC171D">
                            <w:pPr>
                              <w:spacing w:line="240" w:lineRule="auto"/>
                              <w:rPr>
                                <w:bCs/>
                                <w:sz w:val="22"/>
                                <w:lang w:val="en-US"/>
                              </w:rPr>
                            </w:pPr>
                            <w:r>
                              <w:rPr>
                                <w:bCs/>
                                <w:sz w:val="22"/>
                              </w:rPr>
                              <w:t>Звітні форми</w:t>
                            </w:r>
                            <w:r w:rsidRPr="004D7270">
                              <w:rPr>
                                <w:bCs/>
                                <w:sz w:val="22"/>
                              </w:rPr>
                              <w:t xml:space="preserve"> ДЗ </w:t>
                            </w:r>
                            <w:r>
                              <w:rPr>
                                <w:bCs/>
                                <w:sz w:val="22"/>
                              </w:rPr>
                              <w:t xml:space="preserve">ЦМС </w:t>
                            </w:r>
                            <w:r w:rsidRPr="004D7270">
                              <w:rPr>
                                <w:bCs/>
                                <w:sz w:val="22"/>
                              </w:rPr>
                              <w:t>МОЗ України:</w:t>
                            </w:r>
                            <w:r w:rsidRPr="004D7270">
                              <w:rPr>
                                <w:bCs/>
                                <w:sz w:val="22"/>
                                <w:lang w:val="ru-RU"/>
                              </w:rPr>
                              <w:t xml:space="preserve"> ф.12</w:t>
                            </w:r>
                            <w:r w:rsidRPr="004D7270">
                              <w:rPr>
                                <w:sz w:val="22"/>
                              </w:rPr>
                              <w:t xml:space="preserve"> </w:t>
                            </w:r>
                            <w:r w:rsidRPr="004D7270">
                              <w:rPr>
                                <w:bCs/>
                                <w:sz w:val="22"/>
                                <w:lang w:val="ru-RU"/>
                              </w:rPr>
                              <w:t>« Звіт про кількість захворювань, зареєстрованих у хворих, які проживають в районі обслуговуван</w:t>
                            </w:r>
                            <w:r>
                              <w:rPr>
                                <w:bCs/>
                                <w:sz w:val="22"/>
                                <w:lang w:val="ru-RU"/>
                              </w:rPr>
                              <w:t>ня лікувального закладу»;</w:t>
                            </w:r>
                            <w:r>
                              <w:rPr>
                                <w:bCs/>
                                <w:sz w:val="22"/>
                                <w:lang w:val="en-US"/>
                              </w:rPr>
                              <w:t xml:space="preserve"> </w:t>
                            </w:r>
                            <w:r w:rsidRPr="004D7270">
                              <w:rPr>
                                <w:sz w:val="22"/>
                              </w:rPr>
                              <w:t>ф.№20 «Звіт лікувально-</w:t>
                            </w:r>
                            <w:r>
                              <w:rPr>
                                <w:sz w:val="22"/>
                              </w:rPr>
                              <w:t>профілактичного закладу»;</w:t>
                            </w:r>
                            <w:r w:rsidRPr="0043392D">
                              <w:rPr>
                                <w:color w:val="000000" w:themeColor="text1"/>
                              </w:rPr>
                              <w:t xml:space="preserve"> </w:t>
                            </w:r>
                            <w:r w:rsidRPr="0043392D">
                              <w:rPr>
                                <w:sz w:val="22"/>
                              </w:rPr>
                              <w:t>ф.</w:t>
                            </w:r>
                            <w:r>
                              <w:rPr>
                                <w:sz w:val="22"/>
                              </w:rPr>
                              <w:t xml:space="preserve"> </w:t>
                            </w:r>
                            <w:r w:rsidRPr="0043392D">
                              <w:rPr>
                                <w:sz w:val="22"/>
                              </w:rPr>
                              <w:t>№21«Звіт про медичну допомогу в</w:t>
                            </w:r>
                            <w:r>
                              <w:rPr>
                                <w:sz w:val="22"/>
                              </w:rPr>
                              <w:t>агітним, роділлям і породіллям»</w:t>
                            </w:r>
                            <w:r>
                              <w:rPr>
                                <w:sz w:val="22"/>
                                <w:lang w:val="ru-RU"/>
                              </w:rPr>
                              <w:t>;</w:t>
                            </w:r>
                            <w:r w:rsidRPr="004D7270">
                              <w:rPr>
                                <w:sz w:val="22"/>
                                <w:lang w:val="ru-RU"/>
                              </w:rPr>
                              <w:t xml:space="preserve"> </w:t>
                            </w:r>
                            <w:r w:rsidRPr="004D7270">
                              <w:rPr>
                                <w:sz w:val="22"/>
                              </w:rPr>
                              <w:t>ф.№31 «Звіт про медичну допомогу ді</w:t>
                            </w:r>
                            <w:r>
                              <w:rPr>
                                <w:sz w:val="22"/>
                              </w:rPr>
                              <w:t>тям» –</w:t>
                            </w:r>
                            <w:r>
                              <w:rPr>
                                <w:sz w:val="22"/>
                                <w:lang w:val="en-US"/>
                              </w:rPr>
                              <w:t xml:space="preserve"> </w:t>
                            </w:r>
                            <w:r>
                              <w:rPr>
                                <w:sz w:val="22"/>
                              </w:rPr>
                              <w:t>за період 2013-2018 рр</w:t>
                            </w:r>
                            <w:r w:rsidRPr="004D7270">
                              <w:rPr>
                                <w:sz w:val="22"/>
                              </w:rPr>
                              <w:t>.</w:t>
                            </w:r>
                            <w:r>
                              <w:rPr>
                                <w:sz w:val="22"/>
                              </w:rPr>
                              <w:t xml:space="preserve"> всього 23 од.</w:t>
                            </w:r>
                            <w:r>
                              <w:rPr>
                                <w:bCs/>
                                <w:sz w:val="22"/>
                                <w:lang w:val="ru-RU"/>
                              </w:rPr>
                              <w:t xml:space="preserve"> </w:t>
                            </w:r>
                            <w:r w:rsidRPr="002B5BAC">
                              <w:rPr>
                                <w:sz w:val="22"/>
                              </w:rPr>
                              <w:t xml:space="preserve">База даних (WHO Global Health Observatory, World Bank Open Data, </w:t>
                            </w:r>
                            <w:r w:rsidRPr="002B5BAC">
                              <w:rPr>
                                <w:sz w:val="22"/>
                                <w:lang w:val="en-US"/>
                              </w:rPr>
                              <w:t xml:space="preserve">WHO </w:t>
                            </w:r>
                            <w:r w:rsidRPr="002B5BAC">
                              <w:rPr>
                                <w:sz w:val="22"/>
                              </w:rPr>
                              <w:t>European Health for All Database (HFA/DB), CDC Wonder (USA), The Institute for Health Metrics and Evaluation (IHME)</w:t>
                            </w:r>
                            <w:r w:rsidRPr="002B5BAC">
                              <w:rPr>
                                <w:sz w:val="22"/>
                                <w:lang w:val="en-US"/>
                              </w:rPr>
                              <w:t xml:space="preserve"> updated</w:t>
                            </w:r>
                            <w:r w:rsidRPr="002B5BAC">
                              <w:rPr>
                                <w:sz w:val="22"/>
                              </w:rPr>
                              <w:t xml:space="preserve">: </w:t>
                            </w:r>
                            <w:r w:rsidRPr="002B5BAC">
                              <w:rPr>
                                <w:sz w:val="22"/>
                                <w:lang w:val="en-US"/>
                              </w:rPr>
                              <w:t>September</w:t>
                            </w:r>
                            <w:r w:rsidRPr="002B5BAC">
                              <w:rPr>
                                <w:sz w:val="22"/>
                              </w:rPr>
                              <w:t>, 2020) за 20</w:t>
                            </w:r>
                            <w:r w:rsidRPr="002B5BAC">
                              <w:rPr>
                                <w:sz w:val="22"/>
                                <w:lang w:val="en-US"/>
                              </w:rPr>
                              <w:t>10</w:t>
                            </w:r>
                            <w:r w:rsidRPr="002B5BAC">
                              <w:rPr>
                                <w:sz w:val="22"/>
                              </w:rPr>
                              <w:t xml:space="preserve">-2019 рр. </w:t>
                            </w:r>
                          </w:p>
                          <w:p w:rsidR="001E1DF5" w:rsidRPr="002B5BAC" w:rsidRDefault="001E1DF5" w:rsidP="001204CA">
                            <w:pPr>
                              <w:rPr>
                                <w:color w:val="FF0000"/>
                                <w:sz w:val="22"/>
                                <w:lang w:val="en-US"/>
                              </w:rPr>
                            </w:pPr>
                          </w:p>
                          <w:p w:rsidR="001E1DF5" w:rsidRPr="007432AA" w:rsidRDefault="001E1DF5" w:rsidP="001204CA">
                            <w:pPr>
                              <w:rPr>
                                <w:color w:val="FF0000"/>
                                <w:lang w:val="en-US"/>
                              </w:rPr>
                            </w:pPr>
                          </w:p>
                        </w:txbxContent>
                      </wps:txbx>
                      <wps:bodyPr rot="0" vert="horz" wrap="square" lIns="18000" tIns="10800" rIns="18000" bIns="1080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06" o:spid="_x0000_s1068" style="position:absolute;left:0;text-align:left;margin-left:-5.15pt;margin-top:6.65pt;width:515.1pt;height:80.5pt;z-index:251942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">
                <v:textbox inset=".5mm,.3mm,.5mm,.3mm">
                  <w:txbxContent>
                    <w:p w:rsidR="0057431A" w:rsidRPr="002B5BAC" w:rsidRDefault="0057431A" w:rsidP="00CC171D">
                      <w:pPr>
                        <w:spacing w:line="240" w:lineRule="auto"/>
                        <w:rPr>
                          <w:bCs/>
                          <w:sz w:val="22"/>
                          <w:lang w:val="en-US"/>
                        </w:rPr>
                      </w:pPr>
                      <w:r>
                        <w:rPr>
                          <w:bCs/>
                          <w:sz w:val="22"/>
                        </w:rPr>
                        <w:t>Звітні форми</w:t>
                      </w:r>
                      <w:r w:rsidRPr="004D7270">
                        <w:rPr>
                          <w:bCs/>
                          <w:sz w:val="22"/>
                        </w:rPr>
                        <w:t xml:space="preserve"> ДЗ </w:t>
                      </w:r>
                      <w:r>
                        <w:rPr>
                          <w:bCs/>
                          <w:sz w:val="22"/>
                        </w:rPr>
                        <w:t xml:space="preserve">ЦМС </w:t>
                      </w:r>
                      <w:r w:rsidRPr="004D7270">
                        <w:rPr>
                          <w:bCs/>
                          <w:sz w:val="22"/>
                        </w:rPr>
                        <w:t>МОЗ України:</w:t>
                      </w:r>
                      <w:r w:rsidRPr="004D7270">
                        <w:rPr>
                          <w:bCs/>
                          <w:sz w:val="22"/>
                          <w:lang w:val="ru-RU"/>
                        </w:rPr>
                        <w:t xml:space="preserve"> ф.12</w:t>
                      </w:r>
                      <w:r w:rsidRPr="004D7270">
                        <w:rPr>
                          <w:sz w:val="22"/>
                        </w:rPr>
                        <w:t xml:space="preserve"> </w:t>
                      </w:r>
                      <w:r w:rsidRPr="004D7270">
                        <w:rPr>
                          <w:bCs/>
                          <w:sz w:val="22"/>
                          <w:lang w:val="ru-RU"/>
                        </w:rPr>
                        <w:t>« Звіт про кількість захворювань, зареєстрованих у хворих, які проживають в районі обслуговуван</w:t>
                      </w:r>
                      <w:r>
                        <w:rPr>
                          <w:bCs/>
                          <w:sz w:val="22"/>
                          <w:lang w:val="ru-RU"/>
                        </w:rPr>
                        <w:t>ня лікувального закладу»;</w:t>
                      </w:r>
                      <w:r>
                        <w:rPr>
                          <w:bCs/>
                          <w:sz w:val="22"/>
                          <w:lang w:val="en-US"/>
                        </w:rPr>
                        <w:t xml:space="preserve"> </w:t>
                      </w:r>
                      <w:r w:rsidRPr="004D7270">
                        <w:rPr>
                          <w:sz w:val="22"/>
                        </w:rPr>
                        <w:t>ф.№20 «Звіт лікувально-</w:t>
                      </w:r>
                      <w:r>
                        <w:rPr>
                          <w:sz w:val="22"/>
                        </w:rPr>
                        <w:t>профілактичного закладу»;</w:t>
                      </w:r>
                      <w:r w:rsidRPr="0043392D">
                        <w:rPr>
                          <w:color w:val="000000" w:themeColor="text1"/>
                        </w:rPr>
                        <w:t xml:space="preserve"> </w:t>
                      </w:r>
                      <w:r w:rsidRPr="0043392D">
                        <w:rPr>
                          <w:sz w:val="22"/>
                        </w:rPr>
                        <w:t>ф.</w:t>
                      </w:r>
                      <w:r>
                        <w:rPr>
                          <w:sz w:val="22"/>
                        </w:rPr>
                        <w:t xml:space="preserve"> </w:t>
                      </w:r>
                      <w:r w:rsidRPr="0043392D">
                        <w:rPr>
                          <w:sz w:val="22"/>
                        </w:rPr>
                        <w:t>№21«Звіт про медичну допомогу в</w:t>
                      </w:r>
                      <w:r>
                        <w:rPr>
                          <w:sz w:val="22"/>
                        </w:rPr>
                        <w:t>агітним, роділлям і породіллям»</w:t>
                      </w:r>
                      <w:r>
                        <w:rPr>
                          <w:sz w:val="22"/>
                          <w:lang w:val="ru-RU"/>
                        </w:rPr>
                        <w:t>;</w:t>
                      </w:r>
                      <w:r w:rsidRPr="004D7270">
                        <w:rPr>
                          <w:sz w:val="22"/>
                          <w:lang w:val="ru-RU"/>
                        </w:rPr>
                        <w:t xml:space="preserve"> </w:t>
                      </w:r>
                      <w:r w:rsidRPr="004D7270">
                        <w:rPr>
                          <w:sz w:val="22"/>
                        </w:rPr>
                        <w:t>ф.№31 «Звіт про медичну допомогу ді</w:t>
                      </w:r>
                      <w:r>
                        <w:rPr>
                          <w:sz w:val="22"/>
                        </w:rPr>
                        <w:t>тям» –</w:t>
                      </w:r>
                      <w:r>
                        <w:rPr>
                          <w:sz w:val="22"/>
                          <w:lang w:val="en-US"/>
                        </w:rPr>
                        <w:t xml:space="preserve"> </w:t>
                      </w:r>
                      <w:r>
                        <w:rPr>
                          <w:sz w:val="22"/>
                        </w:rPr>
                        <w:t>за період 2013-2018 рр</w:t>
                      </w:r>
                      <w:r w:rsidRPr="004D7270">
                        <w:rPr>
                          <w:sz w:val="22"/>
                        </w:rPr>
                        <w:t>.</w:t>
                      </w:r>
                      <w:r>
                        <w:rPr>
                          <w:sz w:val="22"/>
                        </w:rPr>
                        <w:t xml:space="preserve"> всього 23 од.</w:t>
                      </w:r>
                      <w:r>
                        <w:rPr>
                          <w:bCs/>
                          <w:sz w:val="22"/>
                          <w:lang w:val="ru-RU"/>
                        </w:rPr>
                        <w:t xml:space="preserve"> </w:t>
                      </w:r>
                      <w:r w:rsidRPr="002B5BAC">
                        <w:rPr>
                          <w:sz w:val="22"/>
                        </w:rPr>
                        <w:t xml:space="preserve">База даних (WHO Global Health Observatory, World Bank Open Data, </w:t>
                      </w:r>
                      <w:r w:rsidRPr="002B5BAC">
                        <w:rPr>
                          <w:sz w:val="22"/>
                          <w:lang w:val="en-US"/>
                        </w:rPr>
                        <w:t xml:space="preserve">WHO </w:t>
                      </w:r>
                      <w:r w:rsidRPr="002B5BAC">
                        <w:rPr>
                          <w:sz w:val="22"/>
                        </w:rPr>
                        <w:t>European Health for All Database (HFA/DB), CDC Wonder (USA), The Institute for Health Metrics and Evaluation (IHME)</w:t>
                      </w:r>
                      <w:r w:rsidRPr="002B5BAC">
                        <w:rPr>
                          <w:sz w:val="22"/>
                          <w:lang w:val="en-US"/>
                        </w:rPr>
                        <w:t xml:space="preserve"> updated</w:t>
                      </w:r>
                      <w:r w:rsidRPr="002B5BAC">
                        <w:rPr>
                          <w:sz w:val="22"/>
                        </w:rPr>
                        <w:t xml:space="preserve">: </w:t>
                      </w:r>
                      <w:r w:rsidRPr="002B5BAC">
                        <w:rPr>
                          <w:sz w:val="22"/>
                          <w:lang w:val="en-US"/>
                        </w:rPr>
                        <w:t>September</w:t>
                      </w:r>
                      <w:r w:rsidRPr="002B5BAC">
                        <w:rPr>
                          <w:sz w:val="22"/>
                        </w:rPr>
                        <w:t>, 2020) за 20</w:t>
                      </w:r>
                      <w:r w:rsidRPr="002B5BAC">
                        <w:rPr>
                          <w:sz w:val="22"/>
                          <w:lang w:val="en-US"/>
                        </w:rPr>
                        <w:t>10</w:t>
                      </w:r>
                      <w:r w:rsidRPr="002B5BAC">
                        <w:rPr>
                          <w:sz w:val="22"/>
                        </w:rPr>
                        <w:t xml:space="preserve">-2019 рр. </w:t>
                      </w:r>
                    </w:p>
                    <w:p w:rsidR="0057431A" w:rsidRPr="002B5BAC" w:rsidRDefault="0057431A" w:rsidP="001204CA">
                      <w:pPr>
                        <w:rPr>
                          <w:color w:val="FF0000"/>
                          <w:sz w:val="22"/>
                          <w:lang w:val="en-US"/>
                        </w:rPr>
                      </w:pPr>
                    </w:p>
                    <w:p w:rsidR="0057431A" w:rsidRPr="007432AA" w:rsidRDefault="0057431A" w:rsidP="001204CA">
                      <w:pPr>
                        <w:rPr>
                          <w:color w:val="FF0000"/>
                          <w:lang w:val="en-US"/>
                        </w:rPr>
                      </w:pPr>
                    </w:p>
                  </w:txbxContent>
                </v:textbox>
              </v:rect>
            </w:pict>
          </mc:Fallback>
        </mc:AlternateContent>
      </w:r>
    </w:p>
    <w:p w:rsidR="001204CA" w:rsidRPr="001204CA" w:rsidRDefault="001204CA" w:rsidP="001204CA">
      <w:pPr>
        <w:autoSpaceDE w:val="0"/>
        <w:autoSpaceDN w:val="0"/>
        <w:adjustRightInd w:val="0"/>
        <w:spacing w:line="240" w:lineRule="auto"/>
        <w:rPr>
          <w:rFonts w:eastAsia="Times New Roman"/>
          <w:szCs w:val="28"/>
          <w:lang w:eastAsia="uk-UA"/>
        </w:rPr>
      </w:pPr>
      <w:r w:rsidRPr="001204CA">
        <w:rPr>
          <w:rFonts w:eastAsia="Times New Roman"/>
          <w:noProof/>
          <w:szCs w:val="28"/>
          <w:lang w:val="ru-RU" w:eastAsia="ru-RU"/>
        </w:rPr>
        <mc:AlternateContent>
          <mc:Choice Requires="wps">
            <w:drawing>
              <wp:anchor distT="0" distB="0" distL="114300" distR="114300" simplePos="0" relativeHeight="251936768" behindDoc="0" locked="0" layoutInCell="1" allowOverlap="1" wp14:anchorId="1C77548B" wp14:editId="28F31929">
                <wp:simplePos x="0" y="0"/>
                <wp:positionH relativeFrom="column">
                  <wp:posOffset>1494155</wp:posOffset>
                </wp:positionH>
                <wp:positionV relativeFrom="paragraph">
                  <wp:posOffset>6059170</wp:posOffset>
                </wp:positionV>
                <wp:extent cx="5736590" cy="387350"/>
                <wp:effectExtent l="21590" t="19685" r="42545" b="40640"/>
                <wp:wrapNone/>
                <wp:docPr id="107" name="Скругленный прямоугольник 10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36590" cy="387350"/>
                        </a:xfrm>
                        <a:prstGeom prst="roundRect">
                          <a:avLst>
                            <a:gd name="adj" fmla="val 16667"/>
                          </a:avLst>
                        </a:prstGeom>
                        <a:gradFill rotWithShape="1">
                          <a:gsLst>
                            <a:gs pos="0">
                              <a:srgbClr val="C0C0C0"/>
                            </a:gs>
                            <a:gs pos="50000">
                              <a:srgbClr val="FFFFFF"/>
                            </a:gs>
                            <a:gs pos="100000">
                              <a:srgbClr val="C0C0C0"/>
                            </a:gs>
                          </a:gsLst>
                          <a:lin ang="5400000" scaled="1"/>
                        </a:gradFill>
                        <a:ln w="25400">
                          <a:solidFill>
                            <a:srgbClr val="000000"/>
                          </a:solidFill>
                          <a:round/>
                          <a:headEnd/>
                          <a:tailEnd/>
                        </a:ln>
                        <a:effectLst>
                          <a:outerShdw dist="35921" dir="2700000" algn="ctr" rotWithShape="0">
                            <a:srgbClr val="808080"/>
                          </a:outerShdw>
                        </a:effectLst>
                      </wps:spPr>
                      <wps:txbx>
                        <w:txbxContent>
                          <w:p w:rsidR="001E1DF5" w:rsidRDefault="001E1DF5" w:rsidP="001204CA">
                            <w:pPr>
                              <w:jc w:val="center"/>
                              <w:rPr>
                                <w:b/>
                              </w:rPr>
                            </w:pPr>
                            <w:r>
                              <w:rPr>
                                <w:b/>
                              </w:rPr>
                              <w:t xml:space="preserve">Обґрунтування, розробка та впровадження </w:t>
                            </w:r>
                          </w:p>
                          <w:p w:rsidR="001E1DF5" w:rsidRPr="00105884" w:rsidRDefault="001E1DF5" w:rsidP="001204CA">
                            <w:pPr>
                              <w:jc w:val="center"/>
                              <w:rPr>
                                <w:b/>
                              </w:rPr>
                            </w:pPr>
                            <w:r>
                              <w:rPr>
                                <w:b/>
                              </w:rPr>
                              <w:t xml:space="preserve">інтегрованої системи організації перинатальної допомоги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107" o:spid="_x0000_s1069" style="position:absolute;left:0;text-align:left;margin-left:117.65pt;margin-top:477.1pt;width:451.7pt;height:30.5pt;z-index:251936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" fillcolor="silver" strokeweight="2pt">
                <v:fill rotate="t" focus="50%" type="gradient"/>
                <v:shadow on="t"/>
                <v:textbox inset="0,0,0,0">
                  <w:txbxContent>
                    <w:p w:rsidR="0057431A" w:rsidRDefault="0057431A" w:rsidP="001204CA">
                      <w:pPr>
                        <w:jc w:val="center"/>
                        <w:rPr>
                          <w:b/>
                        </w:rPr>
                      </w:pPr>
                      <w:r>
                        <w:rPr>
                          <w:b/>
                        </w:rPr>
                        <w:t xml:space="preserve">Обґрунтування, розробка та впровадження </w:t>
                      </w:r>
                    </w:p>
                    <w:p w:rsidR="0057431A" w:rsidRPr="00105884" w:rsidRDefault="0057431A" w:rsidP="001204CA">
                      <w:pPr>
                        <w:jc w:val="center"/>
                        <w:rPr>
                          <w:b/>
                        </w:rPr>
                      </w:pPr>
                      <w:r>
                        <w:rPr>
                          <w:b/>
                        </w:rPr>
                        <w:t xml:space="preserve">інтегрованої системи організації перинатальної допомоги </w:t>
                      </w:r>
                    </w:p>
                  </w:txbxContent>
                </v:textbox>
              </v:roundrect>
            </w:pict>
          </mc:Fallback>
        </mc:AlternateContent>
      </w:r>
      <w:r w:rsidRPr="001204CA">
        <w:rPr>
          <w:rFonts w:eastAsia="Times New Roman"/>
          <w:noProof/>
          <w:szCs w:val="28"/>
          <w:lang w:val="ru-RU" w:eastAsia="ru-RU"/>
        </w:rPr>
        <mc:AlternateContent>
          <mc:Choice Requires="wps">
            <w:drawing>
              <wp:anchor distT="0" distB="0" distL="114300" distR="114300" simplePos="0" relativeHeight="251935744" behindDoc="0" locked="0" layoutInCell="1" allowOverlap="1" wp14:anchorId="11190A5F" wp14:editId="08AF9523">
                <wp:simplePos x="0" y="0"/>
                <wp:positionH relativeFrom="column">
                  <wp:posOffset>1494155</wp:posOffset>
                </wp:positionH>
                <wp:positionV relativeFrom="paragraph">
                  <wp:posOffset>6059170</wp:posOffset>
                </wp:positionV>
                <wp:extent cx="5736590" cy="387350"/>
                <wp:effectExtent l="21590" t="19685" r="42545" b="40640"/>
                <wp:wrapNone/>
                <wp:docPr id="108" name="Скругленный прямоугольник 10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36590" cy="387350"/>
                        </a:xfrm>
                        <a:prstGeom prst="roundRect">
                          <a:avLst>
                            <a:gd name="adj" fmla="val 16667"/>
                          </a:avLst>
                        </a:prstGeom>
                        <a:gradFill rotWithShape="1">
                          <a:gsLst>
                            <a:gs pos="0">
                              <a:srgbClr val="C0C0C0"/>
                            </a:gs>
                            <a:gs pos="50000">
                              <a:srgbClr val="FFFFFF"/>
                            </a:gs>
                            <a:gs pos="100000">
                              <a:srgbClr val="C0C0C0"/>
                            </a:gs>
                          </a:gsLst>
                          <a:lin ang="5400000" scaled="1"/>
                        </a:gradFill>
                        <a:ln w="25400">
                          <a:solidFill>
                            <a:srgbClr val="000000"/>
                          </a:solidFill>
                          <a:round/>
                          <a:headEnd/>
                          <a:tailEnd/>
                        </a:ln>
                        <a:effectLst>
                          <a:outerShdw dist="35921" dir="2700000" algn="ctr" rotWithShape="0">
                            <a:srgbClr val="808080"/>
                          </a:outerShdw>
                        </a:effectLst>
                      </wps:spPr>
                      <wps:txbx>
                        <w:txbxContent>
                          <w:p w:rsidR="001E1DF5" w:rsidRDefault="001E1DF5" w:rsidP="001204CA">
                            <w:pPr>
                              <w:jc w:val="center"/>
                              <w:rPr>
                                <w:b/>
                              </w:rPr>
                            </w:pPr>
                            <w:r>
                              <w:rPr>
                                <w:b/>
                              </w:rPr>
                              <w:t xml:space="preserve">Обґрунтування, розробка та впровадження </w:t>
                            </w:r>
                          </w:p>
                          <w:p w:rsidR="001E1DF5" w:rsidRPr="00105884" w:rsidRDefault="001E1DF5" w:rsidP="001204CA">
                            <w:pPr>
                              <w:jc w:val="center"/>
                              <w:rPr>
                                <w:b/>
                              </w:rPr>
                            </w:pPr>
                            <w:r>
                              <w:rPr>
                                <w:b/>
                              </w:rPr>
                              <w:t xml:space="preserve">інтегрованої системи організації перинатальної допомоги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108" o:spid="_x0000_s1070" style="position:absolute;left:0;text-align:left;margin-left:117.65pt;margin-top:477.1pt;width:451.7pt;height:30.5pt;z-index:251935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" fillcolor="silver" strokeweight="2pt">
                <v:fill rotate="t" focus="50%" type="gradient"/>
                <v:shadow on="t"/>
                <v:textbox inset="0,0,0,0">
                  <w:txbxContent>
                    <w:p w:rsidR="0057431A" w:rsidRDefault="0057431A" w:rsidP="001204CA">
                      <w:pPr>
                        <w:jc w:val="center"/>
                        <w:rPr>
                          <w:b/>
                        </w:rPr>
                      </w:pPr>
                      <w:r>
                        <w:rPr>
                          <w:b/>
                        </w:rPr>
                        <w:t xml:space="preserve">Обґрунтування, розробка та впровадження </w:t>
                      </w:r>
                    </w:p>
                    <w:p w:rsidR="0057431A" w:rsidRPr="00105884" w:rsidRDefault="0057431A" w:rsidP="001204CA">
                      <w:pPr>
                        <w:jc w:val="center"/>
                        <w:rPr>
                          <w:b/>
                        </w:rPr>
                      </w:pPr>
                      <w:r>
                        <w:rPr>
                          <w:b/>
                        </w:rPr>
                        <w:t xml:space="preserve">інтегрованої системи організації перинатальної допомоги </w:t>
                      </w:r>
                    </w:p>
                  </w:txbxContent>
                </v:textbox>
              </v:roundrect>
            </w:pict>
          </mc:Fallback>
        </mc:AlternateContent>
      </w:r>
    </w:p>
    <w:p w:rsidR="001204CA" w:rsidRPr="001204CA" w:rsidRDefault="001204CA" w:rsidP="001204CA">
      <w:pPr>
        <w:autoSpaceDE w:val="0"/>
        <w:autoSpaceDN w:val="0"/>
        <w:adjustRightInd w:val="0"/>
        <w:spacing w:line="240" w:lineRule="auto"/>
        <w:rPr>
          <w:rFonts w:eastAsia="Times New Roman"/>
          <w:szCs w:val="28"/>
          <w:lang w:eastAsia="uk-UA"/>
        </w:rPr>
      </w:pPr>
    </w:p>
    <w:p w:rsidR="001204CA" w:rsidRPr="001204CA" w:rsidRDefault="001204CA" w:rsidP="001204CA">
      <w:pPr>
        <w:autoSpaceDE w:val="0"/>
        <w:autoSpaceDN w:val="0"/>
        <w:adjustRightInd w:val="0"/>
        <w:spacing w:line="240" w:lineRule="auto"/>
        <w:rPr>
          <w:rFonts w:eastAsia="Times New Roman"/>
          <w:szCs w:val="28"/>
          <w:lang w:eastAsia="uk-UA"/>
        </w:rPr>
      </w:pPr>
    </w:p>
    <w:p w:rsidR="001204CA" w:rsidRPr="001204CA" w:rsidRDefault="001204CA" w:rsidP="001204CA">
      <w:pPr>
        <w:autoSpaceDE w:val="0"/>
        <w:autoSpaceDN w:val="0"/>
        <w:adjustRightInd w:val="0"/>
        <w:spacing w:line="240" w:lineRule="auto"/>
        <w:rPr>
          <w:rFonts w:eastAsia="Times New Roman"/>
          <w:szCs w:val="28"/>
          <w:lang w:eastAsia="uk-UA"/>
        </w:rPr>
      </w:pPr>
    </w:p>
    <w:p w:rsidR="001204CA" w:rsidRPr="001204CA" w:rsidRDefault="001204CA" w:rsidP="001204CA">
      <w:pPr>
        <w:autoSpaceDE w:val="0"/>
        <w:autoSpaceDN w:val="0"/>
        <w:adjustRightInd w:val="0"/>
        <w:spacing w:line="240" w:lineRule="auto"/>
        <w:rPr>
          <w:rFonts w:eastAsia="Times New Roman"/>
          <w:sz w:val="22"/>
          <w:lang w:eastAsia="uk-UA"/>
        </w:rPr>
      </w:pPr>
      <w:r w:rsidRPr="001204CA">
        <w:rPr>
          <w:rFonts w:eastAsia="Times New Roman"/>
          <w:noProof/>
          <w:szCs w:val="28"/>
          <w:lang w:val="ru-RU" w:eastAsia="ru-RU"/>
        </w:rPr>
        <mc:AlternateContent>
          <mc:Choice Requires="wps">
            <w:drawing>
              <wp:anchor distT="0" distB="0" distL="114300" distR="114300" simplePos="0" relativeHeight="251920384" behindDoc="0" locked="0" layoutInCell="1" allowOverlap="1" wp14:anchorId="52F92326" wp14:editId="3AC654ED">
                <wp:simplePos x="0" y="0"/>
                <wp:positionH relativeFrom="column">
                  <wp:posOffset>-78740</wp:posOffset>
                </wp:positionH>
                <wp:positionV relativeFrom="paragraph">
                  <wp:posOffset>116205</wp:posOffset>
                </wp:positionV>
                <wp:extent cx="800100" cy="355600"/>
                <wp:effectExtent l="0" t="0" r="57150" b="63500"/>
                <wp:wrapNone/>
                <wp:docPr id="50" name="Прямоугольник 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00100" cy="355600"/>
                        </a:xfrm>
                        <a:prstGeom prst="rect">
                          <a:avLst/>
                        </a:prstGeom>
                        <a:gradFill rotWithShape="1">
                          <a:gsLst>
                            <a:gs pos="0">
                              <a:srgbClr val="C0C0C0"/>
                            </a:gs>
                            <a:gs pos="50000">
                              <a:srgbClr val="FBFBFB"/>
                            </a:gs>
                            <a:gs pos="100000">
                              <a:srgbClr val="C0C0C0"/>
                            </a:gs>
                          </a:gsLst>
                          <a:lin ang="5400000" scaled="1"/>
                        </a:gradFill>
                        <a:ln w="25400">
                          <a:solidFill>
                            <a:srgbClr val="000000"/>
                          </a:solidFill>
                          <a:miter lim="800000"/>
                          <a:headEnd/>
                          <a:tailEnd/>
                        </a:ln>
                        <a:effectLst>
                          <a:outerShdw dist="53882" dir="2700000" algn="ctr" rotWithShape="0">
                            <a:srgbClr val="808080"/>
                          </a:outerShdw>
                        </a:effectLst>
                      </wps:spPr>
                      <wps:txbx>
                        <w:txbxContent>
                          <w:p w:rsidR="001E1DF5" w:rsidRPr="002B7096" w:rsidRDefault="001E1DF5" w:rsidP="001204CA">
                            <w:pPr>
                              <w:spacing w:before="120"/>
                              <w:jc w:val="center"/>
                              <w:rPr>
                                <w:b/>
                                <w:szCs w:val="28"/>
                              </w:rPr>
                            </w:pPr>
                            <w:r>
                              <w:rPr>
                                <w:b/>
                                <w:szCs w:val="28"/>
                                <w:lang w:val="en-US"/>
                              </w:rPr>
                              <w:t>V</w:t>
                            </w:r>
                            <w:r w:rsidRPr="002B7096">
                              <w:rPr>
                                <w:b/>
                                <w:szCs w:val="28"/>
                              </w:rPr>
                              <w:t xml:space="preserve"> етап</w:t>
                            </w:r>
                          </w:p>
                        </w:txbxContent>
                      </wps:txbx>
                      <wps:bodyPr rot="0" vert="horz" wrap="square" lIns="18000" tIns="10800" rIns="18000" bIns="1080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50" o:spid="_x0000_s1071" style="position:absolute;left:0;text-align:left;margin-left:-6.2pt;margin-top:9.15pt;width:63pt;height:28pt;z-index:251920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" fillcolor="silver" strokeweight="2pt">
                <v:fill color2="#fbfbfb" rotate="t" focus="50%" type="gradient"/>
                <v:shadow on="t" offset="3pt,3pt"/>
                <v:textbox inset=".5mm,.3mm,.5mm,.3mm">
                  <w:txbxContent>
                    <w:p w:rsidR="0057431A" w:rsidRPr="002B7096" w:rsidRDefault="0057431A" w:rsidP="001204CA">
                      <w:pPr>
                        <w:spacing w:before="120"/>
                        <w:jc w:val="center"/>
                        <w:rPr>
                          <w:b/>
                          <w:szCs w:val="28"/>
                        </w:rPr>
                      </w:pPr>
                      <w:r>
                        <w:rPr>
                          <w:b/>
                          <w:szCs w:val="28"/>
                          <w:lang w:val="en-US"/>
                        </w:rPr>
                        <w:t>V</w:t>
                      </w:r>
                      <w:r w:rsidRPr="002B7096">
                        <w:rPr>
                          <w:b/>
                          <w:szCs w:val="28"/>
                        </w:rPr>
                        <w:t xml:space="preserve"> етап</w:t>
                      </w:r>
                    </w:p>
                  </w:txbxContent>
                </v:textbox>
              </v:rect>
            </w:pict>
          </mc:Fallback>
        </mc:AlternateContent>
      </w:r>
      <w:r w:rsidRPr="001204CA">
        <w:rPr>
          <w:rFonts w:eastAsia="Times New Roman"/>
          <w:noProof/>
          <w:szCs w:val="28"/>
          <w:lang w:val="ru-RU" w:eastAsia="ru-RU"/>
        </w:rPr>
        <mc:AlternateContent>
          <mc:Choice Requires="wps">
            <w:drawing>
              <wp:anchor distT="0" distB="0" distL="114300" distR="114300" simplePos="0" relativeHeight="251939840" behindDoc="0" locked="0" layoutInCell="1" allowOverlap="1" wp14:anchorId="65B4E60E" wp14:editId="67EA9EBF">
                <wp:simplePos x="0" y="0"/>
                <wp:positionH relativeFrom="column">
                  <wp:posOffset>784860</wp:posOffset>
                </wp:positionH>
                <wp:positionV relativeFrom="paragraph">
                  <wp:posOffset>116205</wp:posOffset>
                </wp:positionV>
                <wp:extent cx="5706110" cy="355600"/>
                <wp:effectExtent l="0" t="0" r="66040" b="63500"/>
                <wp:wrapNone/>
                <wp:docPr id="51" name="Скругленный прямоугольник 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06110" cy="355600"/>
                        </a:xfrm>
                        <a:prstGeom prst="roundRect">
                          <a:avLst>
                            <a:gd name="adj" fmla="val 16667"/>
                          </a:avLst>
                        </a:prstGeom>
                        <a:gradFill rotWithShape="1">
                          <a:gsLst>
                            <a:gs pos="0">
                              <a:srgbClr val="C0C0C0"/>
                            </a:gs>
                            <a:gs pos="50000">
                              <a:srgbClr val="FFFFFF"/>
                            </a:gs>
                            <a:gs pos="100000">
                              <a:srgbClr val="C0C0C0"/>
                            </a:gs>
                          </a:gsLst>
                          <a:lin ang="5400000" scaled="1"/>
                        </a:gradFill>
                        <a:ln w="25400">
                          <a:solidFill>
                            <a:srgbClr val="000000"/>
                          </a:solidFill>
                          <a:round/>
                          <a:headEnd/>
                          <a:tailEnd/>
                        </a:ln>
                        <a:effectLst>
                          <a:outerShdw dist="35921" dir="2700000" algn="ctr" rotWithShape="0">
                            <a:srgbClr val="808080"/>
                          </a:outerShdw>
                        </a:effectLst>
                      </wps:spPr>
                      <wps:txbx>
                        <w:txbxContent>
                          <w:p w:rsidR="001E1DF5" w:rsidRPr="00AF76AF" w:rsidRDefault="001E1DF5" w:rsidP="001204CA">
                            <w:pPr>
                              <w:spacing w:line="200" w:lineRule="exact"/>
                              <w:jc w:val="center"/>
                              <w:rPr>
                                <w:b/>
                                <w:sz w:val="22"/>
                                <w:lang w:val="ru-RU"/>
                              </w:rPr>
                            </w:pPr>
                            <w:r w:rsidRPr="001C4EDC">
                              <w:rPr>
                                <w:b/>
                                <w:sz w:val="22"/>
                              </w:rPr>
                              <w:t xml:space="preserve">Вивчення </w:t>
                            </w:r>
                            <w:r w:rsidRPr="009A141C">
                              <w:rPr>
                                <w:b/>
                                <w:bCs/>
                                <w:sz w:val="22"/>
                              </w:rPr>
                              <w:t>стану організації надання медично</w:t>
                            </w:r>
                            <w:r>
                              <w:rPr>
                                <w:b/>
                                <w:bCs/>
                                <w:sz w:val="22"/>
                              </w:rPr>
                              <w:t>ї допомоги дітям</w:t>
                            </w:r>
                            <w:r w:rsidRPr="002167AE">
                              <w:rPr>
                                <w:b/>
                                <w:bCs/>
                                <w:sz w:val="22"/>
                              </w:rPr>
                              <w:t xml:space="preserve"> віком до 5 років</w:t>
                            </w:r>
                            <w:r>
                              <w:rPr>
                                <w:b/>
                                <w:bCs/>
                                <w:sz w:val="22"/>
                              </w:rPr>
                              <w:t xml:space="preserve"> життя та зв’язків основних її компонентів зі смертністю</w:t>
                            </w:r>
                            <w:r w:rsidRPr="009A141C">
                              <w:rPr>
                                <w:b/>
                                <w:bCs/>
                                <w:sz w:val="22"/>
                              </w:rPr>
                              <w:t xml:space="preserve">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51" o:spid="_x0000_s1072" style="position:absolute;left:0;text-align:left;margin-left:61.8pt;margin-top:9.15pt;width:449.3pt;height:28pt;z-index:251939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" fillcolor="silver" strokeweight="2pt">
                <v:fill rotate="t" focus="50%" type="gradient"/>
                <v:shadow on="t"/>
                <v:textbox inset="0,0,0,0">
                  <w:txbxContent>
                    <w:p w:rsidR="0057431A" w:rsidRPr="00AF76AF" w:rsidRDefault="0057431A" w:rsidP="001204CA">
                      <w:pPr>
                        <w:spacing w:line="200" w:lineRule="exact"/>
                        <w:jc w:val="center"/>
                        <w:rPr>
                          <w:b/>
                          <w:sz w:val="22"/>
                          <w:lang w:val="ru-RU"/>
                        </w:rPr>
                      </w:pPr>
                      <w:r w:rsidRPr="001C4EDC">
                        <w:rPr>
                          <w:b/>
                          <w:sz w:val="22"/>
                        </w:rPr>
                        <w:t xml:space="preserve">Вивчення </w:t>
                      </w:r>
                      <w:r w:rsidRPr="009A141C">
                        <w:rPr>
                          <w:b/>
                          <w:bCs/>
                          <w:sz w:val="22"/>
                        </w:rPr>
                        <w:t>стану організації надання медично</w:t>
                      </w:r>
                      <w:r>
                        <w:rPr>
                          <w:b/>
                          <w:bCs/>
                          <w:sz w:val="22"/>
                        </w:rPr>
                        <w:t>ї допомоги дітям</w:t>
                      </w:r>
                      <w:r w:rsidRPr="002167AE">
                        <w:rPr>
                          <w:b/>
                          <w:bCs/>
                          <w:sz w:val="22"/>
                        </w:rPr>
                        <w:t xml:space="preserve"> віком до 5 років</w:t>
                      </w:r>
                      <w:r>
                        <w:rPr>
                          <w:b/>
                          <w:bCs/>
                          <w:sz w:val="22"/>
                        </w:rPr>
                        <w:t xml:space="preserve"> життя та зв’язків основних її компонентів зі смертністю</w:t>
                      </w:r>
                      <w:r w:rsidRPr="009A141C">
                        <w:rPr>
                          <w:b/>
                          <w:bCs/>
                          <w:sz w:val="22"/>
                        </w:rPr>
                        <w:t xml:space="preserve"> </w:t>
                      </w:r>
                    </w:p>
                  </w:txbxContent>
                </v:textbox>
              </v:roundrect>
            </w:pict>
          </mc:Fallback>
        </mc:AlternateContent>
      </w:r>
    </w:p>
    <w:p w:rsidR="001204CA" w:rsidRPr="001204CA" w:rsidRDefault="001204CA" w:rsidP="001204CA">
      <w:pPr>
        <w:autoSpaceDE w:val="0"/>
        <w:autoSpaceDN w:val="0"/>
        <w:adjustRightInd w:val="0"/>
        <w:spacing w:line="240" w:lineRule="auto"/>
        <w:rPr>
          <w:rFonts w:eastAsia="Times New Roman"/>
          <w:sz w:val="22"/>
          <w:lang w:eastAsia="uk-UA"/>
        </w:rPr>
      </w:pPr>
    </w:p>
    <w:p w:rsidR="001204CA" w:rsidRPr="001204CA" w:rsidRDefault="001204CA" w:rsidP="001204CA">
      <w:pPr>
        <w:autoSpaceDE w:val="0"/>
        <w:autoSpaceDN w:val="0"/>
        <w:adjustRightInd w:val="0"/>
        <w:spacing w:line="240" w:lineRule="auto"/>
        <w:rPr>
          <w:rFonts w:eastAsia="Times New Roman"/>
          <w:sz w:val="22"/>
          <w:lang w:eastAsia="uk-UA"/>
        </w:rPr>
      </w:pPr>
    </w:p>
    <w:p w:rsidR="001204CA" w:rsidRPr="001204CA" w:rsidRDefault="001204CA" w:rsidP="001204CA">
      <w:pPr>
        <w:autoSpaceDE w:val="0"/>
        <w:autoSpaceDN w:val="0"/>
        <w:adjustRightInd w:val="0"/>
        <w:spacing w:line="240" w:lineRule="auto"/>
        <w:rPr>
          <w:rFonts w:eastAsia="Times New Roman"/>
          <w:szCs w:val="28"/>
          <w:lang w:eastAsia="uk-UA"/>
        </w:rPr>
      </w:pPr>
      <w:r w:rsidRPr="001204CA">
        <w:rPr>
          <w:rFonts w:eastAsia="Times New Roman"/>
          <w:noProof/>
          <w:szCs w:val="28"/>
          <w:lang w:val="ru-RU" w:eastAsia="ru-RU"/>
        </w:rPr>
        <mc:AlternateContent>
          <mc:Choice Requires="wps">
            <w:drawing>
              <wp:anchor distT="0" distB="0" distL="114300" distR="114300" simplePos="0" relativeHeight="251943936" behindDoc="0" locked="0" layoutInCell="1" allowOverlap="1" wp14:anchorId="2ED8E24D" wp14:editId="516E6070">
                <wp:simplePos x="0" y="0"/>
                <wp:positionH relativeFrom="column">
                  <wp:posOffset>-101600</wp:posOffset>
                </wp:positionH>
                <wp:positionV relativeFrom="paragraph">
                  <wp:posOffset>46355</wp:posOffset>
                </wp:positionV>
                <wp:extent cx="3277235" cy="396240"/>
                <wp:effectExtent l="0" t="0" r="18415" b="22860"/>
                <wp:wrapNone/>
                <wp:docPr id="109" name="Скругленный прямоугольник 10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77235" cy="396240"/>
                        </a:xfrm>
                        <a:prstGeom prst="roundRect">
                          <a:avLst>
                            <a:gd name="adj" fmla="val 16667"/>
                          </a:avLst>
                        </a:prstGeom>
                        <a:solidFill>
                          <a:srgbClr val="FFFFFF"/>
                        </a:solidFill>
                        <a:ln w="9525">
                          <a:solidFill>
                            <a:srgbClr val="000000"/>
                          </a:solidFill>
                          <a:round/>
                          <a:headEnd/>
                          <a:tailEnd/>
                        </a:ln>
                      </wps:spPr>
                      <wps:txbx>
                        <w:txbxContent>
                          <w:p w:rsidR="001E1DF5" w:rsidRPr="005B7471" w:rsidRDefault="001E1DF5" w:rsidP="001204CA">
                            <w:pPr>
                              <w:spacing w:line="180" w:lineRule="exact"/>
                              <w:jc w:val="center"/>
                              <w:rPr>
                                <w:sz w:val="22"/>
                              </w:rPr>
                            </w:pPr>
                            <w:r w:rsidRPr="007727E3">
                              <w:rPr>
                                <w:sz w:val="22"/>
                              </w:rPr>
                              <w:t xml:space="preserve">Аналіз </w:t>
                            </w:r>
                            <w:r w:rsidRPr="00751393">
                              <w:rPr>
                                <w:bCs/>
                                <w:sz w:val="22"/>
                              </w:rPr>
                              <w:t xml:space="preserve">інфраструктурного забезпечення </w:t>
                            </w:r>
                            <w:r w:rsidRPr="005B7471">
                              <w:rPr>
                                <w:bCs/>
                                <w:sz w:val="22"/>
                              </w:rPr>
                              <w:t xml:space="preserve">педіатричних закладів ОЗ та вивчення його зв’язків з летальністю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109" o:spid="_x0000_s1073" style="position:absolute;left:0;text-align:left;margin-left:-8pt;margin-top:3.65pt;width:258.05pt;height:31.2pt;z-index:251943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">
                <v:textbox inset="0,0,0,0">
                  <w:txbxContent>
                    <w:p w:rsidR="0057431A" w:rsidRPr="005B7471" w:rsidRDefault="0057431A" w:rsidP="001204CA">
                      <w:pPr>
                        <w:spacing w:line="180" w:lineRule="exact"/>
                        <w:jc w:val="center"/>
                        <w:rPr>
                          <w:sz w:val="22"/>
                        </w:rPr>
                      </w:pPr>
                      <w:r w:rsidRPr="007727E3">
                        <w:rPr>
                          <w:sz w:val="22"/>
                        </w:rPr>
                        <w:t xml:space="preserve">Аналіз </w:t>
                      </w:r>
                      <w:r w:rsidRPr="00751393">
                        <w:rPr>
                          <w:bCs/>
                          <w:sz w:val="22"/>
                        </w:rPr>
                        <w:t xml:space="preserve">інфраструктурного забезпечення </w:t>
                      </w:r>
                      <w:r w:rsidRPr="005B7471">
                        <w:rPr>
                          <w:bCs/>
                          <w:sz w:val="22"/>
                        </w:rPr>
                        <w:t xml:space="preserve">педіатричних закладів ОЗ та вивчення його зв’язків з летальністю </w:t>
                      </w:r>
                    </w:p>
                  </w:txbxContent>
                </v:textbox>
              </v:roundrect>
            </w:pict>
          </mc:Fallback>
        </mc:AlternateContent>
      </w:r>
      <w:r w:rsidRPr="001204CA">
        <w:rPr>
          <w:rFonts w:eastAsia="Times New Roman"/>
          <w:noProof/>
          <w:szCs w:val="28"/>
          <w:lang w:val="ru-RU" w:eastAsia="ru-RU"/>
        </w:rPr>
        <mc:AlternateContent>
          <mc:Choice Requires="wps">
            <w:drawing>
              <wp:anchor distT="0" distB="0" distL="114300" distR="114300" simplePos="0" relativeHeight="251944960" behindDoc="0" locked="0" layoutInCell="1" allowOverlap="1" wp14:anchorId="127698EF" wp14:editId="6AD5C00B">
                <wp:simplePos x="0" y="0"/>
                <wp:positionH relativeFrom="column">
                  <wp:posOffset>3204778</wp:posOffset>
                </wp:positionH>
                <wp:positionV relativeFrom="paragraph">
                  <wp:posOffset>46839</wp:posOffset>
                </wp:positionV>
                <wp:extent cx="3286760" cy="396453"/>
                <wp:effectExtent l="0" t="0" r="27940" b="22860"/>
                <wp:wrapNone/>
                <wp:docPr id="96" name="Скругленный прямоугольник 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86760" cy="396453"/>
                        </a:xfrm>
                        <a:prstGeom prst="roundRect">
                          <a:avLst>
                            <a:gd name="adj" fmla="val 16667"/>
                          </a:avLst>
                        </a:prstGeom>
                        <a:solidFill>
                          <a:srgbClr val="FFFFFF"/>
                        </a:solidFill>
                        <a:ln w="9525">
                          <a:solidFill>
                            <a:srgbClr val="000000"/>
                          </a:solidFill>
                          <a:round/>
                          <a:headEnd/>
                          <a:tailEnd/>
                        </a:ln>
                      </wps:spPr>
                      <wps:txbx>
                        <w:txbxContent>
                          <w:p w:rsidR="001E1DF5" w:rsidRPr="005B7471" w:rsidRDefault="001E1DF5" w:rsidP="001204CA">
                            <w:pPr>
                              <w:spacing w:line="180" w:lineRule="exact"/>
                              <w:jc w:val="center"/>
                              <w:rPr>
                                <w:sz w:val="22"/>
                              </w:rPr>
                            </w:pPr>
                            <w:r>
                              <w:rPr>
                                <w:sz w:val="22"/>
                              </w:rPr>
                              <w:t>Аналіз кадрового</w:t>
                            </w:r>
                            <w:r w:rsidRPr="007727E3">
                              <w:rPr>
                                <w:bCs/>
                                <w:sz w:val="22"/>
                              </w:rPr>
                              <w:t xml:space="preserve"> забезпечення </w:t>
                            </w:r>
                            <w:r w:rsidRPr="005B7471">
                              <w:rPr>
                                <w:bCs/>
                                <w:sz w:val="22"/>
                              </w:rPr>
                              <w:t xml:space="preserve">педіатричних підрозділів закладів ОЗ та вивчення зв’язків з летальністю </w:t>
                            </w:r>
                          </w:p>
                          <w:p w:rsidR="001E1DF5" w:rsidRPr="0004018C" w:rsidRDefault="001E1DF5" w:rsidP="001204CA">
                            <w:pPr>
                              <w:spacing w:line="180" w:lineRule="exact"/>
                              <w:jc w:val="center"/>
                              <w:rPr>
                                <w:sz w:val="22"/>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96" o:spid="_x0000_s1074" style="position:absolute;left:0;text-align:left;margin-left:252.35pt;margin-top:3.7pt;width:258.8pt;height:31.2pt;z-index:251944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">
                <v:textbox inset="0,0,0,0">
                  <w:txbxContent>
                    <w:p w:rsidR="0057431A" w:rsidRPr="005B7471" w:rsidRDefault="0057431A" w:rsidP="001204CA">
                      <w:pPr>
                        <w:spacing w:line="180" w:lineRule="exact"/>
                        <w:jc w:val="center"/>
                        <w:rPr>
                          <w:sz w:val="22"/>
                        </w:rPr>
                      </w:pPr>
                      <w:r>
                        <w:rPr>
                          <w:sz w:val="22"/>
                        </w:rPr>
                        <w:t>Аналіз кадрового</w:t>
                      </w:r>
                      <w:r w:rsidRPr="007727E3">
                        <w:rPr>
                          <w:bCs/>
                          <w:sz w:val="22"/>
                        </w:rPr>
                        <w:t xml:space="preserve"> забезпечення </w:t>
                      </w:r>
                      <w:r w:rsidRPr="005B7471">
                        <w:rPr>
                          <w:bCs/>
                          <w:sz w:val="22"/>
                        </w:rPr>
                        <w:t xml:space="preserve">педіатричних підрозділів закладів ОЗ та вивчення зв’язків з летальністю </w:t>
                      </w:r>
                    </w:p>
                    <w:p w:rsidR="0057431A" w:rsidRPr="0004018C" w:rsidRDefault="0057431A" w:rsidP="001204CA">
                      <w:pPr>
                        <w:spacing w:line="180" w:lineRule="exact"/>
                        <w:jc w:val="center"/>
                        <w:rPr>
                          <w:sz w:val="22"/>
                        </w:rPr>
                      </w:pPr>
                    </w:p>
                  </w:txbxContent>
                </v:textbox>
              </v:roundrect>
            </w:pict>
          </mc:Fallback>
        </mc:AlternateContent>
      </w:r>
    </w:p>
    <w:p w:rsidR="001204CA" w:rsidRPr="001204CA" w:rsidRDefault="001204CA" w:rsidP="001204CA">
      <w:pPr>
        <w:autoSpaceDE w:val="0"/>
        <w:autoSpaceDN w:val="0"/>
        <w:adjustRightInd w:val="0"/>
        <w:spacing w:line="240" w:lineRule="auto"/>
        <w:rPr>
          <w:rFonts w:eastAsia="Times New Roman"/>
          <w:szCs w:val="28"/>
          <w:lang w:eastAsia="uk-UA"/>
        </w:rPr>
      </w:pPr>
      <w:r w:rsidRPr="001204CA">
        <w:rPr>
          <w:rFonts w:eastAsia="Times New Roman"/>
          <w:noProof/>
          <w:szCs w:val="28"/>
          <w:lang w:val="ru-RU" w:eastAsia="ru-RU"/>
        </w:rPr>
        <mc:AlternateContent>
          <mc:Choice Requires="wps">
            <w:drawing>
              <wp:anchor distT="0" distB="0" distL="114300" distR="114300" simplePos="0" relativeHeight="251934720" behindDoc="0" locked="0" layoutInCell="1" allowOverlap="1" wp14:anchorId="2535612E" wp14:editId="0BDDECDE">
                <wp:simplePos x="0" y="0"/>
                <wp:positionH relativeFrom="column">
                  <wp:posOffset>6154420</wp:posOffset>
                </wp:positionH>
                <wp:positionV relativeFrom="paragraph">
                  <wp:posOffset>4634865</wp:posOffset>
                </wp:positionV>
                <wp:extent cx="0" cy="114300"/>
                <wp:effectExtent l="90805" t="16510" r="90170" b="31115"/>
                <wp:wrapNone/>
                <wp:docPr id="110" name="Прямая соединительная линия 1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
                        </a:xfrm>
                        <a:prstGeom prst="line">
                          <a:avLst/>
                        </a:prstGeom>
                        <a:noFill/>
                        <a:ln w="25400">
                          <a:solidFill>
                            <a:srgbClr val="000000"/>
                          </a:solidFill>
                          <a:round/>
                          <a:headEnd/>
                          <a:tailEnd type="triangle" w="lg" len="lg"/>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110" o:spid="_x0000_s1026" style="position:absolute;z-index:251934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84.6pt,364.95pt" to="484.6pt,37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" strokeweight="2pt">
                <v:stroke endarrow="block" endarrowwidth="wide" endarrowlength="long"/>
              </v:line>
            </w:pict>
          </mc:Fallback>
        </mc:AlternateContent>
      </w:r>
    </w:p>
    <w:p w:rsidR="001204CA" w:rsidRPr="001204CA" w:rsidRDefault="001204CA" w:rsidP="001204CA">
      <w:pPr>
        <w:tabs>
          <w:tab w:val="left" w:pos="5689"/>
        </w:tabs>
        <w:autoSpaceDE w:val="0"/>
        <w:autoSpaceDN w:val="0"/>
        <w:adjustRightInd w:val="0"/>
        <w:spacing w:line="240" w:lineRule="auto"/>
        <w:rPr>
          <w:rFonts w:eastAsia="Times New Roman"/>
          <w:szCs w:val="28"/>
          <w:lang w:eastAsia="uk-UA"/>
        </w:rPr>
      </w:pPr>
      <w:r w:rsidRPr="001204CA">
        <w:rPr>
          <w:rFonts w:eastAsia="Times New Roman"/>
          <w:noProof/>
          <w:szCs w:val="28"/>
          <w:lang w:val="ru-RU" w:eastAsia="ru-RU"/>
        </w:rPr>
        <mc:AlternateContent>
          <mc:Choice Requires="wps">
            <w:drawing>
              <wp:anchor distT="0" distB="0" distL="114300" distR="114300" simplePos="0" relativeHeight="251947008" behindDoc="0" locked="0" layoutInCell="1" allowOverlap="1" wp14:anchorId="5BD4BB3E" wp14:editId="0B201504">
                <wp:simplePos x="0" y="0"/>
                <wp:positionH relativeFrom="column">
                  <wp:posOffset>-94615</wp:posOffset>
                </wp:positionH>
                <wp:positionV relativeFrom="paragraph">
                  <wp:posOffset>78798</wp:posOffset>
                </wp:positionV>
                <wp:extent cx="6586855" cy="402848"/>
                <wp:effectExtent l="0" t="0" r="23495" b="16510"/>
                <wp:wrapNone/>
                <wp:docPr id="111" name="Прямоугольник 1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86855" cy="402848"/>
                        </a:xfrm>
                        <a:prstGeom prst="rect">
                          <a:avLst/>
                        </a:prstGeom>
                        <a:solidFill>
                          <a:srgbClr val="FFFFFF"/>
                        </a:solidFill>
                        <a:ln w="9525">
                          <a:solidFill>
                            <a:srgbClr val="000000"/>
                          </a:solidFill>
                          <a:miter lim="800000"/>
                          <a:headEnd/>
                          <a:tailEnd/>
                        </a:ln>
                      </wps:spPr>
                      <wps:txbx>
                        <w:txbxContent>
                          <w:p w:rsidR="001E1DF5" w:rsidRPr="003D7C86" w:rsidRDefault="001E1DF5" w:rsidP="001204CA">
                            <w:pPr>
                              <w:spacing w:line="180" w:lineRule="exact"/>
                              <w:rPr>
                                <w:bCs/>
                                <w:sz w:val="22"/>
                              </w:rPr>
                            </w:pPr>
                            <w:r>
                              <w:rPr>
                                <w:bCs/>
                                <w:sz w:val="22"/>
                              </w:rPr>
                              <w:t>З</w:t>
                            </w:r>
                            <w:r w:rsidRPr="003D7C86">
                              <w:rPr>
                                <w:bCs/>
                                <w:sz w:val="22"/>
                              </w:rPr>
                              <w:t>вітні</w:t>
                            </w:r>
                            <w:r>
                              <w:rPr>
                                <w:bCs/>
                                <w:sz w:val="22"/>
                              </w:rPr>
                              <w:t xml:space="preserve"> форми ДЗ ЦМС</w:t>
                            </w:r>
                            <w:r w:rsidRPr="003D7C86">
                              <w:rPr>
                                <w:bCs/>
                                <w:sz w:val="22"/>
                              </w:rPr>
                              <w:t xml:space="preserve"> МОЗ України:</w:t>
                            </w:r>
                            <w:r>
                              <w:rPr>
                                <w:bCs/>
                                <w:sz w:val="22"/>
                              </w:rPr>
                              <w:t xml:space="preserve"> </w:t>
                            </w:r>
                            <w:r w:rsidRPr="003D7C86">
                              <w:rPr>
                                <w:bCs/>
                                <w:sz w:val="22"/>
                              </w:rPr>
                              <w:t>ф.№20 «Звіт лікувально-профілактичного закладу», ф.№31 «Звіт про медичну допомогу дітям», ф.№17 «Звіт про медичні кадри»</w:t>
                            </w:r>
                            <w:r>
                              <w:rPr>
                                <w:bCs/>
                                <w:sz w:val="22"/>
                              </w:rPr>
                              <w:t>, довідник ДЗ ЦМС України «</w:t>
                            </w:r>
                            <w:r w:rsidRPr="002639B3">
                              <w:rPr>
                                <w:bCs/>
                                <w:sz w:val="22"/>
                              </w:rPr>
                              <w:t>Медичні кадри та мережа закладів охорони здоров’я системи МОЗ України</w:t>
                            </w:r>
                            <w:r>
                              <w:rPr>
                                <w:bCs/>
                                <w:sz w:val="22"/>
                              </w:rPr>
                              <w:t xml:space="preserve">» - </w:t>
                            </w:r>
                            <w:r w:rsidRPr="005B7471">
                              <w:rPr>
                                <w:bCs/>
                                <w:color w:val="000000" w:themeColor="text1"/>
                                <w:sz w:val="22"/>
                              </w:rPr>
                              <w:t xml:space="preserve">за  2013-2018 рр. всього </w:t>
                            </w:r>
                            <w:r>
                              <w:rPr>
                                <w:bCs/>
                                <w:sz w:val="22"/>
                              </w:rPr>
                              <w:t>23</w:t>
                            </w:r>
                            <w:r w:rsidRPr="003D7C86">
                              <w:rPr>
                                <w:bCs/>
                                <w:sz w:val="22"/>
                              </w:rPr>
                              <w:t xml:space="preserve"> од.</w:t>
                            </w:r>
                          </w:p>
                        </w:txbxContent>
                      </wps:txbx>
                      <wps:bodyPr rot="0" vert="horz" wrap="square" lIns="18000" tIns="10800" rIns="18000" bIns="1080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11" o:spid="_x0000_s1075" style="position:absolute;left:0;text-align:left;margin-left:-7.45pt;margin-top:6.2pt;width:518.65pt;height:31.7pt;z-index:251947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">
                <v:textbox inset=".5mm,.3mm,.5mm,.3mm">
                  <w:txbxContent>
                    <w:p w:rsidR="0057431A" w:rsidRPr="003D7C86" w:rsidRDefault="0057431A" w:rsidP="001204CA">
                      <w:pPr>
                        <w:spacing w:line="180" w:lineRule="exact"/>
                        <w:rPr>
                          <w:bCs/>
                          <w:sz w:val="22"/>
                        </w:rPr>
                      </w:pPr>
                      <w:r>
                        <w:rPr>
                          <w:bCs/>
                          <w:sz w:val="22"/>
                        </w:rPr>
                        <w:t>З</w:t>
                      </w:r>
                      <w:r w:rsidRPr="003D7C86">
                        <w:rPr>
                          <w:bCs/>
                          <w:sz w:val="22"/>
                        </w:rPr>
                        <w:t>вітні</w:t>
                      </w:r>
                      <w:r>
                        <w:rPr>
                          <w:bCs/>
                          <w:sz w:val="22"/>
                        </w:rPr>
                        <w:t xml:space="preserve"> форми ДЗ ЦМС</w:t>
                      </w:r>
                      <w:r w:rsidRPr="003D7C86">
                        <w:rPr>
                          <w:bCs/>
                          <w:sz w:val="22"/>
                        </w:rPr>
                        <w:t xml:space="preserve"> МОЗ України:</w:t>
                      </w:r>
                      <w:r>
                        <w:rPr>
                          <w:bCs/>
                          <w:sz w:val="22"/>
                        </w:rPr>
                        <w:t xml:space="preserve"> </w:t>
                      </w:r>
                      <w:r w:rsidRPr="003D7C86">
                        <w:rPr>
                          <w:bCs/>
                          <w:sz w:val="22"/>
                        </w:rPr>
                        <w:t>ф.№20 «Звіт лікувально-профілактичного закладу», ф.№31 «Звіт про медичну допомогу дітям», ф.№17 «Звіт про медичні кадри»</w:t>
                      </w:r>
                      <w:r>
                        <w:rPr>
                          <w:bCs/>
                          <w:sz w:val="22"/>
                        </w:rPr>
                        <w:t>, довідник ДЗ ЦМС України «</w:t>
                      </w:r>
                      <w:r w:rsidRPr="002639B3">
                        <w:rPr>
                          <w:bCs/>
                          <w:sz w:val="22"/>
                        </w:rPr>
                        <w:t>Медичні кадри та мережа закладів охорони здоров’я системи МОЗ України</w:t>
                      </w:r>
                      <w:r>
                        <w:rPr>
                          <w:bCs/>
                          <w:sz w:val="22"/>
                        </w:rPr>
                        <w:t xml:space="preserve">» - </w:t>
                      </w:r>
                      <w:r w:rsidRPr="005B7471">
                        <w:rPr>
                          <w:bCs/>
                          <w:color w:val="000000" w:themeColor="text1"/>
                          <w:sz w:val="22"/>
                        </w:rPr>
                        <w:t xml:space="preserve">за  2013-2018 рр. всього </w:t>
                      </w:r>
                      <w:r>
                        <w:rPr>
                          <w:bCs/>
                          <w:sz w:val="22"/>
                        </w:rPr>
                        <w:t>23</w:t>
                      </w:r>
                      <w:r w:rsidRPr="003D7C86">
                        <w:rPr>
                          <w:bCs/>
                          <w:sz w:val="22"/>
                        </w:rPr>
                        <w:t xml:space="preserve"> од.</w:t>
                      </w:r>
                    </w:p>
                  </w:txbxContent>
                </v:textbox>
              </v:rect>
            </w:pict>
          </mc:Fallback>
        </mc:AlternateContent>
      </w:r>
      <w:r w:rsidRPr="001204CA">
        <w:rPr>
          <w:rFonts w:eastAsia="Times New Roman"/>
          <w:noProof/>
          <w:szCs w:val="28"/>
          <w:lang w:val="ru-RU" w:eastAsia="ru-RU"/>
        </w:rPr>
        <mc:AlternateContent>
          <mc:Choice Requires="wps">
            <w:drawing>
              <wp:anchor distT="0" distB="0" distL="114300" distR="114300" simplePos="0" relativeHeight="251932672" behindDoc="0" locked="0" layoutInCell="1" allowOverlap="1" wp14:anchorId="68D2E59C" wp14:editId="7DBF837C">
                <wp:simplePos x="0" y="0"/>
                <wp:positionH relativeFrom="column">
                  <wp:posOffset>6154420</wp:posOffset>
                </wp:positionH>
                <wp:positionV relativeFrom="paragraph">
                  <wp:posOffset>4634865</wp:posOffset>
                </wp:positionV>
                <wp:extent cx="0" cy="114300"/>
                <wp:effectExtent l="90805" t="16510" r="90170" b="31115"/>
                <wp:wrapNone/>
                <wp:docPr id="112" name="Прямая соединительная линия 1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
                        </a:xfrm>
                        <a:prstGeom prst="line">
                          <a:avLst/>
                        </a:prstGeom>
                        <a:noFill/>
                        <a:ln w="25400">
                          <a:solidFill>
                            <a:srgbClr val="000000"/>
                          </a:solidFill>
                          <a:round/>
                          <a:headEnd/>
                          <a:tailEnd type="triangle" w="lg" len="lg"/>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112" o:spid="_x0000_s1026" style="position:absolute;z-index:251932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84.6pt,364.95pt" to="484.6pt,37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" strokeweight="2pt">
                <v:stroke endarrow="block" endarrowwidth="wide" endarrowlength="long"/>
              </v:line>
            </w:pict>
          </mc:Fallback>
        </mc:AlternateContent>
      </w:r>
      <w:r w:rsidRPr="001204CA">
        <w:rPr>
          <w:rFonts w:eastAsia="Times New Roman"/>
          <w:szCs w:val="28"/>
          <w:lang w:eastAsia="uk-UA"/>
        </w:rPr>
        <w:tab/>
      </w:r>
    </w:p>
    <w:p w:rsidR="001204CA" w:rsidRPr="001204CA" w:rsidRDefault="001204CA" w:rsidP="001204CA">
      <w:pPr>
        <w:autoSpaceDE w:val="0"/>
        <w:autoSpaceDN w:val="0"/>
        <w:adjustRightInd w:val="0"/>
        <w:spacing w:line="240" w:lineRule="auto"/>
        <w:rPr>
          <w:rFonts w:eastAsia="Times New Roman"/>
          <w:szCs w:val="28"/>
          <w:lang w:eastAsia="uk-UA"/>
        </w:rPr>
      </w:pPr>
    </w:p>
    <w:p w:rsidR="001204CA" w:rsidRPr="001204CA" w:rsidRDefault="001204CA" w:rsidP="001204CA">
      <w:pPr>
        <w:autoSpaceDE w:val="0"/>
        <w:autoSpaceDN w:val="0"/>
        <w:adjustRightInd w:val="0"/>
        <w:spacing w:line="240" w:lineRule="auto"/>
        <w:rPr>
          <w:rFonts w:eastAsia="Times New Roman"/>
          <w:szCs w:val="28"/>
          <w:lang w:eastAsia="uk-UA"/>
        </w:rPr>
      </w:pPr>
      <w:r w:rsidRPr="001204CA">
        <w:rPr>
          <w:rFonts w:eastAsia="Times New Roman"/>
          <w:noProof/>
          <w:szCs w:val="28"/>
          <w:lang w:val="ru-RU" w:eastAsia="ru-RU"/>
        </w:rPr>
        <mc:AlternateContent>
          <mc:Choice Requires="wps">
            <w:drawing>
              <wp:anchor distT="0" distB="0" distL="114300" distR="114300" simplePos="0" relativeHeight="251919360" behindDoc="0" locked="0" layoutInCell="1" allowOverlap="1" wp14:anchorId="372428E1" wp14:editId="01410ABF">
                <wp:simplePos x="0" y="0"/>
                <wp:positionH relativeFrom="column">
                  <wp:posOffset>-104454</wp:posOffset>
                </wp:positionH>
                <wp:positionV relativeFrom="paragraph">
                  <wp:posOffset>106605</wp:posOffset>
                </wp:positionV>
                <wp:extent cx="800100" cy="452673"/>
                <wp:effectExtent l="0" t="0" r="57150" b="62230"/>
                <wp:wrapNone/>
                <wp:docPr id="1066" name="Прямоугольник 106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00100" cy="452673"/>
                        </a:xfrm>
                        <a:prstGeom prst="rect">
                          <a:avLst/>
                        </a:prstGeom>
                        <a:gradFill rotWithShape="1">
                          <a:gsLst>
                            <a:gs pos="0">
                              <a:srgbClr val="C0C0C0"/>
                            </a:gs>
                            <a:gs pos="50000">
                              <a:srgbClr val="FBFBFB"/>
                            </a:gs>
                            <a:gs pos="100000">
                              <a:srgbClr val="C0C0C0"/>
                            </a:gs>
                          </a:gsLst>
                          <a:lin ang="5400000" scaled="1"/>
                        </a:gradFill>
                        <a:ln w="25400">
                          <a:solidFill>
                            <a:srgbClr val="000000"/>
                          </a:solidFill>
                          <a:miter lim="800000"/>
                          <a:headEnd/>
                          <a:tailEnd/>
                        </a:ln>
                        <a:effectLst>
                          <a:outerShdw dist="53882" dir="2700000" algn="ctr" rotWithShape="0">
                            <a:srgbClr val="808080"/>
                          </a:outerShdw>
                        </a:effectLst>
                      </wps:spPr>
                      <wps:txbx>
                        <w:txbxContent>
                          <w:p w:rsidR="001E1DF5" w:rsidRPr="002B7096" w:rsidRDefault="001E1DF5" w:rsidP="001204CA">
                            <w:pPr>
                              <w:spacing w:before="120"/>
                              <w:jc w:val="center"/>
                              <w:rPr>
                                <w:b/>
                                <w:szCs w:val="28"/>
                              </w:rPr>
                            </w:pPr>
                            <w:r>
                              <w:rPr>
                                <w:b/>
                                <w:szCs w:val="28"/>
                                <w:lang w:val="en-US"/>
                              </w:rPr>
                              <w:t>VI</w:t>
                            </w:r>
                            <w:r w:rsidRPr="002B7096">
                              <w:rPr>
                                <w:b/>
                                <w:szCs w:val="28"/>
                              </w:rPr>
                              <w:t xml:space="preserve"> етап</w:t>
                            </w:r>
                          </w:p>
                        </w:txbxContent>
                      </wps:txbx>
                      <wps:bodyPr rot="0" vert="horz" wrap="square" lIns="18000" tIns="10800" rIns="18000" bIns="1080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066" o:spid="_x0000_s1076" style="position:absolute;left:0;text-align:left;margin-left:-8.2pt;margin-top:8.4pt;width:63pt;height:35.65pt;z-index:251919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" fillcolor="silver" strokeweight="2pt">
                <v:fill color2="#fbfbfb" rotate="t" focus="50%" type="gradient"/>
                <v:shadow on="t" offset="3pt,3pt"/>
                <v:textbox inset=".5mm,.3mm,.5mm,.3mm">
                  <w:txbxContent>
                    <w:p w:rsidR="0057431A" w:rsidRPr="002B7096" w:rsidRDefault="0057431A" w:rsidP="001204CA">
                      <w:pPr>
                        <w:spacing w:before="120"/>
                        <w:jc w:val="center"/>
                        <w:rPr>
                          <w:b/>
                          <w:szCs w:val="28"/>
                        </w:rPr>
                      </w:pPr>
                      <w:r>
                        <w:rPr>
                          <w:b/>
                          <w:szCs w:val="28"/>
                          <w:lang w:val="en-US"/>
                        </w:rPr>
                        <w:t>VI</w:t>
                      </w:r>
                      <w:r w:rsidRPr="002B7096">
                        <w:rPr>
                          <w:b/>
                          <w:szCs w:val="28"/>
                        </w:rPr>
                        <w:t xml:space="preserve"> етап</w:t>
                      </w:r>
                    </w:p>
                  </w:txbxContent>
                </v:textbox>
              </v:rect>
            </w:pict>
          </mc:Fallback>
        </mc:AlternateContent>
      </w:r>
      <w:r w:rsidRPr="001204CA">
        <w:rPr>
          <w:rFonts w:eastAsia="Times New Roman"/>
          <w:noProof/>
          <w:szCs w:val="28"/>
          <w:lang w:val="ru-RU" w:eastAsia="ru-RU"/>
        </w:rPr>
        <mc:AlternateContent>
          <mc:Choice Requires="wps">
            <w:drawing>
              <wp:anchor distT="0" distB="0" distL="114300" distR="114300" simplePos="0" relativeHeight="251938816" behindDoc="0" locked="0" layoutInCell="1" allowOverlap="1" wp14:anchorId="3745EE0B" wp14:editId="10C9FFBB">
                <wp:simplePos x="0" y="0"/>
                <wp:positionH relativeFrom="column">
                  <wp:posOffset>764540</wp:posOffset>
                </wp:positionH>
                <wp:positionV relativeFrom="paragraph">
                  <wp:posOffset>106045</wp:posOffset>
                </wp:positionV>
                <wp:extent cx="5725160" cy="506730"/>
                <wp:effectExtent l="0" t="0" r="66040" b="64770"/>
                <wp:wrapNone/>
                <wp:docPr id="1067" name="Скругленный прямоугольник 10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25160" cy="506730"/>
                        </a:xfrm>
                        <a:prstGeom prst="roundRect">
                          <a:avLst>
                            <a:gd name="adj" fmla="val 16667"/>
                          </a:avLst>
                        </a:prstGeom>
                        <a:gradFill rotWithShape="1">
                          <a:gsLst>
                            <a:gs pos="0">
                              <a:srgbClr val="C0C0C0"/>
                            </a:gs>
                            <a:gs pos="50000">
                              <a:srgbClr val="FFFFFF"/>
                            </a:gs>
                            <a:gs pos="100000">
                              <a:srgbClr val="C0C0C0"/>
                            </a:gs>
                          </a:gsLst>
                          <a:lin ang="5400000" scaled="1"/>
                        </a:gradFill>
                        <a:ln w="25400">
                          <a:solidFill>
                            <a:srgbClr val="000000"/>
                          </a:solidFill>
                          <a:round/>
                          <a:headEnd/>
                          <a:tailEnd/>
                        </a:ln>
                        <a:effectLst>
                          <a:outerShdw dist="35921" dir="2700000" algn="ctr" rotWithShape="0">
                            <a:srgbClr val="808080"/>
                          </a:outerShdw>
                        </a:effectLst>
                      </wps:spPr>
                      <wps:txbx>
                        <w:txbxContent>
                          <w:p w:rsidR="001E1DF5" w:rsidRPr="009C580D" w:rsidRDefault="001E1DF5" w:rsidP="001204CA">
                            <w:pPr>
                              <w:spacing w:line="200" w:lineRule="exact"/>
                              <w:jc w:val="center"/>
                              <w:rPr>
                                <w:sz w:val="22"/>
                              </w:rPr>
                            </w:pPr>
                            <w:r w:rsidRPr="009C580D">
                              <w:rPr>
                                <w:b/>
                                <w:sz w:val="22"/>
                              </w:rPr>
                              <w:t>Вивчення рівня професійної готовності</w:t>
                            </w:r>
                            <w:r>
                              <w:rPr>
                                <w:b/>
                                <w:sz w:val="22"/>
                              </w:rPr>
                              <w:t xml:space="preserve"> ЛЗП-СЛ та обізнаності батьків у</w:t>
                            </w:r>
                            <w:r w:rsidRPr="009C580D">
                              <w:rPr>
                                <w:b/>
                                <w:sz w:val="22"/>
                              </w:rPr>
                              <w:t xml:space="preserve"> питаннях запобігання  випадків смерті дітей до 5</w:t>
                            </w:r>
                            <w:r>
                              <w:rPr>
                                <w:b/>
                                <w:sz w:val="22"/>
                              </w:rPr>
                              <w:t xml:space="preserve"> років життя та збереження їх здоров’я (за даними соціологічного дослідження)</w:t>
                            </w:r>
                          </w:p>
                          <w:p w:rsidR="001E1DF5" w:rsidRPr="00BB2E60" w:rsidRDefault="001E1DF5" w:rsidP="001204CA">
                            <w:pPr>
                              <w:jc w:val="center"/>
                              <w:rPr>
                                <w:sz w:val="22"/>
                              </w:rPr>
                            </w:pPr>
                          </w:p>
                        </w:txbxContent>
                      </wps:txbx>
                      <wps:bodyPr rot="0" vert="horz" wrap="square" lIns="0" tIns="0" rIns="0" bIns="0" anchor="ctr"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1067" o:spid="_x0000_s1077" style="position:absolute;left:0;text-align:left;margin-left:60.2pt;margin-top:8.35pt;width:450.8pt;height:39.9pt;z-index:251938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" fillcolor="silver" strokeweight="2pt">
                <v:fill rotate="t" focus="50%" type="gradient"/>
                <v:shadow on="t"/>
                <v:textbox inset="0,0,0,0">
                  <w:txbxContent>
                    <w:p w:rsidR="00B81470" w:rsidRPr="009C580D" w:rsidRDefault="00B81470" w:rsidP="001204CA">
                      <w:pPr>
                        <w:spacing w:line="200" w:lineRule="exact"/>
                        <w:jc w:val="center"/>
                        <w:rPr>
                          <w:sz w:val="22"/>
                        </w:rPr>
                      </w:pPr>
                      <w:r w:rsidRPr="009C580D">
                        <w:rPr>
                          <w:b/>
                          <w:sz w:val="22"/>
                        </w:rPr>
                        <w:t>Вивчення рівня професійної готовності</w:t>
                      </w:r>
                      <w:r w:rsidR="001E05ED">
                        <w:rPr>
                          <w:b/>
                          <w:sz w:val="22"/>
                        </w:rPr>
                        <w:t xml:space="preserve"> ЛЗП-СЛ та обізнаності батьків у</w:t>
                      </w:r>
                      <w:r w:rsidRPr="009C580D">
                        <w:rPr>
                          <w:b/>
                          <w:sz w:val="22"/>
                        </w:rPr>
                        <w:t xml:space="preserve"> питаннях запобігання  випадків смерті дітей до 5</w:t>
                      </w:r>
                      <w:r>
                        <w:rPr>
                          <w:b/>
                          <w:sz w:val="22"/>
                        </w:rPr>
                        <w:t xml:space="preserve"> років життя та збереження їх здоров’я (за даними соціологічного дослідження)</w:t>
                      </w:r>
                    </w:p>
                    <w:p w:rsidR="00B81470" w:rsidRPr="00BB2E60" w:rsidRDefault="00B81470" w:rsidP="001204CA">
                      <w:pPr>
                        <w:jc w:val="center"/>
                        <w:rPr>
                          <w:sz w:val="22"/>
                        </w:rPr>
                      </w:pPr>
                    </w:p>
                  </w:txbxContent>
                </v:textbox>
              </v:roundrect>
            </w:pict>
          </mc:Fallback>
        </mc:AlternateContent>
      </w:r>
      <w:r w:rsidRPr="001204CA">
        <w:rPr>
          <w:rFonts w:eastAsia="Times New Roman"/>
          <w:noProof/>
          <w:szCs w:val="28"/>
          <w:lang w:val="ru-RU" w:eastAsia="ru-RU"/>
        </w:rPr>
        <mc:AlternateContent>
          <mc:Choice Requires="wps">
            <w:drawing>
              <wp:anchor distT="0" distB="0" distL="114300" distR="114300" simplePos="0" relativeHeight="251933696" behindDoc="0" locked="0" layoutInCell="1" allowOverlap="1" wp14:anchorId="30645ECF" wp14:editId="1595F5AE">
                <wp:simplePos x="0" y="0"/>
                <wp:positionH relativeFrom="column">
                  <wp:posOffset>6154420</wp:posOffset>
                </wp:positionH>
                <wp:positionV relativeFrom="paragraph">
                  <wp:posOffset>4634865</wp:posOffset>
                </wp:positionV>
                <wp:extent cx="0" cy="114300"/>
                <wp:effectExtent l="90805" t="16510" r="90170" b="31115"/>
                <wp:wrapNone/>
                <wp:docPr id="1065" name="Прямая соединительная линия 106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
                        </a:xfrm>
                        <a:prstGeom prst="line">
                          <a:avLst/>
                        </a:prstGeom>
                        <a:noFill/>
                        <a:ln w="25400">
                          <a:solidFill>
                            <a:srgbClr val="000000"/>
                          </a:solidFill>
                          <a:round/>
                          <a:headEnd/>
                          <a:tailEnd type="triangle" w="lg" len="lg"/>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1065" o:spid="_x0000_s1026" style="position:absolute;z-index:251933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84.6pt,364.95pt" to="484.6pt,37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" strokeweight="2pt">
                <v:stroke endarrow="block" endarrowwidth="wide" endarrowlength="long"/>
              </v:line>
            </w:pict>
          </mc:Fallback>
        </mc:AlternateContent>
      </w:r>
    </w:p>
    <w:p w:rsidR="001204CA" w:rsidRPr="001204CA" w:rsidRDefault="001204CA" w:rsidP="001204CA">
      <w:pPr>
        <w:autoSpaceDE w:val="0"/>
        <w:autoSpaceDN w:val="0"/>
        <w:adjustRightInd w:val="0"/>
        <w:spacing w:line="240" w:lineRule="auto"/>
        <w:rPr>
          <w:rFonts w:eastAsia="Times New Roman"/>
          <w:szCs w:val="28"/>
          <w:lang w:eastAsia="uk-UA"/>
        </w:rPr>
      </w:pPr>
      <w:r w:rsidRPr="001204CA">
        <w:rPr>
          <w:rFonts w:eastAsia="Times New Roman"/>
          <w:noProof/>
          <w:szCs w:val="28"/>
          <w:lang w:val="ru-RU" w:eastAsia="ru-RU"/>
        </w:rPr>
        <mc:AlternateContent>
          <mc:Choice Requires="wps">
            <w:drawing>
              <wp:anchor distT="0" distB="0" distL="114300" distR="114300" simplePos="0" relativeHeight="251945984" behindDoc="0" locked="0" layoutInCell="1" allowOverlap="1" wp14:anchorId="34FEDCD1" wp14:editId="306A1824">
                <wp:simplePos x="0" y="0"/>
                <wp:positionH relativeFrom="column">
                  <wp:posOffset>605790</wp:posOffset>
                </wp:positionH>
                <wp:positionV relativeFrom="paragraph">
                  <wp:posOffset>5497830</wp:posOffset>
                </wp:positionV>
                <wp:extent cx="6729730" cy="499745"/>
                <wp:effectExtent l="0" t="0" r="13970" b="14605"/>
                <wp:wrapNone/>
                <wp:docPr id="1068" name="Прямоугольник 10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729730" cy="499745"/>
                        </a:xfrm>
                        <a:prstGeom prst="rect">
                          <a:avLst/>
                        </a:prstGeom>
                        <a:solidFill>
                          <a:srgbClr val="FFFFFF"/>
                        </a:solidFill>
                        <a:ln w="9525">
                          <a:solidFill>
                            <a:srgbClr val="000000"/>
                          </a:solidFill>
                          <a:miter lim="800000"/>
                          <a:headEnd/>
                          <a:tailEnd/>
                        </a:ln>
                      </wps:spPr>
                      <wps:txbx>
                        <w:txbxContent>
                          <w:p w:rsidR="001E1DF5" w:rsidRPr="00F971CF" w:rsidRDefault="001E1DF5" w:rsidP="001204CA">
                            <w:pPr>
                              <w:jc w:val="center"/>
                            </w:pPr>
                            <w:r w:rsidRPr="00F971CF">
                              <w:t>Бази даних Державного комітету статистики України, Центру медичної статистики МОЗ України, баз</w:t>
                            </w:r>
                            <w:r>
                              <w:t>а</w:t>
                            </w:r>
                            <w:r w:rsidRPr="00F971CF">
                              <w:t xml:space="preserve"> даних ВООЗ </w:t>
                            </w:r>
                            <w:r>
                              <w:t xml:space="preserve">«Здоров’я для всіх» </w:t>
                            </w:r>
                            <w:r w:rsidRPr="00F971CF">
                              <w:t xml:space="preserve">(WHO Europe </w:t>
                            </w:r>
                            <w:r w:rsidRPr="00442442">
                              <w:t>“</w:t>
                            </w:r>
                            <w:r w:rsidRPr="00F971CF">
                              <w:t>HFA</w:t>
                            </w:r>
                            <w:r>
                              <w:t>-</w:t>
                            </w:r>
                            <w:r w:rsidRPr="00F971CF">
                              <w:t>DB</w:t>
                            </w:r>
                            <w:r w:rsidRPr="00442442">
                              <w:t>”</w:t>
                            </w:r>
                            <w:r w:rsidRPr="00F971CF">
                              <w:t xml:space="preserve">, </w:t>
                            </w:r>
                            <w:r>
                              <w:rPr>
                                <w:lang w:val="en-US"/>
                              </w:rPr>
                              <w:t>updated</w:t>
                            </w:r>
                            <w:r w:rsidRPr="00442442">
                              <w:t xml:space="preserve">: </w:t>
                            </w:r>
                            <w:r w:rsidRPr="00F971CF">
                              <w:t>April</w:t>
                            </w:r>
                            <w:r w:rsidRPr="00442442">
                              <w:t>,</w:t>
                            </w:r>
                            <w:r w:rsidRPr="00F971CF">
                              <w:t xml:space="preserve"> 2014) за 1990-2013 роки</w:t>
                            </w:r>
                            <w:r>
                              <w:t xml:space="preserve">. </w:t>
                            </w:r>
                            <w:r w:rsidRPr="00F971CF">
                              <w:t>Дані Центру медичної статистики МОЗ України «Моніторинг стану здоров’я матері та дитини» за 2007-2013</w:t>
                            </w:r>
                            <w:r>
                              <w:t xml:space="preserve"> </w:t>
                            </w:r>
                            <w:r w:rsidRPr="00F971CF">
                              <w:t>р</w:t>
                            </w:r>
                            <w:r>
                              <w:t>оки.</w:t>
                            </w:r>
                          </w:p>
                        </w:txbxContent>
                      </wps:txbx>
                      <wps:bodyPr rot="0" vert="horz" wrap="square" lIns="18000" tIns="10800" rIns="18000" bIns="1080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068" o:spid="_x0000_s1078" style="position:absolute;left:0;text-align:left;margin-left:47.7pt;margin-top:432.9pt;width:529.9pt;height:39.35pt;z-index:251945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">
                <v:textbox inset=".5mm,.3mm,.5mm,.3mm">
                  <w:txbxContent>
                    <w:p w:rsidR="0057431A" w:rsidRPr="00F971CF" w:rsidRDefault="0057431A" w:rsidP="001204CA">
                      <w:pPr>
                        <w:jc w:val="center"/>
                      </w:pPr>
                      <w:r w:rsidRPr="00F971CF">
                        <w:t>Бази даних Державного комітету статистики України, Центру медичної статистики МОЗ України, баз</w:t>
                      </w:r>
                      <w:r>
                        <w:t>а</w:t>
                      </w:r>
                      <w:r w:rsidRPr="00F971CF">
                        <w:t xml:space="preserve"> даних ВООЗ </w:t>
                      </w:r>
                      <w:r>
                        <w:t xml:space="preserve">«Здоров’я для всіх» </w:t>
                      </w:r>
                      <w:r w:rsidRPr="00F971CF">
                        <w:t xml:space="preserve">(WHO Europe </w:t>
                      </w:r>
                      <w:r w:rsidRPr="00442442">
                        <w:t>“</w:t>
                      </w:r>
                      <w:r w:rsidRPr="00F971CF">
                        <w:t>HFA</w:t>
                      </w:r>
                      <w:r>
                        <w:t>-</w:t>
                      </w:r>
                      <w:r w:rsidRPr="00F971CF">
                        <w:t>DB</w:t>
                      </w:r>
                      <w:r w:rsidRPr="00442442">
                        <w:t>”</w:t>
                      </w:r>
                      <w:r w:rsidRPr="00F971CF">
                        <w:t xml:space="preserve">, </w:t>
                      </w:r>
                      <w:r>
                        <w:rPr>
                          <w:lang w:val="en-US"/>
                        </w:rPr>
                        <w:t>updated</w:t>
                      </w:r>
                      <w:r w:rsidRPr="00442442">
                        <w:t xml:space="preserve">: </w:t>
                      </w:r>
                      <w:r w:rsidRPr="00F971CF">
                        <w:t>April</w:t>
                      </w:r>
                      <w:r w:rsidRPr="00442442">
                        <w:t>,</w:t>
                      </w:r>
                      <w:r w:rsidRPr="00F971CF">
                        <w:t xml:space="preserve"> 2014) за 1990-2013 роки</w:t>
                      </w:r>
                      <w:r>
                        <w:t xml:space="preserve">. </w:t>
                      </w:r>
                      <w:r w:rsidRPr="00F971CF">
                        <w:t>Дані Центру медичної статистики МОЗ України «Моніторинг стану здоров’я матері та дитини» за 2007-2013</w:t>
                      </w:r>
                      <w:r>
                        <w:t xml:space="preserve"> </w:t>
                      </w:r>
                      <w:r w:rsidRPr="00F971CF">
                        <w:t>р</w:t>
                      </w:r>
                      <w:r>
                        <w:t>оки.</w:t>
                      </w:r>
                    </w:p>
                  </w:txbxContent>
                </v:textbox>
              </v:rect>
            </w:pict>
          </mc:Fallback>
        </mc:AlternateContent>
      </w:r>
    </w:p>
    <w:p w:rsidR="001204CA" w:rsidRPr="001204CA" w:rsidRDefault="001204CA" w:rsidP="001204CA">
      <w:pPr>
        <w:autoSpaceDE w:val="0"/>
        <w:autoSpaceDN w:val="0"/>
        <w:adjustRightInd w:val="0"/>
        <w:spacing w:line="240" w:lineRule="auto"/>
        <w:rPr>
          <w:rFonts w:eastAsia="Times New Roman"/>
          <w:szCs w:val="28"/>
          <w:lang w:eastAsia="uk-UA"/>
        </w:rPr>
      </w:pPr>
    </w:p>
    <w:p w:rsidR="001204CA" w:rsidRPr="001204CA" w:rsidRDefault="001204CA" w:rsidP="001204CA">
      <w:pPr>
        <w:autoSpaceDE w:val="0"/>
        <w:autoSpaceDN w:val="0"/>
        <w:adjustRightInd w:val="0"/>
        <w:spacing w:line="240" w:lineRule="auto"/>
        <w:rPr>
          <w:rFonts w:eastAsia="Times New Roman"/>
          <w:szCs w:val="28"/>
          <w:lang w:eastAsia="uk-UA"/>
        </w:rPr>
      </w:pPr>
      <w:r w:rsidRPr="001204CA">
        <w:rPr>
          <w:rFonts w:eastAsia="Times New Roman"/>
          <w:noProof/>
          <w:szCs w:val="28"/>
          <w:lang w:val="ru-RU" w:eastAsia="ru-RU"/>
        </w:rPr>
        <mc:AlternateContent>
          <mc:Choice Requires="wps">
            <w:drawing>
              <wp:anchor distT="0" distB="0" distL="114300" distR="114300" simplePos="0" relativeHeight="251957248" behindDoc="0" locked="0" layoutInCell="1" allowOverlap="1" wp14:anchorId="712CEB3A" wp14:editId="6348FB37">
                <wp:simplePos x="0" y="0"/>
                <wp:positionH relativeFrom="column">
                  <wp:posOffset>-68580</wp:posOffset>
                </wp:positionH>
                <wp:positionV relativeFrom="paragraph">
                  <wp:posOffset>90170</wp:posOffset>
                </wp:positionV>
                <wp:extent cx="6541770" cy="280035"/>
                <wp:effectExtent l="0" t="0" r="11430" b="24765"/>
                <wp:wrapNone/>
                <wp:docPr id="1069" name="Прямоугольник 10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41770" cy="280035"/>
                        </a:xfrm>
                        <a:prstGeom prst="rect">
                          <a:avLst/>
                        </a:prstGeom>
                        <a:solidFill>
                          <a:srgbClr val="FFFFFF"/>
                        </a:solidFill>
                        <a:ln w="9525">
                          <a:solidFill>
                            <a:srgbClr val="000000"/>
                          </a:solidFill>
                          <a:miter lim="800000"/>
                          <a:headEnd/>
                          <a:tailEnd/>
                        </a:ln>
                      </wps:spPr>
                      <wps:txbx>
                        <w:txbxContent>
                          <w:p w:rsidR="001E1DF5" w:rsidRPr="003D7C86" w:rsidRDefault="001E1DF5" w:rsidP="001204CA">
                            <w:pPr>
                              <w:spacing w:line="216" w:lineRule="auto"/>
                              <w:jc w:val="center"/>
                              <w:rPr>
                                <w:bCs/>
                                <w:sz w:val="22"/>
                              </w:rPr>
                            </w:pPr>
                            <w:r>
                              <w:rPr>
                                <w:bCs/>
                                <w:sz w:val="22"/>
                              </w:rPr>
                              <w:t>Анкети соціологічного опитування</w:t>
                            </w:r>
                            <w:r w:rsidRPr="00AE3B2A">
                              <w:rPr>
                                <w:bCs/>
                                <w:sz w:val="22"/>
                              </w:rPr>
                              <w:t xml:space="preserve">: батьків дітей віком до 5 років </w:t>
                            </w:r>
                            <w:r>
                              <w:rPr>
                                <w:bCs/>
                                <w:sz w:val="22"/>
                              </w:rPr>
                              <w:t>життя</w:t>
                            </w:r>
                            <w:r w:rsidRPr="00AE3B2A">
                              <w:rPr>
                                <w:bCs/>
                                <w:sz w:val="22"/>
                              </w:rPr>
                              <w:t xml:space="preserve"> (400 од.), ЛЗП-СЛ (400 од.).</w:t>
                            </w:r>
                          </w:p>
                        </w:txbxContent>
                      </wps:txbx>
                      <wps:bodyPr rot="0" vert="horz" wrap="square" lIns="18000" tIns="10800" rIns="18000" bIns="10800" anchor="ctr"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069" o:spid="_x0000_s1079" style="position:absolute;left:0;text-align:left;margin-left:-5.4pt;margin-top:7.1pt;width:515.1pt;height:22.05pt;z-index:251957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">
                <v:textbox inset=".5mm,.3mm,.5mm,.3mm">
                  <w:txbxContent>
                    <w:p w:rsidR="0057431A" w:rsidRPr="003D7C86" w:rsidRDefault="0057431A" w:rsidP="001204CA">
                      <w:pPr>
                        <w:spacing w:line="216" w:lineRule="auto"/>
                        <w:jc w:val="center"/>
                        <w:rPr>
                          <w:bCs/>
                          <w:sz w:val="22"/>
                        </w:rPr>
                      </w:pPr>
                      <w:r>
                        <w:rPr>
                          <w:bCs/>
                          <w:sz w:val="22"/>
                        </w:rPr>
                        <w:t>Анкети соціологічного опитування</w:t>
                      </w:r>
                      <w:r w:rsidRPr="00AE3B2A">
                        <w:rPr>
                          <w:bCs/>
                          <w:sz w:val="22"/>
                        </w:rPr>
                        <w:t xml:space="preserve">: батьків дітей віком до 5 років </w:t>
                      </w:r>
                      <w:r>
                        <w:rPr>
                          <w:bCs/>
                          <w:sz w:val="22"/>
                        </w:rPr>
                        <w:t>життя</w:t>
                      </w:r>
                      <w:r w:rsidRPr="00AE3B2A">
                        <w:rPr>
                          <w:bCs/>
                          <w:sz w:val="22"/>
                        </w:rPr>
                        <w:t xml:space="preserve"> (400 од.), ЛЗП-СЛ (400 од.).</w:t>
                      </w:r>
                    </w:p>
                  </w:txbxContent>
                </v:textbox>
              </v:rect>
            </w:pict>
          </mc:Fallback>
        </mc:AlternateContent>
      </w:r>
    </w:p>
    <w:p w:rsidR="00A14E81" w:rsidRPr="001204CA" w:rsidRDefault="00A14E81" w:rsidP="001204CA">
      <w:pPr>
        <w:autoSpaceDE w:val="0"/>
        <w:autoSpaceDN w:val="0"/>
        <w:adjustRightInd w:val="0"/>
        <w:spacing w:line="240" w:lineRule="auto"/>
        <w:rPr>
          <w:rFonts w:eastAsia="Times New Roman"/>
          <w:color w:val="000000"/>
          <w:szCs w:val="28"/>
          <w:lang w:eastAsia="uk-UA"/>
        </w:rPr>
      </w:pPr>
    </w:p>
    <w:p w:rsidR="00A14E81" w:rsidRPr="00A14E81" w:rsidRDefault="00A14E81" w:rsidP="00A14E81">
      <w:pPr>
        <w:autoSpaceDE w:val="0"/>
        <w:autoSpaceDN w:val="0"/>
        <w:adjustRightInd w:val="0"/>
        <w:spacing w:line="240" w:lineRule="auto"/>
        <w:rPr>
          <w:rFonts w:eastAsia="Times New Roman"/>
          <w:color w:val="000000"/>
          <w:szCs w:val="28"/>
          <w:lang w:eastAsia="uk-UA"/>
        </w:rPr>
      </w:pPr>
    </w:p>
    <w:p w:rsidR="00EC3A17" w:rsidRDefault="00A14E81" w:rsidP="00330112">
      <w:pPr>
        <w:pStyle w:val="af9"/>
        <w:widowControl w:val="0"/>
        <w:spacing w:line="315" w:lineRule="exact"/>
      </w:pPr>
      <w:r w:rsidRPr="00A14E81">
        <w:t>Рис. </w:t>
      </w:r>
      <w:r>
        <w:rPr>
          <w:lang w:val="ru-RU"/>
        </w:rPr>
        <w:t>2.</w:t>
      </w:r>
      <w:r w:rsidRPr="00A14E81">
        <w:t>1. Програма, матеріали, обсяг і методи досліджень</w:t>
      </w:r>
    </w:p>
    <w:p w:rsidR="00D145A6" w:rsidRDefault="00D145A6" w:rsidP="00330112">
      <w:pPr>
        <w:pStyle w:val="af9"/>
        <w:widowControl w:val="0"/>
        <w:spacing w:line="315" w:lineRule="exact"/>
        <w:rPr>
          <w:lang w:val="ru-RU"/>
        </w:rPr>
      </w:pPr>
    </w:p>
    <w:p w:rsidR="00EC3A17" w:rsidRDefault="00EC3A17" w:rsidP="00240A8D">
      <w:pPr>
        <w:pStyle w:val="af9"/>
        <w:widowControl w:val="0"/>
        <w:spacing w:line="315" w:lineRule="exact"/>
        <w:ind w:firstLine="0"/>
        <w:rPr>
          <w:lang w:val="ru-RU"/>
        </w:rPr>
      </w:pPr>
    </w:p>
    <w:p w:rsidR="00EC3A17" w:rsidRDefault="00EC3A17" w:rsidP="00240A8D">
      <w:pPr>
        <w:pStyle w:val="af9"/>
        <w:widowControl w:val="0"/>
        <w:spacing w:line="315" w:lineRule="exact"/>
        <w:ind w:firstLine="0"/>
        <w:rPr>
          <w:lang w:val="ru-RU"/>
        </w:rPr>
      </w:pPr>
      <w:r w:rsidRPr="00A14E81">
        <w:rPr>
          <w:noProof/>
          <w:color w:val="000000"/>
          <w:szCs w:val="28"/>
          <w:lang w:val="ru-RU"/>
        </w:rPr>
        <w:lastRenderedPageBreak/>
        <mc:AlternateContent>
          <mc:Choice Requires="wps">
            <w:drawing>
              <wp:anchor distT="0" distB="0" distL="114300" distR="114300" simplePos="0" relativeHeight="251988992" behindDoc="0" locked="0" layoutInCell="1" allowOverlap="1" wp14:anchorId="01DA6372" wp14:editId="3225C68F">
                <wp:simplePos x="0" y="0"/>
                <wp:positionH relativeFrom="column">
                  <wp:posOffset>-66489</wp:posOffset>
                </wp:positionH>
                <wp:positionV relativeFrom="paragraph">
                  <wp:posOffset>134620</wp:posOffset>
                </wp:positionV>
                <wp:extent cx="800100" cy="361950"/>
                <wp:effectExtent l="0" t="0" r="57150" b="57150"/>
                <wp:wrapNone/>
                <wp:docPr id="1195" name="Прямоугольник 11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00100" cy="361950"/>
                        </a:xfrm>
                        <a:prstGeom prst="rect">
                          <a:avLst/>
                        </a:prstGeom>
                        <a:gradFill rotWithShape="1">
                          <a:gsLst>
                            <a:gs pos="0">
                              <a:srgbClr val="C0C0C0"/>
                            </a:gs>
                            <a:gs pos="50000">
                              <a:srgbClr val="FBFBFB"/>
                            </a:gs>
                            <a:gs pos="100000">
                              <a:srgbClr val="C0C0C0"/>
                            </a:gs>
                          </a:gsLst>
                          <a:lin ang="5400000" scaled="1"/>
                        </a:gradFill>
                        <a:ln w="25400">
                          <a:solidFill>
                            <a:srgbClr val="000000"/>
                          </a:solidFill>
                          <a:miter lim="800000"/>
                          <a:headEnd/>
                          <a:tailEnd/>
                        </a:ln>
                        <a:effectLst>
                          <a:outerShdw dist="53882" dir="2700000" algn="ctr" rotWithShape="0">
                            <a:srgbClr val="808080"/>
                          </a:outerShdw>
                        </a:effectLst>
                      </wps:spPr>
                      <wps:txbx>
                        <w:txbxContent>
                          <w:p w:rsidR="001E1DF5" w:rsidRPr="002B7096" w:rsidRDefault="001E1DF5" w:rsidP="00EC3A17">
                            <w:pPr>
                              <w:spacing w:before="120"/>
                              <w:jc w:val="center"/>
                              <w:rPr>
                                <w:b/>
                                <w:szCs w:val="28"/>
                              </w:rPr>
                            </w:pPr>
                            <w:r>
                              <w:rPr>
                                <w:b/>
                                <w:szCs w:val="28"/>
                                <w:lang w:val="en-US"/>
                              </w:rPr>
                              <w:t>VII</w:t>
                            </w:r>
                            <w:r w:rsidRPr="002B7096">
                              <w:rPr>
                                <w:b/>
                                <w:szCs w:val="28"/>
                              </w:rPr>
                              <w:t xml:space="preserve"> етап</w:t>
                            </w:r>
                          </w:p>
                        </w:txbxContent>
                      </wps:txbx>
                      <wps:bodyPr rot="0" vert="horz" wrap="square" lIns="18000" tIns="10800" rIns="18000" bIns="1080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195" o:spid="_x0000_s1080" style="position:absolute;left:0;text-align:left;margin-left:-5.25pt;margin-top:10.6pt;width:63pt;height:28.5pt;z-index:25198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" fillcolor="silver" strokeweight="2pt">
                <v:fill color2="#fbfbfb" rotate="t" focus="50%" type="gradient"/>
                <v:shadow on="t" offset="3pt,3pt"/>
                <v:textbox inset=".5mm,.3mm,.5mm,.3mm">
                  <w:txbxContent>
                    <w:p w:rsidR="0057431A" w:rsidRPr="002B7096" w:rsidRDefault="0057431A" w:rsidP="00EC3A17">
                      <w:pPr>
                        <w:spacing w:before="120"/>
                        <w:jc w:val="center"/>
                        <w:rPr>
                          <w:b/>
                          <w:szCs w:val="28"/>
                        </w:rPr>
                      </w:pPr>
                      <w:r>
                        <w:rPr>
                          <w:b/>
                          <w:szCs w:val="28"/>
                          <w:lang w:val="en-US"/>
                        </w:rPr>
                        <w:t>VII</w:t>
                      </w:r>
                      <w:r w:rsidRPr="002B7096">
                        <w:rPr>
                          <w:b/>
                          <w:szCs w:val="28"/>
                        </w:rPr>
                        <w:t xml:space="preserve"> етап</w:t>
                      </w:r>
                    </w:p>
                  </w:txbxContent>
                </v:textbox>
              </v:rect>
            </w:pict>
          </mc:Fallback>
        </mc:AlternateContent>
      </w:r>
      <w:r w:rsidRPr="00A14E81">
        <w:rPr>
          <w:noProof/>
          <w:color w:val="000000"/>
          <w:szCs w:val="28"/>
          <w:lang w:val="ru-RU"/>
        </w:rPr>
        <mc:AlternateContent>
          <mc:Choice Requires="wps">
            <w:drawing>
              <wp:anchor distT="0" distB="0" distL="114300" distR="114300" simplePos="0" relativeHeight="251986944" behindDoc="0" locked="0" layoutInCell="1" allowOverlap="1" wp14:anchorId="6E3F33FD" wp14:editId="09BA722A">
                <wp:simplePos x="0" y="0"/>
                <wp:positionH relativeFrom="column">
                  <wp:posOffset>784860</wp:posOffset>
                </wp:positionH>
                <wp:positionV relativeFrom="paragraph">
                  <wp:posOffset>134620</wp:posOffset>
                </wp:positionV>
                <wp:extent cx="5656580" cy="361950"/>
                <wp:effectExtent l="0" t="0" r="58420" b="57150"/>
                <wp:wrapNone/>
                <wp:docPr id="1194" name="Скругленный прямоугольник 119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56580" cy="361950"/>
                        </a:xfrm>
                        <a:prstGeom prst="roundRect">
                          <a:avLst>
                            <a:gd name="adj" fmla="val 16667"/>
                          </a:avLst>
                        </a:prstGeom>
                        <a:gradFill rotWithShape="1">
                          <a:gsLst>
                            <a:gs pos="0">
                              <a:srgbClr val="C0C0C0"/>
                            </a:gs>
                            <a:gs pos="50000">
                              <a:srgbClr val="FFFFFF"/>
                            </a:gs>
                            <a:gs pos="100000">
                              <a:srgbClr val="C0C0C0"/>
                            </a:gs>
                          </a:gsLst>
                          <a:lin ang="5400000" scaled="1"/>
                        </a:gradFill>
                        <a:ln w="25400">
                          <a:solidFill>
                            <a:srgbClr val="000000"/>
                          </a:solidFill>
                          <a:round/>
                          <a:headEnd/>
                          <a:tailEnd/>
                        </a:ln>
                        <a:effectLst>
                          <a:outerShdw dist="35921" dir="2700000" algn="ctr" rotWithShape="0">
                            <a:srgbClr val="808080"/>
                          </a:outerShdw>
                        </a:effectLst>
                      </wps:spPr>
                      <wps:txbx>
                        <w:txbxContent>
                          <w:p w:rsidR="001E1DF5" w:rsidRPr="00143C4D" w:rsidRDefault="001E1DF5" w:rsidP="005F02A7">
                            <w:pPr>
                              <w:spacing w:line="240" w:lineRule="exact"/>
                              <w:jc w:val="center"/>
                              <w:rPr>
                                <w:sz w:val="22"/>
                              </w:rPr>
                            </w:pPr>
                            <w:r w:rsidRPr="00143C4D">
                              <w:rPr>
                                <w:b/>
                                <w:sz w:val="22"/>
                              </w:rPr>
                              <w:t xml:space="preserve">Обґрунтування, розробка та апробація </w:t>
                            </w:r>
                            <w:r w:rsidRPr="00083988">
                              <w:rPr>
                                <w:b/>
                                <w:color w:val="000000" w:themeColor="text1"/>
                                <w:sz w:val="22"/>
                              </w:rPr>
                              <w:t>методології ком</w:t>
                            </w:r>
                            <w:r w:rsidRPr="00143C4D">
                              <w:rPr>
                                <w:b/>
                                <w:sz w:val="22"/>
                              </w:rPr>
                              <w:t>плексної оцінки стану перинатальної допомоги в Україні</w:t>
                            </w:r>
                          </w:p>
                          <w:p w:rsidR="001E1DF5" w:rsidRPr="00BB2E60" w:rsidRDefault="001E1DF5" w:rsidP="00EC3A17">
                            <w:pPr>
                              <w:jc w:val="center"/>
                              <w:rPr>
                                <w:sz w:val="22"/>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1194" o:spid="_x0000_s1081" style="position:absolute;left:0;text-align:left;margin-left:61.8pt;margin-top:10.6pt;width:445.4pt;height:28.5pt;z-index:25198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" fillcolor="silver" strokeweight="2pt">
                <v:fill rotate="t" focus="50%" type="gradient"/>
                <v:shadow on="t"/>
                <v:textbox inset="0,0,0,0">
                  <w:txbxContent>
                    <w:p w:rsidR="00B81470" w:rsidRPr="00143C4D" w:rsidRDefault="00B81470" w:rsidP="005F02A7">
                      <w:pPr>
                        <w:spacing w:line="240" w:lineRule="exact"/>
                        <w:jc w:val="center"/>
                        <w:rPr>
                          <w:sz w:val="22"/>
                        </w:rPr>
                      </w:pPr>
                      <w:r w:rsidRPr="00143C4D">
                        <w:rPr>
                          <w:b/>
                          <w:sz w:val="22"/>
                        </w:rPr>
                        <w:t xml:space="preserve">Обґрунтування, розробка та апробація </w:t>
                      </w:r>
                      <w:r w:rsidRPr="00083988">
                        <w:rPr>
                          <w:b/>
                          <w:color w:val="000000" w:themeColor="text1"/>
                          <w:sz w:val="22"/>
                        </w:rPr>
                        <w:t>методології ком</w:t>
                      </w:r>
                      <w:r w:rsidRPr="00143C4D">
                        <w:rPr>
                          <w:b/>
                          <w:sz w:val="22"/>
                        </w:rPr>
                        <w:t>плексної оцінки стану перинатальної допомоги в Україні</w:t>
                      </w:r>
                      <w:bookmarkStart w:id="1" w:name="_GoBack"/>
                      <w:bookmarkEnd w:id="1"/>
                    </w:p>
                    <w:p w:rsidR="00B81470" w:rsidRPr="00BB2E60" w:rsidRDefault="00B81470" w:rsidP="00EC3A17">
                      <w:pPr>
                        <w:jc w:val="center"/>
                        <w:rPr>
                          <w:sz w:val="22"/>
                        </w:rPr>
                      </w:pPr>
                    </w:p>
                  </w:txbxContent>
                </v:textbox>
              </v:roundrect>
            </w:pict>
          </mc:Fallback>
        </mc:AlternateContent>
      </w:r>
    </w:p>
    <w:p w:rsidR="00EC3A17" w:rsidRPr="00EC3A17" w:rsidRDefault="00EC3A17" w:rsidP="00EC3A17">
      <w:pPr>
        <w:autoSpaceDE w:val="0"/>
        <w:autoSpaceDN w:val="0"/>
        <w:adjustRightInd w:val="0"/>
        <w:spacing w:line="240" w:lineRule="auto"/>
        <w:rPr>
          <w:rFonts w:eastAsia="Times New Roman"/>
          <w:szCs w:val="28"/>
          <w:lang w:eastAsia="uk-UA"/>
        </w:rPr>
      </w:pPr>
    </w:p>
    <w:p w:rsidR="00EC3A17" w:rsidRPr="00EC3A17" w:rsidRDefault="00EC3A17" w:rsidP="00EC3A17">
      <w:pPr>
        <w:autoSpaceDE w:val="0"/>
        <w:autoSpaceDN w:val="0"/>
        <w:adjustRightInd w:val="0"/>
        <w:spacing w:line="240" w:lineRule="auto"/>
        <w:rPr>
          <w:rFonts w:eastAsia="Times New Roman"/>
          <w:szCs w:val="28"/>
          <w:lang w:eastAsia="uk-UA"/>
        </w:rPr>
      </w:pPr>
      <w:r w:rsidRPr="00EC3A17">
        <w:rPr>
          <w:rFonts w:eastAsia="Times New Roman"/>
          <w:noProof/>
          <w:szCs w:val="28"/>
          <w:lang w:val="ru-RU" w:eastAsia="ru-RU"/>
        </w:rPr>
        <mc:AlternateContent>
          <mc:Choice Requires="wps">
            <w:drawing>
              <wp:anchor distT="0" distB="0" distL="114300" distR="114300" simplePos="0" relativeHeight="251965440" behindDoc="0" locked="0" layoutInCell="1" allowOverlap="1" wp14:anchorId="50BA7578" wp14:editId="1C396FFC">
                <wp:simplePos x="0" y="0"/>
                <wp:positionH relativeFrom="column">
                  <wp:posOffset>4460875</wp:posOffset>
                </wp:positionH>
                <wp:positionV relativeFrom="paragraph">
                  <wp:posOffset>99060</wp:posOffset>
                </wp:positionV>
                <wp:extent cx="1975485" cy="495300"/>
                <wp:effectExtent l="0" t="0" r="24765" b="19050"/>
                <wp:wrapNone/>
                <wp:docPr id="126" name="Скругленный прямоугольник 1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75485" cy="495300"/>
                        </a:xfrm>
                        <a:prstGeom prst="roundRect">
                          <a:avLst>
                            <a:gd name="adj" fmla="val 16667"/>
                          </a:avLst>
                        </a:prstGeom>
                        <a:solidFill>
                          <a:srgbClr val="FFFFFF"/>
                        </a:solidFill>
                        <a:ln w="9525">
                          <a:solidFill>
                            <a:srgbClr val="000000"/>
                          </a:solidFill>
                          <a:round/>
                          <a:headEnd/>
                          <a:tailEnd/>
                        </a:ln>
                      </wps:spPr>
                      <wps:txbx>
                        <w:txbxContent>
                          <w:p w:rsidR="001E1DF5" w:rsidRPr="001F534C" w:rsidRDefault="001E1DF5" w:rsidP="00EC3A17">
                            <w:pPr>
                              <w:spacing w:line="216" w:lineRule="auto"/>
                              <w:jc w:val="center"/>
                              <w:rPr>
                                <w:sz w:val="22"/>
                              </w:rPr>
                            </w:pPr>
                            <w:r w:rsidRPr="00671214">
                              <w:rPr>
                                <w:bCs/>
                                <w:color w:val="000000"/>
                                <w:sz w:val="22"/>
                                <w:lang w:eastAsia="ru-RU"/>
                              </w:rPr>
                              <w:t xml:space="preserve">Апробація </w:t>
                            </w:r>
                            <w:r>
                              <w:rPr>
                                <w:bCs/>
                                <w:color w:val="000000"/>
                                <w:sz w:val="22"/>
                                <w:lang w:eastAsia="ru-RU"/>
                              </w:rPr>
                              <w:t xml:space="preserve">МКО діяльності закладів </w:t>
                            </w:r>
                            <w:r w:rsidRPr="00671214">
                              <w:rPr>
                                <w:bCs/>
                                <w:color w:val="000000"/>
                                <w:sz w:val="22"/>
                                <w:lang w:eastAsia="ru-RU"/>
                              </w:rPr>
                              <w:t>ПД І, ІІ і ІІІ рівнів на національному рівні</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126" o:spid="_x0000_s1082" style="position:absolute;left:0;text-align:left;margin-left:351.25pt;margin-top:7.8pt;width:155.55pt;height:39pt;z-index:251965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">
                <v:textbox inset="0,0,0,0">
                  <w:txbxContent>
                    <w:p w:rsidR="0057431A" w:rsidRPr="001F534C" w:rsidRDefault="0057431A" w:rsidP="00EC3A17">
                      <w:pPr>
                        <w:spacing w:line="216" w:lineRule="auto"/>
                        <w:jc w:val="center"/>
                        <w:rPr>
                          <w:sz w:val="22"/>
                        </w:rPr>
                      </w:pPr>
                      <w:r w:rsidRPr="00671214">
                        <w:rPr>
                          <w:bCs/>
                          <w:color w:val="000000"/>
                          <w:sz w:val="22"/>
                          <w:lang w:eastAsia="ru-RU"/>
                        </w:rPr>
                        <w:t xml:space="preserve">Апробація </w:t>
                      </w:r>
                      <w:r>
                        <w:rPr>
                          <w:bCs/>
                          <w:color w:val="000000"/>
                          <w:sz w:val="22"/>
                          <w:lang w:eastAsia="ru-RU"/>
                        </w:rPr>
                        <w:t xml:space="preserve">МКО діяльності закладів </w:t>
                      </w:r>
                      <w:r w:rsidRPr="00671214">
                        <w:rPr>
                          <w:bCs/>
                          <w:color w:val="000000"/>
                          <w:sz w:val="22"/>
                          <w:lang w:eastAsia="ru-RU"/>
                        </w:rPr>
                        <w:t>ПД І, ІІ і ІІІ рівнів на національному рівні</w:t>
                      </w:r>
                    </w:p>
                  </w:txbxContent>
                </v:textbox>
              </v:roundrect>
            </w:pict>
          </mc:Fallback>
        </mc:AlternateContent>
      </w:r>
      <w:r w:rsidRPr="00EC3A17">
        <w:rPr>
          <w:rFonts w:eastAsia="Times New Roman"/>
          <w:noProof/>
          <w:szCs w:val="28"/>
          <w:lang w:val="ru-RU" w:eastAsia="ru-RU"/>
        </w:rPr>
        <mc:AlternateContent>
          <mc:Choice Requires="wps">
            <w:drawing>
              <wp:anchor distT="0" distB="0" distL="114300" distR="114300" simplePos="0" relativeHeight="251964416" behindDoc="0" locked="0" layoutInCell="1" allowOverlap="1" wp14:anchorId="6289E5E5" wp14:editId="5F4569BE">
                <wp:simplePos x="0" y="0"/>
                <wp:positionH relativeFrom="column">
                  <wp:posOffset>-83348</wp:posOffset>
                </wp:positionH>
                <wp:positionV relativeFrom="paragraph">
                  <wp:posOffset>91258</wp:posOffset>
                </wp:positionV>
                <wp:extent cx="4516120" cy="495300"/>
                <wp:effectExtent l="0" t="0" r="17780" b="19050"/>
                <wp:wrapNone/>
                <wp:docPr id="127" name="Скругленный прямоугольник 1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16120" cy="495300"/>
                        </a:xfrm>
                        <a:prstGeom prst="roundRect">
                          <a:avLst>
                            <a:gd name="adj" fmla="val 16667"/>
                          </a:avLst>
                        </a:prstGeom>
                        <a:solidFill>
                          <a:srgbClr val="FFFFFF"/>
                        </a:solidFill>
                        <a:ln w="9525">
                          <a:solidFill>
                            <a:srgbClr val="000000"/>
                          </a:solidFill>
                          <a:round/>
                          <a:headEnd/>
                          <a:tailEnd/>
                        </a:ln>
                      </wps:spPr>
                      <wps:txbx>
                        <w:txbxContent>
                          <w:p w:rsidR="001E1DF5" w:rsidRPr="001F534C" w:rsidRDefault="001E1DF5" w:rsidP="00EC3A17">
                            <w:pPr>
                              <w:spacing w:line="216" w:lineRule="auto"/>
                              <w:jc w:val="center"/>
                              <w:rPr>
                                <w:sz w:val="22"/>
                              </w:rPr>
                            </w:pPr>
                            <w:r>
                              <w:rPr>
                                <w:bCs/>
                                <w:color w:val="000000"/>
                                <w:sz w:val="22"/>
                                <w:lang w:eastAsia="ru-RU"/>
                              </w:rPr>
                              <w:t>Обґрунтування та розробка комплексної оцінки</w:t>
                            </w:r>
                            <w:r w:rsidRPr="00671214">
                              <w:rPr>
                                <w:bCs/>
                                <w:color w:val="000000"/>
                                <w:sz w:val="22"/>
                                <w:lang w:eastAsia="ru-RU"/>
                              </w:rPr>
                              <w:t xml:space="preserve"> стану п</w:t>
                            </w:r>
                            <w:r>
                              <w:rPr>
                                <w:bCs/>
                                <w:color w:val="000000"/>
                                <w:sz w:val="22"/>
                                <w:lang w:eastAsia="ru-RU"/>
                              </w:rPr>
                              <w:t xml:space="preserve">еринатальної допомоги в Україні: індикатори діяльності, методологія та моделі комплексної оцінки (МКО) на рівні країни, області та окремого закладу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127" o:spid="_x0000_s1083" style="position:absolute;left:0;text-align:left;margin-left:-6.55pt;margin-top:7.2pt;width:355.6pt;height:39pt;z-index:251964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">
                <v:textbox inset="0,0,0,0">
                  <w:txbxContent>
                    <w:p w:rsidR="0057431A" w:rsidRPr="001F534C" w:rsidRDefault="0057431A" w:rsidP="00EC3A17">
                      <w:pPr>
                        <w:spacing w:line="216" w:lineRule="auto"/>
                        <w:jc w:val="center"/>
                        <w:rPr>
                          <w:sz w:val="22"/>
                        </w:rPr>
                      </w:pPr>
                      <w:r>
                        <w:rPr>
                          <w:bCs/>
                          <w:color w:val="000000"/>
                          <w:sz w:val="22"/>
                          <w:lang w:eastAsia="ru-RU"/>
                        </w:rPr>
                        <w:t>Обґрунтування та розробка комплексної оцінки</w:t>
                      </w:r>
                      <w:r w:rsidRPr="00671214">
                        <w:rPr>
                          <w:bCs/>
                          <w:color w:val="000000"/>
                          <w:sz w:val="22"/>
                          <w:lang w:eastAsia="ru-RU"/>
                        </w:rPr>
                        <w:t xml:space="preserve"> стану п</w:t>
                      </w:r>
                      <w:r>
                        <w:rPr>
                          <w:bCs/>
                          <w:color w:val="000000"/>
                          <w:sz w:val="22"/>
                          <w:lang w:eastAsia="ru-RU"/>
                        </w:rPr>
                        <w:t xml:space="preserve">еринатальної допомоги в Україні: індикатори діяльності, методологія та моделі комплексної оцінки (МКО) на рівні країни, області та окремого закладу </w:t>
                      </w:r>
                    </w:p>
                  </w:txbxContent>
                </v:textbox>
              </v:roundrect>
            </w:pict>
          </mc:Fallback>
        </mc:AlternateContent>
      </w:r>
    </w:p>
    <w:p w:rsidR="00EC3A17" w:rsidRPr="00EC3A17" w:rsidRDefault="00EC3A17" w:rsidP="00EC3A17">
      <w:pPr>
        <w:autoSpaceDE w:val="0"/>
        <w:autoSpaceDN w:val="0"/>
        <w:adjustRightInd w:val="0"/>
        <w:spacing w:line="240" w:lineRule="auto"/>
        <w:rPr>
          <w:rFonts w:eastAsia="Times New Roman"/>
          <w:szCs w:val="28"/>
          <w:lang w:eastAsia="uk-UA"/>
        </w:rPr>
      </w:pPr>
    </w:p>
    <w:p w:rsidR="00EC3A17" w:rsidRPr="00EC3A17" w:rsidRDefault="00EC3A17" w:rsidP="00EC3A17">
      <w:pPr>
        <w:autoSpaceDE w:val="0"/>
        <w:autoSpaceDN w:val="0"/>
        <w:adjustRightInd w:val="0"/>
        <w:spacing w:line="240" w:lineRule="auto"/>
        <w:rPr>
          <w:rFonts w:eastAsia="Times New Roman"/>
          <w:szCs w:val="28"/>
          <w:lang w:eastAsia="uk-UA"/>
        </w:rPr>
      </w:pPr>
    </w:p>
    <w:p w:rsidR="00EC3A17" w:rsidRPr="00EC3A17" w:rsidRDefault="00EC3A17" w:rsidP="00EC3A17">
      <w:pPr>
        <w:autoSpaceDE w:val="0"/>
        <w:autoSpaceDN w:val="0"/>
        <w:adjustRightInd w:val="0"/>
        <w:spacing w:line="240" w:lineRule="auto"/>
        <w:rPr>
          <w:rFonts w:eastAsia="Times New Roman"/>
          <w:szCs w:val="28"/>
          <w:lang w:eastAsia="uk-UA"/>
        </w:rPr>
      </w:pPr>
      <w:r w:rsidRPr="00EC3A17">
        <w:rPr>
          <w:rFonts w:eastAsia="Times New Roman"/>
          <w:noProof/>
          <w:szCs w:val="28"/>
          <w:lang w:val="ru-RU" w:eastAsia="ru-RU"/>
        </w:rPr>
        <mc:AlternateContent>
          <mc:Choice Requires="wps">
            <w:drawing>
              <wp:anchor distT="0" distB="0" distL="114300" distR="114300" simplePos="0" relativeHeight="251966464" behindDoc="0" locked="0" layoutInCell="1" allowOverlap="1" wp14:anchorId="04F678EA" wp14:editId="7E896925">
                <wp:simplePos x="0" y="0"/>
                <wp:positionH relativeFrom="column">
                  <wp:posOffset>-66675</wp:posOffset>
                </wp:positionH>
                <wp:positionV relativeFrom="paragraph">
                  <wp:posOffset>41029</wp:posOffset>
                </wp:positionV>
                <wp:extent cx="6503425" cy="590550"/>
                <wp:effectExtent l="0" t="0" r="12065" b="19050"/>
                <wp:wrapNone/>
                <wp:docPr id="1152" name="Прямоугольник 11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03425" cy="590550"/>
                        </a:xfrm>
                        <a:prstGeom prst="rect">
                          <a:avLst/>
                        </a:prstGeom>
                        <a:solidFill>
                          <a:srgbClr val="FFFFFF"/>
                        </a:solidFill>
                        <a:ln w="9525">
                          <a:solidFill>
                            <a:srgbClr val="000000"/>
                          </a:solidFill>
                          <a:miter lim="800000"/>
                          <a:headEnd/>
                          <a:tailEnd/>
                        </a:ln>
                      </wps:spPr>
                      <wps:txbx>
                        <w:txbxContent>
                          <w:p w:rsidR="001E1DF5" w:rsidRPr="00083988" w:rsidRDefault="001E1DF5" w:rsidP="00EC3A17">
                            <w:pPr>
                              <w:spacing w:line="216" w:lineRule="auto"/>
                              <w:rPr>
                                <w:bCs/>
                                <w:sz w:val="22"/>
                              </w:rPr>
                            </w:pPr>
                            <w:r>
                              <w:rPr>
                                <w:bCs/>
                                <w:sz w:val="22"/>
                              </w:rPr>
                              <w:t>Д</w:t>
                            </w:r>
                            <w:r w:rsidRPr="00ED67C8">
                              <w:rPr>
                                <w:bCs/>
                                <w:sz w:val="22"/>
                              </w:rPr>
                              <w:t>ані ДЗ ЦМС МОЗ України «Моніторинг стану здоров’я матері та дитини»</w:t>
                            </w:r>
                            <w:r>
                              <w:rPr>
                                <w:bCs/>
                                <w:sz w:val="22"/>
                              </w:rPr>
                              <w:t>; обласні звіти</w:t>
                            </w:r>
                            <w:r w:rsidRPr="00DC2DB5">
                              <w:rPr>
                                <w:bCs/>
                                <w:sz w:val="22"/>
                              </w:rPr>
                              <w:t xml:space="preserve"> результатів </w:t>
                            </w:r>
                            <w:r>
                              <w:rPr>
                                <w:bCs/>
                                <w:sz w:val="22"/>
                              </w:rPr>
                              <w:t xml:space="preserve">реалізації Національного </w:t>
                            </w:r>
                            <w:r w:rsidRPr="00083988">
                              <w:rPr>
                                <w:bCs/>
                                <w:sz w:val="22"/>
                              </w:rPr>
                              <w:t>проєкту «Нове життя – нова якість охорони материнства та дитинства» та обласні моніторингові показники впровадження регіоналізації перинатальної допомоги (МіО РПД); анкети фокус-інтерв’ювання (експертне оцінювання) –  за 2013-2018 рр. всього 209 од.</w:t>
                            </w:r>
                          </w:p>
                        </w:txbxContent>
                      </wps:txbx>
                      <wps:bodyPr rot="0" vert="horz" wrap="square" lIns="18000" tIns="10800" rIns="18000" bIns="1080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152" o:spid="_x0000_s1084" style="position:absolute;left:0;text-align:left;margin-left:-5.25pt;margin-top:3.25pt;width:512.1pt;height:46.5pt;z-index:251966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">
                <v:textbox inset=".5mm,.3mm,.5mm,.3mm">
                  <w:txbxContent>
                    <w:p w:rsidR="0057431A" w:rsidRPr="00083988" w:rsidRDefault="0057431A" w:rsidP="00EC3A17">
                      <w:pPr>
                        <w:spacing w:line="216" w:lineRule="auto"/>
                        <w:rPr>
                          <w:bCs/>
                          <w:sz w:val="22"/>
                        </w:rPr>
                      </w:pPr>
                      <w:r>
                        <w:rPr>
                          <w:bCs/>
                          <w:sz w:val="22"/>
                        </w:rPr>
                        <w:t>Д</w:t>
                      </w:r>
                      <w:r w:rsidRPr="00ED67C8">
                        <w:rPr>
                          <w:bCs/>
                          <w:sz w:val="22"/>
                        </w:rPr>
                        <w:t>ані ДЗ ЦМС МОЗ України «Моніторинг стану здоров’я матері та дитини»</w:t>
                      </w:r>
                      <w:r>
                        <w:rPr>
                          <w:bCs/>
                          <w:sz w:val="22"/>
                        </w:rPr>
                        <w:t>; обласні звіти</w:t>
                      </w:r>
                      <w:r w:rsidRPr="00DC2DB5">
                        <w:rPr>
                          <w:bCs/>
                          <w:sz w:val="22"/>
                        </w:rPr>
                        <w:t xml:space="preserve"> результатів </w:t>
                      </w:r>
                      <w:r>
                        <w:rPr>
                          <w:bCs/>
                          <w:sz w:val="22"/>
                        </w:rPr>
                        <w:t xml:space="preserve">реалізації Національного </w:t>
                      </w:r>
                      <w:r w:rsidRPr="00083988">
                        <w:rPr>
                          <w:bCs/>
                          <w:sz w:val="22"/>
                        </w:rPr>
                        <w:t>проєкту «Нове життя – нова якість охорони материнства та дитинства» та обласні моніторингові показники впровадження регіоналізації перинатальної допомоги (МіО РПД); анкети фокус-інтерв’ювання (експертне оцінювання) –  за 2013-2018 рр. всього 209 од.</w:t>
                      </w:r>
                    </w:p>
                  </w:txbxContent>
                </v:textbox>
              </v:rect>
            </w:pict>
          </mc:Fallback>
        </mc:AlternateContent>
      </w:r>
    </w:p>
    <w:p w:rsidR="00EC3A17" w:rsidRPr="00EC3A17" w:rsidRDefault="00EC3A17" w:rsidP="00EC3A17">
      <w:pPr>
        <w:autoSpaceDE w:val="0"/>
        <w:autoSpaceDN w:val="0"/>
        <w:adjustRightInd w:val="0"/>
        <w:spacing w:line="240" w:lineRule="auto"/>
        <w:rPr>
          <w:rFonts w:eastAsia="Times New Roman"/>
          <w:szCs w:val="28"/>
          <w:lang w:eastAsia="uk-UA"/>
        </w:rPr>
      </w:pPr>
    </w:p>
    <w:p w:rsidR="00EC3A17" w:rsidRPr="00EC3A17" w:rsidRDefault="00EC3A17" w:rsidP="00EC3A17">
      <w:pPr>
        <w:autoSpaceDE w:val="0"/>
        <w:autoSpaceDN w:val="0"/>
        <w:adjustRightInd w:val="0"/>
        <w:spacing w:line="240" w:lineRule="auto"/>
        <w:rPr>
          <w:rFonts w:eastAsia="Times New Roman"/>
          <w:b/>
          <w:bCs/>
          <w:szCs w:val="28"/>
          <w:lang w:eastAsia="uk-UA"/>
        </w:rPr>
      </w:pPr>
    </w:p>
    <w:p w:rsidR="00EC3A17" w:rsidRPr="00EC3A17" w:rsidRDefault="00EC3A17" w:rsidP="00EC3A17">
      <w:pPr>
        <w:autoSpaceDE w:val="0"/>
        <w:autoSpaceDN w:val="0"/>
        <w:adjustRightInd w:val="0"/>
        <w:spacing w:line="240" w:lineRule="auto"/>
        <w:rPr>
          <w:rFonts w:eastAsia="Times New Roman"/>
          <w:b/>
          <w:bCs/>
          <w:szCs w:val="28"/>
          <w:lang w:eastAsia="uk-UA"/>
        </w:rPr>
      </w:pPr>
      <w:r w:rsidRPr="00EC3A17">
        <w:rPr>
          <w:rFonts w:eastAsia="Times New Roman"/>
          <w:noProof/>
          <w:szCs w:val="28"/>
          <w:lang w:val="ru-RU" w:eastAsia="ru-RU"/>
        </w:rPr>
        <mc:AlternateContent>
          <mc:Choice Requires="wps">
            <w:drawing>
              <wp:anchor distT="0" distB="0" distL="114300" distR="114300" simplePos="0" relativeHeight="251963392" behindDoc="0" locked="0" layoutInCell="1" allowOverlap="1" wp14:anchorId="78939CDC" wp14:editId="51F59DD4">
                <wp:simplePos x="0" y="0"/>
                <wp:positionH relativeFrom="column">
                  <wp:posOffset>-46990</wp:posOffset>
                </wp:positionH>
                <wp:positionV relativeFrom="paragraph">
                  <wp:posOffset>95885</wp:posOffset>
                </wp:positionV>
                <wp:extent cx="800100" cy="424180"/>
                <wp:effectExtent l="0" t="0" r="57150" b="52070"/>
                <wp:wrapNone/>
                <wp:docPr id="1153" name="Прямоугольник 11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00100" cy="424180"/>
                        </a:xfrm>
                        <a:prstGeom prst="rect">
                          <a:avLst/>
                        </a:prstGeom>
                        <a:gradFill rotWithShape="1">
                          <a:gsLst>
                            <a:gs pos="0">
                              <a:srgbClr val="C0C0C0"/>
                            </a:gs>
                            <a:gs pos="50000">
                              <a:srgbClr val="FBFBFB"/>
                            </a:gs>
                            <a:gs pos="100000">
                              <a:srgbClr val="C0C0C0"/>
                            </a:gs>
                          </a:gsLst>
                          <a:lin ang="5400000" scaled="1"/>
                        </a:gradFill>
                        <a:ln w="25400">
                          <a:solidFill>
                            <a:srgbClr val="000000"/>
                          </a:solidFill>
                          <a:miter lim="800000"/>
                          <a:headEnd/>
                          <a:tailEnd/>
                        </a:ln>
                        <a:effectLst>
                          <a:outerShdw dist="53882" dir="2700000" algn="ctr" rotWithShape="0">
                            <a:srgbClr val="808080"/>
                          </a:outerShdw>
                        </a:effectLst>
                      </wps:spPr>
                      <wps:txbx>
                        <w:txbxContent>
                          <w:p w:rsidR="001E1DF5" w:rsidRPr="002B7096" w:rsidRDefault="001E1DF5" w:rsidP="00EC3A17">
                            <w:pPr>
                              <w:spacing w:before="120"/>
                              <w:jc w:val="center"/>
                              <w:rPr>
                                <w:b/>
                                <w:szCs w:val="28"/>
                              </w:rPr>
                            </w:pPr>
                            <w:r>
                              <w:rPr>
                                <w:b/>
                                <w:szCs w:val="28"/>
                                <w:lang w:val="en-US"/>
                              </w:rPr>
                              <w:t>VIII</w:t>
                            </w:r>
                            <w:r w:rsidRPr="002B7096">
                              <w:rPr>
                                <w:b/>
                                <w:szCs w:val="28"/>
                              </w:rPr>
                              <w:t xml:space="preserve"> етап</w:t>
                            </w:r>
                          </w:p>
                        </w:txbxContent>
                      </wps:txbx>
                      <wps:bodyPr rot="0" vert="horz" wrap="square" lIns="18000" tIns="10800" rIns="18000" bIns="1080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153" o:spid="_x0000_s1085" style="position:absolute;left:0;text-align:left;margin-left:-3.7pt;margin-top:7.55pt;width:63pt;height:33.4pt;z-index:251963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" fillcolor="silver" strokeweight="2pt">
                <v:fill color2="#fbfbfb" rotate="t" focus="50%" type="gradient"/>
                <v:shadow on="t" offset="3pt,3pt"/>
                <v:textbox inset=".5mm,.3mm,.5mm,.3mm">
                  <w:txbxContent>
                    <w:p w:rsidR="0057431A" w:rsidRPr="002B7096" w:rsidRDefault="0057431A" w:rsidP="00EC3A17">
                      <w:pPr>
                        <w:spacing w:before="120"/>
                        <w:jc w:val="center"/>
                        <w:rPr>
                          <w:b/>
                          <w:szCs w:val="28"/>
                        </w:rPr>
                      </w:pPr>
                      <w:r>
                        <w:rPr>
                          <w:b/>
                          <w:szCs w:val="28"/>
                          <w:lang w:val="en-US"/>
                        </w:rPr>
                        <w:t>VIII</w:t>
                      </w:r>
                      <w:r w:rsidRPr="002B7096">
                        <w:rPr>
                          <w:b/>
                          <w:szCs w:val="28"/>
                        </w:rPr>
                        <w:t xml:space="preserve"> етап</w:t>
                      </w:r>
                    </w:p>
                  </w:txbxContent>
                </v:textbox>
              </v:rect>
            </w:pict>
          </mc:Fallback>
        </mc:AlternateContent>
      </w:r>
      <w:r w:rsidRPr="00EC3A17">
        <w:rPr>
          <w:rFonts w:eastAsia="Times New Roman"/>
          <w:noProof/>
          <w:szCs w:val="28"/>
          <w:lang w:val="ru-RU" w:eastAsia="ru-RU"/>
        </w:rPr>
        <mc:AlternateContent>
          <mc:Choice Requires="wps">
            <w:drawing>
              <wp:anchor distT="0" distB="0" distL="114300" distR="114300" simplePos="0" relativeHeight="251967488" behindDoc="0" locked="0" layoutInCell="1" allowOverlap="1" wp14:anchorId="56B4BC3C" wp14:editId="6EA62B0D">
                <wp:simplePos x="0" y="0"/>
                <wp:positionH relativeFrom="column">
                  <wp:posOffset>824865</wp:posOffset>
                </wp:positionH>
                <wp:positionV relativeFrom="paragraph">
                  <wp:posOffset>94615</wp:posOffset>
                </wp:positionV>
                <wp:extent cx="5656580" cy="424180"/>
                <wp:effectExtent l="0" t="0" r="58420" b="52070"/>
                <wp:wrapNone/>
                <wp:docPr id="1154" name="Скругленный прямоугольник 11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56580" cy="424180"/>
                        </a:xfrm>
                        <a:prstGeom prst="roundRect">
                          <a:avLst>
                            <a:gd name="adj" fmla="val 16667"/>
                          </a:avLst>
                        </a:prstGeom>
                        <a:gradFill rotWithShape="1">
                          <a:gsLst>
                            <a:gs pos="0">
                              <a:srgbClr val="C0C0C0"/>
                            </a:gs>
                            <a:gs pos="50000">
                              <a:srgbClr val="FFFFFF"/>
                            </a:gs>
                            <a:gs pos="100000">
                              <a:srgbClr val="C0C0C0"/>
                            </a:gs>
                          </a:gsLst>
                          <a:lin ang="5400000" scaled="1"/>
                        </a:gradFill>
                        <a:ln w="25400">
                          <a:solidFill>
                            <a:srgbClr val="000000"/>
                          </a:solidFill>
                          <a:round/>
                          <a:headEnd/>
                          <a:tailEnd/>
                        </a:ln>
                        <a:effectLst>
                          <a:outerShdw dist="35921" dir="2700000" algn="ctr" rotWithShape="0">
                            <a:srgbClr val="808080"/>
                          </a:outerShdw>
                        </a:effectLst>
                      </wps:spPr>
                      <wps:txbx>
                        <w:txbxContent>
                          <w:p w:rsidR="001E1DF5" w:rsidRPr="007A744D" w:rsidRDefault="001E1DF5" w:rsidP="00EC3A17">
                            <w:pPr>
                              <w:spacing w:line="240" w:lineRule="auto"/>
                              <w:jc w:val="center"/>
                              <w:rPr>
                                <w:b/>
                                <w:bCs/>
                                <w:sz w:val="22"/>
                              </w:rPr>
                            </w:pPr>
                            <w:r w:rsidRPr="007A744D">
                              <w:rPr>
                                <w:b/>
                                <w:bCs/>
                                <w:sz w:val="22"/>
                              </w:rPr>
                              <w:t xml:space="preserve">Обґрунтування інноваційної системи медико-соціальної допомоги дітям до </w:t>
                            </w:r>
                          </w:p>
                          <w:p w:rsidR="001E1DF5" w:rsidRPr="00BB2E60" w:rsidRDefault="001E1DF5" w:rsidP="00EC3A17">
                            <w:pPr>
                              <w:spacing w:line="240" w:lineRule="auto"/>
                              <w:jc w:val="center"/>
                              <w:rPr>
                                <w:sz w:val="22"/>
                              </w:rPr>
                            </w:pPr>
                            <w:r w:rsidRPr="007A744D">
                              <w:rPr>
                                <w:b/>
                                <w:bCs/>
                                <w:sz w:val="22"/>
                              </w:rPr>
                              <w:t xml:space="preserve">5 років в Україні та доведення </w:t>
                            </w:r>
                            <w:r>
                              <w:rPr>
                                <w:b/>
                                <w:bCs/>
                                <w:sz w:val="22"/>
                              </w:rPr>
                              <w:t>ефективності в</w:t>
                            </w:r>
                            <w:r w:rsidRPr="007A744D">
                              <w:rPr>
                                <w:b/>
                                <w:bCs/>
                                <w:sz w:val="22"/>
                              </w:rPr>
                              <w:t>провадження окремих її елементів</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1154" o:spid="_x0000_s1086" style="position:absolute;left:0;text-align:left;margin-left:64.95pt;margin-top:7.45pt;width:445.4pt;height:33.4pt;z-index:251967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" fillcolor="silver" strokeweight="2pt">
                <v:fill rotate="t" focus="50%" type="gradient"/>
                <v:shadow on="t"/>
                <v:textbox inset="0,0,0,0">
                  <w:txbxContent>
                    <w:p w:rsidR="0057431A" w:rsidRPr="007A744D" w:rsidRDefault="0057431A" w:rsidP="00EC3A17">
                      <w:pPr>
                        <w:spacing w:line="240" w:lineRule="auto"/>
                        <w:jc w:val="center"/>
                        <w:rPr>
                          <w:b/>
                          <w:bCs/>
                          <w:sz w:val="22"/>
                        </w:rPr>
                      </w:pPr>
                      <w:r w:rsidRPr="007A744D">
                        <w:rPr>
                          <w:b/>
                          <w:bCs/>
                          <w:sz w:val="22"/>
                        </w:rPr>
                        <w:t xml:space="preserve">Обґрунтування інноваційної системи медико-соціальної допомоги дітям до </w:t>
                      </w:r>
                    </w:p>
                    <w:p w:rsidR="0057431A" w:rsidRPr="00BB2E60" w:rsidRDefault="0057431A" w:rsidP="00EC3A17">
                      <w:pPr>
                        <w:spacing w:line="240" w:lineRule="auto"/>
                        <w:jc w:val="center"/>
                        <w:rPr>
                          <w:sz w:val="22"/>
                        </w:rPr>
                      </w:pPr>
                      <w:r w:rsidRPr="007A744D">
                        <w:rPr>
                          <w:b/>
                          <w:bCs/>
                          <w:sz w:val="22"/>
                        </w:rPr>
                        <w:t xml:space="preserve">5 років в Україні та доведення </w:t>
                      </w:r>
                      <w:r>
                        <w:rPr>
                          <w:b/>
                          <w:bCs/>
                          <w:sz w:val="22"/>
                        </w:rPr>
                        <w:t>ефективності в</w:t>
                      </w:r>
                      <w:r w:rsidRPr="007A744D">
                        <w:rPr>
                          <w:b/>
                          <w:bCs/>
                          <w:sz w:val="22"/>
                        </w:rPr>
                        <w:t>провадження окремих її елементів</w:t>
                      </w:r>
                    </w:p>
                  </w:txbxContent>
                </v:textbox>
              </v:roundrect>
            </w:pict>
          </mc:Fallback>
        </mc:AlternateContent>
      </w:r>
    </w:p>
    <w:p w:rsidR="00EC3A17" w:rsidRPr="00EC3A17" w:rsidRDefault="00EC3A17" w:rsidP="00EC3A17">
      <w:pPr>
        <w:autoSpaceDE w:val="0"/>
        <w:autoSpaceDN w:val="0"/>
        <w:adjustRightInd w:val="0"/>
        <w:spacing w:line="240" w:lineRule="auto"/>
        <w:rPr>
          <w:rFonts w:eastAsia="Times New Roman"/>
          <w:szCs w:val="28"/>
          <w:lang w:eastAsia="uk-UA"/>
        </w:rPr>
      </w:pPr>
    </w:p>
    <w:p w:rsidR="00EC3A17" w:rsidRPr="00EC3A17" w:rsidRDefault="00EC3A17" w:rsidP="00EC3A17">
      <w:pPr>
        <w:tabs>
          <w:tab w:val="left" w:pos="1625"/>
          <w:tab w:val="left" w:pos="3051"/>
        </w:tabs>
        <w:autoSpaceDE w:val="0"/>
        <w:autoSpaceDN w:val="0"/>
        <w:adjustRightInd w:val="0"/>
        <w:spacing w:line="240" w:lineRule="auto"/>
        <w:rPr>
          <w:rFonts w:eastAsia="Times New Roman"/>
          <w:szCs w:val="28"/>
          <w:lang w:eastAsia="uk-UA"/>
        </w:rPr>
      </w:pPr>
      <w:r w:rsidRPr="00EC3A17">
        <w:rPr>
          <w:rFonts w:eastAsia="Times New Roman"/>
          <w:noProof/>
          <w:szCs w:val="28"/>
          <w:lang w:val="ru-RU" w:eastAsia="ru-RU"/>
        </w:rPr>
        <mc:AlternateContent>
          <mc:Choice Requires="wps">
            <w:drawing>
              <wp:anchor distT="0" distB="0" distL="114300" distR="114300" simplePos="0" relativeHeight="251968512" behindDoc="0" locked="0" layoutInCell="1" allowOverlap="1" wp14:anchorId="77CE8915" wp14:editId="496DD21B">
                <wp:simplePos x="0" y="0"/>
                <wp:positionH relativeFrom="column">
                  <wp:posOffset>-68580</wp:posOffset>
                </wp:positionH>
                <wp:positionV relativeFrom="paragraph">
                  <wp:posOffset>166370</wp:posOffset>
                </wp:positionV>
                <wp:extent cx="3195955" cy="633730"/>
                <wp:effectExtent l="0" t="0" r="23495" b="13970"/>
                <wp:wrapNone/>
                <wp:docPr id="1155" name="Скругленный прямоугольник 11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95955" cy="633730"/>
                        </a:xfrm>
                        <a:prstGeom prst="roundRect">
                          <a:avLst>
                            <a:gd name="adj" fmla="val 16667"/>
                          </a:avLst>
                        </a:prstGeom>
                        <a:solidFill>
                          <a:srgbClr val="FFFFFF"/>
                        </a:solidFill>
                        <a:ln w="9525">
                          <a:solidFill>
                            <a:srgbClr val="000000"/>
                          </a:solidFill>
                          <a:round/>
                          <a:headEnd/>
                          <a:tailEnd/>
                        </a:ln>
                      </wps:spPr>
                      <wps:txbx>
                        <w:txbxContent>
                          <w:p w:rsidR="001E1DF5" w:rsidRPr="001F534C" w:rsidRDefault="001E1DF5" w:rsidP="00EC3A17">
                            <w:pPr>
                              <w:spacing w:line="216" w:lineRule="auto"/>
                              <w:jc w:val="center"/>
                              <w:rPr>
                                <w:sz w:val="22"/>
                              </w:rPr>
                            </w:pPr>
                            <w:r w:rsidRPr="006F373B">
                              <w:rPr>
                                <w:sz w:val="22"/>
                              </w:rPr>
                              <w:t xml:space="preserve">Обґрунтування та розробка </w:t>
                            </w:r>
                            <w:r w:rsidRPr="006F373B">
                              <w:rPr>
                                <w:bCs/>
                                <w:sz w:val="22"/>
                              </w:rPr>
                              <w:t>інноваційної системи медико-соціальної допомоги</w:t>
                            </w:r>
                            <w:r w:rsidRPr="006F373B">
                              <w:rPr>
                                <w:b/>
                                <w:bCs/>
                                <w:sz w:val="22"/>
                              </w:rPr>
                              <w:t xml:space="preserve"> </w:t>
                            </w:r>
                            <w:r w:rsidRPr="006F373B">
                              <w:rPr>
                                <w:bCs/>
                                <w:sz w:val="22"/>
                              </w:rPr>
                              <w:t>дітям (концептуальні підходи, теоретичне підґрунтя, характеристика системи)</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1155" o:spid="_x0000_s1087" style="position:absolute;left:0;text-align:left;margin-left:-5.4pt;margin-top:13.1pt;width:251.65pt;height:49.9pt;z-index:25196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">
                <v:textbox inset="0,0,0,0">
                  <w:txbxContent>
                    <w:p w:rsidR="0057431A" w:rsidRPr="001F534C" w:rsidRDefault="0057431A" w:rsidP="00EC3A17">
                      <w:pPr>
                        <w:spacing w:line="216" w:lineRule="auto"/>
                        <w:jc w:val="center"/>
                        <w:rPr>
                          <w:sz w:val="22"/>
                        </w:rPr>
                      </w:pPr>
                      <w:r w:rsidRPr="006F373B">
                        <w:rPr>
                          <w:sz w:val="22"/>
                        </w:rPr>
                        <w:t xml:space="preserve">Обґрунтування та розробка </w:t>
                      </w:r>
                      <w:r w:rsidRPr="006F373B">
                        <w:rPr>
                          <w:bCs/>
                          <w:sz w:val="22"/>
                        </w:rPr>
                        <w:t>інноваційної системи медико-соціальної допомоги</w:t>
                      </w:r>
                      <w:r w:rsidRPr="006F373B">
                        <w:rPr>
                          <w:b/>
                          <w:bCs/>
                          <w:sz w:val="22"/>
                        </w:rPr>
                        <w:t xml:space="preserve"> </w:t>
                      </w:r>
                      <w:r w:rsidRPr="006F373B">
                        <w:rPr>
                          <w:bCs/>
                          <w:sz w:val="22"/>
                        </w:rPr>
                        <w:t>дітям (концептуальні підходи, теоретичне підґрунтя, характеристика системи)</w:t>
                      </w:r>
                    </w:p>
                  </w:txbxContent>
                </v:textbox>
              </v:roundrect>
            </w:pict>
          </mc:Fallback>
        </mc:AlternateContent>
      </w:r>
      <w:r w:rsidRPr="00EC3A17">
        <w:rPr>
          <w:rFonts w:eastAsia="Times New Roman"/>
          <w:noProof/>
          <w:szCs w:val="28"/>
          <w:lang w:val="ru-RU" w:eastAsia="ru-RU"/>
        </w:rPr>
        <mc:AlternateContent>
          <mc:Choice Requires="wps">
            <w:drawing>
              <wp:anchor distT="0" distB="0" distL="114300" distR="114300" simplePos="0" relativeHeight="251969536" behindDoc="0" locked="0" layoutInCell="1" allowOverlap="1" wp14:anchorId="152229CE" wp14:editId="5AAA8F10">
                <wp:simplePos x="0" y="0"/>
                <wp:positionH relativeFrom="column">
                  <wp:posOffset>3199765</wp:posOffset>
                </wp:positionH>
                <wp:positionV relativeFrom="paragraph">
                  <wp:posOffset>166370</wp:posOffset>
                </wp:positionV>
                <wp:extent cx="1703705" cy="633730"/>
                <wp:effectExtent l="0" t="0" r="10795" b="13970"/>
                <wp:wrapNone/>
                <wp:docPr id="1156" name="Скругленный прямоугольник 11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03705" cy="633730"/>
                        </a:xfrm>
                        <a:prstGeom prst="roundRect">
                          <a:avLst>
                            <a:gd name="adj" fmla="val 16667"/>
                          </a:avLst>
                        </a:prstGeom>
                        <a:solidFill>
                          <a:srgbClr val="FFFFFF"/>
                        </a:solidFill>
                        <a:ln w="9525">
                          <a:solidFill>
                            <a:srgbClr val="000000"/>
                          </a:solidFill>
                          <a:round/>
                          <a:headEnd/>
                          <a:tailEnd/>
                        </a:ln>
                      </wps:spPr>
                      <wps:txbx>
                        <w:txbxContent>
                          <w:p w:rsidR="001E1DF5" w:rsidRPr="001F534C" w:rsidRDefault="001E1DF5" w:rsidP="00EC3A17">
                            <w:pPr>
                              <w:spacing w:line="216" w:lineRule="auto"/>
                              <w:jc w:val="center"/>
                              <w:rPr>
                                <w:sz w:val="22"/>
                              </w:rPr>
                            </w:pPr>
                            <w:r>
                              <w:rPr>
                                <w:sz w:val="22"/>
                              </w:rPr>
                              <w:t xml:space="preserve">Доведення ефективності впровадження </w:t>
                            </w:r>
                            <w:r w:rsidRPr="002138C1">
                              <w:rPr>
                                <w:sz w:val="22"/>
                              </w:rPr>
                              <w:t xml:space="preserve">ЕСОЗ в Україні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1156" o:spid="_x0000_s1088" style="position:absolute;left:0;text-align:left;margin-left:251.95pt;margin-top:13.1pt;width:134.15pt;height:49.9pt;z-index:25196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">
                <v:textbox inset="0,0,0,0">
                  <w:txbxContent>
                    <w:p w:rsidR="0057431A" w:rsidRPr="001F534C" w:rsidRDefault="0057431A" w:rsidP="00EC3A17">
                      <w:pPr>
                        <w:spacing w:line="216" w:lineRule="auto"/>
                        <w:jc w:val="center"/>
                        <w:rPr>
                          <w:sz w:val="22"/>
                        </w:rPr>
                      </w:pPr>
                      <w:r>
                        <w:rPr>
                          <w:sz w:val="22"/>
                        </w:rPr>
                        <w:t xml:space="preserve">Доведення ефективності впровадження </w:t>
                      </w:r>
                      <w:r w:rsidRPr="002138C1">
                        <w:rPr>
                          <w:sz w:val="22"/>
                        </w:rPr>
                        <w:t xml:space="preserve">ЕСОЗ в Україні </w:t>
                      </w:r>
                    </w:p>
                  </w:txbxContent>
                </v:textbox>
              </v:roundrect>
            </w:pict>
          </mc:Fallback>
        </mc:AlternateContent>
      </w:r>
      <w:r w:rsidRPr="00EC3A17">
        <w:rPr>
          <w:rFonts w:eastAsia="Times New Roman"/>
          <w:noProof/>
          <w:szCs w:val="28"/>
          <w:lang w:val="ru-RU" w:eastAsia="ru-RU"/>
        </w:rPr>
        <mc:AlternateContent>
          <mc:Choice Requires="wps">
            <w:drawing>
              <wp:anchor distT="0" distB="0" distL="114300" distR="114300" simplePos="0" relativeHeight="251970560" behindDoc="0" locked="0" layoutInCell="1" allowOverlap="1" wp14:anchorId="5C3F40BD" wp14:editId="01A36A08">
                <wp:simplePos x="0" y="0"/>
                <wp:positionH relativeFrom="column">
                  <wp:posOffset>4975860</wp:posOffset>
                </wp:positionH>
                <wp:positionV relativeFrom="paragraph">
                  <wp:posOffset>163195</wp:posOffset>
                </wp:positionV>
                <wp:extent cx="1487805" cy="633730"/>
                <wp:effectExtent l="0" t="0" r="17145" b="13970"/>
                <wp:wrapNone/>
                <wp:docPr id="1157" name="Скругленный прямоугольник 11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7805" cy="633730"/>
                        </a:xfrm>
                        <a:prstGeom prst="roundRect">
                          <a:avLst>
                            <a:gd name="adj" fmla="val 16667"/>
                          </a:avLst>
                        </a:prstGeom>
                        <a:solidFill>
                          <a:srgbClr val="FFFFFF"/>
                        </a:solidFill>
                        <a:ln w="9525">
                          <a:solidFill>
                            <a:srgbClr val="000000"/>
                          </a:solidFill>
                          <a:round/>
                          <a:headEnd/>
                          <a:tailEnd/>
                        </a:ln>
                      </wps:spPr>
                      <wps:txbx>
                        <w:txbxContent>
                          <w:p w:rsidR="001E1DF5" w:rsidRPr="001F534C" w:rsidRDefault="001E1DF5" w:rsidP="00EC3A17">
                            <w:pPr>
                              <w:spacing w:line="216" w:lineRule="auto"/>
                              <w:jc w:val="center"/>
                              <w:rPr>
                                <w:sz w:val="22"/>
                              </w:rPr>
                            </w:pPr>
                            <w:r w:rsidRPr="000F5D34">
                              <w:rPr>
                                <w:sz w:val="22"/>
                              </w:rPr>
                              <w:t xml:space="preserve">Експертна оцінка інноваційної системи медико-соціальної допомоги дітям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1157" o:spid="_x0000_s1089" style="position:absolute;left:0;text-align:left;margin-left:391.8pt;margin-top:12.85pt;width:117.15pt;height:49.9pt;z-index:25197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">
                <v:textbox inset="0,0,0,0">
                  <w:txbxContent>
                    <w:p w:rsidR="0057431A" w:rsidRPr="001F534C" w:rsidRDefault="0057431A" w:rsidP="00EC3A17">
                      <w:pPr>
                        <w:spacing w:line="216" w:lineRule="auto"/>
                        <w:jc w:val="center"/>
                        <w:rPr>
                          <w:sz w:val="22"/>
                        </w:rPr>
                      </w:pPr>
                      <w:r w:rsidRPr="000F5D34">
                        <w:rPr>
                          <w:sz w:val="22"/>
                        </w:rPr>
                        <w:t xml:space="preserve">Експертна оцінка інноваційної системи медико-соціальної допомоги дітям </w:t>
                      </w:r>
                    </w:p>
                  </w:txbxContent>
                </v:textbox>
              </v:roundrect>
            </w:pict>
          </mc:Fallback>
        </mc:AlternateContent>
      </w:r>
      <w:r w:rsidRPr="00EC3A17">
        <w:rPr>
          <w:rFonts w:eastAsia="Times New Roman"/>
          <w:szCs w:val="28"/>
          <w:lang w:eastAsia="uk-UA"/>
        </w:rPr>
        <w:tab/>
      </w:r>
    </w:p>
    <w:p w:rsidR="00EC3A17" w:rsidRPr="00EC3A17" w:rsidRDefault="00EC3A17" w:rsidP="00EC3A17">
      <w:pPr>
        <w:tabs>
          <w:tab w:val="left" w:pos="1625"/>
          <w:tab w:val="left" w:pos="3051"/>
        </w:tabs>
        <w:autoSpaceDE w:val="0"/>
        <w:autoSpaceDN w:val="0"/>
        <w:adjustRightInd w:val="0"/>
        <w:spacing w:line="240" w:lineRule="auto"/>
        <w:rPr>
          <w:rFonts w:eastAsia="Times New Roman"/>
          <w:szCs w:val="28"/>
          <w:lang w:eastAsia="uk-UA"/>
        </w:rPr>
      </w:pPr>
    </w:p>
    <w:p w:rsidR="00EC3A17" w:rsidRPr="00EC3A17" w:rsidRDefault="00EC3A17" w:rsidP="00EC3A17">
      <w:pPr>
        <w:tabs>
          <w:tab w:val="left" w:pos="1625"/>
          <w:tab w:val="left" w:pos="3051"/>
        </w:tabs>
        <w:autoSpaceDE w:val="0"/>
        <w:autoSpaceDN w:val="0"/>
        <w:adjustRightInd w:val="0"/>
        <w:spacing w:line="240" w:lineRule="auto"/>
        <w:rPr>
          <w:rFonts w:eastAsia="Times New Roman"/>
          <w:szCs w:val="28"/>
          <w:lang w:eastAsia="uk-UA"/>
        </w:rPr>
      </w:pPr>
    </w:p>
    <w:p w:rsidR="00EC3A17" w:rsidRPr="00EC3A17" w:rsidRDefault="00EC3A17" w:rsidP="00EC3A17">
      <w:pPr>
        <w:tabs>
          <w:tab w:val="left" w:pos="3051"/>
          <w:tab w:val="center" w:pos="5102"/>
        </w:tabs>
        <w:autoSpaceDE w:val="0"/>
        <w:autoSpaceDN w:val="0"/>
        <w:adjustRightInd w:val="0"/>
        <w:spacing w:line="240" w:lineRule="auto"/>
        <w:rPr>
          <w:rFonts w:eastAsia="Times New Roman"/>
          <w:szCs w:val="28"/>
          <w:lang w:eastAsia="uk-UA"/>
        </w:rPr>
      </w:pPr>
      <w:r w:rsidRPr="00EC3A17">
        <w:rPr>
          <w:rFonts w:eastAsia="Times New Roman"/>
          <w:szCs w:val="28"/>
          <w:lang w:eastAsia="uk-UA"/>
        </w:rPr>
        <w:tab/>
      </w:r>
      <w:r w:rsidRPr="00EC3A17">
        <w:rPr>
          <w:rFonts w:eastAsia="Times New Roman"/>
          <w:szCs w:val="28"/>
          <w:lang w:eastAsia="uk-UA"/>
        </w:rPr>
        <w:tab/>
      </w:r>
    </w:p>
    <w:p w:rsidR="00EC3A17" w:rsidRPr="00EC3A17" w:rsidRDefault="00EC3A17" w:rsidP="00EC3A17">
      <w:pPr>
        <w:tabs>
          <w:tab w:val="left" w:pos="1625"/>
          <w:tab w:val="left" w:pos="3051"/>
        </w:tabs>
        <w:autoSpaceDE w:val="0"/>
        <w:autoSpaceDN w:val="0"/>
        <w:adjustRightInd w:val="0"/>
        <w:spacing w:line="240" w:lineRule="auto"/>
        <w:rPr>
          <w:rFonts w:eastAsia="Times New Roman"/>
          <w:szCs w:val="28"/>
          <w:lang w:eastAsia="uk-UA"/>
        </w:rPr>
      </w:pPr>
      <w:r w:rsidRPr="00EC3A17">
        <w:rPr>
          <w:rFonts w:eastAsia="Times New Roman"/>
          <w:noProof/>
          <w:szCs w:val="28"/>
          <w:lang w:val="ru-RU" w:eastAsia="ru-RU"/>
        </w:rPr>
        <mc:AlternateContent>
          <mc:Choice Requires="wps">
            <w:drawing>
              <wp:anchor distT="0" distB="0" distL="114300" distR="114300" simplePos="0" relativeHeight="251971584" behindDoc="0" locked="0" layoutInCell="1" allowOverlap="1" wp14:anchorId="75276070" wp14:editId="02AB96FD">
                <wp:simplePos x="0" y="0"/>
                <wp:positionH relativeFrom="column">
                  <wp:posOffset>-67945</wp:posOffset>
                </wp:positionH>
                <wp:positionV relativeFrom="paragraph">
                  <wp:posOffset>35560</wp:posOffset>
                </wp:positionV>
                <wp:extent cx="6551930" cy="588010"/>
                <wp:effectExtent l="0" t="0" r="20320" b="21590"/>
                <wp:wrapNone/>
                <wp:docPr id="1158" name="Прямоугольник 11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51930" cy="588010"/>
                        </a:xfrm>
                        <a:prstGeom prst="rect">
                          <a:avLst/>
                        </a:prstGeom>
                        <a:solidFill>
                          <a:srgbClr val="FFFFFF"/>
                        </a:solidFill>
                        <a:ln w="9525">
                          <a:solidFill>
                            <a:srgbClr val="000000"/>
                          </a:solidFill>
                          <a:miter lim="800000"/>
                          <a:headEnd/>
                          <a:tailEnd/>
                        </a:ln>
                      </wps:spPr>
                      <wps:txbx>
                        <w:txbxContent>
                          <w:p w:rsidR="001E1DF5" w:rsidRPr="000F5D34" w:rsidRDefault="001E1DF5" w:rsidP="00EC3A17">
                            <w:pPr>
                              <w:spacing w:line="216" w:lineRule="auto"/>
                              <w:rPr>
                                <w:bCs/>
                                <w:color w:val="000000"/>
                                <w:spacing w:val="-4"/>
                                <w:sz w:val="22"/>
                                <w:lang w:eastAsia="ru-RU"/>
                              </w:rPr>
                            </w:pPr>
                            <w:r>
                              <w:rPr>
                                <w:bCs/>
                                <w:color w:val="000000"/>
                                <w:spacing w:val="-4"/>
                                <w:sz w:val="22"/>
                                <w:lang w:eastAsia="ru-RU"/>
                              </w:rPr>
                              <w:t>А</w:t>
                            </w:r>
                            <w:r w:rsidRPr="00BA71CE">
                              <w:rPr>
                                <w:bCs/>
                                <w:color w:val="000000"/>
                                <w:spacing w:val="-4"/>
                                <w:sz w:val="22"/>
                                <w:lang w:eastAsia="ru-RU"/>
                              </w:rPr>
                              <w:t xml:space="preserve">наліз наукової літератури, нормативно-правових документів </w:t>
                            </w:r>
                            <w:r>
                              <w:rPr>
                                <w:bCs/>
                                <w:spacing w:val="-4"/>
                                <w:sz w:val="22"/>
                                <w:lang w:eastAsia="ru-RU"/>
                              </w:rPr>
                              <w:t>–</w:t>
                            </w:r>
                            <w:r w:rsidRPr="003A2725">
                              <w:rPr>
                                <w:bCs/>
                                <w:spacing w:val="-4"/>
                                <w:sz w:val="22"/>
                                <w:lang w:val="ru-RU" w:eastAsia="ru-RU"/>
                              </w:rPr>
                              <w:t>372</w:t>
                            </w:r>
                            <w:r w:rsidRPr="00621F19">
                              <w:rPr>
                                <w:b/>
                                <w:bCs/>
                                <w:spacing w:val="-4"/>
                                <w:sz w:val="22"/>
                                <w:lang w:eastAsia="ru-RU"/>
                              </w:rPr>
                              <w:t xml:space="preserve"> </w:t>
                            </w:r>
                            <w:r w:rsidRPr="00621F19">
                              <w:rPr>
                                <w:bCs/>
                                <w:spacing w:val="-4"/>
                                <w:sz w:val="22"/>
                                <w:lang w:eastAsia="ru-RU"/>
                              </w:rPr>
                              <w:t xml:space="preserve">од., </w:t>
                            </w:r>
                            <w:r w:rsidRPr="00BA71CE">
                              <w:rPr>
                                <w:bCs/>
                                <w:color w:val="000000"/>
                                <w:spacing w:val="-4"/>
                                <w:sz w:val="22"/>
                                <w:lang w:eastAsia="ru-RU"/>
                              </w:rPr>
                              <w:t>результаті</w:t>
                            </w:r>
                            <w:r>
                              <w:rPr>
                                <w:bCs/>
                                <w:color w:val="000000"/>
                                <w:spacing w:val="-4"/>
                                <w:sz w:val="22"/>
                                <w:lang w:eastAsia="ru-RU"/>
                              </w:rPr>
                              <w:t xml:space="preserve">в  власного наукового </w:t>
                            </w:r>
                            <w:r w:rsidRPr="00083988">
                              <w:rPr>
                                <w:bCs/>
                                <w:color w:val="000000"/>
                                <w:spacing w:val="-4"/>
                                <w:sz w:val="22"/>
                                <w:lang w:eastAsia="ru-RU"/>
                              </w:rPr>
                              <w:t>дослідження</w:t>
                            </w:r>
                            <w:r>
                              <w:rPr>
                                <w:bCs/>
                                <w:color w:val="000000"/>
                                <w:spacing w:val="-4"/>
                                <w:sz w:val="22"/>
                                <w:lang w:eastAsia="ru-RU"/>
                              </w:rPr>
                              <w:t>;</w:t>
                            </w:r>
                            <w:r w:rsidRPr="000F5D34">
                              <w:rPr>
                                <w:color w:val="000000"/>
                                <w:spacing w:val="-4"/>
                                <w:sz w:val="22"/>
                                <w:lang w:eastAsia="ru-RU"/>
                              </w:rPr>
                              <w:t xml:space="preserve"> </w:t>
                            </w:r>
                            <w:r w:rsidRPr="000F5D34">
                              <w:rPr>
                                <w:bCs/>
                                <w:color w:val="000000"/>
                                <w:spacing w:val="-4"/>
                                <w:sz w:val="22"/>
                                <w:lang w:eastAsia="ru-RU"/>
                              </w:rPr>
                              <w:t xml:space="preserve">дані ЕСОЗ щодо </w:t>
                            </w:r>
                            <w:r>
                              <w:rPr>
                                <w:bCs/>
                                <w:color w:val="000000"/>
                                <w:spacing w:val="-4"/>
                                <w:sz w:val="22"/>
                                <w:lang w:eastAsia="ru-RU"/>
                              </w:rPr>
                              <w:t>пролікованих випадків</w:t>
                            </w:r>
                            <w:r w:rsidRPr="000F5D34">
                              <w:rPr>
                                <w:bCs/>
                                <w:color w:val="000000"/>
                                <w:spacing w:val="-4"/>
                                <w:sz w:val="22"/>
                                <w:lang w:eastAsia="ru-RU"/>
                              </w:rPr>
                              <w:t xml:space="preserve"> в рамках пакетів «Медична допомога при пологах» (n=150</w:t>
                            </w:r>
                            <w:r>
                              <w:rPr>
                                <w:bCs/>
                                <w:color w:val="000000"/>
                                <w:spacing w:val="-4"/>
                                <w:sz w:val="22"/>
                                <w:lang w:eastAsia="ru-RU"/>
                              </w:rPr>
                              <w:t> </w:t>
                            </w:r>
                            <w:r w:rsidRPr="000F5D34">
                              <w:rPr>
                                <w:bCs/>
                                <w:color w:val="000000"/>
                                <w:spacing w:val="-4"/>
                                <w:sz w:val="22"/>
                                <w:lang w:eastAsia="ru-RU"/>
                              </w:rPr>
                              <w:t>001) та «М</w:t>
                            </w:r>
                            <w:r>
                              <w:rPr>
                                <w:bCs/>
                                <w:color w:val="000000"/>
                                <w:spacing w:val="-4"/>
                                <w:sz w:val="22"/>
                                <w:lang w:eastAsia="ru-RU"/>
                              </w:rPr>
                              <w:t>едична допомога новонародженим у</w:t>
                            </w:r>
                            <w:r w:rsidRPr="000F5D34">
                              <w:rPr>
                                <w:bCs/>
                                <w:color w:val="000000"/>
                                <w:spacing w:val="-4"/>
                                <w:sz w:val="22"/>
                                <w:lang w:eastAsia="ru-RU"/>
                              </w:rPr>
                              <w:t xml:space="preserve"> складних неонатальних випадках» (n=21</w:t>
                            </w:r>
                            <w:r>
                              <w:rPr>
                                <w:bCs/>
                                <w:color w:val="000000"/>
                                <w:spacing w:val="-4"/>
                                <w:sz w:val="22"/>
                                <w:lang w:eastAsia="ru-RU"/>
                              </w:rPr>
                              <w:t> </w:t>
                            </w:r>
                            <w:r w:rsidRPr="000F5D34">
                              <w:rPr>
                                <w:bCs/>
                                <w:color w:val="000000"/>
                                <w:spacing w:val="-4"/>
                                <w:sz w:val="22"/>
                                <w:lang w:eastAsia="ru-RU"/>
                              </w:rPr>
                              <w:t>931) за квітень-жовтень 2020</w:t>
                            </w:r>
                            <w:r>
                              <w:rPr>
                                <w:bCs/>
                                <w:color w:val="000000"/>
                                <w:spacing w:val="-4"/>
                                <w:sz w:val="22"/>
                                <w:lang w:eastAsia="ru-RU"/>
                              </w:rPr>
                              <w:t> </w:t>
                            </w:r>
                            <w:r w:rsidRPr="000F5D34">
                              <w:rPr>
                                <w:bCs/>
                                <w:color w:val="000000"/>
                                <w:spacing w:val="-4"/>
                                <w:sz w:val="22"/>
                                <w:lang w:eastAsia="ru-RU"/>
                              </w:rPr>
                              <w:t xml:space="preserve"> р.</w:t>
                            </w:r>
                            <w:r>
                              <w:rPr>
                                <w:bCs/>
                                <w:color w:val="000000"/>
                                <w:spacing w:val="-4"/>
                                <w:sz w:val="22"/>
                                <w:lang w:eastAsia="ru-RU"/>
                              </w:rPr>
                              <w:t>;</w:t>
                            </w:r>
                            <w:r w:rsidRPr="000F5D34">
                              <w:rPr>
                                <w:color w:val="000000"/>
                                <w:spacing w:val="-4"/>
                                <w:sz w:val="22"/>
                                <w:lang w:eastAsia="ru-RU"/>
                              </w:rPr>
                              <w:t xml:space="preserve"> </w:t>
                            </w:r>
                            <w:r>
                              <w:rPr>
                                <w:bCs/>
                                <w:color w:val="000000"/>
                                <w:spacing w:val="-4"/>
                                <w:sz w:val="22"/>
                                <w:lang w:eastAsia="ru-RU"/>
                              </w:rPr>
                              <w:t xml:space="preserve">анкета  експерта </w:t>
                            </w:r>
                            <w:r w:rsidRPr="000F5D34">
                              <w:rPr>
                                <w:bCs/>
                                <w:color w:val="000000"/>
                                <w:spacing w:val="-4"/>
                                <w:sz w:val="22"/>
                                <w:lang w:eastAsia="ru-RU"/>
                              </w:rPr>
                              <w:t>– 50 од.</w:t>
                            </w:r>
                          </w:p>
                          <w:p w:rsidR="001E1DF5" w:rsidRPr="003D7C86" w:rsidRDefault="001E1DF5" w:rsidP="00EC3A17">
                            <w:pPr>
                              <w:spacing w:line="216" w:lineRule="auto"/>
                              <w:rPr>
                                <w:bCs/>
                                <w:sz w:val="22"/>
                              </w:rPr>
                            </w:pPr>
                          </w:p>
                        </w:txbxContent>
                      </wps:txbx>
                      <wps:bodyPr rot="0" vert="horz" wrap="square" lIns="18000" tIns="10800" rIns="18000" bIns="1080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158" o:spid="_x0000_s1090" style="position:absolute;left:0;text-align:left;margin-left:-5.35pt;margin-top:2.8pt;width:515.9pt;height:46.3pt;z-index:25197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">
                <v:textbox inset=".5mm,.3mm,.5mm,.3mm">
                  <w:txbxContent>
                    <w:p w:rsidR="00B81470" w:rsidRPr="000F5D34" w:rsidRDefault="00B81470" w:rsidP="00EC3A17">
                      <w:pPr>
                        <w:spacing w:line="216" w:lineRule="auto"/>
                        <w:rPr>
                          <w:bCs/>
                          <w:color w:val="000000"/>
                          <w:spacing w:val="-4"/>
                          <w:sz w:val="22"/>
                          <w:lang w:eastAsia="ru-RU"/>
                        </w:rPr>
                      </w:pPr>
                      <w:r>
                        <w:rPr>
                          <w:bCs/>
                          <w:color w:val="000000"/>
                          <w:spacing w:val="-4"/>
                          <w:sz w:val="22"/>
                          <w:lang w:eastAsia="ru-RU"/>
                        </w:rPr>
                        <w:t>А</w:t>
                      </w:r>
                      <w:r w:rsidRPr="00BA71CE">
                        <w:rPr>
                          <w:bCs/>
                          <w:color w:val="000000"/>
                          <w:spacing w:val="-4"/>
                          <w:sz w:val="22"/>
                          <w:lang w:eastAsia="ru-RU"/>
                        </w:rPr>
                        <w:t xml:space="preserve">наліз наукової літератури, нормативно-правових документів </w:t>
                      </w:r>
                      <w:r>
                        <w:rPr>
                          <w:bCs/>
                          <w:spacing w:val="-4"/>
                          <w:sz w:val="22"/>
                          <w:lang w:eastAsia="ru-RU"/>
                        </w:rPr>
                        <w:t>–</w:t>
                      </w:r>
                      <w:r w:rsidRPr="003A2725">
                        <w:rPr>
                          <w:bCs/>
                          <w:spacing w:val="-4"/>
                          <w:sz w:val="22"/>
                          <w:lang w:val="ru-RU" w:eastAsia="ru-RU"/>
                        </w:rPr>
                        <w:t>372</w:t>
                      </w:r>
                      <w:r w:rsidRPr="00621F19">
                        <w:rPr>
                          <w:b/>
                          <w:bCs/>
                          <w:spacing w:val="-4"/>
                          <w:sz w:val="22"/>
                          <w:lang w:eastAsia="ru-RU"/>
                        </w:rPr>
                        <w:t xml:space="preserve"> </w:t>
                      </w:r>
                      <w:r w:rsidRPr="00621F19">
                        <w:rPr>
                          <w:bCs/>
                          <w:spacing w:val="-4"/>
                          <w:sz w:val="22"/>
                          <w:lang w:eastAsia="ru-RU"/>
                        </w:rPr>
                        <w:t xml:space="preserve">од., </w:t>
                      </w:r>
                      <w:r w:rsidRPr="00BA71CE">
                        <w:rPr>
                          <w:bCs/>
                          <w:color w:val="000000"/>
                          <w:spacing w:val="-4"/>
                          <w:sz w:val="22"/>
                          <w:lang w:eastAsia="ru-RU"/>
                        </w:rPr>
                        <w:t>результаті</w:t>
                      </w:r>
                      <w:r>
                        <w:rPr>
                          <w:bCs/>
                          <w:color w:val="000000"/>
                          <w:spacing w:val="-4"/>
                          <w:sz w:val="22"/>
                          <w:lang w:eastAsia="ru-RU"/>
                        </w:rPr>
                        <w:t xml:space="preserve">в  власного наукового </w:t>
                      </w:r>
                      <w:r w:rsidRPr="00083988">
                        <w:rPr>
                          <w:bCs/>
                          <w:color w:val="000000"/>
                          <w:spacing w:val="-4"/>
                          <w:sz w:val="22"/>
                          <w:lang w:eastAsia="ru-RU"/>
                        </w:rPr>
                        <w:t>дослідження</w:t>
                      </w:r>
                      <w:r>
                        <w:rPr>
                          <w:bCs/>
                          <w:color w:val="000000"/>
                          <w:spacing w:val="-4"/>
                          <w:sz w:val="22"/>
                          <w:lang w:eastAsia="ru-RU"/>
                        </w:rPr>
                        <w:t>;</w:t>
                      </w:r>
                      <w:r w:rsidRPr="000F5D34">
                        <w:rPr>
                          <w:color w:val="000000"/>
                          <w:spacing w:val="-4"/>
                          <w:sz w:val="22"/>
                          <w:lang w:eastAsia="ru-RU"/>
                        </w:rPr>
                        <w:t xml:space="preserve"> </w:t>
                      </w:r>
                      <w:r w:rsidRPr="000F5D34">
                        <w:rPr>
                          <w:bCs/>
                          <w:color w:val="000000"/>
                          <w:spacing w:val="-4"/>
                          <w:sz w:val="22"/>
                          <w:lang w:eastAsia="ru-RU"/>
                        </w:rPr>
                        <w:t xml:space="preserve">дані ЕСОЗ щодо </w:t>
                      </w:r>
                      <w:r>
                        <w:rPr>
                          <w:bCs/>
                          <w:color w:val="000000"/>
                          <w:spacing w:val="-4"/>
                          <w:sz w:val="22"/>
                          <w:lang w:eastAsia="ru-RU"/>
                        </w:rPr>
                        <w:t>пролікованих випадків</w:t>
                      </w:r>
                      <w:r w:rsidRPr="000F5D34">
                        <w:rPr>
                          <w:bCs/>
                          <w:color w:val="000000"/>
                          <w:spacing w:val="-4"/>
                          <w:sz w:val="22"/>
                          <w:lang w:eastAsia="ru-RU"/>
                        </w:rPr>
                        <w:t xml:space="preserve"> в рамках пакетів «Медична допомога при пологах» (n=150</w:t>
                      </w:r>
                      <w:r>
                        <w:rPr>
                          <w:bCs/>
                          <w:color w:val="000000"/>
                          <w:spacing w:val="-4"/>
                          <w:sz w:val="22"/>
                          <w:lang w:eastAsia="ru-RU"/>
                        </w:rPr>
                        <w:t> </w:t>
                      </w:r>
                      <w:r w:rsidRPr="000F5D34">
                        <w:rPr>
                          <w:bCs/>
                          <w:color w:val="000000"/>
                          <w:spacing w:val="-4"/>
                          <w:sz w:val="22"/>
                          <w:lang w:eastAsia="ru-RU"/>
                        </w:rPr>
                        <w:t>001) та «М</w:t>
                      </w:r>
                      <w:r w:rsidR="00D71AA7">
                        <w:rPr>
                          <w:bCs/>
                          <w:color w:val="000000"/>
                          <w:spacing w:val="-4"/>
                          <w:sz w:val="22"/>
                          <w:lang w:eastAsia="ru-RU"/>
                        </w:rPr>
                        <w:t>едична допомога новонародженим у</w:t>
                      </w:r>
                      <w:r w:rsidRPr="000F5D34">
                        <w:rPr>
                          <w:bCs/>
                          <w:color w:val="000000"/>
                          <w:spacing w:val="-4"/>
                          <w:sz w:val="22"/>
                          <w:lang w:eastAsia="ru-RU"/>
                        </w:rPr>
                        <w:t xml:space="preserve"> складних неонатальних випадках» (n=21</w:t>
                      </w:r>
                      <w:r>
                        <w:rPr>
                          <w:bCs/>
                          <w:color w:val="000000"/>
                          <w:spacing w:val="-4"/>
                          <w:sz w:val="22"/>
                          <w:lang w:eastAsia="ru-RU"/>
                        </w:rPr>
                        <w:t> </w:t>
                      </w:r>
                      <w:r w:rsidRPr="000F5D34">
                        <w:rPr>
                          <w:bCs/>
                          <w:color w:val="000000"/>
                          <w:spacing w:val="-4"/>
                          <w:sz w:val="22"/>
                          <w:lang w:eastAsia="ru-RU"/>
                        </w:rPr>
                        <w:t>931) за квітень-жовтень 2020</w:t>
                      </w:r>
                      <w:r>
                        <w:rPr>
                          <w:bCs/>
                          <w:color w:val="000000"/>
                          <w:spacing w:val="-4"/>
                          <w:sz w:val="22"/>
                          <w:lang w:eastAsia="ru-RU"/>
                        </w:rPr>
                        <w:t> </w:t>
                      </w:r>
                      <w:r w:rsidRPr="000F5D34">
                        <w:rPr>
                          <w:bCs/>
                          <w:color w:val="000000"/>
                          <w:spacing w:val="-4"/>
                          <w:sz w:val="22"/>
                          <w:lang w:eastAsia="ru-RU"/>
                        </w:rPr>
                        <w:t xml:space="preserve"> р.</w:t>
                      </w:r>
                      <w:r>
                        <w:rPr>
                          <w:bCs/>
                          <w:color w:val="000000"/>
                          <w:spacing w:val="-4"/>
                          <w:sz w:val="22"/>
                          <w:lang w:eastAsia="ru-RU"/>
                        </w:rPr>
                        <w:t>;</w:t>
                      </w:r>
                      <w:r w:rsidRPr="000F5D34">
                        <w:rPr>
                          <w:color w:val="000000"/>
                          <w:spacing w:val="-4"/>
                          <w:sz w:val="22"/>
                          <w:lang w:eastAsia="ru-RU"/>
                        </w:rPr>
                        <w:t xml:space="preserve"> </w:t>
                      </w:r>
                      <w:r>
                        <w:rPr>
                          <w:bCs/>
                          <w:color w:val="000000"/>
                          <w:spacing w:val="-4"/>
                          <w:sz w:val="22"/>
                          <w:lang w:eastAsia="ru-RU"/>
                        </w:rPr>
                        <w:t xml:space="preserve">анкета  експерта </w:t>
                      </w:r>
                      <w:r w:rsidRPr="000F5D34">
                        <w:rPr>
                          <w:bCs/>
                          <w:color w:val="000000"/>
                          <w:spacing w:val="-4"/>
                          <w:sz w:val="22"/>
                          <w:lang w:eastAsia="ru-RU"/>
                        </w:rPr>
                        <w:t>– 50 од.</w:t>
                      </w:r>
                    </w:p>
                    <w:p w:rsidR="00B81470" w:rsidRPr="003D7C86" w:rsidRDefault="00B81470" w:rsidP="00EC3A17">
                      <w:pPr>
                        <w:spacing w:line="216" w:lineRule="auto"/>
                        <w:rPr>
                          <w:bCs/>
                          <w:sz w:val="22"/>
                        </w:rPr>
                      </w:pPr>
                    </w:p>
                  </w:txbxContent>
                </v:textbox>
              </v:rect>
            </w:pict>
          </mc:Fallback>
        </mc:AlternateContent>
      </w:r>
      <w:r w:rsidRPr="00EC3A17">
        <w:rPr>
          <w:rFonts w:eastAsia="Times New Roman"/>
          <w:szCs w:val="28"/>
          <w:lang w:eastAsia="uk-UA"/>
        </w:rPr>
        <w:tab/>
      </w:r>
    </w:p>
    <w:p w:rsidR="00EC3A17" w:rsidRPr="00EC3A17" w:rsidRDefault="00EC3A17" w:rsidP="00EC3A17">
      <w:pPr>
        <w:autoSpaceDE w:val="0"/>
        <w:autoSpaceDN w:val="0"/>
        <w:adjustRightInd w:val="0"/>
        <w:spacing w:line="240" w:lineRule="auto"/>
        <w:rPr>
          <w:rFonts w:eastAsia="Times New Roman"/>
          <w:szCs w:val="28"/>
          <w:lang w:eastAsia="uk-UA"/>
        </w:rPr>
      </w:pPr>
    </w:p>
    <w:p w:rsidR="00EC3A17" w:rsidRPr="00EC3A17" w:rsidRDefault="00EC3A17" w:rsidP="00EC3A17">
      <w:pPr>
        <w:autoSpaceDE w:val="0"/>
        <w:autoSpaceDN w:val="0"/>
        <w:adjustRightInd w:val="0"/>
        <w:spacing w:line="240" w:lineRule="auto"/>
        <w:rPr>
          <w:rFonts w:eastAsia="Times New Roman"/>
          <w:szCs w:val="28"/>
          <w:lang w:eastAsia="uk-UA"/>
        </w:rPr>
      </w:pPr>
    </w:p>
    <w:p w:rsidR="00EC3A17" w:rsidRPr="00EC3A17" w:rsidRDefault="00EC3A17" w:rsidP="00EC3A17">
      <w:pPr>
        <w:autoSpaceDE w:val="0"/>
        <w:autoSpaceDN w:val="0"/>
        <w:adjustRightInd w:val="0"/>
        <w:spacing w:line="240" w:lineRule="auto"/>
        <w:rPr>
          <w:rFonts w:eastAsia="Times New Roman"/>
          <w:szCs w:val="28"/>
          <w:lang w:eastAsia="uk-UA"/>
        </w:rPr>
      </w:pPr>
      <w:r w:rsidRPr="00EC3A17">
        <w:rPr>
          <w:rFonts w:eastAsia="Times New Roman"/>
          <w:noProof/>
          <w:szCs w:val="28"/>
          <w:lang w:val="ru-RU" w:eastAsia="ru-RU"/>
        </w:rPr>
        <mc:AlternateContent>
          <mc:Choice Requires="wps">
            <w:drawing>
              <wp:anchor distT="0" distB="0" distL="114300" distR="114300" simplePos="0" relativeHeight="251972608" behindDoc="0" locked="0" layoutInCell="1" allowOverlap="1" wp14:anchorId="0BCC0EF4" wp14:editId="2E664C1C">
                <wp:simplePos x="0" y="0"/>
                <wp:positionH relativeFrom="column">
                  <wp:posOffset>-88900</wp:posOffset>
                </wp:positionH>
                <wp:positionV relativeFrom="paragraph">
                  <wp:posOffset>62230</wp:posOffset>
                </wp:positionV>
                <wp:extent cx="6580505" cy="247650"/>
                <wp:effectExtent l="0" t="0" r="48895" b="57150"/>
                <wp:wrapNone/>
                <wp:docPr id="1159" name="Скругленный прямоугольник 11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80505" cy="247650"/>
                        </a:xfrm>
                        <a:prstGeom prst="roundRect">
                          <a:avLst>
                            <a:gd name="adj" fmla="val 16667"/>
                          </a:avLst>
                        </a:prstGeom>
                        <a:gradFill rotWithShape="1">
                          <a:gsLst>
                            <a:gs pos="0">
                              <a:srgbClr val="C0C0C0"/>
                            </a:gs>
                            <a:gs pos="50000">
                              <a:srgbClr val="FFFFFF"/>
                            </a:gs>
                            <a:gs pos="100000">
                              <a:srgbClr val="C0C0C0"/>
                            </a:gs>
                          </a:gsLst>
                          <a:lin ang="5400000" scaled="1"/>
                        </a:gradFill>
                        <a:ln w="25400">
                          <a:solidFill>
                            <a:srgbClr val="000000"/>
                          </a:solidFill>
                          <a:round/>
                          <a:headEnd/>
                          <a:tailEnd/>
                        </a:ln>
                        <a:effectLst>
                          <a:outerShdw dist="35921" dir="2700000" algn="ctr" rotWithShape="0">
                            <a:srgbClr val="808080"/>
                          </a:outerShdw>
                        </a:effectLst>
                      </wps:spPr>
                      <wps:txbx>
                        <w:txbxContent>
                          <w:p w:rsidR="001E1DF5" w:rsidRPr="000061EB" w:rsidRDefault="001E1DF5" w:rsidP="00EC3A17">
                            <w:pPr>
                              <w:jc w:val="center"/>
                            </w:pPr>
                            <w:r>
                              <w:rPr>
                                <w:b/>
                              </w:rPr>
                              <w:t>Впровадження результатів дослідження</w:t>
                            </w:r>
                          </w:p>
                        </w:txbxContent>
                      </wps:txbx>
                      <wps:bodyPr rot="0" vert="horz" wrap="square" lIns="18000" tIns="10800" rIns="18000" bIns="1080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1159" o:spid="_x0000_s1091" style="position:absolute;left:0;text-align:left;margin-left:-7pt;margin-top:4.9pt;width:518.15pt;height:19.5pt;z-index:25197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" fillcolor="silver" strokeweight="2pt">
                <v:fill rotate="t" focus="50%" type="gradient"/>
                <v:shadow on="t"/>
                <v:textbox inset=".5mm,.3mm,.5mm,.3mm">
                  <w:txbxContent>
                    <w:p w:rsidR="0057431A" w:rsidRPr="000061EB" w:rsidRDefault="0057431A" w:rsidP="00EC3A17">
                      <w:pPr>
                        <w:jc w:val="center"/>
                      </w:pPr>
                      <w:r>
                        <w:rPr>
                          <w:b/>
                        </w:rPr>
                        <w:t>Впровадження результатів дослідження</w:t>
                      </w:r>
                    </w:p>
                  </w:txbxContent>
                </v:textbox>
              </v:roundrect>
            </w:pict>
          </mc:Fallback>
        </mc:AlternateContent>
      </w:r>
    </w:p>
    <w:p w:rsidR="00EC3A17" w:rsidRPr="00EC3A17" w:rsidRDefault="00EC3A17" w:rsidP="00EC3A17">
      <w:pPr>
        <w:autoSpaceDE w:val="0"/>
        <w:autoSpaceDN w:val="0"/>
        <w:adjustRightInd w:val="0"/>
        <w:spacing w:line="240" w:lineRule="auto"/>
        <w:rPr>
          <w:rFonts w:eastAsia="Times New Roman"/>
          <w:szCs w:val="28"/>
          <w:lang w:eastAsia="uk-UA"/>
        </w:rPr>
      </w:pPr>
      <w:r w:rsidRPr="00EC3A17">
        <w:rPr>
          <w:rFonts w:eastAsia="Times New Roman"/>
          <w:noProof/>
          <w:szCs w:val="28"/>
          <w:lang w:val="ru-RU" w:eastAsia="ru-RU"/>
        </w:rPr>
        <mc:AlternateContent>
          <mc:Choice Requires="wps">
            <w:drawing>
              <wp:anchor distT="0" distB="0" distL="114300" distR="114300" simplePos="0" relativeHeight="251975680" behindDoc="0" locked="0" layoutInCell="1" allowOverlap="1" wp14:anchorId="258291C0" wp14:editId="1D1E3733">
                <wp:simplePos x="0" y="0"/>
                <wp:positionH relativeFrom="column">
                  <wp:posOffset>-92075</wp:posOffset>
                </wp:positionH>
                <wp:positionV relativeFrom="paragraph">
                  <wp:posOffset>160655</wp:posOffset>
                </wp:positionV>
                <wp:extent cx="1898650" cy="939800"/>
                <wp:effectExtent l="0" t="0" r="25400" b="12700"/>
                <wp:wrapNone/>
                <wp:docPr id="1160" name="Скругленный прямоугольник 11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98650" cy="939800"/>
                        </a:xfrm>
                        <a:prstGeom prst="roundRect">
                          <a:avLst>
                            <a:gd name="adj" fmla="val 16667"/>
                          </a:avLst>
                        </a:prstGeom>
                        <a:solidFill>
                          <a:srgbClr val="FFFFFF"/>
                        </a:solidFill>
                        <a:ln w="9525">
                          <a:solidFill>
                            <a:srgbClr val="000000"/>
                          </a:solidFill>
                          <a:round/>
                          <a:headEnd/>
                          <a:tailEnd/>
                        </a:ln>
                      </wps:spPr>
                      <wps:txbx>
                        <w:txbxContent>
                          <w:p w:rsidR="001E1DF5" w:rsidRPr="00083988" w:rsidRDefault="001E1DF5" w:rsidP="00EC3A17">
                            <w:pPr>
                              <w:spacing w:line="216" w:lineRule="auto"/>
                              <w:rPr>
                                <w:color w:val="000000" w:themeColor="text1"/>
                              </w:rPr>
                            </w:pPr>
                            <w:r>
                              <w:rPr>
                                <w:bCs/>
                                <w:iCs/>
                                <w:sz w:val="22"/>
                              </w:rPr>
                              <w:t>1 Постанова</w:t>
                            </w:r>
                            <w:r w:rsidRPr="00083988">
                              <w:rPr>
                                <w:bCs/>
                                <w:iCs/>
                                <w:sz w:val="22"/>
                              </w:rPr>
                              <w:t xml:space="preserve"> КМУ</w:t>
                            </w:r>
                            <w:r>
                              <w:rPr>
                                <w:bCs/>
                                <w:iCs/>
                                <w:sz w:val="22"/>
                              </w:rPr>
                              <w:t xml:space="preserve">; </w:t>
                            </w:r>
                            <w:r>
                              <w:rPr>
                                <w:bCs/>
                                <w:iCs/>
                                <w:sz w:val="22"/>
                                <w:lang w:val="ru-RU"/>
                              </w:rPr>
                              <w:t>4</w:t>
                            </w:r>
                            <w:r w:rsidRPr="00083988">
                              <w:rPr>
                                <w:bCs/>
                                <w:iCs/>
                                <w:sz w:val="22"/>
                              </w:rPr>
                              <w:t xml:space="preserve"> проєкти (МОЗ України)</w:t>
                            </w:r>
                            <w:r>
                              <w:rPr>
                                <w:bCs/>
                                <w:iCs/>
                                <w:sz w:val="22"/>
                                <w:lang w:val="ru-RU"/>
                              </w:rPr>
                              <w:t xml:space="preserve"> </w:t>
                            </w:r>
                            <w:r>
                              <w:rPr>
                                <w:bCs/>
                                <w:iCs/>
                                <w:sz w:val="22"/>
                              </w:rPr>
                              <w:t>уніфікован</w:t>
                            </w:r>
                            <w:r>
                              <w:rPr>
                                <w:bCs/>
                                <w:iCs/>
                                <w:sz w:val="22"/>
                                <w:lang w:val="ru-RU"/>
                              </w:rPr>
                              <w:t>і</w:t>
                            </w:r>
                            <w:r>
                              <w:rPr>
                                <w:bCs/>
                                <w:iCs/>
                                <w:sz w:val="22"/>
                              </w:rPr>
                              <w:t xml:space="preserve"> клінічні</w:t>
                            </w:r>
                            <w:r w:rsidRPr="007845C3">
                              <w:rPr>
                                <w:bCs/>
                                <w:iCs/>
                                <w:sz w:val="22"/>
                              </w:rPr>
                              <w:t xml:space="preserve"> протокол</w:t>
                            </w:r>
                            <w:r>
                              <w:rPr>
                                <w:bCs/>
                                <w:iCs/>
                                <w:sz w:val="22"/>
                              </w:rPr>
                              <w:t>и</w:t>
                            </w:r>
                            <w:r w:rsidRPr="007845C3">
                              <w:rPr>
                                <w:bCs/>
                                <w:iCs/>
                                <w:sz w:val="22"/>
                              </w:rPr>
                              <w:t xml:space="preserve"> медичної </w:t>
                            </w:r>
                            <w:r w:rsidRPr="00083988">
                              <w:rPr>
                                <w:bCs/>
                                <w:iCs/>
                                <w:color w:val="000000" w:themeColor="text1"/>
                                <w:sz w:val="22"/>
                              </w:rPr>
                              <w:t xml:space="preserve">допомоги </w:t>
                            </w:r>
                            <w:r>
                              <w:rPr>
                                <w:bCs/>
                                <w:iCs/>
                                <w:color w:val="000000" w:themeColor="text1"/>
                                <w:sz w:val="22"/>
                              </w:rPr>
                              <w:t>та клінічн</w:t>
                            </w:r>
                            <w:r>
                              <w:rPr>
                                <w:bCs/>
                                <w:iCs/>
                                <w:color w:val="000000" w:themeColor="text1"/>
                                <w:sz w:val="22"/>
                                <w:lang w:val="ru-RU"/>
                              </w:rPr>
                              <w:t>а</w:t>
                            </w:r>
                            <w:r>
                              <w:rPr>
                                <w:bCs/>
                                <w:iCs/>
                                <w:color w:val="000000" w:themeColor="text1"/>
                                <w:sz w:val="22"/>
                              </w:rPr>
                              <w:t xml:space="preserve"> настанов</w:t>
                            </w:r>
                            <w:r>
                              <w:rPr>
                                <w:bCs/>
                                <w:iCs/>
                                <w:color w:val="000000" w:themeColor="text1"/>
                                <w:sz w:val="22"/>
                                <w:lang w:val="ru-RU"/>
                              </w:rPr>
                              <w:t>а</w:t>
                            </w:r>
                            <w:r>
                              <w:rPr>
                                <w:bCs/>
                                <w:iCs/>
                                <w:color w:val="000000" w:themeColor="text1"/>
                                <w:sz w:val="22"/>
                              </w:rPr>
                              <w:t xml:space="preserve"> за напрямом «Педіатрія та </w:t>
                            </w:r>
                            <w:r w:rsidRPr="00083988">
                              <w:rPr>
                                <w:bCs/>
                                <w:iCs/>
                                <w:color w:val="000000" w:themeColor="text1"/>
                                <w:sz w:val="22"/>
                              </w:rPr>
                              <w:t xml:space="preserve">неонатологія»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1160" o:spid="_x0000_s1092" style="position:absolute;left:0;text-align:left;margin-left:-7.25pt;margin-top:12.65pt;width:149.5pt;height:74pt;z-index:25197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">
                <v:textbox inset="0,0,0,0">
                  <w:txbxContent>
                    <w:p w:rsidR="0057431A" w:rsidRPr="00083988" w:rsidRDefault="0057431A" w:rsidP="00EC3A17">
                      <w:pPr>
                        <w:spacing w:line="216" w:lineRule="auto"/>
                        <w:rPr>
                          <w:color w:val="000000" w:themeColor="text1"/>
                        </w:rPr>
                      </w:pPr>
                      <w:r>
                        <w:rPr>
                          <w:bCs/>
                          <w:iCs/>
                          <w:sz w:val="22"/>
                        </w:rPr>
                        <w:t>1 Постанова</w:t>
                      </w:r>
                      <w:r w:rsidRPr="00083988">
                        <w:rPr>
                          <w:bCs/>
                          <w:iCs/>
                          <w:sz w:val="22"/>
                        </w:rPr>
                        <w:t xml:space="preserve"> КМУ</w:t>
                      </w:r>
                      <w:r>
                        <w:rPr>
                          <w:bCs/>
                          <w:iCs/>
                          <w:sz w:val="22"/>
                        </w:rPr>
                        <w:t xml:space="preserve">; </w:t>
                      </w:r>
                      <w:r>
                        <w:rPr>
                          <w:bCs/>
                          <w:iCs/>
                          <w:sz w:val="22"/>
                          <w:lang w:val="ru-RU"/>
                        </w:rPr>
                        <w:t>4</w:t>
                      </w:r>
                      <w:r w:rsidRPr="00083988">
                        <w:rPr>
                          <w:bCs/>
                          <w:iCs/>
                          <w:sz w:val="22"/>
                        </w:rPr>
                        <w:t xml:space="preserve"> проєкти (МОЗ України)</w:t>
                      </w:r>
                      <w:r>
                        <w:rPr>
                          <w:bCs/>
                          <w:iCs/>
                          <w:sz w:val="22"/>
                          <w:lang w:val="ru-RU"/>
                        </w:rPr>
                        <w:t xml:space="preserve"> </w:t>
                      </w:r>
                      <w:r>
                        <w:rPr>
                          <w:bCs/>
                          <w:iCs/>
                          <w:sz w:val="22"/>
                        </w:rPr>
                        <w:t>уніфікован</w:t>
                      </w:r>
                      <w:r>
                        <w:rPr>
                          <w:bCs/>
                          <w:iCs/>
                          <w:sz w:val="22"/>
                          <w:lang w:val="ru-RU"/>
                        </w:rPr>
                        <w:t>і</w:t>
                      </w:r>
                      <w:r>
                        <w:rPr>
                          <w:bCs/>
                          <w:iCs/>
                          <w:sz w:val="22"/>
                        </w:rPr>
                        <w:t xml:space="preserve"> клінічні</w:t>
                      </w:r>
                      <w:r w:rsidRPr="007845C3">
                        <w:rPr>
                          <w:bCs/>
                          <w:iCs/>
                          <w:sz w:val="22"/>
                        </w:rPr>
                        <w:t xml:space="preserve"> протокол</w:t>
                      </w:r>
                      <w:r>
                        <w:rPr>
                          <w:bCs/>
                          <w:iCs/>
                          <w:sz w:val="22"/>
                        </w:rPr>
                        <w:t>и</w:t>
                      </w:r>
                      <w:r w:rsidRPr="007845C3">
                        <w:rPr>
                          <w:bCs/>
                          <w:iCs/>
                          <w:sz w:val="22"/>
                        </w:rPr>
                        <w:t xml:space="preserve"> медичної </w:t>
                      </w:r>
                      <w:r w:rsidRPr="00083988">
                        <w:rPr>
                          <w:bCs/>
                          <w:iCs/>
                          <w:color w:val="000000" w:themeColor="text1"/>
                          <w:sz w:val="22"/>
                        </w:rPr>
                        <w:t xml:space="preserve">допомоги </w:t>
                      </w:r>
                      <w:r>
                        <w:rPr>
                          <w:bCs/>
                          <w:iCs/>
                          <w:color w:val="000000" w:themeColor="text1"/>
                          <w:sz w:val="22"/>
                        </w:rPr>
                        <w:t>та клінічн</w:t>
                      </w:r>
                      <w:r>
                        <w:rPr>
                          <w:bCs/>
                          <w:iCs/>
                          <w:color w:val="000000" w:themeColor="text1"/>
                          <w:sz w:val="22"/>
                          <w:lang w:val="ru-RU"/>
                        </w:rPr>
                        <w:t>а</w:t>
                      </w:r>
                      <w:r>
                        <w:rPr>
                          <w:bCs/>
                          <w:iCs/>
                          <w:color w:val="000000" w:themeColor="text1"/>
                          <w:sz w:val="22"/>
                        </w:rPr>
                        <w:t xml:space="preserve"> настанов</w:t>
                      </w:r>
                      <w:r>
                        <w:rPr>
                          <w:bCs/>
                          <w:iCs/>
                          <w:color w:val="000000" w:themeColor="text1"/>
                          <w:sz w:val="22"/>
                          <w:lang w:val="ru-RU"/>
                        </w:rPr>
                        <w:t>а</w:t>
                      </w:r>
                      <w:r>
                        <w:rPr>
                          <w:bCs/>
                          <w:iCs/>
                          <w:color w:val="000000" w:themeColor="text1"/>
                          <w:sz w:val="22"/>
                        </w:rPr>
                        <w:t xml:space="preserve"> за напрямом «Педіатрія та </w:t>
                      </w:r>
                      <w:r w:rsidRPr="00083988">
                        <w:rPr>
                          <w:bCs/>
                          <w:iCs/>
                          <w:color w:val="000000" w:themeColor="text1"/>
                          <w:sz w:val="22"/>
                        </w:rPr>
                        <w:t xml:space="preserve">неонатологія»  </w:t>
                      </w:r>
                    </w:p>
                  </w:txbxContent>
                </v:textbox>
              </v:roundrect>
            </w:pict>
          </mc:Fallback>
        </mc:AlternateContent>
      </w:r>
      <w:r w:rsidRPr="00EC3A17">
        <w:rPr>
          <w:rFonts w:eastAsia="Times New Roman"/>
          <w:noProof/>
          <w:szCs w:val="28"/>
          <w:lang w:val="ru-RU" w:eastAsia="ru-RU"/>
        </w:rPr>
        <mc:AlternateContent>
          <mc:Choice Requires="wps">
            <w:drawing>
              <wp:anchor distT="0" distB="0" distL="114300" distR="114300" simplePos="0" relativeHeight="251984896" behindDoc="0" locked="0" layoutInCell="1" allowOverlap="1" wp14:anchorId="2B386374" wp14:editId="2D4C12A6">
                <wp:simplePos x="0" y="0"/>
                <wp:positionH relativeFrom="column">
                  <wp:posOffset>4241165</wp:posOffset>
                </wp:positionH>
                <wp:positionV relativeFrom="paragraph">
                  <wp:posOffset>160655</wp:posOffset>
                </wp:positionV>
                <wp:extent cx="2264410" cy="939800"/>
                <wp:effectExtent l="0" t="0" r="21590" b="12700"/>
                <wp:wrapNone/>
                <wp:docPr id="1161" name="Скругленный прямоугольник 11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64410" cy="939800"/>
                        </a:xfrm>
                        <a:prstGeom prst="roundRect">
                          <a:avLst>
                            <a:gd name="adj" fmla="val 16667"/>
                          </a:avLst>
                        </a:prstGeom>
                        <a:solidFill>
                          <a:srgbClr val="FFFFFF"/>
                        </a:solidFill>
                        <a:ln w="9525">
                          <a:solidFill>
                            <a:srgbClr val="000000"/>
                          </a:solidFill>
                          <a:round/>
                          <a:headEnd/>
                          <a:tailEnd/>
                        </a:ln>
                      </wps:spPr>
                      <wps:txbx>
                        <w:txbxContent>
                          <w:p w:rsidR="001E1DF5" w:rsidRPr="00330C9E" w:rsidRDefault="001E1DF5" w:rsidP="00EC3A17">
                            <w:pPr>
                              <w:spacing w:line="216" w:lineRule="auto"/>
                              <w:jc w:val="center"/>
                              <w:rPr>
                                <w:sz w:val="22"/>
                              </w:rPr>
                            </w:pPr>
                            <w:r>
                              <w:rPr>
                                <w:color w:val="000000"/>
                                <w:sz w:val="22"/>
                              </w:rPr>
                              <w:t>1 методичні рекомендації, 2</w:t>
                            </w:r>
                            <w:r w:rsidRPr="00330C9E">
                              <w:rPr>
                                <w:color w:val="000000"/>
                                <w:sz w:val="22"/>
                              </w:rPr>
                              <w:t xml:space="preserve"> </w:t>
                            </w:r>
                            <w:r>
                              <w:rPr>
                                <w:color w:val="000000"/>
                                <w:sz w:val="22"/>
                                <w:lang w:val="ru-RU"/>
                              </w:rPr>
                              <w:t xml:space="preserve">у </w:t>
                            </w:r>
                            <w:r>
                              <w:rPr>
                                <w:color w:val="000000" w:themeColor="text1"/>
                                <w:sz w:val="22"/>
                              </w:rPr>
                              <w:t>співавторств</w:t>
                            </w:r>
                            <w:r>
                              <w:rPr>
                                <w:color w:val="000000" w:themeColor="text1"/>
                                <w:sz w:val="22"/>
                                <w:lang w:val="ru-RU"/>
                              </w:rPr>
                              <w:t>і</w:t>
                            </w:r>
                            <w:r w:rsidRPr="00083988">
                              <w:rPr>
                                <w:color w:val="000000" w:themeColor="text1"/>
                                <w:sz w:val="22"/>
                              </w:rPr>
                              <w:t xml:space="preserve"> у монографіях; 19 статей у фахових </w:t>
                            </w:r>
                            <w:r w:rsidRPr="00330C9E">
                              <w:rPr>
                                <w:color w:val="000000"/>
                                <w:sz w:val="22"/>
                              </w:rPr>
                              <w:t>виданнях, рекомендованих МОН України;</w:t>
                            </w:r>
                            <w:r>
                              <w:rPr>
                                <w:color w:val="000000"/>
                                <w:sz w:val="22"/>
                              </w:rPr>
                              <w:t xml:space="preserve"> 7</w:t>
                            </w:r>
                            <w:r w:rsidRPr="00330C9E">
                              <w:rPr>
                                <w:color w:val="000000"/>
                                <w:sz w:val="22"/>
                              </w:rPr>
                              <w:t xml:space="preserve"> у зарубіжних виданнях, </w:t>
                            </w:r>
                            <w:r>
                              <w:rPr>
                                <w:sz w:val="22"/>
                              </w:rPr>
                              <w:t>17</w:t>
                            </w:r>
                            <w:r w:rsidRPr="00330C9E">
                              <w:rPr>
                                <w:sz w:val="22"/>
                              </w:rPr>
                              <w:t xml:space="preserve"> </w:t>
                            </w:r>
                            <w:r w:rsidRPr="00330C9E">
                              <w:rPr>
                                <w:color w:val="000000"/>
                                <w:sz w:val="22"/>
                              </w:rPr>
                              <w:t>тез у матеріалах з’їздів і конференцій</w:t>
                            </w:r>
                          </w:p>
                          <w:p w:rsidR="001E1DF5" w:rsidRPr="001F534C" w:rsidRDefault="001E1DF5" w:rsidP="00EC3A17">
                            <w:pPr>
                              <w:spacing w:line="216" w:lineRule="auto"/>
                              <w:jc w:val="center"/>
                              <w:rPr>
                                <w:sz w:val="22"/>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1161" o:spid="_x0000_s1093" style="position:absolute;left:0;text-align:left;margin-left:333.95pt;margin-top:12.65pt;width:178.3pt;height:74pt;z-index:25198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">
                <v:textbox inset="0,0,0,0">
                  <w:txbxContent>
                    <w:p w:rsidR="0057431A" w:rsidRPr="00330C9E" w:rsidRDefault="0057431A" w:rsidP="00EC3A17">
                      <w:pPr>
                        <w:spacing w:line="216" w:lineRule="auto"/>
                        <w:jc w:val="center"/>
                        <w:rPr>
                          <w:sz w:val="22"/>
                        </w:rPr>
                      </w:pPr>
                      <w:r>
                        <w:rPr>
                          <w:color w:val="000000"/>
                          <w:sz w:val="22"/>
                        </w:rPr>
                        <w:t>1 методичні рекомендації, 2</w:t>
                      </w:r>
                      <w:r w:rsidRPr="00330C9E">
                        <w:rPr>
                          <w:color w:val="000000"/>
                          <w:sz w:val="22"/>
                        </w:rPr>
                        <w:t xml:space="preserve"> </w:t>
                      </w:r>
                      <w:r>
                        <w:rPr>
                          <w:color w:val="000000"/>
                          <w:sz w:val="22"/>
                          <w:lang w:val="ru-RU"/>
                        </w:rPr>
                        <w:t xml:space="preserve">у </w:t>
                      </w:r>
                      <w:r>
                        <w:rPr>
                          <w:color w:val="000000" w:themeColor="text1"/>
                          <w:sz w:val="22"/>
                        </w:rPr>
                        <w:t>співавторств</w:t>
                      </w:r>
                      <w:r>
                        <w:rPr>
                          <w:color w:val="000000" w:themeColor="text1"/>
                          <w:sz w:val="22"/>
                          <w:lang w:val="ru-RU"/>
                        </w:rPr>
                        <w:t>і</w:t>
                      </w:r>
                      <w:r w:rsidRPr="00083988">
                        <w:rPr>
                          <w:color w:val="000000" w:themeColor="text1"/>
                          <w:sz w:val="22"/>
                        </w:rPr>
                        <w:t xml:space="preserve"> у монографіях; 19 статей у фахових </w:t>
                      </w:r>
                      <w:r w:rsidRPr="00330C9E">
                        <w:rPr>
                          <w:color w:val="000000"/>
                          <w:sz w:val="22"/>
                        </w:rPr>
                        <w:t>виданнях, рекомендованих МОН України;</w:t>
                      </w:r>
                      <w:r>
                        <w:rPr>
                          <w:color w:val="000000"/>
                          <w:sz w:val="22"/>
                        </w:rPr>
                        <w:t xml:space="preserve"> 7</w:t>
                      </w:r>
                      <w:r w:rsidRPr="00330C9E">
                        <w:rPr>
                          <w:color w:val="000000"/>
                          <w:sz w:val="22"/>
                        </w:rPr>
                        <w:t xml:space="preserve"> у зарубіжних виданнях, </w:t>
                      </w:r>
                      <w:r>
                        <w:rPr>
                          <w:sz w:val="22"/>
                        </w:rPr>
                        <w:t>17</w:t>
                      </w:r>
                      <w:r w:rsidRPr="00330C9E">
                        <w:rPr>
                          <w:sz w:val="22"/>
                        </w:rPr>
                        <w:t xml:space="preserve"> </w:t>
                      </w:r>
                      <w:r w:rsidRPr="00330C9E">
                        <w:rPr>
                          <w:color w:val="000000"/>
                          <w:sz w:val="22"/>
                        </w:rPr>
                        <w:t>тез у матеріалах з’їздів і конференцій</w:t>
                      </w:r>
                    </w:p>
                    <w:p w:rsidR="0057431A" w:rsidRPr="001F534C" w:rsidRDefault="0057431A" w:rsidP="00EC3A17">
                      <w:pPr>
                        <w:spacing w:line="216" w:lineRule="auto"/>
                        <w:jc w:val="center"/>
                        <w:rPr>
                          <w:sz w:val="22"/>
                        </w:rPr>
                      </w:pPr>
                    </w:p>
                  </w:txbxContent>
                </v:textbox>
              </v:roundrect>
            </w:pict>
          </mc:Fallback>
        </mc:AlternateContent>
      </w:r>
      <w:r w:rsidRPr="00EC3A17">
        <w:rPr>
          <w:rFonts w:eastAsia="Times New Roman"/>
          <w:noProof/>
          <w:szCs w:val="28"/>
          <w:lang w:val="ru-RU" w:eastAsia="ru-RU"/>
        </w:rPr>
        <mc:AlternateContent>
          <mc:Choice Requires="wps">
            <w:drawing>
              <wp:anchor distT="0" distB="0" distL="114300" distR="114300" simplePos="0" relativeHeight="251983872" behindDoc="0" locked="0" layoutInCell="1" allowOverlap="1" wp14:anchorId="5A7440A9" wp14:editId="38E16721">
                <wp:simplePos x="0" y="0"/>
                <wp:positionH relativeFrom="column">
                  <wp:posOffset>1863725</wp:posOffset>
                </wp:positionH>
                <wp:positionV relativeFrom="paragraph">
                  <wp:posOffset>160655</wp:posOffset>
                </wp:positionV>
                <wp:extent cx="2308225" cy="939800"/>
                <wp:effectExtent l="0" t="0" r="15875" b="12700"/>
                <wp:wrapNone/>
                <wp:docPr id="1162" name="Скругленный прямоугольник 11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08225" cy="939800"/>
                        </a:xfrm>
                        <a:prstGeom prst="roundRect">
                          <a:avLst>
                            <a:gd name="adj" fmla="val 16667"/>
                          </a:avLst>
                        </a:prstGeom>
                        <a:solidFill>
                          <a:srgbClr val="FFFFFF"/>
                        </a:solidFill>
                        <a:ln w="9525">
                          <a:solidFill>
                            <a:srgbClr val="000000"/>
                          </a:solidFill>
                          <a:round/>
                          <a:headEnd/>
                          <a:tailEnd/>
                        </a:ln>
                      </wps:spPr>
                      <wps:txbx>
                        <w:txbxContent>
                          <w:p w:rsidR="001E1DF5" w:rsidRPr="00330C9E" w:rsidRDefault="001E1DF5" w:rsidP="00EC3A17">
                            <w:pPr>
                              <w:autoSpaceDE w:val="0"/>
                              <w:autoSpaceDN w:val="0"/>
                              <w:adjustRightInd w:val="0"/>
                              <w:spacing w:line="216" w:lineRule="auto"/>
                              <w:jc w:val="center"/>
                              <w:rPr>
                                <w:color w:val="000000"/>
                                <w:szCs w:val="28"/>
                              </w:rPr>
                            </w:pPr>
                            <w:r>
                              <w:rPr>
                                <w:spacing w:val="-4"/>
                                <w:sz w:val="22"/>
                                <w:lang w:eastAsia="ru-RU"/>
                              </w:rPr>
                              <w:t>13 актів впровадження</w:t>
                            </w:r>
                            <w:r w:rsidRPr="00BA71CE">
                              <w:rPr>
                                <w:spacing w:val="-4"/>
                                <w:sz w:val="22"/>
                                <w:lang w:eastAsia="ru-RU"/>
                              </w:rPr>
                              <w:t xml:space="preserve">, у т.ч.  </w:t>
                            </w:r>
                            <w:r>
                              <w:rPr>
                                <w:spacing w:val="-4"/>
                                <w:sz w:val="22"/>
                                <w:lang w:eastAsia="ru-RU"/>
                              </w:rPr>
                              <w:t>практичну діяльність закладів перинатальної допомоги</w:t>
                            </w:r>
                            <w:r w:rsidRPr="00BA71CE">
                              <w:rPr>
                                <w:spacing w:val="-4"/>
                                <w:sz w:val="22"/>
                                <w:lang w:eastAsia="ru-RU"/>
                              </w:rPr>
                              <w:t xml:space="preserve">  – 1 од., у наукову роботу та навчально-педагогічний процес закладів вищої освіти МОЗ та МОН України – 12 од.</w:t>
                            </w:r>
                          </w:p>
                          <w:p w:rsidR="001E1DF5" w:rsidRPr="001F534C" w:rsidRDefault="001E1DF5" w:rsidP="00EC3A17">
                            <w:pPr>
                              <w:spacing w:line="216" w:lineRule="auto"/>
                              <w:jc w:val="center"/>
                              <w:rPr>
                                <w:sz w:val="22"/>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1162" o:spid="_x0000_s1094" style="position:absolute;left:0;text-align:left;margin-left:146.75pt;margin-top:12.65pt;width:181.75pt;height:74pt;z-index:25198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">
                <v:textbox inset="0,0,0,0">
                  <w:txbxContent>
                    <w:p w:rsidR="00B81470" w:rsidRPr="00330C9E" w:rsidRDefault="00B81470" w:rsidP="00EC3A17">
                      <w:pPr>
                        <w:autoSpaceDE w:val="0"/>
                        <w:autoSpaceDN w:val="0"/>
                        <w:adjustRightInd w:val="0"/>
                        <w:spacing w:line="216" w:lineRule="auto"/>
                        <w:jc w:val="center"/>
                        <w:rPr>
                          <w:color w:val="000000"/>
                          <w:szCs w:val="28"/>
                        </w:rPr>
                      </w:pPr>
                      <w:r>
                        <w:rPr>
                          <w:spacing w:val="-4"/>
                          <w:sz w:val="22"/>
                          <w:lang w:eastAsia="ru-RU"/>
                        </w:rPr>
                        <w:t>13 актів впровадження</w:t>
                      </w:r>
                      <w:r w:rsidRPr="00BA71CE">
                        <w:rPr>
                          <w:spacing w:val="-4"/>
                          <w:sz w:val="22"/>
                          <w:lang w:eastAsia="ru-RU"/>
                        </w:rPr>
                        <w:t xml:space="preserve">, у т.ч.  </w:t>
                      </w:r>
                      <w:r>
                        <w:rPr>
                          <w:spacing w:val="-4"/>
                          <w:sz w:val="22"/>
                          <w:lang w:eastAsia="ru-RU"/>
                        </w:rPr>
                        <w:t>п</w:t>
                      </w:r>
                      <w:r w:rsidR="00323AD3">
                        <w:rPr>
                          <w:spacing w:val="-4"/>
                          <w:sz w:val="22"/>
                          <w:lang w:eastAsia="ru-RU"/>
                        </w:rPr>
                        <w:t>рактичну діяльність закладів перинатальної допомоги</w:t>
                      </w:r>
                      <w:bookmarkStart w:id="1" w:name="_GoBack"/>
                      <w:bookmarkEnd w:id="1"/>
                      <w:r w:rsidRPr="00BA71CE">
                        <w:rPr>
                          <w:spacing w:val="-4"/>
                          <w:sz w:val="22"/>
                          <w:lang w:eastAsia="ru-RU"/>
                        </w:rPr>
                        <w:t xml:space="preserve">  – 1 од., у наукову роботу та навчально-педагогічний процес закладів вищої освіти МОЗ та МОН України – 12 од.</w:t>
                      </w:r>
                    </w:p>
                    <w:p w:rsidR="00B81470" w:rsidRPr="001F534C" w:rsidRDefault="00B81470" w:rsidP="00EC3A17">
                      <w:pPr>
                        <w:spacing w:line="216" w:lineRule="auto"/>
                        <w:jc w:val="center"/>
                        <w:rPr>
                          <w:sz w:val="22"/>
                        </w:rPr>
                      </w:pPr>
                    </w:p>
                  </w:txbxContent>
                </v:textbox>
              </v:roundrect>
            </w:pict>
          </mc:Fallback>
        </mc:AlternateContent>
      </w:r>
    </w:p>
    <w:p w:rsidR="00EC3A17" w:rsidRPr="00EC3A17" w:rsidRDefault="00EC3A17" w:rsidP="00EC3A17">
      <w:pPr>
        <w:autoSpaceDE w:val="0"/>
        <w:autoSpaceDN w:val="0"/>
        <w:adjustRightInd w:val="0"/>
        <w:spacing w:line="240" w:lineRule="auto"/>
        <w:rPr>
          <w:rFonts w:eastAsia="Times New Roman"/>
          <w:szCs w:val="28"/>
          <w:lang w:eastAsia="uk-UA"/>
        </w:rPr>
      </w:pPr>
    </w:p>
    <w:p w:rsidR="00EC3A17" w:rsidRPr="00EC3A17" w:rsidRDefault="00EC3A17" w:rsidP="00EC3A17">
      <w:pPr>
        <w:autoSpaceDE w:val="0"/>
        <w:autoSpaceDN w:val="0"/>
        <w:adjustRightInd w:val="0"/>
        <w:spacing w:line="240" w:lineRule="auto"/>
        <w:rPr>
          <w:rFonts w:eastAsia="Times New Roman"/>
          <w:szCs w:val="28"/>
          <w:lang w:eastAsia="uk-UA"/>
        </w:rPr>
      </w:pPr>
    </w:p>
    <w:p w:rsidR="00EC3A17" w:rsidRPr="00EC3A17" w:rsidRDefault="00EC3A17" w:rsidP="00EC3A17">
      <w:pPr>
        <w:widowControl w:val="0"/>
        <w:jc w:val="center"/>
        <w:rPr>
          <w:rFonts w:eastAsia="Times New Roman"/>
          <w:szCs w:val="20"/>
          <w:lang w:eastAsia="x-none"/>
        </w:rPr>
      </w:pPr>
    </w:p>
    <w:p w:rsidR="00EC3A17" w:rsidRPr="00EC3A17" w:rsidRDefault="00EC3A17" w:rsidP="00EC3A17">
      <w:pPr>
        <w:widowControl w:val="0"/>
        <w:jc w:val="center"/>
        <w:rPr>
          <w:rFonts w:eastAsia="Times New Roman"/>
          <w:szCs w:val="20"/>
          <w:lang w:eastAsia="x-none"/>
        </w:rPr>
      </w:pPr>
      <w:r w:rsidRPr="00EC3A17">
        <w:rPr>
          <w:rFonts w:eastAsia="Times New Roman"/>
          <w:noProof/>
          <w:szCs w:val="28"/>
          <w:lang w:val="ru-RU" w:eastAsia="ru-RU"/>
        </w:rPr>
        <mc:AlternateContent>
          <mc:Choice Requires="wps">
            <w:drawing>
              <wp:anchor distT="0" distB="0" distL="114300" distR="114300" simplePos="0" relativeHeight="251982848" behindDoc="0" locked="0" layoutInCell="1" allowOverlap="1" wp14:anchorId="3A3E230C" wp14:editId="7CD356D3">
                <wp:simplePos x="0" y="0"/>
                <wp:positionH relativeFrom="column">
                  <wp:posOffset>-88900</wp:posOffset>
                </wp:positionH>
                <wp:positionV relativeFrom="paragraph">
                  <wp:posOffset>236855</wp:posOffset>
                </wp:positionV>
                <wp:extent cx="6580505" cy="247650"/>
                <wp:effectExtent l="0" t="0" r="48895" b="57150"/>
                <wp:wrapNone/>
                <wp:docPr id="1163" name="Скругленный прямоугольник 11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80505" cy="247650"/>
                        </a:xfrm>
                        <a:prstGeom prst="roundRect">
                          <a:avLst>
                            <a:gd name="adj" fmla="val 16667"/>
                          </a:avLst>
                        </a:prstGeom>
                        <a:gradFill rotWithShape="1">
                          <a:gsLst>
                            <a:gs pos="0">
                              <a:srgbClr val="C0C0C0"/>
                            </a:gs>
                            <a:gs pos="50000">
                              <a:srgbClr val="FFFFFF"/>
                            </a:gs>
                            <a:gs pos="100000">
                              <a:srgbClr val="C0C0C0"/>
                            </a:gs>
                          </a:gsLst>
                          <a:lin ang="5400000" scaled="1"/>
                        </a:gradFill>
                        <a:ln w="25400">
                          <a:solidFill>
                            <a:srgbClr val="000000"/>
                          </a:solidFill>
                          <a:round/>
                          <a:headEnd/>
                          <a:tailEnd/>
                        </a:ln>
                        <a:effectLst>
                          <a:outerShdw dist="35921" dir="2700000" algn="ctr" rotWithShape="0">
                            <a:srgbClr val="808080"/>
                          </a:outerShdw>
                        </a:effectLst>
                      </wps:spPr>
                      <wps:txbx>
                        <w:txbxContent>
                          <w:p w:rsidR="001E1DF5" w:rsidRPr="007845C3" w:rsidRDefault="001E1DF5" w:rsidP="00EC3A17">
                            <w:pPr>
                              <w:jc w:val="center"/>
                              <w:rPr>
                                <w:b/>
                              </w:rPr>
                            </w:pPr>
                            <w:r w:rsidRPr="007845C3">
                              <w:rPr>
                                <w:b/>
                              </w:rPr>
                              <w:t>Методичне забезпечення дослідження</w:t>
                            </w:r>
                          </w:p>
                          <w:p w:rsidR="001E1DF5" w:rsidRPr="000061EB" w:rsidRDefault="001E1DF5" w:rsidP="00EC3A17">
                            <w:pPr>
                              <w:jc w:val="center"/>
                            </w:pPr>
                          </w:p>
                        </w:txbxContent>
                      </wps:txbx>
                      <wps:bodyPr rot="0" vert="horz" wrap="square" lIns="18000" tIns="10800" rIns="18000" bIns="1080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1163" o:spid="_x0000_s1095" style="position:absolute;left:0;text-align:left;margin-left:-7pt;margin-top:18.65pt;width:518.15pt;height:19.5pt;z-index:25198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" fillcolor="silver" strokeweight="2pt">
                <v:fill rotate="t" focus="50%" type="gradient"/>
                <v:shadow on="t"/>
                <v:textbox inset=".5mm,.3mm,.5mm,.3mm">
                  <w:txbxContent>
                    <w:p w:rsidR="0057431A" w:rsidRPr="007845C3" w:rsidRDefault="0057431A" w:rsidP="00EC3A17">
                      <w:pPr>
                        <w:jc w:val="center"/>
                        <w:rPr>
                          <w:b/>
                        </w:rPr>
                      </w:pPr>
                      <w:r w:rsidRPr="007845C3">
                        <w:rPr>
                          <w:b/>
                        </w:rPr>
                        <w:t>Методичне забезпечення дослідження</w:t>
                      </w:r>
                    </w:p>
                    <w:p w:rsidR="0057431A" w:rsidRPr="000061EB" w:rsidRDefault="0057431A" w:rsidP="00EC3A17">
                      <w:pPr>
                        <w:jc w:val="center"/>
                      </w:pPr>
                    </w:p>
                  </w:txbxContent>
                </v:textbox>
              </v:roundrect>
            </w:pict>
          </mc:Fallback>
        </mc:AlternateContent>
      </w:r>
    </w:p>
    <w:tbl>
      <w:tblPr>
        <w:tblStyle w:val="TableNormal1"/>
        <w:tblpPr w:leftFromText="180" w:rightFromText="180" w:vertAnchor="text" w:horzAnchor="margin" w:tblpX="-132" w:tblpY="303"/>
        <w:tblW w:w="1034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180"/>
        <w:gridCol w:w="1559"/>
        <w:gridCol w:w="3903"/>
        <w:gridCol w:w="1701"/>
      </w:tblGrid>
      <w:tr w:rsidR="00EC3A17" w:rsidRPr="00EC3A17" w:rsidTr="00EC3A17">
        <w:trPr>
          <w:trHeight w:val="172"/>
        </w:trPr>
        <w:tc>
          <w:tcPr>
            <w:tcW w:w="3180" w:type="dxa"/>
            <w:tcBorders>
              <w:bottom w:val="nil"/>
            </w:tcBorders>
          </w:tcPr>
          <w:p w:rsidR="00EC3A17" w:rsidRPr="00EC3A17" w:rsidRDefault="00EC3A17" w:rsidP="00EC3A17">
            <w:pPr>
              <w:jc w:val="center"/>
              <w:rPr>
                <w:rFonts w:ascii="Times New Roman" w:eastAsia="Times New Roman" w:hAnsi="Times New Roman" w:cs="Times New Roman"/>
                <w:b/>
              </w:rPr>
            </w:pPr>
            <w:r w:rsidRPr="00EC3A17">
              <w:rPr>
                <w:rFonts w:ascii="Times New Roman" w:eastAsia="Times New Roman" w:hAnsi="Times New Roman" w:cs="Times New Roman"/>
                <w:b/>
              </w:rPr>
              <w:t>Методи дослідження</w:t>
            </w:r>
          </w:p>
        </w:tc>
        <w:tc>
          <w:tcPr>
            <w:tcW w:w="1559" w:type="dxa"/>
            <w:tcBorders>
              <w:bottom w:val="nil"/>
            </w:tcBorders>
          </w:tcPr>
          <w:p w:rsidR="00EC3A17" w:rsidRPr="00EC3A17" w:rsidRDefault="00EC3A17" w:rsidP="00EC3A17">
            <w:pPr>
              <w:ind w:left="108"/>
              <w:jc w:val="center"/>
              <w:rPr>
                <w:rFonts w:ascii="Times New Roman" w:eastAsia="Times New Roman" w:hAnsi="Times New Roman" w:cs="Times New Roman"/>
                <w:b/>
              </w:rPr>
            </w:pPr>
            <w:r w:rsidRPr="00EC3A17">
              <w:rPr>
                <w:rFonts w:ascii="Times New Roman" w:eastAsia="Times New Roman" w:hAnsi="Times New Roman" w:cs="Times New Roman"/>
                <w:b/>
              </w:rPr>
              <w:t>Етапи дослідження</w:t>
            </w:r>
          </w:p>
        </w:tc>
        <w:tc>
          <w:tcPr>
            <w:tcW w:w="3903" w:type="dxa"/>
            <w:tcBorders>
              <w:bottom w:val="nil"/>
            </w:tcBorders>
          </w:tcPr>
          <w:p w:rsidR="00EC3A17" w:rsidRPr="00EC3A17" w:rsidRDefault="00EC3A17" w:rsidP="00EC3A17">
            <w:pPr>
              <w:jc w:val="center"/>
              <w:rPr>
                <w:rFonts w:ascii="Times New Roman" w:eastAsia="Times New Roman" w:hAnsi="Times New Roman" w:cs="Times New Roman"/>
                <w:b/>
              </w:rPr>
            </w:pPr>
            <w:r w:rsidRPr="00EC3A17">
              <w:rPr>
                <w:rFonts w:ascii="Times New Roman" w:eastAsia="Times New Roman" w:hAnsi="Times New Roman" w:cs="Times New Roman"/>
                <w:b/>
              </w:rPr>
              <w:t>Методи дослідження</w:t>
            </w:r>
          </w:p>
        </w:tc>
        <w:tc>
          <w:tcPr>
            <w:tcW w:w="1701" w:type="dxa"/>
            <w:tcBorders>
              <w:bottom w:val="nil"/>
            </w:tcBorders>
          </w:tcPr>
          <w:p w:rsidR="00EC3A17" w:rsidRPr="00EC3A17" w:rsidRDefault="00EC3A17" w:rsidP="00EC3A17">
            <w:pPr>
              <w:ind w:left="332"/>
              <w:rPr>
                <w:rFonts w:ascii="Times New Roman" w:eastAsia="Times New Roman" w:hAnsi="Times New Roman" w:cs="Times New Roman"/>
                <w:b/>
              </w:rPr>
            </w:pPr>
            <w:r w:rsidRPr="00EC3A17">
              <w:rPr>
                <w:rFonts w:ascii="Times New Roman" w:eastAsia="Times New Roman" w:hAnsi="Times New Roman" w:cs="Times New Roman"/>
                <w:b/>
              </w:rPr>
              <w:t>Етапи</w:t>
            </w:r>
          </w:p>
          <w:p w:rsidR="00EC3A17" w:rsidRPr="00EC3A17" w:rsidRDefault="00EC3A17" w:rsidP="00EC3A17">
            <w:pPr>
              <w:jc w:val="center"/>
              <w:rPr>
                <w:rFonts w:ascii="Times New Roman" w:eastAsia="Times New Roman" w:hAnsi="Times New Roman" w:cs="Times New Roman"/>
                <w:b/>
              </w:rPr>
            </w:pPr>
            <w:r w:rsidRPr="00EC3A17">
              <w:rPr>
                <w:rFonts w:ascii="Times New Roman" w:eastAsia="Times New Roman" w:hAnsi="Times New Roman" w:cs="Times New Roman"/>
                <w:b/>
              </w:rPr>
              <w:t>дослідження</w:t>
            </w:r>
          </w:p>
        </w:tc>
      </w:tr>
      <w:tr w:rsidR="00EC3A17" w:rsidRPr="00EC3A17" w:rsidTr="00EC3A17">
        <w:trPr>
          <w:trHeight w:val="172"/>
        </w:trPr>
        <w:tc>
          <w:tcPr>
            <w:tcW w:w="3180" w:type="dxa"/>
            <w:tcBorders>
              <w:bottom w:val="nil"/>
            </w:tcBorders>
          </w:tcPr>
          <w:p w:rsidR="00EC3A17" w:rsidRPr="00EC3A17" w:rsidRDefault="00EC3A17" w:rsidP="00EC3A17">
            <w:pPr>
              <w:ind w:left="142"/>
              <w:rPr>
                <w:rFonts w:ascii="Times New Roman" w:eastAsia="Times New Roman" w:hAnsi="Times New Roman" w:cs="Times New Roman"/>
              </w:rPr>
            </w:pPr>
            <w:r w:rsidRPr="00EC3A17">
              <w:rPr>
                <w:rFonts w:ascii="Times New Roman" w:eastAsia="Times New Roman" w:hAnsi="Times New Roman" w:cs="Times New Roman"/>
              </w:rPr>
              <w:t>Системного підхід та аналіз</w:t>
            </w:r>
          </w:p>
        </w:tc>
        <w:tc>
          <w:tcPr>
            <w:tcW w:w="1559" w:type="dxa"/>
            <w:tcBorders>
              <w:bottom w:val="nil"/>
            </w:tcBorders>
          </w:tcPr>
          <w:p w:rsidR="00EC3A17" w:rsidRPr="00EC3A17" w:rsidRDefault="00EC3A17" w:rsidP="00EC3A17">
            <w:pPr>
              <w:ind w:left="108"/>
              <w:jc w:val="center"/>
              <w:rPr>
                <w:rFonts w:ascii="Times New Roman" w:eastAsia="Times New Roman" w:hAnsi="Times New Roman" w:cs="Times New Roman"/>
                <w:highlight w:val="yellow"/>
              </w:rPr>
            </w:pPr>
            <w:r w:rsidRPr="00EC3A17">
              <w:rPr>
                <w:rFonts w:ascii="Times New Roman" w:eastAsia="Times New Roman" w:hAnsi="Times New Roman" w:cs="Times New Roman"/>
              </w:rPr>
              <w:t>I-VIIІ</w:t>
            </w:r>
          </w:p>
        </w:tc>
        <w:tc>
          <w:tcPr>
            <w:tcW w:w="3903" w:type="dxa"/>
            <w:tcBorders>
              <w:bottom w:val="nil"/>
            </w:tcBorders>
          </w:tcPr>
          <w:p w:rsidR="00EC3A17" w:rsidRPr="00EC3A17" w:rsidRDefault="00EC3A17" w:rsidP="00EC3A17">
            <w:pPr>
              <w:ind w:left="74"/>
              <w:rPr>
                <w:rFonts w:ascii="Times New Roman" w:eastAsia="Times New Roman" w:hAnsi="Times New Roman" w:cs="Times New Roman"/>
              </w:rPr>
            </w:pPr>
            <w:r w:rsidRPr="00EC3A17">
              <w:rPr>
                <w:rFonts w:ascii="Times New Roman" w:eastAsia="Times New Roman" w:hAnsi="Times New Roman" w:cs="Times New Roman"/>
              </w:rPr>
              <w:t>Біостатистичний</w:t>
            </w:r>
          </w:p>
        </w:tc>
        <w:tc>
          <w:tcPr>
            <w:tcW w:w="1701" w:type="dxa"/>
            <w:tcBorders>
              <w:bottom w:val="nil"/>
            </w:tcBorders>
          </w:tcPr>
          <w:p w:rsidR="00EC3A17" w:rsidRPr="00EC3A17" w:rsidRDefault="00EC3A17" w:rsidP="00EC3A17">
            <w:pPr>
              <w:ind w:left="3"/>
              <w:jc w:val="center"/>
              <w:rPr>
                <w:rFonts w:ascii="Times New Roman" w:eastAsia="Times New Roman" w:hAnsi="Times New Roman" w:cs="Times New Roman"/>
              </w:rPr>
            </w:pPr>
            <w:r w:rsidRPr="00EC3A17">
              <w:rPr>
                <w:rFonts w:ascii="Times New Roman" w:eastAsia="Times New Roman" w:hAnsi="Times New Roman" w:cs="Times New Roman"/>
              </w:rPr>
              <w:t>III-VІІІ</w:t>
            </w:r>
          </w:p>
        </w:tc>
      </w:tr>
      <w:tr w:rsidR="00EC3A17" w:rsidRPr="00EC3A17" w:rsidTr="00EC3A17">
        <w:trPr>
          <w:trHeight w:val="172"/>
        </w:trPr>
        <w:tc>
          <w:tcPr>
            <w:tcW w:w="3180" w:type="dxa"/>
            <w:tcBorders>
              <w:bottom w:val="nil"/>
            </w:tcBorders>
          </w:tcPr>
          <w:p w:rsidR="00EC3A17" w:rsidRPr="00EC3A17" w:rsidRDefault="00EC3A17" w:rsidP="00EC3A17">
            <w:pPr>
              <w:ind w:left="142"/>
              <w:rPr>
                <w:rFonts w:ascii="Times New Roman" w:eastAsia="Times New Roman" w:hAnsi="Times New Roman" w:cs="Times New Roman"/>
              </w:rPr>
            </w:pPr>
            <w:r w:rsidRPr="00EC3A17">
              <w:rPr>
                <w:rFonts w:ascii="Times New Roman" w:eastAsia="Times New Roman" w:hAnsi="Times New Roman" w:cs="Times New Roman"/>
              </w:rPr>
              <w:t>Бібліосемантичний</w:t>
            </w:r>
          </w:p>
        </w:tc>
        <w:tc>
          <w:tcPr>
            <w:tcW w:w="1559" w:type="dxa"/>
            <w:tcBorders>
              <w:bottom w:val="nil"/>
            </w:tcBorders>
          </w:tcPr>
          <w:p w:rsidR="00EC3A17" w:rsidRPr="00EC3A17" w:rsidRDefault="00EC3A17" w:rsidP="00EC3A17">
            <w:pPr>
              <w:ind w:left="108"/>
              <w:jc w:val="center"/>
              <w:rPr>
                <w:rFonts w:ascii="Times New Roman" w:eastAsia="Times New Roman" w:hAnsi="Times New Roman" w:cs="Times New Roman"/>
                <w:highlight w:val="yellow"/>
                <w:lang w:val="ru-RU"/>
              </w:rPr>
            </w:pPr>
            <w:r w:rsidRPr="00EC3A17">
              <w:rPr>
                <w:rFonts w:ascii="Times New Roman" w:eastAsia="Times New Roman" w:hAnsi="Times New Roman" w:cs="Times New Roman"/>
              </w:rPr>
              <w:t>I</w:t>
            </w:r>
          </w:p>
        </w:tc>
        <w:tc>
          <w:tcPr>
            <w:tcW w:w="3903" w:type="dxa"/>
            <w:tcBorders>
              <w:bottom w:val="nil"/>
            </w:tcBorders>
          </w:tcPr>
          <w:p w:rsidR="00EC3A17" w:rsidRPr="00EC3A17" w:rsidRDefault="00EC3A17" w:rsidP="00EC3A17">
            <w:pPr>
              <w:ind w:left="74"/>
              <w:rPr>
                <w:rFonts w:ascii="Times New Roman" w:eastAsia="Times New Roman" w:hAnsi="Times New Roman" w:cs="Times New Roman"/>
              </w:rPr>
            </w:pPr>
            <w:r w:rsidRPr="00EC3A17">
              <w:rPr>
                <w:rFonts w:ascii="Times New Roman" w:eastAsia="Times New Roman" w:hAnsi="Times New Roman" w:cs="Times New Roman"/>
              </w:rPr>
              <w:t>Концептуальне і описове моделювання</w:t>
            </w:r>
          </w:p>
        </w:tc>
        <w:tc>
          <w:tcPr>
            <w:tcW w:w="1701" w:type="dxa"/>
            <w:tcBorders>
              <w:bottom w:val="nil"/>
            </w:tcBorders>
          </w:tcPr>
          <w:p w:rsidR="00EC3A17" w:rsidRPr="00EC3A17" w:rsidRDefault="00EC3A17" w:rsidP="00EC3A17">
            <w:pPr>
              <w:ind w:left="145"/>
              <w:jc w:val="center"/>
              <w:rPr>
                <w:rFonts w:ascii="Times New Roman" w:eastAsia="Times New Roman" w:hAnsi="Times New Roman" w:cs="Times New Roman"/>
              </w:rPr>
            </w:pPr>
            <w:r w:rsidRPr="00EC3A17">
              <w:rPr>
                <w:rFonts w:ascii="Times New Roman" w:eastAsia="Times New Roman" w:hAnsi="Times New Roman" w:cs="Times New Roman"/>
              </w:rPr>
              <w:t>VII-VII</w:t>
            </w:r>
            <w:r w:rsidRPr="00EC3A17">
              <w:rPr>
                <w:rFonts w:ascii="Times New Roman" w:eastAsia="Times New Roman" w:hAnsi="Times New Roman" w:cs="Times New Roman"/>
                <w:lang w:val="ru-RU"/>
              </w:rPr>
              <w:t>І</w:t>
            </w:r>
          </w:p>
        </w:tc>
      </w:tr>
      <w:tr w:rsidR="00EC3A17" w:rsidRPr="00EC3A17" w:rsidTr="00EC3A17">
        <w:trPr>
          <w:trHeight w:val="172"/>
        </w:trPr>
        <w:tc>
          <w:tcPr>
            <w:tcW w:w="3180" w:type="dxa"/>
            <w:tcBorders>
              <w:bottom w:val="nil"/>
            </w:tcBorders>
          </w:tcPr>
          <w:p w:rsidR="00EC3A17" w:rsidRPr="00EC3A17" w:rsidRDefault="00EC3A17" w:rsidP="00EC3A17">
            <w:pPr>
              <w:ind w:left="142"/>
              <w:rPr>
                <w:rFonts w:ascii="Times New Roman" w:eastAsia="Times New Roman" w:hAnsi="Times New Roman" w:cs="Times New Roman"/>
              </w:rPr>
            </w:pPr>
            <w:r w:rsidRPr="00EC3A17">
              <w:rPr>
                <w:rFonts w:ascii="Times New Roman" w:eastAsia="Times New Roman" w:hAnsi="Times New Roman" w:cs="Times New Roman"/>
              </w:rPr>
              <w:t>Соціологічний</w:t>
            </w:r>
          </w:p>
        </w:tc>
        <w:tc>
          <w:tcPr>
            <w:tcW w:w="1559" w:type="dxa"/>
            <w:tcBorders>
              <w:bottom w:val="nil"/>
            </w:tcBorders>
          </w:tcPr>
          <w:p w:rsidR="00EC3A17" w:rsidRPr="00EC3A17" w:rsidRDefault="00EC3A17" w:rsidP="00EC3A17">
            <w:pPr>
              <w:ind w:left="108"/>
              <w:jc w:val="center"/>
              <w:rPr>
                <w:rFonts w:ascii="Times New Roman" w:eastAsia="Times New Roman" w:hAnsi="Times New Roman" w:cs="Times New Roman"/>
                <w:highlight w:val="yellow"/>
              </w:rPr>
            </w:pPr>
            <w:r w:rsidRPr="00EC3A17">
              <w:rPr>
                <w:rFonts w:ascii="Times New Roman" w:eastAsia="Times New Roman" w:hAnsi="Times New Roman" w:cs="Times New Roman"/>
              </w:rPr>
              <w:t>VI</w:t>
            </w:r>
          </w:p>
        </w:tc>
        <w:tc>
          <w:tcPr>
            <w:tcW w:w="3903" w:type="dxa"/>
            <w:tcBorders>
              <w:bottom w:val="nil"/>
            </w:tcBorders>
          </w:tcPr>
          <w:p w:rsidR="00EC3A17" w:rsidRPr="00EC3A17" w:rsidRDefault="00EC3A17" w:rsidP="00EC3A17">
            <w:pPr>
              <w:ind w:left="74"/>
              <w:rPr>
                <w:rFonts w:ascii="Times New Roman" w:eastAsia="Times New Roman" w:hAnsi="Times New Roman" w:cs="Times New Roman"/>
              </w:rPr>
            </w:pPr>
            <w:r w:rsidRPr="00EC3A17">
              <w:rPr>
                <w:rFonts w:ascii="Times New Roman" w:eastAsia="Times New Roman" w:hAnsi="Times New Roman" w:cs="Times New Roman"/>
              </w:rPr>
              <w:t>Фокус-інтерв’ювання</w:t>
            </w:r>
          </w:p>
        </w:tc>
        <w:tc>
          <w:tcPr>
            <w:tcW w:w="1701" w:type="dxa"/>
            <w:tcBorders>
              <w:bottom w:val="nil"/>
            </w:tcBorders>
          </w:tcPr>
          <w:p w:rsidR="00EC3A17" w:rsidRPr="00EC3A17" w:rsidRDefault="00EC3A17" w:rsidP="00EC3A17">
            <w:pPr>
              <w:ind w:left="145"/>
              <w:jc w:val="center"/>
              <w:rPr>
                <w:rFonts w:ascii="Times New Roman" w:eastAsia="Times New Roman" w:hAnsi="Times New Roman" w:cs="Times New Roman"/>
                <w:highlight w:val="yellow"/>
              </w:rPr>
            </w:pPr>
            <w:r w:rsidRPr="00EC3A17">
              <w:rPr>
                <w:rFonts w:ascii="Times New Roman" w:eastAsia="Times New Roman" w:hAnsi="Times New Roman" w:cs="Times New Roman"/>
              </w:rPr>
              <w:t>VII</w:t>
            </w:r>
          </w:p>
        </w:tc>
      </w:tr>
      <w:tr w:rsidR="00EC3A17" w:rsidRPr="00EC3A17" w:rsidTr="00EC3A17">
        <w:trPr>
          <w:trHeight w:val="172"/>
        </w:trPr>
        <w:tc>
          <w:tcPr>
            <w:tcW w:w="3180" w:type="dxa"/>
            <w:tcBorders>
              <w:bottom w:val="single" w:sz="4" w:space="0" w:color="000000"/>
            </w:tcBorders>
          </w:tcPr>
          <w:p w:rsidR="00EC3A17" w:rsidRPr="00EC3A17" w:rsidRDefault="00EC3A17" w:rsidP="00EC3A17">
            <w:pPr>
              <w:ind w:left="142"/>
              <w:rPr>
                <w:rFonts w:ascii="Times New Roman" w:eastAsia="Times New Roman" w:hAnsi="Times New Roman" w:cs="Times New Roman"/>
              </w:rPr>
            </w:pPr>
            <w:r w:rsidRPr="00EC3A17">
              <w:rPr>
                <w:rFonts w:ascii="Times New Roman" w:eastAsia="Times New Roman" w:hAnsi="Times New Roman" w:cs="Times New Roman"/>
              </w:rPr>
              <w:t>Епідеміологічний</w:t>
            </w:r>
          </w:p>
        </w:tc>
        <w:tc>
          <w:tcPr>
            <w:tcW w:w="1559" w:type="dxa"/>
            <w:tcBorders>
              <w:bottom w:val="single" w:sz="4" w:space="0" w:color="000000"/>
            </w:tcBorders>
          </w:tcPr>
          <w:p w:rsidR="00EC3A17" w:rsidRPr="00EC3A17" w:rsidRDefault="00EC3A17" w:rsidP="00EC3A17">
            <w:pPr>
              <w:ind w:left="108"/>
              <w:jc w:val="center"/>
              <w:rPr>
                <w:rFonts w:ascii="Times New Roman" w:eastAsia="Times New Roman" w:hAnsi="Times New Roman" w:cs="Times New Roman"/>
                <w:highlight w:val="yellow"/>
              </w:rPr>
            </w:pPr>
            <w:r w:rsidRPr="00EC3A17">
              <w:rPr>
                <w:rFonts w:ascii="Times New Roman" w:eastAsia="Times New Roman" w:hAnsi="Times New Roman" w:cs="Times New Roman"/>
              </w:rPr>
              <w:t>III-V</w:t>
            </w:r>
            <w:r w:rsidRPr="00EC3A17">
              <w:rPr>
                <w:rFonts w:ascii="Times New Roman" w:eastAsia="Times New Roman" w:hAnsi="Times New Roman" w:cs="Times New Roman"/>
                <w:lang w:val="ru-RU"/>
              </w:rPr>
              <w:t xml:space="preserve"> </w:t>
            </w:r>
          </w:p>
        </w:tc>
        <w:tc>
          <w:tcPr>
            <w:tcW w:w="3903" w:type="dxa"/>
            <w:tcBorders>
              <w:bottom w:val="single" w:sz="4" w:space="0" w:color="000000"/>
            </w:tcBorders>
          </w:tcPr>
          <w:p w:rsidR="00EC3A17" w:rsidRPr="00EC3A17" w:rsidRDefault="00EC3A17" w:rsidP="00EC3A17">
            <w:pPr>
              <w:ind w:left="74"/>
              <w:rPr>
                <w:rFonts w:ascii="Times New Roman" w:eastAsia="Times New Roman" w:hAnsi="Times New Roman" w:cs="Times New Roman"/>
              </w:rPr>
            </w:pPr>
            <w:r w:rsidRPr="00EC3A17">
              <w:rPr>
                <w:rFonts w:ascii="Times New Roman" w:eastAsia="Times New Roman" w:hAnsi="Times New Roman" w:cs="Times New Roman"/>
              </w:rPr>
              <w:t>Експертних оцінок</w:t>
            </w:r>
          </w:p>
        </w:tc>
        <w:tc>
          <w:tcPr>
            <w:tcW w:w="1701" w:type="dxa"/>
            <w:tcBorders>
              <w:bottom w:val="single" w:sz="4" w:space="0" w:color="000000"/>
            </w:tcBorders>
          </w:tcPr>
          <w:p w:rsidR="00EC3A17" w:rsidRPr="00EC3A17" w:rsidRDefault="00EC3A17" w:rsidP="00EC3A17">
            <w:pPr>
              <w:ind w:left="145"/>
              <w:jc w:val="center"/>
              <w:rPr>
                <w:rFonts w:ascii="Times New Roman" w:eastAsia="Times New Roman" w:hAnsi="Times New Roman" w:cs="Times New Roman"/>
                <w:highlight w:val="yellow"/>
              </w:rPr>
            </w:pPr>
            <w:r w:rsidRPr="00EC3A17">
              <w:rPr>
                <w:rFonts w:ascii="Times New Roman" w:eastAsia="Times New Roman" w:hAnsi="Times New Roman" w:cs="Times New Roman"/>
              </w:rPr>
              <w:t>VIIІ</w:t>
            </w:r>
          </w:p>
        </w:tc>
      </w:tr>
      <w:tr w:rsidR="00EC3A17" w:rsidRPr="00EC3A17" w:rsidTr="00EC3A17">
        <w:trPr>
          <w:trHeight w:val="172"/>
        </w:trPr>
        <w:tc>
          <w:tcPr>
            <w:tcW w:w="3180" w:type="dxa"/>
          </w:tcPr>
          <w:p w:rsidR="00EC3A17" w:rsidRPr="00EC3A17" w:rsidRDefault="00EC3A17" w:rsidP="00EC3A17">
            <w:pPr>
              <w:ind w:left="142"/>
              <w:rPr>
                <w:rFonts w:ascii="Times New Roman" w:eastAsia="Times New Roman" w:hAnsi="Times New Roman" w:cs="Times New Roman"/>
              </w:rPr>
            </w:pPr>
            <w:r w:rsidRPr="00EC3A17">
              <w:rPr>
                <w:rFonts w:ascii="Times New Roman" w:eastAsia="Times New Roman" w:hAnsi="Times New Roman" w:cs="Times New Roman"/>
              </w:rPr>
              <w:t>Організаційне проектування</w:t>
            </w:r>
          </w:p>
        </w:tc>
        <w:tc>
          <w:tcPr>
            <w:tcW w:w="1559" w:type="dxa"/>
          </w:tcPr>
          <w:p w:rsidR="00EC3A17" w:rsidRPr="00EC3A17" w:rsidRDefault="00EC3A17" w:rsidP="00EC3A17">
            <w:pPr>
              <w:ind w:left="108"/>
              <w:jc w:val="center"/>
              <w:rPr>
                <w:rFonts w:ascii="Times New Roman" w:eastAsia="Times New Roman" w:hAnsi="Times New Roman" w:cs="Times New Roman"/>
                <w:lang w:val="ru-RU"/>
              </w:rPr>
            </w:pPr>
            <w:r w:rsidRPr="00EC3A17">
              <w:rPr>
                <w:rFonts w:ascii="Times New Roman" w:eastAsia="Times New Roman" w:hAnsi="Times New Roman" w:cs="Times New Roman"/>
              </w:rPr>
              <w:t>VII</w:t>
            </w:r>
            <w:r w:rsidRPr="00EC3A17">
              <w:rPr>
                <w:rFonts w:ascii="Times New Roman" w:eastAsia="Times New Roman" w:hAnsi="Times New Roman" w:cs="Times New Roman"/>
                <w:lang w:val="ru-RU"/>
              </w:rPr>
              <w:t>І</w:t>
            </w:r>
          </w:p>
        </w:tc>
        <w:tc>
          <w:tcPr>
            <w:tcW w:w="3903" w:type="dxa"/>
          </w:tcPr>
          <w:p w:rsidR="00EC3A17" w:rsidRPr="00EC3A17" w:rsidRDefault="00EC3A17" w:rsidP="00EC3A17">
            <w:pPr>
              <w:ind w:left="74"/>
              <w:rPr>
                <w:rFonts w:ascii="Times New Roman" w:eastAsia="Times New Roman" w:hAnsi="Times New Roman" w:cs="Times New Roman"/>
              </w:rPr>
            </w:pPr>
            <w:r w:rsidRPr="00EC3A17">
              <w:rPr>
                <w:rFonts w:ascii="Times New Roman" w:eastAsia="Times New Roman" w:hAnsi="Times New Roman" w:cs="Times New Roman"/>
              </w:rPr>
              <w:t>Медико-статистичний</w:t>
            </w:r>
          </w:p>
        </w:tc>
        <w:tc>
          <w:tcPr>
            <w:tcW w:w="1701" w:type="dxa"/>
          </w:tcPr>
          <w:p w:rsidR="00EC3A17" w:rsidRPr="00EC3A17" w:rsidRDefault="00EC3A17" w:rsidP="00EC3A17">
            <w:pPr>
              <w:jc w:val="center"/>
              <w:rPr>
                <w:rFonts w:ascii="Times New Roman" w:eastAsia="Times New Roman" w:hAnsi="Times New Roman" w:cs="Times New Roman"/>
                <w:highlight w:val="yellow"/>
              </w:rPr>
            </w:pPr>
            <w:r w:rsidRPr="00EC3A17">
              <w:rPr>
                <w:rFonts w:ascii="Times New Roman" w:eastAsia="Times New Roman" w:hAnsi="Times New Roman" w:cs="Times New Roman"/>
              </w:rPr>
              <w:t>ІІІ-V,</w:t>
            </w:r>
            <w:r w:rsidRPr="00EC3A17">
              <w:rPr>
                <w:rFonts w:ascii="Times New Roman" w:eastAsia="Times New Roman" w:hAnsi="Times New Roman" w:cs="Times New Roman"/>
                <w:sz w:val="24"/>
                <w:szCs w:val="24"/>
                <w:lang w:eastAsia="uk-UA"/>
              </w:rPr>
              <w:t xml:space="preserve"> </w:t>
            </w:r>
            <w:r w:rsidRPr="00EC3A17">
              <w:rPr>
                <w:rFonts w:ascii="Times New Roman" w:eastAsia="Times New Roman" w:hAnsi="Times New Roman" w:cs="Times New Roman"/>
              </w:rPr>
              <w:t>VII-VII</w:t>
            </w:r>
            <w:r w:rsidRPr="00EC3A17">
              <w:rPr>
                <w:rFonts w:ascii="Times New Roman" w:eastAsia="Times New Roman" w:hAnsi="Times New Roman" w:cs="Times New Roman"/>
                <w:lang w:val="ru-RU"/>
              </w:rPr>
              <w:t>І</w:t>
            </w:r>
          </w:p>
        </w:tc>
      </w:tr>
    </w:tbl>
    <w:p w:rsidR="00EC3A17" w:rsidRPr="00EC3A17" w:rsidRDefault="00EC3A17" w:rsidP="00EC3A17">
      <w:pPr>
        <w:widowControl w:val="0"/>
        <w:spacing w:line="240" w:lineRule="auto"/>
        <w:jc w:val="left"/>
        <w:rPr>
          <w:rFonts w:eastAsia="Times New Roman"/>
          <w:szCs w:val="20"/>
          <w:lang w:eastAsia="x-none"/>
        </w:rPr>
      </w:pPr>
      <w:r w:rsidRPr="00EC3A17">
        <w:rPr>
          <w:rFonts w:eastAsia="Times New Roman"/>
          <w:noProof/>
          <w:szCs w:val="20"/>
          <w:lang w:val="ru-RU" w:eastAsia="ru-RU"/>
        </w:rPr>
        <w:t xml:space="preserve"> </w:t>
      </w:r>
      <w:r w:rsidRPr="00EC3A17">
        <w:rPr>
          <w:rFonts w:eastAsia="Times New Roman"/>
          <w:noProof/>
          <w:szCs w:val="20"/>
          <w:lang w:val="ru-RU" w:eastAsia="ru-RU"/>
        </w:rPr>
        <mc:AlternateContent>
          <mc:Choice Requires="wps">
            <w:drawing>
              <wp:anchor distT="0" distB="0" distL="114300" distR="114300" simplePos="0" relativeHeight="251980800" behindDoc="0" locked="0" layoutInCell="1" allowOverlap="1" wp14:anchorId="52B6EA31" wp14:editId="4E433849">
                <wp:simplePos x="0" y="0"/>
                <wp:positionH relativeFrom="column">
                  <wp:posOffset>626745</wp:posOffset>
                </wp:positionH>
                <wp:positionV relativeFrom="paragraph">
                  <wp:posOffset>6936740</wp:posOffset>
                </wp:positionV>
                <wp:extent cx="6729730" cy="234315"/>
                <wp:effectExtent l="20955" t="20320" r="40640" b="40640"/>
                <wp:wrapNone/>
                <wp:docPr id="1186" name="Скругленный прямоугольник 11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729730" cy="234315"/>
                        </a:xfrm>
                        <a:prstGeom prst="roundRect">
                          <a:avLst>
                            <a:gd name="adj" fmla="val 16667"/>
                          </a:avLst>
                        </a:prstGeom>
                        <a:gradFill rotWithShape="1">
                          <a:gsLst>
                            <a:gs pos="0">
                              <a:srgbClr val="C0C0C0"/>
                            </a:gs>
                            <a:gs pos="50000">
                              <a:srgbClr val="FFFFFF"/>
                            </a:gs>
                            <a:gs pos="100000">
                              <a:srgbClr val="C0C0C0"/>
                            </a:gs>
                          </a:gsLst>
                          <a:lin ang="5400000" scaled="1"/>
                        </a:gradFill>
                        <a:ln w="25400">
                          <a:solidFill>
                            <a:srgbClr val="000000"/>
                          </a:solidFill>
                          <a:round/>
                          <a:headEnd/>
                          <a:tailEnd/>
                        </a:ln>
                        <a:effectLst>
                          <a:outerShdw dist="35921" dir="2700000" algn="ctr" rotWithShape="0">
                            <a:srgbClr val="808080"/>
                          </a:outerShdw>
                        </a:effectLst>
                      </wps:spPr>
                      <wps:txbx>
                        <w:txbxContent>
                          <w:p w:rsidR="001E1DF5" w:rsidRPr="000061EB" w:rsidRDefault="001E1DF5" w:rsidP="00EC3A17">
                            <w:pPr>
                              <w:jc w:val="center"/>
                            </w:pPr>
                            <w:r>
                              <w:rPr>
                                <w:b/>
                              </w:rPr>
                              <w:t>Методичне забезпечення дослідження</w:t>
                            </w:r>
                          </w:p>
                        </w:txbxContent>
                      </wps:txbx>
                      <wps:bodyPr rot="0" vert="horz" wrap="square" lIns="18000" tIns="10800" rIns="18000" bIns="1080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1186" o:spid="_x0000_s1096" style="position:absolute;margin-left:49.35pt;margin-top:546.2pt;width:529.9pt;height:18.45pt;z-index:25198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" fillcolor="silver" strokeweight="2pt">
                <v:fill rotate="t" focus="50%" type="gradient"/>
                <v:shadow on="t"/>
                <v:textbox inset=".5mm,.3mm,.5mm,.3mm">
                  <w:txbxContent>
                    <w:p w:rsidR="0057431A" w:rsidRPr="000061EB" w:rsidRDefault="0057431A" w:rsidP="00EC3A17">
                      <w:pPr>
                        <w:jc w:val="center"/>
                      </w:pPr>
                      <w:r>
                        <w:rPr>
                          <w:b/>
                        </w:rPr>
                        <w:t>Методичне забезпечення дослідження</w:t>
                      </w:r>
                    </w:p>
                  </w:txbxContent>
                </v:textbox>
              </v:roundrect>
            </w:pict>
          </mc:Fallback>
        </mc:AlternateContent>
      </w:r>
      <w:r w:rsidRPr="00EC3A17">
        <w:rPr>
          <w:rFonts w:eastAsia="Times New Roman"/>
          <w:noProof/>
          <w:szCs w:val="20"/>
          <w:lang w:val="ru-RU" w:eastAsia="ru-RU"/>
        </w:rPr>
        <mc:AlternateContent>
          <mc:Choice Requires="wps">
            <w:drawing>
              <wp:anchor distT="0" distB="0" distL="114300" distR="114300" simplePos="0" relativeHeight="251979776" behindDoc="0" locked="0" layoutInCell="1" allowOverlap="1" wp14:anchorId="03D3243C" wp14:editId="5621D1DC">
                <wp:simplePos x="0" y="0"/>
                <wp:positionH relativeFrom="column">
                  <wp:posOffset>626745</wp:posOffset>
                </wp:positionH>
                <wp:positionV relativeFrom="paragraph">
                  <wp:posOffset>6936740</wp:posOffset>
                </wp:positionV>
                <wp:extent cx="6729730" cy="234315"/>
                <wp:effectExtent l="20955" t="20320" r="40640" b="40640"/>
                <wp:wrapNone/>
                <wp:docPr id="1187" name="Скругленный прямоугольник 11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729730" cy="234315"/>
                        </a:xfrm>
                        <a:prstGeom prst="roundRect">
                          <a:avLst>
                            <a:gd name="adj" fmla="val 16667"/>
                          </a:avLst>
                        </a:prstGeom>
                        <a:gradFill rotWithShape="1">
                          <a:gsLst>
                            <a:gs pos="0">
                              <a:srgbClr val="C0C0C0"/>
                            </a:gs>
                            <a:gs pos="50000">
                              <a:srgbClr val="FFFFFF"/>
                            </a:gs>
                            <a:gs pos="100000">
                              <a:srgbClr val="C0C0C0"/>
                            </a:gs>
                          </a:gsLst>
                          <a:lin ang="5400000" scaled="1"/>
                        </a:gradFill>
                        <a:ln w="25400">
                          <a:solidFill>
                            <a:srgbClr val="000000"/>
                          </a:solidFill>
                          <a:round/>
                          <a:headEnd/>
                          <a:tailEnd/>
                        </a:ln>
                        <a:effectLst>
                          <a:outerShdw dist="35921" dir="2700000" algn="ctr" rotWithShape="0">
                            <a:srgbClr val="808080"/>
                          </a:outerShdw>
                        </a:effectLst>
                      </wps:spPr>
                      <wps:txbx>
                        <w:txbxContent>
                          <w:p w:rsidR="001E1DF5" w:rsidRPr="000061EB" w:rsidRDefault="001E1DF5" w:rsidP="00EC3A17">
                            <w:pPr>
                              <w:jc w:val="center"/>
                            </w:pPr>
                            <w:r>
                              <w:rPr>
                                <w:b/>
                              </w:rPr>
                              <w:t>Методичне забезпечення дослідження</w:t>
                            </w:r>
                          </w:p>
                        </w:txbxContent>
                      </wps:txbx>
                      <wps:bodyPr rot="0" vert="horz" wrap="square" lIns="18000" tIns="10800" rIns="18000" bIns="1080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1187" o:spid="_x0000_s1097" style="position:absolute;margin-left:49.35pt;margin-top:546.2pt;width:529.9pt;height:18.45pt;z-index:25197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" fillcolor="silver" strokeweight="2pt">
                <v:fill rotate="t" focus="50%" type="gradient"/>
                <v:shadow on="t"/>
                <v:textbox inset=".5mm,.3mm,.5mm,.3mm">
                  <w:txbxContent>
                    <w:p w:rsidR="0057431A" w:rsidRPr="000061EB" w:rsidRDefault="0057431A" w:rsidP="00EC3A17">
                      <w:pPr>
                        <w:jc w:val="center"/>
                      </w:pPr>
                      <w:r>
                        <w:rPr>
                          <w:b/>
                        </w:rPr>
                        <w:t>Методичне забезпечення дослідження</w:t>
                      </w:r>
                    </w:p>
                  </w:txbxContent>
                </v:textbox>
              </v:roundrect>
            </w:pict>
          </mc:Fallback>
        </mc:AlternateContent>
      </w:r>
      <w:r w:rsidRPr="00EC3A17">
        <w:rPr>
          <w:rFonts w:eastAsia="Times New Roman"/>
          <w:noProof/>
          <w:szCs w:val="20"/>
          <w:lang w:val="ru-RU" w:eastAsia="ru-RU"/>
        </w:rPr>
        <mc:AlternateContent>
          <mc:Choice Requires="wps">
            <w:drawing>
              <wp:anchor distT="0" distB="0" distL="114300" distR="114300" simplePos="0" relativeHeight="251974656" behindDoc="0" locked="0" layoutInCell="1" allowOverlap="1" wp14:anchorId="6A7CCA5F" wp14:editId="506C9C77">
                <wp:simplePos x="0" y="0"/>
                <wp:positionH relativeFrom="column">
                  <wp:posOffset>626745</wp:posOffset>
                </wp:positionH>
                <wp:positionV relativeFrom="paragraph">
                  <wp:posOffset>6127115</wp:posOffset>
                </wp:positionV>
                <wp:extent cx="2859405" cy="723900"/>
                <wp:effectExtent l="0" t="0" r="17145" b="19050"/>
                <wp:wrapNone/>
                <wp:docPr id="1188" name="Скругленный прямоугольник 11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59405" cy="723900"/>
                        </a:xfrm>
                        <a:prstGeom prst="roundRect">
                          <a:avLst>
                            <a:gd name="adj" fmla="val 16667"/>
                          </a:avLst>
                        </a:prstGeom>
                        <a:solidFill>
                          <a:srgbClr val="FFFFFF"/>
                        </a:solidFill>
                        <a:ln w="9525">
                          <a:solidFill>
                            <a:srgbClr val="000000"/>
                          </a:solidFill>
                          <a:round/>
                          <a:headEnd/>
                          <a:tailEnd/>
                        </a:ln>
                      </wps:spPr>
                      <wps:txbx>
                        <w:txbxContent>
                          <w:p w:rsidR="001E1DF5" w:rsidRPr="0008029B" w:rsidRDefault="001E1DF5" w:rsidP="00EC3A17">
                            <w:pPr>
                              <w:jc w:val="center"/>
                            </w:pPr>
                            <w:r w:rsidRPr="0008029B">
                              <w:rPr>
                                <w:bCs/>
                                <w:iCs/>
                              </w:rPr>
                              <w:t>Постанова Кабінету Міністрів України</w:t>
                            </w:r>
                            <w:r w:rsidRPr="000520FF">
                              <w:t xml:space="preserve"> від 24.10. 2012 №1113</w:t>
                            </w:r>
                            <w:r w:rsidRPr="000520FF">
                              <w:rPr>
                                <w:bCs/>
                                <w:iCs/>
                              </w:rPr>
                              <w:t>;</w:t>
                            </w:r>
                            <w:r w:rsidRPr="0008029B">
                              <w:rPr>
                                <w:bCs/>
                                <w:iCs/>
                              </w:rPr>
                              <w:t xml:space="preserve"> 5 Наказів МОЗ України; 4 Накази </w:t>
                            </w:r>
                            <w:r w:rsidRPr="0008029B">
                              <w:t>Департаменту охорони здоров’я Дніпропетровської</w:t>
                            </w:r>
                            <w:r w:rsidRPr="00746529">
                              <w:rPr>
                                <w:szCs w:val="28"/>
                              </w:rPr>
                              <w:t xml:space="preserve"> </w:t>
                            </w:r>
                            <w:r w:rsidRPr="0008029B">
                              <w:t>обласної адміністрації</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1188" o:spid="_x0000_s1098" style="position:absolute;margin-left:49.35pt;margin-top:482.45pt;width:225.15pt;height:57pt;z-index:25197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">
                <v:textbox inset="0,0,0,0">
                  <w:txbxContent>
                    <w:p w:rsidR="0057431A" w:rsidRPr="0008029B" w:rsidRDefault="0057431A" w:rsidP="00EC3A17">
                      <w:pPr>
                        <w:jc w:val="center"/>
                      </w:pPr>
                      <w:r w:rsidRPr="0008029B">
                        <w:rPr>
                          <w:bCs/>
                          <w:iCs/>
                        </w:rPr>
                        <w:t>Постанова Кабінету Міністрів України</w:t>
                      </w:r>
                      <w:r w:rsidRPr="000520FF">
                        <w:t xml:space="preserve"> від 24.10. 2012 №1113</w:t>
                      </w:r>
                      <w:r w:rsidRPr="000520FF">
                        <w:rPr>
                          <w:bCs/>
                          <w:iCs/>
                        </w:rPr>
                        <w:t>;</w:t>
                      </w:r>
                      <w:r w:rsidRPr="0008029B">
                        <w:rPr>
                          <w:bCs/>
                          <w:iCs/>
                        </w:rPr>
                        <w:t xml:space="preserve"> 5 Наказів МОЗ України; 4 Накази </w:t>
                      </w:r>
                      <w:r w:rsidRPr="0008029B">
                        <w:t>Департаменту охорони здоров’я Дніпропетровської</w:t>
                      </w:r>
                      <w:r w:rsidRPr="00746529">
                        <w:rPr>
                          <w:szCs w:val="28"/>
                        </w:rPr>
                        <w:t xml:space="preserve"> </w:t>
                      </w:r>
                      <w:r w:rsidRPr="0008029B">
                        <w:t>обласної адміністрації</w:t>
                      </w:r>
                    </w:p>
                  </w:txbxContent>
                </v:textbox>
              </v:roundrect>
            </w:pict>
          </mc:Fallback>
        </mc:AlternateContent>
      </w:r>
      <w:r w:rsidRPr="00EC3A17">
        <w:rPr>
          <w:rFonts w:eastAsia="Times New Roman"/>
          <w:noProof/>
          <w:szCs w:val="20"/>
          <w:lang w:val="ru-RU" w:eastAsia="ru-RU"/>
        </w:rPr>
        <mc:AlternateContent>
          <mc:Choice Requires="wps">
            <w:drawing>
              <wp:anchor distT="0" distB="0" distL="114300" distR="114300" simplePos="0" relativeHeight="251973632" behindDoc="0" locked="0" layoutInCell="1" allowOverlap="1" wp14:anchorId="71BB6808" wp14:editId="3D92DCD7">
                <wp:simplePos x="0" y="0"/>
                <wp:positionH relativeFrom="column">
                  <wp:posOffset>626745</wp:posOffset>
                </wp:positionH>
                <wp:positionV relativeFrom="paragraph">
                  <wp:posOffset>6127115</wp:posOffset>
                </wp:positionV>
                <wp:extent cx="2859405" cy="723900"/>
                <wp:effectExtent l="0" t="0" r="17145" b="19050"/>
                <wp:wrapNone/>
                <wp:docPr id="1189" name="Скругленный прямоугольник 11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59405" cy="723900"/>
                        </a:xfrm>
                        <a:prstGeom prst="roundRect">
                          <a:avLst>
                            <a:gd name="adj" fmla="val 16667"/>
                          </a:avLst>
                        </a:prstGeom>
                        <a:solidFill>
                          <a:srgbClr val="FFFFFF"/>
                        </a:solidFill>
                        <a:ln w="9525">
                          <a:solidFill>
                            <a:srgbClr val="000000"/>
                          </a:solidFill>
                          <a:round/>
                          <a:headEnd/>
                          <a:tailEnd/>
                        </a:ln>
                      </wps:spPr>
                      <wps:txbx>
                        <w:txbxContent>
                          <w:p w:rsidR="001E1DF5" w:rsidRPr="0008029B" w:rsidRDefault="001E1DF5" w:rsidP="00EC3A17">
                            <w:pPr>
                              <w:jc w:val="center"/>
                            </w:pPr>
                            <w:r w:rsidRPr="0008029B">
                              <w:rPr>
                                <w:bCs/>
                                <w:iCs/>
                              </w:rPr>
                              <w:t>Постанова Кабінету Міністрів України</w:t>
                            </w:r>
                            <w:r w:rsidRPr="000520FF">
                              <w:t xml:space="preserve"> від 24.10. 2012 №1113</w:t>
                            </w:r>
                            <w:r w:rsidRPr="000520FF">
                              <w:rPr>
                                <w:bCs/>
                                <w:iCs/>
                              </w:rPr>
                              <w:t>;</w:t>
                            </w:r>
                            <w:r w:rsidRPr="0008029B">
                              <w:rPr>
                                <w:bCs/>
                                <w:iCs/>
                              </w:rPr>
                              <w:t xml:space="preserve"> 5 Наказів МОЗ України; 4 Накази </w:t>
                            </w:r>
                            <w:r w:rsidRPr="0008029B">
                              <w:t>Департаменту охорони здоров’я Дніпропетровської</w:t>
                            </w:r>
                            <w:r w:rsidRPr="00746529">
                              <w:rPr>
                                <w:szCs w:val="28"/>
                              </w:rPr>
                              <w:t xml:space="preserve"> </w:t>
                            </w:r>
                            <w:r w:rsidRPr="0008029B">
                              <w:t>обласної адміністрації</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1189" o:spid="_x0000_s1099" style="position:absolute;margin-left:49.35pt;margin-top:482.45pt;width:225.15pt;height:57pt;z-index:25197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">
                <v:textbox inset="0,0,0,0">
                  <w:txbxContent>
                    <w:p w:rsidR="0057431A" w:rsidRPr="0008029B" w:rsidRDefault="0057431A" w:rsidP="00EC3A17">
                      <w:pPr>
                        <w:jc w:val="center"/>
                      </w:pPr>
                      <w:r w:rsidRPr="0008029B">
                        <w:rPr>
                          <w:bCs/>
                          <w:iCs/>
                        </w:rPr>
                        <w:t>Постанова Кабінету Міністрів України</w:t>
                      </w:r>
                      <w:r w:rsidRPr="000520FF">
                        <w:t xml:space="preserve"> від 24.10. 2012 №1113</w:t>
                      </w:r>
                      <w:r w:rsidRPr="000520FF">
                        <w:rPr>
                          <w:bCs/>
                          <w:iCs/>
                        </w:rPr>
                        <w:t>;</w:t>
                      </w:r>
                      <w:r w:rsidRPr="0008029B">
                        <w:rPr>
                          <w:bCs/>
                          <w:iCs/>
                        </w:rPr>
                        <w:t xml:space="preserve"> 5 Наказів МОЗ України; 4 Накази </w:t>
                      </w:r>
                      <w:r w:rsidRPr="0008029B">
                        <w:t>Департаменту охорони здоров’я Дніпропетровської</w:t>
                      </w:r>
                      <w:r w:rsidRPr="00746529">
                        <w:rPr>
                          <w:szCs w:val="28"/>
                        </w:rPr>
                        <w:t xml:space="preserve"> </w:t>
                      </w:r>
                      <w:r w:rsidRPr="0008029B">
                        <w:t>обласної адміністрації</w:t>
                      </w:r>
                    </w:p>
                  </w:txbxContent>
                </v:textbox>
              </v:roundrect>
            </w:pict>
          </mc:Fallback>
        </mc:AlternateContent>
      </w:r>
      <w:r w:rsidRPr="00EC3A17">
        <w:rPr>
          <w:rFonts w:eastAsia="Times New Roman"/>
          <w:noProof/>
          <w:szCs w:val="20"/>
          <w:lang w:val="ru-RU" w:eastAsia="ru-RU"/>
        </w:rPr>
        <mc:AlternateContent>
          <mc:Choice Requires="wps">
            <w:drawing>
              <wp:anchor distT="0" distB="0" distL="114300" distR="114300" simplePos="0" relativeHeight="251978752" behindDoc="0" locked="0" layoutInCell="1" allowOverlap="1" wp14:anchorId="462EE72B" wp14:editId="106725E7">
                <wp:simplePos x="0" y="0"/>
                <wp:positionH relativeFrom="column">
                  <wp:posOffset>3581400</wp:posOffset>
                </wp:positionH>
                <wp:positionV relativeFrom="paragraph">
                  <wp:posOffset>6127115</wp:posOffset>
                </wp:positionV>
                <wp:extent cx="1339215" cy="723900"/>
                <wp:effectExtent l="0" t="0" r="13335" b="19050"/>
                <wp:wrapNone/>
                <wp:docPr id="1190" name="Скругленный прямоугольник 11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9215" cy="723900"/>
                        </a:xfrm>
                        <a:prstGeom prst="roundRect">
                          <a:avLst>
                            <a:gd name="adj" fmla="val 16667"/>
                          </a:avLst>
                        </a:prstGeom>
                        <a:solidFill>
                          <a:srgbClr val="FFFFFF"/>
                        </a:solidFill>
                        <a:ln w="9525">
                          <a:solidFill>
                            <a:srgbClr val="000000"/>
                          </a:solidFill>
                          <a:round/>
                          <a:headEnd/>
                          <a:tailEnd/>
                        </a:ln>
                      </wps:spPr>
                      <wps:txbx>
                        <w:txbxContent>
                          <w:p w:rsidR="001E1DF5" w:rsidRPr="00103557" w:rsidRDefault="001E1DF5" w:rsidP="00EC3A17">
                            <w:pPr>
                              <w:jc w:val="center"/>
                              <w:rPr>
                                <w:sz w:val="20"/>
                                <w:szCs w:val="20"/>
                              </w:rPr>
                            </w:pPr>
                            <w:r w:rsidRPr="003E27E4">
                              <w:rPr>
                                <w:sz w:val="20"/>
                                <w:szCs w:val="20"/>
                              </w:rPr>
                              <w:t xml:space="preserve">2 </w:t>
                            </w:r>
                            <w:r w:rsidRPr="003E27E4">
                              <w:t>методичні рекоме-ндації, 8 галузевих нововведень, 1 авто-рське право на твір</w:t>
                            </w:r>
                            <w:r w:rsidRPr="00103557">
                              <w:rPr>
                                <w:sz w:val="20"/>
                                <w:szCs w:val="20"/>
                              </w:rPr>
                              <w:t xml:space="preserve">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1190" o:spid="_x0000_s1100" style="position:absolute;margin-left:282pt;margin-top:482.45pt;width:105.45pt;height:57pt;z-index:25197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">
                <v:textbox inset="0,0,0,0">
                  <w:txbxContent>
                    <w:p w:rsidR="0057431A" w:rsidRPr="00103557" w:rsidRDefault="0057431A" w:rsidP="00EC3A17">
                      <w:pPr>
                        <w:jc w:val="center"/>
                        <w:rPr>
                          <w:sz w:val="20"/>
                          <w:szCs w:val="20"/>
                        </w:rPr>
                      </w:pPr>
                      <w:r w:rsidRPr="003E27E4">
                        <w:rPr>
                          <w:sz w:val="20"/>
                          <w:szCs w:val="20"/>
                        </w:rPr>
                        <w:t xml:space="preserve">2 </w:t>
                      </w:r>
                      <w:r w:rsidRPr="003E27E4">
                        <w:t>методичні рекоме-ндації, 8 галузевих нововведень, 1 авто-рське право на твір</w:t>
                      </w:r>
                      <w:r w:rsidRPr="00103557">
                        <w:rPr>
                          <w:sz w:val="20"/>
                          <w:szCs w:val="20"/>
                        </w:rPr>
                        <w:t xml:space="preserve"> </w:t>
                      </w:r>
                    </w:p>
                  </w:txbxContent>
                </v:textbox>
              </v:roundrect>
            </w:pict>
          </mc:Fallback>
        </mc:AlternateContent>
      </w:r>
      <w:r w:rsidRPr="00EC3A17">
        <w:rPr>
          <w:rFonts w:eastAsia="Times New Roman"/>
          <w:noProof/>
          <w:szCs w:val="20"/>
          <w:lang w:val="ru-RU" w:eastAsia="ru-RU"/>
        </w:rPr>
        <mc:AlternateContent>
          <mc:Choice Requires="wps">
            <w:drawing>
              <wp:anchor distT="0" distB="0" distL="114300" distR="114300" simplePos="0" relativeHeight="251981824" behindDoc="0" locked="0" layoutInCell="1" allowOverlap="1" wp14:anchorId="6025DB1E" wp14:editId="275403B0">
                <wp:simplePos x="0" y="0"/>
                <wp:positionH relativeFrom="column">
                  <wp:posOffset>626745</wp:posOffset>
                </wp:positionH>
                <wp:positionV relativeFrom="paragraph">
                  <wp:posOffset>6936740</wp:posOffset>
                </wp:positionV>
                <wp:extent cx="6729730" cy="234315"/>
                <wp:effectExtent l="20955" t="20320" r="40640" b="40640"/>
                <wp:wrapNone/>
                <wp:docPr id="1191" name="Скругленный прямоугольник 11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729730" cy="234315"/>
                        </a:xfrm>
                        <a:prstGeom prst="roundRect">
                          <a:avLst>
                            <a:gd name="adj" fmla="val 16667"/>
                          </a:avLst>
                        </a:prstGeom>
                        <a:gradFill rotWithShape="1">
                          <a:gsLst>
                            <a:gs pos="0">
                              <a:srgbClr val="C0C0C0"/>
                            </a:gs>
                            <a:gs pos="50000">
                              <a:srgbClr val="FFFFFF"/>
                            </a:gs>
                            <a:gs pos="100000">
                              <a:srgbClr val="C0C0C0"/>
                            </a:gs>
                          </a:gsLst>
                          <a:lin ang="5400000" scaled="1"/>
                        </a:gradFill>
                        <a:ln w="25400">
                          <a:solidFill>
                            <a:srgbClr val="000000"/>
                          </a:solidFill>
                          <a:round/>
                          <a:headEnd/>
                          <a:tailEnd/>
                        </a:ln>
                        <a:effectLst>
                          <a:outerShdw dist="35921" dir="2700000" algn="ctr" rotWithShape="0">
                            <a:srgbClr val="808080"/>
                          </a:outerShdw>
                        </a:effectLst>
                      </wps:spPr>
                      <wps:txbx>
                        <w:txbxContent>
                          <w:p w:rsidR="001E1DF5" w:rsidRPr="000061EB" w:rsidRDefault="001E1DF5" w:rsidP="00EC3A17">
                            <w:pPr>
                              <w:jc w:val="center"/>
                            </w:pPr>
                            <w:r>
                              <w:rPr>
                                <w:b/>
                              </w:rPr>
                              <w:t>Методичне забезпечення дослідження</w:t>
                            </w:r>
                          </w:p>
                        </w:txbxContent>
                      </wps:txbx>
                      <wps:bodyPr rot="0" vert="horz" wrap="square" lIns="18000" tIns="10800" rIns="18000" bIns="1080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1191" o:spid="_x0000_s1101" style="position:absolute;margin-left:49.35pt;margin-top:546.2pt;width:529.9pt;height:18.45pt;z-index:25198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" fillcolor="silver" strokeweight="2pt">
                <v:fill rotate="t" focus="50%" type="gradient"/>
                <v:shadow on="t"/>
                <v:textbox inset=".5mm,.3mm,.5mm,.3mm">
                  <w:txbxContent>
                    <w:p w:rsidR="0057431A" w:rsidRPr="000061EB" w:rsidRDefault="0057431A" w:rsidP="00EC3A17">
                      <w:pPr>
                        <w:jc w:val="center"/>
                      </w:pPr>
                      <w:r>
                        <w:rPr>
                          <w:b/>
                        </w:rPr>
                        <w:t>Методичне забезпечення дослідження</w:t>
                      </w:r>
                    </w:p>
                  </w:txbxContent>
                </v:textbox>
              </v:roundrect>
            </w:pict>
          </mc:Fallback>
        </mc:AlternateContent>
      </w:r>
      <w:r w:rsidRPr="00EC3A17">
        <w:rPr>
          <w:rFonts w:eastAsia="Times New Roman"/>
          <w:noProof/>
          <w:szCs w:val="20"/>
          <w:lang w:val="ru-RU" w:eastAsia="ru-RU"/>
        </w:rPr>
        <mc:AlternateContent>
          <mc:Choice Requires="wps">
            <w:drawing>
              <wp:anchor distT="0" distB="0" distL="114300" distR="114300" simplePos="0" relativeHeight="251977728" behindDoc="0" locked="0" layoutInCell="1" allowOverlap="1" wp14:anchorId="5D1E3F18" wp14:editId="6C67527C">
                <wp:simplePos x="0" y="0"/>
                <wp:positionH relativeFrom="column">
                  <wp:posOffset>3581400</wp:posOffset>
                </wp:positionH>
                <wp:positionV relativeFrom="paragraph">
                  <wp:posOffset>6127115</wp:posOffset>
                </wp:positionV>
                <wp:extent cx="1339215" cy="723900"/>
                <wp:effectExtent l="0" t="0" r="13335" b="19050"/>
                <wp:wrapNone/>
                <wp:docPr id="1192" name="Скругленный прямоугольник 11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9215" cy="723900"/>
                        </a:xfrm>
                        <a:prstGeom prst="roundRect">
                          <a:avLst>
                            <a:gd name="adj" fmla="val 16667"/>
                          </a:avLst>
                        </a:prstGeom>
                        <a:solidFill>
                          <a:srgbClr val="FFFFFF"/>
                        </a:solidFill>
                        <a:ln w="9525">
                          <a:solidFill>
                            <a:srgbClr val="000000"/>
                          </a:solidFill>
                          <a:round/>
                          <a:headEnd/>
                          <a:tailEnd/>
                        </a:ln>
                      </wps:spPr>
                      <wps:txbx>
                        <w:txbxContent>
                          <w:p w:rsidR="001E1DF5" w:rsidRPr="00103557" w:rsidRDefault="001E1DF5" w:rsidP="00EC3A17">
                            <w:pPr>
                              <w:jc w:val="center"/>
                              <w:rPr>
                                <w:sz w:val="20"/>
                                <w:szCs w:val="20"/>
                              </w:rPr>
                            </w:pPr>
                            <w:r w:rsidRPr="003E27E4">
                              <w:rPr>
                                <w:sz w:val="20"/>
                                <w:szCs w:val="20"/>
                              </w:rPr>
                              <w:t xml:space="preserve">2 </w:t>
                            </w:r>
                            <w:r w:rsidRPr="003E27E4">
                              <w:t>методичні рекоме-ндації, 8 галузевих нововведень, 1 авто-рське право на твір</w:t>
                            </w:r>
                            <w:r w:rsidRPr="00103557">
                              <w:rPr>
                                <w:sz w:val="20"/>
                                <w:szCs w:val="20"/>
                              </w:rPr>
                              <w:t xml:space="preserve">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1192" o:spid="_x0000_s1102" style="position:absolute;margin-left:282pt;margin-top:482.45pt;width:105.45pt;height:57pt;z-index:25197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">
                <v:textbox inset="0,0,0,0">
                  <w:txbxContent>
                    <w:p w:rsidR="0057431A" w:rsidRPr="00103557" w:rsidRDefault="0057431A" w:rsidP="00EC3A17">
                      <w:pPr>
                        <w:jc w:val="center"/>
                        <w:rPr>
                          <w:sz w:val="20"/>
                          <w:szCs w:val="20"/>
                        </w:rPr>
                      </w:pPr>
                      <w:r w:rsidRPr="003E27E4">
                        <w:rPr>
                          <w:sz w:val="20"/>
                          <w:szCs w:val="20"/>
                        </w:rPr>
                        <w:t xml:space="preserve">2 </w:t>
                      </w:r>
                      <w:r w:rsidRPr="003E27E4">
                        <w:t>методичні рекоме-ндації, 8 галузевих нововведень, 1 авто-рське право на твір</w:t>
                      </w:r>
                      <w:r w:rsidRPr="00103557">
                        <w:rPr>
                          <w:sz w:val="20"/>
                          <w:szCs w:val="20"/>
                        </w:rPr>
                        <w:t xml:space="preserve"> </w:t>
                      </w:r>
                    </w:p>
                  </w:txbxContent>
                </v:textbox>
              </v:roundrect>
            </w:pict>
          </mc:Fallback>
        </mc:AlternateContent>
      </w:r>
      <w:r w:rsidRPr="00EC3A17">
        <w:rPr>
          <w:rFonts w:eastAsia="Times New Roman"/>
          <w:noProof/>
          <w:szCs w:val="20"/>
          <w:lang w:val="ru-RU" w:eastAsia="ru-RU"/>
        </w:rPr>
        <mc:AlternateContent>
          <mc:Choice Requires="wps">
            <w:drawing>
              <wp:anchor distT="0" distB="0" distL="114300" distR="114300" simplePos="0" relativeHeight="251976704" behindDoc="0" locked="0" layoutInCell="1" allowOverlap="1" wp14:anchorId="52D445EC" wp14:editId="348B57B6">
                <wp:simplePos x="0" y="0"/>
                <wp:positionH relativeFrom="column">
                  <wp:posOffset>3581400</wp:posOffset>
                </wp:positionH>
                <wp:positionV relativeFrom="paragraph">
                  <wp:posOffset>6127115</wp:posOffset>
                </wp:positionV>
                <wp:extent cx="1339215" cy="723900"/>
                <wp:effectExtent l="0" t="0" r="13335" b="19050"/>
                <wp:wrapNone/>
                <wp:docPr id="1193" name="Скругленный прямоугольник 11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9215" cy="723900"/>
                        </a:xfrm>
                        <a:prstGeom prst="roundRect">
                          <a:avLst>
                            <a:gd name="adj" fmla="val 16667"/>
                          </a:avLst>
                        </a:prstGeom>
                        <a:solidFill>
                          <a:srgbClr val="FFFFFF"/>
                        </a:solidFill>
                        <a:ln w="9525">
                          <a:solidFill>
                            <a:srgbClr val="000000"/>
                          </a:solidFill>
                          <a:round/>
                          <a:headEnd/>
                          <a:tailEnd/>
                        </a:ln>
                      </wps:spPr>
                      <wps:txbx>
                        <w:txbxContent>
                          <w:p w:rsidR="001E1DF5" w:rsidRPr="00103557" w:rsidRDefault="001E1DF5" w:rsidP="00EC3A17">
                            <w:pPr>
                              <w:jc w:val="center"/>
                              <w:rPr>
                                <w:sz w:val="20"/>
                                <w:szCs w:val="20"/>
                              </w:rPr>
                            </w:pPr>
                            <w:r w:rsidRPr="003E27E4">
                              <w:rPr>
                                <w:sz w:val="20"/>
                                <w:szCs w:val="20"/>
                              </w:rPr>
                              <w:t xml:space="preserve">2 </w:t>
                            </w:r>
                            <w:r w:rsidRPr="003E27E4">
                              <w:t>методичні рекоме-ндації, 8 галузевих нововведень, 1 авто-рське право на твір</w:t>
                            </w:r>
                            <w:r w:rsidRPr="00103557">
                              <w:rPr>
                                <w:sz w:val="20"/>
                                <w:szCs w:val="20"/>
                              </w:rPr>
                              <w:t xml:space="preserve">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1193" o:spid="_x0000_s1103" style="position:absolute;margin-left:282pt;margin-top:482.45pt;width:105.45pt;height:57pt;z-index:25197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">
                <v:textbox inset="0,0,0,0">
                  <w:txbxContent>
                    <w:p w:rsidR="0057431A" w:rsidRPr="00103557" w:rsidRDefault="0057431A" w:rsidP="00EC3A17">
                      <w:pPr>
                        <w:jc w:val="center"/>
                        <w:rPr>
                          <w:sz w:val="20"/>
                          <w:szCs w:val="20"/>
                        </w:rPr>
                      </w:pPr>
                      <w:r w:rsidRPr="003E27E4">
                        <w:rPr>
                          <w:sz w:val="20"/>
                          <w:szCs w:val="20"/>
                        </w:rPr>
                        <w:t xml:space="preserve">2 </w:t>
                      </w:r>
                      <w:r w:rsidRPr="003E27E4">
                        <w:t>методичні рекоме-ндації, 8 галузевих нововведень, 1 авто-рське право на твір</w:t>
                      </w:r>
                      <w:r w:rsidRPr="00103557">
                        <w:rPr>
                          <w:sz w:val="20"/>
                          <w:szCs w:val="20"/>
                        </w:rPr>
                        <w:t xml:space="preserve"> </w:t>
                      </w:r>
                    </w:p>
                  </w:txbxContent>
                </v:textbox>
              </v:roundrect>
            </w:pict>
          </mc:Fallback>
        </mc:AlternateContent>
      </w:r>
    </w:p>
    <w:p w:rsidR="00EC3A17" w:rsidRPr="00EC3A17" w:rsidRDefault="00EC3A17" w:rsidP="00121AC6">
      <w:pPr>
        <w:widowControl w:val="0"/>
        <w:spacing w:before="240" w:line="240" w:lineRule="auto"/>
        <w:ind w:firstLine="567"/>
        <w:jc w:val="left"/>
        <w:rPr>
          <w:rFonts w:eastAsia="Times New Roman"/>
          <w:szCs w:val="20"/>
          <w:lang w:eastAsia="x-none"/>
        </w:rPr>
      </w:pPr>
      <w:r w:rsidRPr="00EC3A17">
        <w:rPr>
          <w:rFonts w:eastAsia="Times New Roman"/>
          <w:szCs w:val="20"/>
          <w:lang w:eastAsia="x-none"/>
        </w:rPr>
        <w:t>Рис. </w:t>
      </w:r>
      <w:r w:rsidR="00792D06">
        <w:rPr>
          <w:rFonts w:eastAsia="Times New Roman"/>
          <w:szCs w:val="20"/>
          <w:lang w:val="ru-RU" w:eastAsia="x-none"/>
        </w:rPr>
        <w:t>2.</w:t>
      </w:r>
      <w:r w:rsidRPr="00EC3A17">
        <w:rPr>
          <w:rFonts w:eastAsia="Times New Roman"/>
          <w:szCs w:val="20"/>
          <w:lang w:eastAsia="x-none"/>
        </w:rPr>
        <w:t>1. Програма, матеріали, обсяг і методи досліджень (продовження)</w:t>
      </w:r>
    </w:p>
    <w:p w:rsidR="00323DA9" w:rsidRPr="00121AC6" w:rsidRDefault="00323DA9" w:rsidP="00121AC6">
      <w:pPr>
        <w:pStyle w:val="af9"/>
        <w:widowControl w:val="0"/>
        <w:spacing w:before="240"/>
        <w:rPr>
          <w:lang w:val="ru-RU"/>
        </w:rPr>
      </w:pPr>
      <w:r w:rsidRPr="00006A39">
        <w:t xml:space="preserve">Виконання </w:t>
      </w:r>
      <w:r w:rsidRPr="007273C2">
        <w:rPr>
          <w:i/>
        </w:rPr>
        <w:t>першого етапу</w:t>
      </w:r>
      <w:r w:rsidRPr="00006A39">
        <w:t xml:space="preserve"> проводилось із використанням методів системного підходу, системного аналізу, бібліографічного і семант</w:t>
      </w:r>
      <w:r w:rsidR="00735A31">
        <w:t>ичного аналізів з використанням</w:t>
      </w:r>
      <w:r w:rsidR="00735A31" w:rsidRPr="00735A31">
        <w:t xml:space="preserve"> </w:t>
      </w:r>
      <w:r w:rsidR="006313DB" w:rsidRPr="006313DB">
        <w:t xml:space="preserve">372 </w:t>
      </w:r>
      <w:r w:rsidR="006313DB">
        <w:t>джерел</w:t>
      </w:r>
      <w:r w:rsidR="006313DB" w:rsidRPr="006313DB">
        <w:t>, з них 93 кирилицею, 279 латиницею</w:t>
      </w:r>
      <w:r w:rsidRPr="0055158E">
        <w:t>,</w:t>
      </w:r>
      <w:r w:rsidRPr="009D7F98">
        <w:rPr>
          <w:color w:val="000000" w:themeColor="text1"/>
        </w:rPr>
        <w:t xml:space="preserve"> а також Інтернет-мережі Medline, Pubmed, Medscape тощо. Отримані результати дозволили конкретизувати </w:t>
      </w:r>
      <w:r w:rsidRPr="00006A39">
        <w:t xml:space="preserve">напрямок дослідження, мету і завдання, об’єкт та предмет дослідження, а </w:t>
      </w:r>
      <w:r w:rsidRPr="00B25C9D">
        <w:t>також вибору наукової бази дослідження</w:t>
      </w:r>
      <w:r w:rsidRPr="00006A39">
        <w:t>.</w:t>
      </w:r>
    </w:p>
    <w:p w:rsidR="00EA6CD1" w:rsidRPr="00006A39" w:rsidRDefault="00323DA9" w:rsidP="00121AC6">
      <w:pPr>
        <w:pStyle w:val="af9"/>
        <w:widowControl w:val="0"/>
        <w:spacing w:after="0"/>
        <w:ind w:right="125"/>
      </w:pPr>
      <w:r w:rsidRPr="007273C2">
        <w:rPr>
          <w:i/>
        </w:rPr>
        <w:t>Другий етап</w:t>
      </w:r>
      <w:r w:rsidRPr="00006A39">
        <w:rPr>
          <w:i/>
        </w:rPr>
        <w:t xml:space="preserve"> </w:t>
      </w:r>
      <w:r w:rsidR="00163F0B">
        <w:t xml:space="preserve">«Програма, матеріали, методи </w:t>
      </w:r>
      <w:r w:rsidR="00163F0B">
        <w:rPr>
          <w:lang w:val="ru-RU"/>
        </w:rPr>
        <w:t>й</w:t>
      </w:r>
      <w:r w:rsidRPr="00006A39">
        <w:t xml:space="preserve"> обсяги дослідження» </w:t>
      </w:r>
      <w:r w:rsidRPr="00006A39">
        <w:lastRenderedPageBreak/>
        <w:t xml:space="preserve">присвячено розробці спеціальної програми дослідження, побудованої на принципах логічної етапності з використанням методу системного підходу, формуванню мети та завдань, обґрунтуванню методів розробки і аналізу матеріалів, обсягу дослідження, що забезпечило отримання достатньо повної, достовірної інформації для оцінки стану об’єкта та предметів, що вивчалися. На даному етапі був складений план дослідження, вибраний об’єкт дослідження, об’єм статистичних сукупностей (генеральної, вибіркової), </w:t>
      </w:r>
      <w:r w:rsidR="00A40897" w:rsidRPr="00DC7019">
        <w:t>часові</w:t>
      </w:r>
      <w:r w:rsidRPr="00DC7019">
        <w:t xml:space="preserve"> інтервал</w:t>
      </w:r>
      <w:r w:rsidR="00A40897" w:rsidRPr="00DC7019">
        <w:t>и</w:t>
      </w:r>
      <w:r w:rsidRPr="00DC7019">
        <w:t xml:space="preserve">, </w:t>
      </w:r>
      <w:r w:rsidRPr="00006A39">
        <w:t xml:space="preserve">територія дослідження (Україна та її регіони, для соціологічного опитування – м. Київ, Київська та Закарпатська області), види та способи спостереження і збору матеріалів. Обґрунтовано вибір наукової бази для проведення дослідження, який зумовлено поставленою метою, – генеральна сукупність випадків дитячої смерті (малюкової, до 5 років) в цілому по Україні та за її регіонами за причинами, віком, в т.ч. смертність дітей на дому, стан здоров’я дитячого населення України, захворюваність, поширеність хвороб, в т.ч. захворюваність серед недоношених та хворих новонароджених); показники ресурсного забезпечення системи надання медичної допомоги дітям; показники </w:t>
      </w:r>
      <w:r w:rsidRPr="00BC733C">
        <w:t xml:space="preserve">діяльності служби перинатальної допомоги </w:t>
      </w:r>
      <w:r w:rsidRPr="00006A39">
        <w:t xml:space="preserve">України та за її регіонами за всіма рівнями надання. Збір даних і створення інформаційної бази власного дослідження, до якої вносились отримані результати, а також розробки анкет соціологічного опитування для батьків (400 од.), ЛЗП-СЛ (400 од.), анкети фокус-інтерв’ювання для лікарів </w:t>
      </w:r>
      <w:r w:rsidR="00E13632">
        <w:t>і</w:t>
      </w:r>
      <w:r w:rsidRPr="00006A39">
        <w:t>з орієнтовним переліком індикаторів діяльності закладів перинатальної допомоги для розробки МКО (29</w:t>
      </w:r>
      <w:r w:rsidR="00E6021A">
        <w:rPr>
          <w:lang w:val="ru-RU"/>
        </w:rPr>
        <w:t> </w:t>
      </w:r>
      <w:r w:rsidRPr="00006A39">
        <w:t xml:space="preserve">од.); анкета ставлення експертів </w:t>
      </w:r>
      <w:r w:rsidR="00F12929" w:rsidRPr="00F12929">
        <w:t>(організатори охорони здоров’я (11 осіб), науковці (10 осіб), практичні лікарі (14 осіб) і батьків дітей до 5 років життя (15 осіб)</w:t>
      </w:r>
      <w:r w:rsidRPr="00006A39">
        <w:t xml:space="preserve"> – 50</w:t>
      </w:r>
      <w:r w:rsidR="00F12929">
        <w:rPr>
          <w:lang w:val="en-US"/>
        </w:rPr>
        <w:t> </w:t>
      </w:r>
      <w:r w:rsidRPr="00006A39">
        <w:t xml:space="preserve">од. </w:t>
      </w:r>
    </w:p>
    <w:p w:rsidR="001F14B9" w:rsidRPr="00006A39" w:rsidRDefault="00323DA9" w:rsidP="00721203">
      <w:pPr>
        <w:widowControl w:val="0"/>
        <w:ind w:firstLine="708"/>
      </w:pPr>
      <w:r w:rsidRPr="007273C2">
        <w:rPr>
          <w:i/>
          <w:szCs w:val="28"/>
        </w:rPr>
        <w:t>Третій етап</w:t>
      </w:r>
      <w:r w:rsidRPr="00006A39">
        <w:rPr>
          <w:szCs w:val="28"/>
        </w:rPr>
        <w:t xml:space="preserve"> присвячений </w:t>
      </w:r>
      <w:r w:rsidR="00B223DE" w:rsidRPr="00006A39">
        <w:rPr>
          <w:szCs w:val="28"/>
        </w:rPr>
        <w:t>встановленню основних тенденцій у змінах кількісної та якісної структури показника смертності дітей віком до 5 років в Україні</w:t>
      </w:r>
      <w:r w:rsidRPr="00006A39">
        <w:rPr>
          <w:szCs w:val="28"/>
        </w:rPr>
        <w:t>.</w:t>
      </w:r>
      <w:r w:rsidRPr="00006A39">
        <w:t xml:space="preserve"> </w:t>
      </w:r>
      <w:r w:rsidR="001F14B9" w:rsidRPr="00006A39">
        <w:t>Завданнями на цьому етапі дослідження стали визначення:</w:t>
      </w:r>
    </w:p>
    <w:p w:rsidR="001F14B9" w:rsidRPr="00006A39" w:rsidRDefault="001F14B9" w:rsidP="00721203">
      <w:pPr>
        <w:pStyle w:val="a5"/>
        <w:widowControl w:val="0"/>
        <w:numPr>
          <w:ilvl w:val="0"/>
          <w:numId w:val="2"/>
        </w:numPr>
      </w:pPr>
      <w:r w:rsidRPr="00006A39">
        <w:t>основних трендів показника смертності дітей віком до 5 років, та його основних відмінностей з деякими розвинутими країнами світу;</w:t>
      </w:r>
    </w:p>
    <w:p w:rsidR="001F14B9" w:rsidRPr="00006A39" w:rsidRDefault="001F14B9" w:rsidP="00721203">
      <w:pPr>
        <w:pStyle w:val="a5"/>
        <w:widowControl w:val="0"/>
        <w:numPr>
          <w:ilvl w:val="0"/>
          <w:numId w:val="2"/>
        </w:numPr>
      </w:pPr>
      <w:r w:rsidRPr="00006A39">
        <w:t xml:space="preserve">вікової, статевої, причинної та регіональної структури показника смертності </w:t>
      </w:r>
      <w:r w:rsidRPr="00006A39">
        <w:lastRenderedPageBreak/>
        <w:t>дітей віком до 5 років;</w:t>
      </w:r>
    </w:p>
    <w:p w:rsidR="001F14B9" w:rsidRDefault="001F14B9" w:rsidP="00721203">
      <w:pPr>
        <w:pStyle w:val="a5"/>
        <w:widowControl w:val="0"/>
        <w:numPr>
          <w:ilvl w:val="0"/>
          <w:numId w:val="2"/>
        </w:numPr>
      </w:pPr>
      <w:r w:rsidRPr="00006A39">
        <w:t>структури смертності дітей поза стаціонаром;</w:t>
      </w:r>
    </w:p>
    <w:p w:rsidR="00CB4C1B" w:rsidRPr="00006A39" w:rsidRDefault="00CB4C1B" w:rsidP="00721203">
      <w:pPr>
        <w:pStyle w:val="a5"/>
        <w:widowControl w:val="0"/>
        <w:numPr>
          <w:ilvl w:val="0"/>
          <w:numId w:val="2"/>
        </w:numPr>
      </w:pPr>
      <w:r>
        <w:t>смертність дітей до 1 року життя у лікарняних стаціонарах</w:t>
      </w:r>
      <w:r w:rsidR="00F70177">
        <w:rPr>
          <w:lang w:val="ru-RU"/>
        </w:rPr>
        <w:t>;</w:t>
      </w:r>
    </w:p>
    <w:p w:rsidR="001F14B9" w:rsidRPr="00006A39" w:rsidRDefault="001F14B9" w:rsidP="00721203">
      <w:pPr>
        <w:pStyle w:val="a5"/>
        <w:widowControl w:val="0"/>
        <w:numPr>
          <w:ilvl w:val="0"/>
          <w:numId w:val="2"/>
        </w:numPr>
      </w:pPr>
      <w:r w:rsidRPr="00006A39">
        <w:t>основних змін у структурі показника летальності дітей віком до 5 років;</w:t>
      </w:r>
    </w:p>
    <w:p w:rsidR="001F14B9" w:rsidRPr="00006A39" w:rsidRDefault="001F14B9" w:rsidP="00721203">
      <w:pPr>
        <w:pStyle w:val="a5"/>
        <w:widowControl w:val="0"/>
        <w:numPr>
          <w:ilvl w:val="0"/>
          <w:numId w:val="2"/>
        </w:numPr>
      </w:pPr>
      <w:r w:rsidRPr="00006A39">
        <w:t>тенденцій показника DALY в Україні та розвинених країнах світу.</w:t>
      </w:r>
    </w:p>
    <w:p w:rsidR="001F14B9" w:rsidRPr="00006A39" w:rsidRDefault="001F14B9" w:rsidP="00721203">
      <w:pPr>
        <w:widowControl w:val="0"/>
        <w:ind w:firstLine="708"/>
      </w:pPr>
      <w:r w:rsidRPr="00006A39">
        <w:t>Показник</w:t>
      </w:r>
      <w:r w:rsidR="009839E1">
        <w:t xml:space="preserve">, що характеризує </w:t>
      </w:r>
      <w:r w:rsidR="009839E1" w:rsidRPr="009839E1">
        <w:t>роки життя, скореговані на інвалідність</w:t>
      </w:r>
      <w:r w:rsidRPr="009839E1">
        <w:t xml:space="preserve"> </w:t>
      </w:r>
      <w:r w:rsidR="009839E1" w:rsidRPr="009839E1">
        <w:t>(Disability-adjusted life year DALY)</w:t>
      </w:r>
      <w:r w:rsidR="009839E1">
        <w:t xml:space="preserve"> </w:t>
      </w:r>
      <w:r w:rsidRPr="00006A39">
        <w:t>розраховували як роки життя, скореговані на інвалідність, з розрахунку на 100 тис. населення.</w:t>
      </w:r>
    </w:p>
    <w:p w:rsidR="001F14B9" w:rsidRPr="00006A39" w:rsidRDefault="001F14B9" w:rsidP="00721203">
      <w:pPr>
        <w:widowControl w:val="0"/>
        <w:ind w:firstLine="708"/>
      </w:pPr>
      <w:r w:rsidRPr="00006A39">
        <w:rPr>
          <w:szCs w:val="28"/>
        </w:rPr>
        <w:t>Показник суми потенційних років життя втрачених внаслідок передчасної смерті (Years of Life Lost, YLLs)</w:t>
      </w:r>
      <w:r w:rsidRPr="00006A39">
        <w:t xml:space="preserve"> з розрахунку на 100 тис. населення.</w:t>
      </w:r>
    </w:p>
    <w:p w:rsidR="00323DA9" w:rsidRPr="00006A39" w:rsidRDefault="00323DA9" w:rsidP="00721203">
      <w:pPr>
        <w:widowControl w:val="0"/>
        <w:ind w:firstLine="709"/>
        <w:rPr>
          <w:szCs w:val="28"/>
        </w:rPr>
      </w:pPr>
      <w:r w:rsidRPr="00006A39">
        <w:rPr>
          <w:szCs w:val="28"/>
        </w:rPr>
        <w:t>О</w:t>
      </w:r>
      <w:r w:rsidR="008E52DD" w:rsidRPr="00006A39">
        <w:rPr>
          <w:szCs w:val="28"/>
        </w:rPr>
        <w:t>держа</w:t>
      </w:r>
      <w:r w:rsidRPr="00006A39">
        <w:rPr>
          <w:szCs w:val="28"/>
        </w:rPr>
        <w:t xml:space="preserve">ні дані </w:t>
      </w:r>
      <w:r w:rsidR="00B223DE" w:rsidRPr="00006A39">
        <w:rPr>
          <w:szCs w:val="28"/>
        </w:rPr>
        <w:t>стали</w:t>
      </w:r>
      <w:r w:rsidRPr="00006A39">
        <w:rPr>
          <w:szCs w:val="28"/>
        </w:rPr>
        <w:t xml:space="preserve"> підґрунт</w:t>
      </w:r>
      <w:r w:rsidR="008E52DD" w:rsidRPr="00006A39">
        <w:rPr>
          <w:szCs w:val="28"/>
        </w:rPr>
        <w:t>ям</w:t>
      </w:r>
      <w:r w:rsidRPr="00006A39">
        <w:rPr>
          <w:szCs w:val="28"/>
        </w:rPr>
        <w:t xml:space="preserve"> для подальшого обґрунтування та розроб</w:t>
      </w:r>
      <w:r w:rsidR="008E52DD" w:rsidRPr="00006A39">
        <w:rPr>
          <w:szCs w:val="28"/>
        </w:rPr>
        <w:t>лення</w:t>
      </w:r>
      <w:r w:rsidRPr="00006A39">
        <w:rPr>
          <w:szCs w:val="28"/>
        </w:rPr>
        <w:t xml:space="preserve"> системи </w:t>
      </w:r>
      <w:r w:rsidR="00B223DE" w:rsidRPr="00006A39">
        <w:rPr>
          <w:szCs w:val="28"/>
        </w:rPr>
        <w:t>зниження</w:t>
      </w:r>
      <w:r w:rsidRPr="00006A39">
        <w:rPr>
          <w:szCs w:val="28"/>
        </w:rPr>
        <w:t xml:space="preserve"> смертності</w:t>
      </w:r>
      <w:r w:rsidR="008E52DD" w:rsidRPr="00006A39">
        <w:rPr>
          <w:szCs w:val="28"/>
        </w:rPr>
        <w:t xml:space="preserve"> дітей віком до 5 років в Україні</w:t>
      </w:r>
      <w:r w:rsidRPr="00006A39">
        <w:rPr>
          <w:szCs w:val="28"/>
        </w:rPr>
        <w:t>.</w:t>
      </w:r>
    </w:p>
    <w:p w:rsidR="00A6723F" w:rsidRPr="00006A39" w:rsidRDefault="00323DA9" w:rsidP="00721203">
      <w:pPr>
        <w:widowControl w:val="0"/>
        <w:tabs>
          <w:tab w:val="left" w:pos="2940"/>
        </w:tabs>
        <w:ind w:firstLine="708"/>
        <w:rPr>
          <w:szCs w:val="28"/>
        </w:rPr>
      </w:pPr>
      <w:r w:rsidRPr="007273C2">
        <w:rPr>
          <w:i/>
          <w:szCs w:val="28"/>
        </w:rPr>
        <w:t>На четвертому етапі</w:t>
      </w:r>
      <w:r w:rsidR="00A6723F" w:rsidRPr="00006A39">
        <w:rPr>
          <w:b/>
          <w:i/>
          <w:szCs w:val="28"/>
        </w:rPr>
        <w:t xml:space="preserve"> </w:t>
      </w:r>
      <w:r w:rsidR="00A6723F" w:rsidRPr="00006A39">
        <w:rPr>
          <w:szCs w:val="28"/>
        </w:rPr>
        <w:t xml:space="preserve">з’ясовано динаміку та структуру захворюваності дітей віком до 5 років </w:t>
      </w:r>
      <w:r w:rsidR="00FF02A2" w:rsidRPr="00006A39">
        <w:rPr>
          <w:szCs w:val="28"/>
        </w:rPr>
        <w:t xml:space="preserve">в Україні </w:t>
      </w:r>
      <w:r w:rsidR="00A6723F" w:rsidRPr="00006A39">
        <w:rPr>
          <w:szCs w:val="28"/>
        </w:rPr>
        <w:t>та порівняно її з аналогічними показниками розвинених країн світу.</w:t>
      </w:r>
      <w:r w:rsidRPr="00006A39">
        <w:rPr>
          <w:szCs w:val="28"/>
        </w:rPr>
        <w:t xml:space="preserve"> </w:t>
      </w:r>
      <w:r w:rsidR="00A6723F" w:rsidRPr="00006A39">
        <w:rPr>
          <w:szCs w:val="28"/>
        </w:rPr>
        <w:t>Завданнями на цьому етапі стали встановлення:</w:t>
      </w:r>
    </w:p>
    <w:p w:rsidR="00A6723F" w:rsidRPr="00006A39" w:rsidRDefault="00A6723F" w:rsidP="0074719A">
      <w:pPr>
        <w:pStyle w:val="a5"/>
        <w:widowControl w:val="0"/>
        <w:numPr>
          <w:ilvl w:val="0"/>
          <w:numId w:val="28"/>
        </w:numPr>
        <w:tabs>
          <w:tab w:val="left" w:pos="993"/>
        </w:tabs>
        <w:ind w:left="0" w:firstLine="633"/>
        <w:rPr>
          <w:szCs w:val="28"/>
        </w:rPr>
      </w:pPr>
      <w:r w:rsidRPr="00006A39">
        <w:rPr>
          <w:szCs w:val="28"/>
        </w:rPr>
        <w:t>трендів показника захворюванос</w:t>
      </w:r>
      <w:r w:rsidR="00A4502A">
        <w:rPr>
          <w:szCs w:val="28"/>
        </w:rPr>
        <w:t>ті дітей віком 0-5</w:t>
      </w:r>
      <w:r w:rsidR="00E13632">
        <w:rPr>
          <w:szCs w:val="28"/>
        </w:rPr>
        <w:t xml:space="preserve"> та 0-6</w:t>
      </w:r>
      <w:r w:rsidR="00A4502A">
        <w:rPr>
          <w:szCs w:val="28"/>
        </w:rPr>
        <w:t xml:space="preserve"> років</w:t>
      </w:r>
      <w:r w:rsidR="00E13632">
        <w:rPr>
          <w:szCs w:val="28"/>
        </w:rPr>
        <w:t xml:space="preserve"> життя</w:t>
      </w:r>
      <w:r w:rsidR="00A4502A">
        <w:rPr>
          <w:szCs w:val="28"/>
        </w:rPr>
        <w:t xml:space="preserve"> за 2010</w:t>
      </w:r>
      <w:r w:rsidRPr="00006A39">
        <w:rPr>
          <w:szCs w:val="28"/>
        </w:rPr>
        <w:t>-2019 рр. в Україні та розвинених країнах світу</w:t>
      </w:r>
      <w:r w:rsidR="00521C11" w:rsidRPr="00006A39">
        <w:rPr>
          <w:szCs w:val="28"/>
        </w:rPr>
        <w:t>;</w:t>
      </w:r>
    </w:p>
    <w:p w:rsidR="00521C11" w:rsidRPr="00006A39" w:rsidRDefault="00521C11" w:rsidP="0074719A">
      <w:pPr>
        <w:pStyle w:val="a5"/>
        <w:widowControl w:val="0"/>
        <w:numPr>
          <w:ilvl w:val="0"/>
          <w:numId w:val="28"/>
        </w:numPr>
        <w:tabs>
          <w:tab w:val="left" w:pos="993"/>
        </w:tabs>
        <w:ind w:left="0" w:firstLine="633"/>
        <w:rPr>
          <w:szCs w:val="28"/>
        </w:rPr>
      </w:pPr>
      <w:r w:rsidRPr="00006A39">
        <w:rPr>
          <w:szCs w:val="28"/>
        </w:rPr>
        <w:t>тенденцій показника захворюваності дітей першого року життя, у т.ч. його структури;</w:t>
      </w:r>
    </w:p>
    <w:p w:rsidR="00521C11" w:rsidRPr="00006A39" w:rsidRDefault="00521C11" w:rsidP="0074719A">
      <w:pPr>
        <w:pStyle w:val="a5"/>
        <w:widowControl w:val="0"/>
        <w:numPr>
          <w:ilvl w:val="0"/>
          <w:numId w:val="28"/>
        </w:numPr>
        <w:tabs>
          <w:tab w:val="left" w:pos="993"/>
        </w:tabs>
        <w:ind w:left="0" w:firstLine="633"/>
        <w:rPr>
          <w:szCs w:val="28"/>
        </w:rPr>
      </w:pPr>
      <w:r w:rsidRPr="00006A39">
        <w:rPr>
          <w:szCs w:val="28"/>
        </w:rPr>
        <w:t>змін кількісної та якісної структури показника захворюваності новонароджених;</w:t>
      </w:r>
    </w:p>
    <w:p w:rsidR="00A6723F" w:rsidRPr="00006A39" w:rsidRDefault="00A6723F" w:rsidP="0074719A">
      <w:pPr>
        <w:pStyle w:val="a5"/>
        <w:widowControl w:val="0"/>
        <w:numPr>
          <w:ilvl w:val="0"/>
          <w:numId w:val="28"/>
        </w:numPr>
        <w:tabs>
          <w:tab w:val="left" w:pos="993"/>
        </w:tabs>
        <w:ind w:left="0" w:firstLine="633"/>
        <w:rPr>
          <w:szCs w:val="28"/>
        </w:rPr>
      </w:pPr>
      <w:r w:rsidRPr="00006A39">
        <w:rPr>
          <w:szCs w:val="28"/>
        </w:rPr>
        <w:t xml:space="preserve">зв'язку між показниками смертності та показниками захворюваності </w:t>
      </w:r>
      <w:r w:rsidR="00521C11" w:rsidRPr="00006A39">
        <w:rPr>
          <w:szCs w:val="28"/>
        </w:rPr>
        <w:t xml:space="preserve">дітей у вікових категоріях до 5 років, до 1 року життя та </w:t>
      </w:r>
      <w:r w:rsidR="00FF02A2" w:rsidRPr="00006A39">
        <w:rPr>
          <w:szCs w:val="28"/>
        </w:rPr>
        <w:t>до 28 діб життя</w:t>
      </w:r>
      <w:r w:rsidR="00521C11" w:rsidRPr="00006A39">
        <w:rPr>
          <w:szCs w:val="28"/>
        </w:rPr>
        <w:t>;</w:t>
      </w:r>
    </w:p>
    <w:p w:rsidR="00521C11" w:rsidRPr="00006A39" w:rsidRDefault="00521C11" w:rsidP="0074719A">
      <w:pPr>
        <w:pStyle w:val="a5"/>
        <w:widowControl w:val="0"/>
        <w:numPr>
          <w:ilvl w:val="0"/>
          <w:numId w:val="28"/>
        </w:numPr>
        <w:tabs>
          <w:tab w:val="left" w:pos="993"/>
        </w:tabs>
        <w:ind w:left="0" w:firstLine="633"/>
        <w:rPr>
          <w:szCs w:val="28"/>
        </w:rPr>
      </w:pPr>
      <w:r w:rsidRPr="00006A39">
        <w:rPr>
          <w:szCs w:val="28"/>
        </w:rPr>
        <w:t>змін показника, що характеризує роки життя, втрачені внаслідок порушень здоров’я (інвалідності) (YLDs)</w:t>
      </w:r>
      <w:r w:rsidR="00FF02A2" w:rsidRPr="00006A39">
        <w:rPr>
          <w:szCs w:val="28"/>
        </w:rPr>
        <w:t>,</w:t>
      </w:r>
      <w:r w:rsidRPr="00006A39">
        <w:rPr>
          <w:szCs w:val="28"/>
        </w:rPr>
        <w:t xml:space="preserve"> у віковій групі дітей до 5-ти років життя та до 1 року в Україні та розвинених країнах світу</w:t>
      </w:r>
    </w:p>
    <w:p w:rsidR="00323DA9" w:rsidRPr="006C4E48" w:rsidRDefault="00521C11" w:rsidP="005027D7">
      <w:pPr>
        <w:widowControl w:val="0"/>
        <w:tabs>
          <w:tab w:val="left" w:pos="2940"/>
        </w:tabs>
        <w:ind w:firstLine="708"/>
        <w:rPr>
          <w:strike/>
          <w:color w:val="FF0000"/>
          <w:szCs w:val="28"/>
        </w:rPr>
      </w:pPr>
      <w:r w:rsidRPr="00006A39">
        <w:rPr>
          <w:szCs w:val="28"/>
        </w:rPr>
        <w:t xml:space="preserve">Інформаційную базою для </w:t>
      </w:r>
      <w:r w:rsidR="005027D7">
        <w:rPr>
          <w:szCs w:val="28"/>
        </w:rPr>
        <w:t>ІІІ-ІУ етапів дослідження стали</w:t>
      </w:r>
      <w:r w:rsidRPr="00006A39">
        <w:rPr>
          <w:szCs w:val="28"/>
        </w:rPr>
        <w:t xml:space="preserve"> </w:t>
      </w:r>
      <w:r w:rsidR="00323DA9" w:rsidRPr="00006A39">
        <w:rPr>
          <w:szCs w:val="28"/>
        </w:rPr>
        <w:t>офіційн</w:t>
      </w:r>
      <w:r w:rsidRPr="00006A39">
        <w:rPr>
          <w:szCs w:val="28"/>
        </w:rPr>
        <w:t>і</w:t>
      </w:r>
      <w:r w:rsidR="00323DA9" w:rsidRPr="00006A39">
        <w:rPr>
          <w:szCs w:val="28"/>
        </w:rPr>
        <w:t xml:space="preserve"> форм</w:t>
      </w:r>
      <w:r w:rsidRPr="00006A39">
        <w:rPr>
          <w:szCs w:val="28"/>
        </w:rPr>
        <w:t>и</w:t>
      </w:r>
      <w:r w:rsidR="00323DA9" w:rsidRPr="00006A39">
        <w:rPr>
          <w:szCs w:val="28"/>
        </w:rPr>
        <w:t xml:space="preserve"> медичної статистичної звітності </w:t>
      </w:r>
      <w:r w:rsidR="005027D7" w:rsidRPr="005027D7">
        <w:rPr>
          <w:szCs w:val="28"/>
        </w:rPr>
        <w:t xml:space="preserve">ДЗ ЦМС МОЗ України </w:t>
      </w:r>
      <w:r w:rsidR="005027D7">
        <w:rPr>
          <w:szCs w:val="28"/>
        </w:rPr>
        <w:t>та</w:t>
      </w:r>
      <w:r w:rsidR="005027D7" w:rsidRPr="005027D7">
        <w:rPr>
          <w:rFonts w:eastAsia="Times New Roman"/>
          <w:sz w:val="22"/>
          <w:lang w:eastAsia="uk-UA"/>
        </w:rPr>
        <w:t xml:space="preserve"> </w:t>
      </w:r>
      <w:r w:rsidR="005027D7" w:rsidRPr="005027D7">
        <w:rPr>
          <w:szCs w:val="28"/>
        </w:rPr>
        <w:t>Державної служби статистики України</w:t>
      </w:r>
      <w:r w:rsidR="005027D7">
        <w:rPr>
          <w:szCs w:val="28"/>
        </w:rPr>
        <w:t xml:space="preserve"> </w:t>
      </w:r>
      <w:r w:rsidR="006C4E48" w:rsidRPr="005027D7">
        <w:rPr>
          <w:szCs w:val="28"/>
        </w:rPr>
        <w:t>за 2009-2018 рр. та 2013</w:t>
      </w:r>
      <w:r w:rsidR="00323DA9" w:rsidRPr="005027D7">
        <w:rPr>
          <w:szCs w:val="28"/>
        </w:rPr>
        <w:t>-2018 рр.:</w:t>
      </w:r>
      <w:r w:rsidR="005027D7" w:rsidRPr="005027D7">
        <w:rPr>
          <w:bCs/>
          <w:szCs w:val="28"/>
        </w:rPr>
        <w:t xml:space="preserve"> ф.12</w:t>
      </w:r>
      <w:r w:rsidR="005027D7" w:rsidRPr="005027D7">
        <w:rPr>
          <w:szCs w:val="28"/>
        </w:rPr>
        <w:t xml:space="preserve"> </w:t>
      </w:r>
      <w:r w:rsidR="005027D7" w:rsidRPr="005027D7">
        <w:rPr>
          <w:bCs/>
          <w:szCs w:val="28"/>
        </w:rPr>
        <w:t xml:space="preserve">« Звіт про кількість захворювань, зареєстрованих у хворих, які проживають в районі обслуговування </w:t>
      </w:r>
      <w:r w:rsidR="005027D7" w:rsidRPr="005027D7">
        <w:rPr>
          <w:bCs/>
          <w:szCs w:val="28"/>
        </w:rPr>
        <w:lastRenderedPageBreak/>
        <w:t xml:space="preserve">лікувального закладу», </w:t>
      </w:r>
      <w:r w:rsidR="005027D7" w:rsidRPr="005027D7">
        <w:rPr>
          <w:szCs w:val="28"/>
        </w:rPr>
        <w:t>ф.№20 «Звіт лікувально-профілактичного закладу»; ф.№31«Звіт про медичну допомогу дітям», ф.№21«Звіт про медичну допомогу в</w:t>
      </w:r>
      <w:r w:rsidR="00E13632">
        <w:rPr>
          <w:szCs w:val="28"/>
        </w:rPr>
        <w:t>агітним, роділлям і породіллям»,</w:t>
      </w:r>
      <w:r w:rsidR="005027D7" w:rsidRPr="005027D7">
        <w:rPr>
          <w:szCs w:val="28"/>
        </w:rPr>
        <w:t xml:space="preserve"> «Моніторинг стану здоров’я матері та дитини», середня чисельність постійн</w:t>
      </w:r>
      <w:r w:rsidR="00E13632">
        <w:rPr>
          <w:szCs w:val="28"/>
        </w:rPr>
        <w:t>ого населення за статтю і віком,</w:t>
      </w:r>
      <w:r w:rsidR="005027D7" w:rsidRPr="005027D7">
        <w:rPr>
          <w:b/>
          <w:szCs w:val="28"/>
        </w:rPr>
        <w:t xml:space="preserve"> </w:t>
      </w:r>
      <w:r w:rsidR="005027D7" w:rsidRPr="005027D7">
        <w:rPr>
          <w:szCs w:val="28"/>
        </w:rPr>
        <w:t>ф.</w:t>
      </w:r>
      <w:r w:rsidR="005027D7" w:rsidRPr="005027D7">
        <w:rPr>
          <w:b/>
          <w:szCs w:val="28"/>
        </w:rPr>
        <w:t xml:space="preserve"> </w:t>
      </w:r>
      <w:r w:rsidR="005027D7" w:rsidRPr="005027D7">
        <w:rPr>
          <w:szCs w:val="28"/>
        </w:rPr>
        <w:t xml:space="preserve">АС-2 «Смертність дітей у віці до 1 року за </w:t>
      </w:r>
      <w:r w:rsidR="00E13632">
        <w:rPr>
          <w:szCs w:val="28"/>
        </w:rPr>
        <w:t>причинами смерті»,</w:t>
      </w:r>
      <w:r w:rsidR="005027D7" w:rsidRPr="005027D7">
        <w:rPr>
          <w:szCs w:val="28"/>
        </w:rPr>
        <w:t xml:space="preserve"> ф.ТС2 «Коефіцієнти смертності за статтю, вікови</w:t>
      </w:r>
      <w:r w:rsidR="00E13632">
        <w:rPr>
          <w:szCs w:val="28"/>
        </w:rPr>
        <w:t>ми групами та причинами смерті»,</w:t>
      </w:r>
      <w:r w:rsidR="005027D7" w:rsidRPr="005027D7">
        <w:rPr>
          <w:szCs w:val="28"/>
        </w:rPr>
        <w:t xml:space="preserve"> ф. С-5p «Розподіл померлих дітей у віці до 5 років, за ст</w:t>
      </w:r>
      <w:r w:rsidR="00E13632">
        <w:rPr>
          <w:szCs w:val="28"/>
        </w:rPr>
        <w:t xml:space="preserve">аттю, віком, роком народження», </w:t>
      </w:r>
      <w:r w:rsidR="005027D7" w:rsidRPr="005027D7">
        <w:rPr>
          <w:szCs w:val="28"/>
        </w:rPr>
        <w:t>ф. С-6 «Розпод</w:t>
      </w:r>
      <w:r w:rsidR="00E13632">
        <w:rPr>
          <w:szCs w:val="28"/>
        </w:rPr>
        <w:t>іл померлих за статтю та віком»,</w:t>
      </w:r>
      <w:r w:rsidR="005027D7" w:rsidRPr="005027D7">
        <w:rPr>
          <w:szCs w:val="28"/>
        </w:rPr>
        <w:t xml:space="preserve"> ф</w:t>
      </w:r>
      <w:r w:rsidR="005027D7" w:rsidRPr="005027D7">
        <w:rPr>
          <w:b/>
          <w:szCs w:val="28"/>
        </w:rPr>
        <w:t xml:space="preserve">. </w:t>
      </w:r>
      <w:r w:rsidR="005027D7" w:rsidRPr="005027D7">
        <w:rPr>
          <w:szCs w:val="28"/>
        </w:rPr>
        <w:t>С-8p «Розподіл померлих за статтю, вікови</w:t>
      </w:r>
      <w:r w:rsidR="00E13632">
        <w:rPr>
          <w:szCs w:val="28"/>
        </w:rPr>
        <w:t>ми групами та причинами смерті»,</w:t>
      </w:r>
      <w:r w:rsidR="005027D7" w:rsidRPr="005027D7">
        <w:rPr>
          <w:szCs w:val="28"/>
        </w:rPr>
        <w:t xml:space="preserve"> ф. С-11p «Розподіл померлих за статтю, віком, роком народження – </w:t>
      </w:r>
      <w:r w:rsidR="005E1736" w:rsidRPr="005E1736">
        <w:rPr>
          <w:szCs w:val="28"/>
        </w:rPr>
        <w:t>(</w:t>
      </w:r>
      <w:r w:rsidR="005E1736">
        <w:rPr>
          <w:szCs w:val="28"/>
        </w:rPr>
        <w:t>ІІІ етап -1298</w:t>
      </w:r>
      <w:r w:rsidR="006C4E48" w:rsidRPr="005027D7">
        <w:rPr>
          <w:szCs w:val="28"/>
        </w:rPr>
        <w:t xml:space="preserve"> од.</w:t>
      </w:r>
      <w:r w:rsidR="005027D7" w:rsidRPr="005027D7">
        <w:rPr>
          <w:szCs w:val="28"/>
        </w:rPr>
        <w:t>,</w:t>
      </w:r>
      <w:r w:rsidR="005E1736">
        <w:rPr>
          <w:szCs w:val="28"/>
        </w:rPr>
        <w:t xml:space="preserve"> І</w:t>
      </w:r>
      <w:r w:rsidR="005E1736">
        <w:rPr>
          <w:szCs w:val="28"/>
          <w:lang w:val="en-US"/>
        </w:rPr>
        <w:t>V</w:t>
      </w:r>
      <w:r w:rsidR="005E1736">
        <w:rPr>
          <w:szCs w:val="28"/>
        </w:rPr>
        <w:t xml:space="preserve"> етап – 23 од.),</w:t>
      </w:r>
      <w:r w:rsidR="005027D7" w:rsidRPr="005027D7">
        <w:rPr>
          <w:szCs w:val="28"/>
        </w:rPr>
        <w:t xml:space="preserve"> а також база даних (WHO Global Health Observatory, World Bank Open Data, </w:t>
      </w:r>
      <w:r w:rsidR="005027D7" w:rsidRPr="005027D7">
        <w:rPr>
          <w:szCs w:val="28"/>
          <w:lang w:val="en-US"/>
        </w:rPr>
        <w:t>WHO</w:t>
      </w:r>
      <w:r w:rsidR="005027D7" w:rsidRPr="005027D7">
        <w:rPr>
          <w:szCs w:val="28"/>
        </w:rPr>
        <w:t xml:space="preserve"> European Health for All Database (HFA/DB), CDC Wonder, The Institute for Health Metrics and Evaluation (IHME) </w:t>
      </w:r>
      <w:r w:rsidR="005027D7" w:rsidRPr="005027D7">
        <w:rPr>
          <w:szCs w:val="28"/>
          <w:lang w:val="en-US"/>
        </w:rPr>
        <w:t>updated</w:t>
      </w:r>
      <w:r w:rsidR="005027D7" w:rsidRPr="005027D7">
        <w:rPr>
          <w:szCs w:val="28"/>
        </w:rPr>
        <w:t xml:space="preserve">: </w:t>
      </w:r>
      <w:r w:rsidR="005027D7" w:rsidRPr="005027D7">
        <w:rPr>
          <w:szCs w:val="28"/>
          <w:lang w:val="en-US"/>
        </w:rPr>
        <w:t>September</w:t>
      </w:r>
      <w:r w:rsidR="005027D7" w:rsidRPr="005027D7">
        <w:rPr>
          <w:szCs w:val="28"/>
        </w:rPr>
        <w:t>, 2020) за 2009-2019 рр.</w:t>
      </w:r>
    </w:p>
    <w:p w:rsidR="001016D4" w:rsidRPr="00E7486F" w:rsidRDefault="001016D4" w:rsidP="001016D4">
      <w:pPr>
        <w:autoSpaceDE w:val="0"/>
        <w:autoSpaceDN w:val="0"/>
        <w:adjustRightInd w:val="0"/>
        <w:ind w:firstLine="708"/>
        <w:rPr>
          <w:szCs w:val="28"/>
        </w:rPr>
      </w:pPr>
      <w:r w:rsidRPr="007273C2">
        <w:rPr>
          <w:i/>
          <w:szCs w:val="28"/>
        </w:rPr>
        <w:t>П’ятий</w:t>
      </w:r>
      <w:r w:rsidRPr="00882737">
        <w:rPr>
          <w:szCs w:val="28"/>
        </w:rPr>
        <w:t xml:space="preserve"> </w:t>
      </w:r>
      <w:r w:rsidRPr="007273C2">
        <w:rPr>
          <w:i/>
          <w:szCs w:val="28"/>
        </w:rPr>
        <w:t>етап</w:t>
      </w:r>
      <w:r w:rsidRPr="00882737">
        <w:rPr>
          <w:szCs w:val="28"/>
        </w:rPr>
        <w:t xml:space="preserve"> мав </w:t>
      </w:r>
      <w:r w:rsidRPr="00396107">
        <w:rPr>
          <w:szCs w:val="28"/>
        </w:rPr>
        <w:t xml:space="preserve">на меті </w:t>
      </w:r>
      <w:r>
        <w:rPr>
          <w:szCs w:val="28"/>
        </w:rPr>
        <w:t xml:space="preserve">вивчення </w:t>
      </w:r>
      <w:r w:rsidRPr="002C16C2">
        <w:rPr>
          <w:szCs w:val="28"/>
        </w:rPr>
        <w:t>організаці</w:t>
      </w:r>
      <w:r>
        <w:rPr>
          <w:szCs w:val="28"/>
        </w:rPr>
        <w:t>ї</w:t>
      </w:r>
      <w:r w:rsidRPr="002C16C2">
        <w:rPr>
          <w:szCs w:val="28"/>
        </w:rPr>
        <w:t xml:space="preserve"> медичної допомоги дитячому населенню, кадрове та ресурсне забезпечення первинної медико-санітарної допомоги на засадах загальної лікарської практики-сімейної медицини, спеціалізованої та високоспеціалізованої служби охорони здоров’я дітей, перинатальної допомоги в Україні на предмет ідентифікації прихованих ризиків, які можуть бути пов’язані зі смертністю дітей в Україні</w:t>
      </w:r>
      <w:r>
        <w:rPr>
          <w:szCs w:val="28"/>
        </w:rPr>
        <w:t>.</w:t>
      </w:r>
    </w:p>
    <w:p w:rsidR="00A4502A" w:rsidRPr="009D7F98" w:rsidRDefault="003A2A18" w:rsidP="00A4502A">
      <w:pPr>
        <w:widowControl w:val="0"/>
        <w:tabs>
          <w:tab w:val="left" w:pos="2940"/>
        </w:tabs>
        <w:ind w:firstLine="708"/>
        <w:rPr>
          <w:color w:val="000000" w:themeColor="text1"/>
          <w:szCs w:val="28"/>
        </w:rPr>
      </w:pPr>
      <w:r>
        <w:rPr>
          <w:szCs w:val="28"/>
        </w:rPr>
        <w:t xml:space="preserve">Інформаційною базою дослідження стали </w:t>
      </w:r>
      <w:r w:rsidR="00A4502A">
        <w:rPr>
          <w:bCs/>
          <w:color w:val="000000" w:themeColor="text1"/>
          <w:szCs w:val="28"/>
        </w:rPr>
        <w:t>з</w:t>
      </w:r>
      <w:r w:rsidR="00A4502A" w:rsidRPr="00A4502A">
        <w:rPr>
          <w:bCs/>
          <w:color w:val="000000" w:themeColor="text1"/>
          <w:szCs w:val="28"/>
        </w:rPr>
        <w:t xml:space="preserve">вітні форми ДЗ ЦМС МОЗ України: </w:t>
      </w:r>
      <w:r w:rsidR="00AE6572" w:rsidRPr="00AE6572">
        <w:rPr>
          <w:bCs/>
          <w:color w:val="000000" w:themeColor="text1"/>
          <w:szCs w:val="28"/>
        </w:rPr>
        <w:t>ф.№17 «Звіт про медичні кадр</w:t>
      </w:r>
      <w:r w:rsidR="00AE6572">
        <w:rPr>
          <w:bCs/>
          <w:color w:val="000000" w:themeColor="text1"/>
          <w:szCs w:val="28"/>
        </w:rPr>
        <w:t xml:space="preserve">и», </w:t>
      </w:r>
      <w:r w:rsidR="00A4502A" w:rsidRPr="00A4502A">
        <w:rPr>
          <w:bCs/>
          <w:color w:val="000000" w:themeColor="text1"/>
          <w:szCs w:val="28"/>
        </w:rPr>
        <w:t>ф.№20 «Звіт лікувально-профілактичного закладу», ф.№31 «Звіт про медичну допомогу дітям», довідник ДЗ ЦМС України «Медичні кадри та мережа закладів охорони здоров’я системи МОЗ України</w:t>
      </w:r>
      <w:r w:rsidR="00A4502A">
        <w:rPr>
          <w:bCs/>
          <w:color w:val="000000" w:themeColor="text1"/>
          <w:szCs w:val="28"/>
        </w:rPr>
        <w:t>»,</w:t>
      </w:r>
      <w:r w:rsidR="00A4502A" w:rsidRPr="00A4502A">
        <w:rPr>
          <w:bCs/>
          <w:color w:val="000000" w:themeColor="text1"/>
          <w:szCs w:val="28"/>
        </w:rPr>
        <w:t xml:space="preserve"> 23 од.</w:t>
      </w:r>
    </w:p>
    <w:p w:rsidR="008877EB" w:rsidRDefault="00323DA9" w:rsidP="00721203">
      <w:pPr>
        <w:widowControl w:val="0"/>
        <w:tabs>
          <w:tab w:val="left" w:pos="2940"/>
        </w:tabs>
        <w:ind w:firstLine="708"/>
      </w:pPr>
      <w:r w:rsidRPr="00006A39">
        <w:rPr>
          <w:szCs w:val="28"/>
        </w:rPr>
        <w:t xml:space="preserve">Завданням </w:t>
      </w:r>
      <w:r w:rsidRPr="007273C2">
        <w:rPr>
          <w:i/>
          <w:szCs w:val="28"/>
        </w:rPr>
        <w:t>шостого етапу</w:t>
      </w:r>
      <w:r w:rsidRPr="00006A39">
        <w:rPr>
          <w:szCs w:val="28"/>
        </w:rPr>
        <w:t xml:space="preserve"> дослідження стало </w:t>
      </w:r>
      <w:r w:rsidR="008877EB">
        <w:rPr>
          <w:szCs w:val="28"/>
        </w:rPr>
        <w:t>встановлення</w:t>
      </w:r>
      <w:r w:rsidRPr="00006A39">
        <w:t xml:space="preserve"> </w:t>
      </w:r>
      <w:r w:rsidR="008877EB" w:rsidRPr="00006A39">
        <w:rPr>
          <w:szCs w:val="28"/>
        </w:rPr>
        <w:t>рів</w:t>
      </w:r>
      <w:r w:rsidR="00721203">
        <w:rPr>
          <w:szCs w:val="28"/>
        </w:rPr>
        <w:t>ня</w:t>
      </w:r>
      <w:r w:rsidR="008877EB" w:rsidRPr="00006A39">
        <w:rPr>
          <w:szCs w:val="28"/>
        </w:rPr>
        <w:t xml:space="preserve"> </w:t>
      </w:r>
      <w:r w:rsidR="008877EB" w:rsidRPr="00006A39">
        <w:rPr>
          <w:rFonts w:eastAsia="Calibri"/>
          <w:szCs w:val="28"/>
        </w:rPr>
        <w:t>професійної</w:t>
      </w:r>
      <w:r w:rsidR="008877EB" w:rsidRPr="00006A39">
        <w:rPr>
          <w:szCs w:val="28"/>
        </w:rPr>
        <w:t xml:space="preserve"> </w:t>
      </w:r>
      <w:r w:rsidR="008877EB" w:rsidRPr="00006A39">
        <w:rPr>
          <w:rFonts w:eastAsia="Calibri"/>
          <w:szCs w:val="28"/>
        </w:rPr>
        <w:t xml:space="preserve">готовності лікарів загальної практики-сімейних лікарів </w:t>
      </w:r>
      <w:r w:rsidR="008877EB" w:rsidRPr="00006A39">
        <w:rPr>
          <w:szCs w:val="28"/>
        </w:rPr>
        <w:t xml:space="preserve">та обізнаність </w:t>
      </w:r>
      <w:r w:rsidR="008877EB" w:rsidRPr="00006A39">
        <w:rPr>
          <w:rFonts w:eastAsia="Calibri"/>
          <w:szCs w:val="28"/>
        </w:rPr>
        <w:t>батьків</w:t>
      </w:r>
      <w:r w:rsidR="008877EB" w:rsidRPr="00006A39">
        <w:rPr>
          <w:szCs w:val="28"/>
        </w:rPr>
        <w:t xml:space="preserve"> в питаннях </w:t>
      </w:r>
      <w:r w:rsidR="008877EB" w:rsidRPr="00006A39">
        <w:rPr>
          <w:rFonts w:eastAsia="Calibri"/>
          <w:szCs w:val="28"/>
        </w:rPr>
        <w:t xml:space="preserve">збереження здоров’я та </w:t>
      </w:r>
      <w:r w:rsidR="008877EB" w:rsidRPr="00006A39">
        <w:rPr>
          <w:szCs w:val="28"/>
        </w:rPr>
        <w:t>запобігання</w:t>
      </w:r>
      <w:r w:rsidR="008877EB" w:rsidRPr="00006A39">
        <w:rPr>
          <w:rFonts w:eastAsia="Calibri"/>
          <w:szCs w:val="28"/>
        </w:rPr>
        <w:t xml:space="preserve"> </w:t>
      </w:r>
      <w:r w:rsidR="008877EB" w:rsidRPr="00006A39">
        <w:rPr>
          <w:szCs w:val="28"/>
        </w:rPr>
        <w:t>відворотних випадків смерті</w:t>
      </w:r>
      <w:r w:rsidR="008877EB" w:rsidRPr="00006A39">
        <w:rPr>
          <w:rFonts w:eastAsia="Calibri"/>
          <w:szCs w:val="28"/>
        </w:rPr>
        <w:t xml:space="preserve"> </w:t>
      </w:r>
      <w:r w:rsidR="008877EB" w:rsidRPr="00006A39">
        <w:rPr>
          <w:szCs w:val="28"/>
        </w:rPr>
        <w:t xml:space="preserve">дітей </w:t>
      </w:r>
      <w:r w:rsidR="008877EB" w:rsidRPr="00006A39">
        <w:rPr>
          <w:rFonts w:eastAsia="Calibri"/>
          <w:szCs w:val="28"/>
        </w:rPr>
        <w:t>до п’яти років.</w:t>
      </w:r>
      <w:r w:rsidRPr="00006A39">
        <w:t xml:space="preserve"> </w:t>
      </w:r>
    </w:p>
    <w:p w:rsidR="008877EB" w:rsidRDefault="008877EB" w:rsidP="00721203">
      <w:pPr>
        <w:widowControl w:val="0"/>
        <w:tabs>
          <w:tab w:val="left" w:pos="2940"/>
        </w:tabs>
        <w:ind w:firstLine="708"/>
        <w:rPr>
          <w:rFonts w:eastAsia="Times New Roman"/>
          <w:szCs w:val="28"/>
        </w:rPr>
      </w:pPr>
      <w:r w:rsidRPr="00006A39">
        <w:rPr>
          <w:szCs w:val="28"/>
        </w:rPr>
        <w:t>Для цього</w:t>
      </w:r>
      <w:r w:rsidRPr="00852C8D">
        <w:rPr>
          <w:rFonts w:eastAsia="Times New Roman"/>
          <w:szCs w:val="28"/>
        </w:rPr>
        <w:t xml:space="preserve"> були розроблені спеціальні інструменти для збору інформації, </w:t>
      </w:r>
      <w:r w:rsidR="00721203">
        <w:rPr>
          <w:szCs w:val="28"/>
        </w:rPr>
        <w:t>зокрема,</w:t>
      </w:r>
      <w:r w:rsidR="00721203" w:rsidRPr="00006A39">
        <w:rPr>
          <w:szCs w:val="28"/>
        </w:rPr>
        <w:t xml:space="preserve"> напівзакриті анкети, процес заповнення анкет та їх опрацювання забезпечувало збереження конфіденційнос</w:t>
      </w:r>
      <w:r w:rsidR="00721203">
        <w:rPr>
          <w:szCs w:val="28"/>
        </w:rPr>
        <w:t>ті інформації про респондентів</w:t>
      </w:r>
      <w:r>
        <w:rPr>
          <w:rFonts w:eastAsia="Times New Roman"/>
          <w:szCs w:val="28"/>
        </w:rPr>
        <w:t>:</w:t>
      </w:r>
    </w:p>
    <w:p w:rsidR="008877EB" w:rsidRPr="00721203" w:rsidRDefault="008877EB" w:rsidP="0074719A">
      <w:pPr>
        <w:pStyle w:val="a5"/>
        <w:widowControl w:val="0"/>
        <w:numPr>
          <w:ilvl w:val="0"/>
          <w:numId w:val="29"/>
        </w:numPr>
        <w:ind w:left="0" w:firstLine="709"/>
        <w:rPr>
          <w:szCs w:val="28"/>
        </w:rPr>
      </w:pPr>
      <w:r w:rsidRPr="00721203">
        <w:rPr>
          <w:rFonts w:eastAsia="Times New Roman"/>
          <w:szCs w:val="28"/>
          <w:lang w:eastAsia="uk-UA"/>
        </w:rPr>
        <w:lastRenderedPageBreak/>
        <w:t xml:space="preserve">анкету соціологічного опитування для вивчення </w:t>
      </w:r>
      <w:r w:rsidR="00323DA9" w:rsidRPr="00721203">
        <w:rPr>
          <w:szCs w:val="28"/>
        </w:rPr>
        <w:t>рівня інформованості батьків щодо здоров’яформуючих технологій на рівні сім’ї та загрозливих для життя дітей станів і тактиці дій при них, джерел та бажання отримання батьками інформації щодо збереження здоров’я дітей, попередження їх передчасної смерті  та тактики дій при</w:t>
      </w:r>
      <w:r w:rsidR="0043748E">
        <w:rPr>
          <w:szCs w:val="28"/>
        </w:rPr>
        <w:t xml:space="preserve"> станах, які загрожують  життю (</w:t>
      </w:r>
      <w:r w:rsidR="0043748E" w:rsidRPr="00FD769A">
        <w:rPr>
          <w:szCs w:val="28"/>
        </w:rPr>
        <w:t xml:space="preserve">Додаток </w:t>
      </w:r>
      <w:r w:rsidR="00FD769A" w:rsidRPr="00FD769A">
        <w:rPr>
          <w:szCs w:val="28"/>
          <w:lang w:val="ru-RU"/>
        </w:rPr>
        <w:t>Д</w:t>
      </w:r>
      <w:r w:rsidR="004F088E" w:rsidRPr="00FD769A">
        <w:rPr>
          <w:szCs w:val="28"/>
        </w:rPr>
        <w:t>-1);</w:t>
      </w:r>
    </w:p>
    <w:p w:rsidR="00721203" w:rsidRPr="00721203" w:rsidRDefault="008877EB" w:rsidP="0074719A">
      <w:pPr>
        <w:pStyle w:val="a5"/>
        <w:widowControl w:val="0"/>
        <w:numPr>
          <w:ilvl w:val="0"/>
          <w:numId w:val="29"/>
        </w:numPr>
        <w:ind w:left="0" w:firstLine="709"/>
        <w:rPr>
          <w:rFonts w:eastAsia="Times New Roman"/>
          <w:szCs w:val="28"/>
          <w:lang w:eastAsia="uk-UA"/>
        </w:rPr>
      </w:pPr>
      <w:r w:rsidRPr="00721203">
        <w:rPr>
          <w:rFonts w:eastAsia="Times New Roman"/>
          <w:szCs w:val="28"/>
          <w:lang w:eastAsia="uk-UA"/>
        </w:rPr>
        <w:t xml:space="preserve">анкету соціологічного опитування для вивчення </w:t>
      </w:r>
      <w:r w:rsidR="00323DA9" w:rsidRPr="00721203">
        <w:rPr>
          <w:rFonts w:eastAsia="Times New Roman"/>
          <w:szCs w:val="28"/>
          <w:lang w:eastAsia="uk-UA"/>
        </w:rPr>
        <w:t>рівня самооцінки ЛЗП-СЛ особистих теоретичних знань та практичних навичок з попередження передчасної смерті дітей, рівня самооцінки лікарями загальної практики-сімейними лікарями власних теоретичних знань та практичних навичок з тактики дій при окремих станах, які загрожують життю дітей, джерел та бажання отримання лікарями загальної практ</w:t>
      </w:r>
      <w:r w:rsidR="00406F27">
        <w:rPr>
          <w:rFonts w:eastAsia="Times New Roman"/>
          <w:szCs w:val="28"/>
          <w:lang w:eastAsia="uk-UA"/>
        </w:rPr>
        <w:t xml:space="preserve">ики-сімейними лікарями знань з </w:t>
      </w:r>
      <w:r w:rsidR="00323DA9" w:rsidRPr="00721203">
        <w:rPr>
          <w:rFonts w:eastAsia="Times New Roman"/>
          <w:szCs w:val="28"/>
          <w:lang w:eastAsia="uk-UA"/>
        </w:rPr>
        <w:t xml:space="preserve">попередження </w:t>
      </w:r>
      <w:r w:rsidR="00323DA9" w:rsidRPr="004F088E">
        <w:rPr>
          <w:rFonts w:eastAsia="Times New Roman"/>
          <w:szCs w:val="28"/>
          <w:lang w:eastAsia="uk-UA"/>
        </w:rPr>
        <w:t xml:space="preserve">передчасної смерті дітей та тактики дій при станах, які загрожують їх життю </w:t>
      </w:r>
      <w:r w:rsidR="004F088E" w:rsidRPr="004F088E">
        <w:rPr>
          <w:rFonts w:eastAsia="Times New Roman"/>
          <w:szCs w:val="28"/>
          <w:lang w:eastAsia="uk-UA"/>
        </w:rPr>
        <w:t>(</w:t>
      </w:r>
      <w:r w:rsidR="00FD769A" w:rsidRPr="00FD769A">
        <w:rPr>
          <w:rFonts w:eastAsia="Times New Roman"/>
          <w:szCs w:val="28"/>
          <w:lang w:eastAsia="uk-UA"/>
        </w:rPr>
        <w:t xml:space="preserve">Додаток </w:t>
      </w:r>
      <w:r w:rsidR="00FD769A" w:rsidRPr="00FD769A">
        <w:rPr>
          <w:rFonts w:eastAsia="Times New Roman"/>
          <w:szCs w:val="28"/>
          <w:lang w:val="ru-RU" w:eastAsia="uk-UA"/>
        </w:rPr>
        <w:t>Д</w:t>
      </w:r>
      <w:r w:rsidR="004F088E" w:rsidRPr="00FD769A">
        <w:rPr>
          <w:rFonts w:eastAsia="Times New Roman"/>
          <w:szCs w:val="28"/>
          <w:lang w:eastAsia="uk-UA"/>
        </w:rPr>
        <w:t>-2</w:t>
      </w:r>
      <w:r w:rsidR="00323DA9" w:rsidRPr="00FD769A">
        <w:rPr>
          <w:rFonts w:eastAsia="Times New Roman"/>
          <w:szCs w:val="28"/>
          <w:lang w:eastAsia="uk-UA"/>
        </w:rPr>
        <w:t xml:space="preserve">). </w:t>
      </w:r>
    </w:p>
    <w:p w:rsidR="00323DA9" w:rsidRPr="00006A39" w:rsidRDefault="00323DA9" w:rsidP="00721203">
      <w:pPr>
        <w:widowControl w:val="0"/>
        <w:tabs>
          <w:tab w:val="left" w:pos="2940"/>
        </w:tabs>
        <w:ind w:firstLine="708"/>
      </w:pPr>
      <w:r w:rsidRPr="00006A39">
        <w:rPr>
          <w:szCs w:val="28"/>
        </w:rPr>
        <w:t xml:space="preserve">Обсяг вибірки склав 400 батьків та 400 ЛЗП/СЛ, які проживають в м. Києві, Київській та Закарпатській областях, що є репрезентативним. Проведенню соціологічного дослідження передувала його апробація методом пілотного опитування. </w:t>
      </w:r>
    </w:p>
    <w:p w:rsidR="00721203" w:rsidRPr="001C1342" w:rsidRDefault="00323DA9" w:rsidP="009D7F98">
      <w:pPr>
        <w:widowControl w:val="0"/>
        <w:tabs>
          <w:tab w:val="left" w:pos="970"/>
        </w:tabs>
        <w:rPr>
          <w:szCs w:val="28"/>
        </w:rPr>
      </w:pPr>
      <w:r w:rsidRPr="00006A39">
        <w:rPr>
          <w:szCs w:val="28"/>
        </w:rPr>
        <w:tab/>
      </w:r>
      <w:r w:rsidR="006D45FD" w:rsidRPr="007273C2">
        <w:rPr>
          <w:i/>
          <w:szCs w:val="28"/>
        </w:rPr>
        <w:t>На</w:t>
      </w:r>
      <w:r w:rsidR="006D45FD" w:rsidRPr="00396107">
        <w:rPr>
          <w:szCs w:val="28"/>
        </w:rPr>
        <w:t xml:space="preserve"> </w:t>
      </w:r>
      <w:r w:rsidR="006D45FD" w:rsidRPr="007273C2">
        <w:rPr>
          <w:i/>
          <w:szCs w:val="28"/>
        </w:rPr>
        <w:t>сьомому</w:t>
      </w:r>
      <w:r w:rsidR="006D45FD" w:rsidRPr="00882737">
        <w:rPr>
          <w:szCs w:val="28"/>
        </w:rPr>
        <w:t xml:space="preserve"> </w:t>
      </w:r>
      <w:r w:rsidR="006D45FD" w:rsidRPr="007273C2">
        <w:rPr>
          <w:i/>
          <w:szCs w:val="28"/>
        </w:rPr>
        <w:t>етапі</w:t>
      </w:r>
      <w:r w:rsidR="006D45FD" w:rsidRPr="00396107">
        <w:rPr>
          <w:szCs w:val="28"/>
        </w:rPr>
        <w:t xml:space="preserve"> </w:t>
      </w:r>
      <w:r w:rsidR="006D45FD" w:rsidRPr="002C16C2">
        <w:rPr>
          <w:szCs w:val="28"/>
        </w:rPr>
        <w:t xml:space="preserve">обґрунтовано </w:t>
      </w:r>
      <w:r w:rsidR="00765DD9">
        <w:rPr>
          <w:szCs w:val="28"/>
        </w:rPr>
        <w:t xml:space="preserve">та розроблено </w:t>
      </w:r>
      <w:r w:rsidR="006D45FD" w:rsidRPr="002C16C2">
        <w:rPr>
          <w:szCs w:val="28"/>
        </w:rPr>
        <w:t>методологію комплексної оцінки стану перинатальної допомоги в Україні</w:t>
      </w:r>
      <w:r w:rsidR="00A4502A">
        <w:rPr>
          <w:szCs w:val="28"/>
        </w:rPr>
        <w:t>,</w:t>
      </w:r>
      <w:r w:rsidR="006A36D6" w:rsidRPr="006A36D6">
        <w:rPr>
          <w:color w:val="FF0000"/>
          <w:szCs w:val="28"/>
        </w:rPr>
        <w:t xml:space="preserve"> </w:t>
      </w:r>
      <w:r w:rsidR="003A07A8" w:rsidRPr="00B87DC4">
        <w:rPr>
          <w:szCs w:val="28"/>
        </w:rPr>
        <w:t>визначено найбільш значущі</w:t>
      </w:r>
      <w:r w:rsidR="00A4502A" w:rsidRPr="00B87DC4">
        <w:rPr>
          <w:szCs w:val="28"/>
        </w:rPr>
        <w:t xml:space="preserve"> індикатори</w:t>
      </w:r>
      <w:r w:rsidR="006D45FD" w:rsidRPr="00B87DC4">
        <w:rPr>
          <w:szCs w:val="28"/>
        </w:rPr>
        <w:t xml:space="preserve"> </w:t>
      </w:r>
      <w:r w:rsidR="003A07A8" w:rsidRPr="00B87DC4">
        <w:rPr>
          <w:szCs w:val="28"/>
        </w:rPr>
        <w:t>в оцінці</w:t>
      </w:r>
      <w:r w:rsidR="00B87DC4" w:rsidRPr="00B87DC4">
        <w:rPr>
          <w:szCs w:val="28"/>
        </w:rPr>
        <w:t xml:space="preserve"> діяльності закладів </w:t>
      </w:r>
      <w:r w:rsidR="006D45FD" w:rsidRPr="00B87DC4">
        <w:rPr>
          <w:szCs w:val="28"/>
        </w:rPr>
        <w:t>перинаталь</w:t>
      </w:r>
      <w:r w:rsidR="003A07A8" w:rsidRPr="00B87DC4">
        <w:rPr>
          <w:szCs w:val="28"/>
        </w:rPr>
        <w:t>ної допомоги</w:t>
      </w:r>
      <w:r w:rsidR="006D45FD" w:rsidRPr="00B87DC4">
        <w:rPr>
          <w:szCs w:val="28"/>
        </w:rPr>
        <w:t>,</w:t>
      </w:r>
      <w:r w:rsidR="006A36D6" w:rsidRPr="00B87DC4">
        <w:rPr>
          <w:szCs w:val="28"/>
        </w:rPr>
        <w:t xml:space="preserve"> </w:t>
      </w:r>
      <w:r w:rsidR="006A36D6" w:rsidRPr="006A36D6">
        <w:rPr>
          <w:szCs w:val="28"/>
        </w:rPr>
        <w:t>за даними фокус-інтерв’ювання 29 експертів</w:t>
      </w:r>
      <w:r w:rsidR="006A36D6">
        <w:rPr>
          <w:szCs w:val="28"/>
        </w:rPr>
        <w:t>,</w:t>
      </w:r>
      <w:r w:rsidR="006A36D6" w:rsidRPr="006A36D6">
        <w:rPr>
          <w:szCs w:val="28"/>
        </w:rPr>
        <w:t xml:space="preserve"> що включено і використано при розр</w:t>
      </w:r>
      <w:r w:rsidR="005339B9">
        <w:rPr>
          <w:szCs w:val="28"/>
        </w:rPr>
        <w:t>обці МКО</w:t>
      </w:r>
      <w:r w:rsidR="006A36D6" w:rsidRPr="006A36D6">
        <w:rPr>
          <w:szCs w:val="28"/>
        </w:rPr>
        <w:t xml:space="preserve"> діяльності закладів і установ перинатальної допомоги на державному і регіональному рівнях</w:t>
      </w:r>
      <w:r w:rsidR="00765DD9">
        <w:rPr>
          <w:szCs w:val="28"/>
        </w:rPr>
        <w:t xml:space="preserve"> та її </w:t>
      </w:r>
      <w:r w:rsidR="00765DD9" w:rsidRPr="00765DD9">
        <w:rPr>
          <w:szCs w:val="28"/>
        </w:rPr>
        <w:t>нормативних (контрольних) показників</w:t>
      </w:r>
      <w:r w:rsidR="00765DD9">
        <w:rPr>
          <w:szCs w:val="28"/>
        </w:rPr>
        <w:t xml:space="preserve">, </w:t>
      </w:r>
      <w:r w:rsidR="006D45FD" w:rsidRPr="002C16C2">
        <w:rPr>
          <w:szCs w:val="28"/>
        </w:rPr>
        <w:t xml:space="preserve">також проведено апробацію </w:t>
      </w:r>
      <w:r w:rsidR="00B36B23">
        <w:rPr>
          <w:szCs w:val="28"/>
        </w:rPr>
        <w:t>МКО</w:t>
      </w:r>
      <w:r w:rsidR="00B36B23" w:rsidRPr="00B36B23">
        <w:rPr>
          <w:szCs w:val="28"/>
        </w:rPr>
        <w:t xml:space="preserve"> діяльності закладів перинатальної допомоги, на підставі методології </w:t>
      </w:r>
      <w:r w:rsidR="00B36B23">
        <w:rPr>
          <w:szCs w:val="28"/>
        </w:rPr>
        <w:t>і розроблених моделей</w:t>
      </w:r>
      <w:r w:rsidR="00B36B23" w:rsidRPr="00B36B23">
        <w:rPr>
          <w:szCs w:val="28"/>
        </w:rPr>
        <w:t xml:space="preserve"> к</w:t>
      </w:r>
      <w:r w:rsidR="00913D30">
        <w:rPr>
          <w:szCs w:val="28"/>
        </w:rPr>
        <w:t>омплексної оцінки діяльності закладів перинатальної допомоги (ЗПД)</w:t>
      </w:r>
      <w:r w:rsidR="00B36B23" w:rsidRPr="00B36B23">
        <w:rPr>
          <w:szCs w:val="28"/>
        </w:rPr>
        <w:t xml:space="preserve"> І, ІІ і ІІІ рівнів перинатальної допомоги</w:t>
      </w:r>
      <w:r w:rsidR="006D45FD" w:rsidRPr="002C16C2">
        <w:rPr>
          <w:szCs w:val="28"/>
        </w:rPr>
        <w:t>.</w:t>
      </w:r>
    </w:p>
    <w:p w:rsidR="00822DFD" w:rsidRDefault="00721203" w:rsidP="00721203">
      <w:pPr>
        <w:widowControl w:val="0"/>
        <w:tabs>
          <w:tab w:val="left" w:pos="970"/>
        </w:tabs>
        <w:rPr>
          <w:szCs w:val="28"/>
        </w:rPr>
      </w:pPr>
      <w:r>
        <w:rPr>
          <w:b/>
          <w:i/>
          <w:szCs w:val="28"/>
        </w:rPr>
        <w:tab/>
      </w:r>
      <w:r w:rsidRPr="007273C2">
        <w:rPr>
          <w:i/>
          <w:szCs w:val="28"/>
        </w:rPr>
        <w:t>На восьмому етапі</w:t>
      </w:r>
      <w:r>
        <w:rPr>
          <w:b/>
          <w:i/>
          <w:szCs w:val="28"/>
        </w:rPr>
        <w:t xml:space="preserve"> </w:t>
      </w:r>
      <w:r>
        <w:rPr>
          <w:szCs w:val="28"/>
        </w:rPr>
        <w:t>о</w:t>
      </w:r>
      <w:r w:rsidRPr="00006A39">
        <w:rPr>
          <w:szCs w:val="28"/>
        </w:rPr>
        <w:t>бґрунтува</w:t>
      </w:r>
      <w:r>
        <w:rPr>
          <w:szCs w:val="28"/>
        </w:rPr>
        <w:t>но</w:t>
      </w:r>
      <w:r w:rsidRPr="00006A39">
        <w:rPr>
          <w:szCs w:val="28"/>
        </w:rPr>
        <w:t xml:space="preserve"> та розроб</w:t>
      </w:r>
      <w:r>
        <w:rPr>
          <w:szCs w:val="28"/>
        </w:rPr>
        <w:t>лено</w:t>
      </w:r>
      <w:r w:rsidRPr="00006A39">
        <w:rPr>
          <w:szCs w:val="28"/>
        </w:rPr>
        <w:t xml:space="preserve"> </w:t>
      </w:r>
      <w:r w:rsidR="00E62CD9">
        <w:rPr>
          <w:szCs w:val="28"/>
        </w:rPr>
        <w:t xml:space="preserve">інноваційну систему медико-соціальної допомоги дітям </w:t>
      </w:r>
      <w:r w:rsidRPr="00006A39">
        <w:rPr>
          <w:szCs w:val="28"/>
        </w:rPr>
        <w:t xml:space="preserve">до 5 років </w:t>
      </w:r>
      <w:r w:rsidR="00C77F28">
        <w:rPr>
          <w:szCs w:val="28"/>
        </w:rPr>
        <w:t xml:space="preserve">життя </w:t>
      </w:r>
      <w:r w:rsidRPr="00006A39">
        <w:rPr>
          <w:szCs w:val="28"/>
        </w:rPr>
        <w:t>в Україні з визначенням її основних пріоритетів, структурних елементів та інтеграційно-логіс</w:t>
      </w:r>
      <w:r w:rsidR="00E62CD9">
        <w:rPr>
          <w:szCs w:val="28"/>
        </w:rPr>
        <w:t>тичних зв’язків, а також доведено</w:t>
      </w:r>
      <w:r w:rsidRPr="00006A39">
        <w:rPr>
          <w:szCs w:val="28"/>
        </w:rPr>
        <w:t xml:space="preserve"> ефективність запровадження окремих її інноваційних елементів</w:t>
      </w:r>
      <w:r w:rsidR="00822DFD">
        <w:rPr>
          <w:szCs w:val="28"/>
        </w:rPr>
        <w:t>.</w:t>
      </w:r>
    </w:p>
    <w:p w:rsidR="009D7F98" w:rsidRPr="006D2576" w:rsidRDefault="00822DFD" w:rsidP="00721203">
      <w:pPr>
        <w:widowControl w:val="0"/>
        <w:tabs>
          <w:tab w:val="left" w:pos="970"/>
        </w:tabs>
        <w:rPr>
          <w:szCs w:val="28"/>
          <w:lang w:val="ru-RU"/>
        </w:rPr>
      </w:pPr>
      <w:r>
        <w:rPr>
          <w:szCs w:val="28"/>
        </w:rPr>
        <w:tab/>
        <w:t xml:space="preserve">На даному етапі досліджено </w:t>
      </w:r>
      <w:r w:rsidR="002A015C">
        <w:rPr>
          <w:szCs w:val="28"/>
        </w:rPr>
        <w:t xml:space="preserve">і </w:t>
      </w:r>
      <w:r>
        <w:rPr>
          <w:szCs w:val="28"/>
        </w:rPr>
        <w:t xml:space="preserve">здійснено апробацію окремих елементів </w:t>
      </w:r>
      <w:r>
        <w:rPr>
          <w:szCs w:val="28"/>
        </w:rPr>
        <w:lastRenderedPageBreak/>
        <w:t>системи, зокрема ефективність ЕСОЗ в оцінюванні структури та причин смертності в режимі реального часу. Аналіз проводився шляхом вивчення медичних епізодів</w:t>
      </w:r>
      <w:r w:rsidR="002A015C">
        <w:rPr>
          <w:szCs w:val="28"/>
        </w:rPr>
        <w:t xml:space="preserve"> (МЕ)</w:t>
      </w:r>
      <w:r>
        <w:rPr>
          <w:szCs w:val="28"/>
        </w:rPr>
        <w:t xml:space="preserve"> в рамках пакету «Медична допомога при</w:t>
      </w:r>
      <w:r w:rsidR="002D737A">
        <w:rPr>
          <w:szCs w:val="28"/>
        </w:rPr>
        <w:t xml:space="preserve"> пологах» та «Медична допомога у</w:t>
      </w:r>
      <w:r>
        <w:rPr>
          <w:szCs w:val="28"/>
        </w:rPr>
        <w:t xml:space="preserve"> складних неонатальних випадках» за квітень-жовтень 2020 р. Проаналізовано </w:t>
      </w:r>
      <w:r w:rsidR="003A2725">
        <w:rPr>
          <w:szCs w:val="28"/>
        </w:rPr>
        <w:t xml:space="preserve">відповідно 150001 МЕ та </w:t>
      </w:r>
      <w:r w:rsidR="003A2725" w:rsidRPr="003A2725">
        <w:rPr>
          <w:szCs w:val="28"/>
        </w:rPr>
        <w:t>2193</w:t>
      </w:r>
      <w:r w:rsidR="003A2725" w:rsidRPr="003A2725">
        <w:rPr>
          <w:szCs w:val="28"/>
          <w:lang w:val="ru-RU"/>
        </w:rPr>
        <w:t>1</w:t>
      </w:r>
      <w:r>
        <w:rPr>
          <w:szCs w:val="28"/>
        </w:rPr>
        <w:t xml:space="preserve"> МЕ. </w:t>
      </w:r>
      <w:r w:rsidR="002A4A54">
        <w:rPr>
          <w:szCs w:val="28"/>
        </w:rPr>
        <w:t>Досліджено акушерські та неонатальні індикатори якості.</w:t>
      </w:r>
    </w:p>
    <w:p w:rsidR="00822DFD" w:rsidRPr="00852C8D" w:rsidRDefault="00822DFD" w:rsidP="006D2576">
      <w:pPr>
        <w:pStyle w:val="aff8"/>
        <w:numPr>
          <w:ilvl w:val="1"/>
          <w:numId w:val="42"/>
        </w:numPr>
        <w:shd w:val="clear" w:color="auto" w:fill="auto"/>
        <w:tabs>
          <w:tab w:val="clear" w:pos="6120"/>
        </w:tabs>
        <w:spacing w:before="240" w:after="240"/>
        <w:rPr>
          <w:b/>
          <w:color w:val="auto"/>
          <w:szCs w:val="28"/>
        </w:rPr>
      </w:pPr>
      <w:r w:rsidRPr="00852C8D">
        <w:rPr>
          <w:b/>
          <w:color w:val="auto"/>
          <w:szCs w:val="28"/>
        </w:rPr>
        <w:t>Методи та обсяги дослідження</w:t>
      </w:r>
    </w:p>
    <w:p w:rsidR="00822DFD" w:rsidRPr="00852C8D" w:rsidRDefault="00822DFD" w:rsidP="00822DFD">
      <w:pPr>
        <w:pStyle w:val="aff8"/>
        <w:shd w:val="clear" w:color="auto" w:fill="auto"/>
        <w:rPr>
          <w:color w:val="auto"/>
          <w:szCs w:val="28"/>
        </w:rPr>
      </w:pPr>
      <w:r w:rsidRPr="00852C8D">
        <w:rPr>
          <w:color w:val="auto"/>
          <w:szCs w:val="28"/>
        </w:rPr>
        <w:t>Для досягнення мети використано комплекс взаємопов’язаних загальнонаукових і спеціальних методів дослідження – системного</w:t>
      </w:r>
      <w:r w:rsidR="00877E74">
        <w:rPr>
          <w:color w:val="auto"/>
          <w:szCs w:val="28"/>
        </w:rPr>
        <w:t xml:space="preserve"> підходу й аналізу, </w:t>
      </w:r>
      <w:r w:rsidRPr="00852C8D">
        <w:rPr>
          <w:color w:val="auto"/>
          <w:szCs w:val="28"/>
        </w:rPr>
        <w:t xml:space="preserve">бібліосемантичний, </w:t>
      </w:r>
      <w:r w:rsidR="002A4A54" w:rsidRPr="00006A39">
        <w:rPr>
          <w:rFonts w:eastAsia="Calibri"/>
          <w:szCs w:val="28"/>
        </w:rPr>
        <w:t>епідеміологічний</w:t>
      </w:r>
      <w:r w:rsidR="002A4A54">
        <w:rPr>
          <w:rFonts w:eastAsia="Calibri"/>
          <w:szCs w:val="28"/>
        </w:rPr>
        <w:t>,</w:t>
      </w:r>
      <w:r w:rsidR="00877E74">
        <w:rPr>
          <w:rFonts w:eastAsia="Calibri"/>
          <w:szCs w:val="28"/>
        </w:rPr>
        <w:t xml:space="preserve"> біостатистичний,</w:t>
      </w:r>
      <w:r w:rsidR="00877E74">
        <w:rPr>
          <w:color w:val="auto"/>
          <w:szCs w:val="28"/>
        </w:rPr>
        <w:t xml:space="preserve"> </w:t>
      </w:r>
      <w:r w:rsidR="002A4A54" w:rsidRPr="00006A39">
        <w:rPr>
          <w:rFonts w:eastAsia="Calibri"/>
          <w:szCs w:val="28"/>
        </w:rPr>
        <w:t>фокус-інтерв’ювання</w:t>
      </w:r>
      <w:r w:rsidR="002A4A54">
        <w:rPr>
          <w:color w:val="auto"/>
          <w:szCs w:val="28"/>
        </w:rPr>
        <w:t xml:space="preserve">, </w:t>
      </w:r>
      <w:r w:rsidR="002A4A54" w:rsidRPr="00006A39">
        <w:rPr>
          <w:rFonts w:eastAsia="Calibri"/>
          <w:szCs w:val="28"/>
        </w:rPr>
        <w:t>концепту</w:t>
      </w:r>
      <w:r w:rsidR="002A4A54">
        <w:rPr>
          <w:rFonts w:eastAsia="Calibri"/>
          <w:szCs w:val="28"/>
        </w:rPr>
        <w:t xml:space="preserve">ального і описового моделювання, </w:t>
      </w:r>
      <w:r w:rsidRPr="00852C8D">
        <w:rPr>
          <w:color w:val="auto"/>
          <w:szCs w:val="28"/>
        </w:rPr>
        <w:t xml:space="preserve">організаційного проектування, медико-статистичний, соціологічний, експертних оцінок. </w:t>
      </w:r>
    </w:p>
    <w:p w:rsidR="00822DFD" w:rsidRPr="00852C8D" w:rsidRDefault="00822DFD" w:rsidP="00822DFD">
      <w:pPr>
        <w:pStyle w:val="aff8"/>
        <w:shd w:val="clear" w:color="auto" w:fill="auto"/>
        <w:rPr>
          <w:color w:val="auto"/>
          <w:szCs w:val="28"/>
        </w:rPr>
      </w:pPr>
      <w:r w:rsidRPr="00852C8D">
        <w:rPr>
          <w:i/>
          <w:color w:val="auto"/>
          <w:szCs w:val="28"/>
        </w:rPr>
        <w:t>Методологія системного підходу й аналізу</w:t>
      </w:r>
      <w:r w:rsidRPr="00852C8D">
        <w:rPr>
          <w:color w:val="auto"/>
          <w:szCs w:val="28"/>
        </w:rPr>
        <w:t xml:space="preserve"> застосовувалась на всіх етапах роботи для розробки програми, вибору і застосування комплексу адекватних методів дослідження, планування наукової роботи із забезпеченням етапності і послідовності її виконання, аналізу результатів. </w:t>
      </w:r>
    </w:p>
    <w:p w:rsidR="00822DFD" w:rsidRDefault="00AD305F" w:rsidP="00822DFD">
      <w:pPr>
        <w:pStyle w:val="aff8"/>
        <w:shd w:val="clear" w:color="auto" w:fill="auto"/>
        <w:rPr>
          <w:color w:val="auto"/>
          <w:szCs w:val="28"/>
        </w:rPr>
      </w:pPr>
      <w:r>
        <w:rPr>
          <w:i/>
          <w:color w:val="auto"/>
          <w:szCs w:val="28"/>
        </w:rPr>
        <w:t>Бібліосемантичний метод</w:t>
      </w:r>
      <w:r w:rsidR="00822DFD" w:rsidRPr="00852C8D">
        <w:rPr>
          <w:i/>
          <w:color w:val="auto"/>
          <w:szCs w:val="28"/>
        </w:rPr>
        <w:t xml:space="preserve"> </w:t>
      </w:r>
      <w:r>
        <w:rPr>
          <w:color w:val="auto"/>
          <w:szCs w:val="28"/>
        </w:rPr>
        <w:t>застосовувався</w:t>
      </w:r>
      <w:r w:rsidR="002A4A54" w:rsidRPr="002A4A54">
        <w:rPr>
          <w:color w:val="auto"/>
          <w:szCs w:val="28"/>
        </w:rPr>
        <w:t xml:space="preserve"> </w:t>
      </w:r>
      <w:r w:rsidR="002A4A54" w:rsidRPr="00006A39">
        <w:rPr>
          <w:rFonts w:eastAsia="Calibri"/>
          <w:szCs w:val="28"/>
        </w:rPr>
        <w:t>для вивчення та проведення аналізу даних наукової літератури щодо стану та тенденцій дитячої смертності у світі та в Україні, її детермінант, сучасних підходів до її профілактики</w:t>
      </w:r>
      <w:r w:rsidR="00EA047F">
        <w:rPr>
          <w:rFonts w:eastAsia="Calibri"/>
          <w:szCs w:val="28"/>
        </w:rPr>
        <w:t>,</w:t>
      </w:r>
      <w:r w:rsidR="002A4A54" w:rsidRPr="00006A39">
        <w:rPr>
          <w:rFonts w:eastAsia="Calibri"/>
          <w:szCs w:val="28"/>
        </w:rPr>
        <w:t xml:space="preserve"> </w:t>
      </w:r>
      <w:r w:rsidR="00EA047F">
        <w:rPr>
          <w:rFonts w:eastAsia="Calibri"/>
          <w:szCs w:val="28"/>
        </w:rPr>
        <w:t>сучасних підходів до організації</w:t>
      </w:r>
      <w:r w:rsidR="002A4A54" w:rsidRPr="00006A39">
        <w:rPr>
          <w:rFonts w:eastAsia="Calibri"/>
          <w:szCs w:val="28"/>
        </w:rPr>
        <w:t xml:space="preserve"> медичної допомоги в напрямі </w:t>
      </w:r>
      <w:r w:rsidR="002A4A54">
        <w:rPr>
          <w:rFonts w:eastAsia="Calibri"/>
          <w:szCs w:val="28"/>
        </w:rPr>
        <w:t>зниження</w:t>
      </w:r>
      <w:r w:rsidR="002A4A54" w:rsidRPr="00006A39">
        <w:rPr>
          <w:rFonts w:eastAsia="Calibri"/>
          <w:szCs w:val="28"/>
        </w:rPr>
        <w:t xml:space="preserve"> дитячої смертності</w:t>
      </w:r>
      <w:r w:rsidR="00822DFD" w:rsidRPr="00852C8D">
        <w:rPr>
          <w:color w:val="auto"/>
          <w:szCs w:val="28"/>
        </w:rPr>
        <w:t>.</w:t>
      </w:r>
    </w:p>
    <w:p w:rsidR="002A4A54" w:rsidRPr="00852C8D" w:rsidRDefault="002A4A54" w:rsidP="00822DFD">
      <w:pPr>
        <w:pStyle w:val="aff8"/>
        <w:shd w:val="clear" w:color="auto" w:fill="auto"/>
        <w:rPr>
          <w:color w:val="auto"/>
          <w:szCs w:val="28"/>
        </w:rPr>
      </w:pPr>
      <w:r w:rsidRPr="00821067">
        <w:rPr>
          <w:rFonts w:eastAsia="Calibri"/>
          <w:i/>
          <w:szCs w:val="28"/>
        </w:rPr>
        <w:t>Епідеміологічн</w:t>
      </w:r>
      <w:r w:rsidR="00821067">
        <w:rPr>
          <w:rFonts w:eastAsia="Calibri"/>
          <w:i/>
          <w:szCs w:val="28"/>
        </w:rPr>
        <w:t>і методи</w:t>
      </w:r>
      <w:r w:rsidRPr="00821067">
        <w:rPr>
          <w:rFonts w:eastAsia="Calibri"/>
          <w:i/>
          <w:szCs w:val="28"/>
        </w:rPr>
        <w:t xml:space="preserve"> </w:t>
      </w:r>
      <w:r w:rsidRPr="00006A39">
        <w:rPr>
          <w:rFonts w:eastAsia="Calibri"/>
          <w:szCs w:val="28"/>
        </w:rPr>
        <w:t xml:space="preserve">– для вивчення рівнів, динаміки та структури дитячої смертності, </w:t>
      </w:r>
      <w:r w:rsidR="00E05930" w:rsidRPr="00E05930">
        <w:rPr>
          <w:rFonts w:eastAsia="Calibri"/>
          <w:szCs w:val="28"/>
        </w:rPr>
        <w:t xml:space="preserve">її зв'язків </w:t>
      </w:r>
      <w:r w:rsidR="00A65EBD">
        <w:rPr>
          <w:rFonts w:eastAsia="Calibri"/>
          <w:szCs w:val="28"/>
        </w:rPr>
        <w:t>і</w:t>
      </w:r>
      <w:r w:rsidR="00E05930" w:rsidRPr="00E05930">
        <w:rPr>
          <w:rFonts w:eastAsia="Calibri"/>
          <w:szCs w:val="28"/>
        </w:rPr>
        <w:t>з</w:t>
      </w:r>
      <w:r w:rsidRPr="00006A39">
        <w:rPr>
          <w:rFonts w:eastAsia="Calibri"/>
          <w:szCs w:val="28"/>
        </w:rPr>
        <w:t xml:space="preserve"> </w:t>
      </w:r>
      <w:r w:rsidR="00E05930">
        <w:rPr>
          <w:rFonts w:eastAsia="Calibri"/>
          <w:szCs w:val="28"/>
        </w:rPr>
        <w:t xml:space="preserve">захворюваністю та показниками, що комплексно характеризують інфраструктурне і ресурсне забезпечення служби </w:t>
      </w:r>
      <w:r w:rsidRPr="00006A39">
        <w:rPr>
          <w:rFonts w:eastAsia="Calibri"/>
          <w:szCs w:val="28"/>
        </w:rPr>
        <w:t>медичної допомоги дитячому населенню України</w:t>
      </w:r>
      <w:r w:rsidR="00E05930">
        <w:rPr>
          <w:rFonts w:eastAsia="Calibri"/>
          <w:szCs w:val="28"/>
        </w:rPr>
        <w:t>.</w:t>
      </w:r>
    </w:p>
    <w:p w:rsidR="00756350" w:rsidRPr="00756350" w:rsidRDefault="00822DFD" w:rsidP="00756350">
      <w:pPr>
        <w:ind w:firstLine="708"/>
        <w:rPr>
          <w:szCs w:val="28"/>
        </w:rPr>
      </w:pPr>
      <w:r w:rsidRPr="00852C8D">
        <w:rPr>
          <w:rStyle w:val="aff7"/>
          <w:rFonts w:eastAsia="Calibri"/>
          <w:i/>
          <w:szCs w:val="28"/>
        </w:rPr>
        <w:t>Соціологічні методи дослідження</w:t>
      </w:r>
      <w:r w:rsidRPr="00852C8D">
        <w:rPr>
          <w:rStyle w:val="aff7"/>
          <w:rFonts w:eastAsia="Calibri"/>
          <w:szCs w:val="28"/>
        </w:rPr>
        <w:t xml:space="preserve"> використовувались при </w:t>
      </w:r>
      <w:r w:rsidRPr="00852C8D">
        <w:rPr>
          <w:szCs w:val="28"/>
        </w:rPr>
        <w:t xml:space="preserve">анонімному анкетуванні </w:t>
      </w:r>
      <w:r w:rsidR="00E05930" w:rsidRPr="00006A39">
        <w:rPr>
          <w:rFonts w:eastAsia="Calibri"/>
          <w:szCs w:val="28"/>
        </w:rPr>
        <w:t xml:space="preserve">ЛЗП-СЛ </w:t>
      </w:r>
      <w:r w:rsidRPr="00852C8D">
        <w:rPr>
          <w:szCs w:val="28"/>
        </w:rPr>
        <w:t xml:space="preserve">з питань </w:t>
      </w:r>
      <w:r w:rsidR="00E05930" w:rsidRPr="00006A39">
        <w:rPr>
          <w:rFonts w:eastAsia="Calibri"/>
          <w:szCs w:val="28"/>
        </w:rPr>
        <w:t>щодо збереження здоров’я дітей і попередження дитячої смертності</w:t>
      </w:r>
      <w:r w:rsidR="00A65EBD" w:rsidRPr="00A65EBD">
        <w:t xml:space="preserve"> </w:t>
      </w:r>
      <w:r w:rsidR="00A65EBD" w:rsidRPr="00A65EBD">
        <w:rPr>
          <w:rFonts w:eastAsia="Calibri"/>
          <w:szCs w:val="28"/>
        </w:rPr>
        <w:t>та обізнаності батьків із питань тактики дій при переважній більшості загрозливих для життя дітей станів</w:t>
      </w:r>
      <w:r w:rsidR="00982171">
        <w:rPr>
          <w:szCs w:val="28"/>
        </w:rPr>
        <w:t>. При розробці анкет</w:t>
      </w:r>
      <w:r w:rsidRPr="00852C8D">
        <w:rPr>
          <w:szCs w:val="28"/>
        </w:rPr>
        <w:t xml:space="preserve"> враховувались вимоги, що висуваються до проведення соціологічних досліджень, зокрема, щодо </w:t>
      </w:r>
      <w:r w:rsidRPr="00852C8D">
        <w:rPr>
          <w:szCs w:val="28"/>
        </w:rPr>
        <w:lastRenderedPageBreak/>
        <w:t xml:space="preserve">забезпечення конфіденційності інформації про респондентів та можливості отримання максимального об’єму інформації при мінімальній </w:t>
      </w:r>
      <w:r w:rsidR="00982171">
        <w:rPr>
          <w:szCs w:val="28"/>
        </w:rPr>
        <w:t>кількості запитань. Зміст анкет</w:t>
      </w:r>
      <w:r w:rsidRPr="00852C8D">
        <w:rPr>
          <w:szCs w:val="28"/>
        </w:rPr>
        <w:t xml:space="preserve"> та методологію опитування було обговорено на засіданні медико-етичної комісії ДУ «Український інститут стратегічних досліджень МОЗ України»</w:t>
      </w:r>
      <w:r w:rsidR="00DF349E">
        <w:rPr>
          <w:szCs w:val="28"/>
        </w:rPr>
        <w:t>.</w:t>
      </w:r>
      <w:r w:rsidRPr="00852C8D">
        <w:rPr>
          <w:szCs w:val="28"/>
        </w:rPr>
        <w:t xml:space="preserve"> </w:t>
      </w:r>
    </w:p>
    <w:p w:rsidR="00080A47" w:rsidRDefault="002B59D1" w:rsidP="00756350">
      <w:pPr>
        <w:ind w:firstLine="708"/>
        <w:rPr>
          <w:szCs w:val="28"/>
        </w:rPr>
      </w:pPr>
      <w:r w:rsidRPr="002B59D1">
        <w:rPr>
          <w:i/>
          <w:szCs w:val="28"/>
        </w:rPr>
        <w:t>Ф</w:t>
      </w:r>
      <w:r w:rsidR="00080A47" w:rsidRPr="002B59D1">
        <w:rPr>
          <w:rFonts w:eastAsia="Calibri"/>
          <w:i/>
          <w:szCs w:val="28"/>
        </w:rPr>
        <w:t>о</w:t>
      </w:r>
      <w:r w:rsidR="00080A47" w:rsidRPr="006A395E">
        <w:rPr>
          <w:rFonts w:eastAsia="Calibri"/>
          <w:i/>
          <w:szCs w:val="28"/>
        </w:rPr>
        <w:t>кус-інтерв’ювання</w:t>
      </w:r>
      <w:r w:rsidR="00080A47" w:rsidRPr="00006A39">
        <w:rPr>
          <w:rFonts w:eastAsia="Calibri"/>
          <w:szCs w:val="28"/>
        </w:rPr>
        <w:t xml:space="preserve"> – для якісного відбору та формування переліку найбільш значущих індикаторів оцінки діяльності закладів і</w:t>
      </w:r>
      <w:r w:rsidR="0094790F">
        <w:rPr>
          <w:rFonts w:eastAsia="Calibri"/>
          <w:szCs w:val="28"/>
        </w:rPr>
        <w:t xml:space="preserve"> установ перинатальної допомоги.</w:t>
      </w:r>
      <w:r w:rsidR="006D45FD" w:rsidRPr="006D45FD">
        <w:rPr>
          <w:rFonts w:eastAsia="Calibri"/>
          <w:szCs w:val="28"/>
        </w:rPr>
        <w:t xml:space="preserve"> </w:t>
      </w:r>
      <w:r w:rsidR="006D45FD" w:rsidRPr="00006A39">
        <w:rPr>
          <w:szCs w:val="28"/>
        </w:rPr>
        <w:t>Першочергово розроб</w:t>
      </w:r>
      <w:r w:rsidR="006D45FD">
        <w:rPr>
          <w:szCs w:val="28"/>
        </w:rPr>
        <w:t>лено</w:t>
      </w:r>
      <w:r w:rsidR="006D45FD" w:rsidRPr="00006A39">
        <w:rPr>
          <w:szCs w:val="28"/>
        </w:rPr>
        <w:t xml:space="preserve"> індикатори з їх нормативними значеннями в максимально сумісному з міжнародними системами індикаторів вигляді, для чого </w:t>
      </w:r>
      <w:r w:rsidR="0094790F">
        <w:rPr>
          <w:szCs w:val="28"/>
        </w:rPr>
        <w:t xml:space="preserve">з </w:t>
      </w:r>
      <w:r w:rsidR="006D45FD" w:rsidRPr="00006A39">
        <w:rPr>
          <w:szCs w:val="28"/>
        </w:rPr>
        <w:t xml:space="preserve">урахуванням корисності, наукової обґрунтованості, зрозумілості, доступності і достовірності був розроблений перелік 60-ти індикаторів для проведення комплексної оцінки діяльності закладів перинатальної допомоги </w:t>
      </w:r>
      <w:r w:rsidR="00942CE0">
        <w:rPr>
          <w:szCs w:val="28"/>
        </w:rPr>
        <w:t>(</w:t>
      </w:r>
      <w:r w:rsidR="00942CE0" w:rsidRPr="00942CE0">
        <w:rPr>
          <w:szCs w:val="28"/>
        </w:rPr>
        <w:t>Д</w:t>
      </w:r>
      <w:r w:rsidR="00942CE0">
        <w:rPr>
          <w:szCs w:val="28"/>
        </w:rPr>
        <w:t xml:space="preserve">одаток </w:t>
      </w:r>
      <w:r w:rsidR="00942CE0" w:rsidRPr="00942CE0">
        <w:rPr>
          <w:szCs w:val="28"/>
        </w:rPr>
        <w:t>Е</w:t>
      </w:r>
      <w:r w:rsidR="00BC733C" w:rsidRPr="00BC733C">
        <w:rPr>
          <w:szCs w:val="28"/>
        </w:rPr>
        <w:t>-2</w:t>
      </w:r>
      <w:r w:rsidR="006D45FD" w:rsidRPr="00BC733C">
        <w:rPr>
          <w:szCs w:val="28"/>
        </w:rPr>
        <w:t>).</w:t>
      </w:r>
      <w:r w:rsidR="006D45FD" w:rsidRPr="00BC733C">
        <w:t xml:space="preserve"> </w:t>
      </w:r>
      <w:r w:rsidR="006D45FD" w:rsidRPr="00006A39">
        <w:rPr>
          <w:szCs w:val="28"/>
        </w:rPr>
        <w:t xml:space="preserve">З метою визначення найбільш значущих індикаторів проведено сфокусовані групові інтерв’ю (фокус-групи), що є якісним методом дослідження, організованим у вигляді розмови кількох респондентів, зазвичай 6–12 осіб, на задану інтрв'юером-модератором тему, де комунікація відбувається переважно між самими респондентами. Інтерв’ю проводилося  в 3-х дистанційних фокус-групах загальною чисельністю 29 осіб на базі Київського Перинатального центру і Національної Медичної Академії післядипломної освіти ім. П.Л. Шупіка. Учасниками фокус-груп були </w:t>
      </w:r>
      <w:r w:rsidR="0094790F" w:rsidRPr="0094790F">
        <w:rPr>
          <w:szCs w:val="28"/>
        </w:rPr>
        <w:t>співробітники Київського Перинатального центру і слухачі циклів підвищення кваліфікації Національної медичної академії післядипломної освіти ім. П.Л. Шупіка</w:t>
      </w:r>
      <w:r w:rsidR="006D45FD" w:rsidRPr="00006A39">
        <w:rPr>
          <w:szCs w:val="28"/>
        </w:rPr>
        <w:t>. Проведенню сфокусованих інтерв’ю передувала презентація пропонуємих індикаторів діяльності закладів перинатальної допомоги, важливість їх, вплив на зміну їх діяльності закладів перинатальної допомоги, наявні середні показники і пропонуємі контрольні (цільові) значення.</w:t>
      </w:r>
      <w:r w:rsidR="006D45FD" w:rsidRPr="00006A39">
        <w:t xml:space="preserve"> </w:t>
      </w:r>
      <w:r w:rsidR="006D45FD" w:rsidRPr="00006A39">
        <w:rPr>
          <w:szCs w:val="28"/>
        </w:rPr>
        <w:t>Шляхом спланованої дискусії першою фокус-групою було відібрано 26 індикаторів, другою –</w:t>
      </w:r>
      <w:r w:rsidR="008129EA" w:rsidRPr="008129EA">
        <w:rPr>
          <w:szCs w:val="28"/>
        </w:rPr>
        <w:t xml:space="preserve"> </w:t>
      </w:r>
      <w:r w:rsidR="006D45FD" w:rsidRPr="00006A39">
        <w:rPr>
          <w:szCs w:val="28"/>
        </w:rPr>
        <w:t>35 і третьою – 27 найбільш значущих індикаторів. Рішення фокус-групи по відбору кожного індикатора приймалося при умові позитивного рішення не менше 2/3 складу групи.</w:t>
      </w:r>
    </w:p>
    <w:p w:rsidR="002B59D1" w:rsidRPr="00080A47" w:rsidRDefault="002B59D1" w:rsidP="00756350">
      <w:pPr>
        <w:ind w:firstLine="708"/>
        <w:rPr>
          <w:rFonts w:eastAsia="Times New Roman"/>
          <w:szCs w:val="28"/>
          <w:lang w:eastAsia="uk-UA"/>
        </w:rPr>
      </w:pPr>
      <w:r>
        <w:rPr>
          <w:i/>
          <w:szCs w:val="28"/>
        </w:rPr>
        <w:t>О</w:t>
      </w:r>
      <w:r w:rsidRPr="002B59D1">
        <w:rPr>
          <w:i/>
          <w:szCs w:val="28"/>
        </w:rPr>
        <w:t>рганізаційного проектування</w:t>
      </w:r>
      <w:r w:rsidRPr="002B59D1">
        <w:rPr>
          <w:szCs w:val="28"/>
        </w:rPr>
        <w:t xml:space="preserve"> – для розробки інноваційної системи медико-соціальної допомоги дітям</w:t>
      </w:r>
      <w:r>
        <w:rPr>
          <w:szCs w:val="28"/>
        </w:rPr>
        <w:t xml:space="preserve"> до 5 років життя в Україні.</w:t>
      </w:r>
    </w:p>
    <w:p w:rsidR="00756350" w:rsidRPr="00867C2B" w:rsidRDefault="002B59D1" w:rsidP="00756350">
      <w:pPr>
        <w:widowControl w:val="0"/>
        <w:tabs>
          <w:tab w:val="left" w:pos="970"/>
        </w:tabs>
        <w:rPr>
          <w:color w:val="000000" w:themeColor="text1"/>
          <w:szCs w:val="28"/>
        </w:rPr>
      </w:pPr>
      <w:r>
        <w:rPr>
          <w:rFonts w:eastAsia="Calibri"/>
          <w:szCs w:val="28"/>
        </w:rPr>
        <w:t xml:space="preserve">         </w:t>
      </w:r>
      <w:r w:rsidR="006A395E" w:rsidRPr="006A395E">
        <w:rPr>
          <w:rFonts w:eastAsia="Calibri"/>
          <w:i/>
          <w:szCs w:val="28"/>
        </w:rPr>
        <w:t>К</w:t>
      </w:r>
      <w:r w:rsidR="00080A47" w:rsidRPr="006A395E">
        <w:rPr>
          <w:rFonts w:eastAsia="Calibri"/>
          <w:i/>
          <w:szCs w:val="28"/>
        </w:rPr>
        <w:t>онцептуального і описового моделювання</w:t>
      </w:r>
      <w:r w:rsidR="00DF4179">
        <w:rPr>
          <w:rFonts w:eastAsia="Calibri"/>
          <w:szCs w:val="28"/>
        </w:rPr>
        <w:t xml:space="preserve"> – з метою </w:t>
      </w:r>
      <w:r w:rsidRPr="002B59D1">
        <w:rPr>
          <w:rFonts w:eastAsia="Calibri"/>
          <w:szCs w:val="28"/>
        </w:rPr>
        <w:t xml:space="preserve">розробки інноваційної </w:t>
      </w:r>
      <w:r w:rsidRPr="002B59D1">
        <w:rPr>
          <w:rFonts w:eastAsia="Calibri"/>
          <w:szCs w:val="28"/>
        </w:rPr>
        <w:lastRenderedPageBreak/>
        <w:t>системи медико-соціальної допомоги дітям до 5 років життя в Україні</w:t>
      </w:r>
      <w:r>
        <w:rPr>
          <w:rFonts w:eastAsia="Calibri"/>
          <w:szCs w:val="28"/>
        </w:rPr>
        <w:t xml:space="preserve">, а також розробки </w:t>
      </w:r>
      <w:r w:rsidR="00080A47" w:rsidRPr="00006A39">
        <w:rPr>
          <w:rFonts w:eastAsia="Calibri"/>
          <w:szCs w:val="28"/>
        </w:rPr>
        <w:t>та представл</w:t>
      </w:r>
      <w:r w:rsidR="005339B9">
        <w:rPr>
          <w:rFonts w:eastAsia="Calibri"/>
          <w:szCs w:val="28"/>
        </w:rPr>
        <w:t>ення МКО</w:t>
      </w:r>
      <w:r w:rsidR="00080A47" w:rsidRPr="00006A39">
        <w:rPr>
          <w:rFonts w:eastAsia="Calibri"/>
          <w:szCs w:val="28"/>
        </w:rPr>
        <w:t xml:space="preserve"> діяльності служби перинатальної допомоги та системи </w:t>
      </w:r>
      <w:r w:rsidR="00080A47">
        <w:rPr>
          <w:rFonts w:eastAsia="Calibri"/>
          <w:szCs w:val="28"/>
        </w:rPr>
        <w:t>зниження</w:t>
      </w:r>
      <w:r w:rsidR="00080A47" w:rsidRPr="00006A39">
        <w:rPr>
          <w:rFonts w:eastAsia="Calibri"/>
          <w:szCs w:val="28"/>
        </w:rPr>
        <w:t xml:space="preserve"> смертності </w:t>
      </w:r>
      <w:r w:rsidR="00080A47">
        <w:rPr>
          <w:rFonts w:eastAsia="Calibri"/>
          <w:szCs w:val="28"/>
        </w:rPr>
        <w:t>дітей віком до 5 років</w:t>
      </w:r>
      <w:r w:rsidR="00080A47" w:rsidRPr="00006A39">
        <w:rPr>
          <w:rFonts w:eastAsia="Calibri"/>
          <w:szCs w:val="28"/>
        </w:rPr>
        <w:t xml:space="preserve"> </w:t>
      </w:r>
      <w:r w:rsidR="006D5CC7" w:rsidRPr="006D5CC7">
        <w:rPr>
          <w:rFonts w:eastAsia="Calibri"/>
          <w:szCs w:val="28"/>
        </w:rPr>
        <w:t xml:space="preserve">життя </w:t>
      </w:r>
      <w:r w:rsidR="00080A47" w:rsidRPr="00006A39">
        <w:rPr>
          <w:rFonts w:eastAsia="Calibri"/>
          <w:szCs w:val="28"/>
        </w:rPr>
        <w:t xml:space="preserve">та </w:t>
      </w:r>
      <w:r w:rsidR="006D45FD">
        <w:rPr>
          <w:rFonts w:eastAsia="Calibri"/>
          <w:szCs w:val="28"/>
        </w:rPr>
        <w:t xml:space="preserve">її складових. </w:t>
      </w:r>
      <w:r w:rsidR="006D45FD" w:rsidRPr="00006A39">
        <w:rPr>
          <w:szCs w:val="28"/>
        </w:rPr>
        <w:t>З метою визначення найбільш значущих показників було відібрано і структуровано за рівнями перинатальної допомоги 26 показників (індикаторів діяльності)</w:t>
      </w:r>
      <w:r w:rsidR="006D45FD" w:rsidRPr="006D45FD">
        <w:rPr>
          <w:szCs w:val="28"/>
        </w:rPr>
        <w:t>,</w:t>
      </w:r>
      <w:r w:rsidR="006D45FD" w:rsidRPr="00006A39">
        <w:rPr>
          <w:szCs w:val="28"/>
        </w:rPr>
        <w:t xml:space="preserve"> які є складовими основних компонентів діяльності </w:t>
      </w:r>
      <w:r w:rsidR="00DC1A7E">
        <w:rPr>
          <w:szCs w:val="28"/>
        </w:rPr>
        <w:t>закладів перинатальної допомоги</w:t>
      </w:r>
      <w:r w:rsidR="00DC1A7E" w:rsidRPr="00DC1A7E">
        <w:rPr>
          <w:szCs w:val="28"/>
        </w:rPr>
        <w:t>,</w:t>
      </w:r>
      <w:r w:rsidR="00DC1A7E" w:rsidRPr="00DC1A7E">
        <w:rPr>
          <w:rFonts w:eastAsia="Times New Roman"/>
          <w:szCs w:val="28"/>
          <w:lang w:eastAsia="ru-RU"/>
        </w:rPr>
        <w:t xml:space="preserve"> </w:t>
      </w:r>
      <w:r w:rsidR="00DC1A7E" w:rsidRPr="00DC1A7E">
        <w:rPr>
          <w:szCs w:val="28"/>
        </w:rPr>
        <w:t xml:space="preserve">із яких відібрано 19 (індикаторів діяльності), які є складовими основних компонентів діяльності закладів перинатальної допомоги, в зв’язку з чим вони </w:t>
      </w:r>
      <w:r w:rsidR="006D45FD" w:rsidRPr="00006A39">
        <w:rPr>
          <w:szCs w:val="28"/>
        </w:rPr>
        <w:t>в різних варіаціях можуть використовуватися при розробці МКО перинатальної служби України, регіонів, а також МКО окремих закладів різних рівнів перинатальної допомоги, їх структурних підрозділів</w:t>
      </w:r>
      <w:r w:rsidR="006D45FD" w:rsidRPr="00681793">
        <w:rPr>
          <w:szCs w:val="28"/>
        </w:rPr>
        <w:t xml:space="preserve">. </w:t>
      </w:r>
      <w:r w:rsidR="00681793" w:rsidRPr="00681793">
        <w:rPr>
          <w:szCs w:val="28"/>
        </w:rPr>
        <w:t>(</w:t>
      </w:r>
      <w:r w:rsidR="00681793" w:rsidRPr="008C72B9">
        <w:rPr>
          <w:szCs w:val="28"/>
        </w:rPr>
        <w:t xml:space="preserve">додаток </w:t>
      </w:r>
      <w:r w:rsidR="008C72B9" w:rsidRPr="002B33EA">
        <w:rPr>
          <w:szCs w:val="28"/>
        </w:rPr>
        <w:t>Е</w:t>
      </w:r>
      <w:r w:rsidR="00681793" w:rsidRPr="008C72B9">
        <w:rPr>
          <w:szCs w:val="28"/>
        </w:rPr>
        <w:t>-3</w:t>
      </w:r>
      <w:r w:rsidR="006D45FD" w:rsidRPr="00681793">
        <w:rPr>
          <w:szCs w:val="28"/>
        </w:rPr>
        <w:t xml:space="preserve">). </w:t>
      </w:r>
    </w:p>
    <w:p w:rsidR="006D45FD" w:rsidRPr="00006A39" w:rsidRDefault="006D45FD" w:rsidP="006D45FD">
      <w:pPr>
        <w:widowControl w:val="0"/>
        <w:tabs>
          <w:tab w:val="left" w:pos="970"/>
        </w:tabs>
        <w:ind w:firstLine="709"/>
        <w:rPr>
          <w:rFonts w:eastAsia="Times New Roman"/>
          <w:color w:val="000000" w:themeColor="text1"/>
          <w:szCs w:val="28"/>
          <w:lang w:eastAsia="ru-RU"/>
        </w:rPr>
      </w:pPr>
      <w:r w:rsidRPr="00006A39">
        <w:rPr>
          <w:szCs w:val="28"/>
        </w:rPr>
        <w:t xml:space="preserve">Наступним завданням даного етапу </w:t>
      </w:r>
      <w:r>
        <w:rPr>
          <w:szCs w:val="28"/>
        </w:rPr>
        <w:t>стало</w:t>
      </w:r>
      <w:r w:rsidRPr="00006A39">
        <w:rPr>
          <w:szCs w:val="28"/>
        </w:rPr>
        <w:t xml:space="preserve"> розроб</w:t>
      </w:r>
      <w:r>
        <w:rPr>
          <w:szCs w:val="28"/>
        </w:rPr>
        <w:t>лення</w:t>
      </w:r>
      <w:r w:rsidRPr="00006A39">
        <w:rPr>
          <w:szCs w:val="28"/>
        </w:rPr>
        <w:t xml:space="preserve"> методології комплексної оцінки стану перинатальної допомоги та</w:t>
      </w:r>
      <w:r w:rsidR="001A1D12">
        <w:rPr>
          <w:szCs w:val="28"/>
        </w:rPr>
        <w:t xml:space="preserve"> МКО</w:t>
      </w:r>
      <w:r w:rsidRPr="00006A39">
        <w:rPr>
          <w:szCs w:val="28"/>
        </w:rPr>
        <w:t xml:space="preserve"> із використанням адаптованого методу кінцевих результатів діяльності закладів і установ медичної допомоги, якою передбачено оцінку коефіцієнтів досягнення нормативних значень кожного показника, окремих компонентів комплексної оцінки та інтегральну оцінку діяльності служби перинатальної допомоги. </w:t>
      </w:r>
      <w:r w:rsidRPr="00006A39">
        <w:rPr>
          <w:rFonts w:eastAsia="Times New Roman"/>
          <w:color w:val="000000" w:themeColor="text1"/>
          <w:szCs w:val="28"/>
          <w:shd w:val="clear" w:color="auto" w:fill="FFFFFF"/>
          <w:lang w:eastAsia="ru-RU"/>
        </w:rPr>
        <w:t xml:space="preserve">Для кожного показника ступінь досягнення поставлених перед ним цілей (норматив – контрольний показник) визначався шляхом зіставлення реальних показників результативності роботи і нормативних (контрольних) показників у відповідності до існуючих стандартів, </w:t>
      </w:r>
      <w:r w:rsidRPr="00006A39">
        <w:rPr>
          <w:rFonts w:eastAsia="Times New Roman"/>
          <w:color w:val="000000" w:themeColor="text1"/>
          <w:szCs w:val="28"/>
          <w:lang w:eastAsia="ru-RU"/>
        </w:rPr>
        <w:t xml:space="preserve">даних досягнення завдань Глобальних стратегій, державних програм, надійних досліджень. </w:t>
      </w:r>
      <w:r w:rsidRPr="00006A39">
        <w:rPr>
          <w:rFonts w:eastAsia="Times New Roman"/>
          <w:color w:val="000000" w:themeColor="text1"/>
          <w:szCs w:val="28"/>
          <w:shd w:val="clear" w:color="auto" w:fill="FFFFFF"/>
          <w:lang w:eastAsia="ru-RU"/>
        </w:rPr>
        <w:t xml:space="preserve">Нормативи встановлювалися з урахуванням 3-5-річної динаміки відповідного показника на державному рівні, у </w:t>
      </w:r>
      <w:r w:rsidR="002C5DDA">
        <w:rPr>
          <w:rFonts w:eastAsia="Times New Roman"/>
          <w:color w:val="000000" w:themeColor="text1"/>
          <w:szCs w:val="28"/>
          <w:shd w:val="clear" w:color="auto" w:fill="FFFFFF"/>
          <w:lang w:eastAsia="ru-RU"/>
        </w:rPr>
        <w:t>ЗПД</w:t>
      </w:r>
      <w:r w:rsidRPr="00006A39">
        <w:rPr>
          <w:rFonts w:eastAsia="Times New Roman"/>
          <w:color w:val="000000" w:themeColor="text1"/>
          <w:szCs w:val="28"/>
          <w:shd w:val="clear" w:color="auto" w:fill="FFFFFF"/>
          <w:lang w:eastAsia="ru-RU"/>
        </w:rPr>
        <w:t xml:space="preserve"> І, ІІ, ІІІ рівнів, а також передбачуваних темпів зміни даного показника в залежності від впровадження стандартів перинатальної допомоги.</w:t>
      </w:r>
      <w:r w:rsidRPr="00006A39">
        <w:rPr>
          <w:rFonts w:eastAsia="Times New Roman"/>
          <w:color w:val="000000" w:themeColor="text1"/>
          <w:szCs w:val="28"/>
          <w:lang w:eastAsia="ru-RU"/>
        </w:rPr>
        <w:t xml:space="preserve"> Нормативні значення показника визначалися такими, щоб для їх досягнення була потрібна певна робота по мобілізації ресурсів, вдосконаленню і поліпшенню діяльності закладів перинатальної допомоги. </w:t>
      </w:r>
      <w:r w:rsidRPr="00006A39">
        <w:rPr>
          <w:rFonts w:eastAsia="Times New Roman"/>
          <w:color w:val="000000" w:themeColor="text1"/>
          <w:szCs w:val="28"/>
          <w:shd w:val="clear" w:color="auto" w:fill="FFFFFF"/>
          <w:lang w:eastAsia="ru-RU"/>
        </w:rPr>
        <w:t>Зазвичай нормативні показники перевищують фактичні на 5% і більше.</w:t>
      </w:r>
      <w:r w:rsidRPr="00006A39">
        <w:rPr>
          <w:rFonts w:eastAsia="Times New Roman"/>
          <w:color w:val="000000" w:themeColor="text1"/>
          <w:szCs w:val="28"/>
          <w:lang w:eastAsia="ru-RU"/>
        </w:rPr>
        <w:t xml:space="preserve"> Ці показники доцільно переглядати по мірі досягнення контрольних результатів, але не рідше ніж 1 раз на 5 років.</w:t>
      </w:r>
      <w:r w:rsidRPr="00006A39">
        <w:rPr>
          <w:szCs w:val="28"/>
        </w:rPr>
        <w:t xml:space="preserve"> </w:t>
      </w:r>
      <w:r w:rsidRPr="00006A39">
        <w:rPr>
          <w:rFonts w:eastAsia="Times New Roman"/>
          <w:color w:val="000000" w:themeColor="text1"/>
          <w:szCs w:val="28"/>
          <w:lang w:eastAsia="ru-RU"/>
        </w:rPr>
        <w:t xml:space="preserve">Оцінка кожного показника визначалася шляхом проведення </w:t>
      </w:r>
      <w:r w:rsidRPr="00006A39">
        <w:rPr>
          <w:rFonts w:eastAsia="Times New Roman"/>
          <w:color w:val="000000" w:themeColor="text1"/>
          <w:szCs w:val="28"/>
          <w:lang w:eastAsia="ru-RU"/>
        </w:rPr>
        <w:lastRenderedPageBreak/>
        <w:t>чисельної оцінки (від 1 до 10</w:t>
      </w:r>
      <w:r w:rsidRPr="00006A39">
        <w:rPr>
          <w:rFonts w:eastAsia="Times New Roman"/>
          <w:color w:val="000000" w:themeColor="text1"/>
          <w:szCs w:val="28"/>
          <w:shd w:val="clear" w:color="auto" w:fill="FFFFFF"/>
          <w:lang w:eastAsia="ru-RU"/>
        </w:rPr>
        <w:t xml:space="preserve"> балів</w:t>
      </w:r>
      <w:r w:rsidRPr="00006A39">
        <w:rPr>
          <w:rFonts w:eastAsia="Times New Roman"/>
          <w:color w:val="000000" w:themeColor="text1"/>
          <w:szCs w:val="28"/>
          <w:lang w:eastAsia="ru-RU"/>
        </w:rPr>
        <w:t xml:space="preserve">), величина якої залежала від актуальності оцінюваного показника, його значення для служби в цілому і ступеня впливу на нього діяльності ЗПД. </w:t>
      </w:r>
      <w:r w:rsidRPr="00006A39">
        <w:rPr>
          <w:rFonts w:eastAsia="Times New Roman"/>
          <w:color w:val="000000" w:themeColor="text1"/>
          <w:szCs w:val="28"/>
          <w:shd w:val="clear" w:color="auto" w:fill="FFFFFF"/>
          <w:lang w:eastAsia="ru-RU"/>
        </w:rPr>
        <w:t>Відхилення величини фактичного показника від контрольного значення може бути в бік перевищення або зменшення. Якщо за норму приймається гранично допустимий рівень показника, то менший щодо норми величини досягнутого результату – це позитивний результат, а більший – відповідно негативний. Якщо за норму приймається мінімально достатній рівень показника, то менша величина фактичного показника розцінюється як негативний результат, а більша – як позитивний. Тому для кожного показника визначався знак відхилення «+» або «–». Для тих показників, де в якості норми встановлюється гранично допустимий рівень показника, у формулі використовувався знак «+». У разі прийняття за норму мінімально достатнього рівня показника – знак «–».</w:t>
      </w:r>
      <w:r w:rsidRPr="00006A39">
        <w:rPr>
          <w:szCs w:val="28"/>
        </w:rPr>
        <w:t xml:space="preserve"> </w:t>
      </w:r>
      <w:r w:rsidRPr="00006A39">
        <w:rPr>
          <w:rFonts w:eastAsia="Times New Roman"/>
          <w:color w:val="000000" w:themeColor="text1"/>
          <w:szCs w:val="28"/>
          <w:lang w:eastAsia="ru-RU"/>
        </w:rPr>
        <w:t>При затвердженні контрольних показників затверджувалася також і оцінка відхилення (в балах) на одиницю виміру. Бальна оцінка одиниці відхилення визначалася шляхом поділу оцінки показника в балах на контрольний (стандартний) показник.</w:t>
      </w:r>
      <w:r w:rsidRPr="00006A39">
        <w:rPr>
          <w:szCs w:val="28"/>
        </w:rPr>
        <w:t xml:space="preserve"> </w:t>
      </w:r>
      <w:r w:rsidRPr="00006A39">
        <w:rPr>
          <w:rFonts w:eastAsia="Times New Roman"/>
          <w:color w:val="000000" w:themeColor="text1"/>
          <w:szCs w:val="28"/>
          <w:lang w:eastAsia="ru-RU"/>
        </w:rPr>
        <w:t>Основна мета МКО, як і методики кінцевих результатів, полягає в сумарній оцінці аналізованих показників, яка виражається коефіцієнтом комплексної оцінки (ККО) і визначає ставлення реально досягнутої суми балів до суми балів контрольних. Концептуальною схемою комплексної оцінки діяльності перинатальної служби передбачено вивчення значення кожного показника залежно від бальної оцінки його нормативного значення.</w:t>
      </w:r>
      <w:r w:rsidRPr="00006A39">
        <w:rPr>
          <w:rFonts w:eastAsia="Times New Roman"/>
          <w:color w:val="BF8F00" w:themeColor="accent4" w:themeShade="BF"/>
          <w:szCs w:val="28"/>
          <w:lang w:eastAsia="ru-RU"/>
        </w:rPr>
        <w:t xml:space="preserve"> </w:t>
      </w:r>
      <w:r w:rsidRPr="00006A39">
        <w:rPr>
          <w:rFonts w:eastAsia="Times New Roman"/>
          <w:color w:val="000000" w:themeColor="text1"/>
          <w:szCs w:val="28"/>
          <w:lang w:eastAsia="ru-RU"/>
        </w:rPr>
        <w:t>Математичний апарат для розрахунку бальної оцінки фактичного значення окремо взятого показника наступний</w:t>
      </w:r>
      <w:r w:rsidR="00C07C62">
        <w:rPr>
          <w:rFonts w:eastAsia="Times New Roman"/>
          <w:color w:val="000000" w:themeColor="text1"/>
          <w:szCs w:val="28"/>
          <w:lang w:val="ru-RU" w:eastAsia="ru-RU"/>
        </w:rPr>
        <w:t xml:space="preserve"> (2.1)</w:t>
      </w:r>
      <w:r w:rsidRPr="00006A39">
        <w:rPr>
          <w:rFonts w:eastAsia="Times New Roman"/>
          <w:color w:val="000000" w:themeColor="text1"/>
          <w:szCs w:val="28"/>
          <w:lang w:eastAsia="ru-RU"/>
        </w:rPr>
        <w:t xml:space="preserve">: </w:t>
      </w:r>
    </w:p>
    <w:p w:rsidR="006D45FD" w:rsidRPr="00C07C62" w:rsidRDefault="006D45FD" w:rsidP="00C07C62">
      <w:pPr>
        <w:widowControl w:val="0"/>
        <w:tabs>
          <w:tab w:val="left" w:pos="970"/>
          <w:tab w:val="left" w:pos="8978"/>
        </w:tabs>
        <w:rPr>
          <w:szCs w:val="28"/>
          <w:lang w:val="ru-RU"/>
        </w:rPr>
      </w:pPr>
      <w:r w:rsidRPr="00006A39">
        <w:rPr>
          <w:rFonts w:eastAsia="Times New Roman"/>
          <w:color w:val="000000" w:themeColor="text1"/>
          <w:szCs w:val="28"/>
          <w:lang w:eastAsia="ru-RU"/>
        </w:rPr>
        <w:t xml:space="preserve">             </w:t>
      </w:r>
      <w:r w:rsidR="00AD705A">
        <w:rPr>
          <w:rFonts w:eastAsia="Times New Roman"/>
          <w:color w:val="000000" w:themeColor="text1"/>
          <w:szCs w:val="28"/>
          <w:lang w:val="ru-RU" w:eastAsia="ru-RU"/>
        </w:rPr>
        <w:t xml:space="preserve">                                </w:t>
      </w:r>
      <w:r w:rsidR="003B3F62">
        <w:rPr>
          <w:rFonts w:eastAsia="Times New Roman"/>
          <w:color w:val="000000" w:themeColor="text1"/>
          <w:szCs w:val="28"/>
          <w:lang w:val="ru-RU" w:eastAsia="ru-RU"/>
        </w:rPr>
        <w:t xml:space="preserve"> </w:t>
      </w:r>
      <w:r w:rsidR="00AD705A">
        <w:rPr>
          <w:rFonts w:eastAsia="Times New Roman"/>
          <w:color w:val="000000" w:themeColor="text1"/>
          <w:szCs w:val="28"/>
          <w:lang w:val="ru-RU" w:eastAsia="ru-RU"/>
        </w:rPr>
        <w:t xml:space="preserve"> </w:t>
      </w:r>
      <w:r w:rsidRPr="00006A39">
        <w:rPr>
          <w:rFonts w:eastAsia="Times New Roman"/>
          <w:color w:val="000000" w:themeColor="text1"/>
          <w:szCs w:val="28"/>
          <w:lang w:eastAsia="ru-RU"/>
        </w:rPr>
        <w:t>Ф = Б ± (Кп - Фп) х К,</w:t>
      </w:r>
      <w:r w:rsidR="00575805">
        <w:rPr>
          <w:rFonts w:eastAsia="Times New Roman"/>
          <w:color w:val="000000" w:themeColor="text1"/>
          <w:szCs w:val="28"/>
          <w:lang w:val="ru-RU" w:eastAsia="ru-RU"/>
        </w:rPr>
        <w:t xml:space="preserve">                                     </w:t>
      </w:r>
      <w:r w:rsidR="003B3F62">
        <w:rPr>
          <w:rFonts w:eastAsia="Times New Roman"/>
          <w:color w:val="000000" w:themeColor="text1"/>
          <w:szCs w:val="28"/>
          <w:lang w:val="ru-RU" w:eastAsia="ru-RU"/>
        </w:rPr>
        <w:t xml:space="preserve">          </w:t>
      </w:r>
      <w:r w:rsidR="00575805">
        <w:rPr>
          <w:rFonts w:eastAsia="Times New Roman"/>
          <w:color w:val="000000" w:themeColor="text1"/>
          <w:szCs w:val="28"/>
          <w:lang w:val="ru-RU" w:eastAsia="ru-RU"/>
        </w:rPr>
        <w:t xml:space="preserve">   </w:t>
      </w:r>
      <w:r w:rsidR="0078673B">
        <w:rPr>
          <w:rFonts w:eastAsia="Times New Roman"/>
          <w:color w:val="000000" w:themeColor="text1"/>
          <w:szCs w:val="28"/>
          <w:lang w:val="ru-RU" w:eastAsia="ru-RU"/>
        </w:rPr>
        <w:t xml:space="preserve"> </w:t>
      </w:r>
      <w:r w:rsidR="00C07C62">
        <w:rPr>
          <w:rFonts w:eastAsia="Times New Roman"/>
          <w:color w:val="000000" w:themeColor="text1"/>
          <w:szCs w:val="28"/>
          <w:lang w:val="ru-RU" w:eastAsia="ru-RU"/>
        </w:rPr>
        <w:t>(2.1)</w:t>
      </w:r>
    </w:p>
    <w:p w:rsidR="006D45FD" w:rsidRPr="00006A39" w:rsidRDefault="006D45FD" w:rsidP="006D45FD">
      <w:pPr>
        <w:widowControl w:val="0"/>
        <w:ind w:firstLine="709"/>
        <w:rPr>
          <w:rFonts w:eastAsia="Times New Roman"/>
          <w:i/>
          <w:color w:val="000000" w:themeColor="text1"/>
          <w:szCs w:val="28"/>
          <w:lang w:eastAsia="ru-RU"/>
        </w:rPr>
      </w:pPr>
      <w:r w:rsidRPr="00006A39">
        <w:rPr>
          <w:rFonts w:eastAsia="Times New Roman"/>
          <w:i/>
          <w:color w:val="000000" w:themeColor="text1"/>
          <w:szCs w:val="28"/>
          <w:lang w:eastAsia="ru-RU"/>
        </w:rPr>
        <w:t>де: Ф – бальна оцінка фактичного значення показника (фактичний бал);</w:t>
      </w:r>
    </w:p>
    <w:p w:rsidR="006D45FD" w:rsidRPr="00006A39" w:rsidRDefault="006D45FD" w:rsidP="006D45FD">
      <w:pPr>
        <w:widowControl w:val="0"/>
        <w:ind w:firstLine="709"/>
        <w:rPr>
          <w:rFonts w:eastAsia="Times New Roman"/>
          <w:i/>
          <w:color w:val="000000" w:themeColor="text1"/>
          <w:szCs w:val="28"/>
          <w:lang w:eastAsia="ru-RU"/>
        </w:rPr>
      </w:pPr>
      <w:r w:rsidRPr="00006A39">
        <w:rPr>
          <w:rFonts w:eastAsia="Times New Roman"/>
          <w:i/>
          <w:color w:val="000000" w:themeColor="text1"/>
          <w:szCs w:val="28"/>
          <w:lang w:eastAsia="ru-RU"/>
        </w:rPr>
        <w:t>Б – бальна оцінка нормативного значення показника (оцінка в балах);</w:t>
      </w:r>
    </w:p>
    <w:p w:rsidR="006D45FD" w:rsidRPr="00006A39" w:rsidRDefault="006D45FD" w:rsidP="006D45FD">
      <w:pPr>
        <w:widowControl w:val="0"/>
        <w:ind w:firstLine="709"/>
        <w:rPr>
          <w:rFonts w:eastAsia="Times New Roman"/>
          <w:i/>
          <w:color w:val="000000" w:themeColor="text1"/>
          <w:szCs w:val="28"/>
          <w:lang w:eastAsia="ru-RU"/>
        </w:rPr>
      </w:pPr>
      <w:r w:rsidRPr="00006A39">
        <w:rPr>
          <w:rFonts w:eastAsia="Times New Roman"/>
          <w:i/>
          <w:color w:val="000000" w:themeColor="text1"/>
          <w:szCs w:val="28"/>
          <w:lang w:eastAsia="ru-RU"/>
        </w:rPr>
        <w:t>Кп – нормативне значення показника (контрольний показник);</w:t>
      </w:r>
    </w:p>
    <w:p w:rsidR="006D45FD" w:rsidRPr="00006A39" w:rsidRDefault="006D45FD" w:rsidP="006D45FD">
      <w:pPr>
        <w:widowControl w:val="0"/>
        <w:ind w:firstLine="709"/>
        <w:rPr>
          <w:rFonts w:eastAsia="Times New Roman"/>
          <w:i/>
          <w:color w:val="000000" w:themeColor="text1"/>
          <w:szCs w:val="28"/>
          <w:lang w:eastAsia="ru-RU"/>
        </w:rPr>
      </w:pPr>
      <w:r w:rsidRPr="00006A39">
        <w:rPr>
          <w:rFonts w:eastAsia="Times New Roman"/>
          <w:i/>
          <w:color w:val="000000" w:themeColor="text1"/>
          <w:szCs w:val="28"/>
          <w:lang w:eastAsia="ru-RU"/>
        </w:rPr>
        <w:t>Фп – фактичне значення показника (фактичний показник);</w:t>
      </w:r>
    </w:p>
    <w:p w:rsidR="006D45FD" w:rsidRPr="00006A39" w:rsidRDefault="006D45FD" w:rsidP="006D45FD">
      <w:pPr>
        <w:widowControl w:val="0"/>
        <w:ind w:firstLine="709"/>
        <w:rPr>
          <w:rFonts w:eastAsia="Times New Roman"/>
          <w:color w:val="000000" w:themeColor="text1"/>
          <w:szCs w:val="28"/>
          <w:lang w:eastAsia="ru-RU"/>
        </w:rPr>
      </w:pPr>
      <w:r w:rsidRPr="00006A39">
        <w:rPr>
          <w:rFonts w:eastAsia="Times New Roman"/>
          <w:i/>
          <w:color w:val="000000" w:themeColor="text1"/>
          <w:szCs w:val="28"/>
          <w:lang w:eastAsia="ru-RU"/>
        </w:rPr>
        <w:t>К – коефіцієнт значимості для оцінки ступеня відхилення фактичного значення показника від контрольного</w:t>
      </w:r>
      <w:r w:rsidRPr="00006A39">
        <w:rPr>
          <w:rFonts w:eastAsia="Times New Roman"/>
          <w:color w:val="000000" w:themeColor="text1"/>
          <w:szCs w:val="28"/>
          <w:lang w:eastAsia="ru-RU"/>
        </w:rPr>
        <w:t>.</w:t>
      </w:r>
    </w:p>
    <w:p w:rsidR="00AD705A" w:rsidRDefault="006D45FD" w:rsidP="00575805">
      <w:pPr>
        <w:widowControl w:val="0"/>
        <w:ind w:firstLine="709"/>
        <w:rPr>
          <w:rFonts w:eastAsia="Times New Roman"/>
          <w:color w:val="000000" w:themeColor="text1"/>
          <w:szCs w:val="28"/>
          <w:lang w:val="ru-RU" w:eastAsia="ru-RU"/>
        </w:rPr>
      </w:pPr>
      <w:r w:rsidRPr="00006A39">
        <w:rPr>
          <w:rFonts w:eastAsia="Times New Roman"/>
          <w:color w:val="000000" w:themeColor="text1"/>
          <w:szCs w:val="28"/>
          <w:lang w:eastAsia="ru-RU"/>
        </w:rPr>
        <w:t>З метою забезпечення наглядності ст</w:t>
      </w:r>
      <w:r w:rsidR="00575805">
        <w:rPr>
          <w:rFonts w:eastAsia="Times New Roman"/>
          <w:color w:val="000000" w:themeColor="text1"/>
          <w:szCs w:val="28"/>
          <w:lang w:eastAsia="ru-RU"/>
        </w:rPr>
        <w:t>упеню досягнення результатів за</w:t>
      </w:r>
      <w:r w:rsidR="00575805">
        <w:rPr>
          <w:rFonts w:eastAsia="Times New Roman"/>
          <w:color w:val="000000" w:themeColor="text1"/>
          <w:szCs w:val="28"/>
          <w:lang w:val="ru-RU" w:eastAsia="ru-RU"/>
        </w:rPr>
        <w:t xml:space="preserve"> </w:t>
      </w:r>
      <w:r w:rsidRPr="00006A39">
        <w:rPr>
          <w:rFonts w:eastAsia="Times New Roman"/>
          <w:color w:val="000000" w:themeColor="text1"/>
          <w:szCs w:val="28"/>
          <w:lang w:eastAsia="ru-RU"/>
        </w:rPr>
        <w:lastRenderedPageBreak/>
        <w:t>окремими показниками нами введено коефіцієнт досягнення нормативного значення (КДНЗ) окремо взятого показника, який розраховується за формулою</w:t>
      </w:r>
      <w:r w:rsidR="00AD705A">
        <w:rPr>
          <w:rFonts w:eastAsia="Times New Roman"/>
          <w:color w:val="000000" w:themeColor="text1"/>
          <w:szCs w:val="28"/>
          <w:lang w:val="ru-RU" w:eastAsia="ru-RU"/>
        </w:rPr>
        <w:t xml:space="preserve"> (2.2)</w:t>
      </w:r>
      <w:r w:rsidRPr="00006A39">
        <w:rPr>
          <w:rFonts w:eastAsia="Times New Roman"/>
          <w:color w:val="000000" w:themeColor="text1"/>
          <w:szCs w:val="28"/>
          <w:lang w:eastAsia="ru-RU"/>
        </w:rPr>
        <w:t xml:space="preserve">: </w:t>
      </w:r>
      <w:r w:rsidR="00AD705A">
        <w:rPr>
          <w:rFonts w:eastAsia="Times New Roman"/>
          <w:color w:val="000000" w:themeColor="text1"/>
          <w:szCs w:val="28"/>
          <w:lang w:val="ru-RU" w:eastAsia="ru-RU"/>
        </w:rPr>
        <w:t xml:space="preserve">                   </w:t>
      </w:r>
    </w:p>
    <w:p w:rsidR="006D45FD" w:rsidRPr="00575805" w:rsidRDefault="003B3F62" w:rsidP="003B3F62">
      <w:pPr>
        <w:widowControl w:val="0"/>
        <w:tabs>
          <w:tab w:val="left" w:pos="8758"/>
        </w:tabs>
        <w:ind w:firstLine="709"/>
        <w:jc w:val="center"/>
        <w:rPr>
          <w:rFonts w:eastAsia="Times New Roman"/>
          <w:color w:val="000000" w:themeColor="text1"/>
          <w:szCs w:val="28"/>
          <w:lang w:val="ru-RU" w:eastAsia="ru-RU"/>
        </w:rPr>
      </w:pPr>
      <w:r>
        <w:rPr>
          <w:rFonts w:eastAsia="Times New Roman"/>
          <w:color w:val="000000" w:themeColor="text1"/>
          <w:szCs w:val="28"/>
          <w:lang w:val="ru-RU" w:eastAsia="ru-RU"/>
        </w:rPr>
        <w:t xml:space="preserve">                                                   </w:t>
      </w:r>
      <w:r w:rsidR="00575805">
        <w:rPr>
          <w:rFonts w:eastAsia="Times New Roman"/>
          <w:color w:val="000000" w:themeColor="text1"/>
          <w:szCs w:val="28"/>
          <w:lang w:eastAsia="ru-RU"/>
        </w:rPr>
        <w:t>Ф/Б=КДНЗ</w:t>
      </w:r>
      <w:r w:rsidR="00575805">
        <w:rPr>
          <w:rFonts w:eastAsia="Times New Roman"/>
          <w:color w:val="000000" w:themeColor="text1"/>
          <w:szCs w:val="28"/>
          <w:lang w:val="ru-RU" w:eastAsia="ru-RU"/>
        </w:rPr>
        <w:t>,</w:t>
      </w:r>
      <w:r w:rsidR="00FC7D43">
        <w:rPr>
          <w:rFonts w:eastAsia="Times New Roman"/>
          <w:color w:val="000000" w:themeColor="text1"/>
          <w:szCs w:val="28"/>
          <w:lang w:val="ru-RU" w:eastAsia="ru-RU"/>
        </w:rPr>
        <w:t xml:space="preserve">                          </w:t>
      </w:r>
      <w:r>
        <w:rPr>
          <w:rFonts w:eastAsia="Times New Roman"/>
          <w:color w:val="000000" w:themeColor="text1"/>
          <w:szCs w:val="28"/>
          <w:lang w:val="ru-RU" w:eastAsia="ru-RU"/>
        </w:rPr>
        <w:t xml:space="preserve">       </w:t>
      </w:r>
      <w:r w:rsidR="00FC7D43">
        <w:rPr>
          <w:rFonts w:eastAsia="Times New Roman"/>
          <w:color w:val="000000" w:themeColor="text1"/>
          <w:szCs w:val="28"/>
          <w:lang w:val="ru-RU" w:eastAsia="ru-RU"/>
        </w:rPr>
        <w:t xml:space="preserve">         </w:t>
      </w:r>
      <w:r>
        <w:rPr>
          <w:rFonts w:eastAsia="Times New Roman"/>
          <w:color w:val="000000" w:themeColor="text1"/>
          <w:szCs w:val="28"/>
          <w:lang w:val="ru-RU" w:eastAsia="ru-RU"/>
        </w:rPr>
        <w:t xml:space="preserve">      </w:t>
      </w:r>
      <w:r w:rsidR="00FC7D43">
        <w:rPr>
          <w:rFonts w:eastAsia="Times New Roman"/>
          <w:color w:val="000000" w:themeColor="text1"/>
          <w:szCs w:val="28"/>
          <w:lang w:val="ru-RU" w:eastAsia="ru-RU"/>
        </w:rPr>
        <w:t xml:space="preserve">  </w:t>
      </w:r>
      <w:r>
        <w:rPr>
          <w:rFonts w:eastAsia="Times New Roman"/>
          <w:color w:val="000000" w:themeColor="text1"/>
          <w:szCs w:val="28"/>
          <w:lang w:val="ru-RU" w:eastAsia="ru-RU"/>
        </w:rPr>
        <w:t>(2.2)</w:t>
      </w:r>
      <w:r w:rsidR="00FC7D43">
        <w:rPr>
          <w:rFonts w:eastAsia="Times New Roman"/>
          <w:color w:val="000000" w:themeColor="text1"/>
          <w:szCs w:val="28"/>
          <w:lang w:val="ru-RU" w:eastAsia="ru-RU"/>
        </w:rPr>
        <w:t xml:space="preserve">             </w:t>
      </w:r>
      <w:r>
        <w:rPr>
          <w:rFonts w:eastAsia="Times New Roman"/>
          <w:color w:val="000000" w:themeColor="text1"/>
          <w:szCs w:val="28"/>
          <w:lang w:val="ru-RU" w:eastAsia="ru-RU"/>
        </w:rPr>
        <w:t xml:space="preserve">           </w:t>
      </w:r>
      <w:r w:rsidR="00FC7D43">
        <w:rPr>
          <w:rFonts w:eastAsia="Times New Roman"/>
          <w:color w:val="000000" w:themeColor="text1"/>
          <w:szCs w:val="28"/>
          <w:lang w:val="ru-RU" w:eastAsia="ru-RU"/>
        </w:rPr>
        <w:t xml:space="preserve">  </w:t>
      </w:r>
    </w:p>
    <w:p w:rsidR="00FC7D43" w:rsidRPr="00FC7D43" w:rsidRDefault="006D45FD" w:rsidP="00FC7D43">
      <w:pPr>
        <w:widowControl w:val="0"/>
        <w:ind w:firstLine="709"/>
        <w:rPr>
          <w:rFonts w:eastAsia="Calibri"/>
          <w:color w:val="000000"/>
          <w:szCs w:val="28"/>
          <w:lang w:eastAsia="ru-RU"/>
        </w:rPr>
      </w:pPr>
      <w:r w:rsidRPr="00006A39">
        <w:rPr>
          <w:rFonts w:eastAsia="Times New Roman"/>
          <w:color w:val="000000" w:themeColor="text1"/>
          <w:szCs w:val="28"/>
          <w:lang w:eastAsia="ru-RU"/>
        </w:rPr>
        <w:t>Бальна оцінка фактичного значення показника не може бути від'ємною величиною і не може перевищувати величину бальної оцінки нормативного значення показника (0 &lt; Ф &lt; Б ). У разі коли фактичний бал вище бальної оцінки нормативного показника, для розрахунку коефіцієнту досягнення результатів</w:t>
      </w:r>
      <w:r w:rsidR="0067642D">
        <w:rPr>
          <w:rFonts w:eastAsia="Times New Roman"/>
          <w:color w:val="000000" w:themeColor="text1"/>
          <w:szCs w:val="28"/>
          <w:lang w:eastAsia="ru-RU"/>
        </w:rPr>
        <w:t xml:space="preserve"> (КДР)</w:t>
      </w:r>
      <w:r w:rsidRPr="00006A39">
        <w:rPr>
          <w:rFonts w:eastAsia="Times New Roman"/>
          <w:color w:val="000000" w:themeColor="text1"/>
          <w:szCs w:val="28"/>
          <w:lang w:eastAsia="ru-RU"/>
        </w:rPr>
        <w:t xml:space="preserve"> застосовується бальна оцінка нормативного значення показника, а у разі від'ємної величини бальної оцінки нормативного значення показника застосовується нульове значення. </w:t>
      </w:r>
      <w:r w:rsidR="00FC7D43" w:rsidRPr="00FC7D43">
        <w:rPr>
          <w:rFonts w:eastAsia="Calibri"/>
          <w:color w:val="000000"/>
          <w:szCs w:val="28"/>
          <w:lang w:eastAsia="ru-RU"/>
        </w:rPr>
        <w:t>Якщо фактичний показник своєчасності постановки на облік вагітних в Україні становить 91,36%, то бальна оцінка фактичного значення цього показника (фактичний бал) складе:</w:t>
      </w:r>
    </w:p>
    <w:p w:rsidR="00FC7D43" w:rsidRPr="00FC7D43" w:rsidRDefault="00FC7D43" w:rsidP="00FC7D43">
      <w:pPr>
        <w:widowControl w:val="0"/>
        <w:ind w:firstLine="709"/>
        <w:rPr>
          <w:rFonts w:eastAsia="Calibri"/>
          <w:color w:val="000000"/>
          <w:szCs w:val="28"/>
          <w:lang w:eastAsia="ru-RU"/>
        </w:rPr>
      </w:pPr>
      <w:r w:rsidRPr="00FC7D43">
        <w:rPr>
          <w:rFonts w:eastAsia="Calibri"/>
          <w:color w:val="000000"/>
          <w:szCs w:val="28"/>
          <w:lang w:eastAsia="ru-RU"/>
        </w:rPr>
        <w:t>7 - (95 - 91,36) х 0,07 = 6,75, а коефіцієнт досягнення нормативного значення своєчасності постановки на облік вагітних – 6,75/7 = 0,96.</w:t>
      </w:r>
    </w:p>
    <w:p w:rsidR="00FC7D43" w:rsidRPr="00FC7D43" w:rsidRDefault="00FC7D43" w:rsidP="00FC7D43">
      <w:pPr>
        <w:widowControl w:val="0"/>
        <w:ind w:firstLine="709"/>
        <w:rPr>
          <w:rFonts w:eastAsia="Calibri"/>
          <w:color w:val="000000"/>
          <w:szCs w:val="28"/>
          <w:lang w:eastAsia="ru-RU"/>
        </w:rPr>
      </w:pPr>
      <w:r w:rsidRPr="00FC7D43">
        <w:rPr>
          <w:rFonts w:eastAsia="Calibri"/>
          <w:color w:val="000000"/>
          <w:szCs w:val="28"/>
          <w:lang w:eastAsia="ru-RU"/>
        </w:rPr>
        <w:t>Фактичний бал частоти анемії вагітних складе:</w:t>
      </w:r>
    </w:p>
    <w:p w:rsidR="00FC7D43" w:rsidRPr="00FC7D43" w:rsidRDefault="00FC7D43" w:rsidP="00FC7D43">
      <w:pPr>
        <w:widowControl w:val="0"/>
        <w:ind w:firstLine="709"/>
        <w:rPr>
          <w:rFonts w:eastAsia="Calibri"/>
          <w:color w:val="000000"/>
          <w:szCs w:val="28"/>
          <w:lang w:eastAsia="ru-RU"/>
        </w:rPr>
      </w:pPr>
      <w:r w:rsidRPr="00FC7D43">
        <w:rPr>
          <w:rFonts w:eastAsia="Calibri"/>
          <w:color w:val="000000"/>
          <w:szCs w:val="28"/>
          <w:lang w:eastAsia="ru-RU"/>
        </w:rPr>
        <w:t>4 + (20,0-25,55) х 0,2 = 2,89, а коефіцієнт досягнення нормативного значення частоти анемії вагітних – 2,89/4 = 0,72.</w:t>
      </w:r>
    </w:p>
    <w:p w:rsidR="006D45FD" w:rsidRPr="00006A39" w:rsidRDefault="00FC7D43" w:rsidP="00FC7D43">
      <w:pPr>
        <w:widowControl w:val="0"/>
        <w:ind w:firstLine="709"/>
        <w:rPr>
          <w:rFonts w:eastAsia="Times New Roman"/>
          <w:color w:val="000000" w:themeColor="text1"/>
          <w:szCs w:val="28"/>
          <w:lang w:eastAsia="ru-RU"/>
        </w:rPr>
      </w:pPr>
      <w:r w:rsidRPr="00006A39">
        <w:rPr>
          <w:rFonts w:eastAsia="Times New Roman"/>
          <w:color w:val="000000" w:themeColor="text1"/>
          <w:szCs w:val="28"/>
          <w:lang w:eastAsia="ru-RU"/>
        </w:rPr>
        <w:t xml:space="preserve"> </w:t>
      </w:r>
      <w:r w:rsidR="002C5DDA">
        <w:rPr>
          <w:rFonts w:eastAsia="Times New Roman"/>
          <w:color w:val="000000" w:themeColor="text1"/>
          <w:szCs w:val="28"/>
          <w:lang w:eastAsia="ru-RU"/>
        </w:rPr>
        <w:t>ККО</w:t>
      </w:r>
      <w:r w:rsidR="006D45FD" w:rsidRPr="00006A39">
        <w:rPr>
          <w:rFonts w:eastAsia="Times New Roman"/>
          <w:color w:val="000000" w:themeColor="text1"/>
          <w:szCs w:val="28"/>
          <w:lang w:eastAsia="ru-RU"/>
        </w:rPr>
        <w:t xml:space="preserve"> або інтегральна оцінка результативності визначається відношенням реально досягнутої суми балів до суми оцінок нормативних значень показників</w:t>
      </w:r>
      <w:r w:rsidR="000971A5">
        <w:rPr>
          <w:rFonts w:eastAsia="Times New Roman"/>
          <w:color w:val="000000" w:themeColor="text1"/>
          <w:szCs w:val="28"/>
          <w:lang w:val="ru-RU" w:eastAsia="ru-RU"/>
        </w:rPr>
        <w:t xml:space="preserve"> (</w:t>
      </w:r>
      <w:r w:rsidR="003C2ACF">
        <w:rPr>
          <w:rFonts w:eastAsia="Times New Roman"/>
          <w:color w:val="000000" w:themeColor="text1"/>
          <w:szCs w:val="28"/>
          <w:lang w:val="ru-RU" w:eastAsia="ru-RU"/>
        </w:rPr>
        <w:t>2.3</w:t>
      </w:r>
      <w:r w:rsidR="000971A5">
        <w:rPr>
          <w:rFonts w:eastAsia="Times New Roman"/>
          <w:color w:val="000000" w:themeColor="text1"/>
          <w:szCs w:val="28"/>
          <w:lang w:val="ru-RU" w:eastAsia="ru-RU"/>
        </w:rPr>
        <w:t>)</w:t>
      </w:r>
      <w:r w:rsidR="006D45FD" w:rsidRPr="00006A39">
        <w:rPr>
          <w:rFonts w:eastAsia="Times New Roman"/>
          <w:color w:val="000000" w:themeColor="text1"/>
          <w:szCs w:val="28"/>
          <w:lang w:eastAsia="ru-RU"/>
        </w:rPr>
        <w:t>:</w:t>
      </w:r>
    </w:p>
    <w:p w:rsidR="006D45FD" w:rsidRPr="003B3F62" w:rsidRDefault="003B3F62" w:rsidP="003B3F62">
      <w:pPr>
        <w:widowControl w:val="0"/>
        <w:tabs>
          <w:tab w:val="center" w:pos="5457"/>
          <w:tab w:val="left" w:pos="8023"/>
          <w:tab w:val="left" w:pos="8674"/>
        </w:tabs>
        <w:ind w:firstLine="709"/>
        <w:jc w:val="left"/>
        <w:rPr>
          <w:rFonts w:eastAsia="Times New Roman"/>
          <w:color w:val="000000" w:themeColor="text1"/>
          <w:szCs w:val="28"/>
          <w:lang w:val="ru-RU" w:eastAsia="ru-RU"/>
        </w:rPr>
      </w:pPr>
      <w:r>
        <w:rPr>
          <w:rFonts w:eastAsia="Times New Roman"/>
          <w:color w:val="000000" w:themeColor="text1"/>
          <w:szCs w:val="28"/>
          <w:lang w:eastAsia="ru-RU"/>
        </w:rPr>
        <w:tab/>
      </w:r>
      <w:r w:rsidR="006D45FD" w:rsidRPr="00006A39">
        <w:rPr>
          <w:rFonts w:eastAsia="Times New Roman"/>
          <w:color w:val="000000" w:themeColor="text1"/>
          <w:szCs w:val="28"/>
          <w:lang w:eastAsia="ru-RU"/>
        </w:rPr>
        <w:t>ККО</w:t>
      </w:r>
      <w:r w:rsidR="006D45FD" w:rsidRPr="00006A39">
        <w:rPr>
          <w:rFonts w:eastAsia="Times New Roman"/>
          <w:sz w:val="24"/>
          <w:szCs w:val="24"/>
          <w:lang w:eastAsia="ru-RU"/>
        </w:rPr>
        <w:t xml:space="preserve"> </w:t>
      </w:r>
      <w:r w:rsidR="006D45FD" w:rsidRPr="00006A39">
        <w:rPr>
          <w:rFonts w:eastAsia="Times New Roman"/>
          <w:color w:val="000000" w:themeColor="text1"/>
          <w:szCs w:val="28"/>
          <w:lang w:eastAsia="ru-RU"/>
        </w:rPr>
        <w:t xml:space="preserve"> = ∑ Ф/∑Б</w:t>
      </w:r>
      <w:r w:rsidR="00CD4D82">
        <w:rPr>
          <w:rFonts w:eastAsia="Times New Roman"/>
          <w:color w:val="000000" w:themeColor="text1"/>
          <w:szCs w:val="28"/>
          <w:lang w:val="ru-RU" w:eastAsia="ru-RU"/>
        </w:rPr>
        <w:t>,</w:t>
      </w:r>
      <w:r>
        <w:rPr>
          <w:rFonts w:eastAsia="Times New Roman"/>
          <w:color w:val="000000" w:themeColor="text1"/>
          <w:szCs w:val="28"/>
          <w:lang w:eastAsia="ru-RU"/>
        </w:rPr>
        <w:tab/>
      </w:r>
      <w:r>
        <w:rPr>
          <w:rFonts w:eastAsia="Times New Roman"/>
          <w:color w:val="000000" w:themeColor="text1"/>
          <w:szCs w:val="28"/>
          <w:lang w:val="ru-RU" w:eastAsia="ru-RU"/>
        </w:rPr>
        <w:t xml:space="preserve">                     (2.3)</w:t>
      </w:r>
    </w:p>
    <w:p w:rsidR="006D45FD" w:rsidRPr="00006A39" w:rsidRDefault="006D45FD" w:rsidP="006D45FD">
      <w:pPr>
        <w:widowControl w:val="0"/>
        <w:ind w:firstLine="709"/>
        <w:rPr>
          <w:rFonts w:eastAsia="Times New Roman"/>
          <w:color w:val="000000" w:themeColor="text1"/>
          <w:szCs w:val="28"/>
          <w:lang w:eastAsia="ru-RU"/>
        </w:rPr>
      </w:pPr>
      <w:r w:rsidRPr="00006A39">
        <w:rPr>
          <w:rFonts w:eastAsia="Times New Roman"/>
          <w:color w:val="000000" w:themeColor="text1"/>
          <w:szCs w:val="28"/>
          <w:lang w:eastAsia="ru-RU"/>
        </w:rPr>
        <w:t>За результатами розрахунку ККО здійснюється висновок про його відповідність градаціям. Градація коефіцієнта досягнення результату</w:t>
      </w:r>
      <w:r w:rsidR="0067642D">
        <w:rPr>
          <w:rFonts w:eastAsia="Times New Roman"/>
          <w:color w:val="000000" w:themeColor="text1"/>
          <w:szCs w:val="28"/>
          <w:lang w:eastAsia="ru-RU"/>
        </w:rPr>
        <w:t xml:space="preserve"> </w:t>
      </w:r>
      <w:r w:rsidRPr="00006A39">
        <w:rPr>
          <w:rFonts w:eastAsia="Times New Roman"/>
          <w:color w:val="000000" w:themeColor="text1"/>
          <w:szCs w:val="28"/>
          <w:lang w:eastAsia="ru-RU"/>
        </w:rPr>
        <w:t xml:space="preserve"> включає:</w:t>
      </w:r>
    </w:p>
    <w:p w:rsidR="006D45FD" w:rsidRPr="00006A39" w:rsidRDefault="006D45FD" w:rsidP="006D45FD">
      <w:pPr>
        <w:widowControl w:val="0"/>
        <w:ind w:firstLine="709"/>
        <w:rPr>
          <w:rFonts w:eastAsia="Times New Roman"/>
          <w:color w:val="000000" w:themeColor="text1"/>
          <w:szCs w:val="28"/>
          <w:lang w:eastAsia="ru-RU"/>
        </w:rPr>
      </w:pPr>
      <w:r w:rsidRPr="00006A39">
        <w:rPr>
          <w:rFonts w:eastAsia="Times New Roman"/>
          <w:color w:val="000000" w:themeColor="text1"/>
          <w:szCs w:val="28"/>
          <w:lang w:eastAsia="ru-RU"/>
        </w:rPr>
        <w:t>1. низький рівень – від 0 до 0,49 включно;</w:t>
      </w:r>
    </w:p>
    <w:p w:rsidR="006D45FD" w:rsidRPr="00006A39" w:rsidRDefault="006D45FD" w:rsidP="006D45FD">
      <w:pPr>
        <w:widowControl w:val="0"/>
        <w:ind w:firstLine="709"/>
        <w:rPr>
          <w:rFonts w:eastAsia="Times New Roman"/>
          <w:color w:val="000000" w:themeColor="text1"/>
          <w:szCs w:val="28"/>
          <w:lang w:eastAsia="ru-RU"/>
        </w:rPr>
      </w:pPr>
      <w:r w:rsidRPr="00006A39">
        <w:rPr>
          <w:rFonts w:eastAsia="Times New Roman"/>
          <w:color w:val="000000" w:themeColor="text1"/>
          <w:szCs w:val="28"/>
          <w:lang w:eastAsia="ru-RU"/>
        </w:rPr>
        <w:t>2. нижче середнього – від 0,50 до 0,59 включно;</w:t>
      </w:r>
    </w:p>
    <w:p w:rsidR="006D45FD" w:rsidRPr="00006A39" w:rsidRDefault="006D45FD" w:rsidP="006D45FD">
      <w:pPr>
        <w:widowControl w:val="0"/>
        <w:ind w:firstLine="709"/>
        <w:rPr>
          <w:rFonts w:eastAsia="Times New Roman"/>
          <w:color w:val="000000" w:themeColor="text1"/>
          <w:szCs w:val="28"/>
          <w:lang w:eastAsia="ru-RU"/>
        </w:rPr>
      </w:pPr>
      <w:r w:rsidRPr="00006A39">
        <w:rPr>
          <w:rFonts w:eastAsia="Times New Roman"/>
          <w:color w:val="000000" w:themeColor="text1"/>
          <w:szCs w:val="28"/>
          <w:lang w:eastAsia="ru-RU"/>
        </w:rPr>
        <w:t>3. середній рівень – від 0,60 до 0,69 включно;</w:t>
      </w:r>
    </w:p>
    <w:p w:rsidR="006D45FD" w:rsidRPr="00006A39" w:rsidRDefault="006D45FD" w:rsidP="006D45FD">
      <w:pPr>
        <w:widowControl w:val="0"/>
        <w:ind w:firstLine="709"/>
        <w:rPr>
          <w:rFonts w:eastAsia="Times New Roman"/>
          <w:color w:val="000000" w:themeColor="text1"/>
          <w:szCs w:val="28"/>
          <w:lang w:eastAsia="ru-RU"/>
        </w:rPr>
      </w:pPr>
      <w:r w:rsidRPr="00006A39">
        <w:rPr>
          <w:rFonts w:eastAsia="Times New Roman"/>
          <w:color w:val="000000" w:themeColor="text1"/>
          <w:szCs w:val="28"/>
          <w:lang w:eastAsia="ru-RU"/>
        </w:rPr>
        <w:t>4. вище середнього – від 0,70</w:t>
      </w:r>
      <w:r w:rsidR="00A33796">
        <w:rPr>
          <w:rFonts w:eastAsia="Times New Roman"/>
          <w:color w:val="000000" w:themeColor="text1"/>
          <w:szCs w:val="28"/>
          <w:lang w:val="ru-RU" w:eastAsia="ru-RU"/>
        </w:rPr>
        <w:t xml:space="preserve"> </w:t>
      </w:r>
      <w:r w:rsidRPr="00006A39">
        <w:rPr>
          <w:rFonts w:eastAsia="Times New Roman"/>
          <w:color w:val="000000" w:themeColor="text1"/>
          <w:szCs w:val="28"/>
          <w:lang w:eastAsia="ru-RU"/>
        </w:rPr>
        <w:t>до 0,79 включно;</w:t>
      </w:r>
    </w:p>
    <w:p w:rsidR="006D45FD" w:rsidRPr="00006A39" w:rsidRDefault="006D45FD" w:rsidP="006D45FD">
      <w:pPr>
        <w:widowControl w:val="0"/>
        <w:ind w:firstLine="709"/>
        <w:rPr>
          <w:rFonts w:eastAsia="Times New Roman"/>
          <w:color w:val="000000" w:themeColor="text1"/>
          <w:szCs w:val="28"/>
          <w:lang w:eastAsia="ru-RU"/>
        </w:rPr>
      </w:pPr>
      <w:r w:rsidRPr="00006A39">
        <w:rPr>
          <w:rFonts w:eastAsia="Times New Roman"/>
          <w:color w:val="000000" w:themeColor="text1"/>
          <w:szCs w:val="28"/>
          <w:lang w:eastAsia="ru-RU"/>
        </w:rPr>
        <w:t>5. високий рівень – від 0,80 до 0,99 включно.</w:t>
      </w:r>
    </w:p>
    <w:p w:rsidR="006D45FD" w:rsidRPr="00006A39" w:rsidRDefault="006D45FD" w:rsidP="006D45FD">
      <w:pPr>
        <w:widowControl w:val="0"/>
        <w:ind w:firstLine="709"/>
        <w:rPr>
          <w:rFonts w:eastAsia="Times New Roman"/>
          <w:color w:val="000000" w:themeColor="text1"/>
          <w:szCs w:val="28"/>
          <w:lang w:eastAsia="ru-RU"/>
        </w:rPr>
      </w:pPr>
      <w:r w:rsidRPr="00006A39">
        <w:rPr>
          <w:rFonts w:eastAsia="Times New Roman"/>
          <w:color w:val="000000" w:themeColor="text1"/>
          <w:szCs w:val="28"/>
          <w:lang w:eastAsia="ru-RU"/>
        </w:rPr>
        <w:t>Крім оцінки ККО та КДНЗ к</w:t>
      </w:r>
      <w:r w:rsidR="00206B55">
        <w:rPr>
          <w:rFonts w:eastAsia="Times New Roman"/>
          <w:color w:val="000000" w:themeColor="text1"/>
          <w:szCs w:val="28"/>
          <w:lang w:eastAsia="ru-RU"/>
        </w:rPr>
        <w:t>ожного окремого показника моделі</w:t>
      </w:r>
      <w:r w:rsidRPr="00006A39">
        <w:rPr>
          <w:rFonts w:eastAsia="Times New Roman"/>
          <w:color w:val="000000" w:themeColor="text1"/>
          <w:szCs w:val="28"/>
          <w:lang w:eastAsia="ru-RU"/>
        </w:rPr>
        <w:t xml:space="preserve"> комплексної оцінки діяльності перинатальної служби  включала оцінку окремих компонентів – </w:t>
      </w:r>
      <w:r w:rsidRPr="00006A39">
        <w:rPr>
          <w:rFonts w:eastAsia="Times New Roman"/>
          <w:color w:val="000000" w:themeColor="text1"/>
          <w:szCs w:val="28"/>
          <w:lang w:eastAsia="ru-RU"/>
        </w:rPr>
        <w:lastRenderedPageBreak/>
        <w:t>показники забезпеченості кадрами, дільності і результатів.</w:t>
      </w:r>
    </w:p>
    <w:p w:rsidR="00822DFD" w:rsidRPr="00852C8D" w:rsidRDefault="00822DFD" w:rsidP="00822DFD">
      <w:pPr>
        <w:ind w:firstLine="709"/>
        <w:rPr>
          <w:szCs w:val="28"/>
        </w:rPr>
      </w:pPr>
      <w:r w:rsidRPr="00852C8D">
        <w:rPr>
          <w:i/>
          <w:szCs w:val="28"/>
        </w:rPr>
        <w:t>Медико-статистичний (соціально-гігієнічний) метод</w:t>
      </w:r>
      <w:r w:rsidRPr="00852C8D">
        <w:rPr>
          <w:szCs w:val="28"/>
        </w:rPr>
        <w:t xml:space="preserve"> </w:t>
      </w:r>
      <w:r w:rsidR="00005124">
        <w:rPr>
          <w:szCs w:val="28"/>
        </w:rPr>
        <w:t>застосо</w:t>
      </w:r>
      <w:r w:rsidR="00005124" w:rsidRPr="00005124">
        <w:rPr>
          <w:szCs w:val="28"/>
        </w:rPr>
        <w:t>вано</w:t>
      </w:r>
      <w:r w:rsidR="00821067">
        <w:rPr>
          <w:szCs w:val="28"/>
        </w:rPr>
        <w:t xml:space="preserve"> </w:t>
      </w:r>
      <w:r w:rsidR="00821067" w:rsidRPr="00006A39">
        <w:rPr>
          <w:rFonts w:eastAsia="Calibri"/>
          <w:szCs w:val="28"/>
        </w:rPr>
        <w:t>для збору, обробки та аналізу статистичних показників дитячої смертності, стану здоров’я ди</w:t>
      </w:r>
      <w:r w:rsidR="005C4A91">
        <w:rPr>
          <w:rFonts w:eastAsia="Calibri"/>
          <w:szCs w:val="28"/>
        </w:rPr>
        <w:t>тячого населення</w:t>
      </w:r>
      <w:r w:rsidR="00821067" w:rsidRPr="00006A39">
        <w:rPr>
          <w:rFonts w:eastAsia="Calibri"/>
          <w:szCs w:val="28"/>
        </w:rPr>
        <w:t>, ресурсного забезпечення системи медичної допомоги дитячому населенню, перинатальної допомоги, визначення обсягу спостережень у соціологічних, експертних дослідженнях, а також оцінки вірогідності їх результатів</w:t>
      </w:r>
      <w:r w:rsidR="00FA680C">
        <w:rPr>
          <w:rFonts w:eastAsia="Calibri"/>
          <w:szCs w:val="28"/>
        </w:rPr>
        <w:t>.</w:t>
      </w:r>
    </w:p>
    <w:p w:rsidR="00822DFD" w:rsidRPr="002871EC" w:rsidRDefault="00822DFD" w:rsidP="00822DFD">
      <w:pPr>
        <w:pStyle w:val="aff8"/>
        <w:shd w:val="clear" w:color="auto" w:fill="auto"/>
        <w:rPr>
          <w:color w:val="auto"/>
          <w:szCs w:val="28"/>
        </w:rPr>
      </w:pPr>
      <w:r w:rsidRPr="00D145A6">
        <w:rPr>
          <w:i/>
          <w:color w:val="auto"/>
          <w:szCs w:val="28"/>
        </w:rPr>
        <w:t xml:space="preserve">Біостатистичні методи </w:t>
      </w:r>
      <w:r w:rsidRPr="00D145A6">
        <w:rPr>
          <w:color w:val="auto"/>
          <w:szCs w:val="28"/>
        </w:rPr>
        <w:t>застосовувались для обробки результатів проведених досліджень</w:t>
      </w:r>
      <w:r w:rsidRPr="00D145A6">
        <w:rPr>
          <w:i/>
          <w:color w:val="auto"/>
          <w:szCs w:val="28"/>
        </w:rPr>
        <w:t>.</w:t>
      </w:r>
      <w:r w:rsidR="005032F7">
        <w:rPr>
          <w:i/>
          <w:color w:val="auto"/>
          <w:szCs w:val="28"/>
          <w:lang w:val="ru-RU"/>
        </w:rPr>
        <w:t xml:space="preserve"> </w:t>
      </w:r>
      <w:r w:rsidRPr="00D145A6">
        <w:rPr>
          <w:color w:val="auto"/>
          <w:szCs w:val="28"/>
        </w:rPr>
        <w:t>Репрезентативність вибіркових сукупностей при проведенні соціологічних досліджень забезпечувалась як типологічними властивостями вибірок</w:t>
      </w:r>
      <w:r w:rsidR="00821067" w:rsidRPr="00D145A6">
        <w:rPr>
          <w:color w:val="auto"/>
          <w:szCs w:val="28"/>
        </w:rPr>
        <w:t>,</w:t>
      </w:r>
      <w:r w:rsidRPr="00D145A6">
        <w:rPr>
          <w:color w:val="auto"/>
          <w:szCs w:val="28"/>
        </w:rPr>
        <w:t xml:space="preserve"> так і розрахунком необхідного обсягу спостережень за допомогою опції «power and sample size» статистичної програми STATA. При потужності (power) 80%, значенні альфа 0,05, гіпотетичній пропорції (р) респондентів 0,1; альтернативній пропорції (alternative p) 0,05, що була одержана при пілотному опитуванні </w:t>
      </w:r>
      <w:r w:rsidR="00821067" w:rsidRPr="00D145A6">
        <w:rPr>
          <w:color w:val="auto"/>
          <w:szCs w:val="28"/>
        </w:rPr>
        <w:t>лікарів</w:t>
      </w:r>
      <w:r w:rsidRPr="00D145A6">
        <w:rPr>
          <w:color w:val="auto"/>
          <w:szCs w:val="28"/>
        </w:rPr>
        <w:t>, необхідна кількість респондентів повинна становити 239 ос</w:t>
      </w:r>
      <w:r w:rsidR="004F6662">
        <w:rPr>
          <w:color w:val="auto"/>
          <w:szCs w:val="28"/>
        </w:rPr>
        <w:t>іб</w:t>
      </w:r>
      <w:r w:rsidRPr="00D145A6">
        <w:rPr>
          <w:color w:val="auto"/>
          <w:szCs w:val="28"/>
        </w:rPr>
        <w:t>.</w:t>
      </w:r>
    </w:p>
    <w:p w:rsidR="00FA680C" w:rsidRPr="00852C8D" w:rsidRDefault="00FA680C" w:rsidP="00FA680C">
      <w:pPr>
        <w:ind w:firstLine="709"/>
        <w:rPr>
          <w:szCs w:val="28"/>
        </w:rPr>
      </w:pPr>
      <w:r w:rsidRPr="00852C8D">
        <w:rPr>
          <w:i/>
          <w:szCs w:val="28"/>
        </w:rPr>
        <w:t xml:space="preserve">Метод експертних оцінок </w:t>
      </w:r>
      <w:r w:rsidRPr="00852C8D">
        <w:rPr>
          <w:szCs w:val="28"/>
        </w:rPr>
        <w:t xml:space="preserve">використаний для </w:t>
      </w:r>
      <w:r w:rsidRPr="00006A39">
        <w:rPr>
          <w:rFonts w:eastAsia="Calibri"/>
          <w:szCs w:val="28"/>
        </w:rPr>
        <w:t xml:space="preserve">для отримання незалежної оцінки та визначення  прийнятності обґрунтованої та розробленої </w:t>
      </w:r>
      <w:r w:rsidR="001B78EC">
        <w:rPr>
          <w:rFonts w:eastAsia="Calibri"/>
          <w:szCs w:val="28"/>
        </w:rPr>
        <w:t>інноваційної системи медико-соціальної допомоги дітям</w:t>
      </w:r>
      <w:r>
        <w:rPr>
          <w:rFonts w:eastAsia="Calibri"/>
          <w:szCs w:val="28"/>
        </w:rPr>
        <w:t xml:space="preserve"> до 5 років</w:t>
      </w:r>
      <w:r w:rsidR="001B78EC">
        <w:rPr>
          <w:rFonts w:eastAsia="Calibri"/>
          <w:szCs w:val="28"/>
        </w:rPr>
        <w:t xml:space="preserve"> життя в Україні</w:t>
      </w:r>
      <w:r w:rsidRPr="00006A39">
        <w:rPr>
          <w:rFonts w:eastAsia="Calibri"/>
          <w:szCs w:val="28"/>
        </w:rPr>
        <w:t xml:space="preserve"> та її складових</w:t>
      </w:r>
      <w:r>
        <w:rPr>
          <w:rFonts w:eastAsia="Calibri"/>
          <w:szCs w:val="28"/>
        </w:rPr>
        <w:t>.</w:t>
      </w:r>
      <w:r w:rsidRPr="00821067">
        <w:rPr>
          <w:color w:val="FF0000"/>
          <w:szCs w:val="28"/>
        </w:rPr>
        <w:t xml:space="preserve"> </w:t>
      </w:r>
      <w:r w:rsidRPr="00545B5D">
        <w:rPr>
          <w:color w:val="000000" w:themeColor="text1"/>
          <w:szCs w:val="28"/>
        </w:rPr>
        <w:t>Сама експертиза здійснювалась у три ета</w:t>
      </w:r>
      <w:r w:rsidRPr="00852C8D">
        <w:rPr>
          <w:szCs w:val="28"/>
        </w:rPr>
        <w:t xml:space="preserve">пи. На першому етапі кожен </w:t>
      </w:r>
      <w:r w:rsidR="002C5DDA">
        <w:rPr>
          <w:szCs w:val="28"/>
        </w:rPr>
        <w:t>і</w:t>
      </w:r>
      <w:r w:rsidRPr="00852C8D">
        <w:rPr>
          <w:szCs w:val="28"/>
        </w:rPr>
        <w:t xml:space="preserve">з </w:t>
      </w:r>
      <w:r>
        <w:rPr>
          <w:szCs w:val="28"/>
        </w:rPr>
        <w:t>50</w:t>
      </w:r>
      <w:r w:rsidRPr="00852C8D">
        <w:rPr>
          <w:szCs w:val="28"/>
        </w:rPr>
        <w:t xml:space="preserve"> експертів </w:t>
      </w:r>
      <w:r w:rsidR="001B78EC">
        <w:rPr>
          <w:szCs w:val="28"/>
        </w:rPr>
        <w:t>(</w:t>
      </w:r>
      <w:r w:rsidR="001B78EC" w:rsidRPr="001B78EC">
        <w:rPr>
          <w:szCs w:val="28"/>
        </w:rPr>
        <w:t>організатори охорони здоров’я (11</w:t>
      </w:r>
      <w:r w:rsidR="00B544DB">
        <w:rPr>
          <w:szCs w:val="28"/>
        </w:rPr>
        <w:t xml:space="preserve"> осіб</w:t>
      </w:r>
      <w:r w:rsidR="001B78EC" w:rsidRPr="001B78EC">
        <w:rPr>
          <w:szCs w:val="28"/>
        </w:rPr>
        <w:t>), науковці (10</w:t>
      </w:r>
      <w:r w:rsidR="00B544DB">
        <w:rPr>
          <w:szCs w:val="28"/>
        </w:rPr>
        <w:t xml:space="preserve"> осіб</w:t>
      </w:r>
      <w:r w:rsidR="001B78EC" w:rsidRPr="001B78EC">
        <w:rPr>
          <w:szCs w:val="28"/>
        </w:rPr>
        <w:t>), практичні лікарі (14</w:t>
      </w:r>
      <w:r w:rsidR="00B544DB">
        <w:rPr>
          <w:szCs w:val="28"/>
        </w:rPr>
        <w:t xml:space="preserve"> осіб</w:t>
      </w:r>
      <w:r w:rsidR="001B78EC" w:rsidRPr="001B78EC">
        <w:rPr>
          <w:szCs w:val="28"/>
        </w:rPr>
        <w:t>) і батьків дітей до 5 років життя (15</w:t>
      </w:r>
      <w:r w:rsidR="00B544DB">
        <w:rPr>
          <w:szCs w:val="28"/>
        </w:rPr>
        <w:t xml:space="preserve"> осіб</w:t>
      </w:r>
      <w:r w:rsidR="001B78EC" w:rsidRPr="001B78EC">
        <w:rPr>
          <w:szCs w:val="28"/>
        </w:rPr>
        <w:t>)</w:t>
      </w:r>
      <w:r w:rsidR="001B78EC">
        <w:rPr>
          <w:szCs w:val="28"/>
        </w:rPr>
        <w:t xml:space="preserve">), </w:t>
      </w:r>
      <w:r w:rsidRPr="00852C8D">
        <w:rPr>
          <w:szCs w:val="28"/>
        </w:rPr>
        <w:t xml:space="preserve">виставляв незалежні оцінки за кожним </w:t>
      </w:r>
      <w:r w:rsidR="00B544DB">
        <w:rPr>
          <w:szCs w:val="28"/>
        </w:rPr>
        <w:t>і</w:t>
      </w:r>
      <w:r w:rsidRPr="00852C8D">
        <w:rPr>
          <w:szCs w:val="28"/>
        </w:rPr>
        <w:t xml:space="preserve">з </w:t>
      </w:r>
      <w:r w:rsidR="0057479E" w:rsidRPr="0057479E">
        <w:rPr>
          <w:szCs w:val="28"/>
        </w:rPr>
        <w:t>10</w:t>
      </w:r>
      <w:r>
        <w:rPr>
          <w:szCs w:val="28"/>
        </w:rPr>
        <w:t xml:space="preserve"> </w:t>
      </w:r>
      <w:r w:rsidRPr="00852C8D">
        <w:rPr>
          <w:szCs w:val="28"/>
        </w:rPr>
        <w:t>параметрів затвердженого переліку</w:t>
      </w:r>
      <w:r w:rsidR="004B32D7" w:rsidRPr="004B32D7">
        <w:rPr>
          <w:szCs w:val="28"/>
        </w:rPr>
        <w:t xml:space="preserve"> (Додаток Ж-1)</w:t>
      </w:r>
      <w:r w:rsidRPr="00852C8D">
        <w:rPr>
          <w:szCs w:val="28"/>
        </w:rPr>
        <w:t>. На другому етапі експерти порівнювали свою оцінку з колективною думкою всієї експертної групи, при цьому вони могли змінити або скоректувати свою позицію. На третьому етапі були розраховані середні значення кожного показника у балах, а також коефіцієнти вар</w:t>
      </w:r>
      <w:r w:rsidR="00490F53">
        <w:rPr>
          <w:szCs w:val="28"/>
        </w:rPr>
        <w:t>іації, за допомогою яких визначи</w:t>
      </w:r>
      <w:r w:rsidRPr="00852C8D">
        <w:rPr>
          <w:szCs w:val="28"/>
        </w:rPr>
        <w:t>вся ступінь узгодженості думок експертів за кожним з оцінюваних параметрів.</w:t>
      </w:r>
    </w:p>
    <w:p w:rsidR="006D45FD" w:rsidRPr="00CD4D82" w:rsidRDefault="006D45FD" w:rsidP="006A395E">
      <w:pPr>
        <w:keepNext/>
        <w:ind w:firstLine="709"/>
        <w:jc w:val="left"/>
        <w:outlineLvl w:val="0"/>
        <w:rPr>
          <w:rFonts w:eastAsia="Times New Roman"/>
          <w:szCs w:val="28"/>
          <w:lang w:val="ru-RU" w:eastAsia="uk-UA"/>
        </w:rPr>
      </w:pPr>
      <w:r w:rsidRPr="00CD4D82">
        <w:rPr>
          <w:rFonts w:eastAsia="Times New Roman"/>
          <w:szCs w:val="28"/>
          <w:lang w:eastAsia="uk-UA"/>
        </w:rPr>
        <w:t>Розрахунки ступеню узгодженості експертів</w:t>
      </w:r>
      <w:r w:rsidR="00CD4D82">
        <w:rPr>
          <w:rFonts w:eastAsia="Times New Roman"/>
          <w:szCs w:val="28"/>
          <w:lang w:val="ru-RU" w:eastAsia="uk-UA"/>
        </w:rPr>
        <w:t>:</w:t>
      </w:r>
    </w:p>
    <w:p w:rsidR="006D45FD" w:rsidRPr="00250CE0" w:rsidRDefault="006D45FD" w:rsidP="0074719A">
      <w:pPr>
        <w:numPr>
          <w:ilvl w:val="0"/>
          <w:numId w:val="31"/>
        </w:numPr>
        <w:spacing w:after="160" w:line="259" w:lineRule="auto"/>
        <w:jc w:val="left"/>
        <w:rPr>
          <w:rFonts w:eastAsia="Times New Roman"/>
          <w:szCs w:val="28"/>
          <w:lang w:val="ru-RU" w:eastAsia="ru-RU"/>
        </w:rPr>
      </w:pPr>
      <w:r w:rsidRPr="00250CE0">
        <w:rPr>
          <w:rFonts w:eastAsia="Times New Roman"/>
          <w:szCs w:val="28"/>
          <w:lang w:val="ru-RU" w:eastAsia="ru-RU"/>
        </w:rPr>
        <w:t>Розрахунок середньої арифметичної</w:t>
      </w:r>
      <w:r w:rsidR="00CD4D82">
        <w:rPr>
          <w:rFonts w:eastAsia="Times New Roman"/>
          <w:szCs w:val="28"/>
          <w:lang w:val="ru-RU" w:eastAsia="ru-RU"/>
        </w:rPr>
        <w:t xml:space="preserve"> (2.4)</w:t>
      </w:r>
      <w:r w:rsidRPr="00250CE0">
        <w:rPr>
          <w:rFonts w:eastAsia="Times New Roman"/>
          <w:szCs w:val="28"/>
          <w:lang w:val="ru-RU" w:eastAsia="ru-RU"/>
        </w:rPr>
        <w:t>:</w:t>
      </w:r>
    </w:p>
    <w:p w:rsidR="006D45FD" w:rsidRDefault="00CD4D82" w:rsidP="00CD4D82">
      <w:pPr>
        <w:jc w:val="center"/>
        <w:rPr>
          <w:rFonts w:eastAsia="Times New Roman"/>
          <w:sz w:val="24"/>
          <w:szCs w:val="24"/>
          <w:lang w:val="ru-RU" w:eastAsia="ru-RU"/>
        </w:rPr>
      </w:pPr>
      <w:r>
        <w:rPr>
          <w:rFonts w:eastAsia="Times New Roman"/>
          <w:sz w:val="24"/>
          <w:szCs w:val="24"/>
          <w:lang w:val="ru-RU" w:eastAsia="ru-RU"/>
        </w:rPr>
        <w:t xml:space="preserve">                                                    </w:t>
      </w:r>
      <m:oMath>
        <m:r>
          <m:rPr>
            <m:sty m:val="p"/>
          </m:rPr>
          <w:rPr>
            <w:rFonts w:ascii="Cambria Math" w:eastAsia="Times New Roman" w:hAnsi="Cambria Math"/>
            <w:sz w:val="24"/>
            <w:szCs w:val="24"/>
            <w:lang w:eastAsia="ru-RU"/>
          </w:rPr>
          <m:t>Х</m:t>
        </m:r>
        <m:r>
          <m:rPr>
            <m:sty m:val="p"/>
          </m:rPr>
          <w:rPr>
            <w:rFonts w:ascii="Cambria Math" w:eastAsia="Times New Roman" w:hAnsi="Cambria Math"/>
            <w:sz w:val="24"/>
            <w:szCs w:val="24"/>
            <w:vertAlign w:val="subscript"/>
            <w:lang w:eastAsia="ru-RU"/>
          </w:rPr>
          <m:t>ср.</m:t>
        </m:r>
        <m:r>
          <w:rPr>
            <w:rFonts w:ascii="Cambria Math" w:eastAsia="Times New Roman" w:hAnsi="Cambria Math"/>
            <w:sz w:val="24"/>
            <w:szCs w:val="24"/>
            <w:lang w:eastAsia="ru-RU"/>
          </w:rPr>
          <m:t xml:space="preserve">= </m:t>
        </m:r>
        <m:f>
          <m:fPr>
            <m:ctrlPr>
              <w:rPr>
                <w:rFonts w:ascii="Cambria Math" w:eastAsia="Times New Roman" w:hAnsi="Cambria Math"/>
                <w:i/>
                <w:sz w:val="24"/>
                <w:szCs w:val="24"/>
                <w:lang w:eastAsia="ru-RU"/>
              </w:rPr>
            </m:ctrlPr>
          </m:fPr>
          <m:num>
            <m:r>
              <m:rPr>
                <m:sty m:val="p"/>
              </m:rPr>
              <w:rPr>
                <w:rFonts w:ascii="Cambria Math" w:eastAsia="Times New Roman" w:hAnsi="Cambria Math" w:cs="Cambria Math"/>
                <w:szCs w:val="28"/>
                <w:lang w:val="ru-RU" w:eastAsia="ru-RU"/>
              </w:rPr>
              <m:t>Σ</m:t>
            </m:r>
            <m:r>
              <m:rPr>
                <m:sty m:val="p"/>
              </m:rPr>
              <w:rPr>
                <w:rFonts w:ascii="Cambria Math" w:eastAsia="Times New Roman" w:hAnsi="Cambria Math"/>
                <w:sz w:val="24"/>
                <w:szCs w:val="24"/>
                <w:lang w:eastAsia="ru-RU"/>
              </w:rPr>
              <m:t>Х</m:t>
            </m:r>
            <m:r>
              <w:rPr>
                <w:rFonts w:ascii="Cambria Math" w:eastAsia="Calibri" w:hAnsi="Cambria Math"/>
                <w:sz w:val="22"/>
                <w:vertAlign w:val="subscript"/>
                <w:lang w:val="en-US"/>
              </w:rPr>
              <m:t>i</m:t>
            </m:r>
          </m:num>
          <m:den>
            <m:r>
              <w:rPr>
                <w:rFonts w:ascii="Cambria Math" w:eastAsia="Times New Roman" w:hAnsi="Cambria Math"/>
                <w:sz w:val="24"/>
                <w:szCs w:val="24"/>
                <w:lang w:val="en-US"/>
              </w:rPr>
              <m:t>n</m:t>
            </m:r>
          </m:den>
        </m:f>
        <m:r>
          <w:rPr>
            <w:rFonts w:ascii="Cambria Math" w:eastAsia="Times New Roman" w:hAnsi="Cambria Math"/>
            <w:sz w:val="24"/>
            <w:szCs w:val="24"/>
            <w:lang w:eastAsia="ru-RU"/>
          </w:rPr>
          <m:t>=</m:t>
        </m:r>
        <m:f>
          <m:fPr>
            <m:ctrlPr>
              <w:rPr>
                <w:rFonts w:ascii="Cambria Math" w:eastAsia="Times New Roman" w:hAnsi="Cambria Math"/>
                <w:i/>
                <w:sz w:val="24"/>
                <w:szCs w:val="24"/>
                <w:lang w:eastAsia="ru-RU"/>
              </w:rPr>
            </m:ctrlPr>
          </m:fPr>
          <m:num>
            <m:r>
              <m:rPr>
                <m:sty m:val="p"/>
              </m:rPr>
              <w:rPr>
                <w:rFonts w:ascii="Cambria Math" w:eastAsia="Times New Roman" w:hAnsi="Cambria Math" w:cs="Cambria Math"/>
                <w:szCs w:val="28"/>
                <w:lang w:val="ru-RU" w:eastAsia="ru-RU"/>
              </w:rPr>
              <m:t>978,4</m:t>
            </m:r>
          </m:num>
          <m:den>
            <m:r>
              <w:rPr>
                <w:rFonts w:ascii="Cambria Math" w:eastAsia="Times New Roman" w:hAnsi="Cambria Math"/>
                <w:sz w:val="24"/>
                <w:szCs w:val="24"/>
                <w:lang w:val="en-US"/>
              </w:rPr>
              <m:t>10</m:t>
            </m:r>
          </m:den>
        </m:f>
        <m:r>
          <w:rPr>
            <w:rFonts w:ascii="Cambria Math" w:eastAsia="Times New Roman" w:hAnsi="Cambria Math"/>
            <w:sz w:val="24"/>
            <w:szCs w:val="24"/>
            <w:lang w:eastAsia="ru-RU"/>
          </w:rPr>
          <m:t>=97,8</m:t>
        </m:r>
      </m:oMath>
      <w:r>
        <w:rPr>
          <w:rFonts w:eastAsia="Times New Roman"/>
          <w:sz w:val="24"/>
          <w:szCs w:val="24"/>
          <w:lang w:val="ru-RU" w:eastAsia="ru-RU"/>
        </w:rPr>
        <w:t>,                                               (2.4)</w:t>
      </w:r>
    </w:p>
    <w:p w:rsidR="00CD4D82" w:rsidRPr="00CD4D82" w:rsidRDefault="00CD4D82" w:rsidP="00CD4D82">
      <w:pPr>
        <w:jc w:val="center"/>
        <w:rPr>
          <w:rFonts w:eastAsia="Times New Roman"/>
          <w:szCs w:val="28"/>
          <w:lang w:val="ru-RU" w:eastAsia="ru-RU"/>
        </w:rPr>
      </w:pPr>
    </w:p>
    <w:p w:rsidR="006D45FD" w:rsidRPr="00250CE0" w:rsidRDefault="006D45FD" w:rsidP="009352B3">
      <w:pPr>
        <w:numPr>
          <w:ilvl w:val="0"/>
          <w:numId w:val="31"/>
        </w:numPr>
        <w:spacing w:after="160"/>
        <w:jc w:val="left"/>
        <w:rPr>
          <w:rFonts w:eastAsia="Times New Roman"/>
          <w:szCs w:val="28"/>
          <w:lang w:val="ru-RU" w:eastAsia="ru-RU"/>
        </w:rPr>
      </w:pPr>
      <w:r w:rsidRPr="00250CE0">
        <w:rPr>
          <w:rFonts w:eastAsia="Times New Roman"/>
          <w:szCs w:val="28"/>
          <w:lang w:val="ru-RU" w:eastAsia="ru-RU"/>
        </w:rPr>
        <w:lastRenderedPageBreak/>
        <w:t>Розрахунок відхилення варіанту від середньої:</w:t>
      </w:r>
    </w:p>
    <w:p w:rsidR="006D45FD" w:rsidRPr="00250CE0" w:rsidRDefault="00CD4D82" w:rsidP="009352B3">
      <w:pPr>
        <w:numPr>
          <w:ilvl w:val="0"/>
          <w:numId w:val="32"/>
        </w:numPr>
        <w:spacing w:after="160"/>
        <w:jc w:val="left"/>
        <w:rPr>
          <w:rFonts w:eastAsia="Times New Roman"/>
          <w:szCs w:val="28"/>
          <w:lang w:val="ru-RU" w:eastAsia="ru-RU"/>
        </w:rPr>
      </w:pPr>
      <w:r>
        <w:rPr>
          <w:rFonts w:eastAsia="Times New Roman"/>
          <w:szCs w:val="28"/>
          <w:lang w:val="ru-RU" w:eastAsia="ru-RU"/>
        </w:rPr>
        <w:t xml:space="preserve"> </w:t>
      </w:r>
      <w:r w:rsidR="006D45FD" w:rsidRPr="00250CE0">
        <w:rPr>
          <w:rFonts w:eastAsia="Times New Roman"/>
          <w:szCs w:val="28"/>
          <w:lang w:val="ru-RU" w:eastAsia="ru-RU"/>
        </w:rPr>
        <w:t>96,4 - 9</w:t>
      </w:r>
      <w:r w:rsidR="006D45FD" w:rsidRPr="00250CE0">
        <w:rPr>
          <w:rFonts w:eastAsia="Times New Roman"/>
          <w:szCs w:val="28"/>
          <w:lang w:eastAsia="ru-RU"/>
        </w:rPr>
        <w:t>7</w:t>
      </w:r>
      <w:r w:rsidR="006D45FD" w:rsidRPr="00250CE0">
        <w:rPr>
          <w:rFonts w:eastAsia="Times New Roman"/>
          <w:szCs w:val="28"/>
          <w:lang w:val="ru-RU" w:eastAsia="ru-RU"/>
        </w:rPr>
        <w:t>,</w:t>
      </w:r>
      <w:r w:rsidR="006D45FD" w:rsidRPr="00250CE0">
        <w:rPr>
          <w:rFonts w:eastAsia="Times New Roman"/>
          <w:szCs w:val="28"/>
          <w:lang w:eastAsia="ru-RU"/>
        </w:rPr>
        <w:t>8</w:t>
      </w:r>
      <w:r w:rsidR="006D45FD" w:rsidRPr="00250CE0">
        <w:rPr>
          <w:rFonts w:eastAsia="Times New Roman"/>
          <w:szCs w:val="28"/>
          <w:lang w:val="ru-RU" w:eastAsia="ru-RU"/>
        </w:rPr>
        <w:t xml:space="preserve"> = - 1,</w:t>
      </w:r>
      <w:r w:rsidR="006D45FD" w:rsidRPr="00250CE0">
        <w:rPr>
          <w:rFonts w:eastAsia="Times New Roman"/>
          <w:szCs w:val="28"/>
          <w:lang w:eastAsia="ru-RU"/>
        </w:rPr>
        <w:t>4</w:t>
      </w:r>
      <w:r w:rsidR="006D45FD" w:rsidRPr="00250CE0">
        <w:rPr>
          <w:rFonts w:eastAsia="Times New Roman"/>
          <w:szCs w:val="28"/>
          <w:lang w:val="ru-RU" w:eastAsia="ru-RU"/>
        </w:rPr>
        <w:t>;</w:t>
      </w:r>
      <w:r w:rsidR="006D45FD" w:rsidRPr="00250CE0">
        <w:rPr>
          <w:rFonts w:eastAsia="Times New Roman"/>
          <w:szCs w:val="28"/>
          <w:lang w:eastAsia="ru-RU"/>
        </w:rPr>
        <w:t xml:space="preserve"> </w:t>
      </w:r>
    </w:p>
    <w:p w:rsidR="006D45FD" w:rsidRPr="00250CE0" w:rsidRDefault="00CD4D82" w:rsidP="009352B3">
      <w:pPr>
        <w:numPr>
          <w:ilvl w:val="0"/>
          <w:numId w:val="32"/>
        </w:numPr>
        <w:spacing w:after="160"/>
        <w:jc w:val="left"/>
        <w:rPr>
          <w:rFonts w:eastAsia="Times New Roman"/>
          <w:szCs w:val="28"/>
          <w:lang w:val="ru-RU" w:eastAsia="ru-RU"/>
        </w:rPr>
      </w:pPr>
      <w:r>
        <w:rPr>
          <w:rFonts w:eastAsia="Times New Roman"/>
          <w:szCs w:val="28"/>
          <w:lang w:val="ru-RU" w:eastAsia="ru-RU"/>
        </w:rPr>
        <w:t xml:space="preserve"> </w:t>
      </w:r>
      <w:r w:rsidR="006D45FD" w:rsidRPr="00250CE0">
        <w:rPr>
          <w:rFonts w:eastAsia="Times New Roman"/>
          <w:szCs w:val="28"/>
          <w:lang w:val="ru-RU" w:eastAsia="ru-RU"/>
        </w:rPr>
        <w:t>98,2 – 97,</w:t>
      </w:r>
      <w:r w:rsidR="006D45FD" w:rsidRPr="00250CE0">
        <w:rPr>
          <w:rFonts w:eastAsia="Times New Roman"/>
          <w:szCs w:val="28"/>
          <w:lang w:eastAsia="ru-RU"/>
        </w:rPr>
        <w:t>8</w:t>
      </w:r>
      <w:r w:rsidR="006D45FD" w:rsidRPr="00250CE0">
        <w:rPr>
          <w:rFonts w:eastAsia="Times New Roman"/>
          <w:szCs w:val="28"/>
          <w:lang w:val="ru-RU" w:eastAsia="ru-RU"/>
        </w:rPr>
        <w:t xml:space="preserve"> = 0,</w:t>
      </w:r>
      <w:r w:rsidR="006D45FD" w:rsidRPr="00250CE0">
        <w:rPr>
          <w:rFonts w:eastAsia="Times New Roman"/>
          <w:szCs w:val="28"/>
          <w:lang w:val="en-US" w:eastAsia="ru-RU"/>
        </w:rPr>
        <w:t>4</w:t>
      </w:r>
      <w:r w:rsidR="006D45FD" w:rsidRPr="00250CE0">
        <w:rPr>
          <w:rFonts w:eastAsia="Times New Roman"/>
          <w:szCs w:val="28"/>
          <w:lang w:val="ru-RU" w:eastAsia="ru-RU"/>
        </w:rPr>
        <w:t>;</w:t>
      </w:r>
    </w:p>
    <w:p w:rsidR="006D45FD" w:rsidRPr="00250CE0" w:rsidRDefault="00CD4D82" w:rsidP="009352B3">
      <w:pPr>
        <w:numPr>
          <w:ilvl w:val="0"/>
          <w:numId w:val="32"/>
        </w:numPr>
        <w:spacing w:after="160"/>
        <w:contextualSpacing/>
        <w:jc w:val="left"/>
        <w:rPr>
          <w:rFonts w:eastAsia="Times New Roman"/>
          <w:szCs w:val="28"/>
          <w:lang w:val="ru-RU" w:eastAsia="ru-RU"/>
        </w:rPr>
      </w:pPr>
      <w:r>
        <w:rPr>
          <w:rFonts w:eastAsia="Times New Roman"/>
          <w:szCs w:val="28"/>
          <w:lang w:val="ru-RU" w:eastAsia="ru-RU"/>
        </w:rPr>
        <w:t xml:space="preserve"> </w:t>
      </w:r>
      <w:r w:rsidR="006D45FD" w:rsidRPr="00250CE0">
        <w:rPr>
          <w:rFonts w:eastAsia="Times New Roman"/>
          <w:szCs w:val="28"/>
          <w:lang w:val="ru-RU" w:eastAsia="ru-RU"/>
        </w:rPr>
        <w:t>96,4 - 97,8 = - 1,4;</w:t>
      </w:r>
    </w:p>
    <w:p w:rsidR="006D45FD" w:rsidRPr="00250CE0" w:rsidRDefault="00CD4D82" w:rsidP="009352B3">
      <w:pPr>
        <w:numPr>
          <w:ilvl w:val="0"/>
          <w:numId w:val="32"/>
        </w:numPr>
        <w:spacing w:after="160"/>
        <w:contextualSpacing/>
        <w:jc w:val="left"/>
        <w:rPr>
          <w:rFonts w:eastAsia="Times New Roman"/>
          <w:szCs w:val="28"/>
          <w:lang w:val="ru-RU" w:eastAsia="ru-RU"/>
        </w:rPr>
      </w:pPr>
      <w:r>
        <w:rPr>
          <w:rFonts w:eastAsia="Times New Roman"/>
          <w:szCs w:val="28"/>
          <w:lang w:val="ru-RU" w:eastAsia="ru-RU"/>
        </w:rPr>
        <w:t xml:space="preserve"> </w:t>
      </w:r>
      <w:r w:rsidR="006D45FD" w:rsidRPr="00250CE0">
        <w:rPr>
          <w:rFonts w:eastAsia="Times New Roman"/>
          <w:szCs w:val="28"/>
          <w:lang w:val="ru-RU" w:eastAsia="ru-RU"/>
        </w:rPr>
        <w:t>96,4 - 97,8 = - 1,4;</w:t>
      </w:r>
    </w:p>
    <w:p w:rsidR="006D45FD" w:rsidRPr="00250CE0" w:rsidRDefault="00CD4D82" w:rsidP="009352B3">
      <w:pPr>
        <w:numPr>
          <w:ilvl w:val="0"/>
          <w:numId w:val="32"/>
        </w:numPr>
        <w:spacing w:after="160"/>
        <w:contextualSpacing/>
        <w:jc w:val="left"/>
        <w:rPr>
          <w:rFonts w:eastAsia="Times New Roman"/>
          <w:szCs w:val="28"/>
          <w:lang w:val="ru-RU" w:eastAsia="ru-RU"/>
        </w:rPr>
      </w:pPr>
      <w:r>
        <w:rPr>
          <w:rFonts w:eastAsia="Times New Roman"/>
          <w:szCs w:val="28"/>
          <w:lang w:val="ru-RU" w:eastAsia="ru-RU"/>
        </w:rPr>
        <w:t xml:space="preserve"> </w:t>
      </w:r>
      <w:r w:rsidR="006D45FD" w:rsidRPr="00250CE0">
        <w:rPr>
          <w:rFonts w:eastAsia="Times New Roman"/>
          <w:szCs w:val="28"/>
          <w:lang w:val="ru-RU" w:eastAsia="ru-RU"/>
        </w:rPr>
        <w:t>98,2 – 97,8 = 0,</w:t>
      </w:r>
      <w:r w:rsidR="006D45FD" w:rsidRPr="00250CE0">
        <w:rPr>
          <w:rFonts w:eastAsia="Times New Roman"/>
          <w:szCs w:val="28"/>
          <w:lang w:val="en-US" w:eastAsia="ru-RU"/>
        </w:rPr>
        <w:t>4</w:t>
      </w:r>
      <w:r w:rsidR="006D45FD" w:rsidRPr="00250CE0">
        <w:rPr>
          <w:rFonts w:eastAsia="Times New Roman"/>
          <w:szCs w:val="28"/>
          <w:lang w:val="ru-RU" w:eastAsia="ru-RU"/>
        </w:rPr>
        <w:t>;</w:t>
      </w:r>
    </w:p>
    <w:p w:rsidR="006D45FD" w:rsidRPr="00250CE0" w:rsidRDefault="00CD4D82" w:rsidP="009352B3">
      <w:pPr>
        <w:numPr>
          <w:ilvl w:val="0"/>
          <w:numId w:val="32"/>
        </w:numPr>
        <w:spacing w:after="160"/>
        <w:contextualSpacing/>
        <w:jc w:val="left"/>
        <w:rPr>
          <w:rFonts w:eastAsia="Times New Roman"/>
          <w:szCs w:val="28"/>
          <w:lang w:val="ru-RU" w:eastAsia="ru-RU"/>
        </w:rPr>
      </w:pPr>
      <w:r>
        <w:rPr>
          <w:rFonts w:eastAsia="Times New Roman"/>
          <w:szCs w:val="28"/>
          <w:lang w:val="ru-RU" w:eastAsia="ru-RU"/>
        </w:rPr>
        <w:t xml:space="preserve"> </w:t>
      </w:r>
      <w:r w:rsidR="006D45FD" w:rsidRPr="00250CE0">
        <w:rPr>
          <w:rFonts w:eastAsia="Times New Roman"/>
          <w:szCs w:val="28"/>
          <w:lang w:eastAsia="ru-RU"/>
        </w:rPr>
        <w:t>100,0 – 97,8 = 2,</w:t>
      </w:r>
      <w:r w:rsidR="006D45FD" w:rsidRPr="00250CE0">
        <w:rPr>
          <w:rFonts w:eastAsia="Times New Roman"/>
          <w:szCs w:val="28"/>
          <w:lang w:val="en-US" w:eastAsia="ru-RU"/>
        </w:rPr>
        <w:t>2</w:t>
      </w:r>
      <w:r w:rsidR="006D45FD" w:rsidRPr="00250CE0">
        <w:rPr>
          <w:rFonts w:eastAsia="Times New Roman"/>
          <w:szCs w:val="28"/>
          <w:lang w:eastAsia="ru-RU"/>
        </w:rPr>
        <w:t>;</w:t>
      </w:r>
    </w:p>
    <w:p w:rsidR="006D45FD" w:rsidRPr="00250CE0" w:rsidRDefault="00CD4D82" w:rsidP="009352B3">
      <w:pPr>
        <w:numPr>
          <w:ilvl w:val="0"/>
          <w:numId w:val="32"/>
        </w:numPr>
        <w:spacing w:after="160"/>
        <w:contextualSpacing/>
        <w:jc w:val="left"/>
        <w:rPr>
          <w:rFonts w:eastAsia="Times New Roman"/>
          <w:szCs w:val="28"/>
          <w:lang w:val="ru-RU" w:eastAsia="ru-RU"/>
        </w:rPr>
      </w:pPr>
      <w:r>
        <w:rPr>
          <w:rFonts w:eastAsia="Times New Roman"/>
          <w:szCs w:val="28"/>
          <w:lang w:val="ru-RU" w:eastAsia="ru-RU"/>
        </w:rPr>
        <w:t xml:space="preserve">  </w:t>
      </w:r>
      <w:r w:rsidR="006D45FD" w:rsidRPr="00250CE0">
        <w:rPr>
          <w:rFonts w:eastAsia="Times New Roman"/>
          <w:szCs w:val="28"/>
          <w:lang w:val="ru-RU" w:eastAsia="ru-RU"/>
        </w:rPr>
        <w:t>98,2 – 97,8 = 0,</w:t>
      </w:r>
      <w:r w:rsidR="006D45FD" w:rsidRPr="00250CE0">
        <w:rPr>
          <w:rFonts w:eastAsia="Times New Roman"/>
          <w:szCs w:val="28"/>
          <w:lang w:val="en-US" w:eastAsia="ru-RU"/>
        </w:rPr>
        <w:t>4</w:t>
      </w:r>
      <w:r w:rsidR="006D45FD" w:rsidRPr="00250CE0">
        <w:rPr>
          <w:rFonts w:eastAsia="Times New Roman"/>
          <w:szCs w:val="28"/>
          <w:lang w:val="ru-RU" w:eastAsia="ru-RU"/>
        </w:rPr>
        <w:t>;</w:t>
      </w:r>
    </w:p>
    <w:p w:rsidR="006D45FD" w:rsidRPr="00250CE0" w:rsidRDefault="00CD4D82" w:rsidP="009352B3">
      <w:pPr>
        <w:numPr>
          <w:ilvl w:val="0"/>
          <w:numId w:val="32"/>
        </w:numPr>
        <w:spacing w:after="160"/>
        <w:contextualSpacing/>
        <w:jc w:val="left"/>
        <w:rPr>
          <w:rFonts w:eastAsia="Times New Roman"/>
          <w:szCs w:val="28"/>
          <w:lang w:val="ru-RU" w:eastAsia="ru-RU"/>
        </w:rPr>
      </w:pPr>
      <w:r>
        <w:rPr>
          <w:rFonts w:eastAsia="Times New Roman"/>
          <w:szCs w:val="28"/>
          <w:lang w:val="ru-RU" w:eastAsia="ru-RU"/>
        </w:rPr>
        <w:t xml:space="preserve">  </w:t>
      </w:r>
      <w:r w:rsidR="006D45FD" w:rsidRPr="00250CE0">
        <w:rPr>
          <w:rFonts w:eastAsia="Times New Roman"/>
          <w:szCs w:val="28"/>
          <w:lang w:val="ru-RU" w:eastAsia="ru-RU"/>
        </w:rPr>
        <w:t>100,0 – 97,8 = 2,</w:t>
      </w:r>
      <w:r w:rsidR="006D45FD" w:rsidRPr="00250CE0">
        <w:rPr>
          <w:rFonts w:eastAsia="Times New Roman"/>
          <w:szCs w:val="28"/>
          <w:lang w:val="en-US" w:eastAsia="ru-RU"/>
        </w:rPr>
        <w:t>2</w:t>
      </w:r>
      <w:r w:rsidR="006D45FD" w:rsidRPr="00250CE0">
        <w:rPr>
          <w:rFonts w:eastAsia="Times New Roman"/>
          <w:szCs w:val="28"/>
          <w:lang w:val="ru-RU" w:eastAsia="ru-RU"/>
        </w:rPr>
        <w:t>;</w:t>
      </w:r>
    </w:p>
    <w:p w:rsidR="00CD4D82" w:rsidRDefault="00CD4D82" w:rsidP="00CD4D82">
      <w:pPr>
        <w:numPr>
          <w:ilvl w:val="0"/>
          <w:numId w:val="32"/>
        </w:numPr>
        <w:spacing w:after="160"/>
        <w:contextualSpacing/>
        <w:jc w:val="left"/>
        <w:rPr>
          <w:rFonts w:eastAsia="Times New Roman"/>
          <w:szCs w:val="28"/>
          <w:lang w:val="ru-RU" w:eastAsia="ru-RU"/>
        </w:rPr>
      </w:pPr>
      <w:r>
        <w:rPr>
          <w:rFonts w:eastAsia="Times New Roman"/>
          <w:szCs w:val="28"/>
          <w:lang w:val="ru-RU" w:eastAsia="ru-RU"/>
        </w:rPr>
        <w:t xml:space="preserve">   96,4 - 97,8 = - 1,4; </w:t>
      </w:r>
    </w:p>
    <w:p w:rsidR="006D45FD" w:rsidRPr="00CD4D82" w:rsidRDefault="00CD4D82" w:rsidP="00CD4D82">
      <w:pPr>
        <w:spacing w:after="160"/>
        <w:contextualSpacing/>
        <w:jc w:val="left"/>
        <w:rPr>
          <w:rFonts w:eastAsia="Times New Roman"/>
          <w:szCs w:val="28"/>
          <w:lang w:val="ru-RU" w:eastAsia="ru-RU"/>
        </w:rPr>
      </w:pPr>
      <w:r>
        <w:rPr>
          <w:rFonts w:eastAsia="Times New Roman"/>
          <w:szCs w:val="28"/>
          <w:lang w:val="ru-RU" w:eastAsia="ru-RU"/>
        </w:rPr>
        <w:t xml:space="preserve">10)   </w:t>
      </w:r>
      <w:r w:rsidR="006D45FD" w:rsidRPr="00CD4D82">
        <w:rPr>
          <w:rFonts w:eastAsia="Times New Roman"/>
          <w:szCs w:val="28"/>
          <w:lang w:eastAsia="ru-RU"/>
        </w:rPr>
        <w:t>98,2 – 97,8 = 0,</w:t>
      </w:r>
      <w:r w:rsidR="006D45FD" w:rsidRPr="00CD4D82">
        <w:rPr>
          <w:rFonts w:eastAsia="Times New Roman"/>
          <w:szCs w:val="28"/>
          <w:lang w:val="en-US" w:eastAsia="ru-RU"/>
        </w:rPr>
        <w:t>4</w:t>
      </w:r>
      <w:r w:rsidR="006D45FD" w:rsidRPr="00CD4D82">
        <w:rPr>
          <w:rFonts w:eastAsia="Times New Roman"/>
          <w:szCs w:val="28"/>
          <w:lang w:eastAsia="ru-RU"/>
        </w:rPr>
        <w:t>;</w:t>
      </w:r>
    </w:p>
    <w:p w:rsidR="006D45FD" w:rsidRPr="00250CE0" w:rsidRDefault="006D45FD" w:rsidP="009352B3">
      <w:pPr>
        <w:numPr>
          <w:ilvl w:val="0"/>
          <w:numId w:val="31"/>
        </w:numPr>
        <w:spacing w:after="160"/>
        <w:jc w:val="left"/>
        <w:rPr>
          <w:rFonts w:eastAsia="Times New Roman"/>
          <w:szCs w:val="28"/>
          <w:lang w:val="ru-RU" w:eastAsia="ru-RU"/>
        </w:rPr>
      </w:pPr>
      <w:r w:rsidRPr="00250CE0">
        <w:rPr>
          <w:rFonts w:eastAsia="Times New Roman"/>
          <w:szCs w:val="28"/>
          <w:lang w:val="ru-RU" w:eastAsia="ru-RU"/>
        </w:rPr>
        <w:t>Розрахунок дисперсії</w:t>
      </w:r>
      <w:r w:rsidRPr="00250CE0">
        <w:rPr>
          <w:rFonts w:eastAsia="Times New Roman"/>
          <w:szCs w:val="28"/>
          <w:lang w:eastAsia="ru-RU"/>
        </w:rPr>
        <w:t xml:space="preserve"> (оцінка дисперсії)</w:t>
      </w:r>
      <w:r w:rsidR="003D0826">
        <w:rPr>
          <w:rFonts w:eastAsia="Times New Roman"/>
          <w:szCs w:val="28"/>
          <w:lang w:val="ru-RU" w:eastAsia="ru-RU"/>
        </w:rPr>
        <w:t xml:space="preserve"> (2.5)</w:t>
      </w:r>
      <w:r w:rsidRPr="00250CE0">
        <w:rPr>
          <w:rFonts w:eastAsia="Times New Roman"/>
          <w:szCs w:val="28"/>
          <w:lang w:val="ru-RU" w:eastAsia="ru-RU"/>
        </w:rPr>
        <w:t>:</w:t>
      </w:r>
      <w:r w:rsidRPr="003D0826">
        <w:rPr>
          <w:rFonts w:eastAsia="Times New Roman"/>
          <w:szCs w:val="28"/>
          <w:lang w:val="ru-RU" w:eastAsia="ru-RU"/>
        </w:rPr>
        <w:t xml:space="preserve"> </w:t>
      </w:r>
    </w:p>
    <w:p w:rsidR="006D45FD" w:rsidRPr="003D0826" w:rsidRDefault="003D0826" w:rsidP="009352B3">
      <w:pPr>
        <w:ind w:left="360"/>
        <w:rPr>
          <w:rFonts w:eastAsia="Times New Roman"/>
          <w:szCs w:val="28"/>
          <w:lang w:val="ru-RU" w:eastAsia="ru-RU"/>
        </w:rPr>
      </w:pPr>
      <w:r>
        <w:rPr>
          <w:rFonts w:eastAsia="Times New Roman"/>
          <w:szCs w:val="28"/>
          <w:lang w:val="ru-RU" w:eastAsia="ru-RU"/>
        </w:rPr>
        <w:t xml:space="preserve">                                             </w:t>
      </w:r>
      <m:oMath>
        <m:r>
          <w:rPr>
            <w:rFonts w:ascii="Cambria Math" w:eastAsia="Times New Roman" w:hAnsi="Cambria Math"/>
            <w:szCs w:val="28"/>
            <w:lang w:val="ru-RU" w:eastAsia="ru-RU"/>
          </w:rPr>
          <m:t>D</m:t>
        </m:r>
        <m:r>
          <m:rPr>
            <m:sty m:val="p"/>
          </m:rPr>
          <w:rPr>
            <w:rFonts w:ascii="Cambria Math" w:eastAsia="Times New Roman" w:hAnsi="Cambria Math"/>
            <w:szCs w:val="28"/>
            <w:lang w:val="ru-RU" w:eastAsia="ru-RU"/>
          </w:rPr>
          <m:t>=</m:t>
        </m:r>
        <m:f>
          <m:fPr>
            <m:ctrlPr>
              <w:rPr>
                <w:rFonts w:ascii="Cambria Math" w:eastAsia="Times New Roman" w:hAnsi="Cambria Math"/>
                <w:szCs w:val="28"/>
                <w:lang w:val="ru-RU" w:eastAsia="ru-RU"/>
              </w:rPr>
            </m:ctrlPr>
          </m:fPr>
          <m:num>
            <m:r>
              <m:rPr>
                <m:sty m:val="p"/>
              </m:rPr>
              <w:rPr>
                <w:rFonts w:ascii="Cambria Math" w:eastAsia="Times New Roman" w:hAnsi="Cambria Math"/>
                <w:szCs w:val="28"/>
                <w:lang w:val="ru-RU" w:eastAsia="ru-RU"/>
              </w:rPr>
              <m:t>Σ(</m:t>
            </m:r>
            <m:r>
              <m:rPr>
                <m:sty m:val="p"/>
              </m:rPr>
              <w:rPr>
                <w:rFonts w:ascii="Cambria Math" w:eastAsia="Times New Roman" w:hAnsi="Cambria Math"/>
                <w:sz w:val="24"/>
                <w:szCs w:val="24"/>
                <w:lang w:eastAsia="ru-RU"/>
              </w:rPr>
              <m:t>Х</m:t>
            </m:r>
            <m:r>
              <w:rPr>
                <w:rFonts w:ascii="Cambria Math" w:eastAsia="Calibri" w:hAnsi="Cambria Math"/>
                <w:sz w:val="22"/>
                <w:vertAlign w:val="subscript"/>
                <w:lang w:val="en-US"/>
              </w:rPr>
              <m:t>i</m:t>
            </m:r>
            <m:r>
              <w:rPr>
                <w:rFonts w:ascii="Cambria Math" w:eastAsia="Times New Roman" w:hAnsi="Cambria Math"/>
                <w:szCs w:val="28"/>
                <w:lang w:eastAsia="ru-RU"/>
              </w:rPr>
              <m:t>-</m:t>
            </m:r>
            <m:r>
              <m:rPr>
                <m:sty m:val="p"/>
              </m:rPr>
              <w:rPr>
                <w:rFonts w:ascii="Cambria Math" w:eastAsia="Times New Roman" w:hAnsi="Cambria Math"/>
                <w:sz w:val="24"/>
                <w:szCs w:val="24"/>
                <w:lang w:eastAsia="ru-RU"/>
              </w:rPr>
              <m:t>Х</m:t>
            </m:r>
            <m:r>
              <m:rPr>
                <m:sty m:val="p"/>
              </m:rPr>
              <w:rPr>
                <w:rFonts w:ascii="Cambria Math" w:eastAsia="Times New Roman" w:hAnsi="Cambria Math"/>
                <w:sz w:val="24"/>
                <w:szCs w:val="24"/>
                <w:vertAlign w:val="subscript"/>
                <w:lang w:eastAsia="ru-RU"/>
              </w:rPr>
              <m:t>ср.</m:t>
            </m:r>
            <m:r>
              <w:rPr>
                <w:rFonts w:ascii="Cambria Math" w:eastAsia="Times New Roman" w:hAnsi="Cambria Math"/>
                <w:szCs w:val="28"/>
                <w:lang w:eastAsia="ru-RU"/>
              </w:rPr>
              <m:t>)²</m:t>
            </m:r>
          </m:num>
          <m:den>
            <m:r>
              <w:rPr>
                <w:rFonts w:ascii="Cambria Math" w:eastAsia="Times New Roman" w:hAnsi="Cambria Math"/>
                <w:szCs w:val="28"/>
                <w:lang w:val="ru-RU" w:eastAsia="ru-RU"/>
              </w:rPr>
              <m:t>n</m:t>
            </m:r>
          </m:den>
        </m:f>
        <m:r>
          <w:rPr>
            <w:rFonts w:ascii="Cambria Math" w:eastAsia="Times New Roman" w:hAnsi="Cambria Math"/>
            <w:szCs w:val="28"/>
            <w:lang w:val="ru-RU" w:eastAsia="ru-RU"/>
          </w:rPr>
          <m:t>=</m:t>
        </m:r>
        <m:f>
          <m:fPr>
            <m:ctrlPr>
              <w:rPr>
                <w:rFonts w:ascii="Cambria Math" w:eastAsia="Times New Roman" w:hAnsi="Cambria Math"/>
                <w:szCs w:val="28"/>
                <w:lang w:val="ru-RU" w:eastAsia="ru-RU"/>
              </w:rPr>
            </m:ctrlPr>
          </m:fPr>
          <m:num>
            <m:r>
              <m:rPr>
                <m:sty m:val="p"/>
              </m:rPr>
              <w:rPr>
                <w:rFonts w:ascii="Cambria Math" w:eastAsia="Times New Roman" w:hAnsi="Cambria Math"/>
                <w:szCs w:val="28"/>
                <w:lang w:val="ru-RU" w:eastAsia="ru-RU"/>
              </w:rPr>
              <m:t>18,144</m:t>
            </m:r>
          </m:num>
          <m:den>
            <m:r>
              <w:rPr>
                <w:rFonts w:ascii="Cambria Math" w:eastAsia="Times New Roman" w:hAnsi="Cambria Math"/>
                <w:szCs w:val="28"/>
                <w:lang w:val="ru-RU" w:eastAsia="ru-RU"/>
              </w:rPr>
              <m:t>10</m:t>
            </m:r>
          </m:den>
        </m:f>
        <m:r>
          <w:rPr>
            <w:rFonts w:ascii="Cambria Math" w:eastAsia="Times New Roman" w:hAnsi="Cambria Math"/>
            <w:szCs w:val="28"/>
            <w:lang w:val="ru-RU" w:eastAsia="ru-RU"/>
          </w:rPr>
          <m:t>=</m:t>
        </m:r>
        <m:r>
          <w:rPr>
            <w:rFonts w:ascii="Cambria Math" w:eastAsia="Times New Roman" w:hAnsi="Cambria Math"/>
            <w:szCs w:val="28"/>
            <w:lang w:eastAsia="ru-RU"/>
          </w:rPr>
          <m:t>1,8</m:t>
        </m:r>
        <m:r>
          <w:rPr>
            <w:rFonts w:ascii="Cambria Math" w:eastAsia="Times New Roman" w:hAnsi="Cambria Math"/>
            <w:szCs w:val="28"/>
            <w:lang w:val="ru-RU" w:eastAsia="ru-RU"/>
          </w:rPr>
          <m:t xml:space="preserve">,  </m:t>
        </m:r>
      </m:oMath>
      <w:r>
        <w:rPr>
          <w:rFonts w:eastAsia="Times New Roman"/>
          <w:szCs w:val="28"/>
          <w:lang w:val="ru-RU" w:eastAsia="ru-RU"/>
        </w:rPr>
        <w:t xml:space="preserve">                                (2.5)</w:t>
      </w:r>
    </w:p>
    <w:p w:rsidR="006D45FD" w:rsidRPr="00250CE0" w:rsidRDefault="006D45FD" w:rsidP="009352B3">
      <w:pPr>
        <w:numPr>
          <w:ilvl w:val="0"/>
          <w:numId w:val="31"/>
        </w:numPr>
        <w:spacing w:after="160"/>
        <w:contextualSpacing/>
        <w:jc w:val="left"/>
        <w:rPr>
          <w:rFonts w:eastAsia="Times New Roman"/>
          <w:szCs w:val="28"/>
          <w:lang w:eastAsia="ru-RU"/>
        </w:rPr>
      </w:pPr>
      <w:r w:rsidRPr="00250CE0">
        <w:rPr>
          <w:rFonts w:eastAsia="Times New Roman"/>
          <w:szCs w:val="28"/>
          <w:lang w:eastAsia="ru-RU"/>
        </w:rPr>
        <w:t>Середнє квадратичне відхилення</w:t>
      </w:r>
      <w:r w:rsidR="003D0826">
        <w:rPr>
          <w:rFonts w:eastAsia="Times New Roman"/>
          <w:szCs w:val="28"/>
          <w:lang w:val="ru-RU" w:eastAsia="ru-RU"/>
        </w:rPr>
        <w:t xml:space="preserve"> (2.6)</w:t>
      </w:r>
      <w:r w:rsidRPr="00250CE0">
        <w:rPr>
          <w:rFonts w:eastAsia="Times New Roman"/>
          <w:szCs w:val="28"/>
          <w:lang w:eastAsia="ru-RU"/>
        </w:rPr>
        <w:t>:</w:t>
      </w:r>
    </w:p>
    <w:p w:rsidR="006D45FD" w:rsidRPr="003D0826" w:rsidRDefault="003D0826" w:rsidP="009352B3">
      <w:pPr>
        <w:ind w:left="360"/>
        <w:contextualSpacing/>
        <w:rPr>
          <w:rFonts w:eastAsia="Times New Roman"/>
          <w:szCs w:val="28"/>
          <w:lang w:val="ru-RU" w:eastAsia="ru-RU"/>
        </w:rPr>
      </w:pPr>
      <w:r>
        <w:rPr>
          <w:rFonts w:eastAsia="Times New Roman"/>
          <w:szCs w:val="28"/>
          <w:lang w:val="ru-RU" w:eastAsia="ru-RU"/>
        </w:rPr>
        <w:t xml:space="preserve">                                              </w:t>
      </w:r>
      <w:r w:rsidR="006D45FD" w:rsidRPr="00250CE0">
        <w:rPr>
          <w:rFonts w:eastAsia="Times New Roman"/>
          <w:szCs w:val="28"/>
          <w:lang w:eastAsia="ru-RU"/>
        </w:rPr>
        <w:t xml:space="preserve">σ = </w:t>
      </w:r>
      <m:oMath>
        <m:rad>
          <m:radPr>
            <m:degHide m:val="1"/>
            <m:ctrlPr>
              <w:rPr>
                <w:rFonts w:ascii="Cambria Math" w:eastAsia="Times New Roman" w:hAnsi="Cambria Math"/>
                <w:szCs w:val="28"/>
                <w:lang w:val="en-US" w:eastAsia="ru-RU"/>
              </w:rPr>
            </m:ctrlPr>
          </m:radPr>
          <m:deg/>
          <m:e>
            <m:r>
              <w:rPr>
                <w:rFonts w:ascii="Cambria Math" w:eastAsia="Times New Roman" w:hAnsi="Cambria Math"/>
                <w:szCs w:val="28"/>
                <w:lang w:val="en-US" w:eastAsia="ru-RU"/>
              </w:rPr>
              <m:t>D</m:t>
            </m:r>
          </m:e>
        </m:rad>
        <m:r>
          <w:rPr>
            <w:rFonts w:ascii="Cambria Math" w:eastAsia="Times New Roman" w:hAnsi="Cambria Math"/>
            <w:szCs w:val="28"/>
            <w:lang w:val="ru-RU" w:eastAsia="ru-RU"/>
          </w:rPr>
          <m:t>=</m:t>
        </m:r>
        <m:rad>
          <m:radPr>
            <m:degHide m:val="1"/>
            <m:ctrlPr>
              <w:rPr>
                <w:rFonts w:ascii="Cambria Math" w:eastAsia="Times New Roman" w:hAnsi="Cambria Math"/>
                <w:szCs w:val="28"/>
                <w:lang w:val="en-US" w:eastAsia="ru-RU"/>
              </w:rPr>
            </m:ctrlPr>
          </m:radPr>
          <m:deg/>
          <m:e>
            <m:r>
              <w:rPr>
                <w:rFonts w:ascii="Cambria Math" w:eastAsia="Times New Roman" w:hAnsi="Cambria Math"/>
                <w:szCs w:val="28"/>
                <w:lang w:val="ru-RU" w:eastAsia="ru-RU"/>
              </w:rPr>
              <m:t>1,814</m:t>
            </m:r>
          </m:e>
        </m:rad>
        <m:r>
          <w:rPr>
            <w:rFonts w:ascii="Cambria Math" w:eastAsia="Times New Roman" w:hAnsi="Cambria Math"/>
            <w:szCs w:val="28"/>
            <w:lang w:val="ru-RU" w:eastAsia="ru-RU"/>
          </w:rPr>
          <m:t>=1,347,</m:t>
        </m:r>
      </m:oMath>
      <w:r>
        <w:rPr>
          <w:rFonts w:eastAsia="Times New Roman"/>
          <w:szCs w:val="28"/>
          <w:lang w:val="ru-RU" w:eastAsia="ru-RU"/>
        </w:rPr>
        <w:t xml:space="preserve">                                   (2.6)</w:t>
      </w:r>
    </w:p>
    <w:p w:rsidR="006D45FD" w:rsidRPr="00250CE0" w:rsidRDefault="006D45FD" w:rsidP="009352B3">
      <w:pPr>
        <w:numPr>
          <w:ilvl w:val="0"/>
          <w:numId w:val="31"/>
        </w:numPr>
        <w:spacing w:after="160"/>
        <w:jc w:val="left"/>
        <w:rPr>
          <w:rFonts w:eastAsia="Times New Roman"/>
          <w:szCs w:val="28"/>
          <w:lang w:val="ru-RU" w:eastAsia="ru-RU"/>
        </w:rPr>
      </w:pPr>
      <w:r w:rsidRPr="00250CE0">
        <w:rPr>
          <w:rFonts w:eastAsia="Times New Roman"/>
          <w:szCs w:val="28"/>
          <w:lang w:val="ru-RU" w:eastAsia="ru-RU"/>
        </w:rPr>
        <w:t>Розрахунок коефіцієнту варіації</w:t>
      </w:r>
      <w:r w:rsidR="003D0826">
        <w:rPr>
          <w:rFonts w:eastAsia="Times New Roman"/>
          <w:szCs w:val="28"/>
          <w:lang w:val="ru-RU" w:eastAsia="ru-RU"/>
        </w:rPr>
        <w:t xml:space="preserve"> (2.7)</w:t>
      </w:r>
      <w:r w:rsidRPr="00250CE0">
        <w:rPr>
          <w:rFonts w:eastAsia="Times New Roman"/>
          <w:szCs w:val="28"/>
          <w:lang w:val="ru-RU" w:eastAsia="ru-RU"/>
        </w:rPr>
        <w:t>:</w:t>
      </w:r>
    </w:p>
    <w:p w:rsidR="006D45FD" w:rsidRPr="006D2576" w:rsidRDefault="006D45FD" w:rsidP="006D2576">
      <w:pPr>
        <w:rPr>
          <w:rFonts w:eastAsia="Times New Roman"/>
          <w:i/>
          <w:sz w:val="24"/>
          <w:szCs w:val="24"/>
          <w:lang w:val="ru-RU" w:eastAsia="ru-RU"/>
        </w:rPr>
      </w:pPr>
      <w:r w:rsidRPr="003D0826">
        <w:rPr>
          <w:rFonts w:eastAsia="Times New Roman"/>
          <w:szCs w:val="28"/>
          <w:lang w:val="ru-RU" w:eastAsia="ru-RU"/>
        </w:rPr>
        <w:t xml:space="preserve"> </w:t>
      </w:r>
      <w:r w:rsidR="003D0826">
        <w:rPr>
          <w:rFonts w:eastAsia="Times New Roman"/>
          <w:szCs w:val="28"/>
          <w:lang w:val="ru-RU" w:eastAsia="ru-RU"/>
        </w:rPr>
        <w:t xml:space="preserve">                                         </w:t>
      </w:r>
      <w:r w:rsidRPr="003D0826">
        <w:rPr>
          <w:rFonts w:eastAsia="Times New Roman"/>
          <w:szCs w:val="28"/>
          <w:lang w:val="ru-RU" w:eastAsia="ru-RU"/>
        </w:rPr>
        <w:t xml:space="preserve">  </w:t>
      </w:r>
      <w:r w:rsidR="003D0826">
        <w:rPr>
          <w:rFonts w:eastAsia="Times New Roman"/>
          <w:szCs w:val="28"/>
          <w:lang w:val="ru-RU" w:eastAsia="ru-RU"/>
        </w:rPr>
        <w:t xml:space="preserve">  </w:t>
      </w:r>
      <w:r w:rsidRPr="003D0826">
        <w:rPr>
          <w:rFonts w:eastAsia="Times New Roman"/>
          <w:szCs w:val="28"/>
          <w:lang w:val="ru-RU" w:eastAsia="ru-RU"/>
        </w:rPr>
        <w:t xml:space="preserve">  </w:t>
      </w:r>
      <m:oMath>
        <m:r>
          <w:rPr>
            <w:rFonts w:ascii="Cambria Math" w:eastAsia="Times New Roman" w:hAnsi="Cambria Math"/>
            <w:szCs w:val="28"/>
            <w:lang w:val="en-US" w:eastAsia="ru-RU"/>
          </w:rPr>
          <m:t>v</m:t>
        </m:r>
        <m:r>
          <m:rPr>
            <m:sty m:val="p"/>
          </m:rPr>
          <w:rPr>
            <w:rFonts w:ascii="Cambria Math" w:eastAsia="Times New Roman" w:hAnsi="Cambria Math"/>
            <w:szCs w:val="28"/>
            <w:lang w:val="ru-RU" w:eastAsia="ru-RU"/>
          </w:rPr>
          <m:t>=</m:t>
        </m:r>
        <m:f>
          <m:fPr>
            <m:ctrlPr>
              <w:rPr>
                <w:rFonts w:ascii="Cambria Math" w:eastAsia="Times New Roman" w:hAnsi="Cambria Math"/>
                <w:szCs w:val="28"/>
                <w:lang w:val="en-US" w:eastAsia="ru-RU"/>
              </w:rPr>
            </m:ctrlPr>
          </m:fPr>
          <m:num>
            <m:r>
              <m:rPr>
                <m:sty m:val="p"/>
              </m:rPr>
              <w:rPr>
                <w:rFonts w:ascii="Cambria Math" w:eastAsia="Times New Roman" w:hAnsi="Cambria Math"/>
                <w:szCs w:val="28"/>
                <w:lang w:val="ru-RU" w:eastAsia="ru-RU"/>
              </w:rPr>
              <m:t>σ</m:t>
            </m:r>
          </m:num>
          <m:den>
            <m:r>
              <m:rPr>
                <m:sty m:val="p"/>
              </m:rPr>
              <w:rPr>
                <w:rFonts w:ascii="Cambria Math" w:eastAsia="Times New Roman" w:hAnsi="Cambria Math"/>
                <w:szCs w:val="28"/>
                <w:lang w:eastAsia="ru-RU"/>
              </w:rPr>
              <m:t>Х</m:t>
            </m:r>
            <m:r>
              <m:rPr>
                <m:sty m:val="p"/>
              </m:rPr>
              <w:rPr>
                <w:rFonts w:ascii="Cambria Math" w:eastAsia="Times New Roman" w:hAnsi="Cambria Math"/>
                <w:szCs w:val="28"/>
                <w:vertAlign w:val="subscript"/>
                <w:lang w:eastAsia="ru-RU"/>
              </w:rPr>
              <m:t>ср.</m:t>
            </m:r>
          </m:den>
        </m:f>
        <m:r>
          <w:rPr>
            <w:rFonts w:ascii="Cambria Math" w:eastAsia="Times New Roman" w:hAnsi="Cambria Math"/>
            <w:szCs w:val="28"/>
            <w:lang w:val="ru-RU" w:eastAsia="ru-RU"/>
          </w:rPr>
          <m:t>=</m:t>
        </m:r>
        <m:f>
          <m:fPr>
            <m:ctrlPr>
              <w:rPr>
                <w:rFonts w:ascii="Cambria Math" w:eastAsia="Times New Roman" w:hAnsi="Cambria Math"/>
                <w:szCs w:val="28"/>
                <w:lang w:val="en-US" w:eastAsia="ru-RU"/>
              </w:rPr>
            </m:ctrlPr>
          </m:fPr>
          <m:num>
            <m:r>
              <m:rPr>
                <m:sty m:val="p"/>
              </m:rPr>
              <w:rPr>
                <w:rFonts w:ascii="Cambria Math" w:eastAsia="Times New Roman" w:hAnsi="Cambria Math"/>
                <w:szCs w:val="28"/>
                <w:lang w:val="ru-RU" w:eastAsia="ru-RU"/>
              </w:rPr>
              <m:t>1,347</m:t>
            </m:r>
          </m:num>
          <m:den>
            <m:r>
              <m:rPr>
                <m:sty m:val="p"/>
              </m:rPr>
              <w:rPr>
                <w:rFonts w:ascii="Cambria Math" w:eastAsia="Times New Roman" w:hAnsi="Cambria Math"/>
                <w:szCs w:val="28"/>
                <w:vertAlign w:val="subscript"/>
                <w:lang w:eastAsia="ru-RU"/>
              </w:rPr>
              <m:t>97,8</m:t>
            </m:r>
          </m:den>
        </m:f>
        <m:r>
          <w:rPr>
            <w:rFonts w:ascii="Cambria Math" w:eastAsia="Times New Roman" w:hAnsi="Cambria Math"/>
            <w:szCs w:val="28"/>
            <w:lang w:val="ru-RU" w:eastAsia="ru-RU"/>
          </w:rPr>
          <m:t>×100%=1,38%</m:t>
        </m:r>
      </m:oMath>
      <w:r w:rsidR="003D0826">
        <w:rPr>
          <w:rFonts w:eastAsia="Times New Roman"/>
          <w:szCs w:val="28"/>
          <w:lang w:val="ru-RU" w:eastAsia="ru-RU"/>
        </w:rPr>
        <w:t>,                          (2.7)</w:t>
      </w:r>
    </w:p>
    <w:p w:rsidR="00C723DE" w:rsidRPr="00C723DE" w:rsidRDefault="00C723DE" w:rsidP="006D2576">
      <w:pPr>
        <w:pStyle w:val="aff8"/>
        <w:numPr>
          <w:ilvl w:val="1"/>
          <w:numId w:val="42"/>
        </w:numPr>
        <w:shd w:val="clear" w:color="auto" w:fill="auto"/>
        <w:spacing w:before="240" w:after="240"/>
        <w:rPr>
          <w:b/>
          <w:szCs w:val="28"/>
        </w:rPr>
      </w:pPr>
      <w:r w:rsidRPr="00C723DE">
        <w:rPr>
          <w:b/>
          <w:szCs w:val="28"/>
        </w:rPr>
        <w:t>Статистичні методи дослідження</w:t>
      </w:r>
    </w:p>
    <w:p w:rsidR="00822DFD" w:rsidRPr="00852C8D" w:rsidRDefault="00822DFD" w:rsidP="00822DFD">
      <w:pPr>
        <w:widowControl w:val="0"/>
        <w:ind w:firstLine="709"/>
        <w:rPr>
          <w:szCs w:val="28"/>
        </w:rPr>
      </w:pPr>
      <w:r w:rsidRPr="00852C8D">
        <w:rPr>
          <w:szCs w:val="28"/>
        </w:rPr>
        <w:t xml:space="preserve">Для обробки кількісних величин використовувалися традиційні методи параметричної та непараметричної статистики. За допомогою методів параметричної статистики здійснювалась перевірка нормальності розподілу кількісних ознак з використанням критерію Колмогорова-Смірнова. </w:t>
      </w:r>
    </w:p>
    <w:p w:rsidR="00822DFD" w:rsidRPr="00852C8D" w:rsidRDefault="00822DFD" w:rsidP="00822DFD">
      <w:pPr>
        <w:ind w:firstLine="709"/>
        <w:rPr>
          <w:szCs w:val="28"/>
        </w:rPr>
      </w:pPr>
      <w:r w:rsidRPr="00852C8D">
        <w:rPr>
          <w:szCs w:val="28"/>
        </w:rPr>
        <w:t xml:space="preserve">При нормальному розподілі даних використовувались основні статистичні характеристики, а саме: середнє значення (М) – для визначення центральної тенденції; стандартна похибка середнього значення (m) – для точності оцінки середньої, </w:t>
      </w:r>
      <w:r w:rsidR="009B4E03" w:rsidRPr="009B4E03">
        <w:rPr>
          <w:szCs w:val="28"/>
        </w:rPr>
        <w:t xml:space="preserve">стандартного відхилення (SE), коефіцієнта варіації (Cv) для визначення </w:t>
      </w:r>
      <w:r w:rsidR="009B4E03" w:rsidRPr="009B4E03">
        <w:rPr>
          <w:szCs w:val="28"/>
        </w:rPr>
        <w:lastRenderedPageBreak/>
        <w:t xml:space="preserve">варіабельності; </w:t>
      </w:r>
      <w:r w:rsidRPr="00852C8D">
        <w:rPr>
          <w:szCs w:val="28"/>
        </w:rPr>
        <w:t>довірчий інтервал (ДІ) – для визначення 95% інтервалу середньої. Перевірка гіпотез щодо рівності генеральних середніх проводилась з використанням t-критерія Стьюдента. Визначення t-критерія дозволило знайти ймовірність того, що середні значення кількісних ознак, розраховані для різних груп, належать до однієї і тієї ж сукупності. Якщо ця вірогідність була р</w:t>
      </w:r>
      <w:r w:rsidRPr="00852C8D">
        <w:rPr>
          <w:szCs w:val="28"/>
        </w:rPr>
        <w:sym w:font="Symbol" w:char="F03C"/>
      </w:r>
      <w:r w:rsidRPr="00852C8D">
        <w:rPr>
          <w:szCs w:val="28"/>
        </w:rPr>
        <w:t xml:space="preserve">0,05, то ці вибірки відносили до двох різних сукупностей, оскільки їх середні значення достовірно відрізнялися. Навпаки, якщо знайдена ймовірність була вищою за 0,05, ці вибірки відносили до однієї сукупності, оскільки не було достовірної різниці між їх середніми значеннями. </w:t>
      </w:r>
    </w:p>
    <w:p w:rsidR="00822DFD" w:rsidRPr="00852C8D" w:rsidRDefault="00822DFD" w:rsidP="00822DFD">
      <w:pPr>
        <w:ind w:firstLine="709"/>
        <w:rPr>
          <w:szCs w:val="28"/>
        </w:rPr>
      </w:pPr>
      <w:r w:rsidRPr="00852C8D">
        <w:rPr>
          <w:szCs w:val="28"/>
        </w:rPr>
        <w:t>При ненормальному розподілі центральна тенденція визначала</w:t>
      </w:r>
      <w:r w:rsidR="00F67F81">
        <w:rPr>
          <w:szCs w:val="28"/>
        </w:rPr>
        <w:t>ся за допомогою медіани (Ме)</w:t>
      </w:r>
      <w:r w:rsidR="00F67F81">
        <w:rPr>
          <w:szCs w:val="28"/>
          <w:lang w:val="ru-RU"/>
        </w:rPr>
        <w:t xml:space="preserve">, </w:t>
      </w:r>
      <w:r w:rsidRPr="00852C8D">
        <w:rPr>
          <w:szCs w:val="28"/>
        </w:rPr>
        <w:t>квартилів (Q)</w:t>
      </w:r>
      <w:r w:rsidR="00F67F81">
        <w:rPr>
          <w:szCs w:val="28"/>
          <w:lang w:val="ru-RU"/>
        </w:rPr>
        <w:t xml:space="preserve"> та </w:t>
      </w:r>
      <w:r w:rsidR="00F67F81">
        <w:rPr>
          <w:szCs w:val="28"/>
        </w:rPr>
        <w:t>міжквартильн</w:t>
      </w:r>
      <w:r w:rsidR="00F67F81">
        <w:rPr>
          <w:szCs w:val="28"/>
          <w:lang w:val="ru-RU"/>
        </w:rPr>
        <w:t>ого</w:t>
      </w:r>
      <w:r w:rsidR="00F67F81" w:rsidRPr="00F67F81">
        <w:rPr>
          <w:szCs w:val="28"/>
        </w:rPr>
        <w:t xml:space="preserve"> інтервал</w:t>
      </w:r>
      <w:r w:rsidR="00F67F81">
        <w:rPr>
          <w:szCs w:val="28"/>
          <w:lang w:val="ru-RU"/>
        </w:rPr>
        <w:t>у</w:t>
      </w:r>
      <w:r w:rsidR="00F67F81" w:rsidRPr="00F67F81">
        <w:rPr>
          <w:szCs w:val="28"/>
        </w:rPr>
        <w:t xml:space="preserve"> (МКІ)</w:t>
      </w:r>
      <w:r w:rsidR="00F67F81">
        <w:rPr>
          <w:szCs w:val="28"/>
          <w:lang w:val="ru-RU"/>
        </w:rPr>
        <w:t>.</w:t>
      </w:r>
      <w:r w:rsidRPr="00852C8D">
        <w:rPr>
          <w:szCs w:val="28"/>
        </w:rPr>
        <w:t xml:space="preserve"> Порівняння відносних величин здійснювалося за допомогою критерію </w:t>
      </w:r>
      <w:r w:rsidRPr="00852C8D">
        <w:rPr>
          <w:szCs w:val="28"/>
        </w:rPr>
        <w:sym w:font="Symbol" w:char="F063"/>
      </w:r>
      <w:r w:rsidRPr="00852C8D">
        <w:rPr>
          <w:szCs w:val="28"/>
          <w:vertAlign w:val="superscript"/>
        </w:rPr>
        <w:t>2</w:t>
      </w:r>
      <w:r w:rsidRPr="00852C8D">
        <w:rPr>
          <w:szCs w:val="28"/>
        </w:rPr>
        <w:t xml:space="preserve"> (хі-квадрат), порівняння кількісних показників з ненормальним розподілом при непов’язаних вибірках – за допомогою критерію Манна-Уітні (критерій U).</w:t>
      </w:r>
    </w:p>
    <w:p w:rsidR="00822DFD" w:rsidRPr="00852C8D" w:rsidRDefault="00821067" w:rsidP="00822DFD">
      <w:pPr>
        <w:ind w:firstLine="709"/>
        <w:rPr>
          <w:szCs w:val="28"/>
        </w:rPr>
      </w:pPr>
      <w:r>
        <w:rPr>
          <w:szCs w:val="28"/>
        </w:rPr>
        <w:t xml:space="preserve">Для доведення зв’язку між окремими варіаційними рядами застосовували </w:t>
      </w:r>
      <w:r w:rsidR="00FF4519">
        <w:rPr>
          <w:szCs w:val="28"/>
        </w:rPr>
        <w:t>кореляційн</w:t>
      </w:r>
      <w:r w:rsidR="00FF4519" w:rsidRPr="00FF4519">
        <w:rPr>
          <w:szCs w:val="28"/>
        </w:rPr>
        <w:t>ий та</w:t>
      </w:r>
      <w:r w:rsidR="00FF4519">
        <w:rPr>
          <w:szCs w:val="28"/>
        </w:rPr>
        <w:t xml:space="preserve"> регресійн</w:t>
      </w:r>
      <w:r w:rsidR="00FF4519" w:rsidRPr="00FF4519">
        <w:rPr>
          <w:szCs w:val="28"/>
        </w:rPr>
        <w:t>ий</w:t>
      </w:r>
      <w:r w:rsidR="00FF4519">
        <w:rPr>
          <w:szCs w:val="28"/>
        </w:rPr>
        <w:t xml:space="preserve"> (лінейн</w:t>
      </w:r>
      <w:r w:rsidR="00FF4519" w:rsidRPr="00FF4519">
        <w:rPr>
          <w:szCs w:val="28"/>
        </w:rPr>
        <w:t>ий</w:t>
      </w:r>
      <w:r w:rsidR="00FF4519">
        <w:rPr>
          <w:szCs w:val="28"/>
        </w:rPr>
        <w:t>, логістичн</w:t>
      </w:r>
      <w:r w:rsidR="00FF4519" w:rsidRPr="00FF4519">
        <w:rPr>
          <w:szCs w:val="28"/>
        </w:rPr>
        <w:t>ий, за Пуассоном) аналіз</w:t>
      </w:r>
      <w:r w:rsidR="00FF4519">
        <w:rPr>
          <w:szCs w:val="28"/>
        </w:rPr>
        <w:t>и і</w:t>
      </w:r>
      <w:r w:rsidR="00FF4519" w:rsidRPr="00FF4519">
        <w:rPr>
          <w:szCs w:val="28"/>
        </w:rPr>
        <w:t xml:space="preserve">з розрахунками </w:t>
      </w:r>
      <w:r w:rsidR="00FF4519" w:rsidRPr="00FF4519">
        <w:rPr>
          <w:bCs/>
          <w:szCs w:val="28"/>
        </w:rPr>
        <w:t>коефіцієнтів кореляції Спірмена (ρ)</w:t>
      </w:r>
      <w:r w:rsidR="00FF4519" w:rsidRPr="00FF4519">
        <w:rPr>
          <w:szCs w:val="28"/>
        </w:rPr>
        <w:t>,</w:t>
      </w:r>
      <w:r w:rsidR="00FF4519" w:rsidRPr="00FF4519">
        <w:rPr>
          <w:bCs/>
          <w:szCs w:val="28"/>
        </w:rPr>
        <w:t xml:space="preserve"> Пірсона</w:t>
      </w:r>
      <w:r w:rsidR="00FF4519" w:rsidRPr="00FF4519">
        <w:rPr>
          <w:szCs w:val="28"/>
        </w:rPr>
        <w:t xml:space="preserve"> (r), відношення шансів (ВШ) та їх 95% довірчих інтервалів (95% ДІ), </w:t>
      </w:r>
      <w:r w:rsidR="002E6D21">
        <w:rPr>
          <w:szCs w:val="28"/>
        </w:rPr>
        <w:t>коефіцієнт</w:t>
      </w:r>
      <w:r w:rsidR="00945D6A">
        <w:rPr>
          <w:szCs w:val="28"/>
        </w:rPr>
        <w:t>а</w:t>
      </w:r>
      <w:r w:rsidR="002E6D21">
        <w:rPr>
          <w:szCs w:val="28"/>
        </w:rPr>
        <w:t xml:space="preserve"> регресії за Пуассоном (</w:t>
      </w:r>
      <w:r w:rsidR="002E6D21">
        <w:rPr>
          <w:szCs w:val="28"/>
          <w:lang w:val="en-US"/>
        </w:rPr>
        <w:t>Coef</w:t>
      </w:r>
      <w:r w:rsidR="002E6D21" w:rsidRPr="002E6D21">
        <w:rPr>
          <w:szCs w:val="28"/>
        </w:rPr>
        <w:t xml:space="preserve">.) </w:t>
      </w:r>
      <w:r w:rsidR="00FF4519" w:rsidRPr="002E6D21">
        <w:rPr>
          <w:szCs w:val="28"/>
        </w:rPr>
        <w:t>та його помилки (m).</w:t>
      </w:r>
    </w:p>
    <w:p w:rsidR="00822DFD" w:rsidRPr="00553F84" w:rsidRDefault="00822DFD" w:rsidP="00822DFD">
      <w:pPr>
        <w:ind w:firstLine="709"/>
        <w:rPr>
          <w:bCs/>
          <w:szCs w:val="28"/>
        </w:rPr>
      </w:pPr>
      <w:r w:rsidRPr="00852C8D">
        <w:rPr>
          <w:bCs/>
          <w:szCs w:val="28"/>
        </w:rPr>
        <w:t>Статистичн</w:t>
      </w:r>
      <w:r w:rsidR="00821067">
        <w:rPr>
          <w:bCs/>
          <w:szCs w:val="28"/>
        </w:rPr>
        <w:t>ий</w:t>
      </w:r>
      <w:r w:rsidRPr="00852C8D">
        <w:rPr>
          <w:bCs/>
          <w:szCs w:val="28"/>
        </w:rPr>
        <w:t xml:space="preserve"> </w:t>
      </w:r>
      <w:r w:rsidR="00821067">
        <w:rPr>
          <w:bCs/>
          <w:szCs w:val="28"/>
        </w:rPr>
        <w:t>аналіз</w:t>
      </w:r>
      <w:r w:rsidRPr="00852C8D">
        <w:rPr>
          <w:bCs/>
          <w:szCs w:val="28"/>
        </w:rPr>
        <w:t xml:space="preserve"> </w:t>
      </w:r>
      <w:r w:rsidR="00821067" w:rsidRPr="00821067">
        <w:rPr>
          <w:bCs/>
          <w:szCs w:val="28"/>
        </w:rPr>
        <w:t xml:space="preserve">та візуалізація </w:t>
      </w:r>
      <w:r w:rsidRPr="00852C8D">
        <w:rPr>
          <w:bCs/>
          <w:szCs w:val="28"/>
        </w:rPr>
        <w:t>отриманих результатів проведена за допомогою пакета прикладних прогр</w:t>
      </w:r>
      <w:r w:rsidR="00C0072F">
        <w:rPr>
          <w:bCs/>
          <w:szCs w:val="28"/>
        </w:rPr>
        <w:t xml:space="preserve">ам </w:t>
      </w:r>
      <w:r w:rsidR="00553F84" w:rsidRPr="00553F84">
        <w:rPr>
          <w:bCs/>
          <w:szCs w:val="28"/>
        </w:rPr>
        <w:t xml:space="preserve">Microsoft Excel-2003, отримані дані оброблені на персональному комп’ютері за допомогою ліцензованої програми Statistika 6.0, </w:t>
      </w:r>
      <w:r w:rsidR="00553F84" w:rsidRPr="00553F84">
        <w:rPr>
          <w:bCs/>
          <w:szCs w:val="28"/>
          <w:lang w:val="en-US"/>
        </w:rPr>
        <w:t>STATA</w:t>
      </w:r>
      <w:r w:rsidR="00553F84" w:rsidRPr="00553F84">
        <w:rPr>
          <w:bCs/>
          <w:szCs w:val="28"/>
        </w:rPr>
        <w:t xml:space="preserve"> 14 </w:t>
      </w:r>
      <w:r w:rsidR="00821067" w:rsidRPr="00553F84">
        <w:rPr>
          <w:bCs/>
          <w:szCs w:val="28"/>
        </w:rPr>
        <w:t>т</w:t>
      </w:r>
      <w:r w:rsidR="00821067">
        <w:rPr>
          <w:bCs/>
          <w:szCs w:val="28"/>
        </w:rPr>
        <w:t xml:space="preserve">а </w:t>
      </w:r>
      <w:r w:rsidR="00821067" w:rsidRPr="00821067">
        <w:rPr>
          <w:bCs/>
          <w:szCs w:val="28"/>
        </w:rPr>
        <w:t>засобами мови про програмування Python та з використанням бібліотек pandas, matplotlib, scipy.</w:t>
      </w:r>
      <w:r w:rsidRPr="00852C8D">
        <w:rPr>
          <w:bCs/>
          <w:szCs w:val="28"/>
        </w:rPr>
        <w:t xml:space="preserve"> </w:t>
      </w:r>
    </w:p>
    <w:p w:rsidR="00C834EC" w:rsidRPr="006715EE" w:rsidRDefault="00323DA9" w:rsidP="006715EE">
      <w:pPr>
        <w:widowControl w:val="0"/>
        <w:ind w:firstLine="708"/>
        <w:rPr>
          <w:rFonts w:eastAsia="Times New Roman"/>
          <w:color w:val="000000" w:themeColor="text1"/>
          <w:szCs w:val="28"/>
          <w:lang w:eastAsia="ru-RU"/>
        </w:rPr>
      </w:pPr>
      <w:r w:rsidRPr="00006A39">
        <w:rPr>
          <w:rFonts w:eastAsia="Times New Roman"/>
          <w:color w:val="000000" w:themeColor="text1"/>
          <w:szCs w:val="28"/>
          <w:lang w:eastAsia="ru-RU"/>
        </w:rPr>
        <w:t xml:space="preserve">Таким чином, запропонована програма дослідження та її методичний апарат дозволили отримати репрезентативні дані, вирішити поставлені завдання на кожному з етапів, отримати достовірні результати, покладені в основу обґрунтування системи </w:t>
      </w:r>
      <w:r w:rsidR="00545B5D">
        <w:rPr>
          <w:rFonts w:eastAsia="Times New Roman"/>
          <w:color w:val="000000" w:themeColor="text1"/>
          <w:szCs w:val="28"/>
          <w:lang w:eastAsia="ru-RU"/>
        </w:rPr>
        <w:t>зниження</w:t>
      </w:r>
      <w:r w:rsidRPr="00006A39">
        <w:rPr>
          <w:rFonts w:eastAsia="Times New Roman"/>
          <w:color w:val="000000" w:themeColor="text1"/>
          <w:szCs w:val="28"/>
          <w:lang w:eastAsia="ru-RU"/>
        </w:rPr>
        <w:t xml:space="preserve"> смертності</w:t>
      </w:r>
      <w:r w:rsidR="00BD4ABF">
        <w:rPr>
          <w:rFonts w:eastAsia="Times New Roman"/>
          <w:color w:val="000000" w:themeColor="text1"/>
          <w:szCs w:val="28"/>
          <w:lang w:eastAsia="ru-RU"/>
        </w:rPr>
        <w:t xml:space="preserve"> дітей віком до 5 р</w:t>
      </w:r>
      <w:r w:rsidR="00BD4ABF">
        <w:rPr>
          <w:rFonts w:eastAsia="Times New Roman"/>
          <w:color w:val="000000" w:themeColor="text1"/>
          <w:szCs w:val="28"/>
          <w:lang w:val="ru-RU" w:eastAsia="ru-RU"/>
        </w:rPr>
        <w:t>оків</w:t>
      </w:r>
      <w:r w:rsidR="006715EE">
        <w:rPr>
          <w:rFonts w:eastAsia="Times New Roman"/>
          <w:color w:val="000000" w:themeColor="text1"/>
          <w:szCs w:val="28"/>
          <w:lang w:val="ru-RU" w:eastAsia="ru-RU"/>
        </w:rPr>
        <w:t xml:space="preserve"> життя</w:t>
      </w:r>
      <w:r w:rsidRPr="00006A39">
        <w:rPr>
          <w:rFonts w:eastAsia="Times New Roman"/>
          <w:color w:val="000000" w:themeColor="text1"/>
          <w:szCs w:val="28"/>
          <w:lang w:eastAsia="ru-RU"/>
        </w:rPr>
        <w:t xml:space="preserve">.  </w:t>
      </w:r>
    </w:p>
    <w:p w:rsidR="00323DA9" w:rsidRPr="00006A39" w:rsidRDefault="00D63846" w:rsidP="00C834EC">
      <w:pPr>
        <w:widowControl w:val="0"/>
        <w:spacing w:before="240" w:after="240"/>
        <w:ind w:firstLine="708"/>
        <w:rPr>
          <w:b/>
          <w:szCs w:val="28"/>
        </w:rPr>
      </w:pPr>
      <w:r>
        <w:rPr>
          <w:b/>
          <w:szCs w:val="28"/>
        </w:rPr>
        <w:t>Висновки до розділу</w:t>
      </w:r>
      <w:r w:rsidR="00323DA9" w:rsidRPr="00006A39">
        <w:rPr>
          <w:b/>
          <w:szCs w:val="28"/>
        </w:rPr>
        <w:t xml:space="preserve"> </w:t>
      </w:r>
      <w:r w:rsidR="00FA680C">
        <w:rPr>
          <w:b/>
          <w:szCs w:val="28"/>
        </w:rPr>
        <w:t>2</w:t>
      </w:r>
    </w:p>
    <w:p w:rsidR="00323DA9" w:rsidRPr="00006A39" w:rsidRDefault="00323DA9" w:rsidP="00721203">
      <w:pPr>
        <w:widowControl w:val="0"/>
        <w:rPr>
          <w:szCs w:val="28"/>
        </w:rPr>
      </w:pPr>
      <w:r w:rsidRPr="00006A39">
        <w:rPr>
          <w:szCs w:val="28"/>
        </w:rPr>
        <w:t>1.</w:t>
      </w:r>
      <w:r w:rsidRPr="00006A39">
        <w:rPr>
          <w:szCs w:val="28"/>
        </w:rPr>
        <w:tab/>
        <w:t xml:space="preserve">Дослідження проведено відповідно до програми, розробленої </w:t>
      </w:r>
      <w:r w:rsidR="000E6BF7">
        <w:rPr>
          <w:szCs w:val="28"/>
        </w:rPr>
        <w:t>і</w:t>
      </w:r>
      <w:r w:rsidRPr="00006A39">
        <w:rPr>
          <w:szCs w:val="28"/>
        </w:rPr>
        <w:t xml:space="preserve">з застосуванням </w:t>
      </w:r>
      <w:r w:rsidRPr="00006A39">
        <w:rPr>
          <w:szCs w:val="28"/>
        </w:rPr>
        <w:lastRenderedPageBreak/>
        <w:t>методу системного підходу, в якій представлена методологія дослідження з визначенням мети, об’єкту та предмету дослідження, завдань, методів, матеріалів і обсягу дослідження.</w:t>
      </w:r>
    </w:p>
    <w:p w:rsidR="00323DA9" w:rsidRPr="00006A39" w:rsidRDefault="00323DA9" w:rsidP="00721203">
      <w:pPr>
        <w:widowControl w:val="0"/>
        <w:rPr>
          <w:szCs w:val="28"/>
        </w:rPr>
      </w:pPr>
      <w:r w:rsidRPr="00006A39">
        <w:rPr>
          <w:szCs w:val="28"/>
        </w:rPr>
        <w:t>2.</w:t>
      </w:r>
      <w:r w:rsidRPr="00006A39">
        <w:rPr>
          <w:szCs w:val="28"/>
        </w:rPr>
        <w:tab/>
        <w:t>Програма передбач</w:t>
      </w:r>
      <w:r w:rsidR="001B78EC">
        <w:rPr>
          <w:szCs w:val="28"/>
        </w:rPr>
        <w:t>ала проведення дослідження у вісім</w:t>
      </w:r>
      <w:r w:rsidRPr="00006A39">
        <w:rPr>
          <w:szCs w:val="28"/>
        </w:rPr>
        <w:t xml:space="preserve"> послідовних етапів із застосуванням традиційних для медико-соціальних досліджень методів дослідження, відповідних паспорту спеціальності 14.02.03 – соціальна медицина, проміжні результати кожного з етапів використовувались для формування завдань для наступних, що забезпечило логічний підхід до узагальнення результатів, обґрунтування </w:t>
      </w:r>
      <w:r w:rsidR="000E6BF7">
        <w:rPr>
          <w:szCs w:val="28"/>
        </w:rPr>
        <w:t xml:space="preserve">інноваційної </w:t>
      </w:r>
      <w:r w:rsidRPr="00006A39">
        <w:rPr>
          <w:szCs w:val="28"/>
        </w:rPr>
        <w:t xml:space="preserve">системи </w:t>
      </w:r>
      <w:r w:rsidR="000E6BF7">
        <w:rPr>
          <w:szCs w:val="28"/>
        </w:rPr>
        <w:t>медико-соціальної допомоги дітям до 5 років життя</w:t>
      </w:r>
      <w:r w:rsidRPr="00006A39">
        <w:rPr>
          <w:szCs w:val="28"/>
        </w:rPr>
        <w:t xml:space="preserve">, формування кінцевих висновків. </w:t>
      </w:r>
    </w:p>
    <w:p w:rsidR="00323DA9" w:rsidRPr="00006A39" w:rsidRDefault="00323DA9" w:rsidP="00721203">
      <w:pPr>
        <w:widowControl w:val="0"/>
        <w:rPr>
          <w:szCs w:val="28"/>
        </w:rPr>
      </w:pPr>
      <w:r w:rsidRPr="00006A39">
        <w:rPr>
          <w:szCs w:val="28"/>
        </w:rPr>
        <w:t>3.</w:t>
      </w:r>
      <w:r w:rsidRPr="00006A39">
        <w:rPr>
          <w:szCs w:val="28"/>
        </w:rPr>
        <w:tab/>
        <w:t xml:space="preserve">Інформаційною базою дослідження стали наукові, довідкові джерела, директивна інформація, отримані достовірні результати власного дослідження, які підтверджено розрахунками. </w:t>
      </w:r>
    </w:p>
    <w:p w:rsidR="00323DA9" w:rsidRPr="00006A39" w:rsidRDefault="00323DA9" w:rsidP="00721203">
      <w:pPr>
        <w:widowControl w:val="0"/>
        <w:rPr>
          <w:szCs w:val="28"/>
        </w:rPr>
      </w:pPr>
      <w:r w:rsidRPr="00006A39">
        <w:rPr>
          <w:szCs w:val="28"/>
        </w:rPr>
        <w:t>4.</w:t>
      </w:r>
      <w:r w:rsidRPr="00006A39">
        <w:rPr>
          <w:szCs w:val="28"/>
        </w:rPr>
        <w:tab/>
        <w:t>Методологію і методики програми дослідження застосовано  для вирішення поставлених завдань, отримання результ</w:t>
      </w:r>
      <w:r w:rsidR="001B78EC">
        <w:rPr>
          <w:szCs w:val="28"/>
        </w:rPr>
        <w:t>атів, на підставі яких науково</w:t>
      </w:r>
      <w:r w:rsidRPr="00006A39">
        <w:rPr>
          <w:szCs w:val="28"/>
        </w:rPr>
        <w:t xml:space="preserve"> обґрунтовано </w:t>
      </w:r>
      <w:r w:rsidR="001B78EC">
        <w:rPr>
          <w:szCs w:val="28"/>
        </w:rPr>
        <w:t>інноваційну систему медико-соціальної допомоги дітям до 5 років в Україні.</w:t>
      </w:r>
    </w:p>
    <w:p w:rsidR="00323DA9" w:rsidRPr="00006A39" w:rsidRDefault="00323DA9" w:rsidP="00721203">
      <w:pPr>
        <w:widowControl w:val="0"/>
        <w:ind w:firstLine="709"/>
        <w:rPr>
          <w:rFonts w:eastAsia="Calibri"/>
          <w:szCs w:val="28"/>
        </w:rPr>
      </w:pPr>
    </w:p>
    <w:p w:rsidR="00211C47" w:rsidRPr="00006A39" w:rsidRDefault="00211C47" w:rsidP="00721203">
      <w:pPr>
        <w:widowControl w:val="0"/>
        <w:ind w:firstLine="708"/>
        <w:jc w:val="center"/>
        <w:rPr>
          <w:b/>
          <w:szCs w:val="28"/>
        </w:rPr>
        <w:sectPr w:rsidR="00211C47" w:rsidRPr="00006A39" w:rsidSect="00E242B0">
          <w:pgSz w:w="11906" w:h="16838"/>
          <w:pgMar w:top="1134" w:right="567" w:bottom="1134" w:left="1134" w:header="708" w:footer="708" w:gutter="0"/>
          <w:cols w:space="708"/>
          <w:docGrid w:linePitch="360"/>
        </w:sectPr>
      </w:pPr>
    </w:p>
    <w:p w:rsidR="00D96FD9" w:rsidRPr="00006A39" w:rsidRDefault="00D96FD9" w:rsidP="00721203">
      <w:pPr>
        <w:widowControl w:val="0"/>
        <w:ind w:firstLine="708"/>
        <w:jc w:val="center"/>
        <w:rPr>
          <w:b/>
          <w:szCs w:val="28"/>
        </w:rPr>
      </w:pPr>
      <w:r w:rsidRPr="00006A39">
        <w:rPr>
          <w:b/>
          <w:szCs w:val="28"/>
        </w:rPr>
        <w:lastRenderedPageBreak/>
        <w:t>РОЗДІЛ 3</w:t>
      </w:r>
    </w:p>
    <w:p w:rsidR="00D96FD9" w:rsidRPr="00006A39" w:rsidRDefault="00D96FD9" w:rsidP="00721203">
      <w:pPr>
        <w:widowControl w:val="0"/>
        <w:jc w:val="center"/>
        <w:rPr>
          <w:b/>
          <w:szCs w:val="28"/>
        </w:rPr>
      </w:pPr>
      <w:r w:rsidRPr="00006A39">
        <w:rPr>
          <w:b/>
          <w:szCs w:val="28"/>
        </w:rPr>
        <w:t xml:space="preserve">ТРЕНДИ ТА </w:t>
      </w:r>
      <w:r w:rsidRPr="00006A39">
        <w:rPr>
          <w:b/>
        </w:rPr>
        <w:t>КІЛЬКІСНА Й ЯКІСНА</w:t>
      </w:r>
      <w:r w:rsidRPr="00006A39">
        <w:t xml:space="preserve"> </w:t>
      </w:r>
      <w:r w:rsidRPr="00006A39">
        <w:rPr>
          <w:b/>
          <w:szCs w:val="28"/>
        </w:rPr>
        <w:t xml:space="preserve">СТРУКТУРА ПОКАЗНИКА СМЕРТНОСТІ ДІТЕЙ ВІКОМ ДО 5 РОКІВ </w:t>
      </w:r>
      <w:r w:rsidR="00B27016">
        <w:rPr>
          <w:b/>
          <w:szCs w:val="28"/>
          <w:lang w:val="ru-RU"/>
        </w:rPr>
        <w:t xml:space="preserve">ЖИТТЯ </w:t>
      </w:r>
      <w:r w:rsidRPr="00006A39">
        <w:rPr>
          <w:b/>
          <w:szCs w:val="28"/>
        </w:rPr>
        <w:t>В УКРАЇНІ</w:t>
      </w:r>
    </w:p>
    <w:p w:rsidR="00D96FD9" w:rsidRPr="00006A39" w:rsidRDefault="00D96FD9" w:rsidP="00721203">
      <w:pPr>
        <w:widowControl w:val="0"/>
      </w:pPr>
    </w:p>
    <w:p w:rsidR="00D96FD9" w:rsidRPr="00006A39" w:rsidRDefault="00DF7A78" w:rsidP="00721203">
      <w:pPr>
        <w:widowControl w:val="0"/>
      </w:pPr>
      <w:r>
        <w:tab/>
        <w:t>В огляді літератури</w:t>
      </w:r>
      <w:r w:rsidR="00D96FD9" w:rsidRPr="00006A39">
        <w:t xml:space="preserve"> показано, що незва</w:t>
      </w:r>
      <w:r w:rsidR="0057431A">
        <w:t>жаючи на значний прогрес систем</w:t>
      </w:r>
      <w:r w:rsidR="00D96FD9" w:rsidRPr="00006A39">
        <w:t xml:space="preserve"> охорони здоров’я у світі, значна кількість дітей помирає від запобіжних причин</w:t>
      </w:r>
      <w:r w:rsidR="009A779C">
        <w:rPr>
          <w:lang w:val="ru-RU"/>
        </w:rPr>
        <w:t xml:space="preserve"> </w:t>
      </w:r>
      <w:r w:rsidR="009A779C" w:rsidRPr="009A779C">
        <w:rPr>
          <w:lang w:val="ru-RU"/>
        </w:rPr>
        <w:t>[</w:t>
      </w:r>
      <w:r w:rsidR="002F5E2E">
        <w:rPr>
          <w:lang w:val="ru-RU"/>
        </w:rPr>
        <w:t>6</w:t>
      </w:r>
      <w:r w:rsidR="009E1A3E">
        <w:t xml:space="preserve">, </w:t>
      </w:r>
      <w:r w:rsidR="003977CF" w:rsidRPr="003977CF">
        <w:rPr>
          <w:lang w:val="ru-RU"/>
        </w:rPr>
        <w:t>46</w:t>
      </w:r>
      <w:r w:rsidR="003977CF">
        <w:rPr>
          <w:lang w:val="ru-RU"/>
        </w:rPr>
        <w:t xml:space="preserve">, </w:t>
      </w:r>
      <w:r w:rsidR="0020615C">
        <w:rPr>
          <w:lang w:val="ru-RU"/>
        </w:rPr>
        <w:t xml:space="preserve">50, </w:t>
      </w:r>
      <w:r w:rsidR="003977CF">
        <w:t xml:space="preserve">54, </w:t>
      </w:r>
      <w:r w:rsidR="009A779C" w:rsidRPr="009A779C">
        <w:rPr>
          <w:lang w:val="ru-RU"/>
        </w:rPr>
        <w:t>303</w:t>
      </w:r>
      <w:r w:rsidR="001A474C">
        <w:rPr>
          <w:lang w:val="ru-RU"/>
        </w:rPr>
        <w:t>-308</w:t>
      </w:r>
      <w:r w:rsidR="009A779C" w:rsidRPr="009A779C">
        <w:rPr>
          <w:lang w:val="ru-RU"/>
        </w:rPr>
        <w:t>]</w:t>
      </w:r>
      <w:r w:rsidR="00D96FD9" w:rsidRPr="00006A39">
        <w:t>.</w:t>
      </w:r>
    </w:p>
    <w:p w:rsidR="00D96FD9" w:rsidRPr="00006A39" w:rsidRDefault="00D96FD9" w:rsidP="00721203">
      <w:pPr>
        <w:widowControl w:val="0"/>
      </w:pPr>
      <w:r w:rsidRPr="00006A39">
        <w:tab/>
        <w:t>Метою даного етапу стало встановлення основних тенденцій у змінах кількісної та якісної структури показника смертності дітей віком до 5 років в Україні, а завданнями, відповідно, стали визначення:</w:t>
      </w:r>
    </w:p>
    <w:p w:rsidR="00D96FD9" w:rsidRPr="00006A39" w:rsidRDefault="00D96FD9" w:rsidP="00721203">
      <w:pPr>
        <w:pStyle w:val="a5"/>
        <w:widowControl w:val="0"/>
        <w:numPr>
          <w:ilvl w:val="0"/>
          <w:numId w:val="2"/>
        </w:numPr>
      </w:pPr>
      <w:r w:rsidRPr="00006A39">
        <w:t>основних трендів показника смертності дітей віком до 5 років, та його основних відмінностей з деякими розвинутими країнами світу;</w:t>
      </w:r>
    </w:p>
    <w:p w:rsidR="00D96FD9" w:rsidRPr="00006A39" w:rsidRDefault="00D96FD9" w:rsidP="00721203">
      <w:pPr>
        <w:pStyle w:val="a5"/>
        <w:widowControl w:val="0"/>
        <w:numPr>
          <w:ilvl w:val="0"/>
          <w:numId w:val="2"/>
        </w:numPr>
      </w:pPr>
      <w:r w:rsidRPr="00006A39">
        <w:t>вікової, статевої, причинної та регіональної структури показника смертності дітей віком до 5 років;</w:t>
      </w:r>
    </w:p>
    <w:p w:rsidR="00D96FD9" w:rsidRDefault="00D96FD9" w:rsidP="00721203">
      <w:pPr>
        <w:pStyle w:val="a5"/>
        <w:widowControl w:val="0"/>
        <w:numPr>
          <w:ilvl w:val="0"/>
          <w:numId w:val="2"/>
        </w:numPr>
      </w:pPr>
      <w:r w:rsidRPr="00006A39">
        <w:t xml:space="preserve">структури смертності дітей </w:t>
      </w:r>
      <w:r w:rsidR="008C3919">
        <w:t xml:space="preserve">до 1 року життя </w:t>
      </w:r>
      <w:r w:rsidRPr="00006A39">
        <w:t>поза стаціонаром;</w:t>
      </w:r>
    </w:p>
    <w:p w:rsidR="008C3919" w:rsidRPr="00006A39" w:rsidRDefault="00A3700C" w:rsidP="008C3919">
      <w:pPr>
        <w:pStyle w:val="a5"/>
        <w:widowControl w:val="0"/>
        <w:numPr>
          <w:ilvl w:val="0"/>
          <w:numId w:val="2"/>
        </w:numPr>
      </w:pPr>
      <w:r>
        <w:t xml:space="preserve">тенденцій та </w:t>
      </w:r>
      <w:r w:rsidR="008C3919">
        <w:t xml:space="preserve">структури смертності </w:t>
      </w:r>
      <w:r w:rsidR="008C3919" w:rsidRPr="008C3919">
        <w:t>дітей до 1 року життя у лікарняних стаціонарах</w:t>
      </w:r>
      <w:r w:rsidR="008C3919">
        <w:t>;</w:t>
      </w:r>
    </w:p>
    <w:p w:rsidR="00D96FD9" w:rsidRPr="00006A39" w:rsidRDefault="00D96FD9" w:rsidP="00721203">
      <w:pPr>
        <w:pStyle w:val="a5"/>
        <w:widowControl w:val="0"/>
        <w:numPr>
          <w:ilvl w:val="0"/>
          <w:numId w:val="2"/>
        </w:numPr>
      </w:pPr>
      <w:r w:rsidRPr="00984A17">
        <w:t xml:space="preserve">основних змін у структурі показника летальності </w:t>
      </w:r>
      <w:r w:rsidRPr="00006A39">
        <w:t>дітей віком до 5 років;</w:t>
      </w:r>
    </w:p>
    <w:p w:rsidR="00D96FD9" w:rsidRPr="00006A39" w:rsidRDefault="00D96FD9" w:rsidP="00721203">
      <w:pPr>
        <w:pStyle w:val="a5"/>
        <w:widowControl w:val="0"/>
        <w:numPr>
          <w:ilvl w:val="0"/>
          <w:numId w:val="2"/>
        </w:numPr>
      </w:pPr>
      <w:r w:rsidRPr="00006A39">
        <w:t>тенденцій показника DALY в Україні та розвинених країнах світу.</w:t>
      </w:r>
    </w:p>
    <w:p w:rsidR="00D96FD9" w:rsidRPr="00006A39" w:rsidRDefault="00D96FD9" w:rsidP="00721203">
      <w:pPr>
        <w:widowControl w:val="0"/>
        <w:tabs>
          <w:tab w:val="left" w:pos="523"/>
        </w:tabs>
        <w:ind w:left="360"/>
        <w:rPr>
          <w:szCs w:val="28"/>
        </w:rPr>
      </w:pPr>
    </w:p>
    <w:p w:rsidR="00D96FD9" w:rsidRPr="00006A39" w:rsidRDefault="00D96FD9" w:rsidP="00721203">
      <w:pPr>
        <w:widowControl w:val="0"/>
        <w:tabs>
          <w:tab w:val="left" w:pos="523"/>
        </w:tabs>
        <w:ind w:left="709"/>
        <w:rPr>
          <w:b/>
          <w:szCs w:val="28"/>
        </w:rPr>
      </w:pPr>
      <w:r w:rsidRPr="00006A39">
        <w:rPr>
          <w:b/>
          <w:szCs w:val="28"/>
        </w:rPr>
        <w:t xml:space="preserve">3.1. Основні тренди показника смертності дітей віком до 5 років </w:t>
      </w:r>
      <w:r w:rsidR="008119C9">
        <w:rPr>
          <w:b/>
          <w:szCs w:val="28"/>
          <w:lang w:val="ru-RU"/>
        </w:rPr>
        <w:t>життя</w:t>
      </w:r>
      <w:r w:rsidR="005F4913">
        <w:rPr>
          <w:b/>
          <w:szCs w:val="28"/>
          <w:lang w:val="ru-RU"/>
        </w:rPr>
        <w:t xml:space="preserve"> в Україні</w:t>
      </w:r>
      <w:r w:rsidR="008119C9">
        <w:rPr>
          <w:b/>
          <w:szCs w:val="28"/>
          <w:lang w:val="ru-RU"/>
        </w:rPr>
        <w:t xml:space="preserve"> </w:t>
      </w:r>
      <w:r w:rsidRPr="00006A39">
        <w:rPr>
          <w:b/>
          <w:szCs w:val="28"/>
        </w:rPr>
        <w:t>та показників, що комплексн</w:t>
      </w:r>
      <w:r w:rsidR="005F4913">
        <w:rPr>
          <w:b/>
          <w:szCs w:val="28"/>
        </w:rPr>
        <w:t>о характеризують його структуру</w:t>
      </w:r>
    </w:p>
    <w:p w:rsidR="00D96FD9" w:rsidRPr="00006A39" w:rsidRDefault="00D96FD9" w:rsidP="00721203">
      <w:pPr>
        <w:widowControl w:val="0"/>
        <w:tabs>
          <w:tab w:val="left" w:pos="523"/>
        </w:tabs>
        <w:ind w:left="360"/>
        <w:rPr>
          <w:szCs w:val="28"/>
        </w:rPr>
      </w:pPr>
    </w:p>
    <w:p w:rsidR="00D96FD9" w:rsidRPr="00006A39" w:rsidRDefault="00D96FD9" w:rsidP="00721203">
      <w:pPr>
        <w:widowControl w:val="0"/>
        <w:tabs>
          <w:tab w:val="left" w:pos="523"/>
        </w:tabs>
        <w:ind w:firstLine="709"/>
        <w:rPr>
          <w:szCs w:val="28"/>
        </w:rPr>
      </w:pPr>
      <w:r w:rsidRPr="00006A39">
        <w:rPr>
          <w:szCs w:val="28"/>
        </w:rPr>
        <w:t>Аналіз показника</w:t>
      </w:r>
      <w:r w:rsidRPr="00006A39">
        <w:rPr>
          <w:color w:val="FF0000"/>
          <w:szCs w:val="28"/>
        </w:rPr>
        <w:t xml:space="preserve"> </w:t>
      </w:r>
      <w:r w:rsidRPr="00006A39">
        <w:rPr>
          <w:szCs w:val="28"/>
        </w:rPr>
        <w:t>загально</w:t>
      </w:r>
      <w:r w:rsidR="00031E96">
        <w:rPr>
          <w:szCs w:val="28"/>
        </w:rPr>
        <w:t>ї смертності дітей віком до 5</w:t>
      </w:r>
      <w:r w:rsidRPr="00006A39">
        <w:rPr>
          <w:szCs w:val="28"/>
        </w:rPr>
        <w:t xml:space="preserve"> років </w:t>
      </w:r>
      <w:r w:rsidRPr="00006A39">
        <w:rPr>
          <w:color w:val="000000" w:themeColor="text1"/>
          <w:szCs w:val="28"/>
        </w:rPr>
        <w:t xml:space="preserve">життя  в України показав достовірне зниження її рівня упродовж 2014-2018 рр. з 9,3 </w:t>
      </w:r>
      <w:r w:rsidRPr="00006A39">
        <w:rPr>
          <w:szCs w:val="28"/>
        </w:rPr>
        <w:t>до 8,3 з розрахунку на 1000 дітей народжених живими, р&lt;0,001 (рис.3.1). При цьому шанси дитини померти до 5 років у 2018 р. порівняно з 2014 р. достовірно зменшились – ВШ 0,79 (95% ДІ 0,76-0,83), р&lt;0,001.</w:t>
      </w:r>
    </w:p>
    <w:p w:rsidR="00D96FD9" w:rsidRPr="00006A39" w:rsidRDefault="00D96FD9" w:rsidP="00721203">
      <w:pPr>
        <w:widowControl w:val="0"/>
        <w:ind w:firstLine="708"/>
        <w:rPr>
          <w:szCs w:val="28"/>
        </w:rPr>
      </w:pPr>
      <w:r w:rsidRPr="00006A39">
        <w:rPr>
          <w:szCs w:val="28"/>
        </w:rPr>
        <w:t xml:space="preserve">Аналогічні зміни відбулись і з показниками смертності хлопчиків та дівчат. Так, за час спостереження середнє значення показника смертності хлопчиків віком </w:t>
      </w:r>
      <w:r w:rsidRPr="00006A39">
        <w:rPr>
          <w:szCs w:val="28"/>
        </w:rPr>
        <w:lastRenderedPageBreak/>
        <w:t>до 5 років знизилось на 12,5% (ВШ 0,77 [95% ДІ 0,73-0,82], р&lt;0,001) та дівчат на 8,4% (ВШ 0,82 [95% ДІ 0,76-0,88], р&lt;0,001). Як у 2014 р., так і у 2018 р. шанси хлопчиків померти у віці до 5 років були ви</w:t>
      </w:r>
      <w:r w:rsidR="00DE055C">
        <w:rPr>
          <w:szCs w:val="28"/>
        </w:rPr>
        <w:t>щими за шанси дівчат (відповідн</w:t>
      </w:r>
      <w:r w:rsidR="00DE055C">
        <w:rPr>
          <w:szCs w:val="28"/>
          <w:lang w:val="ru-RU"/>
        </w:rPr>
        <w:t>о</w:t>
      </w:r>
      <w:r w:rsidRPr="00006A39">
        <w:rPr>
          <w:szCs w:val="28"/>
        </w:rPr>
        <w:t xml:space="preserve"> ВШ</w:t>
      </w:r>
      <w:r w:rsidR="000E29C8">
        <w:rPr>
          <w:szCs w:val="28"/>
        </w:rPr>
        <w:t> </w:t>
      </w:r>
      <w:r w:rsidRPr="00006A39">
        <w:rPr>
          <w:szCs w:val="28"/>
        </w:rPr>
        <w:t>1,2 [95% ДІ 1,12-1,30], р&lt;0,001 та ВШ 1,27 [1,19-1,35], р&lt;0,001)</w:t>
      </w:r>
      <w:r w:rsidR="007C48DF">
        <w:rPr>
          <w:szCs w:val="28"/>
        </w:rPr>
        <w:t xml:space="preserve"> (рис</w:t>
      </w:r>
      <w:r w:rsidRPr="00006A39">
        <w:rPr>
          <w:szCs w:val="28"/>
        </w:rPr>
        <w:t>.</w:t>
      </w:r>
      <w:r w:rsidR="007C48DF">
        <w:rPr>
          <w:szCs w:val="28"/>
        </w:rPr>
        <w:t>3.1).</w:t>
      </w:r>
      <w:r w:rsidRPr="00006A39">
        <w:rPr>
          <w:szCs w:val="28"/>
        </w:rPr>
        <w:t xml:space="preserve"> </w:t>
      </w:r>
    </w:p>
    <w:p w:rsidR="00D96FD9" w:rsidRPr="00006A39" w:rsidRDefault="00D96FD9" w:rsidP="00721203">
      <w:pPr>
        <w:widowControl w:val="0"/>
        <w:jc w:val="center"/>
        <w:rPr>
          <w:szCs w:val="28"/>
        </w:rPr>
      </w:pPr>
      <w:r w:rsidRPr="00006A39">
        <w:rPr>
          <w:noProof/>
          <w:szCs w:val="28"/>
          <w:lang w:val="ru-RU" w:eastAsia="ru-RU"/>
        </w:rPr>
        <w:drawing>
          <wp:inline distT="0" distB="0" distL="0" distR="0" wp14:anchorId="60B0A6F3" wp14:editId="74019D34">
            <wp:extent cx="5495020" cy="2594141"/>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588667" cy="2638351"/>
                    </a:xfrm>
                    <a:prstGeom prst="rect">
                      <a:avLst/>
                    </a:prstGeom>
                    <a:noFill/>
                  </pic:spPr>
                </pic:pic>
              </a:graphicData>
            </a:graphic>
          </wp:inline>
        </w:drawing>
      </w:r>
    </w:p>
    <w:p w:rsidR="00D96FD9" w:rsidRPr="00006A39" w:rsidRDefault="00D96FD9" w:rsidP="00721203">
      <w:pPr>
        <w:widowControl w:val="0"/>
        <w:spacing w:after="120"/>
        <w:ind w:firstLine="720"/>
        <w:rPr>
          <w:szCs w:val="28"/>
        </w:rPr>
      </w:pPr>
      <w:r w:rsidRPr="00006A39">
        <w:rPr>
          <w:szCs w:val="28"/>
        </w:rPr>
        <w:t>Рис. 3.1. Динаміка показника смертності дітей віком до 5 років життя</w:t>
      </w:r>
      <w:r w:rsidRPr="00006A39">
        <w:rPr>
          <w:color w:val="FF0000"/>
          <w:szCs w:val="28"/>
        </w:rPr>
        <w:t xml:space="preserve"> </w:t>
      </w:r>
      <w:r w:rsidRPr="00006A39">
        <w:rPr>
          <w:szCs w:val="28"/>
        </w:rPr>
        <w:t>в Україні за 2014–2018 рр.</w:t>
      </w:r>
    </w:p>
    <w:p w:rsidR="00B70AF5" w:rsidRDefault="00B70AF5" w:rsidP="002E2D21">
      <w:pPr>
        <w:widowControl w:val="0"/>
        <w:ind w:firstLine="720"/>
        <w:rPr>
          <w:szCs w:val="28"/>
          <w:lang w:val="ru-RU"/>
        </w:rPr>
      </w:pPr>
      <w:r w:rsidRPr="00B70AF5">
        <w:rPr>
          <w:szCs w:val="28"/>
        </w:rPr>
        <w:t>За результатами аналізу повікових коефіцієнтів, віковий показник д</w:t>
      </w:r>
      <w:r w:rsidR="00031E96">
        <w:rPr>
          <w:szCs w:val="28"/>
        </w:rPr>
        <w:t>итячої смертності у віці до 5</w:t>
      </w:r>
      <w:r w:rsidRPr="00B70AF5">
        <w:rPr>
          <w:szCs w:val="28"/>
        </w:rPr>
        <w:t xml:space="preserve"> років життя також має тенденцію до зниження, як загальної (на 21,5% у 2018 р. відносно 2014 р.) так і за статтю (хлопчики на 23,7% та дівчато</w:t>
      </w:r>
      <w:r w:rsidR="00857FFE">
        <w:rPr>
          <w:szCs w:val="28"/>
        </w:rPr>
        <w:t>к на 18,6% відповідно) (рис.3.2</w:t>
      </w:r>
      <w:r w:rsidRPr="00B70AF5">
        <w:rPr>
          <w:szCs w:val="28"/>
        </w:rPr>
        <w:t>).</w:t>
      </w:r>
    </w:p>
    <w:p w:rsidR="00B70AF5" w:rsidRDefault="00E2096B" w:rsidP="00E2096B">
      <w:pPr>
        <w:widowControl w:val="0"/>
        <w:ind w:firstLine="720"/>
        <w:rPr>
          <w:szCs w:val="28"/>
          <w:lang w:val="ru-RU"/>
        </w:rPr>
      </w:pPr>
      <w:r>
        <w:rPr>
          <w:szCs w:val="28"/>
          <w:lang w:val="ru-RU"/>
        </w:rPr>
        <w:t xml:space="preserve"> </w:t>
      </w:r>
      <w:r w:rsidR="00B70AF5">
        <w:rPr>
          <w:noProof/>
          <w:szCs w:val="28"/>
          <w:lang w:val="ru-RU" w:eastAsia="ru-RU"/>
        </w:rPr>
        <w:drawing>
          <wp:inline distT="0" distB="0" distL="0" distR="0" wp14:anchorId="7CF8C76D" wp14:editId="6F07A43E">
            <wp:extent cx="5470366" cy="2663687"/>
            <wp:effectExtent l="0" t="0" r="0" b="381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538945" cy="2697080"/>
                    </a:xfrm>
                    <a:prstGeom prst="rect">
                      <a:avLst/>
                    </a:prstGeom>
                    <a:noFill/>
                  </pic:spPr>
                </pic:pic>
              </a:graphicData>
            </a:graphic>
          </wp:inline>
        </w:drawing>
      </w:r>
    </w:p>
    <w:p w:rsidR="00B70AF5" w:rsidRPr="00031E96" w:rsidRDefault="00B70AF5" w:rsidP="00604C6C">
      <w:pPr>
        <w:widowControl w:val="0"/>
        <w:ind w:firstLine="720"/>
        <w:rPr>
          <w:szCs w:val="28"/>
          <w:lang w:val="ru-RU"/>
        </w:rPr>
      </w:pPr>
      <w:r w:rsidRPr="00B70AF5">
        <w:rPr>
          <w:szCs w:val="28"/>
        </w:rPr>
        <w:t>Рис. 3.2. Рівень смертності дітей України у віці до 5 років життя (повіковий коефіцієнт загальний та за статтю, на 1</w:t>
      </w:r>
      <w:r w:rsidR="00031E96">
        <w:rPr>
          <w:szCs w:val="28"/>
        </w:rPr>
        <w:t>00 тис. осіб відповідного віку)</w:t>
      </w:r>
    </w:p>
    <w:p w:rsidR="002E2D21" w:rsidRPr="00006A39" w:rsidRDefault="002E2D21" w:rsidP="002E2D21">
      <w:pPr>
        <w:widowControl w:val="0"/>
        <w:ind w:firstLine="720"/>
        <w:rPr>
          <w:szCs w:val="28"/>
        </w:rPr>
      </w:pPr>
      <w:r w:rsidRPr="00006A39">
        <w:rPr>
          <w:szCs w:val="28"/>
        </w:rPr>
        <w:lastRenderedPageBreak/>
        <w:t>Подальший аналіз вікової структури показника смертності виявив, що за період спостереження повікова структура показника смертності за 2014-2018 рр. майже не змінилась, оскільки переважна частка випадків смерті припадала на дітей віком до 1-го року життя, відповідно 82,5% та 82,3%</w:t>
      </w:r>
      <w:r>
        <w:rPr>
          <w:szCs w:val="28"/>
        </w:rPr>
        <w:t xml:space="preserve"> (р=0,532)</w:t>
      </w:r>
      <w:r w:rsidRPr="00006A39">
        <w:rPr>
          <w:szCs w:val="28"/>
        </w:rPr>
        <w:t xml:space="preserve"> (табл.3.1). </w:t>
      </w:r>
    </w:p>
    <w:p w:rsidR="002E2D21" w:rsidRPr="00006A39" w:rsidRDefault="002E2D21" w:rsidP="002E2D21">
      <w:pPr>
        <w:widowControl w:val="0"/>
        <w:jc w:val="right"/>
        <w:rPr>
          <w:rFonts w:eastAsia="Times New Roman"/>
          <w:i/>
          <w:szCs w:val="28"/>
          <w:lang w:eastAsia="ru-RU"/>
        </w:rPr>
      </w:pPr>
      <w:r w:rsidRPr="00006A39">
        <w:rPr>
          <w:rFonts w:eastAsia="Times New Roman"/>
          <w:i/>
          <w:szCs w:val="28"/>
          <w:lang w:eastAsia="ru-RU"/>
        </w:rPr>
        <w:t xml:space="preserve">Таблиця 3.1 </w:t>
      </w:r>
    </w:p>
    <w:p w:rsidR="002E2D21" w:rsidRPr="00006A39" w:rsidRDefault="002E2D21" w:rsidP="002E2D21">
      <w:pPr>
        <w:widowControl w:val="0"/>
        <w:jc w:val="center"/>
        <w:rPr>
          <w:rFonts w:eastAsia="Times New Roman"/>
          <w:b/>
          <w:szCs w:val="28"/>
          <w:lang w:eastAsia="ru-RU"/>
        </w:rPr>
      </w:pPr>
      <w:r w:rsidRPr="00006A39">
        <w:rPr>
          <w:rFonts w:eastAsia="Times New Roman"/>
          <w:b/>
          <w:szCs w:val="28"/>
          <w:lang w:eastAsia="ru-RU"/>
        </w:rPr>
        <w:t>Динаміка вікової структури смертності дітей до 5 років</w:t>
      </w:r>
      <w:r w:rsidRPr="00006A39">
        <w:rPr>
          <w:color w:val="FF0000"/>
          <w:szCs w:val="28"/>
        </w:rPr>
        <w:t xml:space="preserve"> </w:t>
      </w:r>
      <w:r w:rsidRPr="00006A39">
        <w:rPr>
          <w:b/>
          <w:szCs w:val="28"/>
        </w:rPr>
        <w:t>життя</w:t>
      </w:r>
      <w:r w:rsidRPr="00006A39">
        <w:rPr>
          <w:rFonts w:eastAsia="Times New Roman"/>
          <w:b/>
          <w:szCs w:val="28"/>
          <w:lang w:eastAsia="ru-RU"/>
        </w:rPr>
        <w:t xml:space="preserve">, </w:t>
      </w:r>
    </w:p>
    <w:p w:rsidR="002E2D21" w:rsidRPr="00006A39" w:rsidRDefault="002E2D21" w:rsidP="002E2D21">
      <w:pPr>
        <w:widowControl w:val="0"/>
        <w:jc w:val="center"/>
        <w:rPr>
          <w:rFonts w:eastAsia="Times New Roman"/>
          <w:b/>
          <w:szCs w:val="28"/>
          <w:lang w:eastAsia="ru-RU"/>
        </w:rPr>
      </w:pPr>
      <w:r w:rsidRPr="00006A39">
        <w:rPr>
          <w:rFonts w:eastAsia="Times New Roman"/>
          <w:b/>
          <w:szCs w:val="28"/>
          <w:lang w:eastAsia="ru-RU"/>
        </w:rPr>
        <w:t>2014-2018 рр. (%)</w:t>
      </w:r>
    </w:p>
    <w:tbl>
      <w:tblPr>
        <w:tblStyle w:val="41"/>
        <w:tblW w:w="0" w:type="auto"/>
        <w:jc w:val="center"/>
        <w:tblLook w:val="01E0" w:firstRow="1" w:lastRow="1" w:firstColumn="1" w:lastColumn="1" w:noHBand="0" w:noVBand="0"/>
      </w:tblPr>
      <w:tblGrid>
        <w:gridCol w:w="2547"/>
        <w:gridCol w:w="1417"/>
        <w:gridCol w:w="1418"/>
        <w:gridCol w:w="1417"/>
        <w:gridCol w:w="1276"/>
        <w:gridCol w:w="1270"/>
      </w:tblGrid>
      <w:tr w:rsidR="002E2D21" w:rsidRPr="00006A39" w:rsidTr="008D766B">
        <w:trPr>
          <w:jc w:val="center"/>
        </w:trPr>
        <w:tc>
          <w:tcPr>
            <w:tcW w:w="2547" w:type="dxa"/>
          </w:tcPr>
          <w:p w:rsidR="002E2D21" w:rsidRPr="00006A39" w:rsidRDefault="002E2D21" w:rsidP="008D766B">
            <w:pPr>
              <w:widowControl w:val="0"/>
              <w:spacing w:line="360" w:lineRule="auto"/>
              <w:jc w:val="center"/>
              <w:rPr>
                <w:rFonts w:ascii="Times New Roman" w:hAnsi="Times New Roman"/>
                <w:sz w:val="28"/>
                <w:szCs w:val="28"/>
                <w:lang w:eastAsia="ru-RU"/>
              </w:rPr>
            </w:pPr>
            <w:r w:rsidRPr="00006A39">
              <w:rPr>
                <w:rFonts w:ascii="Times New Roman" w:hAnsi="Times New Roman"/>
                <w:sz w:val="28"/>
                <w:szCs w:val="28"/>
                <w:lang w:eastAsia="ru-RU"/>
              </w:rPr>
              <w:t xml:space="preserve">Вік дитини </w:t>
            </w:r>
          </w:p>
        </w:tc>
        <w:tc>
          <w:tcPr>
            <w:tcW w:w="1417" w:type="dxa"/>
          </w:tcPr>
          <w:p w:rsidR="002E2D21" w:rsidRPr="00006A39" w:rsidRDefault="002E2D21" w:rsidP="008D766B">
            <w:pPr>
              <w:widowControl w:val="0"/>
              <w:spacing w:line="360" w:lineRule="auto"/>
              <w:jc w:val="center"/>
              <w:rPr>
                <w:rFonts w:ascii="Times New Roman" w:hAnsi="Times New Roman"/>
                <w:sz w:val="28"/>
                <w:szCs w:val="28"/>
                <w:lang w:eastAsia="ru-RU"/>
              </w:rPr>
            </w:pPr>
            <w:r w:rsidRPr="00006A39">
              <w:rPr>
                <w:rFonts w:ascii="Times New Roman" w:hAnsi="Times New Roman"/>
                <w:sz w:val="28"/>
                <w:szCs w:val="28"/>
                <w:lang w:eastAsia="ru-RU"/>
              </w:rPr>
              <w:t xml:space="preserve">2014 </w:t>
            </w:r>
            <w:r w:rsidR="00604C6C">
              <w:rPr>
                <w:rFonts w:ascii="Times New Roman" w:hAnsi="Times New Roman"/>
                <w:sz w:val="28"/>
                <w:szCs w:val="28"/>
                <w:lang w:eastAsia="ru-RU"/>
              </w:rPr>
              <w:t>р.</w:t>
            </w:r>
          </w:p>
        </w:tc>
        <w:tc>
          <w:tcPr>
            <w:tcW w:w="1418" w:type="dxa"/>
          </w:tcPr>
          <w:p w:rsidR="002E2D21" w:rsidRPr="00006A39" w:rsidRDefault="002E2D21" w:rsidP="008D766B">
            <w:pPr>
              <w:widowControl w:val="0"/>
              <w:spacing w:line="360" w:lineRule="auto"/>
              <w:jc w:val="center"/>
              <w:rPr>
                <w:rFonts w:ascii="Times New Roman" w:hAnsi="Times New Roman"/>
                <w:sz w:val="28"/>
                <w:szCs w:val="28"/>
                <w:lang w:eastAsia="ru-RU"/>
              </w:rPr>
            </w:pPr>
            <w:r w:rsidRPr="00006A39">
              <w:rPr>
                <w:rFonts w:ascii="Times New Roman" w:hAnsi="Times New Roman"/>
                <w:sz w:val="28"/>
                <w:szCs w:val="28"/>
                <w:lang w:eastAsia="ru-RU"/>
              </w:rPr>
              <w:t>2015</w:t>
            </w:r>
            <w:r w:rsidR="00604C6C">
              <w:rPr>
                <w:rFonts w:ascii="Times New Roman" w:hAnsi="Times New Roman"/>
                <w:sz w:val="28"/>
                <w:szCs w:val="28"/>
                <w:lang w:eastAsia="ru-RU"/>
              </w:rPr>
              <w:t xml:space="preserve"> р.</w:t>
            </w:r>
            <w:r w:rsidRPr="00006A39">
              <w:rPr>
                <w:rFonts w:ascii="Times New Roman" w:hAnsi="Times New Roman"/>
                <w:sz w:val="28"/>
                <w:szCs w:val="28"/>
                <w:lang w:eastAsia="ru-RU"/>
              </w:rPr>
              <w:t xml:space="preserve"> </w:t>
            </w:r>
          </w:p>
        </w:tc>
        <w:tc>
          <w:tcPr>
            <w:tcW w:w="1417" w:type="dxa"/>
          </w:tcPr>
          <w:p w:rsidR="002E2D21" w:rsidRPr="00006A39" w:rsidRDefault="002E2D21" w:rsidP="008D766B">
            <w:pPr>
              <w:widowControl w:val="0"/>
              <w:spacing w:line="360" w:lineRule="auto"/>
              <w:jc w:val="center"/>
              <w:rPr>
                <w:rFonts w:ascii="Times New Roman" w:hAnsi="Times New Roman"/>
                <w:sz w:val="28"/>
                <w:szCs w:val="28"/>
                <w:lang w:eastAsia="ru-RU"/>
              </w:rPr>
            </w:pPr>
            <w:r w:rsidRPr="00006A39">
              <w:rPr>
                <w:rFonts w:ascii="Times New Roman" w:hAnsi="Times New Roman"/>
                <w:sz w:val="28"/>
                <w:szCs w:val="28"/>
                <w:lang w:eastAsia="ru-RU"/>
              </w:rPr>
              <w:t>2016</w:t>
            </w:r>
            <w:r w:rsidR="00604C6C">
              <w:rPr>
                <w:rFonts w:ascii="Times New Roman" w:hAnsi="Times New Roman"/>
                <w:sz w:val="28"/>
                <w:szCs w:val="28"/>
                <w:lang w:eastAsia="ru-RU"/>
              </w:rPr>
              <w:t xml:space="preserve"> р.</w:t>
            </w:r>
            <w:r w:rsidRPr="00006A39">
              <w:rPr>
                <w:rFonts w:ascii="Times New Roman" w:hAnsi="Times New Roman"/>
                <w:sz w:val="28"/>
                <w:szCs w:val="28"/>
                <w:lang w:eastAsia="ru-RU"/>
              </w:rPr>
              <w:t xml:space="preserve"> </w:t>
            </w:r>
          </w:p>
        </w:tc>
        <w:tc>
          <w:tcPr>
            <w:tcW w:w="1276" w:type="dxa"/>
          </w:tcPr>
          <w:p w:rsidR="002E2D21" w:rsidRPr="00006A39" w:rsidRDefault="002E2D21" w:rsidP="008D766B">
            <w:pPr>
              <w:widowControl w:val="0"/>
              <w:spacing w:line="360" w:lineRule="auto"/>
              <w:jc w:val="center"/>
              <w:rPr>
                <w:rFonts w:ascii="Times New Roman" w:hAnsi="Times New Roman"/>
                <w:sz w:val="28"/>
                <w:szCs w:val="28"/>
                <w:lang w:eastAsia="ru-RU"/>
              </w:rPr>
            </w:pPr>
            <w:r w:rsidRPr="00006A39">
              <w:rPr>
                <w:rFonts w:ascii="Times New Roman" w:hAnsi="Times New Roman"/>
                <w:sz w:val="28"/>
                <w:szCs w:val="28"/>
                <w:lang w:eastAsia="ru-RU"/>
              </w:rPr>
              <w:t>2017</w:t>
            </w:r>
            <w:r w:rsidR="00604C6C">
              <w:rPr>
                <w:rFonts w:ascii="Times New Roman" w:hAnsi="Times New Roman"/>
                <w:sz w:val="28"/>
                <w:szCs w:val="28"/>
                <w:lang w:eastAsia="ru-RU"/>
              </w:rPr>
              <w:t xml:space="preserve"> р.</w:t>
            </w:r>
            <w:r w:rsidRPr="00006A39">
              <w:rPr>
                <w:rFonts w:ascii="Times New Roman" w:hAnsi="Times New Roman"/>
                <w:sz w:val="28"/>
                <w:szCs w:val="28"/>
                <w:lang w:eastAsia="ru-RU"/>
              </w:rPr>
              <w:t xml:space="preserve"> </w:t>
            </w:r>
          </w:p>
        </w:tc>
        <w:tc>
          <w:tcPr>
            <w:tcW w:w="1270" w:type="dxa"/>
          </w:tcPr>
          <w:p w:rsidR="002E2D21" w:rsidRPr="00006A39" w:rsidRDefault="002E2D21" w:rsidP="008D766B">
            <w:pPr>
              <w:widowControl w:val="0"/>
              <w:spacing w:line="360" w:lineRule="auto"/>
              <w:jc w:val="center"/>
              <w:rPr>
                <w:rFonts w:ascii="Times New Roman" w:hAnsi="Times New Roman"/>
                <w:sz w:val="28"/>
                <w:szCs w:val="28"/>
                <w:lang w:eastAsia="ru-RU"/>
              </w:rPr>
            </w:pPr>
            <w:r w:rsidRPr="00006A39">
              <w:rPr>
                <w:rFonts w:ascii="Times New Roman" w:hAnsi="Times New Roman"/>
                <w:sz w:val="28"/>
                <w:szCs w:val="28"/>
                <w:lang w:eastAsia="ru-RU"/>
              </w:rPr>
              <w:t>2018</w:t>
            </w:r>
            <w:r w:rsidR="00604C6C">
              <w:rPr>
                <w:rFonts w:ascii="Times New Roman" w:hAnsi="Times New Roman"/>
                <w:sz w:val="28"/>
                <w:szCs w:val="28"/>
                <w:lang w:eastAsia="ru-RU"/>
              </w:rPr>
              <w:t xml:space="preserve"> р.</w:t>
            </w:r>
            <w:r w:rsidRPr="00006A39">
              <w:rPr>
                <w:rFonts w:ascii="Times New Roman" w:hAnsi="Times New Roman"/>
                <w:sz w:val="28"/>
                <w:szCs w:val="28"/>
                <w:lang w:eastAsia="ru-RU"/>
              </w:rPr>
              <w:t xml:space="preserve"> </w:t>
            </w:r>
          </w:p>
        </w:tc>
      </w:tr>
      <w:tr w:rsidR="002E2D21" w:rsidRPr="00006A39" w:rsidTr="008D766B">
        <w:trPr>
          <w:jc w:val="center"/>
        </w:trPr>
        <w:tc>
          <w:tcPr>
            <w:tcW w:w="2547" w:type="dxa"/>
          </w:tcPr>
          <w:p w:rsidR="002E2D21" w:rsidRPr="00006A39" w:rsidRDefault="002E2D21" w:rsidP="008D766B">
            <w:pPr>
              <w:widowControl w:val="0"/>
              <w:spacing w:line="360" w:lineRule="auto"/>
              <w:jc w:val="center"/>
              <w:rPr>
                <w:rFonts w:ascii="Times New Roman" w:hAnsi="Times New Roman"/>
                <w:sz w:val="28"/>
                <w:szCs w:val="28"/>
                <w:lang w:eastAsia="ru-RU"/>
              </w:rPr>
            </w:pPr>
            <w:r w:rsidRPr="00006A39">
              <w:rPr>
                <w:rFonts w:ascii="Times New Roman" w:hAnsi="Times New Roman"/>
                <w:sz w:val="28"/>
                <w:szCs w:val="28"/>
                <w:lang w:eastAsia="ru-RU"/>
              </w:rPr>
              <w:t>до 1-го року</w:t>
            </w:r>
          </w:p>
        </w:tc>
        <w:tc>
          <w:tcPr>
            <w:tcW w:w="1417" w:type="dxa"/>
          </w:tcPr>
          <w:p w:rsidR="002E2D21" w:rsidRPr="00006A39" w:rsidRDefault="002E2D21" w:rsidP="008D766B">
            <w:pPr>
              <w:widowControl w:val="0"/>
              <w:spacing w:line="360" w:lineRule="auto"/>
              <w:jc w:val="center"/>
              <w:rPr>
                <w:rFonts w:ascii="Times New Roman" w:hAnsi="Times New Roman"/>
                <w:sz w:val="28"/>
                <w:szCs w:val="28"/>
              </w:rPr>
            </w:pPr>
            <w:r w:rsidRPr="00006A39">
              <w:rPr>
                <w:rFonts w:ascii="Times New Roman" w:hAnsi="Times New Roman"/>
                <w:sz w:val="28"/>
                <w:szCs w:val="28"/>
              </w:rPr>
              <w:t>82,5</w:t>
            </w:r>
          </w:p>
        </w:tc>
        <w:tc>
          <w:tcPr>
            <w:tcW w:w="1418" w:type="dxa"/>
          </w:tcPr>
          <w:p w:rsidR="002E2D21" w:rsidRPr="00006A39" w:rsidRDefault="002E2D21" w:rsidP="008D766B">
            <w:pPr>
              <w:widowControl w:val="0"/>
              <w:spacing w:line="360" w:lineRule="auto"/>
              <w:jc w:val="center"/>
              <w:rPr>
                <w:rFonts w:ascii="Times New Roman" w:hAnsi="Times New Roman"/>
                <w:sz w:val="28"/>
                <w:szCs w:val="28"/>
              </w:rPr>
            </w:pPr>
            <w:r w:rsidRPr="00006A39">
              <w:rPr>
                <w:rFonts w:ascii="Times New Roman" w:hAnsi="Times New Roman"/>
                <w:sz w:val="28"/>
                <w:szCs w:val="28"/>
              </w:rPr>
              <w:t>83,4</w:t>
            </w:r>
          </w:p>
        </w:tc>
        <w:tc>
          <w:tcPr>
            <w:tcW w:w="1417" w:type="dxa"/>
          </w:tcPr>
          <w:p w:rsidR="002E2D21" w:rsidRPr="00006A39" w:rsidRDefault="002E2D21" w:rsidP="008D766B">
            <w:pPr>
              <w:widowControl w:val="0"/>
              <w:spacing w:line="360" w:lineRule="auto"/>
              <w:jc w:val="center"/>
              <w:rPr>
                <w:rFonts w:ascii="Times New Roman" w:hAnsi="Times New Roman"/>
                <w:sz w:val="28"/>
                <w:szCs w:val="28"/>
              </w:rPr>
            </w:pPr>
            <w:r w:rsidRPr="00006A39">
              <w:rPr>
                <w:rFonts w:ascii="Times New Roman" w:hAnsi="Times New Roman"/>
                <w:sz w:val="28"/>
                <w:szCs w:val="28"/>
              </w:rPr>
              <w:t>81,9</w:t>
            </w:r>
          </w:p>
        </w:tc>
        <w:tc>
          <w:tcPr>
            <w:tcW w:w="1276" w:type="dxa"/>
          </w:tcPr>
          <w:p w:rsidR="002E2D21" w:rsidRPr="00006A39" w:rsidRDefault="002E2D21" w:rsidP="008D766B">
            <w:pPr>
              <w:widowControl w:val="0"/>
              <w:spacing w:line="360" w:lineRule="auto"/>
              <w:jc w:val="center"/>
              <w:rPr>
                <w:rFonts w:ascii="Times New Roman" w:hAnsi="Times New Roman"/>
                <w:sz w:val="28"/>
                <w:szCs w:val="28"/>
                <w:lang w:eastAsia="ru-RU"/>
              </w:rPr>
            </w:pPr>
            <w:r w:rsidRPr="00006A39">
              <w:rPr>
                <w:rFonts w:ascii="Times New Roman" w:hAnsi="Times New Roman"/>
                <w:sz w:val="28"/>
                <w:szCs w:val="28"/>
                <w:lang w:eastAsia="ru-RU"/>
              </w:rPr>
              <w:t>81,7</w:t>
            </w:r>
          </w:p>
        </w:tc>
        <w:tc>
          <w:tcPr>
            <w:tcW w:w="1270" w:type="dxa"/>
          </w:tcPr>
          <w:p w:rsidR="002E2D21" w:rsidRPr="00006A39" w:rsidRDefault="002E2D21" w:rsidP="008D766B">
            <w:pPr>
              <w:widowControl w:val="0"/>
              <w:spacing w:line="360" w:lineRule="auto"/>
              <w:jc w:val="center"/>
              <w:rPr>
                <w:rFonts w:ascii="Times New Roman" w:hAnsi="Times New Roman"/>
                <w:sz w:val="28"/>
                <w:szCs w:val="28"/>
                <w:lang w:eastAsia="ru-RU"/>
              </w:rPr>
            </w:pPr>
            <w:r w:rsidRPr="00006A39">
              <w:rPr>
                <w:rFonts w:ascii="Times New Roman" w:hAnsi="Times New Roman"/>
                <w:sz w:val="28"/>
                <w:szCs w:val="28"/>
                <w:lang w:eastAsia="ru-RU"/>
              </w:rPr>
              <w:t>82,3</w:t>
            </w:r>
          </w:p>
        </w:tc>
      </w:tr>
      <w:tr w:rsidR="002E2D21" w:rsidRPr="00006A39" w:rsidTr="008D766B">
        <w:trPr>
          <w:jc w:val="center"/>
        </w:trPr>
        <w:tc>
          <w:tcPr>
            <w:tcW w:w="2547" w:type="dxa"/>
          </w:tcPr>
          <w:p w:rsidR="002E2D21" w:rsidRPr="00006A39" w:rsidRDefault="002E2D21" w:rsidP="008D766B">
            <w:pPr>
              <w:widowControl w:val="0"/>
              <w:spacing w:line="360" w:lineRule="auto"/>
              <w:jc w:val="center"/>
              <w:rPr>
                <w:rFonts w:ascii="Times New Roman" w:hAnsi="Times New Roman"/>
                <w:sz w:val="28"/>
                <w:szCs w:val="28"/>
                <w:lang w:eastAsia="ru-RU"/>
              </w:rPr>
            </w:pPr>
            <w:r w:rsidRPr="00006A39">
              <w:rPr>
                <w:rFonts w:ascii="Times New Roman" w:hAnsi="Times New Roman"/>
                <w:sz w:val="28"/>
                <w:szCs w:val="28"/>
                <w:lang w:eastAsia="ru-RU"/>
              </w:rPr>
              <w:t>1-4 роки</w:t>
            </w:r>
          </w:p>
        </w:tc>
        <w:tc>
          <w:tcPr>
            <w:tcW w:w="1417" w:type="dxa"/>
          </w:tcPr>
          <w:p w:rsidR="002E2D21" w:rsidRPr="00006A39" w:rsidRDefault="002E2D21" w:rsidP="008D766B">
            <w:pPr>
              <w:widowControl w:val="0"/>
              <w:spacing w:line="360" w:lineRule="auto"/>
              <w:jc w:val="center"/>
              <w:rPr>
                <w:rFonts w:ascii="Times New Roman" w:hAnsi="Times New Roman"/>
                <w:sz w:val="28"/>
                <w:szCs w:val="28"/>
              </w:rPr>
            </w:pPr>
            <w:r w:rsidRPr="00006A39">
              <w:rPr>
                <w:rFonts w:ascii="Times New Roman" w:hAnsi="Times New Roman"/>
                <w:sz w:val="28"/>
                <w:szCs w:val="28"/>
              </w:rPr>
              <w:t>17,5</w:t>
            </w:r>
          </w:p>
        </w:tc>
        <w:tc>
          <w:tcPr>
            <w:tcW w:w="1418" w:type="dxa"/>
          </w:tcPr>
          <w:p w:rsidR="002E2D21" w:rsidRPr="00006A39" w:rsidRDefault="002E2D21" w:rsidP="008D766B">
            <w:pPr>
              <w:widowControl w:val="0"/>
              <w:spacing w:line="360" w:lineRule="auto"/>
              <w:jc w:val="center"/>
              <w:rPr>
                <w:rFonts w:ascii="Times New Roman" w:hAnsi="Times New Roman"/>
                <w:sz w:val="28"/>
                <w:szCs w:val="28"/>
              </w:rPr>
            </w:pPr>
            <w:r w:rsidRPr="00006A39">
              <w:rPr>
                <w:rFonts w:ascii="Times New Roman" w:hAnsi="Times New Roman"/>
                <w:sz w:val="28"/>
                <w:szCs w:val="28"/>
              </w:rPr>
              <w:t>16,6</w:t>
            </w:r>
          </w:p>
        </w:tc>
        <w:tc>
          <w:tcPr>
            <w:tcW w:w="1417" w:type="dxa"/>
          </w:tcPr>
          <w:p w:rsidR="002E2D21" w:rsidRPr="00006A39" w:rsidRDefault="002E2D21" w:rsidP="008D766B">
            <w:pPr>
              <w:widowControl w:val="0"/>
              <w:spacing w:line="360" w:lineRule="auto"/>
              <w:jc w:val="center"/>
              <w:rPr>
                <w:rFonts w:ascii="Times New Roman" w:hAnsi="Times New Roman"/>
                <w:sz w:val="28"/>
                <w:szCs w:val="28"/>
              </w:rPr>
            </w:pPr>
            <w:r w:rsidRPr="00006A39">
              <w:rPr>
                <w:rFonts w:ascii="Times New Roman" w:hAnsi="Times New Roman"/>
                <w:sz w:val="28"/>
                <w:szCs w:val="28"/>
              </w:rPr>
              <w:t>18,1</w:t>
            </w:r>
          </w:p>
        </w:tc>
        <w:tc>
          <w:tcPr>
            <w:tcW w:w="1276" w:type="dxa"/>
          </w:tcPr>
          <w:p w:rsidR="002E2D21" w:rsidRPr="00006A39" w:rsidRDefault="002E2D21" w:rsidP="008D766B">
            <w:pPr>
              <w:widowControl w:val="0"/>
              <w:spacing w:line="360" w:lineRule="auto"/>
              <w:jc w:val="center"/>
              <w:rPr>
                <w:rFonts w:ascii="Times New Roman" w:hAnsi="Times New Roman"/>
                <w:sz w:val="28"/>
                <w:szCs w:val="28"/>
                <w:lang w:eastAsia="ru-RU"/>
              </w:rPr>
            </w:pPr>
            <w:r w:rsidRPr="00006A39">
              <w:rPr>
                <w:rFonts w:ascii="Times New Roman" w:hAnsi="Times New Roman"/>
                <w:sz w:val="28"/>
                <w:szCs w:val="28"/>
                <w:lang w:eastAsia="ru-RU"/>
              </w:rPr>
              <w:t>18,3</w:t>
            </w:r>
          </w:p>
        </w:tc>
        <w:tc>
          <w:tcPr>
            <w:tcW w:w="1270" w:type="dxa"/>
          </w:tcPr>
          <w:p w:rsidR="002E2D21" w:rsidRPr="00006A39" w:rsidRDefault="002E2D21" w:rsidP="008D766B">
            <w:pPr>
              <w:widowControl w:val="0"/>
              <w:spacing w:line="360" w:lineRule="auto"/>
              <w:jc w:val="center"/>
              <w:rPr>
                <w:rFonts w:ascii="Times New Roman" w:hAnsi="Times New Roman"/>
                <w:sz w:val="28"/>
                <w:szCs w:val="28"/>
                <w:lang w:eastAsia="ru-RU"/>
              </w:rPr>
            </w:pPr>
            <w:r w:rsidRPr="00006A39">
              <w:rPr>
                <w:rFonts w:ascii="Times New Roman" w:hAnsi="Times New Roman"/>
                <w:sz w:val="28"/>
                <w:szCs w:val="28"/>
                <w:lang w:eastAsia="ru-RU"/>
              </w:rPr>
              <w:t>17,7</w:t>
            </w:r>
          </w:p>
        </w:tc>
      </w:tr>
    </w:tbl>
    <w:p w:rsidR="00530928" w:rsidRDefault="00530928" w:rsidP="002E2D21">
      <w:pPr>
        <w:widowControl w:val="0"/>
        <w:ind w:firstLine="709"/>
        <w:rPr>
          <w:szCs w:val="28"/>
        </w:rPr>
      </w:pPr>
    </w:p>
    <w:p w:rsidR="002E2D21" w:rsidRPr="00006A39" w:rsidRDefault="002E2D21" w:rsidP="002E2D21">
      <w:pPr>
        <w:widowControl w:val="0"/>
        <w:ind w:firstLine="709"/>
        <w:rPr>
          <w:szCs w:val="28"/>
        </w:rPr>
      </w:pPr>
      <w:r w:rsidRPr="00006A39">
        <w:rPr>
          <w:szCs w:val="28"/>
        </w:rPr>
        <w:t>Проте з розрахунку на 100 тис осіб відповідного віку за 2014-2018 рр. показник смертності дітей віком до 1 року</w:t>
      </w:r>
      <w:r w:rsidRPr="00006A39">
        <w:rPr>
          <w:color w:val="FF0000"/>
          <w:szCs w:val="28"/>
        </w:rPr>
        <w:t xml:space="preserve"> </w:t>
      </w:r>
      <w:r w:rsidRPr="00006A39">
        <w:rPr>
          <w:szCs w:val="28"/>
        </w:rPr>
        <w:t xml:space="preserve">життя знизився на 11,8% (з 781,9 до 689,3 р=0,0001), та дітей  віком 1-4 роки – на 19,9% (з 40,8 до 32,7 на 100 тис </w:t>
      </w:r>
      <w:r w:rsidR="00AE6381">
        <w:rPr>
          <w:szCs w:val="28"/>
        </w:rPr>
        <w:t>осіб відповідного віку) (рис.3.3</w:t>
      </w:r>
      <w:r w:rsidRPr="00006A39">
        <w:rPr>
          <w:szCs w:val="28"/>
        </w:rPr>
        <w:t xml:space="preserve">). У 2018 р. </w:t>
      </w:r>
      <w:r w:rsidRPr="00006A39">
        <w:rPr>
          <w:color w:val="000000" w:themeColor="text1"/>
          <w:szCs w:val="28"/>
        </w:rPr>
        <w:t xml:space="preserve">шанси дитини померти упродовж першого року життя становили ВШ 0,91 (95% ДІ 0,86-0,96, </w:t>
      </w:r>
      <w:r w:rsidRPr="00006A39">
        <w:rPr>
          <w:szCs w:val="28"/>
        </w:rPr>
        <w:t>р=0,0001), а упродовж 1-4 роки життя – 0,81 (95% ДІ 0,72-0,90), р=0,0002.</w:t>
      </w:r>
    </w:p>
    <w:p w:rsidR="002E2D21" w:rsidRPr="00006A39" w:rsidRDefault="002E2D21" w:rsidP="002E2D21">
      <w:pPr>
        <w:widowControl w:val="0"/>
        <w:jc w:val="center"/>
        <w:rPr>
          <w:szCs w:val="28"/>
        </w:rPr>
      </w:pPr>
      <w:r w:rsidRPr="00006A39">
        <w:rPr>
          <w:noProof/>
          <w:szCs w:val="28"/>
          <w:lang w:val="ru-RU" w:eastAsia="ru-RU"/>
        </w:rPr>
        <w:drawing>
          <wp:inline distT="0" distB="0" distL="0" distR="0" wp14:anchorId="1334E446" wp14:editId="6F260DBF">
            <wp:extent cx="6508400" cy="3084493"/>
            <wp:effectExtent l="0" t="0" r="0"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6601575" cy="3128651"/>
                    </a:xfrm>
                    <a:prstGeom prst="rect">
                      <a:avLst/>
                    </a:prstGeom>
                    <a:noFill/>
                  </pic:spPr>
                </pic:pic>
              </a:graphicData>
            </a:graphic>
          </wp:inline>
        </w:drawing>
      </w:r>
    </w:p>
    <w:p w:rsidR="002E2D21" w:rsidRPr="00006A39" w:rsidRDefault="002E2D21" w:rsidP="002E2D21">
      <w:pPr>
        <w:widowControl w:val="0"/>
        <w:spacing w:after="120"/>
        <w:rPr>
          <w:szCs w:val="28"/>
        </w:rPr>
      </w:pPr>
      <w:r w:rsidRPr="00006A39">
        <w:rPr>
          <w:b/>
          <w:szCs w:val="28"/>
        </w:rPr>
        <w:tab/>
      </w:r>
      <w:r w:rsidR="00AE6381">
        <w:rPr>
          <w:szCs w:val="28"/>
        </w:rPr>
        <w:t>Рис. 3.3</w:t>
      </w:r>
      <w:r w:rsidRPr="00006A39">
        <w:rPr>
          <w:szCs w:val="28"/>
        </w:rPr>
        <w:t>. Динаміка (2014-2018 р.) показників смертності дітей віком до 1 року та 1-4 роки в Україні</w:t>
      </w:r>
    </w:p>
    <w:p w:rsidR="00092DF1" w:rsidRPr="00312A18" w:rsidRDefault="00092DF1" w:rsidP="00092DF1">
      <w:pPr>
        <w:widowControl w:val="0"/>
        <w:ind w:firstLine="720"/>
        <w:rPr>
          <w:szCs w:val="28"/>
        </w:rPr>
      </w:pPr>
      <w:r w:rsidRPr="001B4847">
        <w:rPr>
          <w:szCs w:val="28"/>
        </w:rPr>
        <w:lastRenderedPageBreak/>
        <w:t>За період  дослідження вивчено та проаналізовано вікові коефіцієнти</w:t>
      </w:r>
      <w:r w:rsidR="00031E96">
        <w:rPr>
          <w:szCs w:val="28"/>
        </w:rPr>
        <w:t xml:space="preserve"> смертності дітей у віці до 5</w:t>
      </w:r>
      <w:r w:rsidRPr="001B4847">
        <w:rPr>
          <w:szCs w:val="28"/>
        </w:rPr>
        <w:t xml:space="preserve"> років життя за регіонами країни: у 2018 р. спостерігається перевищення  загальноукраїнського показника</w:t>
      </w:r>
      <w:r w:rsidR="00031E96">
        <w:rPr>
          <w:szCs w:val="28"/>
        </w:rPr>
        <w:t xml:space="preserve"> смертності дітей у віці до 5</w:t>
      </w:r>
      <w:r w:rsidRPr="001B4847">
        <w:rPr>
          <w:szCs w:val="28"/>
        </w:rPr>
        <w:t xml:space="preserve"> років життя (146,9 на 100 тис осіб відповідного віку) у 12 областях: Жи</w:t>
      </w:r>
      <w:r w:rsidR="00F85009">
        <w:rPr>
          <w:szCs w:val="28"/>
        </w:rPr>
        <w:t xml:space="preserve">томирській (151,5 відповідно), </w:t>
      </w:r>
      <w:r w:rsidRPr="001B4847">
        <w:rPr>
          <w:szCs w:val="28"/>
        </w:rPr>
        <w:t>Волинській (153,2 відповідно), Запорізькій (154,4), Чернігівській (158,3), Чернівецькій (160,6), Миколаївській (160,9), Одеській (164,5), Дніпропетровській (171,5), Херсонській (174,4) областях, а також Закарпатській (238,8), Черкаській (180,7),  Кіровоградській (178,2) областях, у яких сформовано найвищі рівні вищезазначеного показника в Україні. Найнижчі рівні</w:t>
      </w:r>
      <w:r w:rsidR="00031E96">
        <w:rPr>
          <w:szCs w:val="28"/>
        </w:rPr>
        <w:t xml:space="preserve"> смертності дітей у віці до 5</w:t>
      </w:r>
      <w:r w:rsidRPr="001B4847">
        <w:rPr>
          <w:szCs w:val="28"/>
        </w:rPr>
        <w:t xml:space="preserve"> років життя зареєстровано  у Київській (99,9 на 100 тис осіб відповідного віку), Сумській (105,9 відповідно), Тернопільській (114,0 відповідно) областя</w:t>
      </w:r>
      <w:r w:rsidR="00EE6DCF">
        <w:rPr>
          <w:szCs w:val="28"/>
        </w:rPr>
        <w:t>х. Протягом періоду дослідження</w:t>
      </w:r>
      <w:r w:rsidRPr="001B4847">
        <w:rPr>
          <w:szCs w:val="28"/>
        </w:rPr>
        <w:t xml:space="preserve"> майже у всіх областях відбулось зниження повікового коефіцієнт</w:t>
      </w:r>
      <w:r w:rsidR="00031E96">
        <w:rPr>
          <w:szCs w:val="28"/>
        </w:rPr>
        <w:t>а смертності дітей віком до 5</w:t>
      </w:r>
      <w:r w:rsidRPr="001B4847">
        <w:rPr>
          <w:szCs w:val="28"/>
        </w:rPr>
        <w:t xml:space="preserve"> років життя, окрім Закарпатської області, де показник зріс на 6,4% у 2018 р. відносно 2013р</w:t>
      </w:r>
      <w:r w:rsidRPr="00312A18">
        <w:rPr>
          <w:szCs w:val="28"/>
        </w:rPr>
        <w:t>. (</w:t>
      </w:r>
      <w:r w:rsidR="00FF5173" w:rsidRPr="00312A18">
        <w:rPr>
          <w:szCs w:val="28"/>
        </w:rPr>
        <w:t>Додаток</w:t>
      </w:r>
      <w:r w:rsidRPr="00312A18">
        <w:rPr>
          <w:szCs w:val="28"/>
        </w:rPr>
        <w:t xml:space="preserve"> </w:t>
      </w:r>
      <w:r w:rsidR="00245598" w:rsidRPr="00312A18">
        <w:rPr>
          <w:szCs w:val="28"/>
        </w:rPr>
        <w:t>Б</w:t>
      </w:r>
      <w:r w:rsidRPr="00312A18">
        <w:rPr>
          <w:szCs w:val="28"/>
        </w:rPr>
        <w:t xml:space="preserve">-1). </w:t>
      </w:r>
    </w:p>
    <w:p w:rsidR="00364FF1" w:rsidRPr="00312A18" w:rsidRDefault="00092DF1" w:rsidP="00D42512">
      <w:pPr>
        <w:widowControl w:val="0"/>
        <w:ind w:firstLine="720"/>
        <w:rPr>
          <w:szCs w:val="28"/>
          <w:lang w:val="ru-RU"/>
        </w:rPr>
      </w:pPr>
      <w:r w:rsidRPr="00312A18">
        <w:rPr>
          <w:szCs w:val="28"/>
        </w:rPr>
        <w:t>Повікові регіональні показники смертності хлопчиків</w:t>
      </w:r>
      <w:r w:rsidR="00031E96">
        <w:rPr>
          <w:szCs w:val="28"/>
        </w:rPr>
        <w:t xml:space="preserve"> у віці до 5</w:t>
      </w:r>
      <w:r w:rsidRPr="00312A18">
        <w:rPr>
          <w:szCs w:val="28"/>
        </w:rPr>
        <w:t xml:space="preserve"> років життя у 2018 р. перевищує загальноукраїнський показник в 13 регіонах України, при тому що вищезазаначені показники знизились у всіх областях відносно 2014 р.</w:t>
      </w:r>
      <w:r w:rsidR="00D42512" w:rsidRPr="00312A18">
        <w:rPr>
          <w:szCs w:val="28"/>
        </w:rPr>
        <w:t xml:space="preserve"> Найвищі повікові показники смертності хлопчиків спостерігаються у Закарпатській (237,2 на 100 тис відповідного населення), Черкаській (219,5 відповідно), Херсонськ</w:t>
      </w:r>
      <w:r w:rsidR="00584D7A" w:rsidRPr="00312A18">
        <w:rPr>
          <w:szCs w:val="28"/>
        </w:rPr>
        <w:t xml:space="preserve">ій (198,4 відповідно) областях, аналогічний показник дівчаток </w:t>
      </w:r>
      <w:r w:rsidR="00D42512" w:rsidRPr="00312A18">
        <w:rPr>
          <w:szCs w:val="28"/>
        </w:rPr>
        <w:t>перевищує загальноукраїнський показник смертності дівчаток  також у 13 регіонах, найвищі рівня смертності зафіксовано у Закарпатській (240,5 на 100 тис відповідного населення),  Кіровоградській (178,6 відповідно), Одеській (158,4 відповідно), Дніпропетровській (158,1 відповідно) областях. При цьому вищезазначений показ</w:t>
      </w:r>
      <w:r w:rsidR="00031E96">
        <w:rPr>
          <w:szCs w:val="28"/>
        </w:rPr>
        <w:t>ник зріс відносно 2014 р. у 5</w:t>
      </w:r>
      <w:r w:rsidR="00D42512" w:rsidRPr="00312A18">
        <w:rPr>
          <w:szCs w:val="28"/>
        </w:rPr>
        <w:t xml:space="preserve"> областях України: Волинській на 9,7% (з 126,2 у 2014 р. до 138,4 на 100 тис відповідного населення у 2018 р.), Дніпропетровській на 1,4% (з 155,9 до 158,1 відповідно), Закарпатській на 48,4% (з 162,1 до 240,5 відповідно), Кіровоградській на 20,0%</w:t>
      </w:r>
      <w:r w:rsidR="004F28C4" w:rsidRPr="00312A18">
        <w:rPr>
          <w:szCs w:val="28"/>
        </w:rPr>
        <w:t xml:space="preserve"> </w:t>
      </w:r>
      <w:r w:rsidR="00D42512" w:rsidRPr="00312A18">
        <w:rPr>
          <w:szCs w:val="28"/>
        </w:rPr>
        <w:t>(з 148,8 до 178,6 відповідно), Чернігівській на 21,7% (з 115,0 до 139,9 відповідно)</w:t>
      </w:r>
      <w:r w:rsidR="004F28C4" w:rsidRPr="00312A18">
        <w:rPr>
          <w:szCs w:val="28"/>
        </w:rPr>
        <w:t> </w:t>
      </w:r>
      <w:r w:rsidRPr="00312A18">
        <w:rPr>
          <w:szCs w:val="28"/>
        </w:rPr>
        <w:t xml:space="preserve"> </w:t>
      </w:r>
      <w:r w:rsidR="00F425B8" w:rsidRPr="00312A18">
        <w:rPr>
          <w:szCs w:val="28"/>
        </w:rPr>
        <w:t xml:space="preserve">(Додаток </w:t>
      </w:r>
      <w:r w:rsidR="00245598" w:rsidRPr="00312A18">
        <w:rPr>
          <w:szCs w:val="28"/>
        </w:rPr>
        <w:t>Б</w:t>
      </w:r>
      <w:r w:rsidR="00F425B8" w:rsidRPr="00312A18">
        <w:rPr>
          <w:szCs w:val="28"/>
        </w:rPr>
        <w:t>-</w:t>
      </w:r>
      <w:r w:rsidR="00F425B8" w:rsidRPr="00312A18">
        <w:rPr>
          <w:szCs w:val="28"/>
          <w:lang w:val="ru-RU"/>
        </w:rPr>
        <w:t>2</w:t>
      </w:r>
      <w:r w:rsidR="00F425B8" w:rsidRPr="00312A18">
        <w:rPr>
          <w:szCs w:val="28"/>
        </w:rPr>
        <w:t xml:space="preserve">, </w:t>
      </w:r>
      <w:r w:rsidR="00245598" w:rsidRPr="00312A18">
        <w:rPr>
          <w:szCs w:val="28"/>
        </w:rPr>
        <w:t>Б</w:t>
      </w:r>
      <w:r w:rsidR="00F425B8" w:rsidRPr="00312A18">
        <w:rPr>
          <w:szCs w:val="28"/>
          <w:lang w:val="ru-RU"/>
        </w:rPr>
        <w:t>-3</w:t>
      </w:r>
      <w:r w:rsidR="00364FF1" w:rsidRPr="00312A18">
        <w:rPr>
          <w:szCs w:val="28"/>
        </w:rPr>
        <w:t>).</w:t>
      </w:r>
    </w:p>
    <w:p w:rsidR="00D96FD9" w:rsidRPr="00006A39" w:rsidRDefault="00D96FD9" w:rsidP="00721203">
      <w:pPr>
        <w:widowControl w:val="0"/>
        <w:ind w:firstLine="720"/>
        <w:rPr>
          <w:szCs w:val="28"/>
        </w:rPr>
      </w:pPr>
      <w:r w:rsidRPr="00006A39">
        <w:rPr>
          <w:szCs w:val="28"/>
        </w:rPr>
        <w:lastRenderedPageBreak/>
        <w:t>Аналізуючи динаміку характеристик варіаційного ряду показника смертності дітей віком до 5 років</w:t>
      </w:r>
      <w:r w:rsidR="00031E96">
        <w:rPr>
          <w:szCs w:val="28"/>
          <w:lang w:val="ru-RU"/>
        </w:rPr>
        <w:t xml:space="preserve"> життя</w:t>
      </w:r>
      <w:r w:rsidRPr="00006A39">
        <w:rPr>
          <w:szCs w:val="28"/>
        </w:rPr>
        <w:t xml:space="preserve"> з’ясувалось, що міжквартильний інтервал у 2014 р. та 2018 р. залишився майже на тому ж самому рівні, відповідно 40,6 та 40,</w:t>
      </w:r>
      <w:r w:rsidR="00A16600">
        <w:rPr>
          <w:szCs w:val="28"/>
        </w:rPr>
        <w:t xml:space="preserve">4, </w:t>
      </w:r>
      <w:r w:rsidRPr="00006A39">
        <w:rPr>
          <w:szCs w:val="28"/>
        </w:rPr>
        <w:t>що свідчить про наявність пролонгації суттєвих відмінностей у значеннях вказаного показника між окремими областями, і відповідно, в наданні медичної допомоги дитячому населенню</w:t>
      </w:r>
      <w:r w:rsidR="00A16600">
        <w:rPr>
          <w:szCs w:val="28"/>
        </w:rPr>
        <w:t xml:space="preserve"> </w:t>
      </w:r>
      <w:r w:rsidR="00A16600" w:rsidRPr="00A16600">
        <w:rPr>
          <w:szCs w:val="28"/>
        </w:rPr>
        <w:t>(рис.3.4</w:t>
      </w:r>
      <w:r w:rsidR="00A16600">
        <w:rPr>
          <w:szCs w:val="28"/>
        </w:rPr>
        <w:t>)</w:t>
      </w:r>
      <w:r w:rsidRPr="00006A39">
        <w:rPr>
          <w:szCs w:val="28"/>
        </w:rPr>
        <w:t xml:space="preserve">. Ми вважаємо, що у чверті областей, </w:t>
      </w:r>
      <w:r w:rsidR="00A430C1">
        <w:rPr>
          <w:szCs w:val="28"/>
        </w:rPr>
        <w:t>у</w:t>
      </w:r>
      <w:r w:rsidRPr="00006A39">
        <w:rPr>
          <w:szCs w:val="28"/>
        </w:rPr>
        <w:t xml:space="preserve"> яких пропорційний показник смертності є більше за </w:t>
      </w:r>
      <w:r w:rsidRPr="00A2242F">
        <w:rPr>
          <w:szCs w:val="28"/>
        </w:rPr>
        <w:t xml:space="preserve">164,5, </w:t>
      </w:r>
      <w:r w:rsidRPr="00006A39">
        <w:rPr>
          <w:szCs w:val="28"/>
        </w:rPr>
        <w:t>існують під</w:t>
      </w:r>
      <w:r w:rsidR="00553979">
        <w:rPr>
          <w:szCs w:val="28"/>
        </w:rPr>
        <w:t>вищені ризики виникнення смерті</w:t>
      </w:r>
      <w:r w:rsidRPr="00006A39">
        <w:rPr>
          <w:szCs w:val="28"/>
        </w:rPr>
        <w:t xml:space="preserve"> дітей, </w:t>
      </w:r>
      <w:r w:rsidR="00A430C1">
        <w:rPr>
          <w:szCs w:val="28"/>
        </w:rPr>
        <w:t>і</w:t>
      </w:r>
      <w:r w:rsidRPr="00006A39">
        <w:rPr>
          <w:szCs w:val="28"/>
        </w:rPr>
        <w:t>з яких частина потенційно можуть бути відворотними.</w:t>
      </w:r>
    </w:p>
    <w:p w:rsidR="00D96FD9" w:rsidRPr="00006A39" w:rsidRDefault="001453C9" w:rsidP="00721203">
      <w:pPr>
        <w:widowControl w:val="0"/>
        <w:rPr>
          <w:szCs w:val="28"/>
        </w:rPr>
      </w:pPr>
      <w:r w:rsidRPr="00006A39">
        <w:rPr>
          <w:noProof/>
          <w:szCs w:val="28"/>
          <w:lang w:val="ru-RU" w:eastAsia="ru-RU"/>
        </w:rPr>
        <mc:AlternateContent>
          <mc:Choice Requires="wps">
            <w:drawing>
              <wp:anchor distT="0" distB="0" distL="114300" distR="114300" simplePos="0" relativeHeight="251659264" behindDoc="0" locked="0" layoutInCell="1" allowOverlap="1" wp14:anchorId="21EA3AB2" wp14:editId="31DA7E21">
                <wp:simplePos x="0" y="0"/>
                <wp:positionH relativeFrom="column">
                  <wp:posOffset>2356485</wp:posOffset>
                </wp:positionH>
                <wp:positionV relativeFrom="paragraph">
                  <wp:posOffset>535706</wp:posOffset>
                </wp:positionV>
                <wp:extent cx="876300" cy="485775"/>
                <wp:effectExtent l="0" t="0" r="0" b="0"/>
                <wp:wrapNone/>
                <wp:docPr id="7" name="Надпись 7"/>
                <wp:cNvGraphicFramePr/>
                <a:graphic xmlns:a="http://schemas.openxmlformats.org/drawingml/2006/main">
                  <a:graphicData uri="http://schemas.microsoft.com/office/word/2010/wordprocessingShape">
                    <wps:wsp>
                      <wps:cNvSpPr txBox="1"/>
                      <wps:spPr>
                        <a:xfrm>
                          <a:off x="0" y="0"/>
                          <a:ext cx="876300" cy="485775"/>
                        </a:xfrm>
                        <a:prstGeom prst="rect">
                          <a:avLst/>
                        </a:prstGeom>
                        <a:noFill/>
                        <a:ln w="6350">
                          <a:noFill/>
                        </a:ln>
                      </wps:spPr>
                      <wps:txbx>
                        <w:txbxContent>
                          <w:p w:rsidR="001E1DF5" w:rsidRPr="00FD4E8D" w:rsidRDefault="001E1DF5" w:rsidP="00D96FD9">
                            <w:pPr>
                              <w:spacing w:line="200" w:lineRule="exact"/>
                              <w:rPr>
                                <w:sz w:val="18"/>
                                <w:szCs w:val="18"/>
                              </w:rPr>
                            </w:pPr>
                            <w:r w:rsidRPr="00FD4E8D">
                              <w:rPr>
                                <w:sz w:val="18"/>
                                <w:szCs w:val="18"/>
                              </w:rPr>
                              <w:t>Ме=186,7</w:t>
                            </w:r>
                          </w:p>
                          <w:p w:rsidR="001E1DF5" w:rsidRPr="00FD4E8D" w:rsidRDefault="001E1DF5" w:rsidP="00D96FD9">
                            <w:pPr>
                              <w:spacing w:line="200" w:lineRule="exact"/>
                              <w:rPr>
                                <w:sz w:val="18"/>
                                <w:szCs w:val="18"/>
                                <w:lang w:val="en-US"/>
                              </w:rPr>
                            </w:pPr>
                            <w:r w:rsidRPr="00FD4E8D">
                              <w:rPr>
                                <w:sz w:val="18"/>
                                <w:szCs w:val="18"/>
                                <w:lang w:val="en-US"/>
                              </w:rPr>
                              <w:t>Q1</w:t>
                            </w:r>
                            <w:r>
                              <w:rPr>
                                <w:sz w:val="18"/>
                                <w:szCs w:val="18"/>
                                <w:lang w:val="en-US"/>
                              </w:rPr>
                              <w:t>=</w:t>
                            </w:r>
                            <w:r w:rsidRPr="00FD4E8D">
                              <w:rPr>
                                <w:sz w:val="18"/>
                                <w:szCs w:val="18"/>
                                <w:lang w:val="en-US"/>
                              </w:rPr>
                              <w:t>164.9</w:t>
                            </w:r>
                          </w:p>
                          <w:p w:rsidR="001E1DF5" w:rsidRPr="00FD4E8D" w:rsidRDefault="001E1DF5" w:rsidP="00D96FD9">
                            <w:pPr>
                              <w:spacing w:line="200" w:lineRule="exact"/>
                              <w:rPr>
                                <w:sz w:val="18"/>
                                <w:szCs w:val="18"/>
                                <w:lang w:val="en-US"/>
                              </w:rPr>
                            </w:pPr>
                            <w:r w:rsidRPr="00FD4E8D">
                              <w:rPr>
                                <w:sz w:val="18"/>
                                <w:szCs w:val="18"/>
                                <w:lang w:val="en-US"/>
                              </w:rPr>
                              <w:t>Q</w:t>
                            </w:r>
                            <w:r>
                              <w:rPr>
                                <w:sz w:val="18"/>
                                <w:szCs w:val="18"/>
                                <w:lang w:val="en-US"/>
                              </w:rPr>
                              <w:t>3=</w:t>
                            </w:r>
                            <w:r w:rsidRPr="00FD4E8D">
                              <w:rPr>
                                <w:sz w:val="18"/>
                                <w:szCs w:val="18"/>
                                <w:lang w:val="en-US"/>
                              </w:rPr>
                              <w:t xml:space="preserve"> 205.5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Надпись 7" o:spid="_x0000_s1104" type="#_x0000_t202" style="position:absolute;left:0;text-align:left;margin-left:185.55pt;margin-top:42.2pt;width:69pt;height:38.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" filled="f" stroked="f" strokeweight=".5pt">
                <v:textbox>
                  <w:txbxContent>
                    <w:p w:rsidR="0057431A" w:rsidRPr="00FD4E8D" w:rsidRDefault="0057431A" w:rsidP="00D96FD9">
                      <w:pPr>
                        <w:spacing w:line="200" w:lineRule="exact"/>
                        <w:rPr>
                          <w:sz w:val="18"/>
                          <w:szCs w:val="18"/>
                        </w:rPr>
                      </w:pPr>
                      <w:r w:rsidRPr="00FD4E8D">
                        <w:rPr>
                          <w:sz w:val="18"/>
                          <w:szCs w:val="18"/>
                        </w:rPr>
                        <w:t>Ме=186,7</w:t>
                      </w:r>
                    </w:p>
                    <w:p w:rsidR="0057431A" w:rsidRPr="00FD4E8D" w:rsidRDefault="0057431A" w:rsidP="00D96FD9">
                      <w:pPr>
                        <w:spacing w:line="200" w:lineRule="exact"/>
                        <w:rPr>
                          <w:sz w:val="18"/>
                          <w:szCs w:val="18"/>
                          <w:lang w:val="en-US"/>
                        </w:rPr>
                      </w:pPr>
                      <w:r w:rsidRPr="00FD4E8D">
                        <w:rPr>
                          <w:sz w:val="18"/>
                          <w:szCs w:val="18"/>
                          <w:lang w:val="en-US"/>
                        </w:rPr>
                        <w:t>Q1</w:t>
                      </w:r>
                      <w:r>
                        <w:rPr>
                          <w:sz w:val="18"/>
                          <w:szCs w:val="18"/>
                          <w:lang w:val="en-US"/>
                        </w:rPr>
                        <w:t>=</w:t>
                      </w:r>
                      <w:r w:rsidRPr="00FD4E8D">
                        <w:rPr>
                          <w:sz w:val="18"/>
                          <w:szCs w:val="18"/>
                          <w:lang w:val="en-US"/>
                        </w:rPr>
                        <w:t>164.9</w:t>
                      </w:r>
                    </w:p>
                    <w:p w:rsidR="0057431A" w:rsidRPr="00FD4E8D" w:rsidRDefault="0057431A" w:rsidP="00D96FD9">
                      <w:pPr>
                        <w:spacing w:line="200" w:lineRule="exact"/>
                        <w:rPr>
                          <w:sz w:val="18"/>
                          <w:szCs w:val="18"/>
                          <w:lang w:val="en-US"/>
                        </w:rPr>
                      </w:pPr>
                      <w:r w:rsidRPr="00FD4E8D">
                        <w:rPr>
                          <w:sz w:val="18"/>
                          <w:szCs w:val="18"/>
                          <w:lang w:val="en-US"/>
                        </w:rPr>
                        <w:t>Q</w:t>
                      </w:r>
                      <w:r>
                        <w:rPr>
                          <w:sz w:val="18"/>
                          <w:szCs w:val="18"/>
                          <w:lang w:val="en-US"/>
                        </w:rPr>
                        <w:t>3=</w:t>
                      </w:r>
                      <w:r w:rsidRPr="00FD4E8D">
                        <w:rPr>
                          <w:sz w:val="18"/>
                          <w:szCs w:val="18"/>
                          <w:lang w:val="en-US"/>
                        </w:rPr>
                        <w:t xml:space="preserve"> 205.5</w:t>
                      </w:r>
                    </w:p>
                  </w:txbxContent>
                </v:textbox>
              </v:shape>
            </w:pict>
          </mc:Fallback>
        </mc:AlternateContent>
      </w:r>
      <w:r w:rsidR="00D96FD9" w:rsidRPr="00006A39">
        <w:rPr>
          <w:noProof/>
          <w:szCs w:val="28"/>
          <w:lang w:val="ru-RU" w:eastAsia="ru-RU"/>
        </w:rPr>
        <mc:AlternateContent>
          <mc:Choice Requires="wps">
            <w:drawing>
              <wp:anchor distT="0" distB="0" distL="114300" distR="114300" simplePos="0" relativeHeight="251660288" behindDoc="0" locked="0" layoutInCell="1" allowOverlap="1" wp14:anchorId="26258C0F" wp14:editId="097AEDA6">
                <wp:simplePos x="0" y="0"/>
                <wp:positionH relativeFrom="column">
                  <wp:posOffset>4743049</wp:posOffset>
                </wp:positionH>
                <wp:positionV relativeFrom="paragraph">
                  <wp:posOffset>1397602</wp:posOffset>
                </wp:positionV>
                <wp:extent cx="876300" cy="485775"/>
                <wp:effectExtent l="0" t="0" r="0" b="0"/>
                <wp:wrapNone/>
                <wp:docPr id="16" name="Надпись 16"/>
                <wp:cNvGraphicFramePr/>
                <a:graphic xmlns:a="http://schemas.openxmlformats.org/drawingml/2006/main">
                  <a:graphicData uri="http://schemas.microsoft.com/office/word/2010/wordprocessingShape">
                    <wps:wsp>
                      <wps:cNvSpPr txBox="1"/>
                      <wps:spPr>
                        <a:xfrm>
                          <a:off x="0" y="0"/>
                          <a:ext cx="876300" cy="485775"/>
                        </a:xfrm>
                        <a:prstGeom prst="rect">
                          <a:avLst/>
                        </a:prstGeom>
                        <a:noFill/>
                        <a:ln w="6350">
                          <a:noFill/>
                        </a:ln>
                      </wps:spPr>
                      <wps:txbx>
                        <w:txbxContent>
                          <w:p w:rsidR="001E1DF5" w:rsidRPr="00FD4E8D" w:rsidRDefault="001E1DF5" w:rsidP="00D96FD9">
                            <w:pPr>
                              <w:spacing w:line="200" w:lineRule="exact"/>
                              <w:rPr>
                                <w:sz w:val="18"/>
                                <w:szCs w:val="18"/>
                                <w:lang w:val="en-US"/>
                              </w:rPr>
                            </w:pPr>
                            <w:r w:rsidRPr="00FD4E8D">
                              <w:rPr>
                                <w:sz w:val="18"/>
                                <w:szCs w:val="18"/>
                              </w:rPr>
                              <w:t>Ме=1</w:t>
                            </w:r>
                            <w:r>
                              <w:rPr>
                                <w:sz w:val="18"/>
                                <w:szCs w:val="18"/>
                                <w:lang w:val="en-US"/>
                              </w:rPr>
                              <w:t>51</w:t>
                            </w:r>
                            <w:r w:rsidRPr="00FD4E8D">
                              <w:rPr>
                                <w:sz w:val="18"/>
                                <w:szCs w:val="18"/>
                              </w:rPr>
                              <w:t>,</w:t>
                            </w:r>
                            <w:r>
                              <w:rPr>
                                <w:sz w:val="18"/>
                                <w:szCs w:val="18"/>
                                <w:lang w:val="en-US"/>
                              </w:rPr>
                              <w:t>5</w:t>
                            </w:r>
                          </w:p>
                          <w:p w:rsidR="001E1DF5" w:rsidRPr="00FD4E8D" w:rsidRDefault="001E1DF5" w:rsidP="00D96FD9">
                            <w:pPr>
                              <w:spacing w:line="200" w:lineRule="exact"/>
                              <w:rPr>
                                <w:sz w:val="18"/>
                                <w:szCs w:val="18"/>
                                <w:lang w:val="en-US"/>
                              </w:rPr>
                            </w:pPr>
                            <w:r w:rsidRPr="00FD4E8D">
                              <w:rPr>
                                <w:sz w:val="18"/>
                                <w:szCs w:val="18"/>
                                <w:lang w:val="en-US"/>
                              </w:rPr>
                              <w:t>Q1</w:t>
                            </w:r>
                            <w:r>
                              <w:rPr>
                                <w:sz w:val="18"/>
                                <w:szCs w:val="18"/>
                                <w:lang w:val="en-US"/>
                              </w:rPr>
                              <w:t>=</w:t>
                            </w:r>
                            <w:r w:rsidRPr="00FD4E8D">
                              <w:rPr>
                                <w:sz w:val="18"/>
                                <w:szCs w:val="18"/>
                                <w:lang w:val="en-US"/>
                              </w:rPr>
                              <w:t>1</w:t>
                            </w:r>
                            <w:r>
                              <w:rPr>
                                <w:sz w:val="18"/>
                                <w:szCs w:val="18"/>
                                <w:lang w:val="en-US"/>
                              </w:rPr>
                              <w:t>2</w:t>
                            </w:r>
                            <w:r w:rsidRPr="00FD4E8D">
                              <w:rPr>
                                <w:sz w:val="18"/>
                                <w:szCs w:val="18"/>
                                <w:lang w:val="en-US"/>
                              </w:rPr>
                              <w:t>4.</w:t>
                            </w:r>
                            <w:r>
                              <w:rPr>
                                <w:sz w:val="18"/>
                                <w:szCs w:val="18"/>
                                <w:lang w:val="en-US"/>
                              </w:rPr>
                              <w:t>1</w:t>
                            </w:r>
                          </w:p>
                          <w:p w:rsidR="001E1DF5" w:rsidRPr="00A2242F" w:rsidRDefault="001E1DF5" w:rsidP="00D96FD9">
                            <w:pPr>
                              <w:spacing w:line="200" w:lineRule="exact"/>
                              <w:rPr>
                                <w:sz w:val="18"/>
                                <w:szCs w:val="18"/>
                              </w:rPr>
                            </w:pPr>
                            <w:r w:rsidRPr="00FD4E8D">
                              <w:rPr>
                                <w:sz w:val="18"/>
                                <w:szCs w:val="18"/>
                                <w:lang w:val="en-US"/>
                              </w:rPr>
                              <w:t>Q</w:t>
                            </w:r>
                            <w:r>
                              <w:rPr>
                                <w:sz w:val="18"/>
                                <w:szCs w:val="18"/>
                                <w:lang w:val="en-US"/>
                              </w:rPr>
                              <w:t>3=</w:t>
                            </w:r>
                            <w:r w:rsidRPr="00FD4E8D">
                              <w:rPr>
                                <w:sz w:val="18"/>
                                <w:szCs w:val="18"/>
                                <w:lang w:val="en-US"/>
                              </w:rPr>
                              <w:t xml:space="preserve"> </w:t>
                            </w:r>
                            <w:r>
                              <w:rPr>
                                <w:sz w:val="18"/>
                                <w:szCs w:val="18"/>
                                <w:lang w:val="en-US"/>
                              </w:rPr>
                              <w:t>164.5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Надпись 16" o:spid="_x0000_s1105" type="#_x0000_t202" style="position:absolute;left:0;text-align:left;margin-left:373.45pt;margin-top:110.05pt;width:69pt;height:38.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" filled="f" stroked="f" strokeweight=".5pt">
                <v:textbox>
                  <w:txbxContent>
                    <w:p w:rsidR="0057431A" w:rsidRPr="00FD4E8D" w:rsidRDefault="0057431A" w:rsidP="00D96FD9">
                      <w:pPr>
                        <w:spacing w:line="200" w:lineRule="exact"/>
                        <w:rPr>
                          <w:sz w:val="18"/>
                          <w:szCs w:val="18"/>
                          <w:lang w:val="en-US"/>
                        </w:rPr>
                      </w:pPr>
                      <w:r w:rsidRPr="00FD4E8D">
                        <w:rPr>
                          <w:sz w:val="18"/>
                          <w:szCs w:val="18"/>
                        </w:rPr>
                        <w:t>Ме=1</w:t>
                      </w:r>
                      <w:r>
                        <w:rPr>
                          <w:sz w:val="18"/>
                          <w:szCs w:val="18"/>
                          <w:lang w:val="en-US"/>
                        </w:rPr>
                        <w:t>51</w:t>
                      </w:r>
                      <w:r w:rsidRPr="00FD4E8D">
                        <w:rPr>
                          <w:sz w:val="18"/>
                          <w:szCs w:val="18"/>
                        </w:rPr>
                        <w:t>,</w:t>
                      </w:r>
                      <w:r>
                        <w:rPr>
                          <w:sz w:val="18"/>
                          <w:szCs w:val="18"/>
                          <w:lang w:val="en-US"/>
                        </w:rPr>
                        <w:t>5</w:t>
                      </w:r>
                    </w:p>
                    <w:p w:rsidR="0057431A" w:rsidRPr="00FD4E8D" w:rsidRDefault="0057431A" w:rsidP="00D96FD9">
                      <w:pPr>
                        <w:spacing w:line="200" w:lineRule="exact"/>
                        <w:rPr>
                          <w:sz w:val="18"/>
                          <w:szCs w:val="18"/>
                          <w:lang w:val="en-US"/>
                        </w:rPr>
                      </w:pPr>
                      <w:r w:rsidRPr="00FD4E8D">
                        <w:rPr>
                          <w:sz w:val="18"/>
                          <w:szCs w:val="18"/>
                          <w:lang w:val="en-US"/>
                        </w:rPr>
                        <w:t>Q1</w:t>
                      </w:r>
                      <w:r>
                        <w:rPr>
                          <w:sz w:val="18"/>
                          <w:szCs w:val="18"/>
                          <w:lang w:val="en-US"/>
                        </w:rPr>
                        <w:t>=</w:t>
                      </w:r>
                      <w:r w:rsidRPr="00FD4E8D">
                        <w:rPr>
                          <w:sz w:val="18"/>
                          <w:szCs w:val="18"/>
                          <w:lang w:val="en-US"/>
                        </w:rPr>
                        <w:t>1</w:t>
                      </w:r>
                      <w:r>
                        <w:rPr>
                          <w:sz w:val="18"/>
                          <w:szCs w:val="18"/>
                          <w:lang w:val="en-US"/>
                        </w:rPr>
                        <w:t>2</w:t>
                      </w:r>
                      <w:r w:rsidRPr="00FD4E8D">
                        <w:rPr>
                          <w:sz w:val="18"/>
                          <w:szCs w:val="18"/>
                          <w:lang w:val="en-US"/>
                        </w:rPr>
                        <w:t>4.</w:t>
                      </w:r>
                      <w:r>
                        <w:rPr>
                          <w:sz w:val="18"/>
                          <w:szCs w:val="18"/>
                          <w:lang w:val="en-US"/>
                        </w:rPr>
                        <w:t>1</w:t>
                      </w:r>
                    </w:p>
                    <w:p w:rsidR="0057431A" w:rsidRPr="00A2242F" w:rsidRDefault="0057431A" w:rsidP="00D96FD9">
                      <w:pPr>
                        <w:spacing w:line="200" w:lineRule="exact"/>
                        <w:rPr>
                          <w:sz w:val="18"/>
                          <w:szCs w:val="18"/>
                        </w:rPr>
                      </w:pPr>
                      <w:r w:rsidRPr="00FD4E8D">
                        <w:rPr>
                          <w:sz w:val="18"/>
                          <w:szCs w:val="18"/>
                          <w:lang w:val="en-US"/>
                        </w:rPr>
                        <w:t>Q</w:t>
                      </w:r>
                      <w:r>
                        <w:rPr>
                          <w:sz w:val="18"/>
                          <w:szCs w:val="18"/>
                          <w:lang w:val="en-US"/>
                        </w:rPr>
                        <w:t>3=</w:t>
                      </w:r>
                      <w:r w:rsidRPr="00FD4E8D">
                        <w:rPr>
                          <w:sz w:val="18"/>
                          <w:szCs w:val="18"/>
                          <w:lang w:val="en-US"/>
                        </w:rPr>
                        <w:t xml:space="preserve"> </w:t>
                      </w:r>
                      <w:r>
                        <w:rPr>
                          <w:sz w:val="18"/>
                          <w:szCs w:val="18"/>
                          <w:lang w:val="en-US"/>
                        </w:rPr>
                        <w:t>164.5</w:t>
                      </w:r>
                    </w:p>
                  </w:txbxContent>
                </v:textbox>
              </v:shape>
            </w:pict>
          </mc:Fallback>
        </mc:AlternateContent>
      </w:r>
      <w:r w:rsidR="00D96FD9" w:rsidRPr="00006A39">
        <w:rPr>
          <w:noProof/>
          <w:szCs w:val="28"/>
          <w:lang w:val="ru-RU" w:eastAsia="ru-RU"/>
        </w:rPr>
        <w:drawing>
          <wp:inline distT="0" distB="0" distL="0" distR="0" wp14:anchorId="4BFBB6BF" wp14:editId="129E9521">
            <wp:extent cx="6101256" cy="4465165"/>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6119094" cy="4478219"/>
                    </a:xfrm>
                    <a:prstGeom prst="rect">
                      <a:avLst/>
                    </a:prstGeom>
                    <a:noFill/>
                    <a:ln>
                      <a:noFill/>
                    </a:ln>
                  </pic:spPr>
                </pic:pic>
              </a:graphicData>
            </a:graphic>
          </wp:inline>
        </w:drawing>
      </w:r>
    </w:p>
    <w:p w:rsidR="00D96FD9" w:rsidRPr="00006A39" w:rsidRDefault="00A85E04" w:rsidP="00721203">
      <w:pPr>
        <w:widowControl w:val="0"/>
        <w:spacing w:after="120"/>
        <w:ind w:firstLine="709"/>
        <w:rPr>
          <w:szCs w:val="28"/>
        </w:rPr>
      </w:pPr>
      <w:r>
        <w:rPr>
          <w:szCs w:val="28"/>
        </w:rPr>
        <w:t>Рис.3.4</w:t>
      </w:r>
      <w:r w:rsidR="00D96FD9" w:rsidRPr="00006A39">
        <w:rPr>
          <w:szCs w:val="28"/>
        </w:rPr>
        <w:t>. Характеристики варіаційного ряду «Показник смертності» серед дітей віком до 5 років у 2014 та 2018 рр.</w:t>
      </w:r>
    </w:p>
    <w:p w:rsidR="00D96FD9" w:rsidRPr="00D45C02" w:rsidRDefault="00D96FD9" w:rsidP="00721203">
      <w:pPr>
        <w:widowControl w:val="0"/>
        <w:ind w:firstLine="709"/>
        <w:rPr>
          <w:szCs w:val="28"/>
        </w:rPr>
      </w:pPr>
      <w:r w:rsidRPr="00006A39">
        <w:rPr>
          <w:szCs w:val="28"/>
        </w:rPr>
        <w:t>Аналізуючи показники смертності дітей віком до 5 років</w:t>
      </w:r>
      <w:r w:rsidR="00EE6DCF">
        <w:rPr>
          <w:szCs w:val="28"/>
        </w:rPr>
        <w:t>,</w:t>
      </w:r>
      <w:r w:rsidRPr="00006A39">
        <w:rPr>
          <w:szCs w:val="28"/>
        </w:rPr>
        <w:t xml:space="preserve"> ми вважали за доцільне порівняти вітчизняні дані з показниками деяких розвинених країн, представленими у звіті </w:t>
      </w:r>
      <w:r w:rsidRPr="00006A39">
        <w:rPr>
          <w:b/>
          <w:color w:val="FF0000"/>
          <w:szCs w:val="28"/>
        </w:rPr>
        <w:t xml:space="preserve"> </w:t>
      </w:r>
      <w:r w:rsidRPr="00006A39">
        <w:rPr>
          <w:szCs w:val="28"/>
        </w:rPr>
        <w:t>WHO Global Health Observatory, World Bank Open Data, European Health for All Datab</w:t>
      </w:r>
      <w:r w:rsidR="007E2916">
        <w:rPr>
          <w:szCs w:val="28"/>
        </w:rPr>
        <w:t xml:space="preserve">ase (HFA/DB), CDC Wonder (USA), </w:t>
      </w:r>
      <w:r w:rsidR="007E2916" w:rsidRPr="007E2916">
        <w:rPr>
          <w:szCs w:val="28"/>
        </w:rPr>
        <w:t>The Institute for Health Metrics and Evaluation (IHME)</w:t>
      </w:r>
      <w:r w:rsidR="007E2916">
        <w:rPr>
          <w:szCs w:val="28"/>
        </w:rPr>
        <w:t xml:space="preserve"> </w:t>
      </w:r>
      <w:r w:rsidRPr="006A395E">
        <w:rPr>
          <w:color w:val="000000" w:themeColor="text1"/>
          <w:szCs w:val="28"/>
        </w:rPr>
        <w:t>[</w:t>
      </w:r>
      <w:r w:rsidR="009957BD" w:rsidRPr="00BF4E5A">
        <w:rPr>
          <w:szCs w:val="28"/>
        </w:rPr>
        <w:t>309</w:t>
      </w:r>
      <w:r w:rsidR="00BF4E5A" w:rsidRPr="00BF4E5A">
        <w:rPr>
          <w:szCs w:val="28"/>
        </w:rPr>
        <w:t>-313</w:t>
      </w:r>
      <w:r w:rsidRPr="00BF4E5A">
        <w:rPr>
          <w:szCs w:val="28"/>
        </w:rPr>
        <w:t>]</w:t>
      </w:r>
      <w:r w:rsidRPr="00BF4E5A">
        <w:rPr>
          <w:b/>
          <w:szCs w:val="28"/>
        </w:rPr>
        <w:t xml:space="preserve">. </w:t>
      </w:r>
      <w:r w:rsidRPr="006A395E">
        <w:rPr>
          <w:color w:val="000000" w:themeColor="text1"/>
          <w:szCs w:val="28"/>
        </w:rPr>
        <w:t xml:space="preserve">За результатами </w:t>
      </w:r>
      <w:r w:rsidRPr="00006A39">
        <w:rPr>
          <w:szCs w:val="28"/>
        </w:rPr>
        <w:t xml:space="preserve">дослідження </w:t>
      </w:r>
      <w:r w:rsidRPr="00006A39">
        <w:rPr>
          <w:szCs w:val="28"/>
        </w:rPr>
        <w:lastRenderedPageBreak/>
        <w:t>встановлено, що не зважаючи на спадну динаміку показника смертності дітей віком до</w:t>
      </w:r>
      <w:r w:rsidR="00D45C02">
        <w:rPr>
          <w:szCs w:val="28"/>
        </w:rPr>
        <w:t xml:space="preserve"> 5</w:t>
      </w:r>
      <w:r w:rsidR="00F2435E">
        <w:rPr>
          <w:szCs w:val="28"/>
        </w:rPr>
        <w:t xml:space="preserve"> років життя упродовж 2010-2019</w:t>
      </w:r>
      <w:r w:rsidRPr="00006A39">
        <w:rPr>
          <w:szCs w:val="28"/>
        </w:rPr>
        <w:t xml:space="preserve"> рр., він залишається вищим за аналогічні показники розвинених країн ЄС та світу. </w:t>
      </w:r>
      <w:r w:rsidR="00D45C02" w:rsidRPr="00D45C02">
        <w:rPr>
          <w:szCs w:val="28"/>
        </w:rPr>
        <w:t>Так, у 2019</w:t>
      </w:r>
      <w:r w:rsidRPr="00D45C02">
        <w:rPr>
          <w:szCs w:val="28"/>
        </w:rPr>
        <w:t xml:space="preserve"> р. рівень</w:t>
      </w:r>
      <w:r w:rsidR="00031E96">
        <w:rPr>
          <w:szCs w:val="28"/>
        </w:rPr>
        <w:t xml:space="preserve"> смертності дітей у віці до 5</w:t>
      </w:r>
      <w:r w:rsidRPr="00D45C02">
        <w:rPr>
          <w:szCs w:val="28"/>
        </w:rPr>
        <w:t xml:space="preserve"> років життя в Україні </w:t>
      </w:r>
      <w:r w:rsidR="00D45C02" w:rsidRPr="00D45C02">
        <w:rPr>
          <w:szCs w:val="28"/>
        </w:rPr>
        <w:t>становив 165,35 на 100 тис. відповідного населення, що значно вище показника Польщі</w:t>
      </w:r>
      <w:r w:rsidR="00670975">
        <w:rPr>
          <w:szCs w:val="28"/>
        </w:rPr>
        <w:t xml:space="preserve"> (в 2,2 рази)</w:t>
      </w:r>
      <w:r w:rsidR="00D45C02" w:rsidRPr="00D45C02">
        <w:rPr>
          <w:szCs w:val="28"/>
        </w:rPr>
        <w:t>, Іспанії</w:t>
      </w:r>
      <w:r w:rsidR="00670975">
        <w:rPr>
          <w:szCs w:val="28"/>
        </w:rPr>
        <w:t xml:space="preserve"> (в 2,9 рази)</w:t>
      </w:r>
      <w:r w:rsidRPr="00D45C02">
        <w:rPr>
          <w:szCs w:val="28"/>
        </w:rPr>
        <w:t>,</w:t>
      </w:r>
      <w:r w:rsidR="00D45C02" w:rsidRPr="00D45C02">
        <w:rPr>
          <w:szCs w:val="28"/>
        </w:rPr>
        <w:t xml:space="preserve"> Литви</w:t>
      </w:r>
      <w:r w:rsidR="00670975">
        <w:rPr>
          <w:szCs w:val="28"/>
        </w:rPr>
        <w:t xml:space="preserve"> (в 2,1  рази)</w:t>
      </w:r>
      <w:r w:rsidR="00D45C02" w:rsidRPr="00D45C02">
        <w:rPr>
          <w:szCs w:val="28"/>
        </w:rPr>
        <w:t>, Латвії</w:t>
      </w:r>
      <w:r w:rsidR="0038647A">
        <w:rPr>
          <w:szCs w:val="28"/>
        </w:rPr>
        <w:t xml:space="preserve"> (в 2,1 рази)</w:t>
      </w:r>
      <w:r w:rsidR="00D45C02" w:rsidRPr="00D45C02">
        <w:rPr>
          <w:szCs w:val="28"/>
        </w:rPr>
        <w:t>, Німеччини</w:t>
      </w:r>
      <w:r w:rsidR="0038647A">
        <w:rPr>
          <w:szCs w:val="28"/>
        </w:rPr>
        <w:t xml:space="preserve"> (в 2,6 рази)</w:t>
      </w:r>
      <w:r w:rsidRPr="00D45C02">
        <w:rPr>
          <w:szCs w:val="28"/>
        </w:rPr>
        <w:t xml:space="preserve">, </w:t>
      </w:r>
      <w:r w:rsidR="00D45C02" w:rsidRPr="00D45C02">
        <w:rPr>
          <w:szCs w:val="28"/>
        </w:rPr>
        <w:t>Естонії</w:t>
      </w:r>
      <w:r w:rsidR="0038647A">
        <w:rPr>
          <w:szCs w:val="28"/>
        </w:rPr>
        <w:t xml:space="preserve"> (в 3.2 рази)</w:t>
      </w:r>
      <w:r w:rsidR="00D45C02" w:rsidRPr="00D45C02">
        <w:rPr>
          <w:szCs w:val="28"/>
        </w:rPr>
        <w:t>, Англії</w:t>
      </w:r>
      <w:r w:rsidRPr="00D45C02">
        <w:rPr>
          <w:szCs w:val="28"/>
        </w:rPr>
        <w:t xml:space="preserve"> </w:t>
      </w:r>
      <w:r w:rsidR="0038647A">
        <w:rPr>
          <w:szCs w:val="28"/>
        </w:rPr>
        <w:t xml:space="preserve">( в 1,9 рази) </w:t>
      </w:r>
      <w:r w:rsidR="00C06631">
        <w:rPr>
          <w:szCs w:val="28"/>
        </w:rPr>
        <w:t>(рис. 3.5</w:t>
      </w:r>
      <w:r w:rsidRPr="00D45C02">
        <w:rPr>
          <w:szCs w:val="28"/>
        </w:rPr>
        <w:t xml:space="preserve">).  </w:t>
      </w:r>
    </w:p>
    <w:p w:rsidR="00D96FD9" w:rsidRPr="00006A39" w:rsidRDefault="004E357F" w:rsidP="004E357F">
      <w:pPr>
        <w:widowControl w:val="0"/>
        <w:tabs>
          <w:tab w:val="left" w:pos="642"/>
        </w:tabs>
        <w:rPr>
          <w:color w:val="FF0000"/>
          <w:szCs w:val="28"/>
        </w:rPr>
      </w:pPr>
      <w:r>
        <w:rPr>
          <w:color w:val="FF0000"/>
          <w:szCs w:val="28"/>
          <w:lang w:val="ru-RU"/>
        </w:rPr>
        <w:t xml:space="preserve">      </w:t>
      </w:r>
      <w:r w:rsidR="00F2435E" w:rsidRPr="00231499">
        <w:rPr>
          <w:noProof/>
          <w:szCs w:val="28"/>
          <w:lang w:val="ru-RU" w:eastAsia="ru-RU"/>
        </w:rPr>
        <w:drawing>
          <wp:inline distT="0" distB="0" distL="0" distR="0" wp14:anchorId="68CBE15C" wp14:editId="70918679">
            <wp:extent cx="6046237" cy="4683967"/>
            <wp:effectExtent l="0" t="0" r="12065" b="21590"/>
            <wp:docPr id="11"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D96FD9" w:rsidRPr="003D5C63" w:rsidRDefault="00130508" w:rsidP="00721203">
      <w:pPr>
        <w:widowControl w:val="0"/>
        <w:spacing w:after="120"/>
        <w:ind w:firstLine="709"/>
        <w:rPr>
          <w:szCs w:val="28"/>
          <w:lang w:val="ru-RU"/>
        </w:rPr>
      </w:pPr>
      <w:r>
        <w:rPr>
          <w:szCs w:val="28"/>
        </w:rPr>
        <w:t>Рис. 3.5</w:t>
      </w:r>
      <w:r w:rsidR="00D96FD9" w:rsidRPr="00006A39">
        <w:rPr>
          <w:szCs w:val="28"/>
        </w:rPr>
        <w:t>. Динаміка по</w:t>
      </w:r>
      <w:r w:rsidR="001E18F0">
        <w:rPr>
          <w:szCs w:val="28"/>
        </w:rPr>
        <w:t>казника смертності дітей до 5</w:t>
      </w:r>
      <w:r w:rsidR="00D96FD9" w:rsidRPr="00006A39">
        <w:rPr>
          <w:szCs w:val="28"/>
        </w:rPr>
        <w:t xml:space="preserve"> років життя в деяких країнах світу та Україні </w:t>
      </w:r>
      <w:r w:rsidR="004B7DEB">
        <w:rPr>
          <w:szCs w:val="28"/>
        </w:rPr>
        <w:t>за всіма причинами смерті  (2010-2019</w:t>
      </w:r>
      <w:r w:rsidR="00D96FD9" w:rsidRPr="00006A39">
        <w:rPr>
          <w:szCs w:val="28"/>
        </w:rPr>
        <w:t xml:space="preserve"> рр.) на 100 тис. відповідного населення</w:t>
      </w:r>
      <w:r w:rsidR="003D5C63">
        <w:rPr>
          <w:szCs w:val="28"/>
          <w:lang w:val="ru-RU"/>
        </w:rPr>
        <w:t xml:space="preserve"> </w:t>
      </w:r>
    </w:p>
    <w:p w:rsidR="00D96FD9" w:rsidRPr="00287BB5" w:rsidRDefault="00D96FD9" w:rsidP="00287BB5">
      <w:pPr>
        <w:widowControl w:val="0"/>
        <w:ind w:firstLine="709"/>
        <w:rPr>
          <w:szCs w:val="28"/>
        </w:rPr>
      </w:pPr>
      <w:r w:rsidRPr="00006A39">
        <w:rPr>
          <w:szCs w:val="28"/>
        </w:rPr>
        <w:t>Аналіз причинної структури показника смертності дітей віком до 5 років показав,</w:t>
      </w:r>
      <w:r w:rsidR="003A5593">
        <w:rPr>
          <w:szCs w:val="28"/>
        </w:rPr>
        <w:t xml:space="preserve"> що як у 2013 році, так і у 2018</w:t>
      </w:r>
      <w:r w:rsidRPr="00006A39">
        <w:rPr>
          <w:szCs w:val="28"/>
        </w:rPr>
        <w:t xml:space="preserve"> році перші три місця посідали</w:t>
      </w:r>
      <w:r w:rsidRPr="00006A39">
        <w:t xml:space="preserve"> </w:t>
      </w:r>
      <w:r w:rsidR="00512290">
        <w:rPr>
          <w:szCs w:val="28"/>
          <w:lang w:val="ru-RU"/>
        </w:rPr>
        <w:t>розлади у</w:t>
      </w:r>
      <w:r w:rsidRPr="00006A39">
        <w:rPr>
          <w:szCs w:val="28"/>
        </w:rPr>
        <w:t xml:space="preserve"> матері, </w:t>
      </w:r>
      <w:r w:rsidR="00512290">
        <w:rPr>
          <w:szCs w:val="28"/>
          <w:lang w:val="ru-RU"/>
        </w:rPr>
        <w:t xml:space="preserve">що </w:t>
      </w:r>
      <w:r w:rsidRPr="00006A39">
        <w:rPr>
          <w:szCs w:val="28"/>
        </w:rPr>
        <w:t>пов’язані з вагітністю, та неонатальні розлади, інші неінфекційні хвороби та ненавмисні травми (</w:t>
      </w:r>
      <w:r w:rsidR="007B311F" w:rsidRPr="007B311F">
        <w:rPr>
          <w:szCs w:val="28"/>
        </w:rPr>
        <w:t>рис.3.6</w:t>
      </w:r>
      <w:r w:rsidRPr="007B311F">
        <w:rPr>
          <w:szCs w:val="28"/>
        </w:rPr>
        <w:t xml:space="preserve">). </w:t>
      </w:r>
    </w:p>
    <w:tbl>
      <w:tblPr>
        <w:tblStyle w:val="a6"/>
        <w:tblW w:w="0" w:type="auto"/>
        <w:jc w:val="center"/>
        <w:tblLook w:val="04A0" w:firstRow="1" w:lastRow="0" w:firstColumn="1" w:lastColumn="0" w:noHBand="0" w:noVBand="1"/>
      </w:tblPr>
      <w:tblGrid>
        <w:gridCol w:w="3681"/>
        <w:gridCol w:w="2269"/>
        <w:gridCol w:w="3614"/>
      </w:tblGrid>
      <w:tr w:rsidR="00D96FD9" w:rsidRPr="00006A39" w:rsidTr="004F31D7">
        <w:trPr>
          <w:jc w:val="center"/>
        </w:trPr>
        <w:tc>
          <w:tcPr>
            <w:tcW w:w="3681" w:type="dxa"/>
            <w:tcBorders>
              <w:right w:val="single" w:sz="4" w:space="0" w:color="auto"/>
            </w:tcBorders>
          </w:tcPr>
          <w:p w:rsidR="00D96FD9" w:rsidRPr="003213FD" w:rsidRDefault="00D96FD9" w:rsidP="00721203">
            <w:pPr>
              <w:widowControl w:val="0"/>
              <w:tabs>
                <w:tab w:val="left" w:pos="7939"/>
              </w:tabs>
              <w:jc w:val="center"/>
              <w:rPr>
                <w:rFonts w:ascii="Times New Roman" w:hAnsi="Times New Roman"/>
                <w:sz w:val="24"/>
                <w:szCs w:val="24"/>
                <w:lang w:val="uk-UA"/>
              </w:rPr>
            </w:pPr>
            <w:r w:rsidRPr="003213FD">
              <w:rPr>
                <w:rFonts w:ascii="Times New Roman" w:hAnsi="Times New Roman"/>
                <w:sz w:val="24"/>
                <w:szCs w:val="24"/>
                <w:lang w:val="uk-UA"/>
              </w:rPr>
              <w:lastRenderedPageBreak/>
              <w:t>2013 рік</w:t>
            </w:r>
          </w:p>
        </w:tc>
        <w:tc>
          <w:tcPr>
            <w:tcW w:w="2050" w:type="dxa"/>
            <w:tcBorders>
              <w:top w:val="single" w:sz="4" w:space="0" w:color="auto"/>
              <w:left w:val="single" w:sz="4" w:space="0" w:color="auto"/>
              <w:bottom w:val="single" w:sz="4" w:space="0" w:color="auto"/>
              <w:right w:val="single" w:sz="4" w:space="0" w:color="auto"/>
            </w:tcBorders>
          </w:tcPr>
          <w:p w:rsidR="00D96FD9" w:rsidRPr="003213FD" w:rsidRDefault="0069136E" w:rsidP="00721203">
            <w:pPr>
              <w:widowControl w:val="0"/>
              <w:tabs>
                <w:tab w:val="left" w:pos="7939"/>
              </w:tabs>
              <w:jc w:val="center"/>
              <w:rPr>
                <w:rFonts w:ascii="Times New Roman" w:hAnsi="Times New Roman"/>
                <w:sz w:val="24"/>
                <w:szCs w:val="24"/>
                <w:lang w:val="uk-UA"/>
              </w:rPr>
            </w:pPr>
            <w:r w:rsidRPr="003213FD">
              <w:rPr>
                <w:rFonts w:ascii="Times New Roman" w:hAnsi="Times New Roman"/>
                <w:sz w:val="24"/>
                <w:szCs w:val="24"/>
                <w:lang w:val="uk-UA"/>
              </w:rPr>
              <w:t>2018</w:t>
            </w:r>
            <w:r w:rsidR="00D96FD9" w:rsidRPr="003213FD">
              <w:rPr>
                <w:rFonts w:ascii="Times New Roman" w:hAnsi="Times New Roman"/>
                <w:sz w:val="24"/>
                <w:szCs w:val="24"/>
                <w:lang w:val="uk-UA"/>
              </w:rPr>
              <w:t>/2013 року (%)</w:t>
            </w:r>
          </w:p>
        </w:tc>
        <w:tc>
          <w:tcPr>
            <w:tcW w:w="3614" w:type="dxa"/>
            <w:tcBorders>
              <w:top w:val="single" w:sz="4" w:space="0" w:color="auto"/>
              <w:left w:val="single" w:sz="4" w:space="0" w:color="auto"/>
              <w:bottom w:val="single" w:sz="4" w:space="0" w:color="auto"/>
            </w:tcBorders>
          </w:tcPr>
          <w:p w:rsidR="00D96FD9" w:rsidRPr="003213FD" w:rsidRDefault="0069136E" w:rsidP="00721203">
            <w:pPr>
              <w:widowControl w:val="0"/>
              <w:tabs>
                <w:tab w:val="left" w:pos="7939"/>
              </w:tabs>
              <w:jc w:val="center"/>
              <w:rPr>
                <w:rFonts w:ascii="Times New Roman" w:hAnsi="Times New Roman"/>
                <w:sz w:val="24"/>
                <w:szCs w:val="24"/>
                <w:lang w:val="uk-UA"/>
              </w:rPr>
            </w:pPr>
            <w:r w:rsidRPr="003213FD">
              <w:rPr>
                <w:rFonts w:ascii="Times New Roman" w:hAnsi="Times New Roman"/>
                <w:sz w:val="24"/>
                <w:szCs w:val="24"/>
                <w:lang w:val="uk-UA"/>
              </w:rPr>
              <w:t>2018</w:t>
            </w:r>
            <w:r w:rsidR="00D96FD9" w:rsidRPr="003213FD">
              <w:rPr>
                <w:rFonts w:ascii="Times New Roman" w:hAnsi="Times New Roman"/>
                <w:sz w:val="24"/>
                <w:szCs w:val="24"/>
                <w:lang w:val="uk-UA"/>
              </w:rPr>
              <w:t xml:space="preserve"> рік</w:t>
            </w:r>
          </w:p>
        </w:tc>
      </w:tr>
      <w:tr w:rsidR="00D96FD9" w:rsidRPr="00006A39" w:rsidTr="00857FFE">
        <w:trPr>
          <w:trHeight w:val="1255"/>
          <w:jc w:val="center"/>
        </w:trPr>
        <w:tc>
          <w:tcPr>
            <w:tcW w:w="3681" w:type="dxa"/>
            <w:tcBorders>
              <w:right w:val="single" w:sz="4" w:space="0" w:color="auto"/>
            </w:tcBorders>
          </w:tcPr>
          <w:p w:rsidR="00D96FD9" w:rsidRPr="00006A39" w:rsidRDefault="00D96FD9" w:rsidP="00721203">
            <w:pPr>
              <w:widowControl w:val="0"/>
              <w:tabs>
                <w:tab w:val="left" w:pos="7939"/>
              </w:tabs>
              <w:jc w:val="center"/>
              <w:rPr>
                <w:rFonts w:ascii="Times New Roman" w:hAnsi="Times New Roman"/>
                <w:sz w:val="24"/>
                <w:szCs w:val="24"/>
                <w:lang w:val="uk-UA"/>
              </w:rPr>
            </w:pPr>
            <w:r w:rsidRPr="00006A39">
              <w:rPr>
                <w:rFonts w:ascii="Times New Roman" w:hAnsi="Times New Roman"/>
                <w:sz w:val="24"/>
                <w:szCs w:val="24"/>
                <w:lang w:val="uk-UA"/>
              </w:rPr>
              <w:t>1. Розлади у матері, що пов’язані з вагітністю, та неонатальні розлади</w:t>
            </w:r>
          </w:p>
          <w:p w:rsidR="00D96FD9" w:rsidRPr="00006A39" w:rsidRDefault="00D96FD9" w:rsidP="00721203">
            <w:pPr>
              <w:widowControl w:val="0"/>
              <w:tabs>
                <w:tab w:val="left" w:pos="7939"/>
              </w:tabs>
              <w:jc w:val="center"/>
              <w:rPr>
                <w:rFonts w:ascii="Times New Roman" w:hAnsi="Times New Roman"/>
                <w:sz w:val="24"/>
                <w:szCs w:val="24"/>
                <w:lang w:val="uk-UA"/>
              </w:rPr>
            </w:pPr>
            <w:r w:rsidRPr="00006A39">
              <w:rPr>
                <w:rFonts w:ascii="Times New Roman" w:hAnsi="Times New Roman"/>
                <w:sz w:val="24"/>
                <w:szCs w:val="24"/>
                <w:lang w:val="uk-UA"/>
              </w:rPr>
              <w:t>68,58 (95% ДІ 56,36-78)</w:t>
            </w:r>
          </w:p>
        </w:tc>
        <w:tc>
          <w:tcPr>
            <w:tcW w:w="2050" w:type="dxa"/>
            <w:tcBorders>
              <w:top w:val="single" w:sz="4" w:space="0" w:color="auto"/>
              <w:left w:val="single" w:sz="4" w:space="0" w:color="auto"/>
              <w:bottom w:val="nil"/>
              <w:right w:val="single" w:sz="4" w:space="0" w:color="auto"/>
            </w:tcBorders>
          </w:tcPr>
          <w:p w:rsidR="00D96FD9" w:rsidRPr="00006A39" w:rsidRDefault="00D96FD9" w:rsidP="00721203">
            <w:pPr>
              <w:widowControl w:val="0"/>
              <w:tabs>
                <w:tab w:val="left" w:pos="7939"/>
              </w:tabs>
              <w:jc w:val="center"/>
              <w:rPr>
                <w:rFonts w:ascii="Times New Roman" w:hAnsi="Times New Roman"/>
                <w:noProof/>
                <w:sz w:val="24"/>
                <w:szCs w:val="24"/>
                <w:lang w:val="uk-UA" w:eastAsia="uk-UA"/>
              </w:rPr>
            </w:pPr>
            <w:r w:rsidRPr="00006A39">
              <w:rPr>
                <w:noProof/>
                <w:sz w:val="24"/>
                <w:szCs w:val="24"/>
              </w:rPr>
              <mc:AlternateContent>
                <mc:Choice Requires="wps">
                  <w:drawing>
                    <wp:anchor distT="4294967295" distB="4294967295" distL="114300" distR="114300" simplePos="0" relativeHeight="251661312" behindDoc="0" locked="0" layoutInCell="1" allowOverlap="1" wp14:anchorId="19E0BA0F" wp14:editId="5D4E8CB7">
                      <wp:simplePos x="0" y="0"/>
                      <wp:positionH relativeFrom="column">
                        <wp:posOffset>-85725</wp:posOffset>
                      </wp:positionH>
                      <wp:positionV relativeFrom="paragraph">
                        <wp:posOffset>215899</wp:posOffset>
                      </wp:positionV>
                      <wp:extent cx="1450340" cy="0"/>
                      <wp:effectExtent l="0" t="0" r="16510" b="0"/>
                      <wp:wrapNone/>
                      <wp:docPr id="1" name="Пряма сполучна лінія 1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1450340" cy="0"/>
                              </a:xfrm>
                              <a:prstGeom prst="line">
                                <a:avLst/>
                              </a:prstGeom>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Пряма сполучна лінія 15" o:spid="_x0000_s1026" style="position:absolute;flip:y;z-index:25166131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6.75pt,17pt" to="107.45pt,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" strokecolor="black [3200]" strokeweight="1.5pt">
                      <v:stroke joinstyle="miter"/>
                      <o:lock v:ext="edit" shapetype="f"/>
                    </v:line>
                  </w:pict>
                </mc:Fallback>
              </mc:AlternateContent>
            </w:r>
            <w:r w:rsidRPr="00006A39">
              <w:rPr>
                <w:rFonts w:ascii="Times New Roman" w:hAnsi="Times New Roman"/>
                <w:noProof/>
                <w:sz w:val="24"/>
                <w:szCs w:val="24"/>
                <w:lang w:val="uk-UA" w:eastAsia="uk-UA"/>
              </w:rPr>
              <w:t>-9,55%</w:t>
            </w:r>
          </w:p>
        </w:tc>
        <w:tc>
          <w:tcPr>
            <w:tcW w:w="3614" w:type="dxa"/>
            <w:tcBorders>
              <w:top w:val="single" w:sz="4" w:space="0" w:color="auto"/>
              <w:left w:val="single" w:sz="4" w:space="0" w:color="auto"/>
            </w:tcBorders>
          </w:tcPr>
          <w:p w:rsidR="00D96FD9" w:rsidRPr="00006A39" w:rsidRDefault="00D96FD9" w:rsidP="00721203">
            <w:pPr>
              <w:widowControl w:val="0"/>
              <w:tabs>
                <w:tab w:val="left" w:pos="7939"/>
              </w:tabs>
              <w:jc w:val="center"/>
              <w:rPr>
                <w:rFonts w:ascii="Times New Roman" w:hAnsi="Times New Roman"/>
                <w:sz w:val="24"/>
                <w:szCs w:val="24"/>
                <w:lang w:val="uk-UA"/>
              </w:rPr>
            </w:pPr>
            <w:r w:rsidRPr="00006A39">
              <w:rPr>
                <w:rFonts w:ascii="Times New Roman" w:hAnsi="Times New Roman"/>
                <w:sz w:val="24"/>
                <w:szCs w:val="24"/>
                <w:lang w:val="uk-UA"/>
              </w:rPr>
              <w:t>1. Розлади у матері, що пов’язані з вагітністю, та неонатальні розлади</w:t>
            </w:r>
          </w:p>
          <w:p w:rsidR="00D96FD9" w:rsidRPr="00006A39" w:rsidRDefault="00D96FD9" w:rsidP="00721203">
            <w:pPr>
              <w:widowControl w:val="0"/>
              <w:tabs>
                <w:tab w:val="left" w:pos="7939"/>
              </w:tabs>
              <w:jc w:val="center"/>
              <w:rPr>
                <w:rFonts w:ascii="Times New Roman" w:hAnsi="Times New Roman"/>
                <w:sz w:val="24"/>
                <w:szCs w:val="24"/>
                <w:lang w:val="uk-UA"/>
              </w:rPr>
            </w:pPr>
            <w:r w:rsidRPr="00006A39">
              <w:rPr>
                <w:rFonts w:ascii="Times New Roman" w:hAnsi="Times New Roman"/>
                <w:sz w:val="24"/>
                <w:szCs w:val="24"/>
                <w:lang w:val="uk-UA"/>
              </w:rPr>
              <w:t>62,03 (95% ДІ 46,88-77,66)</w:t>
            </w:r>
          </w:p>
        </w:tc>
      </w:tr>
      <w:tr w:rsidR="00D96FD9" w:rsidRPr="00006A39" w:rsidTr="00857FFE">
        <w:trPr>
          <w:trHeight w:val="717"/>
          <w:jc w:val="center"/>
        </w:trPr>
        <w:tc>
          <w:tcPr>
            <w:tcW w:w="3681" w:type="dxa"/>
            <w:tcBorders>
              <w:right w:val="single" w:sz="4" w:space="0" w:color="auto"/>
            </w:tcBorders>
          </w:tcPr>
          <w:p w:rsidR="00D96FD9" w:rsidRPr="00006A39" w:rsidRDefault="00D96FD9" w:rsidP="00721203">
            <w:pPr>
              <w:widowControl w:val="0"/>
              <w:tabs>
                <w:tab w:val="left" w:pos="7939"/>
              </w:tabs>
              <w:jc w:val="center"/>
              <w:rPr>
                <w:rFonts w:ascii="Times New Roman" w:hAnsi="Times New Roman"/>
                <w:sz w:val="24"/>
                <w:szCs w:val="24"/>
                <w:lang w:val="uk-UA"/>
              </w:rPr>
            </w:pPr>
            <w:r w:rsidRPr="00006A39">
              <w:rPr>
                <w:rFonts w:ascii="Times New Roman" w:hAnsi="Times New Roman"/>
                <w:sz w:val="24"/>
                <w:szCs w:val="24"/>
                <w:lang w:val="uk-UA"/>
              </w:rPr>
              <w:t>2. Інші неінфекційні хвороби</w:t>
            </w:r>
          </w:p>
          <w:p w:rsidR="00D96FD9" w:rsidRPr="00006A39" w:rsidRDefault="00D96FD9" w:rsidP="00721203">
            <w:pPr>
              <w:widowControl w:val="0"/>
              <w:tabs>
                <w:tab w:val="left" w:pos="7939"/>
              </w:tabs>
              <w:jc w:val="center"/>
              <w:rPr>
                <w:rFonts w:ascii="Times New Roman" w:hAnsi="Times New Roman"/>
                <w:sz w:val="24"/>
                <w:szCs w:val="24"/>
                <w:lang w:val="uk-UA"/>
              </w:rPr>
            </w:pPr>
            <w:r w:rsidRPr="00006A39">
              <w:rPr>
                <w:rFonts w:ascii="Times New Roman" w:hAnsi="Times New Roman"/>
                <w:sz w:val="24"/>
                <w:szCs w:val="24"/>
                <w:lang w:val="uk-UA"/>
              </w:rPr>
              <w:t>57,72 (95% ДІ 50,05-74,26)</w:t>
            </w:r>
          </w:p>
        </w:tc>
        <w:tc>
          <w:tcPr>
            <w:tcW w:w="2050" w:type="dxa"/>
            <w:tcBorders>
              <w:top w:val="nil"/>
              <w:left w:val="single" w:sz="4" w:space="0" w:color="auto"/>
              <w:bottom w:val="nil"/>
              <w:right w:val="single" w:sz="4" w:space="0" w:color="auto"/>
            </w:tcBorders>
          </w:tcPr>
          <w:p w:rsidR="00D96FD9" w:rsidRPr="00006A39" w:rsidRDefault="00D96FD9" w:rsidP="00721203">
            <w:pPr>
              <w:widowControl w:val="0"/>
              <w:tabs>
                <w:tab w:val="center" w:pos="1168"/>
              </w:tabs>
              <w:jc w:val="center"/>
              <w:rPr>
                <w:rFonts w:ascii="Times New Roman" w:hAnsi="Times New Roman"/>
                <w:sz w:val="24"/>
                <w:szCs w:val="24"/>
                <w:lang w:val="uk-UA"/>
              </w:rPr>
            </w:pPr>
            <w:r w:rsidRPr="00006A39">
              <w:rPr>
                <w:noProof/>
                <w:sz w:val="24"/>
                <w:szCs w:val="24"/>
              </w:rPr>
              <mc:AlternateContent>
                <mc:Choice Requires="wps">
                  <w:drawing>
                    <wp:anchor distT="4294967295" distB="4294967295" distL="114300" distR="114300" simplePos="0" relativeHeight="251674624" behindDoc="0" locked="0" layoutInCell="1" allowOverlap="1" wp14:anchorId="29793C52" wp14:editId="2B0BE896">
                      <wp:simplePos x="0" y="0"/>
                      <wp:positionH relativeFrom="column">
                        <wp:posOffset>-86995</wp:posOffset>
                      </wp:positionH>
                      <wp:positionV relativeFrom="paragraph">
                        <wp:posOffset>212724</wp:posOffset>
                      </wp:positionV>
                      <wp:extent cx="1468120" cy="0"/>
                      <wp:effectExtent l="0" t="0" r="17780" b="0"/>
                      <wp:wrapNone/>
                      <wp:docPr id="18" name="Пряма сполучна лінія 1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468120" cy="0"/>
                              </a:xfrm>
                              <a:prstGeom prst="line">
                                <a:avLst/>
                              </a:prstGeom>
                              <a:noFill/>
                              <a:ln w="190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id="Пряма сполучна лінія 18" o:spid="_x0000_s1026" style="position:absolute;z-index:25167462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6.85pt,16.75pt" to="108.75pt,16.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" strokecolor="windowText" strokeweight="1.5pt">
                      <v:stroke joinstyle="miter"/>
                      <o:lock v:ext="edit" shapetype="f"/>
                    </v:line>
                  </w:pict>
                </mc:Fallback>
              </mc:AlternateContent>
            </w:r>
            <w:r w:rsidRPr="00006A39">
              <w:rPr>
                <w:rFonts w:ascii="Times New Roman" w:hAnsi="Times New Roman"/>
                <w:sz w:val="24"/>
                <w:szCs w:val="24"/>
                <w:lang w:val="uk-UA"/>
              </w:rPr>
              <w:t>-9,36%</w:t>
            </w:r>
          </w:p>
          <w:p w:rsidR="00D96FD9" w:rsidRPr="00006A39" w:rsidRDefault="00D96FD9" w:rsidP="00721203">
            <w:pPr>
              <w:widowControl w:val="0"/>
              <w:tabs>
                <w:tab w:val="center" w:pos="1168"/>
              </w:tabs>
              <w:jc w:val="center"/>
              <w:rPr>
                <w:rFonts w:ascii="Times New Roman" w:hAnsi="Times New Roman"/>
                <w:sz w:val="24"/>
                <w:szCs w:val="24"/>
                <w:lang w:val="uk-UA"/>
              </w:rPr>
            </w:pPr>
          </w:p>
        </w:tc>
        <w:tc>
          <w:tcPr>
            <w:tcW w:w="3614" w:type="dxa"/>
            <w:tcBorders>
              <w:left w:val="single" w:sz="4" w:space="0" w:color="auto"/>
            </w:tcBorders>
          </w:tcPr>
          <w:p w:rsidR="00D96FD9" w:rsidRPr="00006A39" w:rsidRDefault="00D96FD9" w:rsidP="00721203">
            <w:pPr>
              <w:widowControl w:val="0"/>
              <w:tabs>
                <w:tab w:val="left" w:pos="7939"/>
              </w:tabs>
              <w:jc w:val="center"/>
              <w:rPr>
                <w:rFonts w:ascii="Times New Roman" w:hAnsi="Times New Roman"/>
                <w:sz w:val="24"/>
                <w:szCs w:val="24"/>
                <w:lang w:val="uk-UA"/>
              </w:rPr>
            </w:pPr>
            <w:r w:rsidRPr="00006A39">
              <w:rPr>
                <w:rFonts w:ascii="Times New Roman" w:hAnsi="Times New Roman"/>
                <w:sz w:val="24"/>
                <w:szCs w:val="24"/>
                <w:lang w:val="uk-UA"/>
              </w:rPr>
              <w:t>2. Інші неінфекційні хвороби</w:t>
            </w:r>
            <w:r w:rsidR="0063230B" w:rsidRPr="00006A39">
              <w:rPr>
                <w:rFonts w:ascii="Times New Roman" w:hAnsi="Times New Roman"/>
                <w:sz w:val="24"/>
                <w:szCs w:val="24"/>
                <w:lang w:val="uk-UA"/>
              </w:rPr>
              <w:t xml:space="preserve"> </w:t>
            </w:r>
            <w:r w:rsidRPr="00006A39">
              <w:rPr>
                <w:rFonts w:ascii="Times New Roman" w:hAnsi="Times New Roman"/>
                <w:sz w:val="24"/>
                <w:szCs w:val="24"/>
                <w:lang w:val="uk-UA"/>
              </w:rPr>
              <w:t>52,32 (95% ДІ 41,53-71,75)</w:t>
            </w:r>
          </w:p>
        </w:tc>
      </w:tr>
      <w:tr w:rsidR="00D96FD9" w:rsidRPr="00006A39" w:rsidTr="00857FFE">
        <w:trPr>
          <w:trHeight w:val="711"/>
          <w:jc w:val="center"/>
        </w:trPr>
        <w:tc>
          <w:tcPr>
            <w:tcW w:w="3681" w:type="dxa"/>
            <w:tcBorders>
              <w:right w:val="single" w:sz="4" w:space="0" w:color="auto"/>
            </w:tcBorders>
          </w:tcPr>
          <w:p w:rsidR="00D96FD9" w:rsidRPr="00006A39" w:rsidRDefault="00D96FD9" w:rsidP="00721203">
            <w:pPr>
              <w:widowControl w:val="0"/>
              <w:tabs>
                <w:tab w:val="left" w:pos="7939"/>
              </w:tabs>
              <w:jc w:val="center"/>
              <w:rPr>
                <w:rFonts w:ascii="Times New Roman" w:hAnsi="Times New Roman"/>
                <w:sz w:val="24"/>
                <w:szCs w:val="24"/>
                <w:lang w:val="uk-UA"/>
              </w:rPr>
            </w:pPr>
            <w:r w:rsidRPr="00006A39">
              <w:rPr>
                <w:rFonts w:ascii="Times New Roman" w:hAnsi="Times New Roman"/>
                <w:sz w:val="24"/>
                <w:szCs w:val="24"/>
                <w:lang w:val="uk-UA"/>
              </w:rPr>
              <w:t>3. Ненавмисні травми</w:t>
            </w:r>
          </w:p>
          <w:p w:rsidR="00D96FD9" w:rsidRPr="00006A39" w:rsidRDefault="00D96FD9" w:rsidP="00721203">
            <w:pPr>
              <w:widowControl w:val="0"/>
              <w:tabs>
                <w:tab w:val="left" w:pos="7939"/>
              </w:tabs>
              <w:jc w:val="center"/>
              <w:rPr>
                <w:rFonts w:ascii="Times New Roman" w:hAnsi="Times New Roman"/>
                <w:sz w:val="24"/>
                <w:szCs w:val="24"/>
                <w:lang w:val="uk-UA"/>
              </w:rPr>
            </w:pPr>
            <w:r w:rsidRPr="00006A39">
              <w:rPr>
                <w:rFonts w:ascii="Times New Roman" w:hAnsi="Times New Roman"/>
                <w:sz w:val="24"/>
                <w:szCs w:val="24"/>
                <w:lang w:val="uk-UA"/>
              </w:rPr>
              <w:t>17,11 (95% ДІ 14,44-19,38)</w:t>
            </w:r>
          </w:p>
        </w:tc>
        <w:tc>
          <w:tcPr>
            <w:tcW w:w="2050" w:type="dxa"/>
            <w:tcBorders>
              <w:top w:val="nil"/>
              <w:left w:val="single" w:sz="4" w:space="0" w:color="auto"/>
              <w:bottom w:val="nil"/>
              <w:right w:val="single" w:sz="4" w:space="0" w:color="auto"/>
            </w:tcBorders>
          </w:tcPr>
          <w:p w:rsidR="00D96FD9" w:rsidRPr="00006A39" w:rsidRDefault="00D96FD9" w:rsidP="00721203">
            <w:pPr>
              <w:pStyle w:val="a5"/>
              <w:widowControl w:val="0"/>
              <w:tabs>
                <w:tab w:val="left" w:pos="7939"/>
              </w:tabs>
              <w:rPr>
                <w:rFonts w:ascii="Times New Roman" w:hAnsi="Times New Roman"/>
                <w:sz w:val="24"/>
                <w:szCs w:val="24"/>
                <w:lang w:val="uk-UA"/>
              </w:rPr>
            </w:pPr>
            <w:r w:rsidRPr="00006A39">
              <w:rPr>
                <w:noProof/>
                <w:sz w:val="24"/>
                <w:szCs w:val="24"/>
              </w:rPr>
              <mc:AlternateContent>
                <mc:Choice Requires="wps">
                  <w:drawing>
                    <wp:anchor distT="0" distB="0" distL="114300" distR="114300" simplePos="0" relativeHeight="251662336" behindDoc="0" locked="0" layoutInCell="1" allowOverlap="1" wp14:anchorId="02E69152" wp14:editId="6261AD8F">
                      <wp:simplePos x="0" y="0"/>
                      <wp:positionH relativeFrom="column">
                        <wp:posOffset>-81915</wp:posOffset>
                      </wp:positionH>
                      <wp:positionV relativeFrom="paragraph">
                        <wp:posOffset>240030</wp:posOffset>
                      </wp:positionV>
                      <wp:extent cx="1458595" cy="8890"/>
                      <wp:effectExtent l="0" t="0" r="8255" b="10160"/>
                      <wp:wrapNone/>
                      <wp:docPr id="24" name="Пряма сполучна лінія 2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458595" cy="8890"/>
                              </a:xfrm>
                              <a:prstGeom prst="line">
                                <a:avLst/>
                              </a:prstGeom>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Пряма сполучна лінія 24" o:spid="_x0000_s1026" style="position:absolute;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45pt,18.9pt" to="108.4pt,19.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" strokecolor="black [3200]" strokeweight="1.5pt">
                      <v:stroke joinstyle="miter"/>
                      <o:lock v:ext="edit" shapetype="f"/>
                    </v:line>
                  </w:pict>
                </mc:Fallback>
              </mc:AlternateContent>
            </w:r>
            <w:r w:rsidRPr="00006A39">
              <w:rPr>
                <w:rFonts w:ascii="Times New Roman" w:hAnsi="Times New Roman"/>
                <w:sz w:val="24"/>
                <w:szCs w:val="24"/>
                <w:lang w:val="uk-UA"/>
              </w:rPr>
              <w:t xml:space="preserve"> -5,48%</w:t>
            </w:r>
          </w:p>
        </w:tc>
        <w:tc>
          <w:tcPr>
            <w:tcW w:w="3614" w:type="dxa"/>
            <w:tcBorders>
              <w:left w:val="single" w:sz="4" w:space="0" w:color="auto"/>
            </w:tcBorders>
          </w:tcPr>
          <w:p w:rsidR="00D96FD9" w:rsidRPr="00006A39" w:rsidRDefault="00D96FD9" w:rsidP="00721203">
            <w:pPr>
              <w:widowControl w:val="0"/>
              <w:tabs>
                <w:tab w:val="left" w:pos="7939"/>
              </w:tabs>
              <w:jc w:val="center"/>
              <w:rPr>
                <w:rFonts w:ascii="Times New Roman" w:hAnsi="Times New Roman"/>
                <w:sz w:val="24"/>
                <w:szCs w:val="24"/>
                <w:lang w:val="uk-UA"/>
              </w:rPr>
            </w:pPr>
            <w:r w:rsidRPr="00006A39">
              <w:rPr>
                <w:rFonts w:ascii="Times New Roman" w:hAnsi="Times New Roman"/>
                <w:sz w:val="24"/>
                <w:szCs w:val="24"/>
                <w:lang w:val="uk-UA"/>
              </w:rPr>
              <w:t>3. Ненавмисні травми</w:t>
            </w:r>
            <w:r w:rsidR="00FB0783" w:rsidRPr="00006A39">
              <w:rPr>
                <w:rFonts w:ascii="Times New Roman" w:hAnsi="Times New Roman"/>
                <w:sz w:val="24"/>
                <w:szCs w:val="24"/>
                <w:lang w:val="uk-UA"/>
              </w:rPr>
              <w:t xml:space="preserve"> </w:t>
            </w:r>
            <w:r w:rsidRPr="00006A39">
              <w:rPr>
                <w:rFonts w:ascii="Times New Roman" w:hAnsi="Times New Roman"/>
                <w:sz w:val="24"/>
                <w:szCs w:val="24"/>
                <w:lang w:val="uk-UA"/>
              </w:rPr>
              <w:t>16,17 (95% ДІ 13,01-19,44)</w:t>
            </w:r>
          </w:p>
        </w:tc>
      </w:tr>
      <w:tr w:rsidR="00D96FD9" w:rsidRPr="00006A39" w:rsidTr="004F31D7">
        <w:trPr>
          <w:jc w:val="center"/>
        </w:trPr>
        <w:tc>
          <w:tcPr>
            <w:tcW w:w="3681" w:type="dxa"/>
            <w:tcBorders>
              <w:right w:val="single" w:sz="4" w:space="0" w:color="auto"/>
            </w:tcBorders>
          </w:tcPr>
          <w:p w:rsidR="00D96FD9" w:rsidRPr="00006A39" w:rsidRDefault="00D96FD9" w:rsidP="00721203">
            <w:pPr>
              <w:widowControl w:val="0"/>
              <w:tabs>
                <w:tab w:val="left" w:pos="7939"/>
              </w:tabs>
              <w:jc w:val="center"/>
              <w:rPr>
                <w:rFonts w:ascii="Times New Roman" w:hAnsi="Times New Roman"/>
                <w:sz w:val="24"/>
                <w:szCs w:val="24"/>
                <w:lang w:val="uk-UA"/>
              </w:rPr>
            </w:pPr>
            <w:r w:rsidRPr="00006A39">
              <w:rPr>
                <w:rFonts w:ascii="Times New Roman" w:hAnsi="Times New Roman"/>
                <w:sz w:val="24"/>
                <w:szCs w:val="24"/>
                <w:lang w:val="uk-UA"/>
              </w:rPr>
              <w:t>4. Респіраторні інфекції та туберкульоз</w:t>
            </w:r>
          </w:p>
          <w:p w:rsidR="00D96FD9" w:rsidRPr="00006A39" w:rsidRDefault="00D96FD9" w:rsidP="00721203">
            <w:pPr>
              <w:widowControl w:val="0"/>
              <w:tabs>
                <w:tab w:val="left" w:pos="7939"/>
              </w:tabs>
              <w:jc w:val="center"/>
              <w:rPr>
                <w:rFonts w:ascii="Times New Roman" w:hAnsi="Times New Roman"/>
                <w:sz w:val="24"/>
                <w:szCs w:val="24"/>
                <w:lang w:val="uk-UA"/>
              </w:rPr>
            </w:pPr>
            <w:r w:rsidRPr="00006A39">
              <w:rPr>
                <w:rFonts w:ascii="Times New Roman" w:hAnsi="Times New Roman"/>
                <w:sz w:val="24"/>
                <w:szCs w:val="24"/>
                <w:lang w:val="uk-UA"/>
              </w:rPr>
              <w:t>9,98 (95% ДІ 8,43-11,31)</w:t>
            </w:r>
          </w:p>
        </w:tc>
        <w:tc>
          <w:tcPr>
            <w:tcW w:w="2050" w:type="dxa"/>
            <w:tcBorders>
              <w:top w:val="nil"/>
              <w:left w:val="single" w:sz="4" w:space="0" w:color="auto"/>
              <w:bottom w:val="nil"/>
              <w:right w:val="single" w:sz="4" w:space="0" w:color="auto"/>
            </w:tcBorders>
          </w:tcPr>
          <w:p w:rsidR="00D96FD9" w:rsidRPr="00006A39" w:rsidRDefault="00D96FD9" w:rsidP="00721203">
            <w:pPr>
              <w:widowControl w:val="0"/>
              <w:tabs>
                <w:tab w:val="left" w:pos="7939"/>
              </w:tabs>
              <w:rPr>
                <w:rFonts w:ascii="Times New Roman" w:hAnsi="Times New Roman"/>
                <w:sz w:val="24"/>
                <w:szCs w:val="24"/>
                <w:lang w:val="uk-UA"/>
              </w:rPr>
            </w:pPr>
            <w:r w:rsidRPr="00006A39">
              <w:rPr>
                <w:noProof/>
                <w:sz w:val="24"/>
                <w:szCs w:val="24"/>
              </w:rPr>
              <mc:AlternateContent>
                <mc:Choice Requires="wps">
                  <w:drawing>
                    <wp:anchor distT="0" distB="0" distL="114300" distR="114300" simplePos="0" relativeHeight="251663360" behindDoc="0" locked="0" layoutInCell="1" allowOverlap="1" wp14:anchorId="584C3EB0" wp14:editId="000DBA76">
                      <wp:simplePos x="0" y="0"/>
                      <wp:positionH relativeFrom="column">
                        <wp:posOffset>-52070</wp:posOffset>
                      </wp:positionH>
                      <wp:positionV relativeFrom="paragraph">
                        <wp:posOffset>191770</wp:posOffset>
                      </wp:positionV>
                      <wp:extent cx="1437640" cy="615315"/>
                      <wp:effectExtent l="0" t="0" r="10160" b="13335"/>
                      <wp:wrapNone/>
                      <wp:docPr id="25" name="Пряма зі стрілкою 2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437640" cy="615315"/>
                              </a:xfrm>
                              <a:prstGeom prst="straightConnector1">
                                <a:avLst/>
                              </a:prstGeom>
                              <a:ln w="19050"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id="_x0000_t32" coordsize="21600,21600" o:spt="32" o:oned="t" path="m,l21600,21600e" filled="f">
                      <v:path arrowok="t" fillok="f" o:connecttype="none"/>
                      <o:lock v:ext="edit" shapetype="t"/>
                    </v:shapetype>
                    <v:shape id="Пряма зі стрілкою 25" o:spid="_x0000_s1026" type="#_x0000_t32" style="position:absolute;margin-left:-4.1pt;margin-top:15.1pt;width:113.2pt;height:48.4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" strokecolor="black [3200]" strokeweight="1.5pt">
                      <v:stroke dashstyle="dash"/>
                      <o:lock v:ext="edit" shapetype="f"/>
                    </v:shape>
                  </w:pict>
                </mc:Fallback>
              </mc:AlternateContent>
            </w:r>
            <w:r w:rsidRPr="00006A39">
              <w:rPr>
                <w:rFonts w:ascii="Times New Roman" w:hAnsi="Times New Roman"/>
                <w:sz w:val="24"/>
                <w:szCs w:val="24"/>
                <w:lang w:val="uk-UA"/>
              </w:rPr>
              <w:t>+1,74%</w:t>
            </w:r>
          </w:p>
        </w:tc>
        <w:tc>
          <w:tcPr>
            <w:tcW w:w="3614" w:type="dxa"/>
            <w:tcBorders>
              <w:left w:val="single" w:sz="4" w:space="0" w:color="auto"/>
            </w:tcBorders>
          </w:tcPr>
          <w:p w:rsidR="00D96FD9" w:rsidRPr="00006A39" w:rsidRDefault="00D96FD9" w:rsidP="00721203">
            <w:pPr>
              <w:widowControl w:val="0"/>
              <w:tabs>
                <w:tab w:val="left" w:pos="7939"/>
              </w:tabs>
              <w:jc w:val="center"/>
              <w:rPr>
                <w:rFonts w:ascii="Times New Roman" w:hAnsi="Times New Roman"/>
                <w:sz w:val="24"/>
                <w:szCs w:val="24"/>
                <w:lang w:val="uk-UA"/>
              </w:rPr>
            </w:pPr>
            <w:r w:rsidRPr="00006A39">
              <w:rPr>
                <w:rFonts w:ascii="Times New Roman" w:hAnsi="Times New Roman"/>
                <w:sz w:val="24"/>
                <w:szCs w:val="24"/>
                <w:lang w:val="uk-UA"/>
              </w:rPr>
              <w:t>4. Інші інфекційні захворювання</w:t>
            </w:r>
          </w:p>
          <w:p w:rsidR="00D96FD9" w:rsidRPr="00006A39" w:rsidRDefault="00D96FD9" w:rsidP="00721203">
            <w:pPr>
              <w:widowControl w:val="0"/>
              <w:tabs>
                <w:tab w:val="left" w:pos="7939"/>
              </w:tabs>
              <w:jc w:val="center"/>
              <w:rPr>
                <w:rFonts w:ascii="Times New Roman" w:hAnsi="Times New Roman"/>
                <w:sz w:val="24"/>
                <w:szCs w:val="24"/>
                <w:lang w:val="uk-UA"/>
              </w:rPr>
            </w:pPr>
            <w:r w:rsidRPr="00006A39">
              <w:rPr>
                <w:rFonts w:ascii="Times New Roman" w:hAnsi="Times New Roman"/>
                <w:sz w:val="24"/>
                <w:szCs w:val="24"/>
                <w:lang w:val="uk-UA"/>
              </w:rPr>
              <w:t>11,44 (95% ДІ 7,89-17,33)</w:t>
            </w:r>
          </w:p>
        </w:tc>
      </w:tr>
      <w:tr w:rsidR="00D96FD9" w:rsidRPr="00006A39" w:rsidTr="004F31D7">
        <w:trPr>
          <w:trHeight w:val="741"/>
          <w:jc w:val="center"/>
        </w:trPr>
        <w:tc>
          <w:tcPr>
            <w:tcW w:w="3681" w:type="dxa"/>
            <w:tcBorders>
              <w:right w:val="single" w:sz="4" w:space="0" w:color="auto"/>
            </w:tcBorders>
          </w:tcPr>
          <w:p w:rsidR="00D96FD9" w:rsidRPr="00006A39" w:rsidRDefault="00D96FD9" w:rsidP="00721203">
            <w:pPr>
              <w:widowControl w:val="0"/>
              <w:tabs>
                <w:tab w:val="left" w:pos="7939"/>
              </w:tabs>
              <w:jc w:val="center"/>
              <w:rPr>
                <w:rFonts w:ascii="Times New Roman" w:hAnsi="Times New Roman"/>
                <w:sz w:val="24"/>
                <w:szCs w:val="24"/>
                <w:lang w:val="uk-UA"/>
              </w:rPr>
            </w:pPr>
            <w:r w:rsidRPr="00006A39">
              <w:rPr>
                <w:rFonts w:ascii="Times New Roman" w:hAnsi="Times New Roman"/>
                <w:sz w:val="24"/>
                <w:szCs w:val="24"/>
                <w:lang w:val="uk-UA"/>
              </w:rPr>
              <w:t>5. Інші інфекційні захворювання</w:t>
            </w:r>
          </w:p>
          <w:p w:rsidR="00D96FD9" w:rsidRPr="00006A39" w:rsidRDefault="00D96FD9" w:rsidP="00721203">
            <w:pPr>
              <w:widowControl w:val="0"/>
              <w:tabs>
                <w:tab w:val="left" w:pos="7939"/>
              </w:tabs>
              <w:jc w:val="center"/>
              <w:rPr>
                <w:rFonts w:ascii="Times New Roman" w:hAnsi="Times New Roman"/>
                <w:sz w:val="24"/>
                <w:szCs w:val="24"/>
                <w:lang w:val="uk-UA"/>
              </w:rPr>
            </w:pPr>
            <w:r w:rsidRPr="00006A39">
              <w:rPr>
                <w:rFonts w:ascii="Times New Roman" w:hAnsi="Times New Roman"/>
                <w:sz w:val="24"/>
                <w:szCs w:val="24"/>
                <w:lang w:val="uk-UA"/>
              </w:rPr>
              <w:t>9,85 (95% ДІ 8-14,61)</w:t>
            </w:r>
          </w:p>
        </w:tc>
        <w:tc>
          <w:tcPr>
            <w:tcW w:w="2050" w:type="dxa"/>
            <w:tcBorders>
              <w:top w:val="nil"/>
              <w:left w:val="single" w:sz="4" w:space="0" w:color="auto"/>
              <w:bottom w:val="nil"/>
              <w:right w:val="single" w:sz="4" w:space="0" w:color="auto"/>
            </w:tcBorders>
          </w:tcPr>
          <w:p w:rsidR="00D96FD9" w:rsidRPr="00006A39" w:rsidRDefault="00D96FD9" w:rsidP="00721203">
            <w:pPr>
              <w:widowControl w:val="0"/>
              <w:tabs>
                <w:tab w:val="right" w:pos="2052"/>
              </w:tabs>
              <w:rPr>
                <w:rFonts w:ascii="Times New Roman" w:hAnsi="Times New Roman"/>
                <w:sz w:val="24"/>
                <w:szCs w:val="24"/>
                <w:lang w:val="uk-UA"/>
              </w:rPr>
            </w:pPr>
            <w:r w:rsidRPr="00006A39">
              <w:rPr>
                <w:noProof/>
                <w:sz w:val="24"/>
                <w:szCs w:val="24"/>
              </w:rPr>
              <mc:AlternateContent>
                <mc:Choice Requires="wps">
                  <w:drawing>
                    <wp:anchor distT="0" distB="0" distL="114300" distR="114300" simplePos="0" relativeHeight="251664384" behindDoc="0" locked="0" layoutInCell="1" allowOverlap="1" wp14:anchorId="29B6F026" wp14:editId="6A27ACE2">
                      <wp:simplePos x="0" y="0"/>
                      <wp:positionH relativeFrom="column">
                        <wp:posOffset>-75565</wp:posOffset>
                      </wp:positionH>
                      <wp:positionV relativeFrom="paragraph">
                        <wp:posOffset>-258445</wp:posOffset>
                      </wp:positionV>
                      <wp:extent cx="1458595" cy="641985"/>
                      <wp:effectExtent l="0" t="0" r="0" b="5715"/>
                      <wp:wrapNone/>
                      <wp:docPr id="26" name="Пряма зі стрілкою 2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1458595" cy="641985"/>
                              </a:xfrm>
                              <a:prstGeom prst="straightConnector1">
                                <a:avLst/>
                              </a:prstGeom>
                              <a:ln w="19050"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Пряма зі стрілкою 26" o:spid="_x0000_s1026" type="#_x0000_t32" style="position:absolute;margin-left:-5.95pt;margin-top:-20.35pt;width:114.85pt;height:50.55pt;flip:y;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" strokecolor="black [3200]" strokeweight="1.5pt">
                      <v:stroke dashstyle="dash"/>
                      <o:lock v:ext="edit" shapetype="f"/>
                    </v:shape>
                  </w:pict>
                </mc:Fallback>
              </mc:AlternateContent>
            </w:r>
            <w:r w:rsidRPr="00006A39">
              <w:rPr>
                <w:rFonts w:ascii="Times New Roman" w:hAnsi="Times New Roman"/>
                <w:sz w:val="24"/>
                <w:szCs w:val="24"/>
                <w:lang w:val="uk-UA"/>
              </w:rPr>
              <w:tab/>
            </w:r>
          </w:p>
          <w:p w:rsidR="00D96FD9" w:rsidRPr="00006A39" w:rsidRDefault="00D96FD9" w:rsidP="00721203">
            <w:pPr>
              <w:widowControl w:val="0"/>
              <w:tabs>
                <w:tab w:val="right" w:pos="2052"/>
              </w:tabs>
              <w:rPr>
                <w:rFonts w:ascii="Times New Roman" w:hAnsi="Times New Roman"/>
                <w:sz w:val="24"/>
                <w:szCs w:val="24"/>
                <w:lang w:val="uk-UA"/>
              </w:rPr>
            </w:pPr>
          </w:p>
          <w:p w:rsidR="00D96FD9" w:rsidRPr="00006A39" w:rsidRDefault="00D96FD9" w:rsidP="00721203">
            <w:pPr>
              <w:widowControl w:val="0"/>
              <w:tabs>
                <w:tab w:val="right" w:pos="2052"/>
              </w:tabs>
              <w:rPr>
                <w:rFonts w:ascii="Times New Roman" w:hAnsi="Times New Roman"/>
                <w:sz w:val="24"/>
                <w:szCs w:val="24"/>
                <w:lang w:val="uk-UA"/>
              </w:rPr>
            </w:pPr>
            <w:r w:rsidRPr="00006A39">
              <w:rPr>
                <w:rFonts w:ascii="Times New Roman" w:hAnsi="Times New Roman"/>
                <w:sz w:val="24"/>
                <w:szCs w:val="24"/>
                <w:lang w:val="uk-UA"/>
              </w:rPr>
              <w:t>+16,07%</w:t>
            </w:r>
          </w:p>
        </w:tc>
        <w:tc>
          <w:tcPr>
            <w:tcW w:w="3614" w:type="dxa"/>
            <w:tcBorders>
              <w:left w:val="single" w:sz="4" w:space="0" w:color="auto"/>
            </w:tcBorders>
          </w:tcPr>
          <w:p w:rsidR="00D96FD9" w:rsidRPr="00006A39" w:rsidRDefault="00D96FD9" w:rsidP="00721203">
            <w:pPr>
              <w:widowControl w:val="0"/>
              <w:jc w:val="center"/>
              <w:rPr>
                <w:rFonts w:ascii="Times New Roman" w:hAnsi="Times New Roman"/>
                <w:sz w:val="24"/>
                <w:szCs w:val="24"/>
                <w:lang w:val="uk-UA"/>
              </w:rPr>
            </w:pPr>
            <w:r w:rsidRPr="00006A39">
              <w:rPr>
                <w:rFonts w:ascii="Times New Roman" w:hAnsi="Times New Roman"/>
                <w:sz w:val="24"/>
                <w:szCs w:val="24"/>
                <w:lang w:val="uk-UA"/>
              </w:rPr>
              <w:t>5. Респіраторні інфекції та туберкульоз</w:t>
            </w:r>
          </w:p>
          <w:p w:rsidR="00D96FD9" w:rsidRPr="00006A39" w:rsidRDefault="00D96FD9" w:rsidP="00721203">
            <w:pPr>
              <w:widowControl w:val="0"/>
              <w:jc w:val="center"/>
              <w:rPr>
                <w:rFonts w:ascii="Times New Roman" w:hAnsi="Times New Roman"/>
                <w:sz w:val="24"/>
                <w:szCs w:val="24"/>
                <w:lang w:val="uk-UA"/>
              </w:rPr>
            </w:pPr>
            <w:r w:rsidRPr="00006A39">
              <w:rPr>
                <w:rFonts w:ascii="Times New Roman" w:hAnsi="Times New Roman"/>
                <w:sz w:val="24"/>
                <w:szCs w:val="24"/>
                <w:lang w:val="uk-UA"/>
              </w:rPr>
              <w:t>10,15 (95% ДІ 7,94-12,32)</w:t>
            </w:r>
          </w:p>
        </w:tc>
      </w:tr>
      <w:tr w:rsidR="00D96FD9" w:rsidRPr="00006A39" w:rsidTr="00857FFE">
        <w:trPr>
          <w:trHeight w:val="615"/>
          <w:jc w:val="center"/>
        </w:trPr>
        <w:tc>
          <w:tcPr>
            <w:tcW w:w="3681" w:type="dxa"/>
            <w:tcBorders>
              <w:right w:val="single" w:sz="4" w:space="0" w:color="auto"/>
            </w:tcBorders>
          </w:tcPr>
          <w:p w:rsidR="00D96FD9" w:rsidRPr="00006A39" w:rsidRDefault="00D96FD9" w:rsidP="00721203">
            <w:pPr>
              <w:widowControl w:val="0"/>
              <w:tabs>
                <w:tab w:val="left" w:pos="7939"/>
              </w:tabs>
              <w:jc w:val="center"/>
              <w:rPr>
                <w:rFonts w:ascii="Times New Roman" w:hAnsi="Times New Roman"/>
                <w:sz w:val="24"/>
                <w:szCs w:val="24"/>
                <w:lang w:val="uk-UA"/>
              </w:rPr>
            </w:pPr>
            <w:r w:rsidRPr="00006A39">
              <w:rPr>
                <w:rFonts w:ascii="Times New Roman" w:hAnsi="Times New Roman"/>
                <w:sz w:val="24"/>
                <w:szCs w:val="24"/>
                <w:lang w:val="uk-UA"/>
              </w:rPr>
              <w:t>6. Новоутворення</w:t>
            </w:r>
          </w:p>
          <w:p w:rsidR="00D96FD9" w:rsidRPr="00006A39" w:rsidRDefault="00D96FD9" w:rsidP="00721203">
            <w:pPr>
              <w:widowControl w:val="0"/>
              <w:tabs>
                <w:tab w:val="left" w:pos="7939"/>
              </w:tabs>
              <w:jc w:val="center"/>
              <w:rPr>
                <w:rFonts w:ascii="Times New Roman" w:hAnsi="Times New Roman"/>
                <w:sz w:val="24"/>
                <w:szCs w:val="24"/>
                <w:lang w:val="uk-UA"/>
              </w:rPr>
            </w:pPr>
            <w:r w:rsidRPr="00006A39">
              <w:rPr>
                <w:rFonts w:ascii="Times New Roman" w:hAnsi="Times New Roman"/>
                <w:sz w:val="24"/>
                <w:szCs w:val="24"/>
                <w:lang w:val="uk-UA"/>
              </w:rPr>
              <w:t>6,6 (95% ДІ 5,12-7,8)</w:t>
            </w:r>
          </w:p>
        </w:tc>
        <w:tc>
          <w:tcPr>
            <w:tcW w:w="2050" w:type="dxa"/>
            <w:tcBorders>
              <w:top w:val="nil"/>
              <w:left w:val="single" w:sz="4" w:space="0" w:color="auto"/>
              <w:bottom w:val="nil"/>
              <w:right w:val="single" w:sz="4" w:space="0" w:color="auto"/>
            </w:tcBorders>
          </w:tcPr>
          <w:p w:rsidR="00D96FD9" w:rsidRPr="00006A39" w:rsidRDefault="00D96FD9" w:rsidP="00721203">
            <w:pPr>
              <w:widowControl w:val="0"/>
              <w:tabs>
                <w:tab w:val="center" w:pos="1026"/>
              </w:tabs>
              <w:rPr>
                <w:rFonts w:ascii="Times New Roman" w:hAnsi="Times New Roman"/>
                <w:sz w:val="24"/>
                <w:szCs w:val="24"/>
                <w:lang w:val="uk-UA"/>
              </w:rPr>
            </w:pPr>
            <w:r w:rsidRPr="00006A39">
              <w:rPr>
                <w:noProof/>
                <w:sz w:val="24"/>
                <w:szCs w:val="24"/>
              </w:rPr>
              <mc:AlternateContent>
                <mc:Choice Requires="wps">
                  <w:drawing>
                    <wp:anchor distT="0" distB="0" distL="114300" distR="114300" simplePos="0" relativeHeight="251665408" behindDoc="0" locked="0" layoutInCell="1" allowOverlap="1" wp14:anchorId="0F2041BB" wp14:editId="63865E6D">
                      <wp:simplePos x="0" y="0"/>
                      <wp:positionH relativeFrom="column">
                        <wp:posOffset>-75565</wp:posOffset>
                      </wp:positionH>
                      <wp:positionV relativeFrom="paragraph">
                        <wp:posOffset>202565</wp:posOffset>
                      </wp:positionV>
                      <wp:extent cx="1459230" cy="17145"/>
                      <wp:effectExtent l="0" t="0" r="7620" b="1905"/>
                      <wp:wrapNone/>
                      <wp:docPr id="27" name="Пряма сполучна лінія 2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1459230" cy="17145"/>
                              </a:xfrm>
                              <a:prstGeom prst="line">
                                <a:avLst/>
                              </a:prstGeom>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Пряма сполучна лінія 27" o:spid="_x0000_s1026" style="position:absolute;flip:y;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95pt,15.95pt" to="108.95pt,17.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" strokecolor="black [3200]" strokeweight="1.5pt">
                      <v:stroke joinstyle="miter"/>
                      <o:lock v:ext="edit" shapetype="f"/>
                    </v:line>
                  </w:pict>
                </mc:Fallback>
              </mc:AlternateContent>
            </w:r>
            <w:r w:rsidRPr="00006A39">
              <w:rPr>
                <w:rFonts w:ascii="Times New Roman" w:hAnsi="Times New Roman"/>
                <w:sz w:val="24"/>
                <w:szCs w:val="24"/>
                <w:lang w:val="uk-UA"/>
              </w:rPr>
              <w:tab/>
              <w:t>+13,28%</w:t>
            </w:r>
          </w:p>
        </w:tc>
        <w:tc>
          <w:tcPr>
            <w:tcW w:w="3614" w:type="dxa"/>
            <w:tcBorders>
              <w:left w:val="single" w:sz="4" w:space="0" w:color="auto"/>
            </w:tcBorders>
          </w:tcPr>
          <w:p w:rsidR="00D96FD9" w:rsidRPr="00006A39" w:rsidRDefault="00D96FD9" w:rsidP="00721203">
            <w:pPr>
              <w:widowControl w:val="0"/>
              <w:tabs>
                <w:tab w:val="left" w:pos="7939"/>
              </w:tabs>
              <w:jc w:val="center"/>
              <w:rPr>
                <w:rFonts w:ascii="Times New Roman" w:hAnsi="Times New Roman"/>
                <w:sz w:val="24"/>
                <w:szCs w:val="24"/>
                <w:lang w:val="uk-UA"/>
              </w:rPr>
            </w:pPr>
            <w:r w:rsidRPr="00006A39">
              <w:rPr>
                <w:rFonts w:ascii="Times New Roman" w:hAnsi="Times New Roman"/>
                <w:sz w:val="24"/>
                <w:szCs w:val="24"/>
                <w:lang w:val="uk-UA"/>
              </w:rPr>
              <w:t>6. Новоутворення</w:t>
            </w:r>
          </w:p>
          <w:p w:rsidR="00D96FD9" w:rsidRPr="00006A39" w:rsidRDefault="00D96FD9" w:rsidP="00721203">
            <w:pPr>
              <w:widowControl w:val="0"/>
              <w:tabs>
                <w:tab w:val="left" w:pos="7939"/>
              </w:tabs>
              <w:jc w:val="center"/>
              <w:rPr>
                <w:rFonts w:ascii="Times New Roman" w:hAnsi="Times New Roman"/>
                <w:sz w:val="24"/>
                <w:szCs w:val="24"/>
                <w:lang w:val="uk-UA"/>
              </w:rPr>
            </w:pPr>
            <w:r w:rsidRPr="00006A39">
              <w:rPr>
                <w:rFonts w:ascii="Times New Roman" w:hAnsi="Times New Roman"/>
                <w:sz w:val="24"/>
                <w:szCs w:val="24"/>
                <w:lang w:val="uk-UA"/>
              </w:rPr>
              <w:t>7,47 (95% ДІ 5,22 – 9,47)</w:t>
            </w:r>
          </w:p>
        </w:tc>
      </w:tr>
      <w:tr w:rsidR="00D96FD9" w:rsidRPr="00006A39" w:rsidTr="004F31D7">
        <w:trPr>
          <w:trHeight w:val="723"/>
          <w:jc w:val="center"/>
        </w:trPr>
        <w:tc>
          <w:tcPr>
            <w:tcW w:w="3681" w:type="dxa"/>
            <w:tcBorders>
              <w:right w:val="single" w:sz="4" w:space="0" w:color="auto"/>
            </w:tcBorders>
          </w:tcPr>
          <w:p w:rsidR="00D96FD9" w:rsidRPr="00006A39" w:rsidRDefault="00D96FD9" w:rsidP="00721203">
            <w:pPr>
              <w:widowControl w:val="0"/>
              <w:tabs>
                <w:tab w:val="left" w:pos="7939"/>
              </w:tabs>
              <w:jc w:val="center"/>
              <w:rPr>
                <w:rFonts w:ascii="Times New Roman" w:hAnsi="Times New Roman"/>
                <w:sz w:val="24"/>
                <w:szCs w:val="24"/>
                <w:lang w:val="uk-UA"/>
              </w:rPr>
            </w:pPr>
            <w:r w:rsidRPr="00006A39">
              <w:rPr>
                <w:rFonts w:ascii="Times New Roman" w:hAnsi="Times New Roman"/>
                <w:sz w:val="24"/>
                <w:szCs w:val="24"/>
                <w:lang w:val="uk-UA"/>
              </w:rPr>
              <w:t>7. Транспортні травми</w:t>
            </w:r>
          </w:p>
          <w:p w:rsidR="00D96FD9" w:rsidRPr="00006A39" w:rsidRDefault="00D96FD9" w:rsidP="00721203">
            <w:pPr>
              <w:widowControl w:val="0"/>
              <w:tabs>
                <w:tab w:val="left" w:pos="7939"/>
              </w:tabs>
              <w:jc w:val="center"/>
              <w:rPr>
                <w:rFonts w:ascii="Times New Roman" w:hAnsi="Times New Roman"/>
                <w:sz w:val="24"/>
                <w:szCs w:val="24"/>
                <w:lang w:val="uk-UA"/>
              </w:rPr>
            </w:pPr>
            <w:r w:rsidRPr="00006A39">
              <w:rPr>
                <w:rFonts w:ascii="Times New Roman" w:hAnsi="Times New Roman"/>
                <w:sz w:val="24"/>
                <w:szCs w:val="24"/>
                <w:lang w:val="uk-UA"/>
              </w:rPr>
              <w:t>2,1 (95% ДІ 1,64-2,63)</w:t>
            </w:r>
          </w:p>
        </w:tc>
        <w:tc>
          <w:tcPr>
            <w:tcW w:w="2050" w:type="dxa"/>
            <w:tcBorders>
              <w:top w:val="nil"/>
              <w:left w:val="single" w:sz="4" w:space="0" w:color="auto"/>
              <w:bottom w:val="nil"/>
              <w:right w:val="single" w:sz="4" w:space="0" w:color="auto"/>
            </w:tcBorders>
          </w:tcPr>
          <w:p w:rsidR="00D96FD9" w:rsidRPr="00006A39" w:rsidRDefault="00D96FD9" w:rsidP="00721203">
            <w:pPr>
              <w:widowControl w:val="0"/>
              <w:tabs>
                <w:tab w:val="right" w:pos="2053"/>
              </w:tabs>
              <w:rPr>
                <w:rFonts w:ascii="Times New Roman" w:hAnsi="Times New Roman"/>
                <w:sz w:val="24"/>
                <w:szCs w:val="24"/>
                <w:lang w:val="uk-UA"/>
              </w:rPr>
            </w:pPr>
            <w:r w:rsidRPr="00006A39">
              <w:rPr>
                <w:noProof/>
                <w:sz w:val="24"/>
                <w:szCs w:val="24"/>
              </w:rPr>
              <mc:AlternateContent>
                <mc:Choice Requires="wps">
                  <w:drawing>
                    <wp:anchor distT="0" distB="0" distL="114300" distR="114300" simplePos="0" relativeHeight="251666432" behindDoc="0" locked="0" layoutInCell="1" allowOverlap="1" wp14:anchorId="34E15DFB" wp14:editId="44DF2C9E">
                      <wp:simplePos x="0" y="0"/>
                      <wp:positionH relativeFrom="column">
                        <wp:posOffset>-73660</wp:posOffset>
                      </wp:positionH>
                      <wp:positionV relativeFrom="paragraph">
                        <wp:posOffset>138430</wp:posOffset>
                      </wp:positionV>
                      <wp:extent cx="1437640" cy="518795"/>
                      <wp:effectExtent l="0" t="0" r="10160" b="14605"/>
                      <wp:wrapNone/>
                      <wp:docPr id="28" name="Пряма зі стрілкою 2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437640" cy="518795"/>
                              </a:xfrm>
                              <a:prstGeom prst="straightConnector1">
                                <a:avLst/>
                              </a:prstGeom>
                              <a:ln w="19050" cap="flat" cmpd="sng" algn="ctr">
                                <a:solidFill>
                                  <a:schemeClr val="tx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Пряма зі стрілкою 28" o:spid="_x0000_s1026" type="#_x0000_t32" style="position:absolute;margin-left:-5.8pt;margin-top:10.9pt;width:113.2pt;height:40.8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" strokecolor="black [3213]" strokeweight="1.5pt">
                      <v:stroke dashstyle="dash"/>
                      <o:lock v:ext="edit" shapetype="f"/>
                    </v:shape>
                  </w:pict>
                </mc:Fallback>
              </mc:AlternateContent>
            </w:r>
            <w:r w:rsidRPr="00006A39">
              <w:rPr>
                <w:rFonts w:ascii="Times New Roman" w:hAnsi="Times New Roman"/>
                <w:sz w:val="24"/>
                <w:szCs w:val="24"/>
                <w:lang w:val="uk-UA"/>
              </w:rPr>
              <w:t xml:space="preserve">-5,65%       </w:t>
            </w:r>
          </w:p>
        </w:tc>
        <w:tc>
          <w:tcPr>
            <w:tcW w:w="3614" w:type="dxa"/>
            <w:tcBorders>
              <w:left w:val="single" w:sz="4" w:space="0" w:color="auto"/>
            </w:tcBorders>
          </w:tcPr>
          <w:p w:rsidR="00D96FD9" w:rsidRPr="00006A39" w:rsidRDefault="00D96FD9" w:rsidP="00721203">
            <w:pPr>
              <w:widowControl w:val="0"/>
              <w:tabs>
                <w:tab w:val="left" w:pos="7939"/>
              </w:tabs>
              <w:jc w:val="center"/>
              <w:rPr>
                <w:rFonts w:ascii="Times New Roman" w:hAnsi="Times New Roman"/>
                <w:sz w:val="24"/>
                <w:szCs w:val="24"/>
                <w:lang w:val="uk-UA"/>
              </w:rPr>
            </w:pPr>
            <w:r w:rsidRPr="00006A39">
              <w:rPr>
                <w:rFonts w:ascii="Times New Roman" w:hAnsi="Times New Roman"/>
                <w:sz w:val="24"/>
                <w:szCs w:val="24"/>
                <w:lang w:val="uk-UA"/>
              </w:rPr>
              <w:t>7. Самоушкодження і міжособистісне насильство</w:t>
            </w:r>
          </w:p>
          <w:p w:rsidR="00D96FD9" w:rsidRPr="00006A39" w:rsidRDefault="00D96FD9" w:rsidP="00721203">
            <w:pPr>
              <w:widowControl w:val="0"/>
              <w:tabs>
                <w:tab w:val="left" w:pos="7939"/>
              </w:tabs>
              <w:jc w:val="center"/>
              <w:rPr>
                <w:rFonts w:ascii="Times New Roman" w:hAnsi="Times New Roman"/>
                <w:sz w:val="24"/>
                <w:szCs w:val="24"/>
                <w:lang w:val="uk-UA"/>
              </w:rPr>
            </w:pPr>
            <w:r w:rsidRPr="00006A39">
              <w:rPr>
                <w:rFonts w:ascii="Times New Roman" w:hAnsi="Times New Roman"/>
                <w:sz w:val="24"/>
                <w:szCs w:val="24"/>
                <w:lang w:val="uk-UA"/>
              </w:rPr>
              <w:t>2,38 (95% ДІ 2,08-2,71)</w:t>
            </w:r>
          </w:p>
        </w:tc>
      </w:tr>
      <w:tr w:rsidR="00D96FD9" w:rsidRPr="00006A39" w:rsidTr="00857FFE">
        <w:trPr>
          <w:trHeight w:val="634"/>
          <w:jc w:val="center"/>
        </w:trPr>
        <w:tc>
          <w:tcPr>
            <w:tcW w:w="3681" w:type="dxa"/>
            <w:tcBorders>
              <w:right w:val="single" w:sz="4" w:space="0" w:color="auto"/>
            </w:tcBorders>
          </w:tcPr>
          <w:p w:rsidR="00D96FD9" w:rsidRPr="00006A39" w:rsidRDefault="00D96FD9" w:rsidP="00721203">
            <w:pPr>
              <w:widowControl w:val="0"/>
              <w:tabs>
                <w:tab w:val="left" w:pos="7939"/>
              </w:tabs>
              <w:jc w:val="center"/>
              <w:rPr>
                <w:rFonts w:ascii="Times New Roman" w:hAnsi="Times New Roman"/>
                <w:sz w:val="24"/>
                <w:szCs w:val="24"/>
                <w:lang w:val="uk-UA"/>
              </w:rPr>
            </w:pPr>
            <w:r w:rsidRPr="00006A39">
              <w:rPr>
                <w:rFonts w:ascii="Times New Roman" w:hAnsi="Times New Roman"/>
                <w:sz w:val="24"/>
                <w:szCs w:val="24"/>
                <w:lang w:val="uk-UA"/>
              </w:rPr>
              <w:t>8. Неврологічні розлади</w:t>
            </w:r>
          </w:p>
          <w:p w:rsidR="00D96FD9" w:rsidRPr="00006A39" w:rsidRDefault="00D96FD9" w:rsidP="00721203">
            <w:pPr>
              <w:widowControl w:val="0"/>
              <w:tabs>
                <w:tab w:val="left" w:pos="7939"/>
              </w:tabs>
              <w:jc w:val="center"/>
              <w:rPr>
                <w:rFonts w:ascii="Times New Roman" w:hAnsi="Times New Roman"/>
                <w:sz w:val="24"/>
                <w:szCs w:val="24"/>
                <w:lang w:val="uk-UA"/>
              </w:rPr>
            </w:pPr>
            <w:r w:rsidRPr="00006A39">
              <w:rPr>
                <w:rFonts w:ascii="Times New Roman" w:hAnsi="Times New Roman"/>
                <w:sz w:val="24"/>
                <w:szCs w:val="24"/>
                <w:lang w:val="uk-UA"/>
              </w:rPr>
              <w:t>1,7 (95% ДІ 1,38-2)</w:t>
            </w:r>
          </w:p>
        </w:tc>
        <w:tc>
          <w:tcPr>
            <w:tcW w:w="2050" w:type="dxa"/>
            <w:tcBorders>
              <w:top w:val="nil"/>
              <w:left w:val="single" w:sz="4" w:space="0" w:color="auto"/>
              <w:bottom w:val="nil"/>
              <w:right w:val="single" w:sz="4" w:space="0" w:color="auto"/>
            </w:tcBorders>
          </w:tcPr>
          <w:p w:rsidR="00D96FD9" w:rsidRPr="00006A39" w:rsidRDefault="00D96FD9" w:rsidP="00721203">
            <w:pPr>
              <w:widowControl w:val="0"/>
              <w:tabs>
                <w:tab w:val="left" w:pos="7939"/>
              </w:tabs>
              <w:rPr>
                <w:rFonts w:ascii="Times New Roman" w:hAnsi="Times New Roman"/>
                <w:sz w:val="24"/>
                <w:szCs w:val="24"/>
                <w:lang w:val="uk-UA"/>
              </w:rPr>
            </w:pPr>
            <w:r w:rsidRPr="00006A39">
              <w:rPr>
                <w:noProof/>
                <w:sz w:val="24"/>
                <w:szCs w:val="24"/>
              </w:rPr>
              <mc:AlternateContent>
                <mc:Choice Requires="wps">
                  <w:drawing>
                    <wp:anchor distT="0" distB="0" distL="114300" distR="114300" simplePos="0" relativeHeight="251668480" behindDoc="0" locked="0" layoutInCell="1" allowOverlap="1" wp14:anchorId="40BF7959" wp14:editId="0C9F1DE8">
                      <wp:simplePos x="0" y="0"/>
                      <wp:positionH relativeFrom="column">
                        <wp:posOffset>-64770</wp:posOffset>
                      </wp:positionH>
                      <wp:positionV relativeFrom="paragraph">
                        <wp:posOffset>-302895</wp:posOffset>
                      </wp:positionV>
                      <wp:extent cx="1428750" cy="1028700"/>
                      <wp:effectExtent l="0" t="0" r="0" b="0"/>
                      <wp:wrapNone/>
                      <wp:docPr id="30" name="Пряма сполучна лінія 3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1428750" cy="1028700"/>
                              </a:xfrm>
                              <a:prstGeom prst="line">
                                <a:avLst/>
                              </a:prstGeom>
                              <a:ln w="19050"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Пряма сполучна лінія 30" o:spid="_x0000_s1026" style="position:absolute;flip:y;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1pt,-23.85pt" to="107.4pt,57.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" strokecolor="black [3200]" strokeweight="1.5pt">
                      <v:stroke dashstyle="dash"/>
                      <o:lock v:ext="edit" shapetype="f"/>
                    </v:line>
                  </w:pict>
                </mc:Fallback>
              </mc:AlternateContent>
            </w:r>
            <w:r w:rsidRPr="00006A39">
              <w:rPr>
                <w:noProof/>
                <w:sz w:val="24"/>
                <w:szCs w:val="24"/>
              </w:rPr>
              <mc:AlternateContent>
                <mc:Choice Requires="wps">
                  <w:drawing>
                    <wp:anchor distT="0" distB="0" distL="114300" distR="114300" simplePos="0" relativeHeight="251667456" behindDoc="0" locked="0" layoutInCell="1" allowOverlap="1" wp14:anchorId="4F4B0733" wp14:editId="0C601908">
                      <wp:simplePos x="0" y="0"/>
                      <wp:positionH relativeFrom="column">
                        <wp:posOffset>-84455</wp:posOffset>
                      </wp:positionH>
                      <wp:positionV relativeFrom="paragraph">
                        <wp:posOffset>169545</wp:posOffset>
                      </wp:positionV>
                      <wp:extent cx="1459230" cy="527050"/>
                      <wp:effectExtent l="0" t="0" r="7620" b="6350"/>
                      <wp:wrapNone/>
                      <wp:docPr id="29" name="Пряма сполучна лінія 2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459230" cy="527050"/>
                              </a:xfrm>
                              <a:prstGeom prst="line">
                                <a:avLst/>
                              </a:prstGeom>
                              <a:ln w="19050"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Пряма сполучна лінія 29" o:spid="_x0000_s1026" style="position:absolute;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65pt,13.35pt" to="108.25pt,5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" strokecolor="black [3200]" strokeweight="1.5pt">
                      <v:stroke dashstyle="dash"/>
                      <o:lock v:ext="edit" shapetype="f"/>
                    </v:line>
                  </w:pict>
                </mc:Fallback>
              </mc:AlternateContent>
            </w:r>
            <w:r w:rsidRPr="00006A39">
              <w:rPr>
                <w:rFonts w:ascii="Times New Roman" w:hAnsi="Times New Roman"/>
                <w:sz w:val="24"/>
                <w:szCs w:val="24"/>
                <w:lang w:val="uk-UA"/>
              </w:rPr>
              <w:t>+10,81%</w:t>
            </w:r>
          </w:p>
        </w:tc>
        <w:tc>
          <w:tcPr>
            <w:tcW w:w="3614" w:type="dxa"/>
            <w:tcBorders>
              <w:left w:val="single" w:sz="4" w:space="0" w:color="auto"/>
            </w:tcBorders>
          </w:tcPr>
          <w:p w:rsidR="00D96FD9" w:rsidRPr="00006A39" w:rsidRDefault="00D96FD9" w:rsidP="00721203">
            <w:pPr>
              <w:widowControl w:val="0"/>
              <w:tabs>
                <w:tab w:val="left" w:pos="7939"/>
              </w:tabs>
              <w:jc w:val="center"/>
              <w:rPr>
                <w:rFonts w:ascii="Times New Roman" w:hAnsi="Times New Roman"/>
                <w:sz w:val="24"/>
                <w:szCs w:val="24"/>
                <w:lang w:val="uk-UA"/>
              </w:rPr>
            </w:pPr>
            <w:r w:rsidRPr="00006A39">
              <w:rPr>
                <w:rFonts w:ascii="Times New Roman" w:hAnsi="Times New Roman"/>
                <w:sz w:val="24"/>
                <w:szCs w:val="24"/>
                <w:lang w:val="uk-UA"/>
              </w:rPr>
              <w:t>8. Транспортні травми</w:t>
            </w:r>
          </w:p>
          <w:p w:rsidR="00D96FD9" w:rsidRPr="00006A39" w:rsidRDefault="00D96FD9" w:rsidP="00721203">
            <w:pPr>
              <w:widowControl w:val="0"/>
              <w:tabs>
                <w:tab w:val="left" w:pos="7939"/>
              </w:tabs>
              <w:jc w:val="center"/>
              <w:rPr>
                <w:rFonts w:ascii="Times New Roman" w:hAnsi="Times New Roman"/>
                <w:sz w:val="24"/>
                <w:szCs w:val="24"/>
                <w:lang w:val="uk-UA"/>
              </w:rPr>
            </w:pPr>
            <w:r w:rsidRPr="00006A39">
              <w:rPr>
                <w:rFonts w:ascii="Times New Roman" w:hAnsi="Times New Roman"/>
                <w:sz w:val="24"/>
                <w:szCs w:val="24"/>
                <w:lang w:val="uk-UA"/>
              </w:rPr>
              <w:t>1,98 (95% ДІ 1,43-2,6)</w:t>
            </w:r>
          </w:p>
        </w:tc>
      </w:tr>
      <w:tr w:rsidR="00D96FD9" w:rsidRPr="00006A39" w:rsidTr="00857FFE">
        <w:trPr>
          <w:trHeight w:val="971"/>
          <w:jc w:val="center"/>
        </w:trPr>
        <w:tc>
          <w:tcPr>
            <w:tcW w:w="3681" w:type="dxa"/>
            <w:tcBorders>
              <w:right w:val="single" w:sz="4" w:space="0" w:color="auto"/>
            </w:tcBorders>
          </w:tcPr>
          <w:p w:rsidR="00D96FD9" w:rsidRPr="00006A39" w:rsidRDefault="00D96FD9" w:rsidP="00721203">
            <w:pPr>
              <w:widowControl w:val="0"/>
              <w:tabs>
                <w:tab w:val="left" w:pos="7939"/>
              </w:tabs>
              <w:jc w:val="center"/>
              <w:rPr>
                <w:rFonts w:ascii="Times New Roman" w:hAnsi="Times New Roman"/>
                <w:sz w:val="24"/>
                <w:szCs w:val="24"/>
                <w:lang w:val="uk-UA"/>
              </w:rPr>
            </w:pPr>
            <w:r w:rsidRPr="00006A39">
              <w:rPr>
                <w:rFonts w:ascii="Times New Roman" w:hAnsi="Times New Roman"/>
                <w:sz w:val="24"/>
                <w:szCs w:val="24"/>
                <w:lang w:val="uk-UA"/>
              </w:rPr>
              <w:t>9. Самоушкодження і міжособистісне насильство</w:t>
            </w:r>
          </w:p>
          <w:p w:rsidR="00D96FD9" w:rsidRPr="00006A39" w:rsidRDefault="00D96FD9" w:rsidP="00721203">
            <w:pPr>
              <w:widowControl w:val="0"/>
              <w:tabs>
                <w:tab w:val="left" w:pos="7939"/>
              </w:tabs>
              <w:jc w:val="center"/>
              <w:rPr>
                <w:rFonts w:ascii="Times New Roman" w:hAnsi="Times New Roman"/>
                <w:sz w:val="24"/>
                <w:szCs w:val="24"/>
                <w:lang w:val="uk-UA"/>
              </w:rPr>
            </w:pPr>
            <w:r w:rsidRPr="00006A39">
              <w:rPr>
                <w:rFonts w:ascii="Times New Roman" w:hAnsi="Times New Roman"/>
                <w:sz w:val="24"/>
                <w:szCs w:val="24"/>
                <w:lang w:val="uk-UA"/>
              </w:rPr>
              <w:t>1,54 (95% ДІ 1,27-1,8)</w:t>
            </w:r>
          </w:p>
        </w:tc>
        <w:tc>
          <w:tcPr>
            <w:tcW w:w="2050" w:type="dxa"/>
            <w:tcBorders>
              <w:top w:val="nil"/>
              <w:left w:val="single" w:sz="4" w:space="0" w:color="auto"/>
              <w:bottom w:val="nil"/>
              <w:right w:val="single" w:sz="4" w:space="0" w:color="auto"/>
            </w:tcBorders>
          </w:tcPr>
          <w:p w:rsidR="00D96FD9" w:rsidRPr="00006A39" w:rsidRDefault="00D96FD9" w:rsidP="00721203">
            <w:pPr>
              <w:widowControl w:val="0"/>
              <w:tabs>
                <w:tab w:val="left" w:pos="7939"/>
              </w:tabs>
              <w:rPr>
                <w:rFonts w:ascii="Times New Roman" w:hAnsi="Times New Roman"/>
                <w:sz w:val="24"/>
                <w:szCs w:val="24"/>
                <w:lang w:val="uk-UA"/>
              </w:rPr>
            </w:pPr>
          </w:p>
          <w:p w:rsidR="00D96FD9" w:rsidRPr="00006A39" w:rsidRDefault="00D96FD9" w:rsidP="00721203">
            <w:pPr>
              <w:widowControl w:val="0"/>
              <w:tabs>
                <w:tab w:val="left" w:pos="7939"/>
              </w:tabs>
              <w:rPr>
                <w:rFonts w:ascii="Times New Roman" w:hAnsi="Times New Roman"/>
                <w:sz w:val="24"/>
                <w:szCs w:val="24"/>
                <w:lang w:val="uk-UA"/>
              </w:rPr>
            </w:pPr>
          </w:p>
          <w:p w:rsidR="00D96FD9" w:rsidRPr="00006A39" w:rsidRDefault="00D96FD9" w:rsidP="00721203">
            <w:pPr>
              <w:widowControl w:val="0"/>
              <w:rPr>
                <w:rFonts w:ascii="Times New Roman" w:hAnsi="Times New Roman"/>
                <w:sz w:val="24"/>
                <w:szCs w:val="24"/>
                <w:lang w:val="uk-UA"/>
              </w:rPr>
            </w:pPr>
            <w:r w:rsidRPr="00006A39">
              <w:rPr>
                <w:rFonts w:ascii="Times New Roman" w:hAnsi="Times New Roman"/>
                <w:sz w:val="24"/>
                <w:szCs w:val="24"/>
                <w:lang w:val="uk-UA"/>
              </w:rPr>
              <w:t>+54,45%</w:t>
            </w:r>
          </w:p>
        </w:tc>
        <w:tc>
          <w:tcPr>
            <w:tcW w:w="3614" w:type="dxa"/>
            <w:tcBorders>
              <w:left w:val="single" w:sz="4" w:space="0" w:color="auto"/>
            </w:tcBorders>
          </w:tcPr>
          <w:p w:rsidR="00D96FD9" w:rsidRPr="00006A39" w:rsidRDefault="00D96FD9" w:rsidP="00721203">
            <w:pPr>
              <w:widowControl w:val="0"/>
              <w:tabs>
                <w:tab w:val="left" w:pos="7939"/>
              </w:tabs>
              <w:jc w:val="center"/>
              <w:rPr>
                <w:rFonts w:ascii="Times New Roman" w:hAnsi="Times New Roman"/>
                <w:sz w:val="24"/>
                <w:szCs w:val="24"/>
                <w:lang w:val="uk-UA"/>
              </w:rPr>
            </w:pPr>
            <w:r w:rsidRPr="00006A39">
              <w:rPr>
                <w:rFonts w:ascii="Times New Roman" w:hAnsi="Times New Roman"/>
                <w:sz w:val="24"/>
                <w:szCs w:val="24"/>
                <w:lang w:val="uk-UA"/>
              </w:rPr>
              <w:t>9. Неврологічні розлади</w:t>
            </w:r>
          </w:p>
          <w:p w:rsidR="00D96FD9" w:rsidRPr="00006A39" w:rsidRDefault="00D96FD9" w:rsidP="00721203">
            <w:pPr>
              <w:widowControl w:val="0"/>
              <w:tabs>
                <w:tab w:val="left" w:pos="7939"/>
              </w:tabs>
              <w:jc w:val="center"/>
              <w:rPr>
                <w:rFonts w:ascii="Times New Roman" w:hAnsi="Times New Roman"/>
                <w:sz w:val="24"/>
                <w:szCs w:val="24"/>
                <w:lang w:val="uk-UA"/>
              </w:rPr>
            </w:pPr>
            <w:r w:rsidRPr="00006A39">
              <w:rPr>
                <w:rFonts w:ascii="Times New Roman" w:hAnsi="Times New Roman"/>
                <w:sz w:val="24"/>
                <w:szCs w:val="24"/>
                <w:lang w:val="uk-UA"/>
              </w:rPr>
              <w:t>1,88 (95% ДІ 1,42-2,32)</w:t>
            </w:r>
          </w:p>
        </w:tc>
      </w:tr>
      <w:tr w:rsidR="00D96FD9" w:rsidRPr="00006A39" w:rsidTr="004F31D7">
        <w:trPr>
          <w:jc w:val="center"/>
        </w:trPr>
        <w:tc>
          <w:tcPr>
            <w:tcW w:w="3681" w:type="dxa"/>
            <w:tcBorders>
              <w:right w:val="single" w:sz="4" w:space="0" w:color="auto"/>
            </w:tcBorders>
          </w:tcPr>
          <w:p w:rsidR="00D96FD9" w:rsidRPr="00006A39" w:rsidRDefault="00D96FD9" w:rsidP="00721203">
            <w:pPr>
              <w:widowControl w:val="0"/>
              <w:tabs>
                <w:tab w:val="left" w:pos="7939"/>
              </w:tabs>
              <w:jc w:val="center"/>
              <w:rPr>
                <w:rFonts w:ascii="Times New Roman" w:hAnsi="Times New Roman"/>
                <w:sz w:val="24"/>
                <w:szCs w:val="24"/>
                <w:lang w:val="uk-UA"/>
              </w:rPr>
            </w:pPr>
            <w:r w:rsidRPr="00006A39">
              <w:rPr>
                <w:rFonts w:ascii="Times New Roman" w:hAnsi="Times New Roman"/>
                <w:sz w:val="24"/>
                <w:szCs w:val="24"/>
                <w:lang w:val="uk-UA"/>
              </w:rPr>
              <w:t>10. Хвороби органів травлення</w:t>
            </w:r>
          </w:p>
          <w:p w:rsidR="00D96FD9" w:rsidRPr="00006A39" w:rsidRDefault="00D96FD9" w:rsidP="00721203">
            <w:pPr>
              <w:widowControl w:val="0"/>
              <w:tabs>
                <w:tab w:val="left" w:pos="7939"/>
              </w:tabs>
              <w:jc w:val="center"/>
              <w:rPr>
                <w:rFonts w:ascii="Times New Roman" w:hAnsi="Times New Roman"/>
                <w:sz w:val="24"/>
                <w:szCs w:val="24"/>
                <w:lang w:val="uk-UA"/>
              </w:rPr>
            </w:pPr>
            <w:r w:rsidRPr="00006A39">
              <w:rPr>
                <w:rFonts w:ascii="Times New Roman" w:hAnsi="Times New Roman"/>
                <w:sz w:val="24"/>
                <w:szCs w:val="24"/>
                <w:lang w:val="uk-UA"/>
              </w:rPr>
              <w:t>1,49 (95% ДІ 1,15-1,8)</w:t>
            </w:r>
          </w:p>
        </w:tc>
        <w:tc>
          <w:tcPr>
            <w:tcW w:w="2050" w:type="dxa"/>
            <w:tcBorders>
              <w:top w:val="nil"/>
              <w:left w:val="single" w:sz="4" w:space="0" w:color="auto"/>
              <w:bottom w:val="nil"/>
              <w:right w:val="single" w:sz="4" w:space="0" w:color="auto"/>
            </w:tcBorders>
          </w:tcPr>
          <w:p w:rsidR="00D96FD9" w:rsidRPr="00006A39" w:rsidRDefault="00D96FD9" w:rsidP="00721203">
            <w:pPr>
              <w:widowControl w:val="0"/>
              <w:tabs>
                <w:tab w:val="left" w:pos="7939"/>
              </w:tabs>
              <w:jc w:val="center"/>
              <w:rPr>
                <w:rFonts w:ascii="Times New Roman" w:hAnsi="Times New Roman"/>
                <w:sz w:val="24"/>
                <w:szCs w:val="24"/>
                <w:lang w:val="uk-UA"/>
              </w:rPr>
            </w:pPr>
            <w:r w:rsidRPr="00006A39">
              <w:rPr>
                <w:noProof/>
                <w:sz w:val="24"/>
                <w:szCs w:val="24"/>
              </w:rPr>
              <mc:AlternateContent>
                <mc:Choice Requires="wps">
                  <w:drawing>
                    <wp:anchor distT="4294967295" distB="4294967295" distL="114300" distR="114300" simplePos="0" relativeHeight="251669504" behindDoc="0" locked="0" layoutInCell="1" allowOverlap="1" wp14:anchorId="5DACF1CA" wp14:editId="4EC4C0D4">
                      <wp:simplePos x="0" y="0"/>
                      <wp:positionH relativeFrom="column">
                        <wp:posOffset>-73660</wp:posOffset>
                      </wp:positionH>
                      <wp:positionV relativeFrom="paragraph">
                        <wp:posOffset>215899</wp:posOffset>
                      </wp:positionV>
                      <wp:extent cx="1437640" cy="0"/>
                      <wp:effectExtent l="0" t="0" r="10160" b="0"/>
                      <wp:wrapNone/>
                      <wp:docPr id="31" name="Пряма сполучна лінія 3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1437640" cy="0"/>
                              </a:xfrm>
                              <a:prstGeom prst="line">
                                <a:avLst/>
                              </a:prstGeom>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Пряма сполучна лінія 31" o:spid="_x0000_s1026" style="position:absolute;flip:y;z-index:25166950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5.8pt,17pt" to="107.4pt,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" strokecolor="black [3200]" strokeweight="1.5pt">
                      <v:stroke joinstyle="miter"/>
                      <o:lock v:ext="edit" shapetype="f"/>
                    </v:line>
                  </w:pict>
                </mc:Fallback>
              </mc:AlternateContent>
            </w:r>
            <w:r w:rsidRPr="00006A39">
              <w:rPr>
                <w:rFonts w:ascii="Times New Roman" w:hAnsi="Times New Roman"/>
                <w:sz w:val="24"/>
                <w:szCs w:val="24"/>
                <w:lang w:val="uk-UA"/>
              </w:rPr>
              <w:t>+9,06%</w:t>
            </w:r>
          </w:p>
        </w:tc>
        <w:tc>
          <w:tcPr>
            <w:tcW w:w="3614" w:type="dxa"/>
            <w:tcBorders>
              <w:left w:val="single" w:sz="4" w:space="0" w:color="auto"/>
            </w:tcBorders>
          </w:tcPr>
          <w:p w:rsidR="00D96FD9" w:rsidRPr="00006A39" w:rsidRDefault="00D96FD9" w:rsidP="00721203">
            <w:pPr>
              <w:widowControl w:val="0"/>
              <w:tabs>
                <w:tab w:val="left" w:pos="7939"/>
              </w:tabs>
              <w:jc w:val="center"/>
              <w:rPr>
                <w:rFonts w:ascii="Times New Roman" w:hAnsi="Times New Roman"/>
                <w:sz w:val="24"/>
                <w:szCs w:val="24"/>
                <w:lang w:val="uk-UA"/>
              </w:rPr>
            </w:pPr>
            <w:r w:rsidRPr="00006A39">
              <w:rPr>
                <w:rFonts w:ascii="Times New Roman" w:hAnsi="Times New Roman"/>
                <w:sz w:val="24"/>
                <w:szCs w:val="24"/>
                <w:lang w:val="uk-UA"/>
              </w:rPr>
              <w:t>10. Хвороби органів травлення</w:t>
            </w:r>
          </w:p>
          <w:p w:rsidR="00D96FD9" w:rsidRPr="00006A39" w:rsidRDefault="00D96FD9" w:rsidP="00721203">
            <w:pPr>
              <w:widowControl w:val="0"/>
              <w:tabs>
                <w:tab w:val="left" w:pos="7939"/>
              </w:tabs>
              <w:jc w:val="center"/>
              <w:rPr>
                <w:rFonts w:ascii="Times New Roman" w:hAnsi="Times New Roman"/>
                <w:sz w:val="24"/>
                <w:szCs w:val="24"/>
                <w:lang w:val="uk-UA"/>
              </w:rPr>
            </w:pPr>
            <w:r w:rsidRPr="00006A39">
              <w:rPr>
                <w:rFonts w:ascii="Times New Roman" w:hAnsi="Times New Roman"/>
                <w:sz w:val="24"/>
                <w:szCs w:val="24"/>
                <w:lang w:val="uk-UA"/>
              </w:rPr>
              <w:t>1,62 (95% ДІ 1,05-2,15)</w:t>
            </w:r>
          </w:p>
        </w:tc>
      </w:tr>
      <w:tr w:rsidR="00D96FD9" w:rsidRPr="00006A39" w:rsidTr="00857FFE">
        <w:trPr>
          <w:trHeight w:val="791"/>
          <w:jc w:val="center"/>
        </w:trPr>
        <w:tc>
          <w:tcPr>
            <w:tcW w:w="3681" w:type="dxa"/>
            <w:tcBorders>
              <w:right w:val="single" w:sz="4" w:space="0" w:color="auto"/>
            </w:tcBorders>
          </w:tcPr>
          <w:p w:rsidR="00D96FD9" w:rsidRPr="00006A39" w:rsidRDefault="00D96FD9" w:rsidP="00721203">
            <w:pPr>
              <w:widowControl w:val="0"/>
              <w:tabs>
                <w:tab w:val="left" w:pos="7939"/>
              </w:tabs>
              <w:jc w:val="center"/>
              <w:rPr>
                <w:rFonts w:ascii="Times New Roman" w:hAnsi="Times New Roman"/>
                <w:sz w:val="24"/>
                <w:szCs w:val="24"/>
                <w:lang w:val="uk-UA"/>
              </w:rPr>
            </w:pPr>
            <w:r w:rsidRPr="00006A39">
              <w:rPr>
                <w:rFonts w:ascii="Times New Roman" w:hAnsi="Times New Roman"/>
                <w:sz w:val="24"/>
                <w:szCs w:val="24"/>
                <w:lang w:val="uk-UA"/>
              </w:rPr>
              <w:t>11. Кишкові інфекції</w:t>
            </w:r>
          </w:p>
          <w:p w:rsidR="00D96FD9" w:rsidRPr="00006A39" w:rsidRDefault="00D96FD9" w:rsidP="00721203">
            <w:pPr>
              <w:widowControl w:val="0"/>
              <w:tabs>
                <w:tab w:val="left" w:pos="7939"/>
              </w:tabs>
              <w:jc w:val="center"/>
              <w:rPr>
                <w:rFonts w:ascii="Times New Roman" w:hAnsi="Times New Roman"/>
                <w:sz w:val="24"/>
                <w:szCs w:val="24"/>
                <w:lang w:val="uk-UA"/>
              </w:rPr>
            </w:pPr>
            <w:r w:rsidRPr="00006A39">
              <w:rPr>
                <w:rFonts w:ascii="Times New Roman" w:hAnsi="Times New Roman"/>
                <w:sz w:val="24"/>
                <w:szCs w:val="24"/>
                <w:lang w:val="uk-UA"/>
              </w:rPr>
              <w:t>1,03 (95% ДІ 0,79-1,33)</w:t>
            </w:r>
          </w:p>
        </w:tc>
        <w:tc>
          <w:tcPr>
            <w:tcW w:w="2050" w:type="dxa"/>
            <w:tcBorders>
              <w:top w:val="nil"/>
              <w:left w:val="single" w:sz="4" w:space="0" w:color="auto"/>
              <w:bottom w:val="nil"/>
              <w:right w:val="single" w:sz="4" w:space="0" w:color="auto"/>
            </w:tcBorders>
          </w:tcPr>
          <w:p w:rsidR="00D96FD9" w:rsidRPr="00006A39" w:rsidRDefault="00D96FD9" w:rsidP="00721203">
            <w:pPr>
              <w:widowControl w:val="0"/>
              <w:tabs>
                <w:tab w:val="left" w:pos="7939"/>
              </w:tabs>
              <w:jc w:val="center"/>
              <w:rPr>
                <w:rFonts w:ascii="Times New Roman" w:hAnsi="Times New Roman"/>
                <w:sz w:val="24"/>
                <w:szCs w:val="24"/>
                <w:lang w:val="uk-UA"/>
              </w:rPr>
            </w:pPr>
            <w:r w:rsidRPr="00006A39">
              <w:rPr>
                <w:noProof/>
                <w:sz w:val="24"/>
                <w:szCs w:val="24"/>
              </w:rPr>
              <mc:AlternateContent>
                <mc:Choice Requires="wps">
                  <w:drawing>
                    <wp:anchor distT="0" distB="0" distL="114300" distR="114300" simplePos="0" relativeHeight="251670528" behindDoc="0" locked="0" layoutInCell="1" allowOverlap="1" wp14:anchorId="6D2654D0" wp14:editId="72909A8F">
                      <wp:simplePos x="0" y="0"/>
                      <wp:positionH relativeFrom="column">
                        <wp:posOffset>-73660</wp:posOffset>
                      </wp:positionH>
                      <wp:positionV relativeFrom="paragraph">
                        <wp:posOffset>202565</wp:posOffset>
                      </wp:positionV>
                      <wp:extent cx="1437640" cy="17145"/>
                      <wp:effectExtent l="0" t="0" r="10160" b="1905"/>
                      <wp:wrapNone/>
                      <wp:docPr id="32" name="Пряма сполучна лінія 3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1437640" cy="17145"/>
                              </a:xfrm>
                              <a:prstGeom prst="line">
                                <a:avLst/>
                              </a:prstGeom>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Пряма сполучна лінія 32" o:spid="_x0000_s1026" style="position:absolute;flip:y;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8pt,15.95pt" to="107.4pt,17.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" strokecolor="black [3200]" strokeweight="1.5pt">
                      <v:stroke joinstyle="miter"/>
                      <o:lock v:ext="edit" shapetype="f"/>
                    </v:line>
                  </w:pict>
                </mc:Fallback>
              </mc:AlternateContent>
            </w:r>
            <w:r w:rsidRPr="00006A39">
              <w:rPr>
                <w:rFonts w:ascii="Times New Roman" w:hAnsi="Times New Roman"/>
                <w:sz w:val="24"/>
                <w:szCs w:val="24"/>
                <w:lang w:val="uk-UA"/>
              </w:rPr>
              <w:t>+7,14%</w:t>
            </w:r>
          </w:p>
        </w:tc>
        <w:tc>
          <w:tcPr>
            <w:tcW w:w="3614" w:type="dxa"/>
            <w:tcBorders>
              <w:left w:val="single" w:sz="4" w:space="0" w:color="auto"/>
            </w:tcBorders>
          </w:tcPr>
          <w:p w:rsidR="00D96FD9" w:rsidRPr="00006A39" w:rsidRDefault="00D96FD9" w:rsidP="00721203">
            <w:pPr>
              <w:widowControl w:val="0"/>
              <w:tabs>
                <w:tab w:val="left" w:pos="7939"/>
              </w:tabs>
              <w:jc w:val="center"/>
              <w:rPr>
                <w:rFonts w:ascii="Times New Roman" w:hAnsi="Times New Roman"/>
                <w:sz w:val="24"/>
                <w:szCs w:val="24"/>
                <w:lang w:val="uk-UA"/>
              </w:rPr>
            </w:pPr>
            <w:r w:rsidRPr="00006A39">
              <w:rPr>
                <w:rFonts w:ascii="Times New Roman" w:hAnsi="Times New Roman"/>
                <w:sz w:val="24"/>
                <w:szCs w:val="24"/>
                <w:lang w:val="uk-UA"/>
              </w:rPr>
              <w:t>11. Кишкові інфекції</w:t>
            </w:r>
          </w:p>
          <w:p w:rsidR="00D96FD9" w:rsidRPr="00006A39" w:rsidRDefault="00D96FD9" w:rsidP="00721203">
            <w:pPr>
              <w:widowControl w:val="0"/>
              <w:tabs>
                <w:tab w:val="left" w:pos="7939"/>
              </w:tabs>
              <w:jc w:val="center"/>
              <w:rPr>
                <w:rFonts w:ascii="Times New Roman" w:hAnsi="Times New Roman"/>
                <w:sz w:val="24"/>
                <w:szCs w:val="24"/>
                <w:lang w:val="uk-UA"/>
              </w:rPr>
            </w:pPr>
            <w:r w:rsidRPr="00006A39">
              <w:rPr>
                <w:rFonts w:ascii="Times New Roman" w:hAnsi="Times New Roman"/>
                <w:sz w:val="24"/>
                <w:szCs w:val="24"/>
                <w:lang w:val="uk-UA"/>
              </w:rPr>
              <w:t>1,1 (95% ДІ 0,77-1,51)</w:t>
            </w:r>
          </w:p>
        </w:tc>
      </w:tr>
      <w:tr w:rsidR="00D96FD9" w:rsidRPr="00006A39" w:rsidTr="00857FFE">
        <w:trPr>
          <w:trHeight w:val="940"/>
          <w:jc w:val="center"/>
        </w:trPr>
        <w:tc>
          <w:tcPr>
            <w:tcW w:w="3681" w:type="dxa"/>
            <w:tcBorders>
              <w:right w:val="single" w:sz="4" w:space="0" w:color="auto"/>
            </w:tcBorders>
          </w:tcPr>
          <w:p w:rsidR="00D96FD9" w:rsidRPr="00006A39" w:rsidRDefault="00D96FD9" w:rsidP="00721203">
            <w:pPr>
              <w:widowControl w:val="0"/>
              <w:tabs>
                <w:tab w:val="left" w:pos="7939"/>
              </w:tabs>
              <w:jc w:val="center"/>
              <w:rPr>
                <w:rFonts w:ascii="Times New Roman" w:hAnsi="Times New Roman"/>
                <w:sz w:val="24"/>
                <w:szCs w:val="24"/>
                <w:lang w:val="uk-UA"/>
              </w:rPr>
            </w:pPr>
            <w:r w:rsidRPr="00006A39">
              <w:rPr>
                <w:rFonts w:ascii="Times New Roman" w:hAnsi="Times New Roman"/>
                <w:sz w:val="24"/>
                <w:szCs w:val="24"/>
                <w:lang w:val="uk-UA"/>
              </w:rPr>
              <w:t>12. ВІЛ/СНІД та інфекції, що передаються статевим шляхом</w:t>
            </w:r>
          </w:p>
          <w:p w:rsidR="00D96FD9" w:rsidRPr="00006A39" w:rsidRDefault="00D96FD9" w:rsidP="00721203">
            <w:pPr>
              <w:widowControl w:val="0"/>
              <w:tabs>
                <w:tab w:val="left" w:pos="7939"/>
              </w:tabs>
              <w:jc w:val="center"/>
              <w:rPr>
                <w:rFonts w:ascii="Times New Roman" w:hAnsi="Times New Roman"/>
                <w:sz w:val="24"/>
                <w:szCs w:val="24"/>
                <w:lang w:val="uk-UA"/>
              </w:rPr>
            </w:pPr>
            <w:r w:rsidRPr="00006A39">
              <w:rPr>
                <w:rFonts w:ascii="Times New Roman" w:hAnsi="Times New Roman"/>
                <w:sz w:val="24"/>
                <w:szCs w:val="24"/>
                <w:lang w:val="uk-UA"/>
              </w:rPr>
              <w:t>1,02 (95% ДІ 0,87-1,26)</w:t>
            </w:r>
          </w:p>
        </w:tc>
        <w:tc>
          <w:tcPr>
            <w:tcW w:w="2050" w:type="dxa"/>
            <w:tcBorders>
              <w:top w:val="nil"/>
              <w:left w:val="single" w:sz="4" w:space="0" w:color="auto"/>
              <w:bottom w:val="nil"/>
              <w:right w:val="single" w:sz="4" w:space="0" w:color="auto"/>
            </w:tcBorders>
          </w:tcPr>
          <w:p w:rsidR="00D96FD9" w:rsidRPr="00006A39" w:rsidRDefault="00D96FD9" w:rsidP="00721203">
            <w:pPr>
              <w:widowControl w:val="0"/>
              <w:tabs>
                <w:tab w:val="left" w:pos="7939"/>
              </w:tabs>
              <w:jc w:val="center"/>
              <w:rPr>
                <w:rFonts w:ascii="Times New Roman" w:hAnsi="Times New Roman"/>
                <w:sz w:val="24"/>
                <w:szCs w:val="24"/>
                <w:lang w:val="uk-UA"/>
              </w:rPr>
            </w:pPr>
            <w:r w:rsidRPr="00006A39">
              <w:rPr>
                <w:noProof/>
                <w:sz w:val="24"/>
                <w:szCs w:val="24"/>
              </w:rPr>
              <mc:AlternateContent>
                <mc:Choice Requires="wps">
                  <w:drawing>
                    <wp:anchor distT="4294967295" distB="4294967295" distL="114300" distR="114300" simplePos="0" relativeHeight="251671552" behindDoc="0" locked="0" layoutInCell="1" allowOverlap="1" wp14:anchorId="3086487A" wp14:editId="2A9732C9">
                      <wp:simplePos x="0" y="0"/>
                      <wp:positionH relativeFrom="column">
                        <wp:posOffset>-81915</wp:posOffset>
                      </wp:positionH>
                      <wp:positionV relativeFrom="paragraph">
                        <wp:posOffset>230504</wp:posOffset>
                      </wp:positionV>
                      <wp:extent cx="1467485" cy="0"/>
                      <wp:effectExtent l="0" t="0" r="18415" b="0"/>
                      <wp:wrapNone/>
                      <wp:docPr id="33" name="Пряма сполучна лінія 3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1467485" cy="0"/>
                              </a:xfrm>
                              <a:prstGeom prst="line">
                                <a:avLst/>
                              </a:prstGeom>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Пряма сполучна лінія 33" o:spid="_x0000_s1026" style="position:absolute;flip:y;z-index:25167155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6.45pt,18.15pt" to="109.1pt,18.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" strokecolor="black [3200]" strokeweight="1.5pt">
                      <v:stroke joinstyle="miter"/>
                      <o:lock v:ext="edit" shapetype="f"/>
                    </v:line>
                  </w:pict>
                </mc:Fallback>
              </mc:AlternateContent>
            </w:r>
            <w:r w:rsidRPr="00006A39">
              <w:rPr>
                <w:rFonts w:ascii="Times New Roman" w:hAnsi="Times New Roman"/>
                <w:sz w:val="24"/>
                <w:szCs w:val="24"/>
                <w:lang w:val="uk-UA"/>
              </w:rPr>
              <w:t>+4,79%</w:t>
            </w:r>
          </w:p>
        </w:tc>
        <w:tc>
          <w:tcPr>
            <w:tcW w:w="3614" w:type="dxa"/>
            <w:tcBorders>
              <w:left w:val="single" w:sz="4" w:space="0" w:color="auto"/>
            </w:tcBorders>
          </w:tcPr>
          <w:p w:rsidR="00D96FD9" w:rsidRPr="00006A39" w:rsidRDefault="00D96FD9" w:rsidP="00721203">
            <w:pPr>
              <w:widowControl w:val="0"/>
              <w:tabs>
                <w:tab w:val="left" w:pos="7939"/>
              </w:tabs>
              <w:jc w:val="center"/>
              <w:rPr>
                <w:rFonts w:ascii="Times New Roman" w:hAnsi="Times New Roman"/>
                <w:sz w:val="24"/>
                <w:szCs w:val="24"/>
                <w:lang w:val="uk-UA"/>
              </w:rPr>
            </w:pPr>
            <w:r w:rsidRPr="00006A39">
              <w:rPr>
                <w:rFonts w:ascii="Times New Roman" w:hAnsi="Times New Roman"/>
                <w:sz w:val="24"/>
                <w:szCs w:val="24"/>
                <w:lang w:val="uk-UA"/>
              </w:rPr>
              <w:t>12. ВІЛ/СНІД та інфекції, що передаються статевим шляхом</w:t>
            </w:r>
          </w:p>
          <w:p w:rsidR="00D96FD9" w:rsidRPr="00006A39" w:rsidRDefault="00D96FD9" w:rsidP="00721203">
            <w:pPr>
              <w:widowControl w:val="0"/>
              <w:tabs>
                <w:tab w:val="left" w:pos="7939"/>
              </w:tabs>
              <w:jc w:val="center"/>
              <w:rPr>
                <w:rFonts w:ascii="Times New Roman" w:hAnsi="Times New Roman"/>
                <w:sz w:val="24"/>
                <w:szCs w:val="24"/>
                <w:lang w:val="uk-UA"/>
              </w:rPr>
            </w:pPr>
            <w:r w:rsidRPr="00006A39">
              <w:rPr>
                <w:rFonts w:ascii="Times New Roman" w:hAnsi="Times New Roman"/>
                <w:sz w:val="24"/>
                <w:szCs w:val="24"/>
                <w:lang w:val="uk-UA"/>
              </w:rPr>
              <w:t>1,06 (95% ДІ 0,91-1,33)</w:t>
            </w:r>
          </w:p>
        </w:tc>
      </w:tr>
      <w:tr w:rsidR="00D96FD9" w:rsidRPr="00006A39" w:rsidTr="00857FFE">
        <w:trPr>
          <w:trHeight w:val="810"/>
          <w:jc w:val="center"/>
        </w:trPr>
        <w:tc>
          <w:tcPr>
            <w:tcW w:w="3681" w:type="dxa"/>
            <w:tcBorders>
              <w:right w:val="single" w:sz="4" w:space="0" w:color="auto"/>
            </w:tcBorders>
          </w:tcPr>
          <w:p w:rsidR="00D96FD9" w:rsidRPr="00006A39" w:rsidRDefault="00D96FD9" w:rsidP="00721203">
            <w:pPr>
              <w:widowControl w:val="0"/>
              <w:tabs>
                <w:tab w:val="left" w:pos="7939"/>
              </w:tabs>
              <w:jc w:val="center"/>
              <w:rPr>
                <w:rFonts w:ascii="Times New Roman" w:hAnsi="Times New Roman"/>
                <w:sz w:val="24"/>
                <w:szCs w:val="24"/>
                <w:lang w:val="uk-UA"/>
              </w:rPr>
            </w:pPr>
            <w:r w:rsidRPr="00006A39">
              <w:rPr>
                <w:rFonts w:ascii="Times New Roman" w:hAnsi="Times New Roman"/>
                <w:sz w:val="24"/>
                <w:szCs w:val="24"/>
                <w:lang w:val="uk-UA"/>
              </w:rPr>
              <w:t>13. Серцево-судинні хвороби</w:t>
            </w:r>
          </w:p>
          <w:p w:rsidR="00D96FD9" w:rsidRPr="00006A39" w:rsidRDefault="00D96FD9" w:rsidP="00721203">
            <w:pPr>
              <w:widowControl w:val="0"/>
              <w:tabs>
                <w:tab w:val="left" w:pos="7939"/>
              </w:tabs>
              <w:jc w:val="center"/>
              <w:rPr>
                <w:rFonts w:ascii="Times New Roman" w:hAnsi="Times New Roman"/>
                <w:sz w:val="24"/>
                <w:szCs w:val="24"/>
                <w:lang w:val="uk-UA"/>
              </w:rPr>
            </w:pPr>
            <w:r w:rsidRPr="00006A39">
              <w:rPr>
                <w:rFonts w:ascii="Times New Roman" w:hAnsi="Times New Roman"/>
                <w:sz w:val="24"/>
                <w:szCs w:val="24"/>
                <w:lang w:val="uk-UA"/>
              </w:rPr>
              <w:t>0,98 (95%  ДІ 0,81-1,13)</w:t>
            </w:r>
          </w:p>
        </w:tc>
        <w:tc>
          <w:tcPr>
            <w:tcW w:w="2050" w:type="dxa"/>
            <w:tcBorders>
              <w:top w:val="nil"/>
              <w:left w:val="single" w:sz="4" w:space="0" w:color="auto"/>
              <w:bottom w:val="nil"/>
              <w:right w:val="single" w:sz="4" w:space="0" w:color="auto"/>
            </w:tcBorders>
          </w:tcPr>
          <w:p w:rsidR="00D96FD9" w:rsidRPr="00006A39" w:rsidRDefault="00D96FD9" w:rsidP="00721203">
            <w:pPr>
              <w:widowControl w:val="0"/>
              <w:tabs>
                <w:tab w:val="left" w:pos="7939"/>
              </w:tabs>
              <w:jc w:val="center"/>
              <w:rPr>
                <w:rFonts w:ascii="Times New Roman" w:hAnsi="Times New Roman"/>
                <w:sz w:val="24"/>
                <w:szCs w:val="24"/>
                <w:lang w:val="uk-UA"/>
              </w:rPr>
            </w:pPr>
            <w:r w:rsidRPr="00006A39">
              <w:rPr>
                <w:rFonts w:ascii="Times New Roman" w:hAnsi="Times New Roman"/>
                <w:sz w:val="24"/>
                <w:szCs w:val="24"/>
                <w:lang w:val="uk-UA"/>
              </w:rPr>
              <w:t>-6,26%</w:t>
            </w:r>
          </w:p>
        </w:tc>
        <w:tc>
          <w:tcPr>
            <w:tcW w:w="3614" w:type="dxa"/>
            <w:tcBorders>
              <w:left w:val="single" w:sz="4" w:space="0" w:color="auto"/>
            </w:tcBorders>
          </w:tcPr>
          <w:p w:rsidR="00D96FD9" w:rsidRPr="00006A39" w:rsidRDefault="00D96FD9" w:rsidP="00721203">
            <w:pPr>
              <w:widowControl w:val="0"/>
              <w:tabs>
                <w:tab w:val="left" w:pos="7939"/>
              </w:tabs>
              <w:jc w:val="center"/>
              <w:rPr>
                <w:rFonts w:ascii="Times New Roman" w:hAnsi="Times New Roman"/>
                <w:sz w:val="24"/>
                <w:szCs w:val="24"/>
                <w:lang w:val="uk-UA"/>
              </w:rPr>
            </w:pPr>
            <w:r w:rsidRPr="00006A39">
              <w:rPr>
                <w:rFonts w:ascii="Times New Roman" w:hAnsi="Times New Roman"/>
                <w:sz w:val="24"/>
                <w:szCs w:val="24"/>
                <w:lang w:val="uk-UA"/>
              </w:rPr>
              <w:t>13. Серцево-судинні хвороби 0,92 (95%  ДІ 0,73-1,14)</w:t>
            </w:r>
          </w:p>
        </w:tc>
      </w:tr>
      <w:tr w:rsidR="00D96FD9" w:rsidRPr="00006A39" w:rsidTr="00A12FE7">
        <w:trPr>
          <w:trHeight w:val="853"/>
          <w:jc w:val="center"/>
        </w:trPr>
        <w:tc>
          <w:tcPr>
            <w:tcW w:w="3681" w:type="dxa"/>
            <w:tcBorders>
              <w:right w:val="single" w:sz="4" w:space="0" w:color="auto"/>
            </w:tcBorders>
          </w:tcPr>
          <w:p w:rsidR="00D96FD9" w:rsidRPr="00006A39" w:rsidRDefault="00D96FD9" w:rsidP="00721203">
            <w:pPr>
              <w:widowControl w:val="0"/>
              <w:tabs>
                <w:tab w:val="left" w:pos="7939"/>
              </w:tabs>
              <w:jc w:val="center"/>
              <w:rPr>
                <w:rFonts w:ascii="Times New Roman" w:hAnsi="Times New Roman"/>
                <w:sz w:val="24"/>
                <w:szCs w:val="24"/>
                <w:lang w:val="uk-UA"/>
              </w:rPr>
            </w:pPr>
            <w:r w:rsidRPr="00006A39">
              <w:rPr>
                <w:rFonts w:ascii="Times New Roman" w:hAnsi="Times New Roman"/>
                <w:sz w:val="24"/>
                <w:szCs w:val="24"/>
                <w:lang w:val="uk-UA"/>
              </w:rPr>
              <w:t>14. Недостатність харчування</w:t>
            </w:r>
          </w:p>
          <w:p w:rsidR="00D96FD9" w:rsidRPr="00006A39" w:rsidRDefault="00D96FD9" w:rsidP="00721203">
            <w:pPr>
              <w:widowControl w:val="0"/>
              <w:tabs>
                <w:tab w:val="left" w:pos="7939"/>
              </w:tabs>
              <w:jc w:val="center"/>
              <w:rPr>
                <w:rFonts w:ascii="Times New Roman" w:hAnsi="Times New Roman"/>
                <w:sz w:val="24"/>
                <w:szCs w:val="24"/>
                <w:lang w:val="uk-UA"/>
              </w:rPr>
            </w:pPr>
            <w:r w:rsidRPr="00006A39">
              <w:rPr>
                <w:rFonts w:ascii="Times New Roman" w:hAnsi="Times New Roman"/>
                <w:sz w:val="24"/>
                <w:szCs w:val="24"/>
                <w:lang w:val="uk-UA"/>
              </w:rPr>
              <w:t>0,37 (95% ДІ 0,3-0,45)</w:t>
            </w:r>
          </w:p>
        </w:tc>
        <w:tc>
          <w:tcPr>
            <w:tcW w:w="2050" w:type="dxa"/>
            <w:tcBorders>
              <w:top w:val="nil"/>
              <w:left w:val="single" w:sz="4" w:space="0" w:color="auto"/>
              <w:bottom w:val="nil"/>
              <w:right w:val="single" w:sz="4" w:space="0" w:color="auto"/>
            </w:tcBorders>
          </w:tcPr>
          <w:p w:rsidR="00D96FD9" w:rsidRPr="00006A39" w:rsidRDefault="00D96FD9" w:rsidP="00721203">
            <w:pPr>
              <w:widowControl w:val="0"/>
              <w:tabs>
                <w:tab w:val="center" w:pos="1026"/>
              </w:tabs>
              <w:rPr>
                <w:rFonts w:ascii="Times New Roman" w:hAnsi="Times New Roman"/>
                <w:sz w:val="24"/>
                <w:szCs w:val="24"/>
                <w:lang w:val="uk-UA"/>
              </w:rPr>
            </w:pPr>
            <w:r w:rsidRPr="00006A39">
              <w:rPr>
                <w:noProof/>
                <w:sz w:val="24"/>
                <w:szCs w:val="24"/>
              </w:rPr>
              <mc:AlternateContent>
                <mc:Choice Requires="wps">
                  <w:drawing>
                    <wp:anchor distT="4294967295" distB="4294967295" distL="114300" distR="114300" simplePos="0" relativeHeight="251673600" behindDoc="0" locked="0" layoutInCell="1" allowOverlap="1" wp14:anchorId="058400EC" wp14:editId="3423FE2E">
                      <wp:simplePos x="0" y="0"/>
                      <wp:positionH relativeFrom="column">
                        <wp:posOffset>-66675</wp:posOffset>
                      </wp:positionH>
                      <wp:positionV relativeFrom="paragraph">
                        <wp:posOffset>206374</wp:posOffset>
                      </wp:positionV>
                      <wp:extent cx="1450340" cy="0"/>
                      <wp:effectExtent l="0" t="0" r="16510" b="0"/>
                      <wp:wrapNone/>
                      <wp:docPr id="36" name="Пряма сполучна лінія 3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1450340" cy="0"/>
                              </a:xfrm>
                              <a:prstGeom prst="line">
                                <a:avLst/>
                              </a:prstGeom>
                              <a:noFill/>
                              <a:ln w="190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id="Пряма сполучна лінія 36" o:spid="_x0000_s1026" style="position:absolute;flip:y;z-index:25167360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5.25pt,16.25pt" to="108.95pt,16.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" strokecolor="windowText" strokeweight="1.5pt">
                      <v:stroke joinstyle="miter"/>
                      <o:lock v:ext="edit" shapetype="f"/>
                    </v:line>
                  </w:pict>
                </mc:Fallback>
              </mc:AlternateContent>
            </w:r>
            <w:r w:rsidRPr="00006A39">
              <w:rPr>
                <w:noProof/>
                <w:sz w:val="24"/>
                <w:szCs w:val="24"/>
              </w:rPr>
              <mc:AlternateContent>
                <mc:Choice Requires="wps">
                  <w:drawing>
                    <wp:anchor distT="4294967295" distB="4294967295" distL="114300" distR="114300" simplePos="0" relativeHeight="251672576" behindDoc="0" locked="0" layoutInCell="1" allowOverlap="1" wp14:anchorId="63DAF723" wp14:editId="6247DE0B">
                      <wp:simplePos x="0" y="0"/>
                      <wp:positionH relativeFrom="column">
                        <wp:posOffset>-84455</wp:posOffset>
                      </wp:positionH>
                      <wp:positionV relativeFrom="paragraph">
                        <wp:posOffset>-188596</wp:posOffset>
                      </wp:positionV>
                      <wp:extent cx="1446530" cy="0"/>
                      <wp:effectExtent l="0" t="0" r="1270" b="0"/>
                      <wp:wrapNone/>
                      <wp:docPr id="35" name="Пряма сполучна лінія 3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446530" cy="0"/>
                              </a:xfrm>
                              <a:prstGeom prst="line">
                                <a:avLst/>
                              </a:prstGeom>
                              <a:noFill/>
                              <a:ln w="190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id="Пряма сполучна лінія 35" o:spid="_x0000_s1026" style="position:absolute;z-index:25167257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6.65pt,-14.85pt" to="107.25pt,-1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" strokecolor="windowText" strokeweight="1.5pt">
                      <v:stroke joinstyle="miter"/>
                      <o:lock v:ext="edit" shapetype="f"/>
                    </v:line>
                  </w:pict>
                </mc:Fallback>
              </mc:AlternateContent>
            </w:r>
            <w:r w:rsidRPr="00006A39">
              <w:rPr>
                <w:rFonts w:ascii="Times New Roman" w:hAnsi="Times New Roman"/>
                <w:sz w:val="24"/>
                <w:szCs w:val="24"/>
                <w:lang w:val="uk-UA"/>
              </w:rPr>
              <w:tab/>
              <w:t>+3,47%</w:t>
            </w:r>
          </w:p>
        </w:tc>
        <w:tc>
          <w:tcPr>
            <w:tcW w:w="3614" w:type="dxa"/>
            <w:tcBorders>
              <w:left w:val="single" w:sz="4" w:space="0" w:color="auto"/>
            </w:tcBorders>
          </w:tcPr>
          <w:p w:rsidR="00D96FD9" w:rsidRPr="00006A39" w:rsidRDefault="00D96FD9" w:rsidP="00721203">
            <w:pPr>
              <w:widowControl w:val="0"/>
              <w:tabs>
                <w:tab w:val="left" w:pos="7939"/>
              </w:tabs>
              <w:jc w:val="center"/>
              <w:rPr>
                <w:rFonts w:ascii="Times New Roman" w:hAnsi="Times New Roman"/>
                <w:sz w:val="24"/>
                <w:szCs w:val="24"/>
                <w:lang w:val="uk-UA"/>
              </w:rPr>
            </w:pPr>
            <w:r w:rsidRPr="00006A39">
              <w:rPr>
                <w:rFonts w:ascii="Times New Roman" w:hAnsi="Times New Roman"/>
                <w:sz w:val="24"/>
                <w:szCs w:val="24"/>
                <w:lang w:val="uk-UA"/>
              </w:rPr>
              <w:t>14. Недостатність харчування</w:t>
            </w:r>
          </w:p>
          <w:p w:rsidR="00D96FD9" w:rsidRPr="00006A39" w:rsidRDefault="00D96FD9" w:rsidP="00721203">
            <w:pPr>
              <w:widowControl w:val="0"/>
              <w:tabs>
                <w:tab w:val="left" w:pos="1398"/>
                <w:tab w:val="left" w:pos="7939"/>
              </w:tabs>
              <w:rPr>
                <w:rFonts w:ascii="Times New Roman" w:hAnsi="Times New Roman"/>
                <w:sz w:val="24"/>
                <w:szCs w:val="24"/>
                <w:lang w:val="uk-UA"/>
              </w:rPr>
            </w:pPr>
            <w:r w:rsidRPr="00006A39">
              <w:rPr>
                <w:rFonts w:ascii="Times New Roman" w:hAnsi="Times New Roman"/>
                <w:sz w:val="24"/>
                <w:szCs w:val="24"/>
                <w:lang w:val="uk-UA"/>
              </w:rPr>
              <w:t xml:space="preserve">       0,38 (95% ДІ 0,29-0,49)</w:t>
            </w:r>
          </w:p>
        </w:tc>
      </w:tr>
    </w:tbl>
    <w:p w:rsidR="00D96FD9" w:rsidRPr="00006A39" w:rsidRDefault="00D96FD9" w:rsidP="00721203">
      <w:pPr>
        <w:widowControl w:val="0"/>
        <w:ind w:firstLine="708"/>
        <w:rPr>
          <w:szCs w:val="28"/>
        </w:rPr>
      </w:pPr>
    </w:p>
    <w:p w:rsidR="00287BB5" w:rsidRPr="00867C2B" w:rsidRDefault="004A595A" w:rsidP="00287BB5">
      <w:pPr>
        <w:widowControl w:val="0"/>
        <w:ind w:firstLine="709"/>
        <w:rPr>
          <w:b/>
          <w:color w:val="000000" w:themeColor="text1"/>
          <w:szCs w:val="28"/>
        </w:rPr>
      </w:pPr>
      <w:r w:rsidRPr="004A595A">
        <w:rPr>
          <w:szCs w:val="28"/>
        </w:rPr>
        <w:t>Рис. 3.6</w:t>
      </w:r>
      <w:r w:rsidR="00287BB5" w:rsidRPr="004A595A">
        <w:rPr>
          <w:szCs w:val="28"/>
        </w:rPr>
        <w:t xml:space="preserve">. </w:t>
      </w:r>
      <w:r w:rsidR="00287BB5" w:rsidRPr="002D5965">
        <w:rPr>
          <w:color w:val="000000" w:themeColor="text1"/>
          <w:szCs w:val="28"/>
        </w:rPr>
        <w:t xml:space="preserve">Рейтингові місяці та </w:t>
      </w:r>
      <w:r w:rsidR="002D5965" w:rsidRPr="002D5965">
        <w:rPr>
          <w:color w:val="000000" w:themeColor="text1"/>
          <w:szCs w:val="28"/>
        </w:rPr>
        <w:t>рівні смертності  дітей у віці до 5 років за провідними причинами смерті (обидві статі) за період 2013 та 2018</w:t>
      </w:r>
      <w:r w:rsidR="00287BB5" w:rsidRPr="002D5965">
        <w:rPr>
          <w:color w:val="000000" w:themeColor="text1"/>
          <w:szCs w:val="28"/>
        </w:rPr>
        <w:t xml:space="preserve"> рр. (на 100 тис.</w:t>
      </w:r>
      <w:r w:rsidR="002D5965" w:rsidRPr="002D5965">
        <w:rPr>
          <w:color w:val="000000" w:themeColor="text1"/>
          <w:szCs w:val="28"/>
        </w:rPr>
        <w:t xml:space="preserve"> відповідного населення</w:t>
      </w:r>
      <w:r w:rsidR="00287BB5" w:rsidRPr="002D5965">
        <w:rPr>
          <w:color w:val="000000" w:themeColor="text1"/>
          <w:szCs w:val="28"/>
        </w:rPr>
        <w:t>)</w:t>
      </w:r>
    </w:p>
    <w:p w:rsidR="00287BB5" w:rsidRPr="008A3F0B" w:rsidRDefault="00C95BA4" w:rsidP="008A3F0B">
      <w:pPr>
        <w:widowControl w:val="0"/>
        <w:ind w:firstLine="709"/>
        <w:rPr>
          <w:szCs w:val="28"/>
        </w:rPr>
      </w:pPr>
      <w:r w:rsidRPr="00006A39">
        <w:rPr>
          <w:szCs w:val="28"/>
        </w:rPr>
        <w:t>Що стосується че</w:t>
      </w:r>
      <w:r>
        <w:rPr>
          <w:szCs w:val="28"/>
        </w:rPr>
        <w:t>твертого місця, то у 2018</w:t>
      </w:r>
      <w:r w:rsidR="00031E96">
        <w:rPr>
          <w:szCs w:val="28"/>
        </w:rPr>
        <w:t xml:space="preserve"> р.</w:t>
      </w:r>
      <w:r w:rsidR="003D17FD">
        <w:rPr>
          <w:szCs w:val="28"/>
        </w:rPr>
        <w:t xml:space="preserve"> його </w:t>
      </w:r>
      <w:r w:rsidR="003D17FD" w:rsidRPr="003D17FD">
        <w:rPr>
          <w:szCs w:val="28"/>
        </w:rPr>
        <w:t>по</w:t>
      </w:r>
      <w:r w:rsidR="003D17FD">
        <w:rPr>
          <w:szCs w:val="28"/>
        </w:rPr>
        <w:t>сіли</w:t>
      </w:r>
      <w:r w:rsidR="00031E96">
        <w:rPr>
          <w:szCs w:val="28"/>
        </w:rPr>
        <w:t xml:space="preserve"> інші інфекційні захворювання</w:t>
      </w:r>
      <w:r w:rsidRPr="00006A39">
        <w:rPr>
          <w:szCs w:val="28"/>
        </w:rPr>
        <w:t xml:space="preserve"> на відміну від 2013 р., коли на даному місці були респіраторні </w:t>
      </w:r>
      <w:r w:rsidRPr="00006A39">
        <w:rPr>
          <w:szCs w:val="28"/>
        </w:rPr>
        <w:lastRenderedPageBreak/>
        <w:t>інф</w:t>
      </w:r>
      <w:r>
        <w:rPr>
          <w:szCs w:val="28"/>
        </w:rPr>
        <w:t>екції та туберкульоз, які у 2018</w:t>
      </w:r>
      <w:r w:rsidRPr="00006A39">
        <w:rPr>
          <w:szCs w:val="28"/>
        </w:rPr>
        <w:t xml:space="preserve"> р. по</w:t>
      </w:r>
      <w:r>
        <w:rPr>
          <w:szCs w:val="28"/>
        </w:rPr>
        <w:t>сіли 5-те місце.</w:t>
      </w:r>
      <w:r w:rsidRPr="00287BB5">
        <w:rPr>
          <w:szCs w:val="28"/>
        </w:rPr>
        <w:t xml:space="preserve"> </w:t>
      </w:r>
      <w:r w:rsidRPr="00006A39">
        <w:rPr>
          <w:szCs w:val="28"/>
        </w:rPr>
        <w:t>У цілому, за аналізований період показни</w:t>
      </w:r>
      <w:r w:rsidR="00031E96">
        <w:rPr>
          <w:szCs w:val="28"/>
        </w:rPr>
        <w:t>к смертності дітей віком до 5</w:t>
      </w:r>
      <w:r w:rsidRPr="00006A39">
        <w:rPr>
          <w:szCs w:val="28"/>
        </w:rPr>
        <w:t xml:space="preserve"> років життя підвищився внаслідок </w:t>
      </w:r>
      <w:r w:rsidR="008A3F0B">
        <w:rPr>
          <w:szCs w:val="28"/>
        </w:rPr>
        <w:t>таких захворювань: респіраторні інфекції та туберкульоз на 1,74%, інші інфекційні захворювання на 16,07%, новоутворення на 13,28%, неврологічні розлади на 10,81%, самоушкодження і міжособистісне насильство</w:t>
      </w:r>
      <w:r w:rsidRPr="00006A39">
        <w:rPr>
          <w:szCs w:val="28"/>
        </w:rPr>
        <w:t xml:space="preserve"> на 54,45%, хвороб</w:t>
      </w:r>
      <w:r w:rsidR="008A3F0B">
        <w:rPr>
          <w:szCs w:val="28"/>
        </w:rPr>
        <w:t>и</w:t>
      </w:r>
      <w:r w:rsidRPr="00006A39">
        <w:rPr>
          <w:szCs w:val="28"/>
        </w:rPr>
        <w:t xml:space="preserve"> орга</w:t>
      </w:r>
      <w:r w:rsidR="008A3F0B">
        <w:rPr>
          <w:szCs w:val="28"/>
        </w:rPr>
        <w:t>нів травлення на 9,06%, кишкові інфекції н</w:t>
      </w:r>
      <w:r w:rsidRPr="00006A39">
        <w:rPr>
          <w:szCs w:val="28"/>
        </w:rPr>
        <w:t>а 7,14%,</w:t>
      </w:r>
      <w:r w:rsidRPr="00006A39">
        <w:t xml:space="preserve"> </w:t>
      </w:r>
      <w:r w:rsidR="008A3F0B">
        <w:rPr>
          <w:szCs w:val="28"/>
        </w:rPr>
        <w:t>ВІЛ/СНІД та інфекції</w:t>
      </w:r>
      <w:r w:rsidRPr="00006A39">
        <w:rPr>
          <w:szCs w:val="28"/>
        </w:rPr>
        <w:t>, що передаються статевим шляхом на 4,79%, та від не</w:t>
      </w:r>
      <w:r>
        <w:rPr>
          <w:szCs w:val="28"/>
        </w:rPr>
        <w:t>достатності харчування на 3,47%</w:t>
      </w:r>
      <w:r w:rsidRPr="00C95BA4">
        <w:rPr>
          <w:szCs w:val="28"/>
        </w:rPr>
        <w:t xml:space="preserve"> (рис. 3.6).</w:t>
      </w:r>
      <w:r w:rsidRPr="00006A39">
        <w:rPr>
          <w:color w:val="FF0000"/>
          <w:szCs w:val="28"/>
        </w:rPr>
        <w:t xml:space="preserve"> </w:t>
      </w:r>
    </w:p>
    <w:p w:rsidR="00805A8C" w:rsidRPr="0025561B" w:rsidRDefault="00D96FD9" w:rsidP="0025561B">
      <w:pPr>
        <w:widowControl w:val="0"/>
        <w:ind w:firstLine="709"/>
        <w:rPr>
          <w:color w:val="000000" w:themeColor="text1"/>
          <w:szCs w:val="28"/>
        </w:rPr>
      </w:pPr>
      <w:r w:rsidRPr="00006A39">
        <w:rPr>
          <w:color w:val="000000" w:themeColor="text1"/>
          <w:szCs w:val="28"/>
        </w:rPr>
        <w:t xml:space="preserve">Отже, на тлі достовірної спадної динаміки </w:t>
      </w:r>
      <w:r w:rsidRPr="008A3F0B">
        <w:rPr>
          <w:szCs w:val="28"/>
        </w:rPr>
        <w:t xml:space="preserve">за 2014-2018 рр. </w:t>
      </w:r>
      <w:r w:rsidRPr="00006A39">
        <w:rPr>
          <w:color w:val="000000" w:themeColor="text1"/>
          <w:szCs w:val="28"/>
        </w:rPr>
        <w:t>показника смертності дітей віком до 5 років</w:t>
      </w:r>
      <w:r w:rsidR="009949A5">
        <w:rPr>
          <w:color w:val="000000" w:themeColor="text1"/>
          <w:szCs w:val="28"/>
          <w:lang w:val="ru-RU"/>
        </w:rPr>
        <w:t xml:space="preserve"> життя</w:t>
      </w:r>
      <w:r w:rsidRPr="00006A39">
        <w:rPr>
          <w:color w:val="000000" w:themeColor="text1"/>
          <w:szCs w:val="28"/>
        </w:rPr>
        <w:t>, його повікова, статева, причин</w:t>
      </w:r>
      <w:r w:rsidR="00DC0D5C">
        <w:rPr>
          <w:color w:val="000000" w:themeColor="text1"/>
          <w:szCs w:val="28"/>
        </w:rPr>
        <w:t>н</w:t>
      </w:r>
      <w:r w:rsidRPr="00006A39">
        <w:rPr>
          <w:color w:val="000000" w:themeColor="text1"/>
          <w:szCs w:val="28"/>
        </w:rPr>
        <w:t>а, географічна</w:t>
      </w:r>
      <w:r w:rsidR="008A3F0B">
        <w:rPr>
          <w:color w:val="000000" w:themeColor="text1"/>
          <w:szCs w:val="28"/>
        </w:rPr>
        <w:t xml:space="preserve"> структура залишаються майже не</w:t>
      </w:r>
      <w:r w:rsidRPr="00006A39">
        <w:rPr>
          <w:color w:val="000000" w:themeColor="text1"/>
          <w:szCs w:val="28"/>
        </w:rPr>
        <w:t xml:space="preserve">змінними, а сам показник смертності продовжує значно переважати аналогічний показник в розвинених країнах світу. </w:t>
      </w:r>
    </w:p>
    <w:p w:rsidR="00D96FD9" w:rsidRPr="0025561B" w:rsidRDefault="00D96FD9" w:rsidP="0025561B">
      <w:pPr>
        <w:widowControl w:val="0"/>
        <w:tabs>
          <w:tab w:val="left" w:pos="1080"/>
          <w:tab w:val="left" w:pos="1111"/>
        </w:tabs>
        <w:spacing w:before="240"/>
        <w:ind w:firstLine="851"/>
        <w:rPr>
          <w:b/>
          <w:color w:val="000000" w:themeColor="text1"/>
          <w:szCs w:val="28"/>
        </w:rPr>
      </w:pPr>
      <w:r w:rsidRPr="00006A39">
        <w:rPr>
          <w:b/>
          <w:szCs w:val="28"/>
        </w:rPr>
        <w:t>3.2.</w:t>
      </w:r>
      <w:r w:rsidRPr="00006A39">
        <w:rPr>
          <w:szCs w:val="28"/>
        </w:rPr>
        <w:t xml:space="preserve"> </w:t>
      </w:r>
      <w:r w:rsidRPr="00006A39">
        <w:rPr>
          <w:b/>
          <w:color w:val="000000" w:themeColor="text1"/>
          <w:szCs w:val="28"/>
        </w:rPr>
        <w:t>Тренди</w:t>
      </w:r>
      <w:r w:rsidRPr="00006A39">
        <w:rPr>
          <w:b/>
          <w:szCs w:val="28"/>
        </w:rPr>
        <w:t xml:space="preserve"> та структура </w:t>
      </w:r>
      <w:r w:rsidRPr="00006A39">
        <w:rPr>
          <w:b/>
          <w:color w:val="000000" w:themeColor="text1"/>
          <w:szCs w:val="28"/>
        </w:rPr>
        <w:t xml:space="preserve">показника смертності дітей віком до </w:t>
      </w:r>
      <w:r w:rsidR="004925CC">
        <w:rPr>
          <w:b/>
          <w:color w:val="000000" w:themeColor="text1"/>
          <w:szCs w:val="28"/>
          <w:lang w:val="ru-RU"/>
        </w:rPr>
        <w:t>1</w:t>
      </w:r>
      <w:r w:rsidRPr="00006A39">
        <w:rPr>
          <w:b/>
          <w:color w:val="000000" w:themeColor="text1"/>
          <w:szCs w:val="28"/>
        </w:rPr>
        <w:t xml:space="preserve"> року</w:t>
      </w:r>
      <w:r w:rsidR="00CA446A">
        <w:rPr>
          <w:b/>
          <w:color w:val="000000" w:themeColor="text1"/>
          <w:szCs w:val="28"/>
        </w:rPr>
        <w:t xml:space="preserve"> життя</w:t>
      </w:r>
      <w:r w:rsidRPr="00006A39">
        <w:rPr>
          <w:b/>
          <w:color w:val="000000" w:themeColor="text1"/>
          <w:szCs w:val="28"/>
        </w:rPr>
        <w:t xml:space="preserve"> в Україні</w:t>
      </w:r>
    </w:p>
    <w:p w:rsidR="00D96FD9" w:rsidRPr="00006A39" w:rsidRDefault="00D96FD9" w:rsidP="0025561B">
      <w:pPr>
        <w:widowControl w:val="0"/>
        <w:spacing w:before="240" w:after="240"/>
        <w:ind w:firstLine="709"/>
        <w:rPr>
          <w:b/>
          <w:szCs w:val="28"/>
        </w:rPr>
      </w:pPr>
      <w:r w:rsidRPr="00006A39">
        <w:rPr>
          <w:b/>
          <w:szCs w:val="28"/>
        </w:rPr>
        <w:t>3.2.1. Зміни структури показника малюкової смертності в Україні</w:t>
      </w:r>
    </w:p>
    <w:p w:rsidR="00236ACA" w:rsidRDefault="00236ACA" w:rsidP="00236ACA">
      <w:pPr>
        <w:tabs>
          <w:tab w:val="left" w:pos="1080"/>
          <w:tab w:val="left" w:pos="1111"/>
        </w:tabs>
        <w:ind w:firstLine="851"/>
        <w:rPr>
          <w:szCs w:val="28"/>
        </w:rPr>
      </w:pPr>
      <w:r>
        <w:rPr>
          <w:szCs w:val="28"/>
        </w:rPr>
        <w:t>Малюкова смертність в Україні грає провідну роль у формуванні показника смертност</w:t>
      </w:r>
      <w:r w:rsidR="009949A5">
        <w:rPr>
          <w:szCs w:val="28"/>
        </w:rPr>
        <w:t>і дітей до 5</w:t>
      </w:r>
      <w:r>
        <w:rPr>
          <w:szCs w:val="28"/>
        </w:rPr>
        <w:t xml:space="preserve"> років </w:t>
      </w:r>
      <w:r w:rsidRPr="00F30B3A">
        <w:rPr>
          <w:szCs w:val="28"/>
        </w:rPr>
        <w:t xml:space="preserve">життя </w:t>
      </w:r>
      <w:r>
        <w:rPr>
          <w:szCs w:val="28"/>
        </w:rPr>
        <w:t>(частка у віковій ст</w:t>
      </w:r>
      <w:r w:rsidR="009949A5">
        <w:rPr>
          <w:szCs w:val="28"/>
        </w:rPr>
        <w:t>руктурі смертності дітей до 5</w:t>
      </w:r>
      <w:r w:rsidR="009949A5">
        <w:rPr>
          <w:szCs w:val="28"/>
          <w:lang w:val="ru-RU"/>
        </w:rPr>
        <w:t> </w:t>
      </w:r>
      <w:r>
        <w:rPr>
          <w:szCs w:val="28"/>
        </w:rPr>
        <w:t>років біль ніж 80%) і залишається однією із найвищих у європейському регі</w:t>
      </w:r>
      <w:r w:rsidR="00C20D17">
        <w:rPr>
          <w:szCs w:val="28"/>
        </w:rPr>
        <w:t>оні, тому її аналіз має особлив</w:t>
      </w:r>
      <w:r w:rsidR="00C20D17" w:rsidRPr="00C20D17">
        <w:rPr>
          <w:szCs w:val="28"/>
        </w:rPr>
        <w:t>е</w:t>
      </w:r>
      <w:r>
        <w:rPr>
          <w:szCs w:val="28"/>
        </w:rPr>
        <w:t xml:space="preserve"> значен</w:t>
      </w:r>
      <w:r w:rsidR="00C20D17">
        <w:rPr>
          <w:szCs w:val="28"/>
        </w:rPr>
        <w:t>ня для наступного обґрунтування інноваційної системи медико-соціальної допомоги дітям</w:t>
      </w:r>
      <w:r>
        <w:rPr>
          <w:szCs w:val="28"/>
        </w:rPr>
        <w:t>.</w:t>
      </w:r>
      <w:r w:rsidRPr="00370BBB">
        <w:t xml:space="preserve"> </w:t>
      </w:r>
    </w:p>
    <w:p w:rsidR="00D96FD9" w:rsidRPr="00FA680C" w:rsidRDefault="00D96FD9" w:rsidP="009C334F">
      <w:pPr>
        <w:widowControl w:val="0"/>
        <w:ind w:firstLine="709"/>
        <w:rPr>
          <w:color w:val="000000" w:themeColor="text1"/>
          <w:szCs w:val="28"/>
        </w:rPr>
      </w:pPr>
      <w:r w:rsidRPr="00006A39">
        <w:rPr>
          <w:szCs w:val="28"/>
        </w:rPr>
        <w:t>Упродовж 2009-2018 рр. рівень малюкової смертності дітей достовірно знизився на 25,5% (ВШ 0,97 95% ДІ 0,86-0,96), р=0,0002. Аналогічні тренди притаманні й показнику смертності хлопчиків (</w:t>
      </w:r>
      <w:r w:rsidRPr="00FA680C">
        <w:rPr>
          <w:color w:val="000000" w:themeColor="text1"/>
          <w:szCs w:val="28"/>
        </w:rPr>
        <w:t>зниження на 25,2%) та показнику смертності дівчат (зниження на 23,8%)</w:t>
      </w:r>
      <w:r w:rsidR="009C334F">
        <w:rPr>
          <w:color w:val="000000" w:themeColor="text1"/>
          <w:szCs w:val="28"/>
        </w:rPr>
        <w:t xml:space="preserve">. </w:t>
      </w:r>
      <w:r w:rsidR="009C334F" w:rsidRPr="009C334F">
        <w:rPr>
          <w:color w:val="000000" w:themeColor="text1"/>
          <w:szCs w:val="28"/>
        </w:rPr>
        <w:t>Вивчення динаміки статевої структури смертності  виявив відсутність достовірної динаміки за 2014-2018 рр. показника малюкової смертності серед дівчат – ВШ 0,95 (95% ДІ 0,88-1,03), р=0,2524, та наявність такої динаміки серед хлопчиків – ВШ 0,8</w:t>
      </w:r>
      <w:r w:rsidR="009C334F">
        <w:rPr>
          <w:color w:val="000000" w:themeColor="text1"/>
          <w:szCs w:val="28"/>
        </w:rPr>
        <w:t>7 (95% ДІ 0,81-0,93), р=0,0001)</w:t>
      </w:r>
      <w:r w:rsidR="00ED219D">
        <w:rPr>
          <w:color w:val="000000" w:themeColor="text1"/>
          <w:szCs w:val="28"/>
        </w:rPr>
        <w:t xml:space="preserve"> (рис.3.7</w:t>
      </w:r>
      <w:r w:rsidRPr="00FA680C">
        <w:rPr>
          <w:color w:val="000000" w:themeColor="text1"/>
          <w:szCs w:val="28"/>
        </w:rPr>
        <w:t>).</w:t>
      </w:r>
    </w:p>
    <w:p w:rsidR="00D96FD9" w:rsidRPr="00006A39" w:rsidRDefault="00D96FD9" w:rsidP="008D4BCB">
      <w:pPr>
        <w:widowControl w:val="0"/>
        <w:tabs>
          <w:tab w:val="left" w:pos="642"/>
        </w:tabs>
        <w:ind w:firstLine="709"/>
        <w:jc w:val="left"/>
        <w:rPr>
          <w:color w:val="0070C0"/>
          <w:szCs w:val="28"/>
        </w:rPr>
      </w:pPr>
      <w:r w:rsidRPr="00006A39">
        <w:rPr>
          <w:noProof/>
          <w:color w:val="FF0000"/>
          <w:szCs w:val="28"/>
          <w:lang w:val="ru-RU" w:eastAsia="ru-RU"/>
        </w:rPr>
        <w:lastRenderedPageBreak/>
        <w:drawing>
          <wp:inline distT="0" distB="0" distL="0" distR="0" wp14:anchorId="7A1E2E26" wp14:editId="72DD660E">
            <wp:extent cx="5865091" cy="3325091"/>
            <wp:effectExtent l="0" t="0" r="2540" b="889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6008596" cy="3406448"/>
                    </a:xfrm>
                    <a:prstGeom prst="rect">
                      <a:avLst/>
                    </a:prstGeom>
                    <a:noFill/>
                  </pic:spPr>
                </pic:pic>
              </a:graphicData>
            </a:graphic>
          </wp:inline>
        </w:drawing>
      </w:r>
    </w:p>
    <w:p w:rsidR="00D96FD9" w:rsidRPr="00006A39" w:rsidRDefault="00ED219D" w:rsidP="00721203">
      <w:pPr>
        <w:widowControl w:val="0"/>
        <w:tabs>
          <w:tab w:val="left" w:pos="523"/>
        </w:tabs>
        <w:spacing w:after="120"/>
        <w:rPr>
          <w:szCs w:val="28"/>
        </w:rPr>
      </w:pPr>
      <w:r>
        <w:rPr>
          <w:szCs w:val="28"/>
        </w:rPr>
        <w:tab/>
        <w:t>Рис. 3.7</w:t>
      </w:r>
      <w:r w:rsidR="00D96FD9" w:rsidRPr="00006A39">
        <w:rPr>
          <w:szCs w:val="28"/>
        </w:rPr>
        <w:t xml:space="preserve">. Динаміка (2009-2018 рр.) показника малюкової смертності в Україні </w:t>
      </w:r>
    </w:p>
    <w:p w:rsidR="00D96FD9" w:rsidRDefault="00D96FD9" w:rsidP="00721203">
      <w:pPr>
        <w:widowControl w:val="0"/>
        <w:ind w:firstLine="708"/>
        <w:rPr>
          <w:rFonts w:eastAsia="NewtonC-Bold"/>
          <w:bCs/>
          <w:szCs w:val="28"/>
          <w:lang w:eastAsia="ru-RU"/>
        </w:rPr>
      </w:pPr>
      <w:r w:rsidRPr="00006A39">
        <w:t>Більш детальний аналіз малюкової смертності в аспекті адміністративних територій виявив відсутність достовірного зниження показника малюкової смертності упродовж останніх 5 років (2014-2018 рр.). Так, у 2014 рр. медіанне значення даного показника становило 7,59 (Q</w:t>
      </w:r>
      <w:r w:rsidRPr="00006A39">
        <w:rPr>
          <w:vertAlign w:val="subscript"/>
        </w:rPr>
        <w:t>1</w:t>
      </w:r>
      <w:r w:rsidRPr="00006A39">
        <w:t>=7,01; Q</w:t>
      </w:r>
      <w:r w:rsidRPr="00006A39">
        <w:rPr>
          <w:vertAlign w:val="subscript"/>
        </w:rPr>
        <w:t>3</w:t>
      </w:r>
      <w:r w:rsidRPr="00006A39">
        <w:t>=8,48),</w:t>
      </w:r>
      <w:r w:rsidR="007E0C6E">
        <w:t xml:space="preserve"> а в 2018 р. – </w:t>
      </w:r>
      <w:r w:rsidRPr="00006A39">
        <w:t>7,0 (Q</w:t>
      </w:r>
      <w:r w:rsidRPr="00006A39">
        <w:rPr>
          <w:vertAlign w:val="subscript"/>
        </w:rPr>
        <w:t>1</w:t>
      </w:r>
      <w:r w:rsidRPr="00006A39">
        <w:t>=6,2; Q</w:t>
      </w:r>
      <w:r w:rsidRPr="00006A39">
        <w:rPr>
          <w:vertAlign w:val="subscript"/>
        </w:rPr>
        <w:t>3</w:t>
      </w:r>
      <w:r w:rsidRPr="00006A39">
        <w:t xml:space="preserve"> =7,9) з розрахунку на 1000 народжених живими, (р=0,859). При цьому відмічене </w:t>
      </w:r>
      <w:r w:rsidRPr="00006A39">
        <w:rPr>
          <w:rFonts w:eastAsia="NewtonC-Bold"/>
          <w:bCs/>
          <w:szCs w:val="28"/>
          <w:lang w:eastAsia="ru-RU"/>
        </w:rPr>
        <w:t>збільшення за цей час міжквартильного інтервалу (1,7 проти 1,47), що свідчить про наявність диспропорцій у значеннях даного показника в окремих адмініс</w:t>
      </w:r>
      <w:r w:rsidR="009A4F89">
        <w:rPr>
          <w:rFonts w:eastAsia="NewtonC-Bold"/>
          <w:bCs/>
          <w:szCs w:val="28"/>
          <w:lang w:eastAsia="ru-RU"/>
        </w:rPr>
        <w:t>тративних територіях (табл. 3.2</w:t>
      </w:r>
      <w:r w:rsidRPr="00006A39">
        <w:rPr>
          <w:rFonts w:eastAsia="NewtonC-Bold"/>
          <w:bCs/>
          <w:szCs w:val="28"/>
          <w:lang w:eastAsia="ru-RU"/>
        </w:rPr>
        <w:t xml:space="preserve">). </w:t>
      </w:r>
    </w:p>
    <w:p w:rsidR="00D22FA3" w:rsidRPr="00006A39" w:rsidRDefault="00D22FA3" w:rsidP="00550F20">
      <w:pPr>
        <w:widowControl w:val="0"/>
        <w:ind w:firstLine="708"/>
        <w:rPr>
          <w:szCs w:val="28"/>
        </w:rPr>
      </w:pPr>
      <w:r w:rsidRPr="00006A39">
        <w:rPr>
          <w:szCs w:val="28"/>
        </w:rPr>
        <w:t xml:space="preserve">Так, </w:t>
      </w:r>
      <w:r>
        <w:rPr>
          <w:szCs w:val="28"/>
        </w:rPr>
        <w:t>у 2018 р. вищий за загальноукраїнський показник дитячої смертності у віці до 1-го року життя (7,0</w:t>
      </w:r>
      <w:r w:rsidRPr="00AB37CF">
        <w:rPr>
          <w:szCs w:val="28"/>
        </w:rPr>
        <w:t>‰</w:t>
      </w:r>
      <w:r>
        <w:rPr>
          <w:szCs w:val="28"/>
        </w:rPr>
        <w:t xml:space="preserve">) спостерігався у 12 областях України, найвищі рівні </w:t>
      </w:r>
      <w:r w:rsidRPr="00BF1051">
        <w:rPr>
          <w:szCs w:val="28"/>
        </w:rPr>
        <w:t>зареєстровано</w:t>
      </w:r>
      <w:r>
        <w:rPr>
          <w:szCs w:val="28"/>
        </w:rPr>
        <w:t xml:space="preserve"> у Закарпатській (10,4</w:t>
      </w:r>
      <w:r w:rsidRPr="00AB37CF">
        <w:rPr>
          <w:szCs w:val="28"/>
        </w:rPr>
        <w:t>‰</w:t>
      </w:r>
      <w:r>
        <w:rPr>
          <w:szCs w:val="28"/>
        </w:rPr>
        <w:t>), Черкаській (9,1</w:t>
      </w:r>
      <w:r w:rsidRPr="00AB37CF">
        <w:rPr>
          <w:szCs w:val="28"/>
        </w:rPr>
        <w:t>‰</w:t>
      </w:r>
      <w:r>
        <w:rPr>
          <w:szCs w:val="28"/>
        </w:rPr>
        <w:t>), Дніпропетровській (9,0</w:t>
      </w:r>
      <w:r w:rsidRPr="00AB37CF">
        <w:rPr>
          <w:szCs w:val="28"/>
        </w:rPr>
        <w:t>‰</w:t>
      </w:r>
      <w:r>
        <w:rPr>
          <w:szCs w:val="28"/>
        </w:rPr>
        <w:t>), Херсонській (8,4</w:t>
      </w:r>
      <w:r w:rsidRPr="00AB37CF">
        <w:rPr>
          <w:szCs w:val="28"/>
        </w:rPr>
        <w:t>‰</w:t>
      </w:r>
      <w:r>
        <w:rPr>
          <w:szCs w:val="28"/>
        </w:rPr>
        <w:t>) та Запорізькій (8,2</w:t>
      </w:r>
      <w:r w:rsidRPr="00AB37CF">
        <w:rPr>
          <w:szCs w:val="28"/>
        </w:rPr>
        <w:t>‰</w:t>
      </w:r>
      <w:r>
        <w:rPr>
          <w:szCs w:val="28"/>
        </w:rPr>
        <w:t>) областях. Найнижчі рівн</w:t>
      </w:r>
      <w:r w:rsidR="006B2245">
        <w:rPr>
          <w:szCs w:val="28"/>
        </w:rPr>
        <w:t>і показника</w:t>
      </w:r>
      <w:r>
        <w:rPr>
          <w:szCs w:val="28"/>
        </w:rPr>
        <w:t xml:space="preserve"> </w:t>
      </w:r>
      <w:r w:rsidRPr="00BF1051">
        <w:rPr>
          <w:szCs w:val="28"/>
        </w:rPr>
        <w:t>зареєстровано</w:t>
      </w:r>
      <w:r>
        <w:rPr>
          <w:color w:val="FF0000"/>
          <w:szCs w:val="28"/>
        </w:rPr>
        <w:t xml:space="preserve"> </w:t>
      </w:r>
      <w:r>
        <w:rPr>
          <w:szCs w:val="28"/>
        </w:rPr>
        <w:t xml:space="preserve"> у Сумській (4,5</w:t>
      </w:r>
      <w:r w:rsidRPr="001D5493">
        <w:rPr>
          <w:szCs w:val="28"/>
        </w:rPr>
        <w:t>‰</w:t>
      </w:r>
      <w:r>
        <w:rPr>
          <w:szCs w:val="28"/>
        </w:rPr>
        <w:t>), Київській (4,7</w:t>
      </w:r>
      <w:r w:rsidRPr="001D5493">
        <w:rPr>
          <w:szCs w:val="28"/>
        </w:rPr>
        <w:t>‰</w:t>
      </w:r>
      <w:r>
        <w:rPr>
          <w:szCs w:val="28"/>
        </w:rPr>
        <w:t>), Полтавській (5,0</w:t>
      </w:r>
      <w:r w:rsidRPr="001D5493">
        <w:rPr>
          <w:szCs w:val="28"/>
        </w:rPr>
        <w:t>‰</w:t>
      </w:r>
      <w:r>
        <w:rPr>
          <w:szCs w:val="28"/>
        </w:rPr>
        <w:t>) областях та м. Київ (5,3</w:t>
      </w:r>
      <w:r w:rsidRPr="001D5493">
        <w:rPr>
          <w:szCs w:val="28"/>
        </w:rPr>
        <w:t>‰</w:t>
      </w:r>
      <w:r w:rsidR="006B2245">
        <w:rPr>
          <w:szCs w:val="28"/>
        </w:rPr>
        <w:t>), а його</w:t>
      </w:r>
      <w:r>
        <w:rPr>
          <w:szCs w:val="28"/>
        </w:rPr>
        <w:t xml:space="preserve"> </w:t>
      </w:r>
      <w:r w:rsidR="006B2245">
        <w:rPr>
          <w:szCs w:val="28"/>
        </w:rPr>
        <w:t>зростання відносно</w:t>
      </w:r>
      <w:r>
        <w:rPr>
          <w:szCs w:val="28"/>
        </w:rPr>
        <w:t xml:space="preserve"> 2014 р. відбулось у </w:t>
      </w:r>
      <w:r w:rsidRPr="003E5146">
        <w:rPr>
          <w:szCs w:val="28"/>
        </w:rPr>
        <w:t>9</w:t>
      </w:r>
      <w:r>
        <w:rPr>
          <w:szCs w:val="28"/>
        </w:rPr>
        <w:t xml:space="preserve"> областях України: Волинській (на 28,8%), Дніпропетровській (на 16,2%), Закарпатській (на 15,9%), Запорізькій (на 24,2%), Миколаївській (на 7,5%), Одеській (на 8,4%), Херсонській (на 0,4%), Черкаській (на 1,2%), Чернівецькій (на 8,6%) (табл. 3.2)</w:t>
      </w:r>
      <w:r w:rsidRPr="00006A39">
        <w:rPr>
          <w:szCs w:val="28"/>
        </w:rPr>
        <w:t>.</w:t>
      </w:r>
    </w:p>
    <w:p w:rsidR="00BB5E7E" w:rsidRDefault="00BB5E7E" w:rsidP="00550F20">
      <w:pPr>
        <w:widowControl w:val="0"/>
        <w:jc w:val="right"/>
        <w:rPr>
          <w:rFonts w:eastAsia="Times New Roman"/>
          <w:i/>
          <w:szCs w:val="28"/>
          <w:lang w:val="ru-RU" w:eastAsia="ru-RU"/>
        </w:rPr>
      </w:pPr>
    </w:p>
    <w:p w:rsidR="00D96FD9" w:rsidRPr="009A4F89" w:rsidRDefault="00D96FD9" w:rsidP="00550F20">
      <w:pPr>
        <w:widowControl w:val="0"/>
        <w:jc w:val="right"/>
        <w:rPr>
          <w:rFonts w:eastAsia="Times New Roman"/>
          <w:i/>
          <w:szCs w:val="28"/>
          <w:lang w:eastAsia="ru-RU"/>
        </w:rPr>
      </w:pPr>
      <w:r w:rsidRPr="009A4F89">
        <w:rPr>
          <w:rFonts w:eastAsia="Times New Roman"/>
          <w:i/>
          <w:szCs w:val="28"/>
          <w:lang w:eastAsia="ru-RU"/>
        </w:rPr>
        <w:lastRenderedPageBreak/>
        <w:t>Таблиця 3.</w:t>
      </w:r>
      <w:r w:rsidR="009A4F89" w:rsidRPr="009A4F89">
        <w:rPr>
          <w:rFonts w:eastAsia="Times New Roman"/>
          <w:i/>
          <w:szCs w:val="28"/>
          <w:lang w:eastAsia="ru-RU"/>
        </w:rPr>
        <w:t>2</w:t>
      </w:r>
      <w:r w:rsidRPr="009A4F89">
        <w:rPr>
          <w:rFonts w:eastAsia="Times New Roman"/>
          <w:i/>
          <w:szCs w:val="28"/>
          <w:lang w:eastAsia="ru-RU"/>
        </w:rPr>
        <w:t xml:space="preserve"> </w:t>
      </w:r>
    </w:p>
    <w:p w:rsidR="00D96FD9" w:rsidRPr="00550F20" w:rsidRDefault="00D96FD9" w:rsidP="00550F20">
      <w:pPr>
        <w:widowControl w:val="0"/>
        <w:jc w:val="center"/>
        <w:rPr>
          <w:rFonts w:eastAsia="NewtonC-Bold"/>
          <w:b/>
          <w:bCs/>
          <w:color w:val="000000" w:themeColor="text1"/>
          <w:szCs w:val="28"/>
          <w:lang w:eastAsia="ru-RU"/>
        </w:rPr>
      </w:pPr>
      <w:r w:rsidRPr="00006A39">
        <w:rPr>
          <w:rFonts w:eastAsia="NewtonC-Bold" w:cs="NewtonC-Bold"/>
          <w:b/>
          <w:bCs/>
          <w:szCs w:val="28"/>
          <w:lang w:eastAsia="ru-RU"/>
        </w:rPr>
        <w:t xml:space="preserve">Динаміка показника </w:t>
      </w:r>
      <w:r w:rsidRPr="006A395E">
        <w:rPr>
          <w:rFonts w:eastAsia="NewtonC-Bold" w:cs="NewtonC-Bold"/>
          <w:b/>
          <w:bCs/>
          <w:color w:val="000000" w:themeColor="text1"/>
          <w:szCs w:val="28"/>
          <w:lang w:eastAsia="ru-RU"/>
        </w:rPr>
        <w:t>малюкової смертності в окремих адміністративних територіях</w:t>
      </w:r>
      <w:r w:rsidR="00A12FE7">
        <w:rPr>
          <w:rFonts w:eastAsia="NewtonC-Bold" w:cs="NewtonC-Bold"/>
          <w:b/>
          <w:bCs/>
          <w:color w:val="000000" w:themeColor="text1"/>
          <w:szCs w:val="28"/>
          <w:lang w:eastAsia="ru-RU"/>
        </w:rPr>
        <w:t xml:space="preserve"> (</w:t>
      </w:r>
      <w:r w:rsidR="00A12FE7" w:rsidRPr="00A12FE7">
        <w:rPr>
          <w:rFonts w:eastAsia="NewtonC-Bold" w:cs="NewtonC-Bold"/>
          <w:b/>
          <w:bCs/>
          <w:color w:val="000000" w:themeColor="text1"/>
          <w:szCs w:val="28"/>
          <w:lang w:eastAsia="ru-RU"/>
        </w:rPr>
        <w:t>на 1000 народжених живими</w:t>
      </w:r>
      <w:r w:rsidR="00BE6EAB">
        <w:rPr>
          <w:rFonts w:eastAsia="NewtonC-Bold" w:cs="NewtonC-Bold"/>
          <w:b/>
          <w:bCs/>
          <w:color w:val="000000" w:themeColor="text1"/>
          <w:szCs w:val="28"/>
          <w:lang w:eastAsia="ru-RU"/>
        </w:rPr>
        <w:t>,</w:t>
      </w:r>
      <w:r w:rsidR="00BE6EAB" w:rsidRPr="00BE6EAB">
        <w:rPr>
          <w:rFonts w:eastAsia="NewtonC-Bold" w:cs="NewtonC-Bold"/>
          <w:bCs/>
          <w:color w:val="000000" w:themeColor="text1"/>
          <w:szCs w:val="28"/>
          <w:lang w:eastAsia="ru-RU"/>
        </w:rPr>
        <w:t xml:space="preserve"> </w:t>
      </w:r>
      <w:r w:rsidR="00BE6EAB" w:rsidRPr="00BE6EAB">
        <w:rPr>
          <w:rFonts w:eastAsia="NewtonC-Bold" w:cs="NewtonC-Bold"/>
          <w:b/>
          <w:bCs/>
          <w:color w:val="000000" w:themeColor="text1"/>
          <w:szCs w:val="28"/>
          <w:lang w:eastAsia="ru-RU"/>
        </w:rPr>
        <w:t>‰</w:t>
      </w:r>
      <w:r w:rsidR="00BE6EAB">
        <w:rPr>
          <w:rFonts w:eastAsia="NewtonC-Bold" w:cs="NewtonC-Bold"/>
          <w:b/>
          <w:bCs/>
          <w:color w:val="000000" w:themeColor="text1"/>
          <w:szCs w:val="28"/>
          <w:lang w:eastAsia="ru-RU"/>
        </w:rPr>
        <w:t xml:space="preserve"> </w:t>
      </w:r>
      <w:r w:rsidR="00A12FE7">
        <w:rPr>
          <w:rFonts w:eastAsia="NewtonC-Bold" w:cs="NewtonC-Bold"/>
          <w:b/>
          <w:bCs/>
          <w:color w:val="000000" w:themeColor="text1"/>
          <w:szCs w:val="28"/>
          <w:lang w:eastAsia="ru-RU"/>
        </w:rPr>
        <w:t>)</w:t>
      </w:r>
    </w:p>
    <w:tbl>
      <w:tblPr>
        <w:tblStyle w:val="21"/>
        <w:tblW w:w="0" w:type="auto"/>
        <w:jc w:val="center"/>
        <w:tblLook w:val="01E0" w:firstRow="1" w:lastRow="1" w:firstColumn="1" w:lastColumn="1" w:noHBand="0" w:noVBand="0"/>
      </w:tblPr>
      <w:tblGrid>
        <w:gridCol w:w="4305"/>
        <w:gridCol w:w="936"/>
        <w:gridCol w:w="846"/>
        <w:gridCol w:w="776"/>
        <w:gridCol w:w="776"/>
        <w:gridCol w:w="1078"/>
      </w:tblGrid>
      <w:tr w:rsidR="00D96FD9" w:rsidRPr="00006A39" w:rsidTr="00962C82">
        <w:trPr>
          <w:trHeight w:val="904"/>
          <w:jc w:val="center"/>
        </w:trPr>
        <w:tc>
          <w:tcPr>
            <w:tcW w:w="4305" w:type="dxa"/>
          </w:tcPr>
          <w:p w:rsidR="00D96FD9" w:rsidRPr="00006A39" w:rsidRDefault="00D96FD9" w:rsidP="009F0AC1">
            <w:pPr>
              <w:widowControl w:val="0"/>
              <w:spacing w:line="276" w:lineRule="auto"/>
              <w:rPr>
                <w:sz w:val="28"/>
                <w:szCs w:val="28"/>
                <w:lang w:val="uk-UA"/>
              </w:rPr>
            </w:pPr>
            <w:r w:rsidRPr="00006A39">
              <w:rPr>
                <w:sz w:val="28"/>
                <w:szCs w:val="28"/>
                <w:lang w:val="uk-UA"/>
              </w:rPr>
              <w:t>Адміністративна територія</w:t>
            </w:r>
          </w:p>
        </w:tc>
        <w:tc>
          <w:tcPr>
            <w:tcW w:w="936" w:type="dxa"/>
          </w:tcPr>
          <w:p w:rsidR="00D96FD9" w:rsidRPr="00006A39" w:rsidRDefault="00D96FD9" w:rsidP="009F0AC1">
            <w:pPr>
              <w:widowControl w:val="0"/>
              <w:spacing w:line="276" w:lineRule="auto"/>
              <w:jc w:val="center"/>
              <w:rPr>
                <w:sz w:val="28"/>
                <w:szCs w:val="28"/>
                <w:lang w:val="uk-UA"/>
              </w:rPr>
            </w:pPr>
            <w:r w:rsidRPr="00006A39">
              <w:rPr>
                <w:sz w:val="28"/>
                <w:szCs w:val="28"/>
                <w:lang w:val="uk-UA"/>
              </w:rPr>
              <w:t>2014 рік</w:t>
            </w:r>
          </w:p>
        </w:tc>
        <w:tc>
          <w:tcPr>
            <w:tcW w:w="846" w:type="dxa"/>
          </w:tcPr>
          <w:p w:rsidR="00D96FD9" w:rsidRPr="00006A39" w:rsidRDefault="00D96FD9" w:rsidP="009F0AC1">
            <w:pPr>
              <w:widowControl w:val="0"/>
              <w:spacing w:line="276" w:lineRule="auto"/>
              <w:jc w:val="center"/>
              <w:rPr>
                <w:sz w:val="28"/>
                <w:szCs w:val="28"/>
                <w:lang w:val="uk-UA"/>
              </w:rPr>
            </w:pPr>
            <w:r w:rsidRPr="00006A39">
              <w:rPr>
                <w:sz w:val="28"/>
                <w:szCs w:val="28"/>
                <w:lang w:val="uk-UA"/>
              </w:rPr>
              <w:t>2015 рік</w:t>
            </w:r>
          </w:p>
        </w:tc>
        <w:tc>
          <w:tcPr>
            <w:tcW w:w="0" w:type="auto"/>
          </w:tcPr>
          <w:p w:rsidR="00D96FD9" w:rsidRPr="00006A39" w:rsidRDefault="00D96FD9" w:rsidP="009F0AC1">
            <w:pPr>
              <w:widowControl w:val="0"/>
              <w:spacing w:line="276" w:lineRule="auto"/>
              <w:jc w:val="center"/>
              <w:rPr>
                <w:sz w:val="28"/>
                <w:szCs w:val="28"/>
                <w:lang w:val="uk-UA"/>
              </w:rPr>
            </w:pPr>
            <w:r w:rsidRPr="00006A39">
              <w:rPr>
                <w:sz w:val="28"/>
                <w:szCs w:val="28"/>
                <w:lang w:val="uk-UA"/>
              </w:rPr>
              <w:t>2016</w:t>
            </w:r>
          </w:p>
          <w:p w:rsidR="00D96FD9" w:rsidRPr="00006A39" w:rsidRDefault="00D96FD9" w:rsidP="009F0AC1">
            <w:pPr>
              <w:widowControl w:val="0"/>
              <w:spacing w:line="276" w:lineRule="auto"/>
              <w:jc w:val="center"/>
              <w:rPr>
                <w:sz w:val="28"/>
                <w:szCs w:val="28"/>
                <w:lang w:val="uk-UA"/>
              </w:rPr>
            </w:pPr>
            <w:r w:rsidRPr="00006A39">
              <w:rPr>
                <w:sz w:val="28"/>
                <w:szCs w:val="28"/>
                <w:lang w:val="uk-UA"/>
              </w:rPr>
              <w:t>рік</w:t>
            </w:r>
          </w:p>
        </w:tc>
        <w:tc>
          <w:tcPr>
            <w:tcW w:w="0" w:type="auto"/>
          </w:tcPr>
          <w:p w:rsidR="00D96FD9" w:rsidRPr="00006A39" w:rsidRDefault="00D96FD9" w:rsidP="009F0AC1">
            <w:pPr>
              <w:widowControl w:val="0"/>
              <w:spacing w:line="276" w:lineRule="auto"/>
              <w:jc w:val="center"/>
              <w:rPr>
                <w:sz w:val="28"/>
                <w:szCs w:val="28"/>
                <w:lang w:val="uk-UA"/>
              </w:rPr>
            </w:pPr>
            <w:r w:rsidRPr="00006A39">
              <w:rPr>
                <w:sz w:val="28"/>
                <w:szCs w:val="28"/>
                <w:lang w:val="uk-UA"/>
              </w:rPr>
              <w:t>2017</w:t>
            </w:r>
          </w:p>
          <w:p w:rsidR="00D96FD9" w:rsidRPr="00006A39" w:rsidRDefault="00D96FD9" w:rsidP="009F0AC1">
            <w:pPr>
              <w:widowControl w:val="0"/>
              <w:spacing w:line="276" w:lineRule="auto"/>
              <w:jc w:val="center"/>
              <w:rPr>
                <w:sz w:val="28"/>
                <w:szCs w:val="28"/>
                <w:lang w:val="uk-UA"/>
              </w:rPr>
            </w:pPr>
            <w:r w:rsidRPr="00006A39">
              <w:rPr>
                <w:sz w:val="28"/>
                <w:szCs w:val="28"/>
                <w:lang w:val="uk-UA"/>
              </w:rPr>
              <w:t>рік</w:t>
            </w:r>
          </w:p>
        </w:tc>
        <w:tc>
          <w:tcPr>
            <w:tcW w:w="1078" w:type="dxa"/>
          </w:tcPr>
          <w:p w:rsidR="00D96FD9" w:rsidRPr="00006A39" w:rsidRDefault="00D96FD9" w:rsidP="009F0AC1">
            <w:pPr>
              <w:widowControl w:val="0"/>
              <w:spacing w:line="276" w:lineRule="auto"/>
              <w:jc w:val="center"/>
              <w:rPr>
                <w:sz w:val="28"/>
                <w:szCs w:val="28"/>
                <w:lang w:val="uk-UA"/>
              </w:rPr>
            </w:pPr>
            <w:r w:rsidRPr="00006A39">
              <w:rPr>
                <w:sz w:val="28"/>
                <w:szCs w:val="28"/>
                <w:lang w:val="uk-UA"/>
              </w:rPr>
              <w:t>2018</w:t>
            </w:r>
          </w:p>
          <w:p w:rsidR="00D96FD9" w:rsidRPr="00006A39" w:rsidRDefault="00D96FD9" w:rsidP="009F0AC1">
            <w:pPr>
              <w:widowControl w:val="0"/>
              <w:spacing w:line="276" w:lineRule="auto"/>
              <w:jc w:val="center"/>
              <w:rPr>
                <w:sz w:val="28"/>
                <w:szCs w:val="28"/>
                <w:lang w:val="uk-UA"/>
              </w:rPr>
            </w:pPr>
            <w:r w:rsidRPr="00006A39">
              <w:rPr>
                <w:sz w:val="28"/>
                <w:szCs w:val="28"/>
                <w:lang w:val="uk-UA"/>
              </w:rPr>
              <w:t>рік</w:t>
            </w:r>
          </w:p>
        </w:tc>
      </w:tr>
      <w:tr w:rsidR="00D96FD9" w:rsidRPr="00006A39" w:rsidTr="004414E5">
        <w:trPr>
          <w:jc w:val="center"/>
        </w:trPr>
        <w:tc>
          <w:tcPr>
            <w:tcW w:w="4305" w:type="dxa"/>
          </w:tcPr>
          <w:p w:rsidR="00D96FD9" w:rsidRPr="00006A39" w:rsidRDefault="00D96FD9" w:rsidP="009F0AC1">
            <w:pPr>
              <w:widowControl w:val="0"/>
              <w:spacing w:line="276" w:lineRule="auto"/>
              <w:rPr>
                <w:sz w:val="28"/>
                <w:szCs w:val="28"/>
                <w:lang w:val="uk-UA"/>
              </w:rPr>
            </w:pPr>
            <w:r w:rsidRPr="00006A39">
              <w:rPr>
                <w:sz w:val="28"/>
                <w:szCs w:val="28"/>
                <w:lang w:val="uk-UA"/>
              </w:rPr>
              <w:t>Медіана</w:t>
            </w:r>
          </w:p>
        </w:tc>
        <w:tc>
          <w:tcPr>
            <w:tcW w:w="936" w:type="dxa"/>
          </w:tcPr>
          <w:p w:rsidR="00D96FD9" w:rsidRPr="00006A39" w:rsidRDefault="00D96FD9" w:rsidP="009F0AC1">
            <w:pPr>
              <w:widowControl w:val="0"/>
              <w:spacing w:line="276" w:lineRule="auto"/>
              <w:jc w:val="center"/>
              <w:rPr>
                <w:sz w:val="28"/>
                <w:szCs w:val="28"/>
                <w:lang w:val="uk-UA"/>
              </w:rPr>
            </w:pPr>
            <w:r w:rsidRPr="00006A39">
              <w:rPr>
                <w:sz w:val="28"/>
                <w:szCs w:val="28"/>
                <w:lang w:val="uk-UA"/>
              </w:rPr>
              <w:t>7,59</w:t>
            </w:r>
          </w:p>
        </w:tc>
        <w:tc>
          <w:tcPr>
            <w:tcW w:w="846" w:type="dxa"/>
          </w:tcPr>
          <w:p w:rsidR="00D96FD9" w:rsidRPr="00006A39" w:rsidRDefault="00D96FD9" w:rsidP="009F0AC1">
            <w:pPr>
              <w:widowControl w:val="0"/>
              <w:spacing w:line="276" w:lineRule="auto"/>
              <w:jc w:val="center"/>
              <w:rPr>
                <w:sz w:val="28"/>
                <w:szCs w:val="28"/>
                <w:lang w:val="uk-UA"/>
              </w:rPr>
            </w:pPr>
            <w:r w:rsidRPr="00006A39">
              <w:rPr>
                <w:sz w:val="28"/>
                <w:szCs w:val="28"/>
                <w:lang w:val="uk-UA"/>
              </w:rPr>
              <w:t>8,24</w:t>
            </w:r>
          </w:p>
        </w:tc>
        <w:tc>
          <w:tcPr>
            <w:tcW w:w="0" w:type="auto"/>
          </w:tcPr>
          <w:p w:rsidR="00D96FD9" w:rsidRPr="00006A39" w:rsidRDefault="00D96FD9" w:rsidP="009F0AC1">
            <w:pPr>
              <w:widowControl w:val="0"/>
              <w:spacing w:line="276" w:lineRule="auto"/>
              <w:jc w:val="center"/>
              <w:rPr>
                <w:sz w:val="28"/>
                <w:szCs w:val="28"/>
                <w:lang w:val="uk-UA"/>
              </w:rPr>
            </w:pPr>
            <w:r w:rsidRPr="00006A39">
              <w:rPr>
                <w:sz w:val="28"/>
                <w:szCs w:val="28"/>
                <w:lang w:val="uk-UA"/>
              </w:rPr>
              <w:t>7,9</w:t>
            </w:r>
          </w:p>
        </w:tc>
        <w:tc>
          <w:tcPr>
            <w:tcW w:w="0" w:type="auto"/>
          </w:tcPr>
          <w:p w:rsidR="00D96FD9" w:rsidRPr="00006A39" w:rsidRDefault="00D96FD9" w:rsidP="009F0AC1">
            <w:pPr>
              <w:widowControl w:val="0"/>
              <w:spacing w:line="276" w:lineRule="auto"/>
              <w:jc w:val="center"/>
              <w:rPr>
                <w:sz w:val="28"/>
                <w:szCs w:val="28"/>
                <w:lang w:val="uk-UA"/>
              </w:rPr>
            </w:pPr>
            <w:r w:rsidRPr="00006A39">
              <w:rPr>
                <w:sz w:val="28"/>
                <w:szCs w:val="28"/>
                <w:lang w:val="uk-UA"/>
              </w:rPr>
              <w:t>7,5</w:t>
            </w:r>
          </w:p>
        </w:tc>
        <w:tc>
          <w:tcPr>
            <w:tcW w:w="1078" w:type="dxa"/>
          </w:tcPr>
          <w:p w:rsidR="00D96FD9" w:rsidRPr="00006A39" w:rsidRDefault="00D96FD9" w:rsidP="009F0AC1">
            <w:pPr>
              <w:widowControl w:val="0"/>
              <w:spacing w:line="276" w:lineRule="auto"/>
              <w:jc w:val="center"/>
              <w:rPr>
                <w:sz w:val="28"/>
                <w:szCs w:val="28"/>
                <w:lang w:val="uk-UA"/>
              </w:rPr>
            </w:pPr>
            <w:r w:rsidRPr="00006A39">
              <w:rPr>
                <w:sz w:val="28"/>
                <w:szCs w:val="28"/>
                <w:lang w:val="uk-UA"/>
              </w:rPr>
              <w:t>7,0</w:t>
            </w:r>
          </w:p>
        </w:tc>
      </w:tr>
      <w:tr w:rsidR="00D96FD9" w:rsidRPr="00006A39" w:rsidTr="004414E5">
        <w:trPr>
          <w:jc w:val="center"/>
        </w:trPr>
        <w:tc>
          <w:tcPr>
            <w:tcW w:w="4305" w:type="dxa"/>
          </w:tcPr>
          <w:p w:rsidR="00D96FD9" w:rsidRPr="00006A39" w:rsidRDefault="00D96FD9" w:rsidP="009F0AC1">
            <w:pPr>
              <w:widowControl w:val="0"/>
              <w:spacing w:line="276" w:lineRule="auto"/>
              <w:rPr>
                <w:sz w:val="28"/>
                <w:szCs w:val="28"/>
                <w:lang w:val="uk-UA"/>
              </w:rPr>
            </w:pPr>
            <w:r w:rsidRPr="00006A39">
              <w:rPr>
                <w:sz w:val="28"/>
                <w:szCs w:val="28"/>
                <w:lang w:val="uk-UA"/>
              </w:rPr>
              <w:t>Q</w:t>
            </w:r>
            <w:r w:rsidRPr="00006A39">
              <w:rPr>
                <w:sz w:val="28"/>
                <w:szCs w:val="28"/>
                <w:vertAlign w:val="subscript"/>
                <w:lang w:val="uk-UA"/>
              </w:rPr>
              <w:t>1</w:t>
            </w:r>
          </w:p>
        </w:tc>
        <w:tc>
          <w:tcPr>
            <w:tcW w:w="936" w:type="dxa"/>
          </w:tcPr>
          <w:p w:rsidR="00D96FD9" w:rsidRPr="00006A39" w:rsidRDefault="00D96FD9" w:rsidP="009F0AC1">
            <w:pPr>
              <w:widowControl w:val="0"/>
              <w:spacing w:line="276" w:lineRule="auto"/>
              <w:jc w:val="center"/>
              <w:rPr>
                <w:sz w:val="28"/>
                <w:szCs w:val="28"/>
                <w:lang w:val="uk-UA"/>
              </w:rPr>
            </w:pPr>
            <w:r w:rsidRPr="00006A39">
              <w:rPr>
                <w:sz w:val="28"/>
                <w:szCs w:val="28"/>
                <w:lang w:val="uk-UA"/>
              </w:rPr>
              <w:t>7,01</w:t>
            </w:r>
          </w:p>
        </w:tc>
        <w:tc>
          <w:tcPr>
            <w:tcW w:w="846" w:type="dxa"/>
          </w:tcPr>
          <w:p w:rsidR="00D96FD9" w:rsidRPr="00006A39" w:rsidRDefault="00D96FD9" w:rsidP="009F0AC1">
            <w:pPr>
              <w:widowControl w:val="0"/>
              <w:spacing w:line="276" w:lineRule="auto"/>
              <w:jc w:val="center"/>
              <w:rPr>
                <w:sz w:val="28"/>
                <w:szCs w:val="28"/>
                <w:lang w:val="uk-UA"/>
              </w:rPr>
            </w:pPr>
            <w:r w:rsidRPr="00006A39">
              <w:rPr>
                <w:sz w:val="28"/>
                <w:szCs w:val="28"/>
                <w:lang w:val="uk-UA"/>
              </w:rPr>
              <w:t>7,28</w:t>
            </w:r>
          </w:p>
        </w:tc>
        <w:tc>
          <w:tcPr>
            <w:tcW w:w="0" w:type="auto"/>
          </w:tcPr>
          <w:p w:rsidR="00D96FD9" w:rsidRPr="00006A39" w:rsidRDefault="00D96FD9" w:rsidP="009F0AC1">
            <w:pPr>
              <w:widowControl w:val="0"/>
              <w:spacing w:line="276" w:lineRule="auto"/>
              <w:jc w:val="center"/>
              <w:rPr>
                <w:sz w:val="28"/>
                <w:szCs w:val="28"/>
                <w:lang w:val="uk-UA"/>
              </w:rPr>
            </w:pPr>
            <w:r w:rsidRPr="00006A39">
              <w:rPr>
                <w:sz w:val="28"/>
                <w:szCs w:val="28"/>
                <w:lang w:val="uk-UA"/>
              </w:rPr>
              <w:t>6,6</w:t>
            </w:r>
          </w:p>
        </w:tc>
        <w:tc>
          <w:tcPr>
            <w:tcW w:w="0" w:type="auto"/>
          </w:tcPr>
          <w:p w:rsidR="00D96FD9" w:rsidRPr="00006A39" w:rsidRDefault="00D96FD9" w:rsidP="009F0AC1">
            <w:pPr>
              <w:widowControl w:val="0"/>
              <w:spacing w:line="276" w:lineRule="auto"/>
              <w:jc w:val="center"/>
              <w:rPr>
                <w:sz w:val="28"/>
                <w:szCs w:val="28"/>
                <w:lang w:val="uk-UA"/>
              </w:rPr>
            </w:pPr>
            <w:r w:rsidRPr="00006A39">
              <w:rPr>
                <w:sz w:val="28"/>
                <w:szCs w:val="28"/>
                <w:lang w:val="uk-UA"/>
              </w:rPr>
              <w:t>6,5</w:t>
            </w:r>
          </w:p>
        </w:tc>
        <w:tc>
          <w:tcPr>
            <w:tcW w:w="1078" w:type="dxa"/>
          </w:tcPr>
          <w:p w:rsidR="00D96FD9" w:rsidRPr="00006A39" w:rsidRDefault="00D96FD9" w:rsidP="009F0AC1">
            <w:pPr>
              <w:widowControl w:val="0"/>
              <w:spacing w:line="276" w:lineRule="auto"/>
              <w:jc w:val="center"/>
              <w:rPr>
                <w:sz w:val="28"/>
                <w:szCs w:val="28"/>
                <w:lang w:val="uk-UA"/>
              </w:rPr>
            </w:pPr>
            <w:r w:rsidRPr="00006A39">
              <w:rPr>
                <w:sz w:val="28"/>
                <w:szCs w:val="28"/>
                <w:lang w:val="uk-UA"/>
              </w:rPr>
              <w:t>6,2</w:t>
            </w:r>
          </w:p>
        </w:tc>
      </w:tr>
      <w:tr w:rsidR="00D96FD9" w:rsidRPr="00006A39" w:rsidTr="004414E5">
        <w:trPr>
          <w:jc w:val="center"/>
        </w:trPr>
        <w:tc>
          <w:tcPr>
            <w:tcW w:w="4305" w:type="dxa"/>
          </w:tcPr>
          <w:p w:rsidR="00D96FD9" w:rsidRPr="00006A39" w:rsidRDefault="00D96FD9" w:rsidP="009F0AC1">
            <w:pPr>
              <w:widowControl w:val="0"/>
              <w:spacing w:line="276" w:lineRule="auto"/>
              <w:rPr>
                <w:sz w:val="28"/>
                <w:szCs w:val="28"/>
                <w:lang w:val="uk-UA"/>
              </w:rPr>
            </w:pPr>
            <w:r w:rsidRPr="00006A39">
              <w:rPr>
                <w:sz w:val="28"/>
                <w:szCs w:val="28"/>
                <w:lang w:val="uk-UA"/>
              </w:rPr>
              <w:t>Q</w:t>
            </w:r>
            <w:r w:rsidRPr="00006A39">
              <w:rPr>
                <w:sz w:val="28"/>
                <w:szCs w:val="28"/>
                <w:vertAlign w:val="subscript"/>
                <w:lang w:val="uk-UA"/>
              </w:rPr>
              <w:t>3</w:t>
            </w:r>
          </w:p>
        </w:tc>
        <w:tc>
          <w:tcPr>
            <w:tcW w:w="936" w:type="dxa"/>
          </w:tcPr>
          <w:p w:rsidR="00D96FD9" w:rsidRPr="00006A39" w:rsidRDefault="00D96FD9" w:rsidP="009F0AC1">
            <w:pPr>
              <w:widowControl w:val="0"/>
              <w:spacing w:line="276" w:lineRule="auto"/>
              <w:jc w:val="center"/>
              <w:rPr>
                <w:sz w:val="28"/>
                <w:szCs w:val="28"/>
                <w:lang w:val="uk-UA"/>
              </w:rPr>
            </w:pPr>
            <w:r w:rsidRPr="00006A39">
              <w:rPr>
                <w:sz w:val="28"/>
                <w:szCs w:val="28"/>
                <w:lang w:val="uk-UA"/>
              </w:rPr>
              <w:t>8,48</w:t>
            </w:r>
          </w:p>
        </w:tc>
        <w:tc>
          <w:tcPr>
            <w:tcW w:w="846" w:type="dxa"/>
          </w:tcPr>
          <w:p w:rsidR="00D96FD9" w:rsidRPr="00006A39" w:rsidRDefault="00D96FD9" w:rsidP="009F0AC1">
            <w:pPr>
              <w:widowControl w:val="0"/>
              <w:spacing w:line="276" w:lineRule="auto"/>
              <w:jc w:val="center"/>
              <w:rPr>
                <w:sz w:val="28"/>
                <w:szCs w:val="28"/>
                <w:lang w:val="uk-UA"/>
              </w:rPr>
            </w:pPr>
            <w:r w:rsidRPr="00006A39">
              <w:rPr>
                <w:sz w:val="28"/>
                <w:szCs w:val="28"/>
                <w:lang w:val="uk-UA"/>
              </w:rPr>
              <w:t>8,51</w:t>
            </w:r>
          </w:p>
        </w:tc>
        <w:tc>
          <w:tcPr>
            <w:tcW w:w="0" w:type="auto"/>
          </w:tcPr>
          <w:p w:rsidR="00D96FD9" w:rsidRPr="00006A39" w:rsidRDefault="00D96FD9" w:rsidP="009F0AC1">
            <w:pPr>
              <w:widowControl w:val="0"/>
              <w:spacing w:line="276" w:lineRule="auto"/>
              <w:jc w:val="center"/>
              <w:rPr>
                <w:sz w:val="28"/>
                <w:szCs w:val="28"/>
                <w:lang w:val="uk-UA"/>
              </w:rPr>
            </w:pPr>
            <w:r w:rsidRPr="00006A39">
              <w:rPr>
                <w:sz w:val="28"/>
                <w:szCs w:val="28"/>
                <w:lang w:val="uk-UA"/>
              </w:rPr>
              <w:t>8,8</w:t>
            </w:r>
          </w:p>
        </w:tc>
        <w:tc>
          <w:tcPr>
            <w:tcW w:w="0" w:type="auto"/>
          </w:tcPr>
          <w:p w:rsidR="00D96FD9" w:rsidRPr="00006A39" w:rsidRDefault="00D96FD9" w:rsidP="009F0AC1">
            <w:pPr>
              <w:widowControl w:val="0"/>
              <w:spacing w:line="276" w:lineRule="auto"/>
              <w:jc w:val="center"/>
              <w:rPr>
                <w:sz w:val="28"/>
                <w:szCs w:val="28"/>
                <w:lang w:val="uk-UA"/>
              </w:rPr>
            </w:pPr>
            <w:r w:rsidRPr="00006A39">
              <w:rPr>
                <w:sz w:val="28"/>
                <w:szCs w:val="28"/>
                <w:lang w:val="uk-UA"/>
              </w:rPr>
              <w:t>8,7</w:t>
            </w:r>
          </w:p>
        </w:tc>
        <w:tc>
          <w:tcPr>
            <w:tcW w:w="1078" w:type="dxa"/>
          </w:tcPr>
          <w:p w:rsidR="00D96FD9" w:rsidRPr="00006A39" w:rsidRDefault="00D96FD9" w:rsidP="009F0AC1">
            <w:pPr>
              <w:widowControl w:val="0"/>
              <w:spacing w:line="276" w:lineRule="auto"/>
              <w:jc w:val="center"/>
              <w:rPr>
                <w:sz w:val="28"/>
                <w:szCs w:val="28"/>
                <w:lang w:val="uk-UA"/>
              </w:rPr>
            </w:pPr>
            <w:r w:rsidRPr="00006A39">
              <w:rPr>
                <w:sz w:val="28"/>
                <w:szCs w:val="28"/>
                <w:lang w:val="uk-UA"/>
              </w:rPr>
              <w:t>7,9</w:t>
            </w:r>
          </w:p>
        </w:tc>
      </w:tr>
      <w:tr w:rsidR="00D96FD9" w:rsidRPr="00006A39" w:rsidTr="004414E5">
        <w:trPr>
          <w:jc w:val="center"/>
        </w:trPr>
        <w:tc>
          <w:tcPr>
            <w:tcW w:w="4305" w:type="dxa"/>
          </w:tcPr>
          <w:p w:rsidR="00D96FD9" w:rsidRPr="00006A39" w:rsidRDefault="00D96FD9" w:rsidP="009F0AC1">
            <w:pPr>
              <w:widowControl w:val="0"/>
              <w:spacing w:line="276" w:lineRule="auto"/>
              <w:rPr>
                <w:sz w:val="28"/>
                <w:szCs w:val="28"/>
                <w:lang w:val="uk-UA"/>
              </w:rPr>
            </w:pPr>
            <w:r w:rsidRPr="00006A39">
              <w:rPr>
                <w:sz w:val="28"/>
                <w:szCs w:val="28"/>
                <w:lang w:val="uk-UA"/>
              </w:rPr>
              <w:t>Міжквартильний інтервал</w:t>
            </w:r>
          </w:p>
        </w:tc>
        <w:tc>
          <w:tcPr>
            <w:tcW w:w="936" w:type="dxa"/>
          </w:tcPr>
          <w:p w:rsidR="00D96FD9" w:rsidRPr="00006A39" w:rsidRDefault="00D96FD9" w:rsidP="009F0AC1">
            <w:pPr>
              <w:widowControl w:val="0"/>
              <w:spacing w:line="276" w:lineRule="auto"/>
              <w:jc w:val="center"/>
              <w:rPr>
                <w:sz w:val="28"/>
                <w:szCs w:val="28"/>
                <w:lang w:val="uk-UA"/>
              </w:rPr>
            </w:pPr>
            <w:r w:rsidRPr="00006A39">
              <w:rPr>
                <w:sz w:val="28"/>
                <w:szCs w:val="28"/>
                <w:lang w:val="uk-UA"/>
              </w:rPr>
              <w:t>1,47</w:t>
            </w:r>
          </w:p>
        </w:tc>
        <w:tc>
          <w:tcPr>
            <w:tcW w:w="846" w:type="dxa"/>
          </w:tcPr>
          <w:p w:rsidR="00D96FD9" w:rsidRPr="00006A39" w:rsidRDefault="00D96FD9" w:rsidP="009F0AC1">
            <w:pPr>
              <w:widowControl w:val="0"/>
              <w:spacing w:line="276" w:lineRule="auto"/>
              <w:jc w:val="center"/>
              <w:rPr>
                <w:sz w:val="28"/>
                <w:szCs w:val="28"/>
                <w:lang w:val="uk-UA"/>
              </w:rPr>
            </w:pPr>
            <w:r w:rsidRPr="00006A39">
              <w:rPr>
                <w:sz w:val="28"/>
                <w:szCs w:val="28"/>
                <w:lang w:val="uk-UA"/>
              </w:rPr>
              <w:t>1,26</w:t>
            </w:r>
          </w:p>
        </w:tc>
        <w:tc>
          <w:tcPr>
            <w:tcW w:w="0" w:type="auto"/>
          </w:tcPr>
          <w:p w:rsidR="00D96FD9" w:rsidRPr="00006A39" w:rsidRDefault="00D96FD9" w:rsidP="009F0AC1">
            <w:pPr>
              <w:widowControl w:val="0"/>
              <w:spacing w:line="276" w:lineRule="auto"/>
              <w:jc w:val="center"/>
              <w:rPr>
                <w:sz w:val="28"/>
                <w:szCs w:val="28"/>
                <w:lang w:val="uk-UA"/>
              </w:rPr>
            </w:pPr>
            <w:r w:rsidRPr="00006A39">
              <w:rPr>
                <w:sz w:val="28"/>
                <w:szCs w:val="28"/>
                <w:lang w:val="uk-UA"/>
              </w:rPr>
              <w:t>2,2</w:t>
            </w:r>
          </w:p>
        </w:tc>
        <w:tc>
          <w:tcPr>
            <w:tcW w:w="0" w:type="auto"/>
          </w:tcPr>
          <w:p w:rsidR="00D96FD9" w:rsidRPr="00006A39" w:rsidRDefault="00D96FD9" w:rsidP="009F0AC1">
            <w:pPr>
              <w:widowControl w:val="0"/>
              <w:spacing w:line="276" w:lineRule="auto"/>
              <w:jc w:val="center"/>
              <w:rPr>
                <w:sz w:val="28"/>
                <w:szCs w:val="28"/>
                <w:lang w:val="uk-UA"/>
              </w:rPr>
            </w:pPr>
            <w:r w:rsidRPr="00006A39">
              <w:rPr>
                <w:sz w:val="28"/>
                <w:szCs w:val="28"/>
                <w:lang w:val="uk-UA"/>
              </w:rPr>
              <w:t>2,2</w:t>
            </w:r>
          </w:p>
        </w:tc>
        <w:tc>
          <w:tcPr>
            <w:tcW w:w="1078" w:type="dxa"/>
          </w:tcPr>
          <w:p w:rsidR="00D96FD9" w:rsidRPr="00006A39" w:rsidRDefault="00D96FD9" w:rsidP="009F0AC1">
            <w:pPr>
              <w:widowControl w:val="0"/>
              <w:spacing w:line="276" w:lineRule="auto"/>
              <w:jc w:val="center"/>
              <w:rPr>
                <w:sz w:val="28"/>
                <w:szCs w:val="28"/>
                <w:lang w:val="uk-UA"/>
              </w:rPr>
            </w:pPr>
            <w:r w:rsidRPr="00006A39">
              <w:rPr>
                <w:sz w:val="28"/>
                <w:szCs w:val="28"/>
                <w:lang w:val="uk-UA"/>
              </w:rPr>
              <w:t>1,7</w:t>
            </w:r>
          </w:p>
        </w:tc>
      </w:tr>
      <w:tr w:rsidR="00D96FD9" w:rsidRPr="00006A39" w:rsidTr="004414E5">
        <w:trPr>
          <w:jc w:val="center"/>
        </w:trPr>
        <w:tc>
          <w:tcPr>
            <w:tcW w:w="4305" w:type="dxa"/>
          </w:tcPr>
          <w:p w:rsidR="00D96FD9" w:rsidRPr="00006A39" w:rsidRDefault="00D96FD9" w:rsidP="009F0AC1">
            <w:pPr>
              <w:widowControl w:val="0"/>
              <w:spacing w:line="276" w:lineRule="auto"/>
              <w:rPr>
                <w:sz w:val="28"/>
                <w:szCs w:val="28"/>
                <w:lang w:val="uk-UA"/>
              </w:rPr>
            </w:pPr>
            <w:r w:rsidRPr="00006A39">
              <w:rPr>
                <w:sz w:val="28"/>
                <w:szCs w:val="28"/>
                <w:lang w:val="uk-UA"/>
              </w:rPr>
              <w:t>Вінницька область</w:t>
            </w:r>
          </w:p>
        </w:tc>
        <w:tc>
          <w:tcPr>
            <w:tcW w:w="936" w:type="dxa"/>
          </w:tcPr>
          <w:p w:rsidR="00D96FD9" w:rsidRPr="00006A39" w:rsidRDefault="00D96FD9" w:rsidP="009F0AC1">
            <w:pPr>
              <w:widowControl w:val="0"/>
              <w:spacing w:line="276" w:lineRule="auto"/>
              <w:jc w:val="center"/>
              <w:rPr>
                <w:sz w:val="28"/>
                <w:szCs w:val="28"/>
                <w:lang w:val="uk-UA"/>
              </w:rPr>
            </w:pPr>
            <w:r w:rsidRPr="00006A39">
              <w:rPr>
                <w:sz w:val="28"/>
                <w:szCs w:val="28"/>
                <w:lang w:val="uk-UA"/>
              </w:rPr>
              <w:t>6,50</w:t>
            </w:r>
          </w:p>
        </w:tc>
        <w:tc>
          <w:tcPr>
            <w:tcW w:w="846" w:type="dxa"/>
          </w:tcPr>
          <w:p w:rsidR="00D96FD9" w:rsidRPr="00006A39" w:rsidRDefault="00D96FD9" w:rsidP="009F0AC1">
            <w:pPr>
              <w:widowControl w:val="0"/>
              <w:spacing w:line="276" w:lineRule="auto"/>
              <w:jc w:val="center"/>
              <w:rPr>
                <w:sz w:val="28"/>
                <w:szCs w:val="28"/>
                <w:lang w:val="uk-UA"/>
              </w:rPr>
            </w:pPr>
            <w:r w:rsidRPr="00006A39">
              <w:rPr>
                <w:sz w:val="28"/>
                <w:szCs w:val="28"/>
                <w:lang w:val="uk-UA"/>
              </w:rPr>
              <w:t>7,21</w:t>
            </w:r>
          </w:p>
        </w:tc>
        <w:tc>
          <w:tcPr>
            <w:tcW w:w="0" w:type="auto"/>
          </w:tcPr>
          <w:p w:rsidR="00D96FD9" w:rsidRPr="00006A39" w:rsidRDefault="00D96FD9" w:rsidP="009F0AC1">
            <w:pPr>
              <w:widowControl w:val="0"/>
              <w:spacing w:line="276" w:lineRule="auto"/>
              <w:jc w:val="center"/>
              <w:rPr>
                <w:sz w:val="28"/>
                <w:szCs w:val="28"/>
                <w:lang w:val="uk-UA"/>
              </w:rPr>
            </w:pPr>
            <w:r w:rsidRPr="00006A39">
              <w:rPr>
                <w:sz w:val="28"/>
                <w:szCs w:val="28"/>
                <w:lang w:val="uk-UA"/>
              </w:rPr>
              <w:t>6,6</w:t>
            </w:r>
          </w:p>
        </w:tc>
        <w:tc>
          <w:tcPr>
            <w:tcW w:w="0" w:type="auto"/>
          </w:tcPr>
          <w:p w:rsidR="00D96FD9" w:rsidRPr="00006A39" w:rsidRDefault="00D96FD9" w:rsidP="009F0AC1">
            <w:pPr>
              <w:widowControl w:val="0"/>
              <w:spacing w:line="276" w:lineRule="auto"/>
              <w:jc w:val="center"/>
              <w:rPr>
                <w:sz w:val="28"/>
                <w:szCs w:val="28"/>
                <w:lang w:val="uk-UA"/>
              </w:rPr>
            </w:pPr>
            <w:r w:rsidRPr="00006A39">
              <w:rPr>
                <w:sz w:val="28"/>
                <w:szCs w:val="28"/>
                <w:lang w:val="uk-UA"/>
              </w:rPr>
              <w:t>7,2</w:t>
            </w:r>
          </w:p>
        </w:tc>
        <w:tc>
          <w:tcPr>
            <w:tcW w:w="1078" w:type="dxa"/>
          </w:tcPr>
          <w:p w:rsidR="00D96FD9" w:rsidRPr="00006A39" w:rsidRDefault="00D96FD9" w:rsidP="009F0AC1">
            <w:pPr>
              <w:widowControl w:val="0"/>
              <w:spacing w:line="276" w:lineRule="auto"/>
              <w:jc w:val="center"/>
              <w:rPr>
                <w:sz w:val="28"/>
                <w:szCs w:val="28"/>
                <w:lang w:val="uk-UA"/>
              </w:rPr>
            </w:pPr>
            <w:r w:rsidRPr="00006A39">
              <w:rPr>
                <w:sz w:val="28"/>
                <w:szCs w:val="28"/>
                <w:lang w:val="uk-UA"/>
              </w:rPr>
              <w:t>6,0</w:t>
            </w:r>
          </w:p>
        </w:tc>
      </w:tr>
      <w:tr w:rsidR="00D96FD9" w:rsidRPr="00006A39" w:rsidTr="004414E5">
        <w:trPr>
          <w:jc w:val="center"/>
        </w:trPr>
        <w:tc>
          <w:tcPr>
            <w:tcW w:w="4305" w:type="dxa"/>
          </w:tcPr>
          <w:p w:rsidR="00D96FD9" w:rsidRPr="00006A39" w:rsidRDefault="00D96FD9" w:rsidP="009F0AC1">
            <w:pPr>
              <w:widowControl w:val="0"/>
              <w:spacing w:line="276" w:lineRule="auto"/>
              <w:rPr>
                <w:sz w:val="28"/>
                <w:szCs w:val="28"/>
                <w:lang w:val="uk-UA"/>
              </w:rPr>
            </w:pPr>
            <w:r w:rsidRPr="00006A39">
              <w:rPr>
                <w:sz w:val="28"/>
                <w:szCs w:val="28"/>
                <w:lang w:val="uk-UA"/>
              </w:rPr>
              <w:t>Волинська область</w:t>
            </w:r>
          </w:p>
        </w:tc>
        <w:tc>
          <w:tcPr>
            <w:tcW w:w="936" w:type="dxa"/>
          </w:tcPr>
          <w:p w:rsidR="00D96FD9" w:rsidRPr="00006A39" w:rsidRDefault="00D96FD9" w:rsidP="009F0AC1">
            <w:pPr>
              <w:widowControl w:val="0"/>
              <w:spacing w:line="276" w:lineRule="auto"/>
              <w:jc w:val="center"/>
              <w:rPr>
                <w:sz w:val="28"/>
                <w:szCs w:val="28"/>
                <w:lang w:val="uk-UA"/>
              </w:rPr>
            </w:pPr>
            <w:r w:rsidRPr="00006A39">
              <w:rPr>
                <w:sz w:val="28"/>
                <w:szCs w:val="28"/>
                <w:lang w:val="uk-UA"/>
              </w:rPr>
              <w:t>5,99</w:t>
            </w:r>
          </w:p>
        </w:tc>
        <w:tc>
          <w:tcPr>
            <w:tcW w:w="846" w:type="dxa"/>
          </w:tcPr>
          <w:p w:rsidR="00D96FD9" w:rsidRPr="00006A39" w:rsidRDefault="00D96FD9" w:rsidP="009F0AC1">
            <w:pPr>
              <w:widowControl w:val="0"/>
              <w:spacing w:line="276" w:lineRule="auto"/>
              <w:jc w:val="center"/>
              <w:rPr>
                <w:sz w:val="28"/>
                <w:szCs w:val="28"/>
                <w:lang w:val="uk-UA"/>
              </w:rPr>
            </w:pPr>
            <w:r w:rsidRPr="00006A39">
              <w:rPr>
                <w:sz w:val="28"/>
                <w:szCs w:val="28"/>
                <w:lang w:val="uk-UA"/>
              </w:rPr>
              <w:t>6,35</w:t>
            </w:r>
          </w:p>
        </w:tc>
        <w:tc>
          <w:tcPr>
            <w:tcW w:w="0" w:type="auto"/>
          </w:tcPr>
          <w:p w:rsidR="00D96FD9" w:rsidRPr="00006A39" w:rsidRDefault="00D96FD9" w:rsidP="009F0AC1">
            <w:pPr>
              <w:widowControl w:val="0"/>
              <w:spacing w:line="276" w:lineRule="auto"/>
              <w:jc w:val="center"/>
              <w:rPr>
                <w:sz w:val="28"/>
                <w:szCs w:val="28"/>
                <w:lang w:val="uk-UA"/>
              </w:rPr>
            </w:pPr>
            <w:r w:rsidRPr="00006A39">
              <w:rPr>
                <w:sz w:val="28"/>
                <w:szCs w:val="28"/>
                <w:lang w:val="uk-UA"/>
              </w:rPr>
              <w:t>7,0</w:t>
            </w:r>
          </w:p>
        </w:tc>
        <w:tc>
          <w:tcPr>
            <w:tcW w:w="0" w:type="auto"/>
          </w:tcPr>
          <w:p w:rsidR="00D96FD9" w:rsidRPr="00006A39" w:rsidRDefault="00D96FD9" w:rsidP="009F0AC1">
            <w:pPr>
              <w:widowControl w:val="0"/>
              <w:spacing w:line="276" w:lineRule="auto"/>
              <w:jc w:val="center"/>
              <w:rPr>
                <w:sz w:val="28"/>
                <w:szCs w:val="28"/>
                <w:lang w:val="uk-UA"/>
              </w:rPr>
            </w:pPr>
            <w:r w:rsidRPr="00006A39">
              <w:rPr>
                <w:sz w:val="28"/>
                <w:szCs w:val="28"/>
                <w:lang w:val="uk-UA"/>
              </w:rPr>
              <w:t>6,2</w:t>
            </w:r>
          </w:p>
        </w:tc>
        <w:tc>
          <w:tcPr>
            <w:tcW w:w="1078" w:type="dxa"/>
          </w:tcPr>
          <w:p w:rsidR="00D96FD9" w:rsidRPr="00006A39" w:rsidRDefault="00D96FD9" w:rsidP="009F0AC1">
            <w:pPr>
              <w:widowControl w:val="0"/>
              <w:spacing w:line="276" w:lineRule="auto"/>
              <w:jc w:val="center"/>
              <w:rPr>
                <w:sz w:val="28"/>
                <w:szCs w:val="28"/>
                <w:lang w:val="uk-UA"/>
              </w:rPr>
            </w:pPr>
            <w:r w:rsidRPr="00006A39">
              <w:rPr>
                <w:sz w:val="28"/>
                <w:szCs w:val="28"/>
                <w:lang w:val="uk-UA"/>
              </w:rPr>
              <w:t>7,6</w:t>
            </w:r>
          </w:p>
        </w:tc>
      </w:tr>
      <w:tr w:rsidR="00D96FD9" w:rsidRPr="00006A39" w:rsidTr="004414E5">
        <w:trPr>
          <w:jc w:val="center"/>
        </w:trPr>
        <w:tc>
          <w:tcPr>
            <w:tcW w:w="4305" w:type="dxa"/>
          </w:tcPr>
          <w:p w:rsidR="00D96FD9" w:rsidRPr="00006A39" w:rsidRDefault="00D96FD9" w:rsidP="009F0AC1">
            <w:pPr>
              <w:widowControl w:val="0"/>
              <w:spacing w:line="276" w:lineRule="auto"/>
              <w:rPr>
                <w:sz w:val="28"/>
                <w:szCs w:val="28"/>
                <w:lang w:val="uk-UA"/>
              </w:rPr>
            </w:pPr>
            <w:r w:rsidRPr="00006A39">
              <w:rPr>
                <w:sz w:val="28"/>
                <w:szCs w:val="28"/>
                <w:lang w:val="uk-UA"/>
              </w:rPr>
              <w:t>Дніпропетровська область</w:t>
            </w:r>
          </w:p>
        </w:tc>
        <w:tc>
          <w:tcPr>
            <w:tcW w:w="936" w:type="dxa"/>
          </w:tcPr>
          <w:p w:rsidR="00D96FD9" w:rsidRPr="00006A39" w:rsidRDefault="00D96FD9" w:rsidP="009F0AC1">
            <w:pPr>
              <w:widowControl w:val="0"/>
              <w:spacing w:line="276" w:lineRule="auto"/>
              <w:jc w:val="center"/>
              <w:rPr>
                <w:sz w:val="28"/>
                <w:szCs w:val="28"/>
                <w:lang w:val="uk-UA"/>
              </w:rPr>
            </w:pPr>
            <w:r w:rsidRPr="00006A39">
              <w:rPr>
                <w:sz w:val="28"/>
                <w:szCs w:val="28"/>
                <w:lang w:val="uk-UA"/>
              </w:rPr>
              <w:t>7,74</w:t>
            </w:r>
          </w:p>
        </w:tc>
        <w:tc>
          <w:tcPr>
            <w:tcW w:w="846" w:type="dxa"/>
          </w:tcPr>
          <w:p w:rsidR="00D96FD9" w:rsidRPr="00006A39" w:rsidRDefault="00D96FD9" w:rsidP="009F0AC1">
            <w:pPr>
              <w:widowControl w:val="0"/>
              <w:spacing w:line="276" w:lineRule="auto"/>
              <w:jc w:val="center"/>
              <w:rPr>
                <w:sz w:val="28"/>
                <w:szCs w:val="28"/>
                <w:lang w:val="uk-UA"/>
              </w:rPr>
            </w:pPr>
            <w:r w:rsidRPr="00006A39">
              <w:rPr>
                <w:sz w:val="28"/>
                <w:szCs w:val="28"/>
                <w:lang w:val="uk-UA"/>
              </w:rPr>
              <w:t>8,49</w:t>
            </w:r>
          </w:p>
        </w:tc>
        <w:tc>
          <w:tcPr>
            <w:tcW w:w="0" w:type="auto"/>
          </w:tcPr>
          <w:p w:rsidR="00D96FD9" w:rsidRPr="00006A39" w:rsidRDefault="00D96FD9" w:rsidP="009F0AC1">
            <w:pPr>
              <w:widowControl w:val="0"/>
              <w:spacing w:line="276" w:lineRule="auto"/>
              <w:jc w:val="center"/>
              <w:rPr>
                <w:sz w:val="28"/>
                <w:szCs w:val="28"/>
                <w:lang w:val="uk-UA"/>
              </w:rPr>
            </w:pPr>
            <w:r w:rsidRPr="00006A39">
              <w:rPr>
                <w:sz w:val="28"/>
                <w:szCs w:val="28"/>
                <w:lang w:val="uk-UA"/>
              </w:rPr>
              <w:t>8,0</w:t>
            </w:r>
          </w:p>
        </w:tc>
        <w:tc>
          <w:tcPr>
            <w:tcW w:w="0" w:type="auto"/>
          </w:tcPr>
          <w:p w:rsidR="00D96FD9" w:rsidRPr="00006A39" w:rsidRDefault="00D96FD9" w:rsidP="009F0AC1">
            <w:pPr>
              <w:widowControl w:val="0"/>
              <w:spacing w:line="276" w:lineRule="auto"/>
              <w:jc w:val="center"/>
              <w:rPr>
                <w:sz w:val="28"/>
                <w:szCs w:val="28"/>
                <w:lang w:val="uk-UA"/>
              </w:rPr>
            </w:pPr>
            <w:r w:rsidRPr="00006A39">
              <w:rPr>
                <w:sz w:val="28"/>
                <w:szCs w:val="28"/>
                <w:lang w:val="uk-UA"/>
              </w:rPr>
              <w:t>7,5</w:t>
            </w:r>
          </w:p>
        </w:tc>
        <w:tc>
          <w:tcPr>
            <w:tcW w:w="1078" w:type="dxa"/>
          </w:tcPr>
          <w:p w:rsidR="00D96FD9" w:rsidRPr="00006A39" w:rsidRDefault="00D96FD9" w:rsidP="009F0AC1">
            <w:pPr>
              <w:widowControl w:val="0"/>
              <w:spacing w:line="276" w:lineRule="auto"/>
              <w:jc w:val="center"/>
              <w:rPr>
                <w:sz w:val="28"/>
                <w:szCs w:val="28"/>
                <w:lang w:val="uk-UA"/>
              </w:rPr>
            </w:pPr>
            <w:r w:rsidRPr="00006A39">
              <w:rPr>
                <w:sz w:val="28"/>
                <w:szCs w:val="28"/>
                <w:lang w:val="uk-UA"/>
              </w:rPr>
              <w:t>9,0</w:t>
            </w:r>
          </w:p>
        </w:tc>
      </w:tr>
      <w:tr w:rsidR="00D96FD9" w:rsidRPr="00006A39" w:rsidTr="004414E5">
        <w:trPr>
          <w:jc w:val="center"/>
        </w:trPr>
        <w:tc>
          <w:tcPr>
            <w:tcW w:w="4305" w:type="dxa"/>
          </w:tcPr>
          <w:p w:rsidR="00D96FD9" w:rsidRPr="00006A39" w:rsidRDefault="00D96FD9" w:rsidP="009F0AC1">
            <w:pPr>
              <w:widowControl w:val="0"/>
              <w:spacing w:line="276" w:lineRule="auto"/>
              <w:rPr>
                <w:sz w:val="28"/>
                <w:szCs w:val="28"/>
                <w:lang w:val="uk-UA"/>
              </w:rPr>
            </w:pPr>
            <w:r w:rsidRPr="00006A39">
              <w:rPr>
                <w:sz w:val="28"/>
                <w:szCs w:val="28"/>
                <w:lang w:val="uk-UA"/>
              </w:rPr>
              <w:t>Донецька область</w:t>
            </w:r>
            <w:r w:rsidRPr="00006A39">
              <w:rPr>
                <w:sz w:val="28"/>
                <w:szCs w:val="28"/>
                <w:vertAlign w:val="superscript"/>
                <w:lang w:val="uk-UA"/>
              </w:rPr>
              <w:t>1</w:t>
            </w:r>
          </w:p>
        </w:tc>
        <w:tc>
          <w:tcPr>
            <w:tcW w:w="936" w:type="dxa"/>
          </w:tcPr>
          <w:p w:rsidR="00D96FD9" w:rsidRPr="00006A39" w:rsidRDefault="00D96FD9" w:rsidP="009F0AC1">
            <w:pPr>
              <w:widowControl w:val="0"/>
              <w:spacing w:line="276" w:lineRule="auto"/>
              <w:jc w:val="center"/>
              <w:rPr>
                <w:sz w:val="28"/>
                <w:szCs w:val="28"/>
                <w:lang w:val="uk-UA"/>
              </w:rPr>
            </w:pPr>
            <w:r w:rsidRPr="00006A39">
              <w:rPr>
                <w:sz w:val="28"/>
                <w:szCs w:val="28"/>
                <w:lang w:val="uk-UA"/>
              </w:rPr>
              <w:t>10,01</w:t>
            </w:r>
          </w:p>
        </w:tc>
        <w:tc>
          <w:tcPr>
            <w:tcW w:w="846" w:type="dxa"/>
          </w:tcPr>
          <w:p w:rsidR="00D96FD9" w:rsidRPr="00006A39" w:rsidRDefault="00D96FD9" w:rsidP="009F0AC1">
            <w:pPr>
              <w:widowControl w:val="0"/>
              <w:spacing w:line="276" w:lineRule="auto"/>
              <w:jc w:val="center"/>
              <w:rPr>
                <w:sz w:val="28"/>
                <w:szCs w:val="28"/>
                <w:lang w:val="uk-UA"/>
              </w:rPr>
            </w:pPr>
            <w:r w:rsidRPr="00006A39">
              <w:rPr>
                <w:sz w:val="28"/>
                <w:szCs w:val="28"/>
                <w:lang w:val="uk-UA"/>
              </w:rPr>
              <w:t>8,73</w:t>
            </w:r>
            <w:r w:rsidRPr="00006A39">
              <w:rPr>
                <w:sz w:val="28"/>
                <w:szCs w:val="28"/>
                <w:vertAlign w:val="superscript"/>
                <w:lang w:val="uk-UA"/>
              </w:rPr>
              <w:t>1</w:t>
            </w:r>
          </w:p>
        </w:tc>
        <w:tc>
          <w:tcPr>
            <w:tcW w:w="0" w:type="auto"/>
          </w:tcPr>
          <w:p w:rsidR="00D96FD9" w:rsidRPr="00006A39" w:rsidRDefault="00D96FD9" w:rsidP="009F0AC1">
            <w:pPr>
              <w:widowControl w:val="0"/>
              <w:spacing w:line="276" w:lineRule="auto"/>
              <w:jc w:val="center"/>
              <w:rPr>
                <w:sz w:val="28"/>
                <w:szCs w:val="28"/>
                <w:lang w:val="uk-UA"/>
              </w:rPr>
            </w:pPr>
            <w:r w:rsidRPr="00006A39">
              <w:rPr>
                <w:sz w:val="28"/>
                <w:szCs w:val="28"/>
                <w:lang w:val="uk-UA"/>
              </w:rPr>
              <w:t>8,8</w:t>
            </w:r>
            <w:r w:rsidRPr="00006A39">
              <w:rPr>
                <w:sz w:val="28"/>
                <w:szCs w:val="28"/>
                <w:vertAlign w:val="superscript"/>
                <w:lang w:val="uk-UA"/>
              </w:rPr>
              <w:t>1</w:t>
            </w:r>
          </w:p>
        </w:tc>
        <w:tc>
          <w:tcPr>
            <w:tcW w:w="0" w:type="auto"/>
          </w:tcPr>
          <w:p w:rsidR="00D96FD9" w:rsidRPr="00006A39" w:rsidRDefault="00D96FD9" w:rsidP="009F0AC1">
            <w:pPr>
              <w:widowControl w:val="0"/>
              <w:spacing w:line="276" w:lineRule="auto"/>
              <w:jc w:val="center"/>
              <w:rPr>
                <w:sz w:val="28"/>
                <w:szCs w:val="28"/>
                <w:lang w:val="uk-UA"/>
              </w:rPr>
            </w:pPr>
            <w:r w:rsidRPr="00006A39">
              <w:rPr>
                <w:sz w:val="28"/>
                <w:szCs w:val="28"/>
                <w:lang w:val="uk-UA"/>
              </w:rPr>
              <w:t>8,2</w:t>
            </w:r>
            <w:r w:rsidRPr="00006A39">
              <w:rPr>
                <w:sz w:val="28"/>
                <w:szCs w:val="28"/>
                <w:vertAlign w:val="superscript"/>
                <w:lang w:val="uk-UA"/>
              </w:rPr>
              <w:t>1</w:t>
            </w:r>
          </w:p>
        </w:tc>
        <w:tc>
          <w:tcPr>
            <w:tcW w:w="1078" w:type="dxa"/>
          </w:tcPr>
          <w:p w:rsidR="00D96FD9" w:rsidRPr="00006A39" w:rsidRDefault="00D96FD9" w:rsidP="009F0AC1">
            <w:pPr>
              <w:widowControl w:val="0"/>
              <w:spacing w:line="276" w:lineRule="auto"/>
              <w:jc w:val="center"/>
              <w:rPr>
                <w:sz w:val="28"/>
                <w:szCs w:val="28"/>
                <w:lang w:val="uk-UA"/>
              </w:rPr>
            </w:pPr>
            <w:r w:rsidRPr="00006A39">
              <w:rPr>
                <w:sz w:val="28"/>
                <w:szCs w:val="28"/>
                <w:lang w:val="uk-UA"/>
              </w:rPr>
              <w:t>7,2</w:t>
            </w:r>
            <w:r w:rsidRPr="00006A39">
              <w:rPr>
                <w:sz w:val="28"/>
                <w:szCs w:val="28"/>
                <w:vertAlign w:val="superscript"/>
                <w:lang w:val="uk-UA"/>
              </w:rPr>
              <w:t>1</w:t>
            </w:r>
          </w:p>
        </w:tc>
      </w:tr>
      <w:tr w:rsidR="00D96FD9" w:rsidRPr="00006A39" w:rsidTr="004414E5">
        <w:trPr>
          <w:jc w:val="center"/>
        </w:trPr>
        <w:tc>
          <w:tcPr>
            <w:tcW w:w="4305" w:type="dxa"/>
          </w:tcPr>
          <w:p w:rsidR="00D96FD9" w:rsidRPr="00006A39" w:rsidRDefault="00D96FD9" w:rsidP="009F0AC1">
            <w:pPr>
              <w:widowControl w:val="0"/>
              <w:spacing w:line="276" w:lineRule="auto"/>
              <w:rPr>
                <w:sz w:val="28"/>
                <w:szCs w:val="28"/>
                <w:lang w:val="uk-UA"/>
              </w:rPr>
            </w:pPr>
            <w:r w:rsidRPr="00006A39">
              <w:rPr>
                <w:sz w:val="28"/>
                <w:szCs w:val="28"/>
                <w:lang w:val="uk-UA"/>
              </w:rPr>
              <w:t>Житомирська область</w:t>
            </w:r>
          </w:p>
        </w:tc>
        <w:tc>
          <w:tcPr>
            <w:tcW w:w="936" w:type="dxa"/>
          </w:tcPr>
          <w:p w:rsidR="00D96FD9" w:rsidRPr="00006A39" w:rsidRDefault="00D96FD9" w:rsidP="009F0AC1">
            <w:pPr>
              <w:widowControl w:val="0"/>
              <w:spacing w:line="276" w:lineRule="auto"/>
              <w:jc w:val="center"/>
              <w:rPr>
                <w:sz w:val="28"/>
                <w:szCs w:val="28"/>
                <w:lang w:val="uk-UA"/>
              </w:rPr>
            </w:pPr>
            <w:r w:rsidRPr="00006A39">
              <w:rPr>
                <w:sz w:val="28"/>
                <w:szCs w:val="28"/>
                <w:lang w:val="uk-UA"/>
              </w:rPr>
              <w:t>7,42</w:t>
            </w:r>
          </w:p>
        </w:tc>
        <w:tc>
          <w:tcPr>
            <w:tcW w:w="846" w:type="dxa"/>
          </w:tcPr>
          <w:p w:rsidR="00D96FD9" w:rsidRPr="00006A39" w:rsidRDefault="00D96FD9" w:rsidP="009F0AC1">
            <w:pPr>
              <w:widowControl w:val="0"/>
              <w:spacing w:line="276" w:lineRule="auto"/>
              <w:jc w:val="center"/>
              <w:rPr>
                <w:sz w:val="28"/>
                <w:szCs w:val="28"/>
                <w:lang w:val="uk-UA"/>
              </w:rPr>
            </w:pPr>
            <w:r w:rsidRPr="00006A39">
              <w:rPr>
                <w:sz w:val="28"/>
                <w:szCs w:val="28"/>
                <w:lang w:val="uk-UA"/>
              </w:rPr>
              <w:t>7,28</w:t>
            </w:r>
          </w:p>
        </w:tc>
        <w:tc>
          <w:tcPr>
            <w:tcW w:w="0" w:type="auto"/>
          </w:tcPr>
          <w:p w:rsidR="00D96FD9" w:rsidRPr="00006A39" w:rsidRDefault="00D96FD9" w:rsidP="009F0AC1">
            <w:pPr>
              <w:widowControl w:val="0"/>
              <w:spacing w:line="276" w:lineRule="auto"/>
              <w:jc w:val="center"/>
              <w:rPr>
                <w:sz w:val="28"/>
                <w:szCs w:val="28"/>
                <w:lang w:val="uk-UA"/>
              </w:rPr>
            </w:pPr>
            <w:r w:rsidRPr="00006A39">
              <w:rPr>
                <w:sz w:val="28"/>
                <w:szCs w:val="28"/>
                <w:lang w:val="uk-UA"/>
              </w:rPr>
              <w:t>7,9</w:t>
            </w:r>
          </w:p>
        </w:tc>
        <w:tc>
          <w:tcPr>
            <w:tcW w:w="0" w:type="auto"/>
          </w:tcPr>
          <w:p w:rsidR="00D96FD9" w:rsidRPr="00006A39" w:rsidRDefault="00D96FD9" w:rsidP="009F0AC1">
            <w:pPr>
              <w:widowControl w:val="0"/>
              <w:spacing w:line="276" w:lineRule="auto"/>
              <w:jc w:val="center"/>
              <w:rPr>
                <w:sz w:val="28"/>
                <w:szCs w:val="28"/>
                <w:lang w:val="uk-UA"/>
              </w:rPr>
            </w:pPr>
            <w:r w:rsidRPr="00006A39">
              <w:rPr>
                <w:sz w:val="28"/>
                <w:szCs w:val="28"/>
                <w:lang w:val="uk-UA"/>
              </w:rPr>
              <w:t>6,8</w:t>
            </w:r>
          </w:p>
        </w:tc>
        <w:tc>
          <w:tcPr>
            <w:tcW w:w="1078" w:type="dxa"/>
          </w:tcPr>
          <w:p w:rsidR="00D96FD9" w:rsidRPr="00006A39" w:rsidRDefault="00D96FD9" w:rsidP="009F0AC1">
            <w:pPr>
              <w:widowControl w:val="0"/>
              <w:spacing w:line="276" w:lineRule="auto"/>
              <w:jc w:val="center"/>
              <w:rPr>
                <w:sz w:val="28"/>
                <w:szCs w:val="28"/>
                <w:lang w:val="uk-UA"/>
              </w:rPr>
            </w:pPr>
            <w:r w:rsidRPr="00006A39">
              <w:rPr>
                <w:sz w:val="28"/>
                <w:szCs w:val="28"/>
                <w:lang w:val="uk-UA"/>
              </w:rPr>
              <w:t>6,9</w:t>
            </w:r>
          </w:p>
        </w:tc>
      </w:tr>
      <w:tr w:rsidR="00D96FD9" w:rsidRPr="00006A39" w:rsidTr="004414E5">
        <w:trPr>
          <w:jc w:val="center"/>
        </w:trPr>
        <w:tc>
          <w:tcPr>
            <w:tcW w:w="4305" w:type="dxa"/>
          </w:tcPr>
          <w:p w:rsidR="00D96FD9" w:rsidRPr="00006A39" w:rsidRDefault="00D96FD9" w:rsidP="009F0AC1">
            <w:pPr>
              <w:widowControl w:val="0"/>
              <w:spacing w:line="276" w:lineRule="auto"/>
              <w:rPr>
                <w:sz w:val="28"/>
                <w:szCs w:val="28"/>
                <w:lang w:val="uk-UA"/>
              </w:rPr>
            </w:pPr>
            <w:r w:rsidRPr="00006A39">
              <w:rPr>
                <w:sz w:val="28"/>
                <w:szCs w:val="28"/>
                <w:lang w:val="uk-UA"/>
              </w:rPr>
              <w:t>Закарпатська область</w:t>
            </w:r>
          </w:p>
        </w:tc>
        <w:tc>
          <w:tcPr>
            <w:tcW w:w="936" w:type="dxa"/>
          </w:tcPr>
          <w:p w:rsidR="00D96FD9" w:rsidRPr="00006A39" w:rsidRDefault="00D96FD9" w:rsidP="009F0AC1">
            <w:pPr>
              <w:widowControl w:val="0"/>
              <w:spacing w:line="276" w:lineRule="auto"/>
              <w:jc w:val="center"/>
              <w:rPr>
                <w:sz w:val="28"/>
                <w:szCs w:val="28"/>
                <w:lang w:val="uk-UA"/>
              </w:rPr>
            </w:pPr>
            <w:r w:rsidRPr="00006A39">
              <w:rPr>
                <w:sz w:val="28"/>
                <w:szCs w:val="28"/>
                <w:lang w:val="uk-UA"/>
              </w:rPr>
              <w:t>8,97</w:t>
            </w:r>
          </w:p>
        </w:tc>
        <w:tc>
          <w:tcPr>
            <w:tcW w:w="846" w:type="dxa"/>
          </w:tcPr>
          <w:p w:rsidR="00D96FD9" w:rsidRPr="00006A39" w:rsidRDefault="00D96FD9" w:rsidP="009F0AC1">
            <w:pPr>
              <w:widowControl w:val="0"/>
              <w:spacing w:line="276" w:lineRule="auto"/>
              <w:jc w:val="center"/>
              <w:rPr>
                <w:sz w:val="28"/>
                <w:szCs w:val="28"/>
                <w:lang w:val="uk-UA"/>
              </w:rPr>
            </w:pPr>
            <w:r w:rsidRPr="00006A39">
              <w:rPr>
                <w:sz w:val="28"/>
                <w:szCs w:val="28"/>
                <w:lang w:val="uk-UA"/>
              </w:rPr>
              <w:t>10,53</w:t>
            </w:r>
          </w:p>
        </w:tc>
        <w:tc>
          <w:tcPr>
            <w:tcW w:w="0" w:type="auto"/>
          </w:tcPr>
          <w:p w:rsidR="00D96FD9" w:rsidRPr="00006A39" w:rsidRDefault="00D96FD9" w:rsidP="009F0AC1">
            <w:pPr>
              <w:widowControl w:val="0"/>
              <w:spacing w:line="276" w:lineRule="auto"/>
              <w:jc w:val="center"/>
              <w:rPr>
                <w:sz w:val="28"/>
                <w:szCs w:val="28"/>
                <w:lang w:val="uk-UA"/>
              </w:rPr>
            </w:pPr>
            <w:r w:rsidRPr="00006A39">
              <w:rPr>
                <w:sz w:val="28"/>
                <w:szCs w:val="28"/>
                <w:lang w:val="uk-UA"/>
              </w:rPr>
              <w:t>10,4</w:t>
            </w:r>
          </w:p>
        </w:tc>
        <w:tc>
          <w:tcPr>
            <w:tcW w:w="0" w:type="auto"/>
          </w:tcPr>
          <w:p w:rsidR="00D96FD9" w:rsidRPr="00006A39" w:rsidRDefault="00D96FD9" w:rsidP="009F0AC1">
            <w:pPr>
              <w:widowControl w:val="0"/>
              <w:spacing w:line="276" w:lineRule="auto"/>
              <w:jc w:val="center"/>
              <w:rPr>
                <w:sz w:val="28"/>
                <w:szCs w:val="28"/>
                <w:lang w:val="uk-UA"/>
              </w:rPr>
            </w:pPr>
            <w:r w:rsidRPr="00006A39">
              <w:rPr>
                <w:sz w:val="28"/>
                <w:szCs w:val="28"/>
                <w:lang w:val="uk-UA"/>
              </w:rPr>
              <w:t>11,1</w:t>
            </w:r>
          </w:p>
        </w:tc>
        <w:tc>
          <w:tcPr>
            <w:tcW w:w="1078" w:type="dxa"/>
          </w:tcPr>
          <w:p w:rsidR="00D96FD9" w:rsidRPr="00006A39" w:rsidRDefault="00D96FD9" w:rsidP="009F0AC1">
            <w:pPr>
              <w:widowControl w:val="0"/>
              <w:spacing w:line="276" w:lineRule="auto"/>
              <w:jc w:val="center"/>
              <w:rPr>
                <w:sz w:val="28"/>
                <w:szCs w:val="28"/>
                <w:lang w:val="uk-UA"/>
              </w:rPr>
            </w:pPr>
            <w:r w:rsidRPr="00006A39">
              <w:rPr>
                <w:sz w:val="28"/>
                <w:szCs w:val="28"/>
                <w:lang w:val="uk-UA"/>
              </w:rPr>
              <w:t>10,4</w:t>
            </w:r>
          </w:p>
        </w:tc>
      </w:tr>
      <w:tr w:rsidR="00D96FD9" w:rsidRPr="00006A39" w:rsidTr="004414E5">
        <w:trPr>
          <w:jc w:val="center"/>
        </w:trPr>
        <w:tc>
          <w:tcPr>
            <w:tcW w:w="4305" w:type="dxa"/>
          </w:tcPr>
          <w:p w:rsidR="00D96FD9" w:rsidRPr="00006A39" w:rsidRDefault="00D96FD9" w:rsidP="009F0AC1">
            <w:pPr>
              <w:widowControl w:val="0"/>
              <w:spacing w:line="276" w:lineRule="auto"/>
              <w:rPr>
                <w:sz w:val="28"/>
                <w:szCs w:val="28"/>
                <w:lang w:val="uk-UA"/>
              </w:rPr>
            </w:pPr>
            <w:r w:rsidRPr="00006A39">
              <w:rPr>
                <w:sz w:val="28"/>
                <w:szCs w:val="28"/>
                <w:lang w:val="uk-UA"/>
              </w:rPr>
              <w:t>Запорізька область</w:t>
            </w:r>
          </w:p>
        </w:tc>
        <w:tc>
          <w:tcPr>
            <w:tcW w:w="936" w:type="dxa"/>
          </w:tcPr>
          <w:p w:rsidR="00D96FD9" w:rsidRPr="00006A39" w:rsidRDefault="00D96FD9" w:rsidP="009F0AC1">
            <w:pPr>
              <w:widowControl w:val="0"/>
              <w:spacing w:line="276" w:lineRule="auto"/>
              <w:jc w:val="center"/>
              <w:rPr>
                <w:sz w:val="28"/>
                <w:szCs w:val="28"/>
                <w:lang w:val="uk-UA"/>
              </w:rPr>
            </w:pPr>
            <w:r w:rsidRPr="00006A39">
              <w:rPr>
                <w:sz w:val="28"/>
                <w:szCs w:val="28"/>
                <w:lang w:val="uk-UA"/>
              </w:rPr>
              <w:t>6,60</w:t>
            </w:r>
          </w:p>
        </w:tc>
        <w:tc>
          <w:tcPr>
            <w:tcW w:w="846" w:type="dxa"/>
          </w:tcPr>
          <w:p w:rsidR="00D96FD9" w:rsidRPr="00006A39" w:rsidRDefault="00D96FD9" w:rsidP="009F0AC1">
            <w:pPr>
              <w:widowControl w:val="0"/>
              <w:spacing w:line="276" w:lineRule="auto"/>
              <w:jc w:val="center"/>
              <w:rPr>
                <w:sz w:val="28"/>
                <w:szCs w:val="28"/>
                <w:lang w:val="uk-UA"/>
              </w:rPr>
            </w:pPr>
            <w:r w:rsidRPr="00006A39">
              <w:rPr>
                <w:sz w:val="28"/>
                <w:szCs w:val="28"/>
                <w:lang w:val="uk-UA"/>
              </w:rPr>
              <w:t>7,77</w:t>
            </w:r>
          </w:p>
        </w:tc>
        <w:tc>
          <w:tcPr>
            <w:tcW w:w="0" w:type="auto"/>
          </w:tcPr>
          <w:p w:rsidR="00D96FD9" w:rsidRPr="00006A39" w:rsidRDefault="00D96FD9" w:rsidP="009F0AC1">
            <w:pPr>
              <w:widowControl w:val="0"/>
              <w:spacing w:line="276" w:lineRule="auto"/>
              <w:jc w:val="center"/>
              <w:rPr>
                <w:sz w:val="28"/>
                <w:szCs w:val="28"/>
                <w:lang w:val="uk-UA"/>
              </w:rPr>
            </w:pPr>
            <w:r w:rsidRPr="00006A39">
              <w:rPr>
                <w:sz w:val="28"/>
                <w:szCs w:val="28"/>
                <w:lang w:val="uk-UA"/>
              </w:rPr>
              <w:t>6,6</w:t>
            </w:r>
          </w:p>
        </w:tc>
        <w:tc>
          <w:tcPr>
            <w:tcW w:w="0" w:type="auto"/>
          </w:tcPr>
          <w:p w:rsidR="00D96FD9" w:rsidRPr="00006A39" w:rsidRDefault="00D96FD9" w:rsidP="009F0AC1">
            <w:pPr>
              <w:widowControl w:val="0"/>
              <w:spacing w:line="276" w:lineRule="auto"/>
              <w:jc w:val="center"/>
              <w:rPr>
                <w:sz w:val="28"/>
                <w:szCs w:val="28"/>
                <w:lang w:val="uk-UA"/>
              </w:rPr>
            </w:pPr>
            <w:r w:rsidRPr="00006A39">
              <w:rPr>
                <w:sz w:val="28"/>
                <w:szCs w:val="28"/>
                <w:lang w:val="uk-UA"/>
              </w:rPr>
              <w:t>6,5</w:t>
            </w:r>
          </w:p>
        </w:tc>
        <w:tc>
          <w:tcPr>
            <w:tcW w:w="1078" w:type="dxa"/>
          </w:tcPr>
          <w:p w:rsidR="00D96FD9" w:rsidRPr="00006A39" w:rsidRDefault="00D96FD9" w:rsidP="009F0AC1">
            <w:pPr>
              <w:widowControl w:val="0"/>
              <w:spacing w:line="276" w:lineRule="auto"/>
              <w:jc w:val="center"/>
              <w:rPr>
                <w:sz w:val="28"/>
                <w:szCs w:val="28"/>
                <w:lang w:val="uk-UA"/>
              </w:rPr>
            </w:pPr>
            <w:r w:rsidRPr="00006A39">
              <w:rPr>
                <w:sz w:val="28"/>
                <w:szCs w:val="28"/>
                <w:lang w:val="uk-UA"/>
              </w:rPr>
              <w:t>8,2</w:t>
            </w:r>
          </w:p>
        </w:tc>
      </w:tr>
      <w:tr w:rsidR="00D96FD9" w:rsidRPr="00006A39" w:rsidTr="004414E5">
        <w:trPr>
          <w:jc w:val="center"/>
        </w:trPr>
        <w:tc>
          <w:tcPr>
            <w:tcW w:w="4305" w:type="dxa"/>
          </w:tcPr>
          <w:p w:rsidR="00D96FD9" w:rsidRPr="00006A39" w:rsidRDefault="00D96FD9" w:rsidP="009F0AC1">
            <w:pPr>
              <w:widowControl w:val="0"/>
              <w:spacing w:line="276" w:lineRule="auto"/>
              <w:rPr>
                <w:sz w:val="28"/>
                <w:szCs w:val="28"/>
                <w:lang w:val="uk-UA"/>
              </w:rPr>
            </w:pPr>
            <w:r w:rsidRPr="00006A39">
              <w:rPr>
                <w:sz w:val="28"/>
                <w:szCs w:val="28"/>
                <w:lang w:val="uk-UA"/>
              </w:rPr>
              <w:t>Івано-Франківська область</w:t>
            </w:r>
          </w:p>
        </w:tc>
        <w:tc>
          <w:tcPr>
            <w:tcW w:w="936" w:type="dxa"/>
          </w:tcPr>
          <w:p w:rsidR="00D96FD9" w:rsidRPr="00006A39" w:rsidRDefault="00D96FD9" w:rsidP="009F0AC1">
            <w:pPr>
              <w:widowControl w:val="0"/>
              <w:spacing w:line="276" w:lineRule="auto"/>
              <w:jc w:val="center"/>
              <w:rPr>
                <w:sz w:val="28"/>
                <w:szCs w:val="28"/>
                <w:lang w:val="uk-UA"/>
              </w:rPr>
            </w:pPr>
            <w:r w:rsidRPr="00006A39">
              <w:rPr>
                <w:sz w:val="28"/>
                <w:szCs w:val="28"/>
                <w:lang w:val="uk-UA"/>
              </w:rPr>
              <w:t>6,35</w:t>
            </w:r>
          </w:p>
        </w:tc>
        <w:tc>
          <w:tcPr>
            <w:tcW w:w="846" w:type="dxa"/>
          </w:tcPr>
          <w:p w:rsidR="00D96FD9" w:rsidRPr="00006A39" w:rsidRDefault="00D96FD9" w:rsidP="009F0AC1">
            <w:pPr>
              <w:widowControl w:val="0"/>
              <w:spacing w:line="276" w:lineRule="auto"/>
              <w:jc w:val="center"/>
              <w:rPr>
                <w:sz w:val="28"/>
                <w:szCs w:val="28"/>
                <w:lang w:val="uk-UA"/>
              </w:rPr>
            </w:pPr>
            <w:r w:rsidRPr="00006A39">
              <w:rPr>
                <w:sz w:val="28"/>
                <w:szCs w:val="28"/>
                <w:lang w:val="uk-UA"/>
              </w:rPr>
              <w:t>6,84</w:t>
            </w:r>
          </w:p>
        </w:tc>
        <w:tc>
          <w:tcPr>
            <w:tcW w:w="0" w:type="auto"/>
          </w:tcPr>
          <w:p w:rsidR="00D96FD9" w:rsidRPr="00006A39" w:rsidRDefault="00D96FD9" w:rsidP="009F0AC1">
            <w:pPr>
              <w:widowControl w:val="0"/>
              <w:spacing w:line="276" w:lineRule="auto"/>
              <w:jc w:val="center"/>
              <w:rPr>
                <w:sz w:val="28"/>
                <w:szCs w:val="28"/>
                <w:lang w:val="uk-UA"/>
              </w:rPr>
            </w:pPr>
            <w:r w:rsidRPr="00006A39">
              <w:rPr>
                <w:sz w:val="28"/>
                <w:szCs w:val="28"/>
                <w:lang w:val="uk-UA"/>
              </w:rPr>
              <w:t>6,7</w:t>
            </w:r>
          </w:p>
        </w:tc>
        <w:tc>
          <w:tcPr>
            <w:tcW w:w="0" w:type="auto"/>
          </w:tcPr>
          <w:p w:rsidR="00D96FD9" w:rsidRPr="00006A39" w:rsidRDefault="00D96FD9" w:rsidP="009F0AC1">
            <w:pPr>
              <w:widowControl w:val="0"/>
              <w:spacing w:line="276" w:lineRule="auto"/>
              <w:jc w:val="center"/>
              <w:rPr>
                <w:sz w:val="28"/>
                <w:szCs w:val="28"/>
                <w:lang w:val="uk-UA"/>
              </w:rPr>
            </w:pPr>
            <w:r w:rsidRPr="00006A39">
              <w:rPr>
                <w:sz w:val="28"/>
                <w:szCs w:val="28"/>
                <w:lang w:val="uk-UA"/>
              </w:rPr>
              <w:t>6,6</w:t>
            </w:r>
          </w:p>
        </w:tc>
        <w:tc>
          <w:tcPr>
            <w:tcW w:w="1078" w:type="dxa"/>
          </w:tcPr>
          <w:p w:rsidR="00D96FD9" w:rsidRPr="00006A39" w:rsidRDefault="00D96FD9" w:rsidP="009F0AC1">
            <w:pPr>
              <w:widowControl w:val="0"/>
              <w:spacing w:line="276" w:lineRule="auto"/>
              <w:jc w:val="center"/>
              <w:rPr>
                <w:sz w:val="28"/>
                <w:szCs w:val="28"/>
                <w:lang w:val="uk-UA"/>
              </w:rPr>
            </w:pPr>
            <w:r w:rsidRPr="00006A39">
              <w:rPr>
                <w:sz w:val="28"/>
                <w:szCs w:val="28"/>
                <w:lang w:val="uk-UA"/>
              </w:rPr>
              <w:t>6,2</w:t>
            </w:r>
          </w:p>
        </w:tc>
      </w:tr>
      <w:tr w:rsidR="00D96FD9" w:rsidRPr="00006A39" w:rsidTr="004414E5">
        <w:trPr>
          <w:jc w:val="center"/>
        </w:trPr>
        <w:tc>
          <w:tcPr>
            <w:tcW w:w="4305" w:type="dxa"/>
          </w:tcPr>
          <w:p w:rsidR="00D96FD9" w:rsidRPr="00006A39" w:rsidRDefault="00D96FD9" w:rsidP="009F0AC1">
            <w:pPr>
              <w:widowControl w:val="0"/>
              <w:spacing w:line="276" w:lineRule="auto"/>
              <w:rPr>
                <w:sz w:val="28"/>
                <w:szCs w:val="28"/>
                <w:lang w:val="uk-UA"/>
              </w:rPr>
            </w:pPr>
            <w:r w:rsidRPr="00006A39">
              <w:rPr>
                <w:sz w:val="28"/>
                <w:szCs w:val="28"/>
                <w:lang w:val="uk-UA"/>
              </w:rPr>
              <w:t>Київська область</w:t>
            </w:r>
          </w:p>
        </w:tc>
        <w:tc>
          <w:tcPr>
            <w:tcW w:w="936" w:type="dxa"/>
          </w:tcPr>
          <w:p w:rsidR="00D96FD9" w:rsidRPr="00006A39" w:rsidRDefault="00D96FD9" w:rsidP="009F0AC1">
            <w:pPr>
              <w:widowControl w:val="0"/>
              <w:spacing w:line="276" w:lineRule="auto"/>
              <w:jc w:val="center"/>
              <w:rPr>
                <w:sz w:val="28"/>
                <w:szCs w:val="28"/>
                <w:lang w:val="uk-UA"/>
              </w:rPr>
            </w:pPr>
            <w:r w:rsidRPr="00006A39">
              <w:rPr>
                <w:sz w:val="28"/>
                <w:szCs w:val="28"/>
                <w:lang w:val="uk-UA"/>
              </w:rPr>
              <w:t>5,18</w:t>
            </w:r>
          </w:p>
        </w:tc>
        <w:tc>
          <w:tcPr>
            <w:tcW w:w="846" w:type="dxa"/>
          </w:tcPr>
          <w:p w:rsidR="00D96FD9" w:rsidRPr="00006A39" w:rsidRDefault="00D96FD9" w:rsidP="009F0AC1">
            <w:pPr>
              <w:widowControl w:val="0"/>
              <w:spacing w:line="276" w:lineRule="auto"/>
              <w:jc w:val="center"/>
              <w:rPr>
                <w:sz w:val="28"/>
                <w:szCs w:val="28"/>
                <w:lang w:val="uk-UA"/>
              </w:rPr>
            </w:pPr>
            <w:r w:rsidRPr="00006A39">
              <w:rPr>
                <w:sz w:val="28"/>
                <w:szCs w:val="28"/>
                <w:lang w:val="uk-UA"/>
              </w:rPr>
              <w:t>5,36</w:t>
            </w:r>
          </w:p>
        </w:tc>
        <w:tc>
          <w:tcPr>
            <w:tcW w:w="0" w:type="auto"/>
          </w:tcPr>
          <w:p w:rsidR="00D96FD9" w:rsidRPr="00006A39" w:rsidRDefault="00D96FD9" w:rsidP="009F0AC1">
            <w:pPr>
              <w:widowControl w:val="0"/>
              <w:spacing w:line="276" w:lineRule="auto"/>
              <w:jc w:val="center"/>
              <w:rPr>
                <w:sz w:val="28"/>
                <w:szCs w:val="28"/>
                <w:lang w:val="uk-UA"/>
              </w:rPr>
            </w:pPr>
            <w:r w:rsidRPr="00006A39">
              <w:rPr>
                <w:sz w:val="28"/>
                <w:szCs w:val="28"/>
                <w:lang w:val="uk-UA"/>
              </w:rPr>
              <w:t>5,1</w:t>
            </w:r>
          </w:p>
        </w:tc>
        <w:tc>
          <w:tcPr>
            <w:tcW w:w="0" w:type="auto"/>
          </w:tcPr>
          <w:p w:rsidR="00D96FD9" w:rsidRPr="00006A39" w:rsidRDefault="00D96FD9" w:rsidP="009F0AC1">
            <w:pPr>
              <w:widowControl w:val="0"/>
              <w:spacing w:line="276" w:lineRule="auto"/>
              <w:jc w:val="center"/>
              <w:rPr>
                <w:sz w:val="28"/>
                <w:szCs w:val="28"/>
                <w:lang w:val="uk-UA"/>
              </w:rPr>
            </w:pPr>
            <w:r w:rsidRPr="00006A39">
              <w:rPr>
                <w:sz w:val="28"/>
                <w:szCs w:val="28"/>
                <w:lang w:val="uk-UA"/>
              </w:rPr>
              <w:t>5,1</w:t>
            </w:r>
          </w:p>
        </w:tc>
        <w:tc>
          <w:tcPr>
            <w:tcW w:w="1078" w:type="dxa"/>
          </w:tcPr>
          <w:p w:rsidR="00D96FD9" w:rsidRPr="00006A39" w:rsidRDefault="00D96FD9" w:rsidP="009F0AC1">
            <w:pPr>
              <w:widowControl w:val="0"/>
              <w:spacing w:line="276" w:lineRule="auto"/>
              <w:jc w:val="center"/>
              <w:rPr>
                <w:sz w:val="28"/>
                <w:szCs w:val="28"/>
                <w:lang w:val="uk-UA"/>
              </w:rPr>
            </w:pPr>
            <w:r w:rsidRPr="00006A39">
              <w:rPr>
                <w:sz w:val="28"/>
                <w:szCs w:val="28"/>
                <w:lang w:val="uk-UA"/>
              </w:rPr>
              <w:t>4,7</w:t>
            </w:r>
          </w:p>
        </w:tc>
      </w:tr>
      <w:tr w:rsidR="00D96FD9" w:rsidRPr="00006A39" w:rsidTr="004414E5">
        <w:trPr>
          <w:jc w:val="center"/>
        </w:trPr>
        <w:tc>
          <w:tcPr>
            <w:tcW w:w="4305" w:type="dxa"/>
          </w:tcPr>
          <w:p w:rsidR="00D96FD9" w:rsidRPr="00006A39" w:rsidRDefault="00D96FD9" w:rsidP="009F0AC1">
            <w:pPr>
              <w:widowControl w:val="0"/>
              <w:spacing w:line="276" w:lineRule="auto"/>
              <w:rPr>
                <w:sz w:val="28"/>
                <w:szCs w:val="28"/>
                <w:lang w:val="uk-UA"/>
              </w:rPr>
            </w:pPr>
            <w:r w:rsidRPr="00006A39">
              <w:rPr>
                <w:sz w:val="28"/>
                <w:szCs w:val="28"/>
                <w:lang w:val="uk-UA"/>
              </w:rPr>
              <w:t>Кіровоградська область</w:t>
            </w:r>
          </w:p>
        </w:tc>
        <w:tc>
          <w:tcPr>
            <w:tcW w:w="936" w:type="dxa"/>
          </w:tcPr>
          <w:p w:rsidR="00D96FD9" w:rsidRPr="00006A39" w:rsidRDefault="00D96FD9" w:rsidP="009F0AC1">
            <w:pPr>
              <w:widowControl w:val="0"/>
              <w:spacing w:line="276" w:lineRule="auto"/>
              <w:jc w:val="center"/>
              <w:rPr>
                <w:sz w:val="28"/>
                <w:szCs w:val="28"/>
                <w:lang w:val="uk-UA"/>
              </w:rPr>
            </w:pPr>
            <w:r w:rsidRPr="00006A39">
              <w:rPr>
                <w:sz w:val="28"/>
                <w:szCs w:val="28"/>
                <w:lang w:val="uk-UA"/>
              </w:rPr>
              <w:t>9,07</w:t>
            </w:r>
          </w:p>
        </w:tc>
        <w:tc>
          <w:tcPr>
            <w:tcW w:w="846" w:type="dxa"/>
          </w:tcPr>
          <w:p w:rsidR="00D96FD9" w:rsidRPr="00006A39" w:rsidRDefault="00D96FD9" w:rsidP="009F0AC1">
            <w:pPr>
              <w:widowControl w:val="0"/>
              <w:spacing w:line="276" w:lineRule="auto"/>
              <w:jc w:val="center"/>
              <w:rPr>
                <w:sz w:val="28"/>
                <w:szCs w:val="28"/>
                <w:lang w:val="uk-UA"/>
              </w:rPr>
            </w:pPr>
            <w:r w:rsidRPr="00006A39">
              <w:rPr>
                <w:sz w:val="28"/>
                <w:szCs w:val="28"/>
                <w:lang w:val="uk-UA"/>
              </w:rPr>
              <w:t>9,27</w:t>
            </w:r>
          </w:p>
        </w:tc>
        <w:tc>
          <w:tcPr>
            <w:tcW w:w="0" w:type="auto"/>
          </w:tcPr>
          <w:p w:rsidR="00D96FD9" w:rsidRPr="00006A39" w:rsidRDefault="00D96FD9" w:rsidP="009F0AC1">
            <w:pPr>
              <w:widowControl w:val="0"/>
              <w:spacing w:line="276" w:lineRule="auto"/>
              <w:jc w:val="center"/>
              <w:rPr>
                <w:sz w:val="28"/>
                <w:szCs w:val="28"/>
                <w:lang w:val="uk-UA"/>
              </w:rPr>
            </w:pPr>
            <w:r w:rsidRPr="00006A39">
              <w:rPr>
                <w:sz w:val="28"/>
                <w:szCs w:val="28"/>
                <w:lang w:val="uk-UA"/>
              </w:rPr>
              <w:t>9,4</w:t>
            </w:r>
          </w:p>
        </w:tc>
        <w:tc>
          <w:tcPr>
            <w:tcW w:w="0" w:type="auto"/>
          </w:tcPr>
          <w:p w:rsidR="00D96FD9" w:rsidRPr="00006A39" w:rsidRDefault="00D96FD9" w:rsidP="009F0AC1">
            <w:pPr>
              <w:widowControl w:val="0"/>
              <w:spacing w:line="276" w:lineRule="auto"/>
              <w:jc w:val="center"/>
              <w:rPr>
                <w:sz w:val="28"/>
                <w:szCs w:val="28"/>
                <w:lang w:val="uk-UA"/>
              </w:rPr>
            </w:pPr>
            <w:r w:rsidRPr="00006A39">
              <w:rPr>
                <w:sz w:val="28"/>
                <w:szCs w:val="28"/>
                <w:lang w:val="uk-UA"/>
              </w:rPr>
              <w:t>11,6</w:t>
            </w:r>
          </w:p>
        </w:tc>
        <w:tc>
          <w:tcPr>
            <w:tcW w:w="1078" w:type="dxa"/>
          </w:tcPr>
          <w:p w:rsidR="00D96FD9" w:rsidRPr="00006A39" w:rsidRDefault="00D96FD9" w:rsidP="009F0AC1">
            <w:pPr>
              <w:widowControl w:val="0"/>
              <w:spacing w:line="276" w:lineRule="auto"/>
              <w:jc w:val="center"/>
              <w:rPr>
                <w:sz w:val="28"/>
                <w:szCs w:val="28"/>
                <w:lang w:val="uk-UA"/>
              </w:rPr>
            </w:pPr>
            <w:r w:rsidRPr="00006A39">
              <w:rPr>
                <w:sz w:val="28"/>
                <w:szCs w:val="28"/>
                <w:lang w:val="uk-UA"/>
              </w:rPr>
              <w:t>7,9</w:t>
            </w:r>
          </w:p>
        </w:tc>
      </w:tr>
      <w:tr w:rsidR="00D96FD9" w:rsidRPr="00006A39" w:rsidTr="004414E5">
        <w:trPr>
          <w:jc w:val="center"/>
        </w:trPr>
        <w:tc>
          <w:tcPr>
            <w:tcW w:w="4305" w:type="dxa"/>
          </w:tcPr>
          <w:p w:rsidR="00D96FD9" w:rsidRPr="00006A39" w:rsidRDefault="00D96FD9" w:rsidP="009F0AC1">
            <w:pPr>
              <w:widowControl w:val="0"/>
              <w:spacing w:line="276" w:lineRule="auto"/>
              <w:rPr>
                <w:sz w:val="28"/>
                <w:szCs w:val="28"/>
                <w:lang w:val="uk-UA"/>
              </w:rPr>
            </w:pPr>
            <w:r w:rsidRPr="00006A39">
              <w:rPr>
                <w:sz w:val="28"/>
                <w:szCs w:val="28"/>
                <w:lang w:val="uk-UA"/>
              </w:rPr>
              <w:t>Луганська область</w:t>
            </w:r>
            <w:r w:rsidRPr="00006A39">
              <w:rPr>
                <w:sz w:val="28"/>
                <w:szCs w:val="28"/>
                <w:vertAlign w:val="superscript"/>
                <w:lang w:val="uk-UA"/>
              </w:rPr>
              <w:t>1</w:t>
            </w:r>
          </w:p>
        </w:tc>
        <w:tc>
          <w:tcPr>
            <w:tcW w:w="936" w:type="dxa"/>
          </w:tcPr>
          <w:p w:rsidR="00D96FD9" w:rsidRPr="00006A39" w:rsidRDefault="00D96FD9" w:rsidP="009F0AC1">
            <w:pPr>
              <w:widowControl w:val="0"/>
              <w:spacing w:line="276" w:lineRule="auto"/>
              <w:jc w:val="center"/>
              <w:rPr>
                <w:sz w:val="28"/>
                <w:szCs w:val="28"/>
                <w:lang w:val="uk-UA"/>
              </w:rPr>
            </w:pPr>
            <w:r w:rsidRPr="00006A39">
              <w:rPr>
                <w:sz w:val="28"/>
                <w:szCs w:val="28"/>
                <w:lang w:val="uk-UA"/>
              </w:rPr>
              <w:t>9,62</w:t>
            </w:r>
          </w:p>
        </w:tc>
        <w:tc>
          <w:tcPr>
            <w:tcW w:w="846" w:type="dxa"/>
          </w:tcPr>
          <w:p w:rsidR="00D96FD9" w:rsidRPr="00006A39" w:rsidRDefault="00D96FD9" w:rsidP="009F0AC1">
            <w:pPr>
              <w:widowControl w:val="0"/>
              <w:spacing w:line="276" w:lineRule="auto"/>
              <w:jc w:val="center"/>
              <w:rPr>
                <w:sz w:val="28"/>
                <w:szCs w:val="28"/>
                <w:lang w:val="uk-UA"/>
              </w:rPr>
            </w:pPr>
            <w:r w:rsidRPr="00006A39">
              <w:rPr>
                <w:sz w:val="28"/>
                <w:szCs w:val="28"/>
                <w:lang w:val="uk-UA"/>
              </w:rPr>
              <w:t>9,78</w:t>
            </w:r>
            <w:r w:rsidRPr="00006A39">
              <w:rPr>
                <w:sz w:val="28"/>
                <w:szCs w:val="28"/>
                <w:vertAlign w:val="superscript"/>
                <w:lang w:val="uk-UA"/>
              </w:rPr>
              <w:t>1</w:t>
            </w:r>
          </w:p>
        </w:tc>
        <w:tc>
          <w:tcPr>
            <w:tcW w:w="0" w:type="auto"/>
          </w:tcPr>
          <w:p w:rsidR="00D96FD9" w:rsidRPr="00006A39" w:rsidRDefault="00D96FD9" w:rsidP="009F0AC1">
            <w:pPr>
              <w:widowControl w:val="0"/>
              <w:spacing w:line="276" w:lineRule="auto"/>
              <w:jc w:val="center"/>
              <w:rPr>
                <w:sz w:val="28"/>
                <w:szCs w:val="28"/>
                <w:lang w:val="uk-UA"/>
              </w:rPr>
            </w:pPr>
            <w:r w:rsidRPr="00006A39">
              <w:rPr>
                <w:sz w:val="28"/>
                <w:szCs w:val="28"/>
                <w:lang w:val="uk-UA"/>
              </w:rPr>
              <w:t>9,0</w:t>
            </w:r>
            <w:r w:rsidRPr="00006A39">
              <w:rPr>
                <w:sz w:val="28"/>
                <w:szCs w:val="28"/>
                <w:vertAlign w:val="superscript"/>
                <w:lang w:val="uk-UA"/>
              </w:rPr>
              <w:t>1</w:t>
            </w:r>
          </w:p>
        </w:tc>
        <w:tc>
          <w:tcPr>
            <w:tcW w:w="0" w:type="auto"/>
          </w:tcPr>
          <w:p w:rsidR="00D96FD9" w:rsidRPr="00006A39" w:rsidRDefault="00D96FD9" w:rsidP="009F0AC1">
            <w:pPr>
              <w:widowControl w:val="0"/>
              <w:spacing w:line="276" w:lineRule="auto"/>
              <w:jc w:val="center"/>
              <w:rPr>
                <w:sz w:val="28"/>
                <w:szCs w:val="28"/>
                <w:lang w:val="uk-UA"/>
              </w:rPr>
            </w:pPr>
            <w:r w:rsidRPr="00006A39">
              <w:rPr>
                <w:sz w:val="28"/>
                <w:szCs w:val="28"/>
                <w:lang w:val="uk-UA"/>
              </w:rPr>
              <w:t>9,3</w:t>
            </w:r>
            <w:r w:rsidRPr="00006A39">
              <w:rPr>
                <w:sz w:val="28"/>
                <w:szCs w:val="28"/>
                <w:vertAlign w:val="superscript"/>
                <w:lang w:val="uk-UA"/>
              </w:rPr>
              <w:t>1</w:t>
            </w:r>
          </w:p>
        </w:tc>
        <w:tc>
          <w:tcPr>
            <w:tcW w:w="1078" w:type="dxa"/>
          </w:tcPr>
          <w:p w:rsidR="00D96FD9" w:rsidRPr="00006A39" w:rsidRDefault="00D96FD9" w:rsidP="009F0AC1">
            <w:pPr>
              <w:widowControl w:val="0"/>
              <w:spacing w:line="276" w:lineRule="auto"/>
              <w:jc w:val="center"/>
              <w:rPr>
                <w:sz w:val="28"/>
                <w:szCs w:val="28"/>
                <w:lang w:val="uk-UA"/>
              </w:rPr>
            </w:pPr>
            <w:r w:rsidRPr="00006A39">
              <w:rPr>
                <w:sz w:val="28"/>
                <w:szCs w:val="28"/>
                <w:lang w:val="uk-UA"/>
              </w:rPr>
              <w:t>6,2</w:t>
            </w:r>
            <w:r w:rsidRPr="00006A39">
              <w:rPr>
                <w:sz w:val="28"/>
                <w:szCs w:val="28"/>
                <w:vertAlign w:val="superscript"/>
                <w:lang w:val="uk-UA"/>
              </w:rPr>
              <w:t>1</w:t>
            </w:r>
          </w:p>
        </w:tc>
      </w:tr>
      <w:tr w:rsidR="00D96FD9" w:rsidRPr="00006A39" w:rsidTr="004414E5">
        <w:trPr>
          <w:jc w:val="center"/>
        </w:trPr>
        <w:tc>
          <w:tcPr>
            <w:tcW w:w="4305" w:type="dxa"/>
          </w:tcPr>
          <w:p w:rsidR="00D96FD9" w:rsidRPr="00006A39" w:rsidRDefault="00D96FD9" w:rsidP="009F0AC1">
            <w:pPr>
              <w:widowControl w:val="0"/>
              <w:spacing w:line="276" w:lineRule="auto"/>
              <w:rPr>
                <w:sz w:val="28"/>
                <w:szCs w:val="28"/>
                <w:lang w:val="uk-UA"/>
              </w:rPr>
            </w:pPr>
            <w:r w:rsidRPr="00006A39">
              <w:rPr>
                <w:sz w:val="28"/>
                <w:szCs w:val="28"/>
                <w:lang w:val="uk-UA"/>
              </w:rPr>
              <w:t>Львівська область</w:t>
            </w:r>
          </w:p>
        </w:tc>
        <w:tc>
          <w:tcPr>
            <w:tcW w:w="936" w:type="dxa"/>
          </w:tcPr>
          <w:p w:rsidR="00D96FD9" w:rsidRPr="00006A39" w:rsidRDefault="00D96FD9" w:rsidP="009F0AC1">
            <w:pPr>
              <w:widowControl w:val="0"/>
              <w:spacing w:line="276" w:lineRule="auto"/>
              <w:jc w:val="center"/>
              <w:rPr>
                <w:sz w:val="28"/>
                <w:szCs w:val="28"/>
                <w:lang w:val="uk-UA"/>
              </w:rPr>
            </w:pPr>
            <w:r w:rsidRPr="00006A39">
              <w:rPr>
                <w:sz w:val="28"/>
                <w:szCs w:val="28"/>
                <w:lang w:val="uk-UA"/>
              </w:rPr>
              <w:t>8,48</w:t>
            </w:r>
          </w:p>
        </w:tc>
        <w:tc>
          <w:tcPr>
            <w:tcW w:w="846" w:type="dxa"/>
          </w:tcPr>
          <w:p w:rsidR="00D96FD9" w:rsidRPr="00006A39" w:rsidRDefault="00D96FD9" w:rsidP="009F0AC1">
            <w:pPr>
              <w:widowControl w:val="0"/>
              <w:spacing w:line="276" w:lineRule="auto"/>
              <w:jc w:val="center"/>
              <w:rPr>
                <w:sz w:val="28"/>
                <w:szCs w:val="28"/>
                <w:lang w:val="uk-UA"/>
              </w:rPr>
            </w:pPr>
            <w:r w:rsidRPr="00006A39">
              <w:rPr>
                <w:sz w:val="28"/>
                <w:szCs w:val="28"/>
                <w:lang w:val="uk-UA"/>
              </w:rPr>
              <w:t>8,25</w:t>
            </w:r>
          </w:p>
        </w:tc>
        <w:tc>
          <w:tcPr>
            <w:tcW w:w="0" w:type="auto"/>
          </w:tcPr>
          <w:p w:rsidR="00D96FD9" w:rsidRPr="00006A39" w:rsidRDefault="00D96FD9" w:rsidP="009F0AC1">
            <w:pPr>
              <w:widowControl w:val="0"/>
              <w:spacing w:line="276" w:lineRule="auto"/>
              <w:jc w:val="center"/>
              <w:rPr>
                <w:sz w:val="28"/>
                <w:szCs w:val="28"/>
                <w:lang w:val="uk-UA"/>
              </w:rPr>
            </w:pPr>
            <w:r w:rsidRPr="00006A39">
              <w:rPr>
                <w:sz w:val="28"/>
                <w:szCs w:val="28"/>
                <w:lang w:val="uk-UA"/>
              </w:rPr>
              <w:t>6,7</w:t>
            </w:r>
          </w:p>
        </w:tc>
        <w:tc>
          <w:tcPr>
            <w:tcW w:w="0" w:type="auto"/>
          </w:tcPr>
          <w:p w:rsidR="00D96FD9" w:rsidRPr="00006A39" w:rsidRDefault="00D96FD9" w:rsidP="009F0AC1">
            <w:pPr>
              <w:widowControl w:val="0"/>
              <w:spacing w:line="276" w:lineRule="auto"/>
              <w:jc w:val="center"/>
              <w:rPr>
                <w:sz w:val="28"/>
                <w:szCs w:val="28"/>
                <w:lang w:val="uk-UA"/>
              </w:rPr>
            </w:pPr>
            <w:r w:rsidRPr="00006A39">
              <w:rPr>
                <w:sz w:val="28"/>
                <w:szCs w:val="28"/>
                <w:lang w:val="uk-UA"/>
              </w:rPr>
              <w:t>9,2</w:t>
            </w:r>
          </w:p>
        </w:tc>
        <w:tc>
          <w:tcPr>
            <w:tcW w:w="1078" w:type="dxa"/>
          </w:tcPr>
          <w:p w:rsidR="00D96FD9" w:rsidRPr="00006A39" w:rsidRDefault="00D96FD9" w:rsidP="009F0AC1">
            <w:pPr>
              <w:widowControl w:val="0"/>
              <w:spacing w:line="276" w:lineRule="auto"/>
              <w:jc w:val="center"/>
              <w:rPr>
                <w:sz w:val="28"/>
                <w:szCs w:val="28"/>
                <w:lang w:val="uk-UA"/>
              </w:rPr>
            </w:pPr>
            <w:r w:rsidRPr="00006A39">
              <w:rPr>
                <w:sz w:val="28"/>
                <w:szCs w:val="28"/>
                <w:lang w:val="uk-UA"/>
              </w:rPr>
              <w:t>7,0</w:t>
            </w:r>
          </w:p>
        </w:tc>
      </w:tr>
      <w:tr w:rsidR="00D96FD9" w:rsidRPr="00006A39" w:rsidTr="004414E5">
        <w:trPr>
          <w:jc w:val="center"/>
        </w:trPr>
        <w:tc>
          <w:tcPr>
            <w:tcW w:w="4305" w:type="dxa"/>
          </w:tcPr>
          <w:p w:rsidR="00D96FD9" w:rsidRPr="00006A39" w:rsidRDefault="00D96FD9" w:rsidP="009F0AC1">
            <w:pPr>
              <w:widowControl w:val="0"/>
              <w:spacing w:line="276" w:lineRule="auto"/>
              <w:rPr>
                <w:sz w:val="28"/>
                <w:szCs w:val="28"/>
                <w:lang w:val="uk-UA"/>
              </w:rPr>
            </w:pPr>
            <w:r w:rsidRPr="00006A39">
              <w:rPr>
                <w:sz w:val="28"/>
                <w:szCs w:val="28"/>
                <w:lang w:val="uk-UA"/>
              </w:rPr>
              <w:t>Миколаївська область</w:t>
            </w:r>
          </w:p>
        </w:tc>
        <w:tc>
          <w:tcPr>
            <w:tcW w:w="936" w:type="dxa"/>
          </w:tcPr>
          <w:p w:rsidR="00D96FD9" w:rsidRPr="00006A39" w:rsidRDefault="00D96FD9" w:rsidP="009F0AC1">
            <w:pPr>
              <w:widowControl w:val="0"/>
              <w:spacing w:line="276" w:lineRule="auto"/>
              <w:jc w:val="center"/>
              <w:rPr>
                <w:sz w:val="28"/>
                <w:szCs w:val="28"/>
                <w:lang w:val="uk-UA"/>
              </w:rPr>
            </w:pPr>
            <w:r w:rsidRPr="00006A39">
              <w:rPr>
                <w:sz w:val="28"/>
                <w:szCs w:val="28"/>
                <w:lang w:val="uk-UA"/>
              </w:rPr>
              <w:t>7,35</w:t>
            </w:r>
          </w:p>
        </w:tc>
        <w:tc>
          <w:tcPr>
            <w:tcW w:w="846" w:type="dxa"/>
          </w:tcPr>
          <w:p w:rsidR="00D96FD9" w:rsidRPr="00006A39" w:rsidRDefault="00D96FD9" w:rsidP="009F0AC1">
            <w:pPr>
              <w:widowControl w:val="0"/>
              <w:spacing w:line="276" w:lineRule="auto"/>
              <w:jc w:val="center"/>
              <w:rPr>
                <w:sz w:val="28"/>
                <w:szCs w:val="28"/>
                <w:lang w:val="uk-UA"/>
              </w:rPr>
            </w:pPr>
            <w:r w:rsidRPr="00006A39">
              <w:rPr>
                <w:sz w:val="28"/>
                <w:szCs w:val="28"/>
                <w:lang w:val="uk-UA"/>
              </w:rPr>
              <w:t>6,21</w:t>
            </w:r>
          </w:p>
        </w:tc>
        <w:tc>
          <w:tcPr>
            <w:tcW w:w="0" w:type="auto"/>
          </w:tcPr>
          <w:p w:rsidR="00D96FD9" w:rsidRPr="00006A39" w:rsidRDefault="00D96FD9" w:rsidP="009F0AC1">
            <w:pPr>
              <w:widowControl w:val="0"/>
              <w:spacing w:line="276" w:lineRule="auto"/>
              <w:jc w:val="center"/>
              <w:rPr>
                <w:sz w:val="28"/>
                <w:szCs w:val="28"/>
                <w:lang w:val="uk-UA"/>
              </w:rPr>
            </w:pPr>
            <w:r w:rsidRPr="00006A39">
              <w:rPr>
                <w:sz w:val="28"/>
                <w:szCs w:val="28"/>
                <w:lang w:val="uk-UA"/>
              </w:rPr>
              <w:t>8,1</w:t>
            </w:r>
          </w:p>
        </w:tc>
        <w:tc>
          <w:tcPr>
            <w:tcW w:w="0" w:type="auto"/>
          </w:tcPr>
          <w:p w:rsidR="00D96FD9" w:rsidRPr="00006A39" w:rsidRDefault="00D96FD9" w:rsidP="009F0AC1">
            <w:pPr>
              <w:widowControl w:val="0"/>
              <w:spacing w:line="276" w:lineRule="auto"/>
              <w:jc w:val="center"/>
              <w:rPr>
                <w:sz w:val="28"/>
                <w:szCs w:val="28"/>
                <w:lang w:val="uk-UA"/>
              </w:rPr>
            </w:pPr>
            <w:r w:rsidRPr="00006A39">
              <w:rPr>
                <w:sz w:val="28"/>
                <w:szCs w:val="28"/>
                <w:lang w:val="uk-UA"/>
              </w:rPr>
              <w:t>6,0</w:t>
            </w:r>
          </w:p>
        </w:tc>
        <w:tc>
          <w:tcPr>
            <w:tcW w:w="1078" w:type="dxa"/>
          </w:tcPr>
          <w:p w:rsidR="00D96FD9" w:rsidRPr="00006A39" w:rsidRDefault="00D96FD9" w:rsidP="009F0AC1">
            <w:pPr>
              <w:widowControl w:val="0"/>
              <w:spacing w:line="276" w:lineRule="auto"/>
              <w:jc w:val="center"/>
              <w:rPr>
                <w:sz w:val="28"/>
                <w:szCs w:val="28"/>
                <w:lang w:val="uk-UA"/>
              </w:rPr>
            </w:pPr>
            <w:r w:rsidRPr="00006A39">
              <w:rPr>
                <w:sz w:val="28"/>
                <w:szCs w:val="28"/>
                <w:lang w:val="uk-UA"/>
              </w:rPr>
              <w:t>7,9</w:t>
            </w:r>
          </w:p>
        </w:tc>
      </w:tr>
      <w:tr w:rsidR="00D96FD9" w:rsidRPr="00006A39" w:rsidTr="004414E5">
        <w:trPr>
          <w:jc w:val="center"/>
        </w:trPr>
        <w:tc>
          <w:tcPr>
            <w:tcW w:w="4305" w:type="dxa"/>
          </w:tcPr>
          <w:p w:rsidR="00D96FD9" w:rsidRPr="00006A39" w:rsidRDefault="00D96FD9" w:rsidP="009F0AC1">
            <w:pPr>
              <w:widowControl w:val="0"/>
              <w:spacing w:line="276" w:lineRule="auto"/>
              <w:rPr>
                <w:sz w:val="28"/>
                <w:szCs w:val="28"/>
                <w:lang w:val="uk-UA"/>
              </w:rPr>
            </w:pPr>
            <w:r w:rsidRPr="00006A39">
              <w:rPr>
                <w:sz w:val="28"/>
                <w:szCs w:val="28"/>
                <w:lang w:val="uk-UA"/>
              </w:rPr>
              <w:t>Одеська область</w:t>
            </w:r>
          </w:p>
        </w:tc>
        <w:tc>
          <w:tcPr>
            <w:tcW w:w="936" w:type="dxa"/>
          </w:tcPr>
          <w:p w:rsidR="00D96FD9" w:rsidRPr="00006A39" w:rsidRDefault="00D96FD9" w:rsidP="009F0AC1">
            <w:pPr>
              <w:widowControl w:val="0"/>
              <w:spacing w:line="276" w:lineRule="auto"/>
              <w:jc w:val="center"/>
              <w:rPr>
                <w:sz w:val="28"/>
                <w:szCs w:val="28"/>
                <w:lang w:val="uk-UA"/>
              </w:rPr>
            </w:pPr>
            <w:r w:rsidRPr="00006A39">
              <w:rPr>
                <w:sz w:val="28"/>
                <w:szCs w:val="28"/>
                <w:lang w:val="uk-UA"/>
              </w:rPr>
              <w:t>7,01</w:t>
            </w:r>
          </w:p>
        </w:tc>
        <w:tc>
          <w:tcPr>
            <w:tcW w:w="846" w:type="dxa"/>
          </w:tcPr>
          <w:p w:rsidR="00D96FD9" w:rsidRPr="00006A39" w:rsidRDefault="00D96FD9" w:rsidP="009F0AC1">
            <w:pPr>
              <w:widowControl w:val="0"/>
              <w:spacing w:line="276" w:lineRule="auto"/>
              <w:jc w:val="center"/>
              <w:rPr>
                <w:sz w:val="28"/>
                <w:szCs w:val="28"/>
                <w:lang w:val="uk-UA"/>
              </w:rPr>
            </w:pPr>
            <w:r w:rsidRPr="00006A39">
              <w:rPr>
                <w:sz w:val="28"/>
                <w:szCs w:val="28"/>
                <w:lang w:val="uk-UA"/>
              </w:rPr>
              <w:t>8,24</w:t>
            </w:r>
          </w:p>
        </w:tc>
        <w:tc>
          <w:tcPr>
            <w:tcW w:w="0" w:type="auto"/>
          </w:tcPr>
          <w:p w:rsidR="00D96FD9" w:rsidRPr="00006A39" w:rsidRDefault="00D96FD9" w:rsidP="009F0AC1">
            <w:pPr>
              <w:widowControl w:val="0"/>
              <w:spacing w:line="276" w:lineRule="auto"/>
              <w:jc w:val="center"/>
              <w:rPr>
                <w:sz w:val="28"/>
                <w:szCs w:val="28"/>
                <w:lang w:val="uk-UA"/>
              </w:rPr>
            </w:pPr>
            <w:r w:rsidRPr="00006A39">
              <w:rPr>
                <w:sz w:val="28"/>
                <w:szCs w:val="28"/>
                <w:lang w:val="uk-UA"/>
              </w:rPr>
              <w:t>7,9</w:t>
            </w:r>
          </w:p>
        </w:tc>
        <w:tc>
          <w:tcPr>
            <w:tcW w:w="0" w:type="auto"/>
          </w:tcPr>
          <w:p w:rsidR="00D96FD9" w:rsidRPr="00006A39" w:rsidRDefault="00D96FD9" w:rsidP="009F0AC1">
            <w:pPr>
              <w:widowControl w:val="0"/>
              <w:spacing w:line="276" w:lineRule="auto"/>
              <w:jc w:val="center"/>
              <w:rPr>
                <w:sz w:val="28"/>
                <w:szCs w:val="28"/>
                <w:lang w:val="uk-UA"/>
              </w:rPr>
            </w:pPr>
            <w:r w:rsidRPr="00006A39">
              <w:rPr>
                <w:sz w:val="28"/>
                <w:szCs w:val="28"/>
                <w:lang w:val="uk-UA"/>
              </w:rPr>
              <w:t>8,6</w:t>
            </w:r>
          </w:p>
        </w:tc>
        <w:tc>
          <w:tcPr>
            <w:tcW w:w="1078" w:type="dxa"/>
          </w:tcPr>
          <w:p w:rsidR="00D96FD9" w:rsidRPr="00006A39" w:rsidRDefault="00D96FD9" w:rsidP="009F0AC1">
            <w:pPr>
              <w:widowControl w:val="0"/>
              <w:spacing w:line="276" w:lineRule="auto"/>
              <w:jc w:val="center"/>
              <w:rPr>
                <w:sz w:val="28"/>
                <w:szCs w:val="28"/>
                <w:lang w:val="uk-UA"/>
              </w:rPr>
            </w:pPr>
            <w:r w:rsidRPr="00006A39">
              <w:rPr>
                <w:sz w:val="28"/>
                <w:szCs w:val="28"/>
                <w:lang w:val="uk-UA"/>
              </w:rPr>
              <w:t>7,6</w:t>
            </w:r>
          </w:p>
        </w:tc>
      </w:tr>
      <w:tr w:rsidR="00D96FD9" w:rsidRPr="00006A39" w:rsidTr="004414E5">
        <w:trPr>
          <w:jc w:val="center"/>
        </w:trPr>
        <w:tc>
          <w:tcPr>
            <w:tcW w:w="4305" w:type="dxa"/>
          </w:tcPr>
          <w:p w:rsidR="00D96FD9" w:rsidRPr="00006A39" w:rsidRDefault="00D96FD9" w:rsidP="009F0AC1">
            <w:pPr>
              <w:widowControl w:val="0"/>
              <w:spacing w:line="276" w:lineRule="auto"/>
              <w:rPr>
                <w:sz w:val="28"/>
                <w:szCs w:val="28"/>
                <w:lang w:val="uk-UA"/>
              </w:rPr>
            </w:pPr>
            <w:r w:rsidRPr="00006A39">
              <w:rPr>
                <w:sz w:val="28"/>
                <w:szCs w:val="28"/>
                <w:lang w:val="uk-UA"/>
              </w:rPr>
              <w:t>Полтавська область</w:t>
            </w:r>
          </w:p>
        </w:tc>
        <w:tc>
          <w:tcPr>
            <w:tcW w:w="936" w:type="dxa"/>
          </w:tcPr>
          <w:p w:rsidR="00D96FD9" w:rsidRPr="00006A39" w:rsidRDefault="00D96FD9" w:rsidP="009F0AC1">
            <w:pPr>
              <w:widowControl w:val="0"/>
              <w:spacing w:line="276" w:lineRule="auto"/>
              <w:jc w:val="center"/>
              <w:rPr>
                <w:sz w:val="28"/>
                <w:szCs w:val="28"/>
                <w:lang w:val="uk-UA"/>
              </w:rPr>
            </w:pPr>
            <w:r w:rsidRPr="00006A39">
              <w:rPr>
                <w:sz w:val="28"/>
                <w:szCs w:val="28"/>
                <w:lang w:val="uk-UA"/>
              </w:rPr>
              <w:t>7,52</w:t>
            </w:r>
          </w:p>
        </w:tc>
        <w:tc>
          <w:tcPr>
            <w:tcW w:w="846" w:type="dxa"/>
          </w:tcPr>
          <w:p w:rsidR="00D96FD9" w:rsidRPr="00006A39" w:rsidRDefault="00D96FD9" w:rsidP="009F0AC1">
            <w:pPr>
              <w:widowControl w:val="0"/>
              <w:spacing w:line="276" w:lineRule="auto"/>
              <w:jc w:val="center"/>
              <w:rPr>
                <w:sz w:val="28"/>
                <w:szCs w:val="28"/>
                <w:lang w:val="uk-UA"/>
              </w:rPr>
            </w:pPr>
            <w:r w:rsidRPr="00006A39">
              <w:rPr>
                <w:sz w:val="28"/>
                <w:szCs w:val="28"/>
                <w:lang w:val="uk-UA"/>
              </w:rPr>
              <w:t>5,81</w:t>
            </w:r>
          </w:p>
        </w:tc>
        <w:tc>
          <w:tcPr>
            <w:tcW w:w="0" w:type="auto"/>
          </w:tcPr>
          <w:p w:rsidR="00D96FD9" w:rsidRPr="00006A39" w:rsidRDefault="00D96FD9" w:rsidP="009F0AC1">
            <w:pPr>
              <w:widowControl w:val="0"/>
              <w:spacing w:line="276" w:lineRule="auto"/>
              <w:jc w:val="center"/>
              <w:rPr>
                <w:sz w:val="28"/>
                <w:szCs w:val="28"/>
                <w:lang w:val="uk-UA"/>
              </w:rPr>
            </w:pPr>
            <w:r w:rsidRPr="00006A39">
              <w:rPr>
                <w:sz w:val="28"/>
                <w:szCs w:val="28"/>
                <w:lang w:val="uk-UA"/>
              </w:rPr>
              <w:t>5,9</w:t>
            </w:r>
          </w:p>
        </w:tc>
        <w:tc>
          <w:tcPr>
            <w:tcW w:w="0" w:type="auto"/>
          </w:tcPr>
          <w:p w:rsidR="00D96FD9" w:rsidRPr="00006A39" w:rsidRDefault="00D96FD9" w:rsidP="009F0AC1">
            <w:pPr>
              <w:widowControl w:val="0"/>
              <w:spacing w:line="276" w:lineRule="auto"/>
              <w:jc w:val="center"/>
              <w:rPr>
                <w:sz w:val="28"/>
                <w:szCs w:val="28"/>
                <w:lang w:val="uk-UA"/>
              </w:rPr>
            </w:pPr>
            <w:r w:rsidRPr="00006A39">
              <w:rPr>
                <w:sz w:val="28"/>
                <w:szCs w:val="28"/>
                <w:lang w:val="uk-UA"/>
              </w:rPr>
              <w:t>4,1</w:t>
            </w:r>
          </w:p>
        </w:tc>
        <w:tc>
          <w:tcPr>
            <w:tcW w:w="1078" w:type="dxa"/>
          </w:tcPr>
          <w:p w:rsidR="00D96FD9" w:rsidRPr="00006A39" w:rsidRDefault="00D96FD9" w:rsidP="009F0AC1">
            <w:pPr>
              <w:widowControl w:val="0"/>
              <w:spacing w:line="276" w:lineRule="auto"/>
              <w:jc w:val="center"/>
              <w:rPr>
                <w:sz w:val="28"/>
                <w:szCs w:val="28"/>
                <w:lang w:val="uk-UA"/>
              </w:rPr>
            </w:pPr>
            <w:r w:rsidRPr="00006A39">
              <w:rPr>
                <w:sz w:val="28"/>
                <w:szCs w:val="28"/>
                <w:lang w:val="uk-UA"/>
              </w:rPr>
              <w:t>5,0</w:t>
            </w:r>
          </w:p>
        </w:tc>
      </w:tr>
      <w:tr w:rsidR="00D96FD9" w:rsidRPr="00006A39" w:rsidTr="004414E5">
        <w:trPr>
          <w:jc w:val="center"/>
        </w:trPr>
        <w:tc>
          <w:tcPr>
            <w:tcW w:w="4305" w:type="dxa"/>
          </w:tcPr>
          <w:p w:rsidR="00D96FD9" w:rsidRPr="00006A39" w:rsidRDefault="00D96FD9" w:rsidP="009F0AC1">
            <w:pPr>
              <w:widowControl w:val="0"/>
              <w:spacing w:line="276" w:lineRule="auto"/>
              <w:rPr>
                <w:sz w:val="28"/>
                <w:szCs w:val="28"/>
                <w:lang w:val="uk-UA"/>
              </w:rPr>
            </w:pPr>
            <w:r w:rsidRPr="00006A39">
              <w:rPr>
                <w:sz w:val="28"/>
                <w:szCs w:val="28"/>
                <w:lang w:val="uk-UA"/>
              </w:rPr>
              <w:t>Рівненська область</w:t>
            </w:r>
          </w:p>
        </w:tc>
        <w:tc>
          <w:tcPr>
            <w:tcW w:w="936" w:type="dxa"/>
          </w:tcPr>
          <w:p w:rsidR="00D96FD9" w:rsidRPr="00006A39" w:rsidRDefault="00D96FD9" w:rsidP="009F0AC1">
            <w:pPr>
              <w:widowControl w:val="0"/>
              <w:spacing w:line="276" w:lineRule="auto"/>
              <w:jc w:val="center"/>
              <w:rPr>
                <w:sz w:val="28"/>
                <w:szCs w:val="28"/>
                <w:lang w:val="uk-UA"/>
              </w:rPr>
            </w:pPr>
            <w:r w:rsidRPr="00006A39">
              <w:rPr>
                <w:sz w:val="28"/>
                <w:szCs w:val="28"/>
                <w:lang w:val="uk-UA"/>
              </w:rPr>
              <w:t>8,02</w:t>
            </w:r>
          </w:p>
        </w:tc>
        <w:tc>
          <w:tcPr>
            <w:tcW w:w="846" w:type="dxa"/>
          </w:tcPr>
          <w:p w:rsidR="00D96FD9" w:rsidRPr="00006A39" w:rsidRDefault="00D96FD9" w:rsidP="009F0AC1">
            <w:pPr>
              <w:widowControl w:val="0"/>
              <w:spacing w:line="276" w:lineRule="auto"/>
              <w:jc w:val="center"/>
              <w:rPr>
                <w:sz w:val="28"/>
                <w:szCs w:val="28"/>
                <w:lang w:val="uk-UA"/>
              </w:rPr>
            </w:pPr>
            <w:r w:rsidRPr="00006A39">
              <w:rPr>
                <w:sz w:val="28"/>
                <w:szCs w:val="28"/>
                <w:lang w:val="uk-UA"/>
              </w:rPr>
              <w:t>8,51</w:t>
            </w:r>
          </w:p>
        </w:tc>
        <w:tc>
          <w:tcPr>
            <w:tcW w:w="0" w:type="auto"/>
          </w:tcPr>
          <w:p w:rsidR="00D96FD9" w:rsidRPr="00006A39" w:rsidRDefault="00D96FD9" w:rsidP="009F0AC1">
            <w:pPr>
              <w:widowControl w:val="0"/>
              <w:spacing w:line="276" w:lineRule="auto"/>
              <w:jc w:val="center"/>
              <w:rPr>
                <w:sz w:val="28"/>
                <w:szCs w:val="28"/>
                <w:lang w:val="uk-UA"/>
              </w:rPr>
            </w:pPr>
            <w:r w:rsidRPr="00006A39">
              <w:rPr>
                <w:sz w:val="28"/>
                <w:szCs w:val="28"/>
                <w:lang w:val="uk-UA"/>
              </w:rPr>
              <w:t>8,3</w:t>
            </w:r>
          </w:p>
        </w:tc>
        <w:tc>
          <w:tcPr>
            <w:tcW w:w="0" w:type="auto"/>
          </w:tcPr>
          <w:p w:rsidR="00D96FD9" w:rsidRPr="00006A39" w:rsidRDefault="00D96FD9" w:rsidP="009F0AC1">
            <w:pPr>
              <w:widowControl w:val="0"/>
              <w:spacing w:line="276" w:lineRule="auto"/>
              <w:jc w:val="center"/>
              <w:rPr>
                <w:sz w:val="28"/>
                <w:szCs w:val="28"/>
                <w:lang w:val="uk-UA"/>
              </w:rPr>
            </w:pPr>
            <w:r w:rsidRPr="00006A39">
              <w:rPr>
                <w:sz w:val="28"/>
                <w:szCs w:val="28"/>
                <w:lang w:val="uk-UA"/>
              </w:rPr>
              <w:t>8,3</w:t>
            </w:r>
          </w:p>
        </w:tc>
        <w:tc>
          <w:tcPr>
            <w:tcW w:w="1078" w:type="dxa"/>
          </w:tcPr>
          <w:p w:rsidR="00D96FD9" w:rsidRPr="00006A39" w:rsidRDefault="00D96FD9" w:rsidP="009F0AC1">
            <w:pPr>
              <w:widowControl w:val="0"/>
              <w:spacing w:line="276" w:lineRule="auto"/>
              <w:jc w:val="center"/>
              <w:rPr>
                <w:sz w:val="28"/>
                <w:szCs w:val="28"/>
                <w:lang w:val="uk-UA"/>
              </w:rPr>
            </w:pPr>
            <w:r w:rsidRPr="00006A39">
              <w:rPr>
                <w:sz w:val="28"/>
                <w:szCs w:val="28"/>
                <w:lang w:val="uk-UA"/>
              </w:rPr>
              <w:t>6,4</w:t>
            </w:r>
          </w:p>
        </w:tc>
      </w:tr>
      <w:tr w:rsidR="00D96FD9" w:rsidRPr="00006A39" w:rsidTr="004414E5">
        <w:trPr>
          <w:jc w:val="center"/>
        </w:trPr>
        <w:tc>
          <w:tcPr>
            <w:tcW w:w="4305" w:type="dxa"/>
          </w:tcPr>
          <w:p w:rsidR="00D96FD9" w:rsidRPr="00006A39" w:rsidRDefault="00D96FD9" w:rsidP="009F0AC1">
            <w:pPr>
              <w:widowControl w:val="0"/>
              <w:spacing w:line="276" w:lineRule="auto"/>
              <w:rPr>
                <w:sz w:val="28"/>
                <w:szCs w:val="28"/>
                <w:lang w:val="uk-UA"/>
              </w:rPr>
            </w:pPr>
            <w:r w:rsidRPr="00006A39">
              <w:rPr>
                <w:sz w:val="28"/>
                <w:szCs w:val="28"/>
                <w:lang w:val="uk-UA"/>
              </w:rPr>
              <w:t>Сумська область</w:t>
            </w:r>
          </w:p>
        </w:tc>
        <w:tc>
          <w:tcPr>
            <w:tcW w:w="936" w:type="dxa"/>
          </w:tcPr>
          <w:p w:rsidR="00D96FD9" w:rsidRPr="00006A39" w:rsidRDefault="00D96FD9" w:rsidP="009F0AC1">
            <w:pPr>
              <w:widowControl w:val="0"/>
              <w:spacing w:line="276" w:lineRule="auto"/>
              <w:jc w:val="center"/>
              <w:rPr>
                <w:sz w:val="28"/>
                <w:szCs w:val="28"/>
                <w:lang w:val="uk-UA"/>
              </w:rPr>
            </w:pPr>
            <w:r w:rsidRPr="00006A39">
              <w:rPr>
                <w:sz w:val="28"/>
                <w:szCs w:val="28"/>
                <w:lang w:val="uk-UA"/>
              </w:rPr>
              <w:t>6,66</w:t>
            </w:r>
          </w:p>
        </w:tc>
        <w:tc>
          <w:tcPr>
            <w:tcW w:w="846" w:type="dxa"/>
          </w:tcPr>
          <w:p w:rsidR="00D96FD9" w:rsidRPr="00006A39" w:rsidRDefault="00D96FD9" w:rsidP="009F0AC1">
            <w:pPr>
              <w:widowControl w:val="0"/>
              <w:spacing w:line="276" w:lineRule="auto"/>
              <w:jc w:val="center"/>
              <w:rPr>
                <w:sz w:val="28"/>
                <w:szCs w:val="28"/>
                <w:lang w:val="uk-UA"/>
              </w:rPr>
            </w:pPr>
            <w:r w:rsidRPr="00006A39">
              <w:rPr>
                <w:sz w:val="28"/>
                <w:szCs w:val="28"/>
                <w:lang w:val="uk-UA"/>
              </w:rPr>
              <w:t>7,71</w:t>
            </w:r>
          </w:p>
        </w:tc>
        <w:tc>
          <w:tcPr>
            <w:tcW w:w="0" w:type="auto"/>
          </w:tcPr>
          <w:p w:rsidR="00D96FD9" w:rsidRPr="00006A39" w:rsidRDefault="00D96FD9" w:rsidP="009F0AC1">
            <w:pPr>
              <w:widowControl w:val="0"/>
              <w:spacing w:line="276" w:lineRule="auto"/>
              <w:jc w:val="center"/>
              <w:rPr>
                <w:sz w:val="28"/>
                <w:szCs w:val="28"/>
                <w:lang w:val="uk-UA"/>
              </w:rPr>
            </w:pPr>
            <w:r w:rsidRPr="00006A39">
              <w:rPr>
                <w:sz w:val="28"/>
                <w:szCs w:val="28"/>
                <w:lang w:val="uk-UA"/>
              </w:rPr>
              <w:t>6,5</w:t>
            </w:r>
          </w:p>
        </w:tc>
        <w:tc>
          <w:tcPr>
            <w:tcW w:w="0" w:type="auto"/>
          </w:tcPr>
          <w:p w:rsidR="00D96FD9" w:rsidRPr="00006A39" w:rsidRDefault="00D96FD9" w:rsidP="009F0AC1">
            <w:pPr>
              <w:widowControl w:val="0"/>
              <w:spacing w:line="276" w:lineRule="auto"/>
              <w:jc w:val="center"/>
              <w:rPr>
                <w:sz w:val="28"/>
                <w:szCs w:val="28"/>
                <w:lang w:val="uk-UA"/>
              </w:rPr>
            </w:pPr>
            <w:r w:rsidRPr="00006A39">
              <w:rPr>
                <w:sz w:val="28"/>
                <w:szCs w:val="28"/>
                <w:lang w:val="uk-UA"/>
              </w:rPr>
              <w:t>6,7</w:t>
            </w:r>
          </w:p>
        </w:tc>
        <w:tc>
          <w:tcPr>
            <w:tcW w:w="1078" w:type="dxa"/>
          </w:tcPr>
          <w:p w:rsidR="00D96FD9" w:rsidRPr="00006A39" w:rsidRDefault="00D96FD9" w:rsidP="009F0AC1">
            <w:pPr>
              <w:widowControl w:val="0"/>
              <w:spacing w:line="276" w:lineRule="auto"/>
              <w:jc w:val="center"/>
              <w:rPr>
                <w:sz w:val="28"/>
                <w:szCs w:val="28"/>
                <w:lang w:val="uk-UA"/>
              </w:rPr>
            </w:pPr>
            <w:r w:rsidRPr="00006A39">
              <w:rPr>
                <w:sz w:val="28"/>
                <w:szCs w:val="28"/>
                <w:lang w:val="uk-UA"/>
              </w:rPr>
              <w:t>4,5</w:t>
            </w:r>
          </w:p>
        </w:tc>
      </w:tr>
      <w:tr w:rsidR="00D96FD9" w:rsidRPr="00006A39" w:rsidTr="004414E5">
        <w:trPr>
          <w:jc w:val="center"/>
        </w:trPr>
        <w:tc>
          <w:tcPr>
            <w:tcW w:w="4305" w:type="dxa"/>
          </w:tcPr>
          <w:p w:rsidR="00D96FD9" w:rsidRPr="00006A39" w:rsidRDefault="00D96FD9" w:rsidP="009F0AC1">
            <w:pPr>
              <w:widowControl w:val="0"/>
              <w:spacing w:line="276" w:lineRule="auto"/>
              <w:rPr>
                <w:sz w:val="28"/>
                <w:szCs w:val="28"/>
                <w:lang w:val="uk-UA"/>
              </w:rPr>
            </w:pPr>
            <w:r w:rsidRPr="00006A39">
              <w:rPr>
                <w:sz w:val="28"/>
                <w:szCs w:val="28"/>
                <w:lang w:val="uk-UA"/>
              </w:rPr>
              <w:t>Тернопільська область</w:t>
            </w:r>
          </w:p>
        </w:tc>
        <w:tc>
          <w:tcPr>
            <w:tcW w:w="936" w:type="dxa"/>
          </w:tcPr>
          <w:p w:rsidR="00D96FD9" w:rsidRPr="00006A39" w:rsidRDefault="00D96FD9" w:rsidP="009F0AC1">
            <w:pPr>
              <w:widowControl w:val="0"/>
              <w:spacing w:line="276" w:lineRule="auto"/>
              <w:jc w:val="center"/>
              <w:rPr>
                <w:sz w:val="28"/>
                <w:szCs w:val="28"/>
                <w:lang w:val="uk-UA"/>
              </w:rPr>
            </w:pPr>
            <w:r w:rsidRPr="00006A39">
              <w:rPr>
                <w:sz w:val="28"/>
                <w:szCs w:val="28"/>
                <w:lang w:val="uk-UA"/>
              </w:rPr>
              <w:t>7,59</w:t>
            </w:r>
          </w:p>
        </w:tc>
        <w:tc>
          <w:tcPr>
            <w:tcW w:w="846" w:type="dxa"/>
          </w:tcPr>
          <w:p w:rsidR="00D96FD9" w:rsidRPr="00006A39" w:rsidRDefault="00D96FD9" w:rsidP="009F0AC1">
            <w:pPr>
              <w:widowControl w:val="0"/>
              <w:spacing w:line="276" w:lineRule="auto"/>
              <w:jc w:val="center"/>
              <w:rPr>
                <w:sz w:val="28"/>
                <w:szCs w:val="28"/>
                <w:lang w:val="uk-UA"/>
              </w:rPr>
            </w:pPr>
            <w:r w:rsidRPr="00006A39">
              <w:rPr>
                <w:sz w:val="28"/>
                <w:szCs w:val="28"/>
                <w:lang w:val="uk-UA"/>
              </w:rPr>
              <w:t>7,51</w:t>
            </w:r>
          </w:p>
        </w:tc>
        <w:tc>
          <w:tcPr>
            <w:tcW w:w="0" w:type="auto"/>
          </w:tcPr>
          <w:p w:rsidR="00D96FD9" w:rsidRPr="00006A39" w:rsidRDefault="00D96FD9" w:rsidP="009F0AC1">
            <w:pPr>
              <w:widowControl w:val="0"/>
              <w:spacing w:line="276" w:lineRule="auto"/>
              <w:jc w:val="center"/>
              <w:rPr>
                <w:sz w:val="28"/>
                <w:szCs w:val="28"/>
                <w:lang w:val="uk-UA"/>
              </w:rPr>
            </w:pPr>
            <w:r w:rsidRPr="00006A39">
              <w:rPr>
                <w:sz w:val="28"/>
                <w:szCs w:val="28"/>
                <w:lang w:val="uk-UA"/>
              </w:rPr>
              <w:t>5,2</w:t>
            </w:r>
          </w:p>
        </w:tc>
        <w:tc>
          <w:tcPr>
            <w:tcW w:w="0" w:type="auto"/>
          </w:tcPr>
          <w:p w:rsidR="00D96FD9" w:rsidRPr="00006A39" w:rsidRDefault="00D96FD9" w:rsidP="009F0AC1">
            <w:pPr>
              <w:widowControl w:val="0"/>
              <w:spacing w:line="276" w:lineRule="auto"/>
              <w:jc w:val="center"/>
              <w:rPr>
                <w:sz w:val="28"/>
                <w:szCs w:val="28"/>
                <w:lang w:val="uk-UA"/>
              </w:rPr>
            </w:pPr>
            <w:r w:rsidRPr="00006A39">
              <w:rPr>
                <w:sz w:val="28"/>
                <w:szCs w:val="28"/>
                <w:lang w:val="uk-UA"/>
              </w:rPr>
              <w:t>8,7</w:t>
            </w:r>
          </w:p>
        </w:tc>
        <w:tc>
          <w:tcPr>
            <w:tcW w:w="1078" w:type="dxa"/>
          </w:tcPr>
          <w:p w:rsidR="00D96FD9" w:rsidRPr="00006A39" w:rsidRDefault="00D96FD9" w:rsidP="009F0AC1">
            <w:pPr>
              <w:widowControl w:val="0"/>
              <w:spacing w:line="276" w:lineRule="auto"/>
              <w:jc w:val="center"/>
              <w:rPr>
                <w:sz w:val="28"/>
                <w:szCs w:val="28"/>
                <w:lang w:val="uk-UA"/>
              </w:rPr>
            </w:pPr>
            <w:r w:rsidRPr="00006A39">
              <w:rPr>
                <w:sz w:val="28"/>
                <w:szCs w:val="28"/>
                <w:lang w:val="uk-UA"/>
              </w:rPr>
              <w:t>6,3</w:t>
            </w:r>
          </w:p>
        </w:tc>
      </w:tr>
      <w:tr w:rsidR="00D96FD9" w:rsidRPr="00006A39" w:rsidTr="004414E5">
        <w:trPr>
          <w:jc w:val="center"/>
        </w:trPr>
        <w:tc>
          <w:tcPr>
            <w:tcW w:w="4305" w:type="dxa"/>
          </w:tcPr>
          <w:p w:rsidR="00D96FD9" w:rsidRPr="00006A39" w:rsidRDefault="00D96FD9" w:rsidP="009F0AC1">
            <w:pPr>
              <w:widowControl w:val="0"/>
              <w:spacing w:line="276" w:lineRule="auto"/>
              <w:rPr>
                <w:sz w:val="28"/>
                <w:szCs w:val="28"/>
                <w:lang w:val="uk-UA"/>
              </w:rPr>
            </w:pPr>
            <w:r w:rsidRPr="00006A39">
              <w:rPr>
                <w:sz w:val="28"/>
                <w:szCs w:val="28"/>
                <w:lang w:val="uk-UA"/>
              </w:rPr>
              <w:t>Харківська область</w:t>
            </w:r>
          </w:p>
        </w:tc>
        <w:tc>
          <w:tcPr>
            <w:tcW w:w="936" w:type="dxa"/>
          </w:tcPr>
          <w:p w:rsidR="00D96FD9" w:rsidRPr="00006A39" w:rsidRDefault="00D96FD9" w:rsidP="009F0AC1">
            <w:pPr>
              <w:widowControl w:val="0"/>
              <w:spacing w:line="276" w:lineRule="auto"/>
              <w:jc w:val="center"/>
              <w:rPr>
                <w:sz w:val="28"/>
                <w:szCs w:val="28"/>
                <w:lang w:val="uk-UA"/>
              </w:rPr>
            </w:pPr>
            <w:r w:rsidRPr="00006A39">
              <w:rPr>
                <w:sz w:val="28"/>
                <w:szCs w:val="28"/>
                <w:lang w:val="uk-UA"/>
              </w:rPr>
              <w:t>9,73</w:t>
            </w:r>
          </w:p>
        </w:tc>
        <w:tc>
          <w:tcPr>
            <w:tcW w:w="846" w:type="dxa"/>
          </w:tcPr>
          <w:p w:rsidR="00D96FD9" w:rsidRPr="00006A39" w:rsidRDefault="00D96FD9" w:rsidP="009F0AC1">
            <w:pPr>
              <w:widowControl w:val="0"/>
              <w:spacing w:line="276" w:lineRule="auto"/>
              <w:jc w:val="center"/>
              <w:rPr>
                <w:sz w:val="28"/>
                <w:szCs w:val="28"/>
                <w:lang w:val="uk-UA"/>
              </w:rPr>
            </w:pPr>
            <w:r w:rsidRPr="00006A39">
              <w:rPr>
                <w:sz w:val="28"/>
                <w:szCs w:val="28"/>
                <w:lang w:val="uk-UA"/>
              </w:rPr>
              <w:t>9,78</w:t>
            </w:r>
          </w:p>
        </w:tc>
        <w:tc>
          <w:tcPr>
            <w:tcW w:w="0" w:type="auto"/>
          </w:tcPr>
          <w:p w:rsidR="00D96FD9" w:rsidRPr="00006A39" w:rsidRDefault="00D96FD9" w:rsidP="009F0AC1">
            <w:pPr>
              <w:widowControl w:val="0"/>
              <w:spacing w:line="276" w:lineRule="auto"/>
              <w:jc w:val="center"/>
              <w:rPr>
                <w:sz w:val="28"/>
                <w:szCs w:val="28"/>
                <w:lang w:val="uk-UA"/>
              </w:rPr>
            </w:pPr>
            <w:r w:rsidRPr="00006A39">
              <w:rPr>
                <w:sz w:val="28"/>
                <w:szCs w:val="28"/>
                <w:lang w:val="uk-UA"/>
              </w:rPr>
              <w:t>7,4</w:t>
            </w:r>
          </w:p>
        </w:tc>
        <w:tc>
          <w:tcPr>
            <w:tcW w:w="0" w:type="auto"/>
          </w:tcPr>
          <w:p w:rsidR="00D96FD9" w:rsidRPr="00006A39" w:rsidRDefault="00D96FD9" w:rsidP="009F0AC1">
            <w:pPr>
              <w:widowControl w:val="0"/>
              <w:spacing w:line="276" w:lineRule="auto"/>
              <w:jc w:val="center"/>
              <w:rPr>
                <w:sz w:val="28"/>
                <w:szCs w:val="28"/>
                <w:lang w:val="uk-UA"/>
              </w:rPr>
            </w:pPr>
            <w:r w:rsidRPr="00006A39">
              <w:rPr>
                <w:sz w:val="28"/>
                <w:szCs w:val="28"/>
                <w:lang w:val="uk-UA"/>
              </w:rPr>
              <w:t>7,5</w:t>
            </w:r>
          </w:p>
        </w:tc>
        <w:tc>
          <w:tcPr>
            <w:tcW w:w="1078" w:type="dxa"/>
          </w:tcPr>
          <w:p w:rsidR="00D96FD9" w:rsidRPr="00006A39" w:rsidRDefault="00D96FD9" w:rsidP="009F0AC1">
            <w:pPr>
              <w:widowControl w:val="0"/>
              <w:spacing w:line="276" w:lineRule="auto"/>
              <w:jc w:val="center"/>
              <w:rPr>
                <w:sz w:val="28"/>
                <w:szCs w:val="28"/>
                <w:lang w:val="uk-UA"/>
              </w:rPr>
            </w:pPr>
            <w:r w:rsidRPr="00006A39">
              <w:rPr>
                <w:sz w:val="28"/>
                <w:szCs w:val="28"/>
                <w:lang w:val="uk-UA"/>
              </w:rPr>
              <w:t>7,0</w:t>
            </w:r>
          </w:p>
        </w:tc>
      </w:tr>
      <w:tr w:rsidR="00D96FD9" w:rsidRPr="00006A39" w:rsidTr="004414E5">
        <w:trPr>
          <w:jc w:val="center"/>
        </w:trPr>
        <w:tc>
          <w:tcPr>
            <w:tcW w:w="4305" w:type="dxa"/>
          </w:tcPr>
          <w:p w:rsidR="00D96FD9" w:rsidRPr="00006A39" w:rsidRDefault="00D96FD9" w:rsidP="009F0AC1">
            <w:pPr>
              <w:widowControl w:val="0"/>
              <w:spacing w:line="276" w:lineRule="auto"/>
              <w:rPr>
                <w:sz w:val="28"/>
                <w:szCs w:val="28"/>
                <w:lang w:val="uk-UA"/>
              </w:rPr>
            </w:pPr>
            <w:r w:rsidRPr="00006A39">
              <w:rPr>
                <w:sz w:val="28"/>
                <w:szCs w:val="28"/>
                <w:lang w:val="uk-UA"/>
              </w:rPr>
              <w:t>Херсонська область</w:t>
            </w:r>
          </w:p>
        </w:tc>
        <w:tc>
          <w:tcPr>
            <w:tcW w:w="936" w:type="dxa"/>
          </w:tcPr>
          <w:p w:rsidR="00D96FD9" w:rsidRPr="00006A39" w:rsidRDefault="00D96FD9" w:rsidP="009F0AC1">
            <w:pPr>
              <w:widowControl w:val="0"/>
              <w:spacing w:line="276" w:lineRule="auto"/>
              <w:jc w:val="center"/>
              <w:rPr>
                <w:sz w:val="28"/>
                <w:szCs w:val="28"/>
                <w:lang w:val="uk-UA"/>
              </w:rPr>
            </w:pPr>
            <w:r w:rsidRPr="00006A39">
              <w:rPr>
                <w:sz w:val="28"/>
                <w:szCs w:val="28"/>
                <w:lang w:val="uk-UA"/>
              </w:rPr>
              <w:t>8,37</w:t>
            </w:r>
          </w:p>
        </w:tc>
        <w:tc>
          <w:tcPr>
            <w:tcW w:w="846" w:type="dxa"/>
          </w:tcPr>
          <w:p w:rsidR="00D96FD9" w:rsidRPr="00006A39" w:rsidRDefault="00D96FD9" w:rsidP="009F0AC1">
            <w:pPr>
              <w:widowControl w:val="0"/>
              <w:spacing w:line="276" w:lineRule="auto"/>
              <w:jc w:val="center"/>
              <w:rPr>
                <w:sz w:val="28"/>
                <w:szCs w:val="28"/>
                <w:lang w:val="uk-UA"/>
              </w:rPr>
            </w:pPr>
            <w:r w:rsidRPr="00006A39">
              <w:rPr>
                <w:sz w:val="28"/>
                <w:szCs w:val="28"/>
                <w:lang w:val="uk-UA"/>
              </w:rPr>
              <w:t>8,36</w:t>
            </w:r>
          </w:p>
        </w:tc>
        <w:tc>
          <w:tcPr>
            <w:tcW w:w="0" w:type="auto"/>
          </w:tcPr>
          <w:p w:rsidR="00D96FD9" w:rsidRPr="00006A39" w:rsidRDefault="00D96FD9" w:rsidP="009F0AC1">
            <w:pPr>
              <w:widowControl w:val="0"/>
              <w:spacing w:line="276" w:lineRule="auto"/>
              <w:jc w:val="center"/>
              <w:rPr>
                <w:sz w:val="28"/>
                <w:szCs w:val="28"/>
                <w:lang w:val="uk-UA"/>
              </w:rPr>
            </w:pPr>
            <w:r w:rsidRPr="00006A39">
              <w:rPr>
                <w:sz w:val="28"/>
                <w:szCs w:val="28"/>
                <w:lang w:val="uk-UA"/>
              </w:rPr>
              <w:t>9,9</w:t>
            </w:r>
          </w:p>
        </w:tc>
        <w:tc>
          <w:tcPr>
            <w:tcW w:w="0" w:type="auto"/>
          </w:tcPr>
          <w:p w:rsidR="00D96FD9" w:rsidRPr="00006A39" w:rsidRDefault="00D96FD9" w:rsidP="009F0AC1">
            <w:pPr>
              <w:widowControl w:val="0"/>
              <w:spacing w:line="276" w:lineRule="auto"/>
              <w:jc w:val="center"/>
              <w:rPr>
                <w:sz w:val="28"/>
                <w:szCs w:val="28"/>
                <w:lang w:val="uk-UA"/>
              </w:rPr>
            </w:pPr>
            <w:r w:rsidRPr="00006A39">
              <w:rPr>
                <w:sz w:val="28"/>
                <w:szCs w:val="28"/>
                <w:lang w:val="uk-UA"/>
              </w:rPr>
              <w:t>7,7</w:t>
            </w:r>
          </w:p>
        </w:tc>
        <w:tc>
          <w:tcPr>
            <w:tcW w:w="1078" w:type="dxa"/>
          </w:tcPr>
          <w:p w:rsidR="00D96FD9" w:rsidRPr="00006A39" w:rsidRDefault="00D96FD9" w:rsidP="009F0AC1">
            <w:pPr>
              <w:widowControl w:val="0"/>
              <w:spacing w:line="276" w:lineRule="auto"/>
              <w:jc w:val="center"/>
              <w:rPr>
                <w:sz w:val="28"/>
                <w:szCs w:val="28"/>
                <w:lang w:val="uk-UA"/>
              </w:rPr>
            </w:pPr>
            <w:r w:rsidRPr="00006A39">
              <w:rPr>
                <w:sz w:val="28"/>
                <w:szCs w:val="28"/>
                <w:lang w:val="uk-UA"/>
              </w:rPr>
              <w:t>8,4</w:t>
            </w:r>
          </w:p>
        </w:tc>
      </w:tr>
      <w:tr w:rsidR="00D96FD9" w:rsidRPr="00006A39" w:rsidTr="004414E5">
        <w:trPr>
          <w:jc w:val="center"/>
        </w:trPr>
        <w:tc>
          <w:tcPr>
            <w:tcW w:w="4305" w:type="dxa"/>
          </w:tcPr>
          <w:p w:rsidR="00D96FD9" w:rsidRPr="00006A39" w:rsidRDefault="00D96FD9" w:rsidP="009F0AC1">
            <w:pPr>
              <w:widowControl w:val="0"/>
              <w:spacing w:line="276" w:lineRule="auto"/>
              <w:rPr>
                <w:sz w:val="28"/>
                <w:szCs w:val="28"/>
                <w:lang w:val="uk-UA"/>
              </w:rPr>
            </w:pPr>
            <w:r w:rsidRPr="00006A39">
              <w:rPr>
                <w:sz w:val="28"/>
                <w:szCs w:val="28"/>
                <w:lang w:val="uk-UA"/>
              </w:rPr>
              <w:t>Хмельницька область</w:t>
            </w:r>
          </w:p>
        </w:tc>
        <w:tc>
          <w:tcPr>
            <w:tcW w:w="936" w:type="dxa"/>
          </w:tcPr>
          <w:p w:rsidR="00D96FD9" w:rsidRPr="00006A39" w:rsidRDefault="00D96FD9" w:rsidP="009F0AC1">
            <w:pPr>
              <w:widowControl w:val="0"/>
              <w:spacing w:line="276" w:lineRule="auto"/>
              <w:jc w:val="center"/>
              <w:rPr>
                <w:sz w:val="28"/>
                <w:szCs w:val="28"/>
                <w:lang w:val="uk-UA"/>
              </w:rPr>
            </w:pPr>
            <w:r w:rsidRPr="00006A39">
              <w:rPr>
                <w:sz w:val="28"/>
                <w:szCs w:val="28"/>
                <w:lang w:val="uk-UA"/>
              </w:rPr>
              <w:t>8,35</w:t>
            </w:r>
          </w:p>
        </w:tc>
        <w:tc>
          <w:tcPr>
            <w:tcW w:w="846" w:type="dxa"/>
          </w:tcPr>
          <w:p w:rsidR="00D96FD9" w:rsidRPr="00006A39" w:rsidRDefault="00D96FD9" w:rsidP="009F0AC1">
            <w:pPr>
              <w:widowControl w:val="0"/>
              <w:spacing w:line="276" w:lineRule="auto"/>
              <w:jc w:val="center"/>
              <w:rPr>
                <w:sz w:val="28"/>
                <w:szCs w:val="28"/>
                <w:lang w:val="uk-UA"/>
              </w:rPr>
            </w:pPr>
            <w:r w:rsidRPr="00006A39">
              <w:rPr>
                <w:sz w:val="28"/>
                <w:szCs w:val="28"/>
                <w:lang w:val="uk-UA"/>
              </w:rPr>
              <w:t>8,32</w:t>
            </w:r>
          </w:p>
        </w:tc>
        <w:tc>
          <w:tcPr>
            <w:tcW w:w="0" w:type="auto"/>
          </w:tcPr>
          <w:p w:rsidR="00D96FD9" w:rsidRPr="00006A39" w:rsidRDefault="00D96FD9" w:rsidP="009F0AC1">
            <w:pPr>
              <w:widowControl w:val="0"/>
              <w:spacing w:line="276" w:lineRule="auto"/>
              <w:jc w:val="center"/>
              <w:rPr>
                <w:sz w:val="28"/>
                <w:szCs w:val="28"/>
                <w:lang w:val="uk-UA"/>
              </w:rPr>
            </w:pPr>
            <w:r w:rsidRPr="00006A39">
              <w:rPr>
                <w:sz w:val="28"/>
                <w:szCs w:val="28"/>
                <w:lang w:val="uk-UA"/>
              </w:rPr>
              <w:t>6,6</w:t>
            </w:r>
          </w:p>
        </w:tc>
        <w:tc>
          <w:tcPr>
            <w:tcW w:w="0" w:type="auto"/>
          </w:tcPr>
          <w:p w:rsidR="00D96FD9" w:rsidRPr="00006A39" w:rsidRDefault="00D96FD9" w:rsidP="009F0AC1">
            <w:pPr>
              <w:widowControl w:val="0"/>
              <w:spacing w:line="276" w:lineRule="auto"/>
              <w:jc w:val="center"/>
              <w:rPr>
                <w:sz w:val="28"/>
                <w:szCs w:val="28"/>
                <w:lang w:val="uk-UA"/>
              </w:rPr>
            </w:pPr>
            <w:r w:rsidRPr="00006A39">
              <w:rPr>
                <w:sz w:val="28"/>
                <w:szCs w:val="28"/>
                <w:lang w:val="uk-UA"/>
              </w:rPr>
              <w:t>9,1</w:t>
            </w:r>
          </w:p>
        </w:tc>
        <w:tc>
          <w:tcPr>
            <w:tcW w:w="1078" w:type="dxa"/>
          </w:tcPr>
          <w:p w:rsidR="00D96FD9" w:rsidRPr="00006A39" w:rsidRDefault="00D96FD9" w:rsidP="009F0AC1">
            <w:pPr>
              <w:widowControl w:val="0"/>
              <w:spacing w:line="276" w:lineRule="auto"/>
              <w:jc w:val="center"/>
              <w:rPr>
                <w:sz w:val="28"/>
                <w:szCs w:val="28"/>
                <w:lang w:val="uk-UA"/>
              </w:rPr>
            </w:pPr>
            <w:r w:rsidRPr="00006A39">
              <w:rPr>
                <w:sz w:val="28"/>
                <w:szCs w:val="28"/>
                <w:lang w:val="uk-UA"/>
              </w:rPr>
              <w:t>6,4</w:t>
            </w:r>
          </w:p>
        </w:tc>
      </w:tr>
      <w:tr w:rsidR="00D96FD9" w:rsidRPr="00006A39" w:rsidTr="004414E5">
        <w:trPr>
          <w:jc w:val="center"/>
        </w:trPr>
        <w:tc>
          <w:tcPr>
            <w:tcW w:w="4305" w:type="dxa"/>
          </w:tcPr>
          <w:p w:rsidR="00D96FD9" w:rsidRPr="00006A39" w:rsidRDefault="00D96FD9" w:rsidP="009F0AC1">
            <w:pPr>
              <w:widowControl w:val="0"/>
              <w:spacing w:line="276" w:lineRule="auto"/>
              <w:rPr>
                <w:sz w:val="28"/>
                <w:szCs w:val="28"/>
                <w:lang w:val="uk-UA"/>
              </w:rPr>
            </w:pPr>
            <w:r w:rsidRPr="00006A39">
              <w:rPr>
                <w:sz w:val="28"/>
                <w:szCs w:val="28"/>
                <w:lang w:val="uk-UA"/>
              </w:rPr>
              <w:t>Черкаська область</w:t>
            </w:r>
          </w:p>
        </w:tc>
        <w:tc>
          <w:tcPr>
            <w:tcW w:w="936" w:type="dxa"/>
          </w:tcPr>
          <w:p w:rsidR="00D96FD9" w:rsidRPr="00006A39" w:rsidRDefault="00D96FD9" w:rsidP="009F0AC1">
            <w:pPr>
              <w:widowControl w:val="0"/>
              <w:spacing w:line="276" w:lineRule="auto"/>
              <w:jc w:val="center"/>
              <w:rPr>
                <w:sz w:val="28"/>
                <w:szCs w:val="28"/>
                <w:lang w:val="uk-UA"/>
              </w:rPr>
            </w:pPr>
            <w:r w:rsidRPr="00006A39">
              <w:rPr>
                <w:sz w:val="28"/>
                <w:szCs w:val="28"/>
                <w:lang w:val="uk-UA"/>
              </w:rPr>
              <w:t>8,85</w:t>
            </w:r>
          </w:p>
        </w:tc>
        <w:tc>
          <w:tcPr>
            <w:tcW w:w="846" w:type="dxa"/>
          </w:tcPr>
          <w:p w:rsidR="00D96FD9" w:rsidRPr="00006A39" w:rsidRDefault="00D96FD9" w:rsidP="009F0AC1">
            <w:pPr>
              <w:widowControl w:val="0"/>
              <w:spacing w:line="276" w:lineRule="auto"/>
              <w:jc w:val="center"/>
              <w:rPr>
                <w:sz w:val="28"/>
                <w:szCs w:val="28"/>
                <w:lang w:val="uk-UA"/>
              </w:rPr>
            </w:pPr>
            <w:r w:rsidRPr="00006A39">
              <w:rPr>
                <w:sz w:val="28"/>
                <w:szCs w:val="28"/>
                <w:lang w:val="uk-UA"/>
              </w:rPr>
              <w:t>7,48</w:t>
            </w:r>
          </w:p>
        </w:tc>
        <w:tc>
          <w:tcPr>
            <w:tcW w:w="0" w:type="auto"/>
          </w:tcPr>
          <w:p w:rsidR="00D96FD9" w:rsidRPr="00006A39" w:rsidRDefault="00D96FD9" w:rsidP="009F0AC1">
            <w:pPr>
              <w:widowControl w:val="0"/>
              <w:spacing w:line="276" w:lineRule="auto"/>
              <w:jc w:val="center"/>
              <w:rPr>
                <w:sz w:val="28"/>
                <w:szCs w:val="28"/>
                <w:lang w:val="uk-UA"/>
              </w:rPr>
            </w:pPr>
            <w:r w:rsidRPr="00006A39">
              <w:rPr>
                <w:sz w:val="28"/>
                <w:szCs w:val="28"/>
                <w:lang w:val="uk-UA"/>
              </w:rPr>
              <w:t>8,4</w:t>
            </w:r>
          </w:p>
        </w:tc>
        <w:tc>
          <w:tcPr>
            <w:tcW w:w="0" w:type="auto"/>
          </w:tcPr>
          <w:p w:rsidR="00D96FD9" w:rsidRPr="00006A39" w:rsidRDefault="00D96FD9" w:rsidP="009F0AC1">
            <w:pPr>
              <w:widowControl w:val="0"/>
              <w:spacing w:line="276" w:lineRule="auto"/>
              <w:jc w:val="center"/>
              <w:rPr>
                <w:sz w:val="28"/>
                <w:szCs w:val="28"/>
                <w:lang w:val="uk-UA"/>
              </w:rPr>
            </w:pPr>
            <w:r w:rsidRPr="00006A39">
              <w:rPr>
                <w:sz w:val="28"/>
                <w:szCs w:val="28"/>
                <w:lang w:val="uk-UA"/>
              </w:rPr>
              <w:t>8,0</w:t>
            </w:r>
          </w:p>
        </w:tc>
        <w:tc>
          <w:tcPr>
            <w:tcW w:w="1078" w:type="dxa"/>
          </w:tcPr>
          <w:p w:rsidR="00D96FD9" w:rsidRPr="00006A39" w:rsidRDefault="00D96FD9" w:rsidP="009F0AC1">
            <w:pPr>
              <w:widowControl w:val="0"/>
              <w:spacing w:line="276" w:lineRule="auto"/>
              <w:jc w:val="center"/>
              <w:rPr>
                <w:sz w:val="28"/>
                <w:szCs w:val="28"/>
                <w:lang w:val="uk-UA"/>
              </w:rPr>
            </w:pPr>
            <w:r w:rsidRPr="00006A39">
              <w:rPr>
                <w:sz w:val="28"/>
                <w:szCs w:val="28"/>
                <w:lang w:val="uk-UA"/>
              </w:rPr>
              <w:t>9,1</w:t>
            </w:r>
          </w:p>
        </w:tc>
      </w:tr>
      <w:tr w:rsidR="00D96FD9" w:rsidRPr="00006A39" w:rsidTr="004414E5">
        <w:trPr>
          <w:jc w:val="center"/>
        </w:trPr>
        <w:tc>
          <w:tcPr>
            <w:tcW w:w="4305" w:type="dxa"/>
          </w:tcPr>
          <w:p w:rsidR="00D96FD9" w:rsidRPr="00006A39" w:rsidRDefault="00D96FD9" w:rsidP="009F0AC1">
            <w:pPr>
              <w:widowControl w:val="0"/>
              <w:spacing w:line="276" w:lineRule="auto"/>
              <w:rPr>
                <w:sz w:val="28"/>
                <w:szCs w:val="28"/>
                <w:lang w:val="uk-UA"/>
              </w:rPr>
            </w:pPr>
            <w:r w:rsidRPr="00006A39">
              <w:rPr>
                <w:sz w:val="28"/>
                <w:szCs w:val="28"/>
                <w:lang w:val="uk-UA"/>
              </w:rPr>
              <w:t>Чернівецька область</w:t>
            </w:r>
          </w:p>
        </w:tc>
        <w:tc>
          <w:tcPr>
            <w:tcW w:w="936" w:type="dxa"/>
          </w:tcPr>
          <w:p w:rsidR="00D96FD9" w:rsidRPr="00006A39" w:rsidRDefault="00D96FD9" w:rsidP="009F0AC1">
            <w:pPr>
              <w:widowControl w:val="0"/>
              <w:spacing w:line="276" w:lineRule="auto"/>
              <w:jc w:val="center"/>
              <w:rPr>
                <w:sz w:val="28"/>
                <w:szCs w:val="28"/>
                <w:lang w:val="uk-UA"/>
              </w:rPr>
            </w:pPr>
            <w:r w:rsidRPr="00006A39">
              <w:rPr>
                <w:sz w:val="28"/>
                <w:szCs w:val="28"/>
                <w:lang w:val="uk-UA"/>
              </w:rPr>
              <w:t>7,46</w:t>
            </w:r>
          </w:p>
        </w:tc>
        <w:tc>
          <w:tcPr>
            <w:tcW w:w="846" w:type="dxa"/>
          </w:tcPr>
          <w:p w:rsidR="00D96FD9" w:rsidRPr="00006A39" w:rsidRDefault="00D96FD9" w:rsidP="009F0AC1">
            <w:pPr>
              <w:widowControl w:val="0"/>
              <w:spacing w:line="276" w:lineRule="auto"/>
              <w:jc w:val="center"/>
              <w:rPr>
                <w:sz w:val="28"/>
                <w:szCs w:val="28"/>
                <w:lang w:val="uk-UA"/>
              </w:rPr>
            </w:pPr>
            <w:r w:rsidRPr="00006A39">
              <w:rPr>
                <w:sz w:val="28"/>
                <w:szCs w:val="28"/>
                <w:lang w:val="uk-UA"/>
              </w:rPr>
              <w:t>8,64</w:t>
            </w:r>
          </w:p>
        </w:tc>
        <w:tc>
          <w:tcPr>
            <w:tcW w:w="0" w:type="auto"/>
          </w:tcPr>
          <w:p w:rsidR="00D96FD9" w:rsidRPr="00006A39" w:rsidRDefault="00D96FD9" w:rsidP="009F0AC1">
            <w:pPr>
              <w:widowControl w:val="0"/>
              <w:spacing w:line="276" w:lineRule="auto"/>
              <w:jc w:val="center"/>
              <w:rPr>
                <w:sz w:val="28"/>
                <w:szCs w:val="28"/>
                <w:lang w:val="uk-UA"/>
              </w:rPr>
            </w:pPr>
            <w:r w:rsidRPr="00006A39">
              <w:rPr>
                <w:sz w:val="28"/>
                <w:szCs w:val="28"/>
                <w:lang w:val="uk-UA"/>
              </w:rPr>
              <w:t>8,9</w:t>
            </w:r>
          </w:p>
        </w:tc>
        <w:tc>
          <w:tcPr>
            <w:tcW w:w="0" w:type="auto"/>
          </w:tcPr>
          <w:p w:rsidR="00D96FD9" w:rsidRPr="00006A39" w:rsidRDefault="00D96FD9" w:rsidP="009F0AC1">
            <w:pPr>
              <w:widowControl w:val="0"/>
              <w:spacing w:line="276" w:lineRule="auto"/>
              <w:jc w:val="center"/>
              <w:rPr>
                <w:sz w:val="28"/>
                <w:szCs w:val="28"/>
                <w:lang w:val="uk-UA"/>
              </w:rPr>
            </w:pPr>
            <w:r w:rsidRPr="00006A39">
              <w:rPr>
                <w:sz w:val="28"/>
                <w:szCs w:val="28"/>
                <w:lang w:val="uk-UA"/>
              </w:rPr>
              <w:t>9,9</w:t>
            </w:r>
          </w:p>
        </w:tc>
        <w:tc>
          <w:tcPr>
            <w:tcW w:w="1078" w:type="dxa"/>
          </w:tcPr>
          <w:p w:rsidR="00D96FD9" w:rsidRPr="00006A39" w:rsidRDefault="00D96FD9" w:rsidP="009F0AC1">
            <w:pPr>
              <w:widowControl w:val="0"/>
              <w:spacing w:line="276" w:lineRule="auto"/>
              <w:jc w:val="center"/>
              <w:rPr>
                <w:sz w:val="28"/>
                <w:szCs w:val="28"/>
                <w:lang w:val="uk-UA"/>
              </w:rPr>
            </w:pPr>
            <w:r w:rsidRPr="00006A39">
              <w:rPr>
                <w:sz w:val="28"/>
                <w:szCs w:val="28"/>
                <w:lang w:val="uk-UA"/>
              </w:rPr>
              <w:t>8,1</w:t>
            </w:r>
          </w:p>
        </w:tc>
      </w:tr>
      <w:tr w:rsidR="00D96FD9" w:rsidRPr="00006A39" w:rsidTr="004414E5">
        <w:trPr>
          <w:jc w:val="center"/>
        </w:trPr>
        <w:tc>
          <w:tcPr>
            <w:tcW w:w="4305" w:type="dxa"/>
          </w:tcPr>
          <w:p w:rsidR="00D96FD9" w:rsidRPr="00006A39" w:rsidRDefault="00D96FD9" w:rsidP="009F0AC1">
            <w:pPr>
              <w:widowControl w:val="0"/>
              <w:spacing w:line="276" w:lineRule="auto"/>
              <w:rPr>
                <w:sz w:val="28"/>
                <w:szCs w:val="28"/>
                <w:lang w:val="uk-UA"/>
              </w:rPr>
            </w:pPr>
            <w:r w:rsidRPr="00006A39">
              <w:rPr>
                <w:sz w:val="28"/>
                <w:szCs w:val="28"/>
                <w:lang w:val="uk-UA"/>
              </w:rPr>
              <w:t>Чернігівська область</w:t>
            </w:r>
          </w:p>
        </w:tc>
        <w:tc>
          <w:tcPr>
            <w:tcW w:w="936" w:type="dxa"/>
          </w:tcPr>
          <w:p w:rsidR="00D96FD9" w:rsidRPr="00006A39" w:rsidRDefault="00D96FD9" w:rsidP="009F0AC1">
            <w:pPr>
              <w:widowControl w:val="0"/>
              <w:spacing w:line="276" w:lineRule="auto"/>
              <w:jc w:val="center"/>
              <w:rPr>
                <w:sz w:val="28"/>
                <w:szCs w:val="28"/>
                <w:lang w:val="uk-UA"/>
              </w:rPr>
            </w:pPr>
            <w:r w:rsidRPr="00006A39">
              <w:rPr>
                <w:sz w:val="28"/>
                <w:szCs w:val="28"/>
                <w:lang w:val="uk-UA"/>
              </w:rPr>
              <w:t>8,35</w:t>
            </w:r>
          </w:p>
        </w:tc>
        <w:tc>
          <w:tcPr>
            <w:tcW w:w="846" w:type="dxa"/>
          </w:tcPr>
          <w:p w:rsidR="00D96FD9" w:rsidRPr="00006A39" w:rsidRDefault="00D96FD9" w:rsidP="009F0AC1">
            <w:pPr>
              <w:widowControl w:val="0"/>
              <w:spacing w:line="276" w:lineRule="auto"/>
              <w:jc w:val="center"/>
              <w:rPr>
                <w:sz w:val="28"/>
                <w:szCs w:val="28"/>
                <w:lang w:val="uk-UA"/>
              </w:rPr>
            </w:pPr>
            <w:r w:rsidRPr="00006A39">
              <w:rPr>
                <w:sz w:val="28"/>
                <w:szCs w:val="28"/>
                <w:lang w:val="uk-UA"/>
              </w:rPr>
              <w:t>8,30</w:t>
            </w:r>
          </w:p>
        </w:tc>
        <w:tc>
          <w:tcPr>
            <w:tcW w:w="0" w:type="auto"/>
          </w:tcPr>
          <w:p w:rsidR="00D96FD9" w:rsidRPr="00006A39" w:rsidRDefault="00D96FD9" w:rsidP="009F0AC1">
            <w:pPr>
              <w:widowControl w:val="0"/>
              <w:spacing w:line="276" w:lineRule="auto"/>
              <w:jc w:val="center"/>
              <w:rPr>
                <w:sz w:val="28"/>
                <w:szCs w:val="28"/>
                <w:lang w:val="uk-UA"/>
              </w:rPr>
            </w:pPr>
            <w:r w:rsidRPr="00006A39">
              <w:rPr>
                <w:sz w:val="28"/>
                <w:szCs w:val="28"/>
                <w:lang w:val="uk-UA"/>
              </w:rPr>
              <w:t>9,2</w:t>
            </w:r>
          </w:p>
        </w:tc>
        <w:tc>
          <w:tcPr>
            <w:tcW w:w="0" w:type="auto"/>
          </w:tcPr>
          <w:p w:rsidR="00D96FD9" w:rsidRPr="00006A39" w:rsidRDefault="00D96FD9" w:rsidP="009F0AC1">
            <w:pPr>
              <w:widowControl w:val="0"/>
              <w:spacing w:line="276" w:lineRule="auto"/>
              <w:jc w:val="center"/>
              <w:rPr>
                <w:sz w:val="28"/>
                <w:szCs w:val="28"/>
                <w:lang w:val="uk-UA"/>
              </w:rPr>
            </w:pPr>
            <w:r w:rsidRPr="00006A39">
              <w:rPr>
                <w:sz w:val="28"/>
                <w:szCs w:val="28"/>
                <w:lang w:val="uk-UA"/>
              </w:rPr>
              <w:t>6,4</w:t>
            </w:r>
          </w:p>
        </w:tc>
        <w:tc>
          <w:tcPr>
            <w:tcW w:w="1078" w:type="dxa"/>
          </w:tcPr>
          <w:p w:rsidR="00D96FD9" w:rsidRPr="00006A39" w:rsidRDefault="00D96FD9" w:rsidP="009F0AC1">
            <w:pPr>
              <w:widowControl w:val="0"/>
              <w:spacing w:line="276" w:lineRule="auto"/>
              <w:jc w:val="center"/>
              <w:rPr>
                <w:sz w:val="28"/>
                <w:szCs w:val="28"/>
                <w:lang w:val="uk-UA"/>
              </w:rPr>
            </w:pPr>
            <w:r w:rsidRPr="00006A39">
              <w:rPr>
                <w:sz w:val="28"/>
                <w:szCs w:val="28"/>
                <w:lang w:val="uk-UA"/>
              </w:rPr>
              <w:t>7,6</w:t>
            </w:r>
          </w:p>
        </w:tc>
      </w:tr>
      <w:tr w:rsidR="00D96FD9" w:rsidRPr="00006A39" w:rsidTr="004414E5">
        <w:trPr>
          <w:jc w:val="center"/>
        </w:trPr>
        <w:tc>
          <w:tcPr>
            <w:tcW w:w="4305" w:type="dxa"/>
          </w:tcPr>
          <w:p w:rsidR="00D96FD9" w:rsidRPr="00006A39" w:rsidRDefault="00D96FD9" w:rsidP="009F0AC1">
            <w:pPr>
              <w:widowControl w:val="0"/>
              <w:spacing w:line="276" w:lineRule="auto"/>
              <w:rPr>
                <w:sz w:val="28"/>
                <w:szCs w:val="28"/>
                <w:lang w:val="uk-UA"/>
              </w:rPr>
            </w:pPr>
            <w:r w:rsidRPr="00006A39">
              <w:rPr>
                <w:sz w:val="28"/>
                <w:szCs w:val="28"/>
                <w:lang w:val="uk-UA"/>
              </w:rPr>
              <w:t>м. Київ</w:t>
            </w:r>
          </w:p>
        </w:tc>
        <w:tc>
          <w:tcPr>
            <w:tcW w:w="936" w:type="dxa"/>
          </w:tcPr>
          <w:p w:rsidR="00D96FD9" w:rsidRPr="00006A39" w:rsidRDefault="00D96FD9" w:rsidP="009F0AC1">
            <w:pPr>
              <w:widowControl w:val="0"/>
              <w:spacing w:line="276" w:lineRule="auto"/>
              <w:jc w:val="center"/>
              <w:rPr>
                <w:sz w:val="28"/>
                <w:szCs w:val="28"/>
                <w:lang w:val="uk-UA"/>
              </w:rPr>
            </w:pPr>
            <w:r w:rsidRPr="00006A39">
              <w:rPr>
                <w:sz w:val="28"/>
                <w:szCs w:val="28"/>
                <w:lang w:val="uk-UA"/>
              </w:rPr>
              <w:t>7,02</w:t>
            </w:r>
          </w:p>
        </w:tc>
        <w:tc>
          <w:tcPr>
            <w:tcW w:w="846" w:type="dxa"/>
          </w:tcPr>
          <w:p w:rsidR="00D96FD9" w:rsidRPr="00006A39" w:rsidRDefault="00D96FD9" w:rsidP="009F0AC1">
            <w:pPr>
              <w:widowControl w:val="0"/>
              <w:spacing w:line="276" w:lineRule="auto"/>
              <w:jc w:val="center"/>
              <w:rPr>
                <w:sz w:val="28"/>
                <w:szCs w:val="28"/>
                <w:lang w:val="uk-UA"/>
              </w:rPr>
            </w:pPr>
            <w:r w:rsidRPr="00006A39">
              <w:rPr>
                <w:sz w:val="28"/>
                <w:szCs w:val="28"/>
                <w:lang w:val="uk-UA"/>
              </w:rPr>
              <w:t>7,47</w:t>
            </w:r>
          </w:p>
        </w:tc>
        <w:tc>
          <w:tcPr>
            <w:tcW w:w="0" w:type="auto"/>
          </w:tcPr>
          <w:p w:rsidR="00D96FD9" w:rsidRPr="00006A39" w:rsidRDefault="00D96FD9" w:rsidP="009F0AC1">
            <w:pPr>
              <w:widowControl w:val="0"/>
              <w:spacing w:line="276" w:lineRule="auto"/>
              <w:jc w:val="center"/>
              <w:rPr>
                <w:sz w:val="28"/>
                <w:szCs w:val="28"/>
                <w:lang w:val="uk-UA"/>
              </w:rPr>
            </w:pPr>
            <w:r w:rsidRPr="00006A39">
              <w:rPr>
                <w:sz w:val="28"/>
                <w:szCs w:val="28"/>
                <w:lang w:val="uk-UA"/>
              </w:rPr>
              <w:t>5,5</w:t>
            </w:r>
          </w:p>
        </w:tc>
        <w:tc>
          <w:tcPr>
            <w:tcW w:w="0" w:type="auto"/>
          </w:tcPr>
          <w:p w:rsidR="00D96FD9" w:rsidRPr="00006A39" w:rsidRDefault="00D96FD9" w:rsidP="009F0AC1">
            <w:pPr>
              <w:widowControl w:val="0"/>
              <w:spacing w:line="276" w:lineRule="auto"/>
              <w:jc w:val="center"/>
              <w:rPr>
                <w:sz w:val="28"/>
                <w:szCs w:val="28"/>
                <w:lang w:val="uk-UA"/>
              </w:rPr>
            </w:pPr>
            <w:r w:rsidRPr="00006A39">
              <w:rPr>
                <w:sz w:val="28"/>
                <w:szCs w:val="28"/>
                <w:lang w:val="uk-UA"/>
              </w:rPr>
              <w:t>5,7</w:t>
            </w:r>
          </w:p>
        </w:tc>
        <w:tc>
          <w:tcPr>
            <w:tcW w:w="1078" w:type="dxa"/>
          </w:tcPr>
          <w:p w:rsidR="00D96FD9" w:rsidRPr="00006A39" w:rsidRDefault="00D96FD9" w:rsidP="009F0AC1">
            <w:pPr>
              <w:widowControl w:val="0"/>
              <w:spacing w:line="276" w:lineRule="auto"/>
              <w:jc w:val="center"/>
              <w:rPr>
                <w:sz w:val="28"/>
                <w:szCs w:val="28"/>
                <w:lang w:val="uk-UA"/>
              </w:rPr>
            </w:pPr>
            <w:r w:rsidRPr="00006A39">
              <w:rPr>
                <w:sz w:val="28"/>
                <w:szCs w:val="28"/>
                <w:lang w:val="uk-UA"/>
              </w:rPr>
              <w:t>5,3</w:t>
            </w:r>
          </w:p>
        </w:tc>
      </w:tr>
    </w:tbl>
    <w:p w:rsidR="009C334F" w:rsidRDefault="009C334F" w:rsidP="00721203">
      <w:pPr>
        <w:widowControl w:val="0"/>
        <w:ind w:firstLine="708"/>
        <w:rPr>
          <w:szCs w:val="28"/>
        </w:rPr>
      </w:pPr>
    </w:p>
    <w:p w:rsidR="00962C82" w:rsidRDefault="00962C82" w:rsidP="00721203">
      <w:pPr>
        <w:widowControl w:val="0"/>
        <w:ind w:firstLine="720"/>
        <w:rPr>
          <w:szCs w:val="28"/>
          <w:lang w:val="ru-RU"/>
        </w:rPr>
      </w:pPr>
    </w:p>
    <w:p w:rsidR="00D96FD9" w:rsidRPr="00006A39" w:rsidRDefault="003B6CC9" w:rsidP="00721203">
      <w:pPr>
        <w:widowControl w:val="0"/>
        <w:ind w:firstLine="720"/>
        <w:rPr>
          <w:szCs w:val="28"/>
        </w:rPr>
      </w:pPr>
      <w:r>
        <w:rPr>
          <w:szCs w:val="28"/>
        </w:rPr>
        <w:lastRenderedPageBreak/>
        <w:t xml:space="preserve">Аналіз </w:t>
      </w:r>
      <w:r w:rsidR="00D96FD9" w:rsidRPr="00006A39">
        <w:rPr>
          <w:szCs w:val="28"/>
        </w:rPr>
        <w:t>показника малюкової смертності залежно від місця проживання показав, що серед дітей сіл</w:t>
      </w:r>
      <w:r w:rsidR="00A765B5">
        <w:rPr>
          <w:szCs w:val="28"/>
        </w:rPr>
        <w:t>ьської місцевості він має</w:t>
      </w:r>
      <w:r w:rsidR="00D96FD9" w:rsidRPr="00006A39">
        <w:rPr>
          <w:szCs w:val="28"/>
        </w:rPr>
        <w:t xml:space="preserve"> </w:t>
      </w:r>
      <w:r>
        <w:rPr>
          <w:szCs w:val="28"/>
        </w:rPr>
        <w:t xml:space="preserve">тенденцію </w:t>
      </w:r>
      <w:r w:rsidR="00BE6EAB">
        <w:rPr>
          <w:szCs w:val="28"/>
        </w:rPr>
        <w:t xml:space="preserve">до зниження (рис. </w:t>
      </w:r>
      <w:r>
        <w:rPr>
          <w:szCs w:val="28"/>
        </w:rPr>
        <w:t>3.8</w:t>
      </w:r>
      <w:r w:rsidR="00D96FD9" w:rsidRPr="00006A39">
        <w:rPr>
          <w:szCs w:val="28"/>
        </w:rPr>
        <w:t xml:space="preserve">) і шанси дитини сільської місцевості померти  у 2018 р. порівняно з </w:t>
      </w:r>
      <w:r w:rsidR="00D96FD9" w:rsidRPr="009F0AC1">
        <w:rPr>
          <w:szCs w:val="28"/>
        </w:rPr>
        <w:t xml:space="preserve">2014 р. </w:t>
      </w:r>
      <w:r w:rsidR="00D96FD9" w:rsidRPr="00006A39">
        <w:rPr>
          <w:szCs w:val="28"/>
        </w:rPr>
        <w:t xml:space="preserve">залишаються такими ж самими – ВШ 0,94 (95% ДІ 0,87-1,02), р=0,1919. Проте, показник малюкової смертності серед дітей міста достовірно зменшився і шанси дитини, яка мешкає у місті, становлять ВШ 0,88 (95% ДІ 0,82-0,94), р=0,0003. При цьому у 2018 р. </w:t>
      </w:r>
      <w:r w:rsidR="00D96FD9" w:rsidRPr="006A395E">
        <w:rPr>
          <w:szCs w:val="28"/>
        </w:rPr>
        <w:t>шанси дитини сільської місцевості п</w:t>
      </w:r>
      <w:r w:rsidR="00191358">
        <w:rPr>
          <w:szCs w:val="28"/>
        </w:rPr>
        <w:t>омерти у віці до 1 рок</w:t>
      </w:r>
      <w:r w:rsidR="00191358" w:rsidRPr="00191358">
        <w:rPr>
          <w:szCs w:val="28"/>
        </w:rPr>
        <w:t>у</w:t>
      </w:r>
      <w:r w:rsidR="00D96FD9" w:rsidRPr="006A395E">
        <w:rPr>
          <w:szCs w:val="28"/>
        </w:rPr>
        <w:t xml:space="preserve"> є достовірно більшими, ніж шанси дитини, яка  проживає у місті – ВШ 1,16 (95%</w:t>
      </w:r>
      <w:r w:rsidR="00C010DD">
        <w:rPr>
          <w:szCs w:val="28"/>
        </w:rPr>
        <w:t> </w:t>
      </w:r>
      <w:r w:rsidR="00D96FD9" w:rsidRPr="006A395E">
        <w:rPr>
          <w:szCs w:val="28"/>
        </w:rPr>
        <w:t>ДІ</w:t>
      </w:r>
      <w:r w:rsidR="00C010DD">
        <w:rPr>
          <w:szCs w:val="28"/>
          <w:lang w:val="en-US"/>
        </w:rPr>
        <w:t> </w:t>
      </w:r>
      <w:r w:rsidR="00D96FD9" w:rsidRPr="006A395E">
        <w:rPr>
          <w:szCs w:val="28"/>
        </w:rPr>
        <w:t>1,07-1,26), р=0,0004.</w:t>
      </w:r>
    </w:p>
    <w:p w:rsidR="00D96FD9" w:rsidRPr="00006A39" w:rsidRDefault="00D96FD9" w:rsidP="003E2C05">
      <w:pPr>
        <w:widowControl w:val="0"/>
        <w:jc w:val="center"/>
        <w:rPr>
          <w:szCs w:val="28"/>
        </w:rPr>
      </w:pPr>
      <w:r w:rsidRPr="00006A39">
        <w:rPr>
          <w:noProof/>
          <w:szCs w:val="28"/>
          <w:lang w:val="ru-RU" w:eastAsia="ru-RU"/>
        </w:rPr>
        <w:drawing>
          <wp:inline distT="0" distB="0" distL="0" distR="0" wp14:anchorId="32A129D6" wp14:editId="6BCECF3B">
            <wp:extent cx="6125049" cy="4484915"/>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6132318" cy="4490237"/>
                    </a:xfrm>
                    <a:prstGeom prst="rect">
                      <a:avLst/>
                    </a:prstGeom>
                    <a:noFill/>
                  </pic:spPr>
                </pic:pic>
              </a:graphicData>
            </a:graphic>
          </wp:inline>
        </w:drawing>
      </w:r>
    </w:p>
    <w:p w:rsidR="00D96FD9" w:rsidRPr="00006A39" w:rsidRDefault="005D6093" w:rsidP="00721203">
      <w:pPr>
        <w:widowControl w:val="0"/>
        <w:spacing w:after="120"/>
        <w:ind w:firstLine="709"/>
        <w:rPr>
          <w:rFonts w:eastAsia="NewtonC-Bold" w:cs="NewtonC-Bold"/>
          <w:bCs/>
          <w:color w:val="000000" w:themeColor="text1"/>
          <w:szCs w:val="28"/>
          <w:lang w:eastAsia="ru-RU"/>
        </w:rPr>
      </w:pPr>
      <w:r>
        <w:rPr>
          <w:rFonts w:eastAsia="NewtonC-Bold" w:cs="NewtonC-Bold"/>
          <w:bCs/>
          <w:szCs w:val="28"/>
          <w:lang w:eastAsia="ru-RU"/>
        </w:rPr>
        <w:t>Рис. 3.8</w:t>
      </w:r>
      <w:r w:rsidR="00D96FD9" w:rsidRPr="00006A39">
        <w:rPr>
          <w:rFonts w:eastAsia="NewtonC-Bold" w:cs="NewtonC-Bold"/>
          <w:bCs/>
          <w:szCs w:val="28"/>
          <w:lang w:eastAsia="ru-RU"/>
        </w:rPr>
        <w:t xml:space="preserve">. Динаміка показника смертності  дітей віком до 1-го року </w:t>
      </w:r>
      <w:r w:rsidR="00D96FD9" w:rsidRPr="00006A39">
        <w:rPr>
          <w:szCs w:val="28"/>
        </w:rPr>
        <w:t>залежно від місця проживання</w:t>
      </w:r>
      <w:r w:rsidR="00D96FD9" w:rsidRPr="00006A39">
        <w:rPr>
          <w:rFonts w:eastAsia="NewtonC-Bold" w:cs="NewtonC-Bold"/>
          <w:bCs/>
          <w:color w:val="000000" w:themeColor="text1"/>
          <w:szCs w:val="28"/>
          <w:lang w:eastAsia="ru-RU"/>
        </w:rPr>
        <w:t xml:space="preserve"> </w:t>
      </w:r>
      <w:r w:rsidR="008F01FB">
        <w:rPr>
          <w:rFonts w:eastAsia="NewtonC-Bold" w:cs="NewtonC-Bold"/>
          <w:bCs/>
          <w:color w:val="000000" w:themeColor="text1"/>
          <w:szCs w:val="28"/>
          <w:lang w:eastAsia="ru-RU"/>
        </w:rPr>
        <w:t>(на 1000 народжених живими, ‰</w:t>
      </w:r>
      <w:r w:rsidR="00CC1187" w:rsidRPr="00030E15">
        <w:rPr>
          <w:rFonts w:eastAsia="NewtonC-Bold" w:cs="NewtonC-Bold"/>
          <w:bCs/>
          <w:color w:val="000000" w:themeColor="text1"/>
          <w:szCs w:val="28"/>
          <w:lang w:eastAsia="ru-RU"/>
        </w:rPr>
        <w:t>)</w:t>
      </w:r>
      <w:r w:rsidR="00D96FD9" w:rsidRPr="00006A39">
        <w:rPr>
          <w:rFonts w:eastAsia="NewtonC-Bold" w:cs="NewtonC-Bold"/>
          <w:bCs/>
          <w:color w:val="FF0000"/>
          <w:szCs w:val="28"/>
          <w:lang w:eastAsia="ru-RU"/>
        </w:rPr>
        <w:t xml:space="preserve"> </w:t>
      </w:r>
    </w:p>
    <w:p w:rsidR="00D96FD9" w:rsidRPr="00006A39" w:rsidRDefault="00D96FD9" w:rsidP="00721203">
      <w:pPr>
        <w:widowControl w:val="0"/>
        <w:ind w:firstLine="709"/>
        <w:rPr>
          <w:rFonts w:eastAsia="NewtonC-Bold" w:cs="NewtonC-Bold"/>
          <w:bCs/>
          <w:color w:val="000000" w:themeColor="text1"/>
          <w:szCs w:val="28"/>
          <w:lang w:eastAsia="ru-RU"/>
        </w:rPr>
      </w:pPr>
      <w:r w:rsidRPr="00006A39">
        <w:rPr>
          <w:rFonts w:eastAsia="NewtonC-Bold" w:cs="NewtonC-Bold"/>
          <w:bCs/>
          <w:color w:val="000000" w:themeColor="text1"/>
          <w:szCs w:val="28"/>
          <w:lang w:eastAsia="ru-RU"/>
        </w:rPr>
        <w:t>Під час дослідження з’ясовано, що найвищі рівні малюкової смертності спостерігаються серед хлопчиків сільської місцевості (8,56‰ у 2018 р.), хлопчиків міської місцевості (7,32‰) та дівчат</w:t>
      </w:r>
      <w:r w:rsidRPr="00006A39">
        <w:rPr>
          <w:rFonts w:eastAsia="NewtonC-Bold" w:cs="NewtonC-Bold"/>
          <w:bCs/>
          <w:szCs w:val="28"/>
          <w:lang w:eastAsia="ru-RU"/>
        </w:rPr>
        <w:t xml:space="preserve"> із</w:t>
      </w:r>
      <w:r w:rsidRPr="00006A39">
        <w:rPr>
          <w:rFonts w:eastAsia="NewtonC-Bold" w:cs="NewtonC-Bold"/>
          <w:bCs/>
          <w:color w:val="000000" w:themeColor="text1"/>
          <w:szCs w:val="28"/>
          <w:lang w:eastAsia="ru-RU"/>
        </w:rPr>
        <w:t xml:space="preserve"> села (7,28‰). </w:t>
      </w:r>
      <w:r w:rsidR="00AD620D">
        <w:rPr>
          <w:rFonts w:eastAsia="NewtonC-Bold" w:cs="NewtonC-Bold"/>
          <w:bCs/>
          <w:color w:val="000000" w:themeColor="text1"/>
          <w:szCs w:val="28"/>
          <w:lang w:eastAsia="ru-RU"/>
        </w:rPr>
        <w:t xml:space="preserve">При цьому, у 2018 р. малюкова смертність хлопчиків сільської місцевості вище за загальноукраїнський показник </w:t>
      </w:r>
      <w:r w:rsidR="00AD620D">
        <w:rPr>
          <w:rFonts w:eastAsia="NewtonC-Bold" w:cs="NewtonC-Bold"/>
          <w:bCs/>
          <w:color w:val="000000" w:themeColor="text1"/>
          <w:szCs w:val="28"/>
          <w:lang w:eastAsia="ru-RU"/>
        </w:rPr>
        <w:lastRenderedPageBreak/>
        <w:t>смертності хлопчиків до 1-го року життя на 11,9%, на 16,9% вище смертності хлопчиків до 1-го року життя, що мешкають у містах, і на 17,6% вища за малюкову смертність дівчаток сільської місцевості, аналогічна ситуація спостерігалась протягом попередніх років спостереження (рис. 3.9).</w:t>
      </w:r>
    </w:p>
    <w:p w:rsidR="00D96FD9" w:rsidRPr="00006A39" w:rsidRDefault="00D96FD9" w:rsidP="00721203">
      <w:pPr>
        <w:widowControl w:val="0"/>
        <w:ind w:firstLine="709"/>
        <w:rPr>
          <w:rFonts w:eastAsia="NewtonC-Bold" w:cs="NewtonC-Bold"/>
          <w:bCs/>
          <w:szCs w:val="28"/>
          <w:lang w:eastAsia="ru-RU"/>
        </w:rPr>
      </w:pPr>
      <w:r w:rsidRPr="00006A39">
        <w:rPr>
          <w:rFonts w:eastAsia="NewtonC-Bold" w:cs="NewtonC-Bold"/>
          <w:bCs/>
          <w:color w:val="000000" w:themeColor="text1"/>
          <w:szCs w:val="28"/>
          <w:lang w:eastAsia="ru-RU"/>
        </w:rPr>
        <w:t xml:space="preserve">Рівні малюкової смертності за статтю та місцем мешкання упродовж 2012-2018 рр. достовірно знизились: серед хлопчиків сільської місцевості на 11,6% (ВШ 0,89 [95% ДІ 0,79-1,00], р=0,048), серед хлопчиків міської місцевості на 20,1% (ВШ 0,86 [95% ДІ 0,78-0,94], р=0,0008), проте залишились на тому ж самому рівні серед дівчат сільської місцевості (ВШ 1,01 [95% ДІ 0,89-1,15], р=0,816) та дівчат міської місцевості (ВШ 0,92 [95% ДІ 0,83-1,02], р=0,1007) </w:t>
      </w:r>
      <w:r w:rsidR="00AD620D">
        <w:rPr>
          <w:rFonts w:eastAsia="NewtonC-Bold" w:cs="NewtonC-Bold"/>
          <w:bCs/>
          <w:szCs w:val="28"/>
          <w:lang w:eastAsia="ru-RU"/>
        </w:rPr>
        <w:t>(рис.3.9</w:t>
      </w:r>
      <w:r w:rsidRPr="00006A39">
        <w:rPr>
          <w:rFonts w:eastAsia="NewtonC-Bold" w:cs="NewtonC-Bold"/>
          <w:bCs/>
          <w:szCs w:val="28"/>
          <w:lang w:eastAsia="ru-RU"/>
        </w:rPr>
        <w:t>).</w:t>
      </w:r>
    </w:p>
    <w:p w:rsidR="00D96FD9" w:rsidRPr="00006A39" w:rsidRDefault="00D96FD9" w:rsidP="00721203">
      <w:pPr>
        <w:widowControl w:val="0"/>
        <w:tabs>
          <w:tab w:val="left" w:pos="642"/>
        </w:tabs>
        <w:ind w:hanging="142"/>
        <w:jc w:val="center"/>
        <w:rPr>
          <w:color w:val="0070C0"/>
          <w:szCs w:val="28"/>
        </w:rPr>
      </w:pPr>
      <w:r w:rsidRPr="00006A39">
        <w:rPr>
          <w:rFonts w:eastAsia="NewtonC-Bold" w:cs="NewtonC-Bold"/>
          <w:bCs/>
          <w:noProof/>
          <w:color w:val="000000" w:themeColor="text1"/>
          <w:szCs w:val="28"/>
          <w:lang w:val="ru-RU" w:eastAsia="ru-RU"/>
        </w:rPr>
        <w:drawing>
          <wp:inline distT="0" distB="0" distL="0" distR="0" wp14:anchorId="77F0F820" wp14:editId="726BE0D4">
            <wp:extent cx="5791200" cy="4517572"/>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831607" cy="4549093"/>
                    </a:xfrm>
                    <a:prstGeom prst="rect">
                      <a:avLst/>
                    </a:prstGeom>
                    <a:noFill/>
                  </pic:spPr>
                </pic:pic>
              </a:graphicData>
            </a:graphic>
          </wp:inline>
        </w:drawing>
      </w:r>
    </w:p>
    <w:p w:rsidR="00D96FD9" w:rsidRPr="00006A39" w:rsidRDefault="007707F1" w:rsidP="00721203">
      <w:pPr>
        <w:widowControl w:val="0"/>
        <w:spacing w:after="120"/>
        <w:ind w:firstLine="709"/>
        <w:rPr>
          <w:rFonts w:eastAsia="NewtonC-Bold" w:cs="NewtonC-Bold"/>
          <w:bCs/>
          <w:szCs w:val="28"/>
          <w:lang w:eastAsia="ru-RU"/>
        </w:rPr>
      </w:pPr>
      <w:r>
        <w:rPr>
          <w:rFonts w:eastAsia="NewtonC-Bold" w:cs="NewtonC-Bold"/>
          <w:bCs/>
          <w:szCs w:val="28"/>
          <w:lang w:eastAsia="ru-RU"/>
        </w:rPr>
        <w:t>Рис.3.9</w:t>
      </w:r>
      <w:r w:rsidR="00D96FD9" w:rsidRPr="00006A39">
        <w:rPr>
          <w:rFonts w:eastAsia="NewtonC-Bold" w:cs="NewtonC-Bold"/>
          <w:bCs/>
          <w:szCs w:val="28"/>
          <w:lang w:eastAsia="ru-RU"/>
        </w:rPr>
        <w:t>.</w:t>
      </w:r>
      <w:r w:rsidR="00D96FD9" w:rsidRPr="00006A39">
        <w:rPr>
          <w:rFonts w:eastAsia="NewtonC-Bold" w:cs="NewtonC-Bold"/>
          <w:bCs/>
          <w:color w:val="FF0000"/>
          <w:szCs w:val="28"/>
          <w:lang w:eastAsia="ru-RU"/>
        </w:rPr>
        <w:t xml:space="preserve"> </w:t>
      </w:r>
      <w:r w:rsidR="00D96FD9" w:rsidRPr="00006A39">
        <w:rPr>
          <w:rFonts w:eastAsia="NewtonC-Bold" w:cs="NewtonC-Bold"/>
          <w:bCs/>
          <w:color w:val="000000" w:themeColor="text1"/>
          <w:szCs w:val="28"/>
          <w:lang w:eastAsia="ru-RU"/>
        </w:rPr>
        <w:t xml:space="preserve">Динаміка показника </w:t>
      </w:r>
      <w:r w:rsidR="00D96FD9" w:rsidRPr="00006A39">
        <w:rPr>
          <w:rFonts w:eastAsia="NewtonC-Bold" w:cs="NewtonC-Bold"/>
          <w:bCs/>
          <w:szCs w:val="28"/>
          <w:lang w:eastAsia="ru-RU"/>
        </w:rPr>
        <w:t>смертності дітей віком до 1 року залежно від статі та місця мешкання</w:t>
      </w:r>
      <w:r w:rsidR="00EC14BB">
        <w:rPr>
          <w:rFonts w:eastAsia="NewtonC-Bold" w:cs="NewtonC-Bold"/>
          <w:bCs/>
          <w:szCs w:val="28"/>
          <w:lang w:eastAsia="ru-RU"/>
        </w:rPr>
        <w:t xml:space="preserve"> </w:t>
      </w:r>
      <w:r w:rsidR="00EC14BB" w:rsidRPr="00E37915">
        <w:rPr>
          <w:rFonts w:eastAsia="NewtonC-Bold" w:cs="NewtonC-Bold"/>
          <w:bCs/>
          <w:szCs w:val="28"/>
          <w:lang w:eastAsia="ru-RU"/>
        </w:rPr>
        <w:t>(</w:t>
      </w:r>
      <w:r w:rsidR="00D44584">
        <w:rPr>
          <w:rFonts w:eastAsia="NewtonC-Bold"/>
          <w:bCs/>
          <w:szCs w:val="28"/>
          <w:lang w:eastAsia="ru-RU"/>
        </w:rPr>
        <w:t>на 1000 народжених живими, ‰</w:t>
      </w:r>
      <w:r w:rsidR="00EC14BB">
        <w:rPr>
          <w:rFonts w:eastAsia="NewtonC-Bold"/>
          <w:bCs/>
          <w:szCs w:val="28"/>
          <w:lang w:eastAsia="ru-RU"/>
        </w:rPr>
        <w:t>)</w:t>
      </w:r>
    </w:p>
    <w:p w:rsidR="00E07AFF" w:rsidRDefault="009C334F" w:rsidP="00994168">
      <w:pPr>
        <w:widowControl w:val="0"/>
        <w:ind w:firstLine="709"/>
        <w:rPr>
          <w:rFonts w:eastAsia="NewtonC-Bold" w:cs="NewtonC-Bold"/>
          <w:szCs w:val="28"/>
          <w:lang w:eastAsia="ru-RU"/>
        </w:rPr>
      </w:pPr>
      <w:r w:rsidRPr="009C334F">
        <w:rPr>
          <w:rFonts w:eastAsia="NewtonC-Bold" w:cs="NewtonC-Bold"/>
          <w:szCs w:val="28"/>
          <w:lang w:eastAsia="ru-RU"/>
        </w:rPr>
        <w:t>Дослідженням показників смертності дітей до 1-го року життя в залежності від місця мешкання встановлено, що у 19 областях України рівень малюкової смертності у сільській місцевості вищий, ніж у міській</w:t>
      </w:r>
      <w:r w:rsidR="00994168">
        <w:rPr>
          <w:rFonts w:eastAsia="NewtonC-Bold" w:cs="NewtonC-Bold"/>
          <w:szCs w:val="28"/>
          <w:lang w:eastAsia="ru-RU"/>
        </w:rPr>
        <w:t>, і у 11 областях перевищував</w:t>
      </w:r>
      <w:r w:rsidR="00994168" w:rsidRPr="00994168">
        <w:rPr>
          <w:rFonts w:eastAsia="NewtonC-Bold" w:cs="NewtonC-Bold"/>
          <w:szCs w:val="28"/>
          <w:lang w:eastAsia="ru-RU"/>
        </w:rPr>
        <w:t xml:space="preserve"> </w:t>
      </w:r>
      <w:r w:rsidR="00994168" w:rsidRPr="00994168">
        <w:rPr>
          <w:rFonts w:eastAsia="NewtonC-Bold" w:cs="NewtonC-Bold"/>
          <w:szCs w:val="28"/>
          <w:lang w:eastAsia="ru-RU"/>
        </w:rPr>
        <w:lastRenderedPageBreak/>
        <w:t>загальноукраїнський</w:t>
      </w:r>
      <w:r w:rsidR="00994168">
        <w:rPr>
          <w:rFonts w:eastAsia="NewtonC-Bold" w:cs="NewtonC-Bold"/>
          <w:szCs w:val="28"/>
          <w:lang w:eastAsia="ru-RU"/>
        </w:rPr>
        <w:t xml:space="preserve"> показник малюкової смертності. Зро</w:t>
      </w:r>
      <w:r w:rsidR="00A765B5">
        <w:rPr>
          <w:rFonts w:eastAsia="NewtonC-Bold" w:cs="NewtonC-Bold"/>
          <w:szCs w:val="28"/>
          <w:lang w:eastAsia="ru-RU"/>
        </w:rPr>
        <w:t>стання показника спостерігалось</w:t>
      </w:r>
      <w:r w:rsidR="00E07AFF" w:rsidRPr="009C334F">
        <w:rPr>
          <w:rFonts w:eastAsia="NewtonC-Bold" w:cs="NewtonC-Bold"/>
          <w:szCs w:val="28"/>
          <w:lang w:eastAsia="ru-RU"/>
        </w:rPr>
        <w:t xml:space="preserve"> у 12 областях сільської місцевості України: Закарпатській (на 19,8%), Луганській (на 59,2%), Львівській (на 22,4%), Одеській (на 14,3%). Полтавській (на 7,1%), Рівненській (на 15,7%), Сумській (на 6,4%), Тернопільській (на 19,0%), Харківській (на 7,2%), Хмельницькій (на 40,1%), Черкаській (на 15,9%), Чернівецькій (на 20,4%) областях. </w:t>
      </w:r>
      <w:r w:rsidR="00E928B6" w:rsidRPr="00E928B6">
        <w:rPr>
          <w:rFonts w:eastAsia="NewtonC-Bold" w:cs="NewtonC-Bold"/>
          <w:szCs w:val="28"/>
          <w:lang w:eastAsia="ru-RU"/>
        </w:rPr>
        <w:t>Найвищий показник смертності дітей у віці до 1-року життя, що мешкають у сільській місцевості сформовано у Луганській області (13,85‰), Донецькій області (11,1‰), Харківський (11,09‰), Хмельницькій області (10,72%)</w:t>
      </w:r>
      <w:r w:rsidR="00060C3A">
        <w:rPr>
          <w:rFonts w:eastAsia="NewtonC-Bold" w:cs="NewtonC-Bold"/>
          <w:szCs w:val="28"/>
          <w:lang w:eastAsia="ru-RU"/>
        </w:rPr>
        <w:t xml:space="preserve"> </w:t>
      </w:r>
      <w:r w:rsidR="00E07C8A">
        <w:rPr>
          <w:rFonts w:eastAsia="NewtonC-Bold" w:cs="NewtonC-Bold"/>
          <w:szCs w:val="28"/>
          <w:lang w:eastAsia="ru-RU"/>
        </w:rPr>
        <w:t>(Додаток Б-4)</w:t>
      </w:r>
      <w:r w:rsidR="00E928B6">
        <w:rPr>
          <w:rFonts w:eastAsia="NewtonC-Bold" w:cs="NewtonC-Bold"/>
          <w:szCs w:val="28"/>
          <w:lang w:eastAsia="ru-RU"/>
        </w:rPr>
        <w:t>.</w:t>
      </w:r>
    </w:p>
    <w:p w:rsidR="009C334F" w:rsidRPr="009C334F" w:rsidRDefault="009C334F" w:rsidP="009C334F">
      <w:pPr>
        <w:widowControl w:val="0"/>
        <w:ind w:firstLine="709"/>
        <w:rPr>
          <w:rFonts w:eastAsia="NewtonC-Bold" w:cs="NewtonC-Bold"/>
          <w:szCs w:val="28"/>
          <w:lang w:eastAsia="ru-RU"/>
        </w:rPr>
      </w:pPr>
      <w:r w:rsidRPr="009C334F">
        <w:rPr>
          <w:rFonts w:eastAsia="NewtonC-Bold" w:cs="NewtonC-Bold"/>
          <w:szCs w:val="28"/>
          <w:lang w:eastAsia="ru-RU"/>
        </w:rPr>
        <w:t xml:space="preserve"> У 4-х областях України вищезазначений показник вищий у міській місцевості за аналогічний у сільській місцевості</w:t>
      </w:r>
      <w:r w:rsidR="00E928B6">
        <w:rPr>
          <w:rFonts w:eastAsia="NewtonC-Bold" w:cs="NewtonC-Bold"/>
          <w:szCs w:val="28"/>
          <w:lang w:eastAsia="ru-RU"/>
        </w:rPr>
        <w:t>,</w:t>
      </w:r>
      <w:r w:rsidR="00623C2E">
        <w:rPr>
          <w:rFonts w:eastAsia="NewtonC-Bold" w:cs="NewtonC-Bold"/>
          <w:szCs w:val="28"/>
          <w:lang w:eastAsia="ru-RU"/>
        </w:rPr>
        <w:t xml:space="preserve"> </w:t>
      </w:r>
      <w:r w:rsidR="00E928B6">
        <w:rPr>
          <w:rFonts w:eastAsia="NewtonC-Bold" w:cs="NewtonC-Bold"/>
          <w:szCs w:val="28"/>
          <w:lang w:eastAsia="ru-RU"/>
        </w:rPr>
        <w:t>з</w:t>
      </w:r>
      <w:r w:rsidRPr="009C334F">
        <w:rPr>
          <w:rFonts w:eastAsia="NewtonC-Bold" w:cs="NewtonC-Bold"/>
          <w:szCs w:val="28"/>
          <w:lang w:eastAsia="ru-RU"/>
        </w:rPr>
        <w:t xml:space="preserve">ростання </w:t>
      </w:r>
      <w:r w:rsidR="00623C2E">
        <w:rPr>
          <w:rFonts w:eastAsia="NewtonC-Bold" w:cs="NewtonC-Bold"/>
          <w:szCs w:val="28"/>
          <w:lang w:eastAsia="ru-RU"/>
        </w:rPr>
        <w:t xml:space="preserve">показника </w:t>
      </w:r>
      <w:r w:rsidR="00E928B6">
        <w:rPr>
          <w:rFonts w:eastAsia="NewtonC-Bold" w:cs="NewtonC-Bold"/>
          <w:szCs w:val="28"/>
          <w:lang w:eastAsia="ru-RU"/>
        </w:rPr>
        <w:t xml:space="preserve">відбулось </w:t>
      </w:r>
      <w:r w:rsidRPr="009C334F">
        <w:rPr>
          <w:rFonts w:eastAsia="NewtonC-Bold" w:cs="NewtonC-Bold"/>
          <w:szCs w:val="28"/>
          <w:lang w:eastAsia="ru-RU"/>
        </w:rPr>
        <w:t>у 13 областях: Дніпропетровській (на 1,2%), Житомирській (на 0,5%), Закарпатській (на 15,6%), Київській (на 3,2%), Кіровоградській (на 34,4%), Луганській (на 12,4%), Львівській (на 2,3%), Сумській (на 3,7%), Тернопільській (на 37,3%), Харківській (на 2,0%), Хмельницькій (на 17,9%), Черкаській (на 4,1%), Черні</w:t>
      </w:r>
      <w:r w:rsidR="009F0C20">
        <w:rPr>
          <w:rFonts w:eastAsia="NewtonC-Bold" w:cs="NewtonC-Bold"/>
          <w:szCs w:val="28"/>
          <w:lang w:eastAsia="ru-RU"/>
        </w:rPr>
        <w:t xml:space="preserve">вецькій (на 44,5% ) областях.  </w:t>
      </w:r>
      <w:r w:rsidRPr="009C334F">
        <w:rPr>
          <w:rFonts w:eastAsia="NewtonC-Bold" w:cs="NewtonC-Bold"/>
          <w:szCs w:val="28"/>
          <w:lang w:eastAsia="ru-RU"/>
        </w:rPr>
        <w:t xml:space="preserve">Найвищі рівні смертності дітей у віці до 1-го року життя </w:t>
      </w:r>
      <w:r w:rsidR="00295113">
        <w:rPr>
          <w:rFonts w:eastAsia="NewtonC-Bold" w:cs="NewtonC-Bold"/>
          <w:szCs w:val="28"/>
          <w:lang w:eastAsia="ru-RU"/>
        </w:rPr>
        <w:t xml:space="preserve"> у міських поселеннях у </w:t>
      </w:r>
      <w:r w:rsidRPr="009C334F">
        <w:rPr>
          <w:rFonts w:eastAsia="NewtonC-Bold" w:cs="NewtonC-Bold"/>
          <w:szCs w:val="28"/>
          <w:lang w:eastAsia="ru-RU"/>
        </w:rPr>
        <w:t xml:space="preserve">були зареєстровані в Закарпатській – 11,46‰, Кіровоградській (11,34 ‰) </w:t>
      </w:r>
      <w:r w:rsidR="00060C3A">
        <w:rPr>
          <w:rFonts w:eastAsia="NewtonC-Bold" w:cs="NewtonC-Bold"/>
          <w:szCs w:val="28"/>
          <w:lang w:eastAsia="ru-RU"/>
        </w:rPr>
        <w:t>і Чернівецькій (10,16) областях</w:t>
      </w:r>
      <w:r w:rsidRPr="009C334F">
        <w:rPr>
          <w:rFonts w:eastAsia="NewtonC-Bold" w:cs="NewtonC-Bold"/>
          <w:szCs w:val="28"/>
          <w:lang w:eastAsia="ru-RU"/>
        </w:rPr>
        <w:t xml:space="preserve"> </w:t>
      </w:r>
      <w:r w:rsidR="00060C3A" w:rsidRPr="00840315">
        <w:rPr>
          <w:rFonts w:eastAsia="NewtonC-Bold" w:cs="NewtonC-Bold"/>
          <w:szCs w:val="28"/>
          <w:lang w:eastAsia="ru-RU"/>
        </w:rPr>
        <w:t>(Додаток</w:t>
      </w:r>
      <w:r w:rsidR="000733FA" w:rsidRPr="00840315">
        <w:rPr>
          <w:rFonts w:eastAsia="NewtonC-Bold" w:cs="NewtonC-Bold"/>
          <w:szCs w:val="28"/>
          <w:lang w:eastAsia="ru-RU"/>
        </w:rPr>
        <w:t xml:space="preserve"> Б</w:t>
      </w:r>
      <w:r w:rsidRPr="00840315">
        <w:rPr>
          <w:rFonts w:eastAsia="NewtonC-Bold" w:cs="NewtonC-Bold"/>
          <w:szCs w:val="28"/>
          <w:lang w:eastAsia="ru-RU"/>
        </w:rPr>
        <w:t>-4).</w:t>
      </w:r>
    </w:p>
    <w:p w:rsidR="009C334F" w:rsidRPr="00B273AD" w:rsidRDefault="00FB1520" w:rsidP="00B273AD">
      <w:pPr>
        <w:widowControl w:val="0"/>
        <w:ind w:firstLine="709"/>
        <w:rPr>
          <w:rFonts w:eastAsia="NewtonC-Bold" w:cs="NewtonC-Bold"/>
          <w:szCs w:val="28"/>
          <w:lang w:eastAsia="ru-RU"/>
        </w:rPr>
      </w:pPr>
      <w:r>
        <w:rPr>
          <w:rFonts w:eastAsia="NewtonC-Bold" w:cs="NewtonC-Bold"/>
          <w:szCs w:val="28"/>
          <w:lang w:eastAsia="ru-RU"/>
        </w:rPr>
        <w:t xml:space="preserve">В ході дослідження </w:t>
      </w:r>
      <w:r w:rsidR="00943B5A" w:rsidRPr="00943B5A">
        <w:rPr>
          <w:rFonts w:eastAsia="NewtonC-Bold" w:cs="NewtonC-Bold"/>
          <w:szCs w:val="28"/>
          <w:lang w:eastAsia="ru-RU"/>
        </w:rPr>
        <w:t>проаналізовано регіональні відмінності між рівнями малюкової смертності хлопчиків та дівчаток.</w:t>
      </w:r>
      <w:r>
        <w:rPr>
          <w:rFonts w:eastAsia="NewtonC-Bold" w:cs="NewtonC-Bold"/>
          <w:szCs w:val="28"/>
          <w:lang w:eastAsia="ru-RU"/>
        </w:rPr>
        <w:t xml:space="preserve"> Найвищі рівні смертності хлопчиків </w:t>
      </w:r>
      <w:r w:rsidR="00943B5A" w:rsidRPr="00943B5A">
        <w:rPr>
          <w:rFonts w:eastAsia="NewtonC-Bold" w:cs="NewtonC-Bold"/>
          <w:szCs w:val="28"/>
          <w:lang w:eastAsia="ru-RU"/>
        </w:rPr>
        <w:t>у ві</w:t>
      </w:r>
      <w:r>
        <w:rPr>
          <w:rFonts w:eastAsia="NewtonC-Bold" w:cs="NewtonC-Bold"/>
          <w:szCs w:val="28"/>
          <w:lang w:eastAsia="ru-RU"/>
        </w:rPr>
        <w:t>ці до 1-го року в</w:t>
      </w:r>
      <w:r w:rsidR="008422F4">
        <w:rPr>
          <w:rFonts w:eastAsia="NewtonC-Bold" w:cs="NewtonC-Bold"/>
          <w:szCs w:val="28"/>
          <w:lang w:eastAsia="ru-RU"/>
        </w:rPr>
        <w:t xml:space="preserve"> 2018 р. зареєстровано </w:t>
      </w:r>
      <w:r w:rsidR="008422F4" w:rsidRPr="008422F4">
        <w:rPr>
          <w:rFonts w:eastAsia="NewtonC-Bold" w:cs="NewtonC-Bold"/>
          <w:szCs w:val="28"/>
          <w:lang w:eastAsia="ru-RU"/>
        </w:rPr>
        <w:t>у</w:t>
      </w:r>
      <w:r w:rsidR="00943B5A" w:rsidRPr="00943B5A">
        <w:rPr>
          <w:rFonts w:eastAsia="NewtonC-Bold" w:cs="NewtonC-Bold"/>
          <w:szCs w:val="28"/>
          <w:lang w:eastAsia="ru-RU"/>
        </w:rPr>
        <w:t xml:space="preserve"> Черкаській (11,7‰), Закарпатській (10,5‰), Дніпропетровській (9,7‰), Херсонській (9</w:t>
      </w:r>
      <w:r w:rsidR="00EB3172">
        <w:rPr>
          <w:rFonts w:eastAsia="NewtonC-Bold" w:cs="NewtonC-Bold"/>
          <w:szCs w:val="28"/>
          <w:lang w:eastAsia="ru-RU"/>
        </w:rPr>
        <w:t>,5‰), Луганській (8,6‰)</w:t>
      </w:r>
      <w:r w:rsidR="00EB3172" w:rsidRPr="00EB3172">
        <w:rPr>
          <w:rFonts w:eastAsia="NewtonC-Bold" w:cs="NewtonC-Bold"/>
          <w:szCs w:val="28"/>
          <w:lang w:eastAsia="ru-RU"/>
        </w:rPr>
        <w:t xml:space="preserve"> областях</w:t>
      </w:r>
      <w:r w:rsidR="00943B5A" w:rsidRPr="00943B5A">
        <w:rPr>
          <w:rFonts w:eastAsia="NewtonC-Bold" w:cs="NewtonC-Bold"/>
          <w:szCs w:val="28"/>
          <w:lang w:eastAsia="ru-RU"/>
        </w:rPr>
        <w:t>; серед дівчаток</w:t>
      </w:r>
      <w:r w:rsidR="00EB3172" w:rsidRPr="00EB3172">
        <w:rPr>
          <w:rFonts w:eastAsia="NewtonC-Bold" w:cs="NewtonC-Bold"/>
          <w:szCs w:val="28"/>
          <w:lang w:eastAsia="ru-RU"/>
        </w:rPr>
        <w:t xml:space="preserve"> –</w:t>
      </w:r>
      <w:r w:rsidR="00943B5A" w:rsidRPr="00943B5A">
        <w:rPr>
          <w:rFonts w:eastAsia="NewtonC-Bold" w:cs="NewtonC-Bold"/>
          <w:szCs w:val="28"/>
          <w:lang w:eastAsia="ru-RU"/>
        </w:rPr>
        <w:t xml:space="preserve"> у Закарпатській (10,2‰), Дніпро</w:t>
      </w:r>
      <w:r w:rsidR="00706C90">
        <w:rPr>
          <w:rFonts w:eastAsia="NewtonC-Bold" w:cs="NewtonC-Bold"/>
          <w:szCs w:val="28"/>
          <w:lang w:eastAsia="ru-RU"/>
        </w:rPr>
        <w:t>петровській (8,4‰), Миколаївській та Чернівецькій</w:t>
      </w:r>
      <w:r w:rsidR="00943B5A" w:rsidRPr="00943B5A">
        <w:rPr>
          <w:rFonts w:eastAsia="NewtonC-Bold" w:cs="NewtonC-Bold"/>
          <w:szCs w:val="28"/>
          <w:lang w:eastAsia="ru-RU"/>
        </w:rPr>
        <w:t xml:space="preserve"> (8,2‰) областях. В 14 областях України рівень малюкової смертності хлопчиків і в 11 областях рівень малюкової смертності дівчаток був вищий за аналогічні загальноукраїнські показники. В 4-х регіонах  показник малюкової смертності дівчаток  був вищий за аналогічний серед хлопчиків: Запорізькій на 2,5% (8,3‰). Івано-Франківській на 4,9% (6,4‰), Миколаївській на  (8,2‰), Чернівецькій (8,2‰) областях. У 2018 р. відносно вихідного 2014 р. рівень малюкової смертності хлопчиків зріс у 7 регіонах України, </w:t>
      </w:r>
      <w:r w:rsidR="00260D8D">
        <w:rPr>
          <w:rFonts w:eastAsia="NewtonC-Bold" w:cs="NewtonC-Bold"/>
          <w:szCs w:val="28"/>
          <w:lang w:eastAsia="ru-RU"/>
        </w:rPr>
        <w:lastRenderedPageBreak/>
        <w:t xml:space="preserve">аналогічний </w:t>
      </w:r>
      <w:r w:rsidR="00943B5A" w:rsidRPr="00943B5A">
        <w:rPr>
          <w:rFonts w:eastAsia="NewtonC-Bold" w:cs="NewtonC-Bold"/>
          <w:szCs w:val="28"/>
          <w:lang w:eastAsia="ru-RU"/>
        </w:rPr>
        <w:t xml:space="preserve">показник смертності дівчаток у віці до 1-го року життя зріс у 13 </w:t>
      </w:r>
      <w:r w:rsidR="00943B5A" w:rsidRPr="00B1133B">
        <w:rPr>
          <w:rFonts w:eastAsia="NewtonC-Bold" w:cs="NewtonC-Bold"/>
          <w:szCs w:val="28"/>
          <w:lang w:eastAsia="ru-RU"/>
        </w:rPr>
        <w:t xml:space="preserve">регіонах </w:t>
      </w:r>
      <w:r w:rsidR="00F37003" w:rsidRPr="00B1133B">
        <w:rPr>
          <w:rFonts w:eastAsia="NewtonC-Bold" w:cs="NewtonC-Bold"/>
          <w:szCs w:val="28"/>
          <w:lang w:eastAsia="ru-RU"/>
        </w:rPr>
        <w:t>(Додаток Б</w:t>
      </w:r>
      <w:r w:rsidR="00943B5A" w:rsidRPr="00B1133B">
        <w:rPr>
          <w:rFonts w:eastAsia="NewtonC-Bold" w:cs="NewtonC-Bold"/>
          <w:szCs w:val="28"/>
          <w:lang w:eastAsia="ru-RU"/>
        </w:rPr>
        <w:t xml:space="preserve">-5).                                                                                                                                           </w:t>
      </w:r>
    </w:p>
    <w:p w:rsidR="00C96685" w:rsidRPr="00D7097A" w:rsidRDefault="00D96FD9" w:rsidP="00C96685">
      <w:pPr>
        <w:widowControl w:val="0"/>
        <w:ind w:firstLine="709"/>
        <w:rPr>
          <w:rFonts w:eastAsia="NewtonC-Bold" w:cs="NewtonC-Bold"/>
          <w:szCs w:val="28"/>
          <w:lang w:eastAsia="ru-RU"/>
        </w:rPr>
      </w:pPr>
      <w:r w:rsidRPr="00006A39">
        <w:rPr>
          <w:rFonts w:eastAsia="NewtonC-Bold" w:cs="NewtonC-Bold"/>
          <w:szCs w:val="28"/>
          <w:lang w:eastAsia="ru-RU"/>
        </w:rPr>
        <w:t xml:space="preserve">Вивчення причинної структури показника малюкової смертності показало, що упродовж 2014-2018 рр. </w:t>
      </w:r>
      <w:r w:rsidR="00CC039C">
        <w:rPr>
          <w:rFonts w:eastAsia="NewtonC-Bold" w:cs="NewtonC-Bold"/>
          <w:szCs w:val="28"/>
          <w:lang w:eastAsia="ru-RU"/>
        </w:rPr>
        <w:t>п</w:t>
      </w:r>
      <w:r w:rsidR="00767FAD" w:rsidRPr="00767FAD">
        <w:rPr>
          <w:rFonts w:eastAsia="NewtonC-Bold" w:cs="NewtonC-Bold"/>
          <w:szCs w:val="28"/>
          <w:lang w:eastAsia="ru-RU"/>
        </w:rPr>
        <w:t>ерші рейтингові місця у структурі причин малюкової смертності</w:t>
      </w:r>
      <w:r w:rsidR="00CC039C">
        <w:rPr>
          <w:rFonts w:eastAsia="NewtonC-Bold" w:cs="NewtonC-Bold"/>
          <w:szCs w:val="28"/>
          <w:lang w:eastAsia="ru-RU"/>
        </w:rPr>
        <w:t xml:space="preserve"> не змінились і належать</w:t>
      </w:r>
      <w:r w:rsidR="00767FAD" w:rsidRPr="00767FAD">
        <w:rPr>
          <w:rFonts w:eastAsia="NewtonC-Bold" w:cs="NewtonC-Bold"/>
          <w:szCs w:val="28"/>
          <w:lang w:eastAsia="ru-RU"/>
        </w:rPr>
        <w:t xml:space="preserve"> </w:t>
      </w:r>
      <w:r w:rsidR="00CC039C">
        <w:rPr>
          <w:rFonts w:eastAsia="NewtonC-Bold" w:cs="NewtonC-Bold"/>
          <w:szCs w:val="28"/>
          <w:lang w:eastAsia="ru-RU"/>
        </w:rPr>
        <w:t>окремим станам</w:t>
      </w:r>
      <w:r w:rsidRPr="00006A39">
        <w:rPr>
          <w:rFonts w:eastAsia="NewtonC-Bold" w:cs="NewtonC-Bold"/>
          <w:szCs w:val="28"/>
          <w:lang w:eastAsia="ru-RU"/>
        </w:rPr>
        <w:t>, що виникають у перинатальному періоді, приро</w:t>
      </w:r>
      <w:r w:rsidR="00CC039C">
        <w:rPr>
          <w:rFonts w:eastAsia="NewtonC-Bold" w:cs="NewtonC-Bold"/>
          <w:szCs w:val="28"/>
          <w:lang w:eastAsia="ru-RU"/>
        </w:rPr>
        <w:t>дженим вадам</w:t>
      </w:r>
      <w:r w:rsidR="00767FAD">
        <w:rPr>
          <w:rFonts w:eastAsia="NewtonC-Bold" w:cs="NewtonC-Bold"/>
          <w:szCs w:val="28"/>
          <w:lang w:eastAsia="ru-RU"/>
        </w:rPr>
        <w:t xml:space="preserve"> розвитку, деформаці</w:t>
      </w:r>
      <w:r w:rsidR="00CC039C">
        <w:rPr>
          <w:rFonts w:eastAsia="NewtonC-Bold" w:cs="NewtonC-Bold"/>
          <w:szCs w:val="28"/>
          <w:lang w:eastAsia="ru-RU"/>
        </w:rPr>
        <w:t>ям</w:t>
      </w:r>
      <w:r w:rsidR="00767FAD">
        <w:rPr>
          <w:rFonts w:eastAsia="NewtonC-Bold" w:cs="NewtonC-Bold"/>
          <w:szCs w:val="28"/>
          <w:lang w:eastAsia="ru-RU"/>
        </w:rPr>
        <w:t xml:space="preserve"> та хромосомн</w:t>
      </w:r>
      <w:r w:rsidR="00CC039C">
        <w:rPr>
          <w:rFonts w:eastAsia="NewtonC-Bold" w:cs="NewtonC-Bold"/>
          <w:szCs w:val="28"/>
          <w:lang w:eastAsia="ru-RU"/>
        </w:rPr>
        <w:t>им</w:t>
      </w:r>
      <w:r w:rsidR="00767FAD">
        <w:rPr>
          <w:rFonts w:eastAsia="NewtonC-Bold" w:cs="NewtonC-Bold"/>
          <w:szCs w:val="28"/>
          <w:lang w:eastAsia="ru-RU"/>
        </w:rPr>
        <w:t xml:space="preserve"> аномалі</w:t>
      </w:r>
      <w:r w:rsidR="00CC039C">
        <w:rPr>
          <w:rFonts w:eastAsia="NewtonC-Bold" w:cs="NewtonC-Bold"/>
          <w:szCs w:val="28"/>
          <w:lang w:eastAsia="ru-RU"/>
        </w:rPr>
        <w:t>ям</w:t>
      </w:r>
      <w:r w:rsidRPr="00006A39">
        <w:rPr>
          <w:rFonts w:eastAsia="NewtonC-Bold" w:cs="NewtonC-Bold"/>
          <w:szCs w:val="28"/>
          <w:lang w:eastAsia="ru-RU"/>
        </w:rPr>
        <w:t>, зовнішні</w:t>
      </w:r>
      <w:r w:rsidR="00CC039C">
        <w:rPr>
          <w:rFonts w:eastAsia="NewtonC-Bold" w:cs="NewtonC-Bold"/>
          <w:szCs w:val="28"/>
          <w:lang w:eastAsia="ru-RU"/>
        </w:rPr>
        <w:t>м причинам</w:t>
      </w:r>
      <w:r w:rsidRPr="00006A39">
        <w:rPr>
          <w:rFonts w:eastAsia="NewtonC-Bold" w:cs="NewtonC-Bold"/>
          <w:szCs w:val="28"/>
          <w:lang w:eastAsia="ru-RU"/>
        </w:rPr>
        <w:t xml:space="preserve"> захворюванос</w:t>
      </w:r>
      <w:r w:rsidR="00CC039C">
        <w:rPr>
          <w:rFonts w:eastAsia="NewtonC-Bold" w:cs="NewtonC-Bold"/>
          <w:szCs w:val="28"/>
          <w:lang w:eastAsia="ru-RU"/>
        </w:rPr>
        <w:t>ті та смертності, хворобам</w:t>
      </w:r>
      <w:r w:rsidR="00767FAD">
        <w:rPr>
          <w:rFonts w:eastAsia="NewtonC-Bold" w:cs="NewtonC-Bold"/>
          <w:szCs w:val="28"/>
          <w:lang w:eastAsia="ru-RU"/>
        </w:rPr>
        <w:t xml:space="preserve"> органів</w:t>
      </w:r>
      <w:r w:rsidRPr="00006A39">
        <w:rPr>
          <w:rFonts w:eastAsia="NewtonC-Bold" w:cs="NewtonC-Bold"/>
          <w:szCs w:val="28"/>
          <w:lang w:eastAsia="ru-RU"/>
        </w:rPr>
        <w:t xml:space="preserve"> дихання</w:t>
      </w:r>
      <w:r w:rsidR="00CC039C">
        <w:rPr>
          <w:rFonts w:eastAsia="NewtonC-Bold" w:cs="NewtonC-Bold"/>
          <w:szCs w:val="28"/>
          <w:lang w:eastAsia="ru-RU"/>
        </w:rPr>
        <w:t>. Також, в</w:t>
      </w:r>
      <w:r w:rsidRPr="00006A39">
        <w:rPr>
          <w:rFonts w:eastAsia="NewtonC-Bold" w:cs="NewtonC-Bold"/>
          <w:szCs w:val="28"/>
          <w:lang w:eastAsia="ru-RU"/>
        </w:rPr>
        <w:t>иявлено зростання показника малюков</w:t>
      </w:r>
      <w:r w:rsidR="00CC039C">
        <w:rPr>
          <w:rFonts w:eastAsia="NewtonC-Bold" w:cs="NewtonC-Bold"/>
          <w:szCs w:val="28"/>
          <w:lang w:eastAsia="ru-RU"/>
        </w:rPr>
        <w:t xml:space="preserve">ої смертності, </w:t>
      </w:r>
      <w:r w:rsidRPr="00006A39">
        <w:rPr>
          <w:rFonts w:eastAsia="NewtonC-Bold" w:cs="NewtonC-Bold"/>
          <w:szCs w:val="28"/>
          <w:lang w:eastAsia="ru-RU"/>
        </w:rPr>
        <w:t xml:space="preserve">зокрема, за хворобами ендокринної системи, </w:t>
      </w:r>
      <w:r w:rsidR="00A765B5">
        <w:rPr>
          <w:rFonts w:eastAsia="NewtonC-Bold" w:cs="NewtonC-Bold"/>
          <w:szCs w:val="28"/>
          <w:lang w:eastAsia="ru-RU"/>
        </w:rPr>
        <w:t>розладами харчування та порушеннями</w:t>
      </w:r>
      <w:r w:rsidRPr="00006A39">
        <w:rPr>
          <w:rFonts w:eastAsia="NewtonC-Bold" w:cs="NewtonC-Bold"/>
          <w:szCs w:val="28"/>
          <w:lang w:eastAsia="ru-RU"/>
        </w:rPr>
        <w:t xml:space="preserve"> обміну речовин та хворобами органів дихання. За іншими провідними причинами</w:t>
      </w:r>
      <w:r w:rsidR="00CC039C">
        <w:rPr>
          <w:rFonts w:eastAsia="NewtonC-Bold" w:cs="NewtonC-Bold"/>
          <w:szCs w:val="28"/>
          <w:lang w:eastAsia="ru-RU"/>
        </w:rPr>
        <w:t> </w:t>
      </w:r>
      <w:r w:rsidRPr="00006A39">
        <w:rPr>
          <w:rFonts w:eastAsia="NewtonC-Bold" w:cs="NewtonC-Bold"/>
          <w:szCs w:val="28"/>
          <w:lang w:eastAsia="ru-RU"/>
        </w:rPr>
        <w:t>відбулось</w:t>
      </w:r>
      <w:r w:rsidR="00CC039C">
        <w:t> </w:t>
      </w:r>
      <w:r w:rsidRPr="00006A39">
        <w:rPr>
          <w:rFonts w:eastAsia="NewtonC-Bold" w:cs="NewtonC-Bold"/>
          <w:szCs w:val="28"/>
          <w:lang w:eastAsia="ru-RU"/>
        </w:rPr>
        <w:t>зниження</w:t>
      </w:r>
      <w:r w:rsidR="00CC039C">
        <w:rPr>
          <w:lang w:val="en-US"/>
        </w:rPr>
        <w:t> </w:t>
      </w:r>
      <w:r w:rsidRPr="00006A39">
        <w:rPr>
          <w:rFonts w:eastAsia="NewtonC-Bold" w:cs="NewtonC-Bold"/>
          <w:szCs w:val="28"/>
          <w:lang w:eastAsia="ru-RU"/>
        </w:rPr>
        <w:t>її</w:t>
      </w:r>
      <w:r w:rsidR="00CC039C">
        <w:rPr>
          <w:rFonts w:eastAsia="NewtonC-Bold" w:cs="NewtonC-Bold"/>
          <w:szCs w:val="28"/>
          <w:lang w:val="en-US" w:eastAsia="ru-RU"/>
        </w:rPr>
        <w:t> </w:t>
      </w:r>
      <w:r w:rsidRPr="00006A39">
        <w:rPr>
          <w:rFonts w:eastAsia="NewtonC-Bold" w:cs="NewtonC-Bold"/>
          <w:szCs w:val="28"/>
          <w:lang w:eastAsia="ru-RU"/>
        </w:rPr>
        <w:t>показника</w:t>
      </w:r>
      <w:r w:rsidR="007C3BE5">
        <w:rPr>
          <w:rFonts w:eastAsia="NewtonC-Bold" w:cs="NewtonC-Bold"/>
          <w:szCs w:val="28"/>
          <w:lang w:eastAsia="ru-RU"/>
        </w:rPr>
        <w:t> </w:t>
      </w:r>
      <w:r w:rsidR="00966618" w:rsidRPr="00D7097A">
        <w:rPr>
          <w:rFonts w:eastAsia="NewtonC-Bold" w:cs="NewtonC-Bold"/>
          <w:szCs w:val="28"/>
          <w:lang w:eastAsia="ru-RU"/>
        </w:rPr>
        <w:t>(</w:t>
      </w:r>
      <w:r w:rsidR="00584D7A">
        <w:rPr>
          <w:rFonts w:eastAsia="NewtonC-Bold" w:cs="NewtonC-Bold"/>
          <w:szCs w:val="28"/>
          <w:lang w:eastAsia="ru-RU"/>
        </w:rPr>
        <w:t>табл.</w:t>
      </w:r>
      <w:r w:rsidR="00584D7A">
        <w:rPr>
          <w:rFonts w:eastAsia="NewtonC-Bold" w:cs="NewtonC-Bold"/>
          <w:szCs w:val="28"/>
          <w:lang w:val="ru-RU" w:eastAsia="ru-RU"/>
        </w:rPr>
        <w:t> </w:t>
      </w:r>
      <w:r w:rsidR="00966618">
        <w:rPr>
          <w:rFonts w:eastAsia="NewtonC-Bold" w:cs="NewtonC-Bold"/>
          <w:szCs w:val="28"/>
          <w:lang w:eastAsia="ru-RU"/>
        </w:rPr>
        <w:t>3.3)</w:t>
      </w:r>
      <w:r w:rsidRPr="00006A39">
        <w:rPr>
          <w:rFonts w:eastAsia="NewtonC-Bold" w:cs="NewtonC-Bold"/>
          <w:szCs w:val="28"/>
          <w:lang w:eastAsia="ru-RU"/>
        </w:rPr>
        <w:t>.</w:t>
      </w:r>
    </w:p>
    <w:p w:rsidR="00C96685" w:rsidRPr="00D7097A" w:rsidRDefault="00C96685" w:rsidP="00721203">
      <w:pPr>
        <w:widowControl w:val="0"/>
        <w:ind w:firstLine="709"/>
        <w:sectPr w:rsidR="00C96685" w:rsidRPr="00D7097A" w:rsidSect="00E242B0">
          <w:pgSz w:w="11906" w:h="16838"/>
          <w:pgMar w:top="1134" w:right="567" w:bottom="1134" w:left="1134" w:header="708" w:footer="708" w:gutter="0"/>
          <w:cols w:space="708"/>
          <w:docGrid w:linePitch="360"/>
        </w:sectPr>
      </w:pPr>
      <w:r w:rsidRPr="00154F8F">
        <w:rPr>
          <w:color w:val="000000" w:themeColor="text1"/>
          <w:szCs w:val="28"/>
        </w:rPr>
        <w:t>Смертність дітей України у віці до 1 року життя за причинами смерті з урахуванням міста мешкання (місто</w:t>
      </w:r>
      <w:r w:rsidR="006462D0">
        <w:rPr>
          <w:color w:val="000000" w:themeColor="text1"/>
          <w:szCs w:val="28"/>
        </w:rPr>
        <w:t>, село)</w:t>
      </w:r>
      <w:r w:rsidR="006462D0" w:rsidRPr="006462D0">
        <w:rPr>
          <w:color w:val="000000" w:themeColor="text1"/>
          <w:szCs w:val="28"/>
        </w:rPr>
        <w:t xml:space="preserve"> </w:t>
      </w:r>
      <w:r w:rsidRPr="00154F8F">
        <w:rPr>
          <w:color w:val="000000" w:themeColor="text1"/>
          <w:szCs w:val="28"/>
        </w:rPr>
        <w:t>має певні особливості, а саме: малюкова смертність в сільській місцевості за всіма провідними причинами вища ніж аналогічна у міській місцевості; зростання рівнів смертності дітей до 1-го року</w:t>
      </w:r>
      <w:r w:rsidR="00D12020">
        <w:rPr>
          <w:color w:val="000000" w:themeColor="text1"/>
          <w:szCs w:val="28"/>
        </w:rPr>
        <w:t xml:space="preserve"> життя міській місцевості відбулось</w:t>
      </w:r>
      <w:r w:rsidRPr="00154F8F">
        <w:rPr>
          <w:color w:val="000000" w:themeColor="text1"/>
          <w:szCs w:val="28"/>
        </w:rPr>
        <w:t xml:space="preserve"> від хвороб крові й кровотворних органів та окремих порушень із залученням імунного механізму на 48,1% (Клас ІІІ, з 0,27 до 0,40 на 10 тис. народжених живими), від хвороб органів дихання на 50,5% (Клас Х, з 1,91 до 1,94 відповідно), від хвороб органів травлення на 7,4 (Клас ХІ, з 0,27 до 0,29 відповідно), від хвороб сечостатевої системи на 33,3% (Клас ХІV, з 0,03 до 0,04 відповідно); зростання малюкової смертності в сільській місцевості</w:t>
      </w:r>
      <w:r w:rsidR="008E5894">
        <w:rPr>
          <w:color w:val="000000" w:themeColor="text1"/>
          <w:szCs w:val="28"/>
        </w:rPr>
        <w:t xml:space="preserve"> –</w:t>
      </w:r>
      <w:r w:rsidRPr="00154F8F">
        <w:rPr>
          <w:color w:val="000000" w:themeColor="text1"/>
          <w:szCs w:val="28"/>
        </w:rPr>
        <w:t xml:space="preserve"> від хвороб крові й кровотворних органів та окремих порушень із залученням імунного механізму на 35% (Клас ІІІ, з 0,40 до 0,54 на 10 тис. народжених живими), хвороб органів дихання на 41,5% (Клас Х, з 2,78 до 3,92 на 10 тис. народжених живими), від окремих станів, що виникають у перинатальному періоді на 7,2% (Клас ХVI, з 40,61 до 43,54 на 10 тис. наро</w:t>
      </w:r>
      <w:r>
        <w:rPr>
          <w:color w:val="000000" w:themeColor="text1"/>
          <w:szCs w:val="28"/>
        </w:rPr>
        <w:t>джених живими), природжених вад</w:t>
      </w:r>
      <w:r w:rsidRPr="00154F8F">
        <w:rPr>
          <w:color w:val="000000" w:themeColor="text1"/>
          <w:szCs w:val="28"/>
        </w:rPr>
        <w:t xml:space="preserve"> розвитку, деформації та хромосомних аномалій на 9,1% (Клас ХVII, з 20,03 до 21,85 на 10 тис. народжених живими)</w:t>
      </w:r>
      <w:r w:rsidR="007E221C">
        <w:rPr>
          <w:color w:val="000000" w:themeColor="text1"/>
          <w:szCs w:val="28"/>
          <w:lang w:val="ru-RU"/>
        </w:rPr>
        <w:t> </w:t>
      </w:r>
      <w:r w:rsidRPr="006462D0">
        <w:rPr>
          <w:szCs w:val="28"/>
        </w:rPr>
        <w:t>(Додаток</w:t>
      </w:r>
      <w:r w:rsidR="007E221C" w:rsidRPr="006462D0">
        <w:rPr>
          <w:szCs w:val="28"/>
          <w:lang w:val="ru-RU"/>
        </w:rPr>
        <w:t> </w:t>
      </w:r>
      <w:r w:rsidRPr="006462D0">
        <w:rPr>
          <w:szCs w:val="28"/>
        </w:rPr>
        <w:t>Б-6).</w:t>
      </w:r>
    </w:p>
    <w:p w:rsidR="00D96FD9" w:rsidRPr="00006A39" w:rsidRDefault="00966618" w:rsidP="00721203">
      <w:pPr>
        <w:widowControl w:val="0"/>
        <w:ind w:firstLine="709"/>
        <w:jc w:val="right"/>
        <w:rPr>
          <w:rFonts w:eastAsia="NewtonC-Bold" w:cs="NewtonC-Bold"/>
          <w:i/>
          <w:szCs w:val="28"/>
          <w:lang w:eastAsia="ru-RU"/>
        </w:rPr>
      </w:pPr>
      <w:r>
        <w:rPr>
          <w:i/>
          <w:szCs w:val="28"/>
        </w:rPr>
        <w:lastRenderedPageBreak/>
        <w:t>Таблиця 3.3</w:t>
      </w:r>
    </w:p>
    <w:p w:rsidR="00D96FD9" w:rsidRPr="00006A39" w:rsidRDefault="00D96FD9" w:rsidP="00721203">
      <w:pPr>
        <w:widowControl w:val="0"/>
        <w:jc w:val="center"/>
        <w:rPr>
          <w:rFonts w:eastAsia="NewtonC-Bold" w:cs="NewtonC-Bold"/>
          <w:b/>
          <w:bCs/>
          <w:szCs w:val="28"/>
          <w:lang w:eastAsia="ru-RU"/>
        </w:rPr>
      </w:pPr>
      <w:r w:rsidRPr="00006A39">
        <w:rPr>
          <w:rFonts w:eastAsia="NewtonC-Bold" w:cs="NewtonC-Bold"/>
          <w:b/>
          <w:bCs/>
          <w:szCs w:val="28"/>
          <w:lang w:eastAsia="ru-RU"/>
        </w:rPr>
        <w:t>Причинна структура малюкової смертності дітей України за 2014-2018 рр</w:t>
      </w:r>
      <w:r w:rsidR="00E52DEF" w:rsidRPr="00006A39">
        <w:rPr>
          <w:rFonts w:eastAsia="NewtonC-Bold" w:cs="NewtonC-Bold"/>
          <w:b/>
          <w:bCs/>
          <w:szCs w:val="28"/>
          <w:lang w:eastAsia="ru-RU"/>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213"/>
        <w:gridCol w:w="696"/>
        <w:gridCol w:w="756"/>
        <w:gridCol w:w="696"/>
        <w:gridCol w:w="756"/>
        <w:gridCol w:w="696"/>
        <w:gridCol w:w="756"/>
        <w:gridCol w:w="696"/>
        <w:gridCol w:w="756"/>
        <w:gridCol w:w="696"/>
        <w:gridCol w:w="636"/>
      </w:tblGrid>
      <w:tr w:rsidR="00D96FD9" w:rsidRPr="000A6B6D" w:rsidTr="004F31D7">
        <w:trPr>
          <w:trHeight w:val="360"/>
          <w:jc w:val="center"/>
        </w:trPr>
        <w:tc>
          <w:tcPr>
            <w:tcW w:w="0" w:type="auto"/>
            <w:vMerge w:val="restart"/>
          </w:tcPr>
          <w:p w:rsidR="00D96FD9" w:rsidRPr="000A6B6D" w:rsidRDefault="00D96FD9" w:rsidP="009F0C20">
            <w:pPr>
              <w:widowControl w:val="0"/>
              <w:jc w:val="center"/>
              <w:rPr>
                <w:rFonts w:eastAsia="NewtonC-Bold"/>
                <w:bCs/>
                <w:sz w:val="24"/>
                <w:szCs w:val="24"/>
                <w:lang w:eastAsia="ru-RU"/>
              </w:rPr>
            </w:pPr>
          </w:p>
          <w:p w:rsidR="00D96FD9" w:rsidRPr="000A6B6D" w:rsidRDefault="00D96FD9" w:rsidP="009F0C20">
            <w:pPr>
              <w:widowControl w:val="0"/>
              <w:jc w:val="center"/>
              <w:rPr>
                <w:rFonts w:eastAsia="NewtonC-Bold"/>
                <w:bCs/>
                <w:sz w:val="24"/>
                <w:szCs w:val="24"/>
                <w:lang w:eastAsia="ru-RU"/>
              </w:rPr>
            </w:pPr>
            <w:r w:rsidRPr="000A6B6D">
              <w:rPr>
                <w:rFonts w:eastAsia="NewtonC-Bold"/>
                <w:bCs/>
                <w:sz w:val="24"/>
                <w:szCs w:val="24"/>
                <w:lang w:eastAsia="ru-RU"/>
              </w:rPr>
              <w:t>Причина смерті за МКХ-10</w:t>
            </w:r>
          </w:p>
          <w:p w:rsidR="00D96FD9" w:rsidRPr="000A6B6D" w:rsidRDefault="00D96FD9" w:rsidP="009F0C20">
            <w:pPr>
              <w:widowControl w:val="0"/>
              <w:jc w:val="center"/>
              <w:rPr>
                <w:rFonts w:eastAsia="NewtonC-Bold"/>
                <w:bCs/>
                <w:sz w:val="24"/>
                <w:szCs w:val="24"/>
                <w:lang w:eastAsia="ru-RU"/>
              </w:rPr>
            </w:pPr>
            <w:r w:rsidRPr="000A6B6D">
              <w:rPr>
                <w:rFonts w:eastAsia="NewtonC-Bold"/>
                <w:bCs/>
                <w:sz w:val="24"/>
                <w:szCs w:val="24"/>
                <w:lang w:eastAsia="ru-RU"/>
              </w:rPr>
              <w:t>(класи хвороб)</w:t>
            </w:r>
          </w:p>
        </w:tc>
        <w:tc>
          <w:tcPr>
            <w:tcW w:w="0" w:type="auto"/>
            <w:gridSpan w:val="2"/>
          </w:tcPr>
          <w:p w:rsidR="00D96FD9" w:rsidRPr="000A6B6D" w:rsidRDefault="00D96FD9" w:rsidP="009F0C20">
            <w:pPr>
              <w:widowControl w:val="0"/>
              <w:jc w:val="center"/>
              <w:rPr>
                <w:rFonts w:eastAsia="NewtonC-Bold"/>
                <w:bCs/>
                <w:sz w:val="24"/>
                <w:szCs w:val="24"/>
                <w:lang w:eastAsia="ru-RU"/>
              </w:rPr>
            </w:pPr>
            <w:r w:rsidRPr="000A6B6D">
              <w:rPr>
                <w:rFonts w:eastAsia="NewtonC-Bold"/>
                <w:bCs/>
                <w:sz w:val="24"/>
                <w:szCs w:val="24"/>
                <w:lang w:eastAsia="ru-RU"/>
              </w:rPr>
              <w:t>2014 р.</w:t>
            </w:r>
            <w:r w:rsidRPr="000A6B6D">
              <w:rPr>
                <w:rFonts w:eastAsia="Times New Roman"/>
                <w:sz w:val="24"/>
                <w:szCs w:val="24"/>
                <w:vertAlign w:val="superscript"/>
                <w:lang w:eastAsia="ru-RU"/>
              </w:rPr>
              <w:t xml:space="preserve"> </w:t>
            </w:r>
          </w:p>
        </w:tc>
        <w:tc>
          <w:tcPr>
            <w:tcW w:w="0" w:type="auto"/>
            <w:gridSpan w:val="2"/>
          </w:tcPr>
          <w:p w:rsidR="00D96FD9" w:rsidRPr="000A6B6D" w:rsidRDefault="00D96FD9" w:rsidP="009F0C20">
            <w:pPr>
              <w:widowControl w:val="0"/>
              <w:jc w:val="center"/>
              <w:rPr>
                <w:rFonts w:eastAsia="NewtonC-Bold"/>
                <w:bCs/>
                <w:sz w:val="24"/>
                <w:szCs w:val="24"/>
                <w:lang w:eastAsia="ru-RU"/>
              </w:rPr>
            </w:pPr>
            <w:r w:rsidRPr="000A6B6D">
              <w:rPr>
                <w:rFonts w:eastAsia="NewtonC-Bold"/>
                <w:bCs/>
                <w:sz w:val="24"/>
                <w:szCs w:val="24"/>
                <w:lang w:eastAsia="ru-RU"/>
              </w:rPr>
              <w:t>2015 р.</w:t>
            </w:r>
            <w:r w:rsidRPr="000A6B6D">
              <w:rPr>
                <w:rFonts w:eastAsia="Times New Roman"/>
                <w:sz w:val="24"/>
                <w:szCs w:val="24"/>
                <w:vertAlign w:val="superscript"/>
                <w:lang w:eastAsia="ru-RU"/>
              </w:rPr>
              <w:t xml:space="preserve"> </w:t>
            </w:r>
          </w:p>
        </w:tc>
        <w:tc>
          <w:tcPr>
            <w:tcW w:w="0" w:type="auto"/>
            <w:gridSpan w:val="2"/>
          </w:tcPr>
          <w:p w:rsidR="00D96FD9" w:rsidRPr="000A6B6D" w:rsidRDefault="00D96FD9" w:rsidP="009F0C20">
            <w:pPr>
              <w:widowControl w:val="0"/>
              <w:jc w:val="center"/>
              <w:rPr>
                <w:rFonts w:eastAsia="NewtonC-Bold"/>
                <w:bCs/>
                <w:sz w:val="24"/>
                <w:szCs w:val="24"/>
                <w:lang w:eastAsia="ru-RU"/>
              </w:rPr>
            </w:pPr>
            <w:r w:rsidRPr="000A6B6D">
              <w:rPr>
                <w:rFonts w:eastAsia="NewtonC-Bold"/>
                <w:bCs/>
                <w:sz w:val="24"/>
                <w:szCs w:val="24"/>
                <w:lang w:eastAsia="ru-RU"/>
              </w:rPr>
              <w:t>2016 р.</w:t>
            </w:r>
            <w:r w:rsidRPr="000A6B6D">
              <w:rPr>
                <w:rFonts w:eastAsia="Times New Roman"/>
                <w:sz w:val="24"/>
                <w:szCs w:val="24"/>
                <w:vertAlign w:val="superscript"/>
                <w:lang w:eastAsia="ru-RU"/>
              </w:rPr>
              <w:t xml:space="preserve"> </w:t>
            </w:r>
          </w:p>
        </w:tc>
        <w:tc>
          <w:tcPr>
            <w:tcW w:w="0" w:type="auto"/>
            <w:gridSpan w:val="2"/>
          </w:tcPr>
          <w:p w:rsidR="00D96FD9" w:rsidRPr="000A6B6D" w:rsidRDefault="00D96FD9" w:rsidP="009F0C20">
            <w:pPr>
              <w:widowControl w:val="0"/>
              <w:jc w:val="center"/>
              <w:rPr>
                <w:rFonts w:eastAsia="NewtonC-Bold"/>
                <w:bCs/>
                <w:sz w:val="24"/>
                <w:szCs w:val="24"/>
                <w:lang w:eastAsia="ru-RU"/>
              </w:rPr>
            </w:pPr>
            <w:r w:rsidRPr="000A6B6D">
              <w:rPr>
                <w:rFonts w:eastAsia="NewtonC-Bold"/>
                <w:bCs/>
                <w:sz w:val="24"/>
                <w:szCs w:val="24"/>
                <w:lang w:eastAsia="ru-RU"/>
              </w:rPr>
              <w:t xml:space="preserve">2017 </w:t>
            </w:r>
            <w:r w:rsidRPr="000A6B6D">
              <w:rPr>
                <w:rFonts w:eastAsia="Times New Roman"/>
                <w:sz w:val="24"/>
                <w:szCs w:val="24"/>
                <w:vertAlign w:val="superscript"/>
                <w:lang w:eastAsia="ru-RU"/>
              </w:rPr>
              <w:t xml:space="preserve"> </w:t>
            </w:r>
            <w:r w:rsidRPr="000A6B6D">
              <w:rPr>
                <w:rFonts w:eastAsia="NewtonC-Bold"/>
                <w:bCs/>
                <w:sz w:val="24"/>
                <w:szCs w:val="24"/>
                <w:lang w:eastAsia="ru-RU"/>
              </w:rPr>
              <w:t>р.</w:t>
            </w:r>
          </w:p>
        </w:tc>
        <w:tc>
          <w:tcPr>
            <w:tcW w:w="0" w:type="auto"/>
            <w:gridSpan w:val="2"/>
          </w:tcPr>
          <w:p w:rsidR="00D96FD9" w:rsidRPr="000A6B6D" w:rsidRDefault="00D96FD9" w:rsidP="009F0C20">
            <w:pPr>
              <w:widowControl w:val="0"/>
              <w:jc w:val="center"/>
              <w:rPr>
                <w:rFonts w:eastAsia="NewtonC-Bold"/>
                <w:bCs/>
                <w:sz w:val="24"/>
                <w:szCs w:val="24"/>
                <w:lang w:eastAsia="ru-RU"/>
              </w:rPr>
            </w:pPr>
            <w:r w:rsidRPr="000A6B6D">
              <w:rPr>
                <w:rFonts w:eastAsia="NewtonC-Bold"/>
                <w:bCs/>
                <w:sz w:val="24"/>
                <w:szCs w:val="24"/>
                <w:lang w:eastAsia="ru-RU"/>
              </w:rPr>
              <w:t xml:space="preserve">2018 </w:t>
            </w:r>
            <w:r w:rsidRPr="000A6B6D">
              <w:rPr>
                <w:rFonts w:eastAsia="Times New Roman"/>
                <w:sz w:val="24"/>
                <w:szCs w:val="24"/>
                <w:vertAlign w:val="superscript"/>
                <w:lang w:eastAsia="ru-RU"/>
              </w:rPr>
              <w:t xml:space="preserve"> </w:t>
            </w:r>
            <w:r w:rsidRPr="000A6B6D">
              <w:rPr>
                <w:rFonts w:eastAsia="NewtonC-Bold"/>
                <w:bCs/>
                <w:sz w:val="24"/>
                <w:szCs w:val="24"/>
                <w:lang w:eastAsia="ru-RU"/>
              </w:rPr>
              <w:t>р.</w:t>
            </w:r>
          </w:p>
        </w:tc>
      </w:tr>
      <w:tr w:rsidR="00D96FD9" w:rsidRPr="000A6B6D" w:rsidTr="004F31D7">
        <w:trPr>
          <w:cantSplit/>
          <w:trHeight w:val="724"/>
          <w:jc w:val="center"/>
        </w:trPr>
        <w:tc>
          <w:tcPr>
            <w:tcW w:w="0" w:type="auto"/>
            <w:vMerge/>
          </w:tcPr>
          <w:p w:rsidR="00D96FD9" w:rsidRPr="000A6B6D" w:rsidRDefault="00D96FD9" w:rsidP="009F0C20">
            <w:pPr>
              <w:widowControl w:val="0"/>
              <w:jc w:val="center"/>
              <w:rPr>
                <w:rFonts w:eastAsia="NewtonC-Bold"/>
                <w:bCs/>
                <w:sz w:val="24"/>
                <w:szCs w:val="24"/>
                <w:lang w:eastAsia="ru-RU"/>
              </w:rPr>
            </w:pPr>
          </w:p>
        </w:tc>
        <w:tc>
          <w:tcPr>
            <w:tcW w:w="0" w:type="auto"/>
            <w:textDirection w:val="btLr"/>
          </w:tcPr>
          <w:p w:rsidR="00D96FD9" w:rsidRPr="000A6B6D" w:rsidRDefault="00D96FD9" w:rsidP="000A6B6D">
            <w:pPr>
              <w:widowControl w:val="0"/>
              <w:spacing w:line="280" w:lineRule="exact"/>
              <w:jc w:val="center"/>
              <w:rPr>
                <w:rFonts w:eastAsia="NewtonC-Bold"/>
                <w:bCs/>
                <w:sz w:val="24"/>
                <w:szCs w:val="24"/>
                <w:lang w:eastAsia="ru-RU"/>
              </w:rPr>
            </w:pPr>
            <w:r w:rsidRPr="000A6B6D">
              <w:rPr>
                <w:rFonts w:eastAsia="NewtonC-Bold"/>
                <w:bCs/>
                <w:sz w:val="24"/>
                <w:szCs w:val="24"/>
                <w:lang w:eastAsia="ru-RU"/>
              </w:rPr>
              <w:t>абс.</w:t>
            </w:r>
          </w:p>
        </w:tc>
        <w:tc>
          <w:tcPr>
            <w:tcW w:w="0" w:type="auto"/>
            <w:textDirection w:val="btLr"/>
          </w:tcPr>
          <w:p w:rsidR="00D96FD9" w:rsidRPr="000A6B6D" w:rsidRDefault="00D96FD9" w:rsidP="000A6B6D">
            <w:pPr>
              <w:widowControl w:val="0"/>
              <w:spacing w:line="280" w:lineRule="exact"/>
              <w:jc w:val="center"/>
              <w:rPr>
                <w:rFonts w:eastAsia="NewtonC-Bold"/>
                <w:bCs/>
                <w:sz w:val="24"/>
                <w:szCs w:val="24"/>
                <w:lang w:eastAsia="ru-RU"/>
              </w:rPr>
            </w:pPr>
            <w:r w:rsidRPr="000A6B6D">
              <w:rPr>
                <w:rFonts w:eastAsia="NewtonC-Bold"/>
                <w:bCs/>
                <w:sz w:val="24"/>
                <w:szCs w:val="24"/>
                <w:lang w:eastAsia="ru-RU"/>
              </w:rPr>
              <w:t>на 10 тис</w:t>
            </w:r>
          </w:p>
        </w:tc>
        <w:tc>
          <w:tcPr>
            <w:tcW w:w="0" w:type="auto"/>
            <w:textDirection w:val="btLr"/>
          </w:tcPr>
          <w:p w:rsidR="00D96FD9" w:rsidRPr="000A6B6D" w:rsidRDefault="00D96FD9" w:rsidP="000A6B6D">
            <w:pPr>
              <w:widowControl w:val="0"/>
              <w:spacing w:line="280" w:lineRule="exact"/>
              <w:jc w:val="center"/>
              <w:rPr>
                <w:rFonts w:eastAsia="NewtonC-Bold"/>
                <w:bCs/>
                <w:sz w:val="24"/>
                <w:szCs w:val="24"/>
                <w:lang w:eastAsia="ru-RU"/>
              </w:rPr>
            </w:pPr>
            <w:r w:rsidRPr="000A6B6D">
              <w:rPr>
                <w:rFonts w:eastAsia="NewtonC-Bold"/>
                <w:bCs/>
                <w:sz w:val="24"/>
                <w:szCs w:val="24"/>
                <w:lang w:eastAsia="ru-RU"/>
              </w:rPr>
              <w:t>абс.</w:t>
            </w:r>
          </w:p>
        </w:tc>
        <w:tc>
          <w:tcPr>
            <w:tcW w:w="0" w:type="auto"/>
            <w:textDirection w:val="btLr"/>
          </w:tcPr>
          <w:p w:rsidR="00D96FD9" w:rsidRPr="000A6B6D" w:rsidRDefault="00D96FD9" w:rsidP="000A6B6D">
            <w:pPr>
              <w:widowControl w:val="0"/>
              <w:spacing w:line="280" w:lineRule="exact"/>
              <w:jc w:val="center"/>
              <w:rPr>
                <w:rFonts w:eastAsia="NewtonC-Bold"/>
                <w:bCs/>
                <w:sz w:val="24"/>
                <w:szCs w:val="24"/>
                <w:lang w:eastAsia="ru-RU"/>
              </w:rPr>
            </w:pPr>
            <w:r w:rsidRPr="000A6B6D">
              <w:rPr>
                <w:rFonts w:eastAsia="NewtonC-Bold"/>
                <w:bCs/>
                <w:sz w:val="24"/>
                <w:szCs w:val="24"/>
                <w:lang w:eastAsia="ru-RU"/>
              </w:rPr>
              <w:t>на 10 тис</w:t>
            </w:r>
          </w:p>
        </w:tc>
        <w:tc>
          <w:tcPr>
            <w:tcW w:w="0" w:type="auto"/>
            <w:textDirection w:val="btLr"/>
          </w:tcPr>
          <w:p w:rsidR="00D96FD9" w:rsidRPr="000A6B6D" w:rsidRDefault="00D96FD9" w:rsidP="000A6B6D">
            <w:pPr>
              <w:widowControl w:val="0"/>
              <w:spacing w:line="280" w:lineRule="exact"/>
              <w:jc w:val="center"/>
              <w:rPr>
                <w:rFonts w:eastAsia="NewtonC-Bold"/>
                <w:bCs/>
                <w:sz w:val="24"/>
                <w:szCs w:val="24"/>
                <w:lang w:eastAsia="ru-RU"/>
              </w:rPr>
            </w:pPr>
            <w:r w:rsidRPr="000A6B6D">
              <w:rPr>
                <w:rFonts w:eastAsia="NewtonC-Bold"/>
                <w:bCs/>
                <w:sz w:val="24"/>
                <w:szCs w:val="24"/>
                <w:lang w:eastAsia="ru-RU"/>
              </w:rPr>
              <w:t>абс.</w:t>
            </w:r>
          </w:p>
        </w:tc>
        <w:tc>
          <w:tcPr>
            <w:tcW w:w="0" w:type="auto"/>
            <w:textDirection w:val="btLr"/>
          </w:tcPr>
          <w:p w:rsidR="00D96FD9" w:rsidRPr="000A6B6D" w:rsidRDefault="00D96FD9" w:rsidP="000A6B6D">
            <w:pPr>
              <w:widowControl w:val="0"/>
              <w:spacing w:line="280" w:lineRule="exact"/>
              <w:jc w:val="center"/>
              <w:rPr>
                <w:rFonts w:eastAsia="NewtonC-Bold"/>
                <w:bCs/>
                <w:sz w:val="24"/>
                <w:szCs w:val="24"/>
                <w:lang w:eastAsia="ru-RU"/>
              </w:rPr>
            </w:pPr>
            <w:r w:rsidRPr="000A6B6D">
              <w:rPr>
                <w:rFonts w:eastAsia="NewtonC-Bold"/>
                <w:bCs/>
                <w:sz w:val="24"/>
                <w:szCs w:val="24"/>
                <w:lang w:eastAsia="ru-RU"/>
              </w:rPr>
              <w:t>на 10 тис</w:t>
            </w:r>
          </w:p>
        </w:tc>
        <w:tc>
          <w:tcPr>
            <w:tcW w:w="0" w:type="auto"/>
            <w:textDirection w:val="btLr"/>
          </w:tcPr>
          <w:p w:rsidR="00D96FD9" w:rsidRPr="000A6B6D" w:rsidRDefault="00D96FD9" w:rsidP="000A6B6D">
            <w:pPr>
              <w:widowControl w:val="0"/>
              <w:spacing w:line="280" w:lineRule="exact"/>
              <w:jc w:val="center"/>
              <w:rPr>
                <w:rFonts w:eastAsia="NewtonC-Bold"/>
                <w:bCs/>
                <w:sz w:val="24"/>
                <w:szCs w:val="24"/>
                <w:lang w:eastAsia="ru-RU"/>
              </w:rPr>
            </w:pPr>
            <w:r w:rsidRPr="000A6B6D">
              <w:rPr>
                <w:rFonts w:eastAsia="NewtonC-Bold"/>
                <w:bCs/>
                <w:sz w:val="24"/>
                <w:szCs w:val="24"/>
                <w:lang w:eastAsia="ru-RU"/>
              </w:rPr>
              <w:t>абс.</w:t>
            </w:r>
          </w:p>
        </w:tc>
        <w:tc>
          <w:tcPr>
            <w:tcW w:w="0" w:type="auto"/>
            <w:textDirection w:val="btLr"/>
          </w:tcPr>
          <w:p w:rsidR="00D96FD9" w:rsidRPr="000A6B6D" w:rsidRDefault="00D96FD9" w:rsidP="000A6B6D">
            <w:pPr>
              <w:widowControl w:val="0"/>
              <w:spacing w:line="280" w:lineRule="exact"/>
              <w:jc w:val="center"/>
              <w:rPr>
                <w:rFonts w:eastAsia="NewtonC-Bold"/>
                <w:bCs/>
                <w:sz w:val="24"/>
                <w:szCs w:val="24"/>
                <w:lang w:eastAsia="ru-RU"/>
              </w:rPr>
            </w:pPr>
            <w:r w:rsidRPr="000A6B6D">
              <w:rPr>
                <w:rFonts w:eastAsia="NewtonC-Bold"/>
                <w:bCs/>
                <w:sz w:val="24"/>
                <w:szCs w:val="24"/>
                <w:lang w:eastAsia="ru-RU"/>
              </w:rPr>
              <w:t>на 10 тис</w:t>
            </w:r>
          </w:p>
        </w:tc>
        <w:tc>
          <w:tcPr>
            <w:tcW w:w="0" w:type="auto"/>
            <w:textDirection w:val="btLr"/>
          </w:tcPr>
          <w:p w:rsidR="00D96FD9" w:rsidRPr="000A6B6D" w:rsidRDefault="00D96FD9" w:rsidP="000A6B6D">
            <w:pPr>
              <w:widowControl w:val="0"/>
              <w:spacing w:line="280" w:lineRule="exact"/>
              <w:jc w:val="center"/>
              <w:rPr>
                <w:rFonts w:eastAsia="NewtonC-Bold"/>
                <w:bCs/>
                <w:sz w:val="24"/>
                <w:szCs w:val="24"/>
                <w:lang w:eastAsia="ru-RU"/>
              </w:rPr>
            </w:pPr>
            <w:r w:rsidRPr="000A6B6D">
              <w:rPr>
                <w:rFonts w:eastAsia="NewtonC-Bold"/>
                <w:bCs/>
                <w:sz w:val="24"/>
                <w:szCs w:val="24"/>
                <w:lang w:eastAsia="ru-RU"/>
              </w:rPr>
              <w:t>абс.</w:t>
            </w:r>
          </w:p>
        </w:tc>
        <w:tc>
          <w:tcPr>
            <w:tcW w:w="0" w:type="auto"/>
            <w:textDirection w:val="btLr"/>
          </w:tcPr>
          <w:p w:rsidR="00D96FD9" w:rsidRPr="000A6B6D" w:rsidRDefault="00D96FD9" w:rsidP="000A6B6D">
            <w:pPr>
              <w:widowControl w:val="0"/>
              <w:spacing w:line="280" w:lineRule="exact"/>
              <w:jc w:val="center"/>
              <w:rPr>
                <w:rFonts w:eastAsia="NewtonC-Bold"/>
                <w:bCs/>
                <w:sz w:val="24"/>
                <w:szCs w:val="24"/>
                <w:lang w:eastAsia="ru-RU"/>
              </w:rPr>
            </w:pPr>
            <w:r w:rsidRPr="000A6B6D">
              <w:rPr>
                <w:rFonts w:eastAsia="NewtonC-Bold"/>
                <w:bCs/>
                <w:sz w:val="24"/>
                <w:szCs w:val="24"/>
                <w:lang w:eastAsia="ru-RU"/>
              </w:rPr>
              <w:t>на 10 тис</w:t>
            </w:r>
          </w:p>
        </w:tc>
      </w:tr>
      <w:tr w:rsidR="00D96FD9" w:rsidRPr="000A6B6D" w:rsidTr="004F31D7">
        <w:trPr>
          <w:trHeight w:val="286"/>
          <w:jc w:val="center"/>
        </w:trPr>
        <w:tc>
          <w:tcPr>
            <w:tcW w:w="0" w:type="auto"/>
          </w:tcPr>
          <w:p w:rsidR="00D96FD9" w:rsidRPr="000A6B6D" w:rsidRDefault="00D96FD9" w:rsidP="009F0C20">
            <w:pPr>
              <w:widowControl w:val="0"/>
              <w:rPr>
                <w:rFonts w:eastAsia="Times New Roman"/>
                <w:bCs/>
                <w:sz w:val="24"/>
                <w:szCs w:val="24"/>
                <w:lang w:eastAsia="ru-RU"/>
              </w:rPr>
            </w:pPr>
            <w:r w:rsidRPr="000A6B6D">
              <w:rPr>
                <w:rFonts w:eastAsia="Times New Roman"/>
                <w:bCs/>
                <w:sz w:val="24"/>
                <w:szCs w:val="24"/>
                <w:lang w:eastAsia="ru-RU"/>
              </w:rPr>
              <w:t>Клас I. Деякі інфекційні та паразитарні хвороби</w:t>
            </w:r>
          </w:p>
        </w:tc>
        <w:tc>
          <w:tcPr>
            <w:tcW w:w="0" w:type="auto"/>
          </w:tcPr>
          <w:p w:rsidR="00D96FD9" w:rsidRPr="000A6B6D" w:rsidRDefault="00D96FD9" w:rsidP="009F0C20">
            <w:pPr>
              <w:widowControl w:val="0"/>
              <w:jc w:val="center"/>
              <w:rPr>
                <w:sz w:val="24"/>
                <w:szCs w:val="24"/>
              </w:rPr>
            </w:pPr>
            <w:r w:rsidRPr="000A6B6D">
              <w:rPr>
                <w:sz w:val="24"/>
                <w:szCs w:val="24"/>
              </w:rPr>
              <w:t>100</w:t>
            </w:r>
          </w:p>
        </w:tc>
        <w:tc>
          <w:tcPr>
            <w:tcW w:w="0" w:type="auto"/>
          </w:tcPr>
          <w:p w:rsidR="00D96FD9" w:rsidRPr="000A6B6D" w:rsidRDefault="00D96FD9" w:rsidP="009F0C20">
            <w:pPr>
              <w:widowControl w:val="0"/>
              <w:jc w:val="center"/>
              <w:rPr>
                <w:sz w:val="24"/>
                <w:szCs w:val="24"/>
              </w:rPr>
            </w:pPr>
            <w:r w:rsidRPr="000A6B6D">
              <w:rPr>
                <w:sz w:val="24"/>
                <w:szCs w:val="24"/>
              </w:rPr>
              <w:t>2,12</w:t>
            </w:r>
          </w:p>
        </w:tc>
        <w:tc>
          <w:tcPr>
            <w:tcW w:w="0" w:type="auto"/>
          </w:tcPr>
          <w:p w:rsidR="00D96FD9" w:rsidRPr="000A6B6D" w:rsidRDefault="00D96FD9" w:rsidP="009F0C20">
            <w:pPr>
              <w:widowControl w:val="0"/>
              <w:jc w:val="center"/>
              <w:rPr>
                <w:sz w:val="24"/>
                <w:szCs w:val="24"/>
              </w:rPr>
            </w:pPr>
            <w:r w:rsidRPr="000A6B6D">
              <w:rPr>
                <w:sz w:val="24"/>
                <w:szCs w:val="24"/>
              </w:rPr>
              <w:t>97</w:t>
            </w:r>
          </w:p>
        </w:tc>
        <w:tc>
          <w:tcPr>
            <w:tcW w:w="0" w:type="auto"/>
          </w:tcPr>
          <w:p w:rsidR="00D96FD9" w:rsidRPr="000A6B6D" w:rsidRDefault="00D96FD9" w:rsidP="009F0C20">
            <w:pPr>
              <w:widowControl w:val="0"/>
              <w:jc w:val="center"/>
              <w:rPr>
                <w:sz w:val="24"/>
                <w:szCs w:val="24"/>
              </w:rPr>
            </w:pPr>
            <w:r w:rsidRPr="000A6B6D">
              <w:rPr>
                <w:sz w:val="24"/>
                <w:szCs w:val="24"/>
              </w:rPr>
              <w:t>2,23</w:t>
            </w:r>
          </w:p>
        </w:tc>
        <w:tc>
          <w:tcPr>
            <w:tcW w:w="0" w:type="auto"/>
          </w:tcPr>
          <w:p w:rsidR="00D96FD9" w:rsidRPr="000A6B6D" w:rsidRDefault="00D96FD9" w:rsidP="009F0C20">
            <w:pPr>
              <w:widowControl w:val="0"/>
              <w:jc w:val="center"/>
              <w:rPr>
                <w:rFonts w:eastAsia="NewtonC-Bold"/>
                <w:bCs/>
                <w:sz w:val="24"/>
                <w:szCs w:val="24"/>
                <w:lang w:eastAsia="ru-RU"/>
              </w:rPr>
            </w:pPr>
            <w:r w:rsidRPr="000A6B6D">
              <w:rPr>
                <w:rFonts w:eastAsia="NewtonC-Bold"/>
                <w:bCs/>
                <w:sz w:val="24"/>
                <w:szCs w:val="24"/>
                <w:lang w:eastAsia="ru-RU"/>
              </w:rPr>
              <w:t>87</w:t>
            </w:r>
          </w:p>
        </w:tc>
        <w:tc>
          <w:tcPr>
            <w:tcW w:w="0" w:type="auto"/>
          </w:tcPr>
          <w:p w:rsidR="00D96FD9" w:rsidRPr="000A6B6D" w:rsidRDefault="00D96FD9" w:rsidP="009F0C20">
            <w:pPr>
              <w:widowControl w:val="0"/>
              <w:jc w:val="center"/>
              <w:rPr>
                <w:rFonts w:eastAsia="NewtonC-Bold"/>
                <w:bCs/>
                <w:sz w:val="24"/>
                <w:szCs w:val="24"/>
                <w:lang w:eastAsia="ru-RU"/>
              </w:rPr>
            </w:pPr>
            <w:r w:rsidRPr="000A6B6D">
              <w:rPr>
                <w:rFonts w:eastAsia="NewtonC-Bold"/>
                <w:bCs/>
                <w:sz w:val="24"/>
                <w:szCs w:val="24"/>
                <w:lang w:eastAsia="ru-RU"/>
              </w:rPr>
              <w:t>2,16</w:t>
            </w:r>
          </w:p>
        </w:tc>
        <w:tc>
          <w:tcPr>
            <w:tcW w:w="0" w:type="auto"/>
          </w:tcPr>
          <w:p w:rsidR="00D96FD9" w:rsidRPr="000A6B6D" w:rsidRDefault="00D96FD9" w:rsidP="009F0C20">
            <w:pPr>
              <w:widowControl w:val="0"/>
              <w:jc w:val="center"/>
              <w:rPr>
                <w:sz w:val="24"/>
                <w:szCs w:val="24"/>
              </w:rPr>
            </w:pPr>
            <w:r w:rsidRPr="000A6B6D">
              <w:rPr>
                <w:sz w:val="24"/>
                <w:szCs w:val="24"/>
              </w:rPr>
              <w:t>70</w:t>
            </w:r>
          </w:p>
        </w:tc>
        <w:tc>
          <w:tcPr>
            <w:tcW w:w="0" w:type="auto"/>
          </w:tcPr>
          <w:p w:rsidR="00D96FD9" w:rsidRPr="000A6B6D" w:rsidRDefault="00D96FD9" w:rsidP="009F0C20">
            <w:pPr>
              <w:widowControl w:val="0"/>
              <w:jc w:val="center"/>
              <w:rPr>
                <w:sz w:val="24"/>
                <w:szCs w:val="24"/>
              </w:rPr>
            </w:pPr>
            <w:r w:rsidRPr="000A6B6D">
              <w:rPr>
                <w:sz w:val="24"/>
                <w:szCs w:val="24"/>
              </w:rPr>
              <w:t>1,84</w:t>
            </w:r>
          </w:p>
        </w:tc>
        <w:tc>
          <w:tcPr>
            <w:tcW w:w="0" w:type="auto"/>
          </w:tcPr>
          <w:p w:rsidR="00D96FD9" w:rsidRPr="000A6B6D" w:rsidRDefault="00D96FD9" w:rsidP="009F0C20">
            <w:pPr>
              <w:widowControl w:val="0"/>
              <w:jc w:val="center"/>
              <w:rPr>
                <w:sz w:val="24"/>
                <w:szCs w:val="24"/>
              </w:rPr>
            </w:pPr>
            <w:r w:rsidRPr="000A6B6D">
              <w:rPr>
                <w:sz w:val="24"/>
                <w:szCs w:val="24"/>
              </w:rPr>
              <w:t>57</w:t>
            </w:r>
          </w:p>
        </w:tc>
        <w:tc>
          <w:tcPr>
            <w:tcW w:w="0" w:type="auto"/>
            <w:shd w:val="clear" w:color="auto" w:fill="auto"/>
          </w:tcPr>
          <w:p w:rsidR="00D96FD9" w:rsidRPr="000A6B6D" w:rsidRDefault="00D96FD9" w:rsidP="009F0C20">
            <w:pPr>
              <w:widowControl w:val="0"/>
              <w:jc w:val="center"/>
              <w:rPr>
                <w:sz w:val="24"/>
                <w:szCs w:val="24"/>
              </w:rPr>
            </w:pPr>
            <w:r w:rsidRPr="000A6B6D">
              <w:rPr>
                <w:sz w:val="24"/>
                <w:szCs w:val="24"/>
              </w:rPr>
              <w:t>1,6</w:t>
            </w:r>
          </w:p>
        </w:tc>
      </w:tr>
      <w:tr w:rsidR="00D96FD9" w:rsidRPr="000A6B6D" w:rsidTr="004F31D7">
        <w:trPr>
          <w:trHeight w:val="180"/>
          <w:jc w:val="center"/>
        </w:trPr>
        <w:tc>
          <w:tcPr>
            <w:tcW w:w="0" w:type="auto"/>
          </w:tcPr>
          <w:p w:rsidR="00D96FD9" w:rsidRPr="000A6B6D" w:rsidRDefault="00D96FD9" w:rsidP="009F0C20">
            <w:pPr>
              <w:widowControl w:val="0"/>
              <w:rPr>
                <w:rFonts w:eastAsia="Times New Roman"/>
                <w:bCs/>
                <w:sz w:val="24"/>
                <w:szCs w:val="24"/>
                <w:lang w:eastAsia="ru-RU"/>
              </w:rPr>
            </w:pPr>
            <w:r w:rsidRPr="000A6B6D">
              <w:rPr>
                <w:rFonts w:eastAsia="Times New Roman"/>
                <w:bCs/>
                <w:sz w:val="24"/>
                <w:szCs w:val="24"/>
                <w:lang w:eastAsia="ru-RU"/>
              </w:rPr>
              <w:t>Клас II. Новоутворення</w:t>
            </w:r>
          </w:p>
        </w:tc>
        <w:tc>
          <w:tcPr>
            <w:tcW w:w="0" w:type="auto"/>
          </w:tcPr>
          <w:p w:rsidR="00D96FD9" w:rsidRPr="000A6B6D" w:rsidRDefault="00D96FD9" w:rsidP="009F0C20">
            <w:pPr>
              <w:widowControl w:val="0"/>
              <w:jc w:val="center"/>
              <w:rPr>
                <w:sz w:val="24"/>
                <w:szCs w:val="24"/>
              </w:rPr>
            </w:pPr>
            <w:r w:rsidRPr="000A6B6D">
              <w:rPr>
                <w:sz w:val="24"/>
                <w:szCs w:val="24"/>
              </w:rPr>
              <w:t>35</w:t>
            </w:r>
          </w:p>
        </w:tc>
        <w:tc>
          <w:tcPr>
            <w:tcW w:w="0" w:type="auto"/>
          </w:tcPr>
          <w:p w:rsidR="00D96FD9" w:rsidRPr="000A6B6D" w:rsidRDefault="00D96FD9" w:rsidP="009F0C20">
            <w:pPr>
              <w:widowControl w:val="0"/>
              <w:jc w:val="center"/>
              <w:rPr>
                <w:sz w:val="24"/>
                <w:szCs w:val="24"/>
              </w:rPr>
            </w:pPr>
            <w:r w:rsidRPr="000A6B6D">
              <w:rPr>
                <w:sz w:val="24"/>
                <w:szCs w:val="24"/>
              </w:rPr>
              <w:t>0,74</w:t>
            </w:r>
          </w:p>
        </w:tc>
        <w:tc>
          <w:tcPr>
            <w:tcW w:w="0" w:type="auto"/>
          </w:tcPr>
          <w:p w:rsidR="00D96FD9" w:rsidRPr="000A6B6D" w:rsidRDefault="00D96FD9" w:rsidP="009F0C20">
            <w:pPr>
              <w:widowControl w:val="0"/>
              <w:jc w:val="center"/>
              <w:rPr>
                <w:sz w:val="24"/>
                <w:szCs w:val="24"/>
              </w:rPr>
            </w:pPr>
            <w:r w:rsidRPr="000A6B6D">
              <w:rPr>
                <w:sz w:val="24"/>
                <w:szCs w:val="24"/>
              </w:rPr>
              <w:t>41</w:t>
            </w:r>
          </w:p>
        </w:tc>
        <w:tc>
          <w:tcPr>
            <w:tcW w:w="0" w:type="auto"/>
          </w:tcPr>
          <w:p w:rsidR="00D96FD9" w:rsidRPr="000A6B6D" w:rsidRDefault="00D96FD9" w:rsidP="009F0C20">
            <w:pPr>
              <w:widowControl w:val="0"/>
              <w:jc w:val="center"/>
              <w:rPr>
                <w:sz w:val="24"/>
                <w:szCs w:val="24"/>
              </w:rPr>
            </w:pPr>
            <w:r w:rsidRPr="000A6B6D">
              <w:rPr>
                <w:sz w:val="24"/>
                <w:szCs w:val="24"/>
              </w:rPr>
              <w:t>0,96</w:t>
            </w:r>
          </w:p>
        </w:tc>
        <w:tc>
          <w:tcPr>
            <w:tcW w:w="0" w:type="auto"/>
          </w:tcPr>
          <w:p w:rsidR="00D96FD9" w:rsidRPr="000A6B6D" w:rsidRDefault="00D96FD9" w:rsidP="009F0C20">
            <w:pPr>
              <w:widowControl w:val="0"/>
              <w:jc w:val="center"/>
              <w:rPr>
                <w:rFonts w:eastAsia="NewtonC-Bold"/>
                <w:bCs/>
                <w:sz w:val="24"/>
                <w:szCs w:val="24"/>
                <w:lang w:eastAsia="ru-RU"/>
              </w:rPr>
            </w:pPr>
            <w:r w:rsidRPr="000A6B6D">
              <w:rPr>
                <w:rFonts w:eastAsia="NewtonC-Bold"/>
                <w:bCs/>
                <w:sz w:val="24"/>
                <w:szCs w:val="24"/>
                <w:lang w:eastAsia="ru-RU"/>
              </w:rPr>
              <w:t>32</w:t>
            </w:r>
          </w:p>
        </w:tc>
        <w:tc>
          <w:tcPr>
            <w:tcW w:w="0" w:type="auto"/>
          </w:tcPr>
          <w:p w:rsidR="00D96FD9" w:rsidRPr="000A6B6D" w:rsidRDefault="00D96FD9" w:rsidP="009F0C20">
            <w:pPr>
              <w:widowControl w:val="0"/>
              <w:jc w:val="center"/>
              <w:rPr>
                <w:rFonts w:eastAsia="NewtonC-Bold"/>
                <w:bCs/>
                <w:sz w:val="24"/>
                <w:szCs w:val="24"/>
                <w:lang w:eastAsia="ru-RU"/>
              </w:rPr>
            </w:pPr>
            <w:r w:rsidRPr="000A6B6D">
              <w:rPr>
                <w:rFonts w:eastAsia="NewtonC-Bold"/>
                <w:bCs/>
                <w:sz w:val="24"/>
                <w:szCs w:val="24"/>
                <w:lang w:eastAsia="ru-RU"/>
              </w:rPr>
              <w:t>0,79</w:t>
            </w:r>
          </w:p>
        </w:tc>
        <w:tc>
          <w:tcPr>
            <w:tcW w:w="0" w:type="auto"/>
          </w:tcPr>
          <w:p w:rsidR="00D96FD9" w:rsidRPr="000A6B6D" w:rsidRDefault="00D96FD9" w:rsidP="009F0C20">
            <w:pPr>
              <w:widowControl w:val="0"/>
              <w:jc w:val="center"/>
              <w:rPr>
                <w:sz w:val="24"/>
                <w:szCs w:val="24"/>
              </w:rPr>
            </w:pPr>
            <w:r w:rsidRPr="000A6B6D">
              <w:rPr>
                <w:sz w:val="24"/>
                <w:szCs w:val="24"/>
              </w:rPr>
              <w:t>24</w:t>
            </w:r>
          </w:p>
        </w:tc>
        <w:tc>
          <w:tcPr>
            <w:tcW w:w="0" w:type="auto"/>
          </w:tcPr>
          <w:p w:rsidR="00D96FD9" w:rsidRPr="000A6B6D" w:rsidRDefault="00D96FD9" w:rsidP="009F0C20">
            <w:pPr>
              <w:widowControl w:val="0"/>
              <w:jc w:val="center"/>
              <w:rPr>
                <w:sz w:val="24"/>
                <w:szCs w:val="24"/>
              </w:rPr>
            </w:pPr>
            <w:r w:rsidRPr="000A6B6D">
              <w:rPr>
                <w:sz w:val="24"/>
                <w:szCs w:val="24"/>
              </w:rPr>
              <w:t>0,63</w:t>
            </w:r>
          </w:p>
        </w:tc>
        <w:tc>
          <w:tcPr>
            <w:tcW w:w="0" w:type="auto"/>
          </w:tcPr>
          <w:p w:rsidR="00D96FD9" w:rsidRPr="000A6B6D" w:rsidRDefault="00D96FD9" w:rsidP="009F0C20">
            <w:pPr>
              <w:widowControl w:val="0"/>
              <w:jc w:val="center"/>
              <w:rPr>
                <w:sz w:val="24"/>
                <w:szCs w:val="24"/>
              </w:rPr>
            </w:pPr>
            <w:r w:rsidRPr="000A6B6D">
              <w:rPr>
                <w:sz w:val="24"/>
                <w:szCs w:val="24"/>
              </w:rPr>
              <w:t>17</w:t>
            </w:r>
          </w:p>
        </w:tc>
        <w:tc>
          <w:tcPr>
            <w:tcW w:w="0" w:type="auto"/>
            <w:shd w:val="clear" w:color="auto" w:fill="auto"/>
          </w:tcPr>
          <w:p w:rsidR="00D96FD9" w:rsidRPr="000A6B6D" w:rsidRDefault="00D96FD9" w:rsidP="009F0C20">
            <w:pPr>
              <w:widowControl w:val="0"/>
              <w:jc w:val="center"/>
              <w:rPr>
                <w:sz w:val="24"/>
                <w:szCs w:val="24"/>
              </w:rPr>
            </w:pPr>
            <w:r w:rsidRPr="000A6B6D">
              <w:rPr>
                <w:sz w:val="24"/>
                <w:szCs w:val="24"/>
              </w:rPr>
              <w:t>0,5</w:t>
            </w:r>
          </w:p>
        </w:tc>
      </w:tr>
      <w:tr w:rsidR="00D96FD9" w:rsidRPr="000A6B6D" w:rsidTr="004F31D7">
        <w:trPr>
          <w:trHeight w:val="338"/>
          <w:jc w:val="center"/>
        </w:trPr>
        <w:tc>
          <w:tcPr>
            <w:tcW w:w="0" w:type="auto"/>
          </w:tcPr>
          <w:p w:rsidR="00D96FD9" w:rsidRPr="000A6B6D" w:rsidRDefault="00D96FD9" w:rsidP="009F0C20">
            <w:pPr>
              <w:widowControl w:val="0"/>
              <w:rPr>
                <w:rFonts w:eastAsia="Times New Roman"/>
                <w:bCs/>
                <w:sz w:val="24"/>
                <w:szCs w:val="24"/>
                <w:lang w:eastAsia="ru-RU"/>
              </w:rPr>
            </w:pPr>
            <w:r w:rsidRPr="000A6B6D">
              <w:rPr>
                <w:rFonts w:eastAsia="Times New Roman"/>
                <w:bCs/>
                <w:sz w:val="24"/>
                <w:szCs w:val="24"/>
                <w:lang w:eastAsia="ru-RU"/>
              </w:rPr>
              <w:t>Клас ІІІ. Хвороби крові й кровотворних органів та окремі порушення із залученням імунного механізму</w:t>
            </w:r>
          </w:p>
        </w:tc>
        <w:tc>
          <w:tcPr>
            <w:tcW w:w="0" w:type="auto"/>
          </w:tcPr>
          <w:p w:rsidR="00D96FD9" w:rsidRPr="000A6B6D" w:rsidRDefault="00D96FD9" w:rsidP="009F0C20">
            <w:pPr>
              <w:widowControl w:val="0"/>
              <w:jc w:val="center"/>
              <w:rPr>
                <w:sz w:val="24"/>
                <w:szCs w:val="24"/>
              </w:rPr>
            </w:pPr>
            <w:r w:rsidRPr="000A6B6D">
              <w:rPr>
                <w:sz w:val="24"/>
                <w:szCs w:val="24"/>
              </w:rPr>
              <w:t>21</w:t>
            </w:r>
          </w:p>
        </w:tc>
        <w:tc>
          <w:tcPr>
            <w:tcW w:w="0" w:type="auto"/>
          </w:tcPr>
          <w:p w:rsidR="00D96FD9" w:rsidRPr="000A6B6D" w:rsidRDefault="00D96FD9" w:rsidP="009F0C20">
            <w:pPr>
              <w:widowControl w:val="0"/>
              <w:jc w:val="center"/>
              <w:rPr>
                <w:sz w:val="24"/>
                <w:szCs w:val="24"/>
              </w:rPr>
            </w:pPr>
            <w:r w:rsidRPr="000A6B6D">
              <w:rPr>
                <w:sz w:val="24"/>
                <w:szCs w:val="24"/>
              </w:rPr>
              <w:t>0,450</w:t>
            </w:r>
          </w:p>
        </w:tc>
        <w:tc>
          <w:tcPr>
            <w:tcW w:w="0" w:type="auto"/>
          </w:tcPr>
          <w:p w:rsidR="00D96FD9" w:rsidRPr="000A6B6D" w:rsidRDefault="00D96FD9" w:rsidP="009F0C20">
            <w:pPr>
              <w:widowControl w:val="0"/>
              <w:jc w:val="center"/>
              <w:rPr>
                <w:sz w:val="24"/>
                <w:szCs w:val="24"/>
              </w:rPr>
            </w:pPr>
            <w:r w:rsidRPr="000A6B6D">
              <w:rPr>
                <w:sz w:val="24"/>
                <w:szCs w:val="24"/>
              </w:rPr>
              <w:t>30</w:t>
            </w:r>
          </w:p>
        </w:tc>
        <w:tc>
          <w:tcPr>
            <w:tcW w:w="0" w:type="auto"/>
          </w:tcPr>
          <w:p w:rsidR="00D96FD9" w:rsidRPr="000A6B6D" w:rsidRDefault="00D96FD9" w:rsidP="009F0C20">
            <w:pPr>
              <w:widowControl w:val="0"/>
              <w:jc w:val="center"/>
              <w:rPr>
                <w:sz w:val="24"/>
                <w:szCs w:val="24"/>
              </w:rPr>
            </w:pPr>
            <w:r w:rsidRPr="000A6B6D">
              <w:rPr>
                <w:sz w:val="24"/>
                <w:szCs w:val="24"/>
              </w:rPr>
              <w:t>0,71</w:t>
            </w:r>
          </w:p>
        </w:tc>
        <w:tc>
          <w:tcPr>
            <w:tcW w:w="0" w:type="auto"/>
          </w:tcPr>
          <w:p w:rsidR="00D96FD9" w:rsidRPr="000A6B6D" w:rsidRDefault="00D96FD9" w:rsidP="009F0C20">
            <w:pPr>
              <w:widowControl w:val="0"/>
              <w:jc w:val="center"/>
              <w:rPr>
                <w:rFonts w:eastAsia="NewtonC-Bold"/>
                <w:bCs/>
                <w:sz w:val="24"/>
                <w:szCs w:val="24"/>
                <w:lang w:eastAsia="ru-RU"/>
              </w:rPr>
            </w:pPr>
            <w:r w:rsidRPr="000A6B6D">
              <w:rPr>
                <w:rFonts w:eastAsia="NewtonC-Bold"/>
                <w:bCs/>
                <w:sz w:val="24"/>
                <w:szCs w:val="24"/>
                <w:lang w:eastAsia="ru-RU"/>
              </w:rPr>
              <w:t>15</w:t>
            </w:r>
          </w:p>
        </w:tc>
        <w:tc>
          <w:tcPr>
            <w:tcW w:w="0" w:type="auto"/>
          </w:tcPr>
          <w:p w:rsidR="00D96FD9" w:rsidRPr="000A6B6D" w:rsidRDefault="00D96FD9" w:rsidP="009F0C20">
            <w:pPr>
              <w:widowControl w:val="0"/>
              <w:jc w:val="center"/>
              <w:rPr>
                <w:rFonts w:eastAsia="NewtonC-Bold"/>
                <w:bCs/>
                <w:sz w:val="24"/>
                <w:szCs w:val="24"/>
                <w:lang w:eastAsia="ru-RU"/>
              </w:rPr>
            </w:pPr>
            <w:r w:rsidRPr="000A6B6D">
              <w:rPr>
                <w:rFonts w:eastAsia="NewtonC-Bold"/>
                <w:bCs/>
                <w:sz w:val="24"/>
                <w:szCs w:val="24"/>
                <w:lang w:eastAsia="ru-RU"/>
              </w:rPr>
              <w:t>0,37</w:t>
            </w:r>
          </w:p>
        </w:tc>
        <w:tc>
          <w:tcPr>
            <w:tcW w:w="0" w:type="auto"/>
          </w:tcPr>
          <w:p w:rsidR="00D96FD9" w:rsidRPr="000A6B6D" w:rsidRDefault="00D96FD9" w:rsidP="009F0C20">
            <w:pPr>
              <w:widowControl w:val="0"/>
              <w:jc w:val="center"/>
              <w:rPr>
                <w:sz w:val="24"/>
                <w:szCs w:val="24"/>
              </w:rPr>
            </w:pPr>
            <w:r w:rsidRPr="000A6B6D">
              <w:rPr>
                <w:sz w:val="24"/>
                <w:szCs w:val="24"/>
              </w:rPr>
              <w:t>17</w:t>
            </w:r>
          </w:p>
        </w:tc>
        <w:tc>
          <w:tcPr>
            <w:tcW w:w="0" w:type="auto"/>
          </w:tcPr>
          <w:p w:rsidR="00D96FD9" w:rsidRPr="000A6B6D" w:rsidRDefault="00D96FD9" w:rsidP="009F0C20">
            <w:pPr>
              <w:widowControl w:val="0"/>
              <w:jc w:val="center"/>
              <w:rPr>
                <w:sz w:val="24"/>
                <w:szCs w:val="24"/>
              </w:rPr>
            </w:pPr>
            <w:r w:rsidRPr="000A6B6D">
              <w:rPr>
                <w:sz w:val="24"/>
                <w:szCs w:val="24"/>
              </w:rPr>
              <w:t>0,45</w:t>
            </w:r>
          </w:p>
        </w:tc>
        <w:tc>
          <w:tcPr>
            <w:tcW w:w="0" w:type="auto"/>
          </w:tcPr>
          <w:p w:rsidR="00D96FD9" w:rsidRPr="000A6B6D" w:rsidRDefault="00D96FD9" w:rsidP="009F0C20">
            <w:pPr>
              <w:widowControl w:val="0"/>
              <w:jc w:val="center"/>
              <w:rPr>
                <w:sz w:val="24"/>
                <w:szCs w:val="24"/>
              </w:rPr>
            </w:pPr>
            <w:r w:rsidRPr="000A6B6D">
              <w:rPr>
                <w:sz w:val="24"/>
                <w:szCs w:val="24"/>
              </w:rPr>
              <w:t>23</w:t>
            </w:r>
          </w:p>
        </w:tc>
        <w:tc>
          <w:tcPr>
            <w:tcW w:w="0" w:type="auto"/>
            <w:shd w:val="clear" w:color="auto" w:fill="auto"/>
          </w:tcPr>
          <w:p w:rsidR="00D96FD9" w:rsidRPr="000A6B6D" w:rsidRDefault="00D96FD9" w:rsidP="009F0C20">
            <w:pPr>
              <w:widowControl w:val="0"/>
              <w:jc w:val="center"/>
              <w:rPr>
                <w:sz w:val="24"/>
                <w:szCs w:val="24"/>
              </w:rPr>
            </w:pPr>
            <w:r w:rsidRPr="000A6B6D">
              <w:rPr>
                <w:sz w:val="24"/>
                <w:szCs w:val="24"/>
              </w:rPr>
              <w:t>0,7</w:t>
            </w:r>
          </w:p>
        </w:tc>
      </w:tr>
      <w:tr w:rsidR="00D96FD9" w:rsidRPr="000A6B6D" w:rsidTr="004F31D7">
        <w:trPr>
          <w:trHeight w:val="143"/>
          <w:jc w:val="center"/>
        </w:trPr>
        <w:tc>
          <w:tcPr>
            <w:tcW w:w="0" w:type="auto"/>
          </w:tcPr>
          <w:p w:rsidR="00D96FD9" w:rsidRPr="000A6B6D" w:rsidRDefault="00D96FD9" w:rsidP="009F0C20">
            <w:pPr>
              <w:widowControl w:val="0"/>
              <w:rPr>
                <w:rFonts w:eastAsia="NewtonC-Bold"/>
                <w:bCs/>
                <w:sz w:val="24"/>
                <w:szCs w:val="24"/>
                <w:lang w:eastAsia="ru-RU"/>
              </w:rPr>
            </w:pPr>
            <w:r w:rsidRPr="000A6B6D">
              <w:rPr>
                <w:rFonts w:eastAsia="Times New Roman"/>
                <w:bCs/>
                <w:sz w:val="24"/>
                <w:szCs w:val="24"/>
                <w:lang w:eastAsia="ru-RU"/>
              </w:rPr>
              <w:t>Клас ІV. Хвороби ендокринної системи, розлади харчування та порушення обміну речовин</w:t>
            </w:r>
          </w:p>
        </w:tc>
        <w:tc>
          <w:tcPr>
            <w:tcW w:w="0" w:type="auto"/>
          </w:tcPr>
          <w:p w:rsidR="00D96FD9" w:rsidRPr="000A6B6D" w:rsidRDefault="00D96FD9" w:rsidP="009F0C20">
            <w:pPr>
              <w:widowControl w:val="0"/>
              <w:jc w:val="center"/>
              <w:rPr>
                <w:sz w:val="24"/>
                <w:szCs w:val="24"/>
              </w:rPr>
            </w:pPr>
            <w:r w:rsidRPr="000A6B6D">
              <w:rPr>
                <w:sz w:val="24"/>
                <w:szCs w:val="24"/>
              </w:rPr>
              <w:t>37</w:t>
            </w:r>
          </w:p>
        </w:tc>
        <w:tc>
          <w:tcPr>
            <w:tcW w:w="0" w:type="auto"/>
          </w:tcPr>
          <w:p w:rsidR="00D96FD9" w:rsidRPr="000A6B6D" w:rsidRDefault="00D96FD9" w:rsidP="009F0C20">
            <w:pPr>
              <w:widowControl w:val="0"/>
              <w:jc w:val="center"/>
              <w:rPr>
                <w:sz w:val="24"/>
                <w:szCs w:val="24"/>
              </w:rPr>
            </w:pPr>
            <w:r w:rsidRPr="000A6B6D">
              <w:rPr>
                <w:sz w:val="24"/>
                <w:szCs w:val="24"/>
              </w:rPr>
              <w:t>0,79</w:t>
            </w:r>
          </w:p>
        </w:tc>
        <w:tc>
          <w:tcPr>
            <w:tcW w:w="0" w:type="auto"/>
          </w:tcPr>
          <w:p w:rsidR="00D96FD9" w:rsidRPr="000A6B6D" w:rsidRDefault="00D96FD9" w:rsidP="009F0C20">
            <w:pPr>
              <w:widowControl w:val="0"/>
              <w:jc w:val="center"/>
              <w:rPr>
                <w:sz w:val="24"/>
                <w:szCs w:val="24"/>
              </w:rPr>
            </w:pPr>
            <w:r w:rsidRPr="000A6B6D">
              <w:rPr>
                <w:sz w:val="24"/>
                <w:szCs w:val="24"/>
              </w:rPr>
              <w:t>27</w:t>
            </w:r>
          </w:p>
        </w:tc>
        <w:tc>
          <w:tcPr>
            <w:tcW w:w="0" w:type="auto"/>
          </w:tcPr>
          <w:p w:rsidR="00D96FD9" w:rsidRPr="000A6B6D" w:rsidRDefault="00D96FD9" w:rsidP="009F0C20">
            <w:pPr>
              <w:widowControl w:val="0"/>
              <w:jc w:val="center"/>
              <w:rPr>
                <w:sz w:val="24"/>
                <w:szCs w:val="24"/>
              </w:rPr>
            </w:pPr>
            <w:r w:rsidRPr="000A6B6D">
              <w:rPr>
                <w:sz w:val="24"/>
                <w:szCs w:val="24"/>
              </w:rPr>
              <w:t>0,63</w:t>
            </w:r>
          </w:p>
        </w:tc>
        <w:tc>
          <w:tcPr>
            <w:tcW w:w="0" w:type="auto"/>
          </w:tcPr>
          <w:p w:rsidR="00D96FD9" w:rsidRPr="000A6B6D" w:rsidRDefault="00D96FD9" w:rsidP="009F0C20">
            <w:pPr>
              <w:widowControl w:val="0"/>
              <w:jc w:val="center"/>
              <w:rPr>
                <w:rFonts w:eastAsia="NewtonC-Bold"/>
                <w:bCs/>
                <w:sz w:val="24"/>
                <w:szCs w:val="24"/>
                <w:lang w:eastAsia="ru-RU"/>
              </w:rPr>
            </w:pPr>
            <w:r w:rsidRPr="000A6B6D">
              <w:rPr>
                <w:rFonts w:eastAsia="NewtonC-Bold"/>
                <w:bCs/>
                <w:sz w:val="24"/>
                <w:szCs w:val="24"/>
                <w:lang w:eastAsia="ru-RU"/>
              </w:rPr>
              <w:t>41</w:t>
            </w:r>
          </w:p>
        </w:tc>
        <w:tc>
          <w:tcPr>
            <w:tcW w:w="0" w:type="auto"/>
          </w:tcPr>
          <w:p w:rsidR="00D96FD9" w:rsidRPr="000A6B6D" w:rsidRDefault="00D96FD9" w:rsidP="009F0C20">
            <w:pPr>
              <w:widowControl w:val="0"/>
              <w:jc w:val="center"/>
              <w:rPr>
                <w:rFonts w:eastAsia="NewtonC-Bold"/>
                <w:bCs/>
                <w:sz w:val="24"/>
                <w:szCs w:val="24"/>
                <w:lang w:eastAsia="ru-RU"/>
              </w:rPr>
            </w:pPr>
            <w:r w:rsidRPr="000A6B6D">
              <w:rPr>
                <w:rFonts w:eastAsia="NewtonC-Bold"/>
                <w:bCs/>
                <w:sz w:val="24"/>
                <w:szCs w:val="24"/>
                <w:lang w:eastAsia="ru-RU"/>
              </w:rPr>
              <w:t>1,02</w:t>
            </w:r>
          </w:p>
        </w:tc>
        <w:tc>
          <w:tcPr>
            <w:tcW w:w="0" w:type="auto"/>
          </w:tcPr>
          <w:p w:rsidR="00D96FD9" w:rsidRPr="000A6B6D" w:rsidRDefault="00D96FD9" w:rsidP="009F0C20">
            <w:pPr>
              <w:widowControl w:val="0"/>
              <w:jc w:val="center"/>
              <w:rPr>
                <w:sz w:val="24"/>
                <w:szCs w:val="24"/>
              </w:rPr>
            </w:pPr>
            <w:r w:rsidRPr="000A6B6D">
              <w:rPr>
                <w:sz w:val="24"/>
                <w:szCs w:val="24"/>
              </w:rPr>
              <w:t>23</w:t>
            </w:r>
          </w:p>
        </w:tc>
        <w:tc>
          <w:tcPr>
            <w:tcW w:w="0" w:type="auto"/>
          </w:tcPr>
          <w:p w:rsidR="00D96FD9" w:rsidRPr="000A6B6D" w:rsidRDefault="00D96FD9" w:rsidP="009F0C20">
            <w:pPr>
              <w:widowControl w:val="0"/>
              <w:jc w:val="center"/>
              <w:rPr>
                <w:sz w:val="24"/>
                <w:szCs w:val="24"/>
              </w:rPr>
            </w:pPr>
            <w:r w:rsidRPr="000A6B6D">
              <w:rPr>
                <w:sz w:val="24"/>
                <w:szCs w:val="24"/>
              </w:rPr>
              <w:t>0,61</w:t>
            </w:r>
          </w:p>
        </w:tc>
        <w:tc>
          <w:tcPr>
            <w:tcW w:w="0" w:type="auto"/>
          </w:tcPr>
          <w:p w:rsidR="00D96FD9" w:rsidRPr="000A6B6D" w:rsidRDefault="00D96FD9" w:rsidP="009F0C20">
            <w:pPr>
              <w:widowControl w:val="0"/>
              <w:jc w:val="center"/>
              <w:rPr>
                <w:sz w:val="24"/>
                <w:szCs w:val="24"/>
              </w:rPr>
            </w:pPr>
            <w:r w:rsidRPr="000A6B6D">
              <w:rPr>
                <w:sz w:val="24"/>
                <w:szCs w:val="24"/>
              </w:rPr>
              <w:t>34</w:t>
            </w:r>
          </w:p>
        </w:tc>
        <w:tc>
          <w:tcPr>
            <w:tcW w:w="0" w:type="auto"/>
            <w:shd w:val="clear" w:color="auto" w:fill="auto"/>
          </w:tcPr>
          <w:p w:rsidR="00D96FD9" w:rsidRPr="000A6B6D" w:rsidRDefault="00D96FD9" w:rsidP="009F0C20">
            <w:pPr>
              <w:widowControl w:val="0"/>
              <w:jc w:val="center"/>
              <w:rPr>
                <w:sz w:val="24"/>
                <w:szCs w:val="24"/>
              </w:rPr>
            </w:pPr>
            <w:r w:rsidRPr="000A6B6D">
              <w:rPr>
                <w:sz w:val="24"/>
                <w:szCs w:val="24"/>
              </w:rPr>
              <w:t>1,0</w:t>
            </w:r>
          </w:p>
        </w:tc>
      </w:tr>
      <w:tr w:rsidR="00D96FD9" w:rsidRPr="000A6B6D" w:rsidTr="004F31D7">
        <w:trPr>
          <w:trHeight w:val="233"/>
          <w:jc w:val="center"/>
        </w:trPr>
        <w:tc>
          <w:tcPr>
            <w:tcW w:w="0" w:type="auto"/>
          </w:tcPr>
          <w:p w:rsidR="00D96FD9" w:rsidRPr="000A6B6D" w:rsidRDefault="00D96FD9" w:rsidP="009F0C20">
            <w:pPr>
              <w:widowControl w:val="0"/>
              <w:rPr>
                <w:rFonts w:eastAsia="Times New Roman"/>
                <w:bCs/>
                <w:sz w:val="24"/>
                <w:szCs w:val="24"/>
                <w:lang w:eastAsia="ru-RU"/>
              </w:rPr>
            </w:pPr>
            <w:r w:rsidRPr="000A6B6D">
              <w:rPr>
                <w:rFonts w:eastAsia="Times New Roman"/>
                <w:bCs/>
                <w:sz w:val="24"/>
                <w:szCs w:val="24"/>
                <w:lang w:eastAsia="ru-RU"/>
              </w:rPr>
              <w:t>Клас VI. Хвороби нервової системи</w:t>
            </w:r>
          </w:p>
        </w:tc>
        <w:tc>
          <w:tcPr>
            <w:tcW w:w="0" w:type="auto"/>
          </w:tcPr>
          <w:p w:rsidR="00D96FD9" w:rsidRPr="000A6B6D" w:rsidRDefault="00D96FD9" w:rsidP="009F0C20">
            <w:pPr>
              <w:widowControl w:val="0"/>
              <w:jc w:val="center"/>
              <w:rPr>
                <w:sz w:val="24"/>
                <w:szCs w:val="24"/>
              </w:rPr>
            </w:pPr>
            <w:r w:rsidRPr="000A6B6D">
              <w:rPr>
                <w:sz w:val="24"/>
                <w:szCs w:val="24"/>
              </w:rPr>
              <w:t>128</w:t>
            </w:r>
          </w:p>
        </w:tc>
        <w:tc>
          <w:tcPr>
            <w:tcW w:w="0" w:type="auto"/>
          </w:tcPr>
          <w:p w:rsidR="00D96FD9" w:rsidRPr="000A6B6D" w:rsidRDefault="00D96FD9" w:rsidP="009F0C20">
            <w:pPr>
              <w:widowControl w:val="0"/>
              <w:jc w:val="center"/>
              <w:rPr>
                <w:sz w:val="24"/>
                <w:szCs w:val="24"/>
              </w:rPr>
            </w:pPr>
            <w:r w:rsidRPr="000A6B6D">
              <w:rPr>
                <w:sz w:val="24"/>
                <w:szCs w:val="24"/>
              </w:rPr>
              <w:t>2,73</w:t>
            </w:r>
          </w:p>
        </w:tc>
        <w:tc>
          <w:tcPr>
            <w:tcW w:w="0" w:type="auto"/>
          </w:tcPr>
          <w:p w:rsidR="00D96FD9" w:rsidRPr="000A6B6D" w:rsidRDefault="00D96FD9" w:rsidP="009F0C20">
            <w:pPr>
              <w:widowControl w:val="0"/>
              <w:jc w:val="center"/>
              <w:rPr>
                <w:sz w:val="24"/>
                <w:szCs w:val="24"/>
              </w:rPr>
            </w:pPr>
            <w:r w:rsidRPr="000A6B6D">
              <w:rPr>
                <w:sz w:val="24"/>
                <w:szCs w:val="24"/>
              </w:rPr>
              <w:t>109</w:t>
            </w:r>
          </w:p>
        </w:tc>
        <w:tc>
          <w:tcPr>
            <w:tcW w:w="0" w:type="auto"/>
          </w:tcPr>
          <w:p w:rsidR="00D96FD9" w:rsidRPr="000A6B6D" w:rsidRDefault="00D96FD9" w:rsidP="009F0C20">
            <w:pPr>
              <w:widowControl w:val="0"/>
              <w:jc w:val="center"/>
              <w:rPr>
                <w:sz w:val="24"/>
                <w:szCs w:val="24"/>
              </w:rPr>
            </w:pPr>
            <w:r w:rsidRPr="000A6B6D">
              <w:rPr>
                <w:sz w:val="24"/>
                <w:szCs w:val="24"/>
              </w:rPr>
              <w:t>2,52</w:t>
            </w:r>
          </w:p>
        </w:tc>
        <w:tc>
          <w:tcPr>
            <w:tcW w:w="0" w:type="auto"/>
          </w:tcPr>
          <w:p w:rsidR="00D96FD9" w:rsidRPr="000A6B6D" w:rsidRDefault="00D96FD9" w:rsidP="009F0C20">
            <w:pPr>
              <w:widowControl w:val="0"/>
              <w:jc w:val="center"/>
              <w:rPr>
                <w:rFonts w:eastAsia="NewtonC-Bold"/>
                <w:bCs/>
                <w:sz w:val="24"/>
                <w:szCs w:val="24"/>
                <w:lang w:eastAsia="ru-RU"/>
              </w:rPr>
            </w:pPr>
            <w:r w:rsidRPr="000A6B6D">
              <w:rPr>
                <w:rFonts w:eastAsia="NewtonC-Bold"/>
                <w:bCs/>
                <w:sz w:val="24"/>
                <w:szCs w:val="24"/>
                <w:lang w:eastAsia="ru-RU"/>
              </w:rPr>
              <w:t>95</w:t>
            </w:r>
          </w:p>
        </w:tc>
        <w:tc>
          <w:tcPr>
            <w:tcW w:w="0" w:type="auto"/>
          </w:tcPr>
          <w:p w:rsidR="00D96FD9" w:rsidRPr="000A6B6D" w:rsidRDefault="00D96FD9" w:rsidP="009F0C20">
            <w:pPr>
              <w:widowControl w:val="0"/>
              <w:jc w:val="center"/>
              <w:rPr>
                <w:rFonts w:eastAsia="NewtonC-Bold"/>
                <w:bCs/>
                <w:sz w:val="24"/>
                <w:szCs w:val="24"/>
                <w:lang w:eastAsia="ru-RU"/>
              </w:rPr>
            </w:pPr>
            <w:r w:rsidRPr="000A6B6D">
              <w:rPr>
                <w:rFonts w:eastAsia="NewtonC-Bold"/>
                <w:bCs/>
                <w:sz w:val="24"/>
                <w:szCs w:val="24"/>
                <w:lang w:eastAsia="ru-RU"/>
              </w:rPr>
              <w:t>2,36</w:t>
            </w:r>
          </w:p>
        </w:tc>
        <w:tc>
          <w:tcPr>
            <w:tcW w:w="0" w:type="auto"/>
          </w:tcPr>
          <w:p w:rsidR="00D96FD9" w:rsidRPr="000A6B6D" w:rsidRDefault="00D96FD9" w:rsidP="009F0C20">
            <w:pPr>
              <w:widowControl w:val="0"/>
              <w:jc w:val="center"/>
              <w:rPr>
                <w:sz w:val="24"/>
                <w:szCs w:val="24"/>
              </w:rPr>
            </w:pPr>
            <w:r w:rsidRPr="000A6B6D">
              <w:rPr>
                <w:sz w:val="24"/>
                <w:szCs w:val="24"/>
              </w:rPr>
              <w:t>80</w:t>
            </w:r>
          </w:p>
        </w:tc>
        <w:tc>
          <w:tcPr>
            <w:tcW w:w="0" w:type="auto"/>
          </w:tcPr>
          <w:p w:rsidR="00D96FD9" w:rsidRPr="000A6B6D" w:rsidRDefault="00D96FD9" w:rsidP="009F0C20">
            <w:pPr>
              <w:widowControl w:val="0"/>
              <w:jc w:val="center"/>
              <w:rPr>
                <w:sz w:val="24"/>
                <w:szCs w:val="24"/>
              </w:rPr>
            </w:pPr>
            <w:r w:rsidRPr="000A6B6D">
              <w:rPr>
                <w:sz w:val="24"/>
                <w:szCs w:val="24"/>
              </w:rPr>
              <w:t>2,12</w:t>
            </w:r>
          </w:p>
        </w:tc>
        <w:tc>
          <w:tcPr>
            <w:tcW w:w="0" w:type="auto"/>
          </w:tcPr>
          <w:p w:rsidR="00D96FD9" w:rsidRPr="000A6B6D" w:rsidRDefault="00D96FD9" w:rsidP="009F0C20">
            <w:pPr>
              <w:widowControl w:val="0"/>
              <w:jc w:val="center"/>
              <w:rPr>
                <w:sz w:val="24"/>
                <w:szCs w:val="24"/>
              </w:rPr>
            </w:pPr>
            <w:r w:rsidRPr="000A6B6D">
              <w:rPr>
                <w:sz w:val="24"/>
                <w:szCs w:val="24"/>
              </w:rPr>
              <w:t>69</w:t>
            </w:r>
          </w:p>
        </w:tc>
        <w:tc>
          <w:tcPr>
            <w:tcW w:w="0" w:type="auto"/>
            <w:shd w:val="clear" w:color="auto" w:fill="auto"/>
          </w:tcPr>
          <w:p w:rsidR="00D96FD9" w:rsidRPr="000A6B6D" w:rsidRDefault="00D96FD9" w:rsidP="009F0C20">
            <w:pPr>
              <w:widowControl w:val="0"/>
              <w:jc w:val="center"/>
              <w:rPr>
                <w:sz w:val="24"/>
                <w:szCs w:val="24"/>
              </w:rPr>
            </w:pPr>
            <w:r w:rsidRPr="000A6B6D">
              <w:rPr>
                <w:sz w:val="24"/>
                <w:szCs w:val="24"/>
              </w:rPr>
              <w:t>2,0</w:t>
            </w:r>
          </w:p>
        </w:tc>
      </w:tr>
      <w:tr w:rsidR="00D96FD9" w:rsidRPr="000A6B6D" w:rsidTr="004F31D7">
        <w:trPr>
          <w:trHeight w:val="180"/>
          <w:jc w:val="center"/>
        </w:trPr>
        <w:tc>
          <w:tcPr>
            <w:tcW w:w="0" w:type="auto"/>
          </w:tcPr>
          <w:p w:rsidR="00D96FD9" w:rsidRPr="000A6B6D" w:rsidRDefault="00D96FD9" w:rsidP="009F0C20">
            <w:pPr>
              <w:widowControl w:val="0"/>
              <w:rPr>
                <w:rFonts w:eastAsia="Times New Roman"/>
                <w:bCs/>
                <w:sz w:val="24"/>
                <w:szCs w:val="24"/>
                <w:lang w:eastAsia="ru-RU"/>
              </w:rPr>
            </w:pPr>
            <w:r w:rsidRPr="000A6B6D">
              <w:rPr>
                <w:rFonts w:eastAsia="Times New Roman"/>
                <w:bCs/>
                <w:sz w:val="24"/>
                <w:szCs w:val="24"/>
                <w:lang w:eastAsia="ru-RU"/>
              </w:rPr>
              <w:t>Клас VIII. Хвороби вуха та соскоподібного відростка</w:t>
            </w:r>
          </w:p>
        </w:tc>
        <w:tc>
          <w:tcPr>
            <w:tcW w:w="0" w:type="auto"/>
          </w:tcPr>
          <w:p w:rsidR="00D96FD9" w:rsidRPr="000A6B6D" w:rsidRDefault="00D96FD9" w:rsidP="009F0C20">
            <w:pPr>
              <w:widowControl w:val="0"/>
              <w:jc w:val="center"/>
              <w:rPr>
                <w:sz w:val="24"/>
                <w:szCs w:val="24"/>
              </w:rPr>
            </w:pPr>
            <w:r w:rsidRPr="000A6B6D">
              <w:rPr>
                <w:sz w:val="24"/>
                <w:szCs w:val="24"/>
              </w:rPr>
              <w:t>1</w:t>
            </w:r>
          </w:p>
        </w:tc>
        <w:tc>
          <w:tcPr>
            <w:tcW w:w="0" w:type="auto"/>
          </w:tcPr>
          <w:p w:rsidR="00D96FD9" w:rsidRPr="000A6B6D" w:rsidRDefault="00D96FD9" w:rsidP="009F0C20">
            <w:pPr>
              <w:widowControl w:val="0"/>
              <w:jc w:val="center"/>
              <w:rPr>
                <w:sz w:val="24"/>
                <w:szCs w:val="24"/>
              </w:rPr>
            </w:pPr>
            <w:r w:rsidRPr="000A6B6D">
              <w:rPr>
                <w:sz w:val="24"/>
                <w:szCs w:val="24"/>
              </w:rPr>
              <w:t>0,02</w:t>
            </w:r>
          </w:p>
        </w:tc>
        <w:tc>
          <w:tcPr>
            <w:tcW w:w="0" w:type="auto"/>
          </w:tcPr>
          <w:p w:rsidR="00D96FD9" w:rsidRPr="000A6B6D" w:rsidRDefault="00D96FD9" w:rsidP="009F0C20">
            <w:pPr>
              <w:widowControl w:val="0"/>
              <w:jc w:val="center"/>
              <w:rPr>
                <w:sz w:val="24"/>
                <w:szCs w:val="24"/>
              </w:rPr>
            </w:pPr>
            <w:r w:rsidRPr="000A6B6D">
              <w:rPr>
                <w:sz w:val="24"/>
                <w:szCs w:val="24"/>
              </w:rPr>
              <w:t>0</w:t>
            </w:r>
          </w:p>
        </w:tc>
        <w:tc>
          <w:tcPr>
            <w:tcW w:w="0" w:type="auto"/>
          </w:tcPr>
          <w:p w:rsidR="00D96FD9" w:rsidRPr="000A6B6D" w:rsidRDefault="00D96FD9" w:rsidP="009F0C20">
            <w:pPr>
              <w:widowControl w:val="0"/>
              <w:jc w:val="center"/>
              <w:rPr>
                <w:sz w:val="24"/>
                <w:szCs w:val="24"/>
              </w:rPr>
            </w:pPr>
            <w:r w:rsidRPr="000A6B6D">
              <w:rPr>
                <w:sz w:val="24"/>
                <w:szCs w:val="24"/>
              </w:rPr>
              <w:t>0</w:t>
            </w:r>
          </w:p>
        </w:tc>
        <w:tc>
          <w:tcPr>
            <w:tcW w:w="0" w:type="auto"/>
          </w:tcPr>
          <w:p w:rsidR="00D96FD9" w:rsidRPr="000A6B6D" w:rsidRDefault="00D96FD9" w:rsidP="009F0C20">
            <w:pPr>
              <w:widowControl w:val="0"/>
              <w:jc w:val="center"/>
              <w:rPr>
                <w:rFonts w:eastAsia="NewtonC-Bold"/>
                <w:bCs/>
                <w:sz w:val="24"/>
                <w:szCs w:val="24"/>
                <w:lang w:eastAsia="ru-RU"/>
              </w:rPr>
            </w:pPr>
            <w:r w:rsidRPr="000A6B6D">
              <w:rPr>
                <w:rFonts w:eastAsia="NewtonC-Bold"/>
                <w:bCs/>
                <w:sz w:val="24"/>
                <w:szCs w:val="24"/>
                <w:lang w:eastAsia="ru-RU"/>
              </w:rPr>
              <w:t>0</w:t>
            </w:r>
          </w:p>
        </w:tc>
        <w:tc>
          <w:tcPr>
            <w:tcW w:w="0" w:type="auto"/>
          </w:tcPr>
          <w:p w:rsidR="00D96FD9" w:rsidRPr="000A6B6D" w:rsidRDefault="00D96FD9" w:rsidP="009F0C20">
            <w:pPr>
              <w:widowControl w:val="0"/>
              <w:jc w:val="center"/>
              <w:rPr>
                <w:rFonts w:eastAsia="NewtonC-Bold"/>
                <w:bCs/>
                <w:sz w:val="24"/>
                <w:szCs w:val="24"/>
                <w:lang w:eastAsia="ru-RU"/>
              </w:rPr>
            </w:pPr>
            <w:r w:rsidRPr="000A6B6D">
              <w:rPr>
                <w:rFonts w:eastAsia="NewtonC-Bold"/>
                <w:bCs/>
                <w:sz w:val="24"/>
                <w:szCs w:val="24"/>
                <w:lang w:eastAsia="ru-RU"/>
              </w:rPr>
              <w:t>0</w:t>
            </w:r>
          </w:p>
        </w:tc>
        <w:tc>
          <w:tcPr>
            <w:tcW w:w="0" w:type="auto"/>
          </w:tcPr>
          <w:p w:rsidR="00D96FD9" w:rsidRPr="000A6B6D" w:rsidRDefault="00D96FD9" w:rsidP="009F0C20">
            <w:pPr>
              <w:widowControl w:val="0"/>
              <w:jc w:val="center"/>
              <w:rPr>
                <w:rFonts w:eastAsia="NewtonC-Bold"/>
                <w:bCs/>
                <w:sz w:val="24"/>
                <w:szCs w:val="24"/>
                <w:lang w:eastAsia="ru-RU"/>
              </w:rPr>
            </w:pPr>
            <w:r w:rsidRPr="000A6B6D">
              <w:rPr>
                <w:rFonts w:eastAsia="NewtonC-Bold"/>
                <w:bCs/>
                <w:sz w:val="24"/>
                <w:szCs w:val="24"/>
                <w:lang w:eastAsia="ru-RU"/>
              </w:rPr>
              <w:t>0</w:t>
            </w:r>
          </w:p>
        </w:tc>
        <w:tc>
          <w:tcPr>
            <w:tcW w:w="0" w:type="auto"/>
          </w:tcPr>
          <w:p w:rsidR="00D96FD9" w:rsidRPr="000A6B6D" w:rsidRDefault="00D96FD9" w:rsidP="009F0C20">
            <w:pPr>
              <w:widowControl w:val="0"/>
              <w:jc w:val="center"/>
              <w:rPr>
                <w:rFonts w:eastAsia="NewtonC-Bold"/>
                <w:bCs/>
                <w:sz w:val="24"/>
                <w:szCs w:val="24"/>
                <w:lang w:eastAsia="ru-RU"/>
              </w:rPr>
            </w:pPr>
            <w:r w:rsidRPr="000A6B6D">
              <w:rPr>
                <w:rFonts w:eastAsia="NewtonC-Bold"/>
                <w:bCs/>
                <w:sz w:val="24"/>
                <w:szCs w:val="24"/>
                <w:lang w:eastAsia="ru-RU"/>
              </w:rPr>
              <w:t>0</w:t>
            </w:r>
          </w:p>
        </w:tc>
        <w:tc>
          <w:tcPr>
            <w:tcW w:w="0" w:type="auto"/>
          </w:tcPr>
          <w:p w:rsidR="00D96FD9" w:rsidRPr="000A6B6D" w:rsidRDefault="00D96FD9" w:rsidP="009F0C20">
            <w:pPr>
              <w:widowControl w:val="0"/>
              <w:jc w:val="center"/>
              <w:rPr>
                <w:rFonts w:eastAsia="NewtonC-Bold"/>
                <w:bCs/>
                <w:sz w:val="24"/>
                <w:szCs w:val="24"/>
                <w:lang w:eastAsia="ru-RU"/>
              </w:rPr>
            </w:pPr>
            <w:r w:rsidRPr="000A6B6D">
              <w:rPr>
                <w:rFonts w:eastAsia="NewtonC-Bold"/>
                <w:bCs/>
                <w:sz w:val="24"/>
                <w:szCs w:val="24"/>
                <w:lang w:eastAsia="ru-RU"/>
              </w:rPr>
              <w:t>0</w:t>
            </w:r>
          </w:p>
        </w:tc>
        <w:tc>
          <w:tcPr>
            <w:tcW w:w="0" w:type="auto"/>
            <w:shd w:val="clear" w:color="auto" w:fill="auto"/>
          </w:tcPr>
          <w:p w:rsidR="00D96FD9" w:rsidRPr="000A6B6D" w:rsidRDefault="00D96FD9" w:rsidP="009F0C20">
            <w:pPr>
              <w:widowControl w:val="0"/>
              <w:jc w:val="center"/>
              <w:rPr>
                <w:rFonts w:eastAsia="NewtonC-Bold"/>
                <w:bCs/>
                <w:sz w:val="24"/>
                <w:szCs w:val="24"/>
                <w:lang w:eastAsia="ru-RU"/>
              </w:rPr>
            </w:pPr>
            <w:r w:rsidRPr="000A6B6D">
              <w:rPr>
                <w:rFonts w:eastAsia="NewtonC-Bold"/>
                <w:bCs/>
                <w:sz w:val="24"/>
                <w:szCs w:val="24"/>
                <w:lang w:eastAsia="ru-RU"/>
              </w:rPr>
              <w:t>0</w:t>
            </w:r>
          </w:p>
        </w:tc>
      </w:tr>
      <w:tr w:rsidR="00D96FD9" w:rsidRPr="000A6B6D" w:rsidTr="004F31D7">
        <w:trPr>
          <w:trHeight w:val="299"/>
          <w:jc w:val="center"/>
        </w:trPr>
        <w:tc>
          <w:tcPr>
            <w:tcW w:w="0" w:type="auto"/>
          </w:tcPr>
          <w:p w:rsidR="00D96FD9" w:rsidRPr="000A6B6D" w:rsidRDefault="00D96FD9" w:rsidP="009F0C20">
            <w:pPr>
              <w:widowControl w:val="0"/>
              <w:rPr>
                <w:rFonts w:eastAsia="Times New Roman"/>
                <w:bCs/>
                <w:sz w:val="24"/>
                <w:szCs w:val="24"/>
                <w:lang w:eastAsia="ru-RU"/>
              </w:rPr>
            </w:pPr>
            <w:r w:rsidRPr="000A6B6D">
              <w:rPr>
                <w:rFonts w:eastAsia="Times New Roman"/>
                <w:bCs/>
                <w:sz w:val="24"/>
                <w:szCs w:val="24"/>
                <w:lang w:eastAsia="ru-RU"/>
              </w:rPr>
              <w:t>Клас ІХ. Хвороби системи кровообігу</w:t>
            </w:r>
          </w:p>
        </w:tc>
        <w:tc>
          <w:tcPr>
            <w:tcW w:w="0" w:type="auto"/>
          </w:tcPr>
          <w:p w:rsidR="00D96FD9" w:rsidRPr="000A6B6D" w:rsidRDefault="00D96FD9" w:rsidP="009F0C20">
            <w:pPr>
              <w:widowControl w:val="0"/>
              <w:jc w:val="center"/>
              <w:rPr>
                <w:sz w:val="24"/>
                <w:szCs w:val="24"/>
              </w:rPr>
            </w:pPr>
            <w:r w:rsidRPr="000A6B6D">
              <w:rPr>
                <w:sz w:val="24"/>
                <w:szCs w:val="24"/>
              </w:rPr>
              <w:t>54</w:t>
            </w:r>
          </w:p>
        </w:tc>
        <w:tc>
          <w:tcPr>
            <w:tcW w:w="0" w:type="auto"/>
          </w:tcPr>
          <w:p w:rsidR="00D96FD9" w:rsidRPr="000A6B6D" w:rsidRDefault="00D96FD9" w:rsidP="009F0C20">
            <w:pPr>
              <w:widowControl w:val="0"/>
              <w:jc w:val="center"/>
              <w:rPr>
                <w:sz w:val="24"/>
                <w:szCs w:val="24"/>
              </w:rPr>
            </w:pPr>
            <w:r w:rsidRPr="000A6B6D">
              <w:rPr>
                <w:sz w:val="24"/>
                <w:szCs w:val="24"/>
              </w:rPr>
              <w:t>1,15</w:t>
            </w:r>
          </w:p>
        </w:tc>
        <w:tc>
          <w:tcPr>
            <w:tcW w:w="0" w:type="auto"/>
          </w:tcPr>
          <w:p w:rsidR="00D96FD9" w:rsidRPr="000A6B6D" w:rsidRDefault="00D96FD9" w:rsidP="009F0C20">
            <w:pPr>
              <w:widowControl w:val="0"/>
              <w:jc w:val="center"/>
              <w:rPr>
                <w:sz w:val="24"/>
                <w:szCs w:val="24"/>
              </w:rPr>
            </w:pPr>
            <w:r w:rsidRPr="000A6B6D">
              <w:rPr>
                <w:sz w:val="24"/>
                <w:szCs w:val="24"/>
              </w:rPr>
              <w:t>45</w:t>
            </w:r>
          </w:p>
        </w:tc>
        <w:tc>
          <w:tcPr>
            <w:tcW w:w="0" w:type="auto"/>
          </w:tcPr>
          <w:p w:rsidR="00D96FD9" w:rsidRPr="000A6B6D" w:rsidRDefault="00D96FD9" w:rsidP="009F0C20">
            <w:pPr>
              <w:widowControl w:val="0"/>
              <w:jc w:val="center"/>
              <w:rPr>
                <w:sz w:val="24"/>
                <w:szCs w:val="24"/>
              </w:rPr>
            </w:pPr>
            <w:r w:rsidRPr="000A6B6D">
              <w:rPr>
                <w:sz w:val="24"/>
                <w:szCs w:val="24"/>
              </w:rPr>
              <w:t>1,04</w:t>
            </w:r>
          </w:p>
        </w:tc>
        <w:tc>
          <w:tcPr>
            <w:tcW w:w="0" w:type="auto"/>
          </w:tcPr>
          <w:p w:rsidR="00D96FD9" w:rsidRPr="000A6B6D" w:rsidRDefault="00D96FD9" w:rsidP="009F0C20">
            <w:pPr>
              <w:widowControl w:val="0"/>
              <w:jc w:val="center"/>
              <w:rPr>
                <w:rFonts w:eastAsia="NewtonC-Bold"/>
                <w:bCs/>
                <w:sz w:val="24"/>
                <w:szCs w:val="24"/>
                <w:lang w:eastAsia="ru-RU"/>
              </w:rPr>
            </w:pPr>
            <w:r w:rsidRPr="000A6B6D">
              <w:rPr>
                <w:rFonts w:eastAsia="NewtonC-Bold"/>
                <w:bCs/>
                <w:sz w:val="24"/>
                <w:szCs w:val="24"/>
                <w:lang w:eastAsia="ru-RU"/>
              </w:rPr>
              <w:t>43</w:t>
            </w:r>
          </w:p>
        </w:tc>
        <w:tc>
          <w:tcPr>
            <w:tcW w:w="0" w:type="auto"/>
          </w:tcPr>
          <w:p w:rsidR="00D96FD9" w:rsidRPr="000A6B6D" w:rsidRDefault="00D96FD9" w:rsidP="009F0C20">
            <w:pPr>
              <w:widowControl w:val="0"/>
              <w:jc w:val="center"/>
              <w:rPr>
                <w:rFonts w:eastAsia="NewtonC-Bold"/>
                <w:bCs/>
                <w:sz w:val="24"/>
                <w:szCs w:val="24"/>
                <w:lang w:eastAsia="ru-RU"/>
              </w:rPr>
            </w:pPr>
            <w:r w:rsidRPr="000A6B6D">
              <w:rPr>
                <w:rFonts w:eastAsia="NewtonC-Bold"/>
                <w:bCs/>
                <w:sz w:val="24"/>
                <w:szCs w:val="24"/>
                <w:lang w:eastAsia="ru-RU"/>
              </w:rPr>
              <w:t>1,07</w:t>
            </w:r>
          </w:p>
        </w:tc>
        <w:tc>
          <w:tcPr>
            <w:tcW w:w="0" w:type="auto"/>
          </w:tcPr>
          <w:p w:rsidR="00D96FD9" w:rsidRPr="000A6B6D" w:rsidRDefault="00D96FD9" w:rsidP="009F0C20">
            <w:pPr>
              <w:widowControl w:val="0"/>
              <w:jc w:val="center"/>
              <w:rPr>
                <w:sz w:val="24"/>
                <w:szCs w:val="24"/>
              </w:rPr>
            </w:pPr>
            <w:r w:rsidRPr="000A6B6D">
              <w:rPr>
                <w:sz w:val="24"/>
                <w:szCs w:val="24"/>
              </w:rPr>
              <w:t>38</w:t>
            </w:r>
          </w:p>
        </w:tc>
        <w:tc>
          <w:tcPr>
            <w:tcW w:w="0" w:type="auto"/>
          </w:tcPr>
          <w:p w:rsidR="00D96FD9" w:rsidRPr="000A6B6D" w:rsidRDefault="00D96FD9" w:rsidP="009F0C20">
            <w:pPr>
              <w:widowControl w:val="0"/>
              <w:jc w:val="center"/>
              <w:rPr>
                <w:sz w:val="24"/>
                <w:szCs w:val="24"/>
              </w:rPr>
            </w:pPr>
            <w:r w:rsidRPr="000A6B6D">
              <w:rPr>
                <w:sz w:val="24"/>
                <w:szCs w:val="24"/>
              </w:rPr>
              <w:t>1,02</w:t>
            </w:r>
          </w:p>
        </w:tc>
        <w:tc>
          <w:tcPr>
            <w:tcW w:w="0" w:type="auto"/>
          </w:tcPr>
          <w:p w:rsidR="00D96FD9" w:rsidRPr="000A6B6D" w:rsidRDefault="00D96FD9" w:rsidP="009F0C20">
            <w:pPr>
              <w:widowControl w:val="0"/>
              <w:jc w:val="center"/>
              <w:rPr>
                <w:sz w:val="24"/>
                <w:szCs w:val="24"/>
              </w:rPr>
            </w:pPr>
            <w:r w:rsidRPr="000A6B6D">
              <w:rPr>
                <w:sz w:val="24"/>
                <w:szCs w:val="24"/>
              </w:rPr>
              <w:t>35</w:t>
            </w:r>
          </w:p>
        </w:tc>
        <w:tc>
          <w:tcPr>
            <w:tcW w:w="0" w:type="auto"/>
            <w:shd w:val="clear" w:color="auto" w:fill="auto"/>
          </w:tcPr>
          <w:p w:rsidR="00D96FD9" w:rsidRPr="000A6B6D" w:rsidRDefault="00D96FD9" w:rsidP="009F0C20">
            <w:pPr>
              <w:widowControl w:val="0"/>
              <w:jc w:val="center"/>
              <w:rPr>
                <w:sz w:val="24"/>
                <w:szCs w:val="24"/>
              </w:rPr>
            </w:pPr>
            <w:r w:rsidRPr="000A6B6D">
              <w:rPr>
                <w:sz w:val="24"/>
                <w:szCs w:val="24"/>
              </w:rPr>
              <w:t>1,0</w:t>
            </w:r>
          </w:p>
        </w:tc>
      </w:tr>
      <w:tr w:rsidR="00D96FD9" w:rsidRPr="000A6B6D" w:rsidTr="004F31D7">
        <w:trPr>
          <w:trHeight w:val="248"/>
          <w:jc w:val="center"/>
        </w:trPr>
        <w:tc>
          <w:tcPr>
            <w:tcW w:w="0" w:type="auto"/>
          </w:tcPr>
          <w:p w:rsidR="00D96FD9" w:rsidRPr="000A6B6D" w:rsidRDefault="00D96FD9" w:rsidP="009F0C20">
            <w:pPr>
              <w:widowControl w:val="0"/>
              <w:rPr>
                <w:rFonts w:eastAsia="Times New Roman"/>
                <w:bCs/>
                <w:sz w:val="24"/>
                <w:szCs w:val="24"/>
                <w:lang w:eastAsia="ru-RU"/>
              </w:rPr>
            </w:pPr>
            <w:r w:rsidRPr="000A6B6D">
              <w:rPr>
                <w:rFonts w:eastAsia="Times New Roman"/>
                <w:bCs/>
                <w:sz w:val="24"/>
                <w:szCs w:val="24"/>
                <w:lang w:eastAsia="ru-RU"/>
              </w:rPr>
              <w:t>Клас Х. Хвороби органів дихання</w:t>
            </w:r>
          </w:p>
        </w:tc>
        <w:tc>
          <w:tcPr>
            <w:tcW w:w="0" w:type="auto"/>
          </w:tcPr>
          <w:p w:rsidR="00D96FD9" w:rsidRPr="000A6B6D" w:rsidRDefault="00D96FD9" w:rsidP="009F0C20">
            <w:pPr>
              <w:widowControl w:val="0"/>
              <w:jc w:val="center"/>
              <w:rPr>
                <w:sz w:val="24"/>
                <w:szCs w:val="24"/>
              </w:rPr>
            </w:pPr>
            <w:r w:rsidRPr="000A6B6D">
              <w:rPr>
                <w:sz w:val="24"/>
                <w:szCs w:val="24"/>
              </w:rPr>
              <w:t>112</w:t>
            </w:r>
          </w:p>
        </w:tc>
        <w:tc>
          <w:tcPr>
            <w:tcW w:w="0" w:type="auto"/>
          </w:tcPr>
          <w:p w:rsidR="00D96FD9" w:rsidRPr="000A6B6D" w:rsidRDefault="00D96FD9" w:rsidP="009F0C20">
            <w:pPr>
              <w:widowControl w:val="0"/>
              <w:jc w:val="center"/>
              <w:rPr>
                <w:sz w:val="24"/>
                <w:szCs w:val="24"/>
              </w:rPr>
            </w:pPr>
            <w:r w:rsidRPr="000A6B6D">
              <w:rPr>
                <w:sz w:val="24"/>
                <w:szCs w:val="24"/>
              </w:rPr>
              <w:t>2,38</w:t>
            </w:r>
          </w:p>
        </w:tc>
        <w:tc>
          <w:tcPr>
            <w:tcW w:w="0" w:type="auto"/>
          </w:tcPr>
          <w:p w:rsidR="00D96FD9" w:rsidRPr="000A6B6D" w:rsidRDefault="00D96FD9" w:rsidP="009F0C20">
            <w:pPr>
              <w:widowControl w:val="0"/>
              <w:jc w:val="center"/>
              <w:rPr>
                <w:sz w:val="24"/>
                <w:szCs w:val="24"/>
              </w:rPr>
            </w:pPr>
            <w:r w:rsidRPr="000A6B6D">
              <w:rPr>
                <w:sz w:val="24"/>
                <w:szCs w:val="24"/>
              </w:rPr>
              <w:t>123</w:t>
            </w:r>
          </w:p>
        </w:tc>
        <w:tc>
          <w:tcPr>
            <w:tcW w:w="0" w:type="auto"/>
          </w:tcPr>
          <w:p w:rsidR="00D96FD9" w:rsidRPr="000A6B6D" w:rsidRDefault="00D96FD9" w:rsidP="009F0C20">
            <w:pPr>
              <w:widowControl w:val="0"/>
              <w:jc w:val="center"/>
              <w:rPr>
                <w:sz w:val="24"/>
                <w:szCs w:val="24"/>
              </w:rPr>
            </w:pPr>
            <w:r w:rsidRPr="000A6B6D">
              <w:rPr>
                <w:sz w:val="24"/>
                <w:szCs w:val="24"/>
              </w:rPr>
              <w:t>2,86</w:t>
            </w:r>
          </w:p>
        </w:tc>
        <w:tc>
          <w:tcPr>
            <w:tcW w:w="0" w:type="auto"/>
          </w:tcPr>
          <w:p w:rsidR="00D96FD9" w:rsidRPr="000A6B6D" w:rsidRDefault="00D96FD9" w:rsidP="009F0C20">
            <w:pPr>
              <w:widowControl w:val="0"/>
              <w:jc w:val="center"/>
              <w:rPr>
                <w:rFonts w:eastAsia="NewtonC-Bold"/>
                <w:bCs/>
                <w:sz w:val="24"/>
                <w:szCs w:val="24"/>
                <w:lang w:eastAsia="ru-RU"/>
              </w:rPr>
            </w:pPr>
            <w:r w:rsidRPr="000A6B6D">
              <w:rPr>
                <w:rFonts w:eastAsia="NewtonC-Bold"/>
                <w:bCs/>
                <w:sz w:val="24"/>
                <w:szCs w:val="24"/>
                <w:lang w:eastAsia="ru-RU"/>
              </w:rPr>
              <w:t>120</w:t>
            </w:r>
          </w:p>
        </w:tc>
        <w:tc>
          <w:tcPr>
            <w:tcW w:w="0" w:type="auto"/>
          </w:tcPr>
          <w:p w:rsidR="00D96FD9" w:rsidRPr="000A6B6D" w:rsidRDefault="00D96FD9" w:rsidP="009F0C20">
            <w:pPr>
              <w:widowControl w:val="0"/>
              <w:jc w:val="center"/>
              <w:rPr>
                <w:rFonts w:eastAsia="NewtonC-Bold"/>
                <w:bCs/>
                <w:sz w:val="24"/>
                <w:szCs w:val="24"/>
                <w:lang w:eastAsia="ru-RU"/>
              </w:rPr>
            </w:pPr>
            <w:r w:rsidRPr="000A6B6D">
              <w:rPr>
                <w:rFonts w:eastAsia="NewtonC-Bold"/>
                <w:bCs/>
                <w:sz w:val="24"/>
                <w:szCs w:val="24"/>
                <w:lang w:eastAsia="ru-RU"/>
              </w:rPr>
              <w:t>2,97</w:t>
            </w:r>
          </w:p>
        </w:tc>
        <w:tc>
          <w:tcPr>
            <w:tcW w:w="0" w:type="auto"/>
          </w:tcPr>
          <w:p w:rsidR="00D96FD9" w:rsidRPr="000A6B6D" w:rsidRDefault="00D96FD9" w:rsidP="009F0C20">
            <w:pPr>
              <w:widowControl w:val="0"/>
              <w:jc w:val="center"/>
              <w:rPr>
                <w:sz w:val="24"/>
                <w:szCs w:val="24"/>
              </w:rPr>
            </w:pPr>
            <w:r w:rsidRPr="000A6B6D">
              <w:rPr>
                <w:sz w:val="24"/>
                <w:szCs w:val="24"/>
              </w:rPr>
              <w:t>99</w:t>
            </w:r>
          </w:p>
        </w:tc>
        <w:tc>
          <w:tcPr>
            <w:tcW w:w="0" w:type="auto"/>
          </w:tcPr>
          <w:p w:rsidR="00D96FD9" w:rsidRPr="000A6B6D" w:rsidRDefault="00D96FD9" w:rsidP="009F0C20">
            <w:pPr>
              <w:widowControl w:val="0"/>
              <w:jc w:val="center"/>
              <w:rPr>
                <w:sz w:val="24"/>
                <w:szCs w:val="24"/>
              </w:rPr>
            </w:pPr>
            <w:r w:rsidRPr="000A6B6D">
              <w:rPr>
                <w:sz w:val="24"/>
                <w:szCs w:val="24"/>
              </w:rPr>
              <w:t>2,63</w:t>
            </w:r>
          </w:p>
        </w:tc>
        <w:tc>
          <w:tcPr>
            <w:tcW w:w="0" w:type="auto"/>
          </w:tcPr>
          <w:p w:rsidR="00D96FD9" w:rsidRPr="000A6B6D" w:rsidRDefault="00D96FD9" w:rsidP="009F0C20">
            <w:pPr>
              <w:widowControl w:val="0"/>
              <w:jc w:val="center"/>
              <w:rPr>
                <w:sz w:val="24"/>
                <w:szCs w:val="24"/>
              </w:rPr>
            </w:pPr>
            <w:r w:rsidRPr="000A6B6D">
              <w:rPr>
                <w:sz w:val="24"/>
                <w:szCs w:val="24"/>
              </w:rPr>
              <w:t>103</w:t>
            </w:r>
          </w:p>
        </w:tc>
        <w:tc>
          <w:tcPr>
            <w:tcW w:w="0" w:type="auto"/>
            <w:shd w:val="clear" w:color="auto" w:fill="auto"/>
          </w:tcPr>
          <w:p w:rsidR="00D96FD9" w:rsidRPr="000A6B6D" w:rsidRDefault="00D96FD9" w:rsidP="009F0C20">
            <w:pPr>
              <w:widowControl w:val="0"/>
              <w:jc w:val="center"/>
              <w:rPr>
                <w:sz w:val="24"/>
                <w:szCs w:val="24"/>
              </w:rPr>
            </w:pPr>
            <w:r w:rsidRPr="000A6B6D">
              <w:rPr>
                <w:sz w:val="24"/>
                <w:szCs w:val="24"/>
              </w:rPr>
              <w:t>3,0</w:t>
            </w:r>
          </w:p>
        </w:tc>
      </w:tr>
      <w:tr w:rsidR="00D96FD9" w:rsidRPr="000A6B6D" w:rsidTr="004F31D7">
        <w:trPr>
          <w:trHeight w:val="195"/>
          <w:jc w:val="center"/>
        </w:trPr>
        <w:tc>
          <w:tcPr>
            <w:tcW w:w="0" w:type="auto"/>
          </w:tcPr>
          <w:p w:rsidR="00D96FD9" w:rsidRPr="000A6B6D" w:rsidRDefault="00D96FD9" w:rsidP="009F0C20">
            <w:pPr>
              <w:widowControl w:val="0"/>
              <w:rPr>
                <w:rFonts w:eastAsia="Times New Roman"/>
                <w:bCs/>
                <w:sz w:val="24"/>
                <w:szCs w:val="24"/>
                <w:lang w:eastAsia="ru-RU"/>
              </w:rPr>
            </w:pPr>
            <w:r w:rsidRPr="000A6B6D">
              <w:rPr>
                <w:rFonts w:eastAsia="Times New Roman"/>
                <w:bCs/>
                <w:sz w:val="24"/>
                <w:szCs w:val="24"/>
                <w:lang w:eastAsia="ru-RU"/>
              </w:rPr>
              <w:t>Клас ХІ. Хвороби органів травлення</w:t>
            </w:r>
          </w:p>
        </w:tc>
        <w:tc>
          <w:tcPr>
            <w:tcW w:w="0" w:type="auto"/>
          </w:tcPr>
          <w:p w:rsidR="00D96FD9" w:rsidRPr="000A6B6D" w:rsidRDefault="00D96FD9" w:rsidP="009F0C20">
            <w:pPr>
              <w:widowControl w:val="0"/>
              <w:jc w:val="center"/>
              <w:rPr>
                <w:sz w:val="24"/>
                <w:szCs w:val="24"/>
              </w:rPr>
            </w:pPr>
            <w:r w:rsidRPr="000A6B6D">
              <w:rPr>
                <w:sz w:val="24"/>
                <w:szCs w:val="24"/>
              </w:rPr>
              <w:t>17</w:t>
            </w:r>
          </w:p>
        </w:tc>
        <w:tc>
          <w:tcPr>
            <w:tcW w:w="0" w:type="auto"/>
          </w:tcPr>
          <w:p w:rsidR="00D96FD9" w:rsidRPr="000A6B6D" w:rsidRDefault="00D96FD9" w:rsidP="009F0C20">
            <w:pPr>
              <w:widowControl w:val="0"/>
              <w:jc w:val="center"/>
              <w:rPr>
                <w:sz w:val="24"/>
                <w:szCs w:val="24"/>
              </w:rPr>
            </w:pPr>
            <w:r w:rsidRPr="000A6B6D">
              <w:rPr>
                <w:sz w:val="24"/>
                <w:szCs w:val="24"/>
              </w:rPr>
              <w:t>0,36</w:t>
            </w:r>
          </w:p>
        </w:tc>
        <w:tc>
          <w:tcPr>
            <w:tcW w:w="0" w:type="auto"/>
          </w:tcPr>
          <w:p w:rsidR="00D96FD9" w:rsidRPr="000A6B6D" w:rsidRDefault="00D96FD9" w:rsidP="009F0C20">
            <w:pPr>
              <w:widowControl w:val="0"/>
              <w:jc w:val="center"/>
              <w:rPr>
                <w:sz w:val="24"/>
                <w:szCs w:val="24"/>
              </w:rPr>
            </w:pPr>
            <w:r w:rsidRPr="000A6B6D">
              <w:rPr>
                <w:sz w:val="24"/>
                <w:szCs w:val="24"/>
              </w:rPr>
              <w:t>10</w:t>
            </w:r>
          </w:p>
        </w:tc>
        <w:tc>
          <w:tcPr>
            <w:tcW w:w="0" w:type="auto"/>
          </w:tcPr>
          <w:p w:rsidR="00D96FD9" w:rsidRPr="000A6B6D" w:rsidRDefault="00D96FD9" w:rsidP="009F0C20">
            <w:pPr>
              <w:widowControl w:val="0"/>
              <w:jc w:val="center"/>
              <w:rPr>
                <w:sz w:val="24"/>
                <w:szCs w:val="24"/>
              </w:rPr>
            </w:pPr>
            <w:r w:rsidRPr="000A6B6D">
              <w:rPr>
                <w:sz w:val="24"/>
                <w:szCs w:val="24"/>
              </w:rPr>
              <w:t>0,24</w:t>
            </w:r>
          </w:p>
        </w:tc>
        <w:tc>
          <w:tcPr>
            <w:tcW w:w="0" w:type="auto"/>
          </w:tcPr>
          <w:p w:rsidR="00D96FD9" w:rsidRPr="000A6B6D" w:rsidRDefault="00D96FD9" w:rsidP="009F0C20">
            <w:pPr>
              <w:widowControl w:val="0"/>
              <w:jc w:val="center"/>
              <w:rPr>
                <w:rFonts w:eastAsia="NewtonC-Bold"/>
                <w:bCs/>
                <w:sz w:val="24"/>
                <w:szCs w:val="24"/>
                <w:lang w:eastAsia="ru-RU"/>
              </w:rPr>
            </w:pPr>
            <w:r w:rsidRPr="000A6B6D">
              <w:rPr>
                <w:rFonts w:eastAsia="NewtonC-Bold"/>
                <w:bCs/>
                <w:sz w:val="24"/>
                <w:szCs w:val="24"/>
                <w:lang w:eastAsia="ru-RU"/>
              </w:rPr>
              <w:t>9</w:t>
            </w:r>
          </w:p>
        </w:tc>
        <w:tc>
          <w:tcPr>
            <w:tcW w:w="0" w:type="auto"/>
          </w:tcPr>
          <w:p w:rsidR="00D96FD9" w:rsidRPr="000A6B6D" w:rsidRDefault="00D96FD9" w:rsidP="009F0C20">
            <w:pPr>
              <w:widowControl w:val="0"/>
              <w:jc w:val="center"/>
              <w:rPr>
                <w:rFonts w:eastAsia="NewtonC-Bold"/>
                <w:bCs/>
                <w:sz w:val="24"/>
                <w:szCs w:val="24"/>
                <w:lang w:eastAsia="ru-RU"/>
              </w:rPr>
            </w:pPr>
            <w:r w:rsidRPr="000A6B6D">
              <w:rPr>
                <w:rFonts w:eastAsia="NewtonC-Bold"/>
                <w:bCs/>
                <w:sz w:val="24"/>
                <w:szCs w:val="24"/>
                <w:lang w:eastAsia="ru-RU"/>
              </w:rPr>
              <w:t>0,22</w:t>
            </w:r>
          </w:p>
        </w:tc>
        <w:tc>
          <w:tcPr>
            <w:tcW w:w="0" w:type="auto"/>
          </w:tcPr>
          <w:p w:rsidR="00D96FD9" w:rsidRPr="000A6B6D" w:rsidRDefault="00D96FD9" w:rsidP="009F0C20">
            <w:pPr>
              <w:widowControl w:val="0"/>
              <w:jc w:val="center"/>
              <w:rPr>
                <w:sz w:val="24"/>
                <w:szCs w:val="24"/>
              </w:rPr>
            </w:pPr>
            <w:r w:rsidRPr="000A6B6D">
              <w:rPr>
                <w:sz w:val="24"/>
                <w:szCs w:val="24"/>
              </w:rPr>
              <w:t>11</w:t>
            </w:r>
          </w:p>
        </w:tc>
        <w:tc>
          <w:tcPr>
            <w:tcW w:w="0" w:type="auto"/>
          </w:tcPr>
          <w:p w:rsidR="00D96FD9" w:rsidRPr="000A6B6D" w:rsidRDefault="00D96FD9" w:rsidP="009F0C20">
            <w:pPr>
              <w:widowControl w:val="0"/>
              <w:jc w:val="center"/>
              <w:rPr>
                <w:sz w:val="24"/>
                <w:szCs w:val="24"/>
              </w:rPr>
            </w:pPr>
            <w:r w:rsidRPr="000A6B6D">
              <w:rPr>
                <w:sz w:val="24"/>
                <w:szCs w:val="24"/>
              </w:rPr>
              <w:t>0,29</w:t>
            </w:r>
          </w:p>
        </w:tc>
        <w:tc>
          <w:tcPr>
            <w:tcW w:w="0" w:type="auto"/>
          </w:tcPr>
          <w:p w:rsidR="00D96FD9" w:rsidRPr="000A6B6D" w:rsidRDefault="00D96FD9" w:rsidP="009F0C20">
            <w:pPr>
              <w:widowControl w:val="0"/>
              <w:jc w:val="center"/>
              <w:rPr>
                <w:sz w:val="24"/>
                <w:szCs w:val="24"/>
              </w:rPr>
            </w:pPr>
            <w:r w:rsidRPr="000A6B6D">
              <w:rPr>
                <w:sz w:val="24"/>
                <w:szCs w:val="24"/>
              </w:rPr>
              <w:t>11</w:t>
            </w:r>
          </w:p>
        </w:tc>
        <w:tc>
          <w:tcPr>
            <w:tcW w:w="0" w:type="auto"/>
            <w:shd w:val="clear" w:color="auto" w:fill="auto"/>
          </w:tcPr>
          <w:p w:rsidR="00D96FD9" w:rsidRPr="000A6B6D" w:rsidRDefault="00D96FD9" w:rsidP="009F0C20">
            <w:pPr>
              <w:widowControl w:val="0"/>
              <w:jc w:val="center"/>
              <w:rPr>
                <w:sz w:val="24"/>
                <w:szCs w:val="24"/>
              </w:rPr>
            </w:pPr>
            <w:r w:rsidRPr="000A6B6D">
              <w:rPr>
                <w:sz w:val="24"/>
                <w:szCs w:val="24"/>
              </w:rPr>
              <w:t>0,33</w:t>
            </w:r>
          </w:p>
        </w:tc>
      </w:tr>
      <w:tr w:rsidR="00D96FD9" w:rsidRPr="000A6B6D" w:rsidTr="004F31D7">
        <w:trPr>
          <w:trHeight w:val="158"/>
          <w:jc w:val="center"/>
        </w:trPr>
        <w:tc>
          <w:tcPr>
            <w:tcW w:w="0" w:type="auto"/>
          </w:tcPr>
          <w:p w:rsidR="00D96FD9" w:rsidRPr="000A6B6D" w:rsidRDefault="00D96FD9" w:rsidP="009F0C20">
            <w:pPr>
              <w:widowControl w:val="0"/>
              <w:rPr>
                <w:rFonts w:eastAsia="Times New Roman"/>
                <w:bCs/>
                <w:sz w:val="24"/>
                <w:szCs w:val="24"/>
                <w:lang w:eastAsia="ru-RU"/>
              </w:rPr>
            </w:pPr>
            <w:r w:rsidRPr="000A6B6D">
              <w:rPr>
                <w:rFonts w:eastAsia="Times New Roman"/>
                <w:bCs/>
                <w:sz w:val="24"/>
                <w:szCs w:val="24"/>
                <w:lang w:eastAsia="ru-RU"/>
              </w:rPr>
              <w:t>Клас ХІV. Хвороби сечостатевої системи</w:t>
            </w:r>
          </w:p>
        </w:tc>
        <w:tc>
          <w:tcPr>
            <w:tcW w:w="0" w:type="auto"/>
          </w:tcPr>
          <w:p w:rsidR="00D96FD9" w:rsidRPr="000A6B6D" w:rsidRDefault="00D96FD9" w:rsidP="009F0C20">
            <w:pPr>
              <w:widowControl w:val="0"/>
              <w:jc w:val="center"/>
              <w:rPr>
                <w:sz w:val="24"/>
                <w:szCs w:val="24"/>
              </w:rPr>
            </w:pPr>
            <w:r w:rsidRPr="000A6B6D">
              <w:rPr>
                <w:sz w:val="24"/>
                <w:szCs w:val="24"/>
              </w:rPr>
              <w:t>0</w:t>
            </w:r>
          </w:p>
        </w:tc>
        <w:tc>
          <w:tcPr>
            <w:tcW w:w="0" w:type="auto"/>
          </w:tcPr>
          <w:p w:rsidR="00D96FD9" w:rsidRPr="000A6B6D" w:rsidRDefault="00D96FD9" w:rsidP="009F0C20">
            <w:pPr>
              <w:widowControl w:val="0"/>
              <w:jc w:val="center"/>
              <w:rPr>
                <w:sz w:val="24"/>
                <w:szCs w:val="24"/>
              </w:rPr>
            </w:pPr>
            <w:r w:rsidRPr="000A6B6D">
              <w:rPr>
                <w:sz w:val="24"/>
                <w:szCs w:val="24"/>
              </w:rPr>
              <w:t>0</w:t>
            </w:r>
          </w:p>
        </w:tc>
        <w:tc>
          <w:tcPr>
            <w:tcW w:w="0" w:type="auto"/>
          </w:tcPr>
          <w:p w:rsidR="00D96FD9" w:rsidRPr="000A6B6D" w:rsidRDefault="00D96FD9" w:rsidP="009F0C20">
            <w:pPr>
              <w:widowControl w:val="0"/>
              <w:jc w:val="center"/>
              <w:rPr>
                <w:sz w:val="24"/>
                <w:szCs w:val="24"/>
              </w:rPr>
            </w:pPr>
            <w:r w:rsidRPr="000A6B6D">
              <w:rPr>
                <w:sz w:val="24"/>
                <w:szCs w:val="24"/>
              </w:rPr>
              <w:t>0</w:t>
            </w:r>
          </w:p>
        </w:tc>
        <w:tc>
          <w:tcPr>
            <w:tcW w:w="0" w:type="auto"/>
          </w:tcPr>
          <w:p w:rsidR="00D96FD9" w:rsidRPr="000A6B6D" w:rsidRDefault="00D96FD9" w:rsidP="009F0C20">
            <w:pPr>
              <w:widowControl w:val="0"/>
              <w:jc w:val="center"/>
              <w:rPr>
                <w:sz w:val="24"/>
                <w:szCs w:val="24"/>
              </w:rPr>
            </w:pPr>
            <w:r w:rsidRPr="000A6B6D">
              <w:rPr>
                <w:sz w:val="24"/>
                <w:szCs w:val="24"/>
              </w:rPr>
              <w:t>0</w:t>
            </w:r>
          </w:p>
        </w:tc>
        <w:tc>
          <w:tcPr>
            <w:tcW w:w="0" w:type="auto"/>
          </w:tcPr>
          <w:p w:rsidR="00D96FD9" w:rsidRPr="000A6B6D" w:rsidRDefault="00D96FD9" w:rsidP="009F0C20">
            <w:pPr>
              <w:widowControl w:val="0"/>
              <w:jc w:val="center"/>
              <w:rPr>
                <w:rFonts w:eastAsia="NewtonC-Bold"/>
                <w:bCs/>
                <w:sz w:val="24"/>
                <w:szCs w:val="24"/>
                <w:lang w:eastAsia="ru-RU"/>
              </w:rPr>
            </w:pPr>
            <w:r w:rsidRPr="000A6B6D">
              <w:rPr>
                <w:rFonts w:eastAsia="NewtonC-Bold"/>
                <w:bCs/>
                <w:sz w:val="24"/>
                <w:szCs w:val="24"/>
                <w:lang w:eastAsia="ru-RU"/>
              </w:rPr>
              <w:t>5</w:t>
            </w:r>
          </w:p>
        </w:tc>
        <w:tc>
          <w:tcPr>
            <w:tcW w:w="0" w:type="auto"/>
          </w:tcPr>
          <w:p w:rsidR="00D96FD9" w:rsidRPr="000A6B6D" w:rsidRDefault="00D96FD9" w:rsidP="009F0C20">
            <w:pPr>
              <w:widowControl w:val="0"/>
              <w:jc w:val="center"/>
              <w:rPr>
                <w:rFonts w:eastAsia="NewtonC-Bold"/>
                <w:bCs/>
                <w:sz w:val="24"/>
                <w:szCs w:val="24"/>
                <w:lang w:eastAsia="ru-RU"/>
              </w:rPr>
            </w:pPr>
            <w:r w:rsidRPr="000A6B6D">
              <w:rPr>
                <w:rFonts w:eastAsia="NewtonC-Bold"/>
                <w:bCs/>
                <w:sz w:val="24"/>
                <w:szCs w:val="24"/>
                <w:lang w:eastAsia="ru-RU"/>
              </w:rPr>
              <w:t>0,13</w:t>
            </w:r>
          </w:p>
        </w:tc>
        <w:tc>
          <w:tcPr>
            <w:tcW w:w="0" w:type="auto"/>
          </w:tcPr>
          <w:p w:rsidR="00D96FD9" w:rsidRPr="000A6B6D" w:rsidRDefault="00D96FD9" w:rsidP="009F0C20">
            <w:pPr>
              <w:widowControl w:val="0"/>
              <w:jc w:val="center"/>
              <w:rPr>
                <w:sz w:val="24"/>
                <w:szCs w:val="24"/>
              </w:rPr>
            </w:pPr>
            <w:r w:rsidRPr="000A6B6D">
              <w:rPr>
                <w:sz w:val="24"/>
                <w:szCs w:val="24"/>
              </w:rPr>
              <w:t>1</w:t>
            </w:r>
          </w:p>
        </w:tc>
        <w:tc>
          <w:tcPr>
            <w:tcW w:w="0" w:type="auto"/>
          </w:tcPr>
          <w:p w:rsidR="00D96FD9" w:rsidRPr="000A6B6D" w:rsidRDefault="00D96FD9" w:rsidP="009F0C20">
            <w:pPr>
              <w:widowControl w:val="0"/>
              <w:jc w:val="center"/>
              <w:rPr>
                <w:sz w:val="24"/>
                <w:szCs w:val="24"/>
              </w:rPr>
            </w:pPr>
            <w:r w:rsidRPr="000A6B6D">
              <w:rPr>
                <w:sz w:val="24"/>
                <w:szCs w:val="24"/>
              </w:rPr>
              <w:t>0,03</w:t>
            </w:r>
          </w:p>
        </w:tc>
        <w:tc>
          <w:tcPr>
            <w:tcW w:w="0" w:type="auto"/>
          </w:tcPr>
          <w:p w:rsidR="00D96FD9" w:rsidRPr="000A6B6D" w:rsidRDefault="00D96FD9" w:rsidP="009F0C20">
            <w:pPr>
              <w:widowControl w:val="0"/>
              <w:jc w:val="center"/>
              <w:rPr>
                <w:sz w:val="24"/>
                <w:szCs w:val="24"/>
              </w:rPr>
            </w:pPr>
            <w:r w:rsidRPr="000A6B6D">
              <w:rPr>
                <w:sz w:val="24"/>
                <w:szCs w:val="24"/>
              </w:rPr>
              <w:t>0</w:t>
            </w:r>
          </w:p>
        </w:tc>
        <w:tc>
          <w:tcPr>
            <w:tcW w:w="0" w:type="auto"/>
            <w:shd w:val="clear" w:color="auto" w:fill="auto"/>
          </w:tcPr>
          <w:p w:rsidR="00D96FD9" w:rsidRPr="000A6B6D" w:rsidRDefault="00D96FD9" w:rsidP="009F0C20">
            <w:pPr>
              <w:widowControl w:val="0"/>
              <w:jc w:val="center"/>
              <w:rPr>
                <w:sz w:val="24"/>
                <w:szCs w:val="24"/>
              </w:rPr>
            </w:pPr>
            <w:r w:rsidRPr="000A6B6D">
              <w:rPr>
                <w:sz w:val="24"/>
                <w:szCs w:val="24"/>
              </w:rPr>
              <w:t>0</w:t>
            </w:r>
          </w:p>
        </w:tc>
      </w:tr>
      <w:tr w:rsidR="00D96FD9" w:rsidRPr="000A6B6D" w:rsidTr="004F31D7">
        <w:trPr>
          <w:trHeight w:val="106"/>
          <w:jc w:val="center"/>
        </w:trPr>
        <w:tc>
          <w:tcPr>
            <w:tcW w:w="0" w:type="auto"/>
          </w:tcPr>
          <w:p w:rsidR="00D96FD9" w:rsidRPr="000A6B6D" w:rsidRDefault="00D96FD9" w:rsidP="009F0C20">
            <w:pPr>
              <w:widowControl w:val="0"/>
              <w:rPr>
                <w:rFonts w:eastAsia="Times New Roman"/>
                <w:bCs/>
                <w:sz w:val="24"/>
                <w:szCs w:val="24"/>
                <w:lang w:eastAsia="ru-RU"/>
              </w:rPr>
            </w:pPr>
            <w:r w:rsidRPr="000A6B6D">
              <w:rPr>
                <w:rFonts w:eastAsia="Times New Roman"/>
                <w:bCs/>
                <w:sz w:val="24"/>
                <w:szCs w:val="24"/>
                <w:lang w:eastAsia="ru-RU"/>
              </w:rPr>
              <w:t xml:space="preserve">Клас ХVI. Окремі стани, що виникають у перинатальному періоді </w:t>
            </w:r>
          </w:p>
        </w:tc>
        <w:tc>
          <w:tcPr>
            <w:tcW w:w="0" w:type="auto"/>
          </w:tcPr>
          <w:p w:rsidR="00D96FD9" w:rsidRPr="000A6B6D" w:rsidRDefault="00D96FD9" w:rsidP="009F0C20">
            <w:pPr>
              <w:widowControl w:val="0"/>
              <w:jc w:val="center"/>
              <w:rPr>
                <w:sz w:val="24"/>
                <w:szCs w:val="24"/>
              </w:rPr>
            </w:pPr>
            <w:r w:rsidRPr="000A6B6D">
              <w:rPr>
                <w:sz w:val="24"/>
                <w:szCs w:val="24"/>
              </w:rPr>
              <w:t>1958</w:t>
            </w:r>
          </w:p>
        </w:tc>
        <w:tc>
          <w:tcPr>
            <w:tcW w:w="0" w:type="auto"/>
          </w:tcPr>
          <w:p w:rsidR="00D96FD9" w:rsidRPr="000A6B6D" w:rsidRDefault="00D96FD9" w:rsidP="009F0C20">
            <w:pPr>
              <w:widowControl w:val="0"/>
              <w:jc w:val="center"/>
              <w:rPr>
                <w:sz w:val="24"/>
                <w:szCs w:val="24"/>
              </w:rPr>
            </w:pPr>
            <w:r w:rsidRPr="000A6B6D">
              <w:rPr>
                <w:sz w:val="24"/>
                <w:szCs w:val="24"/>
              </w:rPr>
              <w:t>41,99</w:t>
            </w:r>
          </w:p>
        </w:tc>
        <w:tc>
          <w:tcPr>
            <w:tcW w:w="0" w:type="auto"/>
          </w:tcPr>
          <w:p w:rsidR="00D96FD9" w:rsidRPr="000A6B6D" w:rsidRDefault="00D96FD9" w:rsidP="009F0C20">
            <w:pPr>
              <w:widowControl w:val="0"/>
              <w:jc w:val="center"/>
              <w:rPr>
                <w:sz w:val="24"/>
                <w:szCs w:val="24"/>
              </w:rPr>
            </w:pPr>
            <w:r w:rsidRPr="000A6B6D">
              <w:rPr>
                <w:sz w:val="24"/>
                <w:szCs w:val="24"/>
              </w:rPr>
              <w:t>1730</w:t>
            </w:r>
          </w:p>
        </w:tc>
        <w:tc>
          <w:tcPr>
            <w:tcW w:w="0" w:type="auto"/>
          </w:tcPr>
          <w:p w:rsidR="00D96FD9" w:rsidRPr="000A6B6D" w:rsidRDefault="00D96FD9" w:rsidP="009F0C20">
            <w:pPr>
              <w:widowControl w:val="0"/>
              <w:jc w:val="center"/>
              <w:rPr>
                <w:sz w:val="24"/>
                <w:szCs w:val="24"/>
              </w:rPr>
            </w:pPr>
            <w:r w:rsidRPr="000A6B6D">
              <w:rPr>
                <w:sz w:val="24"/>
                <w:szCs w:val="24"/>
              </w:rPr>
              <w:t>41,78</w:t>
            </w:r>
          </w:p>
        </w:tc>
        <w:tc>
          <w:tcPr>
            <w:tcW w:w="0" w:type="auto"/>
          </w:tcPr>
          <w:p w:rsidR="00D96FD9" w:rsidRPr="000A6B6D" w:rsidRDefault="00D96FD9" w:rsidP="009F0C20">
            <w:pPr>
              <w:widowControl w:val="0"/>
              <w:jc w:val="center"/>
              <w:rPr>
                <w:sz w:val="24"/>
                <w:szCs w:val="24"/>
              </w:rPr>
            </w:pPr>
            <w:r w:rsidRPr="000A6B6D">
              <w:rPr>
                <w:sz w:val="24"/>
                <w:szCs w:val="24"/>
              </w:rPr>
              <w:t>1569</w:t>
            </w:r>
          </w:p>
        </w:tc>
        <w:tc>
          <w:tcPr>
            <w:tcW w:w="0" w:type="auto"/>
          </w:tcPr>
          <w:p w:rsidR="00D96FD9" w:rsidRPr="000A6B6D" w:rsidRDefault="00D96FD9" w:rsidP="009F0C20">
            <w:pPr>
              <w:widowControl w:val="0"/>
              <w:jc w:val="center"/>
              <w:rPr>
                <w:sz w:val="24"/>
                <w:szCs w:val="24"/>
              </w:rPr>
            </w:pPr>
            <w:r w:rsidRPr="000A6B6D">
              <w:rPr>
                <w:sz w:val="24"/>
                <w:szCs w:val="24"/>
              </w:rPr>
              <w:t>39,45</w:t>
            </w:r>
          </w:p>
        </w:tc>
        <w:tc>
          <w:tcPr>
            <w:tcW w:w="0" w:type="auto"/>
          </w:tcPr>
          <w:p w:rsidR="00D96FD9" w:rsidRPr="000A6B6D" w:rsidRDefault="00D96FD9" w:rsidP="009F0C20">
            <w:pPr>
              <w:widowControl w:val="0"/>
              <w:jc w:val="center"/>
              <w:rPr>
                <w:sz w:val="24"/>
                <w:szCs w:val="24"/>
              </w:rPr>
            </w:pPr>
            <w:r w:rsidRPr="000A6B6D">
              <w:rPr>
                <w:sz w:val="24"/>
                <w:szCs w:val="24"/>
              </w:rPr>
              <w:t>1550</w:t>
            </w:r>
          </w:p>
        </w:tc>
        <w:tc>
          <w:tcPr>
            <w:tcW w:w="0" w:type="auto"/>
          </w:tcPr>
          <w:p w:rsidR="00D96FD9" w:rsidRPr="000A6B6D" w:rsidRDefault="00D96FD9" w:rsidP="009F0C20">
            <w:pPr>
              <w:widowControl w:val="0"/>
              <w:jc w:val="center"/>
              <w:rPr>
                <w:sz w:val="24"/>
                <w:szCs w:val="24"/>
              </w:rPr>
            </w:pPr>
            <w:r w:rsidRPr="000A6B6D">
              <w:rPr>
                <w:sz w:val="24"/>
                <w:szCs w:val="24"/>
              </w:rPr>
              <w:t>42,45</w:t>
            </w:r>
          </w:p>
        </w:tc>
        <w:tc>
          <w:tcPr>
            <w:tcW w:w="0" w:type="auto"/>
          </w:tcPr>
          <w:p w:rsidR="00D96FD9" w:rsidRPr="000A6B6D" w:rsidRDefault="00D96FD9" w:rsidP="009F0C20">
            <w:pPr>
              <w:widowControl w:val="0"/>
              <w:jc w:val="center"/>
              <w:rPr>
                <w:sz w:val="24"/>
                <w:szCs w:val="24"/>
              </w:rPr>
            </w:pPr>
            <w:r w:rsidRPr="000A6B6D">
              <w:rPr>
                <w:sz w:val="24"/>
                <w:szCs w:val="24"/>
              </w:rPr>
              <w:t>1274</w:t>
            </w:r>
          </w:p>
        </w:tc>
        <w:tc>
          <w:tcPr>
            <w:tcW w:w="0" w:type="auto"/>
            <w:shd w:val="clear" w:color="auto" w:fill="auto"/>
          </w:tcPr>
          <w:p w:rsidR="00D96FD9" w:rsidRPr="000A6B6D" w:rsidRDefault="00D96FD9" w:rsidP="009F0C20">
            <w:pPr>
              <w:widowControl w:val="0"/>
              <w:jc w:val="center"/>
              <w:rPr>
                <w:sz w:val="24"/>
                <w:szCs w:val="24"/>
              </w:rPr>
            </w:pPr>
            <w:r w:rsidRPr="000A6B6D">
              <w:rPr>
                <w:sz w:val="24"/>
                <w:szCs w:val="24"/>
              </w:rPr>
              <w:t>37,8</w:t>
            </w:r>
          </w:p>
        </w:tc>
      </w:tr>
      <w:tr w:rsidR="00D96FD9" w:rsidRPr="000A6B6D" w:rsidTr="004F31D7">
        <w:trPr>
          <w:trHeight w:val="210"/>
          <w:jc w:val="center"/>
        </w:trPr>
        <w:tc>
          <w:tcPr>
            <w:tcW w:w="0" w:type="auto"/>
          </w:tcPr>
          <w:p w:rsidR="00D96FD9" w:rsidRPr="000A6B6D" w:rsidRDefault="00D96FD9" w:rsidP="009F0C20">
            <w:pPr>
              <w:widowControl w:val="0"/>
              <w:rPr>
                <w:rFonts w:eastAsia="Times New Roman"/>
                <w:bCs/>
                <w:sz w:val="24"/>
                <w:szCs w:val="24"/>
                <w:lang w:eastAsia="ru-RU"/>
              </w:rPr>
            </w:pPr>
            <w:r w:rsidRPr="000A6B6D">
              <w:rPr>
                <w:rFonts w:eastAsia="Times New Roman"/>
                <w:bCs/>
                <w:sz w:val="24"/>
                <w:szCs w:val="24"/>
                <w:lang w:eastAsia="ru-RU"/>
              </w:rPr>
              <w:t>Клас ХVII. Природжені вади розвитку, деформації та хромосомні аномалії</w:t>
            </w:r>
          </w:p>
        </w:tc>
        <w:tc>
          <w:tcPr>
            <w:tcW w:w="0" w:type="auto"/>
          </w:tcPr>
          <w:p w:rsidR="00D96FD9" w:rsidRPr="000A6B6D" w:rsidRDefault="00D96FD9" w:rsidP="009F0C20">
            <w:pPr>
              <w:widowControl w:val="0"/>
              <w:jc w:val="center"/>
              <w:rPr>
                <w:sz w:val="24"/>
                <w:szCs w:val="24"/>
              </w:rPr>
            </w:pPr>
            <w:r w:rsidRPr="000A6B6D">
              <w:rPr>
                <w:sz w:val="24"/>
                <w:szCs w:val="24"/>
              </w:rPr>
              <w:t>832</w:t>
            </w:r>
          </w:p>
        </w:tc>
        <w:tc>
          <w:tcPr>
            <w:tcW w:w="0" w:type="auto"/>
          </w:tcPr>
          <w:p w:rsidR="00D96FD9" w:rsidRPr="000A6B6D" w:rsidRDefault="00D96FD9" w:rsidP="009F0C20">
            <w:pPr>
              <w:widowControl w:val="0"/>
              <w:jc w:val="center"/>
              <w:rPr>
                <w:sz w:val="24"/>
                <w:szCs w:val="24"/>
              </w:rPr>
            </w:pPr>
            <w:r w:rsidRPr="000A6B6D">
              <w:rPr>
                <w:sz w:val="24"/>
                <w:szCs w:val="24"/>
              </w:rPr>
              <w:t>17,80</w:t>
            </w:r>
          </w:p>
        </w:tc>
        <w:tc>
          <w:tcPr>
            <w:tcW w:w="0" w:type="auto"/>
          </w:tcPr>
          <w:p w:rsidR="00D96FD9" w:rsidRPr="000A6B6D" w:rsidRDefault="00D96FD9" w:rsidP="009F0C20">
            <w:pPr>
              <w:widowControl w:val="0"/>
              <w:jc w:val="center"/>
              <w:rPr>
                <w:sz w:val="24"/>
                <w:szCs w:val="24"/>
              </w:rPr>
            </w:pPr>
            <w:r w:rsidRPr="000A6B6D">
              <w:rPr>
                <w:sz w:val="24"/>
                <w:szCs w:val="24"/>
              </w:rPr>
              <w:t>813</w:t>
            </w:r>
          </w:p>
        </w:tc>
        <w:tc>
          <w:tcPr>
            <w:tcW w:w="0" w:type="auto"/>
          </w:tcPr>
          <w:p w:rsidR="00D96FD9" w:rsidRPr="000A6B6D" w:rsidRDefault="00D96FD9" w:rsidP="009F0C20">
            <w:pPr>
              <w:widowControl w:val="0"/>
              <w:jc w:val="center"/>
              <w:rPr>
                <w:sz w:val="24"/>
                <w:szCs w:val="24"/>
              </w:rPr>
            </w:pPr>
            <w:r w:rsidRPr="000A6B6D">
              <w:rPr>
                <w:sz w:val="24"/>
                <w:szCs w:val="24"/>
              </w:rPr>
              <w:t>19,25</w:t>
            </w:r>
          </w:p>
        </w:tc>
        <w:tc>
          <w:tcPr>
            <w:tcW w:w="0" w:type="auto"/>
          </w:tcPr>
          <w:p w:rsidR="00D96FD9" w:rsidRPr="000A6B6D" w:rsidRDefault="00D96FD9" w:rsidP="009F0C20">
            <w:pPr>
              <w:widowControl w:val="0"/>
              <w:jc w:val="center"/>
              <w:rPr>
                <w:sz w:val="24"/>
                <w:szCs w:val="24"/>
              </w:rPr>
            </w:pPr>
            <w:r w:rsidRPr="000A6B6D">
              <w:rPr>
                <w:sz w:val="24"/>
                <w:szCs w:val="24"/>
              </w:rPr>
              <w:t>702</w:t>
            </w:r>
          </w:p>
        </w:tc>
        <w:tc>
          <w:tcPr>
            <w:tcW w:w="0" w:type="auto"/>
          </w:tcPr>
          <w:p w:rsidR="00D96FD9" w:rsidRPr="000A6B6D" w:rsidRDefault="00D96FD9" w:rsidP="009F0C20">
            <w:pPr>
              <w:widowControl w:val="0"/>
              <w:jc w:val="center"/>
              <w:rPr>
                <w:sz w:val="24"/>
                <w:szCs w:val="24"/>
              </w:rPr>
            </w:pPr>
            <w:r w:rsidRPr="000A6B6D">
              <w:rPr>
                <w:sz w:val="24"/>
                <w:szCs w:val="24"/>
              </w:rPr>
              <w:t>17,56</w:t>
            </w:r>
          </w:p>
        </w:tc>
        <w:tc>
          <w:tcPr>
            <w:tcW w:w="0" w:type="auto"/>
          </w:tcPr>
          <w:p w:rsidR="00D96FD9" w:rsidRPr="000A6B6D" w:rsidRDefault="00D96FD9" w:rsidP="009F0C20">
            <w:pPr>
              <w:widowControl w:val="0"/>
              <w:jc w:val="center"/>
              <w:rPr>
                <w:sz w:val="24"/>
                <w:szCs w:val="24"/>
              </w:rPr>
            </w:pPr>
            <w:r w:rsidRPr="000A6B6D">
              <w:rPr>
                <w:sz w:val="24"/>
                <w:szCs w:val="24"/>
              </w:rPr>
              <w:t>653</w:t>
            </w:r>
          </w:p>
        </w:tc>
        <w:tc>
          <w:tcPr>
            <w:tcW w:w="0" w:type="auto"/>
          </w:tcPr>
          <w:p w:rsidR="00D96FD9" w:rsidRPr="000A6B6D" w:rsidRDefault="00D96FD9" w:rsidP="009F0C20">
            <w:pPr>
              <w:widowControl w:val="0"/>
              <w:jc w:val="center"/>
              <w:rPr>
                <w:sz w:val="24"/>
                <w:szCs w:val="24"/>
              </w:rPr>
            </w:pPr>
            <w:r w:rsidRPr="000A6B6D">
              <w:rPr>
                <w:sz w:val="24"/>
                <w:szCs w:val="24"/>
              </w:rPr>
              <w:t>17,71</w:t>
            </w:r>
          </w:p>
        </w:tc>
        <w:tc>
          <w:tcPr>
            <w:tcW w:w="0" w:type="auto"/>
          </w:tcPr>
          <w:p w:rsidR="00D96FD9" w:rsidRPr="000A6B6D" w:rsidRDefault="00D96FD9" w:rsidP="009F0C20">
            <w:pPr>
              <w:widowControl w:val="0"/>
              <w:jc w:val="center"/>
              <w:rPr>
                <w:sz w:val="24"/>
                <w:szCs w:val="24"/>
              </w:rPr>
            </w:pPr>
            <w:r w:rsidRPr="000A6B6D">
              <w:rPr>
                <w:sz w:val="24"/>
                <w:szCs w:val="24"/>
              </w:rPr>
              <w:t>587</w:t>
            </w:r>
          </w:p>
        </w:tc>
        <w:tc>
          <w:tcPr>
            <w:tcW w:w="0" w:type="auto"/>
            <w:shd w:val="clear" w:color="auto" w:fill="auto"/>
          </w:tcPr>
          <w:p w:rsidR="00D96FD9" w:rsidRPr="000A6B6D" w:rsidRDefault="00D96FD9" w:rsidP="009F0C20">
            <w:pPr>
              <w:widowControl w:val="0"/>
              <w:jc w:val="center"/>
              <w:rPr>
                <w:sz w:val="24"/>
                <w:szCs w:val="24"/>
              </w:rPr>
            </w:pPr>
            <w:r w:rsidRPr="000A6B6D">
              <w:rPr>
                <w:sz w:val="24"/>
                <w:szCs w:val="24"/>
              </w:rPr>
              <w:t>17,2</w:t>
            </w:r>
          </w:p>
        </w:tc>
      </w:tr>
      <w:tr w:rsidR="00D96FD9" w:rsidRPr="000A6B6D" w:rsidTr="004F31D7">
        <w:trPr>
          <w:trHeight w:val="345"/>
          <w:jc w:val="center"/>
        </w:trPr>
        <w:tc>
          <w:tcPr>
            <w:tcW w:w="0" w:type="auto"/>
          </w:tcPr>
          <w:p w:rsidR="00D96FD9" w:rsidRPr="000A6B6D" w:rsidRDefault="00D96FD9" w:rsidP="009F0C20">
            <w:pPr>
              <w:widowControl w:val="0"/>
              <w:rPr>
                <w:rFonts w:eastAsia="Times New Roman"/>
                <w:bCs/>
                <w:sz w:val="24"/>
                <w:szCs w:val="24"/>
                <w:lang w:eastAsia="ru-RU"/>
              </w:rPr>
            </w:pPr>
            <w:r w:rsidRPr="000A6B6D">
              <w:rPr>
                <w:rFonts w:eastAsia="Times New Roman"/>
                <w:bCs/>
                <w:sz w:val="24"/>
                <w:szCs w:val="24"/>
                <w:lang w:eastAsia="ru-RU"/>
              </w:rPr>
              <w:t>Клас ХVIII. Симптоми, ознаки і відхилення від норми, що виявлені при лабораторних та клінічних дослідженнях, не класифіковані в інших рубриках</w:t>
            </w:r>
          </w:p>
        </w:tc>
        <w:tc>
          <w:tcPr>
            <w:tcW w:w="0" w:type="auto"/>
          </w:tcPr>
          <w:p w:rsidR="00D96FD9" w:rsidRPr="000A6B6D" w:rsidRDefault="00D96FD9" w:rsidP="009F0C20">
            <w:pPr>
              <w:widowControl w:val="0"/>
              <w:jc w:val="center"/>
              <w:rPr>
                <w:sz w:val="24"/>
                <w:szCs w:val="24"/>
              </w:rPr>
            </w:pPr>
            <w:r w:rsidRPr="000A6B6D">
              <w:rPr>
                <w:sz w:val="24"/>
                <w:szCs w:val="24"/>
              </w:rPr>
              <w:t>137</w:t>
            </w:r>
          </w:p>
        </w:tc>
        <w:tc>
          <w:tcPr>
            <w:tcW w:w="0" w:type="auto"/>
          </w:tcPr>
          <w:p w:rsidR="00D96FD9" w:rsidRPr="000A6B6D" w:rsidRDefault="00D96FD9" w:rsidP="009F0C20">
            <w:pPr>
              <w:widowControl w:val="0"/>
              <w:jc w:val="center"/>
              <w:rPr>
                <w:sz w:val="24"/>
                <w:szCs w:val="24"/>
              </w:rPr>
            </w:pPr>
            <w:r w:rsidRPr="000A6B6D">
              <w:rPr>
                <w:sz w:val="24"/>
                <w:szCs w:val="24"/>
              </w:rPr>
              <w:t>2,92</w:t>
            </w:r>
          </w:p>
        </w:tc>
        <w:tc>
          <w:tcPr>
            <w:tcW w:w="0" w:type="auto"/>
          </w:tcPr>
          <w:p w:rsidR="00D96FD9" w:rsidRPr="000A6B6D" w:rsidRDefault="00D96FD9" w:rsidP="009F0C20">
            <w:pPr>
              <w:widowControl w:val="0"/>
              <w:jc w:val="center"/>
              <w:rPr>
                <w:sz w:val="24"/>
                <w:szCs w:val="24"/>
              </w:rPr>
            </w:pPr>
            <w:r w:rsidRPr="000A6B6D">
              <w:rPr>
                <w:sz w:val="24"/>
                <w:szCs w:val="24"/>
              </w:rPr>
              <w:t>99</w:t>
            </w:r>
          </w:p>
        </w:tc>
        <w:tc>
          <w:tcPr>
            <w:tcW w:w="0" w:type="auto"/>
          </w:tcPr>
          <w:p w:rsidR="00D96FD9" w:rsidRPr="000A6B6D" w:rsidRDefault="00D96FD9" w:rsidP="009F0C20">
            <w:pPr>
              <w:widowControl w:val="0"/>
              <w:jc w:val="center"/>
              <w:rPr>
                <w:sz w:val="24"/>
                <w:szCs w:val="24"/>
              </w:rPr>
            </w:pPr>
            <w:r w:rsidRPr="000A6B6D">
              <w:rPr>
                <w:sz w:val="24"/>
                <w:szCs w:val="24"/>
              </w:rPr>
              <w:t>2,3</w:t>
            </w:r>
          </w:p>
        </w:tc>
        <w:tc>
          <w:tcPr>
            <w:tcW w:w="0" w:type="auto"/>
          </w:tcPr>
          <w:p w:rsidR="00D96FD9" w:rsidRPr="000A6B6D" w:rsidRDefault="00D96FD9" w:rsidP="009F0C20">
            <w:pPr>
              <w:widowControl w:val="0"/>
              <w:jc w:val="center"/>
              <w:rPr>
                <w:sz w:val="24"/>
                <w:szCs w:val="24"/>
              </w:rPr>
            </w:pPr>
            <w:r w:rsidRPr="000A6B6D">
              <w:rPr>
                <w:sz w:val="24"/>
                <w:szCs w:val="24"/>
              </w:rPr>
              <w:t>72</w:t>
            </w:r>
          </w:p>
        </w:tc>
        <w:tc>
          <w:tcPr>
            <w:tcW w:w="0" w:type="auto"/>
          </w:tcPr>
          <w:p w:rsidR="00D96FD9" w:rsidRPr="000A6B6D" w:rsidRDefault="00D96FD9" w:rsidP="009F0C20">
            <w:pPr>
              <w:widowControl w:val="0"/>
              <w:jc w:val="center"/>
              <w:rPr>
                <w:sz w:val="24"/>
                <w:szCs w:val="24"/>
              </w:rPr>
            </w:pPr>
            <w:r w:rsidRPr="000A6B6D">
              <w:rPr>
                <w:sz w:val="24"/>
                <w:szCs w:val="24"/>
              </w:rPr>
              <w:t>1,79</w:t>
            </w:r>
          </w:p>
        </w:tc>
        <w:tc>
          <w:tcPr>
            <w:tcW w:w="0" w:type="auto"/>
          </w:tcPr>
          <w:p w:rsidR="00D96FD9" w:rsidRPr="000A6B6D" w:rsidRDefault="00D96FD9" w:rsidP="009F0C20">
            <w:pPr>
              <w:widowControl w:val="0"/>
              <w:jc w:val="center"/>
              <w:rPr>
                <w:sz w:val="24"/>
                <w:szCs w:val="24"/>
              </w:rPr>
            </w:pPr>
            <w:r w:rsidRPr="000A6B6D">
              <w:rPr>
                <w:sz w:val="24"/>
                <w:szCs w:val="24"/>
              </w:rPr>
              <w:t>80</w:t>
            </w:r>
          </w:p>
        </w:tc>
        <w:tc>
          <w:tcPr>
            <w:tcW w:w="0" w:type="auto"/>
          </w:tcPr>
          <w:p w:rsidR="00D96FD9" w:rsidRPr="000A6B6D" w:rsidRDefault="00D96FD9" w:rsidP="009F0C20">
            <w:pPr>
              <w:widowControl w:val="0"/>
              <w:jc w:val="center"/>
              <w:rPr>
                <w:sz w:val="24"/>
                <w:szCs w:val="24"/>
              </w:rPr>
            </w:pPr>
            <w:r w:rsidRPr="000A6B6D">
              <w:rPr>
                <w:sz w:val="24"/>
                <w:szCs w:val="24"/>
              </w:rPr>
              <w:t>2,14</w:t>
            </w:r>
          </w:p>
        </w:tc>
        <w:tc>
          <w:tcPr>
            <w:tcW w:w="0" w:type="auto"/>
          </w:tcPr>
          <w:p w:rsidR="00D96FD9" w:rsidRPr="000A6B6D" w:rsidRDefault="00D96FD9" w:rsidP="009F0C20">
            <w:pPr>
              <w:widowControl w:val="0"/>
              <w:jc w:val="center"/>
              <w:rPr>
                <w:sz w:val="24"/>
                <w:szCs w:val="24"/>
              </w:rPr>
            </w:pPr>
            <w:r w:rsidRPr="000A6B6D">
              <w:rPr>
                <w:sz w:val="24"/>
                <w:szCs w:val="24"/>
              </w:rPr>
              <w:t>70</w:t>
            </w:r>
          </w:p>
        </w:tc>
        <w:tc>
          <w:tcPr>
            <w:tcW w:w="0" w:type="auto"/>
            <w:shd w:val="clear" w:color="auto" w:fill="auto"/>
          </w:tcPr>
          <w:p w:rsidR="00D96FD9" w:rsidRPr="000A6B6D" w:rsidRDefault="00D96FD9" w:rsidP="009F0C20">
            <w:pPr>
              <w:widowControl w:val="0"/>
              <w:jc w:val="center"/>
              <w:rPr>
                <w:sz w:val="24"/>
                <w:szCs w:val="24"/>
              </w:rPr>
            </w:pPr>
            <w:r w:rsidRPr="000A6B6D">
              <w:rPr>
                <w:sz w:val="24"/>
                <w:szCs w:val="24"/>
              </w:rPr>
              <w:t>2,0</w:t>
            </w:r>
          </w:p>
        </w:tc>
      </w:tr>
      <w:tr w:rsidR="00D96FD9" w:rsidRPr="000A6B6D" w:rsidTr="004F31D7">
        <w:trPr>
          <w:trHeight w:val="225"/>
          <w:jc w:val="center"/>
        </w:trPr>
        <w:tc>
          <w:tcPr>
            <w:tcW w:w="0" w:type="auto"/>
          </w:tcPr>
          <w:p w:rsidR="00D96FD9" w:rsidRPr="000A6B6D" w:rsidRDefault="00D96FD9" w:rsidP="009F0C20">
            <w:pPr>
              <w:widowControl w:val="0"/>
              <w:rPr>
                <w:rFonts w:eastAsia="Times New Roman"/>
                <w:bCs/>
                <w:sz w:val="24"/>
                <w:szCs w:val="24"/>
                <w:lang w:eastAsia="ru-RU"/>
              </w:rPr>
            </w:pPr>
            <w:r w:rsidRPr="000A6B6D">
              <w:rPr>
                <w:rFonts w:eastAsia="Times New Roman"/>
                <w:bCs/>
                <w:sz w:val="24"/>
                <w:szCs w:val="24"/>
                <w:lang w:eastAsia="ru-RU"/>
              </w:rPr>
              <w:t>Клас ХХ. Зовнішні причини захворюваності та смертності</w:t>
            </w:r>
          </w:p>
        </w:tc>
        <w:tc>
          <w:tcPr>
            <w:tcW w:w="0" w:type="auto"/>
          </w:tcPr>
          <w:p w:rsidR="00D96FD9" w:rsidRPr="000A6B6D" w:rsidRDefault="00D96FD9" w:rsidP="009F0C20">
            <w:pPr>
              <w:widowControl w:val="0"/>
              <w:jc w:val="center"/>
              <w:rPr>
                <w:sz w:val="24"/>
                <w:szCs w:val="24"/>
              </w:rPr>
            </w:pPr>
            <w:r w:rsidRPr="000A6B6D">
              <w:rPr>
                <w:sz w:val="24"/>
                <w:szCs w:val="24"/>
              </w:rPr>
              <w:t>220</w:t>
            </w:r>
          </w:p>
        </w:tc>
        <w:tc>
          <w:tcPr>
            <w:tcW w:w="0" w:type="auto"/>
          </w:tcPr>
          <w:p w:rsidR="00D96FD9" w:rsidRPr="000A6B6D" w:rsidRDefault="00D96FD9" w:rsidP="009F0C20">
            <w:pPr>
              <w:widowControl w:val="0"/>
              <w:jc w:val="center"/>
              <w:rPr>
                <w:sz w:val="24"/>
                <w:szCs w:val="24"/>
              </w:rPr>
            </w:pPr>
            <w:r w:rsidRPr="000A6B6D">
              <w:rPr>
                <w:sz w:val="24"/>
                <w:szCs w:val="24"/>
              </w:rPr>
              <w:t>4,69</w:t>
            </w:r>
          </w:p>
        </w:tc>
        <w:tc>
          <w:tcPr>
            <w:tcW w:w="0" w:type="auto"/>
          </w:tcPr>
          <w:p w:rsidR="00D96FD9" w:rsidRPr="000A6B6D" w:rsidRDefault="00D96FD9" w:rsidP="009F0C20">
            <w:pPr>
              <w:widowControl w:val="0"/>
              <w:jc w:val="center"/>
              <w:rPr>
                <w:sz w:val="24"/>
                <w:szCs w:val="24"/>
              </w:rPr>
            </w:pPr>
            <w:r w:rsidRPr="000A6B6D">
              <w:rPr>
                <w:sz w:val="24"/>
                <w:szCs w:val="24"/>
              </w:rPr>
              <w:t>191</w:t>
            </w:r>
          </w:p>
        </w:tc>
        <w:tc>
          <w:tcPr>
            <w:tcW w:w="0" w:type="auto"/>
          </w:tcPr>
          <w:p w:rsidR="00D96FD9" w:rsidRPr="000A6B6D" w:rsidRDefault="00D96FD9" w:rsidP="009F0C20">
            <w:pPr>
              <w:widowControl w:val="0"/>
              <w:jc w:val="center"/>
              <w:rPr>
                <w:sz w:val="24"/>
                <w:szCs w:val="24"/>
              </w:rPr>
            </w:pPr>
            <w:r w:rsidRPr="000A6B6D">
              <w:rPr>
                <w:sz w:val="24"/>
                <w:szCs w:val="24"/>
              </w:rPr>
              <w:t>4,45</w:t>
            </w:r>
          </w:p>
        </w:tc>
        <w:tc>
          <w:tcPr>
            <w:tcW w:w="0" w:type="auto"/>
          </w:tcPr>
          <w:p w:rsidR="00D96FD9" w:rsidRPr="000A6B6D" w:rsidRDefault="00D96FD9" w:rsidP="009F0C20">
            <w:pPr>
              <w:widowControl w:val="0"/>
              <w:jc w:val="center"/>
              <w:rPr>
                <w:sz w:val="24"/>
                <w:szCs w:val="24"/>
              </w:rPr>
            </w:pPr>
            <w:r w:rsidRPr="000A6B6D">
              <w:rPr>
                <w:sz w:val="24"/>
                <w:szCs w:val="24"/>
              </w:rPr>
              <w:t>164</w:t>
            </w:r>
          </w:p>
        </w:tc>
        <w:tc>
          <w:tcPr>
            <w:tcW w:w="0" w:type="auto"/>
          </w:tcPr>
          <w:p w:rsidR="00D96FD9" w:rsidRPr="000A6B6D" w:rsidRDefault="00D96FD9" w:rsidP="009F0C20">
            <w:pPr>
              <w:widowControl w:val="0"/>
              <w:jc w:val="center"/>
              <w:rPr>
                <w:sz w:val="24"/>
                <w:szCs w:val="24"/>
              </w:rPr>
            </w:pPr>
            <w:r w:rsidRPr="000A6B6D">
              <w:rPr>
                <w:sz w:val="24"/>
                <w:szCs w:val="24"/>
              </w:rPr>
              <w:t>4,08</w:t>
            </w:r>
          </w:p>
        </w:tc>
        <w:tc>
          <w:tcPr>
            <w:tcW w:w="0" w:type="auto"/>
          </w:tcPr>
          <w:p w:rsidR="00D96FD9" w:rsidRPr="000A6B6D" w:rsidRDefault="00D96FD9" w:rsidP="009F0C20">
            <w:pPr>
              <w:widowControl w:val="0"/>
              <w:jc w:val="center"/>
              <w:rPr>
                <w:sz w:val="24"/>
                <w:szCs w:val="24"/>
              </w:rPr>
            </w:pPr>
            <w:r w:rsidRPr="000A6B6D">
              <w:rPr>
                <w:sz w:val="24"/>
                <w:szCs w:val="24"/>
              </w:rPr>
              <w:t>140</w:t>
            </w:r>
          </w:p>
        </w:tc>
        <w:tc>
          <w:tcPr>
            <w:tcW w:w="0" w:type="auto"/>
          </w:tcPr>
          <w:p w:rsidR="00D96FD9" w:rsidRPr="000A6B6D" w:rsidRDefault="00D96FD9" w:rsidP="009F0C20">
            <w:pPr>
              <w:widowControl w:val="0"/>
              <w:jc w:val="center"/>
              <w:rPr>
                <w:sz w:val="24"/>
                <w:szCs w:val="24"/>
              </w:rPr>
            </w:pPr>
            <w:r w:rsidRPr="000A6B6D">
              <w:rPr>
                <w:sz w:val="24"/>
                <w:szCs w:val="24"/>
              </w:rPr>
              <w:t>3,73</w:t>
            </w:r>
          </w:p>
        </w:tc>
        <w:tc>
          <w:tcPr>
            <w:tcW w:w="0" w:type="auto"/>
          </w:tcPr>
          <w:p w:rsidR="00D96FD9" w:rsidRPr="000A6B6D" w:rsidRDefault="00D96FD9" w:rsidP="009F0C20">
            <w:pPr>
              <w:widowControl w:val="0"/>
              <w:jc w:val="center"/>
              <w:rPr>
                <w:sz w:val="24"/>
                <w:szCs w:val="24"/>
              </w:rPr>
            </w:pPr>
            <w:r w:rsidRPr="000A6B6D">
              <w:rPr>
                <w:sz w:val="24"/>
                <w:szCs w:val="24"/>
              </w:rPr>
              <w:t>116</w:t>
            </w:r>
          </w:p>
        </w:tc>
        <w:tc>
          <w:tcPr>
            <w:tcW w:w="0" w:type="auto"/>
            <w:shd w:val="clear" w:color="auto" w:fill="auto"/>
          </w:tcPr>
          <w:p w:rsidR="00D96FD9" w:rsidRPr="000A6B6D" w:rsidRDefault="00D96FD9" w:rsidP="009F0C20">
            <w:pPr>
              <w:widowControl w:val="0"/>
              <w:jc w:val="center"/>
              <w:rPr>
                <w:sz w:val="24"/>
                <w:szCs w:val="24"/>
              </w:rPr>
            </w:pPr>
            <w:r w:rsidRPr="000A6B6D">
              <w:rPr>
                <w:sz w:val="24"/>
                <w:szCs w:val="24"/>
              </w:rPr>
              <w:t>3,3</w:t>
            </w:r>
          </w:p>
        </w:tc>
      </w:tr>
    </w:tbl>
    <w:p w:rsidR="00D96FD9" w:rsidRPr="00006A39" w:rsidRDefault="00D96FD9" w:rsidP="00721203">
      <w:pPr>
        <w:widowControl w:val="0"/>
        <w:ind w:firstLine="708"/>
        <w:sectPr w:rsidR="00D96FD9" w:rsidRPr="00006A39" w:rsidSect="00E242B0">
          <w:pgSz w:w="16838" w:h="11906" w:orient="landscape"/>
          <w:pgMar w:top="1134" w:right="567" w:bottom="1134" w:left="1134" w:header="708" w:footer="708" w:gutter="0"/>
          <w:cols w:space="708"/>
          <w:docGrid w:linePitch="360"/>
        </w:sectPr>
      </w:pPr>
    </w:p>
    <w:p w:rsidR="00154F8F" w:rsidRPr="00E36756" w:rsidRDefault="00154F8F" w:rsidP="00002F19">
      <w:pPr>
        <w:widowControl w:val="0"/>
        <w:tabs>
          <w:tab w:val="left" w:pos="642"/>
        </w:tabs>
        <w:ind w:firstLine="709"/>
        <w:rPr>
          <w:color w:val="000000" w:themeColor="text1"/>
          <w:szCs w:val="28"/>
        </w:rPr>
      </w:pPr>
      <w:r w:rsidRPr="00154F8F">
        <w:rPr>
          <w:color w:val="000000" w:themeColor="text1"/>
          <w:szCs w:val="28"/>
        </w:rPr>
        <w:lastRenderedPageBreak/>
        <w:t>Також, при аналізі малюкової смертності за статтю, встановлено, що провідною причиною смерті у хлопчиків у віці до 1-го року життя, як і у дівчаток є окремі стани, що виникають у перинатальному періоді, при тому, що рівень показника у хлопчиків вищий на 23,3%  ніж у дівчаток  (Клас ХVI, хлочики - 47,85 на 10 тис. народжених живими, дівчатка – 36,71 відповідно). Другою провідною причиною малюкової смертності за статтю  виступають природжені вади розвитку, деформації та хромосомні аномалії (Клас ХVII), частота яких протягом періоду дослідження серед хлопчиків вища ніж серед дівчаток на 16,6% (хлопчики – 19,3 на 10 тис. на</w:t>
      </w:r>
      <w:r w:rsidR="001E49DD">
        <w:rPr>
          <w:color w:val="000000" w:themeColor="text1"/>
          <w:szCs w:val="28"/>
        </w:rPr>
        <w:t>роджених живими, дівчатка – 16,</w:t>
      </w:r>
      <w:r w:rsidRPr="00154F8F">
        <w:rPr>
          <w:color w:val="000000" w:themeColor="text1"/>
          <w:szCs w:val="28"/>
        </w:rPr>
        <w:t>02 відповідно), і третя по частоті причина малюкової смертності – зовнішні причини захворюваності та смертності (Клас ХХ), рівень смертності від яких у хлопчиків також вищий за аналогічний серед дічаток на 32,7% (хлопчики – 4,43 на 10 тис. народжених живими, дівчатка – 2,98 відповідно) (</w:t>
      </w:r>
      <w:r w:rsidR="00F37003" w:rsidRPr="00330C5F">
        <w:rPr>
          <w:szCs w:val="28"/>
        </w:rPr>
        <w:t>Додаток Б</w:t>
      </w:r>
      <w:r w:rsidRPr="00330C5F">
        <w:rPr>
          <w:szCs w:val="28"/>
        </w:rPr>
        <w:t>-7).</w:t>
      </w:r>
    </w:p>
    <w:p w:rsidR="00D96FD9" w:rsidRPr="00D7097A" w:rsidRDefault="00D96FD9" w:rsidP="008B4FC6">
      <w:pPr>
        <w:widowControl w:val="0"/>
        <w:tabs>
          <w:tab w:val="left" w:pos="642"/>
        </w:tabs>
        <w:ind w:firstLine="709"/>
        <w:rPr>
          <w:szCs w:val="28"/>
        </w:rPr>
      </w:pPr>
      <w:r w:rsidRPr="00006A39">
        <w:rPr>
          <w:color w:val="000000" w:themeColor="text1"/>
          <w:szCs w:val="28"/>
        </w:rPr>
        <w:t xml:space="preserve">Слід відмітити, що показник малюкової смертності, як і показник смертності </w:t>
      </w:r>
      <w:r w:rsidR="0009113E">
        <w:rPr>
          <w:color w:val="000000" w:themeColor="text1"/>
          <w:szCs w:val="28"/>
        </w:rPr>
        <w:t>дітей</w:t>
      </w:r>
      <w:r w:rsidRPr="00006A39">
        <w:rPr>
          <w:color w:val="000000" w:themeColor="text1"/>
          <w:szCs w:val="28"/>
        </w:rPr>
        <w:t xml:space="preserve"> віком до 5 років, </w:t>
      </w:r>
      <w:r w:rsidR="008B4FC6">
        <w:rPr>
          <w:color w:val="000000" w:themeColor="text1"/>
          <w:szCs w:val="28"/>
        </w:rPr>
        <w:t>залишається</w:t>
      </w:r>
      <w:r w:rsidRPr="00006A39">
        <w:rPr>
          <w:color w:val="000000" w:themeColor="text1"/>
          <w:szCs w:val="28"/>
        </w:rPr>
        <w:t xml:space="preserve"> одним з найвищих на європей</w:t>
      </w:r>
      <w:r w:rsidR="001A05C0">
        <w:rPr>
          <w:color w:val="000000" w:themeColor="text1"/>
          <w:szCs w:val="28"/>
        </w:rPr>
        <w:t xml:space="preserve">ському просторі: у 2019 р. – </w:t>
      </w:r>
      <w:r w:rsidR="001A05C0" w:rsidRPr="001A05C0">
        <w:rPr>
          <w:color w:val="000000" w:themeColor="text1"/>
          <w:szCs w:val="28"/>
        </w:rPr>
        <w:t xml:space="preserve">696,70 </w:t>
      </w:r>
      <w:r w:rsidR="008B4FC6">
        <w:rPr>
          <w:color w:val="000000" w:themeColor="text1"/>
          <w:szCs w:val="28"/>
        </w:rPr>
        <w:t xml:space="preserve">на 100 тис. відповідного населення </w:t>
      </w:r>
      <w:r w:rsidR="001A05C0" w:rsidRPr="001A05C0">
        <w:rPr>
          <w:color w:val="000000" w:themeColor="text1"/>
          <w:szCs w:val="28"/>
        </w:rPr>
        <w:t>(</w:t>
      </w:r>
      <w:r w:rsidR="002709FB">
        <w:rPr>
          <w:color w:val="000000" w:themeColor="text1"/>
          <w:szCs w:val="28"/>
        </w:rPr>
        <w:t xml:space="preserve">95% ДІ </w:t>
      </w:r>
      <w:r w:rsidR="001A05C0" w:rsidRPr="001A05C0">
        <w:rPr>
          <w:color w:val="000000" w:themeColor="text1"/>
          <w:szCs w:val="28"/>
        </w:rPr>
        <w:t>857,57-576,09</w:t>
      </w:r>
      <w:r w:rsidR="001A05C0">
        <w:rPr>
          <w:color w:val="000000" w:themeColor="text1"/>
          <w:szCs w:val="28"/>
        </w:rPr>
        <w:t xml:space="preserve">) </w:t>
      </w:r>
      <w:r w:rsidR="008B4FC6" w:rsidRPr="00B70B29">
        <w:rPr>
          <w:szCs w:val="28"/>
        </w:rPr>
        <w:t>і перевищує</w:t>
      </w:r>
      <w:r w:rsidRPr="00B70B29">
        <w:rPr>
          <w:szCs w:val="28"/>
        </w:rPr>
        <w:t xml:space="preserve"> аналогічний показник Франції</w:t>
      </w:r>
      <w:r w:rsidR="00CA37EA" w:rsidRPr="00B70B29">
        <w:rPr>
          <w:szCs w:val="28"/>
        </w:rPr>
        <w:t xml:space="preserve"> (в 2,3 рази)</w:t>
      </w:r>
      <w:r w:rsidR="00D0541F">
        <w:rPr>
          <w:szCs w:val="28"/>
        </w:rPr>
        <w:t>, Угорщин</w:t>
      </w:r>
      <w:r w:rsidR="00D0541F">
        <w:rPr>
          <w:szCs w:val="28"/>
          <w:lang w:val="ru-RU"/>
        </w:rPr>
        <w:t xml:space="preserve">и </w:t>
      </w:r>
      <w:r w:rsidR="00895FBC" w:rsidRPr="00B70B29">
        <w:rPr>
          <w:szCs w:val="28"/>
        </w:rPr>
        <w:t>(в 2,1 рази)</w:t>
      </w:r>
      <w:r w:rsidR="00D0541F">
        <w:rPr>
          <w:szCs w:val="28"/>
        </w:rPr>
        <w:t xml:space="preserve">, </w:t>
      </w:r>
      <w:r w:rsidRPr="00B70B29">
        <w:rPr>
          <w:szCs w:val="28"/>
        </w:rPr>
        <w:t>Польщі</w:t>
      </w:r>
      <w:r w:rsidR="00895FBC" w:rsidRPr="00B70B29">
        <w:rPr>
          <w:szCs w:val="28"/>
        </w:rPr>
        <w:t xml:space="preserve"> (в 2,1 рази)</w:t>
      </w:r>
      <w:r w:rsidR="00D0541F">
        <w:rPr>
          <w:szCs w:val="28"/>
        </w:rPr>
        <w:t>, Німеччин</w:t>
      </w:r>
      <w:r w:rsidR="00D0541F">
        <w:rPr>
          <w:szCs w:val="28"/>
          <w:lang w:val="ru-RU"/>
        </w:rPr>
        <w:t>и</w:t>
      </w:r>
      <w:r w:rsidR="00895FBC" w:rsidRPr="00B70B29">
        <w:rPr>
          <w:szCs w:val="28"/>
        </w:rPr>
        <w:t xml:space="preserve"> (в 2,6 рази)</w:t>
      </w:r>
      <w:r w:rsidR="00D0541F">
        <w:rPr>
          <w:szCs w:val="28"/>
        </w:rPr>
        <w:t xml:space="preserve">, </w:t>
      </w:r>
      <w:r w:rsidRPr="00B70B29">
        <w:rPr>
          <w:szCs w:val="28"/>
        </w:rPr>
        <w:t xml:space="preserve"> Іспанії</w:t>
      </w:r>
      <w:r w:rsidR="00CA37EA" w:rsidRPr="00B70B29">
        <w:rPr>
          <w:szCs w:val="28"/>
        </w:rPr>
        <w:t xml:space="preserve"> (в 2,8 рази)</w:t>
      </w:r>
      <w:r w:rsidR="00D0541F">
        <w:rPr>
          <w:szCs w:val="28"/>
        </w:rPr>
        <w:t>,  Словаччин</w:t>
      </w:r>
      <w:r w:rsidR="00D0541F">
        <w:rPr>
          <w:szCs w:val="28"/>
          <w:lang w:val="ru-RU"/>
        </w:rPr>
        <w:t xml:space="preserve">и </w:t>
      </w:r>
      <w:r w:rsidR="00895FBC" w:rsidRPr="00B70B29">
        <w:rPr>
          <w:szCs w:val="28"/>
        </w:rPr>
        <w:t>(в 1,6 рази)</w:t>
      </w:r>
      <w:r w:rsidR="00D0541F">
        <w:rPr>
          <w:szCs w:val="28"/>
        </w:rPr>
        <w:t xml:space="preserve"> та </w:t>
      </w:r>
      <w:r w:rsidRPr="00B70B29">
        <w:rPr>
          <w:szCs w:val="28"/>
        </w:rPr>
        <w:t xml:space="preserve"> США</w:t>
      </w:r>
      <w:r w:rsidR="00CA37EA" w:rsidRPr="00B70B29">
        <w:rPr>
          <w:szCs w:val="28"/>
        </w:rPr>
        <w:t xml:space="preserve"> (в 1,2 рази)</w:t>
      </w:r>
      <w:r w:rsidRPr="00B70B29">
        <w:rPr>
          <w:szCs w:val="28"/>
        </w:rPr>
        <w:t xml:space="preserve"> </w:t>
      </w:r>
      <w:r w:rsidR="00E0365D" w:rsidRPr="00B70B29">
        <w:rPr>
          <w:szCs w:val="28"/>
        </w:rPr>
        <w:t>(табл. 3.4</w:t>
      </w:r>
      <w:r w:rsidR="00673FD5">
        <w:rPr>
          <w:szCs w:val="28"/>
        </w:rPr>
        <w:t>).</w:t>
      </w:r>
      <w:r w:rsidR="00367544" w:rsidRPr="00B70B29">
        <w:rPr>
          <w:szCs w:val="28"/>
        </w:rPr>
        <w:t xml:space="preserve"> </w:t>
      </w:r>
      <w:r w:rsidR="001515F0">
        <w:rPr>
          <w:szCs w:val="28"/>
        </w:rPr>
        <w:t>При цьому слід зазначити, що за результатами розрахунків, протягом 2010-2019 рр. спост</w:t>
      </w:r>
      <w:r w:rsidR="00AE4567">
        <w:rPr>
          <w:szCs w:val="28"/>
        </w:rPr>
        <w:t>ерігається незначне коливання</w:t>
      </w:r>
      <w:r w:rsidR="001515F0">
        <w:rPr>
          <w:szCs w:val="28"/>
        </w:rPr>
        <w:t xml:space="preserve"> показника</w:t>
      </w:r>
      <w:r w:rsidR="00072CD2">
        <w:rPr>
          <w:szCs w:val="28"/>
        </w:rPr>
        <w:t xml:space="preserve"> малюкової смертності</w:t>
      </w:r>
      <w:r w:rsidR="00921BF6">
        <w:rPr>
          <w:szCs w:val="28"/>
        </w:rPr>
        <w:t xml:space="preserve"> за всіма причинами</w:t>
      </w:r>
      <w:r w:rsidR="00072CD2">
        <w:rPr>
          <w:szCs w:val="28"/>
        </w:rPr>
        <w:t xml:space="preserve"> </w:t>
      </w:r>
      <w:r w:rsidR="00A97050">
        <w:rPr>
          <w:szCs w:val="28"/>
        </w:rPr>
        <w:t xml:space="preserve">смерті </w:t>
      </w:r>
      <w:r w:rsidR="00072CD2">
        <w:rPr>
          <w:szCs w:val="28"/>
        </w:rPr>
        <w:t>в Україні</w:t>
      </w:r>
      <w:r w:rsidR="00140957">
        <w:rPr>
          <w:szCs w:val="28"/>
        </w:rPr>
        <w:t xml:space="preserve"> </w:t>
      </w:r>
      <w:r w:rsidR="00140957">
        <w:rPr>
          <w:szCs w:val="28"/>
          <w:lang w:val="ru-RU"/>
        </w:rPr>
        <w:t>з</w:t>
      </w:r>
      <w:r w:rsidR="00AE4567">
        <w:rPr>
          <w:szCs w:val="28"/>
        </w:rPr>
        <w:t xml:space="preserve"> тенденцією до зменшення </w:t>
      </w:r>
      <w:r w:rsidR="001515F0">
        <w:rPr>
          <w:szCs w:val="28"/>
        </w:rPr>
        <w:t xml:space="preserve"> </w:t>
      </w:r>
      <w:r w:rsidR="00921BF6">
        <w:rPr>
          <w:szCs w:val="28"/>
        </w:rPr>
        <w:t xml:space="preserve">лише </w:t>
      </w:r>
      <w:r w:rsidR="001515F0">
        <w:rPr>
          <w:szCs w:val="28"/>
        </w:rPr>
        <w:t xml:space="preserve">на </w:t>
      </w:r>
      <w:r w:rsidR="00197273">
        <w:rPr>
          <w:szCs w:val="28"/>
        </w:rPr>
        <w:t>-</w:t>
      </w:r>
      <w:r w:rsidR="001515F0">
        <w:rPr>
          <w:szCs w:val="28"/>
        </w:rPr>
        <w:t xml:space="preserve">0,18 </w:t>
      </w:r>
      <w:r w:rsidR="00CD58D0">
        <w:rPr>
          <w:szCs w:val="28"/>
        </w:rPr>
        <w:t>(</w:t>
      </w:r>
      <w:r w:rsidR="00AE4567">
        <w:rPr>
          <w:szCs w:val="28"/>
        </w:rPr>
        <w:t xml:space="preserve">при цьому </w:t>
      </w:r>
      <w:r w:rsidR="00DF2F81">
        <w:rPr>
          <w:szCs w:val="28"/>
          <w:lang w:val="ru-RU"/>
        </w:rPr>
        <w:t xml:space="preserve">діапазон коливання </w:t>
      </w:r>
      <w:r w:rsidR="001515F0">
        <w:rPr>
          <w:szCs w:val="28"/>
        </w:rPr>
        <w:t>0,01 до</w:t>
      </w:r>
      <w:r w:rsidR="0009113E">
        <w:rPr>
          <w:szCs w:val="28"/>
          <w:lang w:val="ru-RU"/>
        </w:rPr>
        <w:t xml:space="preserve"> </w:t>
      </w:r>
      <w:r w:rsidR="001515F0">
        <w:rPr>
          <w:szCs w:val="28"/>
        </w:rPr>
        <w:t xml:space="preserve"> -0,32) (табл. 3.4).</w:t>
      </w:r>
      <w:r w:rsidR="00367544" w:rsidRPr="00B70B29">
        <w:rPr>
          <w:szCs w:val="28"/>
        </w:rPr>
        <w:t xml:space="preserve"> </w:t>
      </w:r>
    </w:p>
    <w:p w:rsidR="00E36756" w:rsidRPr="00E36756" w:rsidRDefault="00E36756" w:rsidP="008B4FC6">
      <w:pPr>
        <w:widowControl w:val="0"/>
        <w:tabs>
          <w:tab w:val="left" w:pos="642"/>
        </w:tabs>
        <w:ind w:firstLine="709"/>
        <w:rPr>
          <w:szCs w:val="28"/>
        </w:rPr>
      </w:pPr>
      <w:r w:rsidRPr="00CD191E">
        <w:rPr>
          <w:szCs w:val="28"/>
        </w:rPr>
        <w:t>Слід наголосити, що за період  2008-2018 рр. переважна частка дітей із загальної кількості померлих дітей у віці до 1-го року життя (більш ніж 60%) помирає у неонаталь</w:t>
      </w:r>
      <w:r>
        <w:rPr>
          <w:szCs w:val="28"/>
        </w:rPr>
        <w:t>ному періоді, серед яких 42,5-45,0</w:t>
      </w:r>
      <w:r w:rsidRPr="00CD191E">
        <w:rPr>
          <w:szCs w:val="28"/>
        </w:rPr>
        <w:t>% смертей відбуваються</w:t>
      </w:r>
      <w:r w:rsidR="00B05672">
        <w:rPr>
          <w:szCs w:val="28"/>
        </w:rPr>
        <w:t xml:space="preserve"> ранньому неонатальному періоді</w:t>
      </w:r>
      <w:r w:rsidRPr="00CD191E">
        <w:rPr>
          <w:szCs w:val="28"/>
        </w:rPr>
        <w:t xml:space="preserve"> (0-6 днів). Із кожним місяцем життя дитини до року поступово зменшується частота дитячих смертей. Так якщо, до 1-го місяця життя помирає 64,5% дітей до року життя, у віці 1 місяць життя – 10,5%, 2 місяці життя – 6,1%, 3 місяці життя – 3,2% </w:t>
      </w:r>
      <w:r w:rsidR="00526D49">
        <w:rPr>
          <w:szCs w:val="28"/>
        </w:rPr>
        <w:t>тощо (табл.</w:t>
      </w:r>
      <w:r w:rsidRPr="00440654">
        <w:rPr>
          <w:szCs w:val="28"/>
        </w:rPr>
        <w:t xml:space="preserve"> 3.5, </w:t>
      </w:r>
      <w:r w:rsidRPr="00526D49">
        <w:rPr>
          <w:szCs w:val="28"/>
        </w:rPr>
        <w:t>Додаток Б-8).</w:t>
      </w:r>
    </w:p>
    <w:p w:rsidR="00531CCC" w:rsidRDefault="00531CCC" w:rsidP="00AD2890">
      <w:pPr>
        <w:widowControl w:val="0"/>
        <w:tabs>
          <w:tab w:val="left" w:pos="642"/>
        </w:tabs>
        <w:ind w:firstLine="709"/>
        <w:jc w:val="right"/>
        <w:rPr>
          <w:i/>
          <w:szCs w:val="28"/>
          <w:lang w:val="ru-RU"/>
        </w:rPr>
      </w:pPr>
    </w:p>
    <w:p w:rsidR="00AD2890" w:rsidRDefault="00AD2890" w:rsidP="00AD2890">
      <w:pPr>
        <w:widowControl w:val="0"/>
        <w:tabs>
          <w:tab w:val="left" w:pos="642"/>
        </w:tabs>
        <w:ind w:firstLine="709"/>
        <w:jc w:val="right"/>
        <w:rPr>
          <w:i/>
          <w:szCs w:val="28"/>
          <w:lang w:val="ru-RU"/>
        </w:rPr>
      </w:pPr>
      <w:r w:rsidRPr="00AD2890">
        <w:rPr>
          <w:i/>
          <w:szCs w:val="28"/>
          <w:lang w:val="ru-RU"/>
        </w:rPr>
        <w:lastRenderedPageBreak/>
        <w:t>Таблиця 3.4</w:t>
      </w:r>
    </w:p>
    <w:p w:rsidR="00AD2890" w:rsidRPr="00AD2890" w:rsidRDefault="00AD2890" w:rsidP="00AD2890">
      <w:pPr>
        <w:widowControl w:val="0"/>
        <w:tabs>
          <w:tab w:val="left" w:pos="642"/>
        </w:tabs>
        <w:ind w:firstLine="709"/>
        <w:jc w:val="center"/>
        <w:rPr>
          <w:b/>
          <w:i/>
          <w:szCs w:val="28"/>
          <w:lang w:val="ru-RU"/>
        </w:rPr>
      </w:pPr>
      <w:r w:rsidRPr="00AD2890">
        <w:rPr>
          <w:b/>
          <w:szCs w:val="28"/>
        </w:rPr>
        <w:t xml:space="preserve">Динаміка рівня смертності дітей до 1-го року життя у деяких країнах світу та Україні </w:t>
      </w:r>
      <w:r w:rsidR="0059620C">
        <w:rPr>
          <w:b/>
          <w:szCs w:val="28"/>
        </w:rPr>
        <w:t>за всіма причинами смерті  (2009-2019</w:t>
      </w:r>
      <w:r w:rsidRPr="00AD2890">
        <w:rPr>
          <w:b/>
          <w:szCs w:val="28"/>
        </w:rPr>
        <w:t xml:space="preserve"> рр.</w:t>
      </w:r>
      <w:r w:rsidR="008E5894">
        <w:rPr>
          <w:b/>
          <w:szCs w:val="28"/>
        </w:rPr>
        <w:t>, на 100 тис. осіб</w:t>
      </w:r>
      <w:r w:rsidRPr="00AD2890">
        <w:rPr>
          <w:b/>
          <w:szCs w:val="28"/>
        </w:rPr>
        <w:t>)</w:t>
      </w:r>
    </w:p>
    <w:tbl>
      <w:tblPr>
        <w:tblStyle w:val="502"/>
        <w:tblW w:w="0" w:type="auto"/>
        <w:jc w:val="center"/>
        <w:tblLook w:val="04A0" w:firstRow="1" w:lastRow="0" w:firstColumn="1" w:lastColumn="0" w:noHBand="0" w:noVBand="1"/>
      </w:tblPr>
      <w:tblGrid>
        <w:gridCol w:w="696"/>
        <w:gridCol w:w="1030"/>
        <w:gridCol w:w="1441"/>
        <w:gridCol w:w="1273"/>
        <w:gridCol w:w="1320"/>
        <w:gridCol w:w="1067"/>
        <w:gridCol w:w="943"/>
        <w:gridCol w:w="876"/>
        <w:gridCol w:w="1031"/>
      </w:tblGrid>
      <w:tr w:rsidR="00D12CFB" w:rsidRPr="00D12CFB" w:rsidTr="00D12CFB">
        <w:trPr>
          <w:jc w:val="center"/>
        </w:trPr>
        <w:tc>
          <w:tcPr>
            <w:tcW w:w="0" w:type="auto"/>
          </w:tcPr>
          <w:p w:rsidR="00D12CFB" w:rsidRPr="00D12CFB" w:rsidRDefault="00D12CFB" w:rsidP="008B4FC6">
            <w:pPr>
              <w:widowControl w:val="0"/>
              <w:contextualSpacing/>
              <w:jc w:val="center"/>
              <w:rPr>
                <w:rFonts w:ascii="Times New Roman" w:hAnsi="Times New Roman"/>
                <w:sz w:val="24"/>
                <w:szCs w:val="24"/>
                <w:lang w:val="uk-UA"/>
              </w:rPr>
            </w:pPr>
            <w:r w:rsidRPr="00D12CFB">
              <w:rPr>
                <w:rFonts w:ascii="Times New Roman" w:hAnsi="Times New Roman"/>
                <w:sz w:val="24"/>
                <w:szCs w:val="24"/>
                <w:lang w:val="uk-UA"/>
              </w:rPr>
              <w:t>Рік</w:t>
            </w:r>
          </w:p>
        </w:tc>
        <w:tc>
          <w:tcPr>
            <w:tcW w:w="0" w:type="auto"/>
          </w:tcPr>
          <w:p w:rsidR="00D12CFB" w:rsidRPr="00D12CFB" w:rsidRDefault="00D12CFB" w:rsidP="008B4FC6">
            <w:pPr>
              <w:widowControl w:val="0"/>
              <w:contextualSpacing/>
              <w:jc w:val="center"/>
              <w:rPr>
                <w:rFonts w:ascii="Times New Roman" w:hAnsi="Times New Roman"/>
                <w:sz w:val="24"/>
                <w:szCs w:val="24"/>
                <w:lang w:val="uk-UA"/>
              </w:rPr>
            </w:pPr>
            <w:r w:rsidRPr="00D12CFB">
              <w:rPr>
                <w:rFonts w:ascii="Times New Roman" w:hAnsi="Times New Roman"/>
                <w:sz w:val="24"/>
                <w:szCs w:val="24"/>
                <w:lang w:val="uk-UA"/>
              </w:rPr>
              <w:t>Польща</w:t>
            </w:r>
          </w:p>
        </w:tc>
        <w:tc>
          <w:tcPr>
            <w:tcW w:w="0" w:type="auto"/>
          </w:tcPr>
          <w:p w:rsidR="00D12CFB" w:rsidRPr="00D12CFB" w:rsidRDefault="00D12CFB" w:rsidP="008B4FC6">
            <w:pPr>
              <w:widowControl w:val="0"/>
              <w:contextualSpacing/>
              <w:rPr>
                <w:rFonts w:ascii="Times New Roman" w:hAnsi="Times New Roman"/>
                <w:sz w:val="24"/>
                <w:szCs w:val="24"/>
                <w:lang w:val="uk-UA"/>
              </w:rPr>
            </w:pPr>
            <w:r w:rsidRPr="00D12CFB">
              <w:rPr>
                <w:rFonts w:ascii="Times New Roman" w:hAnsi="Times New Roman"/>
                <w:sz w:val="24"/>
                <w:szCs w:val="24"/>
                <w:lang w:val="uk-UA"/>
              </w:rPr>
              <w:t>Словаччина</w:t>
            </w:r>
          </w:p>
        </w:tc>
        <w:tc>
          <w:tcPr>
            <w:tcW w:w="0" w:type="auto"/>
          </w:tcPr>
          <w:p w:rsidR="00D12CFB" w:rsidRPr="00D12CFB" w:rsidRDefault="00D12CFB" w:rsidP="008B4FC6">
            <w:pPr>
              <w:widowControl w:val="0"/>
              <w:contextualSpacing/>
              <w:rPr>
                <w:rFonts w:ascii="Times New Roman" w:hAnsi="Times New Roman"/>
                <w:sz w:val="24"/>
                <w:szCs w:val="24"/>
                <w:lang w:val="uk-UA"/>
              </w:rPr>
            </w:pPr>
            <w:r w:rsidRPr="00D12CFB">
              <w:rPr>
                <w:rFonts w:ascii="Times New Roman" w:hAnsi="Times New Roman"/>
                <w:sz w:val="24"/>
                <w:szCs w:val="24"/>
                <w:lang w:val="uk-UA"/>
              </w:rPr>
              <w:t>Угорщина</w:t>
            </w:r>
          </w:p>
        </w:tc>
        <w:tc>
          <w:tcPr>
            <w:tcW w:w="0" w:type="auto"/>
          </w:tcPr>
          <w:p w:rsidR="00D12CFB" w:rsidRPr="00D12CFB" w:rsidRDefault="00D12CFB" w:rsidP="008B4FC6">
            <w:pPr>
              <w:widowControl w:val="0"/>
              <w:contextualSpacing/>
              <w:jc w:val="center"/>
              <w:rPr>
                <w:rFonts w:ascii="Times New Roman" w:hAnsi="Times New Roman"/>
                <w:sz w:val="24"/>
                <w:szCs w:val="24"/>
                <w:lang w:val="uk-UA"/>
              </w:rPr>
            </w:pPr>
            <w:r w:rsidRPr="00D12CFB">
              <w:rPr>
                <w:rFonts w:ascii="Times New Roman" w:hAnsi="Times New Roman"/>
                <w:sz w:val="24"/>
                <w:szCs w:val="24"/>
                <w:lang w:val="uk-UA"/>
              </w:rPr>
              <w:t>Німеччина</w:t>
            </w:r>
          </w:p>
        </w:tc>
        <w:tc>
          <w:tcPr>
            <w:tcW w:w="0" w:type="auto"/>
          </w:tcPr>
          <w:p w:rsidR="00D12CFB" w:rsidRPr="00D12CFB" w:rsidRDefault="00D12CFB" w:rsidP="008B4FC6">
            <w:pPr>
              <w:widowControl w:val="0"/>
              <w:contextualSpacing/>
              <w:jc w:val="center"/>
              <w:rPr>
                <w:rFonts w:ascii="Times New Roman" w:hAnsi="Times New Roman"/>
                <w:sz w:val="24"/>
                <w:szCs w:val="24"/>
                <w:lang w:val="uk-UA"/>
              </w:rPr>
            </w:pPr>
            <w:r w:rsidRPr="00D12CFB">
              <w:rPr>
                <w:rFonts w:ascii="Times New Roman" w:hAnsi="Times New Roman"/>
                <w:sz w:val="24"/>
                <w:szCs w:val="24"/>
                <w:lang w:val="uk-UA"/>
              </w:rPr>
              <w:t>Франція</w:t>
            </w:r>
          </w:p>
        </w:tc>
        <w:tc>
          <w:tcPr>
            <w:tcW w:w="0" w:type="auto"/>
          </w:tcPr>
          <w:p w:rsidR="00D12CFB" w:rsidRPr="00D12CFB" w:rsidRDefault="00D12CFB" w:rsidP="008B4FC6">
            <w:pPr>
              <w:widowControl w:val="0"/>
              <w:contextualSpacing/>
              <w:jc w:val="center"/>
              <w:rPr>
                <w:rFonts w:ascii="Times New Roman" w:hAnsi="Times New Roman"/>
                <w:sz w:val="24"/>
                <w:szCs w:val="24"/>
                <w:lang w:val="uk-UA"/>
              </w:rPr>
            </w:pPr>
            <w:r w:rsidRPr="00D12CFB">
              <w:rPr>
                <w:rFonts w:ascii="Times New Roman" w:hAnsi="Times New Roman"/>
                <w:sz w:val="24"/>
                <w:szCs w:val="24"/>
                <w:lang w:val="uk-UA"/>
              </w:rPr>
              <w:t>Іспанія</w:t>
            </w:r>
          </w:p>
        </w:tc>
        <w:tc>
          <w:tcPr>
            <w:tcW w:w="0" w:type="auto"/>
          </w:tcPr>
          <w:p w:rsidR="00D12CFB" w:rsidRPr="00D12CFB" w:rsidRDefault="00D12CFB" w:rsidP="008B4FC6">
            <w:pPr>
              <w:widowControl w:val="0"/>
              <w:contextualSpacing/>
              <w:jc w:val="center"/>
              <w:rPr>
                <w:rFonts w:ascii="Times New Roman" w:hAnsi="Times New Roman"/>
                <w:sz w:val="24"/>
                <w:szCs w:val="24"/>
                <w:lang w:val="uk-UA"/>
              </w:rPr>
            </w:pPr>
            <w:r w:rsidRPr="00D12CFB">
              <w:rPr>
                <w:rFonts w:ascii="Times New Roman" w:hAnsi="Times New Roman"/>
                <w:sz w:val="24"/>
                <w:szCs w:val="24"/>
                <w:lang w:val="uk-UA"/>
              </w:rPr>
              <w:t>США</w:t>
            </w:r>
          </w:p>
        </w:tc>
        <w:tc>
          <w:tcPr>
            <w:tcW w:w="0" w:type="auto"/>
          </w:tcPr>
          <w:p w:rsidR="00D12CFB" w:rsidRPr="00D12CFB" w:rsidRDefault="00D12CFB" w:rsidP="008B4FC6">
            <w:pPr>
              <w:widowControl w:val="0"/>
              <w:contextualSpacing/>
              <w:jc w:val="center"/>
              <w:rPr>
                <w:rFonts w:ascii="Times New Roman" w:hAnsi="Times New Roman"/>
                <w:sz w:val="24"/>
                <w:szCs w:val="24"/>
                <w:lang w:val="uk-UA"/>
              </w:rPr>
            </w:pPr>
            <w:r w:rsidRPr="00D12CFB">
              <w:rPr>
                <w:rFonts w:ascii="Times New Roman" w:hAnsi="Times New Roman"/>
                <w:sz w:val="24"/>
                <w:szCs w:val="24"/>
                <w:lang w:val="uk-UA"/>
              </w:rPr>
              <w:t>Україна</w:t>
            </w:r>
          </w:p>
        </w:tc>
      </w:tr>
      <w:tr w:rsidR="00D12CFB" w:rsidRPr="00D12CFB" w:rsidTr="00AE4567">
        <w:trPr>
          <w:trHeight w:val="467"/>
          <w:jc w:val="center"/>
        </w:trPr>
        <w:tc>
          <w:tcPr>
            <w:tcW w:w="0" w:type="auto"/>
          </w:tcPr>
          <w:p w:rsidR="00D12CFB" w:rsidRPr="00D12CFB" w:rsidRDefault="00D12CFB" w:rsidP="008B4FC6">
            <w:pPr>
              <w:widowControl w:val="0"/>
              <w:contextualSpacing/>
              <w:jc w:val="center"/>
              <w:rPr>
                <w:rFonts w:ascii="Times New Roman" w:hAnsi="Times New Roman"/>
                <w:sz w:val="24"/>
                <w:szCs w:val="24"/>
              </w:rPr>
            </w:pPr>
            <w:r w:rsidRPr="00D12CFB">
              <w:rPr>
                <w:rFonts w:ascii="Times New Roman" w:hAnsi="Times New Roman"/>
                <w:sz w:val="24"/>
                <w:szCs w:val="24"/>
                <w:lang w:val="uk-UA"/>
              </w:rPr>
              <w:t>20</w:t>
            </w:r>
            <w:r w:rsidRPr="00D12CFB">
              <w:rPr>
                <w:rFonts w:ascii="Times New Roman" w:hAnsi="Times New Roman"/>
                <w:sz w:val="24"/>
                <w:szCs w:val="24"/>
              </w:rPr>
              <w:t>09</w:t>
            </w:r>
          </w:p>
          <w:p w:rsidR="00D12CFB" w:rsidRPr="00D12CFB" w:rsidRDefault="00D12CFB" w:rsidP="008B4FC6">
            <w:pPr>
              <w:widowControl w:val="0"/>
              <w:contextualSpacing/>
              <w:jc w:val="center"/>
              <w:rPr>
                <w:rFonts w:ascii="Times New Roman" w:hAnsi="Times New Roman"/>
                <w:sz w:val="24"/>
                <w:szCs w:val="24"/>
              </w:rPr>
            </w:pPr>
          </w:p>
        </w:tc>
        <w:tc>
          <w:tcPr>
            <w:tcW w:w="0" w:type="auto"/>
          </w:tcPr>
          <w:p w:rsidR="00D12CFB" w:rsidRPr="00D12CFB" w:rsidRDefault="00D12CFB" w:rsidP="008B4FC6">
            <w:pPr>
              <w:contextualSpacing/>
              <w:jc w:val="center"/>
              <w:rPr>
                <w:rFonts w:ascii="Times New Roman" w:hAnsi="Times New Roman"/>
                <w:color w:val="454545"/>
                <w:sz w:val="24"/>
                <w:szCs w:val="24"/>
                <w:lang w:val="en-US"/>
              </w:rPr>
            </w:pPr>
            <w:r w:rsidRPr="00D12CFB">
              <w:rPr>
                <w:rFonts w:ascii="Times New Roman" w:hAnsi="Times New Roman"/>
                <w:color w:val="454545"/>
                <w:sz w:val="24"/>
                <w:szCs w:val="24"/>
                <w:lang w:val="en-US"/>
              </w:rPr>
              <w:t>548,13</w:t>
            </w:r>
          </w:p>
          <w:p w:rsidR="00D12CFB" w:rsidRPr="00D12CFB" w:rsidRDefault="00D12CFB" w:rsidP="008B4FC6">
            <w:pPr>
              <w:contextualSpacing/>
              <w:jc w:val="center"/>
              <w:rPr>
                <w:rFonts w:ascii="Times New Roman" w:hAnsi="Times New Roman"/>
                <w:color w:val="454545"/>
                <w:sz w:val="24"/>
                <w:szCs w:val="24"/>
                <w:lang w:val="uk-UA"/>
              </w:rPr>
            </w:pPr>
          </w:p>
        </w:tc>
        <w:tc>
          <w:tcPr>
            <w:tcW w:w="0" w:type="auto"/>
          </w:tcPr>
          <w:p w:rsidR="00D12CFB" w:rsidRPr="00D12CFB" w:rsidRDefault="00D12CFB" w:rsidP="008B4FC6">
            <w:pPr>
              <w:contextualSpacing/>
              <w:jc w:val="center"/>
              <w:rPr>
                <w:rFonts w:ascii="Times New Roman" w:hAnsi="Times New Roman"/>
                <w:color w:val="454545"/>
                <w:sz w:val="24"/>
                <w:szCs w:val="24"/>
                <w:lang w:val="en-US"/>
              </w:rPr>
            </w:pPr>
            <w:r w:rsidRPr="00D12CFB">
              <w:rPr>
                <w:rFonts w:ascii="Times New Roman" w:hAnsi="Times New Roman"/>
                <w:color w:val="454545"/>
                <w:sz w:val="24"/>
                <w:szCs w:val="24"/>
                <w:lang w:val="en-US"/>
              </w:rPr>
              <w:t>592,27</w:t>
            </w:r>
          </w:p>
          <w:p w:rsidR="00D12CFB" w:rsidRPr="00D12CFB" w:rsidRDefault="00D12CFB" w:rsidP="008B4FC6">
            <w:pPr>
              <w:contextualSpacing/>
              <w:jc w:val="center"/>
              <w:rPr>
                <w:rFonts w:ascii="Times New Roman" w:hAnsi="Times New Roman"/>
                <w:color w:val="454545"/>
                <w:sz w:val="24"/>
                <w:szCs w:val="24"/>
                <w:lang w:val="uk-UA"/>
              </w:rPr>
            </w:pPr>
          </w:p>
        </w:tc>
        <w:tc>
          <w:tcPr>
            <w:tcW w:w="0" w:type="auto"/>
          </w:tcPr>
          <w:p w:rsidR="00D12CFB" w:rsidRPr="00D12CFB" w:rsidRDefault="00D12CFB" w:rsidP="008B4FC6">
            <w:pPr>
              <w:shd w:val="clear" w:color="auto" w:fill="FFFFFF"/>
              <w:contextualSpacing/>
              <w:jc w:val="center"/>
              <w:rPr>
                <w:rFonts w:ascii="Times New Roman" w:hAnsi="Times New Roman"/>
                <w:color w:val="454545"/>
                <w:sz w:val="24"/>
                <w:szCs w:val="24"/>
                <w:lang w:val="en-US"/>
              </w:rPr>
            </w:pPr>
            <w:r w:rsidRPr="00D12CFB">
              <w:rPr>
                <w:rFonts w:ascii="Times New Roman" w:hAnsi="Times New Roman"/>
                <w:color w:val="454545"/>
                <w:sz w:val="24"/>
                <w:szCs w:val="24"/>
                <w:lang w:val="en-US"/>
              </w:rPr>
              <w:t>502,42</w:t>
            </w:r>
          </w:p>
          <w:p w:rsidR="00D12CFB" w:rsidRPr="00D12CFB" w:rsidRDefault="00D12CFB" w:rsidP="008B4FC6">
            <w:pPr>
              <w:shd w:val="clear" w:color="auto" w:fill="FFFFFF"/>
              <w:contextualSpacing/>
              <w:jc w:val="center"/>
              <w:rPr>
                <w:rFonts w:ascii="Times New Roman" w:hAnsi="Times New Roman"/>
                <w:color w:val="454545"/>
                <w:sz w:val="24"/>
                <w:szCs w:val="24"/>
                <w:lang w:val="uk-UA"/>
              </w:rPr>
            </w:pPr>
          </w:p>
        </w:tc>
        <w:tc>
          <w:tcPr>
            <w:tcW w:w="0" w:type="auto"/>
          </w:tcPr>
          <w:p w:rsidR="00D12CFB" w:rsidRPr="00D12CFB" w:rsidRDefault="00D12CFB" w:rsidP="008B4FC6">
            <w:pPr>
              <w:contextualSpacing/>
              <w:jc w:val="center"/>
              <w:rPr>
                <w:rFonts w:ascii="Times New Roman" w:hAnsi="Times New Roman"/>
                <w:color w:val="454545"/>
                <w:sz w:val="24"/>
                <w:szCs w:val="24"/>
                <w:lang w:val="en-US"/>
              </w:rPr>
            </w:pPr>
            <w:r w:rsidRPr="00D12CFB">
              <w:rPr>
                <w:rFonts w:ascii="Times New Roman" w:hAnsi="Times New Roman"/>
                <w:color w:val="454545"/>
                <w:sz w:val="24"/>
                <w:szCs w:val="24"/>
                <w:lang w:val="en-US"/>
              </w:rPr>
              <w:t>346,43</w:t>
            </w:r>
          </w:p>
          <w:p w:rsidR="00D12CFB" w:rsidRPr="00D12CFB" w:rsidRDefault="00D12CFB" w:rsidP="008B4FC6">
            <w:pPr>
              <w:contextualSpacing/>
              <w:jc w:val="center"/>
              <w:rPr>
                <w:rFonts w:ascii="Times New Roman" w:hAnsi="Times New Roman"/>
                <w:color w:val="454545"/>
                <w:sz w:val="24"/>
                <w:szCs w:val="24"/>
                <w:lang w:val="uk-UA"/>
              </w:rPr>
            </w:pPr>
          </w:p>
        </w:tc>
        <w:tc>
          <w:tcPr>
            <w:tcW w:w="0" w:type="auto"/>
          </w:tcPr>
          <w:p w:rsidR="00D12CFB" w:rsidRPr="00D12CFB" w:rsidRDefault="00D12CFB" w:rsidP="008B4FC6">
            <w:pPr>
              <w:contextualSpacing/>
              <w:jc w:val="center"/>
              <w:rPr>
                <w:rFonts w:ascii="Times New Roman" w:hAnsi="Times New Roman"/>
                <w:color w:val="454545"/>
                <w:sz w:val="24"/>
                <w:szCs w:val="24"/>
                <w:lang w:val="en-US"/>
              </w:rPr>
            </w:pPr>
            <w:r w:rsidRPr="00D12CFB">
              <w:rPr>
                <w:rFonts w:ascii="Times New Roman" w:hAnsi="Times New Roman"/>
                <w:color w:val="454545"/>
                <w:sz w:val="24"/>
                <w:szCs w:val="24"/>
                <w:lang w:val="en-US"/>
              </w:rPr>
              <w:t>357,71</w:t>
            </w:r>
          </w:p>
          <w:p w:rsidR="00D12CFB" w:rsidRPr="00D12CFB" w:rsidRDefault="00D12CFB" w:rsidP="008B4FC6">
            <w:pPr>
              <w:contextualSpacing/>
              <w:jc w:val="center"/>
              <w:rPr>
                <w:rFonts w:ascii="Times New Roman" w:hAnsi="Times New Roman"/>
                <w:color w:val="454545"/>
                <w:sz w:val="24"/>
                <w:szCs w:val="24"/>
                <w:lang w:val="uk-UA"/>
              </w:rPr>
            </w:pPr>
          </w:p>
        </w:tc>
        <w:tc>
          <w:tcPr>
            <w:tcW w:w="0" w:type="auto"/>
          </w:tcPr>
          <w:p w:rsidR="00D12CFB" w:rsidRPr="00D12CFB" w:rsidRDefault="00D12CFB" w:rsidP="008B4FC6">
            <w:pPr>
              <w:contextualSpacing/>
              <w:jc w:val="center"/>
              <w:rPr>
                <w:rFonts w:ascii="Times New Roman" w:hAnsi="Times New Roman"/>
                <w:color w:val="454545"/>
                <w:sz w:val="24"/>
                <w:szCs w:val="24"/>
                <w:lang w:val="en-US"/>
              </w:rPr>
            </w:pPr>
            <w:r w:rsidRPr="00D12CFB">
              <w:rPr>
                <w:rFonts w:ascii="Times New Roman" w:hAnsi="Times New Roman"/>
                <w:color w:val="454545"/>
                <w:sz w:val="24"/>
                <w:szCs w:val="24"/>
                <w:lang w:val="en-US"/>
              </w:rPr>
              <w:t>330,28</w:t>
            </w:r>
          </w:p>
          <w:p w:rsidR="00D12CFB" w:rsidRPr="00D12CFB" w:rsidRDefault="00D12CFB" w:rsidP="008B4FC6">
            <w:pPr>
              <w:contextualSpacing/>
              <w:jc w:val="center"/>
              <w:rPr>
                <w:rFonts w:ascii="Times New Roman" w:hAnsi="Times New Roman"/>
                <w:color w:val="454545"/>
                <w:sz w:val="24"/>
                <w:szCs w:val="24"/>
                <w:lang w:val="uk-UA"/>
              </w:rPr>
            </w:pPr>
          </w:p>
        </w:tc>
        <w:tc>
          <w:tcPr>
            <w:tcW w:w="0" w:type="auto"/>
          </w:tcPr>
          <w:p w:rsidR="00D12CFB" w:rsidRPr="00D12CFB" w:rsidRDefault="00D12CFB" w:rsidP="008B4FC6">
            <w:pPr>
              <w:shd w:val="clear" w:color="auto" w:fill="FFFFFF"/>
              <w:contextualSpacing/>
              <w:jc w:val="center"/>
              <w:rPr>
                <w:rFonts w:ascii="Times New Roman" w:hAnsi="Times New Roman"/>
                <w:color w:val="454545"/>
                <w:sz w:val="24"/>
                <w:szCs w:val="24"/>
                <w:lang w:val="en-US"/>
              </w:rPr>
            </w:pPr>
            <w:r w:rsidRPr="00D12CFB">
              <w:rPr>
                <w:rFonts w:ascii="Times New Roman" w:hAnsi="Times New Roman"/>
                <w:color w:val="454545"/>
                <w:sz w:val="24"/>
                <w:szCs w:val="24"/>
                <w:lang w:val="en-US"/>
              </w:rPr>
              <w:t>647,61</w:t>
            </w:r>
          </w:p>
          <w:p w:rsidR="00D12CFB" w:rsidRPr="00D12CFB" w:rsidRDefault="00D12CFB" w:rsidP="008B4FC6">
            <w:pPr>
              <w:shd w:val="clear" w:color="auto" w:fill="FFFFFF"/>
              <w:contextualSpacing/>
              <w:jc w:val="center"/>
              <w:rPr>
                <w:rFonts w:ascii="Times New Roman" w:hAnsi="Times New Roman"/>
                <w:color w:val="454545"/>
                <w:sz w:val="24"/>
                <w:szCs w:val="24"/>
                <w:lang w:val="uk-UA"/>
              </w:rPr>
            </w:pPr>
          </w:p>
        </w:tc>
        <w:tc>
          <w:tcPr>
            <w:tcW w:w="0" w:type="auto"/>
          </w:tcPr>
          <w:p w:rsidR="00D12CFB" w:rsidRPr="00D12CFB" w:rsidRDefault="00D12CFB" w:rsidP="008B4FC6">
            <w:pPr>
              <w:shd w:val="clear" w:color="auto" w:fill="FFFFFF"/>
              <w:contextualSpacing/>
              <w:jc w:val="center"/>
              <w:rPr>
                <w:rFonts w:ascii="Times New Roman" w:hAnsi="Times New Roman"/>
                <w:color w:val="454545"/>
                <w:sz w:val="24"/>
                <w:szCs w:val="24"/>
                <w:lang w:val="en-US"/>
              </w:rPr>
            </w:pPr>
            <w:r w:rsidRPr="00D12CFB">
              <w:rPr>
                <w:rFonts w:ascii="Times New Roman" w:hAnsi="Times New Roman"/>
                <w:color w:val="454545"/>
                <w:sz w:val="24"/>
                <w:szCs w:val="24"/>
                <w:lang w:val="en-US"/>
              </w:rPr>
              <w:t>899,50</w:t>
            </w:r>
          </w:p>
          <w:p w:rsidR="00D12CFB" w:rsidRPr="00D12CFB" w:rsidRDefault="00D12CFB" w:rsidP="008B4FC6">
            <w:pPr>
              <w:shd w:val="clear" w:color="auto" w:fill="FFFFFF"/>
              <w:contextualSpacing/>
              <w:jc w:val="center"/>
              <w:rPr>
                <w:rFonts w:ascii="Times New Roman" w:hAnsi="Times New Roman"/>
                <w:color w:val="454545"/>
                <w:sz w:val="24"/>
                <w:szCs w:val="24"/>
                <w:lang w:val="uk-UA"/>
              </w:rPr>
            </w:pPr>
          </w:p>
        </w:tc>
      </w:tr>
      <w:tr w:rsidR="00D12CFB" w:rsidRPr="00D12CFB" w:rsidTr="00D12CFB">
        <w:trPr>
          <w:jc w:val="center"/>
        </w:trPr>
        <w:tc>
          <w:tcPr>
            <w:tcW w:w="0" w:type="auto"/>
          </w:tcPr>
          <w:p w:rsidR="00D12CFB" w:rsidRPr="00D12CFB" w:rsidRDefault="00D12CFB" w:rsidP="008B4FC6">
            <w:pPr>
              <w:widowControl w:val="0"/>
              <w:contextualSpacing/>
              <w:jc w:val="center"/>
              <w:rPr>
                <w:rFonts w:ascii="Times New Roman" w:hAnsi="Times New Roman"/>
                <w:sz w:val="24"/>
                <w:szCs w:val="24"/>
              </w:rPr>
            </w:pPr>
            <w:r w:rsidRPr="00D12CFB">
              <w:rPr>
                <w:rFonts w:ascii="Times New Roman" w:hAnsi="Times New Roman"/>
                <w:sz w:val="24"/>
                <w:szCs w:val="24"/>
              </w:rPr>
              <w:t>2010</w:t>
            </w:r>
          </w:p>
          <w:p w:rsidR="00D12CFB" w:rsidRPr="00D12CFB" w:rsidRDefault="00D12CFB" w:rsidP="008B4FC6">
            <w:pPr>
              <w:contextualSpacing/>
              <w:jc w:val="center"/>
              <w:rPr>
                <w:rFonts w:ascii="Times New Roman" w:hAnsi="Times New Roman"/>
                <w:sz w:val="24"/>
                <w:szCs w:val="24"/>
              </w:rPr>
            </w:pPr>
          </w:p>
        </w:tc>
        <w:tc>
          <w:tcPr>
            <w:tcW w:w="0" w:type="auto"/>
          </w:tcPr>
          <w:p w:rsidR="00D12CFB" w:rsidRPr="00D12CFB" w:rsidRDefault="00D12CFB" w:rsidP="008B4FC6">
            <w:pPr>
              <w:shd w:val="clear" w:color="auto" w:fill="FFFFFF"/>
              <w:contextualSpacing/>
              <w:jc w:val="center"/>
              <w:rPr>
                <w:rFonts w:ascii="Times New Roman" w:hAnsi="Times New Roman"/>
                <w:color w:val="454545"/>
                <w:sz w:val="24"/>
                <w:szCs w:val="24"/>
                <w:lang w:val="en-US"/>
              </w:rPr>
            </w:pPr>
            <w:r w:rsidRPr="00D12CFB">
              <w:rPr>
                <w:rFonts w:ascii="Times New Roman" w:hAnsi="Times New Roman"/>
                <w:color w:val="454545"/>
                <w:sz w:val="24"/>
                <w:szCs w:val="24"/>
                <w:lang w:val="en-US"/>
              </w:rPr>
              <w:t>498,09</w:t>
            </w:r>
          </w:p>
          <w:p w:rsidR="00D12CFB" w:rsidRPr="00D12CFB" w:rsidRDefault="00D12CFB" w:rsidP="008B4FC6">
            <w:pPr>
              <w:shd w:val="clear" w:color="auto" w:fill="FFFFFF"/>
              <w:contextualSpacing/>
              <w:jc w:val="center"/>
              <w:rPr>
                <w:rFonts w:ascii="Times New Roman" w:hAnsi="Times New Roman"/>
                <w:color w:val="454545"/>
                <w:sz w:val="24"/>
                <w:szCs w:val="24"/>
                <w:lang w:val="uk-UA"/>
              </w:rPr>
            </w:pPr>
          </w:p>
        </w:tc>
        <w:tc>
          <w:tcPr>
            <w:tcW w:w="0" w:type="auto"/>
          </w:tcPr>
          <w:p w:rsidR="00D12CFB" w:rsidRPr="00D12CFB" w:rsidRDefault="00D12CFB" w:rsidP="008B4FC6">
            <w:pPr>
              <w:contextualSpacing/>
              <w:jc w:val="center"/>
              <w:rPr>
                <w:rFonts w:ascii="Times New Roman" w:hAnsi="Times New Roman"/>
                <w:color w:val="454545"/>
                <w:sz w:val="24"/>
                <w:szCs w:val="24"/>
                <w:lang w:val="en-US"/>
              </w:rPr>
            </w:pPr>
            <w:r w:rsidRPr="00D12CFB">
              <w:rPr>
                <w:rFonts w:ascii="Times New Roman" w:hAnsi="Times New Roman"/>
                <w:color w:val="454545"/>
                <w:sz w:val="24"/>
                <w:szCs w:val="24"/>
                <w:lang w:val="en-US"/>
              </w:rPr>
              <w:t>557,31</w:t>
            </w:r>
          </w:p>
          <w:p w:rsidR="00D12CFB" w:rsidRPr="00D12CFB" w:rsidRDefault="00D12CFB" w:rsidP="008B4FC6">
            <w:pPr>
              <w:contextualSpacing/>
              <w:jc w:val="center"/>
              <w:rPr>
                <w:rFonts w:ascii="Times New Roman" w:hAnsi="Times New Roman"/>
                <w:color w:val="454545"/>
                <w:sz w:val="24"/>
                <w:szCs w:val="24"/>
                <w:lang w:val="uk-UA"/>
              </w:rPr>
            </w:pPr>
          </w:p>
        </w:tc>
        <w:tc>
          <w:tcPr>
            <w:tcW w:w="0" w:type="auto"/>
          </w:tcPr>
          <w:p w:rsidR="00D12CFB" w:rsidRPr="00D12CFB" w:rsidRDefault="00D12CFB" w:rsidP="008B4FC6">
            <w:pPr>
              <w:contextualSpacing/>
              <w:jc w:val="center"/>
              <w:rPr>
                <w:rFonts w:ascii="Times New Roman" w:hAnsi="Times New Roman"/>
                <w:color w:val="454545"/>
                <w:sz w:val="24"/>
                <w:szCs w:val="24"/>
                <w:lang w:val="en-US"/>
              </w:rPr>
            </w:pPr>
            <w:r w:rsidRPr="00D12CFB">
              <w:rPr>
                <w:rFonts w:ascii="Times New Roman" w:hAnsi="Times New Roman"/>
                <w:color w:val="454545"/>
                <w:sz w:val="24"/>
                <w:szCs w:val="24"/>
                <w:lang w:val="en-US"/>
              </w:rPr>
              <w:t>491,82</w:t>
            </w:r>
          </w:p>
          <w:p w:rsidR="00D12CFB" w:rsidRPr="00D12CFB" w:rsidRDefault="00D12CFB" w:rsidP="008B4FC6">
            <w:pPr>
              <w:contextualSpacing/>
              <w:jc w:val="center"/>
              <w:rPr>
                <w:rFonts w:ascii="Times New Roman" w:hAnsi="Times New Roman"/>
                <w:color w:val="454545"/>
                <w:sz w:val="24"/>
                <w:szCs w:val="24"/>
                <w:lang w:val="uk-UA"/>
              </w:rPr>
            </w:pPr>
          </w:p>
        </w:tc>
        <w:tc>
          <w:tcPr>
            <w:tcW w:w="0" w:type="auto"/>
          </w:tcPr>
          <w:p w:rsidR="00D12CFB" w:rsidRPr="00D12CFB" w:rsidRDefault="00D12CFB" w:rsidP="008B4FC6">
            <w:pPr>
              <w:shd w:val="clear" w:color="auto" w:fill="FFFFFF"/>
              <w:contextualSpacing/>
              <w:jc w:val="center"/>
              <w:rPr>
                <w:rFonts w:ascii="Times New Roman" w:hAnsi="Times New Roman"/>
                <w:color w:val="454545"/>
                <w:sz w:val="24"/>
                <w:szCs w:val="24"/>
                <w:lang w:val="en-US"/>
              </w:rPr>
            </w:pPr>
            <w:r w:rsidRPr="00D12CFB">
              <w:rPr>
                <w:rFonts w:ascii="Times New Roman" w:hAnsi="Times New Roman"/>
                <w:color w:val="454545"/>
                <w:sz w:val="24"/>
                <w:szCs w:val="24"/>
                <w:lang w:val="en-US"/>
              </w:rPr>
              <w:t>336,85</w:t>
            </w:r>
          </w:p>
          <w:p w:rsidR="00D12CFB" w:rsidRPr="00D12CFB" w:rsidRDefault="00D12CFB" w:rsidP="008B4FC6">
            <w:pPr>
              <w:shd w:val="clear" w:color="auto" w:fill="FFFFFF"/>
              <w:contextualSpacing/>
              <w:jc w:val="center"/>
              <w:rPr>
                <w:rFonts w:ascii="Times New Roman" w:hAnsi="Times New Roman"/>
                <w:color w:val="454545"/>
                <w:sz w:val="24"/>
                <w:szCs w:val="24"/>
                <w:lang w:val="uk-UA"/>
              </w:rPr>
            </w:pPr>
          </w:p>
        </w:tc>
        <w:tc>
          <w:tcPr>
            <w:tcW w:w="0" w:type="auto"/>
          </w:tcPr>
          <w:p w:rsidR="00D12CFB" w:rsidRPr="00D12CFB" w:rsidRDefault="00D12CFB" w:rsidP="008B4FC6">
            <w:pPr>
              <w:shd w:val="clear" w:color="auto" w:fill="FFFFFF"/>
              <w:contextualSpacing/>
              <w:jc w:val="center"/>
              <w:rPr>
                <w:rFonts w:ascii="Times New Roman" w:hAnsi="Times New Roman"/>
                <w:color w:val="454545"/>
                <w:sz w:val="24"/>
                <w:szCs w:val="24"/>
                <w:lang w:val="en-US"/>
              </w:rPr>
            </w:pPr>
            <w:r w:rsidRPr="00D12CFB">
              <w:rPr>
                <w:rFonts w:ascii="Times New Roman" w:hAnsi="Times New Roman"/>
                <w:color w:val="454545"/>
                <w:sz w:val="24"/>
                <w:szCs w:val="24"/>
                <w:lang w:val="en-US"/>
              </w:rPr>
              <w:t>354,07</w:t>
            </w:r>
          </w:p>
          <w:p w:rsidR="00D12CFB" w:rsidRPr="00D12CFB" w:rsidRDefault="00D12CFB" w:rsidP="008B4FC6">
            <w:pPr>
              <w:shd w:val="clear" w:color="auto" w:fill="FFFFFF"/>
              <w:contextualSpacing/>
              <w:jc w:val="center"/>
              <w:rPr>
                <w:rFonts w:ascii="Times New Roman" w:hAnsi="Times New Roman"/>
                <w:color w:val="454545"/>
                <w:sz w:val="24"/>
                <w:szCs w:val="24"/>
                <w:lang w:val="uk-UA"/>
              </w:rPr>
            </w:pPr>
          </w:p>
        </w:tc>
        <w:tc>
          <w:tcPr>
            <w:tcW w:w="0" w:type="auto"/>
          </w:tcPr>
          <w:p w:rsidR="00D12CFB" w:rsidRPr="00D12CFB" w:rsidRDefault="00D12CFB" w:rsidP="008B4FC6">
            <w:pPr>
              <w:shd w:val="clear" w:color="auto" w:fill="FFFFFF"/>
              <w:contextualSpacing/>
              <w:jc w:val="center"/>
              <w:rPr>
                <w:rFonts w:ascii="Times New Roman" w:hAnsi="Times New Roman"/>
                <w:color w:val="454545"/>
                <w:sz w:val="24"/>
                <w:szCs w:val="24"/>
                <w:lang w:val="en-US"/>
              </w:rPr>
            </w:pPr>
            <w:r w:rsidRPr="00D12CFB">
              <w:rPr>
                <w:rFonts w:ascii="Times New Roman" w:hAnsi="Times New Roman"/>
                <w:color w:val="454545"/>
                <w:sz w:val="24"/>
                <w:szCs w:val="24"/>
                <w:lang w:val="en-US"/>
              </w:rPr>
              <w:t>324,52</w:t>
            </w:r>
          </w:p>
          <w:p w:rsidR="00D12CFB" w:rsidRPr="00D12CFB" w:rsidRDefault="00D12CFB" w:rsidP="008B4FC6">
            <w:pPr>
              <w:shd w:val="clear" w:color="auto" w:fill="FFFFFF"/>
              <w:contextualSpacing/>
              <w:jc w:val="center"/>
              <w:rPr>
                <w:rFonts w:ascii="Times New Roman" w:hAnsi="Times New Roman"/>
                <w:color w:val="454545"/>
                <w:sz w:val="24"/>
                <w:szCs w:val="24"/>
                <w:lang w:val="uk-UA"/>
              </w:rPr>
            </w:pPr>
          </w:p>
        </w:tc>
        <w:tc>
          <w:tcPr>
            <w:tcW w:w="0" w:type="auto"/>
          </w:tcPr>
          <w:p w:rsidR="00D12CFB" w:rsidRPr="00D12CFB" w:rsidRDefault="00D12CFB" w:rsidP="008B4FC6">
            <w:pPr>
              <w:contextualSpacing/>
              <w:jc w:val="center"/>
              <w:rPr>
                <w:rFonts w:ascii="Times New Roman" w:hAnsi="Times New Roman"/>
                <w:color w:val="454545"/>
                <w:sz w:val="24"/>
                <w:szCs w:val="24"/>
                <w:lang w:val="en-US"/>
              </w:rPr>
            </w:pPr>
            <w:r w:rsidRPr="00D12CFB">
              <w:rPr>
                <w:rFonts w:ascii="Times New Roman" w:hAnsi="Times New Roman"/>
                <w:color w:val="454545"/>
                <w:sz w:val="24"/>
                <w:szCs w:val="24"/>
                <w:lang w:val="en-US"/>
              </w:rPr>
              <w:t>624,76</w:t>
            </w:r>
          </w:p>
          <w:p w:rsidR="00D12CFB" w:rsidRPr="00D12CFB" w:rsidRDefault="00D12CFB" w:rsidP="008B4FC6">
            <w:pPr>
              <w:contextualSpacing/>
              <w:jc w:val="center"/>
              <w:rPr>
                <w:rFonts w:ascii="Times New Roman" w:hAnsi="Times New Roman"/>
                <w:color w:val="454545"/>
                <w:sz w:val="24"/>
                <w:szCs w:val="24"/>
                <w:lang w:val="uk-UA"/>
              </w:rPr>
            </w:pPr>
          </w:p>
        </w:tc>
        <w:tc>
          <w:tcPr>
            <w:tcW w:w="0" w:type="auto"/>
          </w:tcPr>
          <w:p w:rsidR="00D12CFB" w:rsidRPr="00D12CFB" w:rsidRDefault="00D12CFB" w:rsidP="008B4FC6">
            <w:pPr>
              <w:contextualSpacing/>
              <w:jc w:val="center"/>
              <w:rPr>
                <w:rFonts w:ascii="Times New Roman" w:hAnsi="Times New Roman"/>
                <w:color w:val="454545"/>
                <w:sz w:val="24"/>
                <w:szCs w:val="24"/>
                <w:lang w:val="en-US"/>
              </w:rPr>
            </w:pPr>
            <w:r w:rsidRPr="00D12CFB">
              <w:rPr>
                <w:rFonts w:ascii="Times New Roman" w:hAnsi="Times New Roman"/>
                <w:color w:val="454545"/>
                <w:sz w:val="24"/>
                <w:szCs w:val="24"/>
                <w:lang w:val="en-US"/>
              </w:rPr>
              <w:t>853,14</w:t>
            </w:r>
          </w:p>
          <w:p w:rsidR="00D12CFB" w:rsidRPr="00D12CFB" w:rsidRDefault="00D12CFB" w:rsidP="008B4FC6">
            <w:pPr>
              <w:contextualSpacing/>
              <w:jc w:val="center"/>
              <w:rPr>
                <w:rFonts w:ascii="Times New Roman" w:hAnsi="Times New Roman"/>
                <w:color w:val="454545"/>
                <w:sz w:val="24"/>
                <w:szCs w:val="24"/>
                <w:lang w:val="uk-UA"/>
              </w:rPr>
            </w:pPr>
          </w:p>
        </w:tc>
      </w:tr>
      <w:tr w:rsidR="00D12CFB" w:rsidRPr="00D12CFB" w:rsidTr="00D12CFB">
        <w:trPr>
          <w:jc w:val="center"/>
        </w:trPr>
        <w:tc>
          <w:tcPr>
            <w:tcW w:w="0" w:type="auto"/>
          </w:tcPr>
          <w:p w:rsidR="00D12CFB" w:rsidRPr="00D12CFB" w:rsidRDefault="00D12CFB" w:rsidP="008B4FC6">
            <w:pPr>
              <w:widowControl w:val="0"/>
              <w:contextualSpacing/>
              <w:jc w:val="center"/>
              <w:rPr>
                <w:rFonts w:ascii="Times New Roman" w:hAnsi="Times New Roman"/>
                <w:sz w:val="24"/>
                <w:szCs w:val="24"/>
              </w:rPr>
            </w:pPr>
            <w:r w:rsidRPr="00D12CFB">
              <w:rPr>
                <w:rFonts w:ascii="Times New Roman" w:hAnsi="Times New Roman"/>
                <w:sz w:val="24"/>
                <w:szCs w:val="24"/>
              </w:rPr>
              <w:t>2011</w:t>
            </w:r>
          </w:p>
          <w:p w:rsidR="00D12CFB" w:rsidRPr="00D12CFB" w:rsidRDefault="00D12CFB" w:rsidP="008B4FC6">
            <w:pPr>
              <w:contextualSpacing/>
              <w:jc w:val="center"/>
              <w:rPr>
                <w:rFonts w:ascii="Times New Roman" w:hAnsi="Times New Roman"/>
                <w:sz w:val="24"/>
                <w:szCs w:val="24"/>
              </w:rPr>
            </w:pPr>
          </w:p>
        </w:tc>
        <w:tc>
          <w:tcPr>
            <w:tcW w:w="0" w:type="auto"/>
          </w:tcPr>
          <w:p w:rsidR="00D12CFB" w:rsidRPr="00D12CFB" w:rsidRDefault="00D12CFB" w:rsidP="008B4FC6">
            <w:pPr>
              <w:shd w:val="clear" w:color="auto" w:fill="FFFFFF"/>
              <w:contextualSpacing/>
              <w:jc w:val="center"/>
              <w:rPr>
                <w:rFonts w:ascii="Times New Roman" w:hAnsi="Times New Roman"/>
                <w:color w:val="454545"/>
                <w:sz w:val="24"/>
                <w:szCs w:val="24"/>
                <w:lang w:val="en-US"/>
              </w:rPr>
            </w:pPr>
            <w:r w:rsidRPr="00D12CFB">
              <w:rPr>
                <w:rFonts w:ascii="Times New Roman" w:hAnsi="Times New Roman"/>
                <w:color w:val="454545"/>
                <w:sz w:val="24"/>
                <w:szCs w:val="24"/>
                <w:lang w:val="en-US"/>
              </w:rPr>
              <w:t>463,63</w:t>
            </w:r>
          </w:p>
          <w:p w:rsidR="00D12CFB" w:rsidRPr="00D12CFB" w:rsidRDefault="00D12CFB" w:rsidP="008B4FC6">
            <w:pPr>
              <w:shd w:val="clear" w:color="auto" w:fill="FFFFFF"/>
              <w:contextualSpacing/>
              <w:jc w:val="center"/>
              <w:rPr>
                <w:rFonts w:ascii="Times New Roman" w:hAnsi="Times New Roman"/>
                <w:color w:val="454545"/>
                <w:sz w:val="24"/>
                <w:szCs w:val="24"/>
                <w:lang w:val="uk-UA"/>
              </w:rPr>
            </w:pPr>
          </w:p>
        </w:tc>
        <w:tc>
          <w:tcPr>
            <w:tcW w:w="0" w:type="auto"/>
          </w:tcPr>
          <w:p w:rsidR="00D12CFB" w:rsidRPr="00D12CFB" w:rsidRDefault="00D12CFB" w:rsidP="008B4FC6">
            <w:pPr>
              <w:shd w:val="clear" w:color="auto" w:fill="FFFFFF"/>
              <w:contextualSpacing/>
              <w:jc w:val="center"/>
              <w:rPr>
                <w:rFonts w:ascii="Times New Roman" w:hAnsi="Times New Roman"/>
                <w:color w:val="454545"/>
                <w:sz w:val="24"/>
                <w:szCs w:val="24"/>
                <w:lang w:val="en-US"/>
              </w:rPr>
            </w:pPr>
            <w:r w:rsidRPr="00D12CFB">
              <w:rPr>
                <w:rFonts w:ascii="Times New Roman" w:hAnsi="Times New Roman"/>
                <w:color w:val="454545"/>
                <w:sz w:val="24"/>
                <w:szCs w:val="24"/>
                <w:lang w:val="en-US"/>
              </w:rPr>
              <w:t>519,23</w:t>
            </w:r>
          </w:p>
          <w:p w:rsidR="00D12CFB" w:rsidRPr="00D12CFB" w:rsidRDefault="00D12CFB" w:rsidP="008B4FC6">
            <w:pPr>
              <w:shd w:val="clear" w:color="auto" w:fill="FFFFFF"/>
              <w:contextualSpacing/>
              <w:jc w:val="center"/>
              <w:rPr>
                <w:rFonts w:ascii="Times New Roman" w:hAnsi="Times New Roman"/>
                <w:color w:val="454545"/>
                <w:sz w:val="24"/>
                <w:szCs w:val="24"/>
                <w:lang w:val="uk-UA"/>
              </w:rPr>
            </w:pPr>
          </w:p>
        </w:tc>
        <w:tc>
          <w:tcPr>
            <w:tcW w:w="0" w:type="auto"/>
          </w:tcPr>
          <w:p w:rsidR="00D12CFB" w:rsidRPr="00D12CFB" w:rsidRDefault="00D12CFB" w:rsidP="008B4FC6">
            <w:pPr>
              <w:shd w:val="clear" w:color="auto" w:fill="FFFFFF"/>
              <w:contextualSpacing/>
              <w:jc w:val="center"/>
              <w:rPr>
                <w:rFonts w:ascii="Times New Roman" w:hAnsi="Times New Roman"/>
                <w:color w:val="454545"/>
                <w:sz w:val="24"/>
                <w:szCs w:val="24"/>
                <w:lang w:val="en-US"/>
              </w:rPr>
            </w:pPr>
            <w:r w:rsidRPr="00D12CFB">
              <w:rPr>
                <w:rFonts w:ascii="Times New Roman" w:hAnsi="Times New Roman"/>
                <w:color w:val="454545"/>
                <w:sz w:val="24"/>
                <w:szCs w:val="24"/>
                <w:lang w:val="en-US"/>
              </w:rPr>
              <w:t>479,78</w:t>
            </w:r>
          </w:p>
          <w:p w:rsidR="00D12CFB" w:rsidRPr="00D12CFB" w:rsidRDefault="00D12CFB" w:rsidP="008B4FC6">
            <w:pPr>
              <w:shd w:val="clear" w:color="auto" w:fill="FFFFFF"/>
              <w:contextualSpacing/>
              <w:jc w:val="center"/>
              <w:rPr>
                <w:rFonts w:ascii="Times New Roman" w:hAnsi="Times New Roman"/>
                <w:color w:val="454545"/>
                <w:sz w:val="24"/>
                <w:szCs w:val="24"/>
                <w:lang w:val="uk-UA"/>
              </w:rPr>
            </w:pPr>
          </w:p>
        </w:tc>
        <w:tc>
          <w:tcPr>
            <w:tcW w:w="0" w:type="auto"/>
          </w:tcPr>
          <w:p w:rsidR="00D12CFB" w:rsidRPr="00D12CFB" w:rsidRDefault="00D12CFB" w:rsidP="008B4FC6">
            <w:pPr>
              <w:shd w:val="clear" w:color="auto" w:fill="FFFFFF"/>
              <w:contextualSpacing/>
              <w:jc w:val="center"/>
              <w:rPr>
                <w:rFonts w:ascii="Times New Roman" w:hAnsi="Times New Roman"/>
                <w:color w:val="454545"/>
                <w:sz w:val="24"/>
                <w:szCs w:val="24"/>
                <w:lang w:val="en-US"/>
              </w:rPr>
            </w:pPr>
            <w:r w:rsidRPr="00D12CFB">
              <w:rPr>
                <w:rFonts w:ascii="Times New Roman" w:hAnsi="Times New Roman"/>
                <w:color w:val="454545"/>
                <w:sz w:val="24"/>
                <w:szCs w:val="24"/>
                <w:lang w:val="en-US"/>
              </w:rPr>
              <w:t>333,70</w:t>
            </w:r>
          </w:p>
          <w:p w:rsidR="00D12CFB" w:rsidRPr="00D12CFB" w:rsidRDefault="00D12CFB" w:rsidP="008B4FC6">
            <w:pPr>
              <w:shd w:val="clear" w:color="auto" w:fill="FFFFFF"/>
              <w:contextualSpacing/>
              <w:jc w:val="center"/>
              <w:rPr>
                <w:rFonts w:ascii="Times New Roman" w:hAnsi="Times New Roman"/>
                <w:color w:val="454545"/>
                <w:sz w:val="24"/>
                <w:szCs w:val="24"/>
                <w:lang w:val="uk-UA"/>
              </w:rPr>
            </w:pPr>
          </w:p>
        </w:tc>
        <w:tc>
          <w:tcPr>
            <w:tcW w:w="0" w:type="auto"/>
          </w:tcPr>
          <w:p w:rsidR="00D12CFB" w:rsidRPr="00D12CFB" w:rsidRDefault="00D12CFB" w:rsidP="008B4FC6">
            <w:pPr>
              <w:contextualSpacing/>
              <w:jc w:val="center"/>
              <w:rPr>
                <w:rFonts w:ascii="Times New Roman" w:hAnsi="Times New Roman"/>
                <w:color w:val="454545"/>
                <w:sz w:val="24"/>
                <w:szCs w:val="24"/>
                <w:lang w:val="en-US"/>
              </w:rPr>
            </w:pPr>
            <w:r w:rsidRPr="00D12CFB">
              <w:rPr>
                <w:rFonts w:ascii="Times New Roman" w:hAnsi="Times New Roman"/>
                <w:color w:val="454545"/>
                <w:sz w:val="24"/>
                <w:szCs w:val="24"/>
                <w:lang w:val="en-US"/>
              </w:rPr>
              <w:t>338,99</w:t>
            </w:r>
          </w:p>
          <w:p w:rsidR="00D12CFB" w:rsidRPr="00D12CFB" w:rsidRDefault="00D12CFB" w:rsidP="008B4FC6">
            <w:pPr>
              <w:contextualSpacing/>
              <w:jc w:val="center"/>
              <w:rPr>
                <w:rFonts w:ascii="Times New Roman" w:hAnsi="Times New Roman"/>
                <w:color w:val="454545"/>
                <w:sz w:val="24"/>
                <w:szCs w:val="24"/>
                <w:lang w:val="uk-UA"/>
              </w:rPr>
            </w:pPr>
          </w:p>
        </w:tc>
        <w:tc>
          <w:tcPr>
            <w:tcW w:w="0" w:type="auto"/>
          </w:tcPr>
          <w:p w:rsidR="00D12CFB" w:rsidRPr="00D12CFB" w:rsidRDefault="00D12CFB" w:rsidP="008B4FC6">
            <w:pPr>
              <w:shd w:val="clear" w:color="auto" w:fill="FFFFFF"/>
              <w:contextualSpacing/>
              <w:jc w:val="center"/>
              <w:rPr>
                <w:rFonts w:ascii="Times New Roman" w:hAnsi="Times New Roman"/>
                <w:color w:val="454545"/>
                <w:sz w:val="24"/>
                <w:szCs w:val="24"/>
                <w:lang w:val="en-US"/>
              </w:rPr>
            </w:pPr>
            <w:r w:rsidRPr="00D12CFB">
              <w:rPr>
                <w:rFonts w:ascii="Times New Roman" w:hAnsi="Times New Roman"/>
                <w:color w:val="454545"/>
                <w:sz w:val="24"/>
                <w:szCs w:val="24"/>
                <w:lang w:val="en-US"/>
              </w:rPr>
              <w:t>315,66</w:t>
            </w:r>
          </w:p>
          <w:p w:rsidR="00D12CFB" w:rsidRPr="00D12CFB" w:rsidRDefault="00D12CFB" w:rsidP="008B4FC6">
            <w:pPr>
              <w:shd w:val="clear" w:color="auto" w:fill="FFFFFF"/>
              <w:contextualSpacing/>
              <w:jc w:val="center"/>
              <w:rPr>
                <w:rFonts w:ascii="Times New Roman" w:hAnsi="Times New Roman"/>
                <w:color w:val="454545"/>
                <w:sz w:val="24"/>
                <w:szCs w:val="24"/>
                <w:lang w:val="uk-UA"/>
              </w:rPr>
            </w:pPr>
          </w:p>
        </w:tc>
        <w:tc>
          <w:tcPr>
            <w:tcW w:w="0" w:type="auto"/>
          </w:tcPr>
          <w:p w:rsidR="00D12CFB" w:rsidRPr="00D12CFB" w:rsidRDefault="00D12CFB" w:rsidP="008B4FC6">
            <w:pPr>
              <w:shd w:val="clear" w:color="auto" w:fill="FFFFFF"/>
              <w:contextualSpacing/>
              <w:jc w:val="center"/>
              <w:rPr>
                <w:rFonts w:ascii="Times New Roman" w:hAnsi="Times New Roman"/>
                <w:color w:val="454545"/>
                <w:sz w:val="24"/>
                <w:szCs w:val="24"/>
                <w:lang w:val="en-US"/>
              </w:rPr>
            </w:pPr>
            <w:r w:rsidRPr="00D12CFB">
              <w:rPr>
                <w:rFonts w:ascii="Times New Roman" w:hAnsi="Times New Roman"/>
                <w:color w:val="454545"/>
                <w:sz w:val="24"/>
                <w:szCs w:val="24"/>
                <w:lang w:val="en-US"/>
              </w:rPr>
              <w:t>617,69</w:t>
            </w:r>
          </w:p>
          <w:p w:rsidR="00D12CFB" w:rsidRPr="00D12CFB" w:rsidRDefault="00D12CFB" w:rsidP="008B4FC6">
            <w:pPr>
              <w:shd w:val="clear" w:color="auto" w:fill="FFFFFF"/>
              <w:contextualSpacing/>
              <w:jc w:val="center"/>
              <w:rPr>
                <w:rFonts w:ascii="Times New Roman" w:hAnsi="Times New Roman"/>
                <w:color w:val="454545"/>
                <w:sz w:val="24"/>
                <w:szCs w:val="24"/>
                <w:lang w:val="uk-UA"/>
              </w:rPr>
            </w:pPr>
          </w:p>
        </w:tc>
        <w:tc>
          <w:tcPr>
            <w:tcW w:w="0" w:type="auto"/>
          </w:tcPr>
          <w:p w:rsidR="00D12CFB" w:rsidRPr="00D12CFB" w:rsidRDefault="00D12CFB" w:rsidP="008B4FC6">
            <w:pPr>
              <w:contextualSpacing/>
              <w:jc w:val="center"/>
              <w:rPr>
                <w:rFonts w:ascii="Times New Roman" w:hAnsi="Times New Roman"/>
                <w:color w:val="454545"/>
                <w:sz w:val="24"/>
                <w:szCs w:val="24"/>
                <w:lang w:val="en-US"/>
              </w:rPr>
            </w:pPr>
            <w:r w:rsidRPr="00D12CFB">
              <w:rPr>
                <w:rFonts w:ascii="Times New Roman" w:hAnsi="Times New Roman"/>
                <w:color w:val="454545"/>
                <w:sz w:val="24"/>
                <w:szCs w:val="24"/>
                <w:lang w:val="en-US"/>
              </w:rPr>
              <w:t>813,19</w:t>
            </w:r>
          </w:p>
          <w:p w:rsidR="00D12CFB" w:rsidRPr="00D12CFB" w:rsidRDefault="00D12CFB" w:rsidP="008B4FC6">
            <w:pPr>
              <w:contextualSpacing/>
              <w:jc w:val="center"/>
              <w:rPr>
                <w:rFonts w:ascii="Times New Roman" w:hAnsi="Times New Roman"/>
                <w:color w:val="454545"/>
                <w:sz w:val="24"/>
                <w:szCs w:val="24"/>
                <w:lang w:val="uk-UA"/>
              </w:rPr>
            </w:pPr>
          </w:p>
        </w:tc>
      </w:tr>
      <w:tr w:rsidR="00D12CFB" w:rsidRPr="00D12CFB" w:rsidTr="00D12CFB">
        <w:trPr>
          <w:jc w:val="center"/>
        </w:trPr>
        <w:tc>
          <w:tcPr>
            <w:tcW w:w="0" w:type="auto"/>
          </w:tcPr>
          <w:p w:rsidR="00D12CFB" w:rsidRPr="00D12CFB" w:rsidRDefault="00D12CFB" w:rsidP="008B4FC6">
            <w:pPr>
              <w:widowControl w:val="0"/>
              <w:contextualSpacing/>
              <w:jc w:val="center"/>
              <w:rPr>
                <w:rFonts w:ascii="Times New Roman" w:hAnsi="Times New Roman"/>
                <w:sz w:val="24"/>
                <w:szCs w:val="24"/>
              </w:rPr>
            </w:pPr>
            <w:r w:rsidRPr="00D12CFB">
              <w:rPr>
                <w:rFonts w:ascii="Times New Roman" w:hAnsi="Times New Roman"/>
                <w:sz w:val="24"/>
                <w:szCs w:val="24"/>
              </w:rPr>
              <w:t>2012</w:t>
            </w:r>
          </w:p>
          <w:p w:rsidR="00D12CFB" w:rsidRPr="00D12CFB" w:rsidRDefault="00D12CFB" w:rsidP="008B4FC6">
            <w:pPr>
              <w:contextualSpacing/>
              <w:jc w:val="center"/>
              <w:rPr>
                <w:rFonts w:ascii="Times New Roman" w:hAnsi="Times New Roman"/>
                <w:sz w:val="24"/>
                <w:szCs w:val="24"/>
              </w:rPr>
            </w:pPr>
          </w:p>
        </w:tc>
        <w:tc>
          <w:tcPr>
            <w:tcW w:w="0" w:type="auto"/>
          </w:tcPr>
          <w:p w:rsidR="00D12CFB" w:rsidRPr="00D12CFB" w:rsidRDefault="00D12CFB" w:rsidP="008B4FC6">
            <w:pPr>
              <w:contextualSpacing/>
              <w:jc w:val="center"/>
              <w:rPr>
                <w:rFonts w:ascii="Times New Roman" w:hAnsi="Times New Roman"/>
                <w:color w:val="454545"/>
                <w:sz w:val="24"/>
                <w:szCs w:val="24"/>
                <w:lang w:val="en-US"/>
              </w:rPr>
            </w:pPr>
            <w:r w:rsidRPr="00D12CFB">
              <w:rPr>
                <w:rFonts w:ascii="Times New Roman" w:hAnsi="Times New Roman"/>
                <w:color w:val="454545"/>
                <w:sz w:val="24"/>
                <w:szCs w:val="24"/>
                <w:lang w:val="en-US"/>
              </w:rPr>
              <w:t>456,58</w:t>
            </w:r>
          </w:p>
          <w:p w:rsidR="00D12CFB" w:rsidRPr="00D12CFB" w:rsidRDefault="00D12CFB" w:rsidP="008B4FC6">
            <w:pPr>
              <w:contextualSpacing/>
              <w:jc w:val="center"/>
              <w:rPr>
                <w:rFonts w:ascii="Times New Roman" w:hAnsi="Times New Roman"/>
                <w:color w:val="454545"/>
                <w:sz w:val="24"/>
                <w:szCs w:val="24"/>
                <w:lang w:val="uk-UA"/>
              </w:rPr>
            </w:pPr>
          </w:p>
        </w:tc>
        <w:tc>
          <w:tcPr>
            <w:tcW w:w="0" w:type="auto"/>
          </w:tcPr>
          <w:p w:rsidR="00D12CFB" w:rsidRPr="00D12CFB" w:rsidRDefault="00D12CFB" w:rsidP="008B4FC6">
            <w:pPr>
              <w:shd w:val="clear" w:color="auto" w:fill="FFFFFF"/>
              <w:contextualSpacing/>
              <w:jc w:val="center"/>
              <w:rPr>
                <w:rFonts w:ascii="Times New Roman" w:hAnsi="Times New Roman"/>
                <w:color w:val="454545"/>
                <w:sz w:val="24"/>
                <w:szCs w:val="24"/>
                <w:lang w:val="en-US"/>
              </w:rPr>
            </w:pPr>
            <w:r w:rsidRPr="00D12CFB">
              <w:rPr>
                <w:rFonts w:ascii="Times New Roman" w:hAnsi="Times New Roman"/>
                <w:color w:val="454545"/>
                <w:sz w:val="24"/>
                <w:szCs w:val="24"/>
                <w:lang w:val="en-US"/>
              </w:rPr>
              <w:t>540,60</w:t>
            </w:r>
          </w:p>
          <w:p w:rsidR="00D12CFB" w:rsidRPr="00D12CFB" w:rsidRDefault="00D12CFB" w:rsidP="008B4FC6">
            <w:pPr>
              <w:shd w:val="clear" w:color="auto" w:fill="FFFFFF"/>
              <w:contextualSpacing/>
              <w:jc w:val="center"/>
              <w:rPr>
                <w:rFonts w:ascii="Times New Roman" w:hAnsi="Times New Roman"/>
                <w:color w:val="454545"/>
                <w:sz w:val="24"/>
                <w:szCs w:val="24"/>
                <w:lang w:val="uk-UA"/>
              </w:rPr>
            </w:pPr>
          </w:p>
        </w:tc>
        <w:tc>
          <w:tcPr>
            <w:tcW w:w="0" w:type="auto"/>
          </w:tcPr>
          <w:p w:rsidR="00D12CFB" w:rsidRPr="00D12CFB" w:rsidRDefault="00D12CFB" w:rsidP="008B4FC6">
            <w:pPr>
              <w:contextualSpacing/>
              <w:jc w:val="center"/>
              <w:rPr>
                <w:rFonts w:ascii="Times New Roman" w:hAnsi="Times New Roman"/>
                <w:color w:val="454545"/>
                <w:sz w:val="24"/>
                <w:szCs w:val="24"/>
                <w:lang w:val="en-US"/>
              </w:rPr>
            </w:pPr>
            <w:r w:rsidRPr="00D12CFB">
              <w:rPr>
                <w:rFonts w:ascii="Times New Roman" w:hAnsi="Times New Roman"/>
                <w:color w:val="454545"/>
                <w:sz w:val="24"/>
                <w:szCs w:val="24"/>
                <w:lang w:val="en-US"/>
              </w:rPr>
              <w:t>470,08</w:t>
            </w:r>
          </w:p>
          <w:p w:rsidR="00D12CFB" w:rsidRPr="00D12CFB" w:rsidRDefault="00D12CFB" w:rsidP="008B4FC6">
            <w:pPr>
              <w:contextualSpacing/>
              <w:jc w:val="center"/>
              <w:rPr>
                <w:rFonts w:ascii="Times New Roman" w:hAnsi="Times New Roman"/>
                <w:color w:val="454545"/>
                <w:sz w:val="24"/>
                <w:szCs w:val="24"/>
                <w:lang w:val="uk-UA"/>
              </w:rPr>
            </w:pPr>
          </w:p>
        </w:tc>
        <w:tc>
          <w:tcPr>
            <w:tcW w:w="0" w:type="auto"/>
          </w:tcPr>
          <w:p w:rsidR="00D12CFB" w:rsidRPr="00D12CFB" w:rsidRDefault="00D12CFB" w:rsidP="008B4FC6">
            <w:pPr>
              <w:contextualSpacing/>
              <w:jc w:val="center"/>
              <w:rPr>
                <w:rFonts w:ascii="Times New Roman" w:hAnsi="Times New Roman"/>
                <w:color w:val="454545"/>
                <w:sz w:val="24"/>
                <w:szCs w:val="24"/>
                <w:lang w:val="en-US"/>
              </w:rPr>
            </w:pPr>
            <w:r w:rsidRPr="00D12CFB">
              <w:rPr>
                <w:rFonts w:ascii="Times New Roman" w:hAnsi="Times New Roman"/>
                <w:color w:val="454545"/>
                <w:sz w:val="24"/>
                <w:szCs w:val="24"/>
                <w:lang w:val="en-US"/>
              </w:rPr>
              <w:t>315,64</w:t>
            </w:r>
          </w:p>
          <w:p w:rsidR="00D12CFB" w:rsidRPr="00D12CFB" w:rsidRDefault="00D12CFB" w:rsidP="008B4FC6">
            <w:pPr>
              <w:contextualSpacing/>
              <w:jc w:val="center"/>
              <w:rPr>
                <w:rFonts w:ascii="Times New Roman" w:hAnsi="Times New Roman"/>
                <w:color w:val="454545"/>
                <w:sz w:val="24"/>
                <w:szCs w:val="24"/>
                <w:lang w:val="uk-UA"/>
              </w:rPr>
            </w:pPr>
          </w:p>
        </w:tc>
        <w:tc>
          <w:tcPr>
            <w:tcW w:w="0" w:type="auto"/>
          </w:tcPr>
          <w:p w:rsidR="00D12CFB" w:rsidRPr="00D12CFB" w:rsidRDefault="00D12CFB" w:rsidP="008B4FC6">
            <w:pPr>
              <w:shd w:val="clear" w:color="auto" w:fill="FFFFFF"/>
              <w:contextualSpacing/>
              <w:jc w:val="center"/>
              <w:rPr>
                <w:rFonts w:ascii="Times New Roman" w:hAnsi="Times New Roman"/>
                <w:color w:val="454545"/>
                <w:sz w:val="24"/>
                <w:szCs w:val="24"/>
                <w:lang w:val="en-US"/>
              </w:rPr>
            </w:pPr>
            <w:r w:rsidRPr="00D12CFB">
              <w:rPr>
                <w:rFonts w:ascii="Times New Roman" w:hAnsi="Times New Roman"/>
                <w:color w:val="454545"/>
                <w:sz w:val="24"/>
                <w:szCs w:val="24"/>
                <w:lang w:val="en-US"/>
              </w:rPr>
              <w:t>340,26</w:t>
            </w:r>
          </w:p>
          <w:p w:rsidR="00D12CFB" w:rsidRPr="00D12CFB" w:rsidRDefault="00D12CFB" w:rsidP="008B4FC6">
            <w:pPr>
              <w:shd w:val="clear" w:color="auto" w:fill="FFFFFF"/>
              <w:contextualSpacing/>
              <w:jc w:val="center"/>
              <w:rPr>
                <w:rFonts w:ascii="Times New Roman" w:hAnsi="Times New Roman"/>
                <w:color w:val="454545"/>
                <w:sz w:val="24"/>
                <w:szCs w:val="24"/>
                <w:lang w:val="uk-UA"/>
              </w:rPr>
            </w:pPr>
          </w:p>
        </w:tc>
        <w:tc>
          <w:tcPr>
            <w:tcW w:w="0" w:type="auto"/>
          </w:tcPr>
          <w:p w:rsidR="00D12CFB" w:rsidRPr="00D12CFB" w:rsidRDefault="00D12CFB" w:rsidP="008B4FC6">
            <w:pPr>
              <w:shd w:val="clear" w:color="auto" w:fill="FFFFFF"/>
              <w:contextualSpacing/>
              <w:jc w:val="center"/>
              <w:rPr>
                <w:rFonts w:ascii="Times New Roman" w:hAnsi="Times New Roman"/>
                <w:color w:val="454545"/>
                <w:sz w:val="24"/>
                <w:szCs w:val="24"/>
                <w:lang w:val="en-US"/>
              </w:rPr>
            </w:pPr>
            <w:r w:rsidRPr="00D12CFB">
              <w:rPr>
                <w:rFonts w:ascii="Times New Roman" w:hAnsi="Times New Roman"/>
                <w:color w:val="454545"/>
                <w:sz w:val="24"/>
                <w:szCs w:val="24"/>
                <w:lang w:val="en-US"/>
              </w:rPr>
              <w:t>302,29</w:t>
            </w:r>
          </w:p>
          <w:p w:rsidR="00D12CFB" w:rsidRPr="00D12CFB" w:rsidRDefault="00D12CFB" w:rsidP="008B4FC6">
            <w:pPr>
              <w:shd w:val="clear" w:color="auto" w:fill="FFFFFF"/>
              <w:contextualSpacing/>
              <w:jc w:val="center"/>
              <w:rPr>
                <w:rFonts w:ascii="Times New Roman" w:hAnsi="Times New Roman"/>
                <w:color w:val="454545"/>
                <w:sz w:val="24"/>
                <w:szCs w:val="24"/>
                <w:lang w:val="uk-UA"/>
              </w:rPr>
            </w:pPr>
          </w:p>
        </w:tc>
        <w:tc>
          <w:tcPr>
            <w:tcW w:w="0" w:type="auto"/>
          </w:tcPr>
          <w:p w:rsidR="00D12CFB" w:rsidRPr="00D12CFB" w:rsidRDefault="00D12CFB" w:rsidP="008B4FC6">
            <w:pPr>
              <w:contextualSpacing/>
              <w:jc w:val="center"/>
              <w:rPr>
                <w:rFonts w:ascii="Times New Roman" w:hAnsi="Times New Roman"/>
                <w:color w:val="454545"/>
                <w:sz w:val="24"/>
                <w:szCs w:val="24"/>
                <w:lang w:val="en-US"/>
              </w:rPr>
            </w:pPr>
            <w:r w:rsidRPr="00D12CFB">
              <w:rPr>
                <w:rFonts w:ascii="Times New Roman" w:hAnsi="Times New Roman"/>
                <w:color w:val="454545"/>
                <w:sz w:val="24"/>
                <w:szCs w:val="24"/>
                <w:lang w:val="en-US"/>
              </w:rPr>
              <w:t>610,81</w:t>
            </w:r>
          </w:p>
          <w:p w:rsidR="00D12CFB" w:rsidRPr="00D12CFB" w:rsidRDefault="00D12CFB" w:rsidP="008B4FC6">
            <w:pPr>
              <w:contextualSpacing/>
              <w:jc w:val="center"/>
              <w:rPr>
                <w:rFonts w:ascii="Times New Roman" w:hAnsi="Times New Roman"/>
                <w:color w:val="454545"/>
                <w:sz w:val="24"/>
                <w:szCs w:val="24"/>
                <w:lang w:val="uk-UA"/>
              </w:rPr>
            </w:pPr>
          </w:p>
        </w:tc>
        <w:tc>
          <w:tcPr>
            <w:tcW w:w="0" w:type="auto"/>
          </w:tcPr>
          <w:p w:rsidR="00D12CFB" w:rsidRPr="00D12CFB" w:rsidRDefault="00D12CFB" w:rsidP="008B4FC6">
            <w:pPr>
              <w:shd w:val="clear" w:color="auto" w:fill="FFFFFF"/>
              <w:contextualSpacing/>
              <w:jc w:val="center"/>
              <w:rPr>
                <w:rFonts w:ascii="Times New Roman" w:hAnsi="Times New Roman"/>
                <w:color w:val="454545"/>
                <w:sz w:val="24"/>
                <w:szCs w:val="24"/>
                <w:lang w:val="en-US"/>
              </w:rPr>
            </w:pPr>
            <w:r w:rsidRPr="00D12CFB">
              <w:rPr>
                <w:rFonts w:ascii="Times New Roman" w:hAnsi="Times New Roman"/>
                <w:color w:val="454545"/>
                <w:sz w:val="24"/>
                <w:szCs w:val="24"/>
                <w:lang w:val="en-US"/>
              </w:rPr>
              <w:t>779,50</w:t>
            </w:r>
          </w:p>
          <w:p w:rsidR="00D12CFB" w:rsidRPr="00D12CFB" w:rsidRDefault="00D12CFB" w:rsidP="008B4FC6">
            <w:pPr>
              <w:shd w:val="clear" w:color="auto" w:fill="FFFFFF"/>
              <w:contextualSpacing/>
              <w:jc w:val="center"/>
              <w:rPr>
                <w:rFonts w:ascii="Times New Roman" w:hAnsi="Times New Roman"/>
                <w:color w:val="454545"/>
                <w:sz w:val="24"/>
                <w:szCs w:val="24"/>
                <w:lang w:val="uk-UA"/>
              </w:rPr>
            </w:pPr>
          </w:p>
        </w:tc>
      </w:tr>
      <w:tr w:rsidR="00D12CFB" w:rsidRPr="00D12CFB" w:rsidTr="00D12CFB">
        <w:trPr>
          <w:jc w:val="center"/>
        </w:trPr>
        <w:tc>
          <w:tcPr>
            <w:tcW w:w="0" w:type="auto"/>
          </w:tcPr>
          <w:p w:rsidR="00D12CFB" w:rsidRPr="00D12CFB" w:rsidRDefault="00D12CFB" w:rsidP="008B4FC6">
            <w:pPr>
              <w:widowControl w:val="0"/>
              <w:contextualSpacing/>
              <w:jc w:val="center"/>
              <w:rPr>
                <w:rFonts w:ascii="Times New Roman" w:hAnsi="Times New Roman"/>
                <w:sz w:val="24"/>
                <w:szCs w:val="24"/>
              </w:rPr>
            </w:pPr>
            <w:r w:rsidRPr="00D12CFB">
              <w:rPr>
                <w:rFonts w:ascii="Times New Roman" w:hAnsi="Times New Roman"/>
                <w:sz w:val="24"/>
                <w:szCs w:val="24"/>
              </w:rPr>
              <w:t>2013</w:t>
            </w:r>
          </w:p>
          <w:p w:rsidR="00D12CFB" w:rsidRPr="00D12CFB" w:rsidRDefault="00D12CFB" w:rsidP="008B4FC6">
            <w:pPr>
              <w:contextualSpacing/>
              <w:jc w:val="center"/>
              <w:rPr>
                <w:rFonts w:ascii="Times New Roman" w:hAnsi="Times New Roman"/>
                <w:sz w:val="24"/>
                <w:szCs w:val="24"/>
              </w:rPr>
            </w:pPr>
          </w:p>
        </w:tc>
        <w:tc>
          <w:tcPr>
            <w:tcW w:w="0" w:type="auto"/>
          </w:tcPr>
          <w:p w:rsidR="00D12CFB" w:rsidRPr="00D12CFB" w:rsidRDefault="00D12CFB" w:rsidP="008B4FC6">
            <w:pPr>
              <w:shd w:val="clear" w:color="auto" w:fill="FFFFFF"/>
              <w:contextualSpacing/>
              <w:jc w:val="center"/>
              <w:rPr>
                <w:rFonts w:ascii="Times New Roman" w:hAnsi="Times New Roman"/>
                <w:color w:val="454545"/>
                <w:sz w:val="24"/>
                <w:szCs w:val="24"/>
                <w:lang w:val="en-US"/>
              </w:rPr>
            </w:pPr>
            <w:r w:rsidRPr="00D12CFB">
              <w:rPr>
                <w:rFonts w:ascii="Times New Roman" w:hAnsi="Times New Roman"/>
                <w:color w:val="454545"/>
                <w:sz w:val="24"/>
                <w:szCs w:val="24"/>
                <w:lang w:val="en-US"/>
              </w:rPr>
              <w:t>441,85</w:t>
            </w:r>
          </w:p>
          <w:p w:rsidR="00D12CFB" w:rsidRPr="00E0365D" w:rsidRDefault="00D12CFB" w:rsidP="008B4FC6">
            <w:pPr>
              <w:shd w:val="clear" w:color="auto" w:fill="FFFFFF"/>
              <w:contextualSpacing/>
              <w:jc w:val="center"/>
              <w:rPr>
                <w:rFonts w:ascii="Times New Roman" w:hAnsi="Times New Roman"/>
                <w:color w:val="454545"/>
                <w:sz w:val="24"/>
                <w:szCs w:val="24"/>
                <w:lang w:val="uk-UA"/>
              </w:rPr>
            </w:pPr>
          </w:p>
        </w:tc>
        <w:tc>
          <w:tcPr>
            <w:tcW w:w="0" w:type="auto"/>
          </w:tcPr>
          <w:p w:rsidR="00D12CFB" w:rsidRPr="00D12CFB" w:rsidRDefault="00D12CFB" w:rsidP="008B4FC6">
            <w:pPr>
              <w:shd w:val="clear" w:color="auto" w:fill="FFFFFF"/>
              <w:contextualSpacing/>
              <w:jc w:val="center"/>
              <w:rPr>
                <w:rFonts w:ascii="Times New Roman" w:hAnsi="Times New Roman"/>
                <w:color w:val="454545"/>
                <w:sz w:val="24"/>
                <w:szCs w:val="24"/>
                <w:lang w:val="en-US"/>
              </w:rPr>
            </w:pPr>
            <w:r w:rsidRPr="00D12CFB">
              <w:rPr>
                <w:rFonts w:ascii="Times New Roman" w:hAnsi="Times New Roman"/>
                <w:color w:val="454545"/>
                <w:sz w:val="24"/>
                <w:szCs w:val="24"/>
                <w:lang w:val="en-US"/>
              </w:rPr>
              <w:t>541,78</w:t>
            </w:r>
          </w:p>
          <w:p w:rsidR="00D12CFB" w:rsidRPr="00D12CFB" w:rsidRDefault="00D12CFB" w:rsidP="008B4FC6">
            <w:pPr>
              <w:shd w:val="clear" w:color="auto" w:fill="FFFFFF"/>
              <w:contextualSpacing/>
              <w:jc w:val="center"/>
              <w:rPr>
                <w:rFonts w:ascii="Times New Roman" w:hAnsi="Times New Roman"/>
                <w:color w:val="454545"/>
                <w:sz w:val="24"/>
                <w:szCs w:val="24"/>
                <w:lang w:val="uk-UA"/>
              </w:rPr>
            </w:pPr>
          </w:p>
        </w:tc>
        <w:tc>
          <w:tcPr>
            <w:tcW w:w="0" w:type="auto"/>
          </w:tcPr>
          <w:p w:rsidR="00D12CFB" w:rsidRPr="00D12CFB" w:rsidRDefault="00D12CFB" w:rsidP="008B4FC6">
            <w:pPr>
              <w:contextualSpacing/>
              <w:jc w:val="center"/>
              <w:rPr>
                <w:rFonts w:ascii="Times New Roman" w:hAnsi="Times New Roman"/>
                <w:color w:val="454545"/>
                <w:sz w:val="24"/>
                <w:szCs w:val="24"/>
                <w:lang w:val="en-US"/>
              </w:rPr>
            </w:pPr>
            <w:r w:rsidRPr="00D12CFB">
              <w:rPr>
                <w:rFonts w:ascii="Times New Roman" w:hAnsi="Times New Roman"/>
                <w:color w:val="454545"/>
                <w:sz w:val="24"/>
                <w:szCs w:val="24"/>
                <w:lang w:val="en-US"/>
              </w:rPr>
              <w:t>468,49</w:t>
            </w:r>
          </w:p>
          <w:p w:rsidR="00D12CFB" w:rsidRPr="00D12CFB" w:rsidRDefault="00D12CFB" w:rsidP="008B4FC6">
            <w:pPr>
              <w:contextualSpacing/>
              <w:jc w:val="center"/>
              <w:rPr>
                <w:rFonts w:ascii="Times New Roman" w:hAnsi="Times New Roman"/>
                <w:color w:val="454545"/>
                <w:sz w:val="24"/>
                <w:szCs w:val="24"/>
                <w:lang w:val="uk-UA"/>
              </w:rPr>
            </w:pPr>
          </w:p>
        </w:tc>
        <w:tc>
          <w:tcPr>
            <w:tcW w:w="0" w:type="auto"/>
          </w:tcPr>
          <w:p w:rsidR="00D12CFB" w:rsidRPr="00D12CFB" w:rsidRDefault="00D12CFB" w:rsidP="008B4FC6">
            <w:pPr>
              <w:shd w:val="clear" w:color="auto" w:fill="FFFFFF"/>
              <w:contextualSpacing/>
              <w:jc w:val="center"/>
              <w:rPr>
                <w:rFonts w:ascii="Times New Roman" w:hAnsi="Times New Roman"/>
                <w:color w:val="454545"/>
                <w:sz w:val="24"/>
                <w:szCs w:val="24"/>
                <w:lang w:val="en-US"/>
              </w:rPr>
            </w:pPr>
            <w:r w:rsidRPr="00D12CFB">
              <w:rPr>
                <w:rFonts w:ascii="Times New Roman" w:hAnsi="Times New Roman"/>
                <w:color w:val="454545"/>
                <w:sz w:val="24"/>
                <w:szCs w:val="24"/>
                <w:lang w:val="en-US"/>
              </w:rPr>
              <w:t>313,07</w:t>
            </w:r>
          </w:p>
          <w:p w:rsidR="00D12CFB" w:rsidRPr="00D12CFB" w:rsidRDefault="00D12CFB" w:rsidP="008B4FC6">
            <w:pPr>
              <w:shd w:val="clear" w:color="auto" w:fill="FFFFFF"/>
              <w:contextualSpacing/>
              <w:jc w:val="center"/>
              <w:rPr>
                <w:rFonts w:ascii="Times New Roman" w:hAnsi="Times New Roman"/>
                <w:color w:val="454545"/>
                <w:sz w:val="24"/>
                <w:szCs w:val="24"/>
                <w:lang w:val="uk-UA"/>
              </w:rPr>
            </w:pPr>
          </w:p>
        </w:tc>
        <w:tc>
          <w:tcPr>
            <w:tcW w:w="0" w:type="auto"/>
          </w:tcPr>
          <w:p w:rsidR="00D12CFB" w:rsidRPr="00D12CFB" w:rsidRDefault="00D12CFB" w:rsidP="008B4FC6">
            <w:pPr>
              <w:contextualSpacing/>
              <w:jc w:val="center"/>
              <w:rPr>
                <w:rFonts w:ascii="Times New Roman" w:hAnsi="Times New Roman"/>
                <w:color w:val="454545"/>
                <w:sz w:val="24"/>
                <w:szCs w:val="24"/>
                <w:lang w:val="en-US"/>
              </w:rPr>
            </w:pPr>
            <w:r w:rsidRPr="00D12CFB">
              <w:rPr>
                <w:rFonts w:ascii="Times New Roman" w:hAnsi="Times New Roman"/>
                <w:color w:val="454545"/>
                <w:sz w:val="24"/>
                <w:szCs w:val="24"/>
                <w:lang w:val="en-US"/>
              </w:rPr>
              <w:t>343,04</w:t>
            </w:r>
          </w:p>
          <w:p w:rsidR="00D12CFB" w:rsidRPr="00D12CFB" w:rsidRDefault="00D12CFB" w:rsidP="008B4FC6">
            <w:pPr>
              <w:contextualSpacing/>
              <w:jc w:val="center"/>
              <w:rPr>
                <w:rFonts w:ascii="Times New Roman" w:hAnsi="Times New Roman"/>
                <w:color w:val="454545"/>
                <w:sz w:val="24"/>
                <w:szCs w:val="24"/>
                <w:lang w:val="uk-UA"/>
              </w:rPr>
            </w:pPr>
          </w:p>
        </w:tc>
        <w:tc>
          <w:tcPr>
            <w:tcW w:w="0" w:type="auto"/>
          </w:tcPr>
          <w:p w:rsidR="00D12CFB" w:rsidRPr="00D12CFB" w:rsidRDefault="00D12CFB" w:rsidP="008B4FC6">
            <w:pPr>
              <w:contextualSpacing/>
              <w:jc w:val="center"/>
              <w:rPr>
                <w:rFonts w:ascii="Times New Roman" w:hAnsi="Times New Roman"/>
                <w:color w:val="454545"/>
                <w:sz w:val="24"/>
                <w:szCs w:val="24"/>
                <w:lang w:val="en-US"/>
              </w:rPr>
            </w:pPr>
            <w:r w:rsidRPr="00D12CFB">
              <w:rPr>
                <w:rFonts w:ascii="Times New Roman" w:hAnsi="Times New Roman"/>
                <w:color w:val="454545"/>
                <w:sz w:val="24"/>
                <w:szCs w:val="24"/>
                <w:lang w:val="en-US"/>
              </w:rPr>
              <w:t>283,17</w:t>
            </w:r>
          </w:p>
          <w:p w:rsidR="00D12CFB" w:rsidRPr="00D12CFB" w:rsidRDefault="00D12CFB" w:rsidP="008B4FC6">
            <w:pPr>
              <w:contextualSpacing/>
              <w:jc w:val="center"/>
              <w:rPr>
                <w:rFonts w:ascii="Times New Roman" w:hAnsi="Times New Roman"/>
                <w:color w:val="454545"/>
                <w:sz w:val="24"/>
                <w:szCs w:val="24"/>
                <w:lang w:val="uk-UA"/>
              </w:rPr>
            </w:pPr>
          </w:p>
        </w:tc>
        <w:tc>
          <w:tcPr>
            <w:tcW w:w="0" w:type="auto"/>
          </w:tcPr>
          <w:p w:rsidR="00D12CFB" w:rsidRPr="00D12CFB" w:rsidRDefault="00D12CFB" w:rsidP="008B4FC6">
            <w:pPr>
              <w:shd w:val="clear" w:color="auto" w:fill="FFFFFF"/>
              <w:contextualSpacing/>
              <w:jc w:val="center"/>
              <w:rPr>
                <w:rFonts w:ascii="Times New Roman" w:hAnsi="Times New Roman"/>
                <w:color w:val="454545"/>
                <w:sz w:val="24"/>
                <w:szCs w:val="24"/>
                <w:lang w:val="en-US"/>
              </w:rPr>
            </w:pPr>
            <w:r w:rsidRPr="00D12CFB">
              <w:rPr>
                <w:rFonts w:ascii="Times New Roman" w:hAnsi="Times New Roman"/>
                <w:color w:val="454545"/>
                <w:sz w:val="24"/>
                <w:szCs w:val="24"/>
                <w:lang w:val="en-US"/>
              </w:rPr>
              <w:t>604,98</w:t>
            </w:r>
          </w:p>
          <w:p w:rsidR="00D12CFB" w:rsidRPr="00D12CFB" w:rsidRDefault="00D12CFB" w:rsidP="008B4FC6">
            <w:pPr>
              <w:shd w:val="clear" w:color="auto" w:fill="FFFFFF"/>
              <w:contextualSpacing/>
              <w:jc w:val="center"/>
              <w:rPr>
                <w:rFonts w:ascii="Times New Roman" w:hAnsi="Times New Roman"/>
                <w:color w:val="454545"/>
                <w:sz w:val="24"/>
                <w:szCs w:val="24"/>
                <w:lang w:val="uk-UA"/>
              </w:rPr>
            </w:pPr>
          </w:p>
        </w:tc>
        <w:tc>
          <w:tcPr>
            <w:tcW w:w="0" w:type="auto"/>
          </w:tcPr>
          <w:p w:rsidR="00D12CFB" w:rsidRPr="00D12CFB" w:rsidRDefault="00D12CFB" w:rsidP="008B4FC6">
            <w:pPr>
              <w:contextualSpacing/>
              <w:jc w:val="center"/>
              <w:rPr>
                <w:rFonts w:ascii="Times New Roman" w:hAnsi="Times New Roman"/>
                <w:color w:val="454545"/>
                <w:sz w:val="24"/>
                <w:szCs w:val="24"/>
                <w:lang w:val="en-US"/>
              </w:rPr>
            </w:pPr>
            <w:r w:rsidRPr="00D12CFB">
              <w:rPr>
                <w:rFonts w:ascii="Times New Roman" w:hAnsi="Times New Roman"/>
                <w:color w:val="454545"/>
                <w:sz w:val="24"/>
                <w:szCs w:val="24"/>
                <w:lang w:val="en-US"/>
              </w:rPr>
              <w:t>724,29</w:t>
            </w:r>
          </w:p>
          <w:p w:rsidR="00D12CFB" w:rsidRPr="00D12CFB" w:rsidRDefault="00D12CFB" w:rsidP="008B4FC6">
            <w:pPr>
              <w:contextualSpacing/>
              <w:jc w:val="center"/>
              <w:rPr>
                <w:rFonts w:ascii="Times New Roman" w:hAnsi="Times New Roman"/>
                <w:color w:val="454545"/>
                <w:sz w:val="24"/>
                <w:szCs w:val="24"/>
                <w:lang w:val="uk-UA"/>
              </w:rPr>
            </w:pPr>
          </w:p>
        </w:tc>
      </w:tr>
      <w:tr w:rsidR="00D12CFB" w:rsidRPr="00D12CFB" w:rsidTr="00D12CFB">
        <w:trPr>
          <w:jc w:val="center"/>
        </w:trPr>
        <w:tc>
          <w:tcPr>
            <w:tcW w:w="0" w:type="auto"/>
          </w:tcPr>
          <w:p w:rsidR="00D12CFB" w:rsidRPr="00D12CFB" w:rsidRDefault="00D12CFB" w:rsidP="008B4FC6">
            <w:pPr>
              <w:widowControl w:val="0"/>
              <w:contextualSpacing/>
              <w:jc w:val="center"/>
              <w:rPr>
                <w:rFonts w:ascii="Times New Roman" w:hAnsi="Times New Roman"/>
                <w:sz w:val="24"/>
                <w:szCs w:val="24"/>
                <w:lang w:val="uk-UA"/>
              </w:rPr>
            </w:pPr>
            <w:r w:rsidRPr="00D12CFB">
              <w:rPr>
                <w:rFonts w:ascii="Times New Roman" w:hAnsi="Times New Roman"/>
                <w:sz w:val="24"/>
                <w:szCs w:val="24"/>
                <w:lang w:val="uk-UA"/>
              </w:rPr>
              <w:t>2014</w:t>
            </w:r>
          </w:p>
          <w:p w:rsidR="00D12CFB" w:rsidRPr="00D12CFB" w:rsidRDefault="00D12CFB" w:rsidP="008B4FC6">
            <w:pPr>
              <w:contextualSpacing/>
              <w:jc w:val="center"/>
              <w:rPr>
                <w:rFonts w:ascii="Times New Roman" w:hAnsi="Times New Roman"/>
                <w:sz w:val="24"/>
                <w:szCs w:val="24"/>
                <w:lang w:val="uk-UA"/>
              </w:rPr>
            </w:pPr>
          </w:p>
        </w:tc>
        <w:tc>
          <w:tcPr>
            <w:tcW w:w="0" w:type="auto"/>
          </w:tcPr>
          <w:p w:rsidR="00D12CFB" w:rsidRPr="00D12CFB" w:rsidRDefault="00D12CFB" w:rsidP="008B4FC6">
            <w:pPr>
              <w:contextualSpacing/>
              <w:jc w:val="center"/>
              <w:rPr>
                <w:rFonts w:ascii="Times New Roman" w:hAnsi="Times New Roman"/>
                <w:color w:val="454545"/>
                <w:sz w:val="24"/>
                <w:szCs w:val="24"/>
                <w:lang w:val="en-US"/>
              </w:rPr>
            </w:pPr>
            <w:r w:rsidRPr="00D12CFB">
              <w:rPr>
                <w:rFonts w:ascii="Times New Roman" w:hAnsi="Times New Roman"/>
                <w:color w:val="454545"/>
                <w:sz w:val="24"/>
                <w:szCs w:val="24"/>
                <w:lang w:val="en-US"/>
              </w:rPr>
              <w:t>419,09</w:t>
            </w:r>
          </w:p>
          <w:p w:rsidR="00D12CFB" w:rsidRPr="00D12CFB" w:rsidRDefault="00D12CFB" w:rsidP="008B4FC6">
            <w:pPr>
              <w:contextualSpacing/>
              <w:jc w:val="center"/>
              <w:rPr>
                <w:rFonts w:ascii="Times New Roman" w:hAnsi="Times New Roman"/>
                <w:color w:val="454545"/>
                <w:sz w:val="24"/>
                <w:szCs w:val="24"/>
                <w:lang w:val="uk-UA"/>
              </w:rPr>
            </w:pPr>
          </w:p>
        </w:tc>
        <w:tc>
          <w:tcPr>
            <w:tcW w:w="0" w:type="auto"/>
          </w:tcPr>
          <w:p w:rsidR="00D12CFB" w:rsidRPr="00D12CFB" w:rsidRDefault="00D12CFB" w:rsidP="008B4FC6">
            <w:pPr>
              <w:contextualSpacing/>
              <w:jc w:val="center"/>
              <w:rPr>
                <w:rFonts w:ascii="Times New Roman" w:hAnsi="Times New Roman"/>
                <w:color w:val="454545"/>
                <w:sz w:val="24"/>
                <w:szCs w:val="24"/>
                <w:lang w:val="en-US"/>
              </w:rPr>
            </w:pPr>
            <w:r w:rsidRPr="00D12CFB">
              <w:rPr>
                <w:rFonts w:ascii="Times New Roman" w:hAnsi="Times New Roman"/>
                <w:color w:val="454545"/>
                <w:sz w:val="24"/>
                <w:szCs w:val="24"/>
                <w:lang w:val="en-US"/>
              </w:rPr>
              <w:t>558,82</w:t>
            </w:r>
          </w:p>
          <w:p w:rsidR="00D12CFB" w:rsidRPr="00D12CFB" w:rsidRDefault="00D12CFB" w:rsidP="008B4FC6">
            <w:pPr>
              <w:contextualSpacing/>
              <w:jc w:val="center"/>
              <w:rPr>
                <w:rFonts w:ascii="Times New Roman" w:hAnsi="Times New Roman"/>
                <w:color w:val="454545"/>
                <w:sz w:val="24"/>
                <w:szCs w:val="24"/>
                <w:lang w:val="uk-UA"/>
              </w:rPr>
            </w:pPr>
          </w:p>
        </w:tc>
        <w:tc>
          <w:tcPr>
            <w:tcW w:w="0" w:type="auto"/>
          </w:tcPr>
          <w:p w:rsidR="00D12CFB" w:rsidRPr="00D12CFB" w:rsidRDefault="00D12CFB" w:rsidP="008B4FC6">
            <w:pPr>
              <w:shd w:val="clear" w:color="auto" w:fill="FFFFFF"/>
              <w:contextualSpacing/>
              <w:jc w:val="center"/>
              <w:rPr>
                <w:rFonts w:ascii="Times New Roman" w:hAnsi="Times New Roman"/>
                <w:color w:val="454545"/>
                <w:sz w:val="24"/>
                <w:szCs w:val="24"/>
                <w:lang w:val="en-US"/>
              </w:rPr>
            </w:pPr>
            <w:r w:rsidRPr="00D12CFB">
              <w:rPr>
                <w:rFonts w:ascii="Times New Roman" w:hAnsi="Times New Roman"/>
                <w:color w:val="454545"/>
                <w:sz w:val="24"/>
                <w:szCs w:val="24"/>
                <w:lang w:val="en-US"/>
              </w:rPr>
              <w:t>447,91</w:t>
            </w:r>
          </w:p>
          <w:p w:rsidR="00D12CFB" w:rsidRPr="00D12CFB" w:rsidRDefault="00D12CFB" w:rsidP="008B4FC6">
            <w:pPr>
              <w:shd w:val="clear" w:color="auto" w:fill="FFFFFF"/>
              <w:contextualSpacing/>
              <w:jc w:val="center"/>
              <w:rPr>
                <w:rFonts w:ascii="Times New Roman" w:hAnsi="Times New Roman"/>
                <w:color w:val="454545"/>
                <w:sz w:val="24"/>
                <w:szCs w:val="24"/>
                <w:lang w:val="uk-UA"/>
              </w:rPr>
            </w:pPr>
          </w:p>
        </w:tc>
        <w:tc>
          <w:tcPr>
            <w:tcW w:w="0" w:type="auto"/>
          </w:tcPr>
          <w:p w:rsidR="00D12CFB" w:rsidRPr="00D12CFB" w:rsidRDefault="00D12CFB" w:rsidP="008B4FC6">
            <w:pPr>
              <w:contextualSpacing/>
              <w:jc w:val="center"/>
              <w:rPr>
                <w:rFonts w:ascii="Times New Roman" w:hAnsi="Times New Roman"/>
                <w:color w:val="454545"/>
                <w:sz w:val="24"/>
                <w:szCs w:val="24"/>
                <w:lang w:val="en-US"/>
              </w:rPr>
            </w:pPr>
            <w:r w:rsidRPr="00D12CFB">
              <w:rPr>
                <w:rFonts w:ascii="Times New Roman" w:hAnsi="Times New Roman"/>
                <w:color w:val="454545"/>
                <w:sz w:val="24"/>
                <w:szCs w:val="24"/>
                <w:lang w:val="en-US"/>
              </w:rPr>
              <w:t>308,33</w:t>
            </w:r>
          </w:p>
          <w:p w:rsidR="00D12CFB" w:rsidRPr="00D12CFB" w:rsidRDefault="00D12CFB" w:rsidP="008B4FC6">
            <w:pPr>
              <w:contextualSpacing/>
              <w:jc w:val="center"/>
              <w:rPr>
                <w:rFonts w:ascii="Times New Roman" w:hAnsi="Times New Roman"/>
                <w:color w:val="454545"/>
                <w:sz w:val="24"/>
                <w:szCs w:val="24"/>
                <w:lang w:val="uk-UA"/>
              </w:rPr>
            </w:pPr>
          </w:p>
        </w:tc>
        <w:tc>
          <w:tcPr>
            <w:tcW w:w="0" w:type="auto"/>
          </w:tcPr>
          <w:p w:rsidR="00D12CFB" w:rsidRPr="00D12CFB" w:rsidRDefault="00D12CFB" w:rsidP="008B4FC6">
            <w:pPr>
              <w:shd w:val="clear" w:color="auto" w:fill="FFFFFF"/>
              <w:contextualSpacing/>
              <w:jc w:val="center"/>
              <w:rPr>
                <w:rFonts w:ascii="Times New Roman" w:hAnsi="Times New Roman"/>
                <w:color w:val="454545"/>
                <w:sz w:val="24"/>
                <w:szCs w:val="24"/>
                <w:lang w:val="en-US"/>
              </w:rPr>
            </w:pPr>
            <w:r w:rsidRPr="00D12CFB">
              <w:rPr>
                <w:rFonts w:ascii="Times New Roman" w:hAnsi="Times New Roman"/>
                <w:color w:val="454545"/>
                <w:sz w:val="24"/>
                <w:szCs w:val="24"/>
                <w:lang w:val="en-US"/>
              </w:rPr>
              <w:t>334,19</w:t>
            </w:r>
          </w:p>
          <w:p w:rsidR="00D12CFB" w:rsidRPr="00D12CFB" w:rsidRDefault="00D12CFB" w:rsidP="008B4FC6">
            <w:pPr>
              <w:shd w:val="clear" w:color="auto" w:fill="FFFFFF"/>
              <w:contextualSpacing/>
              <w:jc w:val="center"/>
              <w:rPr>
                <w:rFonts w:ascii="Times New Roman" w:hAnsi="Times New Roman"/>
                <w:color w:val="454545"/>
                <w:sz w:val="24"/>
                <w:szCs w:val="24"/>
                <w:lang w:val="uk-UA"/>
              </w:rPr>
            </w:pPr>
          </w:p>
        </w:tc>
        <w:tc>
          <w:tcPr>
            <w:tcW w:w="0" w:type="auto"/>
          </w:tcPr>
          <w:p w:rsidR="00D12CFB" w:rsidRPr="00D12CFB" w:rsidRDefault="00D12CFB" w:rsidP="008B4FC6">
            <w:pPr>
              <w:contextualSpacing/>
              <w:jc w:val="center"/>
              <w:rPr>
                <w:rFonts w:ascii="Times New Roman" w:hAnsi="Times New Roman"/>
                <w:color w:val="454545"/>
                <w:sz w:val="24"/>
                <w:szCs w:val="24"/>
                <w:lang w:val="en-US"/>
              </w:rPr>
            </w:pPr>
            <w:r w:rsidRPr="00D12CFB">
              <w:rPr>
                <w:rFonts w:ascii="Times New Roman" w:hAnsi="Times New Roman"/>
                <w:color w:val="454545"/>
                <w:sz w:val="24"/>
                <w:szCs w:val="24"/>
                <w:lang w:val="en-US"/>
              </w:rPr>
              <w:t>288,40</w:t>
            </w:r>
          </w:p>
          <w:p w:rsidR="00D12CFB" w:rsidRPr="00D12CFB" w:rsidRDefault="00D12CFB" w:rsidP="008B4FC6">
            <w:pPr>
              <w:contextualSpacing/>
              <w:jc w:val="center"/>
              <w:rPr>
                <w:rFonts w:ascii="Times New Roman" w:hAnsi="Times New Roman"/>
                <w:color w:val="454545"/>
                <w:sz w:val="24"/>
                <w:szCs w:val="24"/>
                <w:lang w:val="uk-UA"/>
              </w:rPr>
            </w:pPr>
          </w:p>
        </w:tc>
        <w:tc>
          <w:tcPr>
            <w:tcW w:w="0" w:type="auto"/>
          </w:tcPr>
          <w:p w:rsidR="00D12CFB" w:rsidRPr="00D12CFB" w:rsidRDefault="00D12CFB" w:rsidP="008B4FC6">
            <w:pPr>
              <w:contextualSpacing/>
              <w:jc w:val="center"/>
              <w:rPr>
                <w:rFonts w:ascii="Times New Roman" w:hAnsi="Times New Roman"/>
                <w:color w:val="454545"/>
                <w:sz w:val="24"/>
                <w:szCs w:val="24"/>
                <w:lang w:val="en-US"/>
              </w:rPr>
            </w:pPr>
            <w:r w:rsidRPr="00D12CFB">
              <w:rPr>
                <w:rFonts w:ascii="Times New Roman" w:hAnsi="Times New Roman"/>
                <w:color w:val="454545"/>
                <w:sz w:val="24"/>
                <w:szCs w:val="24"/>
                <w:lang w:val="en-US"/>
              </w:rPr>
              <w:t>596,90</w:t>
            </w:r>
          </w:p>
          <w:p w:rsidR="00D12CFB" w:rsidRPr="00D12CFB" w:rsidRDefault="00D12CFB" w:rsidP="008B4FC6">
            <w:pPr>
              <w:contextualSpacing/>
              <w:jc w:val="center"/>
              <w:rPr>
                <w:rFonts w:ascii="Times New Roman" w:hAnsi="Times New Roman"/>
                <w:color w:val="454545"/>
                <w:sz w:val="24"/>
                <w:szCs w:val="24"/>
                <w:lang w:val="uk-UA"/>
              </w:rPr>
            </w:pPr>
          </w:p>
        </w:tc>
        <w:tc>
          <w:tcPr>
            <w:tcW w:w="0" w:type="auto"/>
          </w:tcPr>
          <w:p w:rsidR="00D12CFB" w:rsidRPr="00D12CFB" w:rsidRDefault="00D12CFB" w:rsidP="008B4FC6">
            <w:pPr>
              <w:shd w:val="clear" w:color="auto" w:fill="FFFFFF"/>
              <w:contextualSpacing/>
              <w:jc w:val="center"/>
              <w:rPr>
                <w:rFonts w:ascii="Times New Roman" w:hAnsi="Times New Roman"/>
                <w:color w:val="454545"/>
                <w:sz w:val="24"/>
                <w:szCs w:val="24"/>
                <w:lang w:val="en-US"/>
              </w:rPr>
            </w:pPr>
            <w:r w:rsidRPr="00D12CFB">
              <w:rPr>
                <w:rFonts w:ascii="Times New Roman" w:hAnsi="Times New Roman"/>
                <w:color w:val="454545"/>
                <w:sz w:val="24"/>
                <w:szCs w:val="24"/>
                <w:lang w:val="en-US"/>
              </w:rPr>
              <w:t>736,64</w:t>
            </w:r>
          </w:p>
          <w:p w:rsidR="00D12CFB" w:rsidRPr="00D12CFB" w:rsidRDefault="00D12CFB" w:rsidP="008B4FC6">
            <w:pPr>
              <w:shd w:val="clear" w:color="auto" w:fill="FFFFFF"/>
              <w:contextualSpacing/>
              <w:jc w:val="center"/>
              <w:rPr>
                <w:rFonts w:ascii="Times New Roman" w:hAnsi="Times New Roman"/>
                <w:color w:val="454545"/>
                <w:sz w:val="24"/>
                <w:szCs w:val="24"/>
                <w:lang w:val="uk-UA"/>
              </w:rPr>
            </w:pPr>
          </w:p>
        </w:tc>
      </w:tr>
      <w:tr w:rsidR="00D12CFB" w:rsidRPr="00D12CFB" w:rsidTr="00D12CFB">
        <w:trPr>
          <w:jc w:val="center"/>
        </w:trPr>
        <w:tc>
          <w:tcPr>
            <w:tcW w:w="0" w:type="auto"/>
          </w:tcPr>
          <w:p w:rsidR="00D12CFB" w:rsidRPr="00D12CFB" w:rsidRDefault="00D12CFB" w:rsidP="008B4FC6">
            <w:pPr>
              <w:widowControl w:val="0"/>
              <w:contextualSpacing/>
              <w:jc w:val="center"/>
              <w:rPr>
                <w:rFonts w:ascii="Times New Roman" w:hAnsi="Times New Roman"/>
                <w:sz w:val="24"/>
                <w:szCs w:val="24"/>
                <w:lang w:val="uk-UA"/>
              </w:rPr>
            </w:pPr>
            <w:r w:rsidRPr="00D12CFB">
              <w:rPr>
                <w:rFonts w:ascii="Times New Roman" w:hAnsi="Times New Roman"/>
                <w:sz w:val="24"/>
                <w:szCs w:val="24"/>
                <w:lang w:val="uk-UA"/>
              </w:rPr>
              <w:t>2015</w:t>
            </w:r>
          </w:p>
          <w:p w:rsidR="00D12CFB" w:rsidRPr="00D12CFB" w:rsidRDefault="00D12CFB" w:rsidP="008B4FC6">
            <w:pPr>
              <w:contextualSpacing/>
              <w:jc w:val="center"/>
              <w:rPr>
                <w:rFonts w:ascii="Times New Roman" w:hAnsi="Times New Roman"/>
                <w:sz w:val="24"/>
                <w:szCs w:val="24"/>
                <w:lang w:val="uk-UA"/>
              </w:rPr>
            </w:pPr>
          </w:p>
        </w:tc>
        <w:tc>
          <w:tcPr>
            <w:tcW w:w="0" w:type="auto"/>
          </w:tcPr>
          <w:p w:rsidR="00D12CFB" w:rsidRPr="00D12CFB" w:rsidRDefault="00D12CFB" w:rsidP="008B4FC6">
            <w:pPr>
              <w:contextualSpacing/>
              <w:jc w:val="center"/>
              <w:rPr>
                <w:rFonts w:ascii="Times New Roman" w:hAnsi="Times New Roman"/>
                <w:color w:val="454545"/>
                <w:sz w:val="24"/>
                <w:szCs w:val="24"/>
                <w:lang w:val="en-US"/>
              </w:rPr>
            </w:pPr>
            <w:r w:rsidRPr="00D12CFB">
              <w:rPr>
                <w:rFonts w:ascii="Times New Roman" w:hAnsi="Times New Roman"/>
                <w:color w:val="454545"/>
                <w:sz w:val="24"/>
                <w:szCs w:val="24"/>
                <w:lang w:val="en-US"/>
              </w:rPr>
              <w:t>396,13</w:t>
            </w:r>
          </w:p>
          <w:p w:rsidR="00D12CFB" w:rsidRPr="00D12CFB" w:rsidRDefault="00D12CFB" w:rsidP="008B4FC6">
            <w:pPr>
              <w:contextualSpacing/>
              <w:jc w:val="center"/>
              <w:rPr>
                <w:rFonts w:ascii="Times New Roman" w:hAnsi="Times New Roman"/>
                <w:color w:val="454545"/>
                <w:sz w:val="24"/>
                <w:szCs w:val="24"/>
                <w:lang w:val="uk-UA"/>
              </w:rPr>
            </w:pPr>
          </w:p>
        </w:tc>
        <w:tc>
          <w:tcPr>
            <w:tcW w:w="0" w:type="auto"/>
          </w:tcPr>
          <w:p w:rsidR="00D12CFB" w:rsidRPr="00D12CFB" w:rsidRDefault="00D12CFB" w:rsidP="008B4FC6">
            <w:pPr>
              <w:shd w:val="clear" w:color="auto" w:fill="FFFFFF"/>
              <w:contextualSpacing/>
              <w:jc w:val="center"/>
              <w:rPr>
                <w:rFonts w:ascii="Times New Roman" w:hAnsi="Times New Roman"/>
                <w:color w:val="454545"/>
                <w:sz w:val="24"/>
                <w:szCs w:val="24"/>
                <w:lang w:val="en-US"/>
              </w:rPr>
            </w:pPr>
            <w:r w:rsidRPr="00D12CFB">
              <w:rPr>
                <w:rFonts w:ascii="Times New Roman" w:hAnsi="Times New Roman"/>
                <w:color w:val="454545"/>
                <w:sz w:val="24"/>
                <w:szCs w:val="24"/>
                <w:lang w:val="en-US"/>
              </w:rPr>
              <w:t>540,50</w:t>
            </w:r>
          </w:p>
          <w:p w:rsidR="00D12CFB" w:rsidRPr="00D12CFB" w:rsidRDefault="00D12CFB" w:rsidP="008B4FC6">
            <w:pPr>
              <w:shd w:val="clear" w:color="auto" w:fill="FFFFFF"/>
              <w:contextualSpacing/>
              <w:jc w:val="center"/>
              <w:rPr>
                <w:rFonts w:ascii="Times New Roman" w:hAnsi="Times New Roman"/>
                <w:color w:val="454545"/>
                <w:sz w:val="24"/>
                <w:szCs w:val="24"/>
                <w:lang w:val="uk-UA"/>
              </w:rPr>
            </w:pPr>
          </w:p>
        </w:tc>
        <w:tc>
          <w:tcPr>
            <w:tcW w:w="0" w:type="auto"/>
          </w:tcPr>
          <w:p w:rsidR="00D12CFB" w:rsidRPr="00D12CFB" w:rsidRDefault="00D12CFB" w:rsidP="008B4FC6">
            <w:pPr>
              <w:contextualSpacing/>
              <w:jc w:val="center"/>
              <w:rPr>
                <w:rFonts w:ascii="Times New Roman" w:hAnsi="Times New Roman"/>
                <w:color w:val="454545"/>
                <w:sz w:val="24"/>
                <w:szCs w:val="24"/>
                <w:lang w:val="en-US"/>
              </w:rPr>
            </w:pPr>
            <w:r w:rsidRPr="00D12CFB">
              <w:rPr>
                <w:rFonts w:ascii="Times New Roman" w:hAnsi="Times New Roman"/>
                <w:color w:val="454545"/>
                <w:sz w:val="24"/>
                <w:szCs w:val="24"/>
                <w:lang w:val="en-US"/>
              </w:rPr>
              <w:t>442,06</w:t>
            </w:r>
          </w:p>
          <w:p w:rsidR="00D12CFB" w:rsidRPr="00D12CFB" w:rsidRDefault="00D12CFB" w:rsidP="008B4FC6">
            <w:pPr>
              <w:contextualSpacing/>
              <w:jc w:val="center"/>
              <w:rPr>
                <w:rFonts w:ascii="Times New Roman" w:hAnsi="Times New Roman"/>
                <w:color w:val="454545"/>
                <w:sz w:val="24"/>
                <w:szCs w:val="24"/>
                <w:lang w:val="uk-UA"/>
              </w:rPr>
            </w:pPr>
          </w:p>
        </w:tc>
        <w:tc>
          <w:tcPr>
            <w:tcW w:w="0" w:type="auto"/>
          </w:tcPr>
          <w:p w:rsidR="00D12CFB" w:rsidRPr="00D12CFB" w:rsidRDefault="00D12CFB" w:rsidP="008B4FC6">
            <w:pPr>
              <w:contextualSpacing/>
              <w:jc w:val="center"/>
              <w:rPr>
                <w:rFonts w:ascii="Times New Roman" w:hAnsi="Times New Roman"/>
                <w:color w:val="454545"/>
                <w:sz w:val="24"/>
                <w:szCs w:val="24"/>
                <w:lang w:val="en-US"/>
              </w:rPr>
            </w:pPr>
            <w:r w:rsidRPr="00D12CFB">
              <w:rPr>
                <w:rFonts w:ascii="Times New Roman" w:hAnsi="Times New Roman"/>
                <w:color w:val="454545"/>
                <w:sz w:val="24"/>
                <w:szCs w:val="24"/>
                <w:lang w:val="en-US"/>
              </w:rPr>
              <w:t>312,77</w:t>
            </w:r>
          </w:p>
          <w:p w:rsidR="00D12CFB" w:rsidRPr="00D12CFB" w:rsidRDefault="00D12CFB" w:rsidP="008B4FC6">
            <w:pPr>
              <w:contextualSpacing/>
              <w:jc w:val="center"/>
              <w:rPr>
                <w:rFonts w:ascii="Times New Roman" w:hAnsi="Times New Roman"/>
                <w:color w:val="454545"/>
                <w:sz w:val="24"/>
                <w:szCs w:val="24"/>
                <w:lang w:val="uk-UA"/>
              </w:rPr>
            </w:pPr>
          </w:p>
        </w:tc>
        <w:tc>
          <w:tcPr>
            <w:tcW w:w="0" w:type="auto"/>
          </w:tcPr>
          <w:p w:rsidR="00D12CFB" w:rsidRPr="00D12CFB" w:rsidRDefault="00D12CFB" w:rsidP="008B4FC6">
            <w:pPr>
              <w:contextualSpacing/>
              <w:jc w:val="center"/>
              <w:rPr>
                <w:rFonts w:ascii="Times New Roman" w:hAnsi="Times New Roman"/>
                <w:color w:val="454545"/>
                <w:sz w:val="24"/>
                <w:szCs w:val="24"/>
                <w:lang w:val="en-US"/>
              </w:rPr>
            </w:pPr>
            <w:r w:rsidRPr="00D12CFB">
              <w:rPr>
                <w:rFonts w:ascii="Times New Roman" w:hAnsi="Times New Roman"/>
                <w:color w:val="454545"/>
                <w:sz w:val="24"/>
                <w:szCs w:val="24"/>
                <w:lang w:val="en-US"/>
              </w:rPr>
              <w:t>337,44</w:t>
            </w:r>
          </w:p>
          <w:p w:rsidR="00D12CFB" w:rsidRPr="00D12CFB" w:rsidRDefault="00D12CFB" w:rsidP="008B4FC6">
            <w:pPr>
              <w:contextualSpacing/>
              <w:jc w:val="center"/>
              <w:rPr>
                <w:rFonts w:ascii="Times New Roman" w:hAnsi="Times New Roman"/>
                <w:color w:val="454545"/>
                <w:sz w:val="24"/>
                <w:szCs w:val="24"/>
                <w:lang w:val="uk-UA"/>
              </w:rPr>
            </w:pPr>
          </w:p>
        </w:tc>
        <w:tc>
          <w:tcPr>
            <w:tcW w:w="0" w:type="auto"/>
          </w:tcPr>
          <w:p w:rsidR="00D12CFB" w:rsidRPr="00D12CFB" w:rsidRDefault="00D12CFB" w:rsidP="008B4FC6">
            <w:pPr>
              <w:shd w:val="clear" w:color="auto" w:fill="FFFFFF"/>
              <w:contextualSpacing/>
              <w:jc w:val="center"/>
              <w:rPr>
                <w:rFonts w:ascii="Times New Roman" w:hAnsi="Times New Roman"/>
                <w:color w:val="454545"/>
                <w:sz w:val="24"/>
                <w:szCs w:val="24"/>
                <w:lang w:val="en-US"/>
              </w:rPr>
            </w:pPr>
            <w:r w:rsidRPr="00D12CFB">
              <w:rPr>
                <w:rFonts w:ascii="Times New Roman" w:hAnsi="Times New Roman"/>
                <w:color w:val="454545"/>
                <w:sz w:val="24"/>
                <w:szCs w:val="24"/>
                <w:lang w:val="en-US"/>
              </w:rPr>
              <w:t>273,39</w:t>
            </w:r>
          </w:p>
          <w:p w:rsidR="00D12CFB" w:rsidRPr="00D12CFB" w:rsidRDefault="00D12CFB" w:rsidP="008B4FC6">
            <w:pPr>
              <w:shd w:val="clear" w:color="auto" w:fill="FFFFFF"/>
              <w:contextualSpacing/>
              <w:jc w:val="center"/>
              <w:rPr>
                <w:rFonts w:ascii="Times New Roman" w:hAnsi="Times New Roman"/>
                <w:color w:val="454545"/>
                <w:sz w:val="24"/>
                <w:szCs w:val="24"/>
                <w:lang w:val="uk-UA"/>
              </w:rPr>
            </w:pPr>
          </w:p>
        </w:tc>
        <w:tc>
          <w:tcPr>
            <w:tcW w:w="0" w:type="auto"/>
          </w:tcPr>
          <w:p w:rsidR="00D12CFB" w:rsidRPr="00D12CFB" w:rsidRDefault="00D12CFB" w:rsidP="008B4FC6">
            <w:pPr>
              <w:shd w:val="clear" w:color="auto" w:fill="FFFFFF"/>
              <w:contextualSpacing/>
              <w:jc w:val="center"/>
              <w:rPr>
                <w:rFonts w:ascii="Times New Roman" w:hAnsi="Times New Roman"/>
                <w:color w:val="454545"/>
                <w:sz w:val="24"/>
                <w:szCs w:val="24"/>
                <w:lang w:val="en-US"/>
              </w:rPr>
            </w:pPr>
            <w:r w:rsidRPr="00D12CFB">
              <w:rPr>
                <w:rFonts w:ascii="Times New Roman" w:hAnsi="Times New Roman"/>
                <w:color w:val="454545"/>
                <w:sz w:val="24"/>
                <w:szCs w:val="24"/>
                <w:lang w:val="en-US"/>
              </w:rPr>
              <w:t>596,93</w:t>
            </w:r>
          </w:p>
          <w:p w:rsidR="00D12CFB" w:rsidRPr="00D12CFB" w:rsidRDefault="00D12CFB" w:rsidP="008B4FC6">
            <w:pPr>
              <w:shd w:val="clear" w:color="auto" w:fill="FFFFFF"/>
              <w:contextualSpacing/>
              <w:jc w:val="center"/>
              <w:rPr>
                <w:rFonts w:ascii="Times New Roman" w:hAnsi="Times New Roman"/>
                <w:color w:val="454545"/>
                <w:sz w:val="24"/>
                <w:szCs w:val="24"/>
                <w:lang w:val="uk-UA"/>
              </w:rPr>
            </w:pPr>
          </w:p>
        </w:tc>
        <w:tc>
          <w:tcPr>
            <w:tcW w:w="0" w:type="auto"/>
          </w:tcPr>
          <w:p w:rsidR="00D12CFB" w:rsidRPr="00D12CFB" w:rsidRDefault="00D12CFB" w:rsidP="008B4FC6">
            <w:pPr>
              <w:contextualSpacing/>
              <w:jc w:val="center"/>
              <w:rPr>
                <w:rFonts w:ascii="Times New Roman" w:hAnsi="Times New Roman"/>
                <w:color w:val="454545"/>
                <w:sz w:val="24"/>
                <w:szCs w:val="24"/>
                <w:lang w:val="en-US"/>
              </w:rPr>
            </w:pPr>
            <w:r w:rsidRPr="00D12CFB">
              <w:rPr>
                <w:rFonts w:ascii="Times New Roman" w:hAnsi="Times New Roman"/>
                <w:color w:val="454545"/>
                <w:sz w:val="24"/>
                <w:szCs w:val="24"/>
                <w:lang w:val="en-US"/>
              </w:rPr>
              <w:t>802,39</w:t>
            </w:r>
          </w:p>
          <w:p w:rsidR="00D12CFB" w:rsidRPr="00D12CFB" w:rsidRDefault="00D12CFB" w:rsidP="008B4FC6">
            <w:pPr>
              <w:contextualSpacing/>
              <w:jc w:val="center"/>
              <w:rPr>
                <w:rFonts w:ascii="Times New Roman" w:hAnsi="Times New Roman"/>
                <w:color w:val="454545"/>
                <w:sz w:val="24"/>
                <w:szCs w:val="24"/>
                <w:lang w:val="uk-UA"/>
              </w:rPr>
            </w:pPr>
          </w:p>
        </w:tc>
      </w:tr>
      <w:tr w:rsidR="00D12CFB" w:rsidRPr="00D12CFB" w:rsidTr="00D12CFB">
        <w:trPr>
          <w:jc w:val="center"/>
        </w:trPr>
        <w:tc>
          <w:tcPr>
            <w:tcW w:w="0" w:type="auto"/>
          </w:tcPr>
          <w:p w:rsidR="00D12CFB" w:rsidRPr="00D12CFB" w:rsidRDefault="00D12CFB" w:rsidP="008B4FC6">
            <w:pPr>
              <w:widowControl w:val="0"/>
              <w:contextualSpacing/>
              <w:jc w:val="center"/>
              <w:rPr>
                <w:rFonts w:ascii="Times New Roman" w:hAnsi="Times New Roman"/>
                <w:sz w:val="24"/>
                <w:szCs w:val="24"/>
                <w:lang w:val="uk-UA"/>
              </w:rPr>
            </w:pPr>
            <w:r w:rsidRPr="00D12CFB">
              <w:rPr>
                <w:rFonts w:ascii="Times New Roman" w:hAnsi="Times New Roman"/>
                <w:sz w:val="24"/>
                <w:szCs w:val="24"/>
                <w:lang w:val="uk-UA"/>
              </w:rPr>
              <w:t>2016</w:t>
            </w:r>
          </w:p>
          <w:p w:rsidR="00D12CFB" w:rsidRPr="00D12CFB" w:rsidRDefault="00D12CFB" w:rsidP="008B4FC6">
            <w:pPr>
              <w:contextualSpacing/>
              <w:jc w:val="center"/>
              <w:rPr>
                <w:rFonts w:ascii="Times New Roman" w:hAnsi="Times New Roman"/>
                <w:sz w:val="24"/>
                <w:szCs w:val="24"/>
                <w:lang w:val="uk-UA"/>
              </w:rPr>
            </w:pPr>
          </w:p>
        </w:tc>
        <w:tc>
          <w:tcPr>
            <w:tcW w:w="0" w:type="auto"/>
          </w:tcPr>
          <w:p w:rsidR="00D12CFB" w:rsidRPr="00D12CFB" w:rsidRDefault="00D12CFB" w:rsidP="008B4FC6">
            <w:pPr>
              <w:contextualSpacing/>
              <w:jc w:val="center"/>
              <w:rPr>
                <w:rFonts w:ascii="Times New Roman" w:hAnsi="Times New Roman"/>
                <w:color w:val="454545"/>
                <w:sz w:val="24"/>
                <w:szCs w:val="24"/>
                <w:lang w:val="en-US"/>
              </w:rPr>
            </w:pPr>
            <w:r w:rsidRPr="00D12CFB">
              <w:rPr>
                <w:rFonts w:ascii="Times New Roman" w:hAnsi="Times New Roman"/>
                <w:color w:val="454545"/>
                <w:sz w:val="24"/>
                <w:szCs w:val="24"/>
                <w:lang w:val="en-US"/>
              </w:rPr>
              <w:t>392,30</w:t>
            </w:r>
          </w:p>
          <w:p w:rsidR="00D12CFB" w:rsidRPr="00D12CFB" w:rsidRDefault="00D12CFB" w:rsidP="008B4FC6">
            <w:pPr>
              <w:contextualSpacing/>
              <w:jc w:val="center"/>
              <w:rPr>
                <w:rFonts w:ascii="Times New Roman" w:hAnsi="Times New Roman"/>
                <w:color w:val="454545"/>
                <w:sz w:val="24"/>
                <w:szCs w:val="24"/>
                <w:lang w:val="uk-UA"/>
              </w:rPr>
            </w:pPr>
          </w:p>
        </w:tc>
        <w:tc>
          <w:tcPr>
            <w:tcW w:w="0" w:type="auto"/>
          </w:tcPr>
          <w:p w:rsidR="00D12CFB" w:rsidRPr="00D12CFB" w:rsidRDefault="00D12CFB" w:rsidP="008B4FC6">
            <w:pPr>
              <w:contextualSpacing/>
              <w:jc w:val="center"/>
              <w:rPr>
                <w:rFonts w:ascii="Times New Roman" w:hAnsi="Times New Roman"/>
                <w:color w:val="454545"/>
                <w:sz w:val="24"/>
                <w:szCs w:val="24"/>
                <w:lang w:val="en-US"/>
              </w:rPr>
            </w:pPr>
            <w:r w:rsidRPr="00D12CFB">
              <w:rPr>
                <w:rFonts w:ascii="Times New Roman" w:hAnsi="Times New Roman"/>
                <w:color w:val="454545"/>
                <w:sz w:val="24"/>
                <w:szCs w:val="24"/>
                <w:lang w:val="en-US"/>
              </w:rPr>
              <w:t>525,87</w:t>
            </w:r>
          </w:p>
          <w:p w:rsidR="00D12CFB" w:rsidRPr="00D12CFB" w:rsidRDefault="00D12CFB" w:rsidP="008B4FC6">
            <w:pPr>
              <w:contextualSpacing/>
              <w:jc w:val="center"/>
              <w:rPr>
                <w:rFonts w:ascii="Times New Roman" w:hAnsi="Times New Roman"/>
                <w:color w:val="454545"/>
                <w:sz w:val="24"/>
                <w:szCs w:val="24"/>
                <w:lang w:val="uk-UA"/>
              </w:rPr>
            </w:pPr>
          </w:p>
        </w:tc>
        <w:tc>
          <w:tcPr>
            <w:tcW w:w="0" w:type="auto"/>
          </w:tcPr>
          <w:p w:rsidR="00D12CFB" w:rsidRPr="00D12CFB" w:rsidRDefault="00D12CFB" w:rsidP="008B4FC6">
            <w:pPr>
              <w:shd w:val="clear" w:color="auto" w:fill="FFFFFF"/>
              <w:contextualSpacing/>
              <w:jc w:val="center"/>
              <w:rPr>
                <w:rFonts w:ascii="Times New Roman" w:hAnsi="Times New Roman"/>
                <w:color w:val="454545"/>
                <w:sz w:val="24"/>
                <w:szCs w:val="24"/>
                <w:lang w:val="en-US"/>
              </w:rPr>
            </w:pPr>
            <w:r w:rsidRPr="00D12CFB">
              <w:rPr>
                <w:rFonts w:ascii="Times New Roman" w:hAnsi="Times New Roman"/>
                <w:color w:val="454545"/>
                <w:sz w:val="24"/>
                <w:szCs w:val="24"/>
                <w:lang w:val="en-US"/>
              </w:rPr>
              <w:t>389,98</w:t>
            </w:r>
          </w:p>
          <w:p w:rsidR="00D12CFB" w:rsidRPr="00D12CFB" w:rsidRDefault="00D12CFB" w:rsidP="008B4FC6">
            <w:pPr>
              <w:shd w:val="clear" w:color="auto" w:fill="FFFFFF"/>
              <w:contextualSpacing/>
              <w:jc w:val="center"/>
              <w:rPr>
                <w:rFonts w:ascii="Times New Roman" w:hAnsi="Times New Roman"/>
                <w:color w:val="454545"/>
                <w:sz w:val="24"/>
                <w:szCs w:val="24"/>
                <w:lang w:val="uk-UA"/>
              </w:rPr>
            </w:pPr>
          </w:p>
        </w:tc>
        <w:tc>
          <w:tcPr>
            <w:tcW w:w="0" w:type="auto"/>
          </w:tcPr>
          <w:p w:rsidR="00D12CFB" w:rsidRPr="00D12CFB" w:rsidRDefault="00D12CFB" w:rsidP="008B4FC6">
            <w:pPr>
              <w:shd w:val="clear" w:color="auto" w:fill="FFFFFF"/>
              <w:contextualSpacing/>
              <w:jc w:val="center"/>
              <w:rPr>
                <w:rFonts w:ascii="Times New Roman" w:hAnsi="Times New Roman"/>
                <w:color w:val="454545"/>
                <w:sz w:val="24"/>
                <w:szCs w:val="24"/>
                <w:lang w:val="en-US"/>
              </w:rPr>
            </w:pPr>
            <w:r w:rsidRPr="00D12CFB">
              <w:rPr>
                <w:rFonts w:ascii="Times New Roman" w:hAnsi="Times New Roman"/>
                <w:color w:val="454545"/>
                <w:sz w:val="24"/>
                <w:szCs w:val="24"/>
                <w:lang w:val="en-US"/>
              </w:rPr>
              <w:t>322,65</w:t>
            </w:r>
          </w:p>
          <w:p w:rsidR="00D12CFB" w:rsidRPr="00D12CFB" w:rsidRDefault="00D12CFB" w:rsidP="008B4FC6">
            <w:pPr>
              <w:shd w:val="clear" w:color="auto" w:fill="FFFFFF"/>
              <w:contextualSpacing/>
              <w:jc w:val="center"/>
              <w:rPr>
                <w:rFonts w:ascii="Times New Roman" w:hAnsi="Times New Roman"/>
                <w:color w:val="454545"/>
                <w:sz w:val="24"/>
                <w:szCs w:val="24"/>
                <w:lang w:val="uk-UA"/>
              </w:rPr>
            </w:pPr>
          </w:p>
        </w:tc>
        <w:tc>
          <w:tcPr>
            <w:tcW w:w="0" w:type="auto"/>
          </w:tcPr>
          <w:p w:rsidR="00D12CFB" w:rsidRPr="00D12CFB" w:rsidRDefault="00D12CFB" w:rsidP="008B4FC6">
            <w:pPr>
              <w:shd w:val="clear" w:color="auto" w:fill="FFFFFF"/>
              <w:contextualSpacing/>
              <w:jc w:val="center"/>
              <w:rPr>
                <w:rFonts w:ascii="Times New Roman" w:hAnsi="Times New Roman"/>
                <w:color w:val="454545"/>
                <w:sz w:val="24"/>
                <w:szCs w:val="24"/>
                <w:lang w:val="en-US"/>
              </w:rPr>
            </w:pPr>
            <w:r w:rsidRPr="00D12CFB">
              <w:rPr>
                <w:rFonts w:ascii="Times New Roman" w:hAnsi="Times New Roman"/>
                <w:color w:val="454545"/>
                <w:sz w:val="24"/>
                <w:szCs w:val="24"/>
                <w:lang w:val="en-US"/>
              </w:rPr>
              <w:t>333,56</w:t>
            </w:r>
          </w:p>
          <w:p w:rsidR="00D12CFB" w:rsidRPr="00D12CFB" w:rsidRDefault="00D12CFB" w:rsidP="008B4FC6">
            <w:pPr>
              <w:shd w:val="clear" w:color="auto" w:fill="FFFFFF"/>
              <w:contextualSpacing/>
              <w:jc w:val="center"/>
              <w:rPr>
                <w:rFonts w:ascii="Times New Roman" w:hAnsi="Times New Roman"/>
                <w:color w:val="454545"/>
                <w:sz w:val="24"/>
                <w:szCs w:val="24"/>
                <w:lang w:val="uk-UA"/>
              </w:rPr>
            </w:pPr>
          </w:p>
        </w:tc>
        <w:tc>
          <w:tcPr>
            <w:tcW w:w="0" w:type="auto"/>
          </w:tcPr>
          <w:p w:rsidR="00D12CFB" w:rsidRPr="00D12CFB" w:rsidRDefault="00D12CFB" w:rsidP="008B4FC6">
            <w:pPr>
              <w:contextualSpacing/>
              <w:jc w:val="center"/>
              <w:rPr>
                <w:rFonts w:ascii="Times New Roman" w:hAnsi="Times New Roman"/>
                <w:color w:val="454545"/>
                <w:sz w:val="24"/>
                <w:szCs w:val="24"/>
                <w:lang w:val="en-US"/>
              </w:rPr>
            </w:pPr>
            <w:r w:rsidRPr="00D12CFB">
              <w:rPr>
                <w:rFonts w:ascii="Times New Roman" w:hAnsi="Times New Roman"/>
                <w:color w:val="454545"/>
                <w:sz w:val="24"/>
                <w:szCs w:val="24"/>
                <w:lang w:val="en-US"/>
              </w:rPr>
              <w:t>272,79</w:t>
            </w:r>
          </w:p>
          <w:p w:rsidR="00D12CFB" w:rsidRPr="00D12CFB" w:rsidRDefault="00D12CFB" w:rsidP="008B4FC6">
            <w:pPr>
              <w:contextualSpacing/>
              <w:jc w:val="center"/>
              <w:rPr>
                <w:rFonts w:ascii="Times New Roman" w:hAnsi="Times New Roman"/>
                <w:color w:val="454545"/>
                <w:sz w:val="24"/>
                <w:szCs w:val="24"/>
                <w:lang w:val="uk-UA"/>
              </w:rPr>
            </w:pPr>
          </w:p>
        </w:tc>
        <w:tc>
          <w:tcPr>
            <w:tcW w:w="0" w:type="auto"/>
          </w:tcPr>
          <w:p w:rsidR="00D12CFB" w:rsidRPr="00D12CFB" w:rsidRDefault="00D12CFB" w:rsidP="008B4FC6">
            <w:pPr>
              <w:shd w:val="clear" w:color="auto" w:fill="FFFFFF"/>
              <w:contextualSpacing/>
              <w:jc w:val="center"/>
              <w:rPr>
                <w:rFonts w:ascii="Times New Roman" w:hAnsi="Times New Roman"/>
                <w:color w:val="454545"/>
                <w:sz w:val="24"/>
                <w:szCs w:val="24"/>
                <w:lang w:val="en-US"/>
              </w:rPr>
            </w:pPr>
            <w:r w:rsidRPr="00D12CFB">
              <w:rPr>
                <w:rFonts w:ascii="Times New Roman" w:hAnsi="Times New Roman"/>
                <w:color w:val="454545"/>
                <w:sz w:val="24"/>
                <w:szCs w:val="24"/>
                <w:lang w:val="en-US"/>
              </w:rPr>
              <w:t>597,04</w:t>
            </w:r>
          </w:p>
          <w:p w:rsidR="00D12CFB" w:rsidRPr="00D12CFB" w:rsidRDefault="00D12CFB" w:rsidP="008B4FC6">
            <w:pPr>
              <w:shd w:val="clear" w:color="auto" w:fill="FFFFFF"/>
              <w:contextualSpacing/>
              <w:jc w:val="center"/>
              <w:rPr>
                <w:rFonts w:ascii="Times New Roman" w:hAnsi="Times New Roman"/>
                <w:color w:val="454545"/>
                <w:sz w:val="24"/>
                <w:szCs w:val="24"/>
                <w:lang w:val="uk-UA"/>
              </w:rPr>
            </w:pPr>
          </w:p>
        </w:tc>
        <w:tc>
          <w:tcPr>
            <w:tcW w:w="0" w:type="auto"/>
          </w:tcPr>
          <w:p w:rsidR="00D12CFB" w:rsidRPr="00D12CFB" w:rsidRDefault="00D12CFB" w:rsidP="008B4FC6">
            <w:pPr>
              <w:shd w:val="clear" w:color="auto" w:fill="FFFFFF"/>
              <w:contextualSpacing/>
              <w:jc w:val="center"/>
              <w:rPr>
                <w:rFonts w:ascii="Times New Roman" w:hAnsi="Times New Roman"/>
                <w:color w:val="454545"/>
                <w:sz w:val="24"/>
                <w:szCs w:val="24"/>
                <w:lang w:val="en-US"/>
              </w:rPr>
            </w:pPr>
            <w:r w:rsidRPr="00D12CFB">
              <w:rPr>
                <w:rFonts w:ascii="Times New Roman" w:hAnsi="Times New Roman"/>
                <w:color w:val="454545"/>
                <w:sz w:val="24"/>
                <w:szCs w:val="24"/>
                <w:lang w:val="en-US"/>
              </w:rPr>
              <w:t>778,72</w:t>
            </w:r>
          </w:p>
          <w:p w:rsidR="00D12CFB" w:rsidRPr="00D12CFB" w:rsidRDefault="00D12CFB" w:rsidP="008B4FC6">
            <w:pPr>
              <w:shd w:val="clear" w:color="auto" w:fill="FFFFFF"/>
              <w:contextualSpacing/>
              <w:jc w:val="center"/>
              <w:rPr>
                <w:rFonts w:ascii="Times New Roman" w:hAnsi="Times New Roman"/>
                <w:color w:val="454545"/>
                <w:sz w:val="24"/>
                <w:szCs w:val="24"/>
                <w:lang w:val="uk-UA"/>
              </w:rPr>
            </w:pPr>
          </w:p>
        </w:tc>
      </w:tr>
      <w:tr w:rsidR="00D12CFB" w:rsidRPr="00D12CFB" w:rsidTr="00AE4567">
        <w:trPr>
          <w:trHeight w:val="361"/>
          <w:jc w:val="center"/>
        </w:trPr>
        <w:tc>
          <w:tcPr>
            <w:tcW w:w="0" w:type="auto"/>
          </w:tcPr>
          <w:p w:rsidR="00D12CFB" w:rsidRPr="00D12CFB" w:rsidRDefault="00D12CFB" w:rsidP="008B4FC6">
            <w:pPr>
              <w:widowControl w:val="0"/>
              <w:contextualSpacing/>
              <w:jc w:val="center"/>
              <w:rPr>
                <w:rFonts w:ascii="Times New Roman" w:hAnsi="Times New Roman"/>
                <w:sz w:val="24"/>
                <w:szCs w:val="24"/>
                <w:lang w:val="uk-UA"/>
              </w:rPr>
            </w:pPr>
            <w:r w:rsidRPr="00D12CFB">
              <w:rPr>
                <w:rFonts w:ascii="Times New Roman" w:hAnsi="Times New Roman"/>
                <w:sz w:val="24"/>
                <w:szCs w:val="24"/>
                <w:lang w:val="uk-UA"/>
              </w:rPr>
              <w:t>2017</w:t>
            </w:r>
          </w:p>
          <w:p w:rsidR="00D12CFB" w:rsidRPr="00D12CFB" w:rsidRDefault="00D12CFB" w:rsidP="008B4FC6">
            <w:pPr>
              <w:contextualSpacing/>
              <w:jc w:val="center"/>
              <w:rPr>
                <w:rFonts w:ascii="Times New Roman" w:hAnsi="Times New Roman"/>
                <w:sz w:val="24"/>
                <w:szCs w:val="24"/>
                <w:lang w:val="uk-UA"/>
              </w:rPr>
            </w:pPr>
          </w:p>
        </w:tc>
        <w:tc>
          <w:tcPr>
            <w:tcW w:w="0" w:type="auto"/>
          </w:tcPr>
          <w:p w:rsidR="00D12CFB" w:rsidRPr="00D12CFB" w:rsidRDefault="00D12CFB" w:rsidP="008B4FC6">
            <w:pPr>
              <w:shd w:val="clear" w:color="auto" w:fill="FFFFFF"/>
              <w:contextualSpacing/>
              <w:jc w:val="center"/>
              <w:rPr>
                <w:rFonts w:ascii="Times New Roman" w:hAnsi="Times New Roman"/>
                <w:color w:val="454545"/>
                <w:sz w:val="24"/>
                <w:szCs w:val="24"/>
                <w:lang w:val="en-US"/>
              </w:rPr>
            </w:pPr>
            <w:r w:rsidRPr="00D12CFB">
              <w:rPr>
                <w:rFonts w:ascii="Times New Roman" w:hAnsi="Times New Roman"/>
                <w:color w:val="454545"/>
                <w:sz w:val="24"/>
                <w:szCs w:val="24"/>
                <w:lang w:val="en-US"/>
              </w:rPr>
              <w:t>367,03</w:t>
            </w:r>
          </w:p>
          <w:p w:rsidR="00D12CFB" w:rsidRPr="00D12CFB" w:rsidRDefault="00D12CFB" w:rsidP="008B4FC6">
            <w:pPr>
              <w:shd w:val="clear" w:color="auto" w:fill="FFFFFF"/>
              <w:contextualSpacing/>
              <w:jc w:val="center"/>
              <w:rPr>
                <w:rFonts w:ascii="Times New Roman" w:hAnsi="Times New Roman"/>
                <w:color w:val="454545"/>
                <w:sz w:val="24"/>
                <w:szCs w:val="24"/>
                <w:lang w:val="uk-UA"/>
              </w:rPr>
            </w:pPr>
          </w:p>
        </w:tc>
        <w:tc>
          <w:tcPr>
            <w:tcW w:w="0" w:type="auto"/>
          </w:tcPr>
          <w:p w:rsidR="00D12CFB" w:rsidRPr="00D12CFB" w:rsidRDefault="00D12CFB" w:rsidP="008B4FC6">
            <w:pPr>
              <w:shd w:val="clear" w:color="auto" w:fill="FFFFFF"/>
              <w:contextualSpacing/>
              <w:jc w:val="center"/>
              <w:rPr>
                <w:rFonts w:ascii="Times New Roman" w:hAnsi="Times New Roman"/>
                <w:color w:val="454545"/>
                <w:sz w:val="24"/>
                <w:szCs w:val="24"/>
                <w:lang w:val="en-US"/>
              </w:rPr>
            </w:pPr>
            <w:r w:rsidRPr="00D12CFB">
              <w:rPr>
                <w:rFonts w:ascii="Times New Roman" w:hAnsi="Times New Roman"/>
                <w:color w:val="454545"/>
                <w:sz w:val="24"/>
                <w:szCs w:val="24"/>
                <w:lang w:val="en-US"/>
              </w:rPr>
              <w:t>488,62</w:t>
            </w:r>
          </w:p>
          <w:p w:rsidR="00D12CFB" w:rsidRPr="00D12CFB" w:rsidRDefault="00D12CFB" w:rsidP="008B4FC6">
            <w:pPr>
              <w:shd w:val="clear" w:color="auto" w:fill="FFFFFF"/>
              <w:contextualSpacing/>
              <w:jc w:val="center"/>
              <w:rPr>
                <w:rFonts w:ascii="Times New Roman" w:hAnsi="Times New Roman"/>
                <w:color w:val="454545"/>
                <w:sz w:val="24"/>
                <w:szCs w:val="24"/>
                <w:lang w:val="uk-UA"/>
              </w:rPr>
            </w:pPr>
          </w:p>
        </w:tc>
        <w:tc>
          <w:tcPr>
            <w:tcW w:w="0" w:type="auto"/>
          </w:tcPr>
          <w:p w:rsidR="00D12CFB" w:rsidRPr="00D12CFB" w:rsidRDefault="00D12CFB" w:rsidP="008B4FC6">
            <w:pPr>
              <w:contextualSpacing/>
              <w:jc w:val="center"/>
              <w:rPr>
                <w:rFonts w:ascii="Times New Roman" w:hAnsi="Times New Roman"/>
                <w:color w:val="454545"/>
                <w:sz w:val="24"/>
                <w:szCs w:val="24"/>
                <w:lang w:val="en-US"/>
              </w:rPr>
            </w:pPr>
            <w:r w:rsidRPr="00D12CFB">
              <w:rPr>
                <w:rFonts w:ascii="Times New Roman" w:hAnsi="Times New Roman"/>
                <w:color w:val="454545"/>
                <w:sz w:val="24"/>
                <w:szCs w:val="24"/>
                <w:lang w:val="en-US"/>
              </w:rPr>
              <w:t>360,57</w:t>
            </w:r>
          </w:p>
          <w:p w:rsidR="00D12CFB" w:rsidRPr="00D12CFB" w:rsidRDefault="00D12CFB" w:rsidP="008B4FC6">
            <w:pPr>
              <w:contextualSpacing/>
              <w:jc w:val="center"/>
              <w:rPr>
                <w:rFonts w:ascii="Times New Roman" w:hAnsi="Times New Roman"/>
                <w:color w:val="454545"/>
                <w:sz w:val="24"/>
                <w:szCs w:val="24"/>
                <w:lang w:val="uk-UA"/>
              </w:rPr>
            </w:pPr>
          </w:p>
        </w:tc>
        <w:tc>
          <w:tcPr>
            <w:tcW w:w="0" w:type="auto"/>
          </w:tcPr>
          <w:p w:rsidR="00D12CFB" w:rsidRPr="00D12CFB" w:rsidRDefault="00D12CFB" w:rsidP="008B4FC6">
            <w:pPr>
              <w:contextualSpacing/>
              <w:jc w:val="center"/>
              <w:rPr>
                <w:rFonts w:ascii="Times New Roman" w:hAnsi="Times New Roman"/>
                <w:color w:val="454545"/>
                <w:sz w:val="24"/>
                <w:szCs w:val="24"/>
                <w:lang w:val="en-US"/>
              </w:rPr>
            </w:pPr>
            <w:r w:rsidRPr="00D12CFB">
              <w:rPr>
                <w:rFonts w:ascii="Times New Roman" w:hAnsi="Times New Roman"/>
                <w:color w:val="454545"/>
                <w:sz w:val="24"/>
                <w:szCs w:val="24"/>
                <w:lang w:val="en-US"/>
              </w:rPr>
              <w:t>293,28</w:t>
            </w:r>
          </w:p>
          <w:p w:rsidR="00D12CFB" w:rsidRPr="00D12CFB" w:rsidRDefault="00D12CFB" w:rsidP="008B4FC6">
            <w:pPr>
              <w:contextualSpacing/>
              <w:jc w:val="center"/>
              <w:rPr>
                <w:rFonts w:ascii="Times New Roman" w:hAnsi="Times New Roman"/>
                <w:color w:val="454545"/>
                <w:sz w:val="24"/>
                <w:szCs w:val="24"/>
                <w:lang w:val="uk-UA"/>
              </w:rPr>
            </w:pPr>
          </w:p>
        </w:tc>
        <w:tc>
          <w:tcPr>
            <w:tcW w:w="0" w:type="auto"/>
          </w:tcPr>
          <w:p w:rsidR="00D12CFB" w:rsidRPr="00D12CFB" w:rsidRDefault="00D12CFB" w:rsidP="008B4FC6">
            <w:pPr>
              <w:contextualSpacing/>
              <w:jc w:val="center"/>
              <w:rPr>
                <w:rFonts w:ascii="Times New Roman" w:hAnsi="Times New Roman"/>
                <w:color w:val="454545"/>
                <w:sz w:val="24"/>
                <w:szCs w:val="24"/>
                <w:lang w:val="en-US"/>
              </w:rPr>
            </w:pPr>
            <w:r w:rsidRPr="00D12CFB">
              <w:rPr>
                <w:rFonts w:ascii="Times New Roman" w:hAnsi="Times New Roman"/>
                <w:color w:val="454545"/>
                <w:sz w:val="24"/>
                <w:szCs w:val="24"/>
                <w:lang w:val="en-US"/>
              </w:rPr>
              <w:t>316,97</w:t>
            </w:r>
          </w:p>
          <w:p w:rsidR="00D12CFB" w:rsidRPr="00D12CFB" w:rsidRDefault="00D12CFB" w:rsidP="008B4FC6">
            <w:pPr>
              <w:contextualSpacing/>
              <w:jc w:val="center"/>
              <w:rPr>
                <w:rFonts w:ascii="Times New Roman" w:hAnsi="Times New Roman"/>
                <w:color w:val="454545"/>
                <w:sz w:val="24"/>
                <w:szCs w:val="24"/>
                <w:lang w:val="uk-UA"/>
              </w:rPr>
            </w:pPr>
          </w:p>
        </w:tc>
        <w:tc>
          <w:tcPr>
            <w:tcW w:w="0" w:type="auto"/>
          </w:tcPr>
          <w:p w:rsidR="00D12CFB" w:rsidRPr="00D12CFB" w:rsidRDefault="00D12CFB" w:rsidP="008B4FC6">
            <w:pPr>
              <w:contextualSpacing/>
              <w:jc w:val="center"/>
              <w:rPr>
                <w:rFonts w:ascii="Times New Roman" w:hAnsi="Times New Roman"/>
                <w:color w:val="454545"/>
                <w:sz w:val="24"/>
                <w:szCs w:val="24"/>
                <w:lang w:val="en-US"/>
              </w:rPr>
            </w:pPr>
            <w:r w:rsidRPr="00D12CFB">
              <w:rPr>
                <w:rFonts w:ascii="Times New Roman" w:hAnsi="Times New Roman"/>
                <w:color w:val="454545"/>
                <w:sz w:val="24"/>
                <w:szCs w:val="24"/>
                <w:lang w:val="en-US"/>
              </w:rPr>
              <w:t>262,70</w:t>
            </w:r>
          </w:p>
          <w:p w:rsidR="00D12CFB" w:rsidRPr="00D12CFB" w:rsidRDefault="00D12CFB" w:rsidP="008B4FC6">
            <w:pPr>
              <w:contextualSpacing/>
              <w:jc w:val="center"/>
              <w:rPr>
                <w:rFonts w:ascii="Times New Roman" w:hAnsi="Times New Roman"/>
                <w:color w:val="454545"/>
                <w:sz w:val="24"/>
                <w:szCs w:val="24"/>
                <w:lang w:val="uk-UA"/>
              </w:rPr>
            </w:pPr>
          </w:p>
        </w:tc>
        <w:tc>
          <w:tcPr>
            <w:tcW w:w="0" w:type="auto"/>
          </w:tcPr>
          <w:p w:rsidR="00D12CFB" w:rsidRPr="00D12CFB" w:rsidRDefault="00D12CFB" w:rsidP="008B4FC6">
            <w:pPr>
              <w:contextualSpacing/>
              <w:jc w:val="center"/>
              <w:rPr>
                <w:rFonts w:ascii="Times New Roman" w:hAnsi="Times New Roman"/>
                <w:color w:val="454545"/>
                <w:sz w:val="24"/>
                <w:szCs w:val="24"/>
                <w:lang w:val="en-US"/>
              </w:rPr>
            </w:pPr>
            <w:r w:rsidRPr="00D12CFB">
              <w:rPr>
                <w:rFonts w:ascii="Times New Roman" w:hAnsi="Times New Roman"/>
                <w:color w:val="454545"/>
                <w:sz w:val="24"/>
                <w:szCs w:val="24"/>
                <w:lang w:val="en-US"/>
              </w:rPr>
              <w:t>587,31</w:t>
            </w:r>
          </w:p>
          <w:p w:rsidR="00D12CFB" w:rsidRPr="00D12CFB" w:rsidRDefault="00D12CFB" w:rsidP="008B4FC6">
            <w:pPr>
              <w:contextualSpacing/>
              <w:jc w:val="center"/>
              <w:rPr>
                <w:rFonts w:ascii="Times New Roman" w:hAnsi="Times New Roman"/>
                <w:color w:val="454545"/>
                <w:sz w:val="24"/>
                <w:szCs w:val="24"/>
                <w:lang w:val="uk-UA"/>
              </w:rPr>
            </w:pPr>
          </w:p>
        </w:tc>
        <w:tc>
          <w:tcPr>
            <w:tcW w:w="0" w:type="auto"/>
          </w:tcPr>
          <w:p w:rsidR="00D12CFB" w:rsidRPr="00D12CFB" w:rsidRDefault="00D12CFB" w:rsidP="008B4FC6">
            <w:pPr>
              <w:contextualSpacing/>
              <w:jc w:val="center"/>
              <w:rPr>
                <w:rFonts w:ascii="Times New Roman" w:hAnsi="Times New Roman"/>
                <w:color w:val="454545"/>
                <w:sz w:val="24"/>
                <w:szCs w:val="24"/>
                <w:lang w:val="en-US"/>
              </w:rPr>
            </w:pPr>
            <w:r w:rsidRPr="00D12CFB">
              <w:rPr>
                <w:rFonts w:ascii="Times New Roman" w:hAnsi="Times New Roman"/>
                <w:color w:val="454545"/>
                <w:sz w:val="24"/>
                <w:szCs w:val="24"/>
                <w:lang w:val="en-US"/>
              </w:rPr>
              <w:t>744,16</w:t>
            </w:r>
          </w:p>
          <w:p w:rsidR="00D12CFB" w:rsidRPr="00D12CFB" w:rsidRDefault="00D12CFB" w:rsidP="008B4FC6">
            <w:pPr>
              <w:contextualSpacing/>
              <w:jc w:val="center"/>
              <w:rPr>
                <w:rFonts w:ascii="Times New Roman" w:hAnsi="Times New Roman"/>
                <w:color w:val="454545"/>
                <w:sz w:val="24"/>
                <w:szCs w:val="24"/>
                <w:lang w:val="uk-UA"/>
              </w:rPr>
            </w:pPr>
          </w:p>
        </w:tc>
      </w:tr>
      <w:tr w:rsidR="00D12CFB" w:rsidRPr="00D12CFB" w:rsidTr="00D12CFB">
        <w:trPr>
          <w:jc w:val="center"/>
        </w:trPr>
        <w:tc>
          <w:tcPr>
            <w:tcW w:w="0" w:type="auto"/>
          </w:tcPr>
          <w:p w:rsidR="00D12CFB" w:rsidRPr="00D12CFB" w:rsidRDefault="00D12CFB" w:rsidP="008B4FC6">
            <w:pPr>
              <w:widowControl w:val="0"/>
              <w:contextualSpacing/>
              <w:jc w:val="center"/>
              <w:rPr>
                <w:rFonts w:ascii="Times New Roman" w:hAnsi="Times New Roman"/>
                <w:sz w:val="24"/>
                <w:szCs w:val="24"/>
              </w:rPr>
            </w:pPr>
            <w:r w:rsidRPr="00D12CFB">
              <w:rPr>
                <w:rFonts w:ascii="Times New Roman" w:hAnsi="Times New Roman"/>
                <w:sz w:val="24"/>
                <w:szCs w:val="24"/>
              </w:rPr>
              <w:t>2018</w:t>
            </w:r>
          </w:p>
          <w:p w:rsidR="00D12CFB" w:rsidRPr="00D12CFB" w:rsidRDefault="00D12CFB" w:rsidP="008B4FC6">
            <w:pPr>
              <w:contextualSpacing/>
              <w:jc w:val="center"/>
              <w:rPr>
                <w:rFonts w:ascii="Times New Roman" w:hAnsi="Times New Roman"/>
                <w:sz w:val="24"/>
                <w:szCs w:val="24"/>
              </w:rPr>
            </w:pPr>
          </w:p>
        </w:tc>
        <w:tc>
          <w:tcPr>
            <w:tcW w:w="0" w:type="auto"/>
          </w:tcPr>
          <w:p w:rsidR="00D12CFB" w:rsidRPr="00D12CFB" w:rsidRDefault="00D12CFB" w:rsidP="008B4FC6">
            <w:pPr>
              <w:shd w:val="clear" w:color="auto" w:fill="FFFFFF"/>
              <w:contextualSpacing/>
              <w:jc w:val="center"/>
              <w:rPr>
                <w:rFonts w:ascii="Times New Roman" w:hAnsi="Times New Roman"/>
                <w:color w:val="454545"/>
                <w:sz w:val="24"/>
                <w:szCs w:val="24"/>
                <w:lang w:val="en-US"/>
              </w:rPr>
            </w:pPr>
            <w:r w:rsidRPr="00D12CFB">
              <w:rPr>
                <w:rFonts w:ascii="Times New Roman" w:hAnsi="Times New Roman"/>
                <w:color w:val="454545"/>
                <w:sz w:val="24"/>
                <w:szCs w:val="24"/>
                <w:lang w:val="en-US"/>
              </w:rPr>
              <w:t>346,57</w:t>
            </w:r>
          </w:p>
          <w:p w:rsidR="00D12CFB" w:rsidRPr="00D12CFB" w:rsidRDefault="00D12CFB" w:rsidP="008B4FC6">
            <w:pPr>
              <w:shd w:val="clear" w:color="auto" w:fill="FFFFFF"/>
              <w:contextualSpacing/>
              <w:jc w:val="center"/>
              <w:rPr>
                <w:rFonts w:ascii="Times New Roman" w:hAnsi="Times New Roman"/>
                <w:color w:val="454545"/>
                <w:sz w:val="24"/>
                <w:szCs w:val="24"/>
                <w:lang w:val="uk-UA"/>
              </w:rPr>
            </w:pPr>
          </w:p>
        </w:tc>
        <w:tc>
          <w:tcPr>
            <w:tcW w:w="0" w:type="auto"/>
          </w:tcPr>
          <w:p w:rsidR="00D12CFB" w:rsidRPr="00D12CFB" w:rsidRDefault="00D12CFB" w:rsidP="008B4FC6">
            <w:pPr>
              <w:contextualSpacing/>
              <w:jc w:val="center"/>
              <w:rPr>
                <w:rFonts w:ascii="Times New Roman" w:hAnsi="Times New Roman"/>
                <w:color w:val="454545"/>
                <w:sz w:val="24"/>
                <w:szCs w:val="24"/>
                <w:lang w:val="en-US"/>
              </w:rPr>
            </w:pPr>
            <w:r w:rsidRPr="00D12CFB">
              <w:rPr>
                <w:rFonts w:ascii="Times New Roman" w:hAnsi="Times New Roman"/>
                <w:color w:val="454545"/>
                <w:sz w:val="24"/>
                <w:szCs w:val="24"/>
                <w:lang w:val="en-US"/>
              </w:rPr>
              <w:t>462,57</w:t>
            </w:r>
          </w:p>
          <w:p w:rsidR="00D12CFB" w:rsidRPr="00D12CFB" w:rsidRDefault="00D12CFB" w:rsidP="008B4FC6">
            <w:pPr>
              <w:contextualSpacing/>
              <w:jc w:val="center"/>
              <w:rPr>
                <w:rFonts w:ascii="Times New Roman" w:hAnsi="Times New Roman"/>
                <w:color w:val="454545"/>
                <w:sz w:val="24"/>
                <w:szCs w:val="24"/>
                <w:lang w:val="uk-UA"/>
              </w:rPr>
            </w:pPr>
          </w:p>
        </w:tc>
        <w:tc>
          <w:tcPr>
            <w:tcW w:w="0" w:type="auto"/>
          </w:tcPr>
          <w:p w:rsidR="00D12CFB" w:rsidRPr="00D12CFB" w:rsidRDefault="00D12CFB" w:rsidP="008B4FC6">
            <w:pPr>
              <w:shd w:val="clear" w:color="auto" w:fill="FFFFFF"/>
              <w:contextualSpacing/>
              <w:jc w:val="center"/>
              <w:rPr>
                <w:rFonts w:ascii="Times New Roman" w:hAnsi="Times New Roman"/>
                <w:color w:val="454545"/>
                <w:sz w:val="24"/>
                <w:szCs w:val="24"/>
                <w:lang w:val="en-US"/>
              </w:rPr>
            </w:pPr>
            <w:r w:rsidRPr="00D12CFB">
              <w:rPr>
                <w:rFonts w:ascii="Times New Roman" w:hAnsi="Times New Roman"/>
                <w:color w:val="454545"/>
                <w:sz w:val="24"/>
                <w:szCs w:val="24"/>
                <w:lang w:val="en-US"/>
              </w:rPr>
              <w:t>347,28</w:t>
            </w:r>
          </w:p>
          <w:p w:rsidR="00D12CFB" w:rsidRPr="00D12CFB" w:rsidRDefault="00D12CFB" w:rsidP="008B4FC6">
            <w:pPr>
              <w:shd w:val="clear" w:color="auto" w:fill="FFFFFF"/>
              <w:contextualSpacing/>
              <w:jc w:val="center"/>
              <w:rPr>
                <w:rFonts w:ascii="Times New Roman" w:hAnsi="Times New Roman"/>
                <w:color w:val="454545"/>
                <w:sz w:val="24"/>
                <w:szCs w:val="24"/>
                <w:lang w:val="uk-UA"/>
              </w:rPr>
            </w:pPr>
          </w:p>
        </w:tc>
        <w:tc>
          <w:tcPr>
            <w:tcW w:w="0" w:type="auto"/>
          </w:tcPr>
          <w:p w:rsidR="00D12CFB" w:rsidRPr="00D12CFB" w:rsidRDefault="00D12CFB" w:rsidP="008B4FC6">
            <w:pPr>
              <w:shd w:val="clear" w:color="auto" w:fill="FFFFFF"/>
              <w:contextualSpacing/>
              <w:jc w:val="center"/>
              <w:rPr>
                <w:rFonts w:ascii="Times New Roman" w:hAnsi="Times New Roman"/>
                <w:color w:val="454545"/>
                <w:sz w:val="24"/>
                <w:szCs w:val="24"/>
                <w:lang w:val="en-US"/>
              </w:rPr>
            </w:pPr>
            <w:r w:rsidRPr="00D12CFB">
              <w:rPr>
                <w:rFonts w:ascii="Times New Roman" w:hAnsi="Times New Roman"/>
                <w:color w:val="454545"/>
                <w:sz w:val="24"/>
                <w:szCs w:val="24"/>
                <w:lang w:val="en-US"/>
              </w:rPr>
              <w:t>280,63</w:t>
            </w:r>
          </w:p>
          <w:p w:rsidR="00D12CFB" w:rsidRPr="00D12CFB" w:rsidRDefault="00D12CFB" w:rsidP="008B4FC6">
            <w:pPr>
              <w:shd w:val="clear" w:color="auto" w:fill="FFFFFF"/>
              <w:contextualSpacing/>
              <w:jc w:val="center"/>
              <w:rPr>
                <w:rFonts w:ascii="Times New Roman" w:hAnsi="Times New Roman"/>
                <w:color w:val="454545"/>
                <w:sz w:val="24"/>
                <w:szCs w:val="24"/>
                <w:lang w:val="uk-UA"/>
              </w:rPr>
            </w:pPr>
          </w:p>
        </w:tc>
        <w:tc>
          <w:tcPr>
            <w:tcW w:w="0" w:type="auto"/>
          </w:tcPr>
          <w:p w:rsidR="00D12CFB" w:rsidRPr="00D12CFB" w:rsidRDefault="00D12CFB" w:rsidP="008B4FC6">
            <w:pPr>
              <w:shd w:val="clear" w:color="auto" w:fill="FFFFFF"/>
              <w:contextualSpacing/>
              <w:jc w:val="center"/>
              <w:rPr>
                <w:rFonts w:ascii="Times New Roman" w:hAnsi="Times New Roman"/>
                <w:color w:val="454545"/>
                <w:sz w:val="24"/>
                <w:szCs w:val="24"/>
                <w:lang w:val="en-US"/>
              </w:rPr>
            </w:pPr>
            <w:r w:rsidRPr="00D12CFB">
              <w:rPr>
                <w:rFonts w:ascii="Times New Roman" w:hAnsi="Times New Roman"/>
                <w:color w:val="454545"/>
                <w:sz w:val="24"/>
                <w:szCs w:val="24"/>
                <w:lang w:val="en-US"/>
              </w:rPr>
              <w:t>308,27</w:t>
            </w:r>
          </w:p>
          <w:p w:rsidR="00D12CFB" w:rsidRPr="00D12CFB" w:rsidRDefault="00D12CFB" w:rsidP="008B4FC6">
            <w:pPr>
              <w:shd w:val="clear" w:color="auto" w:fill="FFFFFF"/>
              <w:contextualSpacing/>
              <w:jc w:val="center"/>
              <w:rPr>
                <w:rFonts w:ascii="Times New Roman" w:hAnsi="Times New Roman"/>
                <w:color w:val="454545"/>
                <w:sz w:val="24"/>
                <w:szCs w:val="24"/>
                <w:lang w:val="uk-UA"/>
              </w:rPr>
            </w:pPr>
          </w:p>
        </w:tc>
        <w:tc>
          <w:tcPr>
            <w:tcW w:w="0" w:type="auto"/>
          </w:tcPr>
          <w:p w:rsidR="00D12CFB" w:rsidRPr="00D12CFB" w:rsidRDefault="00D12CFB" w:rsidP="008B4FC6">
            <w:pPr>
              <w:shd w:val="clear" w:color="auto" w:fill="FFFFFF"/>
              <w:contextualSpacing/>
              <w:jc w:val="center"/>
              <w:rPr>
                <w:rFonts w:ascii="Times New Roman" w:hAnsi="Times New Roman"/>
                <w:color w:val="454545"/>
                <w:sz w:val="24"/>
                <w:szCs w:val="24"/>
                <w:lang w:val="en-US"/>
              </w:rPr>
            </w:pPr>
            <w:r w:rsidRPr="00D12CFB">
              <w:rPr>
                <w:rFonts w:ascii="Times New Roman" w:hAnsi="Times New Roman"/>
                <w:color w:val="454545"/>
                <w:sz w:val="24"/>
                <w:szCs w:val="24"/>
                <w:lang w:val="en-US"/>
              </w:rPr>
              <w:t>254,54</w:t>
            </w:r>
          </w:p>
          <w:p w:rsidR="00D12CFB" w:rsidRPr="00D12CFB" w:rsidRDefault="00D12CFB" w:rsidP="008B4FC6">
            <w:pPr>
              <w:shd w:val="clear" w:color="auto" w:fill="FFFFFF"/>
              <w:contextualSpacing/>
              <w:jc w:val="center"/>
              <w:rPr>
                <w:rFonts w:ascii="Times New Roman" w:hAnsi="Times New Roman"/>
                <w:color w:val="454545"/>
                <w:sz w:val="24"/>
                <w:szCs w:val="24"/>
                <w:lang w:val="uk-UA"/>
              </w:rPr>
            </w:pPr>
          </w:p>
        </w:tc>
        <w:tc>
          <w:tcPr>
            <w:tcW w:w="0" w:type="auto"/>
          </w:tcPr>
          <w:p w:rsidR="00D12CFB" w:rsidRPr="00D12CFB" w:rsidRDefault="00D12CFB" w:rsidP="008B4FC6">
            <w:pPr>
              <w:contextualSpacing/>
              <w:jc w:val="center"/>
              <w:rPr>
                <w:rFonts w:ascii="Times New Roman" w:hAnsi="Times New Roman"/>
                <w:color w:val="454545"/>
                <w:sz w:val="24"/>
                <w:szCs w:val="24"/>
                <w:lang w:val="en-US"/>
              </w:rPr>
            </w:pPr>
            <w:r w:rsidRPr="00D12CFB">
              <w:rPr>
                <w:rFonts w:ascii="Times New Roman" w:hAnsi="Times New Roman"/>
                <w:color w:val="454545"/>
                <w:sz w:val="24"/>
                <w:szCs w:val="24"/>
                <w:lang w:val="en-US"/>
              </w:rPr>
              <w:t>571,03</w:t>
            </w:r>
          </w:p>
          <w:p w:rsidR="00D12CFB" w:rsidRPr="00D12CFB" w:rsidRDefault="00D12CFB" w:rsidP="008B4FC6">
            <w:pPr>
              <w:contextualSpacing/>
              <w:jc w:val="center"/>
              <w:rPr>
                <w:rFonts w:ascii="Times New Roman" w:hAnsi="Times New Roman"/>
                <w:color w:val="454545"/>
                <w:sz w:val="24"/>
                <w:szCs w:val="24"/>
                <w:lang w:val="uk-UA"/>
              </w:rPr>
            </w:pPr>
          </w:p>
        </w:tc>
        <w:tc>
          <w:tcPr>
            <w:tcW w:w="0" w:type="auto"/>
          </w:tcPr>
          <w:p w:rsidR="00D12CFB" w:rsidRPr="00D12CFB" w:rsidRDefault="00D12CFB" w:rsidP="008B4FC6">
            <w:pPr>
              <w:shd w:val="clear" w:color="auto" w:fill="FFFFFF"/>
              <w:contextualSpacing/>
              <w:jc w:val="center"/>
              <w:rPr>
                <w:rFonts w:ascii="Times New Roman" w:hAnsi="Times New Roman"/>
                <w:color w:val="454545"/>
                <w:sz w:val="24"/>
                <w:szCs w:val="24"/>
                <w:lang w:val="en-US"/>
              </w:rPr>
            </w:pPr>
            <w:r w:rsidRPr="00D12CFB">
              <w:rPr>
                <w:rFonts w:ascii="Times New Roman" w:hAnsi="Times New Roman"/>
                <w:color w:val="454545"/>
                <w:sz w:val="24"/>
                <w:szCs w:val="24"/>
                <w:lang w:val="en-US"/>
              </w:rPr>
              <w:t>720,01</w:t>
            </w:r>
          </w:p>
          <w:p w:rsidR="00D12CFB" w:rsidRPr="00D12CFB" w:rsidRDefault="00D12CFB" w:rsidP="008B4FC6">
            <w:pPr>
              <w:shd w:val="clear" w:color="auto" w:fill="FFFFFF"/>
              <w:contextualSpacing/>
              <w:jc w:val="center"/>
              <w:rPr>
                <w:rFonts w:ascii="Times New Roman" w:hAnsi="Times New Roman"/>
                <w:color w:val="454545"/>
                <w:sz w:val="24"/>
                <w:szCs w:val="24"/>
                <w:lang w:val="uk-UA"/>
              </w:rPr>
            </w:pPr>
          </w:p>
        </w:tc>
      </w:tr>
      <w:tr w:rsidR="00D12CFB" w:rsidRPr="00D12CFB" w:rsidTr="00AE4567">
        <w:trPr>
          <w:trHeight w:val="221"/>
          <w:jc w:val="center"/>
        </w:trPr>
        <w:tc>
          <w:tcPr>
            <w:tcW w:w="0" w:type="auto"/>
          </w:tcPr>
          <w:p w:rsidR="00D12CFB" w:rsidRPr="00D12CFB" w:rsidRDefault="00D12CFB" w:rsidP="008B4FC6">
            <w:pPr>
              <w:widowControl w:val="0"/>
              <w:contextualSpacing/>
              <w:jc w:val="center"/>
              <w:rPr>
                <w:rFonts w:ascii="Times New Roman" w:hAnsi="Times New Roman"/>
                <w:sz w:val="24"/>
                <w:szCs w:val="24"/>
              </w:rPr>
            </w:pPr>
            <w:r w:rsidRPr="00D12CFB">
              <w:rPr>
                <w:rFonts w:ascii="Times New Roman" w:hAnsi="Times New Roman"/>
                <w:sz w:val="24"/>
                <w:szCs w:val="24"/>
              </w:rPr>
              <w:t>2019</w:t>
            </w:r>
          </w:p>
          <w:p w:rsidR="00D12CFB" w:rsidRPr="00D12CFB" w:rsidRDefault="00D12CFB" w:rsidP="008B4FC6">
            <w:pPr>
              <w:contextualSpacing/>
              <w:jc w:val="center"/>
              <w:rPr>
                <w:rFonts w:ascii="Times New Roman" w:hAnsi="Times New Roman"/>
                <w:sz w:val="24"/>
                <w:szCs w:val="24"/>
              </w:rPr>
            </w:pPr>
          </w:p>
        </w:tc>
        <w:tc>
          <w:tcPr>
            <w:tcW w:w="0" w:type="auto"/>
          </w:tcPr>
          <w:p w:rsidR="00D12CFB" w:rsidRPr="00D12CFB" w:rsidRDefault="00D12CFB" w:rsidP="008B4FC6">
            <w:pPr>
              <w:shd w:val="clear" w:color="auto" w:fill="FFFFFF"/>
              <w:contextualSpacing/>
              <w:jc w:val="center"/>
              <w:rPr>
                <w:rFonts w:ascii="Times New Roman" w:hAnsi="Times New Roman"/>
                <w:color w:val="454545"/>
                <w:sz w:val="24"/>
                <w:szCs w:val="24"/>
                <w:lang w:val="en-US"/>
              </w:rPr>
            </w:pPr>
            <w:r w:rsidRPr="00D12CFB">
              <w:rPr>
                <w:rFonts w:ascii="Times New Roman" w:hAnsi="Times New Roman"/>
                <w:color w:val="454545"/>
                <w:sz w:val="24"/>
                <w:szCs w:val="24"/>
                <w:lang w:val="en-US"/>
              </w:rPr>
              <w:t>328,20</w:t>
            </w:r>
          </w:p>
          <w:p w:rsidR="00D12CFB" w:rsidRPr="00D12CFB" w:rsidRDefault="00D12CFB" w:rsidP="008B4FC6">
            <w:pPr>
              <w:shd w:val="clear" w:color="auto" w:fill="FFFFFF"/>
              <w:contextualSpacing/>
              <w:jc w:val="center"/>
              <w:rPr>
                <w:rFonts w:ascii="Times New Roman" w:hAnsi="Times New Roman"/>
                <w:color w:val="454545"/>
                <w:sz w:val="24"/>
                <w:szCs w:val="24"/>
                <w:lang w:val="uk-UA"/>
              </w:rPr>
            </w:pPr>
          </w:p>
        </w:tc>
        <w:tc>
          <w:tcPr>
            <w:tcW w:w="0" w:type="auto"/>
          </w:tcPr>
          <w:p w:rsidR="00D12CFB" w:rsidRPr="00D12CFB" w:rsidRDefault="00D12CFB" w:rsidP="008B4FC6">
            <w:pPr>
              <w:contextualSpacing/>
              <w:jc w:val="center"/>
              <w:rPr>
                <w:rFonts w:ascii="Times New Roman" w:hAnsi="Times New Roman"/>
                <w:color w:val="454545"/>
                <w:sz w:val="24"/>
                <w:szCs w:val="24"/>
                <w:lang w:val="en-US"/>
              </w:rPr>
            </w:pPr>
            <w:r w:rsidRPr="00D12CFB">
              <w:rPr>
                <w:rFonts w:ascii="Times New Roman" w:hAnsi="Times New Roman"/>
                <w:color w:val="454545"/>
                <w:sz w:val="24"/>
                <w:szCs w:val="24"/>
                <w:lang w:val="en-US"/>
              </w:rPr>
              <w:t>440,49</w:t>
            </w:r>
          </w:p>
          <w:p w:rsidR="00D12CFB" w:rsidRPr="00D12CFB" w:rsidRDefault="00D12CFB" w:rsidP="008B4FC6">
            <w:pPr>
              <w:contextualSpacing/>
              <w:jc w:val="center"/>
              <w:rPr>
                <w:rFonts w:ascii="Times New Roman" w:hAnsi="Times New Roman"/>
                <w:color w:val="454545"/>
                <w:sz w:val="24"/>
                <w:szCs w:val="24"/>
                <w:lang w:val="uk-UA"/>
              </w:rPr>
            </w:pPr>
          </w:p>
        </w:tc>
        <w:tc>
          <w:tcPr>
            <w:tcW w:w="0" w:type="auto"/>
          </w:tcPr>
          <w:p w:rsidR="00D12CFB" w:rsidRPr="00D12CFB" w:rsidRDefault="00D12CFB" w:rsidP="008B4FC6">
            <w:pPr>
              <w:contextualSpacing/>
              <w:jc w:val="center"/>
              <w:rPr>
                <w:rFonts w:ascii="Times New Roman" w:hAnsi="Times New Roman"/>
                <w:color w:val="454545"/>
                <w:sz w:val="24"/>
                <w:szCs w:val="24"/>
                <w:lang w:val="en-US"/>
              </w:rPr>
            </w:pPr>
            <w:r w:rsidRPr="00D12CFB">
              <w:rPr>
                <w:rFonts w:ascii="Times New Roman" w:hAnsi="Times New Roman"/>
                <w:color w:val="454545"/>
                <w:sz w:val="24"/>
                <w:szCs w:val="24"/>
                <w:lang w:val="en-US"/>
              </w:rPr>
              <w:t>330,88</w:t>
            </w:r>
          </w:p>
          <w:p w:rsidR="00D12CFB" w:rsidRPr="00D12CFB" w:rsidRDefault="00D12CFB" w:rsidP="008B4FC6">
            <w:pPr>
              <w:contextualSpacing/>
              <w:jc w:val="center"/>
              <w:rPr>
                <w:rFonts w:ascii="Times New Roman" w:hAnsi="Times New Roman"/>
                <w:color w:val="454545"/>
                <w:sz w:val="24"/>
                <w:szCs w:val="24"/>
                <w:lang w:val="uk-UA"/>
              </w:rPr>
            </w:pPr>
          </w:p>
        </w:tc>
        <w:tc>
          <w:tcPr>
            <w:tcW w:w="0" w:type="auto"/>
          </w:tcPr>
          <w:p w:rsidR="00D12CFB" w:rsidRPr="00D12CFB" w:rsidRDefault="00D12CFB" w:rsidP="008B4FC6">
            <w:pPr>
              <w:shd w:val="clear" w:color="auto" w:fill="FFFFFF"/>
              <w:contextualSpacing/>
              <w:jc w:val="center"/>
              <w:rPr>
                <w:rFonts w:ascii="Times New Roman" w:hAnsi="Times New Roman"/>
                <w:color w:val="454545"/>
                <w:sz w:val="24"/>
                <w:szCs w:val="24"/>
                <w:lang w:val="en-US"/>
              </w:rPr>
            </w:pPr>
            <w:r w:rsidRPr="00D12CFB">
              <w:rPr>
                <w:rFonts w:ascii="Times New Roman" w:hAnsi="Times New Roman"/>
                <w:color w:val="454545"/>
                <w:sz w:val="24"/>
                <w:szCs w:val="24"/>
                <w:lang w:val="en-US"/>
              </w:rPr>
              <w:t>269,24</w:t>
            </w:r>
          </w:p>
          <w:p w:rsidR="00D12CFB" w:rsidRPr="00D12CFB" w:rsidRDefault="00D12CFB" w:rsidP="008B4FC6">
            <w:pPr>
              <w:shd w:val="clear" w:color="auto" w:fill="FFFFFF"/>
              <w:contextualSpacing/>
              <w:jc w:val="center"/>
              <w:rPr>
                <w:rFonts w:ascii="Times New Roman" w:hAnsi="Times New Roman"/>
                <w:color w:val="454545"/>
                <w:sz w:val="24"/>
                <w:szCs w:val="24"/>
                <w:lang w:val="uk-UA"/>
              </w:rPr>
            </w:pPr>
          </w:p>
        </w:tc>
        <w:tc>
          <w:tcPr>
            <w:tcW w:w="0" w:type="auto"/>
          </w:tcPr>
          <w:p w:rsidR="00D12CFB" w:rsidRPr="00D12CFB" w:rsidRDefault="00D12CFB" w:rsidP="008B4FC6">
            <w:pPr>
              <w:contextualSpacing/>
              <w:jc w:val="center"/>
              <w:rPr>
                <w:rFonts w:ascii="Times New Roman" w:hAnsi="Times New Roman"/>
                <w:color w:val="454545"/>
                <w:sz w:val="24"/>
                <w:szCs w:val="24"/>
                <w:lang w:val="en-US"/>
              </w:rPr>
            </w:pPr>
            <w:r w:rsidRPr="00D12CFB">
              <w:rPr>
                <w:rFonts w:ascii="Times New Roman" w:hAnsi="Times New Roman"/>
                <w:color w:val="454545"/>
                <w:sz w:val="24"/>
                <w:szCs w:val="24"/>
                <w:lang w:val="en-US"/>
              </w:rPr>
              <w:t>300,46</w:t>
            </w:r>
          </w:p>
          <w:p w:rsidR="00D12CFB" w:rsidRPr="00D12CFB" w:rsidRDefault="00D12CFB" w:rsidP="008B4FC6">
            <w:pPr>
              <w:contextualSpacing/>
              <w:jc w:val="center"/>
              <w:rPr>
                <w:rFonts w:ascii="Times New Roman" w:hAnsi="Times New Roman"/>
                <w:color w:val="454545"/>
                <w:sz w:val="24"/>
                <w:szCs w:val="24"/>
                <w:lang w:val="uk-UA"/>
              </w:rPr>
            </w:pPr>
          </w:p>
        </w:tc>
        <w:tc>
          <w:tcPr>
            <w:tcW w:w="0" w:type="auto"/>
          </w:tcPr>
          <w:p w:rsidR="00D12CFB" w:rsidRPr="00D12CFB" w:rsidRDefault="00D12CFB" w:rsidP="008B4FC6">
            <w:pPr>
              <w:shd w:val="clear" w:color="auto" w:fill="FFFFFF"/>
              <w:contextualSpacing/>
              <w:jc w:val="center"/>
              <w:rPr>
                <w:rFonts w:ascii="Times New Roman" w:hAnsi="Times New Roman"/>
                <w:color w:val="454545"/>
                <w:sz w:val="24"/>
                <w:szCs w:val="24"/>
                <w:lang w:val="en-US"/>
              </w:rPr>
            </w:pPr>
            <w:r w:rsidRPr="00D12CFB">
              <w:rPr>
                <w:rFonts w:ascii="Times New Roman" w:hAnsi="Times New Roman"/>
                <w:color w:val="454545"/>
                <w:sz w:val="24"/>
                <w:szCs w:val="24"/>
                <w:lang w:val="en-US"/>
              </w:rPr>
              <w:t>246,87</w:t>
            </w:r>
          </w:p>
          <w:p w:rsidR="00D12CFB" w:rsidRPr="00D12CFB" w:rsidRDefault="00D12CFB" w:rsidP="008B4FC6">
            <w:pPr>
              <w:shd w:val="clear" w:color="auto" w:fill="FFFFFF"/>
              <w:contextualSpacing/>
              <w:jc w:val="center"/>
              <w:rPr>
                <w:rFonts w:ascii="Times New Roman" w:hAnsi="Times New Roman"/>
                <w:color w:val="454545"/>
                <w:sz w:val="24"/>
                <w:szCs w:val="24"/>
                <w:lang w:val="uk-UA"/>
              </w:rPr>
            </w:pPr>
          </w:p>
        </w:tc>
        <w:tc>
          <w:tcPr>
            <w:tcW w:w="0" w:type="auto"/>
          </w:tcPr>
          <w:p w:rsidR="00D12CFB" w:rsidRPr="00D12CFB" w:rsidRDefault="00D12CFB" w:rsidP="008B4FC6">
            <w:pPr>
              <w:shd w:val="clear" w:color="auto" w:fill="FFFFFF"/>
              <w:contextualSpacing/>
              <w:jc w:val="center"/>
              <w:rPr>
                <w:rFonts w:ascii="Times New Roman" w:hAnsi="Times New Roman"/>
                <w:color w:val="454545"/>
                <w:sz w:val="24"/>
                <w:szCs w:val="24"/>
                <w:lang w:val="en-US"/>
              </w:rPr>
            </w:pPr>
            <w:r w:rsidRPr="00D12CFB">
              <w:rPr>
                <w:rFonts w:ascii="Times New Roman" w:hAnsi="Times New Roman"/>
                <w:color w:val="454545"/>
                <w:sz w:val="24"/>
                <w:szCs w:val="24"/>
                <w:lang w:val="en-US"/>
              </w:rPr>
              <w:t>558,44</w:t>
            </w:r>
          </w:p>
          <w:p w:rsidR="00D12CFB" w:rsidRPr="00D12CFB" w:rsidRDefault="00D12CFB" w:rsidP="008B4FC6">
            <w:pPr>
              <w:shd w:val="clear" w:color="auto" w:fill="FFFFFF"/>
              <w:contextualSpacing/>
              <w:jc w:val="center"/>
              <w:rPr>
                <w:rFonts w:ascii="Times New Roman" w:hAnsi="Times New Roman"/>
                <w:color w:val="454545"/>
                <w:sz w:val="24"/>
                <w:szCs w:val="24"/>
                <w:lang w:val="uk-UA"/>
              </w:rPr>
            </w:pPr>
          </w:p>
        </w:tc>
        <w:tc>
          <w:tcPr>
            <w:tcW w:w="0" w:type="auto"/>
          </w:tcPr>
          <w:p w:rsidR="00D12CFB" w:rsidRPr="00D12CFB" w:rsidRDefault="00D12CFB" w:rsidP="008B4FC6">
            <w:pPr>
              <w:contextualSpacing/>
              <w:jc w:val="center"/>
              <w:rPr>
                <w:rFonts w:ascii="Times New Roman" w:hAnsi="Times New Roman"/>
                <w:color w:val="454545"/>
                <w:sz w:val="24"/>
                <w:szCs w:val="24"/>
                <w:lang w:val="en-US"/>
              </w:rPr>
            </w:pPr>
            <w:r w:rsidRPr="00D12CFB">
              <w:rPr>
                <w:rFonts w:ascii="Times New Roman" w:hAnsi="Times New Roman"/>
                <w:color w:val="454545"/>
                <w:sz w:val="24"/>
                <w:szCs w:val="24"/>
                <w:lang w:val="en-US"/>
              </w:rPr>
              <w:t>696,70</w:t>
            </w:r>
          </w:p>
          <w:p w:rsidR="00D12CFB" w:rsidRPr="00D12CFB" w:rsidRDefault="00D12CFB" w:rsidP="008B4FC6">
            <w:pPr>
              <w:contextualSpacing/>
              <w:jc w:val="center"/>
              <w:rPr>
                <w:rFonts w:ascii="Times New Roman" w:hAnsi="Times New Roman"/>
                <w:color w:val="454545"/>
                <w:sz w:val="24"/>
                <w:szCs w:val="24"/>
                <w:lang w:val="uk-UA"/>
              </w:rPr>
            </w:pPr>
          </w:p>
        </w:tc>
      </w:tr>
    </w:tbl>
    <w:p w:rsidR="00D12CFB" w:rsidRDefault="00D12CFB" w:rsidP="00721203">
      <w:pPr>
        <w:widowControl w:val="0"/>
        <w:tabs>
          <w:tab w:val="left" w:pos="642"/>
        </w:tabs>
        <w:ind w:firstLine="709"/>
        <w:rPr>
          <w:b/>
          <w:color w:val="FF0000"/>
          <w:szCs w:val="28"/>
          <w:u w:val="single"/>
          <w:lang w:val="ru-RU"/>
        </w:rPr>
      </w:pPr>
    </w:p>
    <w:p w:rsidR="00CD191E" w:rsidRPr="00CD191E" w:rsidRDefault="00CD191E" w:rsidP="00CD191E">
      <w:pPr>
        <w:jc w:val="right"/>
        <w:rPr>
          <w:rFonts w:eastAsia="Times New Roman"/>
          <w:i/>
          <w:szCs w:val="28"/>
          <w:lang w:eastAsia="ru-RU"/>
        </w:rPr>
      </w:pPr>
      <w:r w:rsidRPr="00CD191E">
        <w:rPr>
          <w:rFonts w:eastAsia="Calibri"/>
          <w:b/>
          <w:szCs w:val="28"/>
        </w:rPr>
        <w:t xml:space="preserve">    </w:t>
      </w:r>
      <w:r w:rsidR="00366823">
        <w:rPr>
          <w:rFonts w:eastAsia="Times New Roman"/>
          <w:i/>
          <w:szCs w:val="28"/>
          <w:lang w:eastAsia="ru-RU"/>
        </w:rPr>
        <w:t>Таблиця 3.5</w:t>
      </w:r>
      <w:r w:rsidRPr="00CD191E">
        <w:rPr>
          <w:rFonts w:eastAsia="Times New Roman"/>
          <w:i/>
          <w:szCs w:val="28"/>
          <w:lang w:eastAsia="ru-RU"/>
        </w:rPr>
        <w:t xml:space="preserve"> </w:t>
      </w:r>
    </w:p>
    <w:p w:rsidR="00CD191E" w:rsidRPr="00CD191E" w:rsidRDefault="00CD191E" w:rsidP="00F804A0">
      <w:pPr>
        <w:jc w:val="center"/>
        <w:rPr>
          <w:rFonts w:eastAsia="Times New Roman"/>
          <w:b/>
          <w:szCs w:val="28"/>
          <w:lang w:eastAsia="ru-RU"/>
        </w:rPr>
      </w:pPr>
      <w:r w:rsidRPr="00CD191E">
        <w:rPr>
          <w:rFonts w:eastAsia="Times New Roman"/>
          <w:b/>
          <w:szCs w:val="28"/>
          <w:lang w:eastAsia="ru-RU"/>
        </w:rPr>
        <w:t>Кількість померлих дітей у віці до 1 року в перинатальному та неонатальному періодах 2008-2018 рр. (осіб)</w:t>
      </w:r>
    </w:p>
    <w:tbl>
      <w:tblPr>
        <w:tblW w:w="0" w:type="auto"/>
        <w:jc w:val="center"/>
        <w:tblInd w:w="3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96"/>
        <w:gridCol w:w="1876"/>
        <w:gridCol w:w="941"/>
        <w:gridCol w:w="1660"/>
        <w:gridCol w:w="1415"/>
        <w:gridCol w:w="1082"/>
        <w:gridCol w:w="2447"/>
      </w:tblGrid>
      <w:tr w:rsidR="00CD191E" w:rsidRPr="00CD191E" w:rsidTr="007A7F6C">
        <w:trPr>
          <w:trHeight w:val="195"/>
          <w:jc w:val="center"/>
        </w:trPr>
        <w:tc>
          <w:tcPr>
            <w:tcW w:w="696" w:type="dxa"/>
            <w:vMerge w:val="restart"/>
          </w:tcPr>
          <w:p w:rsidR="00CD191E" w:rsidRPr="00CD191E" w:rsidRDefault="00CD191E" w:rsidP="00CD191E">
            <w:pPr>
              <w:spacing w:line="240" w:lineRule="auto"/>
              <w:jc w:val="center"/>
              <w:rPr>
                <w:rFonts w:eastAsia="Times New Roman"/>
                <w:sz w:val="24"/>
                <w:szCs w:val="24"/>
                <w:lang w:eastAsia="ru-RU"/>
              </w:rPr>
            </w:pPr>
            <w:r w:rsidRPr="00CD191E">
              <w:rPr>
                <w:rFonts w:eastAsia="Times New Roman"/>
                <w:sz w:val="24"/>
                <w:szCs w:val="24"/>
                <w:lang w:eastAsia="ru-RU"/>
              </w:rPr>
              <w:t>Рік</w:t>
            </w:r>
          </w:p>
        </w:tc>
        <w:tc>
          <w:tcPr>
            <w:tcW w:w="0" w:type="auto"/>
            <w:vMerge w:val="restart"/>
          </w:tcPr>
          <w:p w:rsidR="00CD191E" w:rsidRPr="00CD191E" w:rsidRDefault="00CD191E" w:rsidP="00CD191E">
            <w:pPr>
              <w:spacing w:line="240" w:lineRule="auto"/>
              <w:jc w:val="center"/>
              <w:rPr>
                <w:rFonts w:eastAsia="Times New Roman"/>
                <w:sz w:val="24"/>
                <w:szCs w:val="24"/>
                <w:lang w:eastAsia="ru-RU"/>
              </w:rPr>
            </w:pPr>
            <w:r w:rsidRPr="00CD191E">
              <w:rPr>
                <w:rFonts w:eastAsia="Times New Roman"/>
                <w:sz w:val="24"/>
                <w:szCs w:val="24"/>
                <w:lang w:eastAsia="ru-RU"/>
              </w:rPr>
              <w:t>Кількість</w:t>
            </w:r>
          </w:p>
          <w:p w:rsidR="00CD191E" w:rsidRPr="00CD191E" w:rsidRDefault="00CD191E" w:rsidP="00CD191E">
            <w:pPr>
              <w:spacing w:line="240" w:lineRule="auto"/>
              <w:jc w:val="center"/>
              <w:rPr>
                <w:rFonts w:eastAsia="Times New Roman"/>
                <w:sz w:val="24"/>
                <w:szCs w:val="24"/>
                <w:lang w:eastAsia="ru-RU"/>
              </w:rPr>
            </w:pPr>
            <w:r w:rsidRPr="00CD191E">
              <w:rPr>
                <w:rFonts w:eastAsia="Times New Roman"/>
                <w:sz w:val="24"/>
                <w:szCs w:val="24"/>
                <w:lang w:eastAsia="ru-RU"/>
              </w:rPr>
              <w:t xml:space="preserve">померлих дітей у віці до 1 року </w:t>
            </w:r>
            <w:r w:rsidRPr="00CD191E">
              <w:rPr>
                <w:rFonts w:eastAsia="Calibri"/>
                <w:sz w:val="24"/>
                <w:szCs w:val="24"/>
              </w:rPr>
              <w:t>життя</w:t>
            </w:r>
          </w:p>
        </w:tc>
        <w:tc>
          <w:tcPr>
            <w:tcW w:w="0" w:type="auto"/>
            <w:gridSpan w:val="3"/>
          </w:tcPr>
          <w:p w:rsidR="00CD191E" w:rsidRPr="00CD191E" w:rsidRDefault="00CD191E" w:rsidP="00CD191E">
            <w:pPr>
              <w:spacing w:line="240" w:lineRule="auto"/>
              <w:jc w:val="center"/>
              <w:rPr>
                <w:rFonts w:eastAsia="Times New Roman"/>
                <w:sz w:val="24"/>
                <w:szCs w:val="24"/>
                <w:lang w:eastAsia="ru-RU"/>
              </w:rPr>
            </w:pPr>
            <w:r w:rsidRPr="00CD191E">
              <w:rPr>
                <w:rFonts w:eastAsia="Times New Roman"/>
                <w:sz w:val="24"/>
                <w:szCs w:val="24"/>
                <w:lang w:eastAsia="ru-RU"/>
              </w:rPr>
              <w:t>Кількість померлих у перинатальному періоді</w:t>
            </w:r>
          </w:p>
        </w:tc>
        <w:tc>
          <w:tcPr>
            <w:tcW w:w="3529" w:type="dxa"/>
            <w:gridSpan w:val="2"/>
          </w:tcPr>
          <w:p w:rsidR="00CD191E" w:rsidRPr="00CD191E" w:rsidRDefault="00CD191E" w:rsidP="00CD191E">
            <w:pPr>
              <w:spacing w:line="240" w:lineRule="auto"/>
              <w:jc w:val="center"/>
              <w:rPr>
                <w:rFonts w:eastAsia="Times New Roman"/>
                <w:sz w:val="24"/>
                <w:szCs w:val="24"/>
                <w:lang w:eastAsia="ru-RU"/>
              </w:rPr>
            </w:pPr>
            <w:r w:rsidRPr="00CD191E">
              <w:rPr>
                <w:rFonts w:eastAsia="Times New Roman"/>
                <w:sz w:val="24"/>
                <w:szCs w:val="24"/>
                <w:lang w:eastAsia="ru-RU"/>
              </w:rPr>
              <w:t>Кількість померлих у неонатальному періоді</w:t>
            </w:r>
          </w:p>
        </w:tc>
      </w:tr>
      <w:tr w:rsidR="00CD191E" w:rsidRPr="00CD191E" w:rsidTr="007A7F6C">
        <w:trPr>
          <w:trHeight w:val="165"/>
          <w:jc w:val="center"/>
        </w:trPr>
        <w:tc>
          <w:tcPr>
            <w:tcW w:w="696" w:type="dxa"/>
            <w:vMerge/>
          </w:tcPr>
          <w:p w:rsidR="00CD191E" w:rsidRPr="00CD191E" w:rsidRDefault="00CD191E" w:rsidP="00CD191E">
            <w:pPr>
              <w:spacing w:line="240" w:lineRule="auto"/>
              <w:jc w:val="center"/>
              <w:rPr>
                <w:rFonts w:eastAsia="Times New Roman"/>
                <w:sz w:val="24"/>
                <w:szCs w:val="24"/>
                <w:lang w:eastAsia="ru-RU"/>
              </w:rPr>
            </w:pPr>
          </w:p>
        </w:tc>
        <w:tc>
          <w:tcPr>
            <w:tcW w:w="0" w:type="auto"/>
            <w:vMerge/>
          </w:tcPr>
          <w:p w:rsidR="00CD191E" w:rsidRPr="00CD191E" w:rsidRDefault="00CD191E" w:rsidP="00CD191E">
            <w:pPr>
              <w:spacing w:line="240" w:lineRule="auto"/>
              <w:jc w:val="center"/>
              <w:rPr>
                <w:rFonts w:eastAsia="Times New Roman"/>
                <w:sz w:val="24"/>
                <w:szCs w:val="24"/>
                <w:lang w:eastAsia="ru-RU"/>
              </w:rPr>
            </w:pPr>
          </w:p>
        </w:tc>
        <w:tc>
          <w:tcPr>
            <w:tcW w:w="0" w:type="auto"/>
            <w:vMerge w:val="restart"/>
          </w:tcPr>
          <w:p w:rsidR="00CD191E" w:rsidRPr="00CD191E" w:rsidRDefault="00CD191E" w:rsidP="00CD191E">
            <w:pPr>
              <w:spacing w:line="240" w:lineRule="auto"/>
              <w:jc w:val="center"/>
              <w:rPr>
                <w:rFonts w:eastAsia="Times New Roman"/>
                <w:sz w:val="24"/>
                <w:szCs w:val="24"/>
                <w:lang w:eastAsia="ru-RU"/>
              </w:rPr>
            </w:pPr>
            <w:r w:rsidRPr="00CD191E">
              <w:rPr>
                <w:rFonts w:eastAsia="Times New Roman"/>
                <w:sz w:val="24"/>
                <w:szCs w:val="24"/>
                <w:lang w:eastAsia="ru-RU"/>
              </w:rPr>
              <w:t>Усього</w:t>
            </w:r>
          </w:p>
        </w:tc>
        <w:tc>
          <w:tcPr>
            <w:tcW w:w="0" w:type="auto"/>
            <w:gridSpan w:val="2"/>
          </w:tcPr>
          <w:p w:rsidR="00CD191E" w:rsidRPr="00CD191E" w:rsidRDefault="00CD191E" w:rsidP="00CD191E">
            <w:pPr>
              <w:spacing w:line="240" w:lineRule="auto"/>
              <w:jc w:val="center"/>
              <w:rPr>
                <w:rFonts w:eastAsia="Times New Roman"/>
                <w:sz w:val="24"/>
                <w:szCs w:val="24"/>
                <w:lang w:eastAsia="ru-RU"/>
              </w:rPr>
            </w:pPr>
            <w:r w:rsidRPr="00CD191E">
              <w:rPr>
                <w:rFonts w:eastAsia="Times New Roman"/>
                <w:sz w:val="24"/>
                <w:szCs w:val="24"/>
                <w:lang w:eastAsia="ru-RU"/>
              </w:rPr>
              <w:t>У тому числі</w:t>
            </w:r>
          </w:p>
        </w:tc>
        <w:tc>
          <w:tcPr>
            <w:tcW w:w="0" w:type="auto"/>
            <w:vMerge w:val="restart"/>
          </w:tcPr>
          <w:p w:rsidR="00CD191E" w:rsidRPr="00CD191E" w:rsidRDefault="00CD191E" w:rsidP="00CD191E">
            <w:pPr>
              <w:spacing w:line="240" w:lineRule="auto"/>
              <w:jc w:val="center"/>
              <w:rPr>
                <w:rFonts w:eastAsia="Times New Roman"/>
                <w:sz w:val="24"/>
                <w:szCs w:val="24"/>
                <w:lang w:eastAsia="ru-RU"/>
              </w:rPr>
            </w:pPr>
            <w:r w:rsidRPr="00CD191E">
              <w:rPr>
                <w:rFonts w:eastAsia="Times New Roman"/>
                <w:sz w:val="24"/>
                <w:szCs w:val="24"/>
                <w:lang w:eastAsia="ru-RU"/>
              </w:rPr>
              <w:t xml:space="preserve">Усього у віці </w:t>
            </w:r>
          </w:p>
          <w:p w:rsidR="00CD191E" w:rsidRPr="00CD191E" w:rsidRDefault="00CD191E" w:rsidP="00CD191E">
            <w:pPr>
              <w:spacing w:line="240" w:lineRule="auto"/>
              <w:jc w:val="center"/>
              <w:rPr>
                <w:rFonts w:eastAsia="Times New Roman"/>
                <w:sz w:val="24"/>
                <w:szCs w:val="24"/>
                <w:lang w:eastAsia="ru-RU"/>
              </w:rPr>
            </w:pPr>
            <w:r w:rsidRPr="00CD191E">
              <w:rPr>
                <w:rFonts w:eastAsia="Times New Roman"/>
                <w:sz w:val="24"/>
                <w:szCs w:val="24"/>
                <w:lang w:eastAsia="ru-RU"/>
              </w:rPr>
              <w:t>0-27 днів</w:t>
            </w:r>
          </w:p>
        </w:tc>
        <w:tc>
          <w:tcPr>
            <w:tcW w:w="2447" w:type="dxa"/>
            <w:vMerge w:val="restart"/>
          </w:tcPr>
          <w:p w:rsidR="00CD191E" w:rsidRPr="00CD191E" w:rsidRDefault="00CD191E" w:rsidP="00CD191E">
            <w:pPr>
              <w:spacing w:line="240" w:lineRule="auto"/>
              <w:jc w:val="center"/>
              <w:rPr>
                <w:rFonts w:eastAsia="Times New Roman"/>
                <w:sz w:val="24"/>
                <w:szCs w:val="24"/>
                <w:lang w:eastAsia="ru-RU"/>
              </w:rPr>
            </w:pPr>
            <w:r w:rsidRPr="00CD191E">
              <w:rPr>
                <w:rFonts w:eastAsia="Times New Roman"/>
                <w:sz w:val="24"/>
                <w:szCs w:val="24"/>
                <w:lang w:eastAsia="ru-RU"/>
              </w:rPr>
              <w:t>У % до загальної кількості померлих у віці до 1 року</w:t>
            </w:r>
            <w:r w:rsidRPr="00CD191E">
              <w:rPr>
                <w:rFonts w:eastAsia="Calibri"/>
                <w:color w:val="FF0000"/>
                <w:szCs w:val="28"/>
              </w:rPr>
              <w:t xml:space="preserve"> </w:t>
            </w:r>
            <w:r w:rsidRPr="00CD191E">
              <w:rPr>
                <w:rFonts w:eastAsia="Calibri"/>
                <w:sz w:val="24"/>
                <w:szCs w:val="24"/>
              </w:rPr>
              <w:t>життя</w:t>
            </w:r>
          </w:p>
        </w:tc>
      </w:tr>
      <w:tr w:rsidR="00CD191E" w:rsidRPr="00CD191E" w:rsidTr="007A7F6C">
        <w:trPr>
          <w:trHeight w:val="630"/>
          <w:jc w:val="center"/>
        </w:trPr>
        <w:tc>
          <w:tcPr>
            <w:tcW w:w="696" w:type="dxa"/>
            <w:vMerge/>
          </w:tcPr>
          <w:p w:rsidR="00CD191E" w:rsidRPr="00CD191E" w:rsidRDefault="00CD191E" w:rsidP="00CD191E">
            <w:pPr>
              <w:spacing w:line="240" w:lineRule="auto"/>
              <w:jc w:val="center"/>
              <w:rPr>
                <w:rFonts w:eastAsia="Times New Roman"/>
                <w:sz w:val="24"/>
                <w:szCs w:val="24"/>
                <w:lang w:eastAsia="ru-RU"/>
              </w:rPr>
            </w:pPr>
          </w:p>
        </w:tc>
        <w:tc>
          <w:tcPr>
            <w:tcW w:w="0" w:type="auto"/>
            <w:vMerge/>
          </w:tcPr>
          <w:p w:rsidR="00CD191E" w:rsidRPr="00CD191E" w:rsidRDefault="00CD191E" w:rsidP="00CD191E">
            <w:pPr>
              <w:spacing w:line="240" w:lineRule="auto"/>
              <w:jc w:val="center"/>
              <w:rPr>
                <w:rFonts w:eastAsia="Times New Roman"/>
                <w:sz w:val="24"/>
                <w:szCs w:val="24"/>
                <w:lang w:eastAsia="ru-RU"/>
              </w:rPr>
            </w:pPr>
          </w:p>
        </w:tc>
        <w:tc>
          <w:tcPr>
            <w:tcW w:w="0" w:type="auto"/>
            <w:vMerge/>
          </w:tcPr>
          <w:p w:rsidR="00CD191E" w:rsidRPr="00CD191E" w:rsidRDefault="00CD191E" w:rsidP="00CD191E">
            <w:pPr>
              <w:spacing w:line="240" w:lineRule="auto"/>
              <w:jc w:val="center"/>
              <w:rPr>
                <w:rFonts w:eastAsia="Times New Roman"/>
                <w:sz w:val="24"/>
                <w:szCs w:val="24"/>
                <w:lang w:eastAsia="ru-RU"/>
              </w:rPr>
            </w:pPr>
          </w:p>
        </w:tc>
        <w:tc>
          <w:tcPr>
            <w:tcW w:w="0" w:type="auto"/>
          </w:tcPr>
          <w:p w:rsidR="00CD191E" w:rsidRPr="00CD191E" w:rsidRDefault="00CD191E" w:rsidP="00CD191E">
            <w:pPr>
              <w:spacing w:line="240" w:lineRule="auto"/>
              <w:jc w:val="center"/>
              <w:rPr>
                <w:rFonts w:eastAsia="Times New Roman"/>
                <w:sz w:val="24"/>
                <w:szCs w:val="24"/>
                <w:lang w:eastAsia="ru-RU"/>
              </w:rPr>
            </w:pPr>
            <w:r w:rsidRPr="00CD191E">
              <w:rPr>
                <w:rFonts w:eastAsia="Times New Roman"/>
                <w:sz w:val="24"/>
                <w:szCs w:val="24"/>
                <w:lang w:eastAsia="ru-RU"/>
              </w:rPr>
              <w:t>Мертво-народжених</w:t>
            </w:r>
          </w:p>
        </w:tc>
        <w:tc>
          <w:tcPr>
            <w:tcW w:w="0" w:type="auto"/>
          </w:tcPr>
          <w:p w:rsidR="00CD191E" w:rsidRPr="00CD191E" w:rsidRDefault="00CD191E" w:rsidP="00CD191E">
            <w:pPr>
              <w:spacing w:line="240" w:lineRule="auto"/>
              <w:jc w:val="center"/>
              <w:rPr>
                <w:rFonts w:eastAsia="Times New Roman"/>
                <w:sz w:val="24"/>
                <w:szCs w:val="24"/>
                <w:lang w:eastAsia="ru-RU"/>
              </w:rPr>
            </w:pPr>
            <w:r w:rsidRPr="00CD191E">
              <w:rPr>
                <w:rFonts w:eastAsia="Times New Roman"/>
                <w:sz w:val="24"/>
                <w:szCs w:val="24"/>
                <w:lang w:eastAsia="ru-RU"/>
              </w:rPr>
              <w:t>Померлі у віці 0-6 днів</w:t>
            </w:r>
          </w:p>
        </w:tc>
        <w:tc>
          <w:tcPr>
            <w:tcW w:w="0" w:type="auto"/>
            <w:vMerge/>
          </w:tcPr>
          <w:p w:rsidR="00CD191E" w:rsidRPr="00CD191E" w:rsidRDefault="00CD191E" w:rsidP="00CD191E">
            <w:pPr>
              <w:spacing w:line="240" w:lineRule="auto"/>
              <w:jc w:val="center"/>
              <w:rPr>
                <w:rFonts w:eastAsia="Times New Roman"/>
                <w:sz w:val="24"/>
                <w:szCs w:val="24"/>
                <w:lang w:eastAsia="ru-RU"/>
              </w:rPr>
            </w:pPr>
          </w:p>
        </w:tc>
        <w:tc>
          <w:tcPr>
            <w:tcW w:w="2447" w:type="dxa"/>
            <w:vMerge/>
          </w:tcPr>
          <w:p w:rsidR="00CD191E" w:rsidRPr="00CD191E" w:rsidRDefault="00CD191E" w:rsidP="00CD191E">
            <w:pPr>
              <w:spacing w:line="240" w:lineRule="auto"/>
              <w:jc w:val="center"/>
              <w:rPr>
                <w:rFonts w:eastAsia="Times New Roman"/>
                <w:sz w:val="24"/>
                <w:szCs w:val="24"/>
                <w:lang w:eastAsia="ru-RU"/>
              </w:rPr>
            </w:pPr>
          </w:p>
        </w:tc>
      </w:tr>
      <w:tr w:rsidR="00CD191E" w:rsidRPr="00CD191E" w:rsidTr="007A7F6C">
        <w:trPr>
          <w:trHeight w:val="345"/>
          <w:jc w:val="center"/>
        </w:trPr>
        <w:tc>
          <w:tcPr>
            <w:tcW w:w="696" w:type="dxa"/>
          </w:tcPr>
          <w:p w:rsidR="00CD191E" w:rsidRPr="00CD191E" w:rsidRDefault="00CD191E" w:rsidP="00CD191E">
            <w:pPr>
              <w:spacing w:line="240" w:lineRule="auto"/>
              <w:jc w:val="center"/>
              <w:rPr>
                <w:rFonts w:eastAsia="Times New Roman"/>
                <w:sz w:val="24"/>
                <w:szCs w:val="24"/>
                <w:lang w:eastAsia="ru-RU"/>
              </w:rPr>
            </w:pPr>
            <w:r w:rsidRPr="00CD191E">
              <w:rPr>
                <w:rFonts w:eastAsia="Times New Roman"/>
                <w:sz w:val="24"/>
                <w:szCs w:val="24"/>
                <w:lang w:eastAsia="ru-RU"/>
              </w:rPr>
              <w:t>2008</w:t>
            </w:r>
          </w:p>
        </w:tc>
        <w:tc>
          <w:tcPr>
            <w:tcW w:w="0" w:type="auto"/>
          </w:tcPr>
          <w:p w:rsidR="00CD191E" w:rsidRPr="00CD191E" w:rsidRDefault="00CD191E" w:rsidP="00CD191E">
            <w:pPr>
              <w:spacing w:line="240" w:lineRule="auto"/>
              <w:jc w:val="center"/>
              <w:rPr>
                <w:rFonts w:eastAsia="Times New Roman"/>
                <w:sz w:val="24"/>
                <w:szCs w:val="24"/>
                <w:lang w:eastAsia="ru-RU"/>
              </w:rPr>
            </w:pPr>
            <w:r w:rsidRPr="00CD191E">
              <w:rPr>
                <w:rFonts w:eastAsia="Times New Roman"/>
                <w:sz w:val="24"/>
                <w:szCs w:val="24"/>
                <w:lang w:eastAsia="ru-RU"/>
              </w:rPr>
              <w:t>5049</w:t>
            </w:r>
          </w:p>
        </w:tc>
        <w:tc>
          <w:tcPr>
            <w:tcW w:w="0" w:type="auto"/>
          </w:tcPr>
          <w:p w:rsidR="00CD191E" w:rsidRPr="00CD191E" w:rsidRDefault="00CD191E" w:rsidP="00CD191E">
            <w:pPr>
              <w:spacing w:line="240" w:lineRule="auto"/>
              <w:jc w:val="center"/>
              <w:rPr>
                <w:rFonts w:eastAsia="Times New Roman"/>
                <w:sz w:val="24"/>
                <w:szCs w:val="24"/>
                <w:lang w:eastAsia="ru-RU"/>
              </w:rPr>
            </w:pPr>
            <w:r w:rsidRPr="00CD191E">
              <w:rPr>
                <w:rFonts w:eastAsia="Times New Roman"/>
                <w:sz w:val="24"/>
                <w:szCs w:val="24"/>
                <w:lang w:eastAsia="ru-RU"/>
              </w:rPr>
              <w:t>5741</w:t>
            </w:r>
          </w:p>
        </w:tc>
        <w:tc>
          <w:tcPr>
            <w:tcW w:w="0" w:type="auto"/>
          </w:tcPr>
          <w:p w:rsidR="00CD191E" w:rsidRPr="00CD191E" w:rsidRDefault="00CD191E" w:rsidP="00CD191E">
            <w:pPr>
              <w:spacing w:line="240" w:lineRule="auto"/>
              <w:jc w:val="center"/>
              <w:rPr>
                <w:rFonts w:eastAsia="Times New Roman"/>
                <w:sz w:val="24"/>
                <w:szCs w:val="24"/>
                <w:lang w:eastAsia="ru-RU"/>
              </w:rPr>
            </w:pPr>
            <w:r w:rsidRPr="00CD191E">
              <w:rPr>
                <w:rFonts w:eastAsia="Times New Roman"/>
                <w:sz w:val="24"/>
                <w:szCs w:val="24"/>
                <w:lang w:eastAsia="ru-RU"/>
              </w:rPr>
              <w:t>3416</w:t>
            </w:r>
          </w:p>
        </w:tc>
        <w:tc>
          <w:tcPr>
            <w:tcW w:w="0" w:type="auto"/>
          </w:tcPr>
          <w:p w:rsidR="00CD191E" w:rsidRPr="00CD191E" w:rsidRDefault="00CD191E" w:rsidP="00CD191E">
            <w:pPr>
              <w:spacing w:line="240" w:lineRule="auto"/>
              <w:jc w:val="center"/>
              <w:rPr>
                <w:rFonts w:eastAsia="Times New Roman"/>
                <w:sz w:val="24"/>
                <w:szCs w:val="24"/>
                <w:lang w:eastAsia="ru-RU"/>
              </w:rPr>
            </w:pPr>
            <w:r w:rsidRPr="00CD191E">
              <w:rPr>
                <w:rFonts w:eastAsia="Times New Roman"/>
                <w:sz w:val="24"/>
                <w:szCs w:val="24"/>
                <w:lang w:eastAsia="ru-RU"/>
              </w:rPr>
              <w:t>2325</w:t>
            </w:r>
          </w:p>
        </w:tc>
        <w:tc>
          <w:tcPr>
            <w:tcW w:w="0" w:type="auto"/>
          </w:tcPr>
          <w:p w:rsidR="00CD191E" w:rsidRPr="00CD191E" w:rsidRDefault="00CD191E" w:rsidP="00CD191E">
            <w:pPr>
              <w:spacing w:line="240" w:lineRule="auto"/>
              <w:jc w:val="center"/>
              <w:rPr>
                <w:rFonts w:eastAsia="Times New Roman"/>
                <w:sz w:val="24"/>
                <w:szCs w:val="24"/>
                <w:lang w:eastAsia="ru-RU"/>
              </w:rPr>
            </w:pPr>
            <w:r w:rsidRPr="00CD191E">
              <w:rPr>
                <w:rFonts w:eastAsia="Times New Roman"/>
                <w:sz w:val="24"/>
                <w:szCs w:val="24"/>
                <w:lang w:eastAsia="ru-RU"/>
              </w:rPr>
              <w:t>3185</w:t>
            </w:r>
          </w:p>
        </w:tc>
        <w:tc>
          <w:tcPr>
            <w:tcW w:w="2447" w:type="dxa"/>
          </w:tcPr>
          <w:p w:rsidR="00CD191E" w:rsidRPr="00CD191E" w:rsidRDefault="00CD191E" w:rsidP="00CD191E">
            <w:pPr>
              <w:spacing w:line="240" w:lineRule="auto"/>
              <w:jc w:val="center"/>
              <w:rPr>
                <w:rFonts w:eastAsia="Times New Roman"/>
                <w:sz w:val="24"/>
                <w:szCs w:val="24"/>
                <w:lang w:eastAsia="ru-RU"/>
              </w:rPr>
            </w:pPr>
            <w:r w:rsidRPr="00CD191E">
              <w:rPr>
                <w:rFonts w:eastAsia="Times New Roman"/>
                <w:sz w:val="24"/>
                <w:szCs w:val="24"/>
                <w:lang w:eastAsia="ru-RU"/>
              </w:rPr>
              <w:t>63,1</w:t>
            </w:r>
          </w:p>
        </w:tc>
      </w:tr>
      <w:tr w:rsidR="00CD191E" w:rsidRPr="00CD191E" w:rsidTr="007A7F6C">
        <w:trPr>
          <w:trHeight w:val="345"/>
          <w:jc w:val="center"/>
        </w:trPr>
        <w:tc>
          <w:tcPr>
            <w:tcW w:w="696" w:type="dxa"/>
          </w:tcPr>
          <w:p w:rsidR="00CD191E" w:rsidRPr="00CD191E" w:rsidRDefault="00CD191E" w:rsidP="00CD191E">
            <w:pPr>
              <w:spacing w:line="240" w:lineRule="auto"/>
              <w:jc w:val="center"/>
              <w:rPr>
                <w:rFonts w:eastAsia="Times New Roman"/>
                <w:sz w:val="24"/>
                <w:szCs w:val="24"/>
                <w:lang w:eastAsia="ru-RU"/>
              </w:rPr>
            </w:pPr>
            <w:r w:rsidRPr="00CD191E">
              <w:rPr>
                <w:rFonts w:eastAsia="Times New Roman"/>
                <w:sz w:val="24"/>
                <w:szCs w:val="24"/>
                <w:lang w:eastAsia="ru-RU"/>
              </w:rPr>
              <w:t>2009</w:t>
            </w:r>
          </w:p>
        </w:tc>
        <w:tc>
          <w:tcPr>
            <w:tcW w:w="0" w:type="auto"/>
          </w:tcPr>
          <w:p w:rsidR="00CD191E" w:rsidRPr="00CD191E" w:rsidRDefault="00CD191E" w:rsidP="00CD191E">
            <w:pPr>
              <w:spacing w:line="240" w:lineRule="auto"/>
              <w:jc w:val="center"/>
              <w:rPr>
                <w:rFonts w:eastAsia="Times New Roman"/>
                <w:sz w:val="24"/>
                <w:szCs w:val="24"/>
                <w:lang w:eastAsia="ru-RU"/>
              </w:rPr>
            </w:pPr>
            <w:r w:rsidRPr="00CD191E">
              <w:rPr>
                <w:rFonts w:eastAsia="Times New Roman"/>
                <w:sz w:val="24"/>
                <w:szCs w:val="24"/>
                <w:lang w:eastAsia="ru-RU"/>
              </w:rPr>
              <w:t>4801</w:t>
            </w:r>
          </w:p>
        </w:tc>
        <w:tc>
          <w:tcPr>
            <w:tcW w:w="0" w:type="auto"/>
          </w:tcPr>
          <w:p w:rsidR="00CD191E" w:rsidRPr="00CD191E" w:rsidRDefault="00CD191E" w:rsidP="00CD191E">
            <w:pPr>
              <w:spacing w:line="240" w:lineRule="auto"/>
              <w:jc w:val="center"/>
              <w:rPr>
                <w:rFonts w:eastAsia="Times New Roman"/>
                <w:sz w:val="24"/>
                <w:szCs w:val="24"/>
                <w:lang w:eastAsia="ru-RU"/>
              </w:rPr>
            </w:pPr>
            <w:r w:rsidRPr="00CD191E">
              <w:rPr>
                <w:rFonts w:eastAsia="Times New Roman"/>
                <w:sz w:val="24"/>
                <w:szCs w:val="24"/>
                <w:lang w:eastAsia="ru-RU"/>
              </w:rPr>
              <w:t>5502</w:t>
            </w:r>
          </w:p>
        </w:tc>
        <w:tc>
          <w:tcPr>
            <w:tcW w:w="0" w:type="auto"/>
          </w:tcPr>
          <w:p w:rsidR="00CD191E" w:rsidRPr="00CD191E" w:rsidRDefault="00CD191E" w:rsidP="00CD191E">
            <w:pPr>
              <w:spacing w:line="240" w:lineRule="auto"/>
              <w:jc w:val="center"/>
              <w:rPr>
                <w:rFonts w:eastAsia="Times New Roman"/>
                <w:sz w:val="24"/>
                <w:szCs w:val="24"/>
                <w:lang w:eastAsia="ru-RU"/>
              </w:rPr>
            </w:pPr>
            <w:r w:rsidRPr="00CD191E">
              <w:rPr>
                <w:rFonts w:eastAsia="Times New Roman"/>
                <w:sz w:val="24"/>
                <w:szCs w:val="24"/>
                <w:lang w:eastAsia="ru-RU"/>
              </w:rPr>
              <w:t>3351</w:t>
            </w:r>
          </w:p>
        </w:tc>
        <w:tc>
          <w:tcPr>
            <w:tcW w:w="0" w:type="auto"/>
          </w:tcPr>
          <w:p w:rsidR="00CD191E" w:rsidRPr="00CD191E" w:rsidRDefault="00CD191E" w:rsidP="00CD191E">
            <w:pPr>
              <w:spacing w:line="240" w:lineRule="auto"/>
              <w:jc w:val="center"/>
              <w:rPr>
                <w:rFonts w:eastAsia="Times New Roman"/>
                <w:sz w:val="24"/>
                <w:szCs w:val="24"/>
                <w:lang w:eastAsia="ru-RU"/>
              </w:rPr>
            </w:pPr>
            <w:r w:rsidRPr="00CD191E">
              <w:rPr>
                <w:rFonts w:eastAsia="Times New Roman"/>
                <w:sz w:val="24"/>
                <w:szCs w:val="24"/>
                <w:lang w:eastAsia="ru-RU"/>
              </w:rPr>
              <w:t>2151</w:t>
            </w:r>
          </w:p>
        </w:tc>
        <w:tc>
          <w:tcPr>
            <w:tcW w:w="0" w:type="auto"/>
          </w:tcPr>
          <w:p w:rsidR="00CD191E" w:rsidRPr="00CD191E" w:rsidRDefault="00CD191E" w:rsidP="00CD191E">
            <w:pPr>
              <w:spacing w:line="240" w:lineRule="auto"/>
              <w:jc w:val="center"/>
              <w:rPr>
                <w:rFonts w:eastAsia="Times New Roman"/>
                <w:sz w:val="24"/>
                <w:szCs w:val="24"/>
                <w:lang w:eastAsia="ru-RU"/>
              </w:rPr>
            </w:pPr>
            <w:r w:rsidRPr="00CD191E">
              <w:rPr>
                <w:rFonts w:eastAsia="Times New Roman"/>
                <w:sz w:val="24"/>
                <w:szCs w:val="24"/>
                <w:lang w:eastAsia="ru-RU"/>
              </w:rPr>
              <w:t>2997</w:t>
            </w:r>
          </w:p>
        </w:tc>
        <w:tc>
          <w:tcPr>
            <w:tcW w:w="2447" w:type="dxa"/>
          </w:tcPr>
          <w:p w:rsidR="00CD191E" w:rsidRPr="00CD191E" w:rsidRDefault="00CD191E" w:rsidP="00CD191E">
            <w:pPr>
              <w:spacing w:line="240" w:lineRule="auto"/>
              <w:jc w:val="center"/>
              <w:rPr>
                <w:rFonts w:eastAsia="Times New Roman"/>
                <w:sz w:val="24"/>
                <w:szCs w:val="24"/>
                <w:lang w:eastAsia="ru-RU"/>
              </w:rPr>
            </w:pPr>
            <w:r w:rsidRPr="00CD191E">
              <w:rPr>
                <w:rFonts w:eastAsia="Times New Roman"/>
                <w:sz w:val="24"/>
                <w:szCs w:val="24"/>
                <w:lang w:eastAsia="ru-RU"/>
              </w:rPr>
              <w:t>62,4</w:t>
            </w:r>
          </w:p>
        </w:tc>
      </w:tr>
      <w:tr w:rsidR="00CD191E" w:rsidRPr="00CD191E" w:rsidTr="007A7F6C">
        <w:trPr>
          <w:trHeight w:val="345"/>
          <w:jc w:val="center"/>
        </w:trPr>
        <w:tc>
          <w:tcPr>
            <w:tcW w:w="696" w:type="dxa"/>
          </w:tcPr>
          <w:p w:rsidR="00CD191E" w:rsidRPr="00CD191E" w:rsidRDefault="00CD191E" w:rsidP="00CD191E">
            <w:pPr>
              <w:spacing w:line="240" w:lineRule="auto"/>
              <w:jc w:val="center"/>
              <w:rPr>
                <w:rFonts w:eastAsia="Times New Roman"/>
                <w:sz w:val="24"/>
                <w:szCs w:val="24"/>
                <w:lang w:eastAsia="ru-RU"/>
              </w:rPr>
            </w:pPr>
            <w:r w:rsidRPr="00CD191E">
              <w:rPr>
                <w:rFonts w:eastAsia="Times New Roman"/>
                <w:sz w:val="24"/>
                <w:szCs w:val="24"/>
                <w:lang w:eastAsia="ru-RU"/>
              </w:rPr>
              <w:t>2010</w:t>
            </w:r>
          </w:p>
        </w:tc>
        <w:tc>
          <w:tcPr>
            <w:tcW w:w="0" w:type="auto"/>
          </w:tcPr>
          <w:p w:rsidR="00CD191E" w:rsidRPr="00CD191E" w:rsidRDefault="00CD191E" w:rsidP="00CD191E">
            <w:pPr>
              <w:spacing w:line="240" w:lineRule="auto"/>
              <w:jc w:val="center"/>
              <w:rPr>
                <w:rFonts w:eastAsia="Times New Roman"/>
                <w:sz w:val="24"/>
                <w:szCs w:val="24"/>
                <w:lang w:eastAsia="ru-RU"/>
              </w:rPr>
            </w:pPr>
            <w:r w:rsidRPr="00CD191E">
              <w:rPr>
                <w:rFonts w:eastAsia="Times New Roman"/>
                <w:sz w:val="24"/>
                <w:szCs w:val="24"/>
                <w:lang w:eastAsia="ru-RU"/>
              </w:rPr>
              <w:t>4564</w:t>
            </w:r>
          </w:p>
        </w:tc>
        <w:tc>
          <w:tcPr>
            <w:tcW w:w="0" w:type="auto"/>
          </w:tcPr>
          <w:p w:rsidR="00CD191E" w:rsidRPr="00CD191E" w:rsidRDefault="00CD191E" w:rsidP="00CD191E">
            <w:pPr>
              <w:spacing w:line="240" w:lineRule="auto"/>
              <w:jc w:val="center"/>
              <w:rPr>
                <w:rFonts w:eastAsia="Times New Roman"/>
                <w:sz w:val="24"/>
                <w:szCs w:val="24"/>
                <w:lang w:eastAsia="ru-RU"/>
              </w:rPr>
            </w:pPr>
            <w:r w:rsidRPr="00CD191E">
              <w:rPr>
                <w:rFonts w:eastAsia="Times New Roman"/>
                <w:sz w:val="24"/>
                <w:szCs w:val="24"/>
                <w:lang w:eastAsia="ru-RU"/>
              </w:rPr>
              <w:t>5281</w:t>
            </w:r>
          </w:p>
        </w:tc>
        <w:tc>
          <w:tcPr>
            <w:tcW w:w="0" w:type="auto"/>
          </w:tcPr>
          <w:p w:rsidR="00CD191E" w:rsidRPr="00CD191E" w:rsidRDefault="00CD191E" w:rsidP="00CD191E">
            <w:pPr>
              <w:spacing w:line="240" w:lineRule="auto"/>
              <w:jc w:val="center"/>
              <w:rPr>
                <w:rFonts w:eastAsia="Times New Roman"/>
                <w:sz w:val="24"/>
                <w:szCs w:val="24"/>
                <w:lang w:eastAsia="ru-RU"/>
              </w:rPr>
            </w:pPr>
            <w:r w:rsidRPr="00CD191E">
              <w:rPr>
                <w:rFonts w:eastAsia="Times New Roman"/>
                <w:sz w:val="24"/>
                <w:szCs w:val="24"/>
                <w:lang w:eastAsia="ru-RU"/>
              </w:rPr>
              <w:t>3300</w:t>
            </w:r>
          </w:p>
        </w:tc>
        <w:tc>
          <w:tcPr>
            <w:tcW w:w="0" w:type="auto"/>
          </w:tcPr>
          <w:p w:rsidR="00CD191E" w:rsidRPr="00CD191E" w:rsidRDefault="00CD191E" w:rsidP="00CD191E">
            <w:pPr>
              <w:spacing w:line="240" w:lineRule="auto"/>
              <w:jc w:val="center"/>
              <w:rPr>
                <w:rFonts w:eastAsia="Times New Roman"/>
                <w:sz w:val="24"/>
                <w:szCs w:val="24"/>
                <w:lang w:eastAsia="ru-RU"/>
              </w:rPr>
            </w:pPr>
            <w:r w:rsidRPr="00CD191E">
              <w:rPr>
                <w:rFonts w:eastAsia="Times New Roman"/>
                <w:sz w:val="24"/>
                <w:szCs w:val="24"/>
                <w:lang w:eastAsia="ru-RU"/>
              </w:rPr>
              <w:t>1981</w:t>
            </w:r>
          </w:p>
        </w:tc>
        <w:tc>
          <w:tcPr>
            <w:tcW w:w="0" w:type="auto"/>
          </w:tcPr>
          <w:p w:rsidR="00CD191E" w:rsidRPr="00CD191E" w:rsidRDefault="00CD191E" w:rsidP="00CD191E">
            <w:pPr>
              <w:spacing w:line="240" w:lineRule="auto"/>
              <w:jc w:val="center"/>
              <w:rPr>
                <w:rFonts w:eastAsia="Times New Roman"/>
                <w:sz w:val="24"/>
                <w:szCs w:val="24"/>
                <w:lang w:eastAsia="ru-RU"/>
              </w:rPr>
            </w:pPr>
            <w:r w:rsidRPr="00CD191E">
              <w:rPr>
                <w:rFonts w:eastAsia="Times New Roman"/>
                <w:sz w:val="24"/>
                <w:szCs w:val="24"/>
                <w:lang w:eastAsia="ru-RU"/>
              </w:rPr>
              <w:t>2794</w:t>
            </w:r>
          </w:p>
        </w:tc>
        <w:tc>
          <w:tcPr>
            <w:tcW w:w="2447" w:type="dxa"/>
          </w:tcPr>
          <w:p w:rsidR="00CD191E" w:rsidRPr="00CD191E" w:rsidRDefault="00CD191E" w:rsidP="00CD191E">
            <w:pPr>
              <w:spacing w:line="240" w:lineRule="auto"/>
              <w:jc w:val="center"/>
              <w:rPr>
                <w:rFonts w:eastAsia="Times New Roman"/>
                <w:sz w:val="24"/>
                <w:szCs w:val="24"/>
                <w:lang w:eastAsia="ru-RU"/>
              </w:rPr>
            </w:pPr>
            <w:r w:rsidRPr="00CD191E">
              <w:rPr>
                <w:rFonts w:eastAsia="Times New Roman"/>
                <w:sz w:val="24"/>
                <w:szCs w:val="24"/>
                <w:lang w:eastAsia="ru-RU"/>
              </w:rPr>
              <w:t>61,2</w:t>
            </w:r>
          </w:p>
        </w:tc>
      </w:tr>
      <w:tr w:rsidR="00CD191E" w:rsidRPr="00CD191E" w:rsidTr="007A7F6C">
        <w:trPr>
          <w:trHeight w:val="345"/>
          <w:jc w:val="center"/>
        </w:trPr>
        <w:tc>
          <w:tcPr>
            <w:tcW w:w="696" w:type="dxa"/>
          </w:tcPr>
          <w:p w:rsidR="00CD191E" w:rsidRPr="00CD191E" w:rsidRDefault="00CD191E" w:rsidP="00CD191E">
            <w:pPr>
              <w:spacing w:line="240" w:lineRule="auto"/>
              <w:jc w:val="center"/>
              <w:rPr>
                <w:rFonts w:eastAsia="Times New Roman"/>
                <w:sz w:val="24"/>
                <w:szCs w:val="24"/>
                <w:lang w:eastAsia="ru-RU"/>
              </w:rPr>
            </w:pPr>
            <w:r w:rsidRPr="00CD191E">
              <w:rPr>
                <w:rFonts w:eastAsia="Times New Roman"/>
                <w:sz w:val="24"/>
                <w:szCs w:val="24"/>
                <w:lang w:eastAsia="ru-RU"/>
              </w:rPr>
              <w:t>2011</w:t>
            </w:r>
          </w:p>
        </w:tc>
        <w:tc>
          <w:tcPr>
            <w:tcW w:w="0" w:type="auto"/>
          </w:tcPr>
          <w:p w:rsidR="00CD191E" w:rsidRPr="00CD191E" w:rsidRDefault="00CD191E" w:rsidP="00CD191E">
            <w:pPr>
              <w:spacing w:line="240" w:lineRule="auto"/>
              <w:jc w:val="center"/>
              <w:rPr>
                <w:rFonts w:eastAsia="Times New Roman"/>
                <w:sz w:val="24"/>
                <w:szCs w:val="24"/>
                <w:lang w:eastAsia="ru-RU"/>
              </w:rPr>
            </w:pPr>
            <w:r w:rsidRPr="00CD191E">
              <w:rPr>
                <w:rFonts w:eastAsia="Times New Roman"/>
                <w:sz w:val="24"/>
                <w:szCs w:val="24"/>
                <w:lang w:eastAsia="ru-RU"/>
              </w:rPr>
              <w:t>4511</w:t>
            </w:r>
          </w:p>
        </w:tc>
        <w:tc>
          <w:tcPr>
            <w:tcW w:w="0" w:type="auto"/>
          </w:tcPr>
          <w:p w:rsidR="00CD191E" w:rsidRPr="00CD191E" w:rsidRDefault="00CD191E" w:rsidP="00CD191E">
            <w:pPr>
              <w:spacing w:line="240" w:lineRule="auto"/>
              <w:jc w:val="center"/>
              <w:rPr>
                <w:rFonts w:eastAsia="Times New Roman"/>
                <w:sz w:val="24"/>
                <w:szCs w:val="24"/>
                <w:lang w:eastAsia="ru-RU"/>
              </w:rPr>
            </w:pPr>
            <w:r w:rsidRPr="00CD191E">
              <w:rPr>
                <w:rFonts w:eastAsia="Times New Roman"/>
                <w:sz w:val="24"/>
                <w:szCs w:val="24"/>
                <w:lang w:eastAsia="ru-RU"/>
              </w:rPr>
              <w:t>5112</w:t>
            </w:r>
          </w:p>
        </w:tc>
        <w:tc>
          <w:tcPr>
            <w:tcW w:w="0" w:type="auto"/>
          </w:tcPr>
          <w:p w:rsidR="00CD191E" w:rsidRPr="00CD191E" w:rsidRDefault="00CD191E" w:rsidP="00CD191E">
            <w:pPr>
              <w:spacing w:line="240" w:lineRule="auto"/>
              <w:jc w:val="center"/>
              <w:rPr>
                <w:rFonts w:eastAsia="Times New Roman"/>
                <w:sz w:val="24"/>
                <w:szCs w:val="24"/>
                <w:lang w:eastAsia="ru-RU"/>
              </w:rPr>
            </w:pPr>
            <w:r w:rsidRPr="00CD191E">
              <w:rPr>
                <w:rFonts w:eastAsia="Times New Roman"/>
                <w:sz w:val="24"/>
                <w:szCs w:val="24"/>
                <w:lang w:eastAsia="ru-RU"/>
              </w:rPr>
              <w:t>3158</w:t>
            </w:r>
          </w:p>
        </w:tc>
        <w:tc>
          <w:tcPr>
            <w:tcW w:w="0" w:type="auto"/>
          </w:tcPr>
          <w:p w:rsidR="00CD191E" w:rsidRPr="00CD191E" w:rsidRDefault="00CD191E" w:rsidP="00CD191E">
            <w:pPr>
              <w:spacing w:line="240" w:lineRule="auto"/>
              <w:jc w:val="center"/>
              <w:rPr>
                <w:rFonts w:eastAsia="Times New Roman"/>
                <w:sz w:val="24"/>
                <w:szCs w:val="24"/>
                <w:lang w:eastAsia="ru-RU"/>
              </w:rPr>
            </w:pPr>
            <w:r w:rsidRPr="00CD191E">
              <w:rPr>
                <w:rFonts w:eastAsia="Times New Roman"/>
                <w:sz w:val="24"/>
                <w:szCs w:val="24"/>
                <w:lang w:eastAsia="ru-RU"/>
              </w:rPr>
              <w:t>1954</w:t>
            </w:r>
          </w:p>
        </w:tc>
        <w:tc>
          <w:tcPr>
            <w:tcW w:w="0" w:type="auto"/>
          </w:tcPr>
          <w:p w:rsidR="00CD191E" w:rsidRPr="00CD191E" w:rsidRDefault="00CD191E" w:rsidP="00CD191E">
            <w:pPr>
              <w:spacing w:line="240" w:lineRule="auto"/>
              <w:jc w:val="center"/>
              <w:rPr>
                <w:rFonts w:eastAsia="Times New Roman"/>
                <w:sz w:val="24"/>
                <w:szCs w:val="24"/>
                <w:lang w:eastAsia="ru-RU"/>
              </w:rPr>
            </w:pPr>
            <w:r w:rsidRPr="00CD191E">
              <w:rPr>
                <w:rFonts w:eastAsia="Times New Roman"/>
                <w:sz w:val="24"/>
                <w:szCs w:val="24"/>
                <w:lang w:eastAsia="ru-RU"/>
              </w:rPr>
              <w:t>2789</w:t>
            </w:r>
          </w:p>
        </w:tc>
        <w:tc>
          <w:tcPr>
            <w:tcW w:w="2447" w:type="dxa"/>
          </w:tcPr>
          <w:p w:rsidR="00CD191E" w:rsidRPr="00CD191E" w:rsidRDefault="00CD191E" w:rsidP="00CD191E">
            <w:pPr>
              <w:spacing w:line="240" w:lineRule="auto"/>
              <w:jc w:val="center"/>
              <w:rPr>
                <w:rFonts w:eastAsia="Times New Roman"/>
                <w:sz w:val="24"/>
                <w:szCs w:val="24"/>
                <w:lang w:eastAsia="ru-RU"/>
              </w:rPr>
            </w:pPr>
            <w:r w:rsidRPr="00CD191E">
              <w:rPr>
                <w:rFonts w:eastAsia="Times New Roman"/>
                <w:sz w:val="24"/>
                <w:szCs w:val="24"/>
                <w:lang w:eastAsia="ru-RU"/>
              </w:rPr>
              <w:t>61,8</w:t>
            </w:r>
          </w:p>
        </w:tc>
      </w:tr>
      <w:tr w:rsidR="00CD191E" w:rsidRPr="00CD191E" w:rsidTr="007A7F6C">
        <w:trPr>
          <w:trHeight w:val="345"/>
          <w:jc w:val="center"/>
        </w:trPr>
        <w:tc>
          <w:tcPr>
            <w:tcW w:w="696" w:type="dxa"/>
          </w:tcPr>
          <w:p w:rsidR="00CD191E" w:rsidRPr="00CD191E" w:rsidRDefault="00CD191E" w:rsidP="00CD191E">
            <w:pPr>
              <w:spacing w:line="240" w:lineRule="auto"/>
              <w:jc w:val="center"/>
              <w:rPr>
                <w:rFonts w:eastAsia="Times New Roman"/>
                <w:sz w:val="24"/>
                <w:szCs w:val="24"/>
                <w:lang w:eastAsia="ru-RU"/>
              </w:rPr>
            </w:pPr>
            <w:r w:rsidRPr="00CD191E">
              <w:rPr>
                <w:rFonts w:eastAsia="Times New Roman"/>
                <w:sz w:val="24"/>
                <w:szCs w:val="24"/>
                <w:lang w:eastAsia="ru-RU"/>
              </w:rPr>
              <w:t>2012</w:t>
            </w:r>
          </w:p>
        </w:tc>
        <w:tc>
          <w:tcPr>
            <w:tcW w:w="0" w:type="auto"/>
          </w:tcPr>
          <w:p w:rsidR="00CD191E" w:rsidRPr="00CD191E" w:rsidRDefault="00CD191E" w:rsidP="00CD191E">
            <w:pPr>
              <w:spacing w:line="240" w:lineRule="auto"/>
              <w:jc w:val="center"/>
              <w:rPr>
                <w:rFonts w:eastAsia="Times New Roman"/>
                <w:sz w:val="24"/>
                <w:szCs w:val="24"/>
                <w:lang w:eastAsia="ru-RU"/>
              </w:rPr>
            </w:pPr>
            <w:r w:rsidRPr="00CD191E">
              <w:rPr>
                <w:rFonts w:eastAsia="Times New Roman"/>
                <w:sz w:val="24"/>
                <w:szCs w:val="24"/>
                <w:lang w:eastAsia="ru-RU"/>
              </w:rPr>
              <w:t>4371</w:t>
            </w:r>
          </w:p>
        </w:tc>
        <w:tc>
          <w:tcPr>
            <w:tcW w:w="0" w:type="auto"/>
          </w:tcPr>
          <w:p w:rsidR="00CD191E" w:rsidRPr="00CD191E" w:rsidRDefault="00CD191E" w:rsidP="00CD191E">
            <w:pPr>
              <w:spacing w:line="240" w:lineRule="auto"/>
              <w:jc w:val="center"/>
              <w:rPr>
                <w:rFonts w:eastAsia="Times New Roman"/>
                <w:sz w:val="24"/>
                <w:szCs w:val="24"/>
                <w:lang w:eastAsia="ru-RU"/>
              </w:rPr>
            </w:pPr>
            <w:r w:rsidRPr="00CD191E">
              <w:rPr>
                <w:rFonts w:eastAsia="Times New Roman"/>
                <w:sz w:val="24"/>
                <w:szCs w:val="24"/>
                <w:lang w:eastAsia="ru-RU"/>
              </w:rPr>
              <w:t>5122</w:t>
            </w:r>
          </w:p>
        </w:tc>
        <w:tc>
          <w:tcPr>
            <w:tcW w:w="0" w:type="auto"/>
          </w:tcPr>
          <w:p w:rsidR="00CD191E" w:rsidRPr="00CD191E" w:rsidRDefault="00CD191E" w:rsidP="00CD191E">
            <w:pPr>
              <w:spacing w:line="240" w:lineRule="auto"/>
              <w:jc w:val="center"/>
              <w:rPr>
                <w:rFonts w:eastAsia="Times New Roman"/>
                <w:sz w:val="24"/>
                <w:szCs w:val="24"/>
                <w:lang w:eastAsia="ru-RU"/>
              </w:rPr>
            </w:pPr>
            <w:r w:rsidRPr="00CD191E">
              <w:rPr>
                <w:rFonts w:eastAsia="Times New Roman"/>
                <w:sz w:val="24"/>
                <w:szCs w:val="24"/>
                <w:lang w:eastAsia="ru-RU"/>
              </w:rPr>
              <w:t>3230</w:t>
            </w:r>
          </w:p>
        </w:tc>
        <w:tc>
          <w:tcPr>
            <w:tcW w:w="0" w:type="auto"/>
          </w:tcPr>
          <w:p w:rsidR="00CD191E" w:rsidRPr="00CD191E" w:rsidRDefault="00CD191E" w:rsidP="00CD191E">
            <w:pPr>
              <w:spacing w:line="240" w:lineRule="auto"/>
              <w:jc w:val="center"/>
              <w:rPr>
                <w:rFonts w:eastAsia="Times New Roman"/>
                <w:sz w:val="24"/>
                <w:szCs w:val="24"/>
                <w:lang w:eastAsia="ru-RU"/>
              </w:rPr>
            </w:pPr>
            <w:r w:rsidRPr="00CD191E">
              <w:rPr>
                <w:rFonts w:eastAsia="Times New Roman"/>
                <w:sz w:val="24"/>
                <w:szCs w:val="24"/>
                <w:lang w:eastAsia="ru-RU"/>
              </w:rPr>
              <w:t>1892</w:t>
            </w:r>
          </w:p>
        </w:tc>
        <w:tc>
          <w:tcPr>
            <w:tcW w:w="0" w:type="auto"/>
          </w:tcPr>
          <w:p w:rsidR="00CD191E" w:rsidRPr="00CD191E" w:rsidRDefault="00CD191E" w:rsidP="00CD191E">
            <w:pPr>
              <w:spacing w:line="240" w:lineRule="auto"/>
              <w:jc w:val="center"/>
              <w:rPr>
                <w:rFonts w:eastAsia="Times New Roman"/>
                <w:sz w:val="24"/>
                <w:szCs w:val="24"/>
                <w:lang w:eastAsia="ru-RU"/>
              </w:rPr>
            </w:pPr>
            <w:r w:rsidRPr="00CD191E">
              <w:rPr>
                <w:rFonts w:eastAsia="Times New Roman"/>
                <w:sz w:val="24"/>
                <w:szCs w:val="24"/>
                <w:lang w:eastAsia="ru-RU"/>
              </w:rPr>
              <w:t>2658</w:t>
            </w:r>
          </w:p>
        </w:tc>
        <w:tc>
          <w:tcPr>
            <w:tcW w:w="2447" w:type="dxa"/>
          </w:tcPr>
          <w:p w:rsidR="00CD191E" w:rsidRPr="00CD191E" w:rsidRDefault="00CD191E" w:rsidP="00CD191E">
            <w:pPr>
              <w:spacing w:line="240" w:lineRule="auto"/>
              <w:jc w:val="center"/>
              <w:rPr>
                <w:rFonts w:eastAsia="Times New Roman"/>
                <w:sz w:val="24"/>
                <w:szCs w:val="24"/>
                <w:lang w:eastAsia="ru-RU"/>
              </w:rPr>
            </w:pPr>
            <w:r w:rsidRPr="00CD191E">
              <w:rPr>
                <w:rFonts w:eastAsia="Times New Roman"/>
                <w:sz w:val="24"/>
                <w:szCs w:val="24"/>
                <w:lang w:eastAsia="ru-RU"/>
              </w:rPr>
              <w:t>60,8</w:t>
            </w:r>
          </w:p>
        </w:tc>
      </w:tr>
      <w:tr w:rsidR="00CD191E" w:rsidRPr="00CD191E" w:rsidTr="007A7F6C">
        <w:trPr>
          <w:trHeight w:val="345"/>
          <w:jc w:val="center"/>
        </w:trPr>
        <w:tc>
          <w:tcPr>
            <w:tcW w:w="696" w:type="dxa"/>
          </w:tcPr>
          <w:p w:rsidR="00CD191E" w:rsidRPr="00CD191E" w:rsidRDefault="00CD191E" w:rsidP="00CD191E">
            <w:pPr>
              <w:spacing w:line="240" w:lineRule="auto"/>
              <w:jc w:val="center"/>
              <w:rPr>
                <w:rFonts w:eastAsia="Times New Roman"/>
                <w:sz w:val="24"/>
                <w:szCs w:val="24"/>
                <w:lang w:eastAsia="ru-RU"/>
              </w:rPr>
            </w:pPr>
            <w:r w:rsidRPr="00CD191E">
              <w:rPr>
                <w:rFonts w:eastAsia="Times New Roman"/>
                <w:sz w:val="24"/>
                <w:szCs w:val="24"/>
                <w:lang w:eastAsia="ru-RU"/>
              </w:rPr>
              <w:t>2013</w:t>
            </w:r>
          </w:p>
        </w:tc>
        <w:tc>
          <w:tcPr>
            <w:tcW w:w="0" w:type="auto"/>
          </w:tcPr>
          <w:p w:rsidR="00CD191E" w:rsidRPr="00CD191E" w:rsidRDefault="00CD191E" w:rsidP="00CD191E">
            <w:pPr>
              <w:spacing w:line="240" w:lineRule="auto"/>
              <w:jc w:val="center"/>
              <w:rPr>
                <w:rFonts w:eastAsia="Times New Roman"/>
                <w:sz w:val="24"/>
                <w:szCs w:val="24"/>
                <w:lang w:eastAsia="ru-RU"/>
              </w:rPr>
            </w:pPr>
            <w:r w:rsidRPr="00CD191E">
              <w:rPr>
                <w:rFonts w:eastAsia="Times New Roman"/>
                <w:sz w:val="24"/>
                <w:szCs w:val="24"/>
                <w:lang w:eastAsia="ru-RU"/>
              </w:rPr>
              <w:t>4030</w:t>
            </w:r>
          </w:p>
        </w:tc>
        <w:tc>
          <w:tcPr>
            <w:tcW w:w="0" w:type="auto"/>
          </w:tcPr>
          <w:p w:rsidR="00CD191E" w:rsidRPr="00CD191E" w:rsidRDefault="00CD191E" w:rsidP="00CD191E">
            <w:pPr>
              <w:spacing w:line="240" w:lineRule="auto"/>
              <w:jc w:val="center"/>
              <w:rPr>
                <w:rFonts w:eastAsia="Times New Roman"/>
                <w:sz w:val="24"/>
                <w:szCs w:val="24"/>
                <w:lang w:eastAsia="ru-RU"/>
              </w:rPr>
            </w:pPr>
            <w:r w:rsidRPr="00CD191E">
              <w:rPr>
                <w:rFonts w:eastAsia="Times New Roman"/>
                <w:sz w:val="24"/>
                <w:szCs w:val="24"/>
                <w:lang w:eastAsia="ru-RU"/>
              </w:rPr>
              <w:t>4782</w:t>
            </w:r>
          </w:p>
        </w:tc>
        <w:tc>
          <w:tcPr>
            <w:tcW w:w="0" w:type="auto"/>
          </w:tcPr>
          <w:p w:rsidR="00CD191E" w:rsidRPr="00CD191E" w:rsidRDefault="00CD191E" w:rsidP="00CD191E">
            <w:pPr>
              <w:spacing w:line="240" w:lineRule="auto"/>
              <w:jc w:val="center"/>
              <w:rPr>
                <w:rFonts w:eastAsia="Times New Roman"/>
                <w:sz w:val="24"/>
                <w:szCs w:val="24"/>
                <w:lang w:eastAsia="ru-RU"/>
              </w:rPr>
            </w:pPr>
            <w:r w:rsidRPr="00CD191E">
              <w:rPr>
                <w:rFonts w:eastAsia="Times New Roman"/>
                <w:sz w:val="24"/>
                <w:szCs w:val="24"/>
                <w:lang w:eastAsia="ru-RU"/>
              </w:rPr>
              <w:t>3166</w:t>
            </w:r>
          </w:p>
        </w:tc>
        <w:tc>
          <w:tcPr>
            <w:tcW w:w="0" w:type="auto"/>
          </w:tcPr>
          <w:p w:rsidR="00CD191E" w:rsidRPr="00CD191E" w:rsidRDefault="00CD191E" w:rsidP="00CD191E">
            <w:pPr>
              <w:spacing w:line="240" w:lineRule="auto"/>
              <w:jc w:val="center"/>
              <w:rPr>
                <w:rFonts w:eastAsia="Times New Roman"/>
                <w:sz w:val="24"/>
                <w:szCs w:val="24"/>
                <w:lang w:eastAsia="ru-RU"/>
              </w:rPr>
            </w:pPr>
            <w:r w:rsidRPr="00CD191E">
              <w:rPr>
                <w:rFonts w:eastAsia="Times New Roman"/>
                <w:sz w:val="24"/>
                <w:szCs w:val="24"/>
                <w:lang w:eastAsia="ru-RU"/>
              </w:rPr>
              <w:t>1616</w:t>
            </w:r>
          </w:p>
        </w:tc>
        <w:tc>
          <w:tcPr>
            <w:tcW w:w="0" w:type="auto"/>
          </w:tcPr>
          <w:p w:rsidR="00CD191E" w:rsidRPr="00CD191E" w:rsidRDefault="00CD191E" w:rsidP="00CD191E">
            <w:pPr>
              <w:spacing w:line="240" w:lineRule="auto"/>
              <w:jc w:val="center"/>
              <w:rPr>
                <w:rFonts w:eastAsia="Times New Roman"/>
                <w:sz w:val="24"/>
                <w:szCs w:val="24"/>
                <w:lang w:eastAsia="ru-RU"/>
              </w:rPr>
            </w:pPr>
            <w:r w:rsidRPr="00CD191E">
              <w:rPr>
                <w:rFonts w:eastAsia="Times New Roman"/>
                <w:sz w:val="24"/>
                <w:szCs w:val="24"/>
                <w:lang w:eastAsia="ru-RU"/>
              </w:rPr>
              <w:t>2431</w:t>
            </w:r>
          </w:p>
        </w:tc>
        <w:tc>
          <w:tcPr>
            <w:tcW w:w="2447" w:type="dxa"/>
          </w:tcPr>
          <w:p w:rsidR="00CD191E" w:rsidRPr="00CD191E" w:rsidRDefault="00CD191E" w:rsidP="00CD191E">
            <w:pPr>
              <w:spacing w:line="240" w:lineRule="auto"/>
              <w:jc w:val="center"/>
              <w:rPr>
                <w:rFonts w:eastAsia="Times New Roman"/>
                <w:sz w:val="24"/>
                <w:szCs w:val="24"/>
                <w:lang w:eastAsia="ru-RU"/>
              </w:rPr>
            </w:pPr>
            <w:r w:rsidRPr="00CD191E">
              <w:rPr>
                <w:rFonts w:eastAsia="Times New Roman"/>
                <w:sz w:val="24"/>
                <w:szCs w:val="24"/>
                <w:lang w:eastAsia="ru-RU"/>
              </w:rPr>
              <w:t>60,3</w:t>
            </w:r>
          </w:p>
        </w:tc>
      </w:tr>
    </w:tbl>
    <w:p w:rsidR="00D7097A" w:rsidRDefault="00D7097A" w:rsidP="00E34BA7">
      <w:pPr>
        <w:jc w:val="right"/>
        <w:rPr>
          <w:i/>
          <w:lang w:val="ru-RU"/>
        </w:rPr>
      </w:pPr>
    </w:p>
    <w:p w:rsidR="00521F19" w:rsidRDefault="00521F19" w:rsidP="00E34BA7">
      <w:pPr>
        <w:jc w:val="right"/>
        <w:rPr>
          <w:i/>
          <w:lang w:val="ru-RU"/>
        </w:rPr>
      </w:pPr>
    </w:p>
    <w:p w:rsidR="007A7F6C" w:rsidRDefault="007A7F6C" w:rsidP="00214978">
      <w:pPr>
        <w:pageBreakBefore/>
        <w:jc w:val="right"/>
        <w:rPr>
          <w:i/>
          <w:lang w:val="ru-RU"/>
        </w:rPr>
      </w:pPr>
      <w:r w:rsidRPr="007A7F6C">
        <w:rPr>
          <w:i/>
          <w:lang w:val="ru-RU"/>
        </w:rPr>
        <w:lastRenderedPageBreak/>
        <w:t>Продовження табл. 3.5</w:t>
      </w:r>
    </w:p>
    <w:tbl>
      <w:tblPr>
        <w:tblW w:w="0" w:type="auto"/>
        <w:jc w:val="center"/>
        <w:tblInd w:w="3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97"/>
        <w:gridCol w:w="1585"/>
        <w:gridCol w:w="1173"/>
        <w:gridCol w:w="1463"/>
        <w:gridCol w:w="1559"/>
        <w:gridCol w:w="1193"/>
        <w:gridCol w:w="2447"/>
      </w:tblGrid>
      <w:tr w:rsidR="007A7F6C" w:rsidRPr="00CD191E" w:rsidTr="00E34BA7">
        <w:trPr>
          <w:trHeight w:val="195"/>
          <w:jc w:val="center"/>
        </w:trPr>
        <w:tc>
          <w:tcPr>
            <w:tcW w:w="697" w:type="dxa"/>
            <w:vMerge w:val="restart"/>
          </w:tcPr>
          <w:p w:rsidR="007A7F6C" w:rsidRPr="00CD191E" w:rsidRDefault="007A7F6C" w:rsidP="00E34BA7">
            <w:pPr>
              <w:spacing w:line="276" w:lineRule="auto"/>
              <w:jc w:val="center"/>
              <w:rPr>
                <w:rFonts w:eastAsia="Times New Roman"/>
                <w:sz w:val="24"/>
                <w:szCs w:val="24"/>
                <w:lang w:eastAsia="ru-RU"/>
              </w:rPr>
            </w:pPr>
            <w:r w:rsidRPr="00CD191E">
              <w:rPr>
                <w:rFonts w:eastAsia="Times New Roman"/>
                <w:sz w:val="24"/>
                <w:szCs w:val="24"/>
                <w:lang w:eastAsia="ru-RU"/>
              </w:rPr>
              <w:t>Рік</w:t>
            </w:r>
          </w:p>
        </w:tc>
        <w:tc>
          <w:tcPr>
            <w:tcW w:w="0" w:type="auto"/>
            <w:vMerge w:val="restart"/>
          </w:tcPr>
          <w:p w:rsidR="007A7F6C" w:rsidRPr="00CD191E" w:rsidRDefault="007A7F6C" w:rsidP="00E34BA7">
            <w:pPr>
              <w:spacing w:line="276" w:lineRule="auto"/>
              <w:jc w:val="center"/>
              <w:rPr>
                <w:rFonts w:eastAsia="Times New Roman"/>
                <w:sz w:val="24"/>
                <w:szCs w:val="24"/>
                <w:lang w:eastAsia="ru-RU"/>
              </w:rPr>
            </w:pPr>
            <w:r w:rsidRPr="00CD191E">
              <w:rPr>
                <w:rFonts w:eastAsia="Times New Roman"/>
                <w:sz w:val="24"/>
                <w:szCs w:val="24"/>
                <w:lang w:eastAsia="ru-RU"/>
              </w:rPr>
              <w:t>Кількість</w:t>
            </w:r>
          </w:p>
          <w:p w:rsidR="007A7F6C" w:rsidRPr="00CD191E" w:rsidRDefault="007A7F6C" w:rsidP="00E34BA7">
            <w:pPr>
              <w:spacing w:line="276" w:lineRule="auto"/>
              <w:jc w:val="center"/>
              <w:rPr>
                <w:rFonts w:eastAsia="Times New Roman"/>
                <w:sz w:val="24"/>
                <w:szCs w:val="24"/>
                <w:lang w:eastAsia="ru-RU"/>
              </w:rPr>
            </w:pPr>
            <w:r w:rsidRPr="00CD191E">
              <w:rPr>
                <w:rFonts w:eastAsia="Times New Roman"/>
                <w:sz w:val="24"/>
                <w:szCs w:val="24"/>
                <w:lang w:eastAsia="ru-RU"/>
              </w:rPr>
              <w:t xml:space="preserve">померлих дітей у віці до 1 року </w:t>
            </w:r>
            <w:r w:rsidRPr="00CD191E">
              <w:rPr>
                <w:rFonts w:eastAsia="Calibri"/>
                <w:sz w:val="24"/>
                <w:szCs w:val="24"/>
              </w:rPr>
              <w:t>життя</w:t>
            </w:r>
          </w:p>
        </w:tc>
        <w:tc>
          <w:tcPr>
            <w:tcW w:w="4195" w:type="dxa"/>
            <w:gridSpan w:val="3"/>
          </w:tcPr>
          <w:p w:rsidR="007A7F6C" w:rsidRPr="00CD191E" w:rsidRDefault="007A7F6C" w:rsidP="00E34BA7">
            <w:pPr>
              <w:spacing w:line="276" w:lineRule="auto"/>
              <w:jc w:val="center"/>
              <w:rPr>
                <w:rFonts w:eastAsia="Times New Roman"/>
                <w:sz w:val="24"/>
                <w:szCs w:val="24"/>
                <w:lang w:eastAsia="ru-RU"/>
              </w:rPr>
            </w:pPr>
            <w:r w:rsidRPr="00CD191E">
              <w:rPr>
                <w:rFonts w:eastAsia="Times New Roman"/>
                <w:sz w:val="24"/>
                <w:szCs w:val="24"/>
                <w:lang w:eastAsia="ru-RU"/>
              </w:rPr>
              <w:t>Кількість померлих у перинатальному періоді</w:t>
            </w:r>
          </w:p>
        </w:tc>
        <w:tc>
          <w:tcPr>
            <w:tcW w:w="3640" w:type="dxa"/>
            <w:gridSpan w:val="2"/>
          </w:tcPr>
          <w:p w:rsidR="007A7F6C" w:rsidRPr="00CD191E" w:rsidRDefault="007A7F6C" w:rsidP="00E34BA7">
            <w:pPr>
              <w:spacing w:line="276" w:lineRule="auto"/>
              <w:jc w:val="center"/>
              <w:rPr>
                <w:rFonts w:eastAsia="Times New Roman"/>
                <w:sz w:val="24"/>
                <w:szCs w:val="24"/>
                <w:lang w:eastAsia="ru-RU"/>
              </w:rPr>
            </w:pPr>
            <w:r w:rsidRPr="00CD191E">
              <w:rPr>
                <w:rFonts w:eastAsia="Times New Roman"/>
                <w:sz w:val="24"/>
                <w:szCs w:val="24"/>
                <w:lang w:eastAsia="ru-RU"/>
              </w:rPr>
              <w:t>Кількість померлих у неонатальному періоді</w:t>
            </w:r>
          </w:p>
        </w:tc>
      </w:tr>
      <w:tr w:rsidR="007A7F6C" w:rsidRPr="00CD191E" w:rsidTr="00E34BA7">
        <w:trPr>
          <w:trHeight w:val="240"/>
          <w:jc w:val="center"/>
        </w:trPr>
        <w:tc>
          <w:tcPr>
            <w:tcW w:w="697" w:type="dxa"/>
            <w:vMerge/>
          </w:tcPr>
          <w:p w:rsidR="007A7F6C" w:rsidRPr="00CD191E" w:rsidRDefault="007A7F6C" w:rsidP="00E34BA7">
            <w:pPr>
              <w:spacing w:line="276" w:lineRule="auto"/>
              <w:jc w:val="center"/>
              <w:rPr>
                <w:rFonts w:eastAsia="Times New Roman"/>
                <w:sz w:val="24"/>
                <w:szCs w:val="24"/>
                <w:lang w:eastAsia="ru-RU"/>
              </w:rPr>
            </w:pPr>
          </w:p>
        </w:tc>
        <w:tc>
          <w:tcPr>
            <w:tcW w:w="0" w:type="auto"/>
            <w:vMerge/>
          </w:tcPr>
          <w:p w:rsidR="007A7F6C" w:rsidRPr="00CD191E" w:rsidRDefault="007A7F6C" w:rsidP="00E34BA7">
            <w:pPr>
              <w:spacing w:line="276" w:lineRule="auto"/>
              <w:jc w:val="center"/>
              <w:rPr>
                <w:rFonts w:eastAsia="Times New Roman"/>
                <w:sz w:val="24"/>
                <w:szCs w:val="24"/>
                <w:lang w:eastAsia="ru-RU"/>
              </w:rPr>
            </w:pPr>
          </w:p>
        </w:tc>
        <w:tc>
          <w:tcPr>
            <w:tcW w:w="1173" w:type="dxa"/>
            <w:vMerge w:val="restart"/>
          </w:tcPr>
          <w:p w:rsidR="007A7F6C" w:rsidRPr="00CD191E" w:rsidRDefault="007A7F6C" w:rsidP="00E34BA7">
            <w:pPr>
              <w:spacing w:line="276" w:lineRule="auto"/>
              <w:jc w:val="center"/>
              <w:rPr>
                <w:rFonts w:eastAsia="Times New Roman"/>
                <w:sz w:val="24"/>
                <w:szCs w:val="24"/>
                <w:lang w:eastAsia="ru-RU"/>
              </w:rPr>
            </w:pPr>
            <w:r w:rsidRPr="00CD191E">
              <w:rPr>
                <w:rFonts w:eastAsia="Times New Roman"/>
                <w:sz w:val="24"/>
                <w:szCs w:val="24"/>
                <w:lang w:eastAsia="ru-RU"/>
              </w:rPr>
              <w:t>Усього</w:t>
            </w:r>
          </w:p>
        </w:tc>
        <w:tc>
          <w:tcPr>
            <w:tcW w:w="3022" w:type="dxa"/>
            <w:gridSpan w:val="2"/>
          </w:tcPr>
          <w:p w:rsidR="007A7F6C" w:rsidRPr="00CD191E" w:rsidRDefault="007A7F6C" w:rsidP="00E34BA7">
            <w:pPr>
              <w:spacing w:line="276" w:lineRule="auto"/>
              <w:jc w:val="center"/>
              <w:rPr>
                <w:rFonts w:eastAsia="Times New Roman"/>
                <w:sz w:val="24"/>
                <w:szCs w:val="24"/>
                <w:lang w:eastAsia="ru-RU"/>
              </w:rPr>
            </w:pPr>
            <w:r w:rsidRPr="00CD191E">
              <w:rPr>
                <w:rFonts w:eastAsia="Times New Roman"/>
                <w:sz w:val="24"/>
                <w:szCs w:val="24"/>
                <w:lang w:eastAsia="ru-RU"/>
              </w:rPr>
              <w:t>У тому числі</w:t>
            </w:r>
          </w:p>
        </w:tc>
        <w:tc>
          <w:tcPr>
            <w:tcW w:w="1193" w:type="dxa"/>
            <w:vMerge w:val="restart"/>
          </w:tcPr>
          <w:p w:rsidR="007A7F6C" w:rsidRPr="00CD191E" w:rsidRDefault="007A7F6C" w:rsidP="00E34BA7">
            <w:pPr>
              <w:spacing w:line="276" w:lineRule="auto"/>
              <w:jc w:val="center"/>
              <w:rPr>
                <w:rFonts w:eastAsia="Times New Roman"/>
                <w:sz w:val="24"/>
                <w:szCs w:val="24"/>
                <w:lang w:eastAsia="ru-RU"/>
              </w:rPr>
            </w:pPr>
            <w:r w:rsidRPr="00CD191E">
              <w:rPr>
                <w:rFonts w:eastAsia="Times New Roman"/>
                <w:sz w:val="24"/>
                <w:szCs w:val="24"/>
                <w:lang w:eastAsia="ru-RU"/>
              </w:rPr>
              <w:t xml:space="preserve">Усього у віці </w:t>
            </w:r>
          </w:p>
          <w:p w:rsidR="007A7F6C" w:rsidRPr="00CD191E" w:rsidRDefault="007A7F6C" w:rsidP="00E34BA7">
            <w:pPr>
              <w:spacing w:line="276" w:lineRule="auto"/>
              <w:jc w:val="center"/>
              <w:rPr>
                <w:rFonts w:eastAsia="Times New Roman"/>
                <w:sz w:val="24"/>
                <w:szCs w:val="24"/>
                <w:lang w:eastAsia="ru-RU"/>
              </w:rPr>
            </w:pPr>
            <w:r w:rsidRPr="00CD191E">
              <w:rPr>
                <w:rFonts w:eastAsia="Times New Roman"/>
                <w:sz w:val="24"/>
                <w:szCs w:val="24"/>
                <w:lang w:eastAsia="ru-RU"/>
              </w:rPr>
              <w:t>0-27 днів</w:t>
            </w:r>
          </w:p>
        </w:tc>
        <w:tc>
          <w:tcPr>
            <w:tcW w:w="2447" w:type="dxa"/>
            <w:vMerge w:val="restart"/>
          </w:tcPr>
          <w:p w:rsidR="007A7F6C" w:rsidRPr="00CD191E" w:rsidRDefault="007A7F6C" w:rsidP="00E34BA7">
            <w:pPr>
              <w:spacing w:line="276" w:lineRule="auto"/>
              <w:jc w:val="center"/>
              <w:rPr>
                <w:rFonts w:eastAsia="Times New Roman"/>
                <w:sz w:val="24"/>
                <w:szCs w:val="24"/>
                <w:lang w:eastAsia="ru-RU"/>
              </w:rPr>
            </w:pPr>
            <w:r w:rsidRPr="00CD191E">
              <w:rPr>
                <w:rFonts w:eastAsia="Times New Roman"/>
                <w:sz w:val="24"/>
                <w:szCs w:val="24"/>
                <w:lang w:eastAsia="ru-RU"/>
              </w:rPr>
              <w:t>У % до загальної кількості померлих у віці до 1 року</w:t>
            </w:r>
            <w:r w:rsidRPr="00CD191E">
              <w:rPr>
                <w:rFonts w:eastAsia="Calibri"/>
                <w:color w:val="FF0000"/>
                <w:szCs w:val="28"/>
              </w:rPr>
              <w:t xml:space="preserve"> </w:t>
            </w:r>
            <w:r w:rsidRPr="00CD191E">
              <w:rPr>
                <w:rFonts w:eastAsia="Calibri"/>
                <w:sz w:val="24"/>
                <w:szCs w:val="24"/>
              </w:rPr>
              <w:t>життя</w:t>
            </w:r>
          </w:p>
        </w:tc>
      </w:tr>
      <w:tr w:rsidR="00E34BA7" w:rsidRPr="00CD191E" w:rsidTr="00E34BA7">
        <w:trPr>
          <w:trHeight w:val="573"/>
          <w:jc w:val="center"/>
        </w:trPr>
        <w:tc>
          <w:tcPr>
            <w:tcW w:w="697" w:type="dxa"/>
            <w:vMerge/>
          </w:tcPr>
          <w:p w:rsidR="00E34BA7" w:rsidRPr="00CD191E" w:rsidRDefault="00E34BA7" w:rsidP="00E34BA7">
            <w:pPr>
              <w:spacing w:line="276" w:lineRule="auto"/>
              <w:jc w:val="center"/>
              <w:rPr>
                <w:rFonts w:eastAsia="Times New Roman"/>
                <w:sz w:val="24"/>
                <w:szCs w:val="24"/>
                <w:lang w:eastAsia="ru-RU"/>
              </w:rPr>
            </w:pPr>
          </w:p>
        </w:tc>
        <w:tc>
          <w:tcPr>
            <w:tcW w:w="0" w:type="auto"/>
            <w:vMerge/>
          </w:tcPr>
          <w:p w:rsidR="00E34BA7" w:rsidRPr="00CD191E" w:rsidRDefault="00E34BA7" w:rsidP="00E34BA7">
            <w:pPr>
              <w:spacing w:line="276" w:lineRule="auto"/>
              <w:jc w:val="center"/>
              <w:rPr>
                <w:rFonts w:eastAsia="Times New Roman"/>
                <w:sz w:val="24"/>
                <w:szCs w:val="24"/>
                <w:lang w:eastAsia="ru-RU"/>
              </w:rPr>
            </w:pPr>
          </w:p>
        </w:tc>
        <w:tc>
          <w:tcPr>
            <w:tcW w:w="1173" w:type="dxa"/>
            <w:vMerge/>
          </w:tcPr>
          <w:p w:rsidR="00E34BA7" w:rsidRPr="00CD191E" w:rsidRDefault="00E34BA7" w:rsidP="00E34BA7">
            <w:pPr>
              <w:spacing w:line="276" w:lineRule="auto"/>
              <w:jc w:val="center"/>
              <w:rPr>
                <w:rFonts w:eastAsia="Times New Roman"/>
                <w:sz w:val="24"/>
                <w:szCs w:val="24"/>
                <w:lang w:eastAsia="ru-RU"/>
              </w:rPr>
            </w:pPr>
          </w:p>
        </w:tc>
        <w:tc>
          <w:tcPr>
            <w:tcW w:w="1463" w:type="dxa"/>
          </w:tcPr>
          <w:p w:rsidR="00E34BA7" w:rsidRPr="00CD191E" w:rsidRDefault="00E34BA7" w:rsidP="00E34BA7">
            <w:pPr>
              <w:spacing w:line="276" w:lineRule="auto"/>
              <w:jc w:val="center"/>
              <w:rPr>
                <w:rFonts w:eastAsia="Times New Roman"/>
                <w:sz w:val="24"/>
                <w:szCs w:val="24"/>
                <w:lang w:eastAsia="ru-RU"/>
              </w:rPr>
            </w:pPr>
            <w:r w:rsidRPr="00CD191E">
              <w:rPr>
                <w:rFonts w:eastAsia="Times New Roman"/>
                <w:sz w:val="24"/>
                <w:szCs w:val="24"/>
                <w:lang w:eastAsia="ru-RU"/>
              </w:rPr>
              <w:t>Мертво-народжених</w:t>
            </w:r>
          </w:p>
        </w:tc>
        <w:tc>
          <w:tcPr>
            <w:tcW w:w="1559" w:type="dxa"/>
          </w:tcPr>
          <w:p w:rsidR="00E34BA7" w:rsidRPr="00CD191E" w:rsidRDefault="00E34BA7" w:rsidP="00E34BA7">
            <w:pPr>
              <w:spacing w:line="276" w:lineRule="auto"/>
              <w:jc w:val="center"/>
              <w:rPr>
                <w:rFonts w:eastAsia="Times New Roman"/>
                <w:sz w:val="24"/>
                <w:szCs w:val="24"/>
                <w:lang w:eastAsia="ru-RU"/>
              </w:rPr>
            </w:pPr>
            <w:r w:rsidRPr="00CD191E">
              <w:rPr>
                <w:rFonts w:eastAsia="Times New Roman"/>
                <w:sz w:val="24"/>
                <w:szCs w:val="24"/>
                <w:lang w:eastAsia="ru-RU"/>
              </w:rPr>
              <w:t>Померлі у віці 0-6 днів</w:t>
            </w:r>
          </w:p>
        </w:tc>
        <w:tc>
          <w:tcPr>
            <w:tcW w:w="1193" w:type="dxa"/>
            <w:vMerge/>
          </w:tcPr>
          <w:p w:rsidR="00E34BA7" w:rsidRPr="00CD191E" w:rsidRDefault="00E34BA7" w:rsidP="00E34BA7">
            <w:pPr>
              <w:spacing w:line="276" w:lineRule="auto"/>
              <w:jc w:val="center"/>
              <w:rPr>
                <w:rFonts w:eastAsia="Times New Roman"/>
                <w:sz w:val="24"/>
                <w:szCs w:val="24"/>
                <w:lang w:eastAsia="ru-RU"/>
              </w:rPr>
            </w:pPr>
          </w:p>
        </w:tc>
        <w:tc>
          <w:tcPr>
            <w:tcW w:w="2447" w:type="dxa"/>
            <w:vMerge/>
          </w:tcPr>
          <w:p w:rsidR="00E34BA7" w:rsidRPr="00CD191E" w:rsidRDefault="00E34BA7" w:rsidP="00E34BA7">
            <w:pPr>
              <w:spacing w:line="276" w:lineRule="auto"/>
              <w:jc w:val="center"/>
              <w:rPr>
                <w:rFonts w:eastAsia="Times New Roman"/>
                <w:sz w:val="24"/>
                <w:szCs w:val="24"/>
                <w:lang w:eastAsia="ru-RU"/>
              </w:rPr>
            </w:pPr>
          </w:p>
        </w:tc>
      </w:tr>
      <w:tr w:rsidR="00E34BA7" w:rsidRPr="00CD191E" w:rsidTr="00E34BA7">
        <w:trPr>
          <w:trHeight w:val="372"/>
          <w:jc w:val="center"/>
        </w:trPr>
        <w:tc>
          <w:tcPr>
            <w:tcW w:w="697" w:type="dxa"/>
          </w:tcPr>
          <w:p w:rsidR="00E34BA7" w:rsidRPr="00CD191E" w:rsidRDefault="00E34BA7" w:rsidP="00E34BA7">
            <w:pPr>
              <w:spacing w:line="276" w:lineRule="auto"/>
              <w:jc w:val="center"/>
              <w:rPr>
                <w:rFonts w:eastAsia="Times New Roman"/>
                <w:sz w:val="24"/>
                <w:szCs w:val="24"/>
                <w:lang w:eastAsia="ru-RU"/>
              </w:rPr>
            </w:pPr>
            <w:r w:rsidRPr="00CD191E">
              <w:rPr>
                <w:rFonts w:eastAsia="Times New Roman"/>
                <w:sz w:val="24"/>
                <w:szCs w:val="24"/>
                <w:lang w:eastAsia="ru-RU"/>
              </w:rPr>
              <w:t>2014</w:t>
            </w:r>
          </w:p>
        </w:tc>
        <w:tc>
          <w:tcPr>
            <w:tcW w:w="0" w:type="auto"/>
          </w:tcPr>
          <w:p w:rsidR="00E34BA7" w:rsidRPr="00CD191E" w:rsidRDefault="00E34BA7" w:rsidP="00E34BA7">
            <w:pPr>
              <w:spacing w:line="276" w:lineRule="auto"/>
              <w:jc w:val="center"/>
              <w:rPr>
                <w:rFonts w:eastAsia="Times New Roman"/>
                <w:sz w:val="24"/>
                <w:szCs w:val="24"/>
                <w:lang w:eastAsia="ru-RU"/>
              </w:rPr>
            </w:pPr>
            <w:r w:rsidRPr="00CD191E">
              <w:rPr>
                <w:rFonts w:eastAsia="Times New Roman"/>
                <w:sz w:val="24"/>
                <w:szCs w:val="24"/>
                <w:lang w:eastAsia="ru-RU"/>
              </w:rPr>
              <w:t>3656</w:t>
            </w:r>
          </w:p>
        </w:tc>
        <w:tc>
          <w:tcPr>
            <w:tcW w:w="1173" w:type="dxa"/>
          </w:tcPr>
          <w:p w:rsidR="00E34BA7" w:rsidRPr="00CD191E" w:rsidRDefault="00E34BA7" w:rsidP="00E34BA7">
            <w:pPr>
              <w:spacing w:line="276" w:lineRule="auto"/>
              <w:jc w:val="center"/>
              <w:rPr>
                <w:rFonts w:eastAsia="Times New Roman"/>
                <w:sz w:val="24"/>
                <w:szCs w:val="24"/>
                <w:lang w:eastAsia="ru-RU"/>
              </w:rPr>
            </w:pPr>
            <w:r w:rsidRPr="00CD191E">
              <w:rPr>
                <w:rFonts w:eastAsia="Times New Roman"/>
                <w:sz w:val="24"/>
                <w:szCs w:val="24"/>
                <w:lang w:eastAsia="ru-RU"/>
              </w:rPr>
              <w:t>4341</w:t>
            </w:r>
          </w:p>
        </w:tc>
        <w:tc>
          <w:tcPr>
            <w:tcW w:w="1463" w:type="dxa"/>
          </w:tcPr>
          <w:p w:rsidR="00E34BA7" w:rsidRPr="00CD191E" w:rsidRDefault="00E34BA7" w:rsidP="00E34BA7">
            <w:pPr>
              <w:spacing w:line="276" w:lineRule="auto"/>
              <w:jc w:val="center"/>
              <w:rPr>
                <w:rFonts w:eastAsia="Times New Roman"/>
                <w:sz w:val="24"/>
                <w:szCs w:val="24"/>
                <w:lang w:eastAsia="ru-RU"/>
              </w:rPr>
            </w:pPr>
            <w:r w:rsidRPr="00CD191E">
              <w:rPr>
                <w:rFonts w:eastAsia="Times New Roman"/>
                <w:sz w:val="24"/>
                <w:szCs w:val="24"/>
                <w:lang w:eastAsia="ru-RU"/>
              </w:rPr>
              <w:t>2820</w:t>
            </w:r>
          </w:p>
        </w:tc>
        <w:tc>
          <w:tcPr>
            <w:tcW w:w="1559" w:type="dxa"/>
          </w:tcPr>
          <w:p w:rsidR="00E34BA7" w:rsidRPr="00CD191E" w:rsidRDefault="00E34BA7" w:rsidP="00E34BA7">
            <w:pPr>
              <w:spacing w:line="276" w:lineRule="auto"/>
              <w:jc w:val="center"/>
              <w:rPr>
                <w:rFonts w:eastAsia="Times New Roman"/>
                <w:sz w:val="24"/>
                <w:szCs w:val="24"/>
                <w:lang w:eastAsia="ru-RU"/>
              </w:rPr>
            </w:pPr>
            <w:r w:rsidRPr="00CD191E">
              <w:rPr>
                <w:rFonts w:eastAsia="Times New Roman"/>
                <w:sz w:val="24"/>
                <w:szCs w:val="24"/>
                <w:lang w:eastAsia="ru-RU"/>
              </w:rPr>
              <w:t>1521</w:t>
            </w:r>
          </w:p>
        </w:tc>
        <w:tc>
          <w:tcPr>
            <w:tcW w:w="1193" w:type="dxa"/>
          </w:tcPr>
          <w:p w:rsidR="00E34BA7" w:rsidRPr="00CD191E" w:rsidRDefault="00E34BA7" w:rsidP="00E34BA7">
            <w:pPr>
              <w:spacing w:line="276" w:lineRule="auto"/>
              <w:jc w:val="center"/>
              <w:rPr>
                <w:rFonts w:eastAsia="Times New Roman"/>
                <w:sz w:val="24"/>
                <w:szCs w:val="24"/>
                <w:lang w:eastAsia="ru-RU"/>
              </w:rPr>
            </w:pPr>
            <w:r w:rsidRPr="00CD191E">
              <w:rPr>
                <w:rFonts w:eastAsia="Times New Roman"/>
                <w:sz w:val="24"/>
                <w:szCs w:val="24"/>
                <w:lang w:eastAsia="ru-RU"/>
              </w:rPr>
              <w:t>2269</w:t>
            </w:r>
          </w:p>
        </w:tc>
        <w:tc>
          <w:tcPr>
            <w:tcW w:w="2447" w:type="dxa"/>
          </w:tcPr>
          <w:p w:rsidR="00E34BA7" w:rsidRPr="00CD191E" w:rsidRDefault="00E34BA7" w:rsidP="00E34BA7">
            <w:pPr>
              <w:spacing w:line="276" w:lineRule="auto"/>
              <w:jc w:val="center"/>
              <w:rPr>
                <w:rFonts w:eastAsia="Times New Roman"/>
                <w:sz w:val="24"/>
                <w:szCs w:val="24"/>
                <w:lang w:eastAsia="ru-RU"/>
              </w:rPr>
            </w:pPr>
            <w:r w:rsidRPr="00CD191E">
              <w:rPr>
                <w:rFonts w:eastAsia="Times New Roman"/>
                <w:sz w:val="24"/>
                <w:szCs w:val="24"/>
                <w:lang w:eastAsia="ru-RU"/>
              </w:rPr>
              <w:t>62,1</w:t>
            </w:r>
          </w:p>
        </w:tc>
      </w:tr>
      <w:tr w:rsidR="00E318FB" w:rsidRPr="00CD191E" w:rsidTr="00E34BA7">
        <w:trPr>
          <w:trHeight w:val="69"/>
          <w:jc w:val="center"/>
        </w:trPr>
        <w:tc>
          <w:tcPr>
            <w:tcW w:w="697" w:type="dxa"/>
          </w:tcPr>
          <w:p w:rsidR="00E318FB" w:rsidRPr="00CD191E" w:rsidRDefault="00E318FB" w:rsidP="00E34BA7">
            <w:pPr>
              <w:spacing w:line="276" w:lineRule="auto"/>
              <w:rPr>
                <w:rFonts w:eastAsia="Times New Roman"/>
                <w:sz w:val="24"/>
                <w:szCs w:val="24"/>
                <w:lang w:eastAsia="ru-RU"/>
              </w:rPr>
            </w:pPr>
            <w:r w:rsidRPr="00CD191E">
              <w:rPr>
                <w:rFonts w:eastAsia="Times New Roman"/>
                <w:sz w:val="24"/>
                <w:szCs w:val="24"/>
                <w:lang w:eastAsia="ru-RU"/>
              </w:rPr>
              <w:t>2015</w:t>
            </w:r>
          </w:p>
        </w:tc>
        <w:tc>
          <w:tcPr>
            <w:tcW w:w="0" w:type="auto"/>
          </w:tcPr>
          <w:p w:rsidR="00E318FB" w:rsidRPr="00CD191E" w:rsidRDefault="00E318FB" w:rsidP="00E34BA7">
            <w:pPr>
              <w:spacing w:line="276" w:lineRule="auto"/>
              <w:jc w:val="center"/>
              <w:rPr>
                <w:rFonts w:eastAsia="Times New Roman"/>
                <w:sz w:val="24"/>
                <w:szCs w:val="24"/>
                <w:lang w:eastAsia="ru-RU"/>
              </w:rPr>
            </w:pPr>
            <w:r w:rsidRPr="00CD191E">
              <w:rPr>
                <w:rFonts w:eastAsia="Times New Roman"/>
                <w:sz w:val="24"/>
                <w:szCs w:val="24"/>
                <w:lang w:eastAsia="ru-RU"/>
              </w:rPr>
              <w:t>3318</w:t>
            </w:r>
          </w:p>
        </w:tc>
        <w:tc>
          <w:tcPr>
            <w:tcW w:w="1173" w:type="dxa"/>
          </w:tcPr>
          <w:p w:rsidR="00E318FB" w:rsidRPr="00CD191E" w:rsidRDefault="00E318FB" w:rsidP="00E34BA7">
            <w:pPr>
              <w:spacing w:line="276" w:lineRule="auto"/>
              <w:jc w:val="center"/>
              <w:rPr>
                <w:rFonts w:eastAsia="Times New Roman"/>
                <w:sz w:val="24"/>
                <w:szCs w:val="24"/>
                <w:lang w:eastAsia="ru-RU"/>
              </w:rPr>
            </w:pPr>
            <w:r w:rsidRPr="00CD191E">
              <w:rPr>
                <w:rFonts w:eastAsia="Times New Roman"/>
                <w:sz w:val="24"/>
                <w:szCs w:val="24"/>
                <w:lang w:eastAsia="ru-RU"/>
              </w:rPr>
              <w:t>3774</w:t>
            </w:r>
          </w:p>
        </w:tc>
        <w:tc>
          <w:tcPr>
            <w:tcW w:w="1463" w:type="dxa"/>
          </w:tcPr>
          <w:p w:rsidR="00E318FB" w:rsidRPr="00CD191E" w:rsidRDefault="00E318FB" w:rsidP="00E34BA7">
            <w:pPr>
              <w:spacing w:line="276" w:lineRule="auto"/>
              <w:jc w:val="center"/>
              <w:rPr>
                <w:rFonts w:eastAsia="Times New Roman"/>
                <w:sz w:val="24"/>
                <w:szCs w:val="24"/>
                <w:lang w:eastAsia="ru-RU"/>
              </w:rPr>
            </w:pPr>
            <w:r w:rsidRPr="00CD191E">
              <w:rPr>
                <w:rFonts w:eastAsia="Times New Roman"/>
                <w:sz w:val="24"/>
                <w:szCs w:val="24"/>
                <w:lang w:eastAsia="ru-RU"/>
              </w:rPr>
              <w:t>2437</w:t>
            </w:r>
          </w:p>
        </w:tc>
        <w:tc>
          <w:tcPr>
            <w:tcW w:w="1559" w:type="dxa"/>
          </w:tcPr>
          <w:p w:rsidR="00E318FB" w:rsidRPr="00CD191E" w:rsidRDefault="00E318FB" w:rsidP="00E34BA7">
            <w:pPr>
              <w:spacing w:line="276" w:lineRule="auto"/>
              <w:jc w:val="center"/>
              <w:rPr>
                <w:rFonts w:eastAsia="Times New Roman"/>
                <w:sz w:val="24"/>
                <w:szCs w:val="24"/>
                <w:lang w:eastAsia="ru-RU"/>
              </w:rPr>
            </w:pPr>
            <w:r w:rsidRPr="00CD191E">
              <w:rPr>
                <w:rFonts w:eastAsia="Times New Roman"/>
                <w:sz w:val="24"/>
                <w:szCs w:val="24"/>
                <w:lang w:eastAsia="ru-RU"/>
              </w:rPr>
              <w:t>1337</w:t>
            </w:r>
          </w:p>
        </w:tc>
        <w:tc>
          <w:tcPr>
            <w:tcW w:w="1193" w:type="dxa"/>
          </w:tcPr>
          <w:p w:rsidR="00E318FB" w:rsidRPr="00CD191E" w:rsidRDefault="00E318FB" w:rsidP="00E34BA7">
            <w:pPr>
              <w:spacing w:line="276" w:lineRule="auto"/>
              <w:jc w:val="center"/>
              <w:rPr>
                <w:rFonts w:eastAsia="Times New Roman"/>
                <w:sz w:val="24"/>
                <w:szCs w:val="24"/>
                <w:lang w:eastAsia="ru-RU"/>
              </w:rPr>
            </w:pPr>
            <w:r w:rsidRPr="00CD191E">
              <w:rPr>
                <w:rFonts w:eastAsia="Times New Roman"/>
                <w:sz w:val="24"/>
                <w:szCs w:val="24"/>
                <w:lang w:eastAsia="ru-RU"/>
              </w:rPr>
              <w:t>2041</w:t>
            </w:r>
          </w:p>
        </w:tc>
        <w:tc>
          <w:tcPr>
            <w:tcW w:w="2447" w:type="dxa"/>
          </w:tcPr>
          <w:p w:rsidR="00E318FB" w:rsidRPr="00CD191E" w:rsidRDefault="00E318FB" w:rsidP="00E34BA7">
            <w:pPr>
              <w:spacing w:line="276" w:lineRule="auto"/>
              <w:jc w:val="center"/>
              <w:rPr>
                <w:rFonts w:eastAsia="Times New Roman"/>
                <w:sz w:val="24"/>
                <w:szCs w:val="24"/>
                <w:lang w:eastAsia="ru-RU"/>
              </w:rPr>
            </w:pPr>
            <w:r w:rsidRPr="00CD191E">
              <w:rPr>
                <w:rFonts w:eastAsia="Times New Roman"/>
                <w:sz w:val="24"/>
                <w:szCs w:val="24"/>
                <w:lang w:eastAsia="ru-RU"/>
              </w:rPr>
              <w:t>61,5</w:t>
            </w:r>
          </w:p>
        </w:tc>
      </w:tr>
      <w:tr w:rsidR="00E318FB" w:rsidRPr="00CD191E" w:rsidTr="00E34BA7">
        <w:trPr>
          <w:trHeight w:val="165"/>
          <w:jc w:val="center"/>
        </w:trPr>
        <w:tc>
          <w:tcPr>
            <w:tcW w:w="697" w:type="dxa"/>
          </w:tcPr>
          <w:p w:rsidR="00E318FB" w:rsidRPr="00CD191E" w:rsidRDefault="00E318FB" w:rsidP="00E34BA7">
            <w:pPr>
              <w:spacing w:line="276" w:lineRule="auto"/>
              <w:jc w:val="center"/>
              <w:rPr>
                <w:rFonts w:eastAsia="Times New Roman"/>
                <w:sz w:val="24"/>
                <w:szCs w:val="24"/>
                <w:lang w:eastAsia="ru-RU"/>
              </w:rPr>
            </w:pPr>
            <w:r w:rsidRPr="00CD191E">
              <w:rPr>
                <w:rFonts w:eastAsia="Times New Roman"/>
                <w:sz w:val="24"/>
                <w:szCs w:val="24"/>
                <w:lang w:eastAsia="ru-RU"/>
              </w:rPr>
              <w:t>2016</w:t>
            </w:r>
          </w:p>
        </w:tc>
        <w:tc>
          <w:tcPr>
            <w:tcW w:w="0" w:type="auto"/>
          </w:tcPr>
          <w:p w:rsidR="00E318FB" w:rsidRPr="00CD191E" w:rsidRDefault="00E318FB" w:rsidP="00E34BA7">
            <w:pPr>
              <w:spacing w:line="276" w:lineRule="auto"/>
              <w:jc w:val="center"/>
              <w:rPr>
                <w:rFonts w:eastAsia="Times New Roman"/>
                <w:sz w:val="24"/>
                <w:szCs w:val="24"/>
                <w:lang w:eastAsia="ru-RU"/>
              </w:rPr>
            </w:pPr>
            <w:r w:rsidRPr="00CD191E">
              <w:rPr>
                <w:rFonts w:eastAsia="Times New Roman"/>
                <w:sz w:val="24"/>
                <w:szCs w:val="24"/>
                <w:lang w:eastAsia="ru-RU"/>
              </w:rPr>
              <w:t>2955</w:t>
            </w:r>
          </w:p>
        </w:tc>
        <w:tc>
          <w:tcPr>
            <w:tcW w:w="1173" w:type="dxa"/>
          </w:tcPr>
          <w:p w:rsidR="00E318FB" w:rsidRPr="00CD191E" w:rsidRDefault="00E318FB" w:rsidP="00E34BA7">
            <w:pPr>
              <w:spacing w:line="276" w:lineRule="auto"/>
              <w:jc w:val="center"/>
              <w:rPr>
                <w:rFonts w:eastAsia="Times New Roman"/>
                <w:sz w:val="24"/>
                <w:szCs w:val="24"/>
                <w:lang w:eastAsia="ru-RU"/>
              </w:rPr>
            </w:pPr>
            <w:r w:rsidRPr="00CD191E">
              <w:rPr>
                <w:rFonts w:eastAsia="Times New Roman"/>
                <w:sz w:val="24"/>
                <w:szCs w:val="24"/>
                <w:lang w:eastAsia="ru-RU"/>
              </w:rPr>
              <w:t>3456</w:t>
            </w:r>
          </w:p>
        </w:tc>
        <w:tc>
          <w:tcPr>
            <w:tcW w:w="1463" w:type="dxa"/>
          </w:tcPr>
          <w:p w:rsidR="00E318FB" w:rsidRPr="00CD191E" w:rsidRDefault="00E318FB" w:rsidP="00E34BA7">
            <w:pPr>
              <w:spacing w:line="276" w:lineRule="auto"/>
              <w:jc w:val="center"/>
              <w:rPr>
                <w:rFonts w:eastAsia="Times New Roman"/>
                <w:sz w:val="24"/>
                <w:szCs w:val="24"/>
                <w:lang w:eastAsia="ru-RU"/>
              </w:rPr>
            </w:pPr>
            <w:r w:rsidRPr="00CD191E">
              <w:rPr>
                <w:rFonts w:eastAsia="Times New Roman"/>
                <w:sz w:val="24"/>
                <w:szCs w:val="24"/>
                <w:lang w:eastAsia="ru-RU"/>
              </w:rPr>
              <w:t>2244</w:t>
            </w:r>
          </w:p>
        </w:tc>
        <w:tc>
          <w:tcPr>
            <w:tcW w:w="1559" w:type="dxa"/>
          </w:tcPr>
          <w:p w:rsidR="00E318FB" w:rsidRPr="00CD191E" w:rsidRDefault="00E318FB" w:rsidP="00E34BA7">
            <w:pPr>
              <w:spacing w:line="276" w:lineRule="auto"/>
              <w:jc w:val="center"/>
              <w:rPr>
                <w:rFonts w:eastAsia="Times New Roman"/>
                <w:sz w:val="24"/>
                <w:szCs w:val="24"/>
                <w:lang w:eastAsia="ru-RU"/>
              </w:rPr>
            </w:pPr>
            <w:r w:rsidRPr="00CD191E">
              <w:rPr>
                <w:rFonts w:eastAsia="Times New Roman"/>
                <w:sz w:val="24"/>
                <w:szCs w:val="24"/>
                <w:lang w:eastAsia="ru-RU"/>
              </w:rPr>
              <w:t>1212</w:t>
            </w:r>
          </w:p>
        </w:tc>
        <w:tc>
          <w:tcPr>
            <w:tcW w:w="1193" w:type="dxa"/>
          </w:tcPr>
          <w:p w:rsidR="00E318FB" w:rsidRPr="00CD191E" w:rsidRDefault="00E318FB" w:rsidP="00E34BA7">
            <w:pPr>
              <w:spacing w:line="276" w:lineRule="auto"/>
              <w:jc w:val="center"/>
              <w:rPr>
                <w:rFonts w:eastAsia="Times New Roman"/>
                <w:sz w:val="24"/>
                <w:szCs w:val="24"/>
                <w:lang w:eastAsia="ru-RU"/>
              </w:rPr>
            </w:pPr>
            <w:r w:rsidRPr="00CD191E">
              <w:rPr>
                <w:rFonts w:eastAsia="Times New Roman"/>
                <w:sz w:val="24"/>
                <w:szCs w:val="24"/>
                <w:lang w:eastAsia="ru-RU"/>
              </w:rPr>
              <w:t>1830</w:t>
            </w:r>
          </w:p>
        </w:tc>
        <w:tc>
          <w:tcPr>
            <w:tcW w:w="2447" w:type="dxa"/>
          </w:tcPr>
          <w:p w:rsidR="00E318FB" w:rsidRPr="00CD191E" w:rsidRDefault="00E318FB" w:rsidP="00E34BA7">
            <w:pPr>
              <w:spacing w:line="276" w:lineRule="auto"/>
              <w:jc w:val="center"/>
              <w:rPr>
                <w:rFonts w:eastAsia="Times New Roman"/>
                <w:sz w:val="24"/>
                <w:szCs w:val="24"/>
                <w:lang w:eastAsia="ru-RU"/>
              </w:rPr>
            </w:pPr>
            <w:r w:rsidRPr="00CD191E">
              <w:rPr>
                <w:rFonts w:eastAsia="Times New Roman"/>
                <w:sz w:val="24"/>
                <w:szCs w:val="24"/>
                <w:lang w:eastAsia="ru-RU"/>
              </w:rPr>
              <w:t>61,9</w:t>
            </w:r>
          </w:p>
        </w:tc>
      </w:tr>
      <w:tr w:rsidR="00E318FB" w:rsidRPr="00CD191E" w:rsidTr="00E34BA7">
        <w:trPr>
          <w:trHeight w:val="165"/>
          <w:jc w:val="center"/>
        </w:trPr>
        <w:tc>
          <w:tcPr>
            <w:tcW w:w="697" w:type="dxa"/>
          </w:tcPr>
          <w:p w:rsidR="00E318FB" w:rsidRPr="00CD191E" w:rsidRDefault="00E318FB" w:rsidP="00E34BA7">
            <w:pPr>
              <w:spacing w:line="276" w:lineRule="auto"/>
              <w:jc w:val="center"/>
              <w:rPr>
                <w:rFonts w:eastAsia="Times New Roman"/>
                <w:sz w:val="24"/>
                <w:szCs w:val="24"/>
                <w:lang w:eastAsia="ru-RU"/>
              </w:rPr>
            </w:pPr>
            <w:r w:rsidRPr="00CD191E">
              <w:rPr>
                <w:rFonts w:eastAsia="Times New Roman"/>
                <w:sz w:val="24"/>
                <w:szCs w:val="24"/>
                <w:lang w:eastAsia="ru-RU"/>
              </w:rPr>
              <w:t>2017</w:t>
            </w:r>
          </w:p>
        </w:tc>
        <w:tc>
          <w:tcPr>
            <w:tcW w:w="0" w:type="auto"/>
          </w:tcPr>
          <w:p w:rsidR="00E318FB" w:rsidRPr="00CD191E" w:rsidRDefault="00E318FB" w:rsidP="00E34BA7">
            <w:pPr>
              <w:spacing w:line="276" w:lineRule="auto"/>
              <w:jc w:val="center"/>
              <w:rPr>
                <w:rFonts w:eastAsia="Times New Roman"/>
                <w:sz w:val="24"/>
                <w:szCs w:val="24"/>
                <w:lang w:eastAsia="ru-RU"/>
              </w:rPr>
            </w:pPr>
            <w:r w:rsidRPr="00CD191E">
              <w:rPr>
                <w:rFonts w:eastAsia="Times New Roman"/>
                <w:sz w:val="24"/>
                <w:szCs w:val="24"/>
                <w:lang w:eastAsia="ru-RU"/>
              </w:rPr>
              <w:t>2786</w:t>
            </w:r>
          </w:p>
        </w:tc>
        <w:tc>
          <w:tcPr>
            <w:tcW w:w="1173" w:type="dxa"/>
          </w:tcPr>
          <w:p w:rsidR="00E318FB" w:rsidRPr="00CD191E" w:rsidRDefault="00E318FB" w:rsidP="00E34BA7">
            <w:pPr>
              <w:spacing w:line="276" w:lineRule="auto"/>
              <w:jc w:val="center"/>
              <w:rPr>
                <w:rFonts w:eastAsia="Times New Roman"/>
                <w:sz w:val="24"/>
                <w:szCs w:val="24"/>
                <w:lang w:eastAsia="ru-RU"/>
              </w:rPr>
            </w:pPr>
            <w:r w:rsidRPr="00CD191E">
              <w:rPr>
                <w:rFonts w:eastAsia="Times New Roman"/>
                <w:sz w:val="24"/>
                <w:szCs w:val="24"/>
                <w:lang w:eastAsia="ru-RU"/>
              </w:rPr>
              <w:t>3355</w:t>
            </w:r>
          </w:p>
        </w:tc>
        <w:tc>
          <w:tcPr>
            <w:tcW w:w="1463" w:type="dxa"/>
          </w:tcPr>
          <w:p w:rsidR="00E318FB" w:rsidRPr="00CD191E" w:rsidRDefault="00E318FB" w:rsidP="00E34BA7">
            <w:pPr>
              <w:spacing w:line="276" w:lineRule="auto"/>
              <w:jc w:val="center"/>
              <w:rPr>
                <w:rFonts w:eastAsia="Times New Roman"/>
                <w:sz w:val="24"/>
                <w:szCs w:val="24"/>
                <w:lang w:eastAsia="ru-RU"/>
              </w:rPr>
            </w:pPr>
            <w:r w:rsidRPr="00CD191E">
              <w:rPr>
                <w:rFonts w:eastAsia="Times New Roman"/>
                <w:sz w:val="24"/>
                <w:szCs w:val="24"/>
                <w:lang w:eastAsia="ru-RU"/>
              </w:rPr>
              <w:t>2136</w:t>
            </w:r>
          </w:p>
        </w:tc>
        <w:tc>
          <w:tcPr>
            <w:tcW w:w="1559" w:type="dxa"/>
          </w:tcPr>
          <w:p w:rsidR="00E318FB" w:rsidRPr="00CD191E" w:rsidRDefault="00E318FB" w:rsidP="00E34BA7">
            <w:pPr>
              <w:spacing w:line="276" w:lineRule="auto"/>
              <w:jc w:val="center"/>
              <w:rPr>
                <w:rFonts w:eastAsia="Times New Roman"/>
                <w:sz w:val="24"/>
                <w:szCs w:val="24"/>
                <w:lang w:eastAsia="ru-RU"/>
              </w:rPr>
            </w:pPr>
            <w:r w:rsidRPr="00CD191E">
              <w:rPr>
                <w:rFonts w:eastAsia="Times New Roman"/>
                <w:sz w:val="24"/>
                <w:szCs w:val="24"/>
                <w:lang w:eastAsia="ru-RU"/>
              </w:rPr>
              <w:t>1219</w:t>
            </w:r>
          </w:p>
        </w:tc>
        <w:tc>
          <w:tcPr>
            <w:tcW w:w="1193" w:type="dxa"/>
          </w:tcPr>
          <w:p w:rsidR="00E318FB" w:rsidRPr="00CD191E" w:rsidRDefault="00E318FB" w:rsidP="00E34BA7">
            <w:pPr>
              <w:spacing w:line="276" w:lineRule="auto"/>
              <w:jc w:val="center"/>
              <w:rPr>
                <w:rFonts w:eastAsia="Times New Roman"/>
                <w:sz w:val="24"/>
                <w:szCs w:val="24"/>
                <w:lang w:eastAsia="ru-RU"/>
              </w:rPr>
            </w:pPr>
            <w:r w:rsidRPr="00CD191E">
              <w:rPr>
                <w:rFonts w:eastAsia="Times New Roman"/>
                <w:sz w:val="24"/>
                <w:szCs w:val="24"/>
                <w:lang w:eastAsia="ru-RU"/>
              </w:rPr>
              <w:t>1798</w:t>
            </w:r>
          </w:p>
        </w:tc>
        <w:tc>
          <w:tcPr>
            <w:tcW w:w="2447" w:type="dxa"/>
          </w:tcPr>
          <w:p w:rsidR="00E318FB" w:rsidRPr="00CD191E" w:rsidRDefault="00E318FB" w:rsidP="00E34BA7">
            <w:pPr>
              <w:spacing w:line="276" w:lineRule="auto"/>
              <w:jc w:val="center"/>
              <w:rPr>
                <w:rFonts w:eastAsia="Times New Roman"/>
                <w:sz w:val="24"/>
                <w:szCs w:val="24"/>
                <w:lang w:eastAsia="ru-RU"/>
              </w:rPr>
            </w:pPr>
            <w:r w:rsidRPr="00CD191E">
              <w:rPr>
                <w:rFonts w:eastAsia="Times New Roman"/>
                <w:sz w:val="24"/>
                <w:szCs w:val="24"/>
                <w:lang w:eastAsia="ru-RU"/>
              </w:rPr>
              <w:t>64,5</w:t>
            </w:r>
          </w:p>
        </w:tc>
      </w:tr>
      <w:tr w:rsidR="00E318FB" w:rsidRPr="00CD191E" w:rsidTr="00E34BA7">
        <w:trPr>
          <w:trHeight w:val="165"/>
          <w:jc w:val="center"/>
        </w:trPr>
        <w:tc>
          <w:tcPr>
            <w:tcW w:w="697" w:type="dxa"/>
          </w:tcPr>
          <w:p w:rsidR="00E318FB" w:rsidRPr="00CD191E" w:rsidRDefault="00E318FB" w:rsidP="00E34BA7">
            <w:pPr>
              <w:spacing w:line="276" w:lineRule="auto"/>
              <w:jc w:val="center"/>
              <w:rPr>
                <w:rFonts w:eastAsia="Times New Roman"/>
                <w:sz w:val="24"/>
                <w:szCs w:val="24"/>
                <w:lang w:eastAsia="ru-RU"/>
              </w:rPr>
            </w:pPr>
            <w:r w:rsidRPr="00CD191E">
              <w:rPr>
                <w:rFonts w:eastAsia="Times New Roman"/>
                <w:sz w:val="24"/>
                <w:szCs w:val="24"/>
                <w:lang w:eastAsia="ru-RU"/>
              </w:rPr>
              <w:t>2018</w:t>
            </w:r>
          </w:p>
        </w:tc>
        <w:tc>
          <w:tcPr>
            <w:tcW w:w="0" w:type="auto"/>
          </w:tcPr>
          <w:p w:rsidR="00E318FB" w:rsidRPr="00CD191E" w:rsidRDefault="00E318FB" w:rsidP="00E34BA7">
            <w:pPr>
              <w:spacing w:line="276" w:lineRule="auto"/>
              <w:jc w:val="center"/>
              <w:rPr>
                <w:rFonts w:eastAsia="Times New Roman"/>
                <w:sz w:val="24"/>
                <w:szCs w:val="24"/>
                <w:lang w:eastAsia="ru-RU"/>
              </w:rPr>
            </w:pPr>
            <w:r w:rsidRPr="00CD191E">
              <w:rPr>
                <w:rFonts w:eastAsia="Times New Roman"/>
                <w:sz w:val="24"/>
                <w:szCs w:val="24"/>
                <w:lang w:eastAsia="ru-RU"/>
              </w:rPr>
              <w:t>2397</w:t>
            </w:r>
          </w:p>
        </w:tc>
        <w:tc>
          <w:tcPr>
            <w:tcW w:w="1173" w:type="dxa"/>
          </w:tcPr>
          <w:p w:rsidR="00E318FB" w:rsidRPr="00CD191E" w:rsidRDefault="00E318FB" w:rsidP="00E34BA7">
            <w:pPr>
              <w:spacing w:line="276" w:lineRule="auto"/>
              <w:jc w:val="center"/>
              <w:rPr>
                <w:rFonts w:eastAsia="Times New Roman"/>
                <w:sz w:val="24"/>
                <w:szCs w:val="24"/>
                <w:lang w:eastAsia="ru-RU"/>
              </w:rPr>
            </w:pPr>
            <w:r w:rsidRPr="00CD191E">
              <w:rPr>
                <w:rFonts w:eastAsia="Times New Roman"/>
                <w:sz w:val="24"/>
                <w:szCs w:val="24"/>
                <w:lang w:eastAsia="ru-RU"/>
              </w:rPr>
              <w:t>2971</w:t>
            </w:r>
          </w:p>
        </w:tc>
        <w:tc>
          <w:tcPr>
            <w:tcW w:w="1463" w:type="dxa"/>
          </w:tcPr>
          <w:p w:rsidR="00E318FB" w:rsidRPr="00CD191E" w:rsidRDefault="00E318FB" w:rsidP="00E34BA7">
            <w:pPr>
              <w:spacing w:line="276" w:lineRule="auto"/>
              <w:jc w:val="center"/>
              <w:rPr>
                <w:rFonts w:eastAsia="Times New Roman"/>
                <w:sz w:val="24"/>
                <w:szCs w:val="24"/>
                <w:lang w:eastAsia="ru-RU"/>
              </w:rPr>
            </w:pPr>
            <w:r w:rsidRPr="00CD191E">
              <w:rPr>
                <w:rFonts w:eastAsia="Times New Roman"/>
                <w:sz w:val="24"/>
                <w:szCs w:val="24"/>
                <w:lang w:eastAsia="ru-RU"/>
              </w:rPr>
              <w:t>1951</w:t>
            </w:r>
          </w:p>
        </w:tc>
        <w:tc>
          <w:tcPr>
            <w:tcW w:w="1559" w:type="dxa"/>
          </w:tcPr>
          <w:p w:rsidR="00E318FB" w:rsidRPr="00CD191E" w:rsidRDefault="00E318FB" w:rsidP="00E34BA7">
            <w:pPr>
              <w:spacing w:line="276" w:lineRule="auto"/>
              <w:jc w:val="center"/>
              <w:rPr>
                <w:rFonts w:eastAsia="Times New Roman"/>
                <w:sz w:val="24"/>
                <w:szCs w:val="24"/>
                <w:lang w:eastAsia="ru-RU"/>
              </w:rPr>
            </w:pPr>
            <w:r w:rsidRPr="00CD191E">
              <w:rPr>
                <w:rFonts w:eastAsia="Times New Roman"/>
                <w:sz w:val="24"/>
                <w:szCs w:val="24"/>
                <w:lang w:eastAsia="ru-RU"/>
              </w:rPr>
              <w:t>1020</w:t>
            </w:r>
          </w:p>
        </w:tc>
        <w:tc>
          <w:tcPr>
            <w:tcW w:w="1193" w:type="dxa"/>
          </w:tcPr>
          <w:p w:rsidR="00E318FB" w:rsidRPr="00CD191E" w:rsidRDefault="00E318FB" w:rsidP="00E34BA7">
            <w:pPr>
              <w:spacing w:line="276" w:lineRule="auto"/>
              <w:jc w:val="center"/>
              <w:rPr>
                <w:rFonts w:eastAsia="Times New Roman"/>
                <w:sz w:val="24"/>
                <w:szCs w:val="24"/>
                <w:lang w:eastAsia="ru-RU"/>
              </w:rPr>
            </w:pPr>
            <w:r w:rsidRPr="00CD191E">
              <w:rPr>
                <w:rFonts w:eastAsia="Times New Roman"/>
                <w:sz w:val="24"/>
                <w:szCs w:val="24"/>
                <w:lang w:eastAsia="ru-RU"/>
              </w:rPr>
              <w:t>1503</w:t>
            </w:r>
          </w:p>
        </w:tc>
        <w:tc>
          <w:tcPr>
            <w:tcW w:w="2447" w:type="dxa"/>
          </w:tcPr>
          <w:p w:rsidR="00E318FB" w:rsidRPr="00CD191E" w:rsidRDefault="00E318FB" w:rsidP="00E34BA7">
            <w:pPr>
              <w:spacing w:line="276" w:lineRule="auto"/>
              <w:jc w:val="center"/>
              <w:rPr>
                <w:rFonts w:eastAsia="Times New Roman"/>
                <w:sz w:val="24"/>
                <w:szCs w:val="24"/>
                <w:lang w:eastAsia="ru-RU"/>
              </w:rPr>
            </w:pPr>
            <w:r w:rsidRPr="00CD191E">
              <w:rPr>
                <w:rFonts w:eastAsia="Times New Roman"/>
                <w:sz w:val="24"/>
                <w:szCs w:val="24"/>
                <w:lang w:eastAsia="ru-RU"/>
              </w:rPr>
              <w:t>62,7</w:t>
            </w:r>
          </w:p>
        </w:tc>
      </w:tr>
    </w:tbl>
    <w:p w:rsidR="00CD191E" w:rsidRPr="00CD191E" w:rsidRDefault="00CD191E" w:rsidP="00CD191E">
      <w:pPr>
        <w:tabs>
          <w:tab w:val="left" w:pos="875"/>
        </w:tabs>
        <w:spacing w:line="276" w:lineRule="auto"/>
        <w:jc w:val="left"/>
        <w:rPr>
          <w:rFonts w:eastAsia="Calibri"/>
          <w:b/>
          <w:szCs w:val="28"/>
        </w:rPr>
      </w:pPr>
      <w:r w:rsidRPr="00CD191E">
        <w:rPr>
          <w:rFonts w:eastAsia="Calibri"/>
          <w:b/>
          <w:szCs w:val="28"/>
        </w:rPr>
        <w:tab/>
      </w:r>
    </w:p>
    <w:p w:rsidR="002F3813" w:rsidRPr="007D18D6" w:rsidRDefault="002F3813" w:rsidP="00316754">
      <w:pPr>
        <w:tabs>
          <w:tab w:val="left" w:pos="642"/>
        </w:tabs>
        <w:ind w:firstLine="709"/>
        <w:rPr>
          <w:color w:val="FF0000"/>
          <w:szCs w:val="28"/>
          <w:lang w:val="ru-RU"/>
        </w:rPr>
      </w:pPr>
      <w:r>
        <w:rPr>
          <w:szCs w:val="28"/>
        </w:rPr>
        <w:t>З урахуванням певних особливостей и значного вкладу малюкової смертності в формування рівня дитячої смертності до 5-ти років, нами було досліджено тенденції ранньої неонатальної, пізньої неонатальної та постнеонатальної смертності, при цьому весь період дослідження рання неонатальна смертність вища за пізню неонатальну та постнеонатальну смертніс</w:t>
      </w:r>
      <w:r w:rsidRPr="00FB0FAB">
        <w:rPr>
          <w:szCs w:val="28"/>
        </w:rPr>
        <w:t>ть. Нами достовірно встановлено, що рівень ранньої неонатальної смертності в Україні (</w:t>
      </w:r>
      <w:r w:rsidR="00FB0FAB" w:rsidRPr="00FB0FAB">
        <w:rPr>
          <w:szCs w:val="28"/>
          <w:lang w:val="ru-RU"/>
        </w:rPr>
        <w:t xml:space="preserve">18966.82 </w:t>
      </w:r>
      <w:r w:rsidR="00FB0FAB" w:rsidRPr="00FB0FAB">
        <w:rPr>
          <w:szCs w:val="28"/>
        </w:rPr>
        <w:t xml:space="preserve"> на 100 тис. у 2019</w:t>
      </w:r>
      <w:r w:rsidRPr="00FB0FAB">
        <w:rPr>
          <w:szCs w:val="28"/>
        </w:rPr>
        <w:t xml:space="preserve"> р., 95% ДІ </w:t>
      </w:r>
      <w:r w:rsidR="00FB0FAB" w:rsidRPr="0050078D">
        <w:rPr>
          <w:szCs w:val="28"/>
          <w:lang w:val="ru-RU"/>
        </w:rPr>
        <w:t>23235.76-15566.07</w:t>
      </w:r>
      <w:r w:rsidRPr="0050078D">
        <w:rPr>
          <w:szCs w:val="28"/>
        </w:rPr>
        <w:t xml:space="preserve">) в </w:t>
      </w:r>
      <w:r w:rsidR="00A16421" w:rsidRPr="0050078D">
        <w:rPr>
          <w:szCs w:val="28"/>
        </w:rPr>
        <w:t>13,4</w:t>
      </w:r>
      <w:r w:rsidRPr="0050078D">
        <w:rPr>
          <w:szCs w:val="28"/>
        </w:rPr>
        <w:t xml:space="preserve"> рази вищий за рівень пізньої неонатальної смертності </w:t>
      </w:r>
      <w:r w:rsidR="005F2A24">
        <w:rPr>
          <w:szCs w:val="28"/>
        </w:rPr>
        <w:t xml:space="preserve">(1417,07 </w:t>
      </w:r>
      <w:r w:rsidR="0050078D" w:rsidRPr="0050078D">
        <w:rPr>
          <w:szCs w:val="28"/>
        </w:rPr>
        <w:t>відповідно, 95% ДІ 1931,21-1019,38</w:t>
      </w:r>
      <w:r w:rsidRPr="0050078D">
        <w:rPr>
          <w:szCs w:val="28"/>
        </w:rPr>
        <w:t xml:space="preserve">) та </w:t>
      </w:r>
      <w:r w:rsidR="0050078D" w:rsidRPr="0050078D">
        <w:rPr>
          <w:szCs w:val="28"/>
        </w:rPr>
        <w:t>в 67,9 рази</w:t>
      </w:r>
      <w:r w:rsidRPr="0050078D">
        <w:rPr>
          <w:szCs w:val="28"/>
        </w:rPr>
        <w:t xml:space="preserve"> вищий за рівень</w:t>
      </w:r>
      <w:r w:rsidRPr="0050078D">
        <w:t xml:space="preserve"> </w:t>
      </w:r>
      <w:r w:rsidR="0050078D" w:rsidRPr="0050078D">
        <w:rPr>
          <w:szCs w:val="28"/>
        </w:rPr>
        <w:t>постнеонатальної смертності (279,06 на 100 тис. осіб, 95% ДІ 395,55 – 216,33</w:t>
      </w:r>
      <w:r w:rsidRPr="0050078D">
        <w:rPr>
          <w:szCs w:val="28"/>
        </w:rPr>
        <w:t xml:space="preserve">). </w:t>
      </w:r>
      <w:r w:rsidR="00E02622" w:rsidRPr="00E02622">
        <w:rPr>
          <w:szCs w:val="28"/>
        </w:rPr>
        <w:t>Встановлено, що протягом 2009-2019</w:t>
      </w:r>
      <w:r w:rsidRPr="00E02622">
        <w:rPr>
          <w:szCs w:val="28"/>
        </w:rPr>
        <w:t xml:space="preserve"> рр. рівень ранньої неонатальної смертності в Україні </w:t>
      </w:r>
      <w:r w:rsidR="00A3185C" w:rsidRPr="00A3185C">
        <w:rPr>
          <w:szCs w:val="28"/>
        </w:rPr>
        <w:t>знизився на 22,5</w:t>
      </w:r>
      <w:r w:rsidR="00D255FE" w:rsidRPr="00A3185C">
        <w:rPr>
          <w:szCs w:val="28"/>
        </w:rPr>
        <w:t xml:space="preserve">% </w:t>
      </w:r>
      <w:r w:rsidR="00D255FE" w:rsidRPr="00D255FE">
        <w:rPr>
          <w:szCs w:val="28"/>
        </w:rPr>
        <w:t>з 24483,17 на 100 тис. осіб у 2009 р. (95% ДІ 26821,61-22060,08</w:t>
      </w:r>
      <w:r w:rsidRPr="00D255FE">
        <w:rPr>
          <w:szCs w:val="28"/>
        </w:rPr>
        <w:t>) до</w:t>
      </w:r>
      <w:r w:rsidR="00705DDF">
        <w:rPr>
          <w:color w:val="FF0000"/>
          <w:szCs w:val="28"/>
        </w:rPr>
        <w:t xml:space="preserve"> </w:t>
      </w:r>
      <w:r w:rsidR="00705DDF" w:rsidRPr="00705DDF">
        <w:rPr>
          <w:szCs w:val="28"/>
        </w:rPr>
        <w:t>18966,82 у 2019</w:t>
      </w:r>
      <w:r w:rsidRPr="00705DDF">
        <w:rPr>
          <w:szCs w:val="28"/>
        </w:rPr>
        <w:t xml:space="preserve"> р. (95% ДІ </w:t>
      </w:r>
      <w:r w:rsidR="00705DDF" w:rsidRPr="00705DDF">
        <w:rPr>
          <w:szCs w:val="28"/>
        </w:rPr>
        <w:t>23235,76-15566,07</w:t>
      </w:r>
      <w:r w:rsidRPr="00705DDF">
        <w:rPr>
          <w:szCs w:val="28"/>
        </w:rPr>
        <w:t xml:space="preserve">) при р&lt;0,001. </w:t>
      </w:r>
      <w:r w:rsidR="005753A4">
        <w:rPr>
          <w:szCs w:val="28"/>
        </w:rPr>
        <w:t>З</w:t>
      </w:r>
      <w:r w:rsidR="005753A4" w:rsidRPr="005753A4">
        <w:rPr>
          <w:szCs w:val="28"/>
        </w:rPr>
        <w:t xml:space="preserve">а </w:t>
      </w:r>
      <w:r w:rsidR="005753A4">
        <w:rPr>
          <w:szCs w:val="28"/>
        </w:rPr>
        <w:t xml:space="preserve"> розрахунками</w:t>
      </w:r>
      <w:r w:rsidR="005753A4" w:rsidRPr="005753A4">
        <w:rPr>
          <w:szCs w:val="28"/>
        </w:rPr>
        <w:t xml:space="preserve">, протягом 2010-2019 рр. динаміка показника за всіма причинами смерті в Україні </w:t>
      </w:r>
      <w:r w:rsidR="005753A4" w:rsidRPr="005753A4">
        <w:rPr>
          <w:szCs w:val="28"/>
          <w:lang w:val="ru-RU"/>
        </w:rPr>
        <w:t>мала</w:t>
      </w:r>
      <w:r w:rsidR="005753A4" w:rsidRPr="005753A4">
        <w:rPr>
          <w:szCs w:val="28"/>
        </w:rPr>
        <w:t xml:space="preserve"> тенденцію до зменшення  лише на </w:t>
      </w:r>
      <w:r w:rsidR="005753A4">
        <w:rPr>
          <w:szCs w:val="28"/>
          <w:lang w:val="ru-RU"/>
        </w:rPr>
        <w:t>-0,18</w:t>
      </w:r>
      <w:r w:rsidR="005753A4" w:rsidRPr="005753A4">
        <w:rPr>
          <w:szCs w:val="28"/>
          <w:lang w:val="ru-RU"/>
        </w:rPr>
        <w:t xml:space="preserve"> при діапазоні його коливання </w:t>
      </w:r>
      <w:r w:rsidR="005753A4">
        <w:rPr>
          <w:szCs w:val="28"/>
          <w:lang w:val="ru-RU"/>
        </w:rPr>
        <w:t>0,03</w:t>
      </w:r>
      <w:r w:rsidR="005753A4" w:rsidRPr="005753A4">
        <w:rPr>
          <w:szCs w:val="28"/>
          <w:lang w:val="ru-RU"/>
        </w:rPr>
        <w:t xml:space="preserve"> до</w:t>
      </w:r>
      <w:r w:rsidR="005753A4">
        <w:rPr>
          <w:szCs w:val="28"/>
          <w:lang w:val="ru-RU"/>
        </w:rPr>
        <w:t xml:space="preserve"> -0,34</w:t>
      </w:r>
      <w:r w:rsidR="005753A4" w:rsidRPr="005753A4">
        <w:rPr>
          <w:szCs w:val="28"/>
          <w:lang w:val="ru-RU"/>
        </w:rPr>
        <w:t xml:space="preserve">. </w:t>
      </w:r>
      <w:r w:rsidRPr="00E608C3">
        <w:rPr>
          <w:szCs w:val="28"/>
        </w:rPr>
        <w:t xml:space="preserve">При цьому за останнє десятиріччя рівень ранньої неонатальної смертності за статтю теж </w:t>
      </w:r>
      <w:r w:rsidRPr="00C2325F">
        <w:rPr>
          <w:szCs w:val="28"/>
        </w:rPr>
        <w:t>знижується як серед хлопчиків, так і серед дівчаток, але рівень р</w:t>
      </w:r>
      <w:r w:rsidR="00316754">
        <w:rPr>
          <w:szCs w:val="28"/>
        </w:rPr>
        <w:t>анньої неонатальної смертності</w:t>
      </w:r>
      <w:r w:rsidRPr="00C2325F">
        <w:rPr>
          <w:szCs w:val="28"/>
        </w:rPr>
        <w:t xml:space="preserve"> хлопч</w:t>
      </w:r>
      <w:r w:rsidRPr="007700B1">
        <w:rPr>
          <w:szCs w:val="28"/>
        </w:rPr>
        <w:t>иків (</w:t>
      </w:r>
      <w:r w:rsidR="00316754" w:rsidRPr="007700B1">
        <w:rPr>
          <w:szCs w:val="28"/>
          <w:lang w:val="ru-RU"/>
        </w:rPr>
        <w:t xml:space="preserve">25664,96 </w:t>
      </w:r>
      <w:r w:rsidRPr="007700B1">
        <w:rPr>
          <w:szCs w:val="28"/>
        </w:rPr>
        <w:t>на 100</w:t>
      </w:r>
      <w:r w:rsidR="00316754" w:rsidRPr="007700B1">
        <w:rPr>
          <w:szCs w:val="28"/>
        </w:rPr>
        <w:t> тис. осіб у 2019 р., (95% ДІ 31811,67-20997,90</w:t>
      </w:r>
      <w:r w:rsidRPr="007700B1">
        <w:rPr>
          <w:szCs w:val="28"/>
        </w:rPr>
        <w:t>)</w:t>
      </w:r>
      <w:r w:rsidR="002C51EA">
        <w:rPr>
          <w:szCs w:val="28"/>
        </w:rPr>
        <w:t xml:space="preserve"> достовірно </w:t>
      </w:r>
      <w:r w:rsidRPr="007700B1">
        <w:rPr>
          <w:szCs w:val="28"/>
        </w:rPr>
        <w:t xml:space="preserve"> вищий за аналогічний показник у дівчаток </w:t>
      </w:r>
      <w:r w:rsidR="00316754" w:rsidRPr="007700B1">
        <w:rPr>
          <w:szCs w:val="28"/>
        </w:rPr>
        <w:t>(11818,65 відповідно</w:t>
      </w:r>
      <w:r w:rsidRPr="007700B1">
        <w:rPr>
          <w:szCs w:val="28"/>
        </w:rPr>
        <w:t>. (9</w:t>
      </w:r>
      <w:r w:rsidR="00C2325F" w:rsidRPr="007700B1">
        <w:rPr>
          <w:szCs w:val="28"/>
        </w:rPr>
        <w:t>5% ДІ 17096,91-13338,23)</w:t>
      </w:r>
      <w:r w:rsidR="00316754" w:rsidRPr="007700B1">
        <w:rPr>
          <w:szCs w:val="28"/>
        </w:rPr>
        <w:t>, зокрема</w:t>
      </w:r>
      <w:r w:rsidR="00C2325F" w:rsidRPr="007700B1">
        <w:rPr>
          <w:szCs w:val="28"/>
        </w:rPr>
        <w:t xml:space="preserve"> в </w:t>
      </w:r>
      <w:r w:rsidR="00C2325F" w:rsidRPr="00C2325F">
        <w:rPr>
          <w:szCs w:val="28"/>
        </w:rPr>
        <w:t>2,17 рази</w:t>
      </w:r>
      <w:r w:rsidRPr="00C2325F">
        <w:rPr>
          <w:szCs w:val="28"/>
        </w:rPr>
        <w:t xml:space="preserve"> </w:t>
      </w:r>
      <w:r w:rsidR="00316754">
        <w:rPr>
          <w:szCs w:val="28"/>
        </w:rPr>
        <w:t xml:space="preserve">у 2019 р. </w:t>
      </w:r>
      <w:r w:rsidRPr="0037302B">
        <w:rPr>
          <w:szCs w:val="28"/>
        </w:rPr>
        <w:t>(Додат</w:t>
      </w:r>
      <w:r w:rsidR="00F37003" w:rsidRPr="0037302B">
        <w:rPr>
          <w:szCs w:val="28"/>
        </w:rPr>
        <w:t>ок Б</w:t>
      </w:r>
      <w:r w:rsidR="00354E22" w:rsidRPr="0037302B">
        <w:rPr>
          <w:szCs w:val="28"/>
        </w:rPr>
        <w:t>-9</w:t>
      </w:r>
      <w:r w:rsidRPr="0037302B">
        <w:rPr>
          <w:szCs w:val="28"/>
        </w:rPr>
        <w:t>).</w:t>
      </w:r>
    </w:p>
    <w:p w:rsidR="002F3813" w:rsidRPr="00CB0DDA" w:rsidRDefault="002F3813" w:rsidP="00A94EF0">
      <w:pPr>
        <w:tabs>
          <w:tab w:val="left" w:pos="642"/>
        </w:tabs>
        <w:ind w:firstLine="709"/>
        <w:rPr>
          <w:rFonts w:eastAsia="Calibri"/>
          <w:szCs w:val="28"/>
        </w:rPr>
      </w:pPr>
      <w:r w:rsidRPr="00D675BD">
        <w:rPr>
          <w:rFonts w:eastAsia="Calibri"/>
          <w:szCs w:val="28"/>
        </w:rPr>
        <w:lastRenderedPageBreak/>
        <w:t xml:space="preserve">Рівень пізньої неонатальної смертності </w:t>
      </w:r>
      <w:r w:rsidR="006D0FE2">
        <w:rPr>
          <w:rFonts w:eastAsia="Calibri"/>
          <w:szCs w:val="28"/>
        </w:rPr>
        <w:t>в Україні за період 2009-2019</w:t>
      </w:r>
      <w:r>
        <w:rPr>
          <w:rFonts w:eastAsia="Calibri"/>
          <w:szCs w:val="28"/>
        </w:rPr>
        <w:t xml:space="preserve"> рр. поступово </w:t>
      </w:r>
      <w:r w:rsidRPr="007819B7">
        <w:rPr>
          <w:rFonts w:eastAsia="Calibri"/>
          <w:szCs w:val="28"/>
        </w:rPr>
        <w:t xml:space="preserve">знизився </w:t>
      </w:r>
      <w:r w:rsidR="007819B7" w:rsidRPr="007819B7">
        <w:rPr>
          <w:rFonts w:eastAsia="Calibri"/>
          <w:szCs w:val="28"/>
        </w:rPr>
        <w:t>з 1858,89 на 100 тис. осіб у 2009</w:t>
      </w:r>
      <w:r w:rsidRPr="007819B7">
        <w:rPr>
          <w:rFonts w:eastAsia="Calibri"/>
          <w:szCs w:val="28"/>
        </w:rPr>
        <w:t xml:space="preserve"> р. </w:t>
      </w:r>
      <w:r w:rsidRPr="002861BC">
        <w:rPr>
          <w:rFonts w:eastAsia="Calibri"/>
          <w:szCs w:val="28"/>
        </w:rPr>
        <w:t xml:space="preserve">(95% ДІ </w:t>
      </w:r>
      <w:r w:rsidR="000D3FB5" w:rsidRPr="002861BC">
        <w:rPr>
          <w:rFonts w:eastAsia="Calibri"/>
          <w:szCs w:val="28"/>
        </w:rPr>
        <w:t xml:space="preserve">2618,45-1272,90) до </w:t>
      </w:r>
      <w:r w:rsidR="000D3FB5" w:rsidRPr="00DB25D4">
        <w:rPr>
          <w:rFonts w:eastAsia="Calibri"/>
          <w:szCs w:val="28"/>
        </w:rPr>
        <w:t>1417,07 відповідно у 2019 р. (95% ДІ 1931,21-1019,38</w:t>
      </w:r>
      <w:r w:rsidRPr="00DB25D4">
        <w:rPr>
          <w:rFonts w:eastAsia="Calibri"/>
          <w:szCs w:val="28"/>
        </w:rPr>
        <w:t xml:space="preserve">) на </w:t>
      </w:r>
      <w:r w:rsidR="002861BC" w:rsidRPr="002861BC">
        <w:rPr>
          <w:rFonts w:eastAsia="Calibri"/>
          <w:szCs w:val="28"/>
        </w:rPr>
        <w:t>23,7</w:t>
      </w:r>
      <w:r w:rsidRPr="002861BC">
        <w:rPr>
          <w:rFonts w:eastAsia="Calibri"/>
          <w:szCs w:val="28"/>
        </w:rPr>
        <w:t>%.</w:t>
      </w:r>
      <w:r w:rsidR="00197273" w:rsidRPr="00197273">
        <w:rPr>
          <w:szCs w:val="28"/>
        </w:rPr>
        <w:t xml:space="preserve"> </w:t>
      </w:r>
      <w:r w:rsidR="00197273">
        <w:rPr>
          <w:rFonts w:eastAsia="Calibri"/>
          <w:szCs w:val="28"/>
        </w:rPr>
        <w:t xml:space="preserve">При цьому за </w:t>
      </w:r>
      <w:r w:rsidR="00197273" w:rsidRPr="00197273">
        <w:rPr>
          <w:rFonts w:eastAsia="Calibri"/>
          <w:szCs w:val="28"/>
        </w:rPr>
        <w:t xml:space="preserve"> результатами розрахунк</w:t>
      </w:r>
      <w:r w:rsidR="00A94EF0">
        <w:rPr>
          <w:rFonts w:eastAsia="Calibri"/>
          <w:szCs w:val="28"/>
        </w:rPr>
        <w:t>ів, протягом 2010-2019 рр. динаміка</w:t>
      </w:r>
      <w:r w:rsidR="00197273" w:rsidRPr="00197273">
        <w:rPr>
          <w:rFonts w:eastAsia="Calibri"/>
          <w:szCs w:val="28"/>
        </w:rPr>
        <w:t xml:space="preserve"> </w:t>
      </w:r>
      <w:r w:rsidR="003C6B01">
        <w:rPr>
          <w:rFonts w:eastAsia="Calibri"/>
          <w:szCs w:val="28"/>
        </w:rPr>
        <w:t xml:space="preserve">даного </w:t>
      </w:r>
      <w:r w:rsidR="00197273" w:rsidRPr="00197273">
        <w:rPr>
          <w:rFonts w:eastAsia="Calibri"/>
          <w:szCs w:val="28"/>
        </w:rPr>
        <w:t xml:space="preserve">показника за всіма причинами смерті в Україні </w:t>
      </w:r>
      <w:r w:rsidR="00A94EF0">
        <w:rPr>
          <w:rFonts w:eastAsia="Calibri"/>
          <w:szCs w:val="28"/>
          <w:lang w:val="ru-RU"/>
        </w:rPr>
        <w:t>мала</w:t>
      </w:r>
      <w:r w:rsidR="00A94EF0">
        <w:rPr>
          <w:rFonts w:eastAsia="Calibri"/>
          <w:szCs w:val="28"/>
        </w:rPr>
        <w:t xml:space="preserve"> тенденці</w:t>
      </w:r>
      <w:r w:rsidR="00197273" w:rsidRPr="00197273">
        <w:rPr>
          <w:rFonts w:eastAsia="Calibri"/>
          <w:szCs w:val="28"/>
        </w:rPr>
        <w:t xml:space="preserve">ю до зменшення  лише </w:t>
      </w:r>
      <w:r w:rsidR="00197273">
        <w:rPr>
          <w:rFonts w:eastAsia="Calibri"/>
          <w:szCs w:val="28"/>
        </w:rPr>
        <w:t xml:space="preserve">на </w:t>
      </w:r>
      <w:r w:rsidR="00150A52">
        <w:rPr>
          <w:rFonts w:eastAsia="Calibri"/>
          <w:szCs w:val="28"/>
          <w:lang w:val="ru-RU"/>
        </w:rPr>
        <w:t>-0,</w:t>
      </w:r>
      <w:r w:rsidR="00A94EF0">
        <w:rPr>
          <w:rFonts w:eastAsia="Calibri"/>
          <w:szCs w:val="28"/>
          <w:lang w:val="ru-RU"/>
        </w:rPr>
        <w:t xml:space="preserve">21 при </w:t>
      </w:r>
      <w:r w:rsidR="00A94EF0" w:rsidRPr="00A94EF0">
        <w:rPr>
          <w:rFonts w:eastAsia="Calibri"/>
          <w:szCs w:val="28"/>
          <w:lang w:val="ru-RU"/>
        </w:rPr>
        <w:t>діапазон</w:t>
      </w:r>
      <w:r w:rsidR="00A94EF0">
        <w:rPr>
          <w:rFonts w:eastAsia="Calibri"/>
          <w:szCs w:val="28"/>
          <w:lang w:val="ru-RU"/>
        </w:rPr>
        <w:t>і його</w:t>
      </w:r>
      <w:r w:rsidR="00A94EF0" w:rsidRPr="00A94EF0">
        <w:rPr>
          <w:rFonts w:eastAsia="Calibri"/>
          <w:szCs w:val="28"/>
          <w:lang w:val="ru-RU"/>
        </w:rPr>
        <w:t xml:space="preserve"> коливання </w:t>
      </w:r>
      <w:r w:rsidR="00150A52">
        <w:rPr>
          <w:rFonts w:eastAsia="Calibri"/>
          <w:szCs w:val="28"/>
          <w:lang w:val="ru-RU"/>
        </w:rPr>
        <w:t>0,</w:t>
      </w:r>
      <w:r w:rsidR="00197273" w:rsidRPr="00197273">
        <w:rPr>
          <w:rFonts w:eastAsia="Calibri"/>
          <w:szCs w:val="28"/>
          <w:lang w:val="ru-RU"/>
        </w:rPr>
        <w:t>20 до</w:t>
      </w:r>
      <w:r w:rsidR="00150A52">
        <w:rPr>
          <w:rFonts w:eastAsia="Calibri"/>
          <w:szCs w:val="28"/>
          <w:lang w:val="ru-RU"/>
        </w:rPr>
        <w:t xml:space="preserve"> -0,</w:t>
      </w:r>
      <w:r w:rsidR="00CB3173">
        <w:rPr>
          <w:rFonts w:eastAsia="Calibri"/>
          <w:szCs w:val="28"/>
          <w:lang w:val="ru-RU"/>
        </w:rPr>
        <w:t xml:space="preserve">47 </w:t>
      </w:r>
      <w:r w:rsidRPr="00B60715">
        <w:rPr>
          <w:rFonts w:eastAsia="Calibri"/>
          <w:color w:val="000000" w:themeColor="text1"/>
          <w:szCs w:val="28"/>
        </w:rPr>
        <w:t>(</w:t>
      </w:r>
      <w:r w:rsidR="00F37003" w:rsidRPr="00903FF6">
        <w:rPr>
          <w:rFonts w:eastAsia="Calibri"/>
          <w:szCs w:val="28"/>
        </w:rPr>
        <w:t>Додаток Б</w:t>
      </w:r>
      <w:r w:rsidR="00354E22" w:rsidRPr="00903FF6">
        <w:rPr>
          <w:rFonts w:eastAsia="Calibri"/>
          <w:szCs w:val="28"/>
        </w:rPr>
        <w:t>-10</w:t>
      </w:r>
      <w:r w:rsidRPr="00903FF6">
        <w:rPr>
          <w:rFonts w:eastAsia="Calibri"/>
          <w:szCs w:val="28"/>
        </w:rPr>
        <w:t>).</w:t>
      </w:r>
    </w:p>
    <w:p w:rsidR="00CD191E" w:rsidRPr="0037302B" w:rsidRDefault="002F3813" w:rsidP="00D10FBE">
      <w:pPr>
        <w:tabs>
          <w:tab w:val="left" w:pos="642"/>
        </w:tabs>
        <w:ind w:firstLine="709"/>
        <w:rPr>
          <w:rFonts w:eastAsia="Calibri"/>
          <w:b/>
          <w:szCs w:val="28"/>
          <w:lang w:val="ru-RU"/>
        </w:rPr>
      </w:pPr>
      <w:r>
        <w:rPr>
          <w:rFonts w:eastAsia="Calibri"/>
          <w:szCs w:val="28"/>
        </w:rPr>
        <w:t>Рівень постнеонатал</w:t>
      </w:r>
      <w:r w:rsidR="009A016D">
        <w:rPr>
          <w:rFonts w:eastAsia="Calibri"/>
          <w:szCs w:val="28"/>
        </w:rPr>
        <w:t>ьної смертності в Україні також мав</w:t>
      </w:r>
      <w:r>
        <w:rPr>
          <w:rFonts w:eastAsia="Calibri"/>
          <w:szCs w:val="28"/>
        </w:rPr>
        <w:t xml:space="preserve"> тенденцію </w:t>
      </w:r>
      <w:r w:rsidR="00D10FBE" w:rsidRPr="003D1165">
        <w:rPr>
          <w:rFonts w:eastAsia="Calibri"/>
          <w:szCs w:val="28"/>
        </w:rPr>
        <w:t>до зниження на 14,6</w:t>
      </w:r>
      <w:r w:rsidR="00CB3173">
        <w:rPr>
          <w:rFonts w:eastAsia="Calibri"/>
          <w:szCs w:val="28"/>
        </w:rPr>
        <w:t xml:space="preserve">% </w:t>
      </w:r>
      <w:r w:rsidRPr="003D1165">
        <w:rPr>
          <w:rFonts w:eastAsia="Calibri"/>
          <w:szCs w:val="28"/>
        </w:rPr>
        <w:t xml:space="preserve"> </w:t>
      </w:r>
      <w:r w:rsidR="00CB3173">
        <w:rPr>
          <w:rFonts w:eastAsia="Calibri"/>
          <w:szCs w:val="28"/>
        </w:rPr>
        <w:t>(</w:t>
      </w:r>
      <w:r w:rsidR="00D10FBE" w:rsidRPr="003D1165">
        <w:rPr>
          <w:rFonts w:eastAsia="Calibri"/>
          <w:szCs w:val="28"/>
          <w:lang w:val="ru-RU"/>
        </w:rPr>
        <w:t>279,06</w:t>
      </w:r>
      <w:r w:rsidR="00D10FBE" w:rsidRPr="003D1165">
        <w:rPr>
          <w:rFonts w:eastAsia="Calibri"/>
          <w:szCs w:val="28"/>
        </w:rPr>
        <w:t xml:space="preserve"> на 100 тис. осіб у 20</w:t>
      </w:r>
      <w:r w:rsidR="00D10FBE" w:rsidRPr="003D1165">
        <w:rPr>
          <w:rFonts w:eastAsia="Calibri"/>
          <w:szCs w:val="28"/>
          <w:lang w:val="ru-RU"/>
        </w:rPr>
        <w:t>19</w:t>
      </w:r>
      <w:r w:rsidR="00CB3173">
        <w:rPr>
          <w:rFonts w:eastAsia="Calibri"/>
          <w:szCs w:val="28"/>
        </w:rPr>
        <w:t xml:space="preserve"> р., </w:t>
      </w:r>
      <w:r w:rsidRPr="003D1165">
        <w:rPr>
          <w:rFonts w:eastAsia="Calibri"/>
          <w:szCs w:val="28"/>
        </w:rPr>
        <w:t xml:space="preserve">95% ДІ </w:t>
      </w:r>
      <w:r w:rsidR="00D10FBE" w:rsidRPr="003D1165">
        <w:rPr>
          <w:rFonts w:eastAsia="Calibri"/>
          <w:szCs w:val="28"/>
          <w:lang w:val="ru-RU"/>
        </w:rPr>
        <w:t>359,55-216,33</w:t>
      </w:r>
      <w:r w:rsidR="00D10FBE" w:rsidRPr="003D1165">
        <w:rPr>
          <w:rFonts w:eastAsia="Calibri"/>
          <w:szCs w:val="28"/>
        </w:rPr>
        <w:t xml:space="preserve">) </w:t>
      </w:r>
      <w:r w:rsidR="00D10FBE" w:rsidRPr="003D1165">
        <w:rPr>
          <w:rFonts w:eastAsia="Calibri"/>
          <w:szCs w:val="28"/>
          <w:lang w:val="ru-RU"/>
        </w:rPr>
        <w:t>відносно</w:t>
      </w:r>
      <w:r w:rsidR="00D10FBE" w:rsidRPr="003D1165">
        <w:rPr>
          <w:rFonts w:eastAsia="Calibri"/>
          <w:szCs w:val="28"/>
        </w:rPr>
        <w:t xml:space="preserve"> 2010 р. (</w:t>
      </w:r>
      <w:r w:rsidR="00D10FBE" w:rsidRPr="003D1165">
        <w:rPr>
          <w:rFonts w:eastAsia="Calibri"/>
          <w:szCs w:val="28"/>
          <w:lang w:val="ru-RU"/>
        </w:rPr>
        <w:t xml:space="preserve">326.63 відповідно, </w:t>
      </w:r>
      <w:r w:rsidR="00D10FBE" w:rsidRPr="003D1165">
        <w:rPr>
          <w:rFonts w:eastAsia="Calibri"/>
          <w:szCs w:val="28"/>
        </w:rPr>
        <w:t xml:space="preserve">95% ДІ </w:t>
      </w:r>
      <w:r w:rsidR="00D10FBE" w:rsidRPr="003D1165">
        <w:rPr>
          <w:rFonts w:eastAsia="Calibri"/>
          <w:szCs w:val="28"/>
          <w:lang w:val="ru-RU"/>
        </w:rPr>
        <w:t>361,06-293,39</w:t>
      </w:r>
      <w:r w:rsidR="00D10FBE" w:rsidRPr="003D1165">
        <w:rPr>
          <w:rFonts w:eastAsia="Calibri"/>
          <w:szCs w:val="28"/>
        </w:rPr>
        <w:t>)</w:t>
      </w:r>
      <w:r w:rsidR="00D10FBE" w:rsidRPr="003D1165">
        <w:rPr>
          <w:rFonts w:eastAsia="Calibri"/>
          <w:szCs w:val="28"/>
          <w:lang w:val="ru-RU"/>
        </w:rPr>
        <w:t xml:space="preserve">. </w:t>
      </w:r>
      <w:r w:rsidR="00D10FBE">
        <w:rPr>
          <w:szCs w:val="28"/>
        </w:rPr>
        <w:t>При цьому</w:t>
      </w:r>
      <w:r w:rsidR="00D10FBE">
        <w:rPr>
          <w:szCs w:val="28"/>
          <w:lang w:val="ru-RU"/>
        </w:rPr>
        <w:t xml:space="preserve"> за </w:t>
      </w:r>
      <w:r w:rsidR="00D10FBE">
        <w:rPr>
          <w:szCs w:val="28"/>
        </w:rPr>
        <w:t xml:space="preserve">результатами розрахунків, протягом 2010-2019 рр. спостерігається незначне коливання показника за всіма причинами в Україні </w:t>
      </w:r>
      <w:r w:rsidR="00D10FBE">
        <w:rPr>
          <w:szCs w:val="28"/>
          <w:lang w:val="ru-RU"/>
        </w:rPr>
        <w:t>з</w:t>
      </w:r>
      <w:r w:rsidR="00D10FBE">
        <w:rPr>
          <w:szCs w:val="28"/>
        </w:rPr>
        <w:t xml:space="preserve"> </w:t>
      </w:r>
      <w:r w:rsidR="00D10FBE" w:rsidRPr="0037302B">
        <w:rPr>
          <w:szCs w:val="28"/>
        </w:rPr>
        <w:t>тенденцією до зменшення  лише на 0,1</w:t>
      </w:r>
      <w:r w:rsidR="00D10FBE" w:rsidRPr="0037302B">
        <w:rPr>
          <w:szCs w:val="28"/>
          <w:lang w:val="ru-RU"/>
        </w:rPr>
        <w:t>5</w:t>
      </w:r>
      <w:r w:rsidR="00D10FBE" w:rsidRPr="0037302B">
        <w:rPr>
          <w:szCs w:val="28"/>
        </w:rPr>
        <w:t xml:space="preserve"> (при цьому </w:t>
      </w:r>
      <w:r w:rsidR="00D10FBE" w:rsidRPr="0037302B">
        <w:rPr>
          <w:szCs w:val="28"/>
          <w:lang w:val="ru-RU"/>
        </w:rPr>
        <w:t xml:space="preserve">діапазон коливання </w:t>
      </w:r>
      <w:r w:rsidR="00D10FBE" w:rsidRPr="0037302B">
        <w:rPr>
          <w:szCs w:val="28"/>
        </w:rPr>
        <w:t>0,</w:t>
      </w:r>
      <w:r w:rsidR="00D10FBE" w:rsidRPr="0037302B">
        <w:rPr>
          <w:szCs w:val="28"/>
          <w:lang w:val="ru-RU"/>
        </w:rPr>
        <w:t>10</w:t>
      </w:r>
      <w:r w:rsidR="00D10FBE" w:rsidRPr="0037302B">
        <w:rPr>
          <w:szCs w:val="28"/>
        </w:rPr>
        <w:t xml:space="preserve"> до -0,3</w:t>
      </w:r>
      <w:r w:rsidR="00D10FBE" w:rsidRPr="0037302B">
        <w:rPr>
          <w:szCs w:val="28"/>
          <w:lang w:val="ru-RU"/>
        </w:rPr>
        <w:t>3</w:t>
      </w:r>
      <w:r w:rsidR="009A016D" w:rsidRPr="0037302B">
        <w:rPr>
          <w:szCs w:val="28"/>
        </w:rPr>
        <w:t xml:space="preserve">) </w:t>
      </w:r>
      <w:r w:rsidRPr="0037302B">
        <w:rPr>
          <w:rFonts w:eastAsia="Calibri"/>
          <w:szCs w:val="28"/>
        </w:rPr>
        <w:t xml:space="preserve">(Додаток </w:t>
      </w:r>
      <w:r w:rsidR="00F37003" w:rsidRPr="0037302B">
        <w:rPr>
          <w:rFonts w:eastAsia="Calibri"/>
          <w:szCs w:val="28"/>
        </w:rPr>
        <w:t>Б</w:t>
      </w:r>
      <w:r w:rsidR="00354E22" w:rsidRPr="0037302B">
        <w:rPr>
          <w:rFonts w:eastAsia="Calibri"/>
          <w:szCs w:val="28"/>
        </w:rPr>
        <w:t>-</w:t>
      </w:r>
      <w:r w:rsidR="007D18D6" w:rsidRPr="0037302B">
        <w:rPr>
          <w:rFonts w:eastAsia="Calibri"/>
          <w:szCs w:val="28"/>
          <w:lang w:val="ru-RU"/>
        </w:rPr>
        <w:t>10).</w:t>
      </w:r>
    </w:p>
    <w:p w:rsidR="00597BE7" w:rsidRPr="0037302B" w:rsidRDefault="00507967" w:rsidP="00D37871">
      <w:pPr>
        <w:tabs>
          <w:tab w:val="left" w:pos="875"/>
        </w:tabs>
        <w:ind w:firstLine="720"/>
        <w:rPr>
          <w:b/>
          <w:szCs w:val="28"/>
        </w:rPr>
      </w:pPr>
      <w:r w:rsidRPr="0037302B">
        <w:rPr>
          <w:szCs w:val="28"/>
        </w:rPr>
        <w:t>Протягом 2009-201</w:t>
      </w:r>
      <w:r w:rsidRPr="0037302B">
        <w:rPr>
          <w:szCs w:val="28"/>
          <w:lang w:val="ru-RU"/>
        </w:rPr>
        <w:t>9</w:t>
      </w:r>
      <w:r w:rsidR="00597BE7" w:rsidRPr="0037302B">
        <w:rPr>
          <w:szCs w:val="28"/>
        </w:rPr>
        <w:t xml:space="preserve"> рр. рівень ранньої не</w:t>
      </w:r>
      <w:r w:rsidR="00372A17" w:rsidRPr="0037302B">
        <w:rPr>
          <w:szCs w:val="28"/>
        </w:rPr>
        <w:t>онатальної смертності в Україні</w:t>
      </w:r>
      <w:r w:rsidR="00597BE7" w:rsidRPr="0037302B">
        <w:rPr>
          <w:szCs w:val="28"/>
        </w:rPr>
        <w:t xml:space="preserve"> </w:t>
      </w:r>
      <w:r w:rsidR="00372A17" w:rsidRPr="0037302B">
        <w:rPr>
          <w:szCs w:val="28"/>
        </w:rPr>
        <w:t>продовжує залишатись</w:t>
      </w:r>
      <w:r w:rsidR="00597BE7" w:rsidRPr="0037302B">
        <w:rPr>
          <w:szCs w:val="28"/>
        </w:rPr>
        <w:t xml:space="preserve"> одним із найвищих в порівнян</w:t>
      </w:r>
      <w:r w:rsidRPr="0037302B">
        <w:rPr>
          <w:szCs w:val="28"/>
        </w:rPr>
        <w:t>ні з іншими країнами. Так у 2019</w:t>
      </w:r>
      <w:r w:rsidR="00597BE7" w:rsidRPr="0037302B">
        <w:rPr>
          <w:szCs w:val="28"/>
        </w:rPr>
        <w:t xml:space="preserve"> р. рівень ранньої неонатальної смертності в Україні </w:t>
      </w:r>
      <w:r w:rsidR="00380E34" w:rsidRPr="0037302B">
        <w:rPr>
          <w:szCs w:val="28"/>
        </w:rPr>
        <w:t>на 22,6</w:t>
      </w:r>
      <w:r w:rsidR="00597BE7" w:rsidRPr="0037302B">
        <w:rPr>
          <w:szCs w:val="28"/>
        </w:rPr>
        <w:t>% вищий ніж у США (</w:t>
      </w:r>
      <w:r w:rsidR="00B917F7" w:rsidRPr="0037302B">
        <w:rPr>
          <w:szCs w:val="28"/>
        </w:rPr>
        <w:t>15471,67 на 100 тис. осіб відповідного віку</w:t>
      </w:r>
      <w:r w:rsidR="00906194" w:rsidRPr="0037302B">
        <w:rPr>
          <w:szCs w:val="28"/>
        </w:rPr>
        <w:t>), в 3,3</w:t>
      </w:r>
      <w:r w:rsidR="00597BE7" w:rsidRPr="0037302B">
        <w:rPr>
          <w:szCs w:val="28"/>
        </w:rPr>
        <w:t xml:space="preserve"> рази ніж у Іспанії (</w:t>
      </w:r>
      <w:r w:rsidR="00B41423" w:rsidRPr="0037302B">
        <w:rPr>
          <w:szCs w:val="28"/>
        </w:rPr>
        <w:t>5711,11 відповідно</w:t>
      </w:r>
      <w:r w:rsidR="00597BE7" w:rsidRPr="0037302B">
        <w:rPr>
          <w:szCs w:val="28"/>
        </w:rPr>
        <w:t xml:space="preserve">), </w:t>
      </w:r>
      <w:r w:rsidR="00A16F22" w:rsidRPr="0037302B">
        <w:rPr>
          <w:szCs w:val="28"/>
        </w:rPr>
        <w:t>в 2,5</w:t>
      </w:r>
      <w:r w:rsidR="00597BE7" w:rsidRPr="0037302B">
        <w:rPr>
          <w:szCs w:val="28"/>
        </w:rPr>
        <w:t xml:space="preserve"> рази ніж у Франції (</w:t>
      </w:r>
      <w:r w:rsidR="00380E34" w:rsidRPr="0037302B">
        <w:rPr>
          <w:szCs w:val="28"/>
        </w:rPr>
        <w:t>7472,</w:t>
      </w:r>
      <w:r w:rsidR="0000486A" w:rsidRPr="0037302B">
        <w:rPr>
          <w:szCs w:val="28"/>
        </w:rPr>
        <w:t xml:space="preserve">19 </w:t>
      </w:r>
      <w:r w:rsidR="002F032C" w:rsidRPr="0037302B">
        <w:rPr>
          <w:szCs w:val="28"/>
        </w:rPr>
        <w:t>відповідно</w:t>
      </w:r>
      <w:r w:rsidR="00597BE7" w:rsidRPr="0037302B">
        <w:rPr>
          <w:szCs w:val="28"/>
        </w:rPr>
        <w:t>), в 2</w:t>
      </w:r>
      <w:r w:rsidR="00172923" w:rsidRPr="0037302B">
        <w:rPr>
          <w:szCs w:val="28"/>
        </w:rPr>
        <w:t>,5</w:t>
      </w:r>
      <w:r w:rsidR="00597BE7" w:rsidRPr="0037302B">
        <w:rPr>
          <w:szCs w:val="28"/>
        </w:rPr>
        <w:t xml:space="preserve"> рази ніж у  Німеччині (</w:t>
      </w:r>
      <w:r w:rsidR="00F61CFB" w:rsidRPr="0037302B">
        <w:rPr>
          <w:szCs w:val="28"/>
        </w:rPr>
        <w:t>7725,</w:t>
      </w:r>
      <w:r w:rsidR="009126C5" w:rsidRPr="0037302B">
        <w:rPr>
          <w:szCs w:val="28"/>
        </w:rPr>
        <w:t xml:space="preserve">88), </w:t>
      </w:r>
      <w:r w:rsidR="00BC68B5" w:rsidRPr="0037302B">
        <w:rPr>
          <w:szCs w:val="28"/>
        </w:rPr>
        <w:t>в 2,5</w:t>
      </w:r>
      <w:r w:rsidR="00597BE7" w:rsidRPr="0037302B">
        <w:rPr>
          <w:szCs w:val="28"/>
        </w:rPr>
        <w:t xml:space="preserve"> рази ніж у Угорщини (</w:t>
      </w:r>
      <w:r w:rsidR="00F61CFB" w:rsidRPr="0037302B">
        <w:rPr>
          <w:szCs w:val="28"/>
        </w:rPr>
        <w:t>7383,</w:t>
      </w:r>
      <w:r w:rsidR="00423FFF" w:rsidRPr="0037302B">
        <w:rPr>
          <w:szCs w:val="28"/>
        </w:rPr>
        <w:t>09</w:t>
      </w:r>
      <w:r w:rsidR="00597BE7" w:rsidRPr="0037302B">
        <w:rPr>
          <w:szCs w:val="28"/>
        </w:rPr>
        <w:t xml:space="preserve">), </w:t>
      </w:r>
      <w:r w:rsidR="009C3F58" w:rsidRPr="0037302B">
        <w:rPr>
          <w:szCs w:val="28"/>
        </w:rPr>
        <w:t>в 2,1</w:t>
      </w:r>
      <w:r w:rsidR="00597BE7" w:rsidRPr="0037302B">
        <w:rPr>
          <w:szCs w:val="28"/>
        </w:rPr>
        <w:t xml:space="preserve"> рази ніж у Словаччині (</w:t>
      </w:r>
      <w:r w:rsidR="00F61CFB" w:rsidRPr="0037302B">
        <w:rPr>
          <w:szCs w:val="28"/>
        </w:rPr>
        <w:t>9044,</w:t>
      </w:r>
      <w:r w:rsidR="00B63763" w:rsidRPr="0037302B">
        <w:rPr>
          <w:szCs w:val="28"/>
        </w:rPr>
        <w:t>96</w:t>
      </w:r>
      <w:r w:rsidR="00597BE7" w:rsidRPr="0037302B">
        <w:rPr>
          <w:szCs w:val="28"/>
        </w:rPr>
        <w:t xml:space="preserve">), </w:t>
      </w:r>
      <w:r w:rsidR="00E078B3" w:rsidRPr="0037302B">
        <w:rPr>
          <w:szCs w:val="28"/>
        </w:rPr>
        <w:t>в 2,4</w:t>
      </w:r>
      <w:r w:rsidR="00597BE7" w:rsidRPr="0037302B">
        <w:rPr>
          <w:szCs w:val="28"/>
        </w:rPr>
        <w:t xml:space="preserve"> рази ніж у  Польщі (</w:t>
      </w:r>
      <w:r w:rsidR="00F61CFB" w:rsidRPr="0037302B">
        <w:rPr>
          <w:szCs w:val="28"/>
        </w:rPr>
        <w:t>7763,</w:t>
      </w:r>
      <w:r w:rsidR="00810434" w:rsidRPr="0037302B">
        <w:rPr>
          <w:szCs w:val="28"/>
        </w:rPr>
        <w:t>42)</w:t>
      </w:r>
      <w:r w:rsidR="00555FC0" w:rsidRPr="0037302B">
        <w:rPr>
          <w:szCs w:val="28"/>
        </w:rPr>
        <w:t xml:space="preserve"> (Додаток</w:t>
      </w:r>
      <w:r w:rsidR="00F37003" w:rsidRPr="0037302B">
        <w:rPr>
          <w:szCs w:val="28"/>
        </w:rPr>
        <w:t xml:space="preserve"> Б</w:t>
      </w:r>
      <w:r w:rsidR="00555FC0" w:rsidRPr="0037302B">
        <w:rPr>
          <w:szCs w:val="28"/>
        </w:rPr>
        <w:t>-11)</w:t>
      </w:r>
      <w:r w:rsidR="00380E34" w:rsidRPr="0037302B">
        <w:rPr>
          <w:b/>
          <w:szCs w:val="28"/>
        </w:rPr>
        <w:t xml:space="preserve"> </w:t>
      </w:r>
    </w:p>
    <w:p w:rsidR="00597BE7" w:rsidRPr="0037302B" w:rsidRDefault="00597BE7" w:rsidP="00877B6E">
      <w:pPr>
        <w:tabs>
          <w:tab w:val="left" w:pos="875"/>
        </w:tabs>
        <w:ind w:firstLine="720"/>
        <w:rPr>
          <w:rFonts w:eastAsia="Calibri"/>
          <w:szCs w:val="28"/>
        </w:rPr>
      </w:pPr>
      <w:r w:rsidRPr="0037302B">
        <w:rPr>
          <w:rFonts w:eastAsia="Calibri"/>
          <w:szCs w:val="28"/>
        </w:rPr>
        <w:t xml:space="preserve">Слід </w:t>
      </w:r>
      <w:r w:rsidR="00424CD2" w:rsidRPr="0037302B">
        <w:rPr>
          <w:rFonts w:eastAsia="Calibri"/>
          <w:szCs w:val="28"/>
        </w:rPr>
        <w:t xml:space="preserve">зазначити, що </w:t>
      </w:r>
      <w:r w:rsidRPr="0037302B">
        <w:rPr>
          <w:rFonts w:eastAsia="Calibri"/>
          <w:szCs w:val="28"/>
        </w:rPr>
        <w:t>рівень пізньої неонатальної смертності в Украї</w:t>
      </w:r>
      <w:r w:rsidR="00424CD2" w:rsidRPr="0037302B">
        <w:rPr>
          <w:rFonts w:eastAsia="Calibri"/>
          <w:szCs w:val="28"/>
        </w:rPr>
        <w:t>ні протягом 2009-2019 рр. вищий за аналогічні</w:t>
      </w:r>
      <w:r w:rsidRPr="0037302B">
        <w:rPr>
          <w:rFonts w:eastAsia="Calibri"/>
          <w:szCs w:val="28"/>
        </w:rPr>
        <w:t xml:space="preserve"> показник</w:t>
      </w:r>
      <w:r w:rsidR="000F0377" w:rsidRPr="0037302B">
        <w:rPr>
          <w:rFonts w:eastAsia="Calibri"/>
          <w:szCs w:val="28"/>
        </w:rPr>
        <w:t>и інших країн</w:t>
      </w:r>
      <w:r w:rsidR="00483A2B" w:rsidRPr="0037302B">
        <w:rPr>
          <w:rFonts w:eastAsia="Calibri"/>
          <w:szCs w:val="28"/>
        </w:rPr>
        <w:t>, зокрема у 2019 р.</w:t>
      </w:r>
      <w:r w:rsidR="000F0377" w:rsidRPr="0037302B">
        <w:rPr>
          <w:rFonts w:eastAsia="Calibri"/>
          <w:szCs w:val="28"/>
        </w:rPr>
        <w:t xml:space="preserve"> вищий за показник </w:t>
      </w:r>
      <w:r w:rsidR="00483A2B" w:rsidRPr="0037302B">
        <w:rPr>
          <w:rFonts w:eastAsia="Calibri"/>
          <w:szCs w:val="28"/>
        </w:rPr>
        <w:t xml:space="preserve"> </w:t>
      </w:r>
      <w:r w:rsidRPr="0037302B">
        <w:rPr>
          <w:rFonts w:eastAsia="Calibri"/>
          <w:szCs w:val="28"/>
        </w:rPr>
        <w:t>США (</w:t>
      </w:r>
      <w:r w:rsidR="00D8758C" w:rsidRPr="0037302B">
        <w:rPr>
          <w:rFonts w:eastAsia="Calibri"/>
          <w:szCs w:val="28"/>
        </w:rPr>
        <w:t>1268,42</w:t>
      </w:r>
      <w:r w:rsidR="00625C98" w:rsidRPr="0037302B">
        <w:rPr>
          <w:rFonts w:eastAsia="Calibri"/>
          <w:szCs w:val="28"/>
        </w:rPr>
        <w:t xml:space="preserve"> на 100 тис. осіб відповідного віку</w:t>
      </w:r>
      <w:r w:rsidRPr="0037302B">
        <w:rPr>
          <w:rFonts w:eastAsia="Calibri"/>
          <w:szCs w:val="28"/>
        </w:rPr>
        <w:t xml:space="preserve">) </w:t>
      </w:r>
      <w:r w:rsidR="008138DA" w:rsidRPr="0037302B">
        <w:rPr>
          <w:rFonts w:eastAsia="Calibri"/>
          <w:szCs w:val="28"/>
        </w:rPr>
        <w:t>на 11,7</w:t>
      </w:r>
      <w:r w:rsidRPr="0037302B">
        <w:rPr>
          <w:rFonts w:eastAsia="Calibri"/>
          <w:szCs w:val="28"/>
        </w:rPr>
        <w:t>%, Іспанії (</w:t>
      </w:r>
      <w:r w:rsidR="00052BD6" w:rsidRPr="0037302B">
        <w:rPr>
          <w:rFonts w:eastAsia="Calibri"/>
          <w:szCs w:val="28"/>
        </w:rPr>
        <w:t xml:space="preserve">968,83 </w:t>
      </w:r>
      <w:r w:rsidRPr="0037302B">
        <w:rPr>
          <w:rFonts w:eastAsia="Calibri"/>
          <w:szCs w:val="28"/>
        </w:rPr>
        <w:t xml:space="preserve">відповідно) на </w:t>
      </w:r>
      <w:r w:rsidR="00DB7C88" w:rsidRPr="0037302B">
        <w:rPr>
          <w:rFonts w:eastAsia="Calibri"/>
          <w:szCs w:val="28"/>
        </w:rPr>
        <w:t>46,3</w:t>
      </w:r>
      <w:r w:rsidRPr="0037302B">
        <w:rPr>
          <w:rFonts w:eastAsia="Calibri"/>
          <w:szCs w:val="28"/>
        </w:rPr>
        <w:t>%, Франції (</w:t>
      </w:r>
      <w:r w:rsidR="00877B6E" w:rsidRPr="0037302B">
        <w:rPr>
          <w:rFonts w:eastAsia="Calibri"/>
          <w:szCs w:val="28"/>
        </w:rPr>
        <w:t xml:space="preserve">1121,78 </w:t>
      </w:r>
      <w:r w:rsidRPr="0037302B">
        <w:rPr>
          <w:rFonts w:eastAsia="Calibri"/>
          <w:szCs w:val="28"/>
        </w:rPr>
        <w:t>відповідно)</w:t>
      </w:r>
      <w:r w:rsidR="00E15379" w:rsidRPr="0037302B">
        <w:rPr>
          <w:rFonts w:eastAsia="Calibri"/>
          <w:szCs w:val="28"/>
        </w:rPr>
        <w:t xml:space="preserve"> н</w:t>
      </w:r>
      <w:r w:rsidR="00777F97" w:rsidRPr="0037302B">
        <w:rPr>
          <w:rFonts w:eastAsia="Calibri"/>
          <w:szCs w:val="28"/>
        </w:rPr>
        <w:t>а 26,3</w:t>
      </w:r>
      <w:r w:rsidR="00E15379" w:rsidRPr="0037302B">
        <w:rPr>
          <w:rFonts w:eastAsia="Calibri"/>
          <w:szCs w:val="28"/>
        </w:rPr>
        <w:t>%,  Німеччині (714,58</w:t>
      </w:r>
      <w:r w:rsidRPr="0037302B">
        <w:rPr>
          <w:rFonts w:eastAsia="Calibri"/>
          <w:szCs w:val="28"/>
        </w:rPr>
        <w:t xml:space="preserve"> відповідно</w:t>
      </w:r>
      <w:r w:rsidR="001A5F42" w:rsidRPr="0037302B">
        <w:rPr>
          <w:rFonts w:eastAsia="Calibri"/>
          <w:szCs w:val="28"/>
        </w:rPr>
        <w:t xml:space="preserve">) в 1,9 </w:t>
      </w:r>
      <w:r w:rsidRPr="0037302B">
        <w:rPr>
          <w:rFonts w:eastAsia="Calibri"/>
          <w:szCs w:val="28"/>
        </w:rPr>
        <w:t>рази, Угорщини (</w:t>
      </w:r>
      <w:r w:rsidR="00540747" w:rsidRPr="0037302B">
        <w:rPr>
          <w:rFonts w:eastAsia="Calibri"/>
          <w:szCs w:val="28"/>
        </w:rPr>
        <w:t>1290,79</w:t>
      </w:r>
      <w:r w:rsidRPr="0037302B">
        <w:rPr>
          <w:rFonts w:eastAsia="Calibri"/>
          <w:szCs w:val="28"/>
        </w:rPr>
        <w:t xml:space="preserve"> відповідно) </w:t>
      </w:r>
      <w:r w:rsidR="00633A1B" w:rsidRPr="0037302B">
        <w:rPr>
          <w:rFonts w:eastAsia="Calibri"/>
          <w:szCs w:val="28"/>
        </w:rPr>
        <w:t>на 9,8</w:t>
      </w:r>
      <w:r w:rsidR="0003323E" w:rsidRPr="0037302B">
        <w:rPr>
          <w:rFonts w:eastAsia="Calibri"/>
          <w:szCs w:val="28"/>
        </w:rPr>
        <w:t>%, Словаччини (1400,49</w:t>
      </w:r>
      <w:r w:rsidRPr="0037302B">
        <w:rPr>
          <w:rFonts w:eastAsia="Calibri"/>
          <w:szCs w:val="28"/>
        </w:rPr>
        <w:t xml:space="preserve"> відпо</w:t>
      </w:r>
      <w:r w:rsidR="0003323E" w:rsidRPr="0037302B">
        <w:rPr>
          <w:rFonts w:eastAsia="Calibri"/>
          <w:szCs w:val="28"/>
        </w:rPr>
        <w:t xml:space="preserve">відно) </w:t>
      </w:r>
      <w:r w:rsidR="00E7348E" w:rsidRPr="0037302B">
        <w:rPr>
          <w:rFonts w:eastAsia="Calibri"/>
          <w:szCs w:val="28"/>
        </w:rPr>
        <w:t>на 1,2</w:t>
      </w:r>
      <w:r w:rsidR="0003323E" w:rsidRPr="0037302B">
        <w:rPr>
          <w:rFonts w:eastAsia="Calibri"/>
          <w:szCs w:val="28"/>
        </w:rPr>
        <w:t>%, Польщі (1194,30 відповідно</w:t>
      </w:r>
      <w:r w:rsidRPr="0037302B">
        <w:rPr>
          <w:rFonts w:eastAsia="Calibri"/>
          <w:szCs w:val="28"/>
        </w:rPr>
        <w:t xml:space="preserve">) </w:t>
      </w:r>
      <w:r w:rsidR="00240BA2" w:rsidRPr="0037302B">
        <w:rPr>
          <w:rFonts w:eastAsia="Calibri"/>
          <w:szCs w:val="28"/>
        </w:rPr>
        <w:t>на 18,7</w:t>
      </w:r>
      <w:r w:rsidRPr="0037302B">
        <w:rPr>
          <w:rFonts w:eastAsia="Calibri"/>
          <w:szCs w:val="28"/>
        </w:rPr>
        <w:t>%</w:t>
      </w:r>
      <w:r w:rsidR="00380C8B" w:rsidRPr="0037302B">
        <w:rPr>
          <w:b/>
          <w:szCs w:val="28"/>
        </w:rPr>
        <w:t xml:space="preserve"> </w:t>
      </w:r>
      <w:r w:rsidR="00526AB1" w:rsidRPr="0037302B">
        <w:rPr>
          <w:szCs w:val="28"/>
        </w:rPr>
        <w:t>(Додаток Б</w:t>
      </w:r>
      <w:r w:rsidR="00380C8B" w:rsidRPr="0037302B">
        <w:rPr>
          <w:szCs w:val="28"/>
        </w:rPr>
        <w:t>-12).</w:t>
      </w:r>
    </w:p>
    <w:p w:rsidR="00190BFE" w:rsidRPr="00EC0E56" w:rsidRDefault="00597BE7" w:rsidP="00190BFE">
      <w:pPr>
        <w:tabs>
          <w:tab w:val="left" w:pos="875"/>
        </w:tabs>
        <w:ind w:firstLine="720"/>
        <w:rPr>
          <w:rFonts w:eastAsia="Calibri"/>
          <w:color w:val="FF0000"/>
          <w:szCs w:val="28"/>
        </w:rPr>
      </w:pPr>
      <w:r w:rsidRPr="003F434A">
        <w:rPr>
          <w:rFonts w:eastAsia="Calibri"/>
          <w:szCs w:val="28"/>
        </w:rPr>
        <w:t>Порівняльний аналіз рівня постнеонатальної смертності в Україні з аналогічним показником деяких інших країн свідчить про все ще високий рівень цього показника в нашій державі (</w:t>
      </w:r>
      <w:r w:rsidR="00CB56FD" w:rsidRPr="003F434A">
        <w:rPr>
          <w:rFonts w:eastAsia="Calibri"/>
          <w:szCs w:val="28"/>
        </w:rPr>
        <w:t>279,06 на 100 тис. осіб у 2019</w:t>
      </w:r>
      <w:r w:rsidRPr="003F434A">
        <w:rPr>
          <w:rFonts w:eastAsia="Calibri"/>
          <w:szCs w:val="28"/>
        </w:rPr>
        <w:t xml:space="preserve"> р.)</w:t>
      </w:r>
      <w:r w:rsidR="00F14E74" w:rsidRPr="003F434A">
        <w:rPr>
          <w:rFonts w:eastAsia="Calibri"/>
          <w:szCs w:val="28"/>
        </w:rPr>
        <w:t>, а саме</w:t>
      </w:r>
      <w:r w:rsidRPr="003F434A">
        <w:rPr>
          <w:rFonts w:eastAsia="Calibri"/>
          <w:szCs w:val="28"/>
        </w:rPr>
        <w:t xml:space="preserve"> </w:t>
      </w:r>
      <w:r w:rsidR="00F14E74" w:rsidRPr="003F434A">
        <w:rPr>
          <w:rFonts w:eastAsia="Calibri"/>
          <w:szCs w:val="28"/>
        </w:rPr>
        <w:t>в</w:t>
      </w:r>
      <w:r w:rsidRPr="003F434A">
        <w:rPr>
          <w:rFonts w:eastAsia="Calibri"/>
          <w:szCs w:val="28"/>
        </w:rPr>
        <w:t xml:space="preserve">ищезазначений показник на </w:t>
      </w:r>
      <w:r w:rsidR="003F434A" w:rsidRPr="003F434A">
        <w:rPr>
          <w:rFonts w:eastAsia="Calibri"/>
          <w:szCs w:val="28"/>
        </w:rPr>
        <w:t>37,9% є вищим ніж у США (202,30</w:t>
      </w:r>
      <w:r w:rsidRPr="003F434A">
        <w:rPr>
          <w:rFonts w:eastAsia="Calibri"/>
          <w:szCs w:val="28"/>
        </w:rPr>
        <w:t xml:space="preserve"> на 100 ти</w:t>
      </w:r>
      <w:r w:rsidRPr="00507FDD">
        <w:rPr>
          <w:rFonts w:eastAsia="Calibri"/>
          <w:szCs w:val="28"/>
        </w:rPr>
        <w:t>с.), в 3,1</w:t>
      </w:r>
      <w:r w:rsidR="00507FDD" w:rsidRPr="00507FDD">
        <w:rPr>
          <w:rFonts w:eastAsia="Calibri"/>
          <w:szCs w:val="28"/>
        </w:rPr>
        <w:t xml:space="preserve"> рази вищим ніж у Іспанії (91,16</w:t>
      </w:r>
      <w:r w:rsidRPr="00507FDD">
        <w:rPr>
          <w:rFonts w:eastAsia="Calibri"/>
          <w:szCs w:val="28"/>
        </w:rPr>
        <w:t xml:space="preserve"> відпов</w:t>
      </w:r>
      <w:r w:rsidR="00507FDD" w:rsidRPr="00507FDD">
        <w:rPr>
          <w:rFonts w:eastAsia="Calibri"/>
          <w:szCs w:val="28"/>
        </w:rPr>
        <w:t>ідн</w:t>
      </w:r>
      <w:r w:rsidR="00507FDD" w:rsidRPr="00BD1C45">
        <w:rPr>
          <w:rFonts w:eastAsia="Calibri"/>
          <w:szCs w:val="28"/>
        </w:rPr>
        <w:t xml:space="preserve">о), </w:t>
      </w:r>
      <w:r w:rsidR="00167B68" w:rsidRPr="00BD1C45">
        <w:rPr>
          <w:rFonts w:eastAsia="Calibri"/>
          <w:szCs w:val="28"/>
        </w:rPr>
        <w:t>в 2,8</w:t>
      </w:r>
      <w:r w:rsidR="00507FDD" w:rsidRPr="00BD1C45">
        <w:rPr>
          <w:rFonts w:eastAsia="Calibri"/>
          <w:szCs w:val="28"/>
        </w:rPr>
        <w:t xml:space="preserve"> </w:t>
      </w:r>
      <w:r w:rsidR="00BF33E6" w:rsidRPr="00BD1C45">
        <w:rPr>
          <w:rFonts w:eastAsia="Calibri"/>
          <w:szCs w:val="28"/>
        </w:rPr>
        <w:t xml:space="preserve">рази </w:t>
      </w:r>
      <w:r w:rsidR="00507FDD" w:rsidRPr="00BD1C45">
        <w:rPr>
          <w:rFonts w:eastAsia="Calibri"/>
          <w:szCs w:val="28"/>
        </w:rPr>
        <w:t>ніж у Франції (100,17</w:t>
      </w:r>
      <w:r w:rsidRPr="00BD1C45">
        <w:rPr>
          <w:rFonts w:eastAsia="Calibri"/>
          <w:szCs w:val="28"/>
        </w:rPr>
        <w:t xml:space="preserve"> </w:t>
      </w:r>
      <w:r w:rsidRPr="00BD1C45">
        <w:rPr>
          <w:rFonts w:eastAsia="Calibri"/>
          <w:szCs w:val="28"/>
        </w:rPr>
        <w:lastRenderedPageBreak/>
        <w:t>відповідно)</w:t>
      </w:r>
      <w:r w:rsidR="00507FDD" w:rsidRPr="00BD1C45">
        <w:rPr>
          <w:rFonts w:eastAsia="Calibri"/>
          <w:szCs w:val="28"/>
        </w:rPr>
        <w:t xml:space="preserve">, </w:t>
      </w:r>
      <w:r w:rsidR="00BF33E6" w:rsidRPr="00BD1C45">
        <w:rPr>
          <w:rFonts w:eastAsia="Calibri"/>
          <w:szCs w:val="28"/>
        </w:rPr>
        <w:t>в 3,2 рази</w:t>
      </w:r>
      <w:r w:rsidR="00507FDD" w:rsidRPr="00BD1C45">
        <w:rPr>
          <w:rFonts w:eastAsia="Calibri"/>
          <w:szCs w:val="28"/>
        </w:rPr>
        <w:t xml:space="preserve"> ніж у Німеччині (86,80</w:t>
      </w:r>
      <w:r w:rsidRPr="00BD1C45">
        <w:rPr>
          <w:rFonts w:eastAsia="Calibri"/>
          <w:szCs w:val="28"/>
        </w:rPr>
        <w:t xml:space="preserve"> відповідно</w:t>
      </w:r>
      <w:r w:rsidR="00507FDD" w:rsidRPr="00BD1C45">
        <w:rPr>
          <w:rFonts w:eastAsia="Calibri"/>
          <w:szCs w:val="28"/>
        </w:rPr>
        <w:t xml:space="preserve">), </w:t>
      </w:r>
      <w:r w:rsidR="00BD1C45" w:rsidRPr="00BD1C45">
        <w:rPr>
          <w:rFonts w:eastAsia="Calibri"/>
          <w:szCs w:val="28"/>
        </w:rPr>
        <w:t>в 2,1</w:t>
      </w:r>
      <w:r w:rsidR="00507FDD" w:rsidRPr="00BD1C45">
        <w:rPr>
          <w:rFonts w:eastAsia="Calibri"/>
          <w:szCs w:val="28"/>
        </w:rPr>
        <w:t xml:space="preserve"> ніж у Угорщині (133,24</w:t>
      </w:r>
      <w:r w:rsidRPr="00BD1C45">
        <w:rPr>
          <w:rFonts w:eastAsia="Calibri"/>
          <w:szCs w:val="28"/>
        </w:rPr>
        <w:t xml:space="preserve"> відповідно),</w:t>
      </w:r>
      <w:r w:rsidR="00507FDD" w:rsidRPr="00BD1C45">
        <w:rPr>
          <w:rFonts w:eastAsia="Calibri"/>
          <w:szCs w:val="28"/>
        </w:rPr>
        <w:t xml:space="preserve"> </w:t>
      </w:r>
      <w:r w:rsidR="0093689C" w:rsidRPr="0093689C">
        <w:rPr>
          <w:rFonts w:eastAsia="Calibri"/>
          <w:szCs w:val="28"/>
        </w:rPr>
        <w:t>на 35,6%</w:t>
      </w:r>
      <w:r w:rsidR="00507FDD" w:rsidRPr="0093689C">
        <w:rPr>
          <w:rFonts w:eastAsia="Calibri"/>
          <w:szCs w:val="28"/>
        </w:rPr>
        <w:t xml:space="preserve"> ніж у Словаччині (205,78</w:t>
      </w:r>
      <w:r w:rsidRPr="0093689C">
        <w:rPr>
          <w:rFonts w:eastAsia="Calibri"/>
          <w:szCs w:val="28"/>
        </w:rPr>
        <w:t xml:space="preserve"> відповідно),</w:t>
      </w:r>
      <w:r w:rsidRPr="00B17043">
        <w:rPr>
          <w:rFonts w:eastAsia="Calibri"/>
          <w:szCs w:val="28"/>
        </w:rPr>
        <w:t xml:space="preserve"> </w:t>
      </w:r>
      <w:r w:rsidR="00B17043" w:rsidRPr="00B17043">
        <w:rPr>
          <w:rFonts w:eastAsia="Calibri"/>
          <w:szCs w:val="28"/>
        </w:rPr>
        <w:t>в 2,2</w:t>
      </w:r>
      <w:r w:rsidR="00507FDD" w:rsidRPr="00B17043">
        <w:rPr>
          <w:rFonts w:eastAsia="Calibri"/>
          <w:szCs w:val="28"/>
        </w:rPr>
        <w:t xml:space="preserve"> рази вищим</w:t>
      </w:r>
      <w:r w:rsidR="00190BFE">
        <w:rPr>
          <w:rFonts w:eastAsia="Calibri"/>
          <w:szCs w:val="28"/>
        </w:rPr>
        <w:t> </w:t>
      </w:r>
      <w:r w:rsidR="00507FDD" w:rsidRPr="00B17043">
        <w:rPr>
          <w:rFonts w:eastAsia="Calibri"/>
          <w:szCs w:val="28"/>
        </w:rPr>
        <w:t>ніж</w:t>
      </w:r>
      <w:r w:rsidR="00190BFE">
        <w:rPr>
          <w:rFonts w:eastAsia="Calibri"/>
          <w:szCs w:val="28"/>
          <w:lang w:val="en-US"/>
        </w:rPr>
        <w:t> </w:t>
      </w:r>
      <w:r w:rsidR="00507FDD" w:rsidRPr="00B17043">
        <w:rPr>
          <w:rFonts w:eastAsia="Calibri"/>
          <w:szCs w:val="28"/>
        </w:rPr>
        <w:t>у</w:t>
      </w:r>
      <w:r w:rsidR="00190BFE">
        <w:rPr>
          <w:rFonts w:eastAsia="Calibri"/>
          <w:szCs w:val="28"/>
          <w:lang w:val="en-US"/>
        </w:rPr>
        <w:t> </w:t>
      </w:r>
      <w:r w:rsidR="00507FDD" w:rsidRPr="00B17043">
        <w:rPr>
          <w:rFonts w:eastAsia="Calibri"/>
          <w:szCs w:val="28"/>
        </w:rPr>
        <w:t>Польщі</w:t>
      </w:r>
      <w:r w:rsidR="00190BFE">
        <w:rPr>
          <w:rFonts w:eastAsia="Calibri"/>
          <w:szCs w:val="28"/>
          <w:lang w:val="en-US"/>
        </w:rPr>
        <w:t> </w:t>
      </w:r>
      <w:r w:rsidR="00507FDD" w:rsidRPr="00B17043">
        <w:rPr>
          <w:rFonts w:eastAsia="Calibri"/>
          <w:szCs w:val="28"/>
        </w:rPr>
        <w:t>(123,92</w:t>
      </w:r>
      <w:r w:rsidR="00190BFE">
        <w:rPr>
          <w:rFonts w:eastAsia="Calibri"/>
          <w:szCs w:val="28"/>
          <w:lang w:val="en-US"/>
        </w:rPr>
        <w:t> </w:t>
      </w:r>
      <w:r w:rsidR="00B93A77">
        <w:rPr>
          <w:rFonts w:eastAsia="Calibri"/>
          <w:szCs w:val="28"/>
        </w:rPr>
        <w:t>відповідно</w:t>
      </w:r>
      <w:r w:rsidR="00B93A77" w:rsidRPr="00903FF6">
        <w:rPr>
          <w:rFonts w:eastAsia="Calibri"/>
          <w:szCs w:val="28"/>
        </w:rPr>
        <w:t>)</w:t>
      </w:r>
      <w:r w:rsidR="00190BFE" w:rsidRPr="00903FF6">
        <w:rPr>
          <w:rFonts w:eastAsia="Calibri"/>
          <w:szCs w:val="28"/>
          <w:lang w:val="en-US"/>
        </w:rPr>
        <w:t> </w:t>
      </w:r>
      <w:r w:rsidR="00190BFE" w:rsidRPr="00903FF6">
        <w:rPr>
          <w:rFonts w:eastAsia="Calibri"/>
          <w:szCs w:val="28"/>
        </w:rPr>
        <w:t>(Додаток</w:t>
      </w:r>
      <w:r w:rsidR="00190BFE" w:rsidRPr="00903FF6">
        <w:rPr>
          <w:rFonts w:eastAsia="Calibri"/>
          <w:szCs w:val="28"/>
          <w:lang w:val="en-US"/>
        </w:rPr>
        <w:t> </w:t>
      </w:r>
      <w:r w:rsidR="00526AB1" w:rsidRPr="00903FF6">
        <w:rPr>
          <w:rFonts w:eastAsia="Calibri"/>
          <w:szCs w:val="28"/>
        </w:rPr>
        <w:t>Б</w:t>
      </w:r>
      <w:r w:rsidR="00190BFE" w:rsidRPr="00903FF6">
        <w:rPr>
          <w:rFonts w:eastAsia="Calibri"/>
          <w:szCs w:val="28"/>
        </w:rPr>
        <w:t xml:space="preserve">-13). </w:t>
      </w:r>
    </w:p>
    <w:p w:rsidR="00B542B9" w:rsidRPr="00190BFE" w:rsidRDefault="00BC53DF" w:rsidP="00190BFE">
      <w:pPr>
        <w:tabs>
          <w:tab w:val="left" w:pos="875"/>
        </w:tabs>
        <w:ind w:firstLine="720"/>
        <w:rPr>
          <w:b/>
          <w:szCs w:val="28"/>
        </w:rPr>
      </w:pPr>
      <w:r>
        <w:rPr>
          <w:szCs w:val="28"/>
        </w:rPr>
        <w:t>Отже, наше дослідження вказує на</w:t>
      </w:r>
      <w:r w:rsidR="00D926C3" w:rsidRPr="00006A39">
        <w:rPr>
          <w:szCs w:val="28"/>
        </w:rPr>
        <w:t xml:space="preserve"> важливість більш детального аналізу причин смертності саме новонароджених шляхом аналізу структурних, функціонально-організаційних процесів, саме в акушерсько-неонатальній службі</w:t>
      </w:r>
      <w:r w:rsidR="00B4156E">
        <w:rPr>
          <w:szCs w:val="28"/>
        </w:rPr>
        <w:t>.</w:t>
      </w:r>
    </w:p>
    <w:p w:rsidR="00D96FD9" w:rsidRPr="00006A39" w:rsidRDefault="00D96FD9" w:rsidP="00190BFE">
      <w:pPr>
        <w:widowControl w:val="0"/>
        <w:tabs>
          <w:tab w:val="left" w:pos="875"/>
        </w:tabs>
        <w:spacing w:before="240"/>
        <w:ind w:firstLine="709"/>
        <w:rPr>
          <w:rFonts w:eastAsia="NewtonC-Bold" w:cs="NewtonC-Bold"/>
          <w:bCs/>
          <w:szCs w:val="28"/>
          <w:lang w:eastAsia="ru-RU"/>
        </w:rPr>
      </w:pPr>
      <w:r w:rsidRPr="00006A39">
        <w:rPr>
          <w:b/>
          <w:szCs w:val="28"/>
        </w:rPr>
        <w:t xml:space="preserve">3.2.2. Позалікарняна смертність дітей віком до 1 року життя </w:t>
      </w:r>
      <w:r w:rsidR="005F4913">
        <w:rPr>
          <w:b/>
          <w:szCs w:val="28"/>
        </w:rPr>
        <w:t>в Україні</w:t>
      </w:r>
    </w:p>
    <w:p w:rsidR="00E11ACA" w:rsidRPr="00853741" w:rsidRDefault="00D96FD9" w:rsidP="00190BFE">
      <w:pPr>
        <w:widowControl w:val="0"/>
        <w:spacing w:before="240"/>
        <w:ind w:firstLine="708"/>
        <w:rPr>
          <w:rFonts w:eastAsia="NewtonC-Bold" w:cs="NewtonC-Bold"/>
          <w:bCs/>
          <w:szCs w:val="28"/>
          <w:lang w:eastAsia="ru-RU"/>
        </w:rPr>
      </w:pPr>
      <w:r w:rsidRPr="00006A39">
        <w:rPr>
          <w:rFonts w:eastAsia="NewtonC-Bold" w:cs="NewtonC-Bold"/>
          <w:bCs/>
          <w:szCs w:val="28"/>
          <w:lang w:eastAsia="ru-RU"/>
        </w:rPr>
        <w:t>Дослідженням виявлено пролонгацію упродовж 2009-2018 рр. достатньо високих рівнів показника смертності поза стаціонаром дітей віком до 1-го року життя, які перебували під наглядом дитячих поліклінічних закладів сфери управління МОЗ України,</w:t>
      </w:r>
      <w:r w:rsidR="00035E7C">
        <w:rPr>
          <w:rFonts w:eastAsia="NewtonC-Bold" w:cs="NewtonC-Bold"/>
          <w:bCs/>
          <w:szCs w:val="28"/>
          <w:lang w:eastAsia="ru-RU"/>
        </w:rPr>
        <w:t xml:space="preserve"> при достовірному зниженні вище</w:t>
      </w:r>
      <w:r w:rsidRPr="00006A39">
        <w:rPr>
          <w:rFonts w:eastAsia="NewtonC-Bold" w:cs="NewtonC-Bold"/>
          <w:bCs/>
          <w:szCs w:val="28"/>
          <w:lang w:eastAsia="ru-RU"/>
        </w:rPr>
        <w:t>зазначеного показника на 34,6% (ВШ 0,77 [95% ДІ 0</w:t>
      </w:r>
      <w:r w:rsidR="00E147E6">
        <w:rPr>
          <w:rFonts w:eastAsia="NewtonC-Bold" w:cs="NewtonC-Bold"/>
          <w:bCs/>
          <w:szCs w:val="28"/>
          <w:lang w:eastAsia="ru-RU"/>
        </w:rPr>
        <w:t>,</w:t>
      </w:r>
      <w:r w:rsidRPr="00006A39">
        <w:rPr>
          <w:rFonts w:eastAsia="NewtonC-Bold" w:cs="NewtonC-Bold"/>
          <w:bCs/>
          <w:szCs w:val="28"/>
          <w:lang w:eastAsia="ru-RU"/>
        </w:rPr>
        <w:t>67-0,89], р&lt;0,001)</w:t>
      </w:r>
      <w:r w:rsidR="00205358">
        <w:rPr>
          <w:rFonts w:eastAsia="NewtonC-Bold" w:cs="NewtonC-Bold"/>
          <w:bCs/>
          <w:szCs w:val="28"/>
          <w:lang w:eastAsia="ru-RU"/>
        </w:rPr>
        <w:t xml:space="preserve"> (рис.3.10</w:t>
      </w:r>
      <w:r w:rsidR="00D926C3">
        <w:rPr>
          <w:rFonts w:eastAsia="NewtonC-Bold" w:cs="NewtonC-Bold"/>
          <w:bCs/>
          <w:szCs w:val="28"/>
          <w:lang w:eastAsia="ru-RU"/>
        </w:rPr>
        <w:t>)</w:t>
      </w:r>
      <w:r w:rsidRPr="00006A39">
        <w:rPr>
          <w:rFonts w:eastAsia="NewtonC-Bold" w:cs="NewtonC-Bold"/>
          <w:bCs/>
          <w:szCs w:val="28"/>
          <w:lang w:eastAsia="ru-RU"/>
        </w:rPr>
        <w:t xml:space="preserve">. </w:t>
      </w:r>
    </w:p>
    <w:p w:rsidR="005938A7" w:rsidRPr="005938A7" w:rsidRDefault="005938A7" w:rsidP="00190BFE">
      <w:pPr>
        <w:widowControl w:val="0"/>
        <w:spacing w:before="240"/>
        <w:ind w:firstLine="708"/>
        <w:rPr>
          <w:rFonts w:eastAsia="NewtonC-Bold" w:cs="NewtonC-Bold"/>
          <w:bCs/>
          <w:szCs w:val="28"/>
          <w:lang w:val="ru-RU" w:eastAsia="ru-RU"/>
        </w:rPr>
      </w:pPr>
      <w:r w:rsidRPr="00006A39">
        <w:rPr>
          <w:rFonts w:eastAsia="NewtonC-Bold" w:cs="NewtonC-Bold"/>
          <w:bCs/>
          <w:noProof/>
          <w:szCs w:val="28"/>
          <w:lang w:val="ru-RU" w:eastAsia="ru-RU"/>
        </w:rPr>
        <w:drawing>
          <wp:inline distT="0" distB="0" distL="0" distR="0" wp14:anchorId="2F9D12F0" wp14:editId="37EC46A6">
            <wp:extent cx="5486400" cy="3256383"/>
            <wp:effectExtent l="0" t="0" r="19050" b="20320"/>
            <wp:docPr id="94" name="Диаграмма 94"/>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5938A7" w:rsidRPr="005938A7" w:rsidRDefault="005938A7" w:rsidP="005938A7">
      <w:pPr>
        <w:widowControl w:val="0"/>
        <w:spacing w:after="120"/>
        <w:ind w:firstLine="709"/>
        <w:rPr>
          <w:rFonts w:eastAsia="Times New Roman"/>
          <w:color w:val="000000"/>
          <w:szCs w:val="28"/>
          <w:lang w:val="ru-RU" w:eastAsia="ru-RU"/>
        </w:rPr>
      </w:pPr>
      <w:r>
        <w:rPr>
          <w:rFonts w:eastAsia="Times New Roman"/>
          <w:color w:val="000000"/>
          <w:szCs w:val="28"/>
          <w:lang w:eastAsia="ru-RU"/>
        </w:rPr>
        <w:t>Рис. 3.10</w:t>
      </w:r>
      <w:r w:rsidRPr="00006A39">
        <w:rPr>
          <w:rFonts w:eastAsia="Times New Roman"/>
          <w:color w:val="000000"/>
          <w:szCs w:val="28"/>
          <w:lang w:eastAsia="ru-RU"/>
        </w:rPr>
        <w:t xml:space="preserve">. Динаміка показника смертності </w:t>
      </w:r>
      <w:r w:rsidRPr="00006A39">
        <w:rPr>
          <w:rFonts w:eastAsia="NewtonC-Bold" w:cs="NewtonC-Bold"/>
          <w:bCs/>
          <w:szCs w:val="28"/>
          <w:lang w:eastAsia="ru-RU"/>
        </w:rPr>
        <w:t>дітей віком до 1-го року життя поза стаціонаром</w:t>
      </w:r>
    </w:p>
    <w:p w:rsidR="00D96FD9" w:rsidRPr="000C2C58" w:rsidRDefault="00E11ACA" w:rsidP="000C2C58">
      <w:pPr>
        <w:ind w:firstLine="708"/>
        <w:rPr>
          <w:rFonts w:eastAsia="Times New Roman"/>
          <w:szCs w:val="28"/>
          <w:lang w:eastAsia="ru-RU"/>
        </w:rPr>
      </w:pPr>
      <w:r w:rsidRPr="00006A39">
        <w:rPr>
          <w:rFonts w:eastAsia="Times New Roman"/>
          <w:szCs w:val="28"/>
          <w:lang w:eastAsia="ru-RU"/>
        </w:rPr>
        <w:t>За результатами розрахунків та проведеного аналізу регіональних рівнів смертності</w:t>
      </w:r>
      <w:r w:rsidRPr="00006A39">
        <w:t xml:space="preserve"> </w:t>
      </w:r>
      <w:r w:rsidRPr="00006A39">
        <w:rPr>
          <w:rFonts w:eastAsia="Times New Roman"/>
          <w:szCs w:val="28"/>
          <w:lang w:eastAsia="ru-RU"/>
        </w:rPr>
        <w:t>дітей віком д</w:t>
      </w:r>
      <w:r w:rsidR="00A65156">
        <w:rPr>
          <w:rFonts w:eastAsia="Times New Roman"/>
          <w:szCs w:val="28"/>
          <w:lang w:eastAsia="ru-RU"/>
        </w:rPr>
        <w:t>о 1</w:t>
      </w:r>
      <w:r w:rsidRPr="00006A39">
        <w:rPr>
          <w:rFonts w:eastAsia="Times New Roman"/>
          <w:szCs w:val="28"/>
          <w:lang w:eastAsia="ru-RU"/>
        </w:rPr>
        <w:t xml:space="preserve"> року життя, що відбулись поза стаціонаром з числа тих, що перебували під наглядом дитячих поліклінічних закладів сфери управління МОЗ </w:t>
      </w:r>
      <w:r w:rsidR="00A65156">
        <w:rPr>
          <w:rFonts w:eastAsia="Times New Roman"/>
          <w:szCs w:val="28"/>
          <w:lang w:eastAsia="ru-RU"/>
        </w:rPr>
        <w:lastRenderedPageBreak/>
        <w:t>України,</w:t>
      </w:r>
      <w:r w:rsidRPr="00006A39">
        <w:rPr>
          <w:rFonts w:eastAsia="Times New Roman"/>
          <w:szCs w:val="28"/>
          <w:lang w:eastAsia="ru-RU"/>
        </w:rPr>
        <w:t xml:space="preserve"> з’ясовано, що варіації даного показника в окремих адміністративних територіях упродовж </w:t>
      </w:r>
      <w:r w:rsidRPr="00C5708A">
        <w:rPr>
          <w:rFonts w:eastAsia="Times New Roman"/>
          <w:szCs w:val="28"/>
          <w:lang w:eastAsia="ru-RU"/>
        </w:rPr>
        <w:t xml:space="preserve">2011-2018 рр. </w:t>
      </w:r>
      <w:r w:rsidRPr="00006A39">
        <w:rPr>
          <w:rFonts w:eastAsia="Times New Roman"/>
          <w:szCs w:val="28"/>
          <w:lang w:eastAsia="ru-RU"/>
        </w:rPr>
        <w:t>зберігалися на тому ж самому рівні, про що свідчить</w:t>
      </w:r>
      <w:r>
        <w:rPr>
          <w:rFonts w:eastAsia="Times New Roman"/>
          <w:szCs w:val="28"/>
          <w:lang w:val="en-US" w:eastAsia="ru-RU"/>
        </w:rPr>
        <w:t> </w:t>
      </w:r>
      <w:r w:rsidRPr="00006A39">
        <w:rPr>
          <w:rFonts w:eastAsia="Times New Roman"/>
          <w:szCs w:val="28"/>
          <w:lang w:eastAsia="ru-RU"/>
        </w:rPr>
        <w:t>міжквартильний</w:t>
      </w:r>
      <w:r>
        <w:rPr>
          <w:rFonts w:eastAsia="Times New Roman"/>
          <w:szCs w:val="28"/>
          <w:lang w:val="en-US" w:eastAsia="ru-RU"/>
        </w:rPr>
        <w:t> </w:t>
      </w:r>
      <w:r w:rsidRPr="00006A39">
        <w:rPr>
          <w:rFonts w:eastAsia="Times New Roman"/>
          <w:szCs w:val="28"/>
          <w:lang w:eastAsia="ru-RU"/>
        </w:rPr>
        <w:t>інтервал</w:t>
      </w:r>
      <w:r>
        <w:rPr>
          <w:rFonts w:eastAsia="Times New Roman"/>
          <w:szCs w:val="28"/>
          <w:lang w:val="en-US" w:eastAsia="ru-RU"/>
        </w:rPr>
        <w:t> </w:t>
      </w:r>
      <w:r w:rsidRPr="00006A39">
        <w:rPr>
          <w:rFonts w:eastAsia="Times New Roman"/>
          <w:szCs w:val="28"/>
          <w:lang w:eastAsia="ru-RU"/>
        </w:rPr>
        <w:t>(рис.</w:t>
      </w:r>
      <w:r w:rsidR="00205358">
        <w:rPr>
          <w:rFonts w:eastAsia="Times New Roman"/>
          <w:szCs w:val="28"/>
          <w:lang w:eastAsia="ru-RU"/>
        </w:rPr>
        <w:t>3.11</w:t>
      </w:r>
      <w:r w:rsidRPr="00006A39">
        <w:rPr>
          <w:rFonts w:eastAsia="Times New Roman"/>
          <w:szCs w:val="28"/>
          <w:lang w:eastAsia="ru-RU"/>
        </w:rPr>
        <w:t>).</w:t>
      </w:r>
    </w:p>
    <w:p w:rsidR="00D96FD9" w:rsidRPr="00006A39" w:rsidRDefault="000F2077" w:rsidP="00721203">
      <w:pPr>
        <w:widowControl w:val="0"/>
        <w:ind w:firstLine="720"/>
        <w:rPr>
          <w:rFonts w:eastAsia="Times New Roman"/>
          <w:b/>
          <w:color w:val="000000"/>
          <w:szCs w:val="28"/>
          <w:lang w:eastAsia="ru-RU"/>
        </w:rPr>
      </w:pPr>
      <w:r w:rsidRPr="00006A39">
        <w:rPr>
          <w:rFonts w:eastAsia="Times New Roman"/>
          <w:b/>
          <w:noProof/>
          <w:color w:val="000000"/>
          <w:szCs w:val="28"/>
          <w:lang w:val="ru-RU" w:eastAsia="ru-RU"/>
        </w:rPr>
        <mc:AlternateContent>
          <mc:Choice Requires="wps">
            <w:drawing>
              <wp:anchor distT="0" distB="0" distL="114300" distR="114300" simplePos="0" relativeHeight="251676672" behindDoc="0" locked="0" layoutInCell="1" allowOverlap="1" wp14:anchorId="7E5F1063" wp14:editId="2004AE1D">
                <wp:simplePos x="0" y="0"/>
                <wp:positionH relativeFrom="column">
                  <wp:posOffset>4973955</wp:posOffset>
                </wp:positionH>
                <wp:positionV relativeFrom="paragraph">
                  <wp:posOffset>751840</wp:posOffset>
                </wp:positionV>
                <wp:extent cx="733425" cy="605790"/>
                <wp:effectExtent l="0" t="0" r="9525" b="3810"/>
                <wp:wrapNone/>
                <wp:docPr id="17" name="Надпись 17"/>
                <wp:cNvGraphicFramePr/>
                <a:graphic xmlns:a="http://schemas.openxmlformats.org/drawingml/2006/main">
                  <a:graphicData uri="http://schemas.microsoft.com/office/word/2010/wordprocessingShape">
                    <wps:wsp>
                      <wps:cNvSpPr txBox="1"/>
                      <wps:spPr>
                        <a:xfrm>
                          <a:off x="0" y="0"/>
                          <a:ext cx="733425" cy="605790"/>
                        </a:xfrm>
                        <a:prstGeom prst="rect">
                          <a:avLst/>
                        </a:prstGeom>
                        <a:solidFill>
                          <a:schemeClr val="lt1"/>
                        </a:solidFill>
                        <a:ln w="6350">
                          <a:noFill/>
                        </a:ln>
                      </wps:spPr>
                      <wps:txbx>
                        <w:txbxContent>
                          <w:p w:rsidR="001E1DF5" w:rsidRPr="00D51BF7" w:rsidRDefault="001E1DF5" w:rsidP="00D96FD9">
                            <w:pPr>
                              <w:spacing w:line="240" w:lineRule="auto"/>
                              <w:rPr>
                                <w:sz w:val="20"/>
                                <w:szCs w:val="20"/>
                              </w:rPr>
                            </w:pPr>
                            <w:r w:rsidRPr="00D51BF7">
                              <w:rPr>
                                <w:sz w:val="20"/>
                                <w:szCs w:val="20"/>
                              </w:rPr>
                              <w:t>Ме=0,8</w:t>
                            </w:r>
                          </w:p>
                          <w:p w:rsidR="001E1DF5" w:rsidRPr="00D51BF7" w:rsidRDefault="001E1DF5" w:rsidP="00D96FD9">
                            <w:pPr>
                              <w:spacing w:line="240" w:lineRule="auto"/>
                              <w:rPr>
                                <w:sz w:val="20"/>
                                <w:szCs w:val="20"/>
                              </w:rPr>
                            </w:pPr>
                            <w:r w:rsidRPr="00D51BF7">
                              <w:rPr>
                                <w:sz w:val="20"/>
                                <w:szCs w:val="20"/>
                                <w:lang w:val="en-US"/>
                              </w:rPr>
                              <w:t>Q</w:t>
                            </w:r>
                            <w:r w:rsidRPr="00D51BF7">
                              <w:rPr>
                                <w:sz w:val="20"/>
                                <w:szCs w:val="20"/>
                                <w:vertAlign w:val="subscript"/>
                                <w:lang w:val="en-US"/>
                              </w:rPr>
                              <w:t>1</w:t>
                            </w:r>
                            <w:r w:rsidRPr="00D51BF7">
                              <w:rPr>
                                <w:sz w:val="20"/>
                                <w:szCs w:val="20"/>
                              </w:rPr>
                              <w:t>=0</w:t>
                            </w:r>
                            <w:proofErr w:type="gramStart"/>
                            <w:r w:rsidRPr="00D51BF7">
                              <w:rPr>
                                <w:sz w:val="20"/>
                                <w:szCs w:val="20"/>
                              </w:rPr>
                              <w:t>,47</w:t>
                            </w:r>
                            <w:proofErr w:type="gramEnd"/>
                          </w:p>
                          <w:p w:rsidR="001E1DF5" w:rsidRPr="00D51BF7" w:rsidRDefault="001E1DF5" w:rsidP="00D96FD9">
                            <w:pPr>
                              <w:spacing w:line="240" w:lineRule="auto"/>
                              <w:rPr>
                                <w:sz w:val="20"/>
                                <w:szCs w:val="20"/>
                              </w:rPr>
                            </w:pPr>
                            <w:r w:rsidRPr="00D51BF7">
                              <w:rPr>
                                <w:sz w:val="20"/>
                                <w:szCs w:val="20"/>
                                <w:lang w:val="en-US"/>
                              </w:rPr>
                              <w:t>Q</w:t>
                            </w:r>
                            <w:r w:rsidRPr="00D51BF7">
                              <w:rPr>
                                <w:sz w:val="20"/>
                                <w:szCs w:val="20"/>
                                <w:vertAlign w:val="subscript"/>
                                <w:lang w:val="en-US"/>
                              </w:rPr>
                              <w:t>3</w:t>
                            </w:r>
                            <w:r w:rsidRPr="00D51BF7">
                              <w:rPr>
                                <w:sz w:val="20"/>
                                <w:szCs w:val="20"/>
                              </w:rPr>
                              <w:t>=1</w:t>
                            </w:r>
                            <w:proofErr w:type="gramStart"/>
                            <w:r w:rsidRPr="00D51BF7">
                              <w:rPr>
                                <w:sz w:val="20"/>
                                <w:szCs w:val="20"/>
                              </w:rPr>
                              <w:t>,21</w:t>
                            </w:r>
                            <w:proofErr w:type="gram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Надпись 17" o:spid="_x0000_s1106" type="#_x0000_t202" style="position:absolute;left:0;text-align:left;margin-left:391.65pt;margin-top:59.2pt;width:57.75pt;height:47.7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" fillcolor="white [3201]" stroked="f" strokeweight=".5pt">
                <v:textbox>
                  <w:txbxContent>
                    <w:p w:rsidR="0057431A" w:rsidRPr="00D51BF7" w:rsidRDefault="0057431A" w:rsidP="00D96FD9">
                      <w:pPr>
                        <w:spacing w:line="240" w:lineRule="auto"/>
                        <w:rPr>
                          <w:sz w:val="20"/>
                          <w:szCs w:val="20"/>
                        </w:rPr>
                      </w:pPr>
                      <w:r w:rsidRPr="00D51BF7">
                        <w:rPr>
                          <w:sz w:val="20"/>
                          <w:szCs w:val="20"/>
                        </w:rPr>
                        <w:t>Ме=0,8</w:t>
                      </w:r>
                    </w:p>
                    <w:p w:rsidR="0057431A" w:rsidRPr="00D51BF7" w:rsidRDefault="0057431A" w:rsidP="00D96FD9">
                      <w:pPr>
                        <w:spacing w:line="240" w:lineRule="auto"/>
                        <w:rPr>
                          <w:sz w:val="20"/>
                          <w:szCs w:val="20"/>
                        </w:rPr>
                      </w:pPr>
                      <w:r w:rsidRPr="00D51BF7">
                        <w:rPr>
                          <w:sz w:val="20"/>
                          <w:szCs w:val="20"/>
                          <w:lang w:val="en-US"/>
                        </w:rPr>
                        <w:t>Q</w:t>
                      </w:r>
                      <w:r w:rsidRPr="00D51BF7">
                        <w:rPr>
                          <w:sz w:val="20"/>
                          <w:szCs w:val="20"/>
                          <w:vertAlign w:val="subscript"/>
                          <w:lang w:val="en-US"/>
                        </w:rPr>
                        <w:t>1</w:t>
                      </w:r>
                      <w:r w:rsidRPr="00D51BF7">
                        <w:rPr>
                          <w:sz w:val="20"/>
                          <w:szCs w:val="20"/>
                        </w:rPr>
                        <w:t>=0</w:t>
                      </w:r>
                      <w:proofErr w:type="gramStart"/>
                      <w:r w:rsidRPr="00D51BF7">
                        <w:rPr>
                          <w:sz w:val="20"/>
                          <w:szCs w:val="20"/>
                        </w:rPr>
                        <w:t>,47</w:t>
                      </w:r>
                      <w:proofErr w:type="gramEnd"/>
                    </w:p>
                    <w:p w:rsidR="0057431A" w:rsidRPr="00D51BF7" w:rsidRDefault="0057431A" w:rsidP="00D96FD9">
                      <w:pPr>
                        <w:spacing w:line="240" w:lineRule="auto"/>
                        <w:rPr>
                          <w:sz w:val="20"/>
                          <w:szCs w:val="20"/>
                        </w:rPr>
                      </w:pPr>
                      <w:r w:rsidRPr="00D51BF7">
                        <w:rPr>
                          <w:sz w:val="20"/>
                          <w:szCs w:val="20"/>
                          <w:lang w:val="en-US"/>
                        </w:rPr>
                        <w:t>Q</w:t>
                      </w:r>
                      <w:r w:rsidRPr="00D51BF7">
                        <w:rPr>
                          <w:sz w:val="20"/>
                          <w:szCs w:val="20"/>
                          <w:vertAlign w:val="subscript"/>
                          <w:lang w:val="en-US"/>
                        </w:rPr>
                        <w:t>3</w:t>
                      </w:r>
                      <w:r w:rsidRPr="00D51BF7">
                        <w:rPr>
                          <w:sz w:val="20"/>
                          <w:szCs w:val="20"/>
                        </w:rPr>
                        <w:t>=1</w:t>
                      </w:r>
                      <w:proofErr w:type="gramStart"/>
                      <w:r w:rsidRPr="00D51BF7">
                        <w:rPr>
                          <w:sz w:val="20"/>
                          <w:szCs w:val="20"/>
                        </w:rPr>
                        <w:t>,21</w:t>
                      </w:r>
                      <w:proofErr w:type="gramEnd"/>
                    </w:p>
                  </w:txbxContent>
                </v:textbox>
              </v:shape>
            </w:pict>
          </mc:Fallback>
        </mc:AlternateContent>
      </w:r>
      <w:r w:rsidRPr="00006A39">
        <w:rPr>
          <w:rFonts w:eastAsia="Times New Roman"/>
          <w:b/>
          <w:noProof/>
          <w:color w:val="000000"/>
          <w:szCs w:val="28"/>
          <w:lang w:val="ru-RU" w:eastAsia="ru-RU"/>
        </w:rPr>
        <mc:AlternateContent>
          <mc:Choice Requires="wps">
            <w:drawing>
              <wp:anchor distT="0" distB="0" distL="114300" distR="114300" simplePos="0" relativeHeight="251675648" behindDoc="0" locked="0" layoutInCell="1" allowOverlap="1" wp14:anchorId="6E9843A8" wp14:editId="62687BEA">
                <wp:simplePos x="0" y="0"/>
                <wp:positionH relativeFrom="column">
                  <wp:posOffset>2439035</wp:posOffset>
                </wp:positionH>
                <wp:positionV relativeFrom="paragraph">
                  <wp:posOffset>742315</wp:posOffset>
                </wp:positionV>
                <wp:extent cx="733425" cy="605790"/>
                <wp:effectExtent l="0" t="0" r="9525" b="3810"/>
                <wp:wrapNone/>
                <wp:docPr id="14" name="Надпись 14"/>
                <wp:cNvGraphicFramePr/>
                <a:graphic xmlns:a="http://schemas.openxmlformats.org/drawingml/2006/main">
                  <a:graphicData uri="http://schemas.microsoft.com/office/word/2010/wordprocessingShape">
                    <wps:wsp>
                      <wps:cNvSpPr txBox="1"/>
                      <wps:spPr>
                        <a:xfrm>
                          <a:off x="0" y="0"/>
                          <a:ext cx="733425" cy="605790"/>
                        </a:xfrm>
                        <a:prstGeom prst="rect">
                          <a:avLst/>
                        </a:prstGeom>
                        <a:solidFill>
                          <a:schemeClr val="lt1"/>
                        </a:solidFill>
                        <a:ln w="6350">
                          <a:noFill/>
                        </a:ln>
                      </wps:spPr>
                      <wps:txbx>
                        <w:txbxContent>
                          <w:p w:rsidR="001E1DF5" w:rsidRPr="00D51BF7" w:rsidRDefault="001E1DF5" w:rsidP="00D96FD9">
                            <w:pPr>
                              <w:spacing w:line="240" w:lineRule="auto"/>
                              <w:rPr>
                                <w:sz w:val="20"/>
                                <w:szCs w:val="20"/>
                              </w:rPr>
                            </w:pPr>
                            <w:r w:rsidRPr="00D51BF7">
                              <w:rPr>
                                <w:sz w:val="20"/>
                                <w:szCs w:val="20"/>
                              </w:rPr>
                              <w:t>Ме=1,38</w:t>
                            </w:r>
                          </w:p>
                          <w:p w:rsidR="001E1DF5" w:rsidRPr="00D51BF7" w:rsidRDefault="001E1DF5" w:rsidP="00D96FD9">
                            <w:pPr>
                              <w:spacing w:line="240" w:lineRule="auto"/>
                              <w:rPr>
                                <w:sz w:val="20"/>
                                <w:szCs w:val="20"/>
                              </w:rPr>
                            </w:pPr>
                            <w:r w:rsidRPr="00D51BF7">
                              <w:rPr>
                                <w:sz w:val="20"/>
                                <w:szCs w:val="20"/>
                                <w:lang w:val="en-US"/>
                              </w:rPr>
                              <w:t>Q</w:t>
                            </w:r>
                            <w:r w:rsidRPr="00D51BF7">
                              <w:rPr>
                                <w:sz w:val="20"/>
                                <w:szCs w:val="20"/>
                                <w:vertAlign w:val="subscript"/>
                                <w:lang w:val="en-US"/>
                              </w:rPr>
                              <w:t>1</w:t>
                            </w:r>
                            <w:r w:rsidRPr="00D51BF7">
                              <w:rPr>
                                <w:sz w:val="20"/>
                                <w:szCs w:val="20"/>
                              </w:rPr>
                              <w:t>=0</w:t>
                            </w:r>
                            <w:proofErr w:type="gramStart"/>
                            <w:r w:rsidRPr="00D51BF7">
                              <w:rPr>
                                <w:sz w:val="20"/>
                                <w:szCs w:val="20"/>
                              </w:rPr>
                              <w:t>,94</w:t>
                            </w:r>
                            <w:proofErr w:type="gramEnd"/>
                          </w:p>
                          <w:p w:rsidR="001E1DF5" w:rsidRPr="00D51BF7" w:rsidRDefault="001E1DF5" w:rsidP="00D96FD9">
                            <w:pPr>
                              <w:spacing w:line="240" w:lineRule="auto"/>
                              <w:rPr>
                                <w:sz w:val="20"/>
                                <w:szCs w:val="20"/>
                              </w:rPr>
                            </w:pPr>
                            <w:r w:rsidRPr="00D51BF7">
                              <w:rPr>
                                <w:sz w:val="20"/>
                                <w:szCs w:val="20"/>
                                <w:lang w:val="en-US"/>
                              </w:rPr>
                              <w:t>Q</w:t>
                            </w:r>
                            <w:r w:rsidRPr="00D51BF7">
                              <w:rPr>
                                <w:sz w:val="20"/>
                                <w:szCs w:val="20"/>
                                <w:vertAlign w:val="subscript"/>
                                <w:lang w:val="en-US"/>
                              </w:rPr>
                              <w:t>3</w:t>
                            </w:r>
                            <w:r w:rsidRPr="00D51BF7">
                              <w:rPr>
                                <w:sz w:val="20"/>
                                <w:szCs w:val="20"/>
                              </w:rPr>
                              <w:t>=1</w:t>
                            </w:r>
                            <w:proofErr w:type="gramStart"/>
                            <w:r w:rsidRPr="00D51BF7">
                              <w:rPr>
                                <w:sz w:val="20"/>
                                <w:szCs w:val="20"/>
                              </w:rPr>
                              <w:t>,64</w:t>
                            </w:r>
                            <w:proofErr w:type="gram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Надпись 14" o:spid="_x0000_s1107" type="#_x0000_t202" style="position:absolute;left:0;text-align:left;margin-left:192.05pt;margin-top:58.45pt;width:57.75pt;height:47.7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" fillcolor="white [3201]" stroked="f" strokeweight=".5pt">
                <v:textbox>
                  <w:txbxContent>
                    <w:p w:rsidR="0057431A" w:rsidRPr="00D51BF7" w:rsidRDefault="0057431A" w:rsidP="00D96FD9">
                      <w:pPr>
                        <w:spacing w:line="240" w:lineRule="auto"/>
                        <w:rPr>
                          <w:sz w:val="20"/>
                          <w:szCs w:val="20"/>
                        </w:rPr>
                      </w:pPr>
                      <w:r w:rsidRPr="00D51BF7">
                        <w:rPr>
                          <w:sz w:val="20"/>
                          <w:szCs w:val="20"/>
                        </w:rPr>
                        <w:t>Ме=1,38</w:t>
                      </w:r>
                    </w:p>
                    <w:p w:rsidR="0057431A" w:rsidRPr="00D51BF7" w:rsidRDefault="0057431A" w:rsidP="00D96FD9">
                      <w:pPr>
                        <w:spacing w:line="240" w:lineRule="auto"/>
                        <w:rPr>
                          <w:sz w:val="20"/>
                          <w:szCs w:val="20"/>
                        </w:rPr>
                      </w:pPr>
                      <w:r w:rsidRPr="00D51BF7">
                        <w:rPr>
                          <w:sz w:val="20"/>
                          <w:szCs w:val="20"/>
                          <w:lang w:val="en-US"/>
                        </w:rPr>
                        <w:t>Q</w:t>
                      </w:r>
                      <w:r w:rsidRPr="00D51BF7">
                        <w:rPr>
                          <w:sz w:val="20"/>
                          <w:szCs w:val="20"/>
                          <w:vertAlign w:val="subscript"/>
                          <w:lang w:val="en-US"/>
                        </w:rPr>
                        <w:t>1</w:t>
                      </w:r>
                      <w:r w:rsidRPr="00D51BF7">
                        <w:rPr>
                          <w:sz w:val="20"/>
                          <w:szCs w:val="20"/>
                        </w:rPr>
                        <w:t>=0</w:t>
                      </w:r>
                      <w:proofErr w:type="gramStart"/>
                      <w:r w:rsidRPr="00D51BF7">
                        <w:rPr>
                          <w:sz w:val="20"/>
                          <w:szCs w:val="20"/>
                        </w:rPr>
                        <w:t>,94</w:t>
                      </w:r>
                      <w:proofErr w:type="gramEnd"/>
                    </w:p>
                    <w:p w:rsidR="0057431A" w:rsidRPr="00D51BF7" w:rsidRDefault="0057431A" w:rsidP="00D96FD9">
                      <w:pPr>
                        <w:spacing w:line="240" w:lineRule="auto"/>
                        <w:rPr>
                          <w:sz w:val="20"/>
                          <w:szCs w:val="20"/>
                        </w:rPr>
                      </w:pPr>
                      <w:r w:rsidRPr="00D51BF7">
                        <w:rPr>
                          <w:sz w:val="20"/>
                          <w:szCs w:val="20"/>
                          <w:lang w:val="en-US"/>
                        </w:rPr>
                        <w:t>Q</w:t>
                      </w:r>
                      <w:r w:rsidRPr="00D51BF7">
                        <w:rPr>
                          <w:sz w:val="20"/>
                          <w:szCs w:val="20"/>
                          <w:vertAlign w:val="subscript"/>
                          <w:lang w:val="en-US"/>
                        </w:rPr>
                        <w:t>3</w:t>
                      </w:r>
                      <w:r w:rsidRPr="00D51BF7">
                        <w:rPr>
                          <w:sz w:val="20"/>
                          <w:szCs w:val="20"/>
                        </w:rPr>
                        <w:t>=1</w:t>
                      </w:r>
                      <w:proofErr w:type="gramStart"/>
                      <w:r w:rsidRPr="00D51BF7">
                        <w:rPr>
                          <w:sz w:val="20"/>
                          <w:szCs w:val="20"/>
                        </w:rPr>
                        <w:t>,64</w:t>
                      </w:r>
                      <w:proofErr w:type="gramEnd"/>
                    </w:p>
                  </w:txbxContent>
                </v:textbox>
              </v:shape>
            </w:pict>
          </mc:Fallback>
        </mc:AlternateContent>
      </w:r>
      <w:r w:rsidR="00D96FD9" w:rsidRPr="00006A39">
        <w:rPr>
          <w:rFonts w:eastAsia="Times New Roman"/>
          <w:b/>
          <w:noProof/>
          <w:color w:val="000000"/>
          <w:szCs w:val="28"/>
          <w:lang w:val="ru-RU" w:eastAsia="ru-RU"/>
        </w:rPr>
        <w:drawing>
          <wp:inline distT="0" distB="0" distL="0" distR="0" wp14:anchorId="5D66B1D3" wp14:editId="47C0C21F">
            <wp:extent cx="5784980" cy="3620278"/>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801468" cy="3630597"/>
                    </a:xfrm>
                    <a:prstGeom prst="rect">
                      <a:avLst/>
                    </a:prstGeom>
                    <a:noFill/>
                    <a:ln>
                      <a:noFill/>
                    </a:ln>
                  </pic:spPr>
                </pic:pic>
              </a:graphicData>
            </a:graphic>
          </wp:inline>
        </w:drawing>
      </w:r>
    </w:p>
    <w:p w:rsidR="000C2C58" w:rsidRDefault="00D96FD9" w:rsidP="00721203">
      <w:pPr>
        <w:widowControl w:val="0"/>
        <w:spacing w:after="120"/>
        <w:ind w:firstLine="720"/>
        <w:rPr>
          <w:szCs w:val="28"/>
        </w:rPr>
      </w:pPr>
      <w:r w:rsidRPr="00006A39">
        <w:rPr>
          <w:szCs w:val="28"/>
        </w:rPr>
        <w:t xml:space="preserve">Рис. </w:t>
      </w:r>
      <w:r w:rsidR="00205358">
        <w:rPr>
          <w:szCs w:val="28"/>
        </w:rPr>
        <w:t>3.11</w:t>
      </w:r>
      <w:r w:rsidR="006F2C3E">
        <w:rPr>
          <w:szCs w:val="28"/>
        </w:rPr>
        <w:t xml:space="preserve">. </w:t>
      </w:r>
      <w:r w:rsidRPr="00006A39">
        <w:rPr>
          <w:szCs w:val="28"/>
        </w:rPr>
        <w:t>Характеристики варіаційного ряду «Показник смертності дітей віком до 1 року життя, що померли поза стаціонаром» у 2011 та 2018 рр.</w:t>
      </w:r>
    </w:p>
    <w:p w:rsidR="000C2C58" w:rsidRPr="00C742D5" w:rsidRDefault="000C2C58" w:rsidP="000C2C58">
      <w:pPr>
        <w:widowControl w:val="0"/>
        <w:ind w:firstLine="720"/>
        <w:rPr>
          <w:rFonts w:eastAsia="Times New Roman"/>
          <w:color w:val="FF0000"/>
          <w:szCs w:val="28"/>
          <w:lang w:eastAsia="ru-RU"/>
        </w:rPr>
      </w:pPr>
      <w:r>
        <w:rPr>
          <w:rFonts w:eastAsia="Times New Roman"/>
          <w:szCs w:val="28"/>
          <w:lang w:eastAsia="ru-RU"/>
        </w:rPr>
        <w:t>Протягом періоду дослідження з</w:t>
      </w:r>
      <w:r w:rsidRPr="00725266">
        <w:rPr>
          <w:rFonts w:eastAsia="Times New Roman"/>
          <w:szCs w:val="28"/>
          <w:lang w:eastAsia="ru-RU"/>
        </w:rPr>
        <w:t>а результатами розрахунків та проведеного аналізу регіональних рівнів смертності</w:t>
      </w:r>
      <w:r w:rsidRPr="00725266">
        <w:rPr>
          <w:rFonts w:ascii="Calibri" w:eastAsia="Calibri" w:hAnsi="Calibri"/>
          <w:sz w:val="22"/>
        </w:rPr>
        <w:t xml:space="preserve">  </w:t>
      </w:r>
      <w:r w:rsidRPr="00725266">
        <w:rPr>
          <w:rFonts w:eastAsia="Times New Roman"/>
          <w:szCs w:val="28"/>
          <w:lang w:eastAsia="ru-RU"/>
        </w:rPr>
        <w:t xml:space="preserve">дітей віком до 1 року життя, що відбулись </w:t>
      </w:r>
      <w:r>
        <w:rPr>
          <w:rFonts w:eastAsia="Times New Roman"/>
          <w:szCs w:val="28"/>
          <w:lang w:eastAsia="ru-RU"/>
        </w:rPr>
        <w:t>поза стаціонаром з числа тих дітей, які</w:t>
      </w:r>
      <w:r w:rsidRPr="00725266">
        <w:rPr>
          <w:rFonts w:eastAsia="Times New Roman"/>
          <w:szCs w:val="28"/>
          <w:lang w:eastAsia="ru-RU"/>
        </w:rPr>
        <w:t xml:space="preserve"> перебували під наглядом дитячих поліклінічних закладів сфери управління МОЗ України, у 11 областях України рівень смертності перевищує загальноукраїнський (0,89‰): Вінницькій, Дніпропетровській, Донецькій, Житомирській, Закарпатській, Запорізькій, Кіровоградській, Миколаївській, Одеській, Херсонській, Чернівецькій областях</w:t>
      </w:r>
      <w:r>
        <w:rPr>
          <w:rFonts w:eastAsia="Times New Roman"/>
          <w:szCs w:val="28"/>
          <w:lang w:eastAsia="ru-RU"/>
        </w:rPr>
        <w:t xml:space="preserve"> </w:t>
      </w:r>
      <w:r w:rsidRPr="0088702B">
        <w:rPr>
          <w:rFonts w:eastAsia="Times New Roman"/>
          <w:szCs w:val="28"/>
          <w:lang w:eastAsia="ru-RU"/>
        </w:rPr>
        <w:t>(</w:t>
      </w:r>
      <w:r w:rsidRPr="007431A1">
        <w:rPr>
          <w:rFonts w:eastAsia="Times New Roman"/>
          <w:szCs w:val="28"/>
          <w:lang w:eastAsia="ru-RU"/>
        </w:rPr>
        <w:t xml:space="preserve">табл.3.6). </w:t>
      </w:r>
    </w:p>
    <w:p w:rsidR="00D96FD9" w:rsidRPr="00122DBC" w:rsidRDefault="000C2C58" w:rsidP="00122DBC">
      <w:pPr>
        <w:widowControl w:val="0"/>
        <w:ind w:firstLine="720"/>
        <w:rPr>
          <w:rFonts w:eastAsia="Times New Roman"/>
          <w:color w:val="000000" w:themeColor="text1"/>
          <w:szCs w:val="28"/>
          <w:lang w:eastAsia="ru-RU"/>
        </w:rPr>
      </w:pPr>
      <w:r w:rsidRPr="00725266">
        <w:rPr>
          <w:rFonts w:eastAsia="Times New Roman"/>
          <w:szCs w:val="28"/>
          <w:lang w:eastAsia="ru-RU"/>
        </w:rPr>
        <w:t>Найвищий рівень вищезазна</w:t>
      </w:r>
      <w:r>
        <w:rPr>
          <w:rFonts w:eastAsia="Times New Roman"/>
          <w:szCs w:val="28"/>
          <w:lang w:eastAsia="ru-RU"/>
        </w:rPr>
        <w:t>ченого показника спостерігався</w:t>
      </w:r>
      <w:r w:rsidRPr="00725266">
        <w:rPr>
          <w:rFonts w:eastAsia="Times New Roman"/>
          <w:szCs w:val="28"/>
          <w:lang w:eastAsia="ru-RU"/>
        </w:rPr>
        <w:t xml:space="preserve"> у Закарпатській області (2,6‰ у 2018 р.), найнижчі рівні – у Івано-Франківській (0,42‰), Львівській (0,20‰), Сумській (0,39‰), Чернігівській (0,40‰) областях та м. Київ (0,28‰)</w:t>
      </w:r>
      <w:r>
        <w:rPr>
          <w:rFonts w:eastAsia="Times New Roman"/>
          <w:szCs w:val="28"/>
          <w:lang w:eastAsia="ru-RU"/>
        </w:rPr>
        <w:t xml:space="preserve">, </w:t>
      </w:r>
      <w:r w:rsidRPr="00A948E9">
        <w:rPr>
          <w:rFonts w:eastAsia="Times New Roman"/>
          <w:szCs w:val="28"/>
          <w:lang w:eastAsia="ru-RU"/>
        </w:rPr>
        <w:t xml:space="preserve">що також свідчить про недостатню роботу регіональних систем охорони здоров’я у напряму зменшення даного показника в Україні </w:t>
      </w:r>
      <w:r w:rsidRPr="00C742D5">
        <w:rPr>
          <w:rFonts w:eastAsia="Times New Roman"/>
          <w:szCs w:val="28"/>
          <w:lang w:eastAsia="ru-RU"/>
        </w:rPr>
        <w:t>(табл.3.6).</w:t>
      </w:r>
    </w:p>
    <w:p w:rsidR="00A948E9" w:rsidRPr="0087586A" w:rsidRDefault="00A948E9" w:rsidP="00122DBC">
      <w:pPr>
        <w:pageBreakBefore/>
        <w:jc w:val="right"/>
        <w:rPr>
          <w:rFonts w:eastAsia="Times New Roman"/>
          <w:i/>
          <w:color w:val="000000"/>
          <w:szCs w:val="28"/>
          <w:lang w:val="ru-RU" w:eastAsia="ru-RU"/>
        </w:rPr>
      </w:pPr>
      <w:r>
        <w:rPr>
          <w:rFonts w:eastAsia="Times New Roman"/>
          <w:i/>
          <w:color w:val="000000"/>
          <w:szCs w:val="28"/>
          <w:lang w:eastAsia="ru-RU"/>
        </w:rPr>
        <w:lastRenderedPageBreak/>
        <w:t xml:space="preserve">      </w:t>
      </w:r>
      <w:r w:rsidRPr="00A948E9">
        <w:rPr>
          <w:rFonts w:eastAsia="Times New Roman"/>
          <w:i/>
          <w:color w:val="000000"/>
          <w:szCs w:val="28"/>
          <w:lang w:eastAsia="ru-RU"/>
        </w:rPr>
        <w:t>Таблиця 3.</w:t>
      </w:r>
      <w:r w:rsidR="0088702B">
        <w:rPr>
          <w:rFonts w:eastAsia="Times New Roman"/>
          <w:i/>
          <w:color w:val="000000"/>
          <w:szCs w:val="28"/>
          <w:lang w:eastAsia="ru-RU"/>
        </w:rPr>
        <w:t>6</w:t>
      </w:r>
      <w:r w:rsidRPr="00A948E9">
        <w:rPr>
          <w:rFonts w:eastAsia="Times New Roman"/>
          <w:i/>
          <w:color w:val="000000"/>
          <w:szCs w:val="28"/>
          <w:lang w:eastAsia="ru-RU"/>
        </w:rPr>
        <w:t xml:space="preserve"> </w:t>
      </w:r>
    </w:p>
    <w:p w:rsidR="00A948E9" w:rsidRPr="00A948E9" w:rsidRDefault="00A948E9" w:rsidP="00A5787F">
      <w:pPr>
        <w:jc w:val="center"/>
        <w:rPr>
          <w:rFonts w:eastAsia="Times New Roman"/>
          <w:b/>
          <w:color w:val="00B0F0"/>
          <w:szCs w:val="28"/>
          <w:lang w:eastAsia="ru-RU"/>
        </w:rPr>
      </w:pPr>
      <w:r w:rsidRPr="00A948E9">
        <w:rPr>
          <w:rFonts w:eastAsia="Times New Roman"/>
          <w:b/>
          <w:szCs w:val="28"/>
          <w:lang w:eastAsia="ru-RU"/>
        </w:rPr>
        <w:t>Рівень смертності  дітей віком до 1 року життя, що померли поза стаціонаром за регіонами</w:t>
      </w:r>
      <w:r w:rsidR="00C1614D" w:rsidRPr="00C1614D">
        <w:rPr>
          <w:rFonts w:eastAsia="Times New Roman"/>
          <w:b/>
          <w:szCs w:val="28"/>
          <w:lang w:val="ru-RU" w:eastAsia="ru-RU"/>
        </w:rPr>
        <w:t xml:space="preserve"> </w:t>
      </w:r>
      <w:r w:rsidR="00C1614D">
        <w:rPr>
          <w:rFonts w:eastAsia="Times New Roman"/>
          <w:b/>
          <w:szCs w:val="28"/>
          <w:lang w:val="ru-RU" w:eastAsia="ru-RU"/>
        </w:rPr>
        <w:t xml:space="preserve">України за період </w:t>
      </w:r>
      <w:r w:rsidRPr="00A948E9">
        <w:rPr>
          <w:rFonts w:eastAsia="Times New Roman"/>
          <w:b/>
          <w:szCs w:val="28"/>
          <w:lang w:eastAsia="ru-RU"/>
        </w:rPr>
        <w:t xml:space="preserve"> 2011-2018 рр.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76"/>
        <w:gridCol w:w="755"/>
        <w:gridCol w:w="755"/>
        <w:gridCol w:w="755"/>
        <w:gridCol w:w="755"/>
        <w:gridCol w:w="755"/>
        <w:gridCol w:w="755"/>
        <w:gridCol w:w="735"/>
        <w:gridCol w:w="708"/>
      </w:tblGrid>
      <w:tr w:rsidR="00A948E9" w:rsidRPr="00C1614D" w:rsidTr="0006747E">
        <w:trPr>
          <w:jc w:val="center"/>
        </w:trPr>
        <w:tc>
          <w:tcPr>
            <w:tcW w:w="2076" w:type="dxa"/>
            <w:vMerge w:val="restart"/>
            <w:vAlign w:val="center"/>
            <w:hideMark/>
          </w:tcPr>
          <w:p w:rsidR="00A948E9" w:rsidRPr="00C1614D" w:rsidRDefault="00A948E9" w:rsidP="00C1614D">
            <w:pPr>
              <w:spacing w:line="276" w:lineRule="auto"/>
              <w:jc w:val="center"/>
              <w:rPr>
                <w:rFonts w:eastAsia="Times New Roman"/>
                <w:sz w:val="24"/>
                <w:szCs w:val="24"/>
                <w:lang w:eastAsia="ru-RU"/>
              </w:rPr>
            </w:pPr>
            <w:r w:rsidRPr="00C1614D">
              <w:rPr>
                <w:rFonts w:eastAsia="Times New Roman"/>
                <w:sz w:val="24"/>
                <w:szCs w:val="24"/>
                <w:lang w:eastAsia="ru-RU"/>
              </w:rPr>
              <w:t>Адміністративні території</w:t>
            </w:r>
          </w:p>
        </w:tc>
        <w:tc>
          <w:tcPr>
            <w:tcW w:w="5973" w:type="dxa"/>
            <w:gridSpan w:val="8"/>
            <w:vAlign w:val="center"/>
            <w:hideMark/>
          </w:tcPr>
          <w:p w:rsidR="00A948E9" w:rsidRPr="00C1614D" w:rsidRDefault="00A948E9" w:rsidP="00C1614D">
            <w:pPr>
              <w:spacing w:line="276" w:lineRule="auto"/>
              <w:jc w:val="center"/>
              <w:rPr>
                <w:rFonts w:eastAsia="Times New Roman"/>
                <w:sz w:val="24"/>
                <w:szCs w:val="24"/>
                <w:lang w:eastAsia="ru-RU"/>
              </w:rPr>
            </w:pPr>
            <w:r w:rsidRPr="00C1614D">
              <w:rPr>
                <w:rFonts w:eastAsia="Times New Roman"/>
                <w:sz w:val="24"/>
                <w:szCs w:val="24"/>
                <w:lang w:eastAsia="ru-RU"/>
              </w:rPr>
              <w:t>На 1000 дітей відповідного віку</w:t>
            </w:r>
          </w:p>
        </w:tc>
      </w:tr>
      <w:tr w:rsidR="00A948E9" w:rsidRPr="00C1614D" w:rsidTr="0006747E">
        <w:trPr>
          <w:jc w:val="center"/>
        </w:trPr>
        <w:tc>
          <w:tcPr>
            <w:tcW w:w="0" w:type="auto"/>
            <w:vMerge/>
            <w:vAlign w:val="center"/>
            <w:hideMark/>
          </w:tcPr>
          <w:p w:rsidR="00A948E9" w:rsidRPr="00C1614D" w:rsidRDefault="00A948E9" w:rsidP="00C1614D">
            <w:pPr>
              <w:spacing w:line="276" w:lineRule="auto"/>
              <w:jc w:val="left"/>
              <w:rPr>
                <w:rFonts w:eastAsia="Times New Roman"/>
                <w:sz w:val="24"/>
                <w:szCs w:val="24"/>
                <w:lang w:eastAsia="ru-RU"/>
              </w:rPr>
            </w:pPr>
          </w:p>
        </w:tc>
        <w:tc>
          <w:tcPr>
            <w:tcW w:w="755" w:type="dxa"/>
            <w:vAlign w:val="center"/>
            <w:hideMark/>
          </w:tcPr>
          <w:p w:rsidR="00A948E9" w:rsidRPr="00C1614D" w:rsidRDefault="00A948E9" w:rsidP="00C1614D">
            <w:pPr>
              <w:spacing w:line="276" w:lineRule="auto"/>
              <w:jc w:val="center"/>
              <w:rPr>
                <w:rFonts w:eastAsia="Times New Roman"/>
                <w:sz w:val="24"/>
                <w:szCs w:val="24"/>
                <w:lang w:eastAsia="ru-RU"/>
              </w:rPr>
            </w:pPr>
            <w:r w:rsidRPr="00C1614D">
              <w:rPr>
                <w:rFonts w:eastAsia="Times New Roman"/>
                <w:sz w:val="24"/>
                <w:szCs w:val="24"/>
                <w:lang w:eastAsia="ru-RU"/>
              </w:rPr>
              <w:t>2011</w:t>
            </w:r>
          </w:p>
        </w:tc>
        <w:tc>
          <w:tcPr>
            <w:tcW w:w="755" w:type="dxa"/>
            <w:vAlign w:val="center"/>
            <w:hideMark/>
          </w:tcPr>
          <w:p w:rsidR="00A948E9" w:rsidRPr="00C1614D" w:rsidRDefault="00A948E9" w:rsidP="00C1614D">
            <w:pPr>
              <w:spacing w:line="276" w:lineRule="auto"/>
              <w:jc w:val="center"/>
              <w:rPr>
                <w:rFonts w:eastAsia="Times New Roman"/>
                <w:sz w:val="24"/>
                <w:szCs w:val="24"/>
                <w:lang w:eastAsia="ru-RU"/>
              </w:rPr>
            </w:pPr>
            <w:r w:rsidRPr="00C1614D">
              <w:rPr>
                <w:rFonts w:eastAsia="Times New Roman"/>
                <w:sz w:val="24"/>
                <w:szCs w:val="24"/>
                <w:lang w:eastAsia="ru-RU"/>
              </w:rPr>
              <w:t>2012</w:t>
            </w:r>
          </w:p>
        </w:tc>
        <w:tc>
          <w:tcPr>
            <w:tcW w:w="755" w:type="dxa"/>
            <w:vAlign w:val="center"/>
            <w:hideMark/>
          </w:tcPr>
          <w:p w:rsidR="00A948E9" w:rsidRPr="00C1614D" w:rsidRDefault="00A948E9" w:rsidP="00C1614D">
            <w:pPr>
              <w:spacing w:line="276" w:lineRule="auto"/>
              <w:jc w:val="center"/>
              <w:rPr>
                <w:rFonts w:eastAsia="Times New Roman"/>
                <w:sz w:val="24"/>
                <w:szCs w:val="24"/>
                <w:lang w:eastAsia="ru-RU"/>
              </w:rPr>
            </w:pPr>
            <w:r w:rsidRPr="00C1614D">
              <w:rPr>
                <w:rFonts w:eastAsia="Times New Roman"/>
                <w:sz w:val="24"/>
                <w:szCs w:val="24"/>
                <w:lang w:eastAsia="ru-RU"/>
              </w:rPr>
              <w:t>2013</w:t>
            </w:r>
          </w:p>
        </w:tc>
        <w:tc>
          <w:tcPr>
            <w:tcW w:w="755" w:type="dxa"/>
            <w:vAlign w:val="center"/>
            <w:hideMark/>
          </w:tcPr>
          <w:p w:rsidR="00A948E9" w:rsidRPr="00C1614D" w:rsidRDefault="00A948E9" w:rsidP="00C1614D">
            <w:pPr>
              <w:spacing w:line="276" w:lineRule="auto"/>
              <w:jc w:val="center"/>
              <w:rPr>
                <w:rFonts w:eastAsia="Times New Roman"/>
                <w:sz w:val="24"/>
                <w:szCs w:val="24"/>
                <w:lang w:eastAsia="ru-RU"/>
              </w:rPr>
            </w:pPr>
            <w:r w:rsidRPr="00C1614D">
              <w:rPr>
                <w:rFonts w:eastAsia="Times New Roman"/>
                <w:sz w:val="24"/>
                <w:szCs w:val="24"/>
                <w:lang w:eastAsia="ru-RU"/>
              </w:rPr>
              <w:t>2014</w:t>
            </w:r>
          </w:p>
        </w:tc>
        <w:tc>
          <w:tcPr>
            <w:tcW w:w="755" w:type="dxa"/>
            <w:vAlign w:val="center"/>
            <w:hideMark/>
          </w:tcPr>
          <w:p w:rsidR="00A948E9" w:rsidRPr="00C1614D" w:rsidRDefault="00A948E9" w:rsidP="00C1614D">
            <w:pPr>
              <w:spacing w:line="276" w:lineRule="auto"/>
              <w:jc w:val="center"/>
              <w:rPr>
                <w:rFonts w:eastAsia="Times New Roman"/>
                <w:sz w:val="24"/>
                <w:szCs w:val="24"/>
                <w:lang w:eastAsia="ru-RU"/>
              </w:rPr>
            </w:pPr>
            <w:r w:rsidRPr="00C1614D">
              <w:rPr>
                <w:rFonts w:eastAsia="Times New Roman"/>
                <w:sz w:val="24"/>
                <w:szCs w:val="24"/>
                <w:lang w:eastAsia="ru-RU"/>
              </w:rPr>
              <w:t>2015</w:t>
            </w:r>
          </w:p>
        </w:tc>
        <w:tc>
          <w:tcPr>
            <w:tcW w:w="755" w:type="dxa"/>
            <w:vAlign w:val="center"/>
            <w:hideMark/>
          </w:tcPr>
          <w:p w:rsidR="00A948E9" w:rsidRPr="00C1614D" w:rsidRDefault="00A948E9" w:rsidP="00C1614D">
            <w:pPr>
              <w:spacing w:line="276" w:lineRule="auto"/>
              <w:jc w:val="center"/>
              <w:rPr>
                <w:rFonts w:eastAsia="Times New Roman"/>
                <w:sz w:val="24"/>
                <w:szCs w:val="24"/>
                <w:lang w:eastAsia="ru-RU"/>
              </w:rPr>
            </w:pPr>
            <w:r w:rsidRPr="00C1614D">
              <w:rPr>
                <w:rFonts w:eastAsia="Times New Roman"/>
                <w:sz w:val="24"/>
                <w:szCs w:val="24"/>
                <w:lang w:eastAsia="ru-RU"/>
              </w:rPr>
              <w:t>2016</w:t>
            </w:r>
          </w:p>
        </w:tc>
        <w:tc>
          <w:tcPr>
            <w:tcW w:w="735" w:type="dxa"/>
            <w:vAlign w:val="center"/>
            <w:hideMark/>
          </w:tcPr>
          <w:p w:rsidR="00A948E9" w:rsidRPr="00C1614D" w:rsidRDefault="00A948E9" w:rsidP="00C1614D">
            <w:pPr>
              <w:spacing w:line="276" w:lineRule="auto"/>
              <w:jc w:val="center"/>
              <w:rPr>
                <w:rFonts w:eastAsia="Times New Roman"/>
                <w:sz w:val="24"/>
                <w:szCs w:val="24"/>
                <w:lang w:eastAsia="ru-RU"/>
              </w:rPr>
            </w:pPr>
            <w:r w:rsidRPr="00C1614D">
              <w:rPr>
                <w:rFonts w:eastAsia="Times New Roman"/>
                <w:sz w:val="24"/>
                <w:szCs w:val="24"/>
                <w:lang w:eastAsia="ru-RU"/>
              </w:rPr>
              <w:t>2017</w:t>
            </w:r>
          </w:p>
        </w:tc>
        <w:tc>
          <w:tcPr>
            <w:tcW w:w="708" w:type="dxa"/>
            <w:vAlign w:val="center"/>
          </w:tcPr>
          <w:p w:rsidR="00A948E9" w:rsidRPr="00C1614D" w:rsidRDefault="00A948E9" w:rsidP="00C1614D">
            <w:pPr>
              <w:spacing w:line="276" w:lineRule="auto"/>
              <w:jc w:val="center"/>
              <w:rPr>
                <w:rFonts w:eastAsia="Times New Roman"/>
                <w:sz w:val="24"/>
                <w:szCs w:val="24"/>
                <w:lang w:eastAsia="ru-RU"/>
              </w:rPr>
            </w:pPr>
            <w:r w:rsidRPr="00C1614D">
              <w:rPr>
                <w:rFonts w:eastAsia="Times New Roman"/>
                <w:sz w:val="24"/>
                <w:szCs w:val="24"/>
                <w:lang w:eastAsia="ru-RU"/>
              </w:rPr>
              <w:t>2018</w:t>
            </w:r>
          </w:p>
        </w:tc>
      </w:tr>
      <w:tr w:rsidR="00A948E9" w:rsidRPr="00C1614D" w:rsidTr="0006747E">
        <w:trPr>
          <w:jc w:val="center"/>
        </w:trPr>
        <w:tc>
          <w:tcPr>
            <w:tcW w:w="2076" w:type="dxa"/>
            <w:vAlign w:val="center"/>
            <w:hideMark/>
          </w:tcPr>
          <w:p w:rsidR="00A948E9" w:rsidRPr="00C1614D" w:rsidRDefault="00A948E9" w:rsidP="00C1614D">
            <w:pPr>
              <w:spacing w:line="276" w:lineRule="auto"/>
              <w:jc w:val="left"/>
              <w:rPr>
                <w:rFonts w:eastAsia="Times New Roman"/>
                <w:sz w:val="24"/>
                <w:szCs w:val="24"/>
                <w:lang w:eastAsia="ru-RU"/>
              </w:rPr>
            </w:pPr>
            <w:r w:rsidRPr="00C1614D">
              <w:rPr>
                <w:rFonts w:eastAsia="Times New Roman"/>
                <w:sz w:val="24"/>
                <w:szCs w:val="24"/>
                <w:lang w:eastAsia="ru-RU"/>
              </w:rPr>
              <w:t xml:space="preserve">Україна </w:t>
            </w:r>
          </w:p>
        </w:tc>
        <w:tc>
          <w:tcPr>
            <w:tcW w:w="755" w:type="dxa"/>
            <w:vAlign w:val="center"/>
            <w:hideMark/>
          </w:tcPr>
          <w:p w:rsidR="00A948E9" w:rsidRPr="00C1614D" w:rsidRDefault="00A948E9" w:rsidP="00C1614D">
            <w:pPr>
              <w:spacing w:line="276" w:lineRule="auto"/>
              <w:jc w:val="center"/>
              <w:rPr>
                <w:rFonts w:eastAsia="Times New Roman"/>
                <w:sz w:val="24"/>
                <w:szCs w:val="24"/>
                <w:lang w:eastAsia="ru-RU"/>
              </w:rPr>
            </w:pPr>
            <w:r w:rsidRPr="00C1614D">
              <w:rPr>
                <w:rFonts w:eastAsia="Times New Roman"/>
                <w:sz w:val="24"/>
                <w:szCs w:val="24"/>
                <w:lang w:eastAsia="ru-RU"/>
              </w:rPr>
              <w:t>1,28</w:t>
            </w:r>
          </w:p>
        </w:tc>
        <w:tc>
          <w:tcPr>
            <w:tcW w:w="755" w:type="dxa"/>
            <w:vAlign w:val="center"/>
            <w:hideMark/>
          </w:tcPr>
          <w:p w:rsidR="00A948E9" w:rsidRPr="00C1614D" w:rsidRDefault="00A948E9" w:rsidP="00C1614D">
            <w:pPr>
              <w:spacing w:line="276" w:lineRule="auto"/>
              <w:jc w:val="center"/>
              <w:rPr>
                <w:rFonts w:eastAsia="Times New Roman"/>
                <w:sz w:val="24"/>
                <w:szCs w:val="24"/>
                <w:lang w:eastAsia="ru-RU"/>
              </w:rPr>
            </w:pPr>
            <w:r w:rsidRPr="00C1614D">
              <w:rPr>
                <w:rFonts w:eastAsia="Times New Roman"/>
                <w:sz w:val="24"/>
                <w:szCs w:val="24"/>
                <w:lang w:eastAsia="ru-RU"/>
              </w:rPr>
              <w:t>1,18</w:t>
            </w:r>
          </w:p>
        </w:tc>
        <w:tc>
          <w:tcPr>
            <w:tcW w:w="755" w:type="dxa"/>
            <w:hideMark/>
          </w:tcPr>
          <w:p w:rsidR="00A948E9" w:rsidRPr="00C1614D" w:rsidRDefault="00A948E9" w:rsidP="00C1614D">
            <w:pPr>
              <w:spacing w:line="276" w:lineRule="auto"/>
              <w:jc w:val="center"/>
              <w:rPr>
                <w:rFonts w:eastAsia="Times New Roman"/>
                <w:bCs/>
                <w:sz w:val="24"/>
                <w:szCs w:val="24"/>
                <w:lang w:val="ru-RU" w:eastAsia="ru-RU"/>
              </w:rPr>
            </w:pPr>
            <w:r w:rsidRPr="00C1614D">
              <w:rPr>
                <w:rFonts w:eastAsia="Times New Roman"/>
                <w:bCs/>
                <w:sz w:val="24"/>
                <w:szCs w:val="24"/>
                <w:lang w:val="ru-RU" w:eastAsia="ru-RU"/>
              </w:rPr>
              <w:t>1,01</w:t>
            </w:r>
          </w:p>
        </w:tc>
        <w:tc>
          <w:tcPr>
            <w:tcW w:w="755" w:type="dxa"/>
            <w:hideMark/>
          </w:tcPr>
          <w:p w:rsidR="00A948E9" w:rsidRPr="00C1614D" w:rsidRDefault="00A948E9" w:rsidP="00C1614D">
            <w:pPr>
              <w:spacing w:line="276" w:lineRule="auto"/>
              <w:jc w:val="center"/>
              <w:rPr>
                <w:rFonts w:eastAsia="Times New Roman"/>
                <w:bCs/>
                <w:sz w:val="24"/>
                <w:szCs w:val="24"/>
                <w:lang w:val="ru-RU" w:eastAsia="ru-RU"/>
              </w:rPr>
            </w:pPr>
            <w:r w:rsidRPr="00C1614D">
              <w:rPr>
                <w:rFonts w:eastAsia="Times New Roman"/>
                <w:bCs/>
                <w:sz w:val="24"/>
                <w:szCs w:val="24"/>
                <w:lang w:val="ru-RU" w:eastAsia="ru-RU"/>
              </w:rPr>
              <w:t>1,15</w:t>
            </w:r>
          </w:p>
        </w:tc>
        <w:tc>
          <w:tcPr>
            <w:tcW w:w="755" w:type="dxa"/>
            <w:hideMark/>
          </w:tcPr>
          <w:p w:rsidR="00A948E9" w:rsidRPr="00C1614D" w:rsidRDefault="00A948E9" w:rsidP="00C1614D">
            <w:pPr>
              <w:spacing w:line="276" w:lineRule="auto"/>
              <w:jc w:val="center"/>
              <w:rPr>
                <w:rFonts w:eastAsia="Times New Roman"/>
                <w:bCs/>
                <w:sz w:val="24"/>
                <w:szCs w:val="24"/>
                <w:lang w:val="ru-RU" w:eastAsia="ru-RU"/>
              </w:rPr>
            </w:pPr>
            <w:r w:rsidRPr="00C1614D">
              <w:rPr>
                <w:rFonts w:eastAsia="Times New Roman"/>
                <w:bCs/>
                <w:sz w:val="24"/>
                <w:szCs w:val="24"/>
                <w:lang w:val="ru-RU" w:eastAsia="ru-RU"/>
              </w:rPr>
              <w:t>1,10</w:t>
            </w:r>
          </w:p>
        </w:tc>
        <w:tc>
          <w:tcPr>
            <w:tcW w:w="755" w:type="dxa"/>
            <w:hideMark/>
          </w:tcPr>
          <w:p w:rsidR="00A948E9" w:rsidRPr="00C1614D" w:rsidRDefault="00A948E9" w:rsidP="00C1614D">
            <w:pPr>
              <w:spacing w:line="276" w:lineRule="auto"/>
              <w:jc w:val="center"/>
              <w:rPr>
                <w:rFonts w:eastAsia="Times New Roman"/>
                <w:bCs/>
                <w:sz w:val="24"/>
                <w:szCs w:val="24"/>
                <w:lang w:val="ru-RU" w:eastAsia="ru-RU"/>
              </w:rPr>
            </w:pPr>
            <w:r w:rsidRPr="00C1614D">
              <w:rPr>
                <w:rFonts w:eastAsia="Times New Roman"/>
                <w:bCs/>
                <w:sz w:val="24"/>
                <w:szCs w:val="24"/>
                <w:lang w:val="ru-RU" w:eastAsia="ru-RU"/>
              </w:rPr>
              <w:t>1,00</w:t>
            </w:r>
          </w:p>
        </w:tc>
        <w:tc>
          <w:tcPr>
            <w:tcW w:w="735" w:type="dxa"/>
            <w:hideMark/>
          </w:tcPr>
          <w:p w:rsidR="00A948E9" w:rsidRPr="00C1614D" w:rsidRDefault="00A948E9" w:rsidP="00C1614D">
            <w:pPr>
              <w:spacing w:line="276" w:lineRule="auto"/>
              <w:jc w:val="center"/>
              <w:rPr>
                <w:rFonts w:eastAsia="Times New Roman"/>
                <w:bCs/>
                <w:sz w:val="24"/>
                <w:szCs w:val="24"/>
                <w:lang w:val="ru-RU" w:eastAsia="ru-RU"/>
              </w:rPr>
            </w:pPr>
            <w:r w:rsidRPr="00C1614D">
              <w:rPr>
                <w:rFonts w:eastAsia="Times New Roman"/>
                <w:bCs/>
                <w:sz w:val="24"/>
                <w:szCs w:val="24"/>
                <w:lang w:val="ru-RU" w:eastAsia="ru-RU"/>
              </w:rPr>
              <w:t>0,96</w:t>
            </w:r>
          </w:p>
        </w:tc>
        <w:tc>
          <w:tcPr>
            <w:tcW w:w="708" w:type="dxa"/>
          </w:tcPr>
          <w:p w:rsidR="00A948E9" w:rsidRPr="00C1614D" w:rsidRDefault="00A948E9" w:rsidP="00C1614D">
            <w:pPr>
              <w:spacing w:line="276" w:lineRule="auto"/>
              <w:jc w:val="center"/>
              <w:rPr>
                <w:rFonts w:eastAsia="Times New Roman"/>
                <w:bCs/>
                <w:sz w:val="24"/>
                <w:szCs w:val="24"/>
                <w:lang w:eastAsia="ru-RU"/>
              </w:rPr>
            </w:pPr>
            <w:r w:rsidRPr="00C1614D">
              <w:rPr>
                <w:rFonts w:eastAsia="Times New Roman"/>
                <w:bCs/>
                <w:sz w:val="24"/>
                <w:szCs w:val="24"/>
                <w:lang w:eastAsia="ru-RU"/>
              </w:rPr>
              <w:t>0,89</w:t>
            </w:r>
          </w:p>
        </w:tc>
      </w:tr>
      <w:tr w:rsidR="00A948E9" w:rsidRPr="00C1614D" w:rsidTr="0006747E">
        <w:trPr>
          <w:jc w:val="center"/>
        </w:trPr>
        <w:tc>
          <w:tcPr>
            <w:tcW w:w="2076" w:type="dxa"/>
            <w:vAlign w:val="center"/>
            <w:hideMark/>
          </w:tcPr>
          <w:p w:rsidR="00A948E9" w:rsidRPr="00C1614D" w:rsidRDefault="00A948E9" w:rsidP="00C1614D">
            <w:pPr>
              <w:spacing w:line="276" w:lineRule="auto"/>
              <w:jc w:val="left"/>
              <w:rPr>
                <w:rFonts w:eastAsia="Times New Roman"/>
                <w:sz w:val="24"/>
                <w:szCs w:val="24"/>
                <w:lang w:eastAsia="ru-RU"/>
              </w:rPr>
            </w:pPr>
            <w:r w:rsidRPr="00C1614D">
              <w:rPr>
                <w:rFonts w:eastAsia="Times New Roman"/>
                <w:sz w:val="24"/>
                <w:szCs w:val="24"/>
                <w:lang w:eastAsia="ru-RU"/>
              </w:rPr>
              <w:t>Вінницька</w:t>
            </w:r>
          </w:p>
        </w:tc>
        <w:tc>
          <w:tcPr>
            <w:tcW w:w="755" w:type="dxa"/>
            <w:vAlign w:val="center"/>
            <w:hideMark/>
          </w:tcPr>
          <w:p w:rsidR="00A948E9" w:rsidRPr="00C1614D" w:rsidRDefault="00A948E9" w:rsidP="00C1614D">
            <w:pPr>
              <w:spacing w:line="276" w:lineRule="auto"/>
              <w:jc w:val="center"/>
              <w:rPr>
                <w:rFonts w:eastAsia="Times New Roman"/>
                <w:sz w:val="24"/>
                <w:szCs w:val="24"/>
                <w:lang w:eastAsia="ru-RU"/>
              </w:rPr>
            </w:pPr>
            <w:r w:rsidRPr="00C1614D">
              <w:rPr>
                <w:rFonts w:eastAsia="Times New Roman"/>
                <w:sz w:val="24"/>
                <w:szCs w:val="24"/>
                <w:lang w:eastAsia="ru-RU"/>
              </w:rPr>
              <w:t>1,66</w:t>
            </w:r>
          </w:p>
        </w:tc>
        <w:tc>
          <w:tcPr>
            <w:tcW w:w="755" w:type="dxa"/>
            <w:vAlign w:val="center"/>
            <w:hideMark/>
          </w:tcPr>
          <w:p w:rsidR="00A948E9" w:rsidRPr="00C1614D" w:rsidRDefault="00A948E9" w:rsidP="00C1614D">
            <w:pPr>
              <w:spacing w:line="276" w:lineRule="auto"/>
              <w:jc w:val="center"/>
              <w:rPr>
                <w:rFonts w:eastAsia="Times New Roman"/>
                <w:sz w:val="24"/>
                <w:szCs w:val="24"/>
                <w:lang w:eastAsia="ru-RU"/>
              </w:rPr>
            </w:pPr>
            <w:r w:rsidRPr="00C1614D">
              <w:rPr>
                <w:rFonts w:eastAsia="Times New Roman"/>
                <w:sz w:val="24"/>
                <w:szCs w:val="24"/>
                <w:lang w:eastAsia="ru-RU"/>
              </w:rPr>
              <w:t>1,39</w:t>
            </w:r>
          </w:p>
        </w:tc>
        <w:tc>
          <w:tcPr>
            <w:tcW w:w="755" w:type="dxa"/>
            <w:hideMark/>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1,25</w:t>
            </w:r>
          </w:p>
        </w:tc>
        <w:tc>
          <w:tcPr>
            <w:tcW w:w="755" w:type="dxa"/>
            <w:hideMark/>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0,85</w:t>
            </w:r>
          </w:p>
        </w:tc>
        <w:tc>
          <w:tcPr>
            <w:tcW w:w="755" w:type="dxa"/>
            <w:hideMark/>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1,28</w:t>
            </w:r>
          </w:p>
        </w:tc>
        <w:tc>
          <w:tcPr>
            <w:tcW w:w="755" w:type="dxa"/>
            <w:hideMark/>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1,23</w:t>
            </w:r>
          </w:p>
        </w:tc>
        <w:tc>
          <w:tcPr>
            <w:tcW w:w="735" w:type="dxa"/>
            <w:hideMark/>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1,52</w:t>
            </w:r>
          </w:p>
        </w:tc>
        <w:tc>
          <w:tcPr>
            <w:tcW w:w="708" w:type="dxa"/>
          </w:tcPr>
          <w:p w:rsidR="00A948E9" w:rsidRPr="00C1614D" w:rsidRDefault="00A948E9" w:rsidP="00C1614D">
            <w:pPr>
              <w:spacing w:line="276" w:lineRule="auto"/>
              <w:jc w:val="center"/>
              <w:rPr>
                <w:rFonts w:eastAsia="Times New Roman"/>
                <w:sz w:val="24"/>
                <w:szCs w:val="24"/>
                <w:lang w:eastAsia="ru-RU"/>
              </w:rPr>
            </w:pPr>
            <w:r w:rsidRPr="00C1614D">
              <w:rPr>
                <w:rFonts w:eastAsia="Times New Roman"/>
                <w:sz w:val="24"/>
                <w:szCs w:val="24"/>
                <w:lang w:eastAsia="ru-RU"/>
              </w:rPr>
              <w:t>1,41</w:t>
            </w:r>
          </w:p>
        </w:tc>
      </w:tr>
      <w:tr w:rsidR="00A948E9" w:rsidRPr="00C1614D" w:rsidTr="0006747E">
        <w:trPr>
          <w:jc w:val="center"/>
        </w:trPr>
        <w:tc>
          <w:tcPr>
            <w:tcW w:w="2076" w:type="dxa"/>
            <w:vAlign w:val="center"/>
            <w:hideMark/>
          </w:tcPr>
          <w:p w:rsidR="00A948E9" w:rsidRPr="00C1614D" w:rsidRDefault="00A948E9" w:rsidP="00C1614D">
            <w:pPr>
              <w:spacing w:line="276" w:lineRule="auto"/>
              <w:jc w:val="left"/>
              <w:rPr>
                <w:rFonts w:eastAsia="Times New Roman"/>
                <w:sz w:val="24"/>
                <w:szCs w:val="24"/>
                <w:lang w:eastAsia="ru-RU"/>
              </w:rPr>
            </w:pPr>
            <w:r w:rsidRPr="00C1614D">
              <w:rPr>
                <w:rFonts w:eastAsia="Times New Roman"/>
                <w:sz w:val="24"/>
                <w:szCs w:val="24"/>
                <w:lang w:eastAsia="ru-RU"/>
              </w:rPr>
              <w:t>Волинська</w:t>
            </w:r>
          </w:p>
        </w:tc>
        <w:tc>
          <w:tcPr>
            <w:tcW w:w="755" w:type="dxa"/>
            <w:vAlign w:val="center"/>
            <w:hideMark/>
          </w:tcPr>
          <w:p w:rsidR="00A948E9" w:rsidRPr="00C1614D" w:rsidRDefault="00A948E9" w:rsidP="00C1614D">
            <w:pPr>
              <w:spacing w:line="276" w:lineRule="auto"/>
              <w:jc w:val="center"/>
              <w:rPr>
                <w:rFonts w:eastAsia="Times New Roman"/>
                <w:sz w:val="24"/>
                <w:szCs w:val="24"/>
                <w:lang w:eastAsia="ru-RU"/>
              </w:rPr>
            </w:pPr>
            <w:r w:rsidRPr="00C1614D">
              <w:rPr>
                <w:rFonts w:eastAsia="Times New Roman"/>
                <w:sz w:val="24"/>
                <w:szCs w:val="24"/>
                <w:lang w:eastAsia="ru-RU"/>
              </w:rPr>
              <w:t>1,27</w:t>
            </w:r>
          </w:p>
        </w:tc>
        <w:tc>
          <w:tcPr>
            <w:tcW w:w="755" w:type="dxa"/>
            <w:vAlign w:val="center"/>
            <w:hideMark/>
          </w:tcPr>
          <w:p w:rsidR="00A948E9" w:rsidRPr="00C1614D" w:rsidRDefault="00A948E9" w:rsidP="00C1614D">
            <w:pPr>
              <w:spacing w:line="276" w:lineRule="auto"/>
              <w:jc w:val="center"/>
              <w:rPr>
                <w:rFonts w:eastAsia="Times New Roman"/>
                <w:sz w:val="24"/>
                <w:szCs w:val="24"/>
                <w:lang w:eastAsia="ru-RU"/>
              </w:rPr>
            </w:pPr>
            <w:r w:rsidRPr="00C1614D">
              <w:rPr>
                <w:rFonts w:eastAsia="Times New Roman"/>
                <w:sz w:val="24"/>
                <w:szCs w:val="24"/>
                <w:lang w:eastAsia="ru-RU"/>
              </w:rPr>
              <w:t>1,33</w:t>
            </w:r>
          </w:p>
        </w:tc>
        <w:tc>
          <w:tcPr>
            <w:tcW w:w="755" w:type="dxa"/>
            <w:hideMark/>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0,70</w:t>
            </w:r>
          </w:p>
        </w:tc>
        <w:tc>
          <w:tcPr>
            <w:tcW w:w="755" w:type="dxa"/>
            <w:hideMark/>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0,79</w:t>
            </w:r>
          </w:p>
        </w:tc>
        <w:tc>
          <w:tcPr>
            <w:tcW w:w="755" w:type="dxa"/>
            <w:hideMark/>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1,27</w:t>
            </w:r>
          </w:p>
        </w:tc>
        <w:tc>
          <w:tcPr>
            <w:tcW w:w="755" w:type="dxa"/>
            <w:hideMark/>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1,20</w:t>
            </w:r>
          </w:p>
        </w:tc>
        <w:tc>
          <w:tcPr>
            <w:tcW w:w="735" w:type="dxa"/>
            <w:hideMark/>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1,02</w:t>
            </w:r>
          </w:p>
        </w:tc>
        <w:tc>
          <w:tcPr>
            <w:tcW w:w="708" w:type="dxa"/>
          </w:tcPr>
          <w:p w:rsidR="00A948E9" w:rsidRPr="00C1614D" w:rsidRDefault="00A948E9" w:rsidP="00C1614D">
            <w:pPr>
              <w:spacing w:line="276" w:lineRule="auto"/>
              <w:jc w:val="center"/>
              <w:rPr>
                <w:rFonts w:eastAsia="Times New Roman"/>
                <w:sz w:val="24"/>
                <w:szCs w:val="24"/>
                <w:lang w:eastAsia="ru-RU"/>
              </w:rPr>
            </w:pPr>
            <w:r w:rsidRPr="00C1614D">
              <w:rPr>
                <w:rFonts w:eastAsia="Times New Roman"/>
                <w:sz w:val="24"/>
                <w:szCs w:val="24"/>
                <w:lang w:eastAsia="ru-RU"/>
              </w:rPr>
              <w:t>0,80</w:t>
            </w:r>
          </w:p>
        </w:tc>
      </w:tr>
      <w:tr w:rsidR="00A948E9" w:rsidRPr="00C1614D" w:rsidTr="0006747E">
        <w:trPr>
          <w:jc w:val="center"/>
        </w:trPr>
        <w:tc>
          <w:tcPr>
            <w:tcW w:w="2076" w:type="dxa"/>
            <w:vAlign w:val="center"/>
            <w:hideMark/>
          </w:tcPr>
          <w:p w:rsidR="00A948E9" w:rsidRPr="00C1614D" w:rsidRDefault="00A948E9" w:rsidP="00C1614D">
            <w:pPr>
              <w:spacing w:line="276" w:lineRule="auto"/>
              <w:jc w:val="left"/>
              <w:rPr>
                <w:rFonts w:eastAsia="Times New Roman"/>
                <w:sz w:val="24"/>
                <w:szCs w:val="24"/>
                <w:lang w:eastAsia="ru-RU"/>
              </w:rPr>
            </w:pPr>
            <w:r w:rsidRPr="00C1614D">
              <w:rPr>
                <w:rFonts w:eastAsia="Times New Roman"/>
                <w:sz w:val="24"/>
                <w:szCs w:val="24"/>
                <w:lang w:eastAsia="ru-RU"/>
              </w:rPr>
              <w:t>Дніпропетровська</w:t>
            </w:r>
          </w:p>
        </w:tc>
        <w:tc>
          <w:tcPr>
            <w:tcW w:w="755" w:type="dxa"/>
            <w:vAlign w:val="center"/>
            <w:hideMark/>
          </w:tcPr>
          <w:p w:rsidR="00A948E9" w:rsidRPr="00C1614D" w:rsidRDefault="00A948E9" w:rsidP="00C1614D">
            <w:pPr>
              <w:spacing w:line="276" w:lineRule="auto"/>
              <w:jc w:val="center"/>
              <w:rPr>
                <w:rFonts w:eastAsia="Times New Roman"/>
                <w:sz w:val="24"/>
                <w:szCs w:val="24"/>
                <w:lang w:eastAsia="ru-RU"/>
              </w:rPr>
            </w:pPr>
            <w:r w:rsidRPr="00C1614D">
              <w:rPr>
                <w:rFonts w:eastAsia="Times New Roman"/>
                <w:sz w:val="24"/>
                <w:szCs w:val="24"/>
                <w:lang w:eastAsia="ru-RU"/>
              </w:rPr>
              <w:t>1,45</w:t>
            </w:r>
          </w:p>
        </w:tc>
        <w:tc>
          <w:tcPr>
            <w:tcW w:w="755" w:type="dxa"/>
            <w:vAlign w:val="center"/>
            <w:hideMark/>
          </w:tcPr>
          <w:p w:rsidR="00A948E9" w:rsidRPr="00C1614D" w:rsidRDefault="00A948E9" w:rsidP="00C1614D">
            <w:pPr>
              <w:spacing w:line="276" w:lineRule="auto"/>
              <w:jc w:val="center"/>
              <w:rPr>
                <w:rFonts w:eastAsia="Times New Roman"/>
                <w:sz w:val="24"/>
                <w:szCs w:val="24"/>
                <w:lang w:eastAsia="ru-RU"/>
              </w:rPr>
            </w:pPr>
            <w:r w:rsidRPr="00C1614D">
              <w:rPr>
                <w:rFonts w:eastAsia="Times New Roman"/>
                <w:sz w:val="24"/>
                <w:szCs w:val="24"/>
                <w:lang w:eastAsia="ru-RU"/>
              </w:rPr>
              <w:t>0,90</w:t>
            </w:r>
          </w:p>
        </w:tc>
        <w:tc>
          <w:tcPr>
            <w:tcW w:w="755" w:type="dxa"/>
            <w:hideMark/>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1,07</w:t>
            </w:r>
          </w:p>
        </w:tc>
        <w:tc>
          <w:tcPr>
            <w:tcW w:w="755" w:type="dxa"/>
            <w:hideMark/>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1,52</w:t>
            </w:r>
          </w:p>
        </w:tc>
        <w:tc>
          <w:tcPr>
            <w:tcW w:w="755" w:type="dxa"/>
            <w:hideMark/>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1,21</w:t>
            </w:r>
          </w:p>
        </w:tc>
        <w:tc>
          <w:tcPr>
            <w:tcW w:w="755" w:type="dxa"/>
            <w:hideMark/>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0,81</w:t>
            </w:r>
          </w:p>
        </w:tc>
        <w:tc>
          <w:tcPr>
            <w:tcW w:w="735" w:type="dxa"/>
            <w:hideMark/>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1,18</w:t>
            </w:r>
          </w:p>
        </w:tc>
        <w:tc>
          <w:tcPr>
            <w:tcW w:w="708" w:type="dxa"/>
          </w:tcPr>
          <w:p w:rsidR="00A948E9" w:rsidRPr="00C1614D" w:rsidRDefault="00A948E9" w:rsidP="00C1614D">
            <w:pPr>
              <w:spacing w:line="276" w:lineRule="auto"/>
              <w:jc w:val="center"/>
              <w:rPr>
                <w:rFonts w:eastAsia="Times New Roman"/>
                <w:sz w:val="24"/>
                <w:szCs w:val="24"/>
                <w:lang w:eastAsia="ru-RU"/>
              </w:rPr>
            </w:pPr>
            <w:r w:rsidRPr="00C1614D">
              <w:rPr>
                <w:rFonts w:eastAsia="Times New Roman"/>
                <w:sz w:val="24"/>
                <w:szCs w:val="24"/>
                <w:lang w:eastAsia="ru-RU"/>
              </w:rPr>
              <w:t>1,16</w:t>
            </w:r>
          </w:p>
        </w:tc>
      </w:tr>
      <w:tr w:rsidR="00A948E9" w:rsidRPr="00C1614D" w:rsidTr="0006747E">
        <w:trPr>
          <w:jc w:val="center"/>
        </w:trPr>
        <w:tc>
          <w:tcPr>
            <w:tcW w:w="2076" w:type="dxa"/>
            <w:vAlign w:val="center"/>
            <w:hideMark/>
          </w:tcPr>
          <w:p w:rsidR="00A948E9" w:rsidRPr="00C1614D" w:rsidRDefault="00A948E9" w:rsidP="00C1614D">
            <w:pPr>
              <w:spacing w:line="276" w:lineRule="auto"/>
              <w:jc w:val="left"/>
              <w:rPr>
                <w:rFonts w:eastAsia="Times New Roman"/>
                <w:sz w:val="24"/>
                <w:szCs w:val="24"/>
                <w:lang w:eastAsia="ru-RU"/>
              </w:rPr>
            </w:pPr>
            <w:r w:rsidRPr="00C1614D">
              <w:rPr>
                <w:rFonts w:eastAsia="Times New Roman"/>
                <w:sz w:val="24"/>
                <w:szCs w:val="24"/>
                <w:lang w:eastAsia="ru-RU"/>
              </w:rPr>
              <w:t>Донецька</w:t>
            </w:r>
          </w:p>
        </w:tc>
        <w:tc>
          <w:tcPr>
            <w:tcW w:w="755" w:type="dxa"/>
            <w:vAlign w:val="center"/>
            <w:hideMark/>
          </w:tcPr>
          <w:p w:rsidR="00A948E9" w:rsidRPr="00C1614D" w:rsidRDefault="00A948E9" w:rsidP="00C1614D">
            <w:pPr>
              <w:spacing w:line="276" w:lineRule="auto"/>
              <w:jc w:val="center"/>
              <w:rPr>
                <w:rFonts w:eastAsia="Times New Roman"/>
                <w:sz w:val="24"/>
                <w:szCs w:val="24"/>
                <w:lang w:eastAsia="ru-RU"/>
              </w:rPr>
            </w:pPr>
            <w:r w:rsidRPr="00C1614D">
              <w:rPr>
                <w:rFonts w:eastAsia="Times New Roman"/>
                <w:sz w:val="24"/>
                <w:szCs w:val="24"/>
                <w:lang w:eastAsia="ru-RU"/>
              </w:rPr>
              <w:t>1,38</w:t>
            </w:r>
          </w:p>
        </w:tc>
        <w:tc>
          <w:tcPr>
            <w:tcW w:w="755" w:type="dxa"/>
            <w:vAlign w:val="center"/>
            <w:hideMark/>
          </w:tcPr>
          <w:p w:rsidR="00A948E9" w:rsidRPr="00C1614D" w:rsidRDefault="00A948E9" w:rsidP="00C1614D">
            <w:pPr>
              <w:spacing w:line="276" w:lineRule="auto"/>
              <w:jc w:val="center"/>
              <w:rPr>
                <w:rFonts w:eastAsia="Times New Roman"/>
                <w:sz w:val="24"/>
                <w:szCs w:val="24"/>
                <w:lang w:eastAsia="ru-RU"/>
              </w:rPr>
            </w:pPr>
            <w:r w:rsidRPr="00C1614D">
              <w:rPr>
                <w:rFonts w:eastAsia="Times New Roman"/>
                <w:sz w:val="24"/>
                <w:szCs w:val="24"/>
                <w:lang w:eastAsia="ru-RU"/>
              </w:rPr>
              <w:t>1,75</w:t>
            </w:r>
          </w:p>
        </w:tc>
        <w:tc>
          <w:tcPr>
            <w:tcW w:w="755" w:type="dxa"/>
            <w:hideMark/>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1,59</w:t>
            </w:r>
          </w:p>
        </w:tc>
        <w:tc>
          <w:tcPr>
            <w:tcW w:w="755" w:type="dxa"/>
            <w:hideMark/>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1,48</w:t>
            </w:r>
          </w:p>
        </w:tc>
        <w:tc>
          <w:tcPr>
            <w:tcW w:w="755" w:type="dxa"/>
            <w:hideMark/>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1,32</w:t>
            </w:r>
          </w:p>
        </w:tc>
        <w:tc>
          <w:tcPr>
            <w:tcW w:w="755" w:type="dxa"/>
            <w:hideMark/>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1,48</w:t>
            </w:r>
          </w:p>
        </w:tc>
        <w:tc>
          <w:tcPr>
            <w:tcW w:w="735" w:type="dxa"/>
            <w:hideMark/>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1,65</w:t>
            </w:r>
          </w:p>
        </w:tc>
        <w:tc>
          <w:tcPr>
            <w:tcW w:w="708" w:type="dxa"/>
          </w:tcPr>
          <w:p w:rsidR="00A948E9" w:rsidRPr="00C1614D" w:rsidRDefault="00A948E9" w:rsidP="00C1614D">
            <w:pPr>
              <w:spacing w:line="276" w:lineRule="auto"/>
              <w:jc w:val="center"/>
              <w:rPr>
                <w:rFonts w:eastAsia="Times New Roman"/>
                <w:sz w:val="24"/>
                <w:szCs w:val="24"/>
                <w:lang w:eastAsia="ru-RU"/>
              </w:rPr>
            </w:pPr>
            <w:r w:rsidRPr="00C1614D">
              <w:rPr>
                <w:rFonts w:eastAsia="Times New Roman"/>
                <w:sz w:val="24"/>
                <w:szCs w:val="24"/>
                <w:lang w:eastAsia="ru-RU"/>
              </w:rPr>
              <w:t>1,30</w:t>
            </w:r>
          </w:p>
        </w:tc>
      </w:tr>
      <w:tr w:rsidR="00A948E9" w:rsidRPr="00C1614D" w:rsidTr="0006747E">
        <w:trPr>
          <w:jc w:val="center"/>
        </w:trPr>
        <w:tc>
          <w:tcPr>
            <w:tcW w:w="2076" w:type="dxa"/>
            <w:vAlign w:val="center"/>
            <w:hideMark/>
          </w:tcPr>
          <w:p w:rsidR="00A948E9" w:rsidRPr="00C1614D" w:rsidRDefault="00A948E9" w:rsidP="00C1614D">
            <w:pPr>
              <w:spacing w:line="276" w:lineRule="auto"/>
              <w:jc w:val="left"/>
              <w:rPr>
                <w:rFonts w:eastAsia="Times New Roman"/>
                <w:sz w:val="24"/>
                <w:szCs w:val="24"/>
                <w:lang w:eastAsia="ru-RU"/>
              </w:rPr>
            </w:pPr>
            <w:r w:rsidRPr="00C1614D">
              <w:rPr>
                <w:rFonts w:eastAsia="Times New Roman"/>
                <w:sz w:val="24"/>
                <w:szCs w:val="24"/>
                <w:lang w:eastAsia="ru-RU"/>
              </w:rPr>
              <w:t>Житомирська</w:t>
            </w:r>
          </w:p>
        </w:tc>
        <w:tc>
          <w:tcPr>
            <w:tcW w:w="755" w:type="dxa"/>
            <w:vAlign w:val="center"/>
            <w:hideMark/>
          </w:tcPr>
          <w:p w:rsidR="00A948E9" w:rsidRPr="00C1614D" w:rsidRDefault="00A948E9" w:rsidP="00C1614D">
            <w:pPr>
              <w:spacing w:line="276" w:lineRule="auto"/>
              <w:jc w:val="center"/>
              <w:rPr>
                <w:rFonts w:eastAsia="Times New Roman"/>
                <w:sz w:val="24"/>
                <w:szCs w:val="24"/>
                <w:lang w:eastAsia="ru-RU"/>
              </w:rPr>
            </w:pPr>
            <w:r w:rsidRPr="00C1614D">
              <w:rPr>
                <w:rFonts w:eastAsia="Times New Roman"/>
                <w:sz w:val="24"/>
                <w:szCs w:val="24"/>
                <w:lang w:eastAsia="ru-RU"/>
              </w:rPr>
              <w:t>1,58</w:t>
            </w:r>
          </w:p>
        </w:tc>
        <w:tc>
          <w:tcPr>
            <w:tcW w:w="755" w:type="dxa"/>
            <w:vAlign w:val="center"/>
            <w:hideMark/>
          </w:tcPr>
          <w:p w:rsidR="00A948E9" w:rsidRPr="00C1614D" w:rsidRDefault="00A948E9" w:rsidP="00C1614D">
            <w:pPr>
              <w:spacing w:line="276" w:lineRule="auto"/>
              <w:jc w:val="center"/>
              <w:rPr>
                <w:rFonts w:eastAsia="Times New Roman"/>
                <w:sz w:val="24"/>
                <w:szCs w:val="24"/>
                <w:lang w:eastAsia="ru-RU"/>
              </w:rPr>
            </w:pPr>
            <w:r w:rsidRPr="00C1614D">
              <w:rPr>
                <w:rFonts w:eastAsia="Times New Roman"/>
                <w:sz w:val="24"/>
                <w:szCs w:val="24"/>
                <w:lang w:eastAsia="ru-RU"/>
              </w:rPr>
              <w:t>1,26</w:t>
            </w:r>
          </w:p>
        </w:tc>
        <w:tc>
          <w:tcPr>
            <w:tcW w:w="755" w:type="dxa"/>
            <w:hideMark/>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1,39</w:t>
            </w:r>
          </w:p>
        </w:tc>
        <w:tc>
          <w:tcPr>
            <w:tcW w:w="755" w:type="dxa"/>
            <w:hideMark/>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1,83</w:t>
            </w:r>
          </w:p>
        </w:tc>
        <w:tc>
          <w:tcPr>
            <w:tcW w:w="755" w:type="dxa"/>
            <w:hideMark/>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1,18</w:t>
            </w:r>
          </w:p>
        </w:tc>
        <w:tc>
          <w:tcPr>
            <w:tcW w:w="755" w:type="dxa"/>
            <w:hideMark/>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1,12</w:t>
            </w:r>
          </w:p>
        </w:tc>
        <w:tc>
          <w:tcPr>
            <w:tcW w:w="735" w:type="dxa"/>
            <w:hideMark/>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1,05</w:t>
            </w:r>
          </w:p>
        </w:tc>
        <w:tc>
          <w:tcPr>
            <w:tcW w:w="708" w:type="dxa"/>
          </w:tcPr>
          <w:p w:rsidR="00A948E9" w:rsidRPr="00C1614D" w:rsidRDefault="00A948E9" w:rsidP="00C1614D">
            <w:pPr>
              <w:spacing w:line="276" w:lineRule="auto"/>
              <w:jc w:val="center"/>
              <w:rPr>
                <w:rFonts w:eastAsia="Times New Roman"/>
                <w:sz w:val="24"/>
                <w:szCs w:val="24"/>
                <w:lang w:eastAsia="ru-RU"/>
              </w:rPr>
            </w:pPr>
            <w:r w:rsidRPr="00C1614D">
              <w:rPr>
                <w:rFonts w:eastAsia="Times New Roman"/>
                <w:sz w:val="24"/>
                <w:szCs w:val="24"/>
                <w:lang w:eastAsia="ru-RU"/>
              </w:rPr>
              <w:t>1,40</w:t>
            </w:r>
          </w:p>
        </w:tc>
      </w:tr>
      <w:tr w:rsidR="00A948E9" w:rsidRPr="00C1614D" w:rsidTr="0006747E">
        <w:trPr>
          <w:jc w:val="center"/>
        </w:trPr>
        <w:tc>
          <w:tcPr>
            <w:tcW w:w="2076" w:type="dxa"/>
            <w:vAlign w:val="center"/>
            <w:hideMark/>
          </w:tcPr>
          <w:p w:rsidR="00A948E9" w:rsidRPr="00C1614D" w:rsidRDefault="00A948E9" w:rsidP="00C1614D">
            <w:pPr>
              <w:spacing w:line="276" w:lineRule="auto"/>
              <w:jc w:val="left"/>
              <w:rPr>
                <w:rFonts w:eastAsia="Times New Roman"/>
                <w:sz w:val="24"/>
                <w:szCs w:val="24"/>
                <w:lang w:eastAsia="ru-RU"/>
              </w:rPr>
            </w:pPr>
            <w:r w:rsidRPr="00C1614D">
              <w:rPr>
                <w:rFonts w:eastAsia="Times New Roman"/>
                <w:sz w:val="24"/>
                <w:szCs w:val="24"/>
                <w:lang w:eastAsia="ru-RU"/>
              </w:rPr>
              <w:t>Закарпатська</w:t>
            </w:r>
          </w:p>
        </w:tc>
        <w:tc>
          <w:tcPr>
            <w:tcW w:w="755" w:type="dxa"/>
            <w:vAlign w:val="center"/>
            <w:hideMark/>
          </w:tcPr>
          <w:p w:rsidR="00A948E9" w:rsidRPr="00C1614D" w:rsidRDefault="00A948E9" w:rsidP="00C1614D">
            <w:pPr>
              <w:spacing w:line="276" w:lineRule="auto"/>
              <w:jc w:val="center"/>
              <w:rPr>
                <w:rFonts w:eastAsia="Times New Roman"/>
                <w:sz w:val="24"/>
                <w:szCs w:val="24"/>
                <w:lang w:eastAsia="ru-RU"/>
              </w:rPr>
            </w:pPr>
            <w:r w:rsidRPr="00C1614D">
              <w:rPr>
                <w:rFonts w:eastAsia="Times New Roman"/>
                <w:sz w:val="24"/>
                <w:szCs w:val="24"/>
                <w:lang w:eastAsia="ru-RU"/>
              </w:rPr>
              <w:t>2,03</w:t>
            </w:r>
          </w:p>
        </w:tc>
        <w:tc>
          <w:tcPr>
            <w:tcW w:w="755" w:type="dxa"/>
            <w:vAlign w:val="center"/>
            <w:hideMark/>
          </w:tcPr>
          <w:p w:rsidR="00A948E9" w:rsidRPr="00C1614D" w:rsidRDefault="00A948E9" w:rsidP="00C1614D">
            <w:pPr>
              <w:spacing w:line="276" w:lineRule="auto"/>
              <w:jc w:val="center"/>
              <w:rPr>
                <w:rFonts w:eastAsia="Times New Roman"/>
                <w:sz w:val="24"/>
                <w:szCs w:val="24"/>
                <w:lang w:eastAsia="ru-RU"/>
              </w:rPr>
            </w:pPr>
            <w:r w:rsidRPr="00C1614D">
              <w:rPr>
                <w:rFonts w:eastAsia="Times New Roman"/>
                <w:sz w:val="24"/>
                <w:szCs w:val="24"/>
                <w:lang w:eastAsia="ru-RU"/>
              </w:rPr>
              <w:t>1,78</w:t>
            </w:r>
          </w:p>
        </w:tc>
        <w:tc>
          <w:tcPr>
            <w:tcW w:w="755" w:type="dxa"/>
            <w:hideMark/>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1,78</w:t>
            </w:r>
          </w:p>
        </w:tc>
        <w:tc>
          <w:tcPr>
            <w:tcW w:w="755" w:type="dxa"/>
            <w:hideMark/>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1,64</w:t>
            </w:r>
          </w:p>
        </w:tc>
        <w:tc>
          <w:tcPr>
            <w:tcW w:w="755" w:type="dxa"/>
            <w:hideMark/>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1,87</w:t>
            </w:r>
          </w:p>
        </w:tc>
        <w:tc>
          <w:tcPr>
            <w:tcW w:w="755" w:type="dxa"/>
            <w:hideMark/>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2,24</w:t>
            </w:r>
          </w:p>
        </w:tc>
        <w:tc>
          <w:tcPr>
            <w:tcW w:w="735" w:type="dxa"/>
            <w:hideMark/>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1,76</w:t>
            </w:r>
          </w:p>
        </w:tc>
        <w:tc>
          <w:tcPr>
            <w:tcW w:w="708" w:type="dxa"/>
          </w:tcPr>
          <w:p w:rsidR="00A948E9" w:rsidRPr="00C1614D" w:rsidRDefault="00A948E9" w:rsidP="00C1614D">
            <w:pPr>
              <w:spacing w:line="276" w:lineRule="auto"/>
              <w:jc w:val="center"/>
              <w:rPr>
                <w:rFonts w:eastAsia="Times New Roman"/>
                <w:sz w:val="24"/>
                <w:szCs w:val="24"/>
                <w:lang w:eastAsia="ru-RU"/>
              </w:rPr>
            </w:pPr>
            <w:r w:rsidRPr="00C1614D">
              <w:rPr>
                <w:rFonts w:eastAsia="Times New Roman"/>
                <w:sz w:val="24"/>
                <w:szCs w:val="24"/>
                <w:lang w:eastAsia="ru-RU"/>
              </w:rPr>
              <w:t>2,60</w:t>
            </w:r>
          </w:p>
        </w:tc>
      </w:tr>
      <w:tr w:rsidR="00A948E9" w:rsidRPr="00C1614D" w:rsidTr="0006747E">
        <w:trPr>
          <w:jc w:val="center"/>
        </w:trPr>
        <w:tc>
          <w:tcPr>
            <w:tcW w:w="2076" w:type="dxa"/>
            <w:vAlign w:val="center"/>
            <w:hideMark/>
          </w:tcPr>
          <w:p w:rsidR="00A948E9" w:rsidRPr="00C1614D" w:rsidRDefault="00A948E9" w:rsidP="00C1614D">
            <w:pPr>
              <w:spacing w:line="276" w:lineRule="auto"/>
              <w:jc w:val="left"/>
              <w:rPr>
                <w:rFonts w:eastAsia="Times New Roman"/>
                <w:sz w:val="24"/>
                <w:szCs w:val="24"/>
                <w:lang w:eastAsia="ru-RU"/>
              </w:rPr>
            </w:pPr>
            <w:r w:rsidRPr="00C1614D">
              <w:rPr>
                <w:rFonts w:eastAsia="Times New Roman"/>
                <w:sz w:val="24"/>
                <w:szCs w:val="24"/>
                <w:lang w:eastAsia="ru-RU"/>
              </w:rPr>
              <w:t>Запорізька</w:t>
            </w:r>
          </w:p>
        </w:tc>
        <w:tc>
          <w:tcPr>
            <w:tcW w:w="755" w:type="dxa"/>
            <w:vAlign w:val="center"/>
            <w:hideMark/>
          </w:tcPr>
          <w:p w:rsidR="00A948E9" w:rsidRPr="00C1614D" w:rsidRDefault="00A948E9" w:rsidP="00C1614D">
            <w:pPr>
              <w:spacing w:line="276" w:lineRule="auto"/>
              <w:jc w:val="center"/>
              <w:rPr>
                <w:rFonts w:eastAsia="Times New Roman"/>
                <w:sz w:val="24"/>
                <w:szCs w:val="24"/>
                <w:lang w:eastAsia="ru-RU"/>
              </w:rPr>
            </w:pPr>
            <w:r w:rsidRPr="00C1614D">
              <w:rPr>
                <w:rFonts w:eastAsia="Times New Roman"/>
                <w:sz w:val="24"/>
                <w:szCs w:val="24"/>
                <w:lang w:eastAsia="ru-RU"/>
              </w:rPr>
              <w:t>1,64</w:t>
            </w:r>
          </w:p>
        </w:tc>
        <w:tc>
          <w:tcPr>
            <w:tcW w:w="755" w:type="dxa"/>
            <w:vAlign w:val="center"/>
            <w:hideMark/>
          </w:tcPr>
          <w:p w:rsidR="00A948E9" w:rsidRPr="00C1614D" w:rsidRDefault="00A948E9" w:rsidP="00C1614D">
            <w:pPr>
              <w:spacing w:line="276" w:lineRule="auto"/>
              <w:jc w:val="center"/>
              <w:rPr>
                <w:rFonts w:eastAsia="Times New Roman"/>
                <w:sz w:val="24"/>
                <w:szCs w:val="24"/>
                <w:lang w:eastAsia="ru-RU"/>
              </w:rPr>
            </w:pPr>
            <w:r w:rsidRPr="00C1614D">
              <w:rPr>
                <w:rFonts w:eastAsia="Times New Roman"/>
                <w:sz w:val="24"/>
                <w:szCs w:val="24"/>
                <w:lang w:eastAsia="ru-RU"/>
              </w:rPr>
              <w:t>1,01</w:t>
            </w:r>
          </w:p>
        </w:tc>
        <w:tc>
          <w:tcPr>
            <w:tcW w:w="755" w:type="dxa"/>
            <w:hideMark/>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1,21</w:t>
            </w:r>
          </w:p>
        </w:tc>
        <w:tc>
          <w:tcPr>
            <w:tcW w:w="755" w:type="dxa"/>
            <w:hideMark/>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1,24</w:t>
            </w:r>
          </w:p>
        </w:tc>
        <w:tc>
          <w:tcPr>
            <w:tcW w:w="755" w:type="dxa"/>
            <w:hideMark/>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1,17</w:t>
            </w:r>
          </w:p>
        </w:tc>
        <w:tc>
          <w:tcPr>
            <w:tcW w:w="755" w:type="dxa"/>
            <w:hideMark/>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0,93</w:t>
            </w:r>
          </w:p>
        </w:tc>
        <w:tc>
          <w:tcPr>
            <w:tcW w:w="735" w:type="dxa"/>
            <w:hideMark/>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0,81</w:t>
            </w:r>
          </w:p>
        </w:tc>
        <w:tc>
          <w:tcPr>
            <w:tcW w:w="708" w:type="dxa"/>
          </w:tcPr>
          <w:p w:rsidR="00A948E9" w:rsidRPr="00C1614D" w:rsidRDefault="00A948E9" w:rsidP="00C1614D">
            <w:pPr>
              <w:spacing w:line="276" w:lineRule="auto"/>
              <w:jc w:val="center"/>
              <w:rPr>
                <w:rFonts w:eastAsia="Times New Roman"/>
                <w:sz w:val="24"/>
                <w:szCs w:val="24"/>
                <w:lang w:eastAsia="ru-RU"/>
              </w:rPr>
            </w:pPr>
            <w:r w:rsidRPr="00C1614D">
              <w:rPr>
                <w:rFonts w:eastAsia="Times New Roman"/>
                <w:sz w:val="24"/>
                <w:szCs w:val="24"/>
                <w:lang w:eastAsia="ru-RU"/>
              </w:rPr>
              <w:t>1,08</w:t>
            </w:r>
          </w:p>
        </w:tc>
      </w:tr>
      <w:tr w:rsidR="00A948E9" w:rsidRPr="00C1614D" w:rsidTr="0006747E">
        <w:trPr>
          <w:jc w:val="center"/>
        </w:trPr>
        <w:tc>
          <w:tcPr>
            <w:tcW w:w="2076" w:type="dxa"/>
            <w:vAlign w:val="center"/>
            <w:hideMark/>
          </w:tcPr>
          <w:p w:rsidR="00A948E9" w:rsidRPr="00C1614D" w:rsidRDefault="00A948E9" w:rsidP="00C1614D">
            <w:pPr>
              <w:spacing w:line="276" w:lineRule="auto"/>
              <w:jc w:val="left"/>
              <w:rPr>
                <w:rFonts w:eastAsia="Times New Roman"/>
                <w:sz w:val="24"/>
                <w:szCs w:val="24"/>
                <w:lang w:eastAsia="ru-RU"/>
              </w:rPr>
            </w:pPr>
            <w:r w:rsidRPr="00C1614D">
              <w:rPr>
                <w:rFonts w:eastAsia="Times New Roman"/>
                <w:sz w:val="24"/>
                <w:szCs w:val="24"/>
                <w:lang w:eastAsia="ru-RU"/>
              </w:rPr>
              <w:t>Ів.-Франківська</w:t>
            </w:r>
          </w:p>
        </w:tc>
        <w:tc>
          <w:tcPr>
            <w:tcW w:w="755" w:type="dxa"/>
            <w:vAlign w:val="center"/>
            <w:hideMark/>
          </w:tcPr>
          <w:p w:rsidR="00A948E9" w:rsidRPr="00C1614D" w:rsidRDefault="00A948E9" w:rsidP="00C1614D">
            <w:pPr>
              <w:spacing w:line="276" w:lineRule="auto"/>
              <w:jc w:val="center"/>
              <w:rPr>
                <w:rFonts w:eastAsia="Times New Roman"/>
                <w:sz w:val="24"/>
                <w:szCs w:val="24"/>
                <w:lang w:eastAsia="ru-RU"/>
              </w:rPr>
            </w:pPr>
            <w:r w:rsidRPr="00C1614D">
              <w:rPr>
                <w:rFonts w:eastAsia="Times New Roman"/>
                <w:sz w:val="24"/>
                <w:szCs w:val="24"/>
                <w:lang w:eastAsia="ru-RU"/>
              </w:rPr>
              <w:t>0,94</w:t>
            </w:r>
          </w:p>
        </w:tc>
        <w:tc>
          <w:tcPr>
            <w:tcW w:w="755" w:type="dxa"/>
            <w:vAlign w:val="center"/>
            <w:hideMark/>
          </w:tcPr>
          <w:p w:rsidR="00A948E9" w:rsidRPr="00C1614D" w:rsidRDefault="00A948E9" w:rsidP="00C1614D">
            <w:pPr>
              <w:spacing w:line="276" w:lineRule="auto"/>
              <w:jc w:val="center"/>
              <w:rPr>
                <w:rFonts w:eastAsia="Times New Roman"/>
                <w:sz w:val="24"/>
                <w:szCs w:val="24"/>
                <w:lang w:eastAsia="ru-RU"/>
              </w:rPr>
            </w:pPr>
            <w:r w:rsidRPr="00C1614D">
              <w:rPr>
                <w:rFonts w:eastAsia="Times New Roman"/>
                <w:sz w:val="24"/>
                <w:szCs w:val="24"/>
                <w:lang w:eastAsia="ru-RU"/>
              </w:rPr>
              <w:t>0,49</w:t>
            </w:r>
          </w:p>
        </w:tc>
        <w:tc>
          <w:tcPr>
            <w:tcW w:w="755" w:type="dxa"/>
            <w:hideMark/>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0,97</w:t>
            </w:r>
          </w:p>
        </w:tc>
        <w:tc>
          <w:tcPr>
            <w:tcW w:w="755" w:type="dxa"/>
            <w:hideMark/>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1,03</w:t>
            </w:r>
          </w:p>
        </w:tc>
        <w:tc>
          <w:tcPr>
            <w:tcW w:w="755" w:type="dxa"/>
            <w:hideMark/>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1,06</w:t>
            </w:r>
          </w:p>
        </w:tc>
        <w:tc>
          <w:tcPr>
            <w:tcW w:w="755" w:type="dxa"/>
            <w:hideMark/>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0,59</w:t>
            </w:r>
          </w:p>
        </w:tc>
        <w:tc>
          <w:tcPr>
            <w:tcW w:w="735" w:type="dxa"/>
            <w:hideMark/>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0,75</w:t>
            </w:r>
          </w:p>
        </w:tc>
        <w:tc>
          <w:tcPr>
            <w:tcW w:w="708" w:type="dxa"/>
          </w:tcPr>
          <w:p w:rsidR="00A948E9" w:rsidRPr="00C1614D" w:rsidRDefault="00A948E9" w:rsidP="00C1614D">
            <w:pPr>
              <w:spacing w:line="276" w:lineRule="auto"/>
              <w:jc w:val="center"/>
              <w:rPr>
                <w:rFonts w:eastAsia="Times New Roman"/>
                <w:sz w:val="24"/>
                <w:szCs w:val="24"/>
                <w:lang w:eastAsia="ru-RU"/>
              </w:rPr>
            </w:pPr>
            <w:r w:rsidRPr="00C1614D">
              <w:rPr>
                <w:rFonts w:eastAsia="Times New Roman"/>
                <w:sz w:val="24"/>
                <w:szCs w:val="24"/>
                <w:lang w:eastAsia="ru-RU"/>
              </w:rPr>
              <w:t>0,42</w:t>
            </w:r>
          </w:p>
        </w:tc>
      </w:tr>
      <w:tr w:rsidR="00A948E9" w:rsidRPr="00C1614D" w:rsidTr="0006747E">
        <w:trPr>
          <w:jc w:val="center"/>
        </w:trPr>
        <w:tc>
          <w:tcPr>
            <w:tcW w:w="2076" w:type="dxa"/>
            <w:vAlign w:val="center"/>
            <w:hideMark/>
          </w:tcPr>
          <w:p w:rsidR="00A948E9" w:rsidRPr="00C1614D" w:rsidRDefault="00A948E9" w:rsidP="00C1614D">
            <w:pPr>
              <w:spacing w:line="276" w:lineRule="auto"/>
              <w:jc w:val="left"/>
              <w:rPr>
                <w:rFonts w:eastAsia="Times New Roman"/>
                <w:sz w:val="24"/>
                <w:szCs w:val="24"/>
                <w:lang w:eastAsia="ru-RU"/>
              </w:rPr>
            </w:pPr>
            <w:r w:rsidRPr="00C1614D">
              <w:rPr>
                <w:rFonts w:eastAsia="Times New Roman"/>
                <w:sz w:val="24"/>
                <w:szCs w:val="24"/>
                <w:lang w:eastAsia="ru-RU"/>
              </w:rPr>
              <w:t>Київська</w:t>
            </w:r>
          </w:p>
        </w:tc>
        <w:tc>
          <w:tcPr>
            <w:tcW w:w="755" w:type="dxa"/>
            <w:vAlign w:val="center"/>
            <w:hideMark/>
          </w:tcPr>
          <w:p w:rsidR="00A948E9" w:rsidRPr="00C1614D" w:rsidRDefault="00A948E9" w:rsidP="00C1614D">
            <w:pPr>
              <w:spacing w:line="276" w:lineRule="auto"/>
              <w:jc w:val="center"/>
              <w:rPr>
                <w:rFonts w:eastAsia="Times New Roman"/>
                <w:sz w:val="24"/>
                <w:szCs w:val="24"/>
                <w:lang w:eastAsia="ru-RU"/>
              </w:rPr>
            </w:pPr>
            <w:r w:rsidRPr="00C1614D">
              <w:rPr>
                <w:rFonts w:eastAsia="Times New Roman"/>
                <w:sz w:val="24"/>
                <w:szCs w:val="24"/>
                <w:lang w:eastAsia="ru-RU"/>
              </w:rPr>
              <w:t>1,09</w:t>
            </w:r>
          </w:p>
        </w:tc>
        <w:tc>
          <w:tcPr>
            <w:tcW w:w="755" w:type="dxa"/>
            <w:vAlign w:val="center"/>
            <w:hideMark/>
          </w:tcPr>
          <w:p w:rsidR="00A948E9" w:rsidRPr="00C1614D" w:rsidRDefault="00A948E9" w:rsidP="00C1614D">
            <w:pPr>
              <w:spacing w:line="276" w:lineRule="auto"/>
              <w:jc w:val="center"/>
              <w:rPr>
                <w:rFonts w:eastAsia="Times New Roman"/>
                <w:sz w:val="24"/>
                <w:szCs w:val="24"/>
                <w:lang w:eastAsia="ru-RU"/>
              </w:rPr>
            </w:pPr>
            <w:r w:rsidRPr="00C1614D">
              <w:rPr>
                <w:rFonts w:eastAsia="Times New Roman"/>
                <w:sz w:val="24"/>
                <w:szCs w:val="24"/>
                <w:lang w:eastAsia="ru-RU"/>
              </w:rPr>
              <w:t>1,34</w:t>
            </w:r>
          </w:p>
        </w:tc>
        <w:tc>
          <w:tcPr>
            <w:tcW w:w="755" w:type="dxa"/>
            <w:hideMark/>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1,07</w:t>
            </w:r>
          </w:p>
        </w:tc>
        <w:tc>
          <w:tcPr>
            <w:tcW w:w="755" w:type="dxa"/>
            <w:hideMark/>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0,68</w:t>
            </w:r>
          </w:p>
        </w:tc>
        <w:tc>
          <w:tcPr>
            <w:tcW w:w="755" w:type="dxa"/>
            <w:hideMark/>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0,87</w:t>
            </w:r>
          </w:p>
        </w:tc>
        <w:tc>
          <w:tcPr>
            <w:tcW w:w="755" w:type="dxa"/>
            <w:hideMark/>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0,77</w:t>
            </w:r>
          </w:p>
        </w:tc>
        <w:tc>
          <w:tcPr>
            <w:tcW w:w="735" w:type="dxa"/>
            <w:hideMark/>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0,60</w:t>
            </w:r>
          </w:p>
        </w:tc>
        <w:tc>
          <w:tcPr>
            <w:tcW w:w="708" w:type="dxa"/>
          </w:tcPr>
          <w:p w:rsidR="00A948E9" w:rsidRPr="00C1614D" w:rsidRDefault="00A948E9" w:rsidP="00C1614D">
            <w:pPr>
              <w:spacing w:line="276" w:lineRule="auto"/>
              <w:jc w:val="center"/>
              <w:rPr>
                <w:rFonts w:eastAsia="Times New Roman"/>
                <w:sz w:val="24"/>
                <w:szCs w:val="24"/>
                <w:lang w:eastAsia="ru-RU"/>
              </w:rPr>
            </w:pPr>
            <w:r w:rsidRPr="00C1614D">
              <w:rPr>
                <w:rFonts w:eastAsia="Times New Roman"/>
                <w:sz w:val="24"/>
                <w:szCs w:val="24"/>
                <w:lang w:eastAsia="ru-RU"/>
              </w:rPr>
              <w:t>0,77</w:t>
            </w:r>
          </w:p>
        </w:tc>
      </w:tr>
      <w:tr w:rsidR="00A948E9" w:rsidRPr="00C1614D" w:rsidTr="0006747E">
        <w:trPr>
          <w:jc w:val="center"/>
        </w:trPr>
        <w:tc>
          <w:tcPr>
            <w:tcW w:w="2076" w:type="dxa"/>
            <w:vAlign w:val="center"/>
            <w:hideMark/>
          </w:tcPr>
          <w:p w:rsidR="00A948E9" w:rsidRPr="00C1614D" w:rsidRDefault="00A948E9" w:rsidP="00C1614D">
            <w:pPr>
              <w:spacing w:line="276" w:lineRule="auto"/>
              <w:jc w:val="left"/>
              <w:rPr>
                <w:rFonts w:eastAsia="Times New Roman"/>
                <w:sz w:val="24"/>
                <w:szCs w:val="24"/>
                <w:lang w:eastAsia="ru-RU"/>
              </w:rPr>
            </w:pPr>
            <w:r w:rsidRPr="00C1614D">
              <w:rPr>
                <w:rFonts w:eastAsia="Times New Roman"/>
                <w:sz w:val="24"/>
                <w:szCs w:val="24"/>
                <w:lang w:eastAsia="ru-RU"/>
              </w:rPr>
              <w:t>Кіровоградська</w:t>
            </w:r>
          </w:p>
        </w:tc>
        <w:tc>
          <w:tcPr>
            <w:tcW w:w="755" w:type="dxa"/>
            <w:vAlign w:val="center"/>
            <w:hideMark/>
          </w:tcPr>
          <w:p w:rsidR="00A948E9" w:rsidRPr="00C1614D" w:rsidRDefault="00A948E9" w:rsidP="00C1614D">
            <w:pPr>
              <w:spacing w:line="276" w:lineRule="auto"/>
              <w:jc w:val="center"/>
              <w:rPr>
                <w:rFonts w:eastAsia="Times New Roman"/>
                <w:sz w:val="24"/>
                <w:szCs w:val="24"/>
                <w:lang w:eastAsia="ru-RU"/>
              </w:rPr>
            </w:pPr>
            <w:r w:rsidRPr="00C1614D">
              <w:rPr>
                <w:rFonts w:eastAsia="Times New Roman"/>
                <w:sz w:val="24"/>
                <w:szCs w:val="24"/>
                <w:lang w:eastAsia="ru-RU"/>
              </w:rPr>
              <w:t>2,66</w:t>
            </w:r>
          </w:p>
        </w:tc>
        <w:tc>
          <w:tcPr>
            <w:tcW w:w="755" w:type="dxa"/>
            <w:vAlign w:val="center"/>
            <w:hideMark/>
          </w:tcPr>
          <w:p w:rsidR="00A948E9" w:rsidRPr="00C1614D" w:rsidRDefault="00A948E9" w:rsidP="00C1614D">
            <w:pPr>
              <w:spacing w:line="276" w:lineRule="auto"/>
              <w:jc w:val="center"/>
              <w:rPr>
                <w:rFonts w:eastAsia="Times New Roman"/>
                <w:sz w:val="24"/>
                <w:szCs w:val="24"/>
                <w:lang w:eastAsia="ru-RU"/>
              </w:rPr>
            </w:pPr>
            <w:r w:rsidRPr="00C1614D">
              <w:rPr>
                <w:rFonts w:eastAsia="Times New Roman"/>
                <w:sz w:val="24"/>
                <w:szCs w:val="24"/>
                <w:lang w:eastAsia="ru-RU"/>
              </w:rPr>
              <w:t>1,61</w:t>
            </w:r>
          </w:p>
        </w:tc>
        <w:tc>
          <w:tcPr>
            <w:tcW w:w="755" w:type="dxa"/>
            <w:hideMark/>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3,12</w:t>
            </w:r>
          </w:p>
        </w:tc>
        <w:tc>
          <w:tcPr>
            <w:tcW w:w="755" w:type="dxa"/>
            <w:hideMark/>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2,75</w:t>
            </w:r>
          </w:p>
        </w:tc>
        <w:tc>
          <w:tcPr>
            <w:tcW w:w="755" w:type="dxa"/>
            <w:hideMark/>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1,36</w:t>
            </w:r>
          </w:p>
        </w:tc>
        <w:tc>
          <w:tcPr>
            <w:tcW w:w="755" w:type="dxa"/>
            <w:hideMark/>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2,63</w:t>
            </w:r>
          </w:p>
        </w:tc>
        <w:tc>
          <w:tcPr>
            <w:tcW w:w="735" w:type="dxa"/>
            <w:hideMark/>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1,26</w:t>
            </w:r>
          </w:p>
        </w:tc>
        <w:tc>
          <w:tcPr>
            <w:tcW w:w="708" w:type="dxa"/>
          </w:tcPr>
          <w:p w:rsidR="00A948E9" w:rsidRPr="00C1614D" w:rsidRDefault="00A948E9" w:rsidP="00C1614D">
            <w:pPr>
              <w:spacing w:line="276" w:lineRule="auto"/>
              <w:jc w:val="center"/>
              <w:rPr>
                <w:rFonts w:eastAsia="Times New Roman"/>
                <w:sz w:val="24"/>
                <w:szCs w:val="24"/>
                <w:lang w:val="en-US" w:eastAsia="ru-RU"/>
              </w:rPr>
            </w:pPr>
            <w:r w:rsidRPr="00C1614D">
              <w:rPr>
                <w:rFonts w:eastAsia="Times New Roman"/>
                <w:sz w:val="24"/>
                <w:szCs w:val="24"/>
                <w:lang w:eastAsia="ru-RU"/>
              </w:rPr>
              <w:t>1,21</w:t>
            </w:r>
          </w:p>
        </w:tc>
      </w:tr>
      <w:tr w:rsidR="00A948E9" w:rsidRPr="00C1614D" w:rsidTr="0006747E">
        <w:trPr>
          <w:jc w:val="center"/>
        </w:trPr>
        <w:tc>
          <w:tcPr>
            <w:tcW w:w="2076" w:type="dxa"/>
            <w:vAlign w:val="center"/>
            <w:hideMark/>
          </w:tcPr>
          <w:p w:rsidR="00A948E9" w:rsidRPr="00C1614D" w:rsidRDefault="00A948E9" w:rsidP="00C1614D">
            <w:pPr>
              <w:spacing w:line="276" w:lineRule="auto"/>
              <w:jc w:val="left"/>
              <w:rPr>
                <w:rFonts w:eastAsia="Times New Roman"/>
                <w:sz w:val="24"/>
                <w:szCs w:val="24"/>
                <w:lang w:eastAsia="ru-RU"/>
              </w:rPr>
            </w:pPr>
            <w:r w:rsidRPr="00C1614D">
              <w:rPr>
                <w:rFonts w:eastAsia="Times New Roman"/>
                <w:sz w:val="24"/>
                <w:szCs w:val="24"/>
                <w:lang w:eastAsia="ru-RU"/>
              </w:rPr>
              <w:t>Луганська</w:t>
            </w:r>
          </w:p>
        </w:tc>
        <w:tc>
          <w:tcPr>
            <w:tcW w:w="755" w:type="dxa"/>
            <w:vAlign w:val="center"/>
            <w:hideMark/>
          </w:tcPr>
          <w:p w:rsidR="00A948E9" w:rsidRPr="00C1614D" w:rsidRDefault="00A948E9" w:rsidP="00C1614D">
            <w:pPr>
              <w:spacing w:line="276" w:lineRule="auto"/>
              <w:jc w:val="center"/>
              <w:rPr>
                <w:rFonts w:eastAsia="Times New Roman"/>
                <w:sz w:val="24"/>
                <w:szCs w:val="24"/>
                <w:lang w:eastAsia="ru-RU"/>
              </w:rPr>
            </w:pPr>
            <w:r w:rsidRPr="00C1614D">
              <w:rPr>
                <w:rFonts w:eastAsia="Times New Roman"/>
                <w:sz w:val="24"/>
                <w:szCs w:val="24"/>
                <w:lang w:eastAsia="ru-RU"/>
              </w:rPr>
              <w:t>1,47</w:t>
            </w:r>
          </w:p>
        </w:tc>
        <w:tc>
          <w:tcPr>
            <w:tcW w:w="755" w:type="dxa"/>
            <w:vAlign w:val="center"/>
            <w:hideMark/>
          </w:tcPr>
          <w:p w:rsidR="00A948E9" w:rsidRPr="00C1614D" w:rsidRDefault="00A948E9" w:rsidP="00C1614D">
            <w:pPr>
              <w:spacing w:line="276" w:lineRule="auto"/>
              <w:jc w:val="center"/>
              <w:rPr>
                <w:rFonts w:eastAsia="Times New Roman"/>
                <w:sz w:val="24"/>
                <w:szCs w:val="24"/>
                <w:lang w:eastAsia="ru-RU"/>
              </w:rPr>
            </w:pPr>
            <w:r w:rsidRPr="00C1614D">
              <w:rPr>
                <w:rFonts w:eastAsia="Times New Roman"/>
                <w:sz w:val="24"/>
                <w:szCs w:val="24"/>
                <w:lang w:eastAsia="ru-RU"/>
              </w:rPr>
              <w:t>1,15</w:t>
            </w:r>
          </w:p>
        </w:tc>
        <w:tc>
          <w:tcPr>
            <w:tcW w:w="755" w:type="dxa"/>
            <w:hideMark/>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1,04</w:t>
            </w:r>
          </w:p>
        </w:tc>
        <w:tc>
          <w:tcPr>
            <w:tcW w:w="755" w:type="dxa"/>
            <w:hideMark/>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1,91</w:t>
            </w:r>
          </w:p>
        </w:tc>
        <w:tc>
          <w:tcPr>
            <w:tcW w:w="755" w:type="dxa"/>
            <w:hideMark/>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0,37</w:t>
            </w:r>
          </w:p>
        </w:tc>
        <w:tc>
          <w:tcPr>
            <w:tcW w:w="755" w:type="dxa"/>
            <w:hideMark/>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1,05</w:t>
            </w:r>
          </w:p>
        </w:tc>
        <w:tc>
          <w:tcPr>
            <w:tcW w:w="735" w:type="dxa"/>
            <w:hideMark/>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2,07</w:t>
            </w:r>
          </w:p>
        </w:tc>
        <w:tc>
          <w:tcPr>
            <w:tcW w:w="708" w:type="dxa"/>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0,75</w:t>
            </w:r>
          </w:p>
        </w:tc>
      </w:tr>
      <w:tr w:rsidR="00A948E9" w:rsidRPr="00C1614D" w:rsidTr="0006747E">
        <w:trPr>
          <w:jc w:val="center"/>
        </w:trPr>
        <w:tc>
          <w:tcPr>
            <w:tcW w:w="2076" w:type="dxa"/>
            <w:vAlign w:val="center"/>
            <w:hideMark/>
          </w:tcPr>
          <w:p w:rsidR="00A948E9" w:rsidRPr="00C1614D" w:rsidRDefault="00A948E9" w:rsidP="00C1614D">
            <w:pPr>
              <w:spacing w:line="276" w:lineRule="auto"/>
              <w:jc w:val="left"/>
              <w:rPr>
                <w:rFonts w:eastAsia="Times New Roman"/>
                <w:sz w:val="24"/>
                <w:szCs w:val="24"/>
                <w:lang w:eastAsia="ru-RU"/>
              </w:rPr>
            </w:pPr>
            <w:r w:rsidRPr="00C1614D">
              <w:rPr>
                <w:rFonts w:eastAsia="Times New Roman"/>
                <w:sz w:val="24"/>
                <w:szCs w:val="24"/>
                <w:lang w:eastAsia="ru-RU"/>
              </w:rPr>
              <w:t>Львівська</w:t>
            </w:r>
          </w:p>
        </w:tc>
        <w:tc>
          <w:tcPr>
            <w:tcW w:w="755" w:type="dxa"/>
            <w:vAlign w:val="center"/>
            <w:hideMark/>
          </w:tcPr>
          <w:p w:rsidR="00A948E9" w:rsidRPr="00C1614D" w:rsidRDefault="00A948E9" w:rsidP="00C1614D">
            <w:pPr>
              <w:spacing w:line="276" w:lineRule="auto"/>
              <w:jc w:val="center"/>
              <w:rPr>
                <w:rFonts w:eastAsia="Times New Roman"/>
                <w:sz w:val="24"/>
                <w:szCs w:val="24"/>
                <w:lang w:eastAsia="ru-RU"/>
              </w:rPr>
            </w:pPr>
            <w:r w:rsidRPr="00C1614D">
              <w:rPr>
                <w:rFonts w:eastAsia="Times New Roman"/>
                <w:sz w:val="24"/>
                <w:szCs w:val="24"/>
                <w:lang w:eastAsia="ru-RU"/>
              </w:rPr>
              <w:t>0,60</w:t>
            </w:r>
          </w:p>
        </w:tc>
        <w:tc>
          <w:tcPr>
            <w:tcW w:w="755" w:type="dxa"/>
            <w:vAlign w:val="center"/>
            <w:hideMark/>
          </w:tcPr>
          <w:p w:rsidR="00A948E9" w:rsidRPr="00C1614D" w:rsidRDefault="00A948E9" w:rsidP="00C1614D">
            <w:pPr>
              <w:spacing w:line="276" w:lineRule="auto"/>
              <w:jc w:val="center"/>
              <w:rPr>
                <w:rFonts w:eastAsia="Times New Roman"/>
                <w:sz w:val="24"/>
                <w:szCs w:val="24"/>
                <w:lang w:eastAsia="ru-RU"/>
              </w:rPr>
            </w:pPr>
            <w:r w:rsidRPr="00C1614D">
              <w:rPr>
                <w:rFonts w:eastAsia="Times New Roman"/>
                <w:sz w:val="24"/>
                <w:szCs w:val="24"/>
                <w:lang w:eastAsia="ru-RU"/>
              </w:rPr>
              <w:t>0,76</w:t>
            </w:r>
          </w:p>
        </w:tc>
        <w:tc>
          <w:tcPr>
            <w:tcW w:w="755" w:type="dxa"/>
            <w:hideMark/>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0,44</w:t>
            </w:r>
          </w:p>
        </w:tc>
        <w:tc>
          <w:tcPr>
            <w:tcW w:w="755" w:type="dxa"/>
            <w:hideMark/>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0,51</w:t>
            </w:r>
          </w:p>
        </w:tc>
        <w:tc>
          <w:tcPr>
            <w:tcW w:w="755" w:type="dxa"/>
            <w:hideMark/>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0,53</w:t>
            </w:r>
          </w:p>
        </w:tc>
        <w:tc>
          <w:tcPr>
            <w:tcW w:w="755" w:type="dxa"/>
            <w:hideMark/>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0,71</w:t>
            </w:r>
          </w:p>
        </w:tc>
        <w:tc>
          <w:tcPr>
            <w:tcW w:w="735" w:type="dxa"/>
            <w:hideMark/>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0,74</w:t>
            </w:r>
          </w:p>
        </w:tc>
        <w:tc>
          <w:tcPr>
            <w:tcW w:w="708" w:type="dxa"/>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0,20</w:t>
            </w:r>
          </w:p>
        </w:tc>
      </w:tr>
      <w:tr w:rsidR="00A948E9" w:rsidRPr="00C1614D" w:rsidTr="0006747E">
        <w:trPr>
          <w:jc w:val="center"/>
        </w:trPr>
        <w:tc>
          <w:tcPr>
            <w:tcW w:w="2076" w:type="dxa"/>
            <w:vAlign w:val="center"/>
            <w:hideMark/>
          </w:tcPr>
          <w:p w:rsidR="00A948E9" w:rsidRPr="00C1614D" w:rsidRDefault="00A948E9" w:rsidP="00C1614D">
            <w:pPr>
              <w:spacing w:line="276" w:lineRule="auto"/>
              <w:jc w:val="left"/>
              <w:rPr>
                <w:rFonts w:eastAsia="Times New Roman"/>
                <w:sz w:val="24"/>
                <w:szCs w:val="24"/>
                <w:lang w:eastAsia="ru-RU"/>
              </w:rPr>
            </w:pPr>
            <w:r w:rsidRPr="00C1614D">
              <w:rPr>
                <w:rFonts w:eastAsia="Times New Roman"/>
                <w:sz w:val="24"/>
                <w:szCs w:val="24"/>
                <w:lang w:eastAsia="ru-RU"/>
              </w:rPr>
              <w:t>Миколаївська</w:t>
            </w:r>
          </w:p>
        </w:tc>
        <w:tc>
          <w:tcPr>
            <w:tcW w:w="755" w:type="dxa"/>
            <w:vAlign w:val="center"/>
            <w:hideMark/>
          </w:tcPr>
          <w:p w:rsidR="00A948E9" w:rsidRPr="00C1614D" w:rsidRDefault="00A948E9" w:rsidP="00C1614D">
            <w:pPr>
              <w:spacing w:line="276" w:lineRule="auto"/>
              <w:jc w:val="center"/>
              <w:rPr>
                <w:rFonts w:eastAsia="Times New Roman"/>
                <w:sz w:val="24"/>
                <w:szCs w:val="24"/>
                <w:lang w:eastAsia="ru-RU"/>
              </w:rPr>
            </w:pPr>
            <w:r w:rsidRPr="00C1614D">
              <w:rPr>
                <w:rFonts w:eastAsia="Times New Roman"/>
                <w:sz w:val="24"/>
                <w:szCs w:val="24"/>
                <w:lang w:eastAsia="ru-RU"/>
              </w:rPr>
              <w:t>1,22</w:t>
            </w:r>
          </w:p>
        </w:tc>
        <w:tc>
          <w:tcPr>
            <w:tcW w:w="755" w:type="dxa"/>
            <w:vAlign w:val="center"/>
            <w:hideMark/>
          </w:tcPr>
          <w:p w:rsidR="00A948E9" w:rsidRPr="00C1614D" w:rsidRDefault="00A948E9" w:rsidP="00C1614D">
            <w:pPr>
              <w:spacing w:line="276" w:lineRule="auto"/>
              <w:jc w:val="center"/>
              <w:rPr>
                <w:rFonts w:eastAsia="Times New Roman"/>
                <w:sz w:val="24"/>
                <w:szCs w:val="24"/>
                <w:lang w:eastAsia="ru-RU"/>
              </w:rPr>
            </w:pPr>
            <w:r w:rsidRPr="00C1614D">
              <w:rPr>
                <w:rFonts w:eastAsia="Times New Roman"/>
                <w:sz w:val="24"/>
                <w:szCs w:val="24"/>
                <w:lang w:eastAsia="ru-RU"/>
              </w:rPr>
              <w:t>1,19</w:t>
            </w:r>
          </w:p>
        </w:tc>
        <w:tc>
          <w:tcPr>
            <w:tcW w:w="755" w:type="dxa"/>
            <w:hideMark/>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0,87</w:t>
            </w:r>
          </w:p>
        </w:tc>
        <w:tc>
          <w:tcPr>
            <w:tcW w:w="755" w:type="dxa"/>
            <w:hideMark/>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1,36</w:t>
            </w:r>
          </w:p>
        </w:tc>
        <w:tc>
          <w:tcPr>
            <w:tcW w:w="755" w:type="dxa"/>
            <w:hideMark/>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1,17</w:t>
            </w:r>
          </w:p>
        </w:tc>
        <w:tc>
          <w:tcPr>
            <w:tcW w:w="755" w:type="dxa"/>
            <w:hideMark/>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1,00</w:t>
            </w:r>
          </w:p>
        </w:tc>
        <w:tc>
          <w:tcPr>
            <w:tcW w:w="735" w:type="dxa"/>
            <w:hideMark/>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1,26</w:t>
            </w:r>
          </w:p>
        </w:tc>
        <w:tc>
          <w:tcPr>
            <w:tcW w:w="708" w:type="dxa"/>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1,20</w:t>
            </w:r>
          </w:p>
        </w:tc>
      </w:tr>
      <w:tr w:rsidR="00A948E9" w:rsidRPr="00C1614D" w:rsidTr="0006747E">
        <w:trPr>
          <w:jc w:val="center"/>
        </w:trPr>
        <w:tc>
          <w:tcPr>
            <w:tcW w:w="2076" w:type="dxa"/>
            <w:vAlign w:val="center"/>
            <w:hideMark/>
          </w:tcPr>
          <w:p w:rsidR="00A948E9" w:rsidRPr="00C1614D" w:rsidRDefault="00A948E9" w:rsidP="00C1614D">
            <w:pPr>
              <w:spacing w:line="276" w:lineRule="auto"/>
              <w:jc w:val="left"/>
              <w:rPr>
                <w:rFonts w:eastAsia="Times New Roman"/>
                <w:sz w:val="24"/>
                <w:szCs w:val="24"/>
                <w:lang w:eastAsia="ru-RU"/>
              </w:rPr>
            </w:pPr>
            <w:r w:rsidRPr="00C1614D">
              <w:rPr>
                <w:rFonts w:eastAsia="Times New Roman"/>
                <w:sz w:val="24"/>
                <w:szCs w:val="24"/>
                <w:lang w:eastAsia="ru-RU"/>
              </w:rPr>
              <w:t>Одеська</w:t>
            </w:r>
          </w:p>
        </w:tc>
        <w:tc>
          <w:tcPr>
            <w:tcW w:w="755" w:type="dxa"/>
            <w:vAlign w:val="center"/>
            <w:hideMark/>
          </w:tcPr>
          <w:p w:rsidR="00A948E9" w:rsidRPr="00C1614D" w:rsidRDefault="00A948E9" w:rsidP="00C1614D">
            <w:pPr>
              <w:spacing w:line="276" w:lineRule="auto"/>
              <w:jc w:val="center"/>
              <w:rPr>
                <w:rFonts w:eastAsia="Times New Roman"/>
                <w:sz w:val="24"/>
                <w:szCs w:val="24"/>
                <w:lang w:eastAsia="ru-RU"/>
              </w:rPr>
            </w:pPr>
            <w:r w:rsidRPr="00C1614D">
              <w:rPr>
                <w:rFonts w:eastAsia="Times New Roman"/>
                <w:sz w:val="24"/>
                <w:szCs w:val="24"/>
                <w:lang w:eastAsia="ru-RU"/>
              </w:rPr>
              <w:t>1,77</w:t>
            </w:r>
          </w:p>
        </w:tc>
        <w:tc>
          <w:tcPr>
            <w:tcW w:w="755" w:type="dxa"/>
            <w:vAlign w:val="center"/>
            <w:hideMark/>
          </w:tcPr>
          <w:p w:rsidR="00A948E9" w:rsidRPr="00C1614D" w:rsidRDefault="00A948E9" w:rsidP="00C1614D">
            <w:pPr>
              <w:spacing w:line="276" w:lineRule="auto"/>
              <w:jc w:val="center"/>
              <w:rPr>
                <w:rFonts w:eastAsia="Times New Roman"/>
                <w:sz w:val="24"/>
                <w:szCs w:val="24"/>
                <w:lang w:eastAsia="ru-RU"/>
              </w:rPr>
            </w:pPr>
            <w:r w:rsidRPr="00C1614D">
              <w:rPr>
                <w:rFonts w:eastAsia="Times New Roman"/>
                <w:sz w:val="24"/>
                <w:szCs w:val="24"/>
                <w:lang w:eastAsia="ru-RU"/>
              </w:rPr>
              <w:t>1,26</w:t>
            </w:r>
          </w:p>
        </w:tc>
        <w:tc>
          <w:tcPr>
            <w:tcW w:w="755" w:type="dxa"/>
            <w:hideMark/>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1,12</w:t>
            </w:r>
          </w:p>
        </w:tc>
        <w:tc>
          <w:tcPr>
            <w:tcW w:w="755" w:type="dxa"/>
            <w:hideMark/>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1,16</w:t>
            </w:r>
          </w:p>
        </w:tc>
        <w:tc>
          <w:tcPr>
            <w:tcW w:w="755" w:type="dxa"/>
            <w:hideMark/>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1,84</w:t>
            </w:r>
          </w:p>
        </w:tc>
        <w:tc>
          <w:tcPr>
            <w:tcW w:w="755" w:type="dxa"/>
            <w:hideMark/>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1,59</w:t>
            </w:r>
          </w:p>
        </w:tc>
        <w:tc>
          <w:tcPr>
            <w:tcW w:w="735" w:type="dxa"/>
            <w:hideMark/>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1,31</w:t>
            </w:r>
          </w:p>
        </w:tc>
        <w:tc>
          <w:tcPr>
            <w:tcW w:w="708" w:type="dxa"/>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1,33</w:t>
            </w:r>
          </w:p>
        </w:tc>
      </w:tr>
      <w:tr w:rsidR="00A948E9" w:rsidRPr="00C1614D" w:rsidTr="0006747E">
        <w:trPr>
          <w:jc w:val="center"/>
        </w:trPr>
        <w:tc>
          <w:tcPr>
            <w:tcW w:w="2076" w:type="dxa"/>
            <w:vAlign w:val="center"/>
            <w:hideMark/>
          </w:tcPr>
          <w:p w:rsidR="00A948E9" w:rsidRPr="00C1614D" w:rsidRDefault="00A948E9" w:rsidP="00C1614D">
            <w:pPr>
              <w:spacing w:line="276" w:lineRule="auto"/>
              <w:jc w:val="left"/>
              <w:rPr>
                <w:rFonts w:eastAsia="Times New Roman"/>
                <w:sz w:val="24"/>
                <w:szCs w:val="24"/>
                <w:lang w:eastAsia="ru-RU"/>
              </w:rPr>
            </w:pPr>
            <w:r w:rsidRPr="00C1614D">
              <w:rPr>
                <w:rFonts w:eastAsia="Times New Roman"/>
                <w:sz w:val="24"/>
                <w:szCs w:val="24"/>
                <w:lang w:eastAsia="ru-RU"/>
              </w:rPr>
              <w:t>Полтавська</w:t>
            </w:r>
          </w:p>
        </w:tc>
        <w:tc>
          <w:tcPr>
            <w:tcW w:w="755" w:type="dxa"/>
            <w:vAlign w:val="center"/>
            <w:hideMark/>
          </w:tcPr>
          <w:p w:rsidR="00A948E9" w:rsidRPr="00C1614D" w:rsidRDefault="00A948E9" w:rsidP="00C1614D">
            <w:pPr>
              <w:spacing w:line="276" w:lineRule="auto"/>
              <w:jc w:val="center"/>
              <w:rPr>
                <w:rFonts w:eastAsia="Times New Roman"/>
                <w:sz w:val="24"/>
                <w:szCs w:val="24"/>
                <w:lang w:eastAsia="ru-RU"/>
              </w:rPr>
            </w:pPr>
            <w:r w:rsidRPr="00C1614D">
              <w:rPr>
                <w:rFonts w:eastAsia="Times New Roman"/>
                <w:sz w:val="24"/>
                <w:szCs w:val="24"/>
                <w:lang w:eastAsia="ru-RU"/>
              </w:rPr>
              <w:t>1,04</w:t>
            </w:r>
          </w:p>
        </w:tc>
        <w:tc>
          <w:tcPr>
            <w:tcW w:w="755" w:type="dxa"/>
            <w:vAlign w:val="center"/>
            <w:hideMark/>
          </w:tcPr>
          <w:p w:rsidR="00A948E9" w:rsidRPr="00C1614D" w:rsidRDefault="00A948E9" w:rsidP="00C1614D">
            <w:pPr>
              <w:spacing w:line="276" w:lineRule="auto"/>
              <w:jc w:val="center"/>
              <w:rPr>
                <w:rFonts w:eastAsia="Times New Roman"/>
                <w:sz w:val="24"/>
                <w:szCs w:val="24"/>
                <w:lang w:eastAsia="ru-RU"/>
              </w:rPr>
            </w:pPr>
            <w:r w:rsidRPr="00C1614D">
              <w:rPr>
                <w:rFonts w:eastAsia="Times New Roman"/>
                <w:sz w:val="24"/>
                <w:szCs w:val="24"/>
                <w:lang w:eastAsia="ru-RU"/>
              </w:rPr>
              <w:t>1,09</w:t>
            </w:r>
          </w:p>
        </w:tc>
        <w:tc>
          <w:tcPr>
            <w:tcW w:w="755" w:type="dxa"/>
            <w:hideMark/>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1,09</w:t>
            </w:r>
          </w:p>
        </w:tc>
        <w:tc>
          <w:tcPr>
            <w:tcW w:w="755" w:type="dxa"/>
            <w:hideMark/>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1,61</w:t>
            </w:r>
          </w:p>
        </w:tc>
        <w:tc>
          <w:tcPr>
            <w:tcW w:w="755" w:type="dxa"/>
            <w:hideMark/>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0,67</w:t>
            </w:r>
          </w:p>
        </w:tc>
        <w:tc>
          <w:tcPr>
            <w:tcW w:w="755" w:type="dxa"/>
            <w:hideMark/>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0,89</w:t>
            </w:r>
          </w:p>
        </w:tc>
        <w:tc>
          <w:tcPr>
            <w:tcW w:w="735" w:type="dxa"/>
            <w:hideMark/>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0,71</w:t>
            </w:r>
          </w:p>
        </w:tc>
        <w:tc>
          <w:tcPr>
            <w:tcW w:w="708" w:type="dxa"/>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0,75</w:t>
            </w:r>
          </w:p>
        </w:tc>
      </w:tr>
      <w:tr w:rsidR="00A948E9" w:rsidRPr="00C1614D" w:rsidTr="0006747E">
        <w:trPr>
          <w:jc w:val="center"/>
        </w:trPr>
        <w:tc>
          <w:tcPr>
            <w:tcW w:w="2076" w:type="dxa"/>
            <w:vAlign w:val="center"/>
            <w:hideMark/>
          </w:tcPr>
          <w:p w:rsidR="00A948E9" w:rsidRPr="00C1614D" w:rsidRDefault="00A948E9" w:rsidP="00C1614D">
            <w:pPr>
              <w:spacing w:line="276" w:lineRule="auto"/>
              <w:jc w:val="left"/>
              <w:rPr>
                <w:rFonts w:eastAsia="Times New Roman"/>
                <w:sz w:val="24"/>
                <w:szCs w:val="24"/>
                <w:lang w:eastAsia="ru-RU"/>
              </w:rPr>
            </w:pPr>
            <w:r w:rsidRPr="00C1614D">
              <w:rPr>
                <w:rFonts w:eastAsia="Times New Roman"/>
                <w:sz w:val="24"/>
                <w:szCs w:val="24"/>
                <w:lang w:eastAsia="ru-RU"/>
              </w:rPr>
              <w:t>Рівненська</w:t>
            </w:r>
          </w:p>
        </w:tc>
        <w:tc>
          <w:tcPr>
            <w:tcW w:w="755" w:type="dxa"/>
            <w:vAlign w:val="center"/>
            <w:hideMark/>
          </w:tcPr>
          <w:p w:rsidR="00A948E9" w:rsidRPr="00C1614D" w:rsidRDefault="00A948E9" w:rsidP="00C1614D">
            <w:pPr>
              <w:spacing w:line="276" w:lineRule="auto"/>
              <w:jc w:val="center"/>
              <w:rPr>
                <w:rFonts w:eastAsia="Times New Roman"/>
                <w:sz w:val="24"/>
                <w:szCs w:val="24"/>
                <w:lang w:eastAsia="ru-RU"/>
              </w:rPr>
            </w:pPr>
            <w:r w:rsidRPr="00C1614D">
              <w:rPr>
                <w:rFonts w:eastAsia="Times New Roman"/>
                <w:sz w:val="24"/>
                <w:szCs w:val="24"/>
                <w:lang w:eastAsia="ru-RU"/>
              </w:rPr>
              <w:t>0,94</w:t>
            </w:r>
          </w:p>
        </w:tc>
        <w:tc>
          <w:tcPr>
            <w:tcW w:w="755" w:type="dxa"/>
            <w:vAlign w:val="center"/>
            <w:hideMark/>
          </w:tcPr>
          <w:p w:rsidR="00A948E9" w:rsidRPr="00C1614D" w:rsidRDefault="00A948E9" w:rsidP="00C1614D">
            <w:pPr>
              <w:spacing w:line="276" w:lineRule="auto"/>
              <w:jc w:val="center"/>
              <w:rPr>
                <w:rFonts w:eastAsia="Times New Roman"/>
                <w:sz w:val="24"/>
                <w:szCs w:val="24"/>
                <w:lang w:eastAsia="ru-RU"/>
              </w:rPr>
            </w:pPr>
            <w:r w:rsidRPr="00C1614D">
              <w:rPr>
                <w:rFonts w:eastAsia="Times New Roman"/>
                <w:sz w:val="24"/>
                <w:szCs w:val="24"/>
                <w:lang w:eastAsia="ru-RU"/>
              </w:rPr>
              <w:t>1,09</w:t>
            </w:r>
          </w:p>
        </w:tc>
        <w:tc>
          <w:tcPr>
            <w:tcW w:w="755" w:type="dxa"/>
            <w:hideMark/>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0,63</w:t>
            </w:r>
          </w:p>
        </w:tc>
        <w:tc>
          <w:tcPr>
            <w:tcW w:w="755" w:type="dxa"/>
            <w:hideMark/>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1,13</w:t>
            </w:r>
          </w:p>
        </w:tc>
        <w:tc>
          <w:tcPr>
            <w:tcW w:w="755" w:type="dxa"/>
            <w:hideMark/>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1,11</w:t>
            </w:r>
          </w:p>
        </w:tc>
        <w:tc>
          <w:tcPr>
            <w:tcW w:w="755" w:type="dxa"/>
            <w:hideMark/>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0,91</w:t>
            </w:r>
          </w:p>
        </w:tc>
        <w:tc>
          <w:tcPr>
            <w:tcW w:w="735" w:type="dxa"/>
            <w:hideMark/>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0,49</w:t>
            </w:r>
          </w:p>
        </w:tc>
        <w:tc>
          <w:tcPr>
            <w:tcW w:w="708" w:type="dxa"/>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0,65</w:t>
            </w:r>
          </w:p>
        </w:tc>
      </w:tr>
      <w:tr w:rsidR="00A948E9" w:rsidRPr="00C1614D" w:rsidTr="0006747E">
        <w:trPr>
          <w:jc w:val="center"/>
        </w:trPr>
        <w:tc>
          <w:tcPr>
            <w:tcW w:w="2076" w:type="dxa"/>
            <w:vAlign w:val="center"/>
            <w:hideMark/>
          </w:tcPr>
          <w:p w:rsidR="00A948E9" w:rsidRPr="00C1614D" w:rsidRDefault="00A948E9" w:rsidP="00C1614D">
            <w:pPr>
              <w:spacing w:line="276" w:lineRule="auto"/>
              <w:jc w:val="left"/>
              <w:rPr>
                <w:rFonts w:eastAsia="Times New Roman"/>
                <w:sz w:val="24"/>
                <w:szCs w:val="24"/>
                <w:lang w:eastAsia="ru-RU"/>
              </w:rPr>
            </w:pPr>
            <w:r w:rsidRPr="00C1614D">
              <w:rPr>
                <w:rFonts w:eastAsia="Times New Roman"/>
                <w:sz w:val="24"/>
                <w:szCs w:val="24"/>
                <w:lang w:eastAsia="ru-RU"/>
              </w:rPr>
              <w:t>Сумська</w:t>
            </w:r>
          </w:p>
        </w:tc>
        <w:tc>
          <w:tcPr>
            <w:tcW w:w="755" w:type="dxa"/>
            <w:vAlign w:val="center"/>
            <w:hideMark/>
          </w:tcPr>
          <w:p w:rsidR="00A948E9" w:rsidRPr="00C1614D" w:rsidRDefault="00A948E9" w:rsidP="00C1614D">
            <w:pPr>
              <w:spacing w:line="276" w:lineRule="auto"/>
              <w:jc w:val="center"/>
              <w:rPr>
                <w:rFonts w:eastAsia="Times New Roman"/>
                <w:sz w:val="24"/>
                <w:szCs w:val="24"/>
                <w:lang w:eastAsia="ru-RU"/>
              </w:rPr>
            </w:pPr>
            <w:r w:rsidRPr="00C1614D">
              <w:rPr>
                <w:rFonts w:eastAsia="Times New Roman"/>
                <w:sz w:val="24"/>
                <w:szCs w:val="24"/>
                <w:lang w:eastAsia="ru-RU"/>
              </w:rPr>
              <w:t>1,60</w:t>
            </w:r>
          </w:p>
        </w:tc>
        <w:tc>
          <w:tcPr>
            <w:tcW w:w="755" w:type="dxa"/>
            <w:vAlign w:val="center"/>
            <w:hideMark/>
          </w:tcPr>
          <w:p w:rsidR="00A948E9" w:rsidRPr="00C1614D" w:rsidRDefault="00A948E9" w:rsidP="00C1614D">
            <w:pPr>
              <w:spacing w:line="276" w:lineRule="auto"/>
              <w:jc w:val="center"/>
              <w:rPr>
                <w:rFonts w:eastAsia="Times New Roman"/>
                <w:sz w:val="24"/>
                <w:szCs w:val="24"/>
                <w:lang w:eastAsia="ru-RU"/>
              </w:rPr>
            </w:pPr>
            <w:r w:rsidRPr="00C1614D">
              <w:rPr>
                <w:rFonts w:eastAsia="Times New Roman"/>
                <w:sz w:val="24"/>
                <w:szCs w:val="24"/>
                <w:lang w:eastAsia="ru-RU"/>
              </w:rPr>
              <w:t>0,93</w:t>
            </w:r>
          </w:p>
        </w:tc>
        <w:tc>
          <w:tcPr>
            <w:tcW w:w="755" w:type="dxa"/>
            <w:hideMark/>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1,24</w:t>
            </w:r>
          </w:p>
        </w:tc>
        <w:tc>
          <w:tcPr>
            <w:tcW w:w="755" w:type="dxa"/>
            <w:hideMark/>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0,86</w:t>
            </w:r>
          </w:p>
        </w:tc>
        <w:tc>
          <w:tcPr>
            <w:tcW w:w="755" w:type="dxa"/>
            <w:hideMark/>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0,96</w:t>
            </w:r>
          </w:p>
        </w:tc>
        <w:tc>
          <w:tcPr>
            <w:tcW w:w="755" w:type="dxa"/>
            <w:hideMark/>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0,46</w:t>
            </w:r>
          </w:p>
        </w:tc>
        <w:tc>
          <w:tcPr>
            <w:tcW w:w="735" w:type="dxa"/>
            <w:hideMark/>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0,75</w:t>
            </w:r>
          </w:p>
        </w:tc>
        <w:tc>
          <w:tcPr>
            <w:tcW w:w="708" w:type="dxa"/>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0,39</w:t>
            </w:r>
          </w:p>
        </w:tc>
      </w:tr>
      <w:tr w:rsidR="00A948E9" w:rsidRPr="00C1614D" w:rsidTr="0006747E">
        <w:trPr>
          <w:jc w:val="center"/>
        </w:trPr>
        <w:tc>
          <w:tcPr>
            <w:tcW w:w="2076" w:type="dxa"/>
            <w:vAlign w:val="center"/>
            <w:hideMark/>
          </w:tcPr>
          <w:p w:rsidR="00A948E9" w:rsidRPr="00C1614D" w:rsidRDefault="00A948E9" w:rsidP="00C1614D">
            <w:pPr>
              <w:spacing w:line="276" w:lineRule="auto"/>
              <w:jc w:val="left"/>
              <w:rPr>
                <w:rFonts w:eastAsia="Times New Roman"/>
                <w:sz w:val="24"/>
                <w:szCs w:val="24"/>
                <w:lang w:eastAsia="ru-RU"/>
              </w:rPr>
            </w:pPr>
            <w:r w:rsidRPr="00C1614D">
              <w:rPr>
                <w:rFonts w:eastAsia="Times New Roman"/>
                <w:sz w:val="24"/>
                <w:szCs w:val="24"/>
                <w:lang w:eastAsia="ru-RU"/>
              </w:rPr>
              <w:t>Тернопільська</w:t>
            </w:r>
          </w:p>
        </w:tc>
        <w:tc>
          <w:tcPr>
            <w:tcW w:w="755" w:type="dxa"/>
            <w:vAlign w:val="center"/>
            <w:hideMark/>
          </w:tcPr>
          <w:p w:rsidR="00A948E9" w:rsidRPr="00C1614D" w:rsidRDefault="00A948E9" w:rsidP="00C1614D">
            <w:pPr>
              <w:spacing w:line="276" w:lineRule="auto"/>
              <w:jc w:val="center"/>
              <w:rPr>
                <w:rFonts w:eastAsia="Times New Roman"/>
                <w:sz w:val="24"/>
                <w:szCs w:val="24"/>
                <w:lang w:eastAsia="ru-RU"/>
              </w:rPr>
            </w:pPr>
            <w:r w:rsidRPr="00C1614D">
              <w:rPr>
                <w:rFonts w:eastAsia="Times New Roman"/>
                <w:sz w:val="24"/>
                <w:szCs w:val="24"/>
                <w:lang w:eastAsia="ru-RU"/>
              </w:rPr>
              <w:t>1,31</w:t>
            </w:r>
          </w:p>
        </w:tc>
        <w:tc>
          <w:tcPr>
            <w:tcW w:w="755" w:type="dxa"/>
            <w:vAlign w:val="center"/>
            <w:hideMark/>
          </w:tcPr>
          <w:p w:rsidR="00A948E9" w:rsidRPr="00C1614D" w:rsidRDefault="00A948E9" w:rsidP="00C1614D">
            <w:pPr>
              <w:spacing w:line="276" w:lineRule="auto"/>
              <w:jc w:val="center"/>
              <w:rPr>
                <w:rFonts w:eastAsia="Times New Roman"/>
                <w:sz w:val="24"/>
                <w:szCs w:val="24"/>
                <w:lang w:eastAsia="ru-RU"/>
              </w:rPr>
            </w:pPr>
            <w:r w:rsidRPr="00C1614D">
              <w:rPr>
                <w:rFonts w:eastAsia="Times New Roman"/>
                <w:sz w:val="24"/>
                <w:szCs w:val="24"/>
                <w:lang w:eastAsia="ru-RU"/>
              </w:rPr>
              <w:t>1,02</w:t>
            </w:r>
          </w:p>
        </w:tc>
        <w:tc>
          <w:tcPr>
            <w:tcW w:w="755" w:type="dxa"/>
            <w:hideMark/>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0,09</w:t>
            </w:r>
          </w:p>
        </w:tc>
        <w:tc>
          <w:tcPr>
            <w:tcW w:w="755" w:type="dxa"/>
            <w:hideMark/>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0,62</w:t>
            </w:r>
          </w:p>
        </w:tc>
        <w:tc>
          <w:tcPr>
            <w:tcW w:w="755" w:type="dxa"/>
            <w:hideMark/>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1,13</w:t>
            </w:r>
          </w:p>
        </w:tc>
        <w:tc>
          <w:tcPr>
            <w:tcW w:w="755" w:type="dxa"/>
            <w:hideMark/>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0,69</w:t>
            </w:r>
          </w:p>
        </w:tc>
        <w:tc>
          <w:tcPr>
            <w:tcW w:w="735" w:type="dxa"/>
            <w:hideMark/>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1,13</w:t>
            </w:r>
          </w:p>
        </w:tc>
        <w:tc>
          <w:tcPr>
            <w:tcW w:w="708" w:type="dxa"/>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0,75</w:t>
            </w:r>
          </w:p>
        </w:tc>
      </w:tr>
      <w:tr w:rsidR="00A948E9" w:rsidRPr="00C1614D" w:rsidTr="0006747E">
        <w:trPr>
          <w:jc w:val="center"/>
        </w:trPr>
        <w:tc>
          <w:tcPr>
            <w:tcW w:w="2076" w:type="dxa"/>
            <w:vAlign w:val="center"/>
            <w:hideMark/>
          </w:tcPr>
          <w:p w:rsidR="00A948E9" w:rsidRPr="00C1614D" w:rsidRDefault="00A948E9" w:rsidP="00C1614D">
            <w:pPr>
              <w:spacing w:line="276" w:lineRule="auto"/>
              <w:jc w:val="left"/>
              <w:rPr>
                <w:rFonts w:eastAsia="Times New Roman"/>
                <w:sz w:val="24"/>
                <w:szCs w:val="24"/>
                <w:lang w:eastAsia="ru-RU"/>
              </w:rPr>
            </w:pPr>
            <w:r w:rsidRPr="00C1614D">
              <w:rPr>
                <w:rFonts w:eastAsia="Times New Roman"/>
                <w:sz w:val="24"/>
                <w:szCs w:val="24"/>
                <w:lang w:eastAsia="ru-RU"/>
              </w:rPr>
              <w:t>Харківська</w:t>
            </w:r>
          </w:p>
        </w:tc>
        <w:tc>
          <w:tcPr>
            <w:tcW w:w="755" w:type="dxa"/>
            <w:vAlign w:val="center"/>
            <w:hideMark/>
          </w:tcPr>
          <w:p w:rsidR="00A948E9" w:rsidRPr="00C1614D" w:rsidRDefault="00A948E9" w:rsidP="00C1614D">
            <w:pPr>
              <w:spacing w:line="276" w:lineRule="auto"/>
              <w:jc w:val="center"/>
              <w:rPr>
                <w:rFonts w:eastAsia="Times New Roman"/>
                <w:sz w:val="24"/>
                <w:szCs w:val="24"/>
                <w:lang w:eastAsia="ru-RU"/>
              </w:rPr>
            </w:pPr>
            <w:r w:rsidRPr="00C1614D">
              <w:rPr>
                <w:rFonts w:eastAsia="Times New Roman"/>
                <w:sz w:val="24"/>
                <w:szCs w:val="24"/>
                <w:lang w:eastAsia="ru-RU"/>
              </w:rPr>
              <w:t>0,76</w:t>
            </w:r>
          </w:p>
        </w:tc>
        <w:tc>
          <w:tcPr>
            <w:tcW w:w="755" w:type="dxa"/>
            <w:vAlign w:val="center"/>
            <w:hideMark/>
          </w:tcPr>
          <w:p w:rsidR="00A948E9" w:rsidRPr="00C1614D" w:rsidRDefault="00A948E9" w:rsidP="00C1614D">
            <w:pPr>
              <w:spacing w:line="276" w:lineRule="auto"/>
              <w:jc w:val="center"/>
              <w:rPr>
                <w:rFonts w:eastAsia="Times New Roman"/>
                <w:sz w:val="24"/>
                <w:szCs w:val="24"/>
                <w:lang w:eastAsia="ru-RU"/>
              </w:rPr>
            </w:pPr>
            <w:r w:rsidRPr="00C1614D">
              <w:rPr>
                <w:rFonts w:eastAsia="Times New Roman"/>
                <w:sz w:val="24"/>
                <w:szCs w:val="24"/>
                <w:lang w:eastAsia="ru-RU"/>
              </w:rPr>
              <w:t>0,91</w:t>
            </w:r>
          </w:p>
        </w:tc>
        <w:tc>
          <w:tcPr>
            <w:tcW w:w="755" w:type="dxa"/>
            <w:hideMark/>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0,55</w:t>
            </w:r>
          </w:p>
        </w:tc>
        <w:tc>
          <w:tcPr>
            <w:tcW w:w="755" w:type="dxa"/>
            <w:hideMark/>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0,85</w:t>
            </w:r>
          </w:p>
        </w:tc>
        <w:tc>
          <w:tcPr>
            <w:tcW w:w="755" w:type="dxa"/>
            <w:hideMark/>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0,90</w:t>
            </w:r>
          </w:p>
        </w:tc>
        <w:tc>
          <w:tcPr>
            <w:tcW w:w="755" w:type="dxa"/>
            <w:hideMark/>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0,71</w:t>
            </w:r>
          </w:p>
        </w:tc>
        <w:tc>
          <w:tcPr>
            <w:tcW w:w="735" w:type="dxa"/>
            <w:hideMark/>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0,45</w:t>
            </w:r>
          </w:p>
        </w:tc>
        <w:tc>
          <w:tcPr>
            <w:tcW w:w="708" w:type="dxa"/>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0,47</w:t>
            </w:r>
          </w:p>
        </w:tc>
      </w:tr>
      <w:tr w:rsidR="00A948E9" w:rsidRPr="00C1614D" w:rsidTr="0006747E">
        <w:trPr>
          <w:jc w:val="center"/>
        </w:trPr>
        <w:tc>
          <w:tcPr>
            <w:tcW w:w="2076" w:type="dxa"/>
            <w:vAlign w:val="center"/>
            <w:hideMark/>
          </w:tcPr>
          <w:p w:rsidR="00A948E9" w:rsidRPr="00C1614D" w:rsidRDefault="00A948E9" w:rsidP="00C1614D">
            <w:pPr>
              <w:spacing w:line="276" w:lineRule="auto"/>
              <w:jc w:val="left"/>
              <w:rPr>
                <w:rFonts w:eastAsia="Times New Roman"/>
                <w:sz w:val="24"/>
                <w:szCs w:val="24"/>
                <w:lang w:eastAsia="ru-RU"/>
              </w:rPr>
            </w:pPr>
            <w:r w:rsidRPr="00C1614D">
              <w:rPr>
                <w:rFonts w:eastAsia="Times New Roman"/>
                <w:sz w:val="24"/>
                <w:szCs w:val="24"/>
                <w:lang w:eastAsia="ru-RU"/>
              </w:rPr>
              <w:t>Херсонська</w:t>
            </w:r>
          </w:p>
        </w:tc>
        <w:tc>
          <w:tcPr>
            <w:tcW w:w="755" w:type="dxa"/>
            <w:vAlign w:val="center"/>
            <w:hideMark/>
          </w:tcPr>
          <w:p w:rsidR="00A948E9" w:rsidRPr="00C1614D" w:rsidRDefault="00A948E9" w:rsidP="00C1614D">
            <w:pPr>
              <w:spacing w:line="276" w:lineRule="auto"/>
              <w:jc w:val="center"/>
              <w:rPr>
                <w:rFonts w:eastAsia="Times New Roman"/>
                <w:sz w:val="24"/>
                <w:szCs w:val="24"/>
                <w:lang w:eastAsia="ru-RU"/>
              </w:rPr>
            </w:pPr>
            <w:r w:rsidRPr="00C1614D">
              <w:rPr>
                <w:rFonts w:eastAsia="Times New Roman"/>
                <w:sz w:val="24"/>
                <w:szCs w:val="24"/>
                <w:lang w:eastAsia="ru-RU"/>
              </w:rPr>
              <w:t>2,55</w:t>
            </w:r>
          </w:p>
        </w:tc>
        <w:tc>
          <w:tcPr>
            <w:tcW w:w="755" w:type="dxa"/>
            <w:vAlign w:val="center"/>
            <w:hideMark/>
          </w:tcPr>
          <w:p w:rsidR="00A948E9" w:rsidRPr="00C1614D" w:rsidRDefault="00A948E9" w:rsidP="00C1614D">
            <w:pPr>
              <w:spacing w:line="276" w:lineRule="auto"/>
              <w:jc w:val="center"/>
              <w:rPr>
                <w:rFonts w:eastAsia="Times New Roman"/>
                <w:sz w:val="24"/>
                <w:szCs w:val="24"/>
                <w:lang w:eastAsia="ru-RU"/>
              </w:rPr>
            </w:pPr>
            <w:r w:rsidRPr="00C1614D">
              <w:rPr>
                <w:rFonts w:eastAsia="Times New Roman"/>
                <w:sz w:val="24"/>
                <w:szCs w:val="24"/>
                <w:lang w:eastAsia="ru-RU"/>
              </w:rPr>
              <w:t>1,65</w:t>
            </w:r>
          </w:p>
        </w:tc>
        <w:tc>
          <w:tcPr>
            <w:tcW w:w="755" w:type="dxa"/>
            <w:hideMark/>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1,55</w:t>
            </w:r>
          </w:p>
        </w:tc>
        <w:tc>
          <w:tcPr>
            <w:tcW w:w="755" w:type="dxa"/>
            <w:hideMark/>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1,93</w:t>
            </w:r>
          </w:p>
        </w:tc>
        <w:tc>
          <w:tcPr>
            <w:tcW w:w="755" w:type="dxa"/>
            <w:hideMark/>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1,21</w:t>
            </w:r>
          </w:p>
        </w:tc>
        <w:tc>
          <w:tcPr>
            <w:tcW w:w="755" w:type="dxa"/>
            <w:hideMark/>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0,92</w:t>
            </w:r>
          </w:p>
        </w:tc>
        <w:tc>
          <w:tcPr>
            <w:tcW w:w="735" w:type="dxa"/>
            <w:hideMark/>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1,53</w:t>
            </w:r>
          </w:p>
        </w:tc>
        <w:tc>
          <w:tcPr>
            <w:tcW w:w="708" w:type="dxa"/>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0,90</w:t>
            </w:r>
          </w:p>
        </w:tc>
      </w:tr>
      <w:tr w:rsidR="00A948E9" w:rsidRPr="00C1614D" w:rsidTr="0006747E">
        <w:trPr>
          <w:jc w:val="center"/>
        </w:trPr>
        <w:tc>
          <w:tcPr>
            <w:tcW w:w="2076" w:type="dxa"/>
            <w:vAlign w:val="center"/>
            <w:hideMark/>
          </w:tcPr>
          <w:p w:rsidR="00A948E9" w:rsidRPr="00C1614D" w:rsidRDefault="00A948E9" w:rsidP="00C1614D">
            <w:pPr>
              <w:spacing w:line="276" w:lineRule="auto"/>
              <w:jc w:val="left"/>
              <w:rPr>
                <w:rFonts w:eastAsia="Times New Roman"/>
                <w:sz w:val="24"/>
                <w:szCs w:val="24"/>
                <w:lang w:eastAsia="ru-RU"/>
              </w:rPr>
            </w:pPr>
            <w:r w:rsidRPr="00C1614D">
              <w:rPr>
                <w:rFonts w:eastAsia="Times New Roman"/>
                <w:sz w:val="24"/>
                <w:szCs w:val="24"/>
                <w:lang w:eastAsia="ru-RU"/>
              </w:rPr>
              <w:t>Хмельницька</w:t>
            </w:r>
          </w:p>
        </w:tc>
        <w:tc>
          <w:tcPr>
            <w:tcW w:w="755" w:type="dxa"/>
            <w:vAlign w:val="center"/>
            <w:hideMark/>
          </w:tcPr>
          <w:p w:rsidR="00A948E9" w:rsidRPr="00C1614D" w:rsidRDefault="00A948E9" w:rsidP="00C1614D">
            <w:pPr>
              <w:spacing w:line="276" w:lineRule="auto"/>
              <w:jc w:val="center"/>
              <w:rPr>
                <w:rFonts w:eastAsia="Times New Roman"/>
                <w:sz w:val="24"/>
                <w:szCs w:val="24"/>
                <w:lang w:eastAsia="ru-RU"/>
              </w:rPr>
            </w:pPr>
            <w:r w:rsidRPr="00C1614D">
              <w:rPr>
                <w:rFonts w:eastAsia="Times New Roman"/>
                <w:sz w:val="24"/>
                <w:szCs w:val="24"/>
                <w:lang w:eastAsia="ru-RU"/>
              </w:rPr>
              <w:t>0,65</w:t>
            </w:r>
          </w:p>
        </w:tc>
        <w:tc>
          <w:tcPr>
            <w:tcW w:w="755" w:type="dxa"/>
            <w:vAlign w:val="center"/>
            <w:hideMark/>
          </w:tcPr>
          <w:p w:rsidR="00A948E9" w:rsidRPr="00C1614D" w:rsidRDefault="00A948E9" w:rsidP="00C1614D">
            <w:pPr>
              <w:spacing w:line="276" w:lineRule="auto"/>
              <w:jc w:val="center"/>
              <w:rPr>
                <w:rFonts w:eastAsia="Times New Roman"/>
                <w:sz w:val="24"/>
                <w:szCs w:val="24"/>
                <w:lang w:eastAsia="ru-RU"/>
              </w:rPr>
            </w:pPr>
            <w:r w:rsidRPr="00C1614D">
              <w:rPr>
                <w:rFonts w:eastAsia="Times New Roman"/>
                <w:sz w:val="24"/>
                <w:szCs w:val="24"/>
                <w:lang w:eastAsia="ru-RU"/>
              </w:rPr>
              <w:t>1,16</w:t>
            </w:r>
          </w:p>
        </w:tc>
        <w:tc>
          <w:tcPr>
            <w:tcW w:w="755" w:type="dxa"/>
            <w:hideMark/>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0,94</w:t>
            </w:r>
          </w:p>
        </w:tc>
        <w:tc>
          <w:tcPr>
            <w:tcW w:w="755" w:type="dxa"/>
            <w:hideMark/>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1,23</w:t>
            </w:r>
          </w:p>
        </w:tc>
        <w:tc>
          <w:tcPr>
            <w:tcW w:w="755" w:type="dxa"/>
            <w:hideMark/>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0,95</w:t>
            </w:r>
          </w:p>
        </w:tc>
        <w:tc>
          <w:tcPr>
            <w:tcW w:w="755" w:type="dxa"/>
            <w:hideMark/>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0,54</w:t>
            </w:r>
          </w:p>
        </w:tc>
        <w:tc>
          <w:tcPr>
            <w:tcW w:w="735" w:type="dxa"/>
            <w:hideMark/>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1,09</w:t>
            </w:r>
          </w:p>
        </w:tc>
        <w:tc>
          <w:tcPr>
            <w:tcW w:w="708" w:type="dxa"/>
          </w:tcPr>
          <w:p w:rsidR="00A948E9" w:rsidRPr="00C1614D" w:rsidRDefault="00A948E9" w:rsidP="00C1614D">
            <w:pPr>
              <w:spacing w:line="276" w:lineRule="auto"/>
              <w:jc w:val="center"/>
              <w:rPr>
                <w:rFonts w:eastAsia="Times New Roman"/>
                <w:sz w:val="24"/>
                <w:szCs w:val="24"/>
                <w:lang w:val="en-US" w:eastAsia="ru-RU"/>
              </w:rPr>
            </w:pPr>
            <w:r w:rsidRPr="00C1614D">
              <w:rPr>
                <w:rFonts w:eastAsia="Times New Roman"/>
                <w:sz w:val="24"/>
                <w:szCs w:val="24"/>
                <w:lang w:val="ru-RU" w:eastAsia="ru-RU"/>
              </w:rPr>
              <w:t>0,44</w:t>
            </w:r>
          </w:p>
        </w:tc>
      </w:tr>
      <w:tr w:rsidR="00A948E9" w:rsidRPr="00C1614D" w:rsidTr="0006747E">
        <w:trPr>
          <w:jc w:val="center"/>
        </w:trPr>
        <w:tc>
          <w:tcPr>
            <w:tcW w:w="2076" w:type="dxa"/>
            <w:vAlign w:val="center"/>
            <w:hideMark/>
          </w:tcPr>
          <w:p w:rsidR="00A948E9" w:rsidRPr="00C1614D" w:rsidRDefault="00A948E9" w:rsidP="00C1614D">
            <w:pPr>
              <w:spacing w:line="276" w:lineRule="auto"/>
              <w:jc w:val="left"/>
              <w:rPr>
                <w:rFonts w:eastAsia="Times New Roman"/>
                <w:sz w:val="24"/>
                <w:szCs w:val="24"/>
                <w:lang w:eastAsia="ru-RU"/>
              </w:rPr>
            </w:pPr>
            <w:r w:rsidRPr="00C1614D">
              <w:rPr>
                <w:rFonts w:eastAsia="Times New Roman"/>
                <w:sz w:val="24"/>
                <w:szCs w:val="24"/>
                <w:lang w:eastAsia="ru-RU"/>
              </w:rPr>
              <w:t>Черкаська</w:t>
            </w:r>
          </w:p>
        </w:tc>
        <w:tc>
          <w:tcPr>
            <w:tcW w:w="755" w:type="dxa"/>
            <w:vAlign w:val="center"/>
            <w:hideMark/>
          </w:tcPr>
          <w:p w:rsidR="00A948E9" w:rsidRPr="00C1614D" w:rsidRDefault="00A948E9" w:rsidP="00C1614D">
            <w:pPr>
              <w:spacing w:line="276" w:lineRule="auto"/>
              <w:jc w:val="center"/>
              <w:rPr>
                <w:rFonts w:eastAsia="Times New Roman"/>
                <w:sz w:val="24"/>
                <w:szCs w:val="24"/>
                <w:lang w:eastAsia="ru-RU"/>
              </w:rPr>
            </w:pPr>
            <w:r w:rsidRPr="00C1614D">
              <w:rPr>
                <w:rFonts w:eastAsia="Times New Roman"/>
                <w:sz w:val="24"/>
                <w:szCs w:val="24"/>
                <w:lang w:eastAsia="ru-RU"/>
              </w:rPr>
              <w:t>0,69</w:t>
            </w:r>
          </w:p>
        </w:tc>
        <w:tc>
          <w:tcPr>
            <w:tcW w:w="755" w:type="dxa"/>
            <w:vAlign w:val="center"/>
            <w:hideMark/>
          </w:tcPr>
          <w:p w:rsidR="00A948E9" w:rsidRPr="00C1614D" w:rsidRDefault="00A948E9" w:rsidP="00C1614D">
            <w:pPr>
              <w:spacing w:line="276" w:lineRule="auto"/>
              <w:jc w:val="center"/>
              <w:rPr>
                <w:rFonts w:eastAsia="Times New Roman"/>
                <w:sz w:val="24"/>
                <w:szCs w:val="24"/>
                <w:lang w:eastAsia="ru-RU"/>
              </w:rPr>
            </w:pPr>
            <w:r w:rsidRPr="00C1614D">
              <w:rPr>
                <w:rFonts w:eastAsia="Times New Roman"/>
                <w:sz w:val="24"/>
                <w:szCs w:val="24"/>
                <w:lang w:eastAsia="ru-RU"/>
              </w:rPr>
              <w:t>0,76</w:t>
            </w:r>
          </w:p>
        </w:tc>
        <w:tc>
          <w:tcPr>
            <w:tcW w:w="755" w:type="dxa"/>
            <w:hideMark/>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1,03</w:t>
            </w:r>
          </w:p>
        </w:tc>
        <w:tc>
          <w:tcPr>
            <w:tcW w:w="755" w:type="dxa"/>
            <w:hideMark/>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1,31</w:t>
            </w:r>
          </w:p>
        </w:tc>
        <w:tc>
          <w:tcPr>
            <w:tcW w:w="755" w:type="dxa"/>
            <w:hideMark/>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0,62</w:t>
            </w:r>
          </w:p>
        </w:tc>
        <w:tc>
          <w:tcPr>
            <w:tcW w:w="755" w:type="dxa"/>
            <w:hideMark/>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0,85</w:t>
            </w:r>
          </w:p>
        </w:tc>
        <w:tc>
          <w:tcPr>
            <w:tcW w:w="735" w:type="dxa"/>
            <w:hideMark/>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0,72</w:t>
            </w:r>
          </w:p>
        </w:tc>
        <w:tc>
          <w:tcPr>
            <w:tcW w:w="708" w:type="dxa"/>
          </w:tcPr>
          <w:p w:rsidR="00A948E9" w:rsidRPr="00C1614D" w:rsidRDefault="00A948E9" w:rsidP="00C1614D">
            <w:pPr>
              <w:spacing w:line="276" w:lineRule="auto"/>
              <w:jc w:val="center"/>
              <w:rPr>
                <w:rFonts w:eastAsia="Times New Roman"/>
                <w:sz w:val="24"/>
                <w:szCs w:val="24"/>
                <w:lang w:val="en-US" w:eastAsia="ru-RU"/>
              </w:rPr>
            </w:pPr>
            <w:r w:rsidRPr="00C1614D">
              <w:rPr>
                <w:rFonts w:eastAsia="Times New Roman"/>
                <w:sz w:val="24"/>
                <w:szCs w:val="24"/>
                <w:lang w:val="en-US" w:eastAsia="ru-RU"/>
              </w:rPr>
              <w:t>0,87</w:t>
            </w:r>
          </w:p>
        </w:tc>
      </w:tr>
      <w:tr w:rsidR="00A948E9" w:rsidRPr="00C1614D" w:rsidTr="0006747E">
        <w:trPr>
          <w:jc w:val="center"/>
        </w:trPr>
        <w:tc>
          <w:tcPr>
            <w:tcW w:w="2076" w:type="dxa"/>
            <w:vAlign w:val="center"/>
            <w:hideMark/>
          </w:tcPr>
          <w:p w:rsidR="00A948E9" w:rsidRPr="00C1614D" w:rsidRDefault="00A948E9" w:rsidP="00C1614D">
            <w:pPr>
              <w:spacing w:line="276" w:lineRule="auto"/>
              <w:jc w:val="left"/>
              <w:rPr>
                <w:rFonts w:eastAsia="Times New Roman"/>
                <w:sz w:val="24"/>
                <w:szCs w:val="24"/>
                <w:lang w:eastAsia="ru-RU"/>
              </w:rPr>
            </w:pPr>
            <w:r w:rsidRPr="00C1614D">
              <w:rPr>
                <w:rFonts w:eastAsia="Times New Roman"/>
                <w:sz w:val="24"/>
                <w:szCs w:val="24"/>
                <w:lang w:eastAsia="ru-RU"/>
              </w:rPr>
              <w:t>Чернівецька</w:t>
            </w:r>
          </w:p>
        </w:tc>
        <w:tc>
          <w:tcPr>
            <w:tcW w:w="755" w:type="dxa"/>
            <w:vAlign w:val="center"/>
            <w:hideMark/>
          </w:tcPr>
          <w:p w:rsidR="00A948E9" w:rsidRPr="00C1614D" w:rsidRDefault="00A948E9" w:rsidP="00C1614D">
            <w:pPr>
              <w:spacing w:line="276" w:lineRule="auto"/>
              <w:jc w:val="center"/>
              <w:rPr>
                <w:rFonts w:eastAsia="Times New Roman"/>
                <w:sz w:val="24"/>
                <w:szCs w:val="24"/>
                <w:lang w:eastAsia="ru-RU"/>
              </w:rPr>
            </w:pPr>
            <w:r w:rsidRPr="00C1614D">
              <w:rPr>
                <w:rFonts w:eastAsia="Times New Roman"/>
                <w:sz w:val="24"/>
                <w:szCs w:val="24"/>
                <w:lang w:eastAsia="ru-RU"/>
              </w:rPr>
              <w:t>1,68</w:t>
            </w:r>
          </w:p>
        </w:tc>
        <w:tc>
          <w:tcPr>
            <w:tcW w:w="755" w:type="dxa"/>
            <w:vAlign w:val="center"/>
            <w:hideMark/>
          </w:tcPr>
          <w:p w:rsidR="00A948E9" w:rsidRPr="00C1614D" w:rsidRDefault="00A948E9" w:rsidP="00C1614D">
            <w:pPr>
              <w:spacing w:line="276" w:lineRule="auto"/>
              <w:jc w:val="center"/>
              <w:rPr>
                <w:rFonts w:eastAsia="Times New Roman"/>
                <w:sz w:val="24"/>
                <w:szCs w:val="24"/>
                <w:lang w:eastAsia="ru-RU"/>
              </w:rPr>
            </w:pPr>
            <w:r w:rsidRPr="00C1614D">
              <w:rPr>
                <w:rFonts w:eastAsia="Times New Roman"/>
                <w:sz w:val="24"/>
                <w:szCs w:val="24"/>
                <w:lang w:eastAsia="ru-RU"/>
              </w:rPr>
              <w:t>1,09</w:t>
            </w:r>
          </w:p>
        </w:tc>
        <w:tc>
          <w:tcPr>
            <w:tcW w:w="755" w:type="dxa"/>
            <w:hideMark/>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0,80</w:t>
            </w:r>
          </w:p>
        </w:tc>
        <w:tc>
          <w:tcPr>
            <w:tcW w:w="755" w:type="dxa"/>
            <w:hideMark/>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0,97</w:t>
            </w:r>
          </w:p>
        </w:tc>
        <w:tc>
          <w:tcPr>
            <w:tcW w:w="755" w:type="dxa"/>
            <w:hideMark/>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1,76</w:t>
            </w:r>
          </w:p>
        </w:tc>
        <w:tc>
          <w:tcPr>
            <w:tcW w:w="755" w:type="dxa"/>
            <w:hideMark/>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1,59</w:t>
            </w:r>
          </w:p>
        </w:tc>
        <w:tc>
          <w:tcPr>
            <w:tcW w:w="735" w:type="dxa"/>
            <w:hideMark/>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0,96</w:t>
            </w:r>
          </w:p>
        </w:tc>
        <w:tc>
          <w:tcPr>
            <w:tcW w:w="708" w:type="dxa"/>
          </w:tcPr>
          <w:p w:rsidR="00A948E9" w:rsidRPr="00C1614D" w:rsidRDefault="00A948E9" w:rsidP="00C1614D">
            <w:pPr>
              <w:spacing w:line="276" w:lineRule="auto"/>
              <w:jc w:val="center"/>
              <w:rPr>
                <w:rFonts w:eastAsia="Times New Roman"/>
                <w:sz w:val="24"/>
                <w:szCs w:val="24"/>
                <w:lang w:val="en-US" w:eastAsia="ru-RU"/>
              </w:rPr>
            </w:pPr>
            <w:r w:rsidRPr="00C1614D">
              <w:rPr>
                <w:rFonts w:eastAsia="Times New Roman"/>
                <w:sz w:val="24"/>
                <w:szCs w:val="24"/>
                <w:lang w:val="en-US" w:eastAsia="ru-RU"/>
              </w:rPr>
              <w:t>1,22</w:t>
            </w:r>
          </w:p>
        </w:tc>
      </w:tr>
      <w:tr w:rsidR="00A948E9" w:rsidRPr="00C1614D" w:rsidTr="0006747E">
        <w:trPr>
          <w:jc w:val="center"/>
        </w:trPr>
        <w:tc>
          <w:tcPr>
            <w:tcW w:w="2076" w:type="dxa"/>
            <w:vAlign w:val="center"/>
            <w:hideMark/>
          </w:tcPr>
          <w:p w:rsidR="00A948E9" w:rsidRPr="00C1614D" w:rsidRDefault="00A948E9" w:rsidP="00C1614D">
            <w:pPr>
              <w:spacing w:line="276" w:lineRule="auto"/>
              <w:jc w:val="left"/>
              <w:rPr>
                <w:rFonts w:eastAsia="Times New Roman"/>
                <w:sz w:val="24"/>
                <w:szCs w:val="24"/>
                <w:lang w:eastAsia="ru-RU"/>
              </w:rPr>
            </w:pPr>
            <w:r w:rsidRPr="00C1614D">
              <w:rPr>
                <w:rFonts w:eastAsia="Times New Roman"/>
                <w:sz w:val="24"/>
                <w:szCs w:val="24"/>
                <w:lang w:eastAsia="ru-RU"/>
              </w:rPr>
              <w:t>Чернігівська</w:t>
            </w:r>
          </w:p>
        </w:tc>
        <w:tc>
          <w:tcPr>
            <w:tcW w:w="755" w:type="dxa"/>
            <w:vAlign w:val="center"/>
            <w:hideMark/>
          </w:tcPr>
          <w:p w:rsidR="00A948E9" w:rsidRPr="00C1614D" w:rsidRDefault="00A948E9" w:rsidP="00C1614D">
            <w:pPr>
              <w:spacing w:line="276" w:lineRule="auto"/>
              <w:jc w:val="center"/>
              <w:rPr>
                <w:rFonts w:eastAsia="Times New Roman"/>
                <w:sz w:val="24"/>
                <w:szCs w:val="24"/>
                <w:lang w:eastAsia="ru-RU"/>
              </w:rPr>
            </w:pPr>
            <w:r w:rsidRPr="00C1614D">
              <w:rPr>
                <w:rFonts w:eastAsia="Times New Roman"/>
                <w:sz w:val="24"/>
                <w:szCs w:val="24"/>
                <w:lang w:eastAsia="ru-RU"/>
              </w:rPr>
              <w:t>1,58</w:t>
            </w:r>
          </w:p>
        </w:tc>
        <w:tc>
          <w:tcPr>
            <w:tcW w:w="755" w:type="dxa"/>
            <w:vAlign w:val="center"/>
            <w:hideMark/>
          </w:tcPr>
          <w:p w:rsidR="00A948E9" w:rsidRPr="00C1614D" w:rsidRDefault="00A948E9" w:rsidP="00C1614D">
            <w:pPr>
              <w:spacing w:line="276" w:lineRule="auto"/>
              <w:jc w:val="center"/>
              <w:rPr>
                <w:rFonts w:eastAsia="Times New Roman"/>
                <w:sz w:val="24"/>
                <w:szCs w:val="24"/>
                <w:lang w:eastAsia="ru-RU"/>
              </w:rPr>
            </w:pPr>
            <w:r w:rsidRPr="00C1614D">
              <w:rPr>
                <w:rFonts w:eastAsia="Times New Roman"/>
                <w:sz w:val="24"/>
                <w:szCs w:val="24"/>
                <w:lang w:eastAsia="ru-RU"/>
              </w:rPr>
              <w:t>1,25</w:t>
            </w:r>
          </w:p>
        </w:tc>
        <w:tc>
          <w:tcPr>
            <w:tcW w:w="755" w:type="dxa"/>
            <w:hideMark/>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1,15</w:t>
            </w:r>
          </w:p>
        </w:tc>
        <w:tc>
          <w:tcPr>
            <w:tcW w:w="755" w:type="dxa"/>
            <w:hideMark/>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1,09</w:t>
            </w:r>
          </w:p>
        </w:tc>
        <w:tc>
          <w:tcPr>
            <w:tcW w:w="755" w:type="dxa"/>
            <w:hideMark/>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1,14</w:t>
            </w:r>
          </w:p>
        </w:tc>
        <w:tc>
          <w:tcPr>
            <w:tcW w:w="755" w:type="dxa"/>
            <w:hideMark/>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1,13</w:t>
            </w:r>
          </w:p>
        </w:tc>
        <w:tc>
          <w:tcPr>
            <w:tcW w:w="735" w:type="dxa"/>
            <w:hideMark/>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0,72</w:t>
            </w:r>
          </w:p>
        </w:tc>
        <w:tc>
          <w:tcPr>
            <w:tcW w:w="708" w:type="dxa"/>
          </w:tcPr>
          <w:p w:rsidR="00A948E9" w:rsidRPr="00C1614D" w:rsidRDefault="00A948E9" w:rsidP="00C1614D">
            <w:pPr>
              <w:spacing w:line="276" w:lineRule="auto"/>
              <w:jc w:val="center"/>
              <w:rPr>
                <w:rFonts w:eastAsia="Times New Roman"/>
                <w:sz w:val="24"/>
                <w:szCs w:val="24"/>
                <w:lang w:val="en-US" w:eastAsia="ru-RU"/>
              </w:rPr>
            </w:pPr>
            <w:r w:rsidRPr="00C1614D">
              <w:rPr>
                <w:rFonts w:eastAsia="Times New Roman"/>
                <w:sz w:val="24"/>
                <w:szCs w:val="24"/>
                <w:lang w:val="en-US" w:eastAsia="ru-RU"/>
              </w:rPr>
              <w:t>0,40</w:t>
            </w:r>
          </w:p>
        </w:tc>
      </w:tr>
      <w:tr w:rsidR="00A948E9" w:rsidRPr="00C1614D" w:rsidTr="0006747E">
        <w:trPr>
          <w:jc w:val="center"/>
        </w:trPr>
        <w:tc>
          <w:tcPr>
            <w:tcW w:w="2076" w:type="dxa"/>
            <w:vAlign w:val="center"/>
            <w:hideMark/>
          </w:tcPr>
          <w:p w:rsidR="00A948E9" w:rsidRPr="00C1614D" w:rsidRDefault="00A948E9" w:rsidP="00C1614D">
            <w:pPr>
              <w:spacing w:line="276" w:lineRule="auto"/>
              <w:jc w:val="left"/>
              <w:rPr>
                <w:rFonts w:eastAsia="Times New Roman"/>
                <w:sz w:val="24"/>
                <w:szCs w:val="24"/>
                <w:lang w:eastAsia="ru-RU"/>
              </w:rPr>
            </w:pPr>
            <w:r w:rsidRPr="00C1614D">
              <w:rPr>
                <w:rFonts w:eastAsia="Times New Roman"/>
                <w:sz w:val="24"/>
                <w:szCs w:val="24"/>
                <w:lang w:eastAsia="ru-RU"/>
              </w:rPr>
              <w:t>м. Київ</w:t>
            </w:r>
          </w:p>
        </w:tc>
        <w:tc>
          <w:tcPr>
            <w:tcW w:w="755" w:type="dxa"/>
            <w:vAlign w:val="center"/>
            <w:hideMark/>
          </w:tcPr>
          <w:p w:rsidR="00A948E9" w:rsidRPr="00C1614D" w:rsidRDefault="00A948E9" w:rsidP="00C1614D">
            <w:pPr>
              <w:spacing w:line="276" w:lineRule="auto"/>
              <w:jc w:val="center"/>
              <w:rPr>
                <w:rFonts w:eastAsia="Times New Roman"/>
                <w:sz w:val="24"/>
                <w:szCs w:val="24"/>
                <w:lang w:eastAsia="ru-RU"/>
              </w:rPr>
            </w:pPr>
            <w:r w:rsidRPr="00C1614D">
              <w:rPr>
                <w:rFonts w:eastAsia="Times New Roman"/>
                <w:sz w:val="24"/>
                <w:szCs w:val="24"/>
                <w:lang w:eastAsia="ru-RU"/>
              </w:rPr>
              <w:t>0,34</w:t>
            </w:r>
          </w:p>
        </w:tc>
        <w:tc>
          <w:tcPr>
            <w:tcW w:w="755" w:type="dxa"/>
            <w:vAlign w:val="center"/>
            <w:hideMark/>
          </w:tcPr>
          <w:p w:rsidR="00A948E9" w:rsidRPr="00C1614D" w:rsidRDefault="00A948E9" w:rsidP="00C1614D">
            <w:pPr>
              <w:spacing w:line="276" w:lineRule="auto"/>
              <w:jc w:val="center"/>
              <w:rPr>
                <w:rFonts w:eastAsia="Times New Roman"/>
                <w:sz w:val="24"/>
                <w:szCs w:val="24"/>
                <w:lang w:eastAsia="ru-RU"/>
              </w:rPr>
            </w:pPr>
            <w:r w:rsidRPr="00C1614D">
              <w:rPr>
                <w:rFonts w:eastAsia="Times New Roman"/>
                <w:sz w:val="24"/>
                <w:szCs w:val="24"/>
                <w:lang w:eastAsia="ru-RU"/>
              </w:rPr>
              <w:t>0,20</w:t>
            </w:r>
          </w:p>
        </w:tc>
        <w:tc>
          <w:tcPr>
            <w:tcW w:w="755" w:type="dxa"/>
            <w:hideMark/>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0,17</w:t>
            </w:r>
          </w:p>
        </w:tc>
        <w:tc>
          <w:tcPr>
            <w:tcW w:w="755" w:type="dxa"/>
            <w:hideMark/>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0,49</w:t>
            </w:r>
          </w:p>
        </w:tc>
        <w:tc>
          <w:tcPr>
            <w:tcW w:w="755" w:type="dxa"/>
            <w:hideMark/>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0,55</w:t>
            </w:r>
          </w:p>
        </w:tc>
        <w:tc>
          <w:tcPr>
            <w:tcW w:w="755" w:type="dxa"/>
            <w:hideMark/>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0,43</w:t>
            </w:r>
          </w:p>
        </w:tc>
        <w:tc>
          <w:tcPr>
            <w:tcW w:w="735" w:type="dxa"/>
            <w:hideMark/>
          </w:tcPr>
          <w:p w:rsidR="00A948E9" w:rsidRPr="00C1614D" w:rsidRDefault="00A948E9" w:rsidP="00C1614D">
            <w:pPr>
              <w:spacing w:line="276" w:lineRule="auto"/>
              <w:jc w:val="center"/>
              <w:rPr>
                <w:rFonts w:eastAsia="Times New Roman"/>
                <w:sz w:val="24"/>
                <w:szCs w:val="24"/>
                <w:lang w:val="ru-RU" w:eastAsia="ru-RU"/>
              </w:rPr>
            </w:pPr>
            <w:r w:rsidRPr="00C1614D">
              <w:rPr>
                <w:rFonts w:eastAsia="Times New Roman"/>
                <w:sz w:val="24"/>
                <w:szCs w:val="24"/>
                <w:lang w:val="ru-RU" w:eastAsia="ru-RU"/>
              </w:rPr>
              <w:t>0,27</w:t>
            </w:r>
          </w:p>
        </w:tc>
        <w:tc>
          <w:tcPr>
            <w:tcW w:w="708" w:type="dxa"/>
          </w:tcPr>
          <w:p w:rsidR="00A948E9" w:rsidRPr="00C1614D" w:rsidRDefault="00A948E9" w:rsidP="00C1614D">
            <w:pPr>
              <w:spacing w:line="276" w:lineRule="auto"/>
              <w:jc w:val="center"/>
              <w:rPr>
                <w:rFonts w:eastAsia="Times New Roman"/>
                <w:sz w:val="24"/>
                <w:szCs w:val="24"/>
                <w:lang w:val="en-US" w:eastAsia="ru-RU"/>
              </w:rPr>
            </w:pPr>
            <w:r w:rsidRPr="00C1614D">
              <w:rPr>
                <w:rFonts w:eastAsia="Times New Roman"/>
                <w:sz w:val="24"/>
                <w:szCs w:val="24"/>
                <w:lang w:val="en-US" w:eastAsia="ru-RU"/>
              </w:rPr>
              <w:t>0,28</w:t>
            </w:r>
          </w:p>
        </w:tc>
      </w:tr>
    </w:tbl>
    <w:p w:rsidR="007F7471" w:rsidRPr="0009725E" w:rsidRDefault="007F7471" w:rsidP="0009725E">
      <w:pPr>
        <w:widowControl w:val="0"/>
        <w:rPr>
          <w:rFonts w:eastAsia="Times New Roman"/>
          <w:szCs w:val="28"/>
          <w:lang w:val="ru-RU" w:eastAsia="ru-RU"/>
        </w:rPr>
      </w:pPr>
    </w:p>
    <w:p w:rsidR="00D311A8" w:rsidRPr="00FC277C" w:rsidRDefault="00D926C3" w:rsidP="00FC277C">
      <w:pPr>
        <w:widowControl w:val="0"/>
        <w:ind w:firstLine="720"/>
        <w:rPr>
          <w:rFonts w:eastAsia="Times New Roman"/>
          <w:color w:val="000000" w:themeColor="text1"/>
          <w:szCs w:val="28"/>
          <w:lang w:eastAsia="ru-RU"/>
        </w:rPr>
      </w:pPr>
      <w:r w:rsidRPr="00006A39">
        <w:rPr>
          <w:rFonts w:eastAsia="Times New Roman"/>
          <w:color w:val="000000" w:themeColor="text1"/>
          <w:szCs w:val="28"/>
          <w:lang w:eastAsia="ru-RU"/>
        </w:rPr>
        <w:t xml:space="preserve">Ще більше актуалізує дану проблему вивчення частки немовлят, які померли поза стаціонаром у загальній кількості померлих дітей відповідного віку, </w:t>
      </w:r>
      <w:r w:rsidRPr="00006A39">
        <w:rPr>
          <w:rFonts w:eastAsia="Times New Roman"/>
          <w:color w:val="000000"/>
          <w:szCs w:val="28"/>
          <w:lang w:eastAsia="ru-RU"/>
        </w:rPr>
        <w:t>які перебували під наглядом дитячих поліклінічних закладів сфери управління МОЗ України</w:t>
      </w:r>
      <w:r w:rsidR="004D0995">
        <w:rPr>
          <w:rFonts w:eastAsia="Times New Roman"/>
          <w:color w:val="000000" w:themeColor="text1"/>
          <w:szCs w:val="28"/>
          <w:lang w:eastAsia="ru-RU"/>
        </w:rPr>
        <w:t xml:space="preserve">. </w:t>
      </w:r>
      <w:r w:rsidR="00B67CBA">
        <w:rPr>
          <w:rFonts w:eastAsia="Times New Roman"/>
          <w:color w:val="000000" w:themeColor="text1"/>
          <w:szCs w:val="28"/>
          <w:lang w:eastAsia="ru-RU"/>
        </w:rPr>
        <w:t>За період 2009</w:t>
      </w:r>
      <w:r w:rsidR="0006747E">
        <w:rPr>
          <w:rFonts w:eastAsia="Times New Roman"/>
          <w:color w:val="000000" w:themeColor="text1"/>
          <w:szCs w:val="28"/>
          <w:lang w:eastAsia="ru-RU"/>
        </w:rPr>
        <w:t xml:space="preserve">-2018 </w:t>
      </w:r>
      <w:r w:rsidR="00EC5E6E">
        <w:rPr>
          <w:rFonts w:eastAsia="Times New Roman"/>
          <w:color w:val="000000" w:themeColor="text1"/>
          <w:szCs w:val="28"/>
          <w:lang w:eastAsia="ru-RU"/>
        </w:rPr>
        <w:t>рр. вона залишалась на достатньо високому</w:t>
      </w:r>
      <w:r w:rsidR="001E4D3A">
        <w:rPr>
          <w:rFonts w:eastAsia="Times New Roman"/>
          <w:color w:val="000000" w:themeColor="text1"/>
          <w:szCs w:val="28"/>
          <w:lang w:eastAsia="ru-RU"/>
        </w:rPr>
        <w:t xml:space="preserve"> рівні</w:t>
      </w:r>
      <w:r w:rsidR="00092029" w:rsidRPr="00007A25">
        <w:rPr>
          <w:rFonts w:eastAsia="Times New Roman"/>
          <w:color w:val="000000" w:themeColor="text1"/>
          <w:szCs w:val="28"/>
          <w:lang w:eastAsia="ru-RU"/>
        </w:rPr>
        <w:t xml:space="preserve"> (40,6% </w:t>
      </w:r>
      <w:r w:rsidR="00007A25" w:rsidRPr="00007A25">
        <w:rPr>
          <w:rFonts w:eastAsia="Times New Roman"/>
          <w:color w:val="000000" w:themeColor="text1"/>
          <w:szCs w:val="28"/>
          <w:lang w:eastAsia="ru-RU"/>
        </w:rPr>
        <w:t>у 2009 р.</w:t>
      </w:r>
      <w:r w:rsidR="00007A25">
        <w:rPr>
          <w:rFonts w:eastAsia="Times New Roman"/>
          <w:color w:val="000000" w:themeColor="text1"/>
          <w:szCs w:val="28"/>
          <w:lang w:eastAsia="ru-RU"/>
        </w:rPr>
        <w:t>,</w:t>
      </w:r>
      <w:r w:rsidR="00092029" w:rsidRPr="00007A25">
        <w:rPr>
          <w:rFonts w:eastAsia="Times New Roman"/>
          <w:color w:val="000000" w:themeColor="text1"/>
          <w:szCs w:val="28"/>
          <w:lang w:eastAsia="ru-RU"/>
        </w:rPr>
        <w:t xml:space="preserve"> 43,8% у 2018 р.)</w:t>
      </w:r>
      <w:r w:rsidR="001E4D3A">
        <w:rPr>
          <w:rFonts w:eastAsia="Times New Roman"/>
          <w:color w:val="000000" w:themeColor="text1"/>
          <w:szCs w:val="28"/>
          <w:lang w:eastAsia="ru-RU"/>
        </w:rPr>
        <w:t xml:space="preserve"> з незначними коливаннями</w:t>
      </w:r>
      <w:r w:rsidR="009875A1">
        <w:rPr>
          <w:rFonts w:eastAsia="Times New Roman"/>
          <w:color w:val="000000" w:themeColor="text1"/>
          <w:szCs w:val="28"/>
          <w:lang w:eastAsia="ru-RU"/>
        </w:rPr>
        <w:t xml:space="preserve"> (Ме=43,06, </w:t>
      </w:r>
      <w:r w:rsidR="00336DAD" w:rsidRPr="00336DAD">
        <w:rPr>
          <w:rFonts w:eastAsia="Times New Roman"/>
          <w:color w:val="000000" w:themeColor="text1"/>
          <w:szCs w:val="28"/>
          <w:lang w:val="en-US" w:eastAsia="ru-RU"/>
        </w:rPr>
        <w:t>Q</w:t>
      </w:r>
      <w:r w:rsidR="00336DAD" w:rsidRPr="00D36A5A">
        <w:rPr>
          <w:rFonts w:eastAsia="Times New Roman"/>
          <w:color w:val="000000" w:themeColor="text1"/>
          <w:szCs w:val="28"/>
          <w:vertAlign w:val="subscript"/>
          <w:lang w:eastAsia="ru-RU"/>
        </w:rPr>
        <w:t>1</w:t>
      </w:r>
      <w:r w:rsidR="00336DAD">
        <w:rPr>
          <w:rFonts w:eastAsia="Times New Roman"/>
          <w:color w:val="000000" w:themeColor="text1"/>
          <w:szCs w:val="28"/>
          <w:lang w:eastAsia="ru-RU"/>
        </w:rPr>
        <w:t>=</w:t>
      </w:r>
      <w:r w:rsidR="00336DAD" w:rsidRPr="00336DAD">
        <w:rPr>
          <w:rFonts w:ascii="Arial" w:hAnsi="Arial" w:cs="Arial"/>
          <w:color w:val="333333"/>
          <w:sz w:val="21"/>
          <w:szCs w:val="21"/>
          <w:shd w:val="clear" w:color="auto" w:fill="FFFFFF"/>
        </w:rPr>
        <w:t xml:space="preserve"> </w:t>
      </w:r>
      <w:r w:rsidR="00336DAD" w:rsidRPr="00336DAD">
        <w:rPr>
          <w:rFonts w:eastAsia="Times New Roman"/>
          <w:color w:val="000000" w:themeColor="text1"/>
          <w:szCs w:val="28"/>
          <w:lang w:eastAsia="ru-RU"/>
        </w:rPr>
        <w:t>42.94</w:t>
      </w:r>
      <w:r w:rsidR="00336DAD">
        <w:rPr>
          <w:rFonts w:eastAsia="Times New Roman"/>
          <w:color w:val="000000" w:themeColor="text1"/>
          <w:szCs w:val="28"/>
          <w:lang w:eastAsia="ru-RU"/>
        </w:rPr>
        <w:t xml:space="preserve">, </w:t>
      </w:r>
      <w:r w:rsidR="00336DAD" w:rsidRPr="00336DAD">
        <w:rPr>
          <w:rFonts w:eastAsia="Times New Roman"/>
          <w:color w:val="000000" w:themeColor="text1"/>
          <w:szCs w:val="28"/>
          <w:lang w:val="en-US" w:eastAsia="ru-RU"/>
        </w:rPr>
        <w:t>Q</w:t>
      </w:r>
      <w:r w:rsidR="007F7471">
        <w:rPr>
          <w:rFonts w:eastAsia="Times New Roman"/>
          <w:color w:val="000000" w:themeColor="text1"/>
          <w:szCs w:val="28"/>
          <w:vertAlign w:val="subscript"/>
          <w:lang w:eastAsia="ru-RU"/>
        </w:rPr>
        <w:t>3</w:t>
      </w:r>
      <w:r w:rsidR="00336DAD">
        <w:rPr>
          <w:rFonts w:eastAsia="Times New Roman"/>
          <w:color w:val="000000" w:themeColor="text1"/>
          <w:szCs w:val="28"/>
          <w:lang w:eastAsia="ru-RU"/>
        </w:rPr>
        <w:t>=43,76)</w:t>
      </w:r>
      <w:r w:rsidR="00B67CBA">
        <w:rPr>
          <w:rFonts w:eastAsia="Times New Roman"/>
          <w:color w:val="000000" w:themeColor="text1"/>
          <w:szCs w:val="28"/>
          <w:lang w:eastAsia="ru-RU"/>
        </w:rPr>
        <w:t xml:space="preserve">, </w:t>
      </w:r>
      <w:r w:rsidR="00B67CBA" w:rsidRPr="00B67CBA">
        <w:rPr>
          <w:rFonts w:eastAsia="Times New Roman"/>
          <w:color w:val="000000" w:themeColor="text1"/>
          <w:szCs w:val="28"/>
          <w:lang w:eastAsia="ru-RU"/>
        </w:rPr>
        <w:t>коефіцієнт варіації (Cv)</w:t>
      </w:r>
      <w:r w:rsidR="00EB714E">
        <w:rPr>
          <w:rFonts w:eastAsia="Times New Roman"/>
          <w:color w:val="000000" w:themeColor="text1"/>
          <w:szCs w:val="28"/>
          <w:lang w:eastAsia="ru-RU"/>
        </w:rPr>
        <w:t xml:space="preserve"> – </w:t>
      </w:r>
      <w:r w:rsidR="00B67CBA">
        <w:rPr>
          <w:rFonts w:eastAsia="Times New Roman"/>
          <w:color w:val="000000" w:themeColor="text1"/>
          <w:szCs w:val="28"/>
          <w:lang w:eastAsia="ru-RU"/>
        </w:rPr>
        <w:t>4,09% (варіація слабка)</w:t>
      </w:r>
      <w:r w:rsidR="00D36A5A">
        <w:rPr>
          <w:rFonts w:eastAsia="Times New Roman"/>
          <w:color w:val="000000" w:themeColor="text1"/>
          <w:szCs w:val="28"/>
          <w:lang w:eastAsia="ru-RU"/>
        </w:rPr>
        <w:t>,</w:t>
      </w:r>
      <w:r w:rsidR="00D36A5A" w:rsidRPr="00D36A5A">
        <w:rPr>
          <w:rFonts w:cstheme="minorBidi"/>
          <w:szCs w:val="28"/>
        </w:rPr>
        <w:t xml:space="preserve"> </w:t>
      </w:r>
      <w:r w:rsidR="00D36A5A" w:rsidRPr="00D36A5A">
        <w:rPr>
          <w:rFonts w:eastAsia="Times New Roman"/>
          <w:color w:val="000000" w:themeColor="text1"/>
          <w:szCs w:val="28"/>
          <w:lang w:eastAsia="ru-RU"/>
        </w:rPr>
        <w:t>стандартне квадратичне відхилення</w:t>
      </w:r>
      <w:r w:rsidR="00D36A5A">
        <w:rPr>
          <w:rFonts w:eastAsia="Times New Roman"/>
          <w:color w:val="000000" w:themeColor="text1"/>
          <w:szCs w:val="28"/>
          <w:lang w:eastAsia="ru-RU"/>
        </w:rPr>
        <w:t xml:space="preserve"> (σ) – 1,768</w:t>
      </w:r>
      <w:r w:rsidR="00092029" w:rsidRPr="00007A25">
        <w:rPr>
          <w:rFonts w:eastAsia="Times New Roman"/>
          <w:color w:val="000000" w:themeColor="text1"/>
          <w:szCs w:val="28"/>
          <w:lang w:eastAsia="ru-RU"/>
        </w:rPr>
        <w:t>,</w:t>
      </w:r>
      <w:r w:rsidR="00007A25">
        <w:rPr>
          <w:rFonts w:eastAsia="Times New Roman"/>
          <w:color w:val="000000" w:themeColor="text1"/>
          <w:szCs w:val="28"/>
          <w:lang w:eastAsia="ru-RU"/>
        </w:rPr>
        <w:t xml:space="preserve"> при цьому</w:t>
      </w:r>
      <w:r w:rsidR="00092029" w:rsidRPr="00007A25">
        <w:rPr>
          <w:rFonts w:eastAsia="Times New Roman"/>
          <w:color w:val="000000" w:themeColor="text1"/>
          <w:szCs w:val="28"/>
          <w:lang w:eastAsia="ru-RU"/>
        </w:rPr>
        <w:t xml:space="preserve"> протягом</w:t>
      </w:r>
      <w:r w:rsidRPr="00006A39">
        <w:rPr>
          <w:rFonts w:eastAsia="Times New Roman"/>
          <w:color w:val="000000" w:themeColor="text1"/>
          <w:szCs w:val="28"/>
          <w:lang w:eastAsia="ru-RU"/>
        </w:rPr>
        <w:t xml:space="preserve"> 2</w:t>
      </w:r>
      <w:r w:rsidR="00EC5E6E">
        <w:rPr>
          <w:rFonts w:eastAsia="Times New Roman"/>
          <w:color w:val="000000" w:themeColor="text1"/>
          <w:szCs w:val="28"/>
          <w:lang w:eastAsia="ru-RU"/>
        </w:rPr>
        <w:t>013-2018 рр.</w:t>
      </w:r>
      <w:r w:rsidR="00007A25">
        <w:rPr>
          <w:rFonts w:eastAsia="Times New Roman"/>
          <w:color w:val="000000" w:themeColor="text1"/>
          <w:szCs w:val="28"/>
          <w:lang w:eastAsia="ru-RU"/>
        </w:rPr>
        <w:t xml:space="preserve"> частка</w:t>
      </w:r>
      <w:r w:rsidR="00EC5E6E">
        <w:rPr>
          <w:rFonts w:eastAsia="Times New Roman"/>
          <w:color w:val="000000" w:themeColor="text1"/>
          <w:szCs w:val="28"/>
          <w:lang w:eastAsia="ru-RU"/>
        </w:rPr>
        <w:t xml:space="preserve"> </w:t>
      </w:r>
      <w:r w:rsidR="00007A25">
        <w:rPr>
          <w:rFonts w:eastAsia="Times New Roman"/>
          <w:color w:val="000000" w:themeColor="text1"/>
          <w:szCs w:val="28"/>
          <w:lang w:eastAsia="ru-RU"/>
        </w:rPr>
        <w:lastRenderedPageBreak/>
        <w:t>зростала з</w:t>
      </w:r>
      <w:r w:rsidR="00EC5E6E">
        <w:rPr>
          <w:rFonts w:eastAsia="Times New Roman"/>
          <w:color w:val="000000" w:themeColor="text1"/>
          <w:szCs w:val="28"/>
          <w:lang w:eastAsia="ru-RU"/>
        </w:rPr>
        <w:t xml:space="preserve"> </w:t>
      </w:r>
      <w:r w:rsidR="00A46D63" w:rsidRPr="00A46D63">
        <w:rPr>
          <w:rFonts w:eastAsia="Times New Roman"/>
          <w:color w:val="000000" w:themeColor="text1"/>
          <w:szCs w:val="28"/>
          <w:lang w:eastAsia="ru-RU"/>
        </w:rPr>
        <w:t>40,94</w:t>
      </w:r>
      <w:r w:rsidRPr="00A46D63">
        <w:rPr>
          <w:rFonts w:eastAsia="Times New Roman"/>
          <w:color w:val="000000" w:themeColor="text1"/>
          <w:szCs w:val="28"/>
          <w:lang w:eastAsia="ru-RU"/>
        </w:rPr>
        <w:t>%</w:t>
      </w:r>
      <w:r w:rsidRPr="00006A39">
        <w:rPr>
          <w:rFonts w:eastAsia="Times New Roman"/>
          <w:color w:val="000000" w:themeColor="text1"/>
          <w:szCs w:val="28"/>
          <w:lang w:eastAsia="ru-RU"/>
        </w:rPr>
        <w:t xml:space="preserve"> </w:t>
      </w:r>
      <w:r w:rsidR="00EC5E6E">
        <w:rPr>
          <w:rFonts w:eastAsia="Times New Roman"/>
          <w:color w:val="000000" w:themeColor="text1"/>
          <w:szCs w:val="28"/>
          <w:lang w:eastAsia="ru-RU"/>
        </w:rPr>
        <w:t xml:space="preserve">у 2013 р. </w:t>
      </w:r>
      <w:r w:rsidR="00375277">
        <w:rPr>
          <w:rFonts w:eastAsia="Times New Roman"/>
          <w:color w:val="000000" w:themeColor="text1"/>
          <w:szCs w:val="28"/>
          <w:lang w:eastAsia="ru-RU"/>
        </w:rPr>
        <w:t>та 43,8%</w:t>
      </w:r>
      <w:r w:rsidR="00EC5E6E">
        <w:rPr>
          <w:rFonts w:eastAsia="Times New Roman"/>
          <w:color w:val="000000" w:themeColor="text1"/>
          <w:szCs w:val="28"/>
          <w:lang w:eastAsia="ru-RU"/>
        </w:rPr>
        <w:t xml:space="preserve"> у 2018</w:t>
      </w:r>
      <w:r w:rsidR="00852002">
        <w:rPr>
          <w:lang w:val="en-US"/>
        </w:rPr>
        <w:t> </w:t>
      </w:r>
      <w:r w:rsidR="00EC5E6E">
        <w:rPr>
          <w:rFonts w:eastAsia="Times New Roman"/>
          <w:color w:val="000000" w:themeColor="text1"/>
          <w:szCs w:val="28"/>
          <w:lang w:eastAsia="ru-RU"/>
        </w:rPr>
        <w:t>р.</w:t>
      </w:r>
      <w:r w:rsidR="00375277">
        <w:rPr>
          <w:rFonts w:eastAsia="Times New Roman"/>
          <w:color w:val="000000" w:themeColor="text1"/>
          <w:szCs w:val="28"/>
          <w:lang w:eastAsia="ru-RU"/>
        </w:rPr>
        <w:t xml:space="preserve">, ВШ </w:t>
      </w:r>
      <w:r w:rsidR="00375277" w:rsidRPr="00375277">
        <w:rPr>
          <w:rFonts w:eastAsia="Times New Roman"/>
          <w:color w:val="000000" w:themeColor="text1"/>
          <w:szCs w:val="28"/>
          <w:lang w:eastAsia="ru-RU"/>
        </w:rPr>
        <w:t>1,070</w:t>
      </w:r>
      <w:r w:rsidR="00375277">
        <w:rPr>
          <w:rFonts w:eastAsia="Times New Roman"/>
          <w:color w:val="000000" w:themeColor="text1"/>
          <w:szCs w:val="28"/>
          <w:lang w:eastAsia="ru-RU"/>
        </w:rPr>
        <w:t xml:space="preserve"> (</w:t>
      </w:r>
      <w:r w:rsidR="00782670">
        <w:rPr>
          <w:rFonts w:eastAsia="Times New Roman"/>
          <w:color w:val="000000" w:themeColor="text1"/>
          <w:szCs w:val="28"/>
          <w:lang w:eastAsia="ru-RU"/>
        </w:rPr>
        <w:t xml:space="preserve">95% ДІ </w:t>
      </w:r>
      <w:r w:rsidR="00375277">
        <w:rPr>
          <w:rFonts w:eastAsia="Times New Roman"/>
          <w:color w:val="000000" w:themeColor="text1"/>
          <w:szCs w:val="28"/>
          <w:lang w:eastAsia="ru-RU"/>
        </w:rPr>
        <w:t xml:space="preserve">0,902-1,270, </w:t>
      </w:r>
      <w:r w:rsidR="00896E8F">
        <w:rPr>
          <w:rFonts w:eastAsia="Times New Roman"/>
          <w:color w:val="000000" w:themeColor="text1"/>
          <w:szCs w:val="28"/>
          <w:lang w:eastAsia="ru-RU"/>
        </w:rPr>
        <w:t>р=0,409</w:t>
      </w:r>
      <w:r w:rsidRPr="00006A39">
        <w:rPr>
          <w:rFonts w:eastAsia="Times New Roman"/>
          <w:color w:val="000000" w:themeColor="text1"/>
          <w:szCs w:val="28"/>
          <w:lang w:eastAsia="ru-RU"/>
        </w:rPr>
        <w:t>)</w:t>
      </w:r>
      <w:r w:rsidR="00007A25">
        <w:rPr>
          <w:rFonts w:eastAsia="Times New Roman"/>
          <w:color w:val="000000" w:themeColor="text1"/>
          <w:szCs w:val="28"/>
          <w:lang w:eastAsia="ru-RU"/>
        </w:rPr>
        <w:t xml:space="preserve"> з максимальним значенням у 2014 р. (47,51%)</w:t>
      </w:r>
      <w:r w:rsidR="00FC277C">
        <w:rPr>
          <w:rFonts w:eastAsia="Times New Roman"/>
          <w:color w:val="000000" w:themeColor="text1"/>
          <w:szCs w:val="28"/>
          <w:lang w:eastAsia="ru-RU"/>
        </w:rPr>
        <w:t xml:space="preserve"> </w:t>
      </w:r>
      <w:r w:rsidR="00FC277C" w:rsidRPr="00DD44D8">
        <w:rPr>
          <w:rFonts w:eastAsia="Times New Roman"/>
          <w:szCs w:val="28"/>
          <w:lang w:eastAsia="ru-RU"/>
        </w:rPr>
        <w:t>(</w:t>
      </w:r>
      <w:r w:rsidR="00782670" w:rsidRPr="00DD44D8">
        <w:rPr>
          <w:rFonts w:eastAsia="Times New Roman"/>
          <w:szCs w:val="28"/>
          <w:lang w:eastAsia="ru-RU"/>
        </w:rPr>
        <w:t xml:space="preserve">Додаток </w:t>
      </w:r>
      <w:r w:rsidR="00A241B3" w:rsidRPr="00DD44D8">
        <w:rPr>
          <w:rFonts w:eastAsia="Times New Roman"/>
          <w:szCs w:val="28"/>
          <w:lang w:eastAsia="ru-RU"/>
        </w:rPr>
        <w:t>Б</w:t>
      </w:r>
      <w:r w:rsidR="00EB714E" w:rsidRPr="00DD44D8">
        <w:rPr>
          <w:rFonts w:eastAsia="Times New Roman"/>
          <w:szCs w:val="28"/>
          <w:lang w:eastAsia="ru-RU"/>
        </w:rPr>
        <w:t>-14</w:t>
      </w:r>
      <w:r w:rsidR="00A241B3" w:rsidRPr="00DD44D8">
        <w:rPr>
          <w:rFonts w:eastAsia="Times New Roman"/>
          <w:szCs w:val="28"/>
          <w:lang w:eastAsia="ru-RU"/>
        </w:rPr>
        <w:t>, Б</w:t>
      </w:r>
      <w:r w:rsidR="00FC277C" w:rsidRPr="00DD44D8">
        <w:rPr>
          <w:rFonts w:eastAsia="Times New Roman"/>
          <w:szCs w:val="28"/>
          <w:lang w:eastAsia="ru-RU"/>
        </w:rPr>
        <w:t>-15</w:t>
      </w:r>
      <w:r w:rsidR="00782670" w:rsidRPr="00DD44D8">
        <w:rPr>
          <w:rFonts w:eastAsia="Times New Roman"/>
          <w:szCs w:val="28"/>
          <w:lang w:eastAsia="ru-RU"/>
        </w:rPr>
        <w:t>)</w:t>
      </w:r>
      <w:r w:rsidR="00FC277C" w:rsidRPr="00DD44D8">
        <w:rPr>
          <w:rFonts w:eastAsia="Times New Roman"/>
          <w:szCs w:val="28"/>
          <w:lang w:eastAsia="ru-RU"/>
        </w:rPr>
        <w:t>.</w:t>
      </w:r>
      <w:r w:rsidR="00D311A8" w:rsidRPr="00DD44D8">
        <w:rPr>
          <w:rFonts w:eastAsia="Times New Roman"/>
          <w:i/>
          <w:szCs w:val="28"/>
          <w:lang w:eastAsia="ru-RU"/>
        </w:rPr>
        <w:t xml:space="preserve">                                    </w:t>
      </w:r>
    </w:p>
    <w:p w:rsidR="00D96FD9" w:rsidRPr="00C96B27" w:rsidRDefault="00D96FD9" w:rsidP="0046435E">
      <w:pPr>
        <w:ind w:firstLine="708"/>
        <w:rPr>
          <w:rFonts w:eastAsia="Calibri"/>
          <w:szCs w:val="28"/>
        </w:rPr>
      </w:pPr>
      <w:r w:rsidRPr="00006A39">
        <w:rPr>
          <w:rFonts w:eastAsia="Times New Roman"/>
          <w:color w:val="000000" w:themeColor="text1"/>
          <w:szCs w:val="28"/>
          <w:lang w:eastAsia="ru-RU"/>
        </w:rPr>
        <w:t xml:space="preserve">Аналізуючи більш детально </w:t>
      </w:r>
      <w:r w:rsidR="00DF0D4E">
        <w:rPr>
          <w:rFonts w:eastAsia="Times New Roman"/>
          <w:color w:val="000000" w:themeColor="text1"/>
          <w:szCs w:val="28"/>
          <w:lang w:eastAsia="ru-RU"/>
        </w:rPr>
        <w:t>частку</w:t>
      </w:r>
      <w:r w:rsidR="00DF0D4E" w:rsidRPr="00DF0D4E">
        <w:rPr>
          <w:rFonts w:eastAsia="Times New Roman"/>
          <w:color w:val="000000" w:themeColor="text1"/>
          <w:szCs w:val="28"/>
          <w:lang w:eastAsia="ru-RU"/>
        </w:rPr>
        <w:t xml:space="preserve"> немовлят, які померли поза стаціонаром у загальній кількості померлих дітей відповідного віку, які перебували під наглядом дитячих поліклінічних закладів сфери управління МОЗ України</w:t>
      </w:r>
      <w:r w:rsidR="00DF0D4E">
        <w:rPr>
          <w:rFonts w:eastAsia="Times New Roman"/>
          <w:color w:val="000000" w:themeColor="text1"/>
          <w:szCs w:val="28"/>
          <w:lang w:eastAsia="ru-RU"/>
        </w:rPr>
        <w:t>,</w:t>
      </w:r>
      <w:r w:rsidR="00DF0D4E" w:rsidRPr="00DF0D4E">
        <w:rPr>
          <w:rFonts w:eastAsia="Times New Roman"/>
          <w:color w:val="000000" w:themeColor="text1"/>
          <w:szCs w:val="28"/>
          <w:lang w:eastAsia="ru-RU"/>
        </w:rPr>
        <w:t xml:space="preserve"> </w:t>
      </w:r>
      <w:r w:rsidRPr="00006A39">
        <w:rPr>
          <w:rFonts w:eastAsia="Times New Roman"/>
          <w:color w:val="000000" w:themeColor="text1"/>
          <w:szCs w:val="28"/>
          <w:lang w:eastAsia="ru-RU"/>
        </w:rPr>
        <w:t>з’ясувалось,</w:t>
      </w:r>
      <w:r w:rsidR="002C3A6A">
        <w:rPr>
          <w:rFonts w:eastAsia="Times New Roman"/>
          <w:color w:val="000000" w:themeColor="text1"/>
          <w:szCs w:val="28"/>
          <w:lang w:eastAsia="ru-RU"/>
        </w:rPr>
        <w:t xml:space="preserve"> що якщо у</w:t>
      </w:r>
      <w:r w:rsidRPr="00006A39">
        <w:rPr>
          <w:rFonts w:eastAsia="Times New Roman"/>
          <w:color w:val="000000" w:themeColor="text1"/>
          <w:szCs w:val="28"/>
          <w:lang w:eastAsia="ru-RU"/>
        </w:rPr>
        <w:t xml:space="preserve"> 2013 р. в межах третьої квартилі (75%) знаходились області з показником до 46,81%, то у 2018 рр. </w:t>
      </w:r>
      <w:r w:rsidR="0055396E" w:rsidRPr="0055396E">
        <w:rPr>
          <w:rFonts w:eastAsia="Times New Roman"/>
          <w:color w:val="000000" w:themeColor="text1"/>
          <w:szCs w:val="28"/>
          <w:lang w:eastAsia="ru-RU"/>
        </w:rPr>
        <w:t>області з показником</w:t>
      </w:r>
      <w:r w:rsidRPr="00006A39">
        <w:rPr>
          <w:rFonts w:eastAsia="Times New Roman"/>
          <w:color w:val="000000" w:themeColor="text1"/>
          <w:szCs w:val="28"/>
          <w:lang w:eastAsia="ru-RU"/>
        </w:rPr>
        <w:t xml:space="preserve"> до 57,14</w:t>
      </w:r>
      <w:r w:rsidR="0055396E">
        <w:rPr>
          <w:rFonts w:eastAsia="Times New Roman"/>
          <w:color w:val="000000" w:themeColor="text1"/>
          <w:szCs w:val="28"/>
          <w:lang w:eastAsia="ru-RU"/>
        </w:rPr>
        <w:t>%</w:t>
      </w:r>
      <w:r w:rsidR="009E74D3">
        <w:rPr>
          <w:rFonts w:eastAsia="Times New Roman"/>
          <w:color w:val="000000"/>
          <w:szCs w:val="28"/>
          <w:lang w:eastAsia="ru-RU"/>
        </w:rPr>
        <w:t xml:space="preserve"> </w:t>
      </w:r>
      <w:r w:rsidR="00F24665">
        <w:rPr>
          <w:rFonts w:eastAsia="Times New Roman"/>
          <w:color w:val="000000"/>
          <w:szCs w:val="28"/>
          <w:lang w:eastAsia="ru-RU"/>
        </w:rPr>
        <w:t>(табл.3.7</w:t>
      </w:r>
      <w:r w:rsidRPr="00006A39">
        <w:rPr>
          <w:rFonts w:eastAsia="Times New Roman"/>
          <w:color w:val="000000"/>
          <w:szCs w:val="28"/>
          <w:lang w:eastAsia="ru-RU"/>
        </w:rPr>
        <w:t>).</w:t>
      </w:r>
      <w:r w:rsidR="00B65F7F" w:rsidRPr="00B65F7F">
        <w:rPr>
          <w:rFonts w:eastAsia="Calibri"/>
          <w:szCs w:val="28"/>
        </w:rPr>
        <w:t xml:space="preserve"> У</w:t>
      </w:r>
      <w:r w:rsidR="001022FA">
        <w:rPr>
          <w:rFonts w:eastAsia="Calibri"/>
          <w:szCs w:val="28"/>
        </w:rPr>
        <w:t xml:space="preserve"> 2018 р. у</w:t>
      </w:r>
      <w:r w:rsidR="00B65F7F" w:rsidRPr="00B65F7F">
        <w:rPr>
          <w:rFonts w:eastAsia="Calibri"/>
          <w:szCs w:val="28"/>
        </w:rPr>
        <w:t xml:space="preserve"> 10 областях України </w:t>
      </w:r>
      <w:r w:rsidR="001022FA">
        <w:rPr>
          <w:rFonts w:eastAsia="Calibri"/>
          <w:szCs w:val="28"/>
        </w:rPr>
        <w:t>даний показник</w:t>
      </w:r>
      <w:r w:rsidR="00B65F7F" w:rsidRPr="00B65F7F">
        <w:rPr>
          <w:rFonts w:eastAsia="Calibri"/>
          <w:szCs w:val="28"/>
        </w:rPr>
        <w:t xml:space="preserve"> перевищував загальноукраїнський</w:t>
      </w:r>
      <w:r w:rsidR="001022FA">
        <w:rPr>
          <w:rFonts w:eastAsia="Calibri"/>
          <w:szCs w:val="28"/>
        </w:rPr>
        <w:t xml:space="preserve"> (43,8%)</w:t>
      </w:r>
      <w:r w:rsidR="00B65F7F" w:rsidRPr="00B65F7F">
        <w:rPr>
          <w:rFonts w:eastAsia="Calibri"/>
          <w:szCs w:val="28"/>
        </w:rPr>
        <w:t xml:space="preserve">. Найвища питома вага смертей дітей у віці до 1-го року життя в загальній структурі смертності у дітей цього віку в 2018 році спостерігалась у Житомирській області (65,22%), Дніпропетровській (60,78%), Тернопільській (58,33%),  Чернівецькій (57,90%), Вінницькій (57,58%) областях та м. Київ (57,14%). Найнижча питома вага зафіксована у Луганській (18,75%), Львівській (25,0%), Івано-Франківській (27,27%), Хмельницькій (27,78%) областях та м. Київ (25,0%). </w:t>
      </w:r>
      <w:r w:rsidR="00B65F7F" w:rsidRPr="00B65F7F">
        <w:rPr>
          <w:rFonts w:eastAsia="Calibri"/>
          <w:color w:val="FF0000"/>
          <w:szCs w:val="28"/>
        </w:rPr>
        <w:t xml:space="preserve"> </w:t>
      </w:r>
      <w:r w:rsidR="00B65F7F" w:rsidRPr="00B65F7F">
        <w:rPr>
          <w:rFonts w:eastAsia="Calibri"/>
          <w:szCs w:val="28"/>
        </w:rPr>
        <w:t>Гранична різниця показника ставила 2,6  разів. Слід зазначити, що в жодній з областей протягом періоду дослідження не спостерігається тенденції до поступового зниження частки випадків смерті дітей поза стаціонару у даному віці, що свідчить про некерованість даного явища як з боку медичної галузі так і інших с</w:t>
      </w:r>
      <w:r w:rsidR="0046435E">
        <w:rPr>
          <w:rFonts w:eastAsia="Calibri"/>
          <w:szCs w:val="28"/>
        </w:rPr>
        <w:t>фер державного впливу на нього</w:t>
      </w:r>
      <w:r w:rsidR="00B65F7F" w:rsidRPr="00B65F7F">
        <w:rPr>
          <w:rFonts w:eastAsia="Calibri"/>
          <w:szCs w:val="28"/>
        </w:rPr>
        <w:t xml:space="preserve"> </w:t>
      </w:r>
      <w:r w:rsidR="0094709E">
        <w:rPr>
          <w:rFonts w:eastAsia="Calibri"/>
          <w:szCs w:val="28"/>
        </w:rPr>
        <w:t>(таб</w:t>
      </w:r>
      <w:r w:rsidR="0094709E" w:rsidRPr="0094709E">
        <w:rPr>
          <w:rFonts w:eastAsia="Calibri"/>
          <w:szCs w:val="28"/>
        </w:rPr>
        <w:t>л.</w:t>
      </w:r>
      <w:r w:rsidR="00115787" w:rsidRPr="00C96B27">
        <w:rPr>
          <w:rFonts w:eastAsia="Calibri"/>
          <w:szCs w:val="28"/>
        </w:rPr>
        <w:t xml:space="preserve"> 3.7</w:t>
      </w:r>
      <w:r w:rsidR="0046435E" w:rsidRPr="00C96B27">
        <w:rPr>
          <w:rFonts w:eastAsia="Calibri"/>
          <w:szCs w:val="28"/>
        </w:rPr>
        <w:t>).</w:t>
      </w:r>
    </w:p>
    <w:p w:rsidR="00D96FD9" w:rsidRPr="00C96B27" w:rsidRDefault="00D96FD9" w:rsidP="00721203">
      <w:pPr>
        <w:widowControl w:val="0"/>
        <w:jc w:val="right"/>
        <w:rPr>
          <w:rFonts w:eastAsia="Times New Roman"/>
          <w:i/>
          <w:szCs w:val="28"/>
          <w:lang w:eastAsia="ru-RU"/>
        </w:rPr>
      </w:pPr>
      <w:r w:rsidRPr="00C96B27">
        <w:rPr>
          <w:rFonts w:eastAsia="Times New Roman"/>
          <w:i/>
          <w:szCs w:val="28"/>
          <w:lang w:eastAsia="ru-RU"/>
        </w:rPr>
        <w:t>Таблиця 3.</w:t>
      </w:r>
      <w:r w:rsidR="00F24665" w:rsidRPr="00C96B27">
        <w:rPr>
          <w:rFonts w:eastAsia="Times New Roman"/>
          <w:i/>
          <w:szCs w:val="28"/>
          <w:lang w:eastAsia="ru-RU"/>
        </w:rPr>
        <w:t>7</w:t>
      </w:r>
      <w:r w:rsidRPr="00C96B27">
        <w:rPr>
          <w:rFonts w:eastAsia="Times New Roman"/>
          <w:i/>
          <w:szCs w:val="28"/>
          <w:lang w:eastAsia="ru-RU"/>
        </w:rPr>
        <w:t xml:space="preserve"> </w:t>
      </w:r>
    </w:p>
    <w:p w:rsidR="00D96FD9" w:rsidRPr="00006A39" w:rsidRDefault="00D96FD9" w:rsidP="00635D70">
      <w:pPr>
        <w:widowControl w:val="0"/>
        <w:jc w:val="center"/>
        <w:rPr>
          <w:rFonts w:eastAsia="Times New Roman"/>
          <w:b/>
          <w:color w:val="000000" w:themeColor="text1"/>
          <w:szCs w:val="28"/>
          <w:lang w:eastAsia="ru-RU"/>
        </w:rPr>
      </w:pPr>
      <w:r w:rsidRPr="00006A39">
        <w:rPr>
          <w:rFonts w:eastAsia="Times New Roman"/>
          <w:b/>
          <w:szCs w:val="28"/>
          <w:lang w:eastAsia="ru-RU"/>
        </w:rPr>
        <w:t xml:space="preserve">Частка випадків смерті дітей віком до 1 року життя поза стаціонару від загального числа померлих дітей, які перебували під наглядом дитячих </w:t>
      </w:r>
      <w:r w:rsidRPr="00006A39">
        <w:rPr>
          <w:rFonts w:eastAsia="Times New Roman"/>
          <w:b/>
          <w:color w:val="000000" w:themeColor="text1"/>
          <w:szCs w:val="28"/>
          <w:lang w:eastAsia="ru-RU"/>
        </w:rPr>
        <w:t>поліклінічних заклад</w:t>
      </w:r>
      <w:r w:rsidR="00635D70">
        <w:rPr>
          <w:rFonts w:eastAsia="Times New Roman"/>
          <w:b/>
          <w:color w:val="000000" w:themeColor="text1"/>
          <w:szCs w:val="28"/>
          <w:lang w:eastAsia="ru-RU"/>
        </w:rPr>
        <w:t>ів сфери управління МОЗ України</w:t>
      </w:r>
      <w:r w:rsidRPr="00006A39">
        <w:rPr>
          <w:rFonts w:eastAsia="Times New Roman"/>
          <w:b/>
          <w:color w:val="000000" w:themeColor="text1"/>
          <w:szCs w:val="28"/>
          <w:lang w:eastAsia="ru-RU"/>
        </w:rPr>
        <w:t xml:space="preserve"> у 2013 та </w:t>
      </w:r>
      <w:r w:rsidRPr="00006A39">
        <w:rPr>
          <w:rFonts w:eastAsia="Times New Roman"/>
          <w:b/>
          <w:szCs w:val="28"/>
          <w:lang w:eastAsia="ru-RU"/>
        </w:rPr>
        <w:t xml:space="preserve">2018 рр. </w:t>
      </w:r>
    </w:p>
    <w:tbl>
      <w:tblPr>
        <w:tblStyle w:val="a6"/>
        <w:tblW w:w="0" w:type="auto"/>
        <w:jc w:val="center"/>
        <w:tblLook w:val="04A0" w:firstRow="1" w:lastRow="0" w:firstColumn="1" w:lastColumn="0" w:noHBand="0" w:noVBand="1"/>
      </w:tblPr>
      <w:tblGrid>
        <w:gridCol w:w="2386"/>
        <w:gridCol w:w="1437"/>
        <w:gridCol w:w="1559"/>
        <w:gridCol w:w="2551"/>
        <w:gridCol w:w="1412"/>
      </w:tblGrid>
      <w:tr w:rsidR="00D96FD9" w:rsidRPr="00006A39" w:rsidTr="00CE001E">
        <w:trPr>
          <w:jc w:val="center"/>
        </w:trPr>
        <w:tc>
          <w:tcPr>
            <w:tcW w:w="2386" w:type="dxa"/>
          </w:tcPr>
          <w:p w:rsidR="00D96FD9" w:rsidRPr="00006A39" w:rsidRDefault="00D96FD9" w:rsidP="00785EA3">
            <w:pPr>
              <w:widowControl w:val="0"/>
              <w:spacing w:line="276" w:lineRule="auto"/>
              <w:jc w:val="center"/>
              <w:rPr>
                <w:rFonts w:ascii="Times New Roman" w:eastAsia="Times New Roman" w:hAnsi="Times New Roman"/>
                <w:b/>
                <w:color w:val="000000" w:themeColor="text1"/>
                <w:sz w:val="28"/>
                <w:szCs w:val="28"/>
                <w:lang w:val="uk-UA"/>
              </w:rPr>
            </w:pPr>
            <w:r w:rsidRPr="00006A39">
              <w:rPr>
                <w:rFonts w:ascii="Times New Roman" w:eastAsia="Times New Roman" w:hAnsi="Times New Roman"/>
                <w:color w:val="000000" w:themeColor="text1"/>
                <w:sz w:val="28"/>
                <w:szCs w:val="28"/>
                <w:lang w:val="uk-UA"/>
              </w:rPr>
              <w:t>Адміністративні території</w:t>
            </w:r>
          </w:p>
        </w:tc>
        <w:tc>
          <w:tcPr>
            <w:tcW w:w="1437" w:type="dxa"/>
            <w:vAlign w:val="center"/>
          </w:tcPr>
          <w:p w:rsidR="00D96FD9" w:rsidRPr="00006A39" w:rsidRDefault="00D96FD9" w:rsidP="00785EA3">
            <w:pPr>
              <w:widowControl w:val="0"/>
              <w:spacing w:line="276" w:lineRule="auto"/>
              <w:jc w:val="center"/>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2013</w:t>
            </w:r>
          </w:p>
        </w:tc>
        <w:tc>
          <w:tcPr>
            <w:tcW w:w="1559" w:type="dxa"/>
            <w:vAlign w:val="center"/>
          </w:tcPr>
          <w:p w:rsidR="00D96FD9" w:rsidRPr="00006A39" w:rsidRDefault="00D96FD9" w:rsidP="00785EA3">
            <w:pPr>
              <w:widowControl w:val="0"/>
              <w:spacing w:line="276" w:lineRule="auto"/>
              <w:jc w:val="center"/>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2018</w:t>
            </w:r>
          </w:p>
        </w:tc>
        <w:tc>
          <w:tcPr>
            <w:tcW w:w="2551" w:type="dxa"/>
          </w:tcPr>
          <w:p w:rsidR="00D96FD9" w:rsidRPr="00006A39" w:rsidRDefault="00D96FD9" w:rsidP="00785EA3">
            <w:pPr>
              <w:widowControl w:val="0"/>
              <w:spacing w:line="276" w:lineRule="auto"/>
              <w:jc w:val="center"/>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ВШ 95% ДІ</w:t>
            </w:r>
          </w:p>
        </w:tc>
        <w:tc>
          <w:tcPr>
            <w:tcW w:w="1412" w:type="dxa"/>
          </w:tcPr>
          <w:p w:rsidR="00D96FD9" w:rsidRPr="00006A39" w:rsidRDefault="00D96FD9" w:rsidP="00785EA3">
            <w:pPr>
              <w:widowControl w:val="0"/>
              <w:spacing w:line="276" w:lineRule="auto"/>
              <w:jc w:val="center"/>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р</w:t>
            </w:r>
          </w:p>
        </w:tc>
      </w:tr>
      <w:tr w:rsidR="00D96FD9" w:rsidRPr="00006A39" w:rsidTr="00CE001E">
        <w:trPr>
          <w:jc w:val="center"/>
        </w:trPr>
        <w:tc>
          <w:tcPr>
            <w:tcW w:w="2386" w:type="dxa"/>
          </w:tcPr>
          <w:p w:rsidR="00D96FD9" w:rsidRPr="00006A39" w:rsidRDefault="00D96FD9" w:rsidP="00785EA3">
            <w:pPr>
              <w:widowControl w:val="0"/>
              <w:spacing w:line="276" w:lineRule="auto"/>
              <w:jc w:val="center"/>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Україна</w:t>
            </w:r>
          </w:p>
        </w:tc>
        <w:tc>
          <w:tcPr>
            <w:tcW w:w="1437" w:type="dxa"/>
            <w:vAlign w:val="center"/>
          </w:tcPr>
          <w:p w:rsidR="00D96FD9" w:rsidRPr="00006A39" w:rsidRDefault="00A343FF" w:rsidP="00785EA3">
            <w:pPr>
              <w:widowControl w:val="0"/>
              <w:spacing w:line="276" w:lineRule="auto"/>
              <w:jc w:val="center"/>
              <w:rPr>
                <w:rFonts w:ascii="Times New Roman" w:eastAsia="Times New Roman" w:hAnsi="Times New Roman"/>
                <w:color w:val="000000" w:themeColor="text1"/>
                <w:sz w:val="28"/>
                <w:szCs w:val="28"/>
                <w:lang w:val="uk-UA"/>
              </w:rPr>
            </w:pPr>
            <w:r w:rsidRPr="00A700E0">
              <w:rPr>
                <w:rFonts w:ascii="Times New Roman" w:eastAsia="Times New Roman" w:hAnsi="Times New Roman"/>
                <w:sz w:val="28"/>
                <w:szCs w:val="28"/>
                <w:lang w:val="uk-UA"/>
              </w:rPr>
              <w:t>40,94</w:t>
            </w:r>
          </w:p>
        </w:tc>
        <w:tc>
          <w:tcPr>
            <w:tcW w:w="1559" w:type="dxa"/>
            <w:vAlign w:val="center"/>
          </w:tcPr>
          <w:p w:rsidR="00D96FD9" w:rsidRPr="00006A39" w:rsidRDefault="00A46D63" w:rsidP="00785EA3">
            <w:pPr>
              <w:widowControl w:val="0"/>
              <w:spacing w:line="276" w:lineRule="auto"/>
              <w:rPr>
                <w:rFonts w:ascii="Times New Roman" w:eastAsia="Times New Roman" w:hAnsi="Times New Roman"/>
                <w:color w:val="000000" w:themeColor="text1"/>
                <w:sz w:val="28"/>
                <w:szCs w:val="28"/>
                <w:lang w:val="uk-UA"/>
              </w:rPr>
            </w:pPr>
            <w:r>
              <w:rPr>
                <w:rFonts w:ascii="Times New Roman" w:eastAsia="Times New Roman" w:hAnsi="Times New Roman"/>
                <w:color w:val="000000" w:themeColor="text1"/>
                <w:sz w:val="28"/>
                <w:szCs w:val="28"/>
                <w:lang w:val="uk-UA"/>
              </w:rPr>
              <w:t xml:space="preserve">    </w:t>
            </w:r>
            <w:r w:rsidR="00D96FD9" w:rsidRPr="00006A39">
              <w:rPr>
                <w:rFonts w:ascii="Times New Roman" w:eastAsia="Times New Roman" w:hAnsi="Times New Roman"/>
                <w:color w:val="000000" w:themeColor="text1"/>
                <w:sz w:val="28"/>
                <w:szCs w:val="28"/>
                <w:lang w:val="uk-UA"/>
              </w:rPr>
              <w:t>43,80</w:t>
            </w:r>
          </w:p>
        </w:tc>
        <w:tc>
          <w:tcPr>
            <w:tcW w:w="2551" w:type="dxa"/>
          </w:tcPr>
          <w:p w:rsidR="00A64880" w:rsidRPr="0070539A" w:rsidRDefault="00A64880" w:rsidP="00785EA3">
            <w:pPr>
              <w:widowControl w:val="0"/>
              <w:spacing w:line="276" w:lineRule="auto"/>
              <w:rPr>
                <w:rFonts w:ascii="Times New Roman" w:eastAsia="Times New Roman" w:hAnsi="Times New Roman"/>
                <w:sz w:val="28"/>
                <w:szCs w:val="28"/>
              </w:rPr>
            </w:pPr>
            <w:r w:rsidRPr="0070539A">
              <w:rPr>
                <w:rFonts w:ascii="Times New Roman" w:eastAsia="Times New Roman" w:hAnsi="Times New Roman"/>
                <w:sz w:val="28"/>
                <w:szCs w:val="28"/>
              </w:rPr>
              <w:t>1,070 (0,902-1,270)</w:t>
            </w:r>
          </w:p>
        </w:tc>
        <w:tc>
          <w:tcPr>
            <w:tcW w:w="1412" w:type="dxa"/>
          </w:tcPr>
          <w:p w:rsidR="00A64880" w:rsidRPr="0070539A" w:rsidRDefault="00A46D63" w:rsidP="00785EA3">
            <w:pPr>
              <w:widowControl w:val="0"/>
              <w:spacing w:line="276" w:lineRule="auto"/>
              <w:rPr>
                <w:rFonts w:ascii="Times New Roman" w:eastAsia="Times New Roman" w:hAnsi="Times New Roman"/>
                <w:sz w:val="28"/>
                <w:szCs w:val="28"/>
              </w:rPr>
            </w:pPr>
            <w:r w:rsidRPr="0070539A">
              <w:rPr>
                <w:rFonts w:ascii="Times New Roman" w:eastAsia="Times New Roman" w:hAnsi="Times New Roman"/>
                <w:sz w:val="28"/>
                <w:szCs w:val="28"/>
              </w:rPr>
              <w:t xml:space="preserve">    </w:t>
            </w:r>
            <w:r w:rsidR="00A64880" w:rsidRPr="0070539A">
              <w:rPr>
                <w:rFonts w:ascii="Times New Roman" w:eastAsia="Times New Roman" w:hAnsi="Times New Roman"/>
                <w:sz w:val="28"/>
                <w:szCs w:val="28"/>
              </w:rPr>
              <w:t>0,409</w:t>
            </w:r>
          </w:p>
        </w:tc>
      </w:tr>
      <w:tr w:rsidR="00D96FD9" w:rsidRPr="00006A39" w:rsidTr="00CE001E">
        <w:trPr>
          <w:jc w:val="center"/>
        </w:trPr>
        <w:tc>
          <w:tcPr>
            <w:tcW w:w="2386" w:type="dxa"/>
          </w:tcPr>
          <w:p w:rsidR="00D96FD9" w:rsidRPr="00006A39" w:rsidRDefault="00D96FD9" w:rsidP="00785EA3">
            <w:pPr>
              <w:widowControl w:val="0"/>
              <w:spacing w:line="276" w:lineRule="auto"/>
              <w:jc w:val="center"/>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Медіана</w:t>
            </w:r>
          </w:p>
        </w:tc>
        <w:tc>
          <w:tcPr>
            <w:tcW w:w="1437" w:type="dxa"/>
            <w:vAlign w:val="center"/>
          </w:tcPr>
          <w:p w:rsidR="00D96FD9" w:rsidRPr="00006A39" w:rsidRDefault="00D96FD9" w:rsidP="00785EA3">
            <w:pPr>
              <w:widowControl w:val="0"/>
              <w:spacing w:line="276" w:lineRule="auto"/>
              <w:jc w:val="center"/>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40,24</w:t>
            </w:r>
          </w:p>
        </w:tc>
        <w:tc>
          <w:tcPr>
            <w:tcW w:w="1559" w:type="dxa"/>
            <w:vAlign w:val="center"/>
          </w:tcPr>
          <w:p w:rsidR="00D96FD9" w:rsidRPr="00006A39" w:rsidRDefault="00D96FD9" w:rsidP="00785EA3">
            <w:pPr>
              <w:widowControl w:val="0"/>
              <w:spacing w:line="276" w:lineRule="auto"/>
              <w:jc w:val="center"/>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41,89</w:t>
            </w:r>
          </w:p>
        </w:tc>
        <w:tc>
          <w:tcPr>
            <w:tcW w:w="2551" w:type="dxa"/>
          </w:tcPr>
          <w:p w:rsidR="00D96FD9" w:rsidRPr="0097320D" w:rsidRDefault="00D445B2" w:rsidP="00785EA3">
            <w:pPr>
              <w:widowControl w:val="0"/>
              <w:spacing w:line="276" w:lineRule="auto"/>
              <w:jc w:val="center"/>
              <w:rPr>
                <w:rFonts w:ascii="Times New Roman" w:eastAsia="Times New Roman" w:hAnsi="Times New Roman"/>
                <w:color w:val="000000" w:themeColor="text1"/>
                <w:sz w:val="28"/>
                <w:szCs w:val="28"/>
              </w:rPr>
            </w:pPr>
            <w:r>
              <w:rPr>
                <w:rFonts w:ascii="Times New Roman" w:eastAsia="Times New Roman" w:hAnsi="Times New Roman"/>
                <w:color w:val="000000" w:themeColor="text1"/>
                <w:sz w:val="28"/>
                <w:szCs w:val="28"/>
              </w:rPr>
              <w:t>-</w:t>
            </w:r>
          </w:p>
        </w:tc>
        <w:tc>
          <w:tcPr>
            <w:tcW w:w="1412" w:type="dxa"/>
          </w:tcPr>
          <w:p w:rsidR="00D96FD9" w:rsidRPr="0097320D" w:rsidRDefault="00D96FD9" w:rsidP="00785EA3">
            <w:pPr>
              <w:widowControl w:val="0"/>
              <w:spacing w:line="276" w:lineRule="auto"/>
              <w:jc w:val="center"/>
              <w:rPr>
                <w:rFonts w:ascii="Times New Roman" w:eastAsia="Times New Roman" w:hAnsi="Times New Roman"/>
                <w:color w:val="000000" w:themeColor="text1"/>
                <w:sz w:val="28"/>
                <w:szCs w:val="28"/>
                <w:lang w:val="uk-UA"/>
              </w:rPr>
            </w:pPr>
            <w:r w:rsidRPr="0097320D">
              <w:rPr>
                <w:rFonts w:ascii="Times New Roman" w:eastAsia="Times New Roman" w:hAnsi="Times New Roman"/>
                <w:color w:val="000000" w:themeColor="text1"/>
                <w:sz w:val="28"/>
                <w:szCs w:val="28"/>
                <w:lang w:val="uk-UA"/>
              </w:rPr>
              <w:t>0,4909</w:t>
            </w:r>
          </w:p>
        </w:tc>
      </w:tr>
      <w:tr w:rsidR="00D96FD9" w:rsidRPr="00006A39" w:rsidTr="00CE001E">
        <w:trPr>
          <w:jc w:val="center"/>
        </w:trPr>
        <w:tc>
          <w:tcPr>
            <w:tcW w:w="2386" w:type="dxa"/>
          </w:tcPr>
          <w:p w:rsidR="00D96FD9" w:rsidRPr="00006A39" w:rsidRDefault="00D96FD9" w:rsidP="00785EA3">
            <w:pPr>
              <w:widowControl w:val="0"/>
              <w:spacing w:line="276" w:lineRule="auto"/>
              <w:jc w:val="center"/>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Q</w:t>
            </w:r>
            <w:r w:rsidRPr="00006A39">
              <w:rPr>
                <w:rFonts w:ascii="Times New Roman" w:eastAsia="Times New Roman" w:hAnsi="Times New Roman"/>
                <w:color w:val="000000" w:themeColor="text1"/>
                <w:sz w:val="28"/>
                <w:szCs w:val="28"/>
                <w:vertAlign w:val="subscript"/>
                <w:lang w:val="uk-UA"/>
              </w:rPr>
              <w:t>1</w:t>
            </w:r>
          </w:p>
        </w:tc>
        <w:tc>
          <w:tcPr>
            <w:tcW w:w="1437" w:type="dxa"/>
            <w:vAlign w:val="center"/>
          </w:tcPr>
          <w:p w:rsidR="00D96FD9" w:rsidRPr="000252F8" w:rsidRDefault="00E87104" w:rsidP="00785EA3">
            <w:pPr>
              <w:widowControl w:val="0"/>
              <w:spacing w:line="276" w:lineRule="auto"/>
              <w:jc w:val="center"/>
              <w:rPr>
                <w:rFonts w:ascii="Times New Roman" w:eastAsia="Times New Roman" w:hAnsi="Times New Roman"/>
                <w:sz w:val="28"/>
                <w:szCs w:val="28"/>
              </w:rPr>
            </w:pPr>
            <w:r w:rsidRPr="000252F8">
              <w:rPr>
                <w:rFonts w:ascii="Times New Roman" w:eastAsia="Times New Roman" w:hAnsi="Times New Roman"/>
                <w:sz w:val="28"/>
                <w:szCs w:val="28"/>
              </w:rPr>
              <w:t>30,61</w:t>
            </w:r>
          </w:p>
        </w:tc>
        <w:tc>
          <w:tcPr>
            <w:tcW w:w="1559" w:type="dxa"/>
            <w:vAlign w:val="center"/>
          </w:tcPr>
          <w:p w:rsidR="00D96FD9" w:rsidRPr="000252F8" w:rsidRDefault="00E87104" w:rsidP="00785EA3">
            <w:pPr>
              <w:widowControl w:val="0"/>
              <w:spacing w:line="276" w:lineRule="auto"/>
              <w:jc w:val="center"/>
              <w:rPr>
                <w:rFonts w:ascii="Times New Roman" w:eastAsia="Times New Roman" w:hAnsi="Times New Roman"/>
                <w:sz w:val="28"/>
                <w:szCs w:val="28"/>
              </w:rPr>
            </w:pPr>
            <w:r w:rsidRPr="000252F8">
              <w:rPr>
                <w:rFonts w:ascii="Times New Roman" w:eastAsia="Times New Roman" w:hAnsi="Times New Roman"/>
                <w:sz w:val="28"/>
                <w:szCs w:val="28"/>
              </w:rPr>
              <w:t>31,03</w:t>
            </w:r>
          </w:p>
        </w:tc>
        <w:tc>
          <w:tcPr>
            <w:tcW w:w="2551" w:type="dxa"/>
          </w:tcPr>
          <w:p w:rsidR="00D96FD9" w:rsidRPr="0097320D" w:rsidRDefault="00D445B2" w:rsidP="00785EA3">
            <w:pPr>
              <w:widowControl w:val="0"/>
              <w:spacing w:line="276" w:lineRule="auto"/>
              <w:jc w:val="center"/>
              <w:rPr>
                <w:rFonts w:ascii="Times New Roman" w:eastAsia="Times New Roman" w:hAnsi="Times New Roman"/>
                <w:color w:val="000000" w:themeColor="text1"/>
                <w:sz w:val="28"/>
                <w:szCs w:val="28"/>
              </w:rPr>
            </w:pPr>
            <w:r>
              <w:rPr>
                <w:rFonts w:ascii="Times New Roman" w:eastAsia="Times New Roman" w:hAnsi="Times New Roman"/>
                <w:color w:val="000000" w:themeColor="text1"/>
                <w:sz w:val="28"/>
                <w:szCs w:val="28"/>
              </w:rPr>
              <w:t>-</w:t>
            </w:r>
          </w:p>
        </w:tc>
        <w:tc>
          <w:tcPr>
            <w:tcW w:w="1412" w:type="dxa"/>
          </w:tcPr>
          <w:p w:rsidR="00D96FD9" w:rsidRPr="0097320D" w:rsidRDefault="00D445B2" w:rsidP="00785EA3">
            <w:pPr>
              <w:widowControl w:val="0"/>
              <w:spacing w:line="276" w:lineRule="auto"/>
              <w:jc w:val="center"/>
              <w:rPr>
                <w:rFonts w:ascii="Times New Roman" w:eastAsia="Times New Roman" w:hAnsi="Times New Roman"/>
                <w:color w:val="000000" w:themeColor="text1"/>
                <w:sz w:val="28"/>
                <w:szCs w:val="28"/>
              </w:rPr>
            </w:pPr>
            <w:r>
              <w:rPr>
                <w:rFonts w:ascii="Times New Roman" w:eastAsia="Times New Roman" w:hAnsi="Times New Roman"/>
                <w:color w:val="000000" w:themeColor="text1"/>
                <w:sz w:val="28"/>
                <w:szCs w:val="28"/>
              </w:rPr>
              <w:t>-</w:t>
            </w:r>
          </w:p>
        </w:tc>
      </w:tr>
      <w:tr w:rsidR="00D445B2" w:rsidRPr="00006A39" w:rsidTr="00CE001E">
        <w:trPr>
          <w:jc w:val="center"/>
        </w:trPr>
        <w:tc>
          <w:tcPr>
            <w:tcW w:w="2386" w:type="dxa"/>
          </w:tcPr>
          <w:p w:rsidR="00D445B2" w:rsidRPr="00006A39" w:rsidRDefault="00D445B2" w:rsidP="00785EA3">
            <w:pPr>
              <w:widowControl w:val="0"/>
              <w:spacing w:line="276" w:lineRule="auto"/>
              <w:jc w:val="center"/>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Q</w:t>
            </w:r>
            <w:r w:rsidRPr="00006A39">
              <w:rPr>
                <w:rFonts w:ascii="Times New Roman" w:eastAsia="Times New Roman" w:hAnsi="Times New Roman"/>
                <w:color w:val="000000" w:themeColor="text1"/>
                <w:sz w:val="28"/>
                <w:szCs w:val="28"/>
                <w:vertAlign w:val="subscript"/>
                <w:lang w:val="uk-UA"/>
              </w:rPr>
              <w:t>3</w:t>
            </w:r>
          </w:p>
        </w:tc>
        <w:tc>
          <w:tcPr>
            <w:tcW w:w="1437" w:type="dxa"/>
            <w:vAlign w:val="center"/>
          </w:tcPr>
          <w:p w:rsidR="00D445B2" w:rsidRPr="00006A39" w:rsidRDefault="00D445B2" w:rsidP="00785EA3">
            <w:pPr>
              <w:widowControl w:val="0"/>
              <w:spacing w:line="276" w:lineRule="auto"/>
              <w:jc w:val="center"/>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46,81</w:t>
            </w:r>
          </w:p>
        </w:tc>
        <w:tc>
          <w:tcPr>
            <w:tcW w:w="1559" w:type="dxa"/>
            <w:vAlign w:val="center"/>
          </w:tcPr>
          <w:p w:rsidR="00D445B2" w:rsidRPr="00006A39" w:rsidRDefault="00D445B2" w:rsidP="00785EA3">
            <w:pPr>
              <w:widowControl w:val="0"/>
              <w:spacing w:line="276" w:lineRule="auto"/>
              <w:jc w:val="center"/>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57,14</w:t>
            </w:r>
          </w:p>
        </w:tc>
        <w:tc>
          <w:tcPr>
            <w:tcW w:w="2551" w:type="dxa"/>
          </w:tcPr>
          <w:p w:rsidR="00D445B2" w:rsidRPr="0097320D" w:rsidRDefault="00D445B2" w:rsidP="00785EA3">
            <w:pPr>
              <w:widowControl w:val="0"/>
              <w:spacing w:line="276" w:lineRule="auto"/>
              <w:jc w:val="center"/>
              <w:rPr>
                <w:rFonts w:ascii="Times New Roman" w:eastAsia="Times New Roman" w:hAnsi="Times New Roman"/>
                <w:color w:val="000000" w:themeColor="text1"/>
                <w:sz w:val="28"/>
                <w:szCs w:val="28"/>
              </w:rPr>
            </w:pPr>
            <w:r>
              <w:rPr>
                <w:rFonts w:ascii="Times New Roman" w:eastAsia="Times New Roman" w:hAnsi="Times New Roman"/>
                <w:color w:val="000000" w:themeColor="text1"/>
                <w:sz w:val="28"/>
                <w:szCs w:val="28"/>
              </w:rPr>
              <w:t>-</w:t>
            </w:r>
          </w:p>
        </w:tc>
        <w:tc>
          <w:tcPr>
            <w:tcW w:w="1412" w:type="dxa"/>
          </w:tcPr>
          <w:p w:rsidR="00D445B2" w:rsidRPr="0097320D" w:rsidRDefault="00D445B2" w:rsidP="00785EA3">
            <w:pPr>
              <w:widowControl w:val="0"/>
              <w:spacing w:line="276" w:lineRule="auto"/>
              <w:jc w:val="center"/>
              <w:rPr>
                <w:rFonts w:ascii="Times New Roman" w:eastAsia="Times New Roman" w:hAnsi="Times New Roman"/>
                <w:color w:val="000000" w:themeColor="text1"/>
                <w:sz w:val="28"/>
                <w:szCs w:val="28"/>
              </w:rPr>
            </w:pPr>
            <w:r>
              <w:rPr>
                <w:rFonts w:ascii="Times New Roman" w:eastAsia="Times New Roman" w:hAnsi="Times New Roman"/>
                <w:color w:val="000000" w:themeColor="text1"/>
                <w:sz w:val="28"/>
                <w:szCs w:val="28"/>
              </w:rPr>
              <w:t>-</w:t>
            </w:r>
          </w:p>
        </w:tc>
      </w:tr>
    </w:tbl>
    <w:p w:rsidR="00D445B2" w:rsidRDefault="00D445B2" w:rsidP="00D445B2">
      <w:pPr>
        <w:jc w:val="right"/>
        <w:rPr>
          <w:i/>
          <w:lang w:val="ru-RU"/>
        </w:rPr>
      </w:pPr>
    </w:p>
    <w:p w:rsidR="00A47A4A" w:rsidRDefault="00A47A4A" w:rsidP="00D445B2">
      <w:pPr>
        <w:jc w:val="right"/>
        <w:rPr>
          <w:i/>
          <w:lang w:val="ru-RU"/>
        </w:rPr>
      </w:pPr>
    </w:p>
    <w:p w:rsidR="00D445B2" w:rsidRPr="00D445B2" w:rsidRDefault="00D445B2" w:rsidP="0094709E">
      <w:pPr>
        <w:pageBreakBefore/>
        <w:jc w:val="right"/>
        <w:rPr>
          <w:i/>
          <w:lang w:val="ru-RU"/>
        </w:rPr>
      </w:pPr>
      <w:r w:rsidRPr="00D445B2">
        <w:rPr>
          <w:i/>
          <w:lang w:val="ru-RU"/>
        </w:rPr>
        <w:lastRenderedPageBreak/>
        <w:t>Продовження табл. 3.7</w:t>
      </w:r>
    </w:p>
    <w:tbl>
      <w:tblPr>
        <w:tblStyle w:val="a6"/>
        <w:tblW w:w="0" w:type="auto"/>
        <w:jc w:val="center"/>
        <w:tblLook w:val="04A0" w:firstRow="1" w:lastRow="0" w:firstColumn="1" w:lastColumn="0" w:noHBand="0" w:noVBand="1"/>
      </w:tblPr>
      <w:tblGrid>
        <w:gridCol w:w="2386"/>
        <w:gridCol w:w="1437"/>
        <w:gridCol w:w="1559"/>
        <w:gridCol w:w="2551"/>
        <w:gridCol w:w="1412"/>
      </w:tblGrid>
      <w:tr w:rsidR="00D96FD9" w:rsidRPr="00006A39" w:rsidTr="00CE001E">
        <w:trPr>
          <w:jc w:val="center"/>
        </w:trPr>
        <w:tc>
          <w:tcPr>
            <w:tcW w:w="2386" w:type="dxa"/>
            <w:vAlign w:val="center"/>
          </w:tcPr>
          <w:p w:rsidR="00D96FD9" w:rsidRPr="00006A39" w:rsidRDefault="00D96FD9" w:rsidP="00785EA3">
            <w:pPr>
              <w:widowControl w:val="0"/>
              <w:spacing w:line="276" w:lineRule="auto"/>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Вінницька</w:t>
            </w:r>
          </w:p>
        </w:tc>
        <w:tc>
          <w:tcPr>
            <w:tcW w:w="1437" w:type="dxa"/>
          </w:tcPr>
          <w:p w:rsidR="00D96FD9" w:rsidRPr="00006A39" w:rsidRDefault="00D96FD9" w:rsidP="00785EA3">
            <w:pPr>
              <w:widowControl w:val="0"/>
              <w:spacing w:line="276" w:lineRule="auto"/>
              <w:jc w:val="center"/>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48,84</w:t>
            </w:r>
          </w:p>
        </w:tc>
        <w:tc>
          <w:tcPr>
            <w:tcW w:w="1559" w:type="dxa"/>
          </w:tcPr>
          <w:p w:rsidR="00D96FD9" w:rsidRPr="00006A39" w:rsidRDefault="00D96FD9" w:rsidP="00785EA3">
            <w:pPr>
              <w:widowControl w:val="0"/>
              <w:spacing w:line="276" w:lineRule="auto"/>
              <w:jc w:val="center"/>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57,58</w:t>
            </w:r>
          </w:p>
        </w:tc>
        <w:tc>
          <w:tcPr>
            <w:tcW w:w="2551" w:type="dxa"/>
          </w:tcPr>
          <w:p w:rsidR="00D96FD9" w:rsidRPr="00006A39" w:rsidRDefault="00D96FD9" w:rsidP="00785EA3">
            <w:pPr>
              <w:widowControl w:val="0"/>
              <w:spacing w:line="276" w:lineRule="auto"/>
              <w:jc w:val="center"/>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1,42 (0,52-3,92)</w:t>
            </w:r>
          </w:p>
        </w:tc>
        <w:tc>
          <w:tcPr>
            <w:tcW w:w="1412" w:type="dxa"/>
          </w:tcPr>
          <w:p w:rsidR="00D96FD9" w:rsidRPr="00006A39" w:rsidRDefault="00D96FD9" w:rsidP="00785EA3">
            <w:pPr>
              <w:widowControl w:val="0"/>
              <w:spacing w:line="276" w:lineRule="auto"/>
              <w:jc w:val="center"/>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0,4936</w:t>
            </w:r>
          </w:p>
        </w:tc>
      </w:tr>
      <w:tr w:rsidR="00D96FD9" w:rsidRPr="00006A39" w:rsidTr="00CE001E">
        <w:trPr>
          <w:jc w:val="center"/>
        </w:trPr>
        <w:tc>
          <w:tcPr>
            <w:tcW w:w="2386" w:type="dxa"/>
            <w:vAlign w:val="center"/>
          </w:tcPr>
          <w:p w:rsidR="00D96FD9" w:rsidRPr="00006A39" w:rsidRDefault="00D96FD9" w:rsidP="00785EA3">
            <w:pPr>
              <w:widowControl w:val="0"/>
              <w:spacing w:line="276" w:lineRule="auto"/>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Волинська</w:t>
            </w:r>
          </w:p>
        </w:tc>
        <w:tc>
          <w:tcPr>
            <w:tcW w:w="1437" w:type="dxa"/>
          </w:tcPr>
          <w:p w:rsidR="00D96FD9" w:rsidRPr="00006A39" w:rsidRDefault="00D96FD9" w:rsidP="00785EA3">
            <w:pPr>
              <w:widowControl w:val="0"/>
              <w:spacing w:line="276" w:lineRule="auto"/>
              <w:jc w:val="center"/>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33,33</w:t>
            </w:r>
          </w:p>
        </w:tc>
        <w:tc>
          <w:tcPr>
            <w:tcW w:w="1559" w:type="dxa"/>
          </w:tcPr>
          <w:p w:rsidR="00D96FD9" w:rsidRPr="00006A39" w:rsidRDefault="00D96FD9" w:rsidP="00785EA3">
            <w:pPr>
              <w:widowControl w:val="0"/>
              <w:spacing w:line="276" w:lineRule="auto"/>
              <w:jc w:val="center"/>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34,62</w:t>
            </w:r>
          </w:p>
        </w:tc>
        <w:tc>
          <w:tcPr>
            <w:tcW w:w="2551" w:type="dxa"/>
          </w:tcPr>
          <w:p w:rsidR="00D96FD9" w:rsidRPr="00006A39" w:rsidRDefault="00D96FD9" w:rsidP="00785EA3">
            <w:pPr>
              <w:widowControl w:val="0"/>
              <w:spacing w:line="276" w:lineRule="auto"/>
              <w:jc w:val="center"/>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1,05</w:t>
            </w:r>
            <w:r w:rsidR="00D445B2">
              <w:rPr>
                <w:rFonts w:ascii="Times New Roman" w:eastAsia="Times New Roman" w:hAnsi="Times New Roman"/>
                <w:color w:val="000000" w:themeColor="text1"/>
                <w:sz w:val="28"/>
                <w:szCs w:val="28"/>
              </w:rPr>
              <w:t xml:space="preserve"> </w:t>
            </w:r>
            <w:r w:rsidRPr="00006A39">
              <w:rPr>
                <w:rFonts w:ascii="Times New Roman" w:eastAsia="Times New Roman" w:hAnsi="Times New Roman"/>
                <w:color w:val="000000" w:themeColor="text1"/>
                <w:sz w:val="28"/>
                <w:szCs w:val="28"/>
                <w:lang w:val="uk-UA"/>
              </w:rPr>
              <w:t>(0,30-3,69)</w:t>
            </w:r>
          </w:p>
        </w:tc>
        <w:tc>
          <w:tcPr>
            <w:tcW w:w="1412" w:type="dxa"/>
          </w:tcPr>
          <w:p w:rsidR="00D96FD9" w:rsidRPr="00006A39" w:rsidRDefault="00D96FD9" w:rsidP="00785EA3">
            <w:pPr>
              <w:widowControl w:val="0"/>
              <w:spacing w:line="276" w:lineRule="auto"/>
              <w:jc w:val="center"/>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0,571</w:t>
            </w:r>
          </w:p>
        </w:tc>
      </w:tr>
      <w:tr w:rsidR="00D96FD9" w:rsidRPr="00006A39" w:rsidTr="00CE001E">
        <w:trPr>
          <w:jc w:val="center"/>
        </w:trPr>
        <w:tc>
          <w:tcPr>
            <w:tcW w:w="2386" w:type="dxa"/>
            <w:vAlign w:val="center"/>
          </w:tcPr>
          <w:p w:rsidR="00D96FD9" w:rsidRPr="00006A39" w:rsidRDefault="00D96FD9" w:rsidP="00785EA3">
            <w:pPr>
              <w:widowControl w:val="0"/>
              <w:spacing w:line="276" w:lineRule="auto"/>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Дніпропетровська</w:t>
            </w:r>
          </w:p>
        </w:tc>
        <w:tc>
          <w:tcPr>
            <w:tcW w:w="1437" w:type="dxa"/>
          </w:tcPr>
          <w:p w:rsidR="00D96FD9" w:rsidRPr="00006A39" w:rsidRDefault="00D96FD9" w:rsidP="00785EA3">
            <w:pPr>
              <w:widowControl w:val="0"/>
              <w:spacing w:line="276" w:lineRule="auto"/>
              <w:jc w:val="center"/>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44,44</w:t>
            </w:r>
          </w:p>
        </w:tc>
        <w:tc>
          <w:tcPr>
            <w:tcW w:w="1559" w:type="dxa"/>
          </w:tcPr>
          <w:p w:rsidR="00D96FD9" w:rsidRPr="007A780E" w:rsidRDefault="00D96FD9" w:rsidP="00785EA3">
            <w:pPr>
              <w:widowControl w:val="0"/>
              <w:spacing w:line="276" w:lineRule="auto"/>
              <w:jc w:val="center"/>
              <w:rPr>
                <w:rFonts w:ascii="Times New Roman" w:eastAsia="Times New Roman" w:hAnsi="Times New Roman"/>
                <w:sz w:val="28"/>
                <w:szCs w:val="28"/>
                <w:lang w:val="uk-UA"/>
              </w:rPr>
            </w:pPr>
            <w:r w:rsidRPr="007A780E">
              <w:rPr>
                <w:rFonts w:ascii="Times New Roman" w:eastAsia="Times New Roman" w:hAnsi="Times New Roman"/>
                <w:sz w:val="28"/>
                <w:szCs w:val="28"/>
                <w:lang w:val="uk-UA"/>
              </w:rPr>
              <w:t>60,78</w:t>
            </w:r>
          </w:p>
        </w:tc>
        <w:tc>
          <w:tcPr>
            <w:tcW w:w="2551" w:type="dxa"/>
          </w:tcPr>
          <w:p w:rsidR="00D96FD9" w:rsidRPr="00006A39" w:rsidRDefault="00D96FD9" w:rsidP="00785EA3">
            <w:pPr>
              <w:widowControl w:val="0"/>
              <w:spacing w:line="276" w:lineRule="auto"/>
              <w:jc w:val="center"/>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1,94 (0,89-4,21)</w:t>
            </w:r>
          </w:p>
        </w:tc>
        <w:tc>
          <w:tcPr>
            <w:tcW w:w="1412" w:type="dxa"/>
          </w:tcPr>
          <w:p w:rsidR="00D96FD9" w:rsidRPr="00006A39" w:rsidRDefault="00D96FD9" w:rsidP="00785EA3">
            <w:pPr>
              <w:widowControl w:val="0"/>
              <w:spacing w:line="276" w:lineRule="auto"/>
              <w:jc w:val="center"/>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0,0761</w:t>
            </w:r>
          </w:p>
        </w:tc>
      </w:tr>
      <w:tr w:rsidR="00D96FD9" w:rsidRPr="00006A39" w:rsidTr="00CE001E">
        <w:trPr>
          <w:jc w:val="center"/>
        </w:trPr>
        <w:tc>
          <w:tcPr>
            <w:tcW w:w="2386" w:type="dxa"/>
            <w:vAlign w:val="center"/>
          </w:tcPr>
          <w:p w:rsidR="00D96FD9" w:rsidRPr="00006A39" w:rsidRDefault="00D96FD9" w:rsidP="00785EA3">
            <w:pPr>
              <w:widowControl w:val="0"/>
              <w:spacing w:line="276" w:lineRule="auto"/>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Донецька</w:t>
            </w:r>
          </w:p>
        </w:tc>
        <w:tc>
          <w:tcPr>
            <w:tcW w:w="1437" w:type="dxa"/>
          </w:tcPr>
          <w:p w:rsidR="00D96FD9" w:rsidRPr="00006A39" w:rsidRDefault="00D96FD9" w:rsidP="00785EA3">
            <w:pPr>
              <w:widowControl w:val="0"/>
              <w:spacing w:line="276" w:lineRule="auto"/>
              <w:jc w:val="center"/>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50,41</w:t>
            </w:r>
          </w:p>
        </w:tc>
        <w:tc>
          <w:tcPr>
            <w:tcW w:w="1559" w:type="dxa"/>
          </w:tcPr>
          <w:p w:rsidR="00D96FD9" w:rsidRPr="007A780E" w:rsidRDefault="00D96FD9" w:rsidP="00785EA3">
            <w:pPr>
              <w:widowControl w:val="0"/>
              <w:spacing w:line="276" w:lineRule="auto"/>
              <w:jc w:val="center"/>
              <w:rPr>
                <w:rFonts w:ascii="Times New Roman" w:eastAsia="Times New Roman" w:hAnsi="Times New Roman"/>
                <w:sz w:val="28"/>
                <w:szCs w:val="28"/>
                <w:lang w:val="uk-UA"/>
              </w:rPr>
            </w:pPr>
            <w:r w:rsidRPr="007A780E">
              <w:rPr>
                <w:rFonts w:ascii="Times New Roman" w:eastAsia="Times New Roman" w:hAnsi="Times New Roman"/>
                <w:sz w:val="28"/>
                <w:szCs w:val="28"/>
                <w:lang w:val="uk-UA"/>
              </w:rPr>
              <w:t>51,62</w:t>
            </w:r>
          </w:p>
        </w:tc>
        <w:tc>
          <w:tcPr>
            <w:tcW w:w="2551" w:type="dxa"/>
          </w:tcPr>
          <w:p w:rsidR="00D96FD9" w:rsidRPr="00006A39" w:rsidRDefault="00D96FD9" w:rsidP="00785EA3">
            <w:pPr>
              <w:widowControl w:val="0"/>
              <w:spacing w:line="276" w:lineRule="auto"/>
              <w:jc w:val="center"/>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1,05 (0,44-2,50)</w:t>
            </w:r>
          </w:p>
        </w:tc>
        <w:tc>
          <w:tcPr>
            <w:tcW w:w="1412" w:type="dxa"/>
          </w:tcPr>
          <w:p w:rsidR="00D96FD9" w:rsidRPr="00006A39" w:rsidRDefault="00D96FD9" w:rsidP="00785EA3">
            <w:pPr>
              <w:widowControl w:val="0"/>
              <w:spacing w:line="276" w:lineRule="auto"/>
              <w:jc w:val="center"/>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0,5329</w:t>
            </w:r>
          </w:p>
        </w:tc>
      </w:tr>
      <w:tr w:rsidR="00D96FD9" w:rsidRPr="00006A39" w:rsidTr="00CE001E">
        <w:trPr>
          <w:jc w:val="center"/>
        </w:trPr>
        <w:tc>
          <w:tcPr>
            <w:tcW w:w="2386" w:type="dxa"/>
            <w:vAlign w:val="center"/>
          </w:tcPr>
          <w:p w:rsidR="00D96FD9" w:rsidRPr="00006A39" w:rsidRDefault="00D96FD9" w:rsidP="00785EA3">
            <w:pPr>
              <w:widowControl w:val="0"/>
              <w:spacing w:line="276" w:lineRule="auto"/>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Житомирська</w:t>
            </w:r>
          </w:p>
        </w:tc>
        <w:tc>
          <w:tcPr>
            <w:tcW w:w="1437" w:type="dxa"/>
          </w:tcPr>
          <w:p w:rsidR="00D96FD9" w:rsidRPr="00006A39" w:rsidRDefault="00D96FD9" w:rsidP="00785EA3">
            <w:pPr>
              <w:widowControl w:val="0"/>
              <w:spacing w:line="276" w:lineRule="auto"/>
              <w:jc w:val="center"/>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40,00</w:t>
            </w:r>
          </w:p>
        </w:tc>
        <w:tc>
          <w:tcPr>
            <w:tcW w:w="1559" w:type="dxa"/>
          </w:tcPr>
          <w:p w:rsidR="00D96FD9" w:rsidRPr="007A780E" w:rsidRDefault="00D96FD9" w:rsidP="00785EA3">
            <w:pPr>
              <w:widowControl w:val="0"/>
              <w:spacing w:line="276" w:lineRule="auto"/>
              <w:jc w:val="center"/>
              <w:rPr>
                <w:rFonts w:ascii="Times New Roman" w:eastAsia="Times New Roman" w:hAnsi="Times New Roman"/>
                <w:sz w:val="28"/>
                <w:szCs w:val="28"/>
                <w:lang w:val="uk-UA"/>
              </w:rPr>
            </w:pPr>
            <w:r w:rsidRPr="007A780E">
              <w:rPr>
                <w:rFonts w:ascii="Times New Roman" w:eastAsia="Times New Roman" w:hAnsi="Times New Roman"/>
                <w:sz w:val="28"/>
                <w:szCs w:val="28"/>
                <w:lang w:val="uk-UA"/>
              </w:rPr>
              <w:t>65,22</w:t>
            </w:r>
          </w:p>
        </w:tc>
        <w:tc>
          <w:tcPr>
            <w:tcW w:w="2551" w:type="dxa"/>
          </w:tcPr>
          <w:p w:rsidR="00D96FD9" w:rsidRPr="00006A39" w:rsidRDefault="00D96FD9" w:rsidP="00785EA3">
            <w:pPr>
              <w:widowControl w:val="0"/>
              <w:spacing w:line="276" w:lineRule="auto"/>
              <w:jc w:val="center"/>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2,81 (0,9-9,08)</w:t>
            </w:r>
          </w:p>
        </w:tc>
        <w:tc>
          <w:tcPr>
            <w:tcW w:w="1412" w:type="dxa"/>
          </w:tcPr>
          <w:p w:rsidR="00D96FD9" w:rsidRPr="00006A39" w:rsidRDefault="00D96FD9" w:rsidP="00785EA3">
            <w:pPr>
              <w:widowControl w:val="0"/>
              <w:spacing w:line="276" w:lineRule="auto"/>
              <w:jc w:val="center"/>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0,0396</w:t>
            </w:r>
          </w:p>
        </w:tc>
      </w:tr>
      <w:tr w:rsidR="00D96FD9" w:rsidRPr="00006A39" w:rsidTr="00CE001E">
        <w:trPr>
          <w:jc w:val="center"/>
        </w:trPr>
        <w:tc>
          <w:tcPr>
            <w:tcW w:w="2386" w:type="dxa"/>
            <w:vAlign w:val="center"/>
          </w:tcPr>
          <w:p w:rsidR="00D96FD9" w:rsidRPr="00006A39" w:rsidRDefault="00D96FD9" w:rsidP="00785EA3">
            <w:pPr>
              <w:widowControl w:val="0"/>
              <w:spacing w:line="276" w:lineRule="auto"/>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Закарпатська</w:t>
            </w:r>
          </w:p>
        </w:tc>
        <w:tc>
          <w:tcPr>
            <w:tcW w:w="1437" w:type="dxa"/>
          </w:tcPr>
          <w:p w:rsidR="00D96FD9" w:rsidRPr="00006A39" w:rsidRDefault="00D96FD9" w:rsidP="00785EA3">
            <w:pPr>
              <w:widowControl w:val="0"/>
              <w:spacing w:line="276" w:lineRule="auto"/>
              <w:jc w:val="center"/>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40,24</w:t>
            </w:r>
          </w:p>
        </w:tc>
        <w:tc>
          <w:tcPr>
            <w:tcW w:w="1559" w:type="dxa"/>
          </w:tcPr>
          <w:p w:rsidR="00D96FD9" w:rsidRPr="00006A39" w:rsidRDefault="00D96FD9" w:rsidP="00785EA3">
            <w:pPr>
              <w:widowControl w:val="0"/>
              <w:spacing w:line="276" w:lineRule="auto"/>
              <w:jc w:val="center"/>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41,30</w:t>
            </w:r>
          </w:p>
        </w:tc>
        <w:tc>
          <w:tcPr>
            <w:tcW w:w="2551" w:type="dxa"/>
          </w:tcPr>
          <w:p w:rsidR="00D96FD9" w:rsidRPr="00006A39" w:rsidRDefault="00D96FD9" w:rsidP="00785EA3">
            <w:pPr>
              <w:widowControl w:val="0"/>
              <w:spacing w:line="276" w:lineRule="auto"/>
              <w:jc w:val="center"/>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1,04 (0,54-2,00)</w:t>
            </w:r>
          </w:p>
        </w:tc>
        <w:tc>
          <w:tcPr>
            <w:tcW w:w="1412" w:type="dxa"/>
          </w:tcPr>
          <w:p w:rsidR="00D96FD9" w:rsidRPr="00006A39" w:rsidRDefault="00D96FD9" w:rsidP="00785EA3">
            <w:pPr>
              <w:widowControl w:val="0"/>
              <w:spacing w:line="276" w:lineRule="auto"/>
              <w:jc w:val="center"/>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0,5052</w:t>
            </w:r>
          </w:p>
        </w:tc>
      </w:tr>
      <w:tr w:rsidR="00D96FD9" w:rsidRPr="00006A39" w:rsidTr="00CE001E">
        <w:trPr>
          <w:jc w:val="center"/>
        </w:trPr>
        <w:tc>
          <w:tcPr>
            <w:tcW w:w="2386" w:type="dxa"/>
            <w:vAlign w:val="center"/>
          </w:tcPr>
          <w:p w:rsidR="00D96FD9" w:rsidRPr="00006A39" w:rsidRDefault="00D96FD9" w:rsidP="00785EA3">
            <w:pPr>
              <w:widowControl w:val="0"/>
              <w:spacing w:line="276" w:lineRule="auto"/>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Запорізька</w:t>
            </w:r>
          </w:p>
        </w:tc>
        <w:tc>
          <w:tcPr>
            <w:tcW w:w="1437" w:type="dxa"/>
          </w:tcPr>
          <w:p w:rsidR="00D96FD9" w:rsidRPr="00006A39" w:rsidRDefault="00D96FD9" w:rsidP="00785EA3">
            <w:pPr>
              <w:widowControl w:val="0"/>
              <w:spacing w:line="276" w:lineRule="auto"/>
              <w:jc w:val="center"/>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46,81</w:t>
            </w:r>
          </w:p>
        </w:tc>
        <w:tc>
          <w:tcPr>
            <w:tcW w:w="1559" w:type="dxa"/>
          </w:tcPr>
          <w:p w:rsidR="00D96FD9" w:rsidRPr="00006A39" w:rsidRDefault="00D96FD9" w:rsidP="00785EA3">
            <w:pPr>
              <w:widowControl w:val="0"/>
              <w:spacing w:line="276" w:lineRule="auto"/>
              <w:jc w:val="center"/>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42,86</w:t>
            </w:r>
          </w:p>
        </w:tc>
        <w:tc>
          <w:tcPr>
            <w:tcW w:w="2551" w:type="dxa"/>
          </w:tcPr>
          <w:p w:rsidR="00D96FD9" w:rsidRPr="00006A39" w:rsidRDefault="00D96FD9" w:rsidP="00785EA3">
            <w:pPr>
              <w:widowControl w:val="0"/>
              <w:spacing w:line="276" w:lineRule="auto"/>
              <w:jc w:val="center"/>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0,85 (0,32-2,24)</w:t>
            </w:r>
          </w:p>
        </w:tc>
        <w:tc>
          <w:tcPr>
            <w:tcW w:w="1412" w:type="dxa"/>
          </w:tcPr>
          <w:p w:rsidR="00D96FD9" w:rsidRPr="00006A39" w:rsidRDefault="00D96FD9" w:rsidP="00785EA3">
            <w:pPr>
              <w:widowControl w:val="0"/>
              <w:spacing w:line="276" w:lineRule="auto"/>
              <w:jc w:val="center"/>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0,8235</w:t>
            </w:r>
          </w:p>
        </w:tc>
      </w:tr>
      <w:tr w:rsidR="00D96FD9" w:rsidRPr="00006A39" w:rsidTr="00CE001E">
        <w:trPr>
          <w:jc w:val="center"/>
        </w:trPr>
        <w:tc>
          <w:tcPr>
            <w:tcW w:w="2386" w:type="dxa"/>
            <w:vAlign w:val="center"/>
          </w:tcPr>
          <w:p w:rsidR="00D96FD9" w:rsidRPr="00006A39" w:rsidRDefault="00D96FD9" w:rsidP="00785EA3">
            <w:pPr>
              <w:widowControl w:val="0"/>
              <w:spacing w:line="276" w:lineRule="auto"/>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Ів.-Франківська</w:t>
            </w:r>
          </w:p>
        </w:tc>
        <w:tc>
          <w:tcPr>
            <w:tcW w:w="1437" w:type="dxa"/>
          </w:tcPr>
          <w:p w:rsidR="00D96FD9" w:rsidRPr="00006A39" w:rsidRDefault="00D96FD9" w:rsidP="00785EA3">
            <w:pPr>
              <w:widowControl w:val="0"/>
              <w:spacing w:line="276" w:lineRule="auto"/>
              <w:jc w:val="center"/>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34,04</w:t>
            </w:r>
          </w:p>
        </w:tc>
        <w:tc>
          <w:tcPr>
            <w:tcW w:w="1559" w:type="dxa"/>
          </w:tcPr>
          <w:p w:rsidR="00D96FD9" w:rsidRPr="00006A39" w:rsidRDefault="00D96FD9" w:rsidP="00785EA3">
            <w:pPr>
              <w:widowControl w:val="0"/>
              <w:spacing w:line="276" w:lineRule="auto"/>
              <w:jc w:val="center"/>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27,27</w:t>
            </w:r>
          </w:p>
        </w:tc>
        <w:tc>
          <w:tcPr>
            <w:tcW w:w="2551" w:type="dxa"/>
          </w:tcPr>
          <w:p w:rsidR="00D96FD9" w:rsidRPr="00006A39" w:rsidRDefault="00D96FD9" w:rsidP="00785EA3">
            <w:pPr>
              <w:widowControl w:val="0"/>
              <w:spacing w:line="276" w:lineRule="auto"/>
              <w:jc w:val="center"/>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0,73 (0,19-2,47)</w:t>
            </w:r>
          </w:p>
        </w:tc>
        <w:tc>
          <w:tcPr>
            <w:tcW w:w="1412" w:type="dxa"/>
          </w:tcPr>
          <w:p w:rsidR="00D96FD9" w:rsidRPr="00006A39" w:rsidRDefault="00D96FD9" w:rsidP="00785EA3">
            <w:pPr>
              <w:widowControl w:val="0"/>
              <w:spacing w:line="276" w:lineRule="auto"/>
              <w:jc w:val="center"/>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0,7822</w:t>
            </w:r>
          </w:p>
        </w:tc>
      </w:tr>
      <w:tr w:rsidR="00D96FD9" w:rsidRPr="00006A39" w:rsidTr="00CE001E">
        <w:trPr>
          <w:jc w:val="center"/>
        </w:trPr>
        <w:tc>
          <w:tcPr>
            <w:tcW w:w="2386" w:type="dxa"/>
            <w:vAlign w:val="center"/>
          </w:tcPr>
          <w:p w:rsidR="00D96FD9" w:rsidRPr="00006A39" w:rsidRDefault="00D96FD9" w:rsidP="00785EA3">
            <w:pPr>
              <w:widowControl w:val="0"/>
              <w:spacing w:line="276" w:lineRule="auto"/>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Київська</w:t>
            </w:r>
          </w:p>
        </w:tc>
        <w:tc>
          <w:tcPr>
            <w:tcW w:w="1437" w:type="dxa"/>
          </w:tcPr>
          <w:p w:rsidR="00D96FD9" w:rsidRPr="00006A39" w:rsidRDefault="00D96FD9" w:rsidP="00785EA3">
            <w:pPr>
              <w:widowControl w:val="0"/>
              <w:spacing w:line="276" w:lineRule="auto"/>
              <w:jc w:val="center"/>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48,89</w:t>
            </w:r>
          </w:p>
        </w:tc>
        <w:tc>
          <w:tcPr>
            <w:tcW w:w="1559" w:type="dxa"/>
          </w:tcPr>
          <w:p w:rsidR="00D96FD9" w:rsidRPr="00006A39" w:rsidRDefault="00D96FD9" w:rsidP="00785EA3">
            <w:pPr>
              <w:widowControl w:val="0"/>
              <w:spacing w:line="276" w:lineRule="auto"/>
              <w:jc w:val="center"/>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51,72</w:t>
            </w:r>
          </w:p>
        </w:tc>
        <w:tc>
          <w:tcPr>
            <w:tcW w:w="2551" w:type="dxa"/>
          </w:tcPr>
          <w:p w:rsidR="00D96FD9" w:rsidRPr="00006A39" w:rsidRDefault="00D96FD9" w:rsidP="00785EA3">
            <w:pPr>
              <w:widowControl w:val="0"/>
              <w:spacing w:line="276" w:lineRule="auto"/>
              <w:jc w:val="center"/>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1,18 (0,36-4,17)</w:t>
            </w:r>
          </w:p>
        </w:tc>
        <w:tc>
          <w:tcPr>
            <w:tcW w:w="1412" w:type="dxa"/>
          </w:tcPr>
          <w:p w:rsidR="00D96FD9" w:rsidRPr="00006A39" w:rsidRDefault="00D96FD9" w:rsidP="00785EA3">
            <w:pPr>
              <w:widowControl w:val="0"/>
              <w:spacing w:line="276" w:lineRule="auto"/>
              <w:jc w:val="center"/>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0,4926</w:t>
            </w:r>
          </w:p>
        </w:tc>
      </w:tr>
      <w:tr w:rsidR="00D96FD9" w:rsidRPr="00006A39" w:rsidTr="00CE001E">
        <w:trPr>
          <w:jc w:val="center"/>
        </w:trPr>
        <w:tc>
          <w:tcPr>
            <w:tcW w:w="2386" w:type="dxa"/>
            <w:vAlign w:val="center"/>
          </w:tcPr>
          <w:p w:rsidR="00D96FD9" w:rsidRPr="00006A39" w:rsidRDefault="00D96FD9" w:rsidP="00785EA3">
            <w:pPr>
              <w:widowControl w:val="0"/>
              <w:spacing w:line="276" w:lineRule="auto"/>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Кіровоградська</w:t>
            </w:r>
          </w:p>
        </w:tc>
        <w:tc>
          <w:tcPr>
            <w:tcW w:w="1437" w:type="dxa"/>
          </w:tcPr>
          <w:p w:rsidR="00D96FD9" w:rsidRPr="00006A39" w:rsidRDefault="00D96FD9" w:rsidP="00785EA3">
            <w:pPr>
              <w:widowControl w:val="0"/>
              <w:spacing w:line="276" w:lineRule="auto"/>
              <w:jc w:val="center"/>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70,45</w:t>
            </w:r>
          </w:p>
        </w:tc>
        <w:tc>
          <w:tcPr>
            <w:tcW w:w="1559" w:type="dxa"/>
          </w:tcPr>
          <w:p w:rsidR="00D96FD9" w:rsidRPr="00006A39" w:rsidRDefault="00D96FD9" w:rsidP="00785EA3">
            <w:pPr>
              <w:widowControl w:val="0"/>
              <w:spacing w:line="276" w:lineRule="auto"/>
              <w:jc w:val="center"/>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50,00</w:t>
            </w:r>
          </w:p>
        </w:tc>
        <w:tc>
          <w:tcPr>
            <w:tcW w:w="2551" w:type="dxa"/>
          </w:tcPr>
          <w:p w:rsidR="00D96FD9" w:rsidRPr="00006A39" w:rsidRDefault="00D96FD9" w:rsidP="00785EA3">
            <w:pPr>
              <w:widowControl w:val="0"/>
              <w:spacing w:line="276" w:lineRule="auto"/>
              <w:jc w:val="center"/>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0,42(0,12-1,5)</w:t>
            </w:r>
          </w:p>
        </w:tc>
        <w:tc>
          <w:tcPr>
            <w:tcW w:w="1412" w:type="dxa"/>
          </w:tcPr>
          <w:p w:rsidR="00D96FD9" w:rsidRPr="00006A39" w:rsidRDefault="00D96FD9" w:rsidP="00785EA3">
            <w:pPr>
              <w:widowControl w:val="0"/>
              <w:spacing w:line="276" w:lineRule="auto"/>
              <w:jc w:val="center"/>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0,1516</w:t>
            </w:r>
          </w:p>
        </w:tc>
      </w:tr>
      <w:tr w:rsidR="00D96FD9" w:rsidRPr="00006A39" w:rsidTr="00CE001E">
        <w:trPr>
          <w:jc w:val="center"/>
        </w:trPr>
        <w:tc>
          <w:tcPr>
            <w:tcW w:w="2386" w:type="dxa"/>
            <w:vAlign w:val="center"/>
          </w:tcPr>
          <w:p w:rsidR="00D96FD9" w:rsidRPr="00006A39" w:rsidRDefault="00D96FD9" w:rsidP="00785EA3">
            <w:pPr>
              <w:widowControl w:val="0"/>
              <w:spacing w:line="276" w:lineRule="auto"/>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Луганська</w:t>
            </w:r>
          </w:p>
        </w:tc>
        <w:tc>
          <w:tcPr>
            <w:tcW w:w="1437" w:type="dxa"/>
          </w:tcPr>
          <w:p w:rsidR="00D96FD9" w:rsidRPr="00006A39" w:rsidRDefault="00D96FD9" w:rsidP="00785EA3">
            <w:pPr>
              <w:widowControl w:val="0"/>
              <w:spacing w:line="276" w:lineRule="auto"/>
              <w:jc w:val="center"/>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36,21</w:t>
            </w:r>
          </w:p>
        </w:tc>
        <w:tc>
          <w:tcPr>
            <w:tcW w:w="1559" w:type="dxa"/>
          </w:tcPr>
          <w:p w:rsidR="00D96FD9" w:rsidRPr="00006A39" w:rsidRDefault="00D96FD9" w:rsidP="00785EA3">
            <w:pPr>
              <w:widowControl w:val="0"/>
              <w:spacing w:line="276" w:lineRule="auto"/>
              <w:jc w:val="center"/>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18,75</w:t>
            </w:r>
          </w:p>
        </w:tc>
        <w:tc>
          <w:tcPr>
            <w:tcW w:w="2551" w:type="dxa"/>
          </w:tcPr>
          <w:p w:rsidR="00D96FD9" w:rsidRPr="00006A39" w:rsidRDefault="00D96FD9" w:rsidP="00785EA3">
            <w:pPr>
              <w:widowControl w:val="0"/>
              <w:spacing w:line="276" w:lineRule="auto"/>
              <w:jc w:val="center"/>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0,41 (0,07-1,74)</w:t>
            </w:r>
          </w:p>
        </w:tc>
        <w:tc>
          <w:tcPr>
            <w:tcW w:w="1412" w:type="dxa"/>
          </w:tcPr>
          <w:p w:rsidR="00D96FD9" w:rsidRPr="00006A39" w:rsidRDefault="00D96FD9" w:rsidP="00785EA3">
            <w:pPr>
              <w:widowControl w:val="0"/>
              <w:spacing w:line="276" w:lineRule="auto"/>
              <w:jc w:val="center"/>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0,2377</w:t>
            </w:r>
          </w:p>
        </w:tc>
      </w:tr>
      <w:tr w:rsidR="00D96FD9" w:rsidRPr="00006A39" w:rsidTr="00CE001E">
        <w:trPr>
          <w:jc w:val="center"/>
        </w:trPr>
        <w:tc>
          <w:tcPr>
            <w:tcW w:w="2386" w:type="dxa"/>
            <w:vAlign w:val="center"/>
          </w:tcPr>
          <w:p w:rsidR="00D96FD9" w:rsidRPr="00006A39" w:rsidRDefault="00D96FD9" w:rsidP="00785EA3">
            <w:pPr>
              <w:widowControl w:val="0"/>
              <w:spacing w:line="276" w:lineRule="auto"/>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Львівська</w:t>
            </w:r>
          </w:p>
        </w:tc>
        <w:tc>
          <w:tcPr>
            <w:tcW w:w="1437" w:type="dxa"/>
          </w:tcPr>
          <w:p w:rsidR="00D96FD9" w:rsidRPr="00006A39" w:rsidRDefault="00D96FD9" w:rsidP="00785EA3">
            <w:pPr>
              <w:widowControl w:val="0"/>
              <w:spacing w:line="276" w:lineRule="auto"/>
              <w:jc w:val="center"/>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28,89</w:t>
            </w:r>
          </w:p>
        </w:tc>
        <w:tc>
          <w:tcPr>
            <w:tcW w:w="1559" w:type="dxa"/>
          </w:tcPr>
          <w:p w:rsidR="00D96FD9" w:rsidRPr="00006A39" w:rsidRDefault="00D96FD9" w:rsidP="00785EA3">
            <w:pPr>
              <w:widowControl w:val="0"/>
              <w:spacing w:line="276" w:lineRule="auto"/>
              <w:jc w:val="center"/>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25,00</w:t>
            </w:r>
          </w:p>
        </w:tc>
        <w:tc>
          <w:tcPr>
            <w:tcW w:w="2551" w:type="dxa"/>
          </w:tcPr>
          <w:p w:rsidR="00D96FD9" w:rsidRPr="00006A39" w:rsidRDefault="00D96FD9" w:rsidP="00785EA3">
            <w:pPr>
              <w:widowControl w:val="0"/>
              <w:spacing w:line="276" w:lineRule="auto"/>
              <w:jc w:val="center"/>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0,82 (0,19-3,06)</w:t>
            </w:r>
          </w:p>
        </w:tc>
        <w:tc>
          <w:tcPr>
            <w:tcW w:w="1412" w:type="dxa"/>
          </w:tcPr>
          <w:p w:rsidR="00D96FD9" w:rsidRPr="00006A39" w:rsidRDefault="00D96FD9" w:rsidP="00785EA3">
            <w:pPr>
              <w:widowControl w:val="0"/>
              <w:spacing w:line="276" w:lineRule="auto"/>
              <w:jc w:val="center"/>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0,4979</w:t>
            </w:r>
          </w:p>
        </w:tc>
      </w:tr>
      <w:tr w:rsidR="00D96FD9" w:rsidRPr="00006A39" w:rsidTr="00CE001E">
        <w:trPr>
          <w:jc w:val="center"/>
        </w:trPr>
        <w:tc>
          <w:tcPr>
            <w:tcW w:w="2386" w:type="dxa"/>
            <w:vAlign w:val="center"/>
          </w:tcPr>
          <w:p w:rsidR="00D96FD9" w:rsidRPr="00006A39" w:rsidRDefault="00D96FD9" w:rsidP="00785EA3">
            <w:pPr>
              <w:widowControl w:val="0"/>
              <w:spacing w:line="276" w:lineRule="auto"/>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Миколаївська</w:t>
            </w:r>
          </w:p>
        </w:tc>
        <w:tc>
          <w:tcPr>
            <w:tcW w:w="1437" w:type="dxa"/>
          </w:tcPr>
          <w:p w:rsidR="00D96FD9" w:rsidRPr="00006A39" w:rsidRDefault="00D96FD9" w:rsidP="00785EA3">
            <w:pPr>
              <w:widowControl w:val="0"/>
              <w:spacing w:line="276" w:lineRule="auto"/>
              <w:jc w:val="center"/>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26,83</w:t>
            </w:r>
          </w:p>
        </w:tc>
        <w:tc>
          <w:tcPr>
            <w:tcW w:w="1559" w:type="dxa"/>
          </w:tcPr>
          <w:p w:rsidR="00D96FD9" w:rsidRPr="00006A39" w:rsidRDefault="00D96FD9" w:rsidP="00785EA3">
            <w:pPr>
              <w:widowControl w:val="0"/>
              <w:spacing w:line="276" w:lineRule="auto"/>
              <w:jc w:val="center"/>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37,50</w:t>
            </w:r>
          </w:p>
        </w:tc>
        <w:tc>
          <w:tcPr>
            <w:tcW w:w="2551" w:type="dxa"/>
          </w:tcPr>
          <w:p w:rsidR="00D96FD9" w:rsidRPr="00006A39" w:rsidRDefault="00D96FD9" w:rsidP="00785EA3">
            <w:pPr>
              <w:widowControl w:val="0"/>
              <w:spacing w:line="276" w:lineRule="auto"/>
              <w:jc w:val="center"/>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1,63 (0,54-4,97)</w:t>
            </w:r>
          </w:p>
        </w:tc>
        <w:tc>
          <w:tcPr>
            <w:tcW w:w="1412" w:type="dxa"/>
          </w:tcPr>
          <w:p w:rsidR="00D96FD9" w:rsidRPr="00006A39" w:rsidRDefault="00D96FD9" w:rsidP="00785EA3">
            <w:pPr>
              <w:widowControl w:val="0"/>
              <w:spacing w:line="276" w:lineRule="auto"/>
              <w:jc w:val="center"/>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0,4469</w:t>
            </w:r>
          </w:p>
        </w:tc>
      </w:tr>
      <w:tr w:rsidR="00D96FD9" w:rsidRPr="00006A39" w:rsidTr="00CE001E">
        <w:trPr>
          <w:jc w:val="center"/>
        </w:trPr>
        <w:tc>
          <w:tcPr>
            <w:tcW w:w="2386" w:type="dxa"/>
            <w:vAlign w:val="center"/>
          </w:tcPr>
          <w:p w:rsidR="00D96FD9" w:rsidRPr="00006A39" w:rsidRDefault="00D96FD9" w:rsidP="00785EA3">
            <w:pPr>
              <w:widowControl w:val="0"/>
              <w:spacing w:line="276" w:lineRule="auto"/>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Одеська</w:t>
            </w:r>
          </w:p>
        </w:tc>
        <w:tc>
          <w:tcPr>
            <w:tcW w:w="1437" w:type="dxa"/>
          </w:tcPr>
          <w:p w:rsidR="00D96FD9" w:rsidRPr="00006A39" w:rsidRDefault="00D96FD9" w:rsidP="00785EA3">
            <w:pPr>
              <w:widowControl w:val="0"/>
              <w:spacing w:line="276" w:lineRule="auto"/>
              <w:jc w:val="center"/>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30,61</w:t>
            </w:r>
          </w:p>
        </w:tc>
        <w:tc>
          <w:tcPr>
            <w:tcW w:w="1559" w:type="dxa"/>
          </w:tcPr>
          <w:p w:rsidR="00D96FD9" w:rsidRPr="00006A39" w:rsidRDefault="00D96FD9" w:rsidP="00785EA3">
            <w:pPr>
              <w:widowControl w:val="0"/>
              <w:spacing w:line="276" w:lineRule="auto"/>
              <w:jc w:val="center"/>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41,89</w:t>
            </w:r>
          </w:p>
        </w:tc>
        <w:tc>
          <w:tcPr>
            <w:tcW w:w="2551" w:type="dxa"/>
          </w:tcPr>
          <w:p w:rsidR="00D96FD9" w:rsidRPr="00006A39" w:rsidRDefault="00D96FD9" w:rsidP="00785EA3">
            <w:pPr>
              <w:widowControl w:val="0"/>
              <w:spacing w:line="276" w:lineRule="auto"/>
              <w:jc w:val="center"/>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1,63 (0,83-3,22)</w:t>
            </w:r>
          </w:p>
        </w:tc>
        <w:tc>
          <w:tcPr>
            <w:tcW w:w="1412" w:type="dxa"/>
          </w:tcPr>
          <w:p w:rsidR="00D96FD9" w:rsidRPr="00006A39" w:rsidRDefault="00D96FD9" w:rsidP="00785EA3">
            <w:pPr>
              <w:widowControl w:val="0"/>
              <w:spacing w:line="276" w:lineRule="auto"/>
              <w:jc w:val="center"/>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0,1483</w:t>
            </w:r>
          </w:p>
        </w:tc>
      </w:tr>
      <w:tr w:rsidR="00D96FD9" w:rsidRPr="00006A39" w:rsidTr="00CE001E">
        <w:trPr>
          <w:jc w:val="center"/>
        </w:trPr>
        <w:tc>
          <w:tcPr>
            <w:tcW w:w="2386" w:type="dxa"/>
            <w:vAlign w:val="center"/>
          </w:tcPr>
          <w:p w:rsidR="00D96FD9" w:rsidRPr="00006A39" w:rsidRDefault="00D96FD9" w:rsidP="00785EA3">
            <w:pPr>
              <w:widowControl w:val="0"/>
              <w:spacing w:line="276" w:lineRule="auto"/>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Полтавська</w:t>
            </w:r>
          </w:p>
        </w:tc>
        <w:tc>
          <w:tcPr>
            <w:tcW w:w="1437" w:type="dxa"/>
          </w:tcPr>
          <w:p w:rsidR="00D96FD9" w:rsidRPr="00006A39" w:rsidRDefault="00D96FD9" w:rsidP="00785EA3">
            <w:pPr>
              <w:widowControl w:val="0"/>
              <w:spacing w:line="276" w:lineRule="auto"/>
              <w:jc w:val="center"/>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65,22</w:t>
            </w:r>
          </w:p>
        </w:tc>
        <w:tc>
          <w:tcPr>
            <w:tcW w:w="1559" w:type="dxa"/>
          </w:tcPr>
          <w:p w:rsidR="00D96FD9" w:rsidRPr="00006A39" w:rsidRDefault="00D96FD9" w:rsidP="00785EA3">
            <w:pPr>
              <w:widowControl w:val="0"/>
              <w:spacing w:line="276" w:lineRule="auto"/>
              <w:jc w:val="center"/>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57,14</w:t>
            </w:r>
          </w:p>
        </w:tc>
        <w:tc>
          <w:tcPr>
            <w:tcW w:w="2551" w:type="dxa"/>
          </w:tcPr>
          <w:p w:rsidR="00D96FD9" w:rsidRPr="00006A39" w:rsidRDefault="00D96FD9" w:rsidP="00785EA3">
            <w:pPr>
              <w:widowControl w:val="0"/>
              <w:spacing w:line="276" w:lineRule="auto"/>
              <w:jc w:val="center"/>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0,71 (0,15-3,48)</w:t>
            </w:r>
          </w:p>
        </w:tc>
        <w:tc>
          <w:tcPr>
            <w:tcW w:w="1412" w:type="dxa"/>
          </w:tcPr>
          <w:p w:rsidR="00D96FD9" w:rsidRPr="00006A39" w:rsidRDefault="00D96FD9" w:rsidP="00785EA3">
            <w:pPr>
              <w:widowControl w:val="0"/>
              <w:spacing w:line="276" w:lineRule="auto"/>
              <w:jc w:val="center"/>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0,7321</w:t>
            </w:r>
          </w:p>
        </w:tc>
      </w:tr>
      <w:tr w:rsidR="00D96FD9" w:rsidRPr="00006A39" w:rsidTr="00CE001E">
        <w:trPr>
          <w:jc w:val="center"/>
        </w:trPr>
        <w:tc>
          <w:tcPr>
            <w:tcW w:w="2386" w:type="dxa"/>
            <w:vAlign w:val="center"/>
          </w:tcPr>
          <w:p w:rsidR="00D96FD9" w:rsidRPr="00006A39" w:rsidRDefault="00D96FD9" w:rsidP="00785EA3">
            <w:pPr>
              <w:widowControl w:val="0"/>
              <w:spacing w:line="276" w:lineRule="auto"/>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Рівненська</w:t>
            </w:r>
          </w:p>
        </w:tc>
        <w:tc>
          <w:tcPr>
            <w:tcW w:w="1437" w:type="dxa"/>
          </w:tcPr>
          <w:p w:rsidR="00D96FD9" w:rsidRPr="00006A39" w:rsidRDefault="00D96FD9" w:rsidP="00785EA3">
            <w:pPr>
              <w:widowControl w:val="0"/>
              <w:spacing w:line="276" w:lineRule="auto"/>
              <w:jc w:val="center"/>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21,57</w:t>
            </w:r>
          </w:p>
        </w:tc>
        <w:tc>
          <w:tcPr>
            <w:tcW w:w="1559" w:type="dxa"/>
          </w:tcPr>
          <w:p w:rsidR="00D96FD9" w:rsidRPr="00006A39" w:rsidRDefault="00D96FD9" w:rsidP="00785EA3">
            <w:pPr>
              <w:widowControl w:val="0"/>
              <w:spacing w:line="276" w:lineRule="auto"/>
              <w:jc w:val="center"/>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31,03</w:t>
            </w:r>
          </w:p>
        </w:tc>
        <w:tc>
          <w:tcPr>
            <w:tcW w:w="2551" w:type="dxa"/>
          </w:tcPr>
          <w:p w:rsidR="00D96FD9" w:rsidRPr="00006A39" w:rsidRDefault="00D96FD9" w:rsidP="00785EA3">
            <w:pPr>
              <w:widowControl w:val="0"/>
              <w:spacing w:line="276" w:lineRule="auto"/>
              <w:jc w:val="center"/>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1,63 (051-5,16)</w:t>
            </w:r>
          </w:p>
        </w:tc>
        <w:tc>
          <w:tcPr>
            <w:tcW w:w="1412" w:type="dxa"/>
          </w:tcPr>
          <w:p w:rsidR="00D96FD9" w:rsidRPr="00006A39" w:rsidRDefault="00D96FD9" w:rsidP="00785EA3">
            <w:pPr>
              <w:widowControl w:val="0"/>
              <w:spacing w:line="276" w:lineRule="auto"/>
              <w:jc w:val="center"/>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0,4233</w:t>
            </w:r>
          </w:p>
        </w:tc>
      </w:tr>
      <w:tr w:rsidR="00D96FD9" w:rsidRPr="00006A39" w:rsidTr="00CE001E">
        <w:trPr>
          <w:jc w:val="center"/>
        </w:trPr>
        <w:tc>
          <w:tcPr>
            <w:tcW w:w="2386" w:type="dxa"/>
            <w:vAlign w:val="center"/>
          </w:tcPr>
          <w:p w:rsidR="00D96FD9" w:rsidRPr="00006A39" w:rsidRDefault="00D96FD9" w:rsidP="00785EA3">
            <w:pPr>
              <w:widowControl w:val="0"/>
              <w:spacing w:line="276" w:lineRule="auto"/>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Сумська</w:t>
            </w:r>
          </w:p>
        </w:tc>
        <w:tc>
          <w:tcPr>
            <w:tcW w:w="1437" w:type="dxa"/>
          </w:tcPr>
          <w:p w:rsidR="00D96FD9" w:rsidRPr="00006A39" w:rsidRDefault="00D96FD9" w:rsidP="00785EA3">
            <w:pPr>
              <w:widowControl w:val="0"/>
              <w:spacing w:line="276" w:lineRule="auto"/>
              <w:jc w:val="center"/>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44,44</w:t>
            </w:r>
          </w:p>
        </w:tc>
        <w:tc>
          <w:tcPr>
            <w:tcW w:w="1559" w:type="dxa"/>
          </w:tcPr>
          <w:p w:rsidR="00D96FD9" w:rsidRPr="00006A39" w:rsidRDefault="00D96FD9" w:rsidP="00785EA3">
            <w:pPr>
              <w:widowControl w:val="0"/>
              <w:spacing w:line="276" w:lineRule="auto"/>
              <w:jc w:val="center"/>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33,33</w:t>
            </w:r>
          </w:p>
        </w:tc>
        <w:tc>
          <w:tcPr>
            <w:tcW w:w="2551" w:type="dxa"/>
          </w:tcPr>
          <w:p w:rsidR="00D96FD9" w:rsidRPr="00006A39" w:rsidRDefault="00D96FD9" w:rsidP="00785EA3">
            <w:pPr>
              <w:widowControl w:val="0"/>
              <w:spacing w:line="276" w:lineRule="auto"/>
              <w:jc w:val="center"/>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0,62 (0,08-3,76)</w:t>
            </w:r>
          </w:p>
        </w:tc>
        <w:tc>
          <w:tcPr>
            <w:tcW w:w="1412" w:type="dxa"/>
          </w:tcPr>
          <w:p w:rsidR="00D96FD9" w:rsidRPr="00006A39" w:rsidRDefault="00D96FD9" w:rsidP="00785EA3">
            <w:pPr>
              <w:widowControl w:val="0"/>
              <w:spacing w:line="276" w:lineRule="auto"/>
              <w:jc w:val="center"/>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0,7050</w:t>
            </w:r>
          </w:p>
        </w:tc>
      </w:tr>
      <w:tr w:rsidR="00D96FD9" w:rsidRPr="00006A39" w:rsidTr="00CE001E">
        <w:trPr>
          <w:jc w:val="center"/>
        </w:trPr>
        <w:tc>
          <w:tcPr>
            <w:tcW w:w="2386" w:type="dxa"/>
            <w:vAlign w:val="center"/>
          </w:tcPr>
          <w:p w:rsidR="00D96FD9" w:rsidRPr="00006A39" w:rsidRDefault="00D96FD9" w:rsidP="00785EA3">
            <w:pPr>
              <w:widowControl w:val="0"/>
              <w:spacing w:line="276" w:lineRule="auto"/>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Тернопільська</w:t>
            </w:r>
          </w:p>
        </w:tc>
        <w:tc>
          <w:tcPr>
            <w:tcW w:w="1437" w:type="dxa"/>
          </w:tcPr>
          <w:p w:rsidR="00D96FD9" w:rsidRPr="00006A39" w:rsidRDefault="00D96FD9" w:rsidP="00785EA3">
            <w:pPr>
              <w:widowControl w:val="0"/>
              <w:spacing w:line="276" w:lineRule="auto"/>
              <w:jc w:val="center"/>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6,25</w:t>
            </w:r>
          </w:p>
        </w:tc>
        <w:tc>
          <w:tcPr>
            <w:tcW w:w="1559" w:type="dxa"/>
          </w:tcPr>
          <w:p w:rsidR="00D96FD9" w:rsidRPr="00006A39" w:rsidRDefault="00D96FD9" w:rsidP="00785EA3">
            <w:pPr>
              <w:widowControl w:val="0"/>
              <w:spacing w:line="276" w:lineRule="auto"/>
              <w:jc w:val="center"/>
              <w:rPr>
                <w:rFonts w:ascii="Times New Roman" w:eastAsia="Times New Roman" w:hAnsi="Times New Roman"/>
                <w:color w:val="000000" w:themeColor="text1"/>
                <w:sz w:val="28"/>
                <w:szCs w:val="28"/>
                <w:lang w:val="uk-UA"/>
              </w:rPr>
            </w:pPr>
            <w:r w:rsidRPr="002D0002">
              <w:rPr>
                <w:rFonts w:ascii="Times New Roman" w:eastAsia="Times New Roman" w:hAnsi="Times New Roman"/>
                <w:sz w:val="28"/>
                <w:szCs w:val="28"/>
                <w:lang w:val="uk-UA"/>
              </w:rPr>
              <w:t>58,33</w:t>
            </w:r>
          </w:p>
        </w:tc>
        <w:tc>
          <w:tcPr>
            <w:tcW w:w="2551" w:type="dxa"/>
          </w:tcPr>
          <w:p w:rsidR="00D96FD9" w:rsidRPr="00006A39" w:rsidRDefault="00D96FD9" w:rsidP="00785EA3">
            <w:pPr>
              <w:widowControl w:val="0"/>
              <w:spacing w:line="276" w:lineRule="auto"/>
              <w:ind w:right="-102"/>
              <w:jc w:val="center"/>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21,0 (1,73-100,7)</w:t>
            </w:r>
          </w:p>
        </w:tc>
        <w:tc>
          <w:tcPr>
            <w:tcW w:w="1412" w:type="dxa"/>
          </w:tcPr>
          <w:p w:rsidR="00D96FD9" w:rsidRPr="00006A39" w:rsidRDefault="00D96FD9" w:rsidP="00785EA3">
            <w:pPr>
              <w:widowControl w:val="0"/>
              <w:spacing w:line="276" w:lineRule="auto"/>
              <w:jc w:val="center"/>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0,0042</w:t>
            </w:r>
          </w:p>
        </w:tc>
      </w:tr>
      <w:tr w:rsidR="00D96FD9" w:rsidRPr="00006A39" w:rsidTr="00CE001E">
        <w:trPr>
          <w:jc w:val="center"/>
        </w:trPr>
        <w:tc>
          <w:tcPr>
            <w:tcW w:w="2386" w:type="dxa"/>
            <w:vAlign w:val="center"/>
          </w:tcPr>
          <w:p w:rsidR="00D96FD9" w:rsidRPr="00006A39" w:rsidRDefault="00D96FD9" w:rsidP="00785EA3">
            <w:pPr>
              <w:widowControl w:val="0"/>
              <w:spacing w:line="276" w:lineRule="auto"/>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Харківська</w:t>
            </w:r>
          </w:p>
        </w:tc>
        <w:tc>
          <w:tcPr>
            <w:tcW w:w="1437" w:type="dxa"/>
          </w:tcPr>
          <w:p w:rsidR="00D96FD9" w:rsidRPr="00006A39" w:rsidRDefault="00D96FD9" w:rsidP="00785EA3">
            <w:pPr>
              <w:widowControl w:val="0"/>
              <w:spacing w:line="276" w:lineRule="auto"/>
              <w:jc w:val="center"/>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37,84</w:t>
            </w:r>
          </w:p>
        </w:tc>
        <w:tc>
          <w:tcPr>
            <w:tcW w:w="1559" w:type="dxa"/>
          </w:tcPr>
          <w:p w:rsidR="00D96FD9" w:rsidRPr="00006A39" w:rsidRDefault="00D96FD9" w:rsidP="00785EA3">
            <w:pPr>
              <w:widowControl w:val="0"/>
              <w:spacing w:line="276" w:lineRule="auto"/>
              <w:jc w:val="center"/>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38,46</w:t>
            </w:r>
          </w:p>
        </w:tc>
        <w:tc>
          <w:tcPr>
            <w:tcW w:w="2551" w:type="dxa"/>
          </w:tcPr>
          <w:p w:rsidR="00D96FD9" w:rsidRPr="00006A39" w:rsidRDefault="00D96FD9" w:rsidP="00785EA3">
            <w:pPr>
              <w:widowControl w:val="0"/>
              <w:spacing w:line="276" w:lineRule="auto"/>
              <w:jc w:val="center"/>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1,03 (0,32-3,2)</w:t>
            </w:r>
          </w:p>
        </w:tc>
        <w:tc>
          <w:tcPr>
            <w:tcW w:w="1412" w:type="dxa"/>
          </w:tcPr>
          <w:p w:rsidR="00D96FD9" w:rsidRPr="00006A39" w:rsidRDefault="00D96FD9" w:rsidP="00785EA3">
            <w:pPr>
              <w:widowControl w:val="0"/>
              <w:spacing w:line="276" w:lineRule="auto"/>
              <w:jc w:val="center"/>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0,5829</w:t>
            </w:r>
          </w:p>
        </w:tc>
      </w:tr>
      <w:tr w:rsidR="00D96FD9" w:rsidRPr="00006A39" w:rsidTr="00CE001E">
        <w:trPr>
          <w:jc w:val="center"/>
        </w:trPr>
        <w:tc>
          <w:tcPr>
            <w:tcW w:w="2386" w:type="dxa"/>
            <w:vAlign w:val="center"/>
          </w:tcPr>
          <w:p w:rsidR="00D96FD9" w:rsidRPr="00006A39" w:rsidRDefault="00D96FD9" w:rsidP="00785EA3">
            <w:pPr>
              <w:widowControl w:val="0"/>
              <w:spacing w:line="276" w:lineRule="auto"/>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Херсонська</w:t>
            </w:r>
          </w:p>
        </w:tc>
        <w:tc>
          <w:tcPr>
            <w:tcW w:w="1437" w:type="dxa"/>
          </w:tcPr>
          <w:p w:rsidR="00D96FD9" w:rsidRPr="00006A39" w:rsidRDefault="00D96FD9" w:rsidP="00785EA3">
            <w:pPr>
              <w:widowControl w:val="0"/>
              <w:spacing w:line="276" w:lineRule="auto"/>
              <w:jc w:val="center"/>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50,00</w:t>
            </w:r>
          </w:p>
        </w:tc>
        <w:tc>
          <w:tcPr>
            <w:tcW w:w="1559" w:type="dxa"/>
          </w:tcPr>
          <w:p w:rsidR="00D96FD9" w:rsidRPr="00006A39" w:rsidRDefault="00D96FD9" w:rsidP="00785EA3">
            <w:pPr>
              <w:widowControl w:val="0"/>
              <w:spacing w:line="276" w:lineRule="auto"/>
              <w:jc w:val="center"/>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42,11</w:t>
            </w:r>
          </w:p>
        </w:tc>
        <w:tc>
          <w:tcPr>
            <w:tcW w:w="2551" w:type="dxa"/>
          </w:tcPr>
          <w:p w:rsidR="00D96FD9" w:rsidRPr="00006A39" w:rsidRDefault="00D96FD9" w:rsidP="00785EA3">
            <w:pPr>
              <w:widowControl w:val="0"/>
              <w:spacing w:line="276" w:lineRule="auto"/>
              <w:jc w:val="center"/>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0,72 (0,20-2,26)</w:t>
            </w:r>
          </w:p>
        </w:tc>
        <w:tc>
          <w:tcPr>
            <w:tcW w:w="1412" w:type="dxa"/>
          </w:tcPr>
          <w:p w:rsidR="00D96FD9" w:rsidRPr="00006A39" w:rsidRDefault="00D96FD9" w:rsidP="00785EA3">
            <w:pPr>
              <w:widowControl w:val="0"/>
              <w:spacing w:line="276" w:lineRule="auto"/>
              <w:jc w:val="center"/>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0,7769</w:t>
            </w:r>
          </w:p>
        </w:tc>
      </w:tr>
      <w:tr w:rsidR="00D96FD9" w:rsidRPr="00006A39" w:rsidTr="00CE001E">
        <w:trPr>
          <w:jc w:val="center"/>
        </w:trPr>
        <w:tc>
          <w:tcPr>
            <w:tcW w:w="2386" w:type="dxa"/>
            <w:vAlign w:val="center"/>
          </w:tcPr>
          <w:p w:rsidR="00D96FD9" w:rsidRPr="00006A39" w:rsidRDefault="00D96FD9" w:rsidP="00785EA3">
            <w:pPr>
              <w:widowControl w:val="0"/>
              <w:spacing w:line="276" w:lineRule="auto"/>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Хмельницька</w:t>
            </w:r>
          </w:p>
        </w:tc>
        <w:tc>
          <w:tcPr>
            <w:tcW w:w="1437" w:type="dxa"/>
          </w:tcPr>
          <w:p w:rsidR="00D96FD9" w:rsidRPr="00006A39" w:rsidRDefault="00D96FD9" w:rsidP="00785EA3">
            <w:pPr>
              <w:widowControl w:val="0"/>
              <w:spacing w:line="276" w:lineRule="auto"/>
              <w:jc w:val="center"/>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44,83</w:t>
            </w:r>
          </w:p>
        </w:tc>
        <w:tc>
          <w:tcPr>
            <w:tcW w:w="1559" w:type="dxa"/>
          </w:tcPr>
          <w:p w:rsidR="00D96FD9" w:rsidRPr="00006A39" w:rsidRDefault="00D96FD9" w:rsidP="00785EA3">
            <w:pPr>
              <w:widowControl w:val="0"/>
              <w:spacing w:line="276" w:lineRule="auto"/>
              <w:jc w:val="center"/>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27,78</w:t>
            </w:r>
          </w:p>
        </w:tc>
        <w:tc>
          <w:tcPr>
            <w:tcW w:w="2551" w:type="dxa"/>
          </w:tcPr>
          <w:p w:rsidR="00D96FD9" w:rsidRPr="00006A39" w:rsidRDefault="00D96FD9" w:rsidP="00785EA3">
            <w:pPr>
              <w:widowControl w:val="0"/>
              <w:spacing w:line="276" w:lineRule="auto"/>
              <w:jc w:val="center"/>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0,47 (0,10-1,93)</w:t>
            </w:r>
          </w:p>
        </w:tc>
        <w:tc>
          <w:tcPr>
            <w:tcW w:w="1412" w:type="dxa"/>
          </w:tcPr>
          <w:p w:rsidR="00D96FD9" w:rsidRPr="00006A39" w:rsidRDefault="00D96FD9" w:rsidP="00785EA3">
            <w:pPr>
              <w:widowControl w:val="0"/>
              <w:spacing w:line="276" w:lineRule="auto"/>
              <w:jc w:val="center"/>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0,3563</w:t>
            </w:r>
          </w:p>
        </w:tc>
      </w:tr>
      <w:tr w:rsidR="00D96FD9" w:rsidRPr="00006A39" w:rsidTr="00CE001E">
        <w:trPr>
          <w:jc w:val="center"/>
        </w:trPr>
        <w:tc>
          <w:tcPr>
            <w:tcW w:w="2386" w:type="dxa"/>
            <w:vAlign w:val="center"/>
          </w:tcPr>
          <w:p w:rsidR="00D96FD9" w:rsidRPr="00006A39" w:rsidRDefault="00D96FD9" w:rsidP="00785EA3">
            <w:pPr>
              <w:widowControl w:val="0"/>
              <w:spacing w:line="276" w:lineRule="auto"/>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Черкаська</w:t>
            </w:r>
          </w:p>
        </w:tc>
        <w:tc>
          <w:tcPr>
            <w:tcW w:w="1437" w:type="dxa"/>
          </w:tcPr>
          <w:p w:rsidR="00D96FD9" w:rsidRPr="00006A39" w:rsidRDefault="00D96FD9" w:rsidP="00785EA3">
            <w:pPr>
              <w:widowControl w:val="0"/>
              <w:spacing w:line="276" w:lineRule="auto"/>
              <w:jc w:val="center"/>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41,38</w:t>
            </w:r>
          </w:p>
        </w:tc>
        <w:tc>
          <w:tcPr>
            <w:tcW w:w="1559" w:type="dxa"/>
          </w:tcPr>
          <w:p w:rsidR="00D96FD9" w:rsidRPr="00006A39" w:rsidRDefault="00D96FD9" w:rsidP="00785EA3">
            <w:pPr>
              <w:widowControl w:val="0"/>
              <w:spacing w:line="276" w:lineRule="auto"/>
              <w:jc w:val="center"/>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40,00</w:t>
            </w:r>
          </w:p>
        </w:tc>
        <w:tc>
          <w:tcPr>
            <w:tcW w:w="2551" w:type="dxa"/>
          </w:tcPr>
          <w:p w:rsidR="00D96FD9" w:rsidRPr="00006A39" w:rsidRDefault="00D96FD9" w:rsidP="00785EA3">
            <w:pPr>
              <w:widowControl w:val="0"/>
              <w:spacing w:line="276" w:lineRule="auto"/>
              <w:jc w:val="center"/>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0,94 (0,25-3,48)</w:t>
            </w:r>
          </w:p>
        </w:tc>
        <w:tc>
          <w:tcPr>
            <w:tcW w:w="1412" w:type="dxa"/>
          </w:tcPr>
          <w:p w:rsidR="00D96FD9" w:rsidRPr="00006A39" w:rsidRDefault="00D96FD9" w:rsidP="00785EA3">
            <w:pPr>
              <w:widowControl w:val="0"/>
              <w:spacing w:line="276" w:lineRule="auto"/>
              <w:jc w:val="center"/>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0,5800</w:t>
            </w:r>
          </w:p>
        </w:tc>
      </w:tr>
      <w:tr w:rsidR="00D96FD9" w:rsidRPr="00006A39" w:rsidTr="00CE001E">
        <w:trPr>
          <w:jc w:val="center"/>
        </w:trPr>
        <w:tc>
          <w:tcPr>
            <w:tcW w:w="2386" w:type="dxa"/>
            <w:vAlign w:val="center"/>
          </w:tcPr>
          <w:p w:rsidR="00D96FD9" w:rsidRPr="00006A39" w:rsidRDefault="00D96FD9" w:rsidP="00785EA3">
            <w:pPr>
              <w:widowControl w:val="0"/>
              <w:spacing w:line="276" w:lineRule="auto"/>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Чернівецька</w:t>
            </w:r>
          </w:p>
        </w:tc>
        <w:tc>
          <w:tcPr>
            <w:tcW w:w="1437" w:type="dxa"/>
          </w:tcPr>
          <w:p w:rsidR="00D96FD9" w:rsidRPr="00006A39" w:rsidRDefault="00D96FD9" w:rsidP="00785EA3">
            <w:pPr>
              <w:widowControl w:val="0"/>
              <w:spacing w:line="276" w:lineRule="auto"/>
              <w:jc w:val="center"/>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36,00</w:t>
            </w:r>
          </w:p>
        </w:tc>
        <w:tc>
          <w:tcPr>
            <w:tcW w:w="1559" w:type="dxa"/>
          </w:tcPr>
          <w:p w:rsidR="00D96FD9" w:rsidRPr="00006A39" w:rsidRDefault="00D96FD9" w:rsidP="00785EA3">
            <w:pPr>
              <w:widowControl w:val="0"/>
              <w:spacing w:line="276" w:lineRule="auto"/>
              <w:jc w:val="center"/>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57,90</w:t>
            </w:r>
          </w:p>
        </w:tc>
        <w:tc>
          <w:tcPr>
            <w:tcW w:w="2551" w:type="dxa"/>
          </w:tcPr>
          <w:p w:rsidR="00D96FD9" w:rsidRPr="00006A39" w:rsidRDefault="00D96FD9" w:rsidP="00785EA3">
            <w:pPr>
              <w:widowControl w:val="0"/>
              <w:spacing w:line="276" w:lineRule="auto"/>
              <w:jc w:val="center"/>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2,44 (0,61-9,90)</w:t>
            </w:r>
          </w:p>
        </w:tc>
        <w:tc>
          <w:tcPr>
            <w:tcW w:w="1412" w:type="dxa"/>
          </w:tcPr>
          <w:p w:rsidR="00D96FD9" w:rsidRPr="00006A39" w:rsidRDefault="00D96FD9" w:rsidP="00785EA3">
            <w:pPr>
              <w:widowControl w:val="0"/>
              <w:spacing w:line="276" w:lineRule="auto"/>
              <w:jc w:val="center"/>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0,2227</w:t>
            </w:r>
          </w:p>
        </w:tc>
      </w:tr>
      <w:tr w:rsidR="00D96FD9" w:rsidRPr="00006A39" w:rsidTr="00CE001E">
        <w:trPr>
          <w:jc w:val="center"/>
        </w:trPr>
        <w:tc>
          <w:tcPr>
            <w:tcW w:w="2386" w:type="dxa"/>
            <w:vAlign w:val="center"/>
          </w:tcPr>
          <w:p w:rsidR="00D96FD9" w:rsidRPr="00006A39" w:rsidRDefault="00D96FD9" w:rsidP="00785EA3">
            <w:pPr>
              <w:widowControl w:val="0"/>
              <w:spacing w:line="276" w:lineRule="auto"/>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Чернігівська</w:t>
            </w:r>
          </w:p>
        </w:tc>
        <w:tc>
          <w:tcPr>
            <w:tcW w:w="1437" w:type="dxa"/>
          </w:tcPr>
          <w:p w:rsidR="00D96FD9" w:rsidRPr="00006A39" w:rsidRDefault="00D96FD9" w:rsidP="00785EA3">
            <w:pPr>
              <w:widowControl w:val="0"/>
              <w:spacing w:line="276" w:lineRule="auto"/>
              <w:jc w:val="center"/>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44,00</w:t>
            </w:r>
          </w:p>
        </w:tc>
        <w:tc>
          <w:tcPr>
            <w:tcW w:w="1559" w:type="dxa"/>
          </w:tcPr>
          <w:p w:rsidR="00D96FD9" w:rsidRPr="00006A39" w:rsidRDefault="00D96FD9" w:rsidP="00785EA3">
            <w:pPr>
              <w:widowControl w:val="0"/>
              <w:spacing w:line="276" w:lineRule="auto"/>
              <w:jc w:val="center"/>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25,00</w:t>
            </w:r>
          </w:p>
        </w:tc>
        <w:tc>
          <w:tcPr>
            <w:tcW w:w="2551" w:type="dxa"/>
          </w:tcPr>
          <w:p w:rsidR="00D96FD9" w:rsidRPr="00006A39" w:rsidRDefault="00D96FD9" w:rsidP="00785EA3">
            <w:pPr>
              <w:widowControl w:val="0"/>
              <w:spacing w:line="276" w:lineRule="auto"/>
              <w:jc w:val="center"/>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0,42 (0,61-2,33)</w:t>
            </w:r>
          </w:p>
        </w:tc>
        <w:tc>
          <w:tcPr>
            <w:tcW w:w="1412" w:type="dxa"/>
          </w:tcPr>
          <w:p w:rsidR="00D96FD9" w:rsidRPr="00006A39" w:rsidRDefault="00D96FD9" w:rsidP="00785EA3">
            <w:pPr>
              <w:widowControl w:val="0"/>
              <w:spacing w:line="276" w:lineRule="auto"/>
              <w:jc w:val="center"/>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0,3065</w:t>
            </w:r>
          </w:p>
        </w:tc>
      </w:tr>
      <w:tr w:rsidR="00D96FD9" w:rsidRPr="00006A39" w:rsidTr="00CE001E">
        <w:trPr>
          <w:jc w:val="center"/>
        </w:trPr>
        <w:tc>
          <w:tcPr>
            <w:tcW w:w="2386" w:type="dxa"/>
            <w:vAlign w:val="center"/>
          </w:tcPr>
          <w:p w:rsidR="00D96FD9" w:rsidRPr="00006A39" w:rsidRDefault="00D96FD9" w:rsidP="00785EA3">
            <w:pPr>
              <w:widowControl w:val="0"/>
              <w:spacing w:line="276" w:lineRule="auto"/>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м. Київ</w:t>
            </w:r>
          </w:p>
        </w:tc>
        <w:tc>
          <w:tcPr>
            <w:tcW w:w="1437" w:type="dxa"/>
          </w:tcPr>
          <w:p w:rsidR="00D96FD9" w:rsidRPr="00006A39" w:rsidRDefault="00D96FD9" w:rsidP="00785EA3">
            <w:pPr>
              <w:widowControl w:val="0"/>
              <w:spacing w:line="276" w:lineRule="auto"/>
              <w:jc w:val="center"/>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29,41</w:t>
            </w:r>
          </w:p>
        </w:tc>
        <w:tc>
          <w:tcPr>
            <w:tcW w:w="1559" w:type="dxa"/>
          </w:tcPr>
          <w:p w:rsidR="00D96FD9" w:rsidRPr="00006A39" w:rsidRDefault="00D96FD9" w:rsidP="00785EA3">
            <w:pPr>
              <w:widowControl w:val="0"/>
              <w:spacing w:line="276" w:lineRule="auto"/>
              <w:jc w:val="center"/>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57,14</w:t>
            </w:r>
          </w:p>
        </w:tc>
        <w:tc>
          <w:tcPr>
            <w:tcW w:w="2551" w:type="dxa"/>
          </w:tcPr>
          <w:p w:rsidR="00D96FD9" w:rsidRPr="00006A39" w:rsidRDefault="00D96FD9" w:rsidP="00785EA3">
            <w:pPr>
              <w:widowControl w:val="0"/>
              <w:spacing w:line="276" w:lineRule="auto"/>
              <w:jc w:val="center"/>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3,2 (0,58-18,3)</w:t>
            </w:r>
          </w:p>
        </w:tc>
        <w:tc>
          <w:tcPr>
            <w:tcW w:w="1412" w:type="dxa"/>
          </w:tcPr>
          <w:p w:rsidR="00D96FD9" w:rsidRPr="00006A39" w:rsidRDefault="00D96FD9" w:rsidP="00785EA3">
            <w:pPr>
              <w:widowControl w:val="0"/>
              <w:spacing w:line="276" w:lineRule="auto"/>
              <w:jc w:val="center"/>
              <w:rPr>
                <w:rFonts w:ascii="Times New Roman" w:eastAsia="Times New Roman" w:hAnsi="Times New Roman"/>
                <w:color w:val="000000" w:themeColor="text1"/>
                <w:sz w:val="28"/>
                <w:szCs w:val="28"/>
                <w:lang w:val="uk-UA"/>
              </w:rPr>
            </w:pPr>
            <w:r w:rsidRPr="00006A39">
              <w:rPr>
                <w:rFonts w:ascii="Times New Roman" w:eastAsia="Times New Roman" w:hAnsi="Times New Roman"/>
                <w:color w:val="000000" w:themeColor="text1"/>
                <w:sz w:val="28"/>
                <w:szCs w:val="28"/>
                <w:lang w:val="uk-UA"/>
              </w:rPr>
              <w:t>0,1570</w:t>
            </w:r>
          </w:p>
        </w:tc>
      </w:tr>
    </w:tbl>
    <w:p w:rsidR="007A780E" w:rsidRDefault="007A780E" w:rsidP="00721203">
      <w:pPr>
        <w:widowControl w:val="0"/>
        <w:ind w:firstLine="709"/>
        <w:rPr>
          <w:szCs w:val="28"/>
        </w:rPr>
      </w:pPr>
    </w:p>
    <w:p w:rsidR="00D912C0" w:rsidRPr="00006A39" w:rsidRDefault="001022FA" w:rsidP="00D912C0">
      <w:pPr>
        <w:widowControl w:val="0"/>
        <w:ind w:firstLine="709"/>
        <w:rPr>
          <w:color w:val="FF0000"/>
          <w:szCs w:val="28"/>
        </w:rPr>
      </w:pPr>
      <w:r>
        <w:rPr>
          <w:szCs w:val="28"/>
        </w:rPr>
        <w:t>За результатами проведених</w:t>
      </w:r>
      <w:r w:rsidR="00D96FD9" w:rsidRPr="00006A39">
        <w:rPr>
          <w:szCs w:val="28"/>
        </w:rPr>
        <w:t xml:space="preserve"> розрахунків та аналізу структури смертності дітей у віці до 1-го року життя, що відбулась поза стаціонаром, які перебували під наглядом дитячих поліклінічних закладів сфери управління МОЗ України за провідними причинами смерті, у 2018 р. було зареєстровано, наступний розподіл рейтингових місць: </w:t>
      </w:r>
      <w:r w:rsidR="00DF6880" w:rsidRPr="00DF6880">
        <w:rPr>
          <w:rFonts w:eastAsia="Calibri"/>
          <w:szCs w:val="28"/>
        </w:rPr>
        <w:t>І місце посіли травми, отруєння та деякі інші наслідки дії зовнішніх причи</w:t>
      </w:r>
      <w:r w:rsidR="008A4F4B">
        <w:rPr>
          <w:rFonts w:eastAsia="Calibri"/>
          <w:szCs w:val="28"/>
        </w:rPr>
        <w:t>н (27,96%), ІІ місце належить</w:t>
      </w:r>
      <w:r w:rsidR="00DF6880" w:rsidRPr="00DF6880">
        <w:rPr>
          <w:rFonts w:eastAsia="Calibri"/>
          <w:szCs w:val="28"/>
        </w:rPr>
        <w:t xml:space="preserve"> симптомам, ознакам та відхиленням від норми (21,38%), ІІІ місце займають хвороби органів дихання (18,10%), І</w:t>
      </w:r>
      <w:r w:rsidR="00DF6880" w:rsidRPr="00DF6880">
        <w:rPr>
          <w:rFonts w:eastAsia="Calibri"/>
          <w:szCs w:val="28"/>
          <w:lang w:val="en-US"/>
        </w:rPr>
        <w:t>V</w:t>
      </w:r>
      <w:r w:rsidR="00DF6880" w:rsidRPr="00DF6880">
        <w:rPr>
          <w:rFonts w:eastAsia="Calibri"/>
          <w:szCs w:val="28"/>
        </w:rPr>
        <w:t xml:space="preserve"> місце</w:t>
      </w:r>
      <w:r w:rsidR="008A4F4B">
        <w:rPr>
          <w:rFonts w:eastAsia="Calibri"/>
          <w:szCs w:val="28"/>
        </w:rPr>
        <w:t xml:space="preserve"> – </w:t>
      </w:r>
      <w:r w:rsidR="00DF6880" w:rsidRPr="00DF6880">
        <w:rPr>
          <w:rFonts w:eastAsia="Calibri"/>
          <w:szCs w:val="28"/>
        </w:rPr>
        <w:t xml:space="preserve"> уродженим аномаліям (11,51%), </w:t>
      </w:r>
      <w:r w:rsidR="00DF6880" w:rsidRPr="00DF6880">
        <w:rPr>
          <w:rFonts w:eastAsia="Calibri"/>
          <w:szCs w:val="28"/>
          <w:lang w:val="en-US"/>
        </w:rPr>
        <w:t>V</w:t>
      </w:r>
      <w:r w:rsidR="00DF6880" w:rsidRPr="00DF6880">
        <w:rPr>
          <w:rFonts w:eastAsia="Calibri"/>
          <w:szCs w:val="28"/>
        </w:rPr>
        <w:t xml:space="preserve"> місце посіли  хвороби ендокринної системи, </w:t>
      </w:r>
      <w:r w:rsidR="00DF6880" w:rsidRPr="00DF6880">
        <w:rPr>
          <w:rFonts w:eastAsia="Calibri"/>
          <w:szCs w:val="28"/>
        </w:rPr>
        <w:lastRenderedPageBreak/>
        <w:t>розладу харчування (5,26%), які попередні роки конкурували за дане місце з хворобами нервової сис</w:t>
      </w:r>
      <w:r w:rsidR="008A4F4B">
        <w:rPr>
          <w:rFonts w:eastAsia="Calibri"/>
          <w:szCs w:val="28"/>
        </w:rPr>
        <w:t>теми, почергово, займаючи його,</w:t>
      </w:r>
      <w:r w:rsidR="00DF6880" w:rsidRPr="00DF6880">
        <w:rPr>
          <w:rFonts w:eastAsia="Calibri"/>
          <w:szCs w:val="28"/>
          <w:lang w:val="en-US"/>
        </w:rPr>
        <w:t>VI</w:t>
      </w:r>
      <w:r w:rsidR="00DF6880" w:rsidRPr="00DF6880">
        <w:rPr>
          <w:rFonts w:eastAsia="Calibri"/>
          <w:szCs w:val="28"/>
        </w:rPr>
        <w:t xml:space="preserve"> місце вперше посіли хвороби крові і кровотворних органів  (3,62%)</w:t>
      </w:r>
      <w:r w:rsidR="00E85F8E">
        <w:rPr>
          <w:rFonts w:eastAsia="Calibri"/>
          <w:color w:val="FF0000"/>
          <w:szCs w:val="28"/>
        </w:rPr>
        <w:t xml:space="preserve"> </w:t>
      </w:r>
      <w:r w:rsidR="00E85F8E" w:rsidRPr="00A05B8E">
        <w:rPr>
          <w:rFonts w:eastAsia="Calibri"/>
          <w:szCs w:val="28"/>
        </w:rPr>
        <w:t>(рис.3.12</w:t>
      </w:r>
      <w:r w:rsidR="00DF6880" w:rsidRPr="00A05B8E">
        <w:rPr>
          <w:rFonts w:eastAsia="Calibri"/>
          <w:szCs w:val="28"/>
        </w:rPr>
        <w:t>)</w:t>
      </w:r>
      <w:r w:rsidR="00D96FD9" w:rsidRPr="00A05B8E">
        <w:rPr>
          <w:szCs w:val="28"/>
        </w:rPr>
        <w:t>.</w:t>
      </w:r>
      <w:r w:rsidR="00D912C0" w:rsidRPr="00A05B8E">
        <w:rPr>
          <w:szCs w:val="28"/>
        </w:rPr>
        <w:t xml:space="preserve"> </w:t>
      </w:r>
    </w:p>
    <w:p w:rsidR="00D96FD9" w:rsidRPr="00006A39" w:rsidRDefault="00D96FD9" w:rsidP="00721203">
      <w:pPr>
        <w:widowControl w:val="0"/>
        <w:spacing w:line="312" w:lineRule="auto"/>
        <w:jc w:val="center"/>
        <w:rPr>
          <w:b/>
          <w:color w:val="000000"/>
          <w:szCs w:val="28"/>
        </w:rPr>
      </w:pPr>
      <w:r w:rsidRPr="00006A39">
        <w:rPr>
          <w:b/>
          <w:noProof/>
          <w:color w:val="000000"/>
          <w:szCs w:val="28"/>
          <w:lang w:val="ru-RU" w:eastAsia="ru-RU"/>
        </w:rPr>
        <w:drawing>
          <wp:inline distT="0" distB="0" distL="0" distR="0" wp14:anchorId="48E3EA44" wp14:editId="6A9F05B9">
            <wp:extent cx="6188147" cy="2948226"/>
            <wp:effectExtent l="0" t="0" r="3175" b="508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6231704" cy="2968978"/>
                    </a:xfrm>
                    <a:prstGeom prst="rect">
                      <a:avLst/>
                    </a:prstGeom>
                    <a:noFill/>
                  </pic:spPr>
                </pic:pic>
              </a:graphicData>
            </a:graphic>
          </wp:inline>
        </w:drawing>
      </w:r>
    </w:p>
    <w:p w:rsidR="00DE5E6F" w:rsidRDefault="00D96FD9" w:rsidP="00DE5E6F">
      <w:pPr>
        <w:widowControl w:val="0"/>
        <w:spacing w:after="120"/>
        <w:ind w:firstLine="709"/>
        <w:rPr>
          <w:szCs w:val="28"/>
        </w:rPr>
      </w:pPr>
      <w:r w:rsidRPr="00A05B8E">
        <w:rPr>
          <w:szCs w:val="28"/>
        </w:rPr>
        <w:t>Рис. 3.1</w:t>
      </w:r>
      <w:r w:rsidR="00E85F8E" w:rsidRPr="00A05B8E">
        <w:rPr>
          <w:szCs w:val="28"/>
        </w:rPr>
        <w:t>2</w:t>
      </w:r>
      <w:r w:rsidRPr="00A05B8E">
        <w:rPr>
          <w:szCs w:val="28"/>
        </w:rPr>
        <w:t xml:space="preserve">. </w:t>
      </w:r>
      <w:r w:rsidRPr="00006A39">
        <w:rPr>
          <w:color w:val="000000" w:themeColor="text1"/>
          <w:szCs w:val="28"/>
        </w:rPr>
        <w:t>Причинна</w:t>
      </w:r>
      <w:r w:rsidRPr="00006A39">
        <w:rPr>
          <w:color w:val="000000" w:themeColor="text1"/>
        </w:rPr>
        <w:t xml:space="preserve"> </w:t>
      </w:r>
      <w:r w:rsidRPr="00006A39">
        <w:rPr>
          <w:color w:val="000000" w:themeColor="text1"/>
          <w:szCs w:val="28"/>
        </w:rPr>
        <w:t xml:space="preserve">структура позалікарняної </w:t>
      </w:r>
      <w:r w:rsidRPr="00006A39">
        <w:rPr>
          <w:szCs w:val="28"/>
        </w:rPr>
        <w:t>смертності дітей у віці до 1 року</w:t>
      </w:r>
      <w:r w:rsidR="00DE5E6F">
        <w:rPr>
          <w:szCs w:val="28"/>
        </w:rPr>
        <w:t xml:space="preserve"> життя</w:t>
      </w:r>
      <w:r w:rsidR="0062450B">
        <w:rPr>
          <w:szCs w:val="28"/>
        </w:rPr>
        <w:t xml:space="preserve"> </w:t>
      </w:r>
      <w:r w:rsidR="00DE5E6F" w:rsidRPr="00DE5E6F">
        <w:rPr>
          <w:szCs w:val="28"/>
        </w:rPr>
        <w:t xml:space="preserve">за провідними причинами, що відбулась </w:t>
      </w:r>
      <w:r w:rsidR="00DE5E6F">
        <w:rPr>
          <w:szCs w:val="28"/>
        </w:rPr>
        <w:t>поза стаціонаром, (2018 рр., %)</w:t>
      </w:r>
    </w:p>
    <w:p w:rsidR="00D926C3" w:rsidRPr="00E46881" w:rsidRDefault="00C20B3D" w:rsidP="00C20B3D">
      <w:pPr>
        <w:widowControl w:val="0"/>
        <w:spacing w:after="120"/>
        <w:ind w:firstLine="709"/>
        <w:rPr>
          <w:szCs w:val="28"/>
        </w:rPr>
      </w:pPr>
      <w:r>
        <w:rPr>
          <w:rFonts w:eastAsia="Calibri"/>
          <w:szCs w:val="28"/>
        </w:rPr>
        <w:t>Слід зазначити, що п</w:t>
      </w:r>
      <w:r w:rsidR="0049620D" w:rsidRPr="0049620D">
        <w:rPr>
          <w:rFonts w:eastAsia="Calibri"/>
          <w:szCs w:val="28"/>
        </w:rPr>
        <w:t xml:space="preserve">ротягом 2014-2018 рр. зросла частка смертності поза стаціонаром дітей 1-го року життя </w:t>
      </w:r>
      <w:r w:rsidR="0049620D" w:rsidRPr="0049620D">
        <w:rPr>
          <w:rFonts w:eastAsia="Calibri"/>
          <w:color w:val="000000"/>
          <w:szCs w:val="28"/>
        </w:rPr>
        <w:t xml:space="preserve">внаслідок </w:t>
      </w:r>
      <w:r w:rsidR="0049620D" w:rsidRPr="0049620D">
        <w:rPr>
          <w:rFonts w:eastAsia="Calibri"/>
          <w:szCs w:val="28"/>
        </w:rPr>
        <w:t>хвороб крові і кровотворних органів  (D50-D89) у 17 разів (з 0,21% у 2014 р. до 3,62% у 2018 р.), від хвороб ендокринної системи, розладу харчування (Е00-Е90) у 47,8% (з 3,56% до 5,26% відповідно), від хвороб органів дихання (J00-J99) на 23,8% (з 13,80% до 18,10% відповідно), від хвороб органів травлення (K00-K93) на 57,0% (з 0,84% до 1,32% відповідно), від уроджених аномалій (Q00-Q99) на 14,6% (з 10,04% до 11,51% відповідно)</w:t>
      </w:r>
      <w:r w:rsidR="00D912C0">
        <w:rPr>
          <w:rFonts w:eastAsia="Calibri"/>
          <w:szCs w:val="28"/>
        </w:rPr>
        <w:t xml:space="preserve"> </w:t>
      </w:r>
      <w:r w:rsidR="00D912C0" w:rsidRPr="00E46881">
        <w:rPr>
          <w:rFonts w:eastAsia="Calibri"/>
          <w:szCs w:val="28"/>
        </w:rPr>
        <w:t>(табл.3.8)</w:t>
      </w:r>
      <w:r w:rsidR="0049620D" w:rsidRPr="00E46881">
        <w:rPr>
          <w:rFonts w:eastAsia="Calibri"/>
          <w:szCs w:val="28"/>
        </w:rPr>
        <w:t xml:space="preserve">. </w:t>
      </w:r>
    </w:p>
    <w:p w:rsidR="00D96FD9" w:rsidRPr="00E46881" w:rsidRDefault="00D96FD9" w:rsidP="00721203">
      <w:pPr>
        <w:widowControl w:val="0"/>
        <w:jc w:val="right"/>
        <w:rPr>
          <w:i/>
          <w:szCs w:val="28"/>
        </w:rPr>
      </w:pPr>
      <w:r w:rsidRPr="00E46881">
        <w:rPr>
          <w:i/>
          <w:szCs w:val="28"/>
        </w:rPr>
        <w:t>Таблиця 3.</w:t>
      </w:r>
      <w:r w:rsidR="00F24665" w:rsidRPr="00E46881">
        <w:rPr>
          <w:i/>
          <w:szCs w:val="28"/>
        </w:rPr>
        <w:t>8</w:t>
      </w:r>
      <w:r w:rsidRPr="00E46881">
        <w:rPr>
          <w:i/>
          <w:szCs w:val="28"/>
        </w:rPr>
        <w:t xml:space="preserve"> </w:t>
      </w:r>
    </w:p>
    <w:p w:rsidR="00D96FD9" w:rsidRPr="00006A39" w:rsidRDefault="00D96FD9" w:rsidP="00721203">
      <w:pPr>
        <w:widowControl w:val="0"/>
        <w:jc w:val="center"/>
        <w:rPr>
          <w:rFonts w:eastAsia="Times New Roman"/>
          <w:b/>
          <w:szCs w:val="28"/>
          <w:lang w:eastAsia="ru-RU"/>
        </w:rPr>
      </w:pPr>
      <w:r w:rsidRPr="00006A39">
        <w:rPr>
          <w:b/>
          <w:szCs w:val="28"/>
        </w:rPr>
        <w:t xml:space="preserve">Динаміка причинної структури позалікарняної смертності дітей до 1 року </w:t>
      </w:r>
      <w:r w:rsidRPr="00006A39">
        <w:rPr>
          <w:rFonts w:eastAsia="Times New Roman"/>
          <w:b/>
          <w:szCs w:val="28"/>
          <w:lang w:eastAsia="ru-RU"/>
        </w:rPr>
        <w:t>за 2014-2018 рр.</w:t>
      </w:r>
    </w:p>
    <w:tbl>
      <w:tblPr>
        <w:tblStyle w:val="a6"/>
        <w:tblW w:w="0" w:type="auto"/>
        <w:jc w:val="center"/>
        <w:tblInd w:w="-430" w:type="dxa"/>
        <w:tblLayout w:type="fixed"/>
        <w:tblLook w:val="04A0" w:firstRow="1" w:lastRow="0" w:firstColumn="1" w:lastColumn="0" w:noHBand="0" w:noVBand="1"/>
      </w:tblPr>
      <w:tblGrid>
        <w:gridCol w:w="4209"/>
        <w:gridCol w:w="678"/>
        <w:gridCol w:w="783"/>
        <w:gridCol w:w="709"/>
        <w:gridCol w:w="709"/>
        <w:gridCol w:w="1701"/>
        <w:gridCol w:w="986"/>
      </w:tblGrid>
      <w:tr w:rsidR="00D96FD9" w:rsidRPr="00482A7F" w:rsidTr="00AF3E0D">
        <w:trPr>
          <w:jc w:val="center"/>
        </w:trPr>
        <w:tc>
          <w:tcPr>
            <w:tcW w:w="4209" w:type="dxa"/>
          </w:tcPr>
          <w:p w:rsidR="00D96FD9" w:rsidRPr="00482A7F" w:rsidRDefault="00D96FD9" w:rsidP="00A43692">
            <w:pPr>
              <w:widowControl w:val="0"/>
              <w:spacing w:line="276" w:lineRule="auto"/>
              <w:jc w:val="center"/>
              <w:rPr>
                <w:rFonts w:ascii="Times New Roman" w:hAnsi="Times New Roman"/>
                <w:b/>
                <w:sz w:val="24"/>
                <w:szCs w:val="24"/>
                <w:lang w:val="uk-UA"/>
              </w:rPr>
            </w:pPr>
          </w:p>
        </w:tc>
        <w:tc>
          <w:tcPr>
            <w:tcW w:w="1461" w:type="dxa"/>
            <w:gridSpan w:val="2"/>
          </w:tcPr>
          <w:p w:rsidR="00D96FD9" w:rsidRPr="00482A7F" w:rsidRDefault="00D96FD9" w:rsidP="00A43692">
            <w:pPr>
              <w:widowControl w:val="0"/>
              <w:spacing w:line="276" w:lineRule="auto"/>
              <w:jc w:val="center"/>
              <w:rPr>
                <w:rFonts w:ascii="Times New Roman" w:hAnsi="Times New Roman"/>
                <w:sz w:val="24"/>
                <w:szCs w:val="24"/>
                <w:lang w:val="uk-UA"/>
              </w:rPr>
            </w:pPr>
            <w:r w:rsidRPr="00482A7F">
              <w:rPr>
                <w:rFonts w:ascii="Times New Roman" w:hAnsi="Times New Roman"/>
                <w:sz w:val="24"/>
                <w:szCs w:val="24"/>
                <w:lang w:val="uk-UA"/>
              </w:rPr>
              <w:t>2014</w:t>
            </w:r>
          </w:p>
        </w:tc>
        <w:tc>
          <w:tcPr>
            <w:tcW w:w="1418" w:type="dxa"/>
            <w:gridSpan w:val="2"/>
          </w:tcPr>
          <w:p w:rsidR="00D96FD9" w:rsidRPr="00482A7F" w:rsidRDefault="00D96FD9" w:rsidP="00A43692">
            <w:pPr>
              <w:widowControl w:val="0"/>
              <w:spacing w:line="276" w:lineRule="auto"/>
              <w:jc w:val="center"/>
              <w:rPr>
                <w:rFonts w:ascii="Times New Roman" w:hAnsi="Times New Roman"/>
                <w:sz w:val="24"/>
                <w:szCs w:val="24"/>
                <w:lang w:val="uk-UA"/>
              </w:rPr>
            </w:pPr>
            <w:r w:rsidRPr="00482A7F">
              <w:rPr>
                <w:rFonts w:ascii="Times New Roman" w:hAnsi="Times New Roman"/>
                <w:sz w:val="24"/>
                <w:szCs w:val="24"/>
                <w:lang w:val="uk-UA"/>
              </w:rPr>
              <w:t>2018</w:t>
            </w:r>
          </w:p>
        </w:tc>
        <w:tc>
          <w:tcPr>
            <w:tcW w:w="1701" w:type="dxa"/>
          </w:tcPr>
          <w:p w:rsidR="00D96FD9" w:rsidRPr="00482A7F" w:rsidRDefault="00D96FD9" w:rsidP="00A43692">
            <w:pPr>
              <w:widowControl w:val="0"/>
              <w:spacing w:line="276" w:lineRule="auto"/>
              <w:jc w:val="center"/>
              <w:rPr>
                <w:rFonts w:ascii="Times New Roman" w:hAnsi="Times New Roman"/>
                <w:sz w:val="24"/>
                <w:szCs w:val="24"/>
                <w:lang w:val="uk-UA"/>
              </w:rPr>
            </w:pPr>
            <w:r w:rsidRPr="00482A7F">
              <w:rPr>
                <w:rFonts w:ascii="Times New Roman" w:hAnsi="Times New Roman"/>
                <w:sz w:val="24"/>
                <w:szCs w:val="24"/>
                <w:lang w:val="uk-UA"/>
              </w:rPr>
              <w:t>ВШ 95% ДІ</w:t>
            </w:r>
          </w:p>
        </w:tc>
        <w:tc>
          <w:tcPr>
            <w:tcW w:w="986" w:type="dxa"/>
          </w:tcPr>
          <w:p w:rsidR="00D96FD9" w:rsidRPr="00482A7F" w:rsidRDefault="00D96FD9" w:rsidP="00A43692">
            <w:pPr>
              <w:widowControl w:val="0"/>
              <w:spacing w:line="276" w:lineRule="auto"/>
              <w:jc w:val="center"/>
              <w:rPr>
                <w:rFonts w:ascii="Times New Roman" w:hAnsi="Times New Roman"/>
                <w:sz w:val="24"/>
                <w:szCs w:val="24"/>
                <w:lang w:val="uk-UA"/>
              </w:rPr>
            </w:pPr>
            <w:r w:rsidRPr="00482A7F">
              <w:rPr>
                <w:rFonts w:ascii="Times New Roman" w:hAnsi="Times New Roman"/>
                <w:sz w:val="24"/>
                <w:szCs w:val="24"/>
                <w:lang w:val="uk-UA"/>
              </w:rPr>
              <w:t>р</w:t>
            </w:r>
          </w:p>
        </w:tc>
      </w:tr>
      <w:tr w:rsidR="00D96FD9" w:rsidRPr="00482A7F" w:rsidTr="00AF3E0D">
        <w:trPr>
          <w:jc w:val="center"/>
        </w:trPr>
        <w:tc>
          <w:tcPr>
            <w:tcW w:w="4209" w:type="dxa"/>
          </w:tcPr>
          <w:p w:rsidR="00D96FD9" w:rsidRPr="00482A7F" w:rsidRDefault="00D96FD9" w:rsidP="00A43692">
            <w:pPr>
              <w:widowControl w:val="0"/>
              <w:spacing w:line="276" w:lineRule="auto"/>
              <w:jc w:val="center"/>
              <w:rPr>
                <w:rFonts w:ascii="Times New Roman" w:hAnsi="Times New Roman"/>
                <w:b/>
                <w:sz w:val="24"/>
                <w:szCs w:val="24"/>
                <w:lang w:val="uk-UA"/>
              </w:rPr>
            </w:pPr>
          </w:p>
        </w:tc>
        <w:tc>
          <w:tcPr>
            <w:tcW w:w="678" w:type="dxa"/>
          </w:tcPr>
          <w:p w:rsidR="00D96FD9" w:rsidRPr="00482A7F" w:rsidRDefault="00D96FD9" w:rsidP="00A43692">
            <w:pPr>
              <w:widowControl w:val="0"/>
              <w:spacing w:line="276" w:lineRule="auto"/>
              <w:jc w:val="center"/>
              <w:rPr>
                <w:rFonts w:ascii="Times New Roman" w:hAnsi="Times New Roman"/>
                <w:sz w:val="24"/>
                <w:szCs w:val="24"/>
                <w:lang w:val="uk-UA"/>
              </w:rPr>
            </w:pPr>
            <w:r w:rsidRPr="00482A7F">
              <w:rPr>
                <w:rFonts w:ascii="Times New Roman" w:hAnsi="Times New Roman"/>
                <w:sz w:val="24"/>
                <w:szCs w:val="24"/>
                <w:lang w:val="uk-UA"/>
              </w:rPr>
              <w:t>абс.</w:t>
            </w:r>
          </w:p>
        </w:tc>
        <w:tc>
          <w:tcPr>
            <w:tcW w:w="783" w:type="dxa"/>
          </w:tcPr>
          <w:p w:rsidR="00D96FD9" w:rsidRPr="00482A7F" w:rsidRDefault="00D96FD9" w:rsidP="00A43692">
            <w:pPr>
              <w:widowControl w:val="0"/>
              <w:spacing w:line="276" w:lineRule="auto"/>
              <w:jc w:val="center"/>
              <w:rPr>
                <w:rFonts w:ascii="Times New Roman" w:hAnsi="Times New Roman"/>
                <w:sz w:val="24"/>
                <w:szCs w:val="24"/>
                <w:lang w:val="uk-UA"/>
              </w:rPr>
            </w:pPr>
            <w:r w:rsidRPr="00482A7F">
              <w:rPr>
                <w:rFonts w:ascii="Times New Roman" w:hAnsi="Times New Roman"/>
                <w:sz w:val="24"/>
                <w:szCs w:val="24"/>
                <w:lang w:val="uk-UA"/>
              </w:rPr>
              <w:t>%</w:t>
            </w:r>
          </w:p>
        </w:tc>
        <w:tc>
          <w:tcPr>
            <w:tcW w:w="709" w:type="dxa"/>
          </w:tcPr>
          <w:p w:rsidR="00D96FD9" w:rsidRPr="00482A7F" w:rsidRDefault="00D96FD9" w:rsidP="00A43692">
            <w:pPr>
              <w:widowControl w:val="0"/>
              <w:spacing w:line="276" w:lineRule="auto"/>
              <w:jc w:val="center"/>
              <w:rPr>
                <w:rFonts w:ascii="Times New Roman" w:hAnsi="Times New Roman"/>
                <w:sz w:val="24"/>
                <w:szCs w:val="24"/>
                <w:lang w:val="uk-UA"/>
              </w:rPr>
            </w:pPr>
            <w:r w:rsidRPr="00482A7F">
              <w:rPr>
                <w:rFonts w:ascii="Times New Roman" w:hAnsi="Times New Roman"/>
                <w:sz w:val="24"/>
                <w:szCs w:val="24"/>
                <w:lang w:val="uk-UA"/>
              </w:rPr>
              <w:t>абс.</w:t>
            </w:r>
          </w:p>
        </w:tc>
        <w:tc>
          <w:tcPr>
            <w:tcW w:w="709" w:type="dxa"/>
          </w:tcPr>
          <w:p w:rsidR="00D96FD9" w:rsidRPr="00482A7F" w:rsidRDefault="00D96FD9" w:rsidP="00A43692">
            <w:pPr>
              <w:widowControl w:val="0"/>
              <w:spacing w:line="276" w:lineRule="auto"/>
              <w:jc w:val="center"/>
              <w:rPr>
                <w:rFonts w:ascii="Times New Roman" w:hAnsi="Times New Roman"/>
                <w:sz w:val="24"/>
                <w:szCs w:val="24"/>
                <w:lang w:val="uk-UA"/>
              </w:rPr>
            </w:pPr>
            <w:r w:rsidRPr="00482A7F">
              <w:rPr>
                <w:rFonts w:ascii="Times New Roman" w:hAnsi="Times New Roman"/>
                <w:sz w:val="24"/>
                <w:szCs w:val="24"/>
                <w:lang w:val="uk-UA"/>
              </w:rPr>
              <w:t>%</w:t>
            </w:r>
          </w:p>
        </w:tc>
        <w:tc>
          <w:tcPr>
            <w:tcW w:w="1701" w:type="dxa"/>
          </w:tcPr>
          <w:p w:rsidR="00D96FD9" w:rsidRPr="00482A7F" w:rsidRDefault="00D96FD9" w:rsidP="00A43692">
            <w:pPr>
              <w:widowControl w:val="0"/>
              <w:spacing w:line="276" w:lineRule="auto"/>
              <w:jc w:val="center"/>
              <w:rPr>
                <w:rFonts w:ascii="Times New Roman" w:hAnsi="Times New Roman"/>
                <w:sz w:val="24"/>
                <w:szCs w:val="24"/>
                <w:lang w:val="uk-UA"/>
              </w:rPr>
            </w:pPr>
          </w:p>
        </w:tc>
        <w:tc>
          <w:tcPr>
            <w:tcW w:w="986" w:type="dxa"/>
          </w:tcPr>
          <w:p w:rsidR="00D96FD9" w:rsidRPr="00482A7F" w:rsidRDefault="00D96FD9" w:rsidP="00A43692">
            <w:pPr>
              <w:widowControl w:val="0"/>
              <w:spacing w:line="276" w:lineRule="auto"/>
              <w:jc w:val="center"/>
              <w:rPr>
                <w:rFonts w:ascii="Times New Roman" w:hAnsi="Times New Roman"/>
                <w:sz w:val="24"/>
                <w:szCs w:val="24"/>
                <w:lang w:val="uk-UA"/>
              </w:rPr>
            </w:pPr>
          </w:p>
        </w:tc>
      </w:tr>
      <w:tr w:rsidR="00D96FD9" w:rsidRPr="00482A7F" w:rsidTr="00AF3E0D">
        <w:trPr>
          <w:jc w:val="center"/>
        </w:trPr>
        <w:tc>
          <w:tcPr>
            <w:tcW w:w="4209" w:type="dxa"/>
          </w:tcPr>
          <w:p w:rsidR="00D96FD9" w:rsidRPr="00482A7F" w:rsidRDefault="00D96FD9" w:rsidP="00A43692">
            <w:pPr>
              <w:widowControl w:val="0"/>
              <w:spacing w:line="276" w:lineRule="auto"/>
              <w:ind w:left="9"/>
              <w:rPr>
                <w:rFonts w:ascii="Times New Roman" w:hAnsi="Times New Roman"/>
                <w:sz w:val="24"/>
                <w:szCs w:val="24"/>
                <w:lang w:val="uk-UA"/>
              </w:rPr>
            </w:pPr>
            <w:r w:rsidRPr="00482A7F">
              <w:rPr>
                <w:rFonts w:ascii="Times New Roman" w:hAnsi="Times New Roman"/>
                <w:sz w:val="24"/>
                <w:szCs w:val="24"/>
                <w:lang w:val="uk-UA"/>
              </w:rPr>
              <w:t>Деякі інфекційні та парази-тарні хвороби (А00-В99)</w:t>
            </w:r>
          </w:p>
        </w:tc>
        <w:tc>
          <w:tcPr>
            <w:tcW w:w="678" w:type="dxa"/>
          </w:tcPr>
          <w:p w:rsidR="00D96FD9" w:rsidRPr="00482A7F" w:rsidRDefault="00D96FD9" w:rsidP="00A43692">
            <w:pPr>
              <w:widowControl w:val="0"/>
              <w:spacing w:line="276" w:lineRule="auto"/>
              <w:ind w:left="9"/>
              <w:jc w:val="center"/>
              <w:rPr>
                <w:rFonts w:ascii="Times New Roman" w:hAnsi="Times New Roman"/>
                <w:sz w:val="24"/>
                <w:szCs w:val="24"/>
                <w:lang w:val="uk-UA"/>
              </w:rPr>
            </w:pPr>
            <w:r w:rsidRPr="00482A7F">
              <w:rPr>
                <w:rFonts w:ascii="Times New Roman" w:hAnsi="Times New Roman"/>
                <w:sz w:val="24"/>
                <w:szCs w:val="24"/>
                <w:lang w:val="uk-UA"/>
              </w:rPr>
              <w:t>12</w:t>
            </w:r>
          </w:p>
        </w:tc>
        <w:tc>
          <w:tcPr>
            <w:tcW w:w="783" w:type="dxa"/>
          </w:tcPr>
          <w:p w:rsidR="00D96FD9" w:rsidRPr="00482A7F" w:rsidRDefault="00D96FD9" w:rsidP="00A43692">
            <w:pPr>
              <w:widowControl w:val="0"/>
              <w:spacing w:line="276" w:lineRule="auto"/>
              <w:jc w:val="center"/>
              <w:rPr>
                <w:rFonts w:ascii="Times New Roman" w:hAnsi="Times New Roman"/>
                <w:sz w:val="24"/>
                <w:szCs w:val="24"/>
                <w:lang w:val="uk-UA"/>
              </w:rPr>
            </w:pPr>
            <w:r w:rsidRPr="00482A7F">
              <w:rPr>
                <w:rFonts w:ascii="Times New Roman" w:hAnsi="Times New Roman"/>
                <w:sz w:val="24"/>
                <w:szCs w:val="24"/>
                <w:lang w:val="uk-UA"/>
              </w:rPr>
              <w:t>2,51</w:t>
            </w:r>
          </w:p>
        </w:tc>
        <w:tc>
          <w:tcPr>
            <w:tcW w:w="709" w:type="dxa"/>
          </w:tcPr>
          <w:p w:rsidR="00D96FD9" w:rsidRPr="00482A7F" w:rsidRDefault="00D96FD9" w:rsidP="00A43692">
            <w:pPr>
              <w:widowControl w:val="0"/>
              <w:spacing w:line="276" w:lineRule="auto"/>
              <w:ind w:left="9"/>
              <w:jc w:val="center"/>
              <w:rPr>
                <w:rFonts w:ascii="Times New Roman" w:hAnsi="Times New Roman"/>
                <w:sz w:val="24"/>
                <w:szCs w:val="24"/>
                <w:lang w:val="uk-UA"/>
              </w:rPr>
            </w:pPr>
            <w:r w:rsidRPr="00482A7F">
              <w:rPr>
                <w:rFonts w:ascii="Times New Roman" w:hAnsi="Times New Roman"/>
                <w:sz w:val="24"/>
                <w:szCs w:val="24"/>
                <w:lang w:val="uk-UA"/>
              </w:rPr>
              <w:t>3</w:t>
            </w:r>
          </w:p>
        </w:tc>
        <w:tc>
          <w:tcPr>
            <w:tcW w:w="709" w:type="dxa"/>
          </w:tcPr>
          <w:p w:rsidR="00D96FD9" w:rsidRPr="00482A7F" w:rsidRDefault="00D96FD9" w:rsidP="00A43692">
            <w:pPr>
              <w:widowControl w:val="0"/>
              <w:spacing w:line="276" w:lineRule="auto"/>
              <w:jc w:val="center"/>
              <w:rPr>
                <w:rFonts w:ascii="Times New Roman" w:hAnsi="Times New Roman"/>
                <w:sz w:val="24"/>
                <w:szCs w:val="24"/>
                <w:lang w:val="uk-UA"/>
              </w:rPr>
            </w:pPr>
            <w:r w:rsidRPr="00482A7F">
              <w:rPr>
                <w:rFonts w:ascii="Times New Roman" w:hAnsi="Times New Roman"/>
                <w:sz w:val="24"/>
                <w:szCs w:val="24"/>
                <w:lang w:val="uk-UA"/>
              </w:rPr>
              <w:t>0,99</w:t>
            </w:r>
          </w:p>
        </w:tc>
        <w:tc>
          <w:tcPr>
            <w:tcW w:w="1701" w:type="dxa"/>
          </w:tcPr>
          <w:p w:rsidR="00D96FD9" w:rsidRPr="00482A7F" w:rsidRDefault="00D96FD9" w:rsidP="00A43692">
            <w:pPr>
              <w:widowControl w:val="0"/>
              <w:spacing w:line="276" w:lineRule="auto"/>
              <w:jc w:val="center"/>
              <w:rPr>
                <w:rFonts w:ascii="Times New Roman" w:hAnsi="Times New Roman"/>
                <w:sz w:val="24"/>
                <w:szCs w:val="24"/>
                <w:lang w:val="uk-UA"/>
              </w:rPr>
            </w:pPr>
            <w:r w:rsidRPr="00482A7F">
              <w:rPr>
                <w:rFonts w:ascii="Times New Roman" w:hAnsi="Times New Roman"/>
                <w:sz w:val="24"/>
                <w:szCs w:val="24"/>
                <w:lang w:val="uk-UA"/>
              </w:rPr>
              <w:t xml:space="preserve">0,38 </w:t>
            </w:r>
          </w:p>
          <w:p w:rsidR="00D96FD9" w:rsidRPr="00482A7F" w:rsidRDefault="00D96FD9" w:rsidP="00A43692">
            <w:pPr>
              <w:widowControl w:val="0"/>
              <w:spacing w:line="276" w:lineRule="auto"/>
              <w:jc w:val="center"/>
              <w:rPr>
                <w:rFonts w:ascii="Times New Roman" w:hAnsi="Times New Roman"/>
                <w:sz w:val="24"/>
                <w:szCs w:val="24"/>
                <w:lang w:val="uk-UA"/>
              </w:rPr>
            </w:pPr>
            <w:r w:rsidRPr="00482A7F">
              <w:rPr>
                <w:rFonts w:ascii="Times New Roman" w:hAnsi="Times New Roman"/>
                <w:sz w:val="24"/>
                <w:szCs w:val="24"/>
                <w:lang w:val="uk-UA"/>
              </w:rPr>
              <w:t>(0,69-1,45)</w:t>
            </w:r>
          </w:p>
        </w:tc>
        <w:tc>
          <w:tcPr>
            <w:tcW w:w="986" w:type="dxa"/>
          </w:tcPr>
          <w:p w:rsidR="00D96FD9" w:rsidRPr="00482A7F" w:rsidRDefault="00D96FD9" w:rsidP="00A43692">
            <w:pPr>
              <w:widowControl w:val="0"/>
              <w:spacing w:line="276" w:lineRule="auto"/>
              <w:jc w:val="center"/>
              <w:rPr>
                <w:rFonts w:ascii="Times New Roman" w:hAnsi="Times New Roman"/>
                <w:sz w:val="24"/>
                <w:szCs w:val="24"/>
                <w:lang w:val="uk-UA"/>
              </w:rPr>
            </w:pPr>
            <w:r w:rsidRPr="00482A7F">
              <w:rPr>
                <w:rFonts w:ascii="Times New Roman" w:hAnsi="Times New Roman"/>
                <w:sz w:val="24"/>
                <w:szCs w:val="24"/>
                <w:lang w:val="uk-UA"/>
              </w:rPr>
              <w:t>0,1818</w:t>
            </w:r>
          </w:p>
        </w:tc>
      </w:tr>
      <w:tr w:rsidR="00D96FD9" w:rsidRPr="00482A7F" w:rsidTr="00AF3E0D">
        <w:trPr>
          <w:jc w:val="center"/>
        </w:trPr>
        <w:tc>
          <w:tcPr>
            <w:tcW w:w="4209" w:type="dxa"/>
          </w:tcPr>
          <w:p w:rsidR="00D96FD9" w:rsidRPr="00482A7F" w:rsidRDefault="00D96FD9" w:rsidP="00A43692">
            <w:pPr>
              <w:widowControl w:val="0"/>
              <w:spacing w:line="276" w:lineRule="auto"/>
              <w:ind w:left="9"/>
              <w:rPr>
                <w:rFonts w:ascii="Times New Roman" w:hAnsi="Times New Roman"/>
                <w:sz w:val="24"/>
                <w:szCs w:val="24"/>
                <w:lang w:val="uk-UA"/>
              </w:rPr>
            </w:pPr>
            <w:r w:rsidRPr="00482A7F">
              <w:rPr>
                <w:rFonts w:ascii="Times New Roman" w:hAnsi="Times New Roman"/>
                <w:sz w:val="24"/>
                <w:szCs w:val="24"/>
                <w:lang w:val="uk-UA"/>
              </w:rPr>
              <w:t xml:space="preserve">Новоутворення  </w:t>
            </w:r>
          </w:p>
          <w:p w:rsidR="00D96FD9" w:rsidRPr="00482A7F" w:rsidRDefault="00D96FD9" w:rsidP="00A43692">
            <w:pPr>
              <w:widowControl w:val="0"/>
              <w:spacing w:line="276" w:lineRule="auto"/>
              <w:ind w:left="9"/>
              <w:rPr>
                <w:rFonts w:ascii="Times New Roman" w:hAnsi="Times New Roman"/>
                <w:sz w:val="24"/>
                <w:szCs w:val="24"/>
                <w:lang w:val="uk-UA"/>
              </w:rPr>
            </w:pPr>
            <w:r w:rsidRPr="00482A7F">
              <w:rPr>
                <w:rFonts w:ascii="Times New Roman" w:hAnsi="Times New Roman"/>
                <w:sz w:val="24"/>
                <w:szCs w:val="24"/>
                <w:lang w:val="uk-UA"/>
              </w:rPr>
              <w:t>С00-D48</w:t>
            </w:r>
          </w:p>
        </w:tc>
        <w:tc>
          <w:tcPr>
            <w:tcW w:w="678" w:type="dxa"/>
          </w:tcPr>
          <w:p w:rsidR="00D96FD9" w:rsidRPr="00482A7F" w:rsidRDefault="00D96FD9" w:rsidP="00A43692">
            <w:pPr>
              <w:widowControl w:val="0"/>
              <w:spacing w:line="276" w:lineRule="auto"/>
              <w:ind w:left="9"/>
              <w:jc w:val="center"/>
              <w:rPr>
                <w:rFonts w:ascii="Times New Roman" w:hAnsi="Times New Roman"/>
                <w:sz w:val="24"/>
                <w:szCs w:val="24"/>
                <w:lang w:val="uk-UA"/>
              </w:rPr>
            </w:pPr>
            <w:r w:rsidRPr="00482A7F">
              <w:rPr>
                <w:rFonts w:ascii="Times New Roman" w:hAnsi="Times New Roman"/>
                <w:sz w:val="24"/>
                <w:szCs w:val="24"/>
                <w:lang w:val="uk-UA"/>
              </w:rPr>
              <w:t>4</w:t>
            </w:r>
          </w:p>
        </w:tc>
        <w:tc>
          <w:tcPr>
            <w:tcW w:w="783" w:type="dxa"/>
          </w:tcPr>
          <w:p w:rsidR="00D96FD9" w:rsidRPr="00482A7F" w:rsidRDefault="00D96FD9" w:rsidP="00A43692">
            <w:pPr>
              <w:widowControl w:val="0"/>
              <w:spacing w:line="276" w:lineRule="auto"/>
              <w:jc w:val="center"/>
              <w:rPr>
                <w:rFonts w:ascii="Times New Roman" w:hAnsi="Times New Roman"/>
                <w:sz w:val="24"/>
                <w:szCs w:val="24"/>
                <w:lang w:val="uk-UA"/>
              </w:rPr>
            </w:pPr>
            <w:r w:rsidRPr="00482A7F">
              <w:rPr>
                <w:rFonts w:ascii="Times New Roman" w:hAnsi="Times New Roman"/>
                <w:sz w:val="24"/>
                <w:szCs w:val="24"/>
                <w:lang w:val="uk-UA"/>
              </w:rPr>
              <w:t>0,84</w:t>
            </w:r>
          </w:p>
        </w:tc>
        <w:tc>
          <w:tcPr>
            <w:tcW w:w="709" w:type="dxa"/>
          </w:tcPr>
          <w:p w:rsidR="00D96FD9" w:rsidRPr="00482A7F" w:rsidRDefault="00D96FD9" w:rsidP="00A43692">
            <w:pPr>
              <w:widowControl w:val="0"/>
              <w:spacing w:line="276" w:lineRule="auto"/>
              <w:ind w:left="9"/>
              <w:jc w:val="center"/>
              <w:rPr>
                <w:rFonts w:ascii="Times New Roman" w:hAnsi="Times New Roman"/>
                <w:sz w:val="24"/>
                <w:szCs w:val="24"/>
                <w:lang w:val="uk-UA"/>
              </w:rPr>
            </w:pPr>
            <w:r w:rsidRPr="00482A7F">
              <w:rPr>
                <w:rFonts w:ascii="Times New Roman" w:hAnsi="Times New Roman"/>
                <w:sz w:val="24"/>
                <w:szCs w:val="24"/>
                <w:lang w:val="uk-UA"/>
              </w:rPr>
              <w:t>1</w:t>
            </w:r>
          </w:p>
        </w:tc>
        <w:tc>
          <w:tcPr>
            <w:tcW w:w="709" w:type="dxa"/>
          </w:tcPr>
          <w:p w:rsidR="00D96FD9" w:rsidRPr="00482A7F" w:rsidRDefault="00D96FD9" w:rsidP="00A43692">
            <w:pPr>
              <w:widowControl w:val="0"/>
              <w:spacing w:line="276" w:lineRule="auto"/>
              <w:jc w:val="center"/>
              <w:rPr>
                <w:rFonts w:ascii="Times New Roman" w:hAnsi="Times New Roman"/>
                <w:sz w:val="24"/>
                <w:szCs w:val="24"/>
                <w:lang w:val="uk-UA"/>
              </w:rPr>
            </w:pPr>
            <w:r w:rsidRPr="00482A7F">
              <w:rPr>
                <w:rFonts w:ascii="Times New Roman" w:hAnsi="Times New Roman"/>
                <w:sz w:val="24"/>
                <w:szCs w:val="24"/>
                <w:lang w:val="uk-UA"/>
              </w:rPr>
              <w:t>0,33</w:t>
            </w:r>
          </w:p>
        </w:tc>
        <w:tc>
          <w:tcPr>
            <w:tcW w:w="1701" w:type="dxa"/>
          </w:tcPr>
          <w:p w:rsidR="00D96FD9" w:rsidRPr="00482A7F" w:rsidRDefault="00D96FD9" w:rsidP="00A43692">
            <w:pPr>
              <w:widowControl w:val="0"/>
              <w:spacing w:line="276" w:lineRule="auto"/>
              <w:jc w:val="center"/>
              <w:rPr>
                <w:rFonts w:ascii="Times New Roman" w:hAnsi="Times New Roman"/>
                <w:sz w:val="24"/>
                <w:szCs w:val="24"/>
                <w:lang w:val="uk-UA"/>
              </w:rPr>
            </w:pPr>
            <w:r w:rsidRPr="00482A7F">
              <w:rPr>
                <w:rFonts w:ascii="Times New Roman" w:hAnsi="Times New Roman"/>
                <w:sz w:val="24"/>
                <w:szCs w:val="24"/>
                <w:lang w:val="uk-UA"/>
              </w:rPr>
              <w:t>0,39</w:t>
            </w:r>
          </w:p>
          <w:p w:rsidR="00D96FD9" w:rsidRPr="00482A7F" w:rsidRDefault="00D96FD9" w:rsidP="00A43692">
            <w:pPr>
              <w:widowControl w:val="0"/>
              <w:spacing w:line="276" w:lineRule="auto"/>
              <w:ind w:right="-109"/>
              <w:jc w:val="center"/>
              <w:rPr>
                <w:rFonts w:ascii="Times New Roman" w:hAnsi="Times New Roman"/>
                <w:sz w:val="24"/>
                <w:szCs w:val="24"/>
                <w:lang w:val="uk-UA"/>
              </w:rPr>
            </w:pPr>
            <w:r w:rsidRPr="00482A7F">
              <w:rPr>
                <w:rFonts w:ascii="Times New Roman" w:hAnsi="Times New Roman"/>
                <w:sz w:val="24"/>
                <w:szCs w:val="24"/>
                <w:lang w:val="uk-UA"/>
              </w:rPr>
              <w:t>(0,008-3,97)</w:t>
            </w:r>
          </w:p>
        </w:tc>
        <w:tc>
          <w:tcPr>
            <w:tcW w:w="986" w:type="dxa"/>
          </w:tcPr>
          <w:p w:rsidR="00D96FD9" w:rsidRPr="00482A7F" w:rsidRDefault="00D96FD9" w:rsidP="00A43692">
            <w:pPr>
              <w:widowControl w:val="0"/>
              <w:spacing w:line="276" w:lineRule="auto"/>
              <w:jc w:val="center"/>
              <w:rPr>
                <w:rFonts w:ascii="Times New Roman" w:hAnsi="Times New Roman"/>
                <w:sz w:val="24"/>
                <w:szCs w:val="24"/>
                <w:lang w:val="uk-UA"/>
              </w:rPr>
            </w:pPr>
            <w:r w:rsidRPr="00482A7F">
              <w:rPr>
                <w:rFonts w:ascii="Times New Roman" w:hAnsi="Times New Roman"/>
                <w:sz w:val="24"/>
                <w:szCs w:val="24"/>
                <w:lang w:val="uk-UA"/>
              </w:rPr>
              <w:t>0,653</w:t>
            </w:r>
          </w:p>
        </w:tc>
      </w:tr>
    </w:tbl>
    <w:p w:rsidR="00A47A4A" w:rsidRDefault="00A47A4A" w:rsidP="00A43692">
      <w:pPr>
        <w:jc w:val="right"/>
        <w:rPr>
          <w:i/>
          <w:lang w:val="ru-RU"/>
        </w:rPr>
      </w:pPr>
    </w:p>
    <w:p w:rsidR="00A43692" w:rsidRPr="00A43692" w:rsidRDefault="00A43692" w:rsidP="00A43692">
      <w:pPr>
        <w:jc w:val="right"/>
        <w:rPr>
          <w:i/>
          <w:lang w:val="ru-RU"/>
        </w:rPr>
      </w:pPr>
      <w:r w:rsidRPr="00A43692">
        <w:rPr>
          <w:i/>
          <w:lang w:val="ru-RU"/>
        </w:rPr>
        <w:lastRenderedPageBreak/>
        <w:t>Продовження табл. 3.8</w:t>
      </w:r>
    </w:p>
    <w:tbl>
      <w:tblPr>
        <w:tblStyle w:val="a6"/>
        <w:tblW w:w="0" w:type="auto"/>
        <w:jc w:val="center"/>
        <w:tblInd w:w="-430" w:type="dxa"/>
        <w:tblLayout w:type="fixed"/>
        <w:tblLook w:val="04A0" w:firstRow="1" w:lastRow="0" w:firstColumn="1" w:lastColumn="0" w:noHBand="0" w:noVBand="1"/>
      </w:tblPr>
      <w:tblGrid>
        <w:gridCol w:w="4209"/>
        <w:gridCol w:w="678"/>
        <w:gridCol w:w="783"/>
        <w:gridCol w:w="709"/>
        <w:gridCol w:w="777"/>
        <w:gridCol w:w="1633"/>
        <w:gridCol w:w="986"/>
      </w:tblGrid>
      <w:tr w:rsidR="00D96FD9" w:rsidRPr="00482A7F" w:rsidTr="00891A82">
        <w:trPr>
          <w:jc w:val="center"/>
        </w:trPr>
        <w:tc>
          <w:tcPr>
            <w:tcW w:w="4209" w:type="dxa"/>
          </w:tcPr>
          <w:p w:rsidR="00D96FD9" w:rsidRPr="00482A7F" w:rsidRDefault="00D96FD9" w:rsidP="00A43692">
            <w:pPr>
              <w:widowControl w:val="0"/>
              <w:spacing w:line="276" w:lineRule="auto"/>
              <w:ind w:left="9"/>
              <w:rPr>
                <w:rFonts w:ascii="Times New Roman" w:hAnsi="Times New Roman"/>
                <w:sz w:val="24"/>
                <w:szCs w:val="24"/>
                <w:lang w:val="uk-UA"/>
              </w:rPr>
            </w:pPr>
            <w:r w:rsidRPr="00482A7F">
              <w:rPr>
                <w:rFonts w:ascii="Times New Roman" w:hAnsi="Times New Roman"/>
                <w:sz w:val="24"/>
                <w:szCs w:val="24"/>
                <w:lang w:val="uk-UA"/>
              </w:rPr>
              <w:t xml:space="preserve">у т.ч. злоякісні  </w:t>
            </w:r>
          </w:p>
          <w:p w:rsidR="00D96FD9" w:rsidRPr="00482A7F" w:rsidRDefault="00D96FD9" w:rsidP="00A43692">
            <w:pPr>
              <w:widowControl w:val="0"/>
              <w:spacing w:line="276" w:lineRule="auto"/>
              <w:ind w:left="9"/>
              <w:rPr>
                <w:rFonts w:ascii="Times New Roman" w:hAnsi="Times New Roman"/>
                <w:sz w:val="24"/>
                <w:szCs w:val="24"/>
                <w:lang w:val="uk-UA"/>
              </w:rPr>
            </w:pPr>
            <w:r w:rsidRPr="00482A7F">
              <w:rPr>
                <w:rFonts w:ascii="Times New Roman" w:hAnsi="Times New Roman"/>
                <w:sz w:val="24"/>
                <w:szCs w:val="24"/>
                <w:lang w:val="uk-UA"/>
              </w:rPr>
              <w:t>С00-С97</w:t>
            </w:r>
          </w:p>
        </w:tc>
        <w:tc>
          <w:tcPr>
            <w:tcW w:w="678" w:type="dxa"/>
          </w:tcPr>
          <w:p w:rsidR="00D96FD9" w:rsidRPr="00482A7F" w:rsidRDefault="00D96FD9" w:rsidP="00A43692">
            <w:pPr>
              <w:widowControl w:val="0"/>
              <w:spacing w:line="276" w:lineRule="auto"/>
              <w:ind w:left="9"/>
              <w:jc w:val="center"/>
              <w:rPr>
                <w:rFonts w:ascii="Times New Roman" w:hAnsi="Times New Roman"/>
                <w:sz w:val="24"/>
                <w:szCs w:val="24"/>
                <w:lang w:val="uk-UA"/>
              </w:rPr>
            </w:pPr>
            <w:r w:rsidRPr="00482A7F">
              <w:rPr>
                <w:rFonts w:ascii="Times New Roman" w:hAnsi="Times New Roman"/>
                <w:sz w:val="24"/>
                <w:szCs w:val="24"/>
                <w:lang w:val="uk-UA"/>
              </w:rPr>
              <w:t>4</w:t>
            </w:r>
          </w:p>
        </w:tc>
        <w:tc>
          <w:tcPr>
            <w:tcW w:w="783" w:type="dxa"/>
          </w:tcPr>
          <w:p w:rsidR="00D96FD9" w:rsidRPr="00482A7F" w:rsidRDefault="00D96FD9" w:rsidP="00A43692">
            <w:pPr>
              <w:widowControl w:val="0"/>
              <w:spacing w:line="276" w:lineRule="auto"/>
              <w:jc w:val="center"/>
              <w:rPr>
                <w:rFonts w:ascii="Times New Roman" w:hAnsi="Times New Roman"/>
                <w:sz w:val="24"/>
                <w:szCs w:val="24"/>
                <w:lang w:val="uk-UA"/>
              </w:rPr>
            </w:pPr>
            <w:r w:rsidRPr="00482A7F">
              <w:rPr>
                <w:rFonts w:ascii="Times New Roman" w:hAnsi="Times New Roman"/>
                <w:sz w:val="24"/>
                <w:szCs w:val="24"/>
                <w:lang w:val="uk-UA"/>
              </w:rPr>
              <w:t>-</w:t>
            </w:r>
          </w:p>
        </w:tc>
        <w:tc>
          <w:tcPr>
            <w:tcW w:w="709" w:type="dxa"/>
          </w:tcPr>
          <w:p w:rsidR="00D96FD9" w:rsidRPr="00482A7F" w:rsidRDefault="00D96FD9" w:rsidP="00A43692">
            <w:pPr>
              <w:widowControl w:val="0"/>
              <w:spacing w:line="276" w:lineRule="auto"/>
              <w:ind w:left="9"/>
              <w:jc w:val="center"/>
              <w:rPr>
                <w:rFonts w:ascii="Times New Roman" w:hAnsi="Times New Roman"/>
                <w:sz w:val="24"/>
                <w:szCs w:val="24"/>
                <w:lang w:val="uk-UA"/>
              </w:rPr>
            </w:pPr>
            <w:r w:rsidRPr="00482A7F">
              <w:rPr>
                <w:rFonts w:ascii="Times New Roman" w:hAnsi="Times New Roman"/>
                <w:sz w:val="24"/>
                <w:szCs w:val="24"/>
                <w:lang w:val="uk-UA"/>
              </w:rPr>
              <w:t>1</w:t>
            </w:r>
          </w:p>
        </w:tc>
        <w:tc>
          <w:tcPr>
            <w:tcW w:w="777" w:type="dxa"/>
          </w:tcPr>
          <w:p w:rsidR="00D96FD9" w:rsidRPr="00482A7F" w:rsidRDefault="00D96FD9" w:rsidP="00A43692">
            <w:pPr>
              <w:widowControl w:val="0"/>
              <w:spacing w:line="276" w:lineRule="auto"/>
              <w:jc w:val="center"/>
              <w:rPr>
                <w:rFonts w:ascii="Times New Roman" w:hAnsi="Times New Roman"/>
                <w:sz w:val="24"/>
                <w:szCs w:val="24"/>
                <w:lang w:val="uk-UA"/>
              </w:rPr>
            </w:pPr>
            <w:r w:rsidRPr="00482A7F">
              <w:rPr>
                <w:rFonts w:ascii="Times New Roman" w:hAnsi="Times New Roman"/>
                <w:sz w:val="24"/>
                <w:szCs w:val="24"/>
                <w:lang w:val="uk-UA"/>
              </w:rPr>
              <w:t>-</w:t>
            </w:r>
          </w:p>
        </w:tc>
        <w:tc>
          <w:tcPr>
            <w:tcW w:w="1633" w:type="dxa"/>
          </w:tcPr>
          <w:p w:rsidR="00D96FD9" w:rsidRPr="00482A7F" w:rsidRDefault="00D96FD9" w:rsidP="00A43692">
            <w:pPr>
              <w:widowControl w:val="0"/>
              <w:spacing w:line="276" w:lineRule="auto"/>
              <w:jc w:val="center"/>
              <w:rPr>
                <w:rFonts w:ascii="Times New Roman" w:hAnsi="Times New Roman"/>
                <w:sz w:val="24"/>
                <w:szCs w:val="24"/>
                <w:lang w:val="uk-UA"/>
              </w:rPr>
            </w:pPr>
            <w:r w:rsidRPr="00482A7F">
              <w:rPr>
                <w:rFonts w:ascii="Times New Roman" w:hAnsi="Times New Roman"/>
                <w:sz w:val="24"/>
                <w:szCs w:val="24"/>
                <w:lang w:val="uk-UA"/>
              </w:rPr>
              <w:t>0,39</w:t>
            </w:r>
          </w:p>
          <w:p w:rsidR="00D96FD9" w:rsidRPr="00482A7F" w:rsidRDefault="00D96FD9" w:rsidP="00A43692">
            <w:pPr>
              <w:widowControl w:val="0"/>
              <w:spacing w:line="276" w:lineRule="auto"/>
              <w:ind w:right="-109"/>
              <w:jc w:val="center"/>
              <w:rPr>
                <w:rFonts w:ascii="Times New Roman" w:hAnsi="Times New Roman"/>
                <w:sz w:val="24"/>
                <w:szCs w:val="24"/>
                <w:lang w:val="uk-UA"/>
              </w:rPr>
            </w:pPr>
            <w:r w:rsidRPr="00482A7F">
              <w:rPr>
                <w:rFonts w:ascii="Times New Roman" w:hAnsi="Times New Roman"/>
                <w:sz w:val="24"/>
                <w:szCs w:val="24"/>
                <w:lang w:val="uk-UA"/>
              </w:rPr>
              <w:t>(0,008-3,97)</w:t>
            </w:r>
          </w:p>
        </w:tc>
        <w:tc>
          <w:tcPr>
            <w:tcW w:w="986" w:type="dxa"/>
          </w:tcPr>
          <w:p w:rsidR="00D96FD9" w:rsidRPr="00482A7F" w:rsidRDefault="00D96FD9" w:rsidP="00A43692">
            <w:pPr>
              <w:widowControl w:val="0"/>
              <w:spacing w:line="276" w:lineRule="auto"/>
              <w:jc w:val="center"/>
              <w:rPr>
                <w:rFonts w:ascii="Times New Roman" w:hAnsi="Times New Roman"/>
                <w:sz w:val="24"/>
                <w:szCs w:val="24"/>
                <w:lang w:val="uk-UA"/>
              </w:rPr>
            </w:pPr>
            <w:r w:rsidRPr="00482A7F">
              <w:rPr>
                <w:rFonts w:ascii="Times New Roman" w:hAnsi="Times New Roman"/>
                <w:sz w:val="24"/>
                <w:szCs w:val="24"/>
                <w:lang w:val="uk-UA"/>
              </w:rPr>
              <w:t>0,653</w:t>
            </w:r>
          </w:p>
        </w:tc>
      </w:tr>
      <w:tr w:rsidR="00D96FD9" w:rsidRPr="00482A7F" w:rsidTr="00891A82">
        <w:trPr>
          <w:jc w:val="center"/>
        </w:trPr>
        <w:tc>
          <w:tcPr>
            <w:tcW w:w="4209" w:type="dxa"/>
          </w:tcPr>
          <w:p w:rsidR="00D96FD9" w:rsidRPr="00482A7F" w:rsidRDefault="007507B1" w:rsidP="00A43692">
            <w:pPr>
              <w:widowControl w:val="0"/>
              <w:spacing w:line="276" w:lineRule="auto"/>
              <w:ind w:left="9"/>
              <w:rPr>
                <w:rFonts w:ascii="Times New Roman" w:hAnsi="Times New Roman"/>
                <w:sz w:val="24"/>
                <w:szCs w:val="24"/>
                <w:lang w:val="uk-UA"/>
              </w:rPr>
            </w:pPr>
            <w:r>
              <w:rPr>
                <w:rFonts w:ascii="Times New Roman" w:hAnsi="Times New Roman"/>
                <w:sz w:val="24"/>
                <w:szCs w:val="24"/>
                <w:lang w:val="uk-UA"/>
              </w:rPr>
              <w:t>Хвороби крові і крово</w:t>
            </w:r>
            <w:r w:rsidR="00D96FD9" w:rsidRPr="00482A7F">
              <w:rPr>
                <w:rFonts w:ascii="Times New Roman" w:hAnsi="Times New Roman"/>
                <w:sz w:val="24"/>
                <w:szCs w:val="24"/>
                <w:lang w:val="uk-UA"/>
              </w:rPr>
              <w:t>творних органів    D50-D89</w:t>
            </w:r>
          </w:p>
        </w:tc>
        <w:tc>
          <w:tcPr>
            <w:tcW w:w="678" w:type="dxa"/>
          </w:tcPr>
          <w:p w:rsidR="00D96FD9" w:rsidRPr="00482A7F" w:rsidRDefault="00D96FD9" w:rsidP="00A43692">
            <w:pPr>
              <w:widowControl w:val="0"/>
              <w:spacing w:line="276" w:lineRule="auto"/>
              <w:ind w:left="9"/>
              <w:jc w:val="center"/>
              <w:rPr>
                <w:rFonts w:ascii="Times New Roman" w:hAnsi="Times New Roman"/>
                <w:sz w:val="24"/>
                <w:szCs w:val="24"/>
                <w:lang w:val="uk-UA"/>
              </w:rPr>
            </w:pPr>
            <w:r w:rsidRPr="00482A7F">
              <w:rPr>
                <w:rFonts w:ascii="Times New Roman" w:hAnsi="Times New Roman"/>
                <w:sz w:val="24"/>
                <w:szCs w:val="24"/>
                <w:lang w:val="uk-UA"/>
              </w:rPr>
              <w:t>1</w:t>
            </w:r>
          </w:p>
        </w:tc>
        <w:tc>
          <w:tcPr>
            <w:tcW w:w="783" w:type="dxa"/>
          </w:tcPr>
          <w:p w:rsidR="00D96FD9" w:rsidRPr="00482A7F" w:rsidRDefault="00D96FD9" w:rsidP="00A43692">
            <w:pPr>
              <w:widowControl w:val="0"/>
              <w:spacing w:line="276" w:lineRule="auto"/>
              <w:jc w:val="center"/>
              <w:rPr>
                <w:rFonts w:ascii="Times New Roman" w:hAnsi="Times New Roman"/>
                <w:sz w:val="24"/>
                <w:szCs w:val="24"/>
                <w:lang w:val="uk-UA"/>
              </w:rPr>
            </w:pPr>
            <w:r w:rsidRPr="00482A7F">
              <w:rPr>
                <w:rFonts w:ascii="Times New Roman" w:hAnsi="Times New Roman"/>
                <w:sz w:val="24"/>
                <w:szCs w:val="24"/>
                <w:lang w:val="uk-UA"/>
              </w:rPr>
              <w:t>0,21</w:t>
            </w:r>
          </w:p>
        </w:tc>
        <w:tc>
          <w:tcPr>
            <w:tcW w:w="709" w:type="dxa"/>
          </w:tcPr>
          <w:p w:rsidR="00D96FD9" w:rsidRPr="00482A7F" w:rsidRDefault="00D96FD9" w:rsidP="00A43692">
            <w:pPr>
              <w:widowControl w:val="0"/>
              <w:spacing w:line="276" w:lineRule="auto"/>
              <w:ind w:left="9"/>
              <w:jc w:val="center"/>
              <w:rPr>
                <w:rFonts w:ascii="Times New Roman" w:hAnsi="Times New Roman"/>
                <w:sz w:val="24"/>
                <w:szCs w:val="24"/>
                <w:lang w:val="uk-UA"/>
              </w:rPr>
            </w:pPr>
            <w:r w:rsidRPr="00482A7F">
              <w:rPr>
                <w:rFonts w:ascii="Times New Roman" w:hAnsi="Times New Roman"/>
                <w:sz w:val="24"/>
                <w:szCs w:val="24"/>
                <w:lang w:val="uk-UA"/>
              </w:rPr>
              <w:t>11</w:t>
            </w:r>
          </w:p>
        </w:tc>
        <w:tc>
          <w:tcPr>
            <w:tcW w:w="777" w:type="dxa"/>
          </w:tcPr>
          <w:p w:rsidR="00D96FD9" w:rsidRPr="00482A7F" w:rsidRDefault="00D96FD9" w:rsidP="00A43692">
            <w:pPr>
              <w:widowControl w:val="0"/>
              <w:spacing w:line="276" w:lineRule="auto"/>
              <w:jc w:val="center"/>
              <w:rPr>
                <w:rFonts w:ascii="Times New Roman" w:hAnsi="Times New Roman"/>
                <w:sz w:val="24"/>
                <w:szCs w:val="24"/>
                <w:lang w:val="uk-UA"/>
              </w:rPr>
            </w:pPr>
            <w:r w:rsidRPr="00482A7F">
              <w:rPr>
                <w:rFonts w:ascii="Times New Roman" w:hAnsi="Times New Roman"/>
                <w:sz w:val="24"/>
                <w:szCs w:val="24"/>
                <w:lang w:val="uk-UA"/>
              </w:rPr>
              <w:t>3,62</w:t>
            </w:r>
          </w:p>
        </w:tc>
        <w:tc>
          <w:tcPr>
            <w:tcW w:w="1633" w:type="dxa"/>
          </w:tcPr>
          <w:p w:rsidR="00115416" w:rsidRDefault="00115416" w:rsidP="00A43692">
            <w:pPr>
              <w:widowControl w:val="0"/>
              <w:spacing w:line="276" w:lineRule="auto"/>
              <w:rPr>
                <w:rFonts w:ascii="Times New Roman" w:hAnsi="Times New Roman"/>
                <w:sz w:val="24"/>
                <w:szCs w:val="24"/>
              </w:rPr>
            </w:pPr>
            <w:r>
              <w:rPr>
                <w:rFonts w:ascii="Times New Roman" w:hAnsi="Times New Roman"/>
                <w:color w:val="FF0000"/>
                <w:sz w:val="24"/>
                <w:szCs w:val="24"/>
              </w:rPr>
              <w:t xml:space="preserve">       </w:t>
            </w:r>
            <w:r>
              <w:rPr>
                <w:rFonts w:ascii="Times New Roman" w:hAnsi="Times New Roman"/>
                <w:sz w:val="24"/>
                <w:szCs w:val="24"/>
              </w:rPr>
              <w:t>17,91</w:t>
            </w:r>
          </w:p>
          <w:p w:rsidR="00D96FD9" w:rsidRPr="00C83E10" w:rsidRDefault="00115416" w:rsidP="00A43692">
            <w:pPr>
              <w:widowControl w:val="0"/>
              <w:spacing w:line="276" w:lineRule="auto"/>
              <w:jc w:val="center"/>
              <w:rPr>
                <w:rFonts w:ascii="Times New Roman" w:hAnsi="Times New Roman"/>
                <w:sz w:val="24"/>
                <w:szCs w:val="24"/>
              </w:rPr>
            </w:pPr>
            <w:r>
              <w:rPr>
                <w:rFonts w:ascii="Times New Roman" w:hAnsi="Times New Roman"/>
                <w:sz w:val="24"/>
                <w:szCs w:val="24"/>
              </w:rPr>
              <w:t>(2,3-</w:t>
            </w:r>
            <w:r w:rsidR="00C83E10">
              <w:rPr>
                <w:rFonts w:ascii="Times New Roman" w:hAnsi="Times New Roman"/>
                <w:sz w:val="24"/>
                <w:szCs w:val="24"/>
              </w:rPr>
              <w:t>139,43)</w:t>
            </w:r>
          </w:p>
        </w:tc>
        <w:tc>
          <w:tcPr>
            <w:tcW w:w="986" w:type="dxa"/>
          </w:tcPr>
          <w:p w:rsidR="00D96FD9" w:rsidRPr="00482A7F" w:rsidRDefault="00E50146" w:rsidP="00A43692">
            <w:pPr>
              <w:widowControl w:val="0"/>
              <w:spacing w:line="276" w:lineRule="auto"/>
              <w:jc w:val="center"/>
              <w:rPr>
                <w:rFonts w:ascii="Times New Roman" w:hAnsi="Times New Roman"/>
                <w:sz w:val="24"/>
                <w:szCs w:val="24"/>
                <w:lang w:val="uk-UA"/>
              </w:rPr>
            </w:pPr>
            <w:r>
              <w:rPr>
                <w:rFonts w:ascii="Times New Roman" w:hAnsi="Times New Roman"/>
                <w:sz w:val="24"/>
                <w:szCs w:val="24"/>
                <w:lang w:val="uk-UA"/>
              </w:rPr>
              <w:t>0,00</w:t>
            </w:r>
            <w:r>
              <w:rPr>
                <w:rFonts w:ascii="Times New Roman" w:hAnsi="Times New Roman"/>
                <w:sz w:val="24"/>
                <w:szCs w:val="24"/>
              </w:rPr>
              <w:t>0</w:t>
            </w:r>
            <w:r w:rsidR="00D96FD9" w:rsidRPr="00482A7F">
              <w:rPr>
                <w:rFonts w:ascii="Times New Roman" w:hAnsi="Times New Roman"/>
                <w:sz w:val="24"/>
                <w:szCs w:val="24"/>
                <w:lang w:val="uk-UA"/>
              </w:rPr>
              <w:t>2</w:t>
            </w:r>
          </w:p>
        </w:tc>
      </w:tr>
      <w:tr w:rsidR="00D96FD9" w:rsidRPr="00482A7F" w:rsidTr="00891A82">
        <w:trPr>
          <w:jc w:val="center"/>
        </w:trPr>
        <w:tc>
          <w:tcPr>
            <w:tcW w:w="4209" w:type="dxa"/>
          </w:tcPr>
          <w:p w:rsidR="00D96FD9" w:rsidRPr="00482A7F" w:rsidRDefault="00D96FD9" w:rsidP="00A43692">
            <w:pPr>
              <w:widowControl w:val="0"/>
              <w:spacing w:line="276" w:lineRule="auto"/>
              <w:ind w:left="9"/>
              <w:rPr>
                <w:rFonts w:ascii="Times New Roman" w:hAnsi="Times New Roman"/>
                <w:sz w:val="24"/>
                <w:szCs w:val="24"/>
                <w:lang w:val="uk-UA"/>
              </w:rPr>
            </w:pPr>
            <w:r w:rsidRPr="00482A7F">
              <w:rPr>
                <w:rFonts w:ascii="Times New Roman" w:hAnsi="Times New Roman"/>
                <w:sz w:val="24"/>
                <w:szCs w:val="24"/>
                <w:lang w:val="uk-UA"/>
              </w:rPr>
              <w:t>Хвороби ендокринної системи, розладу харчування Е00-Е90</w:t>
            </w:r>
          </w:p>
        </w:tc>
        <w:tc>
          <w:tcPr>
            <w:tcW w:w="678" w:type="dxa"/>
          </w:tcPr>
          <w:p w:rsidR="00D96FD9" w:rsidRPr="00482A7F" w:rsidRDefault="00D96FD9" w:rsidP="00A43692">
            <w:pPr>
              <w:widowControl w:val="0"/>
              <w:spacing w:line="276" w:lineRule="auto"/>
              <w:ind w:left="9"/>
              <w:jc w:val="center"/>
              <w:rPr>
                <w:rFonts w:ascii="Times New Roman" w:hAnsi="Times New Roman"/>
                <w:sz w:val="24"/>
                <w:szCs w:val="24"/>
                <w:lang w:val="uk-UA"/>
              </w:rPr>
            </w:pPr>
            <w:r w:rsidRPr="00482A7F">
              <w:rPr>
                <w:rFonts w:ascii="Times New Roman" w:hAnsi="Times New Roman"/>
                <w:sz w:val="24"/>
                <w:szCs w:val="24"/>
                <w:lang w:val="uk-UA"/>
              </w:rPr>
              <w:t>17</w:t>
            </w:r>
          </w:p>
        </w:tc>
        <w:tc>
          <w:tcPr>
            <w:tcW w:w="783" w:type="dxa"/>
          </w:tcPr>
          <w:p w:rsidR="00D96FD9" w:rsidRPr="00482A7F" w:rsidRDefault="00D96FD9" w:rsidP="00A43692">
            <w:pPr>
              <w:widowControl w:val="0"/>
              <w:spacing w:line="276" w:lineRule="auto"/>
              <w:jc w:val="center"/>
              <w:rPr>
                <w:rFonts w:ascii="Times New Roman" w:hAnsi="Times New Roman"/>
                <w:sz w:val="24"/>
                <w:szCs w:val="24"/>
                <w:lang w:val="uk-UA"/>
              </w:rPr>
            </w:pPr>
            <w:r w:rsidRPr="00482A7F">
              <w:rPr>
                <w:rFonts w:ascii="Times New Roman" w:hAnsi="Times New Roman"/>
                <w:sz w:val="24"/>
                <w:szCs w:val="24"/>
                <w:lang w:val="uk-UA"/>
              </w:rPr>
              <w:t>3,56</w:t>
            </w:r>
          </w:p>
        </w:tc>
        <w:tc>
          <w:tcPr>
            <w:tcW w:w="709" w:type="dxa"/>
          </w:tcPr>
          <w:p w:rsidR="00D96FD9" w:rsidRPr="00482A7F" w:rsidRDefault="00D96FD9" w:rsidP="00A43692">
            <w:pPr>
              <w:widowControl w:val="0"/>
              <w:spacing w:line="276" w:lineRule="auto"/>
              <w:ind w:left="9"/>
              <w:jc w:val="center"/>
              <w:rPr>
                <w:rFonts w:ascii="Times New Roman" w:hAnsi="Times New Roman"/>
                <w:sz w:val="24"/>
                <w:szCs w:val="24"/>
                <w:lang w:val="uk-UA"/>
              </w:rPr>
            </w:pPr>
            <w:r w:rsidRPr="00482A7F">
              <w:rPr>
                <w:rFonts w:ascii="Times New Roman" w:hAnsi="Times New Roman"/>
                <w:sz w:val="24"/>
                <w:szCs w:val="24"/>
                <w:lang w:val="uk-UA"/>
              </w:rPr>
              <w:t>16</w:t>
            </w:r>
          </w:p>
        </w:tc>
        <w:tc>
          <w:tcPr>
            <w:tcW w:w="777" w:type="dxa"/>
          </w:tcPr>
          <w:p w:rsidR="00D96FD9" w:rsidRPr="00482A7F" w:rsidRDefault="00D96FD9" w:rsidP="00A43692">
            <w:pPr>
              <w:widowControl w:val="0"/>
              <w:spacing w:line="276" w:lineRule="auto"/>
              <w:jc w:val="center"/>
              <w:rPr>
                <w:rFonts w:ascii="Times New Roman" w:hAnsi="Times New Roman"/>
                <w:sz w:val="24"/>
                <w:szCs w:val="24"/>
                <w:lang w:val="uk-UA"/>
              </w:rPr>
            </w:pPr>
            <w:r w:rsidRPr="00482A7F">
              <w:rPr>
                <w:rFonts w:ascii="Times New Roman" w:hAnsi="Times New Roman"/>
                <w:sz w:val="24"/>
                <w:szCs w:val="24"/>
                <w:lang w:val="uk-UA"/>
              </w:rPr>
              <w:t>5,26</w:t>
            </w:r>
          </w:p>
        </w:tc>
        <w:tc>
          <w:tcPr>
            <w:tcW w:w="1633" w:type="dxa"/>
          </w:tcPr>
          <w:p w:rsidR="00D96FD9" w:rsidRPr="00482A7F" w:rsidRDefault="00D96FD9" w:rsidP="00A43692">
            <w:pPr>
              <w:widowControl w:val="0"/>
              <w:spacing w:line="276" w:lineRule="auto"/>
              <w:jc w:val="center"/>
              <w:rPr>
                <w:rFonts w:ascii="Times New Roman" w:hAnsi="Times New Roman"/>
                <w:sz w:val="24"/>
                <w:szCs w:val="24"/>
                <w:lang w:val="uk-UA"/>
              </w:rPr>
            </w:pPr>
            <w:r w:rsidRPr="00482A7F">
              <w:rPr>
                <w:rFonts w:ascii="Times New Roman" w:hAnsi="Times New Roman"/>
                <w:sz w:val="24"/>
                <w:szCs w:val="24"/>
                <w:lang w:val="uk-UA"/>
              </w:rPr>
              <w:t>1,5</w:t>
            </w:r>
          </w:p>
          <w:p w:rsidR="00D96FD9" w:rsidRPr="00482A7F" w:rsidRDefault="00D96FD9" w:rsidP="00A43692">
            <w:pPr>
              <w:widowControl w:val="0"/>
              <w:spacing w:line="276" w:lineRule="auto"/>
              <w:jc w:val="center"/>
              <w:rPr>
                <w:rFonts w:ascii="Times New Roman" w:hAnsi="Times New Roman"/>
                <w:sz w:val="24"/>
                <w:szCs w:val="24"/>
                <w:lang w:val="uk-UA"/>
              </w:rPr>
            </w:pPr>
            <w:r w:rsidRPr="00482A7F">
              <w:rPr>
                <w:rFonts w:ascii="Times New Roman" w:hAnsi="Times New Roman"/>
                <w:sz w:val="24"/>
                <w:szCs w:val="24"/>
                <w:lang w:val="uk-UA"/>
              </w:rPr>
              <w:t>(0,69-3,22)</w:t>
            </w:r>
          </w:p>
        </w:tc>
        <w:tc>
          <w:tcPr>
            <w:tcW w:w="986" w:type="dxa"/>
          </w:tcPr>
          <w:p w:rsidR="00D96FD9" w:rsidRPr="00482A7F" w:rsidRDefault="00D96FD9" w:rsidP="00A43692">
            <w:pPr>
              <w:widowControl w:val="0"/>
              <w:spacing w:line="276" w:lineRule="auto"/>
              <w:jc w:val="center"/>
              <w:rPr>
                <w:rFonts w:ascii="Times New Roman" w:hAnsi="Times New Roman"/>
                <w:sz w:val="24"/>
                <w:szCs w:val="24"/>
                <w:lang w:val="uk-UA"/>
              </w:rPr>
            </w:pPr>
            <w:r w:rsidRPr="00482A7F">
              <w:rPr>
                <w:rFonts w:ascii="Times New Roman" w:hAnsi="Times New Roman"/>
                <w:sz w:val="24"/>
                <w:szCs w:val="24"/>
                <w:lang w:val="uk-UA"/>
              </w:rPr>
              <w:t>0,275</w:t>
            </w:r>
          </w:p>
        </w:tc>
      </w:tr>
      <w:tr w:rsidR="00D96FD9" w:rsidRPr="00482A7F" w:rsidTr="00891A82">
        <w:trPr>
          <w:jc w:val="center"/>
        </w:trPr>
        <w:tc>
          <w:tcPr>
            <w:tcW w:w="4209" w:type="dxa"/>
          </w:tcPr>
          <w:p w:rsidR="00D96FD9" w:rsidRPr="00482A7F" w:rsidRDefault="00D96FD9" w:rsidP="00A43692">
            <w:pPr>
              <w:widowControl w:val="0"/>
              <w:spacing w:line="276" w:lineRule="auto"/>
              <w:ind w:left="9"/>
              <w:rPr>
                <w:rFonts w:ascii="Times New Roman" w:hAnsi="Times New Roman"/>
                <w:sz w:val="24"/>
                <w:szCs w:val="24"/>
                <w:lang w:val="uk-UA"/>
              </w:rPr>
            </w:pPr>
            <w:r w:rsidRPr="00482A7F">
              <w:rPr>
                <w:rFonts w:ascii="Times New Roman" w:hAnsi="Times New Roman"/>
                <w:sz w:val="24"/>
                <w:szCs w:val="24"/>
                <w:lang w:val="uk-UA"/>
              </w:rPr>
              <w:t xml:space="preserve">Хвороби нервової системи     </w:t>
            </w:r>
          </w:p>
          <w:p w:rsidR="00D96FD9" w:rsidRPr="00482A7F" w:rsidRDefault="00D96FD9" w:rsidP="00A43692">
            <w:pPr>
              <w:widowControl w:val="0"/>
              <w:spacing w:line="276" w:lineRule="auto"/>
              <w:ind w:left="9"/>
              <w:rPr>
                <w:rFonts w:ascii="Times New Roman" w:hAnsi="Times New Roman"/>
                <w:sz w:val="24"/>
                <w:szCs w:val="24"/>
                <w:lang w:val="uk-UA"/>
              </w:rPr>
            </w:pPr>
            <w:r w:rsidRPr="00482A7F">
              <w:rPr>
                <w:rFonts w:ascii="Times New Roman" w:hAnsi="Times New Roman"/>
                <w:sz w:val="24"/>
                <w:szCs w:val="24"/>
                <w:lang w:val="uk-UA"/>
              </w:rPr>
              <w:t xml:space="preserve"> G00-G99</w:t>
            </w:r>
          </w:p>
        </w:tc>
        <w:tc>
          <w:tcPr>
            <w:tcW w:w="678" w:type="dxa"/>
          </w:tcPr>
          <w:p w:rsidR="00D96FD9" w:rsidRPr="00482A7F" w:rsidRDefault="00D96FD9" w:rsidP="00A43692">
            <w:pPr>
              <w:widowControl w:val="0"/>
              <w:spacing w:line="276" w:lineRule="auto"/>
              <w:ind w:left="9"/>
              <w:jc w:val="center"/>
              <w:rPr>
                <w:rFonts w:ascii="Times New Roman" w:hAnsi="Times New Roman"/>
                <w:sz w:val="24"/>
                <w:szCs w:val="24"/>
                <w:lang w:val="uk-UA"/>
              </w:rPr>
            </w:pPr>
            <w:r w:rsidRPr="00482A7F">
              <w:rPr>
                <w:rFonts w:ascii="Times New Roman" w:hAnsi="Times New Roman"/>
                <w:sz w:val="24"/>
                <w:szCs w:val="24"/>
                <w:lang w:val="uk-UA"/>
              </w:rPr>
              <w:t>21</w:t>
            </w:r>
          </w:p>
        </w:tc>
        <w:tc>
          <w:tcPr>
            <w:tcW w:w="783" w:type="dxa"/>
          </w:tcPr>
          <w:p w:rsidR="00D96FD9" w:rsidRPr="00482A7F" w:rsidRDefault="00D96FD9" w:rsidP="00A43692">
            <w:pPr>
              <w:widowControl w:val="0"/>
              <w:spacing w:line="276" w:lineRule="auto"/>
              <w:jc w:val="center"/>
              <w:rPr>
                <w:rFonts w:ascii="Times New Roman" w:hAnsi="Times New Roman"/>
                <w:sz w:val="24"/>
                <w:szCs w:val="24"/>
                <w:lang w:val="uk-UA"/>
              </w:rPr>
            </w:pPr>
            <w:r w:rsidRPr="00482A7F">
              <w:rPr>
                <w:rFonts w:ascii="Times New Roman" w:hAnsi="Times New Roman"/>
                <w:sz w:val="24"/>
                <w:szCs w:val="24"/>
                <w:lang w:val="uk-UA"/>
              </w:rPr>
              <w:t>4,39</w:t>
            </w:r>
          </w:p>
        </w:tc>
        <w:tc>
          <w:tcPr>
            <w:tcW w:w="709" w:type="dxa"/>
          </w:tcPr>
          <w:p w:rsidR="00D96FD9" w:rsidRPr="00482A7F" w:rsidRDefault="00D96FD9" w:rsidP="00A43692">
            <w:pPr>
              <w:widowControl w:val="0"/>
              <w:spacing w:line="276" w:lineRule="auto"/>
              <w:ind w:left="9"/>
              <w:jc w:val="center"/>
              <w:rPr>
                <w:rFonts w:ascii="Times New Roman" w:hAnsi="Times New Roman"/>
                <w:sz w:val="24"/>
                <w:szCs w:val="24"/>
                <w:lang w:val="uk-UA"/>
              </w:rPr>
            </w:pPr>
            <w:r w:rsidRPr="00482A7F">
              <w:rPr>
                <w:rFonts w:ascii="Times New Roman" w:hAnsi="Times New Roman"/>
                <w:sz w:val="24"/>
                <w:szCs w:val="24"/>
                <w:lang w:val="uk-UA"/>
              </w:rPr>
              <w:t>9</w:t>
            </w:r>
          </w:p>
        </w:tc>
        <w:tc>
          <w:tcPr>
            <w:tcW w:w="777" w:type="dxa"/>
          </w:tcPr>
          <w:p w:rsidR="00D96FD9" w:rsidRPr="00482A7F" w:rsidRDefault="00D96FD9" w:rsidP="00A43692">
            <w:pPr>
              <w:widowControl w:val="0"/>
              <w:spacing w:line="276" w:lineRule="auto"/>
              <w:jc w:val="center"/>
              <w:rPr>
                <w:rFonts w:ascii="Times New Roman" w:hAnsi="Times New Roman"/>
                <w:sz w:val="24"/>
                <w:szCs w:val="24"/>
                <w:lang w:val="uk-UA"/>
              </w:rPr>
            </w:pPr>
            <w:r w:rsidRPr="00482A7F">
              <w:rPr>
                <w:rFonts w:ascii="Times New Roman" w:hAnsi="Times New Roman"/>
                <w:sz w:val="24"/>
                <w:szCs w:val="24"/>
                <w:lang w:val="uk-UA"/>
              </w:rPr>
              <w:t>2,96</w:t>
            </w:r>
          </w:p>
        </w:tc>
        <w:tc>
          <w:tcPr>
            <w:tcW w:w="1633" w:type="dxa"/>
          </w:tcPr>
          <w:p w:rsidR="00D96FD9" w:rsidRPr="00482A7F" w:rsidRDefault="00D96FD9" w:rsidP="00A43692">
            <w:pPr>
              <w:widowControl w:val="0"/>
              <w:spacing w:line="276" w:lineRule="auto"/>
              <w:jc w:val="center"/>
              <w:rPr>
                <w:rFonts w:ascii="Times New Roman" w:hAnsi="Times New Roman"/>
                <w:sz w:val="24"/>
                <w:szCs w:val="24"/>
                <w:lang w:val="uk-UA"/>
              </w:rPr>
            </w:pPr>
            <w:r w:rsidRPr="00482A7F">
              <w:rPr>
                <w:rFonts w:ascii="Times New Roman" w:hAnsi="Times New Roman"/>
                <w:sz w:val="24"/>
                <w:szCs w:val="24"/>
                <w:lang w:val="uk-UA"/>
              </w:rPr>
              <w:t>0,66</w:t>
            </w:r>
          </w:p>
          <w:p w:rsidR="00D96FD9" w:rsidRPr="00482A7F" w:rsidRDefault="00931F49" w:rsidP="00A43692">
            <w:pPr>
              <w:widowControl w:val="0"/>
              <w:spacing w:line="276" w:lineRule="auto"/>
              <w:jc w:val="center"/>
              <w:rPr>
                <w:rFonts w:ascii="Times New Roman" w:hAnsi="Times New Roman"/>
                <w:sz w:val="24"/>
                <w:szCs w:val="24"/>
                <w:lang w:val="uk-UA"/>
              </w:rPr>
            </w:pPr>
            <w:r w:rsidRPr="00482A7F">
              <w:rPr>
                <w:rFonts w:ascii="Times New Roman" w:hAnsi="Times New Roman"/>
                <w:sz w:val="24"/>
                <w:szCs w:val="24"/>
                <w:lang w:val="uk-UA"/>
              </w:rPr>
              <w:t>(</w:t>
            </w:r>
            <w:r w:rsidR="00D96FD9" w:rsidRPr="00482A7F">
              <w:rPr>
                <w:rFonts w:ascii="Times New Roman" w:hAnsi="Times New Roman"/>
                <w:sz w:val="24"/>
                <w:szCs w:val="24"/>
                <w:lang w:val="uk-UA"/>
              </w:rPr>
              <w:t>0,26-1,53</w:t>
            </w:r>
            <w:r w:rsidRPr="00482A7F">
              <w:rPr>
                <w:rFonts w:ascii="Times New Roman" w:hAnsi="Times New Roman"/>
                <w:sz w:val="24"/>
                <w:szCs w:val="24"/>
                <w:lang w:val="uk-UA"/>
              </w:rPr>
              <w:t>)</w:t>
            </w:r>
          </w:p>
        </w:tc>
        <w:tc>
          <w:tcPr>
            <w:tcW w:w="986" w:type="dxa"/>
          </w:tcPr>
          <w:p w:rsidR="00D96FD9" w:rsidRPr="00482A7F" w:rsidRDefault="00D96FD9" w:rsidP="00A43692">
            <w:pPr>
              <w:widowControl w:val="0"/>
              <w:spacing w:line="276" w:lineRule="auto"/>
              <w:jc w:val="center"/>
              <w:rPr>
                <w:rFonts w:ascii="Times New Roman" w:hAnsi="Times New Roman"/>
                <w:sz w:val="24"/>
                <w:szCs w:val="24"/>
                <w:lang w:val="uk-UA"/>
              </w:rPr>
            </w:pPr>
            <w:r w:rsidRPr="00482A7F">
              <w:rPr>
                <w:rFonts w:ascii="Times New Roman" w:hAnsi="Times New Roman"/>
                <w:sz w:val="24"/>
                <w:szCs w:val="24"/>
                <w:lang w:val="uk-UA"/>
              </w:rPr>
              <w:t>0,345</w:t>
            </w:r>
          </w:p>
        </w:tc>
      </w:tr>
      <w:tr w:rsidR="00D96FD9" w:rsidRPr="00482A7F" w:rsidTr="00891A82">
        <w:trPr>
          <w:jc w:val="center"/>
        </w:trPr>
        <w:tc>
          <w:tcPr>
            <w:tcW w:w="4209" w:type="dxa"/>
          </w:tcPr>
          <w:p w:rsidR="00D96FD9" w:rsidRPr="00482A7F" w:rsidRDefault="00D96FD9" w:rsidP="00A43692">
            <w:pPr>
              <w:widowControl w:val="0"/>
              <w:spacing w:line="276" w:lineRule="auto"/>
              <w:ind w:left="9"/>
              <w:rPr>
                <w:rFonts w:ascii="Times New Roman" w:hAnsi="Times New Roman"/>
                <w:sz w:val="24"/>
                <w:szCs w:val="24"/>
                <w:lang w:val="uk-UA"/>
              </w:rPr>
            </w:pPr>
            <w:r w:rsidRPr="00482A7F">
              <w:rPr>
                <w:rFonts w:ascii="Times New Roman" w:hAnsi="Times New Roman"/>
                <w:sz w:val="24"/>
                <w:szCs w:val="24"/>
                <w:lang w:val="uk-UA"/>
              </w:rPr>
              <w:t>Хвороби вуха та сосковид-ного відростку  H60-H95</w:t>
            </w:r>
          </w:p>
        </w:tc>
        <w:tc>
          <w:tcPr>
            <w:tcW w:w="678" w:type="dxa"/>
          </w:tcPr>
          <w:p w:rsidR="00D96FD9" w:rsidRPr="00482A7F" w:rsidRDefault="00D96FD9" w:rsidP="00A43692">
            <w:pPr>
              <w:widowControl w:val="0"/>
              <w:spacing w:line="276" w:lineRule="auto"/>
              <w:ind w:left="9"/>
              <w:jc w:val="center"/>
              <w:rPr>
                <w:rFonts w:ascii="Times New Roman" w:hAnsi="Times New Roman"/>
                <w:sz w:val="24"/>
                <w:szCs w:val="24"/>
                <w:lang w:val="uk-UA"/>
              </w:rPr>
            </w:pPr>
            <w:r w:rsidRPr="00482A7F">
              <w:rPr>
                <w:rFonts w:ascii="Times New Roman" w:hAnsi="Times New Roman"/>
                <w:sz w:val="24"/>
                <w:szCs w:val="24"/>
                <w:lang w:val="uk-UA"/>
              </w:rPr>
              <w:t>1</w:t>
            </w:r>
          </w:p>
        </w:tc>
        <w:tc>
          <w:tcPr>
            <w:tcW w:w="783" w:type="dxa"/>
          </w:tcPr>
          <w:p w:rsidR="00D96FD9" w:rsidRPr="00482A7F" w:rsidRDefault="00D96FD9" w:rsidP="00A43692">
            <w:pPr>
              <w:widowControl w:val="0"/>
              <w:spacing w:line="276" w:lineRule="auto"/>
              <w:jc w:val="center"/>
              <w:rPr>
                <w:rFonts w:ascii="Times New Roman" w:hAnsi="Times New Roman"/>
                <w:sz w:val="24"/>
                <w:szCs w:val="24"/>
                <w:lang w:val="uk-UA"/>
              </w:rPr>
            </w:pPr>
            <w:r w:rsidRPr="00482A7F">
              <w:rPr>
                <w:rFonts w:ascii="Times New Roman" w:hAnsi="Times New Roman"/>
                <w:sz w:val="24"/>
                <w:szCs w:val="24"/>
                <w:lang w:val="uk-UA"/>
              </w:rPr>
              <w:t>0,21</w:t>
            </w:r>
          </w:p>
        </w:tc>
        <w:tc>
          <w:tcPr>
            <w:tcW w:w="709" w:type="dxa"/>
          </w:tcPr>
          <w:p w:rsidR="00D96FD9" w:rsidRPr="00482A7F" w:rsidRDefault="00D96FD9" w:rsidP="00A43692">
            <w:pPr>
              <w:widowControl w:val="0"/>
              <w:spacing w:line="276" w:lineRule="auto"/>
              <w:ind w:left="9"/>
              <w:jc w:val="center"/>
              <w:rPr>
                <w:rFonts w:ascii="Times New Roman" w:hAnsi="Times New Roman"/>
                <w:sz w:val="24"/>
                <w:szCs w:val="24"/>
                <w:lang w:val="uk-UA"/>
              </w:rPr>
            </w:pPr>
            <w:r w:rsidRPr="00482A7F">
              <w:rPr>
                <w:rFonts w:ascii="Times New Roman" w:hAnsi="Times New Roman"/>
                <w:sz w:val="24"/>
                <w:szCs w:val="24"/>
                <w:lang w:val="uk-UA"/>
              </w:rPr>
              <w:t>0</w:t>
            </w:r>
          </w:p>
        </w:tc>
        <w:tc>
          <w:tcPr>
            <w:tcW w:w="777" w:type="dxa"/>
          </w:tcPr>
          <w:p w:rsidR="00D96FD9" w:rsidRPr="00482A7F" w:rsidRDefault="00D96FD9" w:rsidP="00A43692">
            <w:pPr>
              <w:widowControl w:val="0"/>
              <w:spacing w:line="276" w:lineRule="auto"/>
              <w:jc w:val="center"/>
              <w:rPr>
                <w:rFonts w:ascii="Times New Roman" w:hAnsi="Times New Roman"/>
                <w:sz w:val="24"/>
                <w:szCs w:val="24"/>
                <w:lang w:val="uk-UA"/>
              </w:rPr>
            </w:pPr>
            <w:r w:rsidRPr="00482A7F">
              <w:rPr>
                <w:rFonts w:ascii="Times New Roman" w:hAnsi="Times New Roman"/>
                <w:sz w:val="24"/>
                <w:szCs w:val="24"/>
                <w:lang w:val="uk-UA"/>
              </w:rPr>
              <w:t>-</w:t>
            </w:r>
          </w:p>
        </w:tc>
        <w:tc>
          <w:tcPr>
            <w:tcW w:w="1633" w:type="dxa"/>
          </w:tcPr>
          <w:p w:rsidR="00D96FD9" w:rsidRPr="00482A7F" w:rsidRDefault="00D96FD9" w:rsidP="00A43692">
            <w:pPr>
              <w:widowControl w:val="0"/>
              <w:spacing w:line="276" w:lineRule="auto"/>
              <w:jc w:val="center"/>
              <w:rPr>
                <w:rFonts w:ascii="Times New Roman" w:hAnsi="Times New Roman"/>
                <w:sz w:val="24"/>
                <w:szCs w:val="24"/>
                <w:lang w:val="uk-UA"/>
              </w:rPr>
            </w:pPr>
            <w:r w:rsidRPr="00482A7F">
              <w:rPr>
                <w:rFonts w:ascii="Times New Roman" w:hAnsi="Times New Roman"/>
                <w:sz w:val="24"/>
                <w:szCs w:val="24"/>
                <w:lang w:val="uk-UA"/>
              </w:rPr>
              <w:t>-</w:t>
            </w:r>
          </w:p>
        </w:tc>
        <w:tc>
          <w:tcPr>
            <w:tcW w:w="986" w:type="dxa"/>
          </w:tcPr>
          <w:p w:rsidR="00D96FD9" w:rsidRPr="00482A7F" w:rsidRDefault="00D96FD9" w:rsidP="00A43692">
            <w:pPr>
              <w:widowControl w:val="0"/>
              <w:spacing w:line="276" w:lineRule="auto"/>
              <w:jc w:val="center"/>
              <w:rPr>
                <w:rFonts w:ascii="Times New Roman" w:hAnsi="Times New Roman"/>
                <w:sz w:val="24"/>
                <w:szCs w:val="24"/>
                <w:lang w:val="uk-UA"/>
              </w:rPr>
            </w:pPr>
            <w:r w:rsidRPr="00482A7F">
              <w:rPr>
                <w:rFonts w:ascii="Times New Roman" w:hAnsi="Times New Roman"/>
                <w:sz w:val="24"/>
                <w:szCs w:val="24"/>
                <w:lang w:val="uk-UA"/>
              </w:rPr>
              <w:t>0,664</w:t>
            </w:r>
          </w:p>
        </w:tc>
      </w:tr>
      <w:tr w:rsidR="00D96FD9" w:rsidRPr="00482A7F" w:rsidTr="00891A82">
        <w:trPr>
          <w:jc w:val="center"/>
        </w:trPr>
        <w:tc>
          <w:tcPr>
            <w:tcW w:w="4209" w:type="dxa"/>
          </w:tcPr>
          <w:p w:rsidR="00D96FD9" w:rsidRPr="00482A7F" w:rsidRDefault="00D96FD9" w:rsidP="00A43692">
            <w:pPr>
              <w:widowControl w:val="0"/>
              <w:spacing w:line="276" w:lineRule="auto"/>
              <w:ind w:left="9"/>
              <w:rPr>
                <w:rFonts w:ascii="Times New Roman" w:hAnsi="Times New Roman"/>
                <w:sz w:val="24"/>
                <w:szCs w:val="24"/>
                <w:lang w:val="uk-UA"/>
              </w:rPr>
            </w:pPr>
            <w:r w:rsidRPr="00482A7F">
              <w:rPr>
                <w:rFonts w:ascii="Times New Roman" w:hAnsi="Times New Roman"/>
                <w:sz w:val="24"/>
                <w:szCs w:val="24"/>
                <w:lang w:val="uk-UA"/>
              </w:rPr>
              <w:t>Хвороби системи кровообігу I00-I90</w:t>
            </w:r>
          </w:p>
        </w:tc>
        <w:tc>
          <w:tcPr>
            <w:tcW w:w="678" w:type="dxa"/>
          </w:tcPr>
          <w:p w:rsidR="00D96FD9" w:rsidRPr="00482A7F" w:rsidRDefault="00D96FD9" w:rsidP="00A43692">
            <w:pPr>
              <w:widowControl w:val="0"/>
              <w:spacing w:line="276" w:lineRule="auto"/>
              <w:ind w:left="9"/>
              <w:jc w:val="center"/>
              <w:rPr>
                <w:rFonts w:ascii="Times New Roman" w:hAnsi="Times New Roman"/>
                <w:sz w:val="24"/>
                <w:szCs w:val="24"/>
                <w:lang w:val="uk-UA"/>
              </w:rPr>
            </w:pPr>
            <w:r w:rsidRPr="00482A7F">
              <w:rPr>
                <w:rFonts w:ascii="Times New Roman" w:hAnsi="Times New Roman"/>
                <w:sz w:val="24"/>
                <w:szCs w:val="24"/>
                <w:lang w:val="uk-UA"/>
              </w:rPr>
              <w:t>9</w:t>
            </w:r>
          </w:p>
        </w:tc>
        <w:tc>
          <w:tcPr>
            <w:tcW w:w="783" w:type="dxa"/>
          </w:tcPr>
          <w:p w:rsidR="00D96FD9" w:rsidRPr="00482A7F" w:rsidRDefault="00D96FD9" w:rsidP="00A43692">
            <w:pPr>
              <w:widowControl w:val="0"/>
              <w:spacing w:line="276" w:lineRule="auto"/>
              <w:jc w:val="center"/>
              <w:rPr>
                <w:rFonts w:ascii="Times New Roman" w:hAnsi="Times New Roman"/>
                <w:sz w:val="24"/>
                <w:szCs w:val="24"/>
                <w:lang w:val="uk-UA"/>
              </w:rPr>
            </w:pPr>
            <w:r w:rsidRPr="00482A7F">
              <w:rPr>
                <w:rFonts w:ascii="Times New Roman" w:hAnsi="Times New Roman"/>
                <w:sz w:val="24"/>
                <w:szCs w:val="24"/>
                <w:lang w:val="uk-UA"/>
              </w:rPr>
              <w:t>1,88</w:t>
            </w:r>
          </w:p>
        </w:tc>
        <w:tc>
          <w:tcPr>
            <w:tcW w:w="709" w:type="dxa"/>
          </w:tcPr>
          <w:p w:rsidR="00D96FD9" w:rsidRPr="00482A7F" w:rsidRDefault="00D96FD9" w:rsidP="00A43692">
            <w:pPr>
              <w:widowControl w:val="0"/>
              <w:spacing w:line="276" w:lineRule="auto"/>
              <w:ind w:left="9"/>
              <w:jc w:val="center"/>
              <w:rPr>
                <w:rFonts w:ascii="Times New Roman" w:hAnsi="Times New Roman"/>
                <w:sz w:val="24"/>
                <w:szCs w:val="24"/>
                <w:lang w:val="uk-UA"/>
              </w:rPr>
            </w:pPr>
            <w:r w:rsidRPr="00482A7F">
              <w:rPr>
                <w:rFonts w:ascii="Times New Roman" w:hAnsi="Times New Roman"/>
                <w:sz w:val="24"/>
                <w:szCs w:val="24"/>
                <w:lang w:val="uk-UA"/>
              </w:rPr>
              <w:t>12</w:t>
            </w:r>
          </w:p>
        </w:tc>
        <w:tc>
          <w:tcPr>
            <w:tcW w:w="777" w:type="dxa"/>
          </w:tcPr>
          <w:p w:rsidR="00D96FD9" w:rsidRPr="00482A7F" w:rsidRDefault="00D96FD9" w:rsidP="00A43692">
            <w:pPr>
              <w:widowControl w:val="0"/>
              <w:spacing w:line="276" w:lineRule="auto"/>
              <w:jc w:val="center"/>
              <w:rPr>
                <w:rFonts w:ascii="Times New Roman" w:hAnsi="Times New Roman"/>
                <w:sz w:val="24"/>
                <w:szCs w:val="24"/>
                <w:lang w:val="uk-UA"/>
              </w:rPr>
            </w:pPr>
            <w:r w:rsidRPr="00482A7F">
              <w:rPr>
                <w:rFonts w:ascii="Times New Roman" w:hAnsi="Times New Roman"/>
                <w:sz w:val="24"/>
                <w:szCs w:val="24"/>
                <w:lang w:val="uk-UA"/>
              </w:rPr>
              <w:t>3,9</w:t>
            </w:r>
          </w:p>
        </w:tc>
        <w:tc>
          <w:tcPr>
            <w:tcW w:w="1633" w:type="dxa"/>
          </w:tcPr>
          <w:p w:rsidR="00D96FD9" w:rsidRPr="00482A7F" w:rsidRDefault="00D96FD9" w:rsidP="00A43692">
            <w:pPr>
              <w:widowControl w:val="0"/>
              <w:spacing w:line="276" w:lineRule="auto"/>
              <w:jc w:val="center"/>
              <w:rPr>
                <w:rFonts w:ascii="Times New Roman" w:hAnsi="Times New Roman"/>
                <w:sz w:val="24"/>
                <w:szCs w:val="24"/>
                <w:lang w:val="uk-UA"/>
              </w:rPr>
            </w:pPr>
            <w:r w:rsidRPr="00482A7F">
              <w:rPr>
                <w:rFonts w:ascii="Times New Roman" w:hAnsi="Times New Roman"/>
                <w:sz w:val="24"/>
                <w:szCs w:val="24"/>
                <w:lang w:val="uk-UA"/>
              </w:rPr>
              <w:t>2,14</w:t>
            </w:r>
          </w:p>
          <w:p w:rsidR="00D96FD9" w:rsidRPr="00482A7F" w:rsidRDefault="00931F49" w:rsidP="00A43692">
            <w:pPr>
              <w:widowControl w:val="0"/>
              <w:spacing w:line="276" w:lineRule="auto"/>
              <w:jc w:val="center"/>
              <w:rPr>
                <w:rFonts w:ascii="Times New Roman" w:hAnsi="Times New Roman"/>
                <w:sz w:val="24"/>
                <w:szCs w:val="24"/>
                <w:lang w:val="uk-UA"/>
              </w:rPr>
            </w:pPr>
            <w:r w:rsidRPr="00482A7F">
              <w:rPr>
                <w:rFonts w:ascii="Times New Roman" w:hAnsi="Times New Roman"/>
                <w:sz w:val="24"/>
                <w:szCs w:val="24"/>
                <w:lang w:val="uk-UA"/>
              </w:rPr>
              <w:t>(</w:t>
            </w:r>
            <w:r w:rsidR="00D96FD9" w:rsidRPr="00482A7F">
              <w:rPr>
                <w:rFonts w:ascii="Times New Roman" w:hAnsi="Times New Roman"/>
                <w:sz w:val="24"/>
                <w:szCs w:val="24"/>
                <w:lang w:val="uk-UA"/>
              </w:rPr>
              <w:t>0,81-5,8</w:t>
            </w:r>
            <w:r w:rsidRPr="00482A7F">
              <w:rPr>
                <w:rFonts w:ascii="Times New Roman" w:hAnsi="Times New Roman"/>
                <w:sz w:val="24"/>
                <w:szCs w:val="24"/>
                <w:lang w:val="uk-UA"/>
              </w:rPr>
              <w:t>)</w:t>
            </w:r>
          </w:p>
        </w:tc>
        <w:tc>
          <w:tcPr>
            <w:tcW w:w="986" w:type="dxa"/>
          </w:tcPr>
          <w:p w:rsidR="00D96FD9" w:rsidRPr="00482A7F" w:rsidRDefault="00D96FD9" w:rsidP="00A43692">
            <w:pPr>
              <w:widowControl w:val="0"/>
              <w:spacing w:line="276" w:lineRule="auto"/>
              <w:jc w:val="center"/>
              <w:rPr>
                <w:rFonts w:ascii="Times New Roman" w:hAnsi="Times New Roman"/>
                <w:sz w:val="24"/>
                <w:szCs w:val="24"/>
                <w:lang w:val="uk-UA"/>
              </w:rPr>
            </w:pPr>
            <w:r w:rsidRPr="00482A7F">
              <w:rPr>
                <w:rFonts w:ascii="Times New Roman" w:hAnsi="Times New Roman"/>
                <w:sz w:val="24"/>
                <w:szCs w:val="24"/>
                <w:lang w:val="uk-UA"/>
              </w:rPr>
              <w:t>0,110</w:t>
            </w:r>
          </w:p>
        </w:tc>
      </w:tr>
      <w:tr w:rsidR="00D96FD9" w:rsidRPr="00482A7F" w:rsidTr="00891A82">
        <w:trPr>
          <w:jc w:val="center"/>
        </w:trPr>
        <w:tc>
          <w:tcPr>
            <w:tcW w:w="4209" w:type="dxa"/>
          </w:tcPr>
          <w:p w:rsidR="00D96FD9" w:rsidRPr="00482A7F" w:rsidRDefault="00D96FD9" w:rsidP="00A43692">
            <w:pPr>
              <w:widowControl w:val="0"/>
              <w:spacing w:line="276" w:lineRule="auto"/>
              <w:ind w:left="9"/>
              <w:rPr>
                <w:rFonts w:ascii="Times New Roman" w:hAnsi="Times New Roman"/>
                <w:sz w:val="24"/>
                <w:szCs w:val="24"/>
                <w:lang w:val="uk-UA"/>
              </w:rPr>
            </w:pPr>
            <w:r w:rsidRPr="00482A7F">
              <w:rPr>
                <w:rFonts w:ascii="Times New Roman" w:hAnsi="Times New Roman"/>
                <w:sz w:val="24"/>
                <w:szCs w:val="24"/>
                <w:lang w:val="uk-UA"/>
              </w:rPr>
              <w:t>Хвороби органів дихання    J00-J99</w:t>
            </w:r>
          </w:p>
        </w:tc>
        <w:tc>
          <w:tcPr>
            <w:tcW w:w="678" w:type="dxa"/>
          </w:tcPr>
          <w:p w:rsidR="00D96FD9" w:rsidRPr="00482A7F" w:rsidRDefault="00D96FD9" w:rsidP="00A43692">
            <w:pPr>
              <w:widowControl w:val="0"/>
              <w:spacing w:line="276" w:lineRule="auto"/>
              <w:ind w:left="9"/>
              <w:jc w:val="center"/>
              <w:rPr>
                <w:rFonts w:ascii="Times New Roman" w:hAnsi="Times New Roman"/>
                <w:sz w:val="24"/>
                <w:szCs w:val="24"/>
                <w:lang w:val="uk-UA"/>
              </w:rPr>
            </w:pPr>
            <w:r w:rsidRPr="00482A7F">
              <w:rPr>
                <w:rFonts w:ascii="Times New Roman" w:hAnsi="Times New Roman"/>
                <w:sz w:val="24"/>
                <w:szCs w:val="24"/>
                <w:lang w:val="uk-UA"/>
              </w:rPr>
              <w:t>66</w:t>
            </w:r>
          </w:p>
        </w:tc>
        <w:tc>
          <w:tcPr>
            <w:tcW w:w="783" w:type="dxa"/>
          </w:tcPr>
          <w:p w:rsidR="00D96FD9" w:rsidRPr="00482A7F" w:rsidRDefault="00D96FD9" w:rsidP="00A43692">
            <w:pPr>
              <w:widowControl w:val="0"/>
              <w:spacing w:line="276" w:lineRule="auto"/>
              <w:jc w:val="center"/>
              <w:rPr>
                <w:rFonts w:ascii="Times New Roman" w:hAnsi="Times New Roman"/>
                <w:sz w:val="24"/>
                <w:szCs w:val="24"/>
                <w:lang w:val="uk-UA"/>
              </w:rPr>
            </w:pPr>
            <w:r w:rsidRPr="00482A7F">
              <w:rPr>
                <w:rFonts w:ascii="Times New Roman" w:hAnsi="Times New Roman"/>
                <w:sz w:val="24"/>
                <w:szCs w:val="24"/>
                <w:lang w:val="uk-UA"/>
              </w:rPr>
              <w:t>13,80</w:t>
            </w:r>
          </w:p>
        </w:tc>
        <w:tc>
          <w:tcPr>
            <w:tcW w:w="709" w:type="dxa"/>
          </w:tcPr>
          <w:p w:rsidR="00D96FD9" w:rsidRPr="00482A7F" w:rsidRDefault="00D96FD9" w:rsidP="00A43692">
            <w:pPr>
              <w:widowControl w:val="0"/>
              <w:spacing w:line="276" w:lineRule="auto"/>
              <w:ind w:left="9"/>
              <w:jc w:val="center"/>
              <w:rPr>
                <w:rFonts w:ascii="Times New Roman" w:hAnsi="Times New Roman"/>
                <w:sz w:val="24"/>
                <w:szCs w:val="24"/>
                <w:lang w:val="uk-UA"/>
              </w:rPr>
            </w:pPr>
            <w:r w:rsidRPr="00482A7F">
              <w:rPr>
                <w:rFonts w:ascii="Times New Roman" w:hAnsi="Times New Roman"/>
                <w:sz w:val="24"/>
                <w:szCs w:val="24"/>
                <w:lang w:val="uk-UA"/>
              </w:rPr>
              <w:t>55</w:t>
            </w:r>
          </w:p>
        </w:tc>
        <w:tc>
          <w:tcPr>
            <w:tcW w:w="777" w:type="dxa"/>
          </w:tcPr>
          <w:p w:rsidR="00D96FD9" w:rsidRPr="00482A7F" w:rsidRDefault="00D96FD9" w:rsidP="00A43692">
            <w:pPr>
              <w:widowControl w:val="0"/>
              <w:spacing w:line="276" w:lineRule="auto"/>
              <w:jc w:val="center"/>
              <w:rPr>
                <w:rFonts w:ascii="Times New Roman" w:hAnsi="Times New Roman"/>
                <w:sz w:val="24"/>
                <w:szCs w:val="24"/>
                <w:lang w:val="uk-UA"/>
              </w:rPr>
            </w:pPr>
            <w:r w:rsidRPr="00482A7F">
              <w:rPr>
                <w:rFonts w:ascii="Times New Roman" w:hAnsi="Times New Roman"/>
                <w:sz w:val="24"/>
                <w:szCs w:val="24"/>
                <w:lang w:val="uk-UA"/>
              </w:rPr>
              <w:t>18,10</w:t>
            </w:r>
          </w:p>
        </w:tc>
        <w:tc>
          <w:tcPr>
            <w:tcW w:w="1633" w:type="dxa"/>
          </w:tcPr>
          <w:p w:rsidR="00D96FD9" w:rsidRPr="00482A7F" w:rsidRDefault="00D96FD9" w:rsidP="00A43692">
            <w:pPr>
              <w:widowControl w:val="0"/>
              <w:spacing w:line="276" w:lineRule="auto"/>
              <w:jc w:val="center"/>
              <w:rPr>
                <w:rFonts w:ascii="Times New Roman" w:hAnsi="Times New Roman"/>
                <w:sz w:val="24"/>
                <w:szCs w:val="24"/>
                <w:lang w:val="uk-UA"/>
              </w:rPr>
            </w:pPr>
            <w:r w:rsidRPr="00482A7F">
              <w:rPr>
                <w:rFonts w:ascii="Times New Roman" w:hAnsi="Times New Roman"/>
                <w:sz w:val="24"/>
                <w:szCs w:val="24"/>
                <w:lang w:val="uk-UA"/>
              </w:rPr>
              <w:t>1,38</w:t>
            </w:r>
          </w:p>
          <w:p w:rsidR="00D96FD9" w:rsidRPr="00482A7F" w:rsidRDefault="00931F49" w:rsidP="00A43692">
            <w:pPr>
              <w:widowControl w:val="0"/>
              <w:spacing w:line="276" w:lineRule="auto"/>
              <w:jc w:val="center"/>
              <w:rPr>
                <w:rFonts w:ascii="Times New Roman" w:hAnsi="Times New Roman"/>
                <w:sz w:val="24"/>
                <w:szCs w:val="24"/>
                <w:lang w:val="uk-UA"/>
              </w:rPr>
            </w:pPr>
            <w:r w:rsidRPr="00482A7F">
              <w:rPr>
                <w:rFonts w:ascii="Times New Roman" w:hAnsi="Times New Roman"/>
                <w:sz w:val="24"/>
                <w:szCs w:val="24"/>
                <w:lang w:val="uk-UA"/>
              </w:rPr>
              <w:t>(</w:t>
            </w:r>
            <w:r w:rsidR="00D96FD9" w:rsidRPr="00482A7F">
              <w:rPr>
                <w:rFonts w:ascii="Times New Roman" w:hAnsi="Times New Roman"/>
                <w:sz w:val="24"/>
                <w:szCs w:val="24"/>
                <w:lang w:val="uk-UA"/>
              </w:rPr>
              <w:t>0,91-2,07</w:t>
            </w:r>
            <w:r w:rsidRPr="00482A7F">
              <w:rPr>
                <w:rFonts w:ascii="Times New Roman" w:hAnsi="Times New Roman"/>
                <w:sz w:val="24"/>
                <w:szCs w:val="24"/>
                <w:lang w:val="uk-UA"/>
              </w:rPr>
              <w:t>)</w:t>
            </w:r>
          </w:p>
        </w:tc>
        <w:tc>
          <w:tcPr>
            <w:tcW w:w="986" w:type="dxa"/>
          </w:tcPr>
          <w:p w:rsidR="00D96FD9" w:rsidRPr="00482A7F" w:rsidRDefault="00D96FD9" w:rsidP="00A43692">
            <w:pPr>
              <w:widowControl w:val="0"/>
              <w:spacing w:line="276" w:lineRule="auto"/>
              <w:jc w:val="center"/>
              <w:rPr>
                <w:rFonts w:ascii="Times New Roman" w:hAnsi="Times New Roman"/>
                <w:sz w:val="24"/>
                <w:szCs w:val="24"/>
                <w:lang w:val="uk-UA"/>
              </w:rPr>
            </w:pPr>
            <w:r w:rsidRPr="00482A7F">
              <w:rPr>
                <w:rFonts w:ascii="Times New Roman" w:hAnsi="Times New Roman"/>
                <w:sz w:val="24"/>
                <w:szCs w:val="24"/>
                <w:lang w:val="uk-UA"/>
              </w:rPr>
              <w:t>0,127</w:t>
            </w:r>
          </w:p>
        </w:tc>
      </w:tr>
      <w:tr w:rsidR="00D96FD9" w:rsidRPr="00482A7F" w:rsidTr="00891A82">
        <w:trPr>
          <w:jc w:val="center"/>
        </w:trPr>
        <w:tc>
          <w:tcPr>
            <w:tcW w:w="4209" w:type="dxa"/>
          </w:tcPr>
          <w:p w:rsidR="00D96FD9" w:rsidRPr="00482A7F" w:rsidRDefault="00D96FD9" w:rsidP="00A43692">
            <w:pPr>
              <w:widowControl w:val="0"/>
              <w:spacing w:line="276" w:lineRule="auto"/>
              <w:ind w:left="9"/>
              <w:rPr>
                <w:rFonts w:ascii="Times New Roman" w:hAnsi="Times New Roman"/>
                <w:sz w:val="24"/>
                <w:szCs w:val="24"/>
                <w:lang w:val="uk-UA"/>
              </w:rPr>
            </w:pPr>
            <w:r w:rsidRPr="00482A7F">
              <w:rPr>
                <w:rFonts w:ascii="Times New Roman" w:hAnsi="Times New Roman"/>
                <w:sz w:val="24"/>
                <w:szCs w:val="24"/>
                <w:lang w:val="uk-UA"/>
              </w:rPr>
              <w:t>Хвороби органів травлення  K00-K93</w:t>
            </w:r>
          </w:p>
        </w:tc>
        <w:tc>
          <w:tcPr>
            <w:tcW w:w="678" w:type="dxa"/>
          </w:tcPr>
          <w:p w:rsidR="00D96FD9" w:rsidRPr="00482A7F" w:rsidRDefault="00D96FD9" w:rsidP="00A43692">
            <w:pPr>
              <w:widowControl w:val="0"/>
              <w:spacing w:line="276" w:lineRule="auto"/>
              <w:ind w:left="9"/>
              <w:jc w:val="center"/>
              <w:rPr>
                <w:rFonts w:ascii="Times New Roman" w:hAnsi="Times New Roman"/>
                <w:sz w:val="24"/>
                <w:szCs w:val="24"/>
                <w:lang w:val="uk-UA"/>
              </w:rPr>
            </w:pPr>
            <w:r w:rsidRPr="00482A7F">
              <w:rPr>
                <w:rFonts w:ascii="Times New Roman" w:hAnsi="Times New Roman"/>
                <w:sz w:val="24"/>
                <w:szCs w:val="24"/>
                <w:lang w:val="uk-UA"/>
              </w:rPr>
              <w:t>4</w:t>
            </w:r>
          </w:p>
        </w:tc>
        <w:tc>
          <w:tcPr>
            <w:tcW w:w="783" w:type="dxa"/>
          </w:tcPr>
          <w:p w:rsidR="00D96FD9" w:rsidRPr="00482A7F" w:rsidRDefault="00D96FD9" w:rsidP="00A43692">
            <w:pPr>
              <w:widowControl w:val="0"/>
              <w:spacing w:line="276" w:lineRule="auto"/>
              <w:jc w:val="center"/>
              <w:rPr>
                <w:rFonts w:ascii="Times New Roman" w:hAnsi="Times New Roman"/>
                <w:sz w:val="24"/>
                <w:szCs w:val="24"/>
                <w:lang w:val="uk-UA"/>
              </w:rPr>
            </w:pPr>
            <w:r w:rsidRPr="00482A7F">
              <w:rPr>
                <w:rFonts w:ascii="Times New Roman" w:hAnsi="Times New Roman"/>
                <w:sz w:val="24"/>
                <w:szCs w:val="24"/>
                <w:lang w:val="uk-UA"/>
              </w:rPr>
              <w:t>0,84</w:t>
            </w:r>
          </w:p>
        </w:tc>
        <w:tc>
          <w:tcPr>
            <w:tcW w:w="709" w:type="dxa"/>
          </w:tcPr>
          <w:p w:rsidR="00D96FD9" w:rsidRPr="00482A7F" w:rsidRDefault="00D96FD9" w:rsidP="00A43692">
            <w:pPr>
              <w:widowControl w:val="0"/>
              <w:spacing w:line="276" w:lineRule="auto"/>
              <w:ind w:left="9"/>
              <w:jc w:val="center"/>
              <w:rPr>
                <w:rFonts w:ascii="Times New Roman" w:hAnsi="Times New Roman"/>
                <w:sz w:val="24"/>
                <w:szCs w:val="24"/>
                <w:lang w:val="uk-UA"/>
              </w:rPr>
            </w:pPr>
            <w:r w:rsidRPr="00482A7F">
              <w:rPr>
                <w:rFonts w:ascii="Times New Roman" w:hAnsi="Times New Roman"/>
                <w:sz w:val="24"/>
                <w:szCs w:val="24"/>
                <w:lang w:val="uk-UA"/>
              </w:rPr>
              <w:t>4</w:t>
            </w:r>
          </w:p>
        </w:tc>
        <w:tc>
          <w:tcPr>
            <w:tcW w:w="777" w:type="dxa"/>
          </w:tcPr>
          <w:p w:rsidR="00D96FD9" w:rsidRPr="00482A7F" w:rsidRDefault="00D96FD9" w:rsidP="00A43692">
            <w:pPr>
              <w:widowControl w:val="0"/>
              <w:spacing w:line="276" w:lineRule="auto"/>
              <w:jc w:val="center"/>
              <w:rPr>
                <w:rFonts w:ascii="Times New Roman" w:hAnsi="Times New Roman"/>
                <w:sz w:val="24"/>
                <w:szCs w:val="24"/>
                <w:lang w:val="uk-UA"/>
              </w:rPr>
            </w:pPr>
            <w:r w:rsidRPr="00482A7F">
              <w:rPr>
                <w:rFonts w:ascii="Times New Roman" w:hAnsi="Times New Roman"/>
                <w:sz w:val="24"/>
                <w:szCs w:val="24"/>
                <w:lang w:val="uk-UA"/>
              </w:rPr>
              <w:t>1,32</w:t>
            </w:r>
          </w:p>
        </w:tc>
        <w:tc>
          <w:tcPr>
            <w:tcW w:w="1633" w:type="dxa"/>
          </w:tcPr>
          <w:p w:rsidR="00D96FD9" w:rsidRPr="00482A7F" w:rsidRDefault="00D96FD9" w:rsidP="00A43692">
            <w:pPr>
              <w:widowControl w:val="0"/>
              <w:spacing w:line="276" w:lineRule="auto"/>
              <w:jc w:val="center"/>
              <w:rPr>
                <w:rFonts w:ascii="Times New Roman" w:hAnsi="Times New Roman"/>
                <w:sz w:val="24"/>
                <w:szCs w:val="24"/>
                <w:lang w:val="uk-UA"/>
              </w:rPr>
            </w:pPr>
            <w:r w:rsidRPr="00482A7F">
              <w:rPr>
                <w:rFonts w:ascii="Times New Roman" w:hAnsi="Times New Roman"/>
                <w:sz w:val="24"/>
                <w:szCs w:val="24"/>
                <w:lang w:val="uk-UA"/>
              </w:rPr>
              <w:t>1,58</w:t>
            </w:r>
          </w:p>
          <w:p w:rsidR="00D96FD9" w:rsidRPr="00482A7F" w:rsidRDefault="00931F49" w:rsidP="00A43692">
            <w:pPr>
              <w:widowControl w:val="0"/>
              <w:spacing w:line="276" w:lineRule="auto"/>
              <w:jc w:val="center"/>
              <w:rPr>
                <w:rFonts w:ascii="Times New Roman" w:hAnsi="Times New Roman"/>
                <w:sz w:val="24"/>
                <w:szCs w:val="24"/>
                <w:lang w:val="uk-UA"/>
              </w:rPr>
            </w:pPr>
            <w:r w:rsidRPr="00482A7F">
              <w:rPr>
                <w:rFonts w:ascii="Times New Roman" w:hAnsi="Times New Roman"/>
                <w:sz w:val="24"/>
                <w:szCs w:val="24"/>
                <w:lang w:val="uk-UA"/>
              </w:rPr>
              <w:t>(</w:t>
            </w:r>
            <w:r w:rsidR="00D96FD9" w:rsidRPr="00482A7F">
              <w:rPr>
                <w:rFonts w:ascii="Times New Roman" w:hAnsi="Times New Roman"/>
                <w:sz w:val="24"/>
                <w:szCs w:val="24"/>
                <w:lang w:val="uk-UA"/>
              </w:rPr>
              <w:t>0,29-8,54</w:t>
            </w:r>
            <w:r w:rsidRPr="00482A7F">
              <w:rPr>
                <w:rFonts w:ascii="Times New Roman" w:hAnsi="Times New Roman"/>
                <w:sz w:val="24"/>
                <w:szCs w:val="24"/>
                <w:lang w:val="uk-UA"/>
              </w:rPr>
              <w:t>)</w:t>
            </w:r>
          </w:p>
        </w:tc>
        <w:tc>
          <w:tcPr>
            <w:tcW w:w="986" w:type="dxa"/>
          </w:tcPr>
          <w:p w:rsidR="00D96FD9" w:rsidRPr="00482A7F" w:rsidRDefault="00D96FD9" w:rsidP="00A43692">
            <w:pPr>
              <w:widowControl w:val="0"/>
              <w:spacing w:line="276" w:lineRule="auto"/>
              <w:jc w:val="center"/>
              <w:rPr>
                <w:rFonts w:ascii="Times New Roman" w:hAnsi="Times New Roman"/>
                <w:sz w:val="24"/>
                <w:szCs w:val="24"/>
                <w:lang w:val="uk-UA"/>
              </w:rPr>
            </w:pPr>
            <w:r w:rsidRPr="00482A7F">
              <w:rPr>
                <w:rFonts w:ascii="Times New Roman" w:hAnsi="Times New Roman"/>
                <w:sz w:val="24"/>
                <w:szCs w:val="24"/>
                <w:lang w:val="uk-UA"/>
              </w:rPr>
              <w:t>0,718</w:t>
            </w:r>
          </w:p>
        </w:tc>
      </w:tr>
      <w:tr w:rsidR="00D96FD9" w:rsidRPr="00482A7F" w:rsidTr="00891A82">
        <w:trPr>
          <w:jc w:val="center"/>
        </w:trPr>
        <w:tc>
          <w:tcPr>
            <w:tcW w:w="4209" w:type="dxa"/>
          </w:tcPr>
          <w:p w:rsidR="00D96FD9" w:rsidRPr="00482A7F" w:rsidRDefault="00D96FD9" w:rsidP="00A43692">
            <w:pPr>
              <w:widowControl w:val="0"/>
              <w:spacing w:line="276" w:lineRule="auto"/>
              <w:ind w:left="9"/>
              <w:rPr>
                <w:rFonts w:ascii="Times New Roman" w:hAnsi="Times New Roman"/>
                <w:sz w:val="24"/>
                <w:szCs w:val="24"/>
                <w:lang w:val="uk-UA"/>
              </w:rPr>
            </w:pPr>
            <w:r w:rsidRPr="00482A7F">
              <w:rPr>
                <w:rFonts w:ascii="Times New Roman" w:hAnsi="Times New Roman"/>
                <w:sz w:val="24"/>
                <w:szCs w:val="24"/>
                <w:lang w:val="uk-UA"/>
              </w:rPr>
              <w:t>Хвороби шкіри та підшкірної клітковини       L00-L99</w:t>
            </w:r>
          </w:p>
        </w:tc>
        <w:tc>
          <w:tcPr>
            <w:tcW w:w="678" w:type="dxa"/>
          </w:tcPr>
          <w:p w:rsidR="00D96FD9" w:rsidRPr="00482A7F" w:rsidRDefault="00D96FD9" w:rsidP="00A43692">
            <w:pPr>
              <w:widowControl w:val="0"/>
              <w:spacing w:line="276" w:lineRule="auto"/>
              <w:ind w:left="9"/>
              <w:jc w:val="center"/>
              <w:rPr>
                <w:rFonts w:ascii="Times New Roman" w:hAnsi="Times New Roman"/>
                <w:sz w:val="24"/>
                <w:szCs w:val="24"/>
                <w:lang w:val="uk-UA"/>
              </w:rPr>
            </w:pPr>
            <w:r w:rsidRPr="00482A7F">
              <w:rPr>
                <w:rFonts w:ascii="Times New Roman" w:hAnsi="Times New Roman"/>
                <w:sz w:val="24"/>
                <w:szCs w:val="24"/>
                <w:lang w:val="uk-UA"/>
              </w:rPr>
              <w:t>0</w:t>
            </w:r>
          </w:p>
        </w:tc>
        <w:tc>
          <w:tcPr>
            <w:tcW w:w="783" w:type="dxa"/>
          </w:tcPr>
          <w:p w:rsidR="00D96FD9" w:rsidRPr="00482A7F" w:rsidRDefault="00D96FD9" w:rsidP="00A43692">
            <w:pPr>
              <w:widowControl w:val="0"/>
              <w:spacing w:line="276" w:lineRule="auto"/>
              <w:jc w:val="center"/>
              <w:rPr>
                <w:rFonts w:ascii="Times New Roman" w:hAnsi="Times New Roman"/>
                <w:sz w:val="24"/>
                <w:szCs w:val="24"/>
                <w:lang w:val="uk-UA"/>
              </w:rPr>
            </w:pPr>
            <w:r w:rsidRPr="00482A7F">
              <w:rPr>
                <w:rFonts w:ascii="Times New Roman" w:hAnsi="Times New Roman"/>
                <w:sz w:val="24"/>
                <w:szCs w:val="24"/>
                <w:lang w:val="uk-UA"/>
              </w:rPr>
              <w:t>-</w:t>
            </w:r>
          </w:p>
        </w:tc>
        <w:tc>
          <w:tcPr>
            <w:tcW w:w="709" w:type="dxa"/>
          </w:tcPr>
          <w:p w:rsidR="00D96FD9" w:rsidRPr="00482A7F" w:rsidRDefault="00D96FD9" w:rsidP="00A43692">
            <w:pPr>
              <w:widowControl w:val="0"/>
              <w:spacing w:line="276" w:lineRule="auto"/>
              <w:ind w:left="9"/>
              <w:jc w:val="center"/>
              <w:rPr>
                <w:rFonts w:ascii="Times New Roman" w:hAnsi="Times New Roman"/>
                <w:sz w:val="24"/>
                <w:szCs w:val="24"/>
                <w:lang w:val="uk-UA"/>
              </w:rPr>
            </w:pPr>
            <w:r w:rsidRPr="00482A7F">
              <w:rPr>
                <w:rFonts w:ascii="Times New Roman" w:hAnsi="Times New Roman"/>
                <w:sz w:val="24"/>
                <w:szCs w:val="24"/>
                <w:lang w:val="uk-UA"/>
              </w:rPr>
              <w:t>0</w:t>
            </w:r>
          </w:p>
        </w:tc>
        <w:tc>
          <w:tcPr>
            <w:tcW w:w="777" w:type="dxa"/>
          </w:tcPr>
          <w:p w:rsidR="00D96FD9" w:rsidRPr="00482A7F" w:rsidRDefault="00D96FD9" w:rsidP="00A43692">
            <w:pPr>
              <w:widowControl w:val="0"/>
              <w:spacing w:line="276" w:lineRule="auto"/>
              <w:jc w:val="center"/>
              <w:rPr>
                <w:rFonts w:ascii="Times New Roman" w:hAnsi="Times New Roman"/>
                <w:sz w:val="24"/>
                <w:szCs w:val="24"/>
                <w:lang w:val="uk-UA"/>
              </w:rPr>
            </w:pPr>
            <w:r w:rsidRPr="00482A7F">
              <w:rPr>
                <w:rFonts w:ascii="Times New Roman" w:hAnsi="Times New Roman"/>
                <w:sz w:val="24"/>
                <w:szCs w:val="24"/>
                <w:lang w:val="uk-UA"/>
              </w:rPr>
              <w:t>-</w:t>
            </w:r>
          </w:p>
        </w:tc>
        <w:tc>
          <w:tcPr>
            <w:tcW w:w="1633" w:type="dxa"/>
          </w:tcPr>
          <w:p w:rsidR="00D96FD9" w:rsidRPr="00482A7F" w:rsidRDefault="00D96FD9" w:rsidP="00A43692">
            <w:pPr>
              <w:widowControl w:val="0"/>
              <w:spacing w:line="276" w:lineRule="auto"/>
              <w:jc w:val="center"/>
              <w:rPr>
                <w:rFonts w:ascii="Times New Roman" w:hAnsi="Times New Roman"/>
                <w:sz w:val="24"/>
                <w:szCs w:val="24"/>
                <w:lang w:val="uk-UA"/>
              </w:rPr>
            </w:pPr>
            <w:r w:rsidRPr="00482A7F">
              <w:rPr>
                <w:rFonts w:ascii="Times New Roman" w:hAnsi="Times New Roman"/>
                <w:sz w:val="24"/>
                <w:szCs w:val="24"/>
                <w:lang w:val="uk-UA"/>
              </w:rPr>
              <w:t>-</w:t>
            </w:r>
          </w:p>
        </w:tc>
        <w:tc>
          <w:tcPr>
            <w:tcW w:w="986" w:type="dxa"/>
          </w:tcPr>
          <w:p w:rsidR="00D96FD9" w:rsidRPr="00482A7F" w:rsidRDefault="00D96FD9" w:rsidP="00A43692">
            <w:pPr>
              <w:widowControl w:val="0"/>
              <w:spacing w:line="276" w:lineRule="auto"/>
              <w:jc w:val="center"/>
              <w:rPr>
                <w:rFonts w:ascii="Times New Roman" w:hAnsi="Times New Roman"/>
                <w:sz w:val="24"/>
                <w:szCs w:val="24"/>
                <w:lang w:val="uk-UA"/>
              </w:rPr>
            </w:pPr>
            <w:r w:rsidRPr="00482A7F">
              <w:rPr>
                <w:rFonts w:ascii="Times New Roman" w:hAnsi="Times New Roman"/>
                <w:sz w:val="24"/>
                <w:szCs w:val="24"/>
                <w:lang w:val="uk-UA"/>
              </w:rPr>
              <w:t>-</w:t>
            </w:r>
          </w:p>
        </w:tc>
      </w:tr>
      <w:tr w:rsidR="00D96FD9" w:rsidRPr="00482A7F" w:rsidTr="00891A82">
        <w:trPr>
          <w:jc w:val="center"/>
        </w:trPr>
        <w:tc>
          <w:tcPr>
            <w:tcW w:w="4209" w:type="dxa"/>
          </w:tcPr>
          <w:p w:rsidR="00D96FD9" w:rsidRPr="00482A7F" w:rsidRDefault="00D96FD9" w:rsidP="00A43692">
            <w:pPr>
              <w:widowControl w:val="0"/>
              <w:spacing w:line="276" w:lineRule="auto"/>
              <w:ind w:left="9"/>
              <w:rPr>
                <w:rFonts w:ascii="Times New Roman" w:hAnsi="Times New Roman"/>
                <w:sz w:val="24"/>
                <w:szCs w:val="24"/>
                <w:lang w:val="uk-UA"/>
              </w:rPr>
            </w:pPr>
            <w:r w:rsidRPr="00482A7F">
              <w:rPr>
                <w:rFonts w:ascii="Times New Roman" w:hAnsi="Times New Roman"/>
                <w:sz w:val="24"/>
                <w:szCs w:val="24"/>
                <w:lang w:val="uk-UA"/>
              </w:rPr>
              <w:t>Хвороби кістково-м'язової системи та сполучної тканини</w:t>
            </w:r>
          </w:p>
        </w:tc>
        <w:tc>
          <w:tcPr>
            <w:tcW w:w="678" w:type="dxa"/>
          </w:tcPr>
          <w:p w:rsidR="00D96FD9" w:rsidRPr="00482A7F" w:rsidRDefault="00D96FD9" w:rsidP="00A43692">
            <w:pPr>
              <w:widowControl w:val="0"/>
              <w:spacing w:line="276" w:lineRule="auto"/>
              <w:ind w:left="9"/>
              <w:jc w:val="center"/>
              <w:rPr>
                <w:rFonts w:ascii="Times New Roman" w:hAnsi="Times New Roman"/>
                <w:sz w:val="24"/>
                <w:szCs w:val="24"/>
                <w:lang w:val="uk-UA"/>
              </w:rPr>
            </w:pPr>
            <w:r w:rsidRPr="00482A7F">
              <w:rPr>
                <w:rFonts w:ascii="Times New Roman" w:hAnsi="Times New Roman"/>
                <w:sz w:val="24"/>
                <w:szCs w:val="24"/>
                <w:lang w:val="uk-UA"/>
              </w:rPr>
              <w:t>1</w:t>
            </w:r>
          </w:p>
        </w:tc>
        <w:tc>
          <w:tcPr>
            <w:tcW w:w="783" w:type="dxa"/>
          </w:tcPr>
          <w:p w:rsidR="00D96FD9" w:rsidRPr="00482A7F" w:rsidRDefault="00D96FD9" w:rsidP="00A43692">
            <w:pPr>
              <w:widowControl w:val="0"/>
              <w:spacing w:line="276" w:lineRule="auto"/>
              <w:jc w:val="center"/>
              <w:rPr>
                <w:rFonts w:ascii="Times New Roman" w:hAnsi="Times New Roman"/>
                <w:sz w:val="24"/>
                <w:szCs w:val="24"/>
                <w:lang w:val="uk-UA"/>
              </w:rPr>
            </w:pPr>
            <w:r w:rsidRPr="00482A7F">
              <w:rPr>
                <w:rFonts w:ascii="Times New Roman" w:hAnsi="Times New Roman"/>
                <w:sz w:val="24"/>
                <w:szCs w:val="24"/>
                <w:lang w:val="uk-UA"/>
              </w:rPr>
              <w:t>0,21</w:t>
            </w:r>
          </w:p>
        </w:tc>
        <w:tc>
          <w:tcPr>
            <w:tcW w:w="709" w:type="dxa"/>
          </w:tcPr>
          <w:p w:rsidR="00D96FD9" w:rsidRPr="00482A7F" w:rsidRDefault="00D96FD9" w:rsidP="00A43692">
            <w:pPr>
              <w:widowControl w:val="0"/>
              <w:spacing w:line="276" w:lineRule="auto"/>
              <w:ind w:left="9"/>
              <w:jc w:val="center"/>
              <w:rPr>
                <w:rFonts w:ascii="Times New Roman" w:hAnsi="Times New Roman"/>
                <w:sz w:val="24"/>
                <w:szCs w:val="24"/>
                <w:lang w:val="uk-UA"/>
              </w:rPr>
            </w:pPr>
            <w:r w:rsidRPr="00482A7F">
              <w:rPr>
                <w:rFonts w:ascii="Times New Roman" w:hAnsi="Times New Roman"/>
                <w:sz w:val="24"/>
                <w:szCs w:val="24"/>
                <w:lang w:val="uk-UA"/>
              </w:rPr>
              <w:t>0</w:t>
            </w:r>
          </w:p>
        </w:tc>
        <w:tc>
          <w:tcPr>
            <w:tcW w:w="777" w:type="dxa"/>
          </w:tcPr>
          <w:p w:rsidR="00D96FD9" w:rsidRPr="00482A7F" w:rsidRDefault="00D96FD9" w:rsidP="00A43692">
            <w:pPr>
              <w:widowControl w:val="0"/>
              <w:spacing w:line="276" w:lineRule="auto"/>
              <w:jc w:val="center"/>
              <w:rPr>
                <w:rFonts w:ascii="Times New Roman" w:hAnsi="Times New Roman"/>
                <w:sz w:val="24"/>
                <w:szCs w:val="24"/>
                <w:lang w:val="uk-UA"/>
              </w:rPr>
            </w:pPr>
            <w:r w:rsidRPr="00482A7F">
              <w:rPr>
                <w:rFonts w:ascii="Times New Roman" w:hAnsi="Times New Roman"/>
                <w:sz w:val="24"/>
                <w:szCs w:val="24"/>
                <w:lang w:val="uk-UA"/>
              </w:rPr>
              <w:t>-</w:t>
            </w:r>
          </w:p>
        </w:tc>
        <w:tc>
          <w:tcPr>
            <w:tcW w:w="1633" w:type="dxa"/>
          </w:tcPr>
          <w:p w:rsidR="00D96FD9" w:rsidRPr="00482A7F" w:rsidRDefault="00D96FD9" w:rsidP="00A43692">
            <w:pPr>
              <w:widowControl w:val="0"/>
              <w:spacing w:line="276" w:lineRule="auto"/>
              <w:jc w:val="center"/>
              <w:rPr>
                <w:rFonts w:ascii="Times New Roman" w:hAnsi="Times New Roman"/>
                <w:sz w:val="24"/>
                <w:szCs w:val="24"/>
                <w:lang w:val="uk-UA"/>
              </w:rPr>
            </w:pPr>
            <w:r w:rsidRPr="00482A7F">
              <w:rPr>
                <w:rFonts w:ascii="Times New Roman" w:hAnsi="Times New Roman"/>
                <w:sz w:val="24"/>
                <w:szCs w:val="24"/>
                <w:lang w:val="uk-UA"/>
              </w:rPr>
              <w:t>-</w:t>
            </w:r>
          </w:p>
        </w:tc>
        <w:tc>
          <w:tcPr>
            <w:tcW w:w="986" w:type="dxa"/>
          </w:tcPr>
          <w:p w:rsidR="00D96FD9" w:rsidRPr="00482A7F" w:rsidRDefault="00D96FD9" w:rsidP="00A43692">
            <w:pPr>
              <w:widowControl w:val="0"/>
              <w:spacing w:line="276" w:lineRule="auto"/>
              <w:jc w:val="center"/>
              <w:rPr>
                <w:rFonts w:ascii="Times New Roman" w:hAnsi="Times New Roman"/>
                <w:sz w:val="24"/>
                <w:szCs w:val="24"/>
                <w:lang w:val="uk-UA"/>
              </w:rPr>
            </w:pPr>
            <w:r w:rsidRPr="00482A7F">
              <w:rPr>
                <w:rFonts w:ascii="Times New Roman" w:hAnsi="Times New Roman"/>
                <w:sz w:val="24"/>
                <w:szCs w:val="24"/>
                <w:lang w:val="uk-UA"/>
              </w:rPr>
              <w:t>0,664</w:t>
            </w:r>
          </w:p>
        </w:tc>
      </w:tr>
      <w:tr w:rsidR="00D96FD9" w:rsidRPr="00482A7F" w:rsidTr="00891A82">
        <w:trPr>
          <w:jc w:val="center"/>
        </w:trPr>
        <w:tc>
          <w:tcPr>
            <w:tcW w:w="4209" w:type="dxa"/>
          </w:tcPr>
          <w:p w:rsidR="00D96FD9" w:rsidRPr="00482A7F" w:rsidRDefault="00D96FD9" w:rsidP="00A43692">
            <w:pPr>
              <w:widowControl w:val="0"/>
              <w:spacing w:line="276" w:lineRule="auto"/>
              <w:ind w:left="9"/>
              <w:rPr>
                <w:rFonts w:ascii="Times New Roman" w:hAnsi="Times New Roman"/>
                <w:sz w:val="24"/>
                <w:szCs w:val="24"/>
                <w:lang w:val="uk-UA"/>
              </w:rPr>
            </w:pPr>
            <w:r w:rsidRPr="00482A7F">
              <w:rPr>
                <w:rFonts w:ascii="Times New Roman" w:hAnsi="Times New Roman"/>
                <w:sz w:val="24"/>
                <w:szCs w:val="24"/>
                <w:lang w:val="uk-UA"/>
              </w:rPr>
              <w:t>Хвороби сечостатевої системи  N00-N99</w:t>
            </w:r>
          </w:p>
        </w:tc>
        <w:tc>
          <w:tcPr>
            <w:tcW w:w="678" w:type="dxa"/>
          </w:tcPr>
          <w:p w:rsidR="00D96FD9" w:rsidRPr="00482A7F" w:rsidRDefault="00D96FD9" w:rsidP="00A43692">
            <w:pPr>
              <w:widowControl w:val="0"/>
              <w:spacing w:line="276" w:lineRule="auto"/>
              <w:ind w:left="9"/>
              <w:jc w:val="center"/>
              <w:rPr>
                <w:rFonts w:ascii="Times New Roman" w:hAnsi="Times New Roman"/>
                <w:sz w:val="24"/>
                <w:szCs w:val="24"/>
                <w:lang w:val="uk-UA"/>
              </w:rPr>
            </w:pPr>
            <w:r w:rsidRPr="00482A7F">
              <w:rPr>
                <w:rFonts w:ascii="Times New Roman" w:hAnsi="Times New Roman"/>
                <w:sz w:val="24"/>
                <w:szCs w:val="24"/>
                <w:lang w:val="uk-UA"/>
              </w:rPr>
              <w:t>1</w:t>
            </w:r>
          </w:p>
        </w:tc>
        <w:tc>
          <w:tcPr>
            <w:tcW w:w="783" w:type="dxa"/>
          </w:tcPr>
          <w:p w:rsidR="00D96FD9" w:rsidRPr="00482A7F" w:rsidRDefault="00D96FD9" w:rsidP="00A43692">
            <w:pPr>
              <w:widowControl w:val="0"/>
              <w:spacing w:line="276" w:lineRule="auto"/>
              <w:jc w:val="center"/>
              <w:rPr>
                <w:rFonts w:ascii="Times New Roman" w:hAnsi="Times New Roman"/>
                <w:sz w:val="24"/>
                <w:szCs w:val="24"/>
                <w:lang w:val="uk-UA"/>
              </w:rPr>
            </w:pPr>
            <w:r w:rsidRPr="00482A7F">
              <w:rPr>
                <w:rFonts w:ascii="Times New Roman" w:hAnsi="Times New Roman"/>
                <w:sz w:val="24"/>
                <w:szCs w:val="24"/>
                <w:lang w:val="uk-UA"/>
              </w:rPr>
              <w:t>0,21</w:t>
            </w:r>
          </w:p>
        </w:tc>
        <w:tc>
          <w:tcPr>
            <w:tcW w:w="709" w:type="dxa"/>
          </w:tcPr>
          <w:p w:rsidR="00D96FD9" w:rsidRPr="00482A7F" w:rsidRDefault="00D96FD9" w:rsidP="00A43692">
            <w:pPr>
              <w:widowControl w:val="0"/>
              <w:spacing w:line="276" w:lineRule="auto"/>
              <w:ind w:left="9"/>
              <w:jc w:val="center"/>
              <w:rPr>
                <w:rFonts w:ascii="Times New Roman" w:hAnsi="Times New Roman"/>
                <w:sz w:val="24"/>
                <w:szCs w:val="24"/>
                <w:lang w:val="uk-UA"/>
              </w:rPr>
            </w:pPr>
            <w:r w:rsidRPr="00482A7F">
              <w:rPr>
                <w:rFonts w:ascii="Times New Roman" w:hAnsi="Times New Roman"/>
                <w:sz w:val="24"/>
                <w:szCs w:val="24"/>
                <w:lang w:val="uk-UA"/>
              </w:rPr>
              <w:t>0</w:t>
            </w:r>
          </w:p>
        </w:tc>
        <w:tc>
          <w:tcPr>
            <w:tcW w:w="777" w:type="dxa"/>
          </w:tcPr>
          <w:p w:rsidR="00D96FD9" w:rsidRPr="00482A7F" w:rsidRDefault="00D96FD9" w:rsidP="00A43692">
            <w:pPr>
              <w:widowControl w:val="0"/>
              <w:spacing w:line="276" w:lineRule="auto"/>
              <w:jc w:val="center"/>
              <w:rPr>
                <w:rFonts w:ascii="Times New Roman" w:hAnsi="Times New Roman"/>
                <w:sz w:val="24"/>
                <w:szCs w:val="24"/>
                <w:lang w:val="uk-UA"/>
              </w:rPr>
            </w:pPr>
            <w:r w:rsidRPr="00482A7F">
              <w:rPr>
                <w:rFonts w:ascii="Times New Roman" w:hAnsi="Times New Roman"/>
                <w:sz w:val="24"/>
                <w:szCs w:val="24"/>
                <w:lang w:val="uk-UA"/>
              </w:rPr>
              <w:t>-</w:t>
            </w:r>
          </w:p>
        </w:tc>
        <w:tc>
          <w:tcPr>
            <w:tcW w:w="1633" w:type="dxa"/>
          </w:tcPr>
          <w:p w:rsidR="00D96FD9" w:rsidRPr="00482A7F" w:rsidRDefault="008A4F4B" w:rsidP="00A43692">
            <w:pPr>
              <w:widowControl w:val="0"/>
              <w:spacing w:line="276" w:lineRule="auto"/>
              <w:jc w:val="center"/>
              <w:rPr>
                <w:rFonts w:ascii="Times New Roman" w:hAnsi="Times New Roman"/>
                <w:sz w:val="24"/>
                <w:szCs w:val="24"/>
                <w:lang w:val="uk-UA"/>
              </w:rPr>
            </w:pPr>
            <w:r>
              <w:rPr>
                <w:rFonts w:ascii="Times New Roman" w:hAnsi="Times New Roman"/>
                <w:sz w:val="24"/>
                <w:szCs w:val="24"/>
                <w:lang w:val="uk-UA"/>
              </w:rPr>
              <w:t>-</w:t>
            </w:r>
          </w:p>
        </w:tc>
        <w:tc>
          <w:tcPr>
            <w:tcW w:w="986" w:type="dxa"/>
          </w:tcPr>
          <w:p w:rsidR="00D96FD9" w:rsidRPr="00482A7F" w:rsidRDefault="00D96FD9" w:rsidP="00A43692">
            <w:pPr>
              <w:widowControl w:val="0"/>
              <w:spacing w:line="276" w:lineRule="auto"/>
              <w:jc w:val="center"/>
              <w:rPr>
                <w:rFonts w:ascii="Times New Roman" w:hAnsi="Times New Roman"/>
                <w:sz w:val="24"/>
                <w:szCs w:val="24"/>
                <w:lang w:val="uk-UA"/>
              </w:rPr>
            </w:pPr>
            <w:r w:rsidRPr="00482A7F">
              <w:rPr>
                <w:rFonts w:ascii="Times New Roman" w:hAnsi="Times New Roman"/>
                <w:sz w:val="24"/>
                <w:szCs w:val="24"/>
                <w:lang w:val="uk-UA"/>
              </w:rPr>
              <w:t>0,664</w:t>
            </w:r>
          </w:p>
        </w:tc>
      </w:tr>
      <w:tr w:rsidR="00D96FD9" w:rsidRPr="00482A7F" w:rsidTr="00891A82">
        <w:trPr>
          <w:jc w:val="center"/>
        </w:trPr>
        <w:tc>
          <w:tcPr>
            <w:tcW w:w="4209" w:type="dxa"/>
          </w:tcPr>
          <w:p w:rsidR="00D96FD9" w:rsidRPr="00482A7F" w:rsidRDefault="00D96FD9" w:rsidP="00A43692">
            <w:pPr>
              <w:widowControl w:val="0"/>
              <w:spacing w:line="276" w:lineRule="auto"/>
              <w:ind w:left="9"/>
              <w:rPr>
                <w:rFonts w:ascii="Times New Roman" w:hAnsi="Times New Roman"/>
                <w:sz w:val="24"/>
                <w:szCs w:val="24"/>
                <w:lang w:val="uk-UA"/>
              </w:rPr>
            </w:pPr>
            <w:r w:rsidRPr="00482A7F">
              <w:rPr>
                <w:rFonts w:ascii="Times New Roman" w:hAnsi="Times New Roman"/>
                <w:sz w:val="24"/>
                <w:szCs w:val="24"/>
                <w:lang w:val="uk-UA"/>
              </w:rPr>
              <w:t>Окремі стани, які виникли в перинатальному періоді P05-P96</w:t>
            </w:r>
          </w:p>
        </w:tc>
        <w:tc>
          <w:tcPr>
            <w:tcW w:w="678" w:type="dxa"/>
          </w:tcPr>
          <w:p w:rsidR="00D96FD9" w:rsidRPr="00482A7F" w:rsidRDefault="00D96FD9" w:rsidP="00A43692">
            <w:pPr>
              <w:widowControl w:val="0"/>
              <w:spacing w:line="276" w:lineRule="auto"/>
              <w:ind w:left="9"/>
              <w:jc w:val="center"/>
              <w:rPr>
                <w:rFonts w:ascii="Times New Roman" w:hAnsi="Times New Roman"/>
                <w:sz w:val="24"/>
                <w:szCs w:val="24"/>
                <w:lang w:val="uk-UA"/>
              </w:rPr>
            </w:pPr>
            <w:r w:rsidRPr="00482A7F">
              <w:rPr>
                <w:rFonts w:ascii="Times New Roman" w:hAnsi="Times New Roman"/>
                <w:sz w:val="24"/>
                <w:szCs w:val="24"/>
                <w:lang w:val="uk-UA"/>
              </w:rPr>
              <w:t>20</w:t>
            </w:r>
          </w:p>
        </w:tc>
        <w:tc>
          <w:tcPr>
            <w:tcW w:w="783" w:type="dxa"/>
          </w:tcPr>
          <w:p w:rsidR="00D96FD9" w:rsidRPr="00482A7F" w:rsidRDefault="00D96FD9" w:rsidP="00A43692">
            <w:pPr>
              <w:widowControl w:val="0"/>
              <w:spacing w:line="276" w:lineRule="auto"/>
              <w:jc w:val="center"/>
              <w:rPr>
                <w:rFonts w:ascii="Times New Roman" w:hAnsi="Times New Roman"/>
                <w:sz w:val="24"/>
                <w:szCs w:val="24"/>
                <w:lang w:val="uk-UA"/>
              </w:rPr>
            </w:pPr>
            <w:r w:rsidRPr="00482A7F">
              <w:rPr>
                <w:rFonts w:ascii="Times New Roman" w:hAnsi="Times New Roman"/>
                <w:sz w:val="24"/>
                <w:szCs w:val="24"/>
                <w:lang w:val="uk-UA"/>
              </w:rPr>
              <w:t>4,18</w:t>
            </w:r>
          </w:p>
        </w:tc>
        <w:tc>
          <w:tcPr>
            <w:tcW w:w="709" w:type="dxa"/>
          </w:tcPr>
          <w:p w:rsidR="00D96FD9" w:rsidRPr="00482A7F" w:rsidRDefault="00D96FD9" w:rsidP="00A43692">
            <w:pPr>
              <w:widowControl w:val="0"/>
              <w:spacing w:line="276" w:lineRule="auto"/>
              <w:ind w:left="9"/>
              <w:jc w:val="center"/>
              <w:rPr>
                <w:rFonts w:ascii="Times New Roman" w:hAnsi="Times New Roman"/>
                <w:sz w:val="24"/>
                <w:szCs w:val="24"/>
                <w:lang w:val="uk-UA"/>
              </w:rPr>
            </w:pPr>
            <w:r w:rsidRPr="00482A7F">
              <w:rPr>
                <w:rFonts w:ascii="Times New Roman" w:hAnsi="Times New Roman"/>
                <w:sz w:val="24"/>
                <w:szCs w:val="24"/>
                <w:lang w:val="uk-UA"/>
              </w:rPr>
              <w:t>8</w:t>
            </w:r>
          </w:p>
        </w:tc>
        <w:tc>
          <w:tcPr>
            <w:tcW w:w="777" w:type="dxa"/>
          </w:tcPr>
          <w:p w:rsidR="00D96FD9" w:rsidRPr="00482A7F" w:rsidRDefault="00D96FD9" w:rsidP="00A43692">
            <w:pPr>
              <w:widowControl w:val="0"/>
              <w:spacing w:line="276" w:lineRule="auto"/>
              <w:jc w:val="center"/>
              <w:rPr>
                <w:rFonts w:ascii="Times New Roman" w:hAnsi="Times New Roman"/>
                <w:sz w:val="24"/>
                <w:szCs w:val="24"/>
                <w:lang w:val="uk-UA"/>
              </w:rPr>
            </w:pPr>
            <w:r w:rsidRPr="00482A7F">
              <w:rPr>
                <w:rFonts w:ascii="Times New Roman" w:hAnsi="Times New Roman"/>
                <w:sz w:val="24"/>
                <w:szCs w:val="24"/>
                <w:lang w:val="uk-UA"/>
              </w:rPr>
              <w:t>2,63</w:t>
            </w:r>
          </w:p>
        </w:tc>
        <w:tc>
          <w:tcPr>
            <w:tcW w:w="1633" w:type="dxa"/>
          </w:tcPr>
          <w:p w:rsidR="00D96FD9" w:rsidRPr="00482A7F" w:rsidRDefault="00D96FD9" w:rsidP="00A43692">
            <w:pPr>
              <w:widowControl w:val="0"/>
              <w:spacing w:line="276" w:lineRule="auto"/>
              <w:jc w:val="center"/>
              <w:rPr>
                <w:rFonts w:ascii="Times New Roman" w:hAnsi="Times New Roman"/>
                <w:sz w:val="24"/>
                <w:szCs w:val="24"/>
                <w:lang w:val="uk-UA"/>
              </w:rPr>
            </w:pPr>
            <w:r w:rsidRPr="00482A7F">
              <w:rPr>
                <w:rFonts w:ascii="Times New Roman" w:hAnsi="Times New Roman"/>
                <w:sz w:val="24"/>
                <w:szCs w:val="24"/>
                <w:lang w:val="uk-UA"/>
              </w:rPr>
              <w:t>0,61</w:t>
            </w:r>
          </w:p>
          <w:p w:rsidR="00D96FD9" w:rsidRPr="00482A7F" w:rsidRDefault="00931F49" w:rsidP="00A43692">
            <w:pPr>
              <w:widowControl w:val="0"/>
              <w:spacing w:line="276" w:lineRule="auto"/>
              <w:jc w:val="center"/>
              <w:rPr>
                <w:rFonts w:ascii="Times New Roman" w:hAnsi="Times New Roman"/>
                <w:sz w:val="24"/>
                <w:szCs w:val="24"/>
                <w:lang w:val="uk-UA"/>
              </w:rPr>
            </w:pPr>
            <w:r w:rsidRPr="00482A7F">
              <w:rPr>
                <w:rFonts w:ascii="Times New Roman" w:hAnsi="Times New Roman"/>
                <w:sz w:val="24"/>
                <w:szCs w:val="24"/>
                <w:lang w:val="uk-UA"/>
              </w:rPr>
              <w:t>(</w:t>
            </w:r>
            <w:r w:rsidR="00D96FD9" w:rsidRPr="00482A7F">
              <w:rPr>
                <w:rFonts w:ascii="Times New Roman" w:hAnsi="Times New Roman"/>
                <w:sz w:val="24"/>
                <w:szCs w:val="24"/>
                <w:lang w:val="uk-UA"/>
              </w:rPr>
              <w:t>0,232-1,49</w:t>
            </w:r>
            <w:r w:rsidRPr="00482A7F">
              <w:rPr>
                <w:rFonts w:ascii="Times New Roman" w:hAnsi="Times New Roman"/>
                <w:sz w:val="24"/>
                <w:szCs w:val="24"/>
                <w:lang w:val="uk-UA"/>
              </w:rPr>
              <w:t>)</w:t>
            </w:r>
          </w:p>
        </w:tc>
        <w:tc>
          <w:tcPr>
            <w:tcW w:w="986" w:type="dxa"/>
          </w:tcPr>
          <w:p w:rsidR="00D96FD9" w:rsidRPr="00482A7F" w:rsidRDefault="00D96FD9" w:rsidP="00A43692">
            <w:pPr>
              <w:widowControl w:val="0"/>
              <w:spacing w:line="276" w:lineRule="auto"/>
              <w:jc w:val="center"/>
              <w:rPr>
                <w:rFonts w:ascii="Times New Roman" w:hAnsi="Times New Roman"/>
                <w:sz w:val="24"/>
                <w:szCs w:val="24"/>
                <w:lang w:val="uk-UA"/>
              </w:rPr>
            </w:pPr>
            <w:r w:rsidRPr="00482A7F">
              <w:rPr>
                <w:rFonts w:ascii="Times New Roman" w:hAnsi="Times New Roman"/>
                <w:sz w:val="24"/>
                <w:szCs w:val="24"/>
                <w:lang w:val="uk-UA"/>
              </w:rPr>
              <w:t>0,324</w:t>
            </w:r>
          </w:p>
        </w:tc>
      </w:tr>
      <w:tr w:rsidR="00D96FD9" w:rsidRPr="00482A7F" w:rsidTr="00891A82">
        <w:trPr>
          <w:jc w:val="center"/>
        </w:trPr>
        <w:tc>
          <w:tcPr>
            <w:tcW w:w="4209" w:type="dxa"/>
          </w:tcPr>
          <w:p w:rsidR="00D96FD9" w:rsidRPr="00482A7F" w:rsidRDefault="00D96FD9" w:rsidP="00A43692">
            <w:pPr>
              <w:widowControl w:val="0"/>
              <w:spacing w:line="276" w:lineRule="auto"/>
              <w:ind w:left="9"/>
              <w:rPr>
                <w:rFonts w:ascii="Times New Roman" w:hAnsi="Times New Roman"/>
                <w:sz w:val="24"/>
                <w:szCs w:val="24"/>
                <w:lang w:val="uk-UA"/>
              </w:rPr>
            </w:pPr>
            <w:r w:rsidRPr="00482A7F">
              <w:rPr>
                <w:rFonts w:ascii="Times New Roman" w:hAnsi="Times New Roman"/>
                <w:sz w:val="24"/>
                <w:szCs w:val="24"/>
                <w:lang w:val="uk-UA"/>
              </w:rPr>
              <w:t>Уроджені аномалії     Q00-Q99</w:t>
            </w:r>
          </w:p>
        </w:tc>
        <w:tc>
          <w:tcPr>
            <w:tcW w:w="678" w:type="dxa"/>
          </w:tcPr>
          <w:p w:rsidR="00D96FD9" w:rsidRPr="00482A7F" w:rsidRDefault="00D96FD9" w:rsidP="00A43692">
            <w:pPr>
              <w:widowControl w:val="0"/>
              <w:spacing w:line="276" w:lineRule="auto"/>
              <w:ind w:left="9"/>
              <w:jc w:val="center"/>
              <w:rPr>
                <w:rFonts w:ascii="Times New Roman" w:hAnsi="Times New Roman"/>
                <w:sz w:val="24"/>
                <w:szCs w:val="24"/>
                <w:lang w:val="uk-UA"/>
              </w:rPr>
            </w:pPr>
            <w:r w:rsidRPr="00482A7F">
              <w:rPr>
                <w:rFonts w:ascii="Times New Roman" w:hAnsi="Times New Roman"/>
                <w:sz w:val="24"/>
                <w:szCs w:val="24"/>
                <w:lang w:val="uk-UA"/>
              </w:rPr>
              <w:t>48</w:t>
            </w:r>
          </w:p>
        </w:tc>
        <w:tc>
          <w:tcPr>
            <w:tcW w:w="783" w:type="dxa"/>
          </w:tcPr>
          <w:p w:rsidR="00D96FD9" w:rsidRPr="00482A7F" w:rsidRDefault="00D96FD9" w:rsidP="00A43692">
            <w:pPr>
              <w:widowControl w:val="0"/>
              <w:spacing w:line="276" w:lineRule="auto"/>
              <w:jc w:val="center"/>
              <w:rPr>
                <w:rFonts w:ascii="Times New Roman" w:hAnsi="Times New Roman"/>
                <w:sz w:val="24"/>
                <w:szCs w:val="24"/>
                <w:lang w:val="uk-UA"/>
              </w:rPr>
            </w:pPr>
            <w:r w:rsidRPr="00482A7F">
              <w:rPr>
                <w:rFonts w:ascii="Times New Roman" w:hAnsi="Times New Roman"/>
                <w:sz w:val="24"/>
                <w:szCs w:val="24"/>
                <w:lang w:val="uk-UA"/>
              </w:rPr>
              <w:t>10,04</w:t>
            </w:r>
          </w:p>
        </w:tc>
        <w:tc>
          <w:tcPr>
            <w:tcW w:w="709" w:type="dxa"/>
          </w:tcPr>
          <w:p w:rsidR="00D96FD9" w:rsidRPr="00482A7F" w:rsidRDefault="00D96FD9" w:rsidP="00A43692">
            <w:pPr>
              <w:widowControl w:val="0"/>
              <w:spacing w:line="276" w:lineRule="auto"/>
              <w:ind w:left="9"/>
              <w:jc w:val="center"/>
              <w:rPr>
                <w:rFonts w:ascii="Times New Roman" w:hAnsi="Times New Roman"/>
                <w:sz w:val="24"/>
                <w:szCs w:val="24"/>
                <w:lang w:val="uk-UA"/>
              </w:rPr>
            </w:pPr>
            <w:r w:rsidRPr="00482A7F">
              <w:rPr>
                <w:rFonts w:ascii="Times New Roman" w:hAnsi="Times New Roman"/>
                <w:sz w:val="24"/>
                <w:szCs w:val="24"/>
                <w:lang w:val="uk-UA"/>
              </w:rPr>
              <w:t>35</w:t>
            </w:r>
          </w:p>
        </w:tc>
        <w:tc>
          <w:tcPr>
            <w:tcW w:w="777" w:type="dxa"/>
          </w:tcPr>
          <w:p w:rsidR="00D96FD9" w:rsidRPr="00482A7F" w:rsidRDefault="00891A82" w:rsidP="00A43692">
            <w:pPr>
              <w:widowControl w:val="0"/>
              <w:spacing w:line="276" w:lineRule="auto"/>
              <w:jc w:val="center"/>
              <w:rPr>
                <w:rFonts w:ascii="Times New Roman" w:hAnsi="Times New Roman"/>
                <w:sz w:val="24"/>
                <w:szCs w:val="24"/>
                <w:lang w:val="uk-UA"/>
              </w:rPr>
            </w:pPr>
            <w:r>
              <w:rPr>
                <w:rFonts w:ascii="Times New Roman" w:hAnsi="Times New Roman"/>
                <w:sz w:val="24"/>
                <w:szCs w:val="24"/>
                <w:lang w:val="uk-UA"/>
              </w:rPr>
              <w:t>11,51</w:t>
            </w:r>
          </w:p>
        </w:tc>
        <w:tc>
          <w:tcPr>
            <w:tcW w:w="1633" w:type="dxa"/>
          </w:tcPr>
          <w:p w:rsidR="00D96FD9" w:rsidRPr="00482A7F" w:rsidRDefault="00D96FD9" w:rsidP="00A43692">
            <w:pPr>
              <w:widowControl w:val="0"/>
              <w:spacing w:line="276" w:lineRule="auto"/>
              <w:jc w:val="center"/>
              <w:rPr>
                <w:rFonts w:ascii="Times New Roman" w:hAnsi="Times New Roman"/>
                <w:sz w:val="24"/>
                <w:szCs w:val="24"/>
                <w:lang w:val="uk-UA"/>
              </w:rPr>
            </w:pPr>
            <w:r w:rsidRPr="00482A7F">
              <w:rPr>
                <w:rFonts w:ascii="Times New Roman" w:hAnsi="Times New Roman"/>
                <w:sz w:val="24"/>
                <w:szCs w:val="24"/>
                <w:lang w:val="uk-UA"/>
              </w:rPr>
              <w:t>1,16</w:t>
            </w:r>
          </w:p>
          <w:p w:rsidR="00D96FD9" w:rsidRPr="00482A7F" w:rsidRDefault="00931F49" w:rsidP="00A43692">
            <w:pPr>
              <w:widowControl w:val="0"/>
              <w:spacing w:line="276" w:lineRule="auto"/>
              <w:jc w:val="center"/>
              <w:rPr>
                <w:rFonts w:ascii="Times New Roman" w:hAnsi="Times New Roman"/>
                <w:sz w:val="24"/>
                <w:szCs w:val="24"/>
                <w:lang w:val="uk-UA"/>
              </w:rPr>
            </w:pPr>
            <w:r w:rsidRPr="00482A7F">
              <w:rPr>
                <w:rFonts w:ascii="Times New Roman" w:hAnsi="Times New Roman"/>
                <w:sz w:val="24"/>
                <w:szCs w:val="24"/>
                <w:lang w:val="uk-UA"/>
              </w:rPr>
              <w:t>(</w:t>
            </w:r>
            <w:r w:rsidR="00D96FD9" w:rsidRPr="00482A7F">
              <w:rPr>
                <w:rFonts w:ascii="Times New Roman" w:hAnsi="Times New Roman"/>
                <w:sz w:val="24"/>
                <w:szCs w:val="24"/>
                <w:lang w:val="uk-UA"/>
              </w:rPr>
              <w:t>0,71-1,89</w:t>
            </w:r>
            <w:r w:rsidRPr="00482A7F">
              <w:rPr>
                <w:rFonts w:ascii="Times New Roman" w:hAnsi="Times New Roman"/>
                <w:sz w:val="24"/>
                <w:szCs w:val="24"/>
                <w:lang w:val="uk-UA"/>
              </w:rPr>
              <w:t>)</w:t>
            </w:r>
          </w:p>
        </w:tc>
        <w:tc>
          <w:tcPr>
            <w:tcW w:w="986" w:type="dxa"/>
          </w:tcPr>
          <w:p w:rsidR="00D96FD9" w:rsidRPr="00482A7F" w:rsidRDefault="00D96FD9" w:rsidP="00A43692">
            <w:pPr>
              <w:widowControl w:val="0"/>
              <w:spacing w:line="276" w:lineRule="auto"/>
              <w:jc w:val="center"/>
              <w:rPr>
                <w:rFonts w:ascii="Times New Roman" w:hAnsi="Times New Roman"/>
                <w:sz w:val="24"/>
                <w:szCs w:val="24"/>
                <w:lang w:val="uk-UA"/>
              </w:rPr>
            </w:pPr>
            <w:r w:rsidRPr="00482A7F">
              <w:rPr>
                <w:rFonts w:ascii="Times New Roman" w:hAnsi="Times New Roman"/>
                <w:sz w:val="24"/>
                <w:szCs w:val="24"/>
                <w:lang w:val="uk-UA"/>
              </w:rPr>
              <w:t>0,552</w:t>
            </w:r>
          </w:p>
        </w:tc>
      </w:tr>
      <w:tr w:rsidR="00D96FD9" w:rsidRPr="00482A7F" w:rsidTr="00891A82">
        <w:trPr>
          <w:jc w:val="center"/>
        </w:trPr>
        <w:tc>
          <w:tcPr>
            <w:tcW w:w="4209" w:type="dxa"/>
          </w:tcPr>
          <w:p w:rsidR="00D96FD9" w:rsidRPr="00482A7F" w:rsidRDefault="00D96FD9" w:rsidP="00A43692">
            <w:pPr>
              <w:widowControl w:val="0"/>
              <w:spacing w:line="276" w:lineRule="auto"/>
              <w:ind w:left="9"/>
              <w:rPr>
                <w:rFonts w:ascii="Times New Roman" w:hAnsi="Times New Roman"/>
                <w:sz w:val="24"/>
                <w:szCs w:val="24"/>
                <w:lang w:val="uk-UA"/>
              </w:rPr>
            </w:pPr>
            <w:r w:rsidRPr="00482A7F">
              <w:rPr>
                <w:rFonts w:ascii="Times New Roman" w:hAnsi="Times New Roman"/>
                <w:sz w:val="24"/>
                <w:szCs w:val="24"/>
                <w:lang w:val="uk-UA"/>
              </w:rPr>
              <w:t>у т.ч. інші вроджені вади розвитку нервової системи</w:t>
            </w:r>
          </w:p>
        </w:tc>
        <w:tc>
          <w:tcPr>
            <w:tcW w:w="678" w:type="dxa"/>
          </w:tcPr>
          <w:p w:rsidR="00D96FD9" w:rsidRPr="00482A7F" w:rsidRDefault="00D96FD9" w:rsidP="00A43692">
            <w:pPr>
              <w:widowControl w:val="0"/>
              <w:spacing w:line="276" w:lineRule="auto"/>
              <w:ind w:left="9"/>
              <w:jc w:val="center"/>
              <w:rPr>
                <w:rFonts w:ascii="Times New Roman" w:hAnsi="Times New Roman"/>
                <w:sz w:val="24"/>
                <w:szCs w:val="24"/>
                <w:lang w:val="uk-UA"/>
              </w:rPr>
            </w:pPr>
            <w:r w:rsidRPr="00482A7F">
              <w:rPr>
                <w:rFonts w:ascii="Times New Roman" w:hAnsi="Times New Roman"/>
                <w:sz w:val="24"/>
                <w:szCs w:val="24"/>
                <w:lang w:val="uk-UA"/>
              </w:rPr>
              <w:t>10</w:t>
            </w:r>
          </w:p>
        </w:tc>
        <w:tc>
          <w:tcPr>
            <w:tcW w:w="783" w:type="dxa"/>
          </w:tcPr>
          <w:p w:rsidR="00D96FD9" w:rsidRPr="00482A7F" w:rsidRDefault="00D96FD9" w:rsidP="00A43692">
            <w:pPr>
              <w:widowControl w:val="0"/>
              <w:spacing w:line="276" w:lineRule="auto"/>
              <w:jc w:val="center"/>
              <w:rPr>
                <w:rFonts w:ascii="Times New Roman" w:hAnsi="Times New Roman"/>
                <w:sz w:val="24"/>
                <w:szCs w:val="24"/>
                <w:lang w:val="uk-UA"/>
              </w:rPr>
            </w:pPr>
            <w:r w:rsidRPr="00482A7F">
              <w:rPr>
                <w:rFonts w:ascii="Times New Roman" w:hAnsi="Times New Roman"/>
                <w:sz w:val="24"/>
                <w:szCs w:val="24"/>
                <w:lang w:val="uk-UA"/>
              </w:rPr>
              <w:t>2,1</w:t>
            </w:r>
          </w:p>
        </w:tc>
        <w:tc>
          <w:tcPr>
            <w:tcW w:w="709" w:type="dxa"/>
          </w:tcPr>
          <w:p w:rsidR="00D96FD9" w:rsidRPr="00482A7F" w:rsidRDefault="00D96FD9" w:rsidP="00A43692">
            <w:pPr>
              <w:widowControl w:val="0"/>
              <w:spacing w:line="276" w:lineRule="auto"/>
              <w:ind w:left="9"/>
              <w:jc w:val="center"/>
              <w:rPr>
                <w:rFonts w:ascii="Times New Roman" w:hAnsi="Times New Roman"/>
                <w:sz w:val="24"/>
                <w:szCs w:val="24"/>
                <w:lang w:val="uk-UA"/>
              </w:rPr>
            </w:pPr>
            <w:r w:rsidRPr="00482A7F">
              <w:rPr>
                <w:rFonts w:ascii="Times New Roman" w:hAnsi="Times New Roman"/>
                <w:sz w:val="24"/>
                <w:szCs w:val="24"/>
                <w:lang w:val="uk-UA"/>
              </w:rPr>
              <w:t>2</w:t>
            </w:r>
          </w:p>
        </w:tc>
        <w:tc>
          <w:tcPr>
            <w:tcW w:w="777" w:type="dxa"/>
          </w:tcPr>
          <w:p w:rsidR="00D96FD9" w:rsidRPr="00482A7F" w:rsidRDefault="00D96FD9" w:rsidP="00A43692">
            <w:pPr>
              <w:widowControl w:val="0"/>
              <w:spacing w:line="276" w:lineRule="auto"/>
              <w:jc w:val="center"/>
              <w:rPr>
                <w:rFonts w:ascii="Times New Roman" w:hAnsi="Times New Roman"/>
                <w:sz w:val="24"/>
                <w:szCs w:val="24"/>
                <w:lang w:val="uk-UA"/>
              </w:rPr>
            </w:pPr>
            <w:r w:rsidRPr="00482A7F">
              <w:rPr>
                <w:rFonts w:ascii="Times New Roman" w:hAnsi="Times New Roman"/>
                <w:sz w:val="24"/>
                <w:szCs w:val="24"/>
                <w:lang w:val="uk-UA"/>
              </w:rPr>
              <w:t>0,7</w:t>
            </w:r>
          </w:p>
        </w:tc>
        <w:tc>
          <w:tcPr>
            <w:tcW w:w="1633" w:type="dxa"/>
          </w:tcPr>
          <w:p w:rsidR="00D96FD9" w:rsidRPr="00482A7F" w:rsidRDefault="00D96FD9" w:rsidP="00A43692">
            <w:pPr>
              <w:widowControl w:val="0"/>
              <w:spacing w:line="276" w:lineRule="auto"/>
              <w:jc w:val="center"/>
              <w:rPr>
                <w:rFonts w:ascii="Times New Roman" w:hAnsi="Times New Roman"/>
                <w:sz w:val="24"/>
                <w:szCs w:val="24"/>
                <w:lang w:val="uk-UA"/>
              </w:rPr>
            </w:pPr>
            <w:r w:rsidRPr="00482A7F">
              <w:rPr>
                <w:rFonts w:ascii="Times New Roman" w:hAnsi="Times New Roman"/>
                <w:sz w:val="24"/>
                <w:szCs w:val="24"/>
                <w:lang w:val="uk-UA"/>
              </w:rPr>
              <w:t>0,31</w:t>
            </w:r>
          </w:p>
          <w:p w:rsidR="00D96FD9" w:rsidRPr="00482A7F" w:rsidRDefault="00931F49" w:rsidP="00A43692">
            <w:pPr>
              <w:widowControl w:val="0"/>
              <w:spacing w:line="276" w:lineRule="auto"/>
              <w:jc w:val="center"/>
              <w:rPr>
                <w:rFonts w:ascii="Times New Roman" w:hAnsi="Times New Roman"/>
                <w:sz w:val="24"/>
                <w:szCs w:val="24"/>
                <w:lang w:val="uk-UA"/>
              </w:rPr>
            </w:pPr>
            <w:r w:rsidRPr="00482A7F">
              <w:rPr>
                <w:rFonts w:ascii="Times New Roman" w:hAnsi="Times New Roman"/>
                <w:sz w:val="24"/>
                <w:szCs w:val="24"/>
                <w:lang w:val="uk-UA"/>
              </w:rPr>
              <w:t>(</w:t>
            </w:r>
            <w:r w:rsidR="00D96FD9" w:rsidRPr="00482A7F">
              <w:rPr>
                <w:rFonts w:ascii="Times New Roman" w:hAnsi="Times New Roman"/>
                <w:sz w:val="24"/>
                <w:szCs w:val="24"/>
                <w:lang w:val="uk-UA"/>
              </w:rPr>
              <w:t>0,32-1,47</w:t>
            </w:r>
            <w:r w:rsidRPr="00482A7F">
              <w:rPr>
                <w:rFonts w:ascii="Times New Roman" w:hAnsi="Times New Roman"/>
                <w:sz w:val="24"/>
                <w:szCs w:val="24"/>
                <w:lang w:val="uk-UA"/>
              </w:rPr>
              <w:t>)</w:t>
            </w:r>
          </w:p>
        </w:tc>
        <w:tc>
          <w:tcPr>
            <w:tcW w:w="986" w:type="dxa"/>
          </w:tcPr>
          <w:p w:rsidR="00D96FD9" w:rsidRPr="00482A7F" w:rsidRDefault="00D96FD9" w:rsidP="00A43692">
            <w:pPr>
              <w:widowControl w:val="0"/>
              <w:spacing w:line="276" w:lineRule="auto"/>
              <w:jc w:val="center"/>
              <w:rPr>
                <w:rFonts w:ascii="Times New Roman" w:hAnsi="Times New Roman"/>
                <w:sz w:val="24"/>
                <w:szCs w:val="24"/>
                <w:lang w:val="uk-UA"/>
              </w:rPr>
            </w:pPr>
            <w:r w:rsidRPr="00482A7F">
              <w:rPr>
                <w:rFonts w:ascii="Times New Roman" w:hAnsi="Times New Roman"/>
                <w:sz w:val="24"/>
                <w:szCs w:val="24"/>
                <w:lang w:val="uk-UA"/>
              </w:rPr>
              <w:t>0,141</w:t>
            </w:r>
          </w:p>
        </w:tc>
      </w:tr>
      <w:tr w:rsidR="00D96FD9" w:rsidRPr="00482A7F" w:rsidTr="00891A82">
        <w:trPr>
          <w:jc w:val="center"/>
        </w:trPr>
        <w:tc>
          <w:tcPr>
            <w:tcW w:w="4209" w:type="dxa"/>
          </w:tcPr>
          <w:p w:rsidR="00D96FD9" w:rsidRPr="00482A7F" w:rsidRDefault="00D96FD9" w:rsidP="00A43692">
            <w:pPr>
              <w:widowControl w:val="0"/>
              <w:spacing w:line="276" w:lineRule="auto"/>
              <w:ind w:left="9"/>
              <w:rPr>
                <w:rFonts w:ascii="Times New Roman" w:hAnsi="Times New Roman"/>
                <w:sz w:val="24"/>
                <w:szCs w:val="24"/>
                <w:lang w:val="uk-UA"/>
              </w:rPr>
            </w:pPr>
            <w:r w:rsidRPr="00482A7F">
              <w:rPr>
                <w:rFonts w:ascii="Times New Roman" w:hAnsi="Times New Roman"/>
                <w:sz w:val="24"/>
                <w:szCs w:val="24"/>
                <w:lang w:val="uk-UA"/>
              </w:rPr>
              <w:t>у т.ч. уроджені вади розвитку системи кровообігу  Q20-Q28</w:t>
            </w:r>
          </w:p>
        </w:tc>
        <w:tc>
          <w:tcPr>
            <w:tcW w:w="678" w:type="dxa"/>
          </w:tcPr>
          <w:p w:rsidR="00D96FD9" w:rsidRPr="00482A7F" w:rsidRDefault="00D96FD9" w:rsidP="00A43692">
            <w:pPr>
              <w:widowControl w:val="0"/>
              <w:spacing w:line="276" w:lineRule="auto"/>
              <w:ind w:left="9"/>
              <w:jc w:val="center"/>
              <w:rPr>
                <w:rFonts w:ascii="Times New Roman" w:hAnsi="Times New Roman"/>
                <w:sz w:val="24"/>
                <w:szCs w:val="24"/>
                <w:lang w:val="uk-UA"/>
              </w:rPr>
            </w:pPr>
            <w:r w:rsidRPr="00482A7F">
              <w:rPr>
                <w:rFonts w:ascii="Times New Roman" w:hAnsi="Times New Roman"/>
                <w:sz w:val="24"/>
                <w:szCs w:val="24"/>
                <w:lang w:val="uk-UA"/>
              </w:rPr>
              <w:t>24</w:t>
            </w:r>
          </w:p>
        </w:tc>
        <w:tc>
          <w:tcPr>
            <w:tcW w:w="783" w:type="dxa"/>
          </w:tcPr>
          <w:p w:rsidR="00D96FD9" w:rsidRPr="00482A7F" w:rsidRDefault="00D96FD9" w:rsidP="00A43692">
            <w:pPr>
              <w:widowControl w:val="0"/>
              <w:spacing w:line="276" w:lineRule="auto"/>
              <w:jc w:val="center"/>
              <w:rPr>
                <w:rFonts w:ascii="Times New Roman" w:hAnsi="Times New Roman"/>
                <w:sz w:val="24"/>
                <w:szCs w:val="24"/>
                <w:lang w:val="uk-UA"/>
              </w:rPr>
            </w:pPr>
            <w:r w:rsidRPr="00482A7F">
              <w:rPr>
                <w:rFonts w:ascii="Times New Roman" w:hAnsi="Times New Roman"/>
                <w:sz w:val="24"/>
                <w:szCs w:val="24"/>
                <w:lang w:val="uk-UA"/>
              </w:rPr>
              <w:t>5,0</w:t>
            </w:r>
          </w:p>
        </w:tc>
        <w:tc>
          <w:tcPr>
            <w:tcW w:w="709" w:type="dxa"/>
          </w:tcPr>
          <w:p w:rsidR="00D96FD9" w:rsidRPr="00482A7F" w:rsidRDefault="00D96FD9" w:rsidP="00A43692">
            <w:pPr>
              <w:widowControl w:val="0"/>
              <w:spacing w:line="276" w:lineRule="auto"/>
              <w:ind w:left="9"/>
              <w:jc w:val="center"/>
              <w:rPr>
                <w:rFonts w:ascii="Times New Roman" w:hAnsi="Times New Roman"/>
                <w:sz w:val="24"/>
                <w:szCs w:val="24"/>
                <w:lang w:val="uk-UA"/>
              </w:rPr>
            </w:pPr>
            <w:r w:rsidRPr="00482A7F">
              <w:rPr>
                <w:rFonts w:ascii="Times New Roman" w:hAnsi="Times New Roman"/>
                <w:sz w:val="24"/>
                <w:szCs w:val="24"/>
                <w:lang w:val="uk-UA"/>
              </w:rPr>
              <w:t>19</w:t>
            </w:r>
          </w:p>
        </w:tc>
        <w:tc>
          <w:tcPr>
            <w:tcW w:w="777" w:type="dxa"/>
          </w:tcPr>
          <w:p w:rsidR="00D96FD9" w:rsidRPr="00482A7F" w:rsidRDefault="00D96FD9" w:rsidP="00A43692">
            <w:pPr>
              <w:widowControl w:val="0"/>
              <w:spacing w:line="276" w:lineRule="auto"/>
              <w:jc w:val="center"/>
              <w:rPr>
                <w:rFonts w:ascii="Times New Roman" w:hAnsi="Times New Roman"/>
                <w:sz w:val="24"/>
                <w:szCs w:val="24"/>
                <w:lang w:val="uk-UA"/>
              </w:rPr>
            </w:pPr>
            <w:r w:rsidRPr="00482A7F">
              <w:rPr>
                <w:rFonts w:ascii="Times New Roman" w:hAnsi="Times New Roman"/>
                <w:sz w:val="24"/>
                <w:szCs w:val="24"/>
                <w:lang w:val="uk-UA"/>
              </w:rPr>
              <w:t>6,3</w:t>
            </w:r>
          </w:p>
        </w:tc>
        <w:tc>
          <w:tcPr>
            <w:tcW w:w="1633" w:type="dxa"/>
          </w:tcPr>
          <w:p w:rsidR="00D96FD9" w:rsidRPr="00482A7F" w:rsidRDefault="00D96FD9" w:rsidP="00A43692">
            <w:pPr>
              <w:widowControl w:val="0"/>
              <w:spacing w:line="276" w:lineRule="auto"/>
              <w:jc w:val="center"/>
              <w:rPr>
                <w:rFonts w:ascii="Times New Roman" w:hAnsi="Times New Roman"/>
                <w:sz w:val="24"/>
                <w:szCs w:val="24"/>
                <w:lang w:val="uk-UA"/>
              </w:rPr>
            </w:pPr>
            <w:r w:rsidRPr="00482A7F">
              <w:rPr>
                <w:rFonts w:ascii="Times New Roman" w:hAnsi="Times New Roman"/>
                <w:sz w:val="24"/>
                <w:szCs w:val="24"/>
                <w:lang w:val="uk-UA"/>
              </w:rPr>
              <w:t>1,26</w:t>
            </w:r>
          </w:p>
          <w:p w:rsidR="00D96FD9" w:rsidRPr="00482A7F" w:rsidRDefault="00931F49" w:rsidP="00A43692">
            <w:pPr>
              <w:widowControl w:val="0"/>
              <w:spacing w:line="276" w:lineRule="auto"/>
              <w:jc w:val="center"/>
              <w:rPr>
                <w:rFonts w:ascii="Times New Roman" w:hAnsi="Times New Roman"/>
                <w:sz w:val="24"/>
                <w:szCs w:val="24"/>
                <w:lang w:val="uk-UA"/>
              </w:rPr>
            </w:pPr>
            <w:r w:rsidRPr="00482A7F">
              <w:rPr>
                <w:rFonts w:ascii="Times New Roman" w:hAnsi="Times New Roman"/>
                <w:sz w:val="24"/>
                <w:szCs w:val="24"/>
                <w:lang w:val="uk-UA"/>
              </w:rPr>
              <w:t>(</w:t>
            </w:r>
            <w:r w:rsidR="00D96FD9" w:rsidRPr="00482A7F">
              <w:rPr>
                <w:rFonts w:ascii="Times New Roman" w:hAnsi="Times New Roman"/>
                <w:sz w:val="24"/>
                <w:szCs w:val="24"/>
                <w:lang w:val="uk-UA"/>
              </w:rPr>
              <w:t>0,64-2,44</w:t>
            </w:r>
            <w:r w:rsidRPr="00482A7F">
              <w:rPr>
                <w:rFonts w:ascii="Times New Roman" w:hAnsi="Times New Roman"/>
                <w:sz w:val="24"/>
                <w:szCs w:val="24"/>
                <w:lang w:val="uk-UA"/>
              </w:rPr>
              <w:t>)</w:t>
            </w:r>
          </w:p>
        </w:tc>
        <w:tc>
          <w:tcPr>
            <w:tcW w:w="986" w:type="dxa"/>
          </w:tcPr>
          <w:p w:rsidR="00D96FD9" w:rsidRPr="00482A7F" w:rsidRDefault="00D96FD9" w:rsidP="00A43692">
            <w:pPr>
              <w:widowControl w:val="0"/>
              <w:spacing w:line="276" w:lineRule="auto"/>
              <w:jc w:val="center"/>
              <w:rPr>
                <w:rFonts w:ascii="Times New Roman" w:hAnsi="Times New Roman"/>
                <w:sz w:val="24"/>
                <w:szCs w:val="24"/>
                <w:lang w:val="uk-UA"/>
              </w:rPr>
            </w:pPr>
            <w:r w:rsidRPr="00482A7F">
              <w:rPr>
                <w:rFonts w:ascii="Times New Roman" w:hAnsi="Times New Roman"/>
                <w:sz w:val="24"/>
                <w:szCs w:val="24"/>
                <w:lang w:val="uk-UA"/>
              </w:rPr>
              <w:t>0,521</w:t>
            </w:r>
          </w:p>
        </w:tc>
      </w:tr>
      <w:tr w:rsidR="00D96FD9" w:rsidRPr="00482A7F" w:rsidTr="00891A82">
        <w:trPr>
          <w:jc w:val="center"/>
        </w:trPr>
        <w:tc>
          <w:tcPr>
            <w:tcW w:w="4209" w:type="dxa"/>
          </w:tcPr>
          <w:p w:rsidR="00D96FD9" w:rsidRPr="00482A7F" w:rsidRDefault="00D96FD9" w:rsidP="00A43692">
            <w:pPr>
              <w:widowControl w:val="0"/>
              <w:spacing w:line="276" w:lineRule="auto"/>
              <w:ind w:left="9"/>
              <w:rPr>
                <w:rFonts w:ascii="Times New Roman" w:hAnsi="Times New Roman"/>
                <w:sz w:val="24"/>
                <w:szCs w:val="24"/>
                <w:lang w:val="uk-UA"/>
              </w:rPr>
            </w:pPr>
            <w:r w:rsidRPr="00482A7F">
              <w:rPr>
                <w:rFonts w:ascii="Times New Roman" w:hAnsi="Times New Roman"/>
                <w:sz w:val="24"/>
                <w:szCs w:val="24"/>
                <w:lang w:val="uk-UA"/>
              </w:rPr>
              <w:t>Симптоми,</w:t>
            </w:r>
            <w:r w:rsidR="003A3017" w:rsidRPr="00482A7F">
              <w:rPr>
                <w:rFonts w:ascii="Times New Roman" w:hAnsi="Times New Roman"/>
                <w:sz w:val="24"/>
                <w:szCs w:val="24"/>
                <w:lang w:val="uk-UA"/>
              </w:rPr>
              <w:t xml:space="preserve"> </w:t>
            </w:r>
            <w:r w:rsidR="009B3849">
              <w:rPr>
                <w:rFonts w:ascii="Times New Roman" w:hAnsi="Times New Roman"/>
                <w:sz w:val="24"/>
                <w:szCs w:val="24"/>
                <w:lang w:val="uk-UA"/>
              </w:rPr>
              <w:t>ознаки та відхи</w:t>
            </w:r>
            <w:r w:rsidRPr="00482A7F">
              <w:rPr>
                <w:rFonts w:ascii="Times New Roman" w:hAnsi="Times New Roman"/>
                <w:sz w:val="24"/>
                <w:szCs w:val="24"/>
                <w:lang w:val="uk-UA"/>
              </w:rPr>
              <w:t>лення від норми      R00-R99</w:t>
            </w:r>
          </w:p>
        </w:tc>
        <w:tc>
          <w:tcPr>
            <w:tcW w:w="678" w:type="dxa"/>
          </w:tcPr>
          <w:p w:rsidR="00D96FD9" w:rsidRPr="00482A7F" w:rsidRDefault="00D96FD9" w:rsidP="00A43692">
            <w:pPr>
              <w:widowControl w:val="0"/>
              <w:spacing w:line="276" w:lineRule="auto"/>
              <w:ind w:left="9"/>
              <w:jc w:val="center"/>
              <w:rPr>
                <w:rFonts w:ascii="Times New Roman" w:hAnsi="Times New Roman"/>
                <w:sz w:val="24"/>
                <w:szCs w:val="24"/>
                <w:lang w:val="uk-UA"/>
              </w:rPr>
            </w:pPr>
            <w:r w:rsidRPr="00482A7F">
              <w:rPr>
                <w:rFonts w:ascii="Times New Roman" w:hAnsi="Times New Roman"/>
                <w:sz w:val="24"/>
                <w:szCs w:val="24"/>
                <w:lang w:val="uk-UA"/>
              </w:rPr>
              <w:t>115</w:t>
            </w:r>
          </w:p>
        </w:tc>
        <w:tc>
          <w:tcPr>
            <w:tcW w:w="783" w:type="dxa"/>
          </w:tcPr>
          <w:p w:rsidR="00D96FD9" w:rsidRPr="00482A7F" w:rsidRDefault="00D96FD9" w:rsidP="00A43692">
            <w:pPr>
              <w:widowControl w:val="0"/>
              <w:spacing w:line="276" w:lineRule="auto"/>
              <w:jc w:val="center"/>
              <w:rPr>
                <w:rFonts w:ascii="Times New Roman" w:hAnsi="Times New Roman"/>
                <w:sz w:val="24"/>
                <w:szCs w:val="24"/>
                <w:lang w:val="uk-UA"/>
              </w:rPr>
            </w:pPr>
            <w:r w:rsidRPr="00482A7F">
              <w:rPr>
                <w:rFonts w:ascii="Times New Roman" w:hAnsi="Times New Roman"/>
                <w:sz w:val="24"/>
                <w:szCs w:val="24"/>
                <w:lang w:val="uk-UA"/>
              </w:rPr>
              <w:t>24,06</w:t>
            </w:r>
          </w:p>
        </w:tc>
        <w:tc>
          <w:tcPr>
            <w:tcW w:w="709" w:type="dxa"/>
          </w:tcPr>
          <w:p w:rsidR="00D96FD9" w:rsidRPr="00482A7F" w:rsidRDefault="00D96FD9" w:rsidP="00A43692">
            <w:pPr>
              <w:widowControl w:val="0"/>
              <w:spacing w:line="276" w:lineRule="auto"/>
              <w:ind w:left="9"/>
              <w:jc w:val="center"/>
              <w:rPr>
                <w:rFonts w:ascii="Times New Roman" w:hAnsi="Times New Roman"/>
                <w:sz w:val="24"/>
                <w:szCs w:val="24"/>
                <w:lang w:val="uk-UA"/>
              </w:rPr>
            </w:pPr>
            <w:r w:rsidRPr="00482A7F">
              <w:rPr>
                <w:rFonts w:ascii="Times New Roman" w:hAnsi="Times New Roman"/>
                <w:sz w:val="24"/>
                <w:szCs w:val="24"/>
                <w:lang w:val="uk-UA"/>
              </w:rPr>
              <w:t>65</w:t>
            </w:r>
          </w:p>
        </w:tc>
        <w:tc>
          <w:tcPr>
            <w:tcW w:w="777" w:type="dxa"/>
          </w:tcPr>
          <w:p w:rsidR="00D96FD9" w:rsidRPr="00482A7F" w:rsidRDefault="00D96FD9" w:rsidP="00A43692">
            <w:pPr>
              <w:widowControl w:val="0"/>
              <w:spacing w:line="276" w:lineRule="auto"/>
              <w:jc w:val="center"/>
              <w:rPr>
                <w:rFonts w:ascii="Times New Roman" w:hAnsi="Times New Roman"/>
                <w:sz w:val="24"/>
                <w:szCs w:val="24"/>
                <w:lang w:val="uk-UA"/>
              </w:rPr>
            </w:pPr>
            <w:r w:rsidRPr="00482A7F">
              <w:rPr>
                <w:rFonts w:ascii="Times New Roman" w:hAnsi="Times New Roman"/>
                <w:sz w:val="24"/>
                <w:szCs w:val="24"/>
                <w:lang w:val="uk-UA"/>
              </w:rPr>
              <w:t>21,38</w:t>
            </w:r>
          </w:p>
        </w:tc>
        <w:tc>
          <w:tcPr>
            <w:tcW w:w="1633" w:type="dxa"/>
          </w:tcPr>
          <w:p w:rsidR="00D96FD9" w:rsidRPr="00482A7F" w:rsidRDefault="00D96FD9" w:rsidP="00A43692">
            <w:pPr>
              <w:widowControl w:val="0"/>
              <w:spacing w:line="276" w:lineRule="auto"/>
              <w:jc w:val="center"/>
              <w:rPr>
                <w:rFonts w:ascii="Times New Roman" w:hAnsi="Times New Roman"/>
                <w:sz w:val="24"/>
                <w:szCs w:val="24"/>
                <w:lang w:val="uk-UA"/>
              </w:rPr>
            </w:pPr>
            <w:r w:rsidRPr="00482A7F">
              <w:rPr>
                <w:rFonts w:ascii="Times New Roman" w:hAnsi="Times New Roman"/>
                <w:sz w:val="24"/>
                <w:szCs w:val="24"/>
                <w:lang w:val="uk-UA"/>
              </w:rPr>
              <w:t>0,85</w:t>
            </w:r>
          </w:p>
          <w:p w:rsidR="00D96FD9" w:rsidRPr="00482A7F" w:rsidRDefault="00931F49" w:rsidP="00A43692">
            <w:pPr>
              <w:widowControl w:val="0"/>
              <w:spacing w:line="276" w:lineRule="auto"/>
              <w:jc w:val="center"/>
              <w:rPr>
                <w:rFonts w:ascii="Times New Roman" w:hAnsi="Times New Roman"/>
                <w:sz w:val="24"/>
                <w:szCs w:val="24"/>
                <w:lang w:val="uk-UA"/>
              </w:rPr>
            </w:pPr>
            <w:r w:rsidRPr="00482A7F">
              <w:rPr>
                <w:rFonts w:ascii="Times New Roman" w:hAnsi="Times New Roman"/>
                <w:sz w:val="24"/>
                <w:szCs w:val="24"/>
                <w:lang w:val="uk-UA"/>
              </w:rPr>
              <w:t>(</w:t>
            </w:r>
            <w:r w:rsidR="00D96FD9" w:rsidRPr="00482A7F">
              <w:rPr>
                <w:rFonts w:ascii="Times New Roman" w:hAnsi="Times New Roman"/>
                <w:sz w:val="24"/>
                <w:szCs w:val="24"/>
                <w:lang w:val="uk-UA"/>
              </w:rPr>
              <w:t>0,59-1,23</w:t>
            </w:r>
            <w:r w:rsidRPr="00482A7F">
              <w:rPr>
                <w:rFonts w:ascii="Times New Roman" w:hAnsi="Times New Roman"/>
                <w:sz w:val="24"/>
                <w:szCs w:val="24"/>
                <w:lang w:val="uk-UA"/>
              </w:rPr>
              <w:t>)</w:t>
            </w:r>
          </w:p>
        </w:tc>
        <w:tc>
          <w:tcPr>
            <w:tcW w:w="986" w:type="dxa"/>
          </w:tcPr>
          <w:p w:rsidR="00D96FD9" w:rsidRPr="00482A7F" w:rsidRDefault="00D96FD9" w:rsidP="00A43692">
            <w:pPr>
              <w:widowControl w:val="0"/>
              <w:spacing w:line="276" w:lineRule="auto"/>
              <w:jc w:val="center"/>
              <w:rPr>
                <w:rFonts w:ascii="Times New Roman" w:hAnsi="Times New Roman"/>
                <w:sz w:val="24"/>
                <w:szCs w:val="24"/>
                <w:lang w:val="uk-UA"/>
              </w:rPr>
            </w:pPr>
            <w:r w:rsidRPr="00482A7F">
              <w:rPr>
                <w:rFonts w:ascii="Times New Roman" w:hAnsi="Times New Roman"/>
                <w:sz w:val="24"/>
                <w:szCs w:val="24"/>
                <w:lang w:val="uk-UA"/>
              </w:rPr>
              <w:t>0,433</w:t>
            </w:r>
          </w:p>
        </w:tc>
      </w:tr>
      <w:tr w:rsidR="00D96FD9" w:rsidRPr="00482A7F" w:rsidTr="00891A82">
        <w:trPr>
          <w:jc w:val="center"/>
        </w:trPr>
        <w:tc>
          <w:tcPr>
            <w:tcW w:w="4209" w:type="dxa"/>
          </w:tcPr>
          <w:p w:rsidR="00D96FD9" w:rsidRPr="00482A7F" w:rsidRDefault="00D96FD9" w:rsidP="00A43692">
            <w:pPr>
              <w:widowControl w:val="0"/>
              <w:spacing w:line="276" w:lineRule="auto"/>
              <w:ind w:left="9"/>
              <w:rPr>
                <w:rFonts w:ascii="Times New Roman" w:hAnsi="Times New Roman"/>
                <w:sz w:val="24"/>
                <w:szCs w:val="24"/>
                <w:lang w:val="uk-UA"/>
              </w:rPr>
            </w:pPr>
            <w:r w:rsidRPr="00482A7F">
              <w:rPr>
                <w:rFonts w:ascii="Times New Roman" w:hAnsi="Times New Roman"/>
                <w:sz w:val="24"/>
                <w:szCs w:val="24"/>
                <w:lang w:val="uk-UA"/>
              </w:rPr>
              <w:t>у т.ч. синдром раптової смерті немовляти         R95</w:t>
            </w:r>
          </w:p>
        </w:tc>
        <w:tc>
          <w:tcPr>
            <w:tcW w:w="678" w:type="dxa"/>
          </w:tcPr>
          <w:p w:rsidR="00D96FD9" w:rsidRPr="00482A7F" w:rsidRDefault="00D96FD9" w:rsidP="00A43692">
            <w:pPr>
              <w:widowControl w:val="0"/>
              <w:spacing w:line="276" w:lineRule="auto"/>
              <w:ind w:left="9"/>
              <w:jc w:val="center"/>
              <w:rPr>
                <w:rFonts w:ascii="Times New Roman" w:hAnsi="Times New Roman"/>
                <w:sz w:val="24"/>
                <w:szCs w:val="24"/>
                <w:lang w:val="uk-UA"/>
              </w:rPr>
            </w:pPr>
            <w:r w:rsidRPr="00482A7F">
              <w:rPr>
                <w:rFonts w:ascii="Times New Roman" w:hAnsi="Times New Roman"/>
                <w:sz w:val="24"/>
                <w:szCs w:val="24"/>
                <w:lang w:val="uk-UA"/>
              </w:rPr>
              <w:t>109</w:t>
            </w:r>
          </w:p>
        </w:tc>
        <w:tc>
          <w:tcPr>
            <w:tcW w:w="783" w:type="dxa"/>
          </w:tcPr>
          <w:p w:rsidR="00D96FD9" w:rsidRPr="00482A7F" w:rsidRDefault="00D96FD9" w:rsidP="00A43692">
            <w:pPr>
              <w:widowControl w:val="0"/>
              <w:spacing w:line="276" w:lineRule="auto"/>
              <w:jc w:val="center"/>
              <w:rPr>
                <w:rFonts w:ascii="Times New Roman" w:hAnsi="Times New Roman"/>
                <w:sz w:val="24"/>
                <w:szCs w:val="24"/>
                <w:lang w:val="uk-UA"/>
              </w:rPr>
            </w:pPr>
            <w:r w:rsidRPr="00482A7F">
              <w:rPr>
                <w:rFonts w:ascii="Times New Roman" w:hAnsi="Times New Roman"/>
                <w:sz w:val="24"/>
                <w:szCs w:val="24"/>
                <w:lang w:val="uk-UA"/>
              </w:rPr>
              <w:t>22,8</w:t>
            </w:r>
          </w:p>
        </w:tc>
        <w:tc>
          <w:tcPr>
            <w:tcW w:w="709" w:type="dxa"/>
          </w:tcPr>
          <w:p w:rsidR="00D96FD9" w:rsidRPr="00482A7F" w:rsidRDefault="00D96FD9" w:rsidP="00A43692">
            <w:pPr>
              <w:widowControl w:val="0"/>
              <w:spacing w:line="276" w:lineRule="auto"/>
              <w:ind w:left="9"/>
              <w:jc w:val="center"/>
              <w:rPr>
                <w:rFonts w:ascii="Times New Roman" w:hAnsi="Times New Roman"/>
                <w:sz w:val="24"/>
                <w:szCs w:val="24"/>
                <w:lang w:val="uk-UA"/>
              </w:rPr>
            </w:pPr>
            <w:r w:rsidRPr="00482A7F">
              <w:rPr>
                <w:rFonts w:ascii="Times New Roman" w:hAnsi="Times New Roman"/>
                <w:sz w:val="24"/>
                <w:szCs w:val="24"/>
                <w:lang w:val="uk-UA"/>
              </w:rPr>
              <w:t>56</w:t>
            </w:r>
          </w:p>
        </w:tc>
        <w:tc>
          <w:tcPr>
            <w:tcW w:w="777" w:type="dxa"/>
          </w:tcPr>
          <w:p w:rsidR="00D96FD9" w:rsidRPr="00482A7F" w:rsidRDefault="00D96FD9" w:rsidP="00A43692">
            <w:pPr>
              <w:widowControl w:val="0"/>
              <w:spacing w:line="276" w:lineRule="auto"/>
              <w:jc w:val="center"/>
              <w:rPr>
                <w:rFonts w:ascii="Times New Roman" w:hAnsi="Times New Roman"/>
                <w:sz w:val="24"/>
                <w:szCs w:val="24"/>
                <w:lang w:val="uk-UA"/>
              </w:rPr>
            </w:pPr>
            <w:r w:rsidRPr="00482A7F">
              <w:rPr>
                <w:rFonts w:ascii="Times New Roman" w:hAnsi="Times New Roman"/>
                <w:sz w:val="24"/>
                <w:szCs w:val="24"/>
                <w:lang w:val="uk-UA"/>
              </w:rPr>
              <w:t>18,4</w:t>
            </w:r>
          </w:p>
        </w:tc>
        <w:tc>
          <w:tcPr>
            <w:tcW w:w="1633" w:type="dxa"/>
          </w:tcPr>
          <w:p w:rsidR="00D96FD9" w:rsidRPr="00482A7F" w:rsidRDefault="00D96FD9" w:rsidP="00A43692">
            <w:pPr>
              <w:widowControl w:val="0"/>
              <w:spacing w:line="276" w:lineRule="auto"/>
              <w:jc w:val="center"/>
              <w:rPr>
                <w:rFonts w:ascii="Times New Roman" w:hAnsi="Times New Roman"/>
                <w:sz w:val="24"/>
                <w:szCs w:val="24"/>
                <w:lang w:val="uk-UA"/>
              </w:rPr>
            </w:pPr>
            <w:r w:rsidRPr="00482A7F">
              <w:rPr>
                <w:rFonts w:ascii="Times New Roman" w:hAnsi="Times New Roman"/>
                <w:sz w:val="24"/>
                <w:szCs w:val="24"/>
                <w:lang w:val="uk-UA"/>
              </w:rPr>
              <w:t>0,76</w:t>
            </w:r>
          </w:p>
          <w:p w:rsidR="00D96FD9" w:rsidRPr="00482A7F" w:rsidRDefault="00931F49" w:rsidP="00A43692">
            <w:pPr>
              <w:widowControl w:val="0"/>
              <w:spacing w:line="276" w:lineRule="auto"/>
              <w:jc w:val="center"/>
              <w:rPr>
                <w:rFonts w:ascii="Times New Roman" w:hAnsi="Times New Roman"/>
                <w:sz w:val="24"/>
                <w:szCs w:val="24"/>
                <w:lang w:val="uk-UA"/>
              </w:rPr>
            </w:pPr>
            <w:r w:rsidRPr="00482A7F">
              <w:rPr>
                <w:rFonts w:ascii="Times New Roman" w:hAnsi="Times New Roman"/>
                <w:sz w:val="24"/>
                <w:szCs w:val="24"/>
                <w:lang w:val="uk-UA"/>
              </w:rPr>
              <w:t>(</w:t>
            </w:r>
            <w:r w:rsidR="00D96FD9" w:rsidRPr="00482A7F">
              <w:rPr>
                <w:rFonts w:ascii="Times New Roman" w:hAnsi="Times New Roman"/>
                <w:sz w:val="24"/>
                <w:szCs w:val="24"/>
                <w:lang w:val="uk-UA"/>
              </w:rPr>
              <w:t>0,52-1,11</w:t>
            </w:r>
            <w:r w:rsidRPr="00482A7F">
              <w:rPr>
                <w:rFonts w:ascii="Times New Roman" w:hAnsi="Times New Roman"/>
                <w:sz w:val="24"/>
                <w:szCs w:val="24"/>
                <w:lang w:val="uk-UA"/>
              </w:rPr>
              <w:t>)</w:t>
            </w:r>
          </w:p>
        </w:tc>
        <w:tc>
          <w:tcPr>
            <w:tcW w:w="986" w:type="dxa"/>
          </w:tcPr>
          <w:p w:rsidR="00D96FD9" w:rsidRPr="00482A7F" w:rsidRDefault="00D96FD9" w:rsidP="00A43692">
            <w:pPr>
              <w:widowControl w:val="0"/>
              <w:spacing w:line="276" w:lineRule="auto"/>
              <w:jc w:val="center"/>
              <w:rPr>
                <w:rFonts w:ascii="Times New Roman" w:hAnsi="Times New Roman"/>
                <w:sz w:val="24"/>
                <w:szCs w:val="24"/>
                <w:lang w:val="uk-UA"/>
              </w:rPr>
            </w:pPr>
            <w:r w:rsidRPr="00482A7F">
              <w:rPr>
                <w:rFonts w:ascii="Times New Roman" w:hAnsi="Times New Roman"/>
                <w:sz w:val="24"/>
                <w:szCs w:val="24"/>
                <w:lang w:val="uk-UA"/>
              </w:rPr>
              <w:t>0,151</w:t>
            </w:r>
          </w:p>
        </w:tc>
      </w:tr>
      <w:tr w:rsidR="00D96FD9" w:rsidRPr="00482A7F" w:rsidTr="00891A82">
        <w:trPr>
          <w:jc w:val="center"/>
        </w:trPr>
        <w:tc>
          <w:tcPr>
            <w:tcW w:w="4209" w:type="dxa"/>
          </w:tcPr>
          <w:p w:rsidR="00D96FD9" w:rsidRPr="00482A7F" w:rsidRDefault="00D96FD9" w:rsidP="00A43692">
            <w:pPr>
              <w:widowControl w:val="0"/>
              <w:spacing w:line="276" w:lineRule="auto"/>
              <w:ind w:left="9"/>
              <w:rPr>
                <w:rFonts w:ascii="Times New Roman" w:hAnsi="Times New Roman"/>
                <w:sz w:val="24"/>
                <w:szCs w:val="24"/>
                <w:lang w:val="uk-UA"/>
              </w:rPr>
            </w:pPr>
            <w:r w:rsidRPr="00482A7F">
              <w:rPr>
                <w:rFonts w:ascii="Times New Roman" w:hAnsi="Times New Roman"/>
                <w:sz w:val="24"/>
                <w:szCs w:val="24"/>
                <w:lang w:val="uk-UA"/>
              </w:rPr>
              <w:t>Травми, отруєння та деякі інші наслідки дії зовнішніх причин     S00-T98</w:t>
            </w:r>
          </w:p>
        </w:tc>
        <w:tc>
          <w:tcPr>
            <w:tcW w:w="678" w:type="dxa"/>
          </w:tcPr>
          <w:p w:rsidR="00D96FD9" w:rsidRPr="00482A7F" w:rsidRDefault="00D96FD9" w:rsidP="00A43692">
            <w:pPr>
              <w:widowControl w:val="0"/>
              <w:spacing w:line="276" w:lineRule="auto"/>
              <w:ind w:left="9"/>
              <w:jc w:val="center"/>
              <w:rPr>
                <w:rFonts w:ascii="Times New Roman" w:hAnsi="Times New Roman"/>
                <w:sz w:val="24"/>
                <w:szCs w:val="24"/>
                <w:lang w:val="uk-UA"/>
              </w:rPr>
            </w:pPr>
            <w:r w:rsidRPr="00482A7F">
              <w:rPr>
                <w:rFonts w:ascii="Times New Roman" w:hAnsi="Times New Roman"/>
                <w:sz w:val="24"/>
                <w:szCs w:val="24"/>
                <w:lang w:val="uk-UA"/>
              </w:rPr>
              <w:t>158</w:t>
            </w:r>
          </w:p>
        </w:tc>
        <w:tc>
          <w:tcPr>
            <w:tcW w:w="783" w:type="dxa"/>
          </w:tcPr>
          <w:p w:rsidR="00D96FD9" w:rsidRPr="00482A7F" w:rsidRDefault="00D96FD9" w:rsidP="00A43692">
            <w:pPr>
              <w:widowControl w:val="0"/>
              <w:spacing w:line="276" w:lineRule="auto"/>
              <w:jc w:val="center"/>
              <w:rPr>
                <w:rFonts w:ascii="Times New Roman" w:hAnsi="Times New Roman"/>
                <w:sz w:val="24"/>
                <w:szCs w:val="24"/>
                <w:lang w:val="uk-UA"/>
              </w:rPr>
            </w:pPr>
            <w:r w:rsidRPr="00482A7F">
              <w:rPr>
                <w:rFonts w:ascii="Times New Roman" w:hAnsi="Times New Roman"/>
                <w:sz w:val="24"/>
                <w:szCs w:val="24"/>
                <w:lang w:val="uk-UA"/>
              </w:rPr>
              <w:t>33,05</w:t>
            </w:r>
          </w:p>
        </w:tc>
        <w:tc>
          <w:tcPr>
            <w:tcW w:w="709" w:type="dxa"/>
          </w:tcPr>
          <w:p w:rsidR="00D96FD9" w:rsidRPr="00482A7F" w:rsidRDefault="00D96FD9" w:rsidP="00A43692">
            <w:pPr>
              <w:widowControl w:val="0"/>
              <w:spacing w:line="276" w:lineRule="auto"/>
              <w:ind w:left="9"/>
              <w:jc w:val="center"/>
              <w:rPr>
                <w:rFonts w:ascii="Times New Roman" w:hAnsi="Times New Roman"/>
                <w:sz w:val="24"/>
                <w:szCs w:val="24"/>
                <w:lang w:val="uk-UA"/>
              </w:rPr>
            </w:pPr>
            <w:r w:rsidRPr="00482A7F">
              <w:rPr>
                <w:rFonts w:ascii="Times New Roman" w:hAnsi="Times New Roman"/>
                <w:sz w:val="24"/>
                <w:szCs w:val="24"/>
                <w:lang w:val="uk-UA"/>
              </w:rPr>
              <w:t>85</w:t>
            </w:r>
          </w:p>
        </w:tc>
        <w:tc>
          <w:tcPr>
            <w:tcW w:w="777" w:type="dxa"/>
          </w:tcPr>
          <w:p w:rsidR="00D96FD9" w:rsidRPr="00482A7F" w:rsidRDefault="00D96FD9" w:rsidP="00A43692">
            <w:pPr>
              <w:widowControl w:val="0"/>
              <w:spacing w:line="276" w:lineRule="auto"/>
              <w:jc w:val="center"/>
              <w:rPr>
                <w:rFonts w:ascii="Times New Roman" w:hAnsi="Times New Roman"/>
                <w:sz w:val="24"/>
                <w:szCs w:val="24"/>
                <w:lang w:val="uk-UA"/>
              </w:rPr>
            </w:pPr>
            <w:r w:rsidRPr="00482A7F">
              <w:rPr>
                <w:rFonts w:ascii="Times New Roman" w:hAnsi="Times New Roman"/>
                <w:sz w:val="24"/>
                <w:szCs w:val="24"/>
                <w:lang w:val="uk-UA"/>
              </w:rPr>
              <w:t>27,96</w:t>
            </w:r>
          </w:p>
        </w:tc>
        <w:tc>
          <w:tcPr>
            <w:tcW w:w="1633" w:type="dxa"/>
          </w:tcPr>
          <w:p w:rsidR="00D96FD9" w:rsidRPr="00482A7F" w:rsidRDefault="00D96FD9" w:rsidP="00A43692">
            <w:pPr>
              <w:widowControl w:val="0"/>
              <w:spacing w:line="276" w:lineRule="auto"/>
              <w:jc w:val="center"/>
              <w:rPr>
                <w:rFonts w:ascii="Times New Roman" w:hAnsi="Times New Roman"/>
                <w:sz w:val="24"/>
                <w:szCs w:val="24"/>
                <w:lang w:val="uk-UA"/>
              </w:rPr>
            </w:pPr>
            <w:r w:rsidRPr="00482A7F">
              <w:rPr>
                <w:rFonts w:ascii="Times New Roman" w:hAnsi="Times New Roman"/>
                <w:sz w:val="24"/>
                <w:szCs w:val="24"/>
                <w:lang w:val="uk-UA"/>
              </w:rPr>
              <w:t>0,76</w:t>
            </w:r>
          </w:p>
          <w:p w:rsidR="00D96FD9" w:rsidRPr="00482A7F" w:rsidRDefault="00931F49" w:rsidP="00A43692">
            <w:pPr>
              <w:widowControl w:val="0"/>
              <w:spacing w:line="276" w:lineRule="auto"/>
              <w:jc w:val="center"/>
              <w:rPr>
                <w:rFonts w:ascii="Times New Roman" w:hAnsi="Times New Roman"/>
                <w:sz w:val="24"/>
                <w:szCs w:val="24"/>
                <w:lang w:val="uk-UA"/>
              </w:rPr>
            </w:pPr>
            <w:r w:rsidRPr="00482A7F">
              <w:rPr>
                <w:rFonts w:ascii="Times New Roman" w:hAnsi="Times New Roman"/>
                <w:sz w:val="24"/>
                <w:szCs w:val="24"/>
                <w:lang w:val="uk-UA"/>
              </w:rPr>
              <w:t>(</w:t>
            </w:r>
            <w:r w:rsidR="00D96FD9" w:rsidRPr="00482A7F">
              <w:rPr>
                <w:rFonts w:ascii="Times New Roman" w:hAnsi="Times New Roman"/>
                <w:sz w:val="24"/>
                <w:szCs w:val="24"/>
                <w:lang w:val="uk-UA"/>
              </w:rPr>
              <w:t>0,56-1,08</w:t>
            </w:r>
            <w:r w:rsidRPr="00482A7F">
              <w:rPr>
                <w:rFonts w:ascii="Times New Roman" w:hAnsi="Times New Roman"/>
                <w:sz w:val="24"/>
                <w:szCs w:val="24"/>
                <w:lang w:val="uk-UA"/>
              </w:rPr>
              <w:t>)</w:t>
            </w:r>
          </w:p>
        </w:tc>
        <w:tc>
          <w:tcPr>
            <w:tcW w:w="986" w:type="dxa"/>
          </w:tcPr>
          <w:p w:rsidR="00D96FD9" w:rsidRPr="00482A7F" w:rsidRDefault="00D96FD9" w:rsidP="00A43692">
            <w:pPr>
              <w:widowControl w:val="0"/>
              <w:spacing w:line="276" w:lineRule="auto"/>
              <w:jc w:val="center"/>
              <w:rPr>
                <w:rFonts w:ascii="Times New Roman" w:hAnsi="Times New Roman"/>
                <w:sz w:val="24"/>
                <w:szCs w:val="24"/>
                <w:lang w:val="uk-UA"/>
              </w:rPr>
            </w:pPr>
            <w:r w:rsidRPr="00482A7F">
              <w:rPr>
                <w:rFonts w:ascii="Times New Roman" w:hAnsi="Times New Roman"/>
                <w:sz w:val="24"/>
                <w:szCs w:val="24"/>
                <w:lang w:val="uk-UA"/>
              </w:rPr>
              <w:t>0,153</w:t>
            </w:r>
          </w:p>
        </w:tc>
      </w:tr>
    </w:tbl>
    <w:p w:rsidR="00D96FD9" w:rsidRPr="00006A39" w:rsidRDefault="00D96FD9" w:rsidP="009D12BB">
      <w:pPr>
        <w:widowControl w:val="0"/>
        <w:spacing w:before="240"/>
        <w:ind w:firstLine="709"/>
        <w:rPr>
          <w:color w:val="000000"/>
          <w:szCs w:val="28"/>
        </w:rPr>
      </w:pPr>
      <w:r w:rsidRPr="00006A39">
        <w:rPr>
          <w:color w:val="000000"/>
          <w:szCs w:val="28"/>
        </w:rPr>
        <w:t xml:space="preserve">Отже, не зважаючи на достовірне зниження </w:t>
      </w:r>
      <w:r w:rsidRPr="00006A39">
        <w:rPr>
          <w:rFonts w:eastAsia="NewtonC-Bold" w:cs="NewtonC-Bold"/>
          <w:bCs/>
          <w:szCs w:val="28"/>
          <w:lang w:eastAsia="ru-RU"/>
        </w:rPr>
        <w:t>показника смертності поза стаціонаром дітей віком до 1-го року життя, які перебували під наглядом дитячих поліклінічних закладів сфери управління МОЗ України,</w:t>
      </w:r>
      <w:r w:rsidRPr="00006A39">
        <w:rPr>
          <w:color w:val="000000"/>
          <w:szCs w:val="28"/>
        </w:rPr>
        <w:t xml:space="preserve"> зберігаються: а) суттєві варіації даного показника за окремими адм</w:t>
      </w:r>
      <w:r w:rsidR="00D035A1">
        <w:rPr>
          <w:color w:val="000000"/>
          <w:szCs w:val="28"/>
        </w:rPr>
        <w:t>іністративними територіями;</w:t>
      </w:r>
      <w:r w:rsidRPr="00006A39">
        <w:rPr>
          <w:color w:val="000000"/>
          <w:szCs w:val="28"/>
        </w:rPr>
        <w:t xml:space="preserve"> </w:t>
      </w:r>
      <w:r w:rsidRPr="00006A39">
        <w:rPr>
          <w:color w:val="000000"/>
          <w:szCs w:val="28"/>
        </w:rPr>
        <w:lastRenderedPageBreak/>
        <w:t>б)</w:t>
      </w:r>
      <w:r w:rsidR="00E93980">
        <w:rPr>
          <w:color w:val="000000"/>
          <w:szCs w:val="28"/>
          <w:lang w:val="en-US"/>
        </w:rPr>
        <w:t> </w:t>
      </w:r>
      <w:r w:rsidRPr="00006A39">
        <w:rPr>
          <w:color w:val="000000"/>
          <w:szCs w:val="28"/>
        </w:rPr>
        <w:t xml:space="preserve">відсутність </w:t>
      </w:r>
      <w:r w:rsidR="007B53F5">
        <w:rPr>
          <w:color w:val="000000"/>
          <w:szCs w:val="28"/>
        </w:rPr>
        <w:t>тенденції до зменшення частки</w:t>
      </w:r>
      <w:r w:rsidRPr="00006A39">
        <w:rPr>
          <w:color w:val="000000"/>
          <w:szCs w:val="28"/>
        </w:rPr>
        <w:t xml:space="preserve"> дітей, які помирають поза стаціонару у заг</w:t>
      </w:r>
      <w:r w:rsidR="00D035A1">
        <w:rPr>
          <w:color w:val="000000"/>
          <w:szCs w:val="28"/>
        </w:rPr>
        <w:t>альній кількості померлих дітей;</w:t>
      </w:r>
      <w:r w:rsidRPr="00006A39">
        <w:rPr>
          <w:color w:val="000000"/>
          <w:szCs w:val="28"/>
        </w:rPr>
        <w:t xml:space="preserve"> в) стала причинна структура. </w:t>
      </w:r>
    </w:p>
    <w:p w:rsidR="00D96FD9" w:rsidRPr="00235EC0" w:rsidRDefault="00BD1C6B" w:rsidP="0025050D">
      <w:pPr>
        <w:widowControl w:val="0"/>
        <w:tabs>
          <w:tab w:val="left" w:pos="875"/>
        </w:tabs>
        <w:spacing w:before="240" w:after="240"/>
        <w:ind w:firstLine="709"/>
        <w:rPr>
          <w:b/>
          <w:szCs w:val="28"/>
          <w:lang w:val="ru-RU"/>
        </w:rPr>
      </w:pPr>
      <w:r w:rsidRPr="00235EC0">
        <w:rPr>
          <w:b/>
          <w:szCs w:val="28"/>
        </w:rPr>
        <w:t>3.2.3.</w:t>
      </w:r>
      <w:r w:rsidR="00CA6DF6" w:rsidRPr="00235EC0">
        <w:rPr>
          <w:b/>
          <w:szCs w:val="28"/>
          <w:lang w:val="ru-RU"/>
        </w:rPr>
        <w:t xml:space="preserve"> Смертність дітей до 1 року життя у лікарняних стаціонарах</w:t>
      </w:r>
    </w:p>
    <w:p w:rsidR="00CA6DF6" w:rsidRPr="00CA6DF6" w:rsidRDefault="00CA6DF6" w:rsidP="00504F3D">
      <w:pPr>
        <w:spacing w:before="240"/>
        <w:ind w:firstLine="709"/>
        <w:rPr>
          <w:rFonts w:eastAsia="Calibri"/>
          <w:szCs w:val="28"/>
        </w:rPr>
      </w:pPr>
      <w:r w:rsidRPr="00CA6DF6">
        <w:rPr>
          <w:rFonts w:eastAsia="Calibri"/>
          <w:szCs w:val="28"/>
        </w:rPr>
        <w:t>В ході дослідження нами була вивчена госпітальна летальність, як один з показників ефективності стаціонарної допомоги. За результатами дослідження, в цілому в Україні у 2018 р. у лікарняних стаціонарах померло 2780 дітей у віці 0-17 років життя, що на 23,4% менше ніж у 2014 р. (3590 дітей у 2014 р.). Серед всіх випадків смерті, що відбулись за аналізований період у стаціонарах, найбільша частка випадків смерті спостерігається серед дітей у віці до 1 року (2018 р. – 72,84%  – 2025 дітей), що зменшилась на 27,34% відносно 2014 р. (77,63% – 2787 дітей), при цьому для дітей до 1 року померти у стаціонарі ВШ=0,773 (95% ДІ 0,689-0,867, стандартна помилка відношення шансів (</w:t>
      </w:r>
      <w:r w:rsidR="003014E6">
        <w:rPr>
          <w:rFonts w:eastAsia="Calibri"/>
          <w:szCs w:val="28"/>
          <w:lang w:val="en-US"/>
        </w:rPr>
        <w:t>s</w:t>
      </w:r>
      <w:r w:rsidRPr="00CA6DF6">
        <w:rPr>
          <w:rFonts w:eastAsia="Calibri"/>
          <w:szCs w:val="28"/>
        </w:rPr>
        <w:t>) 0,059).</w:t>
      </w:r>
    </w:p>
    <w:p w:rsidR="00CA6DF6" w:rsidRPr="00CA6DF6" w:rsidRDefault="00CA6DF6" w:rsidP="00CA6DF6">
      <w:pPr>
        <w:tabs>
          <w:tab w:val="left" w:pos="993"/>
        </w:tabs>
        <w:ind w:firstLine="709"/>
        <w:rPr>
          <w:rFonts w:eastAsia="Calibri"/>
          <w:color w:val="000000"/>
          <w:szCs w:val="28"/>
        </w:rPr>
      </w:pPr>
      <w:r w:rsidRPr="00CA6DF6">
        <w:rPr>
          <w:rFonts w:eastAsia="Calibri"/>
          <w:szCs w:val="28"/>
        </w:rPr>
        <w:t>Протягом 2014-2018 рр. показник госпітальної летальності дітей 1-го року життя  в Україні мав тенденцію до зниження на 3,1% у 2018 р. відносно 2014 р., спадна тенденція спостерігалась лише у 12 регіонах при з</w:t>
      </w:r>
      <w:r w:rsidR="007D70E5">
        <w:rPr>
          <w:rFonts w:eastAsia="Calibri"/>
          <w:szCs w:val="28"/>
        </w:rPr>
        <w:t>ростанні показника у 12 областях</w:t>
      </w:r>
      <w:r w:rsidRPr="00CA6DF6">
        <w:rPr>
          <w:rFonts w:eastAsia="Calibri"/>
          <w:szCs w:val="28"/>
        </w:rPr>
        <w:t xml:space="preserve"> і стабілізації у Рівненській області. </w:t>
      </w:r>
      <w:r w:rsidRPr="00CA6DF6">
        <w:rPr>
          <w:rFonts w:eastAsia="Calibri"/>
          <w:szCs w:val="28"/>
          <w:lang w:val="ru-RU"/>
        </w:rPr>
        <w:t xml:space="preserve">Більш інтенсивними темпами зростала </w:t>
      </w:r>
      <w:r w:rsidRPr="00CA6DF6">
        <w:rPr>
          <w:rFonts w:eastAsia="Calibri"/>
          <w:szCs w:val="28"/>
        </w:rPr>
        <w:t xml:space="preserve">госпітальна </w:t>
      </w:r>
      <w:r w:rsidRPr="00CA6DF6">
        <w:rPr>
          <w:rFonts w:eastAsia="Calibri"/>
          <w:szCs w:val="28"/>
          <w:lang w:val="ru-RU"/>
        </w:rPr>
        <w:t>летальність дітей до 1-го року у Луганській (+59,65%), Волинській (+27,85%),</w:t>
      </w:r>
      <w:r w:rsidRPr="00CA6DF6">
        <w:rPr>
          <w:rFonts w:eastAsia="Calibri"/>
          <w:szCs w:val="28"/>
        </w:rPr>
        <w:t xml:space="preserve"> </w:t>
      </w:r>
      <w:r w:rsidRPr="00CA6DF6">
        <w:rPr>
          <w:rFonts w:eastAsia="Calibri"/>
          <w:szCs w:val="28"/>
          <w:lang w:val="ru-RU"/>
        </w:rPr>
        <w:t xml:space="preserve">Запорізькій (+26,92%), Дніпропетровській (+25,0%) і Черкаській (+20,0%) областях. </w:t>
      </w:r>
      <w:r w:rsidRPr="00CA6DF6">
        <w:rPr>
          <w:rFonts w:eastAsia="Calibri"/>
          <w:szCs w:val="28"/>
        </w:rPr>
        <w:t>В цілому у 2018 р. в</w:t>
      </w:r>
      <w:r w:rsidRPr="00CA6DF6">
        <w:rPr>
          <w:rFonts w:eastAsia="Calibri"/>
          <w:szCs w:val="28"/>
          <w:lang w:val="ru-RU"/>
        </w:rPr>
        <w:t xml:space="preserve">ище середніх по Україні показники </w:t>
      </w:r>
      <w:r w:rsidRPr="00CA6DF6">
        <w:rPr>
          <w:rFonts w:eastAsia="Calibri"/>
          <w:szCs w:val="28"/>
        </w:rPr>
        <w:t>госпітальної</w:t>
      </w:r>
      <w:r w:rsidRPr="00CA6DF6">
        <w:rPr>
          <w:rFonts w:eastAsia="Calibri"/>
          <w:szCs w:val="28"/>
          <w:lang w:val="ru-RU"/>
        </w:rPr>
        <w:t xml:space="preserve"> летальності дітей 1-го року життя – у Волинській, Дніпропетровській, Донецькій, Житомирській, Івано-Франківській, Львівській, Рівненській, Херсонській, Чернівецькій і Чернігівській областях</w:t>
      </w:r>
      <w:r w:rsidRPr="00CA6DF6">
        <w:rPr>
          <w:rFonts w:eastAsia="Calibri"/>
          <w:szCs w:val="28"/>
        </w:rPr>
        <w:t xml:space="preserve"> та м. Київ. Звичайно, така різниця показників летальності в розрізі регіонів зумовлена як якістю медичної допомоги, так і частотою вибулих пацієнтів із хворобами, яким притаманна висока летальність. При цьому слід зазначити, що спостерігається  зростання </w:t>
      </w:r>
      <w:r w:rsidRPr="00CA6DF6">
        <w:rPr>
          <w:rFonts w:eastAsia="Calibri"/>
          <w:bCs/>
          <w:szCs w:val="28"/>
        </w:rPr>
        <w:t>медіанного значення показника госпітальної летальності дітей до 1-го року життя (Ме=0,87 у 2014 р. та Ме=0,96 у 2018 р.) на тлі збільшення міжквартильного інтервалу (відповідно 0,27 и 0,36, С</w:t>
      </w:r>
      <w:r w:rsidRPr="00CA6DF6">
        <w:rPr>
          <w:rFonts w:eastAsia="Calibri"/>
          <w:bCs/>
          <w:szCs w:val="28"/>
          <w:lang w:val="en-US"/>
        </w:rPr>
        <w:t>v</w:t>
      </w:r>
      <w:r w:rsidRPr="00CA6DF6">
        <w:rPr>
          <w:rFonts w:eastAsia="Calibri"/>
          <w:bCs/>
          <w:szCs w:val="28"/>
        </w:rPr>
        <w:t>=21,37% та С</w:t>
      </w:r>
      <w:r w:rsidRPr="00CA6DF6">
        <w:rPr>
          <w:rFonts w:eastAsia="Calibri"/>
          <w:bCs/>
          <w:szCs w:val="28"/>
          <w:lang w:val="en-US"/>
        </w:rPr>
        <w:t>v</w:t>
      </w:r>
      <w:r w:rsidRPr="00CA6DF6">
        <w:rPr>
          <w:rFonts w:eastAsia="Calibri"/>
          <w:bCs/>
          <w:szCs w:val="28"/>
        </w:rPr>
        <w:t xml:space="preserve">=23,07% (варіація слабка), стандартна помилка 0,0411 та 0,0436) </w:t>
      </w:r>
      <w:r w:rsidR="007717AF" w:rsidRPr="007717AF">
        <w:rPr>
          <w:rFonts w:eastAsia="Calibri"/>
          <w:szCs w:val="28"/>
        </w:rPr>
        <w:t>(табл.</w:t>
      </w:r>
      <w:r w:rsidR="00115787" w:rsidRPr="007717AF">
        <w:rPr>
          <w:rFonts w:eastAsia="Calibri"/>
          <w:szCs w:val="28"/>
        </w:rPr>
        <w:t>3.9</w:t>
      </w:r>
      <w:r w:rsidRPr="007717AF">
        <w:rPr>
          <w:rFonts w:eastAsia="Calibri"/>
          <w:szCs w:val="28"/>
        </w:rPr>
        <w:t>).</w:t>
      </w:r>
    </w:p>
    <w:p w:rsidR="00CA6DF6" w:rsidRPr="00CA6DF6" w:rsidRDefault="00CA6DF6" w:rsidP="00CA6DF6">
      <w:pPr>
        <w:tabs>
          <w:tab w:val="left" w:pos="993"/>
        </w:tabs>
        <w:ind w:firstLine="709"/>
        <w:jc w:val="right"/>
        <w:rPr>
          <w:rFonts w:eastAsia="Calibri"/>
          <w:i/>
          <w:color w:val="000000"/>
          <w:szCs w:val="28"/>
        </w:rPr>
      </w:pPr>
      <w:r w:rsidRPr="00CA6DF6">
        <w:rPr>
          <w:rFonts w:ascii="Calibri" w:eastAsia="Calibri" w:hAnsi="Calibri"/>
          <w:color w:val="000000"/>
          <w:sz w:val="22"/>
        </w:rPr>
        <w:lastRenderedPageBreak/>
        <w:t xml:space="preserve">                                                                                                                                                 </w:t>
      </w:r>
      <w:r w:rsidRPr="00B908BD">
        <w:rPr>
          <w:rFonts w:eastAsia="Calibri"/>
          <w:i/>
          <w:szCs w:val="28"/>
          <w:lang w:val="ru-RU"/>
        </w:rPr>
        <w:t>Таблиця 3.</w:t>
      </w:r>
      <w:r w:rsidR="00115787" w:rsidRPr="00B908BD">
        <w:rPr>
          <w:rFonts w:eastAsia="Calibri"/>
          <w:i/>
          <w:szCs w:val="28"/>
        </w:rPr>
        <w:t>9</w:t>
      </w:r>
    </w:p>
    <w:p w:rsidR="00CA6DF6" w:rsidRPr="00F10195" w:rsidRDefault="00CA6DF6" w:rsidP="00F10195">
      <w:pPr>
        <w:tabs>
          <w:tab w:val="left" w:pos="993"/>
        </w:tabs>
        <w:jc w:val="center"/>
        <w:rPr>
          <w:rFonts w:eastAsia="Calibri"/>
          <w:b/>
          <w:szCs w:val="28"/>
          <w:lang w:val="ru-RU"/>
        </w:rPr>
      </w:pPr>
      <w:r w:rsidRPr="00F10195">
        <w:rPr>
          <w:rFonts w:eastAsia="Calibri"/>
          <w:b/>
          <w:szCs w:val="28"/>
          <w:lang w:val="ru-RU"/>
        </w:rPr>
        <w:t>Характеристика госпітальної летальності дітей, 2014, 2018</w:t>
      </w:r>
      <w:r w:rsidRPr="00F10195">
        <w:rPr>
          <w:rFonts w:eastAsia="Calibri"/>
          <w:b/>
          <w:szCs w:val="28"/>
        </w:rPr>
        <w:t xml:space="preserve"> </w:t>
      </w:r>
      <w:r w:rsidRPr="00F10195">
        <w:rPr>
          <w:rFonts w:eastAsia="Calibri"/>
          <w:b/>
          <w:szCs w:val="28"/>
          <w:lang w:val="ru-RU"/>
        </w:rPr>
        <w:t>рр.</w:t>
      </w:r>
      <w:r w:rsidRPr="00F10195">
        <w:rPr>
          <w:rFonts w:eastAsia="Calibri"/>
          <w:b/>
          <w:szCs w:val="28"/>
        </w:rPr>
        <w:t xml:space="preserve"> </w:t>
      </w:r>
      <w:r w:rsidRPr="00F10195">
        <w:rPr>
          <w:rFonts w:eastAsia="Calibri"/>
          <w:b/>
          <w:szCs w:val="28"/>
          <w:lang w:val="ru-RU"/>
        </w:rPr>
        <w:t>(% на вибувших дітей відповідного віку)</w:t>
      </w:r>
    </w:p>
    <w:tbl>
      <w:tblPr>
        <w:tblW w:w="0" w:type="auto"/>
        <w:jc w:val="center"/>
        <w:tblInd w:w="-9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69"/>
        <w:gridCol w:w="1276"/>
        <w:gridCol w:w="993"/>
        <w:gridCol w:w="1417"/>
      </w:tblGrid>
      <w:tr w:rsidR="00CA6DF6" w:rsidRPr="00CA6DF6" w:rsidTr="00A2459B">
        <w:trPr>
          <w:trHeight w:val="225"/>
          <w:jc w:val="center"/>
        </w:trPr>
        <w:tc>
          <w:tcPr>
            <w:tcW w:w="3069" w:type="dxa"/>
            <w:shd w:val="clear" w:color="auto" w:fill="auto"/>
            <w:vAlign w:val="center"/>
            <w:hideMark/>
          </w:tcPr>
          <w:p w:rsidR="00CA6DF6" w:rsidRPr="00CA6DF6" w:rsidRDefault="00CA6DF6" w:rsidP="0025050D">
            <w:pPr>
              <w:tabs>
                <w:tab w:val="left" w:pos="993"/>
              </w:tabs>
              <w:spacing w:line="276" w:lineRule="auto"/>
              <w:jc w:val="center"/>
              <w:rPr>
                <w:rFonts w:eastAsia="Calibri"/>
                <w:bCs/>
                <w:sz w:val="24"/>
                <w:szCs w:val="24"/>
                <w:lang w:val="ru-RU"/>
              </w:rPr>
            </w:pPr>
            <w:r w:rsidRPr="00CA6DF6">
              <w:rPr>
                <w:rFonts w:eastAsia="Calibri"/>
                <w:bCs/>
                <w:sz w:val="24"/>
                <w:szCs w:val="24"/>
                <w:lang w:val="ru-RU"/>
              </w:rPr>
              <w:t>Область</w:t>
            </w:r>
          </w:p>
        </w:tc>
        <w:tc>
          <w:tcPr>
            <w:tcW w:w="3686" w:type="dxa"/>
            <w:gridSpan w:val="3"/>
            <w:shd w:val="clear" w:color="auto" w:fill="auto"/>
            <w:vAlign w:val="center"/>
          </w:tcPr>
          <w:p w:rsidR="00CA6DF6" w:rsidRPr="00CA6DF6" w:rsidRDefault="00CA6DF6" w:rsidP="0025050D">
            <w:pPr>
              <w:tabs>
                <w:tab w:val="left" w:pos="993"/>
              </w:tabs>
              <w:spacing w:line="276" w:lineRule="auto"/>
              <w:jc w:val="left"/>
              <w:rPr>
                <w:rFonts w:eastAsia="Calibri"/>
                <w:bCs/>
                <w:sz w:val="24"/>
                <w:szCs w:val="24"/>
              </w:rPr>
            </w:pPr>
            <w:r w:rsidRPr="00CA6DF6">
              <w:rPr>
                <w:rFonts w:eastAsia="Calibri"/>
                <w:bCs/>
                <w:sz w:val="24"/>
                <w:szCs w:val="24"/>
              </w:rPr>
              <w:t xml:space="preserve">    </w:t>
            </w:r>
            <w:r w:rsidRPr="00CA6DF6">
              <w:rPr>
                <w:rFonts w:eastAsia="Calibri"/>
                <w:bCs/>
                <w:sz w:val="24"/>
                <w:szCs w:val="24"/>
                <w:lang w:val="ru-RU"/>
              </w:rPr>
              <w:t>Летальність до 1 року</w:t>
            </w:r>
            <w:r w:rsidRPr="00CA6DF6">
              <w:rPr>
                <w:rFonts w:eastAsia="Calibri"/>
                <w:bCs/>
                <w:sz w:val="24"/>
                <w:szCs w:val="24"/>
              </w:rPr>
              <w:t xml:space="preserve"> </w:t>
            </w:r>
            <w:r w:rsidRPr="00CA6DF6">
              <w:rPr>
                <w:rFonts w:eastAsia="Calibri"/>
                <w:sz w:val="24"/>
                <w:szCs w:val="24"/>
              </w:rPr>
              <w:t>життя</w:t>
            </w:r>
          </w:p>
        </w:tc>
      </w:tr>
      <w:tr w:rsidR="00CA6DF6" w:rsidRPr="00CA6DF6" w:rsidTr="00A2459B">
        <w:trPr>
          <w:trHeight w:val="225"/>
          <w:jc w:val="center"/>
        </w:trPr>
        <w:tc>
          <w:tcPr>
            <w:tcW w:w="3069" w:type="dxa"/>
            <w:shd w:val="clear" w:color="auto" w:fill="auto"/>
            <w:noWrap/>
            <w:hideMark/>
          </w:tcPr>
          <w:p w:rsidR="00CA6DF6" w:rsidRPr="00CA6DF6" w:rsidRDefault="00CA6DF6" w:rsidP="0025050D">
            <w:pPr>
              <w:tabs>
                <w:tab w:val="left" w:pos="993"/>
              </w:tabs>
              <w:spacing w:line="276" w:lineRule="auto"/>
              <w:ind w:firstLine="709"/>
              <w:jc w:val="left"/>
              <w:rPr>
                <w:rFonts w:eastAsia="Calibri"/>
                <w:bCs/>
                <w:sz w:val="24"/>
                <w:szCs w:val="24"/>
                <w:lang w:val="ru-RU"/>
              </w:rPr>
            </w:pPr>
            <w:r w:rsidRPr="00CA6DF6">
              <w:rPr>
                <w:rFonts w:eastAsia="Calibri"/>
                <w:bCs/>
                <w:sz w:val="24"/>
                <w:szCs w:val="24"/>
                <w:lang w:val="ru-RU"/>
              </w:rPr>
              <w:t xml:space="preserve"> </w:t>
            </w:r>
          </w:p>
        </w:tc>
        <w:tc>
          <w:tcPr>
            <w:tcW w:w="1276" w:type="dxa"/>
            <w:shd w:val="clear" w:color="auto" w:fill="auto"/>
            <w:noWrap/>
          </w:tcPr>
          <w:p w:rsidR="00CA6DF6" w:rsidRPr="00CA6DF6" w:rsidRDefault="00CA6DF6" w:rsidP="0025050D">
            <w:pPr>
              <w:tabs>
                <w:tab w:val="left" w:pos="993"/>
              </w:tabs>
              <w:spacing w:line="276" w:lineRule="auto"/>
              <w:jc w:val="center"/>
              <w:rPr>
                <w:rFonts w:eastAsia="Calibri"/>
                <w:bCs/>
                <w:sz w:val="24"/>
                <w:szCs w:val="24"/>
                <w:lang w:val="ru-RU"/>
              </w:rPr>
            </w:pPr>
            <w:r w:rsidRPr="00CA6DF6">
              <w:rPr>
                <w:rFonts w:eastAsia="Calibri"/>
                <w:bCs/>
                <w:sz w:val="24"/>
                <w:szCs w:val="24"/>
                <w:lang w:val="ru-RU"/>
              </w:rPr>
              <w:t>2014</w:t>
            </w:r>
            <w:r w:rsidRPr="00CA6DF6">
              <w:rPr>
                <w:rFonts w:eastAsia="Calibri"/>
                <w:bCs/>
                <w:sz w:val="24"/>
                <w:szCs w:val="24"/>
              </w:rPr>
              <w:t xml:space="preserve"> </w:t>
            </w:r>
            <w:r w:rsidRPr="00CA6DF6">
              <w:rPr>
                <w:rFonts w:eastAsia="Calibri"/>
                <w:bCs/>
                <w:sz w:val="24"/>
                <w:szCs w:val="24"/>
                <w:lang w:val="ru-RU"/>
              </w:rPr>
              <w:t>р.</w:t>
            </w:r>
          </w:p>
        </w:tc>
        <w:tc>
          <w:tcPr>
            <w:tcW w:w="993" w:type="dxa"/>
            <w:shd w:val="clear" w:color="auto" w:fill="auto"/>
            <w:noWrap/>
          </w:tcPr>
          <w:p w:rsidR="00CA6DF6" w:rsidRPr="00CA6DF6" w:rsidRDefault="00CA6DF6" w:rsidP="0025050D">
            <w:pPr>
              <w:tabs>
                <w:tab w:val="left" w:pos="993"/>
              </w:tabs>
              <w:spacing w:line="276" w:lineRule="auto"/>
              <w:jc w:val="center"/>
              <w:rPr>
                <w:rFonts w:eastAsia="Calibri"/>
                <w:bCs/>
                <w:sz w:val="24"/>
                <w:szCs w:val="24"/>
                <w:lang w:val="ru-RU"/>
              </w:rPr>
            </w:pPr>
            <w:r w:rsidRPr="00CA6DF6">
              <w:rPr>
                <w:rFonts w:eastAsia="Calibri"/>
                <w:bCs/>
                <w:sz w:val="24"/>
                <w:szCs w:val="24"/>
                <w:lang w:val="ru-RU"/>
              </w:rPr>
              <w:t>2018</w:t>
            </w:r>
            <w:r w:rsidRPr="00CA6DF6">
              <w:rPr>
                <w:rFonts w:eastAsia="Calibri"/>
                <w:bCs/>
                <w:sz w:val="24"/>
                <w:szCs w:val="24"/>
              </w:rPr>
              <w:t xml:space="preserve"> </w:t>
            </w:r>
            <w:r w:rsidRPr="00CA6DF6">
              <w:rPr>
                <w:rFonts w:eastAsia="Calibri"/>
                <w:bCs/>
                <w:sz w:val="24"/>
                <w:szCs w:val="24"/>
                <w:lang w:val="ru-RU"/>
              </w:rPr>
              <w:t>р.</w:t>
            </w:r>
          </w:p>
        </w:tc>
        <w:tc>
          <w:tcPr>
            <w:tcW w:w="1417" w:type="dxa"/>
          </w:tcPr>
          <w:p w:rsidR="00CA6DF6" w:rsidRPr="00CA6DF6" w:rsidRDefault="00CA6DF6" w:rsidP="0025050D">
            <w:pPr>
              <w:tabs>
                <w:tab w:val="left" w:pos="993"/>
              </w:tabs>
              <w:spacing w:line="276" w:lineRule="auto"/>
              <w:jc w:val="center"/>
              <w:rPr>
                <w:rFonts w:eastAsia="Calibri"/>
                <w:bCs/>
                <w:sz w:val="24"/>
                <w:szCs w:val="24"/>
                <w:lang w:val="ru-RU"/>
              </w:rPr>
            </w:pPr>
            <w:r w:rsidRPr="00CA6DF6">
              <w:rPr>
                <w:rFonts w:eastAsia="Calibri"/>
                <w:bCs/>
                <w:sz w:val="24"/>
                <w:szCs w:val="24"/>
                <w:lang w:val="ru-RU"/>
              </w:rPr>
              <w:t>2018</w:t>
            </w:r>
            <w:r w:rsidRPr="00CA6DF6">
              <w:rPr>
                <w:rFonts w:eastAsia="Calibri"/>
                <w:bCs/>
                <w:sz w:val="24"/>
                <w:szCs w:val="24"/>
              </w:rPr>
              <w:t xml:space="preserve"> </w:t>
            </w:r>
            <w:r w:rsidRPr="00CA6DF6">
              <w:rPr>
                <w:rFonts w:eastAsia="Calibri"/>
                <w:bCs/>
                <w:sz w:val="24"/>
                <w:szCs w:val="24"/>
                <w:lang w:val="ru-RU"/>
              </w:rPr>
              <w:t>р./</w:t>
            </w:r>
          </w:p>
          <w:p w:rsidR="00CA6DF6" w:rsidRPr="00CA6DF6" w:rsidRDefault="00CA6DF6" w:rsidP="0025050D">
            <w:pPr>
              <w:tabs>
                <w:tab w:val="left" w:pos="993"/>
              </w:tabs>
              <w:spacing w:line="276" w:lineRule="auto"/>
              <w:jc w:val="center"/>
              <w:rPr>
                <w:rFonts w:eastAsia="Calibri"/>
                <w:bCs/>
                <w:sz w:val="24"/>
                <w:szCs w:val="24"/>
              </w:rPr>
            </w:pPr>
            <w:r w:rsidRPr="00CA6DF6">
              <w:rPr>
                <w:rFonts w:eastAsia="Calibri"/>
                <w:bCs/>
                <w:sz w:val="24"/>
                <w:szCs w:val="24"/>
                <w:lang w:val="ru-RU"/>
              </w:rPr>
              <w:t>2014</w:t>
            </w:r>
            <w:r w:rsidRPr="00CA6DF6">
              <w:rPr>
                <w:rFonts w:eastAsia="Calibri"/>
                <w:bCs/>
                <w:sz w:val="24"/>
                <w:szCs w:val="24"/>
              </w:rPr>
              <w:t xml:space="preserve"> </w:t>
            </w:r>
            <w:r w:rsidRPr="00CA6DF6">
              <w:rPr>
                <w:rFonts w:eastAsia="Calibri"/>
                <w:bCs/>
                <w:sz w:val="24"/>
                <w:szCs w:val="24"/>
                <w:lang w:val="ru-RU"/>
              </w:rPr>
              <w:t xml:space="preserve">р. </w:t>
            </w:r>
            <w:r w:rsidRPr="00CA6DF6">
              <w:rPr>
                <w:rFonts w:eastAsia="Calibri"/>
                <w:bCs/>
                <w:sz w:val="24"/>
                <w:szCs w:val="24"/>
              </w:rPr>
              <w:t>(</w:t>
            </w:r>
            <w:r w:rsidRPr="00CA6DF6">
              <w:rPr>
                <w:rFonts w:eastAsia="Calibri"/>
                <w:bCs/>
                <w:sz w:val="24"/>
                <w:szCs w:val="24"/>
                <w:lang w:val="ru-RU"/>
              </w:rPr>
              <w:t>%</w:t>
            </w:r>
            <w:r w:rsidRPr="00CA6DF6">
              <w:rPr>
                <w:rFonts w:eastAsia="Calibri"/>
                <w:bCs/>
                <w:sz w:val="24"/>
                <w:szCs w:val="24"/>
              </w:rPr>
              <w:t>)</w:t>
            </w:r>
          </w:p>
        </w:tc>
      </w:tr>
      <w:tr w:rsidR="00CA6DF6" w:rsidRPr="00CA6DF6" w:rsidTr="00A2459B">
        <w:trPr>
          <w:trHeight w:val="225"/>
          <w:jc w:val="center"/>
        </w:trPr>
        <w:tc>
          <w:tcPr>
            <w:tcW w:w="3069" w:type="dxa"/>
            <w:shd w:val="clear" w:color="auto" w:fill="auto"/>
            <w:noWrap/>
            <w:hideMark/>
          </w:tcPr>
          <w:p w:rsidR="00CA6DF6" w:rsidRPr="00CA6DF6" w:rsidRDefault="00CA6DF6" w:rsidP="0025050D">
            <w:pPr>
              <w:tabs>
                <w:tab w:val="left" w:pos="993"/>
              </w:tabs>
              <w:spacing w:line="276" w:lineRule="auto"/>
              <w:jc w:val="left"/>
              <w:rPr>
                <w:rFonts w:eastAsia="Calibri"/>
                <w:bCs/>
                <w:sz w:val="24"/>
                <w:szCs w:val="24"/>
                <w:lang w:val="ru-RU"/>
              </w:rPr>
            </w:pPr>
            <w:r w:rsidRPr="00CA6DF6">
              <w:rPr>
                <w:rFonts w:eastAsia="Calibri"/>
                <w:bCs/>
                <w:sz w:val="24"/>
                <w:szCs w:val="24"/>
                <w:lang w:val="ru-RU"/>
              </w:rPr>
              <w:t>Україна</w:t>
            </w:r>
          </w:p>
        </w:tc>
        <w:tc>
          <w:tcPr>
            <w:tcW w:w="1276" w:type="dxa"/>
            <w:shd w:val="clear" w:color="auto" w:fill="auto"/>
            <w:noWrap/>
          </w:tcPr>
          <w:p w:rsidR="00CA6DF6" w:rsidRPr="00CA6DF6" w:rsidRDefault="00CA6DF6" w:rsidP="0025050D">
            <w:pPr>
              <w:tabs>
                <w:tab w:val="left" w:pos="993"/>
              </w:tabs>
              <w:spacing w:line="276" w:lineRule="auto"/>
              <w:jc w:val="center"/>
              <w:rPr>
                <w:rFonts w:eastAsia="Calibri"/>
                <w:bCs/>
                <w:sz w:val="24"/>
                <w:szCs w:val="24"/>
                <w:lang w:val="ru-RU"/>
              </w:rPr>
            </w:pPr>
            <w:r w:rsidRPr="00CA6DF6">
              <w:rPr>
                <w:rFonts w:eastAsia="Calibri"/>
                <w:bCs/>
                <w:sz w:val="24"/>
                <w:szCs w:val="24"/>
                <w:lang w:val="ru-RU"/>
              </w:rPr>
              <w:t>0,97</w:t>
            </w:r>
          </w:p>
        </w:tc>
        <w:tc>
          <w:tcPr>
            <w:tcW w:w="993" w:type="dxa"/>
            <w:shd w:val="clear" w:color="auto" w:fill="auto"/>
            <w:noWrap/>
          </w:tcPr>
          <w:p w:rsidR="00CA6DF6" w:rsidRPr="00CA6DF6" w:rsidRDefault="00CA6DF6" w:rsidP="0025050D">
            <w:pPr>
              <w:tabs>
                <w:tab w:val="left" w:pos="993"/>
              </w:tabs>
              <w:spacing w:line="276" w:lineRule="auto"/>
              <w:jc w:val="center"/>
              <w:rPr>
                <w:rFonts w:eastAsia="Calibri"/>
                <w:bCs/>
                <w:color w:val="000000"/>
                <w:sz w:val="24"/>
                <w:szCs w:val="24"/>
                <w:lang w:val="ru-RU"/>
              </w:rPr>
            </w:pPr>
            <w:r w:rsidRPr="00CA6DF6">
              <w:rPr>
                <w:rFonts w:eastAsia="Calibri"/>
                <w:bCs/>
                <w:color w:val="000000"/>
                <w:sz w:val="24"/>
                <w:szCs w:val="24"/>
                <w:lang w:val="ru-RU"/>
              </w:rPr>
              <w:t>0,94</w:t>
            </w:r>
          </w:p>
        </w:tc>
        <w:tc>
          <w:tcPr>
            <w:tcW w:w="1417" w:type="dxa"/>
          </w:tcPr>
          <w:p w:rsidR="00CA6DF6" w:rsidRPr="00CA6DF6" w:rsidRDefault="00CA6DF6" w:rsidP="0025050D">
            <w:pPr>
              <w:tabs>
                <w:tab w:val="left" w:pos="993"/>
              </w:tabs>
              <w:spacing w:line="276" w:lineRule="auto"/>
              <w:jc w:val="center"/>
              <w:rPr>
                <w:rFonts w:eastAsia="Calibri"/>
                <w:bCs/>
                <w:color w:val="000000"/>
                <w:sz w:val="24"/>
                <w:szCs w:val="24"/>
                <w:lang w:val="ru-RU"/>
              </w:rPr>
            </w:pPr>
            <w:r w:rsidRPr="00CA6DF6">
              <w:rPr>
                <w:rFonts w:eastAsia="Calibri"/>
                <w:bCs/>
                <w:color w:val="000000"/>
                <w:sz w:val="24"/>
                <w:szCs w:val="24"/>
                <w:lang w:val="ru-RU"/>
              </w:rPr>
              <w:t>96,91</w:t>
            </w:r>
          </w:p>
        </w:tc>
      </w:tr>
      <w:tr w:rsidR="00CA6DF6" w:rsidRPr="00CA6DF6" w:rsidTr="00A2459B">
        <w:trPr>
          <w:trHeight w:val="225"/>
          <w:jc w:val="center"/>
        </w:trPr>
        <w:tc>
          <w:tcPr>
            <w:tcW w:w="3069" w:type="dxa"/>
            <w:shd w:val="clear" w:color="auto" w:fill="auto"/>
            <w:noWrap/>
          </w:tcPr>
          <w:p w:rsidR="00CA6DF6" w:rsidRPr="00CA6DF6" w:rsidRDefault="00CA6DF6" w:rsidP="0025050D">
            <w:pPr>
              <w:tabs>
                <w:tab w:val="left" w:pos="993"/>
              </w:tabs>
              <w:spacing w:line="276" w:lineRule="auto"/>
              <w:jc w:val="left"/>
              <w:rPr>
                <w:rFonts w:eastAsia="Calibri"/>
                <w:bCs/>
                <w:sz w:val="24"/>
                <w:szCs w:val="24"/>
                <w:lang w:val="ru-RU"/>
              </w:rPr>
            </w:pPr>
            <w:r w:rsidRPr="00CA6DF6">
              <w:rPr>
                <w:rFonts w:eastAsia="Calibri"/>
                <w:bCs/>
                <w:sz w:val="24"/>
                <w:szCs w:val="24"/>
                <w:lang w:val="ru-RU"/>
              </w:rPr>
              <w:t>Ме</w:t>
            </w:r>
          </w:p>
        </w:tc>
        <w:tc>
          <w:tcPr>
            <w:tcW w:w="1276" w:type="dxa"/>
            <w:shd w:val="clear" w:color="auto" w:fill="auto"/>
            <w:noWrap/>
          </w:tcPr>
          <w:p w:rsidR="00CA6DF6" w:rsidRPr="00CA6DF6" w:rsidRDefault="00CA6DF6" w:rsidP="0025050D">
            <w:pPr>
              <w:tabs>
                <w:tab w:val="left" w:pos="993"/>
              </w:tabs>
              <w:spacing w:line="276" w:lineRule="auto"/>
              <w:jc w:val="center"/>
              <w:rPr>
                <w:rFonts w:eastAsia="Calibri"/>
                <w:bCs/>
                <w:sz w:val="24"/>
                <w:szCs w:val="24"/>
              </w:rPr>
            </w:pPr>
            <w:r w:rsidRPr="00CA6DF6">
              <w:rPr>
                <w:rFonts w:eastAsia="Calibri"/>
                <w:bCs/>
                <w:sz w:val="24"/>
                <w:szCs w:val="24"/>
                <w:lang w:val="en-US"/>
              </w:rPr>
              <w:t>0</w:t>
            </w:r>
            <w:r w:rsidRPr="00CA6DF6">
              <w:rPr>
                <w:rFonts w:eastAsia="Calibri"/>
                <w:bCs/>
                <w:sz w:val="24"/>
                <w:szCs w:val="24"/>
              </w:rPr>
              <w:t>,87</w:t>
            </w:r>
          </w:p>
        </w:tc>
        <w:tc>
          <w:tcPr>
            <w:tcW w:w="993" w:type="dxa"/>
            <w:shd w:val="clear" w:color="auto" w:fill="auto"/>
            <w:noWrap/>
          </w:tcPr>
          <w:p w:rsidR="00CA6DF6" w:rsidRPr="00CA6DF6" w:rsidRDefault="00CA6DF6" w:rsidP="0025050D">
            <w:pPr>
              <w:tabs>
                <w:tab w:val="left" w:pos="993"/>
              </w:tabs>
              <w:spacing w:line="276" w:lineRule="auto"/>
              <w:jc w:val="center"/>
              <w:rPr>
                <w:rFonts w:eastAsia="Calibri"/>
                <w:bCs/>
                <w:color w:val="000000"/>
                <w:sz w:val="24"/>
                <w:szCs w:val="24"/>
                <w:lang w:val="ru-RU"/>
              </w:rPr>
            </w:pPr>
            <w:r w:rsidRPr="00CA6DF6">
              <w:rPr>
                <w:rFonts w:eastAsia="Calibri"/>
                <w:bCs/>
                <w:color w:val="000000"/>
                <w:sz w:val="24"/>
                <w:szCs w:val="24"/>
                <w:lang w:val="ru-RU"/>
              </w:rPr>
              <w:t>0,96</w:t>
            </w:r>
          </w:p>
        </w:tc>
        <w:tc>
          <w:tcPr>
            <w:tcW w:w="1417" w:type="dxa"/>
          </w:tcPr>
          <w:p w:rsidR="00CA6DF6" w:rsidRPr="00CA6DF6" w:rsidRDefault="00CA6DF6" w:rsidP="0025050D">
            <w:pPr>
              <w:tabs>
                <w:tab w:val="left" w:pos="993"/>
              </w:tabs>
              <w:spacing w:line="276" w:lineRule="auto"/>
              <w:jc w:val="center"/>
              <w:rPr>
                <w:rFonts w:eastAsia="Calibri"/>
                <w:bCs/>
                <w:color w:val="000000"/>
                <w:sz w:val="24"/>
                <w:szCs w:val="24"/>
                <w:lang w:val="ru-RU"/>
              </w:rPr>
            </w:pPr>
            <w:r w:rsidRPr="00CA6DF6">
              <w:rPr>
                <w:rFonts w:eastAsia="Calibri"/>
                <w:bCs/>
                <w:color w:val="000000"/>
                <w:sz w:val="24"/>
                <w:szCs w:val="24"/>
                <w:lang w:val="ru-RU"/>
              </w:rPr>
              <w:t>-</w:t>
            </w:r>
          </w:p>
        </w:tc>
      </w:tr>
      <w:tr w:rsidR="00CA6DF6" w:rsidRPr="00CA6DF6" w:rsidTr="00A2459B">
        <w:trPr>
          <w:trHeight w:val="225"/>
          <w:jc w:val="center"/>
        </w:trPr>
        <w:tc>
          <w:tcPr>
            <w:tcW w:w="3069" w:type="dxa"/>
            <w:shd w:val="clear" w:color="auto" w:fill="auto"/>
            <w:noWrap/>
          </w:tcPr>
          <w:p w:rsidR="00CA6DF6" w:rsidRPr="00CA6DF6" w:rsidRDefault="00CA6DF6" w:rsidP="0025050D">
            <w:pPr>
              <w:tabs>
                <w:tab w:val="left" w:pos="993"/>
              </w:tabs>
              <w:spacing w:line="276" w:lineRule="auto"/>
              <w:jc w:val="left"/>
              <w:rPr>
                <w:rFonts w:eastAsia="Calibri"/>
                <w:bCs/>
                <w:sz w:val="24"/>
                <w:szCs w:val="24"/>
                <w:vertAlign w:val="subscript"/>
                <w:lang w:val="en-US"/>
              </w:rPr>
            </w:pPr>
            <w:r w:rsidRPr="00CA6DF6">
              <w:rPr>
                <w:rFonts w:eastAsia="Calibri"/>
                <w:bCs/>
                <w:sz w:val="24"/>
                <w:szCs w:val="24"/>
                <w:lang w:val="en-US"/>
              </w:rPr>
              <w:t>Q</w:t>
            </w:r>
            <w:r w:rsidRPr="00CA6DF6">
              <w:rPr>
                <w:rFonts w:eastAsia="Calibri"/>
                <w:bCs/>
                <w:sz w:val="24"/>
                <w:szCs w:val="24"/>
                <w:vertAlign w:val="subscript"/>
                <w:lang w:val="en-US"/>
              </w:rPr>
              <w:t>1</w:t>
            </w:r>
          </w:p>
        </w:tc>
        <w:tc>
          <w:tcPr>
            <w:tcW w:w="1276" w:type="dxa"/>
            <w:shd w:val="clear" w:color="auto" w:fill="auto"/>
            <w:noWrap/>
          </w:tcPr>
          <w:p w:rsidR="00CA6DF6" w:rsidRPr="00CA6DF6" w:rsidRDefault="00CA6DF6" w:rsidP="0025050D">
            <w:pPr>
              <w:tabs>
                <w:tab w:val="left" w:pos="993"/>
              </w:tabs>
              <w:spacing w:line="276" w:lineRule="auto"/>
              <w:jc w:val="center"/>
              <w:rPr>
                <w:rFonts w:eastAsia="Calibri"/>
                <w:bCs/>
                <w:sz w:val="24"/>
                <w:szCs w:val="24"/>
                <w:lang w:val="ru-RU"/>
              </w:rPr>
            </w:pPr>
            <w:r w:rsidRPr="00CA6DF6">
              <w:rPr>
                <w:rFonts w:eastAsia="Calibri"/>
                <w:bCs/>
                <w:sz w:val="24"/>
                <w:szCs w:val="24"/>
                <w:lang w:val="ru-RU"/>
              </w:rPr>
              <w:t>0,79</w:t>
            </w:r>
          </w:p>
        </w:tc>
        <w:tc>
          <w:tcPr>
            <w:tcW w:w="993" w:type="dxa"/>
            <w:shd w:val="clear" w:color="auto" w:fill="auto"/>
            <w:noWrap/>
          </w:tcPr>
          <w:p w:rsidR="00CA6DF6" w:rsidRPr="00CA6DF6" w:rsidRDefault="00CA6DF6" w:rsidP="0025050D">
            <w:pPr>
              <w:tabs>
                <w:tab w:val="left" w:pos="993"/>
              </w:tabs>
              <w:spacing w:line="276" w:lineRule="auto"/>
              <w:jc w:val="center"/>
              <w:rPr>
                <w:rFonts w:eastAsia="Calibri"/>
                <w:bCs/>
                <w:color w:val="000000"/>
                <w:sz w:val="24"/>
                <w:szCs w:val="24"/>
                <w:lang w:val="ru-RU"/>
              </w:rPr>
            </w:pPr>
            <w:r w:rsidRPr="00CA6DF6">
              <w:rPr>
                <w:rFonts w:eastAsia="Calibri"/>
                <w:bCs/>
                <w:color w:val="000000"/>
                <w:sz w:val="24"/>
                <w:szCs w:val="24"/>
                <w:lang w:val="ru-RU"/>
              </w:rPr>
              <w:t>0,70</w:t>
            </w:r>
          </w:p>
        </w:tc>
        <w:tc>
          <w:tcPr>
            <w:tcW w:w="1417" w:type="dxa"/>
          </w:tcPr>
          <w:p w:rsidR="00CA6DF6" w:rsidRPr="00CA6DF6" w:rsidRDefault="00CA6DF6" w:rsidP="0025050D">
            <w:pPr>
              <w:tabs>
                <w:tab w:val="left" w:pos="993"/>
              </w:tabs>
              <w:spacing w:line="276" w:lineRule="auto"/>
              <w:jc w:val="center"/>
              <w:rPr>
                <w:rFonts w:eastAsia="Calibri"/>
                <w:bCs/>
                <w:color w:val="000000"/>
                <w:sz w:val="24"/>
                <w:szCs w:val="24"/>
                <w:lang w:val="ru-RU"/>
              </w:rPr>
            </w:pPr>
            <w:r w:rsidRPr="00CA6DF6">
              <w:rPr>
                <w:rFonts w:eastAsia="Calibri"/>
                <w:bCs/>
                <w:color w:val="000000"/>
                <w:sz w:val="24"/>
                <w:szCs w:val="24"/>
                <w:lang w:val="ru-RU"/>
              </w:rPr>
              <w:t>-</w:t>
            </w:r>
          </w:p>
        </w:tc>
      </w:tr>
      <w:tr w:rsidR="00CA6DF6" w:rsidRPr="00CA6DF6" w:rsidTr="00A2459B">
        <w:trPr>
          <w:trHeight w:val="225"/>
          <w:jc w:val="center"/>
        </w:trPr>
        <w:tc>
          <w:tcPr>
            <w:tcW w:w="3069" w:type="dxa"/>
            <w:shd w:val="clear" w:color="auto" w:fill="auto"/>
            <w:noWrap/>
          </w:tcPr>
          <w:p w:rsidR="00CA6DF6" w:rsidRPr="00CA6DF6" w:rsidRDefault="00CA6DF6" w:rsidP="0025050D">
            <w:pPr>
              <w:tabs>
                <w:tab w:val="left" w:pos="993"/>
              </w:tabs>
              <w:spacing w:line="276" w:lineRule="auto"/>
              <w:jc w:val="left"/>
              <w:rPr>
                <w:rFonts w:eastAsia="Calibri"/>
                <w:bCs/>
                <w:sz w:val="24"/>
                <w:szCs w:val="24"/>
                <w:vertAlign w:val="subscript"/>
                <w:lang w:val="en-US"/>
              </w:rPr>
            </w:pPr>
            <w:r w:rsidRPr="00CA6DF6">
              <w:rPr>
                <w:rFonts w:eastAsia="Calibri"/>
                <w:bCs/>
                <w:sz w:val="24"/>
                <w:szCs w:val="24"/>
                <w:lang w:val="en-US"/>
              </w:rPr>
              <w:t>Q</w:t>
            </w:r>
            <w:r w:rsidRPr="00CA6DF6">
              <w:rPr>
                <w:rFonts w:eastAsia="Calibri"/>
                <w:bCs/>
                <w:sz w:val="24"/>
                <w:szCs w:val="24"/>
                <w:vertAlign w:val="subscript"/>
                <w:lang w:val="en-US"/>
              </w:rPr>
              <w:t>3</w:t>
            </w:r>
          </w:p>
        </w:tc>
        <w:tc>
          <w:tcPr>
            <w:tcW w:w="1276" w:type="dxa"/>
            <w:shd w:val="clear" w:color="auto" w:fill="auto"/>
            <w:noWrap/>
          </w:tcPr>
          <w:p w:rsidR="00CA6DF6" w:rsidRPr="00CA6DF6" w:rsidRDefault="00CA6DF6" w:rsidP="0025050D">
            <w:pPr>
              <w:tabs>
                <w:tab w:val="left" w:pos="993"/>
              </w:tabs>
              <w:spacing w:line="276" w:lineRule="auto"/>
              <w:jc w:val="center"/>
              <w:rPr>
                <w:rFonts w:eastAsia="Calibri"/>
                <w:bCs/>
                <w:sz w:val="24"/>
                <w:szCs w:val="24"/>
                <w:lang w:val="ru-RU"/>
              </w:rPr>
            </w:pPr>
            <w:r w:rsidRPr="00CA6DF6">
              <w:rPr>
                <w:rFonts w:eastAsia="Calibri"/>
                <w:bCs/>
                <w:sz w:val="24"/>
                <w:szCs w:val="24"/>
                <w:lang w:val="ru-RU"/>
              </w:rPr>
              <w:t>1,06</w:t>
            </w:r>
          </w:p>
        </w:tc>
        <w:tc>
          <w:tcPr>
            <w:tcW w:w="993" w:type="dxa"/>
            <w:shd w:val="clear" w:color="auto" w:fill="auto"/>
            <w:noWrap/>
          </w:tcPr>
          <w:p w:rsidR="00CA6DF6" w:rsidRPr="00CA6DF6" w:rsidRDefault="00CA6DF6" w:rsidP="0025050D">
            <w:pPr>
              <w:tabs>
                <w:tab w:val="left" w:pos="993"/>
              </w:tabs>
              <w:spacing w:line="276" w:lineRule="auto"/>
              <w:jc w:val="center"/>
              <w:rPr>
                <w:rFonts w:eastAsia="Calibri"/>
                <w:bCs/>
                <w:color w:val="000000"/>
                <w:sz w:val="24"/>
                <w:szCs w:val="24"/>
                <w:lang w:val="ru-RU"/>
              </w:rPr>
            </w:pPr>
            <w:r w:rsidRPr="00CA6DF6">
              <w:rPr>
                <w:rFonts w:eastAsia="Calibri"/>
                <w:bCs/>
                <w:color w:val="000000"/>
                <w:sz w:val="24"/>
                <w:szCs w:val="24"/>
                <w:lang w:val="ru-RU"/>
              </w:rPr>
              <w:t>1,06</w:t>
            </w:r>
          </w:p>
        </w:tc>
        <w:tc>
          <w:tcPr>
            <w:tcW w:w="1417" w:type="dxa"/>
          </w:tcPr>
          <w:p w:rsidR="00CA6DF6" w:rsidRPr="00CA6DF6" w:rsidRDefault="00CA6DF6" w:rsidP="0025050D">
            <w:pPr>
              <w:tabs>
                <w:tab w:val="left" w:pos="993"/>
              </w:tabs>
              <w:spacing w:line="276" w:lineRule="auto"/>
              <w:jc w:val="center"/>
              <w:rPr>
                <w:rFonts w:eastAsia="Calibri"/>
                <w:bCs/>
                <w:color w:val="000000"/>
                <w:sz w:val="24"/>
                <w:szCs w:val="24"/>
                <w:lang w:val="ru-RU"/>
              </w:rPr>
            </w:pPr>
            <w:r w:rsidRPr="00CA6DF6">
              <w:rPr>
                <w:rFonts w:eastAsia="Calibri"/>
                <w:bCs/>
                <w:color w:val="000000"/>
                <w:sz w:val="24"/>
                <w:szCs w:val="24"/>
                <w:lang w:val="ru-RU"/>
              </w:rPr>
              <w:t>-</w:t>
            </w:r>
          </w:p>
        </w:tc>
      </w:tr>
      <w:tr w:rsidR="00CA6DF6" w:rsidRPr="00CA6DF6" w:rsidTr="00A2459B">
        <w:trPr>
          <w:trHeight w:val="225"/>
          <w:jc w:val="center"/>
        </w:trPr>
        <w:tc>
          <w:tcPr>
            <w:tcW w:w="3069" w:type="dxa"/>
            <w:shd w:val="clear" w:color="auto" w:fill="auto"/>
            <w:noWrap/>
            <w:hideMark/>
          </w:tcPr>
          <w:p w:rsidR="00CA6DF6" w:rsidRPr="00CA6DF6" w:rsidRDefault="00CA6DF6" w:rsidP="0025050D">
            <w:pPr>
              <w:tabs>
                <w:tab w:val="left" w:pos="993"/>
              </w:tabs>
              <w:spacing w:line="276" w:lineRule="auto"/>
              <w:jc w:val="left"/>
              <w:rPr>
                <w:rFonts w:eastAsia="Calibri"/>
                <w:sz w:val="24"/>
                <w:szCs w:val="24"/>
                <w:lang w:val="ru-RU"/>
              </w:rPr>
            </w:pPr>
            <w:r w:rsidRPr="00CA6DF6">
              <w:rPr>
                <w:rFonts w:eastAsia="Calibri"/>
                <w:sz w:val="24"/>
                <w:szCs w:val="24"/>
                <w:lang w:val="ru-RU"/>
              </w:rPr>
              <w:t>Вінницька</w:t>
            </w:r>
          </w:p>
        </w:tc>
        <w:tc>
          <w:tcPr>
            <w:tcW w:w="1276" w:type="dxa"/>
            <w:shd w:val="clear" w:color="auto" w:fill="auto"/>
            <w:noWrap/>
          </w:tcPr>
          <w:p w:rsidR="00CA6DF6" w:rsidRPr="00CA6DF6" w:rsidRDefault="00CA6DF6" w:rsidP="0025050D">
            <w:pPr>
              <w:tabs>
                <w:tab w:val="left" w:pos="993"/>
              </w:tabs>
              <w:spacing w:line="276" w:lineRule="auto"/>
              <w:jc w:val="center"/>
              <w:rPr>
                <w:rFonts w:eastAsia="Calibri"/>
                <w:color w:val="000000"/>
                <w:sz w:val="24"/>
                <w:szCs w:val="24"/>
                <w:lang w:val="ru-RU"/>
              </w:rPr>
            </w:pPr>
            <w:r w:rsidRPr="00CA6DF6">
              <w:rPr>
                <w:rFonts w:eastAsia="Calibri"/>
                <w:color w:val="000000"/>
                <w:sz w:val="24"/>
                <w:szCs w:val="24"/>
                <w:lang w:val="ru-RU"/>
              </w:rPr>
              <w:t>0,80</w:t>
            </w:r>
          </w:p>
        </w:tc>
        <w:tc>
          <w:tcPr>
            <w:tcW w:w="993" w:type="dxa"/>
            <w:shd w:val="clear" w:color="auto" w:fill="auto"/>
            <w:noWrap/>
          </w:tcPr>
          <w:p w:rsidR="00CA6DF6" w:rsidRPr="00CA6DF6" w:rsidRDefault="00CA6DF6" w:rsidP="0025050D">
            <w:pPr>
              <w:tabs>
                <w:tab w:val="left" w:pos="993"/>
              </w:tabs>
              <w:spacing w:line="276" w:lineRule="auto"/>
              <w:jc w:val="center"/>
              <w:rPr>
                <w:rFonts w:eastAsia="Calibri"/>
                <w:color w:val="000000"/>
                <w:sz w:val="24"/>
                <w:szCs w:val="24"/>
                <w:lang w:val="ru-RU"/>
              </w:rPr>
            </w:pPr>
            <w:r w:rsidRPr="00CA6DF6">
              <w:rPr>
                <w:rFonts w:eastAsia="Calibri"/>
                <w:color w:val="000000"/>
                <w:sz w:val="24"/>
                <w:szCs w:val="24"/>
                <w:lang w:val="ru-RU"/>
              </w:rPr>
              <w:t>0,61</w:t>
            </w:r>
          </w:p>
        </w:tc>
        <w:tc>
          <w:tcPr>
            <w:tcW w:w="1417" w:type="dxa"/>
          </w:tcPr>
          <w:p w:rsidR="00CA6DF6" w:rsidRPr="00CA6DF6" w:rsidRDefault="00CA6DF6" w:rsidP="0025050D">
            <w:pPr>
              <w:tabs>
                <w:tab w:val="left" w:pos="993"/>
              </w:tabs>
              <w:spacing w:line="276" w:lineRule="auto"/>
              <w:jc w:val="center"/>
              <w:rPr>
                <w:rFonts w:eastAsia="Calibri"/>
                <w:bCs/>
                <w:color w:val="000000"/>
                <w:sz w:val="24"/>
                <w:szCs w:val="24"/>
                <w:lang w:val="ru-RU"/>
              </w:rPr>
            </w:pPr>
            <w:r w:rsidRPr="00CA6DF6">
              <w:rPr>
                <w:rFonts w:eastAsia="Calibri"/>
                <w:bCs/>
                <w:color w:val="000000"/>
                <w:sz w:val="24"/>
                <w:szCs w:val="24"/>
                <w:lang w:val="ru-RU"/>
              </w:rPr>
              <w:t>76,25</w:t>
            </w:r>
          </w:p>
        </w:tc>
      </w:tr>
      <w:tr w:rsidR="00CA6DF6" w:rsidRPr="00CA6DF6" w:rsidTr="00A2459B">
        <w:trPr>
          <w:trHeight w:val="225"/>
          <w:jc w:val="center"/>
        </w:trPr>
        <w:tc>
          <w:tcPr>
            <w:tcW w:w="3069" w:type="dxa"/>
            <w:shd w:val="clear" w:color="auto" w:fill="auto"/>
            <w:noWrap/>
            <w:hideMark/>
          </w:tcPr>
          <w:p w:rsidR="00CA6DF6" w:rsidRPr="00CA6DF6" w:rsidRDefault="00CA6DF6" w:rsidP="0025050D">
            <w:pPr>
              <w:tabs>
                <w:tab w:val="left" w:pos="993"/>
              </w:tabs>
              <w:spacing w:line="276" w:lineRule="auto"/>
              <w:jc w:val="left"/>
              <w:rPr>
                <w:rFonts w:eastAsia="Calibri"/>
                <w:sz w:val="24"/>
                <w:szCs w:val="24"/>
                <w:lang w:val="ru-RU"/>
              </w:rPr>
            </w:pPr>
            <w:r w:rsidRPr="00CA6DF6">
              <w:rPr>
                <w:rFonts w:eastAsia="Calibri"/>
                <w:sz w:val="24"/>
                <w:szCs w:val="24"/>
                <w:lang w:val="ru-RU"/>
              </w:rPr>
              <w:t>Волинська</w:t>
            </w:r>
          </w:p>
        </w:tc>
        <w:tc>
          <w:tcPr>
            <w:tcW w:w="1276" w:type="dxa"/>
            <w:shd w:val="clear" w:color="auto" w:fill="auto"/>
            <w:noWrap/>
          </w:tcPr>
          <w:p w:rsidR="00CA6DF6" w:rsidRPr="00CA6DF6" w:rsidRDefault="00CA6DF6" w:rsidP="0025050D">
            <w:pPr>
              <w:tabs>
                <w:tab w:val="left" w:pos="993"/>
              </w:tabs>
              <w:spacing w:line="276" w:lineRule="auto"/>
              <w:jc w:val="center"/>
              <w:rPr>
                <w:rFonts w:eastAsia="Calibri"/>
                <w:color w:val="000000"/>
                <w:sz w:val="24"/>
                <w:szCs w:val="24"/>
                <w:lang w:val="ru-RU"/>
              </w:rPr>
            </w:pPr>
            <w:r w:rsidRPr="00CA6DF6">
              <w:rPr>
                <w:rFonts w:eastAsia="Calibri"/>
                <w:color w:val="000000"/>
                <w:sz w:val="24"/>
                <w:szCs w:val="24"/>
                <w:lang w:val="ru-RU"/>
              </w:rPr>
              <w:t>0,79</w:t>
            </w:r>
          </w:p>
        </w:tc>
        <w:tc>
          <w:tcPr>
            <w:tcW w:w="993" w:type="dxa"/>
            <w:shd w:val="clear" w:color="auto" w:fill="auto"/>
            <w:noWrap/>
          </w:tcPr>
          <w:p w:rsidR="00CA6DF6" w:rsidRPr="00CA6DF6" w:rsidRDefault="00CA6DF6" w:rsidP="0025050D">
            <w:pPr>
              <w:tabs>
                <w:tab w:val="left" w:pos="993"/>
              </w:tabs>
              <w:spacing w:line="276" w:lineRule="auto"/>
              <w:jc w:val="center"/>
              <w:rPr>
                <w:rFonts w:eastAsia="Calibri"/>
                <w:color w:val="000000"/>
                <w:sz w:val="24"/>
                <w:szCs w:val="24"/>
                <w:lang w:val="ru-RU"/>
              </w:rPr>
            </w:pPr>
            <w:r w:rsidRPr="00CA6DF6">
              <w:rPr>
                <w:rFonts w:eastAsia="Calibri"/>
                <w:color w:val="000000"/>
                <w:sz w:val="24"/>
                <w:szCs w:val="24"/>
                <w:lang w:val="ru-RU"/>
              </w:rPr>
              <w:t>1,01</w:t>
            </w:r>
          </w:p>
        </w:tc>
        <w:tc>
          <w:tcPr>
            <w:tcW w:w="1417" w:type="dxa"/>
          </w:tcPr>
          <w:p w:rsidR="00CA6DF6" w:rsidRPr="00CA6DF6" w:rsidRDefault="00CA6DF6" w:rsidP="0025050D">
            <w:pPr>
              <w:tabs>
                <w:tab w:val="left" w:pos="993"/>
              </w:tabs>
              <w:spacing w:line="276" w:lineRule="auto"/>
              <w:jc w:val="center"/>
              <w:rPr>
                <w:rFonts w:eastAsia="Calibri"/>
                <w:bCs/>
                <w:color w:val="000000"/>
                <w:sz w:val="24"/>
                <w:szCs w:val="24"/>
                <w:lang w:val="ru-RU"/>
              </w:rPr>
            </w:pPr>
            <w:r w:rsidRPr="00CA6DF6">
              <w:rPr>
                <w:rFonts w:eastAsia="Calibri"/>
                <w:bCs/>
                <w:color w:val="000000"/>
                <w:sz w:val="24"/>
                <w:szCs w:val="24"/>
                <w:lang w:val="ru-RU"/>
              </w:rPr>
              <w:t>127,85</w:t>
            </w:r>
          </w:p>
        </w:tc>
      </w:tr>
      <w:tr w:rsidR="00CA6DF6" w:rsidRPr="00CA6DF6" w:rsidTr="00A2459B">
        <w:trPr>
          <w:trHeight w:val="225"/>
          <w:jc w:val="center"/>
        </w:trPr>
        <w:tc>
          <w:tcPr>
            <w:tcW w:w="3069" w:type="dxa"/>
            <w:shd w:val="clear" w:color="auto" w:fill="auto"/>
            <w:noWrap/>
            <w:hideMark/>
          </w:tcPr>
          <w:p w:rsidR="00CA6DF6" w:rsidRPr="00CA6DF6" w:rsidRDefault="00CA6DF6" w:rsidP="0025050D">
            <w:pPr>
              <w:tabs>
                <w:tab w:val="left" w:pos="993"/>
              </w:tabs>
              <w:spacing w:line="276" w:lineRule="auto"/>
              <w:jc w:val="left"/>
              <w:rPr>
                <w:rFonts w:eastAsia="Calibri"/>
                <w:sz w:val="24"/>
                <w:szCs w:val="24"/>
                <w:lang w:val="ru-RU"/>
              </w:rPr>
            </w:pPr>
            <w:r w:rsidRPr="00CA6DF6">
              <w:rPr>
                <w:rFonts w:eastAsia="Calibri"/>
                <w:sz w:val="24"/>
                <w:szCs w:val="24"/>
                <w:lang w:val="ru-RU"/>
              </w:rPr>
              <w:t>Дніпропетровська</w:t>
            </w:r>
          </w:p>
        </w:tc>
        <w:tc>
          <w:tcPr>
            <w:tcW w:w="1276" w:type="dxa"/>
            <w:shd w:val="clear" w:color="auto" w:fill="auto"/>
            <w:noWrap/>
          </w:tcPr>
          <w:p w:rsidR="00CA6DF6" w:rsidRPr="00CA6DF6" w:rsidRDefault="00CA6DF6" w:rsidP="0025050D">
            <w:pPr>
              <w:tabs>
                <w:tab w:val="left" w:pos="993"/>
              </w:tabs>
              <w:spacing w:line="276" w:lineRule="auto"/>
              <w:jc w:val="center"/>
              <w:rPr>
                <w:rFonts w:eastAsia="Calibri"/>
                <w:color w:val="000000"/>
                <w:sz w:val="24"/>
                <w:szCs w:val="24"/>
                <w:lang w:val="ru-RU"/>
              </w:rPr>
            </w:pPr>
            <w:r w:rsidRPr="00CA6DF6">
              <w:rPr>
                <w:rFonts w:eastAsia="Calibri"/>
                <w:color w:val="000000"/>
                <w:sz w:val="24"/>
                <w:szCs w:val="24"/>
                <w:lang w:val="ru-RU"/>
              </w:rPr>
              <w:t>1,04</w:t>
            </w:r>
          </w:p>
        </w:tc>
        <w:tc>
          <w:tcPr>
            <w:tcW w:w="993" w:type="dxa"/>
            <w:shd w:val="clear" w:color="auto" w:fill="auto"/>
            <w:noWrap/>
          </w:tcPr>
          <w:p w:rsidR="00CA6DF6" w:rsidRPr="00CA6DF6" w:rsidRDefault="00CA6DF6" w:rsidP="0025050D">
            <w:pPr>
              <w:tabs>
                <w:tab w:val="left" w:pos="993"/>
              </w:tabs>
              <w:spacing w:line="276" w:lineRule="auto"/>
              <w:jc w:val="center"/>
              <w:rPr>
                <w:rFonts w:eastAsia="Calibri"/>
                <w:color w:val="000000"/>
                <w:sz w:val="24"/>
                <w:szCs w:val="24"/>
                <w:lang w:val="ru-RU"/>
              </w:rPr>
            </w:pPr>
            <w:r w:rsidRPr="00CA6DF6">
              <w:rPr>
                <w:rFonts w:eastAsia="Calibri"/>
                <w:color w:val="000000"/>
                <w:sz w:val="24"/>
                <w:szCs w:val="24"/>
                <w:lang w:val="ru-RU"/>
              </w:rPr>
              <w:t>1,30</w:t>
            </w:r>
          </w:p>
        </w:tc>
        <w:tc>
          <w:tcPr>
            <w:tcW w:w="1417" w:type="dxa"/>
          </w:tcPr>
          <w:p w:rsidR="00CA6DF6" w:rsidRPr="00CA6DF6" w:rsidRDefault="00CA6DF6" w:rsidP="0025050D">
            <w:pPr>
              <w:tabs>
                <w:tab w:val="left" w:pos="993"/>
              </w:tabs>
              <w:spacing w:line="276" w:lineRule="auto"/>
              <w:jc w:val="center"/>
              <w:rPr>
                <w:rFonts w:eastAsia="Calibri"/>
                <w:bCs/>
                <w:color w:val="000000"/>
                <w:sz w:val="24"/>
                <w:szCs w:val="24"/>
                <w:lang w:val="ru-RU"/>
              </w:rPr>
            </w:pPr>
            <w:r w:rsidRPr="00CA6DF6">
              <w:rPr>
                <w:rFonts w:eastAsia="Calibri"/>
                <w:bCs/>
                <w:color w:val="000000"/>
                <w:sz w:val="24"/>
                <w:szCs w:val="24"/>
                <w:lang w:val="ru-RU"/>
              </w:rPr>
              <w:t>125,00</w:t>
            </w:r>
          </w:p>
        </w:tc>
      </w:tr>
      <w:tr w:rsidR="00CA6DF6" w:rsidRPr="00CA6DF6" w:rsidTr="00A2459B">
        <w:trPr>
          <w:trHeight w:val="225"/>
          <w:jc w:val="center"/>
        </w:trPr>
        <w:tc>
          <w:tcPr>
            <w:tcW w:w="3069" w:type="dxa"/>
            <w:shd w:val="clear" w:color="auto" w:fill="auto"/>
            <w:noWrap/>
            <w:hideMark/>
          </w:tcPr>
          <w:p w:rsidR="00CA6DF6" w:rsidRPr="00CA6DF6" w:rsidRDefault="00CA6DF6" w:rsidP="0025050D">
            <w:pPr>
              <w:tabs>
                <w:tab w:val="left" w:pos="993"/>
              </w:tabs>
              <w:spacing w:line="276" w:lineRule="auto"/>
              <w:jc w:val="left"/>
              <w:rPr>
                <w:rFonts w:eastAsia="Calibri"/>
                <w:sz w:val="24"/>
                <w:szCs w:val="24"/>
                <w:lang w:val="ru-RU"/>
              </w:rPr>
            </w:pPr>
            <w:r w:rsidRPr="00CA6DF6">
              <w:rPr>
                <w:rFonts w:eastAsia="Calibri"/>
                <w:sz w:val="24"/>
                <w:szCs w:val="24"/>
                <w:lang w:val="ru-RU"/>
              </w:rPr>
              <w:t>Донецька</w:t>
            </w:r>
          </w:p>
        </w:tc>
        <w:tc>
          <w:tcPr>
            <w:tcW w:w="1276" w:type="dxa"/>
            <w:shd w:val="clear" w:color="auto" w:fill="auto"/>
            <w:noWrap/>
          </w:tcPr>
          <w:p w:rsidR="00CA6DF6" w:rsidRPr="00CA6DF6" w:rsidRDefault="00CA6DF6" w:rsidP="0025050D">
            <w:pPr>
              <w:tabs>
                <w:tab w:val="left" w:pos="993"/>
              </w:tabs>
              <w:spacing w:line="276" w:lineRule="auto"/>
              <w:jc w:val="center"/>
              <w:rPr>
                <w:rFonts w:eastAsia="Calibri"/>
                <w:color w:val="000000"/>
                <w:sz w:val="24"/>
                <w:szCs w:val="24"/>
                <w:lang w:val="ru-RU"/>
              </w:rPr>
            </w:pPr>
            <w:r w:rsidRPr="00CA6DF6">
              <w:rPr>
                <w:rFonts w:eastAsia="Calibri"/>
                <w:color w:val="000000"/>
                <w:sz w:val="24"/>
                <w:szCs w:val="24"/>
                <w:lang w:val="ru-RU"/>
              </w:rPr>
              <w:t>1,14</w:t>
            </w:r>
          </w:p>
        </w:tc>
        <w:tc>
          <w:tcPr>
            <w:tcW w:w="993" w:type="dxa"/>
            <w:shd w:val="clear" w:color="auto" w:fill="auto"/>
            <w:noWrap/>
          </w:tcPr>
          <w:p w:rsidR="00CA6DF6" w:rsidRPr="00CA6DF6" w:rsidRDefault="00CA6DF6" w:rsidP="0025050D">
            <w:pPr>
              <w:tabs>
                <w:tab w:val="left" w:pos="993"/>
              </w:tabs>
              <w:spacing w:line="276" w:lineRule="auto"/>
              <w:jc w:val="center"/>
              <w:rPr>
                <w:rFonts w:eastAsia="Calibri"/>
                <w:color w:val="000000"/>
                <w:sz w:val="24"/>
                <w:szCs w:val="24"/>
                <w:lang w:val="ru-RU"/>
              </w:rPr>
            </w:pPr>
            <w:r w:rsidRPr="00CA6DF6">
              <w:rPr>
                <w:rFonts w:eastAsia="Calibri"/>
                <w:color w:val="000000"/>
                <w:sz w:val="24"/>
                <w:szCs w:val="24"/>
                <w:lang w:val="ru-RU"/>
              </w:rPr>
              <w:t>1,16</w:t>
            </w:r>
          </w:p>
        </w:tc>
        <w:tc>
          <w:tcPr>
            <w:tcW w:w="1417" w:type="dxa"/>
          </w:tcPr>
          <w:p w:rsidR="00CA6DF6" w:rsidRPr="00CA6DF6" w:rsidRDefault="00CA6DF6" w:rsidP="0025050D">
            <w:pPr>
              <w:tabs>
                <w:tab w:val="left" w:pos="993"/>
              </w:tabs>
              <w:spacing w:line="276" w:lineRule="auto"/>
              <w:jc w:val="center"/>
              <w:rPr>
                <w:rFonts w:eastAsia="Calibri"/>
                <w:bCs/>
                <w:color w:val="000000"/>
                <w:sz w:val="24"/>
                <w:szCs w:val="24"/>
                <w:lang w:val="ru-RU"/>
              </w:rPr>
            </w:pPr>
            <w:r w:rsidRPr="00CA6DF6">
              <w:rPr>
                <w:rFonts w:eastAsia="Calibri"/>
                <w:bCs/>
                <w:color w:val="000000"/>
                <w:sz w:val="24"/>
                <w:szCs w:val="24"/>
                <w:lang w:val="ru-RU"/>
              </w:rPr>
              <w:t>101,75</w:t>
            </w:r>
          </w:p>
        </w:tc>
      </w:tr>
      <w:tr w:rsidR="00CA6DF6" w:rsidRPr="00CA6DF6" w:rsidTr="00A2459B">
        <w:trPr>
          <w:trHeight w:val="225"/>
          <w:jc w:val="center"/>
        </w:trPr>
        <w:tc>
          <w:tcPr>
            <w:tcW w:w="3069" w:type="dxa"/>
            <w:shd w:val="clear" w:color="auto" w:fill="auto"/>
            <w:noWrap/>
            <w:hideMark/>
          </w:tcPr>
          <w:p w:rsidR="00CA6DF6" w:rsidRPr="00CA6DF6" w:rsidRDefault="00CA6DF6" w:rsidP="0025050D">
            <w:pPr>
              <w:tabs>
                <w:tab w:val="left" w:pos="993"/>
              </w:tabs>
              <w:spacing w:line="276" w:lineRule="auto"/>
              <w:jc w:val="left"/>
              <w:rPr>
                <w:rFonts w:eastAsia="Calibri"/>
                <w:sz w:val="24"/>
                <w:szCs w:val="24"/>
                <w:lang w:val="ru-RU"/>
              </w:rPr>
            </w:pPr>
            <w:r w:rsidRPr="00CA6DF6">
              <w:rPr>
                <w:rFonts w:eastAsia="Calibri"/>
                <w:sz w:val="24"/>
                <w:szCs w:val="24"/>
                <w:lang w:val="ru-RU"/>
              </w:rPr>
              <w:t>Житомирська</w:t>
            </w:r>
          </w:p>
        </w:tc>
        <w:tc>
          <w:tcPr>
            <w:tcW w:w="1276" w:type="dxa"/>
            <w:shd w:val="clear" w:color="auto" w:fill="auto"/>
            <w:noWrap/>
          </w:tcPr>
          <w:p w:rsidR="00CA6DF6" w:rsidRPr="00CA6DF6" w:rsidRDefault="00CA6DF6" w:rsidP="0025050D">
            <w:pPr>
              <w:tabs>
                <w:tab w:val="left" w:pos="993"/>
              </w:tabs>
              <w:spacing w:line="276" w:lineRule="auto"/>
              <w:jc w:val="center"/>
              <w:rPr>
                <w:rFonts w:eastAsia="Calibri"/>
                <w:color w:val="000000"/>
                <w:sz w:val="24"/>
                <w:szCs w:val="24"/>
                <w:lang w:val="ru-RU"/>
              </w:rPr>
            </w:pPr>
            <w:r w:rsidRPr="00CA6DF6">
              <w:rPr>
                <w:rFonts w:eastAsia="Calibri"/>
                <w:color w:val="000000"/>
                <w:sz w:val="24"/>
                <w:szCs w:val="24"/>
                <w:lang w:val="ru-RU"/>
              </w:rPr>
              <w:t>0,74</w:t>
            </w:r>
          </w:p>
        </w:tc>
        <w:tc>
          <w:tcPr>
            <w:tcW w:w="993" w:type="dxa"/>
            <w:shd w:val="clear" w:color="auto" w:fill="auto"/>
            <w:noWrap/>
          </w:tcPr>
          <w:p w:rsidR="00CA6DF6" w:rsidRPr="00CA6DF6" w:rsidRDefault="00CA6DF6" w:rsidP="0025050D">
            <w:pPr>
              <w:tabs>
                <w:tab w:val="left" w:pos="993"/>
              </w:tabs>
              <w:spacing w:line="276" w:lineRule="auto"/>
              <w:jc w:val="center"/>
              <w:rPr>
                <w:rFonts w:eastAsia="Calibri"/>
                <w:color w:val="000000"/>
                <w:sz w:val="24"/>
                <w:szCs w:val="24"/>
                <w:lang w:val="ru-RU"/>
              </w:rPr>
            </w:pPr>
            <w:r w:rsidRPr="00CA6DF6">
              <w:rPr>
                <w:rFonts w:eastAsia="Calibri"/>
                <w:color w:val="000000"/>
                <w:sz w:val="24"/>
                <w:szCs w:val="24"/>
                <w:lang w:val="ru-RU"/>
              </w:rPr>
              <w:t>0,64</w:t>
            </w:r>
          </w:p>
        </w:tc>
        <w:tc>
          <w:tcPr>
            <w:tcW w:w="1417" w:type="dxa"/>
          </w:tcPr>
          <w:p w:rsidR="00CA6DF6" w:rsidRPr="00CA6DF6" w:rsidRDefault="00CA6DF6" w:rsidP="0025050D">
            <w:pPr>
              <w:tabs>
                <w:tab w:val="left" w:pos="993"/>
              </w:tabs>
              <w:spacing w:line="276" w:lineRule="auto"/>
              <w:jc w:val="center"/>
              <w:rPr>
                <w:rFonts w:eastAsia="Calibri"/>
                <w:bCs/>
                <w:color w:val="000000"/>
                <w:sz w:val="24"/>
                <w:szCs w:val="24"/>
                <w:lang w:val="ru-RU"/>
              </w:rPr>
            </w:pPr>
            <w:r w:rsidRPr="00CA6DF6">
              <w:rPr>
                <w:rFonts w:eastAsia="Calibri"/>
                <w:bCs/>
                <w:color w:val="000000"/>
                <w:sz w:val="24"/>
                <w:szCs w:val="24"/>
                <w:lang w:val="ru-RU"/>
              </w:rPr>
              <w:t>86,49</w:t>
            </w:r>
          </w:p>
        </w:tc>
      </w:tr>
      <w:tr w:rsidR="00CA6DF6" w:rsidRPr="00CA6DF6" w:rsidTr="00A2459B">
        <w:trPr>
          <w:trHeight w:val="225"/>
          <w:jc w:val="center"/>
        </w:trPr>
        <w:tc>
          <w:tcPr>
            <w:tcW w:w="3069" w:type="dxa"/>
            <w:shd w:val="clear" w:color="auto" w:fill="auto"/>
            <w:noWrap/>
            <w:hideMark/>
          </w:tcPr>
          <w:p w:rsidR="00CA6DF6" w:rsidRPr="00CA6DF6" w:rsidRDefault="00CA6DF6" w:rsidP="0025050D">
            <w:pPr>
              <w:tabs>
                <w:tab w:val="left" w:pos="993"/>
              </w:tabs>
              <w:spacing w:line="276" w:lineRule="auto"/>
              <w:jc w:val="left"/>
              <w:rPr>
                <w:rFonts w:eastAsia="Calibri"/>
                <w:sz w:val="24"/>
                <w:szCs w:val="24"/>
                <w:lang w:val="ru-RU"/>
              </w:rPr>
            </w:pPr>
            <w:r w:rsidRPr="00CA6DF6">
              <w:rPr>
                <w:rFonts w:eastAsia="Calibri"/>
                <w:sz w:val="24"/>
                <w:szCs w:val="24"/>
                <w:lang w:val="ru-RU"/>
              </w:rPr>
              <w:t>Закарпатська</w:t>
            </w:r>
          </w:p>
        </w:tc>
        <w:tc>
          <w:tcPr>
            <w:tcW w:w="1276" w:type="dxa"/>
            <w:shd w:val="clear" w:color="auto" w:fill="auto"/>
            <w:noWrap/>
          </w:tcPr>
          <w:p w:rsidR="00CA6DF6" w:rsidRPr="00CA6DF6" w:rsidRDefault="00CA6DF6" w:rsidP="0025050D">
            <w:pPr>
              <w:tabs>
                <w:tab w:val="left" w:pos="993"/>
              </w:tabs>
              <w:spacing w:line="276" w:lineRule="auto"/>
              <w:jc w:val="center"/>
              <w:rPr>
                <w:rFonts w:eastAsia="Calibri"/>
                <w:color w:val="000000"/>
                <w:sz w:val="24"/>
                <w:szCs w:val="24"/>
                <w:lang w:val="ru-RU"/>
              </w:rPr>
            </w:pPr>
            <w:r w:rsidRPr="00CA6DF6">
              <w:rPr>
                <w:rFonts w:eastAsia="Calibri"/>
                <w:color w:val="000000"/>
                <w:sz w:val="24"/>
                <w:szCs w:val="24"/>
                <w:lang w:val="ru-RU"/>
              </w:rPr>
              <w:t>0,94</w:t>
            </w:r>
          </w:p>
        </w:tc>
        <w:tc>
          <w:tcPr>
            <w:tcW w:w="993" w:type="dxa"/>
            <w:shd w:val="clear" w:color="auto" w:fill="auto"/>
            <w:noWrap/>
          </w:tcPr>
          <w:p w:rsidR="00CA6DF6" w:rsidRPr="00CA6DF6" w:rsidRDefault="00CA6DF6" w:rsidP="0025050D">
            <w:pPr>
              <w:tabs>
                <w:tab w:val="left" w:pos="993"/>
              </w:tabs>
              <w:spacing w:line="276" w:lineRule="auto"/>
              <w:jc w:val="center"/>
              <w:rPr>
                <w:rFonts w:eastAsia="Calibri"/>
                <w:color w:val="000000"/>
                <w:sz w:val="24"/>
                <w:szCs w:val="24"/>
                <w:lang w:val="ru-RU"/>
              </w:rPr>
            </w:pPr>
            <w:r w:rsidRPr="00CA6DF6">
              <w:rPr>
                <w:rFonts w:eastAsia="Calibri"/>
                <w:color w:val="000000"/>
                <w:sz w:val="24"/>
                <w:szCs w:val="24"/>
                <w:lang w:val="ru-RU"/>
              </w:rPr>
              <w:t>0,90</w:t>
            </w:r>
          </w:p>
        </w:tc>
        <w:tc>
          <w:tcPr>
            <w:tcW w:w="1417" w:type="dxa"/>
          </w:tcPr>
          <w:p w:rsidR="00CA6DF6" w:rsidRPr="00CA6DF6" w:rsidRDefault="00CA6DF6" w:rsidP="0025050D">
            <w:pPr>
              <w:tabs>
                <w:tab w:val="left" w:pos="993"/>
              </w:tabs>
              <w:spacing w:line="276" w:lineRule="auto"/>
              <w:jc w:val="center"/>
              <w:rPr>
                <w:rFonts w:eastAsia="Calibri"/>
                <w:bCs/>
                <w:color w:val="000000"/>
                <w:sz w:val="24"/>
                <w:szCs w:val="24"/>
                <w:lang w:val="ru-RU"/>
              </w:rPr>
            </w:pPr>
            <w:r w:rsidRPr="00CA6DF6">
              <w:rPr>
                <w:rFonts w:eastAsia="Calibri"/>
                <w:bCs/>
                <w:color w:val="000000"/>
                <w:sz w:val="24"/>
                <w:szCs w:val="24"/>
                <w:lang w:val="ru-RU"/>
              </w:rPr>
              <w:t>95,74</w:t>
            </w:r>
          </w:p>
        </w:tc>
      </w:tr>
      <w:tr w:rsidR="00CA6DF6" w:rsidRPr="00CA6DF6" w:rsidTr="00A2459B">
        <w:trPr>
          <w:trHeight w:val="225"/>
          <w:jc w:val="center"/>
        </w:trPr>
        <w:tc>
          <w:tcPr>
            <w:tcW w:w="3069" w:type="dxa"/>
            <w:shd w:val="clear" w:color="auto" w:fill="auto"/>
            <w:noWrap/>
            <w:hideMark/>
          </w:tcPr>
          <w:p w:rsidR="00CA6DF6" w:rsidRPr="00CA6DF6" w:rsidRDefault="00CA6DF6" w:rsidP="0025050D">
            <w:pPr>
              <w:tabs>
                <w:tab w:val="left" w:pos="993"/>
              </w:tabs>
              <w:spacing w:line="276" w:lineRule="auto"/>
              <w:jc w:val="left"/>
              <w:rPr>
                <w:rFonts w:eastAsia="Calibri"/>
                <w:sz w:val="24"/>
                <w:szCs w:val="24"/>
                <w:lang w:val="ru-RU"/>
              </w:rPr>
            </w:pPr>
            <w:r w:rsidRPr="00CA6DF6">
              <w:rPr>
                <w:rFonts w:eastAsia="Calibri"/>
                <w:sz w:val="24"/>
                <w:szCs w:val="24"/>
                <w:lang w:val="ru-RU"/>
              </w:rPr>
              <w:t>Запорізька</w:t>
            </w:r>
          </w:p>
        </w:tc>
        <w:tc>
          <w:tcPr>
            <w:tcW w:w="1276" w:type="dxa"/>
            <w:shd w:val="clear" w:color="auto" w:fill="auto"/>
            <w:noWrap/>
          </w:tcPr>
          <w:p w:rsidR="00CA6DF6" w:rsidRPr="00CA6DF6" w:rsidRDefault="00CA6DF6" w:rsidP="0025050D">
            <w:pPr>
              <w:tabs>
                <w:tab w:val="left" w:pos="993"/>
              </w:tabs>
              <w:spacing w:line="276" w:lineRule="auto"/>
              <w:jc w:val="center"/>
              <w:rPr>
                <w:rFonts w:eastAsia="Calibri"/>
                <w:color w:val="000000"/>
                <w:sz w:val="24"/>
                <w:szCs w:val="24"/>
                <w:lang w:val="ru-RU"/>
              </w:rPr>
            </w:pPr>
            <w:r w:rsidRPr="00CA6DF6">
              <w:rPr>
                <w:rFonts w:eastAsia="Calibri"/>
                <w:color w:val="000000"/>
                <w:sz w:val="24"/>
                <w:szCs w:val="24"/>
                <w:lang w:val="ru-RU"/>
              </w:rPr>
              <w:t>0,78</w:t>
            </w:r>
          </w:p>
        </w:tc>
        <w:tc>
          <w:tcPr>
            <w:tcW w:w="993" w:type="dxa"/>
            <w:shd w:val="clear" w:color="auto" w:fill="auto"/>
            <w:noWrap/>
          </w:tcPr>
          <w:p w:rsidR="00CA6DF6" w:rsidRPr="00CA6DF6" w:rsidRDefault="00CA6DF6" w:rsidP="0025050D">
            <w:pPr>
              <w:tabs>
                <w:tab w:val="left" w:pos="993"/>
              </w:tabs>
              <w:spacing w:line="276" w:lineRule="auto"/>
              <w:jc w:val="center"/>
              <w:rPr>
                <w:rFonts w:eastAsia="Calibri"/>
                <w:color w:val="000000"/>
                <w:sz w:val="24"/>
                <w:szCs w:val="24"/>
                <w:lang w:val="ru-RU"/>
              </w:rPr>
            </w:pPr>
            <w:r w:rsidRPr="00CA6DF6">
              <w:rPr>
                <w:rFonts w:eastAsia="Calibri"/>
                <w:color w:val="000000"/>
                <w:sz w:val="24"/>
                <w:szCs w:val="24"/>
                <w:lang w:val="ru-RU"/>
              </w:rPr>
              <w:t>0,99</w:t>
            </w:r>
          </w:p>
        </w:tc>
        <w:tc>
          <w:tcPr>
            <w:tcW w:w="1417" w:type="dxa"/>
          </w:tcPr>
          <w:p w:rsidR="00CA6DF6" w:rsidRPr="00CA6DF6" w:rsidRDefault="00CA6DF6" w:rsidP="0025050D">
            <w:pPr>
              <w:tabs>
                <w:tab w:val="left" w:pos="993"/>
              </w:tabs>
              <w:spacing w:line="276" w:lineRule="auto"/>
              <w:jc w:val="center"/>
              <w:rPr>
                <w:rFonts w:eastAsia="Calibri"/>
                <w:bCs/>
                <w:color w:val="000000"/>
                <w:sz w:val="24"/>
                <w:szCs w:val="24"/>
                <w:lang w:val="ru-RU"/>
              </w:rPr>
            </w:pPr>
            <w:r w:rsidRPr="00CA6DF6">
              <w:rPr>
                <w:rFonts w:eastAsia="Calibri"/>
                <w:bCs/>
                <w:color w:val="000000"/>
                <w:sz w:val="24"/>
                <w:szCs w:val="24"/>
                <w:lang w:val="ru-RU"/>
              </w:rPr>
              <w:t>126,92</w:t>
            </w:r>
          </w:p>
        </w:tc>
      </w:tr>
      <w:tr w:rsidR="00CA6DF6" w:rsidRPr="00CA6DF6" w:rsidTr="00A2459B">
        <w:trPr>
          <w:jc w:val="center"/>
        </w:trPr>
        <w:tc>
          <w:tcPr>
            <w:tcW w:w="3069" w:type="dxa"/>
            <w:shd w:val="clear" w:color="auto" w:fill="auto"/>
            <w:noWrap/>
            <w:hideMark/>
          </w:tcPr>
          <w:p w:rsidR="00CA6DF6" w:rsidRPr="00CA6DF6" w:rsidRDefault="00CA6DF6" w:rsidP="0025050D">
            <w:pPr>
              <w:tabs>
                <w:tab w:val="left" w:pos="993"/>
              </w:tabs>
              <w:spacing w:line="276" w:lineRule="auto"/>
              <w:jc w:val="left"/>
              <w:rPr>
                <w:rFonts w:eastAsia="Calibri"/>
                <w:sz w:val="24"/>
                <w:szCs w:val="24"/>
                <w:lang w:val="ru-RU"/>
              </w:rPr>
            </w:pPr>
            <w:r w:rsidRPr="00CA6DF6">
              <w:rPr>
                <w:rFonts w:eastAsia="Calibri"/>
                <w:sz w:val="24"/>
                <w:szCs w:val="24"/>
                <w:lang w:val="ru-RU"/>
              </w:rPr>
              <w:t>Івано-Франківська</w:t>
            </w:r>
          </w:p>
        </w:tc>
        <w:tc>
          <w:tcPr>
            <w:tcW w:w="1276" w:type="dxa"/>
            <w:shd w:val="clear" w:color="auto" w:fill="auto"/>
            <w:noWrap/>
          </w:tcPr>
          <w:p w:rsidR="00CA6DF6" w:rsidRPr="00CA6DF6" w:rsidRDefault="00CA6DF6" w:rsidP="0025050D">
            <w:pPr>
              <w:tabs>
                <w:tab w:val="left" w:pos="993"/>
              </w:tabs>
              <w:spacing w:line="276" w:lineRule="auto"/>
              <w:jc w:val="center"/>
              <w:rPr>
                <w:rFonts w:eastAsia="Calibri"/>
                <w:color w:val="000000"/>
                <w:sz w:val="24"/>
                <w:szCs w:val="24"/>
                <w:lang w:val="ru-RU"/>
              </w:rPr>
            </w:pPr>
            <w:r w:rsidRPr="00CA6DF6">
              <w:rPr>
                <w:rFonts w:eastAsia="Calibri"/>
                <w:color w:val="000000"/>
                <w:sz w:val="24"/>
                <w:szCs w:val="24"/>
                <w:lang w:val="ru-RU"/>
              </w:rPr>
              <w:t>1,06</w:t>
            </w:r>
          </w:p>
        </w:tc>
        <w:tc>
          <w:tcPr>
            <w:tcW w:w="993" w:type="dxa"/>
            <w:shd w:val="clear" w:color="auto" w:fill="auto"/>
            <w:noWrap/>
          </w:tcPr>
          <w:p w:rsidR="00CA6DF6" w:rsidRPr="00CA6DF6" w:rsidRDefault="00CA6DF6" w:rsidP="0025050D">
            <w:pPr>
              <w:tabs>
                <w:tab w:val="left" w:pos="993"/>
              </w:tabs>
              <w:spacing w:line="276" w:lineRule="auto"/>
              <w:jc w:val="center"/>
              <w:rPr>
                <w:rFonts w:eastAsia="Calibri"/>
                <w:color w:val="000000"/>
                <w:sz w:val="24"/>
                <w:szCs w:val="24"/>
                <w:lang w:val="ru-RU"/>
              </w:rPr>
            </w:pPr>
            <w:r w:rsidRPr="00CA6DF6">
              <w:rPr>
                <w:rFonts w:eastAsia="Calibri"/>
                <w:color w:val="000000"/>
                <w:sz w:val="24"/>
                <w:szCs w:val="24"/>
                <w:lang w:val="ru-RU"/>
              </w:rPr>
              <w:t>1,13</w:t>
            </w:r>
          </w:p>
        </w:tc>
        <w:tc>
          <w:tcPr>
            <w:tcW w:w="1417" w:type="dxa"/>
          </w:tcPr>
          <w:p w:rsidR="00CA6DF6" w:rsidRPr="00CA6DF6" w:rsidRDefault="00CA6DF6" w:rsidP="0025050D">
            <w:pPr>
              <w:tabs>
                <w:tab w:val="left" w:pos="993"/>
              </w:tabs>
              <w:spacing w:line="276" w:lineRule="auto"/>
              <w:jc w:val="center"/>
              <w:rPr>
                <w:rFonts w:eastAsia="Calibri"/>
                <w:bCs/>
                <w:color w:val="000000"/>
                <w:sz w:val="24"/>
                <w:szCs w:val="24"/>
                <w:lang w:val="ru-RU"/>
              </w:rPr>
            </w:pPr>
            <w:r w:rsidRPr="00CA6DF6">
              <w:rPr>
                <w:rFonts w:eastAsia="Calibri"/>
                <w:bCs/>
                <w:color w:val="000000"/>
                <w:sz w:val="24"/>
                <w:szCs w:val="24"/>
                <w:lang w:val="ru-RU"/>
              </w:rPr>
              <w:t>106,60</w:t>
            </w:r>
          </w:p>
        </w:tc>
      </w:tr>
      <w:tr w:rsidR="00CA6DF6" w:rsidRPr="00CA6DF6" w:rsidTr="00A2459B">
        <w:trPr>
          <w:trHeight w:val="225"/>
          <w:jc w:val="center"/>
        </w:trPr>
        <w:tc>
          <w:tcPr>
            <w:tcW w:w="3069" w:type="dxa"/>
            <w:shd w:val="clear" w:color="auto" w:fill="auto"/>
            <w:noWrap/>
            <w:hideMark/>
          </w:tcPr>
          <w:p w:rsidR="00CA6DF6" w:rsidRPr="00CA6DF6" w:rsidRDefault="00CA6DF6" w:rsidP="0025050D">
            <w:pPr>
              <w:tabs>
                <w:tab w:val="left" w:pos="993"/>
              </w:tabs>
              <w:spacing w:line="276" w:lineRule="auto"/>
              <w:jc w:val="left"/>
              <w:rPr>
                <w:rFonts w:eastAsia="Calibri"/>
                <w:sz w:val="24"/>
                <w:szCs w:val="24"/>
                <w:lang w:val="ru-RU"/>
              </w:rPr>
            </w:pPr>
            <w:r w:rsidRPr="00CA6DF6">
              <w:rPr>
                <w:rFonts w:eastAsia="Calibri"/>
                <w:sz w:val="24"/>
                <w:szCs w:val="24"/>
                <w:lang w:val="ru-RU"/>
              </w:rPr>
              <w:t>Київська</w:t>
            </w:r>
          </w:p>
        </w:tc>
        <w:tc>
          <w:tcPr>
            <w:tcW w:w="1276" w:type="dxa"/>
            <w:shd w:val="clear" w:color="auto" w:fill="auto"/>
            <w:noWrap/>
          </w:tcPr>
          <w:p w:rsidR="00CA6DF6" w:rsidRPr="00CA6DF6" w:rsidRDefault="00CA6DF6" w:rsidP="0025050D">
            <w:pPr>
              <w:tabs>
                <w:tab w:val="left" w:pos="993"/>
              </w:tabs>
              <w:spacing w:line="276" w:lineRule="auto"/>
              <w:jc w:val="center"/>
              <w:rPr>
                <w:rFonts w:eastAsia="Calibri"/>
                <w:color w:val="000000"/>
                <w:sz w:val="24"/>
                <w:szCs w:val="24"/>
                <w:lang w:val="ru-RU"/>
              </w:rPr>
            </w:pPr>
            <w:r w:rsidRPr="00CA6DF6">
              <w:rPr>
                <w:rFonts w:eastAsia="Calibri"/>
                <w:color w:val="000000"/>
                <w:sz w:val="24"/>
                <w:szCs w:val="24"/>
                <w:lang w:val="ru-RU"/>
              </w:rPr>
              <w:t>0,75</w:t>
            </w:r>
          </w:p>
        </w:tc>
        <w:tc>
          <w:tcPr>
            <w:tcW w:w="993" w:type="dxa"/>
            <w:shd w:val="clear" w:color="auto" w:fill="auto"/>
            <w:noWrap/>
          </w:tcPr>
          <w:p w:rsidR="00CA6DF6" w:rsidRPr="00CA6DF6" w:rsidRDefault="00CA6DF6" w:rsidP="0025050D">
            <w:pPr>
              <w:tabs>
                <w:tab w:val="left" w:pos="993"/>
              </w:tabs>
              <w:spacing w:line="276" w:lineRule="auto"/>
              <w:jc w:val="center"/>
              <w:rPr>
                <w:rFonts w:eastAsia="Calibri"/>
                <w:color w:val="000000"/>
                <w:sz w:val="24"/>
                <w:szCs w:val="24"/>
                <w:lang w:val="ru-RU"/>
              </w:rPr>
            </w:pPr>
            <w:r w:rsidRPr="00CA6DF6">
              <w:rPr>
                <w:rFonts w:eastAsia="Calibri"/>
                <w:color w:val="000000"/>
                <w:sz w:val="24"/>
                <w:szCs w:val="24"/>
                <w:lang w:val="ru-RU"/>
              </w:rPr>
              <w:t>0,67</w:t>
            </w:r>
          </w:p>
        </w:tc>
        <w:tc>
          <w:tcPr>
            <w:tcW w:w="1417" w:type="dxa"/>
          </w:tcPr>
          <w:p w:rsidR="00CA6DF6" w:rsidRPr="00CA6DF6" w:rsidRDefault="00CA6DF6" w:rsidP="0025050D">
            <w:pPr>
              <w:tabs>
                <w:tab w:val="left" w:pos="993"/>
              </w:tabs>
              <w:spacing w:line="276" w:lineRule="auto"/>
              <w:jc w:val="center"/>
              <w:rPr>
                <w:rFonts w:eastAsia="Calibri"/>
                <w:bCs/>
                <w:color w:val="000000"/>
                <w:sz w:val="24"/>
                <w:szCs w:val="24"/>
                <w:lang w:val="ru-RU"/>
              </w:rPr>
            </w:pPr>
            <w:r w:rsidRPr="00CA6DF6">
              <w:rPr>
                <w:rFonts w:eastAsia="Calibri"/>
                <w:bCs/>
                <w:color w:val="000000"/>
                <w:sz w:val="24"/>
                <w:szCs w:val="24"/>
                <w:lang w:val="ru-RU"/>
              </w:rPr>
              <w:t>89,33</w:t>
            </w:r>
          </w:p>
        </w:tc>
      </w:tr>
      <w:tr w:rsidR="00CA6DF6" w:rsidRPr="00CA6DF6" w:rsidTr="00A2459B">
        <w:trPr>
          <w:trHeight w:val="225"/>
          <w:jc w:val="center"/>
        </w:trPr>
        <w:tc>
          <w:tcPr>
            <w:tcW w:w="3069" w:type="dxa"/>
            <w:shd w:val="clear" w:color="auto" w:fill="auto"/>
            <w:noWrap/>
            <w:hideMark/>
          </w:tcPr>
          <w:p w:rsidR="00CA6DF6" w:rsidRPr="00CA6DF6" w:rsidRDefault="00CA6DF6" w:rsidP="0025050D">
            <w:pPr>
              <w:tabs>
                <w:tab w:val="left" w:pos="993"/>
              </w:tabs>
              <w:spacing w:line="276" w:lineRule="auto"/>
              <w:jc w:val="left"/>
              <w:rPr>
                <w:rFonts w:eastAsia="Calibri"/>
                <w:sz w:val="24"/>
                <w:szCs w:val="24"/>
                <w:lang w:val="ru-RU"/>
              </w:rPr>
            </w:pPr>
            <w:r w:rsidRPr="00CA6DF6">
              <w:rPr>
                <w:rFonts w:eastAsia="Calibri"/>
                <w:sz w:val="24"/>
                <w:szCs w:val="24"/>
                <w:lang w:val="ru-RU"/>
              </w:rPr>
              <w:t>Кіровоградська</w:t>
            </w:r>
          </w:p>
        </w:tc>
        <w:tc>
          <w:tcPr>
            <w:tcW w:w="1276" w:type="dxa"/>
            <w:shd w:val="clear" w:color="auto" w:fill="auto"/>
            <w:noWrap/>
          </w:tcPr>
          <w:p w:rsidR="00CA6DF6" w:rsidRPr="00CA6DF6" w:rsidRDefault="00CA6DF6" w:rsidP="0025050D">
            <w:pPr>
              <w:tabs>
                <w:tab w:val="left" w:pos="993"/>
              </w:tabs>
              <w:spacing w:line="276" w:lineRule="auto"/>
              <w:jc w:val="center"/>
              <w:rPr>
                <w:rFonts w:eastAsia="Calibri"/>
                <w:color w:val="000000"/>
                <w:sz w:val="24"/>
                <w:szCs w:val="24"/>
                <w:lang w:val="ru-RU"/>
              </w:rPr>
            </w:pPr>
            <w:r w:rsidRPr="00CA6DF6">
              <w:rPr>
                <w:rFonts w:eastAsia="Calibri"/>
                <w:color w:val="000000"/>
                <w:sz w:val="24"/>
                <w:szCs w:val="24"/>
                <w:lang w:val="ru-RU"/>
              </w:rPr>
              <w:t>0,87</w:t>
            </w:r>
          </w:p>
        </w:tc>
        <w:tc>
          <w:tcPr>
            <w:tcW w:w="993" w:type="dxa"/>
            <w:shd w:val="clear" w:color="auto" w:fill="auto"/>
            <w:noWrap/>
          </w:tcPr>
          <w:p w:rsidR="00CA6DF6" w:rsidRPr="00CA6DF6" w:rsidRDefault="00CA6DF6" w:rsidP="0025050D">
            <w:pPr>
              <w:tabs>
                <w:tab w:val="left" w:pos="993"/>
              </w:tabs>
              <w:spacing w:line="276" w:lineRule="auto"/>
              <w:jc w:val="center"/>
              <w:rPr>
                <w:rFonts w:eastAsia="Calibri"/>
                <w:color w:val="000000"/>
                <w:sz w:val="24"/>
                <w:szCs w:val="24"/>
                <w:lang w:val="ru-RU"/>
              </w:rPr>
            </w:pPr>
            <w:r w:rsidRPr="00CA6DF6">
              <w:rPr>
                <w:rFonts w:eastAsia="Calibri"/>
                <w:color w:val="000000"/>
                <w:sz w:val="24"/>
                <w:szCs w:val="24"/>
                <w:lang w:val="ru-RU"/>
              </w:rPr>
              <w:t>0,95</w:t>
            </w:r>
          </w:p>
        </w:tc>
        <w:tc>
          <w:tcPr>
            <w:tcW w:w="1417" w:type="dxa"/>
          </w:tcPr>
          <w:p w:rsidR="00CA6DF6" w:rsidRPr="00CA6DF6" w:rsidRDefault="00CA6DF6" w:rsidP="0025050D">
            <w:pPr>
              <w:tabs>
                <w:tab w:val="left" w:pos="993"/>
              </w:tabs>
              <w:spacing w:line="276" w:lineRule="auto"/>
              <w:jc w:val="center"/>
              <w:rPr>
                <w:rFonts w:eastAsia="Calibri"/>
                <w:bCs/>
                <w:color w:val="000000"/>
                <w:sz w:val="24"/>
                <w:szCs w:val="24"/>
                <w:lang w:val="ru-RU"/>
              </w:rPr>
            </w:pPr>
            <w:r w:rsidRPr="00CA6DF6">
              <w:rPr>
                <w:rFonts w:eastAsia="Calibri"/>
                <w:bCs/>
                <w:color w:val="000000"/>
                <w:sz w:val="24"/>
                <w:szCs w:val="24"/>
                <w:lang w:val="ru-RU"/>
              </w:rPr>
              <w:t>109,20</w:t>
            </w:r>
          </w:p>
        </w:tc>
      </w:tr>
      <w:tr w:rsidR="00CA6DF6" w:rsidRPr="00CA6DF6" w:rsidTr="00A2459B">
        <w:trPr>
          <w:trHeight w:val="225"/>
          <w:jc w:val="center"/>
        </w:trPr>
        <w:tc>
          <w:tcPr>
            <w:tcW w:w="3069" w:type="dxa"/>
            <w:shd w:val="clear" w:color="auto" w:fill="auto"/>
            <w:noWrap/>
            <w:hideMark/>
          </w:tcPr>
          <w:p w:rsidR="00CA6DF6" w:rsidRPr="00CA6DF6" w:rsidRDefault="00CA6DF6" w:rsidP="0025050D">
            <w:pPr>
              <w:tabs>
                <w:tab w:val="left" w:pos="993"/>
              </w:tabs>
              <w:spacing w:line="276" w:lineRule="auto"/>
              <w:jc w:val="left"/>
              <w:rPr>
                <w:rFonts w:eastAsia="Calibri"/>
                <w:sz w:val="24"/>
                <w:szCs w:val="24"/>
                <w:lang w:val="ru-RU"/>
              </w:rPr>
            </w:pPr>
            <w:r w:rsidRPr="00CA6DF6">
              <w:rPr>
                <w:rFonts w:eastAsia="Calibri"/>
                <w:sz w:val="24"/>
                <w:szCs w:val="24"/>
                <w:lang w:val="ru-RU"/>
              </w:rPr>
              <w:t>Луганська</w:t>
            </w:r>
          </w:p>
        </w:tc>
        <w:tc>
          <w:tcPr>
            <w:tcW w:w="1276" w:type="dxa"/>
            <w:shd w:val="clear" w:color="auto" w:fill="auto"/>
            <w:noWrap/>
          </w:tcPr>
          <w:p w:rsidR="00CA6DF6" w:rsidRPr="00CA6DF6" w:rsidRDefault="00CA6DF6" w:rsidP="0025050D">
            <w:pPr>
              <w:tabs>
                <w:tab w:val="left" w:pos="993"/>
              </w:tabs>
              <w:spacing w:line="276" w:lineRule="auto"/>
              <w:jc w:val="center"/>
              <w:rPr>
                <w:rFonts w:eastAsia="Calibri"/>
                <w:color w:val="000000"/>
                <w:sz w:val="24"/>
                <w:szCs w:val="24"/>
                <w:lang w:val="ru-RU"/>
              </w:rPr>
            </w:pPr>
            <w:r w:rsidRPr="00CA6DF6">
              <w:rPr>
                <w:rFonts w:eastAsia="Calibri"/>
                <w:color w:val="000000"/>
                <w:sz w:val="24"/>
                <w:szCs w:val="24"/>
                <w:lang w:val="ru-RU"/>
              </w:rPr>
              <w:t>0,57</w:t>
            </w:r>
          </w:p>
        </w:tc>
        <w:tc>
          <w:tcPr>
            <w:tcW w:w="993" w:type="dxa"/>
            <w:shd w:val="clear" w:color="auto" w:fill="auto"/>
            <w:noWrap/>
          </w:tcPr>
          <w:p w:rsidR="00CA6DF6" w:rsidRPr="00CA6DF6" w:rsidRDefault="00CA6DF6" w:rsidP="0025050D">
            <w:pPr>
              <w:tabs>
                <w:tab w:val="left" w:pos="993"/>
              </w:tabs>
              <w:spacing w:line="276" w:lineRule="auto"/>
              <w:jc w:val="center"/>
              <w:rPr>
                <w:rFonts w:eastAsia="Calibri"/>
                <w:color w:val="000000"/>
                <w:sz w:val="24"/>
                <w:szCs w:val="24"/>
                <w:lang w:val="ru-RU"/>
              </w:rPr>
            </w:pPr>
            <w:r w:rsidRPr="00CA6DF6">
              <w:rPr>
                <w:rFonts w:eastAsia="Calibri"/>
                <w:color w:val="000000"/>
                <w:sz w:val="24"/>
                <w:szCs w:val="24"/>
                <w:lang w:val="ru-RU"/>
              </w:rPr>
              <w:t>0,91</w:t>
            </w:r>
          </w:p>
        </w:tc>
        <w:tc>
          <w:tcPr>
            <w:tcW w:w="1417" w:type="dxa"/>
          </w:tcPr>
          <w:p w:rsidR="00CA6DF6" w:rsidRPr="00CA6DF6" w:rsidRDefault="00CA6DF6" w:rsidP="0025050D">
            <w:pPr>
              <w:tabs>
                <w:tab w:val="left" w:pos="993"/>
              </w:tabs>
              <w:spacing w:line="276" w:lineRule="auto"/>
              <w:jc w:val="center"/>
              <w:rPr>
                <w:rFonts w:eastAsia="Calibri"/>
                <w:bCs/>
                <w:color w:val="000000"/>
                <w:sz w:val="24"/>
                <w:szCs w:val="24"/>
                <w:lang w:val="ru-RU"/>
              </w:rPr>
            </w:pPr>
            <w:r w:rsidRPr="00CA6DF6">
              <w:rPr>
                <w:rFonts w:eastAsia="Calibri"/>
                <w:bCs/>
                <w:color w:val="000000"/>
                <w:sz w:val="24"/>
                <w:szCs w:val="24"/>
                <w:lang w:val="ru-RU"/>
              </w:rPr>
              <w:t>159,65</w:t>
            </w:r>
          </w:p>
        </w:tc>
      </w:tr>
      <w:tr w:rsidR="00CA6DF6" w:rsidRPr="00CA6DF6" w:rsidTr="00A2459B">
        <w:trPr>
          <w:trHeight w:val="225"/>
          <w:jc w:val="center"/>
        </w:trPr>
        <w:tc>
          <w:tcPr>
            <w:tcW w:w="3069" w:type="dxa"/>
            <w:shd w:val="clear" w:color="auto" w:fill="auto"/>
            <w:noWrap/>
            <w:hideMark/>
          </w:tcPr>
          <w:p w:rsidR="00CA6DF6" w:rsidRPr="00CA6DF6" w:rsidRDefault="00CA6DF6" w:rsidP="0025050D">
            <w:pPr>
              <w:tabs>
                <w:tab w:val="left" w:pos="993"/>
              </w:tabs>
              <w:spacing w:line="276" w:lineRule="auto"/>
              <w:jc w:val="left"/>
              <w:rPr>
                <w:rFonts w:eastAsia="Calibri"/>
                <w:sz w:val="24"/>
                <w:szCs w:val="24"/>
                <w:lang w:val="ru-RU"/>
              </w:rPr>
            </w:pPr>
            <w:r w:rsidRPr="00CA6DF6">
              <w:rPr>
                <w:rFonts w:eastAsia="Calibri"/>
                <w:sz w:val="24"/>
                <w:szCs w:val="24"/>
                <w:lang w:val="ru-RU"/>
              </w:rPr>
              <w:t>Львівська</w:t>
            </w:r>
          </w:p>
        </w:tc>
        <w:tc>
          <w:tcPr>
            <w:tcW w:w="1276" w:type="dxa"/>
            <w:shd w:val="clear" w:color="auto" w:fill="auto"/>
            <w:noWrap/>
          </w:tcPr>
          <w:p w:rsidR="00CA6DF6" w:rsidRPr="00CA6DF6" w:rsidRDefault="00CA6DF6" w:rsidP="0025050D">
            <w:pPr>
              <w:tabs>
                <w:tab w:val="left" w:pos="993"/>
              </w:tabs>
              <w:spacing w:line="276" w:lineRule="auto"/>
              <w:jc w:val="center"/>
              <w:rPr>
                <w:rFonts w:eastAsia="Calibri"/>
                <w:color w:val="000000"/>
                <w:sz w:val="24"/>
                <w:szCs w:val="24"/>
                <w:lang w:val="ru-RU"/>
              </w:rPr>
            </w:pPr>
            <w:r w:rsidRPr="00CA6DF6">
              <w:rPr>
                <w:rFonts w:eastAsia="Calibri"/>
                <w:color w:val="000000"/>
                <w:sz w:val="24"/>
                <w:szCs w:val="24"/>
                <w:lang w:val="ru-RU"/>
              </w:rPr>
              <w:t>1,43</w:t>
            </w:r>
          </w:p>
        </w:tc>
        <w:tc>
          <w:tcPr>
            <w:tcW w:w="993" w:type="dxa"/>
            <w:shd w:val="clear" w:color="auto" w:fill="auto"/>
            <w:noWrap/>
          </w:tcPr>
          <w:p w:rsidR="00CA6DF6" w:rsidRPr="00CA6DF6" w:rsidRDefault="00CA6DF6" w:rsidP="0025050D">
            <w:pPr>
              <w:tabs>
                <w:tab w:val="left" w:pos="993"/>
              </w:tabs>
              <w:spacing w:line="276" w:lineRule="auto"/>
              <w:jc w:val="center"/>
              <w:rPr>
                <w:rFonts w:eastAsia="Calibri"/>
                <w:color w:val="000000"/>
                <w:sz w:val="24"/>
                <w:szCs w:val="24"/>
                <w:lang w:val="ru-RU"/>
              </w:rPr>
            </w:pPr>
            <w:r w:rsidRPr="00CA6DF6">
              <w:rPr>
                <w:rFonts w:eastAsia="Calibri"/>
                <w:color w:val="000000"/>
                <w:sz w:val="24"/>
                <w:szCs w:val="24"/>
                <w:lang w:val="ru-RU"/>
              </w:rPr>
              <w:t>1,15</w:t>
            </w:r>
          </w:p>
        </w:tc>
        <w:tc>
          <w:tcPr>
            <w:tcW w:w="1417" w:type="dxa"/>
          </w:tcPr>
          <w:p w:rsidR="00CA6DF6" w:rsidRPr="00CA6DF6" w:rsidRDefault="00CA6DF6" w:rsidP="0025050D">
            <w:pPr>
              <w:tabs>
                <w:tab w:val="left" w:pos="993"/>
              </w:tabs>
              <w:spacing w:line="276" w:lineRule="auto"/>
              <w:jc w:val="center"/>
              <w:rPr>
                <w:rFonts w:eastAsia="Calibri"/>
                <w:bCs/>
                <w:color w:val="000000"/>
                <w:sz w:val="24"/>
                <w:szCs w:val="24"/>
                <w:lang w:val="ru-RU"/>
              </w:rPr>
            </w:pPr>
            <w:r w:rsidRPr="00CA6DF6">
              <w:rPr>
                <w:rFonts w:eastAsia="Calibri"/>
                <w:bCs/>
                <w:color w:val="000000"/>
                <w:sz w:val="24"/>
                <w:szCs w:val="24"/>
                <w:lang w:val="ru-RU"/>
              </w:rPr>
              <w:t>80,42</w:t>
            </w:r>
          </w:p>
        </w:tc>
      </w:tr>
      <w:tr w:rsidR="00CA6DF6" w:rsidRPr="00CA6DF6" w:rsidTr="00A2459B">
        <w:trPr>
          <w:trHeight w:val="225"/>
          <w:jc w:val="center"/>
        </w:trPr>
        <w:tc>
          <w:tcPr>
            <w:tcW w:w="3069" w:type="dxa"/>
            <w:shd w:val="clear" w:color="auto" w:fill="auto"/>
            <w:noWrap/>
            <w:hideMark/>
          </w:tcPr>
          <w:p w:rsidR="00CA6DF6" w:rsidRPr="00CA6DF6" w:rsidRDefault="00CA6DF6" w:rsidP="0025050D">
            <w:pPr>
              <w:tabs>
                <w:tab w:val="left" w:pos="993"/>
              </w:tabs>
              <w:spacing w:line="276" w:lineRule="auto"/>
              <w:jc w:val="left"/>
              <w:rPr>
                <w:rFonts w:eastAsia="Calibri"/>
                <w:sz w:val="24"/>
                <w:szCs w:val="24"/>
                <w:lang w:val="ru-RU"/>
              </w:rPr>
            </w:pPr>
            <w:r w:rsidRPr="00CA6DF6">
              <w:rPr>
                <w:rFonts w:eastAsia="Calibri"/>
                <w:sz w:val="24"/>
                <w:szCs w:val="24"/>
                <w:lang w:val="ru-RU"/>
              </w:rPr>
              <w:t>Миколаївська</w:t>
            </w:r>
          </w:p>
        </w:tc>
        <w:tc>
          <w:tcPr>
            <w:tcW w:w="1276" w:type="dxa"/>
            <w:shd w:val="clear" w:color="auto" w:fill="auto"/>
            <w:noWrap/>
          </w:tcPr>
          <w:p w:rsidR="00CA6DF6" w:rsidRPr="00CA6DF6" w:rsidRDefault="00CA6DF6" w:rsidP="0025050D">
            <w:pPr>
              <w:tabs>
                <w:tab w:val="left" w:pos="993"/>
              </w:tabs>
              <w:spacing w:line="276" w:lineRule="auto"/>
              <w:jc w:val="center"/>
              <w:rPr>
                <w:rFonts w:eastAsia="Calibri"/>
                <w:color w:val="000000"/>
                <w:sz w:val="24"/>
                <w:szCs w:val="24"/>
                <w:lang w:val="ru-RU"/>
              </w:rPr>
            </w:pPr>
            <w:r w:rsidRPr="00CA6DF6">
              <w:rPr>
                <w:rFonts w:eastAsia="Calibri"/>
                <w:color w:val="000000"/>
                <w:sz w:val="24"/>
                <w:szCs w:val="24"/>
                <w:lang w:val="ru-RU"/>
              </w:rPr>
              <w:t>0,80</w:t>
            </w:r>
          </w:p>
        </w:tc>
        <w:tc>
          <w:tcPr>
            <w:tcW w:w="993" w:type="dxa"/>
            <w:shd w:val="clear" w:color="auto" w:fill="auto"/>
            <w:noWrap/>
          </w:tcPr>
          <w:p w:rsidR="00CA6DF6" w:rsidRPr="00CA6DF6" w:rsidRDefault="00CA6DF6" w:rsidP="0025050D">
            <w:pPr>
              <w:tabs>
                <w:tab w:val="left" w:pos="993"/>
              </w:tabs>
              <w:spacing w:line="276" w:lineRule="auto"/>
              <w:jc w:val="center"/>
              <w:rPr>
                <w:rFonts w:eastAsia="Calibri"/>
                <w:color w:val="000000"/>
                <w:sz w:val="24"/>
                <w:szCs w:val="24"/>
                <w:lang w:val="ru-RU"/>
              </w:rPr>
            </w:pPr>
            <w:r w:rsidRPr="00CA6DF6">
              <w:rPr>
                <w:rFonts w:eastAsia="Calibri"/>
                <w:color w:val="000000"/>
                <w:sz w:val="24"/>
                <w:szCs w:val="24"/>
                <w:lang w:val="ru-RU"/>
              </w:rPr>
              <w:t>0,85</w:t>
            </w:r>
          </w:p>
        </w:tc>
        <w:tc>
          <w:tcPr>
            <w:tcW w:w="1417" w:type="dxa"/>
          </w:tcPr>
          <w:p w:rsidR="00CA6DF6" w:rsidRPr="00CA6DF6" w:rsidRDefault="00CA6DF6" w:rsidP="0025050D">
            <w:pPr>
              <w:tabs>
                <w:tab w:val="left" w:pos="993"/>
              </w:tabs>
              <w:spacing w:line="276" w:lineRule="auto"/>
              <w:jc w:val="center"/>
              <w:rPr>
                <w:rFonts w:eastAsia="Calibri"/>
                <w:bCs/>
                <w:color w:val="000000"/>
                <w:sz w:val="24"/>
                <w:szCs w:val="24"/>
                <w:lang w:val="ru-RU"/>
              </w:rPr>
            </w:pPr>
            <w:r w:rsidRPr="00CA6DF6">
              <w:rPr>
                <w:rFonts w:eastAsia="Calibri"/>
                <w:bCs/>
                <w:color w:val="000000"/>
                <w:sz w:val="24"/>
                <w:szCs w:val="24"/>
                <w:lang w:val="ru-RU"/>
              </w:rPr>
              <w:t>106,25</w:t>
            </w:r>
          </w:p>
        </w:tc>
      </w:tr>
      <w:tr w:rsidR="00CA6DF6" w:rsidRPr="00CA6DF6" w:rsidTr="00A2459B">
        <w:trPr>
          <w:trHeight w:val="225"/>
          <w:jc w:val="center"/>
        </w:trPr>
        <w:tc>
          <w:tcPr>
            <w:tcW w:w="3069" w:type="dxa"/>
            <w:shd w:val="clear" w:color="auto" w:fill="auto"/>
            <w:noWrap/>
            <w:hideMark/>
          </w:tcPr>
          <w:p w:rsidR="00CA6DF6" w:rsidRPr="00CA6DF6" w:rsidRDefault="00CA6DF6" w:rsidP="0025050D">
            <w:pPr>
              <w:tabs>
                <w:tab w:val="left" w:pos="993"/>
              </w:tabs>
              <w:spacing w:line="276" w:lineRule="auto"/>
              <w:jc w:val="left"/>
              <w:rPr>
                <w:rFonts w:eastAsia="Calibri"/>
                <w:sz w:val="24"/>
                <w:szCs w:val="24"/>
                <w:lang w:val="ru-RU"/>
              </w:rPr>
            </w:pPr>
            <w:r w:rsidRPr="00CA6DF6">
              <w:rPr>
                <w:rFonts w:eastAsia="Calibri"/>
                <w:sz w:val="24"/>
                <w:szCs w:val="24"/>
                <w:lang w:val="ru-RU"/>
              </w:rPr>
              <w:t>Одеська</w:t>
            </w:r>
          </w:p>
        </w:tc>
        <w:tc>
          <w:tcPr>
            <w:tcW w:w="1276" w:type="dxa"/>
            <w:shd w:val="clear" w:color="auto" w:fill="auto"/>
            <w:noWrap/>
          </w:tcPr>
          <w:p w:rsidR="00CA6DF6" w:rsidRPr="00CA6DF6" w:rsidRDefault="00CA6DF6" w:rsidP="0025050D">
            <w:pPr>
              <w:tabs>
                <w:tab w:val="left" w:pos="993"/>
              </w:tabs>
              <w:spacing w:line="276" w:lineRule="auto"/>
              <w:jc w:val="center"/>
              <w:rPr>
                <w:rFonts w:eastAsia="Calibri"/>
                <w:color w:val="000000"/>
                <w:sz w:val="24"/>
                <w:szCs w:val="24"/>
                <w:lang w:val="ru-RU"/>
              </w:rPr>
            </w:pPr>
            <w:r w:rsidRPr="00CA6DF6">
              <w:rPr>
                <w:rFonts w:eastAsia="Calibri"/>
                <w:color w:val="000000"/>
                <w:sz w:val="24"/>
                <w:szCs w:val="24"/>
                <w:lang w:val="ru-RU"/>
              </w:rPr>
              <w:t>0,85</w:t>
            </w:r>
          </w:p>
        </w:tc>
        <w:tc>
          <w:tcPr>
            <w:tcW w:w="993" w:type="dxa"/>
            <w:shd w:val="clear" w:color="auto" w:fill="auto"/>
            <w:noWrap/>
          </w:tcPr>
          <w:p w:rsidR="00CA6DF6" w:rsidRPr="00CA6DF6" w:rsidRDefault="00CA6DF6" w:rsidP="0025050D">
            <w:pPr>
              <w:tabs>
                <w:tab w:val="left" w:pos="993"/>
              </w:tabs>
              <w:spacing w:line="276" w:lineRule="auto"/>
              <w:jc w:val="center"/>
              <w:rPr>
                <w:rFonts w:eastAsia="Calibri"/>
                <w:color w:val="000000"/>
                <w:sz w:val="24"/>
                <w:szCs w:val="24"/>
                <w:lang w:val="ru-RU"/>
              </w:rPr>
            </w:pPr>
            <w:r w:rsidRPr="00CA6DF6">
              <w:rPr>
                <w:rFonts w:eastAsia="Calibri"/>
                <w:color w:val="000000"/>
                <w:sz w:val="24"/>
                <w:szCs w:val="24"/>
                <w:lang w:val="ru-RU"/>
              </w:rPr>
              <w:t>0,93</w:t>
            </w:r>
          </w:p>
        </w:tc>
        <w:tc>
          <w:tcPr>
            <w:tcW w:w="1417" w:type="dxa"/>
          </w:tcPr>
          <w:p w:rsidR="00CA6DF6" w:rsidRPr="00CA6DF6" w:rsidRDefault="00CA6DF6" w:rsidP="0025050D">
            <w:pPr>
              <w:tabs>
                <w:tab w:val="left" w:pos="993"/>
              </w:tabs>
              <w:spacing w:line="276" w:lineRule="auto"/>
              <w:jc w:val="center"/>
              <w:rPr>
                <w:rFonts w:eastAsia="Calibri"/>
                <w:bCs/>
                <w:color w:val="000000"/>
                <w:sz w:val="24"/>
                <w:szCs w:val="24"/>
                <w:lang w:val="ru-RU"/>
              </w:rPr>
            </w:pPr>
            <w:r w:rsidRPr="00CA6DF6">
              <w:rPr>
                <w:rFonts w:eastAsia="Calibri"/>
                <w:bCs/>
                <w:color w:val="000000"/>
                <w:sz w:val="24"/>
                <w:szCs w:val="24"/>
                <w:lang w:val="ru-RU"/>
              </w:rPr>
              <w:t>109,41</w:t>
            </w:r>
          </w:p>
        </w:tc>
      </w:tr>
      <w:tr w:rsidR="00CA6DF6" w:rsidRPr="00CA6DF6" w:rsidTr="00A2459B">
        <w:trPr>
          <w:trHeight w:val="225"/>
          <w:jc w:val="center"/>
        </w:trPr>
        <w:tc>
          <w:tcPr>
            <w:tcW w:w="3069" w:type="dxa"/>
            <w:shd w:val="clear" w:color="auto" w:fill="auto"/>
            <w:noWrap/>
            <w:hideMark/>
          </w:tcPr>
          <w:p w:rsidR="00CA6DF6" w:rsidRPr="00CA6DF6" w:rsidRDefault="00CA6DF6" w:rsidP="0025050D">
            <w:pPr>
              <w:tabs>
                <w:tab w:val="left" w:pos="993"/>
              </w:tabs>
              <w:spacing w:line="276" w:lineRule="auto"/>
              <w:jc w:val="left"/>
              <w:rPr>
                <w:rFonts w:eastAsia="Calibri"/>
                <w:sz w:val="24"/>
                <w:szCs w:val="24"/>
                <w:lang w:val="ru-RU"/>
              </w:rPr>
            </w:pPr>
            <w:r w:rsidRPr="00CA6DF6">
              <w:rPr>
                <w:rFonts w:eastAsia="Calibri"/>
                <w:sz w:val="24"/>
                <w:szCs w:val="24"/>
                <w:lang w:val="ru-RU"/>
              </w:rPr>
              <w:t>Полтавська</w:t>
            </w:r>
          </w:p>
        </w:tc>
        <w:tc>
          <w:tcPr>
            <w:tcW w:w="1276" w:type="dxa"/>
            <w:shd w:val="clear" w:color="auto" w:fill="auto"/>
            <w:noWrap/>
          </w:tcPr>
          <w:p w:rsidR="00CA6DF6" w:rsidRPr="00CA6DF6" w:rsidRDefault="00CA6DF6" w:rsidP="0025050D">
            <w:pPr>
              <w:tabs>
                <w:tab w:val="left" w:pos="993"/>
              </w:tabs>
              <w:spacing w:line="276" w:lineRule="auto"/>
              <w:jc w:val="center"/>
              <w:rPr>
                <w:rFonts w:eastAsia="Calibri"/>
                <w:color w:val="000000"/>
                <w:sz w:val="24"/>
                <w:szCs w:val="24"/>
                <w:lang w:val="ru-RU"/>
              </w:rPr>
            </w:pPr>
            <w:r w:rsidRPr="00CA6DF6">
              <w:rPr>
                <w:rFonts w:eastAsia="Calibri"/>
                <w:color w:val="000000"/>
                <w:sz w:val="24"/>
                <w:szCs w:val="24"/>
                <w:lang w:val="ru-RU"/>
              </w:rPr>
              <w:t>0,79</w:t>
            </w:r>
          </w:p>
        </w:tc>
        <w:tc>
          <w:tcPr>
            <w:tcW w:w="993" w:type="dxa"/>
            <w:shd w:val="clear" w:color="auto" w:fill="auto"/>
            <w:noWrap/>
          </w:tcPr>
          <w:p w:rsidR="00CA6DF6" w:rsidRPr="00CA6DF6" w:rsidRDefault="00CA6DF6" w:rsidP="0025050D">
            <w:pPr>
              <w:tabs>
                <w:tab w:val="left" w:pos="993"/>
              </w:tabs>
              <w:spacing w:line="276" w:lineRule="auto"/>
              <w:jc w:val="center"/>
              <w:rPr>
                <w:rFonts w:eastAsia="Calibri"/>
                <w:color w:val="000000"/>
                <w:sz w:val="24"/>
                <w:szCs w:val="24"/>
                <w:lang w:val="ru-RU"/>
              </w:rPr>
            </w:pPr>
            <w:r w:rsidRPr="00CA6DF6">
              <w:rPr>
                <w:rFonts w:eastAsia="Calibri"/>
                <w:color w:val="000000"/>
                <w:sz w:val="24"/>
                <w:szCs w:val="24"/>
                <w:lang w:val="ru-RU"/>
              </w:rPr>
              <w:t>0,50</w:t>
            </w:r>
          </w:p>
        </w:tc>
        <w:tc>
          <w:tcPr>
            <w:tcW w:w="1417" w:type="dxa"/>
          </w:tcPr>
          <w:p w:rsidR="00CA6DF6" w:rsidRPr="00CA6DF6" w:rsidRDefault="00CA6DF6" w:rsidP="0025050D">
            <w:pPr>
              <w:tabs>
                <w:tab w:val="left" w:pos="993"/>
              </w:tabs>
              <w:spacing w:line="276" w:lineRule="auto"/>
              <w:jc w:val="center"/>
              <w:rPr>
                <w:rFonts w:eastAsia="Calibri"/>
                <w:bCs/>
                <w:color w:val="000000"/>
                <w:sz w:val="24"/>
                <w:szCs w:val="24"/>
                <w:lang w:val="ru-RU"/>
              </w:rPr>
            </w:pPr>
            <w:r w:rsidRPr="00CA6DF6">
              <w:rPr>
                <w:rFonts w:eastAsia="Calibri"/>
                <w:bCs/>
                <w:color w:val="000000"/>
                <w:sz w:val="24"/>
                <w:szCs w:val="24"/>
                <w:lang w:val="ru-RU"/>
              </w:rPr>
              <w:t>63,29</w:t>
            </w:r>
          </w:p>
        </w:tc>
      </w:tr>
      <w:tr w:rsidR="00CA6DF6" w:rsidRPr="00CA6DF6" w:rsidTr="00A2459B">
        <w:trPr>
          <w:trHeight w:val="225"/>
          <w:jc w:val="center"/>
        </w:trPr>
        <w:tc>
          <w:tcPr>
            <w:tcW w:w="3069" w:type="dxa"/>
            <w:shd w:val="clear" w:color="auto" w:fill="auto"/>
            <w:noWrap/>
            <w:hideMark/>
          </w:tcPr>
          <w:p w:rsidR="00CA6DF6" w:rsidRPr="00CA6DF6" w:rsidRDefault="00CA6DF6" w:rsidP="0025050D">
            <w:pPr>
              <w:tabs>
                <w:tab w:val="left" w:pos="993"/>
              </w:tabs>
              <w:spacing w:line="276" w:lineRule="auto"/>
              <w:jc w:val="left"/>
              <w:rPr>
                <w:rFonts w:eastAsia="Calibri"/>
                <w:sz w:val="24"/>
                <w:szCs w:val="24"/>
                <w:lang w:val="ru-RU"/>
              </w:rPr>
            </w:pPr>
            <w:r w:rsidRPr="00CA6DF6">
              <w:rPr>
                <w:rFonts w:eastAsia="Calibri"/>
                <w:sz w:val="24"/>
                <w:szCs w:val="24"/>
                <w:lang w:val="ru-RU"/>
              </w:rPr>
              <w:t>Рівненська</w:t>
            </w:r>
          </w:p>
        </w:tc>
        <w:tc>
          <w:tcPr>
            <w:tcW w:w="1276" w:type="dxa"/>
            <w:shd w:val="clear" w:color="auto" w:fill="auto"/>
            <w:noWrap/>
          </w:tcPr>
          <w:p w:rsidR="00CA6DF6" w:rsidRPr="00CA6DF6" w:rsidRDefault="00CA6DF6" w:rsidP="0025050D">
            <w:pPr>
              <w:tabs>
                <w:tab w:val="left" w:pos="993"/>
              </w:tabs>
              <w:spacing w:line="276" w:lineRule="auto"/>
              <w:jc w:val="center"/>
              <w:rPr>
                <w:rFonts w:eastAsia="Calibri"/>
                <w:color w:val="000000"/>
                <w:sz w:val="24"/>
                <w:szCs w:val="24"/>
                <w:lang w:val="ru-RU"/>
              </w:rPr>
            </w:pPr>
            <w:r w:rsidRPr="00CA6DF6">
              <w:rPr>
                <w:rFonts w:eastAsia="Calibri"/>
                <w:color w:val="000000"/>
                <w:sz w:val="24"/>
                <w:szCs w:val="24"/>
                <w:lang w:val="ru-RU"/>
              </w:rPr>
              <w:t>1,06</w:t>
            </w:r>
          </w:p>
        </w:tc>
        <w:tc>
          <w:tcPr>
            <w:tcW w:w="993" w:type="dxa"/>
            <w:shd w:val="clear" w:color="auto" w:fill="auto"/>
            <w:noWrap/>
          </w:tcPr>
          <w:p w:rsidR="00CA6DF6" w:rsidRPr="00CA6DF6" w:rsidRDefault="00CA6DF6" w:rsidP="0025050D">
            <w:pPr>
              <w:tabs>
                <w:tab w:val="left" w:pos="993"/>
              </w:tabs>
              <w:spacing w:line="276" w:lineRule="auto"/>
              <w:jc w:val="center"/>
              <w:rPr>
                <w:rFonts w:eastAsia="Calibri"/>
                <w:color w:val="000000"/>
                <w:sz w:val="24"/>
                <w:szCs w:val="24"/>
                <w:lang w:val="ru-RU"/>
              </w:rPr>
            </w:pPr>
            <w:r w:rsidRPr="00CA6DF6">
              <w:rPr>
                <w:rFonts w:eastAsia="Calibri"/>
                <w:color w:val="000000"/>
                <w:sz w:val="24"/>
                <w:szCs w:val="24"/>
                <w:lang w:val="ru-RU"/>
              </w:rPr>
              <w:t>1,06</w:t>
            </w:r>
          </w:p>
        </w:tc>
        <w:tc>
          <w:tcPr>
            <w:tcW w:w="1417" w:type="dxa"/>
          </w:tcPr>
          <w:p w:rsidR="00CA6DF6" w:rsidRPr="00CA6DF6" w:rsidRDefault="00CA6DF6" w:rsidP="0025050D">
            <w:pPr>
              <w:tabs>
                <w:tab w:val="left" w:pos="993"/>
              </w:tabs>
              <w:spacing w:line="276" w:lineRule="auto"/>
              <w:jc w:val="center"/>
              <w:rPr>
                <w:rFonts w:eastAsia="Calibri"/>
                <w:bCs/>
                <w:color w:val="000000"/>
                <w:sz w:val="24"/>
                <w:szCs w:val="24"/>
                <w:lang w:val="ru-RU"/>
              </w:rPr>
            </w:pPr>
            <w:r w:rsidRPr="00CA6DF6">
              <w:rPr>
                <w:rFonts w:eastAsia="Calibri"/>
                <w:bCs/>
                <w:color w:val="000000"/>
                <w:sz w:val="24"/>
                <w:szCs w:val="24"/>
                <w:lang w:val="ru-RU"/>
              </w:rPr>
              <w:t>100,0</w:t>
            </w:r>
          </w:p>
        </w:tc>
      </w:tr>
      <w:tr w:rsidR="00CA6DF6" w:rsidRPr="00CA6DF6" w:rsidTr="00A2459B">
        <w:trPr>
          <w:trHeight w:val="225"/>
          <w:jc w:val="center"/>
        </w:trPr>
        <w:tc>
          <w:tcPr>
            <w:tcW w:w="3069" w:type="dxa"/>
            <w:shd w:val="clear" w:color="auto" w:fill="auto"/>
            <w:noWrap/>
            <w:hideMark/>
          </w:tcPr>
          <w:p w:rsidR="00CA6DF6" w:rsidRPr="00CA6DF6" w:rsidRDefault="00CA6DF6" w:rsidP="0025050D">
            <w:pPr>
              <w:tabs>
                <w:tab w:val="left" w:pos="993"/>
              </w:tabs>
              <w:spacing w:line="276" w:lineRule="auto"/>
              <w:jc w:val="left"/>
              <w:rPr>
                <w:rFonts w:eastAsia="Calibri"/>
                <w:sz w:val="24"/>
                <w:szCs w:val="24"/>
                <w:lang w:val="ru-RU"/>
              </w:rPr>
            </w:pPr>
            <w:r w:rsidRPr="00CA6DF6">
              <w:rPr>
                <w:rFonts w:eastAsia="Calibri"/>
                <w:sz w:val="24"/>
                <w:szCs w:val="24"/>
                <w:lang w:val="ru-RU"/>
              </w:rPr>
              <w:t>Сумська</w:t>
            </w:r>
          </w:p>
        </w:tc>
        <w:tc>
          <w:tcPr>
            <w:tcW w:w="1276" w:type="dxa"/>
            <w:shd w:val="clear" w:color="auto" w:fill="auto"/>
            <w:noWrap/>
          </w:tcPr>
          <w:p w:rsidR="00CA6DF6" w:rsidRPr="00CA6DF6" w:rsidRDefault="00CA6DF6" w:rsidP="0025050D">
            <w:pPr>
              <w:tabs>
                <w:tab w:val="left" w:pos="993"/>
              </w:tabs>
              <w:spacing w:line="276" w:lineRule="auto"/>
              <w:jc w:val="center"/>
              <w:rPr>
                <w:rFonts w:eastAsia="Calibri"/>
                <w:color w:val="000000"/>
                <w:sz w:val="24"/>
                <w:szCs w:val="24"/>
                <w:lang w:val="ru-RU"/>
              </w:rPr>
            </w:pPr>
            <w:r w:rsidRPr="00CA6DF6">
              <w:rPr>
                <w:rFonts w:eastAsia="Calibri"/>
                <w:color w:val="000000"/>
                <w:sz w:val="24"/>
                <w:szCs w:val="24"/>
                <w:lang w:val="ru-RU"/>
              </w:rPr>
              <w:t>0,78</w:t>
            </w:r>
          </w:p>
        </w:tc>
        <w:tc>
          <w:tcPr>
            <w:tcW w:w="993" w:type="dxa"/>
            <w:shd w:val="clear" w:color="auto" w:fill="auto"/>
            <w:noWrap/>
          </w:tcPr>
          <w:p w:rsidR="00CA6DF6" w:rsidRPr="00CA6DF6" w:rsidRDefault="00CA6DF6" w:rsidP="0025050D">
            <w:pPr>
              <w:tabs>
                <w:tab w:val="left" w:pos="993"/>
              </w:tabs>
              <w:spacing w:line="276" w:lineRule="auto"/>
              <w:jc w:val="center"/>
              <w:rPr>
                <w:rFonts w:eastAsia="Calibri"/>
                <w:color w:val="000000"/>
                <w:sz w:val="24"/>
                <w:szCs w:val="24"/>
                <w:lang w:val="ru-RU"/>
              </w:rPr>
            </w:pPr>
            <w:r w:rsidRPr="00CA6DF6">
              <w:rPr>
                <w:rFonts w:eastAsia="Calibri"/>
                <w:color w:val="000000"/>
                <w:sz w:val="24"/>
                <w:szCs w:val="24"/>
                <w:lang w:val="ru-RU"/>
              </w:rPr>
              <w:t>0,47</w:t>
            </w:r>
          </w:p>
        </w:tc>
        <w:tc>
          <w:tcPr>
            <w:tcW w:w="1417" w:type="dxa"/>
          </w:tcPr>
          <w:p w:rsidR="00CA6DF6" w:rsidRPr="00CA6DF6" w:rsidRDefault="00CA6DF6" w:rsidP="0025050D">
            <w:pPr>
              <w:tabs>
                <w:tab w:val="left" w:pos="993"/>
              </w:tabs>
              <w:spacing w:line="276" w:lineRule="auto"/>
              <w:jc w:val="center"/>
              <w:rPr>
                <w:rFonts w:eastAsia="Calibri"/>
                <w:bCs/>
                <w:color w:val="000000"/>
                <w:sz w:val="24"/>
                <w:szCs w:val="24"/>
                <w:lang w:val="ru-RU"/>
              </w:rPr>
            </w:pPr>
            <w:r w:rsidRPr="00CA6DF6">
              <w:rPr>
                <w:rFonts w:eastAsia="Calibri"/>
                <w:bCs/>
                <w:color w:val="000000"/>
                <w:sz w:val="24"/>
                <w:szCs w:val="24"/>
                <w:lang w:val="ru-RU"/>
              </w:rPr>
              <w:t>60,26</w:t>
            </w:r>
          </w:p>
        </w:tc>
      </w:tr>
      <w:tr w:rsidR="00CA6DF6" w:rsidRPr="00CA6DF6" w:rsidTr="00A2459B">
        <w:trPr>
          <w:trHeight w:val="225"/>
          <w:jc w:val="center"/>
        </w:trPr>
        <w:tc>
          <w:tcPr>
            <w:tcW w:w="3069" w:type="dxa"/>
            <w:shd w:val="clear" w:color="auto" w:fill="auto"/>
            <w:noWrap/>
            <w:hideMark/>
          </w:tcPr>
          <w:p w:rsidR="00CA6DF6" w:rsidRPr="00CA6DF6" w:rsidRDefault="00CA6DF6" w:rsidP="0025050D">
            <w:pPr>
              <w:tabs>
                <w:tab w:val="left" w:pos="993"/>
              </w:tabs>
              <w:spacing w:line="276" w:lineRule="auto"/>
              <w:jc w:val="left"/>
              <w:rPr>
                <w:rFonts w:eastAsia="Calibri"/>
                <w:sz w:val="24"/>
                <w:szCs w:val="24"/>
                <w:lang w:val="ru-RU"/>
              </w:rPr>
            </w:pPr>
            <w:r w:rsidRPr="00CA6DF6">
              <w:rPr>
                <w:rFonts w:eastAsia="Calibri"/>
                <w:sz w:val="24"/>
                <w:szCs w:val="24"/>
                <w:lang w:val="ru-RU"/>
              </w:rPr>
              <w:t>Тернопільська</w:t>
            </w:r>
          </w:p>
        </w:tc>
        <w:tc>
          <w:tcPr>
            <w:tcW w:w="1276" w:type="dxa"/>
            <w:shd w:val="clear" w:color="auto" w:fill="auto"/>
            <w:noWrap/>
          </w:tcPr>
          <w:p w:rsidR="00CA6DF6" w:rsidRPr="00CA6DF6" w:rsidRDefault="00CA6DF6" w:rsidP="0025050D">
            <w:pPr>
              <w:tabs>
                <w:tab w:val="left" w:pos="993"/>
              </w:tabs>
              <w:spacing w:line="276" w:lineRule="auto"/>
              <w:jc w:val="center"/>
              <w:rPr>
                <w:rFonts w:eastAsia="Calibri"/>
                <w:color w:val="000000"/>
                <w:sz w:val="24"/>
                <w:szCs w:val="24"/>
                <w:lang w:val="ru-RU"/>
              </w:rPr>
            </w:pPr>
            <w:r w:rsidRPr="00CA6DF6">
              <w:rPr>
                <w:rFonts w:eastAsia="Calibri"/>
                <w:color w:val="000000"/>
                <w:sz w:val="24"/>
                <w:szCs w:val="24"/>
                <w:lang w:val="ru-RU"/>
              </w:rPr>
              <w:t>1,32</w:t>
            </w:r>
          </w:p>
        </w:tc>
        <w:tc>
          <w:tcPr>
            <w:tcW w:w="993" w:type="dxa"/>
            <w:shd w:val="clear" w:color="auto" w:fill="auto"/>
            <w:noWrap/>
          </w:tcPr>
          <w:p w:rsidR="00CA6DF6" w:rsidRPr="00CA6DF6" w:rsidRDefault="00CA6DF6" w:rsidP="0025050D">
            <w:pPr>
              <w:tabs>
                <w:tab w:val="left" w:pos="993"/>
              </w:tabs>
              <w:spacing w:line="276" w:lineRule="auto"/>
              <w:jc w:val="center"/>
              <w:rPr>
                <w:rFonts w:eastAsia="Calibri"/>
                <w:color w:val="000000"/>
                <w:sz w:val="24"/>
                <w:szCs w:val="24"/>
                <w:lang w:val="ru-RU"/>
              </w:rPr>
            </w:pPr>
            <w:r w:rsidRPr="00CA6DF6">
              <w:rPr>
                <w:rFonts w:eastAsia="Calibri"/>
                <w:color w:val="000000"/>
                <w:sz w:val="24"/>
                <w:szCs w:val="24"/>
                <w:lang w:val="ru-RU"/>
              </w:rPr>
              <w:t>0,97</w:t>
            </w:r>
          </w:p>
        </w:tc>
        <w:tc>
          <w:tcPr>
            <w:tcW w:w="1417" w:type="dxa"/>
          </w:tcPr>
          <w:p w:rsidR="00CA6DF6" w:rsidRPr="00CA6DF6" w:rsidRDefault="00CA6DF6" w:rsidP="0025050D">
            <w:pPr>
              <w:tabs>
                <w:tab w:val="left" w:pos="993"/>
              </w:tabs>
              <w:spacing w:line="276" w:lineRule="auto"/>
              <w:jc w:val="center"/>
              <w:rPr>
                <w:rFonts w:eastAsia="Calibri"/>
                <w:bCs/>
                <w:color w:val="000000"/>
                <w:sz w:val="24"/>
                <w:szCs w:val="24"/>
                <w:lang w:val="ru-RU"/>
              </w:rPr>
            </w:pPr>
            <w:r w:rsidRPr="00CA6DF6">
              <w:rPr>
                <w:rFonts w:eastAsia="Calibri"/>
                <w:bCs/>
                <w:color w:val="000000"/>
                <w:sz w:val="24"/>
                <w:szCs w:val="24"/>
                <w:lang w:val="ru-RU"/>
              </w:rPr>
              <w:t>73,48</w:t>
            </w:r>
          </w:p>
        </w:tc>
      </w:tr>
      <w:tr w:rsidR="00CA6DF6" w:rsidRPr="00CA6DF6" w:rsidTr="00A2459B">
        <w:trPr>
          <w:trHeight w:val="225"/>
          <w:jc w:val="center"/>
        </w:trPr>
        <w:tc>
          <w:tcPr>
            <w:tcW w:w="3069" w:type="dxa"/>
            <w:shd w:val="clear" w:color="auto" w:fill="auto"/>
            <w:noWrap/>
            <w:hideMark/>
          </w:tcPr>
          <w:p w:rsidR="00CA6DF6" w:rsidRPr="00CA6DF6" w:rsidRDefault="00CA6DF6" w:rsidP="0025050D">
            <w:pPr>
              <w:tabs>
                <w:tab w:val="left" w:pos="993"/>
              </w:tabs>
              <w:spacing w:line="276" w:lineRule="auto"/>
              <w:jc w:val="left"/>
              <w:rPr>
                <w:rFonts w:eastAsia="Calibri"/>
                <w:sz w:val="24"/>
                <w:szCs w:val="24"/>
                <w:lang w:val="ru-RU"/>
              </w:rPr>
            </w:pPr>
            <w:r w:rsidRPr="00CA6DF6">
              <w:rPr>
                <w:rFonts w:eastAsia="Calibri"/>
                <w:sz w:val="24"/>
                <w:szCs w:val="24"/>
                <w:lang w:val="ru-RU"/>
              </w:rPr>
              <w:t>Харківська</w:t>
            </w:r>
          </w:p>
        </w:tc>
        <w:tc>
          <w:tcPr>
            <w:tcW w:w="1276" w:type="dxa"/>
            <w:shd w:val="clear" w:color="auto" w:fill="auto"/>
            <w:noWrap/>
          </w:tcPr>
          <w:p w:rsidR="00CA6DF6" w:rsidRPr="00CA6DF6" w:rsidRDefault="00CA6DF6" w:rsidP="0025050D">
            <w:pPr>
              <w:tabs>
                <w:tab w:val="left" w:pos="993"/>
              </w:tabs>
              <w:spacing w:line="276" w:lineRule="auto"/>
              <w:jc w:val="center"/>
              <w:rPr>
                <w:rFonts w:eastAsia="Calibri"/>
                <w:color w:val="000000"/>
                <w:sz w:val="24"/>
                <w:szCs w:val="24"/>
                <w:lang w:val="ru-RU"/>
              </w:rPr>
            </w:pPr>
            <w:r w:rsidRPr="00CA6DF6">
              <w:rPr>
                <w:rFonts w:eastAsia="Calibri"/>
                <w:color w:val="000000"/>
                <w:sz w:val="24"/>
                <w:szCs w:val="24"/>
                <w:lang w:val="ru-RU"/>
              </w:rPr>
              <w:t>1,26</w:t>
            </w:r>
          </w:p>
        </w:tc>
        <w:tc>
          <w:tcPr>
            <w:tcW w:w="993" w:type="dxa"/>
            <w:shd w:val="clear" w:color="auto" w:fill="auto"/>
            <w:noWrap/>
          </w:tcPr>
          <w:p w:rsidR="00CA6DF6" w:rsidRPr="00CA6DF6" w:rsidRDefault="00CA6DF6" w:rsidP="0025050D">
            <w:pPr>
              <w:tabs>
                <w:tab w:val="left" w:pos="993"/>
              </w:tabs>
              <w:spacing w:line="276" w:lineRule="auto"/>
              <w:jc w:val="center"/>
              <w:rPr>
                <w:rFonts w:eastAsia="Calibri"/>
                <w:color w:val="000000"/>
                <w:sz w:val="24"/>
                <w:szCs w:val="24"/>
                <w:lang w:val="ru-RU"/>
              </w:rPr>
            </w:pPr>
            <w:r w:rsidRPr="00CA6DF6">
              <w:rPr>
                <w:rFonts w:eastAsia="Calibri"/>
                <w:color w:val="000000"/>
                <w:sz w:val="24"/>
                <w:szCs w:val="24"/>
                <w:lang w:val="ru-RU"/>
              </w:rPr>
              <w:t>0,95</w:t>
            </w:r>
          </w:p>
        </w:tc>
        <w:tc>
          <w:tcPr>
            <w:tcW w:w="1417" w:type="dxa"/>
          </w:tcPr>
          <w:p w:rsidR="00CA6DF6" w:rsidRPr="00CA6DF6" w:rsidRDefault="00CA6DF6" w:rsidP="0025050D">
            <w:pPr>
              <w:tabs>
                <w:tab w:val="left" w:pos="993"/>
              </w:tabs>
              <w:spacing w:line="276" w:lineRule="auto"/>
              <w:jc w:val="center"/>
              <w:rPr>
                <w:rFonts w:eastAsia="Calibri"/>
                <w:bCs/>
                <w:color w:val="000000"/>
                <w:sz w:val="24"/>
                <w:szCs w:val="24"/>
                <w:lang w:val="ru-RU"/>
              </w:rPr>
            </w:pPr>
            <w:r w:rsidRPr="00CA6DF6">
              <w:rPr>
                <w:rFonts w:eastAsia="Calibri"/>
                <w:bCs/>
                <w:color w:val="000000"/>
                <w:sz w:val="24"/>
                <w:szCs w:val="24"/>
                <w:lang w:val="ru-RU"/>
              </w:rPr>
              <w:t>75,40</w:t>
            </w:r>
          </w:p>
        </w:tc>
      </w:tr>
      <w:tr w:rsidR="00CA6DF6" w:rsidRPr="00CA6DF6" w:rsidTr="00A2459B">
        <w:trPr>
          <w:trHeight w:val="225"/>
          <w:jc w:val="center"/>
        </w:trPr>
        <w:tc>
          <w:tcPr>
            <w:tcW w:w="3069" w:type="dxa"/>
            <w:shd w:val="clear" w:color="auto" w:fill="auto"/>
            <w:noWrap/>
            <w:hideMark/>
          </w:tcPr>
          <w:p w:rsidR="00CA6DF6" w:rsidRPr="00CA6DF6" w:rsidRDefault="00CA6DF6" w:rsidP="0025050D">
            <w:pPr>
              <w:tabs>
                <w:tab w:val="left" w:pos="993"/>
              </w:tabs>
              <w:spacing w:line="276" w:lineRule="auto"/>
              <w:jc w:val="left"/>
              <w:rPr>
                <w:rFonts w:eastAsia="Calibri"/>
                <w:sz w:val="24"/>
                <w:szCs w:val="24"/>
                <w:lang w:val="ru-RU"/>
              </w:rPr>
            </w:pPr>
            <w:r w:rsidRPr="00CA6DF6">
              <w:rPr>
                <w:rFonts w:eastAsia="Calibri"/>
                <w:sz w:val="24"/>
                <w:szCs w:val="24"/>
                <w:lang w:val="ru-RU"/>
              </w:rPr>
              <w:t>Херсонська</w:t>
            </w:r>
          </w:p>
        </w:tc>
        <w:tc>
          <w:tcPr>
            <w:tcW w:w="1276" w:type="dxa"/>
            <w:shd w:val="clear" w:color="auto" w:fill="auto"/>
            <w:noWrap/>
          </w:tcPr>
          <w:p w:rsidR="00CA6DF6" w:rsidRPr="00CA6DF6" w:rsidRDefault="00CA6DF6" w:rsidP="0025050D">
            <w:pPr>
              <w:tabs>
                <w:tab w:val="left" w:pos="993"/>
              </w:tabs>
              <w:spacing w:line="276" w:lineRule="auto"/>
              <w:jc w:val="center"/>
              <w:rPr>
                <w:rFonts w:eastAsia="Calibri"/>
                <w:color w:val="000000"/>
                <w:sz w:val="24"/>
                <w:szCs w:val="24"/>
                <w:lang w:val="ru-RU"/>
              </w:rPr>
            </w:pPr>
            <w:r w:rsidRPr="00CA6DF6">
              <w:rPr>
                <w:rFonts w:eastAsia="Calibri"/>
                <w:color w:val="000000"/>
                <w:sz w:val="24"/>
                <w:szCs w:val="24"/>
                <w:lang w:val="ru-RU"/>
              </w:rPr>
              <w:t>0,97</w:t>
            </w:r>
          </w:p>
        </w:tc>
        <w:tc>
          <w:tcPr>
            <w:tcW w:w="993" w:type="dxa"/>
            <w:shd w:val="clear" w:color="auto" w:fill="auto"/>
            <w:noWrap/>
          </w:tcPr>
          <w:p w:rsidR="00CA6DF6" w:rsidRPr="00CA6DF6" w:rsidRDefault="00CA6DF6" w:rsidP="0025050D">
            <w:pPr>
              <w:tabs>
                <w:tab w:val="left" w:pos="993"/>
              </w:tabs>
              <w:spacing w:line="276" w:lineRule="auto"/>
              <w:jc w:val="center"/>
              <w:rPr>
                <w:rFonts w:eastAsia="Calibri"/>
                <w:color w:val="000000"/>
                <w:sz w:val="24"/>
                <w:szCs w:val="24"/>
                <w:lang w:val="ru-RU"/>
              </w:rPr>
            </w:pPr>
            <w:r w:rsidRPr="00CA6DF6">
              <w:rPr>
                <w:rFonts w:eastAsia="Calibri"/>
                <w:color w:val="000000"/>
                <w:sz w:val="24"/>
                <w:szCs w:val="24"/>
                <w:lang w:val="ru-RU"/>
              </w:rPr>
              <w:t>1,16</w:t>
            </w:r>
          </w:p>
        </w:tc>
        <w:tc>
          <w:tcPr>
            <w:tcW w:w="1417" w:type="dxa"/>
          </w:tcPr>
          <w:p w:rsidR="00CA6DF6" w:rsidRPr="00CA6DF6" w:rsidRDefault="00CA6DF6" w:rsidP="0025050D">
            <w:pPr>
              <w:tabs>
                <w:tab w:val="left" w:pos="993"/>
              </w:tabs>
              <w:spacing w:line="276" w:lineRule="auto"/>
              <w:jc w:val="center"/>
              <w:rPr>
                <w:rFonts w:eastAsia="Calibri"/>
                <w:bCs/>
                <w:color w:val="000000"/>
                <w:sz w:val="24"/>
                <w:szCs w:val="24"/>
                <w:lang w:val="ru-RU"/>
              </w:rPr>
            </w:pPr>
            <w:r w:rsidRPr="00CA6DF6">
              <w:rPr>
                <w:rFonts w:eastAsia="Calibri"/>
                <w:bCs/>
                <w:color w:val="000000"/>
                <w:sz w:val="24"/>
                <w:szCs w:val="24"/>
                <w:lang w:val="ru-RU"/>
              </w:rPr>
              <w:t>119,59</w:t>
            </w:r>
          </w:p>
        </w:tc>
      </w:tr>
      <w:tr w:rsidR="00CA6DF6" w:rsidRPr="00CA6DF6" w:rsidTr="00A2459B">
        <w:trPr>
          <w:trHeight w:val="225"/>
          <w:jc w:val="center"/>
        </w:trPr>
        <w:tc>
          <w:tcPr>
            <w:tcW w:w="3069" w:type="dxa"/>
            <w:shd w:val="clear" w:color="auto" w:fill="auto"/>
            <w:noWrap/>
            <w:hideMark/>
          </w:tcPr>
          <w:p w:rsidR="00CA6DF6" w:rsidRPr="00CA6DF6" w:rsidRDefault="00CA6DF6" w:rsidP="0025050D">
            <w:pPr>
              <w:tabs>
                <w:tab w:val="left" w:pos="993"/>
              </w:tabs>
              <w:spacing w:line="276" w:lineRule="auto"/>
              <w:jc w:val="left"/>
              <w:rPr>
                <w:rFonts w:eastAsia="Calibri"/>
                <w:sz w:val="24"/>
                <w:szCs w:val="24"/>
                <w:lang w:val="ru-RU"/>
              </w:rPr>
            </w:pPr>
            <w:r w:rsidRPr="00CA6DF6">
              <w:rPr>
                <w:rFonts w:eastAsia="Calibri"/>
                <w:sz w:val="24"/>
                <w:szCs w:val="24"/>
                <w:lang w:val="ru-RU"/>
              </w:rPr>
              <w:t>Хмельницька</w:t>
            </w:r>
          </w:p>
        </w:tc>
        <w:tc>
          <w:tcPr>
            <w:tcW w:w="1276" w:type="dxa"/>
            <w:shd w:val="clear" w:color="auto" w:fill="auto"/>
            <w:noWrap/>
          </w:tcPr>
          <w:p w:rsidR="00CA6DF6" w:rsidRPr="00CA6DF6" w:rsidRDefault="00CA6DF6" w:rsidP="0025050D">
            <w:pPr>
              <w:tabs>
                <w:tab w:val="left" w:pos="993"/>
              </w:tabs>
              <w:spacing w:line="276" w:lineRule="auto"/>
              <w:jc w:val="center"/>
              <w:rPr>
                <w:rFonts w:eastAsia="Calibri"/>
                <w:color w:val="000000"/>
                <w:sz w:val="24"/>
                <w:szCs w:val="24"/>
                <w:lang w:val="ru-RU"/>
              </w:rPr>
            </w:pPr>
            <w:r w:rsidRPr="00CA6DF6">
              <w:rPr>
                <w:rFonts w:eastAsia="Calibri"/>
                <w:color w:val="000000"/>
                <w:sz w:val="24"/>
                <w:szCs w:val="24"/>
                <w:lang w:val="ru-RU"/>
              </w:rPr>
              <w:t>0,87</w:t>
            </w:r>
          </w:p>
        </w:tc>
        <w:tc>
          <w:tcPr>
            <w:tcW w:w="993" w:type="dxa"/>
            <w:shd w:val="clear" w:color="auto" w:fill="auto"/>
            <w:noWrap/>
          </w:tcPr>
          <w:p w:rsidR="00CA6DF6" w:rsidRPr="00CA6DF6" w:rsidRDefault="00CA6DF6" w:rsidP="0025050D">
            <w:pPr>
              <w:tabs>
                <w:tab w:val="left" w:pos="993"/>
              </w:tabs>
              <w:spacing w:line="276" w:lineRule="auto"/>
              <w:jc w:val="center"/>
              <w:rPr>
                <w:rFonts w:eastAsia="Calibri"/>
                <w:color w:val="000000"/>
                <w:sz w:val="24"/>
                <w:szCs w:val="24"/>
                <w:lang w:val="ru-RU"/>
              </w:rPr>
            </w:pPr>
            <w:r w:rsidRPr="00CA6DF6">
              <w:rPr>
                <w:rFonts w:eastAsia="Calibri"/>
                <w:color w:val="000000"/>
                <w:sz w:val="24"/>
                <w:szCs w:val="24"/>
                <w:lang w:val="ru-RU"/>
              </w:rPr>
              <w:t>0,70</w:t>
            </w:r>
          </w:p>
        </w:tc>
        <w:tc>
          <w:tcPr>
            <w:tcW w:w="1417" w:type="dxa"/>
          </w:tcPr>
          <w:p w:rsidR="00CA6DF6" w:rsidRPr="00CA6DF6" w:rsidRDefault="00CA6DF6" w:rsidP="0025050D">
            <w:pPr>
              <w:tabs>
                <w:tab w:val="left" w:pos="993"/>
              </w:tabs>
              <w:spacing w:line="276" w:lineRule="auto"/>
              <w:jc w:val="center"/>
              <w:rPr>
                <w:rFonts w:eastAsia="Calibri"/>
                <w:bCs/>
                <w:color w:val="000000"/>
                <w:sz w:val="24"/>
                <w:szCs w:val="24"/>
                <w:lang w:val="ru-RU"/>
              </w:rPr>
            </w:pPr>
            <w:r w:rsidRPr="00CA6DF6">
              <w:rPr>
                <w:rFonts w:eastAsia="Calibri"/>
                <w:bCs/>
                <w:color w:val="000000"/>
                <w:sz w:val="24"/>
                <w:szCs w:val="24"/>
                <w:lang w:val="ru-RU"/>
              </w:rPr>
              <w:t>80,46</w:t>
            </w:r>
          </w:p>
        </w:tc>
      </w:tr>
      <w:tr w:rsidR="00CA6DF6" w:rsidRPr="00CA6DF6" w:rsidTr="00A2459B">
        <w:trPr>
          <w:trHeight w:val="225"/>
          <w:jc w:val="center"/>
        </w:trPr>
        <w:tc>
          <w:tcPr>
            <w:tcW w:w="3069" w:type="dxa"/>
            <w:shd w:val="clear" w:color="auto" w:fill="auto"/>
            <w:noWrap/>
            <w:hideMark/>
          </w:tcPr>
          <w:p w:rsidR="00CA6DF6" w:rsidRPr="00CA6DF6" w:rsidRDefault="00CA6DF6" w:rsidP="0025050D">
            <w:pPr>
              <w:tabs>
                <w:tab w:val="left" w:pos="993"/>
              </w:tabs>
              <w:spacing w:line="276" w:lineRule="auto"/>
              <w:jc w:val="left"/>
              <w:rPr>
                <w:rFonts w:eastAsia="Calibri"/>
                <w:sz w:val="24"/>
                <w:szCs w:val="24"/>
                <w:lang w:val="ru-RU"/>
              </w:rPr>
            </w:pPr>
            <w:r w:rsidRPr="00CA6DF6">
              <w:rPr>
                <w:rFonts w:eastAsia="Calibri"/>
                <w:sz w:val="24"/>
                <w:szCs w:val="24"/>
                <w:lang w:val="ru-RU"/>
              </w:rPr>
              <w:t>Черкаська</w:t>
            </w:r>
          </w:p>
        </w:tc>
        <w:tc>
          <w:tcPr>
            <w:tcW w:w="1276" w:type="dxa"/>
            <w:shd w:val="clear" w:color="auto" w:fill="auto"/>
            <w:noWrap/>
          </w:tcPr>
          <w:p w:rsidR="00CA6DF6" w:rsidRPr="00CA6DF6" w:rsidRDefault="00CA6DF6" w:rsidP="0025050D">
            <w:pPr>
              <w:tabs>
                <w:tab w:val="left" w:pos="993"/>
              </w:tabs>
              <w:spacing w:line="276" w:lineRule="auto"/>
              <w:jc w:val="center"/>
              <w:rPr>
                <w:rFonts w:eastAsia="Calibri"/>
                <w:color w:val="000000"/>
                <w:sz w:val="24"/>
                <w:szCs w:val="24"/>
                <w:lang w:val="ru-RU"/>
              </w:rPr>
            </w:pPr>
            <w:r w:rsidRPr="00CA6DF6">
              <w:rPr>
                <w:rFonts w:eastAsia="Calibri"/>
                <w:color w:val="000000"/>
                <w:sz w:val="24"/>
                <w:szCs w:val="24"/>
                <w:lang w:val="ru-RU"/>
              </w:rPr>
              <w:t>0,80</w:t>
            </w:r>
          </w:p>
        </w:tc>
        <w:tc>
          <w:tcPr>
            <w:tcW w:w="993" w:type="dxa"/>
            <w:shd w:val="clear" w:color="auto" w:fill="auto"/>
            <w:noWrap/>
          </w:tcPr>
          <w:p w:rsidR="00CA6DF6" w:rsidRPr="00CA6DF6" w:rsidRDefault="00CA6DF6" w:rsidP="0025050D">
            <w:pPr>
              <w:tabs>
                <w:tab w:val="left" w:pos="993"/>
              </w:tabs>
              <w:spacing w:line="276" w:lineRule="auto"/>
              <w:jc w:val="center"/>
              <w:rPr>
                <w:rFonts w:eastAsia="Calibri"/>
                <w:color w:val="000000"/>
                <w:sz w:val="24"/>
                <w:szCs w:val="24"/>
                <w:lang w:val="ru-RU"/>
              </w:rPr>
            </w:pPr>
            <w:r w:rsidRPr="00CA6DF6">
              <w:rPr>
                <w:rFonts w:eastAsia="Calibri"/>
                <w:color w:val="000000"/>
                <w:sz w:val="24"/>
                <w:szCs w:val="24"/>
                <w:lang w:val="ru-RU"/>
              </w:rPr>
              <w:t>0,96</w:t>
            </w:r>
          </w:p>
        </w:tc>
        <w:tc>
          <w:tcPr>
            <w:tcW w:w="1417" w:type="dxa"/>
          </w:tcPr>
          <w:p w:rsidR="00CA6DF6" w:rsidRPr="00CA6DF6" w:rsidRDefault="00CA6DF6" w:rsidP="0025050D">
            <w:pPr>
              <w:tabs>
                <w:tab w:val="left" w:pos="993"/>
              </w:tabs>
              <w:spacing w:line="276" w:lineRule="auto"/>
              <w:jc w:val="center"/>
              <w:rPr>
                <w:rFonts w:eastAsia="Calibri"/>
                <w:bCs/>
                <w:color w:val="000000"/>
                <w:sz w:val="24"/>
                <w:szCs w:val="24"/>
              </w:rPr>
            </w:pPr>
            <w:r w:rsidRPr="00CA6DF6">
              <w:rPr>
                <w:rFonts w:eastAsia="Calibri"/>
                <w:bCs/>
                <w:color w:val="000000"/>
                <w:sz w:val="24"/>
                <w:szCs w:val="24"/>
                <w:lang w:val="ru-RU"/>
              </w:rPr>
              <w:t>120,0</w:t>
            </w:r>
          </w:p>
        </w:tc>
      </w:tr>
      <w:tr w:rsidR="00CA6DF6" w:rsidRPr="00CA6DF6" w:rsidTr="00A2459B">
        <w:trPr>
          <w:trHeight w:val="225"/>
          <w:jc w:val="center"/>
        </w:trPr>
        <w:tc>
          <w:tcPr>
            <w:tcW w:w="3069" w:type="dxa"/>
            <w:shd w:val="clear" w:color="auto" w:fill="auto"/>
            <w:noWrap/>
            <w:hideMark/>
          </w:tcPr>
          <w:p w:rsidR="00CA6DF6" w:rsidRPr="00CA6DF6" w:rsidRDefault="00CA6DF6" w:rsidP="0025050D">
            <w:pPr>
              <w:tabs>
                <w:tab w:val="left" w:pos="993"/>
              </w:tabs>
              <w:spacing w:line="276" w:lineRule="auto"/>
              <w:jc w:val="left"/>
              <w:rPr>
                <w:rFonts w:eastAsia="Calibri"/>
                <w:sz w:val="24"/>
                <w:szCs w:val="24"/>
                <w:lang w:val="ru-RU"/>
              </w:rPr>
            </w:pPr>
            <w:r w:rsidRPr="00CA6DF6">
              <w:rPr>
                <w:rFonts w:eastAsia="Calibri"/>
                <w:sz w:val="24"/>
                <w:szCs w:val="24"/>
                <w:lang w:val="ru-RU"/>
              </w:rPr>
              <w:t>Чернівецька</w:t>
            </w:r>
          </w:p>
        </w:tc>
        <w:tc>
          <w:tcPr>
            <w:tcW w:w="1276" w:type="dxa"/>
            <w:shd w:val="clear" w:color="auto" w:fill="auto"/>
            <w:noWrap/>
          </w:tcPr>
          <w:p w:rsidR="00CA6DF6" w:rsidRPr="00CA6DF6" w:rsidRDefault="00CA6DF6" w:rsidP="0025050D">
            <w:pPr>
              <w:tabs>
                <w:tab w:val="left" w:pos="993"/>
              </w:tabs>
              <w:spacing w:line="276" w:lineRule="auto"/>
              <w:jc w:val="center"/>
              <w:rPr>
                <w:rFonts w:eastAsia="Calibri"/>
                <w:color w:val="000000"/>
                <w:sz w:val="24"/>
                <w:szCs w:val="24"/>
                <w:lang w:val="ru-RU"/>
              </w:rPr>
            </w:pPr>
            <w:r w:rsidRPr="00CA6DF6">
              <w:rPr>
                <w:rFonts w:eastAsia="Calibri"/>
                <w:color w:val="000000"/>
                <w:sz w:val="24"/>
                <w:szCs w:val="24"/>
                <w:lang w:val="ru-RU"/>
              </w:rPr>
              <w:t>1,12</w:t>
            </w:r>
          </w:p>
        </w:tc>
        <w:tc>
          <w:tcPr>
            <w:tcW w:w="993" w:type="dxa"/>
            <w:shd w:val="clear" w:color="auto" w:fill="auto"/>
            <w:noWrap/>
          </w:tcPr>
          <w:p w:rsidR="00CA6DF6" w:rsidRPr="00CA6DF6" w:rsidRDefault="00CA6DF6" w:rsidP="0025050D">
            <w:pPr>
              <w:tabs>
                <w:tab w:val="left" w:pos="993"/>
              </w:tabs>
              <w:spacing w:line="276" w:lineRule="auto"/>
              <w:jc w:val="center"/>
              <w:rPr>
                <w:rFonts w:eastAsia="Calibri"/>
                <w:color w:val="000000"/>
                <w:sz w:val="24"/>
                <w:szCs w:val="24"/>
                <w:lang w:val="ru-RU"/>
              </w:rPr>
            </w:pPr>
            <w:r w:rsidRPr="00CA6DF6">
              <w:rPr>
                <w:rFonts w:eastAsia="Calibri"/>
                <w:color w:val="000000"/>
                <w:sz w:val="24"/>
                <w:szCs w:val="24"/>
                <w:lang w:val="ru-RU"/>
              </w:rPr>
              <w:t>1,17</w:t>
            </w:r>
          </w:p>
        </w:tc>
        <w:tc>
          <w:tcPr>
            <w:tcW w:w="1417" w:type="dxa"/>
          </w:tcPr>
          <w:p w:rsidR="00CA6DF6" w:rsidRPr="00CA6DF6" w:rsidRDefault="00CA6DF6" w:rsidP="0025050D">
            <w:pPr>
              <w:tabs>
                <w:tab w:val="left" w:pos="993"/>
              </w:tabs>
              <w:spacing w:line="276" w:lineRule="auto"/>
              <w:jc w:val="center"/>
              <w:rPr>
                <w:rFonts w:eastAsia="Calibri"/>
                <w:bCs/>
                <w:color w:val="000000"/>
                <w:sz w:val="24"/>
                <w:szCs w:val="24"/>
                <w:lang w:val="ru-RU"/>
              </w:rPr>
            </w:pPr>
            <w:r w:rsidRPr="00CA6DF6">
              <w:rPr>
                <w:rFonts w:eastAsia="Calibri"/>
                <w:bCs/>
                <w:color w:val="000000"/>
                <w:sz w:val="24"/>
                <w:szCs w:val="24"/>
                <w:lang w:val="ru-RU"/>
              </w:rPr>
              <w:t>104,46</w:t>
            </w:r>
          </w:p>
        </w:tc>
      </w:tr>
      <w:tr w:rsidR="00CA6DF6" w:rsidRPr="00CA6DF6" w:rsidTr="00A2459B">
        <w:trPr>
          <w:trHeight w:val="225"/>
          <w:jc w:val="center"/>
        </w:trPr>
        <w:tc>
          <w:tcPr>
            <w:tcW w:w="3069" w:type="dxa"/>
            <w:shd w:val="clear" w:color="auto" w:fill="auto"/>
            <w:noWrap/>
            <w:hideMark/>
          </w:tcPr>
          <w:p w:rsidR="00CA6DF6" w:rsidRPr="00CA6DF6" w:rsidRDefault="00CA6DF6" w:rsidP="0025050D">
            <w:pPr>
              <w:tabs>
                <w:tab w:val="left" w:pos="993"/>
              </w:tabs>
              <w:spacing w:line="276" w:lineRule="auto"/>
              <w:jc w:val="left"/>
              <w:rPr>
                <w:rFonts w:eastAsia="Calibri"/>
                <w:sz w:val="24"/>
                <w:szCs w:val="24"/>
                <w:lang w:val="ru-RU"/>
              </w:rPr>
            </w:pPr>
            <w:r w:rsidRPr="00CA6DF6">
              <w:rPr>
                <w:rFonts w:eastAsia="Calibri"/>
                <w:sz w:val="24"/>
                <w:szCs w:val="24"/>
                <w:lang w:val="ru-RU"/>
              </w:rPr>
              <w:t>Чернігівська</w:t>
            </w:r>
          </w:p>
        </w:tc>
        <w:tc>
          <w:tcPr>
            <w:tcW w:w="1276" w:type="dxa"/>
            <w:shd w:val="clear" w:color="auto" w:fill="auto"/>
            <w:noWrap/>
          </w:tcPr>
          <w:p w:rsidR="00CA6DF6" w:rsidRPr="00CA6DF6" w:rsidRDefault="00CA6DF6" w:rsidP="0025050D">
            <w:pPr>
              <w:tabs>
                <w:tab w:val="left" w:pos="993"/>
              </w:tabs>
              <w:spacing w:line="276" w:lineRule="auto"/>
              <w:jc w:val="center"/>
              <w:rPr>
                <w:rFonts w:eastAsia="Calibri"/>
                <w:color w:val="000000"/>
                <w:sz w:val="24"/>
                <w:szCs w:val="24"/>
                <w:lang w:val="ru-RU"/>
              </w:rPr>
            </w:pPr>
            <w:r w:rsidRPr="00CA6DF6">
              <w:rPr>
                <w:rFonts w:eastAsia="Calibri"/>
                <w:color w:val="000000"/>
                <w:sz w:val="24"/>
                <w:szCs w:val="24"/>
                <w:lang w:val="ru-RU"/>
              </w:rPr>
              <w:t>0,92</w:t>
            </w:r>
          </w:p>
        </w:tc>
        <w:tc>
          <w:tcPr>
            <w:tcW w:w="993" w:type="dxa"/>
            <w:shd w:val="clear" w:color="auto" w:fill="auto"/>
            <w:noWrap/>
          </w:tcPr>
          <w:p w:rsidR="00CA6DF6" w:rsidRPr="00CA6DF6" w:rsidRDefault="00CA6DF6" w:rsidP="0025050D">
            <w:pPr>
              <w:tabs>
                <w:tab w:val="left" w:pos="993"/>
              </w:tabs>
              <w:spacing w:line="276" w:lineRule="auto"/>
              <w:jc w:val="center"/>
              <w:rPr>
                <w:rFonts w:eastAsia="Calibri"/>
                <w:color w:val="000000"/>
                <w:sz w:val="24"/>
                <w:szCs w:val="24"/>
                <w:lang w:val="ru-RU"/>
              </w:rPr>
            </w:pPr>
            <w:r w:rsidRPr="00CA6DF6">
              <w:rPr>
                <w:rFonts w:eastAsia="Calibri"/>
                <w:color w:val="000000"/>
                <w:sz w:val="24"/>
                <w:szCs w:val="24"/>
                <w:lang w:val="ru-RU"/>
              </w:rPr>
              <w:t>1,01</w:t>
            </w:r>
          </w:p>
        </w:tc>
        <w:tc>
          <w:tcPr>
            <w:tcW w:w="1417" w:type="dxa"/>
          </w:tcPr>
          <w:p w:rsidR="00CA6DF6" w:rsidRPr="00CA6DF6" w:rsidRDefault="00CA6DF6" w:rsidP="0025050D">
            <w:pPr>
              <w:tabs>
                <w:tab w:val="left" w:pos="993"/>
              </w:tabs>
              <w:spacing w:line="276" w:lineRule="auto"/>
              <w:jc w:val="center"/>
              <w:rPr>
                <w:rFonts w:eastAsia="Calibri"/>
                <w:bCs/>
                <w:color w:val="000000"/>
                <w:sz w:val="24"/>
                <w:szCs w:val="24"/>
                <w:lang w:val="ru-RU"/>
              </w:rPr>
            </w:pPr>
            <w:r w:rsidRPr="00CA6DF6">
              <w:rPr>
                <w:rFonts w:eastAsia="Calibri"/>
                <w:bCs/>
                <w:color w:val="000000"/>
                <w:sz w:val="24"/>
                <w:szCs w:val="24"/>
                <w:lang w:val="ru-RU"/>
              </w:rPr>
              <w:t>109,78</w:t>
            </w:r>
          </w:p>
        </w:tc>
      </w:tr>
      <w:tr w:rsidR="00CA6DF6" w:rsidRPr="00CA6DF6" w:rsidTr="00A2459B">
        <w:trPr>
          <w:trHeight w:val="225"/>
          <w:jc w:val="center"/>
        </w:trPr>
        <w:tc>
          <w:tcPr>
            <w:tcW w:w="3069" w:type="dxa"/>
            <w:shd w:val="clear" w:color="auto" w:fill="auto"/>
            <w:noWrap/>
            <w:hideMark/>
          </w:tcPr>
          <w:p w:rsidR="00CA6DF6" w:rsidRPr="00CA6DF6" w:rsidRDefault="00CA6DF6" w:rsidP="0025050D">
            <w:pPr>
              <w:tabs>
                <w:tab w:val="left" w:pos="993"/>
              </w:tabs>
              <w:spacing w:line="276" w:lineRule="auto"/>
              <w:jc w:val="left"/>
              <w:rPr>
                <w:rFonts w:eastAsia="Calibri"/>
                <w:sz w:val="24"/>
                <w:szCs w:val="24"/>
                <w:lang w:val="ru-RU"/>
              </w:rPr>
            </w:pPr>
            <w:r w:rsidRPr="00CA6DF6">
              <w:rPr>
                <w:rFonts w:eastAsia="Calibri"/>
                <w:sz w:val="24"/>
                <w:szCs w:val="24"/>
                <w:lang w:val="ru-RU"/>
              </w:rPr>
              <w:t>м.Київ</w:t>
            </w:r>
          </w:p>
        </w:tc>
        <w:tc>
          <w:tcPr>
            <w:tcW w:w="1276" w:type="dxa"/>
            <w:shd w:val="clear" w:color="auto" w:fill="auto"/>
            <w:noWrap/>
          </w:tcPr>
          <w:p w:rsidR="00CA6DF6" w:rsidRPr="00CA6DF6" w:rsidRDefault="00CA6DF6" w:rsidP="0025050D">
            <w:pPr>
              <w:tabs>
                <w:tab w:val="left" w:pos="993"/>
              </w:tabs>
              <w:spacing w:line="276" w:lineRule="auto"/>
              <w:jc w:val="center"/>
              <w:rPr>
                <w:rFonts w:eastAsia="Calibri"/>
                <w:color w:val="000000"/>
                <w:sz w:val="24"/>
                <w:szCs w:val="24"/>
                <w:lang w:val="ru-RU"/>
              </w:rPr>
            </w:pPr>
            <w:r w:rsidRPr="00CA6DF6">
              <w:rPr>
                <w:rFonts w:eastAsia="Calibri"/>
                <w:color w:val="000000"/>
                <w:sz w:val="24"/>
                <w:szCs w:val="24"/>
                <w:lang w:val="ru-RU"/>
              </w:rPr>
              <w:t>1,11</w:t>
            </w:r>
          </w:p>
        </w:tc>
        <w:tc>
          <w:tcPr>
            <w:tcW w:w="993" w:type="dxa"/>
            <w:shd w:val="clear" w:color="auto" w:fill="auto"/>
            <w:noWrap/>
          </w:tcPr>
          <w:p w:rsidR="00CA6DF6" w:rsidRPr="00CA6DF6" w:rsidRDefault="00CA6DF6" w:rsidP="0025050D">
            <w:pPr>
              <w:tabs>
                <w:tab w:val="left" w:pos="993"/>
              </w:tabs>
              <w:spacing w:line="276" w:lineRule="auto"/>
              <w:jc w:val="center"/>
              <w:rPr>
                <w:rFonts w:eastAsia="Calibri"/>
                <w:color w:val="000000"/>
                <w:sz w:val="24"/>
                <w:szCs w:val="24"/>
                <w:lang w:val="ru-RU"/>
              </w:rPr>
            </w:pPr>
            <w:r w:rsidRPr="00CA6DF6">
              <w:rPr>
                <w:rFonts w:eastAsia="Calibri"/>
                <w:color w:val="000000"/>
                <w:sz w:val="24"/>
                <w:szCs w:val="24"/>
                <w:lang w:val="ru-RU"/>
              </w:rPr>
              <w:t>1,00</w:t>
            </w:r>
          </w:p>
        </w:tc>
        <w:tc>
          <w:tcPr>
            <w:tcW w:w="1417" w:type="dxa"/>
          </w:tcPr>
          <w:p w:rsidR="00CA6DF6" w:rsidRPr="00CA6DF6" w:rsidRDefault="00CA6DF6" w:rsidP="0025050D">
            <w:pPr>
              <w:tabs>
                <w:tab w:val="left" w:pos="993"/>
              </w:tabs>
              <w:spacing w:line="276" w:lineRule="auto"/>
              <w:jc w:val="center"/>
              <w:rPr>
                <w:rFonts w:eastAsia="Calibri"/>
                <w:bCs/>
                <w:color w:val="000000"/>
                <w:sz w:val="24"/>
                <w:szCs w:val="24"/>
                <w:lang w:val="ru-RU"/>
              </w:rPr>
            </w:pPr>
            <w:r w:rsidRPr="00CA6DF6">
              <w:rPr>
                <w:rFonts w:eastAsia="Calibri"/>
                <w:bCs/>
                <w:color w:val="000000"/>
                <w:sz w:val="24"/>
                <w:szCs w:val="24"/>
                <w:lang w:val="ru-RU"/>
              </w:rPr>
              <w:t>90,09</w:t>
            </w:r>
          </w:p>
        </w:tc>
      </w:tr>
    </w:tbl>
    <w:p w:rsidR="00CA6DF6" w:rsidRPr="00CA6DF6" w:rsidRDefault="00CA6DF6" w:rsidP="00CA6DF6">
      <w:pPr>
        <w:tabs>
          <w:tab w:val="left" w:pos="993"/>
        </w:tabs>
        <w:rPr>
          <w:rFonts w:eastAsia="Calibri"/>
          <w:szCs w:val="28"/>
          <w:lang w:val="ru-RU"/>
        </w:rPr>
      </w:pPr>
    </w:p>
    <w:p w:rsidR="00CA6DF6" w:rsidRPr="00CA6DF6" w:rsidRDefault="00CA6DF6" w:rsidP="00CA6DF6">
      <w:pPr>
        <w:tabs>
          <w:tab w:val="left" w:pos="993"/>
        </w:tabs>
        <w:ind w:firstLine="709"/>
        <w:rPr>
          <w:rFonts w:eastAsia="Calibri"/>
          <w:szCs w:val="28"/>
        </w:rPr>
      </w:pPr>
      <w:r w:rsidRPr="00CA6DF6">
        <w:rPr>
          <w:rFonts w:eastAsia="Calibri"/>
          <w:szCs w:val="28"/>
          <w:lang w:val="ru-RU"/>
        </w:rPr>
        <w:t>За результатами дослідження</w:t>
      </w:r>
      <w:r w:rsidRPr="00CA6DF6">
        <w:rPr>
          <w:rFonts w:eastAsia="Calibri"/>
          <w:szCs w:val="28"/>
        </w:rPr>
        <w:t xml:space="preserve"> перші місця в структурі госпітальної летальності дітей до 1-го року</w:t>
      </w:r>
      <w:r w:rsidRPr="00CA6DF6">
        <w:rPr>
          <w:rFonts w:eastAsia="Calibri"/>
          <w:color w:val="FF0000"/>
          <w:szCs w:val="28"/>
        </w:rPr>
        <w:t xml:space="preserve"> </w:t>
      </w:r>
      <w:r w:rsidRPr="00CA6DF6">
        <w:rPr>
          <w:rFonts w:eastAsia="Calibri"/>
          <w:szCs w:val="28"/>
        </w:rPr>
        <w:t>життя у 2018 р. займали окремі стани перинатального періоду (60,59%), вроджені аномалії розвитку (26,91%) і хвороби органів дихання (3,38%), хвороби нервової системи (2,91%), деякі інфекційні та паразитарні хвороби (2,37%).</w:t>
      </w:r>
      <w:r w:rsidRPr="00CA6DF6">
        <w:rPr>
          <w:rFonts w:ascii="Calibri" w:eastAsia="Calibri" w:hAnsi="Calibri"/>
          <w:sz w:val="22"/>
        </w:rPr>
        <w:t xml:space="preserve"> </w:t>
      </w:r>
    </w:p>
    <w:p w:rsidR="00CA6DF6" w:rsidRPr="00CA6DF6" w:rsidRDefault="00CA6DF6" w:rsidP="00CA6DF6">
      <w:pPr>
        <w:widowControl w:val="0"/>
        <w:tabs>
          <w:tab w:val="left" w:pos="2888"/>
        </w:tabs>
        <w:ind w:firstLine="720"/>
        <w:rPr>
          <w:rFonts w:eastAsia="Times New Roman"/>
          <w:szCs w:val="28"/>
          <w:lang w:eastAsia="ru-RU"/>
        </w:rPr>
      </w:pPr>
      <w:r w:rsidRPr="00CA6DF6">
        <w:rPr>
          <w:rFonts w:eastAsia="Times New Roman"/>
          <w:szCs w:val="28"/>
          <w:lang w:eastAsia="ru-RU"/>
        </w:rPr>
        <w:lastRenderedPageBreak/>
        <w:t xml:space="preserve">Слід зазначити, що за період 2014-2018 рр. загальна смертність новонароджених у лікарняних стаціонарах зросла внаслідок уроджених аномалій, деформацій та хромосомних порушень (на 21,1%), бактеріального сепсису новонароджених (на 57,1%). Незмінним залишився рівень госпітальної летальності внаслідок внутрішньошлункових і субарахноїдальних крововиливів (0,27 на 1000 народжених живими) та  внутрішньоматкової гіпоксії та асфіксії (0,31 на 1000 народжених живими). Тенденції до зниження рівня госпітальної смертності новонароджених на 16,7% спостерігаються  внаслідок розладів дихальної системи, що виникають у перинатальному періоді, на 4,2% внаслідок  інфекцій, специфічних для перинатального періоду, на 44,4% внаслідок уроджених пневмоній, на 17,2% внаслідок синдрому респіраторних розладів </w:t>
      </w:r>
      <w:r w:rsidRPr="00962C15">
        <w:rPr>
          <w:rFonts w:eastAsia="Times New Roman"/>
          <w:szCs w:val="28"/>
          <w:lang w:eastAsia="ru-RU"/>
        </w:rPr>
        <w:t>(</w:t>
      </w:r>
      <w:r w:rsidR="007C4AF7" w:rsidRPr="00962C15">
        <w:rPr>
          <w:rFonts w:eastAsia="Times New Roman"/>
          <w:szCs w:val="28"/>
          <w:lang w:eastAsia="ru-RU"/>
        </w:rPr>
        <w:t>рис.3.13</w:t>
      </w:r>
      <w:r w:rsidRPr="00962C15">
        <w:rPr>
          <w:rFonts w:eastAsia="Times New Roman"/>
          <w:szCs w:val="28"/>
          <w:lang w:eastAsia="ru-RU"/>
        </w:rPr>
        <w:t>).</w:t>
      </w:r>
    </w:p>
    <w:p w:rsidR="0062050C" w:rsidRPr="0062050C" w:rsidRDefault="0062050C" w:rsidP="0062050C">
      <w:pPr>
        <w:keepNext/>
        <w:tabs>
          <w:tab w:val="left" w:pos="2888"/>
        </w:tabs>
        <w:spacing w:after="200" w:line="312" w:lineRule="auto"/>
        <w:ind w:firstLine="720"/>
        <w:rPr>
          <w:rFonts w:ascii="Calibri" w:eastAsia="Calibri" w:hAnsi="Calibri"/>
          <w:color w:val="000000"/>
          <w:szCs w:val="28"/>
          <w:lang w:val="ru-RU"/>
        </w:rPr>
      </w:pPr>
      <w:r w:rsidRPr="0062050C">
        <w:rPr>
          <w:rFonts w:ascii="Calibri" w:eastAsia="Calibri" w:hAnsi="Calibri"/>
          <w:noProof/>
          <w:color w:val="000000"/>
          <w:szCs w:val="28"/>
          <w:lang w:val="ru-RU" w:eastAsia="ru-RU"/>
        </w:rPr>
        <w:drawing>
          <wp:inline distT="0" distB="0" distL="0" distR="0" wp14:anchorId="71AB6DEF" wp14:editId="58A560F6">
            <wp:extent cx="5584372" cy="2906486"/>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697905" cy="2965576"/>
                    </a:xfrm>
                    <a:prstGeom prst="rect">
                      <a:avLst/>
                    </a:prstGeom>
                    <a:noFill/>
                  </pic:spPr>
                </pic:pic>
              </a:graphicData>
            </a:graphic>
          </wp:inline>
        </w:drawing>
      </w:r>
    </w:p>
    <w:tbl>
      <w:tblPr>
        <w:tblStyle w:val="69"/>
        <w:tblW w:w="0" w:type="auto"/>
        <w:jc w:val="right"/>
        <w:tblInd w:w="-103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591"/>
        <w:gridCol w:w="3983"/>
      </w:tblGrid>
      <w:tr w:rsidR="0062050C" w:rsidRPr="004843ED" w:rsidTr="00066998">
        <w:trPr>
          <w:trHeight w:val="511"/>
          <w:jc w:val="right"/>
        </w:trPr>
        <w:tc>
          <w:tcPr>
            <w:tcW w:w="5591" w:type="dxa"/>
          </w:tcPr>
          <w:p w:rsidR="0062050C" w:rsidRPr="004843ED" w:rsidRDefault="0062050C" w:rsidP="0062050C">
            <w:pPr>
              <w:tabs>
                <w:tab w:val="left" w:pos="6300"/>
              </w:tabs>
              <w:rPr>
                <w:bCs/>
                <w:color w:val="000000"/>
                <w:kern w:val="32"/>
                <w:sz w:val="22"/>
                <w:szCs w:val="22"/>
              </w:rPr>
            </w:pPr>
            <w:r w:rsidRPr="004843ED">
              <w:rPr>
                <w:bCs/>
                <w:color w:val="000000"/>
                <w:kern w:val="32"/>
                <w:sz w:val="22"/>
                <w:szCs w:val="22"/>
              </w:rPr>
              <w:t xml:space="preserve">I – </w:t>
            </w:r>
            <w:r w:rsidRPr="004843ED">
              <w:rPr>
                <w:color w:val="000000"/>
                <w:kern w:val="32"/>
                <w:sz w:val="22"/>
                <w:szCs w:val="22"/>
              </w:rPr>
              <w:t>уроджені аномалії, деформації та хромосомні порушення</w:t>
            </w:r>
          </w:p>
        </w:tc>
        <w:tc>
          <w:tcPr>
            <w:tcW w:w="3983" w:type="dxa"/>
          </w:tcPr>
          <w:p w:rsidR="0062050C" w:rsidRPr="004843ED" w:rsidRDefault="0062050C" w:rsidP="0062050C">
            <w:pPr>
              <w:tabs>
                <w:tab w:val="left" w:pos="6300"/>
              </w:tabs>
              <w:rPr>
                <w:color w:val="000000"/>
                <w:sz w:val="22"/>
                <w:szCs w:val="22"/>
              </w:rPr>
            </w:pPr>
            <w:r w:rsidRPr="004843ED">
              <w:rPr>
                <w:color w:val="000000"/>
                <w:sz w:val="22"/>
                <w:szCs w:val="22"/>
              </w:rPr>
              <w:t>V - внутрішньошлункові і субарахноїдальні крововиливи</w:t>
            </w:r>
          </w:p>
        </w:tc>
      </w:tr>
      <w:tr w:rsidR="0062050C" w:rsidRPr="004843ED" w:rsidTr="00066998">
        <w:trPr>
          <w:trHeight w:val="255"/>
          <w:jc w:val="right"/>
        </w:trPr>
        <w:tc>
          <w:tcPr>
            <w:tcW w:w="5591" w:type="dxa"/>
          </w:tcPr>
          <w:p w:rsidR="0062050C" w:rsidRPr="004843ED" w:rsidRDefault="0062050C" w:rsidP="0062050C">
            <w:pPr>
              <w:tabs>
                <w:tab w:val="left" w:pos="6300"/>
              </w:tabs>
              <w:rPr>
                <w:bCs/>
                <w:color w:val="000000"/>
                <w:kern w:val="32"/>
                <w:sz w:val="22"/>
                <w:szCs w:val="22"/>
                <w:lang w:val="uk-UA"/>
              </w:rPr>
            </w:pPr>
            <w:r w:rsidRPr="004843ED">
              <w:rPr>
                <w:color w:val="000000"/>
                <w:kern w:val="32"/>
                <w:sz w:val="22"/>
                <w:szCs w:val="22"/>
                <w:lang w:val="uk-UA"/>
              </w:rPr>
              <w:t xml:space="preserve">ІІ - </w:t>
            </w:r>
            <w:r w:rsidRPr="004843ED">
              <w:rPr>
                <w:bCs/>
                <w:color w:val="000000"/>
                <w:kern w:val="32"/>
                <w:sz w:val="22"/>
                <w:szCs w:val="22"/>
                <w:lang w:val="uk-UA"/>
              </w:rPr>
              <w:t>внутрішньоматкова гіпоксія та асфіксія</w:t>
            </w:r>
          </w:p>
        </w:tc>
        <w:tc>
          <w:tcPr>
            <w:tcW w:w="3983" w:type="dxa"/>
          </w:tcPr>
          <w:p w:rsidR="0062050C" w:rsidRPr="004843ED" w:rsidRDefault="0062050C" w:rsidP="0062050C">
            <w:pPr>
              <w:tabs>
                <w:tab w:val="left" w:pos="6300"/>
              </w:tabs>
              <w:rPr>
                <w:color w:val="000000"/>
                <w:sz w:val="22"/>
                <w:szCs w:val="22"/>
              </w:rPr>
            </w:pPr>
            <w:r w:rsidRPr="004843ED">
              <w:rPr>
                <w:color w:val="000000"/>
                <w:sz w:val="22"/>
                <w:szCs w:val="22"/>
              </w:rPr>
              <w:t>VI - бактеріальний сепсис</w:t>
            </w:r>
          </w:p>
        </w:tc>
      </w:tr>
      <w:tr w:rsidR="0062050C" w:rsidRPr="004843ED" w:rsidTr="00066998">
        <w:trPr>
          <w:trHeight w:val="502"/>
          <w:jc w:val="right"/>
        </w:trPr>
        <w:tc>
          <w:tcPr>
            <w:tcW w:w="5591" w:type="dxa"/>
          </w:tcPr>
          <w:p w:rsidR="0062050C" w:rsidRPr="004843ED" w:rsidRDefault="0062050C" w:rsidP="0062050C">
            <w:pPr>
              <w:tabs>
                <w:tab w:val="left" w:pos="6300"/>
              </w:tabs>
              <w:rPr>
                <w:color w:val="000000"/>
                <w:sz w:val="22"/>
                <w:szCs w:val="22"/>
              </w:rPr>
            </w:pPr>
            <w:r w:rsidRPr="004843ED">
              <w:rPr>
                <w:bCs/>
                <w:color w:val="000000"/>
                <w:kern w:val="32"/>
                <w:sz w:val="22"/>
                <w:szCs w:val="22"/>
              </w:rPr>
              <w:t xml:space="preserve">ІІІ - </w:t>
            </w:r>
            <w:r w:rsidRPr="004843ED">
              <w:rPr>
                <w:color w:val="000000"/>
                <w:sz w:val="22"/>
                <w:szCs w:val="22"/>
              </w:rPr>
              <w:t>розлади дихальної системи,що виникають у перинатальному періоді</w:t>
            </w:r>
          </w:p>
        </w:tc>
        <w:tc>
          <w:tcPr>
            <w:tcW w:w="3983" w:type="dxa"/>
          </w:tcPr>
          <w:p w:rsidR="0062050C" w:rsidRPr="004843ED" w:rsidRDefault="0062050C" w:rsidP="0062050C">
            <w:pPr>
              <w:tabs>
                <w:tab w:val="left" w:pos="6300"/>
              </w:tabs>
              <w:rPr>
                <w:color w:val="000000"/>
                <w:sz w:val="22"/>
                <w:szCs w:val="22"/>
              </w:rPr>
            </w:pPr>
            <w:r w:rsidRPr="004843ED">
              <w:rPr>
                <w:color w:val="000000"/>
                <w:sz w:val="22"/>
                <w:szCs w:val="22"/>
              </w:rPr>
              <w:t>VII - уроджені пневмонії</w:t>
            </w:r>
          </w:p>
        </w:tc>
      </w:tr>
      <w:tr w:rsidR="0062050C" w:rsidRPr="004843ED" w:rsidTr="00066998">
        <w:trPr>
          <w:trHeight w:val="222"/>
          <w:jc w:val="right"/>
        </w:trPr>
        <w:tc>
          <w:tcPr>
            <w:tcW w:w="5591" w:type="dxa"/>
          </w:tcPr>
          <w:p w:rsidR="0062050C" w:rsidRPr="004843ED" w:rsidRDefault="0062050C" w:rsidP="0062050C">
            <w:pPr>
              <w:tabs>
                <w:tab w:val="left" w:pos="6300"/>
              </w:tabs>
              <w:rPr>
                <w:color w:val="000000"/>
                <w:sz w:val="22"/>
                <w:szCs w:val="22"/>
              </w:rPr>
            </w:pPr>
            <w:r w:rsidRPr="004843ED">
              <w:rPr>
                <w:color w:val="000000"/>
                <w:sz w:val="22"/>
                <w:szCs w:val="22"/>
              </w:rPr>
              <w:t xml:space="preserve">IV - інфекції, специфічні для </w:t>
            </w:r>
            <w:proofErr w:type="gramStart"/>
            <w:r w:rsidRPr="004843ED">
              <w:rPr>
                <w:color w:val="000000"/>
                <w:sz w:val="22"/>
                <w:szCs w:val="22"/>
              </w:rPr>
              <w:t>перинатального</w:t>
            </w:r>
            <w:proofErr w:type="gramEnd"/>
            <w:r w:rsidRPr="004843ED">
              <w:rPr>
                <w:color w:val="000000"/>
                <w:sz w:val="22"/>
                <w:szCs w:val="22"/>
              </w:rPr>
              <w:t xml:space="preserve"> періоду</w:t>
            </w:r>
          </w:p>
        </w:tc>
        <w:tc>
          <w:tcPr>
            <w:tcW w:w="3983" w:type="dxa"/>
          </w:tcPr>
          <w:p w:rsidR="0062050C" w:rsidRPr="004843ED" w:rsidRDefault="0062050C" w:rsidP="0062050C">
            <w:pPr>
              <w:tabs>
                <w:tab w:val="left" w:pos="6300"/>
              </w:tabs>
              <w:rPr>
                <w:b/>
                <w:color w:val="000000"/>
                <w:sz w:val="22"/>
                <w:szCs w:val="22"/>
                <w:lang w:val="en-US"/>
              </w:rPr>
            </w:pPr>
            <w:r w:rsidRPr="004843ED">
              <w:rPr>
                <w:color w:val="000000"/>
                <w:sz w:val="22"/>
                <w:szCs w:val="22"/>
              </w:rPr>
              <w:t>VIII - синдром респіраторних розладів</w:t>
            </w:r>
          </w:p>
        </w:tc>
      </w:tr>
    </w:tbl>
    <w:p w:rsidR="00EB3B23" w:rsidRPr="00B52549" w:rsidRDefault="007C4AF7" w:rsidP="004047E6">
      <w:pPr>
        <w:spacing w:before="240"/>
        <w:ind w:firstLine="709"/>
        <w:rPr>
          <w:rFonts w:eastAsia="Times New Roman"/>
          <w:color w:val="000000"/>
          <w:szCs w:val="28"/>
          <w:lang w:val="ru-RU" w:eastAsia="ru-RU"/>
        </w:rPr>
      </w:pPr>
      <w:r w:rsidRPr="00962C15">
        <w:rPr>
          <w:rFonts w:eastAsia="Times New Roman"/>
          <w:szCs w:val="28"/>
          <w:lang w:eastAsia="ru-RU"/>
        </w:rPr>
        <w:t>Рис.3.13</w:t>
      </w:r>
      <w:r w:rsidR="0062050C" w:rsidRPr="00962C15">
        <w:rPr>
          <w:rFonts w:eastAsia="Times New Roman"/>
          <w:szCs w:val="28"/>
          <w:lang w:eastAsia="ru-RU"/>
        </w:rPr>
        <w:t xml:space="preserve">. </w:t>
      </w:r>
      <w:r w:rsidR="0062050C" w:rsidRPr="0062050C">
        <w:rPr>
          <w:rFonts w:eastAsia="Times New Roman"/>
          <w:color w:val="000000"/>
          <w:szCs w:val="28"/>
          <w:lang w:eastAsia="ru-RU"/>
        </w:rPr>
        <w:t xml:space="preserve">Рівень госпітальної </w:t>
      </w:r>
      <w:r w:rsidR="0062050C" w:rsidRPr="0062050C">
        <w:rPr>
          <w:rFonts w:eastAsia="Times New Roman"/>
          <w:szCs w:val="28"/>
          <w:lang w:eastAsia="ru-RU"/>
        </w:rPr>
        <w:t>летальності</w:t>
      </w:r>
      <w:r w:rsidR="0062050C" w:rsidRPr="0062050C">
        <w:rPr>
          <w:rFonts w:eastAsia="Times New Roman"/>
          <w:color w:val="FF0000"/>
          <w:szCs w:val="28"/>
          <w:lang w:eastAsia="ru-RU"/>
        </w:rPr>
        <w:t xml:space="preserve"> </w:t>
      </w:r>
      <w:r w:rsidR="0062050C" w:rsidRPr="0062050C">
        <w:rPr>
          <w:rFonts w:eastAsia="Times New Roman"/>
          <w:color w:val="000000"/>
          <w:szCs w:val="28"/>
          <w:lang w:eastAsia="ru-RU"/>
        </w:rPr>
        <w:t>новонароджених у лікарняних стаціонарах у 2014 та 2018 рр. (на 1000 народжених живими).</w:t>
      </w:r>
    </w:p>
    <w:p w:rsidR="00EB3B23" w:rsidRPr="00EB3B23" w:rsidRDefault="00EB3B23" w:rsidP="00D306D8">
      <w:pPr>
        <w:widowControl w:val="0"/>
        <w:tabs>
          <w:tab w:val="left" w:pos="2888"/>
        </w:tabs>
        <w:spacing w:before="240"/>
        <w:ind w:firstLine="720"/>
        <w:rPr>
          <w:rFonts w:ascii="Calibri" w:eastAsia="Calibri" w:hAnsi="Calibri"/>
          <w:szCs w:val="28"/>
          <w:lang w:val="ru-RU"/>
        </w:rPr>
      </w:pPr>
      <w:r w:rsidRPr="00CA6DF6">
        <w:rPr>
          <w:rFonts w:eastAsia="Times New Roman"/>
          <w:szCs w:val="28"/>
          <w:lang w:eastAsia="ru-RU"/>
        </w:rPr>
        <w:t xml:space="preserve">За результатами дослідження нами визначено загальну структуру летальності новонароджених за причинами смерті, зокрема у 2018 р. І місце посіли внутрішньочерепна родова травма (33,3%), ІІ –  легенева кровотеча (24,32%) і ІІІ </w:t>
      </w:r>
      <w:r w:rsidRPr="00CA6DF6">
        <w:rPr>
          <w:rFonts w:eastAsia="Times New Roman"/>
          <w:szCs w:val="28"/>
          <w:lang w:eastAsia="ru-RU"/>
        </w:rPr>
        <w:lastRenderedPageBreak/>
        <w:t>місце – уроджені аномалії, деформації та хромосомні порушення (17,7%).</w:t>
      </w:r>
    </w:p>
    <w:p w:rsidR="00A47A4A" w:rsidRPr="007B7D69" w:rsidRDefault="0062050C" w:rsidP="007B7D69">
      <w:pPr>
        <w:ind w:firstLine="709"/>
        <w:rPr>
          <w:rFonts w:eastAsia="Times New Roman"/>
          <w:color w:val="FF0000"/>
          <w:szCs w:val="28"/>
          <w:lang w:val="ru-RU" w:eastAsia="ru-RU"/>
        </w:rPr>
      </w:pPr>
      <w:r w:rsidRPr="0062050C">
        <w:rPr>
          <w:rFonts w:eastAsia="Times New Roman"/>
          <w:szCs w:val="28"/>
          <w:lang w:eastAsia="ru-RU"/>
        </w:rPr>
        <w:t>Тенденції щодо зниження рівня смертності у лікарняних стаціонарах серед недоношених новонароджених спостерігаються за 5 провідними причинами смерті: внаслідок розладів дихальної системи, що виникають у перинатальному періоді (на 26,6%), інфекцій специфічних для перинатального періоду (на 4,7%), уроджених пневмоній (на 34,1%), синдрому респіраторних розладів (на 31,3%), внутрішньошлуночкових і субарахноїдальних крововиливів (на 10,3%). Спадні тенденції летальності серед доношених новонар</w:t>
      </w:r>
      <w:r w:rsidR="00E205BD">
        <w:rPr>
          <w:rFonts w:eastAsia="Times New Roman"/>
          <w:szCs w:val="28"/>
          <w:lang w:eastAsia="ru-RU"/>
        </w:rPr>
        <w:t>оджених також відзначились</w:t>
      </w:r>
      <w:r w:rsidRPr="0062050C">
        <w:rPr>
          <w:rFonts w:eastAsia="Times New Roman"/>
          <w:szCs w:val="28"/>
          <w:lang w:eastAsia="ru-RU"/>
        </w:rPr>
        <w:t xml:space="preserve"> за 5 причинами смерті: внаслідок уроджених  аномалій, деформацій та хромосомних порушень (на 4,3%), внутрішньоматкової гіпоксії і асфіксії в родах (на 22,2%),  розладів дихальної системи, що виникають у перинатальному періоді (на 12,5%),  інфекцій, специфічних для перинатального періоду (на 42,9%), уроджених пневмоній (на 40,0%). Незмінним залишається рівень летальності доношених новонароджених внаслідок внутрішньошлункових і субарахноїдальних крововиливів (0,01‰) та сепсису новонароджених (0,02‰) </w:t>
      </w:r>
      <w:r w:rsidR="00621D4C" w:rsidRPr="00621D4C">
        <w:rPr>
          <w:rFonts w:eastAsia="Times New Roman"/>
          <w:szCs w:val="28"/>
          <w:lang w:eastAsia="ru-RU"/>
        </w:rPr>
        <w:t>(табл.</w:t>
      </w:r>
      <w:r w:rsidR="006778F9" w:rsidRPr="00621D4C">
        <w:rPr>
          <w:rFonts w:eastAsia="Times New Roman"/>
          <w:szCs w:val="28"/>
          <w:lang w:eastAsia="ru-RU"/>
        </w:rPr>
        <w:t xml:space="preserve"> 3.10</w:t>
      </w:r>
      <w:r w:rsidRPr="00621D4C">
        <w:rPr>
          <w:rFonts w:eastAsia="Times New Roman"/>
          <w:szCs w:val="28"/>
          <w:lang w:eastAsia="ru-RU"/>
        </w:rPr>
        <w:t>).</w:t>
      </w:r>
    </w:p>
    <w:p w:rsidR="0062050C" w:rsidRPr="00B044E4" w:rsidRDefault="006778F9" w:rsidP="0062050C">
      <w:pPr>
        <w:ind w:firstLine="720"/>
        <w:jc w:val="right"/>
        <w:rPr>
          <w:rFonts w:eastAsia="Times New Roman"/>
          <w:i/>
          <w:szCs w:val="28"/>
          <w:lang w:eastAsia="ru-RU"/>
        </w:rPr>
      </w:pPr>
      <w:r w:rsidRPr="00B044E4">
        <w:rPr>
          <w:rFonts w:eastAsia="Times New Roman"/>
          <w:i/>
          <w:szCs w:val="28"/>
          <w:lang w:eastAsia="ru-RU"/>
        </w:rPr>
        <w:t>Таблиця 3.10</w:t>
      </w:r>
      <w:r w:rsidR="0062050C" w:rsidRPr="00B044E4">
        <w:rPr>
          <w:rFonts w:eastAsia="Times New Roman"/>
          <w:i/>
          <w:szCs w:val="28"/>
          <w:lang w:eastAsia="ru-RU"/>
        </w:rPr>
        <w:t xml:space="preserve"> </w:t>
      </w:r>
    </w:p>
    <w:p w:rsidR="00137DC5" w:rsidRPr="007B7D69" w:rsidRDefault="0062050C" w:rsidP="00B044E4">
      <w:pPr>
        <w:jc w:val="center"/>
        <w:rPr>
          <w:rFonts w:eastAsia="Times New Roman"/>
          <w:b/>
          <w:szCs w:val="28"/>
          <w:lang w:eastAsia="ru-RU"/>
        </w:rPr>
      </w:pPr>
      <w:r w:rsidRPr="0062050C">
        <w:rPr>
          <w:rFonts w:eastAsia="Times New Roman"/>
          <w:b/>
          <w:szCs w:val="28"/>
          <w:lang w:eastAsia="ru-RU"/>
        </w:rPr>
        <w:t>Динаміка показників</w:t>
      </w:r>
      <w:r w:rsidRPr="0062050C">
        <w:rPr>
          <w:rFonts w:eastAsia="Times New Roman"/>
          <w:b/>
          <w:color w:val="FF0000"/>
          <w:szCs w:val="28"/>
          <w:lang w:eastAsia="ru-RU"/>
        </w:rPr>
        <w:t xml:space="preserve"> </w:t>
      </w:r>
      <w:r w:rsidRPr="0062050C">
        <w:rPr>
          <w:rFonts w:eastAsia="Times New Roman"/>
          <w:b/>
          <w:szCs w:val="28"/>
          <w:lang w:eastAsia="ru-RU"/>
        </w:rPr>
        <w:t>провідних причин госпітальної летальності новонароджених у  лікарняних стаціонарах України  (2014, 2018рр., на 1000 народжених живими)</w:t>
      </w:r>
    </w:p>
    <w:tbl>
      <w:tblPr>
        <w:tblStyle w:val="700"/>
        <w:tblW w:w="0" w:type="auto"/>
        <w:jc w:val="center"/>
        <w:tblInd w:w="197" w:type="dxa"/>
        <w:tblLayout w:type="fixed"/>
        <w:tblLook w:val="04A0" w:firstRow="1" w:lastRow="0" w:firstColumn="1" w:lastColumn="0" w:noHBand="0" w:noVBand="1"/>
      </w:tblPr>
      <w:tblGrid>
        <w:gridCol w:w="3400"/>
        <w:gridCol w:w="706"/>
        <w:gridCol w:w="706"/>
        <w:gridCol w:w="706"/>
        <w:gridCol w:w="706"/>
        <w:gridCol w:w="706"/>
        <w:gridCol w:w="706"/>
        <w:gridCol w:w="844"/>
        <w:gridCol w:w="900"/>
        <w:gridCol w:w="737"/>
      </w:tblGrid>
      <w:tr w:rsidR="0062050C" w:rsidRPr="0062050C" w:rsidTr="001E46CE">
        <w:trPr>
          <w:trHeight w:val="1010"/>
          <w:jc w:val="center"/>
        </w:trPr>
        <w:tc>
          <w:tcPr>
            <w:tcW w:w="3400" w:type="dxa"/>
            <w:vMerge w:val="restart"/>
          </w:tcPr>
          <w:p w:rsidR="0062050C" w:rsidRPr="0062050C" w:rsidRDefault="0062050C" w:rsidP="00B044E4">
            <w:pPr>
              <w:spacing w:line="276" w:lineRule="auto"/>
              <w:jc w:val="center"/>
              <w:rPr>
                <w:sz w:val="24"/>
                <w:szCs w:val="24"/>
              </w:rPr>
            </w:pPr>
            <w:r w:rsidRPr="0062050C">
              <w:rPr>
                <w:sz w:val="24"/>
                <w:szCs w:val="24"/>
              </w:rPr>
              <w:t>Причина смерті</w:t>
            </w:r>
          </w:p>
        </w:tc>
        <w:tc>
          <w:tcPr>
            <w:tcW w:w="2118" w:type="dxa"/>
            <w:gridSpan w:val="3"/>
          </w:tcPr>
          <w:p w:rsidR="0062050C" w:rsidRPr="0062050C" w:rsidRDefault="0062050C" w:rsidP="00B044E4">
            <w:pPr>
              <w:tabs>
                <w:tab w:val="left" w:pos="1152"/>
                <w:tab w:val="center" w:pos="1513"/>
              </w:tabs>
              <w:spacing w:line="276" w:lineRule="auto"/>
              <w:jc w:val="center"/>
              <w:rPr>
                <w:sz w:val="24"/>
                <w:szCs w:val="24"/>
              </w:rPr>
            </w:pPr>
            <w:r w:rsidRPr="0062050C">
              <w:rPr>
                <w:sz w:val="24"/>
                <w:szCs w:val="24"/>
              </w:rPr>
              <w:t>2014р</w:t>
            </w:r>
          </w:p>
        </w:tc>
        <w:tc>
          <w:tcPr>
            <w:tcW w:w="2118" w:type="dxa"/>
            <w:gridSpan w:val="3"/>
          </w:tcPr>
          <w:p w:rsidR="0062050C" w:rsidRPr="0062050C" w:rsidRDefault="0062050C" w:rsidP="00B044E4">
            <w:pPr>
              <w:spacing w:line="276" w:lineRule="auto"/>
              <w:jc w:val="center"/>
              <w:rPr>
                <w:sz w:val="24"/>
                <w:szCs w:val="24"/>
              </w:rPr>
            </w:pPr>
            <w:r w:rsidRPr="0062050C">
              <w:rPr>
                <w:sz w:val="24"/>
                <w:szCs w:val="24"/>
              </w:rPr>
              <w:t>2018р.</w:t>
            </w:r>
          </w:p>
        </w:tc>
        <w:tc>
          <w:tcPr>
            <w:tcW w:w="2481" w:type="dxa"/>
            <w:gridSpan w:val="3"/>
          </w:tcPr>
          <w:p w:rsidR="0062050C" w:rsidRPr="0062050C" w:rsidRDefault="0062050C" w:rsidP="00B044E4">
            <w:pPr>
              <w:spacing w:line="276" w:lineRule="auto"/>
              <w:jc w:val="center"/>
              <w:rPr>
                <w:sz w:val="24"/>
                <w:szCs w:val="24"/>
              </w:rPr>
            </w:pPr>
            <w:r w:rsidRPr="0062050C">
              <w:rPr>
                <w:sz w:val="24"/>
                <w:szCs w:val="24"/>
              </w:rPr>
              <w:t>Темп приросту/убутку 2018/2014 р. (%)</w:t>
            </w:r>
          </w:p>
        </w:tc>
      </w:tr>
      <w:tr w:rsidR="0062050C" w:rsidRPr="0062050C" w:rsidTr="001E46CE">
        <w:trPr>
          <w:cantSplit/>
          <w:trHeight w:val="1613"/>
          <w:jc w:val="center"/>
        </w:trPr>
        <w:tc>
          <w:tcPr>
            <w:tcW w:w="3400" w:type="dxa"/>
            <w:vMerge/>
          </w:tcPr>
          <w:p w:rsidR="0062050C" w:rsidRPr="0062050C" w:rsidRDefault="0062050C" w:rsidP="00B044E4">
            <w:pPr>
              <w:spacing w:line="276" w:lineRule="auto"/>
              <w:rPr>
                <w:sz w:val="24"/>
                <w:szCs w:val="24"/>
              </w:rPr>
            </w:pPr>
          </w:p>
        </w:tc>
        <w:tc>
          <w:tcPr>
            <w:tcW w:w="706" w:type="dxa"/>
            <w:textDirection w:val="btLr"/>
          </w:tcPr>
          <w:p w:rsidR="0062050C" w:rsidRPr="0062050C" w:rsidRDefault="0062050C" w:rsidP="00B044E4">
            <w:pPr>
              <w:spacing w:line="276" w:lineRule="auto"/>
              <w:ind w:left="113" w:right="113"/>
              <w:jc w:val="center"/>
              <w:rPr>
                <w:sz w:val="24"/>
                <w:szCs w:val="24"/>
              </w:rPr>
            </w:pPr>
            <w:r w:rsidRPr="0062050C">
              <w:rPr>
                <w:sz w:val="24"/>
                <w:szCs w:val="24"/>
              </w:rPr>
              <w:t>Всього</w:t>
            </w:r>
          </w:p>
        </w:tc>
        <w:tc>
          <w:tcPr>
            <w:tcW w:w="706" w:type="dxa"/>
            <w:textDirection w:val="btLr"/>
          </w:tcPr>
          <w:p w:rsidR="0062050C" w:rsidRPr="0062050C" w:rsidRDefault="0062050C" w:rsidP="00B044E4">
            <w:pPr>
              <w:spacing w:line="276" w:lineRule="auto"/>
              <w:ind w:left="113" w:right="113"/>
              <w:jc w:val="center"/>
              <w:rPr>
                <w:sz w:val="24"/>
                <w:szCs w:val="24"/>
              </w:rPr>
            </w:pPr>
            <w:r w:rsidRPr="0062050C">
              <w:rPr>
                <w:sz w:val="24"/>
                <w:szCs w:val="24"/>
              </w:rPr>
              <w:t>Доношені</w:t>
            </w:r>
          </w:p>
        </w:tc>
        <w:tc>
          <w:tcPr>
            <w:tcW w:w="706" w:type="dxa"/>
            <w:textDirection w:val="btLr"/>
          </w:tcPr>
          <w:p w:rsidR="0062050C" w:rsidRPr="0062050C" w:rsidRDefault="0062050C" w:rsidP="00B044E4">
            <w:pPr>
              <w:spacing w:line="276" w:lineRule="auto"/>
              <w:ind w:left="113" w:right="113"/>
              <w:jc w:val="center"/>
              <w:rPr>
                <w:sz w:val="24"/>
                <w:szCs w:val="24"/>
              </w:rPr>
            </w:pPr>
            <w:r w:rsidRPr="0062050C">
              <w:rPr>
                <w:sz w:val="24"/>
                <w:szCs w:val="24"/>
              </w:rPr>
              <w:t>Недоношені</w:t>
            </w:r>
          </w:p>
        </w:tc>
        <w:tc>
          <w:tcPr>
            <w:tcW w:w="706" w:type="dxa"/>
            <w:textDirection w:val="btLr"/>
          </w:tcPr>
          <w:p w:rsidR="0062050C" w:rsidRPr="0062050C" w:rsidRDefault="0062050C" w:rsidP="00B044E4">
            <w:pPr>
              <w:spacing w:line="276" w:lineRule="auto"/>
              <w:ind w:left="113" w:right="113"/>
              <w:jc w:val="center"/>
              <w:rPr>
                <w:sz w:val="24"/>
                <w:szCs w:val="24"/>
              </w:rPr>
            </w:pPr>
            <w:r w:rsidRPr="0062050C">
              <w:rPr>
                <w:sz w:val="24"/>
                <w:szCs w:val="24"/>
              </w:rPr>
              <w:t>Всього</w:t>
            </w:r>
          </w:p>
        </w:tc>
        <w:tc>
          <w:tcPr>
            <w:tcW w:w="706" w:type="dxa"/>
            <w:textDirection w:val="btLr"/>
          </w:tcPr>
          <w:p w:rsidR="0062050C" w:rsidRPr="0062050C" w:rsidRDefault="0062050C" w:rsidP="00B044E4">
            <w:pPr>
              <w:spacing w:line="276" w:lineRule="auto"/>
              <w:ind w:left="113" w:right="113"/>
              <w:jc w:val="center"/>
              <w:rPr>
                <w:sz w:val="24"/>
                <w:szCs w:val="24"/>
              </w:rPr>
            </w:pPr>
            <w:r w:rsidRPr="0062050C">
              <w:rPr>
                <w:sz w:val="24"/>
                <w:szCs w:val="24"/>
              </w:rPr>
              <w:t>Доношені</w:t>
            </w:r>
          </w:p>
        </w:tc>
        <w:tc>
          <w:tcPr>
            <w:tcW w:w="706" w:type="dxa"/>
            <w:textDirection w:val="btLr"/>
          </w:tcPr>
          <w:p w:rsidR="0062050C" w:rsidRPr="0062050C" w:rsidRDefault="0062050C" w:rsidP="00B044E4">
            <w:pPr>
              <w:spacing w:line="276" w:lineRule="auto"/>
              <w:ind w:left="113" w:right="113"/>
              <w:jc w:val="center"/>
              <w:rPr>
                <w:sz w:val="24"/>
                <w:szCs w:val="24"/>
              </w:rPr>
            </w:pPr>
            <w:r w:rsidRPr="0062050C">
              <w:rPr>
                <w:sz w:val="24"/>
                <w:szCs w:val="24"/>
              </w:rPr>
              <w:t>Недоношені</w:t>
            </w:r>
          </w:p>
        </w:tc>
        <w:tc>
          <w:tcPr>
            <w:tcW w:w="844" w:type="dxa"/>
            <w:textDirection w:val="btLr"/>
          </w:tcPr>
          <w:p w:rsidR="0062050C" w:rsidRPr="0062050C" w:rsidRDefault="0062050C" w:rsidP="00B044E4">
            <w:pPr>
              <w:spacing w:line="276" w:lineRule="auto"/>
              <w:ind w:left="113" w:right="113"/>
              <w:jc w:val="center"/>
              <w:rPr>
                <w:sz w:val="24"/>
                <w:szCs w:val="24"/>
              </w:rPr>
            </w:pPr>
            <w:r w:rsidRPr="0062050C">
              <w:rPr>
                <w:sz w:val="24"/>
                <w:szCs w:val="24"/>
              </w:rPr>
              <w:t>Всього</w:t>
            </w:r>
          </w:p>
        </w:tc>
        <w:tc>
          <w:tcPr>
            <w:tcW w:w="900" w:type="dxa"/>
            <w:textDirection w:val="btLr"/>
          </w:tcPr>
          <w:p w:rsidR="0062050C" w:rsidRPr="0062050C" w:rsidRDefault="0062050C" w:rsidP="00B044E4">
            <w:pPr>
              <w:spacing w:line="276" w:lineRule="auto"/>
              <w:ind w:left="113" w:right="113"/>
              <w:jc w:val="center"/>
              <w:rPr>
                <w:sz w:val="24"/>
                <w:szCs w:val="24"/>
              </w:rPr>
            </w:pPr>
            <w:r w:rsidRPr="0062050C">
              <w:rPr>
                <w:sz w:val="24"/>
                <w:szCs w:val="24"/>
              </w:rPr>
              <w:t>Доношені</w:t>
            </w:r>
          </w:p>
        </w:tc>
        <w:tc>
          <w:tcPr>
            <w:tcW w:w="737" w:type="dxa"/>
            <w:textDirection w:val="btLr"/>
          </w:tcPr>
          <w:p w:rsidR="0062050C" w:rsidRPr="0062050C" w:rsidRDefault="0062050C" w:rsidP="00B044E4">
            <w:pPr>
              <w:spacing w:line="276" w:lineRule="auto"/>
              <w:ind w:left="113" w:right="113"/>
              <w:jc w:val="center"/>
              <w:rPr>
                <w:sz w:val="24"/>
                <w:szCs w:val="24"/>
              </w:rPr>
            </w:pPr>
            <w:r w:rsidRPr="0062050C">
              <w:rPr>
                <w:sz w:val="24"/>
                <w:szCs w:val="24"/>
              </w:rPr>
              <w:t>Недоношені</w:t>
            </w:r>
          </w:p>
        </w:tc>
      </w:tr>
      <w:tr w:rsidR="0062050C" w:rsidRPr="0062050C" w:rsidTr="001E46CE">
        <w:trPr>
          <w:trHeight w:val="579"/>
          <w:jc w:val="center"/>
        </w:trPr>
        <w:tc>
          <w:tcPr>
            <w:tcW w:w="3400" w:type="dxa"/>
          </w:tcPr>
          <w:p w:rsidR="0062050C" w:rsidRPr="0062050C" w:rsidRDefault="0062050C" w:rsidP="00B044E4">
            <w:pPr>
              <w:spacing w:line="276" w:lineRule="auto"/>
              <w:rPr>
                <w:sz w:val="24"/>
                <w:szCs w:val="24"/>
              </w:rPr>
            </w:pPr>
            <w:r w:rsidRPr="0062050C">
              <w:rPr>
                <w:sz w:val="24"/>
                <w:szCs w:val="24"/>
              </w:rPr>
              <w:t>Уроджені аномалії, деформації та хромосомні порушення</w:t>
            </w:r>
          </w:p>
        </w:tc>
        <w:tc>
          <w:tcPr>
            <w:tcW w:w="706" w:type="dxa"/>
          </w:tcPr>
          <w:p w:rsidR="0062050C" w:rsidRPr="0062050C" w:rsidRDefault="0062050C" w:rsidP="00B044E4">
            <w:pPr>
              <w:spacing w:line="276" w:lineRule="auto"/>
              <w:jc w:val="center"/>
              <w:rPr>
                <w:sz w:val="24"/>
                <w:szCs w:val="24"/>
              </w:rPr>
            </w:pPr>
            <w:r w:rsidRPr="0062050C">
              <w:rPr>
                <w:sz w:val="24"/>
                <w:szCs w:val="24"/>
              </w:rPr>
              <w:t>0,38</w:t>
            </w:r>
          </w:p>
        </w:tc>
        <w:tc>
          <w:tcPr>
            <w:tcW w:w="706" w:type="dxa"/>
          </w:tcPr>
          <w:p w:rsidR="0062050C" w:rsidRPr="0062050C" w:rsidRDefault="0062050C" w:rsidP="00B044E4">
            <w:pPr>
              <w:spacing w:line="276" w:lineRule="auto"/>
              <w:jc w:val="center"/>
              <w:rPr>
                <w:sz w:val="24"/>
                <w:szCs w:val="24"/>
              </w:rPr>
            </w:pPr>
            <w:r w:rsidRPr="0062050C">
              <w:rPr>
                <w:sz w:val="24"/>
                <w:szCs w:val="24"/>
              </w:rPr>
              <w:t>0,23</w:t>
            </w:r>
          </w:p>
        </w:tc>
        <w:tc>
          <w:tcPr>
            <w:tcW w:w="706" w:type="dxa"/>
          </w:tcPr>
          <w:p w:rsidR="0062050C" w:rsidRPr="0062050C" w:rsidRDefault="0062050C" w:rsidP="00B044E4">
            <w:pPr>
              <w:spacing w:line="276" w:lineRule="auto"/>
              <w:jc w:val="center"/>
              <w:rPr>
                <w:sz w:val="24"/>
                <w:szCs w:val="24"/>
              </w:rPr>
            </w:pPr>
            <w:r w:rsidRPr="0062050C">
              <w:rPr>
                <w:sz w:val="24"/>
                <w:szCs w:val="24"/>
              </w:rPr>
              <w:t>3,5</w:t>
            </w:r>
          </w:p>
        </w:tc>
        <w:tc>
          <w:tcPr>
            <w:tcW w:w="706" w:type="dxa"/>
          </w:tcPr>
          <w:p w:rsidR="0062050C" w:rsidRPr="0062050C" w:rsidRDefault="0062050C" w:rsidP="00B044E4">
            <w:pPr>
              <w:spacing w:line="276" w:lineRule="auto"/>
              <w:jc w:val="center"/>
              <w:rPr>
                <w:sz w:val="24"/>
                <w:szCs w:val="24"/>
              </w:rPr>
            </w:pPr>
            <w:r w:rsidRPr="0062050C">
              <w:rPr>
                <w:sz w:val="24"/>
                <w:szCs w:val="24"/>
              </w:rPr>
              <w:t>0,46</w:t>
            </w:r>
          </w:p>
        </w:tc>
        <w:tc>
          <w:tcPr>
            <w:tcW w:w="706" w:type="dxa"/>
          </w:tcPr>
          <w:p w:rsidR="0062050C" w:rsidRPr="0062050C" w:rsidRDefault="0062050C" w:rsidP="00B044E4">
            <w:pPr>
              <w:spacing w:line="276" w:lineRule="auto"/>
              <w:jc w:val="center"/>
              <w:rPr>
                <w:sz w:val="24"/>
                <w:szCs w:val="24"/>
              </w:rPr>
            </w:pPr>
            <w:r w:rsidRPr="0062050C">
              <w:rPr>
                <w:sz w:val="24"/>
                <w:szCs w:val="24"/>
              </w:rPr>
              <w:t>0,22</w:t>
            </w:r>
          </w:p>
        </w:tc>
        <w:tc>
          <w:tcPr>
            <w:tcW w:w="706" w:type="dxa"/>
          </w:tcPr>
          <w:p w:rsidR="0062050C" w:rsidRPr="0062050C" w:rsidRDefault="0062050C" w:rsidP="00B044E4">
            <w:pPr>
              <w:spacing w:line="276" w:lineRule="auto"/>
              <w:jc w:val="center"/>
              <w:rPr>
                <w:sz w:val="24"/>
                <w:szCs w:val="24"/>
              </w:rPr>
            </w:pPr>
            <w:r w:rsidRPr="0062050C">
              <w:rPr>
                <w:sz w:val="24"/>
                <w:szCs w:val="24"/>
              </w:rPr>
              <w:t>4,74</w:t>
            </w:r>
          </w:p>
        </w:tc>
        <w:tc>
          <w:tcPr>
            <w:tcW w:w="844" w:type="dxa"/>
          </w:tcPr>
          <w:p w:rsidR="0062050C" w:rsidRPr="0062050C" w:rsidRDefault="0062050C" w:rsidP="00B044E4">
            <w:pPr>
              <w:spacing w:line="276" w:lineRule="auto"/>
              <w:jc w:val="center"/>
              <w:rPr>
                <w:sz w:val="24"/>
                <w:szCs w:val="24"/>
              </w:rPr>
            </w:pPr>
            <w:r w:rsidRPr="0062050C">
              <w:rPr>
                <w:sz w:val="24"/>
                <w:szCs w:val="24"/>
              </w:rPr>
              <w:t>21,1</w:t>
            </w:r>
          </w:p>
        </w:tc>
        <w:tc>
          <w:tcPr>
            <w:tcW w:w="900" w:type="dxa"/>
          </w:tcPr>
          <w:p w:rsidR="0062050C" w:rsidRPr="0062050C" w:rsidRDefault="0062050C" w:rsidP="00B044E4">
            <w:pPr>
              <w:spacing w:line="276" w:lineRule="auto"/>
              <w:jc w:val="center"/>
              <w:rPr>
                <w:sz w:val="24"/>
                <w:szCs w:val="24"/>
              </w:rPr>
            </w:pPr>
            <w:r w:rsidRPr="0062050C">
              <w:rPr>
                <w:sz w:val="24"/>
                <w:szCs w:val="24"/>
              </w:rPr>
              <w:t>-4,3</w:t>
            </w:r>
          </w:p>
        </w:tc>
        <w:tc>
          <w:tcPr>
            <w:tcW w:w="737" w:type="dxa"/>
          </w:tcPr>
          <w:p w:rsidR="0062050C" w:rsidRPr="0062050C" w:rsidRDefault="0062050C" w:rsidP="00B044E4">
            <w:pPr>
              <w:spacing w:line="276" w:lineRule="auto"/>
              <w:jc w:val="center"/>
              <w:rPr>
                <w:sz w:val="24"/>
                <w:szCs w:val="24"/>
              </w:rPr>
            </w:pPr>
            <w:r w:rsidRPr="0062050C">
              <w:rPr>
                <w:sz w:val="24"/>
                <w:szCs w:val="24"/>
              </w:rPr>
              <w:t>35,4</w:t>
            </w:r>
          </w:p>
        </w:tc>
      </w:tr>
      <w:tr w:rsidR="0062050C" w:rsidRPr="0062050C" w:rsidTr="001E46CE">
        <w:trPr>
          <w:trHeight w:val="629"/>
          <w:jc w:val="center"/>
        </w:trPr>
        <w:tc>
          <w:tcPr>
            <w:tcW w:w="3400" w:type="dxa"/>
          </w:tcPr>
          <w:p w:rsidR="0062050C" w:rsidRPr="0062050C" w:rsidRDefault="0062050C" w:rsidP="00B044E4">
            <w:pPr>
              <w:spacing w:line="276" w:lineRule="auto"/>
              <w:rPr>
                <w:sz w:val="24"/>
                <w:szCs w:val="24"/>
              </w:rPr>
            </w:pPr>
            <w:r w:rsidRPr="0062050C">
              <w:rPr>
                <w:sz w:val="24"/>
                <w:szCs w:val="24"/>
              </w:rPr>
              <w:t>Внутрішньоматкова гіпоксія і асфіксія в родах</w:t>
            </w:r>
          </w:p>
        </w:tc>
        <w:tc>
          <w:tcPr>
            <w:tcW w:w="706" w:type="dxa"/>
          </w:tcPr>
          <w:p w:rsidR="0062050C" w:rsidRPr="0062050C" w:rsidRDefault="0062050C" w:rsidP="00B044E4">
            <w:pPr>
              <w:spacing w:line="276" w:lineRule="auto"/>
              <w:jc w:val="center"/>
              <w:rPr>
                <w:sz w:val="24"/>
                <w:szCs w:val="24"/>
              </w:rPr>
            </w:pPr>
            <w:r w:rsidRPr="0062050C">
              <w:rPr>
                <w:sz w:val="24"/>
                <w:szCs w:val="24"/>
              </w:rPr>
              <w:t>0,31</w:t>
            </w:r>
          </w:p>
        </w:tc>
        <w:tc>
          <w:tcPr>
            <w:tcW w:w="706" w:type="dxa"/>
          </w:tcPr>
          <w:p w:rsidR="0062050C" w:rsidRPr="0062050C" w:rsidRDefault="0062050C" w:rsidP="00B044E4">
            <w:pPr>
              <w:spacing w:line="276" w:lineRule="auto"/>
              <w:jc w:val="center"/>
              <w:rPr>
                <w:sz w:val="24"/>
                <w:szCs w:val="24"/>
              </w:rPr>
            </w:pPr>
            <w:r w:rsidRPr="0062050C">
              <w:rPr>
                <w:sz w:val="24"/>
                <w:szCs w:val="24"/>
              </w:rPr>
              <w:t>0,18</w:t>
            </w:r>
          </w:p>
        </w:tc>
        <w:tc>
          <w:tcPr>
            <w:tcW w:w="706" w:type="dxa"/>
          </w:tcPr>
          <w:p w:rsidR="0062050C" w:rsidRPr="0062050C" w:rsidRDefault="0062050C" w:rsidP="00B044E4">
            <w:pPr>
              <w:spacing w:line="276" w:lineRule="auto"/>
              <w:jc w:val="center"/>
              <w:rPr>
                <w:sz w:val="24"/>
                <w:szCs w:val="24"/>
              </w:rPr>
            </w:pPr>
            <w:r w:rsidRPr="0062050C">
              <w:rPr>
                <w:sz w:val="24"/>
                <w:szCs w:val="24"/>
              </w:rPr>
              <w:t>3,02</w:t>
            </w:r>
          </w:p>
        </w:tc>
        <w:tc>
          <w:tcPr>
            <w:tcW w:w="706" w:type="dxa"/>
          </w:tcPr>
          <w:p w:rsidR="0062050C" w:rsidRPr="0062050C" w:rsidRDefault="0062050C" w:rsidP="00B044E4">
            <w:pPr>
              <w:spacing w:line="276" w:lineRule="auto"/>
              <w:jc w:val="center"/>
              <w:rPr>
                <w:sz w:val="24"/>
                <w:szCs w:val="24"/>
              </w:rPr>
            </w:pPr>
            <w:r w:rsidRPr="0062050C">
              <w:rPr>
                <w:sz w:val="24"/>
                <w:szCs w:val="24"/>
              </w:rPr>
              <w:t>0,31</w:t>
            </w:r>
          </w:p>
        </w:tc>
        <w:tc>
          <w:tcPr>
            <w:tcW w:w="706" w:type="dxa"/>
          </w:tcPr>
          <w:p w:rsidR="0062050C" w:rsidRPr="0062050C" w:rsidRDefault="0062050C" w:rsidP="00B044E4">
            <w:pPr>
              <w:spacing w:line="276" w:lineRule="auto"/>
              <w:jc w:val="center"/>
              <w:rPr>
                <w:sz w:val="24"/>
                <w:szCs w:val="24"/>
              </w:rPr>
            </w:pPr>
            <w:r w:rsidRPr="0062050C">
              <w:rPr>
                <w:sz w:val="24"/>
                <w:szCs w:val="24"/>
              </w:rPr>
              <w:t>0,14</w:t>
            </w:r>
          </w:p>
        </w:tc>
        <w:tc>
          <w:tcPr>
            <w:tcW w:w="706" w:type="dxa"/>
          </w:tcPr>
          <w:p w:rsidR="0062050C" w:rsidRPr="0062050C" w:rsidRDefault="0062050C" w:rsidP="00B044E4">
            <w:pPr>
              <w:spacing w:line="276" w:lineRule="auto"/>
              <w:jc w:val="center"/>
              <w:rPr>
                <w:sz w:val="24"/>
                <w:szCs w:val="24"/>
              </w:rPr>
            </w:pPr>
            <w:r w:rsidRPr="0062050C">
              <w:rPr>
                <w:sz w:val="24"/>
                <w:szCs w:val="24"/>
              </w:rPr>
              <w:t>3,42</w:t>
            </w:r>
          </w:p>
        </w:tc>
        <w:tc>
          <w:tcPr>
            <w:tcW w:w="844" w:type="dxa"/>
          </w:tcPr>
          <w:p w:rsidR="0062050C" w:rsidRPr="0062050C" w:rsidRDefault="0062050C" w:rsidP="00B044E4">
            <w:pPr>
              <w:spacing w:line="276" w:lineRule="auto"/>
              <w:jc w:val="center"/>
              <w:rPr>
                <w:sz w:val="24"/>
                <w:szCs w:val="24"/>
              </w:rPr>
            </w:pPr>
            <w:r w:rsidRPr="0062050C">
              <w:rPr>
                <w:sz w:val="24"/>
                <w:szCs w:val="24"/>
              </w:rPr>
              <w:t>0</w:t>
            </w:r>
          </w:p>
        </w:tc>
        <w:tc>
          <w:tcPr>
            <w:tcW w:w="900" w:type="dxa"/>
          </w:tcPr>
          <w:p w:rsidR="0062050C" w:rsidRPr="0062050C" w:rsidRDefault="0062050C" w:rsidP="00B044E4">
            <w:pPr>
              <w:spacing w:line="276" w:lineRule="auto"/>
              <w:jc w:val="center"/>
              <w:rPr>
                <w:sz w:val="24"/>
                <w:szCs w:val="24"/>
              </w:rPr>
            </w:pPr>
            <w:r w:rsidRPr="0062050C">
              <w:rPr>
                <w:sz w:val="24"/>
                <w:szCs w:val="24"/>
              </w:rPr>
              <w:t>-22,2</w:t>
            </w:r>
          </w:p>
        </w:tc>
        <w:tc>
          <w:tcPr>
            <w:tcW w:w="737" w:type="dxa"/>
          </w:tcPr>
          <w:p w:rsidR="0062050C" w:rsidRPr="0062050C" w:rsidRDefault="0062050C" w:rsidP="00B044E4">
            <w:pPr>
              <w:spacing w:line="276" w:lineRule="auto"/>
              <w:jc w:val="center"/>
              <w:rPr>
                <w:sz w:val="24"/>
                <w:szCs w:val="24"/>
              </w:rPr>
            </w:pPr>
            <w:r w:rsidRPr="0062050C">
              <w:rPr>
                <w:sz w:val="24"/>
                <w:szCs w:val="24"/>
              </w:rPr>
              <w:t>13,2</w:t>
            </w:r>
          </w:p>
        </w:tc>
      </w:tr>
      <w:tr w:rsidR="0062050C" w:rsidRPr="0062050C" w:rsidTr="001E46CE">
        <w:trPr>
          <w:jc w:val="center"/>
        </w:trPr>
        <w:tc>
          <w:tcPr>
            <w:tcW w:w="3400" w:type="dxa"/>
          </w:tcPr>
          <w:p w:rsidR="0062050C" w:rsidRPr="0062050C" w:rsidRDefault="0062050C" w:rsidP="00B044E4">
            <w:pPr>
              <w:spacing w:line="276" w:lineRule="auto"/>
              <w:rPr>
                <w:sz w:val="24"/>
                <w:szCs w:val="24"/>
              </w:rPr>
            </w:pPr>
            <w:r w:rsidRPr="0062050C">
              <w:rPr>
                <w:sz w:val="24"/>
                <w:szCs w:val="24"/>
              </w:rPr>
              <w:t>Розлади дихальної системи, що виникають у перинатальному періоді</w:t>
            </w:r>
          </w:p>
        </w:tc>
        <w:tc>
          <w:tcPr>
            <w:tcW w:w="706" w:type="dxa"/>
          </w:tcPr>
          <w:p w:rsidR="0062050C" w:rsidRPr="0062050C" w:rsidRDefault="0062050C" w:rsidP="00B044E4">
            <w:pPr>
              <w:spacing w:line="276" w:lineRule="auto"/>
              <w:jc w:val="center"/>
              <w:rPr>
                <w:sz w:val="24"/>
                <w:szCs w:val="24"/>
              </w:rPr>
            </w:pPr>
            <w:r w:rsidRPr="0062050C">
              <w:rPr>
                <w:sz w:val="24"/>
                <w:szCs w:val="24"/>
              </w:rPr>
              <w:t>0,6</w:t>
            </w:r>
          </w:p>
        </w:tc>
        <w:tc>
          <w:tcPr>
            <w:tcW w:w="706" w:type="dxa"/>
          </w:tcPr>
          <w:p w:rsidR="0062050C" w:rsidRPr="0062050C" w:rsidRDefault="0062050C" w:rsidP="00B044E4">
            <w:pPr>
              <w:spacing w:line="276" w:lineRule="auto"/>
              <w:jc w:val="center"/>
              <w:rPr>
                <w:sz w:val="24"/>
                <w:szCs w:val="24"/>
              </w:rPr>
            </w:pPr>
            <w:r w:rsidRPr="0062050C">
              <w:rPr>
                <w:sz w:val="24"/>
                <w:szCs w:val="24"/>
              </w:rPr>
              <w:t>0,16</w:t>
            </w:r>
          </w:p>
        </w:tc>
        <w:tc>
          <w:tcPr>
            <w:tcW w:w="706" w:type="dxa"/>
          </w:tcPr>
          <w:p w:rsidR="0062050C" w:rsidRPr="0062050C" w:rsidRDefault="0062050C" w:rsidP="00B044E4">
            <w:pPr>
              <w:spacing w:line="276" w:lineRule="auto"/>
              <w:jc w:val="center"/>
              <w:rPr>
                <w:sz w:val="24"/>
                <w:szCs w:val="24"/>
              </w:rPr>
            </w:pPr>
            <w:r w:rsidRPr="0062050C">
              <w:rPr>
                <w:sz w:val="24"/>
                <w:szCs w:val="24"/>
              </w:rPr>
              <w:t>9,65</w:t>
            </w:r>
          </w:p>
        </w:tc>
        <w:tc>
          <w:tcPr>
            <w:tcW w:w="706" w:type="dxa"/>
          </w:tcPr>
          <w:p w:rsidR="0062050C" w:rsidRPr="0062050C" w:rsidRDefault="0062050C" w:rsidP="00B044E4">
            <w:pPr>
              <w:spacing w:line="276" w:lineRule="auto"/>
              <w:jc w:val="center"/>
              <w:rPr>
                <w:sz w:val="24"/>
                <w:szCs w:val="24"/>
              </w:rPr>
            </w:pPr>
            <w:r w:rsidRPr="0062050C">
              <w:rPr>
                <w:sz w:val="24"/>
                <w:szCs w:val="24"/>
              </w:rPr>
              <w:t>0,5</w:t>
            </w:r>
          </w:p>
        </w:tc>
        <w:tc>
          <w:tcPr>
            <w:tcW w:w="706" w:type="dxa"/>
          </w:tcPr>
          <w:p w:rsidR="0062050C" w:rsidRPr="0062050C" w:rsidRDefault="0062050C" w:rsidP="00B044E4">
            <w:pPr>
              <w:spacing w:line="276" w:lineRule="auto"/>
              <w:jc w:val="center"/>
              <w:rPr>
                <w:sz w:val="24"/>
                <w:szCs w:val="24"/>
              </w:rPr>
            </w:pPr>
            <w:r w:rsidRPr="0062050C">
              <w:rPr>
                <w:sz w:val="24"/>
                <w:szCs w:val="24"/>
              </w:rPr>
              <w:t>0,14</w:t>
            </w:r>
          </w:p>
        </w:tc>
        <w:tc>
          <w:tcPr>
            <w:tcW w:w="706" w:type="dxa"/>
          </w:tcPr>
          <w:p w:rsidR="0062050C" w:rsidRPr="0062050C" w:rsidRDefault="0062050C" w:rsidP="00B044E4">
            <w:pPr>
              <w:spacing w:line="276" w:lineRule="auto"/>
              <w:jc w:val="center"/>
              <w:rPr>
                <w:sz w:val="24"/>
                <w:szCs w:val="24"/>
              </w:rPr>
            </w:pPr>
            <w:r w:rsidRPr="0062050C">
              <w:rPr>
                <w:sz w:val="24"/>
                <w:szCs w:val="24"/>
              </w:rPr>
              <w:t>7,08</w:t>
            </w:r>
          </w:p>
        </w:tc>
        <w:tc>
          <w:tcPr>
            <w:tcW w:w="844" w:type="dxa"/>
          </w:tcPr>
          <w:p w:rsidR="0062050C" w:rsidRPr="0062050C" w:rsidRDefault="0062050C" w:rsidP="00B044E4">
            <w:pPr>
              <w:spacing w:line="276" w:lineRule="auto"/>
              <w:jc w:val="center"/>
              <w:rPr>
                <w:sz w:val="24"/>
                <w:szCs w:val="24"/>
              </w:rPr>
            </w:pPr>
            <w:r w:rsidRPr="0062050C">
              <w:rPr>
                <w:sz w:val="24"/>
                <w:szCs w:val="24"/>
              </w:rPr>
              <w:t>-16,7</w:t>
            </w:r>
          </w:p>
        </w:tc>
        <w:tc>
          <w:tcPr>
            <w:tcW w:w="900" w:type="dxa"/>
          </w:tcPr>
          <w:p w:rsidR="0062050C" w:rsidRPr="0062050C" w:rsidRDefault="0062050C" w:rsidP="00B044E4">
            <w:pPr>
              <w:spacing w:line="276" w:lineRule="auto"/>
              <w:jc w:val="center"/>
              <w:rPr>
                <w:sz w:val="24"/>
                <w:szCs w:val="24"/>
              </w:rPr>
            </w:pPr>
            <w:r w:rsidRPr="0062050C">
              <w:rPr>
                <w:sz w:val="24"/>
                <w:szCs w:val="24"/>
              </w:rPr>
              <w:t>-12,5</w:t>
            </w:r>
          </w:p>
        </w:tc>
        <w:tc>
          <w:tcPr>
            <w:tcW w:w="737" w:type="dxa"/>
          </w:tcPr>
          <w:p w:rsidR="0062050C" w:rsidRPr="0062050C" w:rsidRDefault="0062050C" w:rsidP="00B044E4">
            <w:pPr>
              <w:spacing w:line="276" w:lineRule="auto"/>
              <w:jc w:val="center"/>
              <w:rPr>
                <w:sz w:val="24"/>
                <w:szCs w:val="24"/>
              </w:rPr>
            </w:pPr>
            <w:r w:rsidRPr="0062050C">
              <w:rPr>
                <w:sz w:val="24"/>
                <w:szCs w:val="24"/>
              </w:rPr>
              <w:t>-26,6</w:t>
            </w:r>
          </w:p>
        </w:tc>
      </w:tr>
    </w:tbl>
    <w:p w:rsidR="00B044E4" w:rsidRPr="00B044E4" w:rsidRDefault="00B044E4" w:rsidP="00853741">
      <w:pPr>
        <w:pageBreakBefore/>
        <w:jc w:val="right"/>
        <w:rPr>
          <w:i/>
          <w:lang w:val="ru-RU"/>
        </w:rPr>
      </w:pPr>
      <w:r w:rsidRPr="00B044E4">
        <w:rPr>
          <w:i/>
          <w:lang w:val="ru-RU"/>
        </w:rPr>
        <w:lastRenderedPageBreak/>
        <w:t>Продовження табл. 3.10</w:t>
      </w:r>
    </w:p>
    <w:tbl>
      <w:tblPr>
        <w:tblStyle w:val="700"/>
        <w:tblW w:w="0" w:type="auto"/>
        <w:jc w:val="center"/>
        <w:tblInd w:w="197" w:type="dxa"/>
        <w:tblLayout w:type="fixed"/>
        <w:tblLook w:val="04A0" w:firstRow="1" w:lastRow="0" w:firstColumn="1" w:lastColumn="0" w:noHBand="0" w:noVBand="1"/>
      </w:tblPr>
      <w:tblGrid>
        <w:gridCol w:w="3400"/>
        <w:gridCol w:w="706"/>
        <w:gridCol w:w="706"/>
        <w:gridCol w:w="706"/>
        <w:gridCol w:w="706"/>
        <w:gridCol w:w="706"/>
        <w:gridCol w:w="706"/>
        <w:gridCol w:w="844"/>
        <w:gridCol w:w="900"/>
        <w:gridCol w:w="737"/>
      </w:tblGrid>
      <w:tr w:rsidR="0062050C" w:rsidRPr="0062050C" w:rsidTr="001E46CE">
        <w:trPr>
          <w:jc w:val="center"/>
        </w:trPr>
        <w:tc>
          <w:tcPr>
            <w:tcW w:w="3400" w:type="dxa"/>
          </w:tcPr>
          <w:p w:rsidR="0062050C" w:rsidRPr="0062050C" w:rsidRDefault="0062050C" w:rsidP="00B044E4">
            <w:pPr>
              <w:spacing w:line="276" w:lineRule="auto"/>
              <w:rPr>
                <w:sz w:val="24"/>
                <w:szCs w:val="24"/>
              </w:rPr>
            </w:pPr>
            <w:r w:rsidRPr="0062050C">
              <w:rPr>
                <w:sz w:val="24"/>
                <w:szCs w:val="24"/>
              </w:rPr>
              <w:t xml:space="preserve">Інфекції специфічні для </w:t>
            </w:r>
            <w:proofErr w:type="gramStart"/>
            <w:r w:rsidRPr="0062050C">
              <w:rPr>
                <w:sz w:val="24"/>
                <w:szCs w:val="24"/>
              </w:rPr>
              <w:t>перинатального</w:t>
            </w:r>
            <w:proofErr w:type="gramEnd"/>
            <w:r w:rsidRPr="0062050C">
              <w:rPr>
                <w:sz w:val="24"/>
                <w:szCs w:val="24"/>
              </w:rPr>
              <w:t xml:space="preserve"> періоду</w:t>
            </w:r>
          </w:p>
        </w:tc>
        <w:tc>
          <w:tcPr>
            <w:tcW w:w="706" w:type="dxa"/>
          </w:tcPr>
          <w:p w:rsidR="0062050C" w:rsidRPr="0062050C" w:rsidRDefault="0062050C" w:rsidP="00B044E4">
            <w:pPr>
              <w:spacing w:line="276" w:lineRule="auto"/>
              <w:jc w:val="center"/>
              <w:rPr>
                <w:sz w:val="24"/>
                <w:szCs w:val="24"/>
              </w:rPr>
            </w:pPr>
            <w:r w:rsidRPr="0062050C">
              <w:rPr>
                <w:sz w:val="24"/>
                <w:szCs w:val="24"/>
              </w:rPr>
              <w:t>0,24</w:t>
            </w:r>
          </w:p>
        </w:tc>
        <w:tc>
          <w:tcPr>
            <w:tcW w:w="706" w:type="dxa"/>
          </w:tcPr>
          <w:p w:rsidR="0062050C" w:rsidRPr="0062050C" w:rsidRDefault="0062050C" w:rsidP="00B044E4">
            <w:pPr>
              <w:spacing w:line="276" w:lineRule="auto"/>
              <w:jc w:val="center"/>
              <w:rPr>
                <w:sz w:val="24"/>
                <w:szCs w:val="24"/>
              </w:rPr>
            </w:pPr>
            <w:r w:rsidRPr="0062050C">
              <w:rPr>
                <w:sz w:val="24"/>
                <w:szCs w:val="24"/>
              </w:rPr>
              <w:t>0,07</w:t>
            </w:r>
          </w:p>
        </w:tc>
        <w:tc>
          <w:tcPr>
            <w:tcW w:w="706" w:type="dxa"/>
          </w:tcPr>
          <w:p w:rsidR="0062050C" w:rsidRPr="0062050C" w:rsidRDefault="0062050C" w:rsidP="00B044E4">
            <w:pPr>
              <w:spacing w:line="276" w:lineRule="auto"/>
              <w:jc w:val="center"/>
              <w:rPr>
                <w:sz w:val="24"/>
                <w:szCs w:val="24"/>
              </w:rPr>
            </w:pPr>
            <w:r w:rsidRPr="0062050C">
              <w:rPr>
                <w:sz w:val="24"/>
                <w:szCs w:val="24"/>
              </w:rPr>
              <w:t>3,84</w:t>
            </w:r>
          </w:p>
        </w:tc>
        <w:tc>
          <w:tcPr>
            <w:tcW w:w="706" w:type="dxa"/>
          </w:tcPr>
          <w:p w:rsidR="0062050C" w:rsidRPr="0062050C" w:rsidRDefault="0062050C" w:rsidP="00B044E4">
            <w:pPr>
              <w:spacing w:line="276" w:lineRule="auto"/>
              <w:jc w:val="center"/>
              <w:rPr>
                <w:sz w:val="24"/>
                <w:szCs w:val="24"/>
              </w:rPr>
            </w:pPr>
            <w:r w:rsidRPr="0062050C">
              <w:rPr>
                <w:sz w:val="24"/>
                <w:szCs w:val="24"/>
              </w:rPr>
              <w:t>0,23</w:t>
            </w:r>
          </w:p>
        </w:tc>
        <w:tc>
          <w:tcPr>
            <w:tcW w:w="706" w:type="dxa"/>
          </w:tcPr>
          <w:p w:rsidR="0062050C" w:rsidRPr="0062050C" w:rsidRDefault="0062050C" w:rsidP="00B044E4">
            <w:pPr>
              <w:spacing w:line="276" w:lineRule="auto"/>
              <w:jc w:val="center"/>
              <w:rPr>
                <w:sz w:val="24"/>
                <w:szCs w:val="24"/>
              </w:rPr>
            </w:pPr>
            <w:r w:rsidRPr="0062050C">
              <w:rPr>
                <w:sz w:val="24"/>
                <w:szCs w:val="24"/>
              </w:rPr>
              <w:t>0,04</w:t>
            </w:r>
          </w:p>
        </w:tc>
        <w:tc>
          <w:tcPr>
            <w:tcW w:w="706" w:type="dxa"/>
          </w:tcPr>
          <w:p w:rsidR="0062050C" w:rsidRPr="0062050C" w:rsidRDefault="0062050C" w:rsidP="00B044E4">
            <w:pPr>
              <w:spacing w:line="276" w:lineRule="auto"/>
              <w:jc w:val="center"/>
              <w:rPr>
                <w:sz w:val="24"/>
                <w:szCs w:val="24"/>
              </w:rPr>
            </w:pPr>
            <w:r w:rsidRPr="0062050C">
              <w:rPr>
                <w:sz w:val="24"/>
                <w:szCs w:val="24"/>
              </w:rPr>
              <w:t>3,66</w:t>
            </w:r>
          </w:p>
        </w:tc>
        <w:tc>
          <w:tcPr>
            <w:tcW w:w="844" w:type="dxa"/>
          </w:tcPr>
          <w:p w:rsidR="0062050C" w:rsidRPr="0062050C" w:rsidRDefault="0062050C" w:rsidP="00B044E4">
            <w:pPr>
              <w:spacing w:line="276" w:lineRule="auto"/>
              <w:jc w:val="center"/>
              <w:rPr>
                <w:sz w:val="24"/>
                <w:szCs w:val="24"/>
              </w:rPr>
            </w:pPr>
            <w:r w:rsidRPr="0062050C">
              <w:rPr>
                <w:sz w:val="24"/>
                <w:szCs w:val="24"/>
              </w:rPr>
              <w:t>-4,2</w:t>
            </w:r>
          </w:p>
        </w:tc>
        <w:tc>
          <w:tcPr>
            <w:tcW w:w="900" w:type="dxa"/>
          </w:tcPr>
          <w:p w:rsidR="0062050C" w:rsidRPr="0062050C" w:rsidRDefault="0062050C" w:rsidP="00B044E4">
            <w:pPr>
              <w:spacing w:line="276" w:lineRule="auto"/>
              <w:jc w:val="center"/>
              <w:rPr>
                <w:sz w:val="24"/>
                <w:szCs w:val="24"/>
              </w:rPr>
            </w:pPr>
            <w:r w:rsidRPr="0062050C">
              <w:rPr>
                <w:sz w:val="24"/>
                <w:szCs w:val="24"/>
              </w:rPr>
              <w:t>-42,9</w:t>
            </w:r>
          </w:p>
        </w:tc>
        <w:tc>
          <w:tcPr>
            <w:tcW w:w="737" w:type="dxa"/>
          </w:tcPr>
          <w:p w:rsidR="0062050C" w:rsidRPr="0062050C" w:rsidRDefault="0062050C" w:rsidP="00B044E4">
            <w:pPr>
              <w:spacing w:line="276" w:lineRule="auto"/>
              <w:jc w:val="center"/>
              <w:rPr>
                <w:sz w:val="24"/>
                <w:szCs w:val="24"/>
              </w:rPr>
            </w:pPr>
            <w:r w:rsidRPr="0062050C">
              <w:rPr>
                <w:sz w:val="24"/>
                <w:szCs w:val="24"/>
              </w:rPr>
              <w:t>-4,7</w:t>
            </w:r>
          </w:p>
        </w:tc>
      </w:tr>
      <w:tr w:rsidR="0062050C" w:rsidRPr="0062050C" w:rsidTr="001E46CE">
        <w:trPr>
          <w:jc w:val="center"/>
        </w:trPr>
        <w:tc>
          <w:tcPr>
            <w:tcW w:w="3400" w:type="dxa"/>
          </w:tcPr>
          <w:p w:rsidR="0062050C" w:rsidRPr="0062050C" w:rsidRDefault="0062050C" w:rsidP="00B044E4">
            <w:pPr>
              <w:spacing w:line="276" w:lineRule="auto"/>
              <w:rPr>
                <w:sz w:val="24"/>
                <w:szCs w:val="24"/>
              </w:rPr>
            </w:pPr>
            <w:r w:rsidRPr="0062050C">
              <w:rPr>
                <w:sz w:val="24"/>
                <w:szCs w:val="24"/>
              </w:rPr>
              <w:t>Уроджені пневмонії</w:t>
            </w:r>
          </w:p>
        </w:tc>
        <w:tc>
          <w:tcPr>
            <w:tcW w:w="706" w:type="dxa"/>
          </w:tcPr>
          <w:p w:rsidR="0062050C" w:rsidRPr="0062050C" w:rsidRDefault="0062050C" w:rsidP="00B044E4">
            <w:pPr>
              <w:spacing w:line="276" w:lineRule="auto"/>
              <w:jc w:val="center"/>
              <w:rPr>
                <w:sz w:val="24"/>
                <w:szCs w:val="24"/>
              </w:rPr>
            </w:pPr>
            <w:r w:rsidRPr="0062050C">
              <w:rPr>
                <w:sz w:val="24"/>
                <w:szCs w:val="24"/>
              </w:rPr>
              <w:t>0,18</w:t>
            </w:r>
          </w:p>
        </w:tc>
        <w:tc>
          <w:tcPr>
            <w:tcW w:w="706" w:type="dxa"/>
          </w:tcPr>
          <w:p w:rsidR="0062050C" w:rsidRPr="0062050C" w:rsidRDefault="0062050C" w:rsidP="00B044E4">
            <w:pPr>
              <w:spacing w:line="276" w:lineRule="auto"/>
              <w:jc w:val="center"/>
              <w:rPr>
                <w:sz w:val="24"/>
                <w:szCs w:val="24"/>
              </w:rPr>
            </w:pPr>
            <w:r w:rsidRPr="0062050C">
              <w:rPr>
                <w:sz w:val="24"/>
                <w:szCs w:val="24"/>
              </w:rPr>
              <w:t>0,1</w:t>
            </w:r>
          </w:p>
        </w:tc>
        <w:tc>
          <w:tcPr>
            <w:tcW w:w="706" w:type="dxa"/>
          </w:tcPr>
          <w:p w:rsidR="0062050C" w:rsidRPr="0062050C" w:rsidRDefault="0062050C" w:rsidP="00B044E4">
            <w:pPr>
              <w:spacing w:line="276" w:lineRule="auto"/>
              <w:jc w:val="center"/>
              <w:rPr>
                <w:sz w:val="24"/>
                <w:szCs w:val="24"/>
              </w:rPr>
            </w:pPr>
            <w:r w:rsidRPr="0062050C">
              <w:rPr>
                <w:sz w:val="24"/>
                <w:szCs w:val="24"/>
              </w:rPr>
              <w:t>1,73</w:t>
            </w:r>
          </w:p>
        </w:tc>
        <w:tc>
          <w:tcPr>
            <w:tcW w:w="706" w:type="dxa"/>
          </w:tcPr>
          <w:p w:rsidR="0062050C" w:rsidRPr="0062050C" w:rsidRDefault="0062050C" w:rsidP="00B044E4">
            <w:pPr>
              <w:spacing w:line="276" w:lineRule="auto"/>
              <w:jc w:val="center"/>
              <w:rPr>
                <w:sz w:val="24"/>
                <w:szCs w:val="24"/>
              </w:rPr>
            </w:pPr>
            <w:r w:rsidRPr="0062050C">
              <w:rPr>
                <w:sz w:val="24"/>
                <w:szCs w:val="24"/>
              </w:rPr>
              <w:t>0,12</w:t>
            </w:r>
          </w:p>
        </w:tc>
        <w:tc>
          <w:tcPr>
            <w:tcW w:w="706" w:type="dxa"/>
          </w:tcPr>
          <w:p w:rsidR="0062050C" w:rsidRPr="0062050C" w:rsidRDefault="0062050C" w:rsidP="00B044E4">
            <w:pPr>
              <w:spacing w:line="276" w:lineRule="auto"/>
              <w:jc w:val="center"/>
              <w:rPr>
                <w:sz w:val="24"/>
                <w:szCs w:val="24"/>
              </w:rPr>
            </w:pPr>
            <w:r w:rsidRPr="0062050C">
              <w:rPr>
                <w:sz w:val="24"/>
                <w:szCs w:val="24"/>
              </w:rPr>
              <w:t>0,06</w:t>
            </w:r>
          </w:p>
        </w:tc>
        <w:tc>
          <w:tcPr>
            <w:tcW w:w="706" w:type="dxa"/>
          </w:tcPr>
          <w:p w:rsidR="0062050C" w:rsidRPr="0062050C" w:rsidRDefault="0062050C" w:rsidP="00B044E4">
            <w:pPr>
              <w:spacing w:line="276" w:lineRule="auto"/>
              <w:jc w:val="center"/>
              <w:rPr>
                <w:sz w:val="24"/>
                <w:szCs w:val="24"/>
              </w:rPr>
            </w:pPr>
            <w:r w:rsidRPr="0062050C">
              <w:rPr>
                <w:sz w:val="24"/>
                <w:szCs w:val="24"/>
              </w:rPr>
              <w:t>1,14</w:t>
            </w:r>
          </w:p>
        </w:tc>
        <w:tc>
          <w:tcPr>
            <w:tcW w:w="844" w:type="dxa"/>
          </w:tcPr>
          <w:p w:rsidR="0062050C" w:rsidRPr="0062050C" w:rsidRDefault="0062050C" w:rsidP="00B044E4">
            <w:pPr>
              <w:spacing w:line="276" w:lineRule="auto"/>
              <w:jc w:val="center"/>
              <w:rPr>
                <w:sz w:val="24"/>
                <w:szCs w:val="24"/>
              </w:rPr>
            </w:pPr>
            <w:r w:rsidRPr="0062050C">
              <w:rPr>
                <w:sz w:val="24"/>
                <w:szCs w:val="24"/>
              </w:rPr>
              <w:t>-33,3</w:t>
            </w:r>
          </w:p>
        </w:tc>
        <w:tc>
          <w:tcPr>
            <w:tcW w:w="900" w:type="dxa"/>
          </w:tcPr>
          <w:p w:rsidR="0062050C" w:rsidRPr="0062050C" w:rsidRDefault="0062050C" w:rsidP="00B044E4">
            <w:pPr>
              <w:spacing w:line="276" w:lineRule="auto"/>
              <w:jc w:val="center"/>
              <w:rPr>
                <w:sz w:val="24"/>
                <w:szCs w:val="24"/>
              </w:rPr>
            </w:pPr>
            <w:r w:rsidRPr="0062050C">
              <w:rPr>
                <w:sz w:val="24"/>
                <w:szCs w:val="24"/>
              </w:rPr>
              <w:t>-40,0</w:t>
            </w:r>
          </w:p>
        </w:tc>
        <w:tc>
          <w:tcPr>
            <w:tcW w:w="737" w:type="dxa"/>
          </w:tcPr>
          <w:p w:rsidR="0062050C" w:rsidRPr="0062050C" w:rsidRDefault="0062050C" w:rsidP="00B044E4">
            <w:pPr>
              <w:spacing w:line="276" w:lineRule="auto"/>
              <w:jc w:val="center"/>
              <w:rPr>
                <w:sz w:val="24"/>
                <w:szCs w:val="24"/>
              </w:rPr>
            </w:pPr>
            <w:r w:rsidRPr="0062050C">
              <w:rPr>
                <w:sz w:val="24"/>
                <w:szCs w:val="24"/>
              </w:rPr>
              <w:t>-34,1</w:t>
            </w:r>
          </w:p>
        </w:tc>
      </w:tr>
      <w:tr w:rsidR="0062050C" w:rsidRPr="0062050C" w:rsidTr="001E46CE">
        <w:trPr>
          <w:jc w:val="center"/>
        </w:trPr>
        <w:tc>
          <w:tcPr>
            <w:tcW w:w="3400" w:type="dxa"/>
          </w:tcPr>
          <w:p w:rsidR="0062050C" w:rsidRPr="0062050C" w:rsidRDefault="0062050C" w:rsidP="00B044E4">
            <w:pPr>
              <w:spacing w:line="276" w:lineRule="auto"/>
              <w:rPr>
                <w:sz w:val="24"/>
                <w:szCs w:val="24"/>
              </w:rPr>
            </w:pPr>
            <w:r w:rsidRPr="0062050C">
              <w:rPr>
                <w:sz w:val="24"/>
                <w:szCs w:val="24"/>
              </w:rPr>
              <w:t>Синдром респіраторних розладів</w:t>
            </w:r>
          </w:p>
        </w:tc>
        <w:tc>
          <w:tcPr>
            <w:tcW w:w="706" w:type="dxa"/>
          </w:tcPr>
          <w:p w:rsidR="0062050C" w:rsidRPr="0062050C" w:rsidRDefault="0062050C" w:rsidP="00B044E4">
            <w:pPr>
              <w:spacing w:line="276" w:lineRule="auto"/>
              <w:jc w:val="center"/>
              <w:rPr>
                <w:sz w:val="24"/>
                <w:szCs w:val="24"/>
              </w:rPr>
            </w:pPr>
            <w:r w:rsidRPr="0062050C">
              <w:rPr>
                <w:sz w:val="24"/>
                <w:szCs w:val="24"/>
              </w:rPr>
              <w:t>0,29</w:t>
            </w:r>
          </w:p>
        </w:tc>
        <w:tc>
          <w:tcPr>
            <w:tcW w:w="706" w:type="dxa"/>
          </w:tcPr>
          <w:p w:rsidR="0062050C" w:rsidRPr="0062050C" w:rsidRDefault="0062050C" w:rsidP="00B044E4">
            <w:pPr>
              <w:spacing w:line="276" w:lineRule="auto"/>
              <w:jc w:val="center"/>
              <w:rPr>
                <w:sz w:val="24"/>
                <w:szCs w:val="24"/>
              </w:rPr>
            </w:pPr>
            <w:r w:rsidRPr="0062050C">
              <w:rPr>
                <w:sz w:val="24"/>
                <w:szCs w:val="24"/>
              </w:rPr>
              <w:t>0,01</w:t>
            </w:r>
          </w:p>
        </w:tc>
        <w:tc>
          <w:tcPr>
            <w:tcW w:w="706" w:type="dxa"/>
          </w:tcPr>
          <w:p w:rsidR="0062050C" w:rsidRPr="0062050C" w:rsidRDefault="0062050C" w:rsidP="00B044E4">
            <w:pPr>
              <w:spacing w:line="276" w:lineRule="auto"/>
              <w:jc w:val="center"/>
              <w:rPr>
                <w:sz w:val="24"/>
                <w:szCs w:val="24"/>
              </w:rPr>
            </w:pPr>
            <w:r w:rsidRPr="0062050C">
              <w:rPr>
                <w:sz w:val="24"/>
                <w:szCs w:val="24"/>
              </w:rPr>
              <w:t>6,2</w:t>
            </w:r>
          </w:p>
        </w:tc>
        <w:tc>
          <w:tcPr>
            <w:tcW w:w="706" w:type="dxa"/>
          </w:tcPr>
          <w:p w:rsidR="0062050C" w:rsidRPr="0062050C" w:rsidRDefault="0062050C" w:rsidP="00B044E4">
            <w:pPr>
              <w:spacing w:line="276" w:lineRule="auto"/>
              <w:jc w:val="center"/>
              <w:rPr>
                <w:sz w:val="24"/>
                <w:szCs w:val="24"/>
              </w:rPr>
            </w:pPr>
            <w:r w:rsidRPr="0062050C">
              <w:rPr>
                <w:sz w:val="24"/>
                <w:szCs w:val="24"/>
              </w:rPr>
              <w:t>0,24</w:t>
            </w:r>
          </w:p>
        </w:tc>
        <w:tc>
          <w:tcPr>
            <w:tcW w:w="706" w:type="dxa"/>
          </w:tcPr>
          <w:p w:rsidR="0062050C" w:rsidRPr="0062050C" w:rsidRDefault="0062050C" w:rsidP="00B044E4">
            <w:pPr>
              <w:spacing w:line="276" w:lineRule="auto"/>
              <w:jc w:val="center"/>
              <w:rPr>
                <w:sz w:val="24"/>
                <w:szCs w:val="24"/>
              </w:rPr>
            </w:pPr>
            <w:r w:rsidRPr="0062050C">
              <w:rPr>
                <w:sz w:val="24"/>
                <w:szCs w:val="24"/>
              </w:rPr>
              <w:t>0,02</w:t>
            </w:r>
          </w:p>
        </w:tc>
        <w:tc>
          <w:tcPr>
            <w:tcW w:w="706" w:type="dxa"/>
          </w:tcPr>
          <w:p w:rsidR="0062050C" w:rsidRPr="0062050C" w:rsidRDefault="0062050C" w:rsidP="00B044E4">
            <w:pPr>
              <w:spacing w:line="276" w:lineRule="auto"/>
              <w:jc w:val="center"/>
              <w:rPr>
                <w:sz w:val="24"/>
                <w:szCs w:val="24"/>
              </w:rPr>
            </w:pPr>
            <w:r w:rsidRPr="0062050C">
              <w:rPr>
                <w:sz w:val="24"/>
                <w:szCs w:val="24"/>
              </w:rPr>
              <w:t>4,26</w:t>
            </w:r>
          </w:p>
        </w:tc>
        <w:tc>
          <w:tcPr>
            <w:tcW w:w="844" w:type="dxa"/>
          </w:tcPr>
          <w:p w:rsidR="0062050C" w:rsidRPr="0062050C" w:rsidRDefault="0062050C" w:rsidP="00B044E4">
            <w:pPr>
              <w:spacing w:line="276" w:lineRule="auto"/>
              <w:jc w:val="center"/>
              <w:rPr>
                <w:sz w:val="24"/>
                <w:szCs w:val="24"/>
              </w:rPr>
            </w:pPr>
            <w:r w:rsidRPr="0062050C">
              <w:rPr>
                <w:sz w:val="24"/>
                <w:szCs w:val="24"/>
              </w:rPr>
              <w:t>-17,4</w:t>
            </w:r>
          </w:p>
        </w:tc>
        <w:tc>
          <w:tcPr>
            <w:tcW w:w="900" w:type="dxa"/>
          </w:tcPr>
          <w:p w:rsidR="0062050C" w:rsidRPr="0062050C" w:rsidRDefault="0062050C" w:rsidP="00B044E4">
            <w:pPr>
              <w:spacing w:line="276" w:lineRule="auto"/>
              <w:jc w:val="center"/>
              <w:rPr>
                <w:sz w:val="24"/>
                <w:szCs w:val="24"/>
              </w:rPr>
            </w:pPr>
            <w:r w:rsidRPr="0062050C">
              <w:rPr>
                <w:sz w:val="24"/>
                <w:szCs w:val="24"/>
              </w:rPr>
              <w:t>100,0</w:t>
            </w:r>
          </w:p>
        </w:tc>
        <w:tc>
          <w:tcPr>
            <w:tcW w:w="737" w:type="dxa"/>
          </w:tcPr>
          <w:p w:rsidR="0062050C" w:rsidRPr="0062050C" w:rsidRDefault="0062050C" w:rsidP="00B044E4">
            <w:pPr>
              <w:spacing w:line="276" w:lineRule="auto"/>
              <w:jc w:val="center"/>
              <w:rPr>
                <w:sz w:val="24"/>
                <w:szCs w:val="24"/>
              </w:rPr>
            </w:pPr>
            <w:r w:rsidRPr="0062050C">
              <w:rPr>
                <w:sz w:val="24"/>
                <w:szCs w:val="24"/>
              </w:rPr>
              <w:t>-31,3</w:t>
            </w:r>
          </w:p>
        </w:tc>
      </w:tr>
      <w:tr w:rsidR="0062050C" w:rsidRPr="0062050C" w:rsidTr="001E46CE">
        <w:trPr>
          <w:jc w:val="center"/>
        </w:trPr>
        <w:tc>
          <w:tcPr>
            <w:tcW w:w="3400" w:type="dxa"/>
          </w:tcPr>
          <w:p w:rsidR="0062050C" w:rsidRPr="0062050C" w:rsidRDefault="0062050C" w:rsidP="00B044E4">
            <w:pPr>
              <w:spacing w:line="276" w:lineRule="auto"/>
              <w:rPr>
                <w:sz w:val="24"/>
                <w:szCs w:val="24"/>
              </w:rPr>
            </w:pPr>
            <w:r w:rsidRPr="0062050C">
              <w:rPr>
                <w:sz w:val="24"/>
                <w:szCs w:val="24"/>
              </w:rPr>
              <w:t>Сепсис новонароджених</w:t>
            </w:r>
          </w:p>
        </w:tc>
        <w:tc>
          <w:tcPr>
            <w:tcW w:w="706" w:type="dxa"/>
          </w:tcPr>
          <w:p w:rsidR="0062050C" w:rsidRPr="0062050C" w:rsidRDefault="0062050C" w:rsidP="00B044E4">
            <w:pPr>
              <w:spacing w:line="276" w:lineRule="auto"/>
              <w:jc w:val="center"/>
              <w:rPr>
                <w:sz w:val="24"/>
                <w:szCs w:val="24"/>
              </w:rPr>
            </w:pPr>
            <w:r w:rsidRPr="0062050C">
              <w:rPr>
                <w:sz w:val="24"/>
                <w:szCs w:val="24"/>
              </w:rPr>
              <w:t>0,07</w:t>
            </w:r>
          </w:p>
        </w:tc>
        <w:tc>
          <w:tcPr>
            <w:tcW w:w="706" w:type="dxa"/>
          </w:tcPr>
          <w:p w:rsidR="0062050C" w:rsidRPr="0062050C" w:rsidRDefault="0062050C" w:rsidP="00B044E4">
            <w:pPr>
              <w:spacing w:line="276" w:lineRule="auto"/>
              <w:jc w:val="center"/>
              <w:rPr>
                <w:sz w:val="24"/>
                <w:szCs w:val="24"/>
              </w:rPr>
            </w:pPr>
            <w:r w:rsidRPr="0062050C">
              <w:rPr>
                <w:sz w:val="24"/>
                <w:szCs w:val="24"/>
              </w:rPr>
              <w:t>0,02</w:t>
            </w:r>
          </w:p>
        </w:tc>
        <w:tc>
          <w:tcPr>
            <w:tcW w:w="706" w:type="dxa"/>
          </w:tcPr>
          <w:p w:rsidR="0062050C" w:rsidRPr="0062050C" w:rsidRDefault="0062050C" w:rsidP="00B044E4">
            <w:pPr>
              <w:spacing w:line="276" w:lineRule="auto"/>
              <w:jc w:val="center"/>
              <w:rPr>
                <w:sz w:val="24"/>
                <w:szCs w:val="24"/>
              </w:rPr>
            </w:pPr>
            <w:r w:rsidRPr="0062050C">
              <w:rPr>
                <w:sz w:val="24"/>
                <w:szCs w:val="24"/>
              </w:rPr>
              <w:t>1,1</w:t>
            </w:r>
          </w:p>
        </w:tc>
        <w:tc>
          <w:tcPr>
            <w:tcW w:w="706" w:type="dxa"/>
          </w:tcPr>
          <w:p w:rsidR="0062050C" w:rsidRPr="0062050C" w:rsidRDefault="0062050C" w:rsidP="00B044E4">
            <w:pPr>
              <w:spacing w:line="276" w:lineRule="auto"/>
              <w:jc w:val="center"/>
              <w:rPr>
                <w:sz w:val="24"/>
                <w:szCs w:val="24"/>
              </w:rPr>
            </w:pPr>
            <w:r w:rsidRPr="0062050C">
              <w:rPr>
                <w:sz w:val="24"/>
                <w:szCs w:val="24"/>
              </w:rPr>
              <w:t>0,11</w:t>
            </w:r>
          </w:p>
        </w:tc>
        <w:tc>
          <w:tcPr>
            <w:tcW w:w="706" w:type="dxa"/>
          </w:tcPr>
          <w:p w:rsidR="0062050C" w:rsidRPr="0062050C" w:rsidRDefault="0062050C" w:rsidP="00B044E4">
            <w:pPr>
              <w:spacing w:line="276" w:lineRule="auto"/>
              <w:jc w:val="center"/>
              <w:rPr>
                <w:sz w:val="24"/>
                <w:szCs w:val="24"/>
              </w:rPr>
            </w:pPr>
            <w:r w:rsidRPr="0062050C">
              <w:rPr>
                <w:sz w:val="24"/>
                <w:szCs w:val="24"/>
              </w:rPr>
              <w:t>0,02</w:t>
            </w:r>
          </w:p>
        </w:tc>
        <w:tc>
          <w:tcPr>
            <w:tcW w:w="706" w:type="dxa"/>
          </w:tcPr>
          <w:p w:rsidR="0062050C" w:rsidRPr="0062050C" w:rsidRDefault="0062050C" w:rsidP="00B044E4">
            <w:pPr>
              <w:spacing w:line="276" w:lineRule="auto"/>
              <w:jc w:val="center"/>
              <w:rPr>
                <w:sz w:val="24"/>
                <w:szCs w:val="24"/>
              </w:rPr>
            </w:pPr>
            <w:r w:rsidRPr="0062050C">
              <w:rPr>
                <w:sz w:val="24"/>
                <w:szCs w:val="24"/>
              </w:rPr>
              <w:t>1,74</w:t>
            </w:r>
          </w:p>
        </w:tc>
        <w:tc>
          <w:tcPr>
            <w:tcW w:w="844" w:type="dxa"/>
          </w:tcPr>
          <w:p w:rsidR="0062050C" w:rsidRPr="0062050C" w:rsidRDefault="0062050C" w:rsidP="00B044E4">
            <w:pPr>
              <w:spacing w:line="276" w:lineRule="auto"/>
              <w:jc w:val="center"/>
              <w:rPr>
                <w:sz w:val="24"/>
                <w:szCs w:val="24"/>
              </w:rPr>
            </w:pPr>
            <w:r w:rsidRPr="0062050C">
              <w:rPr>
                <w:sz w:val="24"/>
                <w:szCs w:val="24"/>
              </w:rPr>
              <w:t>57,1</w:t>
            </w:r>
          </w:p>
        </w:tc>
        <w:tc>
          <w:tcPr>
            <w:tcW w:w="900" w:type="dxa"/>
          </w:tcPr>
          <w:p w:rsidR="0062050C" w:rsidRPr="0062050C" w:rsidRDefault="0062050C" w:rsidP="00B044E4">
            <w:pPr>
              <w:spacing w:line="276" w:lineRule="auto"/>
              <w:jc w:val="center"/>
              <w:rPr>
                <w:sz w:val="24"/>
                <w:szCs w:val="24"/>
              </w:rPr>
            </w:pPr>
            <w:r w:rsidRPr="0062050C">
              <w:rPr>
                <w:sz w:val="24"/>
                <w:szCs w:val="24"/>
              </w:rPr>
              <w:t>0</w:t>
            </w:r>
          </w:p>
        </w:tc>
        <w:tc>
          <w:tcPr>
            <w:tcW w:w="737" w:type="dxa"/>
          </w:tcPr>
          <w:p w:rsidR="0062050C" w:rsidRPr="0062050C" w:rsidRDefault="0062050C" w:rsidP="00B044E4">
            <w:pPr>
              <w:spacing w:line="276" w:lineRule="auto"/>
              <w:jc w:val="center"/>
              <w:rPr>
                <w:sz w:val="24"/>
                <w:szCs w:val="24"/>
              </w:rPr>
            </w:pPr>
            <w:r w:rsidRPr="0062050C">
              <w:rPr>
                <w:sz w:val="24"/>
                <w:szCs w:val="24"/>
              </w:rPr>
              <w:t>58,2</w:t>
            </w:r>
          </w:p>
        </w:tc>
      </w:tr>
      <w:tr w:rsidR="0062050C" w:rsidRPr="0062050C" w:rsidTr="001E46CE">
        <w:trPr>
          <w:jc w:val="center"/>
        </w:trPr>
        <w:tc>
          <w:tcPr>
            <w:tcW w:w="3400" w:type="dxa"/>
          </w:tcPr>
          <w:p w:rsidR="0062050C" w:rsidRPr="0062050C" w:rsidRDefault="0062050C" w:rsidP="00B044E4">
            <w:pPr>
              <w:spacing w:line="276" w:lineRule="auto"/>
              <w:rPr>
                <w:sz w:val="24"/>
                <w:szCs w:val="24"/>
              </w:rPr>
            </w:pPr>
            <w:r w:rsidRPr="0062050C">
              <w:rPr>
                <w:sz w:val="24"/>
                <w:szCs w:val="24"/>
              </w:rPr>
              <w:t>Внутрішньошлуночкові і субарахноїдальні крововиливи</w:t>
            </w:r>
          </w:p>
        </w:tc>
        <w:tc>
          <w:tcPr>
            <w:tcW w:w="706" w:type="dxa"/>
          </w:tcPr>
          <w:p w:rsidR="0062050C" w:rsidRPr="0062050C" w:rsidRDefault="0062050C" w:rsidP="00B044E4">
            <w:pPr>
              <w:spacing w:line="276" w:lineRule="auto"/>
              <w:jc w:val="center"/>
              <w:rPr>
                <w:sz w:val="24"/>
                <w:szCs w:val="24"/>
              </w:rPr>
            </w:pPr>
            <w:r w:rsidRPr="0062050C">
              <w:rPr>
                <w:sz w:val="24"/>
                <w:szCs w:val="24"/>
              </w:rPr>
              <w:t>0,27</w:t>
            </w:r>
          </w:p>
        </w:tc>
        <w:tc>
          <w:tcPr>
            <w:tcW w:w="706" w:type="dxa"/>
          </w:tcPr>
          <w:p w:rsidR="0062050C" w:rsidRPr="0062050C" w:rsidRDefault="0062050C" w:rsidP="00B044E4">
            <w:pPr>
              <w:spacing w:line="276" w:lineRule="auto"/>
              <w:jc w:val="center"/>
              <w:rPr>
                <w:sz w:val="24"/>
                <w:szCs w:val="24"/>
              </w:rPr>
            </w:pPr>
            <w:r w:rsidRPr="0062050C">
              <w:rPr>
                <w:sz w:val="24"/>
                <w:szCs w:val="24"/>
              </w:rPr>
              <w:t>0,01</w:t>
            </w:r>
          </w:p>
        </w:tc>
        <w:tc>
          <w:tcPr>
            <w:tcW w:w="706" w:type="dxa"/>
          </w:tcPr>
          <w:p w:rsidR="0062050C" w:rsidRPr="0062050C" w:rsidRDefault="0062050C" w:rsidP="00B044E4">
            <w:pPr>
              <w:spacing w:line="276" w:lineRule="auto"/>
              <w:jc w:val="center"/>
              <w:rPr>
                <w:sz w:val="24"/>
                <w:szCs w:val="24"/>
              </w:rPr>
            </w:pPr>
            <w:r w:rsidRPr="0062050C">
              <w:rPr>
                <w:sz w:val="24"/>
                <w:szCs w:val="24"/>
              </w:rPr>
              <w:t>5,62</w:t>
            </w:r>
          </w:p>
        </w:tc>
        <w:tc>
          <w:tcPr>
            <w:tcW w:w="706" w:type="dxa"/>
          </w:tcPr>
          <w:p w:rsidR="0062050C" w:rsidRPr="0062050C" w:rsidRDefault="0062050C" w:rsidP="00B044E4">
            <w:pPr>
              <w:spacing w:line="276" w:lineRule="auto"/>
              <w:jc w:val="center"/>
              <w:rPr>
                <w:sz w:val="24"/>
                <w:szCs w:val="24"/>
              </w:rPr>
            </w:pPr>
            <w:r w:rsidRPr="0062050C">
              <w:rPr>
                <w:sz w:val="24"/>
                <w:szCs w:val="24"/>
              </w:rPr>
              <w:t>0,27</w:t>
            </w:r>
          </w:p>
        </w:tc>
        <w:tc>
          <w:tcPr>
            <w:tcW w:w="706" w:type="dxa"/>
          </w:tcPr>
          <w:p w:rsidR="0062050C" w:rsidRPr="0062050C" w:rsidRDefault="0062050C" w:rsidP="00B044E4">
            <w:pPr>
              <w:spacing w:line="276" w:lineRule="auto"/>
              <w:jc w:val="center"/>
              <w:rPr>
                <w:sz w:val="24"/>
                <w:szCs w:val="24"/>
              </w:rPr>
            </w:pPr>
            <w:r w:rsidRPr="0062050C">
              <w:rPr>
                <w:sz w:val="24"/>
                <w:szCs w:val="24"/>
              </w:rPr>
              <w:t>0,01</w:t>
            </w:r>
          </w:p>
        </w:tc>
        <w:tc>
          <w:tcPr>
            <w:tcW w:w="706" w:type="dxa"/>
          </w:tcPr>
          <w:p w:rsidR="0062050C" w:rsidRPr="0062050C" w:rsidRDefault="0062050C" w:rsidP="00B044E4">
            <w:pPr>
              <w:spacing w:line="276" w:lineRule="auto"/>
              <w:jc w:val="center"/>
              <w:rPr>
                <w:sz w:val="24"/>
                <w:szCs w:val="24"/>
              </w:rPr>
            </w:pPr>
            <w:r w:rsidRPr="0062050C">
              <w:rPr>
                <w:sz w:val="24"/>
                <w:szCs w:val="24"/>
              </w:rPr>
              <w:t>5,04</w:t>
            </w:r>
          </w:p>
        </w:tc>
        <w:tc>
          <w:tcPr>
            <w:tcW w:w="844" w:type="dxa"/>
          </w:tcPr>
          <w:p w:rsidR="0062050C" w:rsidRPr="0062050C" w:rsidRDefault="0062050C" w:rsidP="00B044E4">
            <w:pPr>
              <w:spacing w:line="276" w:lineRule="auto"/>
              <w:jc w:val="center"/>
              <w:rPr>
                <w:sz w:val="24"/>
                <w:szCs w:val="24"/>
              </w:rPr>
            </w:pPr>
            <w:r w:rsidRPr="0062050C">
              <w:rPr>
                <w:sz w:val="24"/>
                <w:szCs w:val="24"/>
              </w:rPr>
              <w:t>0</w:t>
            </w:r>
          </w:p>
        </w:tc>
        <w:tc>
          <w:tcPr>
            <w:tcW w:w="900" w:type="dxa"/>
          </w:tcPr>
          <w:p w:rsidR="0062050C" w:rsidRPr="0062050C" w:rsidRDefault="0062050C" w:rsidP="00B044E4">
            <w:pPr>
              <w:spacing w:line="276" w:lineRule="auto"/>
              <w:jc w:val="center"/>
              <w:rPr>
                <w:sz w:val="24"/>
                <w:szCs w:val="24"/>
              </w:rPr>
            </w:pPr>
            <w:r w:rsidRPr="0062050C">
              <w:rPr>
                <w:sz w:val="24"/>
                <w:szCs w:val="24"/>
              </w:rPr>
              <w:t>0</w:t>
            </w:r>
          </w:p>
        </w:tc>
        <w:tc>
          <w:tcPr>
            <w:tcW w:w="737" w:type="dxa"/>
          </w:tcPr>
          <w:p w:rsidR="0062050C" w:rsidRPr="0062050C" w:rsidRDefault="0062050C" w:rsidP="00B044E4">
            <w:pPr>
              <w:spacing w:line="276" w:lineRule="auto"/>
              <w:jc w:val="center"/>
              <w:rPr>
                <w:sz w:val="24"/>
                <w:szCs w:val="24"/>
              </w:rPr>
            </w:pPr>
            <w:r w:rsidRPr="0062050C">
              <w:rPr>
                <w:sz w:val="24"/>
                <w:szCs w:val="24"/>
              </w:rPr>
              <w:t>-10,3</w:t>
            </w:r>
          </w:p>
        </w:tc>
      </w:tr>
    </w:tbl>
    <w:p w:rsidR="00137DC5" w:rsidRPr="007B7D69" w:rsidRDefault="007B7D69" w:rsidP="007B7D69">
      <w:pPr>
        <w:spacing w:before="240"/>
        <w:ind w:firstLine="709"/>
        <w:rPr>
          <w:rFonts w:eastAsia="Times New Roman"/>
          <w:szCs w:val="28"/>
          <w:lang w:eastAsia="ru-RU"/>
        </w:rPr>
      </w:pPr>
      <w:r w:rsidRPr="00230BFF">
        <w:rPr>
          <w:rFonts w:eastAsia="Times New Roman"/>
          <w:szCs w:val="28"/>
          <w:lang w:eastAsia="ru-RU"/>
        </w:rPr>
        <w:t>За результатами аналізу встановлено, що розподіл перших рейтингових місць в структурах смертності недоношених і доношених новонароджених в лікарняних стаціонарах закладів охорони здоров’я сфери управління МОЗ України відрізняються. Перші рейтингові місця в структурі смертності доношених новонароджених у 2018 р. займають уроджені аномалії, деформації та хромосомні порушення, внутрішньоматкова гіпоксія і асфіксія в родах та респіраторний дистрес синдром, а в структурі смертності недоношених новонароджених – розлади дихальної системи, що виникають у перинатальному періоді, внутрішньошлункові і субарахноїдальні крововиливи, та уроджені аномалії, деформації та хромосомні порушення.</w:t>
      </w:r>
    </w:p>
    <w:p w:rsidR="00E95EE3" w:rsidRPr="00D93F46" w:rsidRDefault="0062050C" w:rsidP="00D93F46">
      <w:pPr>
        <w:ind w:firstLine="720"/>
        <w:rPr>
          <w:rFonts w:eastAsia="Times New Roman"/>
          <w:color w:val="FF0000"/>
          <w:szCs w:val="28"/>
          <w:lang w:val="ru-RU" w:eastAsia="ru-RU"/>
        </w:rPr>
      </w:pPr>
      <w:r w:rsidRPr="0062050C">
        <w:rPr>
          <w:rFonts w:eastAsia="Times New Roman"/>
          <w:spacing w:val="2"/>
          <w:szCs w:val="28"/>
          <w:lang w:eastAsia="ru-RU"/>
        </w:rPr>
        <w:t>Протягом 2014-2018 рр.</w:t>
      </w:r>
      <w:r w:rsidRPr="0062050C">
        <w:rPr>
          <w:rFonts w:eastAsia="Times New Roman"/>
          <w:spacing w:val="2"/>
          <w:sz w:val="24"/>
          <w:szCs w:val="24"/>
          <w:lang w:eastAsia="ru-RU"/>
        </w:rPr>
        <w:t xml:space="preserve"> </w:t>
      </w:r>
      <w:r w:rsidRPr="0062050C">
        <w:rPr>
          <w:rFonts w:eastAsia="Times New Roman"/>
          <w:spacing w:val="2"/>
          <w:szCs w:val="28"/>
          <w:lang w:eastAsia="ru-RU"/>
        </w:rPr>
        <w:t>спостерігалось зростання загального</w:t>
      </w:r>
      <w:r w:rsidRPr="0062050C">
        <w:rPr>
          <w:rFonts w:eastAsia="Times New Roman"/>
          <w:spacing w:val="2"/>
          <w:sz w:val="24"/>
          <w:szCs w:val="24"/>
          <w:lang w:eastAsia="ru-RU"/>
        </w:rPr>
        <w:t xml:space="preserve"> </w:t>
      </w:r>
      <w:r w:rsidRPr="0062050C">
        <w:rPr>
          <w:rFonts w:eastAsia="Times New Roman"/>
          <w:spacing w:val="2"/>
          <w:szCs w:val="28"/>
          <w:lang w:eastAsia="ru-RU"/>
        </w:rPr>
        <w:t>рівня летальності новонароджених у лікарняних закладах МОЗ України у 15 областях, рівень летальності доношених новонароджених – 8 областях, недоношених новонароджених – 10 областях країни</w:t>
      </w:r>
      <w:r w:rsidR="00137DC5" w:rsidRPr="00B35F0E">
        <w:rPr>
          <w:rFonts w:eastAsia="Times New Roman"/>
          <w:spacing w:val="2"/>
          <w:szCs w:val="28"/>
          <w:lang w:val="ru-RU" w:eastAsia="ru-RU"/>
        </w:rPr>
        <w:t>.</w:t>
      </w:r>
      <w:r w:rsidRPr="00137DC5">
        <w:rPr>
          <w:rFonts w:eastAsia="Times New Roman"/>
          <w:color w:val="FF0000"/>
          <w:szCs w:val="28"/>
          <w:lang w:eastAsia="ru-RU"/>
        </w:rPr>
        <w:t xml:space="preserve"> </w:t>
      </w:r>
      <w:r w:rsidR="00E95EE3" w:rsidRPr="004E6F8C">
        <w:rPr>
          <w:rFonts w:eastAsia="Times New Roman"/>
          <w:spacing w:val="2"/>
          <w:szCs w:val="28"/>
          <w:lang w:val="ru-RU" w:eastAsia="ru-RU"/>
        </w:rPr>
        <w:t>П</w:t>
      </w:r>
      <w:r w:rsidR="00E95EE3" w:rsidRPr="004E6F8C">
        <w:rPr>
          <w:rFonts w:eastAsia="Times New Roman"/>
          <w:spacing w:val="2"/>
          <w:szCs w:val="28"/>
          <w:lang w:eastAsia="ru-RU"/>
        </w:rPr>
        <w:t xml:space="preserve">ри цьому у 2018 р. </w:t>
      </w:r>
      <w:proofErr w:type="gramStart"/>
      <w:r w:rsidR="00E95EE3" w:rsidRPr="004E6F8C">
        <w:rPr>
          <w:rFonts w:eastAsia="Times New Roman"/>
          <w:spacing w:val="2"/>
          <w:szCs w:val="28"/>
          <w:lang w:eastAsia="ru-RU"/>
        </w:rPr>
        <w:t>р</w:t>
      </w:r>
      <w:proofErr w:type="gramEnd"/>
      <w:r w:rsidR="00E95EE3" w:rsidRPr="004E6F8C">
        <w:rPr>
          <w:rFonts w:eastAsia="Times New Roman"/>
          <w:spacing w:val="2"/>
          <w:szCs w:val="28"/>
          <w:lang w:eastAsia="ru-RU"/>
        </w:rPr>
        <w:t xml:space="preserve">івень смертності перевищує загальноукраїнський у 15 регіонах України (2,33‰), у 12 областях рівень летальності доношених новонароджених вищий за аналогічний загальноукраїнський (0,62‰), у 13 регіонах показник смертності  недоношених новонароджених перевищує аналогічний по Україні (33,36‰), вищезазначеним показникам притаманна регіональна диференціація. </w:t>
      </w:r>
      <w:r w:rsidR="00E95EE3" w:rsidRPr="004E6F8C">
        <w:rPr>
          <w:rFonts w:eastAsia="Times New Roman"/>
          <w:szCs w:val="28"/>
          <w:lang w:eastAsia="ru-RU"/>
        </w:rPr>
        <w:t xml:space="preserve">Медіанне значення загального рівня смертності новонароджених </w:t>
      </w:r>
      <w:r w:rsidR="007456D4">
        <w:rPr>
          <w:rFonts w:eastAsia="Times New Roman"/>
          <w:szCs w:val="28"/>
          <w:lang w:eastAsia="ru-RU"/>
        </w:rPr>
        <w:t>зросло</w:t>
      </w:r>
      <w:r w:rsidR="00E95EE3" w:rsidRPr="004E6F8C">
        <w:rPr>
          <w:rFonts w:eastAsia="Times New Roman"/>
          <w:szCs w:val="28"/>
          <w:lang w:eastAsia="ru-RU"/>
        </w:rPr>
        <w:t xml:space="preserve"> (Ме=2,56 та Ме=2,</w:t>
      </w:r>
      <w:r w:rsidR="007456D4">
        <w:rPr>
          <w:rFonts w:eastAsia="Times New Roman"/>
          <w:szCs w:val="28"/>
          <w:lang w:eastAsia="ru-RU"/>
        </w:rPr>
        <w:t>62), при цьому, слід відмітити</w:t>
      </w:r>
      <w:r w:rsidR="00F7191E">
        <w:rPr>
          <w:rFonts w:eastAsia="Times New Roman"/>
          <w:szCs w:val="28"/>
          <w:lang w:eastAsia="ru-RU"/>
        </w:rPr>
        <w:t xml:space="preserve"> зменшення міжквартильного</w:t>
      </w:r>
      <w:r w:rsidR="00E95EE3" w:rsidRPr="004E6F8C">
        <w:rPr>
          <w:rFonts w:eastAsia="Times New Roman"/>
          <w:szCs w:val="28"/>
          <w:lang w:eastAsia="ru-RU"/>
        </w:rPr>
        <w:t xml:space="preserve"> розмах</w:t>
      </w:r>
      <w:r w:rsidR="00F7191E">
        <w:rPr>
          <w:rFonts w:eastAsia="Times New Roman"/>
          <w:szCs w:val="28"/>
          <w:lang w:eastAsia="ru-RU"/>
        </w:rPr>
        <w:t>у</w:t>
      </w:r>
      <w:r w:rsidR="00E95EE3" w:rsidRPr="004E6F8C">
        <w:rPr>
          <w:rFonts w:eastAsia="Times New Roman"/>
          <w:szCs w:val="28"/>
          <w:lang w:eastAsia="ru-RU"/>
        </w:rPr>
        <w:t xml:space="preserve"> (Q</w:t>
      </w:r>
      <w:r w:rsidR="00E95EE3" w:rsidRPr="004E6F8C">
        <w:rPr>
          <w:rFonts w:eastAsia="Times New Roman"/>
          <w:szCs w:val="28"/>
          <w:vertAlign w:val="subscript"/>
          <w:lang w:eastAsia="ru-RU"/>
        </w:rPr>
        <w:t>1</w:t>
      </w:r>
      <w:r w:rsidR="00E95EE3" w:rsidRPr="004E6F8C">
        <w:rPr>
          <w:rFonts w:eastAsia="Times New Roman"/>
          <w:szCs w:val="28"/>
          <w:lang w:eastAsia="ru-RU"/>
        </w:rPr>
        <w:t>-Q</w:t>
      </w:r>
      <w:r w:rsidR="00E95EE3" w:rsidRPr="004E6F8C">
        <w:rPr>
          <w:rFonts w:eastAsia="Times New Roman"/>
          <w:szCs w:val="28"/>
          <w:vertAlign w:val="subscript"/>
          <w:lang w:eastAsia="ru-RU"/>
        </w:rPr>
        <w:t>3</w:t>
      </w:r>
      <w:r w:rsidR="00F7191E">
        <w:rPr>
          <w:rFonts w:eastAsia="Times New Roman"/>
          <w:szCs w:val="28"/>
          <w:lang w:eastAsia="ru-RU"/>
        </w:rPr>
        <w:t>) даного показника</w:t>
      </w:r>
      <w:r w:rsidR="00E95EE3" w:rsidRPr="004E6F8C">
        <w:rPr>
          <w:rFonts w:eastAsia="Times New Roman"/>
          <w:szCs w:val="28"/>
          <w:lang w:eastAsia="ru-RU"/>
        </w:rPr>
        <w:t>, при помірній варіації, оскільки С</w:t>
      </w:r>
      <w:r w:rsidR="00E95EE3" w:rsidRPr="004E6F8C">
        <w:rPr>
          <w:rFonts w:eastAsia="Times New Roman"/>
          <w:szCs w:val="28"/>
          <w:lang w:val="en-US" w:eastAsia="ru-RU"/>
        </w:rPr>
        <w:t>v</w:t>
      </w:r>
      <w:r w:rsidR="00E95EE3" w:rsidRPr="004E6F8C">
        <w:rPr>
          <w:rFonts w:eastAsia="Times New Roman"/>
          <w:szCs w:val="28"/>
          <w:lang w:eastAsia="ru-RU"/>
        </w:rPr>
        <w:t>&gt;30%, але С</w:t>
      </w:r>
      <w:r w:rsidR="00E95EE3" w:rsidRPr="004E6F8C">
        <w:rPr>
          <w:rFonts w:eastAsia="Times New Roman"/>
          <w:szCs w:val="28"/>
          <w:lang w:val="en-US" w:eastAsia="ru-RU"/>
        </w:rPr>
        <w:t>v</w:t>
      </w:r>
      <w:r w:rsidR="00E95EE3" w:rsidRPr="004E6F8C">
        <w:rPr>
          <w:rFonts w:eastAsia="Times New Roman"/>
          <w:szCs w:val="28"/>
          <w:lang w:eastAsia="ru-RU"/>
        </w:rPr>
        <w:t>&lt;70% (</w:t>
      </w:r>
      <w:r w:rsidR="00E95EE3">
        <w:rPr>
          <w:rFonts w:eastAsia="Times New Roman"/>
          <w:szCs w:val="28"/>
          <w:lang w:eastAsia="ru-RU"/>
        </w:rPr>
        <w:t>табл.</w:t>
      </w:r>
      <w:r w:rsidR="00E95EE3" w:rsidRPr="004E6F8C">
        <w:rPr>
          <w:rFonts w:eastAsia="Times New Roman"/>
          <w:szCs w:val="28"/>
          <w:lang w:eastAsia="ru-RU"/>
        </w:rPr>
        <w:t xml:space="preserve"> 3.11). </w:t>
      </w:r>
    </w:p>
    <w:p w:rsidR="00F7191E" w:rsidRDefault="00F7191E" w:rsidP="0062050C">
      <w:pPr>
        <w:ind w:firstLine="720"/>
        <w:jc w:val="right"/>
        <w:rPr>
          <w:rFonts w:eastAsia="Times New Roman"/>
          <w:i/>
          <w:szCs w:val="28"/>
          <w:lang w:eastAsia="ru-RU"/>
        </w:rPr>
      </w:pPr>
    </w:p>
    <w:p w:rsidR="0062050C" w:rsidRPr="00D93F46" w:rsidRDefault="006778F9" w:rsidP="0062050C">
      <w:pPr>
        <w:ind w:firstLine="720"/>
        <w:jc w:val="right"/>
        <w:rPr>
          <w:rFonts w:eastAsia="Times New Roman"/>
          <w:i/>
          <w:szCs w:val="28"/>
          <w:lang w:eastAsia="ru-RU"/>
        </w:rPr>
      </w:pPr>
      <w:r w:rsidRPr="00D93F46">
        <w:rPr>
          <w:rFonts w:eastAsia="Times New Roman"/>
          <w:i/>
          <w:szCs w:val="28"/>
          <w:lang w:eastAsia="ru-RU"/>
        </w:rPr>
        <w:lastRenderedPageBreak/>
        <w:t>Таблиця 3.11</w:t>
      </w:r>
    </w:p>
    <w:p w:rsidR="0062050C" w:rsidRPr="0062050C" w:rsidRDefault="0062050C" w:rsidP="007B7D69">
      <w:pPr>
        <w:jc w:val="center"/>
        <w:rPr>
          <w:rFonts w:eastAsia="Times New Roman"/>
          <w:b/>
          <w:szCs w:val="28"/>
          <w:lang w:eastAsia="ru-RU"/>
        </w:rPr>
      </w:pPr>
      <w:r w:rsidRPr="0062050C">
        <w:rPr>
          <w:rFonts w:eastAsia="Times New Roman"/>
          <w:b/>
          <w:szCs w:val="28"/>
          <w:lang w:eastAsia="ru-RU"/>
        </w:rPr>
        <w:t xml:space="preserve">Динаміка рівня смертності новонароджених в лікарняних стаціонарах за регіонами України (2014,2018рр. на 1 тис. народжених живими, </w:t>
      </w:r>
      <w:r w:rsidRPr="0062050C">
        <w:rPr>
          <w:rFonts w:ascii="Calibri" w:eastAsia="Times New Roman" w:hAnsi="Calibri" w:cs="Calibri"/>
          <w:b/>
          <w:szCs w:val="28"/>
          <w:lang w:eastAsia="ru-RU"/>
        </w:rPr>
        <w:t>‰</w:t>
      </w:r>
      <w:r w:rsidRPr="0062050C">
        <w:rPr>
          <w:rFonts w:eastAsia="Times New Roman"/>
          <w:b/>
          <w:szCs w:val="28"/>
          <w:lang w:eastAsia="ru-RU"/>
        </w:rPr>
        <w:t>)</w:t>
      </w:r>
    </w:p>
    <w:tbl>
      <w:tblPr>
        <w:tblW w:w="10258" w:type="dxa"/>
        <w:jc w:val="center"/>
        <w:tblInd w:w="1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2"/>
        <w:gridCol w:w="876"/>
        <w:gridCol w:w="756"/>
        <w:gridCol w:w="1116"/>
        <w:gridCol w:w="756"/>
        <w:gridCol w:w="756"/>
        <w:gridCol w:w="1116"/>
        <w:gridCol w:w="756"/>
        <w:gridCol w:w="756"/>
        <w:gridCol w:w="1108"/>
      </w:tblGrid>
      <w:tr w:rsidR="0062050C" w:rsidRPr="0062050C" w:rsidTr="00A57A57">
        <w:trPr>
          <w:trHeight w:val="581"/>
          <w:jc w:val="center"/>
        </w:trPr>
        <w:tc>
          <w:tcPr>
            <w:tcW w:w="2262" w:type="dxa"/>
            <w:shd w:val="clear" w:color="auto" w:fill="auto"/>
            <w:vAlign w:val="center"/>
            <w:hideMark/>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Область</w:t>
            </w:r>
          </w:p>
        </w:tc>
        <w:tc>
          <w:tcPr>
            <w:tcW w:w="0" w:type="auto"/>
            <w:gridSpan w:val="3"/>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Всього</w:t>
            </w:r>
          </w:p>
        </w:tc>
        <w:tc>
          <w:tcPr>
            <w:tcW w:w="0" w:type="auto"/>
            <w:gridSpan w:val="3"/>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Доношенi</w:t>
            </w:r>
          </w:p>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новонароджені</w:t>
            </w:r>
          </w:p>
        </w:tc>
        <w:tc>
          <w:tcPr>
            <w:tcW w:w="2620" w:type="dxa"/>
            <w:gridSpan w:val="3"/>
            <w:shd w:val="clear" w:color="auto" w:fill="auto"/>
            <w:vAlign w:val="center"/>
            <w:hideMark/>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Недоношенi</w:t>
            </w:r>
          </w:p>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новонароджені</w:t>
            </w:r>
          </w:p>
        </w:tc>
      </w:tr>
      <w:tr w:rsidR="0062050C" w:rsidRPr="0062050C" w:rsidTr="00A57A57">
        <w:trPr>
          <w:trHeight w:val="225"/>
          <w:jc w:val="center"/>
        </w:trPr>
        <w:tc>
          <w:tcPr>
            <w:tcW w:w="2262" w:type="dxa"/>
            <w:shd w:val="clear" w:color="auto" w:fill="auto"/>
            <w:vAlign w:val="center"/>
            <w:hideMark/>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Рік</w:t>
            </w:r>
          </w:p>
        </w:tc>
        <w:tc>
          <w:tcPr>
            <w:tcW w:w="0" w:type="auto"/>
            <w:shd w:val="clear" w:color="auto" w:fill="auto"/>
            <w:vAlign w:val="center"/>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2014</w:t>
            </w:r>
          </w:p>
        </w:tc>
        <w:tc>
          <w:tcPr>
            <w:tcW w:w="0" w:type="auto"/>
            <w:vAlign w:val="center"/>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2018</w:t>
            </w:r>
          </w:p>
        </w:tc>
        <w:tc>
          <w:tcPr>
            <w:tcW w:w="0" w:type="auto"/>
            <w:shd w:val="clear" w:color="auto" w:fill="auto"/>
            <w:vAlign w:val="center"/>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2018/</w:t>
            </w:r>
          </w:p>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2014 (%)</w:t>
            </w:r>
          </w:p>
        </w:tc>
        <w:tc>
          <w:tcPr>
            <w:tcW w:w="0" w:type="auto"/>
            <w:shd w:val="clear" w:color="auto" w:fill="auto"/>
            <w:vAlign w:val="center"/>
            <w:hideMark/>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2014</w:t>
            </w:r>
          </w:p>
        </w:tc>
        <w:tc>
          <w:tcPr>
            <w:tcW w:w="0" w:type="auto"/>
            <w:vAlign w:val="center"/>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2018</w:t>
            </w:r>
          </w:p>
        </w:tc>
        <w:tc>
          <w:tcPr>
            <w:tcW w:w="0" w:type="auto"/>
            <w:shd w:val="clear" w:color="auto" w:fill="auto"/>
            <w:vAlign w:val="center"/>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2018/</w:t>
            </w:r>
          </w:p>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2014 (%)</w:t>
            </w:r>
          </w:p>
        </w:tc>
        <w:tc>
          <w:tcPr>
            <w:tcW w:w="0" w:type="auto"/>
            <w:shd w:val="clear" w:color="auto" w:fill="auto"/>
            <w:vAlign w:val="center"/>
            <w:hideMark/>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2014</w:t>
            </w:r>
          </w:p>
        </w:tc>
        <w:tc>
          <w:tcPr>
            <w:tcW w:w="0" w:type="auto"/>
            <w:shd w:val="clear" w:color="auto" w:fill="auto"/>
            <w:vAlign w:val="center"/>
            <w:hideMark/>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2018</w:t>
            </w:r>
          </w:p>
        </w:tc>
        <w:tc>
          <w:tcPr>
            <w:tcW w:w="1108" w:type="dxa"/>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2018/</w:t>
            </w:r>
          </w:p>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2014 (%)</w:t>
            </w:r>
          </w:p>
        </w:tc>
      </w:tr>
      <w:tr w:rsidR="0062050C" w:rsidRPr="0062050C" w:rsidTr="00A57A57">
        <w:trPr>
          <w:trHeight w:val="225"/>
          <w:jc w:val="center"/>
        </w:trPr>
        <w:tc>
          <w:tcPr>
            <w:tcW w:w="2262" w:type="dxa"/>
            <w:shd w:val="clear" w:color="auto" w:fill="auto"/>
            <w:noWrap/>
            <w:hideMark/>
          </w:tcPr>
          <w:p w:rsidR="0062050C" w:rsidRPr="0062050C" w:rsidRDefault="0062050C" w:rsidP="00350173">
            <w:pPr>
              <w:spacing w:line="276" w:lineRule="auto"/>
              <w:jc w:val="left"/>
              <w:rPr>
                <w:rFonts w:eastAsia="Times New Roman"/>
                <w:bCs/>
                <w:sz w:val="24"/>
                <w:szCs w:val="24"/>
                <w:lang w:eastAsia="ru-RU"/>
              </w:rPr>
            </w:pPr>
            <w:r w:rsidRPr="0062050C">
              <w:rPr>
                <w:rFonts w:eastAsia="Times New Roman"/>
                <w:bCs/>
                <w:sz w:val="24"/>
                <w:szCs w:val="24"/>
                <w:lang w:eastAsia="ru-RU"/>
              </w:rPr>
              <w:t> Україна</w:t>
            </w:r>
          </w:p>
        </w:tc>
        <w:tc>
          <w:tcPr>
            <w:tcW w:w="0" w:type="auto"/>
            <w:shd w:val="clear" w:color="auto" w:fill="auto"/>
            <w:noWrap/>
          </w:tcPr>
          <w:p w:rsidR="0062050C" w:rsidRPr="0062050C" w:rsidRDefault="0062050C" w:rsidP="00350173">
            <w:pPr>
              <w:spacing w:line="276" w:lineRule="auto"/>
              <w:jc w:val="right"/>
              <w:rPr>
                <w:rFonts w:eastAsia="Times New Roman"/>
                <w:bCs/>
                <w:sz w:val="24"/>
                <w:szCs w:val="24"/>
                <w:lang w:eastAsia="ru-RU"/>
              </w:rPr>
            </w:pPr>
            <w:r w:rsidRPr="0062050C">
              <w:rPr>
                <w:rFonts w:eastAsia="Times New Roman"/>
                <w:bCs/>
                <w:sz w:val="24"/>
                <w:szCs w:val="24"/>
                <w:lang w:eastAsia="ru-RU"/>
              </w:rPr>
              <w:t>2,27</w:t>
            </w:r>
          </w:p>
        </w:tc>
        <w:tc>
          <w:tcPr>
            <w:tcW w:w="0" w:type="auto"/>
          </w:tcPr>
          <w:p w:rsidR="0062050C" w:rsidRPr="0062050C" w:rsidRDefault="0062050C" w:rsidP="00350173">
            <w:pPr>
              <w:spacing w:line="276" w:lineRule="auto"/>
              <w:jc w:val="right"/>
              <w:rPr>
                <w:rFonts w:eastAsia="Times New Roman"/>
                <w:bCs/>
                <w:sz w:val="24"/>
                <w:szCs w:val="24"/>
                <w:lang w:eastAsia="ru-RU"/>
              </w:rPr>
            </w:pPr>
            <w:r w:rsidRPr="0062050C">
              <w:rPr>
                <w:rFonts w:eastAsia="Times New Roman"/>
                <w:bCs/>
                <w:sz w:val="24"/>
                <w:szCs w:val="24"/>
                <w:lang w:eastAsia="ru-RU"/>
              </w:rPr>
              <w:t>2,33</w:t>
            </w:r>
          </w:p>
        </w:tc>
        <w:tc>
          <w:tcPr>
            <w:tcW w:w="0" w:type="auto"/>
            <w:shd w:val="clear" w:color="auto" w:fill="auto"/>
            <w:noWrap/>
            <w:vAlign w:val="center"/>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w:t>
            </w:r>
          </w:p>
        </w:tc>
        <w:tc>
          <w:tcPr>
            <w:tcW w:w="0" w:type="auto"/>
            <w:shd w:val="clear" w:color="auto" w:fill="auto"/>
            <w:noWrap/>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0,74</w:t>
            </w:r>
          </w:p>
        </w:tc>
        <w:tc>
          <w:tcPr>
            <w:tcW w:w="0" w:type="auto"/>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0,62</w:t>
            </w:r>
          </w:p>
        </w:tc>
        <w:tc>
          <w:tcPr>
            <w:tcW w:w="0" w:type="auto"/>
            <w:shd w:val="clear" w:color="auto" w:fill="auto"/>
            <w:noWrap/>
            <w:vAlign w:val="center"/>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83,78</w:t>
            </w:r>
          </w:p>
        </w:tc>
        <w:tc>
          <w:tcPr>
            <w:tcW w:w="0" w:type="auto"/>
            <w:shd w:val="clear" w:color="auto" w:fill="auto"/>
            <w:noWrap/>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33,41</w:t>
            </w:r>
          </w:p>
        </w:tc>
        <w:tc>
          <w:tcPr>
            <w:tcW w:w="0" w:type="auto"/>
            <w:shd w:val="clear" w:color="auto" w:fill="auto"/>
            <w:noWrap/>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33,36</w:t>
            </w:r>
          </w:p>
        </w:tc>
        <w:tc>
          <w:tcPr>
            <w:tcW w:w="1108" w:type="dxa"/>
            <w:vAlign w:val="center"/>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99,85</w:t>
            </w:r>
          </w:p>
        </w:tc>
      </w:tr>
      <w:tr w:rsidR="0062050C" w:rsidRPr="0062050C" w:rsidTr="00A57A57">
        <w:trPr>
          <w:trHeight w:val="225"/>
          <w:jc w:val="center"/>
        </w:trPr>
        <w:tc>
          <w:tcPr>
            <w:tcW w:w="2262" w:type="dxa"/>
            <w:shd w:val="clear" w:color="auto" w:fill="auto"/>
            <w:noWrap/>
          </w:tcPr>
          <w:p w:rsidR="0062050C" w:rsidRPr="0062050C" w:rsidRDefault="006D38D3" w:rsidP="00350173">
            <w:pPr>
              <w:tabs>
                <w:tab w:val="left" w:pos="993"/>
              </w:tabs>
              <w:spacing w:line="276" w:lineRule="auto"/>
              <w:jc w:val="left"/>
              <w:rPr>
                <w:rFonts w:eastAsia="Calibri"/>
                <w:bCs/>
                <w:sz w:val="24"/>
                <w:szCs w:val="24"/>
                <w:lang w:val="ru-RU"/>
              </w:rPr>
            </w:pPr>
            <w:r>
              <w:rPr>
                <w:rFonts w:eastAsia="Calibri"/>
                <w:bCs/>
                <w:sz w:val="24"/>
                <w:szCs w:val="24"/>
                <w:lang w:val="en-US"/>
              </w:rPr>
              <w:t xml:space="preserve"> </w:t>
            </w:r>
            <w:r w:rsidR="0062050C" w:rsidRPr="0062050C">
              <w:rPr>
                <w:rFonts w:eastAsia="Calibri"/>
                <w:bCs/>
                <w:sz w:val="24"/>
                <w:szCs w:val="24"/>
                <w:lang w:val="ru-RU"/>
              </w:rPr>
              <w:t>Ме</w:t>
            </w:r>
          </w:p>
        </w:tc>
        <w:tc>
          <w:tcPr>
            <w:tcW w:w="0" w:type="auto"/>
            <w:shd w:val="clear" w:color="auto" w:fill="auto"/>
            <w:noWrap/>
          </w:tcPr>
          <w:p w:rsidR="0062050C" w:rsidRPr="0062050C" w:rsidRDefault="0062050C" w:rsidP="00350173">
            <w:pPr>
              <w:spacing w:line="276" w:lineRule="auto"/>
              <w:jc w:val="right"/>
              <w:rPr>
                <w:rFonts w:eastAsia="Times New Roman"/>
                <w:bCs/>
                <w:sz w:val="24"/>
                <w:szCs w:val="24"/>
                <w:lang w:eastAsia="ru-RU"/>
              </w:rPr>
            </w:pPr>
            <w:r w:rsidRPr="0062050C">
              <w:rPr>
                <w:rFonts w:eastAsia="Times New Roman"/>
                <w:bCs/>
                <w:sz w:val="24"/>
                <w:szCs w:val="24"/>
                <w:lang w:eastAsia="ru-RU"/>
              </w:rPr>
              <w:t>2,56</w:t>
            </w:r>
          </w:p>
        </w:tc>
        <w:tc>
          <w:tcPr>
            <w:tcW w:w="0" w:type="auto"/>
          </w:tcPr>
          <w:p w:rsidR="0062050C" w:rsidRPr="0062050C" w:rsidRDefault="0062050C" w:rsidP="00350173">
            <w:pPr>
              <w:spacing w:line="276" w:lineRule="auto"/>
              <w:jc w:val="right"/>
              <w:rPr>
                <w:rFonts w:eastAsia="Times New Roman"/>
                <w:bCs/>
                <w:sz w:val="24"/>
                <w:szCs w:val="24"/>
                <w:lang w:eastAsia="ru-RU"/>
              </w:rPr>
            </w:pPr>
            <w:r w:rsidRPr="0062050C">
              <w:rPr>
                <w:rFonts w:eastAsia="Times New Roman"/>
                <w:bCs/>
                <w:sz w:val="24"/>
                <w:szCs w:val="24"/>
                <w:lang w:eastAsia="ru-RU"/>
              </w:rPr>
              <w:t>2,62</w:t>
            </w:r>
          </w:p>
        </w:tc>
        <w:tc>
          <w:tcPr>
            <w:tcW w:w="0" w:type="auto"/>
            <w:shd w:val="clear" w:color="auto" w:fill="auto"/>
            <w:noWrap/>
            <w:vAlign w:val="center"/>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w:t>
            </w:r>
          </w:p>
        </w:tc>
        <w:tc>
          <w:tcPr>
            <w:tcW w:w="0" w:type="auto"/>
            <w:shd w:val="clear" w:color="auto" w:fill="auto"/>
            <w:noWrap/>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0,72</w:t>
            </w:r>
          </w:p>
        </w:tc>
        <w:tc>
          <w:tcPr>
            <w:tcW w:w="0" w:type="auto"/>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0,59</w:t>
            </w:r>
          </w:p>
        </w:tc>
        <w:tc>
          <w:tcPr>
            <w:tcW w:w="0" w:type="auto"/>
            <w:shd w:val="clear" w:color="auto" w:fill="auto"/>
            <w:noWrap/>
            <w:vAlign w:val="center"/>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w:t>
            </w:r>
          </w:p>
        </w:tc>
        <w:tc>
          <w:tcPr>
            <w:tcW w:w="0" w:type="auto"/>
            <w:shd w:val="clear" w:color="auto" w:fill="auto"/>
            <w:noWrap/>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38,68</w:t>
            </w:r>
          </w:p>
        </w:tc>
        <w:tc>
          <w:tcPr>
            <w:tcW w:w="0" w:type="auto"/>
            <w:shd w:val="clear" w:color="auto" w:fill="auto"/>
            <w:noWrap/>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35,23</w:t>
            </w:r>
          </w:p>
        </w:tc>
        <w:tc>
          <w:tcPr>
            <w:tcW w:w="1108" w:type="dxa"/>
            <w:vAlign w:val="center"/>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w:t>
            </w:r>
          </w:p>
        </w:tc>
      </w:tr>
      <w:tr w:rsidR="0062050C" w:rsidRPr="0062050C" w:rsidTr="00A57A57">
        <w:trPr>
          <w:trHeight w:val="225"/>
          <w:jc w:val="center"/>
        </w:trPr>
        <w:tc>
          <w:tcPr>
            <w:tcW w:w="2262" w:type="dxa"/>
            <w:shd w:val="clear" w:color="auto" w:fill="auto"/>
            <w:noWrap/>
          </w:tcPr>
          <w:p w:rsidR="0062050C" w:rsidRPr="0062050C" w:rsidRDefault="006D38D3" w:rsidP="00350173">
            <w:pPr>
              <w:tabs>
                <w:tab w:val="left" w:pos="993"/>
              </w:tabs>
              <w:spacing w:line="276" w:lineRule="auto"/>
              <w:jc w:val="left"/>
              <w:rPr>
                <w:rFonts w:eastAsia="Calibri"/>
                <w:bCs/>
                <w:sz w:val="24"/>
                <w:szCs w:val="24"/>
                <w:vertAlign w:val="subscript"/>
                <w:lang w:val="en-US"/>
              </w:rPr>
            </w:pPr>
            <w:r>
              <w:rPr>
                <w:rFonts w:eastAsia="Calibri"/>
                <w:bCs/>
                <w:sz w:val="24"/>
                <w:szCs w:val="24"/>
                <w:lang w:val="en-US"/>
              </w:rPr>
              <w:t xml:space="preserve"> </w:t>
            </w:r>
            <w:r w:rsidR="0062050C" w:rsidRPr="0062050C">
              <w:rPr>
                <w:rFonts w:eastAsia="Calibri"/>
                <w:bCs/>
                <w:sz w:val="24"/>
                <w:szCs w:val="24"/>
                <w:lang w:val="en-US"/>
              </w:rPr>
              <w:t>Q</w:t>
            </w:r>
            <w:r w:rsidR="0062050C" w:rsidRPr="0062050C">
              <w:rPr>
                <w:rFonts w:eastAsia="Calibri"/>
                <w:bCs/>
                <w:sz w:val="24"/>
                <w:szCs w:val="24"/>
                <w:vertAlign w:val="subscript"/>
                <w:lang w:val="en-US"/>
              </w:rPr>
              <w:t>1</w:t>
            </w:r>
          </w:p>
        </w:tc>
        <w:tc>
          <w:tcPr>
            <w:tcW w:w="0" w:type="auto"/>
            <w:shd w:val="clear" w:color="auto" w:fill="auto"/>
            <w:noWrap/>
          </w:tcPr>
          <w:p w:rsidR="0062050C" w:rsidRPr="0062050C" w:rsidRDefault="0062050C" w:rsidP="00350173">
            <w:pPr>
              <w:spacing w:line="276" w:lineRule="auto"/>
              <w:jc w:val="right"/>
              <w:rPr>
                <w:rFonts w:eastAsia="Times New Roman"/>
                <w:bCs/>
                <w:sz w:val="24"/>
                <w:szCs w:val="24"/>
                <w:lang w:eastAsia="ru-RU"/>
              </w:rPr>
            </w:pPr>
            <w:r w:rsidRPr="0062050C">
              <w:rPr>
                <w:rFonts w:eastAsia="Times New Roman"/>
                <w:bCs/>
                <w:sz w:val="24"/>
                <w:szCs w:val="24"/>
                <w:lang w:eastAsia="ru-RU"/>
              </w:rPr>
              <w:t>1,20</w:t>
            </w:r>
          </w:p>
        </w:tc>
        <w:tc>
          <w:tcPr>
            <w:tcW w:w="0" w:type="auto"/>
          </w:tcPr>
          <w:p w:rsidR="0062050C" w:rsidRPr="0062050C" w:rsidRDefault="0062050C" w:rsidP="00350173">
            <w:pPr>
              <w:spacing w:line="276" w:lineRule="auto"/>
              <w:jc w:val="right"/>
              <w:rPr>
                <w:rFonts w:eastAsia="Times New Roman"/>
                <w:bCs/>
                <w:sz w:val="24"/>
                <w:szCs w:val="24"/>
                <w:lang w:eastAsia="ru-RU"/>
              </w:rPr>
            </w:pPr>
            <w:r w:rsidRPr="0062050C">
              <w:rPr>
                <w:rFonts w:eastAsia="Times New Roman"/>
                <w:bCs/>
                <w:sz w:val="24"/>
                <w:szCs w:val="24"/>
                <w:lang w:eastAsia="ru-RU"/>
              </w:rPr>
              <w:t>1,21</w:t>
            </w:r>
          </w:p>
        </w:tc>
        <w:tc>
          <w:tcPr>
            <w:tcW w:w="0" w:type="auto"/>
            <w:shd w:val="clear" w:color="auto" w:fill="auto"/>
            <w:noWrap/>
            <w:vAlign w:val="center"/>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w:t>
            </w:r>
          </w:p>
        </w:tc>
        <w:tc>
          <w:tcPr>
            <w:tcW w:w="0" w:type="auto"/>
            <w:shd w:val="clear" w:color="auto" w:fill="auto"/>
            <w:noWrap/>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0,51</w:t>
            </w:r>
          </w:p>
        </w:tc>
        <w:tc>
          <w:tcPr>
            <w:tcW w:w="0" w:type="auto"/>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0,33</w:t>
            </w:r>
          </w:p>
        </w:tc>
        <w:tc>
          <w:tcPr>
            <w:tcW w:w="0" w:type="auto"/>
            <w:shd w:val="clear" w:color="auto" w:fill="auto"/>
            <w:noWrap/>
            <w:vAlign w:val="center"/>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w:t>
            </w:r>
          </w:p>
        </w:tc>
        <w:tc>
          <w:tcPr>
            <w:tcW w:w="0" w:type="auto"/>
            <w:shd w:val="clear" w:color="auto" w:fill="auto"/>
            <w:noWrap/>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15,54</w:t>
            </w:r>
          </w:p>
        </w:tc>
        <w:tc>
          <w:tcPr>
            <w:tcW w:w="0" w:type="auto"/>
            <w:shd w:val="clear" w:color="auto" w:fill="auto"/>
            <w:noWrap/>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val="en-US" w:eastAsia="ru-RU"/>
              </w:rPr>
              <w:t>16.55</w:t>
            </w:r>
          </w:p>
        </w:tc>
        <w:tc>
          <w:tcPr>
            <w:tcW w:w="1108" w:type="dxa"/>
            <w:vAlign w:val="center"/>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w:t>
            </w:r>
          </w:p>
        </w:tc>
      </w:tr>
      <w:tr w:rsidR="0062050C" w:rsidRPr="0062050C" w:rsidTr="00A57A57">
        <w:trPr>
          <w:trHeight w:val="225"/>
          <w:jc w:val="center"/>
        </w:trPr>
        <w:tc>
          <w:tcPr>
            <w:tcW w:w="2262" w:type="dxa"/>
            <w:shd w:val="clear" w:color="auto" w:fill="auto"/>
            <w:noWrap/>
          </w:tcPr>
          <w:p w:rsidR="0062050C" w:rsidRPr="0062050C" w:rsidRDefault="006D38D3" w:rsidP="00350173">
            <w:pPr>
              <w:tabs>
                <w:tab w:val="left" w:pos="993"/>
              </w:tabs>
              <w:spacing w:line="276" w:lineRule="auto"/>
              <w:jc w:val="left"/>
              <w:rPr>
                <w:rFonts w:eastAsia="Calibri"/>
                <w:bCs/>
                <w:sz w:val="24"/>
                <w:szCs w:val="24"/>
                <w:vertAlign w:val="subscript"/>
                <w:lang w:val="en-US"/>
              </w:rPr>
            </w:pPr>
            <w:r>
              <w:rPr>
                <w:rFonts w:eastAsia="Calibri"/>
                <w:bCs/>
                <w:sz w:val="24"/>
                <w:szCs w:val="24"/>
                <w:lang w:val="en-US"/>
              </w:rPr>
              <w:t xml:space="preserve"> </w:t>
            </w:r>
            <w:r w:rsidR="0062050C" w:rsidRPr="0062050C">
              <w:rPr>
                <w:rFonts w:eastAsia="Calibri"/>
                <w:bCs/>
                <w:sz w:val="24"/>
                <w:szCs w:val="24"/>
                <w:lang w:val="en-US"/>
              </w:rPr>
              <w:t>Q</w:t>
            </w:r>
            <w:r w:rsidR="0062050C" w:rsidRPr="0062050C">
              <w:rPr>
                <w:rFonts w:eastAsia="Calibri"/>
                <w:bCs/>
                <w:sz w:val="24"/>
                <w:szCs w:val="24"/>
                <w:vertAlign w:val="subscript"/>
                <w:lang w:val="en-US"/>
              </w:rPr>
              <w:t>3</w:t>
            </w:r>
          </w:p>
        </w:tc>
        <w:tc>
          <w:tcPr>
            <w:tcW w:w="0" w:type="auto"/>
            <w:shd w:val="clear" w:color="auto" w:fill="auto"/>
            <w:noWrap/>
          </w:tcPr>
          <w:p w:rsidR="0062050C" w:rsidRPr="0062050C" w:rsidRDefault="0062050C" w:rsidP="00350173">
            <w:pPr>
              <w:spacing w:line="276" w:lineRule="auto"/>
              <w:jc w:val="right"/>
              <w:rPr>
                <w:rFonts w:eastAsia="Times New Roman"/>
                <w:bCs/>
                <w:sz w:val="24"/>
                <w:szCs w:val="24"/>
                <w:lang w:eastAsia="ru-RU"/>
              </w:rPr>
            </w:pPr>
            <w:r w:rsidRPr="0062050C">
              <w:rPr>
                <w:rFonts w:eastAsia="Times New Roman"/>
                <w:bCs/>
                <w:sz w:val="24"/>
                <w:szCs w:val="24"/>
                <w:lang w:eastAsia="ru-RU"/>
              </w:rPr>
              <w:t>3.13</w:t>
            </w:r>
          </w:p>
        </w:tc>
        <w:tc>
          <w:tcPr>
            <w:tcW w:w="0" w:type="auto"/>
          </w:tcPr>
          <w:p w:rsidR="0062050C" w:rsidRPr="0062050C" w:rsidRDefault="0062050C" w:rsidP="00350173">
            <w:pPr>
              <w:spacing w:line="276" w:lineRule="auto"/>
              <w:jc w:val="right"/>
              <w:rPr>
                <w:rFonts w:eastAsia="Times New Roman"/>
                <w:bCs/>
                <w:sz w:val="24"/>
                <w:szCs w:val="24"/>
                <w:lang w:eastAsia="ru-RU"/>
              </w:rPr>
            </w:pPr>
            <w:r w:rsidRPr="0062050C">
              <w:rPr>
                <w:rFonts w:eastAsia="Times New Roman"/>
                <w:bCs/>
                <w:sz w:val="24"/>
                <w:szCs w:val="24"/>
                <w:lang w:eastAsia="ru-RU"/>
              </w:rPr>
              <w:t>3,12</w:t>
            </w:r>
          </w:p>
        </w:tc>
        <w:tc>
          <w:tcPr>
            <w:tcW w:w="0" w:type="auto"/>
            <w:shd w:val="clear" w:color="auto" w:fill="auto"/>
            <w:noWrap/>
            <w:vAlign w:val="center"/>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w:t>
            </w:r>
          </w:p>
        </w:tc>
        <w:tc>
          <w:tcPr>
            <w:tcW w:w="0" w:type="auto"/>
            <w:shd w:val="clear" w:color="auto" w:fill="auto"/>
            <w:noWrap/>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1,04</w:t>
            </w:r>
          </w:p>
        </w:tc>
        <w:tc>
          <w:tcPr>
            <w:tcW w:w="0" w:type="auto"/>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0,92</w:t>
            </w:r>
          </w:p>
        </w:tc>
        <w:tc>
          <w:tcPr>
            <w:tcW w:w="0" w:type="auto"/>
            <w:shd w:val="clear" w:color="auto" w:fill="auto"/>
            <w:noWrap/>
            <w:vAlign w:val="center"/>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w:t>
            </w:r>
          </w:p>
        </w:tc>
        <w:tc>
          <w:tcPr>
            <w:tcW w:w="0" w:type="auto"/>
            <w:shd w:val="clear" w:color="auto" w:fill="auto"/>
            <w:noWrap/>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47,55</w:t>
            </w:r>
          </w:p>
        </w:tc>
        <w:tc>
          <w:tcPr>
            <w:tcW w:w="0" w:type="auto"/>
            <w:shd w:val="clear" w:color="auto" w:fill="auto"/>
            <w:noWrap/>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44,69</w:t>
            </w:r>
          </w:p>
        </w:tc>
        <w:tc>
          <w:tcPr>
            <w:tcW w:w="1108" w:type="dxa"/>
            <w:vAlign w:val="center"/>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w:t>
            </w:r>
          </w:p>
        </w:tc>
      </w:tr>
      <w:tr w:rsidR="0062050C" w:rsidRPr="0062050C" w:rsidTr="00A57A57">
        <w:trPr>
          <w:trHeight w:val="225"/>
          <w:jc w:val="center"/>
        </w:trPr>
        <w:tc>
          <w:tcPr>
            <w:tcW w:w="2262" w:type="dxa"/>
            <w:shd w:val="clear" w:color="auto" w:fill="auto"/>
            <w:noWrap/>
          </w:tcPr>
          <w:p w:rsidR="0062050C" w:rsidRPr="0062050C" w:rsidRDefault="006D38D3" w:rsidP="00350173">
            <w:pPr>
              <w:tabs>
                <w:tab w:val="left" w:pos="993"/>
              </w:tabs>
              <w:spacing w:line="276" w:lineRule="auto"/>
              <w:jc w:val="left"/>
              <w:rPr>
                <w:rFonts w:eastAsia="Calibri"/>
                <w:bCs/>
                <w:sz w:val="24"/>
                <w:szCs w:val="24"/>
              </w:rPr>
            </w:pPr>
            <w:r>
              <w:rPr>
                <w:rFonts w:eastAsia="Calibri"/>
                <w:bCs/>
                <w:sz w:val="24"/>
                <w:szCs w:val="24"/>
                <w:lang w:val="en-US"/>
              </w:rPr>
              <w:t xml:space="preserve"> </w:t>
            </w:r>
            <w:r w:rsidR="0062050C" w:rsidRPr="0062050C">
              <w:rPr>
                <w:rFonts w:eastAsia="Calibri"/>
                <w:bCs/>
                <w:sz w:val="24"/>
                <w:szCs w:val="24"/>
              </w:rPr>
              <w:t>С</w:t>
            </w:r>
            <w:r w:rsidR="0062050C" w:rsidRPr="0062050C">
              <w:rPr>
                <w:rFonts w:eastAsia="Calibri"/>
                <w:bCs/>
                <w:sz w:val="24"/>
                <w:szCs w:val="24"/>
                <w:lang w:val="en-US"/>
              </w:rPr>
              <w:t>v</w:t>
            </w:r>
            <w:r w:rsidR="0062050C" w:rsidRPr="0062050C">
              <w:rPr>
                <w:rFonts w:eastAsia="Calibri"/>
                <w:bCs/>
                <w:sz w:val="24"/>
                <w:szCs w:val="24"/>
              </w:rPr>
              <w:t xml:space="preserve"> (%)</w:t>
            </w:r>
          </w:p>
        </w:tc>
        <w:tc>
          <w:tcPr>
            <w:tcW w:w="0" w:type="auto"/>
            <w:shd w:val="clear" w:color="auto" w:fill="auto"/>
            <w:noWrap/>
          </w:tcPr>
          <w:p w:rsidR="0062050C" w:rsidRPr="0062050C" w:rsidRDefault="0062050C" w:rsidP="00350173">
            <w:pPr>
              <w:spacing w:line="276" w:lineRule="auto"/>
              <w:jc w:val="right"/>
              <w:rPr>
                <w:rFonts w:eastAsia="Times New Roman"/>
                <w:bCs/>
                <w:sz w:val="24"/>
                <w:szCs w:val="24"/>
                <w:lang w:eastAsia="ru-RU"/>
              </w:rPr>
            </w:pPr>
            <w:r w:rsidRPr="0062050C">
              <w:rPr>
                <w:rFonts w:eastAsia="Times New Roman"/>
                <w:bCs/>
                <w:sz w:val="24"/>
                <w:szCs w:val="24"/>
                <w:lang w:eastAsia="ru-RU"/>
              </w:rPr>
              <w:t>52,07</w:t>
            </w:r>
          </w:p>
        </w:tc>
        <w:tc>
          <w:tcPr>
            <w:tcW w:w="0" w:type="auto"/>
          </w:tcPr>
          <w:p w:rsidR="0062050C" w:rsidRPr="0062050C" w:rsidRDefault="0062050C" w:rsidP="00350173">
            <w:pPr>
              <w:spacing w:line="276" w:lineRule="auto"/>
              <w:jc w:val="right"/>
              <w:rPr>
                <w:rFonts w:eastAsia="Times New Roman"/>
                <w:bCs/>
                <w:sz w:val="24"/>
                <w:szCs w:val="24"/>
                <w:lang w:eastAsia="ru-RU"/>
              </w:rPr>
            </w:pPr>
            <w:r w:rsidRPr="0062050C">
              <w:rPr>
                <w:rFonts w:eastAsia="Times New Roman"/>
                <w:bCs/>
                <w:sz w:val="24"/>
                <w:szCs w:val="24"/>
                <w:lang w:eastAsia="ru-RU"/>
              </w:rPr>
              <w:t>52,02</w:t>
            </w:r>
          </w:p>
        </w:tc>
        <w:tc>
          <w:tcPr>
            <w:tcW w:w="0" w:type="auto"/>
            <w:shd w:val="clear" w:color="auto" w:fill="auto"/>
            <w:noWrap/>
            <w:vAlign w:val="center"/>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w:t>
            </w:r>
          </w:p>
        </w:tc>
        <w:tc>
          <w:tcPr>
            <w:tcW w:w="0" w:type="auto"/>
            <w:shd w:val="clear" w:color="auto" w:fill="auto"/>
            <w:noWrap/>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55,19</w:t>
            </w:r>
          </w:p>
        </w:tc>
        <w:tc>
          <w:tcPr>
            <w:tcW w:w="0" w:type="auto"/>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50,47</w:t>
            </w:r>
          </w:p>
        </w:tc>
        <w:tc>
          <w:tcPr>
            <w:tcW w:w="0" w:type="auto"/>
            <w:shd w:val="clear" w:color="auto" w:fill="auto"/>
            <w:noWrap/>
            <w:vAlign w:val="center"/>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w:t>
            </w:r>
          </w:p>
        </w:tc>
        <w:tc>
          <w:tcPr>
            <w:tcW w:w="0" w:type="auto"/>
            <w:shd w:val="clear" w:color="auto" w:fill="auto"/>
            <w:noWrap/>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61,36</w:t>
            </w:r>
          </w:p>
        </w:tc>
        <w:tc>
          <w:tcPr>
            <w:tcW w:w="0" w:type="auto"/>
            <w:shd w:val="clear" w:color="auto" w:fill="auto"/>
            <w:noWrap/>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59,14</w:t>
            </w:r>
          </w:p>
        </w:tc>
        <w:tc>
          <w:tcPr>
            <w:tcW w:w="1108" w:type="dxa"/>
            <w:vAlign w:val="center"/>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w:t>
            </w:r>
          </w:p>
        </w:tc>
      </w:tr>
      <w:tr w:rsidR="0062050C" w:rsidRPr="0062050C" w:rsidTr="00A57A57">
        <w:trPr>
          <w:trHeight w:val="225"/>
          <w:jc w:val="center"/>
        </w:trPr>
        <w:tc>
          <w:tcPr>
            <w:tcW w:w="2262" w:type="dxa"/>
            <w:shd w:val="clear" w:color="auto" w:fill="auto"/>
            <w:noWrap/>
          </w:tcPr>
          <w:p w:rsidR="0062050C" w:rsidRPr="0062050C" w:rsidRDefault="0062050C" w:rsidP="00350173">
            <w:pPr>
              <w:tabs>
                <w:tab w:val="left" w:pos="993"/>
              </w:tabs>
              <w:spacing w:line="276" w:lineRule="auto"/>
              <w:jc w:val="left"/>
              <w:rPr>
                <w:rFonts w:eastAsia="Calibri"/>
                <w:bCs/>
                <w:sz w:val="24"/>
                <w:szCs w:val="24"/>
              </w:rPr>
            </w:pPr>
            <w:r w:rsidRPr="0062050C">
              <w:rPr>
                <w:rFonts w:eastAsia="Calibri"/>
                <w:bCs/>
                <w:sz w:val="24"/>
                <w:szCs w:val="24"/>
              </w:rPr>
              <w:t>Стандартна помилка</w:t>
            </w:r>
          </w:p>
        </w:tc>
        <w:tc>
          <w:tcPr>
            <w:tcW w:w="0" w:type="auto"/>
            <w:shd w:val="clear" w:color="auto" w:fill="auto"/>
            <w:noWrap/>
          </w:tcPr>
          <w:p w:rsidR="0062050C" w:rsidRPr="0062050C" w:rsidRDefault="0062050C" w:rsidP="00350173">
            <w:pPr>
              <w:spacing w:line="276" w:lineRule="auto"/>
              <w:jc w:val="right"/>
              <w:rPr>
                <w:rFonts w:eastAsia="Times New Roman"/>
                <w:bCs/>
                <w:sz w:val="24"/>
                <w:szCs w:val="24"/>
                <w:lang w:eastAsia="ru-RU"/>
              </w:rPr>
            </w:pPr>
            <w:r w:rsidRPr="0062050C">
              <w:rPr>
                <w:rFonts w:eastAsia="Times New Roman"/>
                <w:bCs/>
                <w:sz w:val="24"/>
                <w:szCs w:val="24"/>
                <w:lang w:eastAsia="ru-RU"/>
              </w:rPr>
              <w:t>0,2478</w:t>
            </w:r>
          </w:p>
        </w:tc>
        <w:tc>
          <w:tcPr>
            <w:tcW w:w="0" w:type="auto"/>
          </w:tcPr>
          <w:p w:rsidR="0062050C" w:rsidRPr="0062050C" w:rsidRDefault="0062050C" w:rsidP="00350173">
            <w:pPr>
              <w:spacing w:line="276" w:lineRule="auto"/>
              <w:jc w:val="right"/>
              <w:rPr>
                <w:rFonts w:eastAsia="Times New Roman"/>
                <w:bCs/>
                <w:sz w:val="24"/>
                <w:szCs w:val="24"/>
                <w:lang w:eastAsia="ru-RU"/>
              </w:rPr>
            </w:pPr>
            <w:r w:rsidRPr="0062050C">
              <w:rPr>
                <w:rFonts w:eastAsia="Times New Roman"/>
                <w:bCs/>
                <w:sz w:val="24"/>
                <w:szCs w:val="24"/>
                <w:lang w:eastAsia="ru-RU"/>
              </w:rPr>
              <w:t>0,260</w:t>
            </w:r>
          </w:p>
        </w:tc>
        <w:tc>
          <w:tcPr>
            <w:tcW w:w="0" w:type="auto"/>
            <w:shd w:val="clear" w:color="auto" w:fill="auto"/>
            <w:noWrap/>
            <w:vAlign w:val="center"/>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w:t>
            </w:r>
          </w:p>
        </w:tc>
        <w:tc>
          <w:tcPr>
            <w:tcW w:w="0" w:type="auto"/>
            <w:shd w:val="clear" w:color="auto" w:fill="auto"/>
            <w:noWrap/>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0,886</w:t>
            </w:r>
          </w:p>
        </w:tc>
        <w:tc>
          <w:tcPr>
            <w:tcW w:w="0" w:type="auto"/>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0,692</w:t>
            </w:r>
          </w:p>
        </w:tc>
        <w:tc>
          <w:tcPr>
            <w:tcW w:w="0" w:type="auto"/>
            <w:shd w:val="clear" w:color="auto" w:fill="auto"/>
            <w:noWrap/>
            <w:vAlign w:val="center"/>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w:t>
            </w:r>
          </w:p>
        </w:tc>
        <w:tc>
          <w:tcPr>
            <w:tcW w:w="0" w:type="auto"/>
            <w:shd w:val="clear" w:color="auto" w:fill="auto"/>
            <w:noWrap/>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4,351</w:t>
            </w:r>
          </w:p>
        </w:tc>
        <w:tc>
          <w:tcPr>
            <w:tcW w:w="0" w:type="auto"/>
            <w:shd w:val="clear" w:color="auto" w:fill="auto"/>
            <w:noWrap/>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4,312</w:t>
            </w:r>
          </w:p>
        </w:tc>
        <w:tc>
          <w:tcPr>
            <w:tcW w:w="1108" w:type="dxa"/>
            <w:vAlign w:val="center"/>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w:t>
            </w:r>
          </w:p>
        </w:tc>
      </w:tr>
      <w:tr w:rsidR="0062050C" w:rsidRPr="0062050C" w:rsidTr="00A57A57">
        <w:trPr>
          <w:trHeight w:val="225"/>
          <w:jc w:val="center"/>
        </w:trPr>
        <w:tc>
          <w:tcPr>
            <w:tcW w:w="2262" w:type="dxa"/>
            <w:shd w:val="clear" w:color="auto" w:fill="auto"/>
            <w:noWrap/>
            <w:hideMark/>
          </w:tcPr>
          <w:p w:rsidR="0062050C" w:rsidRPr="0062050C" w:rsidRDefault="0062050C" w:rsidP="00350173">
            <w:pPr>
              <w:spacing w:line="276" w:lineRule="auto"/>
              <w:jc w:val="left"/>
              <w:rPr>
                <w:rFonts w:eastAsia="Times New Roman"/>
                <w:sz w:val="24"/>
                <w:szCs w:val="24"/>
                <w:lang w:eastAsia="ru-RU"/>
              </w:rPr>
            </w:pPr>
            <w:r w:rsidRPr="0062050C">
              <w:rPr>
                <w:rFonts w:eastAsia="Times New Roman"/>
                <w:sz w:val="24"/>
                <w:szCs w:val="24"/>
                <w:lang w:eastAsia="ru-RU"/>
              </w:rPr>
              <w:t>Вінницька</w:t>
            </w:r>
          </w:p>
        </w:tc>
        <w:tc>
          <w:tcPr>
            <w:tcW w:w="0" w:type="auto"/>
            <w:shd w:val="clear" w:color="auto" w:fill="auto"/>
            <w:noWrap/>
          </w:tcPr>
          <w:p w:rsidR="0062050C" w:rsidRPr="0062050C" w:rsidRDefault="0062050C" w:rsidP="00350173">
            <w:pPr>
              <w:spacing w:line="276" w:lineRule="auto"/>
              <w:jc w:val="right"/>
              <w:rPr>
                <w:rFonts w:eastAsia="Times New Roman"/>
                <w:sz w:val="24"/>
                <w:szCs w:val="24"/>
                <w:lang w:eastAsia="ru-RU"/>
              </w:rPr>
            </w:pPr>
            <w:r w:rsidRPr="0062050C">
              <w:rPr>
                <w:rFonts w:eastAsia="Times New Roman"/>
                <w:sz w:val="24"/>
                <w:szCs w:val="24"/>
                <w:lang w:eastAsia="ru-RU"/>
              </w:rPr>
              <w:t>2,56</w:t>
            </w:r>
          </w:p>
        </w:tc>
        <w:tc>
          <w:tcPr>
            <w:tcW w:w="0" w:type="auto"/>
          </w:tcPr>
          <w:p w:rsidR="0062050C" w:rsidRPr="0062050C" w:rsidRDefault="0062050C" w:rsidP="00350173">
            <w:pPr>
              <w:spacing w:line="276" w:lineRule="auto"/>
              <w:jc w:val="right"/>
              <w:rPr>
                <w:rFonts w:eastAsia="Times New Roman"/>
                <w:sz w:val="24"/>
                <w:szCs w:val="24"/>
                <w:lang w:eastAsia="ru-RU"/>
              </w:rPr>
            </w:pPr>
            <w:r w:rsidRPr="0062050C">
              <w:rPr>
                <w:rFonts w:eastAsia="Times New Roman"/>
                <w:sz w:val="24"/>
                <w:szCs w:val="24"/>
                <w:lang w:eastAsia="ru-RU"/>
              </w:rPr>
              <w:t>1,50</w:t>
            </w:r>
          </w:p>
        </w:tc>
        <w:tc>
          <w:tcPr>
            <w:tcW w:w="0" w:type="auto"/>
            <w:shd w:val="clear" w:color="auto" w:fill="auto"/>
            <w:noWrap/>
            <w:vAlign w:val="center"/>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58,59</w:t>
            </w:r>
          </w:p>
        </w:tc>
        <w:tc>
          <w:tcPr>
            <w:tcW w:w="0" w:type="auto"/>
            <w:shd w:val="clear" w:color="auto" w:fill="auto"/>
            <w:noWrap/>
          </w:tcPr>
          <w:p w:rsidR="0062050C" w:rsidRPr="0062050C" w:rsidRDefault="0062050C" w:rsidP="00350173">
            <w:pPr>
              <w:spacing w:line="276" w:lineRule="auto"/>
              <w:jc w:val="center"/>
              <w:rPr>
                <w:rFonts w:eastAsia="Times New Roman"/>
                <w:sz w:val="24"/>
                <w:szCs w:val="24"/>
                <w:lang w:eastAsia="ru-RU"/>
              </w:rPr>
            </w:pPr>
            <w:r w:rsidRPr="0062050C">
              <w:rPr>
                <w:rFonts w:eastAsia="Times New Roman"/>
                <w:sz w:val="24"/>
                <w:szCs w:val="24"/>
                <w:lang w:eastAsia="ru-RU"/>
              </w:rPr>
              <w:t>0,67</w:t>
            </w:r>
          </w:p>
        </w:tc>
        <w:tc>
          <w:tcPr>
            <w:tcW w:w="0" w:type="auto"/>
          </w:tcPr>
          <w:p w:rsidR="0062050C" w:rsidRPr="0062050C" w:rsidRDefault="0062050C" w:rsidP="00350173">
            <w:pPr>
              <w:spacing w:line="276" w:lineRule="auto"/>
              <w:jc w:val="center"/>
              <w:rPr>
                <w:rFonts w:eastAsia="Times New Roman"/>
                <w:sz w:val="24"/>
                <w:szCs w:val="24"/>
                <w:lang w:eastAsia="ru-RU"/>
              </w:rPr>
            </w:pPr>
            <w:r w:rsidRPr="0062050C">
              <w:rPr>
                <w:rFonts w:eastAsia="Times New Roman"/>
                <w:sz w:val="24"/>
                <w:szCs w:val="24"/>
                <w:lang w:eastAsia="ru-RU"/>
              </w:rPr>
              <w:t>0,42</w:t>
            </w:r>
          </w:p>
        </w:tc>
        <w:tc>
          <w:tcPr>
            <w:tcW w:w="0" w:type="auto"/>
            <w:shd w:val="clear" w:color="auto" w:fill="auto"/>
            <w:noWrap/>
            <w:vAlign w:val="center"/>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62,69</w:t>
            </w:r>
          </w:p>
        </w:tc>
        <w:tc>
          <w:tcPr>
            <w:tcW w:w="0" w:type="auto"/>
            <w:shd w:val="clear" w:color="auto" w:fill="auto"/>
            <w:noWrap/>
          </w:tcPr>
          <w:p w:rsidR="0062050C" w:rsidRPr="0062050C" w:rsidRDefault="0062050C" w:rsidP="00350173">
            <w:pPr>
              <w:spacing w:line="276" w:lineRule="auto"/>
              <w:jc w:val="center"/>
              <w:rPr>
                <w:rFonts w:eastAsia="Times New Roman"/>
                <w:sz w:val="24"/>
                <w:szCs w:val="24"/>
                <w:lang w:eastAsia="ru-RU"/>
              </w:rPr>
            </w:pPr>
            <w:r w:rsidRPr="0062050C">
              <w:rPr>
                <w:rFonts w:eastAsia="Times New Roman"/>
                <w:sz w:val="24"/>
                <w:szCs w:val="24"/>
                <w:lang w:eastAsia="ru-RU"/>
              </w:rPr>
              <w:t>41,88</w:t>
            </w:r>
          </w:p>
        </w:tc>
        <w:tc>
          <w:tcPr>
            <w:tcW w:w="0" w:type="auto"/>
            <w:shd w:val="clear" w:color="auto" w:fill="auto"/>
            <w:noWrap/>
          </w:tcPr>
          <w:p w:rsidR="0062050C" w:rsidRPr="0062050C" w:rsidRDefault="0062050C" w:rsidP="00350173">
            <w:pPr>
              <w:spacing w:line="276" w:lineRule="auto"/>
              <w:jc w:val="center"/>
              <w:rPr>
                <w:rFonts w:eastAsia="Times New Roman"/>
                <w:sz w:val="24"/>
                <w:szCs w:val="24"/>
                <w:lang w:eastAsia="ru-RU"/>
              </w:rPr>
            </w:pPr>
            <w:r w:rsidRPr="0062050C">
              <w:rPr>
                <w:rFonts w:eastAsia="Times New Roman"/>
                <w:sz w:val="24"/>
                <w:szCs w:val="24"/>
                <w:lang w:eastAsia="ru-RU"/>
              </w:rPr>
              <w:t>21,71</w:t>
            </w:r>
          </w:p>
        </w:tc>
        <w:tc>
          <w:tcPr>
            <w:tcW w:w="1108" w:type="dxa"/>
            <w:vAlign w:val="center"/>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51,84</w:t>
            </w:r>
          </w:p>
        </w:tc>
      </w:tr>
      <w:tr w:rsidR="0062050C" w:rsidRPr="0062050C" w:rsidTr="00A57A57">
        <w:trPr>
          <w:trHeight w:val="225"/>
          <w:jc w:val="center"/>
        </w:trPr>
        <w:tc>
          <w:tcPr>
            <w:tcW w:w="2262" w:type="dxa"/>
            <w:shd w:val="clear" w:color="auto" w:fill="auto"/>
            <w:noWrap/>
            <w:hideMark/>
          </w:tcPr>
          <w:p w:rsidR="0062050C" w:rsidRPr="0062050C" w:rsidRDefault="0062050C" w:rsidP="00350173">
            <w:pPr>
              <w:spacing w:line="276" w:lineRule="auto"/>
              <w:jc w:val="left"/>
              <w:rPr>
                <w:rFonts w:eastAsia="Times New Roman"/>
                <w:sz w:val="24"/>
                <w:szCs w:val="24"/>
                <w:lang w:eastAsia="ru-RU"/>
              </w:rPr>
            </w:pPr>
            <w:r w:rsidRPr="0062050C">
              <w:rPr>
                <w:rFonts w:eastAsia="Times New Roman"/>
                <w:sz w:val="24"/>
                <w:szCs w:val="24"/>
                <w:lang w:eastAsia="ru-RU"/>
              </w:rPr>
              <w:t>Волинська</w:t>
            </w:r>
          </w:p>
        </w:tc>
        <w:tc>
          <w:tcPr>
            <w:tcW w:w="0" w:type="auto"/>
            <w:shd w:val="clear" w:color="auto" w:fill="auto"/>
            <w:noWrap/>
          </w:tcPr>
          <w:p w:rsidR="0062050C" w:rsidRPr="0062050C" w:rsidRDefault="0062050C" w:rsidP="00350173">
            <w:pPr>
              <w:spacing w:line="276" w:lineRule="auto"/>
              <w:jc w:val="right"/>
              <w:rPr>
                <w:rFonts w:eastAsia="Times New Roman"/>
                <w:sz w:val="24"/>
                <w:szCs w:val="24"/>
                <w:lang w:eastAsia="ru-RU"/>
              </w:rPr>
            </w:pPr>
            <w:r w:rsidRPr="0062050C">
              <w:rPr>
                <w:rFonts w:eastAsia="Times New Roman"/>
                <w:sz w:val="24"/>
                <w:szCs w:val="24"/>
                <w:lang w:eastAsia="ru-RU"/>
              </w:rPr>
              <w:t>1,20</w:t>
            </w:r>
          </w:p>
        </w:tc>
        <w:tc>
          <w:tcPr>
            <w:tcW w:w="0" w:type="auto"/>
          </w:tcPr>
          <w:p w:rsidR="0062050C" w:rsidRPr="0062050C" w:rsidRDefault="0062050C" w:rsidP="00350173">
            <w:pPr>
              <w:spacing w:line="276" w:lineRule="auto"/>
              <w:jc w:val="right"/>
              <w:rPr>
                <w:rFonts w:eastAsia="Times New Roman"/>
                <w:sz w:val="24"/>
                <w:szCs w:val="24"/>
                <w:lang w:eastAsia="ru-RU"/>
              </w:rPr>
            </w:pPr>
            <w:r w:rsidRPr="0062050C">
              <w:rPr>
                <w:rFonts w:eastAsia="Times New Roman"/>
                <w:sz w:val="24"/>
                <w:szCs w:val="24"/>
                <w:lang w:eastAsia="ru-RU"/>
              </w:rPr>
              <w:t>2,37</w:t>
            </w:r>
          </w:p>
        </w:tc>
        <w:tc>
          <w:tcPr>
            <w:tcW w:w="0" w:type="auto"/>
            <w:shd w:val="clear" w:color="auto" w:fill="auto"/>
            <w:noWrap/>
            <w:vAlign w:val="center"/>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197,50</w:t>
            </w:r>
          </w:p>
        </w:tc>
        <w:tc>
          <w:tcPr>
            <w:tcW w:w="0" w:type="auto"/>
            <w:shd w:val="clear" w:color="auto" w:fill="auto"/>
            <w:noWrap/>
          </w:tcPr>
          <w:p w:rsidR="0062050C" w:rsidRPr="0062050C" w:rsidRDefault="0062050C" w:rsidP="00350173">
            <w:pPr>
              <w:spacing w:line="276" w:lineRule="auto"/>
              <w:jc w:val="center"/>
              <w:rPr>
                <w:rFonts w:eastAsia="Times New Roman"/>
                <w:sz w:val="24"/>
                <w:szCs w:val="24"/>
                <w:lang w:eastAsia="ru-RU"/>
              </w:rPr>
            </w:pPr>
            <w:r w:rsidRPr="0062050C">
              <w:rPr>
                <w:rFonts w:eastAsia="Times New Roman"/>
                <w:sz w:val="24"/>
                <w:szCs w:val="24"/>
                <w:lang w:eastAsia="ru-RU"/>
              </w:rPr>
              <w:t>0,42</w:t>
            </w:r>
          </w:p>
        </w:tc>
        <w:tc>
          <w:tcPr>
            <w:tcW w:w="0" w:type="auto"/>
          </w:tcPr>
          <w:p w:rsidR="0062050C" w:rsidRPr="0062050C" w:rsidRDefault="0062050C" w:rsidP="00350173">
            <w:pPr>
              <w:spacing w:line="276" w:lineRule="auto"/>
              <w:jc w:val="center"/>
              <w:rPr>
                <w:rFonts w:eastAsia="Times New Roman"/>
                <w:sz w:val="24"/>
                <w:szCs w:val="24"/>
                <w:lang w:eastAsia="ru-RU"/>
              </w:rPr>
            </w:pPr>
            <w:r w:rsidRPr="0062050C">
              <w:rPr>
                <w:rFonts w:eastAsia="Times New Roman"/>
                <w:sz w:val="24"/>
                <w:szCs w:val="24"/>
                <w:lang w:eastAsia="ru-RU"/>
              </w:rPr>
              <w:t>0,37</w:t>
            </w:r>
          </w:p>
        </w:tc>
        <w:tc>
          <w:tcPr>
            <w:tcW w:w="0" w:type="auto"/>
            <w:shd w:val="clear" w:color="auto" w:fill="auto"/>
            <w:noWrap/>
            <w:vAlign w:val="center"/>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88,10</w:t>
            </w:r>
          </w:p>
        </w:tc>
        <w:tc>
          <w:tcPr>
            <w:tcW w:w="0" w:type="auto"/>
            <w:shd w:val="clear" w:color="auto" w:fill="auto"/>
            <w:noWrap/>
          </w:tcPr>
          <w:p w:rsidR="0062050C" w:rsidRPr="0062050C" w:rsidRDefault="0062050C" w:rsidP="00350173">
            <w:pPr>
              <w:spacing w:line="276" w:lineRule="auto"/>
              <w:jc w:val="center"/>
              <w:rPr>
                <w:rFonts w:eastAsia="Times New Roman"/>
                <w:sz w:val="24"/>
                <w:szCs w:val="24"/>
                <w:lang w:eastAsia="ru-RU"/>
              </w:rPr>
            </w:pPr>
            <w:r w:rsidRPr="0062050C">
              <w:rPr>
                <w:rFonts w:eastAsia="Times New Roman"/>
                <w:sz w:val="24"/>
                <w:szCs w:val="24"/>
                <w:lang w:eastAsia="ru-RU"/>
              </w:rPr>
              <w:t>20,94</w:t>
            </w:r>
          </w:p>
        </w:tc>
        <w:tc>
          <w:tcPr>
            <w:tcW w:w="0" w:type="auto"/>
            <w:shd w:val="clear" w:color="auto" w:fill="auto"/>
            <w:noWrap/>
          </w:tcPr>
          <w:p w:rsidR="0062050C" w:rsidRPr="0062050C" w:rsidRDefault="0062050C" w:rsidP="00350173">
            <w:pPr>
              <w:spacing w:line="276" w:lineRule="auto"/>
              <w:jc w:val="center"/>
              <w:rPr>
                <w:rFonts w:eastAsia="Times New Roman"/>
                <w:sz w:val="24"/>
                <w:szCs w:val="24"/>
                <w:lang w:eastAsia="ru-RU"/>
              </w:rPr>
            </w:pPr>
            <w:r w:rsidRPr="0062050C">
              <w:rPr>
                <w:rFonts w:eastAsia="Times New Roman"/>
                <w:sz w:val="24"/>
                <w:szCs w:val="24"/>
                <w:lang w:eastAsia="ru-RU"/>
              </w:rPr>
              <w:t>41,07</w:t>
            </w:r>
          </w:p>
        </w:tc>
        <w:tc>
          <w:tcPr>
            <w:tcW w:w="1108" w:type="dxa"/>
            <w:vAlign w:val="center"/>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196,13</w:t>
            </w:r>
          </w:p>
        </w:tc>
      </w:tr>
      <w:tr w:rsidR="0062050C" w:rsidRPr="0062050C" w:rsidTr="00A57A57">
        <w:trPr>
          <w:trHeight w:val="225"/>
          <w:jc w:val="center"/>
        </w:trPr>
        <w:tc>
          <w:tcPr>
            <w:tcW w:w="2262" w:type="dxa"/>
            <w:shd w:val="clear" w:color="auto" w:fill="auto"/>
            <w:noWrap/>
            <w:hideMark/>
          </w:tcPr>
          <w:p w:rsidR="0062050C" w:rsidRPr="0062050C" w:rsidRDefault="0062050C" w:rsidP="00350173">
            <w:pPr>
              <w:spacing w:line="276" w:lineRule="auto"/>
              <w:jc w:val="left"/>
              <w:rPr>
                <w:rFonts w:eastAsia="Times New Roman"/>
                <w:sz w:val="24"/>
                <w:szCs w:val="24"/>
                <w:lang w:eastAsia="ru-RU"/>
              </w:rPr>
            </w:pPr>
            <w:r w:rsidRPr="0062050C">
              <w:rPr>
                <w:rFonts w:eastAsia="Times New Roman"/>
                <w:sz w:val="24"/>
                <w:szCs w:val="24"/>
                <w:lang w:eastAsia="ru-RU"/>
              </w:rPr>
              <w:t>Дніпропетровська</w:t>
            </w:r>
          </w:p>
        </w:tc>
        <w:tc>
          <w:tcPr>
            <w:tcW w:w="0" w:type="auto"/>
            <w:shd w:val="clear" w:color="auto" w:fill="auto"/>
            <w:noWrap/>
          </w:tcPr>
          <w:p w:rsidR="0062050C" w:rsidRPr="0062050C" w:rsidRDefault="0062050C" w:rsidP="00350173">
            <w:pPr>
              <w:spacing w:line="276" w:lineRule="auto"/>
              <w:jc w:val="right"/>
              <w:rPr>
                <w:rFonts w:eastAsia="Times New Roman"/>
                <w:sz w:val="24"/>
                <w:szCs w:val="24"/>
                <w:lang w:eastAsia="ru-RU"/>
              </w:rPr>
            </w:pPr>
            <w:r w:rsidRPr="0062050C">
              <w:rPr>
                <w:rFonts w:eastAsia="Times New Roman"/>
                <w:sz w:val="24"/>
                <w:szCs w:val="24"/>
                <w:lang w:eastAsia="ru-RU"/>
              </w:rPr>
              <w:t>1,28</w:t>
            </w:r>
          </w:p>
        </w:tc>
        <w:tc>
          <w:tcPr>
            <w:tcW w:w="0" w:type="auto"/>
          </w:tcPr>
          <w:p w:rsidR="0062050C" w:rsidRPr="0062050C" w:rsidRDefault="0062050C" w:rsidP="00350173">
            <w:pPr>
              <w:spacing w:line="276" w:lineRule="auto"/>
              <w:jc w:val="right"/>
              <w:rPr>
                <w:rFonts w:eastAsia="Times New Roman"/>
                <w:sz w:val="24"/>
                <w:szCs w:val="24"/>
                <w:lang w:eastAsia="ru-RU"/>
              </w:rPr>
            </w:pPr>
            <w:r w:rsidRPr="0062050C">
              <w:rPr>
                <w:rFonts w:eastAsia="Times New Roman"/>
                <w:sz w:val="24"/>
                <w:szCs w:val="24"/>
                <w:lang w:eastAsia="ru-RU"/>
              </w:rPr>
              <w:t>0,78</w:t>
            </w:r>
          </w:p>
        </w:tc>
        <w:tc>
          <w:tcPr>
            <w:tcW w:w="0" w:type="auto"/>
            <w:shd w:val="clear" w:color="auto" w:fill="auto"/>
            <w:noWrap/>
            <w:vAlign w:val="center"/>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60,94</w:t>
            </w:r>
          </w:p>
        </w:tc>
        <w:tc>
          <w:tcPr>
            <w:tcW w:w="0" w:type="auto"/>
            <w:shd w:val="clear" w:color="auto" w:fill="auto"/>
            <w:noWrap/>
          </w:tcPr>
          <w:p w:rsidR="0062050C" w:rsidRPr="0062050C" w:rsidRDefault="0062050C" w:rsidP="00350173">
            <w:pPr>
              <w:spacing w:line="276" w:lineRule="auto"/>
              <w:jc w:val="center"/>
              <w:rPr>
                <w:rFonts w:eastAsia="Times New Roman"/>
                <w:sz w:val="24"/>
                <w:szCs w:val="24"/>
                <w:lang w:eastAsia="ru-RU"/>
              </w:rPr>
            </w:pPr>
            <w:r w:rsidRPr="0062050C">
              <w:rPr>
                <w:rFonts w:eastAsia="Times New Roman"/>
                <w:sz w:val="24"/>
                <w:szCs w:val="24"/>
                <w:lang w:eastAsia="ru-RU"/>
              </w:rPr>
              <w:t>0,53</w:t>
            </w:r>
          </w:p>
        </w:tc>
        <w:tc>
          <w:tcPr>
            <w:tcW w:w="0" w:type="auto"/>
          </w:tcPr>
          <w:p w:rsidR="0062050C" w:rsidRPr="0062050C" w:rsidRDefault="0062050C" w:rsidP="00350173">
            <w:pPr>
              <w:spacing w:line="276" w:lineRule="auto"/>
              <w:jc w:val="center"/>
              <w:rPr>
                <w:rFonts w:eastAsia="Times New Roman"/>
                <w:sz w:val="24"/>
                <w:szCs w:val="24"/>
                <w:lang w:eastAsia="ru-RU"/>
              </w:rPr>
            </w:pPr>
            <w:r w:rsidRPr="0062050C">
              <w:rPr>
                <w:rFonts w:eastAsia="Times New Roman"/>
                <w:sz w:val="24"/>
                <w:szCs w:val="24"/>
                <w:lang w:eastAsia="ru-RU"/>
              </w:rPr>
              <w:t>0,47</w:t>
            </w:r>
          </w:p>
        </w:tc>
        <w:tc>
          <w:tcPr>
            <w:tcW w:w="0" w:type="auto"/>
            <w:shd w:val="clear" w:color="auto" w:fill="auto"/>
            <w:noWrap/>
            <w:vAlign w:val="center"/>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88,68</w:t>
            </w:r>
          </w:p>
        </w:tc>
        <w:tc>
          <w:tcPr>
            <w:tcW w:w="0" w:type="auto"/>
            <w:shd w:val="clear" w:color="auto" w:fill="auto"/>
            <w:noWrap/>
          </w:tcPr>
          <w:p w:rsidR="0062050C" w:rsidRPr="0062050C" w:rsidRDefault="0062050C" w:rsidP="00350173">
            <w:pPr>
              <w:spacing w:line="276" w:lineRule="auto"/>
              <w:jc w:val="center"/>
              <w:rPr>
                <w:rFonts w:eastAsia="Times New Roman"/>
                <w:sz w:val="24"/>
                <w:szCs w:val="24"/>
                <w:lang w:eastAsia="ru-RU"/>
              </w:rPr>
            </w:pPr>
            <w:r w:rsidRPr="0062050C">
              <w:rPr>
                <w:rFonts w:eastAsia="Times New Roman"/>
                <w:sz w:val="24"/>
                <w:szCs w:val="24"/>
                <w:lang w:eastAsia="ru-RU"/>
              </w:rPr>
              <w:t>14,39</w:t>
            </w:r>
          </w:p>
        </w:tc>
        <w:tc>
          <w:tcPr>
            <w:tcW w:w="0" w:type="auto"/>
            <w:shd w:val="clear" w:color="auto" w:fill="auto"/>
            <w:noWrap/>
          </w:tcPr>
          <w:p w:rsidR="0062050C" w:rsidRPr="0062050C" w:rsidRDefault="0062050C" w:rsidP="00350173">
            <w:pPr>
              <w:spacing w:line="276" w:lineRule="auto"/>
              <w:jc w:val="center"/>
              <w:rPr>
                <w:rFonts w:eastAsia="Times New Roman"/>
                <w:sz w:val="24"/>
                <w:szCs w:val="24"/>
                <w:lang w:eastAsia="ru-RU"/>
              </w:rPr>
            </w:pPr>
            <w:r w:rsidRPr="0062050C">
              <w:rPr>
                <w:rFonts w:eastAsia="Times New Roman"/>
                <w:sz w:val="24"/>
                <w:szCs w:val="24"/>
                <w:lang w:eastAsia="ru-RU"/>
              </w:rPr>
              <w:t>6,25</w:t>
            </w:r>
          </w:p>
        </w:tc>
        <w:tc>
          <w:tcPr>
            <w:tcW w:w="1108" w:type="dxa"/>
            <w:vAlign w:val="center"/>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43,43</w:t>
            </w:r>
          </w:p>
        </w:tc>
      </w:tr>
      <w:tr w:rsidR="0062050C" w:rsidRPr="0062050C" w:rsidTr="00A57A57">
        <w:trPr>
          <w:trHeight w:val="225"/>
          <w:jc w:val="center"/>
        </w:trPr>
        <w:tc>
          <w:tcPr>
            <w:tcW w:w="2262" w:type="dxa"/>
            <w:shd w:val="clear" w:color="auto" w:fill="auto"/>
            <w:noWrap/>
            <w:hideMark/>
          </w:tcPr>
          <w:p w:rsidR="0062050C" w:rsidRPr="0062050C" w:rsidRDefault="0062050C" w:rsidP="00350173">
            <w:pPr>
              <w:spacing w:line="276" w:lineRule="auto"/>
              <w:jc w:val="left"/>
              <w:rPr>
                <w:rFonts w:eastAsia="Times New Roman"/>
                <w:sz w:val="24"/>
                <w:szCs w:val="24"/>
                <w:lang w:eastAsia="ru-RU"/>
              </w:rPr>
            </w:pPr>
            <w:r w:rsidRPr="0062050C">
              <w:rPr>
                <w:rFonts w:eastAsia="Times New Roman"/>
                <w:sz w:val="24"/>
                <w:szCs w:val="24"/>
                <w:lang w:eastAsia="ru-RU"/>
              </w:rPr>
              <w:t>Донецька</w:t>
            </w:r>
            <w:r w:rsidRPr="0062050C">
              <w:rPr>
                <w:rFonts w:eastAsia="Times New Roman"/>
                <w:sz w:val="20"/>
                <w:szCs w:val="20"/>
                <w:vertAlign w:val="superscript"/>
                <w:lang w:val="ru-RU" w:eastAsia="ru-RU"/>
              </w:rPr>
              <w:t>1</w:t>
            </w:r>
          </w:p>
        </w:tc>
        <w:tc>
          <w:tcPr>
            <w:tcW w:w="0" w:type="auto"/>
            <w:shd w:val="clear" w:color="auto" w:fill="auto"/>
            <w:noWrap/>
          </w:tcPr>
          <w:p w:rsidR="0062050C" w:rsidRPr="0062050C" w:rsidRDefault="0062050C" w:rsidP="00350173">
            <w:pPr>
              <w:spacing w:line="276" w:lineRule="auto"/>
              <w:jc w:val="right"/>
              <w:rPr>
                <w:rFonts w:eastAsia="Times New Roman"/>
                <w:sz w:val="24"/>
                <w:szCs w:val="24"/>
                <w:lang w:eastAsia="ru-RU"/>
              </w:rPr>
            </w:pPr>
            <w:r w:rsidRPr="0062050C">
              <w:rPr>
                <w:rFonts w:eastAsia="Times New Roman"/>
                <w:sz w:val="24"/>
                <w:szCs w:val="24"/>
                <w:lang w:eastAsia="ru-RU"/>
              </w:rPr>
              <w:t>5,40</w:t>
            </w:r>
          </w:p>
        </w:tc>
        <w:tc>
          <w:tcPr>
            <w:tcW w:w="0" w:type="auto"/>
          </w:tcPr>
          <w:p w:rsidR="0062050C" w:rsidRPr="0062050C" w:rsidRDefault="0062050C" w:rsidP="00350173">
            <w:pPr>
              <w:spacing w:line="276" w:lineRule="auto"/>
              <w:jc w:val="right"/>
              <w:rPr>
                <w:rFonts w:eastAsia="Times New Roman"/>
                <w:sz w:val="24"/>
                <w:szCs w:val="24"/>
                <w:lang w:eastAsia="ru-RU"/>
              </w:rPr>
            </w:pPr>
            <w:r w:rsidRPr="0062050C">
              <w:rPr>
                <w:rFonts w:eastAsia="Times New Roman"/>
                <w:sz w:val="24"/>
                <w:szCs w:val="24"/>
                <w:lang w:eastAsia="ru-RU"/>
              </w:rPr>
              <w:t>5,94</w:t>
            </w:r>
          </w:p>
        </w:tc>
        <w:tc>
          <w:tcPr>
            <w:tcW w:w="0" w:type="auto"/>
            <w:shd w:val="clear" w:color="auto" w:fill="auto"/>
            <w:noWrap/>
            <w:vAlign w:val="center"/>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110,00</w:t>
            </w:r>
          </w:p>
        </w:tc>
        <w:tc>
          <w:tcPr>
            <w:tcW w:w="0" w:type="auto"/>
            <w:shd w:val="clear" w:color="auto" w:fill="auto"/>
            <w:noWrap/>
          </w:tcPr>
          <w:p w:rsidR="0062050C" w:rsidRPr="0062050C" w:rsidRDefault="0062050C" w:rsidP="00350173">
            <w:pPr>
              <w:spacing w:line="276" w:lineRule="auto"/>
              <w:jc w:val="center"/>
              <w:rPr>
                <w:rFonts w:eastAsia="Times New Roman"/>
                <w:sz w:val="24"/>
                <w:szCs w:val="24"/>
                <w:lang w:eastAsia="ru-RU"/>
              </w:rPr>
            </w:pPr>
            <w:r w:rsidRPr="0062050C">
              <w:rPr>
                <w:rFonts w:eastAsia="Times New Roman"/>
                <w:sz w:val="24"/>
                <w:szCs w:val="24"/>
                <w:lang w:eastAsia="ru-RU"/>
              </w:rPr>
              <w:t>1,50</w:t>
            </w:r>
          </w:p>
        </w:tc>
        <w:tc>
          <w:tcPr>
            <w:tcW w:w="0" w:type="auto"/>
          </w:tcPr>
          <w:p w:rsidR="0062050C" w:rsidRPr="0062050C" w:rsidRDefault="0062050C" w:rsidP="00350173">
            <w:pPr>
              <w:spacing w:line="276" w:lineRule="auto"/>
              <w:jc w:val="center"/>
              <w:rPr>
                <w:rFonts w:eastAsia="Times New Roman"/>
                <w:sz w:val="24"/>
                <w:szCs w:val="24"/>
                <w:lang w:eastAsia="ru-RU"/>
              </w:rPr>
            </w:pPr>
            <w:r w:rsidRPr="0062050C">
              <w:rPr>
                <w:rFonts w:eastAsia="Times New Roman"/>
                <w:sz w:val="24"/>
                <w:szCs w:val="24"/>
                <w:lang w:eastAsia="ru-RU"/>
              </w:rPr>
              <w:t>1,27</w:t>
            </w:r>
          </w:p>
        </w:tc>
        <w:tc>
          <w:tcPr>
            <w:tcW w:w="0" w:type="auto"/>
            <w:shd w:val="clear" w:color="auto" w:fill="auto"/>
            <w:noWrap/>
            <w:vAlign w:val="center"/>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84,67</w:t>
            </w:r>
          </w:p>
        </w:tc>
        <w:tc>
          <w:tcPr>
            <w:tcW w:w="0" w:type="auto"/>
            <w:shd w:val="clear" w:color="auto" w:fill="auto"/>
            <w:noWrap/>
          </w:tcPr>
          <w:p w:rsidR="0062050C" w:rsidRPr="0062050C" w:rsidRDefault="0062050C" w:rsidP="00350173">
            <w:pPr>
              <w:spacing w:line="276" w:lineRule="auto"/>
              <w:jc w:val="center"/>
              <w:rPr>
                <w:rFonts w:eastAsia="Times New Roman"/>
                <w:sz w:val="24"/>
                <w:szCs w:val="24"/>
                <w:lang w:eastAsia="ru-RU"/>
              </w:rPr>
            </w:pPr>
            <w:r w:rsidRPr="0062050C">
              <w:rPr>
                <w:rFonts w:eastAsia="Times New Roman"/>
                <w:sz w:val="24"/>
                <w:szCs w:val="24"/>
                <w:lang w:eastAsia="ru-RU"/>
              </w:rPr>
              <w:t>98,13</w:t>
            </w:r>
          </w:p>
        </w:tc>
        <w:tc>
          <w:tcPr>
            <w:tcW w:w="0" w:type="auto"/>
            <w:shd w:val="clear" w:color="auto" w:fill="auto"/>
            <w:noWrap/>
          </w:tcPr>
          <w:p w:rsidR="0062050C" w:rsidRPr="0062050C" w:rsidRDefault="0062050C" w:rsidP="00350173">
            <w:pPr>
              <w:spacing w:line="276" w:lineRule="auto"/>
              <w:jc w:val="center"/>
              <w:rPr>
                <w:rFonts w:eastAsia="Times New Roman"/>
                <w:sz w:val="24"/>
                <w:szCs w:val="24"/>
                <w:lang w:eastAsia="ru-RU"/>
              </w:rPr>
            </w:pPr>
            <w:r w:rsidRPr="0062050C">
              <w:rPr>
                <w:rFonts w:eastAsia="Times New Roman"/>
                <w:sz w:val="24"/>
                <w:szCs w:val="24"/>
                <w:lang w:eastAsia="ru-RU"/>
              </w:rPr>
              <w:t>86,21</w:t>
            </w:r>
          </w:p>
        </w:tc>
        <w:tc>
          <w:tcPr>
            <w:tcW w:w="1108" w:type="dxa"/>
            <w:vAlign w:val="center"/>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87,85</w:t>
            </w:r>
          </w:p>
        </w:tc>
      </w:tr>
      <w:tr w:rsidR="0062050C" w:rsidRPr="0062050C" w:rsidTr="00A57A57">
        <w:trPr>
          <w:trHeight w:val="225"/>
          <w:jc w:val="center"/>
        </w:trPr>
        <w:tc>
          <w:tcPr>
            <w:tcW w:w="2262" w:type="dxa"/>
            <w:shd w:val="clear" w:color="auto" w:fill="auto"/>
            <w:noWrap/>
            <w:hideMark/>
          </w:tcPr>
          <w:p w:rsidR="0062050C" w:rsidRPr="0062050C" w:rsidRDefault="0062050C" w:rsidP="00350173">
            <w:pPr>
              <w:spacing w:line="276" w:lineRule="auto"/>
              <w:jc w:val="left"/>
              <w:rPr>
                <w:rFonts w:eastAsia="Times New Roman"/>
                <w:sz w:val="24"/>
                <w:szCs w:val="24"/>
                <w:lang w:eastAsia="ru-RU"/>
              </w:rPr>
            </w:pPr>
            <w:r w:rsidRPr="0062050C">
              <w:rPr>
                <w:rFonts w:eastAsia="Times New Roman"/>
                <w:sz w:val="24"/>
                <w:szCs w:val="24"/>
                <w:lang w:eastAsia="ru-RU"/>
              </w:rPr>
              <w:t>Житомирська</w:t>
            </w:r>
          </w:p>
        </w:tc>
        <w:tc>
          <w:tcPr>
            <w:tcW w:w="0" w:type="auto"/>
            <w:shd w:val="clear" w:color="auto" w:fill="auto"/>
            <w:noWrap/>
          </w:tcPr>
          <w:p w:rsidR="0062050C" w:rsidRPr="0062050C" w:rsidRDefault="0062050C" w:rsidP="00350173">
            <w:pPr>
              <w:spacing w:line="276" w:lineRule="auto"/>
              <w:jc w:val="right"/>
              <w:rPr>
                <w:rFonts w:eastAsia="Times New Roman"/>
                <w:sz w:val="24"/>
                <w:szCs w:val="24"/>
                <w:lang w:eastAsia="ru-RU"/>
              </w:rPr>
            </w:pPr>
            <w:r w:rsidRPr="0062050C">
              <w:rPr>
                <w:rFonts w:eastAsia="Times New Roman"/>
                <w:sz w:val="24"/>
                <w:szCs w:val="24"/>
                <w:lang w:eastAsia="ru-RU"/>
              </w:rPr>
              <w:t>0,39</w:t>
            </w:r>
          </w:p>
        </w:tc>
        <w:tc>
          <w:tcPr>
            <w:tcW w:w="0" w:type="auto"/>
          </w:tcPr>
          <w:p w:rsidR="0062050C" w:rsidRPr="0062050C" w:rsidRDefault="0062050C" w:rsidP="00350173">
            <w:pPr>
              <w:spacing w:line="276" w:lineRule="auto"/>
              <w:jc w:val="right"/>
              <w:rPr>
                <w:rFonts w:eastAsia="Times New Roman"/>
                <w:sz w:val="24"/>
                <w:szCs w:val="24"/>
                <w:lang w:eastAsia="ru-RU"/>
              </w:rPr>
            </w:pPr>
            <w:r w:rsidRPr="0062050C">
              <w:rPr>
                <w:rFonts w:eastAsia="Times New Roman"/>
                <w:sz w:val="24"/>
                <w:szCs w:val="24"/>
                <w:lang w:eastAsia="ru-RU"/>
              </w:rPr>
              <w:t>0,84</w:t>
            </w:r>
          </w:p>
        </w:tc>
        <w:tc>
          <w:tcPr>
            <w:tcW w:w="0" w:type="auto"/>
            <w:shd w:val="clear" w:color="auto" w:fill="auto"/>
            <w:noWrap/>
            <w:vAlign w:val="center"/>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215,38</w:t>
            </w:r>
          </w:p>
        </w:tc>
        <w:tc>
          <w:tcPr>
            <w:tcW w:w="0" w:type="auto"/>
            <w:shd w:val="clear" w:color="auto" w:fill="auto"/>
            <w:noWrap/>
          </w:tcPr>
          <w:p w:rsidR="0062050C" w:rsidRPr="0062050C" w:rsidRDefault="0062050C" w:rsidP="00350173">
            <w:pPr>
              <w:spacing w:line="276" w:lineRule="auto"/>
              <w:jc w:val="center"/>
              <w:rPr>
                <w:rFonts w:eastAsia="Times New Roman"/>
                <w:sz w:val="24"/>
                <w:szCs w:val="24"/>
                <w:lang w:eastAsia="ru-RU"/>
              </w:rPr>
            </w:pPr>
            <w:r w:rsidRPr="0062050C">
              <w:rPr>
                <w:rFonts w:eastAsia="Times New Roman"/>
                <w:sz w:val="24"/>
                <w:szCs w:val="24"/>
                <w:lang w:eastAsia="ru-RU"/>
              </w:rPr>
              <w:t>0,00</w:t>
            </w:r>
          </w:p>
        </w:tc>
        <w:tc>
          <w:tcPr>
            <w:tcW w:w="0" w:type="auto"/>
          </w:tcPr>
          <w:p w:rsidR="0062050C" w:rsidRPr="0062050C" w:rsidRDefault="0062050C" w:rsidP="00350173">
            <w:pPr>
              <w:spacing w:line="276" w:lineRule="auto"/>
              <w:jc w:val="center"/>
              <w:rPr>
                <w:rFonts w:eastAsia="Times New Roman"/>
                <w:sz w:val="24"/>
                <w:szCs w:val="24"/>
                <w:lang w:eastAsia="ru-RU"/>
              </w:rPr>
            </w:pPr>
            <w:r w:rsidRPr="0062050C">
              <w:rPr>
                <w:rFonts w:eastAsia="Times New Roman"/>
                <w:sz w:val="24"/>
                <w:szCs w:val="24"/>
                <w:lang w:eastAsia="ru-RU"/>
              </w:rPr>
              <w:t>0,59</w:t>
            </w:r>
          </w:p>
        </w:tc>
        <w:tc>
          <w:tcPr>
            <w:tcW w:w="0" w:type="auto"/>
            <w:shd w:val="clear" w:color="auto" w:fill="auto"/>
            <w:noWrap/>
            <w:vAlign w:val="center"/>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w:t>
            </w:r>
          </w:p>
        </w:tc>
        <w:tc>
          <w:tcPr>
            <w:tcW w:w="0" w:type="auto"/>
            <w:shd w:val="clear" w:color="auto" w:fill="auto"/>
            <w:noWrap/>
          </w:tcPr>
          <w:p w:rsidR="0062050C" w:rsidRPr="0062050C" w:rsidRDefault="0062050C" w:rsidP="00350173">
            <w:pPr>
              <w:spacing w:line="276" w:lineRule="auto"/>
              <w:jc w:val="center"/>
              <w:rPr>
                <w:rFonts w:eastAsia="Times New Roman"/>
                <w:sz w:val="24"/>
                <w:szCs w:val="24"/>
                <w:lang w:eastAsia="ru-RU"/>
              </w:rPr>
            </w:pPr>
            <w:r w:rsidRPr="0062050C">
              <w:rPr>
                <w:rFonts w:eastAsia="Times New Roman"/>
                <w:sz w:val="24"/>
                <w:szCs w:val="24"/>
                <w:lang w:eastAsia="ru-RU"/>
              </w:rPr>
              <w:t>8,11</w:t>
            </w:r>
          </w:p>
        </w:tc>
        <w:tc>
          <w:tcPr>
            <w:tcW w:w="0" w:type="auto"/>
            <w:shd w:val="clear" w:color="auto" w:fill="auto"/>
            <w:noWrap/>
          </w:tcPr>
          <w:p w:rsidR="0062050C" w:rsidRPr="0062050C" w:rsidRDefault="0062050C" w:rsidP="00350173">
            <w:pPr>
              <w:spacing w:line="276" w:lineRule="auto"/>
              <w:jc w:val="center"/>
              <w:rPr>
                <w:rFonts w:eastAsia="Times New Roman"/>
                <w:sz w:val="24"/>
                <w:szCs w:val="24"/>
                <w:lang w:eastAsia="ru-RU"/>
              </w:rPr>
            </w:pPr>
            <w:r w:rsidRPr="0062050C">
              <w:rPr>
                <w:rFonts w:eastAsia="Times New Roman"/>
                <w:sz w:val="24"/>
                <w:szCs w:val="24"/>
                <w:lang w:eastAsia="ru-RU"/>
              </w:rPr>
              <w:t>5,84</w:t>
            </w:r>
          </w:p>
        </w:tc>
        <w:tc>
          <w:tcPr>
            <w:tcW w:w="1108" w:type="dxa"/>
            <w:vAlign w:val="center"/>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72,01</w:t>
            </w:r>
          </w:p>
        </w:tc>
      </w:tr>
      <w:tr w:rsidR="0062050C" w:rsidRPr="0062050C" w:rsidTr="00A57A57">
        <w:trPr>
          <w:trHeight w:val="225"/>
          <w:jc w:val="center"/>
        </w:trPr>
        <w:tc>
          <w:tcPr>
            <w:tcW w:w="2262" w:type="dxa"/>
            <w:shd w:val="clear" w:color="auto" w:fill="auto"/>
            <w:noWrap/>
            <w:hideMark/>
          </w:tcPr>
          <w:p w:rsidR="0062050C" w:rsidRPr="0062050C" w:rsidRDefault="0062050C" w:rsidP="00350173">
            <w:pPr>
              <w:spacing w:line="276" w:lineRule="auto"/>
              <w:jc w:val="left"/>
              <w:rPr>
                <w:rFonts w:eastAsia="Times New Roman"/>
                <w:sz w:val="24"/>
                <w:szCs w:val="24"/>
                <w:lang w:eastAsia="ru-RU"/>
              </w:rPr>
            </w:pPr>
            <w:r w:rsidRPr="0062050C">
              <w:rPr>
                <w:rFonts w:eastAsia="Times New Roman"/>
                <w:sz w:val="24"/>
                <w:szCs w:val="24"/>
                <w:lang w:eastAsia="ru-RU"/>
              </w:rPr>
              <w:t>Закарпатська</w:t>
            </w:r>
          </w:p>
        </w:tc>
        <w:tc>
          <w:tcPr>
            <w:tcW w:w="0" w:type="auto"/>
            <w:shd w:val="clear" w:color="auto" w:fill="auto"/>
            <w:noWrap/>
          </w:tcPr>
          <w:p w:rsidR="0062050C" w:rsidRPr="0062050C" w:rsidRDefault="0062050C" w:rsidP="00350173">
            <w:pPr>
              <w:spacing w:line="276" w:lineRule="auto"/>
              <w:jc w:val="right"/>
              <w:rPr>
                <w:rFonts w:eastAsia="Times New Roman"/>
                <w:sz w:val="24"/>
                <w:szCs w:val="24"/>
                <w:lang w:eastAsia="ru-RU"/>
              </w:rPr>
            </w:pPr>
            <w:r w:rsidRPr="0062050C">
              <w:rPr>
                <w:rFonts w:eastAsia="Times New Roman"/>
                <w:sz w:val="24"/>
                <w:szCs w:val="24"/>
                <w:lang w:eastAsia="ru-RU"/>
              </w:rPr>
              <w:t>3,13</w:t>
            </w:r>
          </w:p>
        </w:tc>
        <w:tc>
          <w:tcPr>
            <w:tcW w:w="0" w:type="auto"/>
          </w:tcPr>
          <w:p w:rsidR="0062050C" w:rsidRPr="0062050C" w:rsidRDefault="0062050C" w:rsidP="00350173">
            <w:pPr>
              <w:spacing w:line="276" w:lineRule="auto"/>
              <w:jc w:val="right"/>
              <w:rPr>
                <w:rFonts w:eastAsia="Times New Roman"/>
                <w:sz w:val="24"/>
                <w:szCs w:val="24"/>
                <w:lang w:eastAsia="ru-RU"/>
              </w:rPr>
            </w:pPr>
            <w:r w:rsidRPr="0062050C">
              <w:rPr>
                <w:rFonts w:eastAsia="Times New Roman"/>
                <w:sz w:val="24"/>
                <w:szCs w:val="24"/>
                <w:lang w:eastAsia="ru-RU"/>
              </w:rPr>
              <w:t>2,62</w:t>
            </w:r>
          </w:p>
        </w:tc>
        <w:tc>
          <w:tcPr>
            <w:tcW w:w="0" w:type="auto"/>
            <w:shd w:val="clear" w:color="auto" w:fill="auto"/>
            <w:noWrap/>
            <w:vAlign w:val="center"/>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83,71</w:t>
            </w:r>
          </w:p>
        </w:tc>
        <w:tc>
          <w:tcPr>
            <w:tcW w:w="0" w:type="auto"/>
            <w:shd w:val="clear" w:color="auto" w:fill="auto"/>
            <w:noWrap/>
          </w:tcPr>
          <w:p w:rsidR="0062050C" w:rsidRPr="0062050C" w:rsidRDefault="0062050C" w:rsidP="00350173">
            <w:pPr>
              <w:spacing w:line="276" w:lineRule="auto"/>
              <w:jc w:val="center"/>
              <w:rPr>
                <w:rFonts w:eastAsia="Times New Roman"/>
                <w:sz w:val="24"/>
                <w:szCs w:val="24"/>
                <w:lang w:eastAsia="ru-RU"/>
              </w:rPr>
            </w:pPr>
            <w:r w:rsidRPr="0062050C">
              <w:rPr>
                <w:rFonts w:eastAsia="Times New Roman"/>
                <w:sz w:val="24"/>
                <w:szCs w:val="24"/>
                <w:lang w:eastAsia="ru-RU"/>
              </w:rPr>
              <w:t>1,33</w:t>
            </w:r>
          </w:p>
        </w:tc>
        <w:tc>
          <w:tcPr>
            <w:tcW w:w="0" w:type="auto"/>
          </w:tcPr>
          <w:p w:rsidR="0062050C" w:rsidRPr="0062050C" w:rsidRDefault="0062050C" w:rsidP="00350173">
            <w:pPr>
              <w:spacing w:line="276" w:lineRule="auto"/>
              <w:jc w:val="center"/>
              <w:rPr>
                <w:rFonts w:eastAsia="Times New Roman"/>
                <w:sz w:val="24"/>
                <w:szCs w:val="24"/>
                <w:lang w:eastAsia="ru-RU"/>
              </w:rPr>
            </w:pPr>
            <w:r w:rsidRPr="0062050C">
              <w:rPr>
                <w:rFonts w:eastAsia="Times New Roman"/>
                <w:sz w:val="24"/>
                <w:szCs w:val="24"/>
                <w:lang w:eastAsia="ru-RU"/>
              </w:rPr>
              <w:t>0,92</w:t>
            </w:r>
          </w:p>
        </w:tc>
        <w:tc>
          <w:tcPr>
            <w:tcW w:w="0" w:type="auto"/>
            <w:shd w:val="clear" w:color="auto" w:fill="auto"/>
            <w:noWrap/>
            <w:vAlign w:val="center"/>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69,17</w:t>
            </w:r>
          </w:p>
        </w:tc>
        <w:tc>
          <w:tcPr>
            <w:tcW w:w="0" w:type="auto"/>
            <w:shd w:val="clear" w:color="auto" w:fill="auto"/>
            <w:noWrap/>
          </w:tcPr>
          <w:p w:rsidR="0062050C" w:rsidRPr="0062050C" w:rsidRDefault="0062050C" w:rsidP="00350173">
            <w:pPr>
              <w:spacing w:line="276" w:lineRule="auto"/>
              <w:jc w:val="center"/>
              <w:rPr>
                <w:rFonts w:eastAsia="Times New Roman"/>
                <w:sz w:val="24"/>
                <w:szCs w:val="24"/>
                <w:lang w:eastAsia="ru-RU"/>
              </w:rPr>
            </w:pPr>
            <w:r w:rsidRPr="0062050C">
              <w:rPr>
                <w:rFonts w:eastAsia="Times New Roman"/>
                <w:sz w:val="24"/>
                <w:szCs w:val="24"/>
                <w:lang w:eastAsia="ru-RU"/>
              </w:rPr>
              <w:t>39,95</w:t>
            </w:r>
          </w:p>
        </w:tc>
        <w:tc>
          <w:tcPr>
            <w:tcW w:w="0" w:type="auto"/>
            <w:shd w:val="clear" w:color="auto" w:fill="auto"/>
            <w:noWrap/>
          </w:tcPr>
          <w:p w:rsidR="0062050C" w:rsidRPr="0062050C" w:rsidRDefault="0062050C" w:rsidP="00350173">
            <w:pPr>
              <w:spacing w:line="276" w:lineRule="auto"/>
              <w:jc w:val="center"/>
              <w:rPr>
                <w:rFonts w:eastAsia="Times New Roman"/>
                <w:sz w:val="24"/>
                <w:szCs w:val="24"/>
                <w:lang w:eastAsia="ru-RU"/>
              </w:rPr>
            </w:pPr>
            <w:r w:rsidRPr="0062050C">
              <w:rPr>
                <w:rFonts w:eastAsia="Times New Roman"/>
                <w:sz w:val="24"/>
                <w:szCs w:val="24"/>
                <w:lang w:eastAsia="ru-RU"/>
              </w:rPr>
              <w:t>34,33</w:t>
            </w:r>
          </w:p>
        </w:tc>
        <w:tc>
          <w:tcPr>
            <w:tcW w:w="1108" w:type="dxa"/>
            <w:vAlign w:val="center"/>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85,93</w:t>
            </w:r>
          </w:p>
        </w:tc>
      </w:tr>
      <w:tr w:rsidR="0062050C" w:rsidRPr="0062050C" w:rsidTr="00A57A57">
        <w:trPr>
          <w:trHeight w:val="225"/>
          <w:jc w:val="center"/>
        </w:trPr>
        <w:tc>
          <w:tcPr>
            <w:tcW w:w="2262" w:type="dxa"/>
            <w:shd w:val="clear" w:color="auto" w:fill="auto"/>
            <w:noWrap/>
            <w:hideMark/>
          </w:tcPr>
          <w:p w:rsidR="0062050C" w:rsidRPr="0062050C" w:rsidRDefault="0062050C" w:rsidP="00350173">
            <w:pPr>
              <w:spacing w:line="276" w:lineRule="auto"/>
              <w:jc w:val="left"/>
              <w:rPr>
                <w:rFonts w:eastAsia="Times New Roman"/>
                <w:sz w:val="24"/>
                <w:szCs w:val="24"/>
                <w:lang w:eastAsia="ru-RU"/>
              </w:rPr>
            </w:pPr>
            <w:r w:rsidRPr="0062050C">
              <w:rPr>
                <w:rFonts w:eastAsia="Times New Roman"/>
                <w:sz w:val="24"/>
                <w:szCs w:val="24"/>
                <w:lang w:eastAsia="ru-RU"/>
              </w:rPr>
              <w:t>Запорізька</w:t>
            </w:r>
          </w:p>
        </w:tc>
        <w:tc>
          <w:tcPr>
            <w:tcW w:w="0" w:type="auto"/>
            <w:shd w:val="clear" w:color="auto" w:fill="auto"/>
            <w:noWrap/>
          </w:tcPr>
          <w:p w:rsidR="0062050C" w:rsidRPr="0062050C" w:rsidRDefault="0062050C" w:rsidP="00350173">
            <w:pPr>
              <w:spacing w:line="276" w:lineRule="auto"/>
              <w:jc w:val="right"/>
              <w:rPr>
                <w:rFonts w:eastAsia="Times New Roman"/>
                <w:sz w:val="24"/>
                <w:szCs w:val="24"/>
                <w:lang w:eastAsia="ru-RU"/>
              </w:rPr>
            </w:pPr>
            <w:r w:rsidRPr="0062050C">
              <w:rPr>
                <w:rFonts w:eastAsia="Times New Roman"/>
                <w:sz w:val="24"/>
                <w:szCs w:val="24"/>
                <w:lang w:eastAsia="ru-RU"/>
              </w:rPr>
              <w:t>2,24</w:t>
            </w:r>
          </w:p>
        </w:tc>
        <w:tc>
          <w:tcPr>
            <w:tcW w:w="0" w:type="auto"/>
          </w:tcPr>
          <w:p w:rsidR="0062050C" w:rsidRPr="0062050C" w:rsidRDefault="0062050C" w:rsidP="00350173">
            <w:pPr>
              <w:spacing w:line="276" w:lineRule="auto"/>
              <w:jc w:val="right"/>
              <w:rPr>
                <w:rFonts w:eastAsia="Times New Roman"/>
                <w:sz w:val="24"/>
                <w:szCs w:val="24"/>
                <w:lang w:eastAsia="ru-RU"/>
              </w:rPr>
            </w:pPr>
            <w:r w:rsidRPr="0062050C">
              <w:rPr>
                <w:rFonts w:eastAsia="Times New Roman"/>
                <w:sz w:val="24"/>
                <w:szCs w:val="24"/>
                <w:lang w:eastAsia="ru-RU"/>
              </w:rPr>
              <w:t>3,03</w:t>
            </w:r>
          </w:p>
        </w:tc>
        <w:tc>
          <w:tcPr>
            <w:tcW w:w="0" w:type="auto"/>
            <w:shd w:val="clear" w:color="auto" w:fill="auto"/>
            <w:noWrap/>
            <w:vAlign w:val="center"/>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135,27</w:t>
            </w:r>
          </w:p>
        </w:tc>
        <w:tc>
          <w:tcPr>
            <w:tcW w:w="0" w:type="auto"/>
            <w:shd w:val="clear" w:color="auto" w:fill="auto"/>
            <w:noWrap/>
          </w:tcPr>
          <w:p w:rsidR="0062050C" w:rsidRPr="0062050C" w:rsidRDefault="0062050C" w:rsidP="00350173">
            <w:pPr>
              <w:spacing w:line="276" w:lineRule="auto"/>
              <w:jc w:val="center"/>
              <w:rPr>
                <w:rFonts w:eastAsia="Times New Roman"/>
                <w:sz w:val="24"/>
                <w:szCs w:val="24"/>
                <w:lang w:eastAsia="ru-RU"/>
              </w:rPr>
            </w:pPr>
            <w:r w:rsidRPr="0062050C">
              <w:rPr>
                <w:rFonts w:eastAsia="Times New Roman"/>
                <w:sz w:val="24"/>
                <w:szCs w:val="24"/>
                <w:lang w:eastAsia="ru-RU"/>
              </w:rPr>
              <w:t>1,01</w:t>
            </w:r>
          </w:p>
        </w:tc>
        <w:tc>
          <w:tcPr>
            <w:tcW w:w="0" w:type="auto"/>
          </w:tcPr>
          <w:p w:rsidR="0062050C" w:rsidRPr="0062050C" w:rsidRDefault="0062050C" w:rsidP="00350173">
            <w:pPr>
              <w:spacing w:line="276" w:lineRule="auto"/>
              <w:jc w:val="center"/>
              <w:rPr>
                <w:rFonts w:eastAsia="Times New Roman"/>
                <w:sz w:val="24"/>
                <w:szCs w:val="24"/>
                <w:lang w:eastAsia="ru-RU"/>
              </w:rPr>
            </w:pPr>
            <w:r w:rsidRPr="0062050C">
              <w:rPr>
                <w:rFonts w:eastAsia="Times New Roman"/>
                <w:sz w:val="24"/>
                <w:szCs w:val="24"/>
                <w:lang w:eastAsia="ru-RU"/>
              </w:rPr>
              <w:t>0,78</w:t>
            </w:r>
          </w:p>
        </w:tc>
        <w:tc>
          <w:tcPr>
            <w:tcW w:w="0" w:type="auto"/>
            <w:shd w:val="clear" w:color="auto" w:fill="auto"/>
            <w:noWrap/>
            <w:vAlign w:val="center"/>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77,23</w:t>
            </w:r>
          </w:p>
        </w:tc>
        <w:tc>
          <w:tcPr>
            <w:tcW w:w="0" w:type="auto"/>
            <w:shd w:val="clear" w:color="auto" w:fill="auto"/>
            <w:noWrap/>
          </w:tcPr>
          <w:p w:rsidR="0062050C" w:rsidRPr="0062050C" w:rsidRDefault="0062050C" w:rsidP="00350173">
            <w:pPr>
              <w:spacing w:line="276" w:lineRule="auto"/>
              <w:jc w:val="center"/>
              <w:rPr>
                <w:rFonts w:eastAsia="Times New Roman"/>
                <w:sz w:val="24"/>
                <w:szCs w:val="24"/>
                <w:lang w:eastAsia="ru-RU"/>
              </w:rPr>
            </w:pPr>
            <w:r w:rsidRPr="0062050C">
              <w:rPr>
                <w:rFonts w:eastAsia="Times New Roman"/>
                <w:sz w:val="24"/>
                <w:szCs w:val="24"/>
                <w:lang w:eastAsia="ru-RU"/>
              </w:rPr>
              <w:t>23,32</w:t>
            </w:r>
          </w:p>
        </w:tc>
        <w:tc>
          <w:tcPr>
            <w:tcW w:w="0" w:type="auto"/>
            <w:shd w:val="clear" w:color="auto" w:fill="auto"/>
            <w:noWrap/>
          </w:tcPr>
          <w:p w:rsidR="0062050C" w:rsidRPr="0062050C" w:rsidRDefault="0062050C" w:rsidP="00350173">
            <w:pPr>
              <w:spacing w:line="276" w:lineRule="auto"/>
              <w:jc w:val="center"/>
              <w:rPr>
                <w:rFonts w:eastAsia="Times New Roman"/>
                <w:sz w:val="24"/>
                <w:szCs w:val="24"/>
                <w:lang w:eastAsia="ru-RU"/>
              </w:rPr>
            </w:pPr>
            <w:r w:rsidRPr="0062050C">
              <w:rPr>
                <w:rFonts w:eastAsia="Times New Roman"/>
                <w:sz w:val="24"/>
                <w:szCs w:val="24"/>
                <w:lang w:eastAsia="ru-RU"/>
              </w:rPr>
              <w:t>40,82</w:t>
            </w:r>
          </w:p>
        </w:tc>
        <w:tc>
          <w:tcPr>
            <w:tcW w:w="1108" w:type="dxa"/>
            <w:vAlign w:val="center"/>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175,04</w:t>
            </w:r>
          </w:p>
        </w:tc>
      </w:tr>
      <w:tr w:rsidR="0062050C" w:rsidRPr="0062050C" w:rsidTr="00A57A57">
        <w:trPr>
          <w:trHeight w:val="225"/>
          <w:jc w:val="center"/>
        </w:trPr>
        <w:tc>
          <w:tcPr>
            <w:tcW w:w="2262" w:type="dxa"/>
            <w:shd w:val="clear" w:color="auto" w:fill="auto"/>
            <w:noWrap/>
            <w:hideMark/>
          </w:tcPr>
          <w:p w:rsidR="0062050C" w:rsidRPr="0062050C" w:rsidRDefault="0062050C" w:rsidP="00350173">
            <w:pPr>
              <w:spacing w:line="276" w:lineRule="auto"/>
              <w:jc w:val="left"/>
              <w:rPr>
                <w:rFonts w:eastAsia="Times New Roman"/>
                <w:sz w:val="24"/>
                <w:szCs w:val="24"/>
                <w:lang w:eastAsia="ru-RU"/>
              </w:rPr>
            </w:pPr>
            <w:r w:rsidRPr="0062050C">
              <w:rPr>
                <w:rFonts w:eastAsia="Times New Roman"/>
                <w:sz w:val="24"/>
                <w:szCs w:val="24"/>
                <w:lang w:eastAsia="ru-RU"/>
              </w:rPr>
              <w:t>Івано-Франківська</w:t>
            </w:r>
          </w:p>
        </w:tc>
        <w:tc>
          <w:tcPr>
            <w:tcW w:w="0" w:type="auto"/>
            <w:shd w:val="clear" w:color="auto" w:fill="auto"/>
            <w:noWrap/>
          </w:tcPr>
          <w:p w:rsidR="0062050C" w:rsidRPr="0062050C" w:rsidRDefault="0062050C" w:rsidP="00350173">
            <w:pPr>
              <w:spacing w:line="276" w:lineRule="auto"/>
              <w:jc w:val="right"/>
              <w:rPr>
                <w:rFonts w:eastAsia="Times New Roman"/>
                <w:sz w:val="24"/>
                <w:szCs w:val="24"/>
                <w:lang w:eastAsia="ru-RU"/>
              </w:rPr>
            </w:pPr>
            <w:r w:rsidRPr="0062050C">
              <w:rPr>
                <w:rFonts w:eastAsia="Times New Roman"/>
                <w:sz w:val="24"/>
                <w:szCs w:val="24"/>
                <w:lang w:eastAsia="ru-RU"/>
              </w:rPr>
              <w:t>3,50</w:t>
            </w:r>
          </w:p>
        </w:tc>
        <w:tc>
          <w:tcPr>
            <w:tcW w:w="0" w:type="auto"/>
          </w:tcPr>
          <w:p w:rsidR="0062050C" w:rsidRPr="0062050C" w:rsidRDefault="0062050C" w:rsidP="00350173">
            <w:pPr>
              <w:spacing w:line="276" w:lineRule="auto"/>
              <w:jc w:val="right"/>
              <w:rPr>
                <w:rFonts w:eastAsia="Times New Roman"/>
                <w:sz w:val="24"/>
                <w:szCs w:val="24"/>
                <w:lang w:eastAsia="ru-RU"/>
              </w:rPr>
            </w:pPr>
            <w:r w:rsidRPr="0062050C">
              <w:rPr>
                <w:rFonts w:eastAsia="Times New Roman"/>
                <w:sz w:val="24"/>
                <w:szCs w:val="24"/>
                <w:lang w:eastAsia="ru-RU"/>
              </w:rPr>
              <w:t>3,60</w:t>
            </w:r>
          </w:p>
        </w:tc>
        <w:tc>
          <w:tcPr>
            <w:tcW w:w="0" w:type="auto"/>
            <w:shd w:val="clear" w:color="auto" w:fill="auto"/>
            <w:noWrap/>
            <w:vAlign w:val="center"/>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102,86</w:t>
            </w:r>
          </w:p>
        </w:tc>
        <w:tc>
          <w:tcPr>
            <w:tcW w:w="0" w:type="auto"/>
            <w:shd w:val="clear" w:color="auto" w:fill="auto"/>
            <w:noWrap/>
          </w:tcPr>
          <w:p w:rsidR="0062050C" w:rsidRPr="0062050C" w:rsidRDefault="0062050C" w:rsidP="00350173">
            <w:pPr>
              <w:spacing w:line="276" w:lineRule="auto"/>
              <w:jc w:val="center"/>
              <w:rPr>
                <w:rFonts w:eastAsia="Times New Roman"/>
                <w:sz w:val="24"/>
                <w:szCs w:val="24"/>
                <w:lang w:eastAsia="ru-RU"/>
              </w:rPr>
            </w:pPr>
            <w:r w:rsidRPr="0062050C">
              <w:rPr>
                <w:rFonts w:eastAsia="Times New Roman"/>
                <w:sz w:val="24"/>
                <w:szCs w:val="24"/>
                <w:lang w:eastAsia="ru-RU"/>
              </w:rPr>
              <w:t>1,06</w:t>
            </w:r>
          </w:p>
        </w:tc>
        <w:tc>
          <w:tcPr>
            <w:tcW w:w="0" w:type="auto"/>
          </w:tcPr>
          <w:p w:rsidR="0062050C" w:rsidRPr="0062050C" w:rsidRDefault="0062050C" w:rsidP="00350173">
            <w:pPr>
              <w:spacing w:line="276" w:lineRule="auto"/>
              <w:jc w:val="center"/>
              <w:rPr>
                <w:rFonts w:eastAsia="Times New Roman"/>
                <w:sz w:val="24"/>
                <w:szCs w:val="24"/>
                <w:lang w:eastAsia="ru-RU"/>
              </w:rPr>
            </w:pPr>
            <w:r w:rsidRPr="0062050C">
              <w:rPr>
                <w:rFonts w:eastAsia="Times New Roman"/>
                <w:sz w:val="24"/>
                <w:szCs w:val="24"/>
                <w:lang w:eastAsia="ru-RU"/>
              </w:rPr>
              <w:t>0,74</w:t>
            </w:r>
          </w:p>
        </w:tc>
        <w:tc>
          <w:tcPr>
            <w:tcW w:w="0" w:type="auto"/>
            <w:shd w:val="clear" w:color="auto" w:fill="auto"/>
            <w:noWrap/>
            <w:vAlign w:val="center"/>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69,81</w:t>
            </w:r>
          </w:p>
        </w:tc>
        <w:tc>
          <w:tcPr>
            <w:tcW w:w="0" w:type="auto"/>
            <w:shd w:val="clear" w:color="auto" w:fill="auto"/>
            <w:noWrap/>
          </w:tcPr>
          <w:p w:rsidR="0062050C" w:rsidRPr="0062050C" w:rsidRDefault="0062050C" w:rsidP="00350173">
            <w:pPr>
              <w:spacing w:line="276" w:lineRule="auto"/>
              <w:jc w:val="center"/>
              <w:rPr>
                <w:rFonts w:eastAsia="Times New Roman"/>
                <w:sz w:val="24"/>
                <w:szCs w:val="24"/>
                <w:lang w:eastAsia="ru-RU"/>
              </w:rPr>
            </w:pPr>
            <w:r w:rsidRPr="0062050C">
              <w:rPr>
                <w:rFonts w:eastAsia="Times New Roman"/>
                <w:sz w:val="24"/>
                <w:szCs w:val="24"/>
                <w:lang w:eastAsia="ru-RU"/>
              </w:rPr>
              <w:t>52,30</w:t>
            </w:r>
          </w:p>
        </w:tc>
        <w:tc>
          <w:tcPr>
            <w:tcW w:w="0" w:type="auto"/>
            <w:shd w:val="clear" w:color="auto" w:fill="auto"/>
            <w:noWrap/>
          </w:tcPr>
          <w:p w:rsidR="0062050C" w:rsidRPr="0062050C" w:rsidRDefault="0062050C" w:rsidP="00350173">
            <w:pPr>
              <w:spacing w:line="276" w:lineRule="auto"/>
              <w:jc w:val="center"/>
              <w:rPr>
                <w:rFonts w:eastAsia="Times New Roman"/>
                <w:sz w:val="24"/>
                <w:szCs w:val="24"/>
                <w:lang w:eastAsia="ru-RU"/>
              </w:rPr>
            </w:pPr>
            <w:r w:rsidRPr="0062050C">
              <w:rPr>
                <w:rFonts w:eastAsia="Times New Roman"/>
                <w:sz w:val="24"/>
                <w:szCs w:val="24"/>
                <w:lang w:eastAsia="ru-RU"/>
              </w:rPr>
              <w:t>68,90</w:t>
            </w:r>
          </w:p>
        </w:tc>
        <w:tc>
          <w:tcPr>
            <w:tcW w:w="1108" w:type="dxa"/>
            <w:vAlign w:val="center"/>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131,74</w:t>
            </w:r>
          </w:p>
        </w:tc>
      </w:tr>
      <w:tr w:rsidR="0062050C" w:rsidRPr="0062050C" w:rsidTr="00A57A57">
        <w:trPr>
          <w:trHeight w:val="225"/>
          <w:jc w:val="center"/>
        </w:trPr>
        <w:tc>
          <w:tcPr>
            <w:tcW w:w="2262" w:type="dxa"/>
            <w:shd w:val="clear" w:color="auto" w:fill="auto"/>
            <w:noWrap/>
            <w:hideMark/>
          </w:tcPr>
          <w:p w:rsidR="0062050C" w:rsidRPr="0062050C" w:rsidRDefault="0062050C" w:rsidP="00350173">
            <w:pPr>
              <w:spacing w:line="276" w:lineRule="auto"/>
              <w:jc w:val="left"/>
              <w:rPr>
                <w:rFonts w:eastAsia="Times New Roman"/>
                <w:sz w:val="24"/>
                <w:szCs w:val="24"/>
                <w:lang w:eastAsia="ru-RU"/>
              </w:rPr>
            </w:pPr>
            <w:r w:rsidRPr="0062050C">
              <w:rPr>
                <w:rFonts w:eastAsia="Times New Roman"/>
                <w:sz w:val="24"/>
                <w:szCs w:val="24"/>
                <w:lang w:eastAsia="ru-RU"/>
              </w:rPr>
              <w:t>Київська</w:t>
            </w:r>
          </w:p>
        </w:tc>
        <w:tc>
          <w:tcPr>
            <w:tcW w:w="0" w:type="auto"/>
            <w:shd w:val="clear" w:color="auto" w:fill="auto"/>
            <w:noWrap/>
          </w:tcPr>
          <w:p w:rsidR="0062050C" w:rsidRPr="0062050C" w:rsidRDefault="0062050C" w:rsidP="00350173">
            <w:pPr>
              <w:spacing w:line="276" w:lineRule="auto"/>
              <w:jc w:val="right"/>
              <w:rPr>
                <w:rFonts w:eastAsia="Times New Roman"/>
                <w:sz w:val="24"/>
                <w:szCs w:val="24"/>
                <w:lang w:eastAsia="ru-RU"/>
              </w:rPr>
            </w:pPr>
            <w:r w:rsidRPr="0062050C">
              <w:rPr>
                <w:rFonts w:eastAsia="Times New Roman"/>
                <w:sz w:val="24"/>
                <w:szCs w:val="24"/>
                <w:lang w:eastAsia="ru-RU"/>
              </w:rPr>
              <w:t>1,68</w:t>
            </w:r>
          </w:p>
        </w:tc>
        <w:tc>
          <w:tcPr>
            <w:tcW w:w="0" w:type="auto"/>
          </w:tcPr>
          <w:p w:rsidR="0062050C" w:rsidRPr="0062050C" w:rsidRDefault="0062050C" w:rsidP="00350173">
            <w:pPr>
              <w:spacing w:line="276" w:lineRule="auto"/>
              <w:jc w:val="right"/>
              <w:rPr>
                <w:rFonts w:eastAsia="Times New Roman"/>
                <w:sz w:val="24"/>
                <w:szCs w:val="24"/>
                <w:lang w:eastAsia="ru-RU"/>
              </w:rPr>
            </w:pPr>
            <w:r w:rsidRPr="0062050C">
              <w:rPr>
                <w:rFonts w:eastAsia="Times New Roman"/>
                <w:sz w:val="24"/>
                <w:szCs w:val="24"/>
                <w:lang w:eastAsia="ru-RU"/>
              </w:rPr>
              <w:t>2,16</w:t>
            </w:r>
          </w:p>
        </w:tc>
        <w:tc>
          <w:tcPr>
            <w:tcW w:w="0" w:type="auto"/>
            <w:shd w:val="clear" w:color="auto" w:fill="auto"/>
            <w:noWrap/>
            <w:vAlign w:val="center"/>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128,57</w:t>
            </w:r>
          </w:p>
        </w:tc>
        <w:tc>
          <w:tcPr>
            <w:tcW w:w="0" w:type="auto"/>
            <w:shd w:val="clear" w:color="auto" w:fill="auto"/>
            <w:noWrap/>
          </w:tcPr>
          <w:p w:rsidR="0062050C" w:rsidRPr="0062050C" w:rsidRDefault="0062050C" w:rsidP="00350173">
            <w:pPr>
              <w:spacing w:line="276" w:lineRule="auto"/>
              <w:jc w:val="center"/>
              <w:rPr>
                <w:rFonts w:eastAsia="Times New Roman"/>
                <w:sz w:val="24"/>
                <w:szCs w:val="24"/>
                <w:lang w:eastAsia="ru-RU"/>
              </w:rPr>
            </w:pPr>
            <w:r w:rsidRPr="0062050C">
              <w:rPr>
                <w:rFonts w:eastAsia="Times New Roman"/>
                <w:sz w:val="24"/>
                <w:szCs w:val="24"/>
                <w:lang w:eastAsia="ru-RU"/>
              </w:rPr>
              <w:t>0,18</w:t>
            </w:r>
          </w:p>
        </w:tc>
        <w:tc>
          <w:tcPr>
            <w:tcW w:w="0" w:type="auto"/>
          </w:tcPr>
          <w:p w:rsidR="0062050C" w:rsidRPr="0062050C" w:rsidRDefault="0062050C" w:rsidP="00350173">
            <w:pPr>
              <w:spacing w:line="276" w:lineRule="auto"/>
              <w:jc w:val="center"/>
              <w:rPr>
                <w:rFonts w:eastAsia="Times New Roman"/>
                <w:sz w:val="24"/>
                <w:szCs w:val="24"/>
                <w:lang w:eastAsia="ru-RU"/>
              </w:rPr>
            </w:pPr>
            <w:r w:rsidRPr="0062050C">
              <w:rPr>
                <w:rFonts w:eastAsia="Times New Roman"/>
                <w:sz w:val="24"/>
                <w:szCs w:val="24"/>
                <w:lang w:eastAsia="ru-RU"/>
              </w:rPr>
              <w:t>0,57</w:t>
            </w:r>
          </w:p>
        </w:tc>
        <w:tc>
          <w:tcPr>
            <w:tcW w:w="0" w:type="auto"/>
            <w:shd w:val="clear" w:color="auto" w:fill="auto"/>
            <w:noWrap/>
            <w:vAlign w:val="center"/>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316,67</w:t>
            </w:r>
          </w:p>
        </w:tc>
        <w:tc>
          <w:tcPr>
            <w:tcW w:w="0" w:type="auto"/>
            <w:shd w:val="clear" w:color="auto" w:fill="auto"/>
            <w:noWrap/>
          </w:tcPr>
          <w:p w:rsidR="0062050C" w:rsidRPr="0062050C" w:rsidRDefault="0062050C" w:rsidP="00350173">
            <w:pPr>
              <w:spacing w:line="276" w:lineRule="auto"/>
              <w:jc w:val="center"/>
              <w:rPr>
                <w:rFonts w:eastAsia="Times New Roman"/>
                <w:sz w:val="24"/>
                <w:szCs w:val="24"/>
                <w:lang w:eastAsia="ru-RU"/>
              </w:rPr>
            </w:pPr>
            <w:r w:rsidRPr="0062050C">
              <w:rPr>
                <w:rFonts w:eastAsia="Times New Roman"/>
                <w:sz w:val="24"/>
                <w:szCs w:val="24"/>
                <w:lang w:eastAsia="ru-RU"/>
              </w:rPr>
              <w:t>31,14</w:t>
            </w:r>
          </w:p>
        </w:tc>
        <w:tc>
          <w:tcPr>
            <w:tcW w:w="0" w:type="auto"/>
            <w:shd w:val="clear" w:color="auto" w:fill="auto"/>
            <w:noWrap/>
          </w:tcPr>
          <w:p w:rsidR="0062050C" w:rsidRPr="0062050C" w:rsidRDefault="0062050C" w:rsidP="00350173">
            <w:pPr>
              <w:spacing w:line="276" w:lineRule="auto"/>
              <w:jc w:val="center"/>
              <w:rPr>
                <w:rFonts w:eastAsia="Times New Roman"/>
                <w:sz w:val="24"/>
                <w:szCs w:val="24"/>
                <w:lang w:eastAsia="ru-RU"/>
              </w:rPr>
            </w:pPr>
            <w:r w:rsidRPr="0062050C">
              <w:rPr>
                <w:rFonts w:eastAsia="Times New Roman"/>
                <w:sz w:val="24"/>
                <w:szCs w:val="24"/>
                <w:lang w:eastAsia="ru-RU"/>
              </w:rPr>
              <w:t>30,00</w:t>
            </w:r>
          </w:p>
        </w:tc>
        <w:tc>
          <w:tcPr>
            <w:tcW w:w="1108" w:type="dxa"/>
            <w:vAlign w:val="center"/>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96,34</w:t>
            </w:r>
          </w:p>
        </w:tc>
      </w:tr>
      <w:tr w:rsidR="0062050C" w:rsidRPr="0062050C" w:rsidTr="00A57A57">
        <w:trPr>
          <w:trHeight w:val="225"/>
          <w:jc w:val="center"/>
        </w:trPr>
        <w:tc>
          <w:tcPr>
            <w:tcW w:w="2262" w:type="dxa"/>
            <w:shd w:val="clear" w:color="auto" w:fill="auto"/>
            <w:noWrap/>
            <w:hideMark/>
          </w:tcPr>
          <w:p w:rsidR="0062050C" w:rsidRPr="0062050C" w:rsidRDefault="0062050C" w:rsidP="00350173">
            <w:pPr>
              <w:spacing w:line="276" w:lineRule="auto"/>
              <w:jc w:val="left"/>
              <w:rPr>
                <w:rFonts w:eastAsia="Times New Roman"/>
                <w:sz w:val="24"/>
                <w:szCs w:val="24"/>
                <w:lang w:eastAsia="ru-RU"/>
              </w:rPr>
            </w:pPr>
            <w:r w:rsidRPr="0062050C">
              <w:rPr>
                <w:rFonts w:eastAsia="Times New Roman"/>
                <w:sz w:val="24"/>
                <w:szCs w:val="24"/>
                <w:lang w:eastAsia="ru-RU"/>
              </w:rPr>
              <w:t>Кіровоградська</w:t>
            </w:r>
          </w:p>
        </w:tc>
        <w:tc>
          <w:tcPr>
            <w:tcW w:w="0" w:type="auto"/>
            <w:shd w:val="clear" w:color="auto" w:fill="auto"/>
            <w:noWrap/>
          </w:tcPr>
          <w:p w:rsidR="0062050C" w:rsidRPr="0062050C" w:rsidRDefault="0062050C" w:rsidP="00350173">
            <w:pPr>
              <w:spacing w:line="276" w:lineRule="auto"/>
              <w:jc w:val="right"/>
              <w:rPr>
                <w:rFonts w:eastAsia="Times New Roman"/>
                <w:sz w:val="24"/>
                <w:szCs w:val="24"/>
                <w:lang w:eastAsia="ru-RU"/>
              </w:rPr>
            </w:pPr>
            <w:r w:rsidRPr="0062050C">
              <w:rPr>
                <w:rFonts w:eastAsia="Times New Roman"/>
                <w:sz w:val="24"/>
                <w:szCs w:val="24"/>
                <w:lang w:eastAsia="ru-RU"/>
              </w:rPr>
              <w:t>2,76</w:t>
            </w:r>
          </w:p>
        </w:tc>
        <w:tc>
          <w:tcPr>
            <w:tcW w:w="0" w:type="auto"/>
          </w:tcPr>
          <w:p w:rsidR="0062050C" w:rsidRPr="0062050C" w:rsidRDefault="0062050C" w:rsidP="00350173">
            <w:pPr>
              <w:spacing w:line="276" w:lineRule="auto"/>
              <w:jc w:val="right"/>
              <w:rPr>
                <w:rFonts w:eastAsia="Times New Roman"/>
                <w:sz w:val="24"/>
                <w:szCs w:val="24"/>
                <w:lang w:eastAsia="ru-RU"/>
              </w:rPr>
            </w:pPr>
            <w:r w:rsidRPr="0062050C">
              <w:rPr>
                <w:rFonts w:eastAsia="Times New Roman"/>
                <w:sz w:val="24"/>
                <w:szCs w:val="24"/>
                <w:lang w:eastAsia="ru-RU"/>
              </w:rPr>
              <w:t>3,22</w:t>
            </w:r>
          </w:p>
        </w:tc>
        <w:tc>
          <w:tcPr>
            <w:tcW w:w="0" w:type="auto"/>
            <w:shd w:val="clear" w:color="auto" w:fill="auto"/>
            <w:noWrap/>
            <w:vAlign w:val="center"/>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116,67</w:t>
            </w:r>
          </w:p>
        </w:tc>
        <w:tc>
          <w:tcPr>
            <w:tcW w:w="0" w:type="auto"/>
            <w:shd w:val="clear" w:color="auto" w:fill="auto"/>
            <w:noWrap/>
          </w:tcPr>
          <w:p w:rsidR="0062050C" w:rsidRPr="0062050C" w:rsidRDefault="0062050C" w:rsidP="00350173">
            <w:pPr>
              <w:spacing w:line="276" w:lineRule="auto"/>
              <w:jc w:val="center"/>
              <w:rPr>
                <w:rFonts w:eastAsia="Times New Roman"/>
                <w:sz w:val="24"/>
                <w:szCs w:val="24"/>
                <w:lang w:eastAsia="ru-RU"/>
              </w:rPr>
            </w:pPr>
            <w:r w:rsidRPr="0062050C">
              <w:rPr>
                <w:rFonts w:eastAsia="Times New Roman"/>
                <w:sz w:val="24"/>
                <w:szCs w:val="24"/>
                <w:lang w:eastAsia="ru-RU"/>
              </w:rPr>
              <w:t>1,04</w:t>
            </w:r>
          </w:p>
        </w:tc>
        <w:tc>
          <w:tcPr>
            <w:tcW w:w="0" w:type="auto"/>
          </w:tcPr>
          <w:p w:rsidR="0062050C" w:rsidRPr="0062050C" w:rsidRDefault="0062050C" w:rsidP="00350173">
            <w:pPr>
              <w:spacing w:line="276" w:lineRule="auto"/>
              <w:jc w:val="center"/>
              <w:rPr>
                <w:rFonts w:eastAsia="Times New Roman"/>
                <w:sz w:val="24"/>
                <w:szCs w:val="24"/>
                <w:lang w:eastAsia="ru-RU"/>
              </w:rPr>
            </w:pPr>
            <w:r w:rsidRPr="0062050C">
              <w:rPr>
                <w:rFonts w:eastAsia="Times New Roman"/>
                <w:sz w:val="24"/>
                <w:szCs w:val="24"/>
                <w:lang w:eastAsia="ru-RU"/>
              </w:rPr>
              <w:t>0,93</w:t>
            </w:r>
          </w:p>
        </w:tc>
        <w:tc>
          <w:tcPr>
            <w:tcW w:w="0" w:type="auto"/>
            <w:shd w:val="clear" w:color="auto" w:fill="auto"/>
            <w:noWrap/>
            <w:vAlign w:val="center"/>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89,42</w:t>
            </w:r>
          </w:p>
        </w:tc>
        <w:tc>
          <w:tcPr>
            <w:tcW w:w="0" w:type="auto"/>
            <w:shd w:val="clear" w:color="auto" w:fill="auto"/>
            <w:noWrap/>
          </w:tcPr>
          <w:p w:rsidR="0062050C" w:rsidRPr="0062050C" w:rsidRDefault="0062050C" w:rsidP="00350173">
            <w:pPr>
              <w:spacing w:line="276" w:lineRule="auto"/>
              <w:jc w:val="center"/>
              <w:rPr>
                <w:rFonts w:eastAsia="Times New Roman"/>
                <w:sz w:val="24"/>
                <w:szCs w:val="24"/>
                <w:lang w:eastAsia="ru-RU"/>
              </w:rPr>
            </w:pPr>
            <w:r w:rsidRPr="0062050C">
              <w:rPr>
                <w:rFonts w:eastAsia="Times New Roman"/>
                <w:sz w:val="24"/>
                <w:szCs w:val="24"/>
                <w:lang w:eastAsia="ru-RU"/>
              </w:rPr>
              <w:t>36,59</w:t>
            </w:r>
          </w:p>
        </w:tc>
        <w:tc>
          <w:tcPr>
            <w:tcW w:w="0" w:type="auto"/>
            <w:shd w:val="clear" w:color="auto" w:fill="auto"/>
            <w:noWrap/>
          </w:tcPr>
          <w:p w:rsidR="0062050C" w:rsidRPr="0062050C" w:rsidRDefault="0062050C" w:rsidP="00350173">
            <w:pPr>
              <w:spacing w:line="276" w:lineRule="auto"/>
              <w:jc w:val="center"/>
              <w:rPr>
                <w:rFonts w:eastAsia="Times New Roman"/>
                <w:sz w:val="24"/>
                <w:szCs w:val="24"/>
                <w:lang w:eastAsia="ru-RU"/>
              </w:rPr>
            </w:pPr>
            <w:r w:rsidRPr="0062050C">
              <w:rPr>
                <w:rFonts w:eastAsia="Times New Roman"/>
                <w:sz w:val="24"/>
                <w:szCs w:val="24"/>
                <w:lang w:eastAsia="ru-RU"/>
              </w:rPr>
              <w:t>38,65</w:t>
            </w:r>
          </w:p>
        </w:tc>
        <w:tc>
          <w:tcPr>
            <w:tcW w:w="1108" w:type="dxa"/>
            <w:vAlign w:val="center"/>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105,63</w:t>
            </w:r>
          </w:p>
        </w:tc>
      </w:tr>
      <w:tr w:rsidR="0062050C" w:rsidRPr="0062050C" w:rsidTr="00A57A57">
        <w:trPr>
          <w:trHeight w:val="225"/>
          <w:jc w:val="center"/>
        </w:trPr>
        <w:tc>
          <w:tcPr>
            <w:tcW w:w="2262" w:type="dxa"/>
            <w:shd w:val="clear" w:color="auto" w:fill="auto"/>
            <w:noWrap/>
            <w:hideMark/>
          </w:tcPr>
          <w:p w:rsidR="0062050C" w:rsidRPr="0062050C" w:rsidRDefault="0062050C" w:rsidP="00350173">
            <w:pPr>
              <w:spacing w:line="276" w:lineRule="auto"/>
              <w:jc w:val="left"/>
              <w:rPr>
                <w:rFonts w:eastAsia="Times New Roman"/>
                <w:sz w:val="24"/>
                <w:szCs w:val="24"/>
                <w:lang w:eastAsia="ru-RU"/>
              </w:rPr>
            </w:pPr>
            <w:r w:rsidRPr="0062050C">
              <w:rPr>
                <w:rFonts w:eastAsia="Times New Roman"/>
                <w:sz w:val="24"/>
                <w:szCs w:val="24"/>
                <w:lang w:eastAsia="ru-RU"/>
              </w:rPr>
              <w:t>Луганська</w:t>
            </w:r>
            <w:r w:rsidRPr="0062050C">
              <w:rPr>
                <w:rFonts w:eastAsia="Times New Roman"/>
                <w:sz w:val="20"/>
                <w:szCs w:val="20"/>
                <w:vertAlign w:val="superscript"/>
                <w:lang w:val="ru-RU" w:eastAsia="ru-RU"/>
              </w:rPr>
              <w:t>1</w:t>
            </w:r>
          </w:p>
        </w:tc>
        <w:tc>
          <w:tcPr>
            <w:tcW w:w="0" w:type="auto"/>
            <w:shd w:val="clear" w:color="auto" w:fill="auto"/>
            <w:noWrap/>
          </w:tcPr>
          <w:p w:rsidR="0062050C" w:rsidRPr="0062050C" w:rsidRDefault="0062050C" w:rsidP="00350173">
            <w:pPr>
              <w:spacing w:line="276" w:lineRule="auto"/>
              <w:jc w:val="right"/>
              <w:rPr>
                <w:rFonts w:eastAsia="Times New Roman"/>
                <w:sz w:val="24"/>
                <w:szCs w:val="24"/>
                <w:lang w:eastAsia="ru-RU"/>
              </w:rPr>
            </w:pPr>
            <w:r w:rsidRPr="0062050C">
              <w:rPr>
                <w:rFonts w:eastAsia="Times New Roman"/>
                <w:sz w:val="24"/>
                <w:szCs w:val="24"/>
                <w:lang w:eastAsia="ru-RU"/>
              </w:rPr>
              <w:t>1,45</w:t>
            </w:r>
          </w:p>
        </w:tc>
        <w:tc>
          <w:tcPr>
            <w:tcW w:w="0" w:type="auto"/>
          </w:tcPr>
          <w:p w:rsidR="0062050C" w:rsidRPr="0062050C" w:rsidRDefault="0062050C" w:rsidP="00350173">
            <w:pPr>
              <w:spacing w:line="276" w:lineRule="auto"/>
              <w:jc w:val="right"/>
              <w:rPr>
                <w:rFonts w:eastAsia="Times New Roman"/>
                <w:sz w:val="24"/>
                <w:szCs w:val="24"/>
                <w:lang w:eastAsia="ru-RU"/>
              </w:rPr>
            </w:pPr>
            <w:r w:rsidRPr="0062050C">
              <w:rPr>
                <w:rFonts w:eastAsia="Times New Roman"/>
                <w:sz w:val="24"/>
                <w:szCs w:val="24"/>
                <w:lang w:eastAsia="ru-RU"/>
              </w:rPr>
              <w:t>3,35</w:t>
            </w:r>
          </w:p>
        </w:tc>
        <w:tc>
          <w:tcPr>
            <w:tcW w:w="0" w:type="auto"/>
            <w:shd w:val="clear" w:color="auto" w:fill="auto"/>
            <w:noWrap/>
            <w:vAlign w:val="center"/>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231,03</w:t>
            </w:r>
          </w:p>
        </w:tc>
        <w:tc>
          <w:tcPr>
            <w:tcW w:w="0" w:type="auto"/>
            <w:shd w:val="clear" w:color="auto" w:fill="auto"/>
            <w:noWrap/>
          </w:tcPr>
          <w:p w:rsidR="0062050C" w:rsidRPr="0062050C" w:rsidRDefault="0062050C" w:rsidP="00350173">
            <w:pPr>
              <w:spacing w:line="276" w:lineRule="auto"/>
              <w:jc w:val="center"/>
              <w:rPr>
                <w:rFonts w:eastAsia="Times New Roman"/>
                <w:sz w:val="24"/>
                <w:szCs w:val="24"/>
                <w:lang w:eastAsia="ru-RU"/>
              </w:rPr>
            </w:pPr>
            <w:r w:rsidRPr="0062050C">
              <w:rPr>
                <w:rFonts w:eastAsia="Times New Roman"/>
                <w:sz w:val="24"/>
                <w:szCs w:val="24"/>
                <w:lang w:eastAsia="ru-RU"/>
              </w:rPr>
              <w:t>0,76</w:t>
            </w:r>
          </w:p>
        </w:tc>
        <w:tc>
          <w:tcPr>
            <w:tcW w:w="0" w:type="auto"/>
          </w:tcPr>
          <w:p w:rsidR="0062050C" w:rsidRPr="0062050C" w:rsidRDefault="0062050C" w:rsidP="00350173">
            <w:pPr>
              <w:spacing w:line="276" w:lineRule="auto"/>
              <w:jc w:val="center"/>
              <w:rPr>
                <w:rFonts w:eastAsia="Times New Roman"/>
                <w:sz w:val="24"/>
                <w:szCs w:val="24"/>
                <w:lang w:eastAsia="ru-RU"/>
              </w:rPr>
            </w:pPr>
            <w:r w:rsidRPr="0062050C">
              <w:rPr>
                <w:rFonts w:eastAsia="Times New Roman"/>
                <w:sz w:val="24"/>
                <w:szCs w:val="24"/>
                <w:lang w:eastAsia="ru-RU"/>
              </w:rPr>
              <w:t>1,17</w:t>
            </w:r>
          </w:p>
        </w:tc>
        <w:tc>
          <w:tcPr>
            <w:tcW w:w="0" w:type="auto"/>
            <w:shd w:val="clear" w:color="auto" w:fill="auto"/>
            <w:noWrap/>
            <w:vAlign w:val="center"/>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153,95</w:t>
            </w:r>
          </w:p>
        </w:tc>
        <w:tc>
          <w:tcPr>
            <w:tcW w:w="0" w:type="auto"/>
            <w:shd w:val="clear" w:color="auto" w:fill="auto"/>
            <w:noWrap/>
          </w:tcPr>
          <w:p w:rsidR="0062050C" w:rsidRPr="0062050C" w:rsidRDefault="0062050C" w:rsidP="00350173">
            <w:pPr>
              <w:spacing w:line="276" w:lineRule="auto"/>
              <w:jc w:val="center"/>
              <w:rPr>
                <w:rFonts w:eastAsia="Times New Roman"/>
                <w:sz w:val="24"/>
                <w:szCs w:val="24"/>
                <w:lang w:eastAsia="ru-RU"/>
              </w:rPr>
            </w:pPr>
            <w:r w:rsidRPr="0062050C">
              <w:rPr>
                <w:rFonts w:eastAsia="Times New Roman"/>
                <w:sz w:val="24"/>
                <w:szCs w:val="24"/>
                <w:lang w:eastAsia="ru-RU"/>
              </w:rPr>
              <w:t>15,54</w:t>
            </w:r>
          </w:p>
        </w:tc>
        <w:tc>
          <w:tcPr>
            <w:tcW w:w="0" w:type="auto"/>
            <w:shd w:val="clear" w:color="auto" w:fill="auto"/>
            <w:noWrap/>
          </w:tcPr>
          <w:p w:rsidR="0062050C" w:rsidRPr="0062050C" w:rsidRDefault="0062050C" w:rsidP="00350173">
            <w:pPr>
              <w:spacing w:line="276" w:lineRule="auto"/>
              <w:jc w:val="center"/>
              <w:rPr>
                <w:rFonts w:eastAsia="Times New Roman"/>
                <w:sz w:val="24"/>
                <w:szCs w:val="24"/>
                <w:lang w:eastAsia="ru-RU"/>
              </w:rPr>
            </w:pPr>
            <w:r w:rsidRPr="0062050C">
              <w:rPr>
                <w:rFonts w:eastAsia="Times New Roman"/>
                <w:sz w:val="24"/>
                <w:szCs w:val="24"/>
                <w:lang w:eastAsia="ru-RU"/>
              </w:rPr>
              <w:t>44,69</w:t>
            </w:r>
          </w:p>
        </w:tc>
        <w:tc>
          <w:tcPr>
            <w:tcW w:w="1108" w:type="dxa"/>
            <w:vAlign w:val="center"/>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287,58</w:t>
            </w:r>
          </w:p>
        </w:tc>
      </w:tr>
      <w:tr w:rsidR="0062050C" w:rsidRPr="0062050C" w:rsidTr="00A57A57">
        <w:trPr>
          <w:trHeight w:val="225"/>
          <w:jc w:val="center"/>
        </w:trPr>
        <w:tc>
          <w:tcPr>
            <w:tcW w:w="2262" w:type="dxa"/>
            <w:shd w:val="clear" w:color="auto" w:fill="auto"/>
            <w:noWrap/>
            <w:hideMark/>
          </w:tcPr>
          <w:p w:rsidR="0062050C" w:rsidRPr="0062050C" w:rsidRDefault="0062050C" w:rsidP="00350173">
            <w:pPr>
              <w:spacing w:line="276" w:lineRule="auto"/>
              <w:jc w:val="left"/>
              <w:rPr>
                <w:rFonts w:eastAsia="Times New Roman"/>
                <w:sz w:val="24"/>
                <w:szCs w:val="24"/>
                <w:lang w:eastAsia="ru-RU"/>
              </w:rPr>
            </w:pPr>
            <w:r w:rsidRPr="0062050C">
              <w:rPr>
                <w:rFonts w:eastAsia="Times New Roman"/>
                <w:sz w:val="24"/>
                <w:szCs w:val="24"/>
                <w:lang w:eastAsia="ru-RU"/>
              </w:rPr>
              <w:t>Львівська</w:t>
            </w:r>
          </w:p>
        </w:tc>
        <w:tc>
          <w:tcPr>
            <w:tcW w:w="0" w:type="auto"/>
            <w:shd w:val="clear" w:color="auto" w:fill="auto"/>
            <w:noWrap/>
          </w:tcPr>
          <w:p w:rsidR="0062050C" w:rsidRPr="0062050C" w:rsidRDefault="0062050C" w:rsidP="00350173">
            <w:pPr>
              <w:spacing w:line="276" w:lineRule="auto"/>
              <w:jc w:val="right"/>
              <w:rPr>
                <w:rFonts w:eastAsia="Times New Roman"/>
                <w:sz w:val="24"/>
                <w:szCs w:val="24"/>
                <w:lang w:eastAsia="ru-RU"/>
              </w:rPr>
            </w:pPr>
            <w:r w:rsidRPr="0062050C">
              <w:rPr>
                <w:rFonts w:eastAsia="Times New Roman"/>
                <w:sz w:val="24"/>
                <w:szCs w:val="24"/>
                <w:lang w:eastAsia="ru-RU"/>
              </w:rPr>
              <w:t>1,29</w:t>
            </w:r>
          </w:p>
        </w:tc>
        <w:tc>
          <w:tcPr>
            <w:tcW w:w="0" w:type="auto"/>
          </w:tcPr>
          <w:p w:rsidR="0062050C" w:rsidRPr="0062050C" w:rsidRDefault="0062050C" w:rsidP="00350173">
            <w:pPr>
              <w:spacing w:line="276" w:lineRule="auto"/>
              <w:jc w:val="right"/>
              <w:rPr>
                <w:rFonts w:eastAsia="Times New Roman"/>
                <w:sz w:val="24"/>
                <w:szCs w:val="24"/>
                <w:lang w:eastAsia="ru-RU"/>
              </w:rPr>
            </w:pPr>
            <w:r w:rsidRPr="0062050C">
              <w:rPr>
                <w:rFonts w:eastAsia="Times New Roman"/>
                <w:sz w:val="24"/>
                <w:szCs w:val="24"/>
                <w:lang w:eastAsia="ru-RU"/>
              </w:rPr>
              <w:t>1,79</w:t>
            </w:r>
          </w:p>
        </w:tc>
        <w:tc>
          <w:tcPr>
            <w:tcW w:w="0" w:type="auto"/>
            <w:shd w:val="clear" w:color="auto" w:fill="auto"/>
            <w:noWrap/>
            <w:vAlign w:val="center"/>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138,76</w:t>
            </w:r>
          </w:p>
        </w:tc>
        <w:tc>
          <w:tcPr>
            <w:tcW w:w="0" w:type="auto"/>
            <w:shd w:val="clear" w:color="auto" w:fill="auto"/>
            <w:noWrap/>
          </w:tcPr>
          <w:p w:rsidR="0062050C" w:rsidRPr="0062050C" w:rsidRDefault="0062050C" w:rsidP="00350173">
            <w:pPr>
              <w:spacing w:line="276" w:lineRule="auto"/>
              <w:jc w:val="center"/>
              <w:rPr>
                <w:rFonts w:eastAsia="Times New Roman"/>
                <w:sz w:val="24"/>
                <w:szCs w:val="24"/>
                <w:lang w:eastAsia="ru-RU"/>
              </w:rPr>
            </w:pPr>
            <w:r w:rsidRPr="0062050C">
              <w:rPr>
                <w:rFonts w:eastAsia="Times New Roman"/>
                <w:sz w:val="24"/>
                <w:szCs w:val="24"/>
                <w:lang w:eastAsia="ru-RU"/>
              </w:rPr>
              <w:t>0,64</w:t>
            </w:r>
          </w:p>
        </w:tc>
        <w:tc>
          <w:tcPr>
            <w:tcW w:w="0" w:type="auto"/>
          </w:tcPr>
          <w:p w:rsidR="0062050C" w:rsidRPr="0062050C" w:rsidRDefault="0062050C" w:rsidP="00350173">
            <w:pPr>
              <w:spacing w:line="276" w:lineRule="auto"/>
              <w:jc w:val="center"/>
              <w:rPr>
                <w:rFonts w:eastAsia="Times New Roman"/>
                <w:sz w:val="24"/>
                <w:szCs w:val="24"/>
                <w:lang w:eastAsia="ru-RU"/>
              </w:rPr>
            </w:pPr>
            <w:r w:rsidRPr="0062050C">
              <w:rPr>
                <w:rFonts w:eastAsia="Times New Roman"/>
                <w:sz w:val="24"/>
                <w:szCs w:val="24"/>
                <w:lang w:eastAsia="ru-RU"/>
              </w:rPr>
              <w:t>0,32</w:t>
            </w:r>
          </w:p>
        </w:tc>
        <w:tc>
          <w:tcPr>
            <w:tcW w:w="0" w:type="auto"/>
            <w:shd w:val="clear" w:color="auto" w:fill="auto"/>
            <w:noWrap/>
            <w:vAlign w:val="center"/>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50,00</w:t>
            </w:r>
          </w:p>
        </w:tc>
        <w:tc>
          <w:tcPr>
            <w:tcW w:w="0" w:type="auto"/>
            <w:shd w:val="clear" w:color="auto" w:fill="auto"/>
            <w:noWrap/>
          </w:tcPr>
          <w:p w:rsidR="0062050C" w:rsidRPr="0062050C" w:rsidRDefault="0062050C" w:rsidP="00350173">
            <w:pPr>
              <w:spacing w:line="276" w:lineRule="auto"/>
              <w:jc w:val="center"/>
              <w:rPr>
                <w:rFonts w:eastAsia="Times New Roman"/>
                <w:sz w:val="24"/>
                <w:szCs w:val="24"/>
                <w:lang w:eastAsia="ru-RU"/>
              </w:rPr>
            </w:pPr>
            <w:r w:rsidRPr="0062050C">
              <w:rPr>
                <w:rFonts w:eastAsia="Times New Roman"/>
                <w:sz w:val="24"/>
                <w:szCs w:val="24"/>
                <w:lang w:eastAsia="ru-RU"/>
              </w:rPr>
              <w:t>16,21</w:t>
            </w:r>
          </w:p>
        </w:tc>
        <w:tc>
          <w:tcPr>
            <w:tcW w:w="0" w:type="auto"/>
            <w:shd w:val="clear" w:color="auto" w:fill="auto"/>
            <w:noWrap/>
          </w:tcPr>
          <w:p w:rsidR="0062050C" w:rsidRPr="0062050C" w:rsidRDefault="0062050C" w:rsidP="00350173">
            <w:pPr>
              <w:spacing w:line="276" w:lineRule="auto"/>
              <w:jc w:val="center"/>
              <w:rPr>
                <w:rFonts w:eastAsia="Times New Roman"/>
                <w:sz w:val="24"/>
                <w:szCs w:val="24"/>
                <w:lang w:eastAsia="ru-RU"/>
              </w:rPr>
            </w:pPr>
            <w:r w:rsidRPr="0062050C">
              <w:rPr>
                <w:rFonts w:eastAsia="Times New Roman"/>
                <w:sz w:val="24"/>
                <w:szCs w:val="24"/>
                <w:lang w:eastAsia="ru-RU"/>
              </w:rPr>
              <w:t>29,11</w:t>
            </w:r>
          </w:p>
        </w:tc>
        <w:tc>
          <w:tcPr>
            <w:tcW w:w="1108" w:type="dxa"/>
            <w:vAlign w:val="center"/>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179,58</w:t>
            </w:r>
          </w:p>
        </w:tc>
      </w:tr>
      <w:tr w:rsidR="0062050C" w:rsidRPr="0062050C" w:rsidTr="00A57A57">
        <w:trPr>
          <w:trHeight w:val="225"/>
          <w:jc w:val="center"/>
        </w:trPr>
        <w:tc>
          <w:tcPr>
            <w:tcW w:w="2262" w:type="dxa"/>
            <w:shd w:val="clear" w:color="auto" w:fill="auto"/>
            <w:noWrap/>
            <w:hideMark/>
          </w:tcPr>
          <w:p w:rsidR="0062050C" w:rsidRPr="0062050C" w:rsidRDefault="0062050C" w:rsidP="00350173">
            <w:pPr>
              <w:spacing w:line="276" w:lineRule="auto"/>
              <w:jc w:val="left"/>
              <w:rPr>
                <w:rFonts w:eastAsia="Times New Roman"/>
                <w:sz w:val="24"/>
                <w:szCs w:val="24"/>
                <w:lang w:eastAsia="ru-RU"/>
              </w:rPr>
            </w:pPr>
            <w:r w:rsidRPr="0062050C">
              <w:rPr>
                <w:rFonts w:eastAsia="Times New Roman"/>
                <w:sz w:val="24"/>
                <w:szCs w:val="24"/>
                <w:lang w:eastAsia="ru-RU"/>
              </w:rPr>
              <w:t>Миколаївська</w:t>
            </w:r>
          </w:p>
        </w:tc>
        <w:tc>
          <w:tcPr>
            <w:tcW w:w="0" w:type="auto"/>
            <w:shd w:val="clear" w:color="auto" w:fill="auto"/>
            <w:noWrap/>
          </w:tcPr>
          <w:p w:rsidR="0062050C" w:rsidRPr="0062050C" w:rsidRDefault="0062050C" w:rsidP="00350173">
            <w:pPr>
              <w:spacing w:line="276" w:lineRule="auto"/>
              <w:jc w:val="right"/>
              <w:rPr>
                <w:rFonts w:eastAsia="Times New Roman"/>
                <w:sz w:val="24"/>
                <w:szCs w:val="24"/>
                <w:lang w:eastAsia="ru-RU"/>
              </w:rPr>
            </w:pPr>
            <w:r w:rsidRPr="0062050C">
              <w:rPr>
                <w:rFonts w:eastAsia="Times New Roman"/>
                <w:sz w:val="24"/>
                <w:szCs w:val="24"/>
                <w:lang w:eastAsia="ru-RU"/>
              </w:rPr>
              <w:t>1,08</w:t>
            </w:r>
          </w:p>
        </w:tc>
        <w:tc>
          <w:tcPr>
            <w:tcW w:w="0" w:type="auto"/>
          </w:tcPr>
          <w:p w:rsidR="0062050C" w:rsidRPr="0062050C" w:rsidRDefault="0062050C" w:rsidP="00350173">
            <w:pPr>
              <w:spacing w:line="276" w:lineRule="auto"/>
              <w:jc w:val="right"/>
              <w:rPr>
                <w:rFonts w:eastAsia="Times New Roman"/>
                <w:sz w:val="24"/>
                <w:szCs w:val="24"/>
                <w:lang w:eastAsia="ru-RU"/>
              </w:rPr>
            </w:pPr>
            <w:r w:rsidRPr="0062050C">
              <w:rPr>
                <w:rFonts w:eastAsia="Times New Roman"/>
                <w:sz w:val="24"/>
                <w:szCs w:val="24"/>
                <w:lang w:eastAsia="ru-RU"/>
              </w:rPr>
              <w:t>1,11</w:t>
            </w:r>
          </w:p>
        </w:tc>
        <w:tc>
          <w:tcPr>
            <w:tcW w:w="0" w:type="auto"/>
            <w:shd w:val="clear" w:color="auto" w:fill="auto"/>
            <w:noWrap/>
            <w:vAlign w:val="center"/>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102,78</w:t>
            </w:r>
          </w:p>
        </w:tc>
        <w:tc>
          <w:tcPr>
            <w:tcW w:w="0" w:type="auto"/>
            <w:shd w:val="clear" w:color="auto" w:fill="auto"/>
            <w:noWrap/>
          </w:tcPr>
          <w:p w:rsidR="0062050C" w:rsidRPr="0062050C" w:rsidRDefault="0062050C" w:rsidP="00350173">
            <w:pPr>
              <w:spacing w:line="276" w:lineRule="auto"/>
              <w:jc w:val="center"/>
              <w:rPr>
                <w:rFonts w:eastAsia="Times New Roman"/>
                <w:sz w:val="24"/>
                <w:szCs w:val="24"/>
                <w:lang w:eastAsia="ru-RU"/>
              </w:rPr>
            </w:pPr>
            <w:r w:rsidRPr="0062050C">
              <w:rPr>
                <w:rFonts w:eastAsia="Times New Roman"/>
                <w:sz w:val="24"/>
                <w:szCs w:val="24"/>
                <w:lang w:eastAsia="ru-RU"/>
              </w:rPr>
              <w:t>0,72</w:t>
            </w:r>
          </w:p>
        </w:tc>
        <w:tc>
          <w:tcPr>
            <w:tcW w:w="0" w:type="auto"/>
          </w:tcPr>
          <w:p w:rsidR="0062050C" w:rsidRPr="0062050C" w:rsidRDefault="0062050C" w:rsidP="00350173">
            <w:pPr>
              <w:spacing w:line="276" w:lineRule="auto"/>
              <w:jc w:val="center"/>
              <w:rPr>
                <w:rFonts w:eastAsia="Times New Roman"/>
                <w:sz w:val="24"/>
                <w:szCs w:val="24"/>
                <w:lang w:eastAsia="ru-RU"/>
              </w:rPr>
            </w:pPr>
            <w:r w:rsidRPr="0062050C">
              <w:rPr>
                <w:rFonts w:eastAsia="Times New Roman"/>
                <w:sz w:val="24"/>
                <w:szCs w:val="24"/>
                <w:lang w:eastAsia="ru-RU"/>
              </w:rPr>
              <w:t>0,35</w:t>
            </w:r>
          </w:p>
        </w:tc>
        <w:tc>
          <w:tcPr>
            <w:tcW w:w="0" w:type="auto"/>
            <w:shd w:val="clear" w:color="auto" w:fill="auto"/>
            <w:noWrap/>
            <w:vAlign w:val="center"/>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48,61</w:t>
            </w:r>
          </w:p>
        </w:tc>
        <w:tc>
          <w:tcPr>
            <w:tcW w:w="0" w:type="auto"/>
            <w:shd w:val="clear" w:color="auto" w:fill="auto"/>
            <w:noWrap/>
          </w:tcPr>
          <w:p w:rsidR="0062050C" w:rsidRPr="0062050C" w:rsidRDefault="0062050C" w:rsidP="00350173">
            <w:pPr>
              <w:spacing w:line="276" w:lineRule="auto"/>
              <w:jc w:val="center"/>
              <w:rPr>
                <w:rFonts w:eastAsia="Times New Roman"/>
                <w:sz w:val="24"/>
                <w:szCs w:val="24"/>
                <w:lang w:eastAsia="ru-RU"/>
              </w:rPr>
            </w:pPr>
            <w:r w:rsidRPr="0062050C">
              <w:rPr>
                <w:rFonts w:eastAsia="Times New Roman"/>
                <w:sz w:val="24"/>
                <w:szCs w:val="24"/>
                <w:lang w:eastAsia="ru-RU"/>
              </w:rPr>
              <w:t>9,36</w:t>
            </w:r>
          </w:p>
        </w:tc>
        <w:tc>
          <w:tcPr>
            <w:tcW w:w="0" w:type="auto"/>
            <w:shd w:val="clear" w:color="auto" w:fill="auto"/>
            <w:noWrap/>
          </w:tcPr>
          <w:p w:rsidR="0062050C" w:rsidRPr="0062050C" w:rsidRDefault="0062050C" w:rsidP="00350173">
            <w:pPr>
              <w:spacing w:line="276" w:lineRule="auto"/>
              <w:jc w:val="center"/>
              <w:rPr>
                <w:rFonts w:eastAsia="Times New Roman"/>
                <w:sz w:val="24"/>
                <w:szCs w:val="24"/>
                <w:lang w:eastAsia="ru-RU"/>
              </w:rPr>
            </w:pPr>
            <w:r w:rsidRPr="0062050C">
              <w:rPr>
                <w:rFonts w:eastAsia="Times New Roman"/>
                <w:sz w:val="24"/>
                <w:szCs w:val="24"/>
                <w:lang w:eastAsia="ru-RU"/>
              </w:rPr>
              <w:t>16,55</w:t>
            </w:r>
          </w:p>
        </w:tc>
        <w:tc>
          <w:tcPr>
            <w:tcW w:w="1108" w:type="dxa"/>
            <w:vAlign w:val="center"/>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176,82</w:t>
            </w:r>
          </w:p>
        </w:tc>
      </w:tr>
      <w:tr w:rsidR="0062050C" w:rsidRPr="0062050C" w:rsidTr="00A57A57">
        <w:trPr>
          <w:trHeight w:val="225"/>
          <w:jc w:val="center"/>
        </w:trPr>
        <w:tc>
          <w:tcPr>
            <w:tcW w:w="2262" w:type="dxa"/>
            <w:shd w:val="clear" w:color="auto" w:fill="auto"/>
            <w:noWrap/>
            <w:hideMark/>
          </w:tcPr>
          <w:p w:rsidR="0062050C" w:rsidRPr="0062050C" w:rsidRDefault="0062050C" w:rsidP="00350173">
            <w:pPr>
              <w:spacing w:line="276" w:lineRule="auto"/>
              <w:jc w:val="left"/>
              <w:rPr>
                <w:rFonts w:eastAsia="Times New Roman"/>
                <w:sz w:val="24"/>
                <w:szCs w:val="24"/>
                <w:lang w:eastAsia="ru-RU"/>
              </w:rPr>
            </w:pPr>
            <w:r w:rsidRPr="0062050C">
              <w:rPr>
                <w:rFonts w:eastAsia="Times New Roman"/>
                <w:sz w:val="24"/>
                <w:szCs w:val="24"/>
                <w:lang w:eastAsia="ru-RU"/>
              </w:rPr>
              <w:t>Одеська</w:t>
            </w:r>
          </w:p>
        </w:tc>
        <w:tc>
          <w:tcPr>
            <w:tcW w:w="0" w:type="auto"/>
            <w:shd w:val="clear" w:color="auto" w:fill="auto"/>
            <w:noWrap/>
          </w:tcPr>
          <w:p w:rsidR="0062050C" w:rsidRPr="0062050C" w:rsidRDefault="0062050C" w:rsidP="00350173">
            <w:pPr>
              <w:spacing w:line="276" w:lineRule="auto"/>
              <w:jc w:val="right"/>
              <w:rPr>
                <w:rFonts w:eastAsia="Times New Roman"/>
                <w:sz w:val="24"/>
                <w:szCs w:val="24"/>
                <w:lang w:eastAsia="ru-RU"/>
              </w:rPr>
            </w:pPr>
            <w:r w:rsidRPr="0062050C">
              <w:rPr>
                <w:rFonts w:eastAsia="Times New Roman"/>
                <w:sz w:val="24"/>
                <w:szCs w:val="24"/>
                <w:lang w:eastAsia="ru-RU"/>
              </w:rPr>
              <w:t>2,90</w:t>
            </w:r>
          </w:p>
        </w:tc>
        <w:tc>
          <w:tcPr>
            <w:tcW w:w="0" w:type="auto"/>
          </w:tcPr>
          <w:p w:rsidR="0062050C" w:rsidRPr="0062050C" w:rsidRDefault="0062050C" w:rsidP="00350173">
            <w:pPr>
              <w:spacing w:line="276" w:lineRule="auto"/>
              <w:jc w:val="right"/>
              <w:rPr>
                <w:rFonts w:eastAsia="Times New Roman"/>
                <w:sz w:val="24"/>
                <w:szCs w:val="24"/>
                <w:lang w:eastAsia="ru-RU"/>
              </w:rPr>
            </w:pPr>
            <w:r w:rsidRPr="0062050C">
              <w:rPr>
                <w:rFonts w:eastAsia="Times New Roman"/>
                <w:sz w:val="24"/>
                <w:szCs w:val="24"/>
                <w:lang w:eastAsia="ru-RU"/>
              </w:rPr>
              <w:t>3,12</w:t>
            </w:r>
          </w:p>
        </w:tc>
        <w:tc>
          <w:tcPr>
            <w:tcW w:w="0" w:type="auto"/>
            <w:shd w:val="clear" w:color="auto" w:fill="auto"/>
            <w:noWrap/>
            <w:vAlign w:val="center"/>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107,59</w:t>
            </w:r>
          </w:p>
        </w:tc>
        <w:tc>
          <w:tcPr>
            <w:tcW w:w="0" w:type="auto"/>
            <w:shd w:val="clear" w:color="auto" w:fill="auto"/>
            <w:noWrap/>
          </w:tcPr>
          <w:p w:rsidR="0062050C" w:rsidRPr="0062050C" w:rsidRDefault="0062050C" w:rsidP="00350173">
            <w:pPr>
              <w:spacing w:line="276" w:lineRule="auto"/>
              <w:jc w:val="center"/>
              <w:rPr>
                <w:rFonts w:eastAsia="Times New Roman"/>
                <w:sz w:val="24"/>
                <w:szCs w:val="24"/>
                <w:lang w:eastAsia="ru-RU"/>
              </w:rPr>
            </w:pPr>
            <w:r w:rsidRPr="0062050C">
              <w:rPr>
                <w:rFonts w:eastAsia="Times New Roman"/>
                <w:sz w:val="24"/>
                <w:szCs w:val="24"/>
                <w:lang w:eastAsia="ru-RU"/>
              </w:rPr>
              <w:t>0,78</w:t>
            </w:r>
          </w:p>
        </w:tc>
        <w:tc>
          <w:tcPr>
            <w:tcW w:w="0" w:type="auto"/>
          </w:tcPr>
          <w:p w:rsidR="0062050C" w:rsidRPr="0062050C" w:rsidRDefault="0062050C" w:rsidP="00350173">
            <w:pPr>
              <w:spacing w:line="276" w:lineRule="auto"/>
              <w:jc w:val="center"/>
              <w:rPr>
                <w:rFonts w:eastAsia="Times New Roman"/>
                <w:sz w:val="24"/>
                <w:szCs w:val="24"/>
                <w:lang w:eastAsia="ru-RU"/>
              </w:rPr>
            </w:pPr>
            <w:r w:rsidRPr="0062050C">
              <w:rPr>
                <w:rFonts w:eastAsia="Times New Roman"/>
                <w:sz w:val="24"/>
                <w:szCs w:val="24"/>
                <w:lang w:eastAsia="ru-RU"/>
              </w:rPr>
              <w:t>0,93</w:t>
            </w:r>
          </w:p>
        </w:tc>
        <w:tc>
          <w:tcPr>
            <w:tcW w:w="0" w:type="auto"/>
            <w:shd w:val="clear" w:color="auto" w:fill="auto"/>
            <w:noWrap/>
            <w:vAlign w:val="center"/>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119,23</w:t>
            </w:r>
          </w:p>
        </w:tc>
        <w:tc>
          <w:tcPr>
            <w:tcW w:w="0" w:type="auto"/>
            <w:shd w:val="clear" w:color="auto" w:fill="auto"/>
            <w:noWrap/>
          </w:tcPr>
          <w:p w:rsidR="0062050C" w:rsidRPr="0062050C" w:rsidRDefault="0062050C" w:rsidP="00350173">
            <w:pPr>
              <w:spacing w:line="276" w:lineRule="auto"/>
              <w:jc w:val="center"/>
              <w:rPr>
                <w:rFonts w:eastAsia="Times New Roman"/>
                <w:sz w:val="24"/>
                <w:szCs w:val="24"/>
                <w:lang w:eastAsia="ru-RU"/>
              </w:rPr>
            </w:pPr>
            <w:r w:rsidRPr="0062050C">
              <w:rPr>
                <w:rFonts w:eastAsia="Times New Roman"/>
                <w:sz w:val="24"/>
                <w:szCs w:val="24"/>
                <w:lang w:eastAsia="ru-RU"/>
              </w:rPr>
              <w:t>47,65</w:t>
            </w:r>
          </w:p>
        </w:tc>
        <w:tc>
          <w:tcPr>
            <w:tcW w:w="0" w:type="auto"/>
            <w:shd w:val="clear" w:color="auto" w:fill="auto"/>
            <w:noWrap/>
          </w:tcPr>
          <w:p w:rsidR="0062050C" w:rsidRPr="0062050C" w:rsidRDefault="0062050C" w:rsidP="00350173">
            <w:pPr>
              <w:spacing w:line="276" w:lineRule="auto"/>
              <w:jc w:val="center"/>
              <w:rPr>
                <w:rFonts w:eastAsia="Times New Roman"/>
                <w:sz w:val="24"/>
                <w:szCs w:val="24"/>
                <w:lang w:eastAsia="ru-RU"/>
              </w:rPr>
            </w:pPr>
            <w:r w:rsidRPr="0062050C">
              <w:rPr>
                <w:rFonts w:eastAsia="Times New Roman"/>
                <w:sz w:val="24"/>
                <w:szCs w:val="24"/>
                <w:lang w:eastAsia="ru-RU"/>
              </w:rPr>
              <w:t>43,18</w:t>
            </w:r>
          </w:p>
        </w:tc>
        <w:tc>
          <w:tcPr>
            <w:tcW w:w="1108" w:type="dxa"/>
            <w:vAlign w:val="center"/>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90,62</w:t>
            </w:r>
          </w:p>
        </w:tc>
      </w:tr>
      <w:tr w:rsidR="0062050C" w:rsidRPr="0062050C" w:rsidTr="00A57A57">
        <w:trPr>
          <w:trHeight w:val="225"/>
          <w:jc w:val="center"/>
        </w:trPr>
        <w:tc>
          <w:tcPr>
            <w:tcW w:w="2262" w:type="dxa"/>
            <w:shd w:val="clear" w:color="auto" w:fill="auto"/>
            <w:noWrap/>
            <w:hideMark/>
          </w:tcPr>
          <w:p w:rsidR="0062050C" w:rsidRPr="0062050C" w:rsidRDefault="0062050C" w:rsidP="00350173">
            <w:pPr>
              <w:spacing w:line="276" w:lineRule="auto"/>
              <w:jc w:val="left"/>
              <w:rPr>
                <w:rFonts w:eastAsia="Times New Roman"/>
                <w:sz w:val="24"/>
                <w:szCs w:val="24"/>
                <w:lang w:eastAsia="ru-RU"/>
              </w:rPr>
            </w:pPr>
            <w:r w:rsidRPr="0062050C">
              <w:rPr>
                <w:rFonts w:eastAsia="Times New Roman"/>
                <w:sz w:val="24"/>
                <w:szCs w:val="24"/>
                <w:lang w:eastAsia="ru-RU"/>
              </w:rPr>
              <w:t>Полтавська</w:t>
            </w:r>
          </w:p>
        </w:tc>
        <w:tc>
          <w:tcPr>
            <w:tcW w:w="0" w:type="auto"/>
            <w:shd w:val="clear" w:color="auto" w:fill="auto"/>
            <w:noWrap/>
          </w:tcPr>
          <w:p w:rsidR="0062050C" w:rsidRPr="0062050C" w:rsidRDefault="0062050C" w:rsidP="00350173">
            <w:pPr>
              <w:spacing w:line="276" w:lineRule="auto"/>
              <w:jc w:val="right"/>
              <w:rPr>
                <w:rFonts w:eastAsia="Times New Roman"/>
                <w:sz w:val="24"/>
                <w:szCs w:val="24"/>
                <w:lang w:eastAsia="ru-RU"/>
              </w:rPr>
            </w:pPr>
            <w:r w:rsidRPr="0062050C">
              <w:rPr>
                <w:rFonts w:eastAsia="Times New Roman"/>
                <w:sz w:val="24"/>
                <w:szCs w:val="24"/>
                <w:lang w:eastAsia="ru-RU"/>
              </w:rPr>
              <w:t>2,82</w:t>
            </w:r>
          </w:p>
        </w:tc>
        <w:tc>
          <w:tcPr>
            <w:tcW w:w="0" w:type="auto"/>
          </w:tcPr>
          <w:p w:rsidR="0062050C" w:rsidRPr="0062050C" w:rsidRDefault="0062050C" w:rsidP="00350173">
            <w:pPr>
              <w:spacing w:line="276" w:lineRule="auto"/>
              <w:jc w:val="right"/>
              <w:rPr>
                <w:rFonts w:eastAsia="Times New Roman"/>
                <w:sz w:val="24"/>
                <w:szCs w:val="24"/>
                <w:lang w:eastAsia="ru-RU"/>
              </w:rPr>
            </w:pPr>
            <w:r w:rsidRPr="0062050C">
              <w:rPr>
                <w:rFonts w:eastAsia="Times New Roman"/>
                <w:sz w:val="24"/>
                <w:szCs w:val="24"/>
                <w:lang w:eastAsia="ru-RU"/>
              </w:rPr>
              <w:t>2,35</w:t>
            </w:r>
          </w:p>
        </w:tc>
        <w:tc>
          <w:tcPr>
            <w:tcW w:w="0" w:type="auto"/>
            <w:shd w:val="clear" w:color="auto" w:fill="auto"/>
            <w:noWrap/>
            <w:vAlign w:val="center"/>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83,33</w:t>
            </w:r>
          </w:p>
        </w:tc>
        <w:tc>
          <w:tcPr>
            <w:tcW w:w="0" w:type="auto"/>
            <w:shd w:val="clear" w:color="auto" w:fill="auto"/>
            <w:noWrap/>
          </w:tcPr>
          <w:p w:rsidR="0062050C" w:rsidRPr="0062050C" w:rsidRDefault="0062050C" w:rsidP="00350173">
            <w:pPr>
              <w:spacing w:line="276" w:lineRule="auto"/>
              <w:jc w:val="center"/>
              <w:rPr>
                <w:rFonts w:eastAsia="Times New Roman"/>
                <w:sz w:val="24"/>
                <w:szCs w:val="24"/>
                <w:lang w:eastAsia="ru-RU"/>
              </w:rPr>
            </w:pPr>
            <w:r w:rsidRPr="0062050C">
              <w:rPr>
                <w:rFonts w:eastAsia="Times New Roman"/>
                <w:sz w:val="24"/>
                <w:szCs w:val="24"/>
                <w:lang w:eastAsia="ru-RU"/>
              </w:rPr>
              <w:t>0,51</w:t>
            </w:r>
          </w:p>
        </w:tc>
        <w:tc>
          <w:tcPr>
            <w:tcW w:w="0" w:type="auto"/>
          </w:tcPr>
          <w:p w:rsidR="0062050C" w:rsidRPr="0062050C" w:rsidRDefault="0062050C" w:rsidP="00350173">
            <w:pPr>
              <w:spacing w:line="276" w:lineRule="auto"/>
              <w:jc w:val="center"/>
              <w:rPr>
                <w:rFonts w:eastAsia="Times New Roman"/>
                <w:sz w:val="24"/>
                <w:szCs w:val="24"/>
                <w:lang w:eastAsia="ru-RU"/>
              </w:rPr>
            </w:pPr>
            <w:r w:rsidRPr="0062050C">
              <w:rPr>
                <w:rFonts w:eastAsia="Times New Roman"/>
                <w:sz w:val="24"/>
                <w:szCs w:val="24"/>
                <w:lang w:eastAsia="ru-RU"/>
              </w:rPr>
              <w:t>0,32</w:t>
            </w:r>
          </w:p>
        </w:tc>
        <w:tc>
          <w:tcPr>
            <w:tcW w:w="0" w:type="auto"/>
            <w:shd w:val="clear" w:color="auto" w:fill="auto"/>
            <w:noWrap/>
            <w:vAlign w:val="center"/>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62,75</w:t>
            </w:r>
          </w:p>
        </w:tc>
        <w:tc>
          <w:tcPr>
            <w:tcW w:w="0" w:type="auto"/>
            <w:shd w:val="clear" w:color="auto" w:fill="auto"/>
            <w:noWrap/>
          </w:tcPr>
          <w:p w:rsidR="0062050C" w:rsidRPr="0062050C" w:rsidRDefault="0062050C" w:rsidP="00350173">
            <w:pPr>
              <w:spacing w:line="276" w:lineRule="auto"/>
              <w:jc w:val="center"/>
              <w:rPr>
                <w:rFonts w:eastAsia="Times New Roman"/>
                <w:sz w:val="24"/>
                <w:szCs w:val="24"/>
                <w:lang w:eastAsia="ru-RU"/>
              </w:rPr>
            </w:pPr>
            <w:r w:rsidRPr="0062050C">
              <w:rPr>
                <w:rFonts w:eastAsia="Times New Roman"/>
                <w:sz w:val="24"/>
                <w:szCs w:val="24"/>
                <w:lang w:eastAsia="ru-RU"/>
              </w:rPr>
              <w:t>42,61</w:t>
            </w:r>
          </w:p>
        </w:tc>
        <w:tc>
          <w:tcPr>
            <w:tcW w:w="0" w:type="auto"/>
            <w:shd w:val="clear" w:color="auto" w:fill="auto"/>
            <w:noWrap/>
          </w:tcPr>
          <w:p w:rsidR="0062050C" w:rsidRPr="0062050C" w:rsidRDefault="0062050C" w:rsidP="00350173">
            <w:pPr>
              <w:spacing w:line="276" w:lineRule="auto"/>
              <w:jc w:val="center"/>
              <w:rPr>
                <w:rFonts w:eastAsia="Times New Roman"/>
                <w:sz w:val="24"/>
                <w:szCs w:val="24"/>
                <w:lang w:eastAsia="ru-RU"/>
              </w:rPr>
            </w:pPr>
            <w:r w:rsidRPr="0062050C">
              <w:rPr>
                <w:rFonts w:eastAsia="Times New Roman"/>
                <w:sz w:val="24"/>
                <w:szCs w:val="24"/>
                <w:lang w:eastAsia="ru-RU"/>
              </w:rPr>
              <w:t>26,68</w:t>
            </w:r>
          </w:p>
        </w:tc>
        <w:tc>
          <w:tcPr>
            <w:tcW w:w="1108" w:type="dxa"/>
            <w:vAlign w:val="center"/>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62,61</w:t>
            </w:r>
          </w:p>
        </w:tc>
      </w:tr>
      <w:tr w:rsidR="0062050C" w:rsidRPr="0062050C" w:rsidTr="00A57A57">
        <w:trPr>
          <w:trHeight w:val="225"/>
          <w:jc w:val="center"/>
        </w:trPr>
        <w:tc>
          <w:tcPr>
            <w:tcW w:w="2262" w:type="dxa"/>
            <w:shd w:val="clear" w:color="auto" w:fill="auto"/>
            <w:noWrap/>
            <w:hideMark/>
          </w:tcPr>
          <w:p w:rsidR="0062050C" w:rsidRPr="0062050C" w:rsidRDefault="0062050C" w:rsidP="00350173">
            <w:pPr>
              <w:spacing w:line="276" w:lineRule="auto"/>
              <w:jc w:val="left"/>
              <w:rPr>
                <w:rFonts w:eastAsia="Times New Roman"/>
                <w:sz w:val="24"/>
                <w:szCs w:val="24"/>
                <w:lang w:eastAsia="ru-RU"/>
              </w:rPr>
            </w:pPr>
            <w:r w:rsidRPr="0062050C">
              <w:rPr>
                <w:rFonts w:eastAsia="Times New Roman"/>
                <w:sz w:val="24"/>
                <w:szCs w:val="24"/>
                <w:lang w:eastAsia="ru-RU"/>
              </w:rPr>
              <w:t>Рівненська</w:t>
            </w:r>
          </w:p>
        </w:tc>
        <w:tc>
          <w:tcPr>
            <w:tcW w:w="0" w:type="auto"/>
            <w:shd w:val="clear" w:color="auto" w:fill="auto"/>
            <w:noWrap/>
          </w:tcPr>
          <w:p w:rsidR="0062050C" w:rsidRPr="0062050C" w:rsidRDefault="0062050C" w:rsidP="00350173">
            <w:pPr>
              <w:spacing w:line="276" w:lineRule="auto"/>
              <w:jc w:val="right"/>
              <w:rPr>
                <w:rFonts w:eastAsia="Times New Roman"/>
                <w:sz w:val="24"/>
                <w:szCs w:val="24"/>
                <w:lang w:eastAsia="ru-RU"/>
              </w:rPr>
            </w:pPr>
            <w:r w:rsidRPr="0062050C">
              <w:rPr>
                <w:rFonts w:eastAsia="Times New Roman"/>
                <w:sz w:val="24"/>
                <w:szCs w:val="24"/>
                <w:lang w:eastAsia="ru-RU"/>
              </w:rPr>
              <w:t>3,14</w:t>
            </w:r>
          </w:p>
        </w:tc>
        <w:tc>
          <w:tcPr>
            <w:tcW w:w="0" w:type="auto"/>
          </w:tcPr>
          <w:p w:rsidR="0062050C" w:rsidRPr="0062050C" w:rsidRDefault="0062050C" w:rsidP="00350173">
            <w:pPr>
              <w:spacing w:line="276" w:lineRule="auto"/>
              <w:jc w:val="right"/>
              <w:rPr>
                <w:rFonts w:eastAsia="Times New Roman"/>
                <w:sz w:val="24"/>
                <w:szCs w:val="24"/>
                <w:lang w:eastAsia="ru-RU"/>
              </w:rPr>
            </w:pPr>
            <w:r w:rsidRPr="0062050C">
              <w:rPr>
                <w:rFonts w:eastAsia="Times New Roman"/>
                <w:sz w:val="24"/>
                <w:szCs w:val="24"/>
                <w:lang w:eastAsia="ru-RU"/>
              </w:rPr>
              <w:t>2,78</w:t>
            </w:r>
          </w:p>
        </w:tc>
        <w:tc>
          <w:tcPr>
            <w:tcW w:w="0" w:type="auto"/>
            <w:shd w:val="clear" w:color="auto" w:fill="auto"/>
            <w:noWrap/>
            <w:vAlign w:val="center"/>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88,54</w:t>
            </w:r>
          </w:p>
        </w:tc>
        <w:tc>
          <w:tcPr>
            <w:tcW w:w="0" w:type="auto"/>
            <w:shd w:val="clear" w:color="auto" w:fill="auto"/>
            <w:noWrap/>
          </w:tcPr>
          <w:p w:rsidR="0062050C" w:rsidRPr="0062050C" w:rsidRDefault="0062050C" w:rsidP="00350173">
            <w:pPr>
              <w:spacing w:line="276" w:lineRule="auto"/>
              <w:jc w:val="center"/>
              <w:rPr>
                <w:rFonts w:eastAsia="Times New Roman"/>
                <w:sz w:val="24"/>
                <w:szCs w:val="24"/>
                <w:lang w:eastAsia="ru-RU"/>
              </w:rPr>
            </w:pPr>
            <w:r w:rsidRPr="0062050C">
              <w:rPr>
                <w:rFonts w:eastAsia="Times New Roman"/>
                <w:sz w:val="24"/>
                <w:szCs w:val="24"/>
                <w:lang w:eastAsia="ru-RU"/>
              </w:rPr>
              <w:t>0,84</w:t>
            </w:r>
          </w:p>
        </w:tc>
        <w:tc>
          <w:tcPr>
            <w:tcW w:w="0" w:type="auto"/>
          </w:tcPr>
          <w:p w:rsidR="0062050C" w:rsidRPr="0062050C" w:rsidRDefault="0062050C" w:rsidP="00350173">
            <w:pPr>
              <w:spacing w:line="276" w:lineRule="auto"/>
              <w:jc w:val="center"/>
              <w:rPr>
                <w:rFonts w:eastAsia="Times New Roman"/>
                <w:sz w:val="24"/>
                <w:szCs w:val="24"/>
                <w:lang w:eastAsia="ru-RU"/>
              </w:rPr>
            </w:pPr>
            <w:r w:rsidRPr="0062050C">
              <w:rPr>
                <w:rFonts w:eastAsia="Times New Roman"/>
                <w:sz w:val="24"/>
                <w:szCs w:val="24"/>
                <w:lang w:eastAsia="ru-RU"/>
              </w:rPr>
              <w:t>0,92</w:t>
            </w:r>
          </w:p>
        </w:tc>
        <w:tc>
          <w:tcPr>
            <w:tcW w:w="0" w:type="auto"/>
            <w:shd w:val="clear" w:color="auto" w:fill="auto"/>
            <w:noWrap/>
            <w:vAlign w:val="center"/>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109,52</w:t>
            </w:r>
          </w:p>
        </w:tc>
        <w:tc>
          <w:tcPr>
            <w:tcW w:w="0" w:type="auto"/>
            <w:shd w:val="clear" w:color="auto" w:fill="auto"/>
            <w:noWrap/>
          </w:tcPr>
          <w:p w:rsidR="0062050C" w:rsidRPr="0062050C" w:rsidRDefault="0062050C" w:rsidP="00350173">
            <w:pPr>
              <w:spacing w:line="276" w:lineRule="auto"/>
              <w:jc w:val="center"/>
              <w:rPr>
                <w:rFonts w:eastAsia="Times New Roman"/>
                <w:sz w:val="24"/>
                <w:szCs w:val="24"/>
                <w:lang w:eastAsia="ru-RU"/>
              </w:rPr>
            </w:pPr>
            <w:r w:rsidRPr="0062050C">
              <w:rPr>
                <w:rFonts w:eastAsia="Times New Roman"/>
                <w:sz w:val="24"/>
                <w:szCs w:val="24"/>
                <w:lang w:eastAsia="ru-RU"/>
              </w:rPr>
              <w:t>51,25</w:t>
            </w:r>
          </w:p>
        </w:tc>
        <w:tc>
          <w:tcPr>
            <w:tcW w:w="0" w:type="auto"/>
            <w:shd w:val="clear" w:color="auto" w:fill="auto"/>
            <w:noWrap/>
          </w:tcPr>
          <w:p w:rsidR="0062050C" w:rsidRPr="0062050C" w:rsidRDefault="0062050C" w:rsidP="00350173">
            <w:pPr>
              <w:spacing w:line="276" w:lineRule="auto"/>
              <w:jc w:val="center"/>
              <w:rPr>
                <w:rFonts w:eastAsia="Times New Roman"/>
                <w:sz w:val="24"/>
                <w:szCs w:val="24"/>
                <w:lang w:eastAsia="ru-RU"/>
              </w:rPr>
            </w:pPr>
            <w:r w:rsidRPr="0062050C">
              <w:rPr>
                <w:rFonts w:eastAsia="Times New Roman"/>
                <w:sz w:val="24"/>
                <w:szCs w:val="24"/>
                <w:lang w:eastAsia="ru-RU"/>
              </w:rPr>
              <w:t>44,29</w:t>
            </w:r>
          </w:p>
        </w:tc>
        <w:tc>
          <w:tcPr>
            <w:tcW w:w="1108" w:type="dxa"/>
            <w:vAlign w:val="center"/>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86,42</w:t>
            </w:r>
          </w:p>
        </w:tc>
      </w:tr>
      <w:tr w:rsidR="0062050C" w:rsidRPr="0062050C" w:rsidTr="00A57A57">
        <w:trPr>
          <w:trHeight w:val="225"/>
          <w:jc w:val="center"/>
        </w:trPr>
        <w:tc>
          <w:tcPr>
            <w:tcW w:w="2262" w:type="dxa"/>
            <w:shd w:val="clear" w:color="auto" w:fill="auto"/>
            <w:noWrap/>
            <w:hideMark/>
          </w:tcPr>
          <w:p w:rsidR="0062050C" w:rsidRPr="0062050C" w:rsidRDefault="0062050C" w:rsidP="00350173">
            <w:pPr>
              <w:spacing w:line="276" w:lineRule="auto"/>
              <w:jc w:val="left"/>
              <w:rPr>
                <w:rFonts w:eastAsia="Times New Roman"/>
                <w:sz w:val="24"/>
                <w:szCs w:val="24"/>
                <w:lang w:eastAsia="ru-RU"/>
              </w:rPr>
            </w:pPr>
            <w:r w:rsidRPr="0062050C">
              <w:rPr>
                <w:rFonts w:eastAsia="Times New Roman"/>
                <w:sz w:val="24"/>
                <w:szCs w:val="24"/>
                <w:lang w:eastAsia="ru-RU"/>
              </w:rPr>
              <w:t>Сумська</w:t>
            </w:r>
          </w:p>
        </w:tc>
        <w:tc>
          <w:tcPr>
            <w:tcW w:w="0" w:type="auto"/>
            <w:shd w:val="clear" w:color="auto" w:fill="auto"/>
            <w:noWrap/>
          </w:tcPr>
          <w:p w:rsidR="0062050C" w:rsidRPr="0062050C" w:rsidRDefault="0062050C" w:rsidP="00350173">
            <w:pPr>
              <w:spacing w:line="276" w:lineRule="auto"/>
              <w:jc w:val="right"/>
              <w:rPr>
                <w:rFonts w:eastAsia="Times New Roman"/>
                <w:sz w:val="24"/>
                <w:szCs w:val="24"/>
                <w:lang w:eastAsia="ru-RU"/>
              </w:rPr>
            </w:pPr>
            <w:r w:rsidRPr="0062050C">
              <w:rPr>
                <w:rFonts w:eastAsia="Times New Roman"/>
                <w:sz w:val="24"/>
                <w:szCs w:val="24"/>
                <w:lang w:eastAsia="ru-RU"/>
              </w:rPr>
              <w:t>0,49</w:t>
            </w:r>
          </w:p>
        </w:tc>
        <w:tc>
          <w:tcPr>
            <w:tcW w:w="0" w:type="auto"/>
          </w:tcPr>
          <w:p w:rsidR="0062050C" w:rsidRPr="0062050C" w:rsidRDefault="0062050C" w:rsidP="00350173">
            <w:pPr>
              <w:spacing w:line="276" w:lineRule="auto"/>
              <w:jc w:val="right"/>
              <w:rPr>
                <w:rFonts w:eastAsia="Times New Roman"/>
                <w:sz w:val="24"/>
                <w:szCs w:val="24"/>
                <w:lang w:eastAsia="ru-RU"/>
              </w:rPr>
            </w:pPr>
            <w:r w:rsidRPr="0062050C">
              <w:rPr>
                <w:rFonts w:eastAsia="Times New Roman"/>
                <w:sz w:val="24"/>
                <w:szCs w:val="24"/>
                <w:lang w:eastAsia="ru-RU"/>
              </w:rPr>
              <w:t>0,42</w:t>
            </w:r>
          </w:p>
        </w:tc>
        <w:tc>
          <w:tcPr>
            <w:tcW w:w="0" w:type="auto"/>
            <w:shd w:val="clear" w:color="auto" w:fill="auto"/>
            <w:noWrap/>
            <w:vAlign w:val="center"/>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85,71</w:t>
            </w:r>
          </w:p>
        </w:tc>
        <w:tc>
          <w:tcPr>
            <w:tcW w:w="0" w:type="auto"/>
            <w:shd w:val="clear" w:color="auto" w:fill="auto"/>
            <w:noWrap/>
          </w:tcPr>
          <w:p w:rsidR="0062050C" w:rsidRPr="0062050C" w:rsidRDefault="0062050C" w:rsidP="00350173">
            <w:pPr>
              <w:spacing w:line="276" w:lineRule="auto"/>
              <w:jc w:val="center"/>
              <w:rPr>
                <w:rFonts w:eastAsia="Times New Roman"/>
                <w:sz w:val="24"/>
                <w:szCs w:val="24"/>
                <w:lang w:eastAsia="ru-RU"/>
              </w:rPr>
            </w:pPr>
            <w:r w:rsidRPr="0062050C">
              <w:rPr>
                <w:rFonts w:eastAsia="Times New Roman"/>
                <w:sz w:val="24"/>
                <w:szCs w:val="24"/>
                <w:lang w:eastAsia="ru-RU"/>
              </w:rPr>
              <w:t>0,51</w:t>
            </w:r>
          </w:p>
        </w:tc>
        <w:tc>
          <w:tcPr>
            <w:tcW w:w="0" w:type="auto"/>
          </w:tcPr>
          <w:p w:rsidR="0062050C" w:rsidRPr="0062050C" w:rsidRDefault="0062050C" w:rsidP="00350173">
            <w:pPr>
              <w:spacing w:line="276" w:lineRule="auto"/>
              <w:jc w:val="center"/>
              <w:rPr>
                <w:rFonts w:eastAsia="Times New Roman"/>
                <w:sz w:val="24"/>
                <w:szCs w:val="24"/>
                <w:lang w:eastAsia="ru-RU"/>
              </w:rPr>
            </w:pPr>
            <w:r w:rsidRPr="0062050C">
              <w:rPr>
                <w:rFonts w:eastAsia="Times New Roman"/>
                <w:sz w:val="24"/>
                <w:szCs w:val="24"/>
                <w:lang w:eastAsia="ru-RU"/>
              </w:rPr>
              <w:t>0,29</w:t>
            </w:r>
          </w:p>
        </w:tc>
        <w:tc>
          <w:tcPr>
            <w:tcW w:w="0" w:type="auto"/>
            <w:shd w:val="clear" w:color="auto" w:fill="auto"/>
            <w:noWrap/>
            <w:vAlign w:val="center"/>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56,86</w:t>
            </w:r>
          </w:p>
        </w:tc>
        <w:tc>
          <w:tcPr>
            <w:tcW w:w="0" w:type="auto"/>
            <w:shd w:val="clear" w:color="auto" w:fill="auto"/>
            <w:noWrap/>
          </w:tcPr>
          <w:p w:rsidR="0062050C" w:rsidRPr="0062050C" w:rsidRDefault="0062050C" w:rsidP="00350173">
            <w:pPr>
              <w:spacing w:line="276" w:lineRule="auto"/>
              <w:jc w:val="center"/>
              <w:rPr>
                <w:rFonts w:eastAsia="Times New Roman"/>
                <w:sz w:val="24"/>
                <w:szCs w:val="24"/>
                <w:lang w:eastAsia="ru-RU"/>
              </w:rPr>
            </w:pPr>
            <w:r w:rsidRPr="0062050C">
              <w:rPr>
                <w:rFonts w:eastAsia="Times New Roman"/>
                <w:sz w:val="24"/>
                <w:szCs w:val="24"/>
                <w:lang w:eastAsia="ru-RU"/>
              </w:rPr>
              <w:t>0,00</w:t>
            </w:r>
          </w:p>
        </w:tc>
        <w:tc>
          <w:tcPr>
            <w:tcW w:w="0" w:type="auto"/>
            <w:shd w:val="clear" w:color="auto" w:fill="auto"/>
            <w:noWrap/>
          </w:tcPr>
          <w:p w:rsidR="0062050C" w:rsidRPr="0062050C" w:rsidRDefault="0062050C" w:rsidP="00350173">
            <w:pPr>
              <w:spacing w:line="276" w:lineRule="auto"/>
              <w:jc w:val="center"/>
              <w:rPr>
                <w:rFonts w:eastAsia="Times New Roman"/>
                <w:sz w:val="24"/>
                <w:szCs w:val="24"/>
                <w:lang w:eastAsia="ru-RU"/>
              </w:rPr>
            </w:pPr>
            <w:r w:rsidRPr="0062050C">
              <w:rPr>
                <w:rFonts w:eastAsia="Times New Roman"/>
                <w:sz w:val="24"/>
                <w:szCs w:val="24"/>
                <w:lang w:eastAsia="ru-RU"/>
              </w:rPr>
              <w:t>3,46</w:t>
            </w:r>
          </w:p>
        </w:tc>
        <w:tc>
          <w:tcPr>
            <w:tcW w:w="1108" w:type="dxa"/>
            <w:vAlign w:val="center"/>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w:t>
            </w:r>
          </w:p>
        </w:tc>
      </w:tr>
      <w:tr w:rsidR="0062050C" w:rsidRPr="0062050C" w:rsidTr="00A57A57">
        <w:trPr>
          <w:trHeight w:val="225"/>
          <w:jc w:val="center"/>
        </w:trPr>
        <w:tc>
          <w:tcPr>
            <w:tcW w:w="2262" w:type="dxa"/>
            <w:shd w:val="clear" w:color="auto" w:fill="auto"/>
            <w:noWrap/>
            <w:hideMark/>
          </w:tcPr>
          <w:p w:rsidR="0062050C" w:rsidRPr="0062050C" w:rsidRDefault="0062050C" w:rsidP="00350173">
            <w:pPr>
              <w:spacing w:line="276" w:lineRule="auto"/>
              <w:jc w:val="left"/>
              <w:rPr>
                <w:rFonts w:eastAsia="Times New Roman"/>
                <w:sz w:val="24"/>
                <w:szCs w:val="24"/>
                <w:lang w:eastAsia="ru-RU"/>
              </w:rPr>
            </w:pPr>
            <w:r w:rsidRPr="0062050C">
              <w:rPr>
                <w:rFonts w:eastAsia="Times New Roman"/>
                <w:sz w:val="24"/>
                <w:szCs w:val="24"/>
                <w:lang w:eastAsia="ru-RU"/>
              </w:rPr>
              <w:t>Тернопільська</w:t>
            </w:r>
          </w:p>
        </w:tc>
        <w:tc>
          <w:tcPr>
            <w:tcW w:w="0" w:type="auto"/>
            <w:shd w:val="clear" w:color="auto" w:fill="auto"/>
            <w:noWrap/>
          </w:tcPr>
          <w:p w:rsidR="0062050C" w:rsidRPr="0062050C" w:rsidRDefault="0062050C" w:rsidP="00350173">
            <w:pPr>
              <w:spacing w:line="276" w:lineRule="auto"/>
              <w:jc w:val="right"/>
              <w:rPr>
                <w:rFonts w:eastAsia="Times New Roman"/>
                <w:sz w:val="24"/>
                <w:szCs w:val="24"/>
                <w:lang w:eastAsia="ru-RU"/>
              </w:rPr>
            </w:pPr>
            <w:r w:rsidRPr="0062050C">
              <w:rPr>
                <w:rFonts w:eastAsia="Times New Roman"/>
                <w:sz w:val="24"/>
                <w:szCs w:val="24"/>
                <w:lang w:eastAsia="ru-RU"/>
              </w:rPr>
              <w:t>3,09</w:t>
            </w:r>
          </w:p>
        </w:tc>
        <w:tc>
          <w:tcPr>
            <w:tcW w:w="0" w:type="auto"/>
          </w:tcPr>
          <w:p w:rsidR="0062050C" w:rsidRPr="0062050C" w:rsidRDefault="0062050C" w:rsidP="00350173">
            <w:pPr>
              <w:spacing w:line="276" w:lineRule="auto"/>
              <w:jc w:val="right"/>
              <w:rPr>
                <w:rFonts w:eastAsia="Times New Roman"/>
                <w:sz w:val="24"/>
                <w:szCs w:val="24"/>
                <w:lang w:eastAsia="ru-RU"/>
              </w:rPr>
            </w:pPr>
            <w:r w:rsidRPr="0062050C">
              <w:rPr>
                <w:rFonts w:eastAsia="Times New Roman"/>
                <w:sz w:val="24"/>
                <w:szCs w:val="24"/>
                <w:lang w:eastAsia="ru-RU"/>
              </w:rPr>
              <w:t>3,31</w:t>
            </w:r>
          </w:p>
        </w:tc>
        <w:tc>
          <w:tcPr>
            <w:tcW w:w="0" w:type="auto"/>
            <w:shd w:val="clear" w:color="auto" w:fill="auto"/>
            <w:noWrap/>
            <w:vAlign w:val="center"/>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107,12</w:t>
            </w:r>
          </w:p>
        </w:tc>
        <w:tc>
          <w:tcPr>
            <w:tcW w:w="0" w:type="auto"/>
            <w:shd w:val="clear" w:color="auto" w:fill="auto"/>
            <w:noWrap/>
          </w:tcPr>
          <w:p w:rsidR="0062050C" w:rsidRPr="0062050C" w:rsidRDefault="0062050C" w:rsidP="00350173">
            <w:pPr>
              <w:spacing w:line="276" w:lineRule="auto"/>
              <w:jc w:val="center"/>
              <w:rPr>
                <w:rFonts w:eastAsia="Times New Roman"/>
                <w:sz w:val="24"/>
                <w:szCs w:val="24"/>
                <w:lang w:eastAsia="ru-RU"/>
              </w:rPr>
            </w:pPr>
            <w:r w:rsidRPr="0062050C">
              <w:rPr>
                <w:rFonts w:eastAsia="Times New Roman"/>
                <w:sz w:val="24"/>
                <w:szCs w:val="24"/>
                <w:lang w:eastAsia="ru-RU"/>
              </w:rPr>
              <w:t>1,07</w:t>
            </w:r>
          </w:p>
        </w:tc>
        <w:tc>
          <w:tcPr>
            <w:tcW w:w="0" w:type="auto"/>
          </w:tcPr>
          <w:p w:rsidR="0062050C" w:rsidRPr="0062050C" w:rsidRDefault="0062050C" w:rsidP="00350173">
            <w:pPr>
              <w:spacing w:line="276" w:lineRule="auto"/>
              <w:jc w:val="center"/>
              <w:rPr>
                <w:rFonts w:eastAsia="Times New Roman"/>
                <w:sz w:val="24"/>
                <w:szCs w:val="24"/>
                <w:lang w:eastAsia="ru-RU"/>
              </w:rPr>
            </w:pPr>
            <w:r w:rsidRPr="0062050C">
              <w:rPr>
                <w:rFonts w:eastAsia="Times New Roman"/>
                <w:sz w:val="24"/>
                <w:szCs w:val="24"/>
                <w:lang w:eastAsia="ru-RU"/>
              </w:rPr>
              <w:t>0,86</w:t>
            </w:r>
          </w:p>
        </w:tc>
        <w:tc>
          <w:tcPr>
            <w:tcW w:w="0" w:type="auto"/>
            <w:shd w:val="clear" w:color="auto" w:fill="auto"/>
            <w:noWrap/>
            <w:vAlign w:val="center"/>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80,37</w:t>
            </w:r>
          </w:p>
        </w:tc>
        <w:tc>
          <w:tcPr>
            <w:tcW w:w="0" w:type="auto"/>
            <w:shd w:val="clear" w:color="auto" w:fill="auto"/>
            <w:noWrap/>
          </w:tcPr>
          <w:p w:rsidR="0062050C" w:rsidRPr="0062050C" w:rsidRDefault="0062050C" w:rsidP="00350173">
            <w:pPr>
              <w:spacing w:line="276" w:lineRule="auto"/>
              <w:jc w:val="center"/>
              <w:rPr>
                <w:rFonts w:eastAsia="Times New Roman"/>
                <w:sz w:val="24"/>
                <w:szCs w:val="24"/>
                <w:lang w:eastAsia="ru-RU"/>
              </w:rPr>
            </w:pPr>
            <w:r w:rsidRPr="0062050C">
              <w:rPr>
                <w:rFonts w:eastAsia="Times New Roman"/>
                <w:sz w:val="24"/>
                <w:szCs w:val="24"/>
                <w:lang w:eastAsia="ru-RU"/>
              </w:rPr>
              <w:t>58,11</w:t>
            </w:r>
          </w:p>
        </w:tc>
        <w:tc>
          <w:tcPr>
            <w:tcW w:w="0" w:type="auto"/>
            <w:shd w:val="clear" w:color="auto" w:fill="auto"/>
            <w:noWrap/>
          </w:tcPr>
          <w:p w:rsidR="0062050C" w:rsidRPr="0062050C" w:rsidRDefault="0062050C" w:rsidP="00350173">
            <w:pPr>
              <w:spacing w:line="276" w:lineRule="auto"/>
              <w:jc w:val="center"/>
              <w:rPr>
                <w:rFonts w:eastAsia="Times New Roman"/>
                <w:sz w:val="24"/>
                <w:szCs w:val="24"/>
                <w:lang w:eastAsia="ru-RU"/>
              </w:rPr>
            </w:pPr>
            <w:r w:rsidRPr="0062050C">
              <w:rPr>
                <w:rFonts w:eastAsia="Times New Roman"/>
                <w:sz w:val="24"/>
                <w:szCs w:val="24"/>
                <w:lang w:eastAsia="ru-RU"/>
              </w:rPr>
              <w:t>57,85</w:t>
            </w:r>
          </w:p>
        </w:tc>
        <w:tc>
          <w:tcPr>
            <w:tcW w:w="1108" w:type="dxa"/>
            <w:vAlign w:val="center"/>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99,55</w:t>
            </w:r>
          </w:p>
        </w:tc>
      </w:tr>
      <w:tr w:rsidR="0062050C" w:rsidRPr="0062050C" w:rsidTr="00A57A57">
        <w:trPr>
          <w:trHeight w:val="225"/>
          <w:jc w:val="center"/>
        </w:trPr>
        <w:tc>
          <w:tcPr>
            <w:tcW w:w="2262" w:type="dxa"/>
            <w:shd w:val="clear" w:color="auto" w:fill="auto"/>
            <w:noWrap/>
            <w:hideMark/>
          </w:tcPr>
          <w:p w:rsidR="0062050C" w:rsidRPr="0062050C" w:rsidRDefault="0062050C" w:rsidP="00350173">
            <w:pPr>
              <w:spacing w:line="276" w:lineRule="auto"/>
              <w:jc w:val="left"/>
              <w:rPr>
                <w:rFonts w:eastAsia="Times New Roman"/>
                <w:sz w:val="24"/>
                <w:szCs w:val="24"/>
                <w:lang w:eastAsia="ru-RU"/>
              </w:rPr>
            </w:pPr>
            <w:r w:rsidRPr="0062050C">
              <w:rPr>
                <w:rFonts w:eastAsia="Times New Roman"/>
                <w:sz w:val="24"/>
                <w:szCs w:val="24"/>
                <w:lang w:eastAsia="ru-RU"/>
              </w:rPr>
              <w:t>Харківська</w:t>
            </w:r>
          </w:p>
        </w:tc>
        <w:tc>
          <w:tcPr>
            <w:tcW w:w="0" w:type="auto"/>
            <w:shd w:val="clear" w:color="auto" w:fill="auto"/>
            <w:noWrap/>
          </w:tcPr>
          <w:p w:rsidR="0062050C" w:rsidRPr="0062050C" w:rsidRDefault="0062050C" w:rsidP="00350173">
            <w:pPr>
              <w:spacing w:line="276" w:lineRule="auto"/>
              <w:jc w:val="right"/>
              <w:rPr>
                <w:rFonts w:eastAsia="Times New Roman"/>
                <w:sz w:val="24"/>
                <w:szCs w:val="24"/>
                <w:lang w:eastAsia="ru-RU"/>
              </w:rPr>
            </w:pPr>
            <w:r w:rsidRPr="0062050C">
              <w:rPr>
                <w:rFonts w:eastAsia="Times New Roman"/>
                <w:sz w:val="24"/>
                <w:szCs w:val="24"/>
                <w:lang w:eastAsia="ru-RU"/>
              </w:rPr>
              <w:t>0,74</w:t>
            </w:r>
          </w:p>
        </w:tc>
        <w:tc>
          <w:tcPr>
            <w:tcW w:w="0" w:type="auto"/>
          </w:tcPr>
          <w:p w:rsidR="0062050C" w:rsidRPr="0062050C" w:rsidRDefault="0062050C" w:rsidP="00350173">
            <w:pPr>
              <w:spacing w:line="276" w:lineRule="auto"/>
              <w:jc w:val="right"/>
              <w:rPr>
                <w:rFonts w:eastAsia="Times New Roman"/>
                <w:sz w:val="24"/>
                <w:szCs w:val="24"/>
                <w:lang w:eastAsia="ru-RU"/>
              </w:rPr>
            </w:pPr>
            <w:r w:rsidRPr="0062050C">
              <w:rPr>
                <w:rFonts w:eastAsia="Times New Roman"/>
                <w:sz w:val="24"/>
                <w:szCs w:val="24"/>
                <w:lang w:eastAsia="ru-RU"/>
              </w:rPr>
              <w:t>0,47</w:t>
            </w:r>
          </w:p>
        </w:tc>
        <w:tc>
          <w:tcPr>
            <w:tcW w:w="0" w:type="auto"/>
            <w:shd w:val="clear" w:color="auto" w:fill="auto"/>
            <w:noWrap/>
            <w:vAlign w:val="center"/>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63,51</w:t>
            </w:r>
          </w:p>
        </w:tc>
        <w:tc>
          <w:tcPr>
            <w:tcW w:w="0" w:type="auto"/>
            <w:shd w:val="clear" w:color="auto" w:fill="auto"/>
            <w:noWrap/>
          </w:tcPr>
          <w:p w:rsidR="0062050C" w:rsidRPr="0062050C" w:rsidRDefault="0062050C" w:rsidP="00350173">
            <w:pPr>
              <w:spacing w:line="276" w:lineRule="auto"/>
              <w:jc w:val="center"/>
              <w:rPr>
                <w:rFonts w:eastAsia="Times New Roman"/>
                <w:sz w:val="24"/>
                <w:szCs w:val="24"/>
                <w:lang w:eastAsia="ru-RU"/>
              </w:rPr>
            </w:pPr>
            <w:r w:rsidRPr="0062050C">
              <w:rPr>
                <w:rFonts w:eastAsia="Times New Roman"/>
                <w:sz w:val="24"/>
                <w:szCs w:val="24"/>
                <w:lang w:eastAsia="ru-RU"/>
              </w:rPr>
              <w:t>0,23</w:t>
            </w:r>
          </w:p>
        </w:tc>
        <w:tc>
          <w:tcPr>
            <w:tcW w:w="0" w:type="auto"/>
          </w:tcPr>
          <w:p w:rsidR="0062050C" w:rsidRPr="0062050C" w:rsidRDefault="0062050C" w:rsidP="00350173">
            <w:pPr>
              <w:spacing w:line="276" w:lineRule="auto"/>
              <w:jc w:val="center"/>
              <w:rPr>
                <w:rFonts w:eastAsia="Times New Roman"/>
                <w:sz w:val="24"/>
                <w:szCs w:val="24"/>
                <w:lang w:eastAsia="ru-RU"/>
              </w:rPr>
            </w:pPr>
            <w:r w:rsidRPr="0062050C">
              <w:rPr>
                <w:rFonts w:eastAsia="Times New Roman"/>
                <w:sz w:val="24"/>
                <w:szCs w:val="24"/>
                <w:lang w:eastAsia="ru-RU"/>
              </w:rPr>
              <w:t>0,28</w:t>
            </w:r>
          </w:p>
        </w:tc>
        <w:tc>
          <w:tcPr>
            <w:tcW w:w="0" w:type="auto"/>
            <w:shd w:val="clear" w:color="auto" w:fill="auto"/>
            <w:noWrap/>
            <w:vAlign w:val="center"/>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121,74</w:t>
            </w:r>
          </w:p>
        </w:tc>
        <w:tc>
          <w:tcPr>
            <w:tcW w:w="0" w:type="auto"/>
            <w:shd w:val="clear" w:color="auto" w:fill="auto"/>
            <w:noWrap/>
          </w:tcPr>
          <w:p w:rsidR="0062050C" w:rsidRPr="0062050C" w:rsidRDefault="0062050C" w:rsidP="00350173">
            <w:pPr>
              <w:spacing w:line="276" w:lineRule="auto"/>
              <w:jc w:val="center"/>
              <w:rPr>
                <w:rFonts w:eastAsia="Times New Roman"/>
                <w:sz w:val="24"/>
                <w:szCs w:val="24"/>
                <w:lang w:eastAsia="ru-RU"/>
              </w:rPr>
            </w:pPr>
            <w:r w:rsidRPr="0062050C">
              <w:rPr>
                <w:rFonts w:eastAsia="Times New Roman"/>
                <w:sz w:val="24"/>
                <w:szCs w:val="24"/>
                <w:lang w:eastAsia="ru-RU"/>
              </w:rPr>
              <w:t>11,03</w:t>
            </w:r>
          </w:p>
        </w:tc>
        <w:tc>
          <w:tcPr>
            <w:tcW w:w="0" w:type="auto"/>
            <w:shd w:val="clear" w:color="auto" w:fill="auto"/>
            <w:noWrap/>
          </w:tcPr>
          <w:p w:rsidR="0062050C" w:rsidRPr="0062050C" w:rsidRDefault="0062050C" w:rsidP="00350173">
            <w:pPr>
              <w:spacing w:line="276" w:lineRule="auto"/>
              <w:jc w:val="center"/>
              <w:rPr>
                <w:rFonts w:eastAsia="Times New Roman"/>
                <w:sz w:val="24"/>
                <w:szCs w:val="24"/>
                <w:lang w:eastAsia="ru-RU"/>
              </w:rPr>
            </w:pPr>
            <w:r w:rsidRPr="0062050C">
              <w:rPr>
                <w:rFonts w:eastAsia="Times New Roman"/>
                <w:sz w:val="24"/>
                <w:szCs w:val="24"/>
                <w:lang w:eastAsia="ru-RU"/>
              </w:rPr>
              <w:t>4,40</w:t>
            </w:r>
          </w:p>
        </w:tc>
        <w:tc>
          <w:tcPr>
            <w:tcW w:w="1108" w:type="dxa"/>
            <w:vAlign w:val="center"/>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39,89</w:t>
            </w:r>
          </w:p>
        </w:tc>
      </w:tr>
      <w:tr w:rsidR="0062050C" w:rsidRPr="0062050C" w:rsidTr="00A57A57">
        <w:trPr>
          <w:trHeight w:val="225"/>
          <w:jc w:val="center"/>
        </w:trPr>
        <w:tc>
          <w:tcPr>
            <w:tcW w:w="2262" w:type="dxa"/>
            <w:shd w:val="clear" w:color="auto" w:fill="auto"/>
            <w:noWrap/>
            <w:hideMark/>
          </w:tcPr>
          <w:p w:rsidR="0062050C" w:rsidRPr="0062050C" w:rsidRDefault="0062050C" w:rsidP="00350173">
            <w:pPr>
              <w:spacing w:line="276" w:lineRule="auto"/>
              <w:jc w:val="left"/>
              <w:rPr>
                <w:rFonts w:eastAsia="Times New Roman"/>
                <w:sz w:val="24"/>
                <w:szCs w:val="24"/>
                <w:lang w:eastAsia="ru-RU"/>
              </w:rPr>
            </w:pPr>
            <w:r w:rsidRPr="0062050C">
              <w:rPr>
                <w:rFonts w:eastAsia="Times New Roman"/>
                <w:sz w:val="24"/>
                <w:szCs w:val="24"/>
                <w:lang w:eastAsia="ru-RU"/>
              </w:rPr>
              <w:t>Херсонська</w:t>
            </w:r>
          </w:p>
        </w:tc>
        <w:tc>
          <w:tcPr>
            <w:tcW w:w="0" w:type="auto"/>
            <w:shd w:val="clear" w:color="auto" w:fill="auto"/>
            <w:noWrap/>
          </w:tcPr>
          <w:p w:rsidR="0062050C" w:rsidRPr="0062050C" w:rsidRDefault="0062050C" w:rsidP="00350173">
            <w:pPr>
              <w:spacing w:line="276" w:lineRule="auto"/>
              <w:jc w:val="right"/>
              <w:rPr>
                <w:rFonts w:eastAsia="Times New Roman"/>
                <w:sz w:val="24"/>
                <w:szCs w:val="24"/>
                <w:lang w:eastAsia="ru-RU"/>
              </w:rPr>
            </w:pPr>
            <w:r w:rsidRPr="0062050C">
              <w:rPr>
                <w:rFonts w:eastAsia="Times New Roman"/>
                <w:sz w:val="24"/>
                <w:szCs w:val="24"/>
                <w:lang w:eastAsia="ru-RU"/>
              </w:rPr>
              <w:t>3,10</w:t>
            </w:r>
          </w:p>
        </w:tc>
        <w:tc>
          <w:tcPr>
            <w:tcW w:w="0" w:type="auto"/>
          </w:tcPr>
          <w:p w:rsidR="0062050C" w:rsidRPr="0062050C" w:rsidRDefault="0062050C" w:rsidP="00350173">
            <w:pPr>
              <w:spacing w:line="276" w:lineRule="auto"/>
              <w:jc w:val="right"/>
              <w:rPr>
                <w:rFonts w:eastAsia="Times New Roman"/>
                <w:sz w:val="24"/>
                <w:szCs w:val="24"/>
                <w:lang w:eastAsia="ru-RU"/>
              </w:rPr>
            </w:pPr>
            <w:r w:rsidRPr="0062050C">
              <w:rPr>
                <w:rFonts w:eastAsia="Times New Roman"/>
                <w:sz w:val="24"/>
                <w:szCs w:val="24"/>
                <w:lang w:eastAsia="ru-RU"/>
              </w:rPr>
              <w:t>2,82</w:t>
            </w:r>
          </w:p>
        </w:tc>
        <w:tc>
          <w:tcPr>
            <w:tcW w:w="0" w:type="auto"/>
            <w:shd w:val="clear" w:color="auto" w:fill="auto"/>
            <w:noWrap/>
            <w:vAlign w:val="center"/>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90,97</w:t>
            </w:r>
          </w:p>
        </w:tc>
        <w:tc>
          <w:tcPr>
            <w:tcW w:w="0" w:type="auto"/>
            <w:shd w:val="clear" w:color="auto" w:fill="auto"/>
            <w:noWrap/>
          </w:tcPr>
          <w:p w:rsidR="0062050C" w:rsidRPr="0062050C" w:rsidRDefault="0062050C" w:rsidP="00350173">
            <w:pPr>
              <w:spacing w:line="276" w:lineRule="auto"/>
              <w:jc w:val="center"/>
              <w:rPr>
                <w:rFonts w:eastAsia="Times New Roman"/>
                <w:sz w:val="24"/>
                <w:szCs w:val="24"/>
                <w:lang w:eastAsia="ru-RU"/>
              </w:rPr>
            </w:pPr>
            <w:r w:rsidRPr="0062050C">
              <w:rPr>
                <w:rFonts w:eastAsia="Times New Roman"/>
                <w:sz w:val="24"/>
                <w:szCs w:val="24"/>
                <w:lang w:eastAsia="ru-RU"/>
              </w:rPr>
              <w:t>1,49</w:t>
            </w:r>
          </w:p>
        </w:tc>
        <w:tc>
          <w:tcPr>
            <w:tcW w:w="0" w:type="auto"/>
          </w:tcPr>
          <w:p w:rsidR="0062050C" w:rsidRPr="0062050C" w:rsidRDefault="0062050C" w:rsidP="00350173">
            <w:pPr>
              <w:spacing w:line="276" w:lineRule="auto"/>
              <w:jc w:val="center"/>
              <w:rPr>
                <w:rFonts w:eastAsia="Times New Roman"/>
                <w:sz w:val="24"/>
                <w:szCs w:val="24"/>
                <w:lang w:eastAsia="ru-RU"/>
              </w:rPr>
            </w:pPr>
            <w:r w:rsidRPr="0062050C">
              <w:rPr>
                <w:rFonts w:eastAsia="Times New Roman"/>
                <w:sz w:val="24"/>
                <w:szCs w:val="24"/>
                <w:lang w:eastAsia="ru-RU"/>
              </w:rPr>
              <w:t>0,26</w:t>
            </w:r>
          </w:p>
        </w:tc>
        <w:tc>
          <w:tcPr>
            <w:tcW w:w="0" w:type="auto"/>
            <w:shd w:val="clear" w:color="auto" w:fill="auto"/>
            <w:noWrap/>
            <w:vAlign w:val="center"/>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17,45</w:t>
            </w:r>
          </w:p>
        </w:tc>
        <w:tc>
          <w:tcPr>
            <w:tcW w:w="0" w:type="auto"/>
            <w:shd w:val="clear" w:color="auto" w:fill="auto"/>
            <w:noWrap/>
          </w:tcPr>
          <w:p w:rsidR="0062050C" w:rsidRPr="0062050C" w:rsidRDefault="0062050C" w:rsidP="00350173">
            <w:pPr>
              <w:spacing w:line="276" w:lineRule="auto"/>
              <w:jc w:val="center"/>
              <w:rPr>
                <w:rFonts w:eastAsia="Times New Roman"/>
                <w:sz w:val="24"/>
                <w:szCs w:val="24"/>
                <w:lang w:eastAsia="ru-RU"/>
              </w:rPr>
            </w:pPr>
            <w:r w:rsidRPr="0062050C">
              <w:rPr>
                <w:rFonts w:eastAsia="Times New Roman"/>
                <w:sz w:val="24"/>
                <w:szCs w:val="24"/>
                <w:lang w:eastAsia="ru-RU"/>
              </w:rPr>
              <w:t>38,68</w:t>
            </w:r>
          </w:p>
        </w:tc>
        <w:tc>
          <w:tcPr>
            <w:tcW w:w="0" w:type="auto"/>
            <w:shd w:val="clear" w:color="auto" w:fill="auto"/>
            <w:noWrap/>
          </w:tcPr>
          <w:p w:rsidR="0062050C" w:rsidRPr="0062050C" w:rsidRDefault="0062050C" w:rsidP="00350173">
            <w:pPr>
              <w:spacing w:line="276" w:lineRule="auto"/>
              <w:jc w:val="center"/>
              <w:rPr>
                <w:rFonts w:eastAsia="Times New Roman"/>
                <w:sz w:val="24"/>
                <w:szCs w:val="24"/>
                <w:lang w:eastAsia="ru-RU"/>
              </w:rPr>
            </w:pPr>
            <w:r w:rsidRPr="0062050C">
              <w:rPr>
                <w:rFonts w:eastAsia="Times New Roman"/>
                <w:sz w:val="24"/>
                <w:szCs w:val="24"/>
                <w:lang w:eastAsia="ru-RU"/>
              </w:rPr>
              <w:t>52,50</w:t>
            </w:r>
          </w:p>
        </w:tc>
        <w:tc>
          <w:tcPr>
            <w:tcW w:w="1108" w:type="dxa"/>
            <w:vAlign w:val="center"/>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135,73</w:t>
            </w:r>
          </w:p>
        </w:tc>
      </w:tr>
      <w:tr w:rsidR="0062050C" w:rsidRPr="0062050C" w:rsidTr="00A57A57">
        <w:trPr>
          <w:trHeight w:val="225"/>
          <w:jc w:val="center"/>
        </w:trPr>
        <w:tc>
          <w:tcPr>
            <w:tcW w:w="2262" w:type="dxa"/>
            <w:shd w:val="clear" w:color="auto" w:fill="auto"/>
            <w:noWrap/>
            <w:hideMark/>
          </w:tcPr>
          <w:p w:rsidR="0062050C" w:rsidRPr="0062050C" w:rsidRDefault="0062050C" w:rsidP="00350173">
            <w:pPr>
              <w:spacing w:line="276" w:lineRule="auto"/>
              <w:jc w:val="left"/>
              <w:rPr>
                <w:rFonts w:eastAsia="Times New Roman"/>
                <w:sz w:val="24"/>
                <w:szCs w:val="24"/>
                <w:lang w:eastAsia="ru-RU"/>
              </w:rPr>
            </w:pPr>
            <w:r w:rsidRPr="0062050C">
              <w:rPr>
                <w:rFonts w:eastAsia="Times New Roman"/>
                <w:sz w:val="24"/>
                <w:szCs w:val="24"/>
                <w:lang w:eastAsia="ru-RU"/>
              </w:rPr>
              <w:t>Хмельницька</w:t>
            </w:r>
          </w:p>
        </w:tc>
        <w:tc>
          <w:tcPr>
            <w:tcW w:w="0" w:type="auto"/>
            <w:shd w:val="clear" w:color="auto" w:fill="auto"/>
            <w:noWrap/>
          </w:tcPr>
          <w:p w:rsidR="0062050C" w:rsidRPr="0062050C" w:rsidRDefault="0062050C" w:rsidP="00350173">
            <w:pPr>
              <w:spacing w:line="276" w:lineRule="auto"/>
              <w:jc w:val="right"/>
              <w:rPr>
                <w:rFonts w:eastAsia="Times New Roman"/>
                <w:sz w:val="24"/>
                <w:szCs w:val="24"/>
                <w:lang w:eastAsia="ru-RU"/>
              </w:rPr>
            </w:pPr>
            <w:r w:rsidRPr="0062050C">
              <w:rPr>
                <w:rFonts w:eastAsia="Times New Roman"/>
                <w:sz w:val="24"/>
                <w:szCs w:val="24"/>
                <w:lang w:eastAsia="ru-RU"/>
              </w:rPr>
              <w:t>1,03</w:t>
            </w:r>
          </w:p>
        </w:tc>
        <w:tc>
          <w:tcPr>
            <w:tcW w:w="0" w:type="auto"/>
          </w:tcPr>
          <w:p w:rsidR="0062050C" w:rsidRPr="0062050C" w:rsidRDefault="0062050C" w:rsidP="00350173">
            <w:pPr>
              <w:spacing w:line="276" w:lineRule="auto"/>
              <w:jc w:val="right"/>
              <w:rPr>
                <w:rFonts w:eastAsia="Times New Roman"/>
                <w:sz w:val="24"/>
                <w:szCs w:val="24"/>
                <w:lang w:eastAsia="ru-RU"/>
              </w:rPr>
            </w:pPr>
            <w:r w:rsidRPr="0062050C">
              <w:rPr>
                <w:rFonts w:eastAsia="Times New Roman"/>
                <w:sz w:val="24"/>
                <w:szCs w:val="24"/>
                <w:lang w:eastAsia="ru-RU"/>
              </w:rPr>
              <w:t>1,21</w:t>
            </w:r>
          </w:p>
        </w:tc>
        <w:tc>
          <w:tcPr>
            <w:tcW w:w="0" w:type="auto"/>
            <w:shd w:val="clear" w:color="auto" w:fill="auto"/>
            <w:noWrap/>
            <w:vAlign w:val="center"/>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117,48</w:t>
            </w:r>
          </w:p>
        </w:tc>
        <w:tc>
          <w:tcPr>
            <w:tcW w:w="0" w:type="auto"/>
            <w:shd w:val="clear" w:color="auto" w:fill="auto"/>
            <w:noWrap/>
          </w:tcPr>
          <w:p w:rsidR="0062050C" w:rsidRPr="0062050C" w:rsidRDefault="0062050C" w:rsidP="00350173">
            <w:pPr>
              <w:spacing w:line="276" w:lineRule="auto"/>
              <w:jc w:val="center"/>
              <w:rPr>
                <w:rFonts w:eastAsia="Times New Roman"/>
                <w:sz w:val="24"/>
                <w:szCs w:val="24"/>
                <w:lang w:eastAsia="ru-RU"/>
              </w:rPr>
            </w:pPr>
            <w:r w:rsidRPr="0062050C">
              <w:rPr>
                <w:rFonts w:eastAsia="Times New Roman"/>
                <w:sz w:val="24"/>
                <w:szCs w:val="24"/>
                <w:lang w:eastAsia="ru-RU"/>
              </w:rPr>
              <w:t>0,36</w:t>
            </w:r>
          </w:p>
        </w:tc>
        <w:tc>
          <w:tcPr>
            <w:tcW w:w="0" w:type="auto"/>
          </w:tcPr>
          <w:p w:rsidR="0062050C" w:rsidRPr="0062050C" w:rsidRDefault="0062050C" w:rsidP="00350173">
            <w:pPr>
              <w:spacing w:line="276" w:lineRule="auto"/>
              <w:jc w:val="center"/>
              <w:rPr>
                <w:rFonts w:eastAsia="Times New Roman"/>
                <w:sz w:val="24"/>
                <w:szCs w:val="24"/>
                <w:lang w:eastAsia="ru-RU"/>
              </w:rPr>
            </w:pPr>
            <w:r w:rsidRPr="0062050C">
              <w:rPr>
                <w:rFonts w:eastAsia="Times New Roman"/>
                <w:sz w:val="24"/>
                <w:szCs w:val="24"/>
                <w:lang w:eastAsia="ru-RU"/>
              </w:rPr>
              <w:t>0,59</w:t>
            </w:r>
          </w:p>
        </w:tc>
        <w:tc>
          <w:tcPr>
            <w:tcW w:w="0" w:type="auto"/>
            <w:shd w:val="clear" w:color="auto" w:fill="auto"/>
            <w:noWrap/>
            <w:vAlign w:val="center"/>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163,89</w:t>
            </w:r>
          </w:p>
        </w:tc>
        <w:tc>
          <w:tcPr>
            <w:tcW w:w="0" w:type="auto"/>
            <w:shd w:val="clear" w:color="auto" w:fill="auto"/>
            <w:noWrap/>
          </w:tcPr>
          <w:p w:rsidR="0062050C" w:rsidRPr="0062050C" w:rsidRDefault="0062050C" w:rsidP="00350173">
            <w:pPr>
              <w:spacing w:line="276" w:lineRule="auto"/>
              <w:jc w:val="center"/>
              <w:rPr>
                <w:rFonts w:eastAsia="Times New Roman"/>
                <w:sz w:val="24"/>
                <w:szCs w:val="24"/>
                <w:lang w:eastAsia="ru-RU"/>
              </w:rPr>
            </w:pPr>
            <w:r w:rsidRPr="0062050C">
              <w:rPr>
                <w:rFonts w:eastAsia="Times New Roman"/>
                <w:sz w:val="24"/>
                <w:szCs w:val="24"/>
                <w:lang w:eastAsia="ru-RU"/>
              </w:rPr>
              <w:t>16,92</w:t>
            </w:r>
          </w:p>
        </w:tc>
        <w:tc>
          <w:tcPr>
            <w:tcW w:w="0" w:type="auto"/>
            <w:shd w:val="clear" w:color="auto" w:fill="auto"/>
            <w:noWrap/>
          </w:tcPr>
          <w:p w:rsidR="0062050C" w:rsidRPr="0062050C" w:rsidRDefault="0062050C" w:rsidP="00350173">
            <w:pPr>
              <w:spacing w:line="276" w:lineRule="auto"/>
              <w:jc w:val="center"/>
              <w:rPr>
                <w:rFonts w:eastAsia="Times New Roman"/>
                <w:sz w:val="24"/>
                <w:szCs w:val="24"/>
                <w:lang w:eastAsia="ru-RU"/>
              </w:rPr>
            </w:pPr>
            <w:r w:rsidRPr="0062050C">
              <w:rPr>
                <w:rFonts w:eastAsia="Times New Roman"/>
                <w:sz w:val="24"/>
                <w:szCs w:val="24"/>
                <w:lang w:eastAsia="ru-RU"/>
              </w:rPr>
              <w:t>14,06</w:t>
            </w:r>
          </w:p>
        </w:tc>
        <w:tc>
          <w:tcPr>
            <w:tcW w:w="1108" w:type="dxa"/>
            <w:vAlign w:val="center"/>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83,10</w:t>
            </w:r>
          </w:p>
        </w:tc>
      </w:tr>
      <w:tr w:rsidR="0062050C" w:rsidRPr="0062050C" w:rsidTr="00A57A57">
        <w:trPr>
          <w:trHeight w:val="225"/>
          <w:jc w:val="center"/>
        </w:trPr>
        <w:tc>
          <w:tcPr>
            <w:tcW w:w="2262" w:type="dxa"/>
            <w:shd w:val="clear" w:color="auto" w:fill="auto"/>
            <w:noWrap/>
            <w:hideMark/>
          </w:tcPr>
          <w:p w:rsidR="0062050C" w:rsidRPr="0062050C" w:rsidRDefault="0062050C" w:rsidP="00350173">
            <w:pPr>
              <w:spacing w:line="276" w:lineRule="auto"/>
              <w:jc w:val="left"/>
              <w:rPr>
                <w:rFonts w:eastAsia="Times New Roman"/>
                <w:sz w:val="24"/>
                <w:szCs w:val="24"/>
                <w:lang w:eastAsia="ru-RU"/>
              </w:rPr>
            </w:pPr>
            <w:r w:rsidRPr="0062050C">
              <w:rPr>
                <w:rFonts w:eastAsia="Times New Roman"/>
                <w:sz w:val="24"/>
                <w:szCs w:val="24"/>
                <w:lang w:eastAsia="ru-RU"/>
              </w:rPr>
              <w:t>Черкаська</w:t>
            </w:r>
          </w:p>
        </w:tc>
        <w:tc>
          <w:tcPr>
            <w:tcW w:w="0" w:type="auto"/>
            <w:shd w:val="clear" w:color="auto" w:fill="auto"/>
            <w:noWrap/>
          </w:tcPr>
          <w:p w:rsidR="0062050C" w:rsidRPr="0062050C" w:rsidRDefault="0062050C" w:rsidP="00350173">
            <w:pPr>
              <w:spacing w:line="276" w:lineRule="auto"/>
              <w:jc w:val="right"/>
              <w:rPr>
                <w:rFonts w:eastAsia="Times New Roman"/>
                <w:sz w:val="24"/>
                <w:szCs w:val="24"/>
                <w:lang w:eastAsia="ru-RU"/>
              </w:rPr>
            </w:pPr>
            <w:r w:rsidRPr="0062050C">
              <w:rPr>
                <w:rFonts w:eastAsia="Times New Roman"/>
                <w:sz w:val="24"/>
                <w:szCs w:val="24"/>
                <w:lang w:eastAsia="ru-RU"/>
              </w:rPr>
              <w:t>3,44</w:t>
            </w:r>
          </w:p>
        </w:tc>
        <w:tc>
          <w:tcPr>
            <w:tcW w:w="0" w:type="auto"/>
          </w:tcPr>
          <w:p w:rsidR="0062050C" w:rsidRPr="0062050C" w:rsidRDefault="0062050C" w:rsidP="00350173">
            <w:pPr>
              <w:spacing w:line="276" w:lineRule="auto"/>
              <w:jc w:val="right"/>
              <w:rPr>
                <w:rFonts w:eastAsia="Times New Roman"/>
                <w:sz w:val="24"/>
                <w:szCs w:val="24"/>
                <w:lang w:eastAsia="ru-RU"/>
              </w:rPr>
            </w:pPr>
            <w:r w:rsidRPr="0062050C">
              <w:rPr>
                <w:rFonts w:eastAsia="Times New Roman"/>
                <w:sz w:val="24"/>
                <w:szCs w:val="24"/>
                <w:lang w:eastAsia="ru-RU"/>
              </w:rPr>
              <w:t>1,99</w:t>
            </w:r>
          </w:p>
        </w:tc>
        <w:tc>
          <w:tcPr>
            <w:tcW w:w="0" w:type="auto"/>
            <w:shd w:val="clear" w:color="auto" w:fill="auto"/>
            <w:noWrap/>
            <w:vAlign w:val="center"/>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57,85</w:t>
            </w:r>
          </w:p>
        </w:tc>
        <w:tc>
          <w:tcPr>
            <w:tcW w:w="0" w:type="auto"/>
            <w:shd w:val="clear" w:color="auto" w:fill="auto"/>
            <w:noWrap/>
          </w:tcPr>
          <w:p w:rsidR="0062050C" w:rsidRPr="0062050C" w:rsidRDefault="0062050C" w:rsidP="00350173">
            <w:pPr>
              <w:spacing w:line="276" w:lineRule="auto"/>
              <w:jc w:val="center"/>
              <w:rPr>
                <w:rFonts w:eastAsia="Times New Roman"/>
                <w:sz w:val="24"/>
                <w:szCs w:val="24"/>
                <w:lang w:eastAsia="ru-RU"/>
              </w:rPr>
            </w:pPr>
            <w:r w:rsidRPr="0062050C">
              <w:rPr>
                <w:rFonts w:eastAsia="Times New Roman"/>
                <w:sz w:val="24"/>
                <w:szCs w:val="24"/>
                <w:lang w:eastAsia="ru-RU"/>
              </w:rPr>
              <w:t>1,88</w:t>
            </w:r>
          </w:p>
        </w:tc>
        <w:tc>
          <w:tcPr>
            <w:tcW w:w="0" w:type="auto"/>
          </w:tcPr>
          <w:p w:rsidR="0062050C" w:rsidRPr="0062050C" w:rsidRDefault="0062050C" w:rsidP="00350173">
            <w:pPr>
              <w:spacing w:line="276" w:lineRule="auto"/>
              <w:jc w:val="center"/>
              <w:rPr>
                <w:rFonts w:eastAsia="Times New Roman"/>
                <w:sz w:val="24"/>
                <w:szCs w:val="24"/>
                <w:lang w:eastAsia="ru-RU"/>
              </w:rPr>
            </w:pPr>
            <w:r w:rsidRPr="0062050C">
              <w:rPr>
                <w:rFonts w:eastAsia="Times New Roman"/>
                <w:sz w:val="24"/>
                <w:szCs w:val="24"/>
                <w:lang w:eastAsia="ru-RU"/>
              </w:rPr>
              <w:t>0,86</w:t>
            </w:r>
          </w:p>
        </w:tc>
        <w:tc>
          <w:tcPr>
            <w:tcW w:w="0" w:type="auto"/>
            <w:shd w:val="clear" w:color="auto" w:fill="auto"/>
            <w:noWrap/>
            <w:vAlign w:val="center"/>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45,74</w:t>
            </w:r>
          </w:p>
        </w:tc>
        <w:tc>
          <w:tcPr>
            <w:tcW w:w="0" w:type="auto"/>
            <w:shd w:val="clear" w:color="auto" w:fill="auto"/>
            <w:noWrap/>
          </w:tcPr>
          <w:p w:rsidR="0062050C" w:rsidRPr="0062050C" w:rsidRDefault="0062050C" w:rsidP="00350173">
            <w:pPr>
              <w:spacing w:line="276" w:lineRule="auto"/>
              <w:jc w:val="center"/>
              <w:rPr>
                <w:rFonts w:eastAsia="Times New Roman"/>
                <w:sz w:val="24"/>
                <w:szCs w:val="24"/>
                <w:lang w:eastAsia="ru-RU"/>
              </w:rPr>
            </w:pPr>
            <w:r w:rsidRPr="0062050C">
              <w:rPr>
                <w:rFonts w:eastAsia="Times New Roman"/>
                <w:sz w:val="24"/>
                <w:szCs w:val="24"/>
                <w:lang w:eastAsia="ru-RU"/>
              </w:rPr>
              <w:t>40,49</w:t>
            </w:r>
          </w:p>
        </w:tc>
        <w:tc>
          <w:tcPr>
            <w:tcW w:w="0" w:type="auto"/>
            <w:shd w:val="clear" w:color="auto" w:fill="auto"/>
            <w:noWrap/>
          </w:tcPr>
          <w:p w:rsidR="0062050C" w:rsidRPr="0062050C" w:rsidRDefault="0062050C" w:rsidP="00350173">
            <w:pPr>
              <w:spacing w:line="276" w:lineRule="auto"/>
              <w:jc w:val="center"/>
              <w:rPr>
                <w:rFonts w:eastAsia="Times New Roman"/>
                <w:sz w:val="24"/>
                <w:szCs w:val="24"/>
                <w:lang w:eastAsia="ru-RU"/>
              </w:rPr>
            </w:pPr>
            <w:r w:rsidRPr="0062050C">
              <w:rPr>
                <w:rFonts w:eastAsia="Times New Roman"/>
                <w:sz w:val="24"/>
                <w:szCs w:val="24"/>
                <w:lang w:eastAsia="ru-RU"/>
              </w:rPr>
              <w:t>23,98</w:t>
            </w:r>
          </w:p>
        </w:tc>
        <w:tc>
          <w:tcPr>
            <w:tcW w:w="1108" w:type="dxa"/>
            <w:vAlign w:val="center"/>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59,22</w:t>
            </w:r>
          </w:p>
        </w:tc>
      </w:tr>
      <w:tr w:rsidR="0062050C" w:rsidRPr="0062050C" w:rsidTr="00A57A57">
        <w:trPr>
          <w:trHeight w:val="225"/>
          <w:jc w:val="center"/>
        </w:trPr>
        <w:tc>
          <w:tcPr>
            <w:tcW w:w="2262" w:type="dxa"/>
            <w:shd w:val="clear" w:color="auto" w:fill="auto"/>
            <w:noWrap/>
            <w:hideMark/>
          </w:tcPr>
          <w:p w:rsidR="0062050C" w:rsidRPr="0062050C" w:rsidRDefault="0062050C" w:rsidP="00350173">
            <w:pPr>
              <w:spacing w:line="276" w:lineRule="auto"/>
              <w:jc w:val="left"/>
              <w:rPr>
                <w:rFonts w:eastAsia="Times New Roman"/>
                <w:sz w:val="24"/>
                <w:szCs w:val="24"/>
                <w:lang w:eastAsia="ru-RU"/>
              </w:rPr>
            </w:pPr>
            <w:r w:rsidRPr="0062050C">
              <w:rPr>
                <w:rFonts w:eastAsia="Times New Roman"/>
                <w:sz w:val="24"/>
                <w:szCs w:val="24"/>
                <w:lang w:eastAsia="ru-RU"/>
              </w:rPr>
              <w:t>Чернівецька</w:t>
            </w:r>
          </w:p>
        </w:tc>
        <w:tc>
          <w:tcPr>
            <w:tcW w:w="0" w:type="auto"/>
            <w:shd w:val="clear" w:color="auto" w:fill="auto"/>
            <w:noWrap/>
          </w:tcPr>
          <w:p w:rsidR="0062050C" w:rsidRPr="0062050C" w:rsidRDefault="0062050C" w:rsidP="00350173">
            <w:pPr>
              <w:spacing w:line="276" w:lineRule="auto"/>
              <w:jc w:val="right"/>
              <w:rPr>
                <w:rFonts w:eastAsia="Times New Roman"/>
                <w:sz w:val="24"/>
                <w:szCs w:val="24"/>
                <w:lang w:eastAsia="ru-RU"/>
              </w:rPr>
            </w:pPr>
            <w:r w:rsidRPr="0062050C">
              <w:rPr>
                <w:rFonts w:eastAsia="Times New Roman"/>
                <w:sz w:val="24"/>
                <w:szCs w:val="24"/>
                <w:lang w:eastAsia="ru-RU"/>
              </w:rPr>
              <w:t>2,16</w:t>
            </w:r>
          </w:p>
        </w:tc>
        <w:tc>
          <w:tcPr>
            <w:tcW w:w="0" w:type="auto"/>
          </w:tcPr>
          <w:p w:rsidR="0062050C" w:rsidRPr="0062050C" w:rsidRDefault="0062050C" w:rsidP="00350173">
            <w:pPr>
              <w:spacing w:line="276" w:lineRule="auto"/>
              <w:jc w:val="right"/>
              <w:rPr>
                <w:rFonts w:eastAsia="Times New Roman"/>
                <w:sz w:val="24"/>
                <w:szCs w:val="24"/>
                <w:lang w:eastAsia="ru-RU"/>
              </w:rPr>
            </w:pPr>
            <w:r w:rsidRPr="0062050C">
              <w:rPr>
                <w:rFonts w:eastAsia="Times New Roman"/>
                <w:sz w:val="24"/>
                <w:szCs w:val="24"/>
                <w:lang w:eastAsia="ru-RU"/>
              </w:rPr>
              <w:t>2,89</w:t>
            </w:r>
          </w:p>
        </w:tc>
        <w:tc>
          <w:tcPr>
            <w:tcW w:w="0" w:type="auto"/>
            <w:shd w:val="clear" w:color="auto" w:fill="auto"/>
            <w:noWrap/>
            <w:vAlign w:val="center"/>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133,80</w:t>
            </w:r>
          </w:p>
        </w:tc>
        <w:tc>
          <w:tcPr>
            <w:tcW w:w="0" w:type="auto"/>
            <w:shd w:val="clear" w:color="auto" w:fill="auto"/>
            <w:noWrap/>
          </w:tcPr>
          <w:p w:rsidR="0062050C" w:rsidRPr="0062050C" w:rsidRDefault="0062050C" w:rsidP="00350173">
            <w:pPr>
              <w:spacing w:line="276" w:lineRule="auto"/>
              <w:jc w:val="center"/>
              <w:rPr>
                <w:rFonts w:eastAsia="Times New Roman"/>
                <w:sz w:val="24"/>
                <w:szCs w:val="24"/>
                <w:lang w:eastAsia="ru-RU"/>
              </w:rPr>
            </w:pPr>
            <w:r w:rsidRPr="0062050C">
              <w:rPr>
                <w:rFonts w:eastAsia="Times New Roman"/>
                <w:sz w:val="24"/>
                <w:szCs w:val="24"/>
                <w:lang w:eastAsia="ru-RU"/>
              </w:rPr>
              <w:t>0,54</w:t>
            </w:r>
          </w:p>
        </w:tc>
        <w:tc>
          <w:tcPr>
            <w:tcW w:w="0" w:type="auto"/>
          </w:tcPr>
          <w:p w:rsidR="0062050C" w:rsidRPr="0062050C" w:rsidRDefault="0062050C" w:rsidP="00350173">
            <w:pPr>
              <w:spacing w:line="276" w:lineRule="auto"/>
              <w:jc w:val="center"/>
              <w:rPr>
                <w:rFonts w:eastAsia="Times New Roman"/>
                <w:sz w:val="24"/>
                <w:szCs w:val="24"/>
                <w:lang w:eastAsia="ru-RU"/>
              </w:rPr>
            </w:pPr>
            <w:r w:rsidRPr="0062050C">
              <w:rPr>
                <w:rFonts w:eastAsia="Times New Roman"/>
                <w:sz w:val="24"/>
                <w:szCs w:val="24"/>
                <w:lang w:eastAsia="ru-RU"/>
              </w:rPr>
              <w:t>0,72</w:t>
            </w:r>
          </w:p>
        </w:tc>
        <w:tc>
          <w:tcPr>
            <w:tcW w:w="0" w:type="auto"/>
            <w:shd w:val="clear" w:color="auto" w:fill="auto"/>
            <w:noWrap/>
            <w:vAlign w:val="center"/>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133,33</w:t>
            </w:r>
          </w:p>
        </w:tc>
        <w:tc>
          <w:tcPr>
            <w:tcW w:w="0" w:type="auto"/>
            <w:shd w:val="clear" w:color="auto" w:fill="auto"/>
            <w:noWrap/>
          </w:tcPr>
          <w:p w:rsidR="0062050C" w:rsidRPr="0062050C" w:rsidRDefault="0062050C" w:rsidP="00350173">
            <w:pPr>
              <w:spacing w:line="276" w:lineRule="auto"/>
              <w:jc w:val="center"/>
              <w:rPr>
                <w:rFonts w:eastAsia="Times New Roman"/>
                <w:sz w:val="24"/>
                <w:szCs w:val="24"/>
                <w:lang w:eastAsia="ru-RU"/>
              </w:rPr>
            </w:pPr>
            <w:r w:rsidRPr="0062050C">
              <w:rPr>
                <w:rFonts w:eastAsia="Times New Roman"/>
                <w:sz w:val="24"/>
                <w:szCs w:val="24"/>
                <w:lang w:eastAsia="ru-RU"/>
              </w:rPr>
              <w:t>45,56</w:t>
            </w:r>
          </w:p>
        </w:tc>
        <w:tc>
          <w:tcPr>
            <w:tcW w:w="0" w:type="auto"/>
            <w:shd w:val="clear" w:color="auto" w:fill="auto"/>
            <w:noWrap/>
          </w:tcPr>
          <w:p w:rsidR="0062050C" w:rsidRPr="0062050C" w:rsidRDefault="0062050C" w:rsidP="00350173">
            <w:pPr>
              <w:spacing w:line="276" w:lineRule="auto"/>
              <w:jc w:val="center"/>
              <w:rPr>
                <w:rFonts w:eastAsia="Times New Roman"/>
                <w:sz w:val="24"/>
                <w:szCs w:val="24"/>
                <w:lang w:eastAsia="ru-RU"/>
              </w:rPr>
            </w:pPr>
            <w:r w:rsidRPr="0062050C">
              <w:rPr>
                <w:rFonts w:eastAsia="Times New Roman"/>
                <w:sz w:val="24"/>
                <w:szCs w:val="24"/>
                <w:lang w:eastAsia="ru-RU"/>
              </w:rPr>
              <w:t>60,13</w:t>
            </w:r>
          </w:p>
        </w:tc>
        <w:tc>
          <w:tcPr>
            <w:tcW w:w="1108" w:type="dxa"/>
            <w:vAlign w:val="center"/>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131,98</w:t>
            </w:r>
          </w:p>
        </w:tc>
      </w:tr>
      <w:tr w:rsidR="0062050C" w:rsidRPr="0062050C" w:rsidTr="00A57A57">
        <w:trPr>
          <w:trHeight w:val="225"/>
          <w:jc w:val="center"/>
        </w:trPr>
        <w:tc>
          <w:tcPr>
            <w:tcW w:w="2262" w:type="dxa"/>
            <w:shd w:val="clear" w:color="auto" w:fill="auto"/>
            <w:noWrap/>
            <w:hideMark/>
          </w:tcPr>
          <w:p w:rsidR="0062050C" w:rsidRPr="0062050C" w:rsidRDefault="0062050C" w:rsidP="00350173">
            <w:pPr>
              <w:spacing w:line="276" w:lineRule="auto"/>
              <w:jc w:val="left"/>
              <w:rPr>
                <w:rFonts w:eastAsia="Times New Roman"/>
                <w:sz w:val="24"/>
                <w:szCs w:val="24"/>
                <w:lang w:eastAsia="ru-RU"/>
              </w:rPr>
            </w:pPr>
            <w:r w:rsidRPr="0062050C">
              <w:rPr>
                <w:rFonts w:eastAsia="Times New Roman"/>
                <w:sz w:val="24"/>
                <w:szCs w:val="24"/>
                <w:lang w:eastAsia="ru-RU"/>
              </w:rPr>
              <w:t>Чернігівська</w:t>
            </w:r>
          </w:p>
        </w:tc>
        <w:tc>
          <w:tcPr>
            <w:tcW w:w="0" w:type="auto"/>
            <w:shd w:val="clear" w:color="auto" w:fill="auto"/>
            <w:noWrap/>
          </w:tcPr>
          <w:p w:rsidR="0062050C" w:rsidRPr="0062050C" w:rsidRDefault="0062050C" w:rsidP="00350173">
            <w:pPr>
              <w:spacing w:line="276" w:lineRule="auto"/>
              <w:jc w:val="right"/>
              <w:rPr>
                <w:rFonts w:eastAsia="Times New Roman"/>
                <w:sz w:val="24"/>
                <w:szCs w:val="24"/>
                <w:lang w:eastAsia="ru-RU"/>
              </w:rPr>
            </w:pPr>
            <w:r w:rsidRPr="0062050C">
              <w:rPr>
                <w:rFonts w:eastAsia="Times New Roman"/>
                <w:sz w:val="24"/>
                <w:szCs w:val="24"/>
                <w:lang w:eastAsia="ru-RU"/>
              </w:rPr>
              <w:t>3,94</w:t>
            </w:r>
          </w:p>
        </w:tc>
        <w:tc>
          <w:tcPr>
            <w:tcW w:w="0" w:type="auto"/>
          </w:tcPr>
          <w:p w:rsidR="0062050C" w:rsidRPr="0062050C" w:rsidRDefault="0062050C" w:rsidP="00350173">
            <w:pPr>
              <w:spacing w:line="276" w:lineRule="auto"/>
              <w:jc w:val="right"/>
              <w:rPr>
                <w:rFonts w:eastAsia="Times New Roman"/>
                <w:sz w:val="24"/>
                <w:szCs w:val="24"/>
                <w:lang w:eastAsia="ru-RU"/>
              </w:rPr>
            </w:pPr>
            <w:r w:rsidRPr="0062050C">
              <w:rPr>
                <w:rFonts w:eastAsia="Times New Roman"/>
                <w:sz w:val="24"/>
                <w:szCs w:val="24"/>
                <w:lang w:eastAsia="ru-RU"/>
              </w:rPr>
              <w:t>4,71</w:t>
            </w:r>
          </w:p>
        </w:tc>
        <w:tc>
          <w:tcPr>
            <w:tcW w:w="0" w:type="auto"/>
            <w:shd w:val="clear" w:color="auto" w:fill="auto"/>
            <w:noWrap/>
            <w:vAlign w:val="center"/>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119,54</w:t>
            </w:r>
          </w:p>
        </w:tc>
        <w:tc>
          <w:tcPr>
            <w:tcW w:w="0" w:type="auto"/>
            <w:shd w:val="clear" w:color="auto" w:fill="auto"/>
            <w:noWrap/>
          </w:tcPr>
          <w:p w:rsidR="0062050C" w:rsidRPr="0062050C" w:rsidRDefault="0062050C" w:rsidP="00350173">
            <w:pPr>
              <w:spacing w:line="276" w:lineRule="auto"/>
              <w:jc w:val="center"/>
              <w:rPr>
                <w:rFonts w:eastAsia="Times New Roman"/>
                <w:sz w:val="24"/>
                <w:szCs w:val="24"/>
                <w:lang w:eastAsia="ru-RU"/>
              </w:rPr>
            </w:pPr>
            <w:r w:rsidRPr="0062050C">
              <w:rPr>
                <w:rFonts w:eastAsia="Times New Roman"/>
                <w:sz w:val="24"/>
                <w:szCs w:val="24"/>
                <w:lang w:eastAsia="ru-RU"/>
              </w:rPr>
              <w:t>0,90</w:t>
            </w:r>
          </w:p>
        </w:tc>
        <w:tc>
          <w:tcPr>
            <w:tcW w:w="0" w:type="auto"/>
          </w:tcPr>
          <w:p w:rsidR="0062050C" w:rsidRPr="0062050C" w:rsidRDefault="0062050C" w:rsidP="00350173">
            <w:pPr>
              <w:spacing w:line="276" w:lineRule="auto"/>
              <w:jc w:val="center"/>
              <w:rPr>
                <w:rFonts w:eastAsia="Times New Roman"/>
                <w:sz w:val="24"/>
                <w:szCs w:val="24"/>
                <w:lang w:eastAsia="ru-RU"/>
              </w:rPr>
            </w:pPr>
            <w:r w:rsidRPr="0062050C">
              <w:rPr>
                <w:rFonts w:eastAsia="Times New Roman"/>
                <w:sz w:val="24"/>
                <w:szCs w:val="24"/>
                <w:lang w:eastAsia="ru-RU"/>
              </w:rPr>
              <w:t>1,55</w:t>
            </w:r>
          </w:p>
        </w:tc>
        <w:tc>
          <w:tcPr>
            <w:tcW w:w="0" w:type="auto"/>
            <w:shd w:val="clear" w:color="auto" w:fill="auto"/>
            <w:noWrap/>
            <w:vAlign w:val="center"/>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172,22</w:t>
            </w:r>
          </w:p>
        </w:tc>
        <w:tc>
          <w:tcPr>
            <w:tcW w:w="0" w:type="auto"/>
            <w:shd w:val="clear" w:color="auto" w:fill="auto"/>
            <w:noWrap/>
          </w:tcPr>
          <w:p w:rsidR="0062050C" w:rsidRPr="0062050C" w:rsidRDefault="0062050C" w:rsidP="00350173">
            <w:pPr>
              <w:spacing w:line="276" w:lineRule="auto"/>
              <w:jc w:val="center"/>
              <w:rPr>
                <w:rFonts w:eastAsia="Times New Roman"/>
                <w:sz w:val="24"/>
                <w:szCs w:val="24"/>
                <w:lang w:eastAsia="ru-RU"/>
              </w:rPr>
            </w:pPr>
            <w:r w:rsidRPr="0062050C">
              <w:rPr>
                <w:rFonts w:eastAsia="Times New Roman"/>
                <w:sz w:val="24"/>
                <w:szCs w:val="24"/>
                <w:lang w:eastAsia="ru-RU"/>
              </w:rPr>
              <w:t>60,67</w:t>
            </w:r>
          </w:p>
        </w:tc>
        <w:tc>
          <w:tcPr>
            <w:tcW w:w="0" w:type="auto"/>
            <w:shd w:val="clear" w:color="auto" w:fill="auto"/>
            <w:noWrap/>
          </w:tcPr>
          <w:p w:rsidR="0062050C" w:rsidRPr="0062050C" w:rsidRDefault="0062050C" w:rsidP="00350173">
            <w:pPr>
              <w:spacing w:line="276" w:lineRule="auto"/>
              <w:jc w:val="center"/>
              <w:rPr>
                <w:rFonts w:eastAsia="Times New Roman"/>
                <w:sz w:val="24"/>
                <w:szCs w:val="24"/>
                <w:lang w:eastAsia="ru-RU"/>
              </w:rPr>
            </w:pPr>
            <w:r w:rsidRPr="0062050C">
              <w:rPr>
                <w:rFonts w:eastAsia="Times New Roman"/>
                <w:sz w:val="24"/>
                <w:szCs w:val="24"/>
                <w:lang w:eastAsia="ru-RU"/>
              </w:rPr>
              <w:t>63,22</w:t>
            </w:r>
          </w:p>
        </w:tc>
        <w:tc>
          <w:tcPr>
            <w:tcW w:w="1108" w:type="dxa"/>
            <w:vAlign w:val="center"/>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104,20</w:t>
            </w:r>
          </w:p>
        </w:tc>
      </w:tr>
      <w:tr w:rsidR="0062050C" w:rsidRPr="0062050C" w:rsidTr="00A57A57">
        <w:trPr>
          <w:trHeight w:val="225"/>
          <w:jc w:val="center"/>
        </w:trPr>
        <w:tc>
          <w:tcPr>
            <w:tcW w:w="2262" w:type="dxa"/>
            <w:shd w:val="clear" w:color="auto" w:fill="auto"/>
            <w:noWrap/>
            <w:hideMark/>
          </w:tcPr>
          <w:p w:rsidR="0062050C" w:rsidRPr="0062050C" w:rsidRDefault="0062050C" w:rsidP="00350173">
            <w:pPr>
              <w:spacing w:line="276" w:lineRule="auto"/>
              <w:jc w:val="left"/>
              <w:rPr>
                <w:rFonts w:eastAsia="Times New Roman"/>
                <w:sz w:val="24"/>
                <w:szCs w:val="24"/>
                <w:lang w:eastAsia="ru-RU"/>
              </w:rPr>
            </w:pPr>
            <w:r w:rsidRPr="0062050C">
              <w:rPr>
                <w:rFonts w:eastAsia="Times New Roman"/>
                <w:sz w:val="24"/>
                <w:szCs w:val="24"/>
                <w:lang w:eastAsia="ru-RU"/>
              </w:rPr>
              <w:t>м.Київ</w:t>
            </w:r>
          </w:p>
        </w:tc>
        <w:tc>
          <w:tcPr>
            <w:tcW w:w="0" w:type="auto"/>
            <w:shd w:val="clear" w:color="auto" w:fill="auto"/>
            <w:noWrap/>
          </w:tcPr>
          <w:p w:rsidR="0062050C" w:rsidRPr="0062050C" w:rsidRDefault="0062050C" w:rsidP="00350173">
            <w:pPr>
              <w:spacing w:line="276" w:lineRule="auto"/>
              <w:jc w:val="right"/>
              <w:rPr>
                <w:rFonts w:eastAsia="Times New Roman"/>
                <w:sz w:val="24"/>
                <w:szCs w:val="24"/>
                <w:lang w:eastAsia="ru-RU"/>
              </w:rPr>
            </w:pPr>
            <w:r w:rsidRPr="0062050C">
              <w:rPr>
                <w:rFonts w:eastAsia="Times New Roman"/>
                <w:sz w:val="24"/>
                <w:szCs w:val="24"/>
                <w:lang w:eastAsia="ru-RU"/>
              </w:rPr>
              <w:t>3,49</w:t>
            </w:r>
          </w:p>
        </w:tc>
        <w:tc>
          <w:tcPr>
            <w:tcW w:w="0" w:type="auto"/>
          </w:tcPr>
          <w:p w:rsidR="0062050C" w:rsidRPr="0062050C" w:rsidRDefault="0062050C" w:rsidP="00350173">
            <w:pPr>
              <w:spacing w:line="276" w:lineRule="auto"/>
              <w:jc w:val="right"/>
              <w:rPr>
                <w:rFonts w:eastAsia="Times New Roman"/>
                <w:sz w:val="24"/>
                <w:szCs w:val="24"/>
                <w:lang w:eastAsia="ru-RU"/>
              </w:rPr>
            </w:pPr>
            <w:r w:rsidRPr="0062050C">
              <w:rPr>
                <w:rFonts w:eastAsia="Times New Roman"/>
                <w:sz w:val="24"/>
                <w:szCs w:val="24"/>
                <w:lang w:eastAsia="ru-RU"/>
              </w:rPr>
              <w:t>2,82</w:t>
            </w:r>
          </w:p>
        </w:tc>
        <w:tc>
          <w:tcPr>
            <w:tcW w:w="0" w:type="auto"/>
            <w:shd w:val="clear" w:color="auto" w:fill="auto"/>
            <w:noWrap/>
            <w:vAlign w:val="center"/>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80,80</w:t>
            </w:r>
          </w:p>
        </w:tc>
        <w:tc>
          <w:tcPr>
            <w:tcW w:w="0" w:type="auto"/>
            <w:shd w:val="clear" w:color="auto" w:fill="auto"/>
            <w:noWrap/>
          </w:tcPr>
          <w:p w:rsidR="0062050C" w:rsidRPr="0062050C" w:rsidRDefault="0062050C" w:rsidP="00350173">
            <w:pPr>
              <w:spacing w:line="276" w:lineRule="auto"/>
              <w:jc w:val="center"/>
              <w:rPr>
                <w:rFonts w:eastAsia="Times New Roman"/>
                <w:sz w:val="24"/>
                <w:szCs w:val="24"/>
                <w:lang w:eastAsia="ru-RU"/>
              </w:rPr>
            </w:pPr>
            <w:r w:rsidRPr="0062050C">
              <w:rPr>
                <w:rFonts w:eastAsia="Times New Roman"/>
                <w:sz w:val="24"/>
                <w:szCs w:val="24"/>
                <w:lang w:eastAsia="ru-RU"/>
              </w:rPr>
              <w:t>0,71</w:t>
            </w:r>
          </w:p>
        </w:tc>
        <w:tc>
          <w:tcPr>
            <w:tcW w:w="0" w:type="auto"/>
          </w:tcPr>
          <w:p w:rsidR="0062050C" w:rsidRPr="0062050C" w:rsidRDefault="0062050C" w:rsidP="00350173">
            <w:pPr>
              <w:spacing w:line="276" w:lineRule="auto"/>
              <w:jc w:val="center"/>
              <w:rPr>
                <w:rFonts w:eastAsia="Times New Roman"/>
                <w:sz w:val="24"/>
                <w:szCs w:val="24"/>
                <w:lang w:eastAsia="ru-RU"/>
              </w:rPr>
            </w:pPr>
            <w:r w:rsidRPr="0062050C">
              <w:rPr>
                <w:rFonts w:eastAsia="Times New Roman"/>
                <w:sz w:val="24"/>
                <w:szCs w:val="24"/>
                <w:lang w:eastAsia="ru-RU"/>
              </w:rPr>
              <w:t>0,33</w:t>
            </w:r>
          </w:p>
        </w:tc>
        <w:tc>
          <w:tcPr>
            <w:tcW w:w="0" w:type="auto"/>
            <w:shd w:val="clear" w:color="auto" w:fill="auto"/>
            <w:noWrap/>
            <w:vAlign w:val="center"/>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46,48</w:t>
            </w:r>
          </w:p>
        </w:tc>
        <w:tc>
          <w:tcPr>
            <w:tcW w:w="0" w:type="auto"/>
            <w:shd w:val="clear" w:color="auto" w:fill="auto"/>
            <w:noWrap/>
          </w:tcPr>
          <w:p w:rsidR="0062050C" w:rsidRPr="0062050C" w:rsidRDefault="0062050C" w:rsidP="00350173">
            <w:pPr>
              <w:spacing w:line="276" w:lineRule="auto"/>
              <w:jc w:val="center"/>
              <w:rPr>
                <w:rFonts w:eastAsia="Times New Roman"/>
                <w:sz w:val="24"/>
                <w:szCs w:val="24"/>
                <w:lang w:eastAsia="ru-RU"/>
              </w:rPr>
            </w:pPr>
            <w:r w:rsidRPr="0062050C">
              <w:rPr>
                <w:rFonts w:eastAsia="Times New Roman"/>
                <w:sz w:val="24"/>
                <w:szCs w:val="24"/>
                <w:lang w:eastAsia="ru-RU"/>
              </w:rPr>
              <w:t>47,55</w:t>
            </w:r>
          </w:p>
        </w:tc>
        <w:tc>
          <w:tcPr>
            <w:tcW w:w="0" w:type="auto"/>
            <w:shd w:val="clear" w:color="auto" w:fill="auto"/>
            <w:noWrap/>
          </w:tcPr>
          <w:p w:rsidR="0062050C" w:rsidRPr="0062050C" w:rsidRDefault="0062050C" w:rsidP="00350173">
            <w:pPr>
              <w:spacing w:line="276" w:lineRule="auto"/>
              <w:jc w:val="center"/>
              <w:rPr>
                <w:rFonts w:eastAsia="Times New Roman"/>
                <w:sz w:val="24"/>
                <w:szCs w:val="24"/>
                <w:lang w:eastAsia="ru-RU"/>
              </w:rPr>
            </w:pPr>
            <w:r w:rsidRPr="0062050C">
              <w:rPr>
                <w:rFonts w:eastAsia="Times New Roman"/>
                <w:sz w:val="24"/>
                <w:szCs w:val="24"/>
                <w:lang w:eastAsia="ru-RU"/>
              </w:rPr>
              <w:t>35,23</w:t>
            </w:r>
          </w:p>
        </w:tc>
        <w:tc>
          <w:tcPr>
            <w:tcW w:w="1108" w:type="dxa"/>
            <w:vAlign w:val="center"/>
          </w:tcPr>
          <w:p w:rsidR="0062050C" w:rsidRPr="0062050C" w:rsidRDefault="0062050C" w:rsidP="00350173">
            <w:pPr>
              <w:spacing w:line="276" w:lineRule="auto"/>
              <w:jc w:val="center"/>
              <w:rPr>
                <w:rFonts w:eastAsia="Times New Roman"/>
                <w:bCs/>
                <w:sz w:val="24"/>
                <w:szCs w:val="24"/>
                <w:lang w:eastAsia="ru-RU"/>
              </w:rPr>
            </w:pPr>
            <w:r w:rsidRPr="0062050C">
              <w:rPr>
                <w:rFonts w:eastAsia="Times New Roman"/>
                <w:bCs/>
                <w:sz w:val="24"/>
                <w:szCs w:val="24"/>
                <w:lang w:eastAsia="ru-RU"/>
              </w:rPr>
              <w:t>74,09</w:t>
            </w:r>
          </w:p>
        </w:tc>
      </w:tr>
    </w:tbl>
    <w:p w:rsidR="00D93F46" w:rsidRPr="00B35F0E" w:rsidRDefault="0062050C" w:rsidP="00D93F46">
      <w:pPr>
        <w:spacing w:line="240" w:lineRule="auto"/>
        <w:rPr>
          <w:rFonts w:eastAsia="Times New Roman"/>
          <w:sz w:val="16"/>
          <w:szCs w:val="16"/>
          <w:lang w:val="ru-RU" w:eastAsia="ru-RU"/>
        </w:rPr>
      </w:pPr>
      <w:r w:rsidRPr="00B35F0E">
        <w:rPr>
          <w:rFonts w:eastAsia="Times New Roman"/>
          <w:sz w:val="16"/>
          <w:szCs w:val="16"/>
          <w:vertAlign w:val="superscript"/>
          <w:lang w:val="ru-RU" w:eastAsia="ru-RU"/>
        </w:rPr>
        <w:t>1</w:t>
      </w:r>
      <w:r w:rsidRPr="00B35F0E">
        <w:rPr>
          <w:rFonts w:eastAsia="Times New Roman"/>
          <w:sz w:val="16"/>
          <w:szCs w:val="16"/>
          <w:lang w:val="ru-RU" w:eastAsia="ru-RU"/>
        </w:rPr>
        <w:t>Без урахування тимчасово окупованої території Автономної Республіки Крим і м. Севастополя та частини зони</w:t>
      </w:r>
      <w:r w:rsidRPr="00B35F0E">
        <w:rPr>
          <w:rFonts w:eastAsia="Times New Roman"/>
          <w:sz w:val="16"/>
          <w:szCs w:val="16"/>
          <w:lang w:eastAsia="ru-RU"/>
        </w:rPr>
        <w:t xml:space="preserve"> </w:t>
      </w:r>
      <w:r w:rsidRPr="00B35F0E">
        <w:rPr>
          <w:rFonts w:eastAsia="Times New Roman"/>
          <w:sz w:val="16"/>
          <w:szCs w:val="16"/>
          <w:lang w:val="ru-RU" w:eastAsia="ru-RU"/>
        </w:rPr>
        <w:t>проведення антитерористичної операції.</w:t>
      </w:r>
    </w:p>
    <w:p w:rsidR="00D96FD9" w:rsidRPr="00D93F46" w:rsidRDefault="00D96FD9" w:rsidP="00D93F46">
      <w:pPr>
        <w:ind w:firstLine="709"/>
        <w:rPr>
          <w:rFonts w:eastAsia="Times New Roman"/>
          <w:sz w:val="20"/>
          <w:szCs w:val="20"/>
          <w:lang w:eastAsia="ru-RU"/>
        </w:rPr>
      </w:pPr>
      <w:r w:rsidRPr="00006A39">
        <w:rPr>
          <w:b/>
          <w:szCs w:val="28"/>
        </w:rPr>
        <w:lastRenderedPageBreak/>
        <w:t>3.3. Рівень і тенденції показників тягаря хвороб (DALYs) і років життя</w:t>
      </w:r>
      <w:r w:rsidR="001C77D1">
        <w:rPr>
          <w:b/>
          <w:szCs w:val="28"/>
          <w:lang w:val="ru-RU"/>
        </w:rPr>
        <w:t xml:space="preserve"> </w:t>
      </w:r>
      <w:r w:rsidRPr="00006A39">
        <w:rPr>
          <w:b/>
          <w:szCs w:val="28"/>
        </w:rPr>
        <w:t>втрачених внаслідок передчасної смерті (YLLs) в Укра</w:t>
      </w:r>
      <w:r w:rsidR="001031BE">
        <w:rPr>
          <w:b/>
          <w:szCs w:val="28"/>
        </w:rPr>
        <w:t>їні та розвинених країнах світу</w:t>
      </w:r>
    </w:p>
    <w:p w:rsidR="00D96FD9" w:rsidRPr="0001727C" w:rsidRDefault="00D96FD9" w:rsidP="0001727C">
      <w:pPr>
        <w:widowControl w:val="0"/>
        <w:spacing w:before="240"/>
        <w:ind w:firstLine="709"/>
        <w:rPr>
          <w:szCs w:val="28"/>
          <w:lang w:val="ru-RU"/>
        </w:rPr>
      </w:pPr>
      <w:r w:rsidRPr="00006A39">
        <w:rPr>
          <w:szCs w:val="28"/>
        </w:rPr>
        <w:t xml:space="preserve">Аналіз динаміки </w:t>
      </w:r>
      <w:r w:rsidRPr="009876DA">
        <w:rPr>
          <w:szCs w:val="28"/>
        </w:rPr>
        <w:t>(</w:t>
      </w:r>
      <w:r w:rsidR="0077560B" w:rsidRPr="009876DA">
        <w:rPr>
          <w:szCs w:val="28"/>
        </w:rPr>
        <w:t>200</w:t>
      </w:r>
      <w:r w:rsidR="0077560B" w:rsidRPr="009876DA">
        <w:rPr>
          <w:szCs w:val="28"/>
          <w:lang w:val="ru-RU"/>
        </w:rPr>
        <w:t>9</w:t>
      </w:r>
      <w:r w:rsidR="0077560B" w:rsidRPr="009876DA">
        <w:rPr>
          <w:szCs w:val="28"/>
        </w:rPr>
        <w:t>-201</w:t>
      </w:r>
      <w:r w:rsidR="009876DA" w:rsidRPr="009876DA">
        <w:rPr>
          <w:szCs w:val="28"/>
          <w:lang w:val="ru-RU"/>
        </w:rPr>
        <w:t xml:space="preserve">9 </w:t>
      </w:r>
      <w:r w:rsidRPr="009876DA">
        <w:rPr>
          <w:szCs w:val="28"/>
        </w:rPr>
        <w:t xml:space="preserve">рр.) </w:t>
      </w:r>
      <w:r w:rsidRPr="00006A39">
        <w:rPr>
          <w:szCs w:val="28"/>
        </w:rPr>
        <w:t>показника DALYs у випадку д</w:t>
      </w:r>
      <w:r w:rsidR="00F7156B">
        <w:rPr>
          <w:szCs w:val="28"/>
        </w:rPr>
        <w:t>итячої смертності у віці до 5</w:t>
      </w:r>
      <w:r w:rsidRPr="00006A39">
        <w:rPr>
          <w:szCs w:val="28"/>
        </w:rPr>
        <w:t xml:space="preserve"> років життя в Україні за всіма причинами, показав його </w:t>
      </w:r>
      <w:r w:rsidR="002B7825">
        <w:rPr>
          <w:szCs w:val="28"/>
        </w:rPr>
        <w:t xml:space="preserve">достовірне зниження на 24,8% з </w:t>
      </w:r>
      <w:r w:rsidR="002B7825" w:rsidRPr="002B7825">
        <w:rPr>
          <w:szCs w:val="28"/>
          <w:lang w:val="ru-RU"/>
        </w:rPr>
        <w:t>22865,85</w:t>
      </w:r>
      <w:r w:rsidR="00F756BF">
        <w:rPr>
          <w:szCs w:val="28"/>
          <w:lang w:val="ru-RU"/>
        </w:rPr>
        <w:t xml:space="preserve"> років у 2009 р.</w:t>
      </w:r>
      <w:r w:rsidR="002B7825" w:rsidRPr="002B7825">
        <w:rPr>
          <w:szCs w:val="28"/>
          <w:lang w:val="ru-RU"/>
        </w:rPr>
        <w:t xml:space="preserve"> </w:t>
      </w:r>
      <w:r w:rsidR="002B7825" w:rsidRPr="002B7825">
        <w:rPr>
          <w:szCs w:val="28"/>
        </w:rPr>
        <w:t>(95% ДІ 24373,66- 21566,49)</w:t>
      </w:r>
      <w:r w:rsidR="001A3A10">
        <w:rPr>
          <w:szCs w:val="28"/>
          <w:lang w:val="ru-RU"/>
        </w:rPr>
        <w:t xml:space="preserve"> </w:t>
      </w:r>
      <w:r w:rsidR="002B7825" w:rsidRPr="002B7825">
        <w:rPr>
          <w:szCs w:val="28"/>
        </w:rPr>
        <w:t>до 17185,91</w:t>
      </w:r>
      <w:r w:rsidR="00F756BF">
        <w:rPr>
          <w:szCs w:val="28"/>
        </w:rPr>
        <w:t>років у 2019 р.</w:t>
      </w:r>
      <w:r w:rsidRPr="002B7825">
        <w:rPr>
          <w:szCs w:val="28"/>
        </w:rPr>
        <w:t xml:space="preserve"> (95</w:t>
      </w:r>
      <w:r w:rsidR="002B7825" w:rsidRPr="002B7825">
        <w:rPr>
          <w:szCs w:val="28"/>
        </w:rPr>
        <w:t>% ДІ 20359</w:t>
      </w:r>
      <w:r w:rsidRPr="002B7825">
        <w:rPr>
          <w:szCs w:val="28"/>
        </w:rPr>
        <w:t>,</w:t>
      </w:r>
      <w:r w:rsidR="002B7825" w:rsidRPr="002B7825">
        <w:rPr>
          <w:szCs w:val="28"/>
        </w:rPr>
        <w:t>39-14763</w:t>
      </w:r>
      <w:r w:rsidRPr="002B7825">
        <w:rPr>
          <w:szCs w:val="28"/>
        </w:rPr>
        <w:t>,</w:t>
      </w:r>
      <w:r w:rsidR="002B7825" w:rsidRPr="002B7825">
        <w:rPr>
          <w:szCs w:val="28"/>
        </w:rPr>
        <w:t>3</w:t>
      </w:r>
      <w:r w:rsidRPr="002B7825">
        <w:rPr>
          <w:szCs w:val="28"/>
        </w:rPr>
        <w:t xml:space="preserve">2) </w:t>
      </w:r>
      <w:r w:rsidR="001C77D1">
        <w:rPr>
          <w:szCs w:val="28"/>
          <w:lang w:val="ru-RU"/>
        </w:rPr>
        <w:t>у</w:t>
      </w:r>
      <w:r w:rsidRPr="00006A39">
        <w:rPr>
          <w:szCs w:val="28"/>
        </w:rPr>
        <w:t xml:space="preserve"> розрахунку на 100 тис. осіб</w:t>
      </w:r>
      <w:r w:rsidR="001A3A10">
        <w:rPr>
          <w:szCs w:val="28"/>
        </w:rPr>
        <w:t xml:space="preserve"> та на 20,7% відносно 2010 р. (</w:t>
      </w:r>
      <w:r w:rsidR="001A3A10" w:rsidRPr="001A3A10">
        <w:rPr>
          <w:szCs w:val="28"/>
          <w:lang w:val="ru-RU"/>
        </w:rPr>
        <w:t>21673,03</w:t>
      </w:r>
      <w:r w:rsidR="001A3A10" w:rsidRPr="001A3A10">
        <w:rPr>
          <w:szCs w:val="28"/>
        </w:rPr>
        <w:t xml:space="preserve"> </w:t>
      </w:r>
      <w:r w:rsidR="001A3A10" w:rsidRPr="001A3A10">
        <w:rPr>
          <w:szCs w:val="28"/>
          <w:lang w:val="ru-RU"/>
        </w:rPr>
        <w:t>рок</w:t>
      </w:r>
      <w:r w:rsidR="001A3A10">
        <w:rPr>
          <w:szCs w:val="28"/>
          <w:lang w:val="ru-RU"/>
        </w:rPr>
        <w:t xml:space="preserve">ів у 2010 р., </w:t>
      </w:r>
      <w:r w:rsidR="001A3A10" w:rsidRPr="001A3A10">
        <w:rPr>
          <w:szCs w:val="28"/>
          <w:lang w:val="ru-RU"/>
        </w:rPr>
        <w:t>95</w:t>
      </w:r>
      <w:proofErr w:type="gramStart"/>
      <w:r w:rsidR="001A3A10" w:rsidRPr="001A3A10">
        <w:rPr>
          <w:szCs w:val="28"/>
          <w:lang w:val="ru-RU"/>
        </w:rPr>
        <w:t>% Д</w:t>
      </w:r>
      <w:proofErr w:type="gramEnd"/>
      <w:r w:rsidR="001A3A10" w:rsidRPr="001A3A10">
        <w:rPr>
          <w:szCs w:val="28"/>
          <w:lang w:val="ru-RU"/>
        </w:rPr>
        <w:t>І 23044,58</w:t>
      </w:r>
      <w:r w:rsidR="001A3A10" w:rsidRPr="001A3A10">
        <w:rPr>
          <w:szCs w:val="28"/>
        </w:rPr>
        <w:t>-</w:t>
      </w:r>
      <w:r w:rsidR="001A3A10" w:rsidRPr="001A3A10">
        <w:rPr>
          <w:szCs w:val="28"/>
          <w:lang w:val="ru-RU"/>
        </w:rPr>
        <w:t>20279,76)</w:t>
      </w:r>
      <w:r w:rsidRPr="00006A39">
        <w:rPr>
          <w:szCs w:val="28"/>
        </w:rPr>
        <w:t>.</w:t>
      </w:r>
      <w:r w:rsidRPr="00006A39">
        <w:rPr>
          <w:color w:val="000000" w:themeColor="text1"/>
          <w:szCs w:val="28"/>
        </w:rPr>
        <w:t xml:space="preserve"> </w:t>
      </w:r>
      <w:r w:rsidRPr="00006A39">
        <w:rPr>
          <w:color w:val="000000" w:themeColor="text1"/>
        </w:rPr>
        <w:t xml:space="preserve"> </w:t>
      </w:r>
      <w:r w:rsidRPr="00006A39">
        <w:rPr>
          <w:szCs w:val="28"/>
        </w:rPr>
        <w:t xml:space="preserve">При цьому, </w:t>
      </w:r>
      <w:r w:rsidR="00D572A0">
        <w:rPr>
          <w:szCs w:val="28"/>
        </w:rPr>
        <w:t xml:space="preserve">показник хлопчиків знизився </w:t>
      </w:r>
      <w:r w:rsidR="0035534C">
        <w:rPr>
          <w:szCs w:val="28"/>
        </w:rPr>
        <w:t>на 17,66</w:t>
      </w:r>
      <w:r w:rsidR="00C62B23">
        <w:rPr>
          <w:szCs w:val="28"/>
        </w:rPr>
        <w:t>% з 25496,08</w:t>
      </w:r>
      <w:r w:rsidR="00F756BF">
        <w:rPr>
          <w:szCs w:val="28"/>
        </w:rPr>
        <w:t xml:space="preserve"> років</w:t>
      </w:r>
      <w:r w:rsidR="00C62B23">
        <w:rPr>
          <w:szCs w:val="28"/>
        </w:rPr>
        <w:t xml:space="preserve"> </w:t>
      </w:r>
      <w:r w:rsidR="00F756BF">
        <w:rPr>
          <w:szCs w:val="28"/>
        </w:rPr>
        <w:t xml:space="preserve">у 2009 р. </w:t>
      </w:r>
      <w:r w:rsidR="00C62B23">
        <w:rPr>
          <w:szCs w:val="28"/>
        </w:rPr>
        <w:t>[95% ДІ 27234,59-23952,46] до 20994,55</w:t>
      </w:r>
      <w:r w:rsidR="00F756BF">
        <w:rPr>
          <w:szCs w:val="28"/>
        </w:rPr>
        <w:t xml:space="preserve"> років у 2019 р.</w:t>
      </w:r>
      <w:r w:rsidR="00C62B23">
        <w:rPr>
          <w:szCs w:val="28"/>
        </w:rPr>
        <w:t xml:space="preserve"> [95% ДІ 22613,54-19529</w:t>
      </w:r>
      <w:r w:rsidR="009D130D">
        <w:rPr>
          <w:szCs w:val="28"/>
        </w:rPr>
        <w:t>,38</w:t>
      </w:r>
      <w:r w:rsidR="00F756BF">
        <w:rPr>
          <w:szCs w:val="28"/>
        </w:rPr>
        <w:t>]</w:t>
      </w:r>
      <w:r w:rsidR="00F7156B">
        <w:rPr>
          <w:szCs w:val="28"/>
        </w:rPr>
        <w:t>), серед дівчат</w:t>
      </w:r>
      <w:r w:rsidR="00F756BF">
        <w:rPr>
          <w:szCs w:val="28"/>
        </w:rPr>
        <w:t xml:space="preserve"> аналогічний показник знизився</w:t>
      </w:r>
      <w:r w:rsidR="00D572A0">
        <w:rPr>
          <w:szCs w:val="28"/>
        </w:rPr>
        <w:t xml:space="preserve"> на 23,38</w:t>
      </w:r>
      <w:r w:rsidR="00DF0F51">
        <w:rPr>
          <w:szCs w:val="28"/>
        </w:rPr>
        <w:t>% з 20081,12</w:t>
      </w:r>
      <w:r w:rsidR="00F756BF">
        <w:rPr>
          <w:szCs w:val="28"/>
        </w:rPr>
        <w:t xml:space="preserve"> років </w:t>
      </w:r>
      <w:r w:rsidRPr="00006A39">
        <w:rPr>
          <w:szCs w:val="28"/>
        </w:rPr>
        <w:t xml:space="preserve"> </w:t>
      </w:r>
      <w:r w:rsidR="00F756BF">
        <w:rPr>
          <w:szCs w:val="28"/>
        </w:rPr>
        <w:t xml:space="preserve">у 2009 р. </w:t>
      </w:r>
      <w:r w:rsidRPr="00006A39">
        <w:rPr>
          <w:szCs w:val="28"/>
        </w:rPr>
        <w:t>[95</w:t>
      </w:r>
      <w:r w:rsidR="00DF0F51">
        <w:rPr>
          <w:szCs w:val="28"/>
        </w:rPr>
        <w:t>% ДІ 21458,80-18911,87</w:t>
      </w:r>
      <w:r w:rsidR="002D31E3">
        <w:rPr>
          <w:szCs w:val="28"/>
        </w:rPr>
        <w:t>] до 15386,83</w:t>
      </w:r>
      <w:r w:rsidR="00F756BF">
        <w:rPr>
          <w:szCs w:val="28"/>
        </w:rPr>
        <w:t xml:space="preserve"> років </w:t>
      </w:r>
      <w:r w:rsidR="002D31E3">
        <w:rPr>
          <w:szCs w:val="28"/>
        </w:rPr>
        <w:t xml:space="preserve"> </w:t>
      </w:r>
      <w:r w:rsidR="00F756BF">
        <w:rPr>
          <w:szCs w:val="28"/>
        </w:rPr>
        <w:t xml:space="preserve">у 2019 р. </w:t>
      </w:r>
      <w:r w:rsidR="002D31E3">
        <w:rPr>
          <w:szCs w:val="28"/>
        </w:rPr>
        <w:t>[95% ДІ 18204,25-13255,00</w:t>
      </w:r>
      <w:r w:rsidRPr="00006A39">
        <w:rPr>
          <w:szCs w:val="28"/>
        </w:rPr>
        <w:t xml:space="preserve">] з розрахунку на 100 тис. </w:t>
      </w:r>
      <w:r w:rsidRPr="00D929A9">
        <w:rPr>
          <w:szCs w:val="28"/>
        </w:rPr>
        <w:t xml:space="preserve">осіб </w:t>
      </w:r>
      <w:r w:rsidRPr="00D929A9">
        <w:t xml:space="preserve"> </w:t>
      </w:r>
      <w:r w:rsidRPr="00D929A9">
        <w:rPr>
          <w:szCs w:val="28"/>
        </w:rPr>
        <w:t>(Дод</w:t>
      </w:r>
      <w:r w:rsidR="00A241B3" w:rsidRPr="00D929A9">
        <w:rPr>
          <w:szCs w:val="28"/>
        </w:rPr>
        <w:t>аток Б</w:t>
      </w:r>
      <w:r w:rsidR="00F756BF" w:rsidRPr="00D929A9">
        <w:rPr>
          <w:szCs w:val="28"/>
        </w:rPr>
        <w:t>-16</w:t>
      </w:r>
      <w:r w:rsidRPr="00D929A9">
        <w:rPr>
          <w:szCs w:val="28"/>
        </w:rPr>
        <w:t>).</w:t>
      </w:r>
    </w:p>
    <w:p w:rsidR="002376EF" w:rsidRDefault="001E302D" w:rsidP="002376EF">
      <w:pPr>
        <w:widowControl w:val="0"/>
        <w:tabs>
          <w:tab w:val="left" w:pos="642"/>
        </w:tabs>
        <w:ind w:firstLine="709"/>
        <w:rPr>
          <w:szCs w:val="28"/>
        </w:rPr>
      </w:pPr>
      <w:r w:rsidRPr="009876DA">
        <w:rPr>
          <w:szCs w:val="28"/>
        </w:rPr>
        <w:t>Слід зазначити</w:t>
      </w:r>
      <w:r w:rsidR="00161D58" w:rsidRPr="009876DA">
        <w:rPr>
          <w:szCs w:val="28"/>
        </w:rPr>
        <w:t>, що у 2019</w:t>
      </w:r>
      <w:r w:rsidR="00D96FD9" w:rsidRPr="009876DA">
        <w:rPr>
          <w:szCs w:val="28"/>
        </w:rPr>
        <w:t xml:space="preserve"> р. </w:t>
      </w:r>
      <w:r w:rsidR="005D2CFA" w:rsidRPr="009876DA">
        <w:rPr>
          <w:szCs w:val="28"/>
        </w:rPr>
        <w:t>частка втрачених років життя вікової</w:t>
      </w:r>
      <w:r w:rsidR="00D96FD9" w:rsidRPr="009876DA">
        <w:rPr>
          <w:szCs w:val="28"/>
        </w:rPr>
        <w:t xml:space="preserve"> груп</w:t>
      </w:r>
      <w:r w:rsidR="005D2CFA" w:rsidRPr="009876DA">
        <w:rPr>
          <w:szCs w:val="28"/>
        </w:rPr>
        <w:t>и дітей</w:t>
      </w:r>
      <w:r w:rsidR="00D96FD9" w:rsidRPr="009876DA">
        <w:rPr>
          <w:szCs w:val="28"/>
        </w:rPr>
        <w:t xml:space="preserve"> </w:t>
      </w:r>
      <w:r w:rsidR="005D2CFA" w:rsidRPr="009876DA">
        <w:rPr>
          <w:szCs w:val="28"/>
        </w:rPr>
        <w:t>до 5 років життя</w:t>
      </w:r>
      <w:r w:rsidR="00983718" w:rsidRPr="009876DA">
        <w:rPr>
          <w:szCs w:val="28"/>
        </w:rPr>
        <w:t xml:space="preserve"> (обидві статі)</w:t>
      </w:r>
      <w:r w:rsidR="005D2CFA" w:rsidRPr="009876DA">
        <w:rPr>
          <w:szCs w:val="28"/>
        </w:rPr>
        <w:t xml:space="preserve"> </w:t>
      </w:r>
      <w:r w:rsidR="00D96FD9" w:rsidRPr="009876DA">
        <w:rPr>
          <w:szCs w:val="28"/>
        </w:rPr>
        <w:t>у загальній структурі DALYs</w:t>
      </w:r>
      <w:r w:rsidR="0063069D" w:rsidRPr="009876DA">
        <w:rPr>
          <w:szCs w:val="28"/>
        </w:rPr>
        <w:t xml:space="preserve"> України</w:t>
      </w:r>
      <w:r w:rsidR="00D96FD9" w:rsidRPr="009876DA">
        <w:rPr>
          <w:szCs w:val="28"/>
        </w:rPr>
        <w:t xml:space="preserve"> </w:t>
      </w:r>
      <w:r w:rsidR="0063069D" w:rsidRPr="009876DA">
        <w:rPr>
          <w:szCs w:val="28"/>
        </w:rPr>
        <w:t>склала</w:t>
      </w:r>
      <w:r w:rsidR="005D2CFA" w:rsidRPr="009876DA">
        <w:rPr>
          <w:szCs w:val="28"/>
        </w:rPr>
        <w:t xml:space="preserve"> 1,71%</w:t>
      </w:r>
      <w:r w:rsidR="0063069D" w:rsidRPr="009876DA">
        <w:rPr>
          <w:szCs w:val="28"/>
        </w:rPr>
        <w:t>, що дорівнювало</w:t>
      </w:r>
      <w:r w:rsidR="00D96FD9" w:rsidRPr="009876DA">
        <w:rPr>
          <w:szCs w:val="28"/>
        </w:rPr>
        <w:t xml:space="preserve"> </w:t>
      </w:r>
      <w:r w:rsidR="005D2CFA" w:rsidRPr="009876DA">
        <w:rPr>
          <w:szCs w:val="28"/>
        </w:rPr>
        <w:t xml:space="preserve">368414,16 втраченим </w:t>
      </w:r>
      <w:r w:rsidR="00D96FD9" w:rsidRPr="009876DA">
        <w:rPr>
          <w:szCs w:val="28"/>
        </w:rPr>
        <w:t>рокам</w:t>
      </w:r>
      <w:r w:rsidR="00D96FD9" w:rsidRPr="009876DA">
        <w:t xml:space="preserve"> </w:t>
      </w:r>
      <w:r w:rsidR="00983718" w:rsidRPr="009876DA">
        <w:rPr>
          <w:szCs w:val="28"/>
        </w:rPr>
        <w:t>життя, ч</w:t>
      </w:r>
      <w:r w:rsidR="005D2CFA" w:rsidRPr="009876DA">
        <w:rPr>
          <w:szCs w:val="28"/>
        </w:rPr>
        <w:t xml:space="preserve">астка </w:t>
      </w:r>
      <w:r w:rsidR="00983718" w:rsidRPr="009876DA">
        <w:rPr>
          <w:szCs w:val="28"/>
        </w:rPr>
        <w:t>вікової групи дітей</w:t>
      </w:r>
      <w:r w:rsidR="001031BE">
        <w:rPr>
          <w:szCs w:val="28"/>
        </w:rPr>
        <w:t xml:space="preserve">        </w:t>
      </w:r>
      <w:r w:rsidR="00983718" w:rsidRPr="009876DA">
        <w:rPr>
          <w:szCs w:val="28"/>
        </w:rPr>
        <w:t xml:space="preserve"> </w:t>
      </w:r>
      <w:r w:rsidR="00D96FD9" w:rsidRPr="009876DA">
        <w:rPr>
          <w:szCs w:val="28"/>
        </w:rPr>
        <w:t>0-1</w:t>
      </w:r>
      <w:r w:rsidR="001031BE">
        <w:rPr>
          <w:szCs w:val="28"/>
        </w:rPr>
        <w:t> </w:t>
      </w:r>
      <w:r w:rsidR="00D96FD9" w:rsidRPr="009876DA">
        <w:rPr>
          <w:szCs w:val="28"/>
        </w:rPr>
        <w:t xml:space="preserve">роки </w:t>
      </w:r>
      <w:r w:rsidR="00983718" w:rsidRPr="009876DA">
        <w:rPr>
          <w:szCs w:val="28"/>
        </w:rPr>
        <w:t>життя –1,17</w:t>
      </w:r>
      <w:r w:rsidR="0063069D" w:rsidRPr="009876DA">
        <w:rPr>
          <w:szCs w:val="28"/>
        </w:rPr>
        <w:t>% (251800,98 втрачених років життя), вікової групи 1-4 роки – 0,54</w:t>
      </w:r>
      <w:r w:rsidR="00D96FD9" w:rsidRPr="009876DA">
        <w:rPr>
          <w:szCs w:val="28"/>
        </w:rPr>
        <w:t xml:space="preserve">% </w:t>
      </w:r>
      <w:r w:rsidR="00A241B3" w:rsidRPr="002376EF">
        <w:rPr>
          <w:szCs w:val="28"/>
        </w:rPr>
        <w:t>(Додаток Б</w:t>
      </w:r>
      <w:r w:rsidR="001031BE" w:rsidRPr="002376EF">
        <w:rPr>
          <w:szCs w:val="28"/>
        </w:rPr>
        <w:t>-17</w:t>
      </w:r>
      <w:r w:rsidR="00D96FD9" w:rsidRPr="002376EF">
        <w:rPr>
          <w:szCs w:val="28"/>
        </w:rPr>
        <w:t xml:space="preserve">). </w:t>
      </w:r>
    </w:p>
    <w:p w:rsidR="00D00544" w:rsidRPr="002376EF" w:rsidRDefault="00617157" w:rsidP="002376EF">
      <w:pPr>
        <w:widowControl w:val="0"/>
        <w:tabs>
          <w:tab w:val="left" w:pos="642"/>
        </w:tabs>
        <w:ind w:firstLine="709"/>
        <w:rPr>
          <w:szCs w:val="28"/>
        </w:rPr>
      </w:pPr>
      <w:r w:rsidRPr="00006A39">
        <w:rPr>
          <w:szCs w:val="28"/>
        </w:rPr>
        <w:t>Також, нами досліджено структуру DALYs України у дітей віком до</w:t>
      </w:r>
      <w:r w:rsidR="00F7156B">
        <w:rPr>
          <w:szCs w:val="28"/>
        </w:rPr>
        <w:t xml:space="preserve"> 5</w:t>
      </w:r>
      <w:r w:rsidR="00932F81">
        <w:rPr>
          <w:szCs w:val="28"/>
        </w:rPr>
        <w:t xml:space="preserve"> років життя за </w:t>
      </w:r>
      <w:r>
        <w:rPr>
          <w:szCs w:val="28"/>
        </w:rPr>
        <w:t xml:space="preserve"> 201</w:t>
      </w:r>
      <w:r w:rsidRPr="002376EF">
        <w:rPr>
          <w:szCs w:val="28"/>
        </w:rPr>
        <w:t>8</w:t>
      </w:r>
      <w:r w:rsidR="002376EF">
        <w:rPr>
          <w:szCs w:val="28"/>
        </w:rPr>
        <w:t xml:space="preserve"> р. </w:t>
      </w:r>
      <w:r w:rsidR="002376EF" w:rsidRPr="00006A39">
        <w:rPr>
          <w:szCs w:val="28"/>
        </w:rPr>
        <w:t>Встановлено, що перші рейтингові місця займають розлади у матері, пов’язаним з вагітністю, та неонатальні розлади (34,75% [95% ДІ 28,29-39,29], р&lt;0,001), інші неінфекційні хвороби (26,8%), ненавмисні травми (8,46%). При цьому п</w:t>
      </w:r>
      <w:r w:rsidR="0063633C">
        <w:rPr>
          <w:szCs w:val="28"/>
        </w:rPr>
        <w:t>оказник DALYs упродовж 2013-2018</w:t>
      </w:r>
      <w:r w:rsidR="002376EF" w:rsidRPr="00006A39">
        <w:rPr>
          <w:szCs w:val="28"/>
        </w:rPr>
        <w:t xml:space="preserve"> рр. підвищився за такими класами: інші інфекційні захворювання на 21,42%, респіраторні інфекції та туберкульоз на 5,8%, новоутворення на 18,9%, захворювання шкіри на 6,09%, хвороби органів травлення на 8,7%, неврологічні розлади на 12,89%, кишкові інфекції на 10,27%, самоушкодження і міжособистісне насильство на 59,86%, хронічні хвороби органів дихання на 6,71%,</w:t>
      </w:r>
      <w:r w:rsidR="002376EF" w:rsidRPr="00006A39">
        <w:t xml:space="preserve"> </w:t>
      </w:r>
      <w:r w:rsidR="002376EF" w:rsidRPr="00006A39">
        <w:rPr>
          <w:szCs w:val="28"/>
        </w:rPr>
        <w:t>психічні розлади та токсикоманія (на 4,38%), хвороби органів чуття (на 5,41%), ВІЛ/СНІД та інфекції, що передаються статевим шляхом (на 9,14%), ді</w:t>
      </w:r>
      <w:r w:rsidR="002376EF">
        <w:rPr>
          <w:szCs w:val="28"/>
        </w:rPr>
        <w:t xml:space="preserve">абет та хвороби нирок на 13,33% </w:t>
      </w:r>
      <w:r w:rsidR="002376EF" w:rsidRPr="002376EF">
        <w:rPr>
          <w:szCs w:val="28"/>
        </w:rPr>
        <w:t>(табл.3.12).</w:t>
      </w:r>
    </w:p>
    <w:p w:rsidR="00617157" w:rsidRPr="00271E44" w:rsidRDefault="005A4D7E" w:rsidP="00617157">
      <w:pPr>
        <w:widowControl w:val="0"/>
        <w:tabs>
          <w:tab w:val="left" w:pos="7939"/>
        </w:tabs>
        <w:ind w:firstLine="709"/>
        <w:jc w:val="right"/>
        <w:rPr>
          <w:i/>
          <w:szCs w:val="28"/>
        </w:rPr>
      </w:pPr>
      <w:r w:rsidRPr="00271E44">
        <w:rPr>
          <w:i/>
          <w:szCs w:val="28"/>
        </w:rPr>
        <w:lastRenderedPageBreak/>
        <w:t>Таблиця 3.12</w:t>
      </w:r>
    </w:p>
    <w:p w:rsidR="00617157" w:rsidRPr="00006A39" w:rsidRDefault="00617157" w:rsidP="00617157">
      <w:pPr>
        <w:widowControl w:val="0"/>
        <w:tabs>
          <w:tab w:val="left" w:pos="1111"/>
        </w:tabs>
        <w:jc w:val="center"/>
        <w:rPr>
          <w:b/>
          <w:szCs w:val="28"/>
        </w:rPr>
      </w:pPr>
      <w:r w:rsidRPr="00006A39">
        <w:rPr>
          <w:b/>
          <w:szCs w:val="28"/>
        </w:rPr>
        <w:t xml:space="preserve">Структура DALYs за причинами смерті або травматизму дітей віком до </w:t>
      </w:r>
      <w:r w:rsidR="0023420B">
        <w:rPr>
          <w:b/>
          <w:szCs w:val="28"/>
        </w:rPr>
        <w:t>5</w:t>
      </w:r>
      <w:r>
        <w:rPr>
          <w:b/>
          <w:szCs w:val="28"/>
        </w:rPr>
        <w:t xml:space="preserve"> років життя в Україні (201</w:t>
      </w:r>
      <w:r>
        <w:rPr>
          <w:b/>
          <w:szCs w:val="28"/>
          <w:lang w:val="ru-RU"/>
        </w:rPr>
        <w:t>8</w:t>
      </w:r>
      <w:r w:rsidRPr="00006A39">
        <w:rPr>
          <w:b/>
          <w:szCs w:val="28"/>
        </w:rPr>
        <w:t xml:space="preserve"> р.)</w:t>
      </w:r>
    </w:p>
    <w:tbl>
      <w:tblPr>
        <w:tblStyle w:val="a6"/>
        <w:tblW w:w="0" w:type="auto"/>
        <w:jc w:val="center"/>
        <w:tblInd w:w="-852" w:type="dxa"/>
        <w:tblLook w:val="04A0" w:firstRow="1" w:lastRow="0" w:firstColumn="1" w:lastColumn="0" w:noHBand="0" w:noVBand="1"/>
      </w:tblPr>
      <w:tblGrid>
        <w:gridCol w:w="4750"/>
        <w:gridCol w:w="3543"/>
        <w:gridCol w:w="1487"/>
      </w:tblGrid>
      <w:tr w:rsidR="00617157" w:rsidRPr="000003CE" w:rsidTr="006E2B6E">
        <w:trPr>
          <w:jc w:val="center"/>
        </w:trPr>
        <w:tc>
          <w:tcPr>
            <w:tcW w:w="4750" w:type="dxa"/>
          </w:tcPr>
          <w:p w:rsidR="00617157" w:rsidRPr="000003CE" w:rsidRDefault="00617157" w:rsidP="006E2B6E">
            <w:pPr>
              <w:widowControl w:val="0"/>
              <w:tabs>
                <w:tab w:val="left" w:pos="1111"/>
              </w:tabs>
              <w:spacing w:line="360" w:lineRule="auto"/>
              <w:jc w:val="center"/>
              <w:rPr>
                <w:rFonts w:ascii="Times New Roman" w:hAnsi="Times New Roman"/>
                <w:color w:val="000000" w:themeColor="text1"/>
                <w:sz w:val="28"/>
                <w:szCs w:val="28"/>
                <w:lang w:val="uk-UA"/>
              </w:rPr>
            </w:pPr>
            <w:r w:rsidRPr="000003CE">
              <w:rPr>
                <w:rFonts w:ascii="Times New Roman" w:hAnsi="Times New Roman"/>
                <w:color w:val="000000" w:themeColor="text1"/>
                <w:sz w:val="28"/>
                <w:szCs w:val="28"/>
                <w:lang w:val="uk-UA"/>
              </w:rPr>
              <w:t>Причини/хвороби</w:t>
            </w:r>
          </w:p>
        </w:tc>
        <w:tc>
          <w:tcPr>
            <w:tcW w:w="3543" w:type="dxa"/>
          </w:tcPr>
          <w:p w:rsidR="00617157" w:rsidRPr="000003CE" w:rsidRDefault="00617157" w:rsidP="006E2B6E">
            <w:pPr>
              <w:widowControl w:val="0"/>
              <w:tabs>
                <w:tab w:val="left" w:pos="1111"/>
              </w:tabs>
              <w:spacing w:line="360" w:lineRule="auto"/>
              <w:jc w:val="center"/>
              <w:rPr>
                <w:rFonts w:ascii="Times New Roman" w:hAnsi="Times New Roman"/>
                <w:color w:val="000000" w:themeColor="text1"/>
                <w:sz w:val="28"/>
                <w:szCs w:val="28"/>
                <w:lang w:val="uk-UA"/>
              </w:rPr>
            </w:pPr>
            <w:r w:rsidRPr="000003CE">
              <w:rPr>
                <w:rFonts w:ascii="Times New Roman" w:hAnsi="Times New Roman"/>
                <w:color w:val="000000" w:themeColor="text1"/>
                <w:sz w:val="28"/>
                <w:szCs w:val="28"/>
                <w:lang w:val="uk-UA"/>
              </w:rPr>
              <w:t>Частка от загального числа DALY (%)</w:t>
            </w:r>
          </w:p>
        </w:tc>
        <w:tc>
          <w:tcPr>
            <w:tcW w:w="1487" w:type="dxa"/>
          </w:tcPr>
          <w:p w:rsidR="00617157" w:rsidRPr="000003CE" w:rsidRDefault="00617157" w:rsidP="006E2B6E">
            <w:pPr>
              <w:widowControl w:val="0"/>
              <w:tabs>
                <w:tab w:val="left" w:pos="1111"/>
              </w:tabs>
              <w:spacing w:line="360" w:lineRule="auto"/>
              <w:jc w:val="center"/>
              <w:rPr>
                <w:rFonts w:ascii="Times New Roman" w:hAnsi="Times New Roman"/>
                <w:color w:val="000000" w:themeColor="text1"/>
                <w:sz w:val="28"/>
                <w:szCs w:val="28"/>
                <w:lang w:val="uk-UA"/>
              </w:rPr>
            </w:pPr>
            <w:r w:rsidRPr="000003CE">
              <w:rPr>
                <w:rFonts w:ascii="Times New Roman" w:hAnsi="Times New Roman"/>
                <w:color w:val="000000" w:themeColor="text1"/>
                <w:sz w:val="28"/>
                <w:szCs w:val="28"/>
                <w:lang w:val="uk-UA"/>
              </w:rPr>
              <w:t>201</w:t>
            </w:r>
            <w:r w:rsidRPr="000003CE">
              <w:rPr>
                <w:rFonts w:ascii="Times New Roman" w:hAnsi="Times New Roman"/>
                <w:color w:val="000000" w:themeColor="text1"/>
                <w:sz w:val="28"/>
                <w:szCs w:val="28"/>
              </w:rPr>
              <w:t>8</w:t>
            </w:r>
            <w:r w:rsidRPr="000003CE">
              <w:rPr>
                <w:rFonts w:ascii="Times New Roman" w:hAnsi="Times New Roman"/>
                <w:color w:val="000000" w:themeColor="text1"/>
                <w:sz w:val="28"/>
                <w:szCs w:val="28"/>
                <w:lang w:val="uk-UA"/>
              </w:rPr>
              <w:t>/2013 (%)</w:t>
            </w:r>
          </w:p>
        </w:tc>
      </w:tr>
      <w:tr w:rsidR="00617157" w:rsidRPr="000003CE" w:rsidTr="006E2B6E">
        <w:trPr>
          <w:jc w:val="center"/>
        </w:trPr>
        <w:tc>
          <w:tcPr>
            <w:tcW w:w="4750" w:type="dxa"/>
          </w:tcPr>
          <w:p w:rsidR="00617157" w:rsidRPr="000003CE" w:rsidRDefault="00617157" w:rsidP="006E2B6E">
            <w:pPr>
              <w:widowControl w:val="0"/>
              <w:tabs>
                <w:tab w:val="left" w:pos="1111"/>
              </w:tabs>
              <w:spacing w:line="360" w:lineRule="auto"/>
              <w:rPr>
                <w:rFonts w:ascii="Times New Roman" w:hAnsi="Times New Roman"/>
                <w:color w:val="000000" w:themeColor="text1"/>
                <w:sz w:val="28"/>
                <w:szCs w:val="28"/>
                <w:lang w:val="uk-UA"/>
              </w:rPr>
            </w:pPr>
            <w:r w:rsidRPr="000003CE">
              <w:rPr>
                <w:rFonts w:ascii="Times New Roman" w:hAnsi="Times New Roman"/>
                <w:color w:val="000000" w:themeColor="text1"/>
                <w:sz w:val="28"/>
                <w:szCs w:val="28"/>
                <w:lang w:val="uk-UA"/>
              </w:rPr>
              <w:t>Розлади у матері, пов’язані з вагітністю та неонатальні розлади</w:t>
            </w:r>
          </w:p>
        </w:tc>
        <w:tc>
          <w:tcPr>
            <w:tcW w:w="3543" w:type="dxa"/>
          </w:tcPr>
          <w:p w:rsidR="00617157" w:rsidRPr="000003CE" w:rsidRDefault="00617157" w:rsidP="006E2B6E">
            <w:pPr>
              <w:widowControl w:val="0"/>
              <w:tabs>
                <w:tab w:val="left" w:pos="1111"/>
              </w:tabs>
              <w:spacing w:line="360" w:lineRule="auto"/>
              <w:jc w:val="center"/>
              <w:rPr>
                <w:rFonts w:ascii="Times New Roman" w:hAnsi="Times New Roman"/>
                <w:color w:val="000000" w:themeColor="text1"/>
                <w:sz w:val="28"/>
                <w:szCs w:val="28"/>
                <w:lang w:val="uk-UA"/>
              </w:rPr>
            </w:pPr>
            <w:r w:rsidRPr="000003CE">
              <w:rPr>
                <w:rFonts w:ascii="Times New Roman" w:hAnsi="Times New Roman"/>
                <w:color w:val="000000" w:themeColor="text1"/>
                <w:sz w:val="28"/>
                <w:szCs w:val="28"/>
                <w:lang w:val="uk-UA"/>
              </w:rPr>
              <w:t>34,75% (95% ДІ 28,29-39,29)</w:t>
            </w:r>
          </w:p>
        </w:tc>
        <w:tc>
          <w:tcPr>
            <w:tcW w:w="1487" w:type="dxa"/>
          </w:tcPr>
          <w:p w:rsidR="00617157" w:rsidRPr="000003CE" w:rsidRDefault="00617157" w:rsidP="006E2B6E">
            <w:pPr>
              <w:widowControl w:val="0"/>
              <w:tabs>
                <w:tab w:val="left" w:pos="1111"/>
              </w:tabs>
              <w:spacing w:line="360" w:lineRule="auto"/>
              <w:jc w:val="center"/>
              <w:rPr>
                <w:rFonts w:ascii="Times New Roman" w:hAnsi="Times New Roman"/>
                <w:color w:val="000000" w:themeColor="text1"/>
                <w:sz w:val="28"/>
                <w:szCs w:val="28"/>
                <w:lang w:val="uk-UA"/>
              </w:rPr>
            </w:pPr>
            <w:r w:rsidRPr="000003CE">
              <w:rPr>
                <w:rFonts w:ascii="Times New Roman" w:hAnsi="Times New Roman"/>
                <w:color w:val="000000" w:themeColor="text1"/>
                <w:sz w:val="28"/>
                <w:szCs w:val="28"/>
                <w:lang w:val="uk-UA"/>
              </w:rPr>
              <w:t>-4,59</w:t>
            </w:r>
          </w:p>
        </w:tc>
      </w:tr>
      <w:tr w:rsidR="00617157" w:rsidRPr="000003CE" w:rsidTr="006E2B6E">
        <w:trPr>
          <w:jc w:val="center"/>
        </w:trPr>
        <w:tc>
          <w:tcPr>
            <w:tcW w:w="4750" w:type="dxa"/>
          </w:tcPr>
          <w:p w:rsidR="00617157" w:rsidRPr="000003CE" w:rsidRDefault="00617157" w:rsidP="006E2B6E">
            <w:pPr>
              <w:widowControl w:val="0"/>
              <w:tabs>
                <w:tab w:val="left" w:pos="1111"/>
              </w:tabs>
              <w:spacing w:line="360" w:lineRule="auto"/>
              <w:rPr>
                <w:rFonts w:ascii="Times New Roman" w:hAnsi="Times New Roman"/>
                <w:color w:val="000000" w:themeColor="text1"/>
                <w:sz w:val="28"/>
                <w:szCs w:val="28"/>
                <w:lang w:val="uk-UA"/>
              </w:rPr>
            </w:pPr>
            <w:r w:rsidRPr="000003CE">
              <w:rPr>
                <w:rFonts w:ascii="Times New Roman" w:hAnsi="Times New Roman"/>
                <w:color w:val="000000" w:themeColor="text1"/>
                <w:sz w:val="28"/>
                <w:szCs w:val="28"/>
                <w:lang w:val="uk-UA"/>
              </w:rPr>
              <w:t>Інші неінфекційні хвороби</w:t>
            </w:r>
          </w:p>
        </w:tc>
        <w:tc>
          <w:tcPr>
            <w:tcW w:w="3543" w:type="dxa"/>
          </w:tcPr>
          <w:p w:rsidR="00617157" w:rsidRPr="000003CE" w:rsidRDefault="00617157" w:rsidP="006E2B6E">
            <w:pPr>
              <w:widowControl w:val="0"/>
              <w:tabs>
                <w:tab w:val="left" w:pos="1111"/>
              </w:tabs>
              <w:spacing w:line="360" w:lineRule="auto"/>
              <w:jc w:val="center"/>
              <w:rPr>
                <w:rFonts w:ascii="Times New Roman" w:hAnsi="Times New Roman"/>
                <w:color w:val="000000" w:themeColor="text1"/>
                <w:sz w:val="28"/>
                <w:szCs w:val="28"/>
                <w:lang w:val="uk-UA"/>
              </w:rPr>
            </w:pPr>
            <w:r w:rsidRPr="000003CE">
              <w:rPr>
                <w:rFonts w:ascii="Times New Roman" w:hAnsi="Times New Roman"/>
                <w:color w:val="000000" w:themeColor="text1"/>
                <w:sz w:val="28"/>
                <w:szCs w:val="28"/>
                <w:lang w:val="uk-UA"/>
              </w:rPr>
              <w:t>26,8% (95% ДІ 22,96-35,99)</w:t>
            </w:r>
          </w:p>
        </w:tc>
        <w:tc>
          <w:tcPr>
            <w:tcW w:w="1487" w:type="dxa"/>
          </w:tcPr>
          <w:p w:rsidR="00617157" w:rsidRPr="000003CE" w:rsidRDefault="00617157" w:rsidP="006E2B6E">
            <w:pPr>
              <w:widowControl w:val="0"/>
              <w:tabs>
                <w:tab w:val="left" w:pos="1111"/>
              </w:tabs>
              <w:spacing w:line="360" w:lineRule="auto"/>
              <w:jc w:val="center"/>
              <w:rPr>
                <w:rFonts w:ascii="Times New Roman" w:hAnsi="Times New Roman"/>
                <w:color w:val="000000" w:themeColor="text1"/>
                <w:sz w:val="28"/>
                <w:szCs w:val="28"/>
                <w:lang w:val="uk-UA"/>
              </w:rPr>
            </w:pPr>
            <w:r w:rsidRPr="000003CE">
              <w:rPr>
                <w:rFonts w:ascii="Times New Roman" w:hAnsi="Times New Roman"/>
                <w:color w:val="000000" w:themeColor="text1"/>
                <w:sz w:val="28"/>
                <w:szCs w:val="28"/>
                <w:lang w:val="uk-UA"/>
              </w:rPr>
              <w:t>-5.12</w:t>
            </w:r>
          </w:p>
        </w:tc>
      </w:tr>
      <w:tr w:rsidR="00617157" w:rsidRPr="000003CE" w:rsidTr="006E2B6E">
        <w:trPr>
          <w:jc w:val="center"/>
        </w:trPr>
        <w:tc>
          <w:tcPr>
            <w:tcW w:w="4750" w:type="dxa"/>
          </w:tcPr>
          <w:p w:rsidR="00617157" w:rsidRPr="000003CE" w:rsidRDefault="00617157" w:rsidP="006E2B6E">
            <w:pPr>
              <w:widowControl w:val="0"/>
              <w:tabs>
                <w:tab w:val="left" w:pos="1111"/>
              </w:tabs>
              <w:spacing w:line="360" w:lineRule="auto"/>
              <w:rPr>
                <w:rFonts w:ascii="Times New Roman" w:hAnsi="Times New Roman"/>
                <w:color w:val="000000" w:themeColor="text1"/>
                <w:sz w:val="28"/>
                <w:szCs w:val="28"/>
                <w:lang w:val="uk-UA"/>
              </w:rPr>
            </w:pPr>
            <w:r w:rsidRPr="000003CE">
              <w:rPr>
                <w:rFonts w:ascii="Times New Roman" w:hAnsi="Times New Roman"/>
                <w:color w:val="000000" w:themeColor="text1"/>
                <w:sz w:val="28"/>
                <w:szCs w:val="28"/>
                <w:lang w:val="uk-UA"/>
              </w:rPr>
              <w:t>Ненавмисні травми</w:t>
            </w:r>
          </w:p>
        </w:tc>
        <w:tc>
          <w:tcPr>
            <w:tcW w:w="3543" w:type="dxa"/>
          </w:tcPr>
          <w:p w:rsidR="00617157" w:rsidRPr="000003CE" w:rsidRDefault="00617157" w:rsidP="006E2B6E">
            <w:pPr>
              <w:widowControl w:val="0"/>
              <w:tabs>
                <w:tab w:val="left" w:pos="1111"/>
              </w:tabs>
              <w:spacing w:line="360" w:lineRule="auto"/>
              <w:jc w:val="center"/>
              <w:rPr>
                <w:rFonts w:ascii="Times New Roman" w:hAnsi="Times New Roman"/>
                <w:color w:val="000000" w:themeColor="text1"/>
                <w:sz w:val="28"/>
                <w:szCs w:val="28"/>
                <w:lang w:val="uk-UA"/>
              </w:rPr>
            </w:pPr>
            <w:r w:rsidRPr="000003CE">
              <w:rPr>
                <w:rFonts w:ascii="Times New Roman" w:hAnsi="Times New Roman"/>
                <w:color w:val="000000" w:themeColor="text1"/>
                <w:sz w:val="28"/>
                <w:szCs w:val="28"/>
                <w:lang w:val="uk-UA"/>
              </w:rPr>
              <w:t>8,46% (95% ДІ 7,14-9,57)</w:t>
            </w:r>
          </w:p>
        </w:tc>
        <w:tc>
          <w:tcPr>
            <w:tcW w:w="1487" w:type="dxa"/>
          </w:tcPr>
          <w:p w:rsidR="00617157" w:rsidRPr="000003CE" w:rsidRDefault="00617157" w:rsidP="006E2B6E">
            <w:pPr>
              <w:widowControl w:val="0"/>
              <w:tabs>
                <w:tab w:val="left" w:pos="1111"/>
              </w:tabs>
              <w:spacing w:line="360" w:lineRule="auto"/>
              <w:jc w:val="center"/>
              <w:rPr>
                <w:rFonts w:ascii="Times New Roman" w:hAnsi="Times New Roman"/>
                <w:color w:val="000000" w:themeColor="text1"/>
                <w:sz w:val="28"/>
                <w:szCs w:val="28"/>
                <w:lang w:val="uk-UA"/>
              </w:rPr>
            </w:pPr>
            <w:r w:rsidRPr="000003CE">
              <w:rPr>
                <w:rFonts w:ascii="Times New Roman" w:hAnsi="Times New Roman"/>
                <w:color w:val="000000" w:themeColor="text1"/>
                <w:sz w:val="28"/>
                <w:szCs w:val="28"/>
                <w:lang w:val="uk-UA"/>
              </w:rPr>
              <w:t>-0,097</w:t>
            </w:r>
          </w:p>
        </w:tc>
      </w:tr>
      <w:tr w:rsidR="00617157" w:rsidRPr="000003CE" w:rsidTr="006E2B6E">
        <w:trPr>
          <w:jc w:val="center"/>
        </w:trPr>
        <w:tc>
          <w:tcPr>
            <w:tcW w:w="4750" w:type="dxa"/>
          </w:tcPr>
          <w:p w:rsidR="00617157" w:rsidRPr="000003CE" w:rsidRDefault="00617157" w:rsidP="006E2B6E">
            <w:pPr>
              <w:widowControl w:val="0"/>
              <w:tabs>
                <w:tab w:val="left" w:pos="1111"/>
              </w:tabs>
              <w:spacing w:line="360" w:lineRule="auto"/>
              <w:rPr>
                <w:rFonts w:ascii="Times New Roman" w:hAnsi="Times New Roman"/>
                <w:color w:val="000000" w:themeColor="text1"/>
                <w:sz w:val="28"/>
                <w:szCs w:val="28"/>
                <w:lang w:val="uk-UA"/>
              </w:rPr>
            </w:pPr>
            <w:r w:rsidRPr="000003CE">
              <w:rPr>
                <w:rFonts w:ascii="Times New Roman" w:hAnsi="Times New Roman"/>
                <w:color w:val="000000" w:themeColor="text1"/>
                <w:sz w:val="28"/>
                <w:szCs w:val="28"/>
                <w:lang w:val="uk-UA"/>
              </w:rPr>
              <w:t>Інші інфекційні захворювання</w:t>
            </w:r>
          </w:p>
        </w:tc>
        <w:tc>
          <w:tcPr>
            <w:tcW w:w="3543" w:type="dxa"/>
          </w:tcPr>
          <w:p w:rsidR="00617157" w:rsidRPr="000003CE" w:rsidRDefault="00617157" w:rsidP="006E2B6E">
            <w:pPr>
              <w:widowControl w:val="0"/>
              <w:tabs>
                <w:tab w:val="left" w:pos="1111"/>
              </w:tabs>
              <w:spacing w:line="360" w:lineRule="auto"/>
              <w:jc w:val="center"/>
              <w:rPr>
                <w:rFonts w:ascii="Times New Roman" w:hAnsi="Times New Roman"/>
                <w:color w:val="000000" w:themeColor="text1"/>
                <w:sz w:val="28"/>
                <w:szCs w:val="28"/>
                <w:lang w:val="uk-UA"/>
              </w:rPr>
            </w:pPr>
            <w:r w:rsidRPr="000003CE">
              <w:rPr>
                <w:rFonts w:ascii="Times New Roman" w:hAnsi="Times New Roman"/>
                <w:color w:val="000000" w:themeColor="text1"/>
                <w:sz w:val="28"/>
                <w:szCs w:val="28"/>
                <w:lang w:val="uk-UA"/>
              </w:rPr>
              <w:t>5,76% (95% ДІ 4,18-8,62)</w:t>
            </w:r>
          </w:p>
        </w:tc>
        <w:tc>
          <w:tcPr>
            <w:tcW w:w="1487" w:type="dxa"/>
          </w:tcPr>
          <w:p w:rsidR="00617157" w:rsidRPr="000003CE" w:rsidRDefault="00617157" w:rsidP="006E2B6E">
            <w:pPr>
              <w:widowControl w:val="0"/>
              <w:tabs>
                <w:tab w:val="left" w:pos="1111"/>
              </w:tabs>
              <w:spacing w:line="360" w:lineRule="auto"/>
              <w:jc w:val="center"/>
              <w:rPr>
                <w:rFonts w:ascii="Times New Roman" w:hAnsi="Times New Roman"/>
                <w:color w:val="000000" w:themeColor="text1"/>
                <w:sz w:val="28"/>
                <w:szCs w:val="28"/>
                <w:lang w:val="uk-UA"/>
              </w:rPr>
            </w:pPr>
            <w:r w:rsidRPr="000003CE">
              <w:rPr>
                <w:rFonts w:ascii="Times New Roman" w:hAnsi="Times New Roman"/>
                <w:color w:val="000000" w:themeColor="text1"/>
                <w:sz w:val="28"/>
                <w:szCs w:val="28"/>
                <w:lang w:val="uk-UA"/>
              </w:rPr>
              <w:t>+21,42</w:t>
            </w:r>
          </w:p>
        </w:tc>
      </w:tr>
      <w:tr w:rsidR="00617157" w:rsidRPr="000003CE" w:rsidTr="006E2B6E">
        <w:trPr>
          <w:jc w:val="center"/>
        </w:trPr>
        <w:tc>
          <w:tcPr>
            <w:tcW w:w="4750" w:type="dxa"/>
          </w:tcPr>
          <w:p w:rsidR="00617157" w:rsidRPr="000003CE" w:rsidRDefault="00617157" w:rsidP="006E2B6E">
            <w:pPr>
              <w:widowControl w:val="0"/>
              <w:tabs>
                <w:tab w:val="left" w:pos="1111"/>
              </w:tabs>
              <w:spacing w:line="360" w:lineRule="auto"/>
              <w:rPr>
                <w:rFonts w:ascii="Times New Roman" w:hAnsi="Times New Roman"/>
                <w:color w:val="000000" w:themeColor="text1"/>
                <w:sz w:val="28"/>
                <w:szCs w:val="28"/>
                <w:lang w:val="uk-UA"/>
              </w:rPr>
            </w:pPr>
            <w:r w:rsidRPr="000003CE">
              <w:rPr>
                <w:rFonts w:ascii="Times New Roman" w:hAnsi="Times New Roman"/>
                <w:color w:val="000000" w:themeColor="text1"/>
                <w:sz w:val="28"/>
                <w:szCs w:val="28"/>
                <w:lang w:val="uk-UA"/>
              </w:rPr>
              <w:t>Респіраторні інфекції та туберкульоз</w:t>
            </w:r>
          </w:p>
        </w:tc>
        <w:tc>
          <w:tcPr>
            <w:tcW w:w="3543" w:type="dxa"/>
          </w:tcPr>
          <w:p w:rsidR="00617157" w:rsidRPr="000003CE" w:rsidRDefault="00617157" w:rsidP="006E2B6E">
            <w:pPr>
              <w:widowControl w:val="0"/>
              <w:tabs>
                <w:tab w:val="left" w:pos="1111"/>
              </w:tabs>
              <w:spacing w:line="360" w:lineRule="auto"/>
              <w:jc w:val="center"/>
              <w:rPr>
                <w:rFonts w:ascii="Times New Roman" w:hAnsi="Times New Roman"/>
                <w:color w:val="000000" w:themeColor="text1"/>
                <w:sz w:val="28"/>
                <w:szCs w:val="28"/>
                <w:lang w:val="uk-UA"/>
              </w:rPr>
            </w:pPr>
            <w:r w:rsidRPr="000003CE">
              <w:rPr>
                <w:rFonts w:ascii="Times New Roman" w:hAnsi="Times New Roman"/>
                <w:color w:val="000000" w:themeColor="text1"/>
                <w:sz w:val="28"/>
                <w:szCs w:val="28"/>
                <w:lang w:val="uk-UA"/>
              </w:rPr>
              <w:t>5,68% (95% ДІ 4,75-6,51)</w:t>
            </w:r>
          </w:p>
        </w:tc>
        <w:tc>
          <w:tcPr>
            <w:tcW w:w="1487" w:type="dxa"/>
          </w:tcPr>
          <w:p w:rsidR="00617157" w:rsidRPr="000003CE" w:rsidRDefault="00617157" w:rsidP="006E2B6E">
            <w:pPr>
              <w:widowControl w:val="0"/>
              <w:tabs>
                <w:tab w:val="left" w:pos="1111"/>
              </w:tabs>
              <w:spacing w:line="360" w:lineRule="auto"/>
              <w:jc w:val="center"/>
              <w:rPr>
                <w:rFonts w:ascii="Times New Roman" w:hAnsi="Times New Roman"/>
                <w:color w:val="000000" w:themeColor="text1"/>
                <w:sz w:val="28"/>
                <w:szCs w:val="28"/>
                <w:lang w:val="uk-UA"/>
              </w:rPr>
            </w:pPr>
            <w:r w:rsidRPr="000003CE">
              <w:rPr>
                <w:rFonts w:ascii="Times New Roman" w:hAnsi="Times New Roman"/>
                <w:color w:val="000000" w:themeColor="text1"/>
                <w:sz w:val="28"/>
                <w:szCs w:val="28"/>
                <w:lang w:val="uk-UA"/>
              </w:rPr>
              <w:t>+5,8</w:t>
            </w:r>
          </w:p>
        </w:tc>
      </w:tr>
      <w:tr w:rsidR="00617157" w:rsidRPr="000003CE" w:rsidTr="006E2B6E">
        <w:trPr>
          <w:jc w:val="center"/>
        </w:trPr>
        <w:tc>
          <w:tcPr>
            <w:tcW w:w="4750" w:type="dxa"/>
          </w:tcPr>
          <w:p w:rsidR="00617157" w:rsidRPr="000003CE" w:rsidRDefault="00617157" w:rsidP="006E2B6E">
            <w:pPr>
              <w:widowControl w:val="0"/>
              <w:tabs>
                <w:tab w:val="left" w:pos="1111"/>
              </w:tabs>
              <w:spacing w:line="360" w:lineRule="auto"/>
              <w:rPr>
                <w:rFonts w:ascii="Times New Roman" w:hAnsi="Times New Roman"/>
                <w:color w:val="000000" w:themeColor="text1"/>
                <w:sz w:val="28"/>
                <w:szCs w:val="28"/>
                <w:lang w:val="uk-UA"/>
              </w:rPr>
            </w:pPr>
            <w:r w:rsidRPr="000003CE">
              <w:rPr>
                <w:rFonts w:ascii="Times New Roman" w:hAnsi="Times New Roman"/>
                <w:color w:val="000000" w:themeColor="text1"/>
                <w:sz w:val="28"/>
                <w:szCs w:val="28"/>
                <w:lang w:val="uk-UA"/>
              </w:rPr>
              <w:t>Новоутворення</w:t>
            </w:r>
          </w:p>
        </w:tc>
        <w:tc>
          <w:tcPr>
            <w:tcW w:w="3543" w:type="dxa"/>
          </w:tcPr>
          <w:p w:rsidR="00617157" w:rsidRPr="000003CE" w:rsidRDefault="00617157" w:rsidP="006E2B6E">
            <w:pPr>
              <w:widowControl w:val="0"/>
              <w:tabs>
                <w:tab w:val="left" w:pos="1111"/>
              </w:tabs>
              <w:spacing w:line="360" w:lineRule="auto"/>
              <w:jc w:val="center"/>
              <w:rPr>
                <w:rFonts w:ascii="Times New Roman" w:hAnsi="Times New Roman"/>
                <w:color w:val="000000" w:themeColor="text1"/>
                <w:sz w:val="28"/>
                <w:szCs w:val="28"/>
                <w:lang w:val="uk-UA"/>
              </w:rPr>
            </w:pPr>
            <w:r w:rsidRPr="000003CE">
              <w:rPr>
                <w:rFonts w:ascii="Times New Roman" w:hAnsi="Times New Roman"/>
                <w:color w:val="000000" w:themeColor="text1"/>
                <w:sz w:val="28"/>
                <w:szCs w:val="28"/>
                <w:lang w:val="uk-UA"/>
              </w:rPr>
              <w:t>3,72% (95% ДІ 2,67-4,64)</w:t>
            </w:r>
          </w:p>
        </w:tc>
        <w:tc>
          <w:tcPr>
            <w:tcW w:w="1487" w:type="dxa"/>
          </w:tcPr>
          <w:p w:rsidR="00617157" w:rsidRPr="000003CE" w:rsidRDefault="00617157" w:rsidP="006E2B6E">
            <w:pPr>
              <w:widowControl w:val="0"/>
              <w:tabs>
                <w:tab w:val="left" w:pos="1111"/>
              </w:tabs>
              <w:spacing w:line="360" w:lineRule="auto"/>
              <w:jc w:val="center"/>
              <w:rPr>
                <w:rFonts w:ascii="Times New Roman" w:hAnsi="Times New Roman"/>
                <w:color w:val="000000" w:themeColor="text1"/>
                <w:sz w:val="28"/>
                <w:szCs w:val="28"/>
                <w:lang w:val="uk-UA"/>
              </w:rPr>
            </w:pPr>
            <w:r w:rsidRPr="000003CE">
              <w:rPr>
                <w:rFonts w:ascii="Times New Roman" w:hAnsi="Times New Roman"/>
                <w:color w:val="000000" w:themeColor="text1"/>
                <w:sz w:val="28"/>
                <w:szCs w:val="28"/>
                <w:lang w:val="uk-UA"/>
              </w:rPr>
              <w:t>+18,9</w:t>
            </w:r>
          </w:p>
        </w:tc>
      </w:tr>
      <w:tr w:rsidR="00617157" w:rsidRPr="000003CE" w:rsidTr="006E2B6E">
        <w:trPr>
          <w:jc w:val="center"/>
        </w:trPr>
        <w:tc>
          <w:tcPr>
            <w:tcW w:w="4750" w:type="dxa"/>
          </w:tcPr>
          <w:p w:rsidR="00617157" w:rsidRPr="000003CE" w:rsidRDefault="00617157" w:rsidP="006E2B6E">
            <w:pPr>
              <w:widowControl w:val="0"/>
              <w:tabs>
                <w:tab w:val="left" w:pos="1111"/>
              </w:tabs>
              <w:spacing w:line="360" w:lineRule="auto"/>
              <w:rPr>
                <w:rFonts w:ascii="Times New Roman" w:hAnsi="Times New Roman"/>
                <w:color w:val="000000" w:themeColor="text1"/>
                <w:sz w:val="28"/>
                <w:szCs w:val="28"/>
                <w:lang w:val="uk-UA"/>
              </w:rPr>
            </w:pPr>
            <w:r w:rsidRPr="000003CE">
              <w:rPr>
                <w:rFonts w:ascii="Times New Roman" w:hAnsi="Times New Roman"/>
                <w:color w:val="000000" w:themeColor="text1"/>
                <w:sz w:val="28"/>
                <w:szCs w:val="28"/>
                <w:lang w:val="uk-UA"/>
              </w:rPr>
              <w:t>Захворювання шкіри</w:t>
            </w:r>
          </w:p>
        </w:tc>
        <w:tc>
          <w:tcPr>
            <w:tcW w:w="3543" w:type="dxa"/>
          </w:tcPr>
          <w:p w:rsidR="00617157" w:rsidRPr="000003CE" w:rsidRDefault="00617157" w:rsidP="006E2B6E">
            <w:pPr>
              <w:widowControl w:val="0"/>
              <w:tabs>
                <w:tab w:val="left" w:pos="1111"/>
              </w:tabs>
              <w:spacing w:line="360" w:lineRule="auto"/>
              <w:jc w:val="center"/>
              <w:rPr>
                <w:rFonts w:ascii="Times New Roman" w:hAnsi="Times New Roman"/>
                <w:color w:val="000000" w:themeColor="text1"/>
                <w:sz w:val="28"/>
                <w:szCs w:val="28"/>
                <w:lang w:val="uk-UA"/>
              </w:rPr>
            </w:pPr>
            <w:r w:rsidRPr="000003CE">
              <w:rPr>
                <w:rFonts w:ascii="Times New Roman" w:hAnsi="Times New Roman"/>
                <w:color w:val="000000" w:themeColor="text1"/>
                <w:sz w:val="28"/>
                <w:szCs w:val="28"/>
                <w:lang w:val="uk-UA"/>
              </w:rPr>
              <w:t>3,34% (95% ДІ 2,17-4,83)</w:t>
            </w:r>
          </w:p>
        </w:tc>
        <w:tc>
          <w:tcPr>
            <w:tcW w:w="1487" w:type="dxa"/>
          </w:tcPr>
          <w:p w:rsidR="00617157" w:rsidRPr="000003CE" w:rsidRDefault="00617157" w:rsidP="006E2B6E">
            <w:pPr>
              <w:widowControl w:val="0"/>
              <w:tabs>
                <w:tab w:val="left" w:pos="1111"/>
              </w:tabs>
              <w:spacing w:line="360" w:lineRule="auto"/>
              <w:jc w:val="center"/>
              <w:rPr>
                <w:rFonts w:ascii="Times New Roman" w:hAnsi="Times New Roman"/>
                <w:color w:val="000000" w:themeColor="text1"/>
                <w:sz w:val="28"/>
                <w:szCs w:val="28"/>
                <w:lang w:val="uk-UA"/>
              </w:rPr>
            </w:pPr>
            <w:r w:rsidRPr="000003CE">
              <w:rPr>
                <w:rFonts w:ascii="Times New Roman" w:hAnsi="Times New Roman"/>
                <w:color w:val="000000" w:themeColor="text1"/>
                <w:sz w:val="28"/>
                <w:szCs w:val="28"/>
                <w:lang w:val="uk-UA"/>
              </w:rPr>
              <w:t>+6,09</w:t>
            </w:r>
          </w:p>
        </w:tc>
      </w:tr>
      <w:tr w:rsidR="00617157" w:rsidRPr="000003CE" w:rsidTr="006E2B6E">
        <w:trPr>
          <w:jc w:val="center"/>
        </w:trPr>
        <w:tc>
          <w:tcPr>
            <w:tcW w:w="4750" w:type="dxa"/>
          </w:tcPr>
          <w:p w:rsidR="00617157" w:rsidRPr="000003CE" w:rsidRDefault="00617157" w:rsidP="006E2B6E">
            <w:pPr>
              <w:widowControl w:val="0"/>
              <w:tabs>
                <w:tab w:val="left" w:pos="1111"/>
              </w:tabs>
              <w:spacing w:line="360" w:lineRule="auto"/>
              <w:rPr>
                <w:rFonts w:ascii="Times New Roman" w:hAnsi="Times New Roman"/>
                <w:color w:val="000000" w:themeColor="text1"/>
                <w:sz w:val="28"/>
                <w:szCs w:val="28"/>
                <w:lang w:val="uk-UA"/>
              </w:rPr>
            </w:pPr>
            <w:r w:rsidRPr="000003CE">
              <w:rPr>
                <w:rFonts w:ascii="Times New Roman" w:hAnsi="Times New Roman"/>
                <w:color w:val="000000" w:themeColor="text1"/>
                <w:sz w:val="28"/>
                <w:szCs w:val="28"/>
                <w:lang w:val="uk-UA"/>
              </w:rPr>
              <w:t>Хвороби органів травлення</w:t>
            </w:r>
          </w:p>
        </w:tc>
        <w:tc>
          <w:tcPr>
            <w:tcW w:w="3543" w:type="dxa"/>
          </w:tcPr>
          <w:p w:rsidR="00617157" w:rsidRPr="000003CE" w:rsidRDefault="00617157" w:rsidP="006E2B6E">
            <w:pPr>
              <w:widowControl w:val="0"/>
              <w:tabs>
                <w:tab w:val="left" w:pos="1111"/>
              </w:tabs>
              <w:spacing w:line="360" w:lineRule="auto"/>
              <w:jc w:val="center"/>
              <w:rPr>
                <w:rFonts w:ascii="Times New Roman" w:hAnsi="Times New Roman"/>
                <w:color w:val="000000" w:themeColor="text1"/>
                <w:sz w:val="28"/>
                <w:szCs w:val="28"/>
                <w:lang w:val="uk-UA"/>
              </w:rPr>
            </w:pPr>
            <w:r w:rsidRPr="000003CE">
              <w:rPr>
                <w:rFonts w:ascii="Times New Roman" w:hAnsi="Times New Roman"/>
                <w:color w:val="000000" w:themeColor="text1"/>
                <w:sz w:val="28"/>
                <w:szCs w:val="28"/>
                <w:lang w:val="uk-UA"/>
              </w:rPr>
              <w:t>2,32% (95% ДІ 1,78-3,02)</w:t>
            </w:r>
          </w:p>
        </w:tc>
        <w:tc>
          <w:tcPr>
            <w:tcW w:w="1487" w:type="dxa"/>
          </w:tcPr>
          <w:p w:rsidR="00617157" w:rsidRPr="000003CE" w:rsidRDefault="00617157" w:rsidP="006E2B6E">
            <w:pPr>
              <w:widowControl w:val="0"/>
              <w:tabs>
                <w:tab w:val="left" w:pos="1111"/>
              </w:tabs>
              <w:spacing w:line="360" w:lineRule="auto"/>
              <w:jc w:val="center"/>
              <w:rPr>
                <w:rFonts w:ascii="Times New Roman" w:hAnsi="Times New Roman"/>
                <w:color w:val="000000" w:themeColor="text1"/>
                <w:sz w:val="28"/>
                <w:szCs w:val="28"/>
                <w:lang w:val="uk-UA"/>
              </w:rPr>
            </w:pPr>
            <w:r w:rsidRPr="000003CE">
              <w:rPr>
                <w:rFonts w:ascii="Times New Roman" w:hAnsi="Times New Roman"/>
                <w:color w:val="000000" w:themeColor="text1"/>
                <w:sz w:val="28"/>
                <w:szCs w:val="28"/>
                <w:lang w:val="uk-UA"/>
              </w:rPr>
              <w:t>+8,7</w:t>
            </w:r>
          </w:p>
        </w:tc>
      </w:tr>
      <w:tr w:rsidR="00617157" w:rsidRPr="000003CE" w:rsidTr="006E2B6E">
        <w:trPr>
          <w:jc w:val="center"/>
        </w:trPr>
        <w:tc>
          <w:tcPr>
            <w:tcW w:w="4750" w:type="dxa"/>
          </w:tcPr>
          <w:p w:rsidR="00617157" w:rsidRPr="000003CE" w:rsidRDefault="00617157" w:rsidP="006E2B6E">
            <w:pPr>
              <w:widowControl w:val="0"/>
              <w:tabs>
                <w:tab w:val="left" w:pos="1111"/>
              </w:tabs>
              <w:spacing w:line="360" w:lineRule="auto"/>
              <w:rPr>
                <w:rFonts w:ascii="Times New Roman" w:hAnsi="Times New Roman"/>
                <w:color w:val="000000" w:themeColor="text1"/>
                <w:sz w:val="28"/>
                <w:szCs w:val="28"/>
                <w:lang w:val="uk-UA"/>
              </w:rPr>
            </w:pPr>
            <w:r w:rsidRPr="000003CE">
              <w:rPr>
                <w:rFonts w:ascii="Times New Roman" w:hAnsi="Times New Roman"/>
                <w:color w:val="000000" w:themeColor="text1"/>
                <w:sz w:val="28"/>
                <w:szCs w:val="28"/>
                <w:lang w:val="uk-UA"/>
              </w:rPr>
              <w:t>Недостатність харчування</w:t>
            </w:r>
          </w:p>
        </w:tc>
        <w:tc>
          <w:tcPr>
            <w:tcW w:w="3543" w:type="dxa"/>
          </w:tcPr>
          <w:p w:rsidR="00617157" w:rsidRPr="000003CE" w:rsidRDefault="00617157" w:rsidP="006E2B6E">
            <w:pPr>
              <w:widowControl w:val="0"/>
              <w:tabs>
                <w:tab w:val="left" w:pos="1111"/>
              </w:tabs>
              <w:spacing w:line="360" w:lineRule="auto"/>
              <w:jc w:val="center"/>
              <w:rPr>
                <w:rFonts w:ascii="Times New Roman" w:hAnsi="Times New Roman"/>
                <w:color w:val="000000" w:themeColor="text1"/>
                <w:sz w:val="28"/>
                <w:szCs w:val="28"/>
                <w:lang w:val="uk-UA"/>
              </w:rPr>
            </w:pPr>
            <w:r w:rsidRPr="000003CE">
              <w:rPr>
                <w:rFonts w:ascii="Times New Roman" w:hAnsi="Times New Roman"/>
                <w:color w:val="000000" w:themeColor="text1"/>
                <w:sz w:val="28"/>
                <w:szCs w:val="28"/>
                <w:lang w:val="uk-UA"/>
              </w:rPr>
              <w:t>1,4% (95% ДІ 0,81-2,4)</w:t>
            </w:r>
          </w:p>
        </w:tc>
        <w:tc>
          <w:tcPr>
            <w:tcW w:w="1487" w:type="dxa"/>
          </w:tcPr>
          <w:p w:rsidR="00617157" w:rsidRPr="000003CE" w:rsidRDefault="00617157" w:rsidP="006E2B6E">
            <w:pPr>
              <w:widowControl w:val="0"/>
              <w:tabs>
                <w:tab w:val="left" w:pos="1111"/>
              </w:tabs>
              <w:spacing w:line="360" w:lineRule="auto"/>
              <w:jc w:val="center"/>
              <w:rPr>
                <w:rFonts w:ascii="Times New Roman" w:hAnsi="Times New Roman"/>
                <w:color w:val="000000" w:themeColor="text1"/>
                <w:sz w:val="28"/>
                <w:szCs w:val="28"/>
                <w:lang w:val="uk-UA"/>
              </w:rPr>
            </w:pPr>
            <w:r w:rsidRPr="000003CE">
              <w:rPr>
                <w:rFonts w:ascii="Times New Roman" w:hAnsi="Times New Roman"/>
                <w:color w:val="000000" w:themeColor="text1"/>
                <w:sz w:val="28"/>
                <w:szCs w:val="28"/>
                <w:lang w:val="uk-UA"/>
              </w:rPr>
              <w:t>-1,17</w:t>
            </w:r>
          </w:p>
        </w:tc>
      </w:tr>
      <w:tr w:rsidR="00617157" w:rsidRPr="000003CE" w:rsidTr="006E2B6E">
        <w:trPr>
          <w:jc w:val="center"/>
        </w:trPr>
        <w:tc>
          <w:tcPr>
            <w:tcW w:w="4750" w:type="dxa"/>
          </w:tcPr>
          <w:p w:rsidR="00617157" w:rsidRPr="000003CE" w:rsidRDefault="00617157" w:rsidP="006E2B6E">
            <w:pPr>
              <w:widowControl w:val="0"/>
              <w:tabs>
                <w:tab w:val="left" w:pos="1111"/>
              </w:tabs>
              <w:spacing w:line="360" w:lineRule="auto"/>
              <w:rPr>
                <w:rFonts w:ascii="Times New Roman" w:hAnsi="Times New Roman"/>
                <w:color w:val="000000" w:themeColor="text1"/>
                <w:sz w:val="28"/>
                <w:szCs w:val="28"/>
                <w:lang w:val="uk-UA"/>
              </w:rPr>
            </w:pPr>
            <w:r w:rsidRPr="000003CE">
              <w:rPr>
                <w:rFonts w:ascii="Times New Roman" w:hAnsi="Times New Roman"/>
                <w:color w:val="000000" w:themeColor="text1"/>
                <w:sz w:val="28"/>
                <w:szCs w:val="28"/>
                <w:lang w:val="uk-UA"/>
              </w:rPr>
              <w:t>Неврологічні розлади</w:t>
            </w:r>
          </w:p>
        </w:tc>
        <w:tc>
          <w:tcPr>
            <w:tcW w:w="3543" w:type="dxa"/>
          </w:tcPr>
          <w:p w:rsidR="00617157" w:rsidRPr="000003CE" w:rsidRDefault="00617157" w:rsidP="006E2B6E">
            <w:pPr>
              <w:widowControl w:val="0"/>
              <w:tabs>
                <w:tab w:val="left" w:pos="1111"/>
              </w:tabs>
              <w:spacing w:line="360" w:lineRule="auto"/>
              <w:jc w:val="center"/>
              <w:rPr>
                <w:rFonts w:ascii="Times New Roman" w:hAnsi="Times New Roman"/>
                <w:color w:val="000000" w:themeColor="text1"/>
                <w:sz w:val="28"/>
                <w:szCs w:val="28"/>
                <w:lang w:val="uk-UA"/>
              </w:rPr>
            </w:pPr>
            <w:r w:rsidRPr="000003CE">
              <w:rPr>
                <w:rFonts w:ascii="Times New Roman" w:hAnsi="Times New Roman"/>
                <w:color w:val="000000" w:themeColor="text1"/>
                <w:sz w:val="28"/>
                <w:szCs w:val="28"/>
                <w:lang w:val="uk-UA"/>
              </w:rPr>
              <w:t>1,34% (95% ДІ 0,93-1,86)</w:t>
            </w:r>
          </w:p>
        </w:tc>
        <w:tc>
          <w:tcPr>
            <w:tcW w:w="1487" w:type="dxa"/>
          </w:tcPr>
          <w:p w:rsidR="00617157" w:rsidRPr="000003CE" w:rsidRDefault="00617157" w:rsidP="006E2B6E">
            <w:pPr>
              <w:widowControl w:val="0"/>
              <w:tabs>
                <w:tab w:val="left" w:pos="1111"/>
              </w:tabs>
              <w:spacing w:line="360" w:lineRule="auto"/>
              <w:jc w:val="center"/>
              <w:rPr>
                <w:rFonts w:ascii="Times New Roman" w:hAnsi="Times New Roman"/>
                <w:color w:val="000000" w:themeColor="text1"/>
                <w:sz w:val="28"/>
                <w:szCs w:val="28"/>
                <w:lang w:val="uk-UA"/>
              </w:rPr>
            </w:pPr>
            <w:r w:rsidRPr="000003CE">
              <w:rPr>
                <w:rFonts w:ascii="Times New Roman" w:hAnsi="Times New Roman"/>
                <w:color w:val="000000" w:themeColor="text1"/>
                <w:sz w:val="28"/>
                <w:szCs w:val="28"/>
                <w:lang w:val="uk-UA"/>
              </w:rPr>
              <w:t>+12,89</w:t>
            </w:r>
          </w:p>
        </w:tc>
      </w:tr>
      <w:tr w:rsidR="00617157" w:rsidRPr="000003CE" w:rsidTr="006E2B6E">
        <w:trPr>
          <w:jc w:val="center"/>
        </w:trPr>
        <w:tc>
          <w:tcPr>
            <w:tcW w:w="4750" w:type="dxa"/>
          </w:tcPr>
          <w:p w:rsidR="00617157" w:rsidRPr="000003CE" w:rsidRDefault="00617157" w:rsidP="006E2B6E">
            <w:pPr>
              <w:widowControl w:val="0"/>
              <w:tabs>
                <w:tab w:val="left" w:pos="1111"/>
              </w:tabs>
              <w:spacing w:line="360" w:lineRule="auto"/>
              <w:rPr>
                <w:rFonts w:ascii="Times New Roman" w:hAnsi="Times New Roman"/>
                <w:color w:val="000000" w:themeColor="text1"/>
                <w:sz w:val="28"/>
                <w:szCs w:val="28"/>
                <w:lang w:val="uk-UA"/>
              </w:rPr>
            </w:pPr>
            <w:r w:rsidRPr="000003CE">
              <w:rPr>
                <w:rFonts w:ascii="Times New Roman" w:hAnsi="Times New Roman"/>
                <w:color w:val="000000" w:themeColor="text1"/>
                <w:sz w:val="28"/>
                <w:szCs w:val="28"/>
                <w:lang w:val="uk-UA"/>
              </w:rPr>
              <w:t>Кишкові інфекції</w:t>
            </w:r>
          </w:p>
        </w:tc>
        <w:tc>
          <w:tcPr>
            <w:tcW w:w="3543" w:type="dxa"/>
          </w:tcPr>
          <w:p w:rsidR="00617157" w:rsidRPr="000003CE" w:rsidRDefault="00617157" w:rsidP="006E2B6E">
            <w:pPr>
              <w:widowControl w:val="0"/>
              <w:tabs>
                <w:tab w:val="left" w:pos="1111"/>
              </w:tabs>
              <w:spacing w:line="360" w:lineRule="auto"/>
              <w:jc w:val="center"/>
              <w:rPr>
                <w:rFonts w:ascii="Times New Roman" w:hAnsi="Times New Roman"/>
                <w:color w:val="000000" w:themeColor="text1"/>
                <w:sz w:val="28"/>
                <w:szCs w:val="28"/>
                <w:lang w:val="uk-UA"/>
              </w:rPr>
            </w:pPr>
            <w:r w:rsidRPr="000003CE">
              <w:rPr>
                <w:rFonts w:ascii="Times New Roman" w:hAnsi="Times New Roman"/>
                <w:color w:val="000000" w:themeColor="text1"/>
                <w:sz w:val="28"/>
                <w:szCs w:val="28"/>
                <w:lang w:val="uk-UA"/>
              </w:rPr>
              <w:t>1,22% (95% ДІ 0,92-1,57)</w:t>
            </w:r>
          </w:p>
        </w:tc>
        <w:tc>
          <w:tcPr>
            <w:tcW w:w="1487" w:type="dxa"/>
          </w:tcPr>
          <w:p w:rsidR="00617157" w:rsidRPr="000003CE" w:rsidRDefault="00617157" w:rsidP="006E2B6E">
            <w:pPr>
              <w:widowControl w:val="0"/>
              <w:tabs>
                <w:tab w:val="left" w:pos="1111"/>
              </w:tabs>
              <w:spacing w:line="360" w:lineRule="auto"/>
              <w:jc w:val="center"/>
              <w:rPr>
                <w:rFonts w:ascii="Times New Roman" w:hAnsi="Times New Roman"/>
                <w:color w:val="000000" w:themeColor="text1"/>
                <w:sz w:val="28"/>
                <w:szCs w:val="28"/>
                <w:lang w:val="uk-UA"/>
              </w:rPr>
            </w:pPr>
            <w:r w:rsidRPr="000003CE">
              <w:rPr>
                <w:rFonts w:ascii="Times New Roman" w:hAnsi="Times New Roman"/>
                <w:color w:val="000000" w:themeColor="text1"/>
                <w:sz w:val="28"/>
                <w:szCs w:val="28"/>
                <w:lang w:val="uk-UA"/>
              </w:rPr>
              <w:t>+10,27</w:t>
            </w:r>
          </w:p>
        </w:tc>
      </w:tr>
      <w:tr w:rsidR="00617157" w:rsidRPr="000003CE" w:rsidTr="006E2B6E">
        <w:trPr>
          <w:jc w:val="center"/>
        </w:trPr>
        <w:tc>
          <w:tcPr>
            <w:tcW w:w="4750" w:type="dxa"/>
          </w:tcPr>
          <w:p w:rsidR="00617157" w:rsidRPr="000003CE" w:rsidRDefault="00617157" w:rsidP="006E2B6E">
            <w:pPr>
              <w:widowControl w:val="0"/>
              <w:tabs>
                <w:tab w:val="left" w:pos="1111"/>
              </w:tabs>
              <w:spacing w:line="360" w:lineRule="auto"/>
              <w:rPr>
                <w:rFonts w:ascii="Times New Roman" w:hAnsi="Times New Roman"/>
                <w:color w:val="000000" w:themeColor="text1"/>
                <w:sz w:val="28"/>
                <w:szCs w:val="28"/>
                <w:lang w:val="uk-UA"/>
              </w:rPr>
            </w:pPr>
            <w:r w:rsidRPr="000003CE">
              <w:rPr>
                <w:rFonts w:ascii="Times New Roman" w:hAnsi="Times New Roman"/>
                <w:color w:val="000000" w:themeColor="text1"/>
                <w:sz w:val="28"/>
                <w:szCs w:val="28"/>
                <w:lang w:val="uk-UA"/>
              </w:rPr>
              <w:t>Самоушкодження</w:t>
            </w:r>
            <w:r w:rsidRPr="000003CE">
              <w:rPr>
                <w:rFonts w:ascii="Times New Roman" w:hAnsi="Times New Roman"/>
                <w:color w:val="000000" w:themeColor="text1"/>
                <w:sz w:val="28"/>
                <w:szCs w:val="28"/>
                <w:lang w:val="en-US"/>
              </w:rPr>
              <w:t xml:space="preserve"> </w:t>
            </w:r>
            <w:r w:rsidRPr="000003CE">
              <w:rPr>
                <w:rFonts w:ascii="Times New Roman" w:hAnsi="Times New Roman"/>
                <w:color w:val="000000" w:themeColor="text1"/>
                <w:sz w:val="28"/>
                <w:szCs w:val="28"/>
                <w:lang w:val="uk-UA"/>
              </w:rPr>
              <w:t>і міжособистісне насильство</w:t>
            </w:r>
          </w:p>
        </w:tc>
        <w:tc>
          <w:tcPr>
            <w:tcW w:w="3543" w:type="dxa"/>
          </w:tcPr>
          <w:p w:rsidR="00617157" w:rsidRPr="000003CE" w:rsidRDefault="00617157" w:rsidP="006E2B6E">
            <w:pPr>
              <w:widowControl w:val="0"/>
              <w:tabs>
                <w:tab w:val="left" w:pos="1111"/>
              </w:tabs>
              <w:spacing w:line="360" w:lineRule="auto"/>
              <w:jc w:val="center"/>
              <w:rPr>
                <w:rFonts w:ascii="Times New Roman" w:hAnsi="Times New Roman"/>
                <w:color w:val="000000" w:themeColor="text1"/>
                <w:sz w:val="28"/>
                <w:szCs w:val="28"/>
                <w:lang w:val="uk-UA"/>
              </w:rPr>
            </w:pPr>
            <w:r w:rsidRPr="000003CE">
              <w:rPr>
                <w:rFonts w:ascii="Times New Roman" w:hAnsi="Times New Roman"/>
                <w:color w:val="000000" w:themeColor="text1"/>
                <w:sz w:val="28"/>
                <w:szCs w:val="28"/>
                <w:lang w:val="uk-UA"/>
              </w:rPr>
              <w:t>1,17% (95% ДІ 1,04-1,33)</w:t>
            </w:r>
          </w:p>
        </w:tc>
        <w:tc>
          <w:tcPr>
            <w:tcW w:w="1487" w:type="dxa"/>
          </w:tcPr>
          <w:p w:rsidR="00617157" w:rsidRPr="000003CE" w:rsidRDefault="00617157" w:rsidP="006E2B6E">
            <w:pPr>
              <w:widowControl w:val="0"/>
              <w:tabs>
                <w:tab w:val="left" w:pos="1111"/>
              </w:tabs>
              <w:spacing w:line="360" w:lineRule="auto"/>
              <w:jc w:val="center"/>
              <w:rPr>
                <w:rFonts w:ascii="Times New Roman" w:hAnsi="Times New Roman"/>
                <w:color w:val="000000" w:themeColor="text1"/>
                <w:sz w:val="28"/>
                <w:szCs w:val="28"/>
                <w:lang w:val="uk-UA"/>
              </w:rPr>
            </w:pPr>
            <w:r w:rsidRPr="000003CE">
              <w:rPr>
                <w:rFonts w:ascii="Times New Roman" w:hAnsi="Times New Roman"/>
                <w:color w:val="000000" w:themeColor="text1"/>
                <w:sz w:val="28"/>
                <w:szCs w:val="28"/>
                <w:lang w:val="uk-UA"/>
              </w:rPr>
              <w:t>+59,86</w:t>
            </w:r>
          </w:p>
        </w:tc>
      </w:tr>
      <w:tr w:rsidR="00617157" w:rsidRPr="000003CE" w:rsidTr="006E2B6E">
        <w:trPr>
          <w:jc w:val="center"/>
        </w:trPr>
        <w:tc>
          <w:tcPr>
            <w:tcW w:w="4750" w:type="dxa"/>
          </w:tcPr>
          <w:p w:rsidR="00617157" w:rsidRPr="000003CE" w:rsidRDefault="00617157" w:rsidP="006E2B6E">
            <w:pPr>
              <w:widowControl w:val="0"/>
              <w:tabs>
                <w:tab w:val="left" w:pos="1111"/>
              </w:tabs>
              <w:spacing w:line="360" w:lineRule="auto"/>
              <w:rPr>
                <w:rFonts w:ascii="Times New Roman" w:hAnsi="Times New Roman"/>
                <w:color w:val="000000" w:themeColor="text1"/>
                <w:sz w:val="28"/>
                <w:szCs w:val="28"/>
                <w:lang w:val="uk-UA"/>
              </w:rPr>
            </w:pPr>
            <w:r w:rsidRPr="000003CE">
              <w:rPr>
                <w:rFonts w:ascii="Times New Roman" w:hAnsi="Times New Roman"/>
                <w:color w:val="000000" w:themeColor="text1"/>
                <w:sz w:val="28"/>
                <w:szCs w:val="28"/>
                <w:lang w:val="uk-UA"/>
              </w:rPr>
              <w:t>Транспортні травми</w:t>
            </w:r>
          </w:p>
        </w:tc>
        <w:tc>
          <w:tcPr>
            <w:tcW w:w="3543" w:type="dxa"/>
          </w:tcPr>
          <w:p w:rsidR="00617157" w:rsidRPr="000003CE" w:rsidRDefault="00617157" w:rsidP="006E2B6E">
            <w:pPr>
              <w:widowControl w:val="0"/>
              <w:tabs>
                <w:tab w:val="left" w:pos="1111"/>
              </w:tabs>
              <w:spacing w:line="360" w:lineRule="auto"/>
              <w:jc w:val="center"/>
              <w:rPr>
                <w:rFonts w:ascii="Times New Roman" w:hAnsi="Times New Roman"/>
                <w:color w:val="000000" w:themeColor="text1"/>
                <w:sz w:val="28"/>
                <w:szCs w:val="28"/>
                <w:lang w:val="uk-UA"/>
              </w:rPr>
            </w:pPr>
            <w:r w:rsidRPr="000003CE">
              <w:rPr>
                <w:rFonts w:ascii="Times New Roman" w:hAnsi="Times New Roman"/>
                <w:color w:val="000000" w:themeColor="text1"/>
                <w:sz w:val="28"/>
                <w:szCs w:val="28"/>
                <w:lang w:val="uk-UA"/>
              </w:rPr>
              <w:t>0,97% (95% ДІ 0,73-1,23)</w:t>
            </w:r>
          </w:p>
        </w:tc>
        <w:tc>
          <w:tcPr>
            <w:tcW w:w="1487" w:type="dxa"/>
          </w:tcPr>
          <w:p w:rsidR="00617157" w:rsidRPr="000003CE" w:rsidRDefault="00617157" w:rsidP="006E2B6E">
            <w:pPr>
              <w:widowControl w:val="0"/>
              <w:tabs>
                <w:tab w:val="left" w:pos="1111"/>
              </w:tabs>
              <w:spacing w:line="360" w:lineRule="auto"/>
              <w:jc w:val="center"/>
              <w:rPr>
                <w:rFonts w:ascii="Times New Roman" w:hAnsi="Times New Roman"/>
                <w:color w:val="000000" w:themeColor="text1"/>
                <w:sz w:val="28"/>
                <w:szCs w:val="28"/>
                <w:lang w:val="uk-UA"/>
              </w:rPr>
            </w:pPr>
            <w:r w:rsidRPr="000003CE">
              <w:rPr>
                <w:rFonts w:ascii="Times New Roman" w:hAnsi="Times New Roman"/>
                <w:color w:val="000000" w:themeColor="text1"/>
                <w:sz w:val="28"/>
                <w:szCs w:val="28"/>
                <w:lang w:val="uk-UA"/>
              </w:rPr>
              <w:t>-1,38</w:t>
            </w:r>
          </w:p>
        </w:tc>
      </w:tr>
      <w:tr w:rsidR="00617157" w:rsidRPr="000003CE" w:rsidTr="006E2B6E">
        <w:trPr>
          <w:jc w:val="center"/>
        </w:trPr>
        <w:tc>
          <w:tcPr>
            <w:tcW w:w="4750" w:type="dxa"/>
          </w:tcPr>
          <w:p w:rsidR="00617157" w:rsidRPr="000003CE" w:rsidRDefault="00617157" w:rsidP="006E2B6E">
            <w:pPr>
              <w:widowControl w:val="0"/>
              <w:tabs>
                <w:tab w:val="left" w:pos="1111"/>
              </w:tabs>
              <w:spacing w:line="360" w:lineRule="auto"/>
              <w:rPr>
                <w:rFonts w:ascii="Times New Roman" w:hAnsi="Times New Roman"/>
                <w:color w:val="000000" w:themeColor="text1"/>
                <w:sz w:val="28"/>
                <w:szCs w:val="28"/>
                <w:lang w:val="uk-UA"/>
              </w:rPr>
            </w:pPr>
            <w:r w:rsidRPr="000003CE">
              <w:rPr>
                <w:rFonts w:ascii="Times New Roman" w:hAnsi="Times New Roman"/>
                <w:color w:val="000000" w:themeColor="text1"/>
                <w:sz w:val="28"/>
                <w:szCs w:val="28"/>
                <w:lang w:val="uk-UA"/>
              </w:rPr>
              <w:t>Хронічні хвороби органів дихання</w:t>
            </w:r>
          </w:p>
        </w:tc>
        <w:tc>
          <w:tcPr>
            <w:tcW w:w="3543" w:type="dxa"/>
          </w:tcPr>
          <w:p w:rsidR="00617157" w:rsidRPr="000003CE" w:rsidRDefault="00617157" w:rsidP="006E2B6E">
            <w:pPr>
              <w:widowControl w:val="0"/>
              <w:tabs>
                <w:tab w:val="left" w:pos="1111"/>
              </w:tabs>
              <w:spacing w:line="360" w:lineRule="auto"/>
              <w:jc w:val="center"/>
              <w:rPr>
                <w:rFonts w:ascii="Times New Roman" w:hAnsi="Times New Roman"/>
                <w:color w:val="000000" w:themeColor="text1"/>
                <w:sz w:val="28"/>
                <w:szCs w:val="28"/>
                <w:lang w:val="uk-UA"/>
              </w:rPr>
            </w:pPr>
            <w:r w:rsidRPr="000003CE">
              <w:rPr>
                <w:rFonts w:ascii="Times New Roman" w:hAnsi="Times New Roman"/>
                <w:color w:val="000000" w:themeColor="text1"/>
                <w:sz w:val="28"/>
                <w:szCs w:val="28"/>
                <w:lang w:val="uk-UA"/>
              </w:rPr>
              <w:t>0,66% (95% ДІ 0,38-1,05)</w:t>
            </w:r>
          </w:p>
        </w:tc>
        <w:tc>
          <w:tcPr>
            <w:tcW w:w="1487" w:type="dxa"/>
          </w:tcPr>
          <w:p w:rsidR="00617157" w:rsidRPr="000003CE" w:rsidRDefault="00617157" w:rsidP="006E2B6E">
            <w:pPr>
              <w:widowControl w:val="0"/>
              <w:tabs>
                <w:tab w:val="left" w:pos="1111"/>
              </w:tabs>
              <w:spacing w:line="360" w:lineRule="auto"/>
              <w:jc w:val="center"/>
              <w:rPr>
                <w:rFonts w:ascii="Times New Roman" w:hAnsi="Times New Roman"/>
                <w:color w:val="000000" w:themeColor="text1"/>
                <w:sz w:val="28"/>
                <w:szCs w:val="28"/>
                <w:lang w:val="uk-UA"/>
              </w:rPr>
            </w:pPr>
            <w:r w:rsidRPr="000003CE">
              <w:rPr>
                <w:rFonts w:ascii="Times New Roman" w:hAnsi="Times New Roman"/>
                <w:color w:val="000000" w:themeColor="text1"/>
                <w:sz w:val="28"/>
                <w:szCs w:val="28"/>
                <w:lang w:val="uk-UA"/>
              </w:rPr>
              <w:t>+6,71</w:t>
            </w:r>
          </w:p>
        </w:tc>
      </w:tr>
      <w:tr w:rsidR="00617157" w:rsidRPr="000003CE" w:rsidTr="006E2B6E">
        <w:trPr>
          <w:jc w:val="center"/>
        </w:trPr>
        <w:tc>
          <w:tcPr>
            <w:tcW w:w="4750" w:type="dxa"/>
          </w:tcPr>
          <w:p w:rsidR="00617157" w:rsidRPr="000003CE" w:rsidRDefault="00617157" w:rsidP="006E2B6E">
            <w:pPr>
              <w:widowControl w:val="0"/>
              <w:tabs>
                <w:tab w:val="left" w:pos="1111"/>
              </w:tabs>
              <w:spacing w:line="360" w:lineRule="auto"/>
              <w:rPr>
                <w:rFonts w:ascii="Times New Roman" w:hAnsi="Times New Roman"/>
                <w:color w:val="000000" w:themeColor="text1"/>
                <w:sz w:val="28"/>
                <w:szCs w:val="28"/>
                <w:lang w:val="uk-UA"/>
              </w:rPr>
            </w:pPr>
            <w:r w:rsidRPr="000003CE">
              <w:rPr>
                <w:rFonts w:ascii="Times New Roman" w:hAnsi="Times New Roman"/>
                <w:color w:val="000000" w:themeColor="text1"/>
                <w:sz w:val="28"/>
                <w:szCs w:val="28"/>
                <w:lang w:val="uk-UA"/>
              </w:rPr>
              <w:t>Психічні розлади та токсикоманія</w:t>
            </w:r>
          </w:p>
        </w:tc>
        <w:tc>
          <w:tcPr>
            <w:tcW w:w="3543" w:type="dxa"/>
          </w:tcPr>
          <w:p w:rsidR="00617157" w:rsidRPr="000003CE" w:rsidRDefault="00617157" w:rsidP="006E2B6E">
            <w:pPr>
              <w:widowControl w:val="0"/>
              <w:tabs>
                <w:tab w:val="left" w:pos="1111"/>
              </w:tabs>
              <w:spacing w:line="360" w:lineRule="auto"/>
              <w:jc w:val="center"/>
              <w:rPr>
                <w:rFonts w:ascii="Times New Roman" w:hAnsi="Times New Roman"/>
                <w:color w:val="000000" w:themeColor="text1"/>
                <w:sz w:val="28"/>
                <w:szCs w:val="28"/>
                <w:lang w:val="uk-UA"/>
              </w:rPr>
            </w:pPr>
            <w:r w:rsidRPr="000003CE">
              <w:rPr>
                <w:rFonts w:ascii="Times New Roman" w:hAnsi="Times New Roman"/>
                <w:color w:val="000000" w:themeColor="text1"/>
                <w:sz w:val="28"/>
                <w:szCs w:val="28"/>
                <w:lang w:val="uk-UA"/>
              </w:rPr>
              <w:t>0,61% (95% ДІ 0,41-0,85)</w:t>
            </w:r>
          </w:p>
        </w:tc>
        <w:tc>
          <w:tcPr>
            <w:tcW w:w="1487" w:type="dxa"/>
          </w:tcPr>
          <w:p w:rsidR="00617157" w:rsidRPr="000003CE" w:rsidRDefault="00617157" w:rsidP="006E2B6E">
            <w:pPr>
              <w:widowControl w:val="0"/>
              <w:tabs>
                <w:tab w:val="left" w:pos="1111"/>
              </w:tabs>
              <w:spacing w:line="360" w:lineRule="auto"/>
              <w:jc w:val="center"/>
              <w:rPr>
                <w:rFonts w:ascii="Times New Roman" w:hAnsi="Times New Roman"/>
                <w:color w:val="000000" w:themeColor="text1"/>
                <w:sz w:val="28"/>
                <w:szCs w:val="28"/>
                <w:lang w:val="uk-UA"/>
              </w:rPr>
            </w:pPr>
            <w:r w:rsidRPr="000003CE">
              <w:rPr>
                <w:rFonts w:ascii="Times New Roman" w:hAnsi="Times New Roman"/>
                <w:color w:val="000000" w:themeColor="text1"/>
                <w:sz w:val="28"/>
                <w:szCs w:val="28"/>
                <w:lang w:val="uk-UA"/>
              </w:rPr>
              <w:t>+4,38</w:t>
            </w:r>
          </w:p>
        </w:tc>
      </w:tr>
      <w:tr w:rsidR="00617157" w:rsidRPr="000003CE" w:rsidTr="006E2B6E">
        <w:trPr>
          <w:jc w:val="center"/>
        </w:trPr>
        <w:tc>
          <w:tcPr>
            <w:tcW w:w="4750" w:type="dxa"/>
          </w:tcPr>
          <w:p w:rsidR="00617157" w:rsidRPr="000003CE" w:rsidRDefault="00617157" w:rsidP="006E2B6E">
            <w:pPr>
              <w:widowControl w:val="0"/>
              <w:tabs>
                <w:tab w:val="left" w:pos="1111"/>
              </w:tabs>
              <w:spacing w:line="360" w:lineRule="auto"/>
              <w:rPr>
                <w:rFonts w:ascii="Times New Roman" w:hAnsi="Times New Roman"/>
                <w:color w:val="000000" w:themeColor="text1"/>
                <w:sz w:val="28"/>
                <w:szCs w:val="28"/>
                <w:lang w:val="uk-UA"/>
              </w:rPr>
            </w:pPr>
            <w:r w:rsidRPr="000003CE">
              <w:rPr>
                <w:rFonts w:ascii="Times New Roman" w:hAnsi="Times New Roman"/>
                <w:color w:val="000000" w:themeColor="text1"/>
                <w:sz w:val="28"/>
                <w:szCs w:val="28"/>
                <w:lang w:val="uk-UA"/>
              </w:rPr>
              <w:t>Хвороби органів чуття</w:t>
            </w:r>
          </w:p>
        </w:tc>
        <w:tc>
          <w:tcPr>
            <w:tcW w:w="3543" w:type="dxa"/>
          </w:tcPr>
          <w:p w:rsidR="00617157" w:rsidRPr="000003CE" w:rsidRDefault="00617157" w:rsidP="006E2B6E">
            <w:pPr>
              <w:widowControl w:val="0"/>
              <w:tabs>
                <w:tab w:val="left" w:pos="1111"/>
              </w:tabs>
              <w:spacing w:line="360" w:lineRule="auto"/>
              <w:jc w:val="center"/>
              <w:rPr>
                <w:rFonts w:ascii="Times New Roman" w:hAnsi="Times New Roman"/>
                <w:color w:val="000000" w:themeColor="text1"/>
                <w:sz w:val="28"/>
                <w:szCs w:val="28"/>
                <w:lang w:val="uk-UA"/>
              </w:rPr>
            </w:pPr>
            <w:r w:rsidRPr="000003CE">
              <w:rPr>
                <w:rFonts w:ascii="Times New Roman" w:hAnsi="Times New Roman"/>
                <w:color w:val="000000" w:themeColor="text1"/>
                <w:sz w:val="28"/>
                <w:szCs w:val="28"/>
                <w:lang w:val="uk-UA"/>
              </w:rPr>
              <w:t>0,53% (95% ДІ 0,35-0,75)</w:t>
            </w:r>
          </w:p>
        </w:tc>
        <w:tc>
          <w:tcPr>
            <w:tcW w:w="1487" w:type="dxa"/>
          </w:tcPr>
          <w:p w:rsidR="00617157" w:rsidRPr="000003CE" w:rsidRDefault="00617157" w:rsidP="006E2B6E">
            <w:pPr>
              <w:widowControl w:val="0"/>
              <w:tabs>
                <w:tab w:val="left" w:pos="1111"/>
              </w:tabs>
              <w:spacing w:line="360" w:lineRule="auto"/>
              <w:jc w:val="center"/>
              <w:rPr>
                <w:rFonts w:ascii="Times New Roman" w:hAnsi="Times New Roman"/>
                <w:color w:val="000000" w:themeColor="text1"/>
                <w:sz w:val="28"/>
                <w:szCs w:val="28"/>
                <w:lang w:val="uk-UA"/>
              </w:rPr>
            </w:pPr>
            <w:r w:rsidRPr="000003CE">
              <w:rPr>
                <w:rFonts w:ascii="Times New Roman" w:hAnsi="Times New Roman"/>
                <w:color w:val="000000" w:themeColor="text1"/>
                <w:sz w:val="28"/>
                <w:szCs w:val="28"/>
                <w:lang w:val="uk-UA"/>
              </w:rPr>
              <w:t>+5,41</w:t>
            </w:r>
          </w:p>
        </w:tc>
      </w:tr>
      <w:tr w:rsidR="00617157" w:rsidRPr="000003CE" w:rsidTr="006E2B6E">
        <w:trPr>
          <w:jc w:val="center"/>
        </w:trPr>
        <w:tc>
          <w:tcPr>
            <w:tcW w:w="4750" w:type="dxa"/>
          </w:tcPr>
          <w:p w:rsidR="00617157" w:rsidRPr="000003CE" w:rsidRDefault="00617157" w:rsidP="006E2B6E">
            <w:pPr>
              <w:widowControl w:val="0"/>
              <w:tabs>
                <w:tab w:val="left" w:pos="1111"/>
              </w:tabs>
              <w:spacing w:line="360" w:lineRule="auto"/>
              <w:rPr>
                <w:rFonts w:ascii="Times New Roman" w:hAnsi="Times New Roman"/>
                <w:color w:val="000000" w:themeColor="text1"/>
                <w:sz w:val="28"/>
                <w:szCs w:val="28"/>
                <w:lang w:val="uk-UA"/>
              </w:rPr>
            </w:pPr>
            <w:r w:rsidRPr="000003CE">
              <w:rPr>
                <w:rFonts w:ascii="Times New Roman" w:hAnsi="Times New Roman"/>
                <w:color w:val="000000" w:themeColor="text1"/>
                <w:sz w:val="28"/>
                <w:szCs w:val="28"/>
                <w:lang w:val="uk-UA"/>
              </w:rPr>
              <w:t>ВІЛ/СНІД та інфекції, що передаються статевим шляхом</w:t>
            </w:r>
          </w:p>
        </w:tc>
        <w:tc>
          <w:tcPr>
            <w:tcW w:w="3543" w:type="dxa"/>
          </w:tcPr>
          <w:p w:rsidR="00617157" w:rsidRPr="000003CE" w:rsidRDefault="00617157" w:rsidP="006E2B6E">
            <w:pPr>
              <w:widowControl w:val="0"/>
              <w:tabs>
                <w:tab w:val="left" w:pos="1111"/>
              </w:tabs>
              <w:spacing w:line="360" w:lineRule="auto"/>
              <w:jc w:val="center"/>
              <w:rPr>
                <w:rFonts w:ascii="Times New Roman" w:hAnsi="Times New Roman"/>
                <w:color w:val="000000" w:themeColor="text1"/>
                <w:sz w:val="28"/>
                <w:szCs w:val="28"/>
                <w:lang w:val="uk-UA"/>
              </w:rPr>
            </w:pPr>
            <w:r w:rsidRPr="000003CE">
              <w:rPr>
                <w:rFonts w:ascii="Times New Roman" w:hAnsi="Times New Roman"/>
                <w:color w:val="000000" w:themeColor="text1"/>
                <w:sz w:val="28"/>
                <w:szCs w:val="28"/>
                <w:lang w:val="uk-UA"/>
              </w:rPr>
              <w:t>0,52% (95% ДІ 0,43-0,66)</w:t>
            </w:r>
          </w:p>
        </w:tc>
        <w:tc>
          <w:tcPr>
            <w:tcW w:w="1487" w:type="dxa"/>
          </w:tcPr>
          <w:p w:rsidR="00617157" w:rsidRPr="000003CE" w:rsidRDefault="00617157" w:rsidP="006E2B6E">
            <w:pPr>
              <w:widowControl w:val="0"/>
              <w:tabs>
                <w:tab w:val="left" w:pos="1111"/>
              </w:tabs>
              <w:spacing w:line="360" w:lineRule="auto"/>
              <w:jc w:val="center"/>
              <w:rPr>
                <w:rFonts w:ascii="Times New Roman" w:hAnsi="Times New Roman"/>
                <w:color w:val="000000" w:themeColor="text1"/>
                <w:sz w:val="28"/>
                <w:szCs w:val="28"/>
                <w:lang w:val="uk-UA"/>
              </w:rPr>
            </w:pPr>
            <w:r w:rsidRPr="000003CE">
              <w:rPr>
                <w:rFonts w:ascii="Times New Roman" w:hAnsi="Times New Roman"/>
                <w:color w:val="000000" w:themeColor="text1"/>
                <w:sz w:val="28"/>
                <w:szCs w:val="28"/>
                <w:lang w:val="uk-UA"/>
              </w:rPr>
              <w:t>+9,14</w:t>
            </w:r>
          </w:p>
        </w:tc>
      </w:tr>
      <w:tr w:rsidR="00617157" w:rsidRPr="000003CE" w:rsidTr="006E2B6E">
        <w:trPr>
          <w:jc w:val="center"/>
        </w:trPr>
        <w:tc>
          <w:tcPr>
            <w:tcW w:w="4750" w:type="dxa"/>
          </w:tcPr>
          <w:p w:rsidR="00617157" w:rsidRPr="000003CE" w:rsidRDefault="00617157" w:rsidP="006E2B6E">
            <w:pPr>
              <w:widowControl w:val="0"/>
              <w:tabs>
                <w:tab w:val="left" w:pos="1111"/>
              </w:tabs>
              <w:spacing w:line="360" w:lineRule="auto"/>
              <w:rPr>
                <w:rFonts w:ascii="Times New Roman" w:hAnsi="Times New Roman"/>
                <w:color w:val="000000" w:themeColor="text1"/>
                <w:sz w:val="28"/>
                <w:szCs w:val="28"/>
                <w:lang w:val="uk-UA"/>
              </w:rPr>
            </w:pPr>
            <w:r w:rsidRPr="000003CE">
              <w:rPr>
                <w:rFonts w:ascii="Times New Roman" w:hAnsi="Times New Roman"/>
                <w:color w:val="000000" w:themeColor="text1"/>
                <w:sz w:val="28"/>
                <w:szCs w:val="28"/>
                <w:lang w:val="uk-UA"/>
              </w:rPr>
              <w:t xml:space="preserve">Хвороби системи кровообігу. </w:t>
            </w:r>
          </w:p>
        </w:tc>
        <w:tc>
          <w:tcPr>
            <w:tcW w:w="3543" w:type="dxa"/>
          </w:tcPr>
          <w:p w:rsidR="00617157" w:rsidRPr="000003CE" w:rsidRDefault="00617157" w:rsidP="006E2B6E">
            <w:pPr>
              <w:widowControl w:val="0"/>
              <w:tabs>
                <w:tab w:val="left" w:pos="1111"/>
              </w:tabs>
              <w:spacing w:line="360" w:lineRule="auto"/>
              <w:jc w:val="center"/>
              <w:rPr>
                <w:rFonts w:ascii="Times New Roman" w:hAnsi="Times New Roman"/>
                <w:color w:val="000000" w:themeColor="text1"/>
                <w:sz w:val="28"/>
                <w:szCs w:val="28"/>
                <w:lang w:val="uk-UA"/>
              </w:rPr>
            </w:pPr>
            <w:r w:rsidRPr="000003CE">
              <w:rPr>
                <w:rFonts w:ascii="Times New Roman" w:hAnsi="Times New Roman"/>
                <w:color w:val="000000" w:themeColor="text1"/>
                <w:sz w:val="28"/>
                <w:szCs w:val="28"/>
                <w:lang w:val="uk-UA"/>
              </w:rPr>
              <w:t>0,48% (95% ДІ 0,39-0,55)</w:t>
            </w:r>
          </w:p>
        </w:tc>
        <w:tc>
          <w:tcPr>
            <w:tcW w:w="1487" w:type="dxa"/>
          </w:tcPr>
          <w:p w:rsidR="00617157" w:rsidRPr="000003CE" w:rsidRDefault="00617157" w:rsidP="006E2B6E">
            <w:pPr>
              <w:widowControl w:val="0"/>
              <w:tabs>
                <w:tab w:val="left" w:pos="1111"/>
              </w:tabs>
              <w:spacing w:line="360" w:lineRule="auto"/>
              <w:jc w:val="center"/>
              <w:rPr>
                <w:rFonts w:ascii="Times New Roman" w:hAnsi="Times New Roman"/>
                <w:color w:val="000000" w:themeColor="text1"/>
                <w:sz w:val="28"/>
                <w:szCs w:val="28"/>
                <w:lang w:val="uk-UA"/>
              </w:rPr>
            </w:pPr>
            <w:r w:rsidRPr="000003CE">
              <w:rPr>
                <w:rFonts w:ascii="Times New Roman" w:hAnsi="Times New Roman"/>
                <w:color w:val="000000" w:themeColor="text1"/>
                <w:sz w:val="28"/>
                <w:szCs w:val="28"/>
                <w:lang w:val="uk-UA"/>
              </w:rPr>
              <w:t>-1,97</w:t>
            </w:r>
          </w:p>
        </w:tc>
      </w:tr>
      <w:tr w:rsidR="00617157" w:rsidRPr="000003CE" w:rsidTr="006E2B6E">
        <w:trPr>
          <w:jc w:val="center"/>
        </w:trPr>
        <w:tc>
          <w:tcPr>
            <w:tcW w:w="4750" w:type="dxa"/>
          </w:tcPr>
          <w:p w:rsidR="00617157" w:rsidRPr="000003CE" w:rsidRDefault="00617157" w:rsidP="006E2B6E">
            <w:pPr>
              <w:widowControl w:val="0"/>
              <w:tabs>
                <w:tab w:val="left" w:pos="1111"/>
              </w:tabs>
              <w:spacing w:line="360" w:lineRule="auto"/>
              <w:rPr>
                <w:rFonts w:ascii="Times New Roman" w:hAnsi="Times New Roman"/>
                <w:color w:val="000000" w:themeColor="text1"/>
                <w:sz w:val="28"/>
                <w:szCs w:val="28"/>
                <w:lang w:val="uk-UA"/>
              </w:rPr>
            </w:pPr>
            <w:r w:rsidRPr="000003CE">
              <w:rPr>
                <w:rFonts w:ascii="Times New Roman" w:hAnsi="Times New Roman"/>
                <w:color w:val="000000" w:themeColor="text1"/>
                <w:sz w:val="28"/>
                <w:szCs w:val="28"/>
                <w:lang w:val="uk-UA"/>
              </w:rPr>
              <w:t>Діабет та хвороби нирок</w:t>
            </w:r>
          </w:p>
        </w:tc>
        <w:tc>
          <w:tcPr>
            <w:tcW w:w="3543" w:type="dxa"/>
          </w:tcPr>
          <w:p w:rsidR="00617157" w:rsidRPr="000003CE" w:rsidRDefault="00617157" w:rsidP="006E2B6E">
            <w:pPr>
              <w:widowControl w:val="0"/>
              <w:tabs>
                <w:tab w:val="left" w:pos="1111"/>
              </w:tabs>
              <w:spacing w:line="360" w:lineRule="auto"/>
              <w:jc w:val="center"/>
              <w:rPr>
                <w:rFonts w:ascii="Times New Roman" w:hAnsi="Times New Roman"/>
                <w:color w:val="000000" w:themeColor="text1"/>
                <w:sz w:val="28"/>
                <w:szCs w:val="28"/>
                <w:lang w:val="uk-UA"/>
              </w:rPr>
            </w:pPr>
            <w:r w:rsidRPr="000003CE">
              <w:rPr>
                <w:rFonts w:ascii="Times New Roman" w:hAnsi="Times New Roman"/>
                <w:color w:val="000000" w:themeColor="text1"/>
                <w:sz w:val="28"/>
                <w:szCs w:val="28"/>
                <w:lang w:val="uk-UA"/>
              </w:rPr>
              <w:t>0,14% (95% ДІ 0,11-0,16)</w:t>
            </w:r>
          </w:p>
        </w:tc>
        <w:tc>
          <w:tcPr>
            <w:tcW w:w="1487" w:type="dxa"/>
          </w:tcPr>
          <w:p w:rsidR="00617157" w:rsidRPr="000003CE" w:rsidRDefault="00617157" w:rsidP="006E2B6E">
            <w:pPr>
              <w:widowControl w:val="0"/>
              <w:tabs>
                <w:tab w:val="left" w:pos="1111"/>
              </w:tabs>
              <w:spacing w:line="360" w:lineRule="auto"/>
              <w:jc w:val="center"/>
              <w:rPr>
                <w:rFonts w:ascii="Times New Roman" w:hAnsi="Times New Roman"/>
                <w:color w:val="000000" w:themeColor="text1"/>
                <w:sz w:val="28"/>
                <w:szCs w:val="28"/>
                <w:lang w:val="uk-UA"/>
              </w:rPr>
            </w:pPr>
            <w:r w:rsidRPr="000003CE">
              <w:rPr>
                <w:rFonts w:ascii="Times New Roman" w:hAnsi="Times New Roman"/>
                <w:color w:val="000000" w:themeColor="text1"/>
                <w:sz w:val="28"/>
                <w:szCs w:val="28"/>
                <w:lang w:val="uk-UA"/>
              </w:rPr>
              <w:t>+13,33</w:t>
            </w:r>
          </w:p>
        </w:tc>
      </w:tr>
    </w:tbl>
    <w:p w:rsidR="00617157" w:rsidRPr="00617157" w:rsidRDefault="00617157" w:rsidP="00721203">
      <w:pPr>
        <w:widowControl w:val="0"/>
        <w:tabs>
          <w:tab w:val="left" w:pos="642"/>
        </w:tabs>
        <w:rPr>
          <w:color w:val="000000" w:themeColor="text1"/>
          <w:szCs w:val="28"/>
        </w:rPr>
      </w:pPr>
    </w:p>
    <w:p w:rsidR="00D96FD9" w:rsidRDefault="00D96FD9" w:rsidP="00721203">
      <w:pPr>
        <w:widowControl w:val="0"/>
        <w:tabs>
          <w:tab w:val="left" w:pos="642"/>
        </w:tabs>
        <w:ind w:firstLine="709"/>
        <w:rPr>
          <w:szCs w:val="28"/>
          <w:lang w:val="ru-RU"/>
        </w:rPr>
      </w:pPr>
      <w:r w:rsidRPr="00006A39">
        <w:rPr>
          <w:szCs w:val="28"/>
        </w:rPr>
        <w:t xml:space="preserve">При проведенні </w:t>
      </w:r>
      <w:r w:rsidRPr="0039412A">
        <w:rPr>
          <w:szCs w:val="28"/>
        </w:rPr>
        <w:t>порівняльного</w:t>
      </w:r>
      <w:r w:rsidRPr="00006A39">
        <w:rPr>
          <w:szCs w:val="28"/>
        </w:rPr>
        <w:t xml:space="preserve"> аналізу показника DALYs України з іншими країнами у випадку дитячої смертності за всіма причинами смерті у віці до 5 років </w:t>
      </w:r>
      <w:r w:rsidRPr="00006A39">
        <w:rPr>
          <w:szCs w:val="28"/>
        </w:rPr>
        <w:lastRenderedPageBreak/>
        <w:t>життя, встановлено, що Україна відноситься до кра</w:t>
      </w:r>
      <w:r w:rsidR="00745AA3">
        <w:rPr>
          <w:szCs w:val="28"/>
        </w:rPr>
        <w:t>їн з одним із найбільших тягар</w:t>
      </w:r>
      <w:r w:rsidR="00745AA3">
        <w:rPr>
          <w:szCs w:val="28"/>
          <w:lang w:val="ru-RU"/>
        </w:rPr>
        <w:t>ів</w:t>
      </w:r>
      <w:r w:rsidRPr="00006A39">
        <w:rPr>
          <w:szCs w:val="28"/>
        </w:rPr>
        <w:t xml:space="preserve"> хв</w:t>
      </w:r>
      <w:r w:rsidR="00FF2FFE">
        <w:rPr>
          <w:szCs w:val="28"/>
        </w:rPr>
        <w:t>ороб, який</w:t>
      </w:r>
      <w:r w:rsidRPr="00006A39">
        <w:rPr>
          <w:szCs w:val="28"/>
        </w:rPr>
        <w:t xml:space="preserve"> значно перевищує аналогічний показник Польщі</w:t>
      </w:r>
      <w:r w:rsidR="005E4A20">
        <w:rPr>
          <w:szCs w:val="28"/>
        </w:rPr>
        <w:t xml:space="preserve"> (в 1,84 рази)</w:t>
      </w:r>
      <w:r w:rsidRPr="00006A39">
        <w:rPr>
          <w:szCs w:val="28"/>
        </w:rPr>
        <w:t>, Словаччини</w:t>
      </w:r>
      <w:r w:rsidR="00A76179">
        <w:rPr>
          <w:szCs w:val="28"/>
        </w:rPr>
        <w:t xml:space="preserve"> (в 1,42 рази)</w:t>
      </w:r>
      <w:r w:rsidRPr="00006A39">
        <w:rPr>
          <w:szCs w:val="28"/>
        </w:rPr>
        <w:t>, Угорщини</w:t>
      </w:r>
      <w:r w:rsidR="00FB7A7B">
        <w:rPr>
          <w:szCs w:val="28"/>
        </w:rPr>
        <w:t xml:space="preserve"> (в 1,77 рази)</w:t>
      </w:r>
      <w:r w:rsidRPr="00006A39">
        <w:rPr>
          <w:szCs w:val="28"/>
        </w:rPr>
        <w:t>, Німеччини</w:t>
      </w:r>
      <w:r w:rsidR="008C5955">
        <w:rPr>
          <w:szCs w:val="28"/>
        </w:rPr>
        <w:t xml:space="preserve"> (в 2,14 рази)</w:t>
      </w:r>
      <w:r w:rsidRPr="00006A39">
        <w:rPr>
          <w:szCs w:val="28"/>
        </w:rPr>
        <w:t>, Франції</w:t>
      </w:r>
      <w:r w:rsidR="00920754">
        <w:rPr>
          <w:szCs w:val="28"/>
        </w:rPr>
        <w:t xml:space="preserve"> (в 1,96 рази)</w:t>
      </w:r>
      <w:r w:rsidRPr="00006A39">
        <w:rPr>
          <w:szCs w:val="28"/>
        </w:rPr>
        <w:t>, Іспанії</w:t>
      </w:r>
      <w:r w:rsidR="00D441AB">
        <w:rPr>
          <w:szCs w:val="28"/>
        </w:rPr>
        <w:t xml:space="preserve"> (в 2,3 рази)</w:t>
      </w:r>
      <w:r w:rsidRPr="00006A39">
        <w:rPr>
          <w:szCs w:val="28"/>
        </w:rPr>
        <w:t xml:space="preserve"> та США</w:t>
      </w:r>
      <w:r w:rsidR="00FF2FFE">
        <w:rPr>
          <w:szCs w:val="28"/>
        </w:rPr>
        <w:t xml:space="preserve"> (на 21,9</w:t>
      </w:r>
      <w:r w:rsidR="00FF2FFE" w:rsidRPr="0053257F">
        <w:rPr>
          <w:szCs w:val="28"/>
        </w:rPr>
        <w:t>%)</w:t>
      </w:r>
      <w:r w:rsidRPr="0053257F">
        <w:rPr>
          <w:szCs w:val="28"/>
        </w:rPr>
        <w:t xml:space="preserve"> (</w:t>
      </w:r>
      <w:r w:rsidR="00871237" w:rsidRPr="0053257F">
        <w:rPr>
          <w:szCs w:val="28"/>
        </w:rPr>
        <w:t>табл</w:t>
      </w:r>
      <w:r w:rsidRPr="0053257F">
        <w:rPr>
          <w:szCs w:val="28"/>
        </w:rPr>
        <w:t>. 3.1</w:t>
      </w:r>
      <w:r w:rsidR="002C1B21" w:rsidRPr="0053257F">
        <w:rPr>
          <w:szCs w:val="28"/>
        </w:rPr>
        <w:t>3</w:t>
      </w:r>
      <w:r w:rsidR="001A5762" w:rsidRPr="0053257F">
        <w:rPr>
          <w:szCs w:val="28"/>
        </w:rPr>
        <w:t>, Додаток Б</w:t>
      </w:r>
      <w:r w:rsidR="003067F5" w:rsidRPr="0053257F">
        <w:rPr>
          <w:szCs w:val="28"/>
        </w:rPr>
        <w:t>-18</w:t>
      </w:r>
      <w:r w:rsidRPr="0053257F">
        <w:rPr>
          <w:szCs w:val="28"/>
        </w:rPr>
        <w:t xml:space="preserve">). </w:t>
      </w:r>
    </w:p>
    <w:p w:rsidR="000B69AB" w:rsidRPr="0053257F" w:rsidRDefault="0053257F" w:rsidP="000B69AB">
      <w:pPr>
        <w:widowControl w:val="0"/>
        <w:tabs>
          <w:tab w:val="left" w:pos="642"/>
        </w:tabs>
        <w:ind w:firstLine="709"/>
        <w:jc w:val="right"/>
        <w:rPr>
          <w:i/>
          <w:szCs w:val="28"/>
          <w:lang w:val="ru-RU"/>
        </w:rPr>
      </w:pPr>
      <w:r w:rsidRPr="0053257F">
        <w:rPr>
          <w:i/>
          <w:szCs w:val="28"/>
          <w:lang w:val="ru-RU"/>
        </w:rPr>
        <w:t>Таблиця 3.13</w:t>
      </w:r>
    </w:p>
    <w:p w:rsidR="00F2278D" w:rsidRPr="00F2278D" w:rsidRDefault="00F2278D" w:rsidP="00F2278D">
      <w:pPr>
        <w:widowControl w:val="0"/>
        <w:tabs>
          <w:tab w:val="left" w:pos="642"/>
        </w:tabs>
        <w:ind w:firstLine="709"/>
        <w:jc w:val="center"/>
        <w:rPr>
          <w:b/>
          <w:color w:val="FF0000"/>
          <w:szCs w:val="28"/>
          <w:lang w:val="ru-RU"/>
        </w:rPr>
      </w:pPr>
      <w:r w:rsidRPr="00F2278D">
        <w:rPr>
          <w:rFonts w:eastAsia="Calibri"/>
          <w:b/>
          <w:szCs w:val="28"/>
        </w:rPr>
        <w:t>Динаміка пока</w:t>
      </w:r>
      <w:r>
        <w:rPr>
          <w:rFonts w:eastAsia="Calibri"/>
          <w:b/>
          <w:szCs w:val="28"/>
        </w:rPr>
        <w:t>зника DALYs</w:t>
      </w:r>
      <w:r w:rsidR="003067F5" w:rsidRPr="003067F5">
        <w:rPr>
          <w:rFonts w:eastAsia="Calibri"/>
          <w:b/>
          <w:szCs w:val="28"/>
        </w:rPr>
        <w:t xml:space="preserve"> </w:t>
      </w:r>
      <w:r w:rsidR="003067F5">
        <w:rPr>
          <w:rFonts w:eastAsia="Calibri"/>
          <w:b/>
          <w:szCs w:val="28"/>
        </w:rPr>
        <w:t xml:space="preserve">дітей </w:t>
      </w:r>
      <w:r w:rsidR="003067F5" w:rsidRPr="003067F5">
        <w:rPr>
          <w:rFonts w:eastAsia="Calibri"/>
          <w:b/>
          <w:szCs w:val="28"/>
        </w:rPr>
        <w:t>до 5 років життя</w:t>
      </w:r>
      <w:r>
        <w:rPr>
          <w:rFonts w:eastAsia="Calibri"/>
          <w:b/>
          <w:szCs w:val="28"/>
        </w:rPr>
        <w:t xml:space="preserve"> </w:t>
      </w:r>
      <w:r w:rsidR="003067F5" w:rsidRPr="003067F5">
        <w:rPr>
          <w:rFonts w:eastAsia="Calibri"/>
          <w:b/>
          <w:szCs w:val="28"/>
        </w:rPr>
        <w:t xml:space="preserve">в деяких країнах світу та Україні за всіма причинами смерті  (2009-2019 рр.) </w:t>
      </w:r>
      <w:r>
        <w:rPr>
          <w:rFonts w:eastAsia="Calibri"/>
          <w:b/>
          <w:szCs w:val="28"/>
        </w:rPr>
        <w:t xml:space="preserve"> (на 100 тис. осіб)</w:t>
      </w:r>
      <w:r w:rsidRPr="00F2278D">
        <w:rPr>
          <w:rFonts w:eastAsia="Calibri"/>
          <w:b/>
          <w:szCs w:val="28"/>
        </w:rPr>
        <w:t>.</w:t>
      </w:r>
    </w:p>
    <w:tbl>
      <w:tblPr>
        <w:tblStyle w:val="591"/>
        <w:tblW w:w="0" w:type="auto"/>
        <w:jc w:val="center"/>
        <w:tblLook w:val="04A0" w:firstRow="1" w:lastRow="0" w:firstColumn="1" w:lastColumn="0" w:noHBand="0" w:noVBand="1"/>
      </w:tblPr>
      <w:tblGrid>
        <w:gridCol w:w="696"/>
        <w:gridCol w:w="1116"/>
        <w:gridCol w:w="1441"/>
        <w:gridCol w:w="1273"/>
        <w:gridCol w:w="1320"/>
        <w:gridCol w:w="1116"/>
        <w:gridCol w:w="1006"/>
        <w:gridCol w:w="1128"/>
        <w:gridCol w:w="1128"/>
      </w:tblGrid>
      <w:tr w:rsidR="0039412A" w:rsidRPr="00D776BD" w:rsidTr="00D776BD">
        <w:trPr>
          <w:jc w:val="center"/>
        </w:trPr>
        <w:tc>
          <w:tcPr>
            <w:tcW w:w="0" w:type="auto"/>
          </w:tcPr>
          <w:p w:rsidR="0039412A" w:rsidRPr="00D776BD" w:rsidRDefault="0039412A" w:rsidP="00F3626B">
            <w:pPr>
              <w:widowControl w:val="0"/>
              <w:spacing w:line="276" w:lineRule="auto"/>
              <w:jc w:val="center"/>
              <w:rPr>
                <w:rFonts w:ascii="Times New Roman" w:hAnsi="Times New Roman"/>
                <w:sz w:val="24"/>
                <w:szCs w:val="24"/>
                <w:lang w:val="uk-UA"/>
              </w:rPr>
            </w:pPr>
            <w:r w:rsidRPr="00D776BD">
              <w:rPr>
                <w:rFonts w:ascii="Times New Roman" w:hAnsi="Times New Roman"/>
                <w:sz w:val="24"/>
                <w:szCs w:val="24"/>
                <w:lang w:val="uk-UA"/>
              </w:rPr>
              <w:t>Рік</w:t>
            </w:r>
          </w:p>
        </w:tc>
        <w:tc>
          <w:tcPr>
            <w:tcW w:w="0" w:type="auto"/>
          </w:tcPr>
          <w:p w:rsidR="0039412A" w:rsidRPr="00D776BD" w:rsidRDefault="0039412A" w:rsidP="00F3626B">
            <w:pPr>
              <w:widowControl w:val="0"/>
              <w:spacing w:line="276" w:lineRule="auto"/>
              <w:jc w:val="center"/>
              <w:rPr>
                <w:rFonts w:ascii="Times New Roman" w:hAnsi="Times New Roman"/>
                <w:sz w:val="24"/>
                <w:szCs w:val="24"/>
                <w:lang w:val="uk-UA"/>
              </w:rPr>
            </w:pPr>
            <w:r w:rsidRPr="00D776BD">
              <w:rPr>
                <w:rFonts w:ascii="Times New Roman" w:hAnsi="Times New Roman"/>
                <w:sz w:val="24"/>
                <w:szCs w:val="24"/>
                <w:lang w:val="uk-UA"/>
              </w:rPr>
              <w:t>Польща</w:t>
            </w:r>
          </w:p>
        </w:tc>
        <w:tc>
          <w:tcPr>
            <w:tcW w:w="0" w:type="auto"/>
          </w:tcPr>
          <w:p w:rsidR="0039412A" w:rsidRPr="00D776BD" w:rsidRDefault="0039412A" w:rsidP="00F3626B">
            <w:pPr>
              <w:widowControl w:val="0"/>
              <w:spacing w:line="276" w:lineRule="auto"/>
              <w:rPr>
                <w:rFonts w:ascii="Times New Roman" w:hAnsi="Times New Roman"/>
                <w:sz w:val="24"/>
                <w:szCs w:val="24"/>
                <w:lang w:val="uk-UA"/>
              </w:rPr>
            </w:pPr>
            <w:r w:rsidRPr="00D776BD">
              <w:rPr>
                <w:rFonts w:ascii="Times New Roman" w:hAnsi="Times New Roman"/>
                <w:sz w:val="24"/>
                <w:szCs w:val="24"/>
                <w:lang w:val="uk-UA"/>
              </w:rPr>
              <w:t>Словаччина</w:t>
            </w:r>
          </w:p>
        </w:tc>
        <w:tc>
          <w:tcPr>
            <w:tcW w:w="0" w:type="auto"/>
          </w:tcPr>
          <w:p w:rsidR="0039412A" w:rsidRPr="00D776BD" w:rsidRDefault="0039412A" w:rsidP="00F3626B">
            <w:pPr>
              <w:widowControl w:val="0"/>
              <w:spacing w:line="276" w:lineRule="auto"/>
              <w:rPr>
                <w:rFonts w:ascii="Times New Roman" w:hAnsi="Times New Roman"/>
                <w:sz w:val="24"/>
                <w:szCs w:val="24"/>
                <w:lang w:val="uk-UA"/>
              </w:rPr>
            </w:pPr>
            <w:r w:rsidRPr="00D776BD">
              <w:rPr>
                <w:rFonts w:ascii="Times New Roman" w:hAnsi="Times New Roman"/>
                <w:sz w:val="24"/>
                <w:szCs w:val="24"/>
                <w:lang w:val="uk-UA"/>
              </w:rPr>
              <w:t>Угорщина</w:t>
            </w:r>
          </w:p>
        </w:tc>
        <w:tc>
          <w:tcPr>
            <w:tcW w:w="0" w:type="auto"/>
          </w:tcPr>
          <w:p w:rsidR="0039412A" w:rsidRPr="00D776BD" w:rsidRDefault="0039412A" w:rsidP="00F3626B">
            <w:pPr>
              <w:widowControl w:val="0"/>
              <w:spacing w:line="276" w:lineRule="auto"/>
              <w:jc w:val="center"/>
              <w:rPr>
                <w:rFonts w:ascii="Times New Roman" w:hAnsi="Times New Roman"/>
                <w:sz w:val="24"/>
                <w:szCs w:val="24"/>
                <w:lang w:val="uk-UA"/>
              </w:rPr>
            </w:pPr>
            <w:r w:rsidRPr="00D776BD">
              <w:rPr>
                <w:rFonts w:ascii="Times New Roman" w:hAnsi="Times New Roman"/>
                <w:sz w:val="24"/>
                <w:szCs w:val="24"/>
                <w:lang w:val="uk-UA"/>
              </w:rPr>
              <w:t>Німеччина</w:t>
            </w:r>
          </w:p>
        </w:tc>
        <w:tc>
          <w:tcPr>
            <w:tcW w:w="0" w:type="auto"/>
          </w:tcPr>
          <w:p w:rsidR="0039412A" w:rsidRPr="00D776BD" w:rsidRDefault="0039412A" w:rsidP="00F3626B">
            <w:pPr>
              <w:widowControl w:val="0"/>
              <w:spacing w:line="276" w:lineRule="auto"/>
              <w:jc w:val="center"/>
              <w:rPr>
                <w:rFonts w:ascii="Times New Roman" w:hAnsi="Times New Roman"/>
                <w:sz w:val="24"/>
                <w:szCs w:val="24"/>
                <w:lang w:val="uk-UA"/>
              </w:rPr>
            </w:pPr>
            <w:r w:rsidRPr="00D776BD">
              <w:rPr>
                <w:rFonts w:ascii="Times New Roman" w:hAnsi="Times New Roman"/>
                <w:sz w:val="24"/>
                <w:szCs w:val="24"/>
                <w:lang w:val="uk-UA"/>
              </w:rPr>
              <w:t>Франція</w:t>
            </w:r>
          </w:p>
        </w:tc>
        <w:tc>
          <w:tcPr>
            <w:tcW w:w="0" w:type="auto"/>
          </w:tcPr>
          <w:p w:rsidR="0039412A" w:rsidRPr="00D776BD" w:rsidRDefault="0039412A" w:rsidP="00F3626B">
            <w:pPr>
              <w:widowControl w:val="0"/>
              <w:spacing w:line="276" w:lineRule="auto"/>
              <w:jc w:val="center"/>
              <w:rPr>
                <w:rFonts w:ascii="Times New Roman" w:hAnsi="Times New Roman"/>
                <w:sz w:val="24"/>
                <w:szCs w:val="24"/>
                <w:lang w:val="uk-UA"/>
              </w:rPr>
            </w:pPr>
            <w:r w:rsidRPr="00D776BD">
              <w:rPr>
                <w:rFonts w:ascii="Times New Roman" w:hAnsi="Times New Roman"/>
                <w:sz w:val="24"/>
                <w:szCs w:val="24"/>
                <w:lang w:val="uk-UA"/>
              </w:rPr>
              <w:t>Іспанія</w:t>
            </w:r>
          </w:p>
        </w:tc>
        <w:tc>
          <w:tcPr>
            <w:tcW w:w="0" w:type="auto"/>
          </w:tcPr>
          <w:p w:rsidR="0039412A" w:rsidRPr="00D776BD" w:rsidRDefault="0039412A" w:rsidP="00F3626B">
            <w:pPr>
              <w:widowControl w:val="0"/>
              <w:spacing w:line="276" w:lineRule="auto"/>
              <w:jc w:val="center"/>
              <w:rPr>
                <w:rFonts w:ascii="Times New Roman" w:hAnsi="Times New Roman"/>
                <w:sz w:val="24"/>
                <w:szCs w:val="24"/>
                <w:lang w:val="uk-UA"/>
              </w:rPr>
            </w:pPr>
            <w:r w:rsidRPr="00D776BD">
              <w:rPr>
                <w:rFonts w:ascii="Times New Roman" w:hAnsi="Times New Roman"/>
                <w:sz w:val="24"/>
                <w:szCs w:val="24"/>
                <w:lang w:val="uk-UA"/>
              </w:rPr>
              <w:t>США</w:t>
            </w:r>
          </w:p>
        </w:tc>
        <w:tc>
          <w:tcPr>
            <w:tcW w:w="1030" w:type="dxa"/>
          </w:tcPr>
          <w:p w:rsidR="0039412A" w:rsidRPr="00D776BD" w:rsidRDefault="0039412A" w:rsidP="00F3626B">
            <w:pPr>
              <w:widowControl w:val="0"/>
              <w:spacing w:line="276" w:lineRule="auto"/>
              <w:jc w:val="center"/>
              <w:rPr>
                <w:rFonts w:ascii="Times New Roman" w:hAnsi="Times New Roman"/>
                <w:sz w:val="24"/>
                <w:szCs w:val="24"/>
                <w:lang w:val="uk-UA"/>
              </w:rPr>
            </w:pPr>
            <w:r w:rsidRPr="00D776BD">
              <w:rPr>
                <w:rFonts w:ascii="Times New Roman" w:hAnsi="Times New Roman"/>
                <w:sz w:val="24"/>
                <w:szCs w:val="24"/>
                <w:lang w:val="uk-UA"/>
              </w:rPr>
              <w:t>Україна</w:t>
            </w:r>
          </w:p>
        </w:tc>
      </w:tr>
      <w:tr w:rsidR="0039412A" w:rsidRPr="00D776BD" w:rsidTr="00D776BD">
        <w:trPr>
          <w:jc w:val="center"/>
        </w:trPr>
        <w:tc>
          <w:tcPr>
            <w:tcW w:w="0" w:type="auto"/>
          </w:tcPr>
          <w:p w:rsidR="0039412A" w:rsidRPr="00D776BD" w:rsidRDefault="0039412A" w:rsidP="00F3626B">
            <w:pPr>
              <w:widowControl w:val="0"/>
              <w:spacing w:line="276" w:lineRule="auto"/>
              <w:jc w:val="center"/>
              <w:rPr>
                <w:rFonts w:ascii="Times New Roman" w:hAnsi="Times New Roman"/>
                <w:sz w:val="24"/>
                <w:szCs w:val="24"/>
              </w:rPr>
            </w:pPr>
            <w:r w:rsidRPr="00D776BD">
              <w:rPr>
                <w:rFonts w:ascii="Times New Roman" w:hAnsi="Times New Roman"/>
                <w:sz w:val="24"/>
                <w:szCs w:val="24"/>
                <w:lang w:val="uk-UA"/>
              </w:rPr>
              <w:t>20</w:t>
            </w:r>
            <w:r w:rsidRPr="00D776BD">
              <w:rPr>
                <w:rFonts w:ascii="Times New Roman" w:hAnsi="Times New Roman"/>
                <w:sz w:val="24"/>
                <w:szCs w:val="24"/>
              </w:rPr>
              <w:t>09</w:t>
            </w:r>
          </w:p>
        </w:tc>
        <w:tc>
          <w:tcPr>
            <w:tcW w:w="0" w:type="auto"/>
          </w:tcPr>
          <w:p w:rsidR="0039412A" w:rsidRPr="00D776BD" w:rsidRDefault="0039412A" w:rsidP="00F3626B">
            <w:pPr>
              <w:spacing w:line="276" w:lineRule="auto"/>
              <w:jc w:val="right"/>
              <w:rPr>
                <w:rFonts w:ascii="Times New Roman" w:hAnsi="Times New Roman"/>
                <w:sz w:val="24"/>
                <w:szCs w:val="24"/>
              </w:rPr>
            </w:pPr>
            <w:r w:rsidRPr="00D776BD">
              <w:rPr>
                <w:rFonts w:ascii="Times New Roman" w:hAnsi="Times New Roman"/>
                <w:sz w:val="24"/>
                <w:szCs w:val="24"/>
              </w:rPr>
              <w:t>14463,42</w:t>
            </w:r>
          </w:p>
        </w:tc>
        <w:tc>
          <w:tcPr>
            <w:tcW w:w="0" w:type="auto"/>
          </w:tcPr>
          <w:p w:rsidR="0039412A" w:rsidRPr="00D776BD" w:rsidRDefault="0039412A" w:rsidP="00F3626B">
            <w:pPr>
              <w:spacing w:line="276" w:lineRule="auto"/>
              <w:jc w:val="right"/>
              <w:rPr>
                <w:rFonts w:ascii="Times New Roman" w:hAnsi="Times New Roman"/>
                <w:sz w:val="24"/>
                <w:szCs w:val="24"/>
              </w:rPr>
            </w:pPr>
            <w:r w:rsidRPr="00D776BD">
              <w:rPr>
                <w:rFonts w:ascii="Times New Roman" w:hAnsi="Times New Roman"/>
                <w:sz w:val="24"/>
                <w:szCs w:val="24"/>
              </w:rPr>
              <w:t>16334,72</w:t>
            </w:r>
          </w:p>
          <w:p w:rsidR="0039412A" w:rsidRPr="00D776BD" w:rsidRDefault="0039412A" w:rsidP="00F3626B">
            <w:pPr>
              <w:spacing w:line="276" w:lineRule="auto"/>
              <w:jc w:val="right"/>
              <w:rPr>
                <w:rFonts w:ascii="Times New Roman" w:hAnsi="Times New Roman"/>
                <w:sz w:val="24"/>
                <w:szCs w:val="24"/>
                <w:lang w:val="uk-UA"/>
              </w:rPr>
            </w:pPr>
          </w:p>
        </w:tc>
        <w:tc>
          <w:tcPr>
            <w:tcW w:w="0" w:type="auto"/>
          </w:tcPr>
          <w:p w:rsidR="0039412A" w:rsidRPr="00D776BD" w:rsidRDefault="0039412A" w:rsidP="00F3626B">
            <w:pPr>
              <w:shd w:val="clear" w:color="auto" w:fill="FFFFFF"/>
              <w:spacing w:line="276" w:lineRule="auto"/>
              <w:jc w:val="right"/>
              <w:rPr>
                <w:rFonts w:ascii="Times New Roman" w:hAnsi="Times New Roman"/>
                <w:sz w:val="24"/>
                <w:szCs w:val="24"/>
              </w:rPr>
            </w:pPr>
            <w:r w:rsidRPr="00D776BD">
              <w:rPr>
                <w:rFonts w:ascii="Times New Roman" w:hAnsi="Times New Roman"/>
                <w:sz w:val="24"/>
                <w:szCs w:val="24"/>
              </w:rPr>
              <w:t>13190,80</w:t>
            </w:r>
          </w:p>
          <w:p w:rsidR="0039412A" w:rsidRPr="00D776BD" w:rsidRDefault="0039412A" w:rsidP="00F3626B">
            <w:pPr>
              <w:shd w:val="clear" w:color="auto" w:fill="FFFFFF"/>
              <w:spacing w:line="276" w:lineRule="auto"/>
              <w:jc w:val="right"/>
              <w:rPr>
                <w:rFonts w:ascii="Times New Roman" w:hAnsi="Times New Roman"/>
                <w:sz w:val="24"/>
                <w:szCs w:val="24"/>
                <w:lang w:val="uk-UA"/>
              </w:rPr>
            </w:pPr>
          </w:p>
        </w:tc>
        <w:tc>
          <w:tcPr>
            <w:tcW w:w="0" w:type="auto"/>
          </w:tcPr>
          <w:p w:rsidR="0039412A" w:rsidRPr="00D776BD" w:rsidRDefault="0039412A" w:rsidP="00F3626B">
            <w:pPr>
              <w:spacing w:line="276" w:lineRule="auto"/>
              <w:jc w:val="right"/>
              <w:rPr>
                <w:rFonts w:ascii="Times New Roman" w:hAnsi="Times New Roman"/>
                <w:sz w:val="24"/>
                <w:szCs w:val="24"/>
              </w:rPr>
            </w:pPr>
            <w:r w:rsidRPr="00D776BD">
              <w:rPr>
                <w:rFonts w:ascii="Times New Roman" w:hAnsi="Times New Roman"/>
                <w:sz w:val="24"/>
                <w:szCs w:val="24"/>
              </w:rPr>
              <w:t>9724,84</w:t>
            </w:r>
          </w:p>
          <w:p w:rsidR="0039412A" w:rsidRPr="00D776BD" w:rsidRDefault="0039412A" w:rsidP="00F3626B">
            <w:pPr>
              <w:spacing w:line="276" w:lineRule="auto"/>
              <w:jc w:val="right"/>
              <w:rPr>
                <w:rFonts w:ascii="Times New Roman" w:hAnsi="Times New Roman"/>
                <w:sz w:val="24"/>
                <w:szCs w:val="24"/>
                <w:lang w:val="uk-UA"/>
              </w:rPr>
            </w:pPr>
          </w:p>
        </w:tc>
        <w:tc>
          <w:tcPr>
            <w:tcW w:w="0" w:type="auto"/>
          </w:tcPr>
          <w:p w:rsidR="0039412A" w:rsidRPr="00D776BD" w:rsidRDefault="0039412A" w:rsidP="00F3626B">
            <w:pPr>
              <w:shd w:val="clear" w:color="auto" w:fill="FFFFFF"/>
              <w:spacing w:line="276" w:lineRule="auto"/>
              <w:jc w:val="right"/>
              <w:rPr>
                <w:rFonts w:ascii="Times New Roman" w:hAnsi="Times New Roman"/>
                <w:sz w:val="24"/>
                <w:szCs w:val="24"/>
              </w:rPr>
            </w:pPr>
            <w:r w:rsidRPr="00D776BD">
              <w:rPr>
                <w:rFonts w:ascii="Times New Roman" w:hAnsi="Times New Roman"/>
                <w:sz w:val="24"/>
                <w:szCs w:val="24"/>
              </w:rPr>
              <w:t>10054,64</w:t>
            </w:r>
          </w:p>
          <w:p w:rsidR="0039412A" w:rsidRPr="00D776BD" w:rsidRDefault="0039412A" w:rsidP="00F3626B">
            <w:pPr>
              <w:shd w:val="clear" w:color="auto" w:fill="FFFFFF"/>
              <w:spacing w:line="276" w:lineRule="auto"/>
              <w:jc w:val="right"/>
              <w:rPr>
                <w:rFonts w:ascii="Times New Roman" w:hAnsi="Times New Roman"/>
                <w:sz w:val="24"/>
                <w:szCs w:val="24"/>
                <w:lang w:val="uk-UA"/>
              </w:rPr>
            </w:pPr>
          </w:p>
        </w:tc>
        <w:tc>
          <w:tcPr>
            <w:tcW w:w="0" w:type="auto"/>
          </w:tcPr>
          <w:p w:rsidR="0039412A" w:rsidRPr="00D776BD" w:rsidRDefault="0039412A" w:rsidP="00F3626B">
            <w:pPr>
              <w:shd w:val="clear" w:color="auto" w:fill="FFFFFF"/>
              <w:spacing w:line="276" w:lineRule="auto"/>
              <w:jc w:val="right"/>
              <w:rPr>
                <w:rFonts w:ascii="Times New Roman" w:hAnsi="Times New Roman"/>
                <w:sz w:val="24"/>
                <w:szCs w:val="24"/>
              </w:rPr>
            </w:pPr>
            <w:r w:rsidRPr="00D776BD">
              <w:rPr>
                <w:rFonts w:ascii="Times New Roman" w:hAnsi="Times New Roman"/>
                <w:sz w:val="24"/>
                <w:szCs w:val="24"/>
              </w:rPr>
              <w:t>9688,04</w:t>
            </w:r>
          </w:p>
          <w:p w:rsidR="0039412A" w:rsidRPr="00D776BD" w:rsidRDefault="0039412A" w:rsidP="00F3626B">
            <w:pPr>
              <w:shd w:val="clear" w:color="auto" w:fill="FFFFFF"/>
              <w:spacing w:line="276" w:lineRule="auto"/>
              <w:jc w:val="right"/>
              <w:rPr>
                <w:rFonts w:ascii="Times New Roman" w:hAnsi="Times New Roman"/>
                <w:sz w:val="24"/>
                <w:szCs w:val="24"/>
                <w:lang w:val="uk-UA"/>
              </w:rPr>
            </w:pPr>
          </w:p>
        </w:tc>
        <w:tc>
          <w:tcPr>
            <w:tcW w:w="0" w:type="auto"/>
          </w:tcPr>
          <w:p w:rsidR="0039412A" w:rsidRPr="00D776BD" w:rsidRDefault="0039412A" w:rsidP="00F3626B">
            <w:pPr>
              <w:spacing w:line="276" w:lineRule="auto"/>
              <w:jc w:val="right"/>
              <w:rPr>
                <w:rFonts w:ascii="Times New Roman" w:hAnsi="Times New Roman"/>
                <w:sz w:val="24"/>
                <w:szCs w:val="24"/>
              </w:rPr>
            </w:pPr>
            <w:r w:rsidRPr="00D776BD">
              <w:rPr>
                <w:rFonts w:ascii="Times New Roman" w:hAnsi="Times New Roman"/>
                <w:sz w:val="24"/>
                <w:szCs w:val="24"/>
              </w:rPr>
              <w:t>15846,37</w:t>
            </w:r>
          </w:p>
          <w:p w:rsidR="0039412A" w:rsidRPr="00D776BD" w:rsidRDefault="0039412A" w:rsidP="00F3626B">
            <w:pPr>
              <w:spacing w:line="276" w:lineRule="auto"/>
              <w:jc w:val="right"/>
              <w:rPr>
                <w:rFonts w:ascii="Times New Roman" w:hAnsi="Times New Roman"/>
                <w:sz w:val="24"/>
                <w:szCs w:val="24"/>
                <w:lang w:val="uk-UA"/>
              </w:rPr>
            </w:pPr>
          </w:p>
        </w:tc>
        <w:tc>
          <w:tcPr>
            <w:tcW w:w="1030" w:type="dxa"/>
          </w:tcPr>
          <w:p w:rsidR="0039412A" w:rsidRPr="00D776BD" w:rsidRDefault="0039412A" w:rsidP="00F3626B">
            <w:pPr>
              <w:spacing w:line="276" w:lineRule="auto"/>
              <w:jc w:val="right"/>
              <w:rPr>
                <w:rFonts w:ascii="Times New Roman" w:hAnsi="Times New Roman"/>
                <w:sz w:val="24"/>
                <w:szCs w:val="24"/>
              </w:rPr>
            </w:pPr>
            <w:r w:rsidRPr="00D776BD">
              <w:rPr>
                <w:rFonts w:ascii="Times New Roman" w:hAnsi="Times New Roman"/>
                <w:sz w:val="24"/>
                <w:szCs w:val="24"/>
              </w:rPr>
              <w:t>22865,85</w:t>
            </w:r>
          </w:p>
          <w:p w:rsidR="0039412A" w:rsidRPr="00D776BD" w:rsidRDefault="0039412A" w:rsidP="00F3626B">
            <w:pPr>
              <w:spacing w:line="276" w:lineRule="auto"/>
              <w:jc w:val="right"/>
              <w:rPr>
                <w:rFonts w:ascii="Times New Roman" w:hAnsi="Times New Roman"/>
                <w:sz w:val="24"/>
                <w:szCs w:val="24"/>
                <w:highlight w:val="yellow"/>
                <w:lang w:val="uk-UA"/>
              </w:rPr>
            </w:pPr>
          </w:p>
        </w:tc>
      </w:tr>
      <w:tr w:rsidR="0039412A" w:rsidRPr="00D776BD" w:rsidTr="00D776BD">
        <w:trPr>
          <w:jc w:val="center"/>
        </w:trPr>
        <w:tc>
          <w:tcPr>
            <w:tcW w:w="0" w:type="auto"/>
          </w:tcPr>
          <w:p w:rsidR="0039412A" w:rsidRPr="00D776BD" w:rsidRDefault="0039412A" w:rsidP="00F3626B">
            <w:pPr>
              <w:widowControl w:val="0"/>
              <w:spacing w:line="276" w:lineRule="auto"/>
              <w:jc w:val="center"/>
              <w:rPr>
                <w:rFonts w:ascii="Times New Roman" w:hAnsi="Times New Roman"/>
                <w:sz w:val="24"/>
                <w:szCs w:val="24"/>
              </w:rPr>
            </w:pPr>
            <w:r w:rsidRPr="00D776BD">
              <w:rPr>
                <w:rFonts w:ascii="Times New Roman" w:hAnsi="Times New Roman"/>
                <w:sz w:val="24"/>
                <w:szCs w:val="24"/>
              </w:rPr>
              <w:t>2010</w:t>
            </w:r>
          </w:p>
        </w:tc>
        <w:tc>
          <w:tcPr>
            <w:tcW w:w="0" w:type="auto"/>
          </w:tcPr>
          <w:p w:rsidR="0039412A" w:rsidRPr="00D776BD" w:rsidRDefault="0039412A" w:rsidP="00F3626B">
            <w:pPr>
              <w:shd w:val="clear" w:color="auto" w:fill="FFFFFF"/>
              <w:spacing w:line="276" w:lineRule="auto"/>
              <w:jc w:val="right"/>
              <w:rPr>
                <w:rFonts w:ascii="Times New Roman" w:hAnsi="Times New Roman"/>
                <w:sz w:val="24"/>
                <w:szCs w:val="24"/>
              </w:rPr>
            </w:pPr>
            <w:r w:rsidRPr="00D776BD">
              <w:rPr>
                <w:rFonts w:ascii="Times New Roman" w:hAnsi="Times New Roman"/>
                <w:sz w:val="24"/>
                <w:szCs w:val="24"/>
              </w:rPr>
              <w:t>13134,72</w:t>
            </w:r>
          </w:p>
          <w:p w:rsidR="0039412A" w:rsidRPr="00D776BD" w:rsidRDefault="0039412A" w:rsidP="00F3626B">
            <w:pPr>
              <w:shd w:val="clear" w:color="auto" w:fill="FFFFFF"/>
              <w:spacing w:line="276" w:lineRule="auto"/>
              <w:jc w:val="right"/>
              <w:rPr>
                <w:rFonts w:ascii="Times New Roman" w:hAnsi="Times New Roman"/>
                <w:sz w:val="24"/>
                <w:szCs w:val="24"/>
                <w:lang w:val="uk-UA"/>
              </w:rPr>
            </w:pPr>
          </w:p>
        </w:tc>
        <w:tc>
          <w:tcPr>
            <w:tcW w:w="0" w:type="auto"/>
          </w:tcPr>
          <w:p w:rsidR="0039412A" w:rsidRPr="00D776BD" w:rsidRDefault="0039412A" w:rsidP="00F3626B">
            <w:pPr>
              <w:spacing w:line="276" w:lineRule="auto"/>
              <w:jc w:val="right"/>
              <w:rPr>
                <w:rFonts w:ascii="Times New Roman" w:hAnsi="Times New Roman"/>
                <w:sz w:val="24"/>
                <w:szCs w:val="24"/>
              </w:rPr>
            </w:pPr>
            <w:r w:rsidRPr="00D776BD">
              <w:rPr>
                <w:rFonts w:ascii="Times New Roman" w:hAnsi="Times New Roman"/>
                <w:sz w:val="24"/>
                <w:szCs w:val="24"/>
              </w:rPr>
              <w:t>15417,52</w:t>
            </w:r>
          </w:p>
          <w:p w:rsidR="0039412A" w:rsidRPr="00D776BD" w:rsidRDefault="0039412A" w:rsidP="00F3626B">
            <w:pPr>
              <w:spacing w:line="276" w:lineRule="auto"/>
              <w:jc w:val="right"/>
              <w:rPr>
                <w:rFonts w:ascii="Times New Roman" w:hAnsi="Times New Roman"/>
                <w:sz w:val="24"/>
                <w:szCs w:val="24"/>
                <w:lang w:val="uk-UA"/>
              </w:rPr>
            </w:pPr>
          </w:p>
        </w:tc>
        <w:tc>
          <w:tcPr>
            <w:tcW w:w="0" w:type="auto"/>
          </w:tcPr>
          <w:p w:rsidR="0039412A" w:rsidRPr="00D776BD" w:rsidRDefault="0039412A" w:rsidP="00F3626B">
            <w:pPr>
              <w:spacing w:line="276" w:lineRule="auto"/>
              <w:jc w:val="right"/>
              <w:rPr>
                <w:rFonts w:ascii="Times New Roman" w:hAnsi="Times New Roman"/>
                <w:sz w:val="24"/>
                <w:szCs w:val="24"/>
              </w:rPr>
            </w:pPr>
            <w:r w:rsidRPr="00D776BD">
              <w:rPr>
                <w:rFonts w:ascii="Times New Roman" w:hAnsi="Times New Roman"/>
                <w:sz w:val="24"/>
                <w:szCs w:val="24"/>
              </w:rPr>
              <w:t>12652,17</w:t>
            </w:r>
          </w:p>
          <w:p w:rsidR="0039412A" w:rsidRPr="00D776BD" w:rsidRDefault="0039412A" w:rsidP="00F3626B">
            <w:pPr>
              <w:spacing w:line="276" w:lineRule="auto"/>
              <w:jc w:val="right"/>
              <w:rPr>
                <w:rFonts w:ascii="Times New Roman" w:hAnsi="Times New Roman"/>
                <w:sz w:val="24"/>
                <w:szCs w:val="24"/>
                <w:lang w:val="uk-UA"/>
              </w:rPr>
            </w:pPr>
          </w:p>
        </w:tc>
        <w:tc>
          <w:tcPr>
            <w:tcW w:w="0" w:type="auto"/>
          </w:tcPr>
          <w:p w:rsidR="0039412A" w:rsidRPr="00D776BD" w:rsidRDefault="0039412A" w:rsidP="00F3626B">
            <w:pPr>
              <w:shd w:val="clear" w:color="auto" w:fill="FFFFFF"/>
              <w:spacing w:line="276" w:lineRule="auto"/>
              <w:jc w:val="right"/>
              <w:rPr>
                <w:rFonts w:ascii="Times New Roman" w:hAnsi="Times New Roman"/>
                <w:sz w:val="24"/>
                <w:szCs w:val="24"/>
              </w:rPr>
            </w:pPr>
            <w:r w:rsidRPr="00D776BD">
              <w:rPr>
                <w:rFonts w:ascii="Times New Roman" w:hAnsi="Times New Roman"/>
                <w:sz w:val="24"/>
                <w:szCs w:val="24"/>
              </w:rPr>
              <w:t>9518,99</w:t>
            </w:r>
          </w:p>
          <w:p w:rsidR="0039412A" w:rsidRPr="00D776BD" w:rsidRDefault="0039412A" w:rsidP="00F3626B">
            <w:pPr>
              <w:shd w:val="clear" w:color="auto" w:fill="FFFFFF"/>
              <w:spacing w:line="276" w:lineRule="auto"/>
              <w:jc w:val="right"/>
              <w:rPr>
                <w:rFonts w:ascii="Times New Roman" w:hAnsi="Times New Roman"/>
                <w:sz w:val="24"/>
                <w:szCs w:val="24"/>
                <w:lang w:val="uk-UA"/>
              </w:rPr>
            </w:pPr>
          </w:p>
        </w:tc>
        <w:tc>
          <w:tcPr>
            <w:tcW w:w="0" w:type="auto"/>
          </w:tcPr>
          <w:p w:rsidR="0039412A" w:rsidRPr="00D776BD" w:rsidRDefault="0039412A" w:rsidP="00F3626B">
            <w:pPr>
              <w:spacing w:line="276" w:lineRule="auto"/>
              <w:jc w:val="right"/>
              <w:rPr>
                <w:rFonts w:ascii="Times New Roman" w:hAnsi="Times New Roman"/>
                <w:sz w:val="24"/>
                <w:szCs w:val="24"/>
              </w:rPr>
            </w:pPr>
            <w:r w:rsidRPr="00D776BD">
              <w:rPr>
                <w:rFonts w:ascii="Times New Roman" w:hAnsi="Times New Roman"/>
                <w:sz w:val="24"/>
                <w:szCs w:val="24"/>
              </w:rPr>
              <w:t>9950,72</w:t>
            </w:r>
          </w:p>
          <w:p w:rsidR="0039412A" w:rsidRPr="00D776BD" w:rsidRDefault="0039412A" w:rsidP="00F3626B">
            <w:pPr>
              <w:spacing w:line="276" w:lineRule="auto"/>
              <w:jc w:val="right"/>
              <w:rPr>
                <w:rFonts w:ascii="Times New Roman" w:hAnsi="Times New Roman"/>
                <w:sz w:val="24"/>
                <w:szCs w:val="24"/>
                <w:lang w:val="uk-UA"/>
              </w:rPr>
            </w:pPr>
          </w:p>
        </w:tc>
        <w:tc>
          <w:tcPr>
            <w:tcW w:w="0" w:type="auto"/>
          </w:tcPr>
          <w:p w:rsidR="0039412A" w:rsidRPr="00D776BD" w:rsidRDefault="0039412A" w:rsidP="00F3626B">
            <w:pPr>
              <w:spacing w:line="276" w:lineRule="auto"/>
              <w:jc w:val="right"/>
              <w:rPr>
                <w:rFonts w:ascii="Times New Roman" w:hAnsi="Times New Roman"/>
                <w:sz w:val="24"/>
                <w:szCs w:val="24"/>
              </w:rPr>
            </w:pPr>
            <w:r w:rsidRPr="00D776BD">
              <w:rPr>
                <w:rFonts w:ascii="Times New Roman" w:hAnsi="Times New Roman"/>
                <w:sz w:val="24"/>
                <w:szCs w:val="24"/>
              </w:rPr>
              <w:t>9333,82</w:t>
            </w:r>
          </w:p>
          <w:p w:rsidR="0039412A" w:rsidRPr="00D776BD" w:rsidRDefault="0039412A" w:rsidP="00F3626B">
            <w:pPr>
              <w:spacing w:line="276" w:lineRule="auto"/>
              <w:jc w:val="right"/>
              <w:rPr>
                <w:rFonts w:ascii="Times New Roman" w:hAnsi="Times New Roman"/>
                <w:sz w:val="24"/>
                <w:szCs w:val="24"/>
                <w:lang w:val="uk-UA"/>
              </w:rPr>
            </w:pPr>
          </w:p>
        </w:tc>
        <w:tc>
          <w:tcPr>
            <w:tcW w:w="0" w:type="auto"/>
          </w:tcPr>
          <w:p w:rsidR="0039412A" w:rsidRPr="00D776BD" w:rsidRDefault="0039412A" w:rsidP="00F3626B">
            <w:pPr>
              <w:shd w:val="clear" w:color="auto" w:fill="FFFFFF"/>
              <w:spacing w:line="276" w:lineRule="auto"/>
              <w:jc w:val="right"/>
              <w:rPr>
                <w:rFonts w:ascii="Times New Roman" w:hAnsi="Times New Roman"/>
                <w:sz w:val="24"/>
                <w:szCs w:val="24"/>
              </w:rPr>
            </w:pPr>
            <w:r w:rsidRPr="00D776BD">
              <w:rPr>
                <w:rFonts w:ascii="Times New Roman" w:hAnsi="Times New Roman"/>
                <w:sz w:val="24"/>
                <w:szCs w:val="24"/>
              </w:rPr>
              <w:t>15180,51</w:t>
            </w:r>
          </w:p>
          <w:p w:rsidR="0039412A" w:rsidRPr="00D776BD" w:rsidRDefault="0039412A" w:rsidP="00F3626B">
            <w:pPr>
              <w:shd w:val="clear" w:color="auto" w:fill="FFFFFF"/>
              <w:spacing w:line="276" w:lineRule="auto"/>
              <w:jc w:val="right"/>
              <w:rPr>
                <w:rFonts w:ascii="Times New Roman" w:hAnsi="Times New Roman"/>
                <w:sz w:val="24"/>
                <w:szCs w:val="24"/>
                <w:lang w:val="uk-UA"/>
              </w:rPr>
            </w:pPr>
          </w:p>
        </w:tc>
        <w:tc>
          <w:tcPr>
            <w:tcW w:w="1030" w:type="dxa"/>
          </w:tcPr>
          <w:p w:rsidR="0039412A" w:rsidRPr="00D776BD" w:rsidRDefault="0039412A" w:rsidP="00F3626B">
            <w:pPr>
              <w:shd w:val="clear" w:color="auto" w:fill="FFFFFF"/>
              <w:spacing w:line="276" w:lineRule="auto"/>
              <w:jc w:val="right"/>
              <w:rPr>
                <w:rFonts w:ascii="Times New Roman" w:hAnsi="Times New Roman"/>
                <w:sz w:val="24"/>
                <w:szCs w:val="24"/>
              </w:rPr>
            </w:pPr>
            <w:r w:rsidRPr="00D776BD">
              <w:rPr>
                <w:rFonts w:ascii="Times New Roman" w:hAnsi="Times New Roman"/>
                <w:sz w:val="24"/>
                <w:szCs w:val="24"/>
              </w:rPr>
              <w:t>21673,03</w:t>
            </w:r>
          </w:p>
          <w:p w:rsidR="0039412A" w:rsidRPr="00D776BD" w:rsidRDefault="0039412A" w:rsidP="00F3626B">
            <w:pPr>
              <w:shd w:val="clear" w:color="auto" w:fill="FFFFFF"/>
              <w:spacing w:line="276" w:lineRule="auto"/>
              <w:jc w:val="right"/>
              <w:rPr>
                <w:rFonts w:ascii="Times New Roman" w:hAnsi="Times New Roman"/>
                <w:sz w:val="24"/>
                <w:szCs w:val="24"/>
                <w:highlight w:val="yellow"/>
                <w:lang w:val="uk-UA"/>
              </w:rPr>
            </w:pPr>
          </w:p>
        </w:tc>
      </w:tr>
      <w:tr w:rsidR="0039412A" w:rsidRPr="00D776BD" w:rsidTr="00D776BD">
        <w:trPr>
          <w:jc w:val="center"/>
        </w:trPr>
        <w:tc>
          <w:tcPr>
            <w:tcW w:w="0" w:type="auto"/>
          </w:tcPr>
          <w:p w:rsidR="0039412A" w:rsidRPr="00D776BD" w:rsidRDefault="0039412A" w:rsidP="00F3626B">
            <w:pPr>
              <w:widowControl w:val="0"/>
              <w:spacing w:line="276" w:lineRule="auto"/>
              <w:jc w:val="center"/>
              <w:rPr>
                <w:rFonts w:ascii="Times New Roman" w:hAnsi="Times New Roman"/>
                <w:sz w:val="24"/>
                <w:szCs w:val="24"/>
              </w:rPr>
            </w:pPr>
            <w:r w:rsidRPr="00D776BD">
              <w:rPr>
                <w:rFonts w:ascii="Times New Roman" w:hAnsi="Times New Roman"/>
                <w:sz w:val="24"/>
                <w:szCs w:val="24"/>
              </w:rPr>
              <w:t>2011</w:t>
            </w:r>
          </w:p>
        </w:tc>
        <w:tc>
          <w:tcPr>
            <w:tcW w:w="0" w:type="auto"/>
          </w:tcPr>
          <w:p w:rsidR="0039412A" w:rsidRPr="00D776BD" w:rsidRDefault="0039412A" w:rsidP="00F3626B">
            <w:pPr>
              <w:shd w:val="clear" w:color="auto" w:fill="FFFFFF"/>
              <w:spacing w:line="276" w:lineRule="auto"/>
              <w:jc w:val="right"/>
              <w:rPr>
                <w:rFonts w:ascii="Times New Roman" w:hAnsi="Times New Roman"/>
                <w:sz w:val="24"/>
                <w:szCs w:val="24"/>
              </w:rPr>
            </w:pPr>
            <w:r w:rsidRPr="00D776BD">
              <w:rPr>
                <w:rFonts w:ascii="Times New Roman" w:hAnsi="Times New Roman"/>
                <w:sz w:val="24"/>
                <w:szCs w:val="24"/>
              </w:rPr>
              <w:t>12170,06</w:t>
            </w:r>
          </w:p>
          <w:p w:rsidR="0039412A" w:rsidRPr="00D776BD" w:rsidRDefault="0039412A" w:rsidP="00F3626B">
            <w:pPr>
              <w:shd w:val="clear" w:color="auto" w:fill="FFFFFF"/>
              <w:spacing w:line="276" w:lineRule="auto"/>
              <w:jc w:val="right"/>
              <w:rPr>
                <w:rFonts w:ascii="Times New Roman" w:hAnsi="Times New Roman"/>
                <w:sz w:val="24"/>
                <w:szCs w:val="24"/>
                <w:lang w:val="uk-UA"/>
              </w:rPr>
            </w:pPr>
          </w:p>
        </w:tc>
        <w:tc>
          <w:tcPr>
            <w:tcW w:w="0" w:type="auto"/>
          </w:tcPr>
          <w:p w:rsidR="0039412A" w:rsidRPr="00D776BD" w:rsidRDefault="0039412A" w:rsidP="00F3626B">
            <w:pPr>
              <w:shd w:val="clear" w:color="auto" w:fill="FFFFFF"/>
              <w:spacing w:line="276" w:lineRule="auto"/>
              <w:jc w:val="right"/>
              <w:rPr>
                <w:rFonts w:ascii="Times New Roman" w:hAnsi="Times New Roman"/>
                <w:sz w:val="24"/>
                <w:szCs w:val="24"/>
              </w:rPr>
            </w:pPr>
            <w:r w:rsidRPr="00D776BD">
              <w:rPr>
                <w:rFonts w:ascii="Times New Roman" w:hAnsi="Times New Roman"/>
                <w:sz w:val="24"/>
                <w:szCs w:val="24"/>
              </w:rPr>
              <w:t>14148,83</w:t>
            </w:r>
          </w:p>
          <w:p w:rsidR="0039412A" w:rsidRPr="00D776BD" w:rsidRDefault="0039412A" w:rsidP="00F3626B">
            <w:pPr>
              <w:shd w:val="clear" w:color="auto" w:fill="FFFFFF"/>
              <w:spacing w:line="276" w:lineRule="auto"/>
              <w:jc w:val="right"/>
              <w:rPr>
                <w:rFonts w:ascii="Times New Roman" w:hAnsi="Times New Roman"/>
                <w:sz w:val="24"/>
                <w:szCs w:val="24"/>
                <w:lang w:val="uk-UA"/>
              </w:rPr>
            </w:pPr>
          </w:p>
        </w:tc>
        <w:tc>
          <w:tcPr>
            <w:tcW w:w="0" w:type="auto"/>
          </w:tcPr>
          <w:p w:rsidR="0039412A" w:rsidRPr="00D776BD" w:rsidRDefault="0039412A" w:rsidP="00F3626B">
            <w:pPr>
              <w:spacing w:line="276" w:lineRule="auto"/>
              <w:jc w:val="right"/>
              <w:rPr>
                <w:rFonts w:ascii="Times New Roman" w:hAnsi="Times New Roman"/>
                <w:sz w:val="24"/>
                <w:szCs w:val="24"/>
              </w:rPr>
            </w:pPr>
            <w:r w:rsidRPr="00D776BD">
              <w:rPr>
                <w:rFonts w:ascii="Times New Roman" w:hAnsi="Times New Roman"/>
                <w:sz w:val="24"/>
                <w:szCs w:val="24"/>
              </w:rPr>
              <w:t>12384,05</w:t>
            </w:r>
          </w:p>
          <w:p w:rsidR="0039412A" w:rsidRPr="00D776BD" w:rsidRDefault="0039412A" w:rsidP="00F3626B">
            <w:pPr>
              <w:spacing w:line="276" w:lineRule="auto"/>
              <w:jc w:val="right"/>
              <w:rPr>
                <w:rFonts w:ascii="Times New Roman" w:hAnsi="Times New Roman"/>
                <w:sz w:val="24"/>
                <w:szCs w:val="24"/>
                <w:lang w:val="uk-UA"/>
              </w:rPr>
            </w:pPr>
          </w:p>
        </w:tc>
        <w:tc>
          <w:tcPr>
            <w:tcW w:w="0" w:type="auto"/>
          </w:tcPr>
          <w:p w:rsidR="0039412A" w:rsidRPr="00D776BD" w:rsidRDefault="0039412A" w:rsidP="00F3626B">
            <w:pPr>
              <w:shd w:val="clear" w:color="auto" w:fill="FFFFFF"/>
              <w:spacing w:line="276" w:lineRule="auto"/>
              <w:jc w:val="right"/>
              <w:rPr>
                <w:rFonts w:ascii="Times New Roman" w:hAnsi="Times New Roman"/>
                <w:sz w:val="24"/>
                <w:szCs w:val="24"/>
              </w:rPr>
            </w:pPr>
            <w:r w:rsidRPr="00D776BD">
              <w:rPr>
                <w:rFonts w:ascii="Times New Roman" w:hAnsi="Times New Roman"/>
                <w:sz w:val="24"/>
                <w:szCs w:val="24"/>
              </w:rPr>
              <w:t>9390,65</w:t>
            </w:r>
          </w:p>
          <w:p w:rsidR="0039412A" w:rsidRPr="00D776BD" w:rsidRDefault="0039412A" w:rsidP="00F3626B">
            <w:pPr>
              <w:shd w:val="clear" w:color="auto" w:fill="FFFFFF"/>
              <w:spacing w:line="276" w:lineRule="auto"/>
              <w:jc w:val="right"/>
              <w:rPr>
                <w:rFonts w:ascii="Times New Roman" w:hAnsi="Times New Roman"/>
                <w:sz w:val="24"/>
                <w:szCs w:val="24"/>
                <w:lang w:val="uk-UA"/>
              </w:rPr>
            </w:pPr>
          </w:p>
        </w:tc>
        <w:tc>
          <w:tcPr>
            <w:tcW w:w="0" w:type="auto"/>
          </w:tcPr>
          <w:p w:rsidR="0039412A" w:rsidRPr="00D776BD" w:rsidRDefault="0039412A" w:rsidP="00F3626B">
            <w:pPr>
              <w:spacing w:line="276" w:lineRule="auto"/>
              <w:jc w:val="right"/>
              <w:rPr>
                <w:rFonts w:ascii="Times New Roman" w:hAnsi="Times New Roman"/>
                <w:sz w:val="24"/>
                <w:szCs w:val="24"/>
              </w:rPr>
            </w:pPr>
            <w:r w:rsidRPr="00D776BD">
              <w:rPr>
                <w:rFonts w:ascii="Times New Roman" w:hAnsi="Times New Roman"/>
                <w:sz w:val="24"/>
                <w:szCs w:val="24"/>
              </w:rPr>
              <w:t>9577,43</w:t>
            </w:r>
          </w:p>
          <w:p w:rsidR="0039412A" w:rsidRPr="00D776BD" w:rsidRDefault="0039412A" w:rsidP="00F3626B">
            <w:pPr>
              <w:spacing w:line="276" w:lineRule="auto"/>
              <w:jc w:val="right"/>
              <w:rPr>
                <w:rFonts w:ascii="Times New Roman" w:hAnsi="Times New Roman"/>
                <w:sz w:val="24"/>
                <w:szCs w:val="24"/>
                <w:lang w:val="uk-UA"/>
              </w:rPr>
            </w:pPr>
          </w:p>
        </w:tc>
        <w:tc>
          <w:tcPr>
            <w:tcW w:w="0" w:type="auto"/>
          </w:tcPr>
          <w:p w:rsidR="0039412A" w:rsidRPr="00D776BD" w:rsidRDefault="0039412A" w:rsidP="00F3626B">
            <w:pPr>
              <w:shd w:val="clear" w:color="auto" w:fill="FFFFFF"/>
              <w:spacing w:line="276" w:lineRule="auto"/>
              <w:jc w:val="right"/>
              <w:rPr>
                <w:rFonts w:ascii="Times New Roman" w:hAnsi="Times New Roman"/>
                <w:sz w:val="24"/>
                <w:szCs w:val="24"/>
              </w:rPr>
            </w:pPr>
            <w:r w:rsidRPr="00D776BD">
              <w:rPr>
                <w:rFonts w:ascii="Times New Roman" w:hAnsi="Times New Roman"/>
                <w:sz w:val="24"/>
                <w:szCs w:val="24"/>
              </w:rPr>
              <w:t>9009,88</w:t>
            </w:r>
          </w:p>
          <w:p w:rsidR="0039412A" w:rsidRPr="00D776BD" w:rsidRDefault="0039412A" w:rsidP="00F3626B">
            <w:pPr>
              <w:shd w:val="clear" w:color="auto" w:fill="FFFFFF"/>
              <w:spacing w:line="276" w:lineRule="auto"/>
              <w:jc w:val="right"/>
              <w:rPr>
                <w:rFonts w:ascii="Times New Roman" w:hAnsi="Times New Roman"/>
                <w:sz w:val="24"/>
                <w:szCs w:val="24"/>
                <w:lang w:val="uk-UA"/>
              </w:rPr>
            </w:pPr>
          </w:p>
        </w:tc>
        <w:tc>
          <w:tcPr>
            <w:tcW w:w="0" w:type="auto"/>
          </w:tcPr>
          <w:p w:rsidR="0039412A" w:rsidRPr="00D776BD" w:rsidRDefault="0039412A" w:rsidP="00F3626B">
            <w:pPr>
              <w:spacing w:line="276" w:lineRule="auto"/>
              <w:jc w:val="right"/>
              <w:rPr>
                <w:rFonts w:ascii="Times New Roman" w:hAnsi="Times New Roman"/>
                <w:sz w:val="24"/>
                <w:szCs w:val="24"/>
              </w:rPr>
            </w:pPr>
            <w:r w:rsidRPr="00D776BD">
              <w:rPr>
                <w:rFonts w:ascii="Times New Roman" w:hAnsi="Times New Roman"/>
                <w:sz w:val="24"/>
                <w:szCs w:val="24"/>
              </w:rPr>
              <w:t>15057,84</w:t>
            </w:r>
          </w:p>
          <w:p w:rsidR="0039412A" w:rsidRPr="00D776BD" w:rsidRDefault="0039412A" w:rsidP="00F3626B">
            <w:pPr>
              <w:spacing w:line="276" w:lineRule="auto"/>
              <w:jc w:val="right"/>
              <w:rPr>
                <w:rFonts w:ascii="Times New Roman" w:hAnsi="Times New Roman"/>
                <w:sz w:val="24"/>
                <w:szCs w:val="24"/>
                <w:lang w:val="uk-UA"/>
              </w:rPr>
            </w:pPr>
          </w:p>
        </w:tc>
        <w:tc>
          <w:tcPr>
            <w:tcW w:w="1030" w:type="dxa"/>
          </w:tcPr>
          <w:p w:rsidR="0039412A" w:rsidRPr="00D776BD" w:rsidRDefault="0039412A" w:rsidP="00F3626B">
            <w:pPr>
              <w:spacing w:line="276" w:lineRule="auto"/>
              <w:jc w:val="right"/>
              <w:rPr>
                <w:rFonts w:ascii="Times New Roman" w:hAnsi="Times New Roman"/>
                <w:sz w:val="24"/>
                <w:szCs w:val="24"/>
              </w:rPr>
            </w:pPr>
            <w:r w:rsidRPr="00D776BD">
              <w:rPr>
                <w:rFonts w:ascii="Times New Roman" w:hAnsi="Times New Roman"/>
                <w:sz w:val="24"/>
                <w:szCs w:val="24"/>
              </w:rPr>
              <w:t>20644,04</w:t>
            </w:r>
          </w:p>
          <w:p w:rsidR="0039412A" w:rsidRPr="00D776BD" w:rsidRDefault="0039412A" w:rsidP="00F3626B">
            <w:pPr>
              <w:spacing w:line="276" w:lineRule="auto"/>
              <w:jc w:val="right"/>
              <w:rPr>
                <w:rFonts w:ascii="Times New Roman" w:hAnsi="Times New Roman"/>
                <w:sz w:val="24"/>
                <w:szCs w:val="24"/>
                <w:highlight w:val="yellow"/>
                <w:lang w:val="uk-UA"/>
              </w:rPr>
            </w:pPr>
          </w:p>
        </w:tc>
      </w:tr>
      <w:tr w:rsidR="0039412A" w:rsidRPr="00D776BD" w:rsidTr="00D776BD">
        <w:trPr>
          <w:jc w:val="center"/>
        </w:trPr>
        <w:tc>
          <w:tcPr>
            <w:tcW w:w="0" w:type="auto"/>
          </w:tcPr>
          <w:p w:rsidR="0039412A" w:rsidRPr="00D776BD" w:rsidRDefault="0039412A" w:rsidP="00F3626B">
            <w:pPr>
              <w:widowControl w:val="0"/>
              <w:spacing w:line="276" w:lineRule="auto"/>
              <w:jc w:val="center"/>
              <w:rPr>
                <w:rFonts w:ascii="Times New Roman" w:hAnsi="Times New Roman"/>
                <w:sz w:val="24"/>
                <w:szCs w:val="24"/>
              </w:rPr>
            </w:pPr>
            <w:r w:rsidRPr="00D776BD">
              <w:rPr>
                <w:rFonts w:ascii="Times New Roman" w:hAnsi="Times New Roman"/>
                <w:sz w:val="24"/>
                <w:szCs w:val="24"/>
              </w:rPr>
              <w:t>2012</w:t>
            </w:r>
          </w:p>
        </w:tc>
        <w:tc>
          <w:tcPr>
            <w:tcW w:w="0" w:type="auto"/>
          </w:tcPr>
          <w:p w:rsidR="0039412A" w:rsidRPr="00D776BD" w:rsidRDefault="0039412A" w:rsidP="00F3626B">
            <w:pPr>
              <w:shd w:val="clear" w:color="auto" w:fill="FFFFFF"/>
              <w:spacing w:line="276" w:lineRule="auto"/>
              <w:jc w:val="right"/>
              <w:rPr>
                <w:rFonts w:ascii="Times New Roman" w:hAnsi="Times New Roman"/>
                <w:sz w:val="24"/>
                <w:szCs w:val="24"/>
              </w:rPr>
            </w:pPr>
            <w:r w:rsidRPr="00D776BD">
              <w:rPr>
                <w:rFonts w:ascii="Times New Roman" w:hAnsi="Times New Roman"/>
                <w:sz w:val="24"/>
                <w:szCs w:val="24"/>
              </w:rPr>
              <w:t>11840,00</w:t>
            </w:r>
          </w:p>
        </w:tc>
        <w:tc>
          <w:tcPr>
            <w:tcW w:w="0" w:type="auto"/>
          </w:tcPr>
          <w:p w:rsidR="0039412A" w:rsidRPr="00D776BD" w:rsidRDefault="0039412A" w:rsidP="00F3626B">
            <w:pPr>
              <w:spacing w:line="276" w:lineRule="auto"/>
              <w:jc w:val="right"/>
              <w:rPr>
                <w:rFonts w:ascii="Times New Roman" w:hAnsi="Times New Roman"/>
                <w:sz w:val="24"/>
                <w:szCs w:val="24"/>
              </w:rPr>
            </w:pPr>
            <w:r w:rsidRPr="00D776BD">
              <w:rPr>
                <w:rFonts w:ascii="Times New Roman" w:hAnsi="Times New Roman"/>
                <w:sz w:val="24"/>
                <w:szCs w:val="24"/>
              </w:rPr>
              <w:t>14052,96</w:t>
            </w:r>
          </w:p>
          <w:p w:rsidR="0039412A" w:rsidRPr="00D776BD" w:rsidRDefault="0039412A" w:rsidP="00F3626B">
            <w:pPr>
              <w:spacing w:line="276" w:lineRule="auto"/>
              <w:jc w:val="right"/>
              <w:rPr>
                <w:rFonts w:ascii="Times New Roman" w:hAnsi="Times New Roman"/>
                <w:sz w:val="24"/>
                <w:szCs w:val="24"/>
                <w:lang w:val="uk-UA"/>
              </w:rPr>
            </w:pPr>
          </w:p>
        </w:tc>
        <w:tc>
          <w:tcPr>
            <w:tcW w:w="0" w:type="auto"/>
          </w:tcPr>
          <w:p w:rsidR="0039412A" w:rsidRPr="00D776BD" w:rsidRDefault="0039412A" w:rsidP="00F3626B">
            <w:pPr>
              <w:shd w:val="clear" w:color="auto" w:fill="FFFFFF"/>
              <w:spacing w:line="276" w:lineRule="auto"/>
              <w:jc w:val="right"/>
              <w:rPr>
                <w:rFonts w:ascii="Times New Roman" w:hAnsi="Times New Roman"/>
                <w:sz w:val="24"/>
                <w:szCs w:val="24"/>
              </w:rPr>
            </w:pPr>
            <w:r w:rsidRPr="00D776BD">
              <w:rPr>
                <w:rFonts w:ascii="Times New Roman" w:hAnsi="Times New Roman"/>
                <w:sz w:val="24"/>
                <w:szCs w:val="24"/>
              </w:rPr>
              <w:t>12368,71</w:t>
            </w:r>
          </w:p>
          <w:p w:rsidR="0039412A" w:rsidRPr="00D776BD" w:rsidRDefault="0039412A" w:rsidP="00F3626B">
            <w:pPr>
              <w:shd w:val="clear" w:color="auto" w:fill="FFFFFF"/>
              <w:spacing w:line="276" w:lineRule="auto"/>
              <w:jc w:val="right"/>
              <w:rPr>
                <w:rFonts w:ascii="Times New Roman" w:hAnsi="Times New Roman"/>
                <w:sz w:val="24"/>
                <w:szCs w:val="24"/>
                <w:lang w:val="uk-UA"/>
              </w:rPr>
            </w:pPr>
          </w:p>
        </w:tc>
        <w:tc>
          <w:tcPr>
            <w:tcW w:w="0" w:type="auto"/>
          </w:tcPr>
          <w:p w:rsidR="0039412A" w:rsidRPr="00D776BD" w:rsidRDefault="0039412A" w:rsidP="00F3626B">
            <w:pPr>
              <w:spacing w:line="276" w:lineRule="auto"/>
              <w:jc w:val="right"/>
              <w:rPr>
                <w:rFonts w:ascii="Times New Roman" w:hAnsi="Times New Roman"/>
                <w:sz w:val="24"/>
                <w:szCs w:val="24"/>
              </w:rPr>
            </w:pPr>
            <w:r w:rsidRPr="00D776BD">
              <w:rPr>
                <w:rFonts w:ascii="Times New Roman" w:hAnsi="Times New Roman"/>
                <w:sz w:val="24"/>
                <w:szCs w:val="24"/>
              </w:rPr>
              <w:t>9013,76</w:t>
            </w:r>
          </w:p>
          <w:p w:rsidR="0039412A" w:rsidRPr="00D776BD" w:rsidRDefault="0039412A" w:rsidP="00F3626B">
            <w:pPr>
              <w:spacing w:line="276" w:lineRule="auto"/>
              <w:jc w:val="right"/>
              <w:rPr>
                <w:rFonts w:ascii="Times New Roman" w:hAnsi="Times New Roman"/>
                <w:sz w:val="24"/>
                <w:szCs w:val="24"/>
                <w:lang w:val="uk-UA"/>
              </w:rPr>
            </w:pPr>
          </w:p>
        </w:tc>
        <w:tc>
          <w:tcPr>
            <w:tcW w:w="0" w:type="auto"/>
          </w:tcPr>
          <w:p w:rsidR="0039412A" w:rsidRPr="00D776BD" w:rsidRDefault="0039412A" w:rsidP="00F3626B">
            <w:pPr>
              <w:shd w:val="clear" w:color="auto" w:fill="FFFFFF"/>
              <w:spacing w:line="276" w:lineRule="auto"/>
              <w:jc w:val="right"/>
              <w:rPr>
                <w:rFonts w:ascii="Times New Roman" w:hAnsi="Times New Roman"/>
                <w:sz w:val="24"/>
                <w:szCs w:val="24"/>
              </w:rPr>
            </w:pPr>
            <w:r w:rsidRPr="00D776BD">
              <w:rPr>
                <w:rFonts w:ascii="Times New Roman" w:hAnsi="Times New Roman"/>
                <w:sz w:val="24"/>
                <w:szCs w:val="24"/>
              </w:rPr>
              <w:t>9552,40</w:t>
            </w:r>
          </w:p>
          <w:p w:rsidR="0039412A" w:rsidRPr="00D776BD" w:rsidRDefault="0039412A" w:rsidP="00F3626B">
            <w:pPr>
              <w:shd w:val="clear" w:color="auto" w:fill="FFFFFF"/>
              <w:spacing w:line="276" w:lineRule="auto"/>
              <w:jc w:val="right"/>
              <w:rPr>
                <w:rFonts w:ascii="Times New Roman" w:hAnsi="Times New Roman"/>
                <w:sz w:val="24"/>
                <w:szCs w:val="24"/>
                <w:lang w:val="uk-UA"/>
              </w:rPr>
            </w:pPr>
          </w:p>
        </w:tc>
        <w:tc>
          <w:tcPr>
            <w:tcW w:w="0" w:type="auto"/>
          </w:tcPr>
          <w:p w:rsidR="0039412A" w:rsidRPr="00D776BD" w:rsidRDefault="0039412A" w:rsidP="00F3626B">
            <w:pPr>
              <w:spacing w:line="276" w:lineRule="auto"/>
              <w:jc w:val="right"/>
              <w:rPr>
                <w:rFonts w:ascii="Times New Roman" w:hAnsi="Times New Roman"/>
                <w:sz w:val="24"/>
                <w:szCs w:val="24"/>
              </w:rPr>
            </w:pPr>
            <w:r w:rsidRPr="00D776BD">
              <w:rPr>
                <w:rFonts w:ascii="Times New Roman" w:hAnsi="Times New Roman"/>
                <w:sz w:val="24"/>
                <w:szCs w:val="24"/>
              </w:rPr>
              <w:t>8588,49</w:t>
            </w:r>
          </w:p>
          <w:p w:rsidR="0039412A" w:rsidRPr="00D776BD" w:rsidRDefault="0039412A" w:rsidP="00F3626B">
            <w:pPr>
              <w:spacing w:line="276" w:lineRule="auto"/>
              <w:jc w:val="right"/>
              <w:rPr>
                <w:rFonts w:ascii="Times New Roman" w:hAnsi="Times New Roman"/>
                <w:sz w:val="24"/>
                <w:szCs w:val="24"/>
                <w:lang w:val="uk-UA"/>
              </w:rPr>
            </w:pPr>
          </w:p>
        </w:tc>
        <w:tc>
          <w:tcPr>
            <w:tcW w:w="0" w:type="auto"/>
          </w:tcPr>
          <w:p w:rsidR="0039412A" w:rsidRPr="00D776BD" w:rsidRDefault="0039412A" w:rsidP="00F3626B">
            <w:pPr>
              <w:shd w:val="clear" w:color="auto" w:fill="FFFFFF"/>
              <w:spacing w:line="276" w:lineRule="auto"/>
              <w:jc w:val="right"/>
              <w:rPr>
                <w:rFonts w:ascii="Times New Roman" w:hAnsi="Times New Roman"/>
                <w:sz w:val="24"/>
                <w:szCs w:val="24"/>
              </w:rPr>
            </w:pPr>
            <w:r w:rsidRPr="00D776BD">
              <w:rPr>
                <w:rFonts w:ascii="Times New Roman" w:hAnsi="Times New Roman"/>
                <w:sz w:val="24"/>
                <w:szCs w:val="24"/>
              </w:rPr>
              <w:t>15042,10</w:t>
            </w:r>
          </w:p>
          <w:p w:rsidR="0039412A" w:rsidRPr="00D776BD" w:rsidRDefault="0039412A" w:rsidP="00F3626B">
            <w:pPr>
              <w:shd w:val="clear" w:color="auto" w:fill="FFFFFF"/>
              <w:spacing w:line="276" w:lineRule="auto"/>
              <w:jc w:val="right"/>
              <w:rPr>
                <w:rFonts w:ascii="Times New Roman" w:hAnsi="Times New Roman"/>
                <w:sz w:val="24"/>
                <w:szCs w:val="24"/>
                <w:lang w:val="uk-UA"/>
              </w:rPr>
            </w:pPr>
          </w:p>
        </w:tc>
        <w:tc>
          <w:tcPr>
            <w:tcW w:w="1030" w:type="dxa"/>
          </w:tcPr>
          <w:p w:rsidR="0039412A" w:rsidRPr="00D776BD" w:rsidRDefault="0039412A" w:rsidP="00F3626B">
            <w:pPr>
              <w:spacing w:line="276" w:lineRule="auto"/>
              <w:jc w:val="right"/>
              <w:rPr>
                <w:rFonts w:ascii="Times New Roman" w:hAnsi="Times New Roman"/>
                <w:sz w:val="24"/>
                <w:szCs w:val="24"/>
              </w:rPr>
            </w:pPr>
            <w:r w:rsidRPr="00D776BD">
              <w:rPr>
                <w:rFonts w:ascii="Times New Roman" w:hAnsi="Times New Roman"/>
                <w:sz w:val="24"/>
                <w:szCs w:val="24"/>
              </w:rPr>
              <w:t>19779,66</w:t>
            </w:r>
          </w:p>
          <w:p w:rsidR="0039412A" w:rsidRPr="00D776BD" w:rsidRDefault="0039412A" w:rsidP="00F3626B">
            <w:pPr>
              <w:spacing w:line="276" w:lineRule="auto"/>
              <w:jc w:val="right"/>
              <w:rPr>
                <w:rFonts w:ascii="Times New Roman" w:hAnsi="Times New Roman"/>
                <w:sz w:val="24"/>
                <w:szCs w:val="24"/>
                <w:highlight w:val="yellow"/>
                <w:lang w:val="uk-UA"/>
              </w:rPr>
            </w:pPr>
          </w:p>
        </w:tc>
      </w:tr>
      <w:tr w:rsidR="0039412A" w:rsidRPr="00D776BD" w:rsidTr="00D776BD">
        <w:trPr>
          <w:jc w:val="center"/>
        </w:trPr>
        <w:tc>
          <w:tcPr>
            <w:tcW w:w="0" w:type="auto"/>
          </w:tcPr>
          <w:p w:rsidR="0039412A" w:rsidRPr="00D776BD" w:rsidRDefault="0039412A" w:rsidP="00F3626B">
            <w:pPr>
              <w:widowControl w:val="0"/>
              <w:spacing w:line="276" w:lineRule="auto"/>
              <w:jc w:val="center"/>
              <w:rPr>
                <w:rFonts w:ascii="Times New Roman" w:hAnsi="Times New Roman"/>
                <w:sz w:val="24"/>
                <w:szCs w:val="24"/>
              </w:rPr>
            </w:pPr>
            <w:r w:rsidRPr="00D776BD">
              <w:rPr>
                <w:rFonts w:ascii="Times New Roman" w:hAnsi="Times New Roman"/>
                <w:sz w:val="24"/>
                <w:szCs w:val="24"/>
              </w:rPr>
              <w:t>2013</w:t>
            </w:r>
          </w:p>
        </w:tc>
        <w:tc>
          <w:tcPr>
            <w:tcW w:w="0" w:type="auto"/>
          </w:tcPr>
          <w:p w:rsidR="0039412A" w:rsidRPr="00D776BD" w:rsidRDefault="0039412A" w:rsidP="00F3626B">
            <w:pPr>
              <w:spacing w:line="276" w:lineRule="auto"/>
              <w:jc w:val="right"/>
              <w:rPr>
                <w:rFonts w:ascii="Times New Roman" w:hAnsi="Times New Roman"/>
                <w:sz w:val="24"/>
                <w:szCs w:val="24"/>
              </w:rPr>
            </w:pPr>
            <w:r w:rsidRPr="00D776BD">
              <w:rPr>
                <w:rFonts w:ascii="Times New Roman" w:hAnsi="Times New Roman"/>
                <w:sz w:val="24"/>
                <w:szCs w:val="24"/>
              </w:rPr>
              <w:t>11478,59</w:t>
            </w:r>
          </w:p>
          <w:p w:rsidR="0039412A" w:rsidRPr="00D776BD" w:rsidRDefault="0039412A" w:rsidP="00F3626B">
            <w:pPr>
              <w:spacing w:line="276" w:lineRule="auto"/>
              <w:jc w:val="right"/>
              <w:rPr>
                <w:rFonts w:ascii="Times New Roman" w:hAnsi="Times New Roman"/>
                <w:sz w:val="24"/>
                <w:szCs w:val="24"/>
                <w:lang w:val="uk-UA"/>
              </w:rPr>
            </w:pPr>
          </w:p>
        </w:tc>
        <w:tc>
          <w:tcPr>
            <w:tcW w:w="0" w:type="auto"/>
          </w:tcPr>
          <w:p w:rsidR="0039412A" w:rsidRPr="00D776BD" w:rsidRDefault="0039412A" w:rsidP="00F3626B">
            <w:pPr>
              <w:shd w:val="clear" w:color="auto" w:fill="FFFFFF"/>
              <w:spacing w:line="276" w:lineRule="auto"/>
              <w:jc w:val="right"/>
              <w:rPr>
                <w:rFonts w:ascii="Times New Roman" w:hAnsi="Times New Roman"/>
                <w:sz w:val="24"/>
                <w:szCs w:val="24"/>
              </w:rPr>
            </w:pPr>
            <w:r w:rsidRPr="00D776BD">
              <w:rPr>
                <w:rFonts w:ascii="Times New Roman" w:hAnsi="Times New Roman"/>
                <w:sz w:val="24"/>
                <w:szCs w:val="24"/>
              </w:rPr>
              <w:t>13797,41</w:t>
            </w:r>
          </w:p>
          <w:p w:rsidR="0039412A" w:rsidRPr="00D776BD" w:rsidRDefault="0039412A" w:rsidP="00F3626B">
            <w:pPr>
              <w:shd w:val="clear" w:color="auto" w:fill="FFFFFF"/>
              <w:spacing w:line="276" w:lineRule="auto"/>
              <w:jc w:val="right"/>
              <w:rPr>
                <w:rFonts w:ascii="Times New Roman" w:hAnsi="Times New Roman"/>
                <w:sz w:val="24"/>
                <w:szCs w:val="24"/>
                <w:lang w:val="uk-UA"/>
              </w:rPr>
            </w:pPr>
          </w:p>
        </w:tc>
        <w:tc>
          <w:tcPr>
            <w:tcW w:w="0" w:type="auto"/>
          </w:tcPr>
          <w:p w:rsidR="0039412A" w:rsidRPr="00D776BD" w:rsidRDefault="0039412A" w:rsidP="00F3626B">
            <w:pPr>
              <w:spacing w:line="276" w:lineRule="auto"/>
              <w:jc w:val="right"/>
              <w:rPr>
                <w:rFonts w:ascii="Times New Roman" w:hAnsi="Times New Roman"/>
                <w:sz w:val="24"/>
                <w:szCs w:val="24"/>
              </w:rPr>
            </w:pPr>
            <w:r w:rsidRPr="00D776BD">
              <w:rPr>
                <w:rFonts w:ascii="Times New Roman" w:hAnsi="Times New Roman"/>
                <w:sz w:val="24"/>
                <w:szCs w:val="24"/>
              </w:rPr>
              <w:t>12566,89</w:t>
            </w:r>
          </w:p>
          <w:p w:rsidR="0039412A" w:rsidRPr="00D776BD" w:rsidRDefault="0039412A" w:rsidP="00F3626B">
            <w:pPr>
              <w:spacing w:line="276" w:lineRule="auto"/>
              <w:jc w:val="right"/>
              <w:rPr>
                <w:rFonts w:ascii="Times New Roman" w:hAnsi="Times New Roman"/>
                <w:sz w:val="24"/>
                <w:szCs w:val="24"/>
                <w:lang w:val="uk-UA"/>
              </w:rPr>
            </w:pPr>
          </w:p>
        </w:tc>
        <w:tc>
          <w:tcPr>
            <w:tcW w:w="0" w:type="auto"/>
          </w:tcPr>
          <w:p w:rsidR="0039412A" w:rsidRPr="00D776BD" w:rsidRDefault="0039412A" w:rsidP="00F3626B">
            <w:pPr>
              <w:shd w:val="clear" w:color="auto" w:fill="FFFFFF"/>
              <w:spacing w:line="276" w:lineRule="auto"/>
              <w:jc w:val="right"/>
              <w:rPr>
                <w:rFonts w:ascii="Times New Roman" w:hAnsi="Times New Roman"/>
                <w:sz w:val="24"/>
                <w:szCs w:val="24"/>
              </w:rPr>
            </w:pPr>
            <w:r w:rsidRPr="00D776BD">
              <w:rPr>
                <w:rFonts w:ascii="Times New Roman" w:hAnsi="Times New Roman"/>
                <w:sz w:val="24"/>
                <w:szCs w:val="24"/>
              </w:rPr>
              <w:t>8996,46</w:t>
            </w:r>
          </w:p>
          <w:p w:rsidR="0039412A" w:rsidRPr="00D776BD" w:rsidRDefault="0039412A" w:rsidP="00F3626B">
            <w:pPr>
              <w:shd w:val="clear" w:color="auto" w:fill="FFFFFF"/>
              <w:spacing w:line="276" w:lineRule="auto"/>
              <w:jc w:val="right"/>
              <w:rPr>
                <w:rFonts w:ascii="Times New Roman" w:hAnsi="Times New Roman"/>
                <w:sz w:val="24"/>
                <w:szCs w:val="24"/>
                <w:lang w:val="uk-UA"/>
              </w:rPr>
            </w:pPr>
          </w:p>
        </w:tc>
        <w:tc>
          <w:tcPr>
            <w:tcW w:w="0" w:type="auto"/>
          </w:tcPr>
          <w:p w:rsidR="0039412A" w:rsidRPr="00D776BD" w:rsidRDefault="0039412A" w:rsidP="00F3626B">
            <w:pPr>
              <w:spacing w:line="276" w:lineRule="auto"/>
              <w:jc w:val="right"/>
              <w:rPr>
                <w:rFonts w:ascii="Times New Roman" w:hAnsi="Times New Roman"/>
                <w:sz w:val="24"/>
                <w:szCs w:val="24"/>
              </w:rPr>
            </w:pPr>
            <w:r w:rsidRPr="00D776BD">
              <w:rPr>
                <w:rFonts w:ascii="Times New Roman" w:hAnsi="Times New Roman"/>
                <w:sz w:val="24"/>
                <w:szCs w:val="24"/>
              </w:rPr>
              <w:t>9603,40</w:t>
            </w:r>
          </w:p>
          <w:p w:rsidR="0039412A" w:rsidRPr="00D776BD" w:rsidRDefault="0039412A" w:rsidP="00F3626B">
            <w:pPr>
              <w:spacing w:line="276" w:lineRule="auto"/>
              <w:jc w:val="right"/>
              <w:rPr>
                <w:rFonts w:ascii="Times New Roman" w:hAnsi="Times New Roman"/>
                <w:sz w:val="24"/>
                <w:szCs w:val="24"/>
                <w:lang w:val="uk-UA"/>
              </w:rPr>
            </w:pPr>
          </w:p>
        </w:tc>
        <w:tc>
          <w:tcPr>
            <w:tcW w:w="0" w:type="auto"/>
          </w:tcPr>
          <w:p w:rsidR="0039412A" w:rsidRPr="00D776BD" w:rsidRDefault="0039412A" w:rsidP="00F3626B">
            <w:pPr>
              <w:shd w:val="clear" w:color="auto" w:fill="FFFFFF"/>
              <w:spacing w:line="276" w:lineRule="auto"/>
              <w:jc w:val="right"/>
              <w:rPr>
                <w:rFonts w:ascii="Times New Roman" w:hAnsi="Times New Roman"/>
                <w:sz w:val="24"/>
                <w:szCs w:val="24"/>
              </w:rPr>
            </w:pPr>
            <w:r w:rsidRPr="00D776BD">
              <w:rPr>
                <w:rFonts w:ascii="Times New Roman" w:hAnsi="Times New Roman"/>
                <w:sz w:val="24"/>
                <w:szCs w:val="24"/>
              </w:rPr>
              <w:t>8093,86</w:t>
            </w:r>
          </w:p>
          <w:p w:rsidR="0039412A" w:rsidRPr="00D776BD" w:rsidRDefault="0039412A" w:rsidP="00F3626B">
            <w:pPr>
              <w:shd w:val="clear" w:color="auto" w:fill="FFFFFF"/>
              <w:spacing w:line="276" w:lineRule="auto"/>
              <w:jc w:val="right"/>
              <w:rPr>
                <w:rFonts w:ascii="Times New Roman" w:hAnsi="Times New Roman"/>
                <w:sz w:val="24"/>
                <w:szCs w:val="24"/>
                <w:lang w:val="uk-UA"/>
              </w:rPr>
            </w:pPr>
          </w:p>
        </w:tc>
        <w:tc>
          <w:tcPr>
            <w:tcW w:w="0" w:type="auto"/>
          </w:tcPr>
          <w:p w:rsidR="0039412A" w:rsidRPr="00D776BD" w:rsidRDefault="0039412A" w:rsidP="00F3626B">
            <w:pPr>
              <w:shd w:val="clear" w:color="auto" w:fill="FFFFFF"/>
              <w:spacing w:line="276" w:lineRule="auto"/>
              <w:jc w:val="right"/>
              <w:rPr>
                <w:rFonts w:ascii="Times New Roman" w:hAnsi="Times New Roman"/>
                <w:sz w:val="24"/>
                <w:szCs w:val="24"/>
              </w:rPr>
            </w:pPr>
            <w:r w:rsidRPr="00D776BD">
              <w:rPr>
                <w:rFonts w:ascii="Times New Roman" w:hAnsi="Times New Roman"/>
                <w:sz w:val="24"/>
                <w:szCs w:val="24"/>
              </w:rPr>
              <w:t>15077,00</w:t>
            </w:r>
          </w:p>
          <w:p w:rsidR="0039412A" w:rsidRPr="00D776BD" w:rsidRDefault="0039412A" w:rsidP="00F3626B">
            <w:pPr>
              <w:shd w:val="clear" w:color="auto" w:fill="FFFFFF"/>
              <w:spacing w:line="276" w:lineRule="auto"/>
              <w:jc w:val="right"/>
              <w:rPr>
                <w:rFonts w:ascii="Times New Roman" w:hAnsi="Times New Roman"/>
                <w:sz w:val="24"/>
                <w:szCs w:val="24"/>
                <w:lang w:val="uk-UA"/>
              </w:rPr>
            </w:pPr>
          </w:p>
        </w:tc>
        <w:tc>
          <w:tcPr>
            <w:tcW w:w="1030" w:type="dxa"/>
          </w:tcPr>
          <w:p w:rsidR="0039412A" w:rsidRPr="00D776BD" w:rsidRDefault="0039412A" w:rsidP="00F3626B">
            <w:pPr>
              <w:shd w:val="clear" w:color="auto" w:fill="FFFFFF"/>
              <w:spacing w:line="276" w:lineRule="auto"/>
              <w:jc w:val="right"/>
              <w:rPr>
                <w:rFonts w:ascii="Times New Roman" w:hAnsi="Times New Roman"/>
                <w:sz w:val="24"/>
                <w:szCs w:val="24"/>
              </w:rPr>
            </w:pPr>
            <w:r w:rsidRPr="00D776BD">
              <w:rPr>
                <w:rFonts w:ascii="Times New Roman" w:hAnsi="Times New Roman"/>
                <w:sz w:val="24"/>
                <w:szCs w:val="24"/>
              </w:rPr>
              <w:t>18451,99</w:t>
            </w:r>
          </w:p>
          <w:p w:rsidR="0039412A" w:rsidRPr="00D776BD" w:rsidRDefault="0039412A" w:rsidP="00F3626B">
            <w:pPr>
              <w:shd w:val="clear" w:color="auto" w:fill="FFFFFF"/>
              <w:spacing w:line="276" w:lineRule="auto"/>
              <w:jc w:val="right"/>
              <w:rPr>
                <w:rFonts w:ascii="Times New Roman" w:hAnsi="Times New Roman"/>
                <w:sz w:val="24"/>
                <w:szCs w:val="24"/>
                <w:highlight w:val="yellow"/>
                <w:lang w:val="uk-UA"/>
              </w:rPr>
            </w:pPr>
          </w:p>
        </w:tc>
      </w:tr>
      <w:tr w:rsidR="0039412A" w:rsidRPr="00D776BD" w:rsidTr="00D776BD">
        <w:trPr>
          <w:jc w:val="center"/>
        </w:trPr>
        <w:tc>
          <w:tcPr>
            <w:tcW w:w="0" w:type="auto"/>
          </w:tcPr>
          <w:p w:rsidR="0039412A" w:rsidRPr="00D776BD" w:rsidRDefault="0039412A" w:rsidP="00F3626B">
            <w:pPr>
              <w:widowControl w:val="0"/>
              <w:spacing w:line="276" w:lineRule="auto"/>
              <w:jc w:val="center"/>
              <w:rPr>
                <w:rFonts w:ascii="Times New Roman" w:hAnsi="Times New Roman"/>
                <w:sz w:val="24"/>
                <w:szCs w:val="24"/>
                <w:lang w:val="uk-UA"/>
              </w:rPr>
            </w:pPr>
            <w:r w:rsidRPr="00D776BD">
              <w:rPr>
                <w:rFonts w:ascii="Times New Roman" w:hAnsi="Times New Roman"/>
                <w:sz w:val="24"/>
                <w:szCs w:val="24"/>
                <w:lang w:val="uk-UA"/>
              </w:rPr>
              <w:t>2014</w:t>
            </w:r>
          </w:p>
        </w:tc>
        <w:tc>
          <w:tcPr>
            <w:tcW w:w="0" w:type="auto"/>
          </w:tcPr>
          <w:p w:rsidR="0039412A" w:rsidRPr="00D776BD" w:rsidRDefault="0039412A" w:rsidP="00F3626B">
            <w:pPr>
              <w:shd w:val="clear" w:color="auto" w:fill="FFFFFF"/>
              <w:spacing w:line="276" w:lineRule="auto"/>
              <w:jc w:val="right"/>
              <w:rPr>
                <w:rFonts w:ascii="Times New Roman" w:hAnsi="Times New Roman"/>
                <w:sz w:val="24"/>
                <w:szCs w:val="24"/>
              </w:rPr>
            </w:pPr>
            <w:r w:rsidRPr="00D776BD">
              <w:rPr>
                <w:rFonts w:ascii="Times New Roman" w:hAnsi="Times New Roman"/>
                <w:sz w:val="24"/>
                <w:szCs w:val="24"/>
              </w:rPr>
              <w:t>11072,27</w:t>
            </w:r>
          </w:p>
          <w:p w:rsidR="0039412A" w:rsidRPr="00D776BD" w:rsidRDefault="0039412A" w:rsidP="00F3626B">
            <w:pPr>
              <w:shd w:val="clear" w:color="auto" w:fill="FFFFFF"/>
              <w:spacing w:line="276" w:lineRule="auto"/>
              <w:jc w:val="right"/>
              <w:rPr>
                <w:rFonts w:ascii="Times New Roman" w:hAnsi="Times New Roman"/>
                <w:sz w:val="24"/>
                <w:szCs w:val="24"/>
                <w:lang w:val="uk-UA"/>
              </w:rPr>
            </w:pPr>
          </w:p>
        </w:tc>
        <w:tc>
          <w:tcPr>
            <w:tcW w:w="0" w:type="auto"/>
          </w:tcPr>
          <w:p w:rsidR="0039412A" w:rsidRPr="00D776BD" w:rsidRDefault="0039412A" w:rsidP="00F3626B">
            <w:pPr>
              <w:shd w:val="clear" w:color="auto" w:fill="FFFFFF"/>
              <w:spacing w:line="276" w:lineRule="auto"/>
              <w:jc w:val="right"/>
              <w:rPr>
                <w:rFonts w:ascii="Times New Roman" w:hAnsi="Times New Roman"/>
                <w:sz w:val="24"/>
                <w:szCs w:val="24"/>
              </w:rPr>
            </w:pPr>
            <w:r w:rsidRPr="00D776BD">
              <w:rPr>
                <w:rFonts w:ascii="Times New Roman" w:hAnsi="Times New Roman"/>
                <w:sz w:val="24"/>
                <w:szCs w:val="24"/>
              </w:rPr>
              <w:t>14273,64</w:t>
            </w:r>
          </w:p>
          <w:p w:rsidR="0039412A" w:rsidRPr="00D776BD" w:rsidRDefault="0039412A" w:rsidP="00F3626B">
            <w:pPr>
              <w:shd w:val="clear" w:color="auto" w:fill="FFFFFF"/>
              <w:spacing w:line="276" w:lineRule="auto"/>
              <w:jc w:val="right"/>
              <w:rPr>
                <w:rFonts w:ascii="Times New Roman" w:hAnsi="Times New Roman"/>
                <w:sz w:val="24"/>
                <w:szCs w:val="24"/>
                <w:lang w:val="uk-UA"/>
              </w:rPr>
            </w:pPr>
          </w:p>
        </w:tc>
        <w:tc>
          <w:tcPr>
            <w:tcW w:w="0" w:type="auto"/>
          </w:tcPr>
          <w:p w:rsidR="0039412A" w:rsidRPr="00D776BD" w:rsidRDefault="0039412A" w:rsidP="00F3626B">
            <w:pPr>
              <w:shd w:val="clear" w:color="auto" w:fill="FFFFFF"/>
              <w:spacing w:line="276" w:lineRule="auto"/>
              <w:jc w:val="right"/>
              <w:rPr>
                <w:rFonts w:ascii="Times New Roman" w:hAnsi="Times New Roman"/>
                <w:sz w:val="24"/>
                <w:szCs w:val="24"/>
              </w:rPr>
            </w:pPr>
            <w:r w:rsidRPr="00D776BD">
              <w:rPr>
                <w:rFonts w:ascii="Times New Roman" w:hAnsi="Times New Roman"/>
                <w:sz w:val="24"/>
                <w:szCs w:val="24"/>
              </w:rPr>
              <w:t>12375,55</w:t>
            </w:r>
          </w:p>
          <w:p w:rsidR="0039412A" w:rsidRPr="00D776BD" w:rsidRDefault="0039412A" w:rsidP="00F3626B">
            <w:pPr>
              <w:shd w:val="clear" w:color="auto" w:fill="FFFFFF"/>
              <w:spacing w:line="276" w:lineRule="auto"/>
              <w:jc w:val="right"/>
              <w:rPr>
                <w:rFonts w:ascii="Times New Roman" w:hAnsi="Times New Roman"/>
                <w:sz w:val="24"/>
                <w:szCs w:val="24"/>
                <w:lang w:val="uk-UA"/>
              </w:rPr>
            </w:pPr>
          </w:p>
        </w:tc>
        <w:tc>
          <w:tcPr>
            <w:tcW w:w="0" w:type="auto"/>
          </w:tcPr>
          <w:p w:rsidR="0039412A" w:rsidRPr="00D776BD" w:rsidRDefault="0039412A" w:rsidP="00F3626B">
            <w:pPr>
              <w:shd w:val="clear" w:color="auto" w:fill="FFFFFF"/>
              <w:spacing w:line="276" w:lineRule="auto"/>
              <w:jc w:val="right"/>
              <w:rPr>
                <w:rFonts w:ascii="Times New Roman" w:hAnsi="Times New Roman"/>
                <w:sz w:val="24"/>
                <w:szCs w:val="24"/>
              </w:rPr>
            </w:pPr>
            <w:r w:rsidRPr="00D776BD">
              <w:rPr>
                <w:rFonts w:ascii="Times New Roman" w:hAnsi="Times New Roman"/>
                <w:sz w:val="24"/>
                <w:szCs w:val="24"/>
              </w:rPr>
              <w:t>8947,53</w:t>
            </w:r>
          </w:p>
          <w:p w:rsidR="0039412A" w:rsidRPr="00D776BD" w:rsidRDefault="0039412A" w:rsidP="00F3626B">
            <w:pPr>
              <w:shd w:val="clear" w:color="auto" w:fill="FFFFFF"/>
              <w:spacing w:line="276" w:lineRule="auto"/>
              <w:jc w:val="right"/>
              <w:rPr>
                <w:rFonts w:ascii="Times New Roman" w:hAnsi="Times New Roman"/>
                <w:sz w:val="24"/>
                <w:szCs w:val="24"/>
                <w:lang w:val="uk-UA"/>
              </w:rPr>
            </w:pPr>
          </w:p>
        </w:tc>
        <w:tc>
          <w:tcPr>
            <w:tcW w:w="0" w:type="auto"/>
          </w:tcPr>
          <w:p w:rsidR="0039412A" w:rsidRPr="00D776BD" w:rsidRDefault="0039412A" w:rsidP="00F3626B">
            <w:pPr>
              <w:spacing w:line="276" w:lineRule="auto"/>
              <w:jc w:val="right"/>
              <w:rPr>
                <w:rFonts w:ascii="Times New Roman" w:hAnsi="Times New Roman"/>
                <w:sz w:val="24"/>
                <w:szCs w:val="24"/>
              </w:rPr>
            </w:pPr>
            <w:r w:rsidRPr="00D776BD">
              <w:rPr>
                <w:rFonts w:ascii="Times New Roman" w:hAnsi="Times New Roman"/>
                <w:sz w:val="24"/>
                <w:szCs w:val="24"/>
              </w:rPr>
              <w:t>9443,27</w:t>
            </w:r>
          </w:p>
          <w:p w:rsidR="0039412A" w:rsidRPr="00D776BD" w:rsidRDefault="0039412A" w:rsidP="00F3626B">
            <w:pPr>
              <w:spacing w:line="276" w:lineRule="auto"/>
              <w:jc w:val="right"/>
              <w:rPr>
                <w:rFonts w:ascii="Times New Roman" w:hAnsi="Times New Roman"/>
                <w:sz w:val="24"/>
                <w:szCs w:val="24"/>
                <w:lang w:val="uk-UA"/>
              </w:rPr>
            </w:pPr>
          </w:p>
        </w:tc>
        <w:tc>
          <w:tcPr>
            <w:tcW w:w="0" w:type="auto"/>
          </w:tcPr>
          <w:p w:rsidR="0039412A" w:rsidRPr="00D776BD" w:rsidRDefault="0039412A" w:rsidP="00F3626B">
            <w:pPr>
              <w:spacing w:line="276" w:lineRule="auto"/>
              <w:jc w:val="right"/>
              <w:rPr>
                <w:rFonts w:ascii="Times New Roman" w:hAnsi="Times New Roman"/>
                <w:sz w:val="24"/>
                <w:szCs w:val="24"/>
              </w:rPr>
            </w:pPr>
            <w:r w:rsidRPr="00D776BD">
              <w:rPr>
                <w:rFonts w:ascii="Times New Roman" w:hAnsi="Times New Roman"/>
                <w:sz w:val="24"/>
                <w:szCs w:val="24"/>
              </w:rPr>
              <w:t>8229,24</w:t>
            </w:r>
          </w:p>
          <w:p w:rsidR="0039412A" w:rsidRPr="00D776BD" w:rsidRDefault="0039412A" w:rsidP="00F3626B">
            <w:pPr>
              <w:spacing w:line="276" w:lineRule="auto"/>
              <w:jc w:val="right"/>
              <w:rPr>
                <w:rFonts w:ascii="Times New Roman" w:hAnsi="Times New Roman"/>
                <w:sz w:val="24"/>
                <w:szCs w:val="24"/>
                <w:lang w:val="uk-UA"/>
              </w:rPr>
            </w:pPr>
          </w:p>
        </w:tc>
        <w:tc>
          <w:tcPr>
            <w:tcW w:w="0" w:type="auto"/>
          </w:tcPr>
          <w:p w:rsidR="0039412A" w:rsidRPr="00D776BD" w:rsidRDefault="0039412A" w:rsidP="00F3626B">
            <w:pPr>
              <w:spacing w:line="276" w:lineRule="auto"/>
              <w:jc w:val="right"/>
              <w:rPr>
                <w:rFonts w:ascii="Times New Roman" w:hAnsi="Times New Roman"/>
                <w:sz w:val="24"/>
                <w:szCs w:val="24"/>
              </w:rPr>
            </w:pPr>
            <w:r w:rsidRPr="00D776BD">
              <w:rPr>
                <w:rFonts w:ascii="Times New Roman" w:hAnsi="Times New Roman"/>
                <w:sz w:val="24"/>
                <w:szCs w:val="24"/>
              </w:rPr>
              <w:t>15056,10</w:t>
            </w:r>
          </w:p>
          <w:p w:rsidR="0039412A" w:rsidRPr="00D776BD" w:rsidRDefault="0039412A" w:rsidP="00F3626B">
            <w:pPr>
              <w:spacing w:line="276" w:lineRule="auto"/>
              <w:jc w:val="right"/>
              <w:rPr>
                <w:rFonts w:ascii="Times New Roman" w:hAnsi="Times New Roman"/>
                <w:sz w:val="24"/>
                <w:szCs w:val="24"/>
                <w:lang w:val="uk-UA"/>
              </w:rPr>
            </w:pPr>
          </w:p>
        </w:tc>
        <w:tc>
          <w:tcPr>
            <w:tcW w:w="1030" w:type="dxa"/>
          </w:tcPr>
          <w:p w:rsidR="0039412A" w:rsidRPr="00D776BD" w:rsidRDefault="0039412A" w:rsidP="00F3626B">
            <w:pPr>
              <w:spacing w:line="276" w:lineRule="auto"/>
              <w:jc w:val="right"/>
              <w:rPr>
                <w:rFonts w:ascii="Times New Roman" w:hAnsi="Times New Roman"/>
                <w:sz w:val="24"/>
                <w:szCs w:val="24"/>
              </w:rPr>
            </w:pPr>
            <w:r w:rsidRPr="00D776BD">
              <w:rPr>
                <w:rFonts w:ascii="Times New Roman" w:hAnsi="Times New Roman"/>
                <w:sz w:val="24"/>
                <w:szCs w:val="24"/>
              </w:rPr>
              <w:t>19303,48</w:t>
            </w:r>
          </w:p>
          <w:p w:rsidR="0039412A" w:rsidRPr="00D776BD" w:rsidRDefault="0039412A" w:rsidP="00F3626B">
            <w:pPr>
              <w:spacing w:line="276" w:lineRule="auto"/>
              <w:jc w:val="right"/>
              <w:rPr>
                <w:rFonts w:ascii="Times New Roman" w:hAnsi="Times New Roman"/>
                <w:sz w:val="24"/>
                <w:szCs w:val="24"/>
                <w:highlight w:val="yellow"/>
                <w:lang w:val="uk-UA"/>
              </w:rPr>
            </w:pPr>
          </w:p>
        </w:tc>
      </w:tr>
      <w:tr w:rsidR="0039412A" w:rsidRPr="00D776BD" w:rsidTr="00D776BD">
        <w:trPr>
          <w:jc w:val="center"/>
        </w:trPr>
        <w:tc>
          <w:tcPr>
            <w:tcW w:w="0" w:type="auto"/>
          </w:tcPr>
          <w:p w:rsidR="0039412A" w:rsidRPr="00D776BD" w:rsidRDefault="0039412A" w:rsidP="00F3626B">
            <w:pPr>
              <w:widowControl w:val="0"/>
              <w:spacing w:line="276" w:lineRule="auto"/>
              <w:jc w:val="center"/>
              <w:rPr>
                <w:rFonts w:ascii="Times New Roman" w:hAnsi="Times New Roman"/>
                <w:sz w:val="24"/>
                <w:szCs w:val="24"/>
                <w:lang w:val="uk-UA"/>
              </w:rPr>
            </w:pPr>
            <w:r w:rsidRPr="00D776BD">
              <w:rPr>
                <w:rFonts w:ascii="Times New Roman" w:hAnsi="Times New Roman"/>
                <w:sz w:val="24"/>
                <w:szCs w:val="24"/>
                <w:lang w:val="uk-UA"/>
              </w:rPr>
              <w:t>2015</w:t>
            </w:r>
          </w:p>
        </w:tc>
        <w:tc>
          <w:tcPr>
            <w:tcW w:w="0" w:type="auto"/>
          </w:tcPr>
          <w:p w:rsidR="0039412A" w:rsidRPr="00D776BD" w:rsidRDefault="0039412A" w:rsidP="00F3626B">
            <w:pPr>
              <w:spacing w:line="276" w:lineRule="auto"/>
              <w:jc w:val="right"/>
              <w:rPr>
                <w:rFonts w:ascii="Times New Roman" w:hAnsi="Times New Roman"/>
                <w:sz w:val="24"/>
                <w:szCs w:val="24"/>
              </w:rPr>
            </w:pPr>
            <w:r w:rsidRPr="00D776BD">
              <w:rPr>
                <w:rFonts w:ascii="Times New Roman" w:hAnsi="Times New Roman"/>
                <w:sz w:val="24"/>
                <w:szCs w:val="24"/>
              </w:rPr>
              <w:t>10721,13</w:t>
            </w:r>
          </w:p>
          <w:p w:rsidR="0039412A" w:rsidRPr="00D776BD" w:rsidRDefault="0039412A" w:rsidP="00F3626B">
            <w:pPr>
              <w:spacing w:line="276" w:lineRule="auto"/>
              <w:jc w:val="right"/>
              <w:rPr>
                <w:rFonts w:ascii="Times New Roman" w:hAnsi="Times New Roman"/>
                <w:sz w:val="24"/>
                <w:szCs w:val="24"/>
                <w:lang w:val="uk-UA"/>
              </w:rPr>
            </w:pPr>
          </w:p>
        </w:tc>
        <w:tc>
          <w:tcPr>
            <w:tcW w:w="0" w:type="auto"/>
          </w:tcPr>
          <w:p w:rsidR="0039412A" w:rsidRPr="00D776BD" w:rsidRDefault="0039412A" w:rsidP="00F3626B">
            <w:pPr>
              <w:spacing w:line="276" w:lineRule="auto"/>
              <w:jc w:val="right"/>
              <w:rPr>
                <w:rFonts w:ascii="Times New Roman" w:hAnsi="Times New Roman"/>
                <w:sz w:val="24"/>
                <w:szCs w:val="24"/>
              </w:rPr>
            </w:pPr>
            <w:r w:rsidRPr="00D776BD">
              <w:rPr>
                <w:rFonts w:ascii="Times New Roman" w:hAnsi="Times New Roman"/>
                <w:sz w:val="24"/>
                <w:szCs w:val="24"/>
              </w:rPr>
              <w:t>14183,77</w:t>
            </w:r>
          </w:p>
          <w:p w:rsidR="0039412A" w:rsidRPr="00D776BD" w:rsidRDefault="0039412A" w:rsidP="00F3626B">
            <w:pPr>
              <w:spacing w:line="276" w:lineRule="auto"/>
              <w:jc w:val="right"/>
              <w:rPr>
                <w:rFonts w:ascii="Times New Roman" w:hAnsi="Times New Roman"/>
                <w:sz w:val="24"/>
                <w:szCs w:val="24"/>
                <w:lang w:val="uk-UA"/>
              </w:rPr>
            </w:pPr>
          </w:p>
        </w:tc>
        <w:tc>
          <w:tcPr>
            <w:tcW w:w="0" w:type="auto"/>
          </w:tcPr>
          <w:p w:rsidR="0039412A" w:rsidRPr="00D776BD" w:rsidRDefault="0039412A" w:rsidP="00F3626B">
            <w:pPr>
              <w:shd w:val="clear" w:color="auto" w:fill="FFFFFF"/>
              <w:spacing w:line="276" w:lineRule="auto"/>
              <w:jc w:val="right"/>
              <w:rPr>
                <w:rFonts w:ascii="Times New Roman" w:hAnsi="Times New Roman"/>
                <w:sz w:val="24"/>
                <w:szCs w:val="24"/>
              </w:rPr>
            </w:pPr>
            <w:r w:rsidRPr="00D776BD">
              <w:rPr>
                <w:rFonts w:ascii="Times New Roman" w:hAnsi="Times New Roman"/>
                <w:sz w:val="24"/>
                <w:szCs w:val="24"/>
              </w:rPr>
              <w:t>12432,51</w:t>
            </w:r>
          </w:p>
          <w:p w:rsidR="0039412A" w:rsidRPr="00D776BD" w:rsidRDefault="0039412A" w:rsidP="00F3626B">
            <w:pPr>
              <w:shd w:val="clear" w:color="auto" w:fill="FFFFFF"/>
              <w:spacing w:line="276" w:lineRule="auto"/>
              <w:jc w:val="right"/>
              <w:rPr>
                <w:rFonts w:ascii="Times New Roman" w:hAnsi="Times New Roman"/>
                <w:sz w:val="24"/>
                <w:szCs w:val="24"/>
                <w:lang w:val="uk-UA"/>
              </w:rPr>
            </w:pPr>
          </w:p>
        </w:tc>
        <w:tc>
          <w:tcPr>
            <w:tcW w:w="0" w:type="auto"/>
          </w:tcPr>
          <w:p w:rsidR="0039412A" w:rsidRPr="00D776BD" w:rsidRDefault="0039412A" w:rsidP="00F3626B">
            <w:pPr>
              <w:spacing w:line="276" w:lineRule="auto"/>
              <w:jc w:val="right"/>
              <w:rPr>
                <w:rFonts w:ascii="Times New Roman" w:hAnsi="Times New Roman"/>
                <w:sz w:val="24"/>
                <w:szCs w:val="24"/>
              </w:rPr>
            </w:pPr>
            <w:r w:rsidRPr="00D776BD">
              <w:rPr>
                <w:rFonts w:ascii="Times New Roman" w:hAnsi="Times New Roman"/>
                <w:sz w:val="24"/>
                <w:szCs w:val="24"/>
              </w:rPr>
              <w:t>9068,02</w:t>
            </w:r>
          </w:p>
          <w:p w:rsidR="0039412A" w:rsidRPr="00D776BD" w:rsidRDefault="0039412A" w:rsidP="00F3626B">
            <w:pPr>
              <w:spacing w:line="276" w:lineRule="auto"/>
              <w:jc w:val="right"/>
              <w:rPr>
                <w:rFonts w:ascii="Times New Roman" w:hAnsi="Times New Roman"/>
                <w:sz w:val="24"/>
                <w:szCs w:val="24"/>
                <w:lang w:val="uk-UA"/>
              </w:rPr>
            </w:pPr>
          </w:p>
        </w:tc>
        <w:tc>
          <w:tcPr>
            <w:tcW w:w="0" w:type="auto"/>
          </w:tcPr>
          <w:p w:rsidR="0039412A" w:rsidRPr="00D776BD" w:rsidRDefault="0039412A" w:rsidP="00F3626B">
            <w:pPr>
              <w:shd w:val="clear" w:color="auto" w:fill="FFFFFF"/>
              <w:spacing w:line="276" w:lineRule="auto"/>
              <w:jc w:val="right"/>
              <w:rPr>
                <w:rFonts w:ascii="Times New Roman" w:hAnsi="Times New Roman"/>
                <w:sz w:val="24"/>
                <w:szCs w:val="24"/>
              </w:rPr>
            </w:pPr>
            <w:r w:rsidRPr="00D776BD">
              <w:rPr>
                <w:rFonts w:ascii="Times New Roman" w:hAnsi="Times New Roman"/>
                <w:sz w:val="24"/>
                <w:szCs w:val="24"/>
              </w:rPr>
              <w:t>9531,43</w:t>
            </w:r>
          </w:p>
          <w:p w:rsidR="0039412A" w:rsidRPr="00D776BD" w:rsidRDefault="0039412A" w:rsidP="00F3626B">
            <w:pPr>
              <w:shd w:val="clear" w:color="auto" w:fill="FFFFFF"/>
              <w:spacing w:line="276" w:lineRule="auto"/>
              <w:jc w:val="right"/>
              <w:rPr>
                <w:rFonts w:ascii="Times New Roman" w:hAnsi="Times New Roman"/>
                <w:sz w:val="24"/>
                <w:szCs w:val="24"/>
                <w:lang w:val="uk-UA"/>
              </w:rPr>
            </w:pPr>
          </w:p>
        </w:tc>
        <w:tc>
          <w:tcPr>
            <w:tcW w:w="0" w:type="auto"/>
          </w:tcPr>
          <w:p w:rsidR="0039412A" w:rsidRPr="00D776BD" w:rsidRDefault="0039412A" w:rsidP="00F3626B">
            <w:pPr>
              <w:shd w:val="clear" w:color="auto" w:fill="FFFFFF"/>
              <w:spacing w:line="276" w:lineRule="auto"/>
              <w:jc w:val="right"/>
              <w:rPr>
                <w:rFonts w:ascii="Times New Roman" w:hAnsi="Times New Roman"/>
                <w:sz w:val="24"/>
                <w:szCs w:val="24"/>
              </w:rPr>
            </w:pPr>
            <w:r w:rsidRPr="00D776BD">
              <w:rPr>
                <w:rFonts w:ascii="Times New Roman" w:hAnsi="Times New Roman"/>
                <w:sz w:val="24"/>
                <w:szCs w:val="24"/>
              </w:rPr>
              <w:t>7991,63</w:t>
            </w:r>
          </w:p>
          <w:p w:rsidR="0039412A" w:rsidRPr="00D776BD" w:rsidRDefault="0039412A" w:rsidP="00F3626B">
            <w:pPr>
              <w:shd w:val="clear" w:color="auto" w:fill="FFFFFF"/>
              <w:spacing w:line="276" w:lineRule="auto"/>
              <w:jc w:val="right"/>
              <w:rPr>
                <w:rFonts w:ascii="Times New Roman" w:hAnsi="Times New Roman"/>
                <w:sz w:val="24"/>
                <w:szCs w:val="24"/>
                <w:lang w:val="uk-UA"/>
              </w:rPr>
            </w:pPr>
          </w:p>
        </w:tc>
        <w:tc>
          <w:tcPr>
            <w:tcW w:w="0" w:type="auto"/>
          </w:tcPr>
          <w:p w:rsidR="0039412A" w:rsidRPr="00D776BD" w:rsidRDefault="0039412A" w:rsidP="00F3626B">
            <w:pPr>
              <w:spacing w:line="276" w:lineRule="auto"/>
              <w:jc w:val="right"/>
              <w:rPr>
                <w:rFonts w:ascii="Times New Roman" w:hAnsi="Times New Roman"/>
                <w:sz w:val="24"/>
                <w:szCs w:val="24"/>
              </w:rPr>
            </w:pPr>
            <w:r w:rsidRPr="00D776BD">
              <w:rPr>
                <w:rFonts w:ascii="Times New Roman" w:hAnsi="Times New Roman"/>
                <w:sz w:val="24"/>
                <w:szCs w:val="24"/>
              </w:rPr>
              <w:t>15081,24</w:t>
            </w:r>
          </w:p>
          <w:p w:rsidR="0039412A" w:rsidRPr="00D776BD" w:rsidRDefault="0039412A" w:rsidP="00F3626B">
            <w:pPr>
              <w:spacing w:line="276" w:lineRule="auto"/>
              <w:jc w:val="right"/>
              <w:rPr>
                <w:rFonts w:ascii="Times New Roman" w:hAnsi="Times New Roman"/>
                <w:sz w:val="24"/>
                <w:szCs w:val="24"/>
                <w:lang w:val="uk-UA"/>
              </w:rPr>
            </w:pPr>
          </w:p>
        </w:tc>
        <w:tc>
          <w:tcPr>
            <w:tcW w:w="1030" w:type="dxa"/>
          </w:tcPr>
          <w:p w:rsidR="0039412A" w:rsidRPr="00D776BD" w:rsidRDefault="0039412A" w:rsidP="00F3626B">
            <w:pPr>
              <w:shd w:val="clear" w:color="auto" w:fill="FFFFFF"/>
              <w:spacing w:line="276" w:lineRule="auto"/>
              <w:jc w:val="right"/>
              <w:rPr>
                <w:rFonts w:ascii="Times New Roman" w:hAnsi="Times New Roman"/>
                <w:sz w:val="24"/>
                <w:szCs w:val="24"/>
              </w:rPr>
            </w:pPr>
            <w:r w:rsidRPr="00D776BD">
              <w:rPr>
                <w:rFonts w:ascii="Times New Roman" w:hAnsi="Times New Roman"/>
                <w:sz w:val="24"/>
                <w:szCs w:val="24"/>
              </w:rPr>
              <w:t>20075,55</w:t>
            </w:r>
          </w:p>
          <w:p w:rsidR="0039412A" w:rsidRPr="00D776BD" w:rsidRDefault="0039412A" w:rsidP="00F3626B">
            <w:pPr>
              <w:shd w:val="clear" w:color="auto" w:fill="FFFFFF"/>
              <w:spacing w:line="276" w:lineRule="auto"/>
              <w:jc w:val="right"/>
              <w:rPr>
                <w:rFonts w:ascii="Times New Roman" w:hAnsi="Times New Roman"/>
                <w:sz w:val="24"/>
                <w:szCs w:val="24"/>
                <w:highlight w:val="yellow"/>
                <w:lang w:val="uk-UA"/>
              </w:rPr>
            </w:pPr>
          </w:p>
        </w:tc>
      </w:tr>
      <w:tr w:rsidR="0039412A" w:rsidRPr="00D776BD" w:rsidTr="00D776BD">
        <w:trPr>
          <w:jc w:val="center"/>
        </w:trPr>
        <w:tc>
          <w:tcPr>
            <w:tcW w:w="0" w:type="auto"/>
          </w:tcPr>
          <w:p w:rsidR="0039412A" w:rsidRPr="00D776BD" w:rsidRDefault="0039412A" w:rsidP="00F3626B">
            <w:pPr>
              <w:widowControl w:val="0"/>
              <w:spacing w:line="276" w:lineRule="auto"/>
              <w:jc w:val="center"/>
              <w:rPr>
                <w:rFonts w:ascii="Times New Roman" w:hAnsi="Times New Roman"/>
                <w:sz w:val="24"/>
                <w:szCs w:val="24"/>
                <w:lang w:val="uk-UA"/>
              </w:rPr>
            </w:pPr>
            <w:r w:rsidRPr="00D776BD">
              <w:rPr>
                <w:rFonts w:ascii="Times New Roman" w:hAnsi="Times New Roman"/>
                <w:sz w:val="24"/>
                <w:szCs w:val="24"/>
                <w:lang w:val="uk-UA"/>
              </w:rPr>
              <w:t>2016</w:t>
            </w:r>
          </w:p>
        </w:tc>
        <w:tc>
          <w:tcPr>
            <w:tcW w:w="0" w:type="auto"/>
          </w:tcPr>
          <w:p w:rsidR="0039412A" w:rsidRPr="00D776BD" w:rsidRDefault="0039412A" w:rsidP="00F3626B">
            <w:pPr>
              <w:spacing w:line="276" w:lineRule="auto"/>
              <w:jc w:val="right"/>
              <w:rPr>
                <w:rFonts w:ascii="Times New Roman" w:hAnsi="Times New Roman"/>
                <w:sz w:val="24"/>
                <w:szCs w:val="24"/>
              </w:rPr>
            </w:pPr>
            <w:r w:rsidRPr="00D776BD">
              <w:rPr>
                <w:rFonts w:ascii="Times New Roman" w:hAnsi="Times New Roman"/>
                <w:sz w:val="24"/>
                <w:szCs w:val="24"/>
              </w:rPr>
              <w:t>10771,96</w:t>
            </w:r>
          </w:p>
          <w:p w:rsidR="0039412A" w:rsidRPr="00D776BD" w:rsidRDefault="0039412A" w:rsidP="00F3626B">
            <w:pPr>
              <w:spacing w:line="276" w:lineRule="auto"/>
              <w:jc w:val="right"/>
              <w:rPr>
                <w:rFonts w:ascii="Times New Roman" w:hAnsi="Times New Roman"/>
                <w:sz w:val="24"/>
                <w:szCs w:val="24"/>
                <w:lang w:val="uk-UA"/>
              </w:rPr>
            </w:pPr>
          </w:p>
        </w:tc>
        <w:tc>
          <w:tcPr>
            <w:tcW w:w="0" w:type="auto"/>
          </w:tcPr>
          <w:p w:rsidR="0039412A" w:rsidRPr="00D776BD" w:rsidRDefault="0039412A" w:rsidP="00F3626B">
            <w:pPr>
              <w:shd w:val="clear" w:color="auto" w:fill="FFFFFF"/>
              <w:spacing w:line="276" w:lineRule="auto"/>
              <w:jc w:val="right"/>
              <w:rPr>
                <w:rFonts w:ascii="Times New Roman" w:hAnsi="Times New Roman"/>
                <w:sz w:val="24"/>
                <w:szCs w:val="24"/>
              </w:rPr>
            </w:pPr>
            <w:r w:rsidRPr="00D776BD">
              <w:rPr>
                <w:rFonts w:ascii="Times New Roman" w:hAnsi="Times New Roman"/>
                <w:sz w:val="24"/>
                <w:szCs w:val="24"/>
              </w:rPr>
              <w:t>14182,76</w:t>
            </w:r>
          </w:p>
          <w:p w:rsidR="0039412A" w:rsidRPr="00D776BD" w:rsidRDefault="0039412A" w:rsidP="00F3626B">
            <w:pPr>
              <w:shd w:val="clear" w:color="auto" w:fill="FFFFFF"/>
              <w:spacing w:line="276" w:lineRule="auto"/>
              <w:jc w:val="right"/>
              <w:rPr>
                <w:rFonts w:ascii="Times New Roman" w:hAnsi="Times New Roman"/>
                <w:sz w:val="24"/>
                <w:szCs w:val="24"/>
                <w:lang w:val="uk-UA"/>
              </w:rPr>
            </w:pPr>
          </w:p>
        </w:tc>
        <w:tc>
          <w:tcPr>
            <w:tcW w:w="0" w:type="auto"/>
          </w:tcPr>
          <w:p w:rsidR="0039412A" w:rsidRPr="00D776BD" w:rsidRDefault="0039412A" w:rsidP="00F3626B">
            <w:pPr>
              <w:spacing w:line="276" w:lineRule="auto"/>
              <w:jc w:val="right"/>
              <w:rPr>
                <w:rFonts w:ascii="Times New Roman" w:hAnsi="Times New Roman"/>
                <w:sz w:val="24"/>
                <w:szCs w:val="24"/>
              </w:rPr>
            </w:pPr>
            <w:r w:rsidRPr="00D776BD">
              <w:rPr>
                <w:rFonts w:ascii="Times New Roman" w:hAnsi="Times New Roman"/>
                <w:sz w:val="24"/>
                <w:szCs w:val="24"/>
              </w:rPr>
              <w:t>11264,96</w:t>
            </w:r>
          </w:p>
          <w:p w:rsidR="0039412A" w:rsidRPr="00D776BD" w:rsidRDefault="0039412A" w:rsidP="00F3626B">
            <w:pPr>
              <w:spacing w:line="276" w:lineRule="auto"/>
              <w:jc w:val="right"/>
              <w:rPr>
                <w:rFonts w:ascii="Times New Roman" w:hAnsi="Times New Roman"/>
                <w:sz w:val="24"/>
                <w:szCs w:val="24"/>
                <w:lang w:val="uk-UA"/>
              </w:rPr>
            </w:pPr>
          </w:p>
        </w:tc>
        <w:tc>
          <w:tcPr>
            <w:tcW w:w="0" w:type="auto"/>
          </w:tcPr>
          <w:p w:rsidR="0039412A" w:rsidRPr="00D776BD" w:rsidRDefault="0039412A" w:rsidP="00F3626B">
            <w:pPr>
              <w:spacing w:line="276" w:lineRule="auto"/>
              <w:jc w:val="right"/>
              <w:rPr>
                <w:rFonts w:ascii="Times New Roman" w:hAnsi="Times New Roman"/>
                <w:sz w:val="24"/>
                <w:szCs w:val="24"/>
              </w:rPr>
            </w:pPr>
            <w:r w:rsidRPr="00D776BD">
              <w:rPr>
                <w:rFonts w:ascii="Times New Roman" w:hAnsi="Times New Roman"/>
                <w:sz w:val="24"/>
                <w:szCs w:val="24"/>
              </w:rPr>
              <w:t>9257,75</w:t>
            </w:r>
          </w:p>
          <w:p w:rsidR="0039412A" w:rsidRPr="00D776BD" w:rsidRDefault="0039412A" w:rsidP="00F3626B">
            <w:pPr>
              <w:spacing w:line="276" w:lineRule="auto"/>
              <w:jc w:val="right"/>
              <w:rPr>
                <w:rFonts w:ascii="Times New Roman" w:hAnsi="Times New Roman"/>
                <w:sz w:val="24"/>
                <w:szCs w:val="24"/>
                <w:lang w:val="uk-UA"/>
              </w:rPr>
            </w:pPr>
          </w:p>
        </w:tc>
        <w:tc>
          <w:tcPr>
            <w:tcW w:w="0" w:type="auto"/>
          </w:tcPr>
          <w:p w:rsidR="0039412A" w:rsidRPr="00D776BD" w:rsidRDefault="0039412A" w:rsidP="00F3626B">
            <w:pPr>
              <w:shd w:val="clear" w:color="auto" w:fill="FFFFFF"/>
              <w:spacing w:line="276" w:lineRule="auto"/>
              <w:jc w:val="right"/>
              <w:rPr>
                <w:rFonts w:ascii="Times New Roman" w:hAnsi="Times New Roman"/>
                <w:sz w:val="24"/>
                <w:szCs w:val="24"/>
              </w:rPr>
            </w:pPr>
            <w:r w:rsidRPr="00D776BD">
              <w:rPr>
                <w:rFonts w:ascii="Times New Roman" w:hAnsi="Times New Roman"/>
                <w:sz w:val="24"/>
                <w:szCs w:val="24"/>
              </w:rPr>
              <w:t>9407,02</w:t>
            </w:r>
          </w:p>
          <w:p w:rsidR="0039412A" w:rsidRPr="00D776BD" w:rsidRDefault="0039412A" w:rsidP="00F3626B">
            <w:pPr>
              <w:shd w:val="clear" w:color="auto" w:fill="FFFFFF"/>
              <w:spacing w:line="276" w:lineRule="auto"/>
              <w:jc w:val="right"/>
              <w:rPr>
                <w:rFonts w:ascii="Times New Roman" w:hAnsi="Times New Roman"/>
                <w:sz w:val="24"/>
                <w:szCs w:val="24"/>
                <w:lang w:val="uk-UA"/>
              </w:rPr>
            </w:pPr>
          </w:p>
        </w:tc>
        <w:tc>
          <w:tcPr>
            <w:tcW w:w="0" w:type="auto"/>
          </w:tcPr>
          <w:p w:rsidR="0039412A" w:rsidRPr="00D776BD" w:rsidRDefault="0039412A" w:rsidP="00F3626B">
            <w:pPr>
              <w:spacing w:line="276" w:lineRule="auto"/>
              <w:jc w:val="right"/>
              <w:rPr>
                <w:rFonts w:ascii="Times New Roman" w:hAnsi="Times New Roman"/>
                <w:sz w:val="24"/>
                <w:szCs w:val="24"/>
              </w:rPr>
            </w:pPr>
            <w:r w:rsidRPr="00D776BD">
              <w:rPr>
                <w:rFonts w:ascii="Times New Roman" w:hAnsi="Times New Roman"/>
                <w:sz w:val="24"/>
                <w:szCs w:val="24"/>
              </w:rPr>
              <w:t>8010,52</w:t>
            </w:r>
          </w:p>
          <w:p w:rsidR="0039412A" w:rsidRPr="00D776BD" w:rsidRDefault="0039412A" w:rsidP="00F3626B">
            <w:pPr>
              <w:spacing w:line="276" w:lineRule="auto"/>
              <w:jc w:val="right"/>
              <w:rPr>
                <w:rFonts w:ascii="Times New Roman" w:hAnsi="Times New Roman"/>
                <w:sz w:val="24"/>
                <w:szCs w:val="24"/>
                <w:lang w:val="uk-UA"/>
              </w:rPr>
            </w:pPr>
          </w:p>
        </w:tc>
        <w:tc>
          <w:tcPr>
            <w:tcW w:w="0" w:type="auto"/>
          </w:tcPr>
          <w:p w:rsidR="0039412A" w:rsidRPr="00D776BD" w:rsidRDefault="0039412A" w:rsidP="00F3626B">
            <w:pPr>
              <w:shd w:val="clear" w:color="auto" w:fill="FFFFFF"/>
              <w:spacing w:line="276" w:lineRule="auto"/>
              <w:jc w:val="right"/>
              <w:rPr>
                <w:rFonts w:ascii="Times New Roman" w:hAnsi="Times New Roman"/>
                <w:sz w:val="24"/>
                <w:szCs w:val="24"/>
              </w:rPr>
            </w:pPr>
            <w:r w:rsidRPr="00D776BD">
              <w:rPr>
                <w:rFonts w:ascii="Times New Roman" w:hAnsi="Times New Roman"/>
                <w:sz w:val="24"/>
                <w:szCs w:val="24"/>
              </w:rPr>
              <w:t>14956,13</w:t>
            </w:r>
          </w:p>
          <w:p w:rsidR="0039412A" w:rsidRPr="00D776BD" w:rsidRDefault="0039412A" w:rsidP="00F3626B">
            <w:pPr>
              <w:shd w:val="clear" w:color="auto" w:fill="FFFFFF"/>
              <w:spacing w:line="276" w:lineRule="auto"/>
              <w:jc w:val="right"/>
              <w:rPr>
                <w:rFonts w:ascii="Times New Roman" w:hAnsi="Times New Roman"/>
                <w:sz w:val="24"/>
                <w:szCs w:val="24"/>
                <w:lang w:val="uk-UA"/>
              </w:rPr>
            </w:pPr>
          </w:p>
        </w:tc>
        <w:tc>
          <w:tcPr>
            <w:tcW w:w="1030" w:type="dxa"/>
          </w:tcPr>
          <w:p w:rsidR="0039412A" w:rsidRPr="00D776BD" w:rsidRDefault="0039412A" w:rsidP="00F3626B">
            <w:pPr>
              <w:shd w:val="clear" w:color="auto" w:fill="FFFFFF"/>
              <w:spacing w:line="276" w:lineRule="auto"/>
              <w:jc w:val="right"/>
              <w:rPr>
                <w:rFonts w:ascii="Times New Roman" w:hAnsi="Times New Roman"/>
                <w:sz w:val="24"/>
                <w:szCs w:val="24"/>
              </w:rPr>
            </w:pPr>
            <w:r w:rsidRPr="00D776BD">
              <w:rPr>
                <w:rFonts w:ascii="Times New Roman" w:hAnsi="Times New Roman"/>
                <w:sz w:val="24"/>
                <w:szCs w:val="24"/>
              </w:rPr>
              <w:t>19191,65</w:t>
            </w:r>
          </w:p>
          <w:p w:rsidR="0039412A" w:rsidRPr="00D776BD" w:rsidRDefault="0039412A" w:rsidP="00F3626B">
            <w:pPr>
              <w:shd w:val="clear" w:color="auto" w:fill="FFFFFF"/>
              <w:spacing w:line="276" w:lineRule="auto"/>
              <w:jc w:val="right"/>
              <w:rPr>
                <w:rFonts w:ascii="Times New Roman" w:hAnsi="Times New Roman"/>
                <w:sz w:val="24"/>
                <w:szCs w:val="24"/>
                <w:highlight w:val="yellow"/>
                <w:lang w:val="uk-UA"/>
              </w:rPr>
            </w:pPr>
          </w:p>
        </w:tc>
      </w:tr>
      <w:tr w:rsidR="0039412A" w:rsidRPr="00D776BD" w:rsidTr="00D776BD">
        <w:trPr>
          <w:jc w:val="center"/>
        </w:trPr>
        <w:tc>
          <w:tcPr>
            <w:tcW w:w="0" w:type="auto"/>
          </w:tcPr>
          <w:p w:rsidR="0039412A" w:rsidRPr="00D776BD" w:rsidRDefault="0039412A" w:rsidP="00F3626B">
            <w:pPr>
              <w:widowControl w:val="0"/>
              <w:spacing w:line="276" w:lineRule="auto"/>
              <w:jc w:val="center"/>
              <w:rPr>
                <w:rFonts w:ascii="Times New Roman" w:hAnsi="Times New Roman"/>
                <w:sz w:val="24"/>
                <w:szCs w:val="24"/>
                <w:lang w:val="uk-UA"/>
              </w:rPr>
            </w:pPr>
            <w:r w:rsidRPr="00D776BD">
              <w:rPr>
                <w:rFonts w:ascii="Times New Roman" w:hAnsi="Times New Roman"/>
                <w:sz w:val="24"/>
                <w:szCs w:val="24"/>
                <w:lang w:val="uk-UA"/>
              </w:rPr>
              <w:t>2017</w:t>
            </w:r>
          </w:p>
        </w:tc>
        <w:tc>
          <w:tcPr>
            <w:tcW w:w="0" w:type="auto"/>
          </w:tcPr>
          <w:p w:rsidR="0039412A" w:rsidRPr="00D776BD" w:rsidRDefault="0039412A" w:rsidP="00F3626B">
            <w:pPr>
              <w:spacing w:line="276" w:lineRule="auto"/>
              <w:jc w:val="right"/>
              <w:rPr>
                <w:rFonts w:ascii="Times New Roman" w:hAnsi="Times New Roman"/>
                <w:sz w:val="24"/>
                <w:szCs w:val="24"/>
              </w:rPr>
            </w:pPr>
            <w:r w:rsidRPr="00D776BD">
              <w:rPr>
                <w:rFonts w:ascii="Times New Roman" w:hAnsi="Times New Roman"/>
                <w:sz w:val="24"/>
                <w:szCs w:val="24"/>
              </w:rPr>
              <w:t>10311,70</w:t>
            </w:r>
          </w:p>
          <w:p w:rsidR="0039412A" w:rsidRPr="00D776BD" w:rsidRDefault="0039412A" w:rsidP="00F3626B">
            <w:pPr>
              <w:spacing w:line="276" w:lineRule="auto"/>
              <w:jc w:val="right"/>
              <w:rPr>
                <w:rFonts w:ascii="Times New Roman" w:hAnsi="Times New Roman"/>
                <w:sz w:val="24"/>
                <w:szCs w:val="24"/>
                <w:lang w:val="uk-UA"/>
              </w:rPr>
            </w:pPr>
          </w:p>
        </w:tc>
        <w:tc>
          <w:tcPr>
            <w:tcW w:w="0" w:type="auto"/>
          </w:tcPr>
          <w:p w:rsidR="0039412A" w:rsidRPr="00D776BD" w:rsidRDefault="0039412A" w:rsidP="00F3626B">
            <w:pPr>
              <w:shd w:val="clear" w:color="auto" w:fill="FFFFFF"/>
              <w:spacing w:line="276" w:lineRule="auto"/>
              <w:jc w:val="right"/>
              <w:rPr>
                <w:rFonts w:ascii="Times New Roman" w:hAnsi="Times New Roman"/>
                <w:sz w:val="24"/>
                <w:szCs w:val="24"/>
              </w:rPr>
            </w:pPr>
            <w:r w:rsidRPr="00D776BD">
              <w:rPr>
                <w:rFonts w:ascii="Times New Roman" w:hAnsi="Times New Roman"/>
                <w:sz w:val="24"/>
                <w:szCs w:val="24"/>
              </w:rPr>
              <w:t>13506,34</w:t>
            </w:r>
          </w:p>
          <w:p w:rsidR="0039412A" w:rsidRPr="00D776BD" w:rsidRDefault="0039412A" w:rsidP="00F3626B">
            <w:pPr>
              <w:shd w:val="clear" w:color="auto" w:fill="FFFFFF"/>
              <w:spacing w:line="276" w:lineRule="auto"/>
              <w:jc w:val="right"/>
              <w:rPr>
                <w:rFonts w:ascii="Times New Roman" w:hAnsi="Times New Roman"/>
                <w:sz w:val="24"/>
                <w:szCs w:val="24"/>
                <w:lang w:val="uk-UA"/>
              </w:rPr>
            </w:pPr>
          </w:p>
        </w:tc>
        <w:tc>
          <w:tcPr>
            <w:tcW w:w="0" w:type="auto"/>
          </w:tcPr>
          <w:p w:rsidR="0039412A" w:rsidRPr="00D776BD" w:rsidRDefault="0039412A" w:rsidP="00F3626B">
            <w:pPr>
              <w:spacing w:line="276" w:lineRule="auto"/>
              <w:jc w:val="right"/>
              <w:rPr>
                <w:rFonts w:ascii="Times New Roman" w:hAnsi="Times New Roman"/>
                <w:sz w:val="24"/>
                <w:szCs w:val="24"/>
              </w:rPr>
            </w:pPr>
            <w:r w:rsidRPr="00D776BD">
              <w:rPr>
                <w:rFonts w:ascii="Times New Roman" w:hAnsi="Times New Roman"/>
                <w:sz w:val="24"/>
                <w:szCs w:val="24"/>
              </w:rPr>
              <w:t>10496,95</w:t>
            </w:r>
          </w:p>
          <w:p w:rsidR="0039412A" w:rsidRPr="00D776BD" w:rsidRDefault="0039412A" w:rsidP="00F3626B">
            <w:pPr>
              <w:spacing w:line="276" w:lineRule="auto"/>
              <w:jc w:val="right"/>
              <w:rPr>
                <w:rFonts w:ascii="Times New Roman" w:hAnsi="Times New Roman"/>
                <w:sz w:val="24"/>
                <w:szCs w:val="24"/>
                <w:lang w:val="uk-UA"/>
              </w:rPr>
            </w:pPr>
          </w:p>
        </w:tc>
        <w:tc>
          <w:tcPr>
            <w:tcW w:w="0" w:type="auto"/>
          </w:tcPr>
          <w:p w:rsidR="0039412A" w:rsidRPr="00D776BD" w:rsidRDefault="0039412A" w:rsidP="00F3626B">
            <w:pPr>
              <w:shd w:val="clear" w:color="auto" w:fill="FFFFFF"/>
              <w:spacing w:line="276" w:lineRule="auto"/>
              <w:jc w:val="right"/>
              <w:rPr>
                <w:sz w:val="24"/>
                <w:szCs w:val="24"/>
              </w:rPr>
            </w:pPr>
            <w:r w:rsidRPr="00D776BD">
              <w:rPr>
                <w:sz w:val="24"/>
                <w:szCs w:val="24"/>
              </w:rPr>
              <w:t>8601,60</w:t>
            </w:r>
          </w:p>
          <w:p w:rsidR="0039412A" w:rsidRPr="00D776BD" w:rsidRDefault="0039412A" w:rsidP="00F3626B">
            <w:pPr>
              <w:shd w:val="clear" w:color="auto" w:fill="FFFFFF"/>
              <w:spacing w:line="276" w:lineRule="auto"/>
              <w:jc w:val="right"/>
              <w:rPr>
                <w:sz w:val="24"/>
                <w:szCs w:val="24"/>
                <w:lang w:val="uk-UA"/>
              </w:rPr>
            </w:pPr>
          </w:p>
        </w:tc>
        <w:tc>
          <w:tcPr>
            <w:tcW w:w="0" w:type="auto"/>
          </w:tcPr>
          <w:p w:rsidR="0039412A" w:rsidRPr="00D776BD" w:rsidRDefault="0039412A" w:rsidP="00F3626B">
            <w:pPr>
              <w:spacing w:line="276" w:lineRule="auto"/>
              <w:jc w:val="right"/>
              <w:rPr>
                <w:sz w:val="24"/>
                <w:szCs w:val="24"/>
              </w:rPr>
            </w:pPr>
            <w:r w:rsidRPr="00D776BD">
              <w:rPr>
                <w:sz w:val="24"/>
                <w:szCs w:val="24"/>
              </w:rPr>
              <w:t>9036,59</w:t>
            </w:r>
          </w:p>
          <w:p w:rsidR="0039412A" w:rsidRPr="00D776BD" w:rsidRDefault="0039412A" w:rsidP="00F3626B">
            <w:pPr>
              <w:spacing w:line="276" w:lineRule="auto"/>
              <w:jc w:val="right"/>
              <w:rPr>
                <w:sz w:val="24"/>
                <w:szCs w:val="24"/>
                <w:lang w:val="uk-UA"/>
              </w:rPr>
            </w:pPr>
          </w:p>
        </w:tc>
        <w:tc>
          <w:tcPr>
            <w:tcW w:w="0" w:type="auto"/>
          </w:tcPr>
          <w:p w:rsidR="0039412A" w:rsidRPr="00D776BD" w:rsidRDefault="0039412A" w:rsidP="00F3626B">
            <w:pPr>
              <w:shd w:val="clear" w:color="auto" w:fill="FFFFFF"/>
              <w:spacing w:line="276" w:lineRule="auto"/>
              <w:jc w:val="right"/>
              <w:rPr>
                <w:sz w:val="24"/>
                <w:szCs w:val="24"/>
              </w:rPr>
            </w:pPr>
            <w:r w:rsidRPr="00D776BD">
              <w:rPr>
                <w:sz w:val="24"/>
                <w:szCs w:val="24"/>
              </w:rPr>
              <w:t>7814,70</w:t>
            </w:r>
          </w:p>
          <w:p w:rsidR="0039412A" w:rsidRPr="00D776BD" w:rsidRDefault="0039412A" w:rsidP="00F3626B">
            <w:pPr>
              <w:shd w:val="clear" w:color="auto" w:fill="FFFFFF"/>
              <w:spacing w:line="276" w:lineRule="auto"/>
              <w:jc w:val="right"/>
              <w:rPr>
                <w:sz w:val="24"/>
                <w:szCs w:val="24"/>
                <w:lang w:val="uk-UA"/>
              </w:rPr>
            </w:pPr>
          </w:p>
        </w:tc>
        <w:tc>
          <w:tcPr>
            <w:tcW w:w="0" w:type="auto"/>
          </w:tcPr>
          <w:p w:rsidR="0039412A" w:rsidRPr="00D776BD" w:rsidRDefault="0039412A" w:rsidP="00F3626B">
            <w:pPr>
              <w:shd w:val="clear" w:color="auto" w:fill="FFFFFF"/>
              <w:spacing w:line="276" w:lineRule="auto"/>
              <w:jc w:val="right"/>
              <w:rPr>
                <w:sz w:val="24"/>
                <w:szCs w:val="24"/>
              </w:rPr>
            </w:pPr>
            <w:r w:rsidRPr="00D776BD">
              <w:rPr>
                <w:sz w:val="24"/>
                <w:szCs w:val="24"/>
              </w:rPr>
              <w:t>14612,24</w:t>
            </w:r>
          </w:p>
          <w:p w:rsidR="0039412A" w:rsidRPr="00D776BD" w:rsidRDefault="0039412A" w:rsidP="00F3626B">
            <w:pPr>
              <w:shd w:val="clear" w:color="auto" w:fill="FFFFFF"/>
              <w:spacing w:line="276" w:lineRule="auto"/>
              <w:jc w:val="right"/>
              <w:rPr>
                <w:sz w:val="24"/>
                <w:szCs w:val="24"/>
                <w:lang w:val="uk-UA"/>
              </w:rPr>
            </w:pPr>
          </w:p>
        </w:tc>
        <w:tc>
          <w:tcPr>
            <w:tcW w:w="1030" w:type="dxa"/>
          </w:tcPr>
          <w:p w:rsidR="0039412A" w:rsidRPr="00D776BD" w:rsidRDefault="0039412A" w:rsidP="00F3626B">
            <w:pPr>
              <w:shd w:val="clear" w:color="auto" w:fill="FFFFFF"/>
              <w:spacing w:line="276" w:lineRule="auto"/>
              <w:jc w:val="right"/>
              <w:rPr>
                <w:sz w:val="24"/>
                <w:szCs w:val="24"/>
              </w:rPr>
            </w:pPr>
            <w:r w:rsidRPr="00D776BD">
              <w:rPr>
                <w:sz w:val="24"/>
                <w:szCs w:val="24"/>
              </w:rPr>
              <w:t>18341,58</w:t>
            </w:r>
          </w:p>
          <w:p w:rsidR="0039412A" w:rsidRPr="00D776BD" w:rsidRDefault="0039412A" w:rsidP="00F3626B">
            <w:pPr>
              <w:shd w:val="clear" w:color="auto" w:fill="FFFFFF"/>
              <w:spacing w:line="276" w:lineRule="auto"/>
              <w:jc w:val="right"/>
              <w:rPr>
                <w:sz w:val="24"/>
                <w:szCs w:val="24"/>
                <w:highlight w:val="yellow"/>
                <w:lang w:val="uk-UA"/>
              </w:rPr>
            </w:pPr>
          </w:p>
        </w:tc>
      </w:tr>
      <w:tr w:rsidR="00F72E2E" w:rsidRPr="00D776BD" w:rsidTr="00D776BD">
        <w:trPr>
          <w:jc w:val="center"/>
        </w:trPr>
        <w:tc>
          <w:tcPr>
            <w:tcW w:w="0" w:type="auto"/>
          </w:tcPr>
          <w:p w:rsidR="00F72E2E" w:rsidRPr="00D776BD" w:rsidRDefault="00F72E2E" w:rsidP="00B637E1">
            <w:pPr>
              <w:widowControl w:val="0"/>
              <w:spacing w:line="276" w:lineRule="auto"/>
              <w:jc w:val="center"/>
              <w:rPr>
                <w:rFonts w:ascii="Times New Roman" w:hAnsi="Times New Roman"/>
                <w:sz w:val="24"/>
                <w:szCs w:val="24"/>
              </w:rPr>
            </w:pPr>
            <w:r w:rsidRPr="00D776BD">
              <w:rPr>
                <w:rFonts w:ascii="Times New Roman" w:hAnsi="Times New Roman"/>
                <w:sz w:val="24"/>
                <w:szCs w:val="24"/>
              </w:rPr>
              <w:t>2018</w:t>
            </w:r>
          </w:p>
        </w:tc>
        <w:tc>
          <w:tcPr>
            <w:tcW w:w="0" w:type="auto"/>
          </w:tcPr>
          <w:p w:rsidR="00F72E2E" w:rsidRPr="00D776BD" w:rsidRDefault="00F72E2E" w:rsidP="00B637E1">
            <w:pPr>
              <w:shd w:val="clear" w:color="auto" w:fill="FFFFFF"/>
              <w:spacing w:line="276" w:lineRule="auto"/>
              <w:jc w:val="right"/>
              <w:rPr>
                <w:rFonts w:ascii="Times New Roman" w:hAnsi="Times New Roman"/>
                <w:sz w:val="24"/>
                <w:szCs w:val="24"/>
              </w:rPr>
            </w:pPr>
            <w:r w:rsidRPr="00D776BD">
              <w:rPr>
                <w:rFonts w:ascii="Times New Roman" w:hAnsi="Times New Roman"/>
                <w:sz w:val="24"/>
                <w:szCs w:val="24"/>
              </w:rPr>
              <w:t>9843,08</w:t>
            </w:r>
          </w:p>
          <w:p w:rsidR="00F72E2E" w:rsidRPr="00D776BD" w:rsidRDefault="00F72E2E" w:rsidP="00B637E1">
            <w:pPr>
              <w:shd w:val="clear" w:color="auto" w:fill="FFFFFF"/>
              <w:spacing w:line="276" w:lineRule="auto"/>
              <w:jc w:val="right"/>
              <w:rPr>
                <w:rFonts w:ascii="Times New Roman" w:hAnsi="Times New Roman"/>
                <w:sz w:val="24"/>
                <w:szCs w:val="24"/>
                <w:lang w:val="uk-UA"/>
              </w:rPr>
            </w:pPr>
          </w:p>
        </w:tc>
        <w:tc>
          <w:tcPr>
            <w:tcW w:w="0" w:type="auto"/>
          </w:tcPr>
          <w:p w:rsidR="00F72E2E" w:rsidRPr="00D776BD" w:rsidRDefault="00F72E2E" w:rsidP="00B637E1">
            <w:pPr>
              <w:spacing w:line="276" w:lineRule="auto"/>
              <w:jc w:val="right"/>
              <w:rPr>
                <w:rFonts w:ascii="Times New Roman" w:hAnsi="Times New Roman"/>
                <w:sz w:val="24"/>
                <w:szCs w:val="24"/>
              </w:rPr>
            </w:pPr>
            <w:r w:rsidRPr="00D776BD">
              <w:rPr>
                <w:rFonts w:ascii="Times New Roman" w:hAnsi="Times New Roman"/>
                <w:sz w:val="24"/>
                <w:szCs w:val="24"/>
              </w:rPr>
              <w:t>12842,14</w:t>
            </w:r>
          </w:p>
          <w:p w:rsidR="00F72E2E" w:rsidRPr="00D776BD" w:rsidRDefault="00F72E2E" w:rsidP="00B637E1">
            <w:pPr>
              <w:spacing w:line="276" w:lineRule="auto"/>
              <w:jc w:val="right"/>
              <w:rPr>
                <w:rFonts w:ascii="Times New Roman" w:hAnsi="Times New Roman"/>
                <w:sz w:val="24"/>
                <w:szCs w:val="24"/>
                <w:lang w:val="uk-UA"/>
              </w:rPr>
            </w:pPr>
          </w:p>
        </w:tc>
        <w:tc>
          <w:tcPr>
            <w:tcW w:w="0" w:type="auto"/>
          </w:tcPr>
          <w:p w:rsidR="00F72E2E" w:rsidRPr="00D776BD" w:rsidRDefault="00F72E2E" w:rsidP="00B637E1">
            <w:pPr>
              <w:spacing w:line="276" w:lineRule="auto"/>
              <w:jc w:val="right"/>
              <w:rPr>
                <w:rFonts w:ascii="Times New Roman" w:hAnsi="Times New Roman"/>
                <w:sz w:val="24"/>
                <w:szCs w:val="24"/>
              </w:rPr>
            </w:pPr>
            <w:r w:rsidRPr="00D776BD">
              <w:rPr>
                <w:rFonts w:ascii="Times New Roman" w:hAnsi="Times New Roman"/>
                <w:sz w:val="24"/>
                <w:szCs w:val="24"/>
              </w:rPr>
              <w:t>10090,69</w:t>
            </w:r>
          </w:p>
          <w:p w:rsidR="00F72E2E" w:rsidRPr="00D776BD" w:rsidRDefault="00F72E2E" w:rsidP="00B637E1">
            <w:pPr>
              <w:spacing w:line="276" w:lineRule="auto"/>
              <w:jc w:val="right"/>
              <w:rPr>
                <w:rFonts w:ascii="Times New Roman" w:hAnsi="Times New Roman"/>
                <w:sz w:val="24"/>
                <w:szCs w:val="24"/>
                <w:lang w:val="uk-UA"/>
              </w:rPr>
            </w:pPr>
          </w:p>
        </w:tc>
        <w:tc>
          <w:tcPr>
            <w:tcW w:w="0" w:type="auto"/>
          </w:tcPr>
          <w:p w:rsidR="00F72E2E" w:rsidRPr="00D776BD" w:rsidRDefault="00F72E2E" w:rsidP="00B637E1">
            <w:pPr>
              <w:spacing w:line="276" w:lineRule="auto"/>
              <w:jc w:val="right"/>
              <w:rPr>
                <w:rFonts w:ascii="Times New Roman" w:hAnsi="Times New Roman"/>
                <w:sz w:val="24"/>
                <w:szCs w:val="24"/>
              </w:rPr>
            </w:pPr>
            <w:r w:rsidRPr="00D776BD">
              <w:rPr>
                <w:rFonts w:ascii="Times New Roman" w:hAnsi="Times New Roman"/>
                <w:sz w:val="24"/>
                <w:szCs w:val="24"/>
              </w:rPr>
              <w:t>8282,56</w:t>
            </w:r>
          </w:p>
          <w:p w:rsidR="00F72E2E" w:rsidRPr="00D776BD" w:rsidRDefault="00F72E2E" w:rsidP="00B637E1">
            <w:pPr>
              <w:spacing w:line="276" w:lineRule="auto"/>
              <w:jc w:val="right"/>
              <w:rPr>
                <w:rFonts w:ascii="Times New Roman" w:hAnsi="Times New Roman"/>
                <w:sz w:val="24"/>
                <w:szCs w:val="24"/>
                <w:lang w:val="uk-UA"/>
              </w:rPr>
            </w:pPr>
          </w:p>
        </w:tc>
        <w:tc>
          <w:tcPr>
            <w:tcW w:w="0" w:type="auto"/>
          </w:tcPr>
          <w:p w:rsidR="00F72E2E" w:rsidRPr="00D776BD" w:rsidRDefault="00F72E2E" w:rsidP="00B637E1">
            <w:pPr>
              <w:shd w:val="clear" w:color="auto" w:fill="FFFFFF"/>
              <w:spacing w:line="276" w:lineRule="auto"/>
              <w:jc w:val="right"/>
              <w:rPr>
                <w:rFonts w:ascii="Times New Roman" w:hAnsi="Times New Roman"/>
                <w:sz w:val="24"/>
                <w:szCs w:val="24"/>
              </w:rPr>
            </w:pPr>
            <w:r w:rsidRPr="00D776BD">
              <w:rPr>
                <w:rFonts w:ascii="Times New Roman" w:hAnsi="Times New Roman"/>
                <w:sz w:val="24"/>
                <w:szCs w:val="24"/>
              </w:rPr>
              <w:t>8876,60</w:t>
            </w:r>
          </w:p>
          <w:p w:rsidR="00F72E2E" w:rsidRPr="00D776BD" w:rsidRDefault="00F72E2E" w:rsidP="00B637E1">
            <w:pPr>
              <w:shd w:val="clear" w:color="auto" w:fill="FFFFFF"/>
              <w:spacing w:line="276" w:lineRule="auto"/>
              <w:jc w:val="right"/>
              <w:rPr>
                <w:rFonts w:ascii="Times New Roman" w:hAnsi="Times New Roman"/>
                <w:sz w:val="24"/>
                <w:szCs w:val="24"/>
                <w:lang w:val="uk-UA"/>
              </w:rPr>
            </w:pPr>
          </w:p>
        </w:tc>
        <w:tc>
          <w:tcPr>
            <w:tcW w:w="0" w:type="auto"/>
          </w:tcPr>
          <w:p w:rsidR="00F72E2E" w:rsidRPr="00D776BD" w:rsidRDefault="00F72E2E" w:rsidP="00B637E1">
            <w:pPr>
              <w:shd w:val="clear" w:color="auto" w:fill="FFFFFF"/>
              <w:spacing w:line="276" w:lineRule="auto"/>
              <w:jc w:val="right"/>
              <w:rPr>
                <w:rFonts w:ascii="Times New Roman" w:hAnsi="Times New Roman"/>
                <w:sz w:val="24"/>
                <w:szCs w:val="24"/>
              </w:rPr>
            </w:pPr>
            <w:r w:rsidRPr="00D776BD">
              <w:rPr>
                <w:rFonts w:ascii="Times New Roman" w:hAnsi="Times New Roman"/>
                <w:sz w:val="24"/>
                <w:szCs w:val="24"/>
              </w:rPr>
              <w:t>7622,57</w:t>
            </w:r>
          </w:p>
          <w:p w:rsidR="00F72E2E" w:rsidRPr="00D776BD" w:rsidRDefault="00F72E2E" w:rsidP="00B637E1">
            <w:pPr>
              <w:shd w:val="clear" w:color="auto" w:fill="FFFFFF"/>
              <w:spacing w:line="276" w:lineRule="auto"/>
              <w:jc w:val="right"/>
              <w:rPr>
                <w:rFonts w:ascii="Times New Roman" w:hAnsi="Times New Roman"/>
                <w:sz w:val="24"/>
                <w:szCs w:val="24"/>
                <w:lang w:val="uk-UA"/>
              </w:rPr>
            </w:pPr>
          </w:p>
        </w:tc>
        <w:tc>
          <w:tcPr>
            <w:tcW w:w="0" w:type="auto"/>
          </w:tcPr>
          <w:p w:rsidR="00F72E2E" w:rsidRPr="00D776BD" w:rsidRDefault="00F72E2E" w:rsidP="00B637E1">
            <w:pPr>
              <w:shd w:val="clear" w:color="auto" w:fill="FFFFFF"/>
              <w:spacing w:line="276" w:lineRule="auto"/>
              <w:jc w:val="right"/>
              <w:rPr>
                <w:rFonts w:ascii="Times New Roman" w:hAnsi="Times New Roman"/>
                <w:sz w:val="24"/>
                <w:szCs w:val="24"/>
              </w:rPr>
            </w:pPr>
            <w:r w:rsidRPr="00D776BD">
              <w:rPr>
                <w:rFonts w:ascii="Times New Roman" w:hAnsi="Times New Roman"/>
                <w:sz w:val="24"/>
                <w:szCs w:val="24"/>
              </w:rPr>
              <w:t>14256,23</w:t>
            </w:r>
          </w:p>
          <w:p w:rsidR="00F72E2E" w:rsidRPr="00D776BD" w:rsidRDefault="00F72E2E" w:rsidP="00B637E1">
            <w:pPr>
              <w:shd w:val="clear" w:color="auto" w:fill="FFFFFF"/>
              <w:spacing w:line="276" w:lineRule="auto"/>
              <w:jc w:val="right"/>
              <w:rPr>
                <w:rFonts w:ascii="Times New Roman" w:hAnsi="Times New Roman"/>
                <w:sz w:val="24"/>
                <w:szCs w:val="24"/>
                <w:lang w:val="uk-UA"/>
              </w:rPr>
            </w:pPr>
          </w:p>
        </w:tc>
        <w:tc>
          <w:tcPr>
            <w:tcW w:w="1030" w:type="dxa"/>
          </w:tcPr>
          <w:p w:rsidR="00F72E2E" w:rsidRPr="00D776BD" w:rsidRDefault="00F72E2E" w:rsidP="00B637E1">
            <w:pPr>
              <w:spacing w:line="276" w:lineRule="auto"/>
              <w:jc w:val="right"/>
              <w:rPr>
                <w:rFonts w:ascii="Times New Roman" w:hAnsi="Times New Roman"/>
                <w:sz w:val="24"/>
                <w:szCs w:val="24"/>
              </w:rPr>
            </w:pPr>
            <w:r w:rsidRPr="00D776BD">
              <w:rPr>
                <w:rFonts w:ascii="Times New Roman" w:hAnsi="Times New Roman"/>
                <w:sz w:val="24"/>
                <w:szCs w:val="24"/>
              </w:rPr>
              <w:t>17766,86</w:t>
            </w:r>
          </w:p>
          <w:p w:rsidR="00F72E2E" w:rsidRPr="00D776BD" w:rsidRDefault="00F72E2E" w:rsidP="00B637E1">
            <w:pPr>
              <w:spacing w:line="276" w:lineRule="auto"/>
              <w:jc w:val="right"/>
              <w:rPr>
                <w:rFonts w:ascii="Times New Roman" w:hAnsi="Times New Roman"/>
                <w:sz w:val="24"/>
                <w:szCs w:val="24"/>
                <w:highlight w:val="yellow"/>
                <w:lang w:val="uk-UA"/>
              </w:rPr>
            </w:pPr>
          </w:p>
        </w:tc>
      </w:tr>
      <w:tr w:rsidR="00F72E2E" w:rsidRPr="00D776BD" w:rsidTr="00D776BD">
        <w:trPr>
          <w:jc w:val="center"/>
        </w:trPr>
        <w:tc>
          <w:tcPr>
            <w:tcW w:w="0" w:type="auto"/>
          </w:tcPr>
          <w:p w:rsidR="00F72E2E" w:rsidRPr="00D776BD" w:rsidRDefault="00F72E2E" w:rsidP="00B637E1">
            <w:pPr>
              <w:widowControl w:val="0"/>
              <w:spacing w:line="276" w:lineRule="auto"/>
              <w:jc w:val="center"/>
              <w:rPr>
                <w:rFonts w:ascii="Times New Roman" w:hAnsi="Times New Roman"/>
                <w:sz w:val="24"/>
                <w:szCs w:val="24"/>
              </w:rPr>
            </w:pPr>
            <w:r w:rsidRPr="00D776BD">
              <w:rPr>
                <w:rFonts w:ascii="Times New Roman" w:hAnsi="Times New Roman"/>
                <w:sz w:val="24"/>
                <w:szCs w:val="24"/>
              </w:rPr>
              <w:t>2019</w:t>
            </w:r>
          </w:p>
        </w:tc>
        <w:tc>
          <w:tcPr>
            <w:tcW w:w="0" w:type="auto"/>
          </w:tcPr>
          <w:p w:rsidR="00F72E2E" w:rsidRPr="00D776BD" w:rsidRDefault="00F72E2E" w:rsidP="00B637E1">
            <w:pPr>
              <w:shd w:val="clear" w:color="auto" w:fill="FFFFFF"/>
              <w:spacing w:line="276" w:lineRule="auto"/>
              <w:jc w:val="right"/>
              <w:rPr>
                <w:rFonts w:ascii="Times New Roman" w:hAnsi="Times New Roman"/>
                <w:sz w:val="24"/>
                <w:szCs w:val="24"/>
              </w:rPr>
            </w:pPr>
            <w:r w:rsidRPr="00D776BD">
              <w:rPr>
                <w:rFonts w:ascii="Times New Roman" w:hAnsi="Times New Roman"/>
                <w:sz w:val="24"/>
                <w:szCs w:val="24"/>
              </w:rPr>
              <w:t>9357,03</w:t>
            </w:r>
          </w:p>
          <w:p w:rsidR="00F72E2E" w:rsidRPr="00D776BD" w:rsidRDefault="00F72E2E" w:rsidP="00B637E1">
            <w:pPr>
              <w:shd w:val="clear" w:color="auto" w:fill="FFFFFF"/>
              <w:spacing w:line="276" w:lineRule="auto"/>
              <w:jc w:val="left"/>
              <w:rPr>
                <w:rFonts w:ascii="Times New Roman" w:hAnsi="Times New Roman"/>
                <w:sz w:val="24"/>
                <w:szCs w:val="24"/>
                <w:lang w:val="uk-UA"/>
              </w:rPr>
            </w:pPr>
          </w:p>
        </w:tc>
        <w:tc>
          <w:tcPr>
            <w:tcW w:w="0" w:type="auto"/>
          </w:tcPr>
          <w:p w:rsidR="00F72E2E" w:rsidRPr="00D776BD" w:rsidRDefault="00F72E2E" w:rsidP="00B637E1">
            <w:pPr>
              <w:spacing w:line="276" w:lineRule="auto"/>
              <w:jc w:val="right"/>
              <w:rPr>
                <w:rFonts w:ascii="Times New Roman" w:hAnsi="Times New Roman"/>
                <w:sz w:val="24"/>
                <w:szCs w:val="24"/>
              </w:rPr>
            </w:pPr>
            <w:r w:rsidRPr="00D776BD">
              <w:rPr>
                <w:rFonts w:ascii="Times New Roman" w:hAnsi="Times New Roman"/>
                <w:sz w:val="24"/>
                <w:szCs w:val="24"/>
              </w:rPr>
              <w:t>12136,89</w:t>
            </w:r>
          </w:p>
          <w:p w:rsidR="00F72E2E" w:rsidRPr="00D776BD" w:rsidRDefault="00F72E2E" w:rsidP="00B637E1">
            <w:pPr>
              <w:spacing w:line="276" w:lineRule="auto"/>
              <w:jc w:val="right"/>
              <w:rPr>
                <w:rFonts w:ascii="Times New Roman" w:hAnsi="Times New Roman"/>
                <w:sz w:val="24"/>
                <w:szCs w:val="24"/>
                <w:lang w:val="uk-UA"/>
              </w:rPr>
            </w:pPr>
          </w:p>
        </w:tc>
        <w:tc>
          <w:tcPr>
            <w:tcW w:w="0" w:type="auto"/>
          </w:tcPr>
          <w:p w:rsidR="00F72E2E" w:rsidRPr="00D776BD" w:rsidRDefault="00F72E2E" w:rsidP="00B637E1">
            <w:pPr>
              <w:shd w:val="clear" w:color="auto" w:fill="FFFFFF"/>
              <w:spacing w:line="276" w:lineRule="auto"/>
              <w:jc w:val="right"/>
              <w:rPr>
                <w:rFonts w:ascii="Times New Roman" w:hAnsi="Times New Roman"/>
                <w:sz w:val="24"/>
                <w:szCs w:val="24"/>
              </w:rPr>
            </w:pPr>
            <w:r w:rsidRPr="00D776BD">
              <w:rPr>
                <w:rFonts w:ascii="Times New Roman" w:hAnsi="Times New Roman"/>
                <w:sz w:val="24"/>
                <w:szCs w:val="24"/>
              </w:rPr>
              <w:t>9693,68</w:t>
            </w:r>
          </w:p>
          <w:p w:rsidR="00F72E2E" w:rsidRPr="00D776BD" w:rsidRDefault="00F72E2E" w:rsidP="00B637E1">
            <w:pPr>
              <w:shd w:val="clear" w:color="auto" w:fill="FFFFFF"/>
              <w:spacing w:line="276" w:lineRule="auto"/>
              <w:jc w:val="right"/>
              <w:rPr>
                <w:rFonts w:ascii="Times New Roman" w:hAnsi="Times New Roman"/>
                <w:sz w:val="24"/>
                <w:szCs w:val="24"/>
                <w:lang w:val="uk-UA"/>
              </w:rPr>
            </w:pPr>
          </w:p>
        </w:tc>
        <w:tc>
          <w:tcPr>
            <w:tcW w:w="0" w:type="auto"/>
          </w:tcPr>
          <w:p w:rsidR="00F72E2E" w:rsidRPr="00D776BD" w:rsidRDefault="00F72E2E" w:rsidP="00B637E1">
            <w:pPr>
              <w:shd w:val="clear" w:color="auto" w:fill="FFFFFF"/>
              <w:spacing w:line="276" w:lineRule="auto"/>
              <w:jc w:val="right"/>
              <w:rPr>
                <w:rFonts w:ascii="Times New Roman" w:hAnsi="Times New Roman"/>
                <w:sz w:val="24"/>
                <w:szCs w:val="24"/>
              </w:rPr>
            </w:pPr>
            <w:r w:rsidRPr="00D776BD">
              <w:rPr>
                <w:rFonts w:ascii="Times New Roman" w:hAnsi="Times New Roman"/>
                <w:sz w:val="24"/>
                <w:szCs w:val="24"/>
              </w:rPr>
              <w:t>8015,81</w:t>
            </w:r>
          </w:p>
          <w:p w:rsidR="00F72E2E" w:rsidRPr="00D776BD" w:rsidRDefault="00F72E2E" w:rsidP="00B637E1">
            <w:pPr>
              <w:shd w:val="clear" w:color="auto" w:fill="FFFFFF"/>
              <w:spacing w:line="276" w:lineRule="auto"/>
              <w:jc w:val="right"/>
              <w:rPr>
                <w:rFonts w:ascii="Times New Roman" w:hAnsi="Times New Roman"/>
                <w:sz w:val="24"/>
                <w:szCs w:val="24"/>
                <w:lang w:val="uk-UA"/>
              </w:rPr>
            </w:pPr>
          </w:p>
        </w:tc>
        <w:tc>
          <w:tcPr>
            <w:tcW w:w="0" w:type="auto"/>
          </w:tcPr>
          <w:p w:rsidR="00F72E2E" w:rsidRPr="00D776BD" w:rsidRDefault="00F72E2E" w:rsidP="00B637E1">
            <w:pPr>
              <w:spacing w:line="276" w:lineRule="auto"/>
              <w:jc w:val="right"/>
              <w:rPr>
                <w:rFonts w:ascii="Times New Roman" w:hAnsi="Times New Roman"/>
                <w:sz w:val="24"/>
                <w:szCs w:val="24"/>
              </w:rPr>
            </w:pPr>
            <w:r w:rsidRPr="00D776BD">
              <w:rPr>
                <w:rFonts w:ascii="Times New Roman" w:hAnsi="Times New Roman"/>
                <w:sz w:val="24"/>
                <w:szCs w:val="24"/>
              </w:rPr>
              <w:t>8777,91</w:t>
            </w:r>
          </w:p>
          <w:p w:rsidR="00F72E2E" w:rsidRPr="00D776BD" w:rsidRDefault="00F72E2E" w:rsidP="00B637E1">
            <w:pPr>
              <w:spacing w:line="276" w:lineRule="auto"/>
              <w:jc w:val="right"/>
              <w:rPr>
                <w:rFonts w:ascii="Times New Roman" w:hAnsi="Times New Roman"/>
                <w:sz w:val="24"/>
                <w:szCs w:val="24"/>
                <w:lang w:val="uk-UA"/>
              </w:rPr>
            </w:pPr>
          </w:p>
        </w:tc>
        <w:tc>
          <w:tcPr>
            <w:tcW w:w="0" w:type="auto"/>
          </w:tcPr>
          <w:p w:rsidR="00F72E2E" w:rsidRPr="00D776BD" w:rsidRDefault="00F72E2E" w:rsidP="00B637E1">
            <w:pPr>
              <w:spacing w:line="276" w:lineRule="auto"/>
              <w:jc w:val="right"/>
              <w:rPr>
                <w:rFonts w:ascii="Times New Roman" w:hAnsi="Times New Roman"/>
                <w:sz w:val="24"/>
                <w:szCs w:val="24"/>
              </w:rPr>
            </w:pPr>
            <w:r w:rsidRPr="00D776BD">
              <w:rPr>
                <w:rFonts w:ascii="Times New Roman" w:hAnsi="Times New Roman"/>
                <w:sz w:val="24"/>
                <w:szCs w:val="24"/>
              </w:rPr>
              <w:t>7452,12</w:t>
            </w:r>
          </w:p>
          <w:p w:rsidR="00F72E2E" w:rsidRPr="00D776BD" w:rsidRDefault="00F72E2E" w:rsidP="00B637E1">
            <w:pPr>
              <w:spacing w:line="276" w:lineRule="auto"/>
              <w:jc w:val="right"/>
              <w:rPr>
                <w:rFonts w:ascii="Times New Roman" w:hAnsi="Times New Roman"/>
                <w:sz w:val="24"/>
                <w:szCs w:val="24"/>
                <w:lang w:val="uk-UA"/>
              </w:rPr>
            </w:pPr>
          </w:p>
        </w:tc>
        <w:tc>
          <w:tcPr>
            <w:tcW w:w="0" w:type="auto"/>
          </w:tcPr>
          <w:p w:rsidR="00F72E2E" w:rsidRPr="00D776BD" w:rsidRDefault="00F72E2E" w:rsidP="00B637E1">
            <w:pPr>
              <w:spacing w:line="276" w:lineRule="auto"/>
              <w:jc w:val="right"/>
              <w:rPr>
                <w:rFonts w:ascii="Times New Roman" w:hAnsi="Times New Roman"/>
                <w:sz w:val="24"/>
                <w:szCs w:val="24"/>
              </w:rPr>
            </w:pPr>
            <w:r w:rsidRPr="00D776BD">
              <w:rPr>
                <w:rFonts w:ascii="Times New Roman" w:hAnsi="Times New Roman"/>
                <w:sz w:val="24"/>
                <w:szCs w:val="24"/>
              </w:rPr>
              <w:t>14095,84</w:t>
            </w:r>
          </w:p>
          <w:p w:rsidR="00F72E2E" w:rsidRPr="00D776BD" w:rsidRDefault="00F72E2E" w:rsidP="00B637E1">
            <w:pPr>
              <w:spacing w:line="276" w:lineRule="auto"/>
              <w:jc w:val="right"/>
              <w:rPr>
                <w:rFonts w:ascii="Times New Roman" w:hAnsi="Times New Roman"/>
                <w:sz w:val="24"/>
                <w:szCs w:val="24"/>
                <w:lang w:val="uk-UA"/>
              </w:rPr>
            </w:pPr>
          </w:p>
        </w:tc>
        <w:tc>
          <w:tcPr>
            <w:tcW w:w="1030" w:type="dxa"/>
          </w:tcPr>
          <w:p w:rsidR="00F72E2E" w:rsidRPr="00D776BD" w:rsidRDefault="00F72E2E" w:rsidP="00B637E1">
            <w:pPr>
              <w:spacing w:line="276" w:lineRule="auto"/>
              <w:jc w:val="right"/>
              <w:rPr>
                <w:rFonts w:ascii="Times New Roman" w:hAnsi="Times New Roman"/>
                <w:sz w:val="24"/>
                <w:szCs w:val="24"/>
              </w:rPr>
            </w:pPr>
            <w:r w:rsidRPr="00D776BD">
              <w:rPr>
                <w:rFonts w:ascii="Times New Roman" w:hAnsi="Times New Roman"/>
                <w:sz w:val="24"/>
                <w:szCs w:val="24"/>
              </w:rPr>
              <w:t>17185,91</w:t>
            </w:r>
          </w:p>
          <w:p w:rsidR="00F72E2E" w:rsidRPr="00D776BD" w:rsidRDefault="00F72E2E" w:rsidP="00B637E1">
            <w:pPr>
              <w:spacing w:line="276" w:lineRule="auto"/>
              <w:jc w:val="right"/>
              <w:rPr>
                <w:rFonts w:ascii="Times New Roman" w:hAnsi="Times New Roman"/>
                <w:sz w:val="24"/>
                <w:szCs w:val="24"/>
                <w:highlight w:val="yellow"/>
                <w:lang w:val="uk-UA"/>
              </w:rPr>
            </w:pPr>
          </w:p>
        </w:tc>
      </w:tr>
    </w:tbl>
    <w:p w:rsidR="00D96FD9" w:rsidRPr="00006A39" w:rsidRDefault="00D96FD9" w:rsidP="00F72E2E">
      <w:pPr>
        <w:widowControl w:val="0"/>
        <w:tabs>
          <w:tab w:val="left" w:pos="642"/>
        </w:tabs>
        <w:spacing w:before="240"/>
        <w:ind w:firstLine="709"/>
        <w:rPr>
          <w:szCs w:val="28"/>
        </w:rPr>
      </w:pPr>
      <w:r w:rsidRPr="00006A39">
        <w:rPr>
          <w:szCs w:val="28"/>
        </w:rPr>
        <w:t>Також, у ході дослідження нами було проведено аналіз двох показників – складових показника DALYs: показник суми потенційних років життя</w:t>
      </w:r>
      <w:r w:rsidR="00FD59BE">
        <w:rPr>
          <w:szCs w:val="28"/>
        </w:rPr>
        <w:t xml:space="preserve"> </w:t>
      </w:r>
      <w:r w:rsidRPr="00006A39">
        <w:rPr>
          <w:szCs w:val="28"/>
        </w:rPr>
        <w:t>втрачених внаслідок передчасної смерті (Years of Life Lost, YLLs)</w:t>
      </w:r>
      <w:r w:rsidR="00351CCC">
        <w:rPr>
          <w:szCs w:val="28"/>
        </w:rPr>
        <w:t xml:space="preserve"> та показник років</w:t>
      </w:r>
      <w:r w:rsidRPr="00006A39">
        <w:rPr>
          <w:szCs w:val="28"/>
        </w:rPr>
        <w:t xml:space="preserve"> втрачених внаслідок порушень здоров’я (Years Lived with Disability, YLDs, розглядається у розділі 4). Встановлено, що в Україні також один із найвищих показників суми потенційних років життя втрачених внаслідок передчасної смерті (YLLs). Так, у випадку дитячої смертності у віковій категорії 0-5 років життя даний показник</w:t>
      </w:r>
      <w:r w:rsidR="007F6A35">
        <w:rPr>
          <w:szCs w:val="28"/>
        </w:rPr>
        <w:t xml:space="preserve"> мав </w:t>
      </w:r>
      <w:r w:rsidR="007F6A35">
        <w:rPr>
          <w:szCs w:val="28"/>
        </w:rPr>
        <w:lastRenderedPageBreak/>
        <w:t>спадну динаміку з 20176,59 років у 2009 році (95% ДІ 21298,19-19126,10)</w:t>
      </w:r>
      <w:r w:rsidR="00685720">
        <w:rPr>
          <w:szCs w:val="28"/>
        </w:rPr>
        <w:t xml:space="preserve"> до </w:t>
      </w:r>
      <w:r w:rsidR="007327A3" w:rsidRPr="007327A3">
        <w:rPr>
          <w:szCs w:val="28"/>
        </w:rPr>
        <w:t>14391,70 років на 100 тис осіб (95% ДІ 17504,98-11994,45) у 2019 р.</w:t>
      </w:r>
      <w:r w:rsidR="00685720">
        <w:rPr>
          <w:szCs w:val="28"/>
        </w:rPr>
        <w:t xml:space="preserve"> (на 28,7%)</w:t>
      </w:r>
      <w:r w:rsidR="007327A3" w:rsidRPr="007327A3">
        <w:rPr>
          <w:szCs w:val="28"/>
        </w:rPr>
        <w:t xml:space="preserve"> </w:t>
      </w:r>
      <w:r w:rsidRPr="00026EB7">
        <w:rPr>
          <w:szCs w:val="28"/>
        </w:rPr>
        <w:t>і це перевищу</w:t>
      </w:r>
      <w:r w:rsidR="00545BD0">
        <w:rPr>
          <w:szCs w:val="28"/>
        </w:rPr>
        <w:t xml:space="preserve">є аналогічні показники Іспанії </w:t>
      </w:r>
      <w:r w:rsidR="00026EB7" w:rsidRPr="00026EB7">
        <w:rPr>
          <w:szCs w:val="28"/>
        </w:rPr>
        <w:t>в 2,9 рази</w:t>
      </w:r>
      <w:r w:rsidR="00545BD0">
        <w:rPr>
          <w:szCs w:val="28"/>
        </w:rPr>
        <w:t xml:space="preserve"> (</w:t>
      </w:r>
      <w:r w:rsidR="00026EB7" w:rsidRPr="00026EB7">
        <w:rPr>
          <w:szCs w:val="28"/>
        </w:rPr>
        <w:t>4938,65 потенційних років життя</w:t>
      </w:r>
      <w:r w:rsidR="00C34047">
        <w:rPr>
          <w:szCs w:val="28"/>
        </w:rPr>
        <w:t>,</w:t>
      </w:r>
      <w:r w:rsidR="00026EB7" w:rsidRPr="00026EB7">
        <w:rPr>
          <w:szCs w:val="28"/>
        </w:rPr>
        <w:t xml:space="preserve"> втрачених внаслідок передчасної смерті</w:t>
      </w:r>
      <w:r w:rsidR="00C34047">
        <w:rPr>
          <w:szCs w:val="28"/>
        </w:rPr>
        <w:t>,</w:t>
      </w:r>
      <w:r w:rsidR="00026EB7" w:rsidRPr="00026EB7">
        <w:rPr>
          <w:szCs w:val="28"/>
        </w:rPr>
        <w:t xml:space="preserve"> на 100 тис. осіб</w:t>
      </w:r>
      <w:r w:rsidRPr="00026EB7">
        <w:rPr>
          <w:szCs w:val="28"/>
        </w:rPr>
        <w:t>)</w:t>
      </w:r>
      <w:r w:rsidRPr="00545BD0">
        <w:rPr>
          <w:szCs w:val="28"/>
        </w:rPr>
        <w:t xml:space="preserve">, Франції </w:t>
      </w:r>
      <w:r w:rsidR="00545BD0" w:rsidRPr="00545BD0">
        <w:rPr>
          <w:szCs w:val="28"/>
        </w:rPr>
        <w:t>в 2,3 рази (6285,01</w:t>
      </w:r>
      <w:r w:rsidRPr="00545BD0">
        <w:rPr>
          <w:szCs w:val="28"/>
        </w:rPr>
        <w:t xml:space="preserve"> відповідно), </w:t>
      </w:r>
      <w:r w:rsidRPr="00B52BCA">
        <w:rPr>
          <w:szCs w:val="28"/>
        </w:rPr>
        <w:t>Німеччи</w:t>
      </w:r>
      <w:r w:rsidR="00402F53" w:rsidRPr="00B52BCA">
        <w:rPr>
          <w:szCs w:val="28"/>
        </w:rPr>
        <w:t>ни</w:t>
      </w:r>
      <w:r w:rsidR="00B52BCA" w:rsidRPr="00B52BCA">
        <w:rPr>
          <w:szCs w:val="28"/>
        </w:rPr>
        <w:t xml:space="preserve"> в 2,6 рази (5520,86</w:t>
      </w:r>
      <w:r w:rsidR="00402F53" w:rsidRPr="00B52BCA">
        <w:rPr>
          <w:szCs w:val="28"/>
        </w:rPr>
        <w:t xml:space="preserve"> відповідно)</w:t>
      </w:r>
      <w:r w:rsidR="0039313F" w:rsidRPr="007F6A35">
        <w:rPr>
          <w:szCs w:val="28"/>
        </w:rPr>
        <w:t xml:space="preserve">, Угорщини в 2,1 рази (6728,88 відповідно), Словаччини в </w:t>
      </w:r>
      <w:r w:rsidR="00BC4D3F" w:rsidRPr="007F6A35">
        <w:rPr>
          <w:szCs w:val="28"/>
        </w:rPr>
        <w:t>1,5 рази (9312,31 відповідно), Польщі в 2,1 рази (6589,77 відповідно), США в 1,25 рази (11467,48 відповідно</w:t>
      </w:r>
      <w:r w:rsidR="00BC4D3F" w:rsidRPr="00133A77">
        <w:rPr>
          <w:szCs w:val="28"/>
        </w:rPr>
        <w:t>)</w:t>
      </w:r>
      <w:r w:rsidR="00402F53" w:rsidRPr="00133A77">
        <w:rPr>
          <w:szCs w:val="28"/>
        </w:rPr>
        <w:t xml:space="preserve"> (Додаток</w:t>
      </w:r>
      <w:r w:rsidR="006D03B6" w:rsidRPr="00133A77">
        <w:rPr>
          <w:szCs w:val="28"/>
        </w:rPr>
        <w:t xml:space="preserve"> Б</w:t>
      </w:r>
      <w:r w:rsidR="00D946AD" w:rsidRPr="00133A77">
        <w:rPr>
          <w:szCs w:val="28"/>
        </w:rPr>
        <w:t>-19</w:t>
      </w:r>
      <w:r w:rsidRPr="00133A77">
        <w:rPr>
          <w:szCs w:val="28"/>
        </w:rPr>
        <w:t>).</w:t>
      </w:r>
    </w:p>
    <w:p w:rsidR="00D96FD9" w:rsidRPr="00235918" w:rsidRDefault="00D96FD9" w:rsidP="00721203">
      <w:pPr>
        <w:widowControl w:val="0"/>
        <w:ind w:firstLine="720"/>
        <w:rPr>
          <w:color w:val="FF0000"/>
          <w:szCs w:val="28"/>
        </w:rPr>
      </w:pPr>
      <w:r w:rsidRPr="00006A39">
        <w:rPr>
          <w:szCs w:val="28"/>
        </w:rPr>
        <w:t>Для більш об’єктивної оцінки результативності системи охорони здоров’я та порівняльної характеристики із закордонними країнами, нами використано розрахунки показника DALYs на 100 тис. осіб у випадку дитячої смертності до 1-</w:t>
      </w:r>
      <w:r w:rsidR="00FD59BE">
        <w:rPr>
          <w:szCs w:val="28"/>
        </w:rPr>
        <w:t>го року життя (сума років життя</w:t>
      </w:r>
      <w:r w:rsidRPr="00006A39">
        <w:rPr>
          <w:szCs w:val="28"/>
        </w:rPr>
        <w:t xml:space="preserve"> втрачен</w:t>
      </w:r>
      <w:r w:rsidR="00FD59BE">
        <w:rPr>
          <w:szCs w:val="28"/>
        </w:rPr>
        <w:t>их внаслідок передчасної смерті і років здорового життя</w:t>
      </w:r>
      <w:r w:rsidRPr="00006A39">
        <w:rPr>
          <w:szCs w:val="28"/>
        </w:rPr>
        <w:t xml:space="preserve"> втрачених внаслідок інвалідності че</w:t>
      </w:r>
      <w:r w:rsidR="00F56F89">
        <w:rPr>
          <w:szCs w:val="28"/>
        </w:rPr>
        <w:t>рез хворобу або травми). За 2009-2019</w:t>
      </w:r>
      <w:r w:rsidRPr="00006A39">
        <w:rPr>
          <w:szCs w:val="28"/>
        </w:rPr>
        <w:t xml:space="preserve"> рр. даний показник </w:t>
      </w:r>
      <w:r w:rsidR="00450D25">
        <w:rPr>
          <w:szCs w:val="28"/>
        </w:rPr>
        <w:t xml:space="preserve">в Україні </w:t>
      </w:r>
      <w:r w:rsidRPr="00006A39">
        <w:rPr>
          <w:szCs w:val="28"/>
        </w:rPr>
        <w:t xml:space="preserve">достовірно знизився </w:t>
      </w:r>
      <w:r w:rsidR="00450D25" w:rsidRPr="00450D25">
        <w:rPr>
          <w:szCs w:val="28"/>
        </w:rPr>
        <w:t>на 21,87</w:t>
      </w:r>
      <w:r w:rsidRPr="00450D25">
        <w:rPr>
          <w:szCs w:val="28"/>
        </w:rPr>
        <w:t>%</w:t>
      </w:r>
      <w:r w:rsidR="00DC297F">
        <w:rPr>
          <w:szCs w:val="28"/>
        </w:rPr>
        <w:t xml:space="preserve"> (з 8</w:t>
      </w:r>
      <w:r w:rsidR="00DC297F" w:rsidRPr="006E2B6E">
        <w:rPr>
          <w:szCs w:val="28"/>
        </w:rPr>
        <w:t>2</w:t>
      </w:r>
      <w:r w:rsidR="009C34CD">
        <w:rPr>
          <w:szCs w:val="28"/>
        </w:rPr>
        <w:t>010,66 втрачених років на 100 тис.осіб у 2009 р. (95% ДІ 88203,18-76413,92) до 64074,21 років відповідно (95% ДІ 78454,88-53171,96)</w:t>
      </w:r>
      <w:r w:rsidRPr="00006A39">
        <w:rPr>
          <w:szCs w:val="28"/>
        </w:rPr>
        <w:t>,</w:t>
      </w:r>
      <w:r w:rsidR="006E2B6E" w:rsidRPr="006E2B6E">
        <w:rPr>
          <w:szCs w:val="28"/>
        </w:rPr>
        <w:t xml:space="preserve"> </w:t>
      </w:r>
      <w:r w:rsidR="005B5215">
        <w:rPr>
          <w:szCs w:val="28"/>
        </w:rPr>
        <w:t xml:space="preserve">при цьому </w:t>
      </w:r>
      <w:r w:rsidR="006E2B6E" w:rsidRPr="006E2B6E">
        <w:rPr>
          <w:szCs w:val="28"/>
        </w:rPr>
        <w:t xml:space="preserve">показник DALYs </w:t>
      </w:r>
      <w:r w:rsidR="006E2B6E">
        <w:rPr>
          <w:szCs w:val="28"/>
        </w:rPr>
        <w:t>хлопчиків</w:t>
      </w:r>
      <w:r w:rsidR="006E2B6E" w:rsidRPr="006E2B6E">
        <w:rPr>
          <w:szCs w:val="28"/>
        </w:rPr>
        <w:t xml:space="preserve"> </w:t>
      </w:r>
      <w:r w:rsidR="006E2B6E">
        <w:rPr>
          <w:szCs w:val="28"/>
        </w:rPr>
        <w:t>до 1-го року життя</w:t>
      </w:r>
      <w:r w:rsidR="005B5215">
        <w:rPr>
          <w:szCs w:val="28"/>
        </w:rPr>
        <w:t xml:space="preserve"> (2019 р. – 71051,04 років, 95% ДІ 86868,67-58828,35)</w:t>
      </w:r>
      <w:r w:rsidRPr="00006A39">
        <w:rPr>
          <w:szCs w:val="28"/>
        </w:rPr>
        <w:t xml:space="preserve"> </w:t>
      </w:r>
      <w:r w:rsidR="006E2B6E">
        <w:rPr>
          <w:szCs w:val="28"/>
        </w:rPr>
        <w:t xml:space="preserve">вищий за показник дівчаток на </w:t>
      </w:r>
      <w:r w:rsidR="003B3FDD">
        <w:rPr>
          <w:szCs w:val="28"/>
        </w:rPr>
        <w:t xml:space="preserve">20,3% </w:t>
      </w:r>
      <w:r w:rsidR="005B5215">
        <w:rPr>
          <w:szCs w:val="28"/>
        </w:rPr>
        <w:t xml:space="preserve">(56634,04 95% ДІ 69467,02-47384,19). </w:t>
      </w:r>
      <w:r w:rsidR="00112625">
        <w:rPr>
          <w:szCs w:val="28"/>
        </w:rPr>
        <w:t xml:space="preserve">Слід зазначити, що протягом </w:t>
      </w:r>
      <w:r w:rsidR="001933F2">
        <w:rPr>
          <w:szCs w:val="28"/>
        </w:rPr>
        <w:t xml:space="preserve">2013-2019 рр. </w:t>
      </w:r>
      <w:r w:rsidR="00112625">
        <w:rPr>
          <w:szCs w:val="28"/>
        </w:rPr>
        <w:t>вищезазначений показник залишається одним із вищих в порівнянні з іншими країнами</w:t>
      </w:r>
      <w:r w:rsidR="00F66409">
        <w:rPr>
          <w:szCs w:val="28"/>
        </w:rPr>
        <w:t>,</w:t>
      </w:r>
      <w:r w:rsidR="00112625">
        <w:rPr>
          <w:szCs w:val="28"/>
        </w:rPr>
        <w:t xml:space="preserve"> зо</w:t>
      </w:r>
      <w:r w:rsidR="00112625" w:rsidRPr="00012C4F">
        <w:rPr>
          <w:szCs w:val="28"/>
        </w:rPr>
        <w:t xml:space="preserve">крема </w:t>
      </w:r>
      <w:r w:rsidR="009C34CD" w:rsidRPr="00012C4F">
        <w:rPr>
          <w:szCs w:val="28"/>
        </w:rPr>
        <w:t>у 2019</w:t>
      </w:r>
      <w:r w:rsidRPr="00012C4F">
        <w:rPr>
          <w:szCs w:val="28"/>
        </w:rPr>
        <w:t xml:space="preserve"> р.</w:t>
      </w:r>
      <w:r w:rsidR="00697E8B">
        <w:rPr>
          <w:szCs w:val="28"/>
        </w:rPr>
        <w:t xml:space="preserve"> показник DALYs </w:t>
      </w:r>
      <w:r w:rsidR="008F0E35" w:rsidRPr="00012C4F">
        <w:rPr>
          <w:szCs w:val="28"/>
        </w:rPr>
        <w:t>дітей до 1</w:t>
      </w:r>
      <w:r w:rsidR="00874FE8" w:rsidRPr="00012C4F">
        <w:rPr>
          <w:szCs w:val="28"/>
        </w:rPr>
        <w:t>-го</w:t>
      </w:r>
      <w:r w:rsidR="008F0E35" w:rsidRPr="00012C4F">
        <w:rPr>
          <w:szCs w:val="28"/>
        </w:rPr>
        <w:t xml:space="preserve"> року життя України</w:t>
      </w:r>
      <w:r w:rsidRPr="00012C4F">
        <w:rPr>
          <w:szCs w:val="28"/>
        </w:rPr>
        <w:t xml:space="preserve"> </w:t>
      </w:r>
      <w:r w:rsidR="008863B9" w:rsidRPr="00012C4F">
        <w:rPr>
          <w:szCs w:val="28"/>
        </w:rPr>
        <w:t>перевищував аналогічний</w:t>
      </w:r>
      <w:r w:rsidR="00874FE8" w:rsidRPr="00012C4F">
        <w:rPr>
          <w:szCs w:val="28"/>
        </w:rPr>
        <w:t xml:space="preserve"> США </w:t>
      </w:r>
      <w:r w:rsidR="008E5B51" w:rsidRPr="00012C4F">
        <w:rPr>
          <w:szCs w:val="28"/>
        </w:rPr>
        <w:t>на 25,0</w:t>
      </w:r>
      <w:r w:rsidR="00874FE8" w:rsidRPr="00012C4F">
        <w:rPr>
          <w:szCs w:val="28"/>
        </w:rPr>
        <w:t>%</w:t>
      </w:r>
      <w:r w:rsidR="008863B9" w:rsidRPr="00012C4F">
        <w:rPr>
          <w:szCs w:val="28"/>
        </w:rPr>
        <w:t>, Іспанії</w:t>
      </w:r>
      <w:r w:rsidRPr="00012C4F">
        <w:rPr>
          <w:szCs w:val="28"/>
        </w:rPr>
        <w:t xml:space="preserve"> </w:t>
      </w:r>
      <w:r w:rsidR="00C1298F" w:rsidRPr="00012C4F">
        <w:rPr>
          <w:szCs w:val="28"/>
        </w:rPr>
        <w:t>в 2,6</w:t>
      </w:r>
      <w:r w:rsidRPr="00012C4F">
        <w:rPr>
          <w:szCs w:val="28"/>
        </w:rPr>
        <w:t xml:space="preserve"> рази, Франції</w:t>
      </w:r>
      <w:r w:rsidR="00012C4F" w:rsidRPr="00012C4F">
        <w:rPr>
          <w:szCs w:val="28"/>
        </w:rPr>
        <w:t xml:space="preserve"> в 2,2 </w:t>
      </w:r>
      <w:r w:rsidR="00012C4F" w:rsidRPr="00585905">
        <w:rPr>
          <w:szCs w:val="28"/>
        </w:rPr>
        <w:t>рази</w:t>
      </w:r>
      <w:r w:rsidRPr="00585905">
        <w:rPr>
          <w:szCs w:val="28"/>
        </w:rPr>
        <w:t xml:space="preserve">, </w:t>
      </w:r>
      <w:r w:rsidR="009162EA" w:rsidRPr="00585905">
        <w:rPr>
          <w:szCs w:val="28"/>
        </w:rPr>
        <w:t>Німеччини в</w:t>
      </w:r>
      <w:r w:rsidR="00376B37" w:rsidRPr="00585905">
        <w:rPr>
          <w:szCs w:val="28"/>
        </w:rPr>
        <w:t xml:space="preserve"> 2,5 рази</w:t>
      </w:r>
      <w:r w:rsidRPr="00585905">
        <w:rPr>
          <w:szCs w:val="28"/>
        </w:rPr>
        <w:t xml:space="preserve">, </w:t>
      </w:r>
      <w:r w:rsidR="009162EA" w:rsidRPr="00585905">
        <w:rPr>
          <w:szCs w:val="28"/>
        </w:rPr>
        <w:t xml:space="preserve">Угорщини </w:t>
      </w:r>
      <w:r w:rsidRPr="00585905">
        <w:rPr>
          <w:szCs w:val="28"/>
        </w:rPr>
        <w:t xml:space="preserve">в </w:t>
      </w:r>
      <w:r w:rsidR="00376B37" w:rsidRPr="00585905">
        <w:rPr>
          <w:szCs w:val="28"/>
        </w:rPr>
        <w:t xml:space="preserve">2 </w:t>
      </w:r>
      <w:r w:rsidRPr="00585905">
        <w:rPr>
          <w:szCs w:val="28"/>
        </w:rPr>
        <w:t xml:space="preserve">рази, </w:t>
      </w:r>
      <w:r w:rsidR="009162EA" w:rsidRPr="00585905">
        <w:rPr>
          <w:szCs w:val="28"/>
        </w:rPr>
        <w:t>Словаччини</w:t>
      </w:r>
      <w:r w:rsidR="00C60B67" w:rsidRPr="00585905">
        <w:rPr>
          <w:szCs w:val="28"/>
        </w:rPr>
        <w:t xml:space="preserve"> в 1,5</w:t>
      </w:r>
      <w:r w:rsidRPr="00585905">
        <w:rPr>
          <w:szCs w:val="28"/>
        </w:rPr>
        <w:t xml:space="preserve"> рази, Польщі</w:t>
      </w:r>
      <w:r w:rsidR="009162EA" w:rsidRPr="00585905">
        <w:rPr>
          <w:szCs w:val="28"/>
        </w:rPr>
        <w:t xml:space="preserve"> в</w:t>
      </w:r>
      <w:r w:rsidR="00585905" w:rsidRPr="00585905">
        <w:rPr>
          <w:szCs w:val="28"/>
        </w:rPr>
        <w:t xml:space="preserve"> 2 рази </w:t>
      </w:r>
      <w:r w:rsidR="00235918" w:rsidRPr="00133A77">
        <w:rPr>
          <w:szCs w:val="28"/>
        </w:rPr>
        <w:t xml:space="preserve">(Додаток </w:t>
      </w:r>
      <w:r w:rsidR="0031225D" w:rsidRPr="00133A77">
        <w:rPr>
          <w:szCs w:val="28"/>
        </w:rPr>
        <w:t>Б-20, Б</w:t>
      </w:r>
      <w:r w:rsidR="00FA1DB0" w:rsidRPr="00133A77">
        <w:rPr>
          <w:szCs w:val="28"/>
        </w:rPr>
        <w:t>-21</w:t>
      </w:r>
      <w:r w:rsidR="00D82249" w:rsidRPr="00133A77">
        <w:rPr>
          <w:szCs w:val="28"/>
        </w:rPr>
        <w:t>)</w:t>
      </w:r>
      <w:r w:rsidR="00133A77">
        <w:rPr>
          <w:szCs w:val="28"/>
        </w:rPr>
        <w:t>.</w:t>
      </w:r>
    </w:p>
    <w:p w:rsidR="00D96FD9" w:rsidRDefault="00D96FD9" w:rsidP="00403344">
      <w:pPr>
        <w:widowControl w:val="0"/>
        <w:tabs>
          <w:tab w:val="left" w:pos="875"/>
        </w:tabs>
        <w:ind w:firstLine="851"/>
        <w:rPr>
          <w:color w:val="FF0000"/>
          <w:szCs w:val="28"/>
        </w:rPr>
      </w:pPr>
      <w:r w:rsidRPr="00006A39">
        <w:rPr>
          <w:szCs w:val="28"/>
        </w:rPr>
        <w:t>Наступним кроком нашого дослідження став аналіз YLLs та DALYs в Україні безпосередньо для складових малюкової смертності. Показник суми потенційних років життя втрачених внаслідок передчасної смерті (YLLs, Years of Life Lost)</w:t>
      </w:r>
      <w:r w:rsidR="00FD59BE">
        <w:rPr>
          <w:szCs w:val="28"/>
        </w:rPr>
        <w:t xml:space="preserve"> </w:t>
      </w:r>
      <w:r w:rsidRPr="00006A39">
        <w:rPr>
          <w:szCs w:val="28"/>
        </w:rPr>
        <w:t xml:space="preserve">для ранньої неонатальної смертності знизився </w:t>
      </w:r>
      <w:r w:rsidR="008E392B" w:rsidRPr="008E392B">
        <w:rPr>
          <w:szCs w:val="28"/>
        </w:rPr>
        <w:t>на 22,5</w:t>
      </w:r>
      <w:r w:rsidR="00544B50" w:rsidRPr="008E392B">
        <w:rPr>
          <w:szCs w:val="28"/>
        </w:rPr>
        <w:t xml:space="preserve">% </w:t>
      </w:r>
      <w:r w:rsidR="00544B50" w:rsidRPr="00544B50">
        <w:rPr>
          <w:szCs w:val="28"/>
        </w:rPr>
        <w:t>протягом 2009-2019 рр. та становив у 2019</w:t>
      </w:r>
      <w:r w:rsidRPr="00544B50">
        <w:rPr>
          <w:szCs w:val="28"/>
        </w:rPr>
        <w:t xml:space="preserve"> р. </w:t>
      </w:r>
      <w:r w:rsidRPr="00BA61E1">
        <w:rPr>
          <w:szCs w:val="28"/>
        </w:rPr>
        <w:t xml:space="preserve">– </w:t>
      </w:r>
      <w:r w:rsidR="00BA61E1" w:rsidRPr="00BA61E1">
        <w:rPr>
          <w:szCs w:val="28"/>
        </w:rPr>
        <w:t>1685452,18</w:t>
      </w:r>
      <w:r w:rsidR="00C242E9">
        <w:rPr>
          <w:szCs w:val="28"/>
        </w:rPr>
        <w:t xml:space="preserve"> втрачених років</w:t>
      </w:r>
      <w:r w:rsidR="00BA61E1" w:rsidRPr="00BA61E1">
        <w:rPr>
          <w:szCs w:val="28"/>
        </w:rPr>
        <w:t xml:space="preserve"> </w:t>
      </w:r>
      <w:r w:rsidRPr="00BA61E1">
        <w:rPr>
          <w:szCs w:val="28"/>
        </w:rPr>
        <w:t>на 100 тис. осіб (95% ДІ</w:t>
      </w:r>
      <w:r w:rsidRPr="002F7F23">
        <w:rPr>
          <w:szCs w:val="28"/>
        </w:rPr>
        <w:t xml:space="preserve"> </w:t>
      </w:r>
      <w:r w:rsidR="002F7F23" w:rsidRPr="002F7F23">
        <w:rPr>
          <w:szCs w:val="28"/>
        </w:rPr>
        <w:t>2064803,79-1383250,92</w:t>
      </w:r>
      <w:r w:rsidRPr="002F7F23">
        <w:rPr>
          <w:szCs w:val="28"/>
        </w:rPr>
        <w:t>),</w:t>
      </w:r>
      <w:r w:rsidRPr="001732C1">
        <w:rPr>
          <w:color w:val="FF0000"/>
          <w:szCs w:val="28"/>
        </w:rPr>
        <w:t xml:space="preserve"> </w:t>
      </w:r>
      <w:r w:rsidRPr="00006A39">
        <w:rPr>
          <w:szCs w:val="28"/>
        </w:rPr>
        <w:t xml:space="preserve">хоча продовжує залишатись одним із найвищих в європейському регіоні. </w:t>
      </w:r>
      <w:r w:rsidRPr="00936727">
        <w:rPr>
          <w:szCs w:val="28"/>
        </w:rPr>
        <w:t xml:space="preserve">Даний показник у хлопчиків </w:t>
      </w:r>
      <w:r w:rsidRPr="00167667">
        <w:rPr>
          <w:szCs w:val="28"/>
        </w:rPr>
        <w:t>(</w:t>
      </w:r>
      <w:r w:rsidR="00167667" w:rsidRPr="00167667">
        <w:rPr>
          <w:szCs w:val="28"/>
          <w:lang w:val="ru-RU"/>
        </w:rPr>
        <w:t>2280669,87</w:t>
      </w:r>
      <w:r w:rsidR="00167667" w:rsidRPr="00167667">
        <w:rPr>
          <w:szCs w:val="28"/>
        </w:rPr>
        <w:t xml:space="preserve"> </w:t>
      </w:r>
      <w:r w:rsidRPr="00936727">
        <w:rPr>
          <w:szCs w:val="28"/>
        </w:rPr>
        <w:t xml:space="preserve">на 100 тис. осіб; 95% ДІ </w:t>
      </w:r>
      <w:r w:rsidR="00546C48" w:rsidRPr="00546C48">
        <w:rPr>
          <w:szCs w:val="28"/>
          <w:lang w:val="ru-RU"/>
        </w:rPr>
        <w:t>2826885,80</w:t>
      </w:r>
      <w:r w:rsidR="00546C48" w:rsidRPr="00546C48">
        <w:rPr>
          <w:szCs w:val="28"/>
        </w:rPr>
        <w:t>-</w:t>
      </w:r>
      <w:r w:rsidR="00546C48" w:rsidRPr="00546C48">
        <w:rPr>
          <w:szCs w:val="28"/>
          <w:lang w:val="ru-RU"/>
        </w:rPr>
        <w:t>1865940,27</w:t>
      </w:r>
      <w:r w:rsidRPr="00546C48">
        <w:rPr>
          <w:szCs w:val="28"/>
        </w:rPr>
        <w:t xml:space="preserve">) </w:t>
      </w:r>
      <w:r w:rsidRPr="00B80B90">
        <w:rPr>
          <w:szCs w:val="28"/>
        </w:rPr>
        <w:t xml:space="preserve">є вищим на </w:t>
      </w:r>
      <w:r w:rsidR="00296CDA" w:rsidRPr="00296CDA">
        <w:rPr>
          <w:szCs w:val="28"/>
          <w:lang w:val="ru-RU"/>
        </w:rPr>
        <w:t>54%</w:t>
      </w:r>
      <w:r w:rsidRPr="00296CDA">
        <w:rPr>
          <w:szCs w:val="28"/>
        </w:rPr>
        <w:t xml:space="preserve"> </w:t>
      </w:r>
      <w:r w:rsidRPr="00936727">
        <w:rPr>
          <w:szCs w:val="28"/>
        </w:rPr>
        <w:t xml:space="preserve">за аналогічний показник </w:t>
      </w:r>
      <w:r w:rsidRPr="00A129FE">
        <w:rPr>
          <w:szCs w:val="28"/>
        </w:rPr>
        <w:t xml:space="preserve">дівчат </w:t>
      </w:r>
      <w:r w:rsidRPr="00A129FE">
        <w:rPr>
          <w:szCs w:val="28"/>
        </w:rPr>
        <w:lastRenderedPageBreak/>
        <w:t>(</w:t>
      </w:r>
      <w:r w:rsidR="00A129FE" w:rsidRPr="00A129FE">
        <w:rPr>
          <w:szCs w:val="28"/>
          <w:lang w:val="ru-RU"/>
        </w:rPr>
        <w:t xml:space="preserve">1050243,01 </w:t>
      </w:r>
      <w:r w:rsidRPr="00A129FE">
        <w:rPr>
          <w:szCs w:val="28"/>
        </w:rPr>
        <w:t xml:space="preserve">на 100 тис. осіб; 95% ДІ </w:t>
      </w:r>
      <w:r w:rsidR="00A129FE" w:rsidRPr="00A129FE">
        <w:rPr>
          <w:szCs w:val="28"/>
          <w:lang w:val="ru-RU"/>
        </w:rPr>
        <w:t>1349563,30</w:t>
      </w:r>
      <w:r w:rsidR="00A129FE" w:rsidRPr="00A129FE">
        <w:rPr>
          <w:szCs w:val="28"/>
        </w:rPr>
        <w:t>-</w:t>
      </w:r>
      <w:r w:rsidR="00A129FE" w:rsidRPr="00A129FE">
        <w:rPr>
          <w:szCs w:val="28"/>
          <w:lang w:val="ru-RU"/>
        </w:rPr>
        <w:t>805279,41</w:t>
      </w:r>
      <w:r w:rsidRPr="00A129FE">
        <w:rPr>
          <w:szCs w:val="28"/>
        </w:rPr>
        <w:t>)</w:t>
      </w:r>
      <w:r w:rsidR="00403344">
        <w:rPr>
          <w:color w:val="FF0000"/>
          <w:szCs w:val="28"/>
        </w:rPr>
        <w:t xml:space="preserve"> </w:t>
      </w:r>
      <w:r w:rsidRPr="00006A39">
        <w:rPr>
          <w:color w:val="000000" w:themeColor="text1"/>
          <w:szCs w:val="28"/>
        </w:rPr>
        <w:t>(</w:t>
      </w:r>
      <w:r w:rsidR="00481D65" w:rsidRPr="00F43A54">
        <w:rPr>
          <w:szCs w:val="28"/>
        </w:rPr>
        <w:t>Д</w:t>
      </w:r>
      <w:r w:rsidR="00403344" w:rsidRPr="00F43A54">
        <w:rPr>
          <w:szCs w:val="28"/>
        </w:rPr>
        <w:t xml:space="preserve">одаток </w:t>
      </w:r>
      <w:r w:rsidR="00265E6C" w:rsidRPr="00F43A54">
        <w:rPr>
          <w:szCs w:val="28"/>
        </w:rPr>
        <w:t>Б</w:t>
      </w:r>
      <w:r w:rsidR="00481D65" w:rsidRPr="00F43A54">
        <w:rPr>
          <w:szCs w:val="28"/>
        </w:rPr>
        <w:t>-22</w:t>
      </w:r>
      <w:r w:rsidR="00191A25" w:rsidRPr="00F43A54">
        <w:rPr>
          <w:szCs w:val="28"/>
        </w:rPr>
        <w:t xml:space="preserve">). </w:t>
      </w:r>
      <w:r w:rsidRPr="00006A39">
        <w:rPr>
          <w:szCs w:val="28"/>
        </w:rPr>
        <w:t xml:space="preserve">Що стосується показника DALYs при ранній неонатальний </w:t>
      </w:r>
      <w:r w:rsidR="0055071B">
        <w:rPr>
          <w:szCs w:val="28"/>
        </w:rPr>
        <w:t>смертності, то він упродовж 200</w:t>
      </w:r>
      <w:r w:rsidR="0055071B" w:rsidRPr="0055071B">
        <w:rPr>
          <w:szCs w:val="28"/>
        </w:rPr>
        <w:t>9</w:t>
      </w:r>
      <w:r w:rsidR="0055071B">
        <w:rPr>
          <w:szCs w:val="28"/>
        </w:rPr>
        <w:t>-201</w:t>
      </w:r>
      <w:r w:rsidR="0055071B" w:rsidRPr="0055071B">
        <w:rPr>
          <w:szCs w:val="28"/>
        </w:rPr>
        <w:t>9</w:t>
      </w:r>
      <w:r w:rsidR="0055071B">
        <w:rPr>
          <w:szCs w:val="28"/>
        </w:rPr>
        <w:t xml:space="preserve"> рр. також знизився на </w:t>
      </w:r>
      <w:r w:rsidR="0055071B" w:rsidRPr="0055071B">
        <w:rPr>
          <w:szCs w:val="28"/>
        </w:rPr>
        <w:t>22,5</w:t>
      </w:r>
      <w:r w:rsidR="0055071B">
        <w:rPr>
          <w:szCs w:val="28"/>
        </w:rPr>
        <w:t>%</w:t>
      </w:r>
      <w:r w:rsidRPr="00006A39">
        <w:rPr>
          <w:szCs w:val="28"/>
        </w:rPr>
        <w:t>, що є цілком логічни</w:t>
      </w:r>
      <w:r w:rsidR="0055071B">
        <w:rPr>
          <w:szCs w:val="28"/>
        </w:rPr>
        <w:t xml:space="preserve">м з урахуванням методології </w:t>
      </w:r>
      <w:r w:rsidRPr="00006A39">
        <w:rPr>
          <w:szCs w:val="28"/>
        </w:rPr>
        <w:t xml:space="preserve"> розрахунку</w:t>
      </w:r>
      <w:r w:rsidR="0055071B" w:rsidRPr="0055071B">
        <w:rPr>
          <w:szCs w:val="28"/>
        </w:rPr>
        <w:t xml:space="preserve"> і вікової </w:t>
      </w:r>
      <w:r w:rsidR="0055071B" w:rsidRPr="00973168">
        <w:rPr>
          <w:szCs w:val="28"/>
        </w:rPr>
        <w:t>групи</w:t>
      </w:r>
      <w:r w:rsidR="00403344" w:rsidRPr="00973168">
        <w:rPr>
          <w:szCs w:val="28"/>
        </w:rPr>
        <w:t xml:space="preserve"> </w:t>
      </w:r>
      <w:r w:rsidR="00973168" w:rsidRPr="00973168">
        <w:rPr>
          <w:szCs w:val="28"/>
        </w:rPr>
        <w:t xml:space="preserve">(табл. </w:t>
      </w:r>
      <w:r w:rsidR="00403344" w:rsidRPr="00973168">
        <w:rPr>
          <w:szCs w:val="28"/>
        </w:rPr>
        <w:t>3.14)</w:t>
      </w:r>
      <w:r w:rsidR="00973168">
        <w:rPr>
          <w:color w:val="FF0000"/>
          <w:szCs w:val="28"/>
        </w:rPr>
        <w:t>.</w:t>
      </w:r>
      <w:r w:rsidRPr="00973168">
        <w:rPr>
          <w:color w:val="FF0000"/>
          <w:szCs w:val="28"/>
        </w:rPr>
        <w:t xml:space="preserve"> </w:t>
      </w:r>
    </w:p>
    <w:p w:rsidR="00D82249" w:rsidRPr="00973168" w:rsidRDefault="00D82249" w:rsidP="00D82249">
      <w:pPr>
        <w:jc w:val="right"/>
        <w:rPr>
          <w:rFonts w:eastAsia="Calibri"/>
          <w:i/>
          <w:sz w:val="32"/>
          <w:szCs w:val="32"/>
        </w:rPr>
      </w:pPr>
      <w:r w:rsidRPr="00973168">
        <w:rPr>
          <w:rFonts w:eastAsia="Calibri"/>
          <w:i/>
          <w:szCs w:val="28"/>
        </w:rPr>
        <w:t>Таблиця 3.</w:t>
      </w:r>
      <w:r w:rsidRPr="00973168">
        <w:rPr>
          <w:rFonts w:ascii="Calibri" w:eastAsia="Calibri" w:hAnsi="Calibri"/>
          <w:i/>
        </w:rPr>
        <w:t xml:space="preserve"> </w:t>
      </w:r>
      <w:r w:rsidRPr="00973168">
        <w:rPr>
          <w:rFonts w:eastAsia="Calibri"/>
          <w:i/>
          <w:szCs w:val="28"/>
        </w:rPr>
        <w:t>14</w:t>
      </w:r>
      <w:r w:rsidRPr="00973168">
        <w:rPr>
          <w:rFonts w:eastAsia="Calibri"/>
          <w:i/>
          <w:sz w:val="32"/>
          <w:szCs w:val="32"/>
        </w:rPr>
        <w:t xml:space="preserve"> </w:t>
      </w:r>
    </w:p>
    <w:p w:rsidR="00D82249" w:rsidRPr="009821B5" w:rsidRDefault="00D82249" w:rsidP="002E62F1">
      <w:pPr>
        <w:jc w:val="center"/>
        <w:rPr>
          <w:rFonts w:eastAsia="Calibri"/>
          <w:b/>
          <w:szCs w:val="28"/>
        </w:rPr>
      </w:pPr>
      <w:r w:rsidRPr="009821B5">
        <w:rPr>
          <w:rFonts w:eastAsia="Calibri"/>
          <w:b/>
          <w:szCs w:val="28"/>
        </w:rPr>
        <w:t>Динаміка показника</w:t>
      </w:r>
      <w:r w:rsidRPr="009821B5">
        <w:rPr>
          <w:rFonts w:ascii="Calibri" w:eastAsia="Calibri" w:hAnsi="Calibri"/>
          <w:b/>
          <w:szCs w:val="28"/>
        </w:rPr>
        <w:t xml:space="preserve"> </w:t>
      </w:r>
      <w:r w:rsidRPr="009821B5">
        <w:rPr>
          <w:rFonts w:eastAsia="Calibri"/>
          <w:b/>
          <w:szCs w:val="28"/>
        </w:rPr>
        <w:t>DALYs (на 100 тис. осіб) у випадку ранньої не</w:t>
      </w:r>
      <w:r>
        <w:rPr>
          <w:rFonts w:eastAsia="Calibri"/>
          <w:b/>
          <w:szCs w:val="28"/>
        </w:rPr>
        <w:t>о</w:t>
      </w:r>
      <w:r w:rsidRPr="009821B5">
        <w:rPr>
          <w:rFonts w:eastAsia="Calibri"/>
          <w:b/>
          <w:szCs w:val="28"/>
        </w:rPr>
        <w:t xml:space="preserve">натальної смертності </w:t>
      </w:r>
      <w:r w:rsidR="00403344">
        <w:rPr>
          <w:rFonts w:eastAsia="Calibri"/>
          <w:b/>
          <w:szCs w:val="28"/>
        </w:rPr>
        <w:t xml:space="preserve">за період </w:t>
      </w:r>
      <w:r w:rsidR="002E62F1">
        <w:rPr>
          <w:rFonts w:eastAsia="Calibri"/>
          <w:b/>
          <w:szCs w:val="28"/>
        </w:rPr>
        <w:t xml:space="preserve">2009-2019 рр. </w:t>
      </w:r>
    </w:p>
    <w:tbl>
      <w:tblPr>
        <w:tblStyle w:val="5010"/>
        <w:tblW w:w="0" w:type="auto"/>
        <w:jc w:val="center"/>
        <w:tblLook w:val="04A0" w:firstRow="1" w:lastRow="0" w:firstColumn="1" w:lastColumn="0" w:noHBand="0" w:noVBand="1"/>
      </w:tblPr>
      <w:tblGrid>
        <w:gridCol w:w="696"/>
        <w:gridCol w:w="2736"/>
        <w:gridCol w:w="2736"/>
        <w:gridCol w:w="2736"/>
      </w:tblGrid>
      <w:tr w:rsidR="003D6F77" w:rsidRPr="003D6F77" w:rsidTr="00CC6EB9">
        <w:trPr>
          <w:jc w:val="center"/>
        </w:trPr>
        <w:tc>
          <w:tcPr>
            <w:tcW w:w="0" w:type="auto"/>
          </w:tcPr>
          <w:p w:rsidR="003D6F77" w:rsidRPr="003D6F77" w:rsidRDefault="003D6F77" w:rsidP="00F024FB">
            <w:pPr>
              <w:spacing w:line="360" w:lineRule="auto"/>
              <w:jc w:val="center"/>
              <w:rPr>
                <w:rFonts w:ascii="Times New Roman" w:hAnsi="Times New Roman"/>
                <w:sz w:val="24"/>
                <w:szCs w:val="24"/>
                <w:lang w:val="uk-UA"/>
              </w:rPr>
            </w:pPr>
            <w:r w:rsidRPr="003D6F77">
              <w:rPr>
                <w:rFonts w:ascii="Times New Roman" w:hAnsi="Times New Roman"/>
                <w:sz w:val="24"/>
                <w:szCs w:val="24"/>
                <w:lang w:val="uk-UA"/>
              </w:rPr>
              <w:t>Рік</w:t>
            </w:r>
          </w:p>
        </w:tc>
        <w:tc>
          <w:tcPr>
            <w:tcW w:w="0" w:type="auto"/>
          </w:tcPr>
          <w:p w:rsidR="003D6F77" w:rsidRPr="003D6F77" w:rsidRDefault="003D6F77" w:rsidP="00F024FB">
            <w:pPr>
              <w:spacing w:line="360" w:lineRule="auto"/>
              <w:jc w:val="center"/>
              <w:rPr>
                <w:rFonts w:ascii="Times New Roman" w:hAnsi="Times New Roman"/>
                <w:sz w:val="24"/>
                <w:szCs w:val="24"/>
                <w:lang w:val="uk-UA"/>
              </w:rPr>
            </w:pPr>
            <w:r w:rsidRPr="003D6F77">
              <w:rPr>
                <w:rFonts w:ascii="Times New Roman" w:hAnsi="Times New Roman"/>
                <w:sz w:val="24"/>
                <w:szCs w:val="24"/>
                <w:lang w:val="uk-UA"/>
              </w:rPr>
              <w:t>Обидві статі</w:t>
            </w:r>
          </w:p>
        </w:tc>
        <w:tc>
          <w:tcPr>
            <w:tcW w:w="0" w:type="auto"/>
          </w:tcPr>
          <w:p w:rsidR="003D6F77" w:rsidRPr="003D6F77" w:rsidRDefault="003D6F77" w:rsidP="00F024FB">
            <w:pPr>
              <w:spacing w:line="360" w:lineRule="auto"/>
              <w:jc w:val="center"/>
              <w:rPr>
                <w:rFonts w:ascii="Times New Roman" w:hAnsi="Times New Roman"/>
                <w:sz w:val="24"/>
                <w:szCs w:val="24"/>
                <w:lang w:val="uk-UA"/>
              </w:rPr>
            </w:pPr>
            <w:r w:rsidRPr="003D6F77">
              <w:rPr>
                <w:rFonts w:ascii="Times New Roman" w:hAnsi="Times New Roman"/>
                <w:sz w:val="24"/>
                <w:szCs w:val="24"/>
                <w:lang w:val="uk-UA"/>
              </w:rPr>
              <w:t>Хлопчики</w:t>
            </w:r>
          </w:p>
        </w:tc>
        <w:tc>
          <w:tcPr>
            <w:tcW w:w="0" w:type="auto"/>
          </w:tcPr>
          <w:p w:rsidR="003D6F77" w:rsidRPr="003D6F77" w:rsidRDefault="003D6F77" w:rsidP="00F024FB">
            <w:pPr>
              <w:spacing w:line="360" w:lineRule="auto"/>
              <w:jc w:val="center"/>
              <w:rPr>
                <w:rFonts w:ascii="Times New Roman" w:hAnsi="Times New Roman"/>
                <w:sz w:val="24"/>
                <w:szCs w:val="24"/>
                <w:lang w:val="uk-UA"/>
              </w:rPr>
            </w:pPr>
            <w:r w:rsidRPr="003D6F77">
              <w:rPr>
                <w:rFonts w:ascii="Times New Roman" w:hAnsi="Times New Roman"/>
                <w:sz w:val="24"/>
                <w:szCs w:val="24"/>
                <w:lang w:val="uk-UA"/>
              </w:rPr>
              <w:t>Дівчатка</w:t>
            </w:r>
          </w:p>
        </w:tc>
      </w:tr>
      <w:tr w:rsidR="003D6F77" w:rsidRPr="003D6F77" w:rsidTr="00CC6EB9">
        <w:trPr>
          <w:jc w:val="center"/>
        </w:trPr>
        <w:tc>
          <w:tcPr>
            <w:tcW w:w="0" w:type="auto"/>
          </w:tcPr>
          <w:p w:rsidR="003D6F77" w:rsidRPr="003D6F77" w:rsidRDefault="003D6F77" w:rsidP="00F024FB">
            <w:pPr>
              <w:spacing w:line="360" w:lineRule="auto"/>
              <w:jc w:val="center"/>
              <w:rPr>
                <w:rFonts w:ascii="Times New Roman" w:hAnsi="Times New Roman"/>
                <w:sz w:val="24"/>
                <w:szCs w:val="24"/>
                <w:lang w:val="uk-UA"/>
              </w:rPr>
            </w:pPr>
            <w:r w:rsidRPr="003D6F77">
              <w:rPr>
                <w:rFonts w:ascii="Times New Roman" w:hAnsi="Times New Roman"/>
                <w:sz w:val="24"/>
                <w:szCs w:val="24"/>
                <w:lang w:val="uk-UA"/>
              </w:rPr>
              <w:t>2009</w:t>
            </w:r>
          </w:p>
          <w:p w:rsidR="003D6F77" w:rsidRPr="003D6F77" w:rsidRDefault="003D6F77" w:rsidP="00F024FB">
            <w:pPr>
              <w:spacing w:line="360" w:lineRule="auto"/>
              <w:jc w:val="center"/>
              <w:rPr>
                <w:rFonts w:ascii="Times New Roman" w:hAnsi="Times New Roman"/>
                <w:sz w:val="24"/>
                <w:szCs w:val="24"/>
                <w:lang w:val="uk-UA"/>
              </w:rPr>
            </w:pPr>
            <w:r w:rsidRPr="003D6F77">
              <w:rPr>
                <w:rFonts w:ascii="Times New Roman" w:hAnsi="Times New Roman"/>
                <w:sz w:val="24"/>
                <w:szCs w:val="24"/>
                <w:lang w:val="uk-UA"/>
              </w:rPr>
              <w:t>ДІ</w:t>
            </w:r>
          </w:p>
        </w:tc>
        <w:tc>
          <w:tcPr>
            <w:tcW w:w="0" w:type="auto"/>
          </w:tcPr>
          <w:p w:rsidR="003D6F77" w:rsidRPr="003D6F77" w:rsidRDefault="003D6F77" w:rsidP="00F024FB">
            <w:pPr>
              <w:spacing w:line="360" w:lineRule="auto"/>
              <w:jc w:val="center"/>
              <w:rPr>
                <w:rFonts w:ascii="Times New Roman" w:eastAsia="Times New Roman" w:hAnsi="Times New Roman"/>
                <w:sz w:val="24"/>
                <w:szCs w:val="24"/>
                <w:lang w:val="en-US"/>
              </w:rPr>
            </w:pPr>
            <w:r w:rsidRPr="003D6F77">
              <w:rPr>
                <w:rFonts w:ascii="Times New Roman" w:eastAsia="Times New Roman" w:hAnsi="Times New Roman"/>
                <w:sz w:val="24"/>
                <w:szCs w:val="24"/>
                <w:lang w:val="en-US"/>
              </w:rPr>
              <w:t>2177672,05</w:t>
            </w:r>
          </w:p>
          <w:p w:rsidR="003D6F77" w:rsidRPr="003D6F77" w:rsidRDefault="003D6F77" w:rsidP="00F024FB">
            <w:pPr>
              <w:spacing w:line="360" w:lineRule="auto"/>
              <w:jc w:val="center"/>
              <w:rPr>
                <w:rFonts w:ascii="Times New Roman" w:eastAsia="Times New Roman" w:hAnsi="Times New Roman"/>
                <w:sz w:val="24"/>
                <w:szCs w:val="24"/>
                <w:lang w:val="uk-UA"/>
              </w:rPr>
            </w:pPr>
            <w:r w:rsidRPr="003D6F77">
              <w:rPr>
                <w:rFonts w:ascii="Times New Roman" w:eastAsia="Times New Roman" w:hAnsi="Times New Roman"/>
                <w:sz w:val="24"/>
                <w:szCs w:val="24"/>
                <w:lang w:val="uk-UA"/>
              </w:rPr>
              <w:t>(</w:t>
            </w:r>
            <w:r w:rsidRPr="003D6F77">
              <w:rPr>
                <w:rFonts w:ascii="Times New Roman" w:eastAsia="Times New Roman" w:hAnsi="Times New Roman"/>
                <w:sz w:val="24"/>
                <w:szCs w:val="24"/>
                <w:lang w:val="en-US"/>
              </w:rPr>
              <w:t>2385484,16</w:t>
            </w:r>
            <w:r w:rsidRPr="003D6F77">
              <w:rPr>
                <w:rFonts w:ascii="Times New Roman" w:eastAsia="Times New Roman" w:hAnsi="Times New Roman"/>
                <w:sz w:val="24"/>
                <w:szCs w:val="24"/>
                <w:lang w:val="uk-UA"/>
              </w:rPr>
              <w:t>-</w:t>
            </w:r>
            <w:r w:rsidRPr="003D6F77">
              <w:rPr>
                <w:rFonts w:ascii="Times New Roman" w:eastAsia="Times New Roman" w:hAnsi="Times New Roman"/>
                <w:sz w:val="24"/>
                <w:szCs w:val="24"/>
                <w:lang w:val="en-US"/>
              </w:rPr>
              <w:t>1961970,07</w:t>
            </w:r>
            <w:r w:rsidRPr="003D6F77">
              <w:rPr>
                <w:rFonts w:ascii="Times New Roman" w:eastAsia="Times New Roman" w:hAnsi="Times New Roman"/>
                <w:sz w:val="24"/>
                <w:szCs w:val="24"/>
                <w:lang w:val="uk-UA"/>
              </w:rPr>
              <w:t>)</w:t>
            </w:r>
          </w:p>
        </w:tc>
        <w:tc>
          <w:tcPr>
            <w:tcW w:w="0" w:type="auto"/>
          </w:tcPr>
          <w:p w:rsidR="003D6F77" w:rsidRPr="003D6F77" w:rsidRDefault="003D6F77" w:rsidP="00F024FB">
            <w:pPr>
              <w:spacing w:line="360" w:lineRule="auto"/>
              <w:jc w:val="center"/>
              <w:rPr>
                <w:rFonts w:ascii="Times New Roman" w:eastAsia="Times New Roman" w:hAnsi="Times New Roman"/>
                <w:sz w:val="24"/>
                <w:szCs w:val="24"/>
                <w:lang w:val="en-US"/>
              </w:rPr>
            </w:pPr>
            <w:r w:rsidRPr="003D6F77">
              <w:rPr>
                <w:rFonts w:ascii="Times New Roman" w:eastAsia="Times New Roman" w:hAnsi="Times New Roman"/>
                <w:sz w:val="24"/>
                <w:szCs w:val="24"/>
                <w:lang w:val="en-US"/>
              </w:rPr>
              <w:t>2978924,18</w:t>
            </w:r>
          </w:p>
          <w:p w:rsidR="003D6F77" w:rsidRPr="003D6F77" w:rsidRDefault="003D6F77" w:rsidP="00F024FB">
            <w:pPr>
              <w:spacing w:line="360" w:lineRule="auto"/>
              <w:jc w:val="center"/>
              <w:rPr>
                <w:rFonts w:ascii="Times New Roman" w:eastAsia="Times New Roman" w:hAnsi="Times New Roman"/>
                <w:sz w:val="24"/>
                <w:szCs w:val="24"/>
                <w:lang w:val="uk-UA"/>
              </w:rPr>
            </w:pPr>
            <w:r w:rsidRPr="003D6F77">
              <w:rPr>
                <w:rFonts w:ascii="Times New Roman" w:eastAsia="Times New Roman" w:hAnsi="Times New Roman"/>
                <w:sz w:val="24"/>
                <w:szCs w:val="24"/>
                <w:lang w:val="uk-UA"/>
              </w:rPr>
              <w:t>(</w:t>
            </w:r>
            <w:r w:rsidRPr="003D6F77">
              <w:rPr>
                <w:rFonts w:ascii="Times New Roman" w:eastAsia="Times New Roman" w:hAnsi="Times New Roman"/>
                <w:sz w:val="24"/>
                <w:szCs w:val="24"/>
                <w:lang w:val="en-US"/>
              </w:rPr>
              <w:t>3263416,56</w:t>
            </w:r>
            <w:r w:rsidRPr="003D6F77">
              <w:rPr>
                <w:rFonts w:ascii="Times New Roman" w:eastAsia="Times New Roman" w:hAnsi="Times New Roman"/>
                <w:sz w:val="24"/>
                <w:szCs w:val="24"/>
                <w:lang w:val="uk-UA"/>
              </w:rPr>
              <w:t>-</w:t>
            </w:r>
            <w:r w:rsidRPr="003D6F77">
              <w:rPr>
                <w:rFonts w:ascii="Times New Roman" w:eastAsia="Times New Roman" w:hAnsi="Times New Roman"/>
                <w:sz w:val="24"/>
                <w:szCs w:val="24"/>
                <w:lang w:val="en-US"/>
              </w:rPr>
              <w:t>2685084,21</w:t>
            </w:r>
            <w:r w:rsidRPr="003D6F77">
              <w:rPr>
                <w:rFonts w:ascii="Times New Roman" w:eastAsia="Times New Roman" w:hAnsi="Times New Roman"/>
                <w:sz w:val="24"/>
                <w:szCs w:val="24"/>
                <w:lang w:val="uk-UA"/>
              </w:rPr>
              <w:t>)</w:t>
            </w:r>
          </w:p>
        </w:tc>
        <w:tc>
          <w:tcPr>
            <w:tcW w:w="0" w:type="auto"/>
          </w:tcPr>
          <w:p w:rsidR="003D6F77" w:rsidRPr="003D6F77" w:rsidRDefault="003D6F77" w:rsidP="00F024FB">
            <w:pPr>
              <w:shd w:val="clear" w:color="auto" w:fill="FFFFFF"/>
              <w:spacing w:line="360" w:lineRule="auto"/>
              <w:jc w:val="center"/>
              <w:rPr>
                <w:rFonts w:ascii="Times New Roman" w:eastAsia="Times New Roman" w:hAnsi="Times New Roman"/>
                <w:sz w:val="24"/>
                <w:szCs w:val="24"/>
                <w:lang w:val="en-US"/>
              </w:rPr>
            </w:pPr>
            <w:r w:rsidRPr="003D6F77">
              <w:rPr>
                <w:rFonts w:ascii="Times New Roman" w:eastAsia="Times New Roman" w:hAnsi="Times New Roman"/>
                <w:sz w:val="24"/>
                <w:szCs w:val="24"/>
                <w:lang w:val="en-US"/>
              </w:rPr>
              <w:t>1320878,83</w:t>
            </w:r>
          </w:p>
          <w:p w:rsidR="003D6F77" w:rsidRPr="003D6F77" w:rsidRDefault="003D6F77" w:rsidP="00F024FB">
            <w:pPr>
              <w:shd w:val="clear" w:color="auto" w:fill="FFFFFF"/>
              <w:spacing w:line="360" w:lineRule="auto"/>
              <w:jc w:val="center"/>
              <w:rPr>
                <w:rFonts w:ascii="Times New Roman" w:eastAsia="Times New Roman" w:hAnsi="Times New Roman"/>
                <w:sz w:val="24"/>
                <w:szCs w:val="24"/>
                <w:lang w:val="uk-UA"/>
              </w:rPr>
            </w:pPr>
            <w:r w:rsidRPr="003D6F77">
              <w:rPr>
                <w:rFonts w:ascii="Times New Roman" w:eastAsia="Times New Roman" w:hAnsi="Times New Roman"/>
                <w:sz w:val="24"/>
                <w:szCs w:val="24"/>
                <w:lang w:val="uk-UA"/>
              </w:rPr>
              <w:t>(</w:t>
            </w:r>
            <w:r w:rsidRPr="003D6F77">
              <w:rPr>
                <w:rFonts w:ascii="Times New Roman" w:eastAsia="Times New Roman" w:hAnsi="Times New Roman"/>
                <w:sz w:val="24"/>
                <w:szCs w:val="24"/>
                <w:lang w:val="en-US"/>
              </w:rPr>
              <w:t>1491311,34</w:t>
            </w:r>
            <w:r w:rsidRPr="003D6F77">
              <w:rPr>
                <w:rFonts w:ascii="Times New Roman" w:eastAsia="Times New Roman" w:hAnsi="Times New Roman"/>
                <w:sz w:val="24"/>
                <w:szCs w:val="24"/>
                <w:lang w:val="uk-UA"/>
              </w:rPr>
              <w:t>-</w:t>
            </w:r>
            <w:r w:rsidRPr="003D6F77">
              <w:rPr>
                <w:rFonts w:ascii="Times New Roman" w:eastAsia="Times New Roman" w:hAnsi="Times New Roman"/>
                <w:sz w:val="24"/>
                <w:szCs w:val="24"/>
                <w:lang w:val="en-US"/>
              </w:rPr>
              <w:t>1162269,85</w:t>
            </w:r>
            <w:r w:rsidRPr="003D6F77">
              <w:rPr>
                <w:rFonts w:ascii="Times New Roman" w:eastAsia="Times New Roman" w:hAnsi="Times New Roman"/>
                <w:sz w:val="24"/>
                <w:szCs w:val="24"/>
                <w:lang w:val="uk-UA"/>
              </w:rPr>
              <w:t>)</w:t>
            </w:r>
          </w:p>
        </w:tc>
      </w:tr>
      <w:tr w:rsidR="003D6F77" w:rsidRPr="003D6F77" w:rsidTr="00CC6EB9">
        <w:trPr>
          <w:jc w:val="center"/>
        </w:trPr>
        <w:tc>
          <w:tcPr>
            <w:tcW w:w="0" w:type="auto"/>
          </w:tcPr>
          <w:p w:rsidR="003D6F77" w:rsidRPr="003D6F77" w:rsidRDefault="003D6F77" w:rsidP="00F024FB">
            <w:pPr>
              <w:spacing w:line="360" w:lineRule="auto"/>
              <w:jc w:val="center"/>
              <w:rPr>
                <w:rFonts w:ascii="Times New Roman" w:hAnsi="Times New Roman"/>
                <w:sz w:val="24"/>
                <w:szCs w:val="24"/>
                <w:lang w:val="uk-UA"/>
              </w:rPr>
            </w:pPr>
            <w:r w:rsidRPr="003D6F77">
              <w:rPr>
                <w:rFonts w:ascii="Times New Roman" w:hAnsi="Times New Roman"/>
                <w:sz w:val="24"/>
                <w:szCs w:val="24"/>
                <w:lang w:val="uk-UA"/>
              </w:rPr>
              <w:t>2010</w:t>
            </w:r>
          </w:p>
          <w:p w:rsidR="003D6F77" w:rsidRPr="003D6F77" w:rsidRDefault="003D6F77" w:rsidP="00F024FB">
            <w:pPr>
              <w:spacing w:line="360" w:lineRule="auto"/>
              <w:jc w:val="center"/>
              <w:rPr>
                <w:rFonts w:ascii="Times New Roman" w:hAnsi="Times New Roman"/>
                <w:sz w:val="24"/>
                <w:szCs w:val="24"/>
                <w:lang w:val="uk-UA"/>
              </w:rPr>
            </w:pPr>
            <w:r w:rsidRPr="003D6F77">
              <w:rPr>
                <w:rFonts w:ascii="Times New Roman" w:hAnsi="Times New Roman"/>
                <w:sz w:val="24"/>
                <w:szCs w:val="24"/>
                <w:lang w:val="uk-UA"/>
              </w:rPr>
              <w:t>ДІ</w:t>
            </w:r>
          </w:p>
        </w:tc>
        <w:tc>
          <w:tcPr>
            <w:tcW w:w="0" w:type="auto"/>
          </w:tcPr>
          <w:p w:rsidR="003D6F77" w:rsidRPr="003D6F77" w:rsidRDefault="003D6F77" w:rsidP="00F024FB">
            <w:pPr>
              <w:shd w:val="clear" w:color="auto" w:fill="FFFFFF"/>
              <w:spacing w:line="360" w:lineRule="auto"/>
              <w:jc w:val="center"/>
              <w:rPr>
                <w:rFonts w:ascii="Times New Roman" w:eastAsia="Times New Roman" w:hAnsi="Times New Roman"/>
                <w:sz w:val="24"/>
                <w:szCs w:val="24"/>
                <w:lang w:val="en-US"/>
              </w:rPr>
            </w:pPr>
            <w:r w:rsidRPr="003D6F77">
              <w:rPr>
                <w:rFonts w:ascii="Times New Roman" w:eastAsia="Times New Roman" w:hAnsi="Times New Roman"/>
                <w:sz w:val="24"/>
                <w:szCs w:val="24"/>
                <w:lang w:val="en-US"/>
              </w:rPr>
              <w:t>2063297,22</w:t>
            </w:r>
          </w:p>
          <w:p w:rsidR="003D6F77" w:rsidRPr="003D6F77" w:rsidRDefault="003D6F77" w:rsidP="00F024FB">
            <w:pPr>
              <w:shd w:val="clear" w:color="auto" w:fill="FFFFFF"/>
              <w:spacing w:line="360" w:lineRule="auto"/>
              <w:jc w:val="center"/>
              <w:rPr>
                <w:rFonts w:ascii="Times New Roman" w:eastAsia="Times New Roman" w:hAnsi="Times New Roman"/>
                <w:sz w:val="24"/>
                <w:szCs w:val="24"/>
                <w:lang w:val="uk-UA"/>
              </w:rPr>
            </w:pPr>
            <w:r w:rsidRPr="003D6F77">
              <w:rPr>
                <w:rFonts w:ascii="Times New Roman" w:eastAsia="Times New Roman" w:hAnsi="Times New Roman"/>
                <w:sz w:val="24"/>
                <w:szCs w:val="24"/>
                <w:lang w:val="uk-UA"/>
              </w:rPr>
              <w:t>(</w:t>
            </w:r>
            <w:r w:rsidRPr="003D6F77">
              <w:rPr>
                <w:rFonts w:ascii="Times New Roman" w:eastAsia="Times New Roman" w:hAnsi="Times New Roman"/>
                <w:sz w:val="24"/>
                <w:szCs w:val="24"/>
                <w:lang w:val="en-US"/>
              </w:rPr>
              <w:t>2230923,33</w:t>
            </w:r>
            <w:r w:rsidRPr="003D6F77">
              <w:rPr>
                <w:rFonts w:ascii="Times New Roman" w:eastAsia="Times New Roman" w:hAnsi="Times New Roman"/>
                <w:sz w:val="24"/>
                <w:szCs w:val="24"/>
                <w:lang w:val="uk-UA"/>
              </w:rPr>
              <w:t>-</w:t>
            </w:r>
            <w:r w:rsidRPr="003D6F77">
              <w:rPr>
                <w:rFonts w:ascii="Times New Roman" w:eastAsia="Times New Roman" w:hAnsi="Times New Roman"/>
                <w:sz w:val="24"/>
                <w:szCs w:val="24"/>
                <w:lang w:val="en-US"/>
              </w:rPr>
              <w:t>1896643,13</w:t>
            </w:r>
            <w:r w:rsidRPr="003D6F77">
              <w:rPr>
                <w:rFonts w:ascii="Times New Roman" w:eastAsia="Times New Roman" w:hAnsi="Times New Roman"/>
                <w:sz w:val="24"/>
                <w:szCs w:val="24"/>
                <w:lang w:val="uk-UA"/>
              </w:rPr>
              <w:t>)</w:t>
            </w:r>
          </w:p>
        </w:tc>
        <w:tc>
          <w:tcPr>
            <w:tcW w:w="0" w:type="auto"/>
          </w:tcPr>
          <w:p w:rsidR="003D6F77" w:rsidRPr="003D6F77" w:rsidRDefault="003D6F77" w:rsidP="00F024FB">
            <w:pPr>
              <w:shd w:val="clear" w:color="auto" w:fill="FFFFFF"/>
              <w:spacing w:line="360" w:lineRule="auto"/>
              <w:jc w:val="center"/>
              <w:rPr>
                <w:rFonts w:ascii="Times New Roman" w:eastAsia="Times New Roman" w:hAnsi="Times New Roman"/>
                <w:sz w:val="24"/>
                <w:szCs w:val="24"/>
                <w:lang w:val="en-US"/>
              </w:rPr>
            </w:pPr>
            <w:r w:rsidRPr="003D6F77">
              <w:rPr>
                <w:rFonts w:ascii="Times New Roman" w:eastAsia="Times New Roman" w:hAnsi="Times New Roman"/>
                <w:sz w:val="24"/>
                <w:szCs w:val="24"/>
                <w:lang w:val="en-US"/>
              </w:rPr>
              <w:t>2822620,94</w:t>
            </w:r>
          </w:p>
          <w:p w:rsidR="003D6F77" w:rsidRPr="003D6F77" w:rsidRDefault="003D6F77" w:rsidP="00F024FB">
            <w:pPr>
              <w:shd w:val="clear" w:color="auto" w:fill="FFFFFF"/>
              <w:spacing w:line="360" w:lineRule="auto"/>
              <w:jc w:val="center"/>
              <w:rPr>
                <w:rFonts w:ascii="Times New Roman" w:eastAsia="Times New Roman" w:hAnsi="Times New Roman"/>
                <w:sz w:val="24"/>
                <w:szCs w:val="24"/>
                <w:lang w:val="uk-UA"/>
              </w:rPr>
            </w:pPr>
            <w:r w:rsidRPr="003D6F77">
              <w:rPr>
                <w:rFonts w:ascii="Times New Roman" w:eastAsia="Times New Roman" w:hAnsi="Times New Roman"/>
                <w:sz w:val="24"/>
                <w:szCs w:val="24"/>
                <w:lang w:val="uk-UA"/>
              </w:rPr>
              <w:t>(</w:t>
            </w:r>
            <w:r w:rsidRPr="003D6F77">
              <w:rPr>
                <w:rFonts w:ascii="Times New Roman" w:eastAsia="Times New Roman" w:hAnsi="Times New Roman"/>
                <w:sz w:val="24"/>
                <w:szCs w:val="24"/>
                <w:lang w:val="en-US"/>
              </w:rPr>
              <w:t>3038641,85</w:t>
            </w:r>
            <w:r w:rsidRPr="003D6F77">
              <w:rPr>
                <w:rFonts w:ascii="Times New Roman" w:eastAsia="Times New Roman" w:hAnsi="Times New Roman"/>
                <w:sz w:val="24"/>
                <w:szCs w:val="24"/>
                <w:lang w:val="uk-UA"/>
              </w:rPr>
              <w:t>-</w:t>
            </w:r>
            <w:r w:rsidRPr="003D6F77">
              <w:rPr>
                <w:rFonts w:ascii="Times New Roman" w:eastAsia="Times New Roman" w:hAnsi="Times New Roman"/>
                <w:sz w:val="24"/>
                <w:szCs w:val="24"/>
                <w:lang w:val="en-US"/>
              </w:rPr>
              <w:t>2596735,83</w:t>
            </w:r>
            <w:r w:rsidRPr="003D6F77">
              <w:rPr>
                <w:rFonts w:ascii="Times New Roman" w:eastAsia="Times New Roman" w:hAnsi="Times New Roman"/>
                <w:sz w:val="24"/>
                <w:szCs w:val="24"/>
                <w:lang w:val="uk-UA"/>
              </w:rPr>
              <w:t>)</w:t>
            </w:r>
          </w:p>
        </w:tc>
        <w:tc>
          <w:tcPr>
            <w:tcW w:w="0" w:type="auto"/>
          </w:tcPr>
          <w:p w:rsidR="003D6F77" w:rsidRPr="003D6F77" w:rsidRDefault="003D6F77" w:rsidP="00F024FB">
            <w:pPr>
              <w:spacing w:line="360" w:lineRule="auto"/>
              <w:jc w:val="center"/>
              <w:rPr>
                <w:rFonts w:ascii="Times New Roman" w:eastAsia="Times New Roman" w:hAnsi="Times New Roman"/>
                <w:sz w:val="24"/>
                <w:szCs w:val="24"/>
                <w:lang w:val="en-US"/>
              </w:rPr>
            </w:pPr>
            <w:r w:rsidRPr="003D6F77">
              <w:rPr>
                <w:rFonts w:ascii="Times New Roman" w:eastAsia="Times New Roman" w:hAnsi="Times New Roman"/>
                <w:sz w:val="24"/>
                <w:szCs w:val="24"/>
                <w:lang w:val="en-US"/>
              </w:rPr>
              <w:t>1252505,53</w:t>
            </w:r>
          </w:p>
          <w:p w:rsidR="003D6F77" w:rsidRPr="003D6F77" w:rsidRDefault="003D6F77" w:rsidP="00F024FB">
            <w:pPr>
              <w:spacing w:line="360" w:lineRule="auto"/>
              <w:jc w:val="center"/>
              <w:rPr>
                <w:rFonts w:ascii="Times New Roman" w:eastAsia="Times New Roman" w:hAnsi="Times New Roman"/>
                <w:sz w:val="24"/>
                <w:szCs w:val="24"/>
                <w:lang w:val="uk-UA"/>
              </w:rPr>
            </w:pPr>
            <w:r w:rsidRPr="003D6F77">
              <w:rPr>
                <w:rFonts w:ascii="Times New Roman" w:eastAsia="Times New Roman" w:hAnsi="Times New Roman"/>
                <w:sz w:val="24"/>
                <w:szCs w:val="24"/>
                <w:lang w:val="uk-UA"/>
              </w:rPr>
              <w:t>(</w:t>
            </w:r>
            <w:r w:rsidRPr="003D6F77">
              <w:rPr>
                <w:rFonts w:ascii="Times New Roman" w:eastAsia="Times New Roman" w:hAnsi="Times New Roman"/>
                <w:sz w:val="24"/>
                <w:szCs w:val="24"/>
                <w:lang w:val="en-US"/>
              </w:rPr>
              <w:t>1421378,58</w:t>
            </w:r>
            <w:r w:rsidRPr="003D6F77">
              <w:rPr>
                <w:rFonts w:ascii="Times New Roman" w:eastAsia="Times New Roman" w:hAnsi="Times New Roman"/>
                <w:sz w:val="24"/>
                <w:szCs w:val="24"/>
                <w:lang w:val="uk-UA"/>
              </w:rPr>
              <w:t>-</w:t>
            </w:r>
            <w:r w:rsidRPr="003D6F77">
              <w:rPr>
                <w:rFonts w:ascii="Times New Roman" w:eastAsia="Times New Roman" w:hAnsi="Times New Roman"/>
                <w:sz w:val="24"/>
                <w:szCs w:val="24"/>
                <w:lang w:val="en-US"/>
              </w:rPr>
              <w:t>1099289,42</w:t>
            </w:r>
            <w:r w:rsidRPr="003D6F77">
              <w:rPr>
                <w:rFonts w:ascii="Times New Roman" w:eastAsia="Times New Roman" w:hAnsi="Times New Roman"/>
                <w:sz w:val="24"/>
                <w:szCs w:val="24"/>
                <w:lang w:val="uk-UA"/>
              </w:rPr>
              <w:t>)</w:t>
            </w:r>
          </w:p>
        </w:tc>
      </w:tr>
      <w:tr w:rsidR="003D6F77" w:rsidRPr="003D6F77" w:rsidTr="00CC6EB9">
        <w:trPr>
          <w:jc w:val="center"/>
        </w:trPr>
        <w:tc>
          <w:tcPr>
            <w:tcW w:w="0" w:type="auto"/>
          </w:tcPr>
          <w:p w:rsidR="003D6F77" w:rsidRPr="003D6F77" w:rsidRDefault="003D6F77" w:rsidP="00F024FB">
            <w:pPr>
              <w:spacing w:line="360" w:lineRule="auto"/>
              <w:jc w:val="center"/>
              <w:rPr>
                <w:rFonts w:ascii="Times New Roman" w:hAnsi="Times New Roman"/>
                <w:sz w:val="24"/>
                <w:szCs w:val="24"/>
                <w:lang w:val="uk-UA"/>
              </w:rPr>
            </w:pPr>
            <w:r w:rsidRPr="003D6F77">
              <w:rPr>
                <w:rFonts w:ascii="Times New Roman" w:hAnsi="Times New Roman"/>
                <w:sz w:val="24"/>
                <w:szCs w:val="24"/>
                <w:lang w:val="uk-UA"/>
              </w:rPr>
              <w:t>2011</w:t>
            </w:r>
          </w:p>
          <w:p w:rsidR="003D6F77" w:rsidRPr="003D6F77" w:rsidRDefault="003D6F77" w:rsidP="00F024FB">
            <w:pPr>
              <w:spacing w:line="360" w:lineRule="auto"/>
              <w:jc w:val="center"/>
              <w:rPr>
                <w:rFonts w:ascii="Times New Roman" w:hAnsi="Times New Roman"/>
                <w:sz w:val="24"/>
                <w:szCs w:val="24"/>
                <w:lang w:val="uk-UA"/>
              </w:rPr>
            </w:pPr>
            <w:r w:rsidRPr="003D6F77">
              <w:rPr>
                <w:rFonts w:ascii="Times New Roman" w:hAnsi="Times New Roman"/>
                <w:sz w:val="24"/>
                <w:szCs w:val="24"/>
                <w:lang w:val="uk-UA"/>
              </w:rPr>
              <w:t>ДІ</w:t>
            </w:r>
          </w:p>
        </w:tc>
        <w:tc>
          <w:tcPr>
            <w:tcW w:w="0" w:type="auto"/>
          </w:tcPr>
          <w:p w:rsidR="003D6F77" w:rsidRPr="003D6F77" w:rsidRDefault="003D6F77" w:rsidP="00F024FB">
            <w:pPr>
              <w:shd w:val="clear" w:color="auto" w:fill="FFFFFF"/>
              <w:spacing w:line="360" w:lineRule="auto"/>
              <w:jc w:val="center"/>
              <w:rPr>
                <w:rFonts w:ascii="Times New Roman" w:eastAsia="Times New Roman" w:hAnsi="Times New Roman"/>
                <w:sz w:val="24"/>
                <w:szCs w:val="24"/>
                <w:lang w:val="en-US"/>
              </w:rPr>
            </w:pPr>
            <w:r w:rsidRPr="003D6F77">
              <w:rPr>
                <w:rFonts w:ascii="Times New Roman" w:eastAsia="Times New Roman" w:hAnsi="Times New Roman"/>
                <w:sz w:val="24"/>
                <w:szCs w:val="24"/>
                <w:lang w:val="en-US"/>
              </w:rPr>
              <w:t>1960511,33</w:t>
            </w:r>
          </w:p>
          <w:p w:rsidR="003D6F77" w:rsidRPr="003D6F77" w:rsidRDefault="003D6F77" w:rsidP="00F024FB">
            <w:pPr>
              <w:shd w:val="clear" w:color="auto" w:fill="FFFFFF"/>
              <w:spacing w:line="360" w:lineRule="auto"/>
              <w:jc w:val="center"/>
              <w:rPr>
                <w:rFonts w:ascii="Times New Roman" w:eastAsia="Times New Roman" w:hAnsi="Times New Roman"/>
                <w:sz w:val="24"/>
                <w:szCs w:val="24"/>
                <w:lang w:val="uk-UA"/>
              </w:rPr>
            </w:pPr>
            <w:r w:rsidRPr="003D6F77">
              <w:rPr>
                <w:rFonts w:ascii="Times New Roman" w:eastAsia="Times New Roman" w:hAnsi="Times New Roman"/>
                <w:sz w:val="24"/>
                <w:szCs w:val="24"/>
                <w:lang w:val="uk-UA"/>
              </w:rPr>
              <w:t>(</w:t>
            </w:r>
            <w:r w:rsidRPr="003D6F77">
              <w:rPr>
                <w:rFonts w:ascii="Times New Roman" w:eastAsia="Times New Roman" w:hAnsi="Times New Roman"/>
                <w:sz w:val="24"/>
                <w:szCs w:val="24"/>
                <w:lang w:val="en-US"/>
              </w:rPr>
              <w:t>2130852,61</w:t>
            </w:r>
            <w:r w:rsidRPr="003D6F77">
              <w:rPr>
                <w:rFonts w:ascii="Times New Roman" w:eastAsia="Times New Roman" w:hAnsi="Times New Roman"/>
                <w:sz w:val="24"/>
                <w:szCs w:val="24"/>
                <w:lang w:val="uk-UA"/>
              </w:rPr>
              <w:t>-</w:t>
            </w:r>
            <w:r w:rsidRPr="003D6F77">
              <w:rPr>
                <w:rFonts w:ascii="Times New Roman" w:eastAsia="Times New Roman" w:hAnsi="Times New Roman"/>
                <w:sz w:val="24"/>
                <w:szCs w:val="24"/>
                <w:lang w:val="en-US"/>
              </w:rPr>
              <w:t>1798932,92</w:t>
            </w:r>
            <w:r w:rsidRPr="003D6F77">
              <w:rPr>
                <w:rFonts w:ascii="Times New Roman" w:eastAsia="Times New Roman" w:hAnsi="Times New Roman"/>
                <w:sz w:val="24"/>
                <w:szCs w:val="24"/>
                <w:lang w:val="uk-UA"/>
              </w:rPr>
              <w:t>)</w:t>
            </w:r>
          </w:p>
        </w:tc>
        <w:tc>
          <w:tcPr>
            <w:tcW w:w="0" w:type="auto"/>
          </w:tcPr>
          <w:p w:rsidR="003D6F77" w:rsidRPr="003D6F77" w:rsidRDefault="003D6F77" w:rsidP="00F024FB">
            <w:pPr>
              <w:shd w:val="clear" w:color="auto" w:fill="FFFFFF"/>
              <w:spacing w:line="360" w:lineRule="auto"/>
              <w:jc w:val="center"/>
              <w:rPr>
                <w:rFonts w:ascii="Times New Roman" w:eastAsia="Times New Roman" w:hAnsi="Times New Roman"/>
                <w:sz w:val="24"/>
                <w:szCs w:val="24"/>
                <w:lang w:val="en-US"/>
              </w:rPr>
            </w:pPr>
            <w:r w:rsidRPr="003D6F77">
              <w:rPr>
                <w:rFonts w:ascii="Times New Roman" w:eastAsia="Times New Roman" w:hAnsi="Times New Roman"/>
                <w:sz w:val="24"/>
                <w:szCs w:val="24"/>
                <w:lang w:val="en-US"/>
              </w:rPr>
              <w:t>2682955,24</w:t>
            </w:r>
          </w:p>
          <w:p w:rsidR="003D6F77" w:rsidRPr="003D6F77" w:rsidRDefault="003D6F77" w:rsidP="00F024FB">
            <w:pPr>
              <w:shd w:val="clear" w:color="auto" w:fill="FFFFFF"/>
              <w:spacing w:line="360" w:lineRule="auto"/>
              <w:jc w:val="center"/>
              <w:rPr>
                <w:rFonts w:ascii="Times New Roman" w:eastAsia="Times New Roman" w:hAnsi="Times New Roman"/>
                <w:sz w:val="24"/>
                <w:szCs w:val="24"/>
                <w:lang w:val="uk-UA"/>
              </w:rPr>
            </w:pPr>
            <w:r w:rsidRPr="003D6F77">
              <w:rPr>
                <w:rFonts w:ascii="Times New Roman" w:eastAsia="Times New Roman" w:hAnsi="Times New Roman"/>
                <w:sz w:val="24"/>
                <w:szCs w:val="24"/>
                <w:lang w:val="uk-UA"/>
              </w:rPr>
              <w:t>(</w:t>
            </w:r>
            <w:r w:rsidRPr="003D6F77">
              <w:rPr>
                <w:rFonts w:ascii="Times New Roman" w:eastAsia="Times New Roman" w:hAnsi="Times New Roman"/>
                <w:sz w:val="24"/>
                <w:szCs w:val="24"/>
                <w:lang w:val="en-US"/>
              </w:rPr>
              <w:t>2911608,19</w:t>
            </w:r>
            <w:r w:rsidRPr="003D6F77">
              <w:rPr>
                <w:rFonts w:ascii="Times New Roman" w:eastAsia="Times New Roman" w:hAnsi="Times New Roman"/>
                <w:sz w:val="24"/>
                <w:szCs w:val="24"/>
                <w:lang w:val="uk-UA"/>
              </w:rPr>
              <w:t>-</w:t>
            </w:r>
            <w:r w:rsidRPr="003D6F77">
              <w:rPr>
                <w:rFonts w:ascii="Times New Roman" w:eastAsia="Times New Roman" w:hAnsi="Times New Roman"/>
                <w:sz w:val="24"/>
                <w:szCs w:val="24"/>
                <w:lang w:val="en-US"/>
              </w:rPr>
              <w:t>2466765,98</w:t>
            </w:r>
            <w:r w:rsidRPr="003D6F77">
              <w:rPr>
                <w:rFonts w:ascii="Times New Roman" w:eastAsia="Times New Roman" w:hAnsi="Times New Roman"/>
                <w:sz w:val="24"/>
                <w:szCs w:val="24"/>
                <w:lang w:val="uk-UA"/>
              </w:rPr>
              <w:t>)</w:t>
            </w:r>
          </w:p>
        </w:tc>
        <w:tc>
          <w:tcPr>
            <w:tcW w:w="0" w:type="auto"/>
          </w:tcPr>
          <w:p w:rsidR="003D6F77" w:rsidRPr="003D6F77" w:rsidRDefault="003D6F77" w:rsidP="00F024FB">
            <w:pPr>
              <w:spacing w:line="360" w:lineRule="auto"/>
              <w:jc w:val="center"/>
              <w:rPr>
                <w:rFonts w:ascii="Times New Roman" w:eastAsia="Times New Roman" w:hAnsi="Times New Roman"/>
                <w:sz w:val="24"/>
                <w:szCs w:val="24"/>
                <w:lang w:val="en-US"/>
              </w:rPr>
            </w:pPr>
            <w:r w:rsidRPr="003D6F77">
              <w:rPr>
                <w:rFonts w:ascii="Times New Roman" w:eastAsia="Times New Roman" w:hAnsi="Times New Roman"/>
                <w:sz w:val="24"/>
                <w:szCs w:val="24"/>
                <w:lang w:val="en-US"/>
              </w:rPr>
              <w:t>1189880,20</w:t>
            </w:r>
          </w:p>
          <w:p w:rsidR="003D6F77" w:rsidRPr="003D6F77" w:rsidRDefault="003D6F77" w:rsidP="00F024FB">
            <w:pPr>
              <w:spacing w:line="360" w:lineRule="auto"/>
              <w:jc w:val="center"/>
              <w:rPr>
                <w:rFonts w:ascii="Times New Roman" w:eastAsia="Times New Roman" w:hAnsi="Times New Roman"/>
                <w:sz w:val="24"/>
                <w:szCs w:val="24"/>
                <w:lang w:val="uk-UA"/>
              </w:rPr>
            </w:pPr>
            <w:r w:rsidRPr="003D6F77">
              <w:rPr>
                <w:rFonts w:ascii="Times New Roman" w:eastAsia="Times New Roman" w:hAnsi="Times New Roman"/>
                <w:sz w:val="24"/>
                <w:szCs w:val="24"/>
                <w:lang w:val="uk-UA"/>
              </w:rPr>
              <w:t>(</w:t>
            </w:r>
            <w:r w:rsidRPr="003D6F77">
              <w:rPr>
                <w:rFonts w:ascii="Times New Roman" w:eastAsia="Times New Roman" w:hAnsi="Times New Roman"/>
                <w:sz w:val="24"/>
                <w:szCs w:val="24"/>
                <w:lang w:val="en-US"/>
              </w:rPr>
              <w:t>1376082,58</w:t>
            </w:r>
            <w:r w:rsidRPr="003D6F77">
              <w:rPr>
                <w:rFonts w:ascii="Times New Roman" w:eastAsia="Times New Roman" w:hAnsi="Times New Roman"/>
                <w:sz w:val="24"/>
                <w:szCs w:val="24"/>
                <w:lang w:val="uk-UA"/>
              </w:rPr>
              <w:t>-</w:t>
            </w:r>
            <w:r w:rsidRPr="003D6F77">
              <w:rPr>
                <w:rFonts w:ascii="Times New Roman" w:eastAsia="Times New Roman" w:hAnsi="Times New Roman"/>
                <w:sz w:val="24"/>
                <w:szCs w:val="24"/>
                <w:lang w:val="en-US"/>
              </w:rPr>
              <w:t>1019681,00</w:t>
            </w:r>
            <w:r w:rsidRPr="003D6F77">
              <w:rPr>
                <w:rFonts w:ascii="Times New Roman" w:eastAsia="Times New Roman" w:hAnsi="Times New Roman"/>
                <w:sz w:val="24"/>
                <w:szCs w:val="24"/>
                <w:lang w:val="uk-UA"/>
              </w:rPr>
              <w:t>)</w:t>
            </w:r>
          </w:p>
        </w:tc>
      </w:tr>
      <w:tr w:rsidR="003D6F77" w:rsidRPr="003D6F77" w:rsidTr="00CC6EB9">
        <w:trPr>
          <w:jc w:val="center"/>
        </w:trPr>
        <w:tc>
          <w:tcPr>
            <w:tcW w:w="0" w:type="auto"/>
          </w:tcPr>
          <w:p w:rsidR="003D6F77" w:rsidRPr="003D6F77" w:rsidRDefault="003D6F77" w:rsidP="00F024FB">
            <w:pPr>
              <w:spacing w:line="360" w:lineRule="auto"/>
              <w:jc w:val="center"/>
              <w:rPr>
                <w:rFonts w:ascii="Times New Roman" w:hAnsi="Times New Roman"/>
                <w:sz w:val="24"/>
                <w:szCs w:val="24"/>
                <w:lang w:val="uk-UA"/>
              </w:rPr>
            </w:pPr>
            <w:r w:rsidRPr="003D6F77">
              <w:rPr>
                <w:rFonts w:ascii="Times New Roman" w:hAnsi="Times New Roman"/>
                <w:sz w:val="24"/>
                <w:szCs w:val="24"/>
                <w:lang w:val="uk-UA"/>
              </w:rPr>
              <w:t>2012</w:t>
            </w:r>
          </w:p>
          <w:p w:rsidR="003D6F77" w:rsidRPr="003D6F77" w:rsidRDefault="003D6F77" w:rsidP="00F024FB">
            <w:pPr>
              <w:spacing w:line="360" w:lineRule="auto"/>
              <w:jc w:val="center"/>
              <w:rPr>
                <w:rFonts w:ascii="Times New Roman" w:hAnsi="Times New Roman"/>
                <w:sz w:val="24"/>
                <w:szCs w:val="24"/>
                <w:lang w:val="uk-UA"/>
              </w:rPr>
            </w:pPr>
            <w:r w:rsidRPr="003D6F77">
              <w:rPr>
                <w:rFonts w:ascii="Times New Roman" w:hAnsi="Times New Roman"/>
                <w:sz w:val="24"/>
                <w:szCs w:val="24"/>
                <w:lang w:val="uk-UA"/>
              </w:rPr>
              <w:t>ДІ</w:t>
            </w:r>
          </w:p>
        </w:tc>
        <w:tc>
          <w:tcPr>
            <w:tcW w:w="0" w:type="auto"/>
          </w:tcPr>
          <w:p w:rsidR="003D6F77" w:rsidRPr="003D6F77" w:rsidRDefault="003D6F77" w:rsidP="00F024FB">
            <w:pPr>
              <w:spacing w:line="360" w:lineRule="auto"/>
              <w:jc w:val="center"/>
              <w:rPr>
                <w:rFonts w:ascii="Times New Roman" w:eastAsia="Times New Roman" w:hAnsi="Times New Roman"/>
                <w:sz w:val="24"/>
                <w:szCs w:val="24"/>
                <w:lang w:val="en-US"/>
              </w:rPr>
            </w:pPr>
            <w:r w:rsidRPr="003D6F77">
              <w:rPr>
                <w:rFonts w:ascii="Times New Roman" w:eastAsia="Times New Roman" w:hAnsi="Times New Roman"/>
                <w:sz w:val="24"/>
                <w:szCs w:val="24"/>
                <w:lang w:val="en-US"/>
              </w:rPr>
              <w:t>1882597,11</w:t>
            </w:r>
          </w:p>
          <w:p w:rsidR="003D6F77" w:rsidRPr="003D6F77" w:rsidRDefault="003D6F77" w:rsidP="00F024FB">
            <w:pPr>
              <w:spacing w:line="360" w:lineRule="auto"/>
              <w:jc w:val="center"/>
              <w:rPr>
                <w:rFonts w:ascii="Times New Roman" w:eastAsia="Times New Roman" w:hAnsi="Times New Roman"/>
                <w:sz w:val="24"/>
                <w:szCs w:val="24"/>
                <w:lang w:val="uk-UA"/>
              </w:rPr>
            </w:pPr>
            <w:r w:rsidRPr="003D6F77">
              <w:rPr>
                <w:rFonts w:ascii="Times New Roman" w:eastAsia="Times New Roman" w:hAnsi="Times New Roman"/>
                <w:sz w:val="24"/>
                <w:szCs w:val="24"/>
                <w:lang w:val="uk-UA"/>
              </w:rPr>
              <w:t>(</w:t>
            </w:r>
            <w:r w:rsidRPr="003D6F77">
              <w:rPr>
                <w:rFonts w:ascii="Times New Roman" w:eastAsia="Times New Roman" w:hAnsi="Times New Roman"/>
                <w:sz w:val="24"/>
                <w:szCs w:val="24"/>
                <w:lang w:val="en-US"/>
              </w:rPr>
              <w:t>2054161,91</w:t>
            </w:r>
            <w:r w:rsidRPr="003D6F77">
              <w:rPr>
                <w:rFonts w:ascii="Times New Roman" w:eastAsia="Times New Roman" w:hAnsi="Times New Roman"/>
                <w:sz w:val="24"/>
                <w:szCs w:val="24"/>
                <w:lang w:val="uk-UA"/>
              </w:rPr>
              <w:t>-</w:t>
            </w:r>
            <w:r w:rsidRPr="003D6F77">
              <w:rPr>
                <w:rFonts w:ascii="Times New Roman" w:eastAsia="Times New Roman" w:hAnsi="Times New Roman"/>
                <w:sz w:val="24"/>
                <w:szCs w:val="24"/>
                <w:lang w:val="en-US"/>
              </w:rPr>
              <w:t>1716251,03</w:t>
            </w:r>
            <w:r w:rsidRPr="003D6F77">
              <w:rPr>
                <w:rFonts w:ascii="Times New Roman" w:eastAsia="Times New Roman" w:hAnsi="Times New Roman"/>
                <w:sz w:val="24"/>
                <w:szCs w:val="24"/>
                <w:lang w:val="uk-UA"/>
              </w:rPr>
              <w:t>)</w:t>
            </w:r>
          </w:p>
        </w:tc>
        <w:tc>
          <w:tcPr>
            <w:tcW w:w="0" w:type="auto"/>
          </w:tcPr>
          <w:p w:rsidR="003D6F77" w:rsidRPr="003D6F77" w:rsidRDefault="003D6F77" w:rsidP="00F024FB">
            <w:pPr>
              <w:spacing w:line="360" w:lineRule="auto"/>
              <w:jc w:val="center"/>
              <w:rPr>
                <w:rFonts w:ascii="Times New Roman" w:eastAsia="Times New Roman" w:hAnsi="Times New Roman"/>
                <w:sz w:val="24"/>
                <w:szCs w:val="24"/>
                <w:lang w:val="en-US"/>
              </w:rPr>
            </w:pPr>
            <w:r w:rsidRPr="003D6F77">
              <w:rPr>
                <w:rFonts w:ascii="Times New Roman" w:eastAsia="Times New Roman" w:hAnsi="Times New Roman"/>
                <w:sz w:val="24"/>
                <w:szCs w:val="24"/>
                <w:lang w:val="en-US"/>
              </w:rPr>
              <w:t>2570872,22</w:t>
            </w:r>
          </w:p>
          <w:p w:rsidR="003D6F77" w:rsidRPr="003D6F77" w:rsidRDefault="003D6F77" w:rsidP="00F024FB">
            <w:pPr>
              <w:spacing w:line="360" w:lineRule="auto"/>
              <w:jc w:val="center"/>
              <w:rPr>
                <w:rFonts w:ascii="Times New Roman" w:eastAsia="Times New Roman" w:hAnsi="Times New Roman"/>
                <w:sz w:val="24"/>
                <w:szCs w:val="24"/>
                <w:lang w:val="uk-UA"/>
              </w:rPr>
            </w:pPr>
            <w:r w:rsidRPr="003D6F77">
              <w:rPr>
                <w:rFonts w:ascii="Times New Roman" w:eastAsia="Times New Roman" w:hAnsi="Times New Roman"/>
                <w:sz w:val="24"/>
                <w:szCs w:val="24"/>
                <w:lang w:val="uk-UA"/>
              </w:rPr>
              <w:t>(</w:t>
            </w:r>
            <w:r w:rsidRPr="003D6F77">
              <w:rPr>
                <w:rFonts w:ascii="Times New Roman" w:eastAsia="Times New Roman" w:hAnsi="Times New Roman"/>
                <w:sz w:val="24"/>
                <w:szCs w:val="24"/>
                <w:lang w:val="en-US"/>
              </w:rPr>
              <w:t>2793245,67</w:t>
            </w:r>
            <w:r w:rsidRPr="003D6F77">
              <w:rPr>
                <w:rFonts w:ascii="Times New Roman" w:eastAsia="Times New Roman" w:hAnsi="Times New Roman"/>
                <w:sz w:val="24"/>
                <w:szCs w:val="24"/>
                <w:lang w:val="uk-UA"/>
              </w:rPr>
              <w:t>-</w:t>
            </w:r>
            <w:r w:rsidRPr="003D6F77">
              <w:rPr>
                <w:rFonts w:ascii="Times New Roman" w:eastAsia="Times New Roman" w:hAnsi="Times New Roman"/>
                <w:sz w:val="24"/>
                <w:szCs w:val="24"/>
                <w:lang w:val="en-US"/>
              </w:rPr>
              <w:t>2333745,48</w:t>
            </w:r>
            <w:r w:rsidRPr="003D6F77">
              <w:rPr>
                <w:rFonts w:ascii="Times New Roman" w:eastAsia="Times New Roman" w:hAnsi="Times New Roman"/>
                <w:sz w:val="24"/>
                <w:szCs w:val="24"/>
                <w:lang w:val="uk-UA"/>
              </w:rPr>
              <w:t>)</w:t>
            </w:r>
          </w:p>
        </w:tc>
        <w:tc>
          <w:tcPr>
            <w:tcW w:w="0" w:type="auto"/>
          </w:tcPr>
          <w:p w:rsidR="003D6F77" w:rsidRPr="003D6F77" w:rsidRDefault="003D6F77" w:rsidP="00F024FB">
            <w:pPr>
              <w:shd w:val="clear" w:color="auto" w:fill="FFFFFF"/>
              <w:spacing w:line="360" w:lineRule="auto"/>
              <w:jc w:val="center"/>
              <w:rPr>
                <w:rFonts w:ascii="Times New Roman" w:eastAsia="Times New Roman" w:hAnsi="Times New Roman"/>
                <w:sz w:val="24"/>
                <w:szCs w:val="24"/>
                <w:lang w:val="en-US"/>
              </w:rPr>
            </w:pPr>
            <w:r w:rsidRPr="003D6F77">
              <w:rPr>
                <w:rFonts w:ascii="Times New Roman" w:eastAsia="Times New Roman" w:hAnsi="Times New Roman"/>
                <w:sz w:val="24"/>
                <w:szCs w:val="24"/>
                <w:lang w:val="en-US"/>
              </w:rPr>
              <w:t>1148883,44</w:t>
            </w:r>
          </w:p>
          <w:p w:rsidR="003D6F77" w:rsidRPr="003D6F77" w:rsidRDefault="003D6F77" w:rsidP="00F024FB">
            <w:pPr>
              <w:shd w:val="clear" w:color="auto" w:fill="FFFFFF"/>
              <w:spacing w:line="360" w:lineRule="auto"/>
              <w:jc w:val="center"/>
              <w:rPr>
                <w:rFonts w:ascii="Times New Roman" w:eastAsia="Times New Roman" w:hAnsi="Times New Roman"/>
                <w:sz w:val="24"/>
                <w:szCs w:val="24"/>
                <w:lang w:val="uk-UA"/>
              </w:rPr>
            </w:pPr>
            <w:r w:rsidRPr="003D6F77">
              <w:rPr>
                <w:rFonts w:ascii="Times New Roman" w:eastAsia="Times New Roman" w:hAnsi="Times New Roman"/>
                <w:sz w:val="24"/>
                <w:szCs w:val="24"/>
                <w:lang w:val="uk-UA"/>
              </w:rPr>
              <w:t>(</w:t>
            </w:r>
            <w:r w:rsidRPr="003D6F77">
              <w:rPr>
                <w:rFonts w:ascii="Times New Roman" w:eastAsia="Times New Roman" w:hAnsi="Times New Roman"/>
                <w:sz w:val="24"/>
                <w:szCs w:val="24"/>
                <w:lang w:val="en-US"/>
              </w:rPr>
              <w:t>1344189,57</w:t>
            </w:r>
            <w:r w:rsidRPr="003D6F77">
              <w:rPr>
                <w:rFonts w:ascii="Times New Roman" w:eastAsia="Times New Roman" w:hAnsi="Times New Roman"/>
                <w:sz w:val="24"/>
                <w:szCs w:val="24"/>
                <w:lang w:val="uk-UA"/>
              </w:rPr>
              <w:t>-</w:t>
            </w:r>
            <w:r w:rsidRPr="003D6F77">
              <w:rPr>
                <w:rFonts w:ascii="Times New Roman" w:eastAsia="Times New Roman" w:hAnsi="Times New Roman"/>
                <w:sz w:val="24"/>
                <w:szCs w:val="24"/>
                <w:lang w:val="en-US"/>
              </w:rPr>
              <w:t>961176,98</w:t>
            </w:r>
            <w:r w:rsidRPr="003D6F77">
              <w:rPr>
                <w:rFonts w:ascii="Times New Roman" w:eastAsia="Times New Roman" w:hAnsi="Times New Roman"/>
                <w:sz w:val="24"/>
                <w:szCs w:val="24"/>
                <w:lang w:val="uk-UA"/>
              </w:rPr>
              <w:t>)</w:t>
            </w:r>
          </w:p>
        </w:tc>
      </w:tr>
      <w:tr w:rsidR="003D6F77" w:rsidRPr="003D6F77" w:rsidTr="00CC6EB9">
        <w:trPr>
          <w:jc w:val="center"/>
        </w:trPr>
        <w:tc>
          <w:tcPr>
            <w:tcW w:w="0" w:type="auto"/>
          </w:tcPr>
          <w:p w:rsidR="003D6F77" w:rsidRPr="003D6F77" w:rsidRDefault="003D6F77" w:rsidP="00F024FB">
            <w:pPr>
              <w:spacing w:line="360" w:lineRule="auto"/>
              <w:jc w:val="center"/>
              <w:rPr>
                <w:rFonts w:ascii="Times New Roman" w:hAnsi="Times New Roman"/>
                <w:sz w:val="24"/>
                <w:szCs w:val="24"/>
                <w:lang w:val="uk-UA"/>
              </w:rPr>
            </w:pPr>
            <w:r w:rsidRPr="003D6F77">
              <w:rPr>
                <w:rFonts w:ascii="Times New Roman" w:hAnsi="Times New Roman"/>
                <w:sz w:val="24"/>
                <w:szCs w:val="24"/>
                <w:lang w:val="uk-UA"/>
              </w:rPr>
              <w:t>2013</w:t>
            </w:r>
          </w:p>
          <w:p w:rsidR="003D6F77" w:rsidRPr="003D6F77" w:rsidRDefault="003D6F77" w:rsidP="00F024FB">
            <w:pPr>
              <w:spacing w:line="360" w:lineRule="auto"/>
              <w:jc w:val="center"/>
              <w:rPr>
                <w:rFonts w:ascii="Times New Roman" w:hAnsi="Times New Roman"/>
                <w:sz w:val="24"/>
                <w:szCs w:val="24"/>
                <w:lang w:val="uk-UA"/>
              </w:rPr>
            </w:pPr>
            <w:r w:rsidRPr="003D6F77">
              <w:rPr>
                <w:rFonts w:ascii="Times New Roman" w:hAnsi="Times New Roman"/>
                <w:sz w:val="24"/>
                <w:szCs w:val="24"/>
                <w:lang w:val="uk-UA"/>
              </w:rPr>
              <w:t>ДІ</w:t>
            </w:r>
          </w:p>
        </w:tc>
        <w:tc>
          <w:tcPr>
            <w:tcW w:w="0" w:type="auto"/>
          </w:tcPr>
          <w:p w:rsidR="003D6F77" w:rsidRPr="003D6F77" w:rsidRDefault="003D6F77" w:rsidP="00F024FB">
            <w:pPr>
              <w:spacing w:line="360" w:lineRule="auto"/>
              <w:jc w:val="center"/>
              <w:rPr>
                <w:rFonts w:ascii="Times New Roman" w:eastAsia="Times New Roman" w:hAnsi="Times New Roman"/>
                <w:sz w:val="24"/>
                <w:szCs w:val="24"/>
                <w:lang w:val="en-US"/>
              </w:rPr>
            </w:pPr>
            <w:r w:rsidRPr="003D6F77">
              <w:rPr>
                <w:rFonts w:ascii="Times New Roman" w:eastAsia="Times New Roman" w:hAnsi="Times New Roman"/>
                <w:sz w:val="24"/>
                <w:szCs w:val="24"/>
                <w:lang w:val="en-US"/>
              </w:rPr>
              <w:t>1751902,86</w:t>
            </w:r>
          </w:p>
          <w:p w:rsidR="003D6F77" w:rsidRPr="003D6F77" w:rsidRDefault="003D6F77" w:rsidP="00F024FB">
            <w:pPr>
              <w:spacing w:line="360" w:lineRule="auto"/>
              <w:jc w:val="center"/>
              <w:rPr>
                <w:rFonts w:ascii="Times New Roman" w:eastAsia="Times New Roman" w:hAnsi="Times New Roman"/>
                <w:sz w:val="24"/>
                <w:szCs w:val="24"/>
                <w:lang w:val="uk-UA"/>
              </w:rPr>
            </w:pPr>
            <w:r w:rsidRPr="003D6F77">
              <w:rPr>
                <w:rFonts w:ascii="Times New Roman" w:eastAsia="Times New Roman" w:hAnsi="Times New Roman"/>
                <w:sz w:val="24"/>
                <w:szCs w:val="24"/>
                <w:lang w:val="uk-UA"/>
              </w:rPr>
              <w:t>(</w:t>
            </w:r>
            <w:r w:rsidRPr="003D6F77">
              <w:rPr>
                <w:rFonts w:ascii="Times New Roman" w:eastAsia="Times New Roman" w:hAnsi="Times New Roman"/>
                <w:sz w:val="24"/>
                <w:szCs w:val="24"/>
                <w:lang w:val="en-US"/>
              </w:rPr>
              <w:t>1901842,56</w:t>
            </w:r>
            <w:r w:rsidRPr="003D6F77">
              <w:rPr>
                <w:rFonts w:ascii="Times New Roman" w:eastAsia="Times New Roman" w:hAnsi="Times New Roman"/>
                <w:sz w:val="24"/>
                <w:szCs w:val="24"/>
                <w:lang w:val="uk-UA"/>
              </w:rPr>
              <w:t>-</w:t>
            </w:r>
            <w:r w:rsidRPr="003D6F77">
              <w:rPr>
                <w:rFonts w:ascii="Times New Roman" w:eastAsia="Times New Roman" w:hAnsi="Times New Roman"/>
                <w:sz w:val="24"/>
                <w:szCs w:val="24"/>
                <w:lang w:val="en-US"/>
              </w:rPr>
              <w:t>1599158,90</w:t>
            </w:r>
            <w:r w:rsidRPr="003D6F77">
              <w:rPr>
                <w:rFonts w:ascii="Times New Roman" w:eastAsia="Times New Roman" w:hAnsi="Times New Roman"/>
                <w:sz w:val="24"/>
                <w:szCs w:val="24"/>
                <w:lang w:val="uk-UA"/>
              </w:rPr>
              <w:t>)</w:t>
            </w:r>
          </w:p>
        </w:tc>
        <w:tc>
          <w:tcPr>
            <w:tcW w:w="0" w:type="auto"/>
          </w:tcPr>
          <w:p w:rsidR="003D6F77" w:rsidRPr="003D6F77" w:rsidRDefault="003D6F77" w:rsidP="00F024FB">
            <w:pPr>
              <w:spacing w:line="360" w:lineRule="auto"/>
              <w:jc w:val="center"/>
              <w:rPr>
                <w:rFonts w:ascii="Times New Roman" w:eastAsia="Times New Roman" w:hAnsi="Times New Roman"/>
                <w:sz w:val="24"/>
                <w:szCs w:val="24"/>
                <w:lang w:val="en-US"/>
              </w:rPr>
            </w:pPr>
            <w:r w:rsidRPr="003D6F77">
              <w:rPr>
                <w:rFonts w:ascii="Times New Roman" w:eastAsia="Times New Roman" w:hAnsi="Times New Roman"/>
                <w:sz w:val="24"/>
                <w:szCs w:val="24"/>
                <w:lang w:val="en-US"/>
              </w:rPr>
              <w:t>2387494,96</w:t>
            </w:r>
          </w:p>
          <w:p w:rsidR="003D6F77" w:rsidRPr="003D6F77" w:rsidRDefault="003D6F77" w:rsidP="00F024FB">
            <w:pPr>
              <w:spacing w:line="360" w:lineRule="auto"/>
              <w:jc w:val="center"/>
              <w:rPr>
                <w:rFonts w:ascii="Times New Roman" w:eastAsia="Times New Roman" w:hAnsi="Times New Roman"/>
                <w:sz w:val="24"/>
                <w:szCs w:val="24"/>
                <w:lang w:val="uk-UA"/>
              </w:rPr>
            </w:pPr>
            <w:r w:rsidRPr="003D6F77">
              <w:rPr>
                <w:rFonts w:ascii="Times New Roman" w:eastAsia="Times New Roman" w:hAnsi="Times New Roman"/>
                <w:sz w:val="24"/>
                <w:szCs w:val="24"/>
                <w:lang w:val="uk-UA"/>
              </w:rPr>
              <w:t>(</w:t>
            </w:r>
            <w:r w:rsidRPr="003D6F77">
              <w:rPr>
                <w:rFonts w:ascii="Times New Roman" w:eastAsia="Times New Roman" w:hAnsi="Times New Roman"/>
                <w:sz w:val="24"/>
                <w:szCs w:val="24"/>
                <w:lang w:val="en-US"/>
              </w:rPr>
              <w:t>2603484,56</w:t>
            </w:r>
            <w:r w:rsidRPr="003D6F77">
              <w:rPr>
                <w:rFonts w:ascii="Times New Roman" w:eastAsia="Times New Roman" w:hAnsi="Times New Roman"/>
                <w:sz w:val="24"/>
                <w:szCs w:val="24"/>
                <w:lang w:val="uk-UA"/>
              </w:rPr>
              <w:t>-</w:t>
            </w:r>
            <w:r w:rsidRPr="003D6F77">
              <w:rPr>
                <w:rFonts w:ascii="Times New Roman" w:eastAsia="Times New Roman" w:hAnsi="Times New Roman"/>
                <w:sz w:val="24"/>
                <w:szCs w:val="24"/>
                <w:lang w:val="en-US"/>
              </w:rPr>
              <w:t>2148646,27</w:t>
            </w:r>
            <w:r w:rsidRPr="003D6F77">
              <w:rPr>
                <w:rFonts w:ascii="Times New Roman" w:eastAsia="Times New Roman" w:hAnsi="Times New Roman"/>
                <w:sz w:val="24"/>
                <w:szCs w:val="24"/>
                <w:lang w:val="uk-UA"/>
              </w:rPr>
              <w:t>)</w:t>
            </w:r>
          </w:p>
        </w:tc>
        <w:tc>
          <w:tcPr>
            <w:tcW w:w="0" w:type="auto"/>
          </w:tcPr>
          <w:p w:rsidR="003D6F77" w:rsidRPr="003D6F77" w:rsidRDefault="003D6F77" w:rsidP="00F024FB">
            <w:pPr>
              <w:shd w:val="clear" w:color="auto" w:fill="FFFFFF"/>
              <w:spacing w:line="360" w:lineRule="auto"/>
              <w:jc w:val="center"/>
              <w:rPr>
                <w:rFonts w:ascii="Times New Roman" w:eastAsia="Times New Roman" w:hAnsi="Times New Roman"/>
                <w:sz w:val="24"/>
                <w:szCs w:val="24"/>
                <w:lang w:val="en-US"/>
              </w:rPr>
            </w:pPr>
            <w:r w:rsidRPr="003D6F77">
              <w:rPr>
                <w:rFonts w:ascii="Times New Roman" w:eastAsia="Times New Roman" w:hAnsi="Times New Roman"/>
                <w:sz w:val="24"/>
                <w:szCs w:val="24"/>
                <w:lang w:val="en-US"/>
              </w:rPr>
              <w:t>1074510,93</w:t>
            </w:r>
          </w:p>
          <w:p w:rsidR="003D6F77" w:rsidRPr="003D6F77" w:rsidRDefault="003D6F77" w:rsidP="00F024FB">
            <w:pPr>
              <w:shd w:val="clear" w:color="auto" w:fill="FFFFFF"/>
              <w:spacing w:line="360" w:lineRule="auto"/>
              <w:jc w:val="center"/>
              <w:rPr>
                <w:rFonts w:ascii="Times New Roman" w:eastAsia="Times New Roman" w:hAnsi="Times New Roman"/>
                <w:sz w:val="24"/>
                <w:szCs w:val="24"/>
                <w:lang w:val="uk-UA"/>
              </w:rPr>
            </w:pPr>
            <w:r w:rsidRPr="003D6F77">
              <w:rPr>
                <w:rFonts w:ascii="Times New Roman" w:eastAsia="Times New Roman" w:hAnsi="Times New Roman"/>
                <w:sz w:val="24"/>
                <w:szCs w:val="24"/>
                <w:lang w:val="uk-UA"/>
              </w:rPr>
              <w:t>(</w:t>
            </w:r>
            <w:r w:rsidRPr="003D6F77">
              <w:rPr>
                <w:rFonts w:ascii="Times New Roman" w:eastAsia="Times New Roman" w:hAnsi="Times New Roman"/>
                <w:sz w:val="24"/>
                <w:szCs w:val="24"/>
                <w:lang w:val="en-US"/>
              </w:rPr>
              <w:t>1261165,77</w:t>
            </w:r>
            <w:r w:rsidRPr="003D6F77">
              <w:rPr>
                <w:rFonts w:ascii="Times New Roman" w:eastAsia="Times New Roman" w:hAnsi="Times New Roman"/>
                <w:sz w:val="24"/>
                <w:szCs w:val="24"/>
                <w:lang w:val="uk-UA"/>
              </w:rPr>
              <w:t>-</w:t>
            </w:r>
            <w:r w:rsidRPr="003D6F77">
              <w:rPr>
                <w:rFonts w:ascii="Times New Roman" w:eastAsia="Times New Roman" w:hAnsi="Times New Roman"/>
                <w:sz w:val="24"/>
                <w:szCs w:val="24"/>
                <w:lang w:val="en-US"/>
              </w:rPr>
              <w:t>886280,25</w:t>
            </w:r>
            <w:r w:rsidRPr="003D6F77">
              <w:rPr>
                <w:rFonts w:ascii="Times New Roman" w:eastAsia="Times New Roman" w:hAnsi="Times New Roman"/>
                <w:sz w:val="24"/>
                <w:szCs w:val="24"/>
                <w:lang w:val="uk-UA"/>
              </w:rPr>
              <w:t>)</w:t>
            </w:r>
          </w:p>
        </w:tc>
      </w:tr>
      <w:tr w:rsidR="003D6F77" w:rsidRPr="003D6F77" w:rsidTr="00CC6EB9">
        <w:trPr>
          <w:jc w:val="center"/>
        </w:trPr>
        <w:tc>
          <w:tcPr>
            <w:tcW w:w="0" w:type="auto"/>
          </w:tcPr>
          <w:p w:rsidR="003D6F77" w:rsidRPr="003D6F77" w:rsidRDefault="003D6F77" w:rsidP="00F024FB">
            <w:pPr>
              <w:spacing w:line="360" w:lineRule="auto"/>
              <w:jc w:val="center"/>
              <w:rPr>
                <w:rFonts w:ascii="Times New Roman" w:hAnsi="Times New Roman"/>
                <w:sz w:val="24"/>
                <w:szCs w:val="24"/>
                <w:lang w:val="uk-UA"/>
              </w:rPr>
            </w:pPr>
            <w:r w:rsidRPr="003D6F77">
              <w:rPr>
                <w:rFonts w:ascii="Times New Roman" w:hAnsi="Times New Roman"/>
                <w:sz w:val="24"/>
                <w:szCs w:val="24"/>
                <w:lang w:val="uk-UA"/>
              </w:rPr>
              <w:t>2014</w:t>
            </w:r>
          </w:p>
          <w:p w:rsidR="003D6F77" w:rsidRPr="003D6F77" w:rsidRDefault="003D6F77" w:rsidP="00F024FB">
            <w:pPr>
              <w:spacing w:line="360" w:lineRule="auto"/>
              <w:jc w:val="center"/>
              <w:rPr>
                <w:rFonts w:ascii="Times New Roman" w:hAnsi="Times New Roman"/>
                <w:sz w:val="24"/>
                <w:szCs w:val="24"/>
                <w:lang w:val="uk-UA"/>
              </w:rPr>
            </w:pPr>
            <w:r w:rsidRPr="003D6F77">
              <w:rPr>
                <w:rFonts w:ascii="Times New Roman" w:hAnsi="Times New Roman"/>
                <w:sz w:val="24"/>
                <w:szCs w:val="24"/>
                <w:lang w:val="uk-UA"/>
              </w:rPr>
              <w:t>ДІ</w:t>
            </w:r>
          </w:p>
        </w:tc>
        <w:tc>
          <w:tcPr>
            <w:tcW w:w="0" w:type="auto"/>
          </w:tcPr>
          <w:p w:rsidR="003D6F77" w:rsidRPr="003D6F77" w:rsidRDefault="003D6F77" w:rsidP="00F024FB">
            <w:pPr>
              <w:spacing w:line="360" w:lineRule="auto"/>
              <w:jc w:val="center"/>
              <w:rPr>
                <w:rFonts w:ascii="Times New Roman" w:eastAsia="Times New Roman" w:hAnsi="Times New Roman"/>
                <w:sz w:val="24"/>
                <w:szCs w:val="24"/>
                <w:lang w:val="en-US"/>
              </w:rPr>
            </w:pPr>
            <w:r w:rsidRPr="003D6F77">
              <w:rPr>
                <w:rFonts w:ascii="Times New Roman" w:eastAsia="Times New Roman" w:hAnsi="Times New Roman"/>
                <w:sz w:val="24"/>
                <w:szCs w:val="24"/>
                <w:lang w:val="en-US"/>
              </w:rPr>
              <w:t>1773090,20</w:t>
            </w:r>
          </w:p>
          <w:p w:rsidR="003D6F77" w:rsidRPr="003D6F77" w:rsidRDefault="003D6F77" w:rsidP="00F024FB">
            <w:pPr>
              <w:spacing w:line="360" w:lineRule="auto"/>
              <w:jc w:val="center"/>
              <w:rPr>
                <w:rFonts w:ascii="Times New Roman" w:eastAsia="Times New Roman" w:hAnsi="Times New Roman"/>
                <w:sz w:val="24"/>
                <w:szCs w:val="24"/>
                <w:lang w:val="uk-UA"/>
              </w:rPr>
            </w:pPr>
            <w:r w:rsidRPr="003D6F77">
              <w:rPr>
                <w:rFonts w:ascii="Times New Roman" w:eastAsia="Times New Roman" w:hAnsi="Times New Roman"/>
                <w:sz w:val="24"/>
                <w:szCs w:val="24"/>
                <w:lang w:val="uk-UA"/>
              </w:rPr>
              <w:t>(</w:t>
            </w:r>
            <w:r w:rsidRPr="003D6F77">
              <w:rPr>
                <w:rFonts w:ascii="Times New Roman" w:eastAsia="Times New Roman" w:hAnsi="Times New Roman"/>
                <w:sz w:val="24"/>
                <w:szCs w:val="24"/>
                <w:lang w:val="en-US"/>
              </w:rPr>
              <w:t>1932291,61</w:t>
            </w:r>
            <w:r w:rsidRPr="003D6F77">
              <w:rPr>
                <w:rFonts w:ascii="Times New Roman" w:eastAsia="Times New Roman" w:hAnsi="Times New Roman"/>
                <w:sz w:val="24"/>
                <w:szCs w:val="24"/>
                <w:lang w:val="uk-UA"/>
              </w:rPr>
              <w:t>-</w:t>
            </w:r>
            <w:r w:rsidRPr="003D6F77">
              <w:rPr>
                <w:rFonts w:ascii="Times New Roman" w:eastAsia="Times New Roman" w:hAnsi="Times New Roman"/>
                <w:sz w:val="24"/>
                <w:szCs w:val="24"/>
                <w:lang w:val="en-US"/>
              </w:rPr>
              <w:t>1617888,14</w:t>
            </w:r>
            <w:r w:rsidRPr="003D6F77">
              <w:rPr>
                <w:rFonts w:ascii="Times New Roman" w:eastAsia="Times New Roman" w:hAnsi="Times New Roman"/>
                <w:sz w:val="24"/>
                <w:szCs w:val="24"/>
                <w:lang w:val="uk-UA"/>
              </w:rPr>
              <w:t>)</w:t>
            </w:r>
          </w:p>
        </w:tc>
        <w:tc>
          <w:tcPr>
            <w:tcW w:w="0" w:type="auto"/>
          </w:tcPr>
          <w:p w:rsidR="003D6F77" w:rsidRPr="003D6F77" w:rsidRDefault="003D6F77" w:rsidP="00F024FB">
            <w:pPr>
              <w:spacing w:line="360" w:lineRule="auto"/>
              <w:jc w:val="center"/>
              <w:rPr>
                <w:rFonts w:ascii="Times New Roman" w:eastAsia="Times New Roman" w:hAnsi="Times New Roman"/>
                <w:sz w:val="24"/>
                <w:szCs w:val="24"/>
                <w:lang w:val="en-US"/>
              </w:rPr>
            </w:pPr>
            <w:r w:rsidRPr="003D6F77">
              <w:rPr>
                <w:rFonts w:ascii="Times New Roman" w:eastAsia="Times New Roman" w:hAnsi="Times New Roman"/>
                <w:sz w:val="24"/>
                <w:szCs w:val="24"/>
                <w:lang w:val="en-US"/>
              </w:rPr>
              <w:t>2404889,07</w:t>
            </w:r>
          </w:p>
          <w:p w:rsidR="003D6F77" w:rsidRPr="003D6F77" w:rsidRDefault="003D6F77" w:rsidP="00F024FB">
            <w:pPr>
              <w:spacing w:line="360" w:lineRule="auto"/>
              <w:jc w:val="center"/>
              <w:rPr>
                <w:rFonts w:ascii="Times New Roman" w:eastAsia="Times New Roman" w:hAnsi="Times New Roman"/>
                <w:sz w:val="24"/>
                <w:szCs w:val="24"/>
                <w:lang w:val="uk-UA"/>
              </w:rPr>
            </w:pPr>
            <w:r w:rsidRPr="003D6F77">
              <w:rPr>
                <w:rFonts w:ascii="Times New Roman" w:eastAsia="Times New Roman" w:hAnsi="Times New Roman"/>
                <w:sz w:val="24"/>
                <w:szCs w:val="24"/>
                <w:lang w:val="uk-UA"/>
              </w:rPr>
              <w:t>(</w:t>
            </w:r>
            <w:r w:rsidRPr="003D6F77">
              <w:rPr>
                <w:rFonts w:ascii="Times New Roman" w:eastAsia="Times New Roman" w:hAnsi="Times New Roman"/>
                <w:sz w:val="24"/>
                <w:szCs w:val="24"/>
                <w:lang w:val="en-US"/>
              </w:rPr>
              <w:t>2670130,34</w:t>
            </w:r>
            <w:r w:rsidRPr="003D6F77">
              <w:rPr>
                <w:rFonts w:ascii="Times New Roman" w:eastAsia="Times New Roman" w:hAnsi="Times New Roman"/>
                <w:sz w:val="24"/>
                <w:szCs w:val="24"/>
                <w:lang w:val="uk-UA"/>
              </w:rPr>
              <w:t>-</w:t>
            </w:r>
            <w:r w:rsidRPr="003D6F77">
              <w:rPr>
                <w:rFonts w:ascii="Times New Roman" w:eastAsia="Times New Roman" w:hAnsi="Times New Roman"/>
                <w:sz w:val="24"/>
                <w:szCs w:val="24"/>
                <w:lang w:val="en-US"/>
              </w:rPr>
              <w:t>2143093,42</w:t>
            </w:r>
            <w:r w:rsidRPr="003D6F77">
              <w:rPr>
                <w:rFonts w:ascii="Times New Roman" w:eastAsia="Times New Roman" w:hAnsi="Times New Roman"/>
                <w:sz w:val="24"/>
                <w:szCs w:val="24"/>
                <w:lang w:val="uk-UA"/>
              </w:rPr>
              <w:t>)</w:t>
            </w:r>
          </w:p>
        </w:tc>
        <w:tc>
          <w:tcPr>
            <w:tcW w:w="0" w:type="auto"/>
          </w:tcPr>
          <w:p w:rsidR="003D6F77" w:rsidRPr="003D6F77" w:rsidRDefault="003D6F77" w:rsidP="00F024FB">
            <w:pPr>
              <w:shd w:val="clear" w:color="auto" w:fill="FFFFFF"/>
              <w:spacing w:line="360" w:lineRule="auto"/>
              <w:jc w:val="center"/>
              <w:rPr>
                <w:rFonts w:ascii="Times New Roman" w:eastAsia="Times New Roman" w:hAnsi="Times New Roman"/>
                <w:sz w:val="24"/>
                <w:szCs w:val="24"/>
                <w:lang w:val="en-US"/>
              </w:rPr>
            </w:pPr>
            <w:r w:rsidRPr="003D6F77">
              <w:rPr>
                <w:rFonts w:ascii="Times New Roman" w:eastAsia="Times New Roman" w:hAnsi="Times New Roman"/>
                <w:sz w:val="24"/>
                <w:szCs w:val="24"/>
                <w:lang w:val="en-US"/>
              </w:rPr>
              <w:t>1100006,32</w:t>
            </w:r>
          </w:p>
          <w:p w:rsidR="003D6F77" w:rsidRPr="003D6F77" w:rsidRDefault="003D6F77" w:rsidP="00F024FB">
            <w:pPr>
              <w:shd w:val="clear" w:color="auto" w:fill="FFFFFF"/>
              <w:spacing w:line="360" w:lineRule="auto"/>
              <w:jc w:val="center"/>
              <w:rPr>
                <w:rFonts w:ascii="Times New Roman" w:eastAsia="Times New Roman" w:hAnsi="Times New Roman"/>
                <w:sz w:val="24"/>
                <w:szCs w:val="24"/>
                <w:lang w:val="uk-UA"/>
              </w:rPr>
            </w:pPr>
            <w:r w:rsidRPr="003D6F77">
              <w:rPr>
                <w:rFonts w:ascii="Times New Roman" w:eastAsia="Times New Roman" w:hAnsi="Times New Roman"/>
                <w:sz w:val="24"/>
                <w:szCs w:val="24"/>
                <w:lang w:val="uk-UA"/>
              </w:rPr>
              <w:t>(</w:t>
            </w:r>
            <w:r w:rsidRPr="003D6F77">
              <w:rPr>
                <w:rFonts w:ascii="Times New Roman" w:eastAsia="Times New Roman" w:hAnsi="Times New Roman"/>
                <w:sz w:val="24"/>
                <w:szCs w:val="24"/>
                <w:lang w:val="en-US"/>
              </w:rPr>
              <w:t>1302953,54</w:t>
            </w:r>
            <w:r w:rsidRPr="003D6F77">
              <w:rPr>
                <w:rFonts w:ascii="Times New Roman" w:eastAsia="Times New Roman" w:hAnsi="Times New Roman"/>
                <w:sz w:val="24"/>
                <w:szCs w:val="24"/>
                <w:lang w:val="uk-UA"/>
              </w:rPr>
              <w:t>-</w:t>
            </w:r>
            <w:r w:rsidRPr="003D6F77">
              <w:rPr>
                <w:rFonts w:ascii="Times New Roman" w:eastAsia="Times New Roman" w:hAnsi="Times New Roman"/>
                <w:sz w:val="24"/>
                <w:szCs w:val="24"/>
                <w:lang w:val="en-US"/>
              </w:rPr>
              <w:t>904502,38</w:t>
            </w:r>
            <w:r w:rsidRPr="003D6F77">
              <w:rPr>
                <w:rFonts w:ascii="Times New Roman" w:eastAsia="Times New Roman" w:hAnsi="Times New Roman"/>
                <w:sz w:val="24"/>
                <w:szCs w:val="24"/>
                <w:lang w:val="uk-UA"/>
              </w:rPr>
              <w:t>)</w:t>
            </w:r>
          </w:p>
        </w:tc>
      </w:tr>
      <w:tr w:rsidR="003D6F77" w:rsidRPr="003D6F77" w:rsidTr="00CC6EB9">
        <w:trPr>
          <w:jc w:val="center"/>
        </w:trPr>
        <w:tc>
          <w:tcPr>
            <w:tcW w:w="0" w:type="auto"/>
          </w:tcPr>
          <w:p w:rsidR="003D6F77" w:rsidRPr="003D6F77" w:rsidRDefault="003D6F77" w:rsidP="00F024FB">
            <w:pPr>
              <w:spacing w:line="360" w:lineRule="auto"/>
              <w:jc w:val="center"/>
              <w:rPr>
                <w:rFonts w:ascii="Times New Roman" w:hAnsi="Times New Roman"/>
                <w:sz w:val="24"/>
                <w:szCs w:val="24"/>
                <w:lang w:val="uk-UA"/>
              </w:rPr>
            </w:pPr>
            <w:r w:rsidRPr="003D6F77">
              <w:rPr>
                <w:rFonts w:ascii="Times New Roman" w:hAnsi="Times New Roman"/>
                <w:sz w:val="24"/>
                <w:szCs w:val="24"/>
                <w:lang w:val="uk-UA"/>
              </w:rPr>
              <w:t>2015</w:t>
            </w:r>
          </w:p>
          <w:p w:rsidR="003D6F77" w:rsidRPr="003D6F77" w:rsidRDefault="003D6F77" w:rsidP="00F024FB">
            <w:pPr>
              <w:spacing w:line="360" w:lineRule="auto"/>
              <w:jc w:val="center"/>
              <w:rPr>
                <w:rFonts w:ascii="Times New Roman" w:hAnsi="Times New Roman"/>
                <w:sz w:val="24"/>
                <w:szCs w:val="24"/>
                <w:lang w:val="uk-UA"/>
              </w:rPr>
            </w:pPr>
            <w:r w:rsidRPr="003D6F77">
              <w:rPr>
                <w:rFonts w:ascii="Times New Roman" w:hAnsi="Times New Roman"/>
                <w:sz w:val="24"/>
                <w:szCs w:val="24"/>
                <w:lang w:val="uk-UA"/>
              </w:rPr>
              <w:t>ДІ</w:t>
            </w:r>
          </w:p>
        </w:tc>
        <w:tc>
          <w:tcPr>
            <w:tcW w:w="0" w:type="auto"/>
          </w:tcPr>
          <w:p w:rsidR="003D6F77" w:rsidRPr="003D6F77" w:rsidRDefault="003D6F77" w:rsidP="00F024FB">
            <w:pPr>
              <w:shd w:val="clear" w:color="auto" w:fill="FFFFFF"/>
              <w:spacing w:line="360" w:lineRule="auto"/>
              <w:jc w:val="center"/>
              <w:rPr>
                <w:rFonts w:ascii="Times New Roman" w:eastAsia="Times New Roman" w:hAnsi="Times New Roman"/>
                <w:sz w:val="24"/>
                <w:szCs w:val="24"/>
                <w:lang w:val="en-US"/>
              </w:rPr>
            </w:pPr>
            <w:r w:rsidRPr="003D6F77">
              <w:rPr>
                <w:rFonts w:ascii="Times New Roman" w:eastAsia="Times New Roman" w:hAnsi="Times New Roman"/>
                <w:sz w:val="24"/>
                <w:szCs w:val="24"/>
                <w:lang w:val="en-US"/>
              </w:rPr>
              <w:t>1956317,75</w:t>
            </w:r>
          </w:p>
          <w:p w:rsidR="003D6F77" w:rsidRPr="003D6F77" w:rsidRDefault="003D6F77" w:rsidP="00F024FB">
            <w:pPr>
              <w:shd w:val="clear" w:color="auto" w:fill="FFFFFF"/>
              <w:spacing w:line="360" w:lineRule="auto"/>
              <w:jc w:val="center"/>
              <w:rPr>
                <w:rFonts w:ascii="Times New Roman" w:eastAsia="Times New Roman" w:hAnsi="Times New Roman"/>
                <w:sz w:val="24"/>
                <w:szCs w:val="24"/>
                <w:lang w:val="uk-UA"/>
              </w:rPr>
            </w:pPr>
            <w:r w:rsidRPr="003D6F77">
              <w:rPr>
                <w:rFonts w:ascii="Times New Roman" w:eastAsia="Times New Roman" w:hAnsi="Times New Roman"/>
                <w:sz w:val="24"/>
                <w:szCs w:val="24"/>
                <w:lang w:val="uk-UA"/>
              </w:rPr>
              <w:t>(</w:t>
            </w:r>
            <w:r w:rsidRPr="003D6F77">
              <w:rPr>
                <w:rFonts w:ascii="Times New Roman" w:eastAsia="Times New Roman" w:hAnsi="Times New Roman"/>
                <w:sz w:val="24"/>
                <w:szCs w:val="24"/>
                <w:lang w:val="en-US"/>
              </w:rPr>
              <w:t>2146598,49</w:t>
            </w:r>
            <w:r w:rsidRPr="003D6F77">
              <w:rPr>
                <w:rFonts w:ascii="Times New Roman" w:eastAsia="Times New Roman" w:hAnsi="Times New Roman"/>
                <w:sz w:val="24"/>
                <w:szCs w:val="24"/>
                <w:lang w:val="uk-UA"/>
              </w:rPr>
              <w:t>-</w:t>
            </w:r>
            <w:r w:rsidRPr="003D6F77">
              <w:rPr>
                <w:rFonts w:ascii="Times New Roman" w:eastAsia="Times New Roman" w:hAnsi="Times New Roman"/>
                <w:sz w:val="24"/>
                <w:szCs w:val="24"/>
                <w:lang w:val="en-US"/>
              </w:rPr>
              <w:t>1770258,18</w:t>
            </w:r>
            <w:r w:rsidRPr="003D6F77">
              <w:rPr>
                <w:rFonts w:ascii="Times New Roman" w:eastAsia="Times New Roman" w:hAnsi="Times New Roman"/>
                <w:sz w:val="24"/>
                <w:szCs w:val="24"/>
                <w:lang w:val="uk-UA"/>
              </w:rPr>
              <w:t>)</w:t>
            </w:r>
          </w:p>
        </w:tc>
        <w:tc>
          <w:tcPr>
            <w:tcW w:w="0" w:type="auto"/>
          </w:tcPr>
          <w:p w:rsidR="003D6F77" w:rsidRPr="003D6F77" w:rsidRDefault="003D6F77" w:rsidP="00F024FB">
            <w:pPr>
              <w:shd w:val="clear" w:color="auto" w:fill="FFFFFF"/>
              <w:spacing w:line="360" w:lineRule="auto"/>
              <w:jc w:val="center"/>
              <w:rPr>
                <w:rFonts w:ascii="Times New Roman" w:eastAsia="Times New Roman" w:hAnsi="Times New Roman"/>
                <w:sz w:val="24"/>
                <w:szCs w:val="24"/>
                <w:lang w:val="en-US"/>
              </w:rPr>
            </w:pPr>
            <w:r w:rsidRPr="003D6F77">
              <w:rPr>
                <w:rFonts w:ascii="Times New Roman" w:eastAsia="Times New Roman" w:hAnsi="Times New Roman"/>
                <w:sz w:val="24"/>
                <w:szCs w:val="24"/>
                <w:lang w:val="en-US"/>
              </w:rPr>
              <w:t>2659991,65</w:t>
            </w:r>
          </w:p>
          <w:p w:rsidR="003D6F77" w:rsidRPr="003D6F77" w:rsidRDefault="003D6F77" w:rsidP="00F024FB">
            <w:pPr>
              <w:shd w:val="clear" w:color="auto" w:fill="FFFFFF"/>
              <w:spacing w:line="360" w:lineRule="auto"/>
              <w:jc w:val="center"/>
              <w:rPr>
                <w:rFonts w:ascii="Times New Roman" w:eastAsia="Times New Roman" w:hAnsi="Times New Roman"/>
                <w:sz w:val="24"/>
                <w:szCs w:val="24"/>
                <w:lang w:val="uk-UA"/>
              </w:rPr>
            </w:pPr>
            <w:r w:rsidRPr="003D6F77">
              <w:rPr>
                <w:rFonts w:ascii="Times New Roman" w:eastAsia="Times New Roman" w:hAnsi="Times New Roman"/>
                <w:sz w:val="24"/>
                <w:szCs w:val="24"/>
                <w:lang w:val="uk-UA"/>
              </w:rPr>
              <w:t>(</w:t>
            </w:r>
            <w:r w:rsidRPr="003D6F77">
              <w:rPr>
                <w:rFonts w:ascii="Times New Roman" w:eastAsia="Times New Roman" w:hAnsi="Times New Roman"/>
                <w:sz w:val="24"/>
                <w:szCs w:val="24"/>
                <w:lang w:val="en-US"/>
              </w:rPr>
              <w:t>3004216,19</w:t>
            </w:r>
            <w:r w:rsidRPr="003D6F77">
              <w:rPr>
                <w:rFonts w:ascii="Times New Roman" w:eastAsia="Times New Roman" w:hAnsi="Times New Roman"/>
                <w:sz w:val="24"/>
                <w:szCs w:val="24"/>
                <w:lang w:val="uk-UA"/>
              </w:rPr>
              <w:t>-</w:t>
            </w:r>
            <w:r w:rsidRPr="003D6F77">
              <w:rPr>
                <w:rFonts w:ascii="Times New Roman" w:eastAsia="Times New Roman" w:hAnsi="Times New Roman"/>
                <w:sz w:val="24"/>
                <w:szCs w:val="24"/>
                <w:lang w:val="en-US"/>
              </w:rPr>
              <w:t>2329958,90</w:t>
            </w:r>
            <w:r w:rsidRPr="003D6F77">
              <w:rPr>
                <w:rFonts w:ascii="Times New Roman" w:eastAsia="Times New Roman" w:hAnsi="Times New Roman"/>
                <w:sz w:val="24"/>
                <w:szCs w:val="24"/>
                <w:lang w:val="uk-UA"/>
              </w:rPr>
              <w:t>)</w:t>
            </w:r>
          </w:p>
        </w:tc>
        <w:tc>
          <w:tcPr>
            <w:tcW w:w="0" w:type="auto"/>
          </w:tcPr>
          <w:p w:rsidR="003D6F77" w:rsidRPr="003D6F77" w:rsidRDefault="003D6F77" w:rsidP="00F024FB">
            <w:pPr>
              <w:spacing w:line="360" w:lineRule="auto"/>
              <w:jc w:val="center"/>
              <w:rPr>
                <w:rFonts w:ascii="Times New Roman" w:eastAsia="Times New Roman" w:hAnsi="Times New Roman"/>
                <w:sz w:val="24"/>
                <w:szCs w:val="24"/>
                <w:lang w:val="en-US"/>
              </w:rPr>
            </w:pPr>
            <w:r w:rsidRPr="003D6F77">
              <w:rPr>
                <w:rFonts w:ascii="Times New Roman" w:eastAsia="Times New Roman" w:hAnsi="Times New Roman"/>
                <w:sz w:val="24"/>
                <w:szCs w:val="24"/>
                <w:lang w:val="en-US"/>
              </w:rPr>
              <w:t>1206463,63</w:t>
            </w:r>
          </w:p>
          <w:p w:rsidR="003D6F77" w:rsidRPr="003D6F77" w:rsidRDefault="003D6F77" w:rsidP="00F024FB">
            <w:pPr>
              <w:spacing w:line="360" w:lineRule="auto"/>
              <w:jc w:val="center"/>
              <w:rPr>
                <w:rFonts w:ascii="Times New Roman" w:eastAsia="Times New Roman" w:hAnsi="Times New Roman"/>
                <w:sz w:val="24"/>
                <w:szCs w:val="24"/>
                <w:lang w:val="uk-UA"/>
              </w:rPr>
            </w:pPr>
            <w:r w:rsidRPr="003D6F77">
              <w:rPr>
                <w:rFonts w:ascii="Times New Roman" w:eastAsia="Times New Roman" w:hAnsi="Times New Roman"/>
                <w:sz w:val="24"/>
                <w:szCs w:val="24"/>
                <w:lang w:val="uk-UA"/>
              </w:rPr>
              <w:t>(</w:t>
            </w:r>
            <w:r w:rsidRPr="003D6F77">
              <w:rPr>
                <w:rFonts w:ascii="Times New Roman" w:eastAsia="Times New Roman" w:hAnsi="Times New Roman"/>
                <w:sz w:val="24"/>
                <w:szCs w:val="24"/>
                <w:lang w:val="en-US"/>
              </w:rPr>
              <w:t>1455310,77</w:t>
            </w:r>
            <w:r w:rsidRPr="003D6F77">
              <w:rPr>
                <w:rFonts w:ascii="Times New Roman" w:eastAsia="Times New Roman" w:hAnsi="Times New Roman"/>
                <w:sz w:val="24"/>
                <w:szCs w:val="24"/>
                <w:lang w:val="uk-UA"/>
              </w:rPr>
              <w:t>-</w:t>
            </w:r>
            <w:r w:rsidRPr="003D6F77">
              <w:rPr>
                <w:rFonts w:ascii="Times New Roman" w:eastAsia="Times New Roman" w:hAnsi="Times New Roman"/>
                <w:sz w:val="24"/>
                <w:szCs w:val="24"/>
                <w:lang w:val="en-US"/>
              </w:rPr>
              <w:t>980009,13</w:t>
            </w:r>
            <w:r w:rsidRPr="003D6F77">
              <w:rPr>
                <w:rFonts w:ascii="Times New Roman" w:eastAsia="Times New Roman" w:hAnsi="Times New Roman"/>
                <w:sz w:val="24"/>
                <w:szCs w:val="24"/>
                <w:lang w:val="uk-UA"/>
              </w:rPr>
              <w:t>)</w:t>
            </w:r>
          </w:p>
        </w:tc>
      </w:tr>
      <w:tr w:rsidR="00140B97" w:rsidRPr="003D6F77" w:rsidTr="00CC6EB9">
        <w:trPr>
          <w:jc w:val="center"/>
        </w:trPr>
        <w:tc>
          <w:tcPr>
            <w:tcW w:w="0" w:type="auto"/>
          </w:tcPr>
          <w:p w:rsidR="00140B97" w:rsidRPr="003D6F77" w:rsidRDefault="00140B97" w:rsidP="00F024FB">
            <w:pPr>
              <w:spacing w:line="360" w:lineRule="auto"/>
              <w:jc w:val="center"/>
              <w:rPr>
                <w:rFonts w:ascii="Times New Roman" w:hAnsi="Times New Roman"/>
                <w:sz w:val="24"/>
                <w:szCs w:val="24"/>
                <w:lang w:val="uk-UA"/>
              </w:rPr>
            </w:pPr>
            <w:r w:rsidRPr="003D6F77">
              <w:rPr>
                <w:rFonts w:ascii="Times New Roman" w:hAnsi="Times New Roman"/>
                <w:sz w:val="24"/>
                <w:szCs w:val="24"/>
                <w:lang w:val="uk-UA"/>
              </w:rPr>
              <w:t>2016</w:t>
            </w:r>
          </w:p>
          <w:p w:rsidR="00140B97" w:rsidRPr="003D6F77" w:rsidRDefault="00140B97" w:rsidP="00F024FB">
            <w:pPr>
              <w:spacing w:line="360" w:lineRule="auto"/>
              <w:jc w:val="center"/>
              <w:rPr>
                <w:rFonts w:ascii="Times New Roman" w:hAnsi="Times New Roman"/>
                <w:sz w:val="24"/>
                <w:szCs w:val="24"/>
                <w:lang w:val="uk-UA"/>
              </w:rPr>
            </w:pPr>
            <w:r w:rsidRPr="003D6F77">
              <w:rPr>
                <w:rFonts w:ascii="Times New Roman" w:hAnsi="Times New Roman"/>
                <w:sz w:val="24"/>
                <w:szCs w:val="24"/>
                <w:lang w:val="uk-UA"/>
              </w:rPr>
              <w:t>ДІ</w:t>
            </w:r>
          </w:p>
        </w:tc>
        <w:tc>
          <w:tcPr>
            <w:tcW w:w="0" w:type="auto"/>
          </w:tcPr>
          <w:p w:rsidR="00140B97" w:rsidRPr="003D6F77" w:rsidRDefault="00140B97" w:rsidP="00F024FB">
            <w:pPr>
              <w:spacing w:line="360" w:lineRule="auto"/>
              <w:jc w:val="center"/>
              <w:rPr>
                <w:rFonts w:ascii="Times New Roman" w:eastAsia="Times New Roman" w:hAnsi="Times New Roman"/>
                <w:sz w:val="24"/>
                <w:szCs w:val="24"/>
                <w:lang w:val="en-US"/>
              </w:rPr>
            </w:pPr>
            <w:r w:rsidRPr="003D6F77">
              <w:rPr>
                <w:rFonts w:ascii="Times New Roman" w:eastAsia="Times New Roman" w:hAnsi="Times New Roman"/>
                <w:sz w:val="24"/>
                <w:szCs w:val="24"/>
                <w:lang w:val="en-US"/>
              </w:rPr>
              <w:t>1907644,43</w:t>
            </w:r>
          </w:p>
          <w:p w:rsidR="00140B97" w:rsidRPr="003D6F77" w:rsidRDefault="00140B97" w:rsidP="00F024FB">
            <w:pPr>
              <w:spacing w:line="360" w:lineRule="auto"/>
              <w:jc w:val="center"/>
              <w:rPr>
                <w:rFonts w:ascii="Times New Roman" w:eastAsia="Times New Roman" w:hAnsi="Times New Roman"/>
                <w:sz w:val="24"/>
                <w:szCs w:val="24"/>
                <w:lang w:val="uk-UA"/>
              </w:rPr>
            </w:pPr>
            <w:r w:rsidRPr="003D6F77">
              <w:rPr>
                <w:rFonts w:ascii="Times New Roman" w:eastAsia="Times New Roman" w:hAnsi="Times New Roman"/>
                <w:sz w:val="24"/>
                <w:szCs w:val="24"/>
                <w:lang w:val="uk-UA"/>
              </w:rPr>
              <w:t>(</w:t>
            </w:r>
            <w:r w:rsidRPr="003D6F77">
              <w:rPr>
                <w:rFonts w:ascii="Times New Roman" w:eastAsia="Times New Roman" w:hAnsi="Times New Roman"/>
                <w:sz w:val="24"/>
                <w:szCs w:val="24"/>
                <w:lang w:val="en-US"/>
              </w:rPr>
              <w:t>2128796,00</w:t>
            </w:r>
            <w:r w:rsidRPr="003D6F77">
              <w:rPr>
                <w:rFonts w:ascii="Times New Roman" w:eastAsia="Times New Roman" w:hAnsi="Times New Roman"/>
                <w:sz w:val="24"/>
                <w:szCs w:val="24"/>
                <w:lang w:val="uk-UA"/>
              </w:rPr>
              <w:t>-</w:t>
            </w:r>
            <w:r w:rsidRPr="003D6F77">
              <w:rPr>
                <w:rFonts w:ascii="Times New Roman" w:eastAsia="Times New Roman" w:hAnsi="Times New Roman"/>
                <w:sz w:val="24"/>
                <w:szCs w:val="24"/>
                <w:lang w:val="en-US"/>
              </w:rPr>
              <w:t>1679569,51</w:t>
            </w:r>
            <w:r w:rsidRPr="003D6F77">
              <w:rPr>
                <w:rFonts w:ascii="Times New Roman" w:eastAsia="Times New Roman" w:hAnsi="Times New Roman"/>
                <w:sz w:val="24"/>
                <w:szCs w:val="24"/>
                <w:lang w:val="uk-UA"/>
              </w:rPr>
              <w:t>)</w:t>
            </w:r>
          </w:p>
        </w:tc>
        <w:tc>
          <w:tcPr>
            <w:tcW w:w="0" w:type="auto"/>
          </w:tcPr>
          <w:p w:rsidR="00140B97" w:rsidRPr="003D6F77" w:rsidRDefault="00140B97" w:rsidP="00F024FB">
            <w:pPr>
              <w:spacing w:line="360" w:lineRule="auto"/>
              <w:jc w:val="center"/>
              <w:rPr>
                <w:rFonts w:ascii="Times New Roman" w:eastAsia="Times New Roman" w:hAnsi="Times New Roman"/>
                <w:sz w:val="24"/>
                <w:szCs w:val="24"/>
                <w:lang w:val="en-US"/>
              </w:rPr>
            </w:pPr>
            <w:r w:rsidRPr="003D6F77">
              <w:rPr>
                <w:rFonts w:ascii="Times New Roman" w:eastAsia="Times New Roman" w:hAnsi="Times New Roman"/>
                <w:sz w:val="24"/>
                <w:szCs w:val="24"/>
                <w:lang w:val="en-US"/>
              </w:rPr>
              <w:t>2591292,58</w:t>
            </w:r>
          </w:p>
          <w:p w:rsidR="00140B97" w:rsidRPr="003D6F77" w:rsidRDefault="00140B97" w:rsidP="00F024FB">
            <w:pPr>
              <w:spacing w:line="360" w:lineRule="auto"/>
              <w:jc w:val="center"/>
              <w:rPr>
                <w:rFonts w:ascii="Times New Roman" w:eastAsia="Times New Roman" w:hAnsi="Times New Roman"/>
                <w:sz w:val="24"/>
                <w:szCs w:val="24"/>
                <w:lang w:val="uk-UA"/>
              </w:rPr>
            </w:pPr>
            <w:r w:rsidRPr="003D6F77">
              <w:rPr>
                <w:rFonts w:ascii="Times New Roman" w:eastAsia="Times New Roman" w:hAnsi="Times New Roman"/>
                <w:sz w:val="24"/>
                <w:szCs w:val="24"/>
                <w:lang w:val="uk-UA"/>
              </w:rPr>
              <w:t>(</w:t>
            </w:r>
            <w:r w:rsidRPr="003D6F77">
              <w:rPr>
                <w:rFonts w:ascii="Times New Roman" w:eastAsia="Times New Roman" w:hAnsi="Times New Roman"/>
                <w:sz w:val="24"/>
                <w:szCs w:val="24"/>
                <w:lang w:val="en-US"/>
              </w:rPr>
              <w:t>2955314,57</w:t>
            </w:r>
            <w:r w:rsidRPr="003D6F77">
              <w:rPr>
                <w:rFonts w:ascii="Times New Roman" w:eastAsia="Times New Roman" w:hAnsi="Times New Roman"/>
                <w:sz w:val="24"/>
                <w:szCs w:val="24"/>
                <w:lang w:val="uk-UA"/>
              </w:rPr>
              <w:t>-</w:t>
            </w:r>
            <w:r w:rsidRPr="003D6F77">
              <w:rPr>
                <w:rFonts w:ascii="Times New Roman" w:eastAsia="Times New Roman" w:hAnsi="Times New Roman"/>
                <w:sz w:val="24"/>
                <w:szCs w:val="24"/>
                <w:lang w:val="en-US"/>
              </w:rPr>
              <w:t>2211283,69</w:t>
            </w:r>
            <w:r w:rsidRPr="003D6F77">
              <w:rPr>
                <w:rFonts w:ascii="Times New Roman" w:eastAsia="Times New Roman" w:hAnsi="Times New Roman"/>
                <w:sz w:val="24"/>
                <w:szCs w:val="24"/>
                <w:lang w:val="uk-UA"/>
              </w:rPr>
              <w:t>)</w:t>
            </w:r>
          </w:p>
        </w:tc>
        <w:tc>
          <w:tcPr>
            <w:tcW w:w="0" w:type="auto"/>
          </w:tcPr>
          <w:p w:rsidR="00140B97" w:rsidRPr="003D6F77" w:rsidRDefault="00140B97" w:rsidP="00F024FB">
            <w:pPr>
              <w:shd w:val="clear" w:color="auto" w:fill="FFFFFF"/>
              <w:spacing w:line="360" w:lineRule="auto"/>
              <w:jc w:val="center"/>
              <w:rPr>
                <w:rFonts w:ascii="Times New Roman" w:eastAsia="Times New Roman" w:hAnsi="Times New Roman"/>
                <w:sz w:val="24"/>
                <w:szCs w:val="24"/>
                <w:lang w:val="en-US"/>
              </w:rPr>
            </w:pPr>
            <w:r w:rsidRPr="003D6F77">
              <w:rPr>
                <w:rFonts w:ascii="Times New Roman" w:eastAsia="Times New Roman" w:hAnsi="Times New Roman"/>
                <w:sz w:val="24"/>
                <w:szCs w:val="24"/>
                <w:lang w:val="en-US"/>
              </w:rPr>
              <w:t>1178664,24</w:t>
            </w:r>
          </w:p>
          <w:p w:rsidR="00140B97" w:rsidRPr="003D6F77" w:rsidRDefault="00140B97" w:rsidP="00F024FB">
            <w:pPr>
              <w:shd w:val="clear" w:color="auto" w:fill="FFFFFF"/>
              <w:spacing w:line="360" w:lineRule="auto"/>
              <w:jc w:val="center"/>
              <w:rPr>
                <w:rFonts w:ascii="Times New Roman" w:eastAsia="Times New Roman" w:hAnsi="Times New Roman"/>
                <w:sz w:val="24"/>
                <w:szCs w:val="24"/>
                <w:lang w:val="uk-UA"/>
              </w:rPr>
            </w:pPr>
            <w:r w:rsidRPr="003D6F77">
              <w:rPr>
                <w:rFonts w:ascii="Times New Roman" w:eastAsia="Times New Roman" w:hAnsi="Times New Roman"/>
                <w:sz w:val="24"/>
                <w:szCs w:val="24"/>
                <w:lang w:val="uk-UA"/>
              </w:rPr>
              <w:t>(</w:t>
            </w:r>
            <w:r w:rsidRPr="003D6F77">
              <w:rPr>
                <w:rFonts w:ascii="Times New Roman" w:eastAsia="Times New Roman" w:hAnsi="Times New Roman"/>
                <w:sz w:val="24"/>
                <w:szCs w:val="24"/>
                <w:lang w:val="en-US"/>
              </w:rPr>
              <w:t>1433082,92</w:t>
            </w:r>
            <w:r w:rsidRPr="003D6F77">
              <w:rPr>
                <w:rFonts w:ascii="Times New Roman" w:eastAsia="Times New Roman" w:hAnsi="Times New Roman"/>
                <w:sz w:val="24"/>
                <w:szCs w:val="24"/>
                <w:lang w:val="uk-UA"/>
              </w:rPr>
              <w:t>-</w:t>
            </w:r>
            <w:r w:rsidRPr="003D6F77">
              <w:rPr>
                <w:rFonts w:ascii="Times New Roman" w:eastAsia="Times New Roman" w:hAnsi="Times New Roman"/>
                <w:sz w:val="24"/>
                <w:szCs w:val="24"/>
                <w:lang w:val="en-US"/>
              </w:rPr>
              <w:t>937001,08</w:t>
            </w:r>
            <w:r w:rsidRPr="003D6F77">
              <w:rPr>
                <w:rFonts w:ascii="Times New Roman" w:eastAsia="Times New Roman" w:hAnsi="Times New Roman"/>
                <w:sz w:val="24"/>
                <w:szCs w:val="24"/>
                <w:lang w:val="uk-UA"/>
              </w:rPr>
              <w:t>)</w:t>
            </w:r>
          </w:p>
        </w:tc>
      </w:tr>
      <w:tr w:rsidR="00140B97" w:rsidRPr="003D6F77" w:rsidTr="00CC6EB9">
        <w:trPr>
          <w:jc w:val="center"/>
        </w:trPr>
        <w:tc>
          <w:tcPr>
            <w:tcW w:w="0" w:type="auto"/>
          </w:tcPr>
          <w:p w:rsidR="00140B97" w:rsidRPr="003D6F77" w:rsidRDefault="00140B97" w:rsidP="00F024FB">
            <w:pPr>
              <w:spacing w:line="360" w:lineRule="auto"/>
              <w:jc w:val="center"/>
              <w:rPr>
                <w:rFonts w:ascii="Times New Roman" w:hAnsi="Times New Roman"/>
                <w:sz w:val="24"/>
                <w:szCs w:val="24"/>
                <w:lang w:val="uk-UA"/>
              </w:rPr>
            </w:pPr>
            <w:r w:rsidRPr="003D6F77">
              <w:rPr>
                <w:rFonts w:ascii="Times New Roman" w:hAnsi="Times New Roman"/>
                <w:sz w:val="24"/>
                <w:szCs w:val="24"/>
                <w:lang w:val="uk-UA"/>
              </w:rPr>
              <w:t>2017</w:t>
            </w:r>
          </w:p>
          <w:p w:rsidR="00140B97" w:rsidRPr="003D6F77" w:rsidRDefault="00140B97" w:rsidP="00F024FB">
            <w:pPr>
              <w:spacing w:line="360" w:lineRule="auto"/>
              <w:jc w:val="center"/>
              <w:rPr>
                <w:rFonts w:ascii="Times New Roman" w:hAnsi="Times New Roman"/>
                <w:sz w:val="24"/>
                <w:szCs w:val="24"/>
                <w:lang w:val="uk-UA"/>
              </w:rPr>
            </w:pPr>
            <w:r w:rsidRPr="003D6F77">
              <w:rPr>
                <w:rFonts w:ascii="Times New Roman" w:hAnsi="Times New Roman"/>
                <w:sz w:val="24"/>
                <w:szCs w:val="24"/>
                <w:lang w:val="uk-UA"/>
              </w:rPr>
              <w:t>ДІ</w:t>
            </w:r>
          </w:p>
        </w:tc>
        <w:tc>
          <w:tcPr>
            <w:tcW w:w="0" w:type="auto"/>
          </w:tcPr>
          <w:p w:rsidR="00140B97" w:rsidRPr="003D6F77" w:rsidRDefault="00140B97" w:rsidP="00F024FB">
            <w:pPr>
              <w:shd w:val="clear" w:color="auto" w:fill="FFFFFF"/>
              <w:spacing w:line="360" w:lineRule="auto"/>
              <w:jc w:val="center"/>
              <w:rPr>
                <w:rFonts w:ascii="Times New Roman" w:eastAsia="Times New Roman" w:hAnsi="Times New Roman"/>
                <w:sz w:val="24"/>
                <w:szCs w:val="24"/>
                <w:lang w:val="en-US"/>
              </w:rPr>
            </w:pPr>
            <w:r w:rsidRPr="003D6F77">
              <w:rPr>
                <w:rFonts w:ascii="Times New Roman" w:eastAsia="Times New Roman" w:hAnsi="Times New Roman"/>
                <w:sz w:val="24"/>
                <w:szCs w:val="24"/>
                <w:lang w:val="en-US"/>
              </w:rPr>
              <w:t>1815362,28</w:t>
            </w:r>
          </w:p>
          <w:p w:rsidR="00140B97" w:rsidRPr="003D6F77" w:rsidRDefault="00140B97" w:rsidP="00F024FB">
            <w:pPr>
              <w:shd w:val="clear" w:color="auto" w:fill="FFFFFF"/>
              <w:spacing w:line="360" w:lineRule="auto"/>
              <w:jc w:val="center"/>
              <w:rPr>
                <w:rFonts w:ascii="Times New Roman" w:eastAsia="Times New Roman" w:hAnsi="Times New Roman"/>
                <w:sz w:val="24"/>
                <w:szCs w:val="24"/>
                <w:lang w:val="uk-UA"/>
              </w:rPr>
            </w:pPr>
            <w:r w:rsidRPr="003D6F77">
              <w:rPr>
                <w:rFonts w:ascii="Times New Roman" w:eastAsia="Times New Roman" w:hAnsi="Times New Roman"/>
                <w:sz w:val="24"/>
                <w:szCs w:val="24"/>
                <w:lang w:val="uk-UA"/>
              </w:rPr>
              <w:t>(</w:t>
            </w:r>
            <w:r w:rsidRPr="003D6F77">
              <w:rPr>
                <w:rFonts w:ascii="Times New Roman" w:eastAsia="Times New Roman" w:hAnsi="Times New Roman"/>
                <w:sz w:val="24"/>
                <w:szCs w:val="24"/>
                <w:lang w:val="en-US"/>
              </w:rPr>
              <w:t>2110624,19</w:t>
            </w:r>
            <w:r w:rsidRPr="003D6F77">
              <w:rPr>
                <w:rFonts w:ascii="Times New Roman" w:eastAsia="Times New Roman" w:hAnsi="Times New Roman"/>
                <w:sz w:val="24"/>
                <w:szCs w:val="24"/>
                <w:lang w:val="uk-UA"/>
              </w:rPr>
              <w:t>-</w:t>
            </w:r>
            <w:r w:rsidRPr="003D6F77">
              <w:rPr>
                <w:rFonts w:ascii="Times New Roman" w:eastAsia="Times New Roman" w:hAnsi="Times New Roman"/>
                <w:sz w:val="24"/>
                <w:szCs w:val="24"/>
                <w:lang w:val="en-US"/>
              </w:rPr>
              <w:t>1547151,71</w:t>
            </w:r>
            <w:r w:rsidRPr="003D6F77">
              <w:rPr>
                <w:rFonts w:ascii="Times New Roman" w:eastAsia="Times New Roman" w:hAnsi="Times New Roman"/>
                <w:sz w:val="24"/>
                <w:szCs w:val="24"/>
                <w:lang w:val="uk-UA"/>
              </w:rPr>
              <w:t>)</w:t>
            </w:r>
          </w:p>
        </w:tc>
        <w:tc>
          <w:tcPr>
            <w:tcW w:w="0" w:type="auto"/>
          </w:tcPr>
          <w:p w:rsidR="00140B97" w:rsidRPr="003D6F77" w:rsidRDefault="00140B97" w:rsidP="00F024FB">
            <w:pPr>
              <w:shd w:val="clear" w:color="auto" w:fill="FFFFFF"/>
              <w:spacing w:line="360" w:lineRule="auto"/>
              <w:jc w:val="center"/>
              <w:rPr>
                <w:rFonts w:ascii="Times New Roman" w:eastAsia="Times New Roman" w:hAnsi="Times New Roman"/>
                <w:sz w:val="24"/>
                <w:szCs w:val="24"/>
                <w:lang w:val="en-US"/>
              </w:rPr>
            </w:pPr>
            <w:r w:rsidRPr="003D6F77">
              <w:rPr>
                <w:rFonts w:ascii="Times New Roman" w:eastAsia="Times New Roman" w:hAnsi="Times New Roman"/>
                <w:sz w:val="24"/>
                <w:szCs w:val="24"/>
                <w:lang w:val="en-US"/>
              </w:rPr>
              <w:t>2459506,77</w:t>
            </w:r>
          </w:p>
          <w:p w:rsidR="00140B97" w:rsidRPr="003D6F77" w:rsidRDefault="00140B97" w:rsidP="00F024FB">
            <w:pPr>
              <w:shd w:val="clear" w:color="auto" w:fill="FFFFFF"/>
              <w:spacing w:line="360" w:lineRule="auto"/>
              <w:jc w:val="center"/>
              <w:rPr>
                <w:rFonts w:ascii="Times New Roman" w:eastAsia="Times New Roman" w:hAnsi="Times New Roman"/>
                <w:sz w:val="24"/>
                <w:szCs w:val="24"/>
                <w:lang w:val="uk-UA"/>
              </w:rPr>
            </w:pPr>
            <w:r w:rsidRPr="003D6F77">
              <w:rPr>
                <w:rFonts w:ascii="Times New Roman" w:eastAsia="Times New Roman" w:hAnsi="Times New Roman"/>
                <w:sz w:val="24"/>
                <w:szCs w:val="24"/>
                <w:lang w:val="uk-UA"/>
              </w:rPr>
              <w:t>(</w:t>
            </w:r>
            <w:r w:rsidRPr="003D6F77">
              <w:rPr>
                <w:rFonts w:ascii="Times New Roman" w:eastAsia="Times New Roman" w:hAnsi="Times New Roman"/>
                <w:sz w:val="24"/>
                <w:szCs w:val="24"/>
                <w:lang w:val="en-US"/>
              </w:rPr>
              <w:t>2874765,59</w:t>
            </w:r>
            <w:r w:rsidRPr="003D6F77">
              <w:rPr>
                <w:rFonts w:ascii="Times New Roman" w:eastAsia="Times New Roman" w:hAnsi="Times New Roman"/>
                <w:sz w:val="24"/>
                <w:szCs w:val="24"/>
                <w:lang w:val="uk-UA"/>
              </w:rPr>
              <w:t>-</w:t>
            </w:r>
            <w:r w:rsidRPr="003D6F77">
              <w:rPr>
                <w:rFonts w:ascii="Times New Roman" w:eastAsia="Times New Roman" w:hAnsi="Times New Roman"/>
                <w:sz w:val="24"/>
                <w:szCs w:val="24"/>
                <w:lang w:val="en-US"/>
              </w:rPr>
              <w:t>2062607,00</w:t>
            </w:r>
            <w:r w:rsidRPr="003D6F77">
              <w:rPr>
                <w:rFonts w:ascii="Times New Roman" w:eastAsia="Times New Roman" w:hAnsi="Times New Roman"/>
                <w:sz w:val="24"/>
                <w:szCs w:val="24"/>
                <w:lang w:val="uk-UA"/>
              </w:rPr>
              <w:t>)</w:t>
            </w:r>
          </w:p>
        </w:tc>
        <w:tc>
          <w:tcPr>
            <w:tcW w:w="0" w:type="auto"/>
          </w:tcPr>
          <w:p w:rsidR="00140B97" w:rsidRPr="003D6F77" w:rsidRDefault="00140B97" w:rsidP="00F024FB">
            <w:pPr>
              <w:spacing w:line="360" w:lineRule="auto"/>
              <w:jc w:val="center"/>
              <w:rPr>
                <w:rFonts w:ascii="Times New Roman" w:eastAsia="Times New Roman" w:hAnsi="Times New Roman"/>
                <w:sz w:val="24"/>
                <w:szCs w:val="24"/>
                <w:lang w:val="en-US"/>
              </w:rPr>
            </w:pPr>
            <w:r w:rsidRPr="003D6F77">
              <w:rPr>
                <w:rFonts w:ascii="Times New Roman" w:eastAsia="Times New Roman" w:hAnsi="Times New Roman"/>
                <w:sz w:val="24"/>
                <w:szCs w:val="24"/>
                <w:lang w:val="en-US"/>
              </w:rPr>
              <w:t>1128077,25</w:t>
            </w:r>
          </w:p>
          <w:p w:rsidR="00140B97" w:rsidRPr="003D6F77" w:rsidRDefault="00140B97" w:rsidP="00F024FB">
            <w:pPr>
              <w:spacing w:line="360" w:lineRule="auto"/>
              <w:jc w:val="center"/>
              <w:rPr>
                <w:rFonts w:ascii="Times New Roman" w:eastAsia="Times New Roman" w:hAnsi="Times New Roman"/>
                <w:sz w:val="24"/>
                <w:szCs w:val="24"/>
                <w:lang w:val="uk-UA"/>
              </w:rPr>
            </w:pPr>
            <w:r w:rsidRPr="003D6F77">
              <w:rPr>
                <w:rFonts w:ascii="Times New Roman" w:eastAsia="Times New Roman" w:hAnsi="Times New Roman"/>
                <w:sz w:val="24"/>
                <w:szCs w:val="24"/>
                <w:lang w:val="uk-UA"/>
              </w:rPr>
              <w:t>(</w:t>
            </w:r>
            <w:r w:rsidRPr="003D6F77">
              <w:rPr>
                <w:rFonts w:ascii="Times New Roman" w:eastAsia="Times New Roman" w:hAnsi="Times New Roman"/>
                <w:sz w:val="24"/>
                <w:szCs w:val="24"/>
                <w:lang w:val="en-US"/>
              </w:rPr>
              <w:t>1397283,75</w:t>
            </w:r>
            <w:r w:rsidRPr="003D6F77">
              <w:rPr>
                <w:rFonts w:ascii="Times New Roman" w:eastAsia="Times New Roman" w:hAnsi="Times New Roman"/>
                <w:sz w:val="24"/>
                <w:szCs w:val="24"/>
                <w:lang w:val="uk-UA"/>
              </w:rPr>
              <w:t>-</w:t>
            </w:r>
            <w:r w:rsidRPr="003D6F77">
              <w:rPr>
                <w:rFonts w:ascii="Times New Roman" w:eastAsia="Times New Roman" w:hAnsi="Times New Roman"/>
                <w:sz w:val="24"/>
                <w:szCs w:val="24"/>
                <w:lang w:val="en-US"/>
              </w:rPr>
              <w:t>883993,99</w:t>
            </w:r>
            <w:r w:rsidRPr="003D6F77">
              <w:rPr>
                <w:rFonts w:ascii="Times New Roman" w:eastAsia="Times New Roman" w:hAnsi="Times New Roman"/>
                <w:sz w:val="24"/>
                <w:szCs w:val="24"/>
                <w:lang w:val="uk-UA"/>
              </w:rPr>
              <w:t>)</w:t>
            </w:r>
          </w:p>
        </w:tc>
      </w:tr>
      <w:tr w:rsidR="00140B97" w:rsidRPr="003D6F77" w:rsidTr="00CC6EB9">
        <w:trPr>
          <w:jc w:val="center"/>
        </w:trPr>
        <w:tc>
          <w:tcPr>
            <w:tcW w:w="0" w:type="auto"/>
          </w:tcPr>
          <w:p w:rsidR="00140B97" w:rsidRPr="003D6F77" w:rsidRDefault="00140B97" w:rsidP="00F024FB">
            <w:pPr>
              <w:spacing w:line="360" w:lineRule="auto"/>
              <w:jc w:val="center"/>
              <w:rPr>
                <w:rFonts w:ascii="Times New Roman" w:hAnsi="Times New Roman"/>
                <w:sz w:val="24"/>
                <w:szCs w:val="24"/>
                <w:lang w:val="uk-UA"/>
              </w:rPr>
            </w:pPr>
            <w:r w:rsidRPr="003D6F77">
              <w:rPr>
                <w:rFonts w:ascii="Times New Roman" w:hAnsi="Times New Roman"/>
                <w:sz w:val="24"/>
                <w:szCs w:val="24"/>
                <w:lang w:val="uk-UA"/>
              </w:rPr>
              <w:t>2018</w:t>
            </w:r>
          </w:p>
          <w:p w:rsidR="00140B97" w:rsidRPr="003D6F77" w:rsidRDefault="00140B97" w:rsidP="00F024FB">
            <w:pPr>
              <w:spacing w:line="360" w:lineRule="auto"/>
              <w:jc w:val="center"/>
              <w:rPr>
                <w:rFonts w:ascii="Times New Roman" w:hAnsi="Times New Roman"/>
                <w:sz w:val="24"/>
                <w:szCs w:val="24"/>
                <w:lang w:val="uk-UA"/>
              </w:rPr>
            </w:pPr>
            <w:r w:rsidRPr="003D6F77">
              <w:rPr>
                <w:rFonts w:ascii="Times New Roman" w:hAnsi="Times New Roman"/>
                <w:sz w:val="24"/>
                <w:szCs w:val="24"/>
                <w:lang w:val="uk-UA"/>
              </w:rPr>
              <w:t>ДІ</w:t>
            </w:r>
          </w:p>
        </w:tc>
        <w:tc>
          <w:tcPr>
            <w:tcW w:w="0" w:type="auto"/>
          </w:tcPr>
          <w:p w:rsidR="00140B97" w:rsidRPr="003D6F77" w:rsidRDefault="00140B97" w:rsidP="00F024FB">
            <w:pPr>
              <w:shd w:val="clear" w:color="auto" w:fill="FFFFFF"/>
              <w:spacing w:line="360" w:lineRule="auto"/>
              <w:jc w:val="center"/>
              <w:rPr>
                <w:rFonts w:ascii="Times New Roman" w:eastAsia="Times New Roman" w:hAnsi="Times New Roman"/>
                <w:sz w:val="24"/>
                <w:szCs w:val="24"/>
                <w:lang w:val="en-US"/>
              </w:rPr>
            </w:pPr>
            <w:r w:rsidRPr="003D6F77">
              <w:rPr>
                <w:rFonts w:ascii="Times New Roman" w:eastAsia="Times New Roman" w:hAnsi="Times New Roman"/>
                <w:sz w:val="24"/>
                <w:szCs w:val="24"/>
                <w:lang w:val="en-US"/>
              </w:rPr>
              <w:t>1747369,48</w:t>
            </w:r>
          </w:p>
          <w:p w:rsidR="00140B97" w:rsidRPr="003D6F77" w:rsidRDefault="00140B97" w:rsidP="00F024FB">
            <w:pPr>
              <w:shd w:val="clear" w:color="auto" w:fill="FFFFFF"/>
              <w:spacing w:line="360" w:lineRule="auto"/>
              <w:jc w:val="center"/>
              <w:rPr>
                <w:rFonts w:ascii="Times New Roman" w:eastAsia="Times New Roman" w:hAnsi="Times New Roman"/>
                <w:sz w:val="24"/>
                <w:szCs w:val="24"/>
                <w:lang w:val="uk-UA"/>
              </w:rPr>
            </w:pPr>
            <w:r w:rsidRPr="003D6F77">
              <w:rPr>
                <w:rFonts w:ascii="Times New Roman" w:eastAsia="Times New Roman" w:hAnsi="Times New Roman"/>
                <w:sz w:val="24"/>
                <w:szCs w:val="24"/>
                <w:lang w:val="uk-UA"/>
              </w:rPr>
              <w:t>(</w:t>
            </w:r>
            <w:r w:rsidRPr="003D6F77">
              <w:rPr>
                <w:rFonts w:ascii="Times New Roman" w:eastAsia="Times New Roman" w:hAnsi="Times New Roman"/>
                <w:sz w:val="24"/>
                <w:szCs w:val="24"/>
                <w:lang w:val="en-US"/>
              </w:rPr>
              <w:t>2095334,17</w:t>
            </w:r>
            <w:r w:rsidRPr="003D6F77">
              <w:rPr>
                <w:rFonts w:ascii="Times New Roman" w:eastAsia="Times New Roman" w:hAnsi="Times New Roman"/>
                <w:sz w:val="24"/>
                <w:szCs w:val="24"/>
                <w:lang w:val="uk-UA"/>
              </w:rPr>
              <w:t>-</w:t>
            </w:r>
            <w:r w:rsidRPr="003D6F77">
              <w:rPr>
                <w:rFonts w:ascii="Times New Roman" w:eastAsia="Times New Roman" w:hAnsi="Times New Roman"/>
                <w:sz w:val="24"/>
                <w:szCs w:val="24"/>
                <w:lang w:val="en-US"/>
              </w:rPr>
              <w:t>1463621,58</w:t>
            </w:r>
            <w:r w:rsidRPr="003D6F77">
              <w:rPr>
                <w:rFonts w:ascii="Times New Roman" w:eastAsia="Times New Roman" w:hAnsi="Times New Roman"/>
                <w:sz w:val="24"/>
                <w:szCs w:val="24"/>
                <w:lang w:val="uk-UA"/>
              </w:rPr>
              <w:t>)</w:t>
            </w:r>
          </w:p>
        </w:tc>
        <w:tc>
          <w:tcPr>
            <w:tcW w:w="0" w:type="auto"/>
          </w:tcPr>
          <w:p w:rsidR="00140B97" w:rsidRPr="003D6F77" w:rsidRDefault="00140B97" w:rsidP="00F024FB">
            <w:pPr>
              <w:shd w:val="clear" w:color="auto" w:fill="FFFFFF"/>
              <w:spacing w:line="360" w:lineRule="auto"/>
              <w:jc w:val="center"/>
              <w:rPr>
                <w:rFonts w:ascii="Times New Roman" w:eastAsia="Times New Roman" w:hAnsi="Times New Roman"/>
                <w:sz w:val="24"/>
                <w:szCs w:val="24"/>
                <w:lang w:val="en-US"/>
              </w:rPr>
            </w:pPr>
            <w:r w:rsidRPr="003D6F77">
              <w:rPr>
                <w:rFonts w:ascii="Times New Roman" w:eastAsia="Times New Roman" w:hAnsi="Times New Roman"/>
                <w:sz w:val="24"/>
                <w:szCs w:val="24"/>
                <w:lang w:val="en-US"/>
              </w:rPr>
              <w:t>2365076,21</w:t>
            </w:r>
          </w:p>
          <w:p w:rsidR="00140B97" w:rsidRPr="003D6F77" w:rsidRDefault="00140B97" w:rsidP="00F024FB">
            <w:pPr>
              <w:shd w:val="clear" w:color="auto" w:fill="FFFFFF"/>
              <w:spacing w:line="360" w:lineRule="auto"/>
              <w:jc w:val="center"/>
              <w:rPr>
                <w:rFonts w:ascii="Times New Roman" w:eastAsia="Times New Roman" w:hAnsi="Times New Roman"/>
                <w:sz w:val="24"/>
                <w:szCs w:val="24"/>
                <w:lang w:val="uk-UA"/>
              </w:rPr>
            </w:pPr>
            <w:r w:rsidRPr="003D6F77">
              <w:rPr>
                <w:rFonts w:ascii="Times New Roman" w:eastAsia="Times New Roman" w:hAnsi="Times New Roman"/>
                <w:sz w:val="24"/>
                <w:szCs w:val="24"/>
                <w:lang w:val="uk-UA"/>
              </w:rPr>
              <w:t>(</w:t>
            </w:r>
            <w:r w:rsidRPr="003D6F77">
              <w:rPr>
                <w:rFonts w:ascii="Times New Roman" w:eastAsia="Times New Roman" w:hAnsi="Times New Roman"/>
                <w:sz w:val="24"/>
                <w:szCs w:val="24"/>
                <w:lang w:val="en-US"/>
              </w:rPr>
              <w:t>2850962,61</w:t>
            </w:r>
            <w:r w:rsidRPr="003D6F77">
              <w:rPr>
                <w:rFonts w:ascii="Times New Roman" w:eastAsia="Times New Roman" w:hAnsi="Times New Roman"/>
                <w:sz w:val="24"/>
                <w:szCs w:val="24"/>
                <w:lang w:val="uk-UA"/>
              </w:rPr>
              <w:t>-</w:t>
            </w:r>
            <w:r w:rsidRPr="003D6F77">
              <w:rPr>
                <w:rFonts w:ascii="Times New Roman" w:eastAsia="Times New Roman" w:hAnsi="Times New Roman"/>
                <w:sz w:val="24"/>
                <w:szCs w:val="24"/>
                <w:lang w:val="en-US"/>
              </w:rPr>
              <w:t>1951404,75</w:t>
            </w:r>
            <w:r w:rsidRPr="003D6F77">
              <w:rPr>
                <w:rFonts w:ascii="Times New Roman" w:eastAsia="Times New Roman" w:hAnsi="Times New Roman"/>
                <w:sz w:val="24"/>
                <w:szCs w:val="24"/>
                <w:lang w:val="uk-UA"/>
              </w:rPr>
              <w:t>)</w:t>
            </w:r>
          </w:p>
        </w:tc>
        <w:tc>
          <w:tcPr>
            <w:tcW w:w="0" w:type="auto"/>
          </w:tcPr>
          <w:p w:rsidR="00140B97" w:rsidRPr="003D6F77" w:rsidRDefault="00140B97" w:rsidP="00F024FB">
            <w:pPr>
              <w:spacing w:line="360" w:lineRule="auto"/>
              <w:jc w:val="center"/>
              <w:rPr>
                <w:rFonts w:ascii="Times New Roman" w:eastAsia="Times New Roman" w:hAnsi="Times New Roman"/>
                <w:sz w:val="24"/>
                <w:szCs w:val="24"/>
                <w:lang w:val="en-US"/>
              </w:rPr>
            </w:pPr>
            <w:r w:rsidRPr="003D6F77">
              <w:rPr>
                <w:rFonts w:ascii="Times New Roman" w:eastAsia="Times New Roman" w:hAnsi="Times New Roman"/>
                <w:sz w:val="24"/>
                <w:szCs w:val="24"/>
                <w:lang w:val="en-US"/>
              </w:rPr>
              <w:t>1088224,15</w:t>
            </w:r>
          </w:p>
          <w:p w:rsidR="00140B97" w:rsidRPr="003D6F77" w:rsidRDefault="00140B97" w:rsidP="00F024FB">
            <w:pPr>
              <w:spacing w:line="360" w:lineRule="auto"/>
              <w:jc w:val="center"/>
              <w:rPr>
                <w:rFonts w:ascii="Times New Roman" w:eastAsia="Times New Roman" w:hAnsi="Times New Roman"/>
                <w:sz w:val="24"/>
                <w:szCs w:val="24"/>
                <w:lang w:val="uk-UA"/>
              </w:rPr>
            </w:pPr>
            <w:r w:rsidRPr="003D6F77">
              <w:rPr>
                <w:rFonts w:ascii="Times New Roman" w:eastAsia="Times New Roman" w:hAnsi="Times New Roman"/>
                <w:sz w:val="24"/>
                <w:szCs w:val="24"/>
                <w:lang w:val="uk-UA"/>
              </w:rPr>
              <w:t>(</w:t>
            </w:r>
            <w:r w:rsidRPr="003D6F77">
              <w:rPr>
                <w:rFonts w:ascii="Times New Roman" w:eastAsia="Times New Roman" w:hAnsi="Times New Roman"/>
                <w:sz w:val="24"/>
                <w:szCs w:val="24"/>
                <w:lang w:val="en-US"/>
              </w:rPr>
              <w:t>1368189,83</w:t>
            </w:r>
            <w:r w:rsidRPr="003D6F77">
              <w:rPr>
                <w:rFonts w:ascii="Times New Roman" w:eastAsia="Times New Roman" w:hAnsi="Times New Roman"/>
                <w:sz w:val="24"/>
                <w:szCs w:val="24"/>
                <w:lang w:val="uk-UA"/>
              </w:rPr>
              <w:t>-</w:t>
            </w:r>
            <w:r w:rsidRPr="003D6F77">
              <w:rPr>
                <w:rFonts w:ascii="Times New Roman" w:eastAsia="Times New Roman" w:hAnsi="Times New Roman"/>
                <w:sz w:val="24"/>
                <w:szCs w:val="24"/>
                <w:lang w:val="en-US"/>
              </w:rPr>
              <w:t>853727,53</w:t>
            </w:r>
            <w:r w:rsidRPr="003D6F77">
              <w:rPr>
                <w:rFonts w:ascii="Times New Roman" w:eastAsia="Times New Roman" w:hAnsi="Times New Roman"/>
                <w:sz w:val="24"/>
                <w:szCs w:val="24"/>
                <w:lang w:val="uk-UA"/>
              </w:rPr>
              <w:t>)</w:t>
            </w:r>
          </w:p>
        </w:tc>
      </w:tr>
      <w:tr w:rsidR="00140B97" w:rsidRPr="003D6F77" w:rsidTr="00CC6EB9">
        <w:trPr>
          <w:jc w:val="center"/>
        </w:trPr>
        <w:tc>
          <w:tcPr>
            <w:tcW w:w="0" w:type="auto"/>
          </w:tcPr>
          <w:p w:rsidR="00140B97" w:rsidRPr="003D6F77" w:rsidRDefault="00140B97" w:rsidP="00F024FB">
            <w:pPr>
              <w:spacing w:line="360" w:lineRule="auto"/>
              <w:jc w:val="center"/>
              <w:rPr>
                <w:rFonts w:ascii="Times New Roman" w:hAnsi="Times New Roman"/>
                <w:sz w:val="24"/>
                <w:szCs w:val="24"/>
                <w:lang w:val="uk-UA"/>
              </w:rPr>
            </w:pPr>
            <w:r w:rsidRPr="003D6F77">
              <w:rPr>
                <w:rFonts w:ascii="Times New Roman" w:hAnsi="Times New Roman"/>
                <w:sz w:val="24"/>
                <w:szCs w:val="24"/>
                <w:lang w:val="uk-UA"/>
              </w:rPr>
              <w:t>2019</w:t>
            </w:r>
          </w:p>
          <w:p w:rsidR="00140B97" w:rsidRPr="003D6F77" w:rsidRDefault="00140B97" w:rsidP="00F024FB">
            <w:pPr>
              <w:spacing w:line="360" w:lineRule="auto"/>
              <w:jc w:val="center"/>
              <w:rPr>
                <w:rFonts w:ascii="Times New Roman" w:hAnsi="Times New Roman"/>
                <w:sz w:val="24"/>
                <w:szCs w:val="24"/>
                <w:lang w:val="uk-UA"/>
              </w:rPr>
            </w:pPr>
            <w:r w:rsidRPr="003D6F77">
              <w:rPr>
                <w:rFonts w:ascii="Times New Roman" w:hAnsi="Times New Roman"/>
                <w:sz w:val="24"/>
                <w:szCs w:val="24"/>
                <w:lang w:val="uk-UA"/>
              </w:rPr>
              <w:t>ДІ</w:t>
            </w:r>
          </w:p>
        </w:tc>
        <w:tc>
          <w:tcPr>
            <w:tcW w:w="0" w:type="auto"/>
          </w:tcPr>
          <w:p w:rsidR="00140B97" w:rsidRPr="003D6F77" w:rsidRDefault="00140B97" w:rsidP="00F024FB">
            <w:pPr>
              <w:spacing w:line="360" w:lineRule="auto"/>
              <w:jc w:val="center"/>
              <w:rPr>
                <w:rFonts w:ascii="Times New Roman" w:eastAsia="Times New Roman" w:hAnsi="Times New Roman"/>
                <w:sz w:val="24"/>
                <w:szCs w:val="24"/>
                <w:lang w:val="en-US"/>
              </w:rPr>
            </w:pPr>
            <w:r w:rsidRPr="003D6F77">
              <w:rPr>
                <w:rFonts w:ascii="Times New Roman" w:eastAsia="Times New Roman" w:hAnsi="Times New Roman"/>
                <w:sz w:val="24"/>
                <w:szCs w:val="24"/>
                <w:lang w:val="en-US"/>
              </w:rPr>
              <w:t>1687442,38</w:t>
            </w:r>
          </w:p>
          <w:p w:rsidR="00140B97" w:rsidRPr="003D6F77" w:rsidRDefault="00140B97" w:rsidP="00F024FB">
            <w:pPr>
              <w:spacing w:line="360" w:lineRule="auto"/>
              <w:jc w:val="center"/>
              <w:rPr>
                <w:rFonts w:ascii="Times New Roman" w:eastAsia="Times New Roman" w:hAnsi="Times New Roman"/>
                <w:sz w:val="24"/>
                <w:szCs w:val="24"/>
                <w:lang w:val="uk-UA"/>
              </w:rPr>
            </w:pPr>
            <w:r w:rsidRPr="003D6F77">
              <w:rPr>
                <w:rFonts w:ascii="Times New Roman" w:eastAsia="Times New Roman" w:hAnsi="Times New Roman"/>
                <w:sz w:val="24"/>
                <w:szCs w:val="24"/>
                <w:lang w:val="uk-UA"/>
              </w:rPr>
              <w:t>(</w:t>
            </w:r>
            <w:r w:rsidRPr="003D6F77">
              <w:rPr>
                <w:rFonts w:ascii="Times New Roman" w:eastAsia="Times New Roman" w:hAnsi="Times New Roman"/>
                <w:sz w:val="24"/>
                <w:szCs w:val="24"/>
                <w:lang w:val="en-US"/>
              </w:rPr>
              <w:t>2066830,77</w:t>
            </w:r>
            <w:r w:rsidRPr="003D6F77">
              <w:rPr>
                <w:rFonts w:ascii="Times New Roman" w:eastAsia="Times New Roman" w:hAnsi="Times New Roman"/>
                <w:sz w:val="24"/>
                <w:szCs w:val="24"/>
                <w:lang w:val="uk-UA"/>
              </w:rPr>
              <w:t>-</w:t>
            </w:r>
            <w:r w:rsidRPr="003D6F77">
              <w:rPr>
                <w:rFonts w:ascii="Times New Roman" w:eastAsia="Times New Roman" w:hAnsi="Times New Roman"/>
                <w:sz w:val="24"/>
                <w:szCs w:val="24"/>
                <w:lang w:val="en-US"/>
              </w:rPr>
              <w:t>1384949,23</w:t>
            </w:r>
            <w:r w:rsidRPr="003D6F77">
              <w:rPr>
                <w:rFonts w:ascii="Times New Roman" w:eastAsia="Times New Roman" w:hAnsi="Times New Roman"/>
                <w:sz w:val="24"/>
                <w:szCs w:val="24"/>
                <w:lang w:val="uk-UA"/>
              </w:rPr>
              <w:t>)</w:t>
            </w:r>
          </w:p>
        </w:tc>
        <w:tc>
          <w:tcPr>
            <w:tcW w:w="0" w:type="auto"/>
          </w:tcPr>
          <w:p w:rsidR="00140B97" w:rsidRPr="003D6F77" w:rsidRDefault="00140B97" w:rsidP="00F024FB">
            <w:pPr>
              <w:spacing w:line="360" w:lineRule="auto"/>
              <w:jc w:val="center"/>
              <w:rPr>
                <w:rFonts w:ascii="Times New Roman" w:eastAsia="Times New Roman" w:hAnsi="Times New Roman"/>
                <w:sz w:val="24"/>
                <w:szCs w:val="24"/>
                <w:lang w:val="en-US"/>
              </w:rPr>
            </w:pPr>
            <w:r w:rsidRPr="003D6F77">
              <w:rPr>
                <w:rFonts w:ascii="Times New Roman" w:eastAsia="Times New Roman" w:hAnsi="Times New Roman"/>
                <w:sz w:val="24"/>
                <w:szCs w:val="24"/>
                <w:lang w:val="en-US"/>
              </w:rPr>
              <w:t>2282912,92</w:t>
            </w:r>
          </w:p>
          <w:p w:rsidR="00140B97" w:rsidRPr="003D6F77" w:rsidRDefault="00140B97" w:rsidP="00F024FB">
            <w:pPr>
              <w:spacing w:line="360" w:lineRule="auto"/>
              <w:jc w:val="center"/>
              <w:rPr>
                <w:rFonts w:ascii="Times New Roman" w:eastAsia="Times New Roman" w:hAnsi="Times New Roman"/>
                <w:sz w:val="24"/>
                <w:szCs w:val="24"/>
                <w:lang w:val="uk-UA"/>
              </w:rPr>
            </w:pPr>
            <w:r w:rsidRPr="003D6F77">
              <w:rPr>
                <w:rFonts w:ascii="Times New Roman" w:eastAsia="Times New Roman" w:hAnsi="Times New Roman"/>
                <w:sz w:val="24"/>
                <w:szCs w:val="24"/>
                <w:lang w:val="uk-UA"/>
              </w:rPr>
              <w:t>(</w:t>
            </w:r>
            <w:r w:rsidRPr="003D6F77">
              <w:rPr>
                <w:rFonts w:ascii="Times New Roman" w:eastAsia="Times New Roman" w:hAnsi="Times New Roman"/>
                <w:sz w:val="24"/>
                <w:szCs w:val="24"/>
                <w:lang w:val="en-US"/>
              </w:rPr>
              <w:t>2829196,13</w:t>
            </w:r>
            <w:r w:rsidRPr="003D6F77">
              <w:rPr>
                <w:rFonts w:ascii="Times New Roman" w:eastAsia="Times New Roman" w:hAnsi="Times New Roman"/>
                <w:sz w:val="24"/>
                <w:szCs w:val="24"/>
                <w:lang w:val="uk-UA"/>
              </w:rPr>
              <w:t>-</w:t>
            </w:r>
            <w:r w:rsidRPr="003D6F77">
              <w:rPr>
                <w:rFonts w:ascii="Times New Roman" w:eastAsia="Times New Roman" w:hAnsi="Times New Roman"/>
                <w:sz w:val="24"/>
                <w:szCs w:val="24"/>
                <w:lang w:val="en-US"/>
              </w:rPr>
              <w:t>1867910,27</w:t>
            </w:r>
            <w:r w:rsidRPr="003D6F77">
              <w:rPr>
                <w:rFonts w:ascii="Times New Roman" w:eastAsia="Times New Roman" w:hAnsi="Times New Roman"/>
                <w:sz w:val="24"/>
                <w:szCs w:val="24"/>
                <w:lang w:val="uk-UA"/>
              </w:rPr>
              <w:t>)</w:t>
            </w:r>
          </w:p>
        </w:tc>
        <w:tc>
          <w:tcPr>
            <w:tcW w:w="0" w:type="auto"/>
          </w:tcPr>
          <w:p w:rsidR="00140B97" w:rsidRPr="003D6F77" w:rsidRDefault="00140B97" w:rsidP="00F024FB">
            <w:pPr>
              <w:shd w:val="clear" w:color="auto" w:fill="FFFFFF"/>
              <w:spacing w:line="360" w:lineRule="auto"/>
              <w:jc w:val="center"/>
              <w:rPr>
                <w:rFonts w:ascii="Times New Roman" w:eastAsia="Times New Roman" w:hAnsi="Times New Roman"/>
                <w:sz w:val="24"/>
                <w:szCs w:val="24"/>
                <w:lang w:val="en-US"/>
              </w:rPr>
            </w:pPr>
            <w:r w:rsidRPr="003D6F77">
              <w:rPr>
                <w:rFonts w:ascii="Times New Roman" w:eastAsia="Times New Roman" w:hAnsi="Times New Roman"/>
                <w:sz w:val="24"/>
                <w:szCs w:val="24"/>
                <w:lang w:val="en-US"/>
              </w:rPr>
              <w:t>1051963,37</w:t>
            </w:r>
          </w:p>
          <w:p w:rsidR="00140B97" w:rsidRPr="003D6F77" w:rsidRDefault="00140B97" w:rsidP="00F024FB">
            <w:pPr>
              <w:shd w:val="clear" w:color="auto" w:fill="FFFFFF"/>
              <w:spacing w:line="360" w:lineRule="auto"/>
              <w:jc w:val="center"/>
              <w:rPr>
                <w:rFonts w:ascii="Times New Roman" w:eastAsia="Times New Roman" w:hAnsi="Times New Roman"/>
                <w:sz w:val="24"/>
                <w:szCs w:val="24"/>
                <w:lang w:val="uk-UA"/>
              </w:rPr>
            </w:pPr>
            <w:r w:rsidRPr="003D6F77">
              <w:rPr>
                <w:rFonts w:ascii="Times New Roman" w:eastAsia="Times New Roman" w:hAnsi="Times New Roman"/>
                <w:sz w:val="24"/>
                <w:szCs w:val="24"/>
                <w:lang w:val="uk-UA"/>
              </w:rPr>
              <w:t>(</w:t>
            </w:r>
            <w:r w:rsidRPr="003D6F77">
              <w:rPr>
                <w:rFonts w:ascii="Times New Roman" w:eastAsia="Times New Roman" w:hAnsi="Times New Roman"/>
                <w:sz w:val="24"/>
                <w:szCs w:val="24"/>
                <w:lang w:val="en-US"/>
              </w:rPr>
              <w:t>1351334,14</w:t>
            </w:r>
            <w:r w:rsidRPr="003D6F77">
              <w:rPr>
                <w:rFonts w:ascii="Times New Roman" w:eastAsia="Times New Roman" w:hAnsi="Times New Roman"/>
                <w:sz w:val="24"/>
                <w:szCs w:val="24"/>
                <w:lang w:val="uk-UA"/>
              </w:rPr>
              <w:t>-</w:t>
            </w:r>
            <w:r w:rsidRPr="003D6F77">
              <w:rPr>
                <w:rFonts w:ascii="Times New Roman" w:eastAsia="Times New Roman" w:hAnsi="Times New Roman"/>
                <w:sz w:val="24"/>
                <w:szCs w:val="24"/>
                <w:lang w:val="en-US"/>
              </w:rPr>
              <w:t>806794,15</w:t>
            </w:r>
            <w:r w:rsidRPr="003D6F77">
              <w:rPr>
                <w:rFonts w:ascii="Times New Roman" w:eastAsia="Times New Roman" w:hAnsi="Times New Roman"/>
                <w:sz w:val="24"/>
                <w:szCs w:val="24"/>
                <w:lang w:val="uk-UA"/>
              </w:rPr>
              <w:t>)</w:t>
            </w:r>
          </w:p>
        </w:tc>
      </w:tr>
    </w:tbl>
    <w:p w:rsidR="00D776BD" w:rsidRDefault="00D776BD" w:rsidP="00D776BD">
      <w:pPr>
        <w:widowControl w:val="0"/>
        <w:tabs>
          <w:tab w:val="left" w:pos="875"/>
        </w:tabs>
        <w:ind w:firstLine="709"/>
        <w:rPr>
          <w:szCs w:val="28"/>
        </w:rPr>
      </w:pPr>
    </w:p>
    <w:p w:rsidR="00D96FD9" w:rsidRPr="00501A07" w:rsidRDefault="00D96FD9" w:rsidP="00D776BD">
      <w:pPr>
        <w:widowControl w:val="0"/>
        <w:tabs>
          <w:tab w:val="left" w:pos="875"/>
        </w:tabs>
        <w:ind w:firstLine="709"/>
        <w:rPr>
          <w:color w:val="FF0000"/>
          <w:szCs w:val="28"/>
        </w:rPr>
      </w:pPr>
      <w:r w:rsidRPr="00006A39">
        <w:rPr>
          <w:szCs w:val="28"/>
        </w:rPr>
        <w:t>Показник DALYs в Україні для пізньої неонатальної смертності (на</w:t>
      </w:r>
      <w:r w:rsidR="00CC6EB9">
        <w:rPr>
          <w:szCs w:val="28"/>
        </w:rPr>
        <w:t xml:space="preserve"> 100 тис. осіб) знизився на 23,4</w:t>
      </w:r>
      <w:r w:rsidRPr="00006A39">
        <w:rPr>
          <w:szCs w:val="28"/>
        </w:rPr>
        <w:t>%</w:t>
      </w:r>
      <w:r w:rsidR="00CC6EB9">
        <w:rPr>
          <w:szCs w:val="28"/>
        </w:rPr>
        <w:t xml:space="preserve"> з 168047,60 втрачених років на 100 тис. осіб (95% ДІ </w:t>
      </w:r>
      <w:r w:rsidR="00CC6EB9">
        <w:rPr>
          <w:szCs w:val="28"/>
        </w:rPr>
        <w:lastRenderedPageBreak/>
        <w:t>235665,55-115466,99) у 2009 р. до 128709,72 відповідно у 2019 р. (95% ДІ 175193,02-93028,94)</w:t>
      </w:r>
      <w:r w:rsidRPr="00006A39">
        <w:rPr>
          <w:szCs w:val="28"/>
        </w:rPr>
        <w:t xml:space="preserve">, </w:t>
      </w:r>
      <w:r w:rsidR="0029704A">
        <w:rPr>
          <w:szCs w:val="28"/>
        </w:rPr>
        <w:t>а</w:t>
      </w:r>
      <w:r w:rsidRPr="00006A39">
        <w:rPr>
          <w:szCs w:val="28"/>
        </w:rPr>
        <w:t>налогічні тенденції відбуваються і з показником суми потенційних років життя</w:t>
      </w:r>
      <w:r w:rsidR="002A4378">
        <w:rPr>
          <w:szCs w:val="28"/>
        </w:rPr>
        <w:t>,</w:t>
      </w:r>
      <w:r w:rsidRPr="00006A39">
        <w:rPr>
          <w:szCs w:val="28"/>
        </w:rPr>
        <w:t xml:space="preserve"> втрачених внаслідок передчасної смерті (YLLs, Years of Life Lost)</w:t>
      </w:r>
      <w:r w:rsidR="002A4378">
        <w:rPr>
          <w:szCs w:val="28"/>
        </w:rPr>
        <w:t>,</w:t>
      </w:r>
      <w:r w:rsidRPr="00006A39">
        <w:rPr>
          <w:szCs w:val="28"/>
        </w:rPr>
        <w:t xml:space="preserve"> у випадку пізньої неонатальної смертності  в Україні</w:t>
      </w:r>
      <w:r w:rsidR="007C21FD">
        <w:rPr>
          <w:szCs w:val="28"/>
        </w:rPr>
        <w:t>, який знизився на 23,77% з 165122,26 років на 100 тис. осіб (95% ДІ 232592,24-113069,95) у 2009 р.</w:t>
      </w:r>
      <w:r w:rsidRPr="00006A39">
        <w:rPr>
          <w:szCs w:val="28"/>
        </w:rPr>
        <w:t xml:space="preserve"> </w:t>
      </w:r>
      <w:r w:rsidR="007C21FD">
        <w:rPr>
          <w:szCs w:val="28"/>
        </w:rPr>
        <w:t xml:space="preserve">до 125875,62 відповідно (95% ДІ 171546,17-90550,11) у 2019 р. </w:t>
      </w:r>
      <w:r w:rsidR="006D5001" w:rsidRPr="00FA7375">
        <w:rPr>
          <w:szCs w:val="28"/>
        </w:rPr>
        <w:t>(</w:t>
      </w:r>
      <w:r w:rsidR="00061CD8" w:rsidRPr="00FA7375">
        <w:rPr>
          <w:szCs w:val="28"/>
        </w:rPr>
        <w:t>Додато</w:t>
      </w:r>
      <w:r w:rsidR="00265E6C" w:rsidRPr="00FA7375">
        <w:rPr>
          <w:szCs w:val="28"/>
        </w:rPr>
        <w:t>к Б</w:t>
      </w:r>
      <w:r w:rsidRPr="00FA7375">
        <w:rPr>
          <w:szCs w:val="28"/>
        </w:rPr>
        <w:t>-</w:t>
      </w:r>
      <w:r w:rsidR="00417677" w:rsidRPr="00FA7375">
        <w:rPr>
          <w:szCs w:val="28"/>
        </w:rPr>
        <w:t>23</w:t>
      </w:r>
      <w:r w:rsidRPr="00FA7375">
        <w:rPr>
          <w:szCs w:val="28"/>
        </w:rPr>
        <w:t xml:space="preserve">). </w:t>
      </w:r>
    </w:p>
    <w:p w:rsidR="00D96FD9" w:rsidRPr="001F16DE" w:rsidRDefault="00103C0C" w:rsidP="001F16DE">
      <w:pPr>
        <w:widowControl w:val="0"/>
        <w:tabs>
          <w:tab w:val="left" w:pos="875"/>
        </w:tabs>
        <w:ind w:firstLine="709"/>
        <w:rPr>
          <w:szCs w:val="28"/>
        </w:rPr>
      </w:pPr>
      <w:r>
        <w:rPr>
          <w:szCs w:val="28"/>
        </w:rPr>
        <w:t>Показник</w:t>
      </w:r>
      <w:r w:rsidR="00D96FD9" w:rsidRPr="00006A39">
        <w:rPr>
          <w:szCs w:val="28"/>
        </w:rPr>
        <w:t xml:space="preserve"> DALYs у випадку постнеонатальної смертнос</w:t>
      </w:r>
      <w:r>
        <w:rPr>
          <w:szCs w:val="28"/>
        </w:rPr>
        <w:t>ті також  знизи</w:t>
      </w:r>
      <w:r w:rsidRPr="003A4014">
        <w:rPr>
          <w:szCs w:val="28"/>
        </w:rPr>
        <w:t>вся</w:t>
      </w:r>
      <w:r>
        <w:rPr>
          <w:szCs w:val="28"/>
        </w:rPr>
        <w:t xml:space="preserve"> на </w:t>
      </w:r>
      <w:r w:rsidRPr="003A4014">
        <w:rPr>
          <w:szCs w:val="28"/>
        </w:rPr>
        <w:t xml:space="preserve">17,2 </w:t>
      </w:r>
      <w:r w:rsidR="003A4014">
        <w:rPr>
          <w:szCs w:val="28"/>
        </w:rPr>
        <w:t>%</w:t>
      </w:r>
      <w:r w:rsidR="008B6957">
        <w:rPr>
          <w:szCs w:val="28"/>
        </w:rPr>
        <w:t>, з 32537,92 років</w:t>
      </w:r>
      <w:r w:rsidR="00C34047">
        <w:rPr>
          <w:szCs w:val="28"/>
        </w:rPr>
        <w:t xml:space="preserve"> втрачених </w:t>
      </w:r>
      <w:r w:rsidR="008B6957">
        <w:rPr>
          <w:szCs w:val="28"/>
        </w:rPr>
        <w:t xml:space="preserve">внаслідок передчасної смерті </w:t>
      </w:r>
      <w:r w:rsidR="003A4014" w:rsidRPr="003A4014">
        <w:rPr>
          <w:szCs w:val="28"/>
        </w:rPr>
        <w:t>і років здорового життя, втрачених внаслідок інвалідності через хворобу або травми (95% Д</w:t>
      </w:r>
      <w:r w:rsidR="003A4014">
        <w:rPr>
          <w:szCs w:val="28"/>
        </w:rPr>
        <w:t xml:space="preserve">І </w:t>
      </w:r>
      <w:r w:rsidR="003A4014" w:rsidRPr="003A4014">
        <w:rPr>
          <w:szCs w:val="28"/>
        </w:rPr>
        <w:t>35726,06-29545,37) у 2009 р. до 26926,68 років відповідно (95% ДІ 33922</w:t>
      </w:r>
      <w:r w:rsidR="003A4014">
        <w:rPr>
          <w:szCs w:val="28"/>
        </w:rPr>
        <w:t>,</w:t>
      </w:r>
      <w:r w:rsidR="003A4014" w:rsidRPr="003A4014">
        <w:rPr>
          <w:szCs w:val="28"/>
        </w:rPr>
        <w:t>47-21476</w:t>
      </w:r>
      <w:r w:rsidR="003A4014">
        <w:rPr>
          <w:szCs w:val="28"/>
        </w:rPr>
        <w:t>,</w:t>
      </w:r>
      <w:r w:rsidR="003A4014" w:rsidRPr="003A4014">
        <w:rPr>
          <w:szCs w:val="28"/>
        </w:rPr>
        <w:t>56) у 2019</w:t>
      </w:r>
      <w:r w:rsidR="003A4014">
        <w:rPr>
          <w:szCs w:val="28"/>
        </w:rPr>
        <w:t> </w:t>
      </w:r>
      <w:r w:rsidR="003A4014" w:rsidRPr="003A4014">
        <w:rPr>
          <w:szCs w:val="28"/>
        </w:rPr>
        <w:t>р.</w:t>
      </w:r>
      <w:r w:rsidR="00555F93">
        <w:rPr>
          <w:szCs w:val="28"/>
        </w:rPr>
        <w:t xml:space="preserve"> </w:t>
      </w:r>
      <w:r w:rsidR="00D96FD9" w:rsidRPr="00006A39">
        <w:rPr>
          <w:szCs w:val="28"/>
        </w:rPr>
        <w:t xml:space="preserve">Аналогічні тенденції щодо зниження </w:t>
      </w:r>
      <w:r w:rsidR="00945293">
        <w:rPr>
          <w:szCs w:val="28"/>
        </w:rPr>
        <w:t xml:space="preserve">(на 18,7%) </w:t>
      </w:r>
      <w:r w:rsidR="0087603A">
        <w:rPr>
          <w:szCs w:val="28"/>
        </w:rPr>
        <w:t>відбуваються також</w:t>
      </w:r>
      <w:r w:rsidR="00D96FD9" w:rsidRPr="00006A39">
        <w:rPr>
          <w:szCs w:val="28"/>
        </w:rPr>
        <w:t xml:space="preserve"> </w:t>
      </w:r>
      <w:r w:rsidR="0087603A">
        <w:rPr>
          <w:szCs w:val="28"/>
        </w:rPr>
        <w:t>і</w:t>
      </w:r>
      <w:r w:rsidR="00D96FD9" w:rsidRPr="00006A39">
        <w:rPr>
          <w:szCs w:val="28"/>
        </w:rPr>
        <w:t>з показниками років втраченого життя YLL (на 100 тис.осіб) у випадку постнеонатальної смертності</w:t>
      </w:r>
      <w:r w:rsidR="00945293">
        <w:rPr>
          <w:szCs w:val="28"/>
        </w:rPr>
        <w:t xml:space="preserve">, а саме з </w:t>
      </w:r>
      <w:r w:rsidR="00330122">
        <w:rPr>
          <w:szCs w:val="28"/>
        </w:rPr>
        <w:t>30348,</w:t>
      </w:r>
      <w:r w:rsidR="00945293" w:rsidRPr="00945293">
        <w:rPr>
          <w:szCs w:val="28"/>
        </w:rPr>
        <w:t>87</w:t>
      </w:r>
      <w:r w:rsidR="00945293">
        <w:rPr>
          <w:szCs w:val="28"/>
        </w:rPr>
        <w:t xml:space="preserve"> років </w:t>
      </w:r>
      <w:r w:rsidR="00945293" w:rsidRPr="00945293">
        <w:rPr>
          <w:szCs w:val="28"/>
        </w:rPr>
        <w:t>(</w:t>
      </w:r>
      <w:r w:rsidR="00945293">
        <w:rPr>
          <w:szCs w:val="28"/>
        </w:rPr>
        <w:t xml:space="preserve">95% ДІ </w:t>
      </w:r>
      <w:r w:rsidR="00330122">
        <w:rPr>
          <w:szCs w:val="28"/>
        </w:rPr>
        <w:t>33481,91-27313,</w:t>
      </w:r>
      <w:r w:rsidR="00945293" w:rsidRPr="00945293">
        <w:rPr>
          <w:szCs w:val="28"/>
        </w:rPr>
        <w:t>30)</w:t>
      </w:r>
      <w:r w:rsidR="00D96FD9" w:rsidRPr="00006A39">
        <w:rPr>
          <w:szCs w:val="28"/>
        </w:rPr>
        <w:t xml:space="preserve"> </w:t>
      </w:r>
      <w:r w:rsidR="00945293" w:rsidRPr="00945293">
        <w:rPr>
          <w:szCs w:val="28"/>
        </w:rPr>
        <w:t xml:space="preserve">у 2009 р. </w:t>
      </w:r>
      <w:r w:rsidR="00945293">
        <w:rPr>
          <w:szCs w:val="28"/>
        </w:rPr>
        <w:t xml:space="preserve">до </w:t>
      </w:r>
      <w:r w:rsidR="00330122">
        <w:rPr>
          <w:szCs w:val="28"/>
        </w:rPr>
        <w:t>24668,</w:t>
      </w:r>
      <w:r w:rsidR="00945293" w:rsidRPr="00945293">
        <w:rPr>
          <w:szCs w:val="28"/>
        </w:rPr>
        <w:t>94</w:t>
      </w:r>
      <w:r w:rsidR="00945293">
        <w:rPr>
          <w:szCs w:val="28"/>
        </w:rPr>
        <w:t xml:space="preserve"> років відповідно </w:t>
      </w:r>
      <w:r w:rsidR="00945293" w:rsidRPr="00945293">
        <w:rPr>
          <w:szCs w:val="28"/>
        </w:rPr>
        <w:t xml:space="preserve">(95% ДІ </w:t>
      </w:r>
      <w:r w:rsidR="00945293">
        <w:rPr>
          <w:szCs w:val="28"/>
        </w:rPr>
        <w:t>31784,</w:t>
      </w:r>
      <w:r w:rsidR="00945293" w:rsidRPr="00945293">
        <w:rPr>
          <w:szCs w:val="28"/>
        </w:rPr>
        <w:t>42-</w:t>
      </w:r>
      <w:r w:rsidR="00945293">
        <w:rPr>
          <w:szCs w:val="28"/>
        </w:rPr>
        <w:t>19123,</w:t>
      </w:r>
      <w:r w:rsidR="00945293" w:rsidRPr="00945293">
        <w:rPr>
          <w:szCs w:val="28"/>
        </w:rPr>
        <w:t xml:space="preserve">99) </w:t>
      </w:r>
      <w:r w:rsidR="009B2DAB">
        <w:rPr>
          <w:szCs w:val="28"/>
        </w:rPr>
        <w:t>(</w:t>
      </w:r>
      <w:r w:rsidR="00265E6C" w:rsidRPr="00FA7375">
        <w:rPr>
          <w:szCs w:val="28"/>
        </w:rPr>
        <w:t>Додаток Б</w:t>
      </w:r>
      <w:r w:rsidR="009412F8" w:rsidRPr="00FA7375">
        <w:rPr>
          <w:szCs w:val="28"/>
        </w:rPr>
        <w:t>-24</w:t>
      </w:r>
      <w:r w:rsidR="00D96FD9" w:rsidRPr="00FA7375">
        <w:rPr>
          <w:szCs w:val="28"/>
        </w:rPr>
        <w:t xml:space="preserve">). </w:t>
      </w:r>
    </w:p>
    <w:p w:rsidR="00D96FD9" w:rsidRPr="00D00544" w:rsidRDefault="00A87E34" w:rsidP="001F16DE">
      <w:pPr>
        <w:widowControl w:val="0"/>
        <w:tabs>
          <w:tab w:val="left" w:pos="875"/>
        </w:tabs>
        <w:spacing w:before="240" w:after="240"/>
        <w:rPr>
          <w:b/>
          <w:szCs w:val="28"/>
        </w:rPr>
      </w:pPr>
      <w:r>
        <w:rPr>
          <w:b/>
          <w:szCs w:val="28"/>
        </w:rPr>
        <w:t xml:space="preserve">         </w:t>
      </w:r>
      <w:r w:rsidR="00D96FD9" w:rsidRPr="00006A39">
        <w:rPr>
          <w:b/>
          <w:szCs w:val="28"/>
        </w:rPr>
        <w:t>Висновки</w:t>
      </w:r>
      <w:r w:rsidR="00D63846">
        <w:rPr>
          <w:b/>
          <w:szCs w:val="28"/>
          <w:lang w:val="ru-RU"/>
        </w:rPr>
        <w:t xml:space="preserve"> до розділу</w:t>
      </w:r>
      <w:r w:rsidR="00D00544">
        <w:rPr>
          <w:b/>
          <w:szCs w:val="28"/>
          <w:lang w:val="ru-RU"/>
        </w:rPr>
        <w:t xml:space="preserve"> 3</w:t>
      </w:r>
    </w:p>
    <w:p w:rsidR="00D46C36" w:rsidRPr="00D46C36" w:rsidRDefault="00D46C36" w:rsidP="00D46C36">
      <w:pPr>
        <w:widowControl w:val="0"/>
        <w:numPr>
          <w:ilvl w:val="0"/>
          <w:numId w:val="4"/>
        </w:numPr>
        <w:tabs>
          <w:tab w:val="left" w:pos="1134"/>
        </w:tabs>
        <w:ind w:left="0" w:firstLine="709"/>
        <w:contextualSpacing/>
        <w:rPr>
          <w:rFonts w:eastAsia="Calibri"/>
          <w:szCs w:val="28"/>
        </w:rPr>
      </w:pPr>
      <w:r w:rsidRPr="00D46C36">
        <w:rPr>
          <w:rFonts w:eastAsia="Calibri"/>
          <w:szCs w:val="28"/>
        </w:rPr>
        <w:t>Встановлено достовірне зниження упродовж 2014-2018 рр. рівня загальної смертності дітей віком до 5-ти років життя з 9,3 до 8,3 з розрахунку на 1000 дітей народжених живими (ВШ 0,79 (95% ДІ 0,76-0,83; р&lt;0,001), показника смертності хлопчиків з 10,4 до 9,1 (ВШ 0,77 (95% ДІ 0,73-0,82), р&lt;0,001) та дівчат з 8,1 до 7,6 з розрахунку на 1000 дітей народжених живими (ВШ 0,82 (95% ДІ 0,76-0,88), при цьому шанси хлопчиків померти у віці до 5 років залишаються вищ</w:t>
      </w:r>
      <w:r w:rsidR="000F7D7F">
        <w:rPr>
          <w:rFonts w:eastAsia="Calibri"/>
          <w:szCs w:val="28"/>
        </w:rPr>
        <w:t xml:space="preserve">ими за шанси дівчат (у 2014 р. – </w:t>
      </w:r>
      <w:r w:rsidRPr="00D46C36">
        <w:rPr>
          <w:rFonts w:eastAsia="Calibri"/>
          <w:szCs w:val="28"/>
        </w:rPr>
        <w:t xml:space="preserve"> ВШ 1,2 (95% ДІ 1,12-1,30), р&lt;0,001 та у 2018</w:t>
      </w:r>
      <w:r w:rsidRPr="00D46C36">
        <w:rPr>
          <w:rFonts w:eastAsia="Calibri"/>
          <w:szCs w:val="28"/>
          <w:lang w:val="ru-RU"/>
        </w:rPr>
        <w:t> </w:t>
      </w:r>
      <w:r w:rsidR="000F7D7F">
        <w:rPr>
          <w:rFonts w:eastAsia="Calibri"/>
          <w:szCs w:val="28"/>
        </w:rPr>
        <w:t xml:space="preserve">р. – </w:t>
      </w:r>
      <w:r w:rsidRPr="00D46C36">
        <w:rPr>
          <w:rFonts w:eastAsia="Calibri"/>
          <w:szCs w:val="28"/>
        </w:rPr>
        <w:t>ВШ 1,27 (1,19-1,35), р&lt;0,001). Показник смертності дітей віком до 5 років упродовж часу спостереження продовжує значно пере</w:t>
      </w:r>
      <w:r w:rsidR="00664633">
        <w:rPr>
          <w:rFonts w:eastAsia="Calibri"/>
          <w:szCs w:val="28"/>
        </w:rPr>
        <w:t>вищувати</w:t>
      </w:r>
      <w:r w:rsidRPr="00D46C36">
        <w:rPr>
          <w:rFonts w:eastAsia="Calibri"/>
          <w:szCs w:val="28"/>
        </w:rPr>
        <w:t xml:space="preserve"> аналогічний показник у розвинених країнах світу: Польщі, Іспанії, Франції, Німеччині, Угорщини, Словаччини та США.</w:t>
      </w:r>
    </w:p>
    <w:p w:rsidR="00D46C36" w:rsidRPr="00D46C36" w:rsidRDefault="00D46C36" w:rsidP="00D46C36">
      <w:pPr>
        <w:widowControl w:val="0"/>
        <w:numPr>
          <w:ilvl w:val="0"/>
          <w:numId w:val="4"/>
        </w:numPr>
        <w:tabs>
          <w:tab w:val="left" w:pos="1134"/>
        </w:tabs>
        <w:ind w:left="0" w:firstLine="709"/>
        <w:contextualSpacing/>
        <w:rPr>
          <w:rFonts w:eastAsia="Calibri"/>
          <w:szCs w:val="28"/>
        </w:rPr>
      </w:pPr>
      <w:r w:rsidRPr="00D46C36">
        <w:rPr>
          <w:rFonts w:eastAsia="Calibri"/>
          <w:szCs w:val="28"/>
        </w:rPr>
        <w:t>Виявлено пролонгацію суттєвих відмінностей між окремими адміністративними територіями у значеннях показника смертності дітей віком до 5</w:t>
      </w:r>
      <w:r w:rsidR="00AE5EBC">
        <w:rPr>
          <w:rFonts w:eastAsia="Calibri"/>
          <w:szCs w:val="28"/>
          <w:lang w:val="ru-RU"/>
        </w:rPr>
        <w:t> </w:t>
      </w:r>
      <w:r w:rsidRPr="00D46C36">
        <w:rPr>
          <w:rFonts w:eastAsia="Calibri"/>
          <w:szCs w:val="28"/>
        </w:rPr>
        <w:t>років, що підтверджується сталими значеннями міжквартильного інтервалу (у 2014</w:t>
      </w:r>
      <w:r w:rsidR="00AE5EBC">
        <w:rPr>
          <w:rFonts w:eastAsia="Calibri"/>
          <w:szCs w:val="28"/>
          <w:lang w:val="ru-RU"/>
        </w:rPr>
        <w:t> </w:t>
      </w:r>
      <w:r w:rsidR="00E23AD4">
        <w:rPr>
          <w:rFonts w:eastAsia="Calibri"/>
          <w:szCs w:val="28"/>
        </w:rPr>
        <w:t xml:space="preserve">р. – 40,6 та у 2018 р. – </w:t>
      </w:r>
      <w:r w:rsidRPr="00D46C36">
        <w:rPr>
          <w:rFonts w:eastAsia="Calibri"/>
          <w:szCs w:val="28"/>
        </w:rPr>
        <w:t>40,4)</w:t>
      </w:r>
      <w:r w:rsidR="009121F2">
        <w:rPr>
          <w:rFonts w:eastAsia="Calibri"/>
          <w:szCs w:val="28"/>
        </w:rPr>
        <w:t>, при цьому у чверті областей, у</w:t>
      </w:r>
      <w:r w:rsidRPr="00D46C36">
        <w:rPr>
          <w:rFonts w:eastAsia="Calibri"/>
          <w:szCs w:val="28"/>
        </w:rPr>
        <w:t xml:space="preserve"> яких пропорційний </w:t>
      </w:r>
      <w:r w:rsidRPr="00D46C36">
        <w:rPr>
          <w:rFonts w:eastAsia="Calibri"/>
          <w:szCs w:val="28"/>
        </w:rPr>
        <w:lastRenderedPageBreak/>
        <w:t xml:space="preserve">показник </w:t>
      </w:r>
      <w:r w:rsidR="00E778FE">
        <w:rPr>
          <w:rFonts w:eastAsia="Calibri"/>
          <w:szCs w:val="28"/>
        </w:rPr>
        <w:t>смертності є більше за 164,5 (у</w:t>
      </w:r>
      <w:r w:rsidRPr="00D46C36">
        <w:rPr>
          <w:rFonts w:eastAsia="Calibri"/>
          <w:szCs w:val="28"/>
        </w:rPr>
        <w:t xml:space="preserve"> розрахунку на 100 тис.), існують підвищені </w:t>
      </w:r>
      <w:r w:rsidR="00E778FE">
        <w:rPr>
          <w:rFonts w:eastAsia="Calibri"/>
          <w:szCs w:val="28"/>
        </w:rPr>
        <w:t>ризики виникнення смерті</w:t>
      </w:r>
      <w:r w:rsidRPr="00D46C36">
        <w:rPr>
          <w:rFonts w:eastAsia="Calibri"/>
          <w:szCs w:val="28"/>
        </w:rPr>
        <w:t xml:space="preserve"> дітей, </w:t>
      </w:r>
      <w:r w:rsidR="00E778FE">
        <w:rPr>
          <w:rFonts w:eastAsia="Calibri"/>
          <w:szCs w:val="28"/>
        </w:rPr>
        <w:t>і</w:t>
      </w:r>
      <w:r w:rsidRPr="00D46C36">
        <w:rPr>
          <w:rFonts w:eastAsia="Calibri"/>
          <w:szCs w:val="28"/>
        </w:rPr>
        <w:t>з яких частина</w:t>
      </w:r>
      <w:r w:rsidR="00E778FE">
        <w:rPr>
          <w:rFonts w:eastAsia="Calibri"/>
          <w:szCs w:val="28"/>
        </w:rPr>
        <w:t xml:space="preserve"> випадків смерті потенційно може бути відворотньою</w:t>
      </w:r>
      <w:r w:rsidRPr="00D46C36">
        <w:rPr>
          <w:rFonts w:eastAsia="Calibri"/>
          <w:szCs w:val="28"/>
        </w:rPr>
        <w:t>.</w:t>
      </w:r>
    </w:p>
    <w:p w:rsidR="00D46C36" w:rsidRPr="00D46C36" w:rsidRDefault="00D46C36" w:rsidP="00D46C36">
      <w:pPr>
        <w:widowControl w:val="0"/>
        <w:numPr>
          <w:ilvl w:val="0"/>
          <w:numId w:val="4"/>
        </w:numPr>
        <w:tabs>
          <w:tab w:val="left" w:pos="1134"/>
        </w:tabs>
        <w:ind w:left="0" w:firstLine="709"/>
        <w:contextualSpacing/>
        <w:rPr>
          <w:rFonts w:eastAsia="Calibri"/>
          <w:szCs w:val="28"/>
        </w:rPr>
      </w:pPr>
      <w:r w:rsidRPr="00D46C36">
        <w:rPr>
          <w:rFonts w:eastAsia="Calibri"/>
          <w:szCs w:val="28"/>
        </w:rPr>
        <w:t>З’ясовано, що в повіковій структурі показника смертності дітей віком до 5</w:t>
      </w:r>
      <w:r w:rsidR="001E3666">
        <w:rPr>
          <w:lang w:val="ru-RU"/>
        </w:rPr>
        <w:t> </w:t>
      </w:r>
      <w:r w:rsidRPr="00D46C36">
        <w:rPr>
          <w:rFonts w:eastAsia="Calibri"/>
          <w:szCs w:val="28"/>
        </w:rPr>
        <w:t>років переважають випа</w:t>
      </w:r>
      <w:r w:rsidR="00D81514">
        <w:rPr>
          <w:rFonts w:eastAsia="Calibri"/>
          <w:szCs w:val="28"/>
        </w:rPr>
        <w:t>дки смертей дітей до 1</w:t>
      </w:r>
      <w:r w:rsidRPr="00D46C36">
        <w:rPr>
          <w:rFonts w:eastAsia="Calibri"/>
          <w:szCs w:val="28"/>
        </w:rPr>
        <w:t xml:space="preserve"> року життя (82,5%</w:t>
      </w:r>
      <w:r w:rsidR="009D0492">
        <w:rPr>
          <w:rFonts w:eastAsia="Calibri"/>
          <w:szCs w:val="28"/>
        </w:rPr>
        <w:t>, 82,3%</w:t>
      </w:r>
      <w:r w:rsidRPr="00D46C36">
        <w:rPr>
          <w:rFonts w:eastAsia="Calibri"/>
          <w:szCs w:val="28"/>
        </w:rPr>
        <w:t>), при цьому у 2018 р. шанси дитини померти упродовж 1-го року життя становили ВШ 0,91 (95% ДІ 0,86-0,96, р=0,0001), а упродовж 1-4 роки життя – 0,81 (95% ДІ 0,72-0,90), р=0,0002.</w:t>
      </w:r>
    </w:p>
    <w:p w:rsidR="00D46C36" w:rsidRPr="00D46C36" w:rsidRDefault="00D46C36" w:rsidP="00D46C36">
      <w:pPr>
        <w:widowControl w:val="0"/>
        <w:numPr>
          <w:ilvl w:val="0"/>
          <w:numId w:val="4"/>
        </w:numPr>
        <w:tabs>
          <w:tab w:val="left" w:pos="1134"/>
        </w:tabs>
        <w:ind w:left="0" w:firstLine="709"/>
        <w:contextualSpacing/>
        <w:rPr>
          <w:rFonts w:eastAsia="Calibri"/>
          <w:szCs w:val="28"/>
        </w:rPr>
      </w:pPr>
      <w:r w:rsidRPr="00D46C36">
        <w:rPr>
          <w:rFonts w:eastAsia="Calibri"/>
          <w:szCs w:val="28"/>
        </w:rPr>
        <w:t>З’ясовано, що упродовж 2013-2018 рр. провідні місця в причинній структурі смертності діт</w:t>
      </w:r>
      <w:r w:rsidR="00C1472E">
        <w:rPr>
          <w:rFonts w:eastAsia="Calibri"/>
          <w:szCs w:val="28"/>
        </w:rPr>
        <w:t>ей віком до 5 років посідали:</w:t>
      </w:r>
      <w:r w:rsidRPr="00D46C36">
        <w:rPr>
          <w:rFonts w:eastAsia="Calibri"/>
          <w:szCs w:val="28"/>
        </w:rPr>
        <w:t xml:space="preserve"> стани матері, пов’язані з вагітн</w:t>
      </w:r>
      <w:r w:rsidR="00C1472E">
        <w:rPr>
          <w:rFonts w:eastAsia="Calibri"/>
          <w:szCs w:val="28"/>
        </w:rPr>
        <w:t>істю, та неонатальні розлади</w:t>
      </w:r>
      <w:r w:rsidR="00C1472E" w:rsidRPr="00C1472E">
        <w:rPr>
          <w:rFonts w:eastAsia="Calibri"/>
          <w:szCs w:val="28"/>
        </w:rPr>
        <w:t>;</w:t>
      </w:r>
      <w:r w:rsidR="00C1472E">
        <w:rPr>
          <w:rFonts w:eastAsia="Calibri"/>
          <w:szCs w:val="28"/>
        </w:rPr>
        <w:t xml:space="preserve"> інші неінфекційні хвороби</w:t>
      </w:r>
      <w:r w:rsidR="00C1472E" w:rsidRPr="00C1472E">
        <w:rPr>
          <w:rFonts w:eastAsia="Calibri"/>
          <w:szCs w:val="28"/>
        </w:rPr>
        <w:t xml:space="preserve">; </w:t>
      </w:r>
      <w:r w:rsidRPr="00D46C36">
        <w:rPr>
          <w:rFonts w:eastAsia="Calibri"/>
          <w:szCs w:val="28"/>
        </w:rPr>
        <w:t>ненавмисні травми, при цьому рівень смертності дітей даного віку підвищився внаслідок самоушкоджень і міжособистісного насильства (на 54,45%), інших інфекційних захворювань (на 16,07%), новоутворень (на 13,28%), неврологічних розладів (на 10,81%), хвороб органів травлення (на 9,06%), кишкових інфекцій  (на 7,14%), ВІЛ/СНІДу та інфекцій, що передаються статевим шляхом (на 4,79%), та від недостатності харчування (на 3,47%).</w:t>
      </w:r>
    </w:p>
    <w:p w:rsidR="00D46C36" w:rsidRPr="00D46C36" w:rsidRDefault="00D46C36" w:rsidP="00D46C36">
      <w:pPr>
        <w:widowControl w:val="0"/>
        <w:numPr>
          <w:ilvl w:val="0"/>
          <w:numId w:val="4"/>
        </w:numPr>
        <w:tabs>
          <w:tab w:val="left" w:pos="1134"/>
        </w:tabs>
        <w:ind w:left="0" w:firstLine="709"/>
        <w:contextualSpacing/>
        <w:rPr>
          <w:rFonts w:eastAsia="Calibri"/>
          <w:szCs w:val="28"/>
        </w:rPr>
      </w:pPr>
      <w:r w:rsidRPr="00D46C36">
        <w:rPr>
          <w:rFonts w:eastAsia="Calibri"/>
          <w:szCs w:val="28"/>
        </w:rPr>
        <w:t xml:space="preserve">Встановлено достовірне зниження загального рівня малюкової смертності дітей на 25,5% (ВШ 0,97 95% ДІ 0,86-0,96), р=0,0002) та рівня смертності хлопчиків на 25,2% (ВШ 0,87 (95% ДІ 0,81-0,93), р=0,0001), як серед хлопчиків сільської (ВШ 0,89 [95% ДІ 0,79-1,00], р=0,048),  так і міської місцевості (ВШ 0,86 [95% ДІ 0,78-0,94], р=0,0008), проте залишились на тому ж самому рівні серед дівчат сільської місцевості (ВШ 1,01 [95% ДІ 0,89-1,15], р=0,816) та дівчат міської місцевості (ВШ 0,92 [95% ДІ 0,83-1,02], р=0,1007), і відповідно, серед дівчат у цілому (ВШ 0,95 (95% ДІ 0,88-1,03), р=0,2524). </w:t>
      </w:r>
      <w:r w:rsidR="00AF1037">
        <w:rPr>
          <w:rFonts w:eastAsia="Calibri"/>
          <w:color w:val="000000"/>
          <w:szCs w:val="28"/>
        </w:rPr>
        <w:t>Показник</w:t>
      </w:r>
      <w:r w:rsidRPr="00D46C36">
        <w:rPr>
          <w:rFonts w:eastAsia="Calibri"/>
          <w:color w:val="000000"/>
          <w:szCs w:val="28"/>
        </w:rPr>
        <w:t xml:space="preserve"> малюкової смертності залишається одним </w:t>
      </w:r>
      <w:r w:rsidR="00875BBF">
        <w:rPr>
          <w:rFonts w:eastAsia="Calibri"/>
          <w:color w:val="000000"/>
          <w:szCs w:val="28"/>
        </w:rPr>
        <w:t>і</w:t>
      </w:r>
      <w:r w:rsidRPr="00D46C36">
        <w:rPr>
          <w:rFonts w:eastAsia="Calibri"/>
          <w:color w:val="000000"/>
          <w:szCs w:val="28"/>
        </w:rPr>
        <w:t>з найвищих на європейському просторі</w:t>
      </w:r>
      <w:r w:rsidR="00AF1037">
        <w:rPr>
          <w:rFonts w:eastAsia="Calibri"/>
          <w:color w:val="000000"/>
          <w:szCs w:val="28"/>
        </w:rPr>
        <w:t>,</w:t>
      </w:r>
      <w:r w:rsidRPr="00D46C36">
        <w:rPr>
          <w:rFonts w:eastAsia="Calibri"/>
          <w:color w:val="000000"/>
          <w:szCs w:val="28"/>
        </w:rPr>
        <w:t xml:space="preserve"> оскільки у 201</w:t>
      </w:r>
      <w:r w:rsidRPr="00D46C36">
        <w:rPr>
          <w:rFonts w:eastAsia="Calibri"/>
          <w:color w:val="000000"/>
          <w:szCs w:val="28"/>
          <w:lang w:val="ru-RU"/>
        </w:rPr>
        <w:t>9</w:t>
      </w:r>
      <w:r w:rsidRPr="00D46C36">
        <w:rPr>
          <w:rFonts w:eastAsia="Calibri"/>
          <w:color w:val="000000"/>
          <w:szCs w:val="28"/>
        </w:rPr>
        <w:t xml:space="preserve"> р. він перевищував аналогічний показник Франції (в 2,3 рази), Угорщини</w:t>
      </w:r>
      <w:r w:rsidRPr="00D46C36">
        <w:rPr>
          <w:rFonts w:eastAsia="Calibri"/>
          <w:color w:val="000000"/>
          <w:szCs w:val="28"/>
          <w:lang w:val="ru-RU"/>
        </w:rPr>
        <w:t xml:space="preserve"> </w:t>
      </w:r>
      <w:r w:rsidRPr="00D46C36">
        <w:rPr>
          <w:rFonts w:eastAsia="Calibri"/>
          <w:color w:val="000000"/>
          <w:szCs w:val="28"/>
        </w:rPr>
        <w:t>(в 2,1 рази), Польщі (в 2,1 рази), Німеччини (в 2,6 рази),  Іспанії (в 2,8 рази),  Словаччини</w:t>
      </w:r>
      <w:r w:rsidRPr="00D46C36">
        <w:rPr>
          <w:rFonts w:eastAsia="Calibri"/>
          <w:color w:val="000000"/>
          <w:szCs w:val="28"/>
          <w:lang w:val="ru-RU"/>
        </w:rPr>
        <w:t xml:space="preserve"> </w:t>
      </w:r>
      <w:r w:rsidRPr="00D46C36">
        <w:rPr>
          <w:rFonts w:eastAsia="Calibri"/>
          <w:color w:val="000000"/>
          <w:szCs w:val="28"/>
        </w:rPr>
        <w:t>(в 1,6 рази) та  США (в 1,2 рази).</w:t>
      </w:r>
    </w:p>
    <w:p w:rsidR="00D46C36" w:rsidRPr="00D46C36" w:rsidRDefault="00D46C36" w:rsidP="00D46C36">
      <w:pPr>
        <w:widowControl w:val="0"/>
        <w:numPr>
          <w:ilvl w:val="0"/>
          <w:numId w:val="4"/>
        </w:numPr>
        <w:tabs>
          <w:tab w:val="left" w:pos="1134"/>
        </w:tabs>
        <w:ind w:left="0" w:firstLine="709"/>
        <w:contextualSpacing/>
        <w:rPr>
          <w:rFonts w:eastAsia="Calibri"/>
          <w:szCs w:val="28"/>
        </w:rPr>
      </w:pPr>
      <w:r w:rsidRPr="00D46C36">
        <w:rPr>
          <w:rFonts w:eastAsia="Calibri"/>
          <w:szCs w:val="28"/>
        </w:rPr>
        <w:t xml:space="preserve">Виявлено суттєву диспропорцію показника малюкової смертності за </w:t>
      </w:r>
      <w:r w:rsidRPr="00D46C36">
        <w:rPr>
          <w:rFonts w:eastAsia="Calibri"/>
          <w:szCs w:val="28"/>
        </w:rPr>
        <w:lastRenderedPageBreak/>
        <w:t>окремими адміністративними територіями, що підтверджується збільшенням упродовж 2014-2018 рр. міжквартильного інтервалу (з 1,47 до 1,7), на тлі відсутності достовірного зменшення медіанного значення даного показника (7,59 (Q1=7,01; Q3</w:t>
      </w:r>
      <w:r w:rsidR="00AE5EBC">
        <w:rPr>
          <w:rFonts w:eastAsia="Calibri"/>
          <w:szCs w:val="28"/>
          <w:lang w:val="ru-RU"/>
        </w:rPr>
        <w:t> </w:t>
      </w:r>
      <w:r w:rsidRPr="00D46C36">
        <w:rPr>
          <w:rFonts w:eastAsia="Calibri"/>
          <w:szCs w:val="28"/>
        </w:rPr>
        <w:t>=8,48) до 7,0 (Q1=6,2; Q3 =7,9) з розрахунку на 1000 народжених живими, р=0,859).</w:t>
      </w:r>
    </w:p>
    <w:p w:rsidR="00D46C36" w:rsidRPr="00D46C36" w:rsidRDefault="00D46C36" w:rsidP="00D46C36">
      <w:pPr>
        <w:widowControl w:val="0"/>
        <w:numPr>
          <w:ilvl w:val="0"/>
          <w:numId w:val="4"/>
        </w:numPr>
        <w:tabs>
          <w:tab w:val="left" w:pos="1134"/>
        </w:tabs>
        <w:ind w:left="0" w:firstLine="709"/>
        <w:contextualSpacing/>
        <w:rPr>
          <w:rFonts w:eastAsia="Calibri"/>
          <w:szCs w:val="28"/>
        </w:rPr>
      </w:pPr>
      <w:r w:rsidRPr="00D46C36">
        <w:rPr>
          <w:rFonts w:eastAsia="Calibri"/>
          <w:szCs w:val="28"/>
        </w:rPr>
        <w:t>З’ясовано, що причинна структура показника малюкової смертності упродовж 2014-2018 рр. залишилась майже незмінною, оскільки перші рейтингові місця займають окремі стани, що виникають у перинатальному періоді, прир</w:t>
      </w:r>
      <w:r w:rsidR="00664633">
        <w:rPr>
          <w:rFonts w:eastAsia="Calibri"/>
          <w:szCs w:val="28"/>
        </w:rPr>
        <w:t>оджені вади розвитку, деформації та хромосомні аномалії</w:t>
      </w:r>
      <w:r w:rsidRPr="00D46C36">
        <w:rPr>
          <w:rFonts w:eastAsia="Calibri"/>
          <w:szCs w:val="28"/>
        </w:rPr>
        <w:t>, зовнішні причини захворюванос</w:t>
      </w:r>
      <w:r w:rsidR="00664633">
        <w:rPr>
          <w:rFonts w:eastAsia="Calibri"/>
          <w:szCs w:val="28"/>
        </w:rPr>
        <w:t>ті та смертності, хвороби органів</w:t>
      </w:r>
      <w:r w:rsidRPr="00D46C36">
        <w:rPr>
          <w:rFonts w:eastAsia="Calibri"/>
          <w:szCs w:val="28"/>
        </w:rPr>
        <w:t xml:space="preserve"> дихання, при цьому </w:t>
      </w:r>
      <w:r w:rsidRPr="00D46C36">
        <w:rPr>
          <w:rFonts w:eastAsia="NewtonC-Bold" w:cs="NewtonC-Bold"/>
          <w:szCs w:val="28"/>
          <w:lang w:eastAsia="ru-RU"/>
        </w:rPr>
        <w:t>зростання показника малюкової смертності відбулося за класами: хвороби ендокринної системи, розлади харчування та порушень обміну речовин (на 26,6%) та хвороби органів дихання (на 26,1%). За іншими провідними причинами малюкової смертності відбулось зниження її показника</w:t>
      </w:r>
      <w:r w:rsidRPr="00D46C36">
        <w:rPr>
          <w:rFonts w:eastAsia="Calibri"/>
          <w:szCs w:val="28"/>
        </w:rPr>
        <w:t xml:space="preserve">. </w:t>
      </w:r>
    </w:p>
    <w:p w:rsidR="00AE5EBC" w:rsidRPr="00AE5EBC" w:rsidRDefault="00D46C36" w:rsidP="00D46C36">
      <w:pPr>
        <w:widowControl w:val="0"/>
        <w:numPr>
          <w:ilvl w:val="0"/>
          <w:numId w:val="4"/>
        </w:numPr>
        <w:tabs>
          <w:tab w:val="left" w:pos="1134"/>
        </w:tabs>
        <w:ind w:left="0" w:firstLine="709"/>
        <w:contextualSpacing/>
        <w:rPr>
          <w:rFonts w:eastAsia="Calibri"/>
          <w:szCs w:val="28"/>
        </w:rPr>
      </w:pPr>
      <w:r w:rsidRPr="00D46C36">
        <w:rPr>
          <w:rFonts w:eastAsia="Calibri"/>
          <w:szCs w:val="28"/>
        </w:rPr>
        <w:t>Встановлено, що переважна частка дітей із загальної кількості померлих дітей у віці до 1-го року життя (більш ніж 60%)  помирає у неонатальному періоді, серед</w:t>
      </w:r>
      <w:r w:rsidR="00AE5EBC" w:rsidRPr="00AE5EBC">
        <w:rPr>
          <w:rFonts w:eastAsia="Calibri"/>
          <w:szCs w:val="28"/>
        </w:rPr>
        <w:t xml:space="preserve"> </w:t>
      </w:r>
      <w:r w:rsidRPr="00D46C36">
        <w:rPr>
          <w:rFonts w:eastAsia="Calibri"/>
          <w:szCs w:val="28"/>
        </w:rPr>
        <w:t xml:space="preserve"> яких </w:t>
      </w:r>
      <w:r w:rsidR="00AE5EBC" w:rsidRPr="00AE5EBC">
        <w:rPr>
          <w:rFonts w:eastAsia="Calibri"/>
          <w:szCs w:val="28"/>
        </w:rPr>
        <w:t xml:space="preserve"> </w:t>
      </w:r>
      <w:r w:rsidRPr="00D46C36">
        <w:rPr>
          <w:rFonts w:eastAsia="Calibri"/>
          <w:szCs w:val="28"/>
        </w:rPr>
        <w:t xml:space="preserve">42,5-45,0% </w:t>
      </w:r>
      <w:r w:rsidR="00AE5EBC" w:rsidRPr="00AE5EBC">
        <w:rPr>
          <w:rFonts w:eastAsia="Calibri"/>
          <w:szCs w:val="28"/>
        </w:rPr>
        <w:t xml:space="preserve"> </w:t>
      </w:r>
      <w:r w:rsidRPr="00D46C36">
        <w:rPr>
          <w:rFonts w:eastAsia="Calibri"/>
          <w:szCs w:val="28"/>
        </w:rPr>
        <w:t>смертей</w:t>
      </w:r>
      <w:r w:rsidR="00AE5EBC" w:rsidRPr="00AE5EBC">
        <w:rPr>
          <w:rFonts w:eastAsia="Calibri"/>
          <w:szCs w:val="28"/>
        </w:rPr>
        <w:t xml:space="preserve"> </w:t>
      </w:r>
      <w:r w:rsidR="00AE5EBC">
        <w:rPr>
          <w:rFonts w:eastAsia="Calibri"/>
          <w:szCs w:val="28"/>
        </w:rPr>
        <w:t xml:space="preserve"> відбуває</w:t>
      </w:r>
      <w:r w:rsidRPr="00D46C36">
        <w:rPr>
          <w:rFonts w:eastAsia="Calibri"/>
          <w:szCs w:val="28"/>
        </w:rPr>
        <w:t>ться</w:t>
      </w:r>
      <w:r w:rsidR="00AE5EBC" w:rsidRPr="00AE5EBC">
        <w:rPr>
          <w:rFonts w:eastAsia="Calibri"/>
          <w:szCs w:val="28"/>
        </w:rPr>
        <w:t xml:space="preserve"> </w:t>
      </w:r>
      <w:r w:rsidRPr="00D46C36">
        <w:rPr>
          <w:rFonts w:eastAsia="Calibri"/>
          <w:szCs w:val="28"/>
        </w:rPr>
        <w:t xml:space="preserve"> </w:t>
      </w:r>
      <w:r w:rsidR="00AE5EBC">
        <w:rPr>
          <w:rFonts w:eastAsia="Calibri"/>
          <w:szCs w:val="28"/>
        </w:rPr>
        <w:t xml:space="preserve">у   ранньому   неонатальному  періоді </w:t>
      </w:r>
    </w:p>
    <w:p w:rsidR="00D46C36" w:rsidRPr="00D46C36" w:rsidRDefault="00D46C36" w:rsidP="00AE5EBC">
      <w:pPr>
        <w:widowControl w:val="0"/>
        <w:tabs>
          <w:tab w:val="left" w:pos="1134"/>
        </w:tabs>
        <w:contextualSpacing/>
        <w:rPr>
          <w:rFonts w:eastAsia="Calibri"/>
          <w:szCs w:val="28"/>
        </w:rPr>
      </w:pPr>
      <w:r w:rsidRPr="00D46C36">
        <w:rPr>
          <w:rFonts w:eastAsia="Calibri"/>
          <w:szCs w:val="28"/>
        </w:rPr>
        <w:t>(0-6</w:t>
      </w:r>
      <w:r w:rsidR="00AE5EBC">
        <w:rPr>
          <w:lang w:val="en-US"/>
        </w:rPr>
        <w:t> </w:t>
      </w:r>
      <w:r w:rsidRPr="00D46C36">
        <w:rPr>
          <w:rFonts w:eastAsia="Calibri"/>
          <w:szCs w:val="28"/>
        </w:rPr>
        <w:t>днів).</w:t>
      </w:r>
    </w:p>
    <w:p w:rsidR="00D46C36" w:rsidRPr="00D46C36" w:rsidRDefault="00D46C36" w:rsidP="00D46C36">
      <w:pPr>
        <w:widowControl w:val="0"/>
        <w:numPr>
          <w:ilvl w:val="0"/>
          <w:numId w:val="4"/>
        </w:numPr>
        <w:tabs>
          <w:tab w:val="left" w:pos="1134"/>
        </w:tabs>
        <w:ind w:left="0" w:firstLine="709"/>
        <w:contextualSpacing/>
        <w:rPr>
          <w:rFonts w:eastAsia="Calibri"/>
          <w:szCs w:val="28"/>
        </w:rPr>
      </w:pPr>
      <w:r w:rsidRPr="00D46C36">
        <w:rPr>
          <w:rFonts w:eastAsia="Calibri"/>
          <w:color w:val="000000"/>
          <w:szCs w:val="28"/>
        </w:rPr>
        <w:t>Показа</w:t>
      </w:r>
      <w:r w:rsidR="00E147E6">
        <w:rPr>
          <w:rFonts w:eastAsia="Calibri"/>
          <w:color w:val="000000"/>
          <w:szCs w:val="28"/>
        </w:rPr>
        <w:t>но, що не зважаючи на</w:t>
      </w:r>
      <w:r w:rsidRPr="00D46C36">
        <w:rPr>
          <w:rFonts w:eastAsia="Calibri"/>
          <w:color w:val="000000"/>
          <w:szCs w:val="28"/>
        </w:rPr>
        <w:t xml:space="preserve"> зниження за </w:t>
      </w:r>
      <w:r w:rsidR="00E147E6">
        <w:rPr>
          <w:rFonts w:eastAsia="Calibri"/>
          <w:szCs w:val="28"/>
        </w:rPr>
        <w:t>2009</w:t>
      </w:r>
      <w:r w:rsidRPr="009A226A">
        <w:rPr>
          <w:rFonts w:eastAsia="Calibri"/>
          <w:szCs w:val="28"/>
        </w:rPr>
        <w:t xml:space="preserve">-2018 </w:t>
      </w:r>
      <w:r w:rsidRPr="00D46C36">
        <w:rPr>
          <w:rFonts w:eastAsia="Calibri"/>
          <w:color w:val="000000"/>
          <w:szCs w:val="28"/>
        </w:rPr>
        <w:t xml:space="preserve">рр. </w:t>
      </w:r>
      <w:r w:rsidRPr="00D46C36">
        <w:rPr>
          <w:rFonts w:eastAsia="NewtonC-Bold" w:cs="NewtonC-Bold"/>
          <w:bCs/>
          <w:szCs w:val="28"/>
          <w:lang w:eastAsia="ru-RU"/>
        </w:rPr>
        <w:t>показника смертності поза стаціонаром дітей віком до 1-го року життя, які перебували під наглядом дитячих поліклінічних закладів сфери управління МОЗ України з 1,36 до 0,89 з розрахунку на 1000 дітей відповідного віку (ВШ 0,77 (95% ДІ 0</w:t>
      </w:r>
      <w:r w:rsidR="00E147E6">
        <w:rPr>
          <w:rFonts w:eastAsia="NewtonC-Bold" w:cs="NewtonC-Bold"/>
          <w:bCs/>
          <w:szCs w:val="28"/>
          <w:lang w:eastAsia="ru-RU"/>
        </w:rPr>
        <w:t>,</w:t>
      </w:r>
      <w:r w:rsidRPr="00D46C36">
        <w:rPr>
          <w:rFonts w:eastAsia="NewtonC-Bold" w:cs="NewtonC-Bold"/>
          <w:bCs/>
          <w:szCs w:val="28"/>
          <w:lang w:eastAsia="ru-RU"/>
        </w:rPr>
        <w:t>67-0,89, р&lt;0,001),</w:t>
      </w:r>
      <w:r w:rsidR="00AF1037">
        <w:rPr>
          <w:rFonts w:eastAsia="NewtonC-Bold" w:cs="NewtonC-Bold"/>
          <w:bCs/>
          <w:szCs w:val="28"/>
          <w:lang w:eastAsia="ru-RU"/>
        </w:rPr>
        <w:t xml:space="preserve"> протягом</w:t>
      </w:r>
      <w:r w:rsidR="00A54959">
        <w:rPr>
          <w:rFonts w:eastAsia="NewtonC-Bold" w:cs="NewtonC-Bold"/>
          <w:bCs/>
          <w:szCs w:val="28"/>
          <w:lang w:eastAsia="ru-RU"/>
        </w:rPr>
        <w:t xml:space="preserve"> 2011-2018 рр.</w:t>
      </w:r>
      <w:r w:rsidR="00A54959">
        <w:rPr>
          <w:rFonts w:eastAsia="Calibri"/>
          <w:color w:val="000000"/>
          <w:szCs w:val="28"/>
        </w:rPr>
        <w:t xml:space="preserve"> зберігаються</w:t>
      </w:r>
      <w:r w:rsidR="00EE3ABD">
        <w:rPr>
          <w:rFonts w:eastAsia="Calibri"/>
          <w:color w:val="000000"/>
          <w:szCs w:val="28"/>
        </w:rPr>
        <w:t>:</w:t>
      </w:r>
      <w:r w:rsidRPr="00D46C36">
        <w:rPr>
          <w:rFonts w:eastAsia="Calibri"/>
          <w:color w:val="000000"/>
          <w:szCs w:val="28"/>
        </w:rPr>
        <w:t xml:space="preserve"> суттєві варіації </w:t>
      </w:r>
      <w:r w:rsidR="00EE3ABD" w:rsidRPr="00EE3ABD">
        <w:rPr>
          <w:rFonts w:eastAsia="Calibri"/>
          <w:bCs/>
          <w:color w:val="000000"/>
          <w:szCs w:val="28"/>
        </w:rPr>
        <w:t>показника смертності поза стаціонаром</w:t>
      </w:r>
      <w:r w:rsidR="00EE3ABD" w:rsidRPr="00EE3ABD">
        <w:rPr>
          <w:rFonts w:eastAsia="Calibri"/>
          <w:color w:val="000000"/>
          <w:szCs w:val="28"/>
        </w:rPr>
        <w:t xml:space="preserve"> </w:t>
      </w:r>
      <w:r w:rsidR="00EE3ABD">
        <w:rPr>
          <w:rFonts w:eastAsia="Calibri"/>
          <w:color w:val="000000"/>
          <w:szCs w:val="28"/>
        </w:rPr>
        <w:t xml:space="preserve">дітей до 1 року життя </w:t>
      </w:r>
      <w:r w:rsidRPr="00D46C36">
        <w:rPr>
          <w:rFonts w:eastAsia="Calibri"/>
          <w:color w:val="000000"/>
          <w:szCs w:val="28"/>
        </w:rPr>
        <w:t>за окремими адмі</w:t>
      </w:r>
      <w:r w:rsidR="00BE3C23">
        <w:rPr>
          <w:rFonts w:eastAsia="Calibri"/>
          <w:color w:val="000000"/>
          <w:szCs w:val="28"/>
        </w:rPr>
        <w:t xml:space="preserve">ністративними територіями (МКІ </w:t>
      </w:r>
      <w:r w:rsidRPr="00D46C36">
        <w:rPr>
          <w:rFonts w:eastAsia="Calibri"/>
          <w:color w:val="000000"/>
          <w:szCs w:val="28"/>
        </w:rPr>
        <w:t>у 2011 р. становив 0,7 та 0,74</w:t>
      </w:r>
      <w:r w:rsidR="00BE3C23">
        <w:rPr>
          <w:rFonts w:eastAsia="Calibri"/>
          <w:color w:val="000000"/>
          <w:szCs w:val="28"/>
        </w:rPr>
        <w:t xml:space="preserve"> у 2018 р.</w:t>
      </w:r>
      <w:r w:rsidRPr="00D46C36">
        <w:rPr>
          <w:rFonts w:eastAsia="Calibri"/>
          <w:color w:val="000000"/>
          <w:szCs w:val="28"/>
        </w:rPr>
        <w:t xml:space="preserve">), стала причинна структура, оскільки перші рейтингові місця продовжують займати </w:t>
      </w:r>
      <w:r w:rsidRPr="00D46C36">
        <w:rPr>
          <w:rFonts w:eastAsia="Calibri"/>
          <w:szCs w:val="28"/>
        </w:rPr>
        <w:t>травми, отруєння та деякі інші наслідки дії зовнішніх причин (І місце), симптоми, ознаки та відхилення від норми (ІІ місце), хвороби органів дихання (ІІІ місце), уроджені аномалії (ІV місце), хвороби ендокринної системи (V місце), хвороби крові і кровотворних органів</w:t>
      </w:r>
      <w:r w:rsidRPr="00D46C36">
        <w:rPr>
          <w:rFonts w:eastAsia="Calibri"/>
          <w:color w:val="000000"/>
          <w:szCs w:val="28"/>
        </w:rPr>
        <w:t xml:space="preserve"> (</w:t>
      </w:r>
      <w:r w:rsidRPr="00D46C36">
        <w:rPr>
          <w:rFonts w:eastAsia="Calibri"/>
          <w:szCs w:val="28"/>
        </w:rPr>
        <w:t xml:space="preserve">VI місце), а також </w:t>
      </w:r>
      <w:r w:rsidRPr="00D46C36">
        <w:rPr>
          <w:rFonts w:eastAsia="Calibri"/>
          <w:color w:val="000000"/>
          <w:szCs w:val="28"/>
        </w:rPr>
        <w:t xml:space="preserve">відсутність динаміки у частках дітей, які </w:t>
      </w:r>
      <w:r w:rsidRPr="00D46C36">
        <w:rPr>
          <w:rFonts w:eastAsia="Calibri"/>
          <w:color w:val="000000"/>
          <w:szCs w:val="28"/>
        </w:rPr>
        <w:lastRenderedPageBreak/>
        <w:t>помирають поза стаціонару у загальній кількості померлих дітей (</w:t>
      </w:r>
      <w:r w:rsidR="00A07379" w:rsidRPr="00A07379">
        <w:rPr>
          <w:rFonts w:eastAsia="Calibri"/>
          <w:color w:val="000000"/>
          <w:szCs w:val="28"/>
        </w:rPr>
        <w:t>40,94% у 2013 р. та 43,8% у 2018</w:t>
      </w:r>
      <w:r w:rsidR="00A07379" w:rsidRPr="00A07379">
        <w:rPr>
          <w:rFonts w:eastAsia="Calibri"/>
          <w:color w:val="000000"/>
          <w:szCs w:val="28"/>
          <w:lang w:val="en-US"/>
        </w:rPr>
        <w:t> </w:t>
      </w:r>
      <w:r w:rsidR="00A07379" w:rsidRPr="00A07379">
        <w:rPr>
          <w:rFonts w:eastAsia="Calibri"/>
          <w:color w:val="000000"/>
          <w:szCs w:val="28"/>
        </w:rPr>
        <w:t>р.</w:t>
      </w:r>
      <w:r w:rsidRPr="00D46C36">
        <w:rPr>
          <w:rFonts w:eastAsia="Calibri"/>
          <w:color w:val="000000"/>
          <w:szCs w:val="28"/>
        </w:rPr>
        <w:t>)</w:t>
      </w:r>
      <w:r w:rsidRPr="00D46C36">
        <w:rPr>
          <w:rFonts w:eastAsia="Calibri"/>
          <w:szCs w:val="28"/>
        </w:rPr>
        <w:t xml:space="preserve"> на тлі збільшення такої частки у двох областях (Житомирській – ВШ </w:t>
      </w:r>
      <w:r w:rsidRPr="00D46C36">
        <w:rPr>
          <w:rFonts w:eastAsia="Times New Roman"/>
          <w:color w:val="000000"/>
          <w:szCs w:val="28"/>
          <w:lang w:eastAsia="ru-RU"/>
        </w:rPr>
        <w:t xml:space="preserve">2,81 [95% ДІ 0,9-9,08], р=0,0396 та Тернопільській – ВШ 21,0 [95% ДІ 1,73-100,7], р=0,0042) та </w:t>
      </w:r>
      <w:r w:rsidRPr="00D46C36">
        <w:rPr>
          <w:rFonts w:eastAsia="Calibri"/>
          <w:szCs w:val="28"/>
        </w:rPr>
        <w:t>відсутності достовірної динаміки в усіх інших областях.</w:t>
      </w:r>
    </w:p>
    <w:p w:rsidR="00D46C36" w:rsidRPr="00D46C36" w:rsidRDefault="00D46C36" w:rsidP="00D46C36">
      <w:pPr>
        <w:widowControl w:val="0"/>
        <w:numPr>
          <w:ilvl w:val="0"/>
          <w:numId w:val="4"/>
        </w:numPr>
        <w:tabs>
          <w:tab w:val="left" w:pos="1134"/>
        </w:tabs>
        <w:ind w:left="0" w:firstLine="709"/>
        <w:contextualSpacing/>
        <w:rPr>
          <w:rFonts w:eastAsia="Calibri"/>
          <w:szCs w:val="28"/>
        </w:rPr>
      </w:pPr>
      <w:r w:rsidRPr="00D46C36">
        <w:rPr>
          <w:rFonts w:eastAsia="Calibri"/>
          <w:szCs w:val="28"/>
        </w:rPr>
        <w:t>Виявлено, що серед випадків смерті, що відбулись у стаціонарах, найбільша частка належить дітям у віці до 1 року (2018 р. – 72,84%  – 2025 дітей), що зменшилась на 27,34% відносно 2014 р. (77,63% – 2787 дітей), при цьому шанси дітей до 1 року померти у стаціонарі становлять  ВШ=0,773 (95% ДІ 0,689-0,867, стандартна помилка відношення шансів (</w:t>
      </w:r>
      <w:r w:rsidRPr="00D46C36">
        <w:rPr>
          <w:rFonts w:eastAsia="Calibri"/>
          <w:szCs w:val="28"/>
          <w:lang w:val="en-US"/>
        </w:rPr>
        <w:t>s</w:t>
      </w:r>
      <w:r w:rsidR="003A0FD8">
        <w:rPr>
          <w:rFonts w:eastAsia="Calibri"/>
          <w:szCs w:val="28"/>
        </w:rPr>
        <w:t>) 0,059), а також</w:t>
      </w:r>
      <w:r w:rsidRPr="00D46C36">
        <w:rPr>
          <w:rFonts w:eastAsia="Calibri"/>
          <w:szCs w:val="28"/>
        </w:rPr>
        <w:t xml:space="preserve"> за результатами аналізу регіональних рівнів спостерігається зростання </w:t>
      </w:r>
      <w:r w:rsidRPr="00D46C36">
        <w:rPr>
          <w:rFonts w:eastAsia="Calibri"/>
          <w:bCs/>
          <w:szCs w:val="28"/>
        </w:rPr>
        <w:t>медіанного значення показника госпітальної летальності дітей до 1-го року життя та наявність диспропорцій у значеннях даного показника в окремих адміністративних територіях (Ме=0,87 у 2014 р. та Ме=0,96 у 2018 р.) на тлі збільшення міжквартильного інтервалу (відповідно 0,27 и 0,36, при слабкій варіації С</w:t>
      </w:r>
      <w:r w:rsidRPr="00D46C36">
        <w:rPr>
          <w:rFonts w:eastAsia="Calibri"/>
          <w:bCs/>
          <w:szCs w:val="28"/>
          <w:lang w:val="en-US"/>
        </w:rPr>
        <w:t>v</w:t>
      </w:r>
      <w:r w:rsidRPr="00D46C36">
        <w:rPr>
          <w:rFonts w:eastAsia="Calibri"/>
          <w:bCs/>
          <w:szCs w:val="28"/>
        </w:rPr>
        <w:t>=21,37% та С</w:t>
      </w:r>
      <w:r w:rsidRPr="00D46C36">
        <w:rPr>
          <w:rFonts w:eastAsia="Calibri"/>
          <w:bCs/>
          <w:szCs w:val="28"/>
          <w:lang w:val="en-US"/>
        </w:rPr>
        <w:t>v</w:t>
      </w:r>
      <w:r w:rsidRPr="00D46C36">
        <w:rPr>
          <w:rFonts w:eastAsia="Calibri"/>
          <w:bCs/>
          <w:szCs w:val="28"/>
        </w:rPr>
        <w:t>=23,07%).</w:t>
      </w:r>
      <w:r w:rsidRPr="00D46C36">
        <w:rPr>
          <w:rFonts w:eastAsia="Calibri"/>
          <w:szCs w:val="28"/>
        </w:rPr>
        <w:t xml:space="preserve"> </w:t>
      </w:r>
      <w:r w:rsidRPr="00D46C36">
        <w:rPr>
          <w:rFonts w:eastAsia="Calibri"/>
          <w:bCs/>
          <w:szCs w:val="28"/>
        </w:rPr>
        <w:t xml:space="preserve">В структурі госпітальної летальності дітей до 1-го року життя провідні місця займають окремі стани перинатального періоду (60,59%), вроджені аномалії розвитку (26,91%) і хвороби органів дихання (3,38%), хвороби нервової системи (2,91%), деякі інфекційні та паразитарні хвороби (2,37%). Також спостерігається регіональна диференціація смертності новонароджених в лікарняних стаціонарах, медіанне значення загального рівня смертності новонароджених </w:t>
      </w:r>
      <w:r w:rsidR="007456D4">
        <w:rPr>
          <w:rFonts w:eastAsia="Calibri"/>
          <w:bCs/>
          <w:szCs w:val="28"/>
        </w:rPr>
        <w:t xml:space="preserve">зросло </w:t>
      </w:r>
      <w:r w:rsidRPr="00D46C36">
        <w:rPr>
          <w:rFonts w:eastAsia="Calibri"/>
          <w:bCs/>
          <w:szCs w:val="28"/>
        </w:rPr>
        <w:t xml:space="preserve">(Ме=2,56 та Ме=2,62), при цьому, слід відмітити </w:t>
      </w:r>
      <w:r w:rsidR="00F7191E">
        <w:rPr>
          <w:rFonts w:eastAsia="Calibri"/>
          <w:bCs/>
          <w:szCs w:val="28"/>
        </w:rPr>
        <w:t>зменшення міжквартильного</w:t>
      </w:r>
      <w:r w:rsidRPr="00D46C36">
        <w:rPr>
          <w:rFonts w:eastAsia="Calibri"/>
          <w:bCs/>
          <w:szCs w:val="28"/>
        </w:rPr>
        <w:t xml:space="preserve"> розмах</w:t>
      </w:r>
      <w:r w:rsidR="00F7191E">
        <w:rPr>
          <w:rFonts w:eastAsia="Calibri"/>
          <w:bCs/>
          <w:szCs w:val="28"/>
        </w:rPr>
        <w:t>у</w:t>
      </w:r>
      <w:r w:rsidRPr="00D46C36">
        <w:rPr>
          <w:rFonts w:eastAsia="Calibri"/>
          <w:bCs/>
          <w:szCs w:val="28"/>
        </w:rPr>
        <w:t xml:space="preserve"> (Q</w:t>
      </w:r>
      <w:r w:rsidRPr="00D46C36">
        <w:rPr>
          <w:rFonts w:eastAsia="Calibri"/>
          <w:bCs/>
          <w:szCs w:val="28"/>
          <w:vertAlign w:val="subscript"/>
        </w:rPr>
        <w:t>1</w:t>
      </w:r>
      <w:r w:rsidRPr="00D46C36">
        <w:rPr>
          <w:rFonts w:eastAsia="Calibri"/>
          <w:bCs/>
          <w:szCs w:val="28"/>
        </w:rPr>
        <w:t>-Q</w:t>
      </w:r>
      <w:r w:rsidRPr="00D46C36">
        <w:rPr>
          <w:rFonts w:eastAsia="Calibri"/>
          <w:bCs/>
          <w:szCs w:val="28"/>
          <w:vertAlign w:val="subscript"/>
        </w:rPr>
        <w:t>3</w:t>
      </w:r>
      <w:r w:rsidRPr="00D46C36">
        <w:rPr>
          <w:rFonts w:eastAsia="Calibri"/>
          <w:bCs/>
          <w:szCs w:val="28"/>
        </w:rPr>
        <w:t>) даного показника, при помірній варіації С</w:t>
      </w:r>
      <w:r w:rsidRPr="00D46C36">
        <w:rPr>
          <w:rFonts w:eastAsia="Calibri"/>
          <w:bCs/>
          <w:szCs w:val="28"/>
          <w:lang w:val="en-US"/>
        </w:rPr>
        <w:t>v</w:t>
      </w:r>
      <w:r w:rsidRPr="00D46C36">
        <w:rPr>
          <w:rFonts w:eastAsia="Calibri"/>
          <w:bCs/>
          <w:szCs w:val="28"/>
        </w:rPr>
        <w:t>&gt;30%, але С</w:t>
      </w:r>
      <w:r w:rsidRPr="00D46C36">
        <w:rPr>
          <w:rFonts w:eastAsia="Calibri"/>
          <w:bCs/>
          <w:szCs w:val="28"/>
          <w:lang w:val="en-US"/>
        </w:rPr>
        <w:t>v</w:t>
      </w:r>
      <w:r w:rsidRPr="00D46C36">
        <w:rPr>
          <w:rFonts w:eastAsia="Calibri"/>
          <w:bCs/>
          <w:szCs w:val="28"/>
        </w:rPr>
        <w:t>&lt;70%.</w:t>
      </w:r>
    </w:p>
    <w:p w:rsidR="00D46C36" w:rsidRPr="00D46C36" w:rsidRDefault="00D46C36" w:rsidP="00D46C36">
      <w:pPr>
        <w:widowControl w:val="0"/>
        <w:numPr>
          <w:ilvl w:val="0"/>
          <w:numId w:val="4"/>
        </w:numPr>
        <w:tabs>
          <w:tab w:val="left" w:pos="1134"/>
        </w:tabs>
        <w:ind w:left="0" w:firstLine="709"/>
        <w:contextualSpacing/>
        <w:rPr>
          <w:rFonts w:eastAsia="Calibri"/>
          <w:szCs w:val="28"/>
        </w:rPr>
      </w:pPr>
      <w:r w:rsidRPr="00D46C36">
        <w:rPr>
          <w:rFonts w:eastAsia="Calibri"/>
          <w:szCs w:val="28"/>
        </w:rPr>
        <w:t xml:space="preserve">З’ясовано, що найбільшу частку серед дитячих вікових груп у загальній структурі DALYs України для усіх вікових груп і за всіма причинами має </w:t>
      </w:r>
      <w:r w:rsidR="00256687">
        <w:rPr>
          <w:rFonts w:eastAsia="Calibri"/>
          <w:szCs w:val="28"/>
        </w:rPr>
        <w:t>вікова група дітей віком до 5</w:t>
      </w:r>
      <w:r w:rsidRPr="00D46C36">
        <w:rPr>
          <w:rFonts w:eastAsia="Calibri"/>
          <w:szCs w:val="28"/>
        </w:rPr>
        <w:t xml:space="preserve"> років життя (1,71%), що дорівнює 368414,16 </w:t>
      </w:r>
      <w:r w:rsidR="00256687">
        <w:rPr>
          <w:rFonts w:eastAsia="Calibri"/>
          <w:szCs w:val="28"/>
        </w:rPr>
        <w:t xml:space="preserve">втраченим </w:t>
      </w:r>
      <w:r w:rsidRPr="00D46C36">
        <w:rPr>
          <w:rFonts w:eastAsia="Calibri"/>
          <w:szCs w:val="28"/>
        </w:rPr>
        <w:t xml:space="preserve">рокам життя, при цьому </w:t>
      </w:r>
      <w:r w:rsidR="00F85A88">
        <w:rPr>
          <w:rFonts w:eastAsia="Calibri"/>
          <w:szCs w:val="28"/>
        </w:rPr>
        <w:t xml:space="preserve">частку </w:t>
      </w:r>
      <w:r w:rsidRPr="00D46C36">
        <w:rPr>
          <w:rFonts w:eastAsia="Calibri"/>
          <w:szCs w:val="28"/>
        </w:rPr>
        <w:t xml:space="preserve">1,17% мають діти вікової групи 0-1 роки життя (251800,98 втрачених років життя), </w:t>
      </w:r>
      <w:r w:rsidR="00F85A88">
        <w:rPr>
          <w:rFonts w:eastAsia="Calibri"/>
          <w:szCs w:val="28"/>
        </w:rPr>
        <w:t xml:space="preserve">частка </w:t>
      </w:r>
      <w:r w:rsidRPr="00D46C36">
        <w:rPr>
          <w:rFonts w:eastAsia="Calibri"/>
          <w:szCs w:val="28"/>
        </w:rPr>
        <w:t>вікової групи 1-4 роки</w:t>
      </w:r>
      <w:r w:rsidR="00F85A88">
        <w:rPr>
          <w:rFonts w:eastAsia="Calibri"/>
          <w:szCs w:val="28"/>
        </w:rPr>
        <w:t xml:space="preserve"> життя</w:t>
      </w:r>
      <w:r w:rsidRPr="00D46C36">
        <w:rPr>
          <w:rFonts w:eastAsia="Calibri"/>
          <w:szCs w:val="28"/>
        </w:rPr>
        <w:t xml:space="preserve"> – 0,54%.</w:t>
      </w:r>
    </w:p>
    <w:p w:rsidR="00D46C36" w:rsidRPr="00D46C36" w:rsidRDefault="00D46C36" w:rsidP="00D46C36">
      <w:pPr>
        <w:widowControl w:val="0"/>
        <w:numPr>
          <w:ilvl w:val="0"/>
          <w:numId w:val="4"/>
        </w:numPr>
        <w:tabs>
          <w:tab w:val="left" w:pos="1134"/>
        </w:tabs>
        <w:ind w:left="0" w:firstLine="709"/>
        <w:contextualSpacing/>
        <w:rPr>
          <w:rFonts w:eastAsia="Calibri"/>
          <w:szCs w:val="28"/>
        </w:rPr>
      </w:pPr>
      <w:r w:rsidRPr="00D46C36">
        <w:rPr>
          <w:rFonts w:eastAsia="Calibri"/>
          <w:szCs w:val="28"/>
        </w:rPr>
        <w:t>Продемонстровано, що показник DALYs у випадк</w:t>
      </w:r>
      <w:r w:rsidR="003A0FD8">
        <w:rPr>
          <w:rFonts w:eastAsia="Calibri"/>
          <w:szCs w:val="28"/>
        </w:rPr>
        <w:t>у смерті</w:t>
      </w:r>
      <w:r w:rsidR="00256687">
        <w:rPr>
          <w:rFonts w:eastAsia="Calibri"/>
          <w:szCs w:val="28"/>
        </w:rPr>
        <w:t xml:space="preserve"> дітей віком до 5</w:t>
      </w:r>
      <w:r w:rsidRPr="00D46C36">
        <w:rPr>
          <w:rFonts w:eastAsia="Calibri"/>
          <w:szCs w:val="28"/>
        </w:rPr>
        <w:t xml:space="preserve"> років життя в Україні за всіма причинами достовірно знизився на 24,8% з </w:t>
      </w:r>
      <w:r w:rsidRPr="00D46C36">
        <w:rPr>
          <w:rFonts w:eastAsia="Calibri"/>
          <w:szCs w:val="28"/>
          <w:lang w:val="ru-RU"/>
        </w:rPr>
        <w:t xml:space="preserve">22865,85 років у 2009 р. </w:t>
      </w:r>
      <w:r w:rsidRPr="00D46C36">
        <w:rPr>
          <w:rFonts w:eastAsia="Calibri"/>
          <w:szCs w:val="28"/>
        </w:rPr>
        <w:t>(95% ДІ 24373,66- 21566,49) до 17185,91років у 2019</w:t>
      </w:r>
      <w:r w:rsidR="00911730">
        <w:rPr>
          <w:rFonts w:eastAsia="Calibri"/>
          <w:szCs w:val="28"/>
        </w:rPr>
        <w:t xml:space="preserve"> р. (95% ДІ </w:t>
      </w:r>
      <w:r w:rsidR="00911730">
        <w:rPr>
          <w:rFonts w:eastAsia="Calibri"/>
          <w:szCs w:val="28"/>
        </w:rPr>
        <w:lastRenderedPageBreak/>
        <w:t>20359,39-14763,32) у</w:t>
      </w:r>
      <w:r w:rsidRPr="00D46C36">
        <w:rPr>
          <w:rFonts w:eastAsia="Calibri"/>
          <w:szCs w:val="28"/>
        </w:rPr>
        <w:t xml:space="preserve"> розрахунку на 100 тис. осіб.  При цьому, показник хлопчиків знизився на 17,66% з 25496,08 років у 2009 р. [95% ДІ 27234,59-23952,46] до 20994,55 років у 2019 р. [95% ДІ 22613,54-19529,38]), серед дівчат  аналогічний показник знизився на 23,38% з 20081,12</w:t>
      </w:r>
      <w:r w:rsidR="005B60F0">
        <w:rPr>
          <w:rFonts w:eastAsia="Calibri"/>
          <w:szCs w:val="28"/>
        </w:rPr>
        <w:t xml:space="preserve"> </w:t>
      </w:r>
      <w:r w:rsidRPr="00D46C36">
        <w:rPr>
          <w:rFonts w:eastAsia="Calibri"/>
          <w:szCs w:val="28"/>
        </w:rPr>
        <w:t xml:space="preserve"> років  у 2009 р. [95% ДІ 21458,80-18911,87] до 15386,83 </w:t>
      </w:r>
      <w:r w:rsidR="005B60F0">
        <w:rPr>
          <w:rFonts w:eastAsia="Calibri"/>
          <w:szCs w:val="28"/>
        </w:rPr>
        <w:t xml:space="preserve">втрачених </w:t>
      </w:r>
      <w:r w:rsidRPr="00D46C36">
        <w:rPr>
          <w:rFonts w:eastAsia="Calibri"/>
          <w:szCs w:val="28"/>
        </w:rPr>
        <w:t>років  у 2019</w:t>
      </w:r>
      <w:r w:rsidR="005B60F0">
        <w:rPr>
          <w:rFonts w:eastAsia="Calibri"/>
          <w:szCs w:val="28"/>
        </w:rPr>
        <w:t xml:space="preserve"> р. [95% ДІ 18204,25-13255,00] у</w:t>
      </w:r>
      <w:r w:rsidRPr="00D46C36">
        <w:rPr>
          <w:rFonts w:eastAsia="Calibri"/>
          <w:szCs w:val="28"/>
        </w:rPr>
        <w:t xml:space="preserve"> розрахунку на 100</w:t>
      </w:r>
      <w:r w:rsidR="009A226A">
        <w:rPr>
          <w:rFonts w:eastAsia="Calibri"/>
          <w:szCs w:val="28"/>
        </w:rPr>
        <w:t> </w:t>
      </w:r>
      <w:r w:rsidRPr="00D46C36">
        <w:rPr>
          <w:rFonts w:eastAsia="Calibri"/>
          <w:szCs w:val="28"/>
        </w:rPr>
        <w:t>тис.</w:t>
      </w:r>
      <w:r w:rsidR="009A226A">
        <w:rPr>
          <w:rFonts w:eastAsia="Calibri"/>
          <w:szCs w:val="28"/>
        </w:rPr>
        <w:t> осіб.</w:t>
      </w:r>
      <w:r w:rsidRPr="00D46C36">
        <w:rPr>
          <w:rFonts w:eastAsia="Calibri"/>
          <w:szCs w:val="28"/>
        </w:rPr>
        <w:t xml:space="preserve"> Не зважаючи на це, Україна відноситься до </w:t>
      </w:r>
      <w:r w:rsidR="00C0145D">
        <w:rPr>
          <w:rFonts w:eastAsia="Calibri"/>
          <w:szCs w:val="28"/>
        </w:rPr>
        <w:t xml:space="preserve">однією із країн із найбільшим </w:t>
      </w:r>
      <w:r w:rsidRPr="00D46C36">
        <w:rPr>
          <w:rFonts w:eastAsia="Calibri"/>
          <w:szCs w:val="28"/>
        </w:rPr>
        <w:t>тягаре</w:t>
      </w:r>
      <w:r w:rsidR="003A0FD8">
        <w:rPr>
          <w:rFonts w:eastAsia="Calibri"/>
          <w:szCs w:val="28"/>
        </w:rPr>
        <w:t>м хвороб, який</w:t>
      </w:r>
      <w:r w:rsidR="009A226A">
        <w:rPr>
          <w:rFonts w:eastAsia="Calibri"/>
          <w:szCs w:val="28"/>
        </w:rPr>
        <w:t xml:space="preserve"> значно перевищує аналогічні</w:t>
      </w:r>
      <w:r w:rsidRPr="00D46C36">
        <w:rPr>
          <w:rFonts w:eastAsia="Calibri"/>
          <w:szCs w:val="28"/>
        </w:rPr>
        <w:t xml:space="preserve"> показники Польщі, Словаччини, Угорщини, Німеччини, Франції, Іспанії та США.</w:t>
      </w:r>
    </w:p>
    <w:p w:rsidR="00D46C36" w:rsidRPr="00D46C36" w:rsidRDefault="00D46C36" w:rsidP="00D46C36">
      <w:pPr>
        <w:widowControl w:val="0"/>
        <w:numPr>
          <w:ilvl w:val="0"/>
          <w:numId w:val="4"/>
        </w:numPr>
        <w:tabs>
          <w:tab w:val="left" w:pos="1134"/>
        </w:tabs>
        <w:ind w:left="0" w:firstLine="709"/>
        <w:contextualSpacing/>
        <w:rPr>
          <w:rFonts w:eastAsia="Calibri"/>
          <w:szCs w:val="28"/>
        </w:rPr>
      </w:pPr>
      <w:r w:rsidRPr="00D46C36">
        <w:rPr>
          <w:rFonts w:eastAsia="Calibri"/>
          <w:szCs w:val="28"/>
        </w:rPr>
        <w:t xml:space="preserve">Встановлено, що у 2018 р. найбільший внесок у показник DALYs у </w:t>
      </w:r>
      <w:r w:rsidR="00CB4E06">
        <w:rPr>
          <w:rFonts w:eastAsia="Calibri"/>
          <w:szCs w:val="28"/>
        </w:rPr>
        <w:t>дітей віком до 5</w:t>
      </w:r>
      <w:r w:rsidR="0063633C">
        <w:rPr>
          <w:rFonts w:eastAsia="Calibri"/>
          <w:szCs w:val="28"/>
        </w:rPr>
        <w:t xml:space="preserve"> років життя внесли</w:t>
      </w:r>
      <w:r w:rsidRPr="00D46C36">
        <w:rPr>
          <w:rFonts w:eastAsia="Calibri"/>
          <w:szCs w:val="28"/>
        </w:rPr>
        <w:t xml:space="preserve"> розлади у матері, пов’язаним з вагітністю, та неонатальні розлади (34,75% [95% ДІ 28,29-39,29], р&lt;0,001), інші неінфекційні хвороби (26,8% [95% ДІ 22,96-35,99]) та ненавмисні травми (8,46% [95% ДІ</w:t>
      </w:r>
      <w:r w:rsidR="0063633C">
        <w:rPr>
          <w:rFonts w:eastAsia="Calibri"/>
          <w:szCs w:val="28"/>
        </w:rPr>
        <w:t xml:space="preserve"> 7,14-9,57]). Упродовж 2013-2018</w:t>
      </w:r>
      <w:r w:rsidRPr="00D46C36">
        <w:rPr>
          <w:rFonts w:eastAsia="Calibri"/>
          <w:szCs w:val="28"/>
        </w:rPr>
        <w:t xml:space="preserve"> рр. підвищення показника DALYs констатовано за класами: інші інфекційні захворювання (на 21,42%), новоутворення (на 18,9%), неврологічні розлади (на 12,89%), кишкові інфекції на 10,27%, самоушкодження і міжособистісне насильство на 59,86%, діабет та хвороби нирок на 13,33%.</w:t>
      </w:r>
    </w:p>
    <w:p w:rsidR="00D46C36" w:rsidRPr="00D46C36" w:rsidRDefault="00274E3D" w:rsidP="00D46C36">
      <w:pPr>
        <w:widowControl w:val="0"/>
        <w:numPr>
          <w:ilvl w:val="0"/>
          <w:numId w:val="4"/>
        </w:numPr>
        <w:tabs>
          <w:tab w:val="left" w:pos="1134"/>
        </w:tabs>
        <w:ind w:left="0" w:firstLine="709"/>
        <w:contextualSpacing/>
        <w:rPr>
          <w:rFonts w:eastAsia="Calibri"/>
          <w:szCs w:val="28"/>
        </w:rPr>
      </w:pPr>
      <w:r>
        <w:rPr>
          <w:rFonts w:eastAsia="Calibri"/>
          <w:szCs w:val="28"/>
        </w:rPr>
        <w:t xml:space="preserve">Показано, що в Україні </w:t>
      </w:r>
      <w:r w:rsidR="00D46C36" w:rsidRPr="00D46C36">
        <w:rPr>
          <w:rFonts w:eastAsia="Calibri"/>
          <w:szCs w:val="28"/>
        </w:rPr>
        <w:t xml:space="preserve"> показник суми потенційних років життя</w:t>
      </w:r>
      <w:r w:rsidR="00F34F91">
        <w:rPr>
          <w:rFonts w:eastAsia="Calibri"/>
          <w:szCs w:val="28"/>
        </w:rPr>
        <w:t>,</w:t>
      </w:r>
      <w:r w:rsidR="00D46C36" w:rsidRPr="00D46C36">
        <w:rPr>
          <w:rFonts w:eastAsia="Calibri"/>
          <w:szCs w:val="28"/>
        </w:rPr>
        <w:t xml:space="preserve"> втрачених внаслідок передчасної смерті (YLLs)</w:t>
      </w:r>
      <w:r w:rsidR="00F34F91">
        <w:rPr>
          <w:rFonts w:eastAsia="Calibri"/>
          <w:szCs w:val="28"/>
        </w:rPr>
        <w:t>,</w:t>
      </w:r>
      <w:r w:rsidR="00D46C36" w:rsidRPr="00D46C36">
        <w:rPr>
          <w:rFonts w:eastAsia="Calibri"/>
          <w:szCs w:val="28"/>
        </w:rPr>
        <w:t xml:space="preserve"> у віковій категорії 0-5 років життя становить 14391,70 років на 100 тис осіб (95% ДІ 17504,98-11994,45) у 2019 р., при цьому він перевищує аналогічні показники Іспанії в 2,9 рази (4938,65 потенційних років життя втрачених внаслідок передчасної смерті на 100 тис. осіб), Франції в 2,3 рази (6285,01 відповідно), Німеччини в 2,6 рази (5520,86 відповідно), Угорщини в 2,1 рази (6728,88 відповідно), Словаччини в 1,5 рази (9312,31 відповідно), Польщі в 2,1 рази (6589,77 відповідно), США в 1,25 рази (11467,48 відповідно).</w:t>
      </w:r>
    </w:p>
    <w:p w:rsidR="00D46C36" w:rsidRPr="00D46C36" w:rsidRDefault="00D46C36" w:rsidP="00D46C36">
      <w:pPr>
        <w:widowControl w:val="0"/>
        <w:numPr>
          <w:ilvl w:val="0"/>
          <w:numId w:val="4"/>
        </w:numPr>
        <w:tabs>
          <w:tab w:val="left" w:pos="1134"/>
        </w:tabs>
        <w:ind w:left="0" w:firstLine="709"/>
        <w:contextualSpacing/>
        <w:rPr>
          <w:rFonts w:eastAsia="Calibri"/>
          <w:szCs w:val="28"/>
        </w:rPr>
      </w:pPr>
      <w:r w:rsidRPr="00D46C36">
        <w:rPr>
          <w:rFonts w:eastAsia="Calibri"/>
          <w:szCs w:val="28"/>
        </w:rPr>
        <w:t>Показано, що за 2009-2019 рр. показник DALYs на 100 тис. осіб. у випадку дитячої смертності до 1-го року життя достовірно знизився на 21,87% (з 82010,66 втрачених років на 100 тис.осіб у 2009 р. (95% ДІ 88203,18-76413,92) до 64074,21</w:t>
      </w:r>
      <w:r w:rsidR="00F34F91">
        <w:rPr>
          <w:rFonts w:eastAsia="Calibri"/>
          <w:szCs w:val="28"/>
        </w:rPr>
        <w:t> </w:t>
      </w:r>
      <w:r w:rsidRPr="00D46C36">
        <w:rPr>
          <w:rFonts w:eastAsia="Calibri"/>
          <w:szCs w:val="28"/>
        </w:rPr>
        <w:t>років відповідно (95% ДІ 78454,88-53171,96), але протягом всього періоду дослідження залишався одним із вищих п</w:t>
      </w:r>
      <w:r w:rsidR="00F34F91">
        <w:rPr>
          <w:rFonts w:eastAsia="Calibri"/>
          <w:szCs w:val="28"/>
        </w:rPr>
        <w:t>орівняно з іншими</w:t>
      </w:r>
      <w:r w:rsidRPr="00D46C36">
        <w:rPr>
          <w:rFonts w:eastAsia="Calibri"/>
          <w:szCs w:val="28"/>
        </w:rPr>
        <w:t xml:space="preserve"> країнами: у 2019 р. показник DALYs дітей до 1-го року життя України перевищував аналогічний США </w:t>
      </w:r>
      <w:r w:rsidRPr="00D46C36">
        <w:rPr>
          <w:rFonts w:eastAsia="Calibri"/>
          <w:szCs w:val="28"/>
        </w:rPr>
        <w:lastRenderedPageBreak/>
        <w:t xml:space="preserve">на 25,0%, Іспанії в 2,6 рази, Франції в 2,2 рази, Німеччини в 2,5 рази, Угорщини в 2 рази, Словаччини в 1,5 рази, Польщі в 2 рази. </w:t>
      </w:r>
    </w:p>
    <w:p w:rsidR="00D46C36" w:rsidRPr="00D46C36" w:rsidRDefault="00D46C36" w:rsidP="00D46C36">
      <w:pPr>
        <w:widowControl w:val="0"/>
        <w:numPr>
          <w:ilvl w:val="0"/>
          <w:numId w:val="4"/>
        </w:numPr>
        <w:tabs>
          <w:tab w:val="left" w:pos="1134"/>
        </w:tabs>
        <w:ind w:left="0" w:firstLine="709"/>
        <w:contextualSpacing/>
        <w:rPr>
          <w:rFonts w:eastAsia="Calibri"/>
          <w:szCs w:val="28"/>
        </w:rPr>
      </w:pPr>
      <w:r w:rsidRPr="00D46C36">
        <w:rPr>
          <w:rFonts w:eastAsia="Calibri"/>
          <w:szCs w:val="28"/>
        </w:rPr>
        <w:t>Продемонстровано, що протягом 2009-2019 рр. показник суми потенційних років життя</w:t>
      </w:r>
      <w:r w:rsidR="003A0FD8">
        <w:rPr>
          <w:rFonts w:eastAsia="Calibri"/>
          <w:szCs w:val="28"/>
        </w:rPr>
        <w:t>,</w:t>
      </w:r>
      <w:r w:rsidRPr="00D46C36">
        <w:rPr>
          <w:rFonts w:eastAsia="Calibri"/>
          <w:szCs w:val="28"/>
        </w:rPr>
        <w:t xml:space="preserve"> втрачених внаслідок передчасної </w:t>
      </w:r>
      <w:r w:rsidR="003A0FD8">
        <w:rPr>
          <w:rFonts w:eastAsia="Calibri"/>
          <w:szCs w:val="28"/>
        </w:rPr>
        <w:t>смерті (YLLs</w:t>
      </w:r>
      <w:r w:rsidRPr="00D46C36">
        <w:rPr>
          <w:rFonts w:eastAsia="Calibri"/>
          <w:szCs w:val="28"/>
        </w:rPr>
        <w:t>)</w:t>
      </w:r>
      <w:r w:rsidR="003A0FD8">
        <w:rPr>
          <w:rFonts w:eastAsia="Calibri"/>
          <w:szCs w:val="28"/>
        </w:rPr>
        <w:t>,</w:t>
      </w:r>
      <w:r w:rsidRPr="00D46C36">
        <w:rPr>
          <w:rFonts w:eastAsia="Calibri"/>
          <w:szCs w:val="28"/>
        </w:rPr>
        <w:t xml:space="preserve"> для ранньої неонатальної смертності знизився на 22,5% протягом 2009-2019 рр. та становив у 2019 р. – 1685452,18 на 100 тис. осіб (95% ДІ 2064803,79-1383250,92), хоча продовжує залишатись одним із найвищих в європейському регіоні. Даний показник у хлопчиків (</w:t>
      </w:r>
      <w:r w:rsidRPr="00D46C36">
        <w:rPr>
          <w:rFonts w:eastAsia="Calibri"/>
          <w:szCs w:val="28"/>
          <w:lang w:val="ru-RU"/>
        </w:rPr>
        <w:t>2280669,87</w:t>
      </w:r>
      <w:r w:rsidRPr="00D46C36">
        <w:rPr>
          <w:rFonts w:eastAsia="Calibri"/>
          <w:szCs w:val="28"/>
        </w:rPr>
        <w:t xml:space="preserve"> на 100 тис. осіб; 95% ДІ </w:t>
      </w:r>
      <w:r w:rsidRPr="00D46C36">
        <w:rPr>
          <w:rFonts w:eastAsia="Calibri"/>
          <w:szCs w:val="28"/>
          <w:lang w:val="ru-RU"/>
        </w:rPr>
        <w:t>2826885,80</w:t>
      </w:r>
      <w:r w:rsidRPr="00D46C36">
        <w:rPr>
          <w:rFonts w:eastAsia="Calibri"/>
          <w:szCs w:val="28"/>
        </w:rPr>
        <w:t>-</w:t>
      </w:r>
      <w:r w:rsidRPr="00D46C36">
        <w:rPr>
          <w:rFonts w:eastAsia="Calibri"/>
          <w:szCs w:val="28"/>
          <w:lang w:val="ru-RU"/>
        </w:rPr>
        <w:t>1865940,27</w:t>
      </w:r>
      <w:r w:rsidRPr="00D46C36">
        <w:rPr>
          <w:rFonts w:eastAsia="Calibri"/>
          <w:szCs w:val="28"/>
        </w:rPr>
        <w:t xml:space="preserve">) є вищим на </w:t>
      </w:r>
      <w:r w:rsidRPr="00D46C36">
        <w:rPr>
          <w:rFonts w:eastAsia="Calibri"/>
          <w:szCs w:val="28"/>
          <w:lang w:val="ru-RU"/>
        </w:rPr>
        <w:t>54%</w:t>
      </w:r>
      <w:r w:rsidRPr="00D46C36">
        <w:rPr>
          <w:rFonts w:eastAsia="Calibri"/>
          <w:szCs w:val="28"/>
        </w:rPr>
        <w:t xml:space="preserve"> за аналогічний показник дівчат (</w:t>
      </w:r>
      <w:r w:rsidRPr="00D46C36">
        <w:rPr>
          <w:rFonts w:eastAsia="Calibri"/>
          <w:szCs w:val="28"/>
          <w:lang w:val="ru-RU"/>
        </w:rPr>
        <w:t xml:space="preserve">1050243,01 </w:t>
      </w:r>
      <w:r w:rsidRPr="00D46C36">
        <w:rPr>
          <w:rFonts w:eastAsia="Calibri"/>
          <w:szCs w:val="28"/>
        </w:rPr>
        <w:t xml:space="preserve">на 100 тис. осіб; 95% ДІ </w:t>
      </w:r>
      <w:r w:rsidRPr="00D46C36">
        <w:rPr>
          <w:rFonts w:eastAsia="Calibri"/>
          <w:szCs w:val="28"/>
          <w:lang w:val="ru-RU"/>
        </w:rPr>
        <w:t>1349563,30</w:t>
      </w:r>
      <w:r w:rsidRPr="00D46C36">
        <w:rPr>
          <w:rFonts w:eastAsia="Calibri"/>
          <w:szCs w:val="28"/>
        </w:rPr>
        <w:t>-</w:t>
      </w:r>
      <w:r w:rsidRPr="00D46C36">
        <w:rPr>
          <w:rFonts w:eastAsia="Calibri"/>
          <w:szCs w:val="28"/>
          <w:lang w:val="ru-RU"/>
        </w:rPr>
        <w:t>805279,41</w:t>
      </w:r>
      <w:r w:rsidRPr="00D46C36">
        <w:rPr>
          <w:rFonts w:eastAsia="Calibri"/>
          <w:szCs w:val="28"/>
        </w:rPr>
        <w:t xml:space="preserve">). </w:t>
      </w:r>
      <w:r w:rsidR="00F34F91" w:rsidRPr="00F34F91">
        <w:rPr>
          <w:rFonts w:eastAsia="Calibri"/>
          <w:szCs w:val="28"/>
        </w:rPr>
        <w:t>Показник DALYs в Україні для пізньої неонатальної смертності (на 100 тис. осіб) знизився на 23,4% з 168047,60 втрачених років на 100 тис. осіб (95% ДІ 235665,55-115466,99) у 2009 р. до 128709,72 відповідно у 2019 р. (95% ДІ 175193,02-93028,94),</w:t>
      </w:r>
      <w:r w:rsidR="00F34F91">
        <w:rPr>
          <w:rFonts w:eastAsia="Calibri"/>
          <w:szCs w:val="28"/>
        </w:rPr>
        <w:t xml:space="preserve"> а</w:t>
      </w:r>
      <w:r w:rsidRPr="00D46C36">
        <w:rPr>
          <w:rFonts w:eastAsia="Calibri"/>
          <w:szCs w:val="28"/>
        </w:rPr>
        <w:t>налогічні тенденції відбуваються і з показником суми потенційних років життя</w:t>
      </w:r>
      <w:r w:rsidR="003A0FD8">
        <w:rPr>
          <w:rFonts w:eastAsia="Calibri"/>
          <w:szCs w:val="28"/>
        </w:rPr>
        <w:t>,</w:t>
      </w:r>
      <w:r w:rsidRPr="00D46C36">
        <w:rPr>
          <w:rFonts w:eastAsia="Calibri"/>
          <w:szCs w:val="28"/>
        </w:rPr>
        <w:t xml:space="preserve"> втрачених внаслідок передчасної смерті (YLLs, Years of Life Lost)</w:t>
      </w:r>
      <w:r w:rsidR="003A0FD8">
        <w:rPr>
          <w:rFonts w:eastAsia="Calibri"/>
          <w:szCs w:val="28"/>
        </w:rPr>
        <w:t>,</w:t>
      </w:r>
      <w:r w:rsidRPr="00D46C36">
        <w:rPr>
          <w:rFonts w:eastAsia="Calibri"/>
          <w:szCs w:val="28"/>
        </w:rPr>
        <w:t xml:space="preserve"> у випадку пізньої неонатальної смертності  в Україні, який знизився на 23,77% з 165122,26 років на 100 тис. осіб (95% ДІ 232592,24-113069,95) у 2009 р. до 125875,62 відповідно (95% ДІ 171546,17-90550,11) у 2019 р.</w:t>
      </w:r>
    </w:p>
    <w:p w:rsidR="00D776BD" w:rsidRDefault="00D46C36" w:rsidP="00D776BD">
      <w:pPr>
        <w:widowControl w:val="0"/>
        <w:numPr>
          <w:ilvl w:val="0"/>
          <w:numId w:val="4"/>
        </w:numPr>
        <w:tabs>
          <w:tab w:val="left" w:pos="1134"/>
        </w:tabs>
        <w:spacing w:before="240" w:after="240"/>
        <w:ind w:left="0" w:firstLine="709"/>
        <w:contextualSpacing/>
        <w:rPr>
          <w:rFonts w:eastAsia="Calibri"/>
          <w:szCs w:val="28"/>
        </w:rPr>
      </w:pPr>
      <w:r w:rsidRPr="00D46C36">
        <w:rPr>
          <w:rFonts w:eastAsia="Calibri"/>
          <w:szCs w:val="28"/>
        </w:rPr>
        <w:t xml:space="preserve">Показники DALYs у випадку постнеонатальної смертності мають достовірну тенденцію до зниження на 17,2 %, з 32537,92 втрачених </w:t>
      </w:r>
      <w:r w:rsidR="00F34F91">
        <w:rPr>
          <w:rFonts w:eastAsia="Calibri"/>
          <w:szCs w:val="28"/>
        </w:rPr>
        <w:t xml:space="preserve">років </w:t>
      </w:r>
      <w:r w:rsidRPr="00D46C36">
        <w:rPr>
          <w:rFonts w:eastAsia="Calibri"/>
          <w:szCs w:val="28"/>
        </w:rPr>
        <w:t xml:space="preserve">(95% ДІ 35726,06-29545,37) у 2009 р. до 26926,68 років (95% ДІ 33922,47-21476,56) у 2019 р. </w:t>
      </w:r>
      <w:r>
        <w:rPr>
          <w:rFonts w:eastAsia="Calibri"/>
          <w:szCs w:val="28"/>
        </w:rPr>
        <w:t>Аналогічна тенденція</w:t>
      </w:r>
      <w:r w:rsidRPr="00D46C36">
        <w:rPr>
          <w:rFonts w:eastAsia="Calibri"/>
          <w:szCs w:val="28"/>
        </w:rPr>
        <w:t xml:space="preserve"> </w:t>
      </w:r>
      <w:r>
        <w:rPr>
          <w:rFonts w:eastAsia="Calibri"/>
          <w:szCs w:val="28"/>
        </w:rPr>
        <w:t xml:space="preserve">щодо </w:t>
      </w:r>
      <w:r w:rsidRPr="00D46C36">
        <w:rPr>
          <w:rFonts w:eastAsia="Calibri"/>
          <w:szCs w:val="28"/>
        </w:rPr>
        <w:t xml:space="preserve">зниження (на 18,7%) </w:t>
      </w:r>
      <w:r>
        <w:rPr>
          <w:rFonts w:eastAsia="Calibri"/>
          <w:szCs w:val="28"/>
        </w:rPr>
        <w:t>відбуває</w:t>
      </w:r>
      <w:r w:rsidRPr="00D46C36">
        <w:rPr>
          <w:rFonts w:eastAsia="Calibri"/>
          <w:szCs w:val="28"/>
        </w:rPr>
        <w:t>ться і з по</w:t>
      </w:r>
      <w:r>
        <w:rPr>
          <w:rFonts w:eastAsia="Calibri"/>
          <w:szCs w:val="28"/>
        </w:rPr>
        <w:t>казниками</w:t>
      </w:r>
      <w:r w:rsidRPr="00D46C36">
        <w:rPr>
          <w:rFonts w:eastAsia="Calibri"/>
          <w:szCs w:val="28"/>
        </w:rPr>
        <w:t xml:space="preserve"> YLLs (на 100 тис.осіб) у випа</w:t>
      </w:r>
      <w:r w:rsidR="00B21AE4">
        <w:rPr>
          <w:rFonts w:eastAsia="Calibri"/>
          <w:szCs w:val="28"/>
        </w:rPr>
        <w:t>дку постнеонатальної смертності, а саме з 30348,</w:t>
      </w:r>
      <w:r w:rsidRPr="00D46C36">
        <w:rPr>
          <w:rFonts w:eastAsia="Calibri"/>
          <w:szCs w:val="28"/>
        </w:rPr>
        <w:t>87 років (95</w:t>
      </w:r>
      <w:r w:rsidR="003471D8">
        <w:rPr>
          <w:rFonts w:eastAsia="Calibri"/>
          <w:szCs w:val="28"/>
        </w:rPr>
        <w:t>% ДІ 33</w:t>
      </w:r>
      <w:r w:rsidRPr="00D46C36">
        <w:rPr>
          <w:rFonts w:eastAsia="Calibri"/>
          <w:szCs w:val="28"/>
        </w:rPr>
        <w:t>48</w:t>
      </w:r>
      <w:r w:rsidR="003471D8">
        <w:rPr>
          <w:rFonts w:eastAsia="Calibri"/>
          <w:szCs w:val="28"/>
        </w:rPr>
        <w:t>1,91-27313,</w:t>
      </w:r>
      <w:r w:rsidR="00B21AE4">
        <w:rPr>
          <w:rFonts w:eastAsia="Calibri"/>
          <w:szCs w:val="28"/>
        </w:rPr>
        <w:t>30) у 2009 р. до 24668,</w:t>
      </w:r>
      <w:r w:rsidRPr="00D46C36">
        <w:rPr>
          <w:rFonts w:eastAsia="Calibri"/>
          <w:szCs w:val="28"/>
        </w:rPr>
        <w:t>94 років відповідно (95% ДІ 31784,42-19123,99).</w:t>
      </w:r>
    </w:p>
    <w:p w:rsidR="00D776BD" w:rsidRPr="00D776BD" w:rsidRDefault="00D776BD" w:rsidP="00D776BD">
      <w:pPr>
        <w:widowControl w:val="0"/>
        <w:tabs>
          <w:tab w:val="left" w:pos="1134"/>
        </w:tabs>
        <w:spacing w:before="240" w:after="240"/>
        <w:ind w:left="709"/>
        <w:contextualSpacing/>
        <w:rPr>
          <w:rFonts w:eastAsia="Calibri"/>
          <w:szCs w:val="28"/>
        </w:rPr>
      </w:pPr>
    </w:p>
    <w:p w:rsidR="00D96FD9" w:rsidRPr="005247CF" w:rsidRDefault="00D96FD9" w:rsidP="00D776BD">
      <w:pPr>
        <w:widowControl w:val="0"/>
        <w:tabs>
          <w:tab w:val="left" w:pos="1134"/>
        </w:tabs>
        <w:ind w:left="709"/>
        <w:contextualSpacing/>
        <w:rPr>
          <w:rFonts w:eastAsia="Calibri"/>
          <w:szCs w:val="28"/>
        </w:rPr>
      </w:pPr>
      <w:r w:rsidRPr="005247CF">
        <w:rPr>
          <w:b/>
          <w:szCs w:val="28"/>
        </w:rPr>
        <w:t>Список особистих робіт за матеріалами розділу</w:t>
      </w:r>
    </w:p>
    <w:p w:rsidR="00003E49" w:rsidRPr="00003E49" w:rsidRDefault="00003E49" w:rsidP="00065DFE">
      <w:pPr>
        <w:numPr>
          <w:ilvl w:val="0"/>
          <w:numId w:val="51"/>
        </w:numPr>
        <w:spacing w:after="200"/>
        <w:contextualSpacing/>
        <w:rPr>
          <w:rFonts w:eastAsia="Calibri"/>
          <w:szCs w:val="28"/>
        </w:rPr>
      </w:pPr>
      <w:r w:rsidRPr="00003E49">
        <w:rPr>
          <w:rFonts w:eastAsia="Calibri"/>
          <w:szCs w:val="28"/>
        </w:rPr>
        <w:t xml:space="preserve">Дудник С. В. Сучасні тенденції малюкової смертності в Україні. Україна. Здоров’я нації. 2016. № 4 (40). С. 32–37. </w:t>
      </w:r>
    </w:p>
    <w:p w:rsidR="00003E49" w:rsidRPr="00003E49" w:rsidRDefault="00003E49" w:rsidP="00065DFE">
      <w:pPr>
        <w:numPr>
          <w:ilvl w:val="0"/>
          <w:numId w:val="51"/>
        </w:numPr>
        <w:spacing w:after="200"/>
        <w:contextualSpacing/>
        <w:rPr>
          <w:rFonts w:eastAsia="Calibri"/>
          <w:szCs w:val="28"/>
        </w:rPr>
      </w:pPr>
      <w:r w:rsidRPr="00003E49">
        <w:rPr>
          <w:rFonts w:eastAsia="Calibri"/>
          <w:szCs w:val="28"/>
        </w:rPr>
        <w:t>Дудник С. В. Детермінанти малюкової смертності залежно від статі та місця мешканця. Україна. Здоров’я нації. 2016. № 4/1 (41). С. 113–121.</w:t>
      </w:r>
    </w:p>
    <w:p w:rsidR="00003E49" w:rsidRPr="00003E49" w:rsidRDefault="00003E49" w:rsidP="00065DFE">
      <w:pPr>
        <w:numPr>
          <w:ilvl w:val="0"/>
          <w:numId w:val="51"/>
        </w:numPr>
        <w:spacing w:after="200"/>
        <w:contextualSpacing/>
        <w:rPr>
          <w:rFonts w:eastAsia="Calibri"/>
          <w:szCs w:val="28"/>
        </w:rPr>
      </w:pPr>
      <w:r w:rsidRPr="00003E49">
        <w:rPr>
          <w:rFonts w:eastAsia="Calibri"/>
          <w:szCs w:val="28"/>
        </w:rPr>
        <w:lastRenderedPageBreak/>
        <w:t xml:space="preserve">Дудник С. В. Регіональні тенденції малюкової смертності в Україні. Україна. Здоров’я нації. 2017. № 1 (42). С. 34–40. </w:t>
      </w:r>
    </w:p>
    <w:p w:rsidR="00003E49" w:rsidRPr="00003E49" w:rsidRDefault="00003E49" w:rsidP="00065DFE">
      <w:pPr>
        <w:numPr>
          <w:ilvl w:val="0"/>
          <w:numId w:val="51"/>
        </w:numPr>
        <w:spacing w:after="200"/>
        <w:contextualSpacing/>
        <w:rPr>
          <w:rFonts w:eastAsia="Calibri"/>
          <w:szCs w:val="28"/>
        </w:rPr>
      </w:pPr>
      <w:r w:rsidRPr="00003E49">
        <w:rPr>
          <w:rFonts w:eastAsia="Calibri"/>
          <w:szCs w:val="28"/>
        </w:rPr>
        <w:t xml:space="preserve">Дудник С. В. Порівняльна характеристика і сучасні тенденції рівня дитячої смертності в Україні, державах Європейського регіону та країнах пострадянського простору. Україна. Здоров’я нації. 2017. № 4 (45). С. 29–35. </w:t>
      </w:r>
    </w:p>
    <w:p w:rsidR="005D75EE" w:rsidRPr="00231499" w:rsidRDefault="005D75EE" w:rsidP="00065DFE">
      <w:pPr>
        <w:widowControl w:val="0"/>
        <w:numPr>
          <w:ilvl w:val="0"/>
          <w:numId w:val="51"/>
        </w:numPr>
        <w:contextualSpacing/>
        <w:rPr>
          <w:rFonts w:eastAsia="Calibri"/>
          <w:szCs w:val="28"/>
        </w:rPr>
      </w:pPr>
      <w:r w:rsidRPr="00231499">
        <w:rPr>
          <w:rFonts w:eastAsia="Calibri"/>
          <w:szCs w:val="28"/>
        </w:rPr>
        <w:t xml:space="preserve">Дудник С. В. Економічні збитки держави внаслідок малюкової смертності. Економіка і право охорони здоров’я. 2017. № 1 (5). С. 5–9. </w:t>
      </w:r>
    </w:p>
    <w:p w:rsidR="00EE11B4" w:rsidRPr="00EE11B4" w:rsidRDefault="002040D1" w:rsidP="00065DFE">
      <w:pPr>
        <w:widowControl w:val="0"/>
        <w:numPr>
          <w:ilvl w:val="0"/>
          <w:numId w:val="51"/>
        </w:numPr>
        <w:contextualSpacing/>
        <w:rPr>
          <w:rFonts w:eastAsia="Calibri"/>
          <w:szCs w:val="28"/>
        </w:rPr>
      </w:pPr>
      <w:r w:rsidRPr="00EE11B4">
        <w:rPr>
          <w:rFonts w:eastAsia="Calibri"/>
          <w:szCs w:val="28"/>
        </w:rPr>
        <w:t xml:space="preserve">Slabkiy G. О., Dudnyk S. V., Tyapkin G. M. Modern status and age-specific tendencies of mortality of Ukraine`s children from external causes. The Unity of science: International scientific periodical journal. Vienna, Аustria. October 2017. Р. 81–84. </w:t>
      </w:r>
    </w:p>
    <w:p w:rsidR="002E4A31" w:rsidRPr="00082E69" w:rsidRDefault="002040D1" w:rsidP="00065DFE">
      <w:pPr>
        <w:widowControl w:val="0"/>
        <w:numPr>
          <w:ilvl w:val="0"/>
          <w:numId w:val="51"/>
        </w:numPr>
        <w:spacing w:after="200"/>
        <w:ind w:left="360"/>
        <w:contextualSpacing/>
        <w:rPr>
          <w:rFonts w:eastAsia="Calibri"/>
          <w:szCs w:val="28"/>
        </w:rPr>
      </w:pPr>
      <w:r w:rsidRPr="00EE11B4">
        <w:rPr>
          <w:rFonts w:eastAsia="Calibri"/>
          <w:szCs w:val="28"/>
        </w:rPr>
        <w:t>Слабкий Г. О., Дудник С. В., Тяпкін Г. М. Аналіз смертності дітей у віці до п’яти років від природжених вад розвитку, деформацій та хромосомних аномалій в Україні</w:t>
      </w:r>
      <w:r w:rsidRPr="00EE11B4">
        <w:rPr>
          <w:rFonts w:eastAsia="Calibri"/>
          <w:i/>
          <w:szCs w:val="28"/>
        </w:rPr>
        <w:t xml:space="preserve">. </w:t>
      </w:r>
      <w:r w:rsidRPr="00EE11B4">
        <w:rPr>
          <w:rFonts w:eastAsia="Calibri"/>
          <w:szCs w:val="28"/>
        </w:rPr>
        <w:t xml:space="preserve">Intermedical Jornal (Slovenská republika). 2017. № ІІ (10). С. 83–90. </w:t>
      </w:r>
    </w:p>
    <w:p w:rsidR="00082E69" w:rsidRPr="00231499" w:rsidRDefault="00082E69" w:rsidP="00065DFE">
      <w:pPr>
        <w:widowControl w:val="0"/>
        <w:numPr>
          <w:ilvl w:val="0"/>
          <w:numId w:val="51"/>
        </w:numPr>
        <w:contextualSpacing/>
        <w:rPr>
          <w:rFonts w:eastAsia="Calibri"/>
          <w:szCs w:val="28"/>
        </w:rPr>
      </w:pPr>
      <w:r w:rsidRPr="00231499">
        <w:rPr>
          <w:rFonts w:eastAsia="Calibri"/>
          <w:szCs w:val="28"/>
        </w:rPr>
        <w:t>Дудник С. В. Тенденції смертності дітей у віці до 1-го року життя від деяких інфекційних та паразитарних хвороб. Україна. Здоров’я нації. 2018. № 3 (50)</w:t>
      </w:r>
      <w:r>
        <w:rPr>
          <w:rFonts w:eastAsia="Calibri"/>
          <w:szCs w:val="28"/>
        </w:rPr>
        <w:t>.</w:t>
      </w:r>
      <w:r w:rsidRPr="00231499">
        <w:rPr>
          <w:rFonts w:eastAsia="Calibri"/>
          <w:szCs w:val="28"/>
        </w:rPr>
        <w:t xml:space="preserve"> С. 33–44. </w:t>
      </w:r>
    </w:p>
    <w:p w:rsidR="000168C7" w:rsidRPr="00231499" w:rsidRDefault="000168C7" w:rsidP="00065DFE">
      <w:pPr>
        <w:widowControl w:val="0"/>
        <w:numPr>
          <w:ilvl w:val="0"/>
          <w:numId w:val="51"/>
        </w:numPr>
        <w:contextualSpacing/>
        <w:rPr>
          <w:rFonts w:eastAsia="Calibri"/>
          <w:szCs w:val="28"/>
        </w:rPr>
      </w:pPr>
      <w:r w:rsidRPr="00231499">
        <w:rPr>
          <w:rFonts w:eastAsia="Calibri"/>
          <w:szCs w:val="28"/>
        </w:rPr>
        <w:t xml:space="preserve">Дудник С. В. Сучасний стан та тенденції смертності дітей поза стаціонаром. Україна. Здоров’я нації. 2018. № 4/1 (53). С. 98–104. </w:t>
      </w:r>
    </w:p>
    <w:p w:rsidR="0037390E" w:rsidRPr="00231499" w:rsidRDefault="00A6466B" w:rsidP="00065DFE">
      <w:pPr>
        <w:widowControl w:val="0"/>
        <w:numPr>
          <w:ilvl w:val="0"/>
          <w:numId w:val="51"/>
        </w:numPr>
        <w:contextualSpacing/>
        <w:rPr>
          <w:rFonts w:eastAsia="Calibri"/>
          <w:szCs w:val="28"/>
        </w:rPr>
      </w:pPr>
      <w:r w:rsidRPr="00A6466B">
        <w:rPr>
          <w:rFonts w:eastAsia="Calibri"/>
          <w:szCs w:val="28"/>
          <w:lang w:val="en-US"/>
        </w:rPr>
        <w:t xml:space="preserve"> </w:t>
      </w:r>
      <w:r w:rsidR="0037390E" w:rsidRPr="00231499">
        <w:rPr>
          <w:rFonts w:eastAsia="Calibri"/>
          <w:szCs w:val="28"/>
        </w:rPr>
        <w:t xml:space="preserve">Slabkiy G. О., Dudnyk S. V., Kachala L. O. Retrospective analysis of infant mortality and under-five years` mortality of children in Ukraine. The Unity of Science: International Scientific Professional Periodical Journal. Vienna, Austria. December 2017 / January 2018. Р. 103–107. </w:t>
      </w:r>
    </w:p>
    <w:p w:rsidR="00FA33C9" w:rsidRPr="00231499" w:rsidRDefault="00A6466B" w:rsidP="00065DFE">
      <w:pPr>
        <w:widowControl w:val="0"/>
        <w:numPr>
          <w:ilvl w:val="0"/>
          <w:numId w:val="51"/>
        </w:numPr>
        <w:contextualSpacing/>
        <w:rPr>
          <w:rFonts w:eastAsia="Calibri"/>
          <w:szCs w:val="28"/>
        </w:rPr>
      </w:pPr>
      <w:r>
        <w:rPr>
          <w:rFonts w:eastAsia="Calibri"/>
          <w:szCs w:val="28"/>
          <w:lang w:val="ru-RU"/>
        </w:rPr>
        <w:t xml:space="preserve"> </w:t>
      </w:r>
      <w:r w:rsidR="00FA33C9" w:rsidRPr="00231499">
        <w:rPr>
          <w:rFonts w:eastAsia="Calibri"/>
          <w:szCs w:val="28"/>
        </w:rPr>
        <w:t xml:space="preserve">Ковальова О. М., Дудник С. В., Похилько В. І., Муратова О. В., Кузєнкова Г. А. Основні тенденції плодово-малюкових втрат у ваговій категорії ≥ 2500 г в Україні. Вісник проблем біології і медицини. 2019. Вип. 2 (1). С. 135–139. </w:t>
      </w:r>
    </w:p>
    <w:p w:rsidR="00082E69" w:rsidRPr="002E4C30" w:rsidRDefault="00A6466B" w:rsidP="00065DFE">
      <w:pPr>
        <w:widowControl w:val="0"/>
        <w:numPr>
          <w:ilvl w:val="0"/>
          <w:numId w:val="51"/>
        </w:numPr>
        <w:spacing w:after="200"/>
        <w:contextualSpacing/>
        <w:rPr>
          <w:rFonts w:eastAsia="Calibri"/>
          <w:szCs w:val="28"/>
        </w:rPr>
      </w:pPr>
      <w:r w:rsidRPr="00A6466B">
        <w:rPr>
          <w:rFonts w:eastAsia="Calibri"/>
          <w:szCs w:val="28"/>
          <w:lang w:val="en-US"/>
        </w:rPr>
        <w:t xml:space="preserve"> </w:t>
      </w:r>
      <w:r w:rsidR="00A1362E" w:rsidRPr="00A1362E">
        <w:rPr>
          <w:rFonts w:eastAsia="Calibri"/>
          <w:szCs w:val="28"/>
        </w:rPr>
        <w:t>Slabkiy G., Dudnyk S. Retrospective analysis of child hospital mortality Scientific basis of modern medicine: collective monograph. Boston: Primedia eLaunch, 2020. P.</w:t>
      </w:r>
      <w:r w:rsidR="00D43D27">
        <w:rPr>
          <w:rFonts w:eastAsia="Calibri"/>
          <w:szCs w:val="28"/>
        </w:rPr>
        <w:t> </w:t>
      </w:r>
      <w:r w:rsidR="00A1362E" w:rsidRPr="00A1362E">
        <w:rPr>
          <w:rFonts w:eastAsia="Calibri"/>
          <w:szCs w:val="28"/>
        </w:rPr>
        <w:t xml:space="preserve">87–92. </w:t>
      </w:r>
    </w:p>
    <w:p w:rsidR="002E4C30" w:rsidRPr="00231499" w:rsidRDefault="00A6466B" w:rsidP="00065DFE">
      <w:pPr>
        <w:widowControl w:val="0"/>
        <w:numPr>
          <w:ilvl w:val="0"/>
          <w:numId w:val="51"/>
        </w:numPr>
        <w:contextualSpacing/>
        <w:rPr>
          <w:rFonts w:eastAsia="Calibri"/>
          <w:szCs w:val="28"/>
        </w:rPr>
      </w:pPr>
      <w:r w:rsidRPr="00A6466B">
        <w:rPr>
          <w:rFonts w:eastAsia="Calibri"/>
          <w:szCs w:val="28"/>
        </w:rPr>
        <w:t xml:space="preserve"> </w:t>
      </w:r>
      <w:r w:rsidR="002E4C30" w:rsidRPr="00231499">
        <w:rPr>
          <w:rFonts w:eastAsia="Calibri"/>
          <w:szCs w:val="28"/>
        </w:rPr>
        <w:t>Слабкий Г. О., Дудник С. В. Щодо малюкової смертності внаслідок ВІЛ-</w:t>
      </w:r>
      <w:r w:rsidR="002E4C30" w:rsidRPr="00231499">
        <w:rPr>
          <w:rFonts w:eastAsia="Calibri"/>
          <w:szCs w:val="28"/>
        </w:rPr>
        <w:lastRenderedPageBreak/>
        <w:t>інфекції. Профілактична медицина. 2016. № 3/4 (27). Додаток. С. 135–136. (За кожне життя разом: прискорення до мети 90-90-90: матеріали Третьої національної наук.-практ. Конф</w:t>
      </w:r>
      <w:r w:rsidR="002825F6">
        <w:rPr>
          <w:rFonts w:eastAsia="Calibri"/>
          <w:szCs w:val="28"/>
        </w:rPr>
        <w:t>. (Київ, 21-23 лист. 2016 р.).</w:t>
      </w:r>
    </w:p>
    <w:p w:rsidR="00785397" w:rsidRPr="00231499" w:rsidRDefault="00A6466B" w:rsidP="00065DFE">
      <w:pPr>
        <w:widowControl w:val="0"/>
        <w:numPr>
          <w:ilvl w:val="0"/>
          <w:numId w:val="51"/>
        </w:numPr>
        <w:contextualSpacing/>
        <w:rPr>
          <w:rFonts w:eastAsia="Calibri"/>
          <w:szCs w:val="28"/>
        </w:rPr>
      </w:pPr>
      <w:r>
        <w:rPr>
          <w:rFonts w:eastAsia="Calibri"/>
          <w:szCs w:val="28"/>
          <w:lang w:val="ru-RU"/>
        </w:rPr>
        <w:t xml:space="preserve"> </w:t>
      </w:r>
      <w:r w:rsidR="00785397" w:rsidRPr="00231499">
        <w:rPr>
          <w:rFonts w:eastAsia="Calibri"/>
          <w:szCs w:val="28"/>
        </w:rPr>
        <w:t xml:space="preserve">Дудник С. В. Малюкова смертність у статевому аспекті. Впровадження сучасних досягнень медичної науки у практику охорони здоров’я України: матеріали VI Медичному конгресу (Київ, 25-27 квіт. 2017 р.). Київ: КиївЄкспоПлаза, 2017. С. 147. </w:t>
      </w:r>
    </w:p>
    <w:p w:rsidR="00785397" w:rsidRPr="00231499" w:rsidRDefault="00A6466B" w:rsidP="00065DFE">
      <w:pPr>
        <w:widowControl w:val="0"/>
        <w:numPr>
          <w:ilvl w:val="0"/>
          <w:numId w:val="51"/>
        </w:numPr>
        <w:shd w:val="clear" w:color="auto" w:fill="FFFFFF"/>
        <w:contextualSpacing/>
        <w:rPr>
          <w:szCs w:val="28"/>
          <w:lang w:eastAsia="ru-RU"/>
        </w:rPr>
      </w:pPr>
      <w:r>
        <w:rPr>
          <w:szCs w:val="28"/>
          <w:lang w:val="ru-RU" w:eastAsia="ru-RU"/>
        </w:rPr>
        <w:t xml:space="preserve"> </w:t>
      </w:r>
      <w:r w:rsidR="00785397" w:rsidRPr="00231499">
        <w:rPr>
          <w:szCs w:val="28"/>
          <w:lang w:eastAsia="ru-RU"/>
        </w:rPr>
        <w:t xml:space="preserve">Слабкий Г. О., Дудник С. В. Щодо характеристики показників малюкової смертності внаслідок хвороб органів дихання. Загальне охоплення послугами охорони здоров’я – для всіх і всюди: матеріали наук.-практ. конф. з міжнар. участю до Всесвітнього дня Здоров’я 2018 р. (Київ, 05-06 квітня 2018 р.). Київ., 2018. С. 150–152. </w:t>
      </w:r>
    </w:p>
    <w:p w:rsidR="00785397" w:rsidRPr="00231499" w:rsidRDefault="00A6466B" w:rsidP="00065DFE">
      <w:pPr>
        <w:widowControl w:val="0"/>
        <w:numPr>
          <w:ilvl w:val="0"/>
          <w:numId w:val="51"/>
        </w:numPr>
        <w:contextualSpacing/>
        <w:rPr>
          <w:rFonts w:eastAsia="Calibri"/>
          <w:szCs w:val="28"/>
        </w:rPr>
      </w:pPr>
      <w:r w:rsidRPr="00A6466B">
        <w:rPr>
          <w:rFonts w:eastAsia="Calibri"/>
          <w:szCs w:val="28"/>
        </w:rPr>
        <w:t xml:space="preserve"> </w:t>
      </w:r>
      <w:r w:rsidR="00785397" w:rsidRPr="00231499">
        <w:rPr>
          <w:rFonts w:eastAsia="Calibri"/>
          <w:szCs w:val="28"/>
        </w:rPr>
        <w:t xml:space="preserve">Слабкий Г. О., Дудник С. В. Смертність дітей сільської місцевості поза стаціонаром в контексті первинної медико-санітарної допомоги. Україна. Здоров’я нації. 2018. № 2 (49). С. 95. (Актуальні питання надання медичної допомоги на засадах ПМСД: матеріали міжнар. </w:t>
      </w:r>
      <w:r w:rsidR="00785397" w:rsidRPr="00231499">
        <w:rPr>
          <w:rFonts w:eastAsia="Calibri"/>
          <w:szCs w:val="28"/>
          <w:lang w:val="ru-RU"/>
        </w:rPr>
        <w:t>н</w:t>
      </w:r>
      <w:r w:rsidR="00785397" w:rsidRPr="00231499">
        <w:rPr>
          <w:rFonts w:eastAsia="Calibri"/>
          <w:szCs w:val="28"/>
        </w:rPr>
        <w:t>ауково</w:t>
      </w:r>
      <w:r w:rsidR="00785397" w:rsidRPr="00231499">
        <w:rPr>
          <w:rFonts w:eastAsia="Calibri"/>
          <w:szCs w:val="28"/>
          <w:lang w:val="ru-RU"/>
        </w:rPr>
        <w:t>-</w:t>
      </w:r>
      <w:r w:rsidR="00785397" w:rsidRPr="00231499">
        <w:rPr>
          <w:rFonts w:eastAsia="Calibri"/>
          <w:szCs w:val="28"/>
        </w:rPr>
        <w:t>практ. конф. (18-19</w:t>
      </w:r>
      <w:r w:rsidR="00D43D27">
        <w:rPr>
          <w:rFonts w:eastAsia="Calibri"/>
          <w:szCs w:val="28"/>
        </w:rPr>
        <w:t> </w:t>
      </w:r>
      <w:r w:rsidR="00785397" w:rsidRPr="00231499">
        <w:rPr>
          <w:rFonts w:eastAsia="Calibri"/>
          <w:szCs w:val="28"/>
        </w:rPr>
        <w:t xml:space="preserve">квіт. 2018 р., м. Ужгород). </w:t>
      </w:r>
    </w:p>
    <w:p w:rsidR="00785397" w:rsidRPr="00231499" w:rsidRDefault="00A6466B" w:rsidP="00065DFE">
      <w:pPr>
        <w:widowControl w:val="0"/>
        <w:numPr>
          <w:ilvl w:val="0"/>
          <w:numId w:val="51"/>
        </w:numPr>
        <w:contextualSpacing/>
        <w:rPr>
          <w:rFonts w:eastAsia="Calibri"/>
          <w:szCs w:val="28"/>
        </w:rPr>
      </w:pPr>
      <w:r>
        <w:rPr>
          <w:rFonts w:eastAsia="Calibri"/>
          <w:szCs w:val="28"/>
          <w:lang w:val="ru-RU"/>
        </w:rPr>
        <w:t xml:space="preserve"> </w:t>
      </w:r>
      <w:r w:rsidR="00785397" w:rsidRPr="00231499">
        <w:rPr>
          <w:rFonts w:eastAsia="Calibri"/>
          <w:szCs w:val="28"/>
        </w:rPr>
        <w:t>Дудник С. В. Щодо малюкової смертності від вроджених вад розвитку, деформацій та хромосомних аномалій в Україні. Впровадження сучасних досягнень медичної науки у практику охорони здоров’я України: матеріали VII Міжнар. медичного конгресу</w:t>
      </w:r>
      <w:r w:rsidR="00785397" w:rsidRPr="00231499">
        <w:rPr>
          <w:rFonts w:eastAsia="Calibri"/>
          <w:i/>
          <w:szCs w:val="28"/>
        </w:rPr>
        <w:t xml:space="preserve"> </w:t>
      </w:r>
      <w:r w:rsidR="00785397" w:rsidRPr="00231499">
        <w:rPr>
          <w:rFonts w:eastAsia="Calibri"/>
          <w:szCs w:val="28"/>
        </w:rPr>
        <w:t>(Київ, 25-27 квітня. 2018 р.). Київ: КиївЕкспоПлаза. С. 7.</w:t>
      </w:r>
      <w:r w:rsidR="00785397" w:rsidRPr="00231499">
        <w:rPr>
          <w:szCs w:val="28"/>
          <w:lang w:eastAsia="ru-RU"/>
        </w:rPr>
        <w:t xml:space="preserve"> </w:t>
      </w:r>
    </w:p>
    <w:p w:rsidR="00091061" w:rsidRPr="00231499" w:rsidRDefault="00230CC9" w:rsidP="00065DFE">
      <w:pPr>
        <w:widowControl w:val="0"/>
        <w:numPr>
          <w:ilvl w:val="0"/>
          <w:numId w:val="51"/>
        </w:numPr>
        <w:contextualSpacing/>
        <w:rPr>
          <w:rFonts w:eastAsia="Calibri"/>
          <w:szCs w:val="28"/>
        </w:rPr>
      </w:pPr>
      <w:r>
        <w:rPr>
          <w:rFonts w:eastAsia="Calibri"/>
          <w:szCs w:val="28"/>
          <w:lang w:val="ru-RU"/>
        </w:rPr>
        <w:t xml:space="preserve"> </w:t>
      </w:r>
      <w:r w:rsidR="00091061" w:rsidRPr="00231499">
        <w:rPr>
          <w:rFonts w:eastAsia="Calibri"/>
          <w:szCs w:val="28"/>
        </w:rPr>
        <w:t xml:space="preserve">Слабкий Г. О., Дудіна О. О., Дудник С. В., Качала Л. О. Щодо стану перинатальної та малюкової смертності в Україні як складових репродуктивних втрат. Perspectives of science and education: The 5-th International youth conference (New York, October 19, 2018). New York, USA: SLOVO\WORD, 2018. P. 29–40. </w:t>
      </w:r>
    </w:p>
    <w:p w:rsidR="002E4C30" w:rsidRPr="002825F6" w:rsidRDefault="00230CC9" w:rsidP="00065DFE">
      <w:pPr>
        <w:pStyle w:val="a5"/>
        <w:widowControl w:val="0"/>
        <w:numPr>
          <w:ilvl w:val="0"/>
          <w:numId w:val="51"/>
        </w:numPr>
        <w:shd w:val="clear" w:color="auto" w:fill="FFFFFF"/>
        <w:spacing w:after="200"/>
        <w:rPr>
          <w:rFonts w:eastAsia="Calibri"/>
          <w:szCs w:val="28"/>
        </w:rPr>
      </w:pPr>
      <w:r>
        <w:rPr>
          <w:szCs w:val="28"/>
          <w:lang w:val="ru-RU" w:eastAsia="ru-RU"/>
        </w:rPr>
        <w:t xml:space="preserve"> </w:t>
      </w:r>
      <w:r w:rsidR="002825F6" w:rsidRPr="002825F6">
        <w:rPr>
          <w:szCs w:val="28"/>
          <w:lang w:eastAsia="ru-RU"/>
        </w:rPr>
        <w:t xml:space="preserve">Слабкий Г. О., Дудник С. В., Качала Л. О. Оцінка економічної складової смертності дітей у віці до 1-го року життя. Матеріали 72-ї підсумкової наук. конф. професорсько-викладацького складу УжНУ / МОН України; Ужгородський національний університет; Факультет післядипломної освіти та </w:t>
      </w:r>
      <w:r w:rsidR="002825F6" w:rsidRPr="002825F6">
        <w:rPr>
          <w:szCs w:val="28"/>
          <w:lang w:eastAsia="ru-RU"/>
        </w:rPr>
        <w:lastRenderedPageBreak/>
        <w:t xml:space="preserve">до університетської підготовки. Ужгород. 2018. С. 78. </w:t>
      </w:r>
    </w:p>
    <w:p w:rsidR="00CC7F7F" w:rsidRDefault="00CC7F7F" w:rsidP="00065DFE"/>
    <w:p w:rsidR="004F31D7" w:rsidRPr="00CC7F7F" w:rsidRDefault="004F31D7" w:rsidP="00CC7F7F">
      <w:pPr>
        <w:sectPr w:rsidR="004F31D7" w:rsidRPr="00CC7F7F" w:rsidSect="00E242B0">
          <w:pgSz w:w="11906" w:h="16838"/>
          <w:pgMar w:top="1134" w:right="567" w:bottom="1134" w:left="1134" w:header="708" w:footer="708" w:gutter="0"/>
          <w:cols w:space="708"/>
          <w:docGrid w:linePitch="360"/>
        </w:sectPr>
      </w:pPr>
    </w:p>
    <w:p w:rsidR="004F31D7" w:rsidRPr="00006A39" w:rsidRDefault="004F31D7" w:rsidP="00D43D27">
      <w:pPr>
        <w:pageBreakBefore/>
        <w:widowControl w:val="0"/>
        <w:jc w:val="center"/>
        <w:rPr>
          <w:b/>
          <w:szCs w:val="28"/>
        </w:rPr>
      </w:pPr>
      <w:r w:rsidRPr="00006A39">
        <w:rPr>
          <w:b/>
          <w:szCs w:val="28"/>
        </w:rPr>
        <w:lastRenderedPageBreak/>
        <w:t>РОЗДІЛ 4</w:t>
      </w:r>
    </w:p>
    <w:p w:rsidR="004F31D7" w:rsidRDefault="004F31D7" w:rsidP="00721203">
      <w:pPr>
        <w:widowControl w:val="0"/>
        <w:jc w:val="center"/>
        <w:rPr>
          <w:b/>
          <w:szCs w:val="28"/>
        </w:rPr>
      </w:pPr>
      <w:r w:rsidRPr="00006A39">
        <w:rPr>
          <w:b/>
          <w:szCs w:val="28"/>
        </w:rPr>
        <w:t xml:space="preserve">ЗАХВОРЮВАНІСТЬ ДІТЕЙ ВІКОМ ДО 5 РОКІВ </w:t>
      </w:r>
      <w:r w:rsidR="00524E14">
        <w:rPr>
          <w:b/>
          <w:szCs w:val="28"/>
        </w:rPr>
        <w:t xml:space="preserve">ЖИТТЯ В </w:t>
      </w:r>
      <w:r w:rsidR="00D70024">
        <w:rPr>
          <w:b/>
          <w:szCs w:val="28"/>
        </w:rPr>
        <w:t>УКРАЇНІ</w:t>
      </w:r>
      <w:r w:rsidRPr="00006A39">
        <w:rPr>
          <w:b/>
          <w:szCs w:val="28"/>
        </w:rPr>
        <w:t xml:space="preserve"> ТА ЇЇ ЗВ’ЯЗКИ ЗІ СМЕРТНІСТЮ </w:t>
      </w:r>
    </w:p>
    <w:p w:rsidR="00524E14" w:rsidRPr="00006A39" w:rsidRDefault="00524E14" w:rsidP="00721203">
      <w:pPr>
        <w:widowControl w:val="0"/>
        <w:jc w:val="center"/>
        <w:rPr>
          <w:b/>
          <w:szCs w:val="28"/>
        </w:rPr>
      </w:pPr>
    </w:p>
    <w:p w:rsidR="004F31D7" w:rsidRPr="00006A39" w:rsidRDefault="004F31D7" w:rsidP="00721203">
      <w:pPr>
        <w:widowControl w:val="0"/>
        <w:ind w:firstLine="709"/>
        <w:rPr>
          <w:szCs w:val="28"/>
        </w:rPr>
      </w:pPr>
      <w:r w:rsidRPr="00006A39">
        <w:rPr>
          <w:szCs w:val="28"/>
        </w:rPr>
        <w:t>Захворюваність є однією з причин смертності дитячого населення, особливо у віці до 5 років життя. За даними науковців більше ніж половині випадків смерті дітей віком до 5 років</w:t>
      </w:r>
      <w:r w:rsidR="00B31B53">
        <w:rPr>
          <w:szCs w:val="28"/>
        </w:rPr>
        <w:t xml:space="preserve"> життя, які</w:t>
      </w:r>
      <w:r w:rsidRPr="00006A39">
        <w:rPr>
          <w:szCs w:val="28"/>
        </w:rPr>
        <w:t xml:space="preserve"> відбуваються через хвороби, можна запобігти і вилікувати за допомогою нескладних і доступних </w:t>
      </w:r>
      <w:r w:rsidRPr="0097320D">
        <w:rPr>
          <w:szCs w:val="28"/>
        </w:rPr>
        <w:t>втручань</w:t>
      </w:r>
      <w:r w:rsidRPr="0097320D">
        <w:rPr>
          <w:color w:val="000000" w:themeColor="text1"/>
          <w:szCs w:val="28"/>
        </w:rPr>
        <w:t>.</w:t>
      </w:r>
      <w:r w:rsidRPr="00006A39">
        <w:rPr>
          <w:szCs w:val="28"/>
        </w:rPr>
        <w:t xml:space="preserve"> Незадовільні показники здоров’я дітей відмічаються на фоні зниження чисельності дитячого населення України, що зумовлено щорічним зменшенням народжуваності, міг</w:t>
      </w:r>
      <w:r w:rsidR="006C05B8">
        <w:rPr>
          <w:szCs w:val="28"/>
        </w:rPr>
        <w:t>раційними процесами, тощо. [</w:t>
      </w:r>
      <w:r w:rsidR="006C05B8" w:rsidRPr="006B4196">
        <w:rPr>
          <w:szCs w:val="28"/>
        </w:rPr>
        <w:t>314</w:t>
      </w:r>
      <w:r w:rsidR="00CB4CA6" w:rsidRPr="006B4196">
        <w:rPr>
          <w:szCs w:val="28"/>
        </w:rPr>
        <w:t>-317</w:t>
      </w:r>
      <w:r w:rsidRPr="00006A39">
        <w:rPr>
          <w:szCs w:val="28"/>
        </w:rPr>
        <w:t xml:space="preserve">]. </w:t>
      </w:r>
    </w:p>
    <w:p w:rsidR="004F31D7" w:rsidRPr="00293A57" w:rsidRDefault="004F31D7" w:rsidP="00293A57">
      <w:pPr>
        <w:widowControl w:val="0"/>
        <w:ind w:firstLine="708"/>
        <w:rPr>
          <w:szCs w:val="28"/>
        </w:rPr>
      </w:pPr>
      <w:r w:rsidRPr="00006A39">
        <w:rPr>
          <w:szCs w:val="28"/>
        </w:rPr>
        <w:t xml:space="preserve">Метою даного розділу стало вивчення та аналіз </w:t>
      </w:r>
      <w:r w:rsidR="00A6723F" w:rsidRPr="00006A39">
        <w:rPr>
          <w:szCs w:val="28"/>
        </w:rPr>
        <w:t>динаміки та структури захворюваності дітей віком до 5 років та порівняння її з аналогічними показниками розвинених країн світу</w:t>
      </w:r>
      <w:r w:rsidRPr="00006A39">
        <w:rPr>
          <w:szCs w:val="28"/>
        </w:rPr>
        <w:t>, а також показника YLDs (Years lived with disability,) порівняльно</w:t>
      </w:r>
      <w:r w:rsidR="00B31B53">
        <w:rPr>
          <w:szCs w:val="28"/>
        </w:rPr>
        <w:t>ї характеристики років, втрачених</w:t>
      </w:r>
      <w:r w:rsidRPr="00006A39">
        <w:rPr>
          <w:szCs w:val="28"/>
        </w:rPr>
        <w:t xml:space="preserve"> внаслідок порушень здоров’я (інвалідності) у діт</w:t>
      </w:r>
      <w:r w:rsidR="00293A57">
        <w:rPr>
          <w:szCs w:val="28"/>
        </w:rPr>
        <w:t>ей до 1-го та 5-ти років життя.</w:t>
      </w:r>
    </w:p>
    <w:p w:rsidR="004F7D3B" w:rsidRPr="00293A57" w:rsidRDefault="004F31D7" w:rsidP="00293A57">
      <w:pPr>
        <w:widowControl w:val="0"/>
        <w:tabs>
          <w:tab w:val="left" w:pos="911"/>
        </w:tabs>
        <w:spacing w:before="240" w:after="240"/>
        <w:rPr>
          <w:b/>
          <w:szCs w:val="28"/>
          <w:lang w:val="ru-RU"/>
        </w:rPr>
      </w:pPr>
      <w:r w:rsidRPr="00006A39">
        <w:rPr>
          <w:rFonts w:eastAsia="Times New Roman"/>
          <w:b/>
          <w:szCs w:val="28"/>
          <w:lang w:eastAsia="ru-RU"/>
        </w:rPr>
        <w:tab/>
        <w:t xml:space="preserve">4.1. </w:t>
      </w:r>
      <w:r w:rsidR="00F04B97" w:rsidRPr="004F7D3B">
        <w:rPr>
          <w:b/>
          <w:szCs w:val="28"/>
        </w:rPr>
        <w:t>Динаміка та структура показників захворюваності дітей віком 0-6 років життя в Україні</w:t>
      </w:r>
    </w:p>
    <w:p w:rsidR="004F31D7" w:rsidRPr="00006A39" w:rsidRDefault="004F31D7" w:rsidP="00721203">
      <w:pPr>
        <w:widowControl w:val="0"/>
        <w:tabs>
          <w:tab w:val="left" w:pos="911"/>
        </w:tabs>
        <w:rPr>
          <w:szCs w:val="28"/>
        </w:rPr>
      </w:pPr>
      <w:r w:rsidRPr="00006A39">
        <w:rPr>
          <w:rFonts w:eastAsia="Times New Roman"/>
          <w:b/>
          <w:szCs w:val="28"/>
          <w:lang w:eastAsia="ru-RU"/>
        </w:rPr>
        <w:tab/>
      </w:r>
      <w:r w:rsidRPr="00006A39">
        <w:rPr>
          <w:szCs w:val="28"/>
        </w:rPr>
        <w:t xml:space="preserve">Із зростанням дитини співвідношення дії факторів на її здоров’я змінюється, а саме на зміну значного впливу медико-організаційних технологій, приходить зростання дії факторів навколишнього середовища, соціально-економічних факторів, що впливають на своєчасність і доступність медичної допомоги, формування основ психічного і фізичного здоров’я дитини, тому віковий період до 6 років </w:t>
      </w:r>
      <w:r w:rsidRPr="00006A39">
        <w:rPr>
          <w:color w:val="000000" w:themeColor="text1"/>
          <w:szCs w:val="28"/>
        </w:rPr>
        <w:t>життя</w:t>
      </w:r>
      <w:r w:rsidRPr="00006A39">
        <w:rPr>
          <w:szCs w:val="28"/>
        </w:rPr>
        <w:t xml:space="preserve"> потребує ретельної уваги, як з боку лікарів так і батьків. На даний час системою</w:t>
      </w:r>
      <w:r w:rsidR="003D54C0">
        <w:rPr>
          <w:szCs w:val="28"/>
        </w:rPr>
        <w:t xml:space="preserve"> первинної медико-санітарної допомоги</w:t>
      </w:r>
      <w:r w:rsidRPr="00006A39">
        <w:rPr>
          <w:szCs w:val="28"/>
        </w:rPr>
        <w:t xml:space="preserve"> </w:t>
      </w:r>
      <w:r w:rsidR="003D54C0">
        <w:rPr>
          <w:szCs w:val="28"/>
        </w:rPr>
        <w:t>(</w:t>
      </w:r>
      <w:r w:rsidRPr="00006A39">
        <w:rPr>
          <w:szCs w:val="28"/>
        </w:rPr>
        <w:t>ПМСД</w:t>
      </w:r>
      <w:r w:rsidR="003D54C0">
        <w:rPr>
          <w:szCs w:val="28"/>
        </w:rPr>
        <w:t>)</w:t>
      </w:r>
      <w:r w:rsidRPr="00006A39">
        <w:rPr>
          <w:szCs w:val="28"/>
        </w:rPr>
        <w:t xml:space="preserve"> здійснюється корекція і підтримка здоров’я дітей, завдяки функціонуючій комплексній системі профілактики, що базується на медико-організаційних технологіях з доведеною ефективністю. Слід зазначити, що при досягненні значення показника рівня малюнкової смертності 10‰, резерви подальшого зниження дитячої смертності </w:t>
      </w:r>
      <w:r w:rsidRPr="00006A39">
        <w:rPr>
          <w:szCs w:val="28"/>
        </w:rPr>
        <w:lastRenderedPageBreak/>
        <w:t xml:space="preserve">визначаються вже старшими віковими </w:t>
      </w:r>
      <w:r w:rsidRPr="0097320D">
        <w:rPr>
          <w:szCs w:val="28"/>
        </w:rPr>
        <w:t>групами,</w:t>
      </w:r>
      <w:r w:rsidRPr="00006A39">
        <w:rPr>
          <w:szCs w:val="28"/>
        </w:rPr>
        <w:t xml:space="preserve"> тому дослідження провідних причин захворюваності і поширеності хвороб серед дітей до 6-ти рокі</w:t>
      </w:r>
      <w:r w:rsidR="00E357A1">
        <w:rPr>
          <w:szCs w:val="28"/>
        </w:rPr>
        <w:t>в життя є особливо актуальними</w:t>
      </w:r>
      <w:r w:rsidR="00B637E1" w:rsidRPr="00B637E1">
        <w:rPr>
          <w:szCs w:val="28"/>
        </w:rPr>
        <w:t xml:space="preserve"> (</w:t>
      </w:r>
      <w:r w:rsidR="00C417D1">
        <w:rPr>
          <w:szCs w:val="28"/>
        </w:rPr>
        <w:t xml:space="preserve">ДЗ </w:t>
      </w:r>
      <w:r w:rsidR="00C417D1" w:rsidRPr="00C417D1">
        <w:rPr>
          <w:szCs w:val="28"/>
        </w:rPr>
        <w:t>«</w:t>
      </w:r>
      <w:r w:rsidR="00C417D1">
        <w:rPr>
          <w:szCs w:val="28"/>
        </w:rPr>
        <w:t>Центр</w:t>
      </w:r>
      <w:r w:rsidR="00CC0D32">
        <w:rPr>
          <w:szCs w:val="28"/>
        </w:rPr>
        <w:t xml:space="preserve"> медичної статистики</w:t>
      </w:r>
      <w:r w:rsidR="00FB77FB">
        <w:rPr>
          <w:szCs w:val="28"/>
        </w:rPr>
        <w:t xml:space="preserve"> МОЗ України</w:t>
      </w:r>
      <w:r w:rsidR="00C417D1" w:rsidRPr="00C417D1">
        <w:rPr>
          <w:szCs w:val="28"/>
        </w:rPr>
        <w:t>»</w:t>
      </w:r>
      <w:r w:rsidR="00CC0D32">
        <w:rPr>
          <w:szCs w:val="28"/>
        </w:rPr>
        <w:t xml:space="preserve"> передбачався збір даних </w:t>
      </w:r>
      <w:r w:rsidR="00B637E1">
        <w:rPr>
          <w:szCs w:val="28"/>
        </w:rPr>
        <w:t>щодо захворюваності та поширенос</w:t>
      </w:r>
      <w:r w:rsidR="00E01BB6">
        <w:rPr>
          <w:szCs w:val="28"/>
        </w:rPr>
        <w:t>ті хвороб</w:t>
      </w:r>
      <w:r w:rsidR="00E01BB6" w:rsidRPr="00E01BB6">
        <w:rPr>
          <w:szCs w:val="28"/>
        </w:rPr>
        <w:t xml:space="preserve"> </w:t>
      </w:r>
      <w:r w:rsidR="00CC0D32">
        <w:rPr>
          <w:szCs w:val="28"/>
        </w:rPr>
        <w:t xml:space="preserve">вікової групи 0-6 років, </w:t>
      </w:r>
      <w:r w:rsidR="004B3CD1">
        <w:rPr>
          <w:szCs w:val="28"/>
        </w:rPr>
        <w:t>останній рік збору таких даних –  2017 р.)</w:t>
      </w:r>
      <w:r w:rsidR="00E357A1" w:rsidRPr="00E357A1">
        <w:rPr>
          <w:szCs w:val="28"/>
        </w:rPr>
        <w:t>.</w:t>
      </w:r>
    </w:p>
    <w:p w:rsidR="004F31D7" w:rsidRPr="00006A39" w:rsidRDefault="004F31D7" w:rsidP="00721203">
      <w:pPr>
        <w:widowControl w:val="0"/>
        <w:tabs>
          <w:tab w:val="left" w:pos="911"/>
        </w:tabs>
        <w:rPr>
          <w:bCs/>
          <w:szCs w:val="28"/>
        </w:rPr>
      </w:pPr>
      <w:r w:rsidRPr="00006A39">
        <w:rPr>
          <w:szCs w:val="28"/>
        </w:rPr>
        <w:tab/>
        <w:t>За даними аналізу показник захворюваності</w:t>
      </w:r>
      <w:r w:rsidR="004F7D3B" w:rsidRPr="004F7D3B">
        <w:rPr>
          <w:szCs w:val="28"/>
        </w:rPr>
        <w:t xml:space="preserve"> дітей віком 0-6 років</w:t>
      </w:r>
      <w:r w:rsidRPr="00006A39">
        <w:rPr>
          <w:szCs w:val="28"/>
        </w:rPr>
        <w:t xml:space="preserve"> за 2013-2017 рр.</w:t>
      </w:r>
      <w:r w:rsidR="00E357A1">
        <w:rPr>
          <w:szCs w:val="28"/>
        </w:rPr>
        <w:t xml:space="preserve"> </w:t>
      </w:r>
      <w:r w:rsidRPr="00006A39">
        <w:rPr>
          <w:szCs w:val="28"/>
        </w:rPr>
        <w:t>достовірно</w:t>
      </w:r>
      <w:r w:rsidR="00240235">
        <w:rPr>
          <w:szCs w:val="28"/>
        </w:rPr>
        <w:t xml:space="preserve"> знизився</w:t>
      </w:r>
      <w:r w:rsidR="004A627D">
        <w:rPr>
          <w:szCs w:val="28"/>
        </w:rPr>
        <w:t xml:space="preserve"> на 5,8%</w:t>
      </w:r>
      <w:r w:rsidR="00240235">
        <w:rPr>
          <w:szCs w:val="28"/>
        </w:rPr>
        <w:t xml:space="preserve"> з 1545,44 до 1455,94 в</w:t>
      </w:r>
      <w:r w:rsidRPr="00006A39">
        <w:rPr>
          <w:szCs w:val="28"/>
        </w:rPr>
        <w:t xml:space="preserve"> розрахунку </w:t>
      </w:r>
      <w:r w:rsidRPr="00006A39">
        <w:rPr>
          <w:bCs/>
          <w:szCs w:val="28"/>
        </w:rPr>
        <w:t>на 1000 дітей відповідного віку (ВШ 0,942 (95% ДІ 0,940-0,944), р&lt;0,001)</w:t>
      </w:r>
      <w:r w:rsidR="00EE7D28">
        <w:rPr>
          <w:bCs/>
          <w:szCs w:val="28"/>
        </w:rPr>
        <w:t>,</w:t>
      </w:r>
      <w:r w:rsidR="004A627D">
        <w:rPr>
          <w:bCs/>
          <w:szCs w:val="28"/>
        </w:rPr>
        <w:t xml:space="preserve"> слід зазначити, що</w:t>
      </w:r>
      <w:r w:rsidR="00EE7D28">
        <w:rPr>
          <w:bCs/>
          <w:szCs w:val="28"/>
        </w:rPr>
        <w:t xml:space="preserve"> поширеність хвороб </w:t>
      </w:r>
      <w:r w:rsidR="004A627D">
        <w:rPr>
          <w:bCs/>
          <w:szCs w:val="28"/>
        </w:rPr>
        <w:t xml:space="preserve">серед дітей даного віку </w:t>
      </w:r>
      <w:r w:rsidR="00EE7D28">
        <w:rPr>
          <w:bCs/>
          <w:szCs w:val="28"/>
        </w:rPr>
        <w:t>також знизилась на 5,8% (з 1780,24 до</w:t>
      </w:r>
      <w:r w:rsidR="00240235">
        <w:rPr>
          <w:bCs/>
          <w:szCs w:val="28"/>
        </w:rPr>
        <w:t xml:space="preserve"> </w:t>
      </w:r>
      <w:r w:rsidR="00EE7D28">
        <w:rPr>
          <w:bCs/>
          <w:szCs w:val="28"/>
        </w:rPr>
        <w:t>1677,07 відповідно)</w:t>
      </w:r>
      <w:r w:rsidRPr="00006A39">
        <w:rPr>
          <w:bCs/>
          <w:szCs w:val="28"/>
        </w:rPr>
        <w:t xml:space="preserve"> (рис. 4.1).</w:t>
      </w:r>
    </w:p>
    <w:p w:rsidR="004F31D7" w:rsidRPr="00006A39" w:rsidRDefault="004F31D7" w:rsidP="00721203">
      <w:pPr>
        <w:widowControl w:val="0"/>
        <w:jc w:val="center"/>
      </w:pPr>
      <w:r w:rsidRPr="00006A39">
        <w:rPr>
          <w:noProof/>
          <w:lang w:val="ru-RU" w:eastAsia="ru-RU"/>
        </w:rPr>
        <w:drawing>
          <wp:inline distT="0" distB="0" distL="0" distR="0" wp14:anchorId="5B0E96B5" wp14:editId="59B887A0">
            <wp:extent cx="5856102" cy="3191070"/>
            <wp:effectExtent l="0" t="0" r="0" b="9525"/>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865914" cy="3196416"/>
                    </a:xfrm>
                    <a:prstGeom prst="rect">
                      <a:avLst/>
                    </a:prstGeom>
                    <a:noFill/>
                  </pic:spPr>
                </pic:pic>
              </a:graphicData>
            </a:graphic>
          </wp:inline>
        </w:drawing>
      </w:r>
    </w:p>
    <w:p w:rsidR="004F31D7" w:rsidRPr="00006A39" w:rsidRDefault="004F31D7" w:rsidP="00721203">
      <w:pPr>
        <w:widowControl w:val="0"/>
        <w:spacing w:after="120"/>
        <w:ind w:firstLine="709"/>
        <w:rPr>
          <w:bCs/>
          <w:szCs w:val="28"/>
        </w:rPr>
      </w:pPr>
      <w:r w:rsidRPr="00006A39">
        <w:rPr>
          <w:bCs/>
          <w:szCs w:val="28"/>
        </w:rPr>
        <w:t xml:space="preserve">Рис. 4.1. Показники захворюваності та поширеності хвороб серед дітей 0–6 років </w:t>
      </w:r>
      <w:r w:rsidRPr="00006A39">
        <w:rPr>
          <w:color w:val="000000" w:themeColor="text1"/>
          <w:szCs w:val="28"/>
        </w:rPr>
        <w:t>життя</w:t>
      </w:r>
      <w:r w:rsidRPr="00006A39">
        <w:rPr>
          <w:bCs/>
          <w:color w:val="000000" w:themeColor="text1"/>
          <w:szCs w:val="28"/>
        </w:rPr>
        <w:t xml:space="preserve"> в</w:t>
      </w:r>
      <w:r w:rsidRPr="00006A39">
        <w:rPr>
          <w:bCs/>
          <w:szCs w:val="28"/>
        </w:rPr>
        <w:t xml:space="preserve"> Україні у 2013–2017 рр. (на 1000 дітей відповідного віку)</w:t>
      </w:r>
    </w:p>
    <w:p w:rsidR="005154DA" w:rsidRDefault="004F31D7" w:rsidP="00721203">
      <w:pPr>
        <w:widowControl w:val="0"/>
        <w:tabs>
          <w:tab w:val="left" w:pos="911"/>
        </w:tabs>
        <w:rPr>
          <w:bCs/>
          <w:szCs w:val="28"/>
        </w:rPr>
      </w:pPr>
      <w:r w:rsidRPr="00006A39">
        <w:rPr>
          <w:bCs/>
          <w:szCs w:val="28"/>
        </w:rPr>
        <w:tab/>
        <w:t>Проте вивчення трендів даного показника за окремими адміністративними територіями шляхом аналізу статистичних характеристик варіаційного ряду показав, що медіанне значення показника захворюваності дітей віком до 6 років залишилось незмінними (р=0.9923) на тлі збільшення міжквартильного інтервалу (відповідно 236,98 та 272,89) (рис.4.2)</w:t>
      </w:r>
    </w:p>
    <w:p w:rsidR="00132F56" w:rsidRDefault="005154DA" w:rsidP="00132F56">
      <w:pPr>
        <w:widowControl w:val="0"/>
        <w:ind w:firstLine="709"/>
        <w:rPr>
          <w:szCs w:val="28"/>
        </w:rPr>
      </w:pPr>
      <w:r w:rsidRPr="009B7A29">
        <w:rPr>
          <w:szCs w:val="28"/>
        </w:rPr>
        <w:t xml:space="preserve">Найвищі рівні </w:t>
      </w:r>
      <w:r>
        <w:rPr>
          <w:szCs w:val="28"/>
        </w:rPr>
        <w:t xml:space="preserve">як </w:t>
      </w:r>
      <w:r w:rsidRPr="009B7A29">
        <w:rPr>
          <w:szCs w:val="28"/>
        </w:rPr>
        <w:t xml:space="preserve">захворюваності дітей </w:t>
      </w:r>
      <w:r>
        <w:rPr>
          <w:szCs w:val="28"/>
        </w:rPr>
        <w:t xml:space="preserve">так і поширеності хвороб серед дітей у віці 0-6 років життя </w:t>
      </w:r>
      <w:r w:rsidRPr="005154DA">
        <w:rPr>
          <w:szCs w:val="28"/>
        </w:rPr>
        <w:t xml:space="preserve">у 2017 р. </w:t>
      </w:r>
      <w:r>
        <w:rPr>
          <w:szCs w:val="28"/>
        </w:rPr>
        <w:t>спостеріга</w:t>
      </w:r>
      <w:r w:rsidRPr="005154DA">
        <w:rPr>
          <w:szCs w:val="28"/>
        </w:rPr>
        <w:t>лись</w:t>
      </w:r>
      <w:r w:rsidRPr="009B7A29">
        <w:rPr>
          <w:szCs w:val="28"/>
        </w:rPr>
        <w:t xml:space="preserve"> за наступними класами захворювань: </w:t>
      </w:r>
      <w:r w:rsidRPr="009B7A29">
        <w:rPr>
          <w:szCs w:val="28"/>
        </w:rPr>
        <w:lastRenderedPageBreak/>
        <w:t xml:space="preserve">хвороби органів дихання (1056,59‰ </w:t>
      </w:r>
      <w:r>
        <w:rPr>
          <w:szCs w:val="28"/>
        </w:rPr>
        <w:t xml:space="preserve">і </w:t>
      </w:r>
      <w:r w:rsidRPr="009B7A29">
        <w:rPr>
          <w:szCs w:val="28"/>
        </w:rPr>
        <w:t>1092,31‰</w:t>
      </w:r>
      <w:r>
        <w:rPr>
          <w:szCs w:val="28"/>
        </w:rPr>
        <w:t xml:space="preserve"> </w:t>
      </w:r>
      <w:r w:rsidRPr="009B7A29">
        <w:rPr>
          <w:szCs w:val="28"/>
        </w:rPr>
        <w:t>відповідно), хвороби шкіри та підшкірної клітковини (69,5‰</w:t>
      </w:r>
      <w:r>
        <w:rPr>
          <w:szCs w:val="28"/>
        </w:rPr>
        <w:t xml:space="preserve"> і 80,76‰</w:t>
      </w:r>
      <w:r w:rsidRPr="009B7A29">
        <w:rPr>
          <w:szCs w:val="28"/>
        </w:rPr>
        <w:t xml:space="preserve">), деякі інфекційні </w:t>
      </w:r>
      <w:r>
        <w:rPr>
          <w:szCs w:val="28"/>
        </w:rPr>
        <w:t>та паразитарні хвороби (</w:t>
      </w:r>
      <w:r w:rsidRPr="009B7A29">
        <w:rPr>
          <w:szCs w:val="28"/>
        </w:rPr>
        <w:t>56,33‰</w:t>
      </w:r>
      <w:r w:rsidR="00132F56">
        <w:t> </w:t>
      </w:r>
      <w:r>
        <w:rPr>
          <w:szCs w:val="28"/>
        </w:rPr>
        <w:t>і</w:t>
      </w:r>
      <w:r w:rsidR="00132F56">
        <w:rPr>
          <w:szCs w:val="28"/>
        </w:rPr>
        <w:t> </w:t>
      </w:r>
      <w:r>
        <w:rPr>
          <w:szCs w:val="28"/>
        </w:rPr>
        <w:t>63,64‰)</w:t>
      </w:r>
      <w:r w:rsidR="00132F56">
        <w:rPr>
          <w:szCs w:val="28"/>
        </w:rPr>
        <w:t> </w:t>
      </w:r>
      <w:r>
        <w:rPr>
          <w:szCs w:val="28"/>
        </w:rPr>
        <w:t>(табл.</w:t>
      </w:r>
      <w:r w:rsidR="00132F56">
        <w:rPr>
          <w:szCs w:val="28"/>
        </w:rPr>
        <w:t> </w:t>
      </w:r>
      <w:r>
        <w:rPr>
          <w:szCs w:val="28"/>
        </w:rPr>
        <w:t>4.1,</w:t>
      </w:r>
      <w:r w:rsidR="00132F56">
        <w:rPr>
          <w:szCs w:val="28"/>
        </w:rPr>
        <w:t> </w:t>
      </w:r>
      <w:r w:rsidRPr="008B1C66">
        <w:rPr>
          <w:szCs w:val="28"/>
        </w:rPr>
        <w:t>Додаток</w:t>
      </w:r>
      <w:r w:rsidR="00132F56" w:rsidRPr="008B1C66">
        <w:rPr>
          <w:szCs w:val="28"/>
        </w:rPr>
        <w:t> </w:t>
      </w:r>
      <w:r w:rsidR="00F234A6" w:rsidRPr="008B1C66">
        <w:rPr>
          <w:szCs w:val="28"/>
        </w:rPr>
        <w:t>В</w:t>
      </w:r>
      <w:r w:rsidRPr="008B1C66">
        <w:rPr>
          <w:szCs w:val="28"/>
        </w:rPr>
        <w:t>-1).</w:t>
      </w:r>
      <w:r w:rsidR="00BE19B0" w:rsidRPr="008B1C66">
        <w:rPr>
          <w:szCs w:val="28"/>
        </w:rPr>
        <w:t xml:space="preserve"> </w:t>
      </w:r>
    </w:p>
    <w:p w:rsidR="004F31D7" w:rsidRPr="00BE19B0" w:rsidRDefault="00A60247" w:rsidP="00132F56">
      <w:pPr>
        <w:widowControl w:val="0"/>
        <w:rPr>
          <w:szCs w:val="28"/>
        </w:rPr>
      </w:pPr>
      <w:r w:rsidRPr="00006A39">
        <w:rPr>
          <w:bCs/>
          <w:noProof/>
          <w:szCs w:val="28"/>
          <w:lang w:val="ru-RU" w:eastAsia="ru-RU"/>
        </w:rPr>
        <mc:AlternateContent>
          <mc:Choice Requires="wps">
            <w:drawing>
              <wp:anchor distT="0" distB="0" distL="114300" distR="114300" simplePos="0" relativeHeight="251679744" behindDoc="0" locked="0" layoutInCell="1" allowOverlap="1" wp14:anchorId="117F4D35" wp14:editId="5BC1AB11">
                <wp:simplePos x="0" y="0"/>
                <wp:positionH relativeFrom="column">
                  <wp:posOffset>3555365</wp:posOffset>
                </wp:positionH>
                <wp:positionV relativeFrom="paragraph">
                  <wp:posOffset>529590</wp:posOffset>
                </wp:positionV>
                <wp:extent cx="1041400" cy="594995"/>
                <wp:effectExtent l="0" t="0" r="0" b="0"/>
                <wp:wrapNone/>
                <wp:docPr id="5" name="Надпись 5"/>
                <wp:cNvGraphicFramePr/>
                <a:graphic xmlns:a="http://schemas.openxmlformats.org/drawingml/2006/main">
                  <a:graphicData uri="http://schemas.microsoft.com/office/word/2010/wordprocessingShape">
                    <wps:wsp>
                      <wps:cNvSpPr txBox="1"/>
                      <wps:spPr>
                        <a:xfrm>
                          <a:off x="0" y="0"/>
                          <a:ext cx="1041400" cy="594995"/>
                        </a:xfrm>
                        <a:prstGeom prst="rect">
                          <a:avLst/>
                        </a:prstGeom>
                        <a:noFill/>
                        <a:ln w="6350">
                          <a:noFill/>
                        </a:ln>
                      </wps:spPr>
                      <wps:txbx>
                        <w:txbxContent>
                          <w:p w:rsidR="001E1DF5" w:rsidRPr="00A6723F" w:rsidRDefault="001E1DF5" w:rsidP="004F31D7">
                            <w:pPr>
                              <w:spacing w:line="240" w:lineRule="auto"/>
                              <w:rPr>
                                <w:sz w:val="22"/>
                                <w:lang w:val="en-US"/>
                              </w:rPr>
                            </w:pPr>
                            <w:r w:rsidRPr="00A6723F">
                              <w:rPr>
                                <w:sz w:val="22"/>
                              </w:rPr>
                              <w:t>Ме</w:t>
                            </w:r>
                            <w:r w:rsidRPr="00A6723F">
                              <w:rPr>
                                <w:sz w:val="22"/>
                                <w:lang w:val="en-US"/>
                              </w:rPr>
                              <w:t>=1518.83</w:t>
                            </w:r>
                          </w:p>
                          <w:p w:rsidR="001E1DF5" w:rsidRPr="00A6723F" w:rsidRDefault="001E1DF5" w:rsidP="004F31D7">
                            <w:pPr>
                              <w:spacing w:line="240" w:lineRule="auto"/>
                              <w:rPr>
                                <w:sz w:val="22"/>
                                <w:lang w:val="en-US"/>
                              </w:rPr>
                            </w:pPr>
                            <w:r w:rsidRPr="00A6723F">
                              <w:rPr>
                                <w:sz w:val="22"/>
                                <w:lang w:val="en-US"/>
                              </w:rPr>
                              <w:t>Q</w:t>
                            </w:r>
                            <w:r w:rsidRPr="00A6723F">
                              <w:rPr>
                                <w:sz w:val="22"/>
                                <w:vertAlign w:val="subscript"/>
                                <w:lang w:val="en-US"/>
                              </w:rPr>
                              <w:t>1</w:t>
                            </w:r>
                            <w:r w:rsidRPr="00A6723F">
                              <w:rPr>
                                <w:sz w:val="22"/>
                                <w:lang w:val="en-US"/>
                              </w:rPr>
                              <w:t>=1393.43</w:t>
                            </w:r>
                          </w:p>
                          <w:p w:rsidR="001E1DF5" w:rsidRPr="00A6723F" w:rsidRDefault="001E1DF5" w:rsidP="004F31D7">
                            <w:pPr>
                              <w:spacing w:line="240" w:lineRule="auto"/>
                              <w:rPr>
                                <w:sz w:val="22"/>
                                <w:lang w:val="en-US"/>
                              </w:rPr>
                            </w:pPr>
                            <w:r w:rsidRPr="00A6723F">
                              <w:rPr>
                                <w:sz w:val="22"/>
                                <w:lang w:val="en-US"/>
                              </w:rPr>
                              <w:t>Q</w:t>
                            </w:r>
                            <w:r w:rsidRPr="00A6723F">
                              <w:rPr>
                                <w:sz w:val="22"/>
                                <w:vertAlign w:val="subscript"/>
                                <w:lang w:val="en-US"/>
                              </w:rPr>
                              <w:t>3</w:t>
                            </w:r>
                            <w:r w:rsidRPr="00A6723F">
                              <w:rPr>
                                <w:sz w:val="22"/>
                                <w:lang w:val="en-US"/>
                              </w:rPr>
                              <w:t>=1666.32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Надпись 5" o:spid="_x0000_s1108" type="#_x0000_t202" style="position:absolute;left:0;text-align:left;margin-left:279.95pt;margin-top:41.7pt;width:82pt;height:46.8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" filled="f" stroked="f" strokeweight=".5pt">
                <v:textbox>
                  <w:txbxContent>
                    <w:p w:rsidR="00E01BB6" w:rsidRPr="00A6723F" w:rsidRDefault="00E01BB6" w:rsidP="004F31D7">
                      <w:pPr>
                        <w:spacing w:line="240" w:lineRule="auto"/>
                        <w:rPr>
                          <w:sz w:val="22"/>
                          <w:lang w:val="en-US"/>
                        </w:rPr>
                      </w:pPr>
                      <w:r w:rsidRPr="00A6723F">
                        <w:rPr>
                          <w:sz w:val="22"/>
                        </w:rPr>
                        <w:t>Ме</w:t>
                      </w:r>
                      <w:r w:rsidRPr="00A6723F">
                        <w:rPr>
                          <w:sz w:val="22"/>
                          <w:lang w:val="en-US"/>
                        </w:rPr>
                        <w:t>=1518.83</w:t>
                      </w:r>
                    </w:p>
                    <w:p w:rsidR="00E01BB6" w:rsidRPr="00A6723F" w:rsidRDefault="00E01BB6" w:rsidP="004F31D7">
                      <w:pPr>
                        <w:spacing w:line="240" w:lineRule="auto"/>
                        <w:rPr>
                          <w:sz w:val="22"/>
                          <w:lang w:val="en-US"/>
                        </w:rPr>
                      </w:pPr>
                      <w:r w:rsidRPr="00A6723F">
                        <w:rPr>
                          <w:sz w:val="22"/>
                          <w:lang w:val="en-US"/>
                        </w:rPr>
                        <w:t>Q</w:t>
                      </w:r>
                      <w:r w:rsidRPr="00A6723F">
                        <w:rPr>
                          <w:sz w:val="22"/>
                          <w:vertAlign w:val="subscript"/>
                          <w:lang w:val="en-US"/>
                        </w:rPr>
                        <w:t>1</w:t>
                      </w:r>
                      <w:r w:rsidRPr="00A6723F">
                        <w:rPr>
                          <w:sz w:val="22"/>
                          <w:lang w:val="en-US"/>
                        </w:rPr>
                        <w:t>=1393.43</w:t>
                      </w:r>
                    </w:p>
                    <w:p w:rsidR="00E01BB6" w:rsidRPr="00A6723F" w:rsidRDefault="00E01BB6" w:rsidP="004F31D7">
                      <w:pPr>
                        <w:spacing w:line="240" w:lineRule="auto"/>
                        <w:rPr>
                          <w:sz w:val="22"/>
                          <w:lang w:val="en-US"/>
                        </w:rPr>
                      </w:pPr>
                      <w:r w:rsidRPr="00A6723F">
                        <w:rPr>
                          <w:sz w:val="22"/>
                          <w:lang w:val="en-US"/>
                        </w:rPr>
                        <w:t>Q</w:t>
                      </w:r>
                      <w:r w:rsidRPr="00A6723F">
                        <w:rPr>
                          <w:sz w:val="22"/>
                          <w:vertAlign w:val="subscript"/>
                          <w:lang w:val="en-US"/>
                        </w:rPr>
                        <w:t>3</w:t>
                      </w:r>
                      <w:r w:rsidRPr="00A6723F">
                        <w:rPr>
                          <w:sz w:val="22"/>
                          <w:lang w:val="en-US"/>
                        </w:rPr>
                        <w:t>=1666.32</w:t>
                      </w:r>
                    </w:p>
                  </w:txbxContent>
                </v:textbox>
              </v:shape>
            </w:pict>
          </mc:Fallback>
        </mc:AlternateContent>
      </w:r>
      <w:r w:rsidR="0056740F" w:rsidRPr="00006A39">
        <w:rPr>
          <w:bCs/>
          <w:noProof/>
          <w:szCs w:val="28"/>
          <w:lang w:val="ru-RU" w:eastAsia="ru-RU"/>
        </w:rPr>
        <mc:AlternateContent>
          <mc:Choice Requires="wps">
            <w:drawing>
              <wp:anchor distT="0" distB="0" distL="114300" distR="114300" simplePos="0" relativeHeight="251678720" behindDoc="0" locked="0" layoutInCell="1" allowOverlap="1" wp14:anchorId="300DBF36" wp14:editId="1A6D55A8">
                <wp:simplePos x="0" y="0"/>
                <wp:positionH relativeFrom="column">
                  <wp:posOffset>1865630</wp:posOffset>
                </wp:positionH>
                <wp:positionV relativeFrom="paragraph">
                  <wp:posOffset>530225</wp:posOffset>
                </wp:positionV>
                <wp:extent cx="1041400" cy="594995"/>
                <wp:effectExtent l="0" t="0" r="0" b="0"/>
                <wp:wrapNone/>
                <wp:docPr id="20" name="Надпись 20"/>
                <wp:cNvGraphicFramePr/>
                <a:graphic xmlns:a="http://schemas.openxmlformats.org/drawingml/2006/main">
                  <a:graphicData uri="http://schemas.microsoft.com/office/word/2010/wordprocessingShape">
                    <wps:wsp>
                      <wps:cNvSpPr txBox="1"/>
                      <wps:spPr>
                        <a:xfrm>
                          <a:off x="0" y="0"/>
                          <a:ext cx="1041400" cy="594995"/>
                        </a:xfrm>
                        <a:prstGeom prst="rect">
                          <a:avLst/>
                        </a:prstGeom>
                        <a:noFill/>
                        <a:ln w="6350">
                          <a:noFill/>
                        </a:ln>
                      </wps:spPr>
                      <wps:txbx>
                        <w:txbxContent>
                          <w:p w:rsidR="001E1DF5" w:rsidRPr="00A6723F" w:rsidRDefault="001E1DF5" w:rsidP="004F31D7">
                            <w:pPr>
                              <w:spacing w:line="240" w:lineRule="auto"/>
                              <w:rPr>
                                <w:sz w:val="22"/>
                                <w:lang w:val="en-US"/>
                              </w:rPr>
                            </w:pPr>
                            <w:r w:rsidRPr="00A6723F">
                              <w:rPr>
                                <w:sz w:val="22"/>
                              </w:rPr>
                              <w:t>Ме</w:t>
                            </w:r>
                            <w:r w:rsidRPr="00A6723F">
                              <w:rPr>
                                <w:sz w:val="22"/>
                                <w:lang w:val="en-US"/>
                              </w:rPr>
                              <w:t>=1517.05</w:t>
                            </w:r>
                          </w:p>
                          <w:p w:rsidR="001E1DF5" w:rsidRPr="00A6723F" w:rsidRDefault="001E1DF5" w:rsidP="004F31D7">
                            <w:pPr>
                              <w:spacing w:line="240" w:lineRule="auto"/>
                              <w:rPr>
                                <w:sz w:val="22"/>
                                <w:lang w:val="en-US"/>
                              </w:rPr>
                            </w:pPr>
                            <w:r w:rsidRPr="00A6723F">
                              <w:rPr>
                                <w:sz w:val="22"/>
                                <w:lang w:val="en-US"/>
                              </w:rPr>
                              <w:t>Q</w:t>
                            </w:r>
                            <w:r w:rsidRPr="00A6723F">
                              <w:rPr>
                                <w:sz w:val="22"/>
                                <w:vertAlign w:val="subscript"/>
                                <w:lang w:val="en-US"/>
                              </w:rPr>
                              <w:t>1</w:t>
                            </w:r>
                            <w:r w:rsidRPr="00A6723F">
                              <w:rPr>
                                <w:sz w:val="22"/>
                                <w:lang w:val="en-US"/>
                              </w:rPr>
                              <w:t>=1413.14</w:t>
                            </w:r>
                          </w:p>
                          <w:p w:rsidR="001E1DF5" w:rsidRPr="00A6723F" w:rsidRDefault="001E1DF5" w:rsidP="004F31D7">
                            <w:pPr>
                              <w:spacing w:line="240" w:lineRule="auto"/>
                              <w:rPr>
                                <w:sz w:val="22"/>
                                <w:lang w:val="en-US"/>
                              </w:rPr>
                            </w:pPr>
                            <w:r w:rsidRPr="00A6723F">
                              <w:rPr>
                                <w:sz w:val="22"/>
                                <w:lang w:val="en-US"/>
                              </w:rPr>
                              <w:t>Q</w:t>
                            </w:r>
                            <w:r w:rsidRPr="00A6723F">
                              <w:rPr>
                                <w:sz w:val="22"/>
                                <w:vertAlign w:val="subscript"/>
                                <w:lang w:val="en-US"/>
                              </w:rPr>
                              <w:t>3</w:t>
                            </w:r>
                            <w:r w:rsidRPr="00A6723F">
                              <w:rPr>
                                <w:sz w:val="22"/>
                                <w:lang w:val="en-US"/>
                              </w:rPr>
                              <w:t>=1650.12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Надпись 20" o:spid="_x0000_s1108" type="#_x0000_t202" style="position:absolute;left:0;text-align:left;margin-left:146.9pt;margin-top:41.75pt;width:82pt;height:46.8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" filled="f" stroked="f" strokeweight=".5pt">
                <v:textbox>
                  <w:txbxContent>
                    <w:p w:rsidR="0057431A" w:rsidRPr="00A6723F" w:rsidRDefault="0057431A" w:rsidP="004F31D7">
                      <w:pPr>
                        <w:spacing w:line="240" w:lineRule="auto"/>
                        <w:rPr>
                          <w:sz w:val="22"/>
                          <w:lang w:val="en-US"/>
                        </w:rPr>
                      </w:pPr>
                      <w:r w:rsidRPr="00A6723F">
                        <w:rPr>
                          <w:sz w:val="22"/>
                        </w:rPr>
                        <w:t>Ме</w:t>
                      </w:r>
                      <w:r w:rsidRPr="00A6723F">
                        <w:rPr>
                          <w:sz w:val="22"/>
                          <w:lang w:val="en-US"/>
                        </w:rPr>
                        <w:t>=1517.05</w:t>
                      </w:r>
                    </w:p>
                    <w:p w:rsidR="0057431A" w:rsidRPr="00A6723F" w:rsidRDefault="0057431A" w:rsidP="004F31D7">
                      <w:pPr>
                        <w:spacing w:line="240" w:lineRule="auto"/>
                        <w:rPr>
                          <w:sz w:val="22"/>
                          <w:lang w:val="en-US"/>
                        </w:rPr>
                      </w:pPr>
                      <w:r w:rsidRPr="00A6723F">
                        <w:rPr>
                          <w:sz w:val="22"/>
                          <w:lang w:val="en-US"/>
                        </w:rPr>
                        <w:t>Q</w:t>
                      </w:r>
                      <w:r w:rsidRPr="00A6723F">
                        <w:rPr>
                          <w:sz w:val="22"/>
                          <w:vertAlign w:val="subscript"/>
                          <w:lang w:val="en-US"/>
                        </w:rPr>
                        <w:t>1</w:t>
                      </w:r>
                      <w:r w:rsidRPr="00A6723F">
                        <w:rPr>
                          <w:sz w:val="22"/>
                          <w:lang w:val="en-US"/>
                        </w:rPr>
                        <w:t>=1413.14</w:t>
                      </w:r>
                    </w:p>
                    <w:p w:rsidR="0057431A" w:rsidRPr="00A6723F" w:rsidRDefault="0057431A" w:rsidP="004F31D7">
                      <w:pPr>
                        <w:spacing w:line="240" w:lineRule="auto"/>
                        <w:rPr>
                          <w:sz w:val="22"/>
                          <w:lang w:val="en-US"/>
                        </w:rPr>
                      </w:pPr>
                      <w:r w:rsidRPr="00A6723F">
                        <w:rPr>
                          <w:sz w:val="22"/>
                          <w:lang w:val="en-US"/>
                        </w:rPr>
                        <w:t>Q</w:t>
                      </w:r>
                      <w:r w:rsidRPr="00A6723F">
                        <w:rPr>
                          <w:sz w:val="22"/>
                          <w:vertAlign w:val="subscript"/>
                          <w:lang w:val="en-US"/>
                        </w:rPr>
                        <w:t>3</w:t>
                      </w:r>
                      <w:r w:rsidRPr="00A6723F">
                        <w:rPr>
                          <w:sz w:val="22"/>
                          <w:lang w:val="en-US"/>
                        </w:rPr>
                        <w:t>=1650.12</w:t>
                      </w:r>
                    </w:p>
                  </w:txbxContent>
                </v:textbox>
              </v:shape>
            </w:pict>
          </mc:Fallback>
        </mc:AlternateContent>
      </w:r>
      <w:r w:rsidR="00BE19B0" w:rsidRPr="00006A39">
        <w:rPr>
          <w:bCs/>
          <w:noProof/>
          <w:szCs w:val="28"/>
          <w:lang w:val="ru-RU" w:eastAsia="ru-RU"/>
        </w:rPr>
        <w:drawing>
          <wp:inline distT="0" distB="0" distL="0" distR="0" wp14:anchorId="6F7BDC1B" wp14:editId="7DB7DBFC">
            <wp:extent cx="6333762" cy="4254759"/>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6334210" cy="4255060"/>
                    </a:xfrm>
                    <a:prstGeom prst="rect">
                      <a:avLst/>
                    </a:prstGeom>
                    <a:noFill/>
                    <a:ln>
                      <a:noFill/>
                    </a:ln>
                  </pic:spPr>
                </pic:pic>
              </a:graphicData>
            </a:graphic>
          </wp:inline>
        </w:drawing>
      </w:r>
    </w:p>
    <w:p w:rsidR="004F31D7" w:rsidRPr="00006A39" w:rsidRDefault="004F31D7" w:rsidP="00721203">
      <w:pPr>
        <w:widowControl w:val="0"/>
        <w:tabs>
          <w:tab w:val="left" w:pos="911"/>
        </w:tabs>
        <w:spacing w:after="120"/>
        <w:rPr>
          <w:bCs/>
          <w:szCs w:val="28"/>
        </w:rPr>
      </w:pPr>
      <w:r w:rsidRPr="00006A39">
        <w:rPr>
          <w:bCs/>
          <w:szCs w:val="28"/>
        </w:rPr>
        <w:tab/>
        <w:t>Рис. 4.2. Статистичні характеристики варіаційного ряду «Захворюваність дітей віком 0-6 років) у 2013 та 2017 рр.</w:t>
      </w:r>
    </w:p>
    <w:p w:rsidR="003826A3" w:rsidRDefault="004F31D7" w:rsidP="004B3CD1">
      <w:pPr>
        <w:widowControl w:val="0"/>
        <w:ind w:firstLine="709"/>
        <w:rPr>
          <w:szCs w:val="28"/>
        </w:rPr>
      </w:pPr>
      <w:r w:rsidRPr="00006A39">
        <w:rPr>
          <w:szCs w:val="28"/>
        </w:rPr>
        <w:t>Встановлено, що за період</w:t>
      </w:r>
      <w:r w:rsidRPr="00006A39">
        <w:rPr>
          <w:color w:val="FF0000"/>
          <w:szCs w:val="28"/>
        </w:rPr>
        <w:t xml:space="preserve"> </w:t>
      </w:r>
      <w:r w:rsidRPr="00006A39">
        <w:rPr>
          <w:szCs w:val="28"/>
        </w:rPr>
        <w:t>2013-2017 рр. найбільшу спадну динамік</w:t>
      </w:r>
      <w:r w:rsidR="00140862">
        <w:rPr>
          <w:szCs w:val="28"/>
        </w:rPr>
        <w:t>у мали показники захворюваності дітей</w:t>
      </w:r>
      <w:r w:rsidR="00140862" w:rsidRPr="00140862">
        <w:rPr>
          <w:szCs w:val="28"/>
        </w:rPr>
        <w:t xml:space="preserve"> у віковій групі 0-6 років</w:t>
      </w:r>
      <w:r w:rsidR="00140862">
        <w:rPr>
          <w:szCs w:val="28"/>
        </w:rPr>
        <w:t xml:space="preserve"> життя (на 1000 дітей відповідного віку) </w:t>
      </w:r>
      <w:r w:rsidRPr="00006A39">
        <w:rPr>
          <w:szCs w:val="28"/>
        </w:rPr>
        <w:t>за такими класами: розлади психіки та поведінки (ВШ</w:t>
      </w:r>
      <w:r w:rsidR="007B0484">
        <w:rPr>
          <w:szCs w:val="28"/>
          <w:lang w:val="en-US"/>
        </w:rPr>
        <w:t> </w:t>
      </w:r>
      <w:r w:rsidRPr="00006A39">
        <w:rPr>
          <w:szCs w:val="28"/>
        </w:rPr>
        <w:t>0,774</w:t>
      </w:r>
      <w:r w:rsidR="007F071F" w:rsidRPr="007F071F">
        <w:rPr>
          <w:szCs w:val="28"/>
        </w:rPr>
        <w:t xml:space="preserve"> (</w:t>
      </w:r>
      <w:r w:rsidR="007F071F" w:rsidRPr="00231499">
        <w:rPr>
          <w:szCs w:val="28"/>
        </w:rPr>
        <w:t xml:space="preserve">95% ДІ </w:t>
      </w:r>
      <w:r w:rsidR="007F071F" w:rsidRPr="007F071F">
        <w:rPr>
          <w:szCs w:val="28"/>
        </w:rPr>
        <w:t>0,756-0,793</w:t>
      </w:r>
      <w:r w:rsidR="00C57293">
        <w:rPr>
          <w:szCs w:val="28"/>
        </w:rPr>
        <w:t>, р&lt;0,001</w:t>
      </w:r>
      <w:r w:rsidRPr="00006A39">
        <w:rPr>
          <w:szCs w:val="28"/>
        </w:rPr>
        <w:t>), хвороби систему кровообігу (ВШ</w:t>
      </w:r>
      <w:r w:rsidR="00A61E6F">
        <w:rPr>
          <w:szCs w:val="28"/>
          <w:lang w:val="en-US"/>
        </w:rPr>
        <w:t> </w:t>
      </w:r>
      <w:r w:rsidRPr="00006A39">
        <w:rPr>
          <w:szCs w:val="28"/>
        </w:rPr>
        <w:t>0,736</w:t>
      </w:r>
      <w:r w:rsidR="00C57293" w:rsidRPr="00C57293">
        <w:rPr>
          <w:szCs w:val="28"/>
        </w:rPr>
        <w:t xml:space="preserve"> (95%</w:t>
      </w:r>
      <w:r w:rsidR="00C57293">
        <w:rPr>
          <w:szCs w:val="28"/>
          <w:lang w:val="ru-RU"/>
        </w:rPr>
        <w:t> </w:t>
      </w:r>
      <w:r w:rsidR="00C57293" w:rsidRPr="00C57293">
        <w:rPr>
          <w:szCs w:val="28"/>
        </w:rPr>
        <w:t>ДІ</w:t>
      </w:r>
      <w:r w:rsidR="00C57293">
        <w:rPr>
          <w:szCs w:val="28"/>
          <w:lang w:val="ru-RU"/>
        </w:rPr>
        <w:t> </w:t>
      </w:r>
      <w:r w:rsidR="00C57293" w:rsidRPr="00C57293">
        <w:rPr>
          <w:szCs w:val="28"/>
        </w:rPr>
        <w:t>0,719-0,753, р&lt;0,001</w:t>
      </w:r>
      <w:r w:rsidRPr="00006A39">
        <w:rPr>
          <w:szCs w:val="28"/>
        </w:rPr>
        <w:t>) та деякі інфекційні та паразитарні хвороби (В</w:t>
      </w:r>
      <w:r w:rsidR="00F54923">
        <w:rPr>
          <w:szCs w:val="28"/>
        </w:rPr>
        <w:t>Ш</w:t>
      </w:r>
      <w:r w:rsidR="00A61E6F">
        <w:rPr>
          <w:lang w:val="en-US"/>
        </w:rPr>
        <w:t> </w:t>
      </w:r>
      <w:r w:rsidR="00F54923">
        <w:rPr>
          <w:szCs w:val="28"/>
        </w:rPr>
        <w:t>0,818</w:t>
      </w:r>
      <w:r w:rsidR="00C57293" w:rsidRPr="00C57293">
        <w:rPr>
          <w:szCs w:val="28"/>
        </w:rPr>
        <w:t xml:space="preserve"> (</w:t>
      </w:r>
      <w:r w:rsidR="00A61E6F" w:rsidRPr="00A61E6F">
        <w:rPr>
          <w:szCs w:val="28"/>
        </w:rPr>
        <w:t xml:space="preserve">95% </w:t>
      </w:r>
      <w:r w:rsidR="00A61E6F">
        <w:rPr>
          <w:szCs w:val="28"/>
        </w:rPr>
        <w:t xml:space="preserve">ДІ </w:t>
      </w:r>
      <w:r w:rsidR="003A2816" w:rsidRPr="003A2816">
        <w:rPr>
          <w:szCs w:val="28"/>
        </w:rPr>
        <w:t>0,823-0,824</w:t>
      </w:r>
      <w:r w:rsidR="003A2816">
        <w:rPr>
          <w:szCs w:val="28"/>
        </w:rPr>
        <w:t>,</w:t>
      </w:r>
      <w:r w:rsidR="003A2816" w:rsidRPr="003A2816">
        <w:rPr>
          <w:szCs w:val="28"/>
        </w:rPr>
        <w:t xml:space="preserve"> р&lt;0,001</w:t>
      </w:r>
      <w:r w:rsidR="00C32871">
        <w:rPr>
          <w:szCs w:val="28"/>
        </w:rPr>
        <w:t xml:space="preserve">). </w:t>
      </w:r>
      <w:r w:rsidRPr="00006A39">
        <w:rPr>
          <w:szCs w:val="28"/>
        </w:rPr>
        <w:t xml:space="preserve">У той же час достовірно збільшився показник захворюваності </w:t>
      </w:r>
      <w:r w:rsidR="00140862">
        <w:rPr>
          <w:szCs w:val="28"/>
        </w:rPr>
        <w:t xml:space="preserve">дітей </w:t>
      </w:r>
      <w:r w:rsidRPr="00006A39">
        <w:rPr>
          <w:szCs w:val="28"/>
        </w:rPr>
        <w:t>за таким класом, як «симптоми, ознаки та відхилення від норми, що виявлені при клінічних та лабораторних дослідженнях, не класифіковані в інших рубриках»</w:t>
      </w:r>
      <w:r w:rsidR="00BB15FE">
        <w:rPr>
          <w:szCs w:val="28"/>
        </w:rPr>
        <w:t xml:space="preserve"> (ВШ 1,055 (95% ДІ </w:t>
      </w:r>
      <w:r w:rsidR="00BB15FE" w:rsidRPr="00BB15FE">
        <w:rPr>
          <w:szCs w:val="28"/>
        </w:rPr>
        <w:t>1,023-1,088</w:t>
      </w:r>
      <w:r w:rsidR="00BB15FE">
        <w:rPr>
          <w:szCs w:val="28"/>
        </w:rPr>
        <w:t>, р=</w:t>
      </w:r>
      <w:r w:rsidR="00BB15FE" w:rsidRPr="00BB15FE">
        <w:rPr>
          <w:szCs w:val="28"/>
        </w:rPr>
        <w:t>0,0005</w:t>
      </w:r>
      <w:r w:rsidR="00BB15FE">
        <w:rPr>
          <w:szCs w:val="28"/>
        </w:rPr>
        <w:t>)</w:t>
      </w:r>
      <w:r w:rsidRPr="00006A39">
        <w:rPr>
          <w:szCs w:val="28"/>
        </w:rPr>
        <w:t>. Ми вважаємо, що це зумовлено недостатніми можливостями лікаря щодо встановлення точного діагнозу, внаслідок відсутності у закладі діагностичного обладнання</w:t>
      </w:r>
      <w:r w:rsidR="00C32871">
        <w:rPr>
          <w:szCs w:val="28"/>
        </w:rPr>
        <w:t xml:space="preserve"> (табл. 4.1)</w:t>
      </w:r>
      <w:r w:rsidRPr="00006A39">
        <w:rPr>
          <w:szCs w:val="28"/>
        </w:rPr>
        <w:t>.</w:t>
      </w:r>
    </w:p>
    <w:p w:rsidR="004F31D7" w:rsidRPr="00006A39" w:rsidRDefault="004F31D7" w:rsidP="00B637E1">
      <w:pPr>
        <w:pageBreakBefore/>
        <w:widowControl w:val="0"/>
        <w:ind w:firstLine="709"/>
        <w:jc w:val="right"/>
        <w:rPr>
          <w:i/>
          <w:szCs w:val="28"/>
        </w:rPr>
      </w:pPr>
      <w:r w:rsidRPr="00006A39">
        <w:rPr>
          <w:i/>
          <w:szCs w:val="28"/>
        </w:rPr>
        <w:lastRenderedPageBreak/>
        <w:t>Таблиця 4.1</w:t>
      </w:r>
    </w:p>
    <w:p w:rsidR="004F31D7" w:rsidRPr="00006A39" w:rsidRDefault="004F31D7" w:rsidP="00132F56">
      <w:pPr>
        <w:widowControl w:val="0"/>
        <w:jc w:val="center"/>
        <w:rPr>
          <w:b/>
          <w:color w:val="000000" w:themeColor="text1"/>
          <w:szCs w:val="28"/>
        </w:rPr>
      </w:pPr>
      <w:r w:rsidRPr="00006A39">
        <w:rPr>
          <w:b/>
          <w:color w:val="000000" w:themeColor="text1"/>
          <w:szCs w:val="28"/>
        </w:rPr>
        <w:t>Показники захворюваності діт</w:t>
      </w:r>
      <w:r w:rsidR="00804795">
        <w:rPr>
          <w:b/>
          <w:color w:val="000000" w:themeColor="text1"/>
          <w:szCs w:val="28"/>
        </w:rPr>
        <w:t>ей віком 0–6 років життя</w:t>
      </w:r>
      <w:r w:rsidRPr="00006A39">
        <w:rPr>
          <w:b/>
          <w:color w:val="000000" w:themeColor="text1"/>
          <w:szCs w:val="28"/>
        </w:rPr>
        <w:t xml:space="preserve"> за окремими класами зареєстрованих хвороб в Україні у 2013 р. і 2017 р. (</w:t>
      </w:r>
      <w:r w:rsidR="00ED7FBC">
        <w:rPr>
          <w:b/>
          <w:color w:val="000000" w:themeColor="text1"/>
          <w:szCs w:val="28"/>
        </w:rPr>
        <w:t>на 1000 дітей</w:t>
      </w:r>
      <w:r w:rsidRPr="00006A39">
        <w:rPr>
          <w:b/>
          <w:color w:val="000000" w:themeColor="text1"/>
          <w:szCs w:val="28"/>
        </w:rPr>
        <w:t>, ‰)</w:t>
      </w:r>
    </w:p>
    <w:tbl>
      <w:tblPr>
        <w:tblW w:w="9775" w:type="dxa"/>
        <w:jc w:val="center"/>
        <w:tblLayout w:type="fixed"/>
        <w:tblLook w:val="0000" w:firstRow="0" w:lastRow="0" w:firstColumn="0" w:lastColumn="0" w:noHBand="0" w:noVBand="0"/>
      </w:tblPr>
      <w:tblGrid>
        <w:gridCol w:w="5244"/>
        <w:gridCol w:w="987"/>
        <w:gridCol w:w="992"/>
        <w:gridCol w:w="1560"/>
        <w:gridCol w:w="992"/>
      </w:tblGrid>
      <w:tr w:rsidR="004F31D7" w:rsidRPr="00006A39" w:rsidTr="004F31D7">
        <w:trPr>
          <w:jc w:val="center"/>
        </w:trPr>
        <w:tc>
          <w:tcPr>
            <w:tcW w:w="5244" w:type="dxa"/>
            <w:vMerge w:val="restart"/>
            <w:tcBorders>
              <w:top w:val="single" w:sz="4" w:space="0" w:color="000000"/>
              <w:left w:val="single" w:sz="4" w:space="0" w:color="000000"/>
              <w:bottom w:val="single" w:sz="4" w:space="0" w:color="000000"/>
              <w:right w:val="single" w:sz="4" w:space="0" w:color="000000"/>
            </w:tcBorders>
            <w:vAlign w:val="center"/>
          </w:tcPr>
          <w:p w:rsidR="004F31D7" w:rsidRPr="00006A39" w:rsidRDefault="004F31D7" w:rsidP="00140862">
            <w:pPr>
              <w:widowControl w:val="0"/>
              <w:spacing w:line="276" w:lineRule="auto"/>
              <w:jc w:val="center"/>
              <w:rPr>
                <w:sz w:val="24"/>
                <w:szCs w:val="24"/>
              </w:rPr>
            </w:pPr>
            <w:r w:rsidRPr="00006A39">
              <w:rPr>
                <w:sz w:val="24"/>
                <w:szCs w:val="24"/>
              </w:rPr>
              <w:t>Клас хвороб</w:t>
            </w:r>
          </w:p>
        </w:tc>
        <w:tc>
          <w:tcPr>
            <w:tcW w:w="1979" w:type="dxa"/>
            <w:gridSpan w:val="2"/>
            <w:tcBorders>
              <w:top w:val="single" w:sz="4" w:space="0" w:color="000000"/>
              <w:left w:val="single" w:sz="4" w:space="0" w:color="000000"/>
              <w:bottom w:val="single" w:sz="4" w:space="0" w:color="000000"/>
              <w:right w:val="single" w:sz="4" w:space="0" w:color="000000"/>
            </w:tcBorders>
            <w:vAlign w:val="center"/>
          </w:tcPr>
          <w:p w:rsidR="004F31D7" w:rsidRPr="00006A39" w:rsidRDefault="004F31D7" w:rsidP="00140862">
            <w:pPr>
              <w:widowControl w:val="0"/>
              <w:spacing w:line="276" w:lineRule="auto"/>
              <w:jc w:val="center"/>
              <w:rPr>
                <w:sz w:val="24"/>
                <w:szCs w:val="24"/>
              </w:rPr>
            </w:pPr>
            <w:r w:rsidRPr="00006A39">
              <w:rPr>
                <w:sz w:val="24"/>
                <w:szCs w:val="24"/>
              </w:rPr>
              <w:t>Захворюваність</w:t>
            </w:r>
          </w:p>
        </w:tc>
        <w:tc>
          <w:tcPr>
            <w:tcW w:w="1560" w:type="dxa"/>
            <w:tcBorders>
              <w:top w:val="single" w:sz="4" w:space="0" w:color="000000"/>
              <w:left w:val="single" w:sz="4" w:space="0" w:color="000000"/>
              <w:bottom w:val="single" w:sz="4" w:space="0" w:color="000000"/>
              <w:right w:val="single" w:sz="4" w:space="0" w:color="000000"/>
            </w:tcBorders>
          </w:tcPr>
          <w:p w:rsidR="004F31D7" w:rsidRPr="00006A39" w:rsidRDefault="004F31D7" w:rsidP="00140862">
            <w:pPr>
              <w:widowControl w:val="0"/>
              <w:spacing w:line="276" w:lineRule="auto"/>
              <w:jc w:val="center"/>
              <w:rPr>
                <w:sz w:val="24"/>
                <w:szCs w:val="24"/>
              </w:rPr>
            </w:pPr>
            <w:r w:rsidRPr="00006A39">
              <w:rPr>
                <w:sz w:val="24"/>
                <w:szCs w:val="24"/>
              </w:rPr>
              <w:t>ВШ 95% ДІ</w:t>
            </w:r>
          </w:p>
        </w:tc>
        <w:tc>
          <w:tcPr>
            <w:tcW w:w="992" w:type="dxa"/>
            <w:tcBorders>
              <w:top w:val="single" w:sz="4" w:space="0" w:color="000000"/>
              <w:left w:val="single" w:sz="4" w:space="0" w:color="000000"/>
              <w:bottom w:val="single" w:sz="4" w:space="0" w:color="000000"/>
              <w:right w:val="single" w:sz="4" w:space="0" w:color="000000"/>
            </w:tcBorders>
          </w:tcPr>
          <w:p w:rsidR="004F31D7" w:rsidRPr="00006A39" w:rsidRDefault="004F31D7" w:rsidP="00140862">
            <w:pPr>
              <w:widowControl w:val="0"/>
              <w:spacing w:line="276" w:lineRule="auto"/>
              <w:jc w:val="center"/>
              <w:rPr>
                <w:sz w:val="24"/>
                <w:szCs w:val="24"/>
              </w:rPr>
            </w:pPr>
            <w:r w:rsidRPr="00006A39">
              <w:rPr>
                <w:sz w:val="24"/>
                <w:szCs w:val="24"/>
              </w:rPr>
              <w:t>р</w:t>
            </w:r>
          </w:p>
        </w:tc>
      </w:tr>
      <w:tr w:rsidR="004F31D7" w:rsidRPr="00006A39" w:rsidTr="004F31D7">
        <w:trPr>
          <w:trHeight w:val="62"/>
          <w:jc w:val="center"/>
        </w:trPr>
        <w:tc>
          <w:tcPr>
            <w:tcW w:w="5244" w:type="dxa"/>
            <w:vMerge/>
            <w:tcBorders>
              <w:top w:val="single" w:sz="4" w:space="0" w:color="000000"/>
              <w:left w:val="single" w:sz="4" w:space="0" w:color="000000"/>
              <w:bottom w:val="single" w:sz="4" w:space="0" w:color="000000"/>
              <w:right w:val="single" w:sz="4" w:space="0" w:color="000000"/>
            </w:tcBorders>
            <w:vAlign w:val="center"/>
          </w:tcPr>
          <w:p w:rsidR="004F31D7" w:rsidRPr="00006A39" w:rsidRDefault="004F31D7" w:rsidP="00140862">
            <w:pPr>
              <w:widowControl w:val="0"/>
              <w:spacing w:line="276" w:lineRule="auto"/>
              <w:rPr>
                <w:sz w:val="24"/>
                <w:szCs w:val="24"/>
              </w:rPr>
            </w:pPr>
          </w:p>
        </w:tc>
        <w:tc>
          <w:tcPr>
            <w:tcW w:w="987" w:type="dxa"/>
            <w:tcBorders>
              <w:top w:val="single" w:sz="4" w:space="0" w:color="000000"/>
              <w:left w:val="single" w:sz="4" w:space="0" w:color="000000"/>
              <w:bottom w:val="single" w:sz="4" w:space="0" w:color="000000"/>
              <w:right w:val="single" w:sz="4" w:space="0" w:color="000000"/>
            </w:tcBorders>
            <w:vAlign w:val="center"/>
          </w:tcPr>
          <w:p w:rsidR="004F31D7" w:rsidRPr="00006A39" w:rsidRDefault="004F31D7" w:rsidP="00140862">
            <w:pPr>
              <w:widowControl w:val="0"/>
              <w:spacing w:line="276" w:lineRule="auto"/>
              <w:jc w:val="center"/>
              <w:rPr>
                <w:sz w:val="24"/>
                <w:szCs w:val="24"/>
              </w:rPr>
            </w:pPr>
            <w:r w:rsidRPr="00006A39">
              <w:rPr>
                <w:sz w:val="24"/>
                <w:szCs w:val="24"/>
              </w:rPr>
              <w:t xml:space="preserve">2013 </w:t>
            </w:r>
          </w:p>
        </w:tc>
        <w:tc>
          <w:tcPr>
            <w:tcW w:w="992" w:type="dxa"/>
            <w:tcBorders>
              <w:top w:val="single" w:sz="4" w:space="0" w:color="000000"/>
              <w:left w:val="single" w:sz="4" w:space="0" w:color="000000"/>
              <w:bottom w:val="single" w:sz="4" w:space="0" w:color="000000"/>
              <w:right w:val="single" w:sz="4" w:space="0" w:color="000000"/>
            </w:tcBorders>
            <w:vAlign w:val="center"/>
          </w:tcPr>
          <w:p w:rsidR="004F31D7" w:rsidRPr="00006A39" w:rsidRDefault="004F31D7" w:rsidP="00140862">
            <w:pPr>
              <w:widowControl w:val="0"/>
              <w:spacing w:line="276" w:lineRule="auto"/>
              <w:jc w:val="center"/>
              <w:rPr>
                <w:sz w:val="24"/>
                <w:szCs w:val="24"/>
              </w:rPr>
            </w:pPr>
            <w:r w:rsidRPr="00006A39">
              <w:rPr>
                <w:sz w:val="24"/>
                <w:szCs w:val="24"/>
              </w:rPr>
              <w:t xml:space="preserve">2017 </w:t>
            </w:r>
          </w:p>
        </w:tc>
        <w:tc>
          <w:tcPr>
            <w:tcW w:w="1560" w:type="dxa"/>
            <w:tcBorders>
              <w:top w:val="single" w:sz="4" w:space="0" w:color="000000"/>
              <w:left w:val="single" w:sz="4" w:space="0" w:color="000000"/>
              <w:bottom w:val="single" w:sz="4" w:space="0" w:color="000000"/>
              <w:right w:val="single" w:sz="4" w:space="0" w:color="000000"/>
            </w:tcBorders>
          </w:tcPr>
          <w:p w:rsidR="004F31D7" w:rsidRPr="00006A39" w:rsidRDefault="004F31D7" w:rsidP="00140862">
            <w:pPr>
              <w:widowControl w:val="0"/>
              <w:spacing w:line="276" w:lineRule="auto"/>
              <w:jc w:val="center"/>
              <w:rPr>
                <w:sz w:val="24"/>
                <w:szCs w:val="24"/>
              </w:rPr>
            </w:pPr>
          </w:p>
        </w:tc>
        <w:tc>
          <w:tcPr>
            <w:tcW w:w="992" w:type="dxa"/>
            <w:tcBorders>
              <w:top w:val="single" w:sz="4" w:space="0" w:color="000000"/>
              <w:left w:val="single" w:sz="4" w:space="0" w:color="000000"/>
              <w:bottom w:val="single" w:sz="4" w:space="0" w:color="000000"/>
              <w:right w:val="single" w:sz="4" w:space="0" w:color="000000"/>
            </w:tcBorders>
          </w:tcPr>
          <w:p w:rsidR="004F31D7" w:rsidRPr="00006A39" w:rsidRDefault="004F31D7" w:rsidP="00140862">
            <w:pPr>
              <w:widowControl w:val="0"/>
              <w:spacing w:line="276" w:lineRule="auto"/>
              <w:jc w:val="center"/>
              <w:rPr>
                <w:sz w:val="24"/>
                <w:szCs w:val="24"/>
              </w:rPr>
            </w:pPr>
          </w:p>
        </w:tc>
      </w:tr>
      <w:tr w:rsidR="004F31D7" w:rsidRPr="00006A39" w:rsidTr="004F31D7">
        <w:trPr>
          <w:jc w:val="center"/>
        </w:trPr>
        <w:tc>
          <w:tcPr>
            <w:tcW w:w="5244" w:type="dxa"/>
            <w:tcBorders>
              <w:top w:val="single" w:sz="4" w:space="0" w:color="000000"/>
              <w:left w:val="single" w:sz="4" w:space="0" w:color="000000"/>
              <w:bottom w:val="single" w:sz="4" w:space="0" w:color="000000"/>
              <w:right w:val="single" w:sz="4" w:space="0" w:color="000000"/>
            </w:tcBorders>
            <w:vAlign w:val="center"/>
          </w:tcPr>
          <w:p w:rsidR="004F31D7" w:rsidRPr="00006A39" w:rsidRDefault="004F31D7" w:rsidP="00140862">
            <w:pPr>
              <w:widowControl w:val="0"/>
              <w:numPr>
                <w:ilvl w:val="0"/>
                <w:numId w:val="5"/>
              </w:numPr>
              <w:spacing w:line="276" w:lineRule="auto"/>
              <w:ind w:left="446" w:hanging="276"/>
              <w:rPr>
                <w:sz w:val="24"/>
                <w:szCs w:val="24"/>
              </w:rPr>
            </w:pPr>
            <w:r w:rsidRPr="00006A39">
              <w:rPr>
                <w:sz w:val="24"/>
                <w:szCs w:val="24"/>
              </w:rPr>
              <w:t>деякі інфекційні та паразитарні хвороби</w:t>
            </w:r>
          </w:p>
        </w:tc>
        <w:tc>
          <w:tcPr>
            <w:tcW w:w="987" w:type="dxa"/>
            <w:tcBorders>
              <w:top w:val="single" w:sz="4" w:space="0" w:color="000000"/>
              <w:left w:val="single" w:sz="4" w:space="0" w:color="000000"/>
              <w:bottom w:val="single" w:sz="4" w:space="0" w:color="000000"/>
              <w:right w:val="single" w:sz="4" w:space="0" w:color="000000"/>
            </w:tcBorders>
            <w:vAlign w:val="center"/>
          </w:tcPr>
          <w:p w:rsidR="004F31D7" w:rsidRPr="00006A39" w:rsidRDefault="004F31D7" w:rsidP="00140862">
            <w:pPr>
              <w:widowControl w:val="0"/>
              <w:spacing w:line="276" w:lineRule="auto"/>
              <w:jc w:val="center"/>
              <w:rPr>
                <w:sz w:val="24"/>
                <w:szCs w:val="24"/>
              </w:rPr>
            </w:pPr>
            <w:r w:rsidRPr="00006A39">
              <w:rPr>
                <w:sz w:val="24"/>
                <w:szCs w:val="24"/>
              </w:rPr>
              <w:t>67,99</w:t>
            </w:r>
          </w:p>
        </w:tc>
        <w:tc>
          <w:tcPr>
            <w:tcW w:w="992" w:type="dxa"/>
            <w:tcBorders>
              <w:top w:val="single" w:sz="4" w:space="0" w:color="000000"/>
              <w:left w:val="single" w:sz="4" w:space="0" w:color="000000"/>
              <w:bottom w:val="single" w:sz="4" w:space="0" w:color="000000"/>
              <w:right w:val="single" w:sz="4" w:space="0" w:color="000000"/>
            </w:tcBorders>
            <w:vAlign w:val="center"/>
          </w:tcPr>
          <w:p w:rsidR="004F31D7" w:rsidRPr="00006A39" w:rsidRDefault="004F31D7" w:rsidP="00140862">
            <w:pPr>
              <w:widowControl w:val="0"/>
              <w:spacing w:line="276" w:lineRule="auto"/>
              <w:jc w:val="center"/>
              <w:rPr>
                <w:sz w:val="24"/>
                <w:szCs w:val="24"/>
              </w:rPr>
            </w:pPr>
            <w:r w:rsidRPr="00006A39">
              <w:rPr>
                <w:sz w:val="24"/>
                <w:szCs w:val="24"/>
              </w:rPr>
              <w:t>56,33</w:t>
            </w:r>
          </w:p>
        </w:tc>
        <w:tc>
          <w:tcPr>
            <w:tcW w:w="1560" w:type="dxa"/>
            <w:tcBorders>
              <w:top w:val="single" w:sz="4" w:space="0" w:color="000000"/>
              <w:left w:val="single" w:sz="4" w:space="0" w:color="000000"/>
              <w:bottom w:val="single" w:sz="4" w:space="0" w:color="000000"/>
              <w:right w:val="single" w:sz="4" w:space="0" w:color="000000"/>
            </w:tcBorders>
          </w:tcPr>
          <w:p w:rsidR="004F31D7" w:rsidRPr="00006A39" w:rsidRDefault="004F31D7" w:rsidP="00140862">
            <w:pPr>
              <w:widowControl w:val="0"/>
              <w:spacing w:line="276" w:lineRule="auto"/>
              <w:jc w:val="center"/>
              <w:rPr>
                <w:sz w:val="24"/>
                <w:szCs w:val="24"/>
              </w:rPr>
            </w:pPr>
            <w:r w:rsidRPr="00006A39">
              <w:rPr>
                <w:sz w:val="24"/>
                <w:szCs w:val="24"/>
              </w:rPr>
              <w:t>0,818</w:t>
            </w:r>
          </w:p>
          <w:p w:rsidR="004F31D7" w:rsidRPr="00006A39" w:rsidRDefault="004F31D7" w:rsidP="00140862">
            <w:pPr>
              <w:widowControl w:val="0"/>
              <w:spacing w:line="276" w:lineRule="auto"/>
              <w:jc w:val="center"/>
              <w:rPr>
                <w:sz w:val="24"/>
                <w:szCs w:val="24"/>
              </w:rPr>
            </w:pPr>
            <w:r w:rsidRPr="00006A39">
              <w:rPr>
                <w:sz w:val="24"/>
                <w:szCs w:val="24"/>
              </w:rPr>
              <w:t>0,823-0,824</w:t>
            </w:r>
          </w:p>
        </w:tc>
        <w:tc>
          <w:tcPr>
            <w:tcW w:w="992" w:type="dxa"/>
            <w:tcBorders>
              <w:top w:val="single" w:sz="4" w:space="0" w:color="000000"/>
              <w:left w:val="single" w:sz="4" w:space="0" w:color="000000"/>
              <w:bottom w:val="single" w:sz="4" w:space="0" w:color="000000"/>
              <w:right w:val="single" w:sz="4" w:space="0" w:color="000000"/>
            </w:tcBorders>
          </w:tcPr>
          <w:p w:rsidR="004F31D7" w:rsidRPr="00006A39" w:rsidRDefault="004F31D7" w:rsidP="00140862">
            <w:pPr>
              <w:widowControl w:val="0"/>
              <w:spacing w:line="276" w:lineRule="auto"/>
              <w:jc w:val="center"/>
              <w:rPr>
                <w:sz w:val="24"/>
                <w:szCs w:val="24"/>
              </w:rPr>
            </w:pPr>
            <w:r w:rsidRPr="00006A39">
              <w:rPr>
                <w:sz w:val="24"/>
                <w:szCs w:val="24"/>
              </w:rPr>
              <w:t>&lt;0,001</w:t>
            </w:r>
          </w:p>
        </w:tc>
      </w:tr>
      <w:tr w:rsidR="004F31D7" w:rsidRPr="00006A39" w:rsidTr="004F31D7">
        <w:trPr>
          <w:jc w:val="center"/>
        </w:trPr>
        <w:tc>
          <w:tcPr>
            <w:tcW w:w="5244" w:type="dxa"/>
            <w:tcBorders>
              <w:top w:val="single" w:sz="4" w:space="0" w:color="000000"/>
              <w:left w:val="single" w:sz="4" w:space="0" w:color="000000"/>
              <w:bottom w:val="single" w:sz="4" w:space="0" w:color="000000"/>
              <w:right w:val="single" w:sz="4" w:space="0" w:color="000000"/>
            </w:tcBorders>
            <w:vAlign w:val="center"/>
          </w:tcPr>
          <w:p w:rsidR="004F31D7" w:rsidRPr="00006A39" w:rsidRDefault="004F31D7" w:rsidP="00140862">
            <w:pPr>
              <w:widowControl w:val="0"/>
              <w:numPr>
                <w:ilvl w:val="0"/>
                <w:numId w:val="5"/>
              </w:numPr>
              <w:spacing w:line="276" w:lineRule="auto"/>
              <w:ind w:left="446" w:hanging="276"/>
              <w:rPr>
                <w:sz w:val="24"/>
                <w:szCs w:val="24"/>
              </w:rPr>
            </w:pPr>
            <w:r w:rsidRPr="00006A39">
              <w:rPr>
                <w:sz w:val="24"/>
                <w:szCs w:val="24"/>
              </w:rPr>
              <w:t>новоутворення</w:t>
            </w:r>
          </w:p>
        </w:tc>
        <w:tc>
          <w:tcPr>
            <w:tcW w:w="987" w:type="dxa"/>
            <w:tcBorders>
              <w:top w:val="single" w:sz="4" w:space="0" w:color="000000"/>
              <w:left w:val="single" w:sz="4" w:space="0" w:color="000000"/>
              <w:bottom w:val="single" w:sz="4" w:space="0" w:color="000000"/>
              <w:right w:val="single" w:sz="4" w:space="0" w:color="000000"/>
            </w:tcBorders>
            <w:vAlign w:val="center"/>
          </w:tcPr>
          <w:p w:rsidR="004F31D7" w:rsidRPr="00006A39" w:rsidRDefault="004F31D7" w:rsidP="00140862">
            <w:pPr>
              <w:widowControl w:val="0"/>
              <w:spacing w:line="276" w:lineRule="auto"/>
              <w:jc w:val="center"/>
              <w:rPr>
                <w:sz w:val="24"/>
                <w:szCs w:val="24"/>
              </w:rPr>
            </w:pPr>
            <w:r w:rsidRPr="00006A39">
              <w:rPr>
                <w:sz w:val="24"/>
                <w:szCs w:val="24"/>
              </w:rPr>
              <w:t>3,71</w:t>
            </w:r>
          </w:p>
        </w:tc>
        <w:tc>
          <w:tcPr>
            <w:tcW w:w="992" w:type="dxa"/>
            <w:tcBorders>
              <w:top w:val="single" w:sz="4" w:space="0" w:color="000000"/>
              <w:left w:val="single" w:sz="4" w:space="0" w:color="000000"/>
              <w:bottom w:val="single" w:sz="4" w:space="0" w:color="000000"/>
              <w:right w:val="single" w:sz="4" w:space="0" w:color="000000"/>
            </w:tcBorders>
            <w:vAlign w:val="center"/>
          </w:tcPr>
          <w:p w:rsidR="004F31D7" w:rsidRPr="00006A39" w:rsidRDefault="004F31D7" w:rsidP="00140862">
            <w:pPr>
              <w:widowControl w:val="0"/>
              <w:spacing w:line="276" w:lineRule="auto"/>
              <w:jc w:val="center"/>
              <w:rPr>
                <w:sz w:val="24"/>
                <w:szCs w:val="24"/>
              </w:rPr>
            </w:pPr>
            <w:r w:rsidRPr="00006A39">
              <w:rPr>
                <w:sz w:val="24"/>
                <w:szCs w:val="24"/>
              </w:rPr>
              <w:t>3,2</w:t>
            </w:r>
          </w:p>
        </w:tc>
        <w:tc>
          <w:tcPr>
            <w:tcW w:w="1560" w:type="dxa"/>
            <w:tcBorders>
              <w:top w:val="single" w:sz="4" w:space="0" w:color="000000"/>
              <w:left w:val="single" w:sz="4" w:space="0" w:color="000000"/>
              <w:bottom w:val="single" w:sz="4" w:space="0" w:color="000000"/>
              <w:right w:val="single" w:sz="4" w:space="0" w:color="000000"/>
            </w:tcBorders>
          </w:tcPr>
          <w:p w:rsidR="004F31D7" w:rsidRPr="00006A39" w:rsidRDefault="004F31D7" w:rsidP="00140862">
            <w:pPr>
              <w:widowControl w:val="0"/>
              <w:spacing w:line="276" w:lineRule="auto"/>
              <w:jc w:val="center"/>
              <w:rPr>
                <w:sz w:val="24"/>
                <w:szCs w:val="24"/>
              </w:rPr>
            </w:pPr>
            <w:r w:rsidRPr="00006A39">
              <w:rPr>
                <w:sz w:val="24"/>
                <w:szCs w:val="24"/>
              </w:rPr>
              <w:t>0,860</w:t>
            </w:r>
          </w:p>
          <w:p w:rsidR="004F31D7" w:rsidRPr="00006A39" w:rsidRDefault="004F31D7" w:rsidP="00140862">
            <w:pPr>
              <w:widowControl w:val="0"/>
              <w:spacing w:line="276" w:lineRule="auto"/>
              <w:jc w:val="center"/>
              <w:rPr>
                <w:sz w:val="24"/>
                <w:szCs w:val="24"/>
              </w:rPr>
            </w:pPr>
            <w:r w:rsidRPr="00006A39">
              <w:rPr>
                <w:sz w:val="24"/>
                <w:szCs w:val="24"/>
              </w:rPr>
              <w:t>0,836-0,883</w:t>
            </w:r>
          </w:p>
        </w:tc>
        <w:tc>
          <w:tcPr>
            <w:tcW w:w="992" w:type="dxa"/>
            <w:tcBorders>
              <w:top w:val="single" w:sz="4" w:space="0" w:color="000000"/>
              <w:left w:val="single" w:sz="4" w:space="0" w:color="000000"/>
              <w:bottom w:val="single" w:sz="4" w:space="0" w:color="000000"/>
              <w:right w:val="single" w:sz="4" w:space="0" w:color="000000"/>
            </w:tcBorders>
          </w:tcPr>
          <w:p w:rsidR="004F31D7" w:rsidRPr="00006A39" w:rsidRDefault="004F31D7" w:rsidP="00140862">
            <w:pPr>
              <w:widowControl w:val="0"/>
              <w:spacing w:line="276" w:lineRule="auto"/>
            </w:pPr>
            <w:r w:rsidRPr="00006A39">
              <w:rPr>
                <w:sz w:val="24"/>
                <w:szCs w:val="24"/>
              </w:rPr>
              <w:t>&lt;0,001</w:t>
            </w:r>
          </w:p>
        </w:tc>
      </w:tr>
      <w:tr w:rsidR="004F31D7" w:rsidRPr="00006A39" w:rsidTr="004F31D7">
        <w:trPr>
          <w:jc w:val="center"/>
        </w:trPr>
        <w:tc>
          <w:tcPr>
            <w:tcW w:w="5244" w:type="dxa"/>
            <w:tcBorders>
              <w:top w:val="single" w:sz="4" w:space="0" w:color="000000"/>
              <w:left w:val="single" w:sz="4" w:space="0" w:color="000000"/>
              <w:bottom w:val="single" w:sz="4" w:space="0" w:color="000000"/>
              <w:right w:val="single" w:sz="4" w:space="0" w:color="000000"/>
            </w:tcBorders>
            <w:vAlign w:val="center"/>
          </w:tcPr>
          <w:p w:rsidR="004F31D7" w:rsidRPr="00006A39" w:rsidRDefault="004F31D7" w:rsidP="00140862">
            <w:pPr>
              <w:widowControl w:val="0"/>
              <w:numPr>
                <w:ilvl w:val="0"/>
                <w:numId w:val="5"/>
              </w:numPr>
              <w:spacing w:line="276" w:lineRule="auto"/>
              <w:ind w:left="446" w:hanging="276"/>
              <w:rPr>
                <w:sz w:val="24"/>
                <w:szCs w:val="24"/>
              </w:rPr>
            </w:pPr>
            <w:r w:rsidRPr="00006A39">
              <w:rPr>
                <w:sz w:val="24"/>
                <w:szCs w:val="24"/>
              </w:rPr>
              <w:t>хвороби крові й кровотворних органів та окремі порушення із залученням імунного механізму</w:t>
            </w:r>
          </w:p>
        </w:tc>
        <w:tc>
          <w:tcPr>
            <w:tcW w:w="987" w:type="dxa"/>
            <w:tcBorders>
              <w:top w:val="single" w:sz="4" w:space="0" w:color="000000"/>
              <w:left w:val="single" w:sz="4" w:space="0" w:color="000000"/>
              <w:bottom w:val="single" w:sz="4" w:space="0" w:color="000000"/>
              <w:right w:val="single" w:sz="4" w:space="0" w:color="000000"/>
            </w:tcBorders>
            <w:vAlign w:val="center"/>
          </w:tcPr>
          <w:p w:rsidR="004F31D7" w:rsidRPr="00006A39" w:rsidRDefault="004F31D7" w:rsidP="00140862">
            <w:pPr>
              <w:widowControl w:val="0"/>
              <w:spacing w:line="276" w:lineRule="auto"/>
              <w:jc w:val="center"/>
              <w:rPr>
                <w:sz w:val="24"/>
                <w:szCs w:val="24"/>
              </w:rPr>
            </w:pPr>
            <w:r w:rsidRPr="00006A39">
              <w:rPr>
                <w:sz w:val="24"/>
                <w:szCs w:val="24"/>
              </w:rPr>
              <w:t>23,25</w:t>
            </w:r>
          </w:p>
        </w:tc>
        <w:tc>
          <w:tcPr>
            <w:tcW w:w="992" w:type="dxa"/>
            <w:tcBorders>
              <w:top w:val="single" w:sz="4" w:space="0" w:color="000000"/>
              <w:left w:val="single" w:sz="4" w:space="0" w:color="000000"/>
              <w:bottom w:val="single" w:sz="4" w:space="0" w:color="000000"/>
              <w:right w:val="single" w:sz="4" w:space="0" w:color="000000"/>
            </w:tcBorders>
            <w:vAlign w:val="center"/>
          </w:tcPr>
          <w:p w:rsidR="004F31D7" w:rsidRPr="00006A39" w:rsidRDefault="004F31D7" w:rsidP="00140862">
            <w:pPr>
              <w:widowControl w:val="0"/>
              <w:spacing w:line="276" w:lineRule="auto"/>
              <w:jc w:val="center"/>
              <w:rPr>
                <w:sz w:val="24"/>
                <w:szCs w:val="24"/>
              </w:rPr>
            </w:pPr>
            <w:r w:rsidRPr="00006A39">
              <w:rPr>
                <w:sz w:val="24"/>
                <w:szCs w:val="24"/>
              </w:rPr>
              <w:t>19,67</w:t>
            </w:r>
          </w:p>
        </w:tc>
        <w:tc>
          <w:tcPr>
            <w:tcW w:w="1560" w:type="dxa"/>
            <w:tcBorders>
              <w:top w:val="single" w:sz="4" w:space="0" w:color="000000"/>
              <w:left w:val="single" w:sz="4" w:space="0" w:color="000000"/>
              <w:bottom w:val="single" w:sz="4" w:space="0" w:color="000000"/>
              <w:right w:val="single" w:sz="4" w:space="0" w:color="000000"/>
            </w:tcBorders>
          </w:tcPr>
          <w:p w:rsidR="004F31D7" w:rsidRPr="00006A39" w:rsidRDefault="004F31D7" w:rsidP="00140862">
            <w:pPr>
              <w:widowControl w:val="0"/>
              <w:spacing w:line="276" w:lineRule="auto"/>
              <w:jc w:val="center"/>
              <w:rPr>
                <w:sz w:val="24"/>
                <w:szCs w:val="24"/>
              </w:rPr>
            </w:pPr>
            <w:r w:rsidRPr="00006A39">
              <w:rPr>
                <w:sz w:val="24"/>
                <w:szCs w:val="24"/>
              </w:rPr>
              <w:t>0,842</w:t>
            </w:r>
          </w:p>
          <w:p w:rsidR="004F31D7" w:rsidRPr="00006A39" w:rsidRDefault="004F31D7" w:rsidP="00140862">
            <w:pPr>
              <w:widowControl w:val="0"/>
              <w:spacing w:line="276" w:lineRule="auto"/>
              <w:jc w:val="center"/>
              <w:rPr>
                <w:sz w:val="24"/>
                <w:szCs w:val="24"/>
              </w:rPr>
            </w:pPr>
            <w:r w:rsidRPr="00006A39">
              <w:rPr>
                <w:sz w:val="24"/>
                <w:szCs w:val="24"/>
              </w:rPr>
              <w:t>0,834-0,851</w:t>
            </w:r>
          </w:p>
        </w:tc>
        <w:tc>
          <w:tcPr>
            <w:tcW w:w="992" w:type="dxa"/>
            <w:tcBorders>
              <w:top w:val="single" w:sz="4" w:space="0" w:color="000000"/>
              <w:left w:val="single" w:sz="4" w:space="0" w:color="000000"/>
              <w:bottom w:val="single" w:sz="4" w:space="0" w:color="000000"/>
              <w:right w:val="single" w:sz="4" w:space="0" w:color="000000"/>
            </w:tcBorders>
          </w:tcPr>
          <w:p w:rsidR="004F31D7" w:rsidRPr="00006A39" w:rsidRDefault="004F31D7" w:rsidP="00140862">
            <w:pPr>
              <w:widowControl w:val="0"/>
              <w:spacing w:line="276" w:lineRule="auto"/>
            </w:pPr>
            <w:r w:rsidRPr="00006A39">
              <w:rPr>
                <w:sz w:val="24"/>
                <w:szCs w:val="24"/>
              </w:rPr>
              <w:t>&lt;0,001</w:t>
            </w:r>
          </w:p>
        </w:tc>
      </w:tr>
      <w:tr w:rsidR="004F31D7" w:rsidRPr="00006A39" w:rsidTr="004F31D7">
        <w:trPr>
          <w:jc w:val="center"/>
        </w:trPr>
        <w:tc>
          <w:tcPr>
            <w:tcW w:w="5244" w:type="dxa"/>
            <w:tcBorders>
              <w:top w:val="single" w:sz="4" w:space="0" w:color="000000"/>
              <w:left w:val="single" w:sz="4" w:space="0" w:color="000000"/>
              <w:bottom w:val="single" w:sz="4" w:space="0" w:color="000000"/>
              <w:right w:val="single" w:sz="4" w:space="0" w:color="000000"/>
            </w:tcBorders>
            <w:vAlign w:val="center"/>
          </w:tcPr>
          <w:p w:rsidR="004F31D7" w:rsidRPr="00006A39" w:rsidRDefault="004F31D7" w:rsidP="00140862">
            <w:pPr>
              <w:widowControl w:val="0"/>
              <w:numPr>
                <w:ilvl w:val="0"/>
                <w:numId w:val="5"/>
              </w:numPr>
              <w:spacing w:line="276" w:lineRule="auto"/>
              <w:ind w:left="446" w:hanging="276"/>
              <w:rPr>
                <w:sz w:val="24"/>
                <w:szCs w:val="24"/>
              </w:rPr>
            </w:pPr>
            <w:r w:rsidRPr="00006A39">
              <w:rPr>
                <w:sz w:val="24"/>
                <w:szCs w:val="24"/>
              </w:rPr>
              <w:t>ендокринні хвороби, розлади харчування та порушення обміну речовин</w:t>
            </w:r>
          </w:p>
        </w:tc>
        <w:tc>
          <w:tcPr>
            <w:tcW w:w="987" w:type="dxa"/>
            <w:tcBorders>
              <w:top w:val="single" w:sz="4" w:space="0" w:color="000000"/>
              <w:left w:val="single" w:sz="4" w:space="0" w:color="000000"/>
              <w:bottom w:val="single" w:sz="4" w:space="0" w:color="000000"/>
              <w:right w:val="single" w:sz="4" w:space="0" w:color="000000"/>
            </w:tcBorders>
            <w:vAlign w:val="center"/>
          </w:tcPr>
          <w:p w:rsidR="004F31D7" w:rsidRPr="00006A39" w:rsidRDefault="004F31D7" w:rsidP="00140862">
            <w:pPr>
              <w:widowControl w:val="0"/>
              <w:spacing w:line="276" w:lineRule="auto"/>
              <w:jc w:val="center"/>
              <w:rPr>
                <w:sz w:val="24"/>
                <w:szCs w:val="24"/>
              </w:rPr>
            </w:pPr>
            <w:r w:rsidRPr="00006A39">
              <w:rPr>
                <w:sz w:val="24"/>
                <w:szCs w:val="24"/>
              </w:rPr>
              <w:t>11,31</w:t>
            </w:r>
          </w:p>
        </w:tc>
        <w:tc>
          <w:tcPr>
            <w:tcW w:w="992" w:type="dxa"/>
            <w:tcBorders>
              <w:top w:val="single" w:sz="4" w:space="0" w:color="000000"/>
              <w:left w:val="single" w:sz="4" w:space="0" w:color="000000"/>
              <w:bottom w:val="single" w:sz="4" w:space="0" w:color="000000"/>
              <w:right w:val="single" w:sz="4" w:space="0" w:color="000000"/>
            </w:tcBorders>
            <w:vAlign w:val="center"/>
          </w:tcPr>
          <w:p w:rsidR="004F31D7" w:rsidRPr="00006A39" w:rsidRDefault="004F31D7" w:rsidP="00140862">
            <w:pPr>
              <w:widowControl w:val="0"/>
              <w:spacing w:line="276" w:lineRule="auto"/>
              <w:jc w:val="center"/>
              <w:rPr>
                <w:sz w:val="24"/>
                <w:szCs w:val="24"/>
              </w:rPr>
            </w:pPr>
            <w:r w:rsidRPr="00006A39">
              <w:rPr>
                <w:sz w:val="24"/>
                <w:szCs w:val="24"/>
              </w:rPr>
              <w:t>9,32</w:t>
            </w:r>
          </w:p>
        </w:tc>
        <w:tc>
          <w:tcPr>
            <w:tcW w:w="1560" w:type="dxa"/>
            <w:tcBorders>
              <w:top w:val="single" w:sz="4" w:space="0" w:color="000000"/>
              <w:left w:val="single" w:sz="4" w:space="0" w:color="000000"/>
              <w:bottom w:val="single" w:sz="4" w:space="0" w:color="000000"/>
              <w:right w:val="single" w:sz="4" w:space="0" w:color="000000"/>
            </w:tcBorders>
          </w:tcPr>
          <w:p w:rsidR="004F31D7" w:rsidRPr="00006A39" w:rsidRDefault="004F31D7" w:rsidP="00140862">
            <w:pPr>
              <w:widowControl w:val="0"/>
              <w:spacing w:line="276" w:lineRule="auto"/>
              <w:jc w:val="center"/>
              <w:rPr>
                <w:sz w:val="24"/>
                <w:szCs w:val="24"/>
              </w:rPr>
            </w:pPr>
            <w:r w:rsidRPr="00006A39">
              <w:rPr>
                <w:sz w:val="24"/>
                <w:szCs w:val="24"/>
              </w:rPr>
              <w:t>0,822</w:t>
            </w:r>
          </w:p>
          <w:p w:rsidR="004F31D7" w:rsidRPr="00006A39" w:rsidRDefault="004F31D7" w:rsidP="00140862">
            <w:pPr>
              <w:widowControl w:val="0"/>
              <w:spacing w:line="276" w:lineRule="auto"/>
              <w:jc w:val="center"/>
              <w:rPr>
                <w:sz w:val="24"/>
                <w:szCs w:val="24"/>
              </w:rPr>
            </w:pPr>
            <w:r w:rsidRPr="00006A39">
              <w:rPr>
                <w:sz w:val="24"/>
                <w:szCs w:val="24"/>
              </w:rPr>
              <w:t>0,809-0,834</w:t>
            </w:r>
          </w:p>
        </w:tc>
        <w:tc>
          <w:tcPr>
            <w:tcW w:w="992" w:type="dxa"/>
            <w:tcBorders>
              <w:top w:val="single" w:sz="4" w:space="0" w:color="000000"/>
              <w:left w:val="single" w:sz="4" w:space="0" w:color="000000"/>
              <w:bottom w:val="single" w:sz="4" w:space="0" w:color="000000"/>
              <w:right w:val="single" w:sz="4" w:space="0" w:color="000000"/>
            </w:tcBorders>
          </w:tcPr>
          <w:p w:rsidR="004F31D7" w:rsidRPr="00006A39" w:rsidRDefault="004F31D7" w:rsidP="00140862">
            <w:pPr>
              <w:widowControl w:val="0"/>
              <w:spacing w:line="276" w:lineRule="auto"/>
            </w:pPr>
            <w:r w:rsidRPr="00006A39">
              <w:rPr>
                <w:sz w:val="24"/>
                <w:szCs w:val="24"/>
              </w:rPr>
              <w:t>&lt;0,001</w:t>
            </w:r>
          </w:p>
        </w:tc>
      </w:tr>
      <w:tr w:rsidR="004F31D7" w:rsidRPr="00006A39" w:rsidTr="004F31D7">
        <w:trPr>
          <w:jc w:val="center"/>
        </w:trPr>
        <w:tc>
          <w:tcPr>
            <w:tcW w:w="5244" w:type="dxa"/>
            <w:tcBorders>
              <w:top w:val="single" w:sz="4" w:space="0" w:color="000000"/>
              <w:left w:val="single" w:sz="4" w:space="0" w:color="000000"/>
              <w:bottom w:val="single" w:sz="4" w:space="0" w:color="000000"/>
              <w:right w:val="single" w:sz="4" w:space="0" w:color="000000"/>
            </w:tcBorders>
            <w:vAlign w:val="center"/>
          </w:tcPr>
          <w:p w:rsidR="004F31D7" w:rsidRPr="00006A39" w:rsidRDefault="004F31D7" w:rsidP="00140862">
            <w:pPr>
              <w:widowControl w:val="0"/>
              <w:numPr>
                <w:ilvl w:val="0"/>
                <w:numId w:val="5"/>
              </w:numPr>
              <w:spacing w:line="276" w:lineRule="auto"/>
              <w:ind w:left="446" w:hanging="276"/>
              <w:rPr>
                <w:sz w:val="24"/>
                <w:szCs w:val="24"/>
              </w:rPr>
            </w:pPr>
            <w:r w:rsidRPr="00006A39">
              <w:rPr>
                <w:sz w:val="24"/>
                <w:szCs w:val="24"/>
              </w:rPr>
              <w:t>розлади психіки та поведінки</w:t>
            </w:r>
          </w:p>
        </w:tc>
        <w:tc>
          <w:tcPr>
            <w:tcW w:w="987" w:type="dxa"/>
            <w:tcBorders>
              <w:top w:val="single" w:sz="4" w:space="0" w:color="000000"/>
              <w:left w:val="single" w:sz="4" w:space="0" w:color="000000"/>
              <w:bottom w:val="single" w:sz="4" w:space="0" w:color="000000"/>
              <w:right w:val="single" w:sz="4" w:space="0" w:color="000000"/>
            </w:tcBorders>
            <w:vAlign w:val="center"/>
          </w:tcPr>
          <w:p w:rsidR="004F31D7" w:rsidRPr="00006A39" w:rsidRDefault="004F31D7" w:rsidP="00140862">
            <w:pPr>
              <w:widowControl w:val="0"/>
              <w:spacing w:line="276" w:lineRule="auto"/>
              <w:jc w:val="center"/>
              <w:rPr>
                <w:sz w:val="24"/>
                <w:szCs w:val="24"/>
              </w:rPr>
            </w:pPr>
            <w:r w:rsidRPr="00006A39">
              <w:rPr>
                <w:sz w:val="24"/>
                <w:szCs w:val="24"/>
              </w:rPr>
              <w:t>4,87</w:t>
            </w:r>
          </w:p>
        </w:tc>
        <w:tc>
          <w:tcPr>
            <w:tcW w:w="992" w:type="dxa"/>
            <w:tcBorders>
              <w:top w:val="single" w:sz="4" w:space="0" w:color="000000"/>
              <w:left w:val="single" w:sz="4" w:space="0" w:color="000000"/>
              <w:bottom w:val="single" w:sz="4" w:space="0" w:color="000000"/>
              <w:right w:val="single" w:sz="4" w:space="0" w:color="000000"/>
            </w:tcBorders>
            <w:vAlign w:val="center"/>
          </w:tcPr>
          <w:p w:rsidR="004F31D7" w:rsidRPr="00006A39" w:rsidRDefault="004F31D7" w:rsidP="00140862">
            <w:pPr>
              <w:widowControl w:val="0"/>
              <w:spacing w:line="276" w:lineRule="auto"/>
              <w:jc w:val="center"/>
              <w:rPr>
                <w:sz w:val="24"/>
                <w:szCs w:val="24"/>
              </w:rPr>
            </w:pPr>
            <w:r w:rsidRPr="00006A39">
              <w:rPr>
                <w:sz w:val="24"/>
                <w:szCs w:val="24"/>
              </w:rPr>
              <w:t>3,77</w:t>
            </w:r>
          </w:p>
        </w:tc>
        <w:tc>
          <w:tcPr>
            <w:tcW w:w="1560" w:type="dxa"/>
            <w:tcBorders>
              <w:top w:val="single" w:sz="4" w:space="0" w:color="000000"/>
              <w:left w:val="single" w:sz="4" w:space="0" w:color="000000"/>
              <w:bottom w:val="single" w:sz="4" w:space="0" w:color="000000"/>
              <w:right w:val="single" w:sz="4" w:space="0" w:color="000000"/>
            </w:tcBorders>
          </w:tcPr>
          <w:p w:rsidR="004F31D7" w:rsidRPr="00006A39" w:rsidRDefault="004F31D7" w:rsidP="00140862">
            <w:pPr>
              <w:widowControl w:val="0"/>
              <w:spacing w:line="276" w:lineRule="auto"/>
              <w:jc w:val="center"/>
              <w:rPr>
                <w:sz w:val="24"/>
                <w:szCs w:val="24"/>
              </w:rPr>
            </w:pPr>
            <w:r w:rsidRPr="00006A39">
              <w:rPr>
                <w:sz w:val="24"/>
                <w:szCs w:val="24"/>
              </w:rPr>
              <w:t>0,774</w:t>
            </w:r>
          </w:p>
          <w:p w:rsidR="004F31D7" w:rsidRPr="00006A39" w:rsidRDefault="004F31D7" w:rsidP="00140862">
            <w:pPr>
              <w:widowControl w:val="0"/>
              <w:spacing w:line="276" w:lineRule="auto"/>
              <w:jc w:val="center"/>
              <w:rPr>
                <w:sz w:val="24"/>
                <w:szCs w:val="24"/>
              </w:rPr>
            </w:pPr>
            <w:r w:rsidRPr="00006A39">
              <w:rPr>
                <w:sz w:val="24"/>
                <w:szCs w:val="24"/>
              </w:rPr>
              <w:t>0,756-0,793</w:t>
            </w:r>
          </w:p>
        </w:tc>
        <w:tc>
          <w:tcPr>
            <w:tcW w:w="992" w:type="dxa"/>
            <w:tcBorders>
              <w:top w:val="single" w:sz="4" w:space="0" w:color="000000"/>
              <w:left w:val="single" w:sz="4" w:space="0" w:color="000000"/>
              <w:bottom w:val="single" w:sz="4" w:space="0" w:color="000000"/>
              <w:right w:val="single" w:sz="4" w:space="0" w:color="000000"/>
            </w:tcBorders>
          </w:tcPr>
          <w:p w:rsidR="004F31D7" w:rsidRPr="00006A39" w:rsidRDefault="004F31D7" w:rsidP="00140862">
            <w:pPr>
              <w:widowControl w:val="0"/>
              <w:spacing w:line="276" w:lineRule="auto"/>
            </w:pPr>
            <w:r w:rsidRPr="00006A39">
              <w:rPr>
                <w:sz w:val="24"/>
                <w:szCs w:val="24"/>
              </w:rPr>
              <w:t>&lt;0,001</w:t>
            </w:r>
          </w:p>
        </w:tc>
      </w:tr>
      <w:tr w:rsidR="004F31D7" w:rsidRPr="00006A39" w:rsidTr="004F31D7">
        <w:trPr>
          <w:jc w:val="center"/>
        </w:trPr>
        <w:tc>
          <w:tcPr>
            <w:tcW w:w="5244" w:type="dxa"/>
            <w:tcBorders>
              <w:top w:val="single" w:sz="4" w:space="0" w:color="000000"/>
              <w:left w:val="single" w:sz="4" w:space="0" w:color="000000"/>
              <w:bottom w:val="single" w:sz="4" w:space="0" w:color="000000"/>
              <w:right w:val="single" w:sz="4" w:space="0" w:color="000000"/>
            </w:tcBorders>
            <w:vAlign w:val="center"/>
          </w:tcPr>
          <w:p w:rsidR="004F31D7" w:rsidRPr="00006A39" w:rsidRDefault="004F31D7" w:rsidP="00140862">
            <w:pPr>
              <w:widowControl w:val="0"/>
              <w:numPr>
                <w:ilvl w:val="0"/>
                <w:numId w:val="5"/>
              </w:numPr>
              <w:spacing w:line="276" w:lineRule="auto"/>
              <w:ind w:left="446" w:hanging="276"/>
              <w:rPr>
                <w:sz w:val="24"/>
                <w:szCs w:val="24"/>
              </w:rPr>
            </w:pPr>
            <w:r w:rsidRPr="00006A39">
              <w:rPr>
                <w:sz w:val="24"/>
                <w:szCs w:val="24"/>
              </w:rPr>
              <w:t>хвороби нервової системи</w:t>
            </w:r>
          </w:p>
        </w:tc>
        <w:tc>
          <w:tcPr>
            <w:tcW w:w="987" w:type="dxa"/>
            <w:tcBorders>
              <w:top w:val="single" w:sz="4" w:space="0" w:color="000000"/>
              <w:left w:val="single" w:sz="4" w:space="0" w:color="000000"/>
              <w:bottom w:val="single" w:sz="4" w:space="0" w:color="000000"/>
              <w:right w:val="single" w:sz="4" w:space="0" w:color="000000"/>
            </w:tcBorders>
            <w:vAlign w:val="center"/>
          </w:tcPr>
          <w:p w:rsidR="004F31D7" w:rsidRPr="00006A39" w:rsidRDefault="004F31D7" w:rsidP="00140862">
            <w:pPr>
              <w:widowControl w:val="0"/>
              <w:spacing w:line="276" w:lineRule="auto"/>
              <w:jc w:val="center"/>
              <w:rPr>
                <w:sz w:val="24"/>
                <w:szCs w:val="24"/>
              </w:rPr>
            </w:pPr>
            <w:r w:rsidRPr="00006A39">
              <w:rPr>
                <w:sz w:val="24"/>
                <w:szCs w:val="24"/>
              </w:rPr>
              <w:t>17,51</w:t>
            </w:r>
          </w:p>
        </w:tc>
        <w:tc>
          <w:tcPr>
            <w:tcW w:w="992" w:type="dxa"/>
            <w:tcBorders>
              <w:top w:val="single" w:sz="4" w:space="0" w:color="000000"/>
              <w:left w:val="single" w:sz="4" w:space="0" w:color="000000"/>
              <w:bottom w:val="single" w:sz="4" w:space="0" w:color="000000"/>
              <w:right w:val="single" w:sz="4" w:space="0" w:color="000000"/>
            </w:tcBorders>
            <w:vAlign w:val="center"/>
          </w:tcPr>
          <w:p w:rsidR="004F31D7" w:rsidRPr="00006A39" w:rsidRDefault="004F31D7" w:rsidP="00140862">
            <w:pPr>
              <w:widowControl w:val="0"/>
              <w:spacing w:line="276" w:lineRule="auto"/>
              <w:jc w:val="center"/>
              <w:rPr>
                <w:sz w:val="24"/>
                <w:szCs w:val="24"/>
              </w:rPr>
            </w:pPr>
            <w:r w:rsidRPr="00006A39">
              <w:rPr>
                <w:sz w:val="24"/>
                <w:szCs w:val="24"/>
              </w:rPr>
              <w:t>15,32</w:t>
            </w:r>
          </w:p>
        </w:tc>
        <w:tc>
          <w:tcPr>
            <w:tcW w:w="1560" w:type="dxa"/>
            <w:tcBorders>
              <w:top w:val="single" w:sz="4" w:space="0" w:color="000000"/>
              <w:left w:val="single" w:sz="4" w:space="0" w:color="000000"/>
              <w:bottom w:val="single" w:sz="4" w:space="0" w:color="000000"/>
              <w:right w:val="single" w:sz="4" w:space="0" w:color="000000"/>
            </w:tcBorders>
          </w:tcPr>
          <w:p w:rsidR="004F31D7" w:rsidRPr="00006A39" w:rsidRDefault="004F31D7" w:rsidP="00140862">
            <w:pPr>
              <w:widowControl w:val="0"/>
              <w:spacing w:line="276" w:lineRule="auto"/>
              <w:jc w:val="center"/>
              <w:rPr>
                <w:sz w:val="24"/>
                <w:szCs w:val="24"/>
              </w:rPr>
            </w:pPr>
            <w:r w:rsidRPr="00006A39">
              <w:rPr>
                <w:sz w:val="24"/>
                <w:szCs w:val="24"/>
              </w:rPr>
              <w:t>0,873</w:t>
            </w:r>
          </w:p>
          <w:p w:rsidR="004F31D7" w:rsidRPr="00006A39" w:rsidRDefault="004F31D7" w:rsidP="00140862">
            <w:pPr>
              <w:widowControl w:val="0"/>
              <w:spacing w:line="276" w:lineRule="auto"/>
              <w:jc w:val="center"/>
              <w:rPr>
                <w:sz w:val="24"/>
                <w:szCs w:val="24"/>
              </w:rPr>
            </w:pPr>
            <w:r w:rsidRPr="00006A39">
              <w:rPr>
                <w:sz w:val="24"/>
                <w:szCs w:val="24"/>
              </w:rPr>
              <w:t>0,862-0,884</w:t>
            </w:r>
          </w:p>
        </w:tc>
        <w:tc>
          <w:tcPr>
            <w:tcW w:w="992" w:type="dxa"/>
            <w:tcBorders>
              <w:top w:val="single" w:sz="4" w:space="0" w:color="000000"/>
              <w:left w:val="single" w:sz="4" w:space="0" w:color="000000"/>
              <w:bottom w:val="single" w:sz="4" w:space="0" w:color="000000"/>
              <w:right w:val="single" w:sz="4" w:space="0" w:color="000000"/>
            </w:tcBorders>
          </w:tcPr>
          <w:p w:rsidR="004F31D7" w:rsidRPr="00006A39" w:rsidRDefault="004F31D7" w:rsidP="00140862">
            <w:pPr>
              <w:widowControl w:val="0"/>
              <w:spacing w:line="276" w:lineRule="auto"/>
            </w:pPr>
            <w:r w:rsidRPr="00006A39">
              <w:rPr>
                <w:sz w:val="24"/>
                <w:szCs w:val="24"/>
              </w:rPr>
              <w:t>&lt;0,001</w:t>
            </w:r>
          </w:p>
        </w:tc>
      </w:tr>
      <w:tr w:rsidR="004F31D7" w:rsidRPr="00006A39" w:rsidTr="004F31D7">
        <w:trPr>
          <w:jc w:val="center"/>
        </w:trPr>
        <w:tc>
          <w:tcPr>
            <w:tcW w:w="5244" w:type="dxa"/>
            <w:tcBorders>
              <w:top w:val="single" w:sz="4" w:space="0" w:color="000000"/>
              <w:left w:val="single" w:sz="4" w:space="0" w:color="000000"/>
              <w:bottom w:val="single" w:sz="4" w:space="0" w:color="000000"/>
              <w:right w:val="single" w:sz="4" w:space="0" w:color="000000"/>
            </w:tcBorders>
            <w:vAlign w:val="center"/>
          </w:tcPr>
          <w:p w:rsidR="004F31D7" w:rsidRPr="00006A39" w:rsidRDefault="004F31D7" w:rsidP="00140862">
            <w:pPr>
              <w:widowControl w:val="0"/>
              <w:numPr>
                <w:ilvl w:val="0"/>
                <w:numId w:val="5"/>
              </w:numPr>
              <w:spacing w:line="276" w:lineRule="auto"/>
              <w:ind w:left="446" w:hanging="276"/>
              <w:rPr>
                <w:sz w:val="24"/>
                <w:szCs w:val="24"/>
              </w:rPr>
            </w:pPr>
            <w:r w:rsidRPr="00006A39">
              <w:rPr>
                <w:sz w:val="24"/>
                <w:szCs w:val="24"/>
              </w:rPr>
              <w:t>хвороби ока та його придаткового апарату</w:t>
            </w:r>
          </w:p>
        </w:tc>
        <w:tc>
          <w:tcPr>
            <w:tcW w:w="987" w:type="dxa"/>
            <w:tcBorders>
              <w:top w:val="single" w:sz="4" w:space="0" w:color="000000"/>
              <w:left w:val="single" w:sz="4" w:space="0" w:color="000000"/>
              <w:bottom w:val="single" w:sz="4" w:space="0" w:color="000000"/>
              <w:right w:val="single" w:sz="4" w:space="0" w:color="000000"/>
            </w:tcBorders>
            <w:vAlign w:val="center"/>
          </w:tcPr>
          <w:p w:rsidR="004F31D7" w:rsidRPr="00006A39" w:rsidRDefault="004F31D7" w:rsidP="00140862">
            <w:pPr>
              <w:widowControl w:val="0"/>
              <w:spacing w:line="276" w:lineRule="auto"/>
              <w:jc w:val="center"/>
              <w:rPr>
                <w:sz w:val="24"/>
                <w:szCs w:val="24"/>
              </w:rPr>
            </w:pPr>
            <w:r w:rsidRPr="00006A39">
              <w:rPr>
                <w:sz w:val="24"/>
                <w:szCs w:val="24"/>
              </w:rPr>
              <w:t>43,13</w:t>
            </w:r>
          </w:p>
        </w:tc>
        <w:tc>
          <w:tcPr>
            <w:tcW w:w="992" w:type="dxa"/>
            <w:tcBorders>
              <w:top w:val="single" w:sz="4" w:space="0" w:color="000000"/>
              <w:left w:val="single" w:sz="4" w:space="0" w:color="000000"/>
              <w:bottom w:val="single" w:sz="4" w:space="0" w:color="000000"/>
              <w:right w:val="single" w:sz="4" w:space="0" w:color="000000"/>
            </w:tcBorders>
            <w:vAlign w:val="center"/>
          </w:tcPr>
          <w:p w:rsidR="004F31D7" w:rsidRPr="00006A39" w:rsidRDefault="004F31D7" w:rsidP="00140862">
            <w:pPr>
              <w:widowControl w:val="0"/>
              <w:spacing w:line="276" w:lineRule="auto"/>
              <w:jc w:val="center"/>
              <w:rPr>
                <w:sz w:val="24"/>
                <w:szCs w:val="24"/>
              </w:rPr>
            </w:pPr>
            <w:r w:rsidRPr="00006A39">
              <w:rPr>
                <w:sz w:val="24"/>
                <w:szCs w:val="24"/>
              </w:rPr>
              <w:t>34,07</w:t>
            </w:r>
          </w:p>
        </w:tc>
        <w:tc>
          <w:tcPr>
            <w:tcW w:w="1560" w:type="dxa"/>
            <w:tcBorders>
              <w:top w:val="single" w:sz="4" w:space="0" w:color="000000"/>
              <w:left w:val="single" w:sz="4" w:space="0" w:color="000000"/>
              <w:bottom w:val="single" w:sz="4" w:space="0" w:color="000000"/>
              <w:right w:val="single" w:sz="4" w:space="0" w:color="000000"/>
            </w:tcBorders>
          </w:tcPr>
          <w:p w:rsidR="004F31D7" w:rsidRPr="00006A39" w:rsidRDefault="004F31D7" w:rsidP="00140862">
            <w:pPr>
              <w:widowControl w:val="0"/>
              <w:spacing w:line="276" w:lineRule="auto"/>
              <w:jc w:val="center"/>
              <w:rPr>
                <w:sz w:val="24"/>
                <w:szCs w:val="24"/>
              </w:rPr>
            </w:pPr>
            <w:r w:rsidRPr="00006A39">
              <w:rPr>
                <w:sz w:val="24"/>
                <w:szCs w:val="24"/>
              </w:rPr>
              <w:t>0,853</w:t>
            </w:r>
          </w:p>
          <w:p w:rsidR="004F31D7" w:rsidRPr="00006A39" w:rsidRDefault="004F31D7" w:rsidP="00140862">
            <w:pPr>
              <w:widowControl w:val="0"/>
              <w:spacing w:line="276" w:lineRule="auto"/>
              <w:jc w:val="center"/>
              <w:rPr>
                <w:sz w:val="24"/>
                <w:szCs w:val="24"/>
              </w:rPr>
            </w:pPr>
            <w:r w:rsidRPr="00006A39">
              <w:rPr>
                <w:sz w:val="24"/>
                <w:szCs w:val="24"/>
              </w:rPr>
              <w:t>0,846-0,860</w:t>
            </w:r>
          </w:p>
        </w:tc>
        <w:tc>
          <w:tcPr>
            <w:tcW w:w="992" w:type="dxa"/>
            <w:tcBorders>
              <w:top w:val="single" w:sz="4" w:space="0" w:color="000000"/>
              <w:left w:val="single" w:sz="4" w:space="0" w:color="000000"/>
              <w:bottom w:val="single" w:sz="4" w:space="0" w:color="000000"/>
              <w:right w:val="single" w:sz="4" w:space="0" w:color="000000"/>
            </w:tcBorders>
          </w:tcPr>
          <w:p w:rsidR="004F31D7" w:rsidRPr="00006A39" w:rsidRDefault="004F31D7" w:rsidP="00140862">
            <w:pPr>
              <w:widowControl w:val="0"/>
              <w:spacing w:line="276" w:lineRule="auto"/>
            </w:pPr>
            <w:r w:rsidRPr="00006A39">
              <w:rPr>
                <w:sz w:val="24"/>
                <w:szCs w:val="24"/>
              </w:rPr>
              <w:t>&lt;0,001</w:t>
            </w:r>
          </w:p>
        </w:tc>
      </w:tr>
      <w:tr w:rsidR="004F31D7" w:rsidRPr="00006A39" w:rsidTr="004F31D7">
        <w:trPr>
          <w:jc w:val="center"/>
        </w:trPr>
        <w:tc>
          <w:tcPr>
            <w:tcW w:w="5244" w:type="dxa"/>
            <w:tcBorders>
              <w:top w:val="single" w:sz="4" w:space="0" w:color="000000"/>
              <w:left w:val="single" w:sz="4" w:space="0" w:color="000000"/>
              <w:bottom w:val="single" w:sz="4" w:space="0" w:color="000000"/>
              <w:right w:val="single" w:sz="4" w:space="0" w:color="000000"/>
            </w:tcBorders>
            <w:vAlign w:val="center"/>
          </w:tcPr>
          <w:p w:rsidR="004F31D7" w:rsidRPr="00006A39" w:rsidRDefault="004F31D7" w:rsidP="00140862">
            <w:pPr>
              <w:widowControl w:val="0"/>
              <w:numPr>
                <w:ilvl w:val="0"/>
                <w:numId w:val="5"/>
              </w:numPr>
              <w:spacing w:line="276" w:lineRule="auto"/>
              <w:ind w:left="446" w:hanging="276"/>
              <w:rPr>
                <w:sz w:val="24"/>
                <w:szCs w:val="24"/>
              </w:rPr>
            </w:pPr>
            <w:r w:rsidRPr="00006A39">
              <w:rPr>
                <w:sz w:val="24"/>
                <w:szCs w:val="24"/>
              </w:rPr>
              <w:t xml:space="preserve">хвороби </w:t>
            </w:r>
            <w:r w:rsidRPr="00006A39">
              <w:rPr>
                <w:bCs/>
                <w:sz w:val="24"/>
                <w:szCs w:val="24"/>
              </w:rPr>
              <w:t>вуха</w:t>
            </w:r>
            <w:r w:rsidRPr="00006A39">
              <w:rPr>
                <w:sz w:val="24"/>
                <w:szCs w:val="24"/>
              </w:rPr>
              <w:t xml:space="preserve"> та соскоподібного відростка</w:t>
            </w:r>
          </w:p>
        </w:tc>
        <w:tc>
          <w:tcPr>
            <w:tcW w:w="987" w:type="dxa"/>
            <w:tcBorders>
              <w:top w:val="single" w:sz="4" w:space="0" w:color="000000"/>
              <w:left w:val="single" w:sz="4" w:space="0" w:color="000000"/>
              <w:bottom w:val="single" w:sz="4" w:space="0" w:color="000000"/>
              <w:right w:val="single" w:sz="4" w:space="0" w:color="000000"/>
            </w:tcBorders>
            <w:vAlign w:val="center"/>
          </w:tcPr>
          <w:p w:rsidR="004F31D7" w:rsidRPr="00006A39" w:rsidRDefault="004F31D7" w:rsidP="00140862">
            <w:pPr>
              <w:widowControl w:val="0"/>
              <w:spacing w:line="276" w:lineRule="auto"/>
              <w:jc w:val="center"/>
              <w:rPr>
                <w:sz w:val="24"/>
                <w:szCs w:val="24"/>
              </w:rPr>
            </w:pPr>
            <w:r w:rsidRPr="00006A39">
              <w:rPr>
                <w:sz w:val="24"/>
                <w:szCs w:val="24"/>
              </w:rPr>
              <w:t>51,29</w:t>
            </w:r>
          </w:p>
        </w:tc>
        <w:tc>
          <w:tcPr>
            <w:tcW w:w="992" w:type="dxa"/>
            <w:tcBorders>
              <w:top w:val="single" w:sz="4" w:space="0" w:color="000000"/>
              <w:left w:val="single" w:sz="4" w:space="0" w:color="000000"/>
              <w:bottom w:val="single" w:sz="4" w:space="0" w:color="000000"/>
              <w:right w:val="single" w:sz="4" w:space="0" w:color="000000"/>
            </w:tcBorders>
            <w:vAlign w:val="center"/>
          </w:tcPr>
          <w:p w:rsidR="004F31D7" w:rsidRPr="00006A39" w:rsidRDefault="004F31D7" w:rsidP="00140862">
            <w:pPr>
              <w:widowControl w:val="0"/>
              <w:spacing w:line="276" w:lineRule="auto"/>
              <w:jc w:val="center"/>
              <w:rPr>
                <w:sz w:val="24"/>
                <w:szCs w:val="24"/>
              </w:rPr>
            </w:pPr>
            <w:r w:rsidRPr="00006A39">
              <w:rPr>
                <w:sz w:val="24"/>
                <w:szCs w:val="24"/>
              </w:rPr>
              <w:t>43,63</w:t>
            </w:r>
          </w:p>
        </w:tc>
        <w:tc>
          <w:tcPr>
            <w:tcW w:w="1560" w:type="dxa"/>
            <w:tcBorders>
              <w:top w:val="single" w:sz="4" w:space="0" w:color="000000"/>
              <w:left w:val="single" w:sz="4" w:space="0" w:color="000000"/>
              <w:bottom w:val="single" w:sz="4" w:space="0" w:color="000000"/>
              <w:right w:val="single" w:sz="4" w:space="0" w:color="000000"/>
            </w:tcBorders>
          </w:tcPr>
          <w:p w:rsidR="004F31D7" w:rsidRPr="00006A39" w:rsidRDefault="004F31D7" w:rsidP="00140862">
            <w:pPr>
              <w:widowControl w:val="0"/>
              <w:spacing w:line="276" w:lineRule="auto"/>
              <w:jc w:val="center"/>
              <w:rPr>
                <w:sz w:val="24"/>
                <w:szCs w:val="24"/>
              </w:rPr>
            </w:pPr>
            <w:r w:rsidRPr="00006A39">
              <w:rPr>
                <w:sz w:val="24"/>
                <w:szCs w:val="24"/>
              </w:rPr>
              <w:t>0,844</w:t>
            </w:r>
          </w:p>
          <w:p w:rsidR="004F31D7" w:rsidRPr="00006A39" w:rsidRDefault="004F31D7" w:rsidP="00140862">
            <w:pPr>
              <w:widowControl w:val="0"/>
              <w:spacing w:line="276" w:lineRule="auto"/>
              <w:jc w:val="center"/>
              <w:rPr>
                <w:sz w:val="24"/>
                <w:szCs w:val="24"/>
              </w:rPr>
            </w:pPr>
            <w:r w:rsidRPr="00006A39">
              <w:rPr>
                <w:sz w:val="24"/>
                <w:szCs w:val="24"/>
              </w:rPr>
              <w:t>0,837-0,849</w:t>
            </w:r>
          </w:p>
        </w:tc>
        <w:tc>
          <w:tcPr>
            <w:tcW w:w="992" w:type="dxa"/>
            <w:tcBorders>
              <w:top w:val="single" w:sz="4" w:space="0" w:color="000000"/>
              <w:left w:val="single" w:sz="4" w:space="0" w:color="000000"/>
              <w:bottom w:val="single" w:sz="4" w:space="0" w:color="000000"/>
              <w:right w:val="single" w:sz="4" w:space="0" w:color="000000"/>
            </w:tcBorders>
          </w:tcPr>
          <w:p w:rsidR="004F31D7" w:rsidRPr="00006A39" w:rsidRDefault="004F31D7" w:rsidP="00140862">
            <w:pPr>
              <w:widowControl w:val="0"/>
              <w:spacing w:line="276" w:lineRule="auto"/>
            </w:pPr>
            <w:r w:rsidRPr="00006A39">
              <w:rPr>
                <w:sz w:val="24"/>
                <w:szCs w:val="24"/>
              </w:rPr>
              <w:t>&lt;0,001</w:t>
            </w:r>
          </w:p>
        </w:tc>
      </w:tr>
      <w:tr w:rsidR="004F31D7" w:rsidRPr="00006A39" w:rsidTr="004F31D7">
        <w:trPr>
          <w:jc w:val="center"/>
        </w:trPr>
        <w:tc>
          <w:tcPr>
            <w:tcW w:w="5244" w:type="dxa"/>
            <w:tcBorders>
              <w:top w:val="single" w:sz="4" w:space="0" w:color="000000"/>
              <w:left w:val="single" w:sz="4" w:space="0" w:color="000000"/>
              <w:bottom w:val="single" w:sz="4" w:space="0" w:color="000000"/>
              <w:right w:val="single" w:sz="4" w:space="0" w:color="000000"/>
            </w:tcBorders>
            <w:vAlign w:val="center"/>
          </w:tcPr>
          <w:p w:rsidR="004F31D7" w:rsidRPr="00006A39" w:rsidRDefault="004F31D7" w:rsidP="00140862">
            <w:pPr>
              <w:widowControl w:val="0"/>
              <w:numPr>
                <w:ilvl w:val="0"/>
                <w:numId w:val="5"/>
              </w:numPr>
              <w:spacing w:line="276" w:lineRule="auto"/>
              <w:ind w:left="446" w:hanging="276"/>
              <w:rPr>
                <w:sz w:val="24"/>
                <w:szCs w:val="24"/>
              </w:rPr>
            </w:pPr>
            <w:r w:rsidRPr="00006A39">
              <w:rPr>
                <w:sz w:val="24"/>
                <w:szCs w:val="24"/>
              </w:rPr>
              <w:t>хвороби системи кровообігу</w:t>
            </w:r>
          </w:p>
        </w:tc>
        <w:tc>
          <w:tcPr>
            <w:tcW w:w="987" w:type="dxa"/>
            <w:tcBorders>
              <w:top w:val="single" w:sz="4" w:space="0" w:color="000000"/>
              <w:left w:val="single" w:sz="4" w:space="0" w:color="000000"/>
              <w:bottom w:val="single" w:sz="4" w:space="0" w:color="000000"/>
              <w:right w:val="single" w:sz="4" w:space="0" w:color="000000"/>
            </w:tcBorders>
            <w:vAlign w:val="center"/>
          </w:tcPr>
          <w:p w:rsidR="004F31D7" w:rsidRPr="00006A39" w:rsidRDefault="004F31D7" w:rsidP="00140862">
            <w:pPr>
              <w:widowControl w:val="0"/>
              <w:spacing w:line="276" w:lineRule="auto"/>
              <w:jc w:val="center"/>
              <w:rPr>
                <w:sz w:val="24"/>
                <w:szCs w:val="24"/>
              </w:rPr>
            </w:pPr>
            <w:r w:rsidRPr="00006A39">
              <w:rPr>
                <w:sz w:val="24"/>
                <w:szCs w:val="24"/>
              </w:rPr>
              <w:t>5,21</w:t>
            </w:r>
          </w:p>
        </w:tc>
        <w:tc>
          <w:tcPr>
            <w:tcW w:w="992" w:type="dxa"/>
            <w:tcBorders>
              <w:top w:val="single" w:sz="4" w:space="0" w:color="000000"/>
              <w:left w:val="single" w:sz="4" w:space="0" w:color="000000"/>
              <w:bottom w:val="single" w:sz="4" w:space="0" w:color="000000"/>
              <w:right w:val="single" w:sz="4" w:space="0" w:color="000000"/>
            </w:tcBorders>
            <w:vAlign w:val="center"/>
          </w:tcPr>
          <w:p w:rsidR="004F31D7" w:rsidRPr="00006A39" w:rsidRDefault="004F31D7" w:rsidP="00140862">
            <w:pPr>
              <w:widowControl w:val="0"/>
              <w:spacing w:line="276" w:lineRule="auto"/>
              <w:jc w:val="center"/>
              <w:rPr>
                <w:sz w:val="24"/>
                <w:szCs w:val="24"/>
              </w:rPr>
            </w:pPr>
            <w:r w:rsidRPr="00006A39">
              <w:rPr>
                <w:sz w:val="24"/>
                <w:szCs w:val="24"/>
              </w:rPr>
              <w:t>3,84</w:t>
            </w:r>
          </w:p>
        </w:tc>
        <w:tc>
          <w:tcPr>
            <w:tcW w:w="1560" w:type="dxa"/>
            <w:tcBorders>
              <w:top w:val="single" w:sz="4" w:space="0" w:color="000000"/>
              <w:left w:val="single" w:sz="4" w:space="0" w:color="000000"/>
              <w:bottom w:val="single" w:sz="4" w:space="0" w:color="000000"/>
              <w:right w:val="single" w:sz="4" w:space="0" w:color="000000"/>
            </w:tcBorders>
          </w:tcPr>
          <w:p w:rsidR="004F31D7" w:rsidRPr="00006A39" w:rsidRDefault="004F31D7" w:rsidP="00140862">
            <w:pPr>
              <w:widowControl w:val="0"/>
              <w:spacing w:line="276" w:lineRule="auto"/>
              <w:jc w:val="center"/>
              <w:rPr>
                <w:sz w:val="24"/>
                <w:szCs w:val="24"/>
              </w:rPr>
            </w:pPr>
            <w:r w:rsidRPr="00006A39">
              <w:rPr>
                <w:sz w:val="24"/>
                <w:szCs w:val="24"/>
              </w:rPr>
              <w:t>0,736</w:t>
            </w:r>
          </w:p>
          <w:p w:rsidR="004F31D7" w:rsidRPr="00006A39" w:rsidRDefault="004F31D7" w:rsidP="00140862">
            <w:pPr>
              <w:widowControl w:val="0"/>
              <w:spacing w:line="276" w:lineRule="auto"/>
              <w:jc w:val="center"/>
              <w:rPr>
                <w:sz w:val="24"/>
                <w:szCs w:val="24"/>
              </w:rPr>
            </w:pPr>
            <w:r w:rsidRPr="00006A39">
              <w:rPr>
                <w:sz w:val="24"/>
                <w:szCs w:val="24"/>
              </w:rPr>
              <w:t>0,719-0,753</w:t>
            </w:r>
          </w:p>
        </w:tc>
        <w:tc>
          <w:tcPr>
            <w:tcW w:w="992" w:type="dxa"/>
            <w:tcBorders>
              <w:top w:val="single" w:sz="4" w:space="0" w:color="000000"/>
              <w:left w:val="single" w:sz="4" w:space="0" w:color="000000"/>
              <w:bottom w:val="single" w:sz="4" w:space="0" w:color="000000"/>
              <w:right w:val="single" w:sz="4" w:space="0" w:color="000000"/>
            </w:tcBorders>
          </w:tcPr>
          <w:p w:rsidR="004F31D7" w:rsidRPr="00006A39" w:rsidRDefault="004F31D7" w:rsidP="00140862">
            <w:pPr>
              <w:widowControl w:val="0"/>
              <w:spacing w:line="276" w:lineRule="auto"/>
            </w:pPr>
            <w:r w:rsidRPr="00006A39">
              <w:rPr>
                <w:sz w:val="24"/>
                <w:szCs w:val="24"/>
              </w:rPr>
              <w:t>&lt;0,001</w:t>
            </w:r>
          </w:p>
        </w:tc>
      </w:tr>
      <w:tr w:rsidR="004F31D7" w:rsidRPr="00006A39" w:rsidTr="004F31D7">
        <w:trPr>
          <w:jc w:val="center"/>
        </w:trPr>
        <w:tc>
          <w:tcPr>
            <w:tcW w:w="5244" w:type="dxa"/>
            <w:tcBorders>
              <w:top w:val="single" w:sz="4" w:space="0" w:color="000000"/>
              <w:left w:val="single" w:sz="4" w:space="0" w:color="000000"/>
              <w:bottom w:val="single" w:sz="4" w:space="0" w:color="000000"/>
              <w:right w:val="single" w:sz="4" w:space="0" w:color="000000"/>
            </w:tcBorders>
            <w:vAlign w:val="center"/>
          </w:tcPr>
          <w:p w:rsidR="004F31D7" w:rsidRPr="00006A39" w:rsidRDefault="004F31D7" w:rsidP="00140862">
            <w:pPr>
              <w:widowControl w:val="0"/>
              <w:numPr>
                <w:ilvl w:val="0"/>
                <w:numId w:val="5"/>
              </w:numPr>
              <w:spacing w:line="276" w:lineRule="auto"/>
              <w:ind w:left="446" w:hanging="276"/>
              <w:rPr>
                <w:sz w:val="24"/>
                <w:szCs w:val="24"/>
              </w:rPr>
            </w:pPr>
            <w:r w:rsidRPr="00006A39">
              <w:rPr>
                <w:sz w:val="24"/>
                <w:szCs w:val="24"/>
              </w:rPr>
              <w:t>хвороби органів дихання</w:t>
            </w:r>
          </w:p>
        </w:tc>
        <w:tc>
          <w:tcPr>
            <w:tcW w:w="987" w:type="dxa"/>
            <w:tcBorders>
              <w:top w:val="single" w:sz="4" w:space="0" w:color="000000"/>
              <w:left w:val="single" w:sz="4" w:space="0" w:color="000000"/>
              <w:bottom w:val="single" w:sz="4" w:space="0" w:color="000000"/>
              <w:right w:val="single" w:sz="4" w:space="0" w:color="000000"/>
            </w:tcBorders>
            <w:vAlign w:val="center"/>
          </w:tcPr>
          <w:p w:rsidR="004F31D7" w:rsidRPr="00006A39" w:rsidRDefault="004F31D7" w:rsidP="00140862">
            <w:pPr>
              <w:widowControl w:val="0"/>
              <w:spacing w:line="276" w:lineRule="auto"/>
              <w:jc w:val="center"/>
              <w:rPr>
                <w:sz w:val="24"/>
                <w:szCs w:val="24"/>
              </w:rPr>
            </w:pPr>
            <w:r w:rsidRPr="00006A39">
              <w:rPr>
                <w:sz w:val="24"/>
                <w:szCs w:val="24"/>
              </w:rPr>
              <w:t>1092,99</w:t>
            </w:r>
          </w:p>
        </w:tc>
        <w:tc>
          <w:tcPr>
            <w:tcW w:w="992" w:type="dxa"/>
            <w:tcBorders>
              <w:top w:val="single" w:sz="4" w:space="0" w:color="000000"/>
              <w:left w:val="single" w:sz="4" w:space="0" w:color="000000"/>
              <w:bottom w:val="single" w:sz="4" w:space="0" w:color="000000"/>
              <w:right w:val="single" w:sz="4" w:space="0" w:color="000000"/>
            </w:tcBorders>
            <w:vAlign w:val="center"/>
          </w:tcPr>
          <w:p w:rsidR="004F31D7" w:rsidRPr="00006A39" w:rsidRDefault="004F31D7" w:rsidP="00140862">
            <w:pPr>
              <w:widowControl w:val="0"/>
              <w:spacing w:line="276" w:lineRule="auto"/>
              <w:jc w:val="center"/>
              <w:rPr>
                <w:sz w:val="24"/>
                <w:szCs w:val="24"/>
              </w:rPr>
            </w:pPr>
            <w:r w:rsidRPr="00006A39">
              <w:rPr>
                <w:sz w:val="24"/>
                <w:szCs w:val="24"/>
              </w:rPr>
              <w:t>1056,59</w:t>
            </w:r>
          </w:p>
        </w:tc>
        <w:tc>
          <w:tcPr>
            <w:tcW w:w="1560" w:type="dxa"/>
            <w:tcBorders>
              <w:top w:val="single" w:sz="4" w:space="0" w:color="000000"/>
              <w:left w:val="single" w:sz="4" w:space="0" w:color="000000"/>
              <w:bottom w:val="single" w:sz="4" w:space="0" w:color="000000"/>
              <w:right w:val="single" w:sz="4" w:space="0" w:color="000000"/>
            </w:tcBorders>
          </w:tcPr>
          <w:p w:rsidR="004F31D7" w:rsidRPr="00006A39" w:rsidRDefault="004F31D7" w:rsidP="00140862">
            <w:pPr>
              <w:widowControl w:val="0"/>
              <w:spacing w:line="276" w:lineRule="auto"/>
              <w:jc w:val="center"/>
              <w:rPr>
                <w:sz w:val="24"/>
                <w:szCs w:val="24"/>
              </w:rPr>
            </w:pPr>
            <w:r w:rsidRPr="00006A39">
              <w:rPr>
                <w:sz w:val="24"/>
                <w:szCs w:val="24"/>
              </w:rPr>
              <w:t>0,967</w:t>
            </w:r>
          </w:p>
          <w:p w:rsidR="004F31D7" w:rsidRPr="00006A39" w:rsidRDefault="004F31D7" w:rsidP="00140862">
            <w:pPr>
              <w:widowControl w:val="0"/>
              <w:spacing w:line="276" w:lineRule="auto"/>
              <w:jc w:val="center"/>
              <w:rPr>
                <w:sz w:val="24"/>
                <w:szCs w:val="24"/>
              </w:rPr>
            </w:pPr>
            <w:r w:rsidRPr="00006A39">
              <w:rPr>
                <w:sz w:val="24"/>
                <w:szCs w:val="24"/>
              </w:rPr>
              <w:t>0,965-0,968</w:t>
            </w:r>
          </w:p>
        </w:tc>
        <w:tc>
          <w:tcPr>
            <w:tcW w:w="992" w:type="dxa"/>
            <w:tcBorders>
              <w:top w:val="single" w:sz="4" w:space="0" w:color="000000"/>
              <w:left w:val="single" w:sz="4" w:space="0" w:color="000000"/>
              <w:bottom w:val="single" w:sz="4" w:space="0" w:color="000000"/>
              <w:right w:val="single" w:sz="4" w:space="0" w:color="000000"/>
            </w:tcBorders>
          </w:tcPr>
          <w:p w:rsidR="004F31D7" w:rsidRPr="00006A39" w:rsidRDefault="004F31D7" w:rsidP="00140862">
            <w:pPr>
              <w:widowControl w:val="0"/>
              <w:spacing w:line="276" w:lineRule="auto"/>
            </w:pPr>
            <w:r w:rsidRPr="00006A39">
              <w:rPr>
                <w:sz w:val="24"/>
                <w:szCs w:val="24"/>
              </w:rPr>
              <w:t>&lt;0,001</w:t>
            </w:r>
          </w:p>
        </w:tc>
      </w:tr>
      <w:tr w:rsidR="004F31D7" w:rsidRPr="00006A39" w:rsidTr="004F31D7">
        <w:trPr>
          <w:jc w:val="center"/>
        </w:trPr>
        <w:tc>
          <w:tcPr>
            <w:tcW w:w="5244" w:type="dxa"/>
            <w:tcBorders>
              <w:top w:val="single" w:sz="4" w:space="0" w:color="000000"/>
              <w:left w:val="single" w:sz="4" w:space="0" w:color="000000"/>
              <w:bottom w:val="single" w:sz="4" w:space="0" w:color="000000"/>
              <w:right w:val="single" w:sz="4" w:space="0" w:color="000000"/>
            </w:tcBorders>
            <w:vAlign w:val="center"/>
          </w:tcPr>
          <w:p w:rsidR="004F31D7" w:rsidRPr="00006A39" w:rsidRDefault="004F31D7" w:rsidP="00140862">
            <w:pPr>
              <w:widowControl w:val="0"/>
              <w:numPr>
                <w:ilvl w:val="0"/>
                <w:numId w:val="5"/>
              </w:numPr>
              <w:spacing w:line="276" w:lineRule="auto"/>
              <w:ind w:left="446" w:hanging="276"/>
              <w:rPr>
                <w:sz w:val="24"/>
                <w:szCs w:val="24"/>
              </w:rPr>
            </w:pPr>
            <w:r w:rsidRPr="00006A39">
              <w:rPr>
                <w:sz w:val="24"/>
                <w:szCs w:val="24"/>
              </w:rPr>
              <w:t>хвороби органів травлення</w:t>
            </w:r>
          </w:p>
        </w:tc>
        <w:tc>
          <w:tcPr>
            <w:tcW w:w="987" w:type="dxa"/>
            <w:tcBorders>
              <w:top w:val="single" w:sz="4" w:space="0" w:color="000000"/>
              <w:left w:val="single" w:sz="4" w:space="0" w:color="000000"/>
              <w:bottom w:val="single" w:sz="4" w:space="0" w:color="000000"/>
              <w:right w:val="single" w:sz="4" w:space="0" w:color="000000"/>
            </w:tcBorders>
            <w:vAlign w:val="center"/>
          </w:tcPr>
          <w:p w:rsidR="004F31D7" w:rsidRPr="00006A39" w:rsidRDefault="004F31D7" w:rsidP="00140862">
            <w:pPr>
              <w:widowControl w:val="0"/>
              <w:spacing w:line="276" w:lineRule="auto"/>
              <w:jc w:val="center"/>
              <w:rPr>
                <w:sz w:val="24"/>
                <w:szCs w:val="24"/>
              </w:rPr>
            </w:pPr>
            <w:r w:rsidRPr="00006A39">
              <w:rPr>
                <w:sz w:val="24"/>
                <w:szCs w:val="24"/>
              </w:rPr>
              <w:t>41,66</w:t>
            </w:r>
          </w:p>
        </w:tc>
        <w:tc>
          <w:tcPr>
            <w:tcW w:w="992" w:type="dxa"/>
            <w:tcBorders>
              <w:top w:val="single" w:sz="4" w:space="0" w:color="000000"/>
              <w:left w:val="single" w:sz="4" w:space="0" w:color="000000"/>
              <w:bottom w:val="single" w:sz="4" w:space="0" w:color="000000"/>
              <w:right w:val="single" w:sz="4" w:space="0" w:color="000000"/>
            </w:tcBorders>
            <w:vAlign w:val="center"/>
          </w:tcPr>
          <w:p w:rsidR="004F31D7" w:rsidRPr="00006A39" w:rsidRDefault="004F31D7" w:rsidP="00140862">
            <w:pPr>
              <w:widowControl w:val="0"/>
              <w:spacing w:line="276" w:lineRule="auto"/>
              <w:jc w:val="center"/>
              <w:rPr>
                <w:sz w:val="24"/>
                <w:szCs w:val="24"/>
              </w:rPr>
            </w:pPr>
            <w:r w:rsidRPr="00006A39">
              <w:rPr>
                <w:sz w:val="24"/>
                <w:szCs w:val="24"/>
              </w:rPr>
              <w:t>40,91</w:t>
            </w:r>
          </w:p>
        </w:tc>
        <w:tc>
          <w:tcPr>
            <w:tcW w:w="1560" w:type="dxa"/>
            <w:tcBorders>
              <w:top w:val="single" w:sz="4" w:space="0" w:color="000000"/>
              <w:left w:val="single" w:sz="4" w:space="0" w:color="000000"/>
              <w:bottom w:val="single" w:sz="4" w:space="0" w:color="000000"/>
              <w:right w:val="single" w:sz="4" w:space="0" w:color="000000"/>
            </w:tcBorders>
          </w:tcPr>
          <w:p w:rsidR="004F31D7" w:rsidRPr="00006A39" w:rsidRDefault="004F31D7" w:rsidP="00140862">
            <w:pPr>
              <w:widowControl w:val="0"/>
              <w:spacing w:line="276" w:lineRule="auto"/>
              <w:jc w:val="center"/>
              <w:rPr>
                <w:sz w:val="24"/>
                <w:szCs w:val="24"/>
              </w:rPr>
            </w:pPr>
            <w:r w:rsidRPr="00006A39">
              <w:rPr>
                <w:sz w:val="24"/>
                <w:szCs w:val="24"/>
              </w:rPr>
              <w:t>0,981</w:t>
            </w:r>
          </w:p>
          <w:p w:rsidR="004F31D7" w:rsidRPr="00006A39" w:rsidRDefault="004F31D7" w:rsidP="00140862">
            <w:pPr>
              <w:widowControl w:val="0"/>
              <w:spacing w:line="276" w:lineRule="auto"/>
              <w:jc w:val="center"/>
              <w:rPr>
                <w:sz w:val="24"/>
                <w:szCs w:val="24"/>
              </w:rPr>
            </w:pPr>
            <w:r w:rsidRPr="00006A39">
              <w:rPr>
                <w:sz w:val="24"/>
                <w:szCs w:val="24"/>
              </w:rPr>
              <w:t>0,973-0,989</w:t>
            </w:r>
          </w:p>
        </w:tc>
        <w:tc>
          <w:tcPr>
            <w:tcW w:w="992" w:type="dxa"/>
            <w:tcBorders>
              <w:top w:val="single" w:sz="4" w:space="0" w:color="000000"/>
              <w:left w:val="single" w:sz="4" w:space="0" w:color="000000"/>
              <w:bottom w:val="single" w:sz="4" w:space="0" w:color="000000"/>
              <w:right w:val="single" w:sz="4" w:space="0" w:color="000000"/>
            </w:tcBorders>
          </w:tcPr>
          <w:p w:rsidR="004F31D7" w:rsidRPr="00006A39" w:rsidRDefault="004F31D7" w:rsidP="00140862">
            <w:pPr>
              <w:widowControl w:val="0"/>
              <w:spacing w:line="276" w:lineRule="auto"/>
            </w:pPr>
            <w:r w:rsidRPr="00006A39">
              <w:rPr>
                <w:sz w:val="24"/>
                <w:szCs w:val="24"/>
              </w:rPr>
              <w:t>&lt;0,001</w:t>
            </w:r>
          </w:p>
        </w:tc>
      </w:tr>
      <w:tr w:rsidR="004F31D7" w:rsidRPr="00006A39" w:rsidTr="004F31D7">
        <w:trPr>
          <w:jc w:val="center"/>
        </w:trPr>
        <w:tc>
          <w:tcPr>
            <w:tcW w:w="5244" w:type="dxa"/>
            <w:tcBorders>
              <w:top w:val="single" w:sz="4" w:space="0" w:color="000000"/>
              <w:left w:val="single" w:sz="4" w:space="0" w:color="000000"/>
              <w:bottom w:val="single" w:sz="4" w:space="0" w:color="000000"/>
              <w:right w:val="single" w:sz="4" w:space="0" w:color="000000"/>
            </w:tcBorders>
            <w:vAlign w:val="center"/>
          </w:tcPr>
          <w:p w:rsidR="004F31D7" w:rsidRPr="00006A39" w:rsidRDefault="004F31D7" w:rsidP="00140862">
            <w:pPr>
              <w:widowControl w:val="0"/>
              <w:numPr>
                <w:ilvl w:val="0"/>
                <w:numId w:val="5"/>
              </w:numPr>
              <w:spacing w:line="276" w:lineRule="auto"/>
              <w:ind w:left="446" w:hanging="276"/>
              <w:rPr>
                <w:sz w:val="24"/>
                <w:szCs w:val="24"/>
              </w:rPr>
            </w:pPr>
            <w:r w:rsidRPr="00006A39">
              <w:rPr>
                <w:sz w:val="24"/>
                <w:szCs w:val="24"/>
              </w:rPr>
              <w:t>хвороби шкіри та підшкірної клітковини</w:t>
            </w:r>
          </w:p>
        </w:tc>
        <w:tc>
          <w:tcPr>
            <w:tcW w:w="987" w:type="dxa"/>
            <w:tcBorders>
              <w:top w:val="single" w:sz="4" w:space="0" w:color="000000"/>
              <w:left w:val="single" w:sz="4" w:space="0" w:color="000000"/>
              <w:bottom w:val="single" w:sz="4" w:space="0" w:color="000000"/>
              <w:right w:val="single" w:sz="4" w:space="0" w:color="000000"/>
            </w:tcBorders>
            <w:vAlign w:val="center"/>
          </w:tcPr>
          <w:p w:rsidR="004F31D7" w:rsidRPr="00006A39" w:rsidRDefault="004F31D7" w:rsidP="00140862">
            <w:pPr>
              <w:widowControl w:val="0"/>
              <w:spacing w:line="276" w:lineRule="auto"/>
              <w:jc w:val="center"/>
              <w:rPr>
                <w:sz w:val="24"/>
                <w:szCs w:val="24"/>
              </w:rPr>
            </w:pPr>
            <w:r w:rsidRPr="00006A39">
              <w:rPr>
                <w:sz w:val="24"/>
                <w:szCs w:val="24"/>
              </w:rPr>
              <w:t>76,92</w:t>
            </w:r>
          </w:p>
        </w:tc>
        <w:tc>
          <w:tcPr>
            <w:tcW w:w="992" w:type="dxa"/>
            <w:tcBorders>
              <w:top w:val="single" w:sz="4" w:space="0" w:color="000000"/>
              <w:left w:val="single" w:sz="4" w:space="0" w:color="000000"/>
              <w:bottom w:val="single" w:sz="4" w:space="0" w:color="000000"/>
              <w:right w:val="single" w:sz="4" w:space="0" w:color="000000"/>
            </w:tcBorders>
            <w:vAlign w:val="center"/>
          </w:tcPr>
          <w:p w:rsidR="004F31D7" w:rsidRPr="00006A39" w:rsidRDefault="004F31D7" w:rsidP="00140862">
            <w:pPr>
              <w:widowControl w:val="0"/>
              <w:spacing w:line="276" w:lineRule="auto"/>
              <w:jc w:val="center"/>
              <w:rPr>
                <w:sz w:val="24"/>
                <w:szCs w:val="24"/>
              </w:rPr>
            </w:pPr>
            <w:r w:rsidRPr="00006A39">
              <w:rPr>
                <w:sz w:val="24"/>
                <w:szCs w:val="24"/>
              </w:rPr>
              <w:t>69,5</w:t>
            </w:r>
          </w:p>
        </w:tc>
        <w:tc>
          <w:tcPr>
            <w:tcW w:w="1560" w:type="dxa"/>
            <w:tcBorders>
              <w:top w:val="single" w:sz="4" w:space="0" w:color="000000"/>
              <w:left w:val="single" w:sz="4" w:space="0" w:color="000000"/>
              <w:bottom w:val="single" w:sz="4" w:space="0" w:color="000000"/>
              <w:right w:val="single" w:sz="4" w:space="0" w:color="000000"/>
            </w:tcBorders>
          </w:tcPr>
          <w:p w:rsidR="004F31D7" w:rsidRPr="00006A39" w:rsidRDefault="004F31D7" w:rsidP="00140862">
            <w:pPr>
              <w:widowControl w:val="0"/>
              <w:spacing w:line="276" w:lineRule="auto"/>
              <w:jc w:val="center"/>
              <w:rPr>
                <w:sz w:val="24"/>
                <w:szCs w:val="24"/>
              </w:rPr>
            </w:pPr>
            <w:r w:rsidRPr="00006A39">
              <w:rPr>
                <w:sz w:val="24"/>
                <w:szCs w:val="24"/>
              </w:rPr>
              <w:t>0,896</w:t>
            </w:r>
          </w:p>
          <w:p w:rsidR="004F31D7" w:rsidRPr="00006A39" w:rsidRDefault="004F31D7" w:rsidP="00140862">
            <w:pPr>
              <w:widowControl w:val="0"/>
              <w:spacing w:line="276" w:lineRule="auto"/>
              <w:jc w:val="center"/>
              <w:rPr>
                <w:sz w:val="24"/>
                <w:szCs w:val="24"/>
              </w:rPr>
            </w:pPr>
            <w:r w:rsidRPr="00006A39">
              <w:rPr>
                <w:sz w:val="24"/>
                <w:szCs w:val="24"/>
              </w:rPr>
              <w:t>0,891-0,901</w:t>
            </w:r>
          </w:p>
        </w:tc>
        <w:tc>
          <w:tcPr>
            <w:tcW w:w="992" w:type="dxa"/>
            <w:tcBorders>
              <w:top w:val="single" w:sz="4" w:space="0" w:color="000000"/>
              <w:left w:val="single" w:sz="4" w:space="0" w:color="000000"/>
              <w:bottom w:val="single" w:sz="4" w:space="0" w:color="000000"/>
              <w:right w:val="single" w:sz="4" w:space="0" w:color="000000"/>
            </w:tcBorders>
          </w:tcPr>
          <w:p w:rsidR="004F31D7" w:rsidRPr="00006A39" w:rsidRDefault="004F31D7" w:rsidP="00140862">
            <w:pPr>
              <w:widowControl w:val="0"/>
              <w:spacing w:line="276" w:lineRule="auto"/>
            </w:pPr>
            <w:r w:rsidRPr="00006A39">
              <w:rPr>
                <w:sz w:val="24"/>
                <w:szCs w:val="24"/>
              </w:rPr>
              <w:t>&lt;0,001</w:t>
            </w:r>
          </w:p>
        </w:tc>
      </w:tr>
      <w:tr w:rsidR="004F31D7" w:rsidRPr="00006A39" w:rsidTr="004F31D7">
        <w:trPr>
          <w:jc w:val="center"/>
        </w:trPr>
        <w:tc>
          <w:tcPr>
            <w:tcW w:w="5244" w:type="dxa"/>
            <w:tcBorders>
              <w:top w:val="single" w:sz="4" w:space="0" w:color="000000"/>
              <w:left w:val="single" w:sz="4" w:space="0" w:color="000000"/>
              <w:bottom w:val="single" w:sz="4" w:space="0" w:color="000000"/>
              <w:right w:val="single" w:sz="4" w:space="0" w:color="000000"/>
            </w:tcBorders>
            <w:vAlign w:val="center"/>
          </w:tcPr>
          <w:p w:rsidR="004F31D7" w:rsidRPr="00006A39" w:rsidRDefault="004F31D7" w:rsidP="00140862">
            <w:pPr>
              <w:widowControl w:val="0"/>
              <w:numPr>
                <w:ilvl w:val="0"/>
                <w:numId w:val="5"/>
              </w:numPr>
              <w:spacing w:line="276" w:lineRule="auto"/>
              <w:ind w:left="446" w:hanging="276"/>
              <w:rPr>
                <w:sz w:val="24"/>
                <w:szCs w:val="24"/>
              </w:rPr>
            </w:pPr>
            <w:r w:rsidRPr="00006A39">
              <w:rPr>
                <w:sz w:val="24"/>
                <w:szCs w:val="24"/>
              </w:rPr>
              <w:t>хвороби кістково-м’язової системи та сполучної тканини</w:t>
            </w:r>
          </w:p>
        </w:tc>
        <w:tc>
          <w:tcPr>
            <w:tcW w:w="987" w:type="dxa"/>
            <w:tcBorders>
              <w:top w:val="single" w:sz="4" w:space="0" w:color="000000"/>
              <w:left w:val="single" w:sz="4" w:space="0" w:color="000000"/>
              <w:bottom w:val="single" w:sz="4" w:space="0" w:color="000000"/>
              <w:right w:val="single" w:sz="4" w:space="0" w:color="000000"/>
            </w:tcBorders>
            <w:vAlign w:val="center"/>
          </w:tcPr>
          <w:p w:rsidR="004F31D7" w:rsidRPr="00006A39" w:rsidRDefault="004F31D7" w:rsidP="00140862">
            <w:pPr>
              <w:widowControl w:val="0"/>
              <w:spacing w:line="276" w:lineRule="auto"/>
              <w:jc w:val="center"/>
              <w:rPr>
                <w:sz w:val="24"/>
                <w:szCs w:val="24"/>
              </w:rPr>
            </w:pPr>
            <w:r w:rsidRPr="00006A39">
              <w:rPr>
                <w:sz w:val="24"/>
                <w:szCs w:val="24"/>
              </w:rPr>
              <w:t>14,48</w:t>
            </w:r>
          </w:p>
        </w:tc>
        <w:tc>
          <w:tcPr>
            <w:tcW w:w="992" w:type="dxa"/>
            <w:tcBorders>
              <w:top w:val="single" w:sz="4" w:space="0" w:color="000000"/>
              <w:left w:val="single" w:sz="4" w:space="0" w:color="000000"/>
              <w:bottom w:val="single" w:sz="4" w:space="0" w:color="000000"/>
              <w:right w:val="single" w:sz="4" w:space="0" w:color="000000"/>
            </w:tcBorders>
            <w:vAlign w:val="center"/>
          </w:tcPr>
          <w:p w:rsidR="004F31D7" w:rsidRPr="00006A39" w:rsidRDefault="004F31D7" w:rsidP="00140862">
            <w:pPr>
              <w:widowControl w:val="0"/>
              <w:spacing w:line="276" w:lineRule="auto"/>
              <w:jc w:val="center"/>
              <w:rPr>
                <w:sz w:val="24"/>
                <w:szCs w:val="24"/>
              </w:rPr>
            </w:pPr>
            <w:r w:rsidRPr="00006A39">
              <w:rPr>
                <w:sz w:val="24"/>
                <w:szCs w:val="24"/>
              </w:rPr>
              <w:t>14,3</w:t>
            </w:r>
          </w:p>
        </w:tc>
        <w:tc>
          <w:tcPr>
            <w:tcW w:w="1560" w:type="dxa"/>
            <w:tcBorders>
              <w:top w:val="single" w:sz="4" w:space="0" w:color="000000"/>
              <w:left w:val="single" w:sz="4" w:space="0" w:color="000000"/>
              <w:bottom w:val="single" w:sz="4" w:space="0" w:color="000000"/>
              <w:right w:val="single" w:sz="4" w:space="0" w:color="000000"/>
            </w:tcBorders>
          </w:tcPr>
          <w:p w:rsidR="004F31D7" w:rsidRPr="00006A39" w:rsidRDefault="004F31D7" w:rsidP="00140862">
            <w:pPr>
              <w:widowControl w:val="0"/>
              <w:spacing w:line="276" w:lineRule="auto"/>
              <w:jc w:val="center"/>
              <w:rPr>
                <w:sz w:val="24"/>
                <w:szCs w:val="24"/>
              </w:rPr>
            </w:pPr>
            <w:r w:rsidRPr="00006A39">
              <w:rPr>
                <w:sz w:val="24"/>
                <w:szCs w:val="24"/>
              </w:rPr>
              <w:t>0,987</w:t>
            </w:r>
          </w:p>
          <w:p w:rsidR="004F31D7" w:rsidRPr="00006A39" w:rsidRDefault="004F31D7" w:rsidP="00140862">
            <w:pPr>
              <w:widowControl w:val="0"/>
              <w:spacing w:line="276" w:lineRule="auto"/>
              <w:jc w:val="center"/>
              <w:rPr>
                <w:sz w:val="24"/>
                <w:szCs w:val="24"/>
              </w:rPr>
            </w:pPr>
            <w:r w:rsidRPr="00006A39">
              <w:rPr>
                <w:sz w:val="24"/>
                <w:szCs w:val="24"/>
              </w:rPr>
              <w:t>0,974-0,999</w:t>
            </w:r>
          </w:p>
        </w:tc>
        <w:tc>
          <w:tcPr>
            <w:tcW w:w="992" w:type="dxa"/>
            <w:tcBorders>
              <w:top w:val="single" w:sz="4" w:space="0" w:color="000000"/>
              <w:left w:val="single" w:sz="4" w:space="0" w:color="000000"/>
              <w:bottom w:val="single" w:sz="4" w:space="0" w:color="000000"/>
              <w:right w:val="single" w:sz="4" w:space="0" w:color="000000"/>
            </w:tcBorders>
          </w:tcPr>
          <w:p w:rsidR="004F31D7" w:rsidRPr="00006A39" w:rsidRDefault="004F31D7" w:rsidP="00140862">
            <w:pPr>
              <w:widowControl w:val="0"/>
              <w:spacing w:line="276" w:lineRule="auto"/>
            </w:pPr>
            <w:r w:rsidRPr="00006A39">
              <w:rPr>
                <w:sz w:val="24"/>
                <w:szCs w:val="24"/>
              </w:rPr>
              <w:t>&lt;0,001</w:t>
            </w:r>
          </w:p>
        </w:tc>
      </w:tr>
      <w:tr w:rsidR="004F31D7" w:rsidRPr="00006A39" w:rsidTr="004F31D7">
        <w:trPr>
          <w:jc w:val="center"/>
        </w:trPr>
        <w:tc>
          <w:tcPr>
            <w:tcW w:w="5244" w:type="dxa"/>
            <w:tcBorders>
              <w:top w:val="single" w:sz="4" w:space="0" w:color="000000"/>
              <w:left w:val="single" w:sz="4" w:space="0" w:color="000000"/>
              <w:bottom w:val="single" w:sz="4" w:space="0" w:color="000000"/>
              <w:right w:val="single" w:sz="4" w:space="0" w:color="000000"/>
            </w:tcBorders>
            <w:vAlign w:val="center"/>
          </w:tcPr>
          <w:p w:rsidR="004F31D7" w:rsidRPr="00006A39" w:rsidRDefault="004F31D7" w:rsidP="00140862">
            <w:pPr>
              <w:widowControl w:val="0"/>
              <w:numPr>
                <w:ilvl w:val="0"/>
                <w:numId w:val="5"/>
              </w:numPr>
              <w:spacing w:line="276" w:lineRule="auto"/>
              <w:ind w:left="446" w:hanging="276"/>
              <w:rPr>
                <w:sz w:val="24"/>
                <w:szCs w:val="24"/>
              </w:rPr>
            </w:pPr>
            <w:r w:rsidRPr="00006A39">
              <w:rPr>
                <w:sz w:val="24"/>
                <w:szCs w:val="24"/>
              </w:rPr>
              <w:t>хвороби сечостатевої системи</w:t>
            </w:r>
          </w:p>
        </w:tc>
        <w:tc>
          <w:tcPr>
            <w:tcW w:w="987" w:type="dxa"/>
            <w:tcBorders>
              <w:top w:val="single" w:sz="4" w:space="0" w:color="000000"/>
              <w:left w:val="single" w:sz="4" w:space="0" w:color="000000"/>
              <w:bottom w:val="single" w:sz="4" w:space="0" w:color="000000"/>
              <w:right w:val="single" w:sz="4" w:space="0" w:color="000000"/>
            </w:tcBorders>
            <w:vAlign w:val="center"/>
          </w:tcPr>
          <w:p w:rsidR="004F31D7" w:rsidRPr="00006A39" w:rsidRDefault="004F31D7" w:rsidP="00140862">
            <w:pPr>
              <w:widowControl w:val="0"/>
              <w:spacing w:line="276" w:lineRule="auto"/>
              <w:jc w:val="center"/>
              <w:rPr>
                <w:sz w:val="24"/>
                <w:szCs w:val="24"/>
              </w:rPr>
            </w:pPr>
            <w:r w:rsidRPr="00006A39">
              <w:rPr>
                <w:sz w:val="24"/>
                <w:szCs w:val="24"/>
              </w:rPr>
              <w:t>22,07</w:t>
            </w:r>
          </w:p>
        </w:tc>
        <w:tc>
          <w:tcPr>
            <w:tcW w:w="992" w:type="dxa"/>
            <w:tcBorders>
              <w:top w:val="single" w:sz="4" w:space="0" w:color="000000"/>
              <w:left w:val="single" w:sz="4" w:space="0" w:color="000000"/>
              <w:bottom w:val="single" w:sz="4" w:space="0" w:color="000000"/>
              <w:right w:val="single" w:sz="4" w:space="0" w:color="000000"/>
            </w:tcBorders>
            <w:vAlign w:val="center"/>
          </w:tcPr>
          <w:p w:rsidR="004F31D7" w:rsidRPr="00006A39" w:rsidRDefault="004F31D7" w:rsidP="00140862">
            <w:pPr>
              <w:widowControl w:val="0"/>
              <w:spacing w:line="276" w:lineRule="auto"/>
              <w:jc w:val="center"/>
              <w:rPr>
                <w:sz w:val="24"/>
                <w:szCs w:val="24"/>
              </w:rPr>
            </w:pPr>
            <w:r w:rsidRPr="00006A39">
              <w:rPr>
                <w:sz w:val="24"/>
                <w:szCs w:val="24"/>
              </w:rPr>
              <w:t>20,17</w:t>
            </w:r>
          </w:p>
        </w:tc>
        <w:tc>
          <w:tcPr>
            <w:tcW w:w="1560" w:type="dxa"/>
            <w:tcBorders>
              <w:top w:val="single" w:sz="4" w:space="0" w:color="000000"/>
              <w:left w:val="single" w:sz="4" w:space="0" w:color="000000"/>
              <w:bottom w:val="single" w:sz="4" w:space="0" w:color="000000"/>
              <w:right w:val="single" w:sz="4" w:space="0" w:color="000000"/>
            </w:tcBorders>
          </w:tcPr>
          <w:p w:rsidR="004F31D7" w:rsidRPr="00006A39" w:rsidRDefault="004F31D7" w:rsidP="00140862">
            <w:pPr>
              <w:widowControl w:val="0"/>
              <w:spacing w:line="276" w:lineRule="auto"/>
              <w:jc w:val="center"/>
              <w:rPr>
                <w:sz w:val="24"/>
                <w:szCs w:val="24"/>
              </w:rPr>
            </w:pPr>
            <w:r w:rsidRPr="00006A39">
              <w:rPr>
                <w:sz w:val="24"/>
                <w:szCs w:val="24"/>
              </w:rPr>
              <w:t>0,910</w:t>
            </w:r>
          </w:p>
          <w:p w:rsidR="004F31D7" w:rsidRPr="00006A39" w:rsidRDefault="004F31D7" w:rsidP="00140862">
            <w:pPr>
              <w:widowControl w:val="0"/>
              <w:spacing w:line="276" w:lineRule="auto"/>
              <w:jc w:val="center"/>
              <w:rPr>
                <w:sz w:val="24"/>
                <w:szCs w:val="24"/>
              </w:rPr>
            </w:pPr>
            <w:r w:rsidRPr="00006A39">
              <w:rPr>
                <w:sz w:val="24"/>
                <w:szCs w:val="24"/>
              </w:rPr>
              <w:t>0,900-0,919</w:t>
            </w:r>
          </w:p>
        </w:tc>
        <w:tc>
          <w:tcPr>
            <w:tcW w:w="992" w:type="dxa"/>
            <w:tcBorders>
              <w:top w:val="single" w:sz="4" w:space="0" w:color="000000"/>
              <w:left w:val="single" w:sz="4" w:space="0" w:color="000000"/>
              <w:bottom w:val="single" w:sz="4" w:space="0" w:color="000000"/>
              <w:right w:val="single" w:sz="4" w:space="0" w:color="000000"/>
            </w:tcBorders>
          </w:tcPr>
          <w:p w:rsidR="004F31D7" w:rsidRPr="00006A39" w:rsidRDefault="004F31D7" w:rsidP="00140862">
            <w:pPr>
              <w:widowControl w:val="0"/>
              <w:spacing w:line="276" w:lineRule="auto"/>
            </w:pPr>
            <w:r w:rsidRPr="00006A39">
              <w:rPr>
                <w:sz w:val="24"/>
                <w:szCs w:val="24"/>
              </w:rPr>
              <w:t>&lt;0,001</w:t>
            </w:r>
          </w:p>
        </w:tc>
      </w:tr>
      <w:tr w:rsidR="004F31D7" w:rsidRPr="00006A39" w:rsidTr="004F31D7">
        <w:trPr>
          <w:jc w:val="center"/>
        </w:trPr>
        <w:tc>
          <w:tcPr>
            <w:tcW w:w="5244" w:type="dxa"/>
            <w:tcBorders>
              <w:top w:val="single" w:sz="4" w:space="0" w:color="000000"/>
              <w:left w:val="single" w:sz="4" w:space="0" w:color="000000"/>
              <w:bottom w:val="single" w:sz="4" w:space="0" w:color="000000"/>
              <w:right w:val="single" w:sz="4" w:space="0" w:color="000000"/>
            </w:tcBorders>
            <w:vAlign w:val="center"/>
          </w:tcPr>
          <w:p w:rsidR="004F31D7" w:rsidRPr="00006A39" w:rsidRDefault="004F31D7" w:rsidP="00140862">
            <w:pPr>
              <w:widowControl w:val="0"/>
              <w:numPr>
                <w:ilvl w:val="0"/>
                <w:numId w:val="5"/>
              </w:numPr>
              <w:spacing w:line="276" w:lineRule="auto"/>
              <w:ind w:left="446" w:hanging="276"/>
              <w:rPr>
                <w:sz w:val="24"/>
                <w:szCs w:val="24"/>
              </w:rPr>
            </w:pPr>
            <w:r w:rsidRPr="00006A39">
              <w:rPr>
                <w:sz w:val="24"/>
                <w:szCs w:val="24"/>
              </w:rPr>
              <w:t xml:space="preserve">природжені вади розвитку, деформації та хромосомні аномалії </w:t>
            </w:r>
          </w:p>
        </w:tc>
        <w:tc>
          <w:tcPr>
            <w:tcW w:w="987" w:type="dxa"/>
            <w:tcBorders>
              <w:top w:val="single" w:sz="4" w:space="0" w:color="000000"/>
              <w:left w:val="single" w:sz="4" w:space="0" w:color="000000"/>
              <w:bottom w:val="single" w:sz="4" w:space="0" w:color="000000"/>
              <w:right w:val="single" w:sz="4" w:space="0" w:color="000000"/>
            </w:tcBorders>
            <w:vAlign w:val="center"/>
          </w:tcPr>
          <w:p w:rsidR="004F31D7" w:rsidRPr="00006A39" w:rsidRDefault="004F31D7" w:rsidP="00140862">
            <w:pPr>
              <w:widowControl w:val="0"/>
              <w:spacing w:line="276" w:lineRule="auto"/>
              <w:jc w:val="center"/>
              <w:rPr>
                <w:sz w:val="24"/>
                <w:szCs w:val="24"/>
              </w:rPr>
            </w:pPr>
            <w:r w:rsidRPr="00006A39">
              <w:rPr>
                <w:sz w:val="24"/>
                <w:szCs w:val="24"/>
              </w:rPr>
              <w:t>11,28</w:t>
            </w:r>
          </w:p>
        </w:tc>
        <w:tc>
          <w:tcPr>
            <w:tcW w:w="992" w:type="dxa"/>
            <w:tcBorders>
              <w:top w:val="single" w:sz="4" w:space="0" w:color="000000"/>
              <w:left w:val="single" w:sz="4" w:space="0" w:color="000000"/>
              <w:bottom w:val="single" w:sz="4" w:space="0" w:color="000000"/>
              <w:right w:val="single" w:sz="4" w:space="0" w:color="000000"/>
            </w:tcBorders>
            <w:vAlign w:val="center"/>
          </w:tcPr>
          <w:p w:rsidR="004F31D7" w:rsidRPr="00006A39" w:rsidRDefault="004F31D7" w:rsidP="00140862">
            <w:pPr>
              <w:widowControl w:val="0"/>
              <w:spacing w:line="276" w:lineRule="auto"/>
              <w:jc w:val="center"/>
              <w:rPr>
                <w:sz w:val="24"/>
                <w:szCs w:val="24"/>
              </w:rPr>
            </w:pPr>
            <w:r w:rsidRPr="00006A39">
              <w:rPr>
                <w:sz w:val="24"/>
                <w:szCs w:val="24"/>
              </w:rPr>
              <w:t>9,99</w:t>
            </w:r>
          </w:p>
        </w:tc>
        <w:tc>
          <w:tcPr>
            <w:tcW w:w="1560" w:type="dxa"/>
            <w:tcBorders>
              <w:top w:val="single" w:sz="4" w:space="0" w:color="000000"/>
              <w:left w:val="single" w:sz="4" w:space="0" w:color="000000"/>
              <w:bottom w:val="single" w:sz="4" w:space="0" w:color="000000"/>
              <w:right w:val="single" w:sz="4" w:space="0" w:color="000000"/>
            </w:tcBorders>
          </w:tcPr>
          <w:p w:rsidR="004F31D7" w:rsidRPr="00006A39" w:rsidRDefault="004F31D7" w:rsidP="00140862">
            <w:pPr>
              <w:widowControl w:val="0"/>
              <w:spacing w:line="276" w:lineRule="auto"/>
              <w:jc w:val="center"/>
              <w:rPr>
                <w:sz w:val="24"/>
                <w:szCs w:val="24"/>
              </w:rPr>
            </w:pPr>
            <w:r w:rsidRPr="00006A39">
              <w:rPr>
                <w:sz w:val="24"/>
                <w:szCs w:val="24"/>
              </w:rPr>
              <w:t>0,885</w:t>
            </w:r>
          </w:p>
          <w:p w:rsidR="004F31D7" w:rsidRPr="00006A39" w:rsidRDefault="004F31D7" w:rsidP="00140862">
            <w:pPr>
              <w:widowControl w:val="0"/>
              <w:spacing w:line="276" w:lineRule="auto"/>
              <w:jc w:val="center"/>
              <w:rPr>
                <w:sz w:val="24"/>
                <w:szCs w:val="24"/>
              </w:rPr>
            </w:pPr>
            <w:r w:rsidRPr="00006A39">
              <w:rPr>
                <w:sz w:val="24"/>
                <w:szCs w:val="24"/>
              </w:rPr>
              <w:t>0,871-0,898</w:t>
            </w:r>
          </w:p>
        </w:tc>
        <w:tc>
          <w:tcPr>
            <w:tcW w:w="992" w:type="dxa"/>
            <w:tcBorders>
              <w:top w:val="single" w:sz="4" w:space="0" w:color="000000"/>
              <w:left w:val="single" w:sz="4" w:space="0" w:color="000000"/>
              <w:bottom w:val="single" w:sz="4" w:space="0" w:color="000000"/>
              <w:right w:val="single" w:sz="4" w:space="0" w:color="000000"/>
            </w:tcBorders>
          </w:tcPr>
          <w:p w:rsidR="004F31D7" w:rsidRPr="00006A39" w:rsidRDefault="004F31D7" w:rsidP="00140862">
            <w:pPr>
              <w:widowControl w:val="0"/>
              <w:spacing w:line="276" w:lineRule="auto"/>
            </w:pPr>
            <w:r w:rsidRPr="00006A39">
              <w:rPr>
                <w:sz w:val="24"/>
                <w:szCs w:val="24"/>
              </w:rPr>
              <w:t>&lt;0,001</w:t>
            </w:r>
          </w:p>
        </w:tc>
      </w:tr>
      <w:tr w:rsidR="004F31D7" w:rsidRPr="00006A39" w:rsidTr="004F31D7">
        <w:trPr>
          <w:trHeight w:val="633"/>
          <w:jc w:val="center"/>
        </w:trPr>
        <w:tc>
          <w:tcPr>
            <w:tcW w:w="5244" w:type="dxa"/>
            <w:tcBorders>
              <w:top w:val="single" w:sz="4" w:space="0" w:color="000000"/>
              <w:left w:val="single" w:sz="4" w:space="0" w:color="000000"/>
              <w:bottom w:val="single" w:sz="4" w:space="0" w:color="000000"/>
              <w:right w:val="single" w:sz="4" w:space="0" w:color="000000"/>
            </w:tcBorders>
            <w:vAlign w:val="center"/>
          </w:tcPr>
          <w:p w:rsidR="004F31D7" w:rsidRPr="00006A39" w:rsidRDefault="004F31D7" w:rsidP="00140862">
            <w:pPr>
              <w:widowControl w:val="0"/>
              <w:numPr>
                <w:ilvl w:val="0"/>
                <w:numId w:val="5"/>
              </w:numPr>
              <w:spacing w:line="276" w:lineRule="auto"/>
              <w:ind w:left="446" w:hanging="276"/>
              <w:rPr>
                <w:sz w:val="24"/>
                <w:szCs w:val="24"/>
              </w:rPr>
            </w:pPr>
            <w:r w:rsidRPr="00006A39">
              <w:rPr>
                <w:sz w:val="24"/>
                <w:szCs w:val="24"/>
              </w:rPr>
              <w:t xml:space="preserve">симптоми, ознаки та відхилення від норми, </w:t>
            </w:r>
          </w:p>
          <w:p w:rsidR="004F31D7" w:rsidRPr="00006A39" w:rsidRDefault="004F31D7" w:rsidP="00140862">
            <w:pPr>
              <w:widowControl w:val="0"/>
              <w:spacing w:line="276" w:lineRule="auto"/>
              <w:ind w:left="446" w:hanging="276"/>
              <w:rPr>
                <w:sz w:val="24"/>
                <w:szCs w:val="24"/>
              </w:rPr>
            </w:pPr>
            <w:r w:rsidRPr="00006A39">
              <w:rPr>
                <w:sz w:val="24"/>
                <w:szCs w:val="24"/>
              </w:rPr>
              <w:t xml:space="preserve">      що виявлені при клінічних та лабораторних </w:t>
            </w:r>
            <w:r w:rsidR="007441A1">
              <w:rPr>
                <w:sz w:val="24"/>
                <w:szCs w:val="24"/>
              </w:rPr>
              <w:t xml:space="preserve">  </w:t>
            </w:r>
            <w:r w:rsidRPr="00006A39">
              <w:rPr>
                <w:sz w:val="24"/>
                <w:szCs w:val="24"/>
              </w:rPr>
              <w:t xml:space="preserve">дослідженнях, не класифіковані </w:t>
            </w:r>
          </w:p>
          <w:p w:rsidR="004F31D7" w:rsidRPr="00006A39" w:rsidRDefault="007441A1" w:rsidP="00140862">
            <w:pPr>
              <w:widowControl w:val="0"/>
              <w:spacing w:line="276" w:lineRule="auto"/>
              <w:ind w:left="446" w:hanging="276"/>
              <w:rPr>
                <w:sz w:val="24"/>
                <w:szCs w:val="24"/>
              </w:rPr>
            </w:pPr>
            <w:r>
              <w:rPr>
                <w:sz w:val="24"/>
                <w:szCs w:val="24"/>
              </w:rPr>
              <w:t xml:space="preserve">     </w:t>
            </w:r>
            <w:r w:rsidR="004F31D7" w:rsidRPr="00006A39">
              <w:rPr>
                <w:sz w:val="24"/>
                <w:szCs w:val="24"/>
              </w:rPr>
              <w:t>в інших рубриках</w:t>
            </w:r>
          </w:p>
        </w:tc>
        <w:tc>
          <w:tcPr>
            <w:tcW w:w="987" w:type="dxa"/>
            <w:tcBorders>
              <w:top w:val="single" w:sz="4" w:space="0" w:color="000000"/>
              <w:left w:val="single" w:sz="4" w:space="0" w:color="000000"/>
              <w:bottom w:val="single" w:sz="4" w:space="0" w:color="000000"/>
              <w:right w:val="single" w:sz="4" w:space="0" w:color="000000"/>
            </w:tcBorders>
            <w:vAlign w:val="center"/>
          </w:tcPr>
          <w:p w:rsidR="004F31D7" w:rsidRPr="00006A39" w:rsidRDefault="004F31D7" w:rsidP="00140862">
            <w:pPr>
              <w:widowControl w:val="0"/>
              <w:spacing w:line="276" w:lineRule="auto"/>
              <w:jc w:val="center"/>
              <w:rPr>
                <w:sz w:val="24"/>
                <w:szCs w:val="24"/>
              </w:rPr>
            </w:pPr>
            <w:r w:rsidRPr="00006A39">
              <w:rPr>
                <w:sz w:val="24"/>
                <w:szCs w:val="24"/>
              </w:rPr>
              <w:t>2,47</w:t>
            </w:r>
          </w:p>
        </w:tc>
        <w:tc>
          <w:tcPr>
            <w:tcW w:w="992" w:type="dxa"/>
            <w:tcBorders>
              <w:top w:val="single" w:sz="4" w:space="0" w:color="000000"/>
              <w:left w:val="single" w:sz="4" w:space="0" w:color="000000"/>
              <w:bottom w:val="single" w:sz="4" w:space="0" w:color="000000"/>
              <w:right w:val="single" w:sz="4" w:space="0" w:color="000000"/>
            </w:tcBorders>
            <w:vAlign w:val="center"/>
          </w:tcPr>
          <w:p w:rsidR="004F31D7" w:rsidRPr="00006A39" w:rsidRDefault="004F31D7" w:rsidP="00140862">
            <w:pPr>
              <w:widowControl w:val="0"/>
              <w:spacing w:line="276" w:lineRule="auto"/>
              <w:jc w:val="center"/>
              <w:rPr>
                <w:sz w:val="24"/>
                <w:szCs w:val="24"/>
              </w:rPr>
            </w:pPr>
            <w:r w:rsidRPr="00006A39">
              <w:rPr>
                <w:sz w:val="24"/>
                <w:szCs w:val="24"/>
              </w:rPr>
              <w:t>2,61</w:t>
            </w:r>
          </w:p>
        </w:tc>
        <w:tc>
          <w:tcPr>
            <w:tcW w:w="1560" w:type="dxa"/>
            <w:tcBorders>
              <w:top w:val="single" w:sz="4" w:space="0" w:color="000000"/>
              <w:left w:val="single" w:sz="4" w:space="0" w:color="000000"/>
              <w:bottom w:val="single" w:sz="4" w:space="0" w:color="000000"/>
              <w:right w:val="single" w:sz="4" w:space="0" w:color="000000"/>
            </w:tcBorders>
          </w:tcPr>
          <w:p w:rsidR="004F31D7" w:rsidRPr="00006A39" w:rsidRDefault="004F31D7" w:rsidP="00140862">
            <w:pPr>
              <w:widowControl w:val="0"/>
              <w:spacing w:line="276" w:lineRule="auto"/>
              <w:jc w:val="center"/>
              <w:rPr>
                <w:sz w:val="24"/>
                <w:szCs w:val="24"/>
              </w:rPr>
            </w:pPr>
            <w:r w:rsidRPr="00006A39">
              <w:rPr>
                <w:sz w:val="24"/>
                <w:szCs w:val="24"/>
              </w:rPr>
              <w:t>1,055</w:t>
            </w:r>
          </w:p>
          <w:p w:rsidR="004F31D7" w:rsidRPr="00006A39" w:rsidRDefault="004F31D7" w:rsidP="00140862">
            <w:pPr>
              <w:widowControl w:val="0"/>
              <w:spacing w:line="276" w:lineRule="auto"/>
              <w:jc w:val="center"/>
              <w:rPr>
                <w:sz w:val="24"/>
                <w:szCs w:val="24"/>
              </w:rPr>
            </w:pPr>
            <w:r w:rsidRPr="00006A39">
              <w:rPr>
                <w:sz w:val="24"/>
                <w:szCs w:val="24"/>
              </w:rPr>
              <w:t>1,023-1,088</w:t>
            </w:r>
          </w:p>
        </w:tc>
        <w:tc>
          <w:tcPr>
            <w:tcW w:w="992" w:type="dxa"/>
            <w:tcBorders>
              <w:top w:val="single" w:sz="4" w:space="0" w:color="000000"/>
              <w:left w:val="single" w:sz="4" w:space="0" w:color="000000"/>
              <w:bottom w:val="single" w:sz="4" w:space="0" w:color="000000"/>
              <w:right w:val="single" w:sz="4" w:space="0" w:color="000000"/>
            </w:tcBorders>
          </w:tcPr>
          <w:p w:rsidR="004F31D7" w:rsidRPr="00006A39" w:rsidRDefault="004F31D7" w:rsidP="00140862">
            <w:pPr>
              <w:widowControl w:val="0"/>
              <w:spacing w:line="276" w:lineRule="auto"/>
            </w:pPr>
            <w:r w:rsidRPr="00006A39">
              <w:rPr>
                <w:sz w:val="24"/>
                <w:szCs w:val="24"/>
              </w:rPr>
              <w:t>0,0005</w:t>
            </w:r>
          </w:p>
        </w:tc>
      </w:tr>
      <w:tr w:rsidR="004F31D7" w:rsidRPr="00006A39" w:rsidTr="004F31D7">
        <w:trPr>
          <w:jc w:val="center"/>
        </w:trPr>
        <w:tc>
          <w:tcPr>
            <w:tcW w:w="5244" w:type="dxa"/>
            <w:tcBorders>
              <w:top w:val="single" w:sz="4" w:space="0" w:color="000000"/>
              <w:left w:val="single" w:sz="4" w:space="0" w:color="000000"/>
              <w:bottom w:val="single" w:sz="4" w:space="0" w:color="000000"/>
              <w:right w:val="single" w:sz="4" w:space="0" w:color="000000"/>
            </w:tcBorders>
            <w:vAlign w:val="center"/>
          </w:tcPr>
          <w:p w:rsidR="004F31D7" w:rsidRPr="00006A39" w:rsidRDefault="004F31D7" w:rsidP="00140862">
            <w:pPr>
              <w:widowControl w:val="0"/>
              <w:numPr>
                <w:ilvl w:val="0"/>
                <w:numId w:val="5"/>
              </w:numPr>
              <w:spacing w:line="276" w:lineRule="auto"/>
              <w:ind w:left="446" w:hanging="276"/>
              <w:rPr>
                <w:sz w:val="24"/>
                <w:szCs w:val="24"/>
              </w:rPr>
            </w:pPr>
            <w:r w:rsidRPr="00006A39">
              <w:rPr>
                <w:sz w:val="24"/>
                <w:szCs w:val="24"/>
              </w:rPr>
              <w:t>травми, отруєння та деякі інші наслідки дії зовнішніх чинників</w:t>
            </w:r>
          </w:p>
        </w:tc>
        <w:tc>
          <w:tcPr>
            <w:tcW w:w="987" w:type="dxa"/>
            <w:tcBorders>
              <w:top w:val="single" w:sz="4" w:space="0" w:color="000000"/>
              <w:left w:val="single" w:sz="4" w:space="0" w:color="000000"/>
              <w:bottom w:val="single" w:sz="4" w:space="0" w:color="000000"/>
              <w:right w:val="single" w:sz="4" w:space="0" w:color="000000"/>
            </w:tcBorders>
            <w:vAlign w:val="center"/>
          </w:tcPr>
          <w:p w:rsidR="004F31D7" w:rsidRPr="00006A39" w:rsidRDefault="004F31D7" w:rsidP="00140862">
            <w:pPr>
              <w:widowControl w:val="0"/>
              <w:spacing w:line="276" w:lineRule="auto"/>
              <w:jc w:val="center"/>
              <w:rPr>
                <w:sz w:val="24"/>
                <w:szCs w:val="24"/>
              </w:rPr>
            </w:pPr>
            <w:r w:rsidRPr="00006A39">
              <w:rPr>
                <w:sz w:val="24"/>
                <w:szCs w:val="24"/>
              </w:rPr>
              <w:t>35,85</w:t>
            </w:r>
          </w:p>
        </w:tc>
        <w:tc>
          <w:tcPr>
            <w:tcW w:w="992" w:type="dxa"/>
            <w:tcBorders>
              <w:top w:val="single" w:sz="4" w:space="0" w:color="000000"/>
              <w:left w:val="single" w:sz="4" w:space="0" w:color="000000"/>
              <w:bottom w:val="single" w:sz="4" w:space="0" w:color="000000"/>
              <w:right w:val="single" w:sz="4" w:space="0" w:color="000000"/>
            </w:tcBorders>
            <w:vAlign w:val="center"/>
          </w:tcPr>
          <w:p w:rsidR="004F31D7" w:rsidRPr="00006A39" w:rsidRDefault="004F31D7" w:rsidP="00140862">
            <w:pPr>
              <w:widowControl w:val="0"/>
              <w:spacing w:line="276" w:lineRule="auto"/>
              <w:jc w:val="center"/>
              <w:rPr>
                <w:sz w:val="24"/>
                <w:szCs w:val="24"/>
              </w:rPr>
            </w:pPr>
            <w:r w:rsidRPr="00006A39">
              <w:rPr>
                <w:sz w:val="24"/>
                <w:szCs w:val="24"/>
              </w:rPr>
              <w:t>33,9</w:t>
            </w:r>
          </w:p>
        </w:tc>
        <w:tc>
          <w:tcPr>
            <w:tcW w:w="1560" w:type="dxa"/>
            <w:tcBorders>
              <w:top w:val="single" w:sz="4" w:space="0" w:color="000000"/>
              <w:left w:val="single" w:sz="4" w:space="0" w:color="000000"/>
              <w:bottom w:val="single" w:sz="4" w:space="0" w:color="000000"/>
              <w:right w:val="single" w:sz="4" w:space="0" w:color="000000"/>
            </w:tcBorders>
          </w:tcPr>
          <w:p w:rsidR="004F31D7" w:rsidRPr="00006A39" w:rsidRDefault="004F31D7" w:rsidP="00140862">
            <w:pPr>
              <w:widowControl w:val="0"/>
              <w:spacing w:line="276" w:lineRule="auto"/>
              <w:jc w:val="center"/>
              <w:rPr>
                <w:sz w:val="24"/>
                <w:szCs w:val="24"/>
              </w:rPr>
            </w:pPr>
            <w:r w:rsidRPr="00006A39">
              <w:rPr>
                <w:sz w:val="24"/>
                <w:szCs w:val="24"/>
              </w:rPr>
              <w:t>0,944</w:t>
            </w:r>
          </w:p>
          <w:p w:rsidR="004F31D7" w:rsidRPr="00006A39" w:rsidRDefault="004F31D7" w:rsidP="00140862">
            <w:pPr>
              <w:widowControl w:val="0"/>
              <w:spacing w:line="276" w:lineRule="auto"/>
              <w:jc w:val="center"/>
              <w:rPr>
                <w:sz w:val="24"/>
                <w:szCs w:val="24"/>
              </w:rPr>
            </w:pPr>
            <w:r w:rsidRPr="00006A39">
              <w:rPr>
                <w:sz w:val="24"/>
                <w:szCs w:val="24"/>
              </w:rPr>
              <w:t>0,936-0,952</w:t>
            </w:r>
          </w:p>
        </w:tc>
        <w:tc>
          <w:tcPr>
            <w:tcW w:w="992" w:type="dxa"/>
            <w:tcBorders>
              <w:top w:val="single" w:sz="4" w:space="0" w:color="000000"/>
              <w:left w:val="single" w:sz="4" w:space="0" w:color="000000"/>
              <w:bottom w:val="single" w:sz="4" w:space="0" w:color="000000"/>
              <w:right w:val="single" w:sz="4" w:space="0" w:color="000000"/>
            </w:tcBorders>
          </w:tcPr>
          <w:p w:rsidR="004F31D7" w:rsidRPr="00006A39" w:rsidRDefault="004F31D7" w:rsidP="00140862">
            <w:pPr>
              <w:widowControl w:val="0"/>
              <w:spacing w:line="276" w:lineRule="auto"/>
            </w:pPr>
            <w:r w:rsidRPr="00006A39">
              <w:rPr>
                <w:sz w:val="24"/>
                <w:szCs w:val="24"/>
              </w:rPr>
              <w:t>&lt;0,001</w:t>
            </w:r>
          </w:p>
        </w:tc>
      </w:tr>
    </w:tbl>
    <w:p w:rsidR="00D566FA" w:rsidRDefault="00D566FA" w:rsidP="00EC0DEB">
      <w:pPr>
        <w:widowControl w:val="0"/>
        <w:ind w:firstLine="709"/>
        <w:rPr>
          <w:bCs/>
          <w:szCs w:val="28"/>
        </w:rPr>
      </w:pPr>
    </w:p>
    <w:p w:rsidR="000B580D" w:rsidRPr="00006A39" w:rsidRDefault="004F31D7" w:rsidP="00EC0DEB">
      <w:pPr>
        <w:widowControl w:val="0"/>
        <w:ind w:firstLine="709"/>
        <w:rPr>
          <w:bCs/>
          <w:szCs w:val="28"/>
        </w:rPr>
      </w:pPr>
      <w:r w:rsidRPr="00006A39">
        <w:rPr>
          <w:bCs/>
          <w:szCs w:val="28"/>
        </w:rPr>
        <w:lastRenderedPageBreak/>
        <w:t xml:space="preserve">Зважаючи </w:t>
      </w:r>
      <w:r w:rsidR="000B580D">
        <w:rPr>
          <w:bCs/>
          <w:szCs w:val="28"/>
        </w:rPr>
        <w:t xml:space="preserve">в цілому </w:t>
      </w:r>
      <w:r w:rsidRPr="00006A39">
        <w:rPr>
          <w:bCs/>
          <w:szCs w:val="28"/>
        </w:rPr>
        <w:t xml:space="preserve">на спадну динаміку показника захворюваності у віковій категорії 0-6 років за даними </w:t>
      </w:r>
      <w:r w:rsidR="00D93A02" w:rsidRPr="00D93A02">
        <w:rPr>
          <w:bCs/>
          <w:szCs w:val="28"/>
        </w:rPr>
        <w:t>ДЗ ЦМС МОЗ України</w:t>
      </w:r>
      <w:r w:rsidR="000B580D">
        <w:rPr>
          <w:bCs/>
          <w:szCs w:val="28"/>
        </w:rPr>
        <w:t xml:space="preserve"> протягом 2013-2017 рр.</w:t>
      </w:r>
      <w:r w:rsidR="008B7806">
        <w:rPr>
          <w:bCs/>
          <w:szCs w:val="28"/>
        </w:rPr>
        <w:t>, нами</w:t>
      </w:r>
      <w:r w:rsidRPr="00006A39">
        <w:rPr>
          <w:bCs/>
          <w:szCs w:val="28"/>
        </w:rPr>
        <w:t xml:space="preserve"> проанал</w:t>
      </w:r>
      <w:r w:rsidR="008B7806">
        <w:rPr>
          <w:bCs/>
          <w:szCs w:val="28"/>
        </w:rPr>
        <w:t>ізовано</w:t>
      </w:r>
      <w:r w:rsidRPr="000B580D">
        <w:rPr>
          <w:bCs/>
          <w:szCs w:val="28"/>
        </w:rPr>
        <w:t xml:space="preserve"> динам</w:t>
      </w:r>
      <w:r w:rsidR="00EE41DF">
        <w:rPr>
          <w:bCs/>
          <w:szCs w:val="28"/>
        </w:rPr>
        <w:t>і</w:t>
      </w:r>
      <w:r w:rsidRPr="000B580D">
        <w:rPr>
          <w:bCs/>
          <w:szCs w:val="28"/>
        </w:rPr>
        <w:t>ку вказаного показника за даними глобальної бази тягаря хвороб</w:t>
      </w:r>
      <w:r w:rsidRPr="00006A39">
        <w:rPr>
          <w:bCs/>
          <w:szCs w:val="28"/>
        </w:rPr>
        <w:t>. Як свідчать</w:t>
      </w:r>
      <w:r w:rsidR="000A13AC">
        <w:rPr>
          <w:bCs/>
          <w:szCs w:val="28"/>
        </w:rPr>
        <w:t xml:space="preserve"> дані</w:t>
      </w:r>
      <w:r w:rsidRPr="00006A39">
        <w:rPr>
          <w:bCs/>
          <w:szCs w:val="28"/>
        </w:rPr>
        <w:t>, в Україні</w:t>
      </w:r>
      <w:r w:rsidR="00DA0605">
        <w:rPr>
          <w:bCs/>
          <w:szCs w:val="28"/>
        </w:rPr>
        <w:t xml:space="preserve"> </w:t>
      </w:r>
      <w:r w:rsidRPr="00006A39">
        <w:rPr>
          <w:bCs/>
          <w:szCs w:val="28"/>
        </w:rPr>
        <w:t>спостерігається один з найнижчих показників захворюваності</w:t>
      </w:r>
      <w:r w:rsidR="00DA0605">
        <w:rPr>
          <w:bCs/>
          <w:szCs w:val="28"/>
        </w:rPr>
        <w:t xml:space="preserve"> в порівнянні</w:t>
      </w:r>
      <w:r w:rsidR="00DA0605" w:rsidRPr="00DA0605">
        <w:rPr>
          <w:bCs/>
          <w:szCs w:val="28"/>
        </w:rPr>
        <w:t xml:space="preserve"> з ін</w:t>
      </w:r>
      <w:r w:rsidR="00DA0605">
        <w:rPr>
          <w:bCs/>
          <w:szCs w:val="28"/>
        </w:rPr>
        <w:t xml:space="preserve">шими розвиненим країнами світу </w:t>
      </w:r>
      <w:r w:rsidR="000A13AC">
        <w:rPr>
          <w:bCs/>
          <w:szCs w:val="28"/>
        </w:rPr>
        <w:t>(</w:t>
      </w:r>
      <w:r w:rsidR="00C07CC4">
        <w:rPr>
          <w:bCs/>
          <w:szCs w:val="28"/>
        </w:rPr>
        <w:t xml:space="preserve">рис. </w:t>
      </w:r>
      <w:r w:rsidR="000A13AC" w:rsidRPr="000A13AC">
        <w:rPr>
          <w:bCs/>
          <w:szCs w:val="28"/>
        </w:rPr>
        <w:t>4.3</w:t>
      </w:r>
      <w:r w:rsidR="000A13AC">
        <w:rPr>
          <w:bCs/>
          <w:szCs w:val="28"/>
        </w:rPr>
        <w:t>)</w:t>
      </w:r>
      <w:r w:rsidRPr="00006A39">
        <w:rPr>
          <w:bCs/>
          <w:szCs w:val="28"/>
        </w:rPr>
        <w:t>. Слід відмітити, що не зважаючи на значний прогрес в системі охорони здоров’я розвинених країн світу, даний показник упродовж останнього десятиріччя не знижувався, а в останні роки ма</w:t>
      </w:r>
      <w:r w:rsidR="00D50048">
        <w:rPr>
          <w:bCs/>
          <w:szCs w:val="28"/>
        </w:rPr>
        <w:t>є навіть тенденцію до зростання</w:t>
      </w:r>
      <w:r w:rsidRPr="00006A39">
        <w:rPr>
          <w:bCs/>
          <w:szCs w:val="28"/>
        </w:rPr>
        <w:t xml:space="preserve">. </w:t>
      </w:r>
      <w:r w:rsidR="00D522E2" w:rsidRPr="00D522E2">
        <w:rPr>
          <w:bCs/>
          <w:szCs w:val="28"/>
        </w:rPr>
        <w:t>Якщо показник смертності дітей у 2019 р. в Україні виявився найвищим відносно референтних країн, то показник захворюваності – нижчим за такий же показник в Англії, Іспанії, Німеччині, і ма</w:t>
      </w:r>
      <w:r w:rsidR="00D50048">
        <w:rPr>
          <w:bCs/>
          <w:szCs w:val="28"/>
        </w:rPr>
        <w:t xml:space="preserve">йже однаковий </w:t>
      </w:r>
      <w:r w:rsidR="00C94065">
        <w:rPr>
          <w:bCs/>
          <w:szCs w:val="28"/>
        </w:rPr>
        <w:t>у</w:t>
      </w:r>
      <w:r w:rsidR="00D50048">
        <w:rPr>
          <w:bCs/>
          <w:szCs w:val="28"/>
        </w:rPr>
        <w:t xml:space="preserve"> Польщі та інших референтних країнах. Це</w:t>
      </w:r>
      <w:r w:rsidR="00D522E2" w:rsidRPr="00D522E2">
        <w:rPr>
          <w:bCs/>
          <w:szCs w:val="28"/>
        </w:rPr>
        <w:t xml:space="preserve"> підтверджує висновок щодо низького виявлення хвороб</w:t>
      </w:r>
      <w:r w:rsidR="00D50048">
        <w:rPr>
          <w:bCs/>
          <w:szCs w:val="28"/>
        </w:rPr>
        <w:t>,</w:t>
      </w:r>
      <w:r w:rsidR="008B7806">
        <w:rPr>
          <w:bCs/>
          <w:szCs w:val="28"/>
        </w:rPr>
        <w:t xml:space="preserve"> що </w:t>
      </w:r>
      <w:r w:rsidR="00D522E2" w:rsidRPr="00D522E2">
        <w:rPr>
          <w:bCs/>
          <w:szCs w:val="28"/>
        </w:rPr>
        <w:t>може бути прихованим ризиком підвищення смертності дітей віком до 5 років життя</w:t>
      </w:r>
      <w:r w:rsidR="00D522E2">
        <w:rPr>
          <w:bCs/>
          <w:szCs w:val="28"/>
        </w:rPr>
        <w:t>.</w:t>
      </w:r>
    </w:p>
    <w:p w:rsidR="004F31D7" w:rsidRPr="00006A39" w:rsidRDefault="000B580D" w:rsidP="00721203">
      <w:pPr>
        <w:widowControl w:val="0"/>
        <w:tabs>
          <w:tab w:val="left" w:pos="911"/>
        </w:tabs>
        <w:rPr>
          <w:bCs/>
          <w:szCs w:val="28"/>
        </w:rPr>
      </w:pPr>
      <w:r>
        <w:rPr>
          <w:noProof/>
          <w:szCs w:val="28"/>
          <w:lang w:val="ru-RU" w:eastAsia="ru-RU"/>
        </w:rPr>
        <w:drawing>
          <wp:inline distT="0" distB="0" distL="0" distR="0" wp14:anchorId="0614726C" wp14:editId="597653C1">
            <wp:extent cx="6438123" cy="4581331"/>
            <wp:effectExtent l="0" t="0" r="20320" b="10160"/>
            <wp:docPr id="1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0B580D" w:rsidRPr="00006A39" w:rsidRDefault="004F31D7" w:rsidP="000B580D">
      <w:pPr>
        <w:widowControl w:val="0"/>
        <w:tabs>
          <w:tab w:val="left" w:pos="911"/>
        </w:tabs>
        <w:spacing w:after="120"/>
        <w:rPr>
          <w:bCs/>
          <w:szCs w:val="28"/>
        </w:rPr>
      </w:pPr>
      <w:r w:rsidRPr="00006A39">
        <w:rPr>
          <w:bCs/>
          <w:szCs w:val="28"/>
        </w:rPr>
        <w:tab/>
        <w:t>Рис.</w:t>
      </w:r>
      <w:r w:rsidR="005F158D">
        <w:rPr>
          <w:bCs/>
          <w:szCs w:val="28"/>
        </w:rPr>
        <w:t xml:space="preserve"> </w:t>
      </w:r>
      <w:r w:rsidRPr="00006A39">
        <w:rPr>
          <w:bCs/>
          <w:szCs w:val="28"/>
        </w:rPr>
        <w:t>4.3. Динаміка показника захворюваності до 5 років в Україні та розвинених країнах світу</w:t>
      </w:r>
      <w:r w:rsidR="000B580D" w:rsidRPr="000B580D">
        <w:rPr>
          <w:bCs/>
          <w:szCs w:val="28"/>
        </w:rPr>
        <w:t xml:space="preserve"> </w:t>
      </w:r>
    </w:p>
    <w:p w:rsidR="004F31D7" w:rsidRPr="00006A39" w:rsidRDefault="004F31D7" w:rsidP="00721203">
      <w:pPr>
        <w:widowControl w:val="0"/>
        <w:tabs>
          <w:tab w:val="left" w:pos="911"/>
        </w:tabs>
        <w:rPr>
          <w:bCs/>
          <w:szCs w:val="28"/>
        </w:rPr>
      </w:pPr>
      <w:r w:rsidRPr="00006A39">
        <w:rPr>
          <w:bCs/>
          <w:szCs w:val="28"/>
        </w:rPr>
        <w:lastRenderedPageBreak/>
        <w:tab/>
        <w:t>Підтвердженням на</w:t>
      </w:r>
      <w:r w:rsidR="007D196B">
        <w:rPr>
          <w:bCs/>
          <w:szCs w:val="28"/>
        </w:rPr>
        <w:t>ших попередніх висновків є</w:t>
      </w:r>
      <w:r w:rsidRPr="00006A39">
        <w:rPr>
          <w:bCs/>
          <w:szCs w:val="28"/>
        </w:rPr>
        <w:t xml:space="preserve"> одержаний негативний достовірний зв’язок між показником захворюваності та показником смертності за регресією </w:t>
      </w:r>
      <w:r w:rsidR="003A3017" w:rsidRPr="00006A39">
        <w:rPr>
          <w:bCs/>
          <w:szCs w:val="28"/>
        </w:rPr>
        <w:t>Пуассона</w:t>
      </w:r>
      <w:r w:rsidR="00D522E2">
        <w:rPr>
          <w:bCs/>
          <w:szCs w:val="28"/>
        </w:rPr>
        <w:t xml:space="preserve">, </w:t>
      </w:r>
      <w:r w:rsidRPr="0097320D">
        <w:rPr>
          <w:bCs/>
          <w:szCs w:val="28"/>
        </w:rPr>
        <w:t>наявність</w:t>
      </w:r>
      <w:r w:rsidRPr="00006A39">
        <w:rPr>
          <w:bCs/>
          <w:szCs w:val="28"/>
        </w:rPr>
        <w:t xml:space="preserve"> якого ми пояснюємо відсутністю справжніх, коректних даних щодо захворюваності дітей віком до 5 років в країні</w:t>
      </w:r>
      <w:r w:rsidR="00D522E2">
        <w:rPr>
          <w:bCs/>
          <w:szCs w:val="28"/>
        </w:rPr>
        <w:t xml:space="preserve"> (табл.</w:t>
      </w:r>
      <w:r w:rsidR="005F158D">
        <w:rPr>
          <w:bCs/>
          <w:szCs w:val="28"/>
        </w:rPr>
        <w:t xml:space="preserve"> </w:t>
      </w:r>
      <w:r w:rsidR="00D522E2">
        <w:rPr>
          <w:bCs/>
          <w:szCs w:val="28"/>
        </w:rPr>
        <w:t>4.2)</w:t>
      </w:r>
      <w:r w:rsidRPr="00006A39">
        <w:rPr>
          <w:bCs/>
          <w:szCs w:val="28"/>
        </w:rPr>
        <w:t>.</w:t>
      </w:r>
    </w:p>
    <w:p w:rsidR="004F31D7" w:rsidRPr="00006A39" w:rsidRDefault="004F31D7" w:rsidP="00721203">
      <w:pPr>
        <w:widowControl w:val="0"/>
        <w:tabs>
          <w:tab w:val="left" w:pos="911"/>
        </w:tabs>
        <w:jc w:val="right"/>
        <w:rPr>
          <w:bCs/>
          <w:i/>
          <w:szCs w:val="28"/>
        </w:rPr>
      </w:pPr>
      <w:r w:rsidRPr="00006A39">
        <w:rPr>
          <w:bCs/>
          <w:i/>
          <w:szCs w:val="28"/>
        </w:rPr>
        <w:t>Таблиця</w:t>
      </w:r>
      <w:r w:rsidR="00E83F7E" w:rsidRPr="00BF5312">
        <w:rPr>
          <w:bCs/>
          <w:i/>
          <w:szCs w:val="28"/>
        </w:rPr>
        <w:t xml:space="preserve"> </w:t>
      </w:r>
      <w:r w:rsidRPr="00006A39">
        <w:rPr>
          <w:bCs/>
          <w:i/>
          <w:szCs w:val="28"/>
        </w:rPr>
        <w:t xml:space="preserve"> 4.2</w:t>
      </w:r>
    </w:p>
    <w:p w:rsidR="004F31D7" w:rsidRDefault="004F31D7" w:rsidP="00721203">
      <w:pPr>
        <w:widowControl w:val="0"/>
        <w:tabs>
          <w:tab w:val="left" w:pos="911"/>
        </w:tabs>
        <w:jc w:val="center"/>
        <w:rPr>
          <w:b/>
          <w:bCs/>
          <w:szCs w:val="28"/>
        </w:rPr>
      </w:pPr>
      <w:r w:rsidRPr="00006A39">
        <w:rPr>
          <w:b/>
          <w:bCs/>
          <w:szCs w:val="28"/>
        </w:rPr>
        <w:t>Асоціації між показником смертності дітей віком до 5 років та показниками захворюваності та поширеності хвороб за усіма класами дітей віком 0-6 років за регресією Пуассона</w:t>
      </w:r>
    </w:p>
    <w:p w:rsidR="003826A3" w:rsidRPr="00006A39" w:rsidRDefault="003826A3" w:rsidP="00721203">
      <w:pPr>
        <w:widowControl w:val="0"/>
        <w:tabs>
          <w:tab w:val="left" w:pos="911"/>
        </w:tabs>
        <w:jc w:val="center"/>
        <w:rPr>
          <w:b/>
          <w:bCs/>
          <w:szCs w:val="28"/>
        </w:rPr>
      </w:pPr>
    </w:p>
    <w:tbl>
      <w:tblPr>
        <w:tblStyle w:val="a6"/>
        <w:tblW w:w="0" w:type="auto"/>
        <w:jc w:val="center"/>
        <w:tblLook w:val="04A0" w:firstRow="1" w:lastRow="0" w:firstColumn="1" w:lastColumn="0" w:noHBand="0" w:noVBand="1"/>
      </w:tblPr>
      <w:tblGrid>
        <w:gridCol w:w="2547"/>
        <w:gridCol w:w="1559"/>
        <w:gridCol w:w="1276"/>
        <w:gridCol w:w="2836"/>
        <w:gridCol w:w="1127"/>
      </w:tblGrid>
      <w:tr w:rsidR="004F31D7" w:rsidRPr="00006A39" w:rsidTr="0021738C">
        <w:trPr>
          <w:jc w:val="center"/>
        </w:trPr>
        <w:tc>
          <w:tcPr>
            <w:tcW w:w="2547" w:type="dxa"/>
          </w:tcPr>
          <w:p w:rsidR="004F31D7" w:rsidRPr="00006A39" w:rsidRDefault="004F31D7" w:rsidP="00DC6A6A">
            <w:pPr>
              <w:widowControl w:val="0"/>
              <w:spacing w:line="360" w:lineRule="auto"/>
              <w:jc w:val="center"/>
              <w:rPr>
                <w:rFonts w:ascii="Times New Roman" w:hAnsi="Times New Roman"/>
                <w:sz w:val="28"/>
                <w:szCs w:val="28"/>
                <w:lang w:val="uk-UA"/>
              </w:rPr>
            </w:pPr>
            <w:r w:rsidRPr="00006A39">
              <w:rPr>
                <w:rFonts w:ascii="Times New Roman" w:hAnsi="Times New Roman"/>
                <w:sz w:val="28"/>
                <w:szCs w:val="28"/>
                <w:lang w:val="uk-UA"/>
              </w:rPr>
              <w:t>Показники</w:t>
            </w:r>
          </w:p>
        </w:tc>
        <w:tc>
          <w:tcPr>
            <w:tcW w:w="1559" w:type="dxa"/>
          </w:tcPr>
          <w:p w:rsidR="004F31D7" w:rsidRPr="008C14A0" w:rsidRDefault="00383C7F" w:rsidP="00DC6A6A">
            <w:pPr>
              <w:widowControl w:val="0"/>
              <w:spacing w:line="360" w:lineRule="auto"/>
              <w:jc w:val="center"/>
              <w:rPr>
                <w:rFonts w:ascii="Times New Roman" w:hAnsi="Times New Roman"/>
                <w:sz w:val="28"/>
                <w:szCs w:val="28"/>
                <w:lang w:val="en-US"/>
              </w:rPr>
            </w:pPr>
            <w:r w:rsidRPr="00383C7F">
              <w:rPr>
                <w:rFonts w:ascii="Times New Roman" w:hAnsi="Times New Roman"/>
                <w:sz w:val="28"/>
                <w:szCs w:val="28"/>
                <w:lang w:val="en-US"/>
              </w:rPr>
              <w:t>Coef</w:t>
            </w:r>
            <w:r w:rsidRPr="00383C7F">
              <w:rPr>
                <w:rFonts w:ascii="Times New Roman" w:hAnsi="Times New Roman"/>
                <w:sz w:val="28"/>
                <w:szCs w:val="28"/>
                <w:lang w:val="uk-UA"/>
              </w:rPr>
              <w:t>.</w:t>
            </w:r>
          </w:p>
        </w:tc>
        <w:tc>
          <w:tcPr>
            <w:tcW w:w="1276" w:type="dxa"/>
          </w:tcPr>
          <w:p w:rsidR="004F31D7" w:rsidRPr="00006A39" w:rsidRDefault="004F31D7" w:rsidP="00DC6A6A">
            <w:pPr>
              <w:widowControl w:val="0"/>
              <w:spacing w:line="360" w:lineRule="auto"/>
              <w:jc w:val="center"/>
              <w:rPr>
                <w:rFonts w:ascii="Times New Roman" w:hAnsi="Times New Roman"/>
                <w:sz w:val="28"/>
                <w:szCs w:val="28"/>
                <w:lang w:val="uk-UA"/>
              </w:rPr>
            </w:pPr>
            <w:r w:rsidRPr="00006A39">
              <w:rPr>
                <w:rFonts w:ascii="Times New Roman" w:hAnsi="Times New Roman"/>
                <w:sz w:val="28"/>
                <w:szCs w:val="28"/>
                <w:lang w:val="uk-UA"/>
              </w:rPr>
              <w:t>m</w:t>
            </w:r>
          </w:p>
        </w:tc>
        <w:tc>
          <w:tcPr>
            <w:tcW w:w="2836" w:type="dxa"/>
          </w:tcPr>
          <w:p w:rsidR="004F31D7" w:rsidRPr="00006A39" w:rsidRDefault="004F31D7" w:rsidP="00DC6A6A">
            <w:pPr>
              <w:widowControl w:val="0"/>
              <w:spacing w:line="360" w:lineRule="auto"/>
              <w:jc w:val="center"/>
              <w:rPr>
                <w:rFonts w:ascii="Times New Roman" w:hAnsi="Times New Roman"/>
                <w:sz w:val="28"/>
                <w:szCs w:val="28"/>
                <w:lang w:val="uk-UA"/>
              </w:rPr>
            </w:pPr>
            <w:r w:rsidRPr="00006A39">
              <w:rPr>
                <w:rFonts w:ascii="Times New Roman" w:hAnsi="Times New Roman"/>
                <w:sz w:val="28"/>
                <w:szCs w:val="28"/>
                <w:lang w:val="uk-UA"/>
              </w:rPr>
              <w:t>95% ДI</w:t>
            </w:r>
          </w:p>
        </w:tc>
        <w:tc>
          <w:tcPr>
            <w:tcW w:w="1127" w:type="dxa"/>
          </w:tcPr>
          <w:p w:rsidR="004F31D7" w:rsidRPr="00006A39" w:rsidRDefault="004F31D7" w:rsidP="00DC6A6A">
            <w:pPr>
              <w:widowControl w:val="0"/>
              <w:spacing w:line="360" w:lineRule="auto"/>
              <w:jc w:val="center"/>
              <w:rPr>
                <w:rFonts w:ascii="Times New Roman" w:hAnsi="Times New Roman"/>
                <w:sz w:val="28"/>
                <w:szCs w:val="28"/>
                <w:lang w:val="uk-UA"/>
              </w:rPr>
            </w:pPr>
            <w:r w:rsidRPr="00006A39">
              <w:rPr>
                <w:rFonts w:ascii="Times New Roman" w:hAnsi="Times New Roman"/>
                <w:sz w:val="28"/>
                <w:szCs w:val="28"/>
                <w:lang w:val="uk-UA"/>
              </w:rPr>
              <w:t>p</w:t>
            </w:r>
          </w:p>
        </w:tc>
      </w:tr>
      <w:tr w:rsidR="004F31D7" w:rsidRPr="00006A39" w:rsidTr="0021738C">
        <w:trPr>
          <w:jc w:val="center"/>
        </w:trPr>
        <w:tc>
          <w:tcPr>
            <w:tcW w:w="2547" w:type="dxa"/>
          </w:tcPr>
          <w:p w:rsidR="004F31D7" w:rsidRPr="00006A39" w:rsidRDefault="004F31D7" w:rsidP="005A7486">
            <w:pPr>
              <w:widowControl w:val="0"/>
              <w:spacing w:line="360" w:lineRule="auto"/>
              <w:jc w:val="center"/>
              <w:rPr>
                <w:rFonts w:ascii="Times New Roman" w:hAnsi="Times New Roman"/>
                <w:sz w:val="28"/>
                <w:szCs w:val="28"/>
                <w:lang w:val="uk-UA"/>
              </w:rPr>
            </w:pPr>
            <w:r w:rsidRPr="00006A39">
              <w:rPr>
                <w:rFonts w:ascii="Times New Roman" w:hAnsi="Times New Roman"/>
                <w:sz w:val="28"/>
                <w:szCs w:val="28"/>
                <w:lang w:val="uk-UA"/>
              </w:rPr>
              <w:t>Захворюваність</w:t>
            </w:r>
          </w:p>
        </w:tc>
        <w:tc>
          <w:tcPr>
            <w:tcW w:w="1559" w:type="dxa"/>
          </w:tcPr>
          <w:p w:rsidR="004F31D7" w:rsidRPr="00006A39" w:rsidRDefault="006F4964" w:rsidP="00DC6A6A">
            <w:pPr>
              <w:widowControl w:val="0"/>
              <w:spacing w:line="360" w:lineRule="auto"/>
              <w:jc w:val="center"/>
              <w:rPr>
                <w:rFonts w:ascii="Times New Roman" w:hAnsi="Times New Roman"/>
                <w:sz w:val="28"/>
                <w:szCs w:val="28"/>
                <w:lang w:val="uk-UA"/>
              </w:rPr>
            </w:pPr>
            <w:r>
              <w:rPr>
                <w:rFonts w:ascii="Times New Roman" w:hAnsi="Times New Roman"/>
                <w:sz w:val="28"/>
                <w:szCs w:val="28"/>
                <w:lang w:val="uk-UA"/>
              </w:rPr>
              <w:t>-0,</w:t>
            </w:r>
            <w:r w:rsidR="004F31D7" w:rsidRPr="00006A39">
              <w:rPr>
                <w:rFonts w:ascii="Times New Roman" w:hAnsi="Times New Roman"/>
                <w:sz w:val="28"/>
                <w:szCs w:val="28"/>
                <w:lang w:val="uk-UA"/>
              </w:rPr>
              <w:t>000438</w:t>
            </w:r>
          </w:p>
        </w:tc>
        <w:tc>
          <w:tcPr>
            <w:tcW w:w="1276" w:type="dxa"/>
          </w:tcPr>
          <w:p w:rsidR="004F31D7" w:rsidRPr="00006A39" w:rsidRDefault="006F4964" w:rsidP="00DC6A6A">
            <w:pPr>
              <w:widowControl w:val="0"/>
              <w:spacing w:line="360" w:lineRule="auto"/>
              <w:jc w:val="center"/>
              <w:rPr>
                <w:rFonts w:ascii="Times New Roman" w:hAnsi="Times New Roman"/>
                <w:sz w:val="28"/>
                <w:szCs w:val="28"/>
                <w:lang w:val="uk-UA"/>
              </w:rPr>
            </w:pPr>
            <w:r>
              <w:rPr>
                <w:rFonts w:ascii="Times New Roman" w:hAnsi="Times New Roman"/>
                <w:sz w:val="28"/>
                <w:szCs w:val="28"/>
                <w:lang w:val="uk-UA"/>
              </w:rPr>
              <w:t>0,</w:t>
            </w:r>
            <w:r w:rsidR="004F31D7" w:rsidRPr="00006A39">
              <w:rPr>
                <w:rFonts w:ascii="Times New Roman" w:hAnsi="Times New Roman"/>
                <w:sz w:val="28"/>
                <w:szCs w:val="28"/>
                <w:lang w:val="uk-UA"/>
              </w:rPr>
              <w:t>00009</w:t>
            </w:r>
          </w:p>
        </w:tc>
        <w:tc>
          <w:tcPr>
            <w:tcW w:w="2836" w:type="dxa"/>
          </w:tcPr>
          <w:p w:rsidR="004F31D7" w:rsidRPr="00006A39" w:rsidRDefault="00DC6A6A" w:rsidP="00DC6A6A">
            <w:pPr>
              <w:widowControl w:val="0"/>
              <w:spacing w:line="360" w:lineRule="auto"/>
              <w:jc w:val="center"/>
              <w:rPr>
                <w:rFonts w:ascii="Times New Roman" w:hAnsi="Times New Roman"/>
                <w:sz w:val="28"/>
                <w:szCs w:val="28"/>
                <w:lang w:val="uk-UA"/>
              </w:rPr>
            </w:pPr>
            <w:r>
              <w:rPr>
                <w:rFonts w:ascii="Times New Roman" w:hAnsi="Times New Roman"/>
                <w:sz w:val="28"/>
                <w:szCs w:val="28"/>
                <w:lang w:val="uk-UA"/>
              </w:rPr>
              <w:t>-0,</w:t>
            </w:r>
            <w:r w:rsidR="007C2151">
              <w:rPr>
                <w:rFonts w:ascii="Times New Roman" w:hAnsi="Times New Roman"/>
                <w:sz w:val="28"/>
                <w:szCs w:val="28"/>
                <w:lang w:val="uk-UA"/>
              </w:rPr>
              <w:t>000625-(-0,</w:t>
            </w:r>
            <w:r w:rsidR="004F31D7" w:rsidRPr="00006A39">
              <w:rPr>
                <w:rFonts w:ascii="Times New Roman" w:hAnsi="Times New Roman"/>
                <w:sz w:val="28"/>
                <w:szCs w:val="28"/>
                <w:lang w:val="uk-UA"/>
              </w:rPr>
              <w:t>000252)</w:t>
            </w:r>
          </w:p>
        </w:tc>
        <w:tc>
          <w:tcPr>
            <w:tcW w:w="1127" w:type="dxa"/>
          </w:tcPr>
          <w:p w:rsidR="004F31D7" w:rsidRPr="00006A39" w:rsidRDefault="004F31D7" w:rsidP="00DC6A6A">
            <w:pPr>
              <w:widowControl w:val="0"/>
              <w:spacing w:line="360" w:lineRule="auto"/>
              <w:jc w:val="center"/>
              <w:rPr>
                <w:lang w:val="uk-UA"/>
              </w:rPr>
            </w:pPr>
            <w:r w:rsidRPr="00006A39">
              <w:rPr>
                <w:rFonts w:ascii="Times New Roman" w:hAnsi="Times New Roman"/>
                <w:sz w:val="28"/>
                <w:szCs w:val="28"/>
                <w:lang w:val="uk-UA"/>
              </w:rPr>
              <w:t>&lt;0,001</w:t>
            </w:r>
          </w:p>
        </w:tc>
      </w:tr>
      <w:tr w:rsidR="004F31D7" w:rsidRPr="00006A39" w:rsidTr="0021738C">
        <w:trPr>
          <w:jc w:val="center"/>
        </w:trPr>
        <w:tc>
          <w:tcPr>
            <w:tcW w:w="2547" w:type="dxa"/>
          </w:tcPr>
          <w:p w:rsidR="004F31D7" w:rsidRPr="00006A39" w:rsidRDefault="004F31D7" w:rsidP="005A7486">
            <w:pPr>
              <w:widowControl w:val="0"/>
              <w:spacing w:line="360" w:lineRule="auto"/>
              <w:jc w:val="center"/>
              <w:rPr>
                <w:rFonts w:ascii="Times New Roman" w:hAnsi="Times New Roman"/>
                <w:sz w:val="28"/>
                <w:szCs w:val="28"/>
                <w:lang w:val="uk-UA"/>
              </w:rPr>
            </w:pPr>
            <w:r w:rsidRPr="00006A39">
              <w:rPr>
                <w:rFonts w:ascii="Times New Roman" w:hAnsi="Times New Roman"/>
                <w:sz w:val="28"/>
                <w:szCs w:val="28"/>
                <w:lang w:val="uk-UA"/>
              </w:rPr>
              <w:t>_cons</w:t>
            </w:r>
          </w:p>
        </w:tc>
        <w:tc>
          <w:tcPr>
            <w:tcW w:w="1559" w:type="dxa"/>
          </w:tcPr>
          <w:p w:rsidR="004F31D7" w:rsidRPr="00006A39" w:rsidRDefault="006F4964" w:rsidP="00DC6A6A">
            <w:pPr>
              <w:widowControl w:val="0"/>
              <w:spacing w:line="360" w:lineRule="auto"/>
              <w:jc w:val="center"/>
              <w:rPr>
                <w:rFonts w:ascii="Times New Roman" w:hAnsi="Times New Roman"/>
                <w:sz w:val="28"/>
                <w:szCs w:val="28"/>
                <w:lang w:val="uk-UA"/>
              </w:rPr>
            </w:pPr>
            <w:r>
              <w:rPr>
                <w:rFonts w:ascii="Times New Roman" w:hAnsi="Times New Roman"/>
                <w:sz w:val="28"/>
                <w:szCs w:val="28"/>
                <w:lang w:val="uk-UA"/>
              </w:rPr>
              <w:t>5,</w:t>
            </w:r>
            <w:r w:rsidR="004F31D7" w:rsidRPr="00006A39">
              <w:rPr>
                <w:rFonts w:ascii="Times New Roman" w:hAnsi="Times New Roman"/>
                <w:sz w:val="28"/>
                <w:szCs w:val="28"/>
                <w:lang w:val="uk-UA"/>
              </w:rPr>
              <w:t>21</w:t>
            </w:r>
          </w:p>
        </w:tc>
        <w:tc>
          <w:tcPr>
            <w:tcW w:w="1276" w:type="dxa"/>
          </w:tcPr>
          <w:p w:rsidR="004F31D7" w:rsidRPr="00006A39" w:rsidRDefault="006F4964" w:rsidP="00DC6A6A">
            <w:pPr>
              <w:widowControl w:val="0"/>
              <w:spacing w:line="360" w:lineRule="auto"/>
              <w:jc w:val="center"/>
              <w:rPr>
                <w:rFonts w:ascii="Times New Roman" w:hAnsi="Times New Roman"/>
                <w:sz w:val="28"/>
                <w:szCs w:val="28"/>
                <w:lang w:val="uk-UA"/>
              </w:rPr>
            </w:pPr>
            <w:r>
              <w:rPr>
                <w:rFonts w:ascii="Times New Roman" w:hAnsi="Times New Roman"/>
                <w:sz w:val="28"/>
                <w:szCs w:val="28"/>
                <w:lang w:val="uk-UA"/>
              </w:rPr>
              <w:t>0,</w:t>
            </w:r>
            <w:r w:rsidR="004F31D7" w:rsidRPr="00006A39">
              <w:rPr>
                <w:rFonts w:ascii="Times New Roman" w:hAnsi="Times New Roman"/>
                <w:sz w:val="28"/>
                <w:szCs w:val="28"/>
                <w:lang w:val="uk-UA"/>
              </w:rPr>
              <w:t>145</w:t>
            </w:r>
          </w:p>
        </w:tc>
        <w:tc>
          <w:tcPr>
            <w:tcW w:w="2836" w:type="dxa"/>
          </w:tcPr>
          <w:p w:rsidR="004F31D7" w:rsidRPr="00006A39" w:rsidRDefault="006F4964" w:rsidP="00DC6A6A">
            <w:pPr>
              <w:widowControl w:val="0"/>
              <w:spacing w:line="360" w:lineRule="auto"/>
              <w:jc w:val="center"/>
              <w:rPr>
                <w:rFonts w:ascii="Times New Roman" w:hAnsi="Times New Roman"/>
                <w:sz w:val="28"/>
                <w:szCs w:val="28"/>
                <w:lang w:val="uk-UA"/>
              </w:rPr>
            </w:pPr>
            <w:r>
              <w:rPr>
                <w:rFonts w:ascii="Times New Roman" w:hAnsi="Times New Roman"/>
                <w:sz w:val="28"/>
                <w:szCs w:val="28"/>
                <w:lang w:val="uk-UA"/>
              </w:rPr>
              <w:t>4,92-5,</w:t>
            </w:r>
            <w:r w:rsidR="004F31D7" w:rsidRPr="00006A39">
              <w:rPr>
                <w:rFonts w:ascii="Times New Roman" w:hAnsi="Times New Roman"/>
                <w:sz w:val="28"/>
                <w:szCs w:val="28"/>
                <w:lang w:val="uk-UA"/>
              </w:rPr>
              <w:t>49</w:t>
            </w:r>
          </w:p>
        </w:tc>
        <w:tc>
          <w:tcPr>
            <w:tcW w:w="1127" w:type="dxa"/>
          </w:tcPr>
          <w:p w:rsidR="004F31D7" w:rsidRPr="00006A39" w:rsidRDefault="004F31D7" w:rsidP="00DC6A6A">
            <w:pPr>
              <w:widowControl w:val="0"/>
              <w:spacing w:line="360" w:lineRule="auto"/>
              <w:jc w:val="center"/>
              <w:rPr>
                <w:lang w:val="uk-UA"/>
              </w:rPr>
            </w:pPr>
            <w:r w:rsidRPr="00006A39">
              <w:rPr>
                <w:rFonts w:ascii="Times New Roman" w:hAnsi="Times New Roman"/>
                <w:sz w:val="28"/>
                <w:szCs w:val="28"/>
                <w:lang w:val="uk-UA"/>
              </w:rPr>
              <w:t>&lt;0,001</w:t>
            </w:r>
          </w:p>
        </w:tc>
      </w:tr>
      <w:tr w:rsidR="004F31D7" w:rsidRPr="00006A39" w:rsidTr="0021738C">
        <w:trPr>
          <w:jc w:val="center"/>
        </w:trPr>
        <w:tc>
          <w:tcPr>
            <w:tcW w:w="2547" w:type="dxa"/>
          </w:tcPr>
          <w:p w:rsidR="004F31D7" w:rsidRPr="00006A39" w:rsidRDefault="004F31D7" w:rsidP="005A7486">
            <w:pPr>
              <w:widowControl w:val="0"/>
              <w:spacing w:line="360" w:lineRule="auto"/>
              <w:jc w:val="center"/>
              <w:rPr>
                <w:rFonts w:ascii="Times New Roman" w:hAnsi="Times New Roman"/>
                <w:sz w:val="28"/>
                <w:szCs w:val="28"/>
                <w:lang w:val="uk-UA"/>
              </w:rPr>
            </w:pPr>
            <w:r w:rsidRPr="00006A39">
              <w:rPr>
                <w:rFonts w:ascii="Times New Roman" w:hAnsi="Times New Roman"/>
                <w:sz w:val="28"/>
                <w:szCs w:val="28"/>
                <w:lang w:val="uk-UA"/>
              </w:rPr>
              <w:t>Поширеність</w:t>
            </w:r>
          </w:p>
        </w:tc>
        <w:tc>
          <w:tcPr>
            <w:tcW w:w="1559" w:type="dxa"/>
          </w:tcPr>
          <w:p w:rsidR="004F31D7" w:rsidRPr="00006A39" w:rsidRDefault="006F4964" w:rsidP="00DC6A6A">
            <w:pPr>
              <w:widowControl w:val="0"/>
              <w:spacing w:line="360" w:lineRule="auto"/>
              <w:jc w:val="center"/>
              <w:rPr>
                <w:rFonts w:ascii="Times New Roman" w:hAnsi="Times New Roman"/>
                <w:sz w:val="28"/>
                <w:szCs w:val="28"/>
                <w:lang w:val="uk-UA"/>
              </w:rPr>
            </w:pPr>
            <w:r>
              <w:rPr>
                <w:rFonts w:ascii="Times New Roman" w:hAnsi="Times New Roman"/>
                <w:sz w:val="28"/>
                <w:szCs w:val="28"/>
                <w:lang w:val="uk-UA"/>
              </w:rPr>
              <w:t>-0,</w:t>
            </w:r>
            <w:r w:rsidR="004F31D7" w:rsidRPr="00006A39">
              <w:rPr>
                <w:rFonts w:ascii="Times New Roman" w:hAnsi="Times New Roman"/>
                <w:sz w:val="28"/>
                <w:szCs w:val="28"/>
                <w:lang w:val="uk-UA"/>
              </w:rPr>
              <w:t>000496</w:t>
            </w:r>
          </w:p>
        </w:tc>
        <w:tc>
          <w:tcPr>
            <w:tcW w:w="1276" w:type="dxa"/>
          </w:tcPr>
          <w:p w:rsidR="004F31D7" w:rsidRPr="00006A39" w:rsidRDefault="006F4964" w:rsidP="00DC6A6A">
            <w:pPr>
              <w:widowControl w:val="0"/>
              <w:spacing w:line="360" w:lineRule="auto"/>
              <w:jc w:val="center"/>
              <w:rPr>
                <w:rFonts w:ascii="Times New Roman" w:hAnsi="Times New Roman"/>
                <w:sz w:val="28"/>
                <w:szCs w:val="28"/>
                <w:lang w:val="uk-UA"/>
              </w:rPr>
            </w:pPr>
            <w:r>
              <w:rPr>
                <w:rFonts w:ascii="Times New Roman" w:hAnsi="Times New Roman"/>
                <w:sz w:val="28"/>
                <w:szCs w:val="28"/>
                <w:lang w:val="uk-UA"/>
              </w:rPr>
              <w:t>0,</w:t>
            </w:r>
            <w:r w:rsidR="004F31D7" w:rsidRPr="00006A39">
              <w:rPr>
                <w:rFonts w:ascii="Times New Roman" w:hAnsi="Times New Roman"/>
                <w:sz w:val="28"/>
                <w:szCs w:val="28"/>
                <w:lang w:val="uk-UA"/>
              </w:rPr>
              <w:t>00009</w:t>
            </w:r>
          </w:p>
        </w:tc>
        <w:tc>
          <w:tcPr>
            <w:tcW w:w="2836" w:type="dxa"/>
          </w:tcPr>
          <w:p w:rsidR="004F31D7" w:rsidRPr="00006A39" w:rsidRDefault="00DC6A6A" w:rsidP="00DC6A6A">
            <w:pPr>
              <w:widowControl w:val="0"/>
              <w:spacing w:line="360" w:lineRule="auto"/>
              <w:jc w:val="center"/>
              <w:rPr>
                <w:rFonts w:ascii="Times New Roman" w:hAnsi="Times New Roman"/>
                <w:sz w:val="28"/>
                <w:szCs w:val="28"/>
                <w:lang w:val="uk-UA"/>
              </w:rPr>
            </w:pPr>
            <w:r>
              <w:rPr>
                <w:rFonts w:ascii="Times New Roman" w:hAnsi="Times New Roman"/>
                <w:sz w:val="28"/>
                <w:szCs w:val="28"/>
                <w:lang w:val="uk-UA"/>
              </w:rPr>
              <w:t>-0,000689-(-0,</w:t>
            </w:r>
            <w:r w:rsidR="004F31D7" w:rsidRPr="00006A39">
              <w:rPr>
                <w:rFonts w:ascii="Times New Roman" w:hAnsi="Times New Roman"/>
                <w:sz w:val="28"/>
                <w:szCs w:val="28"/>
                <w:lang w:val="uk-UA"/>
              </w:rPr>
              <w:t>000304)</w:t>
            </w:r>
          </w:p>
        </w:tc>
        <w:tc>
          <w:tcPr>
            <w:tcW w:w="1127" w:type="dxa"/>
          </w:tcPr>
          <w:p w:rsidR="004F31D7" w:rsidRPr="00006A39" w:rsidRDefault="004F31D7" w:rsidP="00DC6A6A">
            <w:pPr>
              <w:widowControl w:val="0"/>
              <w:spacing w:line="360" w:lineRule="auto"/>
              <w:jc w:val="center"/>
              <w:rPr>
                <w:rFonts w:ascii="Times New Roman" w:hAnsi="Times New Roman"/>
                <w:lang w:val="uk-UA"/>
              </w:rPr>
            </w:pPr>
            <w:r w:rsidRPr="00006A39">
              <w:rPr>
                <w:rFonts w:ascii="Times New Roman" w:hAnsi="Times New Roman"/>
                <w:sz w:val="28"/>
                <w:szCs w:val="28"/>
                <w:lang w:val="uk-UA"/>
              </w:rPr>
              <w:t>&lt;0,001</w:t>
            </w:r>
          </w:p>
        </w:tc>
      </w:tr>
      <w:tr w:rsidR="004F31D7" w:rsidRPr="00006A39" w:rsidTr="0021738C">
        <w:trPr>
          <w:jc w:val="center"/>
        </w:trPr>
        <w:tc>
          <w:tcPr>
            <w:tcW w:w="2547" w:type="dxa"/>
          </w:tcPr>
          <w:p w:rsidR="004F31D7" w:rsidRPr="00006A39" w:rsidRDefault="004F31D7" w:rsidP="005A7486">
            <w:pPr>
              <w:widowControl w:val="0"/>
              <w:spacing w:line="360" w:lineRule="auto"/>
              <w:jc w:val="center"/>
              <w:rPr>
                <w:rFonts w:ascii="Times New Roman" w:hAnsi="Times New Roman"/>
                <w:sz w:val="28"/>
                <w:szCs w:val="28"/>
                <w:lang w:val="uk-UA"/>
              </w:rPr>
            </w:pPr>
            <w:r w:rsidRPr="00006A39">
              <w:rPr>
                <w:rFonts w:ascii="Times New Roman" w:hAnsi="Times New Roman"/>
                <w:sz w:val="28"/>
                <w:szCs w:val="28"/>
                <w:lang w:val="uk-UA"/>
              </w:rPr>
              <w:t>_cons</w:t>
            </w:r>
          </w:p>
        </w:tc>
        <w:tc>
          <w:tcPr>
            <w:tcW w:w="1559" w:type="dxa"/>
          </w:tcPr>
          <w:p w:rsidR="004F31D7" w:rsidRPr="00006A39" w:rsidRDefault="006F4964" w:rsidP="00DC6A6A">
            <w:pPr>
              <w:widowControl w:val="0"/>
              <w:spacing w:line="360" w:lineRule="auto"/>
              <w:jc w:val="center"/>
              <w:rPr>
                <w:rFonts w:ascii="Times New Roman" w:hAnsi="Times New Roman"/>
                <w:sz w:val="28"/>
                <w:szCs w:val="28"/>
                <w:lang w:val="uk-UA"/>
              </w:rPr>
            </w:pPr>
            <w:r>
              <w:rPr>
                <w:rFonts w:ascii="Times New Roman" w:hAnsi="Times New Roman"/>
                <w:sz w:val="28"/>
                <w:szCs w:val="28"/>
                <w:lang w:val="uk-UA"/>
              </w:rPr>
              <w:t>5,</w:t>
            </w:r>
            <w:r w:rsidR="004F31D7" w:rsidRPr="00006A39">
              <w:rPr>
                <w:rFonts w:ascii="Times New Roman" w:hAnsi="Times New Roman"/>
                <w:sz w:val="28"/>
                <w:szCs w:val="28"/>
                <w:lang w:val="uk-UA"/>
              </w:rPr>
              <w:t>41</w:t>
            </w:r>
          </w:p>
        </w:tc>
        <w:tc>
          <w:tcPr>
            <w:tcW w:w="1276" w:type="dxa"/>
          </w:tcPr>
          <w:p w:rsidR="004F31D7" w:rsidRPr="00006A39" w:rsidRDefault="006F4964" w:rsidP="00DC6A6A">
            <w:pPr>
              <w:widowControl w:val="0"/>
              <w:spacing w:line="360" w:lineRule="auto"/>
              <w:jc w:val="center"/>
              <w:rPr>
                <w:rFonts w:ascii="Times New Roman" w:hAnsi="Times New Roman"/>
                <w:sz w:val="28"/>
                <w:szCs w:val="28"/>
                <w:lang w:val="uk-UA"/>
              </w:rPr>
            </w:pPr>
            <w:r>
              <w:rPr>
                <w:rFonts w:ascii="Times New Roman" w:hAnsi="Times New Roman"/>
                <w:sz w:val="28"/>
                <w:szCs w:val="28"/>
                <w:lang w:val="uk-UA"/>
              </w:rPr>
              <w:t>0,</w:t>
            </w:r>
            <w:r w:rsidR="004F31D7" w:rsidRPr="00006A39">
              <w:rPr>
                <w:rFonts w:ascii="Times New Roman" w:hAnsi="Times New Roman"/>
                <w:sz w:val="28"/>
                <w:szCs w:val="28"/>
                <w:lang w:val="uk-UA"/>
              </w:rPr>
              <w:t>171</w:t>
            </w:r>
          </w:p>
        </w:tc>
        <w:tc>
          <w:tcPr>
            <w:tcW w:w="2836" w:type="dxa"/>
          </w:tcPr>
          <w:p w:rsidR="004F31D7" w:rsidRPr="00006A39" w:rsidRDefault="006F4964" w:rsidP="00DC6A6A">
            <w:pPr>
              <w:widowControl w:val="0"/>
              <w:spacing w:line="360" w:lineRule="auto"/>
              <w:jc w:val="center"/>
              <w:rPr>
                <w:rFonts w:ascii="Times New Roman" w:hAnsi="Times New Roman"/>
                <w:sz w:val="28"/>
                <w:szCs w:val="28"/>
                <w:lang w:val="uk-UA"/>
              </w:rPr>
            </w:pPr>
            <w:r>
              <w:rPr>
                <w:rFonts w:ascii="Times New Roman" w:hAnsi="Times New Roman"/>
                <w:sz w:val="28"/>
                <w:szCs w:val="28"/>
                <w:lang w:val="uk-UA"/>
              </w:rPr>
              <w:t>5,07-5,</w:t>
            </w:r>
            <w:r w:rsidR="004F31D7" w:rsidRPr="00006A39">
              <w:rPr>
                <w:rFonts w:ascii="Times New Roman" w:hAnsi="Times New Roman"/>
                <w:sz w:val="28"/>
                <w:szCs w:val="28"/>
                <w:lang w:val="uk-UA"/>
              </w:rPr>
              <w:t>74</w:t>
            </w:r>
          </w:p>
        </w:tc>
        <w:tc>
          <w:tcPr>
            <w:tcW w:w="1127" w:type="dxa"/>
          </w:tcPr>
          <w:p w:rsidR="004F31D7" w:rsidRPr="00006A39" w:rsidRDefault="004F31D7" w:rsidP="00DC6A6A">
            <w:pPr>
              <w:widowControl w:val="0"/>
              <w:spacing w:line="360" w:lineRule="auto"/>
              <w:jc w:val="center"/>
              <w:rPr>
                <w:rFonts w:ascii="Times New Roman" w:hAnsi="Times New Roman"/>
                <w:sz w:val="28"/>
                <w:szCs w:val="28"/>
                <w:highlight w:val="yellow"/>
                <w:lang w:val="uk-UA"/>
              </w:rPr>
            </w:pPr>
            <w:r w:rsidRPr="00006A39">
              <w:rPr>
                <w:rFonts w:ascii="Times New Roman" w:hAnsi="Times New Roman"/>
                <w:sz w:val="28"/>
                <w:szCs w:val="28"/>
                <w:lang w:val="uk-UA"/>
              </w:rPr>
              <w:t>&lt;0,001</w:t>
            </w:r>
          </w:p>
        </w:tc>
      </w:tr>
    </w:tbl>
    <w:p w:rsidR="00B2481F" w:rsidRDefault="00B2481F" w:rsidP="00535106">
      <w:pPr>
        <w:widowControl w:val="0"/>
        <w:rPr>
          <w:szCs w:val="28"/>
        </w:rPr>
      </w:pPr>
    </w:p>
    <w:p w:rsidR="004F31D7" w:rsidRPr="00006A39" w:rsidRDefault="004F31D7" w:rsidP="00B2481F">
      <w:pPr>
        <w:widowControl w:val="0"/>
        <w:ind w:firstLine="709"/>
        <w:rPr>
          <w:szCs w:val="28"/>
        </w:rPr>
      </w:pPr>
      <w:r w:rsidRPr="00006A39">
        <w:rPr>
          <w:szCs w:val="28"/>
        </w:rPr>
        <w:t>Важливим завданням дослідження стало вивчення показника, що характеризує роки життя, втрачені внаслідок порушень здоров’я (інвалідності) (YLDs)</w:t>
      </w:r>
      <w:r w:rsidR="00294658">
        <w:rPr>
          <w:szCs w:val="28"/>
        </w:rPr>
        <w:t>, у віковій групі дітей до 5</w:t>
      </w:r>
      <w:r w:rsidRPr="00006A39">
        <w:rPr>
          <w:szCs w:val="28"/>
        </w:rPr>
        <w:t xml:space="preserve"> років життя</w:t>
      </w:r>
      <w:r w:rsidR="00B2481F">
        <w:rPr>
          <w:szCs w:val="28"/>
        </w:rPr>
        <w:t xml:space="preserve"> (</w:t>
      </w:r>
      <w:r w:rsidR="00B2481F" w:rsidRPr="00B2481F">
        <w:rPr>
          <w:szCs w:val="28"/>
        </w:rPr>
        <w:t>роки, втраченого життя внаслідок порушень зд</w:t>
      </w:r>
      <w:r w:rsidR="00B2481F">
        <w:rPr>
          <w:szCs w:val="28"/>
        </w:rPr>
        <w:t>оров’я, без смертельних випадків)</w:t>
      </w:r>
      <w:r w:rsidR="00CC79B1">
        <w:rPr>
          <w:szCs w:val="28"/>
        </w:rPr>
        <w:t xml:space="preserve"> в Україні та в порівнянні з розвинутими країнами</w:t>
      </w:r>
      <w:r w:rsidR="00535106">
        <w:rPr>
          <w:szCs w:val="28"/>
        </w:rPr>
        <w:t>. Так, у 2017 році</w:t>
      </w:r>
      <w:r w:rsidRPr="00006A39">
        <w:rPr>
          <w:szCs w:val="28"/>
        </w:rPr>
        <w:t xml:space="preserve"> даний показник</w:t>
      </w:r>
      <w:r w:rsidR="00535106">
        <w:rPr>
          <w:szCs w:val="28"/>
        </w:rPr>
        <w:t xml:space="preserve"> в Україні</w:t>
      </w:r>
      <w:r w:rsidRPr="00006A39">
        <w:rPr>
          <w:szCs w:val="28"/>
        </w:rPr>
        <w:t xml:space="preserve"> </w:t>
      </w:r>
      <w:r w:rsidR="00535106">
        <w:rPr>
          <w:szCs w:val="28"/>
        </w:rPr>
        <w:t xml:space="preserve">зріс на 1,6% відносно 2013 р. і </w:t>
      </w:r>
      <w:r w:rsidRPr="00006A39">
        <w:rPr>
          <w:szCs w:val="28"/>
        </w:rPr>
        <w:t>становив 3186,53</w:t>
      </w:r>
      <w:r w:rsidR="00535106" w:rsidRPr="00535106">
        <w:rPr>
          <w:szCs w:val="28"/>
        </w:rPr>
        <w:t xml:space="preserve"> </w:t>
      </w:r>
      <w:r w:rsidR="00535106">
        <w:rPr>
          <w:szCs w:val="28"/>
        </w:rPr>
        <w:t>років</w:t>
      </w:r>
      <w:r w:rsidR="00535106" w:rsidRPr="00535106">
        <w:rPr>
          <w:szCs w:val="28"/>
        </w:rPr>
        <w:t>, втраченого життя внаслідок порушень здоров’я</w:t>
      </w:r>
      <w:r w:rsidRPr="00006A39">
        <w:rPr>
          <w:szCs w:val="28"/>
        </w:rPr>
        <w:t xml:space="preserve"> на 100 тис. осіб</w:t>
      </w:r>
      <w:r w:rsidR="00CC79B1">
        <w:rPr>
          <w:szCs w:val="28"/>
        </w:rPr>
        <w:t xml:space="preserve"> відповідного віку</w:t>
      </w:r>
      <w:r w:rsidRPr="00006A39">
        <w:rPr>
          <w:szCs w:val="28"/>
        </w:rPr>
        <w:t xml:space="preserve"> (95</w:t>
      </w:r>
      <w:r w:rsidR="00DC6A6A">
        <w:rPr>
          <w:szCs w:val="28"/>
        </w:rPr>
        <w:t>% ДІ 4397,35-2394,54)</w:t>
      </w:r>
      <w:r w:rsidRPr="00006A39">
        <w:rPr>
          <w:szCs w:val="28"/>
        </w:rPr>
        <w:t xml:space="preserve">, </w:t>
      </w:r>
      <w:r w:rsidR="00CC79B1">
        <w:rPr>
          <w:szCs w:val="28"/>
        </w:rPr>
        <w:t xml:space="preserve">при цьому у 2017 р. показник є нижчим </w:t>
      </w:r>
      <w:r w:rsidR="00535106" w:rsidRPr="00535106">
        <w:rPr>
          <w:szCs w:val="28"/>
        </w:rPr>
        <w:t xml:space="preserve">за аналогічний показник Польщі на 2,1% (95% ДІ 4566,66-2492,53), Угорщини на 0,75% (95% ДІ 4453,33-2459,28), але вищим на 4,7% за показник Словаччини (95% ДІ 4279,64-2302,57), на 21,2% Німеччини (95% ДІ 3756,98-2013,26), на 34,1% Франції (95% ДІ 3509,50-1796,87), на 40,6% Іспанії (95% ДІ 3274,96-1694,98), на 14,3% США (95% ДІ 4133,40-2152,10) </w:t>
      </w:r>
      <w:r w:rsidRPr="00006A39">
        <w:rPr>
          <w:szCs w:val="28"/>
        </w:rPr>
        <w:t>(рис.</w:t>
      </w:r>
      <w:r w:rsidR="00940B53">
        <w:rPr>
          <w:szCs w:val="28"/>
        </w:rPr>
        <w:t xml:space="preserve"> </w:t>
      </w:r>
      <w:r w:rsidRPr="00006A39">
        <w:rPr>
          <w:szCs w:val="28"/>
        </w:rPr>
        <w:t>4.4). На нашу думку, такі відмінності пояснюються, з однієї сторони, відсутністю точних статистичних даних в Україні, а з іншою – вищою смертністю дітей в к</w:t>
      </w:r>
      <w:r w:rsidR="00B2481F">
        <w:rPr>
          <w:szCs w:val="28"/>
        </w:rPr>
        <w:t>раїні при важких захворюваннях.</w:t>
      </w:r>
      <w:r w:rsidR="00B2481F" w:rsidRPr="00B2481F">
        <w:rPr>
          <w:szCs w:val="28"/>
        </w:rPr>
        <w:t xml:space="preserve"> </w:t>
      </w:r>
    </w:p>
    <w:p w:rsidR="004F31D7" w:rsidRDefault="004F31D7" w:rsidP="00CD3B97">
      <w:pPr>
        <w:widowControl w:val="0"/>
        <w:jc w:val="center"/>
        <w:rPr>
          <w:szCs w:val="28"/>
        </w:rPr>
      </w:pPr>
      <w:r w:rsidRPr="00006A39">
        <w:rPr>
          <w:noProof/>
          <w:szCs w:val="28"/>
          <w:lang w:val="ru-RU" w:eastAsia="ru-RU"/>
        </w:rPr>
        <w:lastRenderedPageBreak/>
        <w:drawing>
          <wp:inline distT="0" distB="0" distL="0" distR="0" wp14:anchorId="2B77E7A2" wp14:editId="31FE077F">
            <wp:extent cx="5937885" cy="3841115"/>
            <wp:effectExtent l="0" t="0" r="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937885" cy="3841115"/>
                    </a:xfrm>
                    <a:prstGeom prst="rect">
                      <a:avLst/>
                    </a:prstGeom>
                    <a:noFill/>
                  </pic:spPr>
                </pic:pic>
              </a:graphicData>
            </a:graphic>
          </wp:inline>
        </w:drawing>
      </w:r>
    </w:p>
    <w:p w:rsidR="00CD3B97" w:rsidRPr="00CD3B97" w:rsidRDefault="00CD3B97" w:rsidP="00CD3B97">
      <w:pPr>
        <w:widowControl w:val="0"/>
        <w:jc w:val="center"/>
        <w:rPr>
          <w:szCs w:val="28"/>
        </w:rPr>
      </w:pPr>
    </w:p>
    <w:p w:rsidR="004F31D7" w:rsidRPr="008048A6" w:rsidRDefault="004F31D7" w:rsidP="008048A6">
      <w:pPr>
        <w:widowControl w:val="0"/>
        <w:ind w:firstLine="708"/>
        <w:rPr>
          <w:szCs w:val="28"/>
          <w:lang w:val="ru-RU"/>
        </w:rPr>
      </w:pPr>
      <w:r w:rsidRPr="00006A39">
        <w:rPr>
          <w:szCs w:val="28"/>
        </w:rPr>
        <w:t xml:space="preserve">Рис. 4.4. Динаміка показника YLDs  у віці дітей до 5 років життя </w:t>
      </w:r>
      <w:r w:rsidRPr="00006A39">
        <w:rPr>
          <w:color w:val="00B0F0"/>
          <w:szCs w:val="28"/>
        </w:rPr>
        <w:t xml:space="preserve"> </w:t>
      </w:r>
      <w:r w:rsidRPr="00006A39">
        <w:rPr>
          <w:szCs w:val="28"/>
        </w:rPr>
        <w:t>в Україні та провідних країнах світу (роки, втрачені внаслідок порушень здоров’я).</w:t>
      </w:r>
    </w:p>
    <w:p w:rsidR="004F31D7" w:rsidRPr="004B175F" w:rsidRDefault="004F31D7" w:rsidP="008048A6">
      <w:pPr>
        <w:widowControl w:val="0"/>
        <w:spacing w:before="240" w:after="240"/>
        <w:rPr>
          <w:b/>
          <w:szCs w:val="28"/>
        </w:rPr>
      </w:pPr>
      <w:r w:rsidRPr="00006A39">
        <w:rPr>
          <w:szCs w:val="28"/>
        </w:rPr>
        <w:tab/>
      </w:r>
      <w:r w:rsidRPr="00006A39">
        <w:rPr>
          <w:b/>
          <w:szCs w:val="28"/>
        </w:rPr>
        <w:tab/>
        <w:t>4.2. Аналіз показни</w:t>
      </w:r>
      <w:r w:rsidR="003F04EC">
        <w:rPr>
          <w:b/>
          <w:szCs w:val="28"/>
        </w:rPr>
        <w:t>ків захворюваності дітей першого</w:t>
      </w:r>
      <w:r w:rsidR="008048A6">
        <w:rPr>
          <w:b/>
          <w:szCs w:val="28"/>
        </w:rPr>
        <w:t xml:space="preserve"> року життя</w:t>
      </w:r>
      <w:r w:rsidR="004B175F" w:rsidRPr="004B175F">
        <w:rPr>
          <w:rFonts w:eastAsia="Calibri"/>
          <w:bCs/>
          <w:kern w:val="36"/>
          <w:szCs w:val="28"/>
        </w:rPr>
        <w:t xml:space="preserve"> </w:t>
      </w:r>
    </w:p>
    <w:p w:rsidR="004F31D7" w:rsidRPr="00006A39" w:rsidRDefault="004F31D7" w:rsidP="00721203">
      <w:pPr>
        <w:widowControl w:val="0"/>
        <w:tabs>
          <w:tab w:val="left" w:pos="993"/>
        </w:tabs>
        <w:ind w:firstLine="709"/>
        <w:rPr>
          <w:rFonts w:eastAsia="Times New Roman"/>
          <w:szCs w:val="28"/>
          <w:lang w:eastAsia="ru-RU"/>
        </w:rPr>
      </w:pPr>
      <w:r w:rsidRPr="00006A39">
        <w:rPr>
          <w:rFonts w:eastAsia="Times New Roman"/>
          <w:szCs w:val="28"/>
          <w:lang w:eastAsia="ru-RU"/>
        </w:rPr>
        <w:t>У розділі 3 показано, що найбільший внесок у смертність до</w:t>
      </w:r>
      <w:r w:rsidR="00294658">
        <w:rPr>
          <w:rFonts w:eastAsia="Times New Roman"/>
          <w:szCs w:val="28"/>
          <w:lang w:eastAsia="ru-RU"/>
        </w:rPr>
        <w:t xml:space="preserve"> 1</w:t>
      </w:r>
      <w:r w:rsidRPr="00006A39">
        <w:rPr>
          <w:rFonts w:eastAsia="Times New Roman"/>
          <w:szCs w:val="28"/>
          <w:lang w:eastAsia="ru-RU"/>
        </w:rPr>
        <w:t xml:space="preserve"> року </w:t>
      </w:r>
      <w:r w:rsidR="00294658">
        <w:rPr>
          <w:rFonts w:eastAsia="Times New Roman"/>
          <w:szCs w:val="28"/>
          <w:lang w:eastAsia="ru-RU"/>
        </w:rPr>
        <w:t xml:space="preserve">життя </w:t>
      </w:r>
      <w:r w:rsidRPr="00006A39">
        <w:rPr>
          <w:rFonts w:eastAsia="Times New Roman"/>
          <w:szCs w:val="28"/>
          <w:lang w:eastAsia="ru-RU"/>
        </w:rPr>
        <w:t>вносить малюкова смертність дітей, в структурі якої значну</w:t>
      </w:r>
      <w:r w:rsidR="0081684E">
        <w:rPr>
          <w:rFonts w:eastAsia="Times New Roman"/>
          <w:szCs w:val="28"/>
          <w:lang w:eastAsia="ru-RU"/>
        </w:rPr>
        <w:t xml:space="preserve"> частку займають випадки смерті</w:t>
      </w:r>
      <w:r w:rsidRPr="00006A39">
        <w:rPr>
          <w:rFonts w:eastAsia="Times New Roman"/>
          <w:szCs w:val="28"/>
          <w:lang w:eastAsia="ru-RU"/>
        </w:rPr>
        <w:t xml:space="preserve"> поза стаціонаром. Тому метою даного підрозділу було оцінити структуру захворюваності дітей до року, а також її зв’язки зі смертністю дітей відповідного віку. Науковці свідчать, що саме вік дитини до 1-го року життя є визначальним у формуванні її здоров’я та загальному розвитку, при тому, що у цьому віці особливо висо</w:t>
      </w:r>
      <w:r w:rsidR="0081684E">
        <w:rPr>
          <w:rFonts w:eastAsia="Times New Roman"/>
          <w:szCs w:val="28"/>
          <w:lang w:eastAsia="ru-RU"/>
        </w:rPr>
        <w:t xml:space="preserve">кими темпами </w:t>
      </w:r>
      <w:r w:rsidRPr="00006A39">
        <w:rPr>
          <w:rFonts w:eastAsia="Times New Roman"/>
          <w:szCs w:val="28"/>
          <w:lang w:eastAsia="ru-RU"/>
        </w:rPr>
        <w:t>відбувається дозрівання органів і систем, а на стан здоров’я впливають як низка біологічних чинників (перебіг вагітності, здоров’я батьків, фізіологічна зрілість та інші), так і застосування доказових медико-організаційних технологій.</w:t>
      </w:r>
    </w:p>
    <w:p w:rsidR="004F31D7" w:rsidRDefault="0024017B" w:rsidP="0024017B">
      <w:pPr>
        <w:widowControl w:val="0"/>
        <w:tabs>
          <w:tab w:val="left" w:pos="993"/>
        </w:tabs>
        <w:ind w:firstLine="709"/>
        <w:rPr>
          <w:rFonts w:eastAsia="Times New Roman"/>
          <w:szCs w:val="28"/>
          <w:lang w:eastAsia="ru-RU"/>
        </w:rPr>
      </w:pPr>
      <w:r w:rsidRPr="0024017B">
        <w:rPr>
          <w:rFonts w:eastAsia="Times New Roman"/>
          <w:szCs w:val="28"/>
          <w:lang w:eastAsia="ru-RU"/>
        </w:rPr>
        <w:t xml:space="preserve">За результатами дослідження, захворюваність дітей до 1-року життя у 2018 р. знизилась відносно 2014 р. на 2,8%, але </w:t>
      </w:r>
      <w:r w:rsidR="00CD3B97">
        <w:rPr>
          <w:rFonts w:eastAsia="Times New Roman"/>
          <w:szCs w:val="28"/>
          <w:lang w:eastAsia="ru-RU"/>
        </w:rPr>
        <w:t>продовжує залишатись</w:t>
      </w:r>
      <w:r w:rsidRPr="0024017B">
        <w:rPr>
          <w:rFonts w:eastAsia="Times New Roman"/>
          <w:szCs w:val="28"/>
          <w:lang w:eastAsia="ru-RU"/>
        </w:rPr>
        <w:t xml:space="preserve"> на достатньо </w:t>
      </w:r>
      <w:r w:rsidRPr="0024017B">
        <w:rPr>
          <w:rFonts w:eastAsia="Times New Roman"/>
          <w:szCs w:val="28"/>
          <w:lang w:eastAsia="ru-RU"/>
        </w:rPr>
        <w:lastRenderedPageBreak/>
        <w:t>високому рівні і в цілому протягом 2014-2018 рр.</w:t>
      </w:r>
      <w:r w:rsidR="00CD3B97">
        <w:rPr>
          <w:rFonts w:eastAsia="Times New Roman"/>
          <w:szCs w:val="28"/>
          <w:lang w:eastAsia="ru-RU"/>
        </w:rPr>
        <w:t xml:space="preserve"> </w:t>
      </w:r>
      <w:r w:rsidRPr="0024017B">
        <w:rPr>
          <w:rFonts w:eastAsia="Times New Roman"/>
          <w:szCs w:val="28"/>
          <w:lang w:eastAsia="ru-RU"/>
        </w:rPr>
        <w:t>має нелінійний характер (1454,45‰ у 2014р., 1495,37‰ у 2017р і 1414,51‰ у 2018р.),</w:t>
      </w:r>
      <w:r>
        <w:rPr>
          <w:rFonts w:eastAsia="Times New Roman"/>
          <w:szCs w:val="28"/>
          <w:lang w:eastAsia="ru-RU"/>
        </w:rPr>
        <w:t xml:space="preserve"> </w:t>
      </w:r>
      <w:r w:rsidR="004F31D7" w:rsidRPr="00006A39">
        <w:rPr>
          <w:rFonts w:eastAsia="Times New Roman"/>
          <w:szCs w:val="28"/>
          <w:lang w:eastAsia="ru-RU"/>
        </w:rPr>
        <w:t>незважаючи на впровадження перинатальних технологій з доведеною ефективністю, грудного вигодовування, запровадження ПМСД</w:t>
      </w:r>
      <w:r w:rsidR="00B237C5">
        <w:rPr>
          <w:rFonts w:eastAsia="Times New Roman"/>
          <w:szCs w:val="28"/>
          <w:lang w:eastAsia="ru-RU"/>
        </w:rPr>
        <w:t xml:space="preserve">  (рис. 4.5</w:t>
      </w:r>
      <w:r w:rsidR="004F31D7" w:rsidRPr="00006A39">
        <w:rPr>
          <w:rFonts w:eastAsia="Times New Roman"/>
          <w:szCs w:val="28"/>
          <w:lang w:eastAsia="ru-RU"/>
        </w:rPr>
        <w:t xml:space="preserve">). </w:t>
      </w:r>
    </w:p>
    <w:p w:rsidR="004F31D7" w:rsidRPr="00006A39" w:rsidRDefault="004F31D7" w:rsidP="00721203">
      <w:pPr>
        <w:widowControl w:val="0"/>
        <w:jc w:val="center"/>
      </w:pPr>
      <w:r w:rsidRPr="00006A39">
        <w:rPr>
          <w:noProof/>
          <w:lang w:val="ru-RU" w:eastAsia="ru-RU"/>
        </w:rPr>
        <w:drawing>
          <wp:inline distT="0" distB="0" distL="0" distR="0" wp14:anchorId="79725E36" wp14:editId="33953DF8">
            <wp:extent cx="6064898" cy="3359020"/>
            <wp:effectExtent l="0" t="0" r="0"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6075810" cy="3365064"/>
                    </a:xfrm>
                    <a:prstGeom prst="rect">
                      <a:avLst/>
                    </a:prstGeom>
                    <a:noFill/>
                  </pic:spPr>
                </pic:pic>
              </a:graphicData>
            </a:graphic>
          </wp:inline>
        </w:drawing>
      </w:r>
    </w:p>
    <w:p w:rsidR="004F31D7" w:rsidRPr="00006A39" w:rsidRDefault="004F31D7" w:rsidP="00721203">
      <w:pPr>
        <w:widowControl w:val="0"/>
        <w:tabs>
          <w:tab w:val="left" w:pos="993"/>
        </w:tabs>
        <w:spacing w:after="120"/>
        <w:rPr>
          <w:rFonts w:eastAsia="Times New Roman"/>
          <w:bCs/>
          <w:szCs w:val="28"/>
          <w:lang w:eastAsia="ru-RU"/>
        </w:rPr>
      </w:pPr>
      <w:r w:rsidRPr="00006A39">
        <w:rPr>
          <w:rFonts w:eastAsia="Times New Roman"/>
          <w:bCs/>
          <w:szCs w:val="28"/>
          <w:lang w:eastAsia="ru-RU"/>
        </w:rPr>
        <w:tab/>
        <w:t>Рис. 4.5. Динаміка показника захворюваності дітей першого року життя в Україні у 2014–2018 рр. (на 1000 дітей відповідного віку, ‰)</w:t>
      </w:r>
    </w:p>
    <w:p w:rsidR="004F31D7" w:rsidRPr="00006A39" w:rsidRDefault="004F31D7" w:rsidP="00721203">
      <w:pPr>
        <w:widowControl w:val="0"/>
        <w:tabs>
          <w:tab w:val="left" w:pos="993"/>
        </w:tabs>
        <w:ind w:firstLine="720"/>
        <w:rPr>
          <w:rFonts w:eastAsia="Times New Roman"/>
          <w:bCs/>
          <w:szCs w:val="28"/>
          <w:lang w:eastAsia="ru-RU"/>
        </w:rPr>
      </w:pPr>
      <w:r w:rsidRPr="00006A39">
        <w:rPr>
          <w:rFonts w:eastAsia="Times New Roman"/>
          <w:bCs/>
          <w:szCs w:val="28"/>
          <w:lang w:eastAsia="ru-RU"/>
        </w:rPr>
        <w:t>У ході дослідження проведено вивчення зв’язку між захворюваністю дітей до 1-го року життя та смертністю коефіцієнтом рангової кореляції Спірмена (ρ), який становив 0,1, зв’язок прямий, с</w:t>
      </w:r>
      <w:r w:rsidR="000D197B">
        <w:rPr>
          <w:rFonts w:eastAsia="Times New Roman"/>
          <w:bCs/>
          <w:szCs w:val="28"/>
          <w:lang w:eastAsia="ru-RU"/>
        </w:rPr>
        <w:t xml:space="preserve">ила зв'язку за шкалою Чеддока – </w:t>
      </w:r>
      <w:r w:rsidRPr="00006A39">
        <w:rPr>
          <w:rFonts w:eastAsia="Times New Roman"/>
          <w:bCs/>
          <w:szCs w:val="28"/>
          <w:lang w:eastAsia="ru-RU"/>
        </w:rPr>
        <w:t>слабка, число ступенів свободи (f) – 3, критичне значення критерію Спірмена – 2,4, ρ</w:t>
      </w:r>
      <w:r w:rsidRPr="00006A39">
        <w:rPr>
          <w:rFonts w:eastAsia="Times New Roman"/>
          <w:bCs/>
          <w:szCs w:val="28"/>
          <w:vertAlign w:val="subscript"/>
          <w:lang w:eastAsia="ru-RU"/>
        </w:rPr>
        <w:t>спост.</w:t>
      </w:r>
      <w:r w:rsidRPr="00006A39">
        <w:rPr>
          <w:rFonts w:eastAsia="Times New Roman"/>
          <w:bCs/>
          <w:szCs w:val="28"/>
          <w:lang w:eastAsia="ru-RU"/>
        </w:rPr>
        <w:t>&lt; ρ</w:t>
      </w:r>
      <w:r w:rsidRPr="00006A39">
        <w:rPr>
          <w:rFonts w:eastAsia="Times New Roman"/>
          <w:bCs/>
          <w:szCs w:val="28"/>
          <w:vertAlign w:val="subscript"/>
          <w:lang w:eastAsia="ru-RU"/>
        </w:rPr>
        <w:t xml:space="preserve">крит., </w:t>
      </w:r>
      <w:r w:rsidRPr="00006A39">
        <w:rPr>
          <w:rFonts w:eastAsia="Times New Roman"/>
          <w:bCs/>
          <w:szCs w:val="28"/>
          <w:lang w:eastAsia="ru-RU"/>
        </w:rPr>
        <w:t>коефіцієнт рангової кореляції статистично – не значимий і ранговий кореляційний зв'язок між захворюваністю і смертністю дітей до 1-го року життя незначний. Також проведено перевірку наявності зв’язку коефіцієнтом кореляції Пірсона</w:t>
      </w:r>
      <w:r w:rsidRPr="00006A39">
        <w:rPr>
          <w:rFonts w:eastAsia="Times New Roman"/>
          <w:szCs w:val="28"/>
          <w:lang w:eastAsia="ru-RU"/>
        </w:rPr>
        <w:t xml:space="preserve"> (r), який дорів</w:t>
      </w:r>
      <w:r w:rsidR="000D197B">
        <w:rPr>
          <w:rFonts w:eastAsia="Times New Roman"/>
          <w:szCs w:val="28"/>
          <w:lang w:eastAsia="ru-RU"/>
        </w:rPr>
        <w:t>нює 0,</w:t>
      </w:r>
      <w:r w:rsidRPr="00006A39">
        <w:rPr>
          <w:rFonts w:eastAsia="Times New Roman"/>
          <w:szCs w:val="28"/>
          <w:lang w:eastAsia="ru-RU"/>
        </w:rPr>
        <w:t>203</w:t>
      </w:r>
      <w:r w:rsidRPr="00006A39">
        <w:rPr>
          <w:rFonts w:eastAsia="Times New Roman"/>
          <w:bCs/>
          <w:szCs w:val="28"/>
          <w:lang w:eastAsia="ru-RU"/>
        </w:rPr>
        <w:t xml:space="preserve">, </w:t>
      </w:r>
      <w:r w:rsidRPr="00006A39">
        <w:rPr>
          <w:rFonts w:eastAsia="Times New Roman"/>
          <w:szCs w:val="28"/>
          <w:lang w:eastAsia="ru-RU"/>
        </w:rPr>
        <w:t>зв'язок прямий, сила зв'язку за шкалою Чеддока – слабка</w:t>
      </w:r>
      <w:r w:rsidRPr="00006A39">
        <w:rPr>
          <w:rFonts w:eastAsia="Times New Roman"/>
          <w:bCs/>
          <w:szCs w:val="28"/>
          <w:lang w:eastAsia="ru-RU"/>
        </w:rPr>
        <w:t>, ч</w:t>
      </w:r>
      <w:r w:rsidRPr="00006A39">
        <w:rPr>
          <w:rFonts w:eastAsia="Times New Roman"/>
          <w:szCs w:val="28"/>
          <w:lang w:eastAsia="ru-RU"/>
        </w:rPr>
        <w:t>исло ступенів свободи (f) 3</w:t>
      </w:r>
      <w:r w:rsidRPr="00006A39">
        <w:rPr>
          <w:rFonts w:eastAsia="Times New Roman"/>
          <w:bCs/>
          <w:szCs w:val="28"/>
          <w:lang w:eastAsia="ru-RU"/>
        </w:rPr>
        <w:t xml:space="preserve">, </w:t>
      </w:r>
      <w:r w:rsidRPr="00006A39">
        <w:rPr>
          <w:rFonts w:eastAsia="Times New Roman"/>
          <w:szCs w:val="28"/>
          <w:lang w:eastAsia="ru-RU"/>
        </w:rPr>
        <w:t>t-критерій Стьюдента – 0,359</w:t>
      </w:r>
      <w:r w:rsidRPr="00006A39">
        <w:rPr>
          <w:rFonts w:eastAsia="Times New Roman"/>
          <w:bCs/>
          <w:szCs w:val="28"/>
          <w:lang w:eastAsia="ru-RU"/>
        </w:rPr>
        <w:t xml:space="preserve">, </w:t>
      </w:r>
      <w:r w:rsidRPr="00006A39">
        <w:rPr>
          <w:rFonts w:eastAsia="Times New Roman"/>
          <w:szCs w:val="28"/>
          <w:lang w:eastAsia="ru-RU"/>
        </w:rPr>
        <w:t xml:space="preserve"> t</w:t>
      </w:r>
      <w:r w:rsidRPr="00006A39">
        <w:rPr>
          <w:rFonts w:eastAsia="Times New Roman"/>
          <w:szCs w:val="28"/>
          <w:vertAlign w:val="subscript"/>
          <w:lang w:eastAsia="ru-RU"/>
        </w:rPr>
        <w:t>крит.</w:t>
      </w:r>
      <w:r w:rsidRPr="00006A39">
        <w:rPr>
          <w:rFonts w:eastAsia="Times New Roman"/>
          <w:szCs w:val="28"/>
          <w:lang w:eastAsia="ru-RU"/>
        </w:rPr>
        <w:t>-критерію Стьюдента – 3,182, t</w:t>
      </w:r>
      <w:r w:rsidRPr="00006A39">
        <w:rPr>
          <w:rFonts w:eastAsia="Times New Roman"/>
          <w:szCs w:val="28"/>
          <w:vertAlign w:val="subscript"/>
          <w:lang w:eastAsia="ru-RU"/>
        </w:rPr>
        <w:t>спост.</w:t>
      </w:r>
      <w:r w:rsidRPr="00006A39">
        <w:rPr>
          <w:rFonts w:eastAsia="Times New Roman"/>
          <w:szCs w:val="28"/>
          <w:lang w:eastAsia="ru-RU"/>
        </w:rPr>
        <w:t>&lt;t</w:t>
      </w:r>
      <w:r w:rsidRPr="00006A39">
        <w:rPr>
          <w:rFonts w:eastAsia="Times New Roman"/>
          <w:szCs w:val="28"/>
          <w:vertAlign w:val="subscript"/>
          <w:lang w:eastAsia="ru-RU"/>
        </w:rPr>
        <w:t>крит.</w:t>
      </w:r>
      <w:r w:rsidRPr="00006A39">
        <w:rPr>
          <w:rFonts w:eastAsia="Times New Roman"/>
          <w:szCs w:val="28"/>
          <w:lang w:eastAsia="ru-RU"/>
        </w:rPr>
        <w:t>, зв’язок між захворюваністю і смертністю</w:t>
      </w:r>
      <w:r w:rsidR="000D197B">
        <w:rPr>
          <w:rFonts w:eastAsia="Times New Roman"/>
          <w:szCs w:val="28"/>
          <w:lang w:eastAsia="ru-RU"/>
        </w:rPr>
        <w:t xml:space="preserve"> статистично не значимий (p = 0,</w:t>
      </w:r>
      <w:r w:rsidRPr="00006A39">
        <w:rPr>
          <w:rFonts w:eastAsia="Times New Roman"/>
          <w:szCs w:val="28"/>
          <w:lang w:eastAsia="ru-RU"/>
        </w:rPr>
        <w:t>754267).</w:t>
      </w:r>
      <w:r w:rsidRPr="00006A39">
        <w:rPr>
          <w:rFonts w:eastAsia="Times New Roman"/>
          <w:bCs/>
          <w:szCs w:val="28"/>
          <w:lang w:eastAsia="ru-RU"/>
        </w:rPr>
        <w:t xml:space="preserve"> </w:t>
      </w:r>
      <w:r w:rsidRPr="00006A39">
        <w:rPr>
          <w:rFonts w:eastAsia="Times New Roman"/>
          <w:szCs w:val="28"/>
          <w:lang w:eastAsia="ru-RU"/>
        </w:rPr>
        <w:t xml:space="preserve">Рівняння </w:t>
      </w:r>
      <w:r w:rsidR="000D197B">
        <w:rPr>
          <w:rFonts w:eastAsia="Times New Roman"/>
          <w:szCs w:val="28"/>
          <w:lang w:eastAsia="ru-RU"/>
        </w:rPr>
        <w:t>парної лінійної регресії: y = 4,52125 + 0,</w:t>
      </w:r>
      <w:r w:rsidRPr="00006A39">
        <w:rPr>
          <w:rFonts w:eastAsia="Times New Roman"/>
          <w:szCs w:val="28"/>
          <w:lang w:eastAsia="ru-RU"/>
        </w:rPr>
        <w:t>00208 * Х</w:t>
      </w:r>
      <w:r w:rsidRPr="00006A39">
        <w:rPr>
          <w:rFonts w:eastAsia="Times New Roman"/>
          <w:bCs/>
          <w:szCs w:val="28"/>
          <w:lang w:eastAsia="ru-RU"/>
        </w:rPr>
        <w:t xml:space="preserve">, </w:t>
      </w:r>
      <w:r w:rsidRPr="00006A39">
        <w:rPr>
          <w:rFonts w:eastAsia="Times New Roman"/>
          <w:szCs w:val="28"/>
          <w:lang w:eastAsia="ru-RU"/>
        </w:rPr>
        <w:t>коефіцієнт детермінації r</w:t>
      </w:r>
      <w:r w:rsidRPr="00006A39">
        <w:rPr>
          <w:rFonts w:eastAsia="Times New Roman"/>
          <w:szCs w:val="28"/>
          <w:vertAlign w:val="superscript"/>
          <w:lang w:eastAsia="ru-RU"/>
        </w:rPr>
        <w:t>2</w:t>
      </w:r>
      <w:r w:rsidRPr="00006A39">
        <w:rPr>
          <w:rFonts w:eastAsia="Times New Roman"/>
          <w:szCs w:val="28"/>
          <w:lang w:eastAsia="ru-RU"/>
        </w:rPr>
        <w:t xml:space="preserve"> дорівнює 0,041 (факторна озн</w:t>
      </w:r>
      <w:r w:rsidR="00B7463E">
        <w:rPr>
          <w:rFonts w:eastAsia="Times New Roman"/>
          <w:szCs w:val="28"/>
          <w:lang w:eastAsia="ru-RU"/>
        </w:rPr>
        <w:t>ака Х визначає 4,10</w:t>
      </w:r>
      <w:r w:rsidRPr="00006A39">
        <w:rPr>
          <w:rFonts w:eastAsia="Times New Roman"/>
          <w:szCs w:val="28"/>
          <w:lang w:eastAsia="ru-RU"/>
        </w:rPr>
        <w:t xml:space="preserve">5% </w:t>
      </w:r>
      <w:r w:rsidRPr="00006A39">
        <w:rPr>
          <w:rFonts w:eastAsia="Times New Roman"/>
          <w:szCs w:val="28"/>
          <w:lang w:eastAsia="ru-RU"/>
        </w:rPr>
        <w:lastRenderedPageBreak/>
        <w:t>дисперсії залежного ознаки y)</w:t>
      </w:r>
      <w:r w:rsidRPr="00006A39">
        <w:rPr>
          <w:rFonts w:eastAsia="Times New Roman"/>
          <w:bCs/>
          <w:szCs w:val="28"/>
          <w:lang w:eastAsia="ru-RU"/>
        </w:rPr>
        <w:t xml:space="preserve">, </w:t>
      </w:r>
      <w:r w:rsidRPr="00006A39">
        <w:rPr>
          <w:rFonts w:eastAsia="Times New Roman"/>
          <w:szCs w:val="28"/>
          <w:lang w:eastAsia="ru-RU"/>
        </w:rPr>
        <w:t>середня помилка апроксимації, що характеризує адекватність регресійної моделі, становить 3,7%.</w:t>
      </w:r>
    </w:p>
    <w:p w:rsidR="00C95C43" w:rsidRDefault="004F31D7" w:rsidP="00986802">
      <w:pPr>
        <w:widowControl w:val="0"/>
        <w:tabs>
          <w:tab w:val="left" w:pos="993"/>
        </w:tabs>
        <w:ind w:firstLine="720"/>
        <w:rPr>
          <w:rFonts w:eastAsia="Times New Roman"/>
          <w:szCs w:val="28"/>
          <w:lang w:eastAsia="ru-RU"/>
        </w:rPr>
      </w:pPr>
      <w:r w:rsidRPr="00006A39">
        <w:rPr>
          <w:rFonts w:eastAsia="Times New Roman"/>
          <w:szCs w:val="28"/>
          <w:lang w:eastAsia="ru-RU"/>
        </w:rPr>
        <w:t xml:space="preserve">За даними аналізу провідними причинами </w:t>
      </w:r>
      <w:r w:rsidR="00DC343A">
        <w:rPr>
          <w:rFonts w:eastAsia="Times New Roman"/>
          <w:szCs w:val="28"/>
          <w:lang w:eastAsia="ru-RU"/>
        </w:rPr>
        <w:t>захворюваності дітей віком до 1 </w:t>
      </w:r>
      <w:r w:rsidRPr="00006A39">
        <w:rPr>
          <w:rFonts w:eastAsia="Times New Roman"/>
          <w:szCs w:val="28"/>
          <w:lang w:eastAsia="ru-RU"/>
        </w:rPr>
        <w:t>року життя у 2018 р. як і у попередні роки, стали</w:t>
      </w:r>
      <w:r w:rsidR="00874EA7" w:rsidRPr="00874EA7">
        <w:rPr>
          <w:rFonts w:eastAsia="Times New Roman"/>
          <w:szCs w:val="28"/>
          <w:lang w:eastAsia="ru-RU"/>
        </w:rPr>
        <w:t>:</w:t>
      </w:r>
      <w:r w:rsidR="002F737B">
        <w:rPr>
          <w:rFonts w:eastAsia="Times New Roman"/>
          <w:szCs w:val="28"/>
          <w:lang w:eastAsia="ru-RU"/>
        </w:rPr>
        <w:t xml:space="preserve"> хвороби органів дихання (816,61</w:t>
      </w:r>
      <w:r w:rsidRPr="00006A39">
        <w:rPr>
          <w:rFonts w:eastAsia="Times New Roman"/>
          <w:szCs w:val="28"/>
          <w:lang w:eastAsia="ru-RU"/>
        </w:rPr>
        <w:t>‰), окремі стани, що виникають у перинатальному періоді (127,57‰), хвороби крові й кровотворних органів та окремі порушення із залученням імунного механізму (63,88‰), хвороби шкіри та підшкірної клітковини (63,18‰) та хвороби не</w:t>
      </w:r>
      <w:r w:rsidR="004F0A47">
        <w:rPr>
          <w:rFonts w:eastAsia="Times New Roman"/>
          <w:szCs w:val="28"/>
          <w:lang w:eastAsia="ru-RU"/>
        </w:rPr>
        <w:t>рвової системи (61,64‰). За 2014-2018</w:t>
      </w:r>
      <w:r w:rsidRPr="00006A39">
        <w:rPr>
          <w:rFonts w:eastAsia="Times New Roman"/>
          <w:szCs w:val="28"/>
          <w:lang w:eastAsia="ru-RU"/>
        </w:rPr>
        <w:t xml:space="preserve"> рр. відбулось достовірне зниження рівнів захворюваності</w:t>
      </w:r>
      <w:r w:rsidR="00874EA7">
        <w:rPr>
          <w:rFonts w:eastAsia="Times New Roman"/>
          <w:szCs w:val="28"/>
          <w:lang w:eastAsia="ru-RU"/>
        </w:rPr>
        <w:t xml:space="preserve"> дітей віком до 1-го року життя</w:t>
      </w:r>
      <w:r w:rsidRPr="00006A39">
        <w:rPr>
          <w:rFonts w:eastAsia="Times New Roman"/>
          <w:szCs w:val="28"/>
          <w:lang w:eastAsia="ru-RU"/>
        </w:rPr>
        <w:t xml:space="preserve"> за переважною більшістю класів захворювань, за виключенням 3-х класів хвороб за якими відбулось достовірне підвищення: хвороби органів травлення (ВШ 1,06,</w:t>
      </w:r>
      <w:r w:rsidR="00C95C43">
        <w:rPr>
          <w:rFonts w:eastAsia="Times New Roman"/>
          <w:szCs w:val="28"/>
          <w:lang w:eastAsia="ru-RU"/>
        </w:rPr>
        <w:t xml:space="preserve"> 95% ДІ 1,04-1,08,</w:t>
      </w:r>
      <w:r w:rsidR="00E900FA">
        <w:rPr>
          <w:rFonts w:eastAsia="Times New Roman"/>
          <w:szCs w:val="28"/>
          <w:lang w:eastAsia="ru-RU"/>
        </w:rPr>
        <w:t xml:space="preserve"> р&lt;0,001), </w:t>
      </w:r>
      <w:r w:rsidRPr="00006A39">
        <w:rPr>
          <w:rFonts w:eastAsia="Times New Roman"/>
          <w:szCs w:val="28"/>
          <w:lang w:eastAsia="ru-RU"/>
        </w:rPr>
        <w:t>хвороби органів диханн</w:t>
      </w:r>
      <w:r w:rsidR="001E1C91">
        <w:rPr>
          <w:rFonts w:eastAsia="Times New Roman"/>
          <w:szCs w:val="28"/>
          <w:lang w:eastAsia="ru-RU"/>
        </w:rPr>
        <w:t xml:space="preserve">я (ВШ 1,12, </w:t>
      </w:r>
      <w:r w:rsidR="00C95C43">
        <w:rPr>
          <w:rFonts w:eastAsia="Times New Roman"/>
          <w:szCs w:val="28"/>
          <w:lang w:eastAsia="ru-RU"/>
        </w:rPr>
        <w:t xml:space="preserve">95% ДІ 1,11-1,13, </w:t>
      </w:r>
      <w:r w:rsidR="00E900FA">
        <w:rPr>
          <w:rFonts w:eastAsia="Times New Roman"/>
          <w:szCs w:val="28"/>
          <w:lang w:eastAsia="ru-RU"/>
        </w:rPr>
        <w:t xml:space="preserve">р=0,0004), </w:t>
      </w:r>
      <w:r w:rsidR="00E900FA" w:rsidRPr="00E900FA">
        <w:rPr>
          <w:rFonts w:eastAsia="Times New Roman"/>
          <w:szCs w:val="28"/>
          <w:lang w:eastAsia="ru-RU"/>
        </w:rPr>
        <w:t>деяких інфекційних та паразитарних хвороб</w:t>
      </w:r>
      <w:r w:rsidR="00E900FA">
        <w:rPr>
          <w:rFonts w:eastAsia="Times New Roman"/>
          <w:szCs w:val="28"/>
          <w:lang w:eastAsia="ru-RU"/>
        </w:rPr>
        <w:t xml:space="preserve"> </w:t>
      </w:r>
      <w:r w:rsidR="00E900FA" w:rsidRPr="00E900FA">
        <w:rPr>
          <w:rFonts w:eastAsia="Times New Roman"/>
          <w:szCs w:val="28"/>
          <w:lang w:eastAsia="ru-RU"/>
        </w:rPr>
        <w:t xml:space="preserve">(ВШ </w:t>
      </w:r>
      <w:r w:rsidR="00E900FA">
        <w:rPr>
          <w:rFonts w:eastAsia="Times New Roman"/>
          <w:szCs w:val="28"/>
          <w:lang w:eastAsia="ru-RU"/>
        </w:rPr>
        <w:t>0,92</w:t>
      </w:r>
      <w:r w:rsidR="00E900FA" w:rsidRPr="00E900FA">
        <w:rPr>
          <w:rFonts w:eastAsia="Times New Roman"/>
          <w:szCs w:val="28"/>
          <w:lang w:eastAsia="ru-RU"/>
        </w:rPr>
        <w:t xml:space="preserve">, </w:t>
      </w:r>
      <w:r w:rsidR="00E900FA">
        <w:rPr>
          <w:rFonts w:eastAsia="Times New Roman"/>
          <w:szCs w:val="28"/>
          <w:lang w:eastAsia="ru-RU"/>
        </w:rPr>
        <w:t xml:space="preserve">95% ДІ 0,90-0,95, </w:t>
      </w:r>
      <w:r w:rsidR="00874EA7">
        <w:rPr>
          <w:rFonts w:eastAsia="Times New Roman"/>
          <w:szCs w:val="28"/>
          <w:lang w:eastAsia="ru-RU"/>
        </w:rPr>
        <w:t>р&lt;0,001)</w:t>
      </w:r>
      <w:r w:rsidR="002D4A95" w:rsidRPr="002D4A95">
        <w:rPr>
          <w:rFonts w:eastAsia="Times New Roman"/>
          <w:szCs w:val="28"/>
          <w:lang w:eastAsia="ru-RU"/>
        </w:rPr>
        <w:t xml:space="preserve"> (табл. </w:t>
      </w:r>
      <w:r w:rsidR="002D4A95" w:rsidRPr="00F37803">
        <w:rPr>
          <w:rFonts w:eastAsia="Times New Roman"/>
          <w:szCs w:val="28"/>
          <w:lang w:eastAsia="ru-RU"/>
        </w:rPr>
        <w:t>4.3)</w:t>
      </w:r>
      <w:r w:rsidR="00874EA7">
        <w:rPr>
          <w:rFonts w:eastAsia="Times New Roman"/>
          <w:szCs w:val="28"/>
          <w:lang w:eastAsia="ru-RU"/>
        </w:rPr>
        <w:t>.</w:t>
      </w:r>
    </w:p>
    <w:p w:rsidR="004A21A8" w:rsidRPr="00986802" w:rsidRDefault="004A21A8" w:rsidP="004A21A8">
      <w:pPr>
        <w:widowControl w:val="0"/>
        <w:tabs>
          <w:tab w:val="left" w:pos="993"/>
        </w:tabs>
        <w:ind w:firstLine="709"/>
        <w:rPr>
          <w:rFonts w:eastAsia="Times New Roman"/>
          <w:szCs w:val="28"/>
          <w:lang w:eastAsia="ru-RU"/>
        </w:rPr>
      </w:pPr>
      <w:r w:rsidRPr="00006A39">
        <w:rPr>
          <w:rFonts w:eastAsia="Times New Roman"/>
          <w:szCs w:val="28"/>
          <w:lang w:eastAsia="ru-RU"/>
        </w:rPr>
        <w:t>Нами досліджено наявність зв’язку між провідними класами захворюваності дітей 1-го року життя та смертністю за даними класами хвороб за допомогою розрахунку критерію кореляції Спірмена, встановлено: коефіцієнт кореляції Спірмена (ρ) при встановленні зв’язку між захворюваністю на</w:t>
      </w:r>
      <w:r w:rsidRPr="00006A39">
        <w:t xml:space="preserve"> </w:t>
      </w:r>
      <w:r w:rsidRPr="00006A39">
        <w:rPr>
          <w:rFonts w:eastAsia="Times New Roman"/>
          <w:szCs w:val="28"/>
          <w:lang w:eastAsia="ru-RU"/>
        </w:rPr>
        <w:t>деякі інфекційні та паразитарні хвороби та смертністю від даного класу хвороб дорівнює 0,100, зв’язок прямий, сила зв’язку за шкалою Чеддока слабка, f=3, ρ</w:t>
      </w:r>
      <w:r w:rsidRPr="00006A39">
        <w:rPr>
          <w:rFonts w:eastAsia="Times New Roman"/>
          <w:szCs w:val="28"/>
          <w:vertAlign w:val="subscript"/>
          <w:lang w:eastAsia="ru-RU"/>
        </w:rPr>
        <w:t>спост.</w:t>
      </w:r>
      <w:r w:rsidRPr="00006A39">
        <w:rPr>
          <w:rFonts w:eastAsia="Times New Roman"/>
          <w:szCs w:val="28"/>
          <w:lang w:eastAsia="ru-RU"/>
        </w:rPr>
        <w:t xml:space="preserve"> &lt; ρ</w:t>
      </w:r>
      <w:r w:rsidRPr="00006A39">
        <w:rPr>
          <w:rFonts w:eastAsia="Times New Roman"/>
          <w:szCs w:val="28"/>
          <w:vertAlign w:val="subscript"/>
          <w:lang w:eastAsia="ru-RU"/>
        </w:rPr>
        <w:t>крит.</w:t>
      </w:r>
      <w:r w:rsidRPr="00006A39">
        <w:rPr>
          <w:rFonts w:eastAsia="Times New Roman"/>
          <w:szCs w:val="28"/>
          <w:lang w:eastAsia="ru-RU"/>
        </w:rPr>
        <w:t>, залежність статистично не значима (p&gt;0,05); між захворюваністю на хвороби крові й кровотворних органів та окремі порушення із залученням імунного механізму та смертністю ρ= -0,425 (зв’язок зворотній, зв’язок помірний, f=3, ρ</w:t>
      </w:r>
      <w:r w:rsidRPr="00006A39">
        <w:rPr>
          <w:rFonts w:eastAsia="Times New Roman"/>
          <w:szCs w:val="28"/>
          <w:vertAlign w:val="subscript"/>
          <w:lang w:eastAsia="ru-RU"/>
        </w:rPr>
        <w:t>спост.</w:t>
      </w:r>
      <w:r w:rsidRPr="00006A39">
        <w:rPr>
          <w:rFonts w:eastAsia="Times New Roman"/>
          <w:szCs w:val="28"/>
          <w:lang w:eastAsia="ru-RU"/>
        </w:rPr>
        <w:t xml:space="preserve"> &lt; ρ</w:t>
      </w:r>
      <w:r w:rsidRPr="00006A39">
        <w:rPr>
          <w:rFonts w:eastAsia="Times New Roman"/>
          <w:szCs w:val="28"/>
          <w:vertAlign w:val="subscript"/>
          <w:lang w:eastAsia="ru-RU"/>
        </w:rPr>
        <w:t>крит</w:t>
      </w:r>
      <w:r w:rsidRPr="00006A39">
        <w:rPr>
          <w:rFonts w:eastAsia="Times New Roman"/>
          <w:szCs w:val="28"/>
          <w:lang w:eastAsia="ru-RU"/>
        </w:rPr>
        <w:t>, залежність статистично не значима (p&gt;0,05); між захворюваністю на ендокринні хвороби, розлади харчування та порушення обміну речовин та смертністю ρ = -0,100 (зв’язок зворотній, слабкий, f=3, ρ</w:t>
      </w:r>
      <w:r w:rsidRPr="00006A39">
        <w:rPr>
          <w:rFonts w:eastAsia="Times New Roman"/>
          <w:szCs w:val="28"/>
          <w:vertAlign w:val="subscript"/>
          <w:lang w:eastAsia="ru-RU"/>
        </w:rPr>
        <w:t>спост.</w:t>
      </w:r>
      <w:r w:rsidRPr="00006A39">
        <w:rPr>
          <w:rFonts w:eastAsia="Times New Roman"/>
          <w:szCs w:val="28"/>
          <w:lang w:eastAsia="ru-RU"/>
        </w:rPr>
        <w:t xml:space="preserve"> &lt; ρ</w:t>
      </w:r>
      <w:r w:rsidRPr="00006A39">
        <w:rPr>
          <w:rFonts w:eastAsia="Times New Roman"/>
          <w:szCs w:val="28"/>
          <w:vertAlign w:val="subscript"/>
          <w:lang w:eastAsia="ru-RU"/>
        </w:rPr>
        <w:t>крит</w:t>
      </w:r>
      <w:r w:rsidRPr="00006A39">
        <w:rPr>
          <w:rFonts w:eastAsia="Times New Roman"/>
          <w:szCs w:val="28"/>
          <w:lang w:eastAsia="ru-RU"/>
        </w:rPr>
        <w:t>, залежність статистично не значима (p&gt;0,05); у випадку нервових хвороб кореляційний зв’язок між захворюваністю і смертністю ρ = -0,400 (зв’язок зворотній, помірний,.</w:t>
      </w:r>
      <w:r w:rsidRPr="00006A39">
        <w:t xml:space="preserve"> </w:t>
      </w:r>
      <w:r w:rsidRPr="00006A39">
        <w:rPr>
          <w:rFonts w:eastAsia="Times New Roman"/>
          <w:szCs w:val="28"/>
          <w:lang w:eastAsia="ru-RU"/>
        </w:rPr>
        <w:t>ρ</w:t>
      </w:r>
      <w:r w:rsidRPr="00006A39">
        <w:rPr>
          <w:rFonts w:eastAsia="Times New Roman"/>
          <w:szCs w:val="28"/>
          <w:vertAlign w:val="subscript"/>
          <w:lang w:eastAsia="ru-RU"/>
        </w:rPr>
        <w:t>спост.</w:t>
      </w:r>
      <w:r w:rsidRPr="00006A39">
        <w:rPr>
          <w:rFonts w:eastAsia="Times New Roman"/>
          <w:szCs w:val="28"/>
          <w:lang w:eastAsia="ru-RU"/>
        </w:rPr>
        <w:t xml:space="preserve"> &lt; ρ</w:t>
      </w:r>
      <w:r w:rsidRPr="00006A39">
        <w:rPr>
          <w:rFonts w:eastAsia="Times New Roman"/>
          <w:szCs w:val="28"/>
          <w:vertAlign w:val="subscript"/>
          <w:lang w:eastAsia="ru-RU"/>
        </w:rPr>
        <w:t>крит</w:t>
      </w:r>
      <w:r w:rsidRPr="00006A39">
        <w:rPr>
          <w:rFonts w:eastAsia="Times New Roman"/>
          <w:szCs w:val="28"/>
          <w:lang w:eastAsia="ru-RU"/>
        </w:rPr>
        <w:t xml:space="preserve">, залежність статистично не значима (p&gt;0,05); у випадку дослідження кореляційного зв’язку між хворобами органів дихання та смертністю дітей до 1-го року  від даного класу хвороб, хвороб органів травлення та смертністю, природжених вад розвитку, </w:t>
      </w:r>
      <w:r w:rsidRPr="00006A39">
        <w:rPr>
          <w:rFonts w:eastAsia="Times New Roman"/>
          <w:szCs w:val="28"/>
          <w:lang w:eastAsia="ru-RU"/>
        </w:rPr>
        <w:lastRenderedPageBreak/>
        <w:t>деформацій та хромосомних аномалій та смертністю, окремих станів, що виникають у перинатальному періоді та смертністю у всіх випадках отримано ρ</w:t>
      </w:r>
      <w:r w:rsidRPr="00006A39">
        <w:rPr>
          <w:rFonts w:eastAsia="Times New Roman"/>
          <w:szCs w:val="28"/>
          <w:vertAlign w:val="subscript"/>
          <w:lang w:eastAsia="ru-RU"/>
        </w:rPr>
        <w:t>спост.</w:t>
      </w:r>
      <w:r w:rsidRPr="00006A39">
        <w:rPr>
          <w:rFonts w:eastAsia="Times New Roman"/>
          <w:szCs w:val="28"/>
          <w:lang w:eastAsia="ru-RU"/>
        </w:rPr>
        <w:t xml:space="preserve"> &lt; ρ</w:t>
      </w:r>
      <w:r w:rsidRPr="00006A39">
        <w:rPr>
          <w:rFonts w:eastAsia="Times New Roman"/>
          <w:szCs w:val="28"/>
          <w:vertAlign w:val="subscript"/>
          <w:lang w:eastAsia="ru-RU"/>
        </w:rPr>
        <w:t>крит</w:t>
      </w:r>
      <w:r w:rsidRPr="00006A39">
        <w:rPr>
          <w:rFonts w:eastAsia="Times New Roman"/>
          <w:szCs w:val="28"/>
          <w:lang w:eastAsia="ru-RU"/>
        </w:rPr>
        <w:t>, залежність статистично не значима (p&gt;0,05) (ρ =0,100; ρ = -0,700; ρ = 0,800; ρ = 0,700 відповідно). Вищезазначені зв’язки були перевірені кореляційно-регресійним аналізом (коефіцієнтом Пірсона), отримано також статистично не значущі результати (t</w:t>
      </w:r>
      <w:r w:rsidRPr="00006A39">
        <w:rPr>
          <w:rFonts w:eastAsia="Times New Roman"/>
          <w:szCs w:val="28"/>
          <w:vertAlign w:val="subscript"/>
          <w:lang w:eastAsia="ru-RU"/>
        </w:rPr>
        <w:t>спост.</w:t>
      </w:r>
      <w:r w:rsidRPr="00006A39">
        <w:rPr>
          <w:rFonts w:eastAsia="Times New Roman"/>
          <w:szCs w:val="28"/>
          <w:lang w:eastAsia="ru-RU"/>
        </w:rPr>
        <w:t xml:space="preserve"> &lt; t</w:t>
      </w:r>
      <w:r w:rsidRPr="00006A39">
        <w:rPr>
          <w:rFonts w:eastAsia="Times New Roman"/>
          <w:szCs w:val="28"/>
          <w:vertAlign w:val="subscript"/>
          <w:lang w:eastAsia="ru-RU"/>
        </w:rPr>
        <w:t>крит.</w:t>
      </w:r>
      <w:r w:rsidRPr="00006A39">
        <w:rPr>
          <w:rFonts w:eastAsia="Times New Roman"/>
          <w:szCs w:val="28"/>
          <w:lang w:eastAsia="ru-RU"/>
        </w:rPr>
        <w:t>), а саме відсутність статистично достовірного кореляційного зв’язку між захворюваністю і смертністю за відповідними класами захворювань при а</w:t>
      </w:r>
      <w:r w:rsidR="00C83B91">
        <w:rPr>
          <w:rFonts w:eastAsia="Times New Roman"/>
          <w:szCs w:val="28"/>
          <w:lang w:eastAsia="ru-RU"/>
        </w:rPr>
        <w:t>декватності регресійних моделей</w:t>
      </w:r>
      <w:r w:rsidRPr="00006A39">
        <w:rPr>
          <w:rFonts w:eastAsia="Times New Roman"/>
          <w:szCs w:val="28"/>
          <w:lang w:eastAsia="ru-RU"/>
        </w:rPr>
        <w:t>.</w:t>
      </w:r>
    </w:p>
    <w:p w:rsidR="004F31D7" w:rsidRPr="00006A39" w:rsidRDefault="004F31D7" w:rsidP="00721203">
      <w:pPr>
        <w:widowControl w:val="0"/>
        <w:tabs>
          <w:tab w:val="left" w:pos="993"/>
        </w:tabs>
        <w:ind w:firstLine="709"/>
        <w:jc w:val="right"/>
        <w:rPr>
          <w:rFonts w:eastAsia="Times New Roman"/>
          <w:i/>
          <w:szCs w:val="28"/>
          <w:lang w:eastAsia="ru-RU"/>
        </w:rPr>
      </w:pPr>
      <w:r w:rsidRPr="00006A39">
        <w:rPr>
          <w:rFonts w:eastAsia="Times New Roman"/>
          <w:i/>
          <w:szCs w:val="28"/>
          <w:lang w:eastAsia="ru-RU"/>
        </w:rPr>
        <w:t xml:space="preserve">Таблиця 4.3 </w:t>
      </w:r>
    </w:p>
    <w:p w:rsidR="004F31D7" w:rsidRPr="00006A39" w:rsidRDefault="004F31D7" w:rsidP="00721203">
      <w:pPr>
        <w:widowControl w:val="0"/>
        <w:tabs>
          <w:tab w:val="left" w:pos="993"/>
        </w:tabs>
        <w:jc w:val="center"/>
        <w:rPr>
          <w:rFonts w:eastAsia="Times New Roman"/>
          <w:b/>
          <w:bCs/>
          <w:szCs w:val="28"/>
          <w:lang w:eastAsia="ru-RU"/>
        </w:rPr>
      </w:pPr>
      <w:r w:rsidRPr="00006A39">
        <w:rPr>
          <w:rFonts w:eastAsia="Times New Roman"/>
          <w:b/>
          <w:bCs/>
          <w:szCs w:val="28"/>
          <w:lang w:eastAsia="ru-RU"/>
        </w:rPr>
        <w:t xml:space="preserve">Динаміка показника захворюваності дітей першого року життя за основними </w:t>
      </w:r>
      <w:r w:rsidR="008F14D7">
        <w:rPr>
          <w:rFonts w:eastAsia="Times New Roman"/>
          <w:b/>
          <w:bCs/>
          <w:szCs w:val="28"/>
          <w:lang w:eastAsia="ru-RU"/>
        </w:rPr>
        <w:t>класами хвороб в Україні за 2014</w:t>
      </w:r>
      <w:r w:rsidRPr="00006A39">
        <w:rPr>
          <w:rFonts w:eastAsia="Times New Roman"/>
          <w:b/>
          <w:bCs/>
          <w:szCs w:val="28"/>
          <w:lang w:eastAsia="ru-RU"/>
        </w:rPr>
        <w:t>–</w:t>
      </w:r>
      <w:r w:rsidR="000A11CF">
        <w:rPr>
          <w:rFonts w:eastAsia="Times New Roman"/>
          <w:b/>
          <w:bCs/>
          <w:szCs w:val="28"/>
          <w:lang w:eastAsia="ru-RU"/>
        </w:rPr>
        <w:t>2018</w:t>
      </w:r>
      <w:r w:rsidRPr="00C82993">
        <w:rPr>
          <w:rFonts w:eastAsia="Times New Roman"/>
          <w:b/>
          <w:bCs/>
          <w:color w:val="FF0000"/>
          <w:szCs w:val="28"/>
          <w:lang w:eastAsia="ru-RU"/>
        </w:rPr>
        <w:t xml:space="preserve"> </w:t>
      </w:r>
      <w:r w:rsidRPr="00006A39">
        <w:rPr>
          <w:rFonts w:eastAsia="Times New Roman"/>
          <w:b/>
          <w:bCs/>
          <w:szCs w:val="28"/>
          <w:lang w:eastAsia="ru-RU"/>
        </w:rPr>
        <w:t>рр. (на 1000 дітей відповідного віку, ‰)</w:t>
      </w:r>
    </w:p>
    <w:tbl>
      <w:tblPr>
        <w:tblW w:w="0" w:type="auto"/>
        <w:jc w:val="center"/>
        <w:tblInd w:w="197" w:type="dxa"/>
        <w:tblLook w:val="0000" w:firstRow="0" w:lastRow="0" w:firstColumn="0" w:lastColumn="0" w:noHBand="0" w:noVBand="0"/>
      </w:tblPr>
      <w:tblGrid>
        <w:gridCol w:w="5156"/>
        <w:gridCol w:w="1179"/>
        <w:gridCol w:w="1134"/>
        <w:gridCol w:w="1559"/>
        <w:gridCol w:w="993"/>
      </w:tblGrid>
      <w:tr w:rsidR="004F31D7" w:rsidRPr="004F0A47" w:rsidTr="0070521A">
        <w:trPr>
          <w:jc w:val="center"/>
        </w:trPr>
        <w:tc>
          <w:tcPr>
            <w:tcW w:w="51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F31D7" w:rsidRPr="004F0A47" w:rsidRDefault="004F31D7" w:rsidP="004F0A47">
            <w:pPr>
              <w:widowControl w:val="0"/>
              <w:tabs>
                <w:tab w:val="left" w:pos="993"/>
              </w:tabs>
              <w:spacing w:line="276" w:lineRule="auto"/>
              <w:ind w:firstLine="709"/>
              <w:rPr>
                <w:rFonts w:eastAsia="Times New Roman"/>
                <w:sz w:val="24"/>
                <w:szCs w:val="24"/>
                <w:lang w:eastAsia="ru-RU"/>
              </w:rPr>
            </w:pPr>
            <w:r w:rsidRPr="004F0A47">
              <w:rPr>
                <w:rFonts w:eastAsia="Times New Roman"/>
                <w:sz w:val="24"/>
                <w:szCs w:val="24"/>
                <w:lang w:eastAsia="ru-RU"/>
              </w:rPr>
              <w:t>Клас за МКХ-10</w:t>
            </w:r>
          </w:p>
        </w:tc>
        <w:tc>
          <w:tcPr>
            <w:tcW w:w="1179" w:type="dxa"/>
            <w:tcBorders>
              <w:top w:val="single" w:sz="4" w:space="0" w:color="000000"/>
              <w:left w:val="single" w:sz="4" w:space="0" w:color="000000"/>
              <w:bottom w:val="single" w:sz="4" w:space="0" w:color="000000"/>
              <w:right w:val="single" w:sz="4" w:space="0" w:color="000000"/>
            </w:tcBorders>
            <w:vAlign w:val="center"/>
          </w:tcPr>
          <w:p w:rsidR="004F31D7" w:rsidRPr="004F0A47" w:rsidRDefault="006659E2" w:rsidP="004F0A47">
            <w:pPr>
              <w:widowControl w:val="0"/>
              <w:tabs>
                <w:tab w:val="left" w:pos="993"/>
              </w:tabs>
              <w:spacing w:line="276" w:lineRule="auto"/>
              <w:jc w:val="center"/>
              <w:rPr>
                <w:rFonts w:eastAsia="Times New Roman"/>
                <w:sz w:val="24"/>
                <w:szCs w:val="24"/>
                <w:lang w:eastAsia="ru-RU"/>
              </w:rPr>
            </w:pPr>
            <w:r w:rsidRPr="004F0A47">
              <w:rPr>
                <w:rFonts w:eastAsia="Times New Roman"/>
                <w:sz w:val="24"/>
                <w:szCs w:val="24"/>
                <w:lang w:eastAsia="ru-RU"/>
              </w:rPr>
              <w:t>2014</w:t>
            </w:r>
            <w:r w:rsidR="004F31D7" w:rsidRPr="004F0A47">
              <w:rPr>
                <w:rFonts w:eastAsia="Times New Roman"/>
                <w:sz w:val="24"/>
                <w:szCs w:val="24"/>
                <w:lang w:eastAsia="ru-RU"/>
              </w:rPr>
              <w:t xml:space="preserve"> </w:t>
            </w:r>
            <w:r w:rsidR="0070521A">
              <w:rPr>
                <w:rFonts w:eastAsia="Times New Roman"/>
                <w:sz w:val="24"/>
                <w:szCs w:val="24"/>
                <w:lang w:eastAsia="ru-RU"/>
              </w:rPr>
              <w:t>р.</w:t>
            </w:r>
          </w:p>
        </w:tc>
        <w:tc>
          <w:tcPr>
            <w:tcW w:w="1134" w:type="dxa"/>
            <w:tcBorders>
              <w:top w:val="single" w:sz="4" w:space="0" w:color="000000"/>
              <w:left w:val="single" w:sz="4" w:space="0" w:color="000000"/>
              <w:bottom w:val="single" w:sz="4" w:space="0" w:color="000000"/>
              <w:right w:val="single" w:sz="4" w:space="0" w:color="000000"/>
            </w:tcBorders>
            <w:vAlign w:val="center"/>
          </w:tcPr>
          <w:p w:rsidR="004F31D7" w:rsidRPr="004F0A47" w:rsidRDefault="003F7BE2" w:rsidP="004F0A47">
            <w:pPr>
              <w:widowControl w:val="0"/>
              <w:tabs>
                <w:tab w:val="left" w:pos="993"/>
              </w:tabs>
              <w:spacing w:line="276" w:lineRule="auto"/>
              <w:jc w:val="center"/>
              <w:rPr>
                <w:rFonts w:eastAsia="Times New Roman"/>
                <w:sz w:val="24"/>
                <w:szCs w:val="24"/>
                <w:lang w:eastAsia="ru-RU"/>
              </w:rPr>
            </w:pPr>
            <w:r w:rsidRPr="004F0A47">
              <w:rPr>
                <w:rFonts w:eastAsia="Times New Roman"/>
                <w:sz w:val="24"/>
                <w:szCs w:val="24"/>
                <w:lang w:eastAsia="ru-RU"/>
              </w:rPr>
              <w:t>2018</w:t>
            </w:r>
            <w:r w:rsidR="0070521A">
              <w:rPr>
                <w:rFonts w:eastAsia="Times New Roman"/>
                <w:sz w:val="24"/>
                <w:szCs w:val="24"/>
                <w:lang w:eastAsia="ru-RU"/>
              </w:rPr>
              <w:t xml:space="preserve"> р.</w:t>
            </w:r>
            <w:r w:rsidR="004F31D7" w:rsidRPr="004F0A47">
              <w:rPr>
                <w:rFonts w:eastAsia="Times New Roman"/>
                <w:sz w:val="24"/>
                <w:szCs w:val="24"/>
                <w:lang w:eastAsia="ru-RU"/>
              </w:rPr>
              <w:t xml:space="preserve"> </w:t>
            </w:r>
          </w:p>
        </w:tc>
        <w:tc>
          <w:tcPr>
            <w:tcW w:w="1559" w:type="dxa"/>
            <w:tcBorders>
              <w:top w:val="single" w:sz="4" w:space="0" w:color="000000"/>
              <w:left w:val="single" w:sz="4" w:space="0" w:color="000000"/>
              <w:bottom w:val="single" w:sz="4" w:space="0" w:color="000000"/>
              <w:right w:val="single" w:sz="4" w:space="0" w:color="000000"/>
            </w:tcBorders>
            <w:vAlign w:val="center"/>
          </w:tcPr>
          <w:p w:rsidR="004F31D7" w:rsidRPr="004F0A47" w:rsidRDefault="00D23A7C" w:rsidP="004F0A47">
            <w:pPr>
              <w:widowControl w:val="0"/>
              <w:tabs>
                <w:tab w:val="left" w:pos="993"/>
              </w:tabs>
              <w:spacing w:line="276" w:lineRule="auto"/>
              <w:jc w:val="center"/>
              <w:rPr>
                <w:rFonts w:eastAsia="Times New Roman"/>
                <w:sz w:val="24"/>
                <w:szCs w:val="24"/>
                <w:lang w:eastAsia="ru-RU"/>
              </w:rPr>
            </w:pPr>
            <w:r w:rsidRPr="004F0A47">
              <w:rPr>
                <w:rFonts w:eastAsia="Times New Roman"/>
                <w:sz w:val="24"/>
                <w:szCs w:val="24"/>
                <w:lang w:eastAsia="ru-RU"/>
              </w:rPr>
              <w:t xml:space="preserve">ВШ </w:t>
            </w:r>
            <w:r w:rsidR="004F31D7" w:rsidRPr="004F0A47">
              <w:rPr>
                <w:rFonts w:eastAsia="Times New Roman"/>
                <w:sz w:val="24"/>
                <w:szCs w:val="24"/>
                <w:lang w:eastAsia="ru-RU"/>
              </w:rPr>
              <w:t>95% ДІ</w:t>
            </w:r>
          </w:p>
        </w:tc>
        <w:tc>
          <w:tcPr>
            <w:tcW w:w="993" w:type="dxa"/>
            <w:tcBorders>
              <w:top w:val="single" w:sz="4" w:space="0" w:color="000000"/>
              <w:left w:val="single" w:sz="4" w:space="0" w:color="000000"/>
              <w:bottom w:val="single" w:sz="4" w:space="0" w:color="000000"/>
              <w:right w:val="single" w:sz="4" w:space="0" w:color="000000"/>
            </w:tcBorders>
            <w:vAlign w:val="center"/>
          </w:tcPr>
          <w:p w:rsidR="004F31D7" w:rsidRPr="004F0A47" w:rsidRDefault="004F31D7" w:rsidP="004F0A47">
            <w:pPr>
              <w:widowControl w:val="0"/>
              <w:tabs>
                <w:tab w:val="left" w:pos="993"/>
              </w:tabs>
              <w:spacing w:line="276" w:lineRule="auto"/>
              <w:jc w:val="center"/>
              <w:rPr>
                <w:rFonts w:eastAsia="Times New Roman"/>
                <w:sz w:val="24"/>
                <w:szCs w:val="24"/>
                <w:lang w:eastAsia="ru-RU"/>
              </w:rPr>
            </w:pPr>
            <w:r w:rsidRPr="004F0A47">
              <w:rPr>
                <w:rFonts w:eastAsia="Times New Roman"/>
                <w:sz w:val="24"/>
                <w:szCs w:val="24"/>
                <w:lang w:eastAsia="ru-RU"/>
              </w:rPr>
              <w:t>р</w:t>
            </w:r>
          </w:p>
        </w:tc>
      </w:tr>
      <w:tr w:rsidR="006659E2" w:rsidRPr="004F0A47" w:rsidTr="0070521A">
        <w:trPr>
          <w:jc w:val="center"/>
        </w:trPr>
        <w:tc>
          <w:tcPr>
            <w:tcW w:w="5156" w:type="dxa"/>
            <w:tcBorders>
              <w:top w:val="single" w:sz="4" w:space="0" w:color="000000"/>
              <w:left w:val="single" w:sz="4" w:space="0" w:color="000000"/>
              <w:bottom w:val="single" w:sz="4" w:space="0" w:color="000000"/>
              <w:right w:val="single" w:sz="4" w:space="0" w:color="000000"/>
            </w:tcBorders>
          </w:tcPr>
          <w:p w:rsidR="006659E2" w:rsidRPr="004F0A47" w:rsidRDefault="006659E2" w:rsidP="004F0A47">
            <w:pPr>
              <w:widowControl w:val="0"/>
              <w:tabs>
                <w:tab w:val="left" w:pos="993"/>
              </w:tabs>
              <w:spacing w:line="276" w:lineRule="auto"/>
              <w:rPr>
                <w:rFonts w:eastAsia="Times New Roman"/>
                <w:sz w:val="24"/>
                <w:szCs w:val="24"/>
                <w:lang w:eastAsia="ru-RU"/>
              </w:rPr>
            </w:pPr>
            <w:r w:rsidRPr="004F0A47">
              <w:rPr>
                <w:rFonts w:eastAsia="Times New Roman"/>
                <w:sz w:val="24"/>
                <w:szCs w:val="24"/>
                <w:lang w:eastAsia="ru-RU"/>
              </w:rPr>
              <w:t>Деякі інфекційні та паразитарні хвороби</w:t>
            </w:r>
          </w:p>
        </w:tc>
        <w:tc>
          <w:tcPr>
            <w:tcW w:w="1179" w:type="dxa"/>
            <w:tcBorders>
              <w:top w:val="single" w:sz="4" w:space="0" w:color="000000"/>
              <w:left w:val="single" w:sz="4" w:space="0" w:color="000000"/>
              <w:bottom w:val="single" w:sz="4" w:space="0" w:color="000000"/>
              <w:right w:val="single" w:sz="4" w:space="0" w:color="000000"/>
            </w:tcBorders>
          </w:tcPr>
          <w:p w:rsidR="006659E2" w:rsidRPr="004F0A47" w:rsidRDefault="006659E2" w:rsidP="004F0A47">
            <w:pPr>
              <w:tabs>
                <w:tab w:val="left" w:pos="993"/>
              </w:tabs>
              <w:spacing w:line="276" w:lineRule="auto"/>
              <w:jc w:val="center"/>
              <w:rPr>
                <w:rFonts w:eastAsia="Times New Roman"/>
                <w:sz w:val="24"/>
                <w:szCs w:val="24"/>
                <w:lang w:eastAsia="ru-RU"/>
              </w:rPr>
            </w:pPr>
            <w:r w:rsidRPr="004F0A47">
              <w:rPr>
                <w:rFonts w:eastAsia="Times New Roman"/>
                <w:sz w:val="24"/>
                <w:szCs w:val="24"/>
                <w:lang w:eastAsia="ru-RU"/>
              </w:rPr>
              <w:t>32,80</w:t>
            </w:r>
          </w:p>
        </w:tc>
        <w:tc>
          <w:tcPr>
            <w:tcW w:w="1134" w:type="dxa"/>
            <w:tcBorders>
              <w:top w:val="single" w:sz="4" w:space="0" w:color="000000"/>
              <w:left w:val="single" w:sz="4" w:space="0" w:color="000000"/>
              <w:bottom w:val="single" w:sz="4" w:space="0" w:color="000000"/>
              <w:right w:val="single" w:sz="4" w:space="0" w:color="000000"/>
            </w:tcBorders>
          </w:tcPr>
          <w:p w:rsidR="006659E2" w:rsidRPr="004F0A47" w:rsidRDefault="006659E2" w:rsidP="004F0A47">
            <w:pPr>
              <w:tabs>
                <w:tab w:val="left" w:pos="993"/>
              </w:tabs>
              <w:spacing w:line="276" w:lineRule="auto"/>
              <w:jc w:val="center"/>
              <w:rPr>
                <w:rFonts w:eastAsia="Times New Roman"/>
                <w:sz w:val="24"/>
                <w:szCs w:val="24"/>
                <w:lang w:eastAsia="ru-RU"/>
              </w:rPr>
            </w:pPr>
            <w:r w:rsidRPr="004F0A47">
              <w:rPr>
                <w:rFonts w:eastAsia="Times New Roman"/>
                <w:sz w:val="24"/>
                <w:szCs w:val="24"/>
                <w:lang w:eastAsia="ru-RU"/>
              </w:rPr>
              <w:t>32,9</w:t>
            </w:r>
          </w:p>
        </w:tc>
        <w:tc>
          <w:tcPr>
            <w:tcW w:w="1559" w:type="dxa"/>
            <w:tcBorders>
              <w:top w:val="single" w:sz="4" w:space="0" w:color="000000"/>
              <w:left w:val="single" w:sz="4" w:space="0" w:color="000000"/>
              <w:bottom w:val="single" w:sz="4" w:space="0" w:color="000000"/>
              <w:right w:val="single" w:sz="4" w:space="0" w:color="000000"/>
            </w:tcBorders>
          </w:tcPr>
          <w:p w:rsidR="00D37602" w:rsidRPr="004F0A47" w:rsidRDefault="006659E2" w:rsidP="004F0A47">
            <w:pPr>
              <w:widowControl w:val="0"/>
              <w:tabs>
                <w:tab w:val="left" w:pos="993"/>
              </w:tabs>
              <w:spacing w:line="276" w:lineRule="auto"/>
              <w:jc w:val="center"/>
              <w:rPr>
                <w:rFonts w:eastAsia="Times New Roman"/>
                <w:sz w:val="24"/>
                <w:szCs w:val="24"/>
                <w:lang w:eastAsia="ru-RU"/>
              </w:rPr>
            </w:pPr>
            <w:r w:rsidRPr="00D107D5">
              <w:rPr>
                <w:rFonts w:eastAsia="Times New Roman"/>
                <w:sz w:val="24"/>
                <w:szCs w:val="24"/>
                <w:lang w:eastAsia="ru-RU"/>
              </w:rPr>
              <w:t>0,92</w:t>
            </w:r>
          </w:p>
          <w:p w:rsidR="006659E2" w:rsidRPr="004F0A47" w:rsidRDefault="006659E2" w:rsidP="004F0A47">
            <w:pPr>
              <w:widowControl w:val="0"/>
              <w:tabs>
                <w:tab w:val="left" w:pos="993"/>
              </w:tabs>
              <w:spacing w:line="276" w:lineRule="auto"/>
              <w:jc w:val="center"/>
              <w:rPr>
                <w:rFonts w:eastAsia="Times New Roman"/>
                <w:sz w:val="24"/>
                <w:szCs w:val="24"/>
                <w:lang w:eastAsia="ru-RU"/>
              </w:rPr>
            </w:pPr>
            <w:r w:rsidRPr="004F0A47">
              <w:rPr>
                <w:rFonts w:eastAsia="Times New Roman"/>
                <w:sz w:val="24"/>
                <w:szCs w:val="24"/>
                <w:lang w:eastAsia="ru-RU"/>
              </w:rPr>
              <w:t xml:space="preserve"> (0,90-0,95)</w:t>
            </w:r>
          </w:p>
        </w:tc>
        <w:tc>
          <w:tcPr>
            <w:tcW w:w="993" w:type="dxa"/>
            <w:tcBorders>
              <w:top w:val="single" w:sz="4" w:space="0" w:color="000000"/>
              <w:left w:val="single" w:sz="4" w:space="0" w:color="000000"/>
              <w:bottom w:val="single" w:sz="4" w:space="0" w:color="000000"/>
              <w:right w:val="single" w:sz="4" w:space="0" w:color="000000"/>
            </w:tcBorders>
          </w:tcPr>
          <w:p w:rsidR="006659E2" w:rsidRPr="004F0A47" w:rsidRDefault="006659E2" w:rsidP="004F0A47">
            <w:pPr>
              <w:widowControl w:val="0"/>
              <w:tabs>
                <w:tab w:val="left" w:pos="993"/>
              </w:tabs>
              <w:spacing w:line="276" w:lineRule="auto"/>
              <w:jc w:val="center"/>
              <w:rPr>
                <w:rFonts w:eastAsia="Times New Roman"/>
                <w:sz w:val="24"/>
                <w:szCs w:val="24"/>
                <w:lang w:eastAsia="ru-RU"/>
              </w:rPr>
            </w:pPr>
            <w:r w:rsidRPr="004F0A47">
              <w:rPr>
                <w:rFonts w:eastAsia="Times New Roman"/>
                <w:sz w:val="24"/>
                <w:szCs w:val="24"/>
                <w:lang w:eastAsia="ru-RU"/>
              </w:rPr>
              <w:t>&lt;0,001</w:t>
            </w:r>
          </w:p>
        </w:tc>
      </w:tr>
      <w:tr w:rsidR="006659E2" w:rsidRPr="004F0A47" w:rsidTr="0070521A">
        <w:trPr>
          <w:jc w:val="center"/>
        </w:trPr>
        <w:tc>
          <w:tcPr>
            <w:tcW w:w="5156" w:type="dxa"/>
            <w:tcBorders>
              <w:top w:val="single" w:sz="4" w:space="0" w:color="000000"/>
              <w:left w:val="single" w:sz="4" w:space="0" w:color="000000"/>
              <w:bottom w:val="single" w:sz="4" w:space="0" w:color="000000"/>
              <w:right w:val="single" w:sz="4" w:space="0" w:color="000000"/>
            </w:tcBorders>
          </w:tcPr>
          <w:p w:rsidR="006659E2" w:rsidRPr="004F0A47" w:rsidRDefault="006659E2" w:rsidP="004F0A47">
            <w:pPr>
              <w:widowControl w:val="0"/>
              <w:tabs>
                <w:tab w:val="left" w:pos="993"/>
              </w:tabs>
              <w:spacing w:line="276" w:lineRule="auto"/>
              <w:rPr>
                <w:rFonts w:eastAsia="Times New Roman"/>
                <w:sz w:val="24"/>
                <w:szCs w:val="24"/>
                <w:lang w:eastAsia="ru-RU"/>
              </w:rPr>
            </w:pPr>
            <w:r w:rsidRPr="004F0A47">
              <w:rPr>
                <w:rFonts w:eastAsia="Times New Roman"/>
                <w:sz w:val="24"/>
                <w:szCs w:val="24"/>
                <w:lang w:eastAsia="ru-RU"/>
              </w:rPr>
              <w:t>Хвороби крові й кровотворних органів та окремі порушення із залученням імунного механізму</w:t>
            </w:r>
          </w:p>
        </w:tc>
        <w:tc>
          <w:tcPr>
            <w:tcW w:w="1179" w:type="dxa"/>
            <w:tcBorders>
              <w:top w:val="single" w:sz="4" w:space="0" w:color="000000"/>
              <w:left w:val="single" w:sz="4" w:space="0" w:color="000000"/>
              <w:bottom w:val="single" w:sz="4" w:space="0" w:color="000000"/>
              <w:right w:val="single" w:sz="4" w:space="0" w:color="000000"/>
            </w:tcBorders>
          </w:tcPr>
          <w:p w:rsidR="006659E2" w:rsidRPr="004F0A47" w:rsidRDefault="006659E2" w:rsidP="004F0A47">
            <w:pPr>
              <w:tabs>
                <w:tab w:val="left" w:pos="993"/>
              </w:tabs>
              <w:spacing w:line="276" w:lineRule="auto"/>
              <w:jc w:val="center"/>
              <w:rPr>
                <w:rFonts w:eastAsia="Times New Roman"/>
                <w:sz w:val="24"/>
                <w:szCs w:val="24"/>
                <w:lang w:eastAsia="ru-RU"/>
              </w:rPr>
            </w:pPr>
            <w:r w:rsidRPr="004F0A47">
              <w:rPr>
                <w:rFonts w:eastAsia="Times New Roman"/>
                <w:sz w:val="24"/>
                <w:szCs w:val="24"/>
                <w:lang w:eastAsia="ru-RU"/>
              </w:rPr>
              <w:t>71,24</w:t>
            </w:r>
          </w:p>
        </w:tc>
        <w:tc>
          <w:tcPr>
            <w:tcW w:w="1134" w:type="dxa"/>
            <w:tcBorders>
              <w:top w:val="single" w:sz="4" w:space="0" w:color="000000"/>
              <w:left w:val="single" w:sz="4" w:space="0" w:color="000000"/>
              <w:bottom w:val="single" w:sz="4" w:space="0" w:color="000000"/>
              <w:right w:val="single" w:sz="4" w:space="0" w:color="000000"/>
            </w:tcBorders>
          </w:tcPr>
          <w:p w:rsidR="006659E2" w:rsidRPr="004F0A47" w:rsidRDefault="006659E2" w:rsidP="004F0A47">
            <w:pPr>
              <w:tabs>
                <w:tab w:val="left" w:pos="993"/>
              </w:tabs>
              <w:spacing w:line="276" w:lineRule="auto"/>
              <w:jc w:val="center"/>
              <w:rPr>
                <w:rFonts w:eastAsia="Times New Roman"/>
                <w:sz w:val="24"/>
                <w:szCs w:val="24"/>
                <w:lang w:eastAsia="ru-RU"/>
              </w:rPr>
            </w:pPr>
            <w:r w:rsidRPr="004F0A47">
              <w:rPr>
                <w:rFonts w:eastAsia="Times New Roman"/>
                <w:sz w:val="24"/>
                <w:szCs w:val="24"/>
                <w:lang w:eastAsia="ru-RU"/>
              </w:rPr>
              <w:t>63,88</w:t>
            </w:r>
          </w:p>
        </w:tc>
        <w:tc>
          <w:tcPr>
            <w:tcW w:w="1559" w:type="dxa"/>
            <w:tcBorders>
              <w:top w:val="single" w:sz="4" w:space="0" w:color="000000"/>
              <w:left w:val="single" w:sz="4" w:space="0" w:color="000000"/>
              <w:bottom w:val="single" w:sz="4" w:space="0" w:color="000000"/>
              <w:right w:val="single" w:sz="4" w:space="0" w:color="000000"/>
            </w:tcBorders>
          </w:tcPr>
          <w:p w:rsidR="00D37602" w:rsidRPr="004F0A47" w:rsidRDefault="006659E2" w:rsidP="004F0A47">
            <w:pPr>
              <w:widowControl w:val="0"/>
              <w:tabs>
                <w:tab w:val="left" w:pos="993"/>
              </w:tabs>
              <w:spacing w:line="276" w:lineRule="auto"/>
              <w:jc w:val="center"/>
              <w:rPr>
                <w:rFonts w:eastAsia="Times New Roman"/>
                <w:sz w:val="24"/>
                <w:szCs w:val="24"/>
                <w:lang w:eastAsia="ru-RU"/>
              </w:rPr>
            </w:pPr>
            <w:r w:rsidRPr="004F0A47">
              <w:rPr>
                <w:rFonts w:eastAsia="Times New Roman"/>
                <w:sz w:val="24"/>
                <w:szCs w:val="24"/>
                <w:lang w:eastAsia="ru-RU"/>
              </w:rPr>
              <w:t xml:space="preserve">0,94 </w:t>
            </w:r>
          </w:p>
          <w:p w:rsidR="006659E2" w:rsidRPr="004F0A47" w:rsidRDefault="006659E2" w:rsidP="004F0A47">
            <w:pPr>
              <w:widowControl w:val="0"/>
              <w:tabs>
                <w:tab w:val="left" w:pos="993"/>
              </w:tabs>
              <w:spacing w:line="276" w:lineRule="auto"/>
              <w:jc w:val="center"/>
              <w:rPr>
                <w:rFonts w:eastAsia="Times New Roman"/>
                <w:sz w:val="24"/>
                <w:szCs w:val="24"/>
                <w:lang w:eastAsia="ru-RU"/>
              </w:rPr>
            </w:pPr>
            <w:r w:rsidRPr="004F0A47">
              <w:rPr>
                <w:rFonts w:eastAsia="Times New Roman"/>
                <w:sz w:val="24"/>
                <w:szCs w:val="24"/>
                <w:lang w:eastAsia="ru-RU"/>
              </w:rPr>
              <w:t>(0,92-0,96)</w:t>
            </w:r>
          </w:p>
        </w:tc>
        <w:tc>
          <w:tcPr>
            <w:tcW w:w="993" w:type="dxa"/>
            <w:tcBorders>
              <w:top w:val="single" w:sz="4" w:space="0" w:color="000000"/>
              <w:left w:val="single" w:sz="4" w:space="0" w:color="000000"/>
              <w:bottom w:val="single" w:sz="4" w:space="0" w:color="000000"/>
              <w:right w:val="single" w:sz="4" w:space="0" w:color="000000"/>
            </w:tcBorders>
          </w:tcPr>
          <w:p w:rsidR="006659E2" w:rsidRPr="004F0A47" w:rsidRDefault="006659E2" w:rsidP="004F0A47">
            <w:pPr>
              <w:widowControl w:val="0"/>
              <w:spacing w:line="276" w:lineRule="auto"/>
              <w:rPr>
                <w:sz w:val="24"/>
                <w:szCs w:val="24"/>
              </w:rPr>
            </w:pPr>
            <w:r w:rsidRPr="004F0A47">
              <w:rPr>
                <w:rFonts w:eastAsia="Times New Roman"/>
                <w:sz w:val="24"/>
                <w:szCs w:val="24"/>
                <w:lang w:eastAsia="ru-RU"/>
              </w:rPr>
              <w:t>&lt;0,001</w:t>
            </w:r>
          </w:p>
        </w:tc>
      </w:tr>
      <w:tr w:rsidR="006659E2" w:rsidRPr="004F0A47" w:rsidTr="0070521A">
        <w:trPr>
          <w:jc w:val="center"/>
        </w:trPr>
        <w:tc>
          <w:tcPr>
            <w:tcW w:w="5156" w:type="dxa"/>
            <w:tcBorders>
              <w:top w:val="single" w:sz="4" w:space="0" w:color="000000"/>
              <w:left w:val="single" w:sz="4" w:space="0" w:color="000000"/>
              <w:bottom w:val="single" w:sz="4" w:space="0" w:color="000000"/>
              <w:right w:val="single" w:sz="4" w:space="0" w:color="000000"/>
            </w:tcBorders>
          </w:tcPr>
          <w:p w:rsidR="006659E2" w:rsidRPr="004F0A47" w:rsidRDefault="006659E2" w:rsidP="004F0A47">
            <w:pPr>
              <w:widowControl w:val="0"/>
              <w:tabs>
                <w:tab w:val="left" w:pos="993"/>
              </w:tabs>
              <w:spacing w:line="276" w:lineRule="auto"/>
              <w:rPr>
                <w:rFonts w:eastAsia="Times New Roman"/>
                <w:sz w:val="24"/>
                <w:szCs w:val="24"/>
                <w:lang w:eastAsia="ru-RU"/>
              </w:rPr>
            </w:pPr>
            <w:r w:rsidRPr="004F0A47">
              <w:rPr>
                <w:rFonts w:eastAsia="Times New Roman"/>
                <w:sz w:val="24"/>
                <w:szCs w:val="24"/>
                <w:lang w:eastAsia="ru-RU"/>
              </w:rPr>
              <w:t>Ендокринні хвороби, розлади харчування та порушення обміну речовин</w:t>
            </w:r>
          </w:p>
        </w:tc>
        <w:tc>
          <w:tcPr>
            <w:tcW w:w="1179" w:type="dxa"/>
            <w:tcBorders>
              <w:top w:val="single" w:sz="4" w:space="0" w:color="000000"/>
              <w:left w:val="single" w:sz="4" w:space="0" w:color="000000"/>
              <w:bottom w:val="single" w:sz="4" w:space="0" w:color="000000"/>
              <w:right w:val="single" w:sz="4" w:space="0" w:color="000000"/>
            </w:tcBorders>
          </w:tcPr>
          <w:p w:rsidR="006659E2" w:rsidRPr="004F0A47" w:rsidRDefault="006659E2" w:rsidP="004F0A47">
            <w:pPr>
              <w:tabs>
                <w:tab w:val="left" w:pos="993"/>
              </w:tabs>
              <w:spacing w:line="276" w:lineRule="auto"/>
              <w:jc w:val="center"/>
              <w:rPr>
                <w:rFonts w:eastAsia="Times New Roman"/>
                <w:sz w:val="24"/>
                <w:szCs w:val="24"/>
                <w:lang w:eastAsia="ru-RU"/>
              </w:rPr>
            </w:pPr>
            <w:r w:rsidRPr="004F0A47">
              <w:rPr>
                <w:rFonts w:eastAsia="Times New Roman"/>
                <w:sz w:val="24"/>
                <w:szCs w:val="24"/>
                <w:lang w:eastAsia="ru-RU"/>
              </w:rPr>
              <w:t>41,1</w:t>
            </w:r>
          </w:p>
        </w:tc>
        <w:tc>
          <w:tcPr>
            <w:tcW w:w="1134" w:type="dxa"/>
            <w:tcBorders>
              <w:top w:val="single" w:sz="4" w:space="0" w:color="000000"/>
              <w:left w:val="single" w:sz="4" w:space="0" w:color="000000"/>
              <w:bottom w:val="single" w:sz="4" w:space="0" w:color="000000"/>
              <w:right w:val="single" w:sz="4" w:space="0" w:color="000000"/>
            </w:tcBorders>
          </w:tcPr>
          <w:p w:rsidR="006659E2" w:rsidRPr="004F0A47" w:rsidRDefault="006659E2" w:rsidP="004F0A47">
            <w:pPr>
              <w:tabs>
                <w:tab w:val="left" w:pos="993"/>
              </w:tabs>
              <w:spacing w:line="276" w:lineRule="auto"/>
              <w:jc w:val="center"/>
              <w:rPr>
                <w:rFonts w:eastAsia="Times New Roman"/>
                <w:sz w:val="24"/>
                <w:szCs w:val="24"/>
                <w:lang w:eastAsia="ru-RU"/>
              </w:rPr>
            </w:pPr>
            <w:r w:rsidRPr="004F0A47">
              <w:rPr>
                <w:rFonts w:eastAsia="Times New Roman"/>
                <w:sz w:val="24"/>
                <w:szCs w:val="24"/>
                <w:lang w:eastAsia="ru-RU"/>
              </w:rPr>
              <w:t>31,47</w:t>
            </w:r>
          </w:p>
        </w:tc>
        <w:tc>
          <w:tcPr>
            <w:tcW w:w="1559" w:type="dxa"/>
            <w:tcBorders>
              <w:top w:val="single" w:sz="4" w:space="0" w:color="000000"/>
              <w:left w:val="single" w:sz="4" w:space="0" w:color="000000"/>
              <w:bottom w:val="single" w:sz="4" w:space="0" w:color="000000"/>
              <w:right w:val="single" w:sz="4" w:space="0" w:color="000000"/>
            </w:tcBorders>
          </w:tcPr>
          <w:p w:rsidR="00D37602" w:rsidRPr="004F0A47" w:rsidRDefault="006659E2" w:rsidP="004F0A47">
            <w:pPr>
              <w:widowControl w:val="0"/>
              <w:tabs>
                <w:tab w:val="left" w:pos="993"/>
              </w:tabs>
              <w:spacing w:line="276" w:lineRule="auto"/>
              <w:jc w:val="center"/>
              <w:rPr>
                <w:rFonts w:eastAsia="Times New Roman"/>
                <w:sz w:val="24"/>
                <w:szCs w:val="24"/>
                <w:lang w:eastAsia="ru-RU"/>
              </w:rPr>
            </w:pPr>
            <w:r w:rsidRPr="004F0A47">
              <w:rPr>
                <w:rFonts w:eastAsia="Times New Roman"/>
                <w:sz w:val="24"/>
                <w:szCs w:val="24"/>
                <w:lang w:eastAsia="ru-RU"/>
              </w:rPr>
              <w:t xml:space="preserve">0,88 </w:t>
            </w:r>
          </w:p>
          <w:p w:rsidR="006659E2" w:rsidRPr="004F0A47" w:rsidRDefault="006659E2" w:rsidP="004F0A47">
            <w:pPr>
              <w:widowControl w:val="0"/>
              <w:tabs>
                <w:tab w:val="left" w:pos="993"/>
              </w:tabs>
              <w:spacing w:line="276" w:lineRule="auto"/>
              <w:jc w:val="center"/>
              <w:rPr>
                <w:rFonts w:eastAsia="Times New Roman"/>
                <w:sz w:val="24"/>
                <w:szCs w:val="24"/>
                <w:lang w:eastAsia="ru-RU"/>
              </w:rPr>
            </w:pPr>
            <w:r w:rsidRPr="004F0A47">
              <w:rPr>
                <w:rFonts w:eastAsia="Times New Roman"/>
                <w:sz w:val="24"/>
                <w:szCs w:val="24"/>
                <w:lang w:eastAsia="ru-RU"/>
              </w:rPr>
              <w:t>(0,86-0,90)</w:t>
            </w:r>
          </w:p>
        </w:tc>
        <w:tc>
          <w:tcPr>
            <w:tcW w:w="993" w:type="dxa"/>
            <w:tcBorders>
              <w:top w:val="single" w:sz="4" w:space="0" w:color="000000"/>
              <w:left w:val="single" w:sz="4" w:space="0" w:color="000000"/>
              <w:bottom w:val="single" w:sz="4" w:space="0" w:color="000000"/>
              <w:right w:val="single" w:sz="4" w:space="0" w:color="000000"/>
            </w:tcBorders>
          </w:tcPr>
          <w:p w:rsidR="006659E2" w:rsidRPr="004F0A47" w:rsidRDefault="006659E2" w:rsidP="004F0A47">
            <w:pPr>
              <w:widowControl w:val="0"/>
              <w:spacing w:line="276" w:lineRule="auto"/>
              <w:rPr>
                <w:sz w:val="24"/>
                <w:szCs w:val="24"/>
              </w:rPr>
            </w:pPr>
            <w:r w:rsidRPr="004F0A47">
              <w:rPr>
                <w:rFonts w:eastAsia="Times New Roman"/>
                <w:sz w:val="24"/>
                <w:szCs w:val="24"/>
                <w:lang w:eastAsia="ru-RU"/>
              </w:rPr>
              <w:t>&lt;0,001</w:t>
            </w:r>
          </w:p>
        </w:tc>
      </w:tr>
      <w:tr w:rsidR="006659E2" w:rsidRPr="004F0A47" w:rsidTr="0070521A">
        <w:trPr>
          <w:jc w:val="center"/>
        </w:trPr>
        <w:tc>
          <w:tcPr>
            <w:tcW w:w="5156" w:type="dxa"/>
            <w:tcBorders>
              <w:top w:val="single" w:sz="4" w:space="0" w:color="000000"/>
              <w:left w:val="single" w:sz="4" w:space="0" w:color="000000"/>
              <w:bottom w:val="single" w:sz="4" w:space="0" w:color="000000"/>
              <w:right w:val="single" w:sz="4" w:space="0" w:color="000000"/>
            </w:tcBorders>
          </w:tcPr>
          <w:p w:rsidR="006659E2" w:rsidRPr="004F0A47" w:rsidRDefault="006659E2" w:rsidP="004F0A47">
            <w:pPr>
              <w:widowControl w:val="0"/>
              <w:tabs>
                <w:tab w:val="left" w:pos="993"/>
              </w:tabs>
              <w:spacing w:line="276" w:lineRule="auto"/>
              <w:rPr>
                <w:rFonts w:eastAsia="Times New Roman"/>
                <w:sz w:val="24"/>
                <w:szCs w:val="24"/>
                <w:lang w:eastAsia="ru-RU"/>
              </w:rPr>
            </w:pPr>
            <w:r w:rsidRPr="004F0A47">
              <w:rPr>
                <w:rFonts w:eastAsia="Times New Roman"/>
                <w:sz w:val="24"/>
                <w:szCs w:val="24"/>
                <w:lang w:eastAsia="ru-RU"/>
              </w:rPr>
              <w:t>Хвороби нервової системи</w:t>
            </w:r>
          </w:p>
        </w:tc>
        <w:tc>
          <w:tcPr>
            <w:tcW w:w="1179" w:type="dxa"/>
            <w:tcBorders>
              <w:top w:val="single" w:sz="4" w:space="0" w:color="000000"/>
              <w:left w:val="single" w:sz="4" w:space="0" w:color="000000"/>
              <w:bottom w:val="single" w:sz="4" w:space="0" w:color="000000"/>
              <w:right w:val="single" w:sz="4" w:space="0" w:color="000000"/>
            </w:tcBorders>
          </w:tcPr>
          <w:p w:rsidR="006659E2" w:rsidRPr="004F0A47" w:rsidRDefault="006659E2" w:rsidP="004F0A47">
            <w:pPr>
              <w:tabs>
                <w:tab w:val="left" w:pos="993"/>
              </w:tabs>
              <w:spacing w:line="276" w:lineRule="auto"/>
              <w:jc w:val="center"/>
              <w:rPr>
                <w:rFonts w:eastAsia="Times New Roman"/>
                <w:sz w:val="24"/>
                <w:szCs w:val="24"/>
                <w:lang w:eastAsia="ru-RU"/>
              </w:rPr>
            </w:pPr>
            <w:r w:rsidRPr="004F0A47">
              <w:rPr>
                <w:rFonts w:eastAsia="Times New Roman"/>
                <w:sz w:val="24"/>
                <w:szCs w:val="24"/>
                <w:lang w:eastAsia="ru-RU"/>
              </w:rPr>
              <w:t>62,40</w:t>
            </w:r>
          </w:p>
        </w:tc>
        <w:tc>
          <w:tcPr>
            <w:tcW w:w="1134" w:type="dxa"/>
            <w:tcBorders>
              <w:top w:val="single" w:sz="4" w:space="0" w:color="000000"/>
              <w:left w:val="single" w:sz="4" w:space="0" w:color="000000"/>
              <w:bottom w:val="single" w:sz="4" w:space="0" w:color="000000"/>
              <w:right w:val="single" w:sz="4" w:space="0" w:color="000000"/>
            </w:tcBorders>
          </w:tcPr>
          <w:p w:rsidR="006659E2" w:rsidRPr="004F0A47" w:rsidRDefault="006659E2" w:rsidP="004F0A47">
            <w:pPr>
              <w:tabs>
                <w:tab w:val="left" w:pos="993"/>
              </w:tabs>
              <w:spacing w:line="276" w:lineRule="auto"/>
              <w:jc w:val="center"/>
              <w:rPr>
                <w:rFonts w:eastAsia="Times New Roman"/>
                <w:sz w:val="24"/>
                <w:szCs w:val="24"/>
                <w:lang w:eastAsia="ru-RU"/>
              </w:rPr>
            </w:pPr>
            <w:r w:rsidRPr="004F0A47">
              <w:rPr>
                <w:rFonts w:eastAsia="Times New Roman"/>
                <w:sz w:val="24"/>
                <w:szCs w:val="24"/>
                <w:lang w:eastAsia="ru-RU"/>
              </w:rPr>
              <w:t>61,64</w:t>
            </w:r>
          </w:p>
        </w:tc>
        <w:tc>
          <w:tcPr>
            <w:tcW w:w="1559" w:type="dxa"/>
            <w:tcBorders>
              <w:top w:val="single" w:sz="4" w:space="0" w:color="000000"/>
              <w:left w:val="single" w:sz="4" w:space="0" w:color="000000"/>
              <w:bottom w:val="single" w:sz="4" w:space="0" w:color="000000"/>
              <w:right w:val="single" w:sz="4" w:space="0" w:color="000000"/>
            </w:tcBorders>
          </w:tcPr>
          <w:p w:rsidR="00D37602" w:rsidRPr="004F0A47" w:rsidRDefault="006659E2" w:rsidP="004F0A47">
            <w:pPr>
              <w:widowControl w:val="0"/>
              <w:tabs>
                <w:tab w:val="left" w:pos="993"/>
              </w:tabs>
              <w:spacing w:line="276" w:lineRule="auto"/>
              <w:jc w:val="center"/>
              <w:rPr>
                <w:rFonts w:eastAsia="Times New Roman"/>
                <w:sz w:val="24"/>
                <w:szCs w:val="24"/>
                <w:lang w:eastAsia="ru-RU"/>
              </w:rPr>
            </w:pPr>
            <w:r w:rsidRPr="004F0A47">
              <w:rPr>
                <w:rFonts w:eastAsia="Times New Roman"/>
                <w:sz w:val="24"/>
                <w:szCs w:val="24"/>
                <w:lang w:eastAsia="ru-RU"/>
              </w:rPr>
              <w:t xml:space="preserve">0,94 </w:t>
            </w:r>
          </w:p>
          <w:p w:rsidR="006659E2" w:rsidRPr="004F0A47" w:rsidRDefault="006659E2" w:rsidP="004F0A47">
            <w:pPr>
              <w:widowControl w:val="0"/>
              <w:tabs>
                <w:tab w:val="left" w:pos="993"/>
              </w:tabs>
              <w:spacing w:line="276" w:lineRule="auto"/>
              <w:jc w:val="center"/>
              <w:rPr>
                <w:rFonts w:eastAsia="Times New Roman"/>
                <w:sz w:val="24"/>
                <w:szCs w:val="24"/>
                <w:lang w:eastAsia="ru-RU"/>
              </w:rPr>
            </w:pPr>
            <w:r w:rsidRPr="004F0A47">
              <w:rPr>
                <w:rFonts w:eastAsia="Times New Roman"/>
                <w:sz w:val="24"/>
                <w:szCs w:val="24"/>
                <w:lang w:eastAsia="ru-RU"/>
              </w:rPr>
              <w:t>(0,92-0,95)</w:t>
            </w:r>
          </w:p>
        </w:tc>
        <w:tc>
          <w:tcPr>
            <w:tcW w:w="993" w:type="dxa"/>
            <w:tcBorders>
              <w:top w:val="single" w:sz="4" w:space="0" w:color="000000"/>
              <w:left w:val="single" w:sz="4" w:space="0" w:color="000000"/>
              <w:bottom w:val="single" w:sz="4" w:space="0" w:color="000000"/>
              <w:right w:val="single" w:sz="4" w:space="0" w:color="000000"/>
            </w:tcBorders>
          </w:tcPr>
          <w:p w:rsidR="006659E2" w:rsidRPr="004F0A47" w:rsidRDefault="006659E2" w:rsidP="004F0A47">
            <w:pPr>
              <w:widowControl w:val="0"/>
              <w:spacing w:line="276" w:lineRule="auto"/>
              <w:rPr>
                <w:sz w:val="24"/>
                <w:szCs w:val="24"/>
              </w:rPr>
            </w:pPr>
            <w:r w:rsidRPr="004F0A47">
              <w:rPr>
                <w:rFonts w:eastAsia="Times New Roman"/>
                <w:sz w:val="24"/>
                <w:szCs w:val="24"/>
                <w:lang w:eastAsia="ru-RU"/>
              </w:rPr>
              <w:t>&lt;0,001</w:t>
            </w:r>
          </w:p>
        </w:tc>
      </w:tr>
      <w:tr w:rsidR="006659E2" w:rsidRPr="004F0A47" w:rsidTr="0070521A">
        <w:trPr>
          <w:jc w:val="center"/>
        </w:trPr>
        <w:tc>
          <w:tcPr>
            <w:tcW w:w="5156" w:type="dxa"/>
            <w:tcBorders>
              <w:top w:val="single" w:sz="4" w:space="0" w:color="000000"/>
              <w:left w:val="single" w:sz="4" w:space="0" w:color="000000"/>
              <w:bottom w:val="single" w:sz="4" w:space="0" w:color="000000"/>
              <w:right w:val="single" w:sz="4" w:space="0" w:color="000000"/>
            </w:tcBorders>
            <w:vAlign w:val="center"/>
          </w:tcPr>
          <w:p w:rsidR="006659E2" w:rsidRPr="004F0A47" w:rsidRDefault="006659E2" w:rsidP="004F0A47">
            <w:pPr>
              <w:widowControl w:val="0"/>
              <w:tabs>
                <w:tab w:val="left" w:pos="993"/>
              </w:tabs>
              <w:spacing w:line="276" w:lineRule="auto"/>
              <w:rPr>
                <w:rFonts w:eastAsia="Times New Roman"/>
                <w:sz w:val="24"/>
                <w:szCs w:val="24"/>
                <w:lang w:eastAsia="ru-RU"/>
              </w:rPr>
            </w:pPr>
            <w:r w:rsidRPr="004F0A47">
              <w:rPr>
                <w:rFonts w:eastAsia="Times New Roman"/>
                <w:sz w:val="24"/>
                <w:szCs w:val="24"/>
                <w:lang w:eastAsia="ru-RU"/>
              </w:rPr>
              <w:t>Хвороби вуха та соскоподібного відростка</w:t>
            </w:r>
          </w:p>
        </w:tc>
        <w:tc>
          <w:tcPr>
            <w:tcW w:w="1179" w:type="dxa"/>
            <w:tcBorders>
              <w:top w:val="single" w:sz="4" w:space="0" w:color="000000"/>
              <w:left w:val="single" w:sz="4" w:space="0" w:color="000000"/>
              <w:bottom w:val="single" w:sz="4" w:space="0" w:color="000000"/>
              <w:right w:val="single" w:sz="4" w:space="0" w:color="000000"/>
            </w:tcBorders>
          </w:tcPr>
          <w:p w:rsidR="006659E2" w:rsidRPr="004F0A47" w:rsidRDefault="006659E2" w:rsidP="004F0A47">
            <w:pPr>
              <w:tabs>
                <w:tab w:val="left" w:pos="993"/>
              </w:tabs>
              <w:spacing w:line="276" w:lineRule="auto"/>
              <w:jc w:val="center"/>
              <w:rPr>
                <w:rFonts w:eastAsia="Times New Roman"/>
                <w:sz w:val="24"/>
                <w:szCs w:val="24"/>
                <w:lang w:eastAsia="ru-RU"/>
              </w:rPr>
            </w:pPr>
            <w:r w:rsidRPr="004F0A47">
              <w:rPr>
                <w:rFonts w:eastAsia="Times New Roman"/>
                <w:sz w:val="24"/>
                <w:szCs w:val="24"/>
                <w:lang w:eastAsia="ru-RU"/>
              </w:rPr>
              <w:t>27,01</w:t>
            </w:r>
          </w:p>
        </w:tc>
        <w:tc>
          <w:tcPr>
            <w:tcW w:w="1134" w:type="dxa"/>
            <w:tcBorders>
              <w:top w:val="single" w:sz="4" w:space="0" w:color="000000"/>
              <w:left w:val="single" w:sz="4" w:space="0" w:color="000000"/>
              <w:bottom w:val="single" w:sz="4" w:space="0" w:color="000000"/>
              <w:right w:val="single" w:sz="4" w:space="0" w:color="000000"/>
            </w:tcBorders>
          </w:tcPr>
          <w:p w:rsidR="006659E2" w:rsidRPr="004F0A47" w:rsidRDefault="006659E2" w:rsidP="004F0A47">
            <w:pPr>
              <w:tabs>
                <w:tab w:val="left" w:pos="993"/>
              </w:tabs>
              <w:spacing w:line="276" w:lineRule="auto"/>
              <w:jc w:val="center"/>
              <w:rPr>
                <w:rFonts w:eastAsia="Times New Roman"/>
                <w:sz w:val="24"/>
                <w:szCs w:val="24"/>
                <w:lang w:eastAsia="ru-RU"/>
              </w:rPr>
            </w:pPr>
            <w:r w:rsidRPr="004F0A47">
              <w:rPr>
                <w:rFonts w:eastAsia="Times New Roman"/>
                <w:sz w:val="24"/>
                <w:szCs w:val="24"/>
                <w:lang w:eastAsia="ru-RU"/>
              </w:rPr>
              <w:t>25,67</w:t>
            </w:r>
          </w:p>
        </w:tc>
        <w:tc>
          <w:tcPr>
            <w:tcW w:w="1559" w:type="dxa"/>
            <w:tcBorders>
              <w:top w:val="single" w:sz="4" w:space="0" w:color="000000"/>
              <w:left w:val="single" w:sz="4" w:space="0" w:color="000000"/>
              <w:bottom w:val="single" w:sz="4" w:space="0" w:color="000000"/>
              <w:right w:val="single" w:sz="4" w:space="0" w:color="000000"/>
            </w:tcBorders>
          </w:tcPr>
          <w:p w:rsidR="00D37602" w:rsidRPr="004F0A47" w:rsidRDefault="006659E2" w:rsidP="004F0A47">
            <w:pPr>
              <w:widowControl w:val="0"/>
              <w:tabs>
                <w:tab w:val="left" w:pos="993"/>
              </w:tabs>
              <w:spacing w:line="276" w:lineRule="auto"/>
              <w:jc w:val="center"/>
              <w:rPr>
                <w:rFonts w:eastAsia="Times New Roman"/>
                <w:sz w:val="24"/>
                <w:szCs w:val="24"/>
                <w:lang w:eastAsia="ru-RU"/>
              </w:rPr>
            </w:pPr>
            <w:r w:rsidRPr="004F0A47">
              <w:rPr>
                <w:rFonts w:eastAsia="Times New Roman"/>
                <w:sz w:val="24"/>
                <w:szCs w:val="24"/>
                <w:lang w:eastAsia="ru-RU"/>
              </w:rPr>
              <w:t xml:space="preserve">0,94 </w:t>
            </w:r>
          </w:p>
          <w:p w:rsidR="006659E2" w:rsidRPr="004F0A47" w:rsidRDefault="006659E2" w:rsidP="004F0A47">
            <w:pPr>
              <w:widowControl w:val="0"/>
              <w:tabs>
                <w:tab w:val="left" w:pos="993"/>
              </w:tabs>
              <w:spacing w:line="276" w:lineRule="auto"/>
              <w:jc w:val="center"/>
              <w:rPr>
                <w:rFonts w:eastAsia="Times New Roman"/>
                <w:sz w:val="24"/>
                <w:szCs w:val="24"/>
                <w:lang w:eastAsia="ru-RU"/>
              </w:rPr>
            </w:pPr>
            <w:r w:rsidRPr="004F0A47">
              <w:rPr>
                <w:rFonts w:eastAsia="Times New Roman"/>
                <w:sz w:val="24"/>
                <w:szCs w:val="24"/>
                <w:lang w:eastAsia="ru-RU"/>
              </w:rPr>
              <w:t>(0,921-0,958)</w:t>
            </w:r>
          </w:p>
        </w:tc>
        <w:tc>
          <w:tcPr>
            <w:tcW w:w="993" w:type="dxa"/>
            <w:tcBorders>
              <w:top w:val="single" w:sz="4" w:space="0" w:color="000000"/>
              <w:left w:val="single" w:sz="4" w:space="0" w:color="000000"/>
              <w:bottom w:val="single" w:sz="4" w:space="0" w:color="000000"/>
              <w:right w:val="single" w:sz="4" w:space="0" w:color="000000"/>
            </w:tcBorders>
          </w:tcPr>
          <w:p w:rsidR="006659E2" w:rsidRPr="004F0A47" w:rsidRDefault="006659E2" w:rsidP="004F0A47">
            <w:pPr>
              <w:widowControl w:val="0"/>
              <w:tabs>
                <w:tab w:val="left" w:pos="993"/>
              </w:tabs>
              <w:spacing w:line="276" w:lineRule="auto"/>
              <w:jc w:val="center"/>
              <w:rPr>
                <w:rFonts w:eastAsia="Times New Roman"/>
                <w:sz w:val="24"/>
                <w:szCs w:val="24"/>
                <w:lang w:eastAsia="ru-RU"/>
              </w:rPr>
            </w:pPr>
            <w:r w:rsidRPr="004F0A47">
              <w:rPr>
                <w:rFonts w:eastAsia="Times New Roman"/>
                <w:sz w:val="24"/>
                <w:szCs w:val="24"/>
                <w:lang w:eastAsia="ru-RU"/>
              </w:rPr>
              <w:t>&lt;0,001</w:t>
            </w:r>
          </w:p>
        </w:tc>
      </w:tr>
      <w:tr w:rsidR="006659E2" w:rsidRPr="004F0A47" w:rsidTr="0070521A">
        <w:trPr>
          <w:trHeight w:val="70"/>
          <w:jc w:val="center"/>
        </w:trPr>
        <w:tc>
          <w:tcPr>
            <w:tcW w:w="5156" w:type="dxa"/>
            <w:tcBorders>
              <w:top w:val="single" w:sz="4" w:space="0" w:color="000000"/>
              <w:left w:val="single" w:sz="4" w:space="0" w:color="000000"/>
              <w:bottom w:val="single" w:sz="4" w:space="0" w:color="000000"/>
              <w:right w:val="single" w:sz="4" w:space="0" w:color="000000"/>
            </w:tcBorders>
            <w:vAlign w:val="center"/>
          </w:tcPr>
          <w:p w:rsidR="006659E2" w:rsidRPr="004F0A47" w:rsidRDefault="006659E2" w:rsidP="004F0A47">
            <w:pPr>
              <w:widowControl w:val="0"/>
              <w:tabs>
                <w:tab w:val="left" w:pos="993"/>
              </w:tabs>
              <w:spacing w:line="276" w:lineRule="auto"/>
              <w:rPr>
                <w:rFonts w:eastAsia="Times New Roman"/>
                <w:sz w:val="24"/>
                <w:szCs w:val="24"/>
                <w:lang w:eastAsia="ru-RU"/>
              </w:rPr>
            </w:pPr>
            <w:r w:rsidRPr="004F0A47">
              <w:rPr>
                <w:rFonts w:eastAsia="Times New Roman"/>
                <w:sz w:val="24"/>
                <w:szCs w:val="24"/>
                <w:lang w:eastAsia="ru-RU"/>
              </w:rPr>
              <w:t>Хвороби органів дихання</w:t>
            </w:r>
          </w:p>
        </w:tc>
        <w:tc>
          <w:tcPr>
            <w:tcW w:w="1179" w:type="dxa"/>
            <w:tcBorders>
              <w:top w:val="single" w:sz="4" w:space="0" w:color="000000"/>
              <w:left w:val="single" w:sz="4" w:space="0" w:color="000000"/>
              <w:bottom w:val="single" w:sz="4" w:space="0" w:color="000000"/>
              <w:right w:val="single" w:sz="4" w:space="0" w:color="000000"/>
            </w:tcBorders>
          </w:tcPr>
          <w:p w:rsidR="006659E2" w:rsidRPr="004F0A47" w:rsidRDefault="006659E2" w:rsidP="004F0A47">
            <w:pPr>
              <w:tabs>
                <w:tab w:val="left" w:pos="993"/>
              </w:tabs>
              <w:spacing w:line="276" w:lineRule="auto"/>
              <w:jc w:val="center"/>
              <w:rPr>
                <w:rFonts w:eastAsia="Times New Roman"/>
                <w:sz w:val="24"/>
                <w:szCs w:val="24"/>
                <w:lang w:eastAsia="ru-RU"/>
              </w:rPr>
            </w:pPr>
            <w:r w:rsidRPr="004F0A47">
              <w:rPr>
                <w:rFonts w:eastAsia="Times New Roman"/>
                <w:sz w:val="24"/>
                <w:szCs w:val="24"/>
                <w:lang w:eastAsia="ru-RU"/>
              </w:rPr>
              <w:t>812,22</w:t>
            </w:r>
          </w:p>
        </w:tc>
        <w:tc>
          <w:tcPr>
            <w:tcW w:w="1134" w:type="dxa"/>
            <w:tcBorders>
              <w:top w:val="single" w:sz="4" w:space="0" w:color="000000"/>
              <w:left w:val="single" w:sz="4" w:space="0" w:color="000000"/>
              <w:bottom w:val="single" w:sz="4" w:space="0" w:color="000000"/>
              <w:right w:val="single" w:sz="4" w:space="0" w:color="000000"/>
            </w:tcBorders>
          </w:tcPr>
          <w:p w:rsidR="006659E2" w:rsidRPr="004F0A47" w:rsidRDefault="006659E2" w:rsidP="004F0A47">
            <w:pPr>
              <w:tabs>
                <w:tab w:val="left" w:pos="993"/>
              </w:tabs>
              <w:spacing w:line="276" w:lineRule="auto"/>
              <w:jc w:val="center"/>
              <w:rPr>
                <w:rFonts w:eastAsia="Times New Roman"/>
                <w:sz w:val="24"/>
                <w:szCs w:val="24"/>
                <w:lang w:eastAsia="ru-RU"/>
              </w:rPr>
            </w:pPr>
            <w:r w:rsidRPr="004F0A47">
              <w:rPr>
                <w:rFonts w:eastAsia="Times New Roman"/>
                <w:sz w:val="24"/>
                <w:szCs w:val="24"/>
                <w:lang w:eastAsia="ru-RU"/>
              </w:rPr>
              <w:t>816,61</w:t>
            </w:r>
          </w:p>
        </w:tc>
        <w:tc>
          <w:tcPr>
            <w:tcW w:w="1559" w:type="dxa"/>
            <w:tcBorders>
              <w:top w:val="single" w:sz="4" w:space="0" w:color="000000"/>
              <w:left w:val="single" w:sz="4" w:space="0" w:color="000000"/>
              <w:bottom w:val="single" w:sz="4" w:space="0" w:color="000000"/>
              <w:right w:val="single" w:sz="4" w:space="0" w:color="000000"/>
            </w:tcBorders>
          </w:tcPr>
          <w:p w:rsidR="006659E2" w:rsidRPr="004F0A47" w:rsidRDefault="006659E2" w:rsidP="004F0A47">
            <w:pPr>
              <w:widowControl w:val="0"/>
              <w:tabs>
                <w:tab w:val="left" w:pos="993"/>
              </w:tabs>
              <w:spacing w:line="276" w:lineRule="auto"/>
              <w:jc w:val="center"/>
              <w:rPr>
                <w:rFonts w:eastAsia="Times New Roman"/>
                <w:sz w:val="24"/>
                <w:szCs w:val="24"/>
                <w:lang w:eastAsia="ru-RU"/>
              </w:rPr>
            </w:pPr>
            <w:r w:rsidRPr="004F0A47">
              <w:rPr>
                <w:rFonts w:eastAsia="Times New Roman"/>
                <w:sz w:val="24"/>
                <w:szCs w:val="24"/>
                <w:lang w:eastAsia="ru-RU"/>
              </w:rPr>
              <w:t>1,12 (1,11-1,13)</w:t>
            </w:r>
          </w:p>
        </w:tc>
        <w:tc>
          <w:tcPr>
            <w:tcW w:w="993" w:type="dxa"/>
            <w:tcBorders>
              <w:top w:val="single" w:sz="4" w:space="0" w:color="000000"/>
              <w:left w:val="single" w:sz="4" w:space="0" w:color="000000"/>
              <w:bottom w:val="single" w:sz="4" w:space="0" w:color="000000"/>
              <w:right w:val="single" w:sz="4" w:space="0" w:color="000000"/>
            </w:tcBorders>
          </w:tcPr>
          <w:p w:rsidR="006659E2" w:rsidRPr="004F0A47" w:rsidRDefault="006659E2" w:rsidP="004F0A47">
            <w:pPr>
              <w:widowControl w:val="0"/>
              <w:tabs>
                <w:tab w:val="left" w:pos="993"/>
              </w:tabs>
              <w:spacing w:line="276" w:lineRule="auto"/>
              <w:jc w:val="center"/>
              <w:rPr>
                <w:rFonts w:eastAsia="Times New Roman"/>
                <w:sz w:val="24"/>
                <w:szCs w:val="24"/>
                <w:lang w:eastAsia="ru-RU"/>
              </w:rPr>
            </w:pPr>
            <w:r w:rsidRPr="004F0A47">
              <w:rPr>
                <w:rFonts w:eastAsia="Times New Roman"/>
                <w:sz w:val="24"/>
                <w:szCs w:val="24"/>
                <w:lang w:eastAsia="ru-RU"/>
              </w:rPr>
              <w:t>0,0004</w:t>
            </w:r>
          </w:p>
        </w:tc>
      </w:tr>
      <w:tr w:rsidR="006659E2" w:rsidRPr="004F0A47" w:rsidTr="0070521A">
        <w:trPr>
          <w:trHeight w:val="70"/>
          <w:jc w:val="center"/>
        </w:trPr>
        <w:tc>
          <w:tcPr>
            <w:tcW w:w="5156" w:type="dxa"/>
            <w:tcBorders>
              <w:top w:val="single" w:sz="4" w:space="0" w:color="000000"/>
              <w:left w:val="single" w:sz="4" w:space="0" w:color="000000"/>
              <w:bottom w:val="single" w:sz="4" w:space="0" w:color="000000"/>
              <w:right w:val="single" w:sz="4" w:space="0" w:color="000000"/>
            </w:tcBorders>
            <w:vAlign w:val="center"/>
          </w:tcPr>
          <w:p w:rsidR="006659E2" w:rsidRPr="004F0A47" w:rsidRDefault="006659E2" w:rsidP="004F0A47">
            <w:pPr>
              <w:widowControl w:val="0"/>
              <w:tabs>
                <w:tab w:val="left" w:pos="993"/>
              </w:tabs>
              <w:spacing w:line="276" w:lineRule="auto"/>
              <w:rPr>
                <w:rFonts w:eastAsia="Times New Roman"/>
                <w:sz w:val="24"/>
                <w:szCs w:val="24"/>
                <w:lang w:eastAsia="ru-RU"/>
              </w:rPr>
            </w:pPr>
            <w:r w:rsidRPr="004F0A47">
              <w:rPr>
                <w:rFonts w:eastAsia="Times New Roman"/>
                <w:sz w:val="24"/>
                <w:szCs w:val="24"/>
                <w:lang w:eastAsia="ru-RU"/>
              </w:rPr>
              <w:t>Хвороби органів травлення</w:t>
            </w:r>
          </w:p>
        </w:tc>
        <w:tc>
          <w:tcPr>
            <w:tcW w:w="1179" w:type="dxa"/>
            <w:tcBorders>
              <w:top w:val="single" w:sz="4" w:space="0" w:color="000000"/>
              <w:left w:val="single" w:sz="4" w:space="0" w:color="000000"/>
              <w:bottom w:val="single" w:sz="4" w:space="0" w:color="000000"/>
              <w:right w:val="single" w:sz="4" w:space="0" w:color="000000"/>
            </w:tcBorders>
          </w:tcPr>
          <w:p w:rsidR="006659E2" w:rsidRPr="004F0A47" w:rsidRDefault="006659E2" w:rsidP="004F0A47">
            <w:pPr>
              <w:tabs>
                <w:tab w:val="left" w:pos="993"/>
              </w:tabs>
              <w:spacing w:line="276" w:lineRule="auto"/>
              <w:jc w:val="center"/>
              <w:rPr>
                <w:rFonts w:eastAsia="Times New Roman"/>
                <w:sz w:val="24"/>
                <w:szCs w:val="24"/>
                <w:lang w:eastAsia="ru-RU"/>
              </w:rPr>
            </w:pPr>
            <w:r w:rsidRPr="004F0A47">
              <w:rPr>
                <w:rFonts w:eastAsia="Times New Roman"/>
                <w:sz w:val="24"/>
                <w:szCs w:val="24"/>
                <w:lang w:eastAsia="ru-RU"/>
              </w:rPr>
              <w:t>53,21</w:t>
            </w:r>
          </w:p>
        </w:tc>
        <w:tc>
          <w:tcPr>
            <w:tcW w:w="1134" w:type="dxa"/>
            <w:tcBorders>
              <w:top w:val="single" w:sz="4" w:space="0" w:color="000000"/>
              <w:left w:val="single" w:sz="4" w:space="0" w:color="000000"/>
              <w:bottom w:val="single" w:sz="4" w:space="0" w:color="000000"/>
              <w:right w:val="single" w:sz="4" w:space="0" w:color="000000"/>
            </w:tcBorders>
          </w:tcPr>
          <w:p w:rsidR="006659E2" w:rsidRPr="004F0A47" w:rsidRDefault="006659E2" w:rsidP="004F0A47">
            <w:pPr>
              <w:tabs>
                <w:tab w:val="left" w:pos="993"/>
              </w:tabs>
              <w:spacing w:line="276" w:lineRule="auto"/>
              <w:jc w:val="center"/>
              <w:rPr>
                <w:rFonts w:eastAsia="Times New Roman"/>
                <w:sz w:val="24"/>
                <w:szCs w:val="24"/>
                <w:lang w:eastAsia="ru-RU"/>
              </w:rPr>
            </w:pPr>
            <w:r w:rsidRPr="004F0A47">
              <w:rPr>
                <w:rFonts w:eastAsia="Times New Roman"/>
                <w:sz w:val="24"/>
                <w:szCs w:val="24"/>
                <w:lang w:eastAsia="ru-RU"/>
              </w:rPr>
              <w:t>53,88</w:t>
            </w:r>
          </w:p>
        </w:tc>
        <w:tc>
          <w:tcPr>
            <w:tcW w:w="1559" w:type="dxa"/>
            <w:tcBorders>
              <w:top w:val="single" w:sz="4" w:space="0" w:color="000000"/>
              <w:left w:val="single" w:sz="4" w:space="0" w:color="000000"/>
              <w:bottom w:val="single" w:sz="4" w:space="0" w:color="000000"/>
              <w:right w:val="single" w:sz="4" w:space="0" w:color="000000"/>
            </w:tcBorders>
          </w:tcPr>
          <w:p w:rsidR="00D37602" w:rsidRPr="004F0A47" w:rsidRDefault="006659E2" w:rsidP="004F0A47">
            <w:pPr>
              <w:widowControl w:val="0"/>
              <w:tabs>
                <w:tab w:val="left" w:pos="993"/>
              </w:tabs>
              <w:spacing w:line="276" w:lineRule="auto"/>
              <w:jc w:val="center"/>
              <w:rPr>
                <w:rFonts w:eastAsia="Times New Roman"/>
                <w:sz w:val="24"/>
                <w:szCs w:val="24"/>
                <w:lang w:eastAsia="ru-RU"/>
              </w:rPr>
            </w:pPr>
            <w:r w:rsidRPr="004F0A47">
              <w:rPr>
                <w:rFonts w:eastAsia="Times New Roman"/>
                <w:sz w:val="24"/>
                <w:szCs w:val="24"/>
                <w:lang w:eastAsia="ru-RU"/>
              </w:rPr>
              <w:t>1,06</w:t>
            </w:r>
          </w:p>
          <w:p w:rsidR="006659E2" w:rsidRPr="004F0A47" w:rsidRDefault="006659E2" w:rsidP="004F0A47">
            <w:pPr>
              <w:widowControl w:val="0"/>
              <w:tabs>
                <w:tab w:val="left" w:pos="993"/>
              </w:tabs>
              <w:spacing w:line="276" w:lineRule="auto"/>
              <w:jc w:val="center"/>
              <w:rPr>
                <w:rFonts w:eastAsia="Times New Roman"/>
                <w:sz w:val="24"/>
                <w:szCs w:val="24"/>
                <w:lang w:eastAsia="ru-RU"/>
              </w:rPr>
            </w:pPr>
            <w:r w:rsidRPr="004F0A47">
              <w:rPr>
                <w:rFonts w:eastAsia="Times New Roman"/>
                <w:sz w:val="24"/>
                <w:szCs w:val="24"/>
                <w:lang w:eastAsia="ru-RU"/>
              </w:rPr>
              <w:t xml:space="preserve"> (1,04-1,08)</w:t>
            </w:r>
          </w:p>
        </w:tc>
        <w:tc>
          <w:tcPr>
            <w:tcW w:w="993" w:type="dxa"/>
            <w:tcBorders>
              <w:top w:val="single" w:sz="4" w:space="0" w:color="000000"/>
              <w:left w:val="single" w:sz="4" w:space="0" w:color="000000"/>
              <w:bottom w:val="single" w:sz="4" w:space="0" w:color="000000"/>
              <w:right w:val="single" w:sz="4" w:space="0" w:color="000000"/>
            </w:tcBorders>
          </w:tcPr>
          <w:p w:rsidR="006659E2" w:rsidRPr="004F0A47" w:rsidRDefault="006659E2" w:rsidP="004F0A47">
            <w:pPr>
              <w:widowControl w:val="0"/>
              <w:tabs>
                <w:tab w:val="left" w:pos="993"/>
              </w:tabs>
              <w:spacing w:line="276" w:lineRule="auto"/>
              <w:jc w:val="center"/>
              <w:rPr>
                <w:rFonts w:eastAsia="Times New Roman"/>
                <w:sz w:val="24"/>
                <w:szCs w:val="24"/>
                <w:lang w:eastAsia="ru-RU"/>
              </w:rPr>
            </w:pPr>
            <w:r w:rsidRPr="004F0A47">
              <w:rPr>
                <w:rFonts w:eastAsia="Times New Roman"/>
                <w:sz w:val="24"/>
                <w:szCs w:val="24"/>
                <w:lang w:eastAsia="ru-RU"/>
              </w:rPr>
              <w:t>&lt;0,001</w:t>
            </w:r>
          </w:p>
        </w:tc>
      </w:tr>
      <w:tr w:rsidR="006659E2" w:rsidRPr="004F0A47" w:rsidTr="0070521A">
        <w:trPr>
          <w:trHeight w:val="70"/>
          <w:jc w:val="center"/>
        </w:trPr>
        <w:tc>
          <w:tcPr>
            <w:tcW w:w="5156" w:type="dxa"/>
            <w:tcBorders>
              <w:top w:val="single" w:sz="4" w:space="0" w:color="000000"/>
              <w:left w:val="single" w:sz="4" w:space="0" w:color="000000"/>
              <w:bottom w:val="single" w:sz="4" w:space="0" w:color="000000"/>
              <w:right w:val="single" w:sz="4" w:space="0" w:color="000000"/>
            </w:tcBorders>
          </w:tcPr>
          <w:p w:rsidR="006659E2" w:rsidRPr="004F0A47" w:rsidRDefault="006659E2" w:rsidP="004F0A47">
            <w:pPr>
              <w:widowControl w:val="0"/>
              <w:tabs>
                <w:tab w:val="left" w:pos="993"/>
              </w:tabs>
              <w:spacing w:line="276" w:lineRule="auto"/>
              <w:rPr>
                <w:rFonts w:eastAsia="Times New Roman"/>
                <w:sz w:val="24"/>
                <w:szCs w:val="24"/>
                <w:lang w:eastAsia="ru-RU"/>
              </w:rPr>
            </w:pPr>
            <w:r w:rsidRPr="004F0A47">
              <w:rPr>
                <w:rFonts w:eastAsia="Times New Roman"/>
                <w:sz w:val="24"/>
                <w:szCs w:val="24"/>
                <w:lang w:eastAsia="ru-RU"/>
              </w:rPr>
              <w:t>Хвороби шкіри та підшкірної клітковини</w:t>
            </w:r>
          </w:p>
        </w:tc>
        <w:tc>
          <w:tcPr>
            <w:tcW w:w="1179" w:type="dxa"/>
            <w:tcBorders>
              <w:top w:val="single" w:sz="4" w:space="0" w:color="000000"/>
              <w:left w:val="single" w:sz="4" w:space="0" w:color="000000"/>
              <w:bottom w:val="single" w:sz="4" w:space="0" w:color="000000"/>
              <w:right w:val="single" w:sz="4" w:space="0" w:color="000000"/>
            </w:tcBorders>
          </w:tcPr>
          <w:p w:rsidR="006659E2" w:rsidRPr="004F0A47" w:rsidRDefault="006659E2" w:rsidP="004F0A47">
            <w:pPr>
              <w:tabs>
                <w:tab w:val="left" w:pos="993"/>
              </w:tabs>
              <w:spacing w:line="276" w:lineRule="auto"/>
              <w:jc w:val="center"/>
              <w:rPr>
                <w:rFonts w:eastAsia="Times New Roman"/>
                <w:sz w:val="24"/>
                <w:szCs w:val="24"/>
                <w:lang w:eastAsia="ru-RU"/>
              </w:rPr>
            </w:pPr>
            <w:r w:rsidRPr="004F0A47">
              <w:rPr>
                <w:rFonts w:eastAsia="Times New Roman"/>
                <w:sz w:val="24"/>
                <w:szCs w:val="24"/>
                <w:lang w:eastAsia="ru-RU"/>
              </w:rPr>
              <w:t>67,23</w:t>
            </w:r>
          </w:p>
        </w:tc>
        <w:tc>
          <w:tcPr>
            <w:tcW w:w="1134" w:type="dxa"/>
            <w:tcBorders>
              <w:top w:val="single" w:sz="4" w:space="0" w:color="000000"/>
              <w:left w:val="single" w:sz="4" w:space="0" w:color="000000"/>
              <w:bottom w:val="single" w:sz="4" w:space="0" w:color="000000"/>
              <w:right w:val="single" w:sz="4" w:space="0" w:color="000000"/>
            </w:tcBorders>
          </w:tcPr>
          <w:p w:rsidR="006659E2" w:rsidRPr="004F0A47" w:rsidRDefault="006659E2" w:rsidP="004F0A47">
            <w:pPr>
              <w:tabs>
                <w:tab w:val="left" w:pos="993"/>
              </w:tabs>
              <w:spacing w:line="276" w:lineRule="auto"/>
              <w:jc w:val="center"/>
              <w:rPr>
                <w:rFonts w:eastAsia="Times New Roman"/>
                <w:sz w:val="24"/>
                <w:szCs w:val="24"/>
                <w:lang w:eastAsia="ru-RU"/>
              </w:rPr>
            </w:pPr>
            <w:r w:rsidRPr="004F0A47">
              <w:rPr>
                <w:rFonts w:eastAsia="Times New Roman"/>
                <w:sz w:val="24"/>
                <w:szCs w:val="24"/>
                <w:lang w:eastAsia="ru-RU"/>
              </w:rPr>
              <w:t>63,18</w:t>
            </w:r>
          </w:p>
        </w:tc>
        <w:tc>
          <w:tcPr>
            <w:tcW w:w="1559" w:type="dxa"/>
            <w:tcBorders>
              <w:top w:val="single" w:sz="4" w:space="0" w:color="000000"/>
              <w:left w:val="single" w:sz="4" w:space="0" w:color="000000"/>
              <w:bottom w:val="single" w:sz="4" w:space="0" w:color="000000"/>
              <w:right w:val="single" w:sz="4" w:space="0" w:color="000000"/>
            </w:tcBorders>
          </w:tcPr>
          <w:p w:rsidR="00D37602" w:rsidRPr="004F0A47" w:rsidRDefault="006659E2" w:rsidP="004F0A47">
            <w:pPr>
              <w:widowControl w:val="0"/>
              <w:tabs>
                <w:tab w:val="left" w:pos="993"/>
              </w:tabs>
              <w:spacing w:line="276" w:lineRule="auto"/>
              <w:jc w:val="center"/>
              <w:rPr>
                <w:rFonts w:eastAsia="Times New Roman"/>
                <w:sz w:val="24"/>
                <w:szCs w:val="24"/>
                <w:lang w:eastAsia="ru-RU"/>
              </w:rPr>
            </w:pPr>
            <w:r w:rsidRPr="004F0A47">
              <w:rPr>
                <w:rFonts w:eastAsia="Times New Roman"/>
                <w:sz w:val="24"/>
                <w:szCs w:val="24"/>
                <w:lang w:eastAsia="ru-RU"/>
              </w:rPr>
              <w:t xml:space="preserve">0,97 </w:t>
            </w:r>
          </w:p>
          <w:p w:rsidR="006659E2" w:rsidRPr="004F0A47" w:rsidRDefault="006659E2" w:rsidP="004F0A47">
            <w:pPr>
              <w:widowControl w:val="0"/>
              <w:tabs>
                <w:tab w:val="left" w:pos="993"/>
              </w:tabs>
              <w:spacing w:line="276" w:lineRule="auto"/>
              <w:jc w:val="center"/>
              <w:rPr>
                <w:rFonts w:eastAsia="Times New Roman"/>
                <w:sz w:val="24"/>
                <w:szCs w:val="24"/>
                <w:lang w:eastAsia="ru-RU"/>
              </w:rPr>
            </w:pPr>
            <w:r w:rsidRPr="004F0A47">
              <w:rPr>
                <w:rFonts w:eastAsia="Times New Roman"/>
                <w:sz w:val="24"/>
                <w:szCs w:val="24"/>
                <w:lang w:eastAsia="ru-RU"/>
              </w:rPr>
              <w:t>(0,96-0,99)</w:t>
            </w:r>
          </w:p>
        </w:tc>
        <w:tc>
          <w:tcPr>
            <w:tcW w:w="993" w:type="dxa"/>
            <w:tcBorders>
              <w:top w:val="single" w:sz="4" w:space="0" w:color="000000"/>
              <w:left w:val="single" w:sz="4" w:space="0" w:color="000000"/>
              <w:bottom w:val="single" w:sz="4" w:space="0" w:color="000000"/>
              <w:right w:val="single" w:sz="4" w:space="0" w:color="000000"/>
            </w:tcBorders>
          </w:tcPr>
          <w:p w:rsidR="006659E2" w:rsidRPr="004F0A47" w:rsidRDefault="006659E2" w:rsidP="004F0A47">
            <w:pPr>
              <w:widowControl w:val="0"/>
              <w:tabs>
                <w:tab w:val="left" w:pos="993"/>
              </w:tabs>
              <w:spacing w:line="276" w:lineRule="auto"/>
              <w:jc w:val="center"/>
              <w:rPr>
                <w:rFonts w:eastAsia="Times New Roman"/>
                <w:sz w:val="24"/>
                <w:szCs w:val="24"/>
                <w:lang w:eastAsia="ru-RU"/>
              </w:rPr>
            </w:pPr>
            <w:r w:rsidRPr="004F0A47">
              <w:rPr>
                <w:rFonts w:eastAsia="Times New Roman"/>
                <w:sz w:val="24"/>
                <w:szCs w:val="24"/>
                <w:lang w:eastAsia="ru-RU"/>
              </w:rPr>
              <w:t>0,0026</w:t>
            </w:r>
          </w:p>
        </w:tc>
      </w:tr>
      <w:tr w:rsidR="006659E2" w:rsidRPr="004F0A47" w:rsidTr="0070521A">
        <w:trPr>
          <w:jc w:val="center"/>
        </w:trPr>
        <w:tc>
          <w:tcPr>
            <w:tcW w:w="5156" w:type="dxa"/>
            <w:tcBorders>
              <w:top w:val="single" w:sz="4" w:space="0" w:color="000000"/>
              <w:left w:val="single" w:sz="4" w:space="0" w:color="000000"/>
              <w:bottom w:val="single" w:sz="4" w:space="0" w:color="000000"/>
              <w:right w:val="single" w:sz="4" w:space="0" w:color="000000"/>
            </w:tcBorders>
            <w:vAlign w:val="center"/>
          </w:tcPr>
          <w:p w:rsidR="006659E2" w:rsidRPr="004F0A47" w:rsidRDefault="006659E2" w:rsidP="004F0A47">
            <w:pPr>
              <w:widowControl w:val="0"/>
              <w:tabs>
                <w:tab w:val="left" w:pos="993"/>
              </w:tabs>
              <w:spacing w:line="276" w:lineRule="auto"/>
              <w:rPr>
                <w:rFonts w:eastAsia="Times New Roman"/>
                <w:sz w:val="24"/>
                <w:szCs w:val="24"/>
                <w:lang w:eastAsia="ru-RU"/>
              </w:rPr>
            </w:pPr>
            <w:r w:rsidRPr="004F0A47">
              <w:rPr>
                <w:rFonts w:eastAsia="Times New Roman"/>
                <w:sz w:val="24"/>
                <w:szCs w:val="24"/>
                <w:lang w:eastAsia="ru-RU"/>
              </w:rPr>
              <w:t>Природжені вади розвитку, деформації та хромосомні аномалії</w:t>
            </w:r>
          </w:p>
        </w:tc>
        <w:tc>
          <w:tcPr>
            <w:tcW w:w="1179" w:type="dxa"/>
            <w:tcBorders>
              <w:top w:val="single" w:sz="4" w:space="0" w:color="000000"/>
              <w:left w:val="single" w:sz="4" w:space="0" w:color="000000"/>
              <w:bottom w:val="single" w:sz="4" w:space="0" w:color="000000"/>
              <w:right w:val="single" w:sz="4" w:space="0" w:color="000000"/>
            </w:tcBorders>
          </w:tcPr>
          <w:p w:rsidR="006659E2" w:rsidRPr="004F0A47" w:rsidRDefault="006659E2" w:rsidP="004F0A47">
            <w:pPr>
              <w:tabs>
                <w:tab w:val="left" w:pos="993"/>
              </w:tabs>
              <w:spacing w:line="276" w:lineRule="auto"/>
              <w:jc w:val="center"/>
              <w:rPr>
                <w:rFonts w:eastAsia="Times New Roman"/>
                <w:sz w:val="24"/>
                <w:szCs w:val="24"/>
                <w:lang w:eastAsia="ru-RU"/>
              </w:rPr>
            </w:pPr>
            <w:r w:rsidRPr="004F0A47">
              <w:rPr>
                <w:rFonts w:eastAsia="Times New Roman"/>
                <w:sz w:val="24"/>
                <w:szCs w:val="24"/>
                <w:lang w:eastAsia="ru-RU"/>
              </w:rPr>
              <w:t>45,97</w:t>
            </w:r>
          </w:p>
        </w:tc>
        <w:tc>
          <w:tcPr>
            <w:tcW w:w="1134" w:type="dxa"/>
            <w:tcBorders>
              <w:top w:val="single" w:sz="4" w:space="0" w:color="000000"/>
              <w:left w:val="single" w:sz="4" w:space="0" w:color="000000"/>
              <w:bottom w:val="single" w:sz="4" w:space="0" w:color="000000"/>
              <w:right w:val="single" w:sz="4" w:space="0" w:color="000000"/>
            </w:tcBorders>
          </w:tcPr>
          <w:p w:rsidR="006659E2" w:rsidRPr="004F0A47" w:rsidRDefault="006659E2" w:rsidP="004F0A47">
            <w:pPr>
              <w:tabs>
                <w:tab w:val="left" w:pos="993"/>
              </w:tabs>
              <w:spacing w:line="276" w:lineRule="auto"/>
              <w:jc w:val="center"/>
              <w:rPr>
                <w:rFonts w:eastAsia="Times New Roman"/>
                <w:sz w:val="24"/>
                <w:szCs w:val="24"/>
                <w:lang w:eastAsia="ru-RU"/>
              </w:rPr>
            </w:pPr>
            <w:r w:rsidRPr="004F0A47">
              <w:rPr>
                <w:rFonts w:eastAsia="Times New Roman"/>
                <w:sz w:val="24"/>
                <w:szCs w:val="24"/>
                <w:lang w:eastAsia="ru-RU"/>
              </w:rPr>
              <w:t>39,5</w:t>
            </w:r>
          </w:p>
        </w:tc>
        <w:tc>
          <w:tcPr>
            <w:tcW w:w="1559" w:type="dxa"/>
            <w:tcBorders>
              <w:top w:val="single" w:sz="4" w:space="0" w:color="000000"/>
              <w:left w:val="single" w:sz="4" w:space="0" w:color="000000"/>
              <w:bottom w:val="single" w:sz="4" w:space="0" w:color="000000"/>
              <w:right w:val="single" w:sz="4" w:space="0" w:color="000000"/>
            </w:tcBorders>
          </w:tcPr>
          <w:p w:rsidR="00D37602" w:rsidRPr="004F0A47" w:rsidRDefault="006659E2" w:rsidP="004F0A47">
            <w:pPr>
              <w:widowControl w:val="0"/>
              <w:tabs>
                <w:tab w:val="left" w:pos="993"/>
              </w:tabs>
              <w:spacing w:line="276" w:lineRule="auto"/>
              <w:jc w:val="center"/>
              <w:rPr>
                <w:rFonts w:eastAsia="Times New Roman"/>
                <w:sz w:val="24"/>
                <w:szCs w:val="24"/>
                <w:lang w:eastAsia="ru-RU"/>
              </w:rPr>
            </w:pPr>
            <w:r w:rsidRPr="004F0A47">
              <w:rPr>
                <w:rFonts w:eastAsia="Times New Roman"/>
                <w:sz w:val="24"/>
                <w:szCs w:val="24"/>
                <w:lang w:eastAsia="ru-RU"/>
              </w:rPr>
              <w:t xml:space="preserve">0,98 </w:t>
            </w:r>
          </w:p>
          <w:p w:rsidR="006659E2" w:rsidRPr="004F0A47" w:rsidRDefault="006659E2" w:rsidP="004F0A47">
            <w:pPr>
              <w:widowControl w:val="0"/>
              <w:tabs>
                <w:tab w:val="left" w:pos="993"/>
              </w:tabs>
              <w:spacing w:line="276" w:lineRule="auto"/>
              <w:jc w:val="center"/>
              <w:rPr>
                <w:rFonts w:eastAsia="Times New Roman"/>
                <w:sz w:val="24"/>
                <w:szCs w:val="24"/>
                <w:lang w:eastAsia="ru-RU"/>
              </w:rPr>
            </w:pPr>
            <w:r w:rsidRPr="004F0A47">
              <w:rPr>
                <w:rFonts w:eastAsia="Times New Roman"/>
                <w:sz w:val="24"/>
                <w:szCs w:val="24"/>
                <w:lang w:eastAsia="ru-RU"/>
              </w:rPr>
              <w:t>(0,96-1,00)</w:t>
            </w:r>
          </w:p>
        </w:tc>
        <w:tc>
          <w:tcPr>
            <w:tcW w:w="993" w:type="dxa"/>
            <w:tcBorders>
              <w:top w:val="single" w:sz="4" w:space="0" w:color="000000"/>
              <w:left w:val="single" w:sz="4" w:space="0" w:color="000000"/>
              <w:bottom w:val="single" w:sz="4" w:space="0" w:color="000000"/>
              <w:right w:val="single" w:sz="4" w:space="0" w:color="000000"/>
            </w:tcBorders>
          </w:tcPr>
          <w:p w:rsidR="006659E2" w:rsidRPr="004F0A47" w:rsidRDefault="006659E2" w:rsidP="004F0A47">
            <w:pPr>
              <w:widowControl w:val="0"/>
              <w:tabs>
                <w:tab w:val="left" w:pos="993"/>
              </w:tabs>
              <w:spacing w:line="276" w:lineRule="auto"/>
              <w:jc w:val="center"/>
              <w:rPr>
                <w:rFonts w:eastAsia="Times New Roman"/>
                <w:sz w:val="24"/>
                <w:szCs w:val="24"/>
                <w:lang w:eastAsia="ru-RU"/>
              </w:rPr>
            </w:pPr>
            <w:r w:rsidRPr="004F0A47">
              <w:rPr>
                <w:rFonts w:eastAsia="Times New Roman"/>
                <w:sz w:val="24"/>
                <w:szCs w:val="24"/>
                <w:lang w:eastAsia="ru-RU"/>
              </w:rPr>
              <w:t>0,0758</w:t>
            </w:r>
          </w:p>
        </w:tc>
      </w:tr>
      <w:tr w:rsidR="006659E2" w:rsidRPr="004F0A47" w:rsidTr="0070521A">
        <w:trPr>
          <w:jc w:val="center"/>
        </w:trPr>
        <w:tc>
          <w:tcPr>
            <w:tcW w:w="5156" w:type="dxa"/>
            <w:tcBorders>
              <w:top w:val="single" w:sz="4" w:space="0" w:color="000000"/>
              <w:left w:val="single" w:sz="4" w:space="0" w:color="000000"/>
              <w:bottom w:val="single" w:sz="4" w:space="0" w:color="000000"/>
              <w:right w:val="single" w:sz="4" w:space="0" w:color="000000"/>
            </w:tcBorders>
          </w:tcPr>
          <w:p w:rsidR="006659E2" w:rsidRPr="004F0A47" w:rsidRDefault="006659E2" w:rsidP="004F0A47">
            <w:pPr>
              <w:widowControl w:val="0"/>
              <w:tabs>
                <w:tab w:val="left" w:pos="993"/>
              </w:tabs>
              <w:spacing w:line="276" w:lineRule="auto"/>
              <w:rPr>
                <w:rFonts w:eastAsia="Times New Roman"/>
                <w:sz w:val="24"/>
                <w:szCs w:val="24"/>
                <w:lang w:eastAsia="ru-RU"/>
              </w:rPr>
            </w:pPr>
            <w:r w:rsidRPr="004F0A47">
              <w:rPr>
                <w:rFonts w:eastAsia="Times New Roman"/>
                <w:sz w:val="24"/>
                <w:szCs w:val="24"/>
                <w:lang w:eastAsia="ru-RU"/>
              </w:rPr>
              <w:t>Окремі стані, що виникають у перинатальному періоді</w:t>
            </w:r>
          </w:p>
        </w:tc>
        <w:tc>
          <w:tcPr>
            <w:tcW w:w="1179" w:type="dxa"/>
            <w:tcBorders>
              <w:top w:val="single" w:sz="4" w:space="0" w:color="000000"/>
              <w:left w:val="single" w:sz="4" w:space="0" w:color="000000"/>
              <w:bottom w:val="single" w:sz="4" w:space="0" w:color="000000"/>
              <w:right w:val="single" w:sz="4" w:space="0" w:color="000000"/>
            </w:tcBorders>
          </w:tcPr>
          <w:p w:rsidR="006659E2" w:rsidRPr="004F0A47" w:rsidRDefault="006659E2" w:rsidP="004F0A47">
            <w:pPr>
              <w:tabs>
                <w:tab w:val="left" w:pos="993"/>
              </w:tabs>
              <w:spacing w:line="276" w:lineRule="auto"/>
              <w:jc w:val="center"/>
              <w:rPr>
                <w:rFonts w:eastAsia="Times New Roman"/>
                <w:sz w:val="24"/>
                <w:szCs w:val="24"/>
                <w:lang w:eastAsia="ru-RU"/>
              </w:rPr>
            </w:pPr>
            <w:r w:rsidRPr="004F0A47">
              <w:rPr>
                <w:rFonts w:eastAsia="Times New Roman"/>
                <w:sz w:val="24"/>
                <w:szCs w:val="24"/>
                <w:lang w:eastAsia="ru-RU"/>
              </w:rPr>
              <w:t>136,02</w:t>
            </w:r>
          </w:p>
        </w:tc>
        <w:tc>
          <w:tcPr>
            <w:tcW w:w="1134" w:type="dxa"/>
            <w:tcBorders>
              <w:top w:val="single" w:sz="4" w:space="0" w:color="000000"/>
              <w:left w:val="single" w:sz="4" w:space="0" w:color="000000"/>
              <w:bottom w:val="single" w:sz="4" w:space="0" w:color="000000"/>
              <w:right w:val="single" w:sz="4" w:space="0" w:color="000000"/>
            </w:tcBorders>
          </w:tcPr>
          <w:p w:rsidR="006659E2" w:rsidRPr="004F0A47" w:rsidRDefault="006659E2" w:rsidP="004F0A47">
            <w:pPr>
              <w:tabs>
                <w:tab w:val="left" w:pos="993"/>
              </w:tabs>
              <w:spacing w:line="276" w:lineRule="auto"/>
              <w:jc w:val="center"/>
              <w:rPr>
                <w:rFonts w:eastAsia="Times New Roman"/>
                <w:sz w:val="24"/>
                <w:szCs w:val="24"/>
                <w:lang w:eastAsia="ru-RU"/>
              </w:rPr>
            </w:pPr>
            <w:r w:rsidRPr="004F0A47">
              <w:rPr>
                <w:rFonts w:eastAsia="Times New Roman"/>
                <w:sz w:val="24"/>
                <w:szCs w:val="24"/>
                <w:lang w:eastAsia="ru-RU"/>
              </w:rPr>
              <w:t>127,57</w:t>
            </w:r>
          </w:p>
        </w:tc>
        <w:tc>
          <w:tcPr>
            <w:tcW w:w="1559" w:type="dxa"/>
            <w:tcBorders>
              <w:top w:val="single" w:sz="4" w:space="0" w:color="000000"/>
              <w:left w:val="single" w:sz="4" w:space="0" w:color="000000"/>
              <w:bottom w:val="single" w:sz="4" w:space="0" w:color="000000"/>
              <w:right w:val="single" w:sz="4" w:space="0" w:color="000000"/>
            </w:tcBorders>
          </w:tcPr>
          <w:p w:rsidR="00D37602" w:rsidRPr="004F0A47" w:rsidRDefault="006659E2" w:rsidP="004F0A47">
            <w:pPr>
              <w:widowControl w:val="0"/>
              <w:tabs>
                <w:tab w:val="left" w:pos="993"/>
              </w:tabs>
              <w:spacing w:line="276" w:lineRule="auto"/>
              <w:jc w:val="center"/>
              <w:rPr>
                <w:rFonts w:eastAsia="Times New Roman"/>
                <w:sz w:val="24"/>
                <w:szCs w:val="24"/>
                <w:lang w:eastAsia="ru-RU"/>
              </w:rPr>
            </w:pPr>
            <w:r w:rsidRPr="004F0A47">
              <w:rPr>
                <w:rFonts w:eastAsia="Times New Roman"/>
                <w:sz w:val="24"/>
                <w:szCs w:val="24"/>
                <w:lang w:eastAsia="ru-RU"/>
              </w:rPr>
              <w:t xml:space="preserve">0,97 </w:t>
            </w:r>
          </w:p>
          <w:p w:rsidR="006659E2" w:rsidRPr="004F0A47" w:rsidRDefault="006659E2" w:rsidP="004F0A47">
            <w:pPr>
              <w:widowControl w:val="0"/>
              <w:tabs>
                <w:tab w:val="left" w:pos="993"/>
              </w:tabs>
              <w:spacing w:line="276" w:lineRule="auto"/>
              <w:jc w:val="center"/>
              <w:rPr>
                <w:rFonts w:eastAsia="Times New Roman"/>
                <w:sz w:val="24"/>
                <w:szCs w:val="24"/>
                <w:lang w:eastAsia="ru-RU"/>
              </w:rPr>
            </w:pPr>
            <w:r w:rsidRPr="004F0A47">
              <w:rPr>
                <w:rFonts w:eastAsia="Times New Roman"/>
                <w:sz w:val="24"/>
                <w:szCs w:val="24"/>
                <w:lang w:eastAsia="ru-RU"/>
              </w:rPr>
              <w:t>(0,96-0,98)</w:t>
            </w:r>
          </w:p>
        </w:tc>
        <w:tc>
          <w:tcPr>
            <w:tcW w:w="993" w:type="dxa"/>
            <w:tcBorders>
              <w:top w:val="single" w:sz="4" w:space="0" w:color="000000"/>
              <w:left w:val="single" w:sz="4" w:space="0" w:color="000000"/>
              <w:bottom w:val="single" w:sz="4" w:space="0" w:color="000000"/>
              <w:right w:val="single" w:sz="4" w:space="0" w:color="000000"/>
            </w:tcBorders>
          </w:tcPr>
          <w:p w:rsidR="006659E2" w:rsidRPr="004F0A47" w:rsidRDefault="006659E2" w:rsidP="004F0A47">
            <w:pPr>
              <w:widowControl w:val="0"/>
              <w:tabs>
                <w:tab w:val="left" w:pos="993"/>
              </w:tabs>
              <w:spacing w:line="276" w:lineRule="auto"/>
              <w:jc w:val="center"/>
              <w:rPr>
                <w:rFonts w:eastAsia="Times New Roman"/>
                <w:sz w:val="24"/>
                <w:szCs w:val="24"/>
                <w:lang w:eastAsia="ru-RU"/>
              </w:rPr>
            </w:pPr>
            <w:r w:rsidRPr="004F0A47">
              <w:rPr>
                <w:rFonts w:eastAsia="Times New Roman"/>
                <w:sz w:val="24"/>
                <w:szCs w:val="24"/>
                <w:lang w:eastAsia="ru-RU"/>
              </w:rPr>
              <w:t>0,0002</w:t>
            </w:r>
          </w:p>
        </w:tc>
      </w:tr>
    </w:tbl>
    <w:p w:rsidR="004F31D7" w:rsidRPr="00006A39" w:rsidRDefault="004F31D7" w:rsidP="00721203">
      <w:pPr>
        <w:widowControl w:val="0"/>
      </w:pPr>
    </w:p>
    <w:p w:rsidR="004F31D7" w:rsidRPr="00006A39" w:rsidRDefault="004F31D7" w:rsidP="00721203">
      <w:pPr>
        <w:widowControl w:val="0"/>
        <w:tabs>
          <w:tab w:val="left" w:pos="993"/>
        </w:tabs>
        <w:ind w:firstLine="709"/>
        <w:rPr>
          <w:rFonts w:eastAsia="Times New Roman"/>
          <w:szCs w:val="28"/>
          <w:lang w:eastAsia="ru-RU"/>
        </w:rPr>
      </w:pPr>
      <w:r w:rsidRPr="00006A39">
        <w:rPr>
          <w:rFonts w:eastAsia="Times New Roman"/>
          <w:szCs w:val="28"/>
          <w:lang w:eastAsia="ru-RU"/>
        </w:rPr>
        <w:t xml:space="preserve">Слід зазначити, що протягом 2014-2018 рр. рівень захворюваності дітей у віці до 1-го року життя знизився у 11 регіонах України, при цьому найбільший темп убутку зафіксовано у Волинській, Луганській, Чернігівській областях і м. Києві (від </w:t>
      </w:r>
      <w:r w:rsidRPr="00006A39">
        <w:rPr>
          <w:rFonts w:eastAsia="Times New Roman"/>
          <w:szCs w:val="28"/>
          <w:lang w:eastAsia="ru-RU"/>
        </w:rPr>
        <w:lastRenderedPageBreak/>
        <w:t>25,48% до 14,0%), найбільший темп приросту у Чернівецькій і Полтавській областях (29,96% і 12,71% відповідно). Протягом дослідження позитивні те</w:t>
      </w:r>
      <w:r w:rsidR="00C237E7">
        <w:rPr>
          <w:rFonts w:eastAsia="Times New Roman"/>
          <w:szCs w:val="28"/>
          <w:lang w:eastAsia="ru-RU"/>
        </w:rPr>
        <w:t>нденції захворюваності малюків та</w:t>
      </w:r>
      <w:r w:rsidRPr="00006A39">
        <w:rPr>
          <w:rFonts w:eastAsia="Times New Roman"/>
          <w:szCs w:val="28"/>
          <w:lang w:eastAsia="ru-RU"/>
        </w:rPr>
        <w:t xml:space="preserve"> її достатньо низький рівень у 2018 р. спостерігається у Тернопільській і Волинській областях (904,45 і 967,75 на 10 тис. осіб відповідного віку), в той час як у Житомирській, Запорізькій та Івано-Франківській областях зафіксовано негативну динаміку показників захворюваності і їх високий рівень у 2018 р. (більш ні</w:t>
      </w:r>
      <w:r w:rsidR="00AD7323">
        <w:rPr>
          <w:rFonts w:eastAsia="Times New Roman"/>
          <w:szCs w:val="28"/>
          <w:lang w:eastAsia="ru-RU"/>
        </w:rPr>
        <w:t>ж 1800,0 відповідно)  (рис. 4.6</w:t>
      </w:r>
      <w:r w:rsidRPr="00006A39">
        <w:rPr>
          <w:rFonts w:eastAsia="Times New Roman"/>
          <w:szCs w:val="28"/>
          <w:lang w:eastAsia="ru-RU"/>
        </w:rPr>
        <w:t>).</w:t>
      </w:r>
    </w:p>
    <w:p w:rsidR="004F31D7" w:rsidRPr="00006A39" w:rsidRDefault="004F31D7" w:rsidP="006424BF">
      <w:pPr>
        <w:widowControl w:val="0"/>
        <w:jc w:val="left"/>
      </w:pPr>
      <w:r w:rsidRPr="00006A39">
        <w:rPr>
          <w:noProof/>
          <w:lang w:val="ru-RU" w:eastAsia="ru-RU"/>
        </w:rPr>
        <w:drawing>
          <wp:inline distT="0" distB="0" distL="0" distR="0" wp14:anchorId="7F7732C6" wp14:editId="1AE3D469">
            <wp:extent cx="6242177" cy="4124131"/>
            <wp:effectExtent l="0" t="0" r="0"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6251031" cy="4129981"/>
                    </a:xfrm>
                    <a:prstGeom prst="rect">
                      <a:avLst/>
                    </a:prstGeom>
                    <a:noFill/>
                  </pic:spPr>
                </pic:pic>
              </a:graphicData>
            </a:graphic>
          </wp:inline>
        </w:drawing>
      </w:r>
    </w:p>
    <w:p w:rsidR="004F31D7" w:rsidRPr="00006A39" w:rsidRDefault="004F31D7" w:rsidP="00721203">
      <w:pPr>
        <w:widowControl w:val="0"/>
        <w:tabs>
          <w:tab w:val="left" w:pos="993"/>
        </w:tabs>
        <w:rPr>
          <w:rFonts w:eastAsia="Times New Roman"/>
          <w:szCs w:val="28"/>
          <w:lang w:eastAsia="ru-RU"/>
        </w:rPr>
      </w:pPr>
      <w:r w:rsidRPr="00006A39">
        <w:rPr>
          <w:rFonts w:eastAsia="Times New Roman"/>
          <w:szCs w:val="28"/>
          <w:lang w:eastAsia="ru-RU"/>
        </w:rPr>
        <w:tab/>
        <w:t xml:space="preserve">Рис. 4.6. Регіональні рівні захворюваності дітей </w:t>
      </w:r>
      <w:r w:rsidR="00647D8C">
        <w:rPr>
          <w:rFonts w:eastAsia="Times New Roman"/>
          <w:szCs w:val="28"/>
          <w:lang w:eastAsia="ru-RU"/>
        </w:rPr>
        <w:t xml:space="preserve">до </w:t>
      </w:r>
      <w:r w:rsidRPr="00006A39">
        <w:rPr>
          <w:rFonts w:eastAsia="Times New Roman"/>
          <w:szCs w:val="28"/>
          <w:lang w:eastAsia="ru-RU"/>
        </w:rPr>
        <w:t xml:space="preserve">1-го року життя у 2018 р. (на </w:t>
      </w:r>
      <w:r w:rsidR="00805A8C">
        <w:rPr>
          <w:rFonts w:eastAsia="Times New Roman"/>
          <w:szCs w:val="28"/>
          <w:lang w:eastAsia="ru-RU"/>
        </w:rPr>
        <w:t>10 тис. осіб відповідного віку)</w:t>
      </w:r>
    </w:p>
    <w:p w:rsidR="004F31D7" w:rsidRPr="004855F9" w:rsidRDefault="004F31D7" w:rsidP="00AA68C3">
      <w:pPr>
        <w:widowControl w:val="0"/>
        <w:tabs>
          <w:tab w:val="left" w:pos="993"/>
        </w:tabs>
        <w:spacing w:before="240"/>
        <w:ind w:firstLine="709"/>
        <w:rPr>
          <w:rFonts w:eastAsia="Times New Roman"/>
          <w:szCs w:val="28"/>
          <w:lang w:eastAsia="ru-RU"/>
        </w:rPr>
      </w:pPr>
      <w:r w:rsidRPr="004855F9">
        <w:rPr>
          <w:szCs w:val="28"/>
        </w:rPr>
        <w:t>У структурі захворюваності дітей у в</w:t>
      </w:r>
      <w:r w:rsidR="008F32A5" w:rsidRPr="004855F9">
        <w:rPr>
          <w:szCs w:val="28"/>
        </w:rPr>
        <w:t>іці до 1-го року життя</w:t>
      </w:r>
      <w:r w:rsidRPr="004855F9">
        <w:rPr>
          <w:szCs w:val="28"/>
        </w:rPr>
        <w:t>, як й у попередня роки 1-ше місце посіли хвороби органів дихання (57,4%), на 2-му – окремі стани, що виникають у перинатальному періоді (9,3%), 3 місце належить хворобам крові й кровотворних органів та окремим порушенням із залученням імунного механізму (4,6%), 4-те – хворобам нервової системи (4,1%), 5-те – орга</w:t>
      </w:r>
      <w:r w:rsidR="00AA18CF">
        <w:rPr>
          <w:szCs w:val="28"/>
        </w:rPr>
        <w:t>нам травлення (3,67%) (рис. 4.7</w:t>
      </w:r>
      <w:r w:rsidRPr="004855F9">
        <w:rPr>
          <w:szCs w:val="28"/>
        </w:rPr>
        <w:t>).</w:t>
      </w:r>
    </w:p>
    <w:p w:rsidR="004F31D7" w:rsidRPr="00006A39" w:rsidRDefault="004F31D7" w:rsidP="00721203">
      <w:pPr>
        <w:widowControl w:val="0"/>
        <w:jc w:val="center"/>
      </w:pPr>
      <w:r w:rsidRPr="00006A39">
        <w:rPr>
          <w:noProof/>
          <w:lang w:val="ru-RU" w:eastAsia="ru-RU"/>
        </w:rPr>
        <w:lastRenderedPageBreak/>
        <w:drawing>
          <wp:inline distT="0" distB="0" distL="0" distR="0" wp14:anchorId="31588B00" wp14:editId="2CD94416">
            <wp:extent cx="5480902" cy="3097763"/>
            <wp:effectExtent l="0" t="0" r="5715" b="762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510774" cy="3114646"/>
                    </a:xfrm>
                    <a:prstGeom prst="rect">
                      <a:avLst/>
                    </a:prstGeom>
                    <a:noFill/>
                  </pic:spPr>
                </pic:pic>
              </a:graphicData>
            </a:graphic>
          </wp:inline>
        </w:drawing>
      </w:r>
    </w:p>
    <w:p w:rsidR="00F13673" w:rsidRPr="00EB04B7" w:rsidRDefault="004F31D7" w:rsidP="00EB04B7">
      <w:pPr>
        <w:widowControl w:val="0"/>
        <w:ind w:firstLine="708"/>
        <w:rPr>
          <w:bCs/>
          <w:szCs w:val="28"/>
        </w:rPr>
      </w:pPr>
      <w:r w:rsidRPr="00006A39">
        <w:rPr>
          <w:bCs/>
          <w:szCs w:val="28"/>
        </w:rPr>
        <w:t>Рис. 4.7. Структура захворюваності дітей першого року жи</w:t>
      </w:r>
      <w:r w:rsidR="008F32A5">
        <w:rPr>
          <w:bCs/>
          <w:szCs w:val="28"/>
        </w:rPr>
        <w:t>ття за деякими класами хвороб (%)</w:t>
      </w:r>
    </w:p>
    <w:p w:rsidR="004F31D7" w:rsidRPr="00F37803" w:rsidRDefault="004F31D7" w:rsidP="00EB04B7">
      <w:pPr>
        <w:widowControl w:val="0"/>
        <w:spacing w:before="240"/>
        <w:ind w:firstLine="709"/>
        <w:rPr>
          <w:szCs w:val="28"/>
        </w:rPr>
      </w:pPr>
      <w:r w:rsidRPr="00006A39">
        <w:rPr>
          <w:szCs w:val="28"/>
        </w:rPr>
        <w:t>Нами було досліджено та проаналізовано показник років, втрачених внаслідок порушень здоров’я у дітей віком до 1-го року життя</w:t>
      </w:r>
      <w:r w:rsidRPr="00006A39">
        <w:t xml:space="preserve"> (</w:t>
      </w:r>
      <w:r w:rsidRPr="00006A39">
        <w:rPr>
          <w:szCs w:val="28"/>
        </w:rPr>
        <w:t>YLDs, Years Lived with Disability), в Україні, я</w:t>
      </w:r>
      <w:r w:rsidR="00F37803">
        <w:rPr>
          <w:szCs w:val="28"/>
        </w:rPr>
        <w:t>кий в цілому у 201</w:t>
      </w:r>
      <w:r w:rsidR="00F37803" w:rsidRPr="00F37803">
        <w:rPr>
          <w:szCs w:val="28"/>
        </w:rPr>
        <w:t>8</w:t>
      </w:r>
      <w:r w:rsidR="00801054">
        <w:rPr>
          <w:szCs w:val="28"/>
        </w:rPr>
        <w:t xml:space="preserve"> р. становив</w:t>
      </w:r>
      <w:r w:rsidRPr="00006A39">
        <w:rPr>
          <w:szCs w:val="28"/>
        </w:rPr>
        <w:t xml:space="preserve"> 2</w:t>
      </w:r>
      <w:r w:rsidR="00F37803" w:rsidRPr="00F37803">
        <w:rPr>
          <w:szCs w:val="28"/>
        </w:rPr>
        <w:t>265</w:t>
      </w:r>
      <w:r w:rsidR="00F37803">
        <w:rPr>
          <w:szCs w:val="28"/>
        </w:rPr>
        <w:t>,</w:t>
      </w:r>
      <w:r w:rsidR="00F37803" w:rsidRPr="00F37803">
        <w:rPr>
          <w:szCs w:val="28"/>
        </w:rPr>
        <w:t>3</w:t>
      </w:r>
      <w:r w:rsidRPr="00006A39">
        <w:rPr>
          <w:szCs w:val="28"/>
        </w:rPr>
        <w:t xml:space="preserve"> </w:t>
      </w:r>
      <w:r w:rsidR="006566FC">
        <w:rPr>
          <w:szCs w:val="28"/>
        </w:rPr>
        <w:t xml:space="preserve">втрачених років </w:t>
      </w:r>
      <w:r w:rsidRPr="00006A39">
        <w:rPr>
          <w:szCs w:val="28"/>
        </w:rPr>
        <w:t xml:space="preserve">(95% ДІ </w:t>
      </w:r>
      <w:r w:rsidR="00F37803">
        <w:rPr>
          <w:szCs w:val="28"/>
        </w:rPr>
        <w:t>3067</w:t>
      </w:r>
      <w:r w:rsidR="00F37803" w:rsidRPr="00F37803">
        <w:rPr>
          <w:szCs w:val="28"/>
        </w:rPr>
        <w:t>,88-</w:t>
      </w:r>
      <w:r w:rsidR="00F37803">
        <w:rPr>
          <w:szCs w:val="28"/>
        </w:rPr>
        <w:t>1607</w:t>
      </w:r>
      <w:r w:rsidR="00F37803" w:rsidRPr="00F37803">
        <w:rPr>
          <w:szCs w:val="28"/>
        </w:rPr>
        <w:t>,42</w:t>
      </w:r>
      <w:r w:rsidR="00C237E7">
        <w:rPr>
          <w:szCs w:val="28"/>
        </w:rPr>
        <w:t>) у</w:t>
      </w:r>
      <w:r w:rsidRPr="00006A39">
        <w:rPr>
          <w:szCs w:val="28"/>
        </w:rPr>
        <w:t xml:space="preserve"> розрахунку на 100 тис. дітей відповідного віку і має тенденцію до зро</w:t>
      </w:r>
      <w:r w:rsidR="00D47349">
        <w:rPr>
          <w:szCs w:val="28"/>
        </w:rPr>
        <w:t xml:space="preserve">стання відносно 2013 р. (на </w:t>
      </w:r>
      <w:r w:rsidR="00D47349" w:rsidRPr="00D47349">
        <w:rPr>
          <w:szCs w:val="28"/>
        </w:rPr>
        <w:t>2,6</w:t>
      </w:r>
      <w:r w:rsidRPr="00006A39">
        <w:rPr>
          <w:szCs w:val="28"/>
        </w:rPr>
        <w:t>%), а</w:t>
      </w:r>
      <w:r w:rsidR="006566FC">
        <w:rPr>
          <w:szCs w:val="28"/>
        </w:rPr>
        <w:t>ле</w:t>
      </w:r>
      <w:r w:rsidRPr="00006A39">
        <w:rPr>
          <w:szCs w:val="28"/>
        </w:rPr>
        <w:t xml:space="preserve"> </w:t>
      </w:r>
      <w:r w:rsidR="00D47349">
        <w:rPr>
          <w:szCs w:val="28"/>
        </w:rPr>
        <w:t>є меншим ніж аналогічний показник Польщі, Словаччини, Угорщини.</w:t>
      </w:r>
      <w:r w:rsidR="006566FC">
        <w:rPr>
          <w:szCs w:val="28"/>
        </w:rPr>
        <w:t xml:space="preserve"> Нижче українського </w:t>
      </w:r>
      <w:r w:rsidR="00D20794">
        <w:rPr>
          <w:szCs w:val="28"/>
        </w:rPr>
        <w:t xml:space="preserve">на 9,8% </w:t>
      </w:r>
      <w:r w:rsidR="006566FC" w:rsidRPr="006566FC">
        <w:rPr>
          <w:szCs w:val="28"/>
        </w:rPr>
        <w:t>показник років, втрачених внаслідок порушень здоров’я у дітей віком до 1-го року життя</w:t>
      </w:r>
      <w:r w:rsidR="006566FC">
        <w:rPr>
          <w:szCs w:val="28"/>
        </w:rPr>
        <w:t xml:space="preserve"> спостерігається у Німеччині (2063,1 </w:t>
      </w:r>
      <w:r w:rsidR="00CA39EA" w:rsidRPr="00CA39EA">
        <w:rPr>
          <w:szCs w:val="28"/>
        </w:rPr>
        <w:t>років, втрачених внаслідок порушень здоров’я у дітей віком до 1-го року</w:t>
      </w:r>
      <w:r w:rsidR="00CA39EA">
        <w:rPr>
          <w:szCs w:val="28"/>
        </w:rPr>
        <w:t>,</w:t>
      </w:r>
      <w:r w:rsidR="006566FC">
        <w:rPr>
          <w:szCs w:val="28"/>
        </w:rPr>
        <w:t xml:space="preserve"> 95% ДІ </w:t>
      </w:r>
      <w:r w:rsidR="006566FC" w:rsidRPr="006566FC">
        <w:rPr>
          <w:szCs w:val="28"/>
        </w:rPr>
        <w:t xml:space="preserve">2748,99- 1478,66), </w:t>
      </w:r>
      <w:r w:rsidR="00D20794">
        <w:rPr>
          <w:szCs w:val="28"/>
        </w:rPr>
        <w:t xml:space="preserve">на 15,2% у </w:t>
      </w:r>
      <w:r w:rsidR="006566FC" w:rsidRPr="006566FC">
        <w:rPr>
          <w:szCs w:val="28"/>
        </w:rPr>
        <w:t xml:space="preserve">Франції (1920,9 </w:t>
      </w:r>
      <w:r w:rsidR="00967DC9">
        <w:rPr>
          <w:szCs w:val="28"/>
        </w:rPr>
        <w:t>років</w:t>
      </w:r>
      <w:r w:rsidR="00CA39EA" w:rsidRPr="00CA39EA">
        <w:rPr>
          <w:szCs w:val="28"/>
        </w:rPr>
        <w:t xml:space="preserve"> втрачених внаслідок порушень здоров’я у дітей віком до 1-го року</w:t>
      </w:r>
      <w:r w:rsidR="00CA39EA">
        <w:rPr>
          <w:szCs w:val="28"/>
        </w:rPr>
        <w:t>,</w:t>
      </w:r>
      <w:r w:rsidR="006566FC">
        <w:rPr>
          <w:szCs w:val="28"/>
        </w:rPr>
        <w:t xml:space="preserve"> 95% ДІ</w:t>
      </w:r>
      <w:r w:rsidR="006566FC" w:rsidRPr="006566FC">
        <w:rPr>
          <w:szCs w:val="28"/>
        </w:rPr>
        <w:t xml:space="preserve"> </w:t>
      </w:r>
      <w:r w:rsidR="006566FC">
        <w:rPr>
          <w:szCs w:val="28"/>
        </w:rPr>
        <w:t>2610,</w:t>
      </w:r>
      <w:r w:rsidR="006566FC" w:rsidRPr="006566FC">
        <w:rPr>
          <w:szCs w:val="28"/>
        </w:rPr>
        <w:t>39</w:t>
      </w:r>
      <w:r w:rsidR="006566FC">
        <w:rPr>
          <w:szCs w:val="28"/>
        </w:rPr>
        <w:t>-</w:t>
      </w:r>
      <w:r w:rsidR="006566FC" w:rsidRPr="006566FC">
        <w:rPr>
          <w:szCs w:val="28"/>
        </w:rPr>
        <w:t>1360,98</w:t>
      </w:r>
      <w:r w:rsidR="006566FC">
        <w:rPr>
          <w:szCs w:val="28"/>
        </w:rPr>
        <w:t xml:space="preserve">), </w:t>
      </w:r>
      <w:r w:rsidR="00301E7C">
        <w:rPr>
          <w:szCs w:val="28"/>
        </w:rPr>
        <w:t xml:space="preserve">на 6,2% у </w:t>
      </w:r>
      <w:r w:rsidR="00E916CF">
        <w:rPr>
          <w:szCs w:val="28"/>
        </w:rPr>
        <w:t xml:space="preserve">Іспанії (2124,9 </w:t>
      </w:r>
      <w:r w:rsidR="00CA39EA" w:rsidRPr="00CA39EA">
        <w:rPr>
          <w:szCs w:val="28"/>
        </w:rPr>
        <w:t>років, втрачених внаслідок порушень здоров’я у дітей віком до 1-го року</w:t>
      </w:r>
      <w:r w:rsidR="00CA39EA">
        <w:rPr>
          <w:szCs w:val="28"/>
        </w:rPr>
        <w:t>,</w:t>
      </w:r>
      <w:r w:rsidR="00E916CF">
        <w:rPr>
          <w:szCs w:val="28"/>
        </w:rPr>
        <w:t xml:space="preserve"> 95% ДІ</w:t>
      </w:r>
      <w:r w:rsidR="00E916CF" w:rsidRPr="00E916CF">
        <w:rPr>
          <w:rFonts w:ascii="Verdana" w:eastAsia="Times New Roman" w:hAnsi="Verdana"/>
          <w:color w:val="454545"/>
          <w:sz w:val="18"/>
          <w:szCs w:val="18"/>
          <w:lang w:eastAsia="ru-RU"/>
        </w:rPr>
        <w:t xml:space="preserve"> </w:t>
      </w:r>
      <w:r w:rsidR="00E916CF">
        <w:rPr>
          <w:szCs w:val="28"/>
        </w:rPr>
        <w:t>2910,</w:t>
      </w:r>
      <w:r w:rsidR="00E916CF" w:rsidRPr="00E916CF">
        <w:rPr>
          <w:szCs w:val="28"/>
        </w:rPr>
        <w:t>15</w:t>
      </w:r>
      <w:r w:rsidR="00E916CF">
        <w:rPr>
          <w:szCs w:val="28"/>
        </w:rPr>
        <w:t>-1495,</w:t>
      </w:r>
      <w:r w:rsidR="00E916CF" w:rsidRPr="00E916CF">
        <w:rPr>
          <w:szCs w:val="28"/>
        </w:rPr>
        <w:t>53</w:t>
      </w:r>
      <w:r w:rsidR="00E916CF">
        <w:rPr>
          <w:szCs w:val="28"/>
        </w:rPr>
        <w:t xml:space="preserve">), </w:t>
      </w:r>
      <w:r w:rsidR="00D2647A">
        <w:rPr>
          <w:szCs w:val="28"/>
        </w:rPr>
        <w:t xml:space="preserve">на 25,0% </w:t>
      </w:r>
      <w:r w:rsidR="00E916CF">
        <w:rPr>
          <w:szCs w:val="28"/>
        </w:rPr>
        <w:t xml:space="preserve">США (1698,9 </w:t>
      </w:r>
      <w:r w:rsidR="00967DC9">
        <w:rPr>
          <w:szCs w:val="28"/>
        </w:rPr>
        <w:t>років</w:t>
      </w:r>
      <w:r w:rsidR="00CA39EA" w:rsidRPr="00CA39EA">
        <w:rPr>
          <w:szCs w:val="28"/>
        </w:rPr>
        <w:t xml:space="preserve"> втрачених внаслідок порушень здоров’я у дітей віком до 1-го року</w:t>
      </w:r>
      <w:r w:rsidR="00CA39EA">
        <w:rPr>
          <w:szCs w:val="28"/>
        </w:rPr>
        <w:t>,</w:t>
      </w:r>
      <w:r w:rsidR="00E916CF">
        <w:rPr>
          <w:szCs w:val="28"/>
        </w:rPr>
        <w:t xml:space="preserve"> 95% ДІ</w:t>
      </w:r>
      <w:r w:rsidR="00E916CF" w:rsidRPr="00E916CF">
        <w:rPr>
          <w:rFonts w:ascii="Verdana" w:eastAsia="Times New Roman" w:hAnsi="Verdana"/>
          <w:color w:val="454545"/>
          <w:sz w:val="18"/>
          <w:szCs w:val="18"/>
          <w:lang w:eastAsia="ru-RU"/>
        </w:rPr>
        <w:t xml:space="preserve"> </w:t>
      </w:r>
      <w:r w:rsidR="00E916CF">
        <w:rPr>
          <w:szCs w:val="28"/>
        </w:rPr>
        <w:t>2260,</w:t>
      </w:r>
      <w:r w:rsidR="00E916CF" w:rsidRPr="00E916CF">
        <w:rPr>
          <w:szCs w:val="28"/>
        </w:rPr>
        <w:t>23</w:t>
      </w:r>
      <w:r w:rsidR="00E916CF">
        <w:rPr>
          <w:szCs w:val="28"/>
        </w:rPr>
        <w:t>-</w:t>
      </w:r>
      <w:r w:rsidR="00182418">
        <w:rPr>
          <w:szCs w:val="28"/>
        </w:rPr>
        <w:t>1226,</w:t>
      </w:r>
      <w:r w:rsidR="00E916CF" w:rsidRPr="00E916CF">
        <w:rPr>
          <w:szCs w:val="28"/>
        </w:rPr>
        <w:t>40</w:t>
      </w:r>
      <w:r w:rsidR="00182418">
        <w:rPr>
          <w:szCs w:val="28"/>
        </w:rPr>
        <w:t xml:space="preserve">) </w:t>
      </w:r>
      <w:r w:rsidRPr="00006A39">
        <w:rPr>
          <w:szCs w:val="28"/>
        </w:rPr>
        <w:t>(табл. 4.4).</w:t>
      </w:r>
    </w:p>
    <w:p w:rsidR="00CE3364" w:rsidRPr="00006A39" w:rsidRDefault="009B5CBC" w:rsidP="00CE3364">
      <w:pPr>
        <w:widowControl w:val="0"/>
        <w:ind w:firstLine="709"/>
        <w:rPr>
          <w:szCs w:val="28"/>
        </w:rPr>
      </w:pPr>
      <w:r>
        <w:rPr>
          <w:szCs w:val="28"/>
        </w:rPr>
        <w:t>У неонатальному</w:t>
      </w:r>
      <w:r w:rsidR="00CE3364" w:rsidRPr="00006A39">
        <w:rPr>
          <w:szCs w:val="28"/>
        </w:rPr>
        <w:t xml:space="preserve"> період</w:t>
      </w:r>
      <w:r>
        <w:rPr>
          <w:szCs w:val="28"/>
        </w:rPr>
        <w:t>і</w:t>
      </w:r>
      <w:r w:rsidR="00CE3364" w:rsidRPr="00006A39">
        <w:rPr>
          <w:szCs w:val="28"/>
        </w:rPr>
        <w:t xml:space="preserve"> відбуваються біологічні, функціональні, морфологічні зміни в організмі немовлят, саме тому він вважається критичним у житті немовлят. Екстрагенітальна патологія матері значно впливає на стан здоров’я </w:t>
      </w:r>
      <w:r w:rsidR="00CE3364" w:rsidRPr="00006A39">
        <w:rPr>
          <w:szCs w:val="28"/>
        </w:rPr>
        <w:lastRenderedPageBreak/>
        <w:t>плода, організм матері має забезпечувати розвиток плоду, при цьому патологічні внутрішньоутробні умови негативно впливають протягом зростання плоду, посилюючи ризик розвитку патології у дитини як протягом пологів</w:t>
      </w:r>
      <w:r w:rsidR="00C237E7">
        <w:rPr>
          <w:szCs w:val="28"/>
        </w:rPr>
        <w:t>,</w:t>
      </w:r>
      <w:r w:rsidR="00CE3364" w:rsidRPr="00006A39">
        <w:rPr>
          <w:szCs w:val="28"/>
        </w:rPr>
        <w:t xml:space="preserve"> так і в постнатальному періоді.</w:t>
      </w:r>
    </w:p>
    <w:p w:rsidR="004F31D7" w:rsidRPr="00006A39" w:rsidRDefault="004F31D7" w:rsidP="00721203">
      <w:pPr>
        <w:widowControl w:val="0"/>
        <w:tabs>
          <w:tab w:val="left" w:pos="7393"/>
        </w:tabs>
        <w:jc w:val="right"/>
        <w:rPr>
          <w:i/>
          <w:szCs w:val="28"/>
        </w:rPr>
      </w:pPr>
      <w:r w:rsidRPr="00006A39">
        <w:rPr>
          <w:szCs w:val="28"/>
        </w:rPr>
        <w:tab/>
      </w:r>
      <w:r w:rsidRPr="00006A39">
        <w:rPr>
          <w:i/>
          <w:szCs w:val="28"/>
        </w:rPr>
        <w:t>Таблиця 4.4</w:t>
      </w:r>
    </w:p>
    <w:p w:rsidR="004F31D7" w:rsidRDefault="004F31D7" w:rsidP="00721203">
      <w:pPr>
        <w:widowControl w:val="0"/>
        <w:ind w:firstLine="708"/>
        <w:jc w:val="center"/>
        <w:rPr>
          <w:b/>
          <w:szCs w:val="28"/>
        </w:rPr>
      </w:pPr>
      <w:r w:rsidRPr="00C16B82">
        <w:rPr>
          <w:b/>
          <w:szCs w:val="28"/>
        </w:rPr>
        <w:t>Динаміка показника YLDs у дітей віком до 1-го року життя  в Україні та провідних країнах світу (роки, втрачен</w:t>
      </w:r>
      <w:r w:rsidR="00E00A74">
        <w:rPr>
          <w:b/>
          <w:szCs w:val="28"/>
        </w:rPr>
        <w:t xml:space="preserve">і внаслідок порушень здоров’я, </w:t>
      </w:r>
      <w:r w:rsidRPr="00C16B82">
        <w:rPr>
          <w:b/>
          <w:szCs w:val="28"/>
        </w:rPr>
        <w:t>на 100 тис. осіб</w:t>
      </w:r>
      <w:r w:rsidR="00E00A74">
        <w:rPr>
          <w:b/>
          <w:szCs w:val="28"/>
        </w:rPr>
        <w:t xml:space="preserve"> відповідного віку</w:t>
      </w:r>
      <w:r w:rsidRPr="00C16B82">
        <w:rPr>
          <w:b/>
          <w:szCs w:val="28"/>
        </w:rPr>
        <w:t>)</w:t>
      </w:r>
    </w:p>
    <w:p w:rsidR="00D54595" w:rsidRPr="00C16B82" w:rsidRDefault="00D54595" w:rsidP="00721203">
      <w:pPr>
        <w:widowControl w:val="0"/>
        <w:ind w:firstLine="708"/>
        <w:jc w:val="center"/>
        <w:rPr>
          <w:b/>
          <w:szCs w:val="28"/>
        </w:rPr>
      </w:pPr>
    </w:p>
    <w:tbl>
      <w:tblPr>
        <w:tblStyle w:val="12"/>
        <w:tblW w:w="0" w:type="auto"/>
        <w:jc w:val="center"/>
        <w:tblInd w:w="-430" w:type="dxa"/>
        <w:tblLayout w:type="fixed"/>
        <w:tblLook w:val="04A0" w:firstRow="1" w:lastRow="0" w:firstColumn="1" w:lastColumn="0" w:noHBand="0" w:noVBand="1"/>
      </w:tblPr>
      <w:tblGrid>
        <w:gridCol w:w="1277"/>
        <w:gridCol w:w="965"/>
        <w:gridCol w:w="1076"/>
        <w:gridCol w:w="1076"/>
        <w:gridCol w:w="1076"/>
        <w:gridCol w:w="1076"/>
        <w:gridCol w:w="1076"/>
        <w:gridCol w:w="1076"/>
        <w:gridCol w:w="1077"/>
      </w:tblGrid>
      <w:tr w:rsidR="00230CC9" w:rsidRPr="00230CC9" w:rsidTr="00D54595">
        <w:trPr>
          <w:trHeight w:val="950"/>
          <w:jc w:val="center"/>
        </w:trPr>
        <w:tc>
          <w:tcPr>
            <w:tcW w:w="1277" w:type="dxa"/>
          </w:tcPr>
          <w:p w:rsidR="004F31D7" w:rsidRPr="00C16B82" w:rsidRDefault="00C16B82" w:rsidP="00D54595">
            <w:pPr>
              <w:widowControl w:val="0"/>
              <w:spacing w:line="360" w:lineRule="auto"/>
              <w:jc w:val="center"/>
              <w:rPr>
                <w:sz w:val="24"/>
                <w:szCs w:val="24"/>
                <w:lang w:val="uk-UA"/>
              </w:rPr>
            </w:pPr>
            <w:r w:rsidRPr="00C16B82">
              <w:rPr>
                <w:sz w:val="24"/>
                <w:szCs w:val="24"/>
              </w:rPr>
              <w:t>Р</w:t>
            </w:r>
            <w:r w:rsidR="004F31D7" w:rsidRPr="00C16B82">
              <w:rPr>
                <w:sz w:val="24"/>
                <w:szCs w:val="24"/>
                <w:lang w:val="uk-UA"/>
              </w:rPr>
              <w:t>ік</w:t>
            </w:r>
          </w:p>
        </w:tc>
        <w:tc>
          <w:tcPr>
            <w:tcW w:w="965" w:type="dxa"/>
          </w:tcPr>
          <w:p w:rsidR="004F31D7" w:rsidRPr="00C16B82" w:rsidRDefault="004F31D7" w:rsidP="00D54595">
            <w:pPr>
              <w:widowControl w:val="0"/>
              <w:spacing w:line="360" w:lineRule="auto"/>
              <w:ind w:right="-143"/>
              <w:jc w:val="left"/>
              <w:rPr>
                <w:sz w:val="24"/>
                <w:szCs w:val="24"/>
                <w:lang w:val="uk-UA"/>
              </w:rPr>
            </w:pPr>
            <w:r w:rsidRPr="00C16B82">
              <w:rPr>
                <w:sz w:val="24"/>
                <w:szCs w:val="24"/>
                <w:lang w:val="uk-UA"/>
              </w:rPr>
              <w:t>Польща</w:t>
            </w:r>
          </w:p>
        </w:tc>
        <w:tc>
          <w:tcPr>
            <w:tcW w:w="1076" w:type="dxa"/>
          </w:tcPr>
          <w:p w:rsidR="004F31D7" w:rsidRPr="00C16B82" w:rsidRDefault="004F31D7" w:rsidP="00D54595">
            <w:pPr>
              <w:widowControl w:val="0"/>
              <w:spacing w:line="360" w:lineRule="auto"/>
              <w:jc w:val="center"/>
              <w:rPr>
                <w:sz w:val="24"/>
                <w:szCs w:val="24"/>
                <w:lang w:val="uk-UA"/>
              </w:rPr>
            </w:pPr>
            <w:r w:rsidRPr="00C16B82">
              <w:rPr>
                <w:sz w:val="24"/>
                <w:szCs w:val="24"/>
                <w:lang w:val="uk-UA"/>
              </w:rPr>
              <w:t>Словач</w:t>
            </w:r>
            <w:r w:rsidR="00C16B82" w:rsidRPr="00C16B82">
              <w:rPr>
                <w:sz w:val="24"/>
                <w:szCs w:val="24"/>
              </w:rPr>
              <w:t>-</w:t>
            </w:r>
            <w:r w:rsidRPr="00C16B82">
              <w:rPr>
                <w:sz w:val="24"/>
                <w:szCs w:val="24"/>
                <w:lang w:val="uk-UA"/>
              </w:rPr>
              <w:t>чина</w:t>
            </w:r>
          </w:p>
        </w:tc>
        <w:tc>
          <w:tcPr>
            <w:tcW w:w="1076" w:type="dxa"/>
          </w:tcPr>
          <w:p w:rsidR="004F31D7" w:rsidRPr="00C16B82" w:rsidRDefault="004F31D7" w:rsidP="00D54595">
            <w:pPr>
              <w:widowControl w:val="0"/>
              <w:spacing w:line="360" w:lineRule="auto"/>
              <w:jc w:val="center"/>
              <w:rPr>
                <w:sz w:val="24"/>
                <w:szCs w:val="24"/>
                <w:lang w:val="uk-UA"/>
              </w:rPr>
            </w:pPr>
            <w:r w:rsidRPr="00C16B82">
              <w:rPr>
                <w:sz w:val="24"/>
                <w:szCs w:val="24"/>
                <w:lang w:val="uk-UA"/>
              </w:rPr>
              <w:t>Угор</w:t>
            </w:r>
            <w:r w:rsidR="00C16B82">
              <w:rPr>
                <w:sz w:val="24"/>
                <w:szCs w:val="24"/>
              </w:rPr>
              <w:t>-</w:t>
            </w:r>
            <w:r w:rsidRPr="00C16B82">
              <w:rPr>
                <w:sz w:val="24"/>
                <w:szCs w:val="24"/>
                <w:lang w:val="uk-UA"/>
              </w:rPr>
              <w:t>щина</w:t>
            </w:r>
          </w:p>
        </w:tc>
        <w:tc>
          <w:tcPr>
            <w:tcW w:w="1076" w:type="dxa"/>
          </w:tcPr>
          <w:p w:rsidR="004F31D7" w:rsidRPr="00C16B82" w:rsidRDefault="004F31D7" w:rsidP="00D54595">
            <w:pPr>
              <w:widowControl w:val="0"/>
              <w:spacing w:line="360" w:lineRule="auto"/>
              <w:jc w:val="center"/>
              <w:rPr>
                <w:sz w:val="24"/>
                <w:szCs w:val="24"/>
                <w:lang w:val="uk-UA"/>
              </w:rPr>
            </w:pPr>
            <w:r w:rsidRPr="00C16B82">
              <w:rPr>
                <w:sz w:val="24"/>
                <w:szCs w:val="24"/>
                <w:lang w:val="uk-UA"/>
              </w:rPr>
              <w:t>Німеч</w:t>
            </w:r>
            <w:r w:rsidR="00C16B82">
              <w:rPr>
                <w:sz w:val="24"/>
                <w:szCs w:val="24"/>
              </w:rPr>
              <w:t>-</w:t>
            </w:r>
            <w:r w:rsidRPr="00C16B82">
              <w:rPr>
                <w:sz w:val="24"/>
                <w:szCs w:val="24"/>
                <w:lang w:val="uk-UA"/>
              </w:rPr>
              <w:t>чина</w:t>
            </w:r>
          </w:p>
        </w:tc>
        <w:tc>
          <w:tcPr>
            <w:tcW w:w="1076" w:type="dxa"/>
          </w:tcPr>
          <w:p w:rsidR="004F31D7" w:rsidRPr="00C16B82" w:rsidRDefault="004F31D7" w:rsidP="00D54595">
            <w:pPr>
              <w:widowControl w:val="0"/>
              <w:spacing w:line="360" w:lineRule="auto"/>
              <w:jc w:val="center"/>
              <w:rPr>
                <w:sz w:val="24"/>
                <w:szCs w:val="24"/>
                <w:lang w:val="uk-UA"/>
              </w:rPr>
            </w:pPr>
            <w:r w:rsidRPr="00C16B82">
              <w:rPr>
                <w:sz w:val="24"/>
                <w:szCs w:val="24"/>
                <w:lang w:val="uk-UA"/>
              </w:rPr>
              <w:t>Франція</w:t>
            </w:r>
          </w:p>
        </w:tc>
        <w:tc>
          <w:tcPr>
            <w:tcW w:w="1076" w:type="dxa"/>
          </w:tcPr>
          <w:p w:rsidR="004F31D7" w:rsidRPr="00C16B82" w:rsidRDefault="004F31D7" w:rsidP="00D54595">
            <w:pPr>
              <w:widowControl w:val="0"/>
              <w:spacing w:line="360" w:lineRule="auto"/>
              <w:jc w:val="center"/>
              <w:rPr>
                <w:sz w:val="24"/>
                <w:szCs w:val="24"/>
                <w:lang w:val="uk-UA"/>
              </w:rPr>
            </w:pPr>
            <w:r w:rsidRPr="00C16B82">
              <w:rPr>
                <w:sz w:val="24"/>
                <w:szCs w:val="24"/>
                <w:lang w:val="uk-UA"/>
              </w:rPr>
              <w:t>Іспанія</w:t>
            </w:r>
          </w:p>
        </w:tc>
        <w:tc>
          <w:tcPr>
            <w:tcW w:w="1076" w:type="dxa"/>
          </w:tcPr>
          <w:p w:rsidR="004F31D7" w:rsidRPr="00C16B82" w:rsidRDefault="004F31D7" w:rsidP="00D54595">
            <w:pPr>
              <w:widowControl w:val="0"/>
              <w:spacing w:line="360" w:lineRule="auto"/>
              <w:jc w:val="center"/>
              <w:rPr>
                <w:sz w:val="24"/>
                <w:szCs w:val="24"/>
                <w:lang w:val="uk-UA"/>
              </w:rPr>
            </w:pPr>
            <w:r w:rsidRPr="00C16B82">
              <w:rPr>
                <w:sz w:val="24"/>
                <w:szCs w:val="24"/>
                <w:lang w:val="uk-UA"/>
              </w:rPr>
              <w:t>США</w:t>
            </w:r>
          </w:p>
        </w:tc>
        <w:tc>
          <w:tcPr>
            <w:tcW w:w="1077" w:type="dxa"/>
          </w:tcPr>
          <w:p w:rsidR="004F31D7" w:rsidRPr="00C16B82" w:rsidRDefault="004F31D7" w:rsidP="00D54595">
            <w:pPr>
              <w:widowControl w:val="0"/>
              <w:spacing w:line="360" w:lineRule="auto"/>
              <w:rPr>
                <w:sz w:val="24"/>
                <w:szCs w:val="24"/>
                <w:lang w:val="uk-UA"/>
              </w:rPr>
            </w:pPr>
            <w:r w:rsidRPr="00C16B82">
              <w:rPr>
                <w:sz w:val="24"/>
                <w:szCs w:val="24"/>
                <w:lang w:val="uk-UA"/>
              </w:rPr>
              <w:t>Україна</w:t>
            </w:r>
          </w:p>
        </w:tc>
      </w:tr>
      <w:tr w:rsidR="00230CC9" w:rsidRPr="00230CC9" w:rsidTr="00EE656B">
        <w:trPr>
          <w:jc w:val="center"/>
        </w:trPr>
        <w:tc>
          <w:tcPr>
            <w:tcW w:w="1277" w:type="dxa"/>
          </w:tcPr>
          <w:p w:rsidR="004F31D7" w:rsidRPr="00C16B82" w:rsidRDefault="004F31D7" w:rsidP="00D54595">
            <w:pPr>
              <w:widowControl w:val="0"/>
              <w:spacing w:line="360" w:lineRule="auto"/>
              <w:jc w:val="center"/>
              <w:rPr>
                <w:sz w:val="24"/>
                <w:szCs w:val="24"/>
                <w:lang w:val="uk-UA"/>
              </w:rPr>
            </w:pPr>
            <w:r w:rsidRPr="00C16B82">
              <w:rPr>
                <w:sz w:val="24"/>
                <w:szCs w:val="24"/>
                <w:lang w:val="uk-UA"/>
              </w:rPr>
              <w:t>2013</w:t>
            </w:r>
          </w:p>
        </w:tc>
        <w:tc>
          <w:tcPr>
            <w:tcW w:w="965" w:type="dxa"/>
          </w:tcPr>
          <w:p w:rsidR="004F31D7" w:rsidRPr="00C16B82" w:rsidRDefault="00BC30DC" w:rsidP="00D54595">
            <w:pPr>
              <w:widowControl w:val="0"/>
              <w:spacing w:line="360" w:lineRule="auto"/>
              <w:jc w:val="center"/>
              <w:rPr>
                <w:sz w:val="24"/>
                <w:szCs w:val="24"/>
              </w:rPr>
            </w:pPr>
            <w:r w:rsidRPr="00C16B82">
              <w:rPr>
                <w:sz w:val="24"/>
                <w:szCs w:val="24"/>
              </w:rPr>
              <w:t>2384</w:t>
            </w:r>
            <w:r w:rsidRPr="00C16B82">
              <w:rPr>
                <w:sz w:val="24"/>
                <w:szCs w:val="24"/>
                <w:lang w:val="uk-UA"/>
              </w:rPr>
              <w:t>,</w:t>
            </w:r>
            <w:r w:rsidRPr="00C16B82">
              <w:rPr>
                <w:sz w:val="24"/>
                <w:szCs w:val="24"/>
              </w:rPr>
              <w:t>7</w:t>
            </w:r>
          </w:p>
        </w:tc>
        <w:tc>
          <w:tcPr>
            <w:tcW w:w="1076" w:type="dxa"/>
          </w:tcPr>
          <w:p w:rsidR="004F31D7" w:rsidRPr="006B25A9" w:rsidRDefault="006B25A9" w:rsidP="00D54595">
            <w:pPr>
              <w:widowControl w:val="0"/>
              <w:spacing w:line="360" w:lineRule="auto"/>
              <w:jc w:val="center"/>
              <w:rPr>
                <w:sz w:val="24"/>
                <w:szCs w:val="24"/>
              </w:rPr>
            </w:pPr>
            <w:r w:rsidRPr="006B25A9">
              <w:rPr>
                <w:sz w:val="24"/>
                <w:szCs w:val="24"/>
              </w:rPr>
              <w:t>2463,8</w:t>
            </w:r>
          </w:p>
        </w:tc>
        <w:tc>
          <w:tcPr>
            <w:tcW w:w="1076" w:type="dxa"/>
          </w:tcPr>
          <w:p w:rsidR="004F31D7" w:rsidRPr="00076BEE" w:rsidRDefault="00076BEE" w:rsidP="00D54595">
            <w:pPr>
              <w:widowControl w:val="0"/>
              <w:spacing w:line="360" w:lineRule="auto"/>
              <w:jc w:val="center"/>
              <w:rPr>
                <w:sz w:val="24"/>
                <w:szCs w:val="24"/>
              </w:rPr>
            </w:pPr>
            <w:r w:rsidRPr="00076BEE">
              <w:rPr>
                <w:sz w:val="24"/>
                <w:szCs w:val="24"/>
              </w:rPr>
              <w:t>2599,2</w:t>
            </w:r>
          </w:p>
        </w:tc>
        <w:tc>
          <w:tcPr>
            <w:tcW w:w="1076" w:type="dxa"/>
          </w:tcPr>
          <w:p w:rsidR="004F31D7" w:rsidRPr="008E4B42" w:rsidRDefault="008E4B42" w:rsidP="00D54595">
            <w:pPr>
              <w:widowControl w:val="0"/>
              <w:spacing w:line="360" w:lineRule="auto"/>
              <w:jc w:val="center"/>
              <w:rPr>
                <w:sz w:val="24"/>
                <w:szCs w:val="24"/>
              </w:rPr>
            </w:pPr>
            <w:r w:rsidRPr="008E4B42">
              <w:rPr>
                <w:sz w:val="24"/>
                <w:szCs w:val="24"/>
              </w:rPr>
              <w:t>2014,4</w:t>
            </w:r>
          </w:p>
        </w:tc>
        <w:tc>
          <w:tcPr>
            <w:tcW w:w="1076" w:type="dxa"/>
          </w:tcPr>
          <w:p w:rsidR="004F31D7" w:rsidRPr="00C428F9" w:rsidRDefault="00C428F9" w:rsidP="00D54595">
            <w:pPr>
              <w:widowControl w:val="0"/>
              <w:spacing w:line="360" w:lineRule="auto"/>
              <w:jc w:val="center"/>
              <w:rPr>
                <w:sz w:val="24"/>
                <w:szCs w:val="24"/>
              </w:rPr>
            </w:pPr>
            <w:r w:rsidRPr="00C428F9">
              <w:rPr>
                <w:sz w:val="24"/>
                <w:szCs w:val="24"/>
              </w:rPr>
              <w:t>1879,8</w:t>
            </w:r>
          </w:p>
        </w:tc>
        <w:tc>
          <w:tcPr>
            <w:tcW w:w="1076" w:type="dxa"/>
          </w:tcPr>
          <w:p w:rsidR="004F31D7" w:rsidRPr="00CA159D" w:rsidRDefault="00CA159D" w:rsidP="00D54595">
            <w:pPr>
              <w:widowControl w:val="0"/>
              <w:spacing w:line="360" w:lineRule="auto"/>
              <w:jc w:val="center"/>
              <w:rPr>
                <w:sz w:val="24"/>
                <w:szCs w:val="24"/>
              </w:rPr>
            </w:pPr>
            <w:r w:rsidRPr="00CA159D">
              <w:rPr>
                <w:sz w:val="24"/>
                <w:szCs w:val="24"/>
              </w:rPr>
              <w:t>2093,2</w:t>
            </w:r>
          </w:p>
        </w:tc>
        <w:tc>
          <w:tcPr>
            <w:tcW w:w="1076" w:type="dxa"/>
          </w:tcPr>
          <w:p w:rsidR="004F31D7" w:rsidRPr="00FC4C53" w:rsidRDefault="00FC4C53" w:rsidP="00D54595">
            <w:pPr>
              <w:widowControl w:val="0"/>
              <w:spacing w:line="360" w:lineRule="auto"/>
              <w:jc w:val="center"/>
              <w:rPr>
                <w:sz w:val="24"/>
                <w:szCs w:val="24"/>
              </w:rPr>
            </w:pPr>
            <w:r w:rsidRPr="00FC4C53">
              <w:rPr>
                <w:sz w:val="24"/>
                <w:szCs w:val="24"/>
              </w:rPr>
              <w:t>1661,6</w:t>
            </w:r>
          </w:p>
        </w:tc>
        <w:tc>
          <w:tcPr>
            <w:tcW w:w="1077" w:type="dxa"/>
          </w:tcPr>
          <w:p w:rsidR="004F31D7" w:rsidRPr="00CE45D0" w:rsidRDefault="00CE45D0" w:rsidP="00D54595">
            <w:pPr>
              <w:widowControl w:val="0"/>
              <w:spacing w:line="360" w:lineRule="auto"/>
              <w:jc w:val="center"/>
              <w:rPr>
                <w:sz w:val="24"/>
                <w:szCs w:val="24"/>
              </w:rPr>
            </w:pPr>
            <w:r w:rsidRPr="00CE45D0">
              <w:rPr>
                <w:sz w:val="24"/>
                <w:szCs w:val="24"/>
              </w:rPr>
              <w:t>2207,3</w:t>
            </w:r>
          </w:p>
        </w:tc>
      </w:tr>
      <w:tr w:rsidR="00230CC9" w:rsidRPr="00230CC9" w:rsidTr="00EE656B">
        <w:trPr>
          <w:jc w:val="center"/>
        </w:trPr>
        <w:tc>
          <w:tcPr>
            <w:tcW w:w="1277" w:type="dxa"/>
          </w:tcPr>
          <w:p w:rsidR="004F31D7" w:rsidRPr="00C16B82" w:rsidRDefault="004F31D7" w:rsidP="00D54595">
            <w:pPr>
              <w:widowControl w:val="0"/>
              <w:spacing w:line="360" w:lineRule="auto"/>
              <w:jc w:val="center"/>
              <w:rPr>
                <w:sz w:val="24"/>
                <w:szCs w:val="24"/>
                <w:lang w:val="uk-UA"/>
              </w:rPr>
            </w:pPr>
            <w:r w:rsidRPr="00C16B82">
              <w:rPr>
                <w:sz w:val="24"/>
                <w:szCs w:val="24"/>
                <w:lang w:val="uk-UA"/>
              </w:rPr>
              <w:t>2014</w:t>
            </w:r>
          </w:p>
        </w:tc>
        <w:tc>
          <w:tcPr>
            <w:tcW w:w="965" w:type="dxa"/>
          </w:tcPr>
          <w:p w:rsidR="004F31D7" w:rsidRPr="00C16B82" w:rsidRDefault="00BC30DC" w:rsidP="00D54595">
            <w:pPr>
              <w:widowControl w:val="0"/>
              <w:spacing w:line="360" w:lineRule="auto"/>
              <w:jc w:val="center"/>
              <w:rPr>
                <w:sz w:val="24"/>
                <w:szCs w:val="24"/>
              </w:rPr>
            </w:pPr>
            <w:r w:rsidRPr="00C16B82">
              <w:rPr>
                <w:sz w:val="24"/>
                <w:szCs w:val="24"/>
                <w:lang w:val="uk-UA"/>
              </w:rPr>
              <w:t>2</w:t>
            </w:r>
            <w:r w:rsidRPr="00C16B82">
              <w:rPr>
                <w:sz w:val="24"/>
                <w:szCs w:val="24"/>
              </w:rPr>
              <w:t>382</w:t>
            </w:r>
            <w:r w:rsidRPr="00C16B82">
              <w:rPr>
                <w:sz w:val="24"/>
                <w:szCs w:val="24"/>
                <w:lang w:val="uk-UA"/>
              </w:rPr>
              <w:t>,</w:t>
            </w:r>
            <w:r w:rsidRPr="00C16B82">
              <w:rPr>
                <w:sz w:val="24"/>
                <w:szCs w:val="24"/>
              </w:rPr>
              <w:t>6</w:t>
            </w:r>
          </w:p>
        </w:tc>
        <w:tc>
          <w:tcPr>
            <w:tcW w:w="1076" w:type="dxa"/>
          </w:tcPr>
          <w:p w:rsidR="004F31D7" w:rsidRPr="006B25A9" w:rsidRDefault="006B25A9" w:rsidP="00D54595">
            <w:pPr>
              <w:widowControl w:val="0"/>
              <w:spacing w:line="360" w:lineRule="auto"/>
              <w:jc w:val="center"/>
              <w:rPr>
                <w:sz w:val="24"/>
                <w:szCs w:val="24"/>
              </w:rPr>
            </w:pPr>
            <w:r w:rsidRPr="006B25A9">
              <w:rPr>
                <w:sz w:val="24"/>
                <w:szCs w:val="24"/>
              </w:rPr>
              <w:t>2463,3</w:t>
            </w:r>
          </w:p>
        </w:tc>
        <w:tc>
          <w:tcPr>
            <w:tcW w:w="1076" w:type="dxa"/>
          </w:tcPr>
          <w:p w:rsidR="004F31D7" w:rsidRPr="00076BEE" w:rsidRDefault="00076BEE" w:rsidP="00D54595">
            <w:pPr>
              <w:widowControl w:val="0"/>
              <w:spacing w:line="360" w:lineRule="auto"/>
              <w:jc w:val="center"/>
              <w:rPr>
                <w:sz w:val="24"/>
                <w:szCs w:val="24"/>
              </w:rPr>
            </w:pPr>
            <w:r w:rsidRPr="00076BEE">
              <w:rPr>
                <w:sz w:val="24"/>
                <w:szCs w:val="24"/>
              </w:rPr>
              <w:t>2597,8</w:t>
            </w:r>
          </w:p>
        </w:tc>
        <w:tc>
          <w:tcPr>
            <w:tcW w:w="1076" w:type="dxa"/>
          </w:tcPr>
          <w:p w:rsidR="004F31D7" w:rsidRPr="008E4B42" w:rsidRDefault="008E4B42" w:rsidP="00D54595">
            <w:pPr>
              <w:widowControl w:val="0"/>
              <w:spacing w:line="360" w:lineRule="auto"/>
              <w:jc w:val="center"/>
              <w:rPr>
                <w:sz w:val="24"/>
                <w:szCs w:val="24"/>
              </w:rPr>
            </w:pPr>
            <w:r w:rsidRPr="008E4B42">
              <w:rPr>
                <w:sz w:val="24"/>
                <w:szCs w:val="24"/>
              </w:rPr>
              <w:t>2019,6</w:t>
            </w:r>
          </w:p>
        </w:tc>
        <w:tc>
          <w:tcPr>
            <w:tcW w:w="1076" w:type="dxa"/>
          </w:tcPr>
          <w:p w:rsidR="004F31D7" w:rsidRPr="00C428F9" w:rsidRDefault="00C428F9" w:rsidP="00D54595">
            <w:pPr>
              <w:widowControl w:val="0"/>
              <w:spacing w:line="360" w:lineRule="auto"/>
              <w:jc w:val="center"/>
              <w:rPr>
                <w:sz w:val="24"/>
                <w:szCs w:val="24"/>
              </w:rPr>
            </w:pPr>
            <w:r w:rsidRPr="00C428F9">
              <w:rPr>
                <w:sz w:val="24"/>
                <w:szCs w:val="24"/>
              </w:rPr>
              <w:t>1882,9</w:t>
            </w:r>
          </w:p>
        </w:tc>
        <w:tc>
          <w:tcPr>
            <w:tcW w:w="1076" w:type="dxa"/>
          </w:tcPr>
          <w:p w:rsidR="004F31D7" w:rsidRPr="00CA159D" w:rsidRDefault="00CA159D" w:rsidP="00D54595">
            <w:pPr>
              <w:widowControl w:val="0"/>
              <w:spacing w:line="360" w:lineRule="auto"/>
              <w:jc w:val="center"/>
              <w:rPr>
                <w:sz w:val="24"/>
                <w:szCs w:val="24"/>
              </w:rPr>
            </w:pPr>
            <w:r w:rsidRPr="00CA159D">
              <w:rPr>
                <w:sz w:val="24"/>
                <w:szCs w:val="24"/>
              </w:rPr>
              <w:t>2094,7</w:t>
            </w:r>
          </w:p>
        </w:tc>
        <w:tc>
          <w:tcPr>
            <w:tcW w:w="1076" w:type="dxa"/>
          </w:tcPr>
          <w:p w:rsidR="004F31D7" w:rsidRPr="00FC4C53" w:rsidRDefault="00FC4C53" w:rsidP="00D54595">
            <w:pPr>
              <w:widowControl w:val="0"/>
              <w:spacing w:line="360" w:lineRule="auto"/>
              <w:jc w:val="center"/>
              <w:rPr>
                <w:sz w:val="24"/>
                <w:szCs w:val="24"/>
              </w:rPr>
            </w:pPr>
            <w:r w:rsidRPr="00FC4C53">
              <w:rPr>
                <w:sz w:val="24"/>
                <w:szCs w:val="24"/>
              </w:rPr>
              <w:t>1662,6</w:t>
            </w:r>
          </w:p>
        </w:tc>
        <w:tc>
          <w:tcPr>
            <w:tcW w:w="1077" w:type="dxa"/>
          </w:tcPr>
          <w:p w:rsidR="004F31D7" w:rsidRPr="00CE45D0" w:rsidRDefault="00CE45D0" w:rsidP="00D54595">
            <w:pPr>
              <w:widowControl w:val="0"/>
              <w:spacing w:line="360" w:lineRule="auto"/>
              <w:jc w:val="center"/>
              <w:rPr>
                <w:sz w:val="24"/>
                <w:szCs w:val="24"/>
              </w:rPr>
            </w:pPr>
            <w:r w:rsidRPr="00CE45D0">
              <w:rPr>
                <w:sz w:val="24"/>
                <w:szCs w:val="24"/>
              </w:rPr>
              <w:t>2214,9</w:t>
            </w:r>
          </w:p>
        </w:tc>
      </w:tr>
      <w:tr w:rsidR="00230CC9" w:rsidRPr="00230CC9" w:rsidTr="00EE656B">
        <w:trPr>
          <w:jc w:val="center"/>
        </w:trPr>
        <w:tc>
          <w:tcPr>
            <w:tcW w:w="1277" w:type="dxa"/>
          </w:tcPr>
          <w:p w:rsidR="004F31D7" w:rsidRPr="00C16B82" w:rsidRDefault="004F31D7" w:rsidP="00D54595">
            <w:pPr>
              <w:widowControl w:val="0"/>
              <w:spacing w:line="360" w:lineRule="auto"/>
              <w:jc w:val="center"/>
              <w:rPr>
                <w:sz w:val="24"/>
                <w:szCs w:val="24"/>
                <w:lang w:val="uk-UA"/>
              </w:rPr>
            </w:pPr>
            <w:r w:rsidRPr="00C16B82">
              <w:rPr>
                <w:sz w:val="24"/>
                <w:szCs w:val="24"/>
                <w:lang w:val="uk-UA"/>
              </w:rPr>
              <w:t>2015</w:t>
            </w:r>
          </w:p>
        </w:tc>
        <w:tc>
          <w:tcPr>
            <w:tcW w:w="965" w:type="dxa"/>
          </w:tcPr>
          <w:p w:rsidR="004F31D7" w:rsidRPr="00C16B82" w:rsidRDefault="00BC30DC" w:rsidP="00D54595">
            <w:pPr>
              <w:widowControl w:val="0"/>
              <w:spacing w:line="360" w:lineRule="auto"/>
              <w:jc w:val="center"/>
              <w:rPr>
                <w:sz w:val="24"/>
                <w:szCs w:val="24"/>
              </w:rPr>
            </w:pPr>
            <w:r w:rsidRPr="00C16B82">
              <w:rPr>
                <w:sz w:val="24"/>
                <w:szCs w:val="24"/>
                <w:lang w:val="uk-UA"/>
              </w:rPr>
              <w:t>2</w:t>
            </w:r>
            <w:r w:rsidRPr="00C16B82">
              <w:rPr>
                <w:sz w:val="24"/>
                <w:szCs w:val="24"/>
              </w:rPr>
              <w:t>384</w:t>
            </w:r>
            <w:r w:rsidRPr="00C16B82">
              <w:rPr>
                <w:sz w:val="24"/>
                <w:szCs w:val="24"/>
                <w:lang w:val="uk-UA"/>
              </w:rPr>
              <w:t>,</w:t>
            </w:r>
            <w:r w:rsidRPr="00C16B82">
              <w:rPr>
                <w:sz w:val="24"/>
                <w:szCs w:val="24"/>
              </w:rPr>
              <w:t>4</w:t>
            </w:r>
          </w:p>
        </w:tc>
        <w:tc>
          <w:tcPr>
            <w:tcW w:w="1076" w:type="dxa"/>
          </w:tcPr>
          <w:p w:rsidR="004F31D7" w:rsidRPr="006B25A9" w:rsidRDefault="006B25A9" w:rsidP="00D54595">
            <w:pPr>
              <w:widowControl w:val="0"/>
              <w:spacing w:line="360" w:lineRule="auto"/>
              <w:jc w:val="center"/>
              <w:rPr>
                <w:sz w:val="24"/>
                <w:szCs w:val="24"/>
              </w:rPr>
            </w:pPr>
            <w:r w:rsidRPr="006B25A9">
              <w:rPr>
                <w:sz w:val="24"/>
                <w:szCs w:val="24"/>
              </w:rPr>
              <w:t>2467,2</w:t>
            </w:r>
          </w:p>
        </w:tc>
        <w:tc>
          <w:tcPr>
            <w:tcW w:w="1076" w:type="dxa"/>
          </w:tcPr>
          <w:p w:rsidR="004F31D7" w:rsidRPr="00076BEE" w:rsidRDefault="00076BEE" w:rsidP="00D54595">
            <w:pPr>
              <w:widowControl w:val="0"/>
              <w:spacing w:line="360" w:lineRule="auto"/>
              <w:jc w:val="center"/>
              <w:rPr>
                <w:sz w:val="24"/>
                <w:szCs w:val="24"/>
              </w:rPr>
            </w:pPr>
            <w:r w:rsidRPr="00076BEE">
              <w:rPr>
                <w:sz w:val="24"/>
                <w:szCs w:val="24"/>
              </w:rPr>
              <w:t>2598,6</w:t>
            </w:r>
          </w:p>
        </w:tc>
        <w:tc>
          <w:tcPr>
            <w:tcW w:w="1076" w:type="dxa"/>
          </w:tcPr>
          <w:p w:rsidR="004F31D7" w:rsidRPr="008E4B42" w:rsidRDefault="008E4B42" w:rsidP="00D54595">
            <w:pPr>
              <w:widowControl w:val="0"/>
              <w:spacing w:line="360" w:lineRule="auto"/>
              <w:jc w:val="center"/>
              <w:rPr>
                <w:sz w:val="24"/>
                <w:szCs w:val="24"/>
              </w:rPr>
            </w:pPr>
            <w:r w:rsidRPr="008E4B42">
              <w:rPr>
                <w:sz w:val="24"/>
                <w:szCs w:val="24"/>
              </w:rPr>
              <w:t>2023,7</w:t>
            </w:r>
          </w:p>
        </w:tc>
        <w:tc>
          <w:tcPr>
            <w:tcW w:w="1076" w:type="dxa"/>
          </w:tcPr>
          <w:p w:rsidR="004F31D7" w:rsidRPr="00C428F9" w:rsidRDefault="00C428F9" w:rsidP="00D54595">
            <w:pPr>
              <w:widowControl w:val="0"/>
              <w:spacing w:line="360" w:lineRule="auto"/>
              <w:jc w:val="center"/>
              <w:rPr>
                <w:sz w:val="24"/>
                <w:szCs w:val="24"/>
              </w:rPr>
            </w:pPr>
            <w:r w:rsidRPr="00C428F9">
              <w:rPr>
                <w:sz w:val="24"/>
                <w:szCs w:val="24"/>
              </w:rPr>
              <w:t>1888,7</w:t>
            </w:r>
          </w:p>
        </w:tc>
        <w:tc>
          <w:tcPr>
            <w:tcW w:w="1076" w:type="dxa"/>
          </w:tcPr>
          <w:p w:rsidR="004F31D7" w:rsidRPr="00CA159D" w:rsidRDefault="00CA159D" w:rsidP="00D54595">
            <w:pPr>
              <w:widowControl w:val="0"/>
              <w:spacing w:line="360" w:lineRule="auto"/>
              <w:jc w:val="center"/>
              <w:rPr>
                <w:sz w:val="24"/>
                <w:szCs w:val="24"/>
              </w:rPr>
            </w:pPr>
            <w:r w:rsidRPr="00CA159D">
              <w:rPr>
                <w:sz w:val="24"/>
                <w:szCs w:val="24"/>
              </w:rPr>
              <w:t>2096,9</w:t>
            </w:r>
          </w:p>
        </w:tc>
        <w:tc>
          <w:tcPr>
            <w:tcW w:w="1076" w:type="dxa"/>
          </w:tcPr>
          <w:p w:rsidR="004F31D7" w:rsidRPr="00FC4C53" w:rsidRDefault="00FC4C53" w:rsidP="00D54595">
            <w:pPr>
              <w:widowControl w:val="0"/>
              <w:spacing w:line="360" w:lineRule="auto"/>
              <w:jc w:val="center"/>
              <w:rPr>
                <w:sz w:val="24"/>
                <w:szCs w:val="24"/>
              </w:rPr>
            </w:pPr>
            <w:r w:rsidRPr="00FC4C53">
              <w:rPr>
                <w:sz w:val="24"/>
                <w:szCs w:val="24"/>
              </w:rPr>
              <w:t>1664,1</w:t>
            </w:r>
          </w:p>
        </w:tc>
        <w:tc>
          <w:tcPr>
            <w:tcW w:w="1077" w:type="dxa"/>
          </w:tcPr>
          <w:p w:rsidR="004F31D7" w:rsidRPr="00CE45D0" w:rsidRDefault="00CE45D0" w:rsidP="00D54595">
            <w:pPr>
              <w:widowControl w:val="0"/>
              <w:spacing w:line="360" w:lineRule="auto"/>
              <w:jc w:val="center"/>
              <w:rPr>
                <w:sz w:val="24"/>
                <w:szCs w:val="24"/>
              </w:rPr>
            </w:pPr>
            <w:r w:rsidRPr="00CE45D0">
              <w:rPr>
                <w:sz w:val="24"/>
                <w:szCs w:val="24"/>
              </w:rPr>
              <w:t>2225,2</w:t>
            </w:r>
          </w:p>
        </w:tc>
      </w:tr>
      <w:tr w:rsidR="00230CC9" w:rsidRPr="00230CC9" w:rsidTr="00EE656B">
        <w:trPr>
          <w:jc w:val="center"/>
        </w:trPr>
        <w:tc>
          <w:tcPr>
            <w:tcW w:w="1277" w:type="dxa"/>
          </w:tcPr>
          <w:p w:rsidR="004F31D7" w:rsidRPr="00C16B82" w:rsidRDefault="004F31D7" w:rsidP="00D54595">
            <w:pPr>
              <w:widowControl w:val="0"/>
              <w:spacing w:line="360" w:lineRule="auto"/>
              <w:jc w:val="center"/>
              <w:rPr>
                <w:sz w:val="24"/>
                <w:szCs w:val="24"/>
                <w:lang w:val="uk-UA"/>
              </w:rPr>
            </w:pPr>
            <w:r w:rsidRPr="00C16B82">
              <w:rPr>
                <w:sz w:val="24"/>
                <w:szCs w:val="24"/>
                <w:lang w:val="uk-UA"/>
              </w:rPr>
              <w:t>2016</w:t>
            </w:r>
          </w:p>
        </w:tc>
        <w:tc>
          <w:tcPr>
            <w:tcW w:w="965" w:type="dxa"/>
          </w:tcPr>
          <w:p w:rsidR="004F31D7" w:rsidRPr="00C16B82" w:rsidRDefault="00BC30DC" w:rsidP="00D54595">
            <w:pPr>
              <w:widowControl w:val="0"/>
              <w:spacing w:line="360" w:lineRule="auto"/>
              <w:jc w:val="center"/>
              <w:rPr>
                <w:sz w:val="24"/>
                <w:szCs w:val="24"/>
              </w:rPr>
            </w:pPr>
            <w:r w:rsidRPr="00C16B82">
              <w:rPr>
                <w:sz w:val="24"/>
                <w:szCs w:val="24"/>
                <w:lang w:val="uk-UA"/>
              </w:rPr>
              <w:t>2</w:t>
            </w:r>
            <w:r w:rsidRPr="00C16B82">
              <w:rPr>
                <w:sz w:val="24"/>
                <w:szCs w:val="24"/>
              </w:rPr>
              <w:t>406,2</w:t>
            </w:r>
          </w:p>
        </w:tc>
        <w:tc>
          <w:tcPr>
            <w:tcW w:w="1076" w:type="dxa"/>
          </w:tcPr>
          <w:p w:rsidR="004F31D7" w:rsidRPr="006B25A9" w:rsidRDefault="006B25A9" w:rsidP="00D54595">
            <w:pPr>
              <w:widowControl w:val="0"/>
              <w:spacing w:line="360" w:lineRule="auto"/>
              <w:jc w:val="center"/>
              <w:rPr>
                <w:sz w:val="24"/>
                <w:szCs w:val="24"/>
              </w:rPr>
            </w:pPr>
            <w:r w:rsidRPr="006B25A9">
              <w:rPr>
                <w:sz w:val="24"/>
                <w:szCs w:val="24"/>
              </w:rPr>
              <w:t>2484,5</w:t>
            </w:r>
          </w:p>
        </w:tc>
        <w:tc>
          <w:tcPr>
            <w:tcW w:w="1076" w:type="dxa"/>
          </w:tcPr>
          <w:p w:rsidR="004F31D7" w:rsidRPr="00076BEE" w:rsidRDefault="00076BEE" w:rsidP="00D54595">
            <w:pPr>
              <w:widowControl w:val="0"/>
              <w:spacing w:line="360" w:lineRule="auto"/>
              <w:jc w:val="center"/>
              <w:rPr>
                <w:sz w:val="24"/>
                <w:szCs w:val="24"/>
              </w:rPr>
            </w:pPr>
            <w:r w:rsidRPr="00076BEE">
              <w:rPr>
                <w:sz w:val="24"/>
                <w:szCs w:val="24"/>
              </w:rPr>
              <w:t>2620,6</w:t>
            </w:r>
          </w:p>
        </w:tc>
        <w:tc>
          <w:tcPr>
            <w:tcW w:w="1076" w:type="dxa"/>
          </w:tcPr>
          <w:p w:rsidR="004F31D7" w:rsidRPr="008E4B42" w:rsidRDefault="008E4B42" w:rsidP="00D54595">
            <w:pPr>
              <w:widowControl w:val="0"/>
              <w:spacing w:line="360" w:lineRule="auto"/>
              <w:jc w:val="center"/>
              <w:rPr>
                <w:sz w:val="24"/>
                <w:szCs w:val="24"/>
              </w:rPr>
            </w:pPr>
            <w:r w:rsidRPr="008E4B42">
              <w:rPr>
                <w:sz w:val="24"/>
                <w:szCs w:val="24"/>
              </w:rPr>
              <w:t>2043,5</w:t>
            </w:r>
          </w:p>
        </w:tc>
        <w:tc>
          <w:tcPr>
            <w:tcW w:w="1076" w:type="dxa"/>
          </w:tcPr>
          <w:p w:rsidR="004F31D7" w:rsidRPr="00C428F9" w:rsidRDefault="00C428F9" w:rsidP="00D54595">
            <w:pPr>
              <w:widowControl w:val="0"/>
              <w:spacing w:line="360" w:lineRule="auto"/>
              <w:jc w:val="center"/>
              <w:rPr>
                <w:sz w:val="24"/>
                <w:szCs w:val="24"/>
              </w:rPr>
            </w:pPr>
            <w:r w:rsidRPr="00C428F9">
              <w:rPr>
                <w:sz w:val="24"/>
                <w:szCs w:val="24"/>
              </w:rPr>
              <w:t>1902,4</w:t>
            </w:r>
          </w:p>
        </w:tc>
        <w:tc>
          <w:tcPr>
            <w:tcW w:w="1076" w:type="dxa"/>
          </w:tcPr>
          <w:p w:rsidR="004F31D7" w:rsidRPr="00CA159D" w:rsidRDefault="00CA159D" w:rsidP="00D54595">
            <w:pPr>
              <w:widowControl w:val="0"/>
              <w:spacing w:line="360" w:lineRule="auto"/>
              <w:jc w:val="center"/>
              <w:rPr>
                <w:sz w:val="24"/>
                <w:szCs w:val="24"/>
              </w:rPr>
            </w:pPr>
            <w:r w:rsidRPr="00CA159D">
              <w:rPr>
                <w:sz w:val="24"/>
                <w:szCs w:val="24"/>
              </w:rPr>
              <w:t>2110,1</w:t>
            </w:r>
          </w:p>
        </w:tc>
        <w:tc>
          <w:tcPr>
            <w:tcW w:w="1076" w:type="dxa"/>
          </w:tcPr>
          <w:p w:rsidR="004F31D7" w:rsidRPr="00FC4C53" w:rsidRDefault="00FC4C53" w:rsidP="00D54595">
            <w:pPr>
              <w:widowControl w:val="0"/>
              <w:spacing w:line="360" w:lineRule="auto"/>
              <w:jc w:val="center"/>
              <w:rPr>
                <w:sz w:val="24"/>
                <w:szCs w:val="24"/>
              </w:rPr>
            </w:pPr>
            <w:r w:rsidRPr="00FC4C53">
              <w:rPr>
                <w:sz w:val="24"/>
                <w:szCs w:val="24"/>
              </w:rPr>
              <w:t>1674,6</w:t>
            </w:r>
          </w:p>
        </w:tc>
        <w:tc>
          <w:tcPr>
            <w:tcW w:w="1077" w:type="dxa"/>
          </w:tcPr>
          <w:p w:rsidR="004F31D7" w:rsidRPr="00CE45D0" w:rsidRDefault="00CE45D0" w:rsidP="00D54595">
            <w:pPr>
              <w:widowControl w:val="0"/>
              <w:spacing w:line="360" w:lineRule="auto"/>
              <w:jc w:val="center"/>
              <w:rPr>
                <w:sz w:val="24"/>
                <w:szCs w:val="24"/>
              </w:rPr>
            </w:pPr>
            <w:r w:rsidRPr="00CE45D0">
              <w:rPr>
                <w:sz w:val="24"/>
                <w:szCs w:val="24"/>
              </w:rPr>
              <w:t>2238,6</w:t>
            </w:r>
          </w:p>
        </w:tc>
      </w:tr>
      <w:tr w:rsidR="00230CC9" w:rsidRPr="00230CC9" w:rsidTr="00EE656B">
        <w:trPr>
          <w:jc w:val="center"/>
        </w:trPr>
        <w:tc>
          <w:tcPr>
            <w:tcW w:w="1277" w:type="dxa"/>
          </w:tcPr>
          <w:p w:rsidR="004F31D7" w:rsidRPr="00C16B82" w:rsidRDefault="004F31D7" w:rsidP="00D54595">
            <w:pPr>
              <w:widowControl w:val="0"/>
              <w:spacing w:line="360" w:lineRule="auto"/>
              <w:jc w:val="center"/>
              <w:rPr>
                <w:sz w:val="24"/>
                <w:szCs w:val="24"/>
                <w:lang w:val="uk-UA"/>
              </w:rPr>
            </w:pPr>
            <w:r w:rsidRPr="00C16B82">
              <w:rPr>
                <w:sz w:val="24"/>
                <w:szCs w:val="24"/>
                <w:lang w:val="uk-UA"/>
              </w:rPr>
              <w:t>2017</w:t>
            </w:r>
          </w:p>
        </w:tc>
        <w:tc>
          <w:tcPr>
            <w:tcW w:w="965" w:type="dxa"/>
          </w:tcPr>
          <w:p w:rsidR="004F31D7" w:rsidRPr="00C16B82" w:rsidRDefault="00BC30DC" w:rsidP="00D54595">
            <w:pPr>
              <w:widowControl w:val="0"/>
              <w:spacing w:line="360" w:lineRule="auto"/>
              <w:jc w:val="center"/>
              <w:rPr>
                <w:sz w:val="24"/>
                <w:szCs w:val="24"/>
              </w:rPr>
            </w:pPr>
            <w:r w:rsidRPr="00C16B82">
              <w:rPr>
                <w:sz w:val="24"/>
                <w:szCs w:val="24"/>
                <w:lang w:val="uk-UA"/>
              </w:rPr>
              <w:t>2</w:t>
            </w:r>
            <w:r w:rsidRPr="00C16B82">
              <w:rPr>
                <w:sz w:val="24"/>
                <w:szCs w:val="24"/>
              </w:rPr>
              <w:t>428,4</w:t>
            </w:r>
          </w:p>
        </w:tc>
        <w:tc>
          <w:tcPr>
            <w:tcW w:w="1076" w:type="dxa"/>
          </w:tcPr>
          <w:p w:rsidR="004F31D7" w:rsidRPr="006B25A9" w:rsidRDefault="006B25A9" w:rsidP="00D54595">
            <w:pPr>
              <w:widowControl w:val="0"/>
              <w:spacing w:line="360" w:lineRule="auto"/>
              <w:jc w:val="center"/>
              <w:rPr>
                <w:sz w:val="24"/>
                <w:szCs w:val="24"/>
              </w:rPr>
            </w:pPr>
            <w:r w:rsidRPr="006B25A9">
              <w:rPr>
                <w:sz w:val="24"/>
                <w:szCs w:val="24"/>
              </w:rPr>
              <w:t>2502,7</w:t>
            </w:r>
          </w:p>
        </w:tc>
        <w:tc>
          <w:tcPr>
            <w:tcW w:w="1076" w:type="dxa"/>
          </w:tcPr>
          <w:p w:rsidR="004F31D7" w:rsidRPr="00076BEE" w:rsidRDefault="00076BEE" w:rsidP="00D54595">
            <w:pPr>
              <w:widowControl w:val="0"/>
              <w:spacing w:line="360" w:lineRule="auto"/>
              <w:jc w:val="center"/>
              <w:rPr>
                <w:sz w:val="24"/>
                <w:szCs w:val="24"/>
              </w:rPr>
            </w:pPr>
            <w:r w:rsidRPr="00076BEE">
              <w:rPr>
                <w:sz w:val="24"/>
                <w:szCs w:val="24"/>
              </w:rPr>
              <w:t>2645,3</w:t>
            </w:r>
          </w:p>
        </w:tc>
        <w:tc>
          <w:tcPr>
            <w:tcW w:w="1076" w:type="dxa"/>
          </w:tcPr>
          <w:p w:rsidR="004F31D7" w:rsidRPr="008E4B42" w:rsidRDefault="008E4B42" w:rsidP="00D54595">
            <w:pPr>
              <w:widowControl w:val="0"/>
              <w:spacing w:line="360" w:lineRule="auto"/>
              <w:jc w:val="center"/>
              <w:rPr>
                <w:sz w:val="24"/>
                <w:szCs w:val="24"/>
              </w:rPr>
            </w:pPr>
            <w:r w:rsidRPr="008E4B42">
              <w:rPr>
                <w:sz w:val="24"/>
                <w:szCs w:val="24"/>
              </w:rPr>
              <w:t>2059,1</w:t>
            </w:r>
          </w:p>
        </w:tc>
        <w:tc>
          <w:tcPr>
            <w:tcW w:w="1076" w:type="dxa"/>
          </w:tcPr>
          <w:p w:rsidR="004F31D7" w:rsidRPr="00C428F9" w:rsidRDefault="00C428F9" w:rsidP="00D54595">
            <w:pPr>
              <w:widowControl w:val="0"/>
              <w:spacing w:line="360" w:lineRule="auto"/>
              <w:jc w:val="center"/>
              <w:rPr>
                <w:sz w:val="24"/>
                <w:szCs w:val="24"/>
              </w:rPr>
            </w:pPr>
            <w:r w:rsidRPr="00C428F9">
              <w:rPr>
                <w:sz w:val="24"/>
                <w:szCs w:val="24"/>
              </w:rPr>
              <w:t>1916,3</w:t>
            </w:r>
          </w:p>
        </w:tc>
        <w:tc>
          <w:tcPr>
            <w:tcW w:w="1076" w:type="dxa"/>
          </w:tcPr>
          <w:p w:rsidR="004F31D7" w:rsidRPr="00CA159D" w:rsidRDefault="00CA159D" w:rsidP="00D54595">
            <w:pPr>
              <w:widowControl w:val="0"/>
              <w:spacing w:line="360" w:lineRule="auto"/>
              <w:jc w:val="center"/>
              <w:rPr>
                <w:sz w:val="24"/>
                <w:szCs w:val="24"/>
              </w:rPr>
            </w:pPr>
            <w:r w:rsidRPr="00CA159D">
              <w:rPr>
                <w:sz w:val="24"/>
                <w:szCs w:val="24"/>
              </w:rPr>
              <w:t>2122,7</w:t>
            </w:r>
          </w:p>
        </w:tc>
        <w:tc>
          <w:tcPr>
            <w:tcW w:w="1076" w:type="dxa"/>
          </w:tcPr>
          <w:p w:rsidR="004F31D7" w:rsidRPr="00FC4C53" w:rsidRDefault="00FC4C53" w:rsidP="00D54595">
            <w:pPr>
              <w:widowControl w:val="0"/>
              <w:spacing w:line="360" w:lineRule="auto"/>
              <w:jc w:val="center"/>
              <w:rPr>
                <w:sz w:val="24"/>
                <w:szCs w:val="24"/>
              </w:rPr>
            </w:pPr>
            <w:r w:rsidRPr="00FC4C53">
              <w:rPr>
                <w:sz w:val="24"/>
                <w:szCs w:val="24"/>
              </w:rPr>
              <w:t>1687,9</w:t>
            </w:r>
          </w:p>
        </w:tc>
        <w:tc>
          <w:tcPr>
            <w:tcW w:w="1077" w:type="dxa"/>
          </w:tcPr>
          <w:p w:rsidR="004F31D7" w:rsidRPr="00CE45D0" w:rsidRDefault="00CE45D0" w:rsidP="00D54595">
            <w:pPr>
              <w:widowControl w:val="0"/>
              <w:spacing w:line="360" w:lineRule="auto"/>
              <w:jc w:val="center"/>
              <w:rPr>
                <w:sz w:val="24"/>
                <w:szCs w:val="24"/>
              </w:rPr>
            </w:pPr>
            <w:r w:rsidRPr="00CE45D0">
              <w:rPr>
                <w:sz w:val="24"/>
                <w:szCs w:val="24"/>
              </w:rPr>
              <w:t>2249,8</w:t>
            </w:r>
          </w:p>
        </w:tc>
      </w:tr>
      <w:tr w:rsidR="00BC30DC" w:rsidRPr="00230CC9" w:rsidTr="00EE656B">
        <w:trPr>
          <w:jc w:val="center"/>
        </w:trPr>
        <w:tc>
          <w:tcPr>
            <w:tcW w:w="1277" w:type="dxa"/>
          </w:tcPr>
          <w:p w:rsidR="00BC30DC" w:rsidRPr="00C16B82" w:rsidRDefault="00BC30DC" w:rsidP="00D54595">
            <w:pPr>
              <w:widowControl w:val="0"/>
              <w:spacing w:line="360" w:lineRule="auto"/>
              <w:jc w:val="center"/>
              <w:rPr>
                <w:sz w:val="24"/>
                <w:szCs w:val="24"/>
              </w:rPr>
            </w:pPr>
            <w:r w:rsidRPr="00C16B82">
              <w:rPr>
                <w:sz w:val="24"/>
                <w:szCs w:val="24"/>
              </w:rPr>
              <w:t>2018</w:t>
            </w:r>
          </w:p>
        </w:tc>
        <w:tc>
          <w:tcPr>
            <w:tcW w:w="965" w:type="dxa"/>
          </w:tcPr>
          <w:p w:rsidR="00BC30DC" w:rsidRPr="00C16B82" w:rsidRDefault="00BC30DC" w:rsidP="00D54595">
            <w:pPr>
              <w:widowControl w:val="0"/>
              <w:spacing w:line="360" w:lineRule="auto"/>
              <w:jc w:val="center"/>
              <w:rPr>
                <w:sz w:val="24"/>
                <w:szCs w:val="24"/>
              </w:rPr>
            </w:pPr>
            <w:r w:rsidRPr="00C16B82">
              <w:rPr>
                <w:sz w:val="24"/>
                <w:szCs w:val="24"/>
              </w:rPr>
              <w:t>2435,8</w:t>
            </w:r>
          </w:p>
        </w:tc>
        <w:tc>
          <w:tcPr>
            <w:tcW w:w="1076" w:type="dxa"/>
          </w:tcPr>
          <w:p w:rsidR="00BC30DC" w:rsidRPr="006B25A9" w:rsidRDefault="006B25A9" w:rsidP="00D54595">
            <w:pPr>
              <w:widowControl w:val="0"/>
              <w:spacing w:line="360" w:lineRule="auto"/>
              <w:jc w:val="center"/>
              <w:rPr>
                <w:sz w:val="24"/>
                <w:szCs w:val="24"/>
              </w:rPr>
            </w:pPr>
            <w:r w:rsidRPr="006B25A9">
              <w:rPr>
                <w:sz w:val="24"/>
                <w:szCs w:val="24"/>
              </w:rPr>
              <w:t>2505,4</w:t>
            </w:r>
          </w:p>
        </w:tc>
        <w:tc>
          <w:tcPr>
            <w:tcW w:w="1076" w:type="dxa"/>
          </w:tcPr>
          <w:p w:rsidR="00BC30DC" w:rsidRPr="00076BEE" w:rsidRDefault="00076BEE" w:rsidP="00D54595">
            <w:pPr>
              <w:widowControl w:val="0"/>
              <w:spacing w:line="360" w:lineRule="auto"/>
              <w:jc w:val="center"/>
              <w:rPr>
                <w:sz w:val="24"/>
                <w:szCs w:val="24"/>
              </w:rPr>
            </w:pPr>
            <w:r w:rsidRPr="00076BEE">
              <w:rPr>
                <w:sz w:val="24"/>
                <w:szCs w:val="24"/>
              </w:rPr>
              <w:t>2645,6</w:t>
            </w:r>
          </w:p>
        </w:tc>
        <w:tc>
          <w:tcPr>
            <w:tcW w:w="1076" w:type="dxa"/>
          </w:tcPr>
          <w:p w:rsidR="00BC30DC" w:rsidRPr="008E4B42" w:rsidRDefault="008E4B42" w:rsidP="00D54595">
            <w:pPr>
              <w:widowControl w:val="0"/>
              <w:spacing w:line="360" w:lineRule="auto"/>
              <w:jc w:val="center"/>
              <w:rPr>
                <w:sz w:val="24"/>
                <w:szCs w:val="24"/>
              </w:rPr>
            </w:pPr>
            <w:r w:rsidRPr="008E4B42">
              <w:rPr>
                <w:sz w:val="24"/>
                <w:szCs w:val="24"/>
              </w:rPr>
              <w:t>2063,1</w:t>
            </w:r>
          </w:p>
        </w:tc>
        <w:tc>
          <w:tcPr>
            <w:tcW w:w="1076" w:type="dxa"/>
          </w:tcPr>
          <w:p w:rsidR="00BC30DC" w:rsidRPr="00C428F9" w:rsidRDefault="00C428F9" w:rsidP="00D54595">
            <w:pPr>
              <w:widowControl w:val="0"/>
              <w:spacing w:line="360" w:lineRule="auto"/>
              <w:jc w:val="center"/>
              <w:rPr>
                <w:sz w:val="24"/>
                <w:szCs w:val="24"/>
              </w:rPr>
            </w:pPr>
            <w:r w:rsidRPr="00C428F9">
              <w:rPr>
                <w:sz w:val="24"/>
                <w:szCs w:val="24"/>
              </w:rPr>
              <w:t>1920,9</w:t>
            </w:r>
          </w:p>
        </w:tc>
        <w:tc>
          <w:tcPr>
            <w:tcW w:w="1076" w:type="dxa"/>
          </w:tcPr>
          <w:p w:rsidR="00BC30DC" w:rsidRPr="00CA159D" w:rsidRDefault="00CA159D" w:rsidP="00D54595">
            <w:pPr>
              <w:widowControl w:val="0"/>
              <w:spacing w:line="360" w:lineRule="auto"/>
              <w:jc w:val="center"/>
              <w:rPr>
                <w:sz w:val="24"/>
                <w:szCs w:val="24"/>
              </w:rPr>
            </w:pPr>
            <w:r w:rsidRPr="00CA159D">
              <w:rPr>
                <w:sz w:val="24"/>
                <w:szCs w:val="24"/>
              </w:rPr>
              <w:t>2124,9</w:t>
            </w:r>
          </w:p>
        </w:tc>
        <w:tc>
          <w:tcPr>
            <w:tcW w:w="1076" w:type="dxa"/>
          </w:tcPr>
          <w:p w:rsidR="00BC30DC" w:rsidRPr="00FC4C53" w:rsidRDefault="00FC4C53" w:rsidP="00D54595">
            <w:pPr>
              <w:widowControl w:val="0"/>
              <w:spacing w:line="360" w:lineRule="auto"/>
              <w:jc w:val="center"/>
              <w:rPr>
                <w:sz w:val="24"/>
                <w:szCs w:val="24"/>
              </w:rPr>
            </w:pPr>
            <w:r w:rsidRPr="00FC4C53">
              <w:rPr>
                <w:sz w:val="24"/>
                <w:szCs w:val="24"/>
              </w:rPr>
              <w:t>1698,9</w:t>
            </w:r>
          </w:p>
        </w:tc>
        <w:tc>
          <w:tcPr>
            <w:tcW w:w="1077" w:type="dxa"/>
          </w:tcPr>
          <w:p w:rsidR="00BC30DC" w:rsidRPr="00CE45D0" w:rsidRDefault="00CE45D0" w:rsidP="00D54595">
            <w:pPr>
              <w:widowControl w:val="0"/>
              <w:spacing w:line="360" w:lineRule="auto"/>
              <w:jc w:val="center"/>
              <w:rPr>
                <w:sz w:val="24"/>
                <w:szCs w:val="24"/>
              </w:rPr>
            </w:pPr>
            <w:r w:rsidRPr="00CE45D0">
              <w:rPr>
                <w:sz w:val="24"/>
                <w:szCs w:val="24"/>
              </w:rPr>
              <w:t>2265,3</w:t>
            </w:r>
          </w:p>
        </w:tc>
      </w:tr>
      <w:tr w:rsidR="00230CC9" w:rsidRPr="00230CC9" w:rsidTr="00EE656B">
        <w:trPr>
          <w:jc w:val="center"/>
        </w:trPr>
        <w:tc>
          <w:tcPr>
            <w:tcW w:w="1277" w:type="dxa"/>
          </w:tcPr>
          <w:p w:rsidR="004F31D7" w:rsidRPr="00C16B82" w:rsidRDefault="004F31D7" w:rsidP="00D54595">
            <w:pPr>
              <w:widowControl w:val="0"/>
              <w:spacing w:line="360" w:lineRule="auto"/>
              <w:jc w:val="center"/>
              <w:rPr>
                <w:sz w:val="24"/>
                <w:szCs w:val="24"/>
                <w:lang w:val="uk-UA"/>
              </w:rPr>
            </w:pPr>
            <w:r w:rsidRPr="00C16B82">
              <w:rPr>
                <w:sz w:val="24"/>
                <w:szCs w:val="24"/>
                <w:lang w:val="uk-UA"/>
              </w:rPr>
              <w:t>2017/2013 (%)</w:t>
            </w:r>
          </w:p>
        </w:tc>
        <w:tc>
          <w:tcPr>
            <w:tcW w:w="965" w:type="dxa"/>
          </w:tcPr>
          <w:p w:rsidR="004F31D7" w:rsidRPr="00997333" w:rsidRDefault="00997333" w:rsidP="00D54595">
            <w:pPr>
              <w:widowControl w:val="0"/>
              <w:spacing w:line="360" w:lineRule="auto"/>
              <w:jc w:val="center"/>
              <w:rPr>
                <w:sz w:val="24"/>
                <w:szCs w:val="24"/>
                <w:lang w:val="uk-UA"/>
              </w:rPr>
            </w:pPr>
            <w:r w:rsidRPr="00997333">
              <w:rPr>
                <w:sz w:val="24"/>
                <w:szCs w:val="24"/>
                <w:lang w:val="uk-UA"/>
              </w:rPr>
              <w:t>10</w:t>
            </w:r>
            <w:r w:rsidRPr="00997333">
              <w:rPr>
                <w:sz w:val="24"/>
                <w:szCs w:val="24"/>
              </w:rPr>
              <w:t>2</w:t>
            </w:r>
            <w:r w:rsidR="004F31D7" w:rsidRPr="00997333">
              <w:rPr>
                <w:sz w:val="24"/>
                <w:szCs w:val="24"/>
                <w:lang w:val="uk-UA"/>
              </w:rPr>
              <w:t>,4</w:t>
            </w:r>
          </w:p>
        </w:tc>
        <w:tc>
          <w:tcPr>
            <w:tcW w:w="1076" w:type="dxa"/>
          </w:tcPr>
          <w:p w:rsidR="004F31D7" w:rsidRPr="00997333" w:rsidRDefault="00997333" w:rsidP="00D54595">
            <w:pPr>
              <w:widowControl w:val="0"/>
              <w:spacing w:line="360" w:lineRule="auto"/>
              <w:jc w:val="center"/>
              <w:rPr>
                <w:sz w:val="24"/>
                <w:szCs w:val="24"/>
                <w:lang w:val="uk-UA"/>
              </w:rPr>
            </w:pPr>
            <w:r w:rsidRPr="00997333">
              <w:rPr>
                <w:sz w:val="24"/>
                <w:szCs w:val="24"/>
                <w:lang w:val="uk-UA"/>
              </w:rPr>
              <w:t>10</w:t>
            </w:r>
            <w:r w:rsidRPr="00997333">
              <w:rPr>
                <w:sz w:val="24"/>
                <w:szCs w:val="24"/>
              </w:rPr>
              <w:t>1</w:t>
            </w:r>
            <w:r w:rsidR="004F31D7" w:rsidRPr="00997333">
              <w:rPr>
                <w:sz w:val="24"/>
                <w:szCs w:val="24"/>
                <w:lang w:val="uk-UA"/>
              </w:rPr>
              <w:t>,7</w:t>
            </w:r>
          </w:p>
        </w:tc>
        <w:tc>
          <w:tcPr>
            <w:tcW w:w="1076" w:type="dxa"/>
          </w:tcPr>
          <w:p w:rsidR="004F31D7" w:rsidRPr="0050254A" w:rsidRDefault="0050254A" w:rsidP="00D54595">
            <w:pPr>
              <w:widowControl w:val="0"/>
              <w:spacing w:line="360" w:lineRule="auto"/>
              <w:jc w:val="center"/>
              <w:rPr>
                <w:color w:val="FF0000"/>
                <w:sz w:val="24"/>
                <w:szCs w:val="24"/>
              </w:rPr>
            </w:pPr>
            <w:r w:rsidRPr="0050254A">
              <w:rPr>
                <w:sz w:val="24"/>
                <w:szCs w:val="24"/>
                <w:lang w:val="uk-UA"/>
              </w:rPr>
              <w:t>101,</w:t>
            </w:r>
            <w:r w:rsidRPr="0050254A">
              <w:rPr>
                <w:sz w:val="24"/>
                <w:szCs w:val="24"/>
              </w:rPr>
              <w:t>8</w:t>
            </w:r>
          </w:p>
        </w:tc>
        <w:tc>
          <w:tcPr>
            <w:tcW w:w="1076" w:type="dxa"/>
          </w:tcPr>
          <w:p w:rsidR="004F31D7" w:rsidRPr="00C16B82" w:rsidRDefault="00FE1083" w:rsidP="00D54595">
            <w:pPr>
              <w:widowControl w:val="0"/>
              <w:spacing w:line="360" w:lineRule="auto"/>
              <w:jc w:val="center"/>
              <w:rPr>
                <w:color w:val="FF0000"/>
                <w:sz w:val="24"/>
                <w:szCs w:val="24"/>
                <w:lang w:val="uk-UA"/>
              </w:rPr>
            </w:pPr>
            <w:r w:rsidRPr="00FE1083">
              <w:rPr>
                <w:sz w:val="24"/>
                <w:szCs w:val="24"/>
                <w:lang w:val="uk-UA"/>
              </w:rPr>
              <w:t>10</w:t>
            </w:r>
            <w:r w:rsidRPr="00FE1083">
              <w:rPr>
                <w:sz w:val="24"/>
                <w:szCs w:val="24"/>
              </w:rPr>
              <w:t>2</w:t>
            </w:r>
            <w:r w:rsidR="004F31D7" w:rsidRPr="00FE1083">
              <w:rPr>
                <w:sz w:val="24"/>
                <w:szCs w:val="24"/>
                <w:lang w:val="uk-UA"/>
              </w:rPr>
              <w:t>,4</w:t>
            </w:r>
          </w:p>
        </w:tc>
        <w:tc>
          <w:tcPr>
            <w:tcW w:w="1076" w:type="dxa"/>
          </w:tcPr>
          <w:p w:rsidR="004F31D7" w:rsidRPr="00281AD0" w:rsidRDefault="00281AD0" w:rsidP="00D54595">
            <w:pPr>
              <w:widowControl w:val="0"/>
              <w:spacing w:line="360" w:lineRule="auto"/>
              <w:jc w:val="center"/>
              <w:rPr>
                <w:color w:val="FF0000"/>
                <w:sz w:val="24"/>
                <w:szCs w:val="24"/>
              </w:rPr>
            </w:pPr>
            <w:r w:rsidRPr="00281AD0">
              <w:rPr>
                <w:sz w:val="24"/>
                <w:szCs w:val="24"/>
                <w:lang w:val="uk-UA"/>
              </w:rPr>
              <w:t>10</w:t>
            </w:r>
            <w:r w:rsidRPr="00281AD0">
              <w:rPr>
                <w:sz w:val="24"/>
                <w:szCs w:val="24"/>
              </w:rPr>
              <w:t>2,2</w:t>
            </w:r>
          </w:p>
        </w:tc>
        <w:tc>
          <w:tcPr>
            <w:tcW w:w="1076" w:type="dxa"/>
          </w:tcPr>
          <w:p w:rsidR="004F31D7" w:rsidRPr="00143498" w:rsidRDefault="00143498" w:rsidP="00D54595">
            <w:pPr>
              <w:widowControl w:val="0"/>
              <w:spacing w:line="360" w:lineRule="auto"/>
              <w:jc w:val="center"/>
              <w:rPr>
                <w:color w:val="FF0000"/>
                <w:sz w:val="24"/>
                <w:szCs w:val="24"/>
              </w:rPr>
            </w:pPr>
            <w:r w:rsidRPr="00143498">
              <w:rPr>
                <w:sz w:val="24"/>
                <w:szCs w:val="24"/>
              </w:rPr>
              <w:t>101,5</w:t>
            </w:r>
          </w:p>
        </w:tc>
        <w:tc>
          <w:tcPr>
            <w:tcW w:w="1076" w:type="dxa"/>
          </w:tcPr>
          <w:p w:rsidR="004F31D7" w:rsidRPr="00B62DD7" w:rsidRDefault="00B62DD7" w:rsidP="00D54595">
            <w:pPr>
              <w:widowControl w:val="0"/>
              <w:spacing w:line="360" w:lineRule="auto"/>
              <w:jc w:val="center"/>
              <w:rPr>
                <w:color w:val="FF0000"/>
                <w:sz w:val="24"/>
                <w:szCs w:val="24"/>
              </w:rPr>
            </w:pPr>
            <w:r w:rsidRPr="00B62DD7">
              <w:rPr>
                <w:sz w:val="24"/>
                <w:szCs w:val="24"/>
                <w:lang w:val="uk-UA"/>
              </w:rPr>
              <w:t>10</w:t>
            </w:r>
            <w:r w:rsidRPr="00B62DD7">
              <w:rPr>
                <w:sz w:val="24"/>
                <w:szCs w:val="24"/>
              </w:rPr>
              <w:t>2,2</w:t>
            </w:r>
          </w:p>
        </w:tc>
        <w:tc>
          <w:tcPr>
            <w:tcW w:w="1077" w:type="dxa"/>
          </w:tcPr>
          <w:p w:rsidR="004F31D7" w:rsidRPr="00F7170A" w:rsidRDefault="00F7170A" w:rsidP="00D54595">
            <w:pPr>
              <w:widowControl w:val="0"/>
              <w:spacing w:line="360" w:lineRule="auto"/>
              <w:jc w:val="center"/>
              <w:rPr>
                <w:color w:val="FF0000"/>
                <w:sz w:val="24"/>
                <w:szCs w:val="24"/>
              </w:rPr>
            </w:pPr>
            <w:r w:rsidRPr="00F7170A">
              <w:rPr>
                <w:sz w:val="24"/>
                <w:szCs w:val="24"/>
                <w:lang w:val="uk-UA"/>
              </w:rPr>
              <w:t>10</w:t>
            </w:r>
            <w:r w:rsidRPr="00F7170A">
              <w:rPr>
                <w:sz w:val="24"/>
                <w:szCs w:val="24"/>
              </w:rPr>
              <w:t>2,6</w:t>
            </w:r>
          </w:p>
        </w:tc>
      </w:tr>
    </w:tbl>
    <w:p w:rsidR="004F31D7" w:rsidRPr="00CE3364" w:rsidRDefault="00CE3364" w:rsidP="00CE3364">
      <w:pPr>
        <w:widowControl w:val="0"/>
      </w:pPr>
      <w:r>
        <w:t xml:space="preserve"> </w:t>
      </w:r>
      <w:r>
        <w:tab/>
      </w:r>
      <w:r w:rsidR="004F31D7" w:rsidRPr="00006A39">
        <w:rPr>
          <w:szCs w:val="28"/>
        </w:rPr>
        <w:t xml:space="preserve"> </w:t>
      </w:r>
    </w:p>
    <w:p w:rsidR="004F31D7" w:rsidRPr="00006A39" w:rsidRDefault="004F31D7" w:rsidP="006D11EF">
      <w:pPr>
        <w:widowControl w:val="0"/>
        <w:tabs>
          <w:tab w:val="left" w:pos="993"/>
        </w:tabs>
        <w:ind w:firstLine="709"/>
        <w:rPr>
          <w:rFonts w:eastAsia="Times New Roman"/>
          <w:szCs w:val="28"/>
          <w:lang w:eastAsia="ru-RU"/>
        </w:rPr>
      </w:pPr>
      <w:r w:rsidRPr="00006A39">
        <w:rPr>
          <w:rFonts w:eastAsia="Times New Roman"/>
          <w:szCs w:val="28"/>
          <w:lang w:eastAsia="ru-RU"/>
        </w:rPr>
        <w:t>За результатами аналізу індекс здоров’я новонароджених протягом 2014-2018</w:t>
      </w:r>
      <w:r w:rsidR="009B5CBC">
        <w:rPr>
          <w:rFonts w:eastAsia="Times New Roman"/>
          <w:szCs w:val="28"/>
          <w:lang w:eastAsia="ru-RU"/>
        </w:rPr>
        <w:t> </w:t>
      </w:r>
      <w:r w:rsidRPr="00006A39">
        <w:rPr>
          <w:rFonts w:eastAsia="Times New Roman"/>
          <w:szCs w:val="28"/>
          <w:lang w:eastAsia="ru-RU"/>
        </w:rPr>
        <w:t xml:space="preserve"> рр. мав негативну динаміку </w:t>
      </w:r>
      <w:r w:rsidR="006D11EF">
        <w:rPr>
          <w:rFonts w:eastAsia="Times New Roman"/>
          <w:szCs w:val="28"/>
          <w:lang w:eastAsia="ru-RU"/>
        </w:rPr>
        <w:t>(</w:t>
      </w:r>
      <w:r w:rsidRPr="00006A39">
        <w:rPr>
          <w:rFonts w:eastAsia="Times New Roman"/>
          <w:szCs w:val="28"/>
          <w:lang w:eastAsia="ru-RU"/>
        </w:rPr>
        <w:t>з 85,0% у 2014 р. до  83,44% у 2018 р.</w:t>
      </w:r>
      <w:r w:rsidR="006D11EF">
        <w:rPr>
          <w:rFonts w:eastAsia="Times New Roman"/>
          <w:szCs w:val="28"/>
          <w:lang w:eastAsia="ru-RU"/>
        </w:rPr>
        <w:t>).</w:t>
      </w:r>
      <w:r w:rsidRPr="00006A39">
        <w:rPr>
          <w:rFonts w:eastAsia="Times New Roman"/>
          <w:szCs w:val="28"/>
          <w:lang w:eastAsia="ru-RU"/>
        </w:rPr>
        <w:t xml:space="preserve"> Рівень </w:t>
      </w:r>
      <w:r w:rsidR="005A5C5F">
        <w:rPr>
          <w:rFonts w:eastAsia="Times New Roman"/>
          <w:szCs w:val="28"/>
          <w:lang w:eastAsia="ru-RU"/>
        </w:rPr>
        <w:t>народження хворими і захворілих</w:t>
      </w:r>
      <w:r w:rsidRPr="00006A39">
        <w:rPr>
          <w:rFonts w:eastAsia="Times New Roman"/>
          <w:szCs w:val="28"/>
          <w:lang w:eastAsia="ru-RU"/>
        </w:rPr>
        <w:t xml:space="preserve"> новонароджених доношених і недоношених з масою тіла 500 г і більше, в цілому в Україні зріс на 10,5% (з 149,4‰ у 2014 р. до 165,59‰ у 2018 р., 95% ДІ 147,58-176,14), рівень </w:t>
      </w:r>
      <w:r w:rsidR="005A5C5F">
        <w:rPr>
          <w:rFonts w:eastAsia="Times New Roman"/>
          <w:szCs w:val="28"/>
          <w:lang w:eastAsia="ru-RU"/>
        </w:rPr>
        <w:t>народження хворими і захворілих</w:t>
      </w:r>
      <w:r w:rsidRPr="00006A39">
        <w:rPr>
          <w:rFonts w:eastAsia="Times New Roman"/>
          <w:szCs w:val="28"/>
          <w:lang w:eastAsia="ru-RU"/>
        </w:rPr>
        <w:t xml:space="preserve"> доношених новонароджених у 2018 р. зріс</w:t>
      </w:r>
      <w:r w:rsidRPr="00006A39">
        <w:rPr>
          <w:rFonts w:eastAsia="Times New Roman"/>
          <w:color w:val="FF0000"/>
          <w:szCs w:val="28"/>
          <w:lang w:eastAsia="ru-RU"/>
        </w:rPr>
        <w:t xml:space="preserve"> </w:t>
      </w:r>
      <w:r w:rsidRPr="00006A39">
        <w:rPr>
          <w:rFonts w:eastAsia="Times New Roman"/>
          <w:szCs w:val="28"/>
          <w:lang w:eastAsia="ru-RU"/>
        </w:rPr>
        <w:t>на 8,5% (з 119,4‰ до 129,57‰ відповідно, 95% ДІ 116,38-138,09),</w:t>
      </w:r>
      <w:r w:rsidR="006D11EF" w:rsidRPr="006D11EF">
        <w:rPr>
          <w:rFonts w:eastAsia="Times New Roman"/>
          <w:szCs w:val="28"/>
          <w:lang w:eastAsia="ru-RU"/>
        </w:rPr>
        <w:t xml:space="preserve"> рівень народження </w:t>
      </w:r>
      <w:r w:rsidR="005A5C5F">
        <w:rPr>
          <w:rFonts w:eastAsia="Times New Roman"/>
          <w:szCs w:val="28"/>
          <w:lang w:eastAsia="ru-RU"/>
        </w:rPr>
        <w:t>хворими і захворілих</w:t>
      </w:r>
      <w:r w:rsidRPr="00006A39">
        <w:rPr>
          <w:rFonts w:eastAsia="Times New Roman"/>
          <w:szCs w:val="28"/>
          <w:lang w:eastAsia="ru-RU"/>
        </w:rPr>
        <w:t xml:space="preserve"> недоношених </w:t>
      </w:r>
      <w:r w:rsidR="006D11EF">
        <w:rPr>
          <w:rFonts w:eastAsia="Times New Roman"/>
          <w:szCs w:val="28"/>
          <w:lang w:eastAsia="ru-RU"/>
        </w:rPr>
        <w:t xml:space="preserve">новонароджених </w:t>
      </w:r>
      <w:r w:rsidRPr="00006A39">
        <w:rPr>
          <w:rFonts w:eastAsia="Times New Roman"/>
          <w:szCs w:val="28"/>
          <w:lang w:eastAsia="ru-RU"/>
        </w:rPr>
        <w:t xml:space="preserve">на 6,4% </w:t>
      </w:r>
      <w:r w:rsidR="00D54595">
        <w:rPr>
          <w:rFonts w:eastAsia="Times New Roman"/>
          <w:szCs w:val="28"/>
          <w:lang w:eastAsia="ru-RU"/>
        </w:rPr>
        <w:t>відповідно (з 769,32‰ до 818,27</w:t>
      </w:r>
      <w:r w:rsidRPr="00006A39">
        <w:rPr>
          <w:rFonts w:eastAsia="Times New Roman"/>
          <w:szCs w:val="28"/>
          <w:lang w:eastAsia="ru-RU"/>
        </w:rPr>
        <w:t xml:space="preserve">‰ відповідно, 95% ДІ 737,96-860,19), при цьому показник </w:t>
      </w:r>
      <w:r w:rsidR="005A5C5F">
        <w:rPr>
          <w:rFonts w:eastAsia="Times New Roman"/>
          <w:szCs w:val="28"/>
          <w:lang w:eastAsia="ru-RU"/>
        </w:rPr>
        <w:t>народжених хворими і захворілих</w:t>
      </w:r>
      <w:r w:rsidRPr="00006A39">
        <w:rPr>
          <w:rFonts w:eastAsia="Times New Roman"/>
          <w:szCs w:val="28"/>
          <w:lang w:eastAsia="ru-RU"/>
        </w:rPr>
        <w:t xml:space="preserve"> недоношених новонароджених у 2014 р. був у 5,1 рази вищим за аналогічний показн</w:t>
      </w:r>
      <w:r w:rsidR="009F2601">
        <w:rPr>
          <w:rFonts w:eastAsia="Times New Roman"/>
          <w:szCs w:val="28"/>
          <w:lang w:eastAsia="ru-RU"/>
        </w:rPr>
        <w:t>ик у доношених, а у 2018</w:t>
      </w:r>
      <w:r w:rsidRPr="00006A39">
        <w:rPr>
          <w:rFonts w:eastAsia="Times New Roman"/>
          <w:szCs w:val="28"/>
          <w:lang w:eastAsia="ru-RU"/>
        </w:rPr>
        <w:t xml:space="preserve"> р. – </w:t>
      </w:r>
      <w:r w:rsidR="007A64A5">
        <w:rPr>
          <w:rFonts w:eastAsia="Times New Roman"/>
          <w:szCs w:val="28"/>
          <w:lang w:eastAsia="ru-RU"/>
        </w:rPr>
        <w:t xml:space="preserve"> </w:t>
      </w:r>
      <w:r w:rsidRPr="00006A39">
        <w:rPr>
          <w:rFonts w:eastAsia="Times New Roman"/>
          <w:szCs w:val="28"/>
          <w:lang w:eastAsia="ru-RU"/>
        </w:rPr>
        <w:t xml:space="preserve">у </w:t>
      </w:r>
      <w:r w:rsidR="00D54595">
        <w:rPr>
          <w:rFonts w:eastAsia="Times New Roman"/>
          <w:szCs w:val="28"/>
          <w:lang w:eastAsia="ru-RU"/>
        </w:rPr>
        <w:t>6,3 рази (рис. 4.8</w:t>
      </w:r>
      <w:r w:rsidRPr="00006A39">
        <w:rPr>
          <w:rFonts w:eastAsia="Times New Roman"/>
          <w:szCs w:val="28"/>
          <w:lang w:eastAsia="ru-RU"/>
        </w:rPr>
        <w:t>).</w:t>
      </w:r>
    </w:p>
    <w:p w:rsidR="004F31D7" w:rsidRPr="00006A39" w:rsidRDefault="004F31D7" w:rsidP="00721203">
      <w:pPr>
        <w:widowControl w:val="0"/>
        <w:jc w:val="center"/>
      </w:pPr>
      <w:r w:rsidRPr="00006A39">
        <w:rPr>
          <w:noProof/>
          <w:lang w:val="ru-RU" w:eastAsia="ru-RU"/>
        </w:rPr>
        <w:lastRenderedPageBreak/>
        <w:drawing>
          <wp:inline distT="0" distB="0" distL="0" distR="0" wp14:anchorId="2615C59A" wp14:editId="2C4A74F8">
            <wp:extent cx="6008915" cy="3237723"/>
            <wp:effectExtent l="0" t="0" r="0"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6015650" cy="3241352"/>
                    </a:xfrm>
                    <a:prstGeom prst="rect">
                      <a:avLst/>
                    </a:prstGeom>
                    <a:noFill/>
                  </pic:spPr>
                </pic:pic>
              </a:graphicData>
            </a:graphic>
          </wp:inline>
        </w:drawing>
      </w:r>
    </w:p>
    <w:p w:rsidR="004F31D7" w:rsidRPr="00006A39" w:rsidRDefault="004F31D7" w:rsidP="00721203">
      <w:pPr>
        <w:widowControl w:val="0"/>
        <w:tabs>
          <w:tab w:val="left" w:pos="993"/>
        </w:tabs>
        <w:spacing w:after="120"/>
        <w:ind w:firstLine="709"/>
        <w:rPr>
          <w:rFonts w:eastAsia="Times New Roman"/>
          <w:szCs w:val="28"/>
          <w:lang w:eastAsia="ru-RU"/>
        </w:rPr>
      </w:pPr>
      <w:r w:rsidRPr="00006A39">
        <w:rPr>
          <w:rFonts w:eastAsia="Times New Roman"/>
          <w:szCs w:val="28"/>
          <w:lang w:eastAsia="ru-RU"/>
        </w:rPr>
        <w:t>Рис. 4.8. Показники</w:t>
      </w:r>
      <w:r w:rsidRPr="00006A39">
        <w:rPr>
          <w:rFonts w:eastAsia="Times New Roman"/>
          <w:color w:val="FF0000"/>
          <w:szCs w:val="28"/>
          <w:lang w:eastAsia="ru-RU"/>
        </w:rPr>
        <w:t xml:space="preserve"> </w:t>
      </w:r>
      <w:r w:rsidRPr="00006A39">
        <w:rPr>
          <w:rFonts w:eastAsia="Times New Roman"/>
          <w:szCs w:val="28"/>
          <w:lang w:eastAsia="ru-RU"/>
        </w:rPr>
        <w:t>частоти</w:t>
      </w:r>
      <w:r w:rsidR="009F503E">
        <w:rPr>
          <w:rFonts w:eastAsia="Times New Roman"/>
          <w:szCs w:val="28"/>
          <w:lang w:eastAsia="ru-RU"/>
        </w:rPr>
        <w:t xml:space="preserve"> народжених хворими і захворіли</w:t>
      </w:r>
      <w:r w:rsidR="005A5C5F">
        <w:rPr>
          <w:rFonts w:eastAsia="Times New Roman"/>
          <w:szCs w:val="28"/>
          <w:lang w:eastAsia="ru-RU"/>
        </w:rPr>
        <w:t>х</w:t>
      </w:r>
      <w:r w:rsidRPr="00006A39">
        <w:rPr>
          <w:rFonts w:eastAsia="Times New Roman"/>
          <w:szCs w:val="28"/>
          <w:lang w:eastAsia="ru-RU"/>
        </w:rPr>
        <w:t xml:space="preserve"> новонароджених, які при народженні мали вагу 500 г і більше, за 2014–2018 рр. (на 1000 народжених живими)</w:t>
      </w:r>
    </w:p>
    <w:p w:rsidR="004F31D7" w:rsidRPr="00006A39" w:rsidRDefault="004F31D7" w:rsidP="00721203">
      <w:pPr>
        <w:widowControl w:val="0"/>
        <w:tabs>
          <w:tab w:val="left" w:pos="993"/>
        </w:tabs>
        <w:ind w:firstLine="709"/>
        <w:rPr>
          <w:rFonts w:eastAsia="Times New Roman"/>
          <w:szCs w:val="28"/>
          <w:lang w:eastAsia="ru-RU"/>
        </w:rPr>
      </w:pPr>
      <w:r w:rsidRPr="00006A39">
        <w:rPr>
          <w:rFonts w:eastAsia="Times New Roman"/>
          <w:szCs w:val="28"/>
          <w:lang w:eastAsia="ru-RU"/>
        </w:rPr>
        <w:t>Рівняння тренду рівня народжених хворими і захворілих новонароджених, які при народженні мали вагу 500 г і більше в цілому в Україні: y = 3.748 t + 147.114, помилка апроксимації (Ā) – 0,51%, коефіцієнт детермінації R</w:t>
      </w:r>
      <w:r w:rsidRPr="00006A39">
        <w:rPr>
          <w:rFonts w:eastAsia="Times New Roman"/>
          <w:szCs w:val="28"/>
          <w:vertAlign w:val="superscript"/>
          <w:lang w:eastAsia="ru-RU"/>
        </w:rPr>
        <w:t>2</w:t>
      </w:r>
      <w:r w:rsidRPr="00006A39">
        <w:rPr>
          <w:rFonts w:eastAsia="Times New Roman"/>
          <w:szCs w:val="28"/>
          <w:lang w:eastAsia="ru-RU"/>
        </w:rPr>
        <w:t>=0,9675, F=89,3107, F</w:t>
      </w:r>
      <w:r w:rsidRPr="00006A39">
        <w:rPr>
          <w:rFonts w:eastAsia="Times New Roman"/>
          <w:szCs w:val="28"/>
          <w:vertAlign w:val="subscript"/>
          <w:lang w:eastAsia="ru-RU"/>
        </w:rPr>
        <w:t>крит.</w:t>
      </w:r>
      <w:r w:rsidRPr="00006A39">
        <w:rPr>
          <w:rFonts w:eastAsia="Times New Roman"/>
          <w:szCs w:val="28"/>
          <w:lang w:eastAsia="ru-RU"/>
        </w:rPr>
        <w:t>=10,1, F&gt; F</w:t>
      </w:r>
      <w:r w:rsidRPr="00006A39">
        <w:rPr>
          <w:rFonts w:eastAsia="Times New Roman"/>
          <w:szCs w:val="28"/>
          <w:vertAlign w:val="subscript"/>
          <w:lang w:eastAsia="ru-RU"/>
        </w:rPr>
        <w:t>крит.</w:t>
      </w:r>
      <w:r w:rsidRPr="00006A39">
        <w:rPr>
          <w:rFonts w:eastAsia="Times New Roman"/>
          <w:szCs w:val="28"/>
          <w:lang w:eastAsia="ru-RU"/>
        </w:rPr>
        <w:t>, коефіцієнт детермінації (і в цілому рівняння тренда) статистично значимі. Встановлено, що в даному тренді 96,75% загальної варіабельності частоти</w:t>
      </w:r>
      <w:r w:rsidRPr="00006A39">
        <w:t xml:space="preserve"> </w:t>
      </w:r>
      <w:r w:rsidRPr="00006A39">
        <w:rPr>
          <w:rFonts w:eastAsia="Times New Roman"/>
          <w:szCs w:val="28"/>
          <w:lang w:eastAsia="ru-RU"/>
        </w:rPr>
        <w:t>народжених хворими і захворілих новонароджених, які при народженні мали вагу 500 г і більше, пояснюється зміною часового параметру, з кожним періодом часу t значення показника частоти в середньому збільшується на 3,748. Нами зроблено інтервальний прогноз частоти народжених хворими і захворілих новонароджених, які при народженні мали вагу 500 г і більше в цілому в Україні: 2019 р. – точковий прогноз 169,6‰ та інтервальний 162,01-177,19‰, 2020 р. – точковий прогноз 173,35‰ та інтервальний (164,58-182,12‰), 2021 р. –  177,1‰ (167,02-187,18‰), 2022 р. –  180,85‰ (169,37-192,33‰), 2023 р. – 184,59‰ (171,65-197,53‰).</w:t>
      </w:r>
    </w:p>
    <w:p w:rsidR="004F31D7" w:rsidRDefault="004F31D7" w:rsidP="00721203">
      <w:pPr>
        <w:widowControl w:val="0"/>
        <w:tabs>
          <w:tab w:val="left" w:pos="993"/>
        </w:tabs>
        <w:ind w:firstLine="709"/>
        <w:rPr>
          <w:rFonts w:eastAsia="Times New Roman"/>
          <w:color w:val="FF0000"/>
          <w:szCs w:val="28"/>
          <w:lang w:eastAsia="ru-RU"/>
        </w:rPr>
      </w:pPr>
      <w:r w:rsidRPr="00006A39">
        <w:rPr>
          <w:rFonts w:eastAsia="Times New Roman"/>
          <w:color w:val="FF0000"/>
          <w:szCs w:val="28"/>
          <w:lang w:eastAsia="ru-RU"/>
        </w:rPr>
        <w:t xml:space="preserve"> </w:t>
      </w:r>
      <w:r w:rsidRPr="00006A39">
        <w:rPr>
          <w:rFonts w:eastAsia="Times New Roman"/>
          <w:szCs w:val="28"/>
          <w:lang w:eastAsia="ru-RU"/>
        </w:rPr>
        <w:t>Слід зазначити, що за даними аналізу було вс</w:t>
      </w:r>
      <w:r w:rsidR="00A90980">
        <w:rPr>
          <w:rFonts w:eastAsia="Times New Roman"/>
          <w:szCs w:val="28"/>
          <w:lang w:eastAsia="ru-RU"/>
        </w:rPr>
        <w:t>тановлено, що у 2018 р.</w:t>
      </w:r>
      <w:r w:rsidRPr="00006A39">
        <w:rPr>
          <w:rFonts w:eastAsia="Times New Roman"/>
          <w:szCs w:val="28"/>
          <w:lang w:eastAsia="ru-RU"/>
        </w:rPr>
        <w:t xml:space="preserve"> в Україні найвищі рівні </w:t>
      </w:r>
      <w:r w:rsidR="00A90980">
        <w:rPr>
          <w:rFonts w:eastAsia="Times New Roman"/>
          <w:szCs w:val="28"/>
          <w:lang w:eastAsia="ru-RU"/>
        </w:rPr>
        <w:t>народження хворими і захворілих</w:t>
      </w:r>
      <w:r w:rsidRPr="00006A39">
        <w:rPr>
          <w:rFonts w:eastAsia="Times New Roman"/>
          <w:szCs w:val="28"/>
          <w:lang w:eastAsia="ru-RU"/>
        </w:rPr>
        <w:t xml:space="preserve"> новонароджених, як </w:t>
      </w:r>
      <w:r w:rsidRPr="00006A39">
        <w:rPr>
          <w:rFonts w:eastAsia="Times New Roman"/>
          <w:szCs w:val="28"/>
          <w:lang w:eastAsia="ru-RU"/>
        </w:rPr>
        <w:lastRenderedPageBreak/>
        <w:t xml:space="preserve">доношених так і недоношених, реєструвались у Хмельницькій (217,88‰), Полтавській (216,85‰) областях та у м. Києві (215,01‰), а найнижчі – у Тернопільській та Львівській областях (113,96‰ і 119,24‰ відповідно). При цьому протягом 2014-2018 рр. зростання показників </w:t>
      </w:r>
      <w:r w:rsidR="00B20223">
        <w:rPr>
          <w:rFonts w:eastAsia="Times New Roman"/>
          <w:szCs w:val="28"/>
          <w:lang w:eastAsia="ru-RU"/>
        </w:rPr>
        <w:t>народжених хворими і захворілих</w:t>
      </w:r>
      <w:r w:rsidRPr="00006A39">
        <w:rPr>
          <w:rFonts w:eastAsia="Times New Roman"/>
          <w:szCs w:val="28"/>
          <w:lang w:eastAsia="ru-RU"/>
        </w:rPr>
        <w:t xml:space="preserve"> новонароджених притаманне для переважної кількості регіонів, за виключенням 3-х областей, де цей показник знизився (Закарпатська – на 6,99%, Кіровоградська – на 3,96%, Рівненська – на 8,85% області). Найбільш інтенсивне зростання рівня </w:t>
      </w:r>
      <w:r w:rsidR="00B20223">
        <w:rPr>
          <w:rFonts w:eastAsia="Times New Roman"/>
          <w:szCs w:val="28"/>
          <w:lang w:eastAsia="ru-RU"/>
        </w:rPr>
        <w:t>народжених хворими і захворілих</w:t>
      </w:r>
      <w:r w:rsidRPr="00006A39">
        <w:rPr>
          <w:rFonts w:eastAsia="Times New Roman"/>
          <w:szCs w:val="28"/>
          <w:lang w:eastAsia="ru-RU"/>
        </w:rPr>
        <w:t xml:space="preserve"> новонароджених відбулось у Полтавській (на 30,84%), Херсонській (на 20,79%), Донецькій (на 18,25%) областях. Найвищі рівні народжених хворими і захворілих в період новонародженості доношених новонароджених у 2018 р. зареєстровано у Хмельницькій (182,16‰), Житомирській (165,53‰), Полтавській (163,22‰) та м. Києві (166,12‰), недоношених новонароджених – у Херсонській (1000,0‰), Львівській (973,46‰), Хмельницькій (953,82‰) областях (табл. 4.5). </w:t>
      </w:r>
      <w:r w:rsidRPr="00006A39">
        <w:rPr>
          <w:rFonts w:eastAsia="Times New Roman"/>
          <w:color w:val="FF0000"/>
          <w:szCs w:val="28"/>
          <w:lang w:eastAsia="ru-RU"/>
        </w:rPr>
        <w:t xml:space="preserve"> </w:t>
      </w:r>
    </w:p>
    <w:p w:rsidR="0028155C" w:rsidRDefault="0028155C" w:rsidP="0028155C">
      <w:pPr>
        <w:widowControl w:val="0"/>
        <w:tabs>
          <w:tab w:val="left" w:pos="993"/>
        </w:tabs>
        <w:ind w:firstLine="709"/>
        <w:rPr>
          <w:szCs w:val="28"/>
        </w:rPr>
      </w:pPr>
      <w:r w:rsidRPr="00006A39">
        <w:rPr>
          <w:rFonts w:eastAsia="Times New Roman"/>
          <w:szCs w:val="28"/>
          <w:lang w:eastAsia="ru-RU"/>
        </w:rPr>
        <w:t>За результатами аналізу виразності коливань і просторової варіації регіональних рівнів народження хворими і захворілих новонароджених</w:t>
      </w:r>
      <w:r w:rsidR="00B20223">
        <w:rPr>
          <w:rFonts w:eastAsia="Times New Roman"/>
          <w:szCs w:val="28"/>
          <w:lang w:eastAsia="ru-RU"/>
        </w:rPr>
        <w:t>,</w:t>
      </w:r>
      <w:r w:rsidRPr="00006A39">
        <w:rPr>
          <w:rFonts w:eastAsia="Times New Roman"/>
          <w:szCs w:val="28"/>
          <w:lang w:eastAsia="ru-RU"/>
        </w:rPr>
        <w:t xml:space="preserve"> в цілому</w:t>
      </w:r>
      <w:r w:rsidR="00B20223">
        <w:rPr>
          <w:rFonts w:eastAsia="Times New Roman"/>
          <w:szCs w:val="28"/>
          <w:lang w:eastAsia="ru-RU"/>
        </w:rPr>
        <w:t>,</w:t>
      </w:r>
      <w:r w:rsidRPr="00006A39">
        <w:rPr>
          <w:rFonts w:eastAsia="Times New Roman"/>
          <w:szCs w:val="28"/>
          <w:lang w:eastAsia="ru-RU"/>
        </w:rPr>
        <w:t xml:space="preserve"> в Україні встановлено його середнє значення, що становить 163,41‰,  Розмах варіації (R) – 103,93, кожне значення ряду відрізняється від іншого в середньому на 23,2 (середнє лінійне відхилення).</w:t>
      </w:r>
      <w:r w:rsidRPr="00006A39">
        <w:t xml:space="preserve"> </w:t>
      </w:r>
      <w:r w:rsidRPr="00006A39">
        <w:rPr>
          <w:rFonts w:eastAsia="Times New Roman"/>
          <w:szCs w:val="28"/>
          <w:lang w:eastAsia="ru-RU"/>
        </w:rPr>
        <w:t xml:space="preserve">Дисперсія (D), що характеризує міру розкиду кожного значення ряду близько її середнього значення (міра розсіювання, тобто відхилення від середнього 163,41) дорівнює  в середньому 28,613. </w:t>
      </w:r>
      <w:r w:rsidRPr="00006A39">
        <w:rPr>
          <w:szCs w:val="28"/>
        </w:rPr>
        <w:t xml:space="preserve"> Коефіцієнт варіації (Сv) дорівнює 17,51%, що свідчить про помірний ступінь інтенсивності варіації і коливання (середнього розкиду) середнього значення показника</w:t>
      </w:r>
      <w:r w:rsidRPr="00006A39">
        <w:t xml:space="preserve"> </w:t>
      </w:r>
      <w:r w:rsidRPr="00006A39">
        <w:rPr>
          <w:szCs w:val="28"/>
        </w:rPr>
        <w:t>рівнів народження хворими і захворілих новонароджених, при Сv ≤ 30% сукупність може вважатись однорідною. Коефіцієнт осциляції, що відображає відносну коливання крайніх значень ознаки навколо середньої (Kr) дорівнює 63,6%. Показник ексцесу s</w:t>
      </w:r>
      <w:r w:rsidRPr="00006A39">
        <w:rPr>
          <w:szCs w:val="28"/>
          <w:vertAlign w:val="subscript"/>
        </w:rPr>
        <w:t>ex</w:t>
      </w:r>
      <w:r w:rsidRPr="00006A39">
        <w:rPr>
          <w:szCs w:val="28"/>
        </w:rPr>
        <w:t xml:space="preserve"> &lt;3, відхилення даної сукупності від нормального розподілу вважається неістотним. При дослідженні виразності коливань і просторової варіації рівнів народження хворими і захворілих доношених новонароджених встановлено:</w:t>
      </w:r>
      <w:r w:rsidRPr="00006A39">
        <w:t xml:space="preserve"> </w:t>
      </w:r>
      <w:r w:rsidRPr="00006A39">
        <w:rPr>
          <w:szCs w:val="28"/>
        </w:rPr>
        <w:t>кожне значення ряду відрізняється від середнього значення (129,27‰) в середньому на 26,397.</w:t>
      </w:r>
      <w:r w:rsidRPr="00006A39">
        <w:t xml:space="preserve"> </w:t>
      </w:r>
      <w:r w:rsidRPr="00006A39">
        <w:rPr>
          <w:szCs w:val="28"/>
        </w:rPr>
        <w:t xml:space="preserve">Розмах </w:t>
      </w:r>
      <w:r w:rsidRPr="00006A39">
        <w:rPr>
          <w:szCs w:val="28"/>
        </w:rPr>
        <w:lastRenderedPageBreak/>
        <w:t>варіації (R) – 108,91, кожне значення ряду відрізняється від іншого в середньому на 21,19 (середнє лінійне відхилення).</w:t>
      </w:r>
      <w:r w:rsidRPr="00006A39">
        <w:t xml:space="preserve"> </w:t>
      </w:r>
      <w:r w:rsidRPr="00006A39">
        <w:rPr>
          <w:szCs w:val="28"/>
        </w:rPr>
        <w:t>Коефіцієнт варіації (Сv) рівнів народження хворими і захворілих доношених новонароджених дорівнює 20,42%, що при Сv ≤ 30% сукупність може вважатись однорідною, а варіація помірною.</w:t>
      </w:r>
      <w:r w:rsidRPr="00006A39">
        <w:t xml:space="preserve"> </w:t>
      </w:r>
      <w:r w:rsidRPr="00006A39">
        <w:rPr>
          <w:szCs w:val="28"/>
        </w:rPr>
        <w:t>Коефіцієнт осциляції (Kr) дорівнює 84,25%.</w:t>
      </w:r>
      <w:r w:rsidRPr="00006A39">
        <w:t xml:space="preserve"> </w:t>
      </w:r>
      <w:r w:rsidRPr="00006A39">
        <w:rPr>
          <w:szCs w:val="28"/>
        </w:rPr>
        <w:t>Показник ексцесу (0,73) s</w:t>
      </w:r>
      <w:r w:rsidRPr="00006A39">
        <w:rPr>
          <w:szCs w:val="28"/>
          <w:vertAlign w:val="subscript"/>
        </w:rPr>
        <w:t>ex</w:t>
      </w:r>
      <w:r w:rsidRPr="00006A39">
        <w:rPr>
          <w:szCs w:val="28"/>
        </w:rPr>
        <w:t xml:space="preserve"> &lt;3,  відхилення даної сукупності від нормального розподілу вважається неістотним. За результатами аналізу виразності коливань і просторової варіації рівнів народження хворими і захворілих недоношених новонароджених</w:t>
      </w:r>
      <w:r w:rsidRPr="00006A39">
        <w:t xml:space="preserve"> </w:t>
      </w:r>
      <w:r w:rsidRPr="00006A39">
        <w:rPr>
          <w:szCs w:val="28"/>
        </w:rPr>
        <w:t>встановлено, що кожне значення ряду відрізняється від іншого в середньому на 80,47 (розмах варіації (R) – 456,52). Кожне значення ряду відрізняється від середнього значення 802,57‰ в середньому на 101,871.</w:t>
      </w:r>
      <w:r w:rsidRPr="00006A39">
        <w:t xml:space="preserve"> </w:t>
      </w:r>
      <w:r w:rsidRPr="00006A39">
        <w:rPr>
          <w:szCs w:val="28"/>
        </w:rPr>
        <w:t>Коефіцієнт варіації (Сv) дорівнює 12,69%, що при Сv ≤ 30% сукупність може вважатись однорідною, а варіація помірною. Коефіцієнт осциляції (Kr) дорівнює 56,88%, отриманим результатам можна довіряти.</w:t>
      </w:r>
    </w:p>
    <w:p w:rsidR="00356AB8" w:rsidRPr="00356AB8" w:rsidRDefault="00356AB8" w:rsidP="00F60F8C">
      <w:pPr>
        <w:widowControl w:val="0"/>
        <w:tabs>
          <w:tab w:val="left" w:pos="993"/>
        </w:tabs>
        <w:ind w:firstLine="709"/>
        <w:jc w:val="right"/>
        <w:rPr>
          <w:i/>
          <w:szCs w:val="28"/>
        </w:rPr>
      </w:pPr>
      <w:r>
        <w:rPr>
          <w:i/>
          <w:szCs w:val="28"/>
        </w:rPr>
        <w:t xml:space="preserve">                                                                                                          </w:t>
      </w:r>
      <w:r w:rsidRPr="00356AB8">
        <w:rPr>
          <w:i/>
          <w:szCs w:val="28"/>
        </w:rPr>
        <w:t>Таблиця 4.5</w:t>
      </w:r>
    </w:p>
    <w:p w:rsidR="00356AB8" w:rsidRPr="00356AB8" w:rsidRDefault="00356AB8" w:rsidP="00C27AAE">
      <w:pPr>
        <w:widowControl w:val="0"/>
        <w:tabs>
          <w:tab w:val="left" w:pos="993"/>
        </w:tabs>
        <w:jc w:val="center"/>
        <w:rPr>
          <w:b/>
          <w:szCs w:val="28"/>
        </w:rPr>
      </w:pPr>
      <w:r w:rsidRPr="00356AB8">
        <w:rPr>
          <w:b/>
          <w:szCs w:val="28"/>
        </w:rPr>
        <w:t>Рівні народження хворими і захворілих н</w:t>
      </w:r>
      <w:r w:rsidR="00B20223">
        <w:rPr>
          <w:b/>
          <w:szCs w:val="28"/>
        </w:rPr>
        <w:t>овонароджених, у 2014, 2018 рр. (</w:t>
      </w:r>
      <w:r w:rsidRPr="00356AB8">
        <w:rPr>
          <w:b/>
          <w:szCs w:val="28"/>
        </w:rPr>
        <w:t>‰)</w:t>
      </w:r>
    </w:p>
    <w:tbl>
      <w:tblPr>
        <w:tblW w:w="10239" w:type="dxa"/>
        <w:jc w:val="center"/>
        <w:tblInd w:w="4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42"/>
        <w:gridCol w:w="887"/>
        <w:gridCol w:w="924"/>
        <w:gridCol w:w="975"/>
        <w:gridCol w:w="992"/>
        <w:gridCol w:w="992"/>
        <w:gridCol w:w="992"/>
        <w:gridCol w:w="993"/>
        <w:gridCol w:w="953"/>
        <w:gridCol w:w="889"/>
      </w:tblGrid>
      <w:tr w:rsidR="00356AB8" w:rsidRPr="00356AB8" w:rsidTr="004933F4">
        <w:trPr>
          <w:trHeight w:val="315"/>
          <w:jc w:val="center"/>
        </w:trPr>
        <w:tc>
          <w:tcPr>
            <w:tcW w:w="1642" w:type="dxa"/>
            <w:shd w:val="clear" w:color="auto" w:fill="auto"/>
            <w:noWrap/>
          </w:tcPr>
          <w:p w:rsidR="00356AB8" w:rsidRPr="00356AB8" w:rsidRDefault="00356AB8" w:rsidP="00144BB4">
            <w:pPr>
              <w:tabs>
                <w:tab w:val="left" w:pos="993"/>
              </w:tabs>
              <w:spacing w:line="276" w:lineRule="auto"/>
              <w:jc w:val="center"/>
              <w:rPr>
                <w:rFonts w:eastAsia="Times New Roman"/>
                <w:b/>
                <w:bCs/>
                <w:color w:val="000000"/>
                <w:sz w:val="24"/>
                <w:szCs w:val="24"/>
                <w:lang w:eastAsia="ru-RU"/>
              </w:rPr>
            </w:pPr>
            <w:r w:rsidRPr="00356AB8">
              <w:rPr>
                <w:rFonts w:eastAsia="Times New Roman"/>
                <w:b/>
                <w:bCs/>
                <w:color w:val="000000"/>
                <w:sz w:val="24"/>
                <w:szCs w:val="24"/>
                <w:lang w:eastAsia="ru-RU"/>
              </w:rPr>
              <w:t>Область</w:t>
            </w:r>
          </w:p>
        </w:tc>
        <w:tc>
          <w:tcPr>
            <w:tcW w:w="2786" w:type="dxa"/>
            <w:gridSpan w:val="3"/>
            <w:shd w:val="clear" w:color="auto" w:fill="auto"/>
            <w:noWrap/>
          </w:tcPr>
          <w:p w:rsidR="00356AB8" w:rsidRPr="00356AB8" w:rsidRDefault="00356AB8" w:rsidP="00144BB4">
            <w:pPr>
              <w:tabs>
                <w:tab w:val="left" w:pos="993"/>
              </w:tabs>
              <w:spacing w:line="276" w:lineRule="auto"/>
              <w:ind w:firstLine="709"/>
              <w:jc w:val="left"/>
              <w:rPr>
                <w:rFonts w:eastAsia="Times New Roman"/>
                <w:b/>
                <w:bCs/>
                <w:color w:val="000000"/>
                <w:sz w:val="24"/>
                <w:szCs w:val="24"/>
                <w:lang w:eastAsia="ru-RU"/>
              </w:rPr>
            </w:pPr>
            <w:r w:rsidRPr="00356AB8">
              <w:rPr>
                <w:rFonts w:eastAsia="Times New Roman"/>
                <w:b/>
                <w:bCs/>
                <w:color w:val="000000"/>
                <w:sz w:val="24"/>
                <w:szCs w:val="24"/>
                <w:lang w:eastAsia="ru-RU"/>
              </w:rPr>
              <w:t>Всього</w:t>
            </w:r>
          </w:p>
        </w:tc>
        <w:tc>
          <w:tcPr>
            <w:tcW w:w="2976" w:type="dxa"/>
            <w:gridSpan w:val="3"/>
            <w:shd w:val="clear" w:color="auto" w:fill="auto"/>
            <w:noWrap/>
          </w:tcPr>
          <w:p w:rsidR="00356AB8" w:rsidRPr="00356AB8" w:rsidRDefault="00356AB8" w:rsidP="00144BB4">
            <w:pPr>
              <w:tabs>
                <w:tab w:val="left" w:pos="993"/>
              </w:tabs>
              <w:spacing w:line="276" w:lineRule="auto"/>
              <w:jc w:val="center"/>
              <w:rPr>
                <w:rFonts w:eastAsia="Times New Roman"/>
                <w:b/>
                <w:bCs/>
                <w:color w:val="000000"/>
                <w:sz w:val="24"/>
                <w:szCs w:val="24"/>
                <w:lang w:eastAsia="ru-RU"/>
              </w:rPr>
            </w:pPr>
            <w:r w:rsidRPr="00356AB8">
              <w:rPr>
                <w:rFonts w:eastAsia="Times New Roman"/>
                <w:b/>
                <w:bCs/>
                <w:color w:val="000000"/>
                <w:sz w:val="24"/>
                <w:szCs w:val="24"/>
                <w:lang w:eastAsia="ru-RU"/>
              </w:rPr>
              <w:t>Доношені новонароджені</w:t>
            </w:r>
          </w:p>
        </w:tc>
        <w:tc>
          <w:tcPr>
            <w:tcW w:w="2835" w:type="dxa"/>
            <w:gridSpan w:val="3"/>
            <w:shd w:val="clear" w:color="auto" w:fill="auto"/>
            <w:noWrap/>
          </w:tcPr>
          <w:p w:rsidR="00356AB8" w:rsidRPr="00356AB8" w:rsidRDefault="00356AB8" w:rsidP="00144BB4">
            <w:pPr>
              <w:tabs>
                <w:tab w:val="left" w:pos="993"/>
              </w:tabs>
              <w:spacing w:line="276" w:lineRule="auto"/>
              <w:jc w:val="center"/>
              <w:rPr>
                <w:rFonts w:eastAsia="Times New Roman"/>
                <w:b/>
                <w:bCs/>
                <w:color w:val="000000"/>
                <w:sz w:val="24"/>
                <w:szCs w:val="24"/>
                <w:lang w:eastAsia="ru-RU"/>
              </w:rPr>
            </w:pPr>
            <w:r w:rsidRPr="00356AB8">
              <w:rPr>
                <w:rFonts w:eastAsia="Times New Roman"/>
                <w:b/>
                <w:bCs/>
                <w:color w:val="000000"/>
                <w:sz w:val="24"/>
                <w:szCs w:val="24"/>
                <w:lang w:eastAsia="ru-RU"/>
              </w:rPr>
              <w:t>Недоношені новонароджені</w:t>
            </w:r>
          </w:p>
        </w:tc>
      </w:tr>
      <w:tr w:rsidR="00356AB8" w:rsidRPr="00356AB8" w:rsidTr="004933F4">
        <w:trPr>
          <w:trHeight w:val="315"/>
          <w:jc w:val="center"/>
        </w:trPr>
        <w:tc>
          <w:tcPr>
            <w:tcW w:w="1642" w:type="dxa"/>
            <w:shd w:val="clear" w:color="auto" w:fill="auto"/>
            <w:noWrap/>
          </w:tcPr>
          <w:p w:rsidR="00356AB8" w:rsidRPr="00356AB8" w:rsidRDefault="00356AB8" w:rsidP="00144BB4">
            <w:pPr>
              <w:tabs>
                <w:tab w:val="left" w:pos="993"/>
              </w:tabs>
              <w:spacing w:line="276" w:lineRule="auto"/>
              <w:ind w:firstLine="709"/>
              <w:jc w:val="left"/>
              <w:rPr>
                <w:rFonts w:eastAsia="Times New Roman"/>
                <w:b/>
                <w:bCs/>
                <w:color w:val="000000"/>
                <w:sz w:val="24"/>
                <w:szCs w:val="24"/>
                <w:lang w:eastAsia="ru-RU"/>
              </w:rPr>
            </w:pPr>
          </w:p>
        </w:tc>
        <w:tc>
          <w:tcPr>
            <w:tcW w:w="887" w:type="dxa"/>
            <w:shd w:val="clear" w:color="auto" w:fill="auto"/>
            <w:noWrap/>
          </w:tcPr>
          <w:p w:rsidR="00356AB8" w:rsidRPr="00356AB8" w:rsidRDefault="00356AB8" w:rsidP="00144BB4">
            <w:pPr>
              <w:tabs>
                <w:tab w:val="left" w:pos="993"/>
              </w:tabs>
              <w:spacing w:line="276" w:lineRule="auto"/>
              <w:jc w:val="center"/>
              <w:rPr>
                <w:rFonts w:eastAsia="Times New Roman"/>
                <w:b/>
                <w:bCs/>
                <w:color w:val="000000"/>
                <w:sz w:val="24"/>
                <w:szCs w:val="24"/>
                <w:lang w:eastAsia="ru-RU"/>
              </w:rPr>
            </w:pPr>
            <w:r w:rsidRPr="00356AB8">
              <w:rPr>
                <w:rFonts w:eastAsia="Times New Roman"/>
                <w:b/>
                <w:bCs/>
                <w:color w:val="000000"/>
                <w:sz w:val="24"/>
                <w:szCs w:val="24"/>
                <w:lang w:eastAsia="ru-RU"/>
              </w:rPr>
              <w:t>2014 р.</w:t>
            </w:r>
          </w:p>
        </w:tc>
        <w:tc>
          <w:tcPr>
            <w:tcW w:w="924" w:type="dxa"/>
            <w:shd w:val="clear" w:color="auto" w:fill="auto"/>
            <w:noWrap/>
          </w:tcPr>
          <w:p w:rsidR="00356AB8" w:rsidRPr="00356AB8" w:rsidRDefault="00356AB8" w:rsidP="00144BB4">
            <w:pPr>
              <w:tabs>
                <w:tab w:val="left" w:pos="993"/>
              </w:tabs>
              <w:spacing w:line="276" w:lineRule="auto"/>
              <w:jc w:val="center"/>
              <w:rPr>
                <w:rFonts w:eastAsia="Times New Roman"/>
                <w:b/>
                <w:bCs/>
                <w:color w:val="000000"/>
                <w:sz w:val="24"/>
                <w:szCs w:val="24"/>
                <w:lang w:eastAsia="ru-RU"/>
              </w:rPr>
            </w:pPr>
            <w:r w:rsidRPr="00356AB8">
              <w:rPr>
                <w:rFonts w:eastAsia="Times New Roman"/>
                <w:b/>
                <w:bCs/>
                <w:color w:val="000000"/>
                <w:sz w:val="24"/>
                <w:szCs w:val="24"/>
                <w:lang w:eastAsia="ru-RU"/>
              </w:rPr>
              <w:t>2018 р.</w:t>
            </w:r>
          </w:p>
        </w:tc>
        <w:tc>
          <w:tcPr>
            <w:tcW w:w="975" w:type="dxa"/>
            <w:shd w:val="clear" w:color="auto" w:fill="auto"/>
          </w:tcPr>
          <w:p w:rsidR="00356AB8" w:rsidRPr="00356AB8" w:rsidRDefault="00356AB8" w:rsidP="00144BB4">
            <w:pPr>
              <w:tabs>
                <w:tab w:val="left" w:pos="993"/>
              </w:tabs>
              <w:spacing w:line="276" w:lineRule="auto"/>
              <w:jc w:val="center"/>
              <w:rPr>
                <w:rFonts w:eastAsia="Times New Roman"/>
                <w:b/>
                <w:bCs/>
                <w:color w:val="000000"/>
                <w:sz w:val="24"/>
                <w:szCs w:val="24"/>
                <w:lang w:eastAsia="ru-RU"/>
              </w:rPr>
            </w:pPr>
            <w:r w:rsidRPr="00356AB8">
              <w:rPr>
                <w:rFonts w:eastAsia="Times New Roman"/>
                <w:b/>
                <w:bCs/>
                <w:color w:val="000000"/>
                <w:sz w:val="24"/>
                <w:szCs w:val="24"/>
                <w:lang w:eastAsia="ru-RU"/>
              </w:rPr>
              <w:t>2018/</w:t>
            </w:r>
          </w:p>
          <w:p w:rsidR="00356AB8" w:rsidRPr="00356AB8" w:rsidRDefault="00356AB8" w:rsidP="00144BB4">
            <w:pPr>
              <w:tabs>
                <w:tab w:val="left" w:pos="993"/>
              </w:tabs>
              <w:spacing w:line="276" w:lineRule="auto"/>
              <w:jc w:val="center"/>
              <w:rPr>
                <w:rFonts w:eastAsia="Times New Roman"/>
                <w:b/>
                <w:bCs/>
                <w:color w:val="000000"/>
                <w:sz w:val="24"/>
                <w:szCs w:val="24"/>
                <w:lang w:eastAsia="ru-RU"/>
              </w:rPr>
            </w:pPr>
            <w:r w:rsidRPr="00356AB8">
              <w:rPr>
                <w:rFonts w:eastAsia="Times New Roman"/>
                <w:b/>
                <w:bCs/>
                <w:color w:val="000000"/>
                <w:sz w:val="24"/>
                <w:szCs w:val="24"/>
                <w:lang w:eastAsia="ru-RU"/>
              </w:rPr>
              <w:t>2014 рр.,%</w:t>
            </w:r>
          </w:p>
        </w:tc>
        <w:tc>
          <w:tcPr>
            <w:tcW w:w="992" w:type="dxa"/>
            <w:shd w:val="clear" w:color="auto" w:fill="auto"/>
            <w:noWrap/>
          </w:tcPr>
          <w:p w:rsidR="00356AB8" w:rsidRPr="00356AB8" w:rsidRDefault="00356AB8" w:rsidP="00144BB4">
            <w:pPr>
              <w:tabs>
                <w:tab w:val="left" w:pos="993"/>
              </w:tabs>
              <w:spacing w:line="276" w:lineRule="auto"/>
              <w:jc w:val="center"/>
              <w:rPr>
                <w:rFonts w:eastAsia="Times New Roman"/>
                <w:b/>
                <w:bCs/>
                <w:color w:val="000000"/>
                <w:sz w:val="24"/>
                <w:szCs w:val="24"/>
                <w:lang w:eastAsia="ru-RU"/>
              </w:rPr>
            </w:pPr>
            <w:r w:rsidRPr="00356AB8">
              <w:rPr>
                <w:rFonts w:eastAsia="Times New Roman"/>
                <w:b/>
                <w:bCs/>
                <w:color w:val="000000"/>
                <w:sz w:val="24"/>
                <w:szCs w:val="24"/>
                <w:lang w:eastAsia="ru-RU"/>
              </w:rPr>
              <w:t>2014 р.</w:t>
            </w:r>
          </w:p>
        </w:tc>
        <w:tc>
          <w:tcPr>
            <w:tcW w:w="992" w:type="dxa"/>
            <w:shd w:val="clear" w:color="auto" w:fill="auto"/>
            <w:noWrap/>
          </w:tcPr>
          <w:p w:rsidR="00356AB8" w:rsidRPr="00356AB8" w:rsidRDefault="00356AB8" w:rsidP="00144BB4">
            <w:pPr>
              <w:tabs>
                <w:tab w:val="left" w:pos="993"/>
              </w:tabs>
              <w:spacing w:line="276" w:lineRule="auto"/>
              <w:jc w:val="center"/>
              <w:rPr>
                <w:rFonts w:eastAsia="Times New Roman"/>
                <w:b/>
                <w:bCs/>
                <w:color w:val="000000"/>
                <w:sz w:val="24"/>
                <w:szCs w:val="24"/>
                <w:lang w:eastAsia="ru-RU"/>
              </w:rPr>
            </w:pPr>
            <w:r w:rsidRPr="00356AB8">
              <w:rPr>
                <w:rFonts w:eastAsia="Times New Roman"/>
                <w:b/>
                <w:bCs/>
                <w:color w:val="000000"/>
                <w:sz w:val="24"/>
                <w:szCs w:val="24"/>
                <w:lang w:eastAsia="ru-RU"/>
              </w:rPr>
              <w:t>2018 р</w:t>
            </w:r>
          </w:p>
        </w:tc>
        <w:tc>
          <w:tcPr>
            <w:tcW w:w="992" w:type="dxa"/>
            <w:shd w:val="clear" w:color="auto" w:fill="auto"/>
          </w:tcPr>
          <w:p w:rsidR="00356AB8" w:rsidRPr="00356AB8" w:rsidRDefault="00356AB8" w:rsidP="00144BB4">
            <w:pPr>
              <w:tabs>
                <w:tab w:val="left" w:pos="993"/>
              </w:tabs>
              <w:spacing w:line="276" w:lineRule="auto"/>
              <w:jc w:val="center"/>
              <w:rPr>
                <w:rFonts w:eastAsia="Times New Roman"/>
                <w:b/>
                <w:bCs/>
                <w:color w:val="000000"/>
                <w:sz w:val="24"/>
                <w:szCs w:val="24"/>
                <w:lang w:eastAsia="ru-RU"/>
              </w:rPr>
            </w:pPr>
            <w:r w:rsidRPr="00356AB8">
              <w:rPr>
                <w:rFonts w:eastAsia="Times New Roman"/>
                <w:b/>
                <w:bCs/>
                <w:color w:val="000000"/>
                <w:sz w:val="24"/>
                <w:szCs w:val="24"/>
                <w:lang w:eastAsia="ru-RU"/>
              </w:rPr>
              <w:t>2018/</w:t>
            </w:r>
          </w:p>
          <w:p w:rsidR="00356AB8" w:rsidRPr="00356AB8" w:rsidRDefault="00356AB8" w:rsidP="00144BB4">
            <w:pPr>
              <w:tabs>
                <w:tab w:val="left" w:pos="993"/>
              </w:tabs>
              <w:spacing w:line="276" w:lineRule="auto"/>
              <w:jc w:val="center"/>
              <w:rPr>
                <w:rFonts w:eastAsia="Times New Roman"/>
                <w:b/>
                <w:bCs/>
                <w:color w:val="000000"/>
                <w:sz w:val="24"/>
                <w:szCs w:val="24"/>
                <w:lang w:eastAsia="ru-RU"/>
              </w:rPr>
            </w:pPr>
            <w:r w:rsidRPr="00356AB8">
              <w:rPr>
                <w:rFonts w:eastAsia="Times New Roman"/>
                <w:b/>
                <w:bCs/>
                <w:color w:val="000000"/>
                <w:sz w:val="24"/>
                <w:szCs w:val="24"/>
                <w:lang w:eastAsia="ru-RU"/>
              </w:rPr>
              <w:t>2014 рр.,%</w:t>
            </w:r>
          </w:p>
        </w:tc>
        <w:tc>
          <w:tcPr>
            <w:tcW w:w="993" w:type="dxa"/>
            <w:shd w:val="clear" w:color="auto" w:fill="auto"/>
            <w:noWrap/>
          </w:tcPr>
          <w:p w:rsidR="00356AB8" w:rsidRPr="00356AB8" w:rsidRDefault="00356AB8" w:rsidP="00144BB4">
            <w:pPr>
              <w:tabs>
                <w:tab w:val="left" w:pos="993"/>
              </w:tabs>
              <w:spacing w:line="276" w:lineRule="auto"/>
              <w:jc w:val="center"/>
              <w:rPr>
                <w:rFonts w:eastAsia="Times New Roman"/>
                <w:b/>
                <w:bCs/>
                <w:color w:val="000000"/>
                <w:sz w:val="24"/>
                <w:szCs w:val="24"/>
                <w:lang w:eastAsia="ru-RU"/>
              </w:rPr>
            </w:pPr>
            <w:r w:rsidRPr="00356AB8">
              <w:rPr>
                <w:rFonts w:eastAsia="Times New Roman"/>
                <w:b/>
                <w:bCs/>
                <w:color w:val="000000"/>
                <w:sz w:val="24"/>
                <w:szCs w:val="24"/>
                <w:lang w:eastAsia="ru-RU"/>
              </w:rPr>
              <w:t>2014 р.</w:t>
            </w:r>
          </w:p>
        </w:tc>
        <w:tc>
          <w:tcPr>
            <w:tcW w:w="953" w:type="dxa"/>
            <w:shd w:val="clear" w:color="auto" w:fill="auto"/>
            <w:noWrap/>
          </w:tcPr>
          <w:p w:rsidR="00356AB8" w:rsidRPr="00356AB8" w:rsidRDefault="00356AB8" w:rsidP="00144BB4">
            <w:pPr>
              <w:tabs>
                <w:tab w:val="left" w:pos="993"/>
              </w:tabs>
              <w:spacing w:line="276" w:lineRule="auto"/>
              <w:jc w:val="center"/>
              <w:rPr>
                <w:rFonts w:eastAsia="Times New Roman"/>
                <w:b/>
                <w:bCs/>
                <w:color w:val="000000"/>
                <w:sz w:val="24"/>
                <w:szCs w:val="24"/>
                <w:lang w:eastAsia="ru-RU"/>
              </w:rPr>
            </w:pPr>
            <w:r w:rsidRPr="00356AB8">
              <w:rPr>
                <w:rFonts w:eastAsia="Times New Roman"/>
                <w:b/>
                <w:bCs/>
                <w:color w:val="000000"/>
                <w:sz w:val="24"/>
                <w:szCs w:val="24"/>
                <w:lang w:eastAsia="ru-RU"/>
              </w:rPr>
              <w:t>2018 р</w:t>
            </w:r>
          </w:p>
        </w:tc>
        <w:tc>
          <w:tcPr>
            <w:tcW w:w="889" w:type="dxa"/>
            <w:shd w:val="clear" w:color="auto" w:fill="auto"/>
          </w:tcPr>
          <w:p w:rsidR="00356AB8" w:rsidRPr="00356AB8" w:rsidRDefault="00356AB8" w:rsidP="00144BB4">
            <w:pPr>
              <w:tabs>
                <w:tab w:val="left" w:pos="993"/>
              </w:tabs>
              <w:spacing w:line="276" w:lineRule="auto"/>
              <w:jc w:val="center"/>
              <w:rPr>
                <w:rFonts w:eastAsia="Times New Roman"/>
                <w:b/>
                <w:bCs/>
                <w:color w:val="000000"/>
                <w:sz w:val="24"/>
                <w:szCs w:val="24"/>
                <w:lang w:eastAsia="ru-RU"/>
              </w:rPr>
            </w:pPr>
            <w:r w:rsidRPr="00356AB8">
              <w:rPr>
                <w:rFonts w:eastAsia="Times New Roman"/>
                <w:b/>
                <w:bCs/>
                <w:color w:val="000000"/>
                <w:sz w:val="24"/>
                <w:szCs w:val="24"/>
                <w:lang w:eastAsia="ru-RU"/>
              </w:rPr>
              <w:t>2018/</w:t>
            </w:r>
          </w:p>
          <w:p w:rsidR="00356AB8" w:rsidRPr="00356AB8" w:rsidRDefault="00356AB8" w:rsidP="00144BB4">
            <w:pPr>
              <w:tabs>
                <w:tab w:val="left" w:pos="993"/>
              </w:tabs>
              <w:spacing w:line="276" w:lineRule="auto"/>
              <w:jc w:val="center"/>
              <w:rPr>
                <w:rFonts w:eastAsia="Times New Roman"/>
                <w:b/>
                <w:bCs/>
                <w:color w:val="000000"/>
                <w:sz w:val="24"/>
                <w:szCs w:val="24"/>
                <w:lang w:eastAsia="ru-RU"/>
              </w:rPr>
            </w:pPr>
            <w:r w:rsidRPr="00356AB8">
              <w:rPr>
                <w:rFonts w:eastAsia="Times New Roman"/>
                <w:b/>
                <w:bCs/>
                <w:color w:val="000000"/>
                <w:sz w:val="24"/>
                <w:szCs w:val="24"/>
                <w:lang w:eastAsia="ru-RU"/>
              </w:rPr>
              <w:t>2014 рр., %</w:t>
            </w:r>
          </w:p>
        </w:tc>
      </w:tr>
      <w:tr w:rsidR="00356AB8" w:rsidRPr="00356AB8" w:rsidTr="004933F4">
        <w:trPr>
          <w:trHeight w:val="315"/>
          <w:jc w:val="center"/>
        </w:trPr>
        <w:tc>
          <w:tcPr>
            <w:tcW w:w="1642" w:type="dxa"/>
            <w:shd w:val="clear" w:color="auto" w:fill="auto"/>
            <w:noWrap/>
            <w:hideMark/>
          </w:tcPr>
          <w:p w:rsidR="00356AB8" w:rsidRPr="00356AB8" w:rsidRDefault="00356AB8" w:rsidP="00144BB4">
            <w:pPr>
              <w:tabs>
                <w:tab w:val="left" w:pos="993"/>
              </w:tabs>
              <w:spacing w:line="276" w:lineRule="auto"/>
              <w:jc w:val="left"/>
              <w:rPr>
                <w:rFonts w:eastAsia="Times New Roman"/>
                <w:b/>
                <w:bCs/>
                <w:color w:val="000000"/>
                <w:sz w:val="24"/>
                <w:szCs w:val="24"/>
                <w:lang w:eastAsia="ru-RU"/>
              </w:rPr>
            </w:pPr>
            <w:r w:rsidRPr="00356AB8">
              <w:rPr>
                <w:rFonts w:eastAsia="Times New Roman"/>
                <w:b/>
                <w:bCs/>
                <w:color w:val="000000"/>
                <w:sz w:val="24"/>
                <w:szCs w:val="24"/>
                <w:lang w:eastAsia="ru-RU"/>
              </w:rPr>
              <w:t xml:space="preserve">Україна </w:t>
            </w:r>
          </w:p>
        </w:tc>
        <w:tc>
          <w:tcPr>
            <w:tcW w:w="887" w:type="dxa"/>
            <w:shd w:val="clear" w:color="auto" w:fill="auto"/>
            <w:noWrap/>
            <w:hideMark/>
          </w:tcPr>
          <w:p w:rsidR="00356AB8" w:rsidRPr="00356AB8" w:rsidRDefault="00356AB8" w:rsidP="00144BB4">
            <w:pPr>
              <w:tabs>
                <w:tab w:val="left" w:pos="993"/>
              </w:tabs>
              <w:spacing w:line="276" w:lineRule="auto"/>
              <w:jc w:val="center"/>
              <w:rPr>
                <w:rFonts w:eastAsia="Times New Roman"/>
                <w:bCs/>
                <w:color w:val="000000"/>
                <w:sz w:val="24"/>
                <w:szCs w:val="24"/>
                <w:lang w:eastAsia="ru-RU"/>
              </w:rPr>
            </w:pPr>
            <w:r w:rsidRPr="00356AB8">
              <w:rPr>
                <w:rFonts w:eastAsia="Times New Roman"/>
                <w:bCs/>
                <w:color w:val="000000"/>
                <w:sz w:val="24"/>
                <w:szCs w:val="24"/>
                <w:lang w:eastAsia="ru-RU"/>
              </w:rPr>
              <w:t>149,84</w:t>
            </w:r>
          </w:p>
        </w:tc>
        <w:tc>
          <w:tcPr>
            <w:tcW w:w="924" w:type="dxa"/>
            <w:shd w:val="clear" w:color="auto" w:fill="auto"/>
            <w:noWrap/>
            <w:hideMark/>
          </w:tcPr>
          <w:p w:rsidR="00356AB8" w:rsidRPr="00356AB8" w:rsidRDefault="00356AB8" w:rsidP="00144BB4">
            <w:pPr>
              <w:tabs>
                <w:tab w:val="left" w:pos="993"/>
              </w:tabs>
              <w:spacing w:line="276" w:lineRule="auto"/>
              <w:jc w:val="center"/>
              <w:rPr>
                <w:rFonts w:eastAsia="Times New Roman"/>
                <w:bCs/>
                <w:color w:val="000000"/>
                <w:sz w:val="24"/>
                <w:szCs w:val="24"/>
                <w:lang w:eastAsia="ru-RU"/>
              </w:rPr>
            </w:pPr>
            <w:r w:rsidRPr="00356AB8">
              <w:rPr>
                <w:rFonts w:eastAsia="Times New Roman"/>
                <w:bCs/>
                <w:color w:val="000000"/>
                <w:sz w:val="24"/>
                <w:szCs w:val="24"/>
                <w:lang w:eastAsia="ru-RU"/>
              </w:rPr>
              <w:t>165,59</w:t>
            </w:r>
          </w:p>
        </w:tc>
        <w:tc>
          <w:tcPr>
            <w:tcW w:w="975" w:type="dxa"/>
            <w:shd w:val="clear" w:color="auto" w:fill="auto"/>
          </w:tcPr>
          <w:p w:rsidR="00356AB8" w:rsidRPr="00356AB8" w:rsidRDefault="00356AB8" w:rsidP="00144BB4">
            <w:pPr>
              <w:tabs>
                <w:tab w:val="left" w:pos="993"/>
              </w:tabs>
              <w:spacing w:line="276" w:lineRule="auto"/>
              <w:jc w:val="center"/>
              <w:rPr>
                <w:rFonts w:eastAsia="Times New Roman"/>
                <w:bCs/>
                <w:color w:val="000000"/>
                <w:sz w:val="24"/>
                <w:szCs w:val="24"/>
                <w:lang w:eastAsia="ru-RU"/>
              </w:rPr>
            </w:pPr>
            <w:r w:rsidRPr="00356AB8">
              <w:rPr>
                <w:rFonts w:eastAsia="Times New Roman"/>
                <w:bCs/>
                <w:color w:val="000000"/>
                <w:sz w:val="24"/>
                <w:szCs w:val="24"/>
                <w:lang w:eastAsia="ru-RU"/>
              </w:rPr>
              <w:t>110,51</w:t>
            </w:r>
          </w:p>
        </w:tc>
        <w:tc>
          <w:tcPr>
            <w:tcW w:w="992" w:type="dxa"/>
            <w:shd w:val="clear" w:color="auto" w:fill="auto"/>
            <w:noWrap/>
            <w:hideMark/>
          </w:tcPr>
          <w:p w:rsidR="00356AB8" w:rsidRPr="00356AB8" w:rsidRDefault="00356AB8" w:rsidP="00144BB4">
            <w:pPr>
              <w:tabs>
                <w:tab w:val="left" w:pos="993"/>
              </w:tabs>
              <w:spacing w:line="276" w:lineRule="auto"/>
              <w:jc w:val="center"/>
              <w:rPr>
                <w:rFonts w:eastAsia="Times New Roman"/>
                <w:bCs/>
                <w:color w:val="000000"/>
                <w:sz w:val="24"/>
                <w:szCs w:val="24"/>
                <w:lang w:eastAsia="ru-RU"/>
              </w:rPr>
            </w:pPr>
            <w:r w:rsidRPr="00356AB8">
              <w:rPr>
                <w:rFonts w:eastAsia="Times New Roman"/>
                <w:bCs/>
                <w:color w:val="000000"/>
                <w:sz w:val="24"/>
                <w:szCs w:val="24"/>
                <w:lang w:eastAsia="ru-RU"/>
              </w:rPr>
              <w:t>119,40</w:t>
            </w:r>
          </w:p>
        </w:tc>
        <w:tc>
          <w:tcPr>
            <w:tcW w:w="992" w:type="dxa"/>
            <w:shd w:val="clear" w:color="auto" w:fill="auto"/>
            <w:noWrap/>
            <w:hideMark/>
          </w:tcPr>
          <w:p w:rsidR="00356AB8" w:rsidRPr="00356AB8" w:rsidRDefault="00356AB8" w:rsidP="00144BB4">
            <w:pPr>
              <w:tabs>
                <w:tab w:val="left" w:pos="993"/>
              </w:tabs>
              <w:spacing w:line="276" w:lineRule="auto"/>
              <w:jc w:val="center"/>
              <w:rPr>
                <w:rFonts w:eastAsia="Times New Roman"/>
                <w:bCs/>
                <w:color w:val="000000"/>
                <w:sz w:val="24"/>
                <w:szCs w:val="24"/>
                <w:lang w:eastAsia="ru-RU"/>
              </w:rPr>
            </w:pPr>
            <w:r w:rsidRPr="00356AB8">
              <w:rPr>
                <w:rFonts w:eastAsia="Times New Roman"/>
                <w:bCs/>
                <w:color w:val="000000"/>
                <w:sz w:val="24"/>
                <w:szCs w:val="24"/>
                <w:lang w:eastAsia="ru-RU"/>
              </w:rPr>
              <w:t>129,57</w:t>
            </w:r>
          </w:p>
        </w:tc>
        <w:tc>
          <w:tcPr>
            <w:tcW w:w="992" w:type="dxa"/>
            <w:shd w:val="clear" w:color="auto" w:fill="auto"/>
          </w:tcPr>
          <w:p w:rsidR="00356AB8" w:rsidRPr="00356AB8" w:rsidRDefault="00356AB8" w:rsidP="00144BB4">
            <w:pPr>
              <w:tabs>
                <w:tab w:val="left" w:pos="993"/>
              </w:tabs>
              <w:spacing w:line="276" w:lineRule="auto"/>
              <w:jc w:val="center"/>
              <w:rPr>
                <w:rFonts w:eastAsia="Times New Roman"/>
                <w:bCs/>
                <w:color w:val="000000"/>
                <w:sz w:val="24"/>
                <w:szCs w:val="24"/>
                <w:lang w:eastAsia="ru-RU"/>
              </w:rPr>
            </w:pPr>
            <w:r w:rsidRPr="00356AB8">
              <w:rPr>
                <w:rFonts w:eastAsia="Times New Roman"/>
                <w:bCs/>
                <w:color w:val="000000"/>
                <w:sz w:val="24"/>
                <w:szCs w:val="24"/>
                <w:lang w:eastAsia="ru-RU"/>
              </w:rPr>
              <w:t>108,52</w:t>
            </w:r>
          </w:p>
        </w:tc>
        <w:tc>
          <w:tcPr>
            <w:tcW w:w="993" w:type="dxa"/>
            <w:shd w:val="clear" w:color="auto" w:fill="auto"/>
            <w:noWrap/>
            <w:hideMark/>
          </w:tcPr>
          <w:p w:rsidR="00356AB8" w:rsidRPr="00356AB8" w:rsidRDefault="00356AB8" w:rsidP="00144BB4">
            <w:pPr>
              <w:tabs>
                <w:tab w:val="left" w:pos="993"/>
              </w:tabs>
              <w:spacing w:line="276" w:lineRule="auto"/>
              <w:jc w:val="center"/>
              <w:rPr>
                <w:rFonts w:eastAsia="Times New Roman"/>
                <w:bCs/>
                <w:color w:val="000000"/>
                <w:sz w:val="24"/>
                <w:szCs w:val="24"/>
                <w:lang w:eastAsia="ru-RU"/>
              </w:rPr>
            </w:pPr>
            <w:r w:rsidRPr="00356AB8">
              <w:rPr>
                <w:rFonts w:eastAsia="Times New Roman"/>
                <w:bCs/>
                <w:color w:val="000000"/>
                <w:sz w:val="24"/>
                <w:szCs w:val="24"/>
                <w:lang w:eastAsia="ru-RU"/>
              </w:rPr>
              <w:t>769,32</w:t>
            </w:r>
          </w:p>
        </w:tc>
        <w:tc>
          <w:tcPr>
            <w:tcW w:w="953" w:type="dxa"/>
            <w:shd w:val="clear" w:color="auto" w:fill="auto"/>
            <w:noWrap/>
            <w:hideMark/>
          </w:tcPr>
          <w:p w:rsidR="00356AB8" w:rsidRPr="00356AB8" w:rsidRDefault="00356AB8" w:rsidP="00144BB4">
            <w:pPr>
              <w:tabs>
                <w:tab w:val="left" w:pos="993"/>
              </w:tabs>
              <w:spacing w:line="276" w:lineRule="auto"/>
              <w:jc w:val="center"/>
              <w:rPr>
                <w:rFonts w:eastAsia="Times New Roman"/>
                <w:bCs/>
                <w:color w:val="000000"/>
                <w:sz w:val="24"/>
                <w:szCs w:val="24"/>
                <w:lang w:eastAsia="ru-RU"/>
              </w:rPr>
            </w:pPr>
            <w:r w:rsidRPr="00356AB8">
              <w:rPr>
                <w:rFonts w:eastAsia="Times New Roman"/>
                <w:bCs/>
                <w:color w:val="000000"/>
                <w:sz w:val="24"/>
                <w:szCs w:val="24"/>
                <w:lang w:eastAsia="ru-RU"/>
              </w:rPr>
              <w:t>818,27</w:t>
            </w:r>
          </w:p>
        </w:tc>
        <w:tc>
          <w:tcPr>
            <w:tcW w:w="889" w:type="dxa"/>
            <w:shd w:val="clear" w:color="auto" w:fill="auto"/>
            <w:hideMark/>
          </w:tcPr>
          <w:p w:rsidR="00356AB8" w:rsidRPr="00356AB8" w:rsidRDefault="00356AB8" w:rsidP="00144BB4">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106,36</w:t>
            </w:r>
          </w:p>
        </w:tc>
      </w:tr>
      <w:tr w:rsidR="00356AB8" w:rsidRPr="00356AB8" w:rsidTr="004933F4">
        <w:trPr>
          <w:trHeight w:val="315"/>
          <w:jc w:val="center"/>
        </w:trPr>
        <w:tc>
          <w:tcPr>
            <w:tcW w:w="1642" w:type="dxa"/>
            <w:shd w:val="clear" w:color="auto" w:fill="auto"/>
            <w:noWrap/>
            <w:hideMark/>
          </w:tcPr>
          <w:p w:rsidR="00356AB8" w:rsidRPr="00356AB8" w:rsidRDefault="00356AB8" w:rsidP="00144BB4">
            <w:pPr>
              <w:tabs>
                <w:tab w:val="left" w:pos="993"/>
              </w:tabs>
              <w:spacing w:line="276" w:lineRule="auto"/>
              <w:jc w:val="left"/>
              <w:rPr>
                <w:rFonts w:eastAsia="Times New Roman"/>
                <w:color w:val="000000"/>
                <w:sz w:val="24"/>
                <w:szCs w:val="24"/>
                <w:lang w:eastAsia="ru-RU"/>
              </w:rPr>
            </w:pPr>
            <w:r w:rsidRPr="00356AB8">
              <w:rPr>
                <w:rFonts w:eastAsia="Times New Roman"/>
                <w:color w:val="000000"/>
                <w:sz w:val="24"/>
                <w:szCs w:val="24"/>
                <w:lang w:eastAsia="ru-RU"/>
              </w:rPr>
              <w:t>Вінницька</w:t>
            </w:r>
          </w:p>
        </w:tc>
        <w:tc>
          <w:tcPr>
            <w:tcW w:w="887" w:type="dxa"/>
            <w:shd w:val="clear" w:color="auto" w:fill="auto"/>
            <w:noWrap/>
            <w:hideMark/>
          </w:tcPr>
          <w:p w:rsidR="00356AB8" w:rsidRPr="00356AB8" w:rsidRDefault="00356AB8" w:rsidP="00144BB4">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146,45</w:t>
            </w:r>
          </w:p>
        </w:tc>
        <w:tc>
          <w:tcPr>
            <w:tcW w:w="924" w:type="dxa"/>
            <w:shd w:val="clear" w:color="auto" w:fill="auto"/>
            <w:noWrap/>
            <w:hideMark/>
          </w:tcPr>
          <w:p w:rsidR="00356AB8" w:rsidRPr="00356AB8" w:rsidRDefault="00356AB8" w:rsidP="00144BB4">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158,64</w:t>
            </w:r>
          </w:p>
        </w:tc>
        <w:tc>
          <w:tcPr>
            <w:tcW w:w="975" w:type="dxa"/>
            <w:shd w:val="clear" w:color="auto" w:fill="auto"/>
          </w:tcPr>
          <w:p w:rsidR="00356AB8" w:rsidRPr="00356AB8" w:rsidRDefault="00356AB8" w:rsidP="00144BB4">
            <w:pPr>
              <w:tabs>
                <w:tab w:val="left" w:pos="993"/>
              </w:tabs>
              <w:spacing w:line="276" w:lineRule="auto"/>
              <w:jc w:val="center"/>
              <w:rPr>
                <w:rFonts w:eastAsia="Times New Roman"/>
                <w:bCs/>
                <w:color w:val="000000"/>
                <w:sz w:val="24"/>
                <w:szCs w:val="24"/>
                <w:lang w:eastAsia="ru-RU"/>
              </w:rPr>
            </w:pPr>
            <w:r w:rsidRPr="00356AB8">
              <w:rPr>
                <w:rFonts w:eastAsia="Times New Roman"/>
                <w:bCs/>
                <w:color w:val="000000"/>
                <w:sz w:val="24"/>
                <w:szCs w:val="24"/>
                <w:lang w:eastAsia="ru-RU"/>
              </w:rPr>
              <w:t>108,32</w:t>
            </w:r>
          </w:p>
        </w:tc>
        <w:tc>
          <w:tcPr>
            <w:tcW w:w="992" w:type="dxa"/>
            <w:shd w:val="clear" w:color="auto" w:fill="auto"/>
            <w:noWrap/>
            <w:hideMark/>
          </w:tcPr>
          <w:p w:rsidR="00356AB8" w:rsidRPr="00356AB8" w:rsidRDefault="00356AB8" w:rsidP="00144BB4">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117,53</w:t>
            </w:r>
          </w:p>
        </w:tc>
        <w:tc>
          <w:tcPr>
            <w:tcW w:w="992" w:type="dxa"/>
            <w:shd w:val="clear" w:color="auto" w:fill="auto"/>
            <w:noWrap/>
            <w:hideMark/>
          </w:tcPr>
          <w:p w:rsidR="00356AB8" w:rsidRPr="00356AB8" w:rsidRDefault="00356AB8" w:rsidP="00144BB4">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128,15</w:t>
            </w:r>
          </w:p>
        </w:tc>
        <w:tc>
          <w:tcPr>
            <w:tcW w:w="992" w:type="dxa"/>
            <w:shd w:val="clear" w:color="auto" w:fill="auto"/>
          </w:tcPr>
          <w:p w:rsidR="00356AB8" w:rsidRPr="00356AB8" w:rsidRDefault="00356AB8" w:rsidP="00144BB4">
            <w:pPr>
              <w:tabs>
                <w:tab w:val="left" w:pos="993"/>
              </w:tabs>
              <w:spacing w:line="276" w:lineRule="auto"/>
              <w:jc w:val="center"/>
              <w:rPr>
                <w:rFonts w:eastAsia="Times New Roman"/>
                <w:bCs/>
                <w:color w:val="000000"/>
                <w:sz w:val="24"/>
                <w:szCs w:val="24"/>
                <w:lang w:eastAsia="ru-RU"/>
              </w:rPr>
            </w:pPr>
            <w:r w:rsidRPr="00356AB8">
              <w:rPr>
                <w:rFonts w:eastAsia="Times New Roman"/>
                <w:bCs/>
                <w:color w:val="000000"/>
                <w:sz w:val="24"/>
                <w:szCs w:val="24"/>
                <w:lang w:eastAsia="ru-RU"/>
              </w:rPr>
              <w:t>109,04</w:t>
            </w:r>
          </w:p>
        </w:tc>
        <w:tc>
          <w:tcPr>
            <w:tcW w:w="993" w:type="dxa"/>
            <w:shd w:val="clear" w:color="auto" w:fill="auto"/>
            <w:noWrap/>
            <w:hideMark/>
          </w:tcPr>
          <w:p w:rsidR="00356AB8" w:rsidRPr="00356AB8" w:rsidRDefault="00356AB8" w:rsidP="00144BB4">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748,73</w:t>
            </w:r>
          </w:p>
        </w:tc>
        <w:tc>
          <w:tcPr>
            <w:tcW w:w="953" w:type="dxa"/>
            <w:shd w:val="clear" w:color="auto" w:fill="auto"/>
            <w:noWrap/>
            <w:hideMark/>
          </w:tcPr>
          <w:p w:rsidR="00356AB8" w:rsidRPr="00356AB8" w:rsidRDefault="00356AB8" w:rsidP="00144BB4">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725,58</w:t>
            </w:r>
          </w:p>
        </w:tc>
        <w:tc>
          <w:tcPr>
            <w:tcW w:w="889" w:type="dxa"/>
            <w:shd w:val="clear" w:color="auto" w:fill="auto"/>
          </w:tcPr>
          <w:p w:rsidR="00356AB8" w:rsidRPr="00356AB8" w:rsidRDefault="00356AB8" w:rsidP="00144BB4">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96,91</w:t>
            </w:r>
          </w:p>
        </w:tc>
      </w:tr>
      <w:tr w:rsidR="00356AB8" w:rsidRPr="00356AB8" w:rsidTr="004933F4">
        <w:trPr>
          <w:trHeight w:val="315"/>
          <w:jc w:val="center"/>
        </w:trPr>
        <w:tc>
          <w:tcPr>
            <w:tcW w:w="1642" w:type="dxa"/>
            <w:shd w:val="clear" w:color="auto" w:fill="auto"/>
            <w:noWrap/>
            <w:hideMark/>
          </w:tcPr>
          <w:p w:rsidR="00356AB8" w:rsidRPr="00356AB8" w:rsidRDefault="00356AB8" w:rsidP="00144BB4">
            <w:pPr>
              <w:tabs>
                <w:tab w:val="left" w:pos="993"/>
              </w:tabs>
              <w:spacing w:line="276" w:lineRule="auto"/>
              <w:jc w:val="left"/>
              <w:rPr>
                <w:rFonts w:eastAsia="Times New Roman"/>
                <w:color w:val="000000"/>
                <w:sz w:val="24"/>
                <w:szCs w:val="24"/>
                <w:lang w:eastAsia="ru-RU"/>
              </w:rPr>
            </w:pPr>
            <w:r w:rsidRPr="00356AB8">
              <w:rPr>
                <w:rFonts w:eastAsia="Times New Roman"/>
                <w:color w:val="000000"/>
                <w:sz w:val="24"/>
                <w:szCs w:val="24"/>
                <w:lang w:eastAsia="ru-RU"/>
              </w:rPr>
              <w:t>Волинська</w:t>
            </w:r>
          </w:p>
        </w:tc>
        <w:tc>
          <w:tcPr>
            <w:tcW w:w="887" w:type="dxa"/>
            <w:shd w:val="clear" w:color="auto" w:fill="auto"/>
            <w:noWrap/>
            <w:hideMark/>
          </w:tcPr>
          <w:p w:rsidR="00356AB8" w:rsidRPr="00356AB8" w:rsidRDefault="00356AB8" w:rsidP="00144BB4">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152,51</w:t>
            </w:r>
          </w:p>
        </w:tc>
        <w:tc>
          <w:tcPr>
            <w:tcW w:w="924" w:type="dxa"/>
            <w:shd w:val="clear" w:color="auto" w:fill="auto"/>
            <w:noWrap/>
            <w:hideMark/>
          </w:tcPr>
          <w:p w:rsidR="00356AB8" w:rsidRPr="00356AB8" w:rsidRDefault="00356AB8" w:rsidP="00144BB4">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173,10</w:t>
            </w:r>
          </w:p>
        </w:tc>
        <w:tc>
          <w:tcPr>
            <w:tcW w:w="975" w:type="dxa"/>
            <w:shd w:val="clear" w:color="auto" w:fill="auto"/>
          </w:tcPr>
          <w:p w:rsidR="00356AB8" w:rsidRPr="00356AB8" w:rsidRDefault="00356AB8" w:rsidP="00144BB4">
            <w:pPr>
              <w:tabs>
                <w:tab w:val="left" w:pos="993"/>
              </w:tabs>
              <w:spacing w:line="276" w:lineRule="auto"/>
              <w:jc w:val="center"/>
              <w:rPr>
                <w:rFonts w:eastAsia="Times New Roman"/>
                <w:bCs/>
                <w:color w:val="000000"/>
                <w:sz w:val="24"/>
                <w:szCs w:val="24"/>
                <w:lang w:eastAsia="ru-RU"/>
              </w:rPr>
            </w:pPr>
            <w:r w:rsidRPr="00356AB8">
              <w:rPr>
                <w:rFonts w:eastAsia="Times New Roman"/>
                <w:bCs/>
                <w:color w:val="000000"/>
                <w:sz w:val="24"/>
                <w:szCs w:val="24"/>
                <w:lang w:eastAsia="ru-RU"/>
              </w:rPr>
              <w:t>113,50</w:t>
            </w:r>
          </w:p>
        </w:tc>
        <w:tc>
          <w:tcPr>
            <w:tcW w:w="992" w:type="dxa"/>
            <w:shd w:val="clear" w:color="auto" w:fill="auto"/>
            <w:noWrap/>
            <w:hideMark/>
          </w:tcPr>
          <w:p w:rsidR="00356AB8" w:rsidRPr="00356AB8" w:rsidRDefault="00356AB8" w:rsidP="00144BB4">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126,62</w:t>
            </w:r>
          </w:p>
        </w:tc>
        <w:tc>
          <w:tcPr>
            <w:tcW w:w="992" w:type="dxa"/>
            <w:shd w:val="clear" w:color="auto" w:fill="auto"/>
            <w:noWrap/>
            <w:hideMark/>
          </w:tcPr>
          <w:p w:rsidR="00356AB8" w:rsidRPr="00356AB8" w:rsidRDefault="00356AB8" w:rsidP="00144BB4">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138,68</w:t>
            </w:r>
          </w:p>
        </w:tc>
        <w:tc>
          <w:tcPr>
            <w:tcW w:w="992" w:type="dxa"/>
            <w:shd w:val="clear" w:color="auto" w:fill="auto"/>
          </w:tcPr>
          <w:p w:rsidR="00356AB8" w:rsidRPr="00356AB8" w:rsidRDefault="00356AB8" w:rsidP="00144BB4">
            <w:pPr>
              <w:tabs>
                <w:tab w:val="left" w:pos="993"/>
              </w:tabs>
              <w:spacing w:line="276" w:lineRule="auto"/>
              <w:jc w:val="center"/>
              <w:rPr>
                <w:rFonts w:eastAsia="Times New Roman"/>
                <w:bCs/>
                <w:color w:val="000000"/>
                <w:sz w:val="24"/>
                <w:szCs w:val="24"/>
                <w:lang w:eastAsia="ru-RU"/>
              </w:rPr>
            </w:pPr>
            <w:r w:rsidRPr="00356AB8">
              <w:rPr>
                <w:rFonts w:eastAsia="Times New Roman"/>
                <w:bCs/>
                <w:color w:val="000000"/>
                <w:sz w:val="24"/>
                <w:szCs w:val="24"/>
                <w:lang w:eastAsia="ru-RU"/>
              </w:rPr>
              <w:t>109,52</w:t>
            </w:r>
          </w:p>
        </w:tc>
        <w:tc>
          <w:tcPr>
            <w:tcW w:w="993" w:type="dxa"/>
            <w:shd w:val="clear" w:color="auto" w:fill="auto"/>
            <w:noWrap/>
            <w:hideMark/>
          </w:tcPr>
          <w:p w:rsidR="00356AB8" w:rsidRPr="00356AB8" w:rsidRDefault="00356AB8" w:rsidP="00144BB4">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804,54</w:t>
            </w:r>
          </w:p>
        </w:tc>
        <w:tc>
          <w:tcPr>
            <w:tcW w:w="953" w:type="dxa"/>
            <w:shd w:val="clear" w:color="auto" w:fill="auto"/>
            <w:noWrap/>
            <w:hideMark/>
          </w:tcPr>
          <w:p w:rsidR="00356AB8" w:rsidRPr="00356AB8" w:rsidRDefault="00356AB8" w:rsidP="00144BB4">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839,29</w:t>
            </w:r>
          </w:p>
        </w:tc>
        <w:tc>
          <w:tcPr>
            <w:tcW w:w="889" w:type="dxa"/>
            <w:shd w:val="clear" w:color="auto" w:fill="auto"/>
          </w:tcPr>
          <w:p w:rsidR="00356AB8" w:rsidRPr="00356AB8" w:rsidRDefault="00356AB8" w:rsidP="00144BB4">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104,32</w:t>
            </w:r>
          </w:p>
        </w:tc>
      </w:tr>
      <w:tr w:rsidR="00356AB8" w:rsidRPr="00356AB8" w:rsidTr="004933F4">
        <w:trPr>
          <w:trHeight w:val="315"/>
          <w:jc w:val="center"/>
        </w:trPr>
        <w:tc>
          <w:tcPr>
            <w:tcW w:w="1642" w:type="dxa"/>
            <w:shd w:val="clear" w:color="auto" w:fill="auto"/>
            <w:noWrap/>
            <w:hideMark/>
          </w:tcPr>
          <w:p w:rsidR="00356AB8" w:rsidRPr="00356AB8" w:rsidRDefault="00356AB8" w:rsidP="00144BB4">
            <w:pPr>
              <w:tabs>
                <w:tab w:val="left" w:pos="993"/>
              </w:tabs>
              <w:spacing w:line="276" w:lineRule="auto"/>
              <w:jc w:val="left"/>
              <w:rPr>
                <w:rFonts w:eastAsia="Times New Roman"/>
                <w:color w:val="000000"/>
                <w:sz w:val="24"/>
                <w:szCs w:val="24"/>
                <w:lang w:eastAsia="ru-RU"/>
              </w:rPr>
            </w:pPr>
            <w:r w:rsidRPr="00356AB8">
              <w:rPr>
                <w:rFonts w:eastAsia="Times New Roman"/>
                <w:color w:val="000000"/>
                <w:sz w:val="24"/>
                <w:szCs w:val="24"/>
                <w:lang w:eastAsia="ru-RU"/>
              </w:rPr>
              <w:t>Дніпро</w:t>
            </w:r>
            <w:r w:rsidR="00D54595">
              <w:rPr>
                <w:rFonts w:eastAsia="Times New Roman"/>
                <w:color w:val="000000"/>
                <w:sz w:val="24"/>
                <w:szCs w:val="24"/>
                <w:lang w:eastAsia="ru-RU"/>
              </w:rPr>
              <w:t>-</w:t>
            </w:r>
            <w:r w:rsidRPr="00356AB8">
              <w:rPr>
                <w:rFonts w:eastAsia="Times New Roman"/>
                <w:color w:val="000000"/>
                <w:sz w:val="24"/>
                <w:szCs w:val="24"/>
                <w:lang w:eastAsia="ru-RU"/>
              </w:rPr>
              <w:t>петровська</w:t>
            </w:r>
          </w:p>
        </w:tc>
        <w:tc>
          <w:tcPr>
            <w:tcW w:w="887" w:type="dxa"/>
            <w:shd w:val="clear" w:color="auto" w:fill="auto"/>
            <w:noWrap/>
            <w:hideMark/>
          </w:tcPr>
          <w:p w:rsidR="00356AB8" w:rsidRPr="00356AB8" w:rsidRDefault="00356AB8" w:rsidP="00144BB4">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134,44</w:t>
            </w:r>
          </w:p>
        </w:tc>
        <w:tc>
          <w:tcPr>
            <w:tcW w:w="924" w:type="dxa"/>
            <w:shd w:val="clear" w:color="auto" w:fill="auto"/>
            <w:noWrap/>
            <w:hideMark/>
          </w:tcPr>
          <w:p w:rsidR="00356AB8" w:rsidRPr="00356AB8" w:rsidRDefault="00356AB8" w:rsidP="00144BB4">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153,62</w:t>
            </w:r>
          </w:p>
        </w:tc>
        <w:tc>
          <w:tcPr>
            <w:tcW w:w="975" w:type="dxa"/>
            <w:shd w:val="clear" w:color="auto" w:fill="auto"/>
          </w:tcPr>
          <w:p w:rsidR="00356AB8" w:rsidRPr="00356AB8" w:rsidRDefault="00356AB8" w:rsidP="00144BB4">
            <w:pPr>
              <w:tabs>
                <w:tab w:val="left" w:pos="993"/>
              </w:tabs>
              <w:spacing w:line="276" w:lineRule="auto"/>
              <w:jc w:val="center"/>
              <w:rPr>
                <w:rFonts w:eastAsia="Times New Roman"/>
                <w:bCs/>
                <w:color w:val="000000"/>
                <w:sz w:val="24"/>
                <w:szCs w:val="24"/>
                <w:lang w:eastAsia="ru-RU"/>
              </w:rPr>
            </w:pPr>
            <w:r w:rsidRPr="00356AB8">
              <w:rPr>
                <w:rFonts w:eastAsia="Times New Roman"/>
                <w:bCs/>
                <w:color w:val="000000"/>
                <w:sz w:val="24"/>
                <w:szCs w:val="24"/>
                <w:lang w:eastAsia="ru-RU"/>
              </w:rPr>
              <w:t>114,27</w:t>
            </w:r>
          </w:p>
        </w:tc>
        <w:tc>
          <w:tcPr>
            <w:tcW w:w="992" w:type="dxa"/>
            <w:shd w:val="clear" w:color="auto" w:fill="auto"/>
            <w:noWrap/>
            <w:hideMark/>
          </w:tcPr>
          <w:p w:rsidR="00356AB8" w:rsidRPr="00356AB8" w:rsidRDefault="00356AB8" w:rsidP="00144BB4">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102,13</w:t>
            </w:r>
          </w:p>
        </w:tc>
        <w:tc>
          <w:tcPr>
            <w:tcW w:w="992" w:type="dxa"/>
            <w:shd w:val="clear" w:color="auto" w:fill="auto"/>
            <w:noWrap/>
            <w:hideMark/>
          </w:tcPr>
          <w:p w:rsidR="00356AB8" w:rsidRPr="00356AB8" w:rsidRDefault="00356AB8" w:rsidP="00144BB4">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117,74</w:t>
            </w:r>
          </w:p>
        </w:tc>
        <w:tc>
          <w:tcPr>
            <w:tcW w:w="992" w:type="dxa"/>
            <w:shd w:val="clear" w:color="auto" w:fill="auto"/>
          </w:tcPr>
          <w:p w:rsidR="00356AB8" w:rsidRPr="00356AB8" w:rsidRDefault="00356AB8" w:rsidP="00144BB4">
            <w:pPr>
              <w:tabs>
                <w:tab w:val="left" w:pos="993"/>
              </w:tabs>
              <w:spacing w:line="276" w:lineRule="auto"/>
              <w:jc w:val="center"/>
              <w:rPr>
                <w:rFonts w:eastAsia="Times New Roman"/>
                <w:bCs/>
                <w:color w:val="000000"/>
                <w:sz w:val="24"/>
                <w:szCs w:val="24"/>
                <w:lang w:eastAsia="ru-RU"/>
              </w:rPr>
            </w:pPr>
            <w:r w:rsidRPr="00356AB8">
              <w:rPr>
                <w:rFonts w:eastAsia="Times New Roman"/>
                <w:bCs/>
                <w:color w:val="000000"/>
                <w:sz w:val="24"/>
                <w:szCs w:val="24"/>
                <w:lang w:eastAsia="ru-RU"/>
              </w:rPr>
              <w:t>115,28</w:t>
            </w:r>
          </w:p>
        </w:tc>
        <w:tc>
          <w:tcPr>
            <w:tcW w:w="993" w:type="dxa"/>
            <w:shd w:val="clear" w:color="auto" w:fill="auto"/>
            <w:noWrap/>
            <w:hideMark/>
          </w:tcPr>
          <w:p w:rsidR="00356AB8" w:rsidRPr="00356AB8" w:rsidRDefault="00356AB8" w:rsidP="00144BB4">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696,81</w:t>
            </w:r>
          </w:p>
        </w:tc>
        <w:tc>
          <w:tcPr>
            <w:tcW w:w="953" w:type="dxa"/>
            <w:shd w:val="clear" w:color="auto" w:fill="auto"/>
            <w:noWrap/>
            <w:hideMark/>
          </w:tcPr>
          <w:p w:rsidR="00356AB8" w:rsidRPr="00356AB8" w:rsidRDefault="00356AB8" w:rsidP="00144BB4">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804,06</w:t>
            </w:r>
          </w:p>
        </w:tc>
        <w:tc>
          <w:tcPr>
            <w:tcW w:w="889" w:type="dxa"/>
            <w:shd w:val="clear" w:color="auto" w:fill="auto"/>
          </w:tcPr>
          <w:p w:rsidR="00356AB8" w:rsidRPr="00356AB8" w:rsidRDefault="00356AB8" w:rsidP="00144BB4">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115,39</w:t>
            </w:r>
          </w:p>
        </w:tc>
      </w:tr>
      <w:tr w:rsidR="00356AB8" w:rsidRPr="00356AB8" w:rsidTr="004933F4">
        <w:trPr>
          <w:trHeight w:val="315"/>
          <w:jc w:val="center"/>
        </w:trPr>
        <w:tc>
          <w:tcPr>
            <w:tcW w:w="1642" w:type="dxa"/>
            <w:shd w:val="clear" w:color="auto" w:fill="auto"/>
            <w:noWrap/>
            <w:hideMark/>
          </w:tcPr>
          <w:p w:rsidR="00356AB8" w:rsidRPr="00356AB8" w:rsidRDefault="00356AB8" w:rsidP="00144BB4">
            <w:pPr>
              <w:tabs>
                <w:tab w:val="left" w:pos="993"/>
              </w:tabs>
              <w:spacing w:line="276" w:lineRule="auto"/>
              <w:jc w:val="left"/>
              <w:rPr>
                <w:rFonts w:eastAsia="Times New Roman"/>
                <w:color w:val="000000"/>
                <w:sz w:val="24"/>
                <w:szCs w:val="24"/>
                <w:lang w:eastAsia="ru-RU"/>
              </w:rPr>
            </w:pPr>
            <w:r w:rsidRPr="00356AB8">
              <w:rPr>
                <w:rFonts w:eastAsia="Times New Roman"/>
                <w:color w:val="000000"/>
                <w:sz w:val="24"/>
                <w:szCs w:val="24"/>
                <w:lang w:eastAsia="ru-RU"/>
              </w:rPr>
              <w:t>Донецька</w:t>
            </w:r>
          </w:p>
        </w:tc>
        <w:tc>
          <w:tcPr>
            <w:tcW w:w="887" w:type="dxa"/>
            <w:shd w:val="clear" w:color="auto" w:fill="auto"/>
            <w:noWrap/>
            <w:hideMark/>
          </w:tcPr>
          <w:p w:rsidR="00356AB8" w:rsidRPr="00356AB8" w:rsidRDefault="00356AB8" w:rsidP="00144BB4">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151,85</w:t>
            </w:r>
          </w:p>
        </w:tc>
        <w:tc>
          <w:tcPr>
            <w:tcW w:w="924" w:type="dxa"/>
            <w:shd w:val="clear" w:color="auto" w:fill="auto"/>
            <w:noWrap/>
            <w:hideMark/>
          </w:tcPr>
          <w:p w:rsidR="00356AB8" w:rsidRPr="00356AB8" w:rsidRDefault="00356AB8" w:rsidP="00144BB4">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179,56</w:t>
            </w:r>
          </w:p>
        </w:tc>
        <w:tc>
          <w:tcPr>
            <w:tcW w:w="975" w:type="dxa"/>
            <w:shd w:val="clear" w:color="auto" w:fill="auto"/>
          </w:tcPr>
          <w:p w:rsidR="00356AB8" w:rsidRPr="00356AB8" w:rsidRDefault="00356AB8" w:rsidP="00144BB4">
            <w:pPr>
              <w:tabs>
                <w:tab w:val="left" w:pos="993"/>
              </w:tabs>
              <w:spacing w:line="276" w:lineRule="auto"/>
              <w:jc w:val="center"/>
              <w:rPr>
                <w:rFonts w:eastAsia="Times New Roman"/>
                <w:bCs/>
                <w:color w:val="000000"/>
                <w:sz w:val="24"/>
                <w:szCs w:val="24"/>
                <w:lang w:eastAsia="ru-RU"/>
              </w:rPr>
            </w:pPr>
            <w:r w:rsidRPr="00356AB8">
              <w:rPr>
                <w:rFonts w:eastAsia="Times New Roman"/>
                <w:bCs/>
                <w:color w:val="000000"/>
                <w:sz w:val="24"/>
                <w:szCs w:val="24"/>
                <w:lang w:eastAsia="ru-RU"/>
              </w:rPr>
              <w:t>118,25</w:t>
            </w:r>
          </w:p>
        </w:tc>
        <w:tc>
          <w:tcPr>
            <w:tcW w:w="992" w:type="dxa"/>
            <w:shd w:val="clear" w:color="auto" w:fill="auto"/>
            <w:noWrap/>
            <w:hideMark/>
          </w:tcPr>
          <w:p w:rsidR="00356AB8" w:rsidRPr="00356AB8" w:rsidRDefault="00356AB8" w:rsidP="00144BB4">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123,24</w:t>
            </w:r>
          </w:p>
        </w:tc>
        <w:tc>
          <w:tcPr>
            <w:tcW w:w="992" w:type="dxa"/>
            <w:shd w:val="clear" w:color="auto" w:fill="auto"/>
            <w:noWrap/>
            <w:hideMark/>
          </w:tcPr>
          <w:p w:rsidR="00356AB8" w:rsidRPr="00356AB8" w:rsidRDefault="00356AB8" w:rsidP="00144BB4">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142,47</w:t>
            </w:r>
          </w:p>
        </w:tc>
        <w:tc>
          <w:tcPr>
            <w:tcW w:w="992" w:type="dxa"/>
            <w:shd w:val="clear" w:color="auto" w:fill="auto"/>
          </w:tcPr>
          <w:p w:rsidR="00356AB8" w:rsidRPr="00356AB8" w:rsidRDefault="00356AB8" w:rsidP="00144BB4">
            <w:pPr>
              <w:tabs>
                <w:tab w:val="left" w:pos="993"/>
              </w:tabs>
              <w:spacing w:line="276" w:lineRule="auto"/>
              <w:jc w:val="center"/>
              <w:rPr>
                <w:rFonts w:eastAsia="Times New Roman"/>
                <w:bCs/>
                <w:color w:val="000000"/>
                <w:sz w:val="24"/>
                <w:szCs w:val="24"/>
                <w:lang w:eastAsia="ru-RU"/>
              </w:rPr>
            </w:pPr>
            <w:r w:rsidRPr="00356AB8">
              <w:rPr>
                <w:rFonts w:eastAsia="Times New Roman"/>
                <w:bCs/>
                <w:color w:val="000000"/>
                <w:sz w:val="24"/>
                <w:szCs w:val="24"/>
                <w:lang w:eastAsia="ru-RU"/>
              </w:rPr>
              <w:t>115,60</w:t>
            </w:r>
          </w:p>
        </w:tc>
        <w:tc>
          <w:tcPr>
            <w:tcW w:w="993" w:type="dxa"/>
            <w:shd w:val="clear" w:color="auto" w:fill="auto"/>
            <w:noWrap/>
            <w:hideMark/>
          </w:tcPr>
          <w:p w:rsidR="00356AB8" w:rsidRPr="00356AB8" w:rsidRDefault="00356AB8" w:rsidP="00144BB4">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833,33</w:t>
            </w:r>
          </w:p>
        </w:tc>
        <w:tc>
          <w:tcPr>
            <w:tcW w:w="953" w:type="dxa"/>
            <w:shd w:val="clear" w:color="auto" w:fill="auto"/>
            <w:noWrap/>
            <w:hideMark/>
          </w:tcPr>
          <w:p w:rsidR="00356AB8" w:rsidRPr="00356AB8" w:rsidRDefault="00356AB8" w:rsidP="00144BB4">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818,18</w:t>
            </w:r>
          </w:p>
        </w:tc>
        <w:tc>
          <w:tcPr>
            <w:tcW w:w="889" w:type="dxa"/>
            <w:shd w:val="clear" w:color="auto" w:fill="auto"/>
          </w:tcPr>
          <w:p w:rsidR="00356AB8" w:rsidRPr="00356AB8" w:rsidRDefault="00356AB8" w:rsidP="00144BB4">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98,18</w:t>
            </w:r>
          </w:p>
        </w:tc>
      </w:tr>
      <w:tr w:rsidR="00356AB8" w:rsidRPr="00356AB8" w:rsidTr="004933F4">
        <w:trPr>
          <w:trHeight w:val="315"/>
          <w:jc w:val="center"/>
        </w:trPr>
        <w:tc>
          <w:tcPr>
            <w:tcW w:w="1642" w:type="dxa"/>
            <w:shd w:val="clear" w:color="auto" w:fill="auto"/>
            <w:noWrap/>
            <w:hideMark/>
          </w:tcPr>
          <w:p w:rsidR="00356AB8" w:rsidRPr="00356AB8" w:rsidRDefault="00356AB8" w:rsidP="00144BB4">
            <w:pPr>
              <w:tabs>
                <w:tab w:val="left" w:pos="993"/>
              </w:tabs>
              <w:spacing w:line="276" w:lineRule="auto"/>
              <w:jc w:val="left"/>
              <w:rPr>
                <w:rFonts w:eastAsia="Times New Roman"/>
                <w:color w:val="000000"/>
                <w:sz w:val="24"/>
                <w:szCs w:val="24"/>
                <w:lang w:eastAsia="ru-RU"/>
              </w:rPr>
            </w:pPr>
            <w:r w:rsidRPr="00356AB8">
              <w:rPr>
                <w:rFonts w:eastAsia="Times New Roman"/>
                <w:color w:val="000000"/>
                <w:sz w:val="24"/>
                <w:szCs w:val="24"/>
                <w:lang w:eastAsia="ru-RU"/>
              </w:rPr>
              <w:t>Житомирська</w:t>
            </w:r>
          </w:p>
        </w:tc>
        <w:tc>
          <w:tcPr>
            <w:tcW w:w="887" w:type="dxa"/>
            <w:shd w:val="clear" w:color="auto" w:fill="auto"/>
            <w:noWrap/>
            <w:hideMark/>
          </w:tcPr>
          <w:p w:rsidR="00356AB8" w:rsidRPr="00356AB8" w:rsidRDefault="00356AB8" w:rsidP="00144BB4">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167,89</w:t>
            </w:r>
          </w:p>
        </w:tc>
        <w:tc>
          <w:tcPr>
            <w:tcW w:w="924" w:type="dxa"/>
            <w:shd w:val="clear" w:color="auto" w:fill="auto"/>
            <w:noWrap/>
            <w:hideMark/>
          </w:tcPr>
          <w:p w:rsidR="00356AB8" w:rsidRPr="00356AB8" w:rsidRDefault="00356AB8" w:rsidP="00144BB4">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195,62</w:t>
            </w:r>
          </w:p>
        </w:tc>
        <w:tc>
          <w:tcPr>
            <w:tcW w:w="975" w:type="dxa"/>
            <w:shd w:val="clear" w:color="auto" w:fill="auto"/>
          </w:tcPr>
          <w:p w:rsidR="00356AB8" w:rsidRPr="00356AB8" w:rsidRDefault="00356AB8" w:rsidP="00144BB4">
            <w:pPr>
              <w:tabs>
                <w:tab w:val="left" w:pos="993"/>
              </w:tabs>
              <w:spacing w:line="276" w:lineRule="auto"/>
              <w:jc w:val="center"/>
              <w:rPr>
                <w:rFonts w:eastAsia="Times New Roman"/>
                <w:bCs/>
                <w:color w:val="000000"/>
                <w:sz w:val="24"/>
                <w:szCs w:val="24"/>
                <w:lang w:eastAsia="ru-RU"/>
              </w:rPr>
            </w:pPr>
            <w:r w:rsidRPr="00356AB8">
              <w:rPr>
                <w:rFonts w:eastAsia="Times New Roman"/>
                <w:bCs/>
                <w:color w:val="000000"/>
                <w:sz w:val="24"/>
                <w:szCs w:val="24"/>
                <w:lang w:eastAsia="ru-RU"/>
              </w:rPr>
              <w:t>116,52</w:t>
            </w:r>
          </w:p>
        </w:tc>
        <w:tc>
          <w:tcPr>
            <w:tcW w:w="992" w:type="dxa"/>
            <w:shd w:val="clear" w:color="auto" w:fill="auto"/>
            <w:noWrap/>
            <w:hideMark/>
          </w:tcPr>
          <w:p w:rsidR="00356AB8" w:rsidRPr="00356AB8" w:rsidRDefault="00356AB8" w:rsidP="00144BB4">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139,20</w:t>
            </w:r>
          </w:p>
        </w:tc>
        <w:tc>
          <w:tcPr>
            <w:tcW w:w="992" w:type="dxa"/>
            <w:shd w:val="clear" w:color="auto" w:fill="auto"/>
            <w:noWrap/>
            <w:hideMark/>
          </w:tcPr>
          <w:p w:rsidR="00356AB8" w:rsidRPr="00356AB8" w:rsidRDefault="00356AB8" w:rsidP="00144BB4">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165,53</w:t>
            </w:r>
          </w:p>
        </w:tc>
        <w:tc>
          <w:tcPr>
            <w:tcW w:w="992" w:type="dxa"/>
            <w:shd w:val="clear" w:color="auto" w:fill="auto"/>
          </w:tcPr>
          <w:p w:rsidR="00356AB8" w:rsidRPr="00356AB8" w:rsidRDefault="00356AB8" w:rsidP="00144BB4">
            <w:pPr>
              <w:tabs>
                <w:tab w:val="left" w:pos="993"/>
              </w:tabs>
              <w:spacing w:line="276" w:lineRule="auto"/>
              <w:jc w:val="center"/>
              <w:rPr>
                <w:rFonts w:eastAsia="Times New Roman"/>
                <w:bCs/>
                <w:color w:val="000000"/>
                <w:sz w:val="24"/>
                <w:szCs w:val="24"/>
                <w:lang w:eastAsia="ru-RU"/>
              </w:rPr>
            </w:pPr>
            <w:r w:rsidRPr="00356AB8">
              <w:rPr>
                <w:rFonts w:eastAsia="Times New Roman"/>
                <w:bCs/>
                <w:color w:val="000000"/>
                <w:sz w:val="24"/>
                <w:szCs w:val="24"/>
                <w:lang w:eastAsia="ru-RU"/>
              </w:rPr>
              <w:t>118,92</w:t>
            </w:r>
          </w:p>
        </w:tc>
        <w:tc>
          <w:tcPr>
            <w:tcW w:w="993" w:type="dxa"/>
            <w:shd w:val="clear" w:color="auto" w:fill="auto"/>
            <w:noWrap/>
            <w:hideMark/>
          </w:tcPr>
          <w:p w:rsidR="00356AB8" w:rsidRPr="00356AB8" w:rsidRDefault="00356AB8" w:rsidP="00144BB4">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737,84</w:t>
            </w:r>
          </w:p>
        </w:tc>
        <w:tc>
          <w:tcPr>
            <w:tcW w:w="953" w:type="dxa"/>
            <w:shd w:val="clear" w:color="auto" w:fill="auto"/>
            <w:noWrap/>
            <w:hideMark/>
          </w:tcPr>
          <w:p w:rsidR="00356AB8" w:rsidRPr="00356AB8" w:rsidRDefault="00356AB8" w:rsidP="00144BB4">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795,72</w:t>
            </w:r>
          </w:p>
        </w:tc>
        <w:tc>
          <w:tcPr>
            <w:tcW w:w="889" w:type="dxa"/>
            <w:shd w:val="clear" w:color="auto" w:fill="auto"/>
          </w:tcPr>
          <w:p w:rsidR="00356AB8" w:rsidRPr="00356AB8" w:rsidRDefault="00356AB8" w:rsidP="00144BB4">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107,84</w:t>
            </w:r>
          </w:p>
        </w:tc>
      </w:tr>
      <w:tr w:rsidR="00356AB8" w:rsidRPr="00356AB8" w:rsidTr="004933F4">
        <w:trPr>
          <w:trHeight w:val="315"/>
          <w:jc w:val="center"/>
        </w:trPr>
        <w:tc>
          <w:tcPr>
            <w:tcW w:w="1642" w:type="dxa"/>
            <w:shd w:val="clear" w:color="auto" w:fill="auto"/>
            <w:noWrap/>
            <w:hideMark/>
          </w:tcPr>
          <w:p w:rsidR="00356AB8" w:rsidRPr="00356AB8" w:rsidRDefault="00356AB8" w:rsidP="00144BB4">
            <w:pPr>
              <w:tabs>
                <w:tab w:val="left" w:pos="993"/>
              </w:tabs>
              <w:spacing w:line="276" w:lineRule="auto"/>
              <w:jc w:val="left"/>
              <w:rPr>
                <w:rFonts w:eastAsia="Times New Roman"/>
                <w:color w:val="000000"/>
                <w:sz w:val="24"/>
                <w:szCs w:val="24"/>
                <w:lang w:eastAsia="ru-RU"/>
              </w:rPr>
            </w:pPr>
            <w:r w:rsidRPr="00356AB8">
              <w:rPr>
                <w:rFonts w:eastAsia="Times New Roman"/>
                <w:color w:val="000000"/>
                <w:sz w:val="24"/>
                <w:szCs w:val="24"/>
                <w:lang w:eastAsia="ru-RU"/>
              </w:rPr>
              <w:t>Закарпатська</w:t>
            </w:r>
          </w:p>
        </w:tc>
        <w:tc>
          <w:tcPr>
            <w:tcW w:w="887" w:type="dxa"/>
            <w:shd w:val="clear" w:color="auto" w:fill="auto"/>
            <w:noWrap/>
            <w:hideMark/>
          </w:tcPr>
          <w:p w:rsidR="00356AB8" w:rsidRPr="00356AB8" w:rsidRDefault="00356AB8" w:rsidP="00144BB4">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145,28</w:t>
            </w:r>
          </w:p>
        </w:tc>
        <w:tc>
          <w:tcPr>
            <w:tcW w:w="924" w:type="dxa"/>
            <w:shd w:val="clear" w:color="auto" w:fill="auto"/>
            <w:noWrap/>
            <w:hideMark/>
          </w:tcPr>
          <w:p w:rsidR="00356AB8" w:rsidRPr="00356AB8" w:rsidRDefault="00356AB8" w:rsidP="00144BB4">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135,12</w:t>
            </w:r>
          </w:p>
        </w:tc>
        <w:tc>
          <w:tcPr>
            <w:tcW w:w="975" w:type="dxa"/>
            <w:shd w:val="clear" w:color="auto" w:fill="auto"/>
          </w:tcPr>
          <w:p w:rsidR="00356AB8" w:rsidRPr="00356AB8" w:rsidRDefault="00356AB8" w:rsidP="00144BB4">
            <w:pPr>
              <w:tabs>
                <w:tab w:val="left" w:pos="993"/>
              </w:tabs>
              <w:spacing w:line="276" w:lineRule="auto"/>
              <w:jc w:val="center"/>
              <w:rPr>
                <w:rFonts w:eastAsia="Times New Roman"/>
                <w:bCs/>
                <w:color w:val="000000"/>
                <w:sz w:val="24"/>
                <w:szCs w:val="24"/>
                <w:lang w:eastAsia="ru-RU"/>
              </w:rPr>
            </w:pPr>
            <w:r w:rsidRPr="00356AB8">
              <w:rPr>
                <w:rFonts w:eastAsia="Times New Roman"/>
                <w:bCs/>
                <w:color w:val="000000"/>
                <w:sz w:val="24"/>
                <w:szCs w:val="24"/>
                <w:lang w:eastAsia="ru-RU"/>
              </w:rPr>
              <w:t>93,01</w:t>
            </w:r>
          </w:p>
        </w:tc>
        <w:tc>
          <w:tcPr>
            <w:tcW w:w="992" w:type="dxa"/>
            <w:shd w:val="clear" w:color="auto" w:fill="auto"/>
            <w:noWrap/>
            <w:hideMark/>
          </w:tcPr>
          <w:p w:rsidR="00356AB8" w:rsidRPr="00356AB8" w:rsidRDefault="00356AB8" w:rsidP="00144BB4">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117,12</w:t>
            </w:r>
          </w:p>
        </w:tc>
        <w:tc>
          <w:tcPr>
            <w:tcW w:w="992" w:type="dxa"/>
            <w:shd w:val="clear" w:color="auto" w:fill="auto"/>
            <w:noWrap/>
            <w:hideMark/>
          </w:tcPr>
          <w:p w:rsidR="00356AB8" w:rsidRPr="00356AB8" w:rsidRDefault="00356AB8" w:rsidP="00144BB4">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104,30</w:t>
            </w:r>
          </w:p>
        </w:tc>
        <w:tc>
          <w:tcPr>
            <w:tcW w:w="992" w:type="dxa"/>
            <w:shd w:val="clear" w:color="auto" w:fill="auto"/>
          </w:tcPr>
          <w:p w:rsidR="00356AB8" w:rsidRPr="00356AB8" w:rsidRDefault="00356AB8" w:rsidP="00144BB4">
            <w:pPr>
              <w:tabs>
                <w:tab w:val="left" w:pos="993"/>
              </w:tabs>
              <w:spacing w:line="276" w:lineRule="auto"/>
              <w:jc w:val="center"/>
              <w:rPr>
                <w:rFonts w:eastAsia="Times New Roman"/>
                <w:bCs/>
                <w:color w:val="000000"/>
                <w:sz w:val="24"/>
                <w:szCs w:val="24"/>
                <w:lang w:eastAsia="ru-RU"/>
              </w:rPr>
            </w:pPr>
            <w:r w:rsidRPr="00356AB8">
              <w:rPr>
                <w:rFonts w:eastAsia="Times New Roman"/>
                <w:bCs/>
                <w:color w:val="000000"/>
                <w:sz w:val="24"/>
                <w:szCs w:val="24"/>
                <w:lang w:eastAsia="ru-RU"/>
              </w:rPr>
              <w:t>89,05</w:t>
            </w:r>
          </w:p>
        </w:tc>
        <w:tc>
          <w:tcPr>
            <w:tcW w:w="993" w:type="dxa"/>
            <w:shd w:val="clear" w:color="auto" w:fill="auto"/>
            <w:noWrap/>
            <w:hideMark/>
          </w:tcPr>
          <w:p w:rsidR="00356AB8" w:rsidRPr="00356AB8" w:rsidRDefault="00356AB8" w:rsidP="00144BB4">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719,15</w:t>
            </w:r>
          </w:p>
        </w:tc>
        <w:tc>
          <w:tcPr>
            <w:tcW w:w="953" w:type="dxa"/>
            <w:shd w:val="clear" w:color="auto" w:fill="auto"/>
            <w:noWrap/>
            <w:hideMark/>
          </w:tcPr>
          <w:p w:rsidR="00356AB8" w:rsidRPr="00356AB8" w:rsidRDefault="00356AB8" w:rsidP="00144BB4">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709,59</w:t>
            </w:r>
          </w:p>
        </w:tc>
        <w:tc>
          <w:tcPr>
            <w:tcW w:w="889" w:type="dxa"/>
            <w:shd w:val="clear" w:color="auto" w:fill="auto"/>
          </w:tcPr>
          <w:p w:rsidR="00356AB8" w:rsidRPr="00356AB8" w:rsidRDefault="00356AB8" w:rsidP="00144BB4">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98,67</w:t>
            </w:r>
          </w:p>
        </w:tc>
      </w:tr>
      <w:tr w:rsidR="00356AB8" w:rsidRPr="00356AB8" w:rsidTr="004933F4">
        <w:trPr>
          <w:trHeight w:val="315"/>
          <w:jc w:val="center"/>
        </w:trPr>
        <w:tc>
          <w:tcPr>
            <w:tcW w:w="1642" w:type="dxa"/>
            <w:shd w:val="clear" w:color="auto" w:fill="auto"/>
            <w:noWrap/>
            <w:hideMark/>
          </w:tcPr>
          <w:p w:rsidR="00356AB8" w:rsidRPr="00356AB8" w:rsidRDefault="00356AB8" w:rsidP="00144BB4">
            <w:pPr>
              <w:tabs>
                <w:tab w:val="left" w:pos="993"/>
              </w:tabs>
              <w:spacing w:line="276" w:lineRule="auto"/>
              <w:jc w:val="left"/>
              <w:rPr>
                <w:rFonts w:eastAsia="Times New Roman"/>
                <w:color w:val="000000"/>
                <w:sz w:val="24"/>
                <w:szCs w:val="24"/>
                <w:lang w:eastAsia="ru-RU"/>
              </w:rPr>
            </w:pPr>
            <w:r w:rsidRPr="00356AB8">
              <w:rPr>
                <w:rFonts w:eastAsia="Times New Roman"/>
                <w:color w:val="000000"/>
                <w:sz w:val="24"/>
                <w:szCs w:val="24"/>
                <w:lang w:eastAsia="ru-RU"/>
              </w:rPr>
              <w:t>Запорізька</w:t>
            </w:r>
          </w:p>
        </w:tc>
        <w:tc>
          <w:tcPr>
            <w:tcW w:w="887" w:type="dxa"/>
            <w:shd w:val="clear" w:color="auto" w:fill="auto"/>
            <w:noWrap/>
            <w:hideMark/>
          </w:tcPr>
          <w:p w:rsidR="00356AB8" w:rsidRPr="00356AB8" w:rsidRDefault="00356AB8" w:rsidP="00144BB4">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154,13</w:t>
            </w:r>
          </w:p>
        </w:tc>
        <w:tc>
          <w:tcPr>
            <w:tcW w:w="924" w:type="dxa"/>
            <w:shd w:val="clear" w:color="auto" w:fill="auto"/>
            <w:noWrap/>
            <w:hideMark/>
          </w:tcPr>
          <w:p w:rsidR="00356AB8" w:rsidRPr="00356AB8" w:rsidRDefault="00356AB8" w:rsidP="00144BB4">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156,20</w:t>
            </w:r>
          </w:p>
        </w:tc>
        <w:tc>
          <w:tcPr>
            <w:tcW w:w="975" w:type="dxa"/>
            <w:shd w:val="clear" w:color="auto" w:fill="auto"/>
          </w:tcPr>
          <w:p w:rsidR="00356AB8" w:rsidRPr="00356AB8" w:rsidRDefault="00356AB8" w:rsidP="00144BB4">
            <w:pPr>
              <w:tabs>
                <w:tab w:val="left" w:pos="993"/>
              </w:tabs>
              <w:spacing w:line="276" w:lineRule="auto"/>
              <w:jc w:val="center"/>
              <w:rPr>
                <w:rFonts w:eastAsia="Times New Roman"/>
                <w:bCs/>
                <w:color w:val="000000"/>
                <w:sz w:val="24"/>
                <w:szCs w:val="24"/>
                <w:lang w:eastAsia="ru-RU"/>
              </w:rPr>
            </w:pPr>
            <w:r w:rsidRPr="00356AB8">
              <w:rPr>
                <w:rFonts w:eastAsia="Times New Roman"/>
                <w:bCs/>
                <w:color w:val="000000"/>
                <w:sz w:val="24"/>
                <w:szCs w:val="24"/>
                <w:lang w:eastAsia="ru-RU"/>
              </w:rPr>
              <w:t>101,34</w:t>
            </w:r>
          </w:p>
        </w:tc>
        <w:tc>
          <w:tcPr>
            <w:tcW w:w="992" w:type="dxa"/>
            <w:shd w:val="clear" w:color="auto" w:fill="auto"/>
            <w:noWrap/>
            <w:hideMark/>
          </w:tcPr>
          <w:p w:rsidR="00356AB8" w:rsidRPr="00356AB8" w:rsidRDefault="00356AB8" w:rsidP="00144BB4">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117,26</w:t>
            </w:r>
          </w:p>
        </w:tc>
        <w:tc>
          <w:tcPr>
            <w:tcW w:w="992" w:type="dxa"/>
            <w:shd w:val="clear" w:color="auto" w:fill="auto"/>
            <w:noWrap/>
            <w:hideMark/>
          </w:tcPr>
          <w:p w:rsidR="00356AB8" w:rsidRPr="00356AB8" w:rsidRDefault="00356AB8" w:rsidP="00144BB4">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121,73</w:t>
            </w:r>
          </w:p>
        </w:tc>
        <w:tc>
          <w:tcPr>
            <w:tcW w:w="992" w:type="dxa"/>
            <w:shd w:val="clear" w:color="auto" w:fill="auto"/>
          </w:tcPr>
          <w:p w:rsidR="00356AB8" w:rsidRPr="00356AB8" w:rsidRDefault="00356AB8" w:rsidP="00144BB4">
            <w:pPr>
              <w:tabs>
                <w:tab w:val="left" w:pos="993"/>
              </w:tabs>
              <w:spacing w:line="276" w:lineRule="auto"/>
              <w:jc w:val="center"/>
              <w:rPr>
                <w:rFonts w:eastAsia="Times New Roman"/>
                <w:bCs/>
                <w:color w:val="000000"/>
                <w:sz w:val="24"/>
                <w:szCs w:val="24"/>
                <w:lang w:eastAsia="ru-RU"/>
              </w:rPr>
            </w:pPr>
            <w:r w:rsidRPr="00356AB8">
              <w:rPr>
                <w:rFonts w:eastAsia="Times New Roman"/>
                <w:bCs/>
                <w:color w:val="000000"/>
                <w:sz w:val="24"/>
                <w:szCs w:val="24"/>
                <w:lang w:eastAsia="ru-RU"/>
              </w:rPr>
              <w:t>103,81</w:t>
            </w:r>
          </w:p>
        </w:tc>
        <w:tc>
          <w:tcPr>
            <w:tcW w:w="993" w:type="dxa"/>
            <w:shd w:val="clear" w:color="auto" w:fill="auto"/>
            <w:noWrap/>
            <w:hideMark/>
          </w:tcPr>
          <w:p w:rsidR="00356AB8" w:rsidRPr="00356AB8" w:rsidRDefault="00356AB8" w:rsidP="00144BB4">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790,09</w:t>
            </w:r>
          </w:p>
        </w:tc>
        <w:tc>
          <w:tcPr>
            <w:tcW w:w="953" w:type="dxa"/>
            <w:shd w:val="clear" w:color="auto" w:fill="auto"/>
            <w:noWrap/>
            <w:hideMark/>
          </w:tcPr>
          <w:p w:rsidR="00356AB8" w:rsidRPr="00356AB8" w:rsidRDefault="00356AB8" w:rsidP="00144BB4">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736,15</w:t>
            </w:r>
          </w:p>
        </w:tc>
        <w:tc>
          <w:tcPr>
            <w:tcW w:w="889" w:type="dxa"/>
            <w:shd w:val="clear" w:color="auto" w:fill="auto"/>
          </w:tcPr>
          <w:p w:rsidR="00356AB8" w:rsidRPr="00356AB8" w:rsidRDefault="00356AB8" w:rsidP="00144BB4">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93,17</w:t>
            </w:r>
          </w:p>
        </w:tc>
      </w:tr>
      <w:tr w:rsidR="00356AB8" w:rsidRPr="00356AB8" w:rsidTr="004933F4">
        <w:trPr>
          <w:trHeight w:val="315"/>
          <w:jc w:val="center"/>
        </w:trPr>
        <w:tc>
          <w:tcPr>
            <w:tcW w:w="1642" w:type="dxa"/>
            <w:shd w:val="clear" w:color="auto" w:fill="auto"/>
            <w:noWrap/>
            <w:hideMark/>
          </w:tcPr>
          <w:p w:rsidR="00356AB8" w:rsidRPr="00356AB8" w:rsidRDefault="00356AB8" w:rsidP="00144BB4">
            <w:pPr>
              <w:tabs>
                <w:tab w:val="left" w:pos="993"/>
              </w:tabs>
              <w:spacing w:line="276" w:lineRule="auto"/>
              <w:jc w:val="left"/>
              <w:rPr>
                <w:rFonts w:eastAsia="Times New Roman"/>
                <w:color w:val="000000"/>
                <w:sz w:val="24"/>
                <w:szCs w:val="24"/>
                <w:lang w:eastAsia="ru-RU"/>
              </w:rPr>
            </w:pPr>
            <w:r w:rsidRPr="00356AB8">
              <w:rPr>
                <w:rFonts w:eastAsia="Times New Roman"/>
                <w:color w:val="000000"/>
                <w:sz w:val="24"/>
                <w:szCs w:val="24"/>
                <w:lang w:eastAsia="ru-RU"/>
              </w:rPr>
              <w:t>Івано-Франківська</w:t>
            </w:r>
          </w:p>
        </w:tc>
        <w:tc>
          <w:tcPr>
            <w:tcW w:w="887" w:type="dxa"/>
            <w:shd w:val="clear" w:color="auto" w:fill="auto"/>
            <w:noWrap/>
            <w:hideMark/>
          </w:tcPr>
          <w:p w:rsidR="00356AB8" w:rsidRPr="00356AB8" w:rsidRDefault="00356AB8" w:rsidP="00144BB4">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123,92</w:t>
            </w:r>
          </w:p>
        </w:tc>
        <w:tc>
          <w:tcPr>
            <w:tcW w:w="924" w:type="dxa"/>
            <w:shd w:val="clear" w:color="auto" w:fill="auto"/>
            <w:noWrap/>
            <w:hideMark/>
          </w:tcPr>
          <w:p w:rsidR="00356AB8" w:rsidRPr="00356AB8" w:rsidRDefault="00356AB8" w:rsidP="00144BB4">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130,74</w:t>
            </w:r>
          </w:p>
        </w:tc>
        <w:tc>
          <w:tcPr>
            <w:tcW w:w="975" w:type="dxa"/>
            <w:shd w:val="clear" w:color="auto" w:fill="auto"/>
          </w:tcPr>
          <w:p w:rsidR="00356AB8" w:rsidRPr="00356AB8" w:rsidRDefault="00356AB8" w:rsidP="00144BB4">
            <w:pPr>
              <w:tabs>
                <w:tab w:val="left" w:pos="993"/>
              </w:tabs>
              <w:spacing w:line="276" w:lineRule="auto"/>
              <w:jc w:val="center"/>
              <w:rPr>
                <w:rFonts w:eastAsia="Times New Roman"/>
                <w:bCs/>
                <w:color w:val="000000"/>
                <w:sz w:val="24"/>
                <w:szCs w:val="24"/>
                <w:lang w:eastAsia="ru-RU"/>
              </w:rPr>
            </w:pPr>
            <w:r w:rsidRPr="00356AB8">
              <w:rPr>
                <w:rFonts w:eastAsia="Times New Roman"/>
                <w:bCs/>
                <w:color w:val="000000"/>
                <w:sz w:val="24"/>
                <w:szCs w:val="24"/>
                <w:lang w:eastAsia="ru-RU"/>
              </w:rPr>
              <w:t>105,50</w:t>
            </w:r>
          </w:p>
        </w:tc>
        <w:tc>
          <w:tcPr>
            <w:tcW w:w="992" w:type="dxa"/>
            <w:shd w:val="clear" w:color="auto" w:fill="auto"/>
            <w:noWrap/>
            <w:hideMark/>
          </w:tcPr>
          <w:p w:rsidR="00356AB8" w:rsidRPr="00356AB8" w:rsidRDefault="00356AB8" w:rsidP="00144BB4">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96,87</w:t>
            </w:r>
          </w:p>
        </w:tc>
        <w:tc>
          <w:tcPr>
            <w:tcW w:w="992" w:type="dxa"/>
            <w:shd w:val="clear" w:color="auto" w:fill="auto"/>
            <w:noWrap/>
            <w:hideMark/>
          </w:tcPr>
          <w:p w:rsidR="00356AB8" w:rsidRPr="00356AB8" w:rsidRDefault="00356AB8" w:rsidP="00144BB4">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105,10</w:t>
            </w:r>
          </w:p>
        </w:tc>
        <w:tc>
          <w:tcPr>
            <w:tcW w:w="992" w:type="dxa"/>
            <w:shd w:val="clear" w:color="auto" w:fill="auto"/>
          </w:tcPr>
          <w:p w:rsidR="00356AB8" w:rsidRPr="00356AB8" w:rsidRDefault="00356AB8" w:rsidP="00144BB4">
            <w:pPr>
              <w:tabs>
                <w:tab w:val="left" w:pos="993"/>
              </w:tabs>
              <w:spacing w:line="276" w:lineRule="auto"/>
              <w:jc w:val="center"/>
              <w:rPr>
                <w:rFonts w:eastAsia="Times New Roman"/>
                <w:bCs/>
                <w:color w:val="000000"/>
                <w:sz w:val="24"/>
                <w:szCs w:val="24"/>
                <w:lang w:eastAsia="ru-RU"/>
              </w:rPr>
            </w:pPr>
            <w:r w:rsidRPr="00356AB8">
              <w:rPr>
                <w:rFonts w:eastAsia="Times New Roman"/>
                <w:bCs/>
                <w:color w:val="000000"/>
                <w:sz w:val="24"/>
                <w:szCs w:val="24"/>
                <w:lang w:eastAsia="ru-RU"/>
              </w:rPr>
              <w:t>108,50</w:t>
            </w:r>
          </w:p>
        </w:tc>
        <w:tc>
          <w:tcPr>
            <w:tcW w:w="993" w:type="dxa"/>
            <w:shd w:val="clear" w:color="auto" w:fill="auto"/>
            <w:noWrap/>
            <w:hideMark/>
          </w:tcPr>
          <w:p w:rsidR="00356AB8" w:rsidRPr="00356AB8" w:rsidRDefault="00356AB8" w:rsidP="00144BB4">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665,01</w:t>
            </w:r>
          </w:p>
        </w:tc>
        <w:tc>
          <w:tcPr>
            <w:tcW w:w="953" w:type="dxa"/>
            <w:shd w:val="clear" w:color="auto" w:fill="auto"/>
            <w:noWrap/>
            <w:hideMark/>
          </w:tcPr>
          <w:p w:rsidR="00356AB8" w:rsidRPr="00356AB8" w:rsidRDefault="00356AB8" w:rsidP="00144BB4">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715,08</w:t>
            </w:r>
          </w:p>
        </w:tc>
        <w:tc>
          <w:tcPr>
            <w:tcW w:w="889" w:type="dxa"/>
            <w:shd w:val="clear" w:color="auto" w:fill="auto"/>
          </w:tcPr>
          <w:p w:rsidR="00356AB8" w:rsidRPr="00356AB8" w:rsidRDefault="00356AB8" w:rsidP="00144BB4">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107,53</w:t>
            </w:r>
          </w:p>
        </w:tc>
      </w:tr>
      <w:tr w:rsidR="00356AB8" w:rsidRPr="00356AB8" w:rsidTr="004933F4">
        <w:trPr>
          <w:trHeight w:val="315"/>
          <w:jc w:val="center"/>
        </w:trPr>
        <w:tc>
          <w:tcPr>
            <w:tcW w:w="1642" w:type="dxa"/>
            <w:shd w:val="clear" w:color="auto" w:fill="auto"/>
            <w:noWrap/>
            <w:hideMark/>
          </w:tcPr>
          <w:p w:rsidR="00356AB8" w:rsidRPr="00356AB8" w:rsidRDefault="00356AB8" w:rsidP="00144BB4">
            <w:pPr>
              <w:tabs>
                <w:tab w:val="left" w:pos="993"/>
              </w:tabs>
              <w:spacing w:line="276" w:lineRule="auto"/>
              <w:jc w:val="left"/>
              <w:rPr>
                <w:rFonts w:eastAsia="Times New Roman"/>
                <w:color w:val="000000"/>
                <w:sz w:val="24"/>
                <w:szCs w:val="24"/>
                <w:lang w:eastAsia="ru-RU"/>
              </w:rPr>
            </w:pPr>
            <w:r w:rsidRPr="00356AB8">
              <w:rPr>
                <w:rFonts w:eastAsia="Times New Roman"/>
                <w:color w:val="000000"/>
                <w:sz w:val="24"/>
                <w:szCs w:val="24"/>
                <w:lang w:eastAsia="ru-RU"/>
              </w:rPr>
              <w:t>Київська</w:t>
            </w:r>
          </w:p>
        </w:tc>
        <w:tc>
          <w:tcPr>
            <w:tcW w:w="887" w:type="dxa"/>
            <w:shd w:val="clear" w:color="auto" w:fill="auto"/>
            <w:noWrap/>
            <w:hideMark/>
          </w:tcPr>
          <w:p w:rsidR="00356AB8" w:rsidRPr="00356AB8" w:rsidRDefault="00356AB8" w:rsidP="00144BB4">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169,87</w:t>
            </w:r>
          </w:p>
        </w:tc>
        <w:tc>
          <w:tcPr>
            <w:tcW w:w="924" w:type="dxa"/>
            <w:shd w:val="clear" w:color="auto" w:fill="auto"/>
            <w:noWrap/>
            <w:hideMark/>
          </w:tcPr>
          <w:p w:rsidR="00356AB8" w:rsidRPr="00356AB8" w:rsidRDefault="00356AB8" w:rsidP="00144BB4">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174,99</w:t>
            </w:r>
          </w:p>
        </w:tc>
        <w:tc>
          <w:tcPr>
            <w:tcW w:w="975" w:type="dxa"/>
            <w:shd w:val="clear" w:color="auto" w:fill="auto"/>
          </w:tcPr>
          <w:p w:rsidR="00356AB8" w:rsidRPr="00356AB8" w:rsidRDefault="00356AB8" w:rsidP="00144BB4">
            <w:pPr>
              <w:tabs>
                <w:tab w:val="left" w:pos="993"/>
              </w:tabs>
              <w:spacing w:line="276" w:lineRule="auto"/>
              <w:jc w:val="center"/>
              <w:rPr>
                <w:rFonts w:eastAsia="Times New Roman"/>
                <w:bCs/>
                <w:color w:val="000000"/>
                <w:sz w:val="24"/>
                <w:szCs w:val="24"/>
                <w:lang w:eastAsia="ru-RU"/>
              </w:rPr>
            </w:pPr>
            <w:r w:rsidRPr="00356AB8">
              <w:rPr>
                <w:rFonts w:eastAsia="Times New Roman"/>
                <w:bCs/>
                <w:color w:val="000000"/>
                <w:sz w:val="24"/>
                <w:szCs w:val="24"/>
                <w:lang w:eastAsia="ru-RU"/>
              </w:rPr>
              <w:t>103,01</w:t>
            </w:r>
          </w:p>
        </w:tc>
        <w:tc>
          <w:tcPr>
            <w:tcW w:w="992" w:type="dxa"/>
            <w:shd w:val="clear" w:color="auto" w:fill="auto"/>
            <w:noWrap/>
            <w:hideMark/>
          </w:tcPr>
          <w:p w:rsidR="00356AB8" w:rsidRPr="00356AB8" w:rsidRDefault="00356AB8" w:rsidP="00144BB4">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139,23</w:t>
            </w:r>
          </w:p>
        </w:tc>
        <w:tc>
          <w:tcPr>
            <w:tcW w:w="992" w:type="dxa"/>
            <w:shd w:val="clear" w:color="auto" w:fill="auto"/>
            <w:noWrap/>
            <w:hideMark/>
          </w:tcPr>
          <w:p w:rsidR="00356AB8" w:rsidRPr="00356AB8" w:rsidRDefault="00356AB8" w:rsidP="00144BB4">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143,92</w:t>
            </w:r>
          </w:p>
        </w:tc>
        <w:tc>
          <w:tcPr>
            <w:tcW w:w="992" w:type="dxa"/>
            <w:shd w:val="clear" w:color="auto" w:fill="auto"/>
          </w:tcPr>
          <w:p w:rsidR="00356AB8" w:rsidRPr="00356AB8" w:rsidRDefault="00356AB8" w:rsidP="00144BB4">
            <w:pPr>
              <w:tabs>
                <w:tab w:val="left" w:pos="993"/>
              </w:tabs>
              <w:spacing w:line="276" w:lineRule="auto"/>
              <w:jc w:val="center"/>
              <w:rPr>
                <w:rFonts w:eastAsia="Times New Roman"/>
                <w:bCs/>
                <w:color w:val="000000"/>
                <w:sz w:val="24"/>
                <w:szCs w:val="24"/>
                <w:lang w:eastAsia="ru-RU"/>
              </w:rPr>
            </w:pPr>
            <w:r w:rsidRPr="00356AB8">
              <w:rPr>
                <w:rFonts w:eastAsia="Times New Roman"/>
                <w:bCs/>
                <w:color w:val="000000"/>
                <w:sz w:val="24"/>
                <w:szCs w:val="24"/>
                <w:lang w:eastAsia="ru-RU"/>
              </w:rPr>
              <w:t>103,37</w:t>
            </w:r>
          </w:p>
        </w:tc>
        <w:tc>
          <w:tcPr>
            <w:tcW w:w="993" w:type="dxa"/>
            <w:shd w:val="clear" w:color="auto" w:fill="auto"/>
            <w:noWrap/>
            <w:hideMark/>
          </w:tcPr>
          <w:p w:rsidR="00356AB8" w:rsidRPr="00356AB8" w:rsidRDefault="00356AB8" w:rsidP="00144BB4">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771,63</w:t>
            </w:r>
          </w:p>
        </w:tc>
        <w:tc>
          <w:tcPr>
            <w:tcW w:w="953" w:type="dxa"/>
            <w:shd w:val="clear" w:color="auto" w:fill="auto"/>
            <w:noWrap/>
            <w:hideMark/>
          </w:tcPr>
          <w:p w:rsidR="00356AB8" w:rsidRPr="00356AB8" w:rsidRDefault="00356AB8" w:rsidP="00144BB4">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720,00</w:t>
            </w:r>
          </w:p>
        </w:tc>
        <w:tc>
          <w:tcPr>
            <w:tcW w:w="889" w:type="dxa"/>
            <w:shd w:val="clear" w:color="auto" w:fill="auto"/>
          </w:tcPr>
          <w:p w:rsidR="00356AB8" w:rsidRPr="00356AB8" w:rsidRDefault="00356AB8" w:rsidP="00144BB4">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93,31</w:t>
            </w:r>
          </w:p>
        </w:tc>
      </w:tr>
      <w:tr w:rsidR="00356AB8" w:rsidRPr="00356AB8" w:rsidTr="004933F4">
        <w:trPr>
          <w:trHeight w:val="315"/>
          <w:jc w:val="center"/>
        </w:trPr>
        <w:tc>
          <w:tcPr>
            <w:tcW w:w="1642" w:type="dxa"/>
            <w:shd w:val="clear" w:color="auto" w:fill="auto"/>
            <w:noWrap/>
            <w:hideMark/>
          </w:tcPr>
          <w:p w:rsidR="00356AB8" w:rsidRPr="00356AB8" w:rsidRDefault="00356AB8" w:rsidP="00144BB4">
            <w:pPr>
              <w:tabs>
                <w:tab w:val="left" w:pos="993"/>
              </w:tabs>
              <w:spacing w:line="276" w:lineRule="auto"/>
              <w:jc w:val="left"/>
              <w:rPr>
                <w:rFonts w:eastAsia="Times New Roman"/>
                <w:color w:val="000000"/>
                <w:sz w:val="24"/>
                <w:szCs w:val="24"/>
                <w:lang w:eastAsia="ru-RU"/>
              </w:rPr>
            </w:pPr>
            <w:r w:rsidRPr="00356AB8">
              <w:rPr>
                <w:rFonts w:eastAsia="Times New Roman"/>
                <w:color w:val="000000"/>
                <w:sz w:val="24"/>
                <w:szCs w:val="24"/>
                <w:lang w:eastAsia="ru-RU"/>
              </w:rPr>
              <w:t>Кірово</w:t>
            </w:r>
            <w:r w:rsidR="00D54595">
              <w:rPr>
                <w:rFonts w:eastAsia="Times New Roman"/>
                <w:color w:val="000000"/>
                <w:sz w:val="24"/>
                <w:szCs w:val="24"/>
                <w:lang w:eastAsia="ru-RU"/>
              </w:rPr>
              <w:t>-</w:t>
            </w:r>
            <w:r w:rsidRPr="00356AB8">
              <w:rPr>
                <w:rFonts w:eastAsia="Times New Roman"/>
                <w:color w:val="000000"/>
                <w:sz w:val="24"/>
                <w:szCs w:val="24"/>
                <w:lang w:eastAsia="ru-RU"/>
              </w:rPr>
              <w:t>градська</w:t>
            </w:r>
          </w:p>
        </w:tc>
        <w:tc>
          <w:tcPr>
            <w:tcW w:w="887" w:type="dxa"/>
            <w:shd w:val="clear" w:color="auto" w:fill="auto"/>
            <w:noWrap/>
            <w:hideMark/>
          </w:tcPr>
          <w:p w:rsidR="00356AB8" w:rsidRPr="00356AB8" w:rsidRDefault="00356AB8" w:rsidP="00144BB4">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133,19</w:t>
            </w:r>
          </w:p>
        </w:tc>
        <w:tc>
          <w:tcPr>
            <w:tcW w:w="924" w:type="dxa"/>
            <w:shd w:val="clear" w:color="auto" w:fill="auto"/>
            <w:noWrap/>
            <w:hideMark/>
          </w:tcPr>
          <w:p w:rsidR="00356AB8" w:rsidRPr="00356AB8" w:rsidRDefault="00356AB8" w:rsidP="00144BB4">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127,94</w:t>
            </w:r>
          </w:p>
        </w:tc>
        <w:tc>
          <w:tcPr>
            <w:tcW w:w="975" w:type="dxa"/>
            <w:shd w:val="clear" w:color="auto" w:fill="auto"/>
          </w:tcPr>
          <w:p w:rsidR="00356AB8" w:rsidRPr="00356AB8" w:rsidRDefault="00356AB8" w:rsidP="00144BB4">
            <w:pPr>
              <w:tabs>
                <w:tab w:val="left" w:pos="993"/>
              </w:tabs>
              <w:spacing w:line="276" w:lineRule="auto"/>
              <w:jc w:val="center"/>
              <w:rPr>
                <w:rFonts w:eastAsia="Times New Roman"/>
                <w:bCs/>
                <w:color w:val="000000"/>
                <w:sz w:val="24"/>
                <w:szCs w:val="24"/>
                <w:lang w:eastAsia="ru-RU"/>
              </w:rPr>
            </w:pPr>
            <w:r w:rsidRPr="00356AB8">
              <w:rPr>
                <w:rFonts w:eastAsia="Times New Roman"/>
                <w:bCs/>
                <w:color w:val="000000"/>
                <w:sz w:val="24"/>
                <w:szCs w:val="24"/>
                <w:lang w:eastAsia="ru-RU"/>
              </w:rPr>
              <w:t>96,06</w:t>
            </w:r>
          </w:p>
        </w:tc>
        <w:tc>
          <w:tcPr>
            <w:tcW w:w="992" w:type="dxa"/>
            <w:shd w:val="clear" w:color="auto" w:fill="auto"/>
            <w:noWrap/>
            <w:hideMark/>
          </w:tcPr>
          <w:p w:rsidR="00356AB8" w:rsidRPr="00356AB8" w:rsidRDefault="00356AB8" w:rsidP="00144BB4">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106,53</w:t>
            </w:r>
          </w:p>
        </w:tc>
        <w:tc>
          <w:tcPr>
            <w:tcW w:w="992" w:type="dxa"/>
            <w:shd w:val="clear" w:color="auto" w:fill="auto"/>
            <w:noWrap/>
            <w:hideMark/>
          </w:tcPr>
          <w:p w:rsidR="00356AB8" w:rsidRPr="00356AB8" w:rsidRDefault="00356AB8" w:rsidP="00144BB4">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101,17</w:t>
            </w:r>
          </w:p>
        </w:tc>
        <w:tc>
          <w:tcPr>
            <w:tcW w:w="992" w:type="dxa"/>
            <w:shd w:val="clear" w:color="auto" w:fill="auto"/>
          </w:tcPr>
          <w:p w:rsidR="00356AB8" w:rsidRPr="00356AB8" w:rsidRDefault="00356AB8" w:rsidP="00144BB4">
            <w:pPr>
              <w:tabs>
                <w:tab w:val="left" w:pos="993"/>
              </w:tabs>
              <w:spacing w:line="276" w:lineRule="auto"/>
              <w:jc w:val="center"/>
              <w:rPr>
                <w:rFonts w:eastAsia="Times New Roman"/>
                <w:bCs/>
                <w:color w:val="000000"/>
                <w:sz w:val="24"/>
                <w:szCs w:val="24"/>
                <w:lang w:eastAsia="ru-RU"/>
              </w:rPr>
            </w:pPr>
            <w:r w:rsidRPr="00356AB8">
              <w:rPr>
                <w:rFonts w:eastAsia="Times New Roman"/>
                <w:bCs/>
                <w:color w:val="000000"/>
                <w:sz w:val="24"/>
                <w:szCs w:val="24"/>
                <w:lang w:eastAsia="ru-RU"/>
              </w:rPr>
              <w:t>94,97</w:t>
            </w:r>
          </w:p>
        </w:tc>
        <w:tc>
          <w:tcPr>
            <w:tcW w:w="993" w:type="dxa"/>
            <w:shd w:val="clear" w:color="auto" w:fill="auto"/>
            <w:noWrap/>
            <w:hideMark/>
          </w:tcPr>
          <w:p w:rsidR="00356AB8" w:rsidRPr="00356AB8" w:rsidRDefault="00356AB8" w:rsidP="00144BB4">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656,50</w:t>
            </w:r>
          </w:p>
        </w:tc>
        <w:tc>
          <w:tcPr>
            <w:tcW w:w="953" w:type="dxa"/>
            <w:shd w:val="clear" w:color="auto" w:fill="auto"/>
            <w:noWrap/>
            <w:hideMark/>
          </w:tcPr>
          <w:p w:rsidR="00356AB8" w:rsidRPr="00356AB8" w:rsidRDefault="00356AB8" w:rsidP="00144BB4">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543,48</w:t>
            </w:r>
          </w:p>
        </w:tc>
        <w:tc>
          <w:tcPr>
            <w:tcW w:w="889" w:type="dxa"/>
            <w:shd w:val="clear" w:color="auto" w:fill="auto"/>
          </w:tcPr>
          <w:p w:rsidR="00356AB8" w:rsidRPr="00356AB8" w:rsidRDefault="00356AB8" w:rsidP="00144BB4">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82,78</w:t>
            </w:r>
          </w:p>
        </w:tc>
      </w:tr>
      <w:tr w:rsidR="00356AB8" w:rsidRPr="00356AB8" w:rsidTr="004933F4">
        <w:trPr>
          <w:trHeight w:val="315"/>
          <w:jc w:val="center"/>
        </w:trPr>
        <w:tc>
          <w:tcPr>
            <w:tcW w:w="1642" w:type="dxa"/>
            <w:shd w:val="clear" w:color="auto" w:fill="auto"/>
            <w:noWrap/>
            <w:hideMark/>
          </w:tcPr>
          <w:p w:rsidR="00356AB8" w:rsidRPr="00356AB8" w:rsidRDefault="00356AB8" w:rsidP="00144BB4">
            <w:pPr>
              <w:tabs>
                <w:tab w:val="left" w:pos="993"/>
              </w:tabs>
              <w:spacing w:line="276" w:lineRule="auto"/>
              <w:jc w:val="left"/>
              <w:rPr>
                <w:rFonts w:eastAsia="Times New Roman"/>
                <w:color w:val="000000"/>
                <w:sz w:val="24"/>
                <w:szCs w:val="24"/>
                <w:lang w:eastAsia="ru-RU"/>
              </w:rPr>
            </w:pPr>
            <w:r w:rsidRPr="00356AB8">
              <w:rPr>
                <w:rFonts w:eastAsia="Times New Roman"/>
                <w:color w:val="000000"/>
                <w:sz w:val="24"/>
                <w:szCs w:val="24"/>
                <w:lang w:eastAsia="ru-RU"/>
              </w:rPr>
              <w:t>Луганська</w:t>
            </w:r>
          </w:p>
        </w:tc>
        <w:tc>
          <w:tcPr>
            <w:tcW w:w="887" w:type="dxa"/>
            <w:shd w:val="clear" w:color="auto" w:fill="auto"/>
            <w:noWrap/>
            <w:hideMark/>
          </w:tcPr>
          <w:p w:rsidR="00356AB8" w:rsidRPr="00356AB8" w:rsidRDefault="00356AB8" w:rsidP="00144BB4">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145,65</w:t>
            </w:r>
          </w:p>
        </w:tc>
        <w:tc>
          <w:tcPr>
            <w:tcW w:w="924" w:type="dxa"/>
            <w:shd w:val="clear" w:color="auto" w:fill="auto"/>
            <w:noWrap/>
            <w:hideMark/>
          </w:tcPr>
          <w:p w:rsidR="00356AB8" w:rsidRPr="00356AB8" w:rsidRDefault="00356AB8" w:rsidP="00144BB4">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166,99</w:t>
            </w:r>
          </w:p>
        </w:tc>
        <w:tc>
          <w:tcPr>
            <w:tcW w:w="975" w:type="dxa"/>
            <w:shd w:val="clear" w:color="auto" w:fill="auto"/>
          </w:tcPr>
          <w:p w:rsidR="00356AB8" w:rsidRPr="00356AB8" w:rsidRDefault="00356AB8" w:rsidP="00144BB4">
            <w:pPr>
              <w:tabs>
                <w:tab w:val="left" w:pos="993"/>
              </w:tabs>
              <w:spacing w:line="276" w:lineRule="auto"/>
              <w:jc w:val="center"/>
              <w:rPr>
                <w:rFonts w:eastAsia="Times New Roman"/>
                <w:bCs/>
                <w:color w:val="000000"/>
                <w:sz w:val="24"/>
                <w:szCs w:val="24"/>
                <w:lang w:eastAsia="ru-RU"/>
              </w:rPr>
            </w:pPr>
            <w:r w:rsidRPr="00356AB8">
              <w:rPr>
                <w:rFonts w:eastAsia="Times New Roman"/>
                <w:bCs/>
                <w:color w:val="000000"/>
                <w:sz w:val="24"/>
                <w:szCs w:val="24"/>
                <w:lang w:eastAsia="ru-RU"/>
              </w:rPr>
              <w:t>114,65</w:t>
            </w:r>
          </w:p>
        </w:tc>
        <w:tc>
          <w:tcPr>
            <w:tcW w:w="992" w:type="dxa"/>
            <w:shd w:val="clear" w:color="auto" w:fill="auto"/>
            <w:noWrap/>
            <w:hideMark/>
          </w:tcPr>
          <w:p w:rsidR="00356AB8" w:rsidRPr="00356AB8" w:rsidRDefault="00356AB8" w:rsidP="00144BB4">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122,55</w:t>
            </w:r>
          </w:p>
        </w:tc>
        <w:tc>
          <w:tcPr>
            <w:tcW w:w="992" w:type="dxa"/>
            <w:shd w:val="clear" w:color="auto" w:fill="auto"/>
            <w:noWrap/>
            <w:hideMark/>
          </w:tcPr>
          <w:p w:rsidR="00356AB8" w:rsidRPr="00356AB8" w:rsidRDefault="00356AB8" w:rsidP="00144BB4">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138,50</w:t>
            </w:r>
          </w:p>
        </w:tc>
        <w:tc>
          <w:tcPr>
            <w:tcW w:w="992" w:type="dxa"/>
            <w:shd w:val="clear" w:color="auto" w:fill="auto"/>
          </w:tcPr>
          <w:p w:rsidR="00356AB8" w:rsidRPr="00356AB8" w:rsidRDefault="00356AB8" w:rsidP="00144BB4">
            <w:pPr>
              <w:tabs>
                <w:tab w:val="left" w:pos="993"/>
              </w:tabs>
              <w:spacing w:line="276" w:lineRule="auto"/>
              <w:jc w:val="center"/>
              <w:rPr>
                <w:rFonts w:eastAsia="Times New Roman"/>
                <w:bCs/>
                <w:color w:val="000000"/>
                <w:sz w:val="24"/>
                <w:szCs w:val="24"/>
                <w:lang w:eastAsia="ru-RU"/>
              </w:rPr>
            </w:pPr>
            <w:r w:rsidRPr="00356AB8">
              <w:rPr>
                <w:rFonts w:eastAsia="Times New Roman"/>
                <w:bCs/>
                <w:color w:val="000000"/>
                <w:sz w:val="24"/>
                <w:szCs w:val="24"/>
                <w:lang w:eastAsia="ru-RU"/>
              </w:rPr>
              <w:t>113,02</w:t>
            </w:r>
          </w:p>
        </w:tc>
        <w:tc>
          <w:tcPr>
            <w:tcW w:w="993" w:type="dxa"/>
            <w:shd w:val="clear" w:color="auto" w:fill="auto"/>
            <w:noWrap/>
            <w:hideMark/>
          </w:tcPr>
          <w:p w:rsidR="00356AB8" w:rsidRPr="00356AB8" w:rsidRDefault="00356AB8" w:rsidP="00144BB4">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616,58</w:t>
            </w:r>
          </w:p>
        </w:tc>
        <w:tc>
          <w:tcPr>
            <w:tcW w:w="953" w:type="dxa"/>
            <w:shd w:val="clear" w:color="auto" w:fill="auto"/>
            <w:noWrap/>
            <w:hideMark/>
          </w:tcPr>
          <w:p w:rsidR="00356AB8" w:rsidRPr="00356AB8" w:rsidRDefault="00356AB8" w:rsidP="00144BB4">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709,50</w:t>
            </w:r>
          </w:p>
        </w:tc>
        <w:tc>
          <w:tcPr>
            <w:tcW w:w="889" w:type="dxa"/>
            <w:shd w:val="clear" w:color="auto" w:fill="auto"/>
          </w:tcPr>
          <w:p w:rsidR="00356AB8" w:rsidRPr="00356AB8" w:rsidRDefault="00356AB8" w:rsidP="00144BB4">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115,07</w:t>
            </w:r>
          </w:p>
        </w:tc>
      </w:tr>
    </w:tbl>
    <w:p w:rsidR="002A5036" w:rsidRDefault="002A5036" w:rsidP="00144BB4">
      <w:pPr>
        <w:jc w:val="right"/>
        <w:rPr>
          <w:i/>
        </w:rPr>
      </w:pPr>
    </w:p>
    <w:p w:rsidR="00144BB4" w:rsidRPr="00144BB4" w:rsidRDefault="00144BB4" w:rsidP="00185B43">
      <w:pPr>
        <w:pageBreakBefore/>
        <w:jc w:val="right"/>
        <w:rPr>
          <w:i/>
        </w:rPr>
      </w:pPr>
      <w:r w:rsidRPr="00144BB4">
        <w:rPr>
          <w:i/>
        </w:rPr>
        <w:lastRenderedPageBreak/>
        <w:t>Продовження табл. 4.5</w:t>
      </w:r>
    </w:p>
    <w:tbl>
      <w:tblPr>
        <w:tblW w:w="10259" w:type="dxa"/>
        <w:jc w:val="center"/>
        <w:tblInd w:w="3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53"/>
        <w:gridCol w:w="887"/>
        <w:gridCol w:w="924"/>
        <w:gridCol w:w="882"/>
        <w:gridCol w:w="895"/>
        <w:gridCol w:w="948"/>
        <w:gridCol w:w="1007"/>
        <w:gridCol w:w="1008"/>
        <w:gridCol w:w="1015"/>
        <w:gridCol w:w="940"/>
      </w:tblGrid>
      <w:tr w:rsidR="00356AB8" w:rsidRPr="00356AB8" w:rsidTr="00F52A88">
        <w:trPr>
          <w:trHeight w:val="315"/>
          <w:jc w:val="center"/>
        </w:trPr>
        <w:tc>
          <w:tcPr>
            <w:tcW w:w="1753" w:type="dxa"/>
            <w:shd w:val="clear" w:color="auto" w:fill="auto"/>
            <w:noWrap/>
            <w:hideMark/>
          </w:tcPr>
          <w:p w:rsidR="00356AB8" w:rsidRPr="00356AB8" w:rsidRDefault="00356AB8" w:rsidP="00144BB4">
            <w:pPr>
              <w:tabs>
                <w:tab w:val="left" w:pos="993"/>
              </w:tabs>
              <w:spacing w:line="276" w:lineRule="auto"/>
              <w:jc w:val="left"/>
              <w:rPr>
                <w:rFonts w:eastAsia="Times New Roman"/>
                <w:color w:val="000000"/>
                <w:sz w:val="24"/>
                <w:szCs w:val="24"/>
                <w:lang w:eastAsia="ru-RU"/>
              </w:rPr>
            </w:pPr>
            <w:r w:rsidRPr="00356AB8">
              <w:rPr>
                <w:rFonts w:eastAsia="Times New Roman"/>
                <w:color w:val="000000"/>
                <w:sz w:val="24"/>
                <w:szCs w:val="24"/>
                <w:lang w:eastAsia="ru-RU"/>
              </w:rPr>
              <w:t>Львівська</w:t>
            </w:r>
          </w:p>
        </w:tc>
        <w:tc>
          <w:tcPr>
            <w:tcW w:w="887" w:type="dxa"/>
            <w:shd w:val="clear" w:color="auto" w:fill="auto"/>
            <w:noWrap/>
            <w:hideMark/>
          </w:tcPr>
          <w:p w:rsidR="00356AB8" w:rsidRPr="00356AB8" w:rsidRDefault="00356AB8" w:rsidP="00144BB4">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103,54</w:t>
            </w:r>
          </w:p>
        </w:tc>
        <w:tc>
          <w:tcPr>
            <w:tcW w:w="924" w:type="dxa"/>
            <w:shd w:val="clear" w:color="auto" w:fill="auto"/>
            <w:noWrap/>
            <w:hideMark/>
          </w:tcPr>
          <w:p w:rsidR="00356AB8" w:rsidRPr="00356AB8" w:rsidRDefault="00356AB8" w:rsidP="00144BB4">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119,24</w:t>
            </w:r>
          </w:p>
        </w:tc>
        <w:tc>
          <w:tcPr>
            <w:tcW w:w="882" w:type="dxa"/>
            <w:shd w:val="clear" w:color="auto" w:fill="auto"/>
          </w:tcPr>
          <w:p w:rsidR="00356AB8" w:rsidRPr="00356AB8" w:rsidRDefault="00356AB8" w:rsidP="00144BB4">
            <w:pPr>
              <w:tabs>
                <w:tab w:val="left" w:pos="993"/>
              </w:tabs>
              <w:spacing w:line="276" w:lineRule="auto"/>
              <w:jc w:val="center"/>
              <w:rPr>
                <w:rFonts w:eastAsia="Times New Roman"/>
                <w:bCs/>
                <w:color w:val="000000"/>
                <w:sz w:val="24"/>
                <w:szCs w:val="24"/>
                <w:lang w:eastAsia="ru-RU"/>
              </w:rPr>
            </w:pPr>
            <w:r w:rsidRPr="00356AB8">
              <w:rPr>
                <w:rFonts w:eastAsia="Times New Roman"/>
                <w:bCs/>
                <w:color w:val="000000"/>
                <w:sz w:val="24"/>
                <w:szCs w:val="24"/>
                <w:lang w:eastAsia="ru-RU"/>
              </w:rPr>
              <w:t>115,16</w:t>
            </w:r>
          </w:p>
        </w:tc>
        <w:tc>
          <w:tcPr>
            <w:tcW w:w="895" w:type="dxa"/>
            <w:shd w:val="clear" w:color="auto" w:fill="auto"/>
            <w:noWrap/>
            <w:hideMark/>
          </w:tcPr>
          <w:p w:rsidR="00356AB8" w:rsidRPr="00356AB8" w:rsidRDefault="00356AB8" w:rsidP="00144BB4">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65,05</w:t>
            </w:r>
          </w:p>
        </w:tc>
        <w:tc>
          <w:tcPr>
            <w:tcW w:w="948" w:type="dxa"/>
            <w:shd w:val="clear" w:color="auto" w:fill="auto"/>
            <w:noWrap/>
            <w:hideMark/>
          </w:tcPr>
          <w:p w:rsidR="00356AB8" w:rsidRPr="00356AB8" w:rsidRDefault="00356AB8" w:rsidP="00144BB4">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73,25</w:t>
            </w:r>
          </w:p>
        </w:tc>
        <w:tc>
          <w:tcPr>
            <w:tcW w:w="1007" w:type="dxa"/>
            <w:shd w:val="clear" w:color="auto" w:fill="auto"/>
          </w:tcPr>
          <w:p w:rsidR="00356AB8" w:rsidRPr="00356AB8" w:rsidRDefault="00356AB8" w:rsidP="00144BB4">
            <w:pPr>
              <w:tabs>
                <w:tab w:val="left" w:pos="993"/>
              </w:tabs>
              <w:spacing w:line="276" w:lineRule="auto"/>
              <w:jc w:val="center"/>
              <w:rPr>
                <w:rFonts w:eastAsia="Times New Roman"/>
                <w:bCs/>
                <w:color w:val="000000"/>
                <w:sz w:val="24"/>
                <w:szCs w:val="24"/>
                <w:lang w:eastAsia="ru-RU"/>
              </w:rPr>
            </w:pPr>
            <w:r w:rsidRPr="00356AB8">
              <w:rPr>
                <w:rFonts w:eastAsia="Times New Roman"/>
                <w:bCs/>
                <w:color w:val="000000"/>
                <w:sz w:val="24"/>
                <w:szCs w:val="24"/>
                <w:lang w:eastAsia="ru-RU"/>
              </w:rPr>
              <w:t>112,61</w:t>
            </w:r>
          </w:p>
        </w:tc>
        <w:tc>
          <w:tcPr>
            <w:tcW w:w="1008" w:type="dxa"/>
            <w:shd w:val="clear" w:color="auto" w:fill="auto"/>
            <w:noWrap/>
            <w:hideMark/>
          </w:tcPr>
          <w:p w:rsidR="00356AB8" w:rsidRPr="00356AB8" w:rsidRDefault="00356AB8" w:rsidP="00144BB4">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986,22</w:t>
            </w:r>
          </w:p>
        </w:tc>
        <w:tc>
          <w:tcPr>
            <w:tcW w:w="1015" w:type="dxa"/>
            <w:shd w:val="clear" w:color="auto" w:fill="auto"/>
            <w:noWrap/>
            <w:hideMark/>
          </w:tcPr>
          <w:p w:rsidR="00356AB8" w:rsidRPr="00356AB8" w:rsidRDefault="00356AB8" w:rsidP="00144BB4">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973,46</w:t>
            </w:r>
          </w:p>
        </w:tc>
        <w:tc>
          <w:tcPr>
            <w:tcW w:w="940" w:type="dxa"/>
            <w:shd w:val="clear" w:color="auto" w:fill="auto"/>
          </w:tcPr>
          <w:p w:rsidR="00356AB8" w:rsidRPr="00356AB8" w:rsidRDefault="00356AB8" w:rsidP="00144BB4">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98,71</w:t>
            </w:r>
          </w:p>
        </w:tc>
      </w:tr>
      <w:tr w:rsidR="00356AB8" w:rsidRPr="00356AB8" w:rsidTr="00F52A88">
        <w:trPr>
          <w:trHeight w:val="315"/>
          <w:jc w:val="center"/>
        </w:trPr>
        <w:tc>
          <w:tcPr>
            <w:tcW w:w="1753" w:type="dxa"/>
            <w:shd w:val="clear" w:color="auto" w:fill="auto"/>
            <w:noWrap/>
            <w:hideMark/>
          </w:tcPr>
          <w:p w:rsidR="00356AB8" w:rsidRPr="00356AB8" w:rsidRDefault="00356AB8" w:rsidP="00144BB4">
            <w:pPr>
              <w:tabs>
                <w:tab w:val="left" w:pos="993"/>
              </w:tabs>
              <w:spacing w:line="276" w:lineRule="auto"/>
              <w:jc w:val="left"/>
              <w:rPr>
                <w:rFonts w:eastAsia="Times New Roman"/>
                <w:color w:val="000000"/>
                <w:sz w:val="24"/>
                <w:szCs w:val="24"/>
                <w:lang w:eastAsia="ru-RU"/>
              </w:rPr>
            </w:pPr>
            <w:r w:rsidRPr="00356AB8">
              <w:rPr>
                <w:rFonts w:eastAsia="Times New Roman"/>
                <w:color w:val="000000"/>
                <w:sz w:val="24"/>
                <w:szCs w:val="24"/>
                <w:lang w:eastAsia="ru-RU"/>
              </w:rPr>
              <w:t>Миколаївська</w:t>
            </w:r>
          </w:p>
        </w:tc>
        <w:tc>
          <w:tcPr>
            <w:tcW w:w="887" w:type="dxa"/>
            <w:shd w:val="clear" w:color="auto" w:fill="auto"/>
            <w:noWrap/>
            <w:hideMark/>
          </w:tcPr>
          <w:p w:rsidR="00356AB8" w:rsidRPr="00356AB8" w:rsidRDefault="00356AB8" w:rsidP="00144BB4">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123,79</w:t>
            </w:r>
          </w:p>
        </w:tc>
        <w:tc>
          <w:tcPr>
            <w:tcW w:w="924" w:type="dxa"/>
            <w:shd w:val="clear" w:color="auto" w:fill="auto"/>
            <w:noWrap/>
            <w:hideMark/>
          </w:tcPr>
          <w:p w:rsidR="00356AB8" w:rsidRPr="00356AB8" w:rsidRDefault="00356AB8" w:rsidP="00144BB4">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138,24</w:t>
            </w:r>
          </w:p>
        </w:tc>
        <w:tc>
          <w:tcPr>
            <w:tcW w:w="882" w:type="dxa"/>
            <w:shd w:val="clear" w:color="auto" w:fill="auto"/>
          </w:tcPr>
          <w:p w:rsidR="00356AB8" w:rsidRPr="00356AB8" w:rsidRDefault="00356AB8" w:rsidP="00144BB4">
            <w:pPr>
              <w:tabs>
                <w:tab w:val="left" w:pos="993"/>
              </w:tabs>
              <w:spacing w:line="276" w:lineRule="auto"/>
              <w:jc w:val="center"/>
              <w:rPr>
                <w:rFonts w:eastAsia="Times New Roman"/>
                <w:bCs/>
                <w:color w:val="000000"/>
                <w:sz w:val="24"/>
                <w:szCs w:val="24"/>
                <w:lang w:eastAsia="ru-RU"/>
              </w:rPr>
            </w:pPr>
            <w:r w:rsidRPr="00356AB8">
              <w:rPr>
                <w:rFonts w:eastAsia="Times New Roman"/>
                <w:bCs/>
                <w:color w:val="000000"/>
                <w:sz w:val="24"/>
                <w:szCs w:val="24"/>
                <w:lang w:eastAsia="ru-RU"/>
              </w:rPr>
              <w:t>111,67</w:t>
            </w:r>
          </w:p>
        </w:tc>
        <w:tc>
          <w:tcPr>
            <w:tcW w:w="895" w:type="dxa"/>
            <w:shd w:val="clear" w:color="auto" w:fill="auto"/>
            <w:noWrap/>
            <w:hideMark/>
          </w:tcPr>
          <w:p w:rsidR="00356AB8" w:rsidRPr="00356AB8" w:rsidRDefault="00356AB8" w:rsidP="00144BB4">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99,49</w:t>
            </w:r>
          </w:p>
        </w:tc>
        <w:tc>
          <w:tcPr>
            <w:tcW w:w="948" w:type="dxa"/>
            <w:shd w:val="clear" w:color="auto" w:fill="auto"/>
            <w:noWrap/>
            <w:hideMark/>
          </w:tcPr>
          <w:p w:rsidR="00356AB8" w:rsidRPr="00356AB8" w:rsidRDefault="00356AB8" w:rsidP="00144BB4">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107,29</w:t>
            </w:r>
          </w:p>
        </w:tc>
        <w:tc>
          <w:tcPr>
            <w:tcW w:w="1007" w:type="dxa"/>
            <w:shd w:val="clear" w:color="auto" w:fill="auto"/>
          </w:tcPr>
          <w:p w:rsidR="00356AB8" w:rsidRPr="00356AB8" w:rsidRDefault="00356AB8" w:rsidP="00144BB4">
            <w:pPr>
              <w:tabs>
                <w:tab w:val="left" w:pos="993"/>
              </w:tabs>
              <w:spacing w:line="276" w:lineRule="auto"/>
              <w:jc w:val="center"/>
              <w:rPr>
                <w:rFonts w:eastAsia="Times New Roman"/>
                <w:bCs/>
                <w:color w:val="000000"/>
                <w:sz w:val="24"/>
                <w:szCs w:val="24"/>
                <w:lang w:eastAsia="ru-RU"/>
              </w:rPr>
            </w:pPr>
            <w:r w:rsidRPr="00356AB8">
              <w:rPr>
                <w:rFonts w:eastAsia="Times New Roman"/>
                <w:bCs/>
                <w:color w:val="000000"/>
                <w:sz w:val="24"/>
                <w:szCs w:val="24"/>
                <w:lang w:eastAsia="ru-RU"/>
              </w:rPr>
              <w:t>107,84</w:t>
            </w:r>
          </w:p>
        </w:tc>
        <w:tc>
          <w:tcPr>
            <w:tcW w:w="1008" w:type="dxa"/>
            <w:shd w:val="clear" w:color="auto" w:fill="auto"/>
            <w:noWrap/>
            <w:hideMark/>
          </w:tcPr>
          <w:p w:rsidR="00356AB8" w:rsidRPr="00356AB8" w:rsidRDefault="00356AB8" w:rsidP="00144BB4">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689,14</w:t>
            </w:r>
          </w:p>
        </w:tc>
        <w:tc>
          <w:tcPr>
            <w:tcW w:w="1015" w:type="dxa"/>
            <w:shd w:val="clear" w:color="auto" w:fill="auto"/>
            <w:noWrap/>
            <w:hideMark/>
          </w:tcPr>
          <w:p w:rsidR="00356AB8" w:rsidRPr="00356AB8" w:rsidRDefault="00356AB8" w:rsidP="00144BB4">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763,59</w:t>
            </w:r>
          </w:p>
        </w:tc>
        <w:tc>
          <w:tcPr>
            <w:tcW w:w="940" w:type="dxa"/>
            <w:shd w:val="clear" w:color="auto" w:fill="auto"/>
          </w:tcPr>
          <w:p w:rsidR="00356AB8" w:rsidRPr="00356AB8" w:rsidRDefault="00356AB8" w:rsidP="00144BB4">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110,80</w:t>
            </w:r>
          </w:p>
        </w:tc>
      </w:tr>
      <w:tr w:rsidR="00356AB8" w:rsidRPr="00356AB8" w:rsidTr="00F52A88">
        <w:trPr>
          <w:trHeight w:val="315"/>
          <w:jc w:val="center"/>
        </w:trPr>
        <w:tc>
          <w:tcPr>
            <w:tcW w:w="1753" w:type="dxa"/>
            <w:shd w:val="clear" w:color="auto" w:fill="auto"/>
            <w:noWrap/>
            <w:hideMark/>
          </w:tcPr>
          <w:p w:rsidR="00356AB8" w:rsidRPr="00356AB8" w:rsidRDefault="00356AB8" w:rsidP="00144BB4">
            <w:pPr>
              <w:tabs>
                <w:tab w:val="left" w:pos="993"/>
              </w:tabs>
              <w:spacing w:line="276" w:lineRule="auto"/>
              <w:jc w:val="left"/>
              <w:rPr>
                <w:rFonts w:eastAsia="Times New Roman"/>
                <w:color w:val="000000"/>
                <w:sz w:val="24"/>
                <w:szCs w:val="24"/>
                <w:lang w:eastAsia="ru-RU"/>
              </w:rPr>
            </w:pPr>
            <w:r w:rsidRPr="00356AB8">
              <w:rPr>
                <w:rFonts w:eastAsia="Times New Roman"/>
                <w:color w:val="000000"/>
                <w:sz w:val="24"/>
                <w:szCs w:val="24"/>
                <w:lang w:eastAsia="ru-RU"/>
              </w:rPr>
              <w:t>Одеська</w:t>
            </w:r>
          </w:p>
        </w:tc>
        <w:tc>
          <w:tcPr>
            <w:tcW w:w="887" w:type="dxa"/>
            <w:shd w:val="clear" w:color="auto" w:fill="auto"/>
            <w:noWrap/>
            <w:hideMark/>
          </w:tcPr>
          <w:p w:rsidR="00356AB8" w:rsidRPr="00356AB8" w:rsidRDefault="00356AB8" w:rsidP="00144BB4">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155,30</w:t>
            </w:r>
          </w:p>
        </w:tc>
        <w:tc>
          <w:tcPr>
            <w:tcW w:w="924" w:type="dxa"/>
            <w:shd w:val="clear" w:color="auto" w:fill="auto"/>
            <w:noWrap/>
            <w:hideMark/>
          </w:tcPr>
          <w:p w:rsidR="00356AB8" w:rsidRPr="00356AB8" w:rsidRDefault="00356AB8" w:rsidP="00144BB4">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179,39</w:t>
            </w:r>
          </w:p>
        </w:tc>
        <w:tc>
          <w:tcPr>
            <w:tcW w:w="882" w:type="dxa"/>
            <w:shd w:val="clear" w:color="auto" w:fill="auto"/>
          </w:tcPr>
          <w:p w:rsidR="00356AB8" w:rsidRPr="00356AB8" w:rsidRDefault="00356AB8" w:rsidP="00144BB4">
            <w:pPr>
              <w:tabs>
                <w:tab w:val="left" w:pos="993"/>
              </w:tabs>
              <w:spacing w:line="276" w:lineRule="auto"/>
              <w:jc w:val="center"/>
              <w:rPr>
                <w:rFonts w:eastAsia="Times New Roman"/>
                <w:bCs/>
                <w:color w:val="000000"/>
                <w:sz w:val="24"/>
                <w:szCs w:val="24"/>
                <w:lang w:eastAsia="ru-RU"/>
              </w:rPr>
            </w:pPr>
            <w:r w:rsidRPr="00356AB8">
              <w:rPr>
                <w:rFonts w:eastAsia="Times New Roman"/>
                <w:bCs/>
                <w:color w:val="000000"/>
                <w:sz w:val="24"/>
                <w:szCs w:val="24"/>
                <w:lang w:eastAsia="ru-RU"/>
              </w:rPr>
              <w:t>115,51</w:t>
            </w:r>
          </w:p>
        </w:tc>
        <w:tc>
          <w:tcPr>
            <w:tcW w:w="895" w:type="dxa"/>
            <w:shd w:val="clear" w:color="auto" w:fill="auto"/>
            <w:noWrap/>
            <w:hideMark/>
          </w:tcPr>
          <w:p w:rsidR="00356AB8" w:rsidRPr="00356AB8" w:rsidRDefault="00356AB8" w:rsidP="00144BB4">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119,89</w:t>
            </w:r>
          </w:p>
        </w:tc>
        <w:tc>
          <w:tcPr>
            <w:tcW w:w="948" w:type="dxa"/>
            <w:shd w:val="clear" w:color="auto" w:fill="auto"/>
            <w:noWrap/>
            <w:hideMark/>
          </w:tcPr>
          <w:p w:rsidR="00356AB8" w:rsidRPr="00356AB8" w:rsidRDefault="00356AB8" w:rsidP="00144BB4">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139,15</w:t>
            </w:r>
          </w:p>
        </w:tc>
        <w:tc>
          <w:tcPr>
            <w:tcW w:w="1007" w:type="dxa"/>
            <w:shd w:val="clear" w:color="auto" w:fill="auto"/>
          </w:tcPr>
          <w:p w:rsidR="00356AB8" w:rsidRPr="00356AB8" w:rsidRDefault="00356AB8" w:rsidP="00144BB4">
            <w:pPr>
              <w:tabs>
                <w:tab w:val="left" w:pos="993"/>
              </w:tabs>
              <w:spacing w:line="276" w:lineRule="auto"/>
              <w:jc w:val="center"/>
              <w:rPr>
                <w:rFonts w:eastAsia="Times New Roman"/>
                <w:bCs/>
                <w:color w:val="000000"/>
                <w:sz w:val="24"/>
                <w:szCs w:val="24"/>
                <w:lang w:eastAsia="ru-RU"/>
              </w:rPr>
            </w:pPr>
            <w:r w:rsidRPr="00356AB8">
              <w:rPr>
                <w:rFonts w:eastAsia="Times New Roman"/>
                <w:bCs/>
                <w:color w:val="000000"/>
                <w:sz w:val="24"/>
                <w:szCs w:val="24"/>
                <w:lang w:eastAsia="ru-RU"/>
              </w:rPr>
              <w:t>116,06</w:t>
            </w:r>
          </w:p>
        </w:tc>
        <w:tc>
          <w:tcPr>
            <w:tcW w:w="1008" w:type="dxa"/>
            <w:shd w:val="clear" w:color="auto" w:fill="auto"/>
            <w:noWrap/>
            <w:hideMark/>
          </w:tcPr>
          <w:p w:rsidR="00356AB8" w:rsidRPr="00356AB8" w:rsidRDefault="00356AB8" w:rsidP="00144BB4">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901,71</w:t>
            </w:r>
          </w:p>
        </w:tc>
        <w:tc>
          <w:tcPr>
            <w:tcW w:w="1015" w:type="dxa"/>
            <w:shd w:val="clear" w:color="auto" w:fill="auto"/>
            <w:noWrap/>
            <w:hideMark/>
          </w:tcPr>
          <w:p w:rsidR="00356AB8" w:rsidRPr="00356AB8" w:rsidRDefault="00356AB8" w:rsidP="00144BB4">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913,63</w:t>
            </w:r>
          </w:p>
        </w:tc>
        <w:tc>
          <w:tcPr>
            <w:tcW w:w="940" w:type="dxa"/>
            <w:shd w:val="clear" w:color="auto" w:fill="auto"/>
          </w:tcPr>
          <w:p w:rsidR="00356AB8" w:rsidRPr="00356AB8" w:rsidRDefault="00356AB8" w:rsidP="00144BB4">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101,32</w:t>
            </w:r>
          </w:p>
        </w:tc>
      </w:tr>
      <w:tr w:rsidR="00144BB4" w:rsidRPr="00356AB8" w:rsidTr="00F52A88">
        <w:trPr>
          <w:trHeight w:val="315"/>
          <w:jc w:val="center"/>
        </w:trPr>
        <w:tc>
          <w:tcPr>
            <w:tcW w:w="1753" w:type="dxa"/>
            <w:shd w:val="clear" w:color="auto" w:fill="auto"/>
            <w:noWrap/>
          </w:tcPr>
          <w:p w:rsidR="00144BB4" w:rsidRPr="00356AB8" w:rsidRDefault="00144BB4" w:rsidP="000B1EFA">
            <w:pPr>
              <w:tabs>
                <w:tab w:val="left" w:pos="993"/>
              </w:tabs>
              <w:spacing w:line="276" w:lineRule="auto"/>
              <w:jc w:val="left"/>
              <w:rPr>
                <w:rFonts w:eastAsia="Times New Roman"/>
                <w:color w:val="000000"/>
                <w:sz w:val="24"/>
                <w:szCs w:val="24"/>
                <w:lang w:eastAsia="ru-RU"/>
              </w:rPr>
            </w:pPr>
            <w:r w:rsidRPr="00356AB8">
              <w:rPr>
                <w:rFonts w:eastAsia="Times New Roman"/>
                <w:color w:val="000000"/>
                <w:sz w:val="24"/>
                <w:szCs w:val="24"/>
                <w:lang w:eastAsia="ru-RU"/>
              </w:rPr>
              <w:t>Полтавська</w:t>
            </w:r>
          </w:p>
        </w:tc>
        <w:tc>
          <w:tcPr>
            <w:tcW w:w="887" w:type="dxa"/>
            <w:shd w:val="clear" w:color="auto" w:fill="auto"/>
            <w:noWrap/>
          </w:tcPr>
          <w:p w:rsidR="00144BB4" w:rsidRPr="00356AB8" w:rsidRDefault="00144BB4" w:rsidP="000B1EFA">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165,74</w:t>
            </w:r>
          </w:p>
        </w:tc>
        <w:tc>
          <w:tcPr>
            <w:tcW w:w="924" w:type="dxa"/>
            <w:shd w:val="clear" w:color="auto" w:fill="auto"/>
            <w:noWrap/>
          </w:tcPr>
          <w:p w:rsidR="00144BB4" w:rsidRPr="00356AB8" w:rsidRDefault="00144BB4" w:rsidP="000B1EFA">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216,85</w:t>
            </w:r>
          </w:p>
        </w:tc>
        <w:tc>
          <w:tcPr>
            <w:tcW w:w="882" w:type="dxa"/>
            <w:shd w:val="clear" w:color="auto" w:fill="auto"/>
          </w:tcPr>
          <w:p w:rsidR="00144BB4" w:rsidRPr="00356AB8" w:rsidRDefault="00144BB4" w:rsidP="000B1EFA">
            <w:pPr>
              <w:tabs>
                <w:tab w:val="left" w:pos="993"/>
              </w:tabs>
              <w:spacing w:line="276" w:lineRule="auto"/>
              <w:jc w:val="center"/>
              <w:rPr>
                <w:rFonts w:eastAsia="Times New Roman"/>
                <w:bCs/>
                <w:color w:val="000000"/>
                <w:sz w:val="24"/>
                <w:szCs w:val="24"/>
                <w:lang w:eastAsia="ru-RU"/>
              </w:rPr>
            </w:pPr>
            <w:r w:rsidRPr="00356AB8">
              <w:rPr>
                <w:rFonts w:eastAsia="Times New Roman"/>
                <w:bCs/>
                <w:color w:val="000000"/>
                <w:sz w:val="24"/>
                <w:szCs w:val="24"/>
                <w:lang w:eastAsia="ru-RU"/>
              </w:rPr>
              <w:t>130,84</w:t>
            </w:r>
          </w:p>
        </w:tc>
        <w:tc>
          <w:tcPr>
            <w:tcW w:w="895" w:type="dxa"/>
            <w:shd w:val="clear" w:color="auto" w:fill="auto"/>
            <w:noWrap/>
          </w:tcPr>
          <w:p w:rsidR="00144BB4" w:rsidRPr="00356AB8" w:rsidRDefault="00144BB4" w:rsidP="000B1EFA">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136,14</w:t>
            </w:r>
          </w:p>
        </w:tc>
        <w:tc>
          <w:tcPr>
            <w:tcW w:w="948" w:type="dxa"/>
            <w:shd w:val="clear" w:color="auto" w:fill="auto"/>
            <w:noWrap/>
          </w:tcPr>
          <w:p w:rsidR="00144BB4" w:rsidRPr="00356AB8" w:rsidRDefault="00144BB4" w:rsidP="000B1EFA">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163,22</w:t>
            </w:r>
          </w:p>
        </w:tc>
        <w:tc>
          <w:tcPr>
            <w:tcW w:w="1007" w:type="dxa"/>
            <w:shd w:val="clear" w:color="auto" w:fill="auto"/>
          </w:tcPr>
          <w:p w:rsidR="00144BB4" w:rsidRPr="00356AB8" w:rsidRDefault="00144BB4" w:rsidP="000B1EFA">
            <w:pPr>
              <w:tabs>
                <w:tab w:val="left" w:pos="993"/>
              </w:tabs>
              <w:spacing w:line="276" w:lineRule="auto"/>
              <w:jc w:val="center"/>
              <w:rPr>
                <w:rFonts w:eastAsia="Times New Roman"/>
                <w:bCs/>
                <w:color w:val="000000"/>
                <w:sz w:val="24"/>
                <w:szCs w:val="24"/>
                <w:lang w:eastAsia="ru-RU"/>
              </w:rPr>
            </w:pPr>
            <w:r w:rsidRPr="00356AB8">
              <w:rPr>
                <w:rFonts w:eastAsia="Times New Roman"/>
                <w:bCs/>
                <w:color w:val="000000"/>
                <w:sz w:val="24"/>
                <w:szCs w:val="24"/>
                <w:lang w:eastAsia="ru-RU"/>
              </w:rPr>
              <w:t>119,89</w:t>
            </w:r>
          </w:p>
        </w:tc>
        <w:tc>
          <w:tcPr>
            <w:tcW w:w="1008" w:type="dxa"/>
            <w:shd w:val="clear" w:color="auto" w:fill="auto"/>
            <w:noWrap/>
          </w:tcPr>
          <w:p w:rsidR="00144BB4" w:rsidRPr="00356AB8" w:rsidRDefault="00144BB4" w:rsidP="000B1EFA">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675,44</w:t>
            </w:r>
          </w:p>
        </w:tc>
        <w:tc>
          <w:tcPr>
            <w:tcW w:w="1015" w:type="dxa"/>
            <w:shd w:val="clear" w:color="auto" w:fill="auto"/>
            <w:noWrap/>
          </w:tcPr>
          <w:p w:rsidR="00144BB4" w:rsidRPr="00356AB8" w:rsidRDefault="00144BB4" w:rsidP="000B1EFA">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858,96</w:t>
            </w:r>
          </w:p>
        </w:tc>
        <w:tc>
          <w:tcPr>
            <w:tcW w:w="940" w:type="dxa"/>
            <w:shd w:val="clear" w:color="auto" w:fill="auto"/>
          </w:tcPr>
          <w:p w:rsidR="00144BB4" w:rsidRPr="00356AB8" w:rsidRDefault="00144BB4" w:rsidP="000B1EFA">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127,17</w:t>
            </w:r>
          </w:p>
        </w:tc>
      </w:tr>
      <w:tr w:rsidR="00144BB4" w:rsidRPr="00356AB8" w:rsidTr="00F52A88">
        <w:trPr>
          <w:trHeight w:val="315"/>
          <w:jc w:val="center"/>
        </w:trPr>
        <w:tc>
          <w:tcPr>
            <w:tcW w:w="1753" w:type="dxa"/>
            <w:shd w:val="clear" w:color="auto" w:fill="auto"/>
            <w:noWrap/>
          </w:tcPr>
          <w:p w:rsidR="00144BB4" w:rsidRPr="00356AB8" w:rsidRDefault="00144BB4" w:rsidP="000B1EFA">
            <w:pPr>
              <w:tabs>
                <w:tab w:val="left" w:pos="993"/>
              </w:tabs>
              <w:spacing w:line="276" w:lineRule="auto"/>
              <w:jc w:val="left"/>
              <w:rPr>
                <w:rFonts w:eastAsia="Times New Roman"/>
                <w:color w:val="000000"/>
                <w:sz w:val="24"/>
                <w:szCs w:val="24"/>
                <w:lang w:eastAsia="ru-RU"/>
              </w:rPr>
            </w:pPr>
            <w:r w:rsidRPr="00356AB8">
              <w:rPr>
                <w:rFonts w:eastAsia="Times New Roman"/>
                <w:color w:val="000000"/>
                <w:sz w:val="24"/>
                <w:szCs w:val="24"/>
                <w:lang w:eastAsia="ru-RU"/>
              </w:rPr>
              <w:t>Рівненська</w:t>
            </w:r>
          </w:p>
        </w:tc>
        <w:tc>
          <w:tcPr>
            <w:tcW w:w="887" w:type="dxa"/>
            <w:shd w:val="clear" w:color="auto" w:fill="auto"/>
            <w:noWrap/>
          </w:tcPr>
          <w:p w:rsidR="00144BB4" w:rsidRPr="00356AB8" w:rsidRDefault="00144BB4" w:rsidP="000B1EFA">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199,77</w:t>
            </w:r>
          </w:p>
        </w:tc>
        <w:tc>
          <w:tcPr>
            <w:tcW w:w="924" w:type="dxa"/>
            <w:shd w:val="clear" w:color="auto" w:fill="auto"/>
            <w:noWrap/>
          </w:tcPr>
          <w:p w:rsidR="00144BB4" w:rsidRPr="00356AB8" w:rsidRDefault="00144BB4" w:rsidP="000B1EFA">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182,10</w:t>
            </w:r>
          </w:p>
        </w:tc>
        <w:tc>
          <w:tcPr>
            <w:tcW w:w="882" w:type="dxa"/>
            <w:shd w:val="clear" w:color="auto" w:fill="auto"/>
          </w:tcPr>
          <w:p w:rsidR="00144BB4" w:rsidRPr="00356AB8" w:rsidRDefault="00144BB4" w:rsidP="000B1EFA">
            <w:pPr>
              <w:tabs>
                <w:tab w:val="left" w:pos="993"/>
              </w:tabs>
              <w:spacing w:line="276" w:lineRule="auto"/>
              <w:jc w:val="center"/>
              <w:rPr>
                <w:rFonts w:eastAsia="Times New Roman"/>
                <w:bCs/>
                <w:color w:val="000000"/>
                <w:sz w:val="24"/>
                <w:szCs w:val="24"/>
                <w:lang w:eastAsia="ru-RU"/>
              </w:rPr>
            </w:pPr>
            <w:r w:rsidRPr="00356AB8">
              <w:rPr>
                <w:rFonts w:eastAsia="Times New Roman"/>
                <w:bCs/>
                <w:color w:val="000000"/>
                <w:sz w:val="24"/>
                <w:szCs w:val="24"/>
                <w:lang w:eastAsia="ru-RU"/>
              </w:rPr>
              <w:t>91,15</w:t>
            </w:r>
          </w:p>
        </w:tc>
        <w:tc>
          <w:tcPr>
            <w:tcW w:w="895" w:type="dxa"/>
            <w:shd w:val="clear" w:color="auto" w:fill="auto"/>
            <w:noWrap/>
          </w:tcPr>
          <w:p w:rsidR="00144BB4" w:rsidRPr="00356AB8" w:rsidRDefault="00144BB4" w:rsidP="000B1EFA">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175,42</w:t>
            </w:r>
          </w:p>
        </w:tc>
        <w:tc>
          <w:tcPr>
            <w:tcW w:w="948" w:type="dxa"/>
            <w:shd w:val="clear" w:color="auto" w:fill="auto"/>
            <w:noWrap/>
          </w:tcPr>
          <w:p w:rsidR="00144BB4" w:rsidRPr="00356AB8" w:rsidRDefault="00144BB4" w:rsidP="000B1EFA">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152,39</w:t>
            </w:r>
          </w:p>
        </w:tc>
        <w:tc>
          <w:tcPr>
            <w:tcW w:w="1007" w:type="dxa"/>
            <w:shd w:val="clear" w:color="auto" w:fill="auto"/>
          </w:tcPr>
          <w:p w:rsidR="00144BB4" w:rsidRPr="00356AB8" w:rsidRDefault="00144BB4" w:rsidP="000B1EFA">
            <w:pPr>
              <w:tabs>
                <w:tab w:val="left" w:pos="993"/>
              </w:tabs>
              <w:spacing w:line="276" w:lineRule="auto"/>
              <w:jc w:val="center"/>
              <w:rPr>
                <w:rFonts w:eastAsia="Times New Roman"/>
                <w:bCs/>
                <w:color w:val="000000"/>
                <w:sz w:val="24"/>
                <w:szCs w:val="24"/>
                <w:lang w:eastAsia="ru-RU"/>
              </w:rPr>
            </w:pPr>
            <w:r w:rsidRPr="00356AB8">
              <w:rPr>
                <w:rFonts w:eastAsia="Times New Roman"/>
                <w:bCs/>
                <w:color w:val="000000"/>
                <w:sz w:val="24"/>
                <w:szCs w:val="24"/>
                <w:lang w:eastAsia="ru-RU"/>
              </w:rPr>
              <w:t>86,87</w:t>
            </w:r>
          </w:p>
        </w:tc>
        <w:tc>
          <w:tcPr>
            <w:tcW w:w="1008" w:type="dxa"/>
            <w:shd w:val="clear" w:color="auto" w:fill="auto"/>
            <w:noWrap/>
          </w:tcPr>
          <w:p w:rsidR="00144BB4" w:rsidRPr="00356AB8" w:rsidRDefault="00144BB4" w:rsidP="000B1EFA">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708,75</w:t>
            </w:r>
          </w:p>
        </w:tc>
        <w:tc>
          <w:tcPr>
            <w:tcW w:w="1015" w:type="dxa"/>
            <w:shd w:val="clear" w:color="auto" w:fill="auto"/>
            <w:noWrap/>
          </w:tcPr>
          <w:p w:rsidR="00144BB4" w:rsidRPr="00356AB8" w:rsidRDefault="00144BB4" w:rsidP="000B1EFA">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843,27</w:t>
            </w:r>
          </w:p>
        </w:tc>
        <w:tc>
          <w:tcPr>
            <w:tcW w:w="940" w:type="dxa"/>
            <w:shd w:val="clear" w:color="auto" w:fill="auto"/>
          </w:tcPr>
          <w:p w:rsidR="00144BB4" w:rsidRPr="00356AB8" w:rsidRDefault="00144BB4" w:rsidP="000B1EFA">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118,98</w:t>
            </w:r>
          </w:p>
        </w:tc>
      </w:tr>
      <w:tr w:rsidR="00144BB4" w:rsidRPr="00356AB8" w:rsidTr="00F52A88">
        <w:trPr>
          <w:trHeight w:val="315"/>
          <w:jc w:val="center"/>
        </w:trPr>
        <w:tc>
          <w:tcPr>
            <w:tcW w:w="1753" w:type="dxa"/>
            <w:shd w:val="clear" w:color="auto" w:fill="auto"/>
            <w:noWrap/>
          </w:tcPr>
          <w:p w:rsidR="00144BB4" w:rsidRPr="00356AB8" w:rsidRDefault="00144BB4" w:rsidP="000B1EFA">
            <w:pPr>
              <w:tabs>
                <w:tab w:val="left" w:pos="993"/>
              </w:tabs>
              <w:spacing w:line="276" w:lineRule="auto"/>
              <w:jc w:val="left"/>
              <w:rPr>
                <w:rFonts w:eastAsia="Times New Roman"/>
                <w:color w:val="000000"/>
                <w:sz w:val="24"/>
                <w:szCs w:val="24"/>
                <w:lang w:eastAsia="ru-RU"/>
              </w:rPr>
            </w:pPr>
            <w:r w:rsidRPr="00356AB8">
              <w:rPr>
                <w:rFonts w:eastAsia="Times New Roman"/>
                <w:color w:val="000000"/>
                <w:sz w:val="24"/>
                <w:szCs w:val="24"/>
                <w:lang w:eastAsia="ru-RU"/>
              </w:rPr>
              <w:t>Сумська</w:t>
            </w:r>
          </w:p>
        </w:tc>
        <w:tc>
          <w:tcPr>
            <w:tcW w:w="887" w:type="dxa"/>
            <w:shd w:val="clear" w:color="auto" w:fill="auto"/>
            <w:noWrap/>
          </w:tcPr>
          <w:p w:rsidR="00144BB4" w:rsidRPr="00356AB8" w:rsidRDefault="00144BB4" w:rsidP="000B1EFA">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142,60</w:t>
            </w:r>
          </w:p>
        </w:tc>
        <w:tc>
          <w:tcPr>
            <w:tcW w:w="924" w:type="dxa"/>
            <w:shd w:val="clear" w:color="auto" w:fill="auto"/>
            <w:noWrap/>
          </w:tcPr>
          <w:p w:rsidR="00144BB4" w:rsidRPr="00356AB8" w:rsidRDefault="00144BB4" w:rsidP="000B1EFA">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157,43</w:t>
            </w:r>
          </w:p>
        </w:tc>
        <w:tc>
          <w:tcPr>
            <w:tcW w:w="882" w:type="dxa"/>
            <w:shd w:val="clear" w:color="auto" w:fill="auto"/>
          </w:tcPr>
          <w:p w:rsidR="00144BB4" w:rsidRPr="00356AB8" w:rsidRDefault="00144BB4" w:rsidP="000B1EFA">
            <w:pPr>
              <w:tabs>
                <w:tab w:val="left" w:pos="993"/>
              </w:tabs>
              <w:spacing w:line="276" w:lineRule="auto"/>
              <w:jc w:val="center"/>
              <w:rPr>
                <w:rFonts w:eastAsia="Times New Roman"/>
                <w:bCs/>
                <w:color w:val="000000"/>
                <w:sz w:val="24"/>
                <w:szCs w:val="24"/>
                <w:lang w:eastAsia="ru-RU"/>
              </w:rPr>
            </w:pPr>
            <w:r w:rsidRPr="00356AB8">
              <w:rPr>
                <w:rFonts w:eastAsia="Times New Roman"/>
                <w:bCs/>
                <w:color w:val="000000"/>
                <w:sz w:val="24"/>
                <w:szCs w:val="24"/>
                <w:lang w:eastAsia="ru-RU"/>
              </w:rPr>
              <w:t>110,40</w:t>
            </w:r>
          </w:p>
        </w:tc>
        <w:tc>
          <w:tcPr>
            <w:tcW w:w="895" w:type="dxa"/>
            <w:shd w:val="clear" w:color="auto" w:fill="auto"/>
            <w:noWrap/>
          </w:tcPr>
          <w:p w:rsidR="00144BB4" w:rsidRPr="00356AB8" w:rsidRDefault="00144BB4" w:rsidP="000B1EFA">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121,16</w:t>
            </w:r>
          </w:p>
        </w:tc>
        <w:tc>
          <w:tcPr>
            <w:tcW w:w="948" w:type="dxa"/>
            <w:shd w:val="clear" w:color="auto" w:fill="auto"/>
            <w:noWrap/>
          </w:tcPr>
          <w:p w:rsidR="00144BB4" w:rsidRPr="00356AB8" w:rsidRDefault="00144BB4" w:rsidP="000B1EFA">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129,64</w:t>
            </w:r>
          </w:p>
        </w:tc>
        <w:tc>
          <w:tcPr>
            <w:tcW w:w="1007" w:type="dxa"/>
            <w:shd w:val="clear" w:color="auto" w:fill="auto"/>
          </w:tcPr>
          <w:p w:rsidR="00144BB4" w:rsidRPr="00356AB8" w:rsidRDefault="00144BB4" w:rsidP="000B1EFA">
            <w:pPr>
              <w:tabs>
                <w:tab w:val="left" w:pos="993"/>
              </w:tabs>
              <w:spacing w:line="276" w:lineRule="auto"/>
              <w:jc w:val="center"/>
              <w:rPr>
                <w:rFonts w:eastAsia="Times New Roman"/>
                <w:bCs/>
                <w:color w:val="000000"/>
                <w:sz w:val="24"/>
                <w:szCs w:val="24"/>
                <w:lang w:eastAsia="ru-RU"/>
              </w:rPr>
            </w:pPr>
            <w:r w:rsidRPr="00356AB8">
              <w:rPr>
                <w:rFonts w:eastAsia="Times New Roman"/>
                <w:bCs/>
                <w:color w:val="000000"/>
                <w:sz w:val="24"/>
                <w:szCs w:val="24"/>
                <w:lang w:eastAsia="ru-RU"/>
              </w:rPr>
              <w:t>107,00</w:t>
            </w:r>
          </w:p>
        </w:tc>
        <w:tc>
          <w:tcPr>
            <w:tcW w:w="1008" w:type="dxa"/>
            <w:shd w:val="clear" w:color="auto" w:fill="auto"/>
            <w:noWrap/>
          </w:tcPr>
          <w:p w:rsidR="00144BB4" w:rsidRPr="00356AB8" w:rsidRDefault="00144BB4" w:rsidP="000B1EFA">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662,53</w:t>
            </w:r>
          </w:p>
        </w:tc>
        <w:tc>
          <w:tcPr>
            <w:tcW w:w="1015" w:type="dxa"/>
            <w:shd w:val="clear" w:color="auto" w:fill="auto"/>
            <w:noWrap/>
          </w:tcPr>
          <w:p w:rsidR="00144BB4" w:rsidRPr="00356AB8" w:rsidRDefault="00144BB4" w:rsidP="000B1EFA">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813,15</w:t>
            </w:r>
          </w:p>
        </w:tc>
        <w:tc>
          <w:tcPr>
            <w:tcW w:w="940" w:type="dxa"/>
            <w:shd w:val="clear" w:color="auto" w:fill="auto"/>
          </w:tcPr>
          <w:p w:rsidR="00144BB4" w:rsidRPr="00356AB8" w:rsidRDefault="00144BB4" w:rsidP="000B1EFA">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122,73</w:t>
            </w:r>
          </w:p>
        </w:tc>
      </w:tr>
      <w:tr w:rsidR="00144BB4" w:rsidRPr="00356AB8" w:rsidTr="00F52A88">
        <w:trPr>
          <w:trHeight w:val="315"/>
          <w:jc w:val="center"/>
        </w:trPr>
        <w:tc>
          <w:tcPr>
            <w:tcW w:w="1753" w:type="dxa"/>
            <w:shd w:val="clear" w:color="auto" w:fill="auto"/>
            <w:noWrap/>
          </w:tcPr>
          <w:p w:rsidR="00144BB4" w:rsidRPr="00356AB8" w:rsidRDefault="00144BB4" w:rsidP="000B1EFA">
            <w:pPr>
              <w:tabs>
                <w:tab w:val="left" w:pos="993"/>
              </w:tabs>
              <w:spacing w:line="276" w:lineRule="auto"/>
              <w:jc w:val="left"/>
              <w:rPr>
                <w:rFonts w:eastAsia="Times New Roman"/>
                <w:color w:val="000000"/>
                <w:sz w:val="24"/>
                <w:szCs w:val="24"/>
                <w:lang w:eastAsia="ru-RU"/>
              </w:rPr>
            </w:pPr>
            <w:r w:rsidRPr="00356AB8">
              <w:rPr>
                <w:rFonts w:eastAsia="Times New Roman"/>
                <w:color w:val="000000"/>
                <w:sz w:val="24"/>
                <w:szCs w:val="24"/>
                <w:lang w:eastAsia="ru-RU"/>
              </w:rPr>
              <w:t>Тернопільська</w:t>
            </w:r>
          </w:p>
        </w:tc>
        <w:tc>
          <w:tcPr>
            <w:tcW w:w="887" w:type="dxa"/>
            <w:shd w:val="clear" w:color="auto" w:fill="auto"/>
            <w:noWrap/>
          </w:tcPr>
          <w:p w:rsidR="00144BB4" w:rsidRPr="00356AB8" w:rsidRDefault="00144BB4" w:rsidP="000B1EFA">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112,02</w:t>
            </w:r>
          </w:p>
        </w:tc>
        <w:tc>
          <w:tcPr>
            <w:tcW w:w="924" w:type="dxa"/>
            <w:shd w:val="clear" w:color="auto" w:fill="auto"/>
            <w:noWrap/>
          </w:tcPr>
          <w:p w:rsidR="00144BB4" w:rsidRPr="00356AB8" w:rsidRDefault="00144BB4" w:rsidP="000B1EFA">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113,96</w:t>
            </w:r>
          </w:p>
        </w:tc>
        <w:tc>
          <w:tcPr>
            <w:tcW w:w="882" w:type="dxa"/>
            <w:shd w:val="clear" w:color="auto" w:fill="auto"/>
          </w:tcPr>
          <w:p w:rsidR="00144BB4" w:rsidRPr="00356AB8" w:rsidRDefault="00144BB4" w:rsidP="000B1EFA">
            <w:pPr>
              <w:tabs>
                <w:tab w:val="left" w:pos="993"/>
              </w:tabs>
              <w:spacing w:line="276" w:lineRule="auto"/>
              <w:jc w:val="center"/>
              <w:rPr>
                <w:rFonts w:eastAsia="Times New Roman"/>
                <w:bCs/>
                <w:color w:val="000000"/>
                <w:sz w:val="24"/>
                <w:szCs w:val="24"/>
                <w:lang w:eastAsia="ru-RU"/>
              </w:rPr>
            </w:pPr>
            <w:r w:rsidRPr="00356AB8">
              <w:rPr>
                <w:rFonts w:eastAsia="Times New Roman"/>
                <w:bCs/>
                <w:color w:val="000000"/>
                <w:sz w:val="24"/>
                <w:szCs w:val="24"/>
                <w:lang w:eastAsia="ru-RU"/>
              </w:rPr>
              <w:t>101,73</w:t>
            </w:r>
          </w:p>
        </w:tc>
        <w:tc>
          <w:tcPr>
            <w:tcW w:w="895" w:type="dxa"/>
            <w:shd w:val="clear" w:color="auto" w:fill="auto"/>
            <w:noWrap/>
          </w:tcPr>
          <w:p w:rsidR="00144BB4" w:rsidRPr="00356AB8" w:rsidRDefault="00144BB4" w:rsidP="000B1EFA">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79,41</w:t>
            </w:r>
          </w:p>
        </w:tc>
        <w:tc>
          <w:tcPr>
            <w:tcW w:w="948" w:type="dxa"/>
            <w:shd w:val="clear" w:color="auto" w:fill="auto"/>
            <w:noWrap/>
          </w:tcPr>
          <w:p w:rsidR="00144BB4" w:rsidRPr="00356AB8" w:rsidRDefault="00144BB4" w:rsidP="000B1EFA">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78,22</w:t>
            </w:r>
          </w:p>
        </w:tc>
        <w:tc>
          <w:tcPr>
            <w:tcW w:w="1007" w:type="dxa"/>
            <w:shd w:val="clear" w:color="auto" w:fill="auto"/>
          </w:tcPr>
          <w:p w:rsidR="00144BB4" w:rsidRPr="00356AB8" w:rsidRDefault="00144BB4" w:rsidP="000B1EFA">
            <w:pPr>
              <w:tabs>
                <w:tab w:val="left" w:pos="993"/>
              </w:tabs>
              <w:spacing w:line="276" w:lineRule="auto"/>
              <w:jc w:val="center"/>
              <w:rPr>
                <w:rFonts w:eastAsia="Times New Roman"/>
                <w:bCs/>
                <w:color w:val="000000"/>
                <w:sz w:val="24"/>
                <w:szCs w:val="24"/>
                <w:lang w:eastAsia="ru-RU"/>
              </w:rPr>
            </w:pPr>
            <w:r w:rsidRPr="00356AB8">
              <w:rPr>
                <w:rFonts w:eastAsia="Times New Roman"/>
                <w:bCs/>
                <w:color w:val="000000"/>
                <w:sz w:val="24"/>
                <w:szCs w:val="24"/>
                <w:lang w:eastAsia="ru-RU"/>
              </w:rPr>
              <w:t>98,50</w:t>
            </w:r>
          </w:p>
        </w:tc>
        <w:tc>
          <w:tcPr>
            <w:tcW w:w="1008" w:type="dxa"/>
            <w:shd w:val="clear" w:color="auto" w:fill="auto"/>
            <w:noWrap/>
          </w:tcPr>
          <w:p w:rsidR="00144BB4" w:rsidRPr="00356AB8" w:rsidRDefault="00144BB4" w:rsidP="000B1EFA">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1000,00</w:t>
            </w:r>
          </w:p>
        </w:tc>
        <w:tc>
          <w:tcPr>
            <w:tcW w:w="1015" w:type="dxa"/>
            <w:shd w:val="clear" w:color="auto" w:fill="auto"/>
            <w:noWrap/>
          </w:tcPr>
          <w:p w:rsidR="00144BB4" w:rsidRPr="00356AB8" w:rsidRDefault="00144BB4" w:rsidP="000B1EFA">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911,85</w:t>
            </w:r>
          </w:p>
        </w:tc>
        <w:tc>
          <w:tcPr>
            <w:tcW w:w="940" w:type="dxa"/>
            <w:shd w:val="clear" w:color="auto" w:fill="auto"/>
          </w:tcPr>
          <w:p w:rsidR="00144BB4" w:rsidRPr="00356AB8" w:rsidRDefault="00144BB4" w:rsidP="000B1EFA">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91,19</w:t>
            </w:r>
          </w:p>
        </w:tc>
      </w:tr>
      <w:tr w:rsidR="00144BB4" w:rsidRPr="00356AB8" w:rsidTr="00F52A88">
        <w:trPr>
          <w:trHeight w:val="315"/>
          <w:jc w:val="center"/>
        </w:trPr>
        <w:tc>
          <w:tcPr>
            <w:tcW w:w="1753" w:type="dxa"/>
            <w:shd w:val="clear" w:color="auto" w:fill="auto"/>
            <w:noWrap/>
          </w:tcPr>
          <w:p w:rsidR="00144BB4" w:rsidRPr="00356AB8" w:rsidRDefault="00144BB4" w:rsidP="000B1EFA">
            <w:pPr>
              <w:tabs>
                <w:tab w:val="left" w:pos="993"/>
              </w:tabs>
              <w:spacing w:line="276" w:lineRule="auto"/>
              <w:jc w:val="left"/>
              <w:rPr>
                <w:rFonts w:eastAsia="Times New Roman"/>
                <w:color w:val="000000"/>
                <w:sz w:val="24"/>
                <w:szCs w:val="24"/>
                <w:lang w:eastAsia="ru-RU"/>
              </w:rPr>
            </w:pPr>
            <w:r w:rsidRPr="00356AB8">
              <w:rPr>
                <w:rFonts w:eastAsia="Times New Roman"/>
                <w:color w:val="000000"/>
                <w:sz w:val="24"/>
                <w:szCs w:val="24"/>
                <w:lang w:eastAsia="ru-RU"/>
              </w:rPr>
              <w:t>Харківська</w:t>
            </w:r>
          </w:p>
        </w:tc>
        <w:tc>
          <w:tcPr>
            <w:tcW w:w="887" w:type="dxa"/>
            <w:shd w:val="clear" w:color="auto" w:fill="auto"/>
            <w:noWrap/>
          </w:tcPr>
          <w:p w:rsidR="00144BB4" w:rsidRPr="00356AB8" w:rsidRDefault="00144BB4" w:rsidP="000B1EFA">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154,99</w:t>
            </w:r>
          </w:p>
        </w:tc>
        <w:tc>
          <w:tcPr>
            <w:tcW w:w="924" w:type="dxa"/>
            <w:shd w:val="clear" w:color="auto" w:fill="auto"/>
            <w:noWrap/>
          </w:tcPr>
          <w:p w:rsidR="00144BB4" w:rsidRPr="00356AB8" w:rsidRDefault="00144BB4" w:rsidP="000B1EFA">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161,88</w:t>
            </w:r>
          </w:p>
        </w:tc>
        <w:tc>
          <w:tcPr>
            <w:tcW w:w="882" w:type="dxa"/>
            <w:shd w:val="clear" w:color="auto" w:fill="auto"/>
          </w:tcPr>
          <w:p w:rsidR="00144BB4" w:rsidRPr="00356AB8" w:rsidRDefault="00144BB4" w:rsidP="000B1EFA">
            <w:pPr>
              <w:tabs>
                <w:tab w:val="left" w:pos="993"/>
              </w:tabs>
              <w:spacing w:line="276" w:lineRule="auto"/>
              <w:jc w:val="center"/>
              <w:rPr>
                <w:rFonts w:eastAsia="Times New Roman"/>
                <w:bCs/>
                <w:color w:val="000000"/>
                <w:sz w:val="24"/>
                <w:szCs w:val="24"/>
                <w:lang w:eastAsia="ru-RU"/>
              </w:rPr>
            </w:pPr>
            <w:r w:rsidRPr="00356AB8">
              <w:rPr>
                <w:rFonts w:eastAsia="Times New Roman"/>
                <w:bCs/>
                <w:color w:val="000000"/>
                <w:sz w:val="24"/>
                <w:szCs w:val="24"/>
                <w:lang w:eastAsia="ru-RU"/>
              </w:rPr>
              <w:t>104,45</w:t>
            </w:r>
          </w:p>
        </w:tc>
        <w:tc>
          <w:tcPr>
            <w:tcW w:w="895" w:type="dxa"/>
            <w:shd w:val="clear" w:color="auto" w:fill="auto"/>
            <w:noWrap/>
          </w:tcPr>
          <w:p w:rsidR="00144BB4" w:rsidRPr="00356AB8" w:rsidRDefault="00144BB4" w:rsidP="000B1EFA">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124,86</w:t>
            </w:r>
          </w:p>
        </w:tc>
        <w:tc>
          <w:tcPr>
            <w:tcW w:w="948" w:type="dxa"/>
            <w:shd w:val="clear" w:color="auto" w:fill="auto"/>
            <w:noWrap/>
          </w:tcPr>
          <w:p w:rsidR="00144BB4" w:rsidRPr="00356AB8" w:rsidRDefault="00144BB4" w:rsidP="000B1EFA">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129,51</w:t>
            </w:r>
          </w:p>
        </w:tc>
        <w:tc>
          <w:tcPr>
            <w:tcW w:w="1007" w:type="dxa"/>
            <w:shd w:val="clear" w:color="auto" w:fill="auto"/>
          </w:tcPr>
          <w:p w:rsidR="00144BB4" w:rsidRPr="00356AB8" w:rsidRDefault="00144BB4" w:rsidP="000B1EFA">
            <w:pPr>
              <w:tabs>
                <w:tab w:val="left" w:pos="993"/>
              </w:tabs>
              <w:spacing w:line="276" w:lineRule="auto"/>
              <w:jc w:val="center"/>
              <w:rPr>
                <w:rFonts w:eastAsia="Times New Roman"/>
                <w:bCs/>
                <w:color w:val="000000"/>
                <w:sz w:val="24"/>
                <w:szCs w:val="24"/>
                <w:lang w:eastAsia="ru-RU"/>
              </w:rPr>
            </w:pPr>
            <w:r w:rsidRPr="00356AB8">
              <w:rPr>
                <w:rFonts w:eastAsia="Times New Roman"/>
                <w:bCs/>
                <w:color w:val="000000"/>
                <w:sz w:val="24"/>
                <w:szCs w:val="24"/>
                <w:lang w:eastAsia="ru-RU"/>
              </w:rPr>
              <w:t>103,72</w:t>
            </w:r>
          </w:p>
        </w:tc>
        <w:tc>
          <w:tcPr>
            <w:tcW w:w="1008" w:type="dxa"/>
            <w:shd w:val="clear" w:color="auto" w:fill="auto"/>
            <w:noWrap/>
          </w:tcPr>
          <w:p w:rsidR="00144BB4" w:rsidRPr="00356AB8" w:rsidRDefault="00144BB4" w:rsidP="000B1EFA">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766,75</w:t>
            </w:r>
          </w:p>
        </w:tc>
        <w:tc>
          <w:tcPr>
            <w:tcW w:w="1015" w:type="dxa"/>
            <w:shd w:val="clear" w:color="auto" w:fill="auto"/>
            <w:noWrap/>
          </w:tcPr>
          <w:p w:rsidR="00144BB4" w:rsidRPr="00356AB8" w:rsidRDefault="00144BB4" w:rsidP="000B1EFA">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808,58</w:t>
            </w:r>
          </w:p>
        </w:tc>
        <w:tc>
          <w:tcPr>
            <w:tcW w:w="940" w:type="dxa"/>
            <w:shd w:val="clear" w:color="auto" w:fill="auto"/>
          </w:tcPr>
          <w:p w:rsidR="00144BB4" w:rsidRPr="00356AB8" w:rsidRDefault="00144BB4" w:rsidP="000B1EFA">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105,46</w:t>
            </w:r>
          </w:p>
        </w:tc>
      </w:tr>
      <w:tr w:rsidR="00144BB4" w:rsidRPr="00356AB8" w:rsidTr="00F52A88">
        <w:trPr>
          <w:trHeight w:val="315"/>
          <w:jc w:val="center"/>
        </w:trPr>
        <w:tc>
          <w:tcPr>
            <w:tcW w:w="1753" w:type="dxa"/>
            <w:shd w:val="clear" w:color="auto" w:fill="auto"/>
            <w:noWrap/>
          </w:tcPr>
          <w:p w:rsidR="00144BB4" w:rsidRPr="00356AB8" w:rsidRDefault="00144BB4" w:rsidP="000B1EFA">
            <w:pPr>
              <w:tabs>
                <w:tab w:val="left" w:pos="993"/>
              </w:tabs>
              <w:spacing w:line="276" w:lineRule="auto"/>
              <w:jc w:val="left"/>
              <w:rPr>
                <w:rFonts w:eastAsia="Times New Roman"/>
                <w:color w:val="000000"/>
                <w:sz w:val="24"/>
                <w:szCs w:val="24"/>
                <w:lang w:eastAsia="ru-RU"/>
              </w:rPr>
            </w:pPr>
            <w:r w:rsidRPr="00356AB8">
              <w:rPr>
                <w:rFonts w:eastAsia="Times New Roman"/>
                <w:color w:val="000000"/>
                <w:sz w:val="24"/>
                <w:szCs w:val="24"/>
                <w:lang w:eastAsia="ru-RU"/>
              </w:rPr>
              <w:t>Херсонська</w:t>
            </w:r>
          </w:p>
        </w:tc>
        <w:tc>
          <w:tcPr>
            <w:tcW w:w="887" w:type="dxa"/>
            <w:shd w:val="clear" w:color="auto" w:fill="auto"/>
            <w:noWrap/>
          </w:tcPr>
          <w:p w:rsidR="00144BB4" w:rsidRPr="00356AB8" w:rsidRDefault="00144BB4" w:rsidP="000B1EFA">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137,25</w:t>
            </w:r>
          </w:p>
        </w:tc>
        <w:tc>
          <w:tcPr>
            <w:tcW w:w="924" w:type="dxa"/>
            <w:shd w:val="clear" w:color="auto" w:fill="auto"/>
            <w:noWrap/>
          </w:tcPr>
          <w:p w:rsidR="00144BB4" w:rsidRPr="00356AB8" w:rsidRDefault="00144BB4" w:rsidP="000B1EFA">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165,79</w:t>
            </w:r>
          </w:p>
        </w:tc>
        <w:tc>
          <w:tcPr>
            <w:tcW w:w="882" w:type="dxa"/>
            <w:shd w:val="clear" w:color="auto" w:fill="auto"/>
          </w:tcPr>
          <w:p w:rsidR="00144BB4" w:rsidRPr="00356AB8" w:rsidRDefault="00144BB4" w:rsidP="000B1EFA">
            <w:pPr>
              <w:tabs>
                <w:tab w:val="left" w:pos="993"/>
              </w:tabs>
              <w:spacing w:line="276" w:lineRule="auto"/>
              <w:jc w:val="center"/>
              <w:rPr>
                <w:rFonts w:eastAsia="Times New Roman"/>
                <w:bCs/>
                <w:color w:val="000000"/>
                <w:sz w:val="24"/>
                <w:szCs w:val="24"/>
                <w:lang w:eastAsia="ru-RU"/>
              </w:rPr>
            </w:pPr>
            <w:r w:rsidRPr="00356AB8">
              <w:rPr>
                <w:rFonts w:eastAsia="Times New Roman"/>
                <w:bCs/>
                <w:color w:val="000000"/>
                <w:sz w:val="24"/>
                <w:szCs w:val="24"/>
                <w:lang w:eastAsia="ru-RU"/>
              </w:rPr>
              <w:t>120,79</w:t>
            </w:r>
          </w:p>
        </w:tc>
        <w:tc>
          <w:tcPr>
            <w:tcW w:w="895" w:type="dxa"/>
            <w:shd w:val="clear" w:color="auto" w:fill="auto"/>
            <w:noWrap/>
          </w:tcPr>
          <w:p w:rsidR="00144BB4" w:rsidRPr="00356AB8" w:rsidRDefault="00144BB4" w:rsidP="000B1EFA">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101,31</w:t>
            </w:r>
          </w:p>
        </w:tc>
        <w:tc>
          <w:tcPr>
            <w:tcW w:w="948" w:type="dxa"/>
            <w:shd w:val="clear" w:color="auto" w:fill="auto"/>
            <w:noWrap/>
          </w:tcPr>
          <w:p w:rsidR="00144BB4" w:rsidRPr="00356AB8" w:rsidRDefault="00144BB4" w:rsidP="000B1EFA">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122,69</w:t>
            </w:r>
          </w:p>
        </w:tc>
        <w:tc>
          <w:tcPr>
            <w:tcW w:w="1007" w:type="dxa"/>
            <w:shd w:val="clear" w:color="auto" w:fill="auto"/>
          </w:tcPr>
          <w:p w:rsidR="00144BB4" w:rsidRPr="00356AB8" w:rsidRDefault="00144BB4" w:rsidP="000B1EFA">
            <w:pPr>
              <w:tabs>
                <w:tab w:val="left" w:pos="993"/>
              </w:tabs>
              <w:spacing w:line="276" w:lineRule="auto"/>
              <w:jc w:val="center"/>
              <w:rPr>
                <w:rFonts w:eastAsia="Times New Roman"/>
                <w:bCs/>
                <w:color w:val="000000"/>
                <w:sz w:val="24"/>
                <w:szCs w:val="24"/>
                <w:lang w:eastAsia="ru-RU"/>
              </w:rPr>
            </w:pPr>
            <w:r w:rsidRPr="00356AB8">
              <w:rPr>
                <w:rFonts w:eastAsia="Times New Roman"/>
                <w:bCs/>
                <w:color w:val="000000"/>
                <w:sz w:val="24"/>
                <w:szCs w:val="24"/>
                <w:lang w:eastAsia="ru-RU"/>
              </w:rPr>
              <w:t>121,10</w:t>
            </w:r>
          </w:p>
        </w:tc>
        <w:tc>
          <w:tcPr>
            <w:tcW w:w="1008" w:type="dxa"/>
            <w:shd w:val="clear" w:color="auto" w:fill="auto"/>
            <w:noWrap/>
          </w:tcPr>
          <w:p w:rsidR="00144BB4" w:rsidRPr="00356AB8" w:rsidRDefault="00144BB4" w:rsidP="000B1EFA">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930,37</w:t>
            </w:r>
          </w:p>
        </w:tc>
        <w:tc>
          <w:tcPr>
            <w:tcW w:w="1015" w:type="dxa"/>
            <w:shd w:val="clear" w:color="auto" w:fill="auto"/>
            <w:noWrap/>
          </w:tcPr>
          <w:p w:rsidR="00144BB4" w:rsidRPr="00356AB8" w:rsidRDefault="00144BB4" w:rsidP="000B1EFA">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1000,00</w:t>
            </w:r>
          </w:p>
        </w:tc>
        <w:tc>
          <w:tcPr>
            <w:tcW w:w="940" w:type="dxa"/>
            <w:shd w:val="clear" w:color="auto" w:fill="auto"/>
          </w:tcPr>
          <w:p w:rsidR="00144BB4" w:rsidRPr="00356AB8" w:rsidRDefault="00144BB4" w:rsidP="000B1EFA">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107,48</w:t>
            </w:r>
          </w:p>
        </w:tc>
      </w:tr>
      <w:tr w:rsidR="00144BB4" w:rsidRPr="00356AB8" w:rsidTr="00F52A88">
        <w:trPr>
          <w:trHeight w:val="315"/>
          <w:jc w:val="center"/>
        </w:trPr>
        <w:tc>
          <w:tcPr>
            <w:tcW w:w="1753" w:type="dxa"/>
            <w:shd w:val="clear" w:color="auto" w:fill="auto"/>
            <w:noWrap/>
          </w:tcPr>
          <w:p w:rsidR="00144BB4" w:rsidRPr="00356AB8" w:rsidRDefault="00144BB4" w:rsidP="000B1EFA">
            <w:pPr>
              <w:tabs>
                <w:tab w:val="left" w:pos="993"/>
              </w:tabs>
              <w:spacing w:line="276" w:lineRule="auto"/>
              <w:jc w:val="left"/>
              <w:rPr>
                <w:rFonts w:eastAsia="Times New Roman"/>
                <w:color w:val="000000"/>
                <w:sz w:val="24"/>
                <w:szCs w:val="24"/>
                <w:lang w:eastAsia="ru-RU"/>
              </w:rPr>
            </w:pPr>
            <w:r w:rsidRPr="00356AB8">
              <w:rPr>
                <w:rFonts w:eastAsia="Times New Roman"/>
                <w:color w:val="000000"/>
                <w:sz w:val="24"/>
                <w:szCs w:val="24"/>
                <w:lang w:eastAsia="ru-RU"/>
              </w:rPr>
              <w:t>Хмельницька</w:t>
            </w:r>
          </w:p>
        </w:tc>
        <w:tc>
          <w:tcPr>
            <w:tcW w:w="887" w:type="dxa"/>
            <w:shd w:val="clear" w:color="auto" w:fill="auto"/>
            <w:noWrap/>
          </w:tcPr>
          <w:p w:rsidR="00144BB4" w:rsidRPr="00356AB8" w:rsidRDefault="00144BB4" w:rsidP="000B1EFA">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190,99</w:t>
            </w:r>
          </w:p>
        </w:tc>
        <w:tc>
          <w:tcPr>
            <w:tcW w:w="924" w:type="dxa"/>
            <w:shd w:val="clear" w:color="auto" w:fill="auto"/>
            <w:noWrap/>
          </w:tcPr>
          <w:p w:rsidR="00144BB4" w:rsidRPr="00356AB8" w:rsidRDefault="00144BB4" w:rsidP="000B1EFA">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217,89</w:t>
            </w:r>
          </w:p>
        </w:tc>
        <w:tc>
          <w:tcPr>
            <w:tcW w:w="882" w:type="dxa"/>
            <w:shd w:val="clear" w:color="auto" w:fill="auto"/>
          </w:tcPr>
          <w:p w:rsidR="00144BB4" w:rsidRPr="00356AB8" w:rsidRDefault="00144BB4" w:rsidP="000B1EFA">
            <w:pPr>
              <w:tabs>
                <w:tab w:val="left" w:pos="993"/>
              </w:tabs>
              <w:spacing w:line="276" w:lineRule="auto"/>
              <w:jc w:val="center"/>
              <w:rPr>
                <w:rFonts w:eastAsia="Times New Roman"/>
                <w:bCs/>
                <w:color w:val="000000"/>
                <w:sz w:val="24"/>
                <w:szCs w:val="24"/>
                <w:lang w:eastAsia="ru-RU"/>
              </w:rPr>
            </w:pPr>
            <w:r w:rsidRPr="00356AB8">
              <w:rPr>
                <w:rFonts w:eastAsia="Times New Roman"/>
                <w:bCs/>
                <w:color w:val="000000"/>
                <w:sz w:val="24"/>
                <w:szCs w:val="24"/>
                <w:lang w:eastAsia="ru-RU"/>
              </w:rPr>
              <w:t>114,08</w:t>
            </w:r>
          </w:p>
        </w:tc>
        <w:tc>
          <w:tcPr>
            <w:tcW w:w="895" w:type="dxa"/>
            <w:shd w:val="clear" w:color="auto" w:fill="auto"/>
            <w:noWrap/>
          </w:tcPr>
          <w:p w:rsidR="00144BB4" w:rsidRPr="00356AB8" w:rsidRDefault="00144BB4" w:rsidP="000B1EFA">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160,86</w:t>
            </w:r>
          </w:p>
        </w:tc>
        <w:tc>
          <w:tcPr>
            <w:tcW w:w="948" w:type="dxa"/>
            <w:shd w:val="clear" w:color="auto" w:fill="auto"/>
            <w:noWrap/>
          </w:tcPr>
          <w:p w:rsidR="00144BB4" w:rsidRPr="00356AB8" w:rsidRDefault="00144BB4" w:rsidP="000B1EFA">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182,16</w:t>
            </w:r>
          </w:p>
        </w:tc>
        <w:tc>
          <w:tcPr>
            <w:tcW w:w="1007" w:type="dxa"/>
            <w:shd w:val="clear" w:color="auto" w:fill="auto"/>
          </w:tcPr>
          <w:p w:rsidR="00144BB4" w:rsidRPr="00356AB8" w:rsidRDefault="00144BB4" w:rsidP="000B1EFA">
            <w:pPr>
              <w:tabs>
                <w:tab w:val="left" w:pos="993"/>
              </w:tabs>
              <w:spacing w:line="276" w:lineRule="auto"/>
              <w:jc w:val="center"/>
              <w:rPr>
                <w:rFonts w:eastAsia="Times New Roman"/>
                <w:bCs/>
                <w:color w:val="000000"/>
                <w:sz w:val="24"/>
                <w:szCs w:val="24"/>
                <w:lang w:eastAsia="ru-RU"/>
              </w:rPr>
            </w:pPr>
            <w:r w:rsidRPr="00356AB8">
              <w:rPr>
                <w:rFonts w:eastAsia="Times New Roman"/>
                <w:bCs/>
                <w:color w:val="000000"/>
                <w:sz w:val="24"/>
                <w:szCs w:val="24"/>
                <w:lang w:eastAsia="ru-RU"/>
              </w:rPr>
              <w:t>113,24</w:t>
            </w:r>
          </w:p>
        </w:tc>
        <w:tc>
          <w:tcPr>
            <w:tcW w:w="1008" w:type="dxa"/>
            <w:shd w:val="clear" w:color="auto" w:fill="auto"/>
            <w:noWrap/>
          </w:tcPr>
          <w:p w:rsidR="00144BB4" w:rsidRPr="00356AB8" w:rsidRDefault="00144BB4" w:rsidP="000B1EFA">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901,86</w:t>
            </w:r>
          </w:p>
        </w:tc>
        <w:tc>
          <w:tcPr>
            <w:tcW w:w="1015" w:type="dxa"/>
            <w:shd w:val="clear" w:color="auto" w:fill="auto"/>
            <w:noWrap/>
          </w:tcPr>
          <w:p w:rsidR="00144BB4" w:rsidRPr="00356AB8" w:rsidRDefault="00144BB4" w:rsidP="000B1EFA">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953,82</w:t>
            </w:r>
          </w:p>
        </w:tc>
        <w:tc>
          <w:tcPr>
            <w:tcW w:w="940" w:type="dxa"/>
            <w:shd w:val="clear" w:color="auto" w:fill="auto"/>
          </w:tcPr>
          <w:p w:rsidR="00144BB4" w:rsidRPr="00356AB8" w:rsidRDefault="00144BB4" w:rsidP="000B1EFA">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105,76</w:t>
            </w:r>
          </w:p>
        </w:tc>
      </w:tr>
      <w:tr w:rsidR="00144BB4" w:rsidRPr="00356AB8" w:rsidTr="00F52A88">
        <w:trPr>
          <w:trHeight w:val="315"/>
          <w:jc w:val="center"/>
        </w:trPr>
        <w:tc>
          <w:tcPr>
            <w:tcW w:w="1753" w:type="dxa"/>
            <w:shd w:val="clear" w:color="auto" w:fill="auto"/>
            <w:noWrap/>
          </w:tcPr>
          <w:p w:rsidR="00144BB4" w:rsidRPr="00356AB8" w:rsidRDefault="00144BB4" w:rsidP="000B1EFA">
            <w:pPr>
              <w:tabs>
                <w:tab w:val="left" w:pos="993"/>
              </w:tabs>
              <w:spacing w:line="276" w:lineRule="auto"/>
              <w:jc w:val="left"/>
              <w:rPr>
                <w:rFonts w:eastAsia="Times New Roman"/>
                <w:color w:val="000000"/>
                <w:sz w:val="24"/>
                <w:szCs w:val="24"/>
                <w:lang w:eastAsia="ru-RU"/>
              </w:rPr>
            </w:pPr>
            <w:r w:rsidRPr="00356AB8">
              <w:rPr>
                <w:rFonts w:eastAsia="Times New Roman"/>
                <w:color w:val="000000"/>
                <w:sz w:val="24"/>
                <w:szCs w:val="24"/>
                <w:lang w:eastAsia="ru-RU"/>
              </w:rPr>
              <w:t>Черкаська</w:t>
            </w:r>
          </w:p>
        </w:tc>
        <w:tc>
          <w:tcPr>
            <w:tcW w:w="887" w:type="dxa"/>
            <w:shd w:val="clear" w:color="auto" w:fill="auto"/>
            <w:noWrap/>
          </w:tcPr>
          <w:p w:rsidR="00144BB4" w:rsidRPr="00356AB8" w:rsidRDefault="00144BB4" w:rsidP="000B1EFA">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136,81</w:t>
            </w:r>
          </w:p>
        </w:tc>
        <w:tc>
          <w:tcPr>
            <w:tcW w:w="924" w:type="dxa"/>
            <w:shd w:val="clear" w:color="auto" w:fill="auto"/>
            <w:noWrap/>
          </w:tcPr>
          <w:p w:rsidR="00144BB4" w:rsidRPr="00356AB8" w:rsidRDefault="00144BB4" w:rsidP="000B1EFA">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143,85</w:t>
            </w:r>
          </w:p>
        </w:tc>
        <w:tc>
          <w:tcPr>
            <w:tcW w:w="882" w:type="dxa"/>
            <w:shd w:val="clear" w:color="auto" w:fill="auto"/>
          </w:tcPr>
          <w:p w:rsidR="00144BB4" w:rsidRPr="00356AB8" w:rsidRDefault="00144BB4" w:rsidP="000B1EFA">
            <w:pPr>
              <w:tabs>
                <w:tab w:val="left" w:pos="993"/>
              </w:tabs>
              <w:spacing w:line="276" w:lineRule="auto"/>
              <w:jc w:val="center"/>
              <w:rPr>
                <w:rFonts w:eastAsia="Times New Roman"/>
                <w:bCs/>
                <w:color w:val="000000"/>
                <w:sz w:val="24"/>
                <w:szCs w:val="24"/>
                <w:lang w:eastAsia="ru-RU"/>
              </w:rPr>
            </w:pPr>
            <w:r w:rsidRPr="00356AB8">
              <w:rPr>
                <w:rFonts w:eastAsia="Times New Roman"/>
                <w:bCs/>
                <w:color w:val="000000"/>
                <w:sz w:val="24"/>
                <w:szCs w:val="24"/>
                <w:lang w:eastAsia="ru-RU"/>
              </w:rPr>
              <w:t>105,15</w:t>
            </w:r>
          </w:p>
        </w:tc>
        <w:tc>
          <w:tcPr>
            <w:tcW w:w="895" w:type="dxa"/>
            <w:shd w:val="clear" w:color="auto" w:fill="auto"/>
            <w:noWrap/>
          </w:tcPr>
          <w:p w:rsidR="00144BB4" w:rsidRPr="00356AB8" w:rsidRDefault="00144BB4" w:rsidP="000B1EFA">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113,01</w:t>
            </w:r>
          </w:p>
        </w:tc>
        <w:tc>
          <w:tcPr>
            <w:tcW w:w="948" w:type="dxa"/>
            <w:shd w:val="clear" w:color="auto" w:fill="auto"/>
            <w:noWrap/>
          </w:tcPr>
          <w:p w:rsidR="00144BB4" w:rsidRPr="00356AB8" w:rsidRDefault="00144BB4" w:rsidP="000B1EFA">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116,58</w:t>
            </w:r>
          </w:p>
        </w:tc>
        <w:tc>
          <w:tcPr>
            <w:tcW w:w="1007" w:type="dxa"/>
            <w:shd w:val="clear" w:color="auto" w:fill="auto"/>
          </w:tcPr>
          <w:p w:rsidR="00144BB4" w:rsidRPr="00356AB8" w:rsidRDefault="00144BB4" w:rsidP="000B1EFA">
            <w:pPr>
              <w:tabs>
                <w:tab w:val="left" w:pos="993"/>
              </w:tabs>
              <w:spacing w:line="276" w:lineRule="auto"/>
              <w:jc w:val="center"/>
              <w:rPr>
                <w:rFonts w:eastAsia="Times New Roman"/>
                <w:bCs/>
                <w:color w:val="000000"/>
                <w:sz w:val="24"/>
                <w:szCs w:val="24"/>
                <w:lang w:eastAsia="ru-RU"/>
              </w:rPr>
            </w:pPr>
            <w:r w:rsidRPr="00356AB8">
              <w:rPr>
                <w:rFonts w:eastAsia="Times New Roman"/>
                <w:bCs/>
                <w:color w:val="000000"/>
                <w:sz w:val="24"/>
                <w:szCs w:val="24"/>
                <w:lang w:eastAsia="ru-RU"/>
              </w:rPr>
              <w:t>103,16</w:t>
            </w:r>
          </w:p>
        </w:tc>
        <w:tc>
          <w:tcPr>
            <w:tcW w:w="1008" w:type="dxa"/>
            <w:shd w:val="clear" w:color="auto" w:fill="auto"/>
            <w:noWrap/>
          </w:tcPr>
          <w:p w:rsidR="00144BB4" w:rsidRPr="00356AB8" w:rsidRDefault="00144BB4" w:rsidP="000B1EFA">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700,40</w:t>
            </w:r>
          </w:p>
        </w:tc>
        <w:tc>
          <w:tcPr>
            <w:tcW w:w="1015" w:type="dxa"/>
            <w:shd w:val="clear" w:color="auto" w:fill="auto"/>
            <w:noWrap/>
          </w:tcPr>
          <w:p w:rsidR="00144BB4" w:rsidRPr="00356AB8" w:rsidRDefault="00144BB4" w:rsidP="000B1EFA">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673,86</w:t>
            </w:r>
          </w:p>
        </w:tc>
        <w:tc>
          <w:tcPr>
            <w:tcW w:w="940" w:type="dxa"/>
            <w:shd w:val="clear" w:color="auto" w:fill="auto"/>
          </w:tcPr>
          <w:p w:rsidR="00144BB4" w:rsidRPr="00356AB8" w:rsidRDefault="00144BB4" w:rsidP="000B1EFA">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96,21</w:t>
            </w:r>
          </w:p>
        </w:tc>
      </w:tr>
      <w:tr w:rsidR="00144BB4" w:rsidRPr="00356AB8" w:rsidTr="00F52A88">
        <w:trPr>
          <w:trHeight w:val="315"/>
          <w:jc w:val="center"/>
        </w:trPr>
        <w:tc>
          <w:tcPr>
            <w:tcW w:w="1753" w:type="dxa"/>
            <w:shd w:val="clear" w:color="auto" w:fill="auto"/>
            <w:noWrap/>
          </w:tcPr>
          <w:p w:rsidR="00144BB4" w:rsidRPr="00356AB8" w:rsidRDefault="00144BB4" w:rsidP="000B1EFA">
            <w:pPr>
              <w:tabs>
                <w:tab w:val="left" w:pos="993"/>
              </w:tabs>
              <w:spacing w:line="276" w:lineRule="auto"/>
              <w:jc w:val="left"/>
              <w:rPr>
                <w:rFonts w:eastAsia="Times New Roman"/>
                <w:color w:val="000000"/>
                <w:sz w:val="24"/>
                <w:szCs w:val="24"/>
                <w:lang w:eastAsia="ru-RU"/>
              </w:rPr>
            </w:pPr>
            <w:r w:rsidRPr="00356AB8">
              <w:rPr>
                <w:rFonts w:eastAsia="Times New Roman"/>
                <w:color w:val="000000"/>
                <w:sz w:val="24"/>
                <w:szCs w:val="24"/>
                <w:lang w:eastAsia="ru-RU"/>
              </w:rPr>
              <w:t>Чернівецька</w:t>
            </w:r>
          </w:p>
        </w:tc>
        <w:tc>
          <w:tcPr>
            <w:tcW w:w="887" w:type="dxa"/>
            <w:shd w:val="clear" w:color="auto" w:fill="auto"/>
            <w:noWrap/>
          </w:tcPr>
          <w:p w:rsidR="00144BB4" w:rsidRPr="00356AB8" w:rsidRDefault="00144BB4" w:rsidP="000B1EFA">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136,60</w:t>
            </w:r>
          </w:p>
        </w:tc>
        <w:tc>
          <w:tcPr>
            <w:tcW w:w="924" w:type="dxa"/>
            <w:shd w:val="clear" w:color="auto" w:fill="auto"/>
            <w:noWrap/>
          </w:tcPr>
          <w:p w:rsidR="00144BB4" w:rsidRPr="00356AB8" w:rsidRDefault="00144BB4" w:rsidP="000B1EFA">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137,38</w:t>
            </w:r>
          </w:p>
        </w:tc>
        <w:tc>
          <w:tcPr>
            <w:tcW w:w="882" w:type="dxa"/>
            <w:shd w:val="clear" w:color="auto" w:fill="auto"/>
          </w:tcPr>
          <w:p w:rsidR="00144BB4" w:rsidRPr="00356AB8" w:rsidRDefault="00144BB4" w:rsidP="000B1EFA">
            <w:pPr>
              <w:tabs>
                <w:tab w:val="left" w:pos="993"/>
              </w:tabs>
              <w:spacing w:line="276" w:lineRule="auto"/>
              <w:jc w:val="center"/>
              <w:rPr>
                <w:rFonts w:eastAsia="Times New Roman"/>
                <w:bCs/>
                <w:color w:val="000000"/>
                <w:sz w:val="24"/>
                <w:szCs w:val="24"/>
                <w:lang w:eastAsia="ru-RU"/>
              </w:rPr>
            </w:pPr>
            <w:r w:rsidRPr="00356AB8">
              <w:rPr>
                <w:rFonts w:eastAsia="Times New Roman"/>
                <w:bCs/>
                <w:color w:val="000000"/>
                <w:sz w:val="24"/>
                <w:szCs w:val="24"/>
                <w:lang w:eastAsia="ru-RU"/>
              </w:rPr>
              <w:t>100,57</w:t>
            </w:r>
          </w:p>
        </w:tc>
        <w:tc>
          <w:tcPr>
            <w:tcW w:w="895" w:type="dxa"/>
            <w:shd w:val="clear" w:color="auto" w:fill="auto"/>
            <w:noWrap/>
          </w:tcPr>
          <w:p w:rsidR="00144BB4" w:rsidRPr="00356AB8" w:rsidRDefault="00144BB4" w:rsidP="000B1EFA">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108,22</w:t>
            </w:r>
          </w:p>
        </w:tc>
        <w:tc>
          <w:tcPr>
            <w:tcW w:w="948" w:type="dxa"/>
            <w:shd w:val="clear" w:color="auto" w:fill="auto"/>
            <w:noWrap/>
          </w:tcPr>
          <w:p w:rsidR="00144BB4" w:rsidRPr="00356AB8" w:rsidRDefault="00144BB4" w:rsidP="000B1EFA">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110,16</w:t>
            </w:r>
          </w:p>
        </w:tc>
        <w:tc>
          <w:tcPr>
            <w:tcW w:w="1007" w:type="dxa"/>
            <w:shd w:val="clear" w:color="auto" w:fill="auto"/>
          </w:tcPr>
          <w:p w:rsidR="00144BB4" w:rsidRPr="00356AB8" w:rsidRDefault="00144BB4" w:rsidP="000B1EFA">
            <w:pPr>
              <w:tabs>
                <w:tab w:val="left" w:pos="993"/>
              </w:tabs>
              <w:spacing w:line="276" w:lineRule="auto"/>
              <w:jc w:val="center"/>
              <w:rPr>
                <w:rFonts w:eastAsia="Times New Roman"/>
                <w:bCs/>
                <w:color w:val="000000"/>
                <w:sz w:val="24"/>
                <w:szCs w:val="24"/>
                <w:lang w:eastAsia="ru-RU"/>
              </w:rPr>
            </w:pPr>
            <w:r w:rsidRPr="00356AB8">
              <w:rPr>
                <w:rFonts w:eastAsia="Times New Roman"/>
                <w:bCs/>
                <w:color w:val="000000"/>
                <w:sz w:val="24"/>
                <w:szCs w:val="24"/>
                <w:lang w:eastAsia="ru-RU"/>
              </w:rPr>
              <w:t>101,79</w:t>
            </w:r>
          </w:p>
        </w:tc>
        <w:tc>
          <w:tcPr>
            <w:tcW w:w="1008" w:type="dxa"/>
            <w:shd w:val="clear" w:color="auto" w:fill="auto"/>
            <w:noWrap/>
          </w:tcPr>
          <w:p w:rsidR="00144BB4" w:rsidRPr="00356AB8" w:rsidRDefault="00144BB4" w:rsidP="000B1EFA">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896,88</w:t>
            </w:r>
          </w:p>
        </w:tc>
        <w:tc>
          <w:tcPr>
            <w:tcW w:w="1015" w:type="dxa"/>
            <w:shd w:val="clear" w:color="auto" w:fill="auto"/>
            <w:noWrap/>
          </w:tcPr>
          <w:p w:rsidR="00144BB4" w:rsidRPr="00356AB8" w:rsidRDefault="00144BB4" w:rsidP="000B1EFA">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854,43</w:t>
            </w:r>
          </w:p>
        </w:tc>
        <w:tc>
          <w:tcPr>
            <w:tcW w:w="940" w:type="dxa"/>
            <w:shd w:val="clear" w:color="auto" w:fill="auto"/>
          </w:tcPr>
          <w:p w:rsidR="00144BB4" w:rsidRPr="00356AB8" w:rsidRDefault="00144BB4" w:rsidP="000B1EFA">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95,27</w:t>
            </w:r>
          </w:p>
        </w:tc>
      </w:tr>
      <w:tr w:rsidR="00144BB4" w:rsidRPr="00356AB8" w:rsidTr="00F52A88">
        <w:trPr>
          <w:trHeight w:val="315"/>
          <w:jc w:val="center"/>
        </w:trPr>
        <w:tc>
          <w:tcPr>
            <w:tcW w:w="1753" w:type="dxa"/>
            <w:shd w:val="clear" w:color="auto" w:fill="auto"/>
            <w:noWrap/>
          </w:tcPr>
          <w:p w:rsidR="00144BB4" w:rsidRPr="00356AB8" w:rsidRDefault="00144BB4" w:rsidP="000B1EFA">
            <w:pPr>
              <w:tabs>
                <w:tab w:val="left" w:pos="993"/>
              </w:tabs>
              <w:spacing w:line="276" w:lineRule="auto"/>
              <w:jc w:val="left"/>
              <w:rPr>
                <w:rFonts w:eastAsia="Times New Roman"/>
                <w:color w:val="000000"/>
                <w:sz w:val="24"/>
                <w:szCs w:val="24"/>
                <w:lang w:eastAsia="ru-RU"/>
              </w:rPr>
            </w:pPr>
            <w:r w:rsidRPr="00356AB8">
              <w:rPr>
                <w:rFonts w:eastAsia="Times New Roman"/>
                <w:color w:val="000000"/>
                <w:sz w:val="24"/>
                <w:szCs w:val="24"/>
                <w:lang w:eastAsia="ru-RU"/>
              </w:rPr>
              <w:t>Чернігівська</w:t>
            </w:r>
          </w:p>
        </w:tc>
        <w:tc>
          <w:tcPr>
            <w:tcW w:w="887" w:type="dxa"/>
            <w:shd w:val="clear" w:color="auto" w:fill="auto"/>
            <w:noWrap/>
          </w:tcPr>
          <w:p w:rsidR="00144BB4" w:rsidRPr="00356AB8" w:rsidRDefault="00144BB4" w:rsidP="000B1EFA">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164,49</w:t>
            </w:r>
          </w:p>
        </w:tc>
        <w:tc>
          <w:tcPr>
            <w:tcW w:w="924" w:type="dxa"/>
            <w:shd w:val="clear" w:color="auto" w:fill="auto"/>
            <w:noWrap/>
          </w:tcPr>
          <w:p w:rsidR="00144BB4" w:rsidRPr="00356AB8" w:rsidRDefault="00144BB4" w:rsidP="000B1EFA">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183,60</w:t>
            </w:r>
          </w:p>
        </w:tc>
        <w:tc>
          <w:tcPr>
            <w:tcW w:w="882" w:type="dxa"/>
            <w:shd w:val="clear" w:color="auto" w:fill="auto"/>
          </w:tcPr>
          <w:p w:rsidR="00144BB4" w:rsidRPr="00356AB8" w:rsidRDefault="00144BB4" w:rsidP="000B1EFA">
            <w:pPr>
              <w:tabs>
                <w:tab w:val="left" w:pos="993"/>
              </w:tabs>
              <w:spacing w:line="276" w:lineRule="auto"/>
              <w:jc w:val="center"/>
              <w:rPr>
                <w:rFonts w:eastAsia="Times New Roman"/>
                <w:bCs/>
                <w:color w:val="000000"/>
                <w:sz w:val="24"/>
                <w:szCs w:val="24"/>
                <w:lang w:eastAsia="ru-RU"/>
              </w:rPr>
            </w:pPr>
            <w:r w:rsidRPr="00356AB8">
              <w:rPr>
                <w:rFonts w:eastAsia="Times New Roman"/>
                <w:bCs/>
                <w:color w:val="000000"/>
                <w:sz w:val="24"/>
                <w:szCs w:val="24"/>
                <w:lang w:eastAsia="ru-RU"/>
              </w:rPr>
              <w:t>111,62</w:t>
            </w:r>
          </w:p>
        </w:tc>
        <w:tc>
          <w:tcPr>
            <w:tcW w:w="895" w:type="dxa"/>
            <w:shd w:val="clear" w:color="auto" w:fill="auto"/>
            <w:noWrap/>
          </w:tcPr>
          <w:p w:rsidR="00144BB4" w:rsidRPr="00356AB8" w:rsidRDefault="00144BB4" w:rsidP="000B1EFA">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134,18</w:t>
            </w:r>
          </w:p>
        </w:tc>
        <w:tc>
          <w:tcPr>
            <w:tcW w:w="948" w:type="dxa"/>
            <w:shd w:val="clear" w:color="auto" w:fill="auto"/>
            <w:noWrap/>
          </w:tcPr>
          <w:p w:rsidR="00144BB4" w:rsidRPr="00356AB8" w:rsidRDefault="00144BB4" w:rsidP="000B1EFA">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154,10</w:t>
            </w:r>
          </w:p>
        </w:tc>
        <w:tc>
          <w:tcPr>
            <w:tcW w:w="1007" w:type="dxa"/>
            <w:shd w:val="clear" w:color="auto" w:fill="auto"/>
          </w:tcPr>
          <w:p w:rsidR="00144BB4" w:rsidRPr="00356AB8" w:rsidRDefault="00144BB4" w:rsidP="000B1EFA">
            <w:pPr>
              <w:tabs>
                <w:tab w:val="left" w:pos="993"/>
              </w:tabs>
              <w:spacing w:line="276" w:lineRule="auto"/>
              <w:jc w:val="center"/>
              <w:rPr>
                <w:rFonts w:eastAsia="Times New Roman"/>
                <w:bCs/>
                <w:color w:val="000000"/>
                <w:sz w:val="24"/>
                <w:szCs w:val="24"/>
                <w:lang w:eastAsia="ru-RU"/>
              </w:rPr>
            </w:pPr>
            <w:r w:rsidRPr="00356AB8">
              <w:rPr>
                <w:rFonts w:eastAsia="Times New Roman"/>
                <w:bCs/>
                <w:color w:val="000000"/>
                <w:sz w:val="24"/>
                <w:szCs w:val="24"/>
                <w:lang w:eastAsia="ru-RU"/>
              </w:rPr>
              <w:t>114,85</w:t>
            </w:r>
          </w:p>
        </w:tc>
        <w:tc>
          <w:tcPr>
            <w:tcW w:w="1008" w:type="dxa"/>
            <w:shd w:val="clear" w:color="auto" w:fill="auto"/>
            <w:noWrap/>
          </w:tcPr>
          <w:p w:rsidR="00144BB4" w:rsidRPr="00356AB8" w:rsidRDefault="00144BB4" w:rsidP="000B1EFA">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730,13</w:t>
            </w:r>
          </w:p>
        </w:tc>
        <w:tc>
          <w:tcPr>
            <w:tcW w:w="1015" w:type="dxa"/>
            <w:shd w:val="clear" w:color="auto" w:fill="auto"/>
            <w:noWrap/>
          </w:tcPr>
          <w:p w:rsidR="00144BB4" w:rsidRPr="00356AB8" w:rsidRDefault="00144BB4" w:rsidP="000B1EFA">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729,89</w:t>
            </w:r>
          </w:p>
        </w:tc>
        <w:tc>
          <w:tcPr>
            <w:tcW w:w="940" w:type="dxa"/>
            <w:shd w:val="clear" w:color="auto" w:fill="auto"/>
          </w:tcPr>
          <w:p w:rsidR="00144BB4" w:rsidRPr="00356AB8" w:rsidRDefault="00144BB4" w:rsidP="000B1EFA">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99,97</w:t>
            </w:r>
          </w:p>
        </w:tc>
      </w:tr>
      <w:tr w:rsidR="00144BB4" w:rsidRPr="00356AB8" w:rsidTr="00F52A88">
        <w:trPr>
          <w:trHeight w:val="315"/>
          <w:jc w:val="center"/>
        </w:trPr>
        <w:tc>
          <w:tcPr>
            <w:tcW w:w="1753" w:type="dxa"/>
            <w:shd w:val="clear" w:color="auto" w:fill="auto"/>
            <w:noWrap/>
          </w:tcPr>
          <w:p w:rsidR="00144BB4" w:rsidRPr="00356AB8" w:rsidRDefault="00144BB4" w:rsidP="000B1EFA">
            <w:pPr>
              <w:tabs>
                <w:tab w:val="left" w:pos="993"/>
              </w:tabs>
              <w:spacing w:line="276" w:lineRule="auto"/>
              <w:jc w:val="left"/>
              <w:rPr>
                <w:rFonts w:eastAsia="Times New Roman"/>
                <w:color w:val="000000"/>
                <w:sz w:val="24"/>
                <w:szCs w:val="24"/>
                <w:lang w:eastAsia="ru-RU"/>
              </w:rPr>
            </w:pPr>
            <w:r w:rsidRPr="00356AB8">
              <w:rPr>
                <w:rFonts w:eastAsia="Times New Roman"/>
                <w:color w:val="000000"/>
                <w:sz w:val="24"/>
                <w:szCs w:val="24"/>
                <w:lang w:eastAsia="ru-RU"/>
              </w:rPr>
              <w:t>м.Київ</w:t>
            </w:r>
          </w:p>
        </w:tc>
        <w:tc>
          <w:tcPr>
            <w:tcW w:w="887" w:type="dxa"/>
            <w:shd w:val="clear" w:color="auto" w:fill="auto"/>
            <w:noWrap/>
          </w:tcPr>
          <w:p w:rsidR="00144BB4" w:rsidRPr="00356AB8" w:rsidRDefault="00144BB4" w:rsidP="000B1EFA">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182,34</w:t>
            </w:r>
          </w:p>
        </w:tc>
        <w:tc>
          <w:tcPr>
            <w:tcW w:w="924" w:type="dxa"/>
            <w:shd w:val="clear" w:color="auto" w:fill="auto"/>
            <w:noWrap/>
          </w:tcPr>
          <w:p w:rsidR="00144BB4" w:rsidRPr="00356AB8" w:rsidRDefault="00144BB4" w:rsidP="000B1EFA">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215,01</w:t>
            </w:r>
          </w:p>
        </w:tc>
        <w:tc>
          <w:tcPr>
            <w:tcW w:w="882" w:type="dxa"/>
            <w:shd w:val="clear" w:color="auto" w:fill="auto"/>
          </w:tcPr>
          <w:p w:rsidR="00144BB4" w:rsidRPr="00356AB8" w:rsidRDefault="00144BB4" w:rsidP="000B1EFA">
            <w:pPr>
              <w:tabs>
                <w:tab w:val="left" w:pos="993"/>
              </w:tabs>
              <w:spacing w:line="276" w:lineRule="auto"/>
              <w:jc w:val="center"/>
              <w:rPr>
                <w:rFonts w:eastAsia="Times New Roman"/>
                <w:bCs/>
                <w:color w:val="000000"/>
                <w:sz w:val="24"/>
                <w:szCs w:val="24"/>
                <w:lang w:eastAsia="ru-RU"/>
              </w:rPr>
            </w:pPr>
            <w:r w:rsidRPr="00356AB8">
              <w:rPr>
                <w:rFonts w:eastAsia="Times New Roman"/>
                <w:bCs/>
                <w:color w:val="000000"/>
                <w:sz w:val="24"/>
                <w:szCs w:val="24"/>
                <w:lang w:eastAsia="ru-RU"/>
              </w:rPr>
              <w:t>117,92</w:t>
            </w:r>
          </w:p>
        </w:tc>
        <w:tc>
          <w:tcPr>
            <w:tcW w:w="895" w:type="dxa"/>
            <w:shd w:val="clear" w:color="auto" w:fill="auto"/>
            <w:noWrap/>
          </w:tcPr>
          <w:p w:rsidR="00144BB4" w:rsidRPr="00356AB8" w:rsidRDefault="00144BB4" w:rsidP="000B1EFA">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148,21</w:t>
            </w:r>
          </w:p>
        </w:tc>
        <w:tc>
          <w:tcPr>
            <w:tcW w:w="948" w:type="dxa"/>
            <w:shd w:val="clear" w:color="auto" w:fill="auto"/>
            <w:noWrap/>
          </w:tcPr>
          <w:p w:rsidR="00144BB4" w:rsidRPr="00356AB8" w:rsidRDefault="00144BB4" w:rsidP="000B1EFA">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166,12</w:t>
            </w:r>
          </w:p>
        </w:tc>
        <w:tc>
          <w:tcPr>
            <w:tcW w:w="1007" w:type="dxa"/>
            <w:shd w:val="clear" w:color="auto" w:fill="auto"/>
          </w:tcPr>
          <w:p w:rsidR="00144BB4" w:rsidRPr="00356AB8" w:rsidRDefault="00144BB4" w:rsidP="000B1EFA">
            <w:pPr>
              <w:tabs>
                <w:tab w:val="left" w:pos="993"/>
              </w:tabs>
              <w:spacing w:line="276" w:lineRule="auto"/>
              <w:jc w:val="center"/>
              <w:rPr>
                <w:rFonts w:eastAsia="Times New Roman"/>
                <w:bCs/>
                <w:color w:val="000000"/>
                <w:sz w:val="24"/>
                <w:szCs w:val="24"/>
                <w:lang w:eastAsia="ru-RU"/>
              </w:rPr>
            </w:pPr>
            <w:r w:rsidRPr="00356AB8">
              <w:rPr>
                <w:rFonts w:eastAsia="Times New Roman"/>
                <w:bCs/>
                <w:color w:val="000000"/>
                <w:sz w:val="24"/>
                <w:szCs w:val="24"/>
                <w:lang w:eastAsia="ru-RU"/>
              </w:rPr>
              <w:t>112,08</w:t>
            </w:r>
          </w:p>
        </w:tc>
        <w:tc>
          <w:tcPr>
            <w:tcW w:w="1008" w:type="dxa"/>
            <w:shd w:val="clear" w:color="auto" w:fill="auto"/>
            <w:noWrap/>
          </w:tcPr>
          <w:p w:rsidR="00144BB4" w:rsidRPr="00356AB8" w:rsidRDefault="00144BB4" w:rsidP="000B1EFA">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723,04</w:t>
            </w:r>
          </w:p>
        </w:tc>
        <w:tc>
          <w:tcPr>
            <w:tcW w:w="1015" w:type="dxa"/>
            <w:shd w:val="clear" w:color="auto" w:fill="auto"/>
            <w:noWrap/>
          </w:tcPr>
          <w:p w:rsidR="00144BB4" w:rsidRPr="00356AB8" w:rsidRDefault="00144BB4" w:rsidP="000B1EFA">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849,22</w:t>
            </w:r>
          </w:p>
        </w:tc>
        <w:tc>
          <w:tcPr>
            <w:tcW w:w="940" w:type="dxa"/>
            <w:shd w:val="clear" w:color="auto" w:fill="auto"/>
          </w:tcPr>
          <w:p w:rsidR="00144BB4" w:rsidRPr="00356AB8" w:rsidRDefault="00144BB4" w:rsidP="000B1EFA">
            <w:pPr>
              <w:tabs>
                <w:tab w:val="left" w:pos="993"/>
              </w:tabs>
              <w:spacing w:line="276" w:lineRule="auto"/>
              <w:jc w:val="center"/>
              <w:rPr>
                <w:rFonts w:eastAsia="Times New Roman"/>
                <w:color w:val="000000"/>
                <w:sz w:val="24"/>
                <w:szCs w:val="24"/>
                <w:lang w:eastAsia="ru-RU"/>
              </w:rPr>
            </w:pPr>
            <w:r w:rsidRPr="00356AB8">
              <w:rPr>
                <w:rFonts w:eastAsia="Times New Roman"/>
                <w:color w:val="000000"/>
                <w:sz w:val="24"/>
                <w:szCs w:val="24"/>
                <w:lang w:eastAsia="ru-RU"/>
              </w:rPr>
              <w:t>117,45</w:t>
            </w:r>
          </w:p>
        </w:tc>
      </w:tr>
    </w:tbl>
    <w:p w:rsidR="004820FD" w:rsidRPr="00144BB4" w:rsidRDefault="004F31D7" w:rsidP="00144BB4">
      <w:pPr>
        <w:widowControl w:val="0"/>
        <w:tabs>
          <w:tab w:val="left" w:pos="993"/>
        </w:tabs>
        <w:spacing w:line="288" w:lineRule="auto"/>
        <w:jc w:val="right"/>
        <w:rPr>
          <w:i/>
        </w:rPr>
      </w:pPr>
      <w:r w:rsidRPr="00006A39">
        <w:rPr>
          <w:szCs w:val="28"/>
        </w:rPr>
        <w:tab/>
      </w:r>
    </w:p>
    <w:p w:rsidR="004F31D7" w:rsidRPr="00006A39" w:rsidRDefault="004F31D7" w:rsidP="00721203">
      <w:pPr>
        <w:widowControl w:val="0"/>
        <w:tabs>
          <w:tab w:val="left" w:pos="993"/>
        </w:tabs>
        <w:ind w:firstLine="709"/>
        <w:rPr>
          <w:rFonts w:eastAsia="Times New Roman"/>
          <w:szCs w:val="28"/>
          <w:lang w:eastAsia="ru-RU"/>
        </w:rPr>
      </w:pPr>
      <w:r w:rsidRPr="00006A39">
        <w:rPr>
          <w:rFonts w:eastAsia="Times New Roman"/>
          <w:szCs w:val="28"/>
          <w:lang w:eastAsia="ru-RU"/>
        </w:rPr>
        <w:t xml:space="preserve">Важливо усвідомлювати той факт, що зростання рівнів </w:t>
      </w:r>
      <w:r w:rsidR="00617BBC">
        <w:rPr>
          <w:rFonts w:eastAsia="Times New Roman"/>
          <w:szCs w:val="28"/>
          <w:lang w:eastAsia="ru-RU"/>
        </w:rPr>
        <w:t>народження хворими і захворілих</w:t>
      </w:r>
      <w:r w:rsidRPr="00006A39">
        <w:rPr>
          <w:rFonts w:eastAsia="Times New Roman"/>
          <w:szCs w:val="28"/>
          <w:lang w:eastAsia="ru-RU"/>
        </w:rPr>
        <w:t xml:space="preserve"> новонароджених може сприяти зростанню хронізації патології у дітей і</w:t>
      </w:r>
      <w:r w:rsidR="005560DA">
        <w:rPr>
          <w:rFonts w:eastAsia="Times New Roman"/>
          <w:szCs w:val="28"/>
          <w:lang w:eastAsia="ru-RU"/>
        </w:rPr>
        <w:t>,</w:t>
      </w:r>
      <w:r w:rsidRPr="00006A39">
        <w:rPr>
          <w:rFonts w:eastAsia="Times New Roman"/>
          <w:szCs w:val="28"/>
          <w:lang w:eastAsia="ru-RU"/>
        </w:rPr>
        <w:t xml:space="preserve"> як слід</w:t>
      </w:r>
      <w:r w:rsidR="005560DA">
        <w:rPr>
          <w:rFonts w:eastAsia="Times New Roman"/>
          <w:szCs w:val="28"/>
          <w:lang w:eastAsia="ru-RU"/>
        </w:rPr>
        <w:t>,</w:t>
      </w:r>
      <w:r w:rsidRPr="00006A39">
        <w:rPr>
          <w:rFonts w:eastAsia="Times New Roman"/>
          <w:szCs w:val="28"/>
          <w:lang w:eastAsia="ru-RU"/>
        </w:rPr>
        <w:t xml:space="preserve"> приводити до порушень здоров’я з обмеженням життєдіяльності і настанням інвалідності, основною причиною якої (40-60%) є перинатальна патологія, а саме вроджена і спадкова патологія, недоношеність, надзвичайно мала маса тіла при народженні.</w:t>
      </w:r>
    </w:p>
    <w:p w:rsidR="004F31D7" w:rsidRPr="00006A39" w:rsidRDefault="004F31D7" w:rsidP="00721203">
      <w:pPr>
        <w:widowControl w:val="0"/>
        <w:tabs>
          <w:tab w:val="left" w:pos="993"/>
        </w:tabs>
        <w:ind w:firstLine="709"/>
        <w:rPr>
          <w:rFonts w:eastAsia="Times New Roman"/>
          <w:szCs w:val="28"/>
          <w:lang w:eastAsia="ru-RU"/>
        </w:rPr>
      </w:pPr>
      <w:r w:rsidRPr="00006A39">
        <w:rPr>
          <w:rFonts w:eastAsia="Times New Roman"/>
          <w:szCs w:val="28"/>
          <w:lang w:eastAsia="ru-RU"/>
        </w:rPr>
        <w:t>За результатами проведеного аналізу доведено, що</w:t>
      </w:r>
      <w:r w:rsidRPr="00006A39">
        <w:rPr>
          <w:rFonts w:eastAsia="Times New Roman"/>
          <w:color w:val="FF0000"/>
          <w:szCs w:val="28"/>
          <w:lang w:eastAsia="ru-RU"/>
        </w:rPr>
        <w:t xml:space="preserve"> </w:t>
      </w:r>
      <w:r w:rsidRPr="00006A39">
        <w:rPr>
          <w:rFonts w:eastAsia="Times New Roman"/>
          <w:szCs w:val="28"/>
          <w:lang w:eastAsia="ru-RU"/>
        </w:rPr>
        <w:t>найвищі рівні захворюваності новонароджених спостерігаються на неонатальну жовтяницю, обумовлену надмірним гемолізом, іншими причинами (39,84‰), інші порушення церебрального статусу новонародженого (26,5‰), уроджені аномалії, деформації та хромосомні порушення (25,92‰), розлади дихальної системи, що виникають у перинатальному періоді (25,73‰)</w:t>
      </w:r>
      <w:r w:rsidR="002835DF" w:rsidRPr="002835DF">
        <w:rPr>
          <w:rFonts w:eastAsia="Times New Roman"/>
          <w:szCs w:val="28"/>
          <w:lang w:eastAsia="ru-RU"/>
        </w:rPr>
        <w:t xml:space="preserve"> (табл.4.6)</w:t>
      </w:r>
      <w:r w:rsidRPr="00006A39">
        <w:rPr>
          <w:rFonts w:eastAsia="Times New Roman"/>
          <w:szCs w:val="28"/>
          <w:lang w:eastAsia="ru-RU"/>
        </w:rPr>
        <w:t>.</w:t>
      </w:r>
      <w:r w:rsidRPr="00006A39">
        <w:t xml:space="preserve"> </w:t>
      </w:r>
      <w:r w:rsidRPr="00006A39">
        <w:rPr>
          <w:rFonts w:eastAsia="Times New Roman"/>
          <w:szCs w:val="28"/>
          <w:lang w:eastAsia="ru-RU"/>
        </w:rPr>
        <w:t>Структура захворюваності новонароджених в Україні у 2018</w:t>
      </w:r>
      <w:r w:rsidR="00AC3CFD">
        <w:rPr>
          <w:rFonts w:eastAsia="Times New Roman"/>
          <w:szCs w:val="28"/>
          <w:lang w:eastAsia="ru-RU"/>
        </w:rPr>
        <w:t xml:space="preserve"> </w:t>
      </w:r>
      <w:r w:rsidRPr="00006A39">
        <w:rPr>
          <w:rFonts w:eastAsia="Times New Roman"/>
          <w:szCs w:val="28"/>
          <w:lang w:eastAsia="ru-RU"/>
        </w:rPr>
        <w:t>р. наступна: на 1 місці – неонатальна жовтяниця (24,04%), на другому</w:t>
      </w:r>
      <w:r w:rsidR="00B40195">
        <w:rPr>
          <w:rFonts w:eastAsia="Times New Roman"/>
          <w:szCs w:val="28"/>
          <w:lang w:val="ru-RU" w:eastAsia="ru-RU"/>
        </w:rPr>
        <w:t> </w:t>
      </w:r>
      <w:r w:rsidRPr="00006A39">
        <w:rPr>
          <w:rFonts w:eastAsia="Times New Roman"/>
          <w:szCs w:val="28"/>
          <w:lang w:eastAsia="ru-RU"/>
        </w:rPr>
        <w:t>– інші порушення церебрального статусу новонароджених (16,0%), на третьому – уроджені аномалії, деформації та хромосомні порушення (15,65%), на четвертому – розлади дихальної системи, що виникають у перинатальному періоді (15,64%), на п’ятому – сповільнений рі</w:t>
      </w:r>
      <w:r w:rsidR="00AC3CFD">
        <w:rPr>
          <w:rFonts w:eastAsia="Times New Roman"/>
          <w:szCs w:val="28"/>
          <w:lang w:eastAsia="ru-RU"/>
        </w:rPr>
        <w:t>ст, недостатність живлення плоду</w:t>
      </w:r>
      <w:r w:rsidRPr="00006A39">
        <w:rPr>
          <w:rFonts w:eastAsia="Times New Roman"/>
          <w:szCs w:val="28"/>
          <w:lang w:eastAsia="ru-RU"/>
        </w:rPr>
        <w:t xml:space="preserve"> (12,18%).</w:t>
      </w:r>
    </w:p>
    <w:p w:rsidR="004F31D7" w:rsidRPr="00006A39" w:rsidRDefault="004F31D7" w:rsidP="00721203">
      <w:pPr>
        <w:widowControl w:val="0"/>
        <w:tabs>
          <w:tab w:val="left" w:pos="993"/>
        </w:tabs>
        <w:ind w:firstLine="709"/>
        <w:rPr>
          <w:rFonts w:eastAsia="Times New Roman"/>
          <w:szCs w:val="28"/>
          <w:lang w:eastAsia="ru-RU"/>
        </w:rPr>
      </w:pPr>
      <w:r w:rsidRPr="00006A39">
        <w:rPr>
          <w:rFonts w:eastAsia="Times New Roman"/>
          <w:szCs w:val="28"/>
          <w:lang w:eastAsia="ru-RU"/>
        </w:rPr>
        <w:t xml:space="preserve">За результатом аналізу нами виявлено негативну тенденцію до зростання </w:t>
      </w:r>
      <w:r w:rsidRPr="00006A39">
        <w:rPr>
          <w:rFonts w:eastAsia="Times New Roman"/>
          <w:szCs w:val="28"/>
          <w:lang w:eastAsia="ru-RU"/>
        </w:rPr>
        <w:lastRenderedPageBreak/>
        <w:t>перинатальних станів, що спричиняють інвалідність: сепсису новонароджених у 2,3 рази у 2018 р. відносно 2014 р., інфекцій, специфічних для перинатального періоду на 38,99%, уроджених пневмоній на 21,7%. Виявлено і негативну тенденцію зростання частоти неонатальної жовтяниці у 1,36 рази у 2018 р. відносно 2014 р., що частіше розвивається у недоношених дітей (146,59‰ у 2014 р. і 175,01‰ у 2018 р.), динаміка рівня якої  узгоджується з даними високого рівня недоношеності (4,68% і 5,23%). При цьому слід зазначити, що неонатальна жовтяниця зумовлює білірубінову енцефалопатію, що супроводжується значними неврологічними розладами. Зростанню рівня захворюваності на білірубінову енцефалопатію новонароджених також сприяє зростання гемолітичної хвороби новонароджених на 5,37% у 2018р. відносно 2014 р.</w:t>
      </w:r>
      <w:r w:rsidRPr="00006A39">
        <w:t xml:space="preserve"> (</w:t>
      </w:r>
      <w:r w:rsidRPr="00006A39">
        <w:rPr>
          <w:rFonts w:eastAsia="Times New Roman"/>
          <w:szCs w:val="28"/>
          <w:lang w:eastAsia="ru-RU"/>
        </w:rPr>
        <w:t>з 8,01‰ у 2014р.до 8,44, ‰ у 2018р.). Негативна динаміка притаманна і захворюваності дітей на інші порушення церебрального статусу новонародженого, рівень яких зріс на 22,23% відповідно, які впливають на розвиток дитячого церебрального паралічу, епілепсії, мінімальній мозковій дисфункції, при цьому дана патологія також частіше зустрічається у недоношених новонароджених (174,95‰ у 2014 р. і 190,12‰ у 2018 р.). За результатами дослідження показано, що зріс показник рівня внутрішньошлункових і субарахноїдальних крововиливів серед новонароджених на 29,11%, при цьому дана патологія також частіше зустрічається у недоношених новонароджених (20,45‰ у 2014 р. і 23,64‰ у 2018 р.), тяжкі форми крововиливів є причиною розвитку гіпо- або нормотензивного гідроцефальн</w:t>
      </w:r>
      <w:r w:rsidR="0098659F" w:rsidRPr="00006A39">
        <w:rPr>
          <w:rFonts w:eastAsia="Times New Roman"/>
          <w:szCs w:val="28"/>
          <w:lang w:eastAsia="ru-RU"/>
        </w:rPr>
        <w:t>о</w:t>
      </w:r>
      <w:r w:rsidRPr="00006A39">
        <w:rPr>
          <w:rFonts w:eastAsia="Times New Roman"/>
          <w:szCs w:val="28"/>
          <w:lang w:eastAsia="ru-RU"/>
        </w:rPr>
        <w:t>го синдрому</w:t>
      </w:r>
      <w:r w:rsidR="0098659F" w:rsidRPr="00006A39">
        <w:rPr>
          <w:rFonts w:eastAsia="Times New Roman"/>
          <w:szCs w:val="28"/>
          <w:lang w:eastAsia="ru-RU"/>
        </w:rPr>
        <w:t xml:space="preserve"> </w:t>
      </w:r>
      <w:r w:rsidRPr="00006A39">
        <w:rPr>
          <w:rFonts w:eastAsia="Times New Roman"/>
          <w:szCs w:val="28"/>
          <w:lang w:eastAsia="ru-RU"/>
        </w:rPr>
        <w:t>і призводять до ранньої смерті. Також слід зазначити негативну тенденцію до зростання (на 12,45%) і високий рівень захворюваності дітей на вроджені вади розвитку та спадкові захворювання у новонароджених</w:t>
      </w:r>
      <w:r w:rsidR="00B06F7F">
        <w:rPr>
          <w:rFonts w:eastAsia="Times New Roman"/>
          <w:szCs w:val="28"/>
          <w:lang w:val="ru-RU" w:eastAsia="ru-RU"/>
        </w:rPr>
        <w:t xml:space="preserve"> </w:t>
      </w:r>
      <w:r w:rsidR="00B06F7F" w:rsidRPr="00B06F7F">
        <w:rPr>
          <w:rFonts w:eastAsia="Times New Roman"/>
          <w:szCs w:val="28"/>
          <w:lang w:eastAsia="ru-RU"/>
        </w:rPr>
        <w:t>(табл.</w:t>
      </w:r>
      <w:r w:rsidR="00185B43">
        <w:rPr>
          <w:rFonts w:eastAsia="Times New Roman"/>
          <w:szCs w:val="28"/>
          <w:lang w:eastAsia="ru-RU"/>
        </w:rPr>
        <w:t xml:space="preserve"> </w:t>
      </w:r>
      <w:r w:rsidR="00B06F7F" w:rsidRPr="00B06F7F">
        <w:rPr>
          <w:rFonts w:eastAsia="Times New Roman"/>
          <w:szCs w:val="28"/>
          <w:lang w:eastAsia="ru-RU"/>
        </w:rPr>
        <w:t>4.6)</w:t>
      </w:r>
      <w:r w:rsidRPr="00006A39">
        <w:rPr>
          <w:rFonts w:eastAsia="Times New Roman"/>
          <w:szCs w:val="28"/>
          <w:lang w:eastAsia="ru-RU"/>
        </w:rPr>
        <w:t xml:space="preserve">. </w:t>
      </w:r>
    </w:p>
    <w:p w:rsidR="004F31D7" w:rsidRPr="00006A39" w:rsidRDefault="004F31D7" w:rsidP="00721203">
      <w:pPr>
        <w:widowControl w:val="0"/>
        <w:tabs>
          <w:tab w:val="left" w:pos="993"/>
        </w:tabs>
        <w:ind w:firstLine="709"/>
        <w:rPr>
          <w:rFonts w:eastAsia="Times New Roman"/>
          <w:kern w:val="16"/>
          <w:szCs w:val="28"/>
          <w:lang w:eastAsia="ru-RU"/>
        </w:rPr>
      </w:pPr>
      <w:r w:rsidRPr="00006A39">
        <w:rPr>
          <w:rFonts w:eastAsia="Times New Roman"/>
          <w:kern w:val="16"/>
          <w:szCs w:val="28"/>
          <w:lang w:eastAsia="ru-RU"/>
        </w:rPr>
        <w:t xml:space="preserve">Протягом </w:t>
      </w:r>
      <w:r w:rsidR="00A37A78">
        <w:rPr>
          <w:rFonts w:eastAsia="Times New Roman"/>
          <w:kern w:val="16"/>
          <w:szCs w:val="28"/>
          <w:lang w:val="ru-RU" w:eastAsia="ru-RU"/>
        </w:rPr>
        <w:t>2014-2018 рр.</w:t>
      </w:r>
      <w:r w:rsidRPr="00006A39">
        <w:rPr>
          <w:rFonts w:eastAsia="Times New Roman"/>
          <w:kern w:val="16"/>
          <w:szCs w:val="28"/>
          <w:lang w:eastAsia="ru-RU"/>
        </w:rPr>
        <w:t xml:space="preserve"> утримується негативна тенденція зростання </w:t>
      </w:r>
      <w:r w:rsidRPr="00006A39">
        <w:rPr>
          <w:rFonts w:eastAsia="Times New Roman"/>
          <w:szCs w:val="28"/>
          <w:lang w:eastAsia="ru-RU"/>
        </w:rPr>
        <w:t>розладів дихальної системи, що виникають у перинатальному періоді на 26,25%, в т.ч. синдрому респіраторного розладу та інших респіраторних станів на 20,8%.</w:t>
      </w:r>
      <w:r w:rsidRPr="00006A39">
        <w:rPr>
          <w:rFonts w:eastAsia="Times New Roman"/>
          <w:kern w:val="16"/>
          <w:szCs w:val="28"/>
          <w:lang w:eastAsia="ru-RU"/>
        </w:rPr>
        <w:t xml:space="preserve"> </w:t>
      </w:r>
      <w:r w:rsidR="00A37A78" w:rsidRPr="00A37A78">
        <w:rPr>
          <w:rFonts w:eastAsia="Times New Roman"/>
          <w:szCs w:val="28"/>
          <w:lang w:eastAsia="ru-RU"/>
        </w:rPr>
        <w:t>В</w:t>
      </w:r>
      <w:r w:rsidRPr="00006A39">
        <w:rPr>
          <w:rFonts w:eastAsia="Times New Roman"/>
          <w:szCs w:val="28"/>
          <w:lang w:eastAsia="ru-RU"/>
        </w:rPr>
        <w:t xml:space="preserve">ідбулось зменшення частоти внутрішньоутробної гіпоксії і асфіксії новонароджених майже на 33% на тлі зростання </w:t>
      </w:r>
      <w:r w:rsidR="00A37A78">
        <w:rPr>
          <w:rFonts w:eastAsia="Times New Roman"/>
          <w:szCs w:val="28"/>
          <w:lang w:eastAsia="ru-RU"/>
        </w:rPr>
        <w:t>рівня анемій вагітних (24,12% і 25,97% відповідно</w:t>
      </w:r>
      <w:r w:rsidRPr="00006A39">
        <w:rPr>
          <w:rFonts w:eastAsia="Times New Roman"/>
          <w:szCs w:val="28"/>
          <w:lang w:eastAsia="ru-RU"/>
        </w:rPr>
        <w:t xml:space="preserve">), що сприяє розвитку комплексу гіпоксичних розладів в організмі </w:t>
      </w:r>
      <w:r w:rsidRPr="00006A39">
        <w:rPr>
          <w:rFonts w:eastAsia="Times New Roman"/>
          <w:szCs w:val="28"/>
          <w:lang w:eastAsia="ru-RU"/>
        </w:rPr>
        <w:lastRenderedPageBreak/>
        <w:t>як матері, так і плода. Спостерігалась стабілізація показника сповільненого росту та недостатності живлення плоду (21,34 ‰ у 2014 р. і 21,33 ‰ у 2018 р.) (табл</w:t>
      </w:r>
      <w:r w:rsidR="002A4861">
        <w:rPr>
          <w:rFonts w:eastAsia="Times New Roman"/>
          <w:szCs w:val="28"/>
          <w:lang w:eastAsia="ru-RU"/>
        </w:rPr>
        <w:t>.</w:t>
      </w:r>
      <w:r w:rsidRPr="00006A39">
        <w:rPr>
          <w:rFonts w:eastAsia="Times New Roman"/>
          <w:szCs w:val="28"/>
          <w:lang w:eastAsia="ru-RU"/>
        </w:rPr>
        <w:t xml:space="preserve"> 4.6).</w:t>
      </w:r>
    </w:p>
    <w:p w:rsidR="004F31D7" w:rsidRPr="00006A39" w:rsidRDefault="004F31D7" w:rsidP="00721203">
      <w:pPr>
        <w:widowControl w:val="0"/>
        <w:tabs>
          <w:tab w:val="left" w:pos="993"/>
        </w:tabs>
        <w:ind w:firstLine="709"/>
        <w:jc w:val="right"/>
        <w:rPr>
          <w:rFonts w:eastAsia="Times New Roman"/>
          <w:i/>
          <w:szCs w:val="28"/>
          <w:lang w:eastAsia="ru-RU"/>
        </w:rPr>
      </w:pPr>
      <w:r w:rsidRPr="00006A39">
        <w:rPr>
          <w:rFonts w:eastAsia="Times New Roman"/>
          <w:i/>
          <w:szCs w:val="28"/>
          <w:lang w:eastAsia="ru-RU"/>
        </w:rPr>
        <w:t>Таблиця 4.6</w:t>
      </w:r>
    </w:p>
    <w:p w:rsidR="004F31D7" w:rsidRPr="00006A39" w:rsidRDefault="004F31D7" w:rsidP="00721203">
      <w:pPr>
        <w:widowControl w:val="0"/>
        <w:tabs>
          <w:tab w:val="left" w:pos="993"/>
        </w:tabs>
        <w:jc w:val="center"/>
        <w:outlineLvl w:val="2"/>
        <w:rPr>
          <w:rFonts w:eastAsia="Times New Roman"/>
          <w:b/>
          <w:bCs/>
          <w:szCs w:val="28"/>
          <w:lang w:eastAsia="ru-RU"/>
        </w:rPr>
      </w:pPr>
      <w:r w:rsidRPr="00006A39">
        <w:rPr>
          <w:rFonts w:eastAsia="Times New Roman"/>
          <w:b/>
          <w:bCs/>
          <w:szCs w:val="28"/>
          <w:lang w:eastAsia="ru-RU"/>
        </w:rPr>
        <w:t>Динаміка захворюваності новонароджених за окремими хворобами за 2014–2018 рр. (на 1000 народжених живими, ‰)</w:t>
      </w:r>
    </w:p>
    <w:tbl>
      <w:tblPr>
        <w:tblW w:w="0" w:type="auto"/>
        <w:jc w:val="center"/>
        <w:tblInd w:w="1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62"/>
        <w:gridCol w:w="854"/>
        <w:gridCol w:w="854"/>
        <w:gridCol w:w="854"/>
        <w:gridCol w:w="854"/>
        <w:gridCol w:w="854"/>
        <w:gridCol w:w="1027"/>
      </w:tblGrid>
      <w:tr w:rsidR="004F31D7" w:rsidRPr="00006A39" w:rsidTr="00AD17FC">
        <w:trPr>
          <w:trHeight w:val="331"/>
          <w:jc w:val="center"/>
        </w:trPr>
        <w:tc>
          <w:tcPr>
            <w:tcW w:w="4961" w:type="dxa"/>
            <w:vMerge w:val="restart"/>
            <w:hideMark/>
          </w:tcPr>
          <w:p w:rsidR="004F31D7" w:rsidRPr="00006A39" w:rsidRDefault="004F31D7" w:rsidP="00721203">
            <w:pPr>
              <w:widowControl w:val="0"/>
              <w:tabs>
                <w:tab w:val="left" w:pos="993"/>
              </w:tabs>
              <w:spacing w:line="288" w:lineRule="auto"/>
              <w:ind w:firstLine="709"/>
              <w:jc w:val="center"/>
              <w:rPr>
                <w:rFonts w:eastAsia="Times New Roman"/>
                <w:color w:val="000000"/>
                <w:sz w:val="24"/>
                <w:szCs w:val="24"/>
                <w:lang w:eastAsia="ru-RU"/>
              </w:rPr>
            </w:pPr>
            <w:r w:rsidRPr="00006A39">
              <w:rPr>
                <w:rFonts w:eastAsia="Times New Roman"/>
                <w:color w:val="000000"/>
                <w:sz w:val="24"/>
                <w:szCs w:val="24"/>
                <w:lang w:eastAsia="ru-RU"/>
              </w:rPr>
              <w:t>Захворювання</w:t>
            </w:r>
          </w:p>
        </w:tc>
        <w:tc>
          <w:tcPr>
            <w:tcW w:w="0" w:type="auto"/>
            <w:vMerge w:val="restart"/>
            <w:shd w:val="clear" w:color="auto" w:fill="auto"/>
          </w:tcPr>
          <w:p w:rsidR="004F31D7" w:rsidRPr="00006A39" w:rsidRDefault="004F31D7" w:rsidP="00721203">
            <w:pPr>
              <w:widowControl w:val="0"/>
              <w:tabs>
                <w:tab w:val="left" w:pos="993"/>
              </w:tabs>
              <w:spacing w:line="288" w:lineRule="auto"/>
              <w:jc w:val="center"/>
              <w:rPr>
                <w:rFonts w:eastAsia="Times New Roman"/>
                <w:bCs/>
                <w:color w:val="000000"/>
                <w:sz w:val="24"/>
                <w:szCs w:val="24"/>
                <w:lang w:eastAsia="ru-RU"/>
              </w:rPr>
            </w:pPr>
            <w:r w:rsidRPr="00006A39">
              <w:rPr>
                <w:rFonts w:eastAsia="Times New Roman"/>
                <w:bCs/>
                <w:color w:val="000000"/>
                <w:sz w:val="24"/>
                <w:szCs w:val="24"/>
                <w:lang w:eastAsia="ru-RU"/>
              </w:rPr>
              <w:t>2014 р.</w:t>
            </w:r>
          </w:p>
        </w:tc>
        <w:tc>
          <w:tcPr>
            <w:tcW w:w="0" w:type="auto"/>
            <w:vMerge w:val="restart"/>
            <w:shd w:val="clear" w:color="auto" w:fill="auto"/>
          </w:tcPr>
          <w:p w:rsidR="004F31D7" w:rsidRPr="00006A39" w:rsidRDefault="004F31D7" w:rsidP="00721203">
            <w:pPr>
              <w:widowControl w:val="0"/>
              <w:tabs>
                <w:tab w:val="left" w:pos="993"/>
              </w:tabs>
              <w:spacing w:line="288" w:lineRule="auto"/>
              <w:jc w:val="center"/>
              <w:rPr>
                <w:rFonts w:eastAsia="Times New Roman"/>
                <w:bCs/>
                <w:color w:val="000000"/>
                <w:sz w:val="24"/>
                <w:szCs w:val="24"/>
                <w:lang w:eastAsia="ru-RU"/>
              </w:rPr>
            </w:pPr>
            <w:r w:rsidRPr="00006A39">
              <w:rPr>
                <w:rFonts w:eastAsia="Times New Roman"/>
                <w:bCs/>
                <w:color w:val="000000"/>
                <w:sz w:val="24"/>
                <w:szCs w:val="24"/>
                <w:lang w:eastAsia="ru-RU"/>
              </w:rPr>
              <w:t>2015 р.</w:t>
            </w:r>
          </w:p>
        </w:tc>
        <w:tc>
          <w:tcPr>
            <w:tcW w:w="0" w:type="auto"/>
            <w:vMerge w:val="restart"/>
            <w:shd w:val="clear" w:color="auto" w:fill="auto"/>
          </w:tcPr>
          <w:p w:rsidR="004F31D7" w:rsidRPr="00006A39" w:rsidRDefault="004F31D7" w:rsidP="00721203">
            <w:pPr>
              <w:widowControl w:val="0"/>
              <w:tabs>
                <w:tab w:val="left" w:pos="993"/>
              </w:tabs>
              <w:spacing w:line="288" w:lineRule="auto"/>
              <w:jc w:val="center"/>
              <w:rPr>
                <w:rFonts w:eastAsia="Times New Roman"/>
                <w:bCs/>
                <w:color w:val="000000"/>
                <w:sz w:val="24"/>
                <w:szCs w:val="24"/>
                <w:lang w:eastAsia="ru-RU"/>
              </w:rPr>
            </w:pPr>
            <w:r w:rsidRPr="00006A39">
              <w:rPr>
                <w:rFonts w:eastAsia="Times New Roman"/>
                <w:bCs/>
                <w:color w:val="000000"/>
                <w:sz w:val="24"/>
                <w:szCs w:val="24"/>
                <w:lang w:eastAsia="ru-RU"/>
              </w:rPr>
              <w:t>2016 р.</w:t>
            </w:r>
          </w:p>
        </w:tc>
        <w:tc>
          <w:tcPr>
            <w:tcW w:w="0" w:type="auto"/>
            <w:vMerge w:val="restart"/>
            <w:shd w:val="clear" w:color="auto" w:fill="auto"/>
          </w:tcPr>
          <w:p w:rsidR="004F31D7" w:rsidRPr="00006A39" w:rsidRDefault="004F31D7" w:rsidP="00721203">
            <w:pPr>
              <w:widowControl w:val="0"/>
              <w:tabs>
                <w:tab w:val="left" w:pos="993"/>
              </w:tabs>
              <w:spacing w:line="288" w:lineRule="auto"/>
              <w:jc w:val="center"/>
              <w:rPr>
                <w:rFonts w:eastAsia="Times New Roman"/>
                <w:bCs/>
                <w:color w:val="000000"/>
                <w:sz w:val="24"/>
                <w:szCs w:val="24"/>
                <w:lang w:eastAsia="ru-RU"/>
              </w:rPr>
            </w:pPr>
            <w:r w:rsidRPr="00006A39">
              <w:rPr>
                <w:rFonts w:eastAsia="Times New Roman"/>
                <w:bCs/>
                <w:color w:val="000000"/>
                <w:sz w:val="24"/>
                <w:szCs w:val="24"/>
                <w:lang w:eastAsia="ru-RU"/>
              </w:rPr>
              <w:t>2017 р.</w:t>
            </w:r>
          </w:p>
        </w:tc>
        <w:tc>
          <w:tcPr>
            <w:tcW w:w="0" w:type="auto"/>
            <w:vMerge w:val="restart"/>
            <w:shd w:val="clear" w:color="auto" w:fill="auto"/>
          </w:tcPr>
          <w:p w:rsidR="004F31D7" w:rsidRPr="00006A39" w:rsidRDefault="004F31D7" w:rsidP="00721203">
            <w:pPr>
              <w:widowControl w:val="0"/>
              <w:tabs>
                <w:tab w:val="left" w:pos="993"/>
              </w:tabs>
              <w:spacing w:line="288" w:lineRule="auto"/>
              <w:jc w:val="center"/>
              <w:rPr>
                <w:rFonts w:eastAsia="Times New Roman"/>
                <w:bCs/>
                <w:color w:val="000000"/>
                <w:sz w:val="24"/>
                <w:szCs w:val="24"/>
                <w:lang w:eastAsia="ru-RU"/>
              </w:rPr>
            </w:pPr>
            <w:r w:rsidRPr="00006A39">
              <w:rPr>
                <w:rFonts w:eastAsia="Times New Roman"/>
                <w:bCs/>
                <w:color w:val="000000"/>
                <w:sz w:val="24"/>
                <w:szCs w:val="24"/>
                <w:lang w:eastAsia="ru-RU"/>
              </w:rPr>
              <w:t>2018 р.</w:t>
            </w:r>
          </w:p>
        </w:tc>
        <w:tc>
          <w:tcPr>
            <w:tcW w:w="1027" w:type="dxa"/>
            <w:vMerge w:val="restart"/>
            <w:shd w:val="clear" w:color="auto" w:fill="auto"/>
            <w:hideMark/>
          </w:tcPr>
          <w:p w:rsidR="004F31D7" w:rsidRPr="00006A39" w:rsidRDefault="004F31D7" w:rsidP="00721203">
            <w:pPr>
              <w:widowControl w:val="0"/>
              <w:tabs>
                <w:tab w:val="left" w:pos="993"/>
              </w:tabs>
              <w:spacing w:line="288" w:lineRule="auto"/>
              <w:jc w:val="center"/>
              <w:rPr>
                <w:rFonts w:eastAsia="Times New Roman"/>
                <w:bCs/>
                <w:color w:val="000000"/>
                <w:sz w:val="24"/>
                <w:szCs w:val="24"/>
                <w:lang w:eastAsia="ru-RU"/>
              </w:rPr>
            </w:pPr>
            <w:r w:rsidRPr="00006A39">
              <w:rPr>
                <w:rFonts w:eastAsia="Times New Roman"/>
                <w:bCs/>
                <w:color w:val="000000"/>
                <w:sz w:val="24"/>
                <w:szCs w:val="24"/>
                <w:lang w:eastAsia="ru-RU"/>
              </w:rPr>
              <w:t>2018/</w:t>
            </w:r>
          </w:p>
          <w:p w:rsidR="004F31D7" w:rsidRPr="00006A39" w:rsidRDefault="004F31D7" w:rsidP="00721203">
            <w:pPr>
              <w:widowControl w:val="0"/>
              <w:tabs>
                <w:tab w:val="left" w:pos="993"/>
              </w:tabs>
              <w:spacing w:line="288" w:lineRule="auto"/>
              <w:jc w:val="center"/>
              <w:rPr>
                <w:rFonts w:eastAsia="Times New Roman"/>
                <w:bCs/>
                <w:color w:val="000000"/>
                <w:sz w:val="24"/>
                <w:szCs w:val="24"/>
                <w:lang w:eastAsia="ru-RU"/>
              </w:rPr>
            </w:pPr>
            <w:r w:rsidRPr="00006A39">
              <w:rPr>
                <w:rFonts w:eastAsia="Times New Roman"/>
                <w:bCs/>
                <w:color w:val="000000"/>
                <w:sz w:val="24"/>
                <w:szCs w:val="24"/>
                <w:lang w:eastAsia="ru-RU"/>
              </w:rPr>
              <w:t>2014 рр. (%)</w:t>
            </w:r>
          </w:p>
        </w:tc>
      </w:tr>
      <w:tr w:rsidR="004F31D7" w:rsidRPr="00006A39" w:rsidTr="00AD17FC">
        <w:trPr>
          <w:trHeight w:val="331"/>
          <w:jc w:val="center"/>
        </w:trPr>
        <w:tc>
          <w:tcPr>
            <w:tcW w:w="4961" w:type="dxa"/>
            <w:vMerge/>
            <w:hideMark/>
          </w:tcPr>
          <w:p w:rsidR="004F31D7" w:rsidRPr="00006A39" w:rsidRDefault="004F31D7" w:rsidP="00721203">
            <w:pPr>
              <w:widowControl w:val="0"/>
              <w:tabs>
                <w:tab w:val="left" w:pos="993"/>
              </w:tabs>
              <w:spacing w:line="288" w:lineRule="auto"/>
              <w:ind w:firstLine="709"/>
              <w:rPr>
                <w:rFonts w:eastAsia="Times New Roman"/>
                <w:color w:val="000000"/>
                <w:sz w:val="24"/>
                <w:szCs w:val="24"/>
                <w:lang w:eastAsia="ru-RU"/>
              </w:rPr>
            </w:pPr>
          </w:p>
        </w:tc>
        <w:tc>
          <w:tcPr>
            <w:tcW w:w="0" w:type="auto"/>
            <w:vMerge/>
          </w:tcPr>
          <w:p w:rsidR="004F31D7" w:rsidRPr="00006A39" w:rsidRDefault="004F31D7" w:rsidP="00721203">
            <w:pPr>
              <w:widowControl w:val="0"/>
              <w:tabs>
                <w:tab w:val="left" w:pos="993"/>
              </w:tabs>
              <w:spacing w:line="288" w:lineRule="auto"/>
              <w:ind w:firstLine="709"/>
              <w:jc w:val="center"/>
              <w:rPr>
                <w:rFonts w:eastAsia="Times New Roman"/>
                <w:b/>
                <w:bCs/>
                <w:color w:val="000000"/>
                <w:sz w:val="24"/>
                <w:szCs w:val="24"/>
                <w:lang w:eastAsia="ru-RU"/>
              </w:rPr>
            </w:pPr>
          </w:p>
        </w:tc>
        <w:tc>
          <w:tcPr>
            <w:tcW w:w="0" w:type="auto"/>
            <w:vMerge/>
          </w:tcPr>
          <w:p w:rsidR="004F31D7" w:rsidRPr="00006A39" w:rsidRDefault="004F31D7" w:rsidP="00721203">
            <w:pPr>
              <w:widowControl w:val="0"/>
              <w:tabs>
                <w:tab w:val="left" w:pos="993"/>
              </w:tabs>
              <w:spacing w:line="288" w:lineRule="auto"/>
              <w:ind w:firstLine="709"/>
              <w:jc w:val="center"/>
              <w:rPr>
                <w:rFonts w:eastAsia="Times New Roman"/>
                <w:b/>
                <w:bCs/>
                <w:color w:val="000000"/>
                <w:sz w:val="24"/>
                <w:szCs w:val="24"/>
                <w:lang w:eastAsia="ru-RU"/>
              </w:rPr>
            </w:pPr>
          </w:p>
        </w:tc>
        <w:tc>
          <w:tcPr>
            <w:tcW w:w="0" w:type="auto"/>
            <w:vMerge/>
          </w:tcPr>
          <w:p w:rsidR="004F31D7" w:rsidRPr="00006A39" w:rsidRDefault="004F31D7" w:rsidP="00721203">
            <w:pPr>
              <w:widowControl w:val="0"/>
              <w:tabs>
                <w:tab w:val="left" w:pos="993"/>
              </w:tabs>
              <w:spacing w:line="288" w:lineRule="auto"/>
              <w:ind w:firstLine="709"/>
              <w:jc w:val="center"/>
              <w:rPr>
                <w:rFonts w:eastAsia="Times New Roman"/>
                <w:b/>
                <w:bCs/>
                <w:color w:val="000000"/>
                <w:sz w:val="24"/>
                <w:szCs w:val="24"/>
                <w:lang w:eastAsia="ru-RU"/>
              </w:rPr>
            </w:pPr>
          </w:p>
        </w:tc>
        <w:tc>
          <w:tcPr>
            <w:tcW w:w="0" w:type="auto"/>
            <w:vMerge/>
          </w:tcPr>
          <w:p w:rsidR="004F31D7" w:rsidRPr="00006A39" w:rsidRDefault="004F31D7" w:rsidP="00721203">
            <w:pPr>
              <w:widowControl w:val="0"/>
              <w:tabs>
                <w:tab w:val="left" w:pos="993"/>
              </w:tabs>
              <w:spacing w:line="288" w:lineRule="auto"/>
              <w:ind w:firstLine="709"/>
              <w:jc w:val="center"/>
              <w:rPr>
                <w:rFonts w:eastAsia="Times New Roman"/>
                <w:b/>
                <w:bCs/>
                <w:color w:val="000000"/>
                <w:sz w:val="24"/>
                <w:szCs w:val="24"/>
                <w:lang w:eastAsia="ru-RU"/>
              </w:rPr>
            </w:pPr>
          </w:p>
        </w:tc>
        <w:tc>
          <w:tcPr>
            <w:tcW w:w="0" w:type="auto"/>
            <w:vMerge/>
          </w:tcPr>
          <w:p w:rsidR="004F31D7" w:rsidRPr="00006A39" w:rsidRDefault="004F31D7" w:rsidP="00721203">
            <w:pPr>
              <w:widowControl w:val="0"/>
              <w:tabs>
                <w:tab w:val="left" w:pos="993"/>
              </w:tabs>
              <w:spacing w:line="288" w:lineRule="auto"/>
              <w:ind w:firstLine="709"/>
              <w:jc w:val="center"/>
              <w:rPr>
                <w:rFonts w:eastAsia="Times New Roman"/>
                <w:b/>
                <w:bCs/>
                <w:color w:val="000000"/>
                <w:sz w:val="24"/>
                <w:szCs w:val="24"/>
                <w:lang w:eastAsia="ru-RU"/>
              </w:rPr>
            </w:pPr>
          </w:p>
        </w:tc>
        <w:tc>
          <w:tcPr>
            <w:tcW w:w="1027" w:type="dxa"/>
            <w:vMerge/>
            <w:hideMark/>
          </w:tcPr>
          <w:p w:rsidR="004F31D7" w:rsidRPr="00006A39" w:rsidRDefault="004F31D7" w:rsidP="00721203">
            <w:pPr>
              <w:widowControl w:val="0"/>
              <w:tabs>
                <w:tab w:val="left" w:pos="993"/>
              </w:tabs>
              <w:spacing w:line="288" w:lineRule="auto"/>
              <w:ind w:firstLine="709"/>
              <w:jc w:val="center"/>
              <w:rPr>
                <w:rFonts w:eastAsia="Times New Roman"/>
                <w:b/>
                <w:bCs/>
                <w:color w:val="000000"/>
                <w:sz w:val="24"/>
                <w:szCs w:val="24"/>
                <w:lang w:eastAsia="ru-RU"/>
              </w:rPr>
            </w:pPr>
          </w:p>
        </w:tc>
      </w:tr>
      <w:tr w:rsidR="004F31D7" w:rsidRPr="00006A39" w:rsidTr="00AD17FC">
        <w:trPr>
          <w:trHeight w:val="330"/>
          <w:jc w:val="center"/>
        </w:trPr>
        <w:tc>
          <w:tcPr>
            <w:tcW w:w="4961" w:type="dxa"/>
            <w:shd w:val="clear" w:color="auto" w:fill="auto"/>
            <w:hideMark/>
          </w:tcPr>
          <w:p w:rsidR="004F31D7" w:rsidRPr="00006A39" w:rsidRDefault="004F31D7" w:rsidP="00721203">
            <w:pPr>
              <w:widowControl w:val="0"/>
              <w:tabs>
                <w:tab w:val="left" w:pos="993"/>
              </w:tabs>
              <w:spacing w:line="288" w:lineRule="auto"/>
              <w:rPr>
                <w:rFonts w:eastAsia="Times New Roman"/>
                <w:color w:val="000000"/>
                <w:sz w:val="24"/>
                <w:szCs w:val="24"/>
                <w:lang w:eastAsia="ru-RU"/>
              </w:rPr>
            </w:pPr>
            <w:r w:rsidRPr="00006A39">
              <w:rPr>
                <w:rFonts w:eastAsia="Times New Roman"/>
                <w:color w:val="000000"/>
                <w:sz w:val="24"/>
                <w:szCs w:val="24"/>
                <w:lang w:eastAsia="ru-RU"/>
              </w:rPr>
              <w:t>Уроджені аномалії, деформації та хромосомні порушення</w:t>
            </w:r>
          </w:p>
        </w:tc>
        <w:tc>
          <w:tcPr>
            <w:tcW w:w="0" w:type="auto"/>
            <w:shd w:val="clear" w:color="auto" w:fill="auto"/>
          </w:tcPr>
          <w:p w:rsidR="004F31D7" w:rsidRPr="00006A39" w:rsidRDefault="004F31D7" w:rsidP="00721203">
            <w:pPr>
              <w:widowControl w:val="0"/>
              <w:tabs>
                <w:tab w:val="left" w:pos="993"/>
              </w:tabs>
              <w:spacing w:line="288" w:lineRule="auto"/>
              <w:jc w:val="center"/>
              <w:rPr>
                <w:rFonts w:eastAsia="Times New Roman"/>
                <w:color w:val="000000"/>
                <w:sz w:val="24"/>
                <w:szCs w:val="24"/>
                <w:lang w:eastAsia="ru-RU"/>
              </w:rPr>
            </w:pPr>
            <w:r w:rsidRPr="00006A39">
              <w:rPr>
                <w:rFonts w:eastAsia="Times New Roman"/>
                <w:bCs/>
                <w:color w:val="000000"/>
                <w:sz w:val="24"/>
                <w:szCs w:val="24"/>
                <w:lang w:eastAsia="ru-RU"/>
              </w:rPr>
              <w:t>23,05</w:t>
            </w:r>
          </w:p>
        </w:tc>
        <w:tc>
          <w:tcPr>
            <w:tcW w:w="0" w:type="auto"/>
            <w:shd w:val="clear" w:color="auto" w:fill="auto"/>
          </w:tcPr>
          <w:p w:rsidR="004F31D7" w:rsidRPr="00006A39" w:rsidRDefault="004F31D7" w:rsidP="00721203">
            <w:pPr>
              <w:widowControl w:val="0"/>
              <w:tabs>
                <w:tab w:val="left" w:pos="993"/>
              </w:tabs>
              <w:spacing w:line="288" w:lineRule="auto"/>
              <w:jc w:val="center"/>
              <w:rPr>
                <w:rFonts w:eastAsia="Times New Roman"/>
                <w:color w:val="000000"/>
                <w:sz w:val="24"/>
                <w:szCs w:val="24"/>
                <w:lang w:eastAsia="ru-RU"/>
              </w:rPr>
            </w:pPr>
            <w:r w:rsidRPr="00006A39">
              <w:rPr>
                <w:rFonts w:eastAsia="Times New Roman"/>
                <w:bCs/>
                <w:color w:val="000000"/>
                <w:sz w:val="24"/>
                <w:szCs w:val="24"/>
                <w:lang w:eastAsia="ru-RU"/>
              </w:rPr>
              <w:t>24,02</w:t>
            </w:r>
          </w:p>
        </w:tc>
        <w:tc>
          <w:tcPr>
            <w:tcW w:w="0" w:type="auto"/>
            <w:shd w:val="clear" w:color="auto" w:fill="auto"/>
          </w:tcPr>
          <w:p w:rsidR="004F31D7" w:rsidRPr="00006A39" w:rsidRDefault="004F31D7" w:rsidP="00721203">
            <w:pPr>
              <w:widowControl w:val="0"/>
              <w:tabs>
                <w:tab w:val="left" w:pos="993"/>
              </w:tabs>
              <w:spacing w:line="288" w:lineRule="auto"/>
              <w:jc w:val="center"/>
              <w:rPr>
                <w:rFonts w:eastAsia="Times New Roman"/>
                <w:color w:val="000000"/>
                <w:sz w:val="24"/>
                <w:szCs w:val="24"/>
                <w:lang w:eastAsia="ru-RU"/>
              </w:rPr>
            </w:pPr>
            <w:r w:rsidRPr="00006A39">
              <w:rPr>
                <w:rFonts w:eastAsia="Times New Roman"/>
                <w:bCs/>
                <w:color w:val="000000"/>
                <w:sz w:val="24"/>
                <w:szCs w:val="24"/>
                <w:lang w:eastAsia="ru-RU"/>
              </w:rPr>
              <w:t>24,38</w:t>
            </w:r>
          </w:p>
        </w:tc>
        <w:tc>
          <w:tcPr>
            <w:tcW w:w="0" w:type="auto"/>
            <w:shd w:val="clear" w:color="auto" w:fill="auto"/>
          </w:tcPr>
          <w:p w:rsidR="004F31D7" w:rsidRPr="00006A39" w:rsidRDefault="004F31D7" w:rsidP="00721203">
            <w:pPr>
              <w:widowControl w:val="0"/>
              <w:tabs>
                <w:tab w:val="left" w:pos="993"/>
              </w:tabs>
              <w:spacing w:line="288" w:lineRule="auto"/>
              <w:jc w:val="center"/>
              <w:rPr>
                <w:rFonts w:eastAsia="Times New Roman"/>
                <w:color w:val="000000"/>
                <w:sz w:val="24"/>
                <w:szCs w:val="24"/>
                <w:lang w:eastAsia="ru-RU"/>
              </w:rPr>
            </w:pPr>
            <w:r w:rsidRPr="00006A39">
              <w:rPr>
                <w:rFonts w:eastAsia="Times New Roman"/>
                <w:color w:val="000000"/>
                <w:sz w:val="24"/>
                <w:szCs w:val="24"/>
                <w:lang w:eastAsia="ru-RU"/>
              </w:rPr>
              <w:t>26,04</w:t>
            </w:r>
          </w:p>
        </w:tc>
        <w:tc>
          <w:tcPr>
            <w:tcW w:w="0" w:type="auto"/>
            <w:shd w:val="clear" w:color="auto" w:fill="auto"/>
          </w:tcPr>
          <w:p w:rsidR="004F31D7" w:rsidRPr="00006A39" w:rsidRDefault="004F31D7" w:rsidP="00721203">
            <w:pPr>
              <w:widowControl w:val="0"/>
              <w:tabs>
                <w:tab w:val="left" w:pos="993"/>
              </w:tabs>
              <w:spacing w:line="288" w:lineRule="auto"/>
              <w:jc w:val="center"/>
              <w:rPr>
                <w:rFonts w:eastAsia="Times New Roman"/>
                <w:color w:val="000000"/>
                <w:sz w:val="24"/>
                <w:szCs w:val="24"/>
                <w:lang w:eastAsia="ru-RU"/>
              </w:rPr>
            </w:pPr>
            <w:r w:rsidRPr="00006A39">
              <w:rPr>
                <w:rFonts w:eastAsia="Times New Roman"/>
                <w:color w:val="000000"/>
                <w:sz w:val="24"/>
                <w:szCs w:val="24"/>
                <w:lang w:eastAsia="ru-RU"/>
              </w:rPr>
              <w:t>25,92</w:t>
            </w:r>
          </w:p>
        </w:tc>
        <w:tc>
          <w:tcPr>
            <w:tcW w:w="1027" w:type="dxa"/>
            <w:shd w:val="clear" w:color="auto" w:fill="auto"/>
          </w:tcPr>
          <w:p w:rsidR="004F31D7" w:rsidRPr="00006A39" w:rsidRDefault="004F31D7" w:rsidP="00721203">
            <w:pPr>
              <w:widowControl w:val="0"/>
              <w:tabs>
                <w:tab w:val="left" w:pos="993"/>
              </w:tabs>
              <w:spacing w:line="288" w:lineRule="auto"/>
              <w:jc w:val="center"/>
              <w:rPr>
                <w:rFonts w:eastAsia="Times New Roman"/>
                <w:color w:val="000000"/>
                <w:sz w:val="24"/>
                <w:szCs w:val="24"/>
                <w:lang w:eastAsia="ru-RU"/>
              </w:rPr>
            </w:pPr>
            <w:r w:rsidRPr="00006A39">
              <w:rPr>
                <w:rFonts w:eastAsia="Times New Roman"/>
                <w:color w:val="000000"/>
                <w:sz w:val="24"/>
                <w:szCs w:val="24"/>
                <w:lang w:eastAsia="ru-RU"/>
              </w:rPr>
              <w:t>112,45</w:t>
            </w:r>
          </w:p>
        </w:tc>
      </w:tr>
      <w:tr w:rsidR="004F31D7" w:rsidRPr="00006A39" w:rsidTr="00AD17FC">
        <w:trPr>
          <w:trHeight w:val="330"/>
          <w:jc w:val="center"/>
        </w:trPr>
        <w:tc>
          <w:tcPr>
            <w:tcW w:w="4961" w:type="dxa"/>
            <w:shd w:val="clear" w:color="auto" w:fill="auto"/>
            <w:hideMark/>
          </w:tcPr>
          <w:p w:rsidR="004F31D7" w:rsidRPr="00006A39" w:rsidRDefault="004F31D7" w:rsidP="00721203">
            <w:pPr>
              <w:widowControl w:val="0"/>
              <w:tabs>
                <w:tab w:val="left" w:pos="993"/>
              </w:tabs>
              <w:spacing w:line="288" w:lineRule="auto"/>
              <w:rPr>
                <w:rFonts w:eastAsia="Times New Roman"/>
                <w:color w:val="000000"/>
                <w:sz w:val="24"/>
                <w:szCs w:val="24"/>
                <w:lang w:eastAsia="ru-RU"/>
              </w:rPr>
            </w:pPr>
            <w:r w:rsidRPr="00006A39">
              <w:rPr>
                <w:rFonts w:eastAsia="Times New Roman"/>
                <w:color w:val="000000"/>
                <w:sz w:val="24"/>
                <w:szCs w:val="24"/>
                <w:lang w:eastAsia="ru-RU"/>
              </w:rPr>
              <w:t>Сповільнений ріст та недостатність живлення плода</w:t>
            </w:r>
          </w:p>
        </w:tc>
        <w:tc>
          <w:tcPr>
            <w:tcW w:w="0" w:type="auto"/>
            <w:shd w:val="clear" w:color="auto" w:fill="auto"/>
          </w:tcPr>
          <w:p w:rsidR="004F31D7" w:rsidRPr="00006A39" w:rsidRDefault="004F31D7" w:rsidP="00721203">
            <w:pPr>
              <w:widowControl w:val="0"/>
              <w:tabs>
                <w:tab w:val="left" w:pos="993"/>
              </w:tabs>
              <w:spacing w:line="288" w:lineRule="auto"/>
              <w:jc w:val="center"/>
              <w:rPr>
                <w:rFonts w:eastAsia="Times New Roman"/>
                <w:color w:val="000000"/>
                <w:sz w:val="24"/>
                <w:szCs w:val="24"/>
                <w:lang w:eastAsia="ru-RU"/>
              </w:rPr>
            </w:pPr>
            <w:r w:rsidRPr="00006A39">
              <w:rPr>
                <w:rFonts w:eastAsia="Times New Roman"/>
                <w:bCs/>
                <w:color w:val="000000"/>
                <w:sz w:val="24"/>
                <w:szCs w:val="24"/>
                <w:lang w:eastAsia="ru-RU"/>
              </w:rPr>
              <w:t>21,34</w:t>
            </w:r>
          </w:p>
        </w:tc>
        <w:tc>
          <w:tcPr>
            <w:tcW w:w="0" w:type="auto"/>
            <w:shd w:val="clear" w:color="auto" w:fill="auto"/>
          </w:tcPr>
          <w:p w:rsidR="004F31D7" w:rsidRPr="00006A39" w:rsidRDefault="004F31D7" w:rsidP="00721203">
            <w:pPr>
              <w:widowControl w:val="0"/>
              <w:tabs>
                <w:tab w:val="left" w:pos="993"/>
              </w:tabs>
              <w:spacing w:line="288" w:lineRule="auto"/>
              <w:jc w:val="center"/>
              <w:rPr>
                <w:rFonts w:eastAsia="Times New Roman"/>
                <w:color w:val="000000"/>
                <w:sz w:val="24"/>
                <w:szCs w:val="24"/>
                <w:lang w:eastAsia="ru-RU"/>
              </w:rPr>
            </w:pPr>
            <w:r w:rsidRPr="00006A39">
              <w:rPr>
                <w:rFonts w:eastAsia="Times New Roman"/>
                <w:bCs/>
                <w:color w:val="000000"/>
                <w:sz w:val="24"/>
                <w:szCs w:val="24"/>
                <w:lang w:eastAsia="ru-RU"/>
              </w:rPr>
              <w:t>20,79</w:t>
            </w:r>
          </w:p>
        </w:tc>
        <w:tc>
          <w:tcPr>
            <w:tcW w:w="0" w:type="auto"/>
            <w:shd w:val="clear" w:color="auto" w:fill="auto"/>
          </w:tcPr>
          <w:p w:rsidR="004F31D7" w:rsidRPr="00006A39" w:rsidRDefault="004F31D7" w:rsidP="00721203">
            <w:pPr>
              <w:widowControl w:val="0"/>
              <w:tabs>
                <w:tab w:val="left" w:pos="993"/>
              </w:tabs>
              <w:spacing w:line="288" w:lineRule="auto"/>
              <w:jc w:val="center"/>
              <w:rPr>
                <w:rFonts w:eastAsia="Times New Roman"/>
                <w:color w:val="000000"/>
                <w:sz w:val="24"/>
                <w:szCs w:val="24"/>
                <w:lang w:eastAsia="ru-RU"/>
              </w:rPr>
            </w:pPr>
            <w:r w:rsidRPr="00006A39">
              <w:rPr>
                <w:rFonts w:eastAsia="Times New Roman"/>
                <w:bCs/>
                <w:color w:val="000000"/>
                <w:sz w:val="24"/>
                <w:szCs w:val="24"/>
                <w:lang w:eastAsia="ru-RU"/>
              </w:rPr>
              <w:t>20,41</w:t>
            </w:r>
          </w:p>
        </w:tc>
        <w:tc>
          <w:tcPr>
            <w:tcW w:w="0" w:type="auto"/>
            <w:shd w:val="clear" w:color="auto" w:fill="auto"/>
          </w:tcPr>
          <w:p w:rsidR="004F31D7" w:rsidRPr="00006A39" w:rsidRDefault="004F31D7" w:rsidP="00721203">
            <w:pPr>
              <w:widowControl w:val="0"/>
              <w:tabs>
                <w:tab w:val="left" w:pos="993"/>
              </w:tabs>
              <w:spacing w:line="288" w:lineRule="auto"/>
              <w:jc w:val="center"/>
              <w:rPr>
                <w:rFonts w:eastAsia="Times New Roman"/>
                <w:color w:val="000000"/>
                <w:sz w:val="24"/>
                <w:szCs w:val="24"/>
                <w:lang w:eastAsia="ru-RU"/>
              </w:rPr>
            </w:pPr>
            <w:r w:rsidRPr="00006A39">
              <w:rPr>
                <w:rFonts w:eastAsia="Times New Roman"/>
                <w:color w:val="000000"/>
                <w:sz w:val="24"/>
                <w:szCs w:val="24"/>
                <w:lang w:eastAsia="ru-RU"/>
              </w:rPr>
              <w:t>20,62</w:t>
            </w:r>
          </w:p>
        </w:tc>
        <w:tc>
          <w:tcPr>
            <w:tcW w:w="0" w:type="auto"/>
            <w:shd w:val="clear" w:color="auto" w:fill="auto"/>
          </w:tcPr>
          <w:p w:rsidR="004F31D7" w:rsidRPr="00006A39" w:rsidRDefault="004F31D7" w:rsidP="00721203">
            <w:pPr>
              <w:widowControl w:val="0"/>
              <w:tabs>
                <w:tab w:val="left" w:pos="993"/>
              </w:tabs>
              <w:spacing w:line="288" w:lineRule="auto"/>
              <w:jc w:val="center"/>
              <w:rPr>
                <w:rFonts w:eastAsia="Times New Roman"/>
                <w:color w:val="000000"/>
                <w:sz w:val="24"/>
                <w:szCs w:val="24"/>
                <w:lang w:eastAsia="ru-RU"/>
              </w:rPr>
            </w:pPr>
            <w:r w:rsidRPr="00006A39">
              <w:rPr>
                <w:rFonts w:eastAsia="Times New Roman"/>
                <w:color w:val="000000"/>
                <w:sz w:val="24"/>
                <w:szCs w:val="24"/>
                <w:lang w:eastAsia="ru-RU"/>
              </w:rPr>
              <w:t>21,33</w:t>
            </w:r>
          </w:p>
        </w:tc>
        <w:tc>
          <w:tcPr>
            <w:tcW w:w="1027" w:type="dxa"/>
            <w:shd w:val="clear" w:color="auto" w:fill="auto"/>
          </w:tcPr>
          <w:p w:rsidR="004F31D7" w:rsidRPr="00006A39" w:rsidRDefault="004F31D7" w:rsidP="00721203">
            <w:pPr>
              <w:widowControl w:val="0"/>
              <w:tabs>
                <w:tab w:val="left" w:pos="993"/>
              </w:tabs>
              <w:spacing w:line="288" w:lineRule="auto"/>
              <w:jc w:val="center"/>
              <w:rPr>
                <w:rFonts w:eastAsia="Times New Roman"/>
                <w:color w:val="000000"/>
                <w:sz w:val="24"/>
                <w:szCs w:val="24"/>
                <w:lang w:eastAsia="ru-RU"/>
              </w:rPr>
            </w:pPr>
            <w:r w:rsidRPr="00006A39">
              <w:rPr>
                <w:rFonts w:eastAsia="Times New Roman"/>
                <w:color w:val="000000"/>
                <w:sz w:val="24"/>
                <w:szCs w:val="24"/>
                <w:lang w:eastAsia="ru-RU"/>
              </w:rPr>
              <w:t>99,95</w:t>
            </w:r>
          </w:p>
        </w:tc>
      </w:tr>
      <w:tr w:rsidR="004F31D7" w:rsidRPr="00006A39" w:rsidTr="00AD17FC">
        <w:trPr>
          <w:trHeight w:val="330"/>
          <w:jc w:val="center"/>
        </w:trPr>
        <w:tc>
          <w:tcPr>
            <w:tcW w:w="4961" w:type="dxa"/>
            <w:shd w:val="clear" w:color="auto" w:fill="auto"/>
            <w:hideMark/>
          </w:tcPr>
          <w:p w:rsidR="004F31D7" w:rsidRPr="00006A39" w:rsidRDefault="004F31D7" w:rsidP="00721203">
            <w:pPr>
              <w:widowControl w:val="0"/>
              <w:tabs>
                <w:tab w:val="left" w:pos="993"/>
              </w:tabs>
              <w:spacing w:line="288" w:lineRule="auto"/>
              <w:rPr>
                <w:rFonts w:eastAsia="Times New Roman"/>
                <w:color w:val="000000"/>
                <w:sz w:val="24"/>
                <w:szCs w:val="24"/>
                <w:lang w:eastAsia="ru-RU"/>
              </w:rPr>
            </w:pPr>
            <w:r w:rsidRPr="00006A39">
              <w:rPr>
                <w:rFonts w:eastAsia="Times New Roman"/>
                <w:color w:val="000000"/>
                <w:sz w:val="24"/>
                <w:szCs w:val="24"/>
                <w:lang w:eastAsia="ru-RU"/>
              </w:rPr>
              <w:t>Родова травма</w:t>
            </w:r>
          </w:p>
        </w:tc>
        <w:tc>
          <w:tcPr>
            <w:tcW w:w="0" w:type="auto"/>
            <w:shd w:val="clear" w:color="auto" w:fill="auto"/>
          </w:tcPr>
          <w:p w:rsidR="004F31D7" w:rsidRPr="00006A39" w:rsidRDefault="004F31D7" w:rsidP="00721203">
            <w:pPr>
              <w:widowControl w:val="0"/>
              <w:tabs>
                <w:tab w:val="left" w:pos="993"/>
              </w:tabs>
              <w:spacing w:line="288" w:lineRule="auto"/>
              <w:jc w:val="center"/>
              <w:rPr>
                <w:rFonts w:eastAsia="Times New Roman"/>
                <w:color w:val="000000"/>
                <w:sz w:val="24"/>
                <w:szCs w:val="24"/>
                <w:lang w:eastAsia="ru-RU"/>
              </w:rPr>
            </w:pPr>
            <w:r w:rsidRPr="00006A39">
              <w:rPr>
                <w:rFonts w:eastAsia="Times New Roman"/>
                <w:bCs/>
                <w:color w:val="000000"/>
                <w:sz w:val="24"/>
                <w:szCs w:val="24"/>
                <w:lang w:eastAsia="ru-RU"/>
              </w:rPr>
              <w:t>17,54</w:t>
            </w:r>
          </w:p>
        </w:tc>
        <w:tc>
          <w:tcPr>
            <w:tcW w:w="0" w:type="auto"/>
            <w:shd w:val="clear" w:color="auto" w:fill="auto"/>
          </w:tcPr>
          <w:p w:rsidR="004F31D7" w:rsidRPr="00006A39" w:rsidRDefault="004F31D7" w:rsidP="00721203">
            <w:pPr>
              <w:widowControl w:val="0"/>
              <w:tabs>
                <w:tab w:val="left" w:pos="993"/>
              </w:tabs>
              <w:spacing w:line="288" w:lineRule="auto"/>
              <w:jc w:val="center"/>
              <w:rPr>
                <w:rFonts w:eastAsia="Times New Roman"/>
                <w:color w:val="000000"/>
                <w:sz w:val="24"/>
                <w:szCs w:val="24"/>
                <w:lang w:eastAsia="ru-RU"/>
              </w:rPr>
            </w:pPr>
            <w:r w:rsidRPr="00006A39">
              <w:rPr>
                <w:rFonts w:eastAsia="Times New Roman"/>
                <w:bCs/>
                <w:color w:val="000000"/>
                <w:sz w:val="24"/>
                <w:szCs w:val="24"/>
                <w:lang w:eastAsia="ru-RU"/>
              </w:rPr>
              <w:t>17,64</w:t>
            </w:r>
          </w:p>
        </w:tc>
        <w:tc>
          <w:tcPr>
            <w:tcW w:w="0" w:type="auto"/>
            <w:shd w:val="clear" w:color="auto" w:fill="auto"/>
          </w:tcPr>
          <w:p w:rsidR="004F31D7" w:rsidRPr="00006A39" w:rsidRDefault="004F31D7" w:rsidP="00721203">
            <w:pPr>
              <w:widowControl w:val="0"/>
              <w:tabs>
                <w:tab w:val="left" w:pos="993"/>
              </w:tabs>
              <w:spacing w:line="288" w:lineRule="auto"/>
              <w:jc w:val="center"/>
              <w:rPr>
                <w:rFonts w:eastAsia="Times New Roman"/>
                <w:color w:val="000000"/>
                <w:sz w:val="24"/>
                <w:szCs w:val="24"/>
                <w:lang w:eastAsia="ru-RU"/>
              </w:rPr>
            </w:pPr>
            <w:r w:rsidRPr="00006A39">
              <w:rPr>
                <w:rFonts w:eastAsia="Times New Roman"/>
                <w:bCs/>
                <w:color w:val="000000"/>
                <w:sz w:val="24"/>
                <w:szCs w:val="24"/>
                <w:lang w:eastAsia="ru-RU"/>
              </w:rPr>
              <w:t>17,57</w:t>
            </w:r>
          </w:p>
        </w:tc>
        <w:tc>
          <w:tcPr>
            <w:tcW w:w="0" w:type="auto"/>
            <w:shd w:val="clear" w:color="auto" w:fill="auto"/>
          </w:tcPr>
          <w:p w:rsidR="004F31D7" w:rsidRPr="00006A39" w:rsidRDefault="004F31D7" w:rsidP="00721203">
            <w:pPr>
              <w:widowControl w:val="0"/>
              <w:tabs>
                <w:tab w:val="left" w:pos="993"/>
              </w:tabs>
              <w:spacing w:line="288" w:lineRule="auto"/>
              <w:jc w:val="center"/>
              <w:rPr>
                <w:rFonts w:eastAsia="Times New Roman"/>
                <w:color w:val="000000"/>
                <w:sz w:val="24"/>
                <w:szCs w:val="24"/>
                <w:lang w:eastAsia="ru-RU"/>
              </w:rPr>
            </w:pPr>
            <w:r w:rsidRPr="00006A39">
              <w:rPr>
                <w:rFonts w:eastAsia="Times New Roman"/>
                <w:color w:val="000000"/>
                <w:sz w:val="24"/>
                <w:szCs w:val="24"/>
                <w:lang w:eastAsia="ru-RU"/>
              </w:rPr>
              <w:t>18,25</w:t>
            </w:r>
          </w:p>
        </w:tc>
        <w:tc>
          <w:tcPr>
            <w:tcW w:w="0" w:type="auto"/>
            <w:shd w:val="clear" w:color="auto" w:fill="auto"/>
          </w:tcPr>
          <w:p w:rsidR="004F31D7" w:rsidRPr="00006A39" w:rsidRDefault="004F31D7" w:rsidP="00721203">
            <w:pPr>
              <w:widowControl w:val="0"/>
              <w:tabs>
                <w:tab w:val="left" w:pos="993"/>
              </w:tabs>
              <w:spacing w:line="288" w:lineRule="auto"/>
              <w:jc w:val="center"/>
              <w:rPr>
                <w:rFonts w:eastAsia="Times New Roman"/>
                <w:color w:val="000000"/>
                <w:sz w:val="24"/>
                <w:szCs w:val="24"/>
                <w:lang w:eastAsia="ru-RU"/>
              </w:rPr>
            </w:pPr>
            <w:r w:rsidRPr="00006A39">
              <w:rPr>
                <w:rFonts w:eastAsia="Times New Roman"/>
                <w:color w:val="000000"/>
                <w:sz w:val="24"/>
                <w:szCs w:val="24"/>
                <w:lang w:eastAsia="ru-RU"/>
              </w:rPr>
              <w:t>17,84</w:t>
            </w:r>
          </w:p>
        </w:tc>
        <w:tc>
          <w:tcPr>
            <w:tcW w:w="1027" w:type="dxa"/>
            <w:shd w:val="clear" w:color="auto" w:fill="auto"/>
          </w:tcPr>
          <w:p w:rsidR="004F31D7" w:rsidRPr="00006A39" w:rsidRDefault="004F31D7" w:rsidP="00721203">
            <w:pPr>
              <w:widowControl w:val="0"/>
              <w:tabs>
                <w:tab w:val="left" w:pos="993"/>
              </w:tabs>
              <w:spacing w:line="288" w:lineRule="auto"/>
              <w:jc w:val="center"/>
              <w:rPr>
                <w:rFonts w:eastAsia="Times New Roman"/>
                <w:color w:val="000000"/>
                <w:sz w:val="24"/>
                <w:szCs w:val="24"/>
                <w:lang w:eastAsia="ru-RU"/>
              </w:rPr>
            </w:pPr>
            <w:r w:rsidRPr="00006A39">
              <w:rPr>
                <w:rFonts w:eastAsia="Times New Roman"/>
                <w:color w:val="000000"/>
                <w:sz w:val="24"/>
                <w:szCs w:val="24"/>
                <w:lang w:eastAsia="ru-RU"/>
              </w:rPr>
              <w:t>101,71</w:t>
            </w:r>
          </w:p>
        </w:tc>
      </w:tr>
      <w:tr w:rsidR="004F31D7" w:rsidRPr="00006A39" w:rsidTr="00AD17FC">
        <w:trPr>
          <w:trHeight w:val="330"/>
          <w:jc w:val="center"/>
        </w:trPr>
        <w:tc>
          <w:tcPr>
            <w:tcW w:w="4961" w:type="dxa"/>
            <w:shd w:val="clear" w:color="auto" w:fill="auto"/>
            <w:hideMark/>
          </w:tcPr>
          <w:p w:rsidR="004F31D7" w:rsidRPr="00006A39" w:rsidRDefault="004F31D7" w:rsidP="00721203">
            <w:pPr>
              <w:widowControl w:val="0"/>
              <w:tabs>
                <w:tab w:val="left" w:pos="993"/>
              </w:tabs>
              <w:spacing w:line="288" w:lineRule="auto"/>
              <w:rPr>
                <w:rFonts w:eastAsia="Times New Roman"/>
                <w:color w:val="000000"/>
                <w:sz w:val="24"/>
                <w:szCs w:val="24"/>
                <w:lang w:eastAsia="ru-RU"/>
              </w:rPr>
            </w:pPr>
            <w:r w:rsidRPr="00006A39">
              <w:rPr>
                <w:rFonts w:eastAsia="Times New Roman"/>
                <w:color w:val="000000"/>
                <w:sz w:val="24"/>
                <w:szCs w:val="24"/>
                <w:lang w:eastAsia="ru-RU"/>
              </w:rPr>
              <w:t xml:space="preserve">в т.ч. </w:t>
            </w:r>
            <w:r w:rsidR="0098659F" w:rsidRPr="00006A39">
              <w:rPr>
                <w:rFonts w:eastAsia="Times New Roman"/>
                <w:color w:val="000000"/>
                <w:sz w:val="24"/>
                <w:szCs w:val="24"/>
                <w:lang w:eastAsia="ru-RU"/>
              </w:rPr>
              <w:t>внутрішньочерепна</w:t>
            </w:r>
            <w:r w:rsidRPr="00006A39">
              <w:rPr>
                <w:rFonts w:eastAsia="Times New Roman"/>
                <w:color w:val="000000"/>
                <w:sz w:val="24"/>
                <w:szCs w:val="24"/>
                <w:lang w:eastAsia="ru-RU"/>
              </w:rPr>
              <w:t xml:space="preserve"> родова травма</w:t>
            </w:r>
          </w:p>
        </w:tc>
        <w:tc>
          <w:tcPr>
            <w:tcW w:w="0" w:type="auto"/>
            <w:shd w:val="clear" w:color="auto" w:fill="auto"/>
          </w:tcPr>
          <w:p w:rsidR="004F31D7" w:rsidRPr="00006A39" w:rsidRDefault="004F31D7" w:rsidP="00721203">
            <w:pPr>
              <w:widowControl w:val="0"/>
              <w:tabs>
                <w:tab w:val="left" w:pos="993"/>
              </w:tabs>
              <w:spacing w:line="288" w:lineRule="auto"/>
              <w:jc w:val="center"/>
              <w:rPr>
                <w:rFonts w:eastAsia="Times New Roman"/>
                <w:color w:val="000000"/>
                <w:sz w:val="24"/>
                <w:szCs w:val="24"/>
                <w:lang w:eastAsia="ru-RU"/>
              </w:rPr>
            </w:pPr>
            <w:r w:rsidRPr="00006A39">
              <w:rPr>
                <w:rFonts w:eastAsia="Times New Roman"/>
                <w:bCs/>
                <w:color w:val="000000"/>
                <w:sz w:val="24"/>
                <w:szCs w:val="24"/>
                <w:lang w:eastAsia="ru-RU"/>
              </w:rPr>
              <w:t>0,02</w:t>
            </w:r>
          </w:p>
        </w:tc>
        <w:tc>
          <w:tcPr>
            <w:tcW w:w="0" w:type="auto"/>
            <w:shd w:val="clear" w:color="auto" w:fill="auto"/>
          </w:tcPr>
          <w:p w:rsidR="004F31D7" w:rsidRPr="00006A39" w:rsidRDefault="004F31D7" w:rsidP="00721203">
            <w:pPr>
              <w:widowControl w:val="0"/>
              <w:tabs>
                <w:tab w:val="left" w:pos="993"/>
              </w:tabs>
              <w:spacing w:line="288" w:lineRule="auto"/>
              <w:jc w:val="center"/>
              <w:rPr>
                <w:rFonts w:eastAsia="Times New Roman"/>
                <w:color w:val="000000"/>
                <w:sz w:val="24"/>
                <w:szCs w:val="24"/>
                <w:lang w:eastAsia="ru-RU"/>
              </w:rPr>
            </w:pPr>
            <w:r w:rsidRPr="00006A39">
              <w:rPr>
                <w:rFonts w:eastAsia="Times New Roman"/>
                <w:bCs/>
                <w:color w:val="000000"/>
                <w:sz w:val="24"/>
                <w:szCs w:val="24"/>
                <w:lang w:eastAsia="ru-RU"/>
              </w:rPr>
              <w:t>0,03</w:t>
            </w:r>
          </w:p>
        </w:tc>
        <w:tc>
          <w:tcPr>
            <w:tcW w:w="0" w:type="auto"/>
            <w:shd w:val="clear" w:color="auto" w:fill="auto"/>
          </w:tcPr>
          <w:p w:rsidR="004F31D7" w:rsidRPr="00006A39" w:rsidRDefault="004F31D7" w:rsidP="00721203">
            <w:pPr>
              <w:widowControl w:val="0"/>
              <w:tabs>
                <w:tab w:val="left" w:pos="993"/>
              </w:tabs>
              <w:spacing w:line="288" w:lineRule="auto"/>
              <w:jc w:val="center"/>
              <w:rPr>
                <w:rFonts w:eastAsia="Times New Roman"/>
                <w:color w:val="000000"/>
                <w:sz w:val="24"/>
                <w:szCs w:val="24"/>
                <w:lang w:eastAsia="ru-RU"/>
              </w:rPr>
            </w:pPr>
            <w:r w:rsidRPr="00006A39">
              <w:rPr>
                <w:rFonts w:eastAsia="Times New Roman"/>
                <w:bCs/>
                <w:color w:val="000000"/>
                <w:sz w:val="24"/>
                <w:szCs w:val="24"/>
                <w:lang w:eastAsia="ru-RU"/>
              </w:rPr>
              <w:t>0,02</w:t>
            </w:r>
          </w:p>
        </w:tc>
        <w:tc>
          <w:tcPr>
            <w:tcW w:w="0" w:type="auto"/>
            <w:shd w:val="clear" w:color="auto" w:fill="auto"/>
          </w:tcPr>
          <w:p w:rsidR="004F31D7" w:rsidRPr="00006A39" w:rsidRDefault="004F31D7" w:rsidP="00721203">
            <w:pPr>
              <w:widowControl w:val="0"/>
              <w:tabs>
                <w:tab w:val="left" w:pos="993"/>
              </w:tabs>
              <w:spacing w:line="288" w:lineRule="auto"/>
              <w:jc w:val="center"/>
              <w:rPr>
                <w:rFonts w:eastAsia="Times New Roman"/>
                <w:color w:val="000000"/>
                <w:sz w:val="24"/>
                <w:szCs w:val="24"/>
                <w:lang w:eastAsia="ru-RU"/>
              </w:rPr>
            </w:pPr>
            <w:r w:rsidRPr="00006A39">
              <w:rPr>
                <w:rFonts w:eastAsia="Times New Roman"/>
                <w:color w:val="000000"/>
                <w:sz w:val="24"/>
                <w:szCs w:val="24"/>
                <w:lang w:eastAsia="ru-RU"/>
              </w:rPr>
              <w:t>0,02</w:t>
            </w:r>
          </w:p>
        </w:tc>
        <w:tc>
          <w:tcPr>
            <w:tcW w:w="0" w:type="auto"/>
            <w:shd w:val="clear" w:color="auto" w:fill="auto"/>
          </w:tcPr>
          <w:p w:rsidR="004F31D7" w:rsidRPr="00006A39" w:rsidRDefault="004F31D7" w:rsidP="00721203">
            <w:pPr>
              <w:widowControl w:val="0"/>
              <w:tabs>
                <w:tab w:val="left" w:pos="993"/>
              </w:tabs>
              <w:spacing w:line="288" w:lineRule="auto"/>
              <w:jc w:val="center"/>
              <w:rPr>
                <w:rFonts w:eastAsia="Times New Roman"/>
                <w:color w:val="000000"/>
                <w:sz w:val="24"/>
                <w:szCs w:val="24"/>
                <w:lang w:eastAsia="ru-RU"/>
              </w:rPr>
            </w:pPr>
            <w:r w:rsidRPr="00006A39">
              <w:rPr>
                <w:rFonts w:eastAsia="Times New Roman"/>
                <w:color w:val="000000"/>
                <w:sz w:val="24"/>
                <w:szCs w:val="24"/>
                <w:lang w:eastAsia="ru-RU"/>
              </w:rPr>
              <w:t>0,01</w:t>
            </w:r>
          </w:p>
        </w:tc>
        <w:tc>
          <w:tcPr>
            <w:tcW w:w="1027" w:type="dxa"/>
            <w:shd w:val="clear" w:color="auto" w:fill="auto"/>
          </w:tcPr>
          <w:p w:rsidR="004F31D7" w:rsidRPr="00006A39" w:rsidRDefault="004F31D7" w:rsidP="00721203">
            <w:pPr>
              <w:widowControl w:val="0"/>
              <w:tabs>
                <w:tab w:val="left" w:pos="993"/>
              </w:tabs>
              <w:spacing w:line="288" w:lineRule="auto"/>
              <w:jc w:val="center"/>
              <w:rPr>
                <w:rFonts w:eastAsia="Times New Roman"/>
                <w:color w:val="000000"/>
                <w:sz w:val="24"/>
                <w:szCs w:val="24"/>
                <w:lang w:eastAsia="ru-RU"/>
              </w:rPr>
            </w:pPr>
            <w:r w:rsidRPr="00006A39">
              <w:rPr>
                <w:rFonts w:eastAsia="Times New Roman"/>
                <w:color w:val="000000"/>
                <w:sz w:val="24"/>
                <w:szCs w:val="24"/>
                <w:lang w:eastAsia="ru-RU"/>
              </w:rPr>
              <w:t>50,00</w:t>
            </w:r>
          </w:p>
        </w:tc>
      </w:tr>
      <w:tr w:rsidR="004F31D7" w:rsidRPr="00006A39" w:rsidTr="00AD17FC">
        <w:trPr>
          <w:trHeight w:val="330"/>
          <w:jc w:val="center"/>
        </w:trPr>
        <w:tc>
          <w:tcPr>
            <w:tcW w:w="4961" w:type="dxa"/>
            <w:shd w:val="clear" w:color="auto" w:fill="auto"/>
            <w:hideMark/>
          </w:tcPr>
          <w:p w:rsidR="004F31D7" w:rsidRPr="00006A39" w:rsidRDefault="004F31D7" w:rsidP="00721203">
            <w:pPr>
              <w:widowControl w:val="0"/>
              <w:tabs>
                <w:tab w:val="left" w:pos="993"/>
              </w:tabs>
              <w:spacing w:line="288" w:lineRule="auto"/>
              <w:rPr>
                <w:rFonts w:eastAsia="Times New Roman"/>
                <w:color w:val="000000"/>
                <w:sz w:val="24"/>
                <w:szCs w:val="24"/>
                <w:lang w:eastAsia="ru-RU"/>
              </w:rPr>
            </w:pPr>
            <w:r w:rsidRPr="00006A39">
              <w:rPr>
                <w:rFonts w:eastAsia="Times New Roman"/>
                <w:color w:val="000000"/>
                <w:sz w:val="24"/>
                <w:szCs w:val="24"/>
                <w:lang w:eastAsia="ru-RU"/>
              </w:rPr>
              <w:t>Внутрішньоматкова гіпоксія і асфіксія в родах</w:t>
            </w:r>
          </w:p>
        </w:tc>
        <w:tc>
          <w:tcPr>
            <w:tcW w:w="0" w:type="auto"/>
            <w:shd w:val="clear" w:color="auto" w:fill="auto"/>
          </w:tcPr>
          <w:p w:rsidR="004F31D7" w:rsidRPr="00006A39" w:rsidRDefault="004F31D7" w:rsidP="00721203">
            <w:pPr>
              <w:widowControl w:val="0"/>
              <w:tabs>
                <w:tab w:val="left" w:pos="993"/>
              </w:tabs>
              <w:spacing w:line="288" w:lineRule="auto"/>
              <w:jc w:val="center"/>
              <w:rPr>
                <w:rFonts w:eastAsia="Times New Roman"/>
                <w:color w:val="000000"/>
                <w:sz w:val="24"/>
                <w:szCs w:val="24"/>
                <w:lang w:eastAsia="ru-RU"/>
              </w:rPr>
            </w:pPr>
            <w:r w:rsidRPr="00006A39">
              <w:rPr>
                <w:rFonts w:eastAsia="Times New Roman"/>
                <w:bCs/>
                <w:color w:val="000000"/>
                <w:sz w:val="24"/>
                <w:szCs w:val="24"/>
                <w:lang w:eastAsia="ru-RU"/>
              </w:rPr>
              <w:t>19,31</w:t>
            </w:r>
          </w:p>
        </w:tc>
        <w:tc>
          <w:tcPr>
            <w:tcW w:w="0" w:type="auto"/>
            <w:shd w:val="clear" w:color="auto" w:fill="auto"/>
          </w:tcPr>
          <w:p w:rsidR="004F31D7" w:rsidRPr="00006A39" w:rsidRDefault="004F31D7" w:rsidP="00721203">
            <w:pPr>
              <w:widowControl w:val="0"/>
              <w:tabs>
                <w:tab w:val="left" w:pos="993"/>
              </w:tabs>
              <w:spacing w:line="288" w:lineRule="auto"/>
              <w:jc w:val="center"/>
              <w:rPr>
                <w:rFonts w:eastAsia="Times New Roman"/>
                <w:color w:val="000000"/>
                <w:sz w:val="24"/>
                <w:szCs w:val="24"/>
                <w:lang w:eastAsia="ru-RU"/>
              </w:rPr>
            </w:pPr>
            <w:r w:rsidRPr="00006A39">
              <w:rPr>
                <w:rFonts w:eastAsia="Times New Roman"/>
                <w:bCs/>
                <w:color w:val="000000"/>
                <w:sz w:val="24"/>
                <w:szCs w:val="24"/>
                <w:lang w:eastAsia="ru-RU"/>
              </w:rPr>
              <w:t>18,61</w:t>
            </w:r>
          </w:p>
        </w:tc>
        <w:tc>
          <w:tcPr>
            <w:tcW w:w="0" w:type="auto"/>
            <w:shd w:val="clear" w:color="auto" w:fill="auto"/>
          </w:tcPr>
          <w:p w:rsidR="004F31D7" w:rsidRPr="00006A39" w:rsidRDefault="004F31D7" w:rsidP="00721203">
            <w:pPr>
              <w:widowControl w:val="0"/>
              <w:tabs>
                <w:tab w:val="left" w:pos="993"/>
              </w:tabs>
              <w:spacing w:line="288" w:lineRule="auto"/>
              <w:jc w:val="center"/>
              <w:rPr>
                <w:rFonts w:eastAsia="Times New Roman"/>
                <w:color w:val="000000"/>
                <w:sz w:val="24"/>
                <w:szCs w:val="24"/>
                <w:lang w:eastAsia="ru-RU"/>
              </w:rPr>
            </w:pPr>
            <w:r w:rsidRPr="00006A39">
              <w:rPr>
                <w:rFonts w:eastAsia="Times New Roman"/>
                <w:bCs/>
                <w:color w:val="000000"/>
                <w:sz w:val="24"/>
                <w:szCs w:val="24"/>
                <w:lang w:eastAsia="ru-RU"/>
              </w:rPr>
              <w:t>17,77</w:t>
            </w:r>
          </w:p>
        </w:tc>
        <w:tc>
          <w:tcPr>
            <w:tcW w:w="0" w:type="auto"/>
            <w:shd w:val="clear" w:color="auto" w:fill="auto"/>
          </w:tcPr>
          <w:p w:rsidR="004F31D7" w:rsidRPr="00006A39" w:rsidRDefault="004F31D7" w:rsidP="00721203">
            <w:pPr>
              <w:widowControl w:val="0"/>
              <w:tabs>
                <w:tab w:val="left" w:pos="993"/>
              </w:tabs>
              <w:spacing w:line="288" w:lineRule="auto"/>
              <w:jc w:val="center"/>
              <w:rPr>
                <w:rFonts w:eastAsia="Times New Roman"/>
                <w:color w:val="000000"/>
                <w:sz w:val="24"/>
                <w:szCs w:val="24"/>
                <w:lang w:eastAsia="ru-RU"/>
              </w:rPr>
            </w:pPr>
            <w:r w:rsidRPr="00006A39">
              <w:rPr>
                <w:rFonts w:eastAsia="Times New Roman"/>
                <w:color w:val="000000"/>
                <w:sz w:val="24"/>
                <w:szCs w:val="24"/>
                <w:lang w:eastAsia="ru-RU"/>
              </w:rPr>
              <w:t>16,01</w:t>
            </w:r>
          </w:p>
        </w:tc>
        <w:tc>
          <w:tcPr>
            <w:tcW w:w="0" w:type="auto"/>
            <w:shd w:val="clear" w:color="auto" w:fill="auto"/>
          </w:tcPr>
          <w:p w:rsidR="004F31D7" w:rsidRPr="00006A39" w:rsidRDefault="004F31D7" w:rsidP="00721203">
            <w:pPr>
              <w:widowControl w:val="0"/>
              <w:tabs>
                <w:tab w:val="left" w:pos="993"/>
              </w:tabs>
              <w:spacing w:line="288" w:lineRule="auto"/>
              <w:jc w:val="center"/>
              <w:rPr>
                <w:rFonts w:eastAsia="Times New Roman"/>
                <w:color w:val="000000"/>
                <w:sz w:val="24"/>
                <w:szCs w:val="24"/>
                <w:lang w:eastAsia="ru-RU"/>
              </w:rPr>
            </w:pPr>
            <w:r w:rsidRPr="00006A39">
              <w:rPr>
                <w:rFonts w:eastAsia="Times New Roman"/>
                <w:color w:val="000000"/>
                <w:sz w:val="24"/>
                <w:szCs w:val="24"/>
                <w:lang w:eastAsia="ru-RU"/>
              </w:rPr>
              <w:t>14,87</w:t>
            </w:r>
          </w:p>
        </w:tc>
        <w:tc>
          <w:tcPr>
            <w:tcW w:w="1027" w:type="dxa"/>
            <w:shd w:val="clear" w:color="auto" w:fill="auto"/>
          </w:tcPr>
          <w:p w:rsidR="004F31D7" w:rsidRPr="00006A39" w:rsidRDefault="004F31D7" w:rsidP="00721203">
            <w:pPr>
              <w:widowControl w:val="0"/>
              <w:tabs>
                <w:tab w:val="left" w:pos="993"/>
              </w:tabs>
              <w:spacing w:line="288" w:lineRule="auto"/>
              <w:jc w:val="center"/>
              <w:rPr>
                <w:rFonts w:eastAsia="Times New Roman"/>
                <w:color w:val="000000"/>
                <w:sz w:val="24"/>
                <w:szCs w:val="24"/>
                <w:lang w:eastAsia="ru-RU"/>
              </w:rPr>
            </w:pPr>
            <w:r w:rsidRPr="00006A39">
              <w:rPr>
                <w:rFonts w:eastAsia="Times New Roman"/>
                <w:color w:val="000000"/>
                <w:sz w:val="24"/>
                <w:szCs w:val="24"/>
                <w:lang w:eastAsia="ru-RU"/>
              </w:rPr>
              <w:t>77,01</w:t>
            </w:r>
          </w:p>
        </w:tc>
      </w:tr>
      <w:tr w:rsidR="004F31D7" w:rsidRPr="00006A39" w:rsidTr="00AD17FC">
        <w:trPr>
          <w:trHeight w:val="330"/>
          <w:jc w:val="center"/>
        </w:trPr>
        <w:tc>
          <w:tcPr>
            <w:tcW w:w="4961" w:type="dxa"/>
            <w:shd w:val="clear" w:color="auto" w:fill="auto"/>
            <w:hideMark/>
          </w:tcPr>
          <w:p w:rsidR="004F31D7" w:rsidRPr="00006A39" w:rsidRDefault="004F31D7" w:rsidP="00721203">
            <w:pPr>
              <w:widowControl w:val="0"/>
              <w:tabs>
                <w:tab w:val="left" w:pos="993"/>
              </w:tabs>
              <w:spacing w:line="288" w:lineRule="auto"/>
              <w:rPr>
                <w:rFonts w:eastAsia="Times New Roman"/>
                <w:color w:val="000000"/>
                <w:sz w:val="24"/>
                <w:szCs w:val="24"/>
                <w:lang w:eastAsia="ru-RU"/>
              </w:rPr>
            </w:pPr>
            <w:r w:rsidRPr="00006A39">
              <w:rPr>
                <w:rFonts w:eastAsia="Times New Roman"/>
                <w:color w:val="000000"/>
                <w:sz w:val="24"/>
                <w:szCs w:val="24"/>
                <w:lang w:eastAsia="ru-RU"/>
              </w:rPr>
              <w:t>Розлади дихальної системи, що виникають у перинатальному періоді</w:t>
            </w:r>
          </w:p>
        </w:tc>
        <w:tc>
          <w:tcPr>
            <w:tcW w:w="0" w:type="auto"/>
            <w:shd w:val="clear" w:color="auto" w:fill="auto"/>
          </w:tcPr>
          <w:p w:rsidR="004F31D7" w:rsidRPr="00006A39" w:rsidRDefault="004F31D7" w:rsidP="00721203">
            <w:pPr>
              <w:widowControl w:val="0"/>
              <w:tabs>
                <w:tab w:val="left" w:pos="993"/>
              </w:tabs>
              <w:spacing w:line="288" w:lineRule="auto"/>
              <w:jc w:val="center"/>
              <w:rPr>
                <w:rFonts w:eastAsia="Times New Roman"/>
                <w:color w:val="000000"/>
                <w:sz w:val="24"/>
                <w:szCs w:val="24"/>
                <w:lang w:eastAsia="ru-RU"/>
              </w:rPr>
            </w:pPr>
            <w:r w:rsidRPr="00006A39">
              <w:rPr>
                <w:rFonts w:eastAsia="Times New Roman"/>
                <w:bCs/>
                <w:color w:val="000000"/>
                <w:sz w:val="24"/>
                <w:szCs w:val="24"/>
                <w:lang w:eastAsia="ru-RU"/>
              </w:rPr>
              <w:t>20,38</w:t>
            </w:r>
          </w:p>
        </w:tc>
        <w:tc>
          <w:tcPr>
            <w:tcW w:w="0" w:type="auto"/>
            <w:shd w:val="clear" w:color="auto" w:fill="auto"/>
          </w:tcPr>
          <w:p w:rsidR="004F31D7" w:rsidRPr="00006A39" w:rsidRDefault="004F31D7" w:rsidP="00721203">
            <w:pPr>
              <w:widowControl w:val="0"/>
              <w:tabs>
                <w:tab w:val="left" w:pos="993"/>
              </w:tabs>
              <w:spacing w:line="288" w:lineRule="auto"/>
              <w:jc w:val="center"/>
              <w:rPr>
                <w:rFonts w:eastAsia="Times New Roman"/>
                <w:color w:val="000000"/>
                <w:sz w:val="24"/>
                <w:szCs w:val="24"/>
                <w:lang w:eastAsia="ru-RU"/>
              </w:rPr>
            </w:pPr>
            <w:r w:rsidRPr="00006A39">
              <w:rPr>
                <w:rFonts w:eastAsia="Times New Roman"/>
                <w:bCs/>
                <w:color w:val="000000"/>
                <w:sz w:val="24"/>
                <w:szCs w:val="24"/>
                <w:lang w:eastAsia="ru-RU"/>
              </w:rPr>
              <w:t>21,91</w:t>
            </w:r>
          </w:p>
        </w:tc>
        <w:tc>
          <w:tcPr>
            <w:tcW w:w="0" w:type="auto"/>
            <w:shd w:val="clear" w:color="auto" w:fill="auto"/>
          </w:tcPr>
          <w:p w:rsidR="004F31D7" w:rsidRPr="00006A39" w:rsidRDefault="004F31D7" w:rsidP="00721203">
            <w:pPr>
              <w:widowControl w:val="0"/>
              <w:tabs>
                <w:tab w:val="left" w:pos="993"/>
              </w:tabs>
              <w:spacing w:line="288" w:lineRule="auto"/>
              <w:jc w:val="center"/>
              <w:rPr>
                <w:rFonts w:eastAsia="Times New Roman"/>
                <w:color w:val="000000"/>
                <w:sz w:val="24"/>
                <w:szCs w:val="24"/>
                <w:lang w:eastAsia="ru-RU"/>
              </w:rPr>
            </w:pPr>
            <w:r w:rsidRPr="00006A39">
              <w:rPr>
                <w:rFonts w:eastAsia="Times New Roman"/>
                <w:bCs/>
                <w:color w:val="000000"/>
                <w:sz w:val="24"/>
                <w:szCs w:val="24"/>
                <w:lang w:eastAsia="ru-RU"/>
              </w:rPr>
              <w:t>22,71</w:t>
            </w:r>
          </w:p>
        </w:tc>
        <w:tc>
          <w:tcPr>
            <w:tcW w:w="0" w:type="auto"/>
            <w:shd w:val="clear" w:color="auto" w:fill="auto"/>
          </w:tcPr>
          <w:p w:rsidR="004F31D7" w:rsidRPr="00006A39" w:rsidRDefault="004F31D7" w:rsidP="00721203">
            <w:pPr>
              <w:widowControl w:val="0"/>
              <w:tabs>
                <w:tab w:val="left" w:pos="993"/>
              </w:tabs>
              <w:spacing w:line="288" w:lineRule="auto"/>
              <w:jc w:val="center"/>
              <w:rPr>
                <w:rFonts w:eastAsia="Times New Roman"/>
                <w:color w:val="000000"/>
                <w:sz w:val="24"/>
                <w:szCs w:val="24"/>
                <w:lang w:eastAsia="ru-RU"/>
              </w:rPr>
            </w:pPr>
            <w:r w:rsidRPr="00006A39">
              <w:rPr>
                <w:rFonts w:eastAsia="Times New Roman"/>
                <w:color w:val="000000"/>
                <w:sz w:val="24"/>
                <w:szCs w:val="24"/>
                <w:lang w:eastAsia="ru-RU"/>
              </w:rPr>
              <w:t>22,95</w:t>
            </w:r>
          </w:p>
        </w:tc>
        <w:tc>
          <w:tcPr>
            <w:tcW w:w="0" w:type="auto"/>
            <w:shd w:val="clear" w:color="auto" w:fill="auto"/>
          </w:tcPr>
          <w:p w:rsidR="004F31D7" w:rsidRPr="00006A39" w:rsidRDefault="004F31D7" w:rsidP="00721203">
            <w:pPr>
              <w:widowControl w:val="0"/>
              <w:tabs>
                <w:tab w:val="left" w:pos="993"/>
              </w:tabs>
              <w:spacing w:line="288" w:lineRule="auto"/>
              <w:jc w:val="center"/>
              <w:rPr>
                <w:rFonts w:eastAsia="Times New Roman"/>
                <w:color w:val="000000"/>
                <w:sz w:val="24"/>
                <w:szCs w:val="24"/>
                <w:lang w:eastAsia="ru-RU"/>
              </w:rPr>
            </w:pPr>
            <w:r w:rsidRPr="00006A39">
              <w:rPr>
                <w:rFonts w:eastAsia="Times New Roman"/>
                <w:color w:val="000000"/>
                <w:sz w:val="24"/>
                <w:szCs w:val="24"/>
                <w:lang w:eastAsia="ru-RU"/>
              </w:rPr>
              <w:t>25,73</w:t>
            </w:r>
          </w:p>
        </w:tc>
        <w:tc>
          <w:tcPr>
            <w:tcW w:w="1027" w:type="dxa"/>
            <w:shd w:val="clear" w:color="auto" w:fill="auto"/>
          </w:tcPr>
          <w:p w:rsidR="004F31D7" w:rsidRPr="00006A39" w:rsidRDefault="004F31D7" w:rsidP="00721203">
            <w:pPr>
              <w:widowControl w:val="0"/>
              <w:tabs>
                <w:tab w:val="left" w:pos="993"/>
              </w:tabs>
              <w:spacing w:line="288" w:lineRule="auto"/>
              <w:jc w:val="center"/>
              <w:rPr>
                <w:rFonts w:eastAsia="Times New Roman"/>
                <w:color w:val="000000"/>
                <w:sz w:val="24"/>
                <w:szCs w:val="24"/>
                <w:lang w:eastAsia="ru-RU"/>
              </w:rPr>
            </w:pPr>
            <w:r w:rsidRPr="00006A39">
              <w:rPr>
                <w:rFonts w:eastAsia="Times New Roman"/>
                <w:color w:val="000000"/>
                <w:sz w:val="24"/>
                <w:szCs w:val="24"/>
                <w:lang w:eastAsia="ru-RU"/>
              </w:rPr>
              <w:t>126,25</w:t>
            </w:r>
          </w:p>
        </w:tc>
      </w:tr>
      <w:tr w:rsidR="004F31D7" w:rsidRPr="00006A39" w:rsidTr="00AD17FC">
        <w:trPr>
          <w:trHeight w:val="330"/>
          <w:jc w:val="center"/>
        </w:trPr>
        <w:tc>
          <w:tcPr>
            <w:tcW w:w="4961" w:type="dxa"/>
            <w:shd w:val="clear" w:color="auto" w:fill="auto"/>
            <w:hideMark/>
          </w:tcPr>
          <w:p w:rsidR="004F31D7" w:rsidRPr="00006A39" w:rsidRDefault="004F31D7" w:rsidP="00721203">
            <w:pPr>
              <w:widowControl w:val="0"/>
              <w:tabs>
                <w:tab w:val="left" w:pos="993"/>
              </w:tabs>
              <w:spacing w:line="288" w:lineRule="auto"/>
              <w:rPr>
                <w:rFonts w:eastAsia="Times New Roman"/>
                <w:color w:val="000000"/>
                <w:sz w:val="24"/>
                <w:szCs w:val="24"/>
                <w:lang w:eastAsia="ru-RU"/>
              </w:rPr>
            </w:pPr>
            <w:r w:rsidRPr="00006A39">
              <w:rPr>
                <w:rFonts w:eastAsia="Times New Roman"/>
                <w:color w:val="000000"/>
                <w:sz w:val="24"/>
                <w:szCs w:val="24"/>
                <w:lang w:eastAsia="ru-RU"/>
              </w:rPr>
              <w:t>в т.ч. синдром респіраторного розладу та інші респіраторні стани</w:t>
            </w:r>
          </w:p>
        </w:tc>
        <w:tc>
          <w:tcPr>
            <w:tcW w:w="0" w:type="auto"/>
            <w:shd w:val="clear" w:color="auto" w:fill="auto"/>
          </w:tcPr>
          <w:p w:rsidR="004F31D7" w:rsidRPr="00006A39" w:rsidRDefault="004F31D7" w:rsidP="00721203">
            <w:pPr>
              <w:widowControl w:val="0"/>
              <w:tabs>
                <w:tab w:val="left" w:pos="993"/>
              </w:tabs>
              <w:spacing w:line="288" w:lineRule="auto"/>
              <w:jc w:val="center"/>
              <w:rPr>
                <w:rFonts w:eastAsia="Times New Roman"/>
                <w:color w:val="000000"/>
                <w:sz w:val="24"/>
                <w:szCs w:val="24"/>
                <w:lang w:eastAsia="ru-RU"/>
              </w:rPr>
            </w:pPr>
            <w:r w:rsidRPr="00006A39">
              <w:rPr>
                <w:rFonts w:eastAsia="Times New Roman"/>
                <w:bCs/>
                <w:color w:val="000000"/>
                <w:sz w:val="24"/>
                <w:szCs w:val="24"/>
                <w:lang w:eastAsia="ru-RU"/>
              </w:rPr>
              <w:t>11,44</w:t>
            </w:r>
          </w:p>
        </w:tc>
        <w:tc>
          <w:tcPr>
            <w:tcW w:w="0" w:type="auto"/>
            <w:shd w:val="clear" w:color="auto" w:fill="auto"/>
          </w:tcPr>
          <w:p w:rsidR="004F31D7" w:rsidRPr="00006A39" w:rsidRDefault="004F31D7" w:rsidP="00721203">
            <w:pPr>
              <w:widowControl w:val="0"/>
              <w:tabs>
                <w:tab w:val="left" w:pos="993"/>
              </w:tabs>
              <w:spacing w:line="288" w:lineRule="auto"/>
              <w:jc w:val="center"/>
              <w:rPr>
                <w:rFonts w:eastAsia="Times New Roman"/>
                <w:color w:val="000000"/>
                <w:sz w:val="24"/>
                <w:szCs w:val="24"/>
                <w:lang w:eastAsia="ru-RU"/>
              </w:rPr>
            </w:pPr>
            <w:r w:rsidRPr="00006A39">
              <w:rPr>
                <w:rFonts w:eastAsia="Times New Roman"/>
                <w:bCs/>
                <w:color w:val="000000"/>
                <w:sz w:val="24"/>
                <w:szCs w:val="24"/>
                <w:lang w:eastAsia="ru-RU"/>
              </w:rPr>
              <w:t>12,09</w:t>
            </w:r>
          </w:p>
        </w:tc>
        <w:tc>
          <w:tcPr>
            <w:tcW w:w="0" w:type="auto"/>
            <w:shd w:val="clear" w:color="auto" w:fill="auto"/>
          </w:tcPr>
          <w:p w:rsidR="004F31D7" w:rsidRPr="00006A39" w:rsidRDefault="004F31D7" w:rsidP="00721203">
            <w:pPr>
              <w:widowControl w:val="0"/>
              <w:tabs>
                <w:tab w:val="left" w:pos="993"/>
              </w:tabs>
              <w:spacing w:line="288" w:lineRule="auto"/>
              <w:jc w:val="center"/>
              <w:rPr>
                <w:rFonts w:eastAsia="Times New Roman"/>
                <w:color w:val="000000"/>
                <w:sz w:val="24"/>
                <w:szCs w:val="24"/>
                <w:lang w:eastAsia="ru-RU"/>
              </w:rPr>
            </w:pPr>
            <w:r w:rsidRPr="00006A39">
              <w:rPr>
                <w:rFonts w:eastAsia="Times New Roman"/>
                <w:bCs/>
                <w:color w:val="000000"/>
                <w:sz w:val="24"/>
                <w:szCs w:val="24"/>
                <w:lang w:eastAsia="ru-RU"/>
              </w:rPr>
              <w:t>12,12</w:t>
            </w:r>
          </w:p>
        </w:tc>
        <w:tc>
          <w:tcPr>
            <w:tcW w:w="0" w:type="auto"/>
            <w:shd w:val="clear" w:color="auto" w:fill="auto"/>
          </w:tcPr>
          <w:p w:rsidR="004F31D7" w:rsidRPr="00006A39" w:rsidRDefault="004F31D7" w:rsidP="00721203">
            <w:pPr>
              <w:widowControl w:val="0"/>
              <w:tabs>
                <w:tab w:val="left" w:pos="993"/>
              </w:tabs>
              <w:spacing w:line="288" w:lineRule="auto"/>
              <w:jc w:val="center"/>
              <w:rPr>
                <w:rFonts w:eastAsia="Times New Roman"/>
                <w:color w:val="000000"/>
                <w:sz w:val="24"/>
                <w:szCs w:val="24"/>
                <w:lang w:eastAsia="ru-RU"/>
              </w:rPr>
            </w:pPr>
            <w:r w:rsidRPr="00006A39">
              <w:rPr>
                <w:rFonts w:eastAsia="Times New Roman"/>
                <w:color w:val="000000"/>
                <w:sz w:val="24"/>
                <w:szCs w:val="24"/>
                <w:lang w:eastAsia="ru-RU"/>
              </w:rPr>
              <w:t>11,87</w:t>
            </w:r>
          </w:p>
        </w:tc>
        <w:tc>
          <w:tcPr>
            <w:tcW w:w="0" w:type="auto"/>
            <w:shd w:val="clear" w:color="auto" w:fill="auto"/>
          </w:tcPr>
          <w:p w:rsidR="004F31D7" w:rsidRPr="00006A39" w:rsidRDefault="004F31D7" w:rsidP="00721203">
            <w:pPr>
              <w:widowControl w:val="0"/>
              <w:tabs>
                <w:tab w:val="left" w:pos="993"/>
              </w:tabs>
              <w:spacing w:line="288" w:lineRule="auto"/>
              <w:jc w:val="center"/>
              <w:rPr>
                <w:rFonts w:eastAsia="Times New Roman"/>
                <w:color w:val="000000"/>
                <w:sz w:val="24"/>
                <w:szCs w:val="24"/>
                <w:lang w:eastAsia="ru-RU"/>
              </w:rPr>
            </w:pPr>
            <w:r w:rsidRPr="00006A39">
              <w:rPr>
                <w:rFonts w:eastAsia="Times New Roman"/>
                <w:color w:val="000000"/>
                <w:sz w:val="24"/>
                <w:szCs w:val="24"/>
                <w:lang w:eastAsia="ru-RU"/>
              </w:rPr>
              <w:t>13,82</w:t>
            </w:r>
          </w:p>
        </w:tc>
        <w:tc>
          <w:tcPr>
            <w:tcW w:w="1027" w:type="dxa"/>
            <w:shd w:val="clear" w:color="auto" w:fill="auto"/>
          </w:tcPr>
          <w:p w:rsidR="004F31D7" w:rsidRPr="00006A39" w:rsidRDefault="004F31D7" w:rsidP="00721203">
            <w:pPr>
              <w:widowControl w:val="0"/>
              <w:tabs>
                <w:tab w:val="left" w:pos="993"/>
              </w:tabs>
              <w:spacing w:line="288" w:lineRule="auto"/>
              <w:jc w:val="center"/>
              <w:rPr>
                <w:rFonts w:eastAsia="Times New Roman"/>
                <w:color w:val="000000"/>
                <w:sz w:val="24"/>
                <w:szCs w:val="24"/>
                <w:lang w:eastAsia="ru-RU"/>
              </w:rPr>
            </w:pPr>
            <w:r w:rsidRPr="00006A39">
              <w:rPr>
                <w:rFonts w:eastAsia="Times New Roman"/>
                <w:color w:val="000000"/>
                <w:sz w:val="24"/>
                <w:szCs w:val="24"/>
                <w:lang w:eastAsia="ru-RU"/>
              </w:rPr>
              <w:t>120,80</w:t>
            </w:r>
          </w:p>
        </w:tc>
      </w:tr>
      <w:tr w:rsidR="004F31D7" w:rsidRPr="00006A39" w:rsidTr="00AD17FC">
        <w:trPr>
          <w:trHeight w:val="330"/>
          <w:jc w:val="center"/>
        </w:trPr>
        <w:tc>
          <w:tcPr>
            <w:tcW w:w="4961" w:type="dxa"/>
            <w:shd w:val="clear" w:color="auto" w:fill="auto"/>
            <w:hideMark/>
          </w:tcPr>
          <w:p w:rsidR="004F31D7" w:rsidRPr="00006A39" w:rsidRDefault="004F31D7" w:rsidP="00721203">
            <w:pPr>
              <w:widowControl w:val="0"/>
              <w:tabs>
                <w:tab w:val="left" w:pos="993"/>
              </w:tabs>
              <w:spacing w:line="288" w:lineRule="auto"/>
              <w:rPr>
                <w:rFonts w:eastAsia="Times New Roman"/>
                <w:color w:val="000000"/>
                <w:sz w:val="24"/>
                <w:szCs w:val="24"/>
                <w:lang w:eastAsia="ru-RU"/>
              </w:rPr>
            </w:pPr>
            <w:r w:rsidRPr="00006A39">
              <w:rPr>
                <w:rFonts w:eastAsia="Times New Roman"/>
                <w:color w:val="000000"/>
                <w:sz w:val="24"/>
                <w:szCs w:val="24"/>
                <w:lang w:eastAsia="ru-RU"/>
              </w:rPr>
              <w:t>Уроджені пневмонії</w:t>
            </w:r>
          </w:p>
        </w:tc>
        <w:tc>
          <w:tcPr>
            <w:tcW w:w="0" w:type="auto"/>
            <w:shd w:val="clear" w:color="auto" w:fill="auto"/>
          </w:tcPr>
          <w:p w:rsidR="004F31D7" w:rsidRPr="00006A39" w:rsidRDefault="004F31D7" w:rsidP="00721203">
            <w:pPr>
              <w:widowControl w:val="0"/>
              <w:tabs>
                <w:tab w:val="left" w:pos="993"/>
              </w:tabs>
              <w:spacing w:line="288" w:lineRule="auto"/>
              <w:jc w:val="center"/>
              <w:rPr>
                <w:rFonts w:eastAsia="Times New Roman"/>
                <w:color w:val="000000"/>
                <w:sz w:val="24"/>
                <w:szCs w:val="24"/>
                <w:lang w:eastAsia="ru-RU"/>
              </w:rPr>
            </w:pPr>
            <w:r w:rsidRPr="00006A39">
              <w:rPr>
                <w:rFonts w:eastAsia="Times New Roman"/>
                <w:bCs/>
                <w:color w:val="000000"/>
                <w:sz w:val="24"/>
                <w:szCs w:val="24"/>
                <w:lang w:eastAsia="ru-RU"/>
              </w:rPr>
              <w:t>4,19</w:t>
            </w:r>
          </w:p>
        </w:tc>
        <w:tc>
          <w:tcPr>
            <w:tcW w:w="0" w:type="auto"/>
            <w:shd w:val="clear" w:color="auto" w:fill="auto"/>
          </w:tcPr>
          <w:p w:rsidR="004F31D7" w:rsidRPr="00006A39" w:rsidRDefault="004F31D7" w:rsidP="00721203">
            <w:pPr>
              <w:widowControl w:val="0"/>
              <w:tabs>
                <w:tab w:val="left" w:pos="993"/>
              </w:tabs>
              <w:spacing w:line="288" w:lineRule="auto"/>
              <w:jc w:val="center"/>
              <w:rPr>
                <w:rFonts w:eastAsia="Times New Roman"/>
                <w:color w:val="000000"/>
                <w:sz w:val="24"/>
                <w:szCs w:val="24"/>
                <w:lang w:eastAsia="ru-RU"/>
              </w:rPr>
            </w:pPr>
            <w:r w:rsidRPr="00006A39">
              <w:rPr>
                <w:rFonts w:eastAsia="Times New Roman"/>
                <w:bCs/>
                <w:color w:val="000000"/>
                <w:sz w:val="24"/>
                <w:szCs w:val="24"/>
                <w:lang w:eastAsia="ru-RU"/>
              </w:rPr>
              <w:t>4,38</w:t>
            </w:r>
          </w:p>
        </w:tc>
        <w:tc>
          <w:tcPr>
            <w:tcW w:w="0" w:type="auto"/>
            <w:shd w:val="clear" w:color="auto" w:fill="auto"/>
          </w:tcPr>
          <w:p w:rsidR="004F31D7" w:rsidRPr="00006A39" w:rsidRDefault="004F31D7" w:rsidP="00721203">
            <w:pPr>
              <w:widowControl w:val="0"/>
              <w:tabs>
                <w:tab w:val="left" w:pos="993"/>
              </w:tabs>
              <w:spacing w:line="288" w:lineRule="auto"/>
              <w:jc w:val="center"/>
              <w:rPr>
                <w:rFonts w:eastAsia="Times New Roman"/>
                <w:color w:val="000000"/>
                <w:sz w:val="24"/>
                <w:szCs w:val="24"/>
                <w:lang w:eastAsia="ru-RU"/>
              </w:rPr>
            </w:pPr>
            <w:r w:rsidRPr="00006A39">
              <w:rPr>
                <w:rFonts w:eastAsia="Times New Roman"/>
                <w:bCs/>
                <w:color w:val="000000"/>
                <w:sz w:val="24"/>
                <w:szCs w:val="24"/>
                <w:lang w:eastAsia="ru-RU"/>
              </w:rPr>
              <w:t>4,62</w:t>
            </w:r>
          </w:p>
        </w:tc>
        <w:tc>
          <w:tcPr>
            <w:tcW w:w="0" w:type="auto"/>
            <w:shd w:val="clear" w:color="auto" w:fill="auto"/>
          </w:tcPr>
          <w:p w:rsidR="004F31D7" w:rsidRPr="00006A39" w:rsidRDefault="004F31D7" w:rsidP="00721203">
            <w:pPr>
              <w:widowControl w:val="0"/>
              <w:tabs>
                <w:tab w:val="left" w:pos="993"/>
              </w:tabs>
              <w:spacing w:line="288" w:lineRule="auto"/>
              <w:jc w:val="center"/>
              <w:rPr>
                <w:rFonts w:eastAsia="Times New Roman"/>
                <w:color w:val="000000"/>
                <w:sz w:val="24"/>
                <w:szCs w:val="24"/>
                <w:lang w:eastAsia="ru-RU"/>
              </w:rPr>
            </w:pPr>
            <w:r w:rsidRPr="00006A39">
              <w:rPr>
                <w:rFonts w:eastAsia="Times New Roman"/>
                <w:color w:val="000000"/>
                <w:sz w:val="24"/>
                <w:szCs w:val="24"/>
                <w:lang w:eastAsia="ru-RU"/>
              </w:rPr>
              <w:t>4,39</w:t>
            </w:r>
          </w:p>
        </w:tc>
        <w:tc>
          <w:tcPr>
            <w:tcW w:w="0" w:type="auto"/>
            <w:shd w:val="clear" w:color="auto" w:fill="auto"/>
          </w:tcPr>
          <w:p w:rsidR="004F31D7" w:rsidRPr="00006A39" w:rsidRDefault="004F31D7" w:rsidP="00721203">
            <w:pPr>
              <w:widowControl w:val="0"/>
              <w:tabs>
                <w:tab w:val="left" w:pos="993"/>
              </w:tabs>
              <w:spacing w:line="288" w:lineRule="auto"/>
              <w:jc w:val="center"/>
              <w:rPr>
                <w:rFonts w:eastAsia="Times New Roman"/>
                <w:color w:val="000000"/>
                <w:sz w:val="24"/>
                <w:szCs w:val="24"/>
                <w:lang w:eastAsia="ru-RU"/>
              </w:rPr>
            </w:pPr>
            <w:r w:rsidRPr="00006A39">
              <w:rPr>
                <w:rFonts w:eastAsia="Times New Roman"/>
                <w:color w:val="000000"/>
                <w:sz w:val="24"/>
                <w:szCs w:val="24"/>
                <w:lang w:eastAsia="ru-RU"/>
              </w:rPr>
              <w:t>5,1</w:t>
            </w:r>
          </w:p>
        </w:tc>
        <w:tc>
          <w:tcPr>
            <w:tcW w:w="1027" w:type="dxa"/>
            <w:shd w:val="clear" w:color="auto" w:fill="auto"/>
          </w:tcPr>
          <w:p w:rsidR="004F31D7" w:rsidRPr="00006A39" w:rsidRDefault="004F31D7" w:rsidP="00721203">
            <w:pPr>
              <w:widowControl w:val="0"/>
              <w:tabs>
                <w:tab w:val="left" w:pos="993"/>
              </w:tabs>
              <w:spacing w:line="288" w:lineRule="auto"/>
              <w:jc w:val="center"/>
              <w:rPr>
                <w:rFonts w:eastAsia="Times New Roman"/>
                <w:color w:val="000000"/>
                <w:sz w:val="24"/>
                <w:szCs w:val="24"/>
                <w:lang w:eastAsia="ru-RU"/>
              </w:rPr>
            </w:pPr>
            <w:r w:rsidRPr="00006A39">
              <w:rPr>
                <w:rFonts w:eastAsia="Times New Roman"/>
                <w:color w:val="000000"/>
                <w:sz w:val="24"/>
                <w:szCs w:val="24"/>
                <w:lang w:eastAsia="ru-RU"/>
              </w:rPr>
              <w:t>121,72</w:t>
            </w:r>
          </w:p>
        </w:tc>
      </w:tr>
      <w:tr w:rsidR="004F31D7" w:rsidRPr="00006A39" w:rsidTr="00AD17FC">
        <w:trPr>
          <w:trHeight w:val="330"/>
          <w:jc w:val="center"/>
        </w:trPr>
        <w:tc>
          <w:tcPr>
            <w:tcW w:w="4961" w:type="dxa"/>
            <w:shd w:val="clear" w:color="auto" w:fill="auto"/>
            <w:hideMark/>
          </w:tcPr>
          <w:p w:rsidR="004F31D7" w:rsidRPr="00006A39" w:rsidRDefault="004F31D7" w:rsidP="00721203">
            <w:pPr>
              <w:widowControl w:val="0"/>
              <w:tabs>
                <w:tab w:val="left" w:pos="993"/>
              </w:tabs>
              <w:spacing w:line="288" w:lineRule="auto"/>
              <w:rPr>
                <w:rFonts w:eastAsia="Times New Roman"/>
                <w:color w:val="000000"/>
                <w:sz w:val="24"/>
                <w:szCs w:val="24"/>
                <w:lang w:eastAsia="ru-RU"/>
              </w:rPr>
            </w:pPr>
            <w:r w:rsidRPr="00006A39">
              <w:rPr>
                <w:rFonts w:eastAsia="Times New Roman"/>
                <w:color w:val="000000"/>
                <w:sz w:val="24"/>
                <w:szCs w:val="24"/>
                <w:lang w:eastAsia="ru-RU"/>
              </w:rPr>
              <w:t>Інфекції специфічні для перинатального періоду</w:t>
            </w:r>
          </w:p>
        </w:tc>
        <w:tc>
          <w:tcPr>
            <w:tcW w:w="0" w:type="auto"/>
            <w:shd w:val="clear" w:color="auto" w:fill="auto"/>
          </w:tcPr>
          <w:p w:rsidR="004F31D7" w:rsidRPr="00006A39" w:rsidRDefault="004F31D7" w:rsidP="00721203">
            <w:pPr>
              <w:widowControl w:val="0"/>
              <w:tabs>
                <w:tab w:val="left" w:pos="993"/>
              </w:tabs>
              <w:spacing w:line="288" w:lineRule="auto"/>
              <w:jc w:val="center"/>
              <w:rPr>
                <w:rFonts w:eastAsia="Times New Roman"/>
                <w:color w:val="000000"/>
                <w:sz w:val="24"/>
                <w:szCs w:val="24"/>
                <w:lang w:eastAsia="ru-RU"/>
              </w:rPr>
            </w:pPr>
            <w:r w:rsidRPr="00006A39">
              <w:rPr>
                <w:rFonts w:eastAsia="Times New Roman"/>
                <w:bCs/>
                <w:color w:val="000000"/>
                <w:sz w:val="24"/>
                <w:szCs w:val="24"/>
                <w:lang w:eastAsia="ru-RU"/>
              </w:rPr>
              <w:t>5,95</w:t>
            </w:r>
          </w:p>
        </w:tc>
        <w:tc>
          <w:tcPr>
            <w:tcW w:w="0" w:type="auto"/>
            <w:shd w:val="clear" w:color="auto" w:fill="auto"/>
          </w:tcPr>
          <w:p w:rsidR="004F31D7" w:rsidRPr="00006A39" w:rsidRDefault="004F31D7" w:rsidP="00721203">
            <w:pPr>
              <w:widowControl w:val="0"/>
              <w:tabs>
                <w:tab w:val="left" w:pos="993"/>
              </w:tabs>
              <w:spacing w:line="288" w:lineRule="auto"/>
              <w:jc w:val="center"/>
              <w:rPr>
                <w:rFonts w:eastAsia="Times New Roman"/>
                <w:color w:val="000000"/>
                <w:sz w:val="24"/>
                <w:szCs w:val="24"/>
                <w:lang w:eastAsia="ru-RU"/>
              </w:rPr>
            </w:pPr>
            <w:r w:rsidRPr="00006A39">
              <w:rPr>
                <w:rFonts w:eastAsia="Times New Roman"/>
                <w:bCs/>
                <w:color w:val="000000"/>
                <w:sz w:val="24"/>
                <w:szCs w:val="24"/>
                <w:lang w:eastAsia="ru-RU"/>
              </w:rPr>
              <w:t>6,64</w:t>
            </w:r>
          </w:p>
        </w:tc>
        <w:tc>
          <w:tcPr>
            <w:tcW w:w="0" w:type="auto"/>
            <w:shd w:val="clear" w:color="auto" w:fill="auto"/>
          </w:tcPr>
          <w:p w:rsidR="004F31D7" w:rsidRPr="00006A39" w:rsidRDefault="004F31D7" w:rsidP="00721203">
            <w:pPr>
              <w:widowControl w:val="0"/>
              <w:tabs>
                <w:tab w:val="left" w:pos="993"/>
              </w:tabs>
              <w:spacing w:line="288" w:lineRule="auto"/>
              <w:jc w:val="center"/>
              <w:rPr>
                <w:rFonts w:eastAsia="Times New Roman"/>
                <w:color w:val="000000"/>
                <w:sz w:val="24"/>
                <w:szCs w:val="24"/>
                <w:lang w:eastAsia="ru-RU"/>
              </w:rPr>
            </w:pPr>
            <w:r w:rsidRPr="00006A39">
              <w:rPr>
                <w:rFonts w:eastAsia="Times New Roman"/>
                <w:bCs/>
                <w:color w:val="000000"/>
                <w:sz w:val="24"/>
                <w:szCs w:val="24"/>
                <w:lang w:eastAsia="ru-RU"/>
              </w:rPr>
              <w:t>7,64</w:t>
            </w:r>
          </w:p>
        </w:tc>
        <w:tc>
          <w:tcPr>
            <w:tcW w:w="0" w:type="auto"/>
            <w:shd w:val="clear" w:color="auto" w:fill="auto"/>
          </w:tcPr>
          <w:p w:rsidR="004F31D7" w:rsidRPr="00006A39" w:rsidRDefault="004F31D7" w:rsidP="00721203">
            <w:pPr>
              <w:widowControl w:val="0"/>
              <w:tabs>
                <w:tab w:val="left" w:pos="993"/>
              </w:tabs>
              <w:spacing w:line="288" w:lineRule="auto"/>
              <w:jc w:val="center"/>
              <w:rPr>
                <w:rFonts w:eastAsia="Times New Roman"/>
                <w:color w:val="000000"/>
                <w:sz w:val="24"/>
                <w:szCs w:val="24"/>
                <w:lang w:eastAsia="ru-RU"/>
              </w:rPr>
            </w:pPr>
            <w:r w:rsidRPr="00006A39">
              <w:rPr>
                <w:rFonts w:eastAsia="Times New Roman"/>
                <w:color w:val="000000"/>
                <w:sz w:val="24"/>
                <w:szCs w:val="24"/>
                <w:lang w:eastAsia="ru-RU"/>
              </w:rPr>
              <w:t>9,08</w:t>
            </w:r>
          </w:p>
        </w:tc>
        <w:tc>
          <w:tcPr>
            <w:tcW w:w="0" w:type="auto"/>
            <w:shd w:val="clear" w:color="auto" w:fill="auto"/>
          </w:tcPr>
          <w:p w:rsidR="004F31D7" w:rsidRPr="00006A39" w:rsidRDefault="004F31D7" w:rsidP="00721203">
            <w:pPr>
              <w:widowControl w:val="0"/>
              <w:tabs>
                <w:tab w:val="left" w:pos="993"/>
              </w:tabs>
              <w:spacing w:line="288" w:lineRule="auto"/>
              <w:jc w:val="center"/>
              <w:rPr>
                <w:rFonts w:eastAsia="Times New Roman"/>
                <w:color w:val="000000"/>
                <w:sz w:val="24"/>
                <w:szCs w:val="24"/>
                <w:lang w:eastAsia="ru-RU"/>
              </w:rPr>
            </w:pPr>
            <w:r w:rsidRPr="00006A39">
              <w:rPr>
                <w:rFonts w:eastAsia="Times New Roman"/>
                <w:color w:val="000000"/>
                <w:sz w:val="24"/>
                <w:szCs w:val="24"/>
                <w:lang w:eastAsia="ru-RU"/>
              </w:rPr>
              <w:t>8,27</w:t>
            </w:r>
          </w:p>
        </w:tc>
        <w:tc>
          <w:tcPr>
            <w:tcW w:w="1027" w:type="dxa"/>
            <w:shd w:val="clear" w:color="auto" w:fill="auto"/>
          </w:tcPr>
          <w:p w:rsidR="004F31D7" w:rsidRPr="00006A39" w:rsidRDefault="004F31D7" w:rsidP="00721203">
            <w:pPr>
              <w:widowControl w:val="0"/>
              <w:tabs>
                <w:tab w:val="left" w:pos="993"/>
              </w:tabs>
              <w:spacing w:line="288" w:lineRule="auto"/>
              <w:jc w:val="center"/>
              <w:rPr>
                <w:rFonts w:eastAsia="Times New Roman"/>
                <w:color w:val="000000"/>
                <w:sz w:val="24"/>
                <w:szCs w:val="24"/>
                <w:lang w:eastAsia="ru-RU"/>
              </w:rPr>
            </w:pPr>
            <w:r w:rsidRPr="00006A39">
              <w:rPr>
                <w:rFonts w:eastAsia="Times New Roman"/>
                <w:color w:val="000000"/>
                <w:sz w:val="24"/>
                <w:szCs w:val="24"/>
                <w:lang w:eastAsia="ru-RU"/>
              </w:rPr>
              <w:t>138,99</w:t>
            </w:r>
          </w:p>
        </w:tc>
      </w:tr>
      <w:tr w:rsidR="004F31D7" w:rsidRPr="00006A39" w:rsidTr="00AD17FC">
        <w:trPr>
          <w:trHeight w:val="330"/>
          <w:jc w:val="center"/>
        </w:trPr>
        <w:tc>
          <w:tcPr>
            <w:tcW w:w="4961" w:type="dxa"/>
            <w:shd w:val="clear" w:color="auto" w:fill="auto"/>
            <w:hideMark/>
          </w:tcPr>
          <w:p w:rsidR="004F31D7" w:rsidRPr="00006A39" w:rsidRDefault="004F31D7" w:rsidP="00721203">
            <w:pPr>
              <w:widowControl w:val="0"/>
              <w:tabs>
                <w:tab w:val="left" w:pos="993"/>
              </w:tabs>
              <w:spacing w:line="288" w:lineRule="auto"/>
              <w:rPr>
                <w:rFonts w:eastAsia="Times New Roman"/>
                <w:color w:val="000000"/>
                <w:sz w:val="24"/>
                <w:szCs w:val="24"/>
                <w:lang w:eastAsia="ru-RU"/>
              </w:rPr>
            </w:pPr>
            <w:r w:rsidRPr="00006A39">
              <w:rPr>
                <w:rFonts w:eastAsia="Times New Roman"/>
                <w:color w:val="000000"/>
                <w:sz w:val="24"/>
                <w:szCs w:val="24"/>
                <w:lang w:eastAsia="ru-RU"/>
              </w:rPr>
              <w:t>Сепсис новонароджених</w:t>
            </w:r>
          </w:p>
        </w:tc>
        <w:tc>
          <w:tcPr>
            <w:tcW w:w="0" w:type="auto"/>
            <w:shd w:val="clear" w:color="auto" w:fill="auto"/>
          </w:tcPr>
          <w:p w:rsidR="004F31D7" w:rsidRPr="00006A39" w:rsidRDefault="004F31D7" w:rsidP="00721203">
            <w:pPr>
              <w:widowControl w:val="0"/>
              <w:tabs>
                <w:tab w:val="left" w:pos="993"/>
              </w:tabs>
              <w:spacing w:line="288" w:lineRule="auto"/>
              <w:jc w:val="center"/>
              <w:rPr>
                <w:rFonts w:eastAsia="Times New Roman"/>
                <w:color w:val="000000"/>
                <w:sz w:val="24"/>
                <w:szCs w:val="24"/>
                <w:lang w:eastAsia="ru-RU"/>
              </w:rPr>
            </w:pPr>
            <w:r w:rsidRPr="00006A39">
              <w:rPr>
                <w:rFonts w:eastAsia="Times New Roman"/>
                <w:bCs/>
                <w:color w:val="000000"/>
                <w:sz w:val="24"/>
                <w:szCs w:val="24"/>
                <w:lang w:eastAsia="ru-RU"/>
              </w:rPr>
              <w:t>0,3</w:t>
            </w:r>
          </w:p>
        </w:tc>
        <w:tc>
          <w:tcPr>
            <w:tcW w:w="0" w:type="auto"/>
            <w:shd w:val="clear" w:color="auto" w:fill="auto"/>
          </w:tcPr>
          <w:p w:rsidR="004F31D7" w:rsidRPr="00006A39" w:rsidRDefault="004F31D7" w:rsidP="00721203">
            <w:pPr>
              <w:widowControl w:val="0"/>
              <w:tabs>
                <w:tab w:val="left" w:pos="993"/>
              </w:tabs>
              <w:spacing w:line="288" w:lineRule="auto"/>
              <w:jc w:val="center"/>
              <w:rPr>
                <w:rFonts w:eastAsia="Times New Roman"/>
                <w:color w:val="000000"/>
                <w:sz w:val="24"/>
                <w:szCs w:val="24"/>
                <w:lang w:eastAsia="ru-RU"/>
              </w:rPr>
            </w:pPr>
            <w:r w:rsidRPr="00006A39">
              <w:rPr>
                <w:rFonts w:eastAsia="Times New Roman"/>
                <w:bCs/>
                <w:color w:val="000000"/>
                <w:sz w:val="24"/>
                <w:szCs w:val="24"/>
                <w:lang w:eastAsia="ru-RU"/>
              </w:rPr>
              <w:t>0,37</w:t>
            </w:r>
          </w:p>
        </w:tc>
        <w:tc>
          <w:tcPr>
            <w:tcW w:w="0" w:type="auto"/>
            <w:shd w:val="clear" w:color="auto" w:fill="auto"/>
          </w:tcPr>
          <w:p w:rsidR="004F31D7" w:rsidRPr="00006A39" w:rsidRDefault="004F31D7" w:rsidP="00721203">
            <w:pPr>
              <w:widowControl w:val="0"/>
              <w:tabs>
                <w:tab w:val="left" w:pos="993"/>
              </w:tabs>
              <w:spacing w:line="288" w:lineRule="auto"/>
              <w:jc w:val="center"/>
              <w:rPr>
                <w:rFonts w:eastAsia="Times New Roman"/>
                <w:color w:val="000000"/>
                <w:sz w:val="24"/>
                <w:szCs w:val="24"/>
                <w:lang w:eastAsia="ru-RU"/>
              </w:rPr>
            </w:pPr>
            <w:r w:rsidRPr="00006A39">
              <w:rPr>
                <w:rFonts w:eastAsia="Times New Roman"/>
                <w:bCs/>
                <w:color w:val="000000"/>
                <w:sz w:val="24"/>
                <w:szCs w:val="24"/>
                <w:lang w:eastAsia="ru-RU"/>
              </w:rPr>
              <w:t>0,46</w:t>
            </w:r>
          </w:p>
        </w:tc>
        <w:tc>
          <w:tcPr>
            <w:tcW w:w="0" w:type="auto"/>
            <w:shd w:val="clear" w:color="auto" w:fill="auto"/>
          </w:tcPr>
          <w:p w:rsidR="004F31D7" w:rsidRPr="00006A39" w:rsidRDefault="004F31D7" w:rsidP="00721203">
            <w:pPr>
              <w:widowControl w:val="0"/>
              <w:tabs>
                <w:tab w:val="left" w:pos="993"/>
              </w:tabs>
              <w:spacing w:line="288" w:lineRule="auto"/>
              <w:jc w:val="center"/>
              <w:rPr>
                <w:rFonts w:eastAsia="Times New Roman"/>
                <w:color w:val="000000"/>
                <w:sz w:val="24"/>
                <w:szCs w:val="24"/>
                <w:lang w:eastAsia="ru-RU"/>
              </w:rPr>
            </w:pPr>
            <w:r w:rsidRPr="00006A39">
              <w:rPr>
                <w:rFonts w:eastAsia="Times New Roman"/>
                <w:color w:val="000000"/>
                <w:sz w:val="24"/>
                <w:szCs w:val="24"/>
                <w:lang w:eastAsia="ru-RU"/>
              </w:rPr>
              <w:t>0,67</w:t>
            </w:r>
          </w:p>
        </w:tc>
        <w:tc>
          <w:tcPr>
            <w:tcW w:w="0" w:type="auto"/>
            <w:shd w:val="clear" w:color="auto" w:fill="auto"/>
          </w:tcPr>
          <w:p w:rsidR="004F31D7" w:rsidRPr="00006A39" w:rsidRDefault="004F31D7" w:rsidP="00721203">
            <w:pPr>
              <w:widowControl w:val="0"/>
              <w:tabs>
                <w:tab w:val="left" w:pos="993"/>
              </w:tabs>
              <w:spacing w:line="288" w:lineRule="auto"/>
              <w:jc w:val="center"/>
              <w:rPr>
                <w:rFonts w:eastAsia="Times New Roman"/>
                <w:color w:val="000000"/>
                <w:sz w:val="24"/>
                <w:szCs w:val="24"/>
                <w:lang w:eastAsia="ru-RU"/>
              </w:rPr>
            </w:pPr>
            <w:r w:rsidRPr="00006A39">
              <w:rPr>
                <w:rFonts w:eastAsia="Times New Roman"/>
                <w:color w:val="000000"/>
                <w:sz w:val="24"/>
                <w:szCs w:val="24"/>
                <w:lang w:eastAsia="ru-RU"/>
              </w:rPr>
              <w:t>0,69</w:t>
            </w:r>
          </w:p>
        </w:tc>
        <w:tc>
          <w:tcPr>
            <w:tcW w:w="1027" w:type="dxa"/>
            <w:shd w:val="clear" w:color="auto" w:fill="auto"/>
          </w:tcPr>
          <w:p w:rsidR="004F31D7" w:rsidRPr="00006A39" w:rsidRDefault="004F31D7" w:rsidP="00721203">
            <w:pPr>
              <w:widowControl w:val="0"/>
              <w:tabs>
                <w:tab w:val="left" w:pos="993"/>
              </w:tabs>
              <w:spacing w:line="288" w:lineRule="auto"/>
              <w:jc w:val="center"/>
              <w:rPr>
                <w:rFonts w:eastAsia="Times New Roman"/>
                <w:color w:val="000000"/>
                <w:sz w:val="24"/>
                <w:szCs w:val="24"/>
                <w:lang w:eastAsia="ru-RU"/>
              </w:rPr>
            </w:pPr>
            <w:r w:rsidRPr="00006A39">
              <w:rPr>
                <w:rFonts w:eastAsia="Times New Roman"/>
                <w:color w:val="000000"/>
                <w:sz w:val="24"/>
                <w:szCs w:val="24"/>
                <w:lang w:eastAsia="ru-RU"/>
              </w:rPr>
              <w:t>230,0</w:t>
            </w:r>
          </w:p>
        </w:tc>
      </w:tr>
      <w:tr w:rsidR="004F31D7" w:rsidRPr="00006A39" w:rsidTr="00AD17FC">
        <w:trPr>
          <w:trHeight w:val="330"/>
          <w:jc w:val="center"/>
        </w:trPr>
        <w:tc>
          <w:tcPr>
            <w:tcW w:w="4961" w:type="dxa"/>
            <w:shd w:val="clear" w:color="auto" w:fill="auto"/>
            <w:hideMark/>
          </w:tcPr>
          <w:p w:rsidR="004F31D7" w:rsidRPr="00006A39" w:rsidRDefault="004F31D7" w:rsidP="00721203">
            <w:pPr>
              <w:widowControl w:val="0"/>
              <w:tabs>
                <w:tab w:val="left" w:pos="993"/>
              </w:tabs>
              <w:spacing w:line="288" w:lineRule="auto"/>
              <w:rPr>
                <w:rFonts w:eastAsia="Times New Roman"/>
                <w:color w:val="000000"/>
                <w:sz w:val="24"/>
                <w:szCs w:val="24"/>
                <w:lang w:eastAsia="ru-RU"/>
              </w:rPr>
            </w:pPr>
            <w:r w:rsidRPr="00006A39">
              <w:rPr>
                <w:rFonts w:eastAsia="Times New Roman"/>
                <w:color w:val="000000"/>
                <w:sz w:val="24"/>
                <w:szCs w:val="24"/>
                <w:lang w:eastAsia="ru-RU"/>
              </w:rPr>
              <w:t>Внутрішньошлуночкові і субарахноїдальні крововиливи</w:t>
            </w:r>
          </w:p>
        </w:tc>
        <w:tc>
          <w:tcPr>
            <w:tcW w:w="0" w:type="auto"/>
            <w:shd w:val="clear" w:color="auto" w:fill="auto"/>
          </w:tcPr>
          <w:p w:rsidR="004F31D7" w:rsidRPr="00006A39" w:rsidRDefault="004F31D7" w:rsidP="00721203">
            <w:pPr>
              <w:widowControl w:val="0"/>
              <w:tabs>
                <w:tab w:val="left" w:pos="993"/>
              </w:tabs>
              <w:spacing w:line="288" w:lineRule="auto"/>
              <w:jc w:val="center"/>
              <w:rPr>
                <w:rFonts w:eastAsia="Times New Roman"/>
                <w:color w:val="000000"/>
                <w:sz w:val="24"/>
                <w:szCs w:val="24"/>
                <w:lang w:eastAsia="ru-RU"/>
              </w:rPr>
            </w:pPr>
            <w:r w:rsidRPr="00006A39">
              <w:rPr>
                <w:rFonts w:eastAsia="Times New Roman"/>
                <w:bCs/>
                <w:color w:val="000000"/>
                <w:sz w:val="24"/>
                <w:szCs w:val="24"/>
                <w:lang w:eastAsia="ru-RU"/>
              </w:rPr>
              <w:t>1,58</w:t>
            </w:r>
          </w:p>
        </w:tc>
        <w:tc>
          <w:tcPr>
            <w:tcW w:w="0" w:type="auto"/>
            <w:shd w:val="clear" w:color="auto" w:fill="auto"/>
          </w:tcPr>
          <w:p w:rsidR="004F31D7" w:rsidRPr="00006A39" w:rsidRDefault="004F31D7" w:rsidP="00721203">
            <w:pPr>
              <w:widowControl w:val="0"/>
              <w:tabs>
                <w:tab w:val="left" w:pos="993"/>
              </w:tabs>
              <w:spacing w:line="288" w:lineRule="auto"/>
              <w:jc w:val="center"/>
              <w:rPr>
                <w:rFonts w:eastAsia="Times New Roman"/>
                <w:color w:val="000000"/>
                <w:sz w:val="24"/>
                <w:szCs w:val="24"/>
                <w:lang w:eastAsia="ru-RU"/>
              </w:rPr>
            </w:pPr>
            <w:r w:rsidRPr="00006A39">
              <w:rPr>
                <w:rFonts w:eastAsia="Times New Roman"/>
                <w:bCs/>
                <w:color w:val="000000"/>
                <w:sz w:val="24"/>
                <w:szCs w:val="24"/>
                <w:lang w:eastAsia="ru-RU"/>
              </w:rPr>
              <w:t>1,97</w:t>
            </w:r>
          </w:p>
        </w:tc>
        <w:tc>
          <w:tcPr>
            <w:tcW w:w="0" w:type="auto"/>
            <w:shd w:val="clear" w:color="auto" w:fill="auto"/>
          </w:tcPr>
          <w:p w:rsidR="004F31D7" w:rsidRPr="00006A39" w:rsidRDefault="004F31D7" w:rsidP="00721203">
            <w:pPr>
              <w:widowControl w:val="0"/>
              <w:tabs>
                <w:tab w:val="left" w:pos="993"/>
              </w:tabs>
              <w:spacing w:line="288" w:lineRule="auto"/>
              <w:jc w:val="center"/>
              <w:rPr>
                <w:rFonts w:eastAsia="Times New Roman"/>
                <w:color w:val="000000"/>
                <w:sz w:val="24"/>
                <w:szCs w:val="24"/>
                <w:lang w:eastAsia="ru-RU"/>
              </w:rPr>
            </w:pPr>
            <w:r w:rsidRPr="00006A39">
              <w:rPr>
                <w:rFonts w:eastAsia="Times New Roman"/>
                <w:bCs/>
                <w:color w:val="000000"/>
                <w:sz w:val="24"/>
                <w:szCs w:val="24"/>
                <w:lang w:eastAsia="ru-RU"/>
              </w:rPr>
              <w:t>2,41</w:t>
            </w:r>
          </w:p>
        </w:tc>
        <w:tc>
          <w:tcPr>
            <w:tcW w:w="0" w:type="auto"/>
            <w:shd w:val="clear" w:color="auto" w:fill="auto"/>
          </w:tcPr>
          <w:p w:rsidR="004F31D7" w:rsidRPr="00006A39" w:rsidRDefault="004F31D7" w:rsidP="00721203">
            <w:pPr>
              <w:widowControl w:val="0"/>
              <w:tabs>
                <w:tab w:val="left" w:pos="993"/>
              </w:tabs>
              <w:spacing w:line="288" w:lineRule="auto"/>
              <w:jc w:val="center"/>
              <w:rPr>
                <w:rFonts w:eastAsia="Times New Roman"/>
                <w:color w:val="000000"/>
                <w:sz w:val="24"/>
                <w:szCs w:val="24"/>
                <w:lang w:eastAsia="ru-RU"/>
              </w:rPr>
            </w:pPr>
            <w:r w:rsidRPr="00006A39">
              <w:rPr>
                <w:rFonts w:eastAsia="Times New Roman"/>
                <w:color w:val="000000"/>
                <w:sz w:val="24"/>
                <w:szCs w:val="24"/>
                <w:lang w:eastAsia="ru-RU"/>
              </w:rPr>
              <w:t>2,12</w:t>
            </w:r>
          </w:p>
        </w:tc>
        <w:tc>
          <w:tcPr>
            <w:tcW w:w="0" w:type="auto"/>
            <w:shd w:val="clear" w:color="auto" w:fill="auto"/>
          </w:tcPr>
          <w:p w:rsidR="004F31D7" w:rsidRPr="00006A39" w:rsidRDefault="004F31D7" w:rsidP="00721203">
            <w:pPr>
              <w:widowControl w:val="0"/>
              <w:tabs>
                <w:tab w:val="left" w:pos="993"/>
              </w:tabs>
              <w:spacing w:line="288" w:lineRule="auto"/>
              <w:jc w:val="center"/>
              <w:rPr>
                <w:rFonts w:eastAsia="Times New Roman"/>
                <w:color w:val="000000"/>
                <w:sz w:val="24"/>
                <w:szCs w:val="24"/>
                <w:lang w:eastAsia="ru-RU"/>
              </w:rPr>
            </w:pPr>
            <w:r w:rsidRPr="00006A39">
              <w:rPr>
                <w:rFonts w:eastAsia="Times New Roman"/>
                <w:color w:val="000000"/>
                <w:sz w:val="24"/>
                <w:szCs w:val="24"/>
                <w:lang w:eastAsia="ru-RU"/>
              </w:rPr>
              <w:t>2,04</w:t>
            </w:r>
          </w:p>
        </w:tc>
        <w:tc>
          <w:tcPr>
            <w:tcW w:w="1027" w:type="dxa"/>
            <w:shd w:val="clear" w:color="auto" w:fill="auto"/>
          </w:tcPr>
          <w:p w:rsidR="004F31D7" w:rsidRPr="00006A39" w:rsidRDefault="004F31D7" w:rsidP="00721203">
            <w:pPr>
              <w:widowControl w:val="0"/>
              <w:tabs>
                <w:tab w:val="left" w:pos="993"/>
              </w:tabs>
              <w:spacing w:line="288" w:lineRule="auto"/>
              <w:jc w:val="center"/>
              <w:rPr>
                <w:rFonts w:eastAsia="Times New Roman"/>
                <w:color w:val="000000"/>
                <w:sz w:val="24"/>
                <w:szCs w:val="24"/>
                <w:lang w:eastAsia="ru-RU"/>
              </w:rPr>
            </w:pPr>
            <w:r w:rsidRPr="00006A39">
              <w:rPr>
                <w:rFonts w:eastAsia="Times New Roman"/>
                <w:color w:val="000000"/>
                <w:sz w:val="24"/>
                <w:szCs w:val="24"/>
                <w:lang w:eastAsia="ru-RU"/>
              </w:rPr>
              <w:t>129,11</w:t>
            </w:r>
          </w:p>
        </w:tc>
      </w:tr>
      <w:tr w:rsidR="004F31D7" w:rsidRPr="00006A39" w:rsidTr="00AD17FC">
        <w:trPr>
          <w:trHeight w:val="330"/>
          <w:jc w:val="center"/>
        </w:trPr>
        <w:tc>
          <w:tcPr>
            <w:tcW w:w="4961" w:type="dxa"/>
            <w:shd w:val="clear" w:color="auto" w:fill="auto"/>
            <w:hideMark/>
          </w:tcPr>
          <w:p w:rsidR="004F31D7" w:rsidRPr="00006A39" w:rsidRDefault="004F31D7" w:rsidP="00721203">
            <w:pPr>
              <w:widowControl w:val="0"/>
              <w:tabs>
                <w:tab w:val="left" w:pos="993"/>
              </w:tabs>
              <w:spacing w:line="288" w:lineRule="auto"/>
              <w:rPr>
                <w:rFonts w:eastAsia="Times New Roman"/>
                <w:color w:val="000000"/>
                <w:sz w:val="24"/>
                <w:szCs w:val="24"/>
                <w:lang w:eastAsia="ru-RU"/>
              </w:rPr>
            </w:pPr>
            <w:r w:rsidRPr="00006A39">
              <w:rPr>
                <w:rFonts w:eastAsia="Times New Roman"/>
                <w:color w:val="000000"/>
                <w:sz w:val="24"/>
                <w:szCs w:val="24"/>
                <w:lang w:eastAsia="ru-RU"/>
              </w:rPr>
              <w:t>Гемолітична хвороба, обумовлена ізоімунізацією</w:t>
            </w:r>
          </w:p>
        </w:tc>
        <w:tc>
          <w:tcPr>
            <w:tcW w:w="0" w:type="auto"/>
            <w:shd w:val="clear" w:color="auto" w:fill="auto"/>
          </w:tcPr>
          <w:p w:rsidR="004F31D7" w:rsidRPr="00006A39" w:rsidRDefault="004F31D7" w:rsidP="00721203">
            <w:pPr>
              <w:widowControl w:val="0"/>
              <w:tabs>
                <w:tab w:val="left" w:pos="993"/>
              </w:tabs>
              <w:spacing w:line="288" w:lineRule="auto"/>
              <w:jc w:val="center"/>
              <w:rPr>
                <w:rFonts w:eastAsia="Times New Roman"/>
                <w:color w:val="000000"/>
                <w:sz w:val="24"/>
                <w:szCs w:val="24"/>
                <w:lang w:eastAsia="ru-RU"/>
              </w:rPr>
            </w:pPr>
            <w:r w:rsidRPr="00006A39">
              <w:rPr>
                <w:rFonts w:eastAsia="Times New Roman"/>
                <w:bCs/>
                <w:color w:val="000000"/>
                <w:sz w:val="24"/>
                <w:szCs w:val="24"/>
                <w:lang w:eastAsia="ru-RU"/>
              </w:rPr>
              <w:t>8,01</w:t>
            </w:r>
          </w:p>
        </w:tc>
        <w:tc>
          <w:tcPr>
            <w:tcW w:w="0" w:type="auto"/>
            <w:shd w:val="clear" w:color="auto" w:fill="auto"/>
          </w:tcPr>
          <w:p w:rsidR="004F31D7" w:rsidRPr="00006A39" w:rsidRDefault="004F31D7" w:rsidP="00721203">
            <w:pPr>
              <w:widowControl w:val="0"/>
              <w:tabs>
                <w:tab w:val="left" w:pos="993"/>
              </w:tabs>
              <w:spacing w:line="288" w:lineRule="auto"/>
              <w:jc w:val="center"/>
              <w:rPr>
                <w:rFonts w:eastAsia="Times New Roman"/>
                <w:color w:val="000000"/>
                <w:sz w:val="24"/>
                <w:szCs w:val="24"/>
                <w:lang w:eastAsia="ru-RU"/>
              </w:rPr>
            </w:pPr>
            <w:r w:rsidRPr="00006A39">
              <w:rPr>
                <w:rFonts w:eastAsia="Times New Roman"/>
                <w:bCs/>
                <w:color w:val="000000"/>
                <w:sz w:val="24"/>
                <w:szCs w:val="24"/>
                <w:lang w:eastAsia="ru-RU"/>
              </w:rPr>
              <w:t>7,76</w:t>
            </w:r>
          </w:p>
        </w:tc>
        <w:tc>
          <w:tcPr>
            <w:tcW w:w="0" w:type="auto"/>
            <w:shd w:val="clear" w:color="auto" w:fill="auto"/>
          </w:tcPr>
          <w:p w:rsidR="004F31D7" w:rsidRPr="00006A39" w:rsidRDefault="004F31D7" w:rsidP="00721203">
            <w:pPr>
              <w:widowControl w:val="0"/>
              <w:tabs>
                <w:tab w:val="left" w:pos="993"/>
              </w:tabs>
              <w:spacing w:line="288" w:lineRule="auto"/>
              <w:jc w:val="center"/>
              <w:rPr>
                <w:rFonts w:eastAsia="Times New Roman"/>
                <w:color w:val="000000"/>
                <w:sz w:val="24"/>
                <w:szCs w:val="24"/>
                <w:lang w:eastAsia="ru-RU"/>
              </w:rPr>
            </w:pPr>
            <w:r w:rsidRPr="00006A39">
              <w:rPr>
                <w:rFonts w:eastAsia="Times New Roman"/>
                <w:bCs/>
                <w:color w:val="000000"/>
                <w:sz w:val="24"/>
                <w:szCs w:val="24"/>
                <w:lang w:eastAsia="ru-RU"/>
              </w:rPr>
              <w:t>7,76</w:t>
            </w:r>
          </w:p>
        </w:tc>
        <w:tc>
          <w:tcPr>
            <w:tcW w:w="0" w:type="auto"/>
            <w:shd w:val="clear" w:color="auto" w:fill="auto"/>
          </w:tcPr>
          <w:p w:rsidR="004F31D7" w:rsidRPr="00006A39" w:rsidRDefault="004F31D7" w:rsidP="00721203">
            <w:pPr>
              <w:widowControl w:val="0"/>
              <w:tabs>
                <w:tab w:val="left" w:pos="993"/>
              </w:tabs>
              <w:spacing w:line="288" w:lineRule="auto"/>
              <w:jc w:val="center"/>
              <w:rPr>
                <w:rFonts w:eastAsia="Times New Roman"/>
                <w:color w:val="000000"/>
                <w:sz w:val="24"/>
                <w:szCs w:val="24"/>
                <w:lang w:eastAsia="ru-RU"/>
              </w:rPr>
            </w:pPr>
            <w:r w:rsidRPr="00006A39">
              <w:rPr>
                <w:rFonts w:eastAsia="Times New Roman"/>
                <w:color w:val="000000"/>
                <w:sz w:val="24"/>
                <w:szCs w:val="24"/>
                <w:lang w:eastAsia="ru-RU"/>
              </w:rPr>
              <w:t>8,15</w:t>
            </w:r>
          </w:p>
        </w:tc>
        <w:tc>
          <w:tcPr>
            <w:tcW w:w="0" w:type="auto"/>
            <w:shd w:val="clear" w:color="auto" w:fill="auto"/>
          </w:tcPr>
          <w:p w:rsidR="004F31D7" w:rsidRPr="00006A39" w:rsidRDefault="004F31D7" w:rsidP="00721203">
            <w:pPr>
              <w:widowControl w:val="0"/>
              <w:tabs>
                <w:tab w:val="left" w:pos="993"/>
              </w:tabs>
              <w:spacing w:line="288" w:lineRule="auto"/>
              <w:jc w:val="center"/>
              <w:rPr>
                <w:rFonts w:eastAsia="Times New Roman"/>
                <w:color w:val="000000"/>
                <w:sz w:val="24"/>
                <w:szCs w:val="24"/>
                <w:lang w:eastAsia="ru-RU"/>
              </w:rPr>
            </w:pPr>
            <w:r w:rsidRPr="00006A39">
              <w:rPr>
                <w:rFonts w:eastAsia="Times New Roman"/>
                <w:color w:val="000000"/>
                <w:sz w:val="24"/>
                <w:szCs w:val="24"/>
                <w:lang w:eastAsia="ru-RU"/>
              </w:rPr>
              <w:t>8,44</w:t>
            </w:r>
          </w:p>
        </w:tc>
        <w:tc>
          <w:tcPr>
            <w:tcW w:w="1027" w:type="dxa"/>
            <w:shd w:val="clear" w:color="auto" w:fill="auto"/>
          </w:tcPr>
          <w:p w:rsidR="004F31D7" w:rsidRPr="00006A39" w:rsidRDefault="004F31D7" w:rsidP="00721203">
            <w:pPr>
              <w:widowControl w:val="0"/>
              <w:tabs>
                <w:tab w:val="left" w:pos="993"/>
              </w:tabs>
              <w:spacing w:line="288" w:lineRule="auto"/>
              <w:jc w:val="center"/>
              <w:rPr>
                <w:rFonts w:eastAsia="Times New Roman"/>
                <w:color w:val="000000"/>
                <w:sz w:val="24"/>
                <w:szCs w:val="24"/>
                <w:lang w:eastAsia="ru-RU"/>
              </w:rPr>
            </w:pPr>
            <w:r w:rsidRPr="00006A39">
              <w:rPr>
                <w:rFonts w:eastAsia="Times New Roman"/>
                <w:color w:val="000000"/>
                <w:sz w:val="24"/>
                <w:szCs w:val="24"/>
                <w:lang w:eastAsia="ru-RU"/>
              </w:rPr>
              <w:t>105,37</w:t>
            </w:r>
          </w:p>
        </w:tc>
      </w:tr>
      <w:tr w:rsidR="004F31D7" w:rsidRPr="00006A39" w:rsidTr="00AD17FC">
        <w:trPr>
          <w:trHeight w:val="330"/>
          <w:jc w:val="center"/>
        </w:trPr>
        <w:tc>
          <w:tcPr>
            <w:tcW w:w="4961" w:type="dxa"/>
            <w:shd w:val="clear" w:color="auto" w:fill="auto"/>
            <w:hideMark/>
          </w:tcPr>
          <w:p w:rsidR="004F31D7" w:rsidRPr="00006A39" w:rsidRDefault="004F31D7" w:rsidP="00721203">
            <w:pPr>
              <w:widowControl w:val="0"/>
              <w:tabs>
                <w:tab w:val="left" w:pos="993"/>
              </w:tabs>
              <w:spacing w:line="288" w:lineRule="auto"/>
              <w:rPr>
                <w:rFonts w:eastAsia="Times New Roman"/>
                <w:color w:val="000000"/>
                <w:sz w:val="24"/>
                <w:szCs w:val="24"/>
                <w:lang w:eastAsia="ru-RU"/>
              </w:rPr>
            </w:pPr>
            <w:r w:rsidRPr="00006A39">
              <w:rPr>
                <w:rFonts w:eastAsia="Times New Roman"/>
                <w:color w:val="000000"/>
                <w:sz w:val="24"/>
                <w:szCs w:val="24"/>
                <w:lang w:eastAsia="ru-RU"/>
              </w:rPr>
              <w:t>Неонатальна жовтяниця, обумовлена надмірним гемолізом, іншими причинами</w:t>
            </w:r>
          </w:p>
        </w:tc>
        <w:tc>
          <w:tcPr>
            <w:tcW w:w="0" w:type="auto"/>
            <w:shd w:val="clear" w:color="auto" w:fill="auto"/>
          </w:tcPr>
          <w:p w:rsidR="004F31D7" w:rsidRPr="00006A39" w:rsidRDefault="004F31D7" w:rsidP="00721203">
            <w:pPr>
              <w:widowControl w:val="0"/>
              <w:tabs>
                <w:tab w:val="left" w:pos="993"/>
              </w:tabs>
              <w:spacing w:line="288" w:lineRule="auto"/>
              <w:jc w:val="center"/>
              <w:rPr>
                <w:rFonts w:eastAsia="Times New Roman"/>
                <w:color w:val="000000"/>
                <w:sz w:val="24"/>
                <w:szCs w:val="24"/>
                <w:lang w:eastAsia="ru-RU"/>
              </w:rPr>
            </w:pPr>
            <w:r w:rsidRPr="00006A39">
              <w:rPr>
                <w:rFonts w:eastAsia="Times New Roman"/>
                <w:bCs/>
                <w:color w:val="000000"/>
                <w:sz w:val="24"/>
                <w:szCs w:val="24"/>
                <w:lang w:eastAsia="ru-RU"/>
              </w:rPr>
              <w:t>29,35</w:t>
            </w:r>
          </w:p>
        </w:tc>
        <w:tc>
          <w:tcPr>
            <w:tcW w:w="0" w:type="auto"/>
            <w:shd w:val="clear" w:color="auto" w:fill="auto"/>
          </w:tcPr>
          <w:p w:rsidR="004F31D7" w:rsidRPr="00006A39" w:rsidRDefault="004F31D7" w:rsidP="00721203">
            <w:pPr>
              <w:widowControl w:val="0"/>
              <w:tabs>
                <w:tab w:val="left" w:pos="993"/>
              </w:tabs>
              <w:spacing w:line="288" w:lineRule="auto"/>
              <w:jc w:val="center"/>
              <w:rPr>
                <w:rFonts w:eastAsia="Times New Roman"/>
                <w:color w:val="000000"/>
                <w:sz w:val="24"/>
                <w:szCs w:val="24"/>
                <w:lang w:eastAsia="ru-RU"/>
              </w:rPr>
            </w:pPr>
            <w:r w:rsidRPr="00006A39">
              <w:rPr>
                <w:rFonts w:eastAsia="Times New Roman"/>
                <w:bCs/>
                <w:color w:val="000000"/>
                <w:sz w:val="24"/>
                <w:szCs w:val="24"/>
                <w:lang w:eastAsia="ru-RU"/>
              </w:rPr>
              <w:t>31,11</w:t>
            </w:r>
          </w:p>
        </w:tc>
        <w:tc>
          <w:tcPr>
            <w:tcW w:w="0" w:type="auto"/>
            <w:shd w:val="clear" w:color="auto" w:fill="auto"/>
          </w:tcPr>
          <w:p w:rsidR="004F31D7" w:rsidRPr="00006A39" w:rsidRDefault="004F31D7" w:rsidP="00721203">
            <w:pPr>
              <w:widowControl w:val="0"/>
              <w:tabs>
                <w:tab w:val="left" w:pos="993"/>
              </w:tabs>
              <w:spacing w:line="288" w:lineRule="auto"/>
              <w:jc w:val="center"/>
              <w:rPr>
                <w:rFonts w:eastAsia="Times New Roman"/>
                <w:color w:val="000000"/>
                <w:sz w:val="24"/>
                <w:szCs w:val="24"/>
                <w:lang w:eastAsia="ru-RU"/>
              </w:rPr>
            </w:pPr>
            <w:r w:rsidRPr="00006A39">
              <w:rPr>
                <w:rFonts w:eastAsia="Times New Roman"/>
                <w:bCs/>
                <w:color w:val="000000"/>
                <w:sz w:val="24"/>
                <w:szCs w:val="24"/>
                <w:lang w:eastAsia="ru-RU"/>
              </w:rPr>
              <w:t>33,46</w:t>
            </w:r>
          </w:p>
        </w:tc>
        <w:tc>
          <w:tcPr>
            <w:tcW w:w="0" w:type="auto"/>
            <w:shd w:val="clear" w:color="auto" w:fill="auto"/>
          </w:tcPr>
          <w:p w:rsidR="004F31D7" w:rsidRPr="00006A39" w:rsidRDefault="004F31D7" w:rsidP="00721203">
            <w:pPr>
              <w:widowControl w:val="0"/>
              <w:tabs>
                <w:tab w:val="left" w:pos="993"/>
              </w:tabs>
              <w:spacing w:line="288" w:lineRule="auto"/>
              <w:jc w:val="center"/>
              <w:rPr>
                <w:rFonts w:eastAsia="Times New Roman"/>
                <w:color w:val="000000"/>
                <w:sz w:val="24"/>
                <w:szCs w:val="24"/>
                <w:lang w:eastAsia="ru-RU"/>
              </w:rPr>
            </w:pPr>
            <w:r w:rsidRPr="00006A39">
              <w:rPr>
                <w:rFonts w:eastAsia="Times New Roman"/>
                <w:color w:val="000000"/>
                <w:sz w:val="24"/>
                <w:szCs w:val="24"/>
                <w:lang w:eastAsia="ru-RU"/>
              </w:rPr>
              <w:t>36,45</w:t>
            </w:r>
          </w:p>
        </w:tc>
        <w:tc>
          <w:tcPr>
            <w:tcW w:w="0" w:type="auto"/>
            <w:shd w:val="clear" w:color="auto" w:fill="auto"/>
          </w:tcPr>
          <w:p w:rsidR="004F31D7" w:rsidRPr="00006A39" w:rsidRDefault="004F31D7" w:rsidP="00721203">
            <w:pPr>
              <w:widowControl w:val="0"/>
              <w:tabs>
                <w:tab w:val="left" w:pos="993"/>
              </w:tabs>
              <w:spacing w:line="288" w:lineRule="auto"/>
              <w:jc w:val="center"/>
              <w:rPr>
                <w:rFonts w:eastAsia="Times New Roman"/>
                <w:color w:val="000000"/>
                <w:sz w:val="24"/>
                <w:szCs w:val="24"/>
                <w:lang w:eastAsia="ru-RU"/>
              </w:rPr>
            </w:pPr>
            <w:r w:rsidRPr="00006A39">
              <w:rPr>
                <w:rFonts w:eastAsia="Times New Roman"/>
                <w:color w:val="000000"/>
                <w:sz w:val="24"/>
                <w:szCs w:val="24"/>
                <w:lang w:eastAsia="ru-RU"/>
              </w:rPr>
              <w:t>39,84</w:t>
            </w:r>
          </w:p>
        </w:tc>
        <w:tc>
          <w:tcPr>
            <w:tcW w:w="1027" w:type="dxa"/>
            <w:shd w:val="clear" w:color="auto" w:fill="auto"/>
          </w:tcPr>
          <w:p w:rsidR="004F31D7" w:rsidRPr="00006A39" w:rsidRDefault="004F31D7" w:rsidP="00721203">
            <w:pPr>
              <w:widowControl w:val="0"/>
              <w:tabs>
                <w:tab w:val="left" w:pos="993"/>
              </w:tabs>
              <w:spacing w:line="288" w:lineRule="auto"/>
              <w:jc w:val="center"/>
              <w:rPr>
                <w:rFonts w:eastAsia="Times New Roman"/>
                <w:color w:val="000000"/>
                <w:sz w:val="24"/>
                <w:szCs w:val="24"/>
                <w:lang w:eastAsia="ru-RU"/>
              </w:rPr>
            </w:pPr>
            <w:r w:rsidRPr="00006A39">
              <w:rPr>
                <w:rFonts w:eastAsia="Times New Roman"/>
                <w:color w:val="000000"/>
                <w:sz w:val="24"/>
                <w:szCs w:val="24"/>
                <w:lang w:eastAsia="ru-RU"/>
              </w:rPr>
              <w:t>135,74</w:t>
            </w:r>
          </w:p>
        </w:tc>
      </w:tr>
      <w:tr w:rsidR="004F31D7" w:rsidRPr="00006A39" w:rsidTr="00AD17FC">
        <w:trPr>
          <w:trHeight w:val="330"/>
          <w:jc w:val="center"/>
        </w:trPr>
        <w:tc>
          <w:tcPr>
            <w:tcW w:w="4961" w:type="dxa"/>
            <w:shd w:val="clear" w:color="auto" w:fill="auto"/>
            <w:hideMark/>
          </w:tcPr>
          <w:p w:rsidR="004F31D7" w:rsidRPr="00006A39" w:rsidRDefault="004F31D7" w:rsidP="00721203">
            <w:pPr>
              <w:widowControl w:val="0"/>
              <w:tabs>
                <w:tab w:val="left" w:pos="993"/>
              </w:tabs>
              <w:spacing w:line="288" w:lineRule="auto"/>
              <w:rPr>
                <w:rFonts w:eastAsia="Times New Roman"/>
                <w:color w:val="000000"/>
                <w:sz w:val="24"/>
                <w:szCs w:val="24"/>
                <w:lang w:eastAsia="ru-RU"/>
              </w:rPr>
            </w:pPr>
            <w:r w:rsidRPr="00006A39">
              <w:rPr>
                <w:rFonts w:eastAsia="Times New Roman"/>
                <w:color w:val="000000"/>
                <w:sz w:val="24"/>
                <w:szCs w:val="24"/>
                <w:lang w:eastAsia="ru-RU"/>
              </w:rPr>
              <w:t>Інші порушення церебрального статусу новонародженого</w:t>
            </w:r>
          </w:p>
        </w:tc>
        <w:tc>
          <w:tcPr>
            <w:tcW w:w="0" w:type="auto"/>
            <w:shd w:val="clear" w:color="auto" w:fill="auto"/>
          </w:tcPr>
          <w:p w:rsidR="004F31D7" w:rsidRPr="00006A39" w:rsidRDefault="004F31D7" w:rsidP="00721203">
            <w:pPr>
              <w:widowControl w:val="0"/>
              <w:tabs>
                <w:tab w:val="left" w:pos="993"/>
              </w:tabs>
              <w:spacing w:line="288" w:lineRule="auto"/>
              <w:jc w:val="center"/>
              <w:rPr>
                <w:rFonts w:eastAsia="Times New Roman"/>
                <w:color w:val="000000"/>
                <w:sz w:val="24"/>
                <w:szCs w:val="24"/>
                <w:lang w:eastAsia="ru-RU"/>
              </w:rPr>
            </w:pPr>
            <w:r w:rsidRPr="00006A39">
              <w:rPr>
                <w:rFonts w:eastAsia="Times New Roman"/>
                <w:bCs/>
                <w:color w:val="000000"/>
                <w:sz w:val="24"/>
                <w:szCs w:val="24"/>
                <w:lang w:eastAsia="ru-RU"/>
              </w:rPr>
              <w:t>21,68</w:t>
            </w:r>
          </w:p>
        </w:tc>
        <w:tc>
          <w:tcPr>
            <w:tcW w:w="0" w:type="auto"/>
            <w:shd w:val="clear" w:color="auto" w:fill="auto"/>
          </w:tcPr>
          <w:p w:rsidR="004F31D7" w:rsidRPr="00006A39" w:rsidRDefault="004F31D7" w:rsidP="00721203">
            <w:pPr>
              <w:widowControl w:val="0"/>
              <w:tabs>
                <w:tab w:val="left" w:pos="993"/>
              </w:tabs>
              <w:spacing w:line="288" w:lineRule="auto"/>
              <w:jc w:val="center"/>
              <w:rPr>
                <w:rFonts w:eastAsia="Times New Roman"/>
                <w:color w:val="000000"/>
                <w:sz w:val="24"/>
                <w:szCs w:val="24"/>
                <w:lang w:eastAsia="ru-RU"/>
              </w:rPr>
            </w:pPr>
            <w:r w:rsidRPr="00006A39">
              <w:rPr>
                <w:rFonts w:eastAsia="Times New Roman"/>
                <w:bCs/>
                <w:color w:val="000000"/>
                <w:sz w:val="24"/>
                <w:szCs w:val="24"/>
                <w:lang w:eastAsia="ru-RU"/>
              </w:rPr>
              <w:t>23,05</w:t>
            </w:r>
          </w:p>
        </w:tc>
        <w:tc>
          <w:tcPr>
            <w:tcW w:w="0" w:type="auto"/>
            <w:shd w:val="clear" w:color="auto" w:fill="auto"/>
          </w:tcPr>
          <w:p w:rsidR="004F31D7" w:rsidRPr="00006A39" w:rsidRDefault="004F31D7" w:rsidP="00721203">
            <w:pPr>
              <w:widowControl w:val="0"/>
              <w:tabs>
                <w:tab w:val="left" w:pos="993"/>
              </w:tabs>
              <w:spacing w:line="288" w:lineRule="auto"/>
              <w:jc w:val="center"/>
              <w:rPr>
                <w:rFonts w:eastAsia="Times New Roman"/>
                <w:color w:val="000000"/>
                <w:sz w:val="24"/>
                <w:szCs w:val="24"/>
                <w:lang w:eastAsia="ru-RU"/>
              </w:rPr>
            </w:pPr>
            <w:r w:rsidRPr="00006A39">
              <w:rPr>
                <w:rFonts w:eastAsia="Times New Roman"/>
                <w:bCs/>
                <w:color w:val="000000"/>
                <w:sz w:val="24"/>
                <w:szCs w:val="24"/>
                <w:lang w:eastAsia="ru-RU"/>
              </w:rPr>
              <w:t>23,8</w:t>
            </w:r>
          </w:p>
        </w:tc>
        <w:tc>
          <w:tcPr>
            <w:tcW w:w="0" w:type="auto"/>
            <w:shd w:val="clear" w:color="auto" w:fill="auto"/>
          </w:tcPr>
          <w:p w:rsidR="004F31D7" w:rsidRPr="00006A39" w:rsidRDefault="004F31D7" w:rsidP="00721203">
            <w:pPr>
              <w:widowControl w:val="0"/>
              <w:tabs>
                <w:tab w:val="left" w:pos="993"/>
              </w:tabs>
              <w:spacing w:line="288" w:lineRule="auto"/>
              <w:jc w:val="center"/>
              <w:rPr>
                <w:rFonts w:eastAsia="Times New Roman"/>
                <w:color w:val="000000"/>
                <w:sz w:val="24"/>
                <w:szCs w:val="24"/>
                <w:lang w:eastAsia="ru-RU"/>
              </w:rPr>
            </w:pPr>
            <w:r w:rsidRPr="00006A39">
              <w:rPr>
                <w:rFonts w:eastAsia="Times New Roman"/>
                <w:color w:val="000000"/>
                <w:sz w:val="24"/>
                <w:szCs w:val="24"/>
                <w:lang w:eastAsia="ru-RU"/>
              </w:rPr>
              <w:t>26,72</w:t>
            </w:r>
          </w:p>
        </w:tc>
        <w:tc>
          <w:tcPr>
            <w:tcW w:w="0" w:type="auto"/>
            <w:shd w:val="clear" w:color="auto" w:fill="auto"/>
          </w:tcPr>
          <w:p w:rsidR="004F31D7" w:rsidRPr="00006A39" w:rsidRDefault="004F31D7" w:rsidP="00721203">
            <w:pPr>
              <w:widowControl w:val="0"/>
              <w:tabs>
                <w:tab w:val="left" w:pos="993"/>
              </w:tabs>
              <w:spacing w:line="288" w:lineRule="auto"/>
              <w:jc w:val="center"/>
              <w:rPr>
                <w:rFonts w:eastAsia="Times New Roman"/>
                <w:color w:val="000000"/>
                <w:sz w:val="24"/>
                <w:szCs w:val="24"/>
                <w:lang w:eastAsia="ru-RU"/>
              </w:rPr>
            </w:pPr>
            <w:r w:rsidRPr="00006A39">
              <w:rPr>
                <w:rFonts w:eastAsia="Times New Roman"/>
                <w:color w:val="000000"/>
                <w:sz w:val="24"/>
                <w:szCs w:val="24"/>
                <w:lang w:eastAsia="ru-RU"/>
              </w:rPr>
              <w:t>26,5</w:t>
            </w:r>
          </w:p>
        </w:tc>
        <w:tc>
          <w:tcPr>
            <w:tcW w:w="1027" w:type="dxa"/>
            <w:shd w:val="clear" w:color="auto" w:fill="auto"/>
          </w:tcPr>
          <w:p w:rsidR="004F31D7" w:rsidRPr="00006A39" w:rsidRDefault="004F31D7" w:rsidP="00721203">
            <w:pPr>
              <w:widowControl w:val="0"/>
              <w:tabs>
                <w:tab w:val="left" w:pos="993"/>
              </w:tabs>
              <w:spacing w:line="288" w:lineRule="auto"/>
              <w:jc w:val="center"/>
              <w:rPr>
                <w:rFonts w:eastAsia="Times New Roman"/>
                <w:color w:val="000000"/>
                <w:sz w:val="24"/>
                <w:szCs w:val="24"/>
                <w:lang w:eastAsia="ru-RU"/>
              </w:rPr>
            </w:pPr>
            <w:r w:rsidRPr="00006A39">
              <w:rPr>
                <w:rFonts w:eastAsia="Times New Roman"/>
                <w:color w:val="000000"/>
                <w:sz w:val="24"/>
                <w:szCs w:val="24"/>
                <w:lang w:eastAsia="ru-RU"/>
              </w:rPr>
              <w:t>122,23</w:t>
            </w:r>
          </w:p>
        </w:tc>
      </w:tr>
    </w:tbl>
    <w:p w:rsidR="004F31D7" w:rsidRPr="00006A39" w:rsidRDefault="004F31D7" w:rsidP="00721203">
      <w:pPr>
        <w:widowControl w:val="0"/>
      </w:pPr>
    </w:p>
    <w:p w:rsidR="00186F1D" w:rsidRPr="00B90380" w:rsidRDefault="004F31D7" w:rsidP="00B90380">
      <w:pPr>
        <w:widowControl w:val="0"/>
        <w:tabs>
          <w:tab w:val="left" w:pos="993"/>
        </w:tabs>
        <w:ind w:firstLine="709"/>
        <w:rPr>
          <w:rFonts w:eastAsia="Times New Roman"/>
          <w:szCs w:val="28"/>
          <w:lang w:eastAsia="ru-RU"/>
        </w:rPr>
      </w:pPr>
      <w:r w:rsidRPr="00006A39">
        <w:rPr>
          <w:rFonts w:eastAsia="Times New Roman"/>
          <w:szCs w:val="28"/>
          <w:lang w:eastAsia="ru-RU"/>
        </w:rPr>
        <w:t>Протягом аналізованого періоду виявлено значні розбіжності за регіонами в реєстрації захворюваності новонароджених на різні хвороби, що відбулось в зв’язку з відсутністю єдиних стандартів діагностики, формулювання клінічного діагнозу та реєстрації захворюваності. Так,</w:t>
      </w:r>
      <w:r w:rsidRPr="00006A39">
        <w:rPr>
          <w:rFonts w:eastAsia="Times New Roman"/>
          <w:bCs/>
          <w:szCs w:val="28"/>
          <w:lang w:eastAsia="ru-RU"/>
        </w:rPr>
        <w:t xml:space="preserve"> виявлення уроджених аномалій, деформацій та хромосомних порушень</w:t>
      </w:r>
      <w:r w:rsidRPr="00006A39">
        <w:rPr>
          <w:rFonts w:eastAsia="Times New Roman"/>
          <w:szCs w:val="28"/>
          <w:lang w:eastAsia="ru-RU"/>
        </w:rPr>
        <w:t xml:space="preserve"> коливалось від &gt; 30,0‰</w:t>
      </w:r>
      <w:r w:rsidRPr="00006A39">
        <w:rPr>
          <w:rFonts w:eastAsia="Times New Roman"/>
          <w:bCs/>
          <w:szCs w:val="28"/>
          <w:lang w:eastAsia="ru-RU"/>
        </w:rPr>
        <w:t xml:space="preserve"> у м. Києві, Івано-Франківській, </w:t>
      </w:r>
      <w:r w:rsidRPr="00006A39">
        <w:rPr>
          <w:rFonts w:eastAsia="Times New Roman"/>
          <w:bCs/>
          <w:szCs w:val="28"/>
          <w:lang w:eastAsia="ru-RU"/>
        </w:rPr>
        <w:lastRenderedPageBreak/>
        <w:t>Харківській, Хмельницькій,</w:t>
      </w:r>
      <w:r w:rsidRPr="00006A39">
        <w:rPr>
          <w:rFonts w:eastAsia="Times New Roman"/>
          <w:szCs w:val="28"/>
          <w:lang w:eastAsia="ru-RU"/>
        </w:rPr>
        <w:t xml:space="preserve"> Херсонській до &lt; 20,0‰ </w:t>
      </w:r>
      <w:r w:rsidRPr="00006A39">
        <w:rPr>
          <w:rFonts w:eastAsia="Times New Roman"/>
          <w:bCs/>
          <w:szCs w:val="28"/>
          <w:lang w:eastAsia="ru-RU"/>
        </w:rPr>
        <w:t>у Кіровоградській,</w:t>
      </w:r>
      <w:r w:rsidRPr="00006A39">
        <w:rPr>
          <w:rFonts w:eastAsia="Times New Roman"/>
          <w:szCs w:val="28"/>
          <w:lang w:eastAsia="ru-RU"/>
        </w:rPr>
        <w:t xml:space="preserve"> Львівській і</w:t>
      </w:r>
      <w:r w:rsidRPr="00006A39">
        <w:rPr>
          <w:rFonts w:eastAsia="Times New Roman"/>
          <w:bCs/>
          <w:szCs w:val="28"/>
          <w:lang w:eastAsia="ru-RU"/>
        </w:rPr>
        <w:t xml:space="preserve"> Одеській </w:t>
      </w:r>
      <w:r w:rsidRPr="00006A39">
        <w:rPr>
          <w:rFonts w:eastAsia="Times New Roman"/>
          <w:szCs w:val="28"/>
          <w:lang w:eastAsia="ru-RU"/>
        </w:rPr>
        <w:t xml:space="preserve">областях, захворюваності </w:t>
      </w:r>
      <w:r w:rsidR="00AD17FC">
        <w:rPr>
          <w:rFonts w:eastAsia="Times New Roman"/>
          <w:szCs w:val="28"/>
          <w:lang w:eastAsia="ru-RU"/>
        </w:rPr>
        <w:t xml:space="preserve">на </w:t>
      </w:r>
      <w:r w:rsidR="00A966B8">
        <w:rPr>
          <w:rFonts w:eastAsia="Times New Roman"/>
          <w:szCs w:val="28"/>
          <w:lang w:eastAsia="ru-RU"/>
        </w:rPr>
        <w:t>сповільнений ріст</w:t>
      </w:r>
      <w:r w:rsidRPr="00006A39">
        <w:rPr>
          <w:rFonts w:eastAsia="Times New Roman"/>
          <w:szCs w:val="28"/>
          <w:lang w:eastAsia="ru-RU"/>
        </w:rPr>
        <w:t xml:space="preserve"> і недостатністю живлення плода – від &gt; 30,0‰ у Львівській, Одеській, Чернігівській до 5,97‰ у Запорізькій областях, </w:t>
      </w:r>
      <w:r w:rsidRPr="00006A39">
        <w:rPr>
          <w:rFonts w:eastAsia="Times New Roman"/>
          <w:bCs/>
          <w:szCs w:val="28"/>
          <w:lang w:eastAsia="ru-RU"/>
        </w:rPr>
        <w:t xml:space="preserve">іншими порушеннями церебрального статусу – від 70,66‰ у Рівненській, 48,01‰ у Донецькій, 43,55‰ у Дніпропетровській до &lt;10,0‰ у Волинській, Івано-Франківській, Закарпатській, Запорізькій областях. Така значна різниця в рівнях захворюваності новонароджених ускладнює аналіз для наступного визначення </w:t>
      </w:r>
      <w:r w:rsidRPr="00006A39">
        <w:rPr>
          <w:rFonts w:eastAsia="Times New Roman"/>
          <w:szCs w:val="28"/>
          <w:lang w:eastAsia="ru-RU"/>
        </w:rPr>
        <w:t xml:space="preserve">пріоритетних напрямів розвитку системи надання допомоги новонародженим, що потребує підвищення якості діагностики, обстеження новонароджених з перинатальною патологією, уніфікації стандартів </w:t>
      </w:r>
      <w:r w:rsidR="00A966B8">
        <w:rPr>
          <w:rFonts w:eastAsia="Times New Roman"/>
          <w:szCs w:val="28"/>
          <w:lang w:eastAsia="ru-RU"/>
        </w:rPr>
        <w:t>і</w:t>
      </w:r>
      <w:r w:rsidRPr="00006A39">
        <w:rPr>
          <w:rFonts w:eastAsia="Times New Roman"/>
          <w:szCs w:val="28"/>
          <w:lang w:eastAsia="ru-RU"/>
        </w:rPr>
        <w:t>з надання медичної допомоги новонародженим.</w:t>
      </w:r>
    </w:p>
    <w:p w:rsidR="004F31D7" w:rsidRPr="00006A39" w:rsidRDefault="004F31D7" w:rsidP="00237D34">
      <w:pPr>
        <w:widowControl w:val="0"/>
        <w:tabs>
          <w:tab w:val="left" w:pos="911"/>
        </w:tabs>
        <w:spacing w:before="240"/>
        <w:rPr>
          <w:b/>
          <w:szCs w:val="28"/>
          <w:lang w:eastAsia="ru-RU"/>
        </w:rPr>
      </w:pPr>
      <w:r w:rsidRPr="00006A39">
        <w:rPr>
          <w:b/>
          <w:szCs w:val="28"/>
        </w:rPr>
        <w:tab/>
      </w:r>
      <w:r w:rsidRPr="00006A39">
        <w:rPr>
          <w:b/>
          <w:szCs w:val="28"/>
          <w:lang w:eastAsia="ru-RU"/>
        </w:rPr>
        <w:t xml:space="preserve">Висновки </w:t>
      </w:r>
      <w:r w:rsidR="00376DD9">
        <w:rPr>
          <w:b/>
          <w:szCs w:val="28"/>
          <w:lang w:eastAsia="ru-RU"/>
        </w:rPr>
        <w:t>до  розділу</w:t>
      </w:r>
      <w:r w:rsidR="00F0476D" w:rsidRPr="00F0476D">
        <w:rPr>
          <w:b/>
          <w:szCs w:val="28"/>
          <w:lang w:eastAsia="ru-RU"/>
        </w:rPr>
        <w:t xml:space="preserve"> </w:t>
      </w:r>
      <w:r w:rsidRPr="00006A39">
        <w:rPr>
          <w:b/>
          <w:szCs w:val="28"/>
          <w:lang w:eastAsia="ru-RU"/>
        </w:rPr>
        <w:t>4</w:t>
      </w:r>
    </w:p>
    <w:p w:rsidR="00E56537" w:rsidRPr="00006A39" w:rsidRDefault="00E56537" w:rsidP="00E56537">
      <w:pPr>
        <w:widowControl w:val="0"/>
        <w:numPr>
          <w:ilvl w:val="0"/>
          <w:numId w:val="6"/>
        </w:numPr>
        <w:ind w:left="0" w:firstLine="709"/>
        <w:contextualSpacing/>
        <w:rPr>
          <w:rFonts w:eastAsia="Times New Roman"/>
          <w:szCs w:val="28"/>
          <w:lang w:eastAsia="ru-RU"/>
        </w:rPr>
      </w:pPr>
      <w:r w:rsidRPr="00006A39">
        <w:rPr>
          <w:rFonts w:eastAsia="Times New Roman"/>
          <w:szCs w:val="28"/>
          <w:lang w:eastAsia="ru-RU"/>
        </w:rPr>
        <w:t xml:space="preserve">Показано, що упродовж 2013-2017 рр. показник захворюваності </w:t>
      </w:r>
      <w:r w:rsidRPr="00006A39">
        <w:rPr>
          <w:szCs w:val="28"/>
        </w:rPr>
        <w:t>дітей віком 0-6 років</w:t>
      </w:r>
      <w:r>
        <w:rPr>
          <w:szCs w:val="28"/>
        </w:rPr>
        <w:t xml:space="preserve"> життя</w:t>
      </w:r>
      <w:r w:rsidRPr="00006A39">
        <w:rPr>
          <w:szCs w:val="28"/>
        </w:rPr>
        <w:t xml:space="preserve"> достовірно</w:t>
      </w:r>
      <w:r w:rsidR="00B303ED">
        <w:rPr>
          <w:szCs w:val="28"/>
        </w:rPr>
        <w:t xml:space="preserve"> знизився з 1545,44 до 1455,94 у</w:t>
      </w:r>
      <w:r w:rsidRPr="00006A39">
        <w:rPr>
          <w:szCs w:val="28"/>
        </w:rPr>
        <w:t xml:space="preserve"> розрахунку </w:t>
      </w:r>
      <w:r w:rsidRPr="00006A39">
        <w:rPr>
          <w:bCs/>
          <w:szCs w:val="28"/>
        </w:rPr>
        <w:t>на 1000 дітей відповідного віку (ВШ 0,942 (95% ДІ 0,940-0,944), р&lt;0,001), проте при аналізі статистичних характеристик варіаційного ряду з’ясувалось, що медіанне значення показника захворюваності дітей віком до 6 років залишилось незмінними (р=0.9923) на тлі збільшення міжквартильного інтервалу (відповідно 236,98 та 272,89), що свідчить про відсутність динаміки даного показника в аспекті окремих адміністративних територій.</w:t>
      </w:r>
    </w:p>
    <w:p w:rsidR="00E56537" w:rsidRPr="00006A39" w:rsidRDefault="00E56537" w:rsidP="00E56537">
      <w:pPr>
        <w:widowControl w:val="0"/>
        <w:numPr>
          <w:ilvl w:val="0"/>
          <w:numId w:val="6"/>
        </w:numPr>
        <w:ind w:left="0" w:firstLine="709"/>
        <w:contextualSpacing/>
        <w:rPr>
          <w:rFonts w:eastAsia="Times New Roman"/>
          <w:szCs w:val="28"/>
          <w:lang w:eastAsia="ru-RU"/>
        </w:rPr>
      </w:pPr>
      <w:r w:rsidRPr="00006A39">
        <w:rPr>
          <w:bCs/>
          <w:szCs w:val="28"/>
        </w:rPr>
        <w:t>Продемонстровано, що н</w:t>
      </w:r>
      <w:r w:rsidRPr="00006A39">
        <w:rPr>
          <w:szCs w:val="28"/>
        </w:rPr>
        <w:t xml:space="preserve">айвищі рівні захворюваності дітей </w:t>
      </w:r>
      <w:r w:rsidRPr="00E56537">
        <w:rPr>
          <w:szCs w:val="28"/>
        </w:rPr>
        <w:t>віком 0-6</w:t>
      </w:r>
      <w:r w:rsidR="00BF5021">
        <w:rPr>
          <w:lang w:val="ru-RU"/>
        </w:rPr>
        <w:t> </w:t>
      </w:r>
      <w:r w:rsidRPr="00E56537">
        <w:rPr>
          <w:szCs w:val="28"/>
        </w:rPr>
        <w:t xml:space="preserve">років життя </w:t>
      </w:r>
      <w:r w:rsidRPr="00006A39">
        <w:rPr>
          <w:szCs w:val="28"/>
        </w:rPr>
        <w:t xml:space="preserve">спостерігаються при хворобах органів дихання, хворобах шкіри та підшкірної клітковини та деяких інфекційних та паразитарних хворобах, при цьому найбільшу достовірну спадну динаміку за 2013-2017 рр. показника захворюваності виявлено за такими класами: розлади психіки та поведінки (ВШ 0,774 [95% ДІ 0,756-0,793], р&lt;0,001), хвороби систему кровообігу (ВШ 0,736 [95% ДІ 0,719-0,753], р&lt;0,001]) та деякі інфекційні та паразитарні хвороби (ВШ 0,818 [95% ДІ) 0,823-0,824], р&lt;0,001), на тлі збільшення показника захворюваності за таким класом, як «симптоми, ознаки та відхилення від норми, що виявлені при клінічних та лабораторних дослідженнях, не класифіковані в інших рубриках» (ВШ 1,055 [95% </w:t>
      </w:r>
      <w:r w:rsidRPr="00006A39">
        <w:rPr>
          <w:szCs w:val="28"/>
        </w:rPr>
        <w:lastRenderedPageBreak/>
        <w:t xml:space="preserve">ДІ 1,023-1,088], р=0005), що свідчить про недостатні можливості лікаря точно встановлювати основний діагноз. </w:t>
      </w:r>
    </w:p>
    <w:p w:rsidR="00E56537" w:rsidRPr="00006A39" w:rsidRDefault="00E56537" w:rsidP="00E56537">
      <w:pPr>
        <w:widowControl w:val="0"/>
        <w:numPr>
          <w:ilvl w:val="0"/>
          <w:numId w:val="6"/>
        </w:numPr>
        <w:ind w:left="0" w:firstLine="709"/>
        <w:contextualSpacing/>
        <w:rPr>
          <w:rFonts w:eastAsia="Times New Roman"/>
          <w:szCs w:val="28"/>
          <w:lang w:eastAsia="ru-RU"/>
        </w:rPr>
      </w:pPr>
      <w:r w:rsidRPr="00006A39">
        <w:rPr>
          <w:szCs w:val="28"/>
        </w:rPr>
        <w:t xml:space="preserve">Виявлено, що в Україні </w:t>
      </w:r>
      <w:r w:rsidRPr="00006A39">
        <w:rPr>
          <w:bCs/>
          <w:szCs w:val="28"/>
        </w:rPr>
        <w:t xml:space="preserve">порівняно з іншими розвиненим країнами світу, </w:t>
      </w:r>
      <w:r w:rsidRPr="00E56537">
        <w:rPr>
          <w:bCs/>
          <w:szCs w:val="28"/>
        </w:rPr>
        <w:t xml:space="preserve">спостерігається один з найнижчих показників захворюваності дітей до 5 років життя  (524057,24 на 100 тис. відповідного населення), </w:t>
      </w:r>
      <w:r w:rsidRPr="00006A39">
        <w:rPr>
          <w:bCs/>
          <w:szCs w:val="28"/>
        </w:rPr>
        <w:t>що пояснюється низьким рівнем виявл</w:t>
      </w:r>
      <w:r>
        <w:rPr>
          <w:bCs/>
          <w:szCs w:val="28"/>
        </w:rPr>
        <w:t>ення</w:t>
      </w:r>
      <w:r w:rsidRPr="00006A39">
        <w:rPr>
          <w:bCs/>
          <w:szCs w:val="28"/>
        </w:rPr>
        <w:t xml:space="preserve"> зах</w:t>
      </w:r>
      <w:r w:rsidR="00BD7AB9">
        <w:rPr>
          <w:bCs/>
          <w:szCs w:val="28"/>
        </w:rPr>
        <w:t>ворювань та недосконалою систем</w:t>
      </w:r>
      <w:r w:rsidR="00BD7AB9" w:rsidRPr="00BD7AB9">
        <w:rPr>
          <w:bCs/>
          <w:szCs w:val="28"/>
        </w:rPr>
        <w:t>ою</w:t>
      </w:r>
      <w:r w:rsidRPr="00006A39">
        <w:rPr>
          <w:bCs/>
          <w:szCs w:val="28"/>
        </w:rPr>
        <w:t xml:space="preserve"> звітування на національному рівні, яка потребує удосконалення</w:t>
      </w:r>
      <w:r>
        <w:rPr>
          <w:bCs/>
          <w:szCs w:val="28"/>
        </w:rPr>
        <w:t>.</w:t>
      </w:r>
    </w:p>
    <w:p w:rsidR="00E56537" w:rsidRPr="00006A39" w:rsidRDefault="00E56537" w:rsidP="00E56537">
      <w:pPr>
        <w:widowControl w:val="0"/>
        <w:numPr>
          <w:ilvl w:val="0"/>
          <w:numId w:val="6"/>
        </w:numPr>
        <w:ind w:left="0" w:firstLine="709"/>
        <w:contextualSpacing/>
        <w:rPr>
          <w:rFonts w:eastAsia="Times New Roman"/>
          <w:szCs w:val="28"/>
          <w:lang w:eastAsia="ru-RU"/>
        </w:rPr>
      </w:pPr>
      <w:r w:rsidRPr="00006A39">
        <w:rPr>
          <w:bCs/>
          <w:szCs w:val="28"/>
        </w:rPr>
        <w:t>Доведено негативний достовірний зв’язок між показником захворюваності та показником смертності за регресією Пуассона (</w:t>
      </w:r>
      <w:r w:rsidR="00F128D9" w:rsidRPr="00F128D9">
        <w:rPr>
          <w:szCs w:val="28"/>
          <w:lang w:val="en-US"/>
        </w:rPr>
        <w:t>Coef</w:t>
      </w:r>
      <w:r w:rsidR="00F128D9" w:rsidRPr="00F128D9">
        <w:rPr>
          <w:szCs w:val="28"/>
        </w:rPr>
        <w:t>.</w:t>
      </w:r>
      <w:r>
        <w:rPr>
          <w:szCs w:val="28"/>
        </w:rPr>
        <w:t xml:space="preserve"> -0,000438, [95% ДI -0,000625—0,</w:t>
      </w:r>
      <w:r w:rsidRPr="00006A39">
        <w:rPr>
          <w:szCs w:val="28"/>
        </w:rPr>
        <w:t>000252], р&lt;0,001</w:t>
      </w:r>
      <w:r w:rsidRPr="00006A39">
        <w:rPr>
          <w:bCs/>
          <w:szCs w:val="28"/>
        </w:rPr>
        <w:t>), наявність якого ми пояснюємо відсутністю справжніх, коректних даних щодо захворюваності дітей віком до 5 років в країні.</w:t>
      </w:r>
    </w:p>
    <w:p w:rsidR="00E56537" w:rsidRPr="00006A39" w:rsidRDefault="00E56537" w:rsidP="00E56537">
      <w:pPr>
        <w:widowControl w:val="0"/>
        <w:numPr>
          <w:ilvl w:val="0"/>
          <w:numId w:val="6"/>
        </w:numPr>
        <w:ind w:left="0" w:firstLine="709"/>
        <w:contextualSpacing/>
        <w:rPr>
          <w:rFonts w:eastAsia="Times New Roman"/>
          <w:szCs w:val="28"/>
          <w:lang w:eastAsia="ru-RU"/>
        </w:rPr>
      </w:pPr>
      <w:r w:rsidRPr="00006A39">
        <w:rPr>
          <w:rFonts w:eastAsia="Times New Roman"/>
          <w:szCs w:val="28"/>
          <w:lang w:eastAsia="ru-RU"/>
        </w:rPr>
        <w:t xml:space="preserve">Встановлено  зростання рівня </w:t>
      </w:r>
      <w:r w:rsidR="00F64686">
        <w:rPr>
          <w:rFonts w:eastAsia="Times New Roman"/>
          <w:szCs w:val="28"/>
          <w:lang w:eastAsia="ru-RU"/>
        </w:rPr>
        <w:t>народження хворими і захворіли</w:t>
      </w:r>
      <w:r w:rsidR="00F64686">
        <w:rPr>
          <w:rFonts w:eastAsia="Times New Roman"/>
          <w:szCs w:val="28"/>
          <w:lang w:val="ru-RU" w:eastAsia="ru-RU"/>
        </w:rPr>
        <w:t>х</w:t>
      </w:r>
      <w:r w:rsidRPr="00006A39">
        <w:rPr>
          <w:rFonts w:eastAsia="Times New Roman"/>
          <w:szCs w:val="28"/>
          <w:lang w:eastAsia="ru-RU"/>
        </w:rPr>
        <w:t xml:space="preserve"> новонароджених в цілому в Україні на 10,5%</w:t>
      </w:r>
      <w:r w:rsidRPr="00006A39">
        <w:rPr>
          <w:szCs w:val="28"/>
        </w:rPr>
        <w:t xml:space="preserve"> (з 149,4‰ у 2014 р. до 165,59‰ у 2018</w:t>
      </w:r>
      <w:r w:rsidR="001A1302">
        <w:rPr>
          <w:szCs w:val="28"/>
        </w:rPr>
        <w:t> </w:t>
      </w:r>
      <w:r w:rsidRPr="00006A39">
        <w:rPr>
          <w:szCs w:val="28"/>
        </w:rPr>
        <w:t>р., 95% ДІ 147,58-176,14)</w:t>
      </w:r>
      <w:r w:rsidRPr="00006A39">
        <w:rPr>
          <w:rFonts w:eastAsia="Times New Roman"/>
          <w:szCs w:val="28"/>
          <w:lang w:eastAsia="ru-RU"/>
        </w:rPr>
        <w:t xml:space="preserve">, рівня </w:t>
      </w:r>
      <w:r w:rsidR="00F64686">
        <w:rPr>
          <w:rFonts w:eastAsia="Times New Roman"/>
          <w:szCs w:val="28"/>
          <w:lang w:eastAsia="ru-RU"/>
        </w:rPr>
        <w:t>народження хворими і захворіли</w:t>
      </w:r>
      <w:r w:rsidR="00F64686">
        <w:rPr>
          <w:rFonts w:eastAsia="Times New Roman"/>
          <w:szCs w:val="28"/>
          <w:lang w:val="ru-RU" w:eastAsia="ru-RU"/>
        </w:rPr>
        <w:t>х</w:t>
      </w:r>
      <w:r w:rsidRPr="00006A39">
        <w:rPr>
          <w:rFonts w:eastAsia="Times New Roman"/>
          <w:szCs w:val="28"/>
          <w:lang w:eastAsia="ru-RU"/>
        </w:rPr>
        <w:t xml:space="preserve"> доношених новонароджених на 8,5% (з 119,4‰ до 129,57‰ відповідно, 95% ДІ 116,38-138,09), недоношених на 6,4% (з 769,32‰ до 818,27 ‰ відповідно, 95% ДІ 737,96-</w:t>
      </w:r>
      <w:r w:rsidR="00F64686">
        <w:rPr>
          <w:rFonts w:eastAsia="Times New Roman"/>
          <w:szCs w:val="28"/>
          <w:lang w:eastAsia="ru-RU"/>
        </w:rPr>
        <w:t>860,19)</w:t>
      </w:r>
      <w:r w:rsidR="00F64686">
        <w:rPr>
          <w:rFonts w:eastAsia="Times New Roman"/>
          <w:szCs w:val="28"/>
          <w:lang w:val="ru-RU" w:eastAsia="ru-RU"/>
        </w:rPr>
        <w:t xml:space="preserve">, а також </w:t>
      </w:r>
      <w:r w:rsidRPr="00006A39">
        <w:rPr>
          <w:rFonts w:eastAsia="Times New Roman"/>
          <w:szCs w:val="28"/>
          <w:lang w:eastAsia="ru-RU"/>
        </w:rPr>
        <w:t xml:space="preserve">зростання рівнів </w:t>
      </w:r>
      <w:r w:rsidR="00F64686">
        <w:rPr>
          <w:rFonts w:eastAsia="Times New Roman"/>
          <w:szCs w:val="28"/>
          <w:lang w:eastAsia="ru-RU"/>
        </w:rPr>
        <w:t>народжених хворими і захворіли</w:t>
      </w:r>
      <w:r w:rsidR="00F64686">
        <w:rPr>
          <w:rFonts w:eastAsia="Times New Roman"/>
          <w:szCs w:val="28"/>
          <w:lang w:val="ru-RU" w:eastAsia="ru-RU"/>
        </w:rPr>
        <w:t>х</w:t>
      </w:r>
      <w:r w:rsidRPr="00006A39">
        <w:rPr>
          <w:rFonts w:eastAsia="Times New Roman"/>
          <w:szCs w:val="28"/>
          <w:lang w:eastAsia="ru-RU"/>
        </w:rPr>
        <w:t xml:space="preserve"> новонароджених притаманне для переважної кількості регіонів, за виключенням 3-х областей, де цей показник знизився (Закарпатська – на 6,99%, Кіровоградська – на 3,96%, Рівненська – на 8,85% області). Провідними причинами захворюваності новонароджених є неонатальна жовтяниця (24,04%), інші порушення церебрального статусу новонароджених (16,0%), уроджені аномалії, деформації та хромосомні порушення (15,65%), розлади дихальної системи, що виникають у перинатальному періоді (15,64%), сповільнений рі</w:t>
      </w:r>
      <w:r w:rsidR="00083542">
        <w:rPr>
          <w:rFonts w:eastAsia="Times New Roman"/>
          <w:szCs w:val="28"/>
          <w:lang w:eastAsia="ru-RU"/>
        </w:rPr>
        <w:t>ст, недостатність живлення плод</w:t>
      </w:r>
      <w:r w:rsidR="00083542" w:rsidRPr="00083542">
        <w:rPr>
          <w:rFonts w:eastAsia="Times New Roman"/>
          <w:szCs w:val="28"/>
          <w:lang w:eastAsia="ru-RU"/>
        </w:rPr>
        <w:t>у</w:t>
      </w:r>
      <w:r w:rsidR="00083542">
        <w:rPr>
          <w:rFonts w:eastAsia="Times New Roman"/>
          <w:szCs w:val="28"/>
          <w:lang w:eastAsia="ru-RU"/>
        </w:rPr>
        <w:t xml:space="preserve"> (12,18%). </w:t>
      </w:r>
      <w:proofErr w:type="gramStart"/>
      <w:r w:rsidR="00083542">
        <w:rPr>
          <w:rFonts w:eastAsia="Times New Roman"/>
          <w:szCs w:val="28"/>
          <w:lang w:val="ru-RU" w:eastAsia="ru-RU"/>
        </w:rPr>
        <w:t>Встановлено</w:t>
      </w:r>
      <w:r w:rsidRPr="00006A39">
        <w:rPr>
          <w:rFonts w:eastAsia="Times New Roman"/>
          <w:szCs w:val="28"/>
          <w:lang w:eastAsia="ru-RU"/>
        </w:rPr>
        <w:t xml:space="preserve"> зростання перинатальних станів: сепсису новонароджених у 2,3 рази у 2018 р. відносно 2014 р., інфекцій, специфічних для перинатального періоду на 38,99%, уроджених пневмоній на 21,7%, а також неонатальної жовтяниці у 1,36 рази, гемолітичної хвороби новонароджених на 5,37%, інших порушень церебрального статусу новонародженого на 22,23%, внутрішньошлункових і субарахноїдальних крововиливів 29,11%,</w:t>
      </w:r>
      <w:r w:rsidRPr="00006A39">
        <w:t xml:space="preserve"> </w:t>
      </w:r>
      <w:r w:rsidRPr="00006A39">
        <w:rPr>
          <w:rFonts w:eastAsia="Times New Roman"/>
          <w:szCs w:val="28"/>
          <w:lang w:eastAsia="ru-RU"/>
        </w:rPr>
        <w:t>розлад</w:t>
      </w:r>
      <w:proofErr w:type="gramEnd"/>
      <w:r w:rsidRPr="00006A39">
        <w:rPr>
          <w:rFonts w:eastAsia="Times New Roman"/>
          <w:szCs w:val="28"/>
          <w:lang w:eastAsia="ru-RU"/>
        </w:rPr>
        <w:t xml:space="preserve">ів дихальної системи, що виникають у перинатальному </w:t>
      </w:r>
      <w:r w:rsidRPr="00006A39">
        <w:rPr>
          <w:rFonts w:eastAsia="Times New Roman"/>
          <w:szCs w:val="28"/>
          <w:lang w:eastAsia="ru-RU"/>
        </w:rPr>
        <w:lastRenderedPageBreak/>
        <w:t>періоді на 26,25%, в т.ч. синдрому респіраторного розладу та інших респіраторних станів на 20,8%.</w:t>
      </w:r>
      <w:r w:rsidRPr="00006A39">
        <w:t xml:space="preserve"> </w:t>
      </w:r>
    </w:p>
    <w:p w:rsidR="005D4535" w:rsidRDefault="00E56537" w:rsidP="005D4535">
      <w:pPr>
        <w:widowControl w:val="0"/>
        <w:numPr>
          <w:ilvl w:val="0"/>
          <w:numId w:val="6"/>
        </w:numPr>
        <w:spacing w:after="160"/>
        <w:ind w:left="0" w:firstLine="709"/>
        <w:contextualSpacing/>
        <w:rPr>
          <w:szCs w:val="28"/>
        </w:rPr>
      </w:pPr>
      <w:r w:rsidRPr="00006A39">
        <w:rPr>
          <w:szCs w:val="28"/>
        </w:rPr>
        <w:t xml:space="preserve">Найвищі  рівні захворюваності дітей у  віці  до  1-го року  </w:t>
      </w:r>
      <w:r w:rsidRPr="00006A39">
        <w:rPr>
          <w:rFonts w:eastAsia="Times New Roman"/>
          <w:bCs/>
          <w:szCs w:val="28"/>
          <w:lang w:eastAsia="ru-RU"/>
        </w:rPr>
        <w:t>життя</w:t>
      </w:r>
      <w:r w:rsidRPr="00006A39">
        <w:rPr>
          <w:szCs w:val="28"/>
        </w:rPr>
        <w:t xml:space="preserve">  в  Україні спостерігають</w:t>
      </w:r>
      <w:r w:rsidR="00083542">
        <w:rPr>
          <w:szCs w:val="28"/>
        </w:rPr>
        <w:t>ся за наступними класами хвороб</w:t>
      </w:r>
      <w:r w:rsidR="00083542" w:rsidRPr="00083542">
        <w:rPr>
          <w:szCs w:val="28"/>
        </w:rPr>
        <w:t>:</w:t>
      </w:r>
      <w:r w:rsidRPr="00006A39">
        <w:rPr>
          <w:szCs w:val="28"/>
        </w:rPr>
        <w:t xml:space="preserve"> хвороби органів дихання (816,16 на 1000 дітей першого року життя), окремі стани, що виникають у перинатальному періоді (127,57‰), хвороби крові й кровотворних органів та окремі порушення із залучен</w:t>
      </w:r>
      <w:r w:rsidR="00083542">
        <w:rPr>
          <w:szCs w:val="28"/>
        </w:rPr>
        <w:t>ням імунного механізму (63,88‰)</w:t>
      </w:r>
      <w:r w:rsidR="00083542" w:rsidRPr="00083542">
        <w:rPr>
          <w:szCs w:val="28"/>
        </w:rPr>
        <w:t>, при цьому</w:t>
      </w:r>
      <w:r w:rsidR="00083542">
        <w:rPr>
          <w:szCs w:val="28"/>
        </w:rPr>
        <w:t xml:space="preserve"> </w:t>
      </w:r>
      <w:r w:rsidR="00083542" w:rsidRPr="00083542">
        <w:rPr>
          <w:szCs w:val="28"/>
        </w:rPr>
        <w:t>с</w:t>
      </w:r>
      <w:r w:rsidRPr="00006A39">
        <w:rPr>
          <w:szCs w:val="28"/>
        </w:rPr>
        <w:t xml:space="preserve">татистично значимого </w:t>
      </w:r>
      <w:r w:rsidRPr="00006A39">
        <w:rPr>
          <w:rFonts w:eastAsia="Times New Roman"/>
          <w:szCs w:val="28"/>
          <w:lang w:eastAsia="ru-RU"/>
        </w:rPr>
        <w:t>зв’язку між провідними класами захворюваності дітей 1-го року життя та смертністю за даними класами хвороб за допомогою розрахунку критерію кореляції Спірмена не встановлено</w:t>
      </w:r>
      <w:r w:rsidRPr="00006A39">
        <w:rPr>
          <w:szCs w:val="28"/>
        </w:rPr>
        <w:t>.</w:t>
      </w:r>
      <w:r>
        <w:rPr>
          <w:szCs w:val="28"/>
        </w:rPr>
        <w:t xml:space="preserve"> </w:t>
      </w:r>
      <w:r w:rsidR="00594A26">
        <w:rPr>
          <w:szCs w:val="28"/>
        </w:rPr>
        <w:t>Спостерігається зростання рівня</w:t>
      </w:r>
      <w:r>
        <w:rPr>
          <w:szCs w:val="28"/>
        </w:rPr>
        <w:t xml:space="preserve"> захворюваності</w:t>
      </w:r>
      <w:r w:rsidRPr="00006A39">
        <w:rPr>
          <w:szCs w:val="28"/>
        </w:rPr>
        <w:t xml:space="preserve"> </w:t>
      </w:r>
      <w:r>
        <w:rPr>
          <w:szCs w:val="28"/>
        </w:rPr>
        <w:t xml:space="preserve">на </w:t>
      </w:r>
      <w:r w:rsidRPr="00732906">
        <w:rPr>
          <w:szCs w:val="28"/>
        </w:rPr>
        <w:t xml:space="preserve">хвороби органів травлення (ВШ 1,06, 95% ДІ 1,04-1,08, р&lt;0,001), хвороби органів дихання (ВШ 1,12, 95% ДІ 1,11-1,13, р=0,0004), </w:t>
      </w:r>
      <w:r>
        <w:rPr>
          <w:szCs w:val="28"/>
        </w:rPr>
        <w:t>деякі інфекційні та паразитарні</w:t>
      </w:r>
      <w:r w:rsidRPr="00732906">
        <w:rPr>
          <w:szCs w:val="28"/>
        </w:rPr>
        <w:t xml:space="preserve"> хвороб</w:t>
      </w:r>
      <w:r>
        <w:rPr>
          <w:szCs w:val="28"/>
        </w:rPr>
        <w:t>и</w:t>
      </w:r>
      <w:r w:rsidRPr="00732906">
        <w:rPr>
          <w:szCs w:val="28"/>
        </w:rPr>
        <w:t xml:space="preserve"> (ВШ 0,92, 95% ДІ 0,90-0,95, р&lt;0,001).</w:t>
      </w:r>
      <w:r>
        <w:rPr>
          <w:szCs w:val="28"/>
        </w:rPr>
        <w:t xml:space="preserve"> </w:t>
      </w:r>
      <w:r w:rsidRPr="00006A39">
        <w:rPr>
          <w:szCs w:val="28"/>
        </w:rPr>
        <w:t xml:space="preserve">У Житомирській, Запорізькій та Івано-Франківській областях зафіксовано негативну динаміку показників захворюваності і їх високий рівень (більш ніж 1800,0 на 10 тис. дітей відповідного віку у 2018 р.). </w:t>
      </w:r>
      <w:r w:rsidRPr="00006A39">
        <w:rPr>
          <w:rFonts w:eastAsia="Times New Roman"/>
          <w:bCs/>
          <w:szCs w:val="28"/>
          <w:lang w:eastAsia="ru-RU"/>
        </w:rPr>
        <w:t>Зв’язок між захворюваністю дітей до 1-го року життя та смертністю дітей у даному віці проведено коефіцієнтом рангової кореляції Спірмена (ρ =0,1, ρ</w:t>
      </w:r>
      <w:r w:rsidRPr="00006A39">
        <w:rPr>
          <w:rFonts w:eastAsia="Times New Roman"/>
          <w:bCs/>
          <w:szCs w:val="28"/>
          <w:vertAlign w:val="subscript"/>
          <w:lang w:eastAsia="ru-RU"/>
        </w:rPr>
        <w:t>спост.</w:t>
      </w:r>
      <w:r w:rsidRPr="00006A39">
        <w:rPr>
          <w:rFonts w:eastAsia="Times New Roman"/>
          <w:bCs/>
          <w:szCs w:val="28"/>
          <w:lang w:eastAsia="ru-RU"/>
        </w:rPr>
        <w:t>&lt; ρ</w:t>
      </w:r>
      <w:r w:rsidRPr="00006A39">
        <w:rPr>
          <w:rFonts w:eastAsia="Times New Roman"/>
          <w:bCs/>
          <w:szCs w:val="28"/>
          <w:vertAlign w:val="subscript"/>
          <w:lang w:eastAsia="ru-RU"/>
        </w:rPr>
        <w:t>крит.</w:t>
      </w:r>
      <w:r w:rsidRPr="00006A39">
        <w:rPr>
          <w:rFonts w:eastAsia="Times New Roman"/>
          <w:bCs/>
          <w:szCs w:val="28"/>
          <w:lang w:eastAsia="ru-RU"/>
        </w:rPr>
        <w:t>,</w:t>
      </w:r>
      <w:r w:rsidRPr="00006A39">
        <w:rPr>
          <w:rFonts w:eastAsia="Times New Roman"/>
          <w:bCs/>
          <w:szCs w:val="28"/>
          <w:vertAlign w:val="subscript"/>
          <w:lang w:eastAsia="ru-RU"/>
        </w:rPr>
        <w:t xml:space="preserve"> </w:t>
      </w:r>
      <w:r w:rsidRPr="00006A39">
        <w:rPr>
          <w:rFonts w:eastAsia="Times New Roman"/>
          <w:bCs/>
          <w:szCs w:val="28"/>
          <w:lang w:eastAsia="ru-RU"/>
        </w:rPr>
        <w:t xml:space="preserve">коефіцієнт рангової кореляції статистично – не значимий і ранговий кореляційний зв'язок між захворюваністю і смертністю дітей до 1-го року життя незначний) та </w:t>
      </w:r>
      <w:r w:rsidRPr="00006A39">
        <w:rPr>
          <w:szCs w:val="28"/>
        </w:rPr>
        <w:t xml:space="preserve"> </w:t>
      </w:r>
      <w:r w:rsidRPr="00006A39">
        <w:rPr>
          <w:rFonts w:eastAsia="Times New Roman"/>
          <w:bCs/>
          <w:szCs w:val="28"/>
          <w:lang w:eastAsia="ru-RU"/>
        </w:rPr>
        <w:t>коефіцієнтом кореляції Пірсона</w:t>
      </w:r>
      <w:r w:rsidRPr="00006A39">
        <w:rPr>
          <w:rFonts w:eastAsia="Times New Roman"/>
          <w:szCs w:val="28"/>
          <w:lang w:eastAsia="ru-RU"/>
        </w:rPr>
        <w:t xml:space="preserve"> (r=0,203, t</w:t>
      </w:r>
      <w:r w:rsidRPr="00006A39">
        <w:rPr>
          <w:rFonts w:eastAsia="Times New Roman"/>
          <w:szCs w:val="28"/>
          <w:vertAlign w:val="subscript"/>
          <w:lang w:eastAsia="ru-RU"/>
        </w:rPr>
        <w:t>спост.</w:t>
      </w:r>
      <w:r w:rsidRPr="00006A39">
        <w:rPr>
          <w:rFonts w:eastAsia="Times New Roman"/>
          <w:szCs w:val="28"/>
          <w:lang w:eastAsia="ru-RU"/>
        </w:rPr>
        <w:t xml:space="preserve"> &lt;t</w:t>
      </w:r>
      <w:r w:rsidRPr="00006A39">
        <w:rPr>
          <w:rFonts w:eastAsia="Times New Roman"/>
          <w:szCs w:val="28"/>
          <w:vertAlign w:val="subscript"/>
          <w:lang w:eastAsia="ru-RU"/>
        </w:rPr>
        <w:t>крит.</w:t>
      </w:r>
      <w:r w:rsidRPr="00006A39">
        <w:rPr>
          <w:rFonts w:eastAsia="Times New Roman"/>
          <w:szCs w:val="28"/>
          <w:lang w:eastAsia="ru-RU"/>
        </w:rPr>
        <w:t>, зв’язок між захворюваністю і смертністю статистично не значимий (p = 0.754267)).</w:t>
      </w:r>
    </w:p>
    <w:p w:rsidR="000D0487" w:rsidRPr="005D4535" w:rsidRDefault="00E56537" w:rsidP="005D4535">
      <w:pPr>
        <w:widowControl w:val="0"/>
        <w:numPr>
          <w:ilvl w:val="0"/>
          <w:numId w:val="6"/>
        </w:numPr>
        <w:spacing w:after="160"/>
        <w:ind w:left="0" w:firstLine="709"/>
        <w:contextualSpacing/>
        <w:rPr>
          <w:szCs w:val="28"/>
        </w:rPr>
      </w:pPr>
      <w:r w:rsidRPr="005D4535">
        <w:rPr>
          <w:szCs w:val="28"/>
        </w:rPr>
        <w:t xml:space="preserve">Встановлено, що  </w:t>
      </w:r>
      <w:r w:rsidRPr="008B6690">
        <w:rPr>
          <w:szCs w:val="28"/>
        </w:rPr>
        <w:t>показник років, втрачених внаслідок порушень здоров’я, без смертельних випадків (інвалідності) (YLDs)</w:t>
      </w:r>
      <w:r w:rsidR="00102479">
        <w:rPr>
          <w:szCs w:val="28"/>
        </w:rPr>
        <w:t>,</w:t>
      </w:r>
      <w:r w:rsidR="00127618">
        <w:rPr>
          <w:szCs w:val="28"/>
        </w:rPr>
        <w:t xml:space="preserve"> </w:t>
      </w:r>
      <w:r w:rsidRPr="008B6690">
        <w:rPr>
          <w:szCs w:val="28"/>
        </w:rPr>
        <w:t xml:space="preserve">у дітей віком до 1-го року життя в Україні </w:t>
      </w:r>
      <w:r w:rsidR="00102479">
        <w:rPr>
          <w:szCs w:val="28"/>
        </w:rPr>
        <w:t xml:space="preserve">у 2018 р. </w:t>
      </w:r>
      <w:r w:rsidR="005D4535" w:rsidRPr="008B6690">
        <w:rPr>
          <w:szCs w:val="28"/>
        </w:rPr>
        <w:t xml:space="preserve">становив 2265,3 втрачених </w:t>
      </w:r>
      <w:r w:rsidR="003C6390">
        <w:rPr>
          <w:szCs w:val="28"/>
        </w:rPr>
        <w:t xml:space="preserve">років (95% ДІ 3067,88-1607,42) </w:t>
      </w:r>
      <w:r w:rsidR="003C6390" w:rsidRPr="003C6390">
        <w:rPr>
          <w:szCs w:val="28"/>
        </w:rPr>
        <w:t>у</w:t>
      </w:r>
      <w:r w:rsidR="005D4535" w:rsidRPr="008B6690">
        <w:rPr>
          <w:szCs w:val="28"/>
        </w:rPr>
        <w:t xml:space="preserve"> розрахунку на 100 тис. дітей відповідного віку і має тенденцію до зростання відносн</w:t>
      </w:r>
      <w:r w:rsidR="005D4535" w:rsidRPr="005D4535">
        <w:rPr>
          <w:szCs w:val="28"/>
        </w:rPr>
        <w:t>о 2013 р. (на 2,6%), але є меншим ніж аналогічний показник Польщі, Словаччини, Угорщини. Нижче українського на 9,8% показник років, втрачених внаслідок порушень здоров’я у дітей віком до 1-го року життя</w:t>
      </w:r>
      <w:r w:rsidR="007A1C53" w:rsidRPr="007A1C53">
        <w:rPr>
          <w:szCs w:val="28"/>
        </w:rPr>
        <w:t>,</w:t>
      </w:r>
      <w:r w:rsidR="005D4535" w:rsidRPr="005D4535">
        <w:rPr>
          <w:szCs w:val="28"/>
        </w:rPr>
        <w:t xml:space="preserve"> спостерігається у Німеччині (2063,1 років, втрачених внаслідок порушень здоров’я у дітей віком до 1-го року, 95% ДІ 2748,99- 1478,66), на 15,2% у Франції (1920,9 років, втрачених </w:t>
      </w:r>
      <w:r w:rsidR="005D4535" w:rsidRPr="005D4535">
        <w:rPr>
          <w:szCs w:val="28"/>
        </w:rPr>
        <w:lastRenderedPageBreak/>
        <w:t>внаслідок порушень здоров’я у дітей віком до 1-го року, 95% ДІ 2610,39-1360,98), на 6,2% у Іспанії (2124,9 років, втрачених внаслідок порушень здоров’я у дітей віком до 1-го року, 95% ДІ 2910,15-1495,53), на 25,0% США (1698,9 років, втрачених внаслідок порушень здоров’я у дітей віком до 1-го року, 95% ДІ 2260,23-1226,40)</w:t>
      </w:r>
    </w:p>
    <w:p w:rsidR="008156A1" w:rsidRDefault="004F31D7" w:rsidP="00232266">
      <w:pPr>
        <w:widowControl w:val="0"/>
        <w:spacing w:before="240"/>
        <w:rPr>
          <w:bCs/>
          <w:szCs w:val="28"/>
          <w:lang w:eastAsia="ru-RU"/>
        </w:rPr>
      </w:pPr>
      <w:r w:rsidRPr="00006A39">
        <w:rPr>
          <w:b/>
          <w:bCs/>
          <w:szCs w:val="28"/>
          <w:lang w:eastAsia="ru-RU"/>
        </w:rPr>
        <w:t>Список особисти</w:t>
      </w:r>
      <w:r w:rsidR="008156A1">
        <w:rPr>
          <w:b/>
          <w:bCs/>
          <w:szCs w:val="28"/>
          <w:lang w:eastAsia="ru-RU"/>
        </w:rPr>
        <w:t>х робіт за матеріалами розділу:</w:t>
      </w:r>
      <w:r w:rsidR="008156A1">
        <w:rPr>
          <w:bCs/>
          <w:szCs w:val="28"/>
          <w:lang w:eastAsia="ru-RU"/>
        </w:rPr>
        <w:t xml:space="preserve"> </w:t>
      </w:r>
    </w:p>
    <w:p w:rsidR="00CC1406" w:rsidRPr="00231499" w:rsidRDefault="00CC1406" w:rsidP="0074719A">
      <w:pPr>
        <w:widowControl w:val="0"/>
        <w:numPr>
          <w:ilvl w:val="0"/>
          <w:numId w:val="46"/>
        </w:numPr>
        <w:contextualSpacing/>
        <w:rPr>
          <w:rFonts w:eastAsia="Calibri"/>
          <w:szCs w:val="28"/>
        </w:rPr>
      </w:pPr>
      <w:r w:rsidRPr="00231499">
        <w:rPr>
          <w:rFonts w:eastAsia="Calibri"/>
          <w:szCs w:val="28"/>
        </w:rPr>
        <w:t xml:space="preserve">Дудник С. В. Стан здоров’я та деякі аспекти організації надання медичної допомоги дитячому населенню України. Україна. Здоров’я нації. </w:t>
      </w:r>
      <w:r w:rsidRPr="00231499">
        <w:rPr>
          <w:rFonts w:eastAsia="Calibri"/>
          <w:spacing w:val="-14"/>
          <w:szCs w:val="28"/>
        </w:rPr>
        <w:t>2018. № 1 (47)</w:t>
      </w:r>
      <w:r>
        <w:rPr>
          <w:rFonts w:eastAsia="Calibri"/>
          <w:spacing w:val="-14"/>
          <w:szCs w:val="28"/>
        </w:rPr>
        <w:t>.</w:t>
      </w:r>
      <w:r w:rsidRPr="00231499">
        <w:rPr>
          <w:rFonts w:eastAsia="Calibri"/>
          <w:spacing w:val="-14"/>
          <w:szCs w:val="28"/>
        </w:rPr>
        <w:t xml:space="preserve"> С.</w:t>
      </w:r>
      <w:r>
        <w:rPr>
          <w:rFonts w:eastAsia="Calibri"/>
          <w:spacing w:val="-14"/>
          <w:szCs w:val="28"/>
          <w:lang w:val="ru-RU"/>
        </w:rPr>
        <w:t> </w:t>
      </w:r>
      <w:r w:rsidRPr="00231499">
        <w:rPr>
          <w:rFonts w:eastAsia="Calibri"/>
          <w:szCs w:val="28"/>
        </w:rPr>
        <w:t>26</w:t>
      </w:r>
      <w:r>
        <w:rPr>
          <w:rFonts w:eastAsia="Calibri"/>
          <w:szCs w:val="28"/>
          <w:lang w:val="ru-RU"/>
        </w:rPr>
        <w:t> </w:t>
      </w:r>
      <w:r w:rsidRPr="00B12CA0">
        <w:rPr>
          <w:rFonts w:eastAsia="Calibri"/>
          <w:szCs w:val="28"/>
        </w:rPr>
        <w:t>-</w:t>
      </w:r>
      <w:r w:rsidRPr="00231499">
        <w:rPr>
          <w:rFonts w:eastAsia="Calibri"/>
          <w:szCs w:val="28"/>
        </w:rPr>
        <w:t xml:space="preserve">33. </w:t>
      </w:r>
    </w:p>
    <w:p w:rsidR="009B6226" w:rsidRPr="009B6226" w:rsidRDefault="0085703C" w:rsidP="0074719A">
      <w:pPr>
        <w:widowControl w:val="0"/>
        <w:numPr>
          <w:ilvl w:val="0"/>
          <w:numId w:val="46"/>
        </w:numPr>
        <w:contextualSpacing/>
        <w:rPr>
          <w:rFonts w:eastAsia="Calibri"/>
          <w:szCs w:val="28"/>
        </w:rPr>
      </w:pPr>
      <w:r w:rsidRPr="009B6226">
        <w:rPr>
          <w:rFonts w:eastAsia="Calibri"/>
          <w:szCs w:val="28"/>
        </w:rPr>
        <w:t xml:space="preserve">Дудіна О. О., Дудник С. В., Слабкий Г. О. Ретроспективний аналіз стану здоров’я новонароджених в Україні. Україна. Здоров’я нації. 2018. № 4 (52). С. 21–26. </w:t>
      </w:r>
    </w:p>
    <w:p w:rsidR="006849A6" w:rsidRPr="009B6226" w:rsidRDefault="00381AA0" w:rsidP="0074719A">
      <w:pPr>
        <w:widowControl w:val="0"/>
        <w:numPr>
          <w:ilvl w:val="0"/>
          <w:numId w:val="46"/>
        </w:numPr>
        <w:contextualSpacing/>
        <w:rPr>
          <w:rFonts w:eastAsia="Calibri"/>
          <w:szCs w:val="28"/>
        </w:rPr>
      </w:pPr>
      <w:r w:rsidRPr="009B6226">
        <w:rPr>
          <w:rFonts w:eastAsia="Calibri"/>
          <w:szCs w:val="28"/>
          <w:lang w:eastAsia="uk-UA"/>
        </w:rPr>
        <w:t xml:space="preserve">Дудіна О. О., Моісеєнко Р. О., Дудник С. В., Габорець Ю. Ю. Ситуаційний аналіз стану здоров’я дітей. Щорічна доповідь про стан здоров’я населення, санітарно-епідемічну ситуацію та результати діяльності системи охорони здоров’я України. 2017 рік. Монографія. / МОЗ України, ДУ ”УІСД МОЗ України“. Київ: Медінформ, 2018. С. 39–64. </w:t>
      </w:r>
    </w:p>
    <w:p w:rsidR="006849A6" w:rsidRPr="00231499" w:rsidRDefault="006849A6" w:rsidP="0074719A">
      <w:pPr>
        <w:pStyle w:val="a5"/>
        <w:widowControl w:val="0"/>
        <w:numPr>
          <w:ilvl w:val="0"/>
          <w:numId w:val="46"/>
        </w:numPr>
        <w:shd w:val="clear" w:color="auto" w:fill="FFFFFF"/>
        <w:rPr>
          <w:szCs w:val="28"/>
          <w:lang w:eastAsia="ru-RU"/>
        </w:rPr>
      </w:pPr>
      <w:r w:rsidRPr="00231499">
        <w:rPr>
          <w:szCs w:val="28"/>
          <w:lang w:eastAsia="ru-RU"/>
        </w:rPr>
        <w:t xml:space="preserve">Slabkiy G. O., Dudina O. O., Dudnyk S. V., Kachala L. A. Dynamics of the physical development of newborns. The Unity оf Science: International Scientific Professional Periodical Journal. Vienna, Austria. December 2018 / January 2019. P. 140–143. </w:t>
      </w:r>
    </w:p>
    <w:p w:rsidR="00A90C3F" w:rsidRPr="00A90C3F" w:rsidRDefault="00381AA0" w:rsidP="0074719A">
      <w:pPr>
        <w:widowControl w:val="0"/>
        <w:numPr>
          <w:ilvl w:val="0"/>
          <w:numId w:val="46"/>
        </w:numPr>
        <w:contextualSpacing/>
        <w:rPr>
          <w:szCs w:val="28"/>
          <w:lang w:eastAsia="ru-RU"/>
        </w:rPr>
      </w:pPr>
      <w:r w:rsidRPr="00381AA0">
        <w:rPr>
          <w:rFonts w:eastAsia="Calibri"/>
          <w:szCs w:val="28"/>
          <w:lang w:eastAsia="uk-UA"/>
        </w:rPr>
        <w:t xml:space="preserve"> </w:t>
      </w:r>
      <w:r w:rsidR="0085703C" w:rsidRPr="00231499">
        <w:rPr>
          <w:szCs w:val="28"/>
          <w:lang w:eastAsia="ru-RU"/>
        </w:rPr>
        <w:t xml:space="preserve"> </w:t>
      </w:r>
      <w:r w:rsidR="00A90C3F" w:rsidRPr="00A90C3F">
        <w:rPr>
          <w:szCs w:val="28"/>
          <w:lang w:eastAsia="ru-RU"/>
        </w:rPr>
        <w:t xml:space="preserve">Дудник С. В. Профілактика дитячого травматизму як один із пріоритетів напрямів охорони здоров’я: сучасні підходи до попередження дитячої смертності та інвалідності. Економіка і право охорони здоров’я. 2017. № 2 (6). С. 36–41.  </w:t>
      </w:r>
    </w:p>
    <w:p w:rsidR="00113116" w:rsidRPr="00231499" w:rsidRDefault="00113116" w:rsidP="0074719A">
      <w:pPr>
        <w:widowControl w:val="0"/>
        <w:numPr>
          <w:ilvl w:val="0"/>
          <w:numId w:val="46"/>
        </w:numPr>
        <w:contextualSpacing/>
        <w:rPr>
          <w:rFonts w:eastAsia="Calibri"/>
          <w:bCs/>
          <w:szCs w:val="28"/>
        </w:rPr>
      </w:pPr>
      <w:r w:rsidRPr="00231499">
        <w:rPr>
          <w:rFonts w:eastAsia="Calibri"/>
          <w:szCs w:val="28"/>
        </w:rPr>
        <w:t>Габорець Ю. Ю., Дудіна О.</w:t>
      </w:r>
      <w:r w:rsidRPr="00231499">
        <w:rPr>
          <w:rFonts w:eastAsia="Calibri"/>
          <w:szCs w:val="28"/>
          <w:lang w:val="ru-RU"/>
        </w:rPr>
        <w:t> </w:t>
      </w:r>
      <w:r w:rsidRPr="00231499">
        <w:rPr>
          <w:rFonts w:eastAsia="Calibri"/>
          <w:szCs w:val="28"/>
        </w:rPr>
        <w:t>О., Дудник С.</w:t>
      </w:r>
      <w:r w:rsidRPr="00231499">
        <w:rPr>
          <w:rFonts w:eastAsia="Calibri"/>
          <w:szCs w:val="28"/>
          <w:lang w:val="ru-RU"/>
        </w:rPr>
        <w:t> </w:t>
      </w:r>
      <w:r w:rsidRPr="00231499">
        <w:rPr>
          <w:rFonts w:eastAsia="Calibri"/>
          <w:szCs w:val="28"/>
        </w:rPr>
        <w:t>В.</w:t>
      </w:r>
      <w:r w:rsidRPr="00231499">
        <w:rPr>
          <w:rFonts w:eastAsia="Calibri"/>
          <w:i/>
          <w:szCs w:val="28"/>
        </w:rPr>
        <w:t xml:space="preserve"> </w:t>
      </w:r>
      <w:r w:rsidRPr="00231499">
        <w:rPr>
          <w:rFonts w:eastAsia="Calibri"/>
          <w:szCs w:val="28"/>
        </w:rPr>
        <w:t xml:space="preserve">Тенденції захворюваності дитячого населення України. Україна. Здоров’я нації. 2018. № 3 (50). С. 119–120. (Актуальні питання розвитку системи громадського здоров’я в Україні: тези доповідей учасників науково-практична конференції з міжнародною участю (Ужгород, 17–18 трав. 2018 р.). </w:t>
      </w:r>
    </w:p>
    <w:p w:rsidR="009B6226" w:rsidRPr="009B6226" w:rsidRDefault="003633D4" w:rsidP="0074719A">
      <w:pPr>
        <w:widowControl w:val="0"/>
        <w:numPr>
          <w:ilvl w:val="0"/>
          <w:numId w:val="46"/>
        </w:numPr>
        <w:contextualSpacing/>
        <w:rPr>
          <w:rFonts w:eastAsia="Calibri"/>
          <w:szCs w:val="28"/>
        </w:rPr>
      </w:pPr>
      <w:r w:rsidRPr="009B6226">
        <w:rPr>
          <w:rFonts w:eastAsia="Calibri"/>
          <w:szCs w:val="28"/>
        </w:rPr>
        <w:t xml:space="preserve">Dudnyk S., Slabkiy G., Dudina O., Gaborets Y., Kachala L. The Characteristic of Infants Disability in Ukraine. The faces of contemporary pediatrics from clinical </w:t>
      </w:r>
      <w:r w:rsidRPr="009B6226">
        <w:rPr>
          <w:rFonts w:eastAsia="Calibri"/>
          <w:szCs w:val="28"/>
        </w:rPr>
        <w:lastRenderedPageBreak/>
        <w:t>problems to public health: Abstract book of International paediatric conference</w:t>
      </w:r>
      <w:r w:rsidRPr="009B6226">
        <w:rPr>
          <w:rFonts w:eastAsia="Calibri"/>
          <w:i/>
          <w:szCs w:val="28"/>
        </w:rPr>
        <w:t xml:space="preserve"> </w:t>
      </w:r>
      <w:r w:rsidRPr="009B6226">
        <w:rPr>
          <w:rFonts w:eastAsia="Calibri"/>
          <w:szCs w:val="28"/>
        </w:rPr>
        <w:t>(Rzeszow, Poland, 24-26 may 2018).</w:t>
      </w:r>
      <w:r w:rsidRPr="009B6226">
        <w:rPr>
          <w:rFonts w:eastAsia="Calibri"/>
          <w:i/>
          <w:szCs w:val="28"/>
        </w:rPr>
        <w:t xml:space="preserve"> </w:t>
      </w:r>
      <w:r w:rsidRPr="009B6226">
        <w:rPr>
          <w:rFonts w:eastAsia="Calibri"/>
          <w:szCs w:val="28"/>
        </w:rPr>
        <w:t>Rzeszow, Poland, 2018. P. 31.</w:t>
      </w:r>
      <w:r w:rsidRPr="009B6226">
        <w:rPr>
          <w:szCs w:val="28"/>
        </w:rPr>
        <w:t xml:space="preserve"> </w:t>
      </w:r>
    </w:p>
    <w:p w:rsidR="009B6226" w:rsidRPr="009B6226" w:rsidRDefault="004034A3" w:rsidP="0074719A">
      <w:pPr>
        <w:widowControl w:val="0"/>
        <w:numPr>
          <w:ilvl w:val="0"/>
          <w:numId w:val="46"/>
        </w:numPr>
        <w:contextualSpacing/>
        <w:rPr>
          <w:rFonts w:eastAsia="Calibri"/>
          <w:szCs w:val="28"/>
        </w:rPr>
      </w:pPr>
      <w:r w:rsidRPr="009B6226">
        <w:rPr>
          <w:rFonts w:eastAsia="Calibri"/>
          <w:szCs w:val="28"/>
        </w:rPr>
        <w:t xml:space="preserve">Дудник С. В., Слабкий Г. О. Тенденції дитячої інвалідності та організаційно-правові аспекти реабілітації дітей в Україні. </w:t>
      </w:r>
      <w:r w:rsidRPr="009B6226">
        <w:rPr>
          <w:rFonts w:eastAsia="Calibri"/>
          <w:i/>
          <w:szCs w:val="28"/>
        </w:rPr>
        <w:t>Україна. Здоров’я нації</w:t>
      </w:r>
      <w:r w:rsidRPr="009B6226">
        <w:rPr>
          <w:rFonts w:eastAsia="Calibri"/>
          <w:szCs w:val="28"/>
        </w:rPr>
        <w:t xml:space="preserve">. 2018. № 3/1 (51). С. 22–25. (Актуальні питання у сфері надання комплексних послуг особам з інвалідністю: матеріали учасників науково-практичної конференції з міжнародною участю (Ужгород, 19-21 верес. 2018 р.). </w:t>
      </w:r>
    </w:p>
    <w:p w:rsidR="00A55CB3" w:rsidRPr="009B6226" w:rsidRDefault="00A55CB3" w:rsidP="0074719A">
      <w:pPr>
        <w:widowControl w:val="0"/>
        <w:numPr>
          <w:ilvl w:val="0"/>
          <w:numId w:val="46"/>
        </w:numPr>
        <w:contextualSpacing/>
        <w:rPr>
          <w:rFonts w:eastAsia="Calibri"/>
          <w:szCs w:val="28"/>
        </w:rPr>
      </w:pPr>
      <w:r w:rsidRPr="009B6226">
        <w:rPr>
          <w:rFonts w:eastAsia="Calibri"/>
          <w:szCs w:val="28"/>
        </w:rPr>
        <w:t>Габорець Ю. Ю., Дудник С. В., Дудіна О. О., Волошина У. В. Характеристика рівня народжуваності в Україні</w:t>
      </w:r>
      <w:r w:rsidRPr="009B6226">
        <w:rPr>
          <w:rFonts w:eastAsia="Calibri"/>
          <w:i/>
          <w:szCs w:val="28"/>
        </w:rPr>
        <w:t>. Організація та управління охороною здоров'я 2016</w:t>
      </w:r>
      <w:r w:rsidRPr="009B6226">
        <w:rPr>
          <w:rFonts w:eastAsia="Calibri"/>
          <w:szCs w:val="28"/>
        </w:rPr>
        <w:t xml:space="preserve">: тези доп. наук.-практ. конф. з міжнар. участю (Київ, 18–20 жовт. 2016 р.). Київ, 2016: КиївЕкспоПлаза. С. 27–28. </w:t>
      </w:r>
    </w:p>
    <w:p w:rsidR="006738F0" w:rsidRPr="00D32D3C" w:rsidRDefault="00FE07CC" w:rsidP="0074719A">
      <w:pPr>
        <w:widowControl w:val="0"/>
        <w:numPr>
          <w:ilvl w:val="0"/>
          <w:numId w:val="46"/>
        </w:numPr>
        <w:shd w:val="clear" w:color="auto" w:fill="FFFFFF"/>
        <w:contextualSpacing/>
        <w:rPr>
          <w:szCs w:val="28"/>
          <w:lang w:eastAsia="ru-RU"/>
        </w:rPr>
        <w:sectPr w:rsidR="006738F0" w:rsidRPr="00D32D3C" w:rsidSect="00E242B0">
          <w:pgSz w:w="11906" w:h="16838"/>
          <w:pgMar w:top="1134" w:right="567" w:bottom="1134" w:left="1134" w:header="708" w:footer="708" w:gutter="0"/>
          <w:cols w:space="708"/>
          <w:docGrid w:linePitch="360"/>
        </w:sectPr>
      </w:pPr>
      <w:r>
        <w:rPr>
          <w:rFonts w:eastAsia="Calibri"/>
          <w:szCs w:val="28"/>
          <w:lang w:val="ru-RU"/>
        </w:rPr>
        <w:t xml:space="preserve"> </w:t>
      </w:r>
      <w:r w:rsidR="00A71DF3" w:rsidRPr="00231499">
        <w:rPr>
          <w:rFonts w:eastAsia="Calibri"/>
          <w:szCs w:val="28"/>
        </w:rPr>
        <w:t>Габорець Ю. Ю., Дудіна О. О., Дудник С. В. Динаміка показника живонароджених дітей на 1 тис. осіб наявного населення. Україна. Здоров’я нації. 2017. № 3 (44). С. 311. (Актуальні питання розвитку системи громадського здоров’я в Україні:</w:t>
      </w:r>
      <w:r w:rsidR="00A71DF3" w:rsidRPr="00231499">
        <w:rPr>
          <w:rFonts w:eastAsia="Calibri"/>
          <w:i/>
          <w:szCs w:val="28"/>
        </w:rPr>
        <w:t xml:space="preserve"> </w:t>
      </w:r>
      <w:r w:rsidR="00A71DF3" w:rsidRPr="00231499">
        <w:rPr>
          <w:rFonts w:eastAsia="Calibri"/>
          <w:szCs w:val="28"/>
        </w:rPr>
        <w:t>матеріали наук.-практ. конф. з міжнар. участю (Ужгород, 24-25</w:t>
      </w:r>
      <w:r w:rsidR="009B6226">
        <w:rPr>
          <w:lang w:val="ru-RU"/>
        </w:rPr>
        <w:t> </w:t>
      </w:r>
      <w:r w:rsidR="00A71DF3" w:rsidRPr="00231499">
        <w:rPr>
          <w:rFonts w:eastAsia="Calibri"/>
          <w:szCs w:val="28"/>
        </w:rPr>
        <w:t>трав</w:t>
      </w:r>
      <w:r w:rsidR="00A71DF3" w:rsidRPr="00231499">
        <w:rPr>
          <w:rFonts w:eastAsia="Calibri"/>
          <w:szCs w:val="28"/>
          <w:lang w:val="ru-RU"/>
        </w:rPr>
        <w:t>ня</w:t>
      </w:r>
      <w:r w:rsidR="009B6226">
        <w:rPr>
          <w:rFonts w:eastAsia="Calibri"/>
          <w:szCs w:val="28"/>
          <w:lang w:val="ru-RU"/>
        </w:rPr>
        <w:t> </w:t>
      </w:r>
      <w:r w:rsidR="00A71DF3" w:rsidRPr="00231499">
        <w:rPr>
          <w:rFonts w:eastAsia="Calibri"/>
          <w:szCs w:val="28"/>
        </w:rPr>
        <w:t>2017</w:t>
      </w:r>
      <w:r w:rsidR="009B6226">
        <w:rPr>
          <w:rFonts w:eastAsia="Calibri"/>
          <w:szCs w:val="28"/>
          <w:lang w:val="ru-RU"/>
        </w:rPr>
        <w:t> </w:t>
      </w:r>
      <w:r w:rsidR="00A71DF3" w:rsidRPr="00231499">
        <w:rPr>
          <w:rFonts w:eastAsia="Calibri"/>
          <w:szCs w:val="28"/>
        </w:rPr>
        <w:t xml:space="preserve">р.). </w:t>
      </w:r>
      <w:r w:rsidR="00D32D3C">
        <w:rPr>
          <w:rFonts w:eastAsia="Calibri"/>
          <w:i/>
          <w:szCs w:val="28"/>
          <w:lang w:val="ru-RU"/>
        </w:rPr>
        <w:t>.</w:t>
      </w:r>
    </w:p>
    <w:p w:rsidR="006738F0" w:rsidRPr="00006A39" w:rsidRDefault="006738F0" w:rsidP="001338C6">
      <w:pPr>
        <w:pageBreakBefore/>
        <w:widowControl w:val="0"/>
        <w:jc w:val="center"/>
        <w:rPr>
          <w:b/>
        </w:rPr>
      </w:pPr>
      <w:r w:rsidRPr="00006A39">
        <w:rPr>
          <w:b/>
        </w:rPr>
        <w:lastRenderedPageBreak/>
        <w:t>РОЗДІЛ 5</w:t>
      </w:r>
    </w:p>
    <w:p w:rsidR="006738F0" w:rsidRPr="00006A39" w:rsidRDefault="006738F0" w:rsidP="00721203">
      <w:pPr>
        <w:widowControl w:val="0"/>
        <w:jc w:val="center"/>
        <w:rPr>
          <w:b/>
        </w:rPr>
      </w:pPr>
      <w:r w:rsidRPr="00006A39">
        <w:rPr>
          <w:b/>
        </w:rPr>
        <w:t>ОРГАНІЗАЦІЯ МЕДИЧНОЇ ДОПОМОГИ ДИТЯЧОМУ НАСЕЛЕННЮ ТА ЇЇ ЗВ’ЯЗКИ ЗІ СМЕРТНІСТЮ ДІТЕЙ ВІКОМ 0-5 РОКІВ</w:t>
      </w:r>
      <w:r w:rsidR="00ED6F5E">
        <w:rPr>
          <w:b/>
        </w:rPr>
        <w:t xml:space="preserve"> ЖИТТЯ</w:t>
      </w:r>
    </w:p>
    <w:p w:rsidR="00ED6F5E" w:rsidRDefault="00ED6F5E" w:rsidP="00721203">
      <w:pPr>
        <w:widowControl w:val="0"/>
        <w:ind w:firstLine="708"/>
        <w:rPr>
          <w:szCs w:val="28"/>
        </w:rPr>
      </w:pPr>
    </w:p>
    <w:p w:rsidR="006738F0" w:rsidRPr="00006A39" w:rsidRDefault="006738F0" w:rsidP="00721203">
      <w:pPr>
        <w:widowControl w:val="0"/>
        <w:ind w:firstLine="708"/>
      </w:pPr>
      <w:r w:rsidRPr="00006A39">
        <w:t xml:space="preserve">До з’ясування чинників, які асоціюються зі смертністю дітей </w:t>
      </w:r>
      <w:r w:rsidR="00FB0783" w:rsidRPr="00006A39">
        <w:t>віком до 5 років</w:t>
      </w:r>
      <w:r w:rsidR="00801A15">
        <w:t xml:space="preserve"> життя</w:t>
      </w:r>
      <w:r w:rsidR="00FB0783" w:rsidRPr="00006A39">
        <w:t xml:space="preserve"> </w:t>
      </w:r>
      <w:r w:rsidRPr="00006A39">
        <w:t xml:space="preserve">в Україні, ми підійшли комплексно – шляхом аналізу показників, що характеризують структуру та процес надання </w:t>
      </w:r>
      <w:r w:rsidR="00801A15">
        <w:t>медичної допомоги на усіх етапах</w:t>
      </w:r>
      <w:r w:rsidRPr="00006A39">
        <w:t xml:space="preserve"> розвитку дитини, починаючи з перинатального періоду, аналізуючи роботу ПЦ, і продовжуючи закладами первинної медичної допомоги, а також закладами спеціалізованої та високоспеціалізованої медичної допомоги. </w:t>
      </w:r>
    </w:p>
    <w:p w:rsidR="006738F0" w:rsidRPr="00006A39" w:rsidRDefault="006738F0" w:rsidP="00721203">
      <w:pPr>
        <w:widowControl w:val="0"/>
        <w:ind w:firstLine="709"/>
      </w:pPr>
      <w:r w:rsidRPr="00006A39">
        <w:t>Для ідентифікації факторів ризику, які достовірно асоціюються з летальністю до 5 років усі дослі</w:t>
      </w:r>
      <w:r w:rsidR="00801A15">
        <w:t>джувані чинники було розподілено</w:t>
      </w:r>
      <w:r w:rsidRPr="00006A39">
        <w:t xml:space="preserve"> на декілька груп:</w:t>
      </w:r>
    </w:p>
    <w:p w:rsidR="006738F0" w:rsidRPr="00006A39" w:rsidRDefault="00801A15" w:rsidP="00721203">
      <w:pPr>
        <w:pStyle w:val="a5"/>
        <w:widowControl w:val="0"/>
        <w:numPr>
          <w:ilvl w:val="0"/>
          <w:numId w:val="7"/>
        </w:numPr>
        <w:rPr>
          <w:color w:val="000000"/>
        </w:rPr>
      </w:pPr>
      <w:r>
        <w:rPr>
          <w:color w:val="000000"/>
        </w:rPr>
        <w:t>ч</w:t>
      </w:r>
      <w:r w:rsidR="006738F0" w:rsidRPr="00006A39">
        <w:rPr>
          <w:color w:val="000000"/>
        </w:rPr>
        <w:t>инники інфраструктурного характеру, що характеризують інфраструк</w:t>
      </w:r>
      <w:r>
        <w:rPr>
          <w:color w:val="000000"/>
        </w:rPr>
        <w:t>туру закладів ОЗ;</w:t>
      </w:r>
    </w:p>
    <w:p w:rsidR="006738F0" w:rsidRPr="00006A39" w:rsidRDefault="00801A15" w:rsidP="00721203">
      <w:pPr>
        <w:pStyle w:val="a5"/>
        <w:widowControl w:val="0"/>
        <w:numPr>
          <w:ilvl w:val="0"/>
          <w:numId w:val="7"/>
        </w:numPr>
        <w:rPr>
          <w:color w:val="000000"/>
        </w:rPr>
      </w:pPr>
      <w:r>
        <w:rPr>
          <w:color w:val="000000"/>
        </w:rPr>
        <w:t>ч</w:t>
      </w:r>
      <w:r w:rsidR="006738F0" w:rsidRPr="00006A39">
        <w:rPr>
          <w:color w:val="000000"/>
        </w:rPr>
        <w:t>инники, що характеризують забезпеченість дитячого</w:t>
      </w:r>
      <w:r>
        <w:rPr>
          <w:color w:val="000000"/>
        </w:rPr>
        <w:t xml:space="preserve"> населення лікарняними ліжками;</w:t>
      </w:r>
    </w:p>
    <w:p w:rsidR="006738F0" w:rsidRPr="00006A39" w:rsidRDefault="00801A15" w:rsidP="00721203">
      <w:pPr>
        <w:pStyle w:val="a5"/>
        <w:widowControl w:val="0"/>
        <w:numPr>
          <w:ilvl w:val="0"/>
          <w:numId w:val="7"/>
        </w:numPr>
        <w:rPr>
          <w:color w:val="000000"/>
        </w:rPr>
      </w:pPr>
      <w:r>
        <w:rPr>
          <w:color w:val="000000"/>
        </w:rPr>
        <w:t>ч</w:t>
      </w:r>
      <w:r w:rsidR="006738F0" w:rsidRPr="00006A39">
        <w:rPr>
          <w:color w:val="000000"/>
        </w:rPr>
        <w:t>инники, що характеризують кадрове забезпечення дитячих закладів охорони здоров’я.</w:t>
      </w:r>
    </w:p>
    <w:p w:rsidR="006738F0" w:rsidRPr="00006A39" w:rsidRDefault="006738F0" w:rsidP="00721203">
      <w:pPr>
        <w:pStyle w:val="a5"/>
        <w:widowControl w:val="0"/>
        <w:rPr>
          <w:color w:val="000000"/>
        </w:rPr>
      </w:pPr>
    </w:p>
    <w:p w:rsidR="00B13EBF" w:rsidRPr="00A51648" w:rsidRDefault="00B13EBF" w:rsidP="00A51648">
      <w:pPr>
        <w:pStyle w:val="a5"/>
        <w:widowControl w:val="0"/>
        <w:numPr>
          <w:ilvl w:val="1"/>
          <w:numId w:val="9"/>
        </w:numPr>
        <w:spacing w:before="240"/>
        <w:jc w:val="left"/>
        <w:rPr>
          <w:b/>
        </w:rPr>
      </w:pPr>
      <w:r w:rsidRPr="00B13EBF">
        <w:rPr>
          <w:b/>
          <w:bCs/>
        </w:rPr>
        <w:t xml:space="preserve">Характеристика інфраструктурного забезпечення </w:t>
      </w:r>
      <w:r w:rsidRPr="006C3135">
        <w:rPr>
          <w:b/>
          <w:bCs/>
        </w:rPr>
        <w:t xml:space="preserve">та її </w:t>
      </w:r>
      <w:r w:rsidRPr="00B13EBF">
        <w:rPr>
          <w:b/>
          <w:bCs/>
        </w:rPr>
        <w:t>зв’язки з летальністю</w:t>
      </w:r>
    </w:p>
    <w:p w:rsidR="006738F0" w:rsidRPr="00006A39" w:rsidRDefault="006738F0" w:rsidP="00A51648">
      <w:pPr>
        <w:widowControl w:val="0"/>
        <w:autoSpaceDE w:val="0"/>
        <w:autoSpaceDN w:val="0"/>
        <w:adjustRightInd w:val="0"/>
        <w:spacing w:before="240"/>
        <w:ind w:firstLine="709"/>
        <w:rPr>
          <w:rFonts w:eastAsia="Times New Roman"/>
          <w:szCs w:val="28"/>
          <w:lang w:eastAsia="ru-RU"/>
        </w:rPr>
      </w:pPr>
      <w:r w:rsidRPr="00006A39">
        <w:rPr>
          <w:rFonts w:eastAsia="Times New Roman"/>
          <w:szCs w:val="28"/>
          <w:lang w:eastAsia="ru-RU"/>
        </w:rPr>
        <w:t xml:space="preserve">Служба охорони здоров’я матері та дитини </w:t>
      </w:r>
      <w:r w:rsidR="00A24EAF">
        <w:rPr>
          <w:rFonts w:eastAsia="Times New Roman"/>
          <w:szCs w:val="28"/>
          <w:lang w:eastAsia="ru-RU"/>
        </w:rPr>
        <w:t>являє собою багатофункціональний</w:t>
      </w:r>
      <w:r w:rsidR="00A23FB2">
        <w:rPr>
          <w:rFonts w:eastAsia="Times New Roman"/>
          <w:szCs w:val="28"/>
          <w:lang w:eastAsia="ru-RU"/>
        </w:rPr>
        <w:t xml:space="preserve"> комплекс, який включає </w:t>
      </w:r>
      <w:r w:rsidR="00611609">
        <w:rPr>
          <w:rFonts w:eastAsia="Times New Roman"/>
          <w:szCs w:val="28"/>
          <w:lang w:eastAsia="ru-RU"/>
        </w:rPr>
        <w:t>ЗОЗ</w:t>
      </w:r>
      <w:r w:rsidR="00A23FB2">
        <w:rPr>
          <w:rFonts w:eastAsia="Times New Roman"/>
          <w:szCs w:val="28"/>
          <w:lang w:eastAsia="ru-RU"/>
        </w:rPr>
        <w:t xml:space="preserve">, де </w:t>
      </w:r>
      <w:r w:rsidRPr="00006A39">
        <w:rPr>
          <w:rFonts w:eastAsia="Times New Roman"/>
          <w:szCs w:val="28"/>
          <w:lang w:eastAsia="ru-RU"/>
        </w:rPr>
        <w:t>надається профілактична, діагностична, медична (в тому числі</w:t>
      </w:r>
      <w:r w:rsidR="00FB0783" w:rsidRPr="00006A39">
        <w:rPr>
          <w:rFonts w:eastAsia="Times New Roman"/>
          <w:szCs w:val="28"/>
          <w:lang w:eastAsia="ru-RU"/>
        </w:rPr>
        <w:t>,</w:t>
      </w:r>
      <w:r w:rsidRPr="00006A39">
        <w:rPr>
          <w:rFonts w:eastAsia="Times New Roman"/>
          <w:szCs w:val="28"/>
          <w:lang w:eastAsia="ru-RU"/>
        </w:rPr>
        <w:t xml:space="preserve"> медична реабілітація) допомога матерям та дітям у віці до 17 років життя. До них відносяться амбулаторні, амбулаторно-стаціонарні, стаціонарні, і санаторно-кур</w:t>
      </w:r>
      <w:r w:rsidR="00265F90">
        <w:rPr>
          <w:rFonts w:eastAsia="Times New Roman"/>
          <w:szCs w:val="28"/>
          <w:lang w:eastAsia="ru-RU"/>
        </w:rPr>
        <w:t>ортні заклади, будинки дитини. У</w:t>
      </w:r>
      <w:r w:rsidRPr="00006A39">
        <w:rPr>
          <w:rFonts w:eastAsia="Times New Roman"/>
          <w:szCs w:val="28"/>
          <w:lang w:eastAsia="ru-RU"/>
        </w:rPr>
        <w:t xml:space="preserve"> свою чергу, до амбулаторних закладів відносяться центри первинної медичної допомоги (ЦПМД) і їх структурні підрозділи, дитячі поліклініки, жіночі консультації, центри планування сім’ї та репродукції людини, клініко-діагностичні центри (КДЦ), медико-генетичні консультації, у складі амбулаторно-поліклінічних закладів. </w:t>
      </w:r>
      <w:r w:rsidRPr="00006A39">
        <w:rPr>
          <w:rFonts w:eastAsia="Times New Roman"/>
          <w:szCs w:val="28"/>
          <w:lang w:eastAsia="ru-RU"/>
        </w:rPr>
        <w:lastRenderedPageBreak/>
        <w:t>Установи, що відносяться до стаціонарних, включають різних рівнів акредитації клініки науково-дослідних установ, перинатальні це</w:t>
      </w:r>
      <w:r w:rsidR="00265F90">
        <w:rPr>
          <w:rFonts w:eastAsia="Times New Roman"/>
          <w:szCs w:val="28"/>
          <w:lang w:eastAsia="ru-RU"/>
        </w:rPr>
        <w:t xml:space="preserve">нтри ІІ і  ІІІ рівня, пологові </w:t>
      </w:r>
      <w:r w:rsidRPr="00006A39">
        <w:rPr>
          <w:rFonts w:eastAsia="Times New Roman"/>
          <w:szCs w:val="28"/>
          <w:lang w:eastAsia="ru-RU"/>
        </w:rPr>
        <w:t xml:space="preserve">відділення обласних лікарень, дитячі обласні лікарні, дитячі міські лікарні, інфекційні лікарні для дітей, туберкульозні лікарні для дітей, пологові будинки, пологові </w:t>
      </w:r>
      <w:r w:rsidR="00FB0783" w:rsidRPr="00006A39">
        <w:rPr>
          <w:rFonts w:eastAsia="Times New Roman"/>
          <w:szCs w:val="28"/>
          <w:lang w:eastAsia="ru-RU"/>
        </w:rPr>
        <w:t>й</w:t>
      </w:r>
      <w:r w:rsidRPr="00006A39">
        <w:rPr>
          <w:rFonts w:eastAsia="Times New Roman"/>
          <w:szCs w:val="28"/>
          <w:lang w:eastAsia="ru-RU"/>
        </w:rPr>
        <w:t xml:space="preserve"> дитячі відділення </w:t>
      </w:r>
      <w:r w:rsidR="00A32F6A">
        <w:rPr>
          <w:rFonts w:eastAsia="Times New Roman"/>
          <w:szCs w:val="28"/>
          <w:lang w:eastAsia="ru-RU"/>
        </w:rPr>
        <w:t>центральних районних лікарень (</w:t>
      </w:r>
      <w:r w:rsidRPr="00006A39">
        <w:rPr>
          <w:rFonts w:eastAsia="Times New Roman"/>
          <w:szCs w:val="28"/>
          <w:lang w:eastAsia="ru-RU"/>
        </w:rPr>
        <w:t>ЦРЛ</w:t>
      </w:r>
      <w:r w:rsidR="00A32F6A">
        <w:rPr>
          <w:rFonts w:eastAsia="Times New Roman"/>
          <w:szCs w:val="28"/>
          <w:lang w:eastAsia="ru-RU"/>
        </w:rPr>
        <w:t>)</w:t>
      </w:r>
      <w:r w:rsidRPr="00006A39">
        <w:rPr>
          <w:rFonts w:eastAsia="Times New Roman"/>
          <w:szCs w:val="28"/>
          <w:lang w:eastAsia="ru-RU"/>
        </w:rPr>
        <w:t>. Санаторно-курортна допомога надається в дитячих санаторіях та в дитячих відділеннях санаторіїв для дорослих.</w:t>
      </w:r>
    </w:p>
    <w:p w:rsidR="006738F0" w:rsidRPr="00006A39" w:rsidRDefault="006738F0" w:rsidP="00721203">
      <w:pPr>
        <w:pStyle w:val="15"/>
        <w:widowControl w:val="0"/>
        <w:spacing w:after="0" w:line="360" w:lineRule="auto"/>
        <w:ind w:left="0" w:firstLine="708"/>
        <w:jc w:val="both"/>
        <w:rPr>
          <w:rFonts w:ascii="Times New Roman" w:hAnsi="Times New Roman" w:cs="Times New Roman"/>
          <w:sz w:val="28"/>
          <w:szCs w:val="28"/>
        </w:rPr>
      </w:pPr>
      <w:r w:rsidRPr="00006A39">
        <w:rPr>
          <w:rFonts w:ascii="Times New Roman" w:hAnsi="Times New Roman" w:cs="Times New Roman"/>
          <w:sz w:val="28"/>
          <w:szCs w:val="28"/>
        </w:rPr>
        <w:t xml:space="preserve">За даними звітів 2018 року до закладів, що надають  медичну допомогу дітям в Україні, відносилися: Українська спеціалізована лікарня «Охматдит» та 26 обласних дитячих лікарень, 54 міських дитячих лікарні, 4 інфекційні дитячі лікарні, 2 дитячі туберкульозні лікарні, 38 будинків дитини, 96 санаторіїв. </w:t>
      </w:r>
    </w:p>
    <w:p w:rsidR="00FB0783" w:rsidRPr="000C4411" w:rsidRDefault="006738F0" w:rsidP="000C4411">
      <w:pPr>
        <w:pStyle w:val="15"/>
        <w:widowControl w:val="0"/>
        <w:spacing w:after="0" w:line="360" w:lineRule="auto"/>
        <w:ind w:left="0" w:firstLine="709"/>
        <w:jc w:val="both"/>
        <w:rPr>
          <w:rFonts w:ascii="Times New Roman" w:hAnsi="Times New Roman" w:cs="Times New Roman"/>
          <w:sz w:val="28"/>
          <w:szCs w:val="28"/>
        </w:rPr>
      </w:pPr>
      <w:r w:rsidRPr="00006A39">
        <w:rPr>
          <w:rFonts w:ascii="Times New Roman" w:hAnsi="Times New Roman" w:cs="Times New Roman"/>
          <w:sz w:val="28"/>
          <w:szCs w:val="28"/>
        </w:rPr>
        <w:t xml:space="preserve">За 2013-2018 рр. в Україні відбулось скорочення: дитячих поліклінік на 15,6% (з 32 </w:t>
      </w:r>
      <w:r w:rsidR="00CE3632">
        <w:rPr>
          <w:rFonts w:ascii="Times New Roman" w:hAnsi="Times New Roman" w:cs="Times New Roman"/>
          <w:sz w:val="28"/>
          <w:szCs w:val="28"/>
        </w:rPr>
        <w:t xml:space="preserve"> </w:t>
      </w:r>
      <w:r w:rsidRPr="00006A39">
        <w:rPr>
          <w:rFonts w:ascii="Times New Roman" w:hAnsi="Times New Roman" w:cs="Times New Roman"/>
          <w:sz w:val="28"/>
          <w:szCs w:val="28"/>
        </w:rPr>
        <w:t>у 2013 р. до 27 у 2018 р.), дитячих лікарень міського підпорядкування на 38,6% (88 та 54 заклади, відповідно), обласних дитячих лікарень на 6,9% (29 і 27 заклади, відповідно), інфекційн</w:t>
      </w:r>
      <w:r w:rsidR="00CE3632">
        <w:rPr>
          <w:rFonts w:ascii="Times New Roman" w:hAnsi="Times New Roman" w:cs="Times New Roman"/>
          <w:sz w:val="28"/>
          <w:szCs w:val="28"/>
        </w:rPr>
        <w:t xml:space="preserve">их дитячих лікарень на 33,3% (6 </w:t>
      </w:r>
      <w:r w:rsidRPr="00006A39">
        <w:rPr>
          <w:rFonts w:ascii="Times New Roman" w:hAnsi="Times New Roman" w:cs="Times New Roman"/>
          <w:sz w:val="28"/>
          <w:szCs w:val="28"/>
        </w:rPr>
        <w:t>та 4 відповідно), туберкульозних дитячих лікарень на 33,3% (3 і 2 відповідно), будинків дитини на 13,</w:t>
      </w:r>
      <w:r w:rsidR="00EB5CE0">
        <w:rPr>
          <w:rFonts w:ascii="Times New Roman" w:hAnsi="Times New Roman" w:cs="Times New Roman"/>
          <w:sz w:val="28"/>
          <w:szCs w:val="28"/>
        </w:rPr>
        <w:t>6% (44 і 38 відповідно). В</w:t>
      </w:r>
      <w:r w:rsidRPr="00006A39">
        <w:rPr>
          <w:rFonts w:ascii="Times New Roman" w:hAnsi="Times New Roman" w:cs="Times New Roman"/>
          <w:sz w:val="28"/>
          <w:szCs w:val="28"/>
        </w:rPr>
        <w:t xml:space="preserve">ідбулось скорочення структурних підрозділів дитячих ЗОЗ, а саме: </w:t>
      </w:r>
      <w:r w:rsidRPr="00006A39">
        <w:rPr>
          <w:rFonts w:ascii="Times New Roman" w:hAnsi="Times New Roman"/>
          <w:sz w:val="28"/>
          <w:szCs w:val="28"/>
        </w:rPr>
        <w:t>інфекційних кабінетів (на 20,6%), кабінетів лікувальної фізкультури (на 18,2%), ортопедо-травматологічних кабінетів (на 19,1%), дитячих відділень (кабінетів) (на 22,3%)</w:t>
      </w:r>
      <w:r w:rsidR="00EB5CE0">
        <w:rPr>
          <w:rFonts w:ascii="Times New Roman" w:hAnsi="Times New Roman" w:cs="Times New Roman"/>
          <w:sz w:val="28"/>
          <w:szCs w:val="28"/>
        </w:rPr>
        <w:t>. Дані</w:t>
      </w:r>
      <w:r w:rsidRPr="00006A39">
        <w:rPr>
          <w:rFonts w:ascii="Times New Roman" w:hAnsi="Times New Roman" w:cs="Times New Roman"/>
          <w:sz w:val="28"/>
          <w:szCs w:val="28"/>
        </w:rPr>
        <w:t xml:space="preserve"> тенденції пов’язані з поступовим скороченням чисельності дитячого населення в країні та триваючою трансформацією медичної галузі із ПМСД</w:t>
      </w:r>
      <w:r w:rsidR="00611609" w:rsidRPr="00611609">
        <w:rPr>
          <w:rFonts w:ascii="Times New Roman" w:hAnsi="Times New Roman" w:cs="Times New Roman"/>
          <w:sz w:val="28"/>
          <w:szCs w:val="28"/>
        </w:rPr>
        <w:t>,</w:t>
      </w:r>
      <w:r w:rsidR="00724611">
        <w:rPr>
          <w:rFonts w:ascii="Times New Roman" w:hAnsi="Times New Roman" w:cs="Times New Roman"/>
          <w:sz w:val="28"/>
          <w:szCs w:val="28"/>
        </w:rPr>
        <w:t xml:space="preserve"> </w:t>
      </w:r>
      <w:r w:rsidRPr="00006A39">
        <w:rPr>
          <w:rFonts w:ascii="Times New Roman" w:hAnsi="Times New Roman" w:cs="Times New Roman"/>
          <w:sz w:val="28"/>
          <w:szCs w:val="28"/>
        </w:rPr>
        <w:t>та створенням центрів з її надання, а також із впровадженням стаціонарзамінної допомоги, використанням сучасних технологій,  воєнною агресією, тощо</w:t>
      </w:r>
      <w:r w:rsidR="007475D2" w:rsidRPr="007475D2">
        <w:rPr>
          <w:rFonts w:ascii="Times New Roman" w:hAnsi="Times New Roman" w:cs="Times New Roman"/>
          <w:sz w:val="28"/>
          <w:szCs w:val="28"/>
        </w:rPr>
        <w:t xml:space="preserve"> </w:t>
      </w:r>
      <w:r w:rsidR="007475D2">
        <w:rPr>
          <w:rFonts w:ascii="Times New Roman" w:hAnsi="Times New Roman" w:cs="Times New Roman"/>
          <w:sz w:val="28"/>
          <w:szCs w:val="28"/>
        </w:rPr>
        <w:t>(табл.</w:t>
      </w:r>
      <w:r w:rsidR="001338C6">
        <w:rPr>
          <w:rFonts w:ascii="Times New Roman" w:hAnsi="Times New Roman" w:cs="Times New Roman"/>
          <w:sz w:val="28"/>
          <w:szCs w:val="28"/>
        </w:rPr>
        <w:t xml:space="preserve"> </w:t>
      </w:r>
      <w:r w:rsidR="007475D2" w:rsidRPr="000C4411">
        <w:rPr>
          <w:rFonts w:ascii="Times New Roman" w:hAnsi="Times New Roman" w:cs="Times New Roman"/>
          <w:sz w:val="28"/>
          <w:szCs w:val="28"/>
        </w:rPr>
        <w:t>5.1)</w:t>
      </w:r>
      <w:r w:rsidRPr="000C4411">
        <w:rPr>
          <w:rFonts w:ascii="Times New Roman" w:hAnsi="Times New Roman" w:cs="Times New Roman"/>
          <w:sz w:val="28"/>
          <w:szCs w:val="28"/>
        </w:rPr>
        <w:t>.</w:t>
      </w:r>
      <w:r w:rsidR="000C4411">
        <w:rPr>
          <w:rFonts w:ascii="Times New Roman" w:hAnsi="Times New Roman" w:cs="Times New Roman"/>
          <w:sz w:val="28"/>
          <w:szCs w:val="28"/>
        </w:rPr>
        <w:t xml:space="preserve"> </w:t>
      </w:r>
      <w:r w:rsidR="007475D2" w:rsidRPr="000C4411">
        <w:rPr>
          <w:rFonts w:ascii="Times New Roman" w:hAnsi="Times New Roman" w:cs="Times New Roman"/>
          <w:sz w:val="28"/>
          <w:szCs w:val="28"/>
          <w:lang w:eastAsia="ru-RU"/>
        </w:rPr>
        <w:t>За період дослідження (2014-2018</w:t>
      </w:r>
      <w:r w:rsidR="000C4411">
        <w:rPr>
          <w:rFonts w:ascii="Times New Roman" w:hAnsi="Times New Roman" w:cs="Times New Roman"/>
          <w:sz w:val="28"/>
          <w:szCs w:val="28"/>
          <w:lang w:val="en-US" w:eastAsia="ru-RU"/>
        </w:rPr>
        <w:t> </w:t>
      </w:r>
      <w:r w:rsidR="007475D2" w:rsidRPr="000C4411">
        <w:rPr>
          <w:rFonts w:ascii="Times New Roman" w:hAnsi="Times New Roman" w:cs="Times New Roman"/>
          <w:sz w:val="28"/>
          <w:szCs w:val="28"/>
          <w:lang w:eastAsia="ru-RU"/>
        </w:rPr>
        <w:t>рр.) встановлено зменшення частки самостійних закладів загальної пр</w:t>
      </w:r>
      <w:r w:rsidR="007355F8">
        <w:rPr>
          <w:rFonts w:ascii="Times New Roman" w:hAnsi="Times New Roman" w:cs="Times New Roman"/>
          <w:sz w:val="28"/>
          <w:szCs w:val="28"/>
          <w:lang w:eastAsia="ru-RU"/>
        </w:rPr>
        <w:t>актики-сімейної медицини</w:t>
      </w:r>
      <w:r w:rsidR="00D61E08">
        <w:rPr>
          <w:rFonts w:ascii="Times New Roman" w:hAnsi="Times New Roman" w:cs="Times New Roman"/>
          <w:sz w:val="28"/>
          <w:szCs w:val="28"/>
          <w:lang w:eastAsia="ru-RU"/>
        </w:rPr>
        <w:t xml:space="preserve"> на 46,6% та зростання </w:t>
      </w:r>
      <w:r w:rsidR="007475D2" w:rsidRPr="000C4411">
        <w:rPr>
          <w:rFonts w:ascii="Times New Roman" w:hAnsi="Times New Roman" w:cs="Times New Roman"/>
          <w:sz w:val="28"/>
          <w:szCs w:val="28"/>
          <w:lang w:eastAsia="ru-RU"/>
        </w:rPr>
        <w:t>кількості закладів, які мають кабінет сімейного лікаря на 11,7%, що відбулось за рахунок збільшення кількості амбулаторій в 2 рази та інших закладів на 38,7%, на тлі зменшення кількості кабінетів сімейного лікаря, розмі</w:t>
      </w:r>
      <w:r w:rsidR="00D61E08">
        <w:rPr>
          <w:rFonts w:ascii="Times New Roman" w:hAnsi="Times New Roman" w:cs="Times New Roman"/>
          <w:sz w:val="28"/>
          <w:szCs w:val="28"/>
          <w:lang w:eastAsia="ru-RU"/>
        </w:rPr>
        <w:t>щених на базі ЦРЛ (на 69,2%), районних лікарень (</w:t>
      </w:r>
      <w:r w:rsidR="000C4411" w:rsidRPr="000C4411">
        <w:rPr>
          <w:rFonts w:ascii="Times New Roman" w:hAnsi="Times New Roman" w:cs="Times New Roman"/>
          <w:sz w:val="28"/>
          <w:szCs w:val="28"/>
          <w:lang w:eastAsia="ru-RU"/>
        </w:rPr>
        <w:t>РЛ</w:t>
      </w:r>
      <w:r w:rsidR="00D61E08">
        <w:rPr>
          <w:rFonts w:ascii="Times New Roman" w:hAnsi="Times New Roman" w:cs="Times New Roman"/>
          <w:sz w:val="28"/>
          <w:szCs w:val="28"/>
          <w:lang w:eastAsia="ru-RU"/>
        </w:rPr>
        <w:t xml:space="preserve">) </w:t>
      </w:r>
      <w:r w:rsidR="007475D2" w:rsidRPr="000C4411">
        <w:rPr>
          <w:rFonts w:ascii="Times New Roman" w:hAnsi="Times New Roman" w:cs="Times New Roman"/>
          <w:sz w:val="28"/>
          <w:szCs w:val="28"/>
          <w:lang w:eastAsia="ru-RU"/>
        </w:rPr>
        <w:t>(н</w:t>
      </w:r>
      <w:r w:rsidR="000C4411" w:rsidRPr="000C4411">
        <w:rPr>
          <w:rFonts w:ascii="Times New Roman" w:hAnsi="Times New Roman" w:cs="Times New Roman"/>
          <w:sz w:val="28"/>
          <w:szCs w:val="28"/>
          <w:lang w:eastAsia="ru-RU"/>
        </w:rPr>
        <w:t>а 35,5%), дитячих лікарень (ДЛ)</w:t>
      </w:r>
      <w:r w:rsidR="007475D2" w:rsidRPr="000C4411">
        <w:rPr>
          <w:rFonts w:ascii="Times New Roman" w:hAnsi="Times New Roman" w:cs="Times New Roman"/>
          <w:sz w:val="28"/>
          <w:szCs w:val="28"/>
          <w:lang w:eastAsia="ru-RU"/>
        </w:rPr>
        <w:t xml:space="preserve"> (на 94,1%) та міських поліклінік (на 39,6%) (табл.</w:t>
      </w:r>
      <w:r w:rsidR="008E0D54" w:rsidRPr="000C4411">
        <w:rPr>
          <w:rFonts w:ascii="Times New Roman" w:hAnsi="Times New Roman" w:cs="Times New Roman"/>
          <w:sz w:val="28"/>
          <w:szCs w:val="28"/>
          <w:lang w:eastAsia="ru-RU"/>
        </w:rPr>
        <w:t xml:space="preserve"> </w:t>
      </w:r>
      <w:r w:rsidR="007475D2" w:rsidRPr="000C4411">
        <w:rPr>
          <w:rFonts w:ascii="Times New Roman" w:hAnsi="Times New Roman" w:cs="Times New Roman"/>
          <w:sz w:val="28"/>
          <w:szCs w:val="28"/>
          <w:lang w:eastAsia="ru-RU"/>
        </w:rPr>
        <w:t xml:space="preserve">5.2). </w:t>
      </w:r>
    </w:p>
    <w:p w:rsidR="006738F0" w:rsidRPr="00006A39" w:rsidRDefault="006738F0" w:rsidP="00721203">
      <w:pPr>
        <w:pStyle w:val="15"/>
        <w:widowControl w:val="0"/>
        <w:spacing w:after="0" w:line="360" w:lineRule="auto"/>
        <w:ind w:left="450"/>
        <w:jc w:val="right"/>
        <w:rPr>
          <w:rFonts w:ascii="Times New Roman" w:hAnsi="Times New Roman" w:cs="Times New Roman"/>
          <w:b/>
          <w:bCs/>
          <w:i/>
          <w:sz w:val="28"/>
          <w:szCs w:val="28"/>
          <w:lang w:eastAsia="ru-RU"/>
        </w:rPr>
      </w:pPr>
      <w:r w:rsidRPr="00006A39">
        <w:rPr>
          <w:rFonts w:ascii="Times New Roman" w:hAnsi="Times New Roman" w:cs="Times New Roman"/>
          <w:i/>
          <w:sz w:val="28"/>
          <w:szCs w:val="28"/>
          <w:lang w:eastAsia="ru-RU"/>
        </w:rPr>
        <w:lastRenderedPageBreak/>
        <w:t>Таблиця 5.1</w:t>
      </w:r>
      <w:r w:rsidRPr="00006A39">
        <w:rPr>
          <w:rFonts w:ascii="Times New Roman" w:hAnsi="Times New Roman" w:cs="Times New Roman"/>
          <w:bCs/>
          <w:i/>
          <w:sz w:val="28"/>
          <w:szCs w:val="28"/>
          <w:lang w:eastAsia="ru-RU"/>
        </w:rPr>
        <w:t xml:space="preserve"> </w:t>
      </w:r>
    </w:p>
    <w:p w:rsidR="006738F0" w:rsidRPr="00006A39" w:rsidRDefault="006738F0" w:rsidP="00721203">
      <w:pPr>
        <w:pStyle w:val="15"/>
        <w:widowControl w:val="0"/>
        <w:spacing w:after="0" w:line="360" w:lineRule="auto"/>
        <w:ind w:left="450"/>
        <w:jc w:val="center"/>
        <w:rPr>
          <w:rFonts w:ascii="Times New Roman" w:hAnsi="Times New Roman" w:cs="Times New Roman"/>
          <w:sz w:val="28"/>
          <w:szCs w:val="28"/>
        </w:rPr>
      </w:pPr>
      <w:r w:rsidRPr="00006A39">
        <w:rPr>
          <w:rFonts w:ascii="Times New Roman" w:hAnsi="Times New Roman" w:cs="Times New Roman"/>
          <w:b/>
          <w:bCs/>
          <w:sz w:val="28"/>
          <w:szCs w:val="28"/>
          <w:lang w:eastAsia="ru-RU"/>
        </w:rPr>
        <w:t>Динаміка кількості закладів (структурних підрозділів) охорони здоров’я, які надають медичну доп</w:t>
      </w:r>
      <w:r w:rsidR="005B5D1F">
        <w:rPr>
          <w:rFonts w:ascii="Times New Roman" w:hAnsi="Times New Roman" w:cs="Times New Roman"/>
          <w:b/>
          <w:bCs/>
          <w:sz w:val="28"/>
          <w:szCs w:val="28"/>
          <w:lang w:eastAsia="ru-RU"/>
        </w:rPr>
        <w:t>омогу дитячому населенню за 2013</w:t>
      </w:r>
      <w:r w:rsidRPr="00006A39">
        <w:rPr>
          <w:rFonts w:ascii="Times New Roman" w:hAnsi="Times New Roman" w:cs="Times New Roman"/>
          <w:b/>
          <w:bCs/>
          <w:sz w:val="28"/>
          <w:szCs w:val="28"/>
          <w:lang w:eastAsia="ru-RU"/>
        </w:rPr>
        <w:t>–2018 рр.</w:t>
      </w:r>
    </w:p>
    <w:tbl>
      <w:tblPr>
        <w:tblpPr w:leftFromText="180" w:rightFromText="180" w:vertAnchor="text" w:horzAnchor="margin" w:tblpXSpec="center" w:tblpY="4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39"/>
        <w:gridCol w:w="696"/>
        <w:gridCol w:w="868"/>
        <w:gridCol w:w="1129"/>
        <w:gridCol w:w="1049"/>
        <w:gridCol w:w="1129"/>
        <w:gridCol w:w="1144"/>
      </w:tblGrid>
      <w:tr w:rsidR="00FB0783" w:rsidRPr="00006A39" w:rsidTr="00FB0783">
        <w:tc>
          <w:tcPr>
            <w:tcW w:w="3539" w:type="dxa"/>
            <w:shd w:val="clear" w:color="auto" w:fill="auto"/>
            <w:vAlign w:val="center"/>
          </w:tcPr>
          <w:p w:rsidR="006738F0" w:rsidRPr="00006A39" w:rsidRDefault="006738F0" w:rsidP="001F7350">
            <w:pPr>
              <w:widowControl w:val="0"/>
              <w:tabs>
                <w:tab w:val="center" w:pos="4677"/>
                <w:tab w:val="right" w:pos="9355"/>
              </w:tabs>
              <w:spacing w:line="276" w:lineRule="auto"/>
              <w:jc w:val="center"/>
              <w:rPr>
                <w:rFonts w:eastAsia="Times New Roman"/>
                <w:sz w:val="24"/>
                <w:szCs w:val="24"/>
                <w:lang w:eastAsia="ru-RU"/>
              </w:rPr>
            </w:pPr>
            <w:r w:rsidRPr="00006A39">
              <w:rPr>
                <w:rFonts w:eastAsia="Times New Roman"/>
                <w:sz w:val="24"/>
                <w:szCs w:val="24"/>
                <w:lang w:eastAsia="ru-RU"/>
              </w:rPr>
              <w:t>Заклади</w:t>
            </w:r>
          </w:p>
        </w:tc>
        <w:tc>
          <w:tcPr>
            <w:tcW w:w="567" w:type="dxa"/>
            <w:shd w:val="clear" w:color="auto" w:fill="auto"/>
          </w:tcPr>
          <w:p w:rsidR="006738F0" w:rsidRPr="00006A39" w:rsidRDefault="006738F0" w:rsidP="001F7350">
            <w:pPr>
              <w:widowControl w:val="0"/>
              <w:tabs>
                <w:tab w:val="center" w:pos="4677"/>
                <w:tab w:val="right" w:pos="9355"/>
              </w:tabs>
              <w:spacing w:line="276" w:lineRule="auto"/>
              <w:jc w:val="center"/>
              <w:rPr>
                <w:rFonts w:eastAsia="Times New Roman"/>
                <w:sz w:val="24"/>
                <w:szCs w:val="24"/>
                <w:lang w:eastAsia="ru-RU"/>
              </w:rPr>
            </w:pPr>
            <w:r w:rsidRPr="00006A39">
              <w:rPr>
                <w:rFonts w:eastAsia="Times New Roman"/>
                <w:color w:val="000000" w:themeColor="text1"/>
                <w:sz w:val="24"/>
                <w:szCs w:val="24"/>
                <w:lang w:eastAsia="ru-RU"/>
              </w:rPr>
              <w:t xml:space="preserve">2013 </w:t>
            </w:r>
          </w:p>
        </w:tc>
        <w:tc>
          <w:tcPr>
            <w:tcW w:w="868" w:type="dxa"/>
            <w:shd w:val="clear" w:color="auto" w:fill="auto"/>
          </w:tcPr>
          <w:p w:rsidR="006738F0" w:rsidRPr="00006A39" w:rsidRDefault="006738F0" w:rsidP="001F7350">
            <w:pPr>
              <w:widowControl w:val="0"/>
              <w:tabs>
                <w:tab w:val="center" w:pos="4677"/>
                <w:tab w:val="right" w:pos="9355"/>
              </w:tabs>
              <w:spacing w:line="276" w:lineRule="auto"/>
              <w:jc w:val="center"/>
              <w:rPr>
                <w:rFonts w:eastAsia="Times New Roman"/>
                <w:sz w:val="24"/>
                <w:szCs w:val="24"/>
                <w:lang w:eastAsia="ru-RU"/>
              </w:rPr>
            </w:pPr>
            <w:r w:rsidRPr="00006A39">
              <w:rPr>
                <w:rFonts w:eastAsia="Times New Roman"/>
                <w:sz w:val="24"/>
                <w:szCs w:val="24"/>
                <w:lang w:eastAsia="ru-RU"/>
              </w:rPr>
              <w:t xml:space="preserve">2014 </w:t>
            </w:r>
          </w:p>
        </w:tc>
        <w:tc>
          <w:tcPr>
            <w:tcW w:w="1101" w:type="dxa"/>
            <w:shd w:val="clear" w:color="auto" w:fill="auto"/>
          </w:tcPr>
          <w:p w:rsidR="006738F0" w:rsidRPr="00006A39" w:rsidRDefault="006738F0" w:rsidP="001F7350">
            <w:pPr>
              <w:widowControl w:val="0"/>
              <w:tabs>
                <w:tab w:val="center" w:pos="4677"/>
                <w:tab w:val="right" w:pos="9355"/>
              </w:tabs>
              <w:spacing w:line="276" w:lineRule="auto"/>
              <w:jc w:val="center"/>
              <w:rPr>
                <w:rFonts w:eastAsia="Times New Roman"/>
                <w:sz w:val="24"/>
                <w:szCs w:val="24"/>
                <w:lang w:eastAsia="ru-RU"/>
              </w:rPr>
            </w:pPr>
            <w:r w:rsidRPr="00006A39">
              <w:rPr>
                <w:rFonts w:eastAsia="Times New Roman"/>
                <w:sz w:val="24"/>
                <w:szCs w:val="24"/>
                <w:lang w:eastAsia="ru-RU"/>
              </w:rPr>
              <w:t xml:space="preserve">2015 </w:t>
            </w:r>
          </w:p>
        </w:tc>
        <w:tc>
          <w:tcPr>
            <w:tcW w:w="1025" w:type="dxa"/>
            <w:shd w:val="clear" w:color="auto" w:fill="auto"/>
          </w:tcPr>
          <w:p w:rsidR="006738F0" w:rsidRPr="00006A39" w:rsidRDefault="006738F0" w:rsidP="001F7350">
            <w:pPr>
              <w:widowControl w:val="0"/>
              <w:tabs>
                <w:tab w:val="center" w:pos="4677"/>
                <w:tab w:val="right" w:pos="9355"/>
              </w:tabs>
              <w:spacing w:line="276" w:lineRule="auto"/>
              <w:jc w:val="center"/>
              <w:rPr>
                <w:rFonts w:eastAsia="Times New Roman"/>
                <w:sz w:val="24"/>
                <w:szCs w:val="24"/>
                <w:lang w:eastAsia="ru-RU"/>
              </w:rPr>
            </w:pPr>
            <w:r w:rsidRPr="00006A39">
              <w:rPr>
                <w:rFonts w:eastAsia="Times New Roman"/>
                <w:sz w:val="24"/>
                <w:szCs w:val="24"/>
                <w:lang w:eastAsia="ru-RU"/>
              </w:rPr>
              <w:t xml:space="preserve">2016 </w:t>
            </w:r>
          </w:p>
        </w:tc>
        <w:tc>
          <w:tcPr>
            <w:tcW w:w="1101" w:type="dxa"/>
            <w:shd w:val="clear" w:color="auto" w:fill="auto"/>
          </w:tcPr>
          <w:p w:rsidR="006738F0" w:rsidRPr="00006A39" w:rsidRDefault="006738F0" w:rsidP="001F7350">
            <w:pPr>
              <w:widowControl w:val="0"/>
              <w:tabs>
                <w:tab w:val="center" w:pos="4677"/>
                <w:tab w:val="right" w:pos="9355"/>
              </w:tabs>
              <w:spacing w:line="276" w:lineRule="auto"/>
              <w:jc w:val="center"/>
              <w:rPr>
                <w:rFonts w:eastAsia="Times New Roman"/>
                <w:sz w:val="24"/>
                <w:szCs w:val="24"/>
                <w:lang w:eastAsia="ru-RU"/>
              </w:rPr>
            </w:pPr>
            <w:r w:rsidRPr="00006A39">
              <w:rPr>
                <w:rFonts w:eastAsia="Times New Roman"/>
                <w:sz w:val="24"/>
                <w:szCs w:val="24"/>
                <w:lang w:eastAsia="ru-RU"/>
              </w:rPr>
              <w:t xml:space="preserve">2017 </w:t>
            </w:r>
          </w:p>
        </w:tc>
        <w:tc>
          <w:tcPr>
            <w:tcW w:w="1144" w:type="dxa"/>
          </w:tcPr>
          <w:p w:rsidR="006738F0" w:rsidRPr="00006A39" w:rsidRDefault="006738F0" w:rsidP="001F7350">
            <w:pPr>
              <w:widowControl w:val="0"/>
              <w:tabs>
                <w:tab w:val="center" w:pos="4677"/>
                <w:tab w:val="right" w:pos="9355"/>
              </w:tabs>
              <w:spacing w:line="276" w:lineRule="auto"/>
              <w:jc w:val="center"/>
              <w:rPr>
                <w:rFonts w:eastAsia="Times New Roman"/>
                <w:sz w:val="24"/>
                <w:szCs w:val="24"/>
                <w:lang w:eastAsia="ru-RU"/>
              </w:rPr>
            </w:pPr>
            <w:r w:rsidRPr="00006A39">
              <w:rPr>
                <w:rFonts w:eastAsia="Times New Roman"/>
                <w:sz w:val="24"/>
                <w:szCs w:val="24"/>
                <w:lang w:eastAsia="ru-RU"/>
              </w:rPr>
              <w:t>2018</w:t>
            </w:r>
          </w:p>
        </w:tc>
      </w:tr>
      <w:tr w:rsidR="00FB0783" w:rsidRPr="00006A39" w:rsidTr="00FB0783">
        <w:tc>
          <w:tcPr>
            <w:tcW w:w="3539" w:type="dxa"/>
            <w:shd w:val="clear" w:color="auto" w:fill="auto"/>
          </w:tcPr>
          <w:p w:rsidR="006738F0" w:rsidRPr="00006A39" w:rsidRDefault="006738F0" w:rsidP="001F7350">
            <w:pPr>
              <w:widowControl w:val="0"/>
              <w:tabs>
                <w:tab w:val="center" w:pos="4677"/>
                <w:tab w:val="right" w:pos="9355"/>
              </w:tabs>
              <w:spacing w:line="276" w:lineRule="auto"/>
              <w:rPr>
                <w:rFonts w:eastAsia="Times New Roman"/>
                <w:sz w:val="24"/>
                <w:szCs w:val="24"/>
                <w:lang w:eastAsia="ru-RU"/>
              </w:rPr>
            </w:pPr>
            <w:r w:rsidRPr="00006A39">
              <w:rPr>
                <w:rFonts w:eastAsia="Times New Roman"/>
                <w:sz w:val="24"/>
                <w:szCs w:val="24"/>
                <w:lang w:eastAsia="ru-RU"/>
              </w:rPr>
              <w:t>Самостійні дитячі поліклініки</w:t>
            </w:r>
          </w:p>
        </w:tc>
        <w:tc>
          <w:tcPr>
            <w:tcW w:w="567" w:type="dxa"/>
            <w:shd w:val="clear" w:color="auto" w:fill="auto"/>
          </w:tcPr>
          <w:p w:rsidR="006738F0" w:rsidRPr="00006A39" w:rsidRDefault="006738F0" w:rsidP="001F7350">
            <w:pPr>
              <w:widowControl w:val="0"/>
              <w:tabs>
                <w:tab w:val="center" w:pos="4677"/>
                <w:tab w:val="right" w:pos="9355"/>
              </w:tabs>
              <w:spacing w:line="276" w:lineRule="auto"/>
              <w:jc w:val="center"/>
              <w:rPr>
                <w:rFonts w:eastAsia="Times New Roman"/>
                <w:sz w:val="24"/>
                <w:szCs w:val="24"/>
                <w:lang w:eastAsia="ru-RU"/>
              </w:rPr>
            </w:pPr>
            <w:r w:rsidRPr="00006A39">
              <w:rPr>
                <w:rFonts w:eastAsia="Times New Roman"/>
                <w:sz w:val="24"/>
                <w:szCs w:val="24"/>
                <w:lang w:eastAsia="ru-RU"/>
              </w:rPr>
              <w:t>32</w:t>
            </w:r>
          </w:p>
        </w:tc>
        <w:tc>
          <w:tcPr>
            <w:tcW w:w="868" w:type="dxa"/>
            <w:shd w:val="clear" w:color="auto" w:fill="auto"/>
          </w:tcPr>
          <w:p w:rsidR="006738F0" w:rsidRPr="00006A39" w:rsidRDefault="006738F0" w:rsidP="001F7350">
            <w:pPr>
              <w:widowControl w:val="0"/>
              <w:tabs>
                <w:tab w:val="center" w:pos="4677"/>
                <w:tab w:val="right" w:pos="9355"/>
              </w:tabs>
              <w:spacing w:line="276" w:lineRule="auto"/>
              <w:jc w:val="center"/>
              <w:rPr>
                <w:rFonts w:eastAsia="Times New Roman"/>
                <w:sz w:val="24"/>
                <w:szCs w:val="24"/>
                <w:lang w:eastAsia="ru-RU"/>
              </w:rPr>
            </w:pPr>
            <w:r w:rsidRPr="00006A39">
              <w:rPr>
                <w:rFonts w:eastAsia="Times New Roman"/>
                <w:sz w:val="24"/>
                <w:szCs w:val="24"/>
                <w:lang w:eastAsia="ru-RU"/>
              </w:rPr>
              <w:t>29</w:t>
            </w:r>
          </w:p>
        </w:tc>
        <w:tc>
          <w:tcPr>
            <w:tcW w:w="1101" w:type="dxa"/>
            <w:shd w:val="clear" w:color="auto" w:fill="auto"/>
          </w:tcPr>
          <w:p w:rsidR="006738F0" w:rsidRPr="00006A39" w:rsidRDefault="006738F0" w:rsidP="001F7350">
            <w:pPr>
              <w:widowControl w:val="0"/>
              <w:tabs>
                <w:tab w:val="center" w:pos="4677"/>
                <w:tab w:val="right" w:pos="9355"/>
              </w:tabs>
              <w:spacing w:line="276" w:lineRule="auto"/>
              <w:jc w:val="center"/>
              <w:rPr>
                <w:rFonts w:eastAsia="Times New Roman"/>
                <w:sz w:val="24"/>
                <w:szCs w:val="24"/>
                <w:lang w:eastAsia="ru-RU"/>
              </w:rPr>
            </w:pPr>
            <w:r w:rsidRPr="00006A39">
              <w:rPr>
                <w:rFonts w:eastAsia="Times New Roman"/>
                <w:sz w:val="24"/>
                <w:szCs w:val="24"/>
                <w:lang w:eastAsia="ru-RU"/>
              </w:rPr>
              <w:t>28 (+1КДЦ)</w:t>
            </w:r>
          </w:p>
        </w:tc>
        <w:tc>
          <w:tcPr>
            <w:tcW w:w="1025" w:type="dxa"/>
            <w:shd w:val="clear" w:color="auto" w:fill="auto"/>
          </w:tcPr>
          <w:p w:rsidR="006738F0" w:rsidRPr="00006A39" w:rsidRDefault="006738F0" w:rsidP="001F7350">
            <w:pPr>
              <w:widowControl w:val="0"/>
              <w:tabs>
                <w:tab w:val="center" w:pos="4677"/>
                <w:tab w:val="right" w:pos="9355"/>
              </w:tabs>
              <w:spacing w:line="276" w:lineRule="auto"/>
              <w:jc w:val="center"/>
              <w:rPr>
                <w:rFonts w:eastAsia="Times New Roman"/>
                <w:sz w:val="24"/>
                <w:szCs w:val="24"/>
                <w:lang w:eastAsia="ru-RU"/>
              </w:rPr>
            </w:pPr>
            <w:r w:rsidRPr="00006A39">
              <w:rPr>
                <w:rFonts w:eastAsia="Times New Roman"/>
                <w:sz w:val="24"/>
                <w:szCs w:val="24"/>
                <w:lang w:eastAsia="ru-RU"/>
              </w:rPr>
              <w:t>28 (+1КДЦ</w:t>
            </w:r>
          </w:p>
        </w:tc>
        <w:tc>
          <w:tcPr>
            <w:tcW w:w="1101" w:type="dxa"/>
            <w:shd w:val="clear" w:color="auto" w:fill="auto"/>
          </w:tcPr>
          <w:p w:rsidR="006738F0" w:rsidRPr="00006A39" w:rsidRDefault="006738F0" w:rsidP="001F7350">
            <w:pPr>
              <w:widowControl w:val="0"/>
              <w:tabs>
                <w:tab w:val="center" w:pos="4677"/>
                <w:tab w:val="right" w:pos="9355"/>
              </w:tabs>
              <w:spacing w:line="276" w:lineRule="auto"/>
              <w:jc w:val="center"/>
              <w:rPr>
                <w:rFonts w:eastAsia="Times New Roman"/>
                <w:sz w:val="24"/>
                <w:szCs w:val="24"/>
                <w:lang w:eastAsia="ru-RU"/>
              </w:rPr>
            </w:pPr>
            <w:r w:rsidRPr="00006A39">
              <w:rPr>
                <w:rFonts w:eastAsia="Times New Roman"/>
                <w:sz w:val="24"/>
                <w:szCs w:val="24"/>
                <w:lang w:eastAsia="ru-RU"/>
              </w:rPr>
              <w:t>28 (+1КДЦ)</w:t>
            </w:r>
          </w:p>
        </w:tc>
        <w:tc>
          <w:tcPr>
            <w:tcW w:w="1144" w:type="dxa"/>
          </w:tcPr>
          <w:p w:rsidR="006738F0" w:rsidRPr="00006A39" w:rsidRDefault="006738F0" w:rsidP="001F7350">
            <w:pPr>
              <w:widowControl w:val="0"/>
              <w:spacing w:line="276" w:lineRule="auto"/>
              <w:jc w:val="center"/>
              <w:rPr>
                <w:sz w:val="24"/>
                <w:szCs w:val="24"/>
              </w:rPr>
            </w:pPr>
            <w:r w:rsidRPr="00006A39">
              <w:rPr>
                <w:sz w:val="24"/>
                <w:szCs w:val="24"/>
              </w:rPr>
              <w:t>27 (+1КДЦ)</w:t>
            </w:r>
          </w:p>
        </w:tc>
      </w:tr>
      <w:tr w:rsidR="00FB0783" w:rsidRPr="00006A39" w:rsidTr="00FB0783">
        <w:tc>
          <w:tcPr>
            <w:tcW w:w="3539" w:type="dxa"/>
            <w:shd w:val="clear" w:color="auto" w:fill="auto"/>
          </w:tcPr>
          <w:p w:rsidR="006738F0" w:rsidRPr="00006A39" w:rsidRDefault="006738F0" w:rsidP="001F7350">
            <w:pPr>
              <w:widowControl w:val="0"/>
              <w:tabs>
                <w:tab w:val="left" w:pos="0"/>
                <w:tab w:val="center" w:pos="4677"/>
                <w:tab w:val="right" w:pos="9355"/>
              </w:tabs>
              <w:autoSpaceDE w:val="0"/>
              <w:autoSpaceDN w:val="0"/>
              <w:adjustRightInd w:val="0"/>
              <w:spacing w:line="276" w:lineRule="auto"/>
              <w:rPr>
                <w:sz w:val="24"/>
                <w:szCs w:val="24"/>
              </w:rPr>
            </w:pPr>
            <w:r w:rsidRPr="00006A39">
              <w:rPr>
                <w:sz w:val="24"/>
                <w:szCs w:val="24"/>
              </w:rPr>
              <w:t>Інфекційні кабінети для дітей</w:t>
            </w:r>
          </w:p>
        </w:tc>
        <w:tc>
          <w:tcPr>
            <w:tcW w:w="567" w:type="dxa"/>
            <w:shd w:val="clear" w:color="auto" w:fill="auto"/>
          </w:tcPr>
          <w:p w:rsidR="006738F0" w:rsidRPr="00006A39" w:rsidRDefault="006738F0" w:rsidP="001F7350">
            <w:pPr>
              <w:widowControl w:val="0"/>
              <w:tabs>
                <w:tab w:val="center" w:pos="4677"/>
                <w:tab w:val="right" w:pos="9355"/>
              </w:tabs>
              <w:spacing w:line="276" w:lineRule="auto"/>
              <w:jc w:val="center"/>
              <w:rPr>
                <w:rFonts w:eastAsia="Times New Roman"/>
                <w:sz w:val="24"/>
                <w:szCs w:val="24"/>
                <w:lang w:eastAsia="ru-RU"/>
              </w:rPr>
            </w:pPr>
            <w:r w:rsidRPr="00006A39">
              <w:rPr>
                <w:rFonts w:eastAsia="Times New Roman"/>
                <w:sz w:val="24"/>
                <w:szCs w:val="24"/>
                <w:lang w:eastAsia="ru-RU"/>
              </w:rPr>
              <w:t>253</w:t>
            </w:r>
          </w:p>
        </w:tc>
        <w:tc>
          <w:tcPr>
            <w:tcW w:w="868" w:type="dxa"/>
            <w:shd w:val="clear" w:color="auto" w:fill="auto"/>
          </w:tcPr>
          <w:p w:rsidR="006738F0" w:rsidRPr="00006A39" w:rsidRDefault="006738F0" w:rsidP="001F7350">
            <w:pPr>
              <w:widowControl w:val="0"/>
              <w:tabs>
                <w:tab w:val="center" w:pos="4677"/>
                <w:tab w:val="right" w:pos="9355"/>
              </w:tabs>
              <w:spacing w:line="276" w:lineRule="auto"/>
              <w:jc w:val="center"/>
              <w:rPr>
                <w:rFonts w:eastAsia="Times New Roman"/>
                <w:sz w:val="24"/>
                <w:szCs w:val="24"/>
                <w:lang w:eastAsia="ru-RU"/>
              </w:rPr>
            </w:pPr>
            <w:r w:rsidRPr="00006A39">
              <w:rPr>
                <w:rFonts w:eastAsia="Times New Roman"/>
                <w:sz w:val="24"/>
                <w:szCs w:val="24"/>
                <w:lang w:eastAsia="ru-RU"/>
              </w:rPr>
              <w:t>210</w:t>
            </w:r>
          </w:p>
        </w:tc>
        <w:tc>
          <w:tcPr>
            <w:tcW w:w="1101" w:type="dxa"/>
            <w:shd w:val="clear" w:color="auto" w:fill="auto"/>
          </w:tcPr>
          <w:p w:rsidR="006738F0" w:rsidRPr="00006A39" w:rsidRDefault="006738F0" w:rsidP="001F7350">
            <w:pPr>
              <w:widowControl w:val="0"/>
              <w:tabs>
                <w:tab w:val="center" w:pos="4677"/>
                <w:tab w:val="right" w:pos="9355"/>
              </w:tabs>
              <w:spacing w:line="276" w:lineRule="auto"/>
              <w:jc w:val="center"/>
              <w:rPr>
                <w:rFonts w:eastAsia="Times New Roman"/>
                <w:sz w:val="24"/>
                <w:szCs w:val="24"/>
                <w:lang w:eastAsia="ru-RU"/>
              </w:rPr>
            </w:pPr>
            <w:r w:rsidRPr="00006A39">
              <w:rPr>
                <w:rFonts w:eastAsia="Times New Roman"/>
                <w:sz w:val="24"/>
                <w:szCs w:val="24"/>
                <w:lang w:eastAsia="ru-RU"/>
              </w:rPr>
              <w:t>204</w:t>
            </w:r>
          </w:p>
        </w:tc>
        <w:tc>
          <w:tcPr>
            <w:tcW w:w="1025" w:type="dxa"/>
            <w:shd w:val="clear" w:color="auto" w:fill="auto"/>
          </w:tcPr>
          <w:p w:rsidR="006738F0" w:rsidRPr="00006A39" w:rsidRDefault="006738F0" w:rsidP="001F7350">
            <w:pPr>
              <w:widowControl w:val="0"/>
              <w:tabs>
                <w:tab w:val="center" w:pos="4677"/>
                <w:tab w:val="right" w:pos="9355"/>
              </w:tabs>
              <w:spacing w:line="276" w:lineRule="auto"/>
              <w:jc w:val="center"/>
              <w:rPr>
                <w:rFonts w:eastAsia="Times New Roman"/>
                <w:sz w:val="24"/>
                <w:szCs w:val="24"/>
                <w:lang w:eastAsia="ru-RU"/>
              </w:rPr>
            </w:pPr>
            <w:r w:rsidRPr="00006A39">
              <w:rPr>
                <w:rFonts w:eastAsia="Times New Roman"/>
                <w:sz w:val="24"/>
                <w:szCs w:val="24"/>
                <w:lang w:eastAsia="ru-RU"/>
              </w:rPr>
              <w:t>197</w:t>
            </w:r>
          </w:p>
        </w:tc>
        <w:tc>
          <w:tcPr>
            <w:tcW w:w="1101" w:type="dxa"/>
            <w:shd w:val="clear" w:color="auto" w:fill="auto"/>
          </w:tcPr>
          <w:p w:rsidR="006738F0" w:rsidRPr="00006A39" w:rsidRDefault="006738F0" w:rsidP="001F7350">
            <w:pPr>
              <w:widowControl w:val="0"/>
              <w:tabs>
                <w:tab w:val="center" w:pos="4677"/>
                <w:tab w:val="right" w:pos="9355"/>
              </w:tabs>
              <w:spacing w:line="276" w:lineRule="auto"/>
              <w:jc w:val="center"/>
              <w:rPr>
                <w:rFonts w:eastAsia="Times New Roman"/>
                <w:sz w:val="24"/>
                <w:szCs w:val="24"/>
                <w:lang w:eastAsia="ru-RU"/>
              </w:rPr>
            </w:pPr>
            <w:r w:rsidRPr="00006A39">
              <w:rPr>
                <w:rFonts w:eastAsia="Times New Roman"/>
                <w:sz w:val="24"/>
                <w:szCs w:val="24"/>
                <w:lang w:eastAsia="ru-RU"/>
              </w:rPr>
              <w:t>202</w:t>
            </w:r>
          </w:p>
        </w:tc>
        <w:tc>
          <w:tcPr>
            <w:tcW w:w="1144" w:type="dxa"/>
          </w:tcPr>
          <w:p w:rsidR="006738F0" w:rsidRPr="00006A39" w:rsidRDefault="006738F0" w:rsidP="001F7350">
            <w:pPr>
              <w:widowControl w:val="0"/>
              <w:spacing w:line="276" w:lineRule="auto"/>
              <w:jc w:val="center"/>
              <w:rPr>
                <w:sz w:val="24"/>
                <w:szCs w:val="24"/>
              </w:rPr>
            </w:pPr>
            <w:r w:rsidRPr="00006A39">
              <w:rPr>
                <w:sz w:val="24"/>
                <w:szCs w:val="24"/>
              </w:rPr>
              <w:t>201</w:t>
            </w:r>
          </w:p>
        </w:tc>
      </w:tr>
      <w:tr w:rsidR="00FB0783" w:rsidRPr="00006A39" w:rsidTr="00FB0783">
        <w:tc>
          <w:tcPr>
            <w:tcW w:w="3539" w:type="dxa"/>
            <w:shd w:val="clear" w:color="auto" w:fill="auto"/>
          </w:tcPr>
          <w:p w:rsidR="006738F0" w:rsidRPr="00006A39" w:rsidRDefault="006738F0" w:rsidP="001F7350">
            <w:pPr>
              <w:widowControl w:val="0"/>
              <w:tabs>
                <w:tab w:val="left" w:pos="0"/>
                <w:tab w:val="center" w:pos="4677"/>
                <w:tab w:val="right" w:pos="9355"/>
              </w:tabs>
              <w:autoSpaceDE w:val="0"/>
              <w:autoSpaceDN w:val="0"/>
              <w:adjustRightInd w:val="0"/>
              <w:spacing w:line="276" w:lineRule="auto"/>
              <w:rPr>
                <w:rFonts w:eastAsia="Times New Roman"/>
                <w:sz w:val="24"/>
                <w:szCs w:val="24"/>
                <w:lang w:eastAsia="ru-RU"/>
              </w:rPr>
            </w:pPr>
            <w:r w:rsidRPr="00006A39">
              <w:rPr>
                <w:rFonts w:eastAsia="Times New Roman"/>
                <w:color w:val="000000" w:themeColor="text1"/>
                <w:sz w:val="24"/>
                <w:szCs w:val="24"/>
                <w:lang w:eastAsia="ru-RU"/>
              </w:rPr>
              <w:t>Ортопедо-травматологічні</w:t>
            </w:r>
            <w:r w:rsidR="00FB0783" w:rsidRPr="00006A39">
              <w:rPr>
                <w:rFonts w:eastAsia="Times New Roman"/>
                <w:color w:val="000000" w:themeColor="text1"/>
                <w:sz w:val="24"/>
                <w:szCs w:val="24"/>
                <w:lang w:eastAsia="ru-RU"/>
              </w:rPr>
              <w:t xml:space="preserve"> </w:t>
            </w:r>
            <w:r w:rsidRPr="00006A39">
              <w:rPr>
                <w:rFonts w:eastAsia="Times New Roman"/>
                <w:color w:val="000000" w:themeColor="text1"/>
                <w:sz w:val="24"/>
                <w:szCs w:val="24"/>
                <w:lang w:eastAsia="ru-RU"/>
              </w:rPr>
              <w:t xml:space="preserve"> кабінети </w:t>
            </w:r>
            <w:r w:rsidRPr="00006A39">
              <w:rPr>
                <w:rFonts w:eastAsia="Times New Roman"/>
                <w:sz w:val="24"/>
                <w:szCs w:val="24"/>
                <w:lang w:eastAsia="ru-RU"/>
              </w:rPr>
              <w:t>для дітей</w:t>
            </w:r>
          </w:p>
        </w:tc>
        <w:tc>
          <w:tcPr>
            <w:tcW w:w="567" w:type="dxa"/>
            <w:shd w:val="clear" w:color="auto" w:fill="auto"/>
          </w:tcPr>
          <w:p w:rsidR="006738F0" w:rsidRPr="00006A39" w:rsidRDefault="006738F0" w:rsidP="001F7350">
            <w:pPr>
              <w:widowControl w:val="0"/>
              <w:tabs>
                <w:tab w:val="center" w:pos="4677"/>
                <w:tab w:val="right" w:pos="9355"/>
              </w:tabs>
              <w:spacing w:line="276" w:lineRule="auto"/>
              <w:jc w:val="center"/>
              <w:rPr>
                <w:rFonts w:eastAsia="Times New Roman"/>
                <w:sz w:val="24"/>
                <w:szCs w:val="24"/>
                <w:lang w:eastAsia="ru-RU"/>
              </w:rPr>
            </w:pPr>
            <w:r w:rsidRPr="00006A39">
              <w:rPr>
                <w:rFonts w:eastAsia="Times New Roman"/>
                <w:sz w:val="24"/>
                <w:szCs w:val="24"/>
                <w:lang w:eastAsia="ru-RU"/>
              </w:rPr>
              <w:t>251</w:t>
            </w:r>
          </w:p>
        </w:tc>
        <w:tc>
          <w:tcPr>
            <w:tcW w:w="868" w:type="dxa"/>
            <w:shd w:val="clear" w:color="auto" w:fill="auto"/>
          </w:tcPr>
          <w:p w:rsidR="006738F0" w:rsidRPr="00006A39" w:rsidRDefault="006738F0" w:rsidP="001F7350">
            <w:pPr>
              <w:widowControl w:val="0"/>
              <w:tabs>
                <w:tab w:val="center" w:pos="4677"/>
                <w:tab w:val="right" w:pos="9355"/>
              </w:tabs>
              <w:spacing w:line="276" w:lineRule="auto"/>
              <w:jc w:val="center"/>
              <w:rPr>
                <w:rFonts w:eastAsia="Times New Roman"/>
                <w:sz w:val="24"/>
                <w:szCs w:val="24"/>
                <w:lang w:eastAsia="ru-RU"/>
              </w:rPr>
            </w:pPr>
            <w:r w:rsidRPr="00006A39">
              <w:rPr>
                <w:rFonts w:eastAsia="Times New Roman"/>
                <w:sz w:val="24"/>
                <w:szCs w:val="24"/>
                <w:lang w:eastAsia="ru-RU"/>
              </w:rPr>
              <w:t>204</w:t>
            </w:r>
          </w:p>
        </w:tc>
        <w:tc>
          <w:tcPr>
            <w:tcW w:w="1101" w:type="dxa"/>
            <w:shd w:val="clear" w:color="auto" w:fill="auto"/>
          </w:tcPr>
          <w:p w:rsidR="006738F0" w:rsidRPr="00006A39" w:rsidRDefault="006738F0" w:rsidP="001F7350">
            <w:pPr>
              <w:widowControl w:val="0"/>
              <w:tabs>
                <w:tab w:val="center" w:pos="4677"/>
                <w:tab w:val="right" w:pos="9355"/>
              </w:tabs>
              <w:spacing w:line="276" w:lineRule="auto"/>
              <w:jc w:val="center"/>
              <w:rPr>
                <w:rFonts w:eastAsia="Times New Roman"/>
                <w:sz w:val="24"/>
                <w:szCs w:val="24"/>
                <w:lang w:eastAsia="ru-RU"/>
              </w:rPr>
            </w:pPr>
            <w:r w:rsidRPr="00006A39">
              <w:rPr>
                <w:rFonts w:eastAsia="Times New Roman"/>
                <w:sz w:val="24"/>
                <w:szCs w:val="24"/>
                <w:lang w:eastAsia="ru-RU"/>
              </w:rPr>
              <w:t>216</w:t>
            </w:r>
          </w:p>
        </w:tc>
        <w:tc>
          <w:tcPr>
            <w:tcW w:w="1025" w:type="dxa"/>
            <w:shd w:val="clear" w:color="auto" w:fill="auto"/>
          </w:tcPr>
          <w:p w:rsidR="006738F0" w:rsidRPr="00006A39" w:rsidRDefault="006738F0" w:rsidP="001F7350">
            <w:pPr>
              <w:widowControl w:val="0"/>
              <w:tabs>
                <w:tab w:val="center" w:pos="4677"/>
                <w:tab w:val="right" w:pos="9355"/>
              </w:tabs>
              <w:spacing w:line="276" w:lineRule="auto"/>
              <w:jc w:val="center"/>
              <w:rPr>
                <w:rFonts w:eastAsia="Times New Roman"/>
                <w:sz w:val="24"/>
                <w:szCs w:val="24"/>
                <w:lang w:eastAsia="ru-RU"/>
              </w:rPr>
            </w:pPr>
            <w:r w:rsidRPr="00006A39">
              <w:rPr>
                <w:rFonts w:eastAsia="Times New Roman"/>
                <w:sz w:val="24"/>
                <w:szCs w:val="24"/>
                <w:lang w:eastAsia="ru-RU"/>
              </w:rPr>
              <w:t>211</w:t>
            </w:r>
          </w:p>
        </w:tc>
        <w:tc>
          <w:tcPr>
            <w:tcW w:w="1101" w:type="dxa"/>
            <w:shd w:val="clear" w:color="auto" w:fill="auto"/>
          </w:tcPr>
          <w:p w:rsidR="006738F0" w:rsidRPr="00006A39" w:rsidRDefault="006738F0" w:rsidP="001F7350">
            <w:pPr>
              <w:widowControl w:val="0"/>
              <w:tabs>
                <w:tab w:val="center" w:pos="4677"/>
                <w:tab w:val="right" w:pos="9355"/>
              </w:tabs>
              <w:spacing w:line="276" w:lineRule="auto"/>
              <w:jc w:val="center"/>
              <w:rPr>
                <w:rFonts w:eastAsia="Times New Roman"/>
                <w:sz w:val="24"/>
                <w:szCs w:val="24"/>
                <w:lang w:eastAsia="ru-RU"/>
              </w:rPr>
            </w:pPr>
            <w:r w:rsidRPr="00006A39">
              <w:rPr>
                <w:rFonts w:eastAsia="Times New Roman"/>
                <w:sz w:val="24"/>
                <w:szCs w:val="24"/>
                <w:lang w:eastAsia="ru-RU"/>
              </w:rPr>
              <w:t>209</w:t>
            </w:r>
          </w:p>
        </w:tc>
        <w:tc>
          <w:tcPr>
            <w:tcW w:w="1144" w:type="dxa"/>
          </w:tcPr>
          <w:p w:rsidR="006738F0" w:rsidRPr="00006A39" w:rsidRDefault="006738F0" w:rsidP="001F7350">
            <w:pPr>
              <w:widowControl w:val="0"/>
              <w:spacing w:line="276" w:lineRule="auto"/>
              <w:jc w:val="center"/>
              <w:rPr>
                <w:sz w:val="24"/>
                <w:szCs w:val="24"/>
              </w:rPr>
            </w:pPr>
            <w:r w:rsidRPr="00006A39">
              <w:rPr>
                <w:sz w:val="24"/>
                <w:szCs w:val="24"/>
              </w:rPr>
              <w:t>203</w:t>
            </w:r>
          </w:p>
        </w:tc>
      </w:tr>
      <w:tr w:rsidR="00FB0783" w:rsidRPr="00006A39" w:rsidTr="00FB0783">
        <w:trPr>
          <w:trHeight w:val="324"/>
        </w:trPr>
        <w:tc>
          <w:tcPr>
            <w:tcW w:w="3539" w:type="dxa"/>
            <w:shd w:val="clear" w:color="auto" w:fill="auto"/>
          </w:tcPr>
          <w:p w:rsidR="006738F0" w:rsidRPr="00006A39" w:rsidRDefault="006738F0" w:rsidP="001F7350">
            <w:pPr>
              <w:widowControl w:val="0"/>
              <w:tabs>
                <w:tab w:val="left" w:pos="0"/>
                <w:tab w:val="center" w:pos="4677"/>
                <w:tab w:val="right" w:pos="9355"/>
              </w:tabs>
              <w:autoSpaceDE w:val="0"/>
              <w:autoSpaceDN w:val="0"/>
              <w:adjustRightInd w:val="0"/>
              <w:spacing w:line="276" w:lineRule="auto"/>
              <w:rPr>
                <w:rFonts w:eastAsia="Times New Roman"/>
                <w:sz w:val="24"/>
                <w:szCs w:val="24"/>
                <w:lang w:eastAsia="ru-RU"/>
              </w:rPr>
            </w:pPr>
            <w:r w:rsidRPr="00006A39">
              <w:rPr>
                <w:rFonts w:eastAsia="Times New Roman"/>
                <w:sz w:val="24"/>
                <w:szCs w:val="24"/>
                <w:lang w:eastAsia="ru-RU"/>
              </w:rPr>
              <w:t>Дитячі відділення (кабінети)</w:t>
            </w:r>
          </w:p>
        </w:tc>
        <w:tc>
          <w:tcPr>
            <w:tcW w:w="567" w:type="dxa"/>
            <w:shd w:val="clear" w:color="auto" w:fill="auto"/>
          </w:tcPr>
          <w:p w:rsidR="006738F0" w:rsidRPr="00006A39" w:rsidRDefault="006738F0" w:rsidP="001F7350">
            <w:pPr>
              <w:widowControl w:val="0"/>
              <w:tabs>
                <w:tab w:val="center" w:pos="4677"/>
                <w:tab w:val="right" w:pos="9355"/>
              </w:tabs>
              <w:spacing w:line="276" w:lineRule="auto"/>
              <w:jc w:val="center"/>
              <w:rPr>
                <w:rFonts w:eastAsia="Times New Roman"/>
                <w:sz w:val="24"/>
                <w:szCs w:val="24"/>
                <w:lang w:eastAsia="ru-RU"/>
              </w:rPr>
            </w:pPr>
            <w:r w:rsidRPr="00006A39">
              <w:rPr>
                <w:rFonts w:eastAsia="Times New Roman"/>
                <w:sz w:val="24"/>
                <w:szCs w:val="24"/>
                <w:lang w:eastAsia="ru-RU"/>
              </w:rPr>
              <w:t>1349</w:t>
            </w:r>
          </w:p>
        </w:tc>
        <w:tc>
          <w:tcPr>
            <w:tcW w:w="868" w:type="dxa"/>
            <w:shd w:val="clear" w:color="auto" w:fill="auto"/>
          </w:tcPr>
          <w:p w:rsidR="006738F0" w:rsidRPr="00006A39" w:rsidRDefault="006738F0" w:rsidP="001F7350">
            <w:pPr>
              <w:widowControl w:val="0"/>
              <w:tabs>
                <w:tab w:val="center" w:pos="4677"/>
                <w:tab w:val="right" w:pos="9355"/>
              </w:tabs>
              <w:spacing w:line="276" w:lineRule="auto"/>
              <w:jc w:val="center"/>
              <w:rPr>
                <w:rFonts w:eastAsia="Times New Roman"/>
                <w:sz w:val="24"/>
                <w:szCs w:val="24"/>
                <w:lang w:eastAsia="ru-RU"/>
              </w:rPr>
            </w:pPr>
            <w:r w:rsidRPr="00006A39">
              <w:rPr>
                <w:rFonts w:eastAsia="Times New Roman"/>
                <w:sz w:val="24"/>
                <w:szCs w:val="24"/>
                <w:lang w:eastAsia="ru-RU"/>
              </w:rPr>
              <w:t>1053</w:t>
            </w:r>
          </w:p>
        </w:tc>
        <w:tc>
          <w:tcPr>
            <w:tcW w:w="1101" w:type="dxa"/>
            <w:shd w:val="clear" w:color="auto" w:fill="auto"/>
          </w:tcPr>
          <w:p w:rsidR="006738F0" w:rsidRPr="00006A39" w:rsidRDefault="006738F0" w:rsidP="001F7350">
            <w:pPr>
              <w:widowControl w:val="0"/>
              <w:tabs>
                <w:tab w:val="center" w:pos="4677"/>
                <w:tab w:val="right" w:pos="9355"/>
              </w:tabs>
              <w:spacing w:line="276" w:lineRule="auto"/>
              <w:jc w:val="center"/>
              <w:rPr>
                <w:rFonts w:eastAsia="Times New Roman"/>
                <w:sz w:val="24"/>
                <w:szCs w:val="24"/>
                <w:lang w:eastAsia="ru-RU"/>
              </w:rPr>
            </w:pPr>
            <w:r w:rsidRPr="00006A39">
              <w:rPr>
                <w:rFonts w:eastAsia="Times New Roman"/>
                <w:sz w:val="24"/>
                <w:szCs w:val="24"/>
                <w:lang w:eastAsia="ru-RU"/>
              </w:rPr>
              <w:t>1044</w:t>
            </w:r>
          </w:p>
        </w:tc>
        <w:tc>
          <w:tcPr>
            <w:tcW w:w="1025" w:type="dxa"/>
            <w:shd w:val="clear" w:color="auto" w:fill="auto"/>
          </w:tcPr>
          <w:p w:rsidR="006738F0" w:rsidRPr="00006A39" w:rsidRDefault="006738F0" w:rsidP="001F7350">
            <w:pPr>
              <w:widowControl w:val="0"/>
              <w:tabs>
                <w:tab w:val="center" w:pos="4677"/>
                <w:tab w:val="right" w:pos="9355"/>
              </w:tabs>
              <w:spacing w:line="276" w:lineRule="auto"/>
              <w:jc w:val="center"/>
              <w:rPr>
                <w:rFonts w:eastAsia="Times New Roman"/>
                <w:sz w:val="24"/>
                <w:szCs w:val="24"/>
                <w:lang w:eastAsia="ru-RU"/>
              </w:rPr>
            </w:pPr>
            <w:r w:rsidRPr="00006A39">
              <w:rPr>
                <w:rFonts w:eastAsia="Times New Roman"/>
                <w:sz w:val="24"/>
                <w:szCs w:val="24"/>
                <w:lang w:eastAsia="ru-RU"/>
              </w:rPr>
              <w:t>1026</w:t>
            </w:r>
          </w:p>
        </w:tc>
        <w:tc>
          <w:tcPr>
            <w:tcW w:w="1101" w:type="dxa"/>
            <w:shd w:val="clear" w:color="auto" w:fill="auto"/>
          </w:tcPr>
          <w:p w:rsidR="006738F0" w:rsidRPr="00006A39" w:rsidRDefault="006738F0" w:rsidP="001F7350">
            <w:pPr>
              <w:widowControl w:val="0"/>
              <w:tabs>
                <w:tab w:val="center" w:pos="4677"/>
                <w:tab w:val="right" w:pos="9355"/>
              </w:tabs>
              <w:spacing w:line="276" w:lineRule="auto"/>
              <w:jc w:val="center"/>
              <w:rPr>
                <w:rFonts w:eastAsia="Times New Roman"/>
                <w:sz w:val="24"/>
                <w:szCs w:val="24"/>
                <w:lang w:eastAsia="ru-RU"/>
              </w:rPr>
            </w:pPr>
            <w:r w:rsidRPr="00006A39">
              <w:rPr>
                <w:rFonts w:eastAsia="Times New Roman"/>
                <w:sz w:val="24"/>
                <w:szCs w:val="24"/>
                <w:lang w:eastAsia="ru-RU"/>
              </w:rPr>
              <w:t>1035</w:t>
            </w:r>
          </w:p>
        </w:tc>
        <w:tc>
          <w:tcPr>
            <w:tcW w:w="1144" w:type="dxa"/>
          </w:tcPr>
          <w:p w:rsidR="006738F0" w:rsidRPr="00006A39" w:rsidRDefault="006738F0" w:rsidP="001F7350">
            <w:pPr>
              <w:widowControl w:val="0"/>
              <w:spacing w:line="276" w:lineRule="auto"/>
              <w:jc w:val="center"/>
              <w:rPr>
                <w:sz w:val="24"/>
                <w:szCs w:val="24"/>
              </w:rPr>
            </w:pPr>
            <w:r w:rsidRPr="00006A39">
              <w:rPr>
                <w:sz w:val="24"/>
                <w:szCs w:val="24"/>
              </w:rPr>
              <w:t>1048</w:t>
            </w:r>
          </w:p>
        </w:tc>
      </w:tr>
      <w:tr w:rsidR="00FB0783" w:rsidRPr="00006A39" w:rsidTr="00FB0783">
        <w:tc>
          <w:tcPr>
            <w:tcW w:w="3539" w:type="dxa"/>
            <w:shd w:val="clear" w:color="auto" w:fill="auto"/>
          </w:tcPr>
          <w:p w:rsidR="006738F0" w:rsidRPr="00006A39" w:rsidRDefault="00FB0783" w:rsidP="001F7350">
            <w:pPr>
              <w:widowControl w:val="0"/>
              <w:tabs>
                <w:tab w:val="left" w:pos="0"/>
                <w:tab w:val="center" w:pos="4677"/>
                <w:tab w:val="right" w:pos="9355"/>
              </w:tabs>
              <w:autoSpaceDE w:val="0"/>
              <w:autoSpaceDN w:val="0"/>
              <w:adjustRightInd w:val="0"/>
              <w:spacing w:line="276" w:lineRule="auto"/>
              <w:rPr>
                <w:rFonts w:eastAsia="Times New Roman"/>
                <w:sz w:val="24"/>
                <w:szCs w:val="24"/>
                <w:lang w:eastAsia="ru-RU"/>
              </w:rPr>
            </w:pPr>
            <w:r w:rsidRPr="00006A39">
              <w:rPr>
                <w:rFonts w:eastAsia="Times New Roman"/>
                <w:sz w:val="24"/>
                <w:szCs w:val="24"/>
                <w:lang w:eastAsia="ru-RU"/>
              </w:rPr>
              <w:t xml:space="preserve">Кабінети </w:t>
            </w:r>
            <w:r w:rsidR="006738F0" w:rsidRPr="00006A39">
              <w:rPr>
                <w:rFonts w:eastAsia="Times New Roman"/>
                <w:sz w:val="24"/>
                <w:szCs w:val="24"/>
                <w:lang w:eastAsia="ru-RU"/>
              </w:rPr>
              <w:t xml:space="preserve">лікувальної фізкультури для дітей </w:t>
            </w:r>
          </w:p>
        </w:tc>
        <w:tc>
          <w:tcPr>
            <w:tcW w:w="567" w:type="dxa"/>
            <w:shd w:val="clear" w:color="auto" w:fill="auto"/>
          </w:tcPr>
          <w:p w:rsidR="006738F0" w:rsidRPr="00006A39" w:rsidRDefault="006738F0" w:rsidP="001F7350">
            <w:pPr>
              <w:widowControl w:val="0"/>
              <w:tabs>
                <w:tab w:val="center" w:pos="4677"/>
                <w:tab w:val="right" w:pos="9355"/>
              </w:tabs>
              <w:spacing w:line="276" w:lineRule="auto"/>
              <w:jc w:val="center"/>
              <w:rPr>
                <w:rFonts w:eastAsia="Times New Roman"/>
                <w:sz w:val="24"/>
                <w:szCs w:val="24"/>
                <w:lang w:eastAsia="ru-RU"/>
              </w:rPr>
            </w:pPr>
            <w:r w:rsidRPr="00006A39">
              <w:rPr>
                <w:rFonts w:eastAsia="Times New Roman"/>
                <w:sz w:val="24"/>
                <w:szCs w:val="24"/>
                <w:lang w:eastAsia="ru-RU"/>
              </w:rPr>
              <w:t>247</w:t>
            </w:r>
          </w:p>
        </w:tc>
        <w:tc>
          <w:tcPr>
            <w:tcW w:w="868" w:type="dxa"/>
            <w:shd w:val="clear" w:color="auto" w:fill="auto"/>
          </w:tcPr>
          <w:p w:rsidR="006738F0" w:rsidRPr="00006A39" w:rsidRDefault="006738F0" w:rsidP="001F7350">
            <w:pPr>
              <w:widowControl w:val="0"/>
              <w:tabs>
                <w:tab w:val="center" w:pos="4677"/>
                <w:tab w:val="right" w:pos="9355"/>
              </w:tabs>
              <w:spacing w:line="276" w:lineRule="auto"/>
              <w:jc w:val="center"/>
              <w:rPr>
                <w:rFonts w:eastAsia="Times New Roman"/>
                <w:sz w:val="24"/>
                <w:szCs w:val="24"/>
                <w:lang w:eastAsia="ru-RU"/>
              </w:rPr>
            </w:pPr>
            <w:r w:rsidRPr="00006A39">
              <w:rPr>
                <w:rFonts w:eastAsia="Times New Roman"/>
                <w:sz w:val="24"/>
                <w:szCs w:val="24"/>
                <w:lang w:eastAsia="ru-RU"/>
              </w:rPr>
              <w:t>213</w:t>
            </w:r>
          </w:p>
        </w:tc>
        <w:tc>
          <w:tcPr>
            <w:tcW w:w="1101" w:type="dxa"/>
            <w:shd w:val="clear" w:color="auto" w:fill="auto"/>
          </w:tcPr>
          <w:p w:rsidR="006738F0" w:rsidRPr="00006A39" w:rsidRDefault="006738F0" w:rsidP="001F7350">
            <w:pPr>
              <w:widowControl w:val="0"/>
              <w:tabs>
                <w:tab w:val="center" w:pos="4677"/>
                <w:tab w:val="right" w:pos="9355"/>
              </w:tabs>
              <w:spacing w:line="276" w:lineRule="auto"/>
              <w:jc w:val="center"/>
              <w:rPr>
                <w:rFonts w:eastAsia="Times New Roman"/>
                <w:sz w:val="24"/>
                <w:szCs w:val="24"/>
                <w:lang w:eastAsia="ru-RU"/>
              </w:rPr>
            </w:pPr>
            <w:r w:rsidRPr="00006A39">
              <w:rPr>
                <w:rFonts w:eastAsia="Times New Roman"/>
                <w:sz w:val="24"/>
                <w:szCs w:val="24"/>
                <w:lang w:eastAsia="ru-RU"/>
              </w:rPr>
              <w:t>218</w:t>
            </w:r>
          </w:p>
        </w:tc>
        <w:tc>
          <w:tcPr>
            <w:tcW w:w="1025" w:type="dxa"/>
            <w:shd w:val="clear" w:color="auto" w:fill="auto"/>
          </w:tcPr>
          <w:p w:rsidR="006738F0" w:rsidRPr="00006A39" w:rsidRDefault="006738F0" w:rsidP="001F7350">
            <w:pPr>
              <w:widowControl w:val="0"/>
              <w:tabs>
                <w:tab w:val="center" w:pos="4677"/>
                <w:tab w:val="right" w:pos="9355"/>
              </w:tabs>
              <w:spacing w:line="276" w:lineRule="auto"/>
              <w:jc w:val="center"/>
              <w:rPr>
                <w:rFonts w:eastAsia="Times New Roman"/>
                <w:sz w:val="24"/>
                <w:szCs w:val="24"/>
                <w:lang w:eastAsia="ru-RU"/>
              </w:rPr>
            </w:pPr>
            <w:r w:rsidRPr="00006A39">
              <w:rPr>
                <w:rFonts w:eastAsia="Times New Roman"/>
                <w:sz w:val="24"/>
                <w:szCs w:val="24"/>
                <w:lang w:eastAsia="ru-RU"/>
              </w:rPr>
              <w:t>207</w:t>
            </w:r>
          </w:p>
        </w:tc>
        <w:tc>
          <w:tcPr>
            <w:tcW w:w="1101" w:type="dxa"/>
            <w:shd w:val="clear" w:color="auto" w:fill="auto"/>
          </w:tcPr>
          <w:p w:rsidR="006738F0" w:rsidRPr="00006A39" w:rsidRDefault="006738F0" w:rsidP="001F7350">
            <w:pPr>
              <w:widowControl w:val="0"/>
              <w:tabs>
                <w:tab w:val="center" w:pos="4677"/>
                <w:tab w:val="right" w:pos="9355"/>
              </w:tabs>
              <w:spacing w:line="276" w:lineRule="auto"/>
              <w:jc w:val="center"/>
              <w:rPr>
                <w:rFonts w:eastAsia="Times New Roman"/>
                <w:sz w:val="24"/>
                <w:szCs w:val="24"/>
                <w:lang w:eastAsia="ru-RU"/>
              </w:rPr>
            </w:pPr>
            <w:r w:rsidRPr="00006A39">
              <w:rPr>
                <w:rFonts w:eastAsia="Times New Roman"/>
                <w:sz w:val="24"/>
                <w:szCs w:val="24"/>
                <w:lang w:eastAsia="ru-RU"/>
              </w:rPr>
              <w:t>207</w:t>
            </w:r>
          </w:p>
        </w:tc>
        <w:tc>
          <w:tcPr>
            <w:tcW w:w="1144" w:type="dxa"/>
          </w:tcPr>
          <w:p w:rsidR="006738F0" w:rsidRPr="00006A39" w:rsidRDefault="006738F0" w:rsidP="001F7350">
            <w:pPr>
              <w:widowControl w:val="0"/>
              <w:spacing w:line="276" w:lineRule="auto"/>
              <w:jc w:val="center"/>
              <w:rPr>
                <w:sz w:val="24"/>
                <w:szCs w:val="24"/>
              </w:rPr>
            </w:pPr>
            <w:r w:rsidRPr="00006A39">
              <w:rPr>
                <w:sz w:val="24"/>
                <w:szCs w:val="24"/>
              </w:rPr>
              <w:t>202</w:t>
            </w:r>
          </w:p>
        </w:tc>
      </w:tr>
      <w:tr w:rsidR="00FB0783" w:rsidRPr="00006A39" w:rsidTr="00FB0783">
        <w:tc>
          <w:tcPr>
            <w:tcW w:w="3539" w:type="dxa"/>
            <w:shd w:val="clear" w:color="auto" w:fill="auto"/>
          </w:tcPr>
          <w:p w:rsidR="006738F0" w:rsidRPr="00006A39" w:rsidRDefault="006738F0" w:rsidP="001F7350">
            <w:pPr>
              <w:widowControl w:val="0"/>
              <w:tabs>
                <w:tab w:val="center" w:pos="4677"/>
                <w:tab w:val="right" w:pos="9355"/>
              </w:tabs>
              <w:spacing w:line="276" w:lineRule="auto"/>
              <w:rPr>
                <w:rFonts w:eastAsia="Times New Roman"/>
                <w:sz w:val="24"/>
                <w:szCs w:val="24"/>
                <w:lang w:eastAsia="ru-RU"/>
              </w:rPr>
            </w:pPr>
            <w:r w:rsidRPr="00006A39">
              <w:rPr>
                <w:rFonts w:eastAsia="Times New Roman"/>
                <w:sz w:val="24"/>
                <w:szCs w:val="24"/>
                <w:lang w:eastAsia="ru-RU"/>
              </w:rPr>
              <w:t>Дитячі обласні лікарні</w:t>
            </w:r>
          </w:p>
        </w:tc>
        <w:tc>
          <w:tcPr>
            <w:tcW w:w="567" w:type="dxa"/>
            <w:shd w:val="clear" w:color="auto" w:fill="auto"/>
          </w:tcPr>
          <w:p w:rsidR="006738F0" w:rsidRPr="00006A39" w:rsidRDefault="006738F0" w:rsidP="001F7350">
            <w:pPr>
              <w:widowControl w:val="0"/>
              <w:tabs>
                <w:tab w:val="center" w:pos="4677"/>
                <w:tab w:val="right" w:pos="9355"/>
              </w:tabs>
              <w:spacing w:line="276" w:lineRule="auto"/>
              <w:jc w:val="center"/>
              <w:rPr>
                <w:rFonts w:eastAsia="Times New Roman"/>
                <w:sz w:val="24"/>
                <w:szCs w:val="24"/>
                <w:lang w:eastAsia="ru-RU"/>
              </w:rPr>
            </w:pPr>
            <w:r w:rsidRPr="00006A39">
              <w:rPr>
                <w:rFonts w:eastAsia="Times New Roman"/>
                <w:sz w:val="24"/>
                <w:szCs w:val="24"/>
                <w:lang w:eastAsia="ru-RU"/>
              </w:rPr>
              <w:t>29</w:t>
            </w:r>
          </w:p>
        </w:tc>
        <w:tc>
          <w:tcPr>
            <w:tcW w:w="868" w:type="dxa"/>
            <w:shd w:val="clear" w:color="auto" w:fill="auto"/>
          </w:tcPr>
          <w:p w:rsidR="006738F0" w:rsidRPr="00006A39" w:rsidRDefault="006738F0" w:rsidP="001F7350">
            <w:pPr>
              <w:widowControl w:val="0"/>
              <w:tabs>
                <w:tab w:val="center" w:pos="4677"/>
                <w:tab w:val="right" w:pos="9355"/>
              </w:tabs>
              <w:spacing w:line="276" w:lineRule="auto"/>
              <w:jc w:val="center"/>
              <w:rPr>
                <w:rFonts w:eastAsia="Times New Roman"/>
                <w:sz w:val="24"/>
                <w:szCs w:val="24"/>
                <w:lang w:eastAsia="ru-RU"/>
              </w:rPr>
            </w:pPr>
            <w:r w:rsidRPr="00006A39">
              <w:rPr>
                <w:rFonts w:eastAsia="Times New Roman"/>
                <w:sz w:val="24"/>
                <w:szCs w:val="24"/>
                <w:lang w:eastAsia="ru-RU"/>
              </w:rPr>
              <w:t>27</w:t>
            </w:r>
          </w:p>
        </w:tc>
        <w:tc>
          <w:tcPr>
            <w:tcW w:w="1101" w:type="dxa"/>
            <w:shd w:val="clear" w:color="auto" w:fill="auto"/>
          </w:tcPr>
          <w:p w:rsidR="006738F0" w:rsidRPr="00006A39" w:rsidRDefault="006738F0" w:rsidP="001F7350">
            <w:pPr>
              <w:widowControl w:val="0"/>
              <w:tabs>
                <w:tab w:val="center" w:pos="4677"/>
                <w:tab w:val="right" w:pos="9355"/>
              </w:tabs>
              <w:spacing w:line="276" w:lineRule="auto"/>
              <w:jc w:val="center"/>
              <w:rPr>
                <w:rFonts w:eastAsia="Times New Roman"/>
                <w:sz w:val="24"/>
                <w:szCs w:val="24"/>
                <w:lang w:eastAsia="ru-RU"/>
              </w:rPr>
            </w:pPr>
            <w:r w:rsidRPr="00006A39">
              <w:rPr>
                <w:rFonts w:eastAsia="Times New Roman"/>
                <w:sz w:val="24"/>
                <w:szCs w:val="24"/>
                <w:lang w:eastAsia="ru-RU"/>
              </w:rPr>
              <w:t>28</w:t>
            </w:r>
          </w:p>
        </w:tc>
        <w:tc>
          <w:tcPr>
            <w:tcW w:w="1025" w:type="dxa"/>
            <w:shd w:val="clear" w:color="auto" w:fill="auto"/>
          </w:tcPr>
          <w:p w:rsidR="006738F0" w:rsidRPr="00006A39" w:rsidRDefault="006738F0" w:rsidP="001F7350">
            <w:pPr>
              <w:widowControl w:val="0"/>
              <w:tabs>
                <w:tab w:val="center" w:pos="4677"/>
                <w:tab w:val="right" w:pos="9355"/>
              </w:tabs>
              <w:spacing w:line="276" w:lineRule="auto"/>
              <w:jc w:val="center"/>
              <w:rPr>
                <w:rFonts w:eastAsia="Times New Roman"/>
                <w:sz w:val="24"/>
                <w:szCs w:val="24"/>
                <w:lang w:eastAsia="ru-RU"/>
              </w:rPr>
            </w:pPr>
            <w:r w:rsidRPr="00006A39">
              <w:rPr>
                <w:rFonts w:eastAsia="Times New Roman"/>
                <w:sz w:val="24"/>
                <w:szCs w:val="24"/>
                <w:lang w:eastAsia="ru-RU"/>
              </w:rPr>
              <w:t>27</w:t>
            </w:r>
          </w:p>
        </w:tc>
        <w:tc>
          <w:tcPr>
            <w:tcW w:w="1101" w:type="dxa"/>
            <w:shd w:val="clear" w:color="auto" w:fill="auto"/>
          </w:tcPr>
          <w:p w:rsidR="006738F0" w:rsidRPr="00006A39" w:rsidRDefault="006738F0" w:rsidP="001F7350">
            <w:pPr>
              <w:widowControl w:val="0"/>
              <w:tabs>
                <w:tab w:val="center" w:pos="4677"/>
                <w:tab w:val="right" w:pos="9355"/>
              </w:tabs>
              <w:spacing w:line="276" w:lineRule="auto"/>
              <w:jc w:val="center"/>
              <w:rPr>
                <w:rFonts w:eastAsia="Times New Roman"/>
                <w:sz w:val="24"/>
                <w:szCs w:val="24"/>
                <w:lang w:eastAsia="ru-RU"/>
              </w:rPr>
            </w:pPr>
            <w:r w:rsidRPr="00006A39">
              <w:rPr>
                <w:rFonts w:eastAsia="Times New Roman"/>
                <w:sz w:val="24"/>
                <w:szCs w:val="24"/>
                <w:lang w:eastAsia="ru-RU"/>
              </w:rPr>
              <w:t>27</w:t>
            </w:r>
          </w:p>
        </w:tc>
        <w:tc>
          <w:tcPr>
            <w:tcW w:w="1144" w:type="dxa"/>
          </w:tcPr>
          <w:p w:rsidR="006738F0" w:rsidRPr="00006A39" w:rsidRDefault="006738F0" w:rsidP="001F7350">
            <w:pPr>
              <w:widowControl w:val="0"/>
              <w:spacing w:line="276" w:lineRule="auto"/>
              <w:jc w:val="center"/>
              <w:rPr>
                <w:sz w:val="24"/>
                <w:szCs w:val="24"/>
              </w:rPr>
            </w:pPr>
            <w:r w:rsidRPr="00006A39">
              <w:rPr>
                <w:sz w:val="24"/>
                <w:szCs w:val="24"/>
              </w:rPr>
              <w:t>27</w:t>
            </w:r>
          </w:p>
        </w:tc>
      </w:tr>
      <w:tr w:rsidR="00FB0783" w:rsidRPr="00006A39" w:rsidTr="00FB0783">
        <w:tc>
          <w:tcPr>
            <w:tcW w:w="3539" w:type="dxa"/>
            <w:shd w:val="clear" w:color="auto" w:fill="auto"/>
          </w:tcPr>
          <w:p w:rsidR="006738F0" w:rsidRPr="00006A39" w:rsidRDefault="006738F0" w:rsidP="001F7350">
            <w:pPr>
              <w:widowControl w:val="0"/>
              <w:tabs>
                <w:tab w:val="center" w:pos="4677"/>
                <w:tab w:val="right" w:pos="9355"/>
              </w:tabs>
              <w:spacing w:line="276" w:lineRule="auto"/>
              <w:rPr>
                <w:rFonts w:eastAsia="Times New Roman"/>
                <w:sz w:val="24"/>
                <w:szCs w:val="24"/>
                <w:lang w:eastAsia="ru-RU"/>
              </w:rPr>
            </w:pPr>
            <w:r w:rsidRPr="00006A39">
              <w:rPr>
                <w:rFonts w:eastAsia="Times New Roman"/>
                <w:sz w:val="24"/>
                <w:szCs w:val="24"/>
                <w:lang w:eastAsia="ru-RU"/>
              </w:rPr>
              <w:t>Дитячі міські лікарні</w:t>
            </w:r>
          </w:p>
        </w:tc>
        <w:tc>
          <w:tcPr>
            <w:tcW w:w="567" w:type="dxa"/>
            <w:shd w:val="clear" w:color="auto" w:fill="auto"/>
          </w:tcPr>
          <w:p w:rsidR="006738F0" w:rsidRPr="00006A39" w:rsidRDefault="006738F0" w:rsidP="001F7350">
            <w:pPr>
              <w:widowControl w:val="0"/>
              <w:tabs>
                <w:tab w:val="center" w:pos="4677"/>
                <w:tab w:val="right" w:pos="9355"/>
              </w:tabs>
              <w:spacing w:line="276" w:lineRule="auto"/>
              <w:jc w:val="center"/>
              <w:rPr>
                <w:rFonts w:eastAsia="Times New Roman"/>
                <w:sz w:val="24"/>
                <w:szCs w:val="24"/>
                <w:lang w:eastAsia="ru-RU"/>
              </w:rPr>
            </w:pPr>
            <w:r w:rsidRPr="00006A39">
              <w:rPr>
                <w:rFonts w:eastAsia="Times New Roman"/>
                <w:sz w:val="24"/>
                <w:szCs w:val="24"/>
                <w:lang w:eastAsia="ru-RU"/>
              </w:rPr>
              <w:t>88</w:t>
            </w:r>
          </w:p>
        </w:tc>
        <w:tc>
          <w:tcPr>
            <w:tcW w:w="868" w:type="dxa"/>
            <w:shd w:val="clear" w:color="auto" w:fill="auto"/>
          </w:tcPr>
          <w:p w:rsidR="006738F0" w:rsidRPr="00006A39" w:rsidRDefault="006738F0" w:rsidP="001F7350">
            <w:pPr>
              <w:widowControl w:val="0"/>
              <w:tabs>
                <w:tab w:val="center" w:pos="4677"/>
                <w:tab w:val="right" w:pos="9355"/>
              </w:tabs>
              <w:spacing w:line="276" w:lineRule="auto"/>
              <w:jc w:val="center"/>
              <w:rPr>
                <w:rFonts w:eastAsia="Times New Roman"/>
                <w:sz w:val="24"/>
                <w:szCs w:val="24"/>
                <w:lang w:eastAsia="ru-RU"/>
              </w:rPr>
            </w:pPr>
            <w:r w:rsidRPr="00006A39">
              <w:rPr>
                <w:rFonts w:eastAsia="Times New Roman"/>
                <w:sz w:val="24"/>
                <w:szCs w:val="24"/>
                <w:lang w:eastAsia="ru-RU"/>
              </w:rPr>
              <w:t>59</w:t>
            </w:r>
          </w:p>
        </w:tc>
        <w:tc>
          <w:tcPr>
            <w:tcW w:w="1101" w:type="dxa"/>
            <w:shd w:val="clear" w:color="auto" w:fill="auto"/>
          </w:tcPr>
          <w:p w:rsidR="006738F0" w:rsidRPr="00006A39" w:rsidRDefault="006738F0" w:rsidP="001F7350">
            <w:pPr>
              <w:widowControl w:val="0"/>
              <w:tabs>
                <w:tab w:val="center" w:pos="4677"/>
                <w:tab w:val="right" w:pos="9355"/>
              </w:tabs>
              <w:spacing w:line="276" w:lineRule="auto"/>
              <w:jc w:val="center"/>
              <w:rPr>
                <w:rFonts w:eastAsia="Times New Roman"/>
                <w:sz w:val="24"/>
                <w:szCs w:val="24"/>
                <w:lang w:eastAsia="ru-RU"/>
              </w:rPr>
            </w:pPr>
            <w:r w:rsidRPr="00006A39">
              <w:rPr>
                <w:rFonts w:eastAsia="Times New Roman"/>
                <w:sz w:val="24"/>
                <w:szCs w:val="24"/>
                <w:lang w:eastAsia="ru-RU"/>
              </w:rPr>
              <w:t>60</w:t>
            </w:r>
          </w:p>
        </w:tc>
        <w:tc>
          <w:tcPr>
            <w:tcW w:w="1025" w:type="dxa"/>
            <w:shd w:val="clear" w:color="auto" w:fill="auto"/>
          </w:tcPr>
          <w:p w:rsidR="006738F0" w:rsidRPr="00006A39" w:rsidRDefault="006738F0" w:rsidP="001F7350">
            <w:pPr>
              <w:widowControl w:val="0"/>
              <w:tabs>
                <w:tab w:val="center" w:pos="4677"/>
                <w:tab w:val="right" w:pos="9355"/>
              </w:tabs>
              <w:spacing w:line="276" w:lineRule="auto"/>
              <w:jc w:val="center"/>
              <w:rPr>
                <w:rFonts w:eastAsia="Times New Roman"/>
                <w:sz w:val="24"/>
                <w:szCs w:val="24"/>
                <w:lang w:eastAsia="ru-RU"/>
              </w:rPr>
            </w:pPr>
            <w:r w:rsidRPr="00006A39">
              <w:rPr>
                <w:rFonts w:eastAsia="Times New Roman"/>
                <w:sz w:val="24"/>
                <w:szCs w:val="24"/>
                <w:lang w:eastAsia="ru-RU"/>
              </w:rPr>
              <w:t>60</w:t>
            </w:r>
          </w:p>
        </w:tc>
        <w:tc>
          <w:tcPr>
            <w:tcW w:w="1101" w:type="dxa"/>
            <w:shd w:val="clear" w:color="auto" w:fill="auto"/>
          </w:tcPr>
          <w:p w:rsidR="006738F0" w:rsidRPr="00006A39" w:rsidRDefault="006738F0" w:rsidP="001F7350">
            <w:pPr>
              <w:widowControl w:val="0"/>
              <w:tabs>
                <w:tab w:val="center" w:pos="4677"/>
                <w:tab w:val="right" w:pos="9355"/>
              </w:tabs>
              <w:spacing w:line="276" w:lineRule="auto"/>
              <w:jc w:val="center"/>
              <w:rPr>
                <w:rFonts w:eastAsia="Times New Roman"/>
                <w:sz w:val="24"/>
                <w:szCs w:val="24"/>
                <w:lang w:eastAsia="ru-RU"/>
              </w:rPr>
            </w:pPr>
            <w:r w:rsidRPr="00006A39">
              <w:rPr>
                <w:rFonts w:eastAsia="Times New Roman"/>
                <w:sz w:val="24"/>
                <w:szCs w:val="24"/>
                <w:lang w:eastAsia="ru-RU"/>
              </w:rPr>
              <w:t>57</w:t>
            </w:r>
          </w:p>
        </w:tc>
        <w:tc>
          <w:tcPr>
            <w:tcW w:w="1144" w:type="dxa"/>
          </w:tcPr>
          <w:p w:rsidR="006738F0" w:rsidRPr="00006A39" w:rsidRDefault="006738F0" w:rsidP="001F7350">
            <w:pPr>
              <w:widowControl w:val="0"/>
              <w:spacing w:line="276" w:lineRule="auto"/>
              <w:jc w:val="center"/>
              <w:rPr>
                <w:sz w:val="24"/>
                <w:szCs w:val="24"/>
              </w:rPr>
            </w:pPr>
            <w:r w:rsidRPr="00006A39">
              <w:rPr>
                <w:sz w:val="24"/>
                <w:szCs w:val="24"/>
              </w:rPr>
              <w:t>54</w:t>
            </w:r>
          </w:p>
        </w:tc>
      </w:tr>
      <w:tr w:rsidR="00FB0783" w:rsidRPr="00006A39" w:rsidTr="00FB0783">
        <w:tc>
          <w:tcPr>
            <w:tcW w:w="3539" w:type="dxa"/>
            <w:shd w:val="clear" w:color="auto" w:fill="auto"/>
          </w:tcPr>
          <w:p w:rsidR="006738F0" w:rsidRPr="00006A39" w:rsidRDefault="006738F0" w:rsidP="001F7350">
            <w:pPr>
              <w:widowControl w:val="0"/>
              <w:tabs>
                <w:tab w:val="center" w:pos="4677"/>
                <w:tab w:val="right" w:pos="9355"/>
              </w:tabs>
              <w:spacing w:line="276" w:lineRule="auto"/>
              <w:rPr>
                <w:rFonts w:eastAsia="Times New Roman"/>
                <w:sz w:val="24"/>
                <w:szCs w:val="24"/>
                <w:lang w:eastAsia="ru-RU"/>
              </w:rPr>
            </w:pPr>
            <w:r w:rsidRPr="00006A39">
              <w:rPr>
                <w:rFonts w:eastAsia="Times New Roman"/>
                <w:sz w:val="24"/>
                <w:szCs w:val="24"/>
                <w:lang w:eastAsia="ru-RU"/>
              </w:rPr>
              <w:t>Дитячі інфекційні лікарні</w:t>
            </w:r>
          </w:p>
        </w:tc>
        <w:tc>
          <w:tcPr>
            <w:tcW w:w="567" w:type="dxa"/>
            <w:shd w:val="clear" w:color="auto" w:fill="auto"/>
          </w:tcPr>
          <w:p w:rsidR="006738F0" w:rsidRPr="00006A39" w:rsidRDefault="006738F0" w:rsidP="001F7350">
            <w:pPr>
              <w:widowControl w:val="0"/>
              <w:tabs>
                <w:tab w:val="center" w:pos="4677"/>
                <w:tab w:val="right" w:pos="9355"/>
              </w:tabs>
              <w:spacing w:line="276" w:lineRule="auto"/>
              <w:jc w:val="center"/>
              <w:rPr>
                <w:rFonts w:eastAsia="Times New Roman"/>
                <w:sz w:val="24"/>
                <w:szCs w:val="24"/>
                <w:lang w:eastAsia="ru-RU"/>
              </w:rPr>
            </w:pPr>
            <w:r w:rsidRPr="00006A39">
              <w:rPr>
                <w:rFonts w:eastAsia="Times New Roman"/>
                <w:sz w:val="24"/>
                <w:szCs w:val="24"/>
                <w:lang w:eastAsia="ru-RU"/>
              </w:rPr>
              <w:t>6</w:t>
            </w:r>
          </w:p>
        </w:tc>
        <w:tc>
          <w:tcPr>
            <w:tcW w:w="868" w:type="dxa"/>
            <w:shd w:val="clear" w:color="auto" w:fill="auto"/>
          </w:tcPr>
          <w:p w:rsidR="006738F0" w:rsidRPr="00006A39" w:rsidRDefault="006738F0" w:rsidP="001F7350">
            <w:pPr>
              <w:widowControl w:val="0"/>
              <w:tabs>
                <w:tab w:val="center" w:pos="4677"/>
                <w:tab w:val="right" w:pos="9355"/>
              </w:tabs>
              <w:spacing w:line="276" w:lineRule="auto"/>
              <w:jc w:val="center"/>
              <w:rPr>
                <w:rFonts w:eastAsia="Times New Roman"/>
                <w:sz w:val="24"/>
                <w:szCs w:val="24"/>
                <w:lang w:eastAsia="ru-RU"/>
              </w:rPr>
            </w:pPr>
            <w:r w:rsidRPr="00006A39">
              <w:rPr>
                <w:rFonts w:eastAsia="Times New Roman"/>
                <w:sz w:val="24"/>
                <w:szCs w:val="24"/>
                <w:lang w:eastAsia="ru-RU"/>
              </w:rPr>
              <w:t>4</w:t>
            </w:r>
          </w:p>
        </w:tc>
        <w:tc>
          <w:tcPr>
            <w:tcW w:w="1101" w:type="dxa"/>
            <w:shd w:val="clear" w:color="auto" w:fill="auto"/>
          </w:tcPr>
          <w:p w:rsidR="006738F0" w:rsidRPr="00006A39" w:rsidRDefault="006738F0" w:rsidP="001F7350">
            <w:pPr>
              <w:widowControl w:val="0"/>
              <w:tabs>
                <w:tab w:val="center" w:pos="4677"/>
                <w:tab w:val="right" w:pos="9355"/>
              </w:tabs>
              <w:spacing w:line="276" w:lineRule="auto"/>
              <w:jc w:val="center"/>
              <w:rPr>
                <w:rFonts w:eastAsia="Times New Roman"/>
                <w:sz w:val="24"/>
                <w:szCs w:val="24"/>
                <w:lang w:eastAsia="ru-RU"/>
              </w:rPr>
            </w:pPr>
            <w:r w:rsidRPr="00006A39">
              <w:rPr>
                <w:rFonts w:eastAsia="Times New Roman"/>
                <w:sz w:val="24"/>
                <w:szCs w:val="24"/>
                <w:lang w:eastAsia="ru-RU"/>
              </w:rPr>
              <w:t>4</w:t>
            </w:r>
          </w:p>
        </w:tc>
        <w:tc>
          <w:tcPr>
            <w:tcW w:w="1025" w:type="dxa"/>
            <w:shd w:val="clear" w:color="auto" w:fill="auto"/>
          </w:tcPr>
          <w:p w:rsidR="006738F0" w:rsidRPr="00006A39" w:rsidRDefault="006738F0" w:rsidP="001F7350">
            <w:pPr>
              <w:widowControl w:val="0"/>
              <w:tabs>
                <w:tab w:val="center" w:pos="4677"/>
                <w:tab w:val="right" w:pos="9355"/>
              </w:tabs>
              <w:spacing w:line="276" w:lineRule="auto"/>
              <w:jc w:val="center"/>
              <w:rPr>
                <w:rFonts w:eastAsia="Times New Roman"/>
                <w:sz w:val="24"/>
                <w:szCs w:val="24"/>
                <w:lang w:eastAsia="ru-RU"/>
              </w:rPr>
            </w:pPr>
            <w:r w:rsidRPr="00006A39">
              <w:rPr>
                <w:rFonts w:eastAsia="Times New Roman"/>
                <w:sz w:val="24"/>
                <w:szCs w:val="24"/>
                <w:lang w:eastAsia="ru-RU"/>
              </w:rPr>
              <w:t>4</w:t>
            </w:r>
          </w:p>
        </w:tc>
        <w:tc>
          <w:tcPr>
            <w:tcW w:w="1101" w:type="dxa"/>
            <w:shd w:val="clear" w:color="auto" w:fill="auto"/>
          </w:tcPr>
          <w:p w:rsidR="006738F0" w:rsidRPr="00006A39" w:rsidRDefault="006738F0" w:rsidP="001F7350">
            <w:pPr>
              <w:widowControl w:val="0"/>
              <w:tabs>
                <w:tab w:val="center" w:pos="4677"/>
                <w:tab w:val="right" w:pos="9355"/>
              </w:tabs>
              <w:spacing w:line="276" w:lineRule="auto"/>
              <w:jc w:val="center"/>
              <w:rPr>
                <w:rFonts w:eastAsia="Times New Roman"/>
                <w:sz w:val="24"/>
                <w:szCs w:val="24"/>
                <w:lang w:eastAsia="ru-RU"/>
              </w:rPr>
            </w:pPr>
            <w:r w:rsidRPr="00006A39">
              <w:rPr>
                <w:rFonts w:eastAsia="Times New Roman"/>
                <w:sz w:val="24"/>
                <w:szCs w:val="24"/>
                <w:lang w:eastAsia="ru-RU"/>
              </w:rPr>
              <w:t>4</w:t>
            </w:r>
          </w:p>
        </w:tc>
        <w:tc>
          <w:tcPr>
            <w:tcW w:w="1144" w:type="dxa"/>
          </w:tcPr>
          <w:p w:rsidR="006738F0" w:rsidRPr="00006A39" w:rsidRDefault="006738F0" w:rsidP="001F7350">
            <w:pPr>
              <w:widowControl w:val="0"/>
              <w:spacing w:line="276" w:lineRule="auto"/>
              <w:jc w:val="center"/>
              <w:rPr>
                <w:sz w:val="24"/>
                <w:szCs w:val="24"/>
              </w:rPr>
            </w:pPr>
            <w:r w:rsidRPr="00006A39">
              <w:rPr>
                <w:sz w:val="24"/>
                <w:szCs w:val="24"/>
              </w:rPr>
              <w:t>4</w:t>
            </w:r>
          </w:p>
        </w:tc>
      </w:tr>
      <w:tr w:rsidR="00FB0783" w:rsidRPr="00006A39" w:rsidTr="00FB0783">
        <w:tc>
          <w:tcPr>
            <w:tcW w:w="3539" w:type="dxa"/>
            <w:shd w:val="clear" w:color="auto" w:fill="auto"/>
          </w:tcPr>
          <w:p w:rsidR="006738F0" w:rsidRPr="00006A39" w:rsidRDefault="006738F0" w:rsidP="001F7350">
            <w:pPr>
              <w:widowControl w:val="0"/>
              <w:tabs>
                <w:tab w:val="center" w:pos="4677"/>
                <w:tab w:val="right" w:pos="9355"/>
              </w:tabs>
              <w:spacing w:line="276" w:lineRule="auto"/>
              <w:rPr>
                <w:rFonts w:eastAsia="Times New Roman"/>
                <w:sz w:val="24"/>
                <w:szCs w:val="24"/>
                <w:lang w:eastAsia="ru-RU"/>
              </w:rPr>
            </w:pPr>
            <w:r w:rsidRPr="00006A39">
              <w:rPr>
                <w:rFonts w:eastAsia="Times New Roman"/>
                <w:sz w:val="24"/>
                <w:szCs w:val="24"/>
                <w:lang w:eastAsia="ru-RU"/>
              </w:rPr>
              <w:t>Дитячі туберкульозні лікарні</w:t>
            </w:r>
          </w:p>
        </w:tc>
        <w:tc>
          <w:tcPr>
            <w:tcW w:w="567" w:type="dxa"/>
            <w:shd w:val="clear" w:color="auto" w:fill="auto"/>
          </w:tcPr>
          <w:p w:rsidR="006738F0" w:rsidRPr="00006A39" w:rsidRDefault="006738F0" w:rsidP="001F7350">
            <w:pPr>
              <w:widowControl w:val="0"/>
              <w:tabs>
                <w:tab w:val="center" w:pos="4677"/>
                <w:tab w:val="right" w:pos="9355"/>
              </w:tabs>
              <w:spacing w:line="276" w:lineRule="auto"/>
              <w:jc w:val="center"/>
              <w:rPr>
                <w:rFonts w:eastAsia="Times New Roman"/>
                <w:sz w:val="24"/>
                <w:szCs w:val="24"/>
                <w:lang w:eastAsia="ru-RU"/>
              </w:rPr>
            </w:pPr>
            <w:r w:rsidRPr="00006A39">
              <w:rPr>
                <w:rFonts w:eastAsia="Times New Roman"/>
                <w:sz w:val="24"/>
                <w:szCs w:val="24"/>
                <w:lang w:eastAsia="ru-RU"/>
              </w:rPr>
              <w:t>3</w:t>
            </w:r>
          </w:p>
        </w:tc>
        <w:tc>
          <w:tcPr>
            <w:tcW w:w="868" w:type="dxa"/>
            <w:shd w:val="clear" w:color="auto" w:fill="auto"/>
          </w:tcPr>
          <w:p w:rsidR="006738F0" w:rsidRPr="00006A39" w:rsidRDefault="006738F0" w:rsidP="001F7350">
            <w:pPr>
              <w:widowControl w:val="0"/>
              <w:tabs>
                <w:tab w:val="center" w:pos="4677"/>
                <w:tab w:val="right" w:pos="9355"/>
              </w:tabs>
              <w:spacing w:line="276" w:lineRule="auto"/>
              <w:jc w:val="center"/>
              <w:rPr>
                <w:rFonts w:eastAsia="Times New Roman"/>
                <w:sz w:val="24"/>
                <w:szCs w:val="24"/>
                <w:lang w:eastAsia="ru-RU"/>
              </w:rPr>
            </w:pPr>
            <w:r w:rsidRPr="00006A39">
              <w:rPr>
                <w:rFonts w:eastAsia="Times New Roman"/>
                <w:sz w:val="24"/>
                <w:szCs w:val="24"/>
                <w:lang w:eastAsia="ru-RU"/>
              </w:rPr>
              <w:t>2</w:t>
            </w:r>
          </w:p>
        </w:tc>
        <w:tc>
          <w:tcPr>
            <w:tcW w:w="1101" w:type="dxa"/>
            <w:shd w:val="clear" w:color="auto" w:fill="auto"/>
          </w:tcPr>
          <w:p w:rsidR="006738F0" w:rsidRPr="00006A39" w:rsidRDefault="006738F0" w:rsidP="001F7350">
            <w:pPr>
              <w:widowControl w:val="0"/>
              <w:tabs>
                <w:tab w:val="center" w:pos="4677"/>
                <w:tab w:val="right" w:pos="9355"/>
              </w:tabs>
              <w:spacing w:line="276" w:lineRule="auto"/>
              <w:jc w:val="center"/>
              <w:rPr>
                <w:rFonts w:eastAsia="Times New Roman"/>
                <w:sz w:val="24"/>
                <w:szCs w:val="24"/>
                <w:lang w:eastAsia="ru-RU"/>
              </w:rPr>
            </w:pPr>
            <w:r w:rsidRPr="00006A39">
              <w:rPr>
                <w:rFonts w:eastAsia="Times New Roman"/>
                <w:sz w:val="24"/>
                <w:szCs w:val="24"/>
                <w:lang w:eastAsia="ru-RU"/>
              </w:rPr>
              <w:t>2</w:t>
            </w:r>
          </w:p>
        </w:tc>
        <w:tc>
          <w:tcPr>
            <w:tcW w:w="1025" w:type="dxa"/>
            <w:shd w:val="clear" w:color="auto" w:fill="auto"/>
          </w:tcPr>
          <w:p w:rsidR="006738F0" w:rsidRPr="00006A39" w:rsidRDefault="006738F0" w:rsidP="001F7350">
            <w:pPr>
              <w:widowControl w:val="0"/>
              <w:tabs>
                <w:tab w:val="center" w:pos="4677"/>
                <w:tab w:val="right" w:pos="9355"/>
              </w:tabs>
              <w:spacing w:line="276" w:lineRule="auto"/>
              <w:jc w:val="center"/>
              <w:rPr>
                <w:rFonts w:eastAsia="Times New Roman"/>
                <w:sz w:val="24"/>
                <w:szCs w:val="24"/>
                <w:lang w:eastAsia="ru-RU"/>
              </w:rPr>
            </w:pPr>
            <w:r w:rsidRPr="00006A39">
              <w:rPr>
                <w:rFonts w:eastAsia="Times New Roman"/>
                <w:sz w:val="24"/>
                <w:szCs w:val="24"/>
                <w:lang w:eastAsia="ru-RU"/>
              </w:rPr>
              <w:t>2</w:t>
            </w:r>
          </w:p>
        </w:tc>
        <w:tc>
          <w:tcPr>
            <w:tcW w:w="1101" w:type="dxa"/>
            <w:shd w:val="clear" w:color="auto" w:fill="auto"/>
          </w:tcPr>
          <w:p w:rsidR="006738F0" w:rsidRPr="00006A39" w:rsidRDefault="006738F0" w:rsidP="001F7350">
            <w:pPr>
              <w:widowControl w:val="0"/>
              <w:tabs>
                <w:tab w:val="center" w:pos="4677"/>
                <w:tab w:val="right" w:pos="9355"/>
              </w:tabs>
              <w:spacing w:line="276" w:lineRule="auto"/>
              <w:jc w:val="center"/>
              <w:rPr>
                <w:rFonts w:eastAsia="Times New Roman"/>
                <w:sz w:val="24"/>
                <w:szCs w:val="24"/>
                <w:lang w:eastAsia="ru-RU"/>
              </w:rPr>
            </w:pPr>
            <w:r w:rsidRPr="00006A39">
              <w:rPr>
                <w:rFonts w:eastAsia="Times New Roman"/>
                <w:sz w:val="24"/>
                <w:szCs w:val="24"/>
                <w:lang w:eastAsia="ru-RU"/>
              </w:rPr>
              <w:t>2</w:t>
            </w:r>
          </w:p>
        </w:tc>
        <w:tc>
          <w:tcPr>
            <w:tcW w:w="1144" w:type="dxa"/>
          </w:tcPr>
          <w:p w:rsidR="006738F0" w:rsidRPr="00006A39" w:rsidRDefault="006738F0" w:rsidP="001F7350">
            <w:pPr>
              <w:widowControl w:val="0"/>
              <w:spacing w:line="276" w:lineRule="auto"/>
              <w:jc w:val="center"/>
              <w:rPr>
                <w:sz w:val="24"/>
                <w:szCs w:val="24"/>
              </w:rPr>
            </w:pPr>
            <w:r w:rsidRPr="00006A39">
              <w:rPr>
                <w:sz w:val="24"/>
                <w:szCs w:val="24"/>
              </w:rPr>
              <w:t>2</w:t>
            </w:r>
          </w:p>
        </w:tc>
      </w:tr>
      <w:tr w:rsidR="00FB0783" w:rsidRPr="00006A39" w:rsidTr="00FB0783">
        <w:tc>
          <w:tcPr>
            <w:tcW w:w="3539" w:type="dxa"/>
            <w:shd w:val="clear" w:color="auto" w:fill="auto"/>
          </w:tcPr>
          <w:p w:rsidR="006738F0" w:rsidRPr="00006A39" w:rsidRDefault="006738F0" w:rsidP="001F7350">
            <w:pPr>
              <w:widowControl w:val="0"/>
              <w:tabs>
                <w:tab w:val="center" w:pos="4677"/>
                <w:tab w:val="right" w:pos="9355"/>
              </w:tabs>
              <w:spacing w:line="276" w:lineRule="auto"/>
              <w:rPr>
                <w:rFonts w:eastAsia="Times New Roman"/>
                <w:sz w:val="24"/>
                <w:szCs w:val="24"/>
                <w:lang w:eastAsia="ru-RU"/>
              </w:rPr>
            </w:pPr>
            <w:r w:rsidRPr="00006A39">
              <w:rPr>
                <w:rFonts w:eastAsia="Times New Roman"/>
                <w:sz w:val="24"/>
                <w:szCs w:val="24"/>
                <w:lang w:eastAsia="ru-RU"/>
              </w:rPr>
              <w:t>Будинки дитини</w:t>
            </w:r>
          </w:p>
        </w:tc>
        <w:tc>
          <w:tcPr>
            <w:tcW w:w="567" w:type="dxa"/>
            <w:shd w:val="clear" w:color="auto" w:fill="auto"/>
          </w:tcPr>
          <w:p w:rsidR="006738F0" w:rsidRPr="00006A39" w:rsidRDefault="006738F0" w:rsidP="001F7350">
            <w:pPr>
              <w:widowControl w:val="0"/>
              <w:tabs>
                <w:tab w:val="center" w:pos="4677"/>
                <w:tab w:val="right" w:pos="9355"/>
              </w:tabs>
              <w:spacing w:line="276" w:lineRule="auto"/>
              <w:jc w:val="center"/>
              <w:rPr>
                <w:rFonts w:eastAsia="Times New Roman"/>
                <w:sz w:val="24"/>
                <w:szCs w:val="24"/>
                <w:lang w:eastAsia="ru-RU"/>
              </w:rPr>
            </w:pPr>
            <w:r w:rsidRPr="00006A39">
              <w:rPr>
                <w:rFonts w:eastAsia="Times New Roman"/>
                <w:sz w:val="24"/>
                <w:szCs w:val="24"/>
                <w:lang w:eastAsia="ru-RU"/>
              </w:rPr>
              <w:t>44</w:t>
            </w:r>
          </w:p>
        </w:tc>
        <w:tc>
          <w:tcPr>
            <w:tcW w:w="868" w:type="dxa"/>
            <w:shd w:val="clear" w:color="auto" w:fill="auto"/>
          </w:tcPr>
          <w:p w:rsidR="006738F0" w:rsidRPr="00006A39" w:rsidRDefault="006738F0" w:rsidP="001F7350">
            <w:pPr>
              <w:widowControl w:val="0"/>
              <w:tabs>
                <w:tab w:val="center" w:pos="4677"/>
                <w:tab w:val="right" w:pos="9355"/>
              </w:tabs>
              <w:spacing w:line="276" w:lineRule="auto"/>
              <w:jc w:val="center"/>
              <w:rPr>
                <w:rFonts w:eastAsia="Times New Roman"/>
                <w:sz w:val="24"/>
                <w:szCs w:val="24"/>
                <w:lang w:eastAsia="ru-RU"/>
              </w:rPr>
            </w:pPr>
            <w:r w:rsidRPr="00006A39">
              <w:rPr>
                <w:rFonts w:eastAsia="Times New Roman"/>
                <w:sz w:val="24"/>
                <w:szCs w:val="24"/>
                <w:lang w:eastAsia="ru-RU"/>
              </w:rPr>
              <w:t>39</w:t>
            </w:r>
          </w:p>
        </w:tc>
        <w:tc>
          <w:tcPr>
            <w:tcW w:w="1101" w:type="dxa"/>
            <w:shd w:val="clear" w:color="auto" w:fill="auto"/>
          </w:tcPr>
          <w:p w:rsidR="006738F0" w:rsidRPr="00006A39" w:rsidRDefault="006738F0" w:rsidP="001F7350">
            <w:pPr>
              <w:widowControl w:val="0"/>
              <w:tabs>
                <w:tab w:val="center" w:pos="4677"/>
                <w:tab w:val="right" w:pos="9355"/>
              </w:tabs>
              <w:spacing w:line="276" w:lineRule="auto"/>
              <w:jc w:val="center"/>
              <w:rPr>
                <w:rFonts w:eastAsia="Times New Roman"/>
                <w:sz w:val="24"/>
                <w:szCs w:val="24"/>
                <w:lang w:eastAsia="ru-RU"/>
              </w:rPr>
            </w:pPr>
            <w:r w:rsidRPr="00006A39">
              <w:rPr>
                <w:rFonts w:eastAsia="Times New Roman"/>
                <w:sz w:val="24"/>
                <w:szCs w:val="24"/>
                <w:lang w:eastAsia="ru-RU"/>
              </w:rPr>
              <w:t>39</w:t>
            </w:r>
          </w:p>
        </w:tc>
        <w:tc>
          <w:tcPr>
            <w:tcW w:w="1025" w:type="dxa"/>
            <w:shd w:val="clear" w:color="auto" w:fill="auto"/>
          </w:tcPr>
          <w:p w:rsidR="006738F0" w:rsidRPr="00006A39" w:rsidRDefault="006738F0" w:rsidP="001F7350">
            <w:pPr>
              <w:widowControl w:val="0"/>
              <w:tabs>
                <w:tab w:val="center" w:pos="4677"/>
                <w:tab w:val="right" w:pos="9355"/>
              </w:tabs>
              <w:spacing w:line="276" w:lineRule="auto"/>
              <w:jc w:val="center"/>
              <w:rPr>
                <w:rFonts w:eastAsia="Times New Roman"/>
                <w:sz w:val="24"/>
                <w:szCs w:val="24"/>
                <w:lang w:eastAsia="ru-RU"/>
              </w:rPr>
            </w:pPr>
            <w:r w:rsidRPr="00006A39">
              <w:rPr>
                <w:rFonts w:eastAsia="Times New Roman"/>
                <w:sz w:val="24"/>
                <w:szCs w:val="24"/>
                <w:lang w:eastAsia="ru-RU"/>
              </w:rPr>
              <w:t>39</w:t>
            </w:r>
          </w:p>
        </w:tc>
        <w:tc>
          <w:tcPr>
            <w:tcW w:w="1101" w:type="dxa"/>
            <w:shd w:val="clear" w:color="auto" w:fill="auto"/>
          </w:tcPr>
          <w:p w:rsidR="006738F0" w:rsidRPr="00006A39" w:rsidRDefault="006738F0" w:rsidP="001F7350">
            <w:pPr>
              <w:widowControl w:val="0"/>
              <w:tabs>
                <w:tab w:val="center" w:pos="4677"/>
                <w:tab w:val="right" w:pos="9355"/>
              </w:tabs>
              <w:spacing w:line="276" w:lineRule="auto"/>
              <w:jc w:val="center"/>
              <w:rPr>
                <w:rFonts w:eastAsia="Times New Roman"/>
                <w:sz w:val="24"/>
                <w:szCs w:val="24"/>
                <w:lang w:eastAsia="ru-RU"/>
              </w:rPr>
            </w:pPr>
            <w:r w:rsidRPr="00006A39">
              <w:rPr>
                <w:rFonts w:eastAsia="Times New Roman"/>
                <w:sz w:val="24"/>
                <w:szCs w:val="24"/>
                <w:lang w:eastAsia="ru-RU"/>
              </w:rPr>
              <w:t>38</w:t>
            </w:r>
          </w:p>
        </w:tc>
        <w:tc>
          <w:tcPr>
            <w:tcW w:w="1144" w:type="dxa"/>
          </w:tcPr>
          <w:p w:rsidR="006738F0" w:rsidRPr="00006A39" w:rsidRDefault="006738F0" w:rsidP="001F7350">
            <w:pPr>
              <w:widowControl w:val="0"/>
              <w:spacing w:line="276" w:lineRule="auto"/>
              <w:jc w:val="center"/>
              <w:rPr>
                <w:sz w:val="24"/>
                <w:szCs w:val="24"/>
              </w:rPr>
            </w:pPr>
            <w:r w:rsidRPr="00006A39">
              <w:rPr>
                <w:sz w:val="24"/>
                <w:szCs w:val="24"/>
              </w:rPr>
              <w:t>38</w:t>
            </w:r>
          </w:p>
        </w:tc>
      </w:tr>
    </w:tbl>
    <w:p w:rsidR="006738F0" w:rsidRPr="00006A39" w:rsidRDefault="006738F0" w:rsidP="00721203">
      <w:pPr>
        <w:pStyle w:val="a5"/>
        <w:widowControl w:val="0"/>
        <w:ind w:left="450"/>
        <w:rPr>
          <w:rFonts w:eastAsia="Times New Roman"/>
          <w:szCs w:val="28"/>
          <w:lang w:eastAsia="ru-RU"/>
        </w:rPr>
      </w:pPr>
    </w:p>
    <w:p w:rsidR="006738F0" w:rsidRPr="00006A39" w:rsidRDefault="006738F0" w:rsidP="00721203">
      <w:pPr>
        <w:pStyle w:val="a5"/>
        <w:widowControl w:val="0"/>
        <w:ind w:left="450"/>
        <w:jc w:val="right"/>
        <w:rPr>
          <w:rFonts w:eastAsia="Times New Roman"/>
          <w:i/>
          <w:szCs w:val="28"/>
          <w:lang w:eastAsia="ru-RU"/>
        </w:rPr>
      </w:pPr>
      <w:r w:rsidRPr="00006A39">
        <w:rPr>
          <w:rFonts w:eastAsia="Times New Roman"/>
          <w:i/>
          <w:szCs w:val="28"/>
          <w:lang w:eastAsia="ru-RU"/>
        </w:rPr>
        <w:t>Таблиця 5.2</w:t>
      </w:r>
    </w:p>
    <w:p w:rsidR="006738F0" w:rsidRPr="00006A39" w:rsidRDefault="006738F0" w:rsidP="00721203">
      <w:pPr>
        <w:pStyle w:val="a5"/>
        <w:widowControl w:val="0"/>
        <w:autoSpaceDE w:val="0"/>
        <w:autoSpaceDN w:val="0"/>
        <w:spacing w:line="240" w:lineRule="auto"/>
        <w:ind w:left="450"/>
        <w:jc w:val="center"/>
        <w:rPr>
          <w:rFonts w:eastAsia="Times New Roman"/>
          <w:b/>
          <w:szCs w:val="28"/>
        </w:rPr>
      </w:pPr>
      <w:r w:rsidRPr="00006A39">
        <w:rPr>
          <w:rFonts w:eastAsia="Times New Roman"/>
          <w:b/>
          <w:szCs w:val="28"/>
        </w:rPr>
        <w:t>Структура закладів, які мають відділення (кабінети)  сімейного лікаря (2014р., 2018 рр.)</w:t>
      </w:r>
    </w:p>
    <w:p w:rsidR="006738F0" w:rsidRPr="00006A39" w:rsidRDefault="006738F0" w:rsidP="00721203">
      <w:pPr>
        <w:pStyle w:val="a5"/>
        <w:widowControl w:val="0"/>
        <w:autoSpaceDE w:val="0"/>
        <w:autoSpaceDN w:val="0"/>
        <w:spacing w:line="240" w:lineRule="auto"/>
        <w:ind w:left="450"/>
        <w:rPr>
          <w:rFonts w:eastAsia="Times New Roman"/>
          <w:b/>
          <w:szCs w:val="28"/>
        </w:rPr>
      </w:pPr>
    </w:p>
    <w:tbl>
      <w:tblPr>
        <w:tblStyle w:val="TableNormal"/>
        <w:tblW w:w="0" w:type="auto"/>
        <w:jc w:val="center"/>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1843"/>
        <w:gridCol w:w="1091"/>
        <w:gridCol w:w="1679"/>
        <w:gridCol w:w="667"/>
        <w:gridCol w:w="620"/>
        <w:gridCol w:w="617"/>
        <w:gridCol w:w="1146"/>
        <w:gridCol w:w="1222"/>
        <w:gridCol w:w="1183"/>
      </w:tblGrid>
      <w:tr w:rsidR="006738F0" w:rsidRPr="00006A39" w:rsidTr="00CE3632">
        <w:trPr>
          <w:trHeight w:val="20"/>
          <w:jc w:val="center"/>
        </w:trPr>
        <w:tc>
          <w:tcPr>
            <w:tcW w:w="1843" w:type="dxa"/>
            <w:vMerge w:val="restart"/>
          </w:tcPr>
          <w:p w:rsidR="006738F0" w:rsidRPr="00006A39" w:rsidRDefault="006738F0" w:rsidP="00721203">
            <w:pPr>
              <w:spacing w:line="276" w:lineRule="auto"/>
              <w:jc w:val="center"/>
              <w:rPr>
                <w:rFonts w:ascii="Times New Roman" w:hAnsi="Times New Roman" w:cs="Times New Roman"/>
                <w:sz w:val="24"/>
                <w:szCs w:val="24"/>
                <w:lang w:val="uk-UA"/>
              </w:rPr>
            </w:pPr>
          </w:p>
          <w:p w:rsidR="006738F0" w:rsidRPr="00006A39" w:rsidRDefault="006738F0" w:rsidP="00721203">
            <w:pPr>
              <w:spacing w:line="276" w:lineRule="auto"/>
              <w:jc w:val="center"/>
              <w:rPr>
                <w:rFonts w:ascii="Times New Roman" w:hAnsi="Times New Roman" w:cs="Times New Roman"/>
                <w:sz w:val="24"/>
                <w:szCs w:val="24"/>
                <w:lang w:val="uk-UA"/>
              </w:rPr>
            </w:pPr>
            <w:r w:rsidRPr="00006A39">
              <w:rPr>
                <w:rFonts w:ascii="Times New Roman" w:hAnsi="Times New Roman" w:cs="Times New Roman"/>
                <w:sz w:val="24"/>
                <w:szCs w:val="24"/>
                <w:lang w:val="uk-UA"/>
              </w:rPr>
              <w:t>Роки</w:t>
            </w:r>
          </w:p>
        </w:tc>
        <w:tc>
          <w:tcPr>
            <w:tcW w:w="1091" w:type="dxa"/>
            <w:vMerge w:val="restart"/>
          </w:tcPr>
          <w:p w:rsidR="006738F0" w:rsidRPr="00006A39" w:rsidRDefault="006738F0" w:rsidP="00721203">
            <w:pPr>
              <w:spacing w:line="276" w:lineRule="auto"/>
              <w:ind w:right="141"/>
              <w:jc w:val="center"/>
              <w:rPr>
                <w:rFonts w:ascii="Times New Roman" w:hAnsi="Times New Roman" w:cs="Times New Roman"/>
                <w:sz w:val="24"/>
                <w:szCs w:val="24"/>
                <w:lang w:val="uk-UA"/>
              </w:rPr>
            </w:pPr>
            <w:r w:rsidRPr="00006A39">
              <w:rPr>
                <w:rFonts w:ascii="Times New Roman" w:hAnsi="Times New Roman" w:cs="Times New Roman"/>
                <w:sz w:val="24"/>
                <w:szCs w:val="24"/>
                <w:lang w:val="uk-UA"/>
              </w:rPr>
              <w:t>Само- стійні  заклади</w:t>
            </w:r>
            <w:r w:rsidR="00FB0783" w:rsidRPr="00006A39">
              <w:rPr>
                <w:rFonts w:ascii="Times New Roman" w:hAnsi="Times New Roman" w:cs="Times New Roman"/>
                <w:sz w:val="24"/>
                <w:szCs w:val="24"/>
                <w:lang w:val="uk-UA"/>
              </w:rPr>
              <w:t xml:space="preserve"> </w:t>
            </w:r>
            <w:r w:rsidRPr="00006A39">
              <w:rPr>
                <w:rFonts w:ascii="Times New Roman" w:hAnsi="Times New Roman" w:cs="Times New Roman"/>
                <w:sz w:val="24"/>
                <w:szCs w:val="24"/>
                <w:lang w:val="uk-UA"/>
              </w:rPr>
              <w:t>ЗПСМ</w:t>
            </w:r>
          </w:p>
        </w:tc>
        <w:tc>
          <w:tcPr>
            <w:tcW w:w="0" w:type="auto"/>
            <w:vMerge w:val="restart"/>
          </w:tcPr>
          <w:p w:rsidR="006738F0" w:rsidRPr="00006A39" w:rsidRDefault="006738F0" w:rsidP="00721203">
            <w:pPr>
              <w:spacing w:line="276" w:lineRule="auto"/>
              <w:ind w:left="165" w:right="149" w:hanging="3"/>
              <w:jc w:val="center"/>
              <w:rPr>
                <w:rFonts w:ascii="Times New Roman" w:hAnsi="Times New Roman" w:cs="Times New Roman"/>
                <w:sz w:val="24"/>
                <w:szCs w:val="24"/>
                <w:lang w:val="uk-UA"/>
              </w:rPr>
            </w:pPr>
            <w:r w:rsidRPr="00006A39">
              <w:rPr>
                <w:rFonts w:ascii="Times New Roman" w:hAnsi="Times New Roman" w:cs="Times New Roman"/>
                <w:sz w:val="24"/>
                <w:szCs w:val="24"/>
                <w:lang w:val="uk-UA"/>
              </w:rPr>
              <w:t>Заклади, які мають кабінет</w:t>
            </w:r>
          </w:p>
          <w:p w:rsidR="006738F0" w:rsidRPr="00006A39" w:rsidRDefault="00B1287B" w:rsidP="00721203">
            <w:pPr>
              <w:spacing w:line="276" w:lineRule="auto"/>
              <w:ind w:right="262"/>
              <w:jc w:val="center"/>
              <w:rPr>
                <w:rFonts w:ascii="Times New Roman" w:hAnsi="Times New Roman" w:cs="Times New Roman"/>
                <w:sz w:val="24"/>
                <w:szCs w:val="24"/>
                <w:lang w:val="uk-UA"/>
              </w:rPr>
            </w:pPr>
            <w:r>
              <w:rPr>
                <w:rFonts w:ascii="Times New Roman" w:hAnsi="Times New Roman" w:cs="Times New Roman"/>
                <w:sz w:val="24"/>
                <w:szCs w:val="24"/>
                <w:lang w:val="ru-RU"/>
              </w:rPr>
              <w:t xml:space="preserve">     с</w:t>
            </w:r>
            <w:r w:rsidR="006738F0" w:rsidRPr="00006A39">
              <w:rPr>
                <w:rFonts w:ascii="Times New Roman" w:hAnsi="Times New Roman" w:cs="Times New Roman"/>
                <w:sz w:val="24"/>
                <w:szCs w:val="24"/>
                <w:lang w:val="uk-UA"/>
              </w:rPr>
              <w:t>імейного</w:t>
            </w:r>
            <w:r w:rsidR="00FB0783" w:rsidRPr="00006A39">
              <w:rPr>
                <w:rFonts w:ascii="Times New Roman" w:hAnsi="Times New Roman" w:cs="Times New Roman"/>
                <w:sz w:val="24"/>
                <w:szCs w:val="24"/>
                <w:lang w:val="uk-UA"/>
              </w:rPr>
              <w:t xml:space="preserve"> </w:t>
            </w:r>
            <w:r>
              <w:rPr>
                <w:rFonts w:ascii="Times New Roman" w:hAnsi="Times New Roman" w:cs="Times New Roman"/>
                <w:sz w:val="24"/>
                <w:szCs w:val="24"/>
                <w:lang w:val="ru-RU"/>
              </w:rPr>
              <w:t xml:space="preserve">    </w:t>
            </w:r>
            <w:r w:rsidR="006738F0" w:rsidRPr="00006A39">
              <w:rPr>
                <w:rFonts w:ascii="Times New Roman" w:hAnsi="Times New Roman" w:cs="Times New Roman"/>
                <w:sz w:val="24"/>
                <w:szCs w:val="24"/>
                <w:lang w:val="uk-UA"/>
              </w:rPr>
              <w:t>лікаря</w:t>
            </w:r>
          </w:p>
        </w:tc>
        <w:tc>
          <w:tcPr>
            <w:tcW w:w="0" w:type="auto"/>
            <w:gridSpan w:val="6"/>
          </w:tcPr>
          <w:p w:rsidR="006738F0" w:rsidRPr="00006A39" w:rsidRDefault="00FB0783" w:rsidP="00721203">
            <w:pPr>
              <w:spacing w:line="276" w:lineRule="auto"/>
              <w:ind w:left="1415" w:right="2195"/>
              <w:jc w:val="center"/>
              <w:rPr>
                <w:rFonts w:ascii="Times New Roman" w:hAnsi="Times New Roman" w:cs="Times New Roman"/>
                <w:sz w:val="24"/>
                <w:szCs w:val="24"/>
                <w:lang w:val="uk-UA"/>
              </w:rPr>
            </w:pPr>
            <w:r w:rsidRPr="00006A39">
              <w:rPr>
                <w:rFonts w:ascii="Times New Roman" w:hAnsi="Times New Roman" w:cs="Times New Roman"/>
                <w:sz w:val="24"/>
                <w:szCs w:val="24"/>
                <w:lang w:val="uk-UA"/>
              </w:rPr>
              <w:t>у</w:t>
            </w:r>
            <w:r w:rsidR="006738F0" w:rsidRPr="00006A39">
              <w:rPr>
                <w:rFonts w:ascii="Times New Roman" w:hAnsi="Times New Roman" w:cs="Times New Roman"/>
                <w:sz w:val="24"/>
                <w:szCs w:val="24"/>
                <w:lang w:val="uk-UA"/>
              </w:rPr>
              <w:t xml:space="preserve"> тому </w:t>
            </w:r>
            <w:r w:rsidRPr="00006A39">
              <w:rPr>
                <w:rFonts w:ascii="Times New Roman" w:hAnsi="Times New Roman" w:cs="Times New Roman"/>
                <w:sz w:val="24"/>
                <w:szCs w:val="24"/>
                <w:lang w:val="uk-UA"/>
              </w:rPr>
              <w:t>ч</w:t>
            </w:r>
            <w:r w:rsidR="006738F0" w:rsidRPr="00006A39">
              <w:rPr>
                <w:rFonts w:ascii="Times New Roman" w:hAnsi="Times New Roman" w:cs="Times New Roman"/>
                <w:sz w:val="24"/>
                <w:szCs w:val="24"/>
                <w:lang w:val="uk-UA"/>
              </w:rPr>
              <w:t>ислі:</w:t>
            </w:r>
          </w:p>
        </w:tc>
      </w:tr>
      <w:tr w:rsidR="006738F0" w:rsidRPr="00006A39" w:rsidTr="00CE3632">
        <w:trPr>
          <w:trHeight w:val="20"/>
          <w:jc w:val="center"/>
        </w:trPr>
        <w:tc>
          <w:tcPr>
            <w:tcW w:w="1843" w:type="dxa"/>
            <w:vMerge/>
            <w:tcBorders>
              <w:top w:val="nil"/>
            </w:tcBorders>
          </w:tcPr>
          <w:p w:rsidR="006738F0" w:rsidRPr="00006A39" w:rsidRDefault="006738F0" w:rsidP="00721203">
            <w:pPr>
              <w:spacing w:line="276" w:lineRule="auto"/>
              <w:jc w:val="center"/>
              <w:rPr>
                <w:rFonts w:ascii="Times New Roman" w:hAnsi="Times New Roman" w:cs="Times New Roman"/>
                <w:sz w:val="24"/>
                <w:szCs w:val="24"/>
                <w:lang w:val="uk-UA"/>
              </w:rPr>
            </w:pPr>
          </w:p>
        </w:tc>
        <w:tc>
          <w:tcPr>
            <w:tcW w:w="1091" w:type="dxa"/>
            <w:vMerge/>
            <w:tcBorders>
              <w:top w:val="nil"/>
            </w:tcBorders>
          </w:tcPr>
          <w:p w:rsidR="006738F0" w:rsidRPr="00006A39" w:rsidRDefault="006738F0" w:rsidP="00721203">
            <w:pPr>
              <w:spacing w:line="276" w:lineRule="auto"/>
              <w:jc w:val="center"/>
              <w:rPr>
                <w:rFonts w:ascii="Times New Roman" w:hAnsi="Times New Roman" w:cs="Times New Roman"/>
                <w:sz w:val="24"/>
                <w:szCs w:val="24"/>
                <w:lang w:val="uk-UA"/>
              </w:rPr>
            </w:pPr>
          </w:p>
        </w:tc>
        <w:tc>
          <w:tcPr>
            <w:tcW w:w="0" w:type="auto"/>
            <w:vMerge/>
            <w:tcBorders>
              <w:top w:val="nil"/>
            </w:tcBorders>
          </w:tcPr>
          <w:p w:rsidR="006738F0" w:rsidRPr="00006A39" w:rsidRDefault="006738F0" w:rsidP="00721203">
            <w:pPr>
              <w:spacing w:line="276" w:lineRule="auto"/>
              <w:jc w:val="center"/>
              <w:rPr>
                <w:rFonts w:ascii="Times New Roman" w:hAnsi="Times New Roman" w:cs="Times New Roman"/>
                <w:sz w:val="24"/>
                <w:szCs w:val="24"/>
                <w:lang w:val="uk-UA"/>
              </w:rPr>
            </w:pPr>
          </w:p>
        </w:tc>
        <w:tc>
          <w:tcPr>
            <w:tcW w:w="0" w:type="auto"/>
          </w:tcPr>
          <w:p w:rsidR="006738F0" w:rsidRPr="00006A39" w:rsidRDefault="006738F0" w:rsidP="00B1287B">
            <w:pPr>
              <w:spacing w:line="276" w:lineRule="auto"/>
              <w:ind w:right="181"/>
              <w:jc w:val="center"/>
              <w:rPr>
                <w:rFonts w:ascii="Times New Roman" w:hAnsi="Times New Roman" w:cs="Times New Roman"/>
                <w:sz w:val="24"/>
                <w:szCs w:val="24"/>
                <w:lang w:val="uk-UA"/>
              </w:rPr>
            </w:pPr>
            <w:r w:rsidRPr="00006A39">
              <w:rPr>
                <w:rFonts w:ascii="Times New Roman" w:hAnsi="Times New Roman" w:cs="Times New Roman"/>
                <w:sz w:val="24"/>
                <w:szCs w:val="24"/>
                <w:lang w:val="uk-UA"/>
              </w:rPr>
              <w:t>ЦРЛ</w:t>
            </w:r>
          </w:p>
        </w:tc>
        <w:tc>
          <w:tcPr>
            <w:tcW w:w="0" w:type="auto"/>
          </w:tcPr>
          <w:p w:rsidR="006738F0" w:rsidRPr="00006A39" w:rsidRDefault="006738F0" w:rsidP="00B1287B">
            <w:pPr>
              <w:spacing w:line="276" w:lineRule="auto"/>
              <w:ind w:right="160"/>
              <w:jc w:val="center"/>
              <w:rPr>
                <w:rFonts w:ascii="Times New Roman" w:hAnsi="Times New Roman" w:cs="Times New Roman"/>
                <w:sz w:val="24"/>
                <w:szCs w:val="24"/>
                <w:lang w:val="uk-UA"/>
              </w:rPr>
            </w:pPr>
            <w:r w:rsidRPr="00006A39">
              <w:rPr>
                <w:rFonts w:ascii="Times New Roman" w:hAnsi="Times New Roman" w:cs="Times New Roman"/>
                <w:sz w:val="24"/>
                <w:szCs w:val="24"/>
                <w:lang w:val="uk-UA"/>
              </w:rPr>
              <w:t>РЛ</w:t>
            </w:r>
          </w:p>
        </w:tc>
        <w:tc>
          <w:tcPr>
            <w:tcW w:w="0" w:type="auto"/>
          </w:tcPr>
          <w:p w:rsidR="006738F0" w:rsidRPr="00006A39" w:rsidRDefault="006738F0" w:rsidP="00B1287B">
            <w:pPr>
              <w:spacing w:line="276" w:lineRule="auto"/>
              <w:ind w:right="171"/>
              <w:jc w:val="center"/>
              <w:rPr>
                <w:rFonts w:ascii="Times New Roman" w:hAnsi="Times New Roman" w:cs="Times New Roman"/>
                <w:sz w:val="24"/>
                <w:szCs w:val="24"/>
                <w:lang w:val="uk-UA"/>
              </w:rPr>
            </w:pPr>
            <w:r w:rsidRPr="00006A39">
              <w:rPr>
                <w:rFonts w:ascii="Times New Roman" w:hAnsi="Times New Roman" w:cs="Times New Roman"/>
                <w:sz w:val="24"/>
                <w:szCs w:val="24"/>
                <w:lang w:val="uk-UA"/>
              </w:rPr>
              <w:t>ДЛ</w:t>
            </w:r>
          </w:p>
        </w:tc>
        <w:tc>
          <w:tcPr>
            <w:tcW w:w="0" w:type="auto"/>
          </w:tcPr>
          <w:p w:rsidR="006738F0" w:rsidRPr="00006A39" w:rsidRDefault="006738F0" w:rsidP="00B1287B">
            <w:pPr>
              <w:spacing w:line="276" w:lineRule="auto"/>
              <w:ind w:right="215"/>
              <w:jc w:val="center"/>
              <w:rPr>
                <w:rFonts w:ascii="Times New Roman" w:hAnsi="Times New Roman" w:cs="Times New Roman"/>
                <w:sz w:val="24"/>
                <w:szCs w:val="24"/>
                <w:lang w:val="uk-UA"/>
              </w:rPr>
            </w:pPr>
            <w:r w:rsidRPr="00006A39">
              <w:rPr>
                <w:rFonts w:ascii="Times New Roman" w:hAnsi="Times New Roman" w:cs="Times New Roman"/>
                <w:sz w:val="24"/>
                <w:szCs w:val="24"/>
                <w:lang w:val="uk-UA"/>
              </w:rPr>
              <w:t>амбула- торії</w:t>
            </w:r>
          </w:p>
        </w:tc>
        <w:tc>
          <w:tcPr>
            <w:tcW w:w="0" w:type="auto"/>
          </w:tcPr>
          <w:p w:rsidR="006738F0" w:rsidRPr="00006A39" w:rsidRDefault="006738F0" w:rsidP="00B1287B">
            <w:pPr>
              <w:spacing w:line="276" w:lineRule="auto"/>
              <w:ind w:right="144"/>
              <w:jc w:val="center"/>
              <w:rPr>
                <w:rFonts w:ascii="Times New Roman" w:hAnsi="Times New Roman" w:cs="Times New Roman"/>
                <w:sz w:val="24"/>
                <w:szCs w:val="24"/>
                <w:lang w:val="uk-UA"/>
              </w:rPr>
            </w:pPr>
            <w:r w:rsidRPr="00006A39">
              <w:rPr>
                <w:rFonts w:ascii="Times New Roman" w:hAnsi="Times New Roman" w:cs="Times New Roman"/>
                <w:sz w:val="24"/>
                <w:szCs w:val="24"/>
                <w:lang w:val="uk-UA"/>
              </w:rPr>
              <w:t xml:space="preserve">міські </w:t>
            </w:r>
            <w:r w:rsidRPr="00006A39">
              <w:rPr>
                <w:rFonts w:ascii="Times New Roman" w:hAnsi="Times New Roman" w:cs="Times New Roman"/>
                <w:color w:val="000000" w:themeColor="text1"/>
                <w:sz w:val="24"/>
                <w:szCs w:val="24"/>
                <w:lang w:val="uk-UA"/>
              </w:rPr>
              <w:t>поліклі-</w:t>
            </w:r>
            <w:r w:rsidRPr="00006A39">
              <w:rPr>
                <w:rFonts w:ascii="Times New Roman" w:hAnsi="Times New Roman" w:cs="Times New Roman"/>
                <w:sz w:val="24"/>
                <w:szCs w:val="24"/>
                <w:lang w:val="uk-UA"/>
              </w:rPr>
              <w:t xml:space="preserve"> ніки</w:t>
            </w:r>
          </w:p>
        </w:tc>
        <w:tc>
          <w:tcPr>
            <w:tcW w:w="0" w:type="auto"/>
          </w:tcPr>
          <w:p w:rsidR="006738F0" w:rsidRPr="00006A39" w:rsidRDefault="006738F0" w:rsidP="00B1287B">
            <w:pPr>
              <w:spacing w:line="276" w:lineRule="auto"/>
              <w:ind w:right="270"/>
              <w:jc w:val="center"/>
              <w:rPr>
                <w:rFonts w:ascii="Times New Roman" w:hAnsi="Times New Roman" w:cs="Times New Roman"/>
                <w:sz w:val="24"/>
                <w:szCs w:val="24"/>
                <w:lang w:val="uk-UA"/>
              </w:rPr>
            </w:pPr>
            <w:r w:rsidRPr="00006A39">
              <w:rPr>
                <w:rFonts w:ascii="Times New Roman" w:hAnsi="Times New Roman" w:cs="Times New Roman"/>
                <w:sz w:val="24"/>
                <w:szCs w:val="24"/>
                <w:lang w:val="uk-UA"/>
              </w:rPr>
              <w:t>інші заклади</w:t>
            </w:r>
          </w:p>
        </w:tc>
      </w:tr>
      <w:tr w:rsidR="006738F0" w:rsidRPr="00006A39" w:rsidTr="00CE3632">
        <w:trPr>
          <w:trHeight w:val="20"/>
          <w:jc w:val="center"/>
        </w:trPr>
        <w:tc>
          <w:tcPr>
            <w:tcW w:w="1843" w:type="dxa"/>
          </w:tcPr>
          <w:p w:rsidR="006738F0" w:rsidRPr="00006A39" w:rsidRDefault="006738F0" w:rsidP="00721203">
            <w:pPr>
              <w:spacing w:line="276" w:lineRule="auto"/>
              <w:jc w:val="center"/>
              <w:rPr>
                <w:rFonts w:ascii="Times New Roman" w:hAnsi="Times New Roman" w:cs="Times New Roman"/>
                <w:sz w:val="24"/>
                <w:szCs w:val="24"/>
                <w:lang w:val="uk-UA"/>
              </w:rPr>
            </w:pPr>
            <w:r w:rsidRPr="00006A39">
              <w:rPr>
                <w:rFonts w:ascii="Times New Roman" w:hAnsi="Times New Roman" w:cs="Times New Roman"/>
                <w:sz w:val="24"/>
                <w:szCs w:val="24"/>
                <w:lang w:val="uk-UA"/>
              </w:rPr>
              <w:t xml:space="preserve">2014 </w:t>
            </w:r>
          </w:p>
        </w:tc>
        <w:tc>
          <w:tcPr>
            <w:tcW w:w="1091" w:type="dxa"/>
          </w:tcPr>
          <w:p w:rsidR="006738F0" w:rsidRPr="00006A39" w:rsidRDefault="006738F0" w:rsidP="00721203">
            <w:pPr>
              <w:spacing w:line="276" w:lineRule="auto"/>
              <w:ind w:right="196"/>
              <w:jc w:val="center"/>
              <w:rPr>
                <w:rFonts w:ascii="Times New Roman" w:hAnsi="Times New Roman" w:cs="Times New Roman"/>
                <w:sz w:val="24"/>
                <w:szCs w:val="24"/>
                <w:lang w:val="uk-UA"/>
              </w:rPr>
            </w:pPr>
            <w:r w:rsidRPr="00006A39">
              <w:rPr>
                <w:rFonts w:ascii="Times New Roman" w:hAnsi="Times New Roman" w:cs="Times New Roman"/>
                <w:sz w:val="24"/>
                <w:szCs w:val="24"/>
                <w:lang w:val="uk-UA"/>
              </w:rPr>
              <w:t xml:space="preserve"> 530</w:t>
            </w:r>
          </w:p>
        </w:tc>
        <w:tc>
          <w:tcPr>
            <w:tcW w:w="0" w:type="auto"/>
          </w:tcPr>
          <w:p w:rsidR="006738F0" w:rsidRPr="00006A39" w:rsidRDefault="006738F0" w:rsidP="00721203">
            <w:pPr>
              <w:spacing w:line="276" w:lineRule="auto"/>
              <w:ind w:left="276" w:right="260"/>
              <w:jc w:val="center"/>
              <w:rPr>
                <w:rFonts w:ascii="Times New Roman" w:hAnsi="Times New Roman" w:cs="Times New Roman"/>
                <w:sz w:val="24"/>
                <w:szCs w:val="24"/>
                <w:lang w:val="uk-UA"/>
              </w:rPr>
            </w:pPr>
            <w:r w:rsidRPr="00006A39">
              <w:rPr>
                <w:rFonts w:ascii="Times New Roman" w:hAnsi="Times New Roman" w:cs="Times New Roman"/>
                <w:sz w:val="24"/>
                <w:szCs w:val="24"/>
                <w:lang w:val="uk-UA"/>
              </w:rPr>
              <w:t>794</w:t>
            </w:r>
          </w:p>
        </w:tc>
        <w:tc>
          <w:tcPr>
            <w:tcW w:w="0" w:type="auto"/>
          </w:tcPr>
          <w:p w:rsidR="006738F0" w:rsidRPr="00006A39" w:rsidRDefault="006738F0" w:rsidP="00721203">
            <w:pPr>
              <w:spacing w:line="276" w:lineRule="auto"/>
              <w:ind w:left="191" w:right="180"/>
              <w:jc w:val="center"/>
              <w:rPr>
                <w:rFonts w:ascii="Times New Roman" w:hAnsi="Times New Roman" w:cs="Times New Roman"/>
                <w:sz w:val="24"/>
                <w:szCs w:val="24"/>
                <w:lang w:val="uk-UA"/>
              </w:rPr>
            </w:pPr>
            <w:r w:rsidRPr="00006A39">
              <w:rPr>
                <w:rFonts w:ascii="Times New Roman" w:hAnsi="Times New Roman" w:cs="Times New Roman"/>
                <w:sz w:val="24"/>
                <w:szCs w:val="24"/>
                <w:lang w:val="uk-UA"/>
              </w:rPr>
              <w:t>65</w:t>
            </w:r>
          </w:p>
        </w:tc>
        <w:tc>
          <w:tcPr>
            <w:tcW w:w="0" w:type="auto"/>
          </w:tcPr>
          <w:p w:rsidR="006738F0" w:rsidRPr="00006A39" w:rsidRDefault="006738F0" w:rsidP="00721203">
            <w:pPr>
              <w:spacing w:line="276" w:lineRule="auto"/>
              <w:ind w:left="172" w:right="160"/>
              <w:jc w:val="center"/>
              <w:rPr>
                <w:rFonts w:ascii="Times New Roman" w:hAnsi="Times New Roman" w:cs="Times New Roman"/>
                <w:sz w:val="24"/>
                <w:szCs w:val="24"/>
                <w:lang w:val="uk-UA"/>
              </w:rPr>
            </w:pPr>
            <w:r w:rsidRPr="00006A39">
              <w:rPr>
                <w:rFonts w:ascii="Times New Roman" w:hAnsi="Times New Roman" w:cs="Times New Roman"/>
                <w:sz w:val="24"/>
                <w:szCs w:val="24"/>
                <w:lang w:val="uk-UA"/>
              </w:rPr>
              <w:t>31</w:t>
            </w:r>
          </w:p>
        </w:tc>
        <w:tc>
          <w:tcPr>
            <w:tcW w:w="0" w:type="auto"/>
          </w:tcPr>
          <w:p w:rsidR="006738F0" w:rsidRPr="00006A39" w:rsidRDefault="006738F0" w:rsidP="00721203">
            <w:pPr>
              <w:spacing w:line="276" w:lineRule="auto"/>
              <w:ind w:right="170"/>
              <w:jc w:val="center"/>
              <w:rPr>
                <w:rFonts w:ascii="Times New Roman" w:hAnsi="Times New Roman" w:cs="Times New Roman"/>
                <w:sz w:val="24"/>
                <w:szCs w:val="24"/>
                <w:lang w:val="uk-UA"/>
              </w:rPr>
            </w:pPr>
            <w:r w:rsidRPr="00006A39">
              <w:rPr>
                <w:rFonts w:ascii="Times New Roman" w:hAnsi="Times New Roman" w:cs="Times New Roman"/>
                <w:sz w:val="24"/>
                <w:szCs w:val="24"/>
                <w:lang w:val="uk-UA"/>
              </w:rPr>
              <w:t>34</w:t>
            </w:r>
          </w:p>
        </w:tc>
        <w:tc>
          <w:tcPr>
            <w:tcW w:w="0" w:type="auto"/>
          </w:tcPr>
          <w:p w:rsidR="006738F0" w:rsidRPr="00006A39" w:rsidRDefault="006738F0" w:rsidP="00721203">
            <w:pPr>
              <w:spacing w:line="276" w:lineRule="auto"/>
              <w:ind w:left="20"/>
              <w:jc w:val="center"/>
              <w:rPr>
                <w:rFonts w:ascii="Times New Roman" w:hAnsi="Times New Roman" w:cs="Times New Roman"/>
                <w:sz w:val="24"/>
                <w:szCs w:val="24"/>
                <w:lang w:val="uk-UA"/>
              </w:rPr>
            </w:pPr>
            <w:r w:rsidRPr="00006A39">
              <w:rPr>
                <w:rFonts w:ascii="Times New Roman" w:hAnsi="Times New Roman" w:cs="Times New Roman"/>
                <w:sz w:val="24"/>
                <w:szCs w:val="24"/>
                <w:lang w:val="uk-UA"/>
              </w:rPr>
              <w:t>5</w:t>
            </w:r>
          </w:p>
        </w:tc>
        <w:tc>
          <w:tcPr>
            <w:tcW w:w="0" w:type="auto"/>
          </w:tcPr>
          <w:p w:rsidR="006738F0" w:rsidRPr="00006A39" w:rsidRDefault="006738F0" w:rsidP="00721203">
            <w:pPr>
              <w:spacing w:line="276" w:lineRule="auto"/>
              <w:ind w:left="160" w:right="143"/>
              <w:jc w:val="center"/>
              <w:rPr>
                <w:rFonts w:ascii="Times New Roman" w:hAnsi="Times New Roman" w:cs="Times New Roman"/>
                <w:sz w:val="24"/>
                <w:szCs w:val="24"/>
                <w:lang w:val="uk-UA"/>
              </w:rPr>
            </w:pPr>
            <w:r w:rsidRPr="00006A39">
              <w:rPr>
                <w:rFonts w:ascii="Times New Roman" w:hAnsi="Times New Roman" w:cs="Times New Roman"/>
                <w:sz w:val="24"/>
                <w:szCs w:val="24"/>
                <w:lang w:val="uk-UA"/>
              </w:rPr>
              <w:t>101</w:t>
            </w:r>
          </w:p>
        </w:tc>
        <w:tc>
          <w:tcPr>
            <w:tcW w:w="0" w:type="auto"/>
          </w:tcPr>
          <w:p w:rsidR="006738F0" w:rsidRPr="00006A39" w:rsidRDefault="006738F0" w:rsidP="00721203">
            <w:pPr>
              <w:spacing w:line="276" w:lineRule="auto"/>
              <w:ind w:left="101" w:right="84"/>
              <w:jc w:val="center"/>
              <w:rPr>
                <w:rFonts w:ascii="Times New Roman" w:hAnsi="Times New Roman" w:cs="Times New Roman"/>
                <w:sz w:val="24"/>
                <w:szCs w:val="24"/>
                <w:lang w:val="uk-UA"/>
              </w:rPr>
            </w:pPr>
            <w:r w:rsidRPr="00006A39">
              <w:rPr>
                <w:rFonts w:ascii="Times New Roman" w:hAnsi="Times New Roman" w:cs="Times New Roman"/>
                <w:sz w:val="24"/>
                <w:szCs w:val="24"/>
                <w:lang w:val="uk-UA"/>
              </w:rPr>
              <w:t>558</w:t>
            </w:r>
          </w:p>
        </w:tc>
      </w:tr>
      <w:tr w:rsidR="006738F0" w:rsidRPr="00006A39" w:rsidTr="00CE3632">
        <w:trPr>
          <w:trHeight w:val="20"/>
          <w:jc w:val="center"/>
        </w:trPr>
        <w:tc>
          <w:tcPr>
            <w:tcW w:w="1843" w:type="dxa"/>
          </w:tcPr>
          <w:p w:rsidR="006738F0" w:rsidRPr="00006A39" w:rsidRDefault="006738F0" w:rsidP="00721203">
            <w:pPr>
              <w:spacing w:line="276" w:lineRule="auto"/>
              <w:ind w:left="107"/>
              <w:jc w:val="center"/>
              <w:rPr>
                <w:rFonts w:ascii="Times New Roman" w:hAnsi="Times New Roman" w:cs="Times New Roman"/>
                <w:sz w:val="24"/>
                <w:szCs w:val="24"/>
                <w:lang w:val="uk-UA"/>
              </w:rPr>
            </w:pPr>
            <w:r w:rsidRPr="00006A39">
              <w:rPr>
                <w:rFonts w:ascii="Times New Roman" w:hAnsi="Times New Roman" w:cs="Times New Roman"/>
                <w:sz w:val="24"/>
                <w:szCs w:val="24"/>
                <w:lang w:val="uk-UA"/>
              </w:rPr>
              <w:t>2018</w:t>
            </w:r>
          </w:p>
        </w:tc>
        <w:tc>
          <w:tcPr>
            <w:tcW w:w="1091" w:type="dxa"/>
          </w:tcPr>
          <w:p w:rsidR="006738F0" w:rsidRPr="00006A39" w:rsidRDefault="006738F0" w:rsidP="00721203">
            <w:pPr>
              <w:spacing w:line="276" w:lineRule="auto"/>
              <w:ind w:right="196"/>
              <w:jc w:val="center"/>
              <w:rPr>
                <w:rFonts w:ascii="Times New Roman" w:hAnsi="Times New Roman" w:cs="Times New Roman"/>
                <w:sz w:val="24"/>
                <w:szCs w:val="24"/>
                <w:lang w:val="uk-UA"/>
              </w:rPr>
            </w:pPr>
            <w:r w:rsidRPr="00006A39">
              <w:rPr>
                <w:rFonts w:ascii="Times New Roman" w:hAnsi="Times New Roman" w:cs="Times New Roman"/>
                <w:sz w:val="24"/>
                <w:szCs w:val="24"/>
                <w:lang w:val="uk-UA"/>
              </w:rPr>
              <w:t xml:space="preserve"> 283</w:t>
            </w:r>
          </w:p>
        </w:tc>
        <w:tc>
          <w:tcPr>
            <w:tcW w:w="0" w:type="auto"/>
          </w:tcPr>
          <w:p w:rsidR="006738F0" w:rsidRPr="00006A39" w:rsidRDefault="006738F0" w:rsidP="00721203">
            <w:pPr>
              <w:spacing w:line="276" w:lineRule="auto"/>
              <w:ind w:left="276" w:right="260"/>
              <w:jc w:val="center"/>
              <w:rPr>
                <w:rFonts w:ascii="Times New Roman" w:hAnsi="Times New Roman" w:cs="Times New Roman"/>
                <w:sz w:val="24"/>
                <w:szCs w:val="24"/>
                <w:lang w:val="uk-UA"/>
              </w:rPr>
            </w:pPr>
            <w:r w:rsidRPr="00006A39">
              <w:rPr>
                <w:rFonts w:ascii="Times New Roman" w:hAnsi="Times New Roman" w:cs="Times New Roman"/>
                <w:sz w:val="24"/>
                <w:szCs w:val="24"/>
                <w:lang w:val="uk-UA"/>
              </w:rPr>
              <w:t>887</w:t>
            </w:r>
          </w:p>
        </w:tc>
        <w:tc>
          <w:tcPr>
            <w:tcW w:w="0" w:type="auto"/>
          </w:tcPr>
          <w:p w:rsidR="006738F0" w:rsidRPr="00006A39" w:rsidRDefault="006738F0" w:rsidP="00721203">
            <w:pPr>
              <w:spacing w:line="276" w:lineRule="auto"/>
              <w:ind w:left="191" w:right="180"/>
              <w:jc w:val="center"/>
              <w:rPr>
                <w:rFonts w:ascii="Times New Roman" w:hAnsi="Times New Roman" w:cs="Times New Roman"/>
                <w:sz w:val="24"/>
                <w:szCs w:val="24"/>
                <w:lang w:val="uk-UA"/>
              </w:rPr>
            </w:pPr>
            <w:r w:rsidRPr="00006A39">
              <w:rPr>
                <w:rFonts w:ascii="Times New Roman" w:hAnsi="Times New Roman" w:cs="Times New Roman"/>
                <w:sz w:val="24"/>
                <w:szCs w:val="24"/>
                <w:lang w:val="uk-UA"/>
              </w:rPr>
              <w:t>20</w:t>
            </w:r>
          </w:p>
        </w:tc>
        <w:tc>
          <w:tcPr>
            <w:tcW w:w="0" w:type="auto"/>
          </w:tcPr>
          <w:p w:rsidR="006738F0" w:rsidRPr="00006A39" w:rsidRDefault="006738F0" w:rsidP="00721203">
            <w:pPr>
              <w:spacing w:line="276" w:lineRule="auto"/>
              <w:ind w:left="172" w:right="160"/>
              <w:jc w:val="center"/>
              <w:rPr>
                <w:rFonts w:ascii="Times New Roman" w:hAnsi="Times New Roman" w:cs="Times New Roman"/>
                <w:sz w:val="24"/>
                <w:szCs w:val="24"/>
                <w:lang w:val="uk-UA"/>
              </w:rPr>
            </w:pPr>
            <w:r w:rsidRPr="00006A39">
              <w:rPr>
                <w:rFonts w:ascii="Times New Roman" w:hAnsi="Times New Roman" w:cs="Times New Roman"/>
                <w:sz w:val="24"/>
                <w:szCs w:val="24"/>
                <w:lang w:val="uk-UA"/>
              </w:rPr>
              <w:t>20</w:t>
            </w:r>
          </w:p>
        </w:tc>
        <w:tc>
          <w:tcPr>
            <w:tcW w:w="0" w:type="auto"/>
          </w:tcPr>
          <w:p w:rsidR="006738F0" w:rsidRPr="00006A39" w:rsidRDefault="006738F0" w:rsidP="00721203">
            <w:pPr>
              <w:spacing w:line="276" w:lineRule="auto"/>
              <w:ind w:right="170"/>
              <w:jc w:val="center"/>
              <w:rPr>
                <w:rFonts w:ascii="Times New Roman" w:hAnsi="Times New Roman" w:cs="Times New Roman"/>
                <w:sz w:val="24"/>
                <w:szCs w:val="24"/>
                <w:lang w:val="uk-UA"/>
              </w:rPr>
            </w:pPr>
            <w:r w:rsidRPr="00006A39">
              <w:rPr>
                <w:rFonts w:ascii="Times New Roman" w:hAnsi="Times New Roman" w:cs="Times New Roman"/>
                <w:sz w:val="24"/>
                <w:szCs w:val="24"/>
                <w:lang w:val="uk-UA"/>
              </w:rPr>
              <w:t>2</w:t>
            </w:r>
          </w:p>
        </w:tc>
        <w:tc>
          <w:tcPr>
            <w:tcW w:w="0" w:type="auto"/>
          </w:tcPr>
          <w:p w:rsidR="006738F0" w:rsidRPr="00006A39" w:rsidRDefault="006738F0" w:rsidP="00721203">
            <w:pPr>
              <w:spacing w:line="276" w:lineRule="auto"/>
              <w:ind w:left="20"/>
              <w:jc w:val="center"/>
              <w:rPr>
                <w:rFonts w:ascii="Times New Roman" w:hAnsi="Times New Roman" w:cs="Times New Roman"/>
                <w:sz w:val="24"/>
                <w:szCs w:val="24"/>
                <w:lang w:val="uk-UA"/>
              </w:rPr>
            </w:pPr>
            <w:r w:rsidRPr="00006A39">
              <w:rPr>
                <w:rFonts w:ascii="Times New Roman" w:hAnsi="Times New Roman" w:cs="Times New Roman"/>
                <w:sz w:val="24"/>
                <w:szCs w:val="24"/>
                <w:lang w:val="uk-UA"/>
              </w:rPr>
              <w:t>10</w:t>
            </w:r>
          </w:p>
        </w:tc>
        <w:tc>
          <w:tcPr>
            <w:tcW w:w="0" w:type="auto"/>
          </w:tcPr>
          <w:p w:rsidR="006738F0" w:rsidRPr="00006A39" w:rsidRDefault="006738F0" w:rsidP="00721203">
            <w:pPr>
              <w:spacing w:line="276" w:lineRule="auto"/>
              <w:ind w:left="160" w:right="143"/>
              <w:jc w:val="center"/>
              <w:rPr>
                <w:rFonts w:ascii="Times New Roman" w:hAnsi="Times New Roman" w:cs="Times New Roman"/>
                <w:sz w:val="24"/>
                <w:szCs w:val="24"/>
                <w:lang w:val="uk-UA"/>
              </w:rPr>
            </w:pPr>
            <w:r w:rsidRPr="00006A39">
              <w:rPr>
                <w:rFonts w:ascii="Times New Roman" w:hAnsi="Times New Roman" w:cs="Times New Roman"/>
                <w:sz w:val="24"/>
                <w:szCs w:val="24"/>
                <w:lang w:val="uk-UA"/>
              </w:rPr>
              <w:t>61</w:t>
            </w:r>
          </w:p>
        </w:tc>
        <w:tc>
          <w:tcPr>
            <w:tcW w:w="0" w:type="auto"/>
          </w:tcPr>
          <w:p w:rsidR="006738F0" w:rsidRPr="00006A39" w:rsidRDefault="006738F0" w:rsidP="00721203">
            <w:pPr>
              <w:spacing w:line="276" w:lineRule="auto"/>
              <w:ind w:left="101" w:right="84"/>
              <w:jc w:val="center"/>
              <w:rPr>
                <w:rFonts w:ascii="Times New Roman" w:hAnsi="Times New Roman" w:cs="Times New Roman"/>
                <w:sz w:val="24"/>
                <w:szCs w:val="24"/>
                <w:lang w:val="uk-UA"/>
              </w:rPr>
            </w:pPr>
            <w:r w:rsidRPr="00006A39">
              <w:rPr>
                <w:rFonts w:ascii="Times New Roman" w:hAnsi="Times New Roman" w:cs="Times New Roman"/>
                <w:sz w:val="24"/>
                <w:szCs w:val="24"/>
                <w:lang w:val="uk-UA"/>
              </w:rPr>
              <w:t>774</w:t>
            </w:r>
          </w:p>
        </w:tc>
      </w:tr>
      <w:tr w:rsidR="006738F0" w:rsidRPr="00006A39" w:rsidTr="00CE3632">
        <w:trPr>
          <w:trHeight w:val="20"/>
          <w:jc w:val="center"/>
        </w:trPr>
        <w:tc>
          <w:tcPr>
            <w:tcW w:w="1843" w:type="dxa"/>
          </w:tcPr>
          <w:p w:rsidR="006738F0" w:rsidRPr="00006A39" w:rsidRDefault="006738F0" w:rsidP="00721203">
            <w:pPr>
              <w:ind w:left="107"/>
              <w:jc w:val="center"/>
              <w:rPr>
                <w:rFonts w:ascii="Times New Roman" w:hAnsi="Times New Roman" w:cs="Times New Roman"/>
                <w:sz w:val="24"/>
                <w:szCs w:val="24"/>
                <w:lang w:val="uk-UA"/>
              </w:rPr>
            </w:pPr>
            <w:r w:rsidRPr="00006A39">
              <w:rPr>
                <w:rFonts w:ascii="Times New Roman" w:hAnsi="Times New Roman" w:cs="Times New Roman"/>
                <w:sz w:val="24"/>
                <w:szCs w:val="24"/>
                <w:lang w:val="uk-UA"/>
              </w:rPr>
              <w:t>Темп</w:t>
            </w:r>
          </w:p>
          <w:p w:rsidR="006738F0" w:rsidRPr="00006A39" w:rsidRDefault="006738F0" w:rsidP="00721203">
            <w:pPr>
              <w:ind w:left="107"/>
              <w:jc w:val="center"/>
              <w:rPr>
                <w:rFonts w:ascii="Times New Roman" w:hAnsi="Times New Roman" w:cs="Times New Roman"/>
                <w:sz w:val="24"/>
                <w:szCs w:val="24"/>
                <w:lang w:val="uk-UA"/>
              </w:rPr>
            </w:pPr>
            <w:r w:rsidRPr="00006A39">
              <w:rPr>
                <w:rFonts w:ascii="Times New Roman" w:hAnsi="Times New Roman" w:cs="Times New Roman"/>
                <w:sz w:val="24"/>
                <w:szCs w:val="24"/>
                <w:lang w:val="uk-UA"/>
              </w:rPr>
              <w:t>приросту (убутку) 2018 р./2014 р. (%)</w:t>
            </w:r>
          </w:p>
        </w:tc>
        <w:tc>
          <w:tcPr>
            <w:tcW w:w="1091" w:type="dxa"/>
          </w:tcPr>
          <w:p w:rsidR="006738F0" w:rsidRPr="00006A39" w:rsidRDefault="006738F0" w:rsidP="00721203">
            <w:pPr>
              <w:spacing w:line="276" w:lineRule="auto"/>
              <w:ind w:right="196"/>
              <w:jc w:val="center"/>
              <w:rPr>
                <w:rFonts w:ascii="Times New Roman" w:hAnsi="Times New Roman" w:cs="Times New Roman"/>
                <w:sz w:val="24"/>
                <w:szCs w:val="24"/>
                <w:lang w:val="uk-UA"/>
              </w:rPr>
            </w:pPr>
            <w:r w:rsidRPr="00006A39">
              <w:rPr>
                <w:rFonts w:ascii="Times New Roman" w:hAnsi="Times New Roman" w:cs="Times New Roman"/>
                <w:sz w:val="24"/>
                <w:szCs w:val="24"/>
                <w:lang w:val="uk-UA"/>
              </w:rPr>
              <w:t>- 46,6</w:t>
            </w:r>
          </w:p>
        </w:tc>
        <w:tc>
          <w:tcPr>
            <w:tcW w:w="0" w:type="auto"/>
          </w:tcPr>
          <w:p w:rsidR="006738F0" w:rsidRPr="00006A39" w:rsidRDefault="006738F0" w:rsidP="00721203">
            <w:pPr>
              <w:spacing w:line="276" w:lineRule="auto"/>
              <w:ind w:left="276" w:right="260"/>
              <w:jc w:val="center"/>
              <w:rPr>
                <w:rFonts w:ascii="Times New Roman" w:hAnsi="Times New Roman" w:cs="Times New Roman"/>
                <w:sz w:val="24"/>
                <w:szCs w:val="24"/>
                <w:lang w:val="uk-UA"/>
              </w:rPr>
            </w:pPr>
            <w:r w:rsidRPr="00006A39">
              <w:rPr>
                <w:rFonts w:ascii="Times New Roman" w:hAnsi="Times New Roman" w:cs="Times New Roman"/>
                <w:sz w:val="24"/>
                <w:szCs w:val="24"/>
                <w:lang w:val="uk-UA"/>
              </w:rPr>
              <w:t>+11,7%</w:t>
            </w:r>
          </w:p>
        </w:tc>
        <w:tc>
          <w:tcPr>
            <w:tcW w:w="0" w:type="auto"/>
          </w:tcPr>
          <w:p w:rsidR="006738F0" w:rsidRPr="00006A39" w:rsidRDefault="006738F0" w:rsidP="00721203">
            <w:pPr>
              <w:spacing w:line="276" w:lineRule="auto"/>
              <w:ind w:right="180"/>
              <w:jc w:val="right"/>
              <w:rPr>
                <w:rFonts w:ascii="Times New Roman" w:hAnsi="Times New Roman" w:cs="Times New Roman"/>
                <w:sz w:val="24"/>
                <w:szCs w:val="24"/>
                <w:lang w:val="uk-UA"/>
              </w:rPr>
            </w:pPr>
            <w:r w:rsidRPr="00006A39">
              <w:rPr>
                <w:rFonts w:ascii="Times New Roman" w:hAnsi="Times New Roman" w:cs="Times New Roman"/>
                <w:sz w:val="24"/>
                <w:szCs w:val="24"/>
                <w:lang w:val="uk-UA"/>
              </w:rPr>
              <w:t>-69,2</w:t>
            </w:r>
          </w:p>
        </w:tc>
        <w:tc>
          <w:tcPr>
            <w:tcW w:w="0" w:type="auto"/>
          </w:tcPr>
          <w:p w:rsidR="006738F0" w:rsidRPr="00006A39" w:rsidRDefault="006738F0" w:rsidP="00721203">
            <w:pPr>
              <w:spacing w:line="276" w:lineRule="auto"/>
              <w:ind w:right="160"/>
              <w:jc w:val="right"/>
              <w:rPr>
                <w:rFonts w:ascii="Times New Roman" w:hAnsi="Times New Roman" w:cs="Times New Roman"/>
                <w:sz w:val="24"/>
                <w:szCs w:val="24"/>
                <w:lang w:val="uk-UA"/>
              </w:rPr>
            </w:pPr>
            <w:r w:rsidRPr="00006A39">
              <w:rPr>
                <w:rFonts w:ascii="Times New Roman" w:hAnsi="Times New Roman" w:cs="Times New Roman"/>
                <w:sz w:val="24"/>
                <w:szCs w:val="24"/>
                <w:lang w:val="uk-UA"/>
              </w:rPr>
              <w:t>-</w:t>
            </w:r>
            <w:r w:rsidR="00B1287B">
              <w:rPr>
                <w:rFonts w:ascii="Times New Roman" w:hAnsi="Times New Roman" w:cs="Times New Roman"/>
                <w:sz w:val="24"/>
                <w:szCs w:val="24"/>
                <w:lang w:val="ru-RU"/>
              </w:rPr>
              <w:t xml:space="preserve"> </w:t>
            </w:r>
            <w:r w:rsidRPr="00006A39">
              <w:rPr>
                <w:rFonts w:ascii="Times New Roman" w:hAnsi="Times New Roman" w:cs="Times New Roman"/>
                <w:sz w:val="24"/>
                <w:szCs w:val="24"/>
                <w:lang w:val="uk-UA"/>
              </w:rPr>
              <w:t>35,5</w:t>
            </w:r>
          </w:p>
        </w:tc>
        <w:tc>
          <w:tcPr>
            <w:tcW w:w="0" w:type="auto"/>
          </w:tcPr>
          <w:p w:rsidR="006738F0" w:rsidRPr="00006A39" w:rsidRDefault="006738F0" w:rsidP="00721203">
            <w:pPr>
              <w:spacing w:line="276" w:lineRule="auto"/>
              <w:ind w:right="170"/>
              <w:jc w:val="right"/>
              <w:rPr>
                <w:rFonts w:ascii="Times New Roman" w:hAnsi="Times New Roman" w:cs="Times New Roman"/>
                <w:sz w:val="24"/>
                <w:szCs w:val="24"/>
                <w:lang w:val="uk-UA"/>
              </w:rPr>
            </w:pPr>
            <w:r w:rsidRPr="00006A39">
              <w:rPr>
                <w:rFonts w:ascii="Times New Roman" w:hAnsi="Times New Roman" w:cs="Times New Roman"/>
                <w:sz w:val="24"/>
                <w:szCs w:val="24"/>
                <w:lang w:val="uk-UA"/>
              </w:rPr>
              <w:t>-94,1</w:t>
            </w:r>
          </w:p>
        </w:tc>
        <w:tc>
          <w:tcPr>
            <w:tcW w:w="0" w:type="auto"/>
          </w:tcPr>
          <w:p w:rsidR="006738F0" w:rsidRPr="00006A39" w:rsidRDefault="006738F0" w:rsidP="00721203">
            <w:pPr>
              <w:spacing w:line="276" w:lineRule="auto"/>
              <w:ind w:left="20"/>
              <w:jc w:val="center"/>
              <w:rPr>
                <w:rFonts w:ascii="Times New Roman" w:hAnsi="Times New Roman" w:cs="Times New Roman"/>
                <w:sz w:val="24"/>
                <w:szCs w:val="24"/>
                <w:lang w:val="uk-UA"/>
              </w:rPr>
            </w:pPr>
            <w:r w:rsidRPr="00006A39">
              <w:rPr>
                <w:rFonts w:ascii="Times New Roman" w:hAnsi="Times New Roman" w:cs="Times New Roman"/>
                <w:sz w:val="24"/>
                <w:szCs w:val="24"/>
                <w:lang w:val="uk-UA"/>
              </w:rPr>
              <w:t>100,0</w:t>
            </w:r>
          </w:p>
        </w:tc>
        <w:tc>
          <w:tcPr>
            <w:tcW w:w="0" w:type="auto"/>
          </w:tcPr>
          <w:p w:rsidR="006738F0" w:rsidRPr="00006A39" w:rsidRDefault="006738F0" w:rsidP="00721203">
            <w:pPr>
              <w:spacing w:line="276" w:lineRule="auto"/>
              <w:ind w:left="160" w:right="143"/>
              <w:jc w:val="center"/>
              <w:rPr>
                <w:rFonts w:ascii="Times New Roman" w:hAnsi="Times New Roman" w:cs="Times New Roman"/>
                <w:sz w:val="24"/>
                <w:szCs w:val="24"/>
                <w:lang w:val="uk-UA"/>
              </w:rPr>
            </w:pPr>
            <w:r w:rsidRPr="00006A39">
              <w:rPr>
                <w:rFonts w:ascii="Times New Roman" w:hAnsi="Times New Roman" w:cs="Times New Roman"/>
                <w:sz w:val="24"/>
                <w:szCs w:val="24"/>
                <w:lang w:val="uk-UA"/>
              </w:rPr>
              <w:t>-39,6</w:t>
            </w:r>
          </w:p>
        </w:tc>
        <w:tc>
          <w:tcPr>
            <w:tcW w:w="0" w:type="auto"/>
          </w:tcPr>
          <w:p w:rsidR="006738F0" w:rsidRPr="00006A39" w:rsidRDefault="006738F0" w:rsidP="00721203">
            <w:pPr>
              <w:spacing w:line="276" w:lineRule="auto"/>
              <w:ind w:left="101" w:right="84"/>
              <w:jc w:val="center"/>
              <w:rPr>
                <w:rFonts w:ascii="Times New Roman" w:hAnsi="Times New Roman" w:cs="Times New Roman"/>
                <w:sz w:val="24"/>
                <w:szCs w:val="24"/>
                <w:lang w:val="uk-UA"/>
              </w:rPr>
            </w:pPr>
            <w:r w:rsidRPr="00006A39">
              <w:rPr>
                <w:rFonts w:ascii="Times New Roman" w:hAnsi="Times New Roman" w:cs="Times New Roman"/>
                <w:sz w:val="24"/>
                <w:szCs w:val="24"/>
                <w:lang w:val="uk-UA"/>
              </w:rPr>
              <w:t>38,7</w:t>
            </w:r>
          </w:p>
        </w:tc>
      </w:tr>
    </w:tbl>
    <w:p w:rsidR="00964242" w:rsidRDefault="00964242" w:rsidP="00721203">
      <w:pPr>
        <w:pStyle w:val="a5"/>
        <w:widowControl w:val="0"/>
        <w:ind w:left="0" w:firstLine="709"/>
        <w:rPr>
          <w:rFonts w:eastAsia="Times New Roman"/>
          <w:szCs w:val="28"/>
          <w:lang w:val="ru-RU" w:eastAsia="ru-RU"/>
        </w:rPr>
      </w:pPr>
    </w:p>
    <w:p w:rsidR="006738F0" w:rsidRPr="00006A39" w:rsidRDefault="006738F0" w:rsidP="00721203">
      <w:pPr>
        <w:pStyle w:val="a5"/>
        <w:widowControl w:val="0"/>
        <w:ind w:left="0" w:firstLine="709"/>
        <w:rPr>
          <w:rFonts w:eastAsia="Times New Roman"/>
          <w:szCs w:val="28"/>
          <w:lang w:eastAsia="ru-RU"/>
        </w:rPr>
      </w:pPr>
      <w:r w:rsidRPr="00006A39">
        <w:rPr>
          <w:rFonts w:eastAsia="Times New Roman"/>
          <w:szCs w:val="28"/>
          <w:lang w:eastAsia="ru-RU"/>
        </w:rPr>
        <w:t xml:space="preserve">Слід зазначити, що ПМСД розвивається в напрямі її надання на базі ЦПМСД, тому за досліджуваний період спостерігалось зростання самостійних ЦПМСД (на 36,7%), у т.ч. у сільських адміністративних районах </w:t>
      </w:r>
      <w:r w:rsidR="00FB0783" w:rsidRPr="00006A39">
        <w:rPr>
          <w:rFonts w:eastAsia="Times New Roman"/>
          <w:szCs w:val="28"/>
          <w:lang w:eastAsia="ru-RU"/>
        </w:rPr>
        <w:t>–</w:t>
      </w:r>
      <w:r w:rsidRPr="00006A39">
        <w:rPr>
          <w:rFonts w:eastAsia="Times New Roman"/>
          <w:szCs w:val="28"/>
          <w:lang w:eastAsia="ru-RU"/>
        </w:rPr>
        <w:t xml:space="preserve"> на 38,8%, а також зростання лікарських амбулаторій у структурі самостійних ЦПМСД на 15,7% і фельдшерсько-акушерських пунктів (ФАПів) на 4,1%. При цьому, якщо кількість ФАПів  в </w:t>
      </w:r>
      <w:r w:rsidRPr="00006A39">
        <w:rPr>
          <w:rFonts w:eastAsia="Times New Roman"/>
          <w:szCs w:val="28"/>
          <w:lang w:eastAsia="ru-RU"/>
        </w:rPr>
        <w:lastRenderedPageBreak/>
        <w:t>структурі самостійних ЦПМСД зросла, загальна кількість ФАПів в країні знизилась з 13295 до 12582 (на 5,4%) (табл. 5.3).</w:t>
      </w:r>
    </w:p>
    <w:p w:rsidR="006738F0" w:rsidRPr="00006A39" w:rsidRDefault="006738F0" w:rsidP="00721203">
      <w:pPr>
        <w:pStyle w:val="a5"/>
        <w:widowControl w:val="0"/>
        <w:ind w:left="450"/>
        <w:jc w:val="right"/>
        <w:rPr>
          <w:rFonts w:eastAsia="Times New Roman"/>
          <w:i/>
          <w:szCs w:val="28"/>
          <w:lang w:eastAsia="ru-RU"/>
        </w:rPr>
      </w:pPr>
      <w:r w:rsidRPr="00006A39">
        <w:rPr>
          <w:rFonts w:eastAsia="Times New Roman"/>
          <w:i/>
          <w:szCs w:val="28"/>
          <w:lang w:eastAsia="ru-RU"/>
        </w:rPr>
        <w:t>Таблиця 5.3</w:t>
      </w:r>
    </w:p>
    <w:p w:rsidR="002A4861" w:rsidRDefault="006738F0" w:rsidP="002A4861">
      <w:pPr>
        <w:pStyle w:val="a5"/>
        <w:widowControl w:val="0"/>
        <w:autoSpaceDE w:val="0"/>
        <w:autoSpaceDN w:val="0"/>
        <w:spacing w:line="240" w:lineRule="auto"/>
        <w:ind w:left="450"/>
        <w:jc w:val="center"/>
        <w:rPr>
          <w:rFonts w:eastAsia="Times New Roman"/>
          <w:b/>
          <w:szCs w:val="28"/>
        </w:rPr>
      </w:pPr>
      <w:r w:rsidRPr="00006A39">
        <w:rPr>
          <w:rFonts w:eastAsia="Times New Roman"/>
          <w:b/>
          <w:szCs w:val="28"/>
        </w:rPr>
        <w:t xml:space="preserve">Структура закладів первинної медико-санітарної допомоги </w:t>
      </w:r>
    </w:p>
    <w:p w:rsidR="006738F0" w:rsidRDefault="006738F0" w:rsidP="002A4861">
      <w:pPr>
        <w:pStyle w:val="a5"/>
        <w:widowControl w:val="0"/>
        <w:autoSpaceDE w:val="0"/>
        <w:autoSpaceDN w:val="0"/>
        <w:spacing w:line="240" w:lineRule="auto"/>
        <w:ind w:left="450"/>
        <w:jc w:val="center"/>
        <w:rPr>
          <w:rFonts w:eastAsia="Times New Roman"/>
          <w:b/>
          <w:szCs w:val="28"/>
          <w:lang w:val="ru-RU"/>
        </w:rPr>
      </w:pPr>
      <w:r w:rsidRPr="00006A39">
        <w:rPr>
          <w:rFonts w:eastAsia="Times New Roman"/>
          <w:b/>
          <w:szCs w:val="28"/>
        </w:rPr>
        <w:t>у 2014, 2018 рр.</w:t>
      </w:r>
    </w:p>
    <w:p w:rsidR="000822BC" w:rsidRPr="000822BC" w:rsidRDefault="000822BC" w:rsidP="002A4861">
      <w:pPr>
        <w:pStyle w:val="a5"/>
        <w:widowControl w:val="0"/>
        <w:autoSpaceDE w:val="0"/>
        <w:autoSpaceDN w:val="0"/>
        <w:spacing w:line="240" w:lineRule="auto"/>
        <w:ind w:left="450"/>
        <w:jc w:val="center"/>
        <w:rPr>
          <w:rFonts w:eastAsia="Times New Roman"/>
          <w:b/>
          <w:szCs w:val="28"/>
          <w:lang w:val="ru-RU"/>
        </w:rPr>
      </w:pPr>
    </w:p>
    <w:tbl>
      <w:tblPr>
        <w:tblStyle w:val="TableNormal1"/>
        <w:tblW w:w="0" w:type="auto"/>
        <w:jc w:val="center"/>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2233"/>
        <w:gridCol w:w="1687"/>
        <w:gridCol w:w="2956"/>
        <w:gridCol w:w="1799"/>
        <w:gridCol w:w="1393"/>
      </w:tblGrid>
      <w:tr w:rsidR="006738F0" w:rsidRPr="00006A39" w:rsidTr="00E40880">
        <w:trPr>
          <w:trHeight w:val="690"/>
          <w:jc w:val="center"/>
        </w:trPr>
        <w:tc>
          <w:tcPr>
            <w:tcW w:w="2233" w:type="dxa"/>
            <w:vMerge w:val="restart"/>
          </w:tcPr>
          <w:p w:rsidR="006738F0" w:rsidRPr="00006A39" w:rsidRDefault="006738F0" w:rsidP="00721203">
            <w:pPr>
              <w:spacing w:line="276" w:lineRule="auto"/>
              <w:ind w:left="626" w:right="267" w:hanging="334"/>
              <w:jc w:val="center"/>
              <w:rPr>
                <w:rFonts w:ascii="Times New Roman" w:eastAsia="Times New Roman" w:hAnsi="Times New Roman" w:cs="Times New Roman"/>
                <w:sz w:val="24"/>
                <w:szCs w:val="24"/>
                <w:lang w:val="uk-UA"/>
              </w:rPr>
            </w:pPr>
            <w:r w:rsidRPr="00006A39">
              <w:rPr>
                <w:rFonts w:ascii="Times New Roman" w:eastAsia="Times New Roman" w:hAnsi="Times New Roman" w:cs="Times New Roman"/>
                <w:sz w:val="24"/>
                <w:szCs w:val="24"/>
                <w:lang w:val="uk-UA"/>
              </w:rPr>
              <w:t>Роки</w:t>
            </w:r>
          </w:p>
        </w:tc>
        <w:tc>
          <w:tcPr>
            <w:tcW w:w="1687" w:type="dxa"/>
            <w:vMerge w:val="restart"/>
          </w:tcPr>
          <w:p w:rsidR="006738F0" w:rsidRPr="00006A39" w:rsidRDefault="006738F0" w:rsidP="00721203">
            <w:pPr>
              <w:spacing w:line="276" w:lineRule="auto"/>
              <w:ind w:left="189" w:right="163" w:firstLine="96"/>
              <w:jc w:val="center"/>
              <w:rPr>
                <w:rFonts w:ascii="Times New Roman" w:eastAsia="Times New Roman" w:hAnsi="Times New Roman" w:cs="Times New Roman"/>
                <w:sz w:val="24"/>
                <w:szCs w:val="24"/>
                <w:lang w:val="uk-UA"/>
              </w:rPr>
            </w:pPr>
            <w:r w:rsidRPr="00006A39">
              <w:rPr>
                <w:rFonts w:ascii="Times New Roman" w:eastAsia="Times New Roman" w:hAnsi="Times New Roman" w:cs="Times New Roman"/>
                <w:sz w:val="24"/>
                <w:szCs w:val="24"/>
                <w:lang w:val="uk-UA"/>
              </w:rPr>
              <w:t>Усього самостійних</w:t>
            </w:r>
          </w:p>
          <w:p w:rsidR="006738F0" w:rsidRPr="00006A39" w:rsidRDefault="006738F0" w:rsidP="00721203">
            <w:pPr>
              <w:spacing w:line="276" w:lineRule="auto"/>
              <w:ind w:left="189"/>
              <w:jc w:val="center"/>
              <w:rPr>
                <w:rFonts w:ascii="Times New Roman" w:eastAsia="Times New Roman" w:hAnsi="Times New Roman" w:cs="Times New Roman"/>
                <w:sz w:val="24"/>
                <w:szCs w:val="24"/>
                <w:lang w:val="uk-UA"/>
              </w:rPr>
            </w:pPr>
            <w:r w:rsidRPr="00006A39">
              <w:rPr>
                <w:rFonts w:ascii="Times New Roman" w:eastAsia="Times New Roman" w:hAnsi="Times New Roman" w:cs="Times New Roman"/>
                <w:sz w:val="24"/>
                <w:szCs w:val="24"/>
                <w:lang w:val="uk-UA"/>
              </w:rPr>
              <w:t>ЦПМСД</w:t>
            </w:r>
          </w:p>
        </w:tc>
        <w:tc>
          <w:tcPr>
            <w:tcW w:w="2956" w:type="dxa"/>
            <w:vMerge w:val="restart"/>
          </w:tcPr>
          <w:p w:rsidR="006738F0" w:rsidRPr="00006A39" w:rsidRDefault="006738F0" w:rsidP="00721203">
            <w:pPr>
              <w:spacing w:line="276" w:lineRule="auto"/>
              <w:ind w:left="241" w:right="232" w:firstLine="33"/>
              <w:jc w:val="center"/>
              <w:rPr>
                <w:rFonts w:ascii="Times New Roman" w:eastAsia="Times New Roman" w:hAnsi="Times New Roman" w:cs="Times New Roman"/>
                <w:sz w:val="24"/>
                <w:szCs w:val="24"/>
                <w:lang w:val="uk-UA"/>
              </w:rPr>
            </w:pPr>
            <w:r w:rsidRPr="00006A39">
              <w:rPr>
                <w:rFonts w:ascii="Times New Roman" w:eastAsia="Times New Roman" w:hAnsi="Times New Roman" w:cs="Times New Roman"/>
                <w:sz w:val="24"/>
                <w:szCs w:val="24"/>
                <w:lang w:val="uk-UA"/>
              </w:rPr>
              <w:t>у т. ч.</w:t>
            </w:r>
          </w:p>
          <w:p w:rsidR="006738F0" w:rsidRPr="00006A39" w:rsidRDefault="006738F0" w:rsidP="00721203">
            <w:pPr>
              <w:spacing w:line="276" w:lineRule="auto"/>
              <w:ind w:left="241" w:right="232" w:firstLine="33"/>
              <w:jc w:val="center"/>
              <w:rPr>
                <w:rFonts w:ascii="Times New Roman" w:eastAsia="Times New Roman" w:hAnsi="Times New Roman" w:cs="Times New Roman"/>
                <w:sz w:val="24"/>
                <w:szCs w:val="24"/>
                <w:lang w:val="uk-UA"/>
              </w:rPr>
            </w:pPr>
            <w:r w:rsidRPr="00006A39">
              <w:rPr>
                <w:rFonts w:ascii="Times New Roman" w:eastAsia="Times New Roman" w:hAnsi="Times New Roman" w:cs="Times New Roman"/>
                <w:sz w:val="24"/>
                <w:szCs w:val="24"/>
                <w:lang w:val="uk-UA"/>
              </w:rPr>
              <w:t>в сільських адміністративних районах</w:t>
            </w:r>
          </w:p>
        </w:tc>
        <w:tc>
          <w:tcPr>
            <w:tcW w:w="3192" w:type="dxa"/>
            <w:gridSpan w:val="2"/>
          </w:tcPr>
          <w:p w:rsidR="006738F0" w:rsidRPr="00006A39" w:rsidRDefault="006738F0" w:rsidP="00721203">
            <w:pPr>
              <w:spacing w:line="276" w:lineRule="auto"/>
              <w:ind w:left="500" w:right="498" w:firstLine="4"/>
              <w:jc w:val="center"/>
              <w:rPr>
                <w:rFonts w:ascii="Times New Roman" w:eastAsia="Times New Roman" w:hAnsi="Times New Roman" w:cs="Times New Roman"/>
                <w:sz w:val="24"/>
                <w:szCs w:val="24"/>
                <w:lang w:val="uk-UA"/>
              </w:rPr>
            </w:pPr>
            <w:r w:rsidRPr="00006A39">
              <w:rPr>
                <w:rFonts w:ascii="Times New Roman" w:eastAsia="Times New Roman" w:hAnsi="Times New Roman" w:cs="Times New Roman"/>
                <w:sz w:val="24"/>
                <w:szCs w:val="24"/>
                <w:lang w:val="uk-UA"/>
              </w:rPr>
              <w:t>у структурі самостійних ЦПМСД</w:t>
            </w:r>
          </w:p>
        </w:tc>
      </w:tr>
      <w:tr w:rsidR="006738F0" w:rsidRPr="00006A39" w:rsidTr="00E40880">
        <w:trPr>
          <w:trHeight w:val="688"/>
          <w:jc w:val="center"/>
        </w:trPr>
        <w:tc>
          <w:tcPr>
            <w:tcW w:w="2233" w:type="dxa"/>
            <w:vMerge/>
            <w:tcBorders>
              <w:top w:val="nil"/>
            </w:tcBorders>
          </w:tcPr>
          <w:p w:rsidR="006738F0" w:rsidRPr="00006A39" w:rsidRDefault="006738F0" w:rsidP="00721203">
            <w:pPr>
              <w:spacing w:line="276" w:lineRule="auto"/>
              <w:jc w:val="center"/>
              <w:rPr>
                <w:rFonts w:ascii="Times New Roman" w:eastAsia="Times New Roman" w:hAnsi="Times New Roman" w:cs="Times New Roman"/>
                <w:sz w:val="24"/>
                <w:szCs w:val="24"/>
                <w:lang w:val="uk-UA"/>
              </w:rPr>
            </w:pPr>
          </w:p>
        </w:tc>
        <w:tc>
          <w:tcPr>
            <w:tcW w:w="1687" w:type="dxa"/>
            <w:vMerge/>
            <w:tcBorders>
              <w:top w:val="nil"/>
            </w:tcBorders>
          </w:tcPr>
          <w:p w:rsidR="006738F0" w:rsidRPr="00006A39" w:rsidRDefault="006738F0" w:rsidP="00721203">
            <w:pPr>
              <w:spacing w:line="276" w:lineRule="auto"/>
              <w:rPr>
                <w:rFonts w:ascii="Times New Roman" w:eastAsia="Times New Roman" w:hAnsi="Times New Roman" w:cs="Times New Roman"/>
                <w:sz w:val="24"/>
                <w:szCs w:val="24"/>
                <w:lang w:val="uk-UA"/>
              </w:rPr>
            </w:pPr>
          </w:p>
        </w:tc>
        <w:tc>
          <w:tcPr>
            <w:tcW w:w="2956" w:type="dxa"/>
            <w:vMerge/>
            <w:tcBorders>
              <w:top w:val="nil"/>
            </w:tcBorders>
          </w:tcPr>
          <w:p w:rsidR="006738F0" w:rsidRPr="00006A39" w:rsidRDefault="006738F0" w:rsidP="00721203">
            <w:pPr>
              <w:spacing w:line="276" w:lineRule="auto"/>
              <w:rPr>
                <w:rFonts w:ascii="Times New Roman" w:eastAsia="Times New Roman" w:hAnsi="Times New Roman" w:cs="Times New Roman"/>
                <w:sz w:val="24"/>
                <w:szCs w:val="24"/>
                <w:lang w:val="uk-UA"/>
              </w:rPr>
            </w:pPr>
          </w:p>
        </w:tc>
        <w:tc>
          <w:tcPr>
            <w:tcW w:w="1799" w:type="dxa"/>
          </w:tcPr>
          <w:p w:rsidR="006738F0" w:rsidRPr="00006A39" w:rsidRDefault="006738F0" w:rsidP="00721203">
            <w:pPr>
              <w:spacing w:line="276" w:lineRule="auto"/>
              <w:ind w:left="212" w:hanging="106"/>
              <w:jc w:val="center"/>
              <w:rPr>
                <w:rFonts w:ascii="Times New Roman" w:eastAsia="Times New Roman" w:hAnsi="Times New Roman" w:cs="Times New Roman"/>
                <w:sz w:val="24"/>
                <w:szCs w:val="24"/>
                <w:lang w:val="uk-UA"/>
              </w:rPr>
            </w:pPr>
            <w:r w:rsidRPr="00006A39">
              <w:rPr>
                <w:rFonts w:ascii="Times New Roman" w:eastAsia="Times New Roman" w:hAnsi="Times New Roman" w:cs="Times New Roman"/>
                <w:sz w:val="24"/>
                <w:szCs w:val="24"/>
                <w:lang w:val="uk-UA"/>
              </w:rPr>
              <w:t>лікарські</w:t>
            </w:r>
          </w:p>
          <w:p w:rsidR="006738F0" w:rsidRPr="00006A39" w:rsidRDefault="006738F0" w:rsidP="00721203">
            <w:pPr>
              <w:spacing w:before="4" w:line="276" w:lineRule="auto"/>
              <w:ind w:left="325" w:right="187" w:hanging="113"/>
              <w:jc w:val="center"/>
              <w:rPr>
                <w:rFonts w:ascii="Times New Roman" w:eastAsia="Times New Roman" w:hAnsi="Times New Roman" w:cs="Times New Roman"/>
                <w:sz w:val="24"/>
                <w:szCs w:val="24"/>
                <w:lang w:val="uk-UA"/>
              </w:rPr>
            </w:pPr>
            <w:r w:rsidRPr="00006A39">
              <w:rPr>
                <w:rFonts w:ascii="Times New Roman" w:eastAsia="Times New Roman" w:hAnsi="Times New Roman" w:cs="Times New Roman"/>
                <w:sz w:val="24"/>
                <w:szCs w:val="24"/>
                <w:lang w:val="uk-UA"/>
              </w:rPr>
              <w:t>амбулаторії</w:t>
            </w:r>
          </w:p>
        </w:tc>
        <w:tc>
          <w:tcPr>
            <w:tcW w:w="0" w:type="auto"/>
          </w:tcPr>
          <w:p w:rsidR="006738F0" w:rsidRPr="00006A39" w:rsidRDefault="006738F0" w:rsidP="00721203">
            <w:pPr>
              <w:spacing w:line="276" w:lineRule="auto"/>
              <w:ind w:left="205" w:right="204"/>
              <w:jc w:val="center"/>
              <w:rPr>
                <w:rFonts w:ascii="Times New Roman" w:eastAsia="Times New Roman" w:hAnsi="Times New Roman" w:cs="Times New Roman"/>
                <w:sz w:val="24"/>
                <w:szCs w:val="24"/>
                <w:lang w:val="uk-UA"/>
              </w:rPr>
            </w:pPr>
            <w:r w:rsidRPr="00006A39">
              <w:rPr>
                <w:rFonts w:ascii="Times New Roman" w:eastAsia="Times New Roman" w:hAnsi="Times New Roman" w:cs="Times New Roman"/>
                <w:sz w:val="24"/>
                <w:szCs w:val="24"/>
                <w:lang w:val="uk-UA"/>
              </w:rPr>
              <w:t>ФАПи</w:t>
            </w:r>
          </w:p>
        </w:tc>
      </w:tr>
      <w:tr w:rsidR="006738F0" w:rsidRPr="00006A39" w:rsidTr="00E40880">
        <w:trPr>
          <w:trHeight w:val="345"/>
          <w:jc w:val="center"/>
        </w:trPr>
        <w:tc>
          <w:tcPr>
            <w:tcW w:w="2233" w:type="dxa"/>
          </w:tcPr>
          <w:p w:rsidR="006738F0" w:rsidRPr="00006A39" w:rsidRDefault="006738F0" w:rsidP="00721203">
            <w:pPr>
              <w:spacing w:before="9" w:line="276" w:lineRule="auto"/>
              <w:jc w:val="center"/>
              <w:rPr>
                <w:rFonts w:ascii="Times New Roman" w:eastAsia="Times New Roman" w:hAnsi="Times New Roman" w:cs="Times New Roman"/>
                <w:sz w:val="24"/>
                <w:szCs w:val="24"/>
                <w:lang w:val="uk-UA"/>
              </w:rPr>
            </w:pPr>
            <w:r w:rsidRPr="00006A39">
              <w:rPr>
                <w:rFonts w:ascii="Times New Roman" w:eastAsia="Times New Roman" w:hAnsi="Times New Roman" w:cs="Times New Roman"/>
                <w:sz w:val="24"/>
                <w:szCs w:val="24"/>
                <w:lang w:val="uk-UA"/>
              </w:rPr>
              <w:t>2014</w:t>
            </w:r>
          </w:p>
        </w:tc>
        <w:tc>
          <w:tcPr>
            <w:tcW w:w="1687" w:type="dxa"/>
          </w:tcPr>
          <w:p w:rsidR="006738F0" w:rsidRPr="00006A39" w:rsidRDefault="006738F0" w:rsidP="00721203">
            <w:pPr>
              <w:spacing w:before="46" w:line="276" w:lineRule="auto"/>
              <w:ind w:left="395" w:right="389"/>
              <w:jc w:val="center"/>
              <w:rPr>
                <w:rFonts w:ascii="Times New Roman" w:eastAsia="Times New Roman" w:hAnsi="Times New Roman" w:cs="Times New Roman"/>
                <w:sz w:val="24"/>
                <w:szCs w:val="24"/>
                <w:lang w:val="uk-UA"/>
              </w:rPr>
            </w:pPr>
            <w:r w:rsidRPr="00006A39">
              <w:rPr>
                <w:rFonts w:ascii="Times New Roman" w:eastAsia="Times New Roman" w:hAnsi="Times New Roman" w:cs="Times New Roman"/>
                <w:sz w:val="24"/>
                <w:szCs w:val="24"/>
                <w:lang w:val="uk-UA"/>
              </w:rPr>
              <w:t>567</w:t>
            </w:r>
          </w:p>
        </w:tc>
        <w:tc>
          <w:tcPr>
            <w:tcW w:w="2956" w:type="dxa"/>
          </w:tcPr>
          <w:p w:rsidR="006738F0" w:rsidRPr="00006A39" w:rsidRDefault="006738F0" w:rsidP="00721203">
            <w:pPr>
              <w:spacing w:before="46" w:line="276" w:lineRule="auto"/>
              <w:ind w:left="349" w:right="343"/>
              <w:jc w:val="center"/>
              <w:rPr>
                <w:rFonts w:ascii="Times New Roman" w:eastAsia="Times New Roman" w:hAnsi="Times New Roman" w:cs="Times New Roman"/>
                <w:sz w:val="24"/>
                <w:szCs w:val="24"/>
                <w:lang w:val="uk-UA"/>
              </w:rPr>
            </w:pPr>
            <w:r w:rsidRPr="00006A39">
              <w:rPr>
                <w:rFonts w:ascii="Times New Roman" w:eastAsia="Times New Roman" w:hAnsi="Times New Roman" w:cs="Times New Roman"/>
                <w:sz w:val="24"/>
                <w:szCs w:val="24"/>
                <w:lang w:val="uk-UA"/>
              </w:rPr>
              <w:t>407</w:t>
            </w:r>
          </w:p>
        </w:tc>
        <w:tc>
          <w:tcPr>
            <w:tcW w:w="1799" w:type="dxa"/>
          </w:tcPr>
          <w:p w:rsidR="006738F0" w:rsidRPr="00006A39" w:rsidRDefault="006738F0" w:rsidP="00721203">
            <w:pPr>
              <w:spacing w:before="55" w:line="276" w:lineRule="auto"/>
              <w:ind w:left="316" w:right="311"/>
              <w:jc w:val="center"/>
              <w:rPr>
                <w:rFonts w:ascii="Times New Roman" w:eastAsia="Times New Roman" w:hAnsi="Times New Roman" w:cs="Times New Roman"/>
                <w:sz w:val="24"/>
                <w:szCs w:val="24"/>
                <w:lang w:val="uk-UA"/>
              </w:rPr>
            </w:pPr>
            <w:r w:rsidRPr="00006A39">
              <w:rPr>
                <w:rFonts w:ascii="Times New Roman" w:eastAsia="Times New Roman" w:hAnsi="Times New Roman" w:cs="Times New Roman"/>
                <w:sz w:val="24"/>
                <w:szCs w:val="24"/>
                <w:lang w:val="uk-UA"/>
              </w:rPr>
              <w:t>4845</w:t>
            </w:r>
          </w:p>
        </w:tc>
        <w:tc>
          <w:tcPr>
            <w:tcW w:w="0" w:type="auto"/>
          </w:tcPr>
          <w:p w:rsidR="006738F0" w:rsidRPr="00006A39" w:rsidRDefault="006738F0" w:rsidP="00721203">
            <w:pPr>
              <w:spacing w:line="276" w:lineRule="auto"/>
              <w:ind w:left="205" w:right="203"/>
              <w:jc w:val="center"/>
              <w:rPr>
                <w:rFonts w:ascii="Times New Roman" w:eastAsia="Times New Roman" w:hAnsi="Times New Roman" w:cs="Times New Roman"/>
                <w:sz w:val="24"/>
                <w:szCs w:val="24"/>
                <w:lang w:val="uk-UA"/>
              </w:rPr>
            </w:pPr>
            <w:r w:rsidRPr="00006A39">
              <w:rPr>
                <w:rFonts w:ascii="Times New Roman" w:eastAsia="Times New Roman" w:hAnsi="Times New Roman" w:cs="Times New Roman"/>
                <w:sz w:val="24"/>
                <w:szCs w:val="24"/>
                <w:lang w:val="uk-UA"/>
              </w:rPr>
              <w:t>10790</w:t>
            </w:r>
          </w:p>
        </w:tc>
      </w:tr>
      <w:tr w:rsidR="006738F0" w:rsidRPr="00006A39" w:rsidTr="00E40880">
        <w:trPr>
          <w:trHeight w:val="345"/>
          <w:jc w:val="center"/>
        </w:trPr>
        <w:tc>
          <w:tcPr>
            <w:tcW w:w="2233" w:type="dxa"/>
          </w:tcPr>
          <w:p w:rsidR="006738F0" w:rsidRPr="00006A39" w:rsidRDefault="006738F0" w:rsidP="00721203">
            <w:pPr>
              <w:spacing w:before="9" w:line="276" w:lineRule="auto"/>
              <w:jc w:val="center"/>
              <w:rPr>
                <w:rFonts w:ascii="Times New Roman" w:eastAsia="Times New Roman" w:hAnsi="Times New Roman" w:cs="Times New Roman"/>
                <w:sz w:val="24"/>
                <w:szCs w:val="24"/>
                <w:lang w:val="uk-UA"/>
              </w:rPr>
            </w:pPr>
            <w:r w:rsidRPr="00006A39">
              <w:rPr>
                <w:rFonts w:ascii="Times New Roman" w:eastAsia="Times New Roman" w:hAnsi="Times New Roman" w:cs="Times New Roman"/>
                <w:sz w:val="24"/>
                <w:szCs w:val="24"/>
                <w:lang w:val="uk-UA"/>
              </w:rPr>
              <w:t>2018</w:t>
            </w:r>
          </w:p>
        </w:tc>
        <w:tc>
          <w:tcPr>
            <w:tcW w:w="1687" w:type="dxa"/>
          </w:tcPr>
          <w:p w:rsidR="006738F0" w:rsidRPr="00006A39" w:rsidRDefault="006738F0" w:rsidP="00721203">
            <w:pPr>
              <w:spacing w:before="46" w:line="276" w:lineRule="auto"/>
              <w:ind w:left="395" w:right="389"/>
              <w:jc w:val="center"/>
              <w:rPr>
                <w:rFonts w:ascii="Times New Roman" w:eastAsia="Times New Roman" w:hAnsi="Times New Roman" w:cs="Times New Roman"/>
                <w:sz w:val="24"/>
                <w:szCs w:val="24"/>
                <w:lang w:val="uk-UA"/>
              </w:rPr>
            </w:pPr>
            <w:r w:rsidRPr="00006A39">
              <w:rPr>
                <w:rFonts w:ascii="Times New Roman" w:eastAsia="Times New Roman" w:hAnsi="Times New Roman" w:cs="Times New Roman"/>
                <w:sz w:val="24"/>
                <w:szCs w:val="24"/>
                <w:lang w:val="uk-UA"/>
              </w:rPr>
              <w:t>775</w:t>
            </w:r>
          </w:p>
        </w:tc>
        <w:tc>
          <w:tcPr>
            <w:tcW w:w="2956" w:type="dxa"/>
          </w:tcPr>
          <w:p w:rsidR="006738F0" w:rsidRPr="00006A39" w:rsidRDefault="006738F0" w:rsidP="00721203">
            <w:pPr>
              <w:spacing w:before="46" w:line="276" w:lineRule="auto"/>
              <w:ind w:left="349" w:right="343"/>
              <w:jc w:val="center"/>
              <w:rPr>
                <w:rFonts w:ascii="Times New Roman" w:eastAsia="Times New Roman" w:hAnsi="Times New Roman" w:cs="Times New Roman"/>
                <w:sz w:val="24"/>
                <w:szCs w:val="24"/>
                <w:lang w:val="uk-UA"/>
              </w:rPr>
            </w:pPr>
            <w:r w:rsidRPr="00006A39">
              <w:rPr>
                <w:rFonts w:ascii="Times New Roman" w:eastAsia="Times New Roman" w:hAnsi="Times New Roman" w:cs="Times New Roman"/>
                <w:sz w:val="24"/>
                <w:szCs w:val="24"/>
                <w:lang w:val="uk-UA"/>
              </w:rPr>
              <w:t>565</w:t>
            </w:r>
          </w:p>
        </w:tc>
        <w:tc>
          <w:tcPr>
            <w:tcW w:w="1799" w:type="dxa"/>
          </w:tcPr>
          <w:p w:rsidR="006738F0" w:rsidRPr="00006A39" w:rsidRDefault="006738F0" w:rsidP="00721203">
            <w:pPr>
              <w:spacing w:before="55" w:line="276" w:lineRule="auto"/>
              <w:ind w:left="316" w:right="311"/>
              <w:jc w:val="center"/>
              <w:rPr>
                <w:rFonts w:ascii="Times New Roman" w:eastAsia="Times New Roman" w:hAnsi="Times New Roman" w:cs="Times New Roman"/>
                <w:sz w:val="24"/>
                <w:szCs w:val="24"/>
                <w:lang w:val="uk-UA"/>
              </w:rPr>
            </w:pPr>
            <w:r w:rsidRPr="00006A39">
              <w:rPr>
                <w:rFonts w:ascii="Times New Roman" w:eastAsia="Times New Roman" w:hAnsi="Times New Roman" w:cs="Times New Roman"/>
                <w:sz w:val="24"/>
                <w:szCs w:val="24"/>
                <w:lang w:val="uk-UA"/>
              </w:rPr>
              <w:t>5605</w:t>
            </w:r>
          </w:p>
        </w:tc>
        <w:tc>
          <w:tcPr>
            <w:tcW w:w="0" w:type="auto"/>
          </w:tcPr>
          <w:p w:rsidR="006738F0" w:rsidRPr="00006A39" w:rsidRDefault="006738F0" w:rsidP="00721203">
            <w:pPr>
              <w:spacing w:line="276" w:lineRule="auto"/>
              <w:ind w:left="205" w:right="203"/>
              <w:jc w:val="center"/>
              <w:rPr>
                <w:rFonts w:ascii="Times New Roman" w:eastAsia="Times New Roman" w:hAnsi="Times New Roman" w:cs="Times New Roman"/>
                <w:sz w:val="24"/>
                <w:szCs w:val="24"/>
                <w:lang w:val="uk-UA"/>
              </w:rPr>
            </w:pPr>
            <w:r w:rsidRPr="00006A39">
              <w:rPr>
                <w:rFonts w:ascii="Times New Roman" w:eastAsia="Times New Roman" w:hAnsi="Times New Roman" w:cs="Times New Roman"/>
                <w:sz w:val="24"/>
                <w:szCs w:val="24"/>
                <w:lang w:val="uk-UA"/>
              </w:rPr>
              <w:t>11237</w:t>
            </w:r>
          </w:p>
        </w:tc>
      </w:tr>
      <w:tr w:rsidR="006738F0" w:rsidRPr="00006A39" w:rsidTr="00E40880">
        <w:trPr>
          <w:trHeight w:val="1198"/>
          <w:jc w:val="center"/>
        </w:trPr>
        <w:tc>
          <w:tcPr>
            <w:tcW w:w="2233" w:type="dxa"/>
          </w:tcPr>
          <w:p w:rsidR="006738F0" w:rsidRPr="00006A39" w:rsidRDefault="006738F0" w:rsidP="00721203">
            <w:pPr>
              <w:spacing w:before="9" w:line="276" w:lineRule="auto"/>
              <w:jc w:val="center"/>
              <w:rPr>
                <w:rFonts w:ascii="Times New Roman" w:eastAsia="Times New Roman" w:hAnsi="Times New Roman" w:cs="Times New Roman"/>
                <w:sz w:val="24"/>
                <w:szCs w:val="24"/>
                <w:lang w:val="uk-UA"/>
              </w:rPr>
            </w:pPr>
            <w:r w:rsidRPr="00006A39">
              <w:rPr>
                <w:rFonts w:ascii="Times New Roman" w:eastAsia="Times New Roman" w:hAnsi="Times New Roman" w:cs="Times New Roman"/>
                <w:sz w:val="24"/>
                <w:szCs w:val="24"/>
                <w:lang w:val="uk-UA"/>
              </w:rPr>
              <w:t xml:space="preserve">Темп приросту      (убутку)        </w:t>
            </w:r>
          </w:p>
          <w:p w:rsidR="006738F0" w:rsidRPr="00006A39" w:rsidRDefault="006738F0" w:rsidP="00721203">
            <w:pPr>
              <w:spacing w:before="9" w:line="276" w:lineRule="auto"/>
              <w:jc w:val="center"/>
              <w:rPr>
                <w:rFonts w:ascii="Times New Roman" w:eastAsia="Times New Roman" w:hAnsi="Times New Roman" w:cs="Times New Roman"/>
                <w:sz w:val="24"/>
                <w:szCs w:val="24"/>
                <w:lang w:val="uk-UA"/>
              </w:rPr>
            </w:pPr>
            <w:r w:rsidRPr="00006A39">
              <w:rPr>
                <w:rFonts w:ascii="Times New Roman" w:eastAsia="Times New Roman" w:hAnsi="Times New Roman" w:cs="Times New Roman"/>
                <w:sz w:val="24"/>
                <w:szCs w:val="24"/>
                <w:lang w:val="uk-UA"/>
              </w:rPr>
              <w:t>2018 р./2014 р. (%)</w:t>
            </w:r>
          </w:p>
        </w:tc>
        <w:tc>
          <w:tcPr>
            <w:tcW w:w="1687" w:type="dxa"/>
          </w:tcPr>
          <w:p w:rsidR="006738F0" w:rsidRPr="00006A39" w:rsidRDefault="006738F0" w:rsidP="00721203">
            <w:pPr>
              <w:spacing w:before="46" w:line="276" w:lineRule="auto"/>
              <w:ind w:left="395" w:right="389"/>
              <w:jc w:val="center"/>
              <w:rPr>
                <w:rFonts w:ascii="Times New Roman" w:eastAsia="Times New Roman" w:hAnsi="Times New Roman" w:cs="Times New Roman"/>
                <w:sz w:val="24"/>
                <w:szCs w:val="24"/>
                <w:lang w:val="uk-UA"/>
              </w:rPr>
            </w:pPr>
            <w:r w:rsidRPr="00006A39">
              <w:rPr>
                <w:rFonts w:ascii="Times New Roman" w:eastAsia="Times New Roman" w:hAnsi="Times New Roman" w:cs="Times New Roman"/>
                <w:sz w:val="24"/>
                <w:szCs w:val="24"/>
                <w:lang w:val="uk-UA"/>
              </w:rPr>
              <w:t>+36,7</w:t>
            </w:r>
          </w:p>
        </w:tc>
        <w:tc>
          <w:tcPr>
            <w:tcW w:w="2956" w:type="dxa"/>
          </w:tcPr>
          <w:p w:rsidR="006738F0" w:rsidRPr="00006A39" w:rsidRDefault="006738F0" w:rsidP="00721203">
            <w:pPr>
              <w:spacing w:before="46" w:line="276" w:lineRule="auto"/>
              <w:ind w:left="349" w:right="343"/>
              <w:jc w:val="center"/>
              <w:rPr>
                <w:rFonts w:ascii="Times New Roman" w:eastAsia="Times New Roman" w:hAnsi="Times New Roman" w:cs="Times New Roman"/>
                <w:sz w:val="24"/>
                <w:szCs w:val="24"/>
                <w:lang w:val="uk-UA"/>
              </w:rPr>
            </w:pPr>
            <w:r w:rsidRPr="00006A39">
              <w:rPr>
                <w:rFonts w:ascii="Times New Roman" w:eastAsia="Times New Roman" w:hAnsi="Times New Roman" w:cs="Times New Roman"/>
                <w:sz w:val="24"/>
                <w:szCs w:val="24"/>
                <w:lang w:val="uk-UA"/>
              </w:rPr>
              <w:t>+38,8</w:t>
            </w:r>
          </w:p>
        </w:tc>
        <w:tc>
          <w:tcPr>
            <w:tcW w:w="1799" w:type="dxa"/>
          </w:tcPr>
          <w:p w:rsidR="006738F0" w:rsidRPr="00006A39" w:rsidRDefault="006738F0" w:rsidP="00721203">
            <w:pPr>
              <w:spacing w:before="55" w:line="276" w:lineRule="auto"/>
              <w:ind w:left="316" w:right="311"/>
              <w:jc w:val="center"/>
              <w:rPr>
                <w:rFonts w:ascii="Times New Roman" w:eastAsia="Times New Roman" w:hAnsi="Times New Roman" w:cs="Times New Roman"/>
                <w:sz w:val="24"/>
                <w:szCs w:val="24"/>
                <w:lang w:val="uk-UA"/>
              </w:rPr>
            </w:pPr>
            <w:r w:rsidRPr="00006A39">
              <w:rPr>
                <w:rFonts w:ascii="Times New Roman" w:eastAsia="Times New Roman" w:hAnsi="Times New Roman" w:cs="Times New Roman"/>
                <w:sz w:val="24"/>
                <w:szCs w:val="24"/>
                <w:lang w:val="uk-UA"/>
              </w:rPr>
              <w:t>+15,7</w:t>
            </w:r>
          </w:p>
        </w:tc>
        <w:tc>
          <w:tcPr>
            <w:tcW w:w="0" w:type="auto"/>
          </w:tcPr>
          <w:p w:rsidR="006738F0" w:rsidRPr="00006A39" w:rsidRDefault="006738F0" w:rsidP="00721203">
            <w:pPr>
              <w:spacing w:line="276" w:lineRule="auto"/>
              <w:ind w:left="205" w:right="203"/>
              <w:jc w:val="center"/>
              <w:rPr>
                <w:rFonts w:ascii="Times New Roman" w:eastAsia="Times New Roman" w:hAnsi="Times New Roman" w:cs="Times New Roman"/>
                <w:sz w:val="24"/>
                <w:szCs w:val="24"/>
                <w:lang w:val="uk-UA"/>
              </w:rPr>
            </w:pPr>
            <w:r w:rsidRPr="00006A39">
              <w:rPr>
                <w:rFonts w:ascii="Times New Roman" w:eastAsia="Times New Roman" w:hAnsi="Times New Roman" w:cs="Times New Roman"/>
                <w:sz w:val="24"/>
                <w:szCs w:val="24"/>
                <w:lang w:val="uk-UA"/>
              </w:rPr>
              <w:t>+4,1</w:t>
            </w:r>
          </w:p>
        </w:tc>
      </w:tr>
    </w:tbl>
    <w:p w:rsidR="006738F0" w:rsidRPr="00FA680C" w:rsidRDefault="006738F0" w:rsidP="00721203">
      <w:pPr>
        <w:pStyle w:val="a5"/>
        <w:widowControl w:val="0"/>
        <w:ind w:left="450"/>
        <w:rPr>
          <w:rFonts w:eastAsia="Times New Roman"/>
          <w:i/>
          <w:color w:val="000000" w:themeColor="text1"/>
          <w:szCs w:val="28"/>
          <w:lang w:eastAsia="ru-RU"/>
        </w:rPr>
      </w:pPr>
    </w:p>
    <w:p w:rsidR="006738F0" w:rsidRPr="00006A39" w:rsidRDefault="00A255C0" w:rsidP="00721203">
      <w:pPr>
        <w:widowControl w:val="0"/>
        <w:ind w:firstLine="709"/>
        <w:rPr>
          <w:rFonts w:eastAsia="Times New Roman"/>
          <w:b/>
          <w:szCs w:val="28"/>
          <w:lang w:eastAsia="ru-RU"/>
        </w:rPr>
      </w:pPr>
      <w:r w:rsidRPr="00A255C0">
        <w:rPr>
          <w:rFonts w:eastAsia="Times New Roman"/>
          <w:spacing w:val="-4"/>
          <w:szCs w:val="28"/>
          <w:lang w:eastAsia="ru-RU"/>
        </w:rPr>
        <w:t xml:space="preserve">В ході дослідження була вивчена та проаналізована діяльність денних стаціонарів, як однією із ефективних стаціонарозамінних  низькозатратних форм медичної допомоги при якій може бути проліковано більш ніж 30% пацієнтів, що потребують стаціонарного лікування. Наявні дані свідчать, що дитячі денні </w:t>
      </w:r>
      <w:r>
        <w:rPr>
          <w:rFonts w:eastAsia="Times New Roman"/>
          <w:spacing w:val="-4"/>
          <w:szCs w:val="28"/>
          <w:lang w:eastAsia="ru-RU"/>
        </w:rPr>
        <w:t>стаціонари, для роботи яких</w:t>
      </w:r>
      <w:r w:rsidRPr="00A255C0">
        <w:rPr>
          <w:rFonts w:eastAsia="Times New Roman"/>
          <w:spacing w:val="-4"/>
          <w:szCs w:val="28"/>
          <w:lang w:eastAsia="ru-RU"/>
        </w:rPr>
        <w:t xml:space="preserve"> застосовано правильні організаційні підходи, можуть проліковувати 17,2-26,0% хворих дітей.  </w:t>
      </w:r>
      <w:r w:rsidR="006738F0" w:rsidRPr="002A4861">
        <w:rPr>
          <w:rFonts w:eastAsia="Times New Roman"/>
          <w:szCs w:val="28"/>
          <w:lang w:eastAsia="ru-RU"/>
        </w:rPr>
        <w:t>Встановлено, що кількість ліжок денних стаціонарів для дітей на рівні амбулаторно-поліклінічної допомоги  в Україні зменшилась на 0,16%, а число</w:t>
      </w:r>
      <w:r w:rsidR="006738F0" w:rsidRPr="00006A39">
        <w:rPr>
          <w:rFonts w:eastAsia="Times New Roman"/>
          <w:szCs w:val="28"/>
          <w:lang w:eastAsia="ru-RU"/>
        </w:rPr>
        <w:t xml:space="preserve"> пролікованих хворих дітей на 12,6%</w:t>
      </w:r>
      <w:r w:rsidR="008A60BA">
        <w:rPr>
          <w:rFonts w:eastAsia="Times New Roman"/>
          <w:szCs w:val="28"/>
          <w:lang w:val="ru-RU" w:eastAsia="ru-RU"/>
        </w:rPr>
        <w:t xml:space="preserve">. </w:t>
      </w:r>
      <w:r w:rsidR="006738F0" w:rsidRPr="00006A39">
        <w:rPr>
          <w:rFonts w:eastAsia="Times New Roman"/>
          <w:szCs w:val="28"/>
          <w:lang w:eastAsia="ru-RU"/>
        </w:rPr>
        <w:t>Число дитячих л</w:t>
      </w:r>
      <w:r w:rsidR="00A718DE">
        <w:rPr>
          <w:rFonts w:eastAsia="Times New Roman"/>
          <w:szCs w:val="28"/>
          <w:lang w:eastAsia="ru-RU"/>
        </w:rPr>
        <w:t>іжок денного стаціонару у ЗОЗ, в</w:t>
      </w:r>
      <w:r w:rsidR="006738F0" w:rsidRPr="00006A39">
        <w:rPr>
          <w:rFonts w:eastAsia="Times New Roman"/>
          <w:szCs w:val="28"/>
          <w:lang w:eastAsia="ru-RU"/>
        </w:rPr>
        <w:t xml:space="preserve"> яких надається амбулаторно-поліклінічна допомога і організовано роботу дитячих</w:t>
      </w:r>
      <w:r w:rsidR="008A60BA">
        <w:rPr>
          <w:rFonts w:eastAsia="Times New Roman"/>
          <w:szCs w:val="28"/>
          <w:lang w:eastAsia="ru-RU"/>
        </w:rPr>
        <w:t xml:space="preserve"> денних стаціонарів зменшується</w:t>
      </w:r>
      <w:r w:rsidR="006738F0" w:rsidRPr="00006A39">
        <w:rPr>
          <w:rFonts w:eastAsia="Times New Roman"/>
          <w:szCs w:val="28"/>
          <w:lang w:eastAsia="ru-RU"/>
        </w:rPr>
        <w:t xml:space="preserve">, за виключенням </w:t>
      </w:r>
      <w:r w:rsidR="006738F0" w:rsidRPr="002A4861">
        <w:rPr>
          <w:rFonts w:eastAsia="Times New Roman"/>
          <w:szCs w:val="28"/>
          <w:lang w:eastAsia="ru-RU"/>
        </w:rPr>
        <w:t xml:space="preserve">зростання числа ліжок у диспансерах та інших ЗОЗ у 2018 р. відносно 2014 р. (у 2,2 рази і 8,3% </w:t>
      </w:r>
      <w:r w:rsidR="005E27B3">
        <w:rPr>
          <w:rFonts w:eastAsia="Times New Roman"/>
          <w:szCs w:val="28"/>
          <w:lang w:eastAsia="ru-RU"/>
        </w:rPr>
        <w:t>відповідно)</w:t>
      </w:r>
      <w:r w:rsidR="005E27B3">
        <w:rPr>
          <w:rFonts w:eastAsia="Times New Roman"/>
          <w:szCs w:val="28"/>
          <w:lang w:val="ru-RU" w:eastAsia="ru-RU"/>
        </w:rPr>
        <w:t xml:space="preserve">, також </w:t>
      </w:r>
      <w:r w:rsidR="006738F0" w:rsidRPr="002A4861">
        <w:rPr>
          <w:rFonts w:eastAsia="Times New Roman"/>
          <w:szCs w:val="28"/>
          <w:lang w:eastAsia="ru-RU"/>
        </w:rPr>
        <w:t>частка пролікованих дітей у денних стаціонарах амбулаторно-</w:t>
      </w:r>
      <w:r w:rsidR="00840562" w:rsidRPr="002A4861">
        <w:rPr>
          <w:rFonts w:eastAsia="Times New Roman"/>
          <w:szCs w:val="28"/>
          <w:lang w:eastAsia="ru-RU"/>
        </w:rPr>
        <w:t>поліклінічних</w:t>
      </w:r>
      <w:r w:rsidR="006738F0" w:rsidRPr="002A4861">
        <w:rPr>
          <w:rFonts w:eastAsia="Times New Roman"/>
          <w:szCs w:val="28"/>
          <w:lang w:eastAsia="ru-RU"/>
        </w:rPr>
        <w:t xml:space="preserve"> закладів країни зменшилась з</w:t>
      </w:r>
      <w:r w:rsidR="006738F0" w:rsidRPr="00006A39">
        <w:rPr>
          <w:rFonts w:eastAsia="Times New Roman"/>
          <w:szCs w:val="28"/>
          <w:lang w:eastAsia="ru-RU"/>
        </w:rPr>
        <w:t xml:space="preserve"> 8,10% до 7,36%. Аналогічна ситуація спостерігається переважно в усіх закладах, за виключенням диспансерів, де  частка пролікованих дітей зросла з 3,09% до 9,21%</w:t>
      </w:r>
      <w:r w:rsidR="00E563F5">
        <w:rPr>
          <w:rFonts w:eastAsia="Times New Roman"/>
          <w:szCs w:val="28"/>
          <w:lang w:val="ru-RU" w:eastAsia="ru-RU"/>
        </w:rPr>
        <w:t xml:space="preserve"> </w:t>
      </w:r>
      <w:r w:rsidR="00E563F5" w:rsidRPr="00E563F5">
        <w:rPr>
          <w:rFonts w:eastAsia="Times New Roman"/>
          <w:szCs w:val="28"/>
          <w:lang w:eastAsia="ru-RU"/>
        </w:rPr>
        <w:t>(табл.5.4)</w:t>
      </w:r>
      <w:r w:rsidR="006738F0" w:rsidRPr="00006A39">
        <w:rPr>
          <w:rFonts w:eastAsia="Times New Roman"/>
          <w:szCs w:val="28"/>
          <w:lang w:eastAsia="ru-RU"/>
        </w:rPr>
        <w:t xml:space="preserve">. </w:t>
      </w:r>
    </w:p>
    <w:p w:rsidR="006738F0" w:rsidRPr="00006A39" w:rsidRDefault="006738F0" w:rsidP="00334F41">
      <w:pPr>
        <w:pageBreakBefore/>
        <w:widowControl w:val="0"/>
        <w:autoSpaceDE w:val="0"/>
        <w:autoSpaceDN w:val="0"/>
        <w:jc w:val="right"/>
        <w:rPr>
          <w:rFonts w:eastAsia="Times New Roman"/>
          <w:i/>
          <w:szCs w:val="28"/>
        </w:rPr>
      </w:pPr>
      <w:r w:rsidRPr="00006A39">
        <w:rPr>
          <w:rFonts w:eastAsia="Times New Roman"/>
          <w:i/>
          <w:szCs w:val="28"/>
        </w:rPr>
        <w:lastRenderedPageBreak/>
        <w:t>Таблиця 5.4</w:t>
      </w:r>
    </w:p>
    <w:p w:rsidR="006738F0" w:rsidRPr="00006A39" w:rsidRDefault="006738F0" w:rsidP="00721203">
      <w:pPr>
        <w:widowControl w:val="0"/>
        <w:autoSpaceDE w:val="0"/>
        <w:autoSpaceDN w:val="0"/>
        <w:jc w:val="center"/>
        <w:rPr>
          <w:rFonts w:eastAsia="Times New Roman"/>
          <w:szCs w:val="28"/>
        </w:rPr>
      </w:pPr>
      <w:r w:rsidRPr="00006A39">
        <w:rPr>
          <w:rFonts w:eastAsia="Times New Roman"/>
          <w:b/>
          <w:bCs/>
          <w:color w:val="000000"/>
          <w:szCs w:val="28"/>
          <w:lang w:eastAsia="ru-RU"/>
        </w:rPr>
        <w:t>Структура дитячих денних стаціонарів у 2014 та 2018 рр.</w:t>
      </w:r>
    </w:p>
    <w:tbl>
      <w:tblPr>
        <w:tblW w:w="0" w:type="auto"/>
        <w:jc w:val="center"/>
        <w:tblInd w:w="2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329"/>
        <w:gridCol w:w="907"/>
        <w:gridCol w:w="966"/>
        <w:gridCol w:w="967"/>
        <w:gridCol w:w="1129"/>
        <w:gridCol w:w="979"/>
        <w:gridCol w:w="984"/>
        <w:gridCol w:w="992"/>
        <w:gridCol w:w="799"/>
      </w:tblGrid>
      <w:tr w:rsidR="006738F0" w:rsidRPr="00006A39" w:rsidTr="00FA1FF8">
        <w:trPr>
          <w:trHeight w:val="380"/>
          <w:jc w:val="center"/>
        </w:trPr>
        <w:tc>
          <w:tcPr>
            <w:tcW w:w="2329" w:type="dxa"/>
            <w:vMerge w:val="restart"/>
          </w:tcPr>
          <w:p w:rsidR="006738F0" w:rsidRPr="00006A39" w:rsidRDefault="006738F0" w:rsidP="00721203">
            <w:pPr>
              <w:widowControl w:val="0"/>
              <w:autoSpaceDE w:val="0"/>
              <w:autoSpaceDN w:val="0"/>
              <w:spacing w:line="240" w:lineRule="auto"/>
              <w:ind w:left="11"/>
              <w:rPr>
                <w:rFonts w:eastAsia="Times New Roman"/>
                <w:sz w:val="24"/>
                <w:szCs w:val="24"/>
              </w:rPr>
            </w:pPr>
          </w:p>
          <w:p w:rsidR="006738F0" w:rsidRPr="00006A39" w:rsidRDefault="006738F0" w:rsidP="00721203">
            <w:pPr>
              <w:widowControl w:val="0"/>
              <w:autoSpaceDE w:val="0"/>
              <w:autoSpaceDN w:val="0"/>
              <w:spacing w:line="240" w:lineRule="auto"/>
              <w:ind w:left="11"/>
              <w:jc w:val="center"/>
              <w:rPr>
                <w:rFonts w:eastAsia="Times New Roman"/>
                <w:sz w:val="24"/>
                <w:szCs w:val="24"/>
              </w:rPr>
            </w:pPr>
            <w:r w:rsidRPr="00006A39">
              <w:rPr>
                <w:rFonts w:eastAsia="Times New Roman"/>
                <w:sz w:val="24"/>
                <w:szCs w:val="24"/>
              </w:rPr>
              <w:t>Типи закладів</w:t>
            </w:r>
          </w:p>
        </w:tc>
        <w:tc>
          <w:tcPr>
            <w:tcW w:w="1873" w:type="dxa"/>
            <w:gridSpan w:val="2"/>
          </w:tcPr>
          <w:p w:rsidR="006738F0" w:rsidRPr="00006A39" w:rsidRDefault="006738F0" w:rsidP="00721203">
            <w:pPr>
              <w:widowControl w:val="0"/>
              <w:autoSpaceDE w:val="0"/>
              <w:autoSpaceDN w:val="0"/>
              <w:spacing w:line="240" w:lineRule="auto"/>
              <w:jc w:val="center"/>
              <w:rPr>
                <w:rFonts w:eastAsia="Times New Roman"/>
                <w:sz w:val="24"/>
                <w:szCs w:val="24"/>
              </w:rPr>
            </w:pPr>
            <w:r w:rsidRPr="00006A39">
              <w:rPr>
                <w:rFonts w:eastAsia="Times New Roman"/>
                <w:sz w:val="24"/>
                <w:szCs w:val="24"/>
              </w:rPr>
              <w:t>Кількість (абс.)</w:t>
            </w:r>
          </w:p>
        </w:tc>
        <w:tc>
          <w:tcPr>
            <w:tcW w:w="2096" w:type="dxa"/>
            <w:gridSpan w:val="2"/>
          </w:tcPr>
          <w:p w:rsidR="006738F0" w:rsidRPr="00006A39" w:rsidRDefault="006738F0" w:rsidP="00721203">
            <w:pPr>
              <w:widowControl w:val="0"/>
              <w:autoSpaceDE w:val="0"/>
              <w:autoSpaceDN w:val="0"/>
              <w:spacing w:line="240" w:lineRule="auto"/>
              <w:jc w:val="center"/>
              <w:rPr>
                <w:rFonts w:eastAsia="Times New Roman"/>
                <w:sz w:val="24"/>
                <w:szCs w:val="24"/>
              </w:rPr>
            </w:pPr>
            <w:r w:rsidRPr="00006A39">
              <w:rPr>
                <w:rFonts w:eastAsia="Times New Roman"/>
                <w:sz w:val="24"/>
                <w:szCs w:val="24"/>
              </w:rPr>
              <w:t>Кількість дитячих ліжок денного стаціонару  в закладах (абс.)</w:t>
            </w:r>
          </w:p>
        </w:tc>
        <w:tc>
          <w:tcPr>
            <w:tcW w:w="1963" w:type="dxa"/>
            <w:gridSpan w:val="2"/>
          </w:tcPr>
          <w:p w:rsidR="006738F0" w:rsidRPr="00006A39" w:rsidRDefault="006738F0" w:rsidP="00721203">
            <w:pPr>
              <w:widowControl w:val="0"/>
              <w:autoSpaceDE w:val="0"/>
              <w:autoSpaceDN w:val="0"/>
              <w:spacing w:line="240" w:lineRule="auto"/>
              <w:jc w:val="center"/>
              <w:rPr>
                <w:rFonts w:eastAsia="Times New Roman"/>
                <w:sz w:val="24"/>
                <w:szCs w:val="24"/>
              </w:rPr>
            </w:pPr>
            <w:r w:rsidRPr="00006A39">
              <w:rPr>
                <w:rFonts w:eastAsia="Times New Roman"/>
                <w:sz w:val="24"/>
                <w:szCs w:val="24"/>
              </w:rPr>
              <w:t>Частка дитячих ліжок денного стаціонару в закладах (%)</w:t>
            </w:r>
          </w:p>
        </w:tc>
        <w:tc>
          <w:tcPr>
            <w:tcW w:w="1791" w:type="dxa"/>
            <w:gridSpan w:val="2"/>
          </w:tcPr>
          <w:p w:rsidR="006738F0" w:rsidRPr="00006A39" w:rsidRDefault="006738F0" w:rsidP="00721203">
            <w:pPr>
              <w:widowControl w:val="0"/>
              <w:autoSpaceDE w:val="0"/>
              <w:autoSpaceDN w:val="0"/>
              <w:spacing w:line="240" w:lineRule="auto"/>
              <w:jc w:val="center"/>
              <w:rPr>
                <w:rFonts w:eastAsia="Times New Roman"/>
                <w:sz w:val="24"/>
                <w:szCs w:val="24"/>
              </w:rPr>
            </w:pPr>
            <w:r w:rsidRPr="00006A39">
              <w:rPr>
                <w:rFonts w:eastAsia="Times New Roman"/>
                <w:sz w:val="24"/>
                <w:szCs w:val="24"/>
              </w:rPr>
              <w:t>Частка дітей, пролікованих у денних стаціонарах (%)</w:t>
            </w:r>
          </w:p>
        </w:tc>
      </w:tr>
      <w:tr w:rsidR="006738F0" w:rsidRPr="00006A39" w:rsidTr="00FA1FF8">
        <w:trPr>
          <w:trHeight w:val="440"/>
          <w:jc w:val="center"/>
        </w:trPr>
        <w:tc>
          <w:tcPr>
            <w:tcW w:w="2329" w:type="dxa"/>
            <w:vMerge/>
          </w:tcPr>
          <w:p w:rsidR="006738F0" w:rsidRPr="00006A39" w:rsidRDefault="006738F0" w:rsidP="00721203">
            <w:pPr>
              <w:widowControl w:val="0"/>
              <w:autoSpaceDE w:val="0"/>
              <w:autoSpaceDN w:val="0"/>
              <w:spacing w:line="240" w:lineRule="auto"/>
              <w:ind w:left="11"/>
              <w:rPr>
                <w:rFonts w:eastAsia="Times New Roman"/>
                <w:sz w:val="24"/>
                <w:szCs w:val="24"/>
              </w:rPr>
            </w:pPr>
          </w:p>
        </w:tc>
        <w:tc>
          <w:tcPr>
            <w:tcW w:w="907" w:type="dxa"/>
          </w:tcPr>
          <w:p w:rsidR="006738F0" w:rsidRPr="00006A39" w:rsidRDefault="006738F0" w:rsidP="00721203">
            <w:pPr>
              <w:widowControl w:val="0"/>
              <w:autoSpaceDE w:val="0"/>
              <w:autoSpaceDN w:val="0"/>
              <w:spacing w:line="240" w:lineRule="auto"/>
              <w:jc w:val="center"/>
              <w:rPr>
                <w:rFonts w:eastAsia="Times New Roman"/>
                <w:sz w:val="24"/>
                <w:szCs w:val="24"/>
              </w:rPr>
            </w:pPr>
            <w:r w:rsidRPr="00006A39">
              <w:rPr>
                <w:rFonts w:eastAsia="Times New Roman"/>
                <w:sz w:val="24"/>
                <w:szCs w:val="24"/>
              </w:rPr>
              <w:t xml:space="preserve">2014 </w:t>
            </w:r>
          </w:p>
        </w:tc>
        <w:tc>
          <w:tcPr>
            <w:tcW w:w="966" w:type="dxa"/>
          </w:tcPr>
          <w:p w:rsidR="006738F0" w:rsidRPr="00006A39" w:rsidRDefault="006738F0" w:rsidP="00721203">
            <w:pPr>
              <w:widowControl w:val="0"/>
              <w:autoSpaceDE w:val="0"/>
              <w:autoSpaceDN w:val="0"/>
              <w:spacing w:line="240" w:lineRule="auto"/>
              <w:jc w:val="center"/>
              <w:rPr>
                <w:rFonts w:eastAsia="Times New Roman"/>
                <w:sz w:val="24"/>
                <w:szCs w:val="24"/>
              </w:rPr>
            </w:pPr>
            <w:r w:rsidRPr="00006A39">
              <w:rPr>
                <w:rFonts w:eastAsia="Times New Roman"/>
                <w:sz w:val="24"/>
                <w:szCs w:val="24"/>
              </w:rPr>
              <w:t xml:space="preserve">2018 </w:t>
            </w:r>
          </w:p>
        </w:tc>
        <w:tc>
          <w:tcPr>
            <w:tcW w:w="967" w:type="dxa"/>
          </w:tcPr>
          <w:p w:rsidR="006738F0" w:rsidRPr="00006A39" w:rsidRDefault="006738F0" w:rsidP="00721203">
            <w:pPr>
              <w:widowControl w:val="0"/>
              <w:autoSpaceDE w:val="0"/>
              <w:autoSpaceDN w:val="0"/>
              <w:spacing w:line="240" w:lineRule="auto"/>
              <w:jc w:val="center"/>
              <w:rPr>
                <w:rFonts w:eastAsia="Times New Roman"/>
                <w:sz w:val="24"/>
                <w:szCs w:val="24"/>
              </w:rPr>
            </w:pPr>
            <w:r w:rsidRPr="00006A39">
              <w:rPr>
                <w:rFonts w:eastAsia="Times New Roman"/>
                <w:sz w:val="24"/>
                <w:szCs w:val="24"/>
              </w:rPr>
              <w:t xml:space="preserve">2014 </w:t>
            </w:r>
          </w:p>
        </w:tc>
        <w:tc>
          <w:tcPr>
            <w:tcW w:w="1129" w:type="dxa"/>
          </w:tcPr>
          <w:p w:rsidR="006738F0" w:rsidRPr="00006A39" w:rsidRDefault="006738F0" w:rsidP="00721203">
            <w:pPr>
              <w:widowControl w:val="0"/>
              <w:autoSpaceDE w:val="0"/>
              <w:autoSpaceDN w:val="0"/>
              <w:spacing w:line="240" w:lineRule="auto"/>
              <w:jc w:val="center"/>
              <w:rPr>
                <w:rFonts w:eastAsia="Times New Roman"/>
                <w:sz w:val="24"/>
                <w:szCs w:val="24"/>
              </w:rPr>
            </w:pPr>
            <w:r w:rsidRPr="00006A39">
              <w:rPr>
                <w:rFonts w:eastAsia="Times New Roman"/>
                <w:sz w:val="24"/>
                <w:szCs w:val="24"/>
              </w:rPr>
              <w:t xml:space="preserve">2018 </w:t>
            </w:r>
          </w:p>
        </w:tc>
        <w:tc>
          <w:tcPr>
            <w:tcW w:w="979" w:type="dxa"/>
          </w:tcPr>
          <w:p w:rsidR="006738F0" w:rsidRPr="00006A39" w:rsidRDefault="006738F0" w:rsidP="00721203">
            <w:pPr>
              <w:widowControl w:val="0"/>
              <w:autoSpaceDE w:val="0"/>
              <w:autoSpaceDN w:val="0"/>
              <w:spacing w:line="240" w:lineRule="auto"/>
              <w:jc w:val="center"/>
              <w:rPr>
                <w:rFonts w:eastAsia="Times New Roman"/>
                <w:sz w:val="24"/>
                <w:szCs w:val="24"/>
              </w:rPr>
            </w:pPr>
            <w:r w:rsidRPr="00006A39">
              <w:rPr>
                <w:rFonts w:eastAsia="Times New Roman"/>
                <w:sz w:val="24"/>
                <w:szCs w:val="24"/>
              </w:rPr>
              <w:t>2014.</w:t>
            </w:r>
          </w:p>
        </w:tc>
        <w:tc>
          <w:tcPr>
            <w:tcW w:w="984" w:type="dxa"/>
          </w:tcPr>
          <w:p w:rsidR="006738F0" w:rsidRPr="00006A39" w:rsidRDefault="006738F0" w:rsidP="00721203">
            <w:pPr>
              <w:widowControl w:val="0"/>
              <w:autoSpaceDE w:val="0"/>
              <w:autoSpaceDN w:val="0"/>
              <w:spacing w:line="240" w:lineRule="auto"/>
              <w:jc w:val="center"/>
              <w:rPr>
                <w:rFonts w:eastAsia="Times New Roman"/>
                <w:sz w:val="24"/>
                <w:szCs w:val="24"/>
              </w:rPr>
            </w:pPr>
            <w:r w:rsidRPr="00006A39">
              <w:rPr>
                <w:rFonts w:eastAsia="Times New Roman"/>
                <w:sz w:val="24"/>
                <w:szCs w:val="24"/>
              </w:rPr>
              <w:t xml:space="preserve">2018 </w:t>
            </w:r>
          </w:p>
        </w:tc>
        <w:tc>
          <w:tcPr>
            <w:tcW w:w="992" w:type="dxa"/>
          </w:tcPr>
          <w:p w:rsidR="006738F0" w:rsidRPr="00006A39" w:rsidRDefault="006738F0" w:rsidP="00721203">
            <w:pPr>
              <w:widowControl w:val="0"/>
              <w:autoSpaceDE w:val="0"/>
              <w:autoSpaceDN w:val="0"/>
              <w:spacing w:line="240" w:lineRule="auto"/>
              <w:jc w:val="center"/>
              <w:rPr>
                <w:rFonts w:eastAsia="Times New Roman"/>
                <w:sz w:val="24"/>
                <w:szCs w:val="24"/>
              </w:rPr>
            </w:pPr>
            <w:r w:rsidRPr="00006A39">
              <w:rPr>
                <w:rFonts w:eastAsia="Times New Roman"/>
                <w:sz w:val="24"/>
                <w:szCs w:val="24"/>
              </w:rPr>
              <w:t xml:space="preserve">2014 </w:t>
            </w:r>
          </w:p>
        </w:tc>
        <w:tc>
          <w:tcPr>
            <w:tcW w:w="799" w:type="dxa"/>
          </w:tcPr>
          <w:p w:rsidR="006738F0" w:rsidRPr="00006A39" w:rsidRDefault="006738F0" w:rsidP="00721203">
            <w:pPr>
              <w:widowControl w:val="0"/>
              <w:autoSpaceDE w:val="0"/>
              <w:autoSpaceDN w:val="0"/>
              <w:spacing w:line="240" w:lineRule="auto"/>
              <w:jc w:val="center"/>
              <w:rPr>
                <w:rFonts w:eastAsia="Times New Roman"/>
                <w:sz w:val="24"/>
                <w:szCs w:val="24"/>
              </w:rPr>
            </w:pPr>
            <w:r w:rsidRPr="00006A39">
              <w:rPr>
                <w:rFonts w:eastAsia="Times New Roman"/>
                <w:sz w:val="24"/>
                <w:szCs w:val="24"/>
              </w:rPr>
              <w:t xml:space="preserve">2018 </w:t>
            </w:r>
          </w:p>
        </w:tc>
      </w:tr>
      <w:tr w:rsidR="006738F0" w:rsidRPr="00006A39" w:rsidTr="00FA1FF8">
        <w:trPr>
          <w:trHeight w:val="342"/>
          <w:jc w:val="center"/>
        </w:trPr>
        <w:tc>
          <w:tcPr>
            <w:tcW w:w="2329" w:type="dxa"/>
          </w:tcPr>
          <w:p w:rsidR="006738F0" w:rsidRPr="00006A39" w:rsidRDefault="006738F0" w:rsidP="00721203">
            <w:pPr>
              <w:widowControl w:val="0"/>
              <w:autoSpaceDE w:val="0"/>
              <w:autoSpaceDN w:val="0"/>
              <w:spacing w:line="240" w:lineRule="auto"/>
              <w:rPr>
                <w:rFonts w:eastAsia="Times New Roman"/>
                <w:sz w:val="24"/>
                <w:szCs w:val="24"/>
              </w:rPr>
            </w:pPr>
            <w:r w:rsidRPr="00006A39">
              <w:rPr>
                <w:rFonts w:eastAsia="Times New Roman"/>
                <w:sz w:val="24"/>
                <w:szCs w:val="24"/>
              </w:rPr>
              <w:t>Поліклініки</w:t>
            </w:r>
          </w:p>
        </w:tc>
        <w:tc>
          <w:tcPr>
            <w:tcW w:w="907" w:type="dxa"/>
          </w:tcPr>
          <w:p w:rsidR="006738F0" w:rsidRPr="00006A39" w:rsidRDefault="006738F0" w:rsidP="00721203">
            <w:pPr>
              <w:widowControl w:val="0"/>
              <w:spacing w:line="240" w:lineRule="auto"/>
              <w:jc w:val="center"/>
              <w:rPr>
                <w:rFonts w:eastAsia="Times New Roman"/>
                <w:bCs/>
                <w:color w:val="000000"/>
                <w:sz w:val="24"/>
                <w:szCs w:val="24"/>
                <w:lang w:eastAsia="ru-RU"/>
              </w:rPr>
            </w:pPr>
            <w:r w:rsidRPr="00006A39">
              <w:rPr>
                <w:rFonts w:eastAsia="Times New Roman"/>
                <w:bCs/>
                <w:color w:val="000000"/>
                <w:sz w:val="24"/>
                <w:szCs w:val="24"/>
                <w:lang w:eastAsia="ru-RU"/>
              </w:rPr>
              <w:t>82</w:t>
            </w:r>
          </w:p>
        </w:tc>
        <w:tc>
          <w:tcPr>
            <w:tcW w:w="966" w:type="dxa"/>
          </w:tcPr>
          <w:p w:rsidR="006738F0" w:rsidRPr="00006A39" w:rsidRDefault="006738F0" w:rsidP="00721203">
            <w:pPr>
              <w:widowControl w:val="0"/>
              <w:spacing w:line="240" w:lineRule="auto"/>
              <w:jc w:val="center"/>
              <w:rPr>
                <w:rFonts w:eastAsia="Times New Roman"/>
                <w:bCs/>
                <w:color w:val="000000"/>
                <w:sz w:val="24"/>
                <w:szCs w:val="24"/>
                <w:lang w:eastAsia="ru-RU"/>
              </w:rPr>
            </w:pPr>
            <w:r w:rsidRPr="00006A39">
              <w:rPr>
                <w:rFonts w:eastAsia="Times New Roman"/>
                <w:bCs/>
                <w:color w:val="000000"/>
                <w:sz w:val="24"/>
                <w:szCs w:val="24"/>
                <w:lang w:eastAsia="ru-RU"/>
              </w:rPr>
              <w:t>75</w:t>
            </w:r>
          </w:p>
        </w:tc>
        <w:tc>
          <w:tcPr>
            <w:tcW w:w="967" w:type="dxa"/>
          </w:tcPr>
          <w:p w:rsidR="006738F0" w:rsidRPr="00006A39" w:rsidRDefault="006738F0" w:rsidP="00721203">
            <w:pPr>
              <w:widowControl w:val="0"/>
              <w:autoSpaceDE w:val="0"/>
              <w:autoSpaceDN w:val="0"/>
              <w:spacing w:line="240" w:lineRule="auto"/>
              <w:jc w:val="center"/>
              <w:rPr>
                <w:rFonts w:eastAsia="Times New Roman"/>
                <w:bCs/>
                <w:color w:val="000000"/>
                <w:sz w:val="24"/>
                <w:szCs w:val="24"/>
                <w:lang w:eastAsia="ru-RU"/>
              </w:rPr>
            </w:pPr>
            <w:r w:rsidRPr="00006A39">
              <w:rPr>
                <w:rFonts w:eastAsia="Times New Roman"/>
                <w:bCs/>
                <w:color w:val="000000"/>
                <w:sz w:val="24"/>
                <w:szCs w:val="24"/>
                <w:lang w:eastAsia="ru-RU"/>
              </w:rPr>
              <w:t>238</w:t>
            </w:r>
          </w:p>
        </w:tc>
        <w:tc>
          <w:tcPr>
            <w:tcW w:w="1129" w:type="dxa"/>
          </w:tcPr>
          <w:p w:rsidR="006738F0" w:rsidRPr="00006A39" w:rsidRDefault="006738F0" w:rsidP="00721203">
            <w:pPr>
              <w:widowControl w:val="0"/>
              <w:autoSpaceDE w:val="0"/>
              <w:autoSpaceDN w:val="0"/>
              <w:spacing w:line="240" w:lineRule="auto"/>
              <w:jc w:val="center"/>
              <w:rPr>
                <w:rFonts w:eastAsia="Times New Roman"/>
                <w:bCs/>
                <w:color w:val="000000"/>
                <w:sz w:val="24"/>
                <w:szCs w:val="24"/>
                <w:lang w:eastAsia="ru-RU"/>
              </w:rPr>
            </w:pPr>
            <w:r w:rsidRPr="00006A39">
              <w:rPr>
                <w:rFonts w:eastAsia="Times New Roman"/>
                <w:bCs/>
                <w:color w:val="000000"/>
                <w:sz w:val="24"/>
                <w:szCs w:val="24"/>
                <w:lang w:eastAsia="ru-RU"/>
              </w:rPr>
              <w:t>201</w:t>
            </w:r>
          </w:p>
        </w:tc>
        <w:tc>
          <w:tcPr>
            <w:tcW w:w="979" w:type="dxa"/>
          </w:tcPr>
          <w:p w:rsidR="006738F0" w:rsidRPr="00006A39" w:rsidRDefault="006738F0" w:rsidP="00721203">
            <w:pPr>
              <w:widowControl w:val="0"/>
              <w:autoSpaceDE w:val="0"/>
              <w:autoSpaceDN w:val="0"/>
              <w:spacing w:line="240" w:lineRule="auto"/>
              <w:jc w:val="center"/>
              <w:rPr>
                <w:rFonts w:eastAsia="Times New Roman"/>
                <w:bCs/>
                <w:color w:val="000000"/>
                <w:sz w:val="24"/>
                <w:szCs w:val="24"/>
                <w:lang w:eastAsia="ru-RU"/>
              </w:rPr>
            </w:pPr>
            <w:r w:rsidRPr="00006A39">
              <w:rPr>
                <w:rFonts w:eastAsia="Times New Roman"/>
                <w:bCs/>
                <w:color w:val="000000"/>
                <w:sz w:val="24"/>
                <w:szCs w:val="24"/>
                <w:lang w:eastAsia="ru-RU"/>
              </w:rPr>
              <w:t>6,16</w:t>
            </w:r>
          </w:p>
        </w:tc>
        <w:tc>
          <w:tcPr>
            <w:tcW w:w="984" w:type="dxa"/>
          </w:tcPr>
          <w:p w:rsidR="006738F0" w:rsidRPr="00006A39" w:rsidRDefault="006738F0" w:rsidP="00721203">
            <w:pPr>
              <w:widowControl w:val="0"/>
              <w:autoSpaceDE w:val="0"/>
              <w:autoSpaceDN w:val="0"/>
              <w:spacing w:line="240" w:lineRule="auto"/>
              <w:jc w:val="center"/>
              <w:rPr>
                <w:rFonts w:eastAsia="Times New Roman"/>
                <w:bCs/>
                <w:color w:val="000000"/>
                <w:sz w:val="24"/>
                <w:szCs w:val="24"/>
                <w:lang w:eastAsia="ru-RU"/>
              </w:rPr>
            </w:pPr>
            <w:r w:rsidRPr="00006A39">
              <w:rPr>
                <w:rFonts w:eastAsia="Times New Roman"/>
                <w:bCs/>
                <w:color w:val="000000"/>
                <w:sz w:val="24"/>
                <w:szCs w:val="24"/>
                <w:lang w:eastAsia="ru-RU"/>
              </w:rPr>
              <w:t>5,65</w:t>
            </w:r>
          </w:p>
        </w:tc>
        <w:tc>
          <w:tcPr>
            <w:tcW w:w="992" w:type="dxa"/>
          </w:tcPr>
          <w:p w:rsidR="006738F0" w:rsidRPr="00006A39" w:rsidRDefault="006738F0" w:rsidP="00721203">
            <w:pPr>
              <w:widowControl w:val="0"/>
              <w:autoSpaceDE w:val="0"/>
              <w:autoSpaceDN w:val="0"/>
              <w:spacing w:line="240" w:lineRule="auto"/>
              <w:jc w:val="center"/>
              <w:rPr>
                <w:rFonts w:eastAsia="Times New Roman"/>
                <w:bCs/>
                <w:color w:val="000000"/>
                <w:sz w:val="24"/>
                <w:szCs w:val="24"/>
                <w:lang w:eastAsia="ru-RU"/>
              </w:rPr>
            </w:pPr>
            <w:r w:rsidRPr="00006A39">
              <w:rPr>
                <w:rFonts w:eastAsia="Times New Roman"/>
                <w:bCs/>
                <w:color w:val="000000"/>
                <w:sz w:val="24"/>
                <w:szCs w:val="24"/>
                <w:lang w:eastAsia="ru-RU"/>
              </w:rPr>
              <w:t>3,92</w:t>
            </w:r>
          </w:p>
        </w:tc>
        <w:tc>
          <w:tcPr>
            <w:tcW w:w="799" w:type="dxa"/>
          </w:tcPr>
          <w:p w:rsidR="006738F0" w:rsidRPr="00006A39" w:rsidRDefault="006738F0" w:rsidP="00721203">
            <w:pPr>
              <w:widowControl w:val="0"/>
              <w:autoSpaceDE w:val="0"/>
              <w:autoSpaceDN w:val="0"/>
              <w:spacing w:line="240" w:lineRule="auto"/>
              <w:jc w:val="center"/>
              <w:rPr>
                <w:rFonts w:eastAsia="Times New Roman"/>
                <w:bCs/>
                <w:color w:val="000000"/>
                <w:sz w:val="24"/>
                <w:szCs w:val="24"/>
                <w:lang w:eastAsia="ru-RU"/>
              </w:rPr>
            </w:pPr>
            <w:r w:rsidRPr="00006A39">
              <w:rPr>
                <w:rFonts w:eastAsia="Times New Roman"/>
                <w:bCs/>
                <w:color w:val="000000"/>
                <w:sz w:val="24"/>
                <w:szCs w:val="24"/>
                <w:lang w:eastAsia="ru-RU"/>
              </w:rPr>
              <w:t>3,44</w:t>
            </w:r>
          </w:p>
        </w:tc>
      </w:tr>
      <w:tr w:rsidR="006738F0" w:rsidRPr="00006A39" w:rsidTr="00FA1FF8">
        <w:trPr>
          <w:trHeight w:val="342"/>
          <w:jc w:val="center"/>
        </w:trPr>
        <w:tc>
          <w:tcPr>
            <w:tcW w:w="2329" w:type="dxa"/>
          </w:tcPr>
          <w:p w:rsidR="006738F0" w:rsidRPr="00006A39" w:rsidRDefault="006738F0" w:rsidP="00721203">
            <w:pPr>
              <w:widowControl w:val="0"/>
              <w:autoSpaceDE w:val="0"/>
              <w:autoSpaceDN w:val="0"/>
              <w:spacing w:line="240" w:lineRule="auto"/>
              <w:rPr>
                <w:rFonts w:eastAsia="Times New Roman"/>
                <w:sz w:val="24"/>
                <w:szCs w:val="24"/>
              </w:rPr>
            </w:pPr>
            <w:r w:rsidRPr="00006A39">
              <w:rPr>
                <w:rFonts w:eastAsia="Times New Roman"/>
                <w:sz w:val="24"/>
                <w:szCs w:val="24"/>
              </w:rPr>
              <w:t>Дитячі поліклініки</w:t>
            </w:r>
          </w:p>
        </w:tc>
        <w:tc>
          <w:tcPr>
            <w:tcW w:w="907" w:type="dxa"/>
          </w:tcPr>
          <w:p w:rsidR="006738F0" w:rsidRPr="00006A39" w:rsidRDefault="006738F0" w:rsidP="00721203">
            <w:pPr>
              <w:widowControl w:val="0"/>
              <w:spacing w:line="240" w:lineRule="auto"/>
              <w:jc w:val="center"/>
              <w:rPr>
                <w:rFonts w:eastAsia="Times New Roman"/>
                <w:bCs/>
                <w:color w:val="000000"/>
                <w:sz w:val="24"/>
                <w:szCs w:val="24"/>
                <w:lang w:eastAsia="ru-RU"/>
              </w:rPr>
            </w:pPr>
            <w:r w:rsidRPr="00006A39">
              <w:rPr>
                <w:rFonts w:eastAsia="Times New Roman"/>
                <w:bCs/>
                <w:color w:val="000000"/>
                <w:sz w:val="24"/>
                <w:szCs w:val="24"/>
                <w:lang w:eastAsia="ru-RU"/>
              </w:rPr>
              <w:t>23</w:t>
            </w:r>
          </w:p>
        </w:tc>
        <w:tc>
          <w:tcPr>
            <w:tcW w:w="966" w:type="dxa"/>
          </w:tcPr>
          <w:p w:rsidR="006738F0" w:rsidRPr="00006A39" w:rsidRDefault="006738F0" w:rsidP="00721203">
            <w:pPr>
              <w:widowControl w:val="0"/>
              <w:spacing w:line="240" w:lineRule="auto"/>
              <w:jc w:val="center"/>
              <w:rPr>
                <w:rFonts w:eastAsia="Times New Roman"/>
                <w:bCs/>
                <w:color w:val="000000"/>
                <w:sz w:val="24"/>
                <w:szCs w:val="24"/>
                <w:lang w:eastAsia="ru-RU"/>
              </w:rPr>
            </w:pPr>
            <w:r w:rsidRPr="00006A39">
              <w:rPr>
                <w:rFonts w:eastAsia="Times New Roman"/>
                <w:bCs/>
                <w:color w:val="000000"/>
                <w:sz w:val="24"/>
                <w:szCs w:val="24"/>
                <w:lang w:eastAsia="ru-RU"/>
              </w:rPr>
              <w:t>23</w:t>
            </w:r>
          </w:p>
        </w:tc>
        <w:tc>
          <w:tcPr>
            <w:tcW w:w="967" w:type="dxa"/>
          </w:tcPr>
          <w:p w:rsidR="006738F0" w:rsidRPr="00006A39" w:rsidRDefault="006738F0" w:rsidP="00721203">
            <w:pPr>
              <w:widowControl w:val="0"/>
              <w:autoSpaceDE w:val="0"/>
              <w:autoSpaceDN w:val="0"/>
              <w:spacing w:line="240" w:lineRule="auto"/>
              <w:jc w:val="center"/>
              <w:rPr>
                <w:rFonts w:eastAsia="Times New Roman"/>
                <w:bCs/>
                <w:color w:val="000000"/>
                <w:sz w:val="24"/>
                <w:szCs w:val="24"/>
                <w:lang w:eastAsia="ru-RU"/>
              </w:rPr>
            </w:pPr>
            <w:r w:rsidRPr="00006A39">
              <w:rPr>
                <w:rFonts w:eastAsia="Times New Roman"/>
                <w:bCs/>
                <w:color w:val="000000"/>
                <w:sz w:val="24"/>
                <w:szCs w:val="24"/>
                <w:lang w:eastAsia="ru-RU"/>
              </w:rPr>
              <w:t>576</w:t>
            </w:r>
          </w:p>
        </w:tc>
        <w:tc>
          <w:tcPr>
            <w:tcW w:w="1129" w:type="dxa"/>
          </w:tcPr>
          <w:p w:rsidR="006738F0" w:rsidRPr="00006A39" w:rsidRDefault="006738F0" w:rsidP="00721203">
            <w:pPr>
              <w:widowControl w:val="0"/>
              <w:autoSpaceDE w:val="0"/>
              <w:autoSpaceDN w:val="0"/>
              <w:spacing w:line="240" w:lineRule="auto"/>
              <w:jc w:val="center"/>
              <w:rPr>
                <w:rFonts w:eastAsia="Times New Roman"/>
                <w:bCs/>
                <w:color w:val="000000"/>
                <w:sz w:val="24"/>
                <w:szCs w:val="24"/>
                <w:lang w:eastAsia="ru-RU"/>
              </w:rPr>
            </w:pPr>
            <w:r w:rsidRPr="00006A39">
              <w:rPr>
                <w:rFonts w:eastAsia="Times New Roman"/>
                <w:bCs/>
                <w:color w:val="000000"/>
                <w:sz w:val="24"/>
                <w:szCs w:val="24"/>
                <w:lang w:eastAsia="ru-RU"/>
              </w:rPr>
              <w:t>565</w:t>
            </w:r>
          </w:p>
        </w:tc>
        <w:tc>
          <w:tcPr>
            <w:tcW w:w="979" w:type="dxa"/>
          </w:tcPr>
          <w:p w:rsidR="006738F0" w:rsidRPr="00006A39" w:rsidRDefault="006738F0" w:rsidP="00721203">
            <w:pPr>
              <w:widowControl w:val="0"/>
              <w:autoSpaceDE w:val="0"/>
              <w:autoSpaceDN w:val="0"/>
              <w:spacing w:line="240" w:lineRule="auto"/>
              <w:jc w:val="center"/>
              <w:rPr>
                <w:rFonts w:eastAsia="Times New Roman"/>
                <w:bCs/>
                <w:color w:val="000000"/>
                <w:sz w:val="24"/>
                <w:szCs w:val="24"/>
                <w:lang w:eastAsia="ru-RU"/>
              </w:rPr>
            </w:pPr>
            <w:r w:rsidRPr="00006A39">
              <w:rPr>
                <w:rFonts w:eastAsia="Times New Roman"/>
                <w:bCs/>
                <w:color w:val="000000"/>
                <w:sz w:val="24"/>
                <w:szCs w:val="24"/>
                <w:lang w:eastAsia="ru-RU"/>
              </w:rPr>
              <w:t>100,0</w:t>
            </w:r>
          </w:p>
        </w:tc>
        <w:tc>
          <w:tcPr>
            <w:tcW w:w="984" w:type="dxa"/>
          </w:tcPr>
          <w:p w:rsidR="006738F0" w:rsidRPr="00006A39" w:rsidRDefault="006738F0" w:rsidP="00721203">
            <w:pPr>
              <w:widowControl w:val="0"/>
              <w:autoSpaceDE w:val="0"/>
              <w:autoSpaceDN w:val="0"/>
              <w:spacing w:line="240" w:lineRule="auto"/>
              <w:jc w:val="center"/>
              <w:rPr>
                <w:rFonts w:eastAsia="Times New Roman"/>
                <w:bCs/>
                <w:color w:val="000000"/>
                <w:sz w:val="24"/>
                <w:szCs w:val="24"/>
                <w:lang w:eastAsia="ru-RU"/>
              </w:rPr>
            </w:pPr>
            <w:r w:rsidRPr="00006A39">
              <w:rPr>
                <w:rFonts w:eastAsia="Times New Roman"/>
                <w:bCs/>
                <w:color w:val="000000"/>
                <w:sz w:val="24"/>
                <w:szCs w:val="24"/>
                <w:lang w:eastAsia="ru-RU"/>
              </w:rPr>
              <w:t>100,0</w:t>
            </w:r>
          </w:p>
        </w:tc>
        <w:tc>
          <w:tcPr>
            <w:tcW w:w="992" w:type="dxa"/>
          </w:tcPr>
          <w:p w:rsidR="006738F0" w:rsidRPr="00006A39" w:rsidRDefault="006738F0" w:rsidP="00721203">
            <w:pPr>
              <w:widowControl w:val="0"/>
              <w:autoSpaceDE w:val="0"/>
              <w:autoSpaceDN w:val="0"/>
              <w:spacing w:line="240" w:lineRule="auto"/>
              <w:jc w:val="center"/>
              <w:rPr>
                <w:rFonts w:eastAsia="Times New Roman"/>
                <w:bCs/>
                <w:color w:val="000000"/>
                <w:sz w:val="24"/>
                <w:szCs w:val="24"/>
                <w:lang w:eastAsia="ru-RU"/>
              </w:rPr>
            </w:pPr>
            <w:r w:rsidRPr="00006A39">
              <w:rPr>
                <w:rFonts w:eastAsia="Times New Roman"/>
                <w:bCs/>
                <w:color w:val="000000"/>
                <w:sz w:val="24"/>
                <w:szCs w:val="24"/>
                <w:lang w:eastAsia="ru-RU"/>
              </w:rPr>
              <w:t>100,0</w:t>
            </w:r>
          </w:p>
        </w:tc>
        <w:tc>
          <w:tcPr>
            <w:tcW w:w="799" w:type="dxa"/>
          </w:tcPr>
          <w:p w:rsidR="006738F0" w:rsidRPr="00006A39" w:rsidRDefault="006738F0" w:rsidP="00721203">
            <w:pPr>
              <w:widowControl w:val="0"/>
              <w:autoSpaceDE w:val="0"/>
              <w:autoSpaceDN w:val="0"/>
              <w:spacing w:line="240" w:lineRule="auto"/>
              <w:jc w:val="center"/>
              <w:rPr>
                <w:rFonts w:eastAsia="Times New Roman"/>
                <w:bCs/>
                <w:color w:val="000000"/>
                <w:sz w:val="24"/>
                <w:szCs w:val="24"/>
                <w:lang w:eastAsia="ru-RU"/>
              </w:rPr>
            </w:pPr>
            <w:r w:rsidRPr="00006A39">
              <w:rPr>
                <w:rFonts w:eastAsia="Times New Roman"/>
                <w:bCs/>
                <w:color w:val="000000"/>
                <w:sz w:val="24"/>
                <w:szCs w:val="24"/>
                <w:lang w:eastAsia="ru-RU"/>
              </w:rPr>
              <w:t>100,0</w:t>
            </w:r>
          </w:p>
        </w:tc>
      </w:tr>
      <w:tr w:rsidR="006738F0" w:rsidRPr="00006A39" w:rsidTr="00FA1FF8">
        <w:trPr>
          <w:trHeight w:val="342"/>
          <w:jc w:val="center"/>
        </w:trPr>
        <w:tc>
          <w:tcPr>
            <w:tcW w:w="2329" w:type="dxa"/>
          </w:tcPr>
          <w:p w:rsidR="006738F0" w:rsidRPr="00006A39" w:rsidRDefault="006738F0" w:rsidP="00721203">
            <w:pPr>
              <w:widowControl w:val="0"/>
              <w:autoSpaceDE w:val="0"/>
              <w:autoSpaceDN w:val="0"/>
              <w:spacing w:line="240" w:lineRule="auto"/>
              <w:rPr>
                <w:rFonts w:eastAsia="Times New Roman"/>
                <w:sz w:val="24"/>
                <w:szCs w:val="24"/>
              </w:rPr>
            </w:pPr>
            <w:r w:rsidRPr="00006A39">
              <w:rPr>
                <w:rFonts w:eastAsia="Times New Roman"/>
                <w:sz w:val="24"/>
                <w:szCs w:val="24"/>
              </w:rPr>
              <w:t>Міські лікарні</w:t>
            </w:r>
          </w:p>
        </w:tc>
        <w:tc>
          <w:tcPr>
            <w:tcW w:w="907" w:type="dxa"/>
          </w:tcPr>
          <w:p w:rsidR="006738F0" w:rsidRPr="00006A39" w:rsidRDefault="006738F0" w:rsidP="00721203">
            <w:pPr>
              <w:widowControl w:val="0"/>
              <w:spacing w:line="240" w:lineRule="auto"/>
              <w:jc w:val="center"/>
              <w:rPr>
                <w:rFonts w:eastAsia="Times New Roman"/>
                <w:bCs/>
                <w:color w:val="000000"/>
                <w:sz w:val="24"/>
                <w:szCs w:val="24"/>
                <w:lang w:eastAsia="ru-RU"/>
              </w:rPr>
            </w:pPr>
            <w:r w:rsidRPr="00006A39">
              <w:rPr>
                <w:rFonts w:eastAsia="Times New Roman"/>
                <w:bCs/>
                <w:color w:val="000000"/>
                <w:sz w:val="24"/>
                <w:szCs w:val="24"/>
                <w:lang w:eastAsia="ru-RU"/>
              </w:rPr>
              <w:t>187</w:t>
            </w:r>
          </w:p>
        </w:tc>
        <w:tc>
          <w:tcPr>
            <w:tcW w:w="966" w:type="dxa"/>
          </w:tcPr>
          <w:p w:rsidR="006738F0" w:rsidRPr="00006A39" w:rsidRDefault="006738F0" w:rsidP="00721203">
            <w:pPr>
              <w:widowControl w:val="0"/>
              <w:spacing w:line="240" w:lineRule="auto"/>
              <w:jc w:val="center"/>
              <w:rPr>
                <w:rFonts w:eastAsia="Times New Roman"/>
                <w:bCs/>
                <w:color w:val="000000"/>
                <w:sz w:val="24"/>
                <w:szCs w:val="24"/>
                <w:lang w:eastAsia="ru-RU"/>
              </w:rPr>
            </w:pPr>
            <w:r w:rsidRPr="00006A39">
              <w:rPr>
                <w:rFonts w:eastAsia="Times New Roman"/>
                <w:bCs/>
                <w:color w:val="000000"/>
                <w:sz w:val="24"/>
                <w:szCs w:val="24"/>
                <w:lang w:eastAsia="ru-RU"/>
              </w:rPr>
              <w:t>194</w:t>
            </w:r>
          </w:p>
        </w:tc>
        <w:tc>
          <w:tcPr>
            <w:tcW w:w="967" w:type="dxa"/>
          </w:tcPr>
          <w:p w:rsidR="006738F0" w:rsidRPr="00006A39" w:rsidRDefault="006738F0" w:rsidP="00721203">
            <w:pPr>
              <w:widowControl w:val="0"/>
              <w:autoSpaceDE w:val="0"/>
              <w:autoSpaceDN w:val="0"/>
              <w:spacing w:line="240" w:lineRule="auto"/>
              <w:jc w:val="center"/>
              <w:rPr>
                <w:rFonts w:eastAsia="Times New Roman"/>
                <w:bCs/>
                <w:color w:val="000000"/>
                <w:sz w:val="24"/>
                <w:szCs w:val="24"/>
                <w:lang w:eastAsia="ru-RU"/>
              </w:rPr>
            </w:pPr>
            <w:r w:rsidRPr="00006A39">
              <w:rPr>
                <w:rFonts w:eastAsia="Times New Roman"/>
                <w:bCs/>
                <w:color w:val="000000"/>
                <w:sz w:val="24"/>
                <w:szCs w:val="24"/>
                <w:lang w:eastAsia="ru-RU"/>
              </w:rPr>
              <w:t>499</w:t>
            </w:r>
          </w:p>
        </w:tc>
        <w:tc>
          <w:tcPr>
            <w:tcW w:w="1129" w:type="dxa"/>
          </w:tcPr>
          <w:p w:rsidR="006738F0" w:rsidRPr="00006A39" w:rsidRDefault="006738F0" w:rsidP="00721203">
            <w:pPr>
              <w:widowControl w:val="0"/>
              <w:autoSpaceDE w:val="0"/>
              <w:autoSpaceDN w:val="0"/>
              <w:spacing w:line="240" w:lineRule="auto"/>
              <w:jc w:val="center"/>
              <w:rPr>
                <w:rFonts w:eastAsia="Times New Roman"/>
                <w:bCs/>
                <w:color w:val="000000"/>
                <w:sz w:val="24"/>
                <w:szCs w:val="24"/>
                <w:lang w:eastAsia="ru-RU"/>
              </w:rPr>
            </w:pPr>
            <w:r w:rsidRPr="00006A39">
              <w:rPr>
                <w:rFonts w:eastAsia="Times New Roman"/>
                <w:bCs/>
                <w:color w:val="000000"/>
                <w:sz w:val="24"/>
                <w:szCs w:val="24"/>
                <w:lang w:eastAsia="ru-RU"/>
              </w:rPr>
              <w:t>408</w:t>
            </w:r>
          </w:p>
        </w:tc>
        <w:tc>
          <w:tcPr>
            <w:tcW w:w="979" w:type="dxa"/>
          </w:tcPr>
          <w:p w:rsidR="006738F0" w:rsidRPr="00006A39" w:rsidRDefault="006738F0" w:rsidP="00721203">
            <w:pPr>
              <w:widowControl w:val="0"/>
              <w:autoSpaceDE w:val="0"/>
              <w:autoSpaceDN w:val="0"/>
              <w:spacing w:line="240" w:lineRule="auto"/>
              <w:jc w:val="center"/>
              <w:rPr>
                <w:rFonts w:eastAsia="Times New Roman"/>
                <w:bCs/>
                <w:color w:val="000000"/>
                <w:sz w:val="24"/>
                <w:szCs w:val="24"/>
                <w:lang w:eastAsia="ru-RU"/>
              </w:rPr>
            </w:pPr>
            <w:r w:rsidRPr="00006A39">
              <w:rPr>
                <w:rFonts w:eastAsia="Times New Roman"/>
                <w:bCs/>
                <w:color w:val="000000"/>
                <w:sz w:val="24"/>
                <w:szCs w:val="24"/>
                <w:lang w:eastAsia="ru-RU"/>
              </w:rPr>
              <w:t>6,32</w:t>
            </w:r>
          </w:p>
        </w:tc>
        <w:tc>
          <w:tcPr>
            <w:tcW w:w="984" w:type="dxa"/>
          </w:tcPr>
          <w:p w:rsidR="006738F0" w:rsidRPr="00006A39" w:rsidRDefault="006738F0" w:rsidP="00721203">
            <w:pPr>
              <w:widowControl w:val="0"/>
              <w:autoSpaceDE w:val="0"/>
              <w:autoSpaceDN w:val="0"/>
              <w:spacing w:line="240" w:lineRule="auto"/>
              <w:jc w:val="center"/>
              <w:rPr>
                <w:rFonts w:eastAsia="Times New Roman"/>
                <w:bCs/>
                <w:color w:val="000000"/>
                <w:sz w:val="24"/>
                <w:szCs w:val="24"/>
                <w:lang w:eastAsia="ru-RU"/>
              </w:rPr>
            </w:pPr>
            <w:r w:rsidRPr="00006A39">
              <w:rPr>
                <w:rFonts w:eastAsia="Times New Roman"/>
                <w:bCs/>
                <w:color w:val="000000"/>
                <w:sz w:val="24"/>
                <w:szCs w:val="24"/>
                <w:lang w:eastAsia="ru-RU"/>
              </w:rPr>
              <w:t>5,23</w:t>
            </w:r>
          </w:p>
        </w:tc>
        <w:tc>
          <w:tcPr>
            <w:tcW w:w="992" w:type="dxa"/>
          </w:tcPr>
          <w:p w:rsidR="006738F0" w:rsidRPr="00006A39" w:rsidRDefault="006738F0" w:rsidP="00721203">
            <w:pPr>
              <w:widowControl w:val="0"/>
              <w:autoSpaceDE w:val="0"/>
              <w:autoSpaceDN w:val="0"/>
              <w:spacing w:line="240" w:lineRule="auto"/>
              <w:jc w:val="center"/>
              <w:rPr>
                <w:rFonts w:eastAsia="Times New Roman"/>
                <w:bCs/>
                <w:color w:val="000000"/>
                <w:sz w:val="24"/>
                <w:szCs w:val="24"/>
                <w:lang w:eastAsia="ru-RU"/>
              </w:rPr>
            </w:pPr>
            <w:r w:rsidRPr="00006A39">
              <w:rPr>
                <w:rFonts w:eastAsia="Times New Roman"/>
                <w:bCs/>
                <w:color w:val="000000"/>
                <w:sz w:val="24"/>
                <w:szCs w:val="24"/>
                <w:lang w:eastAsia="ru-RU"/>
              </w:rPr>
              <w:t>6,89</w:t>
            </w:r>
          </w:p>
        </w:tc>
        <w:tc>
          <w:tcPr>
            <w:tcW w:w="799" w:type="dxa"/>
          </w:tcPr>
          <w:p w:rsidR="006738F0" w:rsidRPr="00006A39" w:rsidRDefault="006738F0" w:rsidP="00721203">
            <w:pPr>
              <w:widowControl w:val="0"/>
              <w:autoSpaceDE w:val="0"/>
              <w:autoSpaceDN w:val="0"/>
              <w:spacing w:line="240" w:lineRule="auto"/>
              <w:jc w:val="center"/>
              <w:rPr>
                <w:rFonts w:eastAsia="Times New Roman"/>
                <w:bCs/>
                <w:color w:val="000000"/>
                <w:sz w:val="24"/>
                <w:szCs w:val="24"/>
                <w:lang w:eastAsia="ru-RU"/>
              </w:rPr>
            </w:pPr>
            <w:r w:rsidRPr="00006A39">
              <w:rPr>
                <w:rFonts w:eastAsia="Times New Roman"/>
                <w:bCs/>
                <w:color w:val="000000"/>
                <w:sz w:val="24"/>
                <w:szCs w:val="24"/>
                <w:lang w:eastAsia="ru-RU"/>
              </w:rPr>
              <w:t>6,41</w:t>
            </w:r>
          </w:p>
        </w:tc>
      </w:tr>
      <w:tr w:rsidR="006738F0" w:rsidRPr="00006A39" w:rsidTr="00FA1FF8">
        <w:trPr>
          <w:trHeight w:val="342"/>
          <w:jc w:val="center"/>
        </w:trPr>
        <w:tc>
          <w:tcPr>
            <w:tcW w:w="2329" w:type="dxa"/>
          </w:tcPr>
          <w:p w:rsidR="006738F0" w:rsidRPr="00006A39" w:rsidRDefault="006738F0" w:rsidP="00721203">
            <w:pPr>
              <w:widowControl w:val="0"/>
              <w:autoSpaceDE w:val="0"/>
              <w:autoSpaceDN w:val="0"/>
              <w:spacing w:line="240" w:lineRule="auto"/>
              <w:rPr>
                <w:rFonts w:eastAsia="Times New Roman"/>
                <w:sz w:val="24"/>
                <w:szCs w:val="24"/>
              </w:rPr>
            </w:pPr>
            <w:r w:rsidRPr="00006A39">
              <w:rPr>
                <w:rFonts w:eastAsia="Times New Roman"/>
                <w:sz w:val="24"/>
                <w:szCs w:val="24"/>
              </w:rPr>
              <w:t>Дитячі міські лікарні</w:t>
            </w:r>
          </w:p>
        </w:tc>
        <w:tc>
          <w:tcPr>
            <w:tcW w:w="907" w:type="dxa"/>
          </w:tcPr>
          <w:p w:rsidR="006738F0" w:rsidRPr="00006A39" w:rsidRDefault="006738F0" w:rsidP="00721203">
            <w:pPr>
              <w:widowControl w:val="0"/>
              <w:spacing w:line="240" w:lineRule="auto"/>
              <w:jc w:val="center"/>
              <w:rPr>
                <w:rFonts w:eastAsia="Times New Roman"/>
                <w:bCs/>
                <w:color w:val="000000"/>
                <w:sz w:val="24"/>
                <w:szCs w:val="24"/>
                <w:lang w:eastAsia="ru-RU"/>
              </w:rPr>
            </w:pPr>
            <w:r w:rsidRPr="00006A39">
              <w:rPr>
                <w:rFonts w:eastAsia="Times New Roman"/>
                <w:bCs/>
                <w:color w:val="000000"/>
                <w:sz w:val="24"/>
                <w:szCs w:val="24"/>
                <w:lang w:eastAsia="ru-RU"/>
              </w:rPr>
              <w:t>32</w:t>
            </w:r>
          </w:p>
        </w:tc>
        <w:tc>
          <w:tcPr>
            <w:tcW w:w="966" w:type="dxa"/>
          </w:tcPr>
          <w:p w:rsidR="006738F0" w:rsidRPr="00006A39" w:rsidRDefault="006738F0" w:rsidP="00721203">
            <w:pPr>
              <w:widowControl w:val="0"/>
              <w:spacing w:line="240" w:lineRule="auto"/>
              <w:jc w:val="center"/>
              <w:rPr>
                <w:rFonts w:eastAsia="Times New Roman"/>
                <w:bCs/>
                <w:color w:val="000000"/>
                <w:sz w:val="24"/>
                <w:szCs w:val="24"/>
                <w:lang w:eastAsia="ru-RU"/>
              </w:rPr>
            </w:pPr>
            <w:r w:rsidRPr="00006A39">
              <w:rPr>
                <w:rFonts w:eastAsia="Times New Roman"/>
                <w:bCs/>
                <w:color w:val="000000"/>
                <w:sz w:val="24"/>
                <w:szCs w:val="24"/>
                <w:lang w:eastAsia="ru-RU"/>
              </w:rPr>
              <w:t>24</w:t>
            </w:r>
          </w:p>
        </w:tc>
        <w:tc>
          <w:tcPr>
            <w:tcW w:w="967" w:type="dxa"/>
          </w:tcPr>
          <w:p w:rsidR="006738F0" w:rsidRPr="00006A39" w:rsidRDefault="006738F0" w:rsidP="00721203">
            <w:pPr>
              <w:widowControl w:val="0"/>
              <w:autoSpaceDE w:val="0"/>
              <w:autoSpaceDN w:val="0"/>
              <w:spacing w:line="240" w:lineRule="auto"/>
              <w:jc w:val="center"/>
              <w:rPr>
                <w:rFonts w:eastAsia="Times New Roman"/>
                <w:bCs/>
                <w:color w:val="000000"/>
                <w:sz w:val="24"/>
                <w:szCs w:val="24"/>
                <w:lang w:eastAsia="ru-RU"/>
              </w:rPr>
            </w:pPr>
            <w:r w:rsidRPr="00006A39">
              <w:rPr>
                <w:rFonts w:eastAsia="Times New Roman"/>
                <w:bCs/>
                <w:color w:val="000000"/>
                <w:sz w:val="24"/>
                <w:szCs w:val="24"/>
                <w:lang w:eastAsia="ru-RU"/>
              </w:rPr>
              <w:t>886</w:t>
            </w:r>
          </w:p>
        </w:tc>
        <w:tc>
          <w:tcPr>
            <w:tcW w:w="1129" w:type="dxa"/>
          </w:tcPr>
          <w:p w:rsidR="006738F0" w:rsidRPr="00006A39" w:rsidRDefault="006738F0" w:rsidP="00721203">
            <w:pPr>
              <w:widowControl w:val="0"/>
              <w:autoSpaceDE w:val="0"/>
              <w:autoSpaceDN w:val="0"/>
              <w:spacing w:line="240" w:lineRule="auto"/>
              <w:jc w:val="center"/>
              <w:rPr>
                <w:rFonts w:eastAsia="Times New Roman"/>
                <w:bCs/>
                <w:color w:val="000000"/>
                <w:sz w:val="24"/>
                <w:szCs w:val="24"/>
                <w:lang w:eastAsia="ru-RU"/>
              </w:rPr>
            </w:pPr>
            <w:r w:rsidRPr="00006A39">
              <w:rPr>
                <w:rFonts w:eastAsia="Times New Roman"/>
                <w:bCs/>
                <w:color w:val="000000"/>
                <w:sz w:val="24"/>
                <w:szCs w:val="24"/>
                <w:lang w:eastAsia="ru-RU"/>
              </w:rPr>
              <w:t>880</w:t>
            </w:r>
          </w:p>
        </w:tc>
        <w:tc>
          <w:tcPr>
            <w:tcW w:w="979" w:type="dxa"/>
          </w:tcPr>
          <w:p w:rsidR="006738F0" w:rsidRPr="00006A39" w:rsidRDefault="006738F0" w:rsidP="00721203">
            <w:pPr>
              <w:widowControl w:val="0"/>
              <w:autoSpaceDE w:val="0"/>
              <w:autoSpaceDN w:val="0"/>
              <w:spacing w:line="240" w:lineRule="auto"/>
              <w:jc w:val="center"/>
              <w:rPr>
                <w:rFonts w:eastAsia="Times New Roman"/>
                <w:bCs/>
                <w:color w:val="000000"/>
                <w:sz w:val="24"/>
                <w:szCs w:val="24"/>
                <w:lang w:eastAsia="ru-RU"/>
              </w:rPr>
            </w:pPr>
            <w:r w:rsidRPr="00006A39">
              <w:rPr>
                <w:rFonts w:eastAsia="Times New Roman"/>
                <w:bCs/>
                <w:color w:val="000000"/>
                <w:sz w:val="24"/>
                <w:szCs w:val="24"/>
                <w:lang w:eastAsia="ru-RU"/>
              </w:rPr>
              <w:t>99,1</w:t>
            </w:r>
          </w:p>
        </w:tc>
        <w:tc>
          <w:tcPr>
            <w:tcW w:w="984" w:type="dxa"/>
          </w:tcPr>
          <w:p w:rsidR="006738F0" w:rsidRPr="00006A39" w:rsidRDefault="006738F0" w:rsidP="00721203">
            <w:pPr>
              <w:widowControl w:val="0"/>
              <w:autoSpaceDE w:val="0"/>
              <w:autoSpaceDN w:val="0"/>
              <w:spacing w:line="240" w:lineRule="auto"/>
              <w:jc w:val="center"/>
              <w:rPr>
                <w:rFonts w:eastAsia="Times New Roman"/>
                <w:bCs/>
                <w:color w:val="000000"/>
                <w:sz w:val="24"/>
                <w:szCs w:val="24"/>
                <w:lang w:eastAsia="ru-RU"/>
              </w:rPr>
            </w:pPr>
            <w:r w:rsidRPr="00006A39">
              <w:rPr>
                <w:rFonts w:eastAsia="Times New Roman"/>
                <w:bCs/>
                <w:color w:val="000000"/>
                <w:sz w:val="24"/>
                <w:szCs w:val="24"/>
                <w:lang w:eastAsia="ru-RU"/>
              </w:rPr>
              <w:t>100,0</w:t>
            </w:r>
          </w:p>
        </w:tc>
        <w:tc>
          <w:tcPr>
            <w:tcW w:w="992" w:type="dxa"/>
          </w:tcPr>
          <w:p w:rsidR="006738F0" w:rsidRPr="00006A39" w:rsidRDefault="006738F0" w:rsidP="00721203">
            <w:pPr>
              <w:widowControl w:val="0"/>
              <w:autoSpaceDE w:val="0"/>
              <w:autoSpaceDN w:val="0"/>
              <w:spacing w:line="240" w:lineRule="auto"/>
              <w:jc w:val="center"/>
              <w:rPr>
                <w:rFonts w:eastAsia="Times New Roman"/>
                <w:bCs/>
                <w:color w:val="000000"/>
                <w:sz w:val="24"/>
                <w:szCs w:val="24"/>
                <w:lang w:eastAsia="ru-RU"/>
              </w:rPr>
            </w:pPr>
            <w:r w:rsidRPr="00006A39">
              <w:rPr>
                <w:rFonts w:eastAsia="Times New Roman"/>
                <w:bCs/>
                <w:color w:val="000000"/>
                <w:sz w:val="24"/>
                <w:szCs w:val="24"/>
                <w:lang w:eastAsia="ru-RU"/>
              </w:rPr>
              <w:t>99,5</w:t>
            </w:r>
          </w:p>
        </w:tc>
        <w:tc>
          <w:tcPr>
            <w:tcW w:w="799" w:type="dxa"/>
          </w:tcPr>
          <w:p w:rsidR="006738F0" w:rsidRPr="00006A39" w:rsidRDefault="006738F0" w:rsidP="00721203">
            <w:pPr>
              <w:widowControl w:val="0"/>
              <w:autoSpaceDE w:val="0"/>
              <w:autoSpaceDN w:val="0"/>
              <w:spacing w:line="240" w:lineRule="auto"/>
              <w:jc w:val="center"/>
              <w:rPr>
                <w:rFonts w:eastAsia="Times New Roman"/>
                <w:bCs/>
                <w:color w:val="000000"/>
                <w:sz w:val="24"/>
                <w:szCs w:val="24"/>
                <w:lang w:eastAsia="ru-RU"/>
              </w:rPr>
            </w:pPr>
            <w:r w:rsidRPr="00006A39">
              <w:rPr>
                <w:rFonts w:eastAsia="Times New Roman"/>
                <w:bCs/>
                <w:color w:val="000000"/>
                <w:sz w:val="24"/>
                <w:szCs w:val="24"/>
                <w:lang w:eastAsia="ru-RU"/>
              </w:rPr>
              <w:t>100,0</w:t>
            </w:r>
          </w:p>
        </w:tc>
      </w:tr>
      <w:tr w:rsidR="006738F0" w:rsidRPr="00006A39" w:rsidTr="00FA1FF8">
        <w:trPr>
          <w:trHeight w:val="350"/>
          <w:jc w:val="center"/>
        </w:trPr>
        <w:tc>
          <w:tcPr>
            <w:tcW w:w="2329" w:type="dxa"/>
          </w:tcPr>
          <w:p w:rsidR="006738F0" w:rsidRPr="00006A39" w:rsidRDefault="006738F0" w:rsidP="00721203">
            <w:pPr>
              <w:widowControl w:val="0"/>
              <w:autoSpaceDE w:val="0"/>
              <w:autoSpaceDN w:val="0"/>
              <w:spacing w:line="240" w:lineRule="auto"/>
              <w:rPr>
                <w:rFonts w:eastAsia="Times New Roman"/>
                <w:sz w:val="24"/>
                <w:szCs w:val="24"/>
              </w:rPr>
            </w:pPr>
            <w:r w:rsidRPr="00006A39">
              <w:rPr>
                <w:rFonts w:eastAsia="Times New Roman"/>
                <w:sz w:val="24"/>
                <w:szCs w:val="24"/>
              </w:rPr>
              <w:t>ЦРЛ та РЛ</w:t>
            </w:r>
          </w:p>
        </w:tc>
        <w:tc>
          <w:tcPr>
            <w:tcW w:w="907" w:type="dxa"/>
          </w:tcPr>
          <w:p w:rsidR="006738F0" w:rsidRPr="00006A39" w:rsidRDefault="006738F0" w:rsidP="00721203">
            <w:pPr>
              <w:widowControl w:val="0"/>
              <w:spacing w:line="240" w:lineRule="auto"/>
              <w:jc w:val="center"/>
              <w:rPr>
                <w:rFonts w:eastAsia="Times New Roman"/>
                <w:bCs/>
                <w:color w:val="000000"/>
                <w:sz w:val="24"/>
                <w:szCs w:val="24"/>
                <w:lang w:eastAsia="ru-RU"/>
              </w:rPr>
            </w:pPr>
            <w:r w:rsidRPr="00006A39">
              <w:rPr>
                <w:rFonts w:eastAsia="Times New Roman"/>
                <w:bCs/>
                <w:color w:val="000000"/>
                <w:sz w:val="24"/>
                <w:szCs w:val="24"/>
                <w:lang w:eastAsia="ru-RU"/>
              </w:rPr>
              <w:t>415</w:t>
            </w:r>
          </w:p>
        </w:tc>
        <w:tc>
          <w:tcPr>
            <w:tcW w:w="966" w:type="dxa"/>
          </w:tcPr>
          <w:p w:rsidR="006738F0" w:rsidRPr="00006A39" w:rsidRDefault="006738F0" w:rsidP="00721203">
            <w:pPr>
              <w:widowControl w:val="0"/>
              <w:spacing w:line="240" w:lineRule="auto"/>
              <w:jc w:val="center"/>
              <w:rPr>
                <w:rFonts w:eastAsia="Times New Roman"/>
                <w:bCs/>
                <w:color w:val="000000"/>
                <w:sz w:val="24"/>
                <w:szCs w:val="24"/>
                <w:lang w:eastAsia="ru-RU"/>
              </w:rPr>
            </w:pPr>
            <w:r w:rsidRPr="00006A39">
              <w:rPr>
                <w:rFonts w:eastAsia="Times New Roman"/>
                <w:bCs/>
                <w:color w:val="000000"/>
                <w:sz w:val="24"/>
                <w:szCs w:val="24"/>
                <w:lang w:eastAsia="ru-RU"/>
              </w:rPr>
              <w:t>380</w:t>
            </w:r>
          </w:p>
        </w:tc>
        <w:tc>
          <w:tcPr>
            <w:tcW w:w="967" w:type="dxa"/>
          </w:tcPr>
          <w:p w:rsidR="006738F0" w:rsidRPr="00006A39" w:rsidRDefault="006738F0" w:rsidP="00721203">
            <w:pPr>
              <w:widowControl w:val="0"/>
              <w:autoSpaceDE w:val="0"/>
              <w:autoSpaceDN w:val="0"/>
              <w:spacing w:line="240" w:lineRule="auto"/>
              <w:jc w:val="center"/>
              <w:rPr>
                <w:rFonts w:eastAsia="Times New Roman"/>
                <w:bCs/>
                <w:color w:val="000000"/>
                <w:sz w:val="24"/>
                <w:szCs w:val="24"/>
                <w:lang w:eastAsia="ru-RU"/>
              </w:rPr>
            </w:pPr>
            <w:r w:rsidRPr="00006A39">
              <w:rPr>
                <w:rFonts w:eastAsia="Times New Roman"/>
                <w:bCs/>
                <w:color w:val="000000"/>
                <w:sz w:val="24"/>
                <w:szCs w:val="24"/>
                <w:lang w:eastAsia="ru-RU"/>
              </w:rPr>
              <w:t>626</w:t>
            </w:r>
          </w:p>
        </w:tc>
        <w:tc>
          <w:tcPr>
            <w:tcW w:w="1129" w:type="dxa"/>
          </w:tcPr>
          <w:p w:rsidR="006738F0" w:rsidRPr="00006A39" w:rsidRDefault="006738F0" w:rsidP="00721203">
            <w:pPr>
              <w:widowControl w:val="0"/>
              <w:autoSpaceDE w:val="0"/>
              <w:autoSpaceDN w:val="0"/>
              <w:spacing w:line="240" w:lineRule="auto"/>
              <w:jc w:val="center"/>
              <w:rPr>
                <w:rFonts w:eastAsia="Times New Roman"/>
                <w:bCs/>
                <w:color w:val="000000"/>
                <w:sz w:val="24"/>
                <w:szCs w:val="24"/>
                <w:lang w:eastAsia="ru-RU"/>
              </w:rPr>
            </w:pPr>
            <w:r w:rsidRPr="00006A39">
              <w:rPr>
                <w:rFonts w:eastAsia="Times New Roman"/>
                <w:bCs/>
                <w:color w:val="000000"/>
                <w:sz w:val="24"/>
                <w:szCs w:val="24"/>
                <w:lang w:eastAsia="ru-RU"/>
              </w:rPr>
              <w:t>567</w:t>
            </w:r>
          </w:p>
        </w:tc>
        <w:tc>
          <w:tcPr>
            <w:tcW w:w="979" w:type="dxa"/>
          </w:tcPr>
          <w:p w:rsidR="006738F0" w:rsidRPr="00006A39" w:rsidRDefault="006738F0" w:rsidP="00721203">
            <w:pPr>
              <w:widowControl w:val="0"/>
              <w:autoSpaceDE w:val="0"/>
              <w:autoSpaceDN w:val="0"/>
              <w:spacing w:line="240" w:lineRule="auto"/>
              <w:jc w:val="center"/>
              <w:rPr>
                <w:rFonts w:eastAsia="Times New Roman"/>
                <w:bCs/>
                <w:color w:val="000000"/>
                <w:sz w:val="24"/>
                <w:szCs w:val="24"/>
                <w:lang w:eastAsia="ru-RU"/>
              </w:rPr>
            </w:pPr>
            <w:r w:rsidRPr="00006A39">
              <w:rPr>
                <w:rFonts w:eastAsia="Times New Roman"/>
                <w:bCs/>
                <w:color w:val="000000"/>
                <w:sz w:val="24"/>
                <w:szCs w:val="24"/>
                <w:lang w:eastAsia="ru-RU"/>
              </w:rPr>
              <w:t>5,55</w:t>
            </w:r>
          </w:p>
        </w:tc>
        <w:tc>
          <w:tcPr>
            <w:tcW w:w="984" w:type="dxa"/>
          </w:tcPr>
          <w:p w:rsidR="006738F0" w:rsidRPr="00006A39" w:rsidRDefault="006738F0" w:rsidP="00721203">
            <w:pPr>
              <w:widowControl w:val="0"/>
              <w:autoSpaceDE w:val="0"/>
              <w:autoSpaceDN w:val="0"/>
              <w:spacing w:line="240" w:lineRule="auto"/>
              <w:jc w:val="center"/>
              <w:rPr>
                <w:rFonts w:eastAsia="Times New Roman"/>
                <w:bCs/>
                <w:color w:val="000000"/>
                <w:sz w:val="24"/>
                <w:szCs w:val="24"/>
                <w:lang w:eastAsia="ru-RU"/>
              </w:rPr>
            </w:pPr>
            <w:r w:rsidRPr="00006A39">
              <w:rPr>
                <w:rFonts w:eastAsia="Times New Roman"/>
                <w:bCs/>
                <w:color w:val="000000"/>
                <w:sz w:val="24"/>
                <w:szCs w:val="24"/>
                <w:lang w:eastAsia="ru-RU"/>
              </w:rPr>
              <w:t>5,68</w:t>
            </w:r>
          </w:p>
        </w:tc>
        <w:tc>
          <w:tcPr>
            <w:tcW w:w="992" w:type="dxa"/>
          </w:tcPr>
          <w:p w:rsidR="006738F0" w:rsidRPr="00006A39" w:rsidRDefault="006738F0" w:rsidP="00721203">
            <w:pPr>
              <w:widowControl w:val="0"/>
              <w:autoSpaceDE w:val="0"/>
              <w:autoSpaceDN w:val="0"/>
              <w:spacing w:line="240" w:lineRule="auto"/>
              <w:jc w:val="center"/>
              <w:rPr>
                <w:rFonts w:eastAsia="Times New Roman"/>
                <w:bCs/>
                <w:color w:val="000000"/>
                <w:sz w:val="24"/>
                <w:szCs w:val="24"/>
                <w:lang w:eastAsia="ru-RU"/>
              </w:rPr>
            </w:pPr>
            <w:r w:rsidRPr="00006A39">
              <w:rPr>
                <w:rFonts w:eastAsia="Times New Roman"/>
                <w:bCs/>
                <w:color w:val="000000"/>
                <w:sz w:val="24"/>
                <w:szCs w:val="24"/>
                <w:lang w:eastAsia="ru-RU"/>
              </w:rPr>
              <w:t>5,83</w:t>
            </w:r>
          </w:p>
        </w:tc>
        <w:tc>
          <w:tcPr>
            <w:tcW w:w="799" w:type="dxa"/>
          </w:tcPr>
          <w:p w:rsidR="006738F0" w:rsidRPr="00006A39" w:rsidRDefault="006738F0" w:rsidP="00721203">
            <w:pPr>
              <w:widowControl w:val="0"/>
              <w:autoSpaceDE w:val="0"/>
              <w:autoSpaceDN w:val="0"/>
              <w:spacing w:line="240" w:lineRule="auto"/>
              <w:jc w:val="center"/>
              <w:rPr>
                <w:rFonts w:eastAsia="Times New Roman"/>
                <w:bCs/>
                <w:color w:val="000000"/>
                <w:sz w:val="24"/>
                <w:szCs w:val="24"/>
                <w:lang w:eastAsia="ru-RU"/>
              </w:rPr>
            </w:pPr>
            <w:r w:rsidRPr="00006A39">
              <w:rPr>
                <w:rFonts w:eastAsia="Times New Roman"/>
                <w:bCs/>
                <w:color w:val="000000"/>
                <w:sz w:val="24"/>
                <w:szCs w:val="24"/>
                <w:lang w:eastAsia="ru-RU"/>
              </w:rPr>
              <w:t>5,12</w:t>
            </w:r>
          </w:p>
        </w:tc>
      </w:tr>
      <w:tr w:rsidR="006738F0" w:rsidRPr="00006A39" w:rsidTr="00FA1FF8">
        <w:trPr>
          <w:trHeight w:val="280"/>
          <w:jc w:val="center"/>
        </w:trPr>
        <w:tc>
          <w:tcPr>
            <w:tcW w:w="2329" w:type="dxa"/>
          </w:tcPr>
          <w:p w:rsidR="006738F0" w:rsidRPr="00006A39" w:rsidRDefault="00840562" w:rsidP="00721203">
            <w:pPr>
              <w:widowControl w:val="0"/>
              <w:autoSpaceDE w:val="0"/>
              <w:autoSpaceDN w:val="0"/>
              <w:spacing w:line="240" w:lineRule="auto"/>
              <w:rPr>
                <w:rFonts w:eastAsia="Times New Roman"/>
                <w:sz w:val="24"/>
                <w:szCs w:val="24"/>
              </w:rPr>
            </w:pPr>
            <w:r w:rsidRPr="00006A39">
              <w:rPr>
                <w:rFonts w:eastAsia="Times New Roman"/>
                <w:sz w:val="24"/>
                <w:szCs w:val="24"/>
              </w:rPr>
              <w:t>Дільничні</w:t>
            </w:r>
            <w:r w:rsidR="006738F0" w:rsidRPr="00006A39">
              <w:rPr>
                <w:rFonts w:eastAsia="Times New Roman"/>
                <w:sz w:val="24"/>
                <w:szCs w:val="24"/>
              </w:rPr>
              <w:t xml:space="preserve"> лікарні та амбулаторії</w:t>
            </w:r>
          </w:p>
        </w:tc>
        <w:tc>
          <w:tcPr>
            <w:tcW w:w="907" w:type="dxa"/>
          </w:tcPr>
          <w:p w:rsidR="006738F0" w:rsidRPr="00006A39" w:rsidRDefault="006738F0" w:rsidP="00721203">
            <w:pPr>
              <w:widowControl w:val="0"/>
              <w:spacing w:line="240" w:lineRule="auto"/>
              <w:jc w:val="center"/>
              <w:rPr>
                <w:rFonts w:eastAsia="Times New Roman"/>
                <w:bCs/>
                <w:color w:val="000000"/>
                <w:sz w:val="24"/>
                <w:szCs w:val="24"/>
                <w:lang w:eastAsia="ru-RU"/>
              </w:rPr>
            </w:pPr>
            <w:r w:rsidRPr="00006A39">
              <w:rPr>
                <w:rFonts w:eastAsia="Times New Roman"/>
                <w:bCs/>
                <w:color w:val="000000"/>
                <w:sz w:val="24"/>
                <w:szCs w:val="24"/>
                <w:lang w:eastAsia="ru-RU"/>
              </w:rPr>
              <w:t>499</w:t>
            </w:r>
          </w:p>
        </w:tc>
        <w:tc>
          <w:tcPr>
            <w:tcW w:w="966" w:type="dxa"/>
          </w:tcPr>
          <w:p w:rsidR="006738F0" w:rsidRPr="00006A39" w:rsidRDefault="006738F0" w:rsidP="00721203">
            <w:pPr>
              <w:widowControl w:val="0"/>
              <w:spacing w:line="240" w:lineRule="auto"/>
              <w:jc w:val="center"/>
              <w:rPr>
                <w:rFonts w:eastAsia="Times New Roman"/>
                <w:bCs/>
                <w:color w:val="000000"/>
                <w:sz w:val="24"/>
                <w:szCs w:val="24"/>
                <w:lang w:eastAsia="ru-RU"/>
              </w:rPr>
            </w:pPr>
            <w:r w:rsidRPr="00006A39">
              <w:rPr>
                <w:rFonts w:eastAsia="Times New Roman"/>
                <w:bCs/>
                <w:color w:val="000000"/>
                <w:sz w:val="24"/>
                <w:szCs w:val="24"/>
                <w:lang w:eastAsia="ru-RU"/>
              </w:rPr>
              <w:t>236</w:t>
            </w:r>
          </w:p>
        </w:tc>
        <w:tc>
          <w:tcPr>
            <w:tcW w:w="967" w:type="dxa"/>
          </w:tcPr>
          <w:p w:rsidR="006738F0" w:rsidRPr="00006A39" w:rsidRDefault="006738F0" w:rsidP="00721203">
            <w:pPr>
              <w:widowControl w:val="0"/>
              <w:autoSpaceDE w:val="0"/>
              <w:autoSpaceDN w:val="0"/>
              <w:spacing w:line="240" w:lineRule="auto"/>
              <w:jc w:val="center"/>
              <w:rPr>
                <w:rFonts w:eastAsia="Times New Roman"/>
                <w:bCs/>
                <w:color w:val="000000"/>
                <w:sz w:val="24"/>
                <w:szCs w:val="24"/>
                <w:lang w:eastAsia="ru-RU"/>
              </w:rPr>
            </w:pPr>
            <w:r w:rsidRPr="00006A39">
              <w:rPr>
                <w:rFonts w:eastAsia="Times New Roman"/>
                <w:bCs/>
                <w:color w:val="000000"/>
                <w:sz w:val="24"/>
                <w:szCs w:val="24"/>
                <w:lang w:eastAsia="ru-RU"/>
              </w:rPr>
              <w:t>114</w:t>
            </w:r>
          </w:p>
        </w:tc>
        <w:tc>
          <w:tcPr>
            <w:tcW w:w="1129" w:type="dxa"/>
          </w:tcPr>
          <w:p w:rsidR="006738F0" w:rsidRPr="00006A39" w:rsidRDefault="006738F0" w:rsidP="00721203">
            <w:pPr>
              <w:widowControl w:val="0"/>
              <w:autoSpaceDE w:val="0"/>
              <w:autoSpaceDN w:val="0"/>
              <w:spacing w:line="240" w:lineRule="auto"/>
              <w:jc w:val="center"/>
              <w:rPr>
                <w:rFonts w:eastAsia="Times New Roman"/>
                <w:bCs/>
                <w:color w:val="000000"/>
                <w:sz w:val="24"/>
                <w:szCs w:val="24"/>
                <w:lang w:eastAsia="ru-RU"/>
              </w:rPr>
            </w:pPr>
            <w:r w:rsidRPr="00006A39">
              <w:rPr>
                <w:rFonts w:eastAsia="Times New Roman"/>
                <w:bCs/>
                <w:color w:val="000000"/>
                <w:sz w:val="24"/>
                <w:szCs w:val="24"/>
                <w:lang w:eastAsia="ru-RU"/>
              </w:rPr>
              <w:t>95</w:t>
            </w:r>
          </w:p>
        </w:tc>
        <w:tc>
          <w:tcPr>
            <w:tcW w:w="979" w:type="dxa"/>
          </w:tcPr>
          <w:p w:rsidR="006738F0" w:rsidRPr="00006A39" w:rsidRDefault="006738F0" w:rsidP="00721203">
            <w:pPr>
              <w:widowControl w:val="0"/>
              <w:autoSpaceDE w:val="0"/>
              <w:autoSpaceDN w:val="0"/>
              <w:spacing w:line="240" w:lineRule="auto"/>
              <w:jc w:val="center"/>
              <w:rPr>
                <w:rFonts w:eastAsia="Times New Roman"/>
                <w:bCs/>
                <w:color w:val="000000"/>
                <w:sz w:val="24"/>
                <w:szCs w:val="24"/>
                <w:lang w:eastAsia="ru-RU"/>
              </w:rPr>
            </w:pPr>
            <w:r w:rsidRPr="00006A39">
              <w:rPr>
                <w:rFonts w:eastAsia="Times New Roman"/>
                <w:bCs/>
                <w:color w:val="000000"/>
                <w:sz w:val="24"/>
                <w:szCs w:val="24"/>
                <w:lang w:eastAsia="ru-RU"/>
              </w:rPr>
              <w:t>3,92</w:t>
            </w:r>
          </w:p>
        </w:tc>
        <w:tc>
          <w:tcPr>
            <w:tcW w:w="984" w:type="dxa"/>
          </w:tcPr>
          <w:p w:rsidR="006738F0" w:rsidRPr="00006A39" w:rsidRDefault="006738F0" w:rsidP="00721203">
            <w:pPr>
              <w:widowControl w:val="0"/>
              <w:autoSpaceDE w:val="0"/>
              <w:autoSpaceDN w:val="0"/>
              <w:spacing w:line="240" w:lineRule="auto"/>
              <w:jc w:val="center"/>
              <w:rPr>
                <w:rFonts w:eastAsia="Times New Roman"/>
                <w:bCs/>
                <w:color w:val="000000"/>
                <w:sz w:val="24"/>
                <w:szCs w:val="24"/>
                <w:lang w:eastAsia="ru-RU"/>
              </w:rPr>
            </w:pPr>
            <w:r w:rsidRPr="00006A39">
              <w:rPr>
                <w:rFonts w:eastAsia="Times New Roman"/>
                <w:bCs/>
                <w:color w:val="000000"/>
                <w:sz w:val="24"/>
                <w:szCs w:val="24"/>
                <w:lang w:eastAsia="ru-RU"/>
              </w:rPr>
              <w:t>5,65</w:t>
            </w:r>
          </w:p>
        </w:tc>
        <w:tc>
          <w:tcPr>
            <w:tcW w:w="992" w:type="dxa"/>
          </w:tcPr>
          <w:p w:rsidR="006738F0" w:rsidRPr="00006A39" w:rsidRDefault="006738F0" w:rsidP="00721203">
            <w:pPr>
              <w:widowControl w:val="0"/>
              <w:autoSpaceDE w:val="0"/>
              <w:autoSpaceDN w:val="0"/>
              <w:spacing w:line="240" w:lineRule="auto"/>
              <w:jc w:val="center"/>
              <w:rPr>
                <w:rFonts w:eastAsia="Times New Roman"/>
                <w:bCs/>
                <w:color w:val="000000"/>
                <w:sz w:val="24"/>
                <w:szCs w:val="24"/>
                <w:lang w:eastAsia="ru-RU"/>
              </w:rPr>
            </w:pPr>
            <w:r w:rsidRPr="00006A39">
              <w:rPr>
                <w:rFonts w:eastAsia="Times New Roman"/>
                <w:bCs/>
                <w:color w:val="000000"/>
                <w:sz w:val="24"/>
                <w:szCs w:val="24"/>
                <w:lang w:eastAsia="ru-RU"/>
              </w:rPr>
              <w:t>7,87</w:t>
            </w:r>
          </w:p>
        </w:tc>
        <w:tc>
          <w:tcPr>
            <w:tcW w:w="799" w:type="dxa"/>
          </w:tcPr>
          <w:p w:rsidR="006738F0" w:rsidRPr="00006A39" w:rsidRDefault="006738F0" w:rsidP="00721203">
            <w:pPr>
              <w:widowControl w:val="0"/>
              <w:autoSpaceDE w:val="0"/>
              <w:autoSpaceDN w:val="0"/>
              <w:spacing w:line="240" w:lineRule="auto"/>
              <w:jc w:val="center"/>
              <w:rPr>
                <w:rFonts w:eastAsia="Times New Roman"/>
                <w:bCs/>
                <w:color w:val="000000"/>
                <w:sz w:val="24"/>
                <w:szCs w:val="24"/>
                <w:lang w:eastAsia="ru-RU"/>
              </w:rPr>
            </w:pPr>
            <w:r w:rsidRPr="00006A39">
              <w:rPr>
                <w:rFonts w:eastAsia="Times New Roman"/>
                <w:bCs/>
                <w:color w:val="000000"/>
                <w:sz w:val="24"/>
                <w:szCs w:val="24"/>
                <w:lang w:eastAsia="ru-RU"/>
              </w:rPr>
              <w:t>6,11</w:t>
            </w:r>
          </w:p>
        </w:tc>
      </w:tr>
      <w:tr w:rsidR="006738F0" w:rsidRPr="00006A39" w:rsidTr="00FA1FF8">
        <w:trPr>
          <w:trHeight w:val="330"/>
          <w:jc w:val="center"/>
        </w:trPr>
        <w:tc>
          <w:tcPr>
            <w:tcW w:w="2329" w:type="dxa"/>
          </w:tcPr>
          <w:p w:rsidR="006738F0" w:rsidRPr="00006A39" w:rsidRDefault="006738F0" w:rsidP="00721203">
            <w:pPr>
              <w:widowControl w:val="0"/>
              <w:autoSpaceDE w:val="0"/>
              <w:autoSpaceDN w:val="0"/>
              <w:spacing w:line="240" w:lineRule="auto"/>
              <w:rPr>
                <w:rFonts w:eastAsia="Times New Roman"/>
                <w:sz w:val="24"/>
                <w:szCs w:val="24"/>
              </w:rPr>
            </w:pPr>
            <w:r w:rsidRPr="00006A39">
              <w:rPr>
                <w:rFonts w:eastAsia="Times New Roman"/>
                <w:sz w:val="24"/>
                <w:szCs w:val="24"/>
              </w:rPr>
              <w:t>Диспансери</w:t>
            </w:r>
          </w:p>
        </w:tc>
        <w:tc>
          <w:tcPr>
            <w:tcW w:w="907" w:type="dxa"/>
          </w:tcPr>
          <w:p w:rsidR="006738F0" w:rsidRPr="00006A39" w:rsidRDefault="006738F0" w:rsidP="00721203">
            <w:pPr>
              <w:widowControl w:val="0"/>
              <w:spacing w:line="240" w:lineRule="auto"/>
              <w:jc w:val="center"/>
              <w:rPr>
                <w:rFonts w:eastAsia="Times New Roman"/>
                <w:bCs/>
                <w:color w:val="000000"/>
                <w:sz w:val="24"/>
                <w:szCs w:val="24"/>
                <w:lang w:eastAsia="ru-RU"/>
              </w:rPr>
            </w:pPr>
            <w:r w:rsidRPr="00006A39">
              <w:rPr>
                <w:rFonts w:eastAsia="Times New Roman"/>
                <w:bCs/>
                <w:color w:val="000000"/>
                <w:sz w:val="24"/>
                <w:szCs w:val="24"/>
                <w:lang w:eastAsia="ru-RU"/>
              </w:rPr>
              <w:t>79</w:t>
            </w:r>
          </w:p>
        </w:tc>
        <w:tc>
          <w:tcPr>
            <w:tcW w:w="966" w:type="dxa"/>
          </w:tcPr>
          <w:p w:rsidR="006738F0" w:rsidRPr="00006A39" w:rsidRDefault="006738F0" w:rsidP="00721203">
            <w:pPr>
              <w:widowControl w:val="0"/>
              <w:spacing w:line="240" w:lineRule="auto"/>
              <w:jc w:val="center"/>
              <w:rPr>
                <w:rFonts w:eastAsia="Times New Roman"/>
                <w:bCs/>
                <w:color w:val="000000"/>
                <w:sz w:val="24"/>
                <w:szCs w:val="24"/>
                <w:lang w:eastAsia="ru-RU"/>
              </w:rPr>
            </w:pPr>
            <w:r w:rsidRPr="00006A39">
              <w:rPr>
                <w:rFonts w:eastAsia="Times New Roman"/>
                <w:bCs/>
                <w:color w:val="000000"/>
                <w:sz w:val="24"/>
                <w:szCs w:val="24"/>
                <w:lang w:eastAsia="ru-RU"/>
              </w:rPr>
              <w:t>77</w:t>
            </w:r>
          </w:p>
        </w:tc>
        <w:tc>
          <w:tcPr>
            <w:tcW w:w="967" w:type="dxa"/>
          </w:tcPr>
          <w:p w:rsidR="006738F0" w:rsidRPr="00006A39" w:rsidRDefault="006738F0" w:rsidP="00721203">
            <w:pPr>
              <w:widowControl w:val="0"/>
              <w:autoSpaceDE w:val="0"/>
              <w:autoSpaceDN w:val="0"/>
              <w:spacing w:line="240" w:lineRule="auto"/>
              <w:jc w:val="center"/>
              <w:rPr>
                <w:rFonts w:eastAsia="Times New Roman"/>
                <w:bCs/>
                <w:color w:val="000000"/>
                <w:sz w:val="24"/>
                <w:szCs w:val="24"/>
                <w:lang w:eastAsia="ru-RU"/>
              </w:rPr>
            </w:pPr>
            <w:r w:rsidRPr="00006A39">
              <w:rPr>
                <w:rFonts w:eastAsia="Times New Roman"/>
                <w:bCs/>
                <w:color w:val="000000"/>
                <w:sz w:val="24"/>
                <w:szCs w:val="24"/>
                <w:lang w:eastAsia="ru-RU"/>
              </w:rPr>
              <w:t>40</w:t>
            </w:r>
          </w:p>
        </w:tc>
        <w:tc>
          <w:tcPr>
            <w:tcW w:w="1129" w:type="dxa"/>
          </w:tcPr>
          <w:p w:rsidR="006738F0" w:rsidRPr="00006A39" w:rsidRDefault="006738F0" w:rsidP="00721203">
            <w:pPr>
              <w:widowControl w:val="0"/>
              <w:autoSpaceDE w:val="0"/>
              <w:autoSpaceDN w:val="0"/>
              <w:spacing w:line="240" w:lineRule="auto"/>
              <w:jc w:val="center"/>
              <w:rPr>
                <w:rFonts w:eastAsia="Times New Roman"/>
                <w:bCs/>
                <w:color w:val="000000"/>
                <w:sz w:val="24"/>
                <w:szCs w:val="24"/>
                <w:lang w:eastAsia="ru-RU"/>
              </w:rPr>
            </w:pPr>
            <w:r w:rsidRPr="00006A39">
              <w:rPr>
                <w:rFonts w:eastAsia="Times New Roman"/>
                <w:bCs/>
                <w:color w:val="000000"/>
                <w:sz w:val="24"/>
                <w:szCs w:val="24"/>
                <w:lang w:eastAsia="ru-RU"/>
              </w:rPr>
              <w:t>89</w:t>
            </w:r>
          </w:p>
        </w:tc>
        <w:tc>
          <w:tcPr>
            <w:tcW w:w="979" w:type="dxa"/>
          </w:tcPr>
          <w:p w:rsidR="006738F0" w:rsidRPr="00006A39" w:rsidRDefault="006738F0" w:rsidP="00721203">
            <w:pPr>
              <w:widowControl w:val="0"/>
              <w:autoSpaceDE w:val="0"/>
              <w:autoSpaceDN w:val="0"/>
              <w:spacing w:line="240" w:lineRule="auto"/>
              <w:jc w:val="center"/>
              <w:rPr>
                <w:rFonts w:eastAsia="Times New Roman"/>
                <w:bCs/>
                <w:color w:val="000000"/>
                <w:sz w:val="24"/>
                <w:szCs w:val="24"/>
                <w:lang w:eastAsia="ru-RU"/>
              </w:rPr>
            </w:pPr>
            <w:r w:rsidRPr="00006A39">
              <w:rPr>
                <w:rFonts w:eastAsia="Times New Roman"/>
                <w:bCs/>
                <w:color w:val="000000"/>
                <w:sz w:val="24"/>
                <w:szCs w:val="24"/>
                <w:lang w:eastAsia="ru-RU"/>
              </w:rPr>
              <w:t>2,34</w:t>
            </w:r>
          </w:p>
        </w:tc>
        <w:tc>
          <w:tcPr>
            <w:tcW w:w="984" w:type="dxa"/>
          </w:tcPr>
          <w:p w:rsidR="006738F0" w:rsidRPr="00006A39" w:rsidRDefault="006738F0" w:rsidP="00721203">
            <w:pPr>
              <w:widowControl w:val="0"/>
              <w:autoSpaceDE w:val="0"/>
              <w:autoSpaceDN w:val="0"/>
              <w:spacing w:line="240" w:lineRule="auto"/>
              <w:jc w:val="center"/>
              <w:rPr>
                <w:rFonts w:eastAsia="Times New Roman"/>
                <w:bCs/>
                <w:color w:val="000000"/>
                <w:sz w:val="24"/>
                <w:szCs w:val="24"/>
                <w:lang w:eastAsia="ru-RU"/>
              </w:rPr>
            </w:pPr>
            <w:r w:rsidRPr="00006A39">
              <w:rPr>
                <w:rFonts w:eastAsia="Times New Roman"/>
                <w:bCs/>
                <w:color w:val="000000"/>
                <w:sz w:val="24"/>
                <w:szCs w:val="24"/>
                <w:lang w:eastAsia="ru-RU"/>
              </w:rPr>
              <w:t>5,03</w:t>
            </w:r>
          </w:p>
        </w:tc>
        <w:tc>
          <w:tcPr>
            <w:tcW w:w="992" w:type="dxa"/>
          </w:tcPr>
          <w:p w:rsidR="006738F0" w:rsidRPr="00006A39" w:rsidRDefault="006738F0" w:rsidP="00721203">
            <w:pPr>
              <w:widowControl w:val="0"/>
              <w:autoSpaceDE w:val="0"/>
              <w:autoSpaceDN w:val="0"/>
              <w:spacing w:line="240" w:lineRule="auto"/>
              <w:jc w:val="center"/>
              <w:rPr>
                <w:rFonts w:eastAsia="Times New Roman"/>
                <w:bCs/>
                <w:color w:val="000000"/>
                <w:sz w:val="24"/>
                <w:szCs w:val="24"/>
                <w:lang w:eastAsia="ru-RU"/>
              </w:rPr>
            </w:pPr>
            <w:r w:rsidRPr="00006A39">
              <w:rPr>
                <w:rFonts w:eastAsia="Times New Roman"/>
                <w:bCs/>
                <w:color w:val="000000"/>
                <w:sz w:val="24"/>
                <w:szCs w:val="24"/>
                <w:lang w:eastAsia="ru-RU"/>
              </w:rPr>
              <w:t>3,09</w:t>
            </w:r>
          </w:p>
        </w:tc>
        <w:tc>
          <w:tcPr>
            <w:tcW w:w="799" w:type="dxa"/>
          </w:tcPr>
          <w:p w:rsidR="006738F0" w:rsidRPr="00006A39" w:rsidRDefault="006738F0" w:rsidP="00721203">
            <w:pPr>
              <w:widowControl w:val="0"/>
              <w:autoSpaceDE w:val="0"/>
              <w:autoSpaceDN w:val="0"/>
              <w:spacing w:line="240" w:lineRule="auto"/>
              <w:jc w:val="center"/>
              <w:rPr>
                <w:rFonts w:eastAsia="Times New Roman"/>
                <w:bCs/>
                <w:color w:val="000000"/>
                <w:sz w:val="24"/>
                <w:szCs w:val="24"/>
                <w:lang w:eastAsia="ru-RU"/>
              </w:rPr>
            </w:pPr>
            <w:r w:rsidRPr="00006A39">
              <w:rPr>
                <w:rFonts w:eastAsia="Times New Roman"/>
                <w:bCs/>
                <w:color w:val="000000"/>
                <w:sz w:val="24"/>
                <w:szCs w:val="24"/>
                <w:lang w:eastAsia="ru-RU"/>
              </w:rPr>
              <w:t>9,21</w:t>
            </w:r>
          </w:p>
        </w:tc>
      </w:tr>
      <w:tr w:rsidR="006738F0" w:rsidRPr="00006A39" w:rsidTr="00FA1FF8">
        <w:trPr>
          <w:trHeight w:val="260"/>
          <w:jc w:val="center"/>
        </w:trPr>
        <w:tc>
          <w:tcPr>
            <w:tcW w:w="2329" w:type="dxa"/>
          </w:tcPr>
          <w:p w:rsidR="006738F0" w:rsidRPr="00006A39" w:rsidRDefault="006738F0" w:rsidP="00721203">
            <w:pPr>
              <w:widowControl w:val="0"/>
              <w:autoSpaceDE w:val="0"/>
              <w:autoSpaceDN w:val="0"/>
              <w:spacing w:line="240" w:lineRule="auto"/>
              <w:rPr>
                <w:rFonts w:eastAsia="Times New Roman"/>
                <w:sz w:val="24"/>
                <w:szCs w:val="24"/>
              </w:rPr>
            </w:pPr>
            <w:r w:rsidRPr="00006A39">
              <w:rPr>
                <w:rFonts w:eastAsia="Times New Roman"/>
                <w:sz w:val="24"/>
                <w:szCs w:val="24"/>
              </w:rPr>
              <w:t>Інші заклади</w:t>
            </w:r>
          </w:p>
        </w:tc>
        <w:tc>
          <w:tcPr>
            <w:tcW w:w="907" w:type="dxa"/>
          </w:tcPr>
          <w:p w:rsidR="006738F0" w:rsidRPr="00006A39" w:rsidRDefault="006738F0" w:rsidP="00721203">
            <w:pPr>
              <w:widowControl w:val="0"/>
              <w:spacing w:line="240" w:lineRule="auto"/>
              <w:jc w:val="center"/>
              <w:rPr>
                <w:rFonts w:eastAsia="Times New Roman"/>
                <w:bCs/>
                <w:color w:val="000000"/>
                <w:sz w:val="24"/>
                <w:szCs w:val="24"/>
                <w:lang w:eastAsia="ru-RU"/>
              </w:rPr>
            </w:pPr>
            <w:r w:rsidRPr="00006A39">
              <w:rPr>
                <w:rFonts w:eastAsia="Times New Roman"/>
                <w:bCs/>
                <w:color w:val="000000"/>
                <w:sz w:val="24"/>
                <w:szCs w:val="24"/>
                <w:lang w:eastAsia="ru-RU"/>
              </w:rPr>
              <w:t>552</w:t>
            </w:r>
          </w:p>
        </w:tc>
        <w:tc>
          <w:tcPr>
            <w:tcW w:w="966" w:type="dxa"/>
          </w:tcPr>
          <w:p w:rsidR="006738F0" w:rsidRPr="00006A39" w:rsidRDefault="006738F0" w:rsidP="00721203">
            <w:pPr>
              <w:widowControl w:val="0"/>
              <w:spacing w:line="240" w:lineRule="auto"/>
              <w:jc w:val="center"/>
              <w:rPr>
                <w:rFonts w:eastAsia="Times New Roman"/>
                <w:bCs/>
                <w:color w:val="000000"/>
                <w:sz w:val="24"/>
                <w:szCs w:val="24"/>
                <w:lang w:eastAsia="ru-RU"/>
              </w:rPr>
            </w:pPr>
            <w:r w:rsidRPr="00006A39">
              <w:rPr>
                <w:rFonts w:eastAsia="Times New Roman"/>
                <w:bCs/>
                <w:color w:val="000000"/>
                <w:sz w:val="24"/>
                <w:szCs w:val="24"/>
                <w:lang w:eastAsia="ru-RU"/>
              </w:rPr>
              <w:t>740</w:t>
            </w:r>
          </w:p>
        </w:tc>
        <w:tc>
          <w:tcPr>
            <w:tcW w:w="967" w:type="dxa"/>
          </w:tcPr>
          <w:p w:rsidR="006738F0" w:rsidRPr="00006A39" w:rsidRDefault="006738F0" w:rsidP="00721203">
            <w:pPr>
              <w:widowControl w:val="0"/>
              <w:autoSpaceDE w:val="0"/>
              <w:autoSpaceDN w:val="0"/>
              <w:spacing w:line="240" w:lineRule="auto"/>
              <w:jc w:val="center"/>
              <w:rPr>
                <w:rFonts w:eastAsia="Times New Roman"/>
                <w:bCs/>
                <w:color w:val="000000"/>
                <w:sz w:val="24"/>
                <w:szCs w:val="24"/>
                <w:lang w:eastAsia="ru-RU"/>
              </w:rPr>
            </w:pPr>
            <w:r w:rsidRPr="00006A39">
              <w:rPr>
                <w:rFonts w:eastAsia="Times New Roman"/>
                <w:bCs/>
                <w:color w:val="000000"/>
                <w:sz w:val="24"/>
                <w:szCs w:val="24"/>
                <w:lang w:eastAsia="ru-RU"/>
              </w:rPr>
              <w:t>1 995</w:t>
            </w:r>
          </w:p>
        </w:tc>
        <w:tc>
          <w:tcPr>
            <w:tcW w:w="1129" w:type="dxa"/>
          </w:tcPr>
          <w:p w:rsidR="006738F0" w:rsidRPr="00006A39" w:rsidRDefault="006738F0" w:rsidP="00721203">
            <w:pPr>
              <w:widowControl w:val="0"/>
              <w:autoSpaceDE w:val="0"/>
              <w:autoSpaceDN w:val="0"/>
              <w:spacing w:line="240" w:lineRule="auto"/>
              <w:jc w:val="center"/>
              <w:rPr>
                <w:rFonts w:eastAsia="Times New Roman"/>
                <w:bCs/>
                <w:color w:val="000000"/>
                <w:sz w:val="24"/>
                <w:szCs w:val="24"/>
                <w:lang w:eastAsia="ru-RU"/>
              </w:rPr>
            </w:pPr>
            <w:r w:rsidRPr="00006A39">
              <w:rPr>
                <w:rFonts w:eastAsia="Times New Roman"/>
                <w:bCs/>
                <w:color w:val="000000"/>
                <w:sz w:val="24"/>
                <w:szCs w:val="24"/>
                <w:lang w:eastAsia="ru-RU"/>
              </w:rPr>
              <w:t>2 161</w:t>
            </w:r>
          </w:p>
        </w:tc>
        <w:tc>
          <w:tcPr>
            <w:tcW w:w="979" w:type="dxa"/>
          </w:tcPr>
          <w:p w:rsidR="006738F0" w:rsidRPr="00006A39" w:rsidRDefault="006738F0" w:rsidP="00721203">
            <w:pPr>
              <w:widowControl w:val="0"/>
              <w:autoSpaceDE w:val="0"/>
              <w:autoSpaceDN w:val="0"/>
              <w:spacing w:line="240" w:lineRule="auto"/>
              <w:jc w:val="center"/>
              <w:rPr>
                <w:rFonts w:eastAsia="Times New Roman"/>
                <w:bCs/>
                <w:color w:val="000000"/>
                <w:sz w:val="24"/>
                <w:szCs w:val="24"/>
                <w:lang w:eastAsia="ru-RU"/>
              </w:rPr>
            </w:pPr>
            <w:r w:rsidRPr="00006A39">
              <w:rPr>
                <w:rFonts w:eastAsia="Times New Roman"/>
                <w:bCs/>
                <w:color w:val="000000"/>
                <w:sz w:val="24"/>
                <w:szCs w:val="24"/>
                <w:lang w:eastAsia="ru-RU"/>
              </w:rPr>
              <w:t>6,36</w:t>
            </w:r>
          </w:p>
        </w:tc>
        <w:tc>
          <w:tcPr>
            <w:tcW w:w="984" w:type="dxa"/>
          </w:tcPr>
          <w:p w:rsidR="006738F0" w:rsidRPr="00006A39" w:rsidRDefault="006738F0" w:rsidP="00721203">
            <w:pPr>
              <w:widowControl w:val="0"/>
              <w:autoSpaceDE w:val="0"/>
              <w:autoSpaceDN w:val="0"/>
              <w:spacing w:line="240" w:lineRule="auto"/>
              <w:jc w:val="center"/>
              <w:rPr>
                <w:rFonts w:eastAsia="Times New Roman"/>
                <w:bCs/>
                <w:color w:val="000000"/>
                <w:sz w:val="24"/>
                <w:szCs w:val="24"/>
                <w:lang w:eastAsia="ru-RU"/>
              </w:rPr>
            </w:pPr>
            <w:r w:rsidRPr="00006A39">
              <w:rPr>
                <w:rFonts w:eastAsia="Times New Roman"/>
                <w:bCs/>
                <w:color w:val="000000"/>
                <w:sz w:val="24"/>
                <w:szCs w:val="24"/>
                <w:lang w:eastAsia="ru-RU"/>
              </w:rPr>
              <w:t>6,38</w:t>
            </w:r>
          </w:p>
        </w:tc>
        <w:tc>
          <w:tcPr>
            <w:tcW w:w="992" w:type="dxa"/>
          </w:tcPr>
          <w:p w:rsidR="006738F0" w:rsidRPr="00006A39" w:rsidRDefault="006738F0" w:rsidP="00721203">
            <w:pPr>
              <w:widowControl w:val="0"/>
              <w:autoSpaceDE w:val="0"/>
              <w:autoSpaceDN w:val="0"/>
              <w:spacing w:line="240" w:lineRule="auto"/>
              <w:jc w:val="center"/>
              <w:rPr>
                <w:rFonts w:eastAsia="Times New Roman"/>
                <w:bCs/>
                <w:color w:val="000000"/>
                <w:sz w:val="24"/>
                <w:szCs w:val="24"/>
                <w:lang w:eastAsia="ru-RU"/>
              </w:rPr>
            </w:pPr>
            <w:r w:rsidRPr="00006A39">
              <w:rPr>
                <w:rFonts w:eastAsia="Times New Roman"/>
                <w:bCs/>
                <w:color w:val="000000"/>
                <w:sz w:val="24"/>
                <w:szCs w:val="24"/>
                <w:lang w:eastAsia="ru-RU"/>
              </w:rPr>
              <w:t>6,82</w:t>
            </w:r>
          </w:p>
        </w:tc>
        <w:tc>
          <w:tcPr>
            <w:tcW w:w="799" w:type="dxa"/>
          </w:tcPr>
          <w:p w:rsidR="006738F0" w:rsidRPr="00006A39" w:rsidRDefault="006738F0" w:rsidP="00721203">
            <w:pPr>
              <w:widowControl w:val="0"/>
              <w:autoSpaceDE w:val="0"/>
              <w:autoSpaceDN w:val="0"/>
              <w:spacing w:line="240" w:lineRule="auto"/>
              <w:jc w:val="center"/>
              <w:rPr>
                <w:rFonts w:eastAsia="Times New Roman"/>
                <w:bCs/>
                <w:color w:val="000000"/>
                <w:sz w:val="24"/>
                <w:szCs w:val="24"/>
                <w:lang w:eastAsia="ru-RU"/>
              </w:rPr>
            </w:pPr>
            <w:r w:rsidRPr="00006A39">
              <w:rPr>
                <w:rFonts w:eastAsia="Times New Roman"/>
                <w:bCs/>
                <w:color w:val="000000"/>
                <w:sz w:val="24"/>
                <w:szCs w:val="24"/>
                <w:lang w:eastAsia="ru-RU"/>
              </w:rPr>
              <w:t>6,33</w:t>
            </w:r>
          </w:p>
        </w:tc>
      </w:tr>
      <w:tr w:rsidR="006738F0" w:rsidRPr="00006A39" w:rsidTr="00FA1FF8">
        <w:trPr>
          <w:trHeight w:val="280"/>
          <w:jc w:val="center"/>
        </w:trPr>
        <w:tc>
          <w:tcPr>
            <w:tcW w:w="2329" w:type="dxa"/>
          </w:tcPr>
          <w:p w:rsidR="006738F0" w:rsidRPr="00006A39" w:rsidRDefault="006738F0" w:rsidP="00721203">
            <w:pPr>
              <w:widowControl w:val="0"/>
              <w:autoSpaceDE w:val="0"/>
              <w:autoSpaceDN w:val="0"/>
              <w:spacing w:line="240" w:lineRule="auto"/>
              <w:rPr>
                <w:rFonts w:eastAsia="Times New Roman"/>
                <w:sz w:val="24"/>
                <w:szCs w:val="24"/>
              </w:rPr>
            </w:pPr>
            <w:r w:rsidRPr="00006A39">
              <w:rPr>
                <w:rFonts w:eastAsia="Times New Roman"/>
                <w:sz w:val="24"/>
                <w:szCs w:val="24"/>
              </w:rPr>
              <w:t>Усього в  Україні</w:t>
            </w:r>
          </w:p>
        </w:tc>
        <w:tc>
          <w:tcPr>
            <w:tcW w:w="907" w:type="dxa"/>
          </w:tcPr>
          <w:p w:rsidR="006738F0" w:rsidRPr="00006A39" w:rsidRDefault="006738F0" w:rsidP="00721203">
            <w:pPr>
              <w:widowControl w:val="0"/>
              <w:spacing w:line="240" w:lineRule="auto"/>
              <w:jc w:val="center"/>
              <w:rPr>
                <w:rFonts w:eastAsia="Times New Roman"/>
                <w:bCs/>
                <w:color w:val="000000"/>
                <w:sz w:val="24"/>
                <w:szCs w:val="24"/>
                <w:lang w:eastAsia="ru-RU"/>
              </w:rPr>
            </w:pPr>
            <w:r w:rsidRPr="00006A39">
              <w:rPr>
                <w:rFonts w:eastAsia="Times New Roman"/>
                <w:bCs/>
                <w:color w:val="000000"/>
                <w:sz w:val="24"/>
                <w:szCs w:val="24"/>
                <w:lang w:eastAsia="ru-RU"/>
              </w:rPr>
              <w:t>1 924</w:t>
            </w:r>
          </w:p>
        </w:tc>
        <w:tc>
          <w:tcPr>
            <w:tcW w:w="966" w:type="dxa"/>
          </w:tcPr>
          <w:p w:rsidR="006738F0" w:rsidRPr="00006A39" w:rsidRDefault="006738F0" w:rsidP="00721203">
            <w:pPr>
              <w:widowControl w:val="0"/>
              <w:spacing w:line="240" w:lineRule="auto"/>
              <w:jc w:val="center"/>
              <w:rPr>
                <w:rFonts w:eastAsia="Times New Roman"/>
                <w:bCs/>
                <w:color w:val="000000"/>
                <w:sz w:val="24"/>
                <w:szCs w:val="24"/>
                <w:lang w:eastAsia="ru-RU"/>
              </w:rPr>
            </w:pPr>
            <w:r w:rsidRPr="00006A39">
              <w:rPr>
                <w:rFonts w:eastAsia="Times New Roman"/>
                <w:bCs/>
                <w:color w:val="000000"/>
                <w:sz w:val="24"/>
                <w:szCs w:val="24"/>
                <w:lang w:eastAsia="ru-RU"/>
              </w:rPr>
              <w:t>1 805</w:t>
            </w:r>
          </w:p>
        </w:tc>
        <w:tc>
          <w:tcPr>
            <w:tcW w:w="967" w:type="dxa"/>
          </w:tcPr>
          <w:p w:rsidR="006738F0" w:rsidRPr="00006A39" w:rsidRDefault="006738F0" w:rsidP="00721203">
            <w:pPr>
              <w:widowControl w:val="0"/>
              <w:autoSpaceDE w:val="0"/>
              <w:autoSpaceDN w:val="0"/>
              <w:spacing w:line="240" w:lineRule="auto"/>
              <w:jc w:val="center"/>
              <w:rPr>
                <w:rFonts w:eastAsia="Times New Roman"/>
                <w:bCs/>
                <w:color w:val="000000"/>
                <w:sz w:val="24"/>
                <w:szCs w:val="24"/>
                <w:lang w:eastAsia="ru-RU"/>
              </w:rPr>
            </w:pPr>
            <w:r w:rsidRPr="00006A39">
              <w:rPr>
                <w:rFonts w:eastAsia="Times New Roman"/>
                <w:bCs/>
                <w:color w:val="000000"/>
                <w:sz w:val="24"/>
                <w:szCs w:val="24"/>
                <w:lang w:eastAsia="ru-RU"/>
              </w:rPr>
              <w:t>4984</w:t>
            </w:r>
          </w:p>
        </w:tc>
        <w:tc>
          <w:tcPr>
            <w:tcW w:w="1129" w:type="dxa"/>
          </w:tcPr>
          <w:p w:rsidR="006738F0" w:rsidRPr="00006A39" w:rsidRDefault="006738F0" w:rsidP="00721203">
            <w:pPr>
              <w:widowControl w:val="0"/>
              <w:autoSpaceDE w:val="0"/>
              <w:autoSpaceDN w:val="0"/>
              <w:spacing w:line="240" w:lineRule="auto"/>
              <w:jc w:val="center"/>
              <w:rPr>
                <w:rFonts w:eastAsia="Times New Roman"/>
                <w:bCs/>
                <w:color w:val="000000"/>
                <w:sz w:val="24"/>
                <w:szCs w:val="24"/>
                <w:lang w:eastAsia="ru-RU"/>
              </w:rPr>
            </w:pPr>
            <w:r w:rsidRPr="00006A39">
              <w:rPr>
                <w:rFonts w:eastAsia="Times New Roman"/>
                <w:bCs/>
                <w:color w:val="000000"/>
                <w:sz w:val="24"/>
                <w:szCs w:val="24"/>
                <w:lang w:eastAsia="ru-RU"/>
              </w:rPr>
              <w:t>4976</w:t>
            </w:r>
          </w:p>
        </w:tc>
        <w:tc>
          <w:tcPr>
            <w:tcW w:w="979" w:type="dxa"/>
          </w:tcPr>
          <w:p w:rsidR="006738F0" w:rsidRPr="00006A39" w:rsidRDefault="006738F0" w:rsidP="00721203">
            <w:pPr>
              <w:widowControl w:val="0"/>
              <w:autoSpaceDE w:val="0"/>
              <w:autoSpaceDN w:val="0"/>
              <w:spacing w:line="240" w:lineRule="auto"/>
              <w:jc w:val="center"/>
              <w:rPr>
                <w:rFonts w:eastAsia="Times New Roman"/>
                <w:bCs/>
                <w:color w:val="000000"/>
                <w:sz w:val="24"/>
                <w:szCs w:val="24"/>
                <w:lang w:eastAsia="ru-RU"/>
              </w:rPr>
            </w:pPr>
            <w:r w:rsidRPr="00006A39">
              <w:rPr>
                <w:rFonts w:eastAsia="Times New Roman"/>
                <w:bCs/>
                <w:color w:val="000000"/>
                <w:sz w:val="24"/>
                <w:szCs w:val="24"/>
                <w:lang w:eastAsia="ru-RU"/>
              </w:rPr>
              <w:t>8,09</w:t>
            </w:r>
          </w:p>
        </w:tc>
        <w:tc>
          <w:tcPr>
            <w:tcW w:w="984" w:type="dxa"/>
          </w:tcPr>
          <w:p w:rsidR="006738F0" w:rsidRPr="00006A39" w:rsidRDefault="006738F0" w:rsidP="00721203">
            <w:pPr>
              <w:widowControl w:val="0"/>
              <w:autoSpaceDE w:val="0"/>
              <w:autoSpaceDN w:val="0"/>
              <w:spacing w:line="240" w:lineRule="auto"/>
              <w:jc w:val="center"/>
              <w:rPr>
                <w:rFonts w:eastAsia="Times New Roman"/>
                <w:bCs/>
                <w:color w:val="000000"/>
                <w:sz w:val="24"/>
                <w:szCs w:val="24"/>
                <w:lang w:eastAsia="ru-RU"/>
              </w:rPr>
            </w:pPr>
            <w:r w:rsidRPr="00006A39">
              <w:rPr>
                <w:rFonts w:eastAsia="Times New Roman"/>
                <w:bCs/>
                <w:color w:val="000000"/>
                <w:sz w:val="24"/>
                <w:szCs w:val="24"/>
                <w:lang w:eastAsia="ru-RU"/>
              </w:rPr>
              <w:t>8,13</w:t>
            </w:r>
          </w:p>
        </w:tc>
        <w:tc>
          <w:tcPr>
            <w:tcW w:w="992" w:type="dxa"/>
          </w:tcPr>
          <w:p w:rsidR="006738F0" w:rsidRPr="00006A39" w:rsidRDefault="006738F0" w:rsidP="00721203">
            <w:pPr>
              <w:widowControl w:val="0"/>
              <w:autoSpaceDE w:val="0"/>
              <w:autoSpaceDN w:val="0"/>
              <w:spacing w:line="240" w:lineRule="auto"/>
              <w:jc w:val="center"/>
              <w:rPr>
                <w:rFonts w:eastAsia="Times New Roman"/>
                <w:bCs/>
                <w:color w:val="000000"/>
                <w:sz w:val="24"/>
                <w:szCs w:val="24"/>
                <w:lang w:eastAsia="ru-RU"/>
              </w:rPr>
            </w:pPr>
            <w:r w:rsidRPr="00006A39">
              <w:rPr>
                <w:rFonts w:eastAsia="Times New Roman"/>
                <w:bCs/>
                <w:color w:val="000000"/>
                <w:sz w:val="24"/>
                <w:szCs w:val="24"/>
                <w:lang w:eastAsia="ru-RU"/>
              </w:rPr>
              <w:t>8,10</w:t>
            </w:r>
          </w:p>
        </w:tc>
        <w:tc>
          <w:tcPr>
            <w:tcW w:w="799" w:type="dxa"/>
          </w:tcPr>
          <w:p w:rsidR="006738F0" w:rsidRPr="00006A39" w:rsidRDefault="006738F0" w:rsidP="00721203">
            <w:pPr>
              <w:widowControl w:val="0"/>
              <w:autoSpaceDE w:val="0"/>
              <w:autoSpaceDN w:val="0"/>
              <w:spacing w:line="240" w:lineRule="auto"/>
              <w:jc w:val="center"/>
              <w:rPr>
                <w:rFonts w:eastAsia="Times New Roman"/>
                <w:bCs/>
                <w:color w:val="000000"/>
                <w:sz w:val="24"/>
                <w:szCs w:val="24"/>
                <w:lang w:eastAsia="ru-RU"/>
              </w:rPr>
            </w:pPr>
            <w:r w:rsidRPr="00006A39">
              <w:rPr>
                <w:rFonts w:eastAsia="Times New Roman"/>
                <w:bCs/>
                <w:color w:val="000000"/>
                <w:sz w:val="24"/>
                <w:szCs w:val="24"/>
                <w:lang w:eastAsia="ru-RU"/>
              </w:rPr>
              <w:t>7,36</w:t>
            </w:r>
          </w:p>
        </w:tc>
      </w:tr>
    </w:tbl>
    <w:p w:rsidR="006738F0" w:rsidRPr="00006A39" w:rsidRDefault="006738F0" w:rsidP="00721203">
      <w:pPr>
        <w:widowControl w:val="0"/>
        <w:rPr>
          <w:rFonts w:eastAsia="Times New Roman"/>
          <w:szCs w:val="28"/>
          <w:lang w:eastAsia="ru-RU"/>
        </w:rPr>
      </w:pPr>
    </w:p>
    <w:p w:rsidR="006738F0" w:rsidRPr="00A0715F" w:rsidRDefault="006738F0" w:rsidP="00A13877">
      <w:pPr>
        <w:widowControl w:val="0"/>
        <w:ind w:firstLine="709"/>
        <w:rPr>
          <w:rFonts w:eastAsia="Times New Roman"/>
          <w:color w:val="FF0000"/>
          <w:szCs w:val="28"/>
          <w:lang w:eastAsia="ru-RU"/>
        </w:rPr>
      </w:pPr>
      <w:r w:rsidRPr="00006A39">
        <w:rPr>
          <w:rFonts w:eastAsia="Times New Roman"/>
          <w:szCs w:val="28"/>
          <w:lang w:eastAsia="ru-RU"/>
        </w:rPr>
        <w:t xml:space="preserve">Подібні тренди спостерігаються й при аналізі даних показників у відносних значеннях. Так, констатовано </w:t>
      </w:r>
      <w:r w:rsidR="00A13877" w:rsidRPr="00A13877">
        <w:rPr>
          <w:rFonts w:eastAsia="Times New Roman"/>
          <w:spacing w:val="-4"/>
          <w:szCs w:val="28"/>
          <w:lang w:eastAsia="ru-RU"/>
        </w:rPr>
        <w:t xml:space="preserve">зниження рівня забезпеченості дитячого населення ліжками денного стаціонару на 15,5%  (з 7,98 на 10 тис. дитячого населення у 2013 р. до 6,74 відповідно у 2017 р.), при незначному зростанні рівня пролікованих дітей на 1000 захворювань  на 1,73% з 16,15 у 2013 р. до 16,43 </w:t>
      </w:r>
      <w:r w:rsidR="00A0715F">
        <w:rPr>
          <w:rFonts w:eastAsia="Times New Roman"/>
          <w:spacing w:val="-4"/>
          <w:szCs w:val="28"/>
          <w:lang w:eastAsia="ru-RU"/>
        </w:rPr>
        <w:t>у 2017 р.</w:t>
      </w:r>
      <w:r w:rsidR="00A13877" w:rsidRPr="00A13877">
        <w:rPr>
          <w:rFonts w:eastAsia="Times New Roman"/>
          <w:spacing w:val="-4"/>
          <w:szCs w:val="28"/>
          <w:lang w:eastAsia="ru-RU"/>
        </w:rPr>
        <w:t>, а також  показника пролікованих дітей  на одному ліжку денного стаціонару  на 0,66%  з 42,3 у 2013 р. до 42,58 у 2017 р</w:t>
      </w:r>
      <w:r w:rsidR="00A13877" w:rsidRPr="00A13877">
        <w:rPr>
          <w:rFonts w:eastAsia="Times New Roman"/>
          <w:spacing w:val="-4"/>
          <w:sz w:val="24"/>
          <w:szCs w:val="24"/>
          <w:lang w:eastAsia="ru-RU"/>
        </w:rPr>
        <w:t xml:space="preserve">. </w:t>
      </w:r>
      <w:r w:rsidR="00D068E4">
        <w:rPr>
          <w:rFonts w:eastAsia="Times New Roman"/>
          <w:spacing w:val="-4"/>
          <w:szCs w:val="28"/>
          <w:lang w:eastAsia="ru-RU"/>
        </w:rPr>
        <w:t xml:space="preserve"> </w:t>
      </w:r>
      <w:r w:rsidRPr="00A13877">
        <w:rPr>
          <w:rFonts w:eastAsia="Times New Roman"/>
          <w:szCs w:val="28"/>
          <w:lang w:eastAsia="ru-RU"/>
        </w:rPr>
        <w:t>з 42,3 у 2013 р. до 42,58 у 2017 р.</w:t>
      </w:r>
      <w:r w:rsidR="00C229B9" w:rsidRPr="00A13877">
        <w:rPr>
          <w:rFonts w:eastAsia="Times New Roman"/>
          <w:szCs w:val="28"/>
          <w:lang w:eastAsia="ru-RU"/>
        </w:rPr>
        <w:t xml:space="preserve"> </w:t>
      </w:r>
      <w:r w:rsidR="00B05716">
        <w:rPr>
          <w:rFonts w:eastAsia="Times New Roman"/>
          <w:szCs w:val="28"/>
          <w:lang w:eastAsia="ru-RU"/>
        </w:rPr>
        <w:t>ВШ 1,59 (95% ДІ 1,52-1,66</w:t>
      </w:r>
      <w:r w:rsidR="00C229B9" w:rsidRPr="00A13877">
        <w:rPr>
          <w:rFonts w:eastAsia="Times New Roman"/>
          <w:szCs w:val="28"/>
          <w:lang w:eastAsia="ru-RU"/>
        </w:rPr>
        <w:t>, р&lt;0,001</w:t>
      </w:r>
      <w:r w:rsidRPr="00A13877">
        <w:rPr>
          <w:rFonts w:eastAsia="Times New Roman"/>
          <w:sz w:val="24"/>
          <w:szCs w:val="24"/>
          <w:lang w:eastAsia="ru-RU"/>
        </w:rPr>
        <w:t>).</w:t>
      </w:r>
      <w:r w:rsidR="00C70F54" w:rsidRPr="00A13877">
        <w:rPr>
          <w:rFonts w:eastAsia="Times New Roman"/>
          <w:spacing w:val="-4"/>
          <w:sz w:val="24"/>
          <w:szCs w:val="24"/>
          <w:lang w:eastAsia="ru-RU"/>
        </w:rPr>
        <w:t xml:space="preserve"> </w:t>
      </w:r>
      <w:r w:rsidRPr="00006A39">
        <w:rPr>
          <w:rFonts w:eastAsia="Times New Roman"/>
          <w:szCs w:val="28"/>
          <w:lang w:eastAsia="ru-RU"/>
        </w:rPr>
        <w:t xml:space="preserve">Рівню забезпеченості дитячого населення ліжками денного стаціонару притаманна регіональна диспропорція: у Тернопільській (10,28 на 10 тис. дитячого населення), Луганській (11,07 відповідно), Харківській (11,57 відповідно), Чернігівській (13,37 відповідно), Чернівецькій (14,96 відповідно) областях, при низьких рівнях вищезазначеного показника у 7 областях країни (менш ніж 4,0 на 10 тис. дітей): у Рівненській (2,08 відповідно), Київський (2,74 відповідно), Івано-Франківській (3,3 відповідно), Волинській (3,34 відповідно), Вінницькій (3,47 відповідно), Львівській (3,59 відповідно) і Одеській (3,92 відповідно) областях. </w:t>
      </w:r>
      <w:r w:rsidRPr="00006A39">
        <w:rPr>
          <w:szCs w:val="28"/>
        </w:rPr>
        <w:t>Гранична різниц</w:t>
      </w:r>
      <w:r w:rsidR="00A0715F">
        <w:rPr>
          <w:szCs w:val="28"/>
        </w:rPr>
        <w:t xml:space="preserve">я показника становила 7,19 </w:t>
      </w:r>
      <w:r w:rsidR="00A0715F" w:rsidRPr="004B46AD">
        <w:rPr>
          <w:szCs w:val="28"/>
        </w:rPr>
        <w:t>рази (</w:t>
      </w:r>
      <w:r w:rsidR="0003729C" w:rsidRPr="004B46AD">
        <w:rPr>
          <w:szCs w:val="28"/>
        </w:rPr>
        <w:t>Додаток Г</w:t>
      </w:r>
      <w:r w:rsidR="00A0715F" w:rsidRPr="004B46AD">
        <w:rPr>
          <w:szCs w:val="28"/>
        </w:rPr>
        <w:t>-1).</w:t>
      </w:r>
    </w:p>
    <w:p w:rsidR="00FD1543" w:rsidRPr="00006A39" w:rsidRDefault="00FD1543" w:rsidP="00721203">
      <w:pPr>
        <w:widowControl w:val="0"/>
        <w:ind w:firstLine="709"/>
        <w:rPr>
          <w:szCs w:val="28"/>
        </w:rPr>
      </w:pPr>
      <w:r w:rsidRPr="00006A39">
        <w:rPr>
          <w:szCs w:val="28"/>
        </w:rPr>
        <w:lastRenderedPageBreak/>
        <w:t>У розділі 4 показано, що між смертністю дітей віком до 5 років</w:t>
      </w:r>
      <w:r w:rsidR="00A0715F" w:rsidRPr="00A0715F">
        <w:rPr>
          <w:szCs w:val="28"/>
        </w:rPr>
        <w:t xml:space="preserve"> життя</w:t>
      </w:r>
      <w:r w:rsidRPr="00006A39">
        <w:rPr>
          <w:szCs w:val="28"/>
        </w:rPr>
        <w:t xml:space="preserve"> та захворюваністю існує зворотній достовірний зв’язок, який свідчить про відсутність залежності рівня смертності від рівня захворюваності</w:t>
      </w:r>
      <w:r w:rsidR="002A4861">
        <w:rPr>
          <w:szCs w:val="28"/>
        </w:rPr>
        <w:t xml:space="preserve"> (табл.5</w:t>
      </w:r>
      <w:r w:rsidR="00654A0F">
        <w:rPr>
          <w:szCs w:val="28"/>
        </w:rPr>
        <w:t>.5</w:t>
      </w:r>
      <w:r w:rsidR="002A4861">
        <w:rPr>
          <w:szCs w:val="28"/>
        </w:rPr>
        <w:t>).</w:t>
      </w:r>
    </w:p>
    <w:p w:rsidR="001B0792" w:rsidRPr="00006A39" w:rsidRDefault="001B0792" w:rsidP="00721203">
      <w:pPr>
        <w:widowControl w:val="0"/>
        <w:ind w:firstLine="709"/>
        <w:rPr>
          <w:rFonts w:eastAsia="Times New Roman"/>
          <w:szCs w:val="28"/>
          <w:lang w:eastAsia="ru-RU"/>
        </w:rPr>
      </w:pPr>
      <w:r w:rsidRPr="00006A39">
        <w:rPr>
          <w:szCs w:val="28"/>
        </w:rPr>
        <w:t xml:space="preserve">За </w:t>
      </w:r>
      <w:r w:rsidRPr="002A4861">
        <w:rPr>
          <w:szCs w:val="28"/>
        </w:rPr>
        <w:t xml:space="preserve">регресією </w:t>
      </w:r>
      <w:r w:rsidR="00840562" w:rsidRPr="002A4861">
        <w:rPr>
          <w:szCs w:val="28"/>
        </w:rPr>
        <w:t>Пуассона</w:t>
      </w:r>
      <w:r w:rsidRPr="002A4861">
        <w:rPr>
          <w:szCs w:val="28"/>
        </w:rPr>
        <w:t xml:space="preserve"> виявлено</w:t>
      </w:r>
      <w:r w:rsidRPr="00006A39">
        <w:rPr>
          <w:szCs w:val="28"/>
        </w:rPr>
        <w:t xml:space="preserve"> достовірний зв’язок між смертністю дітей віком до 5 років та </w:t>
      </w:r>
      <w:r w:rsidRPr="00006A39">
        <w:rPr>
          <w:rFonts w:eastAsia="Times New Roman"/>
          <w:szCs w:val="28"/>
        </w:rPr>
        <w:t>кількістю</w:t>
      </w:r>
      <w:r w:rsidRPr="00006A39">
        <w:rPr>
          <w:rFonts w:eastAsia="Times New Roman"/>
          <w:szCs w:val="28"/>
          <w:lang w:eastAsia="ru-RU"/>
        </w:rPr>
        <w:t xml:space="preserve"> пролікованих дітей </w:t>
      </w:r>
      <w:r w:rsidRPr="00006A39">
        <w:rPr>
          <w:rFonts w:eastAsia="Times New Roman"/>
          <w:szCs w:val="28"/>
        </w:rPr>
        <w:t xml:space="preserve">з розрахунку </w:t>
      </w:r>
      <w:r w:rsidRPr="00006A39">
        <w:rPr>
          <w:rFonts w:eastAsia="Times New Roman"/>
          <w:szCs w:val="28"/>
          <w:lang w:eastAsia="ru-RU"/>
        </w:rPr>
        <w:t>на 1000 захворювань</w:t>
      </w:r>
      <w:r w:rsidR="001451FD" w:rsidRPr="00006A39">
        <w:rPr>
          <w:rFonts w:eastAsia="Times New Roman"/>
          <w:szCs w:val="28"/>
          <w:lang w:eastAsia="ru-RU"/>
        </w:rPr>
        <w:t xml:space="preserve"> (</w:t>
      </w:r>
      <w:r w:rsidR="00F128D9" w:rsidRPr="00F128D9">
        <w:rPr>
          <w:szCs w:val="28"/>
          <w:lang w:val="en-US"/>
        </w:rPr>
        <w:t>Coef</w:t>
      </w:r>
      <w:r w:rsidR="00F128D9" w:rsidRPr="00F128D9">
        <w:rPr>
          <w:szCs w:val="28"/>
        </w:rPr>
        <w:t>.</w:t>
      </w:r>
      <w:r w:rsidR="001451FD" w:rsidRPr="00006A39">
        <w:rPr>
          <w:szCs w:val="28"/>
        </w:rPr>
        <w:t xml:space="preserve"> 0,0092, р&lt;0,001) та </w:t>
      </w:r>
      <w:r w:rsidR="001451FD" w:rsidRPr="00006A39">
        <w:rPr>
          <w:rFonts w:eastAsia="Times New Roman"/>
          <w:szCs w:val="28"/>
        </w:rPr>
        <w:t>кількістю</w:t>
      </w:r>
      <w:r w:rsidR="001451FD" w:rsidRPr="00006A39">
        <w:rPr>
          <w:rFonts w:eastAsia="Times New Roman"/>
          <w:szCs w:val="28"/>
          <w:lang w:eastAsia="ru-RU"/>
        </w:rPr>
        <w:t xml:space="preserve"> пролікованих дітей</w:t>
      </w:r>
      <w:r w:rsidR="001451FD" w:rsidRPr="00006A39">
        <w:rPr>
          <w:rFonts w:eastAsia="Times New Roman"/>
          <w:szCs w:val="28"/>
        </w:rPr>
        <w:t xml:space="preserve"> з розрахунку</w:t>
      </w:r>
      <w:r w:rsidR="001451FD" w:rsidRPr="00006A39">
        <w:rPr>
          <w:rFonts w:eastAsia="Times New Roman"/>
          <w:szCs w:val="28"/>
          <w:lang w:eastAsia="ru-RU"/>
        </w:rPr>
        <w:t xml:space="preserve"> на одн</w:t>
      </w:r>
      <w:r w:rsidR="001451FD" w:rsidRPr="00006A39">
        <w:rPr>
          <w:rFonts w:eastAsia="Times New Roman"/>
          <w:szCs w:val="28"/>
        </w:rPr>
        <w:t>е</w:t>
      </w:r>
      <w:r w:rsidR="001451FD" w:rsidRPr="00006A39">
        <w:rPr>
          <w:rFonts w:eastAsia="Times New Roman"/>
          <w:szCs w:val="28"/>
          <w:lang w:eastAsia="ru-RU"/>
        </w:rPr>
        <w:t xml:space="preserve"> ліжк</w:t>
      </w:r>
      <w:r w:rsidR="001451FD" w:rsidRPr="00006A39">
        <w:rPr>
          <w:rFonts w:eastAsia="Times New Roman"/>
          <w:szCs w:val="28"/>
        </w:rPr>
        <w:t>о</w:t>
      </w:r>
      <w:r w:rsidR="001451FD" w:rsidRPr="00006A39">
        <w:rPr>
          <w:rFonts w:eastAsia="Times New Roman"/>
          <w:szCs w:val="28"/>
          <w:lang w:eastAsia="ru-RU"/>
        </w:rPr>
        <w:t xml:space="preserve"> денного стаціонару (</w:t>
      </w:r>
      <w:r w:rsidR="00F128D9" w:rsidRPr="00F128D9">
        <w:rPr>
          <w:szCs w:val="28"/>
          <w:lang w:val="en-US"/>
        </w:rPr>
        <w:t>Coef</w:t>
      </w:r>
      <w:r w:rsidR="00F128D9" w:rsidRPr="00F128D9">
        <w:rPr>
          <w:szCs w:val="28"/>
        </w:rPr>
        <w:t>.</w:t>
      </w:r>
      <w:r w:rsidR="001451FD" w:rsidRPr="00006A39">
        <w:rPr>
          <w:szCs w:val="28"/>
        </w:rPr>
        <w:t xml:space="preserve"> 0,0012, р=0,038) і не виявлено такого зв’язку з </w:t>
      </w:r>
      <w:r w:rsidR="001451FD" w:rsidRPr="00006A39">
        <w:rPr>
          <w:rFonts w:eastAsia="Times New Roman"/>
          <w:szCs w:val="28"/>
        </w:rPr>
        <w:t>з</w:t>
      </w:r>
      <w:r w:rsidR="001451FD" w:rsidRPr="00006A39">
        <w:rPr>
          <w:rFonts w:eastAsia="Times New Roman"/>
          <w:szCs w:val="28"/>
          <w:lang w:eastAsia="ru-RU"/>
        </w:rPr>
        <w:t>абезпечен</w:t>
      </w:r>
      <w:r w:rsidR="001451FD" w:rsidRPr="00006A39">
        <w:rPr>
          <w:rFonts w:eastAsia="Times New Roman"/>
          <w:szCs w:val="28"/>
        </w:rPr>
        <w:t>ням</w:t>
      </w:r>
      <w:r w:rsidR="001451FD" w:rsidRPr="00006A39">
        <w:rPr>
          <w:rFonts w:eastAsia="Times New Roman"/>
          <w:szCs w:val="28"/>
          <w:lang w:eastAsia="ru-RU"/>
        </w:rPr>
        <w:t xml:space="preserve"> дитячого населення ліжками денного стаціонару (р=0,310).</w:t>
      </w:r>
      <w:r w:rsidR="00FD1543" w:rsidRPr="00006A39">
        <w:rPr>
          <w:rFonts w:eastAsia="Times New Roman"/>
          <w:szCs w:val="28"/>
          <w:lang w:eastAsia="ru-RU"/>
        </w:rPr>
        <w:t xml:space="preserve"> </w:t>
      </w:r>
    </w:p>
    <w:p w:rsidR="00266B9D" w:rsidRPr="00006A39" w:rsidRDefault="00266B9D" w:rsidP="00721203">
      <w:pPr>
        <w:pStyle w:val="a5"/>
        <w:widowControl w:val="0"/>
        <w:ind w:left="0" w:firstLine="709"/>
        <w:jc w:val="right"/>
        <w:rPr>
          <w:i/>
          <w:szCs w:val="28"/>
        </w:rPr>
      </w:pPr>
      <w:r w:rsidRPr="00006A39">
        <w:rPr>
          <w:i/>
          <w:szCs w:val="28"/>
        </w:rPr>
        <w:t>Таблиця 5.</w:t>
      </w:r>
      <w:r w:rsidR="00F26023">
        <w:rPr>
          <w:i/>
          <w:szCs w:val="28"/>
        </w:rPr>
        <w:t>5</w:t>
      </w:r>
    </w:p>
    <w:p w:rsidR="00266B9D" w:rsidRPr="00006A39" w:rsidRDefault="00D51BF7" w:rsidP="00FE2CBC">
      <w:pPr>
        <w:pStyle w:val="a5"/>
        <w:widowControl w:val="0"/>
        <w:spacing w:after="240"/>
        <w:ind w:left="0" w:firstLine="709"/>
        <w:jc w:val="center"/>
        <w:rPr>
          <w:b/>
          <w:szCs w:val="28"/>
        </w:rPr>
      </w:pPr>
      <w:r w:rsidRPr="00006A39">
        <w:rPr>
          <w:b/>
          <w:szCs w:val="28"/>
        </w:rPr>
        <w:t>Асоціації між</w:t>
      </w:r>
      <w:r w:rsidR="00266B9D" w:rsidRPr="00006A39">
        <w:rPr>
          <w:b/>
          <w:szCs w:val="28"/>
        </w:rPr>
        <w:t xml:space="preserve"> </w:t>
      </w:r>
      <w:r w:rsidRPr="00006A39">
        <w:rPr>
          <w:b/>
          <w:szCs w:val="28"/>
        </w:rPr>
        <w:t xml:space="preserve">смертністю дітей та показниками, що характеризують </w:t>
      </w:r>
      <w:r w:rsidR="00266B9D" w:rsidRPr="00006A39">
        <w:rPr>
          <w:b/>
          <w:szCs w:val="28"/>
        </w:rPr>
        <w:t>забезпечен</w:t>
      </w:r>
      <w:r w:rsidRPr="00006A39">
        <w:rPr>
          <w:b/>
          <w:szCs w:val="28"/>
        </w:rPr>
        <w:t>і</w:t>
      </w:r>
      <w:r w:rsidR="00266B9D" w:rsidRPr="00006A39">
        <w:rPr>
          <w:b/>
          <w:szCs w:val="28"/>
        </w:rPr>
        <w:t>ст</w:t>
      </w:r>
      <w:r w:rsidRPr="00006A39">
        <w:rPr>
          <w:b/>
          <w:szCs w:val="28"/>
        </w:rPr>
        <w:t>ь</w:t>
      </w:r>
      <w:r w:rsidR="00266B9D" w:rsidRPr="00006A39">
        <w:rPr>
          <w:b/>
          <w:szCs w:val="28"/>
        </w:rPr>
        <w:t xml:space="preserve"> дитячими денними стаціона</w:t>
      </w:r>
      <w:r w:rsidRPr="00006A39">
        <w:rPr>
          <w:b/>
          <w:szCs w:val="28"/>
        </w:rPr>
        <w:t>р</w:t>
      </w:r>
      <w:r w:rsidR="00266B9D" w:rsidRPr="00006A39">
        <w:rPr>
          <w:b/>
          <w:szCs w:val="28"/>
        </w:rPr>
        <w:t xml:space="preserve">ними ліжками </w:t>
      </w:r>
    </w:p>
    <w:tbl>
      <w:tblPr>
        <w:tblStyle w:val="a6"/>
        <w:tblW w:w="0" w:type="auto"/>
        <w:jc w:val="center"/>
        <w:tblInd w:w="-430" w:type="dxa"/>
        <w:tblLook w:val="04A0" w:firstRow="1" w:lastRow="0" w:firstColumn="1" w:lastColumn="0" w:noHBand="0" w:noVBand="1"/>
      </w:tblPr>
      <w:tblGrid>
        <w:gridCol w:w="4253"/>
        <w:gridCol w:w="1559"/>
        <w:gridCol w:w="1134"/>
        <w:gridCol w:w="1701"/>
        <w:gridCol w:w="1128"/>
      </w:tblGrid>
      <w:tr w:rsidR="00266B9D" w:rsidRPr="00006A39" w:rsidTr="00986EAA">
        <w:trPr>
          <w:trHeight w:val="393"/>
          <w:jc w:val="center"/>
        </w:trPr>
        <w:tc>
          <w:tcPr>
            <w:tcW w:w="4253" w:type="dxa"/>
          </w:tcPr>
          <w:p w:rsidR="00266B9D" w:rsidRPr="00006A39" w:rsidRDefault="00266B9D" w:rsidP="005E27B3">
            <w:pPr>
              <w:widowControl w:val="0"/>
              <w:spacing w:line="276" w:lineRule="auto"/>
              <w:jc w:val="center"/>
              <w:rPr>
                <w:rFonts w:ascii="Times New Roman" w:hAnsi="Times New Roman"/>
                <w:sz w:val="28"/>
                <w:szCs w:val="28"/>
                <w:lang w:val="uk-UA"/>
              </w:rPr>
            </w:pPr>
            <w:r w:rsidRPr="00006A39">
              <w:rPr>
                <w:rFonts w:ascii="Times New Roman" w:hAnsi="Times New Roman"/>
                <w:sz w:val="28"/>
                <w:szCs w:val="28"/>
                <w:lang w:val="uk-UA"/>
              </w:rPr>
              <w:t>Показники</w:t>
            </w:r>
          </w:p>
        </w:tc>
        <w:tc>
          <w:tcPr>
            <w:tcW w:w="1559" w:type="dxa"/>
          </w:tcPr>
          <w:p w:rsidR="00266B9D" w:rsidRPr="00006A39" w:rsidRDefault="00F128D9" w:rsidP="005E27B3">
            <w:pPr>
              <w:widowControl w:val="0"/>
              <w:spacing w:line="276" w:lineRule="auto"/>
              <w:jc w:val="center"/>
              <w:rPr>
                <w:rFonts w:ascii="Times New Roman" w:hAnsi="Times New Roman"/>
                <w:sz w:val="28"/>
                <w:szCs w:val="28"/>
                <w:lang w:val="uk-UA"/>
              </w:rPr>
            </w:pPr>
            <w:r w:rsidRPr="00F128D9">
              <w:rPr>
                <w:rFonts w:ascii="Times New Roman" w:hAnsi="Times New Roman"/>
                <w:sz w:val="28"/>
                <w:szCs w:val="28"/>
                <w:lang w:val="en-US"/>
              </w:rPr>
              <w:t>Coef</w:t>
            </w:r>
            <w:r w:rsidRPr="00F128D9">
              <w:rPr>
                <w:rFonts w:ascii="Times New Roman" w:hAnsi="Times New Roman"/>
                <w:sz w:val="28"/>
                <w:szCs w:val="28"/>
                <w:lang w:val="uk-UA"/>
              </w:rPr>
              <w:t>.</w:t>
            </w:r>
          </w:p>
        </w:tc>
        <w:tc>
          <w:tcPr>
            <w:tcW w:w="1134" w:type="dxa"/>
          </w:tcPr>
          <w:p w:rsidR="00266B9D" w:rsidRPr="00006A39" w:rsidRDefault="00266B9D" w:rsidP="005E27B3">
            <w:pPr>
              <w:widowControl w:val="0"/>
              <w:spacing w:line="276" w:lineRule="auto"/>
              <w:jc w:val="center"/>
              <w:rPr>
                <w:rFonts w:ascii="Times New Roman" w:hAnsi="Times New Roman"/>
                <w:sz w:val="28"/>
                <w:szCs w:val="28"/>
                <w:lang w:val="uk-UA"/>
              </w:rPr>
            </w:pPr>
            <w:r w:rsidRPr="00006A39">
              <w:rPr>
                <w:rFonts w:ascii="Times New Roman" w:hAnsi="Times New Roman"/>
                <w:sz w:val="28"/>
                <w:szCs w:val="28"/>
                <w:lang w:val="uk-UA"/>
              </w:rPr>
              <w:t>m</w:t>
            </w:r>
          </w:p>
        </w:tc>
        <w:tc>
          <w:tcPr>
            <w:tcW w:w="1701" w:type="dxa"/>
          </w:tcPr>
          <w:p w:rsidR="00266B9D" w:rsidRPr="00006A39" w:rsidRDefault="00266B9D" w:rsidP="005E27B3">
            <w:pPr>
              <w:widowControl w:val="0"/>
              <w:spacing w:line="276" w:lineRule="auto"/>
              <w:jc w:val="center"/>
              <w:rPr>
                <w:rFonts w:ascii="Times New Roman" w:hAnsi="Times New Roman"/>
                <w:sz w:val="28"/>
                <w:szCs w:val="28"/>
                <w:lang w:val="uk-UA"/>
              </w:rPr>
            </w:pPr>
            <w:r w:rsidRPr="00006A39">
              <w:rPr>
                <w:rFonts w:ascii="Times New Roman" w:hAnsi="Times New Roman"/>
                <w:sz w:val="28"/>
                <w:szCs w:val="28"/>
                <w:lang w:val="uk-UA"/>
              </w:rPr>
              <w:t>95% CI</w:t>
            </w:r>
          </w:p>
        </w:tc>
        <w:tc>
          <w:tcPr>
            <w:tcW w:w="1128" w:type="dxa"/>
          </w:tcPr>
          <w:p w:rsidR="00266B9D" w:rsidRPr="00006A39" w:rsidRDefault="00266B9D" w:rsidP="005E27B3">
            <w:pPr>
              <w:widowControl w:val="0"/>
              <w:spacing w:line="276" w:lineRule="auto"/>
              <w:jc w:val="center"/>
              <w:rPr>
                <w:rFonts w:ascii="Times New Roman" w:hAnsi="Times New Roman"/>
                <w:sz w:val="28"/>
                <w:szCs w:val="28"/>
                <w:lang w:val="uk-UA"/>
              </w:rPr>
            </w:pPr>
            <w:r w:rsidRPr="00006A39">
              <w:rPr>
                <w:rFonts w:ascii="Times New Roman" w:hAnsi="Times New Roman"/>
                <w:sz w:val="28"/>
                <w:szCs w:val="28"/>
                <w:lang w:val="uk-UA"/>
              </w:rPr>
              <w:t>p</w:t>
            </w:r>
          </w:p>
        </w:tc>
      </w:tr>
      <w:tr w:rsidR="00D51BF7" w:rsidRPr="00006A39" w:rsidTr="00986EAA">
        <w:trPr>
          <w:trHeight w:val="315"/>
          <w:jc w:val="center"/>
        </w:trPr>
        <w:tc>
          <w:tcPr>
            <w:tcW w:w="9775" w:type="dxa"/>
            <w:gridSpan w:val="5"/>
          </w:tcPr>
          <w:p w:rsidR="00D51BF7" w:rsidRPr="00FD457C" w:rsidRDefault="00D51BF7" w:rsidP="005E27B3">
            <w:pPr>
              <w:widowControl w:val="0"/>
              <w:spacing w:line="276" w:lineRule="auto"/>
              <w:jc w:val="center"/>
              <w:rPr>
                <w:b/>
                <w:szCs w:val="28"/>
              </w:rPr>
            </w:pPr>
            <w:r w:rsidRPr="0016111E">
              <w:rPr>
                <w:rFonts w:ascii="Times New Roman" w:eastAsia="Times New Roman" w:hAnsi="Times New Roman"/>
                <w:b/>
                <w:sz w:val="28"/>
                <w:szCs w:val="28"/>
                <w:lang w:val="uk-UA"/>
              </w:rPr>
              <w:t>Смертність дітей віком до 5 років</w:t>
            </w:r>
          </w:p>
        </w:tc>
      </w:tr>
      <w:tr w:rsidR="00266B9D" w:rsidRPr="00006A39" w:rsidTr="005E27B3">
        <w:trPr>
          <w:jc w:val="center"/>
        </w:trPr>
        <w:tc>
          <w:tcPr>
            <w:tcW w:w="4253" w:type="dxa"/>
          </w:tcPr>
          <w:p w:rsidR="00266B9D" w:rsidRPr="00006A39" w:rsidRDefault="00266B9D" w:rsidP="005E27B3">
            <w:pPr>
              <w:widowControl w:val="0"/>
              <w:spacing w:line="276" w:lineRule="auto"/>
              <w:rPr>
                <w:rFonts w:ascii="Times New Roman" w:hAnsi="Times New Roman"/>
                <w:sz w:val="28"/>
                <w:szCs w:val="28"/>
                <w:lang w:val="uk-UA"/>
              </w:rPr>
            </w:pPr>
            <w:r w:rsidRPr="00006A39">
              <w:rPr>
                <w:rFonts w:ascii="Times New Roman" w:eastAsia="Times New Roman" w:hAnsi="Times New Roman"/>
                <w:sz w:val="28"/>
                <w:szCs w:val="28"/>
                <w:lang w:val="uk-UA"/>
              </w:rPr>
              <w:t>Кількість пролікованих дітей з розрахунку на 1000 захворювань</w:t>
            </w:r>
          </w:p>
        </w:tc>
        <w:tc>
          <w:tcPr>
            <w:tcW w:w="1559" w:type="dxa"/>
          </w:tcPr>
          <w:p w:rsidR="00266B9D" w:rsidRPr="00006A39" w:rsidRDefault="00266B9D" w:rsidP="005E27B3">
            <w:pPr>
              <w:widowControl w:val="0"/>
              <w:spacing w:line="276" w:lineRule="auto"/>
              <w:rPr>
                <w:rFonts w:ascii="Times New Roman" w:hAnsi="Times New Roman"/>
                <w:sz w:val="28"/>
                <w:szCs w:val="28"/>
                <w:lang w:val="uk-UA"/>
              </w:rPr>
            </w:pPr>
            <w:r w:rsidRPr="00006A39">
              <w:rPr>
                <w:rFonts w:ascii="Times New Roman" w:hAnsi="Times New Roman"/>
                <w:sz w:val="28"/>
                <w:szCs w:val="28"/>
                <w:lang w:val="uk-UA"/>
              </w:rPr>
              <w:t>0,0092</w:t>
            </w:r>
          </w:p>
        </w:tc>
        <w:tc>
          <w:tcPr>
            <w:tcW w:w="1134" w:type="dxa"/>
          </w:tcPr>
          <w:p w:rsidR="00266B9D" w:rsidRPr="00006A39" w:rsidRDefault="00266B9D" w:rsidP="005E27B3">
            <w:pPr>
              <w:widowControl w:val="0"/>
              <w:spacing w:line="276" w:lineRule="auto"/>
              <w:rPr>
                <w:rFonts w:ascii="Times New Roman" w:hAnsi="Times New Roman"/>
                <w:sz w:val="28"/>
                <w:szCs w:val="28"/>
                <w:lang w:val="uk-UA"/>
              </w:rPr>
            </w:pPr>
            <w:r w:rsidRPr="00006A39">
              <w:rPr>
                <w:rFonts w:ascii="Times New Roman" w:hAnsi="Times New Roman"/>
                <w:sz w:val="28"/>
                <w:szCs w:val="28"/>
                <w:lang w:val="uk-UA"/>
              </w:rPr>
              <w:t>0,002</w:t>
            </w:r>
          </w:p>
        </w:tc>
        <w:tc>
          <w:tcPr>
            <w:tcW w:w="1701" w:type="dxa"/>
          </w:tcPr>
          <w:p w:rsidR="00266B9D" w:rsidRPr="00006A39" w:rsidRDefault="00266B9D" w:rsidP="005E27B3">
            <w:pPr>
              <w:widowControl w:val="0"/>
              <w:spacing w:line="276" w:lineRule="auto"/>
              <w:rPr>
                <w:rFonts w:ascii="Times New Roman" w:hAnsi="Times New Roman"/>
                <w:sz w:val="28"/>
                <w:szCs w:val="28"/>
                <w:lang w:val="uk-UA"/>
              </w:rPr>
            </w:pPr>
            <w:r w:rsidRPr="00006A39">
              <w:rPr>
                <w:rFonts w:ascii="Times New Roman" w:hAnsi="Times New Roman"/>
                <w:sz w:val="28"/>
                <w:szCs w:val="28"/>
                <w:lang w:val="uk-UA"/>
              </w:rPr>
              <w:t>0,004-0,013</w:t>
            </w:r>
          </w:p>
        </w:tc>
        <w:tc>
          <w:tcPr>
            <w:tcW w:w="1128" w:type="dxa"/>
          </w:tcPr>
          <w:p w:rsidR="00266B9D" w:rsidRPr="00006A39" w:rsidRDefault="001B0792" w:rsidP="005E27B3">
            <w:pPr>
              <w:widowControl w:val="0"/>
              <w:spacing w:line="276" w:lineRule="auto"/>
              <w:rPr>
                <w:rFonts w:ascii="Times New Roman" w:hAnsi="Times New Roman"/>
                <w:sz w:val="28"/>
                <w:szCs w:val="28"/>
                <w:lang w:val="uk-UA"/>
              </w:rPr>
            </w:pPr>
            <w:r w:rsidRPr="00006A39">
              <w:rPr>
                <w:rFonts w:ascii="Times New Roman" w:hAnsi="Times New Roman"/>
                <w:sz w:val="28"/>
                <w:szCs w:val="28"/>
                <w:lang w:val="uk-UA"/>
              </w:rPr>
              <w:t>&lt;</w:t>
            </w:r>
            <w:r w:rsidR="00266B9D" w:rsidRPr="00006A39">
              <w:rPr>
                <w:rFonts w:ascii="Times New Roman" w:hAnsi="Times New Roman"/>
                <w:sz w:val="28"/>
                <w:szCs w:val="28"/>
                <w:lang w:val="uk-UA"/>
              </w:rPr>
              <w:t>0,00</w:t>
            </w:r>
            <w:r w:rsidRPr="00006A39">
              <w:rPr>
                <w:rFonts w:ascii="Times New Roman" w:hAnsi="Times New Roman"/>
                <w:sz w:val="28"/>
                <w:szCs w:val="28"/>
                <w:lang w:val="uk-UA"/>
              </w:rPr>
              <w:t>1</w:t>
            </w:r>
          </w:p>
        </w:tc>
      </w:tr>
      <w:tr w:rsidR="00266B9D" w:rsidRPr="00006A39" w:rsidTr="005E27B3">
        <w:trPr>
          <w:jc w:val="center"/>
        </w:trPr>
        <w:tc>
          <w:tcPr>
            <w:tcW w:w="4253" w:type="dxa"/>
          </w:tcPr>
          <w:p w:rsidR="00266B9D" w:rsidRPr="00006A39" w:rsidRDefault="00266B9D" w:rsidP="005E27B3">
            <w:pPr>
              <w:widowControl w:val="0"/>
              <w:spacing w:line="276" w:lineRule="auto"/>
              <w:rPr>
                <w:rFonts w:ascii="Times New Roman" w:hAnsi="Times New Roman"/>
                <w:sz w:val="28"/>
                <w:szCs w:val="28"/>
                <w:lang w:val="uk-UA"/>
              </w:rPr>
            </w:pPr>
            <w:r w:rsidRPr="00006A39">
              <w:rPr>
                <w:rFonts w:ascii="Times New Roman" w:eastAsia="Times New Roman" w:hAnsi="Times New Roman"/>
                <w:sz w:val="28"/>
                <w:szCs w:val="28"/>
                <w:lang w:val="uk-UA"/>
              </w:rPr>
              <w:t xml:space="preserve">Кількість пролікованих дітей з розрахунку на одне ліжко денного стаціонару </w:t>
            </w:r>
          </w:p>
        </w:tc>
        <w:tc>
          <w:tcPr>
            <w:tcW w:w="1559" w:type="dxa"/>
          </w:tcPr>
          <w:p w:rsidR="00266B9D" w:rsidRPr="00006A39" w:rsidRDefault="00266B9D" w:rsidP="005E27B3">
            <w:pPr>
              <w:widowControl w:val="0"/>
              <w:spacing w:line="276" w:lineRule="auto"/>
              <w:rPr>
                <w:rFonts w:ascii="Times New Roman" w:hAnsi="Times New Roman"/>
                <w:sz w:val="28"/>
                <w:szCs w:val="28"/>
                <w:lang w:val="uk-UA"/>
              </w:rPr>
            </w:pPr>
            <w:r w:rsidRPr="00006A39">
              <w:rPr>
                <w:rFonts w:ascii="Times New Roman" w:hAnsi="Times New Roman"/>
                <w:sz w:val="28"/>
                <w:szCs w:val="28"/>
                <w:lang w:val="uk-UA"/>
              </w:rPr>
              <w:t>0,001</w:t>
            </w:r>
          </w:p>
        </w:tc>
        <w:tc>
          <w:tcPr>
            <w:tcW w:w="1134" w:type="dxa"/>
          </w:tcPr>
          <w:p w:rsidR="00266B9D" w:rsidRPr="00006A39" w:rsidRDefault="00266B9D" w:rsidP="005E27B3">
            <w:pPr>
              <w:widowControl w:val="0"/>
              <w:spacing w:line="276" w:lineRule="auto"/>
              <w:rPr>
                <w:rFonts w:ascii="Times New Roman" w:hAnsi="Times New Roman"/>
                <w:sz w:val="28"/>
                <w:szCs w:val="28"/>
                <w:lang w:val="uk-UA"/>
              </w:rPr>
            </w:pPr>
            <w:r w:rsidRPr="00006A39">
              <w:rPr>
                <w:rFonts w:ascii="Times New Roman" w:hAnsi="Times New Roman"/>
                <w:sz w:val="28"/>
                <w:szCs w:val="28"/>
                <w:lang w:val="uk-UA"/>
              </w:rPr>
              <w:t>0,0007</w:t>
            </w:r>
          </w:p>
        </w:tc>
        <w:tc>
          <w:tcPr>
            <w:tcW w:w="1701" w:type="dxa"/>
          </w:tcPr>
          <w:p w:rsidR="00266B9D" w:rsidRPr="00006A39" w:rsidRDefault="00266B9D" w:rsidP="005E27B3">
            <w:pPr>
              <w:widowControl w:val="0"/>
              <w:spacing w:line="276" w:lineRule="auto"/>
              <w:rPr>
                <w:rFonts w:ascii="Times New Roman" w:hAnsi="Times New Roman"/>
                <w:sz w:val="28"/>
                <w:szCs w:val="28"/>
                <w:lang w:val="uk-UA"/>
              </w:rPr>
            </w:pPr>
            <w:r w:rsidRPr="00006A39">
              <w:rPr>
                <w:rFonts w:ascii="Times New Roman" w:hAnsi="Times New Roman"/>
                <w:sz w:val="28"/>
                <w:szCs w:val="28"/>
                <w:lang w:val="uk-UA"/>
              </w:rPr>
              <w:t>0,00008-0,003</w:t>
            </w:r>
          </w:p>
        </w:tc>
        <w:tc>
          <w:tcPr>
            <w:tcW w:w="1128" w:type="dxa"/>
          </w:tcPr>
          <w:p w:rsidR="00266B9D" w:rsidRPr="00006A39" w:rsidRDefault="00266B9D" w:rsidP="005E27B3">
            <w:pPr>
              <w:widowControl w:val="0"/>
              <w:spacing w:line="276" w:lineRule="auto"/>
              <w:rPr>
                <w:rFonts w:ascii="Times New Roman" w:hAnsi="Times New Roman"/>
                <w:sz w:val="28"/>
                <w:szCs w:val="28"/>
                <w:lang w:val="uk-UA"/>
              </w:rPr>
            </w:pPr>
            <w:r w:rsidRPr="00006A39">
              <w:rPr>
                <w:rFonts w:ascii="Times New Roman" w:hAnsi="Times New Roman"/>
                <w:sz w:val="28"/>
                <w:szCs w:val="28"/>
                <w:lang w:val="uk-UA"/>
              </w:rPr>
              <w:t>0,038</w:t>
            </w:r>
          </w:p>
        </w:tc>
      </w:tr>
      <w:tr w:rsidR="00266B9D" w:rsidRPr="00006A39" w:rsidTr="005E27B3">
        <w:trPr>
          <w:jc w:val="center"/>
        </w:trPr>
        <w:tc>
          <w:tcPr>
            <w:tcW w:w="4253" w:type="dxa"/>
          </w:tcPr>
          <w:p w:rsidR="00266B9D" w:rsidRPr="00006A39" w:rsidRDefault="00266B9D" w:rsidP="005E27B3">
            <w:pPr>
              <w:widowControl w:val="0"/>
              <w:spacing w:line="276" w:lineRule="auto"/>
              <w:rPr>
                <w:rFonts w:ascii="Times New Roman" w:eastAsia="Times New Roman" w:hAnsi="Times New Roman"/>
                <w:sz w:val="28"/>
                <w:szCs w:val="28"/>
                <w:lang w:val="uk-UA"/>
              </w:rPr>
            </w:pPr>
            <w:r w:rsidRPr="00006A39">
              <w:rPr>
                <w:rFonts w:ascii="Times New Roman" w:eastAsia="Times New Roman" w:hAnsi="Times New Roman"/>
                <w:sz w:val="28"/>
                <w:szCs w:val="28"/>
                <w:lang w:val="uk-UA"/>
              </w:rPr>
              <w:t>Забезпечення дитячого населення ліжками денного стаціонару</w:t>
            </w:r>
          </w:p>
        </w:tc>
        <w:tc>
          <w:tcPr>
            <w:tcW w:w="1559" w:type="dxa"/>
          </w:tcPr>
          <w:p w:rsidR="00266B9D" w:rsidRPr="00006A39" w:rsidRDefault="00266B9D" w:rsidP="005E27B3">
            <w:pPr>
              <w:widowControl w:val="0"/>
              <w:spacing w:line="276" w:lineRule="auto"/>
              <w:rPr>
                <w:rFonts w:ascii="Times New Roman" w:hAnsi="Times New Roman"/>
                <w:sz w:val="28"/>
                <w:szCs w:val="28"/>
                <w:lang w:val="uk-UA"/>
              </w:rPr>
            </w:pPr>
            <w:r w:rsidRPr="00006A39">
              <w:rPr>
                <w:rFonts w:ascii="Times New Roman" w:hAnsi="Times New Roman"/>
                <w:sz w:val="28"/>
                <w:szCs w:val="28"/>
                <w:lang w:val="uk-UA"/>
              </w:rPr>
              <w:t>0,006</w:t>
            </w:r>
          </w:p>
        </w:tc>
        <w:tc>
          <w:tcPr>
            <w:tcW w:w="1134" w:type="dxa"/>
          </w:tcPr>
          <w:p w:rsidR="00266B9D" w:rsidRPr="00006A39" w:rsidRDefault="00266B9D" w:rsidP="005E27B3">
            <w:pPr>
              <w:widowControl w:val="0"/>
              <w:spacing w:line="276" w:lineRule="auto"/>
              <w:rPr>
                <w:rFonts w:ascii="Times New Roman" w:hAnsi="Times New Roman"/>
                <w:sz w:val="28"/>
                <w:szCs w:val="28"/>
                <w:lang w:val="uk-UA"/>
              </w:rPr>
            </w:pPr>
            <w:r w:rsidRPr="00006A39">
              <w:rPr>
                <w:rFonts w:ascii="Times New Roman" w:hAnsi="Times New Roman"/>
                <w:sz w:val="28"/>
                <w:szCs w:val="28"/>
                <w:lang w:val="uk-UA"/>
              </w:rPr>
              <w:t>0,0059</w:t>
            </w:r>
          </w:p>
        </w:tc>
        <w:tc>
          <w:tcPr>
            <w:tcW w:w="1701" w:type="dxa"/>
          </w:tcPr>
          <w:p w:rsidR="00266B9D" w:rsidRPr="00006A39" w:rsidRDefault="00266B9D" w:rsidP="005E27B3">
            <w:pPr>
              <w:widowControl w:val="0"/>
              <w:spacing w:line="276" w:lineRule="auto"/>
              <w:rPr>
                <w:rFonts w:ascii="Times New Roman" w:hAnsi="Times New Roman"/>
                <w:sz w:val="28"/>
                <w:szCs w:val="28"/>
                <w:lang w:val="uk-UA"/>
              </w:rPr>
            </w:pPr>
            <w:r w:rsidRPr="00006A39">
              <w:rPr>
                <w:rFonts w:ascii="Times New Roman" w:hAnsi="Times New Roman"/>
                <w:sz w:val="28"/>
                <w:szCs w:val="28"/>
                <w:lang w:val="uk-UA"/>
              </w:rPr>
              <w:t>-0,005-</w:t>
            </w:r>
            <w:r w:rsidR="001B0792" w:rsidRPr="00006A39">
              <w:rPr>
                <w:rFonts w:ascii="Times New Roman" w:hAnsi="Times New Roman"/>
                <w:sz w:val="28"/>
                <w:szCs w:val="28"/>
                <w:lang w:val="uk-UA"/>
              </w:rPr>
              <w:t>0,017</w:t>
            </w:r>
          </w:p>
        </w:tc>
        <w:tc>
          <w:tcPr>
            <w:tcW w:w="1128" w:type="dxa"/>
          </w:tcPr>
          <w:p w:rsidR="00266B9D" w:rsidRPr="00006A39" w:rsidRDefault="00266B9D" w:rsidP="005E27B3">
            <w:pPr>
              <w:widowControl w:val="0"/>
              <w:spacing w:line="276" w:lineRule="auto"/>
              <w:rPr>
                <w:rFonts w:ascii="Times New Roman" w:hAnsi="Times New Roman"/>
                <w:sz w:val="28"/>
                <w:szCs w:val="28"/>
                <w:lang w:val="uk-UA"/>
              </w:rPr>
            </w:pPr>
            <w:r w:rsidRPr="00006A39">
              <w:rPr>
                <w:rFonts w:ascii="Times New Roman" w:hAnsi="Times New Roman"/>
                <w:sz w:val="28"/>
                <w:szCs w:val="28"/>
                <w:lang w:val="uk-UA"/>
              </w:rPr>
              <w:t>0,310</w:t>
            </w:r>
          </w:p>
        </w:tc>
      </w:tr>
      <w:tr w:rsidR="001809BC" w:rsidRPr="00006A39" w:rsidTr="00986EAA">
        <w:trPr>
          <w:trHeight w:val="379"/>
          <w:jc w:val="center"/>
        </w:trPr>
        <w:tc>
          <w:tcPr>
            <w:tcW w:w="9775" w:type="dxa"/>
            <w:gridSpan w:val="5"/>
          </w:tcPr>
          <w:p w:rsidR="001809BC" w:rsidRPr="0016111E" w:rsidRDefault="001809BC" w:rsidP="005E27B3">
            <w:pPr>
              <w:widowControl w:val="0"/>
              <w:spacing w:line="276" w:lineRule="auto"/>
              <w:jc w:val="center"/>
              <w:rPr>
                <w:szCs w:val="28"/>
                <w:lang w:val="uk-UA"/>
              </w:rPr>
            </w:pPr>
            <w:r w:rsidRPr="0016111E">
              <w:rPr>
                <w:rFonts w:ascii="Times New Roman" w:eastAsia="Times New Roman" w:hAnsi="Times New Roman"/>
                <w:b/>
                <w:sz w:val="28"/>
                <w:szCs w:val="28"/>
                <w:lang w:val="uk-UA"/>
              </w:rPr>
              <w:t xml:space="preserve">Смертність </w:t>
            </w:r>
            <w:r w:rsidR="00392371" w:rsidRPr="0016111E">
              <w:rPr>
                <w:rFonts w:ascii="Times New Roman" w:eastAsia="Times New Roman" w:hAnsi="Times New Roman"/>
                <w:b/>
                <w:sz w:val="28"/>
                <w:szCs w:val="28"/>
                <w:lang w:val="uk-UA"/>
              </w:rPr>
              <w:t xml:space="preserve">дітей віком до 1 року </w:t>
            </w:r>
            <w:r w:rsidRPr="0016111E">
              <w:rPr>
                <w:rFonts w:ascii="Times New Roman" w:eastAsia="Times New Roman" w:hAnsi="Times New Roman"/>
                <w:b/>
                <w:sz w:val="28"/>
                <w:szCs w:val="28"/>
                <w:lang w:val="uk-UA"/>
              </w:rPr>
              <w:t>поза стаціонаром</w:t>
            </w:r>
          </w:p>
        </w:tc>
      </w:tr>
      <w:tr w:rsidR="00D51BF7" w:rsidRPr="00006A39" w:rsidTr="005E27B3">
        <w:trPr>
          <w:jc w:val="center"/>
        </w:trPr>
        <w:tc>
          <w:tcPr>
            <w:tcW w:w="4253" w:type="dxa"/>
          </w:tcPr>
          <w:p w:rsidR="00D51BF7" w:rsidRPr="00006A39" w:rsidRDefault="00D51BF7" w:rsidP="005E27B3">
            <w:pPr>
              <w:widowControl w:val="0"/>
              <w:spacing w:line="276" w:lineRule="auto"/>
              <w:rPr>
                <w:rFonts w:eastAsia="Times New Roman"/>
                <w:szCs w:val="28"/>
                <w:lang w:val="uk-UA"/>
              </w:rPr>
            </w:pPr>
            <w:r w:rsidRPr="00006A39">
              <w:rPr>
                <w:rFonts w:ascii="Times New Roman" w:eastAsia="Times New Roman" w:hAnsi="Times New Roman"/>
                <w:sz w:val="28"/>
                <w:szCs w:val="28"/>
                <w:lang w:val="uk-UA"/>
              </w:rPr>
              <w:t>Кількість пролікованих дітей з розрахунку на 1000 захворювань</w:t>
            </w:r>
          </w:p>
        </w:tc>
        <w:tc>
          <w:tcPr>
            <w:tcW w:w="1559" w:type="dxa"/>
          </w:tcPr>
          <w:p w:rsidR="00D51BF7" w:rsidRPr="00006A39" w:rsidRDefault="001809BC" w:rsidP="005E27B3">
            <w:pPr>
              <w:widowControl w:val="0"/>
              <w:spacing w:line="276" w:lineRule="auto"/>
              <w:rPr>
                <w:rFonts w:ascii="Times New Roman" w:hAnsi="Times New Roman"/>
                <w:sz w:val="28"/>
                <w:szCs w:val="28"/>
                <w:lang w:val="uk-UA"/>
              </w:rPr>
            </w:pPr>
            <w:r w:rsidRPr="00006A39">
              <w:rPr>
                <w:rFonts w:ascii="Times New Roman" w:hAnsi="Times New Roman"/>
                <w:sz w:val="28"/>
                <w:szCs w:val="28"/>
                <w:lang w:val="uk-UA"/>
              </w:rPr>
              <w:t>0,012</w:t>
            </w:r>
          </w:p>
        </w:tc>
        <w:tc>
          <w:tcPr>
            <w:tcW w:w="1134" w:type="dxa"/>
          </w:tcPr>
          <w:p w:rsidR="00D51BF7" w:rsidRPr="00006A39" w:rsidRDefault="001809BC" w:rsidP="005E27B3">
            <w:pPr>
              <w:widowControl w:val="0"/>
              <w:spacing w:line="276" w:lineRule="auto"/>
              <w:rPr>
                <w:rFonts w:ascii="Times New Roman" w:hAnsi="Times New Roman"/>
                <w:sz w:val="28"/>
                <w:szCs w:val="28"/>
                <w:lang w:val="uk-UA"/>
              </w:rPr>
            </w:pPr>
            <w:r w:rsidRPr="00006A39">
              <w:rPr>
                <w:rFonts w:ascii="Times New Roman" w:hAnsi="Times New Roman"/>
                <w:sz w:val="28"/>
                <w:szCs w:val="28"/>
                <w:lang w:val="uk-UA"/>
              </w:rPr>
              <w:t>0,024</w:t>
            </w:r>
          </w:p>
        </w:tc>
        <w:tc>
          <w:tcPr>
            <w:tcW w:w="1701" w:type="dxa"/>
          </w:tcPr>
          <w:p w:rsidR="00D51BF7" w:rsidRPr="00006A39" w:rsidRDefault="001809BC" w:rsidP="005E27B3">
            <w:pPr>
              <w:widowControl w:val="0"/>
              <w:spacing w:line="276" w:lineRule="auto"/>
              <w:rPr>
                <w:rFonts w:ascii="Times New Roman" w:hAnsi="Times New Roman"/>
                <w:sz w:val="28"/>
                <w:szCs w:val="28"/>
                <w:lang w:val="uk-UA"/>
              </w:rPr>
            </w:pPr>
            <w:r w:rsidRPr="00006A39">
              <w:rPr>
                <w:rFonts w:ascii="Times New Roman" w:hAnsi="Times New Roman"/>
                <w:sz w:val="28"/>
                <w:szCs w:val="28"/>
                <w:lang w:val="uk-UA"/>
              </w:rPr>
              <w:t>-0,035-0,06</w:t>
            </w:r>
          </w:p>
        </w:tc>
        <w:tc>
          <w:tcPr>
            <w:tcW w:w="1128" w:type="dxa"/>
          </w:tcPr>
          <w:p w:rsidR="00D51BF7" w:rsidRPr="00006A39" w:rsidRDefault="001809BC" w:rsidP="005E27B3">
            <w:pPr>
              <w:widowControl w:val="0"/>
              <w:spacing w:line="276" w:lineRule="auto"/>
              <w:rPr>
                <w:rFonts w:ascii="Times New Roman" w:hAnsi="Times New Roman"/>
                <w:sz w:val="28"/>
                <w:szCs w:val="28"/>
                <w:lang w:val="uk-UA"/>
              </w:rPr>
            </w:pPr>
            <w:r w:rsidRPr="00006A39">
              <w:rPr>
                <w:rFonts w:ascii="Times New Roman" w:hAnsi="Times New Roman"/>
                <w:sz w:val="28"/>
                <w:szCs w:val="28"/>
                <w:lang w:val="uk-UA"/>
              </w:rPr>
              <w:t>0,617</w:t>
            </w:r>
          </w:p>
        </w:tc>
      </w:tr>
      <w:tr w:rsidR="00D51BF7" w:rsidRPr="00006A39" w:rsidTr="005E27B3">
        <w:trPr>
          <w:jc w:val="center"/>
        </w:trPr>
        <w:tc>
          <w:tcPr>
            <w:tcW w:w="4253" w:type="dxa"/>
          </w:tcPr>
          <w:p w:rsidR="00D51BF7" w:rsidRPr="00006A39" w:rsidRDefault="00D51BF7" w:rsidP="005E27B3">
            <w:pPr>
              <w:widowControl w:val="0"/>
              <w:spacing w:line="276" w:lineRule="auto"/>
              <w:rPr>
                <w:rFonts w:ascii="Times New Roman" w:hAnsi="Times New Roman"/>
                <w:sz w:val="28"/>
                <w:szCs w:val="28"/>
                <w:lang w:val="uk-UA"/>
              </w:rPr>
            </w:pPr>
            <w:r w:rsidRPr="00006A39">
              <w:rPr>
                <w:rFonts w:ascii="Times New Roman" w:eastAsia="Times New Roman" w:hAnsi="Times New Roman"/>
                <w:sz w:val="28"/>
                <w:szCs w:val="28"/>
                <w:lang w:val="uk-UA"/>
              </w:rPr>
              <w:t xml:space="preserve">Кількість пролікованих дітей з розрахунку на одне ліжко денного стаціонару </w:t>
            </w:r>
          </w:p>
        </w:tc>
        <w:tc>
          <w:tcPr>
            <w:tcW w:w="1559" w:type="dxa"/>
          </w:tcPr>
          <w:p w:rsidR="00D51BF7" w:rsidRPr="00006A39" w:rsidRDefault="001809BC" w:rsidP="005E27B3">
            <w:pPr>
              <w:widowControl w:val="0"/>
              <w:spacing w:line="276" w:lineRule="auto"/>
              <w:rPr>
                <w:rFonts w:ascii="Times New Roman" w:hAnsi="Times New Roman"/>
                <w:sz w:val="28"/>
                <w:szCs w:val="28"/>
                <w:lang w:val="uk-UA"/>
              </w:rPr>
            </w:pPr>
            <w:r w:rsidRPr="00006A39">
              <w:rPr>
                <w:rFonts w:ascii="Times New Roman" w:hAnsi="Times New Roman"/>
                <w:sz w:val="28"/>
                <w:szCs w:val="28"/>
                <w:lang w:val="uk-UA"/>
              </w:rPr>
              <w:t>0,0014</w:t>
            </w:r>
          </w:p>
        </w:tc>
        <w:tc>
          <w:tcPr>
            <w:tcW w:w="1134" w:type="dxa"/>
          </w:tcPr>
          <w:p w:rsidR="00D51BF7" w:rsidRPr="00006A39" w:rsidRDefault="001809BC" w:rsidP="005E27B3">
            <w:pPr>
              <w:widowControl w:val="0"/>
              <w:spacing w:line="276" w:lineRule="auto"/>
              <w:rPr>
                <w:rFonts w:ascii="Times New Roman" w:hAnsi="Times New Roman"/>
                <w:sz w:val="28"/>
                <w:szCs w:val="28"/>
                <w:lang w:val="uk-UA"/>
              </w:rPr>
            </w:pPr>
            <w:r w:rsidRPr="00006A39">
              <w:rPr>
                <w:rFonts w:ascii="Times New Roman" w:hAnsi="Times New Roman"/>
                <w:sz w:val="28"/>
                <w:szCs w:val="28"/>
                <w:lang w:val="uk-UA"/>
              </w:rPr>
              <w:t>0,007</w:t>
            </w:r>
          </w:p>
        </w:tc>
        <w:tc>
          <w:tcPr>
            <w:tcW w:w="1701" w:type="dxa"/>
          </w:tcPr>
          <w:p w:rsidR="00D51BF7" w:rsidRPr="00006A39" w:rsidRDefault="001809BC" w:rsidP="005E27B3">
            <w:pPr>
              <w:widowControl w:val="0"/>
              <w:spacing w:line="276" w:lineRule="auto"/>
              <w:rPr>
                <w:rFonts w:ascii="Times New Roman" w:hAnsi="Times New Roman"/>
                <w:sz w:val="28"/>
                <w:szCs w:val="28"/>
                <w:lang w:val="uk-UA"/>
              </w:rPr>
            </w:pPr>
            <w:r w:rsidRPr="00006A39">
              <w:rPr>
                <w:rFonts w:ascii="Times New Roman" w:hAnsi="Times New Roman"/>
                <w:sz w:val="28"/>
                <w:szCs w:val="28"/>
                <w:lang w:val="uk-UA"/>
              </w:rPr>
              <w:t>-0,013-0,017</w:t>
            </w:r>
          </w:p>
        </w:tc>
        <w:tc>
          <w:tcPr>
            <w:tcW w:w="1128" w:type="dxa"/>
          </w:tcPr>
          <w:p w:rsidR="00D51BF7" w:rsidRPr="00006A39" w:rsidRDefault="001809BC" w:rsidP="005E27B3">
            <w:pPr>
              <w:widowControl w:val="0"/>
              <w:spacing w:line="276" w:lineRule="auto"/>
              <w:rPr>
                <w:rFonts w:ascii="Times New Roman" w:hAnsi="Times New Roman"/>
                <w:sz w:val="28"/>
                <w:szCs w:val="28"/>
                <w:lang w:val="uk-UA"/>
              </w:rPr>
            </w:pPr>
            <w:r w:rsidRPr="00006A39">
              <w:rPr>
                <w:rFonts w:ascii="Times New Roman" w:hAnsi="Times New Roman"/>
                <w:sz w:val="28"/>
                <w:szCs w:val="28"/>
                <w:lang w:val="uk-UA"/>
              </w:rPr>
              <w:t>0,860</w:t>
            </w:r>
          </w:p>
        </w:tc>
      </w:tr>
      <w:tr w:rsidR="00D51BF7" w:rsidRPr="00006A39" w:rsidTr="00986EAA">
        <w:trPr>
          <w:trHeight w:val="783"/>
          <w:jc w:val="center"/>
        </w:trPr>
        <w:tc>
          <w:tcPr>
            <w:tcW w:w="4253" w:type="dxa"/>
          </w:tcPr>
          <w:p w:rsidR="00D51BF7" w:rsidRPr="00006A39" w:rsidRDefault="00D51BF7" w:rsidP="005E27B3">
            <w:pPr>
              <w:widowControl w:val="0"/>
              <w:spacing w:line="276" w:lineRule="auto"/>
              <w:rPr>
                <w:rFonts w:ascii="Times New Roman" w:eastAsia="Times New Roman" w:hAnsi="Times New Roman"/>
                <w:sz w:val="28"/>
                <w:szCs w:val="28"/>
                <w:lang w:val="uk-UA"/>
              </w:rPr>
            </w:pPr>
            <w:r w:rsidRPr="00006A39">
              <w:rPr>
                <w:rFonts w:ascii="Times New Roman" w:eastAsia="Times New Roman" w:hAnsi="Times New Roman"/>
                <w:sz w:val="28"/>
                <w:szCs w:val="28"/>
                <w:lang w:val="uk-UA"/>
              </w:rPr>
              <w:t>Забезпечення дитячого населення ліжками денного стаціонару</w:t>
            </w:r>
          </w:p>
        </w:tc>
        <w:tc>
          <w:tcPr>
            <w:tcW w:w="1559" w:type="dxa"/>
          </w:tcPr>
          <w:p w:rsidR="00D51BF7" w:rsidRPr="00006A39" w:rsidRDefault="001809BC" w:rsidP="005E27B3">
            <w:pPr>
              <w:widowControl w:val="0"/>
              <w:spacing w:line="276" w:lineRule="auto"/>
              <w:rPr>
                <w:rFonts w:ascii="Times New Roman" w:hAnsi="Times New Roman"/>
                <w:sz w:val="28"/>
                <w:szCs w:val="28"/>
                <w:lang w:val="uk-UA"/>
              </w:rPr>
            </w:pPr>
            <w:r w:rsidRPr="00006A39">
              <w:rPr>
                <w:rFonts w:ascii="Times New Roman" w:hAnsi="Times New Roman"/>
                <w:sz w:val="28"/>
                <w:szCs w:val="28"/>
                <w:lang w:val="uk-UA"/>
              </w:rPr>
              <w:t>-0,020</w:t>
            </w:r>
          </w:p>
        </w:tc>
        <w:tc>
          <w:tcPr>
            <w:tcW w:w="1134" w:type="dxa"/>
          </w:tcPr>
          <w:p w:rsidR="00D51BF7" w:rsidRPr="00006A39" w:rsidRDefault="001809BC" w:rsidP="005E27B3">
            <w:pPr>
              <w:widowControl w:val="0"/>
              <w:spacing w:line="276" w:lineRule="auto"/>
              <w:rPr>
                <w:rFonts w:ascii="Times New Roman" w:hAnsi="Times New Roman"/>
                <w:sz w:val="28"/>
                <w:szCs w:val="28"/>
                <w:lang w:val="uk-UA"/>
              </w:rPr>
            </w:pPr>
            <w:r w:rsidRPr="00006A39">
              <w:rPr>
                <w:rFonts w:ascii="Times New Roman" w:hAnsi="Times New Roman"/>
                <w:sz w:val="28"/>
                <w:szCs w:val="28"/>
                <w:lang w:val="uk-UA"/>
              </w:rPr>
              <w:t>0,061</w:t>
            </w:r>
          </w:p>
        </w:tc>
        <w:tc>
          <w:tcPr>
            <w:tcW w:w="1701" w:type="dxa"/>
          </w:tcPr>
          <w:p w:rsidR="00D51BF7" w:rsidRPr="00006A39" w:rsidRDefault="001809BC" w:rsidP="005E27B3">
            <w:pPr>
              <w:widowControl w:val="0"/>
              <w:spacing w:line="276" w:lineRule="auto"/>
              <w:rPr>
                <w:rFonts w:ascii="Times New Roman" w:hAnsi="Times New Roman"/>
                <w:sz w:val="28"/>
                <w:szCs w:val="28"/>
                <w:lang w:val="uk-UA"/>
              </w:rPr>
            </w:pPr>
            <w:r w:rsidRPr="00006A39">
              <w:rPr>
                <w:rFonts w:ascii="Times New Roman" w:hAnsi="Times New Roman"/>
                <w:sz w:val="28"/>
                <w:szCs w:val="28"/>
                <w:lang w:val="uk-UA"/>
              </w:rPr>
              <w:t>-0,14-0,099</w:t>
            </w:r>
          </w:p>
        </w:tc>
        <w:tc>
          <w:tcPr>
            <w:tcW w:w="1128" w:type="dxa"/>
          </w:tcPr>
          <w:p w:rsidR="00D51BF7" w:rsidRPr="00006A39" w:rsidRDefault="001809BC" w:rsidP="005E27B3">
            <w:pPr>
              <w:widowControl w:val="0"/>
              <w:spacing w:line="276" w:lineRule="auto"/>
              <w:rPr>
                <w:rFonts w:ascii="Times New Roman" w:hAnsi="Times New Roman"/>
                <w:sz w:val="28"/>
                <w:szCs w:val="28"/>
                <w:lang w:val="uk-UA"/>
              </w:rPr>
            </w:pPr>
            <w:r w:rsidRPr="00006A39">
              <w:rPr>
                <w:rFonts w:ascii="Times New Roman" w:hAnsi="Times New Roman"/>
                <w:sz w:val="28"/>
                <w:szCs w:val="28"/>
                <w:lang w:val="uk-UA"/>
              </w:rPr>
              <w:t>0,743</w:t>
            </w:r>
          </w:p>
        </w:tc>
      </w:tr>
    </w:tbl>
    <w:p w:rsidR="00FD1543" w:rsidRPr="00006A39" w:rsidRDefault="00FD1543" w:rsidP="00334F41">
      <w:pPr>
        <w:widowControl w:val="0"/>
        <w:spacing w:before="240"/>
        <w:ind w:firstLine="709"/>
        <w:rPr>
          <w:rFonts w:eastAsia="Times New Roman"/>
          <w:szCs w:val="28"/>
          <w:lang w:eastAsia="ru-RU"/>
        </w:rPr>
      </w:pPr>
      <w:r w:rsidRPr="00006A39">
        <w:rPr>
          <w:rFonts w:eastAsia="Times New Roman"/>
          <w:szCs w:val="28"/>
          <w:lang w:eastAsia="ru-RU"/>
        </w:rPr>
        <w:t>При аналізі зв’язку між смертністю дітей віком до 1 року поза стаціонаром та показниками, що характеризують забезпеченість дитячими денними стаціонарними ліжками, достовірного зв’язку не виявлено.</w:t>
      </w:r>
      <w:r w:rsidR="00392371" w:rsidRPr="00006A39">
        <w:rPr>
          <w:rFonts w:eastAsia="Times New Roman"/>
          <w:szCs w:val="28"/>
          <w:lang w:eastAsia="ru-RU"/>
        </w:rPr>
        <w:t xml:space="preserve"> На нашу думку, існують інші фактори, </w:t>
      </w:r>
      <w:r w:rsidR="00392371" w:rsidRPr="00006A39">
        <w:rPr>
          <w:rFonts w:eastAsia="Times New Roman"/>
          <w:szCs w:val="28"/>
          <w:lang w:eastAsia="ru-RU"/>
        </w:rPr>
        <w:lastRenderedPageBreak/>
        <w:t xml:space="preserve">які пов’язані </w:t>
      </w:r>
      <w:r w:rsidR="000E5D02" w:rsidRPr="00006A39">
        <w:rPr>
          <w:rFonts w:eastAsia="Times New Roman"/>
          <w:szCs w:val="28"/>
          <w:lang w:eastAsia="ru-RU"/>
        </w:rPr>
        <w:t>з даним показником</w:t>
      </w:r>
      <w:r w:rsidR="00392371" w:rsidRPr="00006A39">
        <w:rPr>
          <w:rFonts w:eastAsia="Times New Roman"/>
          <w:szCs w:val="28"/>
          <w:lang w:eastAsia="ru-RU"/>
        </w:rPr>
        <w:t>.</w:t>
      </w:r>
    </w:p>
    <w:p w:rsidR="006738F0" w:rsidRPr="00006A39" w:rsidRDefault="006738F0" w:rsidP="00721203">
      <w:pPr>
        <w:widowControl w:val="0"/>
        <w:ind w:firstLine="709"/>
        <w:rPr>
          <w:szCs w:val="28"/>
        </w:rPr>
      </w:pPr>
      <w:r w:rsidRPr="00006A39">
        <w:rPr>
          <w:rFonts w:eastAsia="Times New Roman"/>
          <w:szCs w:val="28"/>
          <w:lang w:eastAsia="ru-RU"/>
        </w:rPr>
        <w:t>Наступним важливим завданням нашого дослідження було проаналізувати та надати характеристику спеціалізованій та високоспеціалізованій медичній допомозі дитячому населенню. З урахуванням проблем дитячого здоров’я стаціонарна допомога продовжує грати вагому роль у системі наданні медичної допомоги дитячому населенню, до того ж впровадження новітніх високих технологій з доведеною ефективністю, встановлення складних та рідкісних діагнозів можливе саме в стаціонарних умовах з відповідним кадровим складом, матеріально-технічним та діагностичним оснащенням.</w:t>
      </w:r>
      <w:r w:rsidRPr="00006A39">
        <w:t xml:space="preserve"> </w:t>
      </w:r>
      <w:r w:rsidRPr="00006A39">
        <w:rPr>
          <w:szCs w:val="28"/>
        </w:rPr>
        <w:t>Упродовж останніх років триває оптимізація ліжкового фонду для дитячого населення шляхом скорочення нерентабельних ліжок, закриття відділень або лікарень, що не відповідають санітарно-гігієнічним вимогам, медичним вимогам щодо надання заявленої за відповідним профілем медичної допомоги дітям в плані її якості, безп</w:t>
      </w:r>
      <w:r w:rsidR="00D068E4">
        <w:rPr>
          <w:szCs w:val="28"/>
        </w:rPr>
        <w:t>еки тощо, при цьому, як показало наше</w:t>
      </w:r>
      <w:r w:rsidRPr="00006A39">
        <w:rPr>
          <w:szCs w:val="28"/>
        </w:rPr>
        <w:t xml:space="preserve"> дослідження, скорочення ліжкового фонду не відобразилось на рівні дитячої госпіталізації. Впроваджуються нові підходи до госпіталізації, такі як принцип розумної госпіталізації, спільне перебування дітей з батьками, тощо. Стаціонарна допомога також покликана вирішувати провідні державні задачі щодо протидії дитячої смертності, дитячої інвалідності, хронічної захворюваності, зниження малюкової смертності.</w:t>
      </w:r>
    </w:p>
    <w:p w:rsidR="006738F0" w:rsidRPr="00006A39" w:rsidRDefault="006738F0" w:rsidP="00721203">
      <w:pPr>
        <w:widowControl w:val="0"/>
        <w:ind w:firstLine="709"/>
        <w:rPr>
          <w:rFonts w:eastAsia="Times New Roman"/>
          <w:szCs w:val="28"/>
          <w:lang w:eastAsia="ru-RU"/>
        </w:rPr>
      </w:pPr>
      <w:r w:rsidRPr="00006A39">
        <w:rPr>
          <w:rFonts w:eastAsia="Times New Roman"/>
          <w:szCs w:val="28"/>
          <w:lang w:eastAsia="ru-RU"/>
        </w:rPr>
        <w:t>Згідно діючого наказу МОЗ України №74 від 24.03.98 «Про орієнтовні нормативи потреби у стаціонарній медичній допомозі дітям, вагітним, роділлям, породіллям та гінекологічним хворим» [</w:t>
      </w:r>
      <w:r w:rsidR="00E21E61" w:rsidRPr="00541E8E">
        <w:rPr>
          <w:rFonts w:eastAsia="Times New Roman"/>
          <w:szCs w:val="28"/>
          <w:lang w:eastAsia="ru-RU"/>
        </w:rPr>
        <w:t>318</w:t>
      </w:r>
      <w:r w:rsidRPr="00541E8E">
        <w:rPr>
          <w:rFonts w:eastAsia="Times New Roman"/>
          <w:szCs w:val="28"/>
          <w:lang w:eastAsia="ru-RU"/>
        </w:rPr>
        <w:t xml:space="preserve">], </w:t>
      </w:r>
      <w:r w:rsidRPr="00006A39">
        <w:rPr>
          <w:rFonts w:eastAsia="Times New Roman"/>
          <w:szCs w:val="28"/>
          <w:lang w:eastAsia="ru-RU"/>
        </w:rPr>
        <w:t>метою якого було орієнтація на максимальне охоплення стаціонарною допомогою хворих дітей, в тому числі і дітей у ранньому віці, стаціонарною допомогою, орієнтовний норматив потреби у педіатричних ліжках за всіма профіл</w:t>
      </w:r>
      <w:r w:rsidR="002B7699">
        <w:rPr>
          <w:rFonts w:eastAsia="Times New Roman"/>
          <w:szCs w:val="28"/>
          <w:lang w:eastAsia="ru-RU"/>
        </w:rPr>
        <w:t xml:space="preserve">ями медичної допомоги становить </w:t>
      </w:r>
      <w:r w:rsidRPr="00006A39">
        <w:rPr>
          <w:rFonts w:eastAsia="Times New Roman"/>
          <w:szCs w:val="28"/>
          <w:lang w:eastAsia="ru-RU"/>
        </w:rPr>
        <w:t xml:space="preserve">64,5 ліжка на 10 тис. дитячого населення. Також, Постановою КМУ від 25 листопада  2015 р. №1024 «Про затвердження нормативу забезпечення стаціонарними лікарняними ліжками у розрахунку на 10 тис. населення» затверджено граничний норматив забезпечення стаціонарними лікарняними ліжками у розрахунку на 10 тис. населення, який має бути не більш 60 ліжок </w:t>
      </w:r>
      <w:r w:rsidRPr="001B3851">
        <w:rPr>
          <w:rFonts w:eastAsia="Times New Roman"/>
          <w:szCs w:val="28"/>
          <w:lang w:eastAsia="ru-RU"/>
        </w:rPr>
        <w:t>[</w:t>
      </w:r>
      <w:r w:rsidR="00541E8E" w:rsidRPr="001B3851">
        <w:rPr>
          <w:rFonts w:eastAsia="Times New Roman"/>
          <w:szCs w:val="28"/>
          <w:lang w:val="ru-RU" w:eastAsia="ru-RU"/>
        </w:rPr>
        <w:t>319</w:t>
      </w:r>
      <w:r w:rsidRPr="001B3851">
        <w:rPr>
          <w:rFonts w:eastAsia="Times New Roman"/>
          <w:szCs w:val="28"/>
          <w:lang w:eastAsia="ru-RU"/>
        </w:rPr>
        <w:t>].</w:t>
      </w:r>
      <w:r w:rsidRPr="001B3851">
        <w:t xml:space="preserve"> </w:t>
      </w:r>
      <w:r w:rsidRPr="00006A39">
        <w:rPr>
          <w:rFonts w:eastAsia="Times New Roman"/>
          <w:szCs w:val="28"/>
          <w:lang w:eastAsia="ru-RU"/>
        </w:rPr>
        <w:t xml:space="preserve">Дослідженням встановлено, що в </w:t>
      </w:r>
      <w:r w:rsidRPr="00006A39">
        <w:rPr>
          <w:rFonts w:eastAsia="Times New Roman"/>
          <w:szCs w:val="28"/>
          <w:lang w:eastAsia="ru-RU"/>
        </w:rPr>
        <w:lastRenderedPageBreak/>
        <w:t xml:space="preserve">Україні дитячий ліжковий фонд за своєю кількістю і структурою на вторинному і третинному рівнях надання спеціалізованої та високоспеціалізованої медичної допомоги дітям в цілому є достатнім, відповідно до потреби дітей у госпіталізації, а також доступним для всіх верств дитячого населення.  </w:t>
      </w:r>
    </w:p>
    <w:p w:rsidR="00986EAA" w:rsidRDefault="006738F0" w:rsidP="00721203">
      <w:pPr>
        <w:widowControl w:val="0"/>
        <w:ind w:firstLine="709"/>
        <w:rPr>
          <w:szCs w:val="28"/>
        </w:rPr>
      </w:pPr>
      <w:r w:rsidRPr="00006A39">
        <w:rPr>
          <w:szCs w:val="28"/>
        </w:rPr>
        <w:t xml:space="preserve">За результатами дослідження за період 2013-2018 рр. в Україні спостерігався процес реорганізації стаціонарної допомоги, в ході якого кількість дитячих стаціонарних ліжок цілодобового спостереження скоротилась на 21,5% (з 51382 ліжка у 2013 р., 43668 у 2014 р., 41221 у 2017 р., 40312 у 2018 р.) за більшістю профілями її надання. За рахунок закриття 31 дитячої міської лікарні, 1 туберкульозної лікарні, 2 інфекційних, у країні відбулось як зменшення кількості ліжок, так і зниження показника забезпеченості стаціонарними ліжками дітей на 8,0% з 57,5 у 2014 році до 52,98 на 10 тис. дитячого населення у 2018 році (рис. 5.1). </w:t>
      </w:r>
    </w:p>
    <w:p w:rsidR="006738F0" w:rsidRDefault="006738F0" w:rsidP="00A6710D">
      <w:pPr>
        <w:widowControl w:val="0"/>
        <w:rPr>
          <w:szCs w:val="28"/>
        </w:rPr>
      </w:pPr>
      <w:r w:rsidRPr="00006A39">
        <w:rPr>
          <w:szCs w:val="28"/>
        </w:rPr>
        <w:t xml:space="preserve">Також упродовж 2014-2018 рр. відбулось зниження інтенсивності роботи дитячих ліжок за показником середнього числа зайнятості ліжка на рік на 3,2% (2014 р. – середньорічна зайнятість ліжка 312,36 днів на рік, 2018р. – 302,5 </w:t>
      </w:r>
      <w:r w:rsidR="001451FD" w:rsidRPr="00006A39">
        <w:rPr>
          <w:szCs w:val="28"/>
        </w:rPr>
        <w:t xml:space="preserve">днів на рік, </w:t>
      </w:r>
      <w:r w:rsidRPr="00006A39">
        <w:rPr>
          <w:szCs w:val="28"/>
        </w:rPr>
        <w:t>відповідно). При цьому спостерігалось зменшення показника середньої тривалості перебування дитини на ліжку на 6,3% (9,49 і 8,89 днів відповідно), що сприяло позитивній тенденції обігу ліжка на 3,4% (32,92 і 34,03 відповідно), що свідчить про більш раціональне використання ліжкового фонду для дітей у 2018 р. Слід зазначити, що серед пролікованих та виписаних із стаціонару дітей (1487390 дітей у віці 0-17 років життя), частка діте</w:t>
      </w:r>
      <w:r w:rsidR="001E70CB">
        <w:rPr>
          <w:szCs w:val="28"/>
        </w:rPr>
        <w:t>й до року життя становила 14,4</w:t>
      </w:r>
      <w:r w:rsidR="001E70CB" w:rsidRPr="001B3851">
        <w:rPr>
          <w:szCs w:val="28"/>
        </w:rPr>
        <w:t xml:space="preserve">% </w:t>
      </w:r>
      <w:r w:rsidR="0003729C" w:rsidRPr="001B3851">
        <w:rPr>
          <w:szCs w:val="28"/>
        </w:rPr>
        <w:t>(Додаток Г</w:t>
      </w:r>
      <w:r w:rsidR="001E70CB" w:rsidRPr="001B3851">
        <w:rPr>
          <w:szCs w:val="28"/>
        </w:rPr>
        <w:t>-2).</w:t>
      </w:r>
      <w:r w:rsidRPr="001B3851">
        <w:rPr>
          <w:szCs w:val="28"/>
        </w:rPr>
        <w:t xml:space="preserve">  </w:t>
      </w:r>
    </w:p>
    <w:p w:rsidR="00DB0776" w:rsidRPr="003E7464" w:rsidRDefault="00DB0776" w:rsidP="00DB0776">
      <w:pPr>
        <w:widowControl w:val="0"/>
        <w:ind w:firstLine="709"/>
        <w:rPr>
          <w:rFonts w:eastAsia="Times New Roman"/>
          <w:szCs w:val="28"/>
          <w:lang w:val="ru-RU" w:eastAsia="ru-RU"/>
        </w:rPr>
      </w:pPr>
      <w:r w:rsidRPr="00006A39">
        <w:rPr>
          <w:rFonts w:eastAsia="Times New Roman"/>
          <w:szCs w:val="28"/>
          <w:lang w:eastAsia="ru-RU"/>
        </w:rPr>
        <w:t>Виявлено регіональну диференціацію показників забезпеченості дитячого населення стаціонарними ліжками, як за рівнем загальної забезпеченості дитячими ліжками, так і за рівнями забезпеченості  педіа</w:t>
      </w:r>
      <w:r>
        <w:rPr>
          <w:rFonts w:eastAsia="Times New Roman"/>
          <w:szCs w:val="28"/>
          <w:lang w:eastAsia="ru-RU"/>
        </w:rPr>
        <w:t>тричними соматичними та</w:t>
      </w:r>
      <w:r w:rsidRPr="00006A39">
        <w:rPr>
          <w:rFonts w:eastAsia="Times New Roman"/>
          <w:szCs w:val="28"/>
          <w:lang w:eastAsia="ru-RU"/>
        </w:rPr>
        <w:t xml:space="preserve"> інфекційними ліжками. </w:t>
      </w:r>
      <w:r w:rsidR="00C53C63" w:rsidRPr="00C53C63">
        <w:rPr>
          <w:rFonts w:eastAsia="Times New Roman"/>
          <w:szCs w:val="28"/>
          <w:lang w:eastAsia="ru-RU"/>
        </w:rPr>
        <w:t>Загальна забезпеченість дитячими ліжками в залежності від регіону  у 2018 р. коливалась від 41,51 на 10 тис. дитячого населення у Рівненській області,  42,15 відповідно у Волинській області, та 45,5 відповідно Закарпатській області до 65,98 на 10 тис. дитячого населення у Харківській, 68,97 відповідно  у Луганській, 69,63 відповідно у Сумській, 71,26 відповідно у Чернігівській, 73,24 відповідно у Запорізькій областях. Гранична різниця показника становила 1,76 рази.</w:t>
      </w:r>
      <w:r w:rsidRPr="00006A39">
        <w:rPr>
          <w:rFonts w:eastAsia="Times New Roman"/>
          <w:szCs w:val="28"/>
          <w:lang w:eastAsia="ru-RU"/>
        </w:rPr>
        <w:t xml:space="preserve"> </w:t>
      </w:r>
    </w:p>
    <w:p w:rsidR="006738F0" w:rsidRPr="00006A39" w:rsidRDefault="00A6710D" w:rsidP="00A6710D">
      <w:pPr>
        <w:widowControl w:val="0"/>
        <w:rPr>
          <w:szCs w:val="28"/>
        </w:rPr>
      </w:pPr>
      <w:r>
        <w:rPr>
          <w:szCs w:val="28"/>
        </w:rPr>
        <w:lastRenderedPageBreak/>
        <w:t xml:space="preserve">        </w:t>
      </w:r>
      <w:r w:rsidR="006738F0" w:rsidRPr="00006A39">
        <w:rPr>
          <w:rFonts w:eastAsia="Times New Roman"/>
          <w:noProof/>
          <w:szCs w:val="28"/>
          <w:lang w:val="ru-RU" w:eastAsia="ru-RU"/>
        </w:rPr>
        <w:drawing>
          <wp:inline distT="0" distB="0" distL="0" distR="0" wp14:anchorId="3F7627A2" wp14:editId="32DB4E04">
            <wp:extent cx="5990253" cy="5001208"/>
            <wp:effectExtent l="0" t="0" r="0" b="0"/>
            <wp:docPr id="65"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6000658" cy="5009895"/>
                    </a:xfrm>
                    <a:prstGeom prst="rect">
                      <a:avLst/>
                    </a:prstGeom>
                    <a:noFill/>
                  </pic:spPr>
                </pic:pic>
              </a:graphicData>
            </a:graphic>
          </wp:inline>
        </w:drawing>
      </w:r>
    </w:p>
    <w:p w:rsidR="006738F0" w:rsidRDefault="006738F0" w:rsidP="00721203">
      <w:pPr>
        <w:widowControl w:val="0"/>
        <w:spacing w:after="120"/>
        <w:ind w:firstLine="709"/>
        <w:rPr>
          <w:rFonts w:eastAsia="Times New Roman"/>
          <w:szCs w:val="28"/>
          <w:lang w:eastAsia="ru-RU"/>
        </w:rPr>
      </w:pPr>
      <w:r w:rsidRPr="00006A39">
        <w:rPr>
          <w:rFonts w:eastAsia="Times New Roman"/>
          <w:szCs w:val="28"/>
          <w:lang w:eastAsia="ru-RU"/>
        </w:rPr>
        <w:t>Рис. 5.1. Забезпеченість стаціонарними ліжками дитячого населення України в</w:t>
      </w:r>
      <w:r w:rsidRPr="00006A39">
        <w:rPr>
          <w:rFonts w:eastAsia="Times New Roman"/>
          <w:color w:val="FF0000"/>
          <w:szCs w:val="28"/>
          <w:lang w:eastAsia="ru-RU"/>
        </w:rPr>
        <w:t xml:space="preserve"> </w:t>
      </w:r>
      <w:r w:rsidRPr="00006A39">
        <w:rPr>
          <w:rFonts w:eastAsia="Times New Roman"/>
          <w:color w:val="000000" w:themeColor="text1"/>
          <w:szCs w:val="28"/>
          <w:lang w:eastAsia="ru-RU"/>
        </w:rPr>
        <w:t>розрізі регіонів,</w:t>
      </w:r>
      <w:r w:rsidRPr="00006A39">
        <w:rPr>
          <w:rFonts w:eastAsia="Times New Roman"/>
          <w:color w:val="FF0000"/>
          <w:szCs w:val="28"/>
          <w:lang w:eastAsia="ru-RU"/>
        </w:rPr>
        <w:t xml:space="preserve"> </w:t>
      </w:r>
      <w:r w:rsidRPr="00006A39">
        <w:rPr>
          <w:rFonts w:eastAsia="Times New Roman"/>
          <w:szCs w:val="28"/>
          <w:lang w:eastAsia="ru-RU"/>
        </w:rPr>
        <w:t xml:space="preserve"> 2018 р. (на 10 тис. дитячого населення)</w:t>
      </w:r>
    </w:p>
    <w:p w:rsidR="00A6710D" w:rsidRPr="00A6710D" w:rsidRDefault="00A6710D" w:rsidP="00F23FF6">
      <w:pPr>
        <w:widowControl w:val="0"/>
        <w:ind w:firstLine="709"/>
        <w:rPr>
          <w:rFonts w:eastAsia="Times New Roman"/>
          <w:szCs w:val="28"/>
          <w:lang w:val="ru-RU" w:eastAsia="ru-RU"/>
        </w:rPr>
      </w:pPr>
      <w:r w:rsidRPr="00C64F5A">
        <w:rPr>
          <w:rFonts w:eastAsia="Times New Roman"/>
          <w:szCs w:val="28"/>
          <w:lang w:eastAsia="ru-RU"/>
        </w:rPr>
        <w:t xml:space="preserve">Також значно відрізняється в регіональному аспекті і рівень забезпеченості педіатричними соматичними ліжками  (за  рекомендацією МОЗ –  26,1 ліжко на 10 тис. дитячого населення) від 14,6 на 10 тис. дитячого населення у м. Київ, 16,58 відповідно у Волинській, 18,04 відповідно у Чернівецькій, 18,42  відповідно у Дніпропетровській областях до 26,17 на 10 тис. дитячого населення у Кіровоградській, 26,4 відповідно у Хмельницькій, 28,39 відповідно у Черкаській, 28,75 відповідно у Херсонській, 29,95 на 10 тис. дитячого населення відповідно у Чернігівській, 31,14 відповідно у Луганській  областях. Гранична різниця показника становить 2,13 рази. Аналогічна ситуація спостерігається і щодо рівня забезпеченості дитячого населення інфекційними ліжками, де також відбуваються коливання від мінімального значення показника забезпеченості ліжками (менш ніж </w:t>
      </w:r>
      <w:r w:rsidRPr="00C64F5A">
        <w:rPr>
          <w:rFonts w:eastAsia="Times New Roman"/>
          <w:szCs w:val="28"/>
          <w:lang w:eastAsia="ru-RU"/>
        </w:rPr>
        <w:lastRenderedPageBreak/>
        <w:t xml:space="preserve">8,0 на 10 тис. дитячого населення) у Рівненській, Одеській, Львівський, Закарпатській областях до максимальних рівнів у  Сумській (14,86 на 10 тис. дитячого населення),  Запорізькій (15,2 відповідно), Кіровоградській (16,9 відповідно), Донецькій (19,92 відповідно) областях. Гранична різниця показника становить 2,5 рази  </w:t>
      </w:r>
      <w:r>
        <w:rPr>
          <w:rFonts w:eastAsia="Times New Roman"/>
          <w:szCs w:val="28"/>
          <w:lang w:eastAsia="ru-RU"/>
        </w:rPr>
        <w:t>(рис.5.1)</w:t>
      </w:r>
      <w:r w:rsidRPr="00006A39">
        <w:rPr>
          <w:rFonts w:eastAsia="Times New Roman"/>
          <w:szCs w:val="28"/>
          <w:lang w:eastAsia="ru-RU"/>
        </w:rPr>
        <w:t>.</w:t>
      </w:r>
    </w:p>
    <w:p w:rsidR="006738F0" w:rsidRPr="00006A39" w:rsidRDefault="00A6710D" w:rsidP="00B13E74">
      <w:pPr>
        <w:widowControl w:val="0"/>
        <w:ind w:firstLine="709"/>
        <w:rPr>
          <w:rFonts w:eastAsia="Times New Roman"/>
          <w:szCs w:val="28"/>
          <w:lang w:eastAsia="ru-RU"/>
        </w:rPr>
      </w:pPr>
      <w:r w:rsidRPr="00006A39">
        <w:rPr>
          <w:rFonts w:eastAsia="Times New Roman"/>
          <w:szCs w:val="28"/>
          <w:lang w:eastAsia="ru-RU"/>
        </w:rPr>
        <w:t>Упродовж</w:t>
      </w:r>
      <w:r w:rsidRPr="00006A39">
        <w:rPr>
          <w:szCs w:val="28"/>
        </w:rPr>
        <w:t xml:space="preserve"> 2014-2018 рр. </w:t>
      </w:r>
      <w:r w:rsidRPr="00006A39">
        <w:rPr>
          <w:rFonts w:eastAsia="Times New Roman"/>
          <w:szCs w:val="28"/>
          <w:lang w:eastAsia="ru-RU"/>
        </w:rPr>
        <w:t>стаціонарна медична допомога дітям в Україні надавалась в цілодобових стаціонарах за 30 напрямами педіатричного профілю. Встановлено, що протягом періоду дослідження</w:t>
      </w:r>
      <w:r w:rsidRPr="00006A39">
        <w:rPr>
          <w:rFonts w:eastAsia="Times New Roman"/>
          <w:color w:val="70AD47" w:themeColor="accent6"/>
          <w:szCs w:val="28"/>
          <w:lang w:eastAsia="ru-RU"/>
        </w:rPr>
        <w:t xml:space="preserve"> </w:t>
      </w:r>
      <w:r w:rsidRPr="00006A39">
        <w:rPr>
          <w:rFonts w:eastAsia="Times New Roman"/>
          <w:szCs w:val="28"/>
          <w:lang w:eastAsia="ru-RU"/>
        </w:rPr>
        <w:t>відбулось скорочення кількості інфекційних (на 10,28%), алергологічних (на 11,42%), психіатричних (на 11,49%), кардіохірургічних (на 20,19%), туберкульозних (на 24,0%) та дерматовенерологічних (на 24,96%) ліжок. Кількість педіатричних соматичних ліжок скоротилась на 8,39%, без змін залишилась кількість ревматологічних та урологічних ліжок. У той же час відбулось зростання кількості дитячих ліжок за ендокринологічним (на 1,57%), гематологічним (на 1,74%), нейрохірургічним (на 9,63%), травматологічним (на 7,36%), опіковим (на 3,83%) та онкологічним (на 5,78%)</w:t>
      </w:r>
      <w:r w:rsidR="00A13464">
        <w:rPr>
          <w:rFonts w:eastAsia="Times New Roman"/>
          <w:szCs w:val="28"/>
          <w:lang w:val="ru-RU" w:eastAsia="ru-RU"/>
        </w:rPr>
        <w:t xml:space="preserve"> профілями</w:t>
      </w:r>
      <w:r w:rsidRPr="00006A39">
        <w:rPr>
          <w:rFonts w:eastAsia="Times New Roman"/>
          <w:szCs w:val="28"/>
          <w:lang w:eastAsia="ru-RU"/>
        </w:rPr>
        <w:t>.</w:t>
      </w:r>
      <w:r w:rsidRPr="00C53C63">
        <w:rPr>
          <w:rFonts w:eastAsia="Times New Roman"/>
          <w:szCs w:val="28"/>
          <w:lang w:eastAsia="ru-RU"/>
        </w:rPr>
        <w:t xml:space="preserve"> У 2018 р. найбільшу кількість ліжок в країні зареєстровано за наступними профілями: педіатричні соматичні (15875 ліжок), інфекційні (7590 ліжок), неврологічні (1649 ліжок), хірургічні (1278 ліжок), психіатричні </w:t>
      </w:r>
      <w:r w:rsidR="00A13464">
        <w:rPr>
          <w:rFonts w:eastAsia="Times New Roman"/>
          <w:szCs w:val="28"/>
          <w:lang w:eastAsia="ru-RU"/>
        </w:rPr>
        <w:t>(1256 ліжок), отоларингологічні</w:t>
      </w:r>
      <w:r w:rsidRPr="00C53C63">
        <w:rPr>
          <w:rFonts w:eastAsia="Times New Roman"/>
          <w:szCs w:val="28"/>
          <w:lang w:eastAsia="ru-RU"/>
        </w:rPr>
        <w:t xml:space="preserve"> (1209 ліжок)</w:t>
      </w:r>
      <w:r w:rsidRPr="003F182E">
        <w:rPr>
          <w:rFonts w:eastAsia="Times New Roman"/>
          <w:szCs w:val="28"/>
          <w:lang w:eastAsia="ru-RU"/>
        </w:rPr>
        <w:t xml:space="preserve"> (табл. 5.6</w:t>
      </w:r>
      <w:r>
        <w:rPr>
          <w:rFonts w:eastAsia="Times New Roman"/>
          <w:szCs w:val="28"/>
          <w:lang w:eastAsia="ru-RU"/>
        </w:rPr>
        <w:t>)</w:t>
      </w:r>
      <w:r w:rsidR="00F23FF6">
        <w:rPr>
          <w:rFonts w:eastAsia="Times New Roman"/>
          <w:szCs w:val="28"/>
          <w:lang w:eastAsia="ru-RU"/>
        </w:rPr>
        <w:t>.</w:t>
      </w:r>
      <w:r w:rsidR="00B13E74">
        <w:rPr>
          <w:rFonts w:eastAsia="Times New Roman"/>
          <w:szCs w:val="28"/>
          <w:lang w:eastAsia="ru-RU"/>
        </w:rPr>
        <w:t xml:space="preserve"> </w:t>
      </w:r>
      <w:r w:rsidR="006738F0" w:rsidRPr="00006A39">
        <w:rPr>
          <w:rFonts w:eastAsia="Times New Roman"/>
          <w:szCs w:val="28"/>
          <w:lang w:eastAsia="ru-RU"/>
        </w:rPr>
        <w:t>Рівень забезпеченості педіатричними соматичними ліжками в Україні у 2018</w:t>
      </w:r>
      <w:r w:rsidR="00FE320E">
        <w:rPr>
          <w:rFonts w:eastAsia="Times New Roman"/>
          <w:szCs w:val="28"/>
          <w:lang w:eastAsia="ru-RU"/>
        </w:rPr>
        <w:t> </w:t>
      </w:r>
      <w:r w:rsidR="006738F0" w:rsidRPr="00006A39">
        <w:rPr>
          <w:rFonts w:eastAsia="Times New Roman"/>
          <w:szCs w:val="28"/>
          <w:lang w:eastAsia="ru-RU"/>
        </w:rPr>
        <w:t>р. скоротився відносно 2014</w:t>
      </w:r>
      <w:r w:rsidR="00792091">
        <w:rPr>
          <w:rFonts w:eastAsia="Times New Roman"/>
          <w:szCs w:val="28"/>
          <w:lang w:eastAsia="ru-RU"/>
        </w:rPr>
        <w:t> </w:t>
      </w:r>
      <w:r w:rsidR="006738F0" w:rsidRPr="00006A39">
        <w:rPr>
          <w:rFonts w:eastAsia="Times New Roman"/>
          <w:szCs w:val="28"/>
          <w:lang w:eastAsia="ru-RU"/>
        </w:rPr>
        <w:t>р.</w:t>
      </w:r>
      <w:r w:rsidR="006738F0" w:rsidRPr="00006A39">
        <w:t xml:space="preserve"> </w:t>
      </w:r>
      <w:r w:rsidR="006738F0" w:rsidRPr="00006A39">
        <w:rPr>
          <w:rFonts w:eastAsia="Times New Roman"/>
          <w:szCs w:val="28"/>
          <w:lang w:eastAsia="ru-RU"/>
        </w:rPr>
        <w:t>на 8,55% і склав 20,86 на 10 тис. дитячого</w:t>
      </w:r>
      <w:r w:rsidR="00106A0D">
        <w:rPr>
          <w:rFonts w:eastAsia="Times New Roman"/>
          <w:szCs w:val="28"/>
          <w:lang w:eastAsia="ru-RU"/>
        </w:rPr>
        <w:t xml:space="preserve"> населення, серед інших профілів</w:t>
      </w:r>
      <w:r w:rsidR="006738F0" w:rsidRPr="00006A39">
        <w:rPr>
          <w:rFonts w:eastAsia="Times New Roman"/>
          <w:szCs w:val="28"/>
          <w:lang w:eastAsia="ru-RU"/>
        </w:rPr>
        <w:t xml:space="preserve"> н</w:t>
      </w:r>
      <w:r w:rsidR="00106A0D">
        <w:rPr>
          <w:rFonts w:eastAsia="Times New Roman"/>
          <w:szCs w:val="28"/>
          <w:lang w:eastAsia="ru-RU"/>
        </w:rPr>
        <w:t>айвищий рівень забезпеченості (в</w:t>
      </w:r>
      <w:r w:rsidR="006738F0" w:rsidRPr="00006A39">
        <w:rPr>
          <w:rFonts w:eastAsia="Times New Roman"/>
          <w:szCs w:val="28"/>
          <w:lang w:eastAsia="ru-RU"/>
        </w:rPr>
        <w:t xml:space="preserve"> розрахунку на 10 тис. дитячого населення) педіатричними цілодобовими ліжками в Україні зареєстровано за інфекційним, неврологічним,  хірургічним, психіатричним, отоларингологічним профілями, а найнижчий – за ревматологічним профілем (табл. 5.</w:t>
      </w:r>
      <w:r w:rsidR="00F34224">
        <w:rPr>
          <w:rFonts w:eastAsia="Times New Roman"/>
          <w:szCs w:val="28"/>
          <w:lang w:eastAsia="ru-RU"/>
        </w:rPr>
        <w:t>6</w:t>
      </w:r>
      <w:r w:rsidR="006738F0" w:rsidRPr="00006A39">
        <w:rPr>
          <w:rFonts w:eastAsia="Times New Roman"/>
          <w:szCs w:val="28"/>
          <w:lang w:eastAsia="ru-RU"/>
        </w:rPr>
        <w:t xml:space="preserve">). </w:t>
      </w:r>
    </w:p>
    <w:p w:rsidR="006738F0" w:rsidRPr="002A4861" w:rsidRDefault="006738F0" w:rsidP="00721203">
      <w:pPr>
        <w:widowControl w:val="0"/>
        <w:ind w:firstLine="709"/>
        <w:rPr>
          <w:rFonts w:eastAsia="Times New Roman"/>
          <w:color w:val="000000" w:themeColor="text1"/>
          <w:szCs w:val="28"/>
          <w:lang w:eastAsia="ru-RU"/>
        </w:rPr>
      </w:pPr>
      <w:r w:rsidRPr="00006A39">
        <w:rPr>
          <w:rFonts w:eastAsia="Times New Roman"/>
          <w:szCs w:val="28"/>
          <w:lang w:eastAsia="ru-RU"/>
        </w:rPr>
        <w:t>Слід відмітити, що в деяких областях ліжка певного профілю є відсутніми, зокрема, дитячі</w:t>
      </w:r>
      <w:r w:rsidRPr="00006A39">
        <w:rPr>
          <w:rFonts w:eastAsia="Times New Roman"/>
          <w:color w:val="FF0000"/>
          <w:szCs w:val="28"/>
          <w:lang w:eastAsia="ru-RU"/>
        </w:rPr>
        <w:t xml:space="preserve"> </w:t>
      </w:r>
      <w:r w:rsidRPr="00006A39">
        <w:rPr>
          <w:rFonts w:eastAsia="Times New Roman"/>
          <w:szCs w:val="28"/>
          <w:lang w:eastAsia="ru-RU"/>
        </w:rPr>
        <w:t xml:space="preserve">ліжка кардіохірургічного профілю функціонують лише у Дніпропетровській, Львівській, Одеській областях і м. Києві, ревматологічного – у Дніпропетровській і Львівській областях, для  немовлят – у </w:t>
      </w:r>
      <w:r w:rsidRPr="002A4861">
        <w:rPr>
          <w:rFonts w:eastAsia="Times New Roman"/>
          <w:color w:val="000000" w:themeColor="text1"/>
          <w:szCs w:val="28"/>
          <w:lang w:eastAsia="ru-RU"/>
        </w:rPr>
        <w:t>14 областях, ст</w:t>
      </w:r>
      <w:r w:rsidRPr="00006A39">
        <w:rPr>
          <w:rFonts w:eastAsia="Times New Roman"/>
          <w:szCs w:val="28"/>
          <w:lang w:eastAsia="ru-RU"/>
        </w:rPr>
        <w:t>оматологічні ліжка – у 13 областях, опікові ліжка – у 16 регіонах країни.</w:t>
      </w:r>
    </w:p>
    <w:p w:rsidR="006738F0" w:rsidRPr="002A4861" w:rsidRDefault="006738F0" w:rsidP="00721203">
      <w:pPr>
        <w:widowControl w:val="0"/>
        <w:ind w:firstLine="709"/>
        <w:jc w:val="right"/>
        <w:rPr>
          <w:rFonts w:eastAsia="Times New Roman"/>
          <w:i/>
          <w:color w:val="000000" w:themeColor="text1"/>
          <w:szCs w:val="28"/>
          <w:lang w:eastAsia="ru-RU"/>
        </w:rPr>
      </w:pPr>
      <w:r w:rsidRPr="002A4861">
        <w:rPr>
          <w:rFonts w:eastAsia="Times New Roman"/>
          <w:i/>
          <w:color w:val="000000" w:themeColor="text1"/>
          <w:szCs w:val="28"/>
          <w:lang w:eastAsia="ru-RU"/>
        </w:rPr>
        <w:lastRenderedPageBreak/>
        <w:t>Таблиця 5.</w:t>
      </w:r>
      <w:r w:rsidR="00F26023" w:rsidRPr="002A4861">
        <w:rPr>
          <w:rFonts w:eastAsia="Times New Roman"/>
          <w:i/>
          <w:color w:val="000000" w:themeColor="text1"/>
          <w:szCs w:val="28"/>
          <w:lang w:eastAsia="ru-RU"/>
        </w:rPr>
        <w:t>6</w:t>
      </w:r>
    </w:p>
    <w:p w:rsidR="006738F0" w:rsidRPr="002A4861" w:rsidRDefault="006738F0" w:rsidP="00721203">
      <w:pPr>
        <w:widowControl w:val="0"/>
        <w:jc w:val="center"/>
        <w:rPr>
          <w:rFonts w:eastAsia="Times New Roman"/>
          <w:b/>
          <w:color w:val="000000" w:themeColor="text1"/>
          <w:szCs w:val="28"/>
          <w:lang w:eastAsia="ru-RU"/>
        </w:rPr>
      </w:pPr>
      <w:r w:rsidRPr="002A4861">
        <w:rPr>
          <w:rFonts w:eastAsia="Times New Roman"/>
          <w:b/>
          <w:color w:val="000000" w:themeColor="text1"/>
          <w:szCs w:val="28"/>
          <w:lang w:eastAsia="ru-RU"/>
        </w:rPr>
        <w:t>Динаміка забезпеченості цілодобовими дитячими ліжками за профілем надання медичної допомоги у 2014, 2018 рр. (на 10 тис. дітей )</w:t>
      </w:r>
    </w:p>
    <w:tbl>
      <w:tblPr>
        <w:tblW w:w="0" w:type="auto"/>
        <w:jc w:val="center"/>
        <w:tblLook w:val="04A0" w:firstRow="1" w:lastRow="0" w:firstColumn="1" w:lastColumn="0" w:noHBand="0" w:noVBand="1"/>
      </w:tblPr>
      <w:tblGrid>
        <w:gridCol w:w="2555"/>
        <w:gridCol w:w="876"/>
        <w:gridCol w:w="876"/>
        <w:gridCol w:w="1296"/>
        <w:gridCol w:w="876"/>
        <w:gridCol w:w="876"/>
        <w:gridCol w:w="1296"/>
      </w:tblGrid>
      <w:tr w:rsidR="006738F0" w:rsidRPr="002A4861" w:rsidTr="003B67F9">
        <w:trPr>
          <w:trHeight w:val="300"/>
          <w:jc w:val="center"/>
        </w:trPr>
        <w:tc>
          <w:tcPr>
            <w:tcW w:w="0" w:type="auto"/>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6738F0" w:rsidRPr="002A4861" w:rsidRDefault="006738F0" w:rsidP="001B3851">
            <w:pPr>
              <w:widowControl w:val="0"/>
              <w:spacing w:line="276" w:lineRule="auto"/>
              <w:jc w:val="center"/>
              <w:rPr>
                <w:rFonts w:eastAsia="Times New Roman"/>
                <w:bCs/>
                <w:color w:val="000000" w:themeColor="text1"/>
                <w:sz w:val="24"/>
                <w:szCs w:val="24"/>
                <w:lang w:eastAsia="ru-RU"/>
              </w:rPr>
            </w:pPr>
            <w:r w:rsidRPr="002A4861">
              <w:rPr>
                <w:rFonts w:eastAsia="Times New Roman"/>
                <w:bCs/>
                <w:color w:val="000000" w:themeColor="text1"/>
                <w:sz w:val="24"/>
                <w:szCs w:val="24"/>
                <w:lang w:eastAsia="ru-RU"/>
              </w:rPr>
              <w:t>Профіль ліжок</w:t>
            </w:r>
          </w:p>
        </w:tc>
        <w:tc>
          <w:tcPr>
            <w:tcW w:w="0" w:type="auto"/>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6738F0" w:rsidRPr="002A4861" w:rsidRDefault="006738F0" w:rsidP="001B3851">
            <w:pPr>
              <w:widowControl w:val="0"/>
              <w:spacing w:line="276" w:lineRule="auto"/>
              <w:jc w:val="center"/>
              <w:rPr>
                <w:rFonts w:eastAsia="Times New Roman"/>
                <w:bCs/>
                <w:color w:val="000000" w:themeColor="text1"/>
                <w:sz w:val="24"/>
                <w:szCs w:val="24"/>
                <w:lang w:eastAsia="ru-RU"/>
              </w:rPr>
            </w:pPr>
            <w:r w:rsidRPr="002A4861">
              <w:rPr>
                <w:rFonts w:eastAsia="Times New Roman"/>
                <w:bCs/>
                <w:color w:val="000000" w:themeColor="text1"/>
                <w:sz w:val="24"/>
                <w:szCs w:val="24"/>
                <w:lang w:eastAsia="ru-RU"/>
              </w:rPr>
              <w:t>Кількість ліжок</w:t>
            </w:r>
          </w:p>
        </w:tc>
        <w:tc>
          <w:tcPr>
            <w:tcW w:w="0" w:type="auto"/>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6738F0" w:rsidRPr="002A4861" w:rsidRDefault="006738F0" w:rsidP="001B3851">
            <w:pPr>
              <w:widowControl w:val="0"/>
              <w:spacing w:line="276" w:lineRule="auto"/>
              <w:jc w:val="center"/>
              <w:rPr>
                <w:rFonts w:eastAsia="Times New Roman"/>
                <w:bCs/>
                <w:color w:val="000000" w:themeColor="text1"/>
                <w:sz w:val="24"/>
                <w:szCs w:val="24"/>
                <w:lang w:eastAsia="ru-RU"/>
              </w:rPr>
            </w:pPr>
            <w:r w:rsidRPr="002A4861">
              <w:rPr>
                <w:rFonts w:eastAsia="Times New Roman"/>
                <w:bCs/>
                <w:color w:val="000000" w:themeColor="text1"/>
                <w:sz w:val="24"/>
                <w:szCs w:val="24"/>
                <w:lang w:eastAsia="ru-RU"/>
              </w:rPr>
              <w:t xml:space="preserve">На 10000 дітей </w:t>
            </w:r>
          </w:p>
        </w:tc>
      </w:tr>
      <w:tr w:rsidR="006738F0" w:rsidRPr="00006A39" w:rsidTr="003B67F9">
        <w:trPr>
          <w:trHeight w:val="315"/>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6738F0" w:rsidRPr="00006A39" w:rsidRDefault="006738F0" w:rsidP="001B3851">
            <w:pPr>
              <w:widowControl w:val="0"/>
              <w:spacing w:line="276" w:lineRule="auto"/>
              <w:rPr>
                <w:rFonts w:eastAsia="Times New Roman"/>
                <w:b/>
                <w:bCs/>
                <w:color w:val="000000"/>
                <w:sz w:val="24"/>
                <w:szCs w:val="24"/>
                <w:lang w:eastAsia="ru-RU"/>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6738F0" w:rsidRPr="00006A39" w:rsidRDefault="006738F0" w:rsidP="001B3851">
            <w:pPr>
              <w:widowControl w:val="0"/>
              <w:spacing w:line="276" w:lineRule="auto"/>
              <w:jc w:val="center"/>
              <w:rPr>
                <w:rFonts w:eastAsia="Times New Roman"/>
                <w:bCs/>
                <w:color w:val="000000"/>
                <w:sz w:val="24"/>
                <w:szCs w:val="24"/>
                <w:lang w:eastAsia="ru-RU"/>
              </w:rPr>
            </w:pPr>
            <w:r w:rsidRPr="00006A39">
              <w:rPr>
                <w:rFonts w:eastAsia="Times New Roman"/>
                <w:bCs/>
                <w:color w:val="000000"/>
                <w:sz w:val="24"/>
                <w:szCs w:val="24"/>
                <w:lang w:eastAsia="ru-RU"/>
              </w:rPr>
              <w:t>2014р.</w:t>
            </w:r>
          </w:p>
        </w:tc>
        <w:tc>
          <w:tcPr>
            <w:tcW w:w="0" w:type="auto"/>
            <w:tcBorders>
              <w:top w:val="single" w:sz="4" w:space="0" w:color="auto"/>
              <w:left w:val="single" w:sz="4" w:space="0" w:color="auto"/>
              <w:bottom w:val="single" w:sz="4" w:space="0" w:color="auto"/>
              <w:right w:val="single" w:sz="4" w:space="0" w:color="auto"/>
            </w:tcBorders>
          </w:tcPr>
          <w:p w:rsidR="006738F0" w:rsidRPr="00006A39" w:rsidRDefault="006738F0" w:rsidP="001B3851">
            <w:pPr>
              <w:widowControl w:val="0"/>
              <w:spacing w:line="276" w:lineRule="auto"/>
              <w:jc w:val="center"/>
              <w:rPr>
                <w:rFonts w:eastAsia="Times New Roman"/>
                <w:bCs/>
                <w:color w:val="000000"/>
                <w:sz w:val="24"/>
                <w:szCs w:val="24"/>
                <w:lang w:eastAsia="ru-RU"/>
              </w:rPr>
            </w:pPr>
            <w:r w:rsidRPr="00006A39">
              <w:rPr>
                <w:rFonts w:eastAsia="Times New Roman"/>
                <w:bCs/>
                <w:color w:val="000000"/>
                <w:sz w:val="24"/>
                <w:szCs w:val="24"/>
                <w:lang w:eastAsia="ru-RU"/>
              </w:rPr>
              <w:t>2018р.</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6738F0" w:rsidRPr="00006A39" w:rsidRDefault="006738F0" w:rsidP="001B3851">
            <w:pPr>
              <w:widowControl w:val="0"/>
              <w:spacing w:line="276" w:lineRule="auto"/>
              <w:jc w:val="center"/>
              <w:rPr>
                <w:rFonts w:eastAsia="Times New Roman"/>
                <w:bCs/>
                <w:color w:val="000000"/>
                <w:sz w:val="24"/>
                <w:szCs w:val="24"/>
                <w:lang w:eastAsia="ru-RU"/>
              </w:rPr>
            </w:pPr>
            <w:r w:rsidRPr="00006A39">
              <w:rPr>
                <w:rFonts w:eastAsia="Times New Roman"/>
                <w:bCs/>
                <w:color w:val="000000"/>
                <w:sz w:val="24"/>
                <w:szCs w:val="24"/>
                <w:lang w:eastAsia="ru-RU"/>
              </w:rPr>
              <w:t>Приріст,%</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6738F0" w:rsidRPr="00006A39" w:rsidRDefault="006738F0" w:rsidP="001B3851">
            <w:pPr>
              <w:widowControl w:val="0"/>
              <w:spacing w:line="276" w:lineRule="auto"/>
              <w:jc w:val="center"/>
              <w:rPr>
                <w:rFonts w:eastAsia="Times New Roman"/>
                <w:bCs/>
                <w:color w:val="000000"/>
                <w:sz w:val="24"/>
                <w:szCs w:val="24"/>
                <w:lang w:eastAsia="ru-RU"/>
              </w:rPr>
            </w:pPr>
            <w:r w:rsidRPr="00006A39">
              <w:rPr>
                <w:rFonts w:eastAsia="Times New Roman"/>
                <w:bCs/>
                <w:color w:val="000000"/>
                <w:sz w:val="24"/>
                <w:szCs w:val="24"/>
                <w:lang w:eastAsia="ru-RU"/>
              </w:rPr>
              <w:t>2014р.</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6738F0" w:rsidRPr="00006A39" w:rsidRDefault="006738F0" w:rsidP="001B3851">
            <w:pPr>
              <w:widowControl w:val="0"/>
              <w:spacing w:line="276" w:lineRule="auto"/>
              <w:jc w:val="center"/>
              <w:rPr>
                <w:rFonts w:eastAsia="Times New Roman"/>
                <w:bCs/>
                <w:color w:val="000000"/>
                <w:sz w:val="24"/>
                <w:szCs w:val="24"/>
                <w:lang w:eastAsia="ru-RU"/>
              </w:rPr>
            </w:pPr>
            <w:r w:rsidRPr="00006A39">
              <w:rPr>
                <w:rFonts w:eastAsia="Times New Roman"/>
                <w:bCs/>
                <w:color w:val="000000"/>
                <w:sz w:val="24"/>
                <w:szCs w:val="24"/>
                <w:lang w:eastAsia="ru-RU"/>
              </w:rPr>
              <w:t>2018р.</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6738F0" w:rsidRPr="00006A39" w:rsidRDefault="006738F0" w:rsidP="001B3851">
            <w:pPr>
              <w:widowControl w:val="0"/>
              <w:spacing w:line="276" w:lineRule="auto"/>
              <w:jc w:val="center"/>
              <w:rPr>
                <w:rFonts w:eastAsia="Times New Roman"/>
                <w:bCs/>
                <w:color w:val="000000"/>
                <w:sz w:val="24"/>
                <w:szCs w:val="24"/>
                <w:lang w:eastAsia="ru-RU"/>
              </w:rPr>
            </w:pPr>
            <w:r w:rsidRPr="00006A39">
              <w:rPr>
                <w:rFonts w:eastAsia="Times New Roman"/>
                <w:bCs/>
                <w:color w:val="000000"/>
                <w:sz w:val="24"/>
                <w:szCs w:val="24"/>
                <w:lang w:eastAsia="ru-RU"/>
              </w:rPr>
              <w:t>Приріст,%</w:t>
            </w:r>
          </w:p>
        </w:tc>
      </w:tr>
      <w:tr w:rsidR="006738F0" w:rsidRPr="00006A39" w:rsidTr="003B67F9">
        <w:trPr>
          <w:trHeight w:val="227"/>
          <w:jc w:val="center"/>
        </w:trPr>
        <w:tc>
          <w:tcPr>
            <w:tcW w:w="0" w:type="auto"/>
            <w:tcBorders>
              <w:top w:val="single" w:sz="4" w:space="0" w:color="auto"/>
              <w:left w:val="single" w:sz="4" w:space="0" w:color="auto"/>
              <w:bottom w:val="single" w:sz="4" w:space="0" w:color="auto"/>
              <w:right w:val="single" w:sz="4" w:space="0" w:color="auto"/>
            </w:tcBorders>
            <w:shd w:val="clear" w:color="auto" w:fill="auto"/>
          </w:tcPr>
          <w:p w:rsidR="006738F0" w:rsidRPr="00006A39" w:rsidRDefault="006738F0" w:rsidP="001B3851">
            <w:pPr>
              <w:widowControl w:val="0"/>
              <w:spacing w:line="276" w:lineRule="auto"/>
              <w:rPr>
                <w:rFonts w:eastAsia="Times New Roman"/>
                <w:sz w:val="24"/>
                <w:szCs w:val="24"/>
                <w:lang w:eastAsia="ru-RU"/>
              </w:rPr>
            </w:pPr>
            <w:r w:rsidRPr="002A4861">
              <w:rPr>
                <w:rFonts w:eastAsia="Times New Roman"/>
                <w:color w:val="000000" w:themeColor="text1"/>
                <w:sz w:val="24"/>
                <w:szCs w:val="24"/>
                <w:lang w:eastAsia="ru-RU"/>
              </w:rPr>
              <w:t>П</w:t>
            </w:r>
            <w:r w:rsidRPr="00006A39">
              <w:rPr>
                <w:rFonts w:eastAsia="Times New Roman"/>
                <w:sz w:val="24"/>
                <w:szCs w:val="24"/>
                <w:lang w:eastAsia="ru-RU"/>
              </w:rPr>
              <w:t>едіатричні соматичні</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6738F0" w:rsidRPr="00006A39" w:rsidRDefault="006738F0" w:rsidP="001B3851">
            <w:pPr>
              <w:widowControl w:val="0"/>
              <w:spacing w:line="276" w:lineRule="auto"/>
              <w:jc w:val="center"/>
              <w:rPr>
                <w:rFonts w:eastAsia="Times New Roman"/>
                <w:bCs/>
                <w:color w:val="000000"/>
                <w:sz w:val="24"/>
                <w:szCs w:val="24"/>
                <w:lang w:eastAsia="ru-RU"/>
              </w:rPr>
            </w:pPr>
            <w:r w:rsidRPr="00006A39">
              <w:rPr>
                <w:rFonts w:eastAsia="Times New Roman"/>
                <w:bCs/>
                <w:color w:val="000000"/>
                <w:sz w:val="24"/>
                <w:szCs w:val="24"/>
                <w:lang w:eastAsia="ru-RU"/>
              </w:rPr>
              <w:t>17328</w:t>
            </w:r>
          </w:p>
        </w:tc>
        <w:tc>
          <w:tcPr>
            <w:tcW w:w="0" w:type="auto"/>
            <w:tcBorders>
              <w:top w:val="single" w:sz="4" w:space="0" w:color="auto"/>
              <w:left w:val="single" w:sz="4" w:space="0" w:color="auto"/>
              <w:bottom w:val="single" w:sz="4" w:space="0" w:color="auto"/>
              <w:right w:val="single" w:sz="4" w:space="0" w:color="auto"/>
            </w:tcBorders>
          </w:tcPr>
          <w:p w:rsidR="006738F0" w:rsidRPr="00006A39" w:rsidRDefault="006738F0" w:rsidP="001B3851">
            <w:pPr>
              <w:widowControl w:val="0"/>
              <w:spacing w:line="276" w:lineRule="auto"/>
              <w:jc w:val="center"/>
              <w:rPr>
                <w:rFonts w:eastAsia="Times New Roman"/>
                <w:bCs/>
                <w:color w:val="000000"/>
                <w:sz w:val="24"/>
                <w:szCs w:val="24"/>
                <w:lang w:eastAsia="ru-RU"/>
              </w:rPr>
            </w:pPr>
            <w:r w:rsidRPr="00006A39">
              <w:rPr>
                <w:rFonts w:eastAsia="Times New Roman"/>
                <w:bCs/>
                <w:color w:val="000000"/>
                <w:sz w:val="24"/>
                <w:szCs w:val="24"/>
                <w:lang w:eastAsia="ru-RU"/>
              </w:rPr>
              <w:t>15875</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-8,39</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6738F0" w:rsidRPr="00006A39" w:rsidRDefault="006738F0" w:rsidP="001B3851">
            <w:pPr>
              <w:widowControl w:val="0"/>
              <w:spacing w:line="276" w:lineRule="auto"/>
              <w:jc w:val="center"/>
              <w:rPr>
                <w:rFonts w:eastAsia="Times New Roman"/>
                <w:bCs/>
                <w:sz w:val="24"/>
                <w:szCs w:val="24"/>
                <w:lang w:eastAsia="ru-RU"/>
              </w:rPr>
            </w:pPr>
            <w:r w:rsidRPr="00006A39">
              <w:rPr>
                <w:rFonts w:eastAsia="Times New Roman"/>
                <w:bCs/>
                <w:sz w:val="24"/>
                <w:szCs w:val="24"/>
                <w:lang w:eastAsia="ru-RU"/>
              </w:rPr>
              <w:t>22,8</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6738F0" w:rsidRPr="00006A39" w:rsidRDefault="006738F0" w:rsidP="001B3851">
            <w:pPr>
              <w:widowControl w:val="0"/>
              <w:spacing w:line="276" w:lineRule="auto"/>
              <w:jc w:val="center"/>
              <w:rPr>
                <w:rFonts w:eastAsia="Times New Roman"/>
                <w:bCs/>
                <w:color w:val="000000"/>
                <w:sz w:val="24"/>
                <w:szCs w:val="24"/>
                <w:lang w:eastAsia="ru-RU"/>
              </w:rPr>
            </w:pPr>
            <w:r w:rsidRPr="00006A39">
              <w:rPr>
                <w:rFonts w:eastAsia="Times New Roman"/>
                <w:bCs/>
                <w:color w:val="000000"/>
                <w:sz w:val="24"/>
                <w:szCs w:val="24"/>
                <w:lang w:eastAsia="ru-RU"/>
              </w:rPr>
              <w:t>20,86</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-8,55</w:t>
            </w:r>
          </w:p>
        </w:tc>
      </w:tr>
      <w:tr w:rsidR="006738F0" w:rsidRPr="00006A39" w:rsidTr="003B67F9">
        <w:trPr>
          <w:trHeight w:val="227"/>
          <w:jc w:val="center"/>
        </w:trPr>
        <w:tc>
          <w:tcPr>
            <w:tcW w:w="0" w:type="auto"/>
            <w:tcBorders>
              <w:top w:val="single" w:sz="4" w:space="0" w:color="auto"/>
              <w:left w:val="single" w:sz="4" w:space="0" w:color="auto"/>
              <w:bottom w:val="single" w:sz="4" w:space="0" w:color="auto"/>
              <w:right w:val="single" w:sz="4" w:space="0" w:color="auto"/>
            </w:tcBorders>
            <w:shd w:val="clear" w:color="auto" w:fill="auto"/>
          </w:tcPr>
          <w:p w:rsidR="006738F0" w:rsidRPr="00006A39" w:rsidRDefault="006738F0" w:rsidP="001B3851">
            <w:pPr>
              <w:widowControl w:val="0"/>
              <w:spacing w:line="276" w:lineRule="auto"/>
              <w:rPr>
                <w:rFonts w:eastAsia="Times New Roman"/>
                <w:sz w:val="24"/>
                <w:szCs w:val="24"/>
                <w:lang w:eastAsia="ru-RU"/>
              </w:rPr>
            </w:pPr>
            <w:r w:rsidRPr="00006A39">
              <w:rPr>
                <w:rFonts w:eastAsia="Times New Roman"/>
                <w:sz w:val="24"/>
                <w:szCs w:val="24"/>
                <w:lang w:eastAsia="ru-RU"/>
              </w:rPr>
              <w:t>Кардіоревматологічні</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902</w:t>
            </w:r>
          </w:p>
        </w:tc>
        <w:tc>
          <w:tcPr>
            <w:tcW w:w="0" w:type="auto"/>
            <w:tcBorders>
              <w:top w:val="single" w:sz="4" w:space="0" w:color="auto"/>
              <w:left w:val="single" w:sz="4" w:space="0" w:color="auto"/>
              <w:bottom w:val="single" w:sz="4" w:space="0" w:color="auto"/>
              <w:right w:val="single" w:sz="4" w:space="0" w:color="auto"/>
            </w:tcBorders>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864</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-4,21</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6738F0" w:rsidRPr="00006A39" w:rsidRDefault="006738F0" w:rsidP="001B3851">
            <w:pPr>
              <w:widowControl w:val="0"/>
              <w:spacing w:line="276" w:lineRule="auto"/>
              <w:jc w:val="center"/>
              <w:rPr>
                <w:rFonts w:eastAsia="Times New Roman"/>
                <w:sz w:val="24"/>
                <w:szCs w:val="24"/>
                <w:lang w:eastAsia="ru-RU"/>
              </w:rPr>
            </w:pPr>
            <w:r w:rsidRPr="00006A39">
              <w:rPr>
                <w:rFonts w:eastAsia="Times New Roman"/>
                <w:sz w:val="24"/>
                <w:szCs w:val="24"/>
                <w:lang w:eastAsia="ru-RU"/>
              </w:rPr>
              <w:t>1,19</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1,14</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-4,20</w:t>
            </w:r>
          </w:p>
        </w:tc>
      </w:tr>
      <w:tr w:rsidR="006738F0" w:rsidRPr="00006A39" w:rsidTr="003B67F9">
        <w:trPr>
          <w:trHeight w:val="227"/>
          <w:jc w:val="center"/>
        </w:trPr>
        <w:tc>
          <w:tcPr>
            <w:tcW w:w="0" w:type="auto"/>
            <w:tcBorders>
              <w:top w:val="single" w:sz="4" w:space="0" w:color="auto"/>
              <w:left w:val="single" w:sz="4" w:space="0" w:color="auto"/>
              <w:bottom w:val="single" w:sz="4" w:space="0" w:color="auto"/>
              <w:right w:val="single" w:sz="4" w:space="0" w:color="auto"/>
            </w:tcBorders>
            <w:shd w:val="clear" w:color="auto" w:fill="auto"/>
          </w:tcPr>
          <w:p w:rsidR="006738F0" w:rsidRPr="00006A39" w:rsidRDefault="006738F0" w:rsidP="001B3851">
            <w:pPr>
              <w:widowControl w:val="0"/>
              <w:spacing w:line="276" w:lineRule="auto"/>
              <w:rPr>
                <w:rFonts w:eastAsia="Times New Roman"/>
                <w:sz w:val="24"/>
                <w:szCs w:val="24"/>
                <w:lang w:eastAsia="ru-RU"/>
              </w:rPr>
            </w:pPr>
            <w:r w:rsidRPr="00006A39">
              <w:rPr>
                <w:rFonts w:eastAsia="Times New Roman"/>
                <w:sz w:val="24"/>
                <w:szCs w:val="24"/>
                <w:lang w:eastAsia="ru-RU"/>
              </w:rPr>
              <w:t>Ревматологічні</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35</w:t>
            </w:r>
          </w:p>
        </w:tc>
        <w:tc>
          <w:tcPr>
            <w:tcW w:w="0" w:type="auto"/>
            <w:tcBorders>
              <w:top w:val="single" w:sz="4" w:space="0" w:color="auto"/>
              <w:left w:val="single" w:sz="4" w:space="0" w:color="auto"/>
              <w:bottom w:val="single" w:sz="4" w:space="0" w:color="auto"/>
              <w:right w:val="single" w:sz="4" w:space="0" w:color="auto"/>
            </w:tcBorders>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35</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0,00</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6738F0" w:rsidRPr="00006A39" w:rsidRDefault="006738F0" w:rsidP="001B3851">
            <w:pPr>
              <w:widowControl w:val="0"/>
              <w:spacing w:line="276" w:lineRule="auto"/>
              <w:jc w:val="center"/>
              <w:rPr>
                <w:rFonts w:eastAsia="Times New Roman"/>
                <w:sz w:val="24"/>
                <w:szCs w:val="24"/>
                <w:lang w:eastAsia="ru-RU"/>
              </w:rPr>
            </w:pPr>
            <w:r w:rsidRPr="00006A39">
              <w:rPr>
                <w:rFonts w:eastAsia="Times New Roman"/>
                <w:sz w:val="24"/>
                <w:szCs w:val="24"/>
                <w:lang w:eastAsia="ru-RU"/>
              </w:rPr>
              <w:t>0,05</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0,05</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0,00</w:t>
            </w:r>
          </w:p>
        </w:tc>
      </w:tr>
      <w:tr w:rsidR="006738F0" w:rsidRPr="00006A39" w:rsidTr="003B67F9">
        <w:trPr>
          <w:trHeight w:val="227"/>
          <w:jc w:val="center"/>
        </w:trPr>
        <w:tc>
          <w:tcPr>
            <w:tcW w:w="0" w:type="auto"/>
            <w:tcBorders>
              <w:top w:val="single" w:sz="4" w:space="0" w:color="auto"/>
              <w:left w:val="single" w:sz="4" w:space="0" w:color="auto"/>
              <w:bottom w:val="single" w:sz="4" w:space="0" w:color="auto"/>
              <w:right w:val="single" w:sz="4" w:space="0" w:color="auto"/>
            </w:tcBorders>
            <w:shd w:val="clear" w:color="auto" w:fill="auto"/>
          </w:tcPr>
          <w:p w:rsidR="006738F0" w:rsidRPr="00006A39" w:rsidRDefault="006738F0" w:rsidP="001B3851">
            <w:pPr>
              <w:widowControl w:val="0"/>
              <w:spacing w:line="276" w:lineRule="auto"/>
              <w:rPr>
                <w:rFonts w:eastAsia="Times New Roman"/>
                <w:sz w:val="24"/>
                <w:szCs w:val="24"/>
                <w:lang w:eastAsia="ru-RU"/>
              </w:rPr>
            </w:pPr>
            <w:r w:rsidRPr="00006A39">
              <w:rPr>
                <w:rFonts w:eastAsia="Times New Roman"/>
                <w:sz w:val="24"/>
                <w:szCs w:val="24"/>
                <w:lang w:eastAsia="ru-RU"/>
              </w:rPr>
              <w:t>Пульмонологічні</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753</w:t>
            </w:r>
          </w:p>
        </w:tc>
        <w:tc>
          <w:tcPr>
            <w:tcW w:w="0" w:type="auto"/>
            <w:tcBorders>
              <w:top w:val="single" w:sz="4" w:space="0" w:color="auto"/>
              <w:left w:val="single" w:sz="4" w:space="0" w:color="auto"/>
              <w:bottom w:val="single" w:sz="4" w:space="0" w:color="auto"/>
              <w:right w:val="single" w:sz="4" w:space="0" w:color="auto"/>
            </w:tcBorders>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750</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-0,40</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6738F0" w:rsidRPr="00006A39" w:rsidRDefault="006738F0" w:rsidP="001B3851">
            <w:pPr>
              <w:widowControl w:val="0"/>
              <w:spacing w:line="276" w:lineRule="auto"/>
              <w:jc w:val="center"/>
              <w:rPr>
                <w:rFonts w:eastAsia="Times New Roman"/>
                <w:sz w:val="24"/>
                <w:szCs w:val="24"/>
                <w:lang w:eastAsia="ru-RU"/>
              </w:rPr>
            </w:pPr>
            <w:r w:rsidRPr="00006A39">
              <w:rPr>
                <w:rFonts w:eastAsia="Times New Roman"/>
                <w:sz w:val="24"/>
                <w:szCs w:val="24"/>
                <w:lang w:eastAsia="ru-RU"/>
              </w:rPr>
              <w:t>0,99</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0,99</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0,00</w:t>
            </w:r>
          </w:p>
        </w:tc>
      </w:tr>
      <w:tr w:rsidR="006738F0" w:rsidRPr="00006A39" w:rsidTr="003B67F9">
        <w:trPr>
          <w:trHeight w:val="227"/>
          <w:jc w:val="center"/>
        </w:trPr>
        <w:tc>
          <w:tcPr>
            <w:tcW w:w="0" w:type="auto"/>
            <w:tcBorders>
              <w:top w:val="single" w:sz="4" w:space="0" w:color="auto"/>
              <w:left w:val="single" w:sz="4" w:space="0" w:color="auto"/>
              <w:bottom w:val="single" w:sz="4" w:space="0" w:color="auto"/>
              <w:right w:val="single" w:sz="4" w:space="0" w:color="auto"/>
            </w:tcBorders>
            <w:shd w:val="clear" w:color="auto" w:fill="auto"/>
          </w:tcPr>
          <w:p w:rsidR="006738F0" w:rsidRPr="00006A39" w:rsidRDefault="006738F0" w:rsidP="001B3851">
            <w:pPr>
              <w:widowControl w:val="0"/>
              <w:spacing w:line="276" w:lineRule="auto"/>
              <w:rPr>
                <w:rFonts w:eastAsia="Times New Roman"/>
                <w:sz w:val="24"/>
                <w:szCs w:val="24"/>
                <w:lang w:eastAsia="ru-RU"/>
              </w:rPr>
            </w:pPr>
            <w:r w:rsidRPr="00006A39">
              <w:rPr>
                <w:rFonts w:eastAsia="Times New Roman"/>
                <w:sz w:val="24"/>
                <w:szCs w:val="24"/>
                <w:lang w:eastAsia="ru-RU"/>
              </w:rPr>
              <w:t>Гастроентерологічні</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894</w:t>
            </w:r>
          </w:p>
        </w:tc>
        <w:tc>
          <w:tcPr>
            <w:tcW w:w="0" w:type="auto"/>
            <w:tcBorders>
              <w:top w:val="single" w:sz="4" w:space="0" w:color="auto"/>
              <w:left w:val="single" w:sz="4" w:space="0" w:color="auto"/>
              <w:bottom w:val="single" w:sz="4" w:space="0" w:color="auto"/>
              <w:right w:val="single" w:sz="4" w:space="0" w:color="auto"/>
            </w:tcBorders>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825</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-7,72</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6738F0" w:rsidRPr="00006A39" w:rsidRDefault="006738F0" w:rsidP="001B3851">
            <w:pPr>
              <w:widowControl w:val="0"/>
              <w:spacing w:line="276" w:lineRule="auto"/>
              <w:jc w:val="center"/>
              <w:rPr>
                <w:rFonts w:eastAsia="Times New Roman"/>
                <w:sz w:val="24"/>
                <w:szCs w:val="24"/>
                <w:lang w:eastAsia="ru-RU"/>
              </w:rPr>
            </w:pPr>
            <w:r w:rsidRPr="00006A39">
              <w:rPr>
                <w:rFonts w:eastAsia="Times New Roman"/>
                <w:sz w:val="24"/>
                <w:szCs w:val="24"/>
                <w:lang w:eastAsia="ru-RU"/>
              </w:rPr>
              <w:t>1,18</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1,08</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-8,47</w:t>
            </w:r>
          </w:p>
        </w:tc>
      </w:tr>
      <w:tr w:rsidR="006738F0" w:rsidRPr="00006A39" w:rsidTr="003B67F9">
        <w:trPr>
          <w:trHeight w:val="227"/>
          <w:jc w:val="center"/>
        </w:trPr>
        <w:tc>
          <w:tcPr>
            <w:tcW w:w="0" w:type="auto"/>
            <w:tcBorders>
              <w:top w:val="single" w:sz="4" w:space="0" w:color="auto"/>
              <w:left w:val="single" w:sz="4" w:space="0" w:color="auto"/>
              <w:bottom w:val="single" w:sz="4" w:space="0" w:color="auto"/>
              <w:right w:val="single" w:sz="4" w:space="0" w:color="auto"/>
            </w:tcBorders>
            <w:shd w:val="clear" w:color="auto" w:fill="auto"/>
          </w:tcPr>
          <w:p w:rsidR="006738F0" w:rsidRPr="00006A39" w:rsidRDefault="002A4861" w:rsidP="001B3851">
            <w:pPr>
              <w:widowControl w:val="0"/>
              <w:spacing w:line="276" w:lineRule="auto"/>
              <w:rPr>
                <w:rFonts w:eastAsia="Times New Roman"/>
                <w:sz w:val="24"/>
                <w:szCs w:val="24"/>
                <w:lang w:eastAsia="ru-RU"/>
              </w:rPr>
            </w:pPr>
            <w:r>
              <w:rPr>
                <w:rFonts w:eastAsia="Times New Roman"/>
                <w:sz w:val="24"/>
                <w:szCs w:val="24"/>
                <w:lang w:eastAsia="ru-RU"/>
              </w:rPr>
              <w:t>А</w:t>
            </w:r>
            <w:r w:rsidR="006738F0" w:rsidRPr="00006A39">
              <w:rPr>
                <w:rFonts w:eastAsia="Times New Roman"/>
                <w:sz w:val="24"/>
                <w:szCs w:val="24"/>
                <w:lang w:eastAsia="ru-RU"/>
              </w:rPr>
              <w:t>лергологічні</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639</w:t>
            </w:r>
          </w:p>
        </w:tc>
        <w:tc>
          <w:tcPr>
            <w:tcW w:w="0" w:type="auto"/>
            <w:tcBorders>
              <w:top w:val="single" w:sz="4" w:space="0" w:color="auto"/>
              <w:left w:val="single" w:sz="4" w:space="0" w:color="auto"/>
              <w:bottom w:val="single" w:sz="4" w:space="0" w:color="auto"/>
              <w:right w:val="single" w:sz="4" w:space="0" w:color="auto"/>
            </w:tcBorders>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566</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-11,42</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6738F0" w:rsidRPr="00006A39" w:rsidRDefault="006738F0" w:rsidP="001B3851">
            <w:pPr>
              <w:widowControl w:val="0"/>
              <w:spacing w:line="276" w:lineRule="auto"/>
              <w:jc w:val="center"/>
              <w:rPr>
                <w:rFonts w:eastAsia="Times New Roman"/>
                <w:sz w:val="24"/>
                <w:szCs w:val="24"/>
                <w:lang w:eastAsia="ru-RU"/>
              </w:rPr>
            </w:pPr>
            <w:r w:rsidRPr="00006A39">
              <w:rPr>
                <w:rFonts w:eastAsia="Times New Roman"/>
                <w:sz w:val="24"/>
                <w:szCs w:val="24"/>
                <w:lang w:eastAsia="ru-RU"/>
              </w:rPr>
              <w:t>0,84</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0,74</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-11,90</w:t>
            </w:r>
          </w:p>
        </w:tc>
      </w:tr>
      <w:tr w:rsidR="006738F0" w:rsidRPr="00006A39" w:rsidTr="003B67F9">
        <w:trPr>
          <w:trHeight w:val="227"/>
          <w:jc w:val="center"/>
        </w:trPr>
        <w:tc>
          <w:tcPr>
            <w:tcW w:w="0" w:type="auto"/>
            <w:tcBorders>
              <w:top w:val="single" w:sz="4" w:space="0" w:color="auto"/>
              <w:left w:val="single" w:sz="4" w:space="0" w:color="auto"/>
              <w:bottom w:val="single" w:sz="4" w:space="0" w:color="auto"/>
              <w:right w:val="single" w:sz="4" w:space="0" w:color="auto"/>
            </w:tcBorders>
            <w:shd w:val="clear" w:color="auto" w:fill="auto"/>
          </w:tcPr>
          <w:p w:rsidR="006738F0" w:rsidRPr="00006A39" w:rsidRDefault="002A4861" w:rsidP="001B3851">
            <w:pPr>
              <w:widowControl w:val="0"/>
              <w:spacing w:line="276" w:lineRule="auto"/>
              <w:rPr>
                <w:rFonts w:eastAsia="Times New Roman"/>
                <w:sz w:val="24"/>
                <w:szCs w:val="24"/>
                <w:lang w:eastAsia="ru-RU"/>
              </w:rPr>
            </w:pPr>
            <w:r>
              <w:rPr>
                <w:rFonts w:eastAsia="Times New Roman"/>
                <w:sz w:val="24"/>
                <w:szCs w:val="24"/>
                <w:lang w:eastAsia="ru-RU"/>
              </w:rPr>
              <w:t>І</w:t>
            </w:r>
            <w:r w:rsidR="006738F0" w:rsidRPr="00006A39">
              <w:rPr>
                <w:rFonts w:eastAsia="Times New Roman"/>
                <w:sz w:val="24"/>
                <w:szCs w:val="24"/>
                <w:lang w:eastAsia="ru-RU"/>
              </w:rPr>
              <w:t>мунологічні</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191</w:t>
            </w:r>
          </w:p>
        </w:tc>
        <w:tc>
          <w:tcPr>
            <w:tcW w:w="0" w:type="auto"/>
            <w:tcBorders>
              <w:top w:val="single" w:sz="4" w:space="0" w:color="auto"/>
              <w:left w:val="single" w:sz="4" w:space="0" w:color="auto"/>
              <w:bottom w:val="single" w:sz="4" w:space="0" w:color="auto"/>
              <w:right w:val="single" w:sz="4" w:space="0" w:color="auto"/>
            </w:tcBorders>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184</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-3,66</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6738F0" w:rsidRPr="00006A39" w:rsidRDefault="006738F0" w:rsidP="001B3851">
            <w:pPr>
              <w:widowControl w:val="0"/>
              <w:spacing w:line="276" w:lineRule="auto"/>
              <w:jc w:val="center"/>
              <w:rPr>
                <w:rFonts w:eastAsia="Times New Roman"/>
                <w:sz w:val="24"/>
                <w:szCs w:val="24"/>
                <w:lang w:eastAsia="ru-RU"/>
              </w:rPr>
            </w:pPr>
            <w:r w:rsidRPr="00006A39">
              <w:rPr>
                <w:rFonts w:eastAsia="Times New Roman"/>
                <w:sz w:val="24"/>
                <w:szCs w:val="24"/>
                <w:lang w:eastAsia="ru-RU"/>
              </w:rPr>
              <w:t>0,25</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0,24</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-4,00</w:t>
            </w:r>
          </w:p>
        </w:tc>
      </w:tr>
      <w:tr w:rsidR="006738F0" w:rsidRPr="00006A39" w:rsidTr="003B67F9">
        <w:trPr>
          <w:trHeight w:val="227"/>
          <w:jc w:val="center"/>
        </w:trPr>
        <w:tc>
          <w:tcPr>
            <w:tcW w:w="0" w:type="auto"/>
            <w:tcBorders>
              <w:top w:val="single" w:sz="4" w:space="0" w:color="auto"/>
              <w:left w:val="single" w:sz="4" w:space="0" w:color="auto"/>
              <w:bottom w:val="single" w:sz="4" w:space="0" w:color="auto"/>
              <w:right w:val="single" w:sz="4" w:space="0" w:color="auto"/>
            </w:tcBorders>
            <w:shd w:val="clear" w:color="auto" w:fill="auto"/>
          </w:tcPr>
          <w:p w:rsidR="006738F0" w:rsidRPr="00006A39" w:rsidRDefault="002A4861" w:rsidP="001B3851">
            <w:pPr>
              <w:widowControl w:val="0"/>
              <w:spacing w:line="276" w:lineRule="auto"/>
              <w:rPr>
                <w:rFonts w:eastAsia="Times New Roman"/>
                <w:sz w:val="24"/>
                <w:szCs w:val="24"/>
                <w:lang w:eastAsia="ru-RU"/>
              </w:rPr>
            </w:pPr>
            <w:r>
              <w:rPr>
                <w:rFonts w:eastAsia="Times New Roman"/>
                <w:sz w:val="24"/>
                <w:szCs w:val="24"/>
                <w:lang w:eastAsia="ru-RU"/>
              </w:rPr>
              <w:t>Е</w:t>
            </w:r>
            <w:r w:rsidR="006738F0" w:rsidRPr="00006A39">
              <w:rPr>
                <w:rFonts w:eastAsia="Times New Roman"/>
                <w:sz w:val="24"/>
                <w:szCs w:val="24"/>
                <w:lang w:eastAsia="ru-RU"/>
              </w:rPr>
              <w:t>ндокринологічні</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509</w:t>
            </w:r>
          </w:p>
        </w:tc>
        <w:tc>
          <w:tcPr>
            <w:tcW w:w="0" w:type="auto"/>
            <w:tcBorders>
              <w:top w:val="single" w:sz="4" w:space="0" w:color="auto"/>
              <w:left w:val="single" w:sz="4" w:space="0" w:color="auto"/>
              <w:bottom w:val="single" w:sz="4" w:space="0" w:color="auto"/>
              <w:right w:val="single" w:sz="4" w:space="0" w:color="auto"/>
            </w:tcBorders>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517</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1,57</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6738F0" w:rsidRPr="00006A39" w:rsidRDefault="006738F0" w:rsidP="001B3851">
            <w:pPr>
              <w:widowControl w:val="0"/>
              <w:spacing w:line="276" w:lineRule="auto"/>
              <w:jc w:val="center"/>
              <w:rPr>
                <w:rFonts w:eastAsia="Times New Roman"/>
                <w:sz w:val="24"/>
                <w:szCs w:val="24"/>
                <w:lang w:eastAsia="ru-RU"/>
              </w:rPr>
            </w:pPr>
            <w:r w:rsidRPr="00006A39">
              <w:rPr>
                <w:rFonts w:eastAsia="Times New Roman"/>
                <w:sz w:val="24"/>
                <w:szCs w:val="24"/>
                <w:lang w:eastAsia="ru-RU"/>
              </w:rPr>
              <w:t>0,67</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0,68</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1,49</w:t>
            </w:r>
          </w:p>
        </w:tc>
      </w:tr>
      <w:tr w:rsidR="006738F0" w:rsidRPr="00006A39" w:rsidTr="003B67F9">
        <w:trPr>
          <w:trHeight w:val="227"/>
          <w:jc w:val="center"/>
        </w:trPr>
        <w:tc>
          <w:tcPr>
            <w:tcW w:w="0" w:type="auto"/>
            <w:tcBorders>
              <w:top w:val="single" w:sz="4" w:space="0" w:color="auto"/>
              <w:left w:val="single" w:sz="4" w:space="0" w:color="auto"/>
              <w:bottom w:val="single" w:sz="4" w:space="0" w:color="auto"/>
              <w:right w:val="single" w:sz="4" w:space="0" w:color="auto"/>
            </w:tcBorders>
            <w:shd w:val="clear" w:color="auto" w:fill="auto"/>
          </w:tcPr>
          <w:p w:rsidR="006738F0" w:rsidRPr="00006A39" w:rsidRDefault="002A4861" w:rsidP="001B3851">
            <w:pPr>
              <w:widowControl w:val="0"/>
              <w:spacing w:line="276" w:lineRule="auto"/>
              <w:rPr>
                <w:rFonts w:eastAsia="Times New Roman"/>
                <w:sz w:val="24"/>
                <w:szCs w:val="24"/>
                <w:lang w:eastAsia="ru-RU"/>
              </w:rPr>
            </w:pPr>
            <w:r>
              <w:rPr>
                <w:rFonts w:eastAsia="Times New Roman"/>
                <w:sz w:val="24"/>
                <w:szCs w:val="24"/>
                <w:lang w:eastAsia="ru-RU"/>
              </w:rPr>
              <w:t>Г</w:t>
            </w:r>
            <w:r w:rsidR="006738F0" w:rsidRPr="00006A39">
              <w:rPr>
                <w:rFonts w:eastAsia="Times New Roman"/>
                <w:sz w:val="24"/>
                <w:szCs w:val="24"/>
                <w:lang w:eastAsia="ru-RU"/>
              </w:rPr>
              <w:t>ематологічні</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575</w:t>
            </w:r>
          </w:p>
        </w:tc>
        <w:tc>
          <w:tcPr>
            <w:tcW w:w="0" w:type="auto"/>
            <w:tcBorders>
              <w:top w:val="single" w:sz="4" w:space="0" w:color="auto"/>
              <w:left w:val="single" w:sz="4" w:space="0" w:color="auto"/>
              <w:bottom w:val="single" w:sz="4" w:space="0" w:color="auto"/>
              <w:right w:val="single" w:sz="4" w:space="0" w:color="auto"/>
            </w:tcBorders>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585</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1,74</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6738F0" w:rsidRPr="00006A39" w:rsidRDefault="006738F0" w:rsidP="001B3851">
            <w:pPr>
              <w:widowControl w:val="0"/>
              <w:spacing w:line="276" w:lineRule="auto"/>
              <w:jc w:val="center"/>
              <w:rPr>
                <w:rFonts w:eastAsia="Times New Roman"/>
                <w:sz w:val="24"/>
                <w:szCs w:val="24"/>
                <w:lang w:eastAsia="ru-RU"/>
              </w:rPr>
            </w:pPr>
            <w:r w:rsidRPr="00006A39">
              <w:rPr>
                <w:rFonts w:eastAsia="Times New Roman"/>
                <w:sz w:val="24"/>
                <w:szCs w:val="24"/>
                <w:lang w:eastAsia="ru-RU"/>
              </w:rPr>
              <w:t>0,76</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0,77</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1,32</w:t>
            </w:r>
          </w:p>
        </w:tc>
      </w:tr>
      <w:tr w:rsidR="006738F0" w:rsidRPr="00006A39" w:rsidTr="003B67F9">
        <w:trPr>
          <w:trHeight w:val="227"/>
          <w:jc w:val="center"/>
        </w:trPr>
        <w:tc>
          <w:tcPr>
            <w:tcW w:w="0" w:type="auto"/>
            <w:tcBorders>
              <w:top w:val="single" w:sz="4" w:space="0" w:color="auto"/>
              <w:left w:val="single" w:sz="4" w:space="0" w:color="auto"/>
              <w:bottom w:val="single" w:sz="4" w:space="0" w:color="auto"/>
              <w:right w:val="single" w:sz="4" w:space="0" w:color="auto"/>
            </w:tcBorders>
            <w:shd w:val="clear" w:color="auto" w:fill="auto"/>
          </w:tcPr>
          <w:p w:rsidR="006738F0" w:rsidRPr="00006A39" w:rsidRDefault="002A4861" w:rsidP="001B3851">
            <w:pPr>
              <w:widowControl w:val="0"/>
              <w:spacing w:line="276" w:lineRule="auto"/>
              <w:rPr>
                <w:rFonts w:eastAsia="Times New Roman"/>
                <w:sz w:val="24"/>
                <w:szCs w:val="24"/>
                <w:lang w:eastAsia="ru-RU"/>
              </w:rPr>
            </w:pPr>
            <w:r>
              <w:rPr>
                <w:rFonts w:eastAsia="Times New Roman"/>
                <w:sz w:val="24"/>
                <w:szCs w:val="24"/>
                <w:lang w:eastAsia="ru-RU"/>
              </w:rPr>
              <w:t>Н</w:t>
            </w:r>
            <w:r w:rsidR="006738F0" w:rsidRPr="00006A39">
              <w:rPr>
                <w:rFonts w:eastAsia="Times New Roman"/>
                <w:sz w:val="24"/>
                <w:szCs w:val="24"/>
                <w:lang w:eastAsia="ru-RU"/>
              </w:rPr>
              <w:t>ефрологічні</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815</w:t>
            </w:r>
          </w:p>
        </w:tc>
        <w:tc>
          <w:tcPr>
            <w:tcW w:w="0" w:type="auto"/>
            <w:tcBorders>
              <w:top w:val="single" w:sz="4" w:space="0" w:color="auto"/>
              <w:left w:val="single" w:sz="4" w:space="0" w:color="auto"/>
              <w:bottom w:val="single" w:sz="4" w:space="0" w:color="auto"/>
              <w:right w:val="single" w:sz="4" w:space="0" w:color="auto"/>
            </w:tcBorders>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765</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-6,13</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6738F0" w:rsidRPr="00006A39" w:rsidRDefault="006738F0" w:rsidP="001B3851">
            <w:pPr>
              <w:widowControl w:val="0"/>
              <w:spacing w:line="276" w:lineRule="auto"/>
              <w:jc w:val="center"/>
              <w:rPr>
                <w:rFonts w:eastAsia="Times New Roman"/>
                <w:sz w:val="24"/>
                <w:szCs w:val="24"/>
                <w:lang w:eastAsia="ru-RU"/>
              </w:rPr>
            </w:pPr>
            <w:r w:rsidRPr="00006A39">
              <w:rPr>
                <w:rFonts w:eastAsia="Times New Roman"/>
                <w:sz w:val="24"/>
                <w:szCs w:val="24"/>
                <w:lang w:eastAsia="ru-RU"/>
              </w:rPr>
              <w:t>1,07</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1,01</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-5,61</w:t>
            </w:r>
          </w:p>
        </w:tc>
      </w:tr>
      <w:tr w:rsidR="006738F0" w:rsidRPr="00006A39" w:rsidTr="003B67F9">
        <w:trPr>
          <w:trHeight w:val="227"/>
          <w:jc w:val="center"/>
        </w:trPr>
        <w:tc>
          <w:tcPr>
            <w:tcW w:w="0" w:type="auto"/>
            <w:tcBorders>
              <w:top w:val="single" w:sz="4" w:space="0" w:color="auto"/>
              <w:left w:val="single" w:sz="4" w:space="0" w:color="auto"/>
              <w:bottom w:val="single" w:sz="4" w:space="0" w:color="auto"/>
              <w:right w:val="single" w:sz="4" w:space="0" w:color="auto"/>
            </w:tcBorders>
            <w:shd w:val="clear" w:color="auto" w:fill="auto"/>
          </w:tcPr>
          <w:p w:rsidR="006738F0" w:rsidRPr="00006A39" w:rsidRDefault="002A4861" w:rsidP="001B3851">
            <w:pPr>
              <w:widowControl w:val="0"/>
              <w:spacing w:line="276" w:lineRule="auto"/>
              <w:rPr>
                <w:rFonts w:eastAsia="Times New Roman"/>
                <w:sz w:val="24"/>
                <w:szCs w:val="24"/>
                <w:lang w:eastAsia="ru-RU"/>
              </w:rPr>
            </w:pPr>
            <w:r>
              <w:rPr>
                <w:rFonts w:eastAsia="Times New Roman"/>
                <w:sz w:val="24"/>
                <w:szCs w:val="24"/>
                <w:lang w:eastAsia="ru-RU"/>
              </w:rPr>
              <w:t>І</w:t>
            </w:r>
            <w:r w:rsidR="006738F0" w:rsidRPr="00006A39">
              <w:rPr>
                <w:rFonts w:eastAsia="Times New Roman"/>
                <w:sz w:val="24"/>
                <w:szCs w:val="24"/>
                <w:lang w:eastAsia="ru-RU"/>
              </w:rPr>
              <w:t>нфекційні</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8460</w:t>
            </w:r>
          </w:p>
        </w:tc>
        <w:tc>
          <w:tcPr>
            <w:tcW w:w="0" w:type="auto"/>
            <w:tcBorders>
              <w:top w:val="single" w:sz="4" w:space="0" w:color="auto"/>
              <w:left w:val="single" w:sz="4" w:space="0" w:color="auto"/>
              <w:bottom w:val="single" w:sz="4" w:space="0" w:color="auto"/>
              <w:right w:val="single" w:sz="4" w:space="0" w:color="auto"/>
            </w:tcBorders>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7590</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-10,28</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6738F0" w:rsidRPr="00006A39" w:rsidRDefault="006738F0" w:rsidP="001B3851">
            <w:pPr>
              <w:widowControl w:val="0"/>
              <w:spacing w:line="276" w:lineRule="auto"/>
              <w:jc w:val="center"/>
              <w:rPr>
                <w:rFonts w:eastAsia="Times New Roman"/>
                <w:sz w:val="24"/>
                <w:szCs w:val="24"/>
                <w:lang w:eastAsia="ru-RU"/>
              </w:rPr>
            </w:pPr>
            <w:r w:rsidRPr="00006A39">
              <w:rPr>
                <w:rFonts w:eastAsia="Times New Roman"/>
                <w:sz w:val="24"/>
                <w:szCs w:val="24"/>
                <w:lang w:eastAsia="ru-RU"/>
              </w:rPr>
              <w:t>11,14</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9,87</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-11,40</w:t>
            </w:r>
          </w:p>
        </w:tc>
      </w:tr>
      <w:tr w:rsidR="006738F0" w:rsidRPr="00006A39" w:rsidTr="003B67F9">
        <w:trPr>
          <w:trHeight w:val="227"/>
          <w:jc w:val="center"/>
        </w:trPr>
        <w:tc>
          <w:tcPr>
            <w:tcW w:w="0" w:type="auto"/>
            <w:tcBorders>
              <w:top w:val="single" w:sz="4" w:space="0" w:color="auto"/>
              <w:left w:val="single" w:sz="4" w:space="0" w:color="auto"/>
              <w:bottom w:val="single" w:sz="4" w:space="0" w:color="auto"/>
              <w:right w:val="single" w:sz="4" w:space="0" w:color="auto"/>
            </w:tcBorders>
            <w:shd w:val="clear" w:color="auto" w:fill="auto"/>
          </w:tcPr>
          <w:p w:rsidR="006738F0" w:rsidRPr="00006A39" w:rsidRDefault="002A4861" w:rsidP="001B3851">
            <w:pPr>
              <w:widowControl w:val="0"/>
              <w:spacing w:line="276" w:lineRule="auto"/>
              <w:rPr>
                <w:rFonts w:eastAsia="Times New Roman"/>
                <w:sz w:val="24"/>
                <w:szCs w:val="24"/>
                <w:lang w:eastAsia="ru-RU"/>
              </w:rPr>
            </w:pPr>
            <w:r>
              <w:rPr>
                <w:rFonts w:eastAsia="Times New Roman"/>
                <w:sz w:val="24"/>
                <w:szCs w:val="24"/>
                <w:lang w:eastAsia="ru-RU"/>
              </w:rPr>
              <w:t>Х</w:t>
            </w:r>
            <w:r w:rsidR="006738F0" w:rsidRPr="00006A39">
              <w:rPr>
                <w:rFonts w:eastAsia="Times New Roman"/>
                <w:sz w:val="24"/>
                <w:szCs w:val="24"/>
                <w:lang w:eastAsia="ru-RU"/>
              </w:rPr>
              <w:t>ірургічні</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1348</w:t>
            </w:r>
          </w:p>
        </w:tc>
        <w:tc>
          <w:tcPr>
            <w:tcW w:w="0" w:type="auto"/>
            <w:tcBorders>
              <w:top w:val="single" w:sz="4" w:space="0" w:color="auto"/>
              <w:left w:val="single" w:sz="4" w:space="0" w:color="auto"/>
              <w:bottom w:val="single" w:sz="4" w:space="0" w:color="auto"/>
              <w:right w:val="single" w:sz="4" w:space="0" w:color="auto"/>
            </w:tcBorders>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1278</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-5,19</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6738F0" w:rsidRPr="00006A39" w:rsidRDefault="006738F0" w:rsidP="001B3851">
            <w:pPr>
              <w:widowControl w:val="0"/>
              <w:spacing w:line="276" w:lineRule="auto"/>
              <w:jc w:val="center"/>
              <w:rPr>
                <w:rFonts w:eastAsia="Times New Roman"/>
                <w:sz w:val="24"/>
                <w:szCs w:val="24"/>
                <w:lang w:eastAsia="ru-RU"/>
              </w:rPr>
            </w:pPr>
            <w:r w:rsidRPr="00006A39">
              <w:rPr>
                <w:rFonts w:eastAsia="Times New Roman"/>
                <w:sz w:val="24"/>
                <w:szCs w:val="24"/>
                <w:lang w:eastAsia="ru-RU"/>
              </w:rPr>
              <w:t>1,77</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1,68</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-5,08</w:t>
            </w:r>
          </w:p>
        </w:tc>
      </w:tr>
      <w:tr w:rsidR="006738F0" w:rsidRPr="00006A39" w:rsidTr="003B67F9">
        <w:trPr>
          <w:trHeight w:val="227"/>
          <w:jc w:val="center"/>
        </w:trPr>
        <w:tc>
          <w:tcPr>
            <w:tcW w:w="0" w:type="auto"/>
            <w:tcBorders>
              <w:top w:val="single" w:sz="4" w:space="0" w:color="auto"/>
              <w:left w:val="single" w:sz="4" w:space="0" w:color="auto"/>
              <w:bottom w:val="single" w:sz="4" w:space="0" w:color="auto"/>
              <w:right w:val="single" w:sz="4" w:space="0" w:color="auto"/>
            </w:tcBorders>
            <w:shd w:val="clear" w:color="auto" w:fill="auto"/>
          </w:tcPr>
          <w:p w:rsidR="006738F0" w:rsidRPr="00006A39" w:rsidRDefault="002A4861" w:rsidP="001B3851">
            <w:pPr>
              <w:widowControl w:val="0"/>
              <w:spacing w:line="276" w:lineRule="auto"/>
              <w:rPr>
                <w:rFonts w:eastAsia="Times New Roman"/>
                <w:sz w:val="24"/>
                <w:szCs w:val="24"/>
                <w:lang w:eastAsia="ru-RU"/>
              </w:rPr>
            </w:pPr>
            <w:r>
              <w:rPr>
                <w:rFonts w:eastAsia="Times New Roman"/>
                <w:sz w:val="24"/>
                <w:szCs w:val="24"/>
                <w:lang w:eastAsia="ru-RU"/>
              </w:rPr>
              <w:t>Н</w:t>
            </w:r>
            <w:r w:rsidR="006738F0" w:rsidRPr="00006A39">
              <w:rPr>
                <w:rFonts w:eastAsia="Times New Roman"/>
                <w:sz w:val="24"/>
                <w:szCs w:val="24"/>
                <w:lang w:eastAsia="ru-RU"/>
              </w:rPr>
              <w:t>ейрохірургічні</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270</w:t>
            </w:r>
          </w:p>
        </w:tc>
        <w:tc>
          <w:tcPr>
            <w:tcW w:w="0" w:type="auto"/>
            <w:tcBorders>
              <w:top w:val="single" w:sz="4" w:space="0" w:color="auto"/>
              <w:left w:val="single" w:sz="4" w:space="0" w:color="auto"/>
              <w:bottom w:val="single" w:sz="4" w:space="0" w:color="auto"/>
              <w:right w:val="single" w:sz="4" w:space="0" w:color="auto"/>
            </w:tcBorders>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296</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9,63</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6738F0" w:rsidRPr="00006A39" w:rsidRDefault="006738F0" w:rsidP="001B3851">
            <w:pPr>
              <w:widowControl w:val="0"/>
              <w:spacing w:line="276" w:lineRule="auto"/>
              <w:jc w:val="center"/>
              <w:rPr>
                <w:rFonts w:eastAsia="Times New Roman"/>
                <w:sz w:val="24"/>
                <w:szCs w:val="24"/>
                <w:lang w:eastAsia="ru-RU"/>
              </w:rPr>
            </w:pPr>
            <w:r w:rsidRPr="00006A39">
              <w:rPr>
                <w:rFonts w:eastAsia="Times New Roman"/>
                <w:sz w:val="24"/>
                <w:szCs w:val="24"/>
                <w:lang w:eastAsia="ru-RU"/>
              </w:rPr>
              <w:t>0,36</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0,39</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8,33</w:t>
            </w:r>
          </w:p>
        </w:tc>
      </w:tr>
      <w:tr w:rsidR="006738F0" w:rsidRPr="00006A39" w:rsidTr="003B67F9">
        <w:trPr>
          <w:trHeight w:val="227"/>
          <w:jc w:val="center"/>
        </w:trPr>
        <w:tc>
          <w:tcPr>
            <w:tcW w:w="0" w:type="auto"/>
            <w:tcBorders>
              <w:top w:val="single" w:sz="4" w:space="0" w:color="auto"/>
              <w:left w:val="single" w:sz="4" w:space="0" w:color="auto"/>
              <w:bottom w:val="single" w:sz="4" w:space="0" w:color="auto"/>
              <w:right w:val="single" w:sz="4" w:space="0" w:color="auto"/>
            </w:tcBorders>
            <w:shd w:val="clear" w:color="auto" w:fill="auto"/>
          </w:tcPr>
          <w:p w:rsidR="006738F0" w:rsidRPr="00006A39" w:rsidRDefault="002A4861" w:rsidP="001B3851">
            <w:pPr>
              <w:widowControl w:val="0"/>
              <w:spacing w:line="276" w:lineRule="auto"/>
              <w:rPr>
                <w:rFonts w:eastAsia="Times New Roman"/>
                <w:sz w:val="24"/>
                <w:szCs w:val="24"/>
                <w:lang w:eastAsia="ru-RU"/>
              </w:rPr>
            </w:pPr>
            <w:r>
              <w:rPr>
                <w:rFonts w:eastAsia="Times New Roman"/>
                <w:sz w:val="24"/>
                <w:szCs w:val="24"/>
                <w:lang w:eastAsia="ru-RU"/>
              </w:rPr>
              <w:t>Т</w:t>
            </w:r>
            <w:r w:rsidR="006738F0" w:rsidRPr="00006A39">
              <w:rPr>
                <w:rFonts w:eastAsia="Times New Roman"/>
                <w:sz w:val="24"/>
                <w:szCs w:val="24"/>
                <w:lang w:eastAsia="ru-RU"/>
              </w:rPr>
              <w:t>оракальної хірургії</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145</w:t>
            </w:r>
          </w:p>
        </w:tc>
        <w:tc>
          <w:tcPr>
            <w:tcW w:w="0" w:type="auto"/>
            <w:tcBorders>
              <w:top w:val="single" w:sz="4" w:space="0" w:color="auto"/>
              <w:left w:val="single" w:sz="4" w:space="0" w:color="auto"/>
              <w:bottom w:val="single" w:sz="4" w:space="0" w:color="auto"/>
              <w:right w:val="single" w:sz="4" w:space="0" w:color="auto"/>
            </w:tcBorders>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140</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-3,45</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6738F0" w:rsidRPr="00006A39" w:rsidRDefault="006738F0" w:rsidP="001B3851">
            <w:pPr>
              <w:widowControl w:val="0"/>
              <w:spacing w:line="276" w:lineRule="auto"/>
              <w:jc w:val="center"/>
              <w:rPr>
                <w:rFonts w:eastAsia="Times New Roman"/>
                <w:sz w:val="24"/>
                <w:szCs w:val="24"/>
                <w:lang w:eastAsia="ru-RU"/>
              </w:rPr>
            </w:pPr>
            <w:r w:rsidRPr="00006A39">
              <w:rPr>
                <w:rFonts w:eastAsia="Times New Roman"/>
                <w:sz w:val="24"/>
                <w:szCs w:val="24"/>
                <w:lang w:eastAsia="ru-RU"/>
              </w:rPr>
              <w:t>0,19</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0,18</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-5,26</w:t>
            </w:r>
          </w:p>
        </w:tc>
      </w:tr>
      <w:tr w:rsidR="006738F0" w:rsidRPr="00006A39" w:rsidTr="003B67F9">
        <w:trPr>
          <w:trHeight w:val="227"/>
          <w:jc w:val="center"/>
        </w:trPr>
        <w:tc>
          <w:tcPr>
            <w:tcW w:w="0" w:type="auto"/>
            <w:tcBorders>
              <w:top w:val="single" w:sz="4" w:space="0" w:color="auto"/>
              <w:left w:val="single" w:sz="4" w:space="0" w:color="auto"/>
              <w:bottom w:val="single" w:sz="4" w:space="0" w:color="auto"/>
              <w:right w:val="single" w:sz="4" w:space="0" w:color="auto"/>
            </w:tcBorders>
            <w:shd w:val="clear" w:color="auto" w:fill="auto"/>
          </w:tcPr>
          <w:p w:rsidR="006738F0" w:rsidRPr="00006A39" w:rsidRDefault="002A4861" w:rsidP="001B3851">
            <w:pPr>
              <w:widowControl w:val="0"/>
              <w:spacing w:line="276" w:lineRule="auto"/>
              <w:rPr>
                <w:rFonts w:eastAsia="Times New Roman"/>
                <w:sz w:val="24"/>
                <w:szCs w:val="24"/>
                <w:lang w:eastAsia="ru-RU"/>
              </w:rPr>
            </w:pPr>
            <w:r>
              <w:rPr>
                <w:rFonts w:eastAsia="Times New Roman"/>
                <w:sz w:val="24"/>
                <w:szCs w:val="24"/>
                <w:lang w:eastAsia="ru-RU"/>
              </w:rPr>
              <w:t>К</w:t>
            </w:r>
            <w:r w:rsidR="006738F0" w:rsidRPr="00006A39">
              <w:rPr>
                <w:rFonts w:eastAsia="Times New Roman"/>
                <w:sz w:val="24"/>
                <w:szCs w:val="24"/>
                <w:lang w:eastAsia="ru-RU"/>
              </w:rPr>
              <w:t>ардіохірургічні</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213</w:t>
            </w:r>
          </w:p>
        </w:tc>
        <w:tc>
          <w:tcPr>
            <w:tcW w:w="0" w:type="auto"/>
            <w:tcBorders>
              <w:top w:val="single" w:sz="4" w:space="0" w:color="auto"/>
              <w:left w:val="single" w:sz="4" w:space="0" w:color="auto"/>
              <w:bottom w:val="single" w:sz="4" w:space="0" w:color="auto"/>
              <w:right w:val="single" w:sz="4" w:space="0" w:color="auto"/>
            </w:tcBorders>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170</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-20,19</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6738F0" w:rsidRPr="00006A39" w:rsidRDefault="006738F0" w:rsidP="001B3851">
            <w:pPr>
              <w:widowControl w:val="0"/>
              <w:spacing w:line="276" w:lineRule="auto"/>
              <w:jc w:val="center"/>
              <w:rPr>
                <w:rFonts w:eastAsia="Times New Roman"/>
                <w:sz w:val="24"/>
                <w:szCs w:val="24"/>
                <w:lang w:eastAsia="ru-RU"/>
              </w:rPr>
            </w:pPr>
            <w:r w:rsidRPr="00006A39">
              <w:rPr>
                <w:rFonts w:eastAsia="Times New Roman"/>
                <w:sz w:val="24"/>
                <w:szCs w:val="24"/>
                <w:lang w:eastAsia="ru-RU"/>
              </w:rPr>
              <w:t>0,28</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0,22</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-21,43</w:t>
            </w:r>
          </w:p>
        </w:tc>
      </w:tr>
      <w:tr w:rsidR="006738F0" w:rsidRPr="00006A39" w:rsidTr="003B67F9">
        <w:trPr>
          <w:trHeight w:val="227"/>
          <w:jc w:val="center"/>
        </w:trPr>
        <w:tc>
          <w:tcPr>
            <w:tcW w:w="0" w:type="auto"/>
            <w:tcBorders>
              <w:top w:val="single" w:sz="4" w:space="0" w:color="auto"/>
              <w:left w:val="single" w:sz="4" w:space="0" w:color="auto"/>
              <w:bottom w:val="single" w:sz="4" w:space="0" w:color="auto"/>
              <w:right w:val="single" w:sz="4" w:space="0" w:color="auto"/>
            </w:tcBorders>
            <w:shd w:val="clear" w:color="auto" w:fill="auto"/>
          </w:tcPr>
          <w:p w:rsidR="006738F0" w:rsidRPr="00006A39" w:rsidRDefault="002A4861" w:rsidP="001B3851">
            <w:pPr>
              <w:widowControl w:val="0"/>
              <w:spacing w:line="276" w:lineRule="auto"/>
              <w:rPr>
                <w:rFonts w:eastAsia="Times New Roman"/>
                <w:sz w:val="24"/>
                <w:szCs w:val="24"/>
                <w:lang w:eastAsia="ru-RU"/>
              </w:rPr>
            </w:pPr>
            <w:r>
              <w:rPr>
                <w:rFonts w:eastAsia="Times New Roman"/>
                <w:sz w:val="24"/>
                <w:szCs w:val="24"/>
                <w:lang w:eastAsia="ru-RU"/>
              </w:rPr>
              <w:t>Г</w:t>
            </w:r>
            <w:r w:rsidR="006738F0" w:rsidRPr="00006A39">
              <w:rPr>
                <w:rFonts w:eastAsia="Times New Roman"/>
                <w:sz w:val="24"/>
                <w:szCs w:val="24"/>
                <w:lang w:eastAsia="ru-RU"/>
              </w:rPr>
              <w:t>нійної хірургії</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555</w:t>
            </w:r>
          </w:p>
        </w:tc>
        <w:tc>
          <w:tcPr>
            <w:tcW w:w="0" w:type="auto"/>
            <w:tcBorders>
              <w:top w:val="single" w:sz="4" w:space="0" w:color="auto"/>
              <w:left w:val="single" w:sz="4" w:space="0" w:color="auto"/>
              <w:bottom w:val="single" w:sz="4" w:space="0" w:color="auto"/>
              <w:right w:val="single" w:sz="4" w:space="0" w:color="auto"/>
            </w:tcBorders>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536</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-3,42</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6738F0" w:rsidRPr="00006A39" w:rsidRDefault="006738F0" w:rsidP="001B3851">
            <w:pPr>
              <w:widowControl w:val="0"/>
              <w:spacing w:line="276" w:lineRule="auto"/>
              <w:jc w:val="center"/>
              <w:rPr>
                <w:rFonts w:eastAsia="Times New Roman"/>
                <w:sz w:val="24"/>
                <w:szCs w:val="24"/>
                <w:lang w:eastAsia="ru-RU"/>
              </w:rPr>
            </w:pPr>
            <w:r w:rsidRPr="00006A39">
              <w:rPr>
                <w:rFonts w:eastAsia="Times New Roman"/>
                <w:sz w:val="24"/>
                <w:szCs w:val="24"/>
                <w:lang w:eastAsia="ru-RU"/>
              </w:rPr>
              <w:t>0,73</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0,7</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-4,11</w:t>
            </w:r>
          </w:p>
        </w:tc>
      </w:tr>
      <w:tr w:rsidR="006738F0" w:rsidRPr="00006A39" w:rsidTr="003B67F9">
        <w:trPr>
          <w:trHeight w:val="227"/>
          <w:jc w:val="center"/>
        </w:trPr>
        <w:tc>
          <w:tcPr>
            <w:tcW w:w="0" w:type="auto"/>
            <w:tcBorders>
              <w:top w:val="single" w:sz="4" w:space="0" w:color="auto"/>
              <w:left w:val="single" w:sz="4" w:space="0" w:color="auto"/>
              <w:bottom w:val="single" w:sz="4" w:space="0" w:color="auto"/>
              <w:right w:val="single" w:sz="4" w:space="0" w:color="auto"/>
            </w:tcBorders>
            <w:shd w:val="clear" w:color="auto" w:fill="auto"/>
          </w:tcPr>
          <w:p w:rsidR="006738F0" w:rsidRPr="00006A39" w:rsidRDefault="002A4861" w:rsidP="001B3851">
            <w:pPr>
              <w:widowControl w:val="0"/>
              <w:spacing w:line="276" w:lineRule="auto"/>
              <w:rPr>
                <w:rFonts w:eastAsia="Times New Roman"/>
                <w:sz w:val="24"/>
                <w:szCs w:val="24"/>
                <w:lang w:eastAsia="ru-RU"/>
              </w:rPr>
            </w:pPr>
            <w:r>
              <w:rPr>
                <w:rFonts w:eastAsia="Times New Roman"/>
                <w:sz w:val="24"/>
                <w:szCs w:val="24"/>
                <w:lang w:eastAsia="ru-RU"/>
              </w:rPr>
              <w:t>Т</w:t>
            </w:r>
            <w:r w:rsidR="006738F0" w:rsidRPr="00006A39">
              <w:rPr>
                <w:rFonts w:eastAsia="Times New Roman"/>
                <w:sz w:val="24"/>
                <w:szCs w:val="24"/>
                <w:lang w:eastAsia="ru-RU"/>
              </w:rPr>
              <w:t>равматологічні</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815</w:t>
            </w:r>
          </w:p>
        </w:tc>
        <w:tc>
          <w:tcPr>
            <w:tcW w:w="0" w:type="auto"/>
            <w:tcBorders>
              <w:top w:val="single" w:sz="4" w:space="0" w:color="auto"/>
              <w:left w:val="single" w:sz="4" w:space="0" w:color="auto"/>
              <w:bottom w:val="single" w:sz="4" w:space="0" w:color="auto"/>
              <w:right w:val="single" w:sz="4" w:space="0" w:color="auto"/>
            </w:tcBorders>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875</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7,36</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6738F0" w:rsidRPr="00006A39" w:rsidRDefault="006738F0" w:rsidP="001B3851">
            <w:pPr>
              <w:widowControl w:val="0"/>
              <w:spacing w:line="276" w:lineRule="auto"/>
              <w:jc w:val="center"/>
              <w:rPr>
                <w:rFonts w:eastAsia="Times New Roman"/>
                <w:sz w:val="24"/>
                <w:szCs w:val="24"/>
                <w:lang w:eastAsia="ru-RU"/>
              </w:rPr>
            </w:pPr>
            <w:r w:rsidRPr="00006A39">
              <w:rPr>
                <w:rFonts w:eastAsia="Times New Roman"/>
                <w:sz w:val="24"/>
                <w:szCs w:val="24"/>
                <w:lang w:eastAsia="ru-RU"/>
              </w:rPr>
              <w:t>1,07</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1,15</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7,48</w:t>
            </w:r>
          </w:p>
        </w:tc>
      </w:tr>
      <w:tr w:rsidR="006738F0" w:rsidRPr="00006A39" w:rsidTr="003B67F9">
        <w:trPr>
          <w:trHeight w:val="227"/>
          <w:jc w:val="center"/>
        </w:trPr>
        <w:tc>
          <w:tcPr>
            <w:tcW w:w="0" w:type="auto"/>
            <w:tcBorders>
              <w:top w:val="single" w:sz="4" w:space="0" w:color="auto"/>
              <w:left w:val="single" w:sz="4" w:space="0" w:color="auto"/>
              <w:bottom w:val="single" w:sz="4" w:space="0" w:color="auto"/>
              <w:right w:val="single" w:sz="4" w:space="0" w:color="auto"/>
            </w:tcBorders>
            <w:shd w:val="clear" w:color="auto" w:fill="auto"/>
          </w:tcPr>
          <w:p w:rsidR="006738F0" w:rsidRPr="00006A39" w:rsidRDefault="002A4861" w:rsidP="001B3851">
            <w:pPr>
              <w:widowControl w:val="0"/>
              <w:spacing w:line="276" w:lineRule="auto"/>
              <w:rPr>
                <w:rFonts w:eastAsia="Times New Roman"/>
                <w:sz w:val="24"/>
                <w:szCs w:val="24"/>
                <w:lang w:eastAsia="ru-RU"/>
              </w:rPr>
            </w:pPr>
            <w:r>
              <w:rPr>
                <w:rFonts w:eastAsia="Times New Roman"/>
                <w:sz w:val="24"/>
                <w:szCs w:val="24"/>
                <w:lang w:eastAsia="ru-RU"/>
              </w:rPr>
              <w:t>О</w:t>
            </w:r>
            <w:r w:rsidR="006738F0" w:rsidRPr="00006A39">
              <w:rPr>
                <w:rFonts w:eastAsia="Times New Roman"/>
                <w:sz w:val="24"/>
                <w:szCs w:val="24"/>
                <w:lang w:eastAsia="ru-RU"/>
              </w:rPr>
              <w:t>ртопедичні</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531</w:t>
            </w:r>
          </w:p>
        </w:tc>
        <w:tc>
          <w:tcPr>
            <w:tcW w:w="0" w:type="auto"/>
            <w:tcBorders>
              <w:top w:val="single" w:sz="4" w:space="0" w:color="auto"/>
              <w:left w:val="single" w:sz="4" w:space="0" w:color="auto"/>
              <w:bottom w:val="single" w:sz="4" w:space="0" w:color="auto"/>
              <w:right w:val="single" w:sz="4" w:space="0" w:color="auto"/>
            </w:tcBorders>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500</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-5,84</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6738F0" w:rsidRPr="00006A39" w:rsidRDefault="006738F0" w:rsidP="001B3851">
            <w:pPr>
              <w:widowControl w:val="0"/>
              <w:spacing w:line="276" w:lineRule="auto"/>
              <w:jc w:val="center"/>
              <w:rPr>
                <w:rFonts w:eastAsia="Times New Roman"/>
                <w:sz w:val="24"/>
                <w:szCs w:val="24"/>
                <w:lang w:eastAsia="ru-RU"/>
              </w:rPr>
            </w:pPr>
            <w:r w:rsidRPr="00006A39">
              <w:rPr>
                <w:rFonts w:eastAsia="Times New Roman"/>
                <w:sz w:val="24"/>
                <w:szCs w:val="24"/>
                <w:lang w:eastAsia="ru-RU"/>
              </w:rPr>
              <w:t>0,7</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0,66</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-5,71</w:t>
            </w:r>
          </w:p>
        </w:tc>
      </w:tr>
      <w:tr w:rsidR="006738F0" w:rsidRPr="00006A39" w:rsidTr="003B67F9">
        <w:trPr>
          <w:trHeight w:val="227"/>
          <w:jc w:val="center"/>
        </w:trPr>
        <w:tc>
          <w:tcPr>
            <w:tcW w:w="0" w:type="auto"/>
            <w:tcBorders>
              <w:top w:val="single" w:sz="4" w:space="0" w:color="auto"/>
              <w:left w:val="single" w:sz="4" w:space="0" w:color="auto"/>
              <w:bottom w:val="single" w:sz="4" w:space="0" w:color="auto"/>
              <w:right w:val="single" w:sz="4" w:space="0" w:color="auto"/>
            </w:tcBorders>
            <w:shd w:val="clear" w:color="auto" w:fill="auto"/>
          </w:tcPr>
          <w:p w:rsidR="006738F0" w:rsidRPr="00006A39" w:rsidRDefault="002A4861" w:rsidP="001B3851">
            <w:pPr>
              <w:widowControl w:val="0"/>
              <w:spacing w:line="276" w:lineRule="auto"/>
              <w:rPr>
                <w:rFonts w:eastAsia="Times New Roman"/>
                <w:sz w:val="24"/>
                <w:szCs w:val="24"/>
                <w:lang w:eastAsia="ru-RU"/>
              </w:rPr>
            </w:pPr>
            <w:r>
              <w:rPr>
                <w:rFonts w:eastAsia="Times New Roman"/>
                <w:sz w:val="24"/>
                <w:szCs w:val="24"/>
                <w:lang w:eastAsia="ru-RU"/>
              </w:rPr>
              <w:t>О</w:t>
            </w:r>
            <w:r w:rsidR="006738F0" w:rsidRPr="00006A39">
              <w:rPr>
                <w:rFonts w:eastAsia="Times New Roman"/>
                <w:sz w:val="24"/>
                <w:szCs w:val="24"/>
                <w:lang w:eastAsia="ru-RU"/>
              </w:rPr>
              <w:t>пікові</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183</w:t>
            </w:r>
          </w:p>
        </w:tc>
        <w:tc>
          <w:tcPr>
            <w:tcW w:w="0" w:type="auto"/>
            <w:tcBorders>
              <w:top w:val="single" w:sz="4" w:space="0" w:color="auto"/>
              <w:left w:val="single" w:sz="4" w:space="0" w:color="auto"/>
              <w:bottom w:val="single" w:sz="4" w:space="0" w:color="auto"/>
              <w:right w:val="single" w:sz="4" w:space="0" w:color="auto"/>
            </w:tcBorders>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190</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3,83</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6738F0" w:rsidRPr="00006A39" w:rsidRDefault="006738F0" w:rsidP="001B3851">
            <w:pPr>
              <w:widowControl w:val="0"/>
              <w:spacing w:line="276" w:lineRule="auto"/>
              <w:jc w:val="center"/>
              <w:rPr>
                <w:rFonts w:eastAsia="Times New Roman"/>
                <w:sz w:val="24"/>
                <w:szCs w:val="24"/>
                <w:lang w:eastAsia="ru-RU"/>
              </w:rPr>
            </w:pPr>
            <w:r w:rsidRPr="00006A39">
              <w:rPr>
                <w:rFonts w:eastAsia="Times New Roman"/>
                <w:sz w:val="24"/>
                <w:szCs w:val="24"/>
                <w:lang w:eastAsia="ru-RU"/>
              </w:rPr>
              <w:t>0,24</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0,25</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4,17</w:t>
            </w:r>
          </w:p>
        </w:tc>
      </w:tr>
      <w:tr w:rsidR="006738F0" w:rsidRPr="00006A39" w:rsidTr="003B67F9">
        <w:trPr>
          <w:trHeight w:val="227"/>
          <w:jc w:val="center"/>
        </w:trPr>
        <w:tc>
          <w:tcPr>
            <w:tcW w:w="0" w:type="auto"/>
            <w:tcBorders>
              <w:top w:val="single" w:sz="4" w:space="0" w:color="auto"/>
              <w:left w:val="single" w:sz="4" w:space="0" w:color="auto"/>
              <w:bottom w:val="single" w:sz="4" w:space="0" w:color="auto"/>
              <w:right w:val="single" w:sz="4" w:space="0" w:color="auto"/>
            </w:tcBorders>
            <w:shd w:val="clear" w:color="auto" w:fill="auto"/>
          </w:tcPr>
          <w:p w:rsidR="006738F0" w:rsidRPr="00006A39" w:rsidRDefault="002A4861" w:rsidP="001B3851">
            <w:pPr>
              <w:widowControl w:val="0"/>
              <w:spacing w:line="276" w:lineRule="auto"/>
              <w:rPr>
                <w:rFonts w:eastAsia="Times New Roman"/>
                <w:sz w:val="24"/>
                <w:szCs w:val="24"/>
                <w:lang w:eastAsia="ru-RU"/>
              </w:rPr>
            </w:pPr>
            <w:r>
              <w:rPr>
                <w:rFonts w:eastAsia="Times New Roman"/>
                <w:sz w:val="24"/>
                <w:szCs w:val="24"/>
                <w:lang w:eastAsia="ru-RU"/>
              </w:rPr>
              <w:t>У</w:t>
            </w:r>
            <w:r w:rsidR="006738F0" w:rsidRPr="00006A39">
              <w:rPr>
                <w:rFonts w:eastAsia="Times New Roman"/>
                <w:sz w:val="24"/>
                <w:szCs w:val="24"/>
                <w:lang w:eastAsia="ru-RU"/>
              </w:rPr>
              <w:t>рологічні</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494</w:t>
            </w:r>
          </w:p>
        </w:tc>
        <w:tc>
          <w:tcPr>
            <w:tcW w:w="0" w:type="auto"/>
            <w:tcBorders>
              <w:top w:val="single" w:sz="4" w:space="0" w:color="auto"/>
              <w:left w:val="single" w:sz="4" w:space="0" w:color="auto"/>
              <w:bottom w:val="single" w:sz="4" w:space="0" w:color="auto"/>
              <w:right w:val="single" w:sz="4" w:space="0" w:color="auto"/>
            </w:tcBorders>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494</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0,00</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6738F0" w:rsidRPr="00006A39" w:rsidRDefault="006738F0" w:rsidP="001B3851">
            <w:pPr>
              <w:widowControl w:val="0"/>
              <w:spacing w:line="276" w:lineRule="auto"/>
              <w:jc w:val="center"/>
              <w:rPr>
                <w:rFonts w:eastAsia="Times New Roman"/>
                <w:sz w:val="24"/>
                <w:szCs w:val="24"/>
                <w:lang w:eastAsia="ru-RU"/>
              </w:rPr>
            </w:pPr>
            <w:r w:rsidRPr="00006A39">
              <w:rPr>
                <w:rFonts w:eastAsia="Times New Roman"/>
                <w:sz w:val="24"/>
                <w:szCs w:val="24"/>
                <w:lang w:eastAsia="ru-RU"/>
              </w:rPr>
              <w:t>0,65</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0,65</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0,00</w:t>
            </w:r>
          </w:p>
        </w:tc>
      </w:tr>
      <w:tr w:rsidR="006738F0" w:rsidRPr="00006A39" w:rsidTr="003B67F9">
        <w:trPr>
          <w:trHeight w:val="227"/>
          <w:jc w:val="center"/>
        </w:trPr>
        <w:tc>
          <w:tcPr>
            <w:tcW w:w="0" w:type="auto"/>
            <w:tcBorders>
              <w:top w:val="single" w:sz="4" w:space="0" w:color="auto"/>
              <w:left w:val="single" w:sz="4" w:space="0" w:color="auto"/>
              <w:bottom w:val="single" w:sz="4" w:space="0" w:color="auto"/>
              <w:right w:val="single" w:sz="4" w:space="0" w:color="auto"/>
            </w:tcBorders>
            <w:shd w:val="clear" w:color="auto" w:fill="auto"/>
          </w:tcPr>
          <w:p w:rsidR="006738F0" w:rsidRPr="00006A39" w:rsidRDefault="002A4861" w:rsidP="001B3851">
            <w:pPr>
              <w:widowControl w:val="0"/>
              <w:spacing w:line="276" w:lineRule="auto"/>
              <w:rPr>
                <w:rFonts w:eastAsia="Times New Roman"/>
                <w:sz w:val="24"/>
                <w:szCs w:val="24"/>
                <w:lang w:eastAsia="ru-RU"/>
              </w:rPr>
            </w:pPr>
            <w:r>
              <w:rPr>
                <w:rFonts w:eastAsia="Times New Roman"/>
                <w:sz w:val="24"/>
                <w:szCs w:val="24"/>
                <w:lang w:eastAsia="ru-RU"/>
              </w:rPr>
              <w:t>С</w:t>
            </w:r>
            <w:r w:rsidR="006738F0" w:rsidRPr="00006A39">
              <w:rPr>
                <w:rFonts w:eastAsia="Times New Roman"/>
                <w:sz w:val="24"/>
                <w:szCs w:val="24"/>
                <w:lang w:eastAsia="ru-RU"/>
              </w:rPr>
              <w:t>томатологічні</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139</w:t>
            </w:r>
          </w:p>
        </w:tc>
        <w:tc>
          <w:tcPr>
            <w:tcW w:w="0" w:type="auto"/>
            <w:tcBorders>
              <w:top w:val="single" w:sz="4" w:space="0" w:color="auto"/>
              <w:left w:val="single" w:sz="4" w:space="0" w:color="auto"/>
              <w:bottom w:val="single" w:sz="4" w:space="0" w:color="auto"/>
              <w:right w:val="single" w:sz="4" w:space="0" w:color="auto"/>
            </w:tcBorders>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131</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-5,76</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6738F0" w:rsidRPr="00006A39" w:rsidRDefault="006738F0" w:rsidP="001B3851">
            <w:pPr>
              <w:widowControl w:val="0"/>
              <w:spacing w:line="276" w:lineRule="auto"/>
              <w:jc w:val="center"/>
              <w:rPr>
                <w:rFonts w:eastAsia="Times New Roman"/>
                <w:sz w:val="24"/>
                <w:szCs w:val="24"/>
                <w:lang w:eastAsia="ru-RU"/>
              </w:rPr>
            </w:pPr>
            <w:r w:rsidRPr="00006A39">
              <w:rPr>
                <w:rFonts w:eastAsia="Times New Roman"/>
                <w:sz w:val="24"/>
                <w:szCs w:val="24"/>
                <w:lang w:eastAsia="ru-RU"/>
              </w:rPr>
              <w:t>0,18</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0,17</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-5,56</w:t>
            </w:r>
          </w:p>
        </w:tc>
      </w:tr>
      <w:tr w:rsidR="006738F0" w:rsidRPr="00006A39" w:rsidTr="003B67F9">
        <w:trPr>
          <w:trHeight w:val="227"/>
          <w:jc w:val="center"/>
        </w:trPr>
        <w:tc>
          <w:tcPr>
            <w:tcW w:w="0" w:type="auto"/>
            <w:tcBorders>
              <w:top w:val="single" w:sz="4" w:space="0" w:color="auto"/>
              <w:left w:val="single" w:sz="4" w:space="0" w:color="auto"/>
              <w:bottom w:val="single" w:sz="4" w:space="0" w:color="auto"/>
              <w:right w:val="single" w:sz="4" w:space="0" w:color="auto"/>
            </w:tcBorders>
            <w:shd w:val="clear" w:color="auto" w:fill="auto"/>
          </w:tcPr>
          <w:p w:rsidR="006738F0" w:rsidRPr="00006A39" w:rsidRDefault="002A4861" w:rsidP="001B3851">
            <w:pPr>
              <w:widowControl w:val="0"/>
              <w:spacing w:line="276" w:lineRule="auto"/>
              <w:rPr>
                <w:rFonts w:eastAsia="Times New Roman"/>
                <w:sz w:val="24"/>
                <w:szCs w:val="24"/>
                <w:lang w:eastAsia="ru-RU"/>
              </w:rPr>
            </w:pPr>
            <w:r>
              <w:rPr>
                <w:rFonts w:eastAsia="Times New Roman"/>
                <w:sz w:val="24"/>
                <w:szCs w:val="24"/>
                <w:lang w:eastAsia="ru-RU"/>
              </w:rPr>
              <w:t>О</w:t>
            </w:r>
            <w:r w:rsidR="006738F0" w:rsidRPr="00006A39">
              <w:rPr>
                <w:rFonts w:eastAsia="Times New Roman"/>
                <w:sz w:val="24"/>
                <w:szCs w:val="24"/>
                <w:lang w:eastAsia="ru-RU"/>
              </w:rPr>
              <w:t>нкологічні</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277</w:t>
            </w:r>
          </w:p>
        </w:tc>
        <w:tc>
          <w:tcPr>
            <w:tcW w:w="0" w:type="auto"/>
            <w:tcBorders>
              <w:top w:val="single" w:sz="4" w:space="0" w:color="auto"/>
              <w:left w:val="single" w:sz="4" w:space="0" w:color="auto"/>
              <w:bottom w:val="single" w:sz="4" w:space="0" w:color="auto"/>
              <w:right w:val="single" w:sz="4" w:space="0" w:color="auto"/>
            </w:tcBorders>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293</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5,78</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6738F0" w:rsidRPr="00006A39" w:rsidRDefault="006738F0" w:rsidP="001B3851">
            <w:pPr>
              <w:widowControl w:val="0"/>
              <w:spacing w:line="276" w:lineRule="auto"/>
              <w:jc w:val="center"/>
              <w:rPr>
                <w:rFonts w:eastAsia="Times New Roman"/>
                <w:sz w:val="24"/>
                <w:szCs w:val="24"/>
                <w:lang w:eastAsia="ru-RU"/>
              </w:rPr>
            </w:pPr>
            <w:r w:rsidRPr="00006A39">
              <w:rPr>
                <w:rFonts w:eastAsia="Times New Roman"/>
                <w:sz w:val="24"/>
                <w:szCs w:val="24"/>
                <w:lang w:eastAsia="ru-RU"/>
              </w:rPr>
              <w:t>0,36</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0,39</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8,33</w:t>
            </w:r>
          </w:p>
        </w:tc>
      </w:tr>
      <w:tr w:rsidR="006738F0" w:rsidRPr="00006A39" w:rsidTr="003B67F9">
        <w:trPr>
          <w:trHeight w:val="227"/>
          <w:jc w:val="center"/>
        </w:trPr>
        <w:tc>
          <w:tcPr>
            <w:tcW w:w="0" w:type="auto"/>
            <w:tcBorders>
              <w:top w:val="single" w:sz="4" w:space="0" w:color="auto"/>
              <w:left w:val="single" w:sz="4" w:space="0" w:color="auto"/>
              <w:bottom w:val="single" w:sz="4" w:space="0" w:color="auto"/>
              <w:right w:val="single" w:sz="4" w:space="0" w:color="auto"/>
            </w:tcBorders>
            <w:shd w:val="clear" w:color="auto" w:fill="auto"/>
          </w:tcPr>
          <w:p w:rsidR="006738F0" w:rsidRPr="00006A39" w:rsidRDefault="002A4861" w:rsidP="001B3851">
            <w:pPr>
              <w:widowControl w:val="0"/>
              <w:spacing w:line="276" w:lineRule="auto"/>
              <w:rPr>
                <w:rFonts w:eastAsia="Times New Roman"/>
                <w:sz w:val="24"/>
                <w:szCs w:val="24"/>
                <w:lang w:eastAsia="ru-RU"/>
              </w:rPr>
            </w:pPr>
            <w:r>
              <w:rPr>
                <w:rFonts w:eastAsia="Times New Roman"/>
                <w:sz w:val="24"/>
                <w:szCs w:val="24"/>
                <w:lang w:eastAsia="ru-RU"/>
              </w:rPr>
              <w:t>Н</w:t>
            </w:r>
            <w:r w:rsidR="006738F0" w:rsidRPr="00006A39">
              <w:rPr>
                <w:rFonts w:eastAsia="Times New Roman"/>
                <w:sz w:val="24"/>
                <w:szCs w:val="24"/>
                <w:lang w:eastAsia="ru-RU"/>
              </w:rPr>
              <w:t>еврологічні</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1669</w:t>
            </w:r>
          </w:p>
        </w:tc>
        <w:tc>
          <w:tcPr>
            <w:tcW w:w="0" w:type="auto"/>
            <w:tcBorders>
              <w:top w:val="single" w:sz="4" w:space="0" w:color="auto"/>
              <w:left w:val="single" w:sz="4" w:space="0" w:color="auto"/>
              <w:bottom w:val="single" w:sz="4" w:space="0" w:color="auto"/>
              <w:right w:val="single" w:sz="4" w:space="0" w:color="auto"/>
            </w:tcBorders>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1649</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-1,20</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6738F0" w:rsidRPr="00006A39" w:rsidRDefault="006738F0" w:rsidP="001B3851">
            <w:pPr>
              <w:widowControl w:val="0"/>
              <w:spacing w:line="276" w:lineRule="auto"/>
              <w:jc w:val="center"/>
              <w:rPr>
                <w:rFonts w:eastAsia="Times New Roman"/>
                <w:sz w:val="24"/>
                <w:szCs w:val="24"/>
                <w:lang w:eastAsia="ru-RU"/>
              </w:rPr>
            </w:pPr>
            <w:r w:rsidRPr="00006A39">
              <w:rPr>
                <w:rFonts w:eastAsia="Times New Roman"/>
                <w:sz w:val="24"/>
                <w:szCs w:val="24"/>
                <w:lang w:eastAsia="ru-RU"/>
              </w:rPr>
              <w:t>2,2</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2,17</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-1,36</w:t>
            </w:r>
          </w:p>
        </w:tc>
      </w:tr>
      <w:tr w:rsidR="006738F0" w:rsidRPr="00006A39" w:rsidTr="003B67F9">
        <w:trPr>
          <w:trHeight w:val="227"/>
          <w:jc w:val="center"/>
        </w:trPr>
        <w:tc>
          <w:tcPr>
            <w:tcW w:w="0" w:type="auto"/>
            <w:tcBorders>
              <w:top w:val="single" w:sz="4" w:space="0" w:color="auto"/>
              <w:left w:val="single" w:sz="4" w:space="0" w:color="auto"/>
              <w:bottom w:val="single" w:sz="4" w:space="0" w:color="auto"/>
              <w:right w:val="single" w:sz="4" w:space="0" w:color="auto"/>
            </w:tcBorders>
            <w:shd w:val="clear" w:color="auto" w:fill="auto"/>
          </w:tcPr>
          <w:p w:rsidR="006738F0" w:rsidRPr="00006A39" w:rsidRDefault="002A4861" w:rsidP="001B3851">
            <w:pPr>
              <w:widowControl w:val="0"/>
              <w:spacing w:line="276" w:lineRule="auto"/>
              <w:rPr>
                <w:rFonts w:eastAsia="Times New Roman"/>
                <w:sz w:val="24"/>
                <w:szCs w:val="24"/>
                <w:lang w:eastAsia="ru-RU"/>
              </w:rPr>
            </w:pPr>
            <w:r>
              <w:rPr>
                <w:rFonts w:eastAsia="Times New Roman"/>
                <w:sz w:val="24"/>
                <w:szCs w:val="24"/>
                <w:lang w:eastAsia="ru-RU"/>
              </w:rPr>
              <w:t>П</w:t>
            </w:r>
            <w:r w:rsidR="006738F0" w:rsidRPr="00006A39">
              <w:rPr>
                <w:rFonts w:eastAsia="Times New Roman"/>
                <w:sz w:val="24"/>
                <w:szCs w:val="24"/>
                <w:lang w:eastAsia="ru-RU"/>
              </w:rPr>
              <w:t>сихіатричні</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1419</w:t>
            </w:r>
          </w:p>
        </w:tc>
        <w:tc>
          <w:tcPr>
            <w:tcW w:w="0" w:type="auto"/>
            <w:tcBorders>
              <w:top w:val="single" w:sz="4" w:space="0" w:color="auto"/>
              <w:left w:val="single" w:sz="4" w:space="0" w:color="auto"/>
              <w:bottom w:val="single" w:sz="4" w:space="0" w:color="auto"/>
              <w:right w:val="single" w:sz="4" w:space="0" w:color="auto"/>
            </w:tcBorders>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1256</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-11,49</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6738F0" w:rsidRPr="00006A39" w:rsidRDefault="006738F0" w:rsidP="001B3851">
            <w:pPr>
              <w:widowControl w:val="0"/>
              <w:spacing w:line="276" w:lineRule="auto"/>
              <w:jc w:val="center"/>
              <w:rPr>
                <w:rFonts w:eastAsia="Times New Roman"/>
                <w:sz w:val="24"/>
                <w:szCs w:val="24"/>
                <w:lang w:eastAsia="ru-RU"/>
              </w:rPr>
            </w:pPr>
            <w:r w:rsidRPr="00006A39">
              <w:rPr>
                <w:rFonts w:eastAsia="Times New Roman"/>
                <w:sz w:val="24"/>
                <w:szCs w:val="24"/>
                <w:lang w:eastAsia="ru-RU"/>
              </w:rPr>
              <w:t>1,87</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1,65</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-11,76</w:t>
            </w:r>
          </w:p>
        </w:tc>
      </w:tr>
      <w:tr w:rsidR="006738F0" w:rsidRPr="00006A39" w:rsidTr="003B67F9">
        <w:trPr>
          <w:trHeight w:val="227"/>
          <w:jc w:val="center"/>
        </w:trPr>
        <w:tc>
          <w:tcPr>
            <w:tcW w:w="0" w:type="auto"/>
            <w:tcBorders>
              <w:top w:val="single" w:sz="4" w:space="0" w:color="auto"/>
              <w:left w:val="single" w:sz="4" w:space="0" w:color="auto"/>
              <w:bottom w:val="single" w:sz="4" w:space="0" w:color="auto"/>
              <w:right w:val="single" w:sz="4" w:space="0" w:color="auto"/>
            </w:tcBorders>
            <w:shd w:val="clear" w:color="auto" w:fill="auto"/>
          </w:tcPr>
          <w:p w:rsidR="006738F0" w:rsidRPr="00006A39" w:rsidRDefault="002A4861" w:rsidP="001B3851">
            <w:pPr>
              <w:widowControl w:val="0"/>
              <w:spacing w:line="276" w:lineRule="auto"/>
              <w:rPr>
                <w:rFonts w:eastAsia="Times New Roman"/>
                <w:sz w:val="24"/>
                <w:szCs w:val="24"/>
                <w:lang w:eastAsia="ru-RU"/>
              </w:rPr>
            </w:pPr>
            <w:r>
              <w:rPr>
                <w:rFonts w:eastAsia="Times New Roman"/>
                <w:sz w:val="24"/>
                <w:szCs w:val="24"/>
                <w:lang w:eastAsia="ru-RU"/>
              </w:rPr>
              <w:t>О</w:t>
            </w:r>
            <w:r w:rsidR="006738F0" w:rsidRPr="00006A39">
              <w:rPr>
                <w:rFonts w:eastAsia="Times New Roman"/>
                <w:sz w:val="24"/>
                <w:szCs w:val="24"/>
                <w:lang w:eastAsia="ru-RU"/>
              </w:rPr>
              <w:t>фтальмологічні</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872</w:t>
            </w:r>
          </w:p>
        </w:tc>
        <w:tc>
          <w:tcPr>
            <w:tcW w:w="0" w:type="auto"/>
            <w:tcBorders>
              <w:top w:val="single" w:sz="4" w:space="0" w:color="auto"/>
              <w:left w:val="single" w:sz="4" w:space="0" w:color="auto"/>
              <w:bottom w:val="single" w:sz="4" w:space="0" w:color="auto"/>
              <w:right w:val="single" w:sz="4" w:space="0" w:color="auto"/>
            </w:tcBorders>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854</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-2,06</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6738F0" w:rsidRPr="00006A39" w:rsidRDefault="006738F0" w:rsidP="001B3851">
            <w:pPr>
              <w:widowControl w:val="0"/>
              <w:spacing w:line="276" w:lineRule="auto"/>
              <w:jc w:val="center"/>
              <w:rPr>
                <w:rFonts w:eastAsia="Times New Roman"/>
                <w:sz w:val="24"/>
                <w:szCs w:val="24"/>
                <w:lang w:eastAsia="ru-RU"/>
              </w:rPr>
            </w:pPr>
            <w:r w:rsidRPr="00006A39">
              <w:rPr>
                <w:rFonts w:eastAsia="Times New Roman"/>
                <w:sz w:val="24"/>
                <w:szCs w:val="24"/>
                <w:lang w:eastAsia="ru-RU"/>
              </w:rPr>
              <w:t>1,15</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1,12</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-2,61</w:t>
            </w:r>
          </w:p>
        </w:tc>
      </w:tr>
      <w:tr w:rsidR="006738F0" w:rsidRPr="00006A39" w:rsidTr="003B67F9">
        <w:trPr>
          <w:trHeight w:val="227"/>
          <w:jc w:val="center"/>
        </w:trPr>
        <w:tc>
          <w:tcPr>
            <w:tcW w:w="0" w:type="auto"/>
            <w:tcBorders>
              <w:top w:val="single" w:sz="4" w:space="0" w:color="auto"/>
              <w:left w:val="single" w:sz="4" w:space="0" w:color="auto"/>
              <w:bottom w:val="single" w:sz="4" w:space="0" w:color="auto"/>
              <w:right w:val="single" w:sz="4" w:space="0" w:color="auto"/>
            </w:tcBorders>
            <w:shd w:val="clear" w:color="auto" w:fill="auto"/>
          </w:tcPr>
          <w:p w:rsidR="006738F0" w:rsidRPr="00006A39" w:rsidRDefault="002A4861" w:rsidP="001B3851">
            <w:pPr>
              <w:widowControl w:val="0"/>
              <w:spacing w:line="276" w:lineRule="auto"/>
              <w:rPr>
                <w:rFonts w:eastAsia="Times New Roman"/>
                <w:sz w:val="24"/>
                <w:szCs w:val="24"/>
                <w:lang w:eastAsia="ru-RU"/>
              </w:rPr>
            </w:pPr>
            <w:r>
              <w:rPr>
                <w:rFonts w:eastAsia="Times New Roman"/>
                <w:sz w:val="24"/>
                <w:szCs w:val="24"/>
                <w:lang w:eastAsia="ru-RU"/>
              </w:rPr>
              <w:t>О</w:t>
            </w:r>
            <w:r w:rsidR="006738F0" w:rsidRPr="00006A39">
              <w:rPr>
                <w:rFonts w:eastAsia="Times New Roman"/>
                <w:sz w:val="24"/>
                <w:szCs w:val="24"/>
                <w:lang w:eastAsia="ru-RU"/>
              </w:rPr>
              <w:t>толарингологічні</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1314</w:t>
            </w:r>
          </w:p>
        </w:tc>
        <w:tc>
          <w:tcPr>
            <w:tcW w:w="0" w:type="auto"/>
            <w:tcBorders>
              <w:top w:val="single" w:sz="4" w:space="0" w:color="auto"/>
              <w:left w:val="single" w:sz="4" w:space="0" w:color="auto"/>
              <w:bottom w:val="single" w:sz="4" w:space="0" w:color="auto"/>
              <w:right w:val="single" w:sz="4" w:space="0" w:color="auto"/>
            </w:tcBorders>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1209</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-7,99</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6738F0" w:rsidRPr="00006A39" w:rsidRDefault="006738F0" w:rsidP="001B3851">
            <w:pPr>
              <w:widowControl w:val="0"/>
              <w:spacing w:line="276" w:lineRule="auto"/>
              <w:jc w:val="center"/>
              <w:rPr>
                <w:rFonts w:eastAsia="Times New Roman"/>
                <w:sz w:val="24"/>
                <w:szCs w:val="24"/>
                <w:lang w:eastAsia="ru-RU"/>
              </w:rPr>
            </w:pPr>
            <w:r w:rsidRPr="00006A39">
              <w:rPr>
                <w:rFonts w:eastAsia="Times New Roman"/>
                <w:sz w:val="24"/>
                <w:szCs w:val="24"/>
                <w:lang w:eastAsia="ru-RU"/>
              </w:rPr>
              <w:t>1,73</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1,59</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-8,09</w:t>
            </w:r>
          </w:p>
        </w:tc>
      </w:tr>
      <w:tr w:rsidR="006738F0" w:rsidRPr="00006A39" w:rsidTr="003B67F9">
        <w:trPr>
          <w:trHeight w:val="227"/>
          <w:jc w:val="center"/>
        </w:trPr>
        <w:tc>
          <w:tcPr>
            <w:tcW w:w="0" w:type="auto"/>
            <w:tcBorders>
              <w:top w:val="single" w:sz="4" w:space="0" w:color="auto"/>
              <w:left w:val="single" w:sz="4" w:space="0" w:color="auto"/>
              <w:bottom w:val="single" w:sz="4" w:space="0" w:color="auto"/>
              <w:right w:val="single" w:sz="4" w:space="0" w:color="auto"/>
            </w:tcBorders>
            <w:shd w:val="clear" w:color="auto" w:fill="auto"/>
          </w:tcPr>
          <w:p w:rsidR="006738F0" w:rsidRPr="00006A39" w:rsidRDefault="002A4861" w:rsidP="001B3851">
            <w:pPr>
              <w:widowControl w:val="0"/>
              <w:spacing w:line="276" w:lineRule="auto"/>
              <w:rPr>
                <w:rFonts w:eastAsia="Times New Roman"/>
                <w:sz w:val="24"/>
                <w:szCs w:val="24"/>
                <w:lang w:eastAsia="ru-RU"/>
              </w:rPr>
            </w:pPr>
            <w:r>
              <w:rPr>
                <w:rFonts w:eastAsia="Times New Roman"/>
                <w:sz w:val="24"/>
                <w:szCs w:val="24"/>
                <w:lang w:eastAsia="ru-RU"/>
              </w:rPr>
              <w:t>Д</w:t>
            </w:r>
            <w:r w:rsidR="006738F0" w:rsidRPr="00006A39">
              <w:rPr>
                <w:rFonts w:eastAsia="Times New Roman"/>
                <w:sz w:val="24"/>
                <w:szCs w:val="24"/>
                <w:lang w:eastAsia="ru-RU"/>
              </w:rPr>
              <w:t>ерматовенерологічні</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557</w:t>
            </w:r>
          </w:p>
        </w:tc>
        <w:tc>
          <w:tcPr>
            <w:tcW w:w="0" w:type="auto"/>
            <w:tcBorders>
              <w:top w:val="single" w:sz="4" w:space="0" w:color="auto"/>
              <w:left w:val="single" w:sz="4" w:space="0" w:color="auto"/>
              <w:bottom w:val="single" w:sz="4" w:space="0" w:color="auto"/>
              <w:right w:val="single" w:sz="4" w:space="0" w:color="auto"/>
            </w:tcBorders>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418</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-24,96</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6738F0" w:rsidRPr="00006A39" w:rsidRDefault="006738F0" w:rsidP="001B3851">
            <w:pPr>
              <w:widowControl w:val="0"/>
              <w:spacing w:line="276" w:lineRule="auto"/>
              <w:jc w:val="center"/>
              <w:rPr>
                <w:rFonts w:eastAsia="Times New Roman"/>
                <w:sz w:val="24"/>
                <w:szCs w:val="24"/>
                <w:lang w:eastAsia="ru-RU"/>
              </w:rPr>
            </w:pPr>
            <w:r w:rsidRPr="00006A39">
              <w:rPr>
                <w:rFonts w:eastAsia="Times New Roman"/>
                <w:sz w:val="24"/>
                <w:szCs w:val="24"/>
                <w:lang w:eastAsia="ru-RU"/>
              </w:rPr>
              <w:t>0,73</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0,55</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-24,66</w:t>
            </w:r>
          </w:p>
        </w:tc>
      </w:tr>
      <w:tr w:rsidR="006738F0" w:rsidRPr="00006A39" w:rsidTr="003B67F9">
        <w:trPr>
          <w:trHeight w:val="227"/>
          <w:jc w:val="center"/>
        </w:trPr>
        <w:tc>
          <w:tcPr>
            <w:tcW w:w="0" w:type="auto"/>
            <w:tcBorders>
              <w:top w:val="single" w:sz="4" w:space="0" w:color="auto"/>
              <w:left w:val="single" w:sz="4" w:space="0" w:color="auto"/>
              <w:bottom w:val="single" w:sz="4" w:space="0" w:color="auto"/>
              <w:right w:val="single" w:sz="4" w:space="0" w:color="auto"/>
            </w:tcBorders>
            <w:shd w:val="clear" w:color="auto" w:fill="auto"/>
          </w:tcPr>
          <w:p w:rsidR="006738F0" w:rsidRPr="00006A39" w:rsidRDefault="002A4861" w:rsidP="001B3851">
            <w:pPr>
              <w:widowControl w:val="0"/>
              <w:spacing w:line="276" w:lineRule="auto"/>
              <w:rPr>
                <w:rFonts w:eastAsia="Times New Roman"/>
                <w:sz w:val="24"/>
                <w:szCs w:val="24"/>
                <w:lang w:eastAsia="ru-RU"/>
              </w:rPr>
            </w:pPr>
            <w:r>
              <w:rPr>
                <w:rFonts w:eastAsia="Times New Roman"/>
                <w:sz w:val="24"/>
                <w:szCs w:val="24"/>
                <w:lang w:eastAsia="ru-RU"/>
              </w:rPr>
              <w:t>В</w:t>
            </w:r>
            <w:r w:rsidR="006738F0" w:rsidRPr="00006A39">
              <w:rPr>
                <w:rFonts w:eastAsia="Times New Roman"/>
                <w:sz w:val="24"/>
                <w:szCs w:val="24"/>
                <w:lang w:eastAsia="ru-RU"/>
              </w:rPr>
              <w:t>ідновного лікування</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320</w:t>
            </w:r>
          </w:p>
        </w:tc>
        <w:tc>
          <w:tcPr>
            <w:tcW w:w="0" w:type="auto"/>
            <w:tcBorders>
              <w:top w:val="single" w:sz="4" w:space="0" w:color="auto"/>
              <w:left w:val="single" w:sz="4" w:space="0" w:color="auto"/>
              <w:bottom w:val="single" w:sz="4" w:space="0" w:color="auto"/>
              <w:right w:val="single" w:sz="4" w:space="0" w:color="auto"/>
            </w:tcBorders>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305</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-4,69</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6738F0" w:rsidRPr="00006A39" w:rsidRDefault="006738F0" w:rsidP="001B3851">
            <w:pPr>
              <w:widowControl w:val="0"/>
              <w:spacing w:line="276" w:lineRule="auto"/>
              <w:jc w:val="center"/>
              <w:rPr>
                <w:rFonts w:eastAsia="Times New Roman"/>
                <w:sz w:val="24"/>
                <w:szCs w:val="24"/>
                <w:lang w:eastAsia="ru-RU"/>
              </w:rPr>
            </w:pPr>
            <w:r w:rsidRPr="00006A39">
              <w:rPr>
                <w:rFonts w:eastAsia="Times New Roman"/>
                <w:sz w:val="24"/>
                <w:szCs w:val="24"/>
                <w:lang w:eastAsia="ru-RU"/>
              </w:rPr>
              <w:t>0,42</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0,4</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-4,76</w:t>
            </w:r>
          </w:p>
        </w:tc>
      </w:tr>
      <w:tr w:rsidR="006738F0" w:rsidRPr="00006A39" w:rsidTr="003B67F9">
        <w:trPr>
          <w:trHeight w:val="227"/>
          <w:jc w:val="center"/>
        </w:trPr>
        <w:tc>
          <w:tcPr>
            <w:tcW w:w="0" w:type="auto"/>
            <w:tcBorders>
              <w:top w:val="single" w:sz="4" w:space="0" w:color="auto"/>
              <w:left w:val="single" w:sz="4" w:space="0" w:color="auto"/>
              <w:bottom w:val="single" w:sz="4" w:space="0" w:color="auto"/>
              <w:right w:val="single" w:sz="4" w:space="0" w:color="auto"/>
            </w:tcBorders>
            <w:shd w:val="clear" w:color="auto" w:fill="auto"/>
          </w:tcPr>
          <w:p w:rsidR="006738F0" w:rsidRPr="00006A39" w:rsidRDefault="002A4861" w:rsidP="001B3851">
            <w:pPr>
              <w:widowControl w:val="0"/>
              <w:spacing w:line="276" w:lineRule="auto"/>
              <w:rPr>
                <w:rFonts w:eastAsia="Times New Roman"/>
                <w:sz w:val="24"/>
                <w:szCs w:val="24"/>
                <w:lang w:eastAsia="ru-RU"/>
              </w:rPr>
            </w:pPr>
            <w:r>
              <w:rPr>
                <w:rFonts w:eastAsia="Times New Roman"/>
                <w:sz w:val="24"/>
                <w:szCs w:val="24"/>
                <w:lang w:eastAsia="ru-RU"/>
              </w:rPr>
              <w:t>Т</w:t>
            </w:r>
            <w:r w:rsidR="006738F0" w:rsidRPr="00006A39">
              <w:rPr>
                <w:rFonts w:eastAsia="Times New Roman"/>
                <w:sz w:val="24"/>
                <w:szCs w:val="24"/>
                <w:lang w:eastAsia="ru-RU"/>
              </w:rPr>
              <w:t>уберкульозні</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960</w:t>
            </w:r>
          </w:p>
        </w:tc>
        <w:tc>
          <w:tcPr>
            <w:tcW w:w="0" w:type="auto"/>
            <w:tcBorders>
              <w:top w:val="single" w:sz="4" w:space="0" w:color="auto"/>
              <w:left w:val="single" w:sz="4" w:space="0" w:color="auto"/>
              <w:bottom w:val="single" w:sz="4" w:space="0" w:color="auto"/>
              <w:right w:val="single" w:sz="4" w:space="0" w:color="auto"/>
            </w:tcBorders>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733</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bCs/>
                <w:color w:val="000000"/>
                <w:sz w:val="24"/>
                <w:szCs w:val="24"/>
                <w:lang w:eastAsia="ru-RU"/>
              </w:rPr>
              <w:t>-</w:t>
            </w:r>
            <w:r w:rsidRPr="00006A39">
              <w:rPr>
                <w:rFonts w:eastAsia="Times New Roman"/>
                <w:color w:val="000000"/>
                <w:sz w:val="24"/>
                <w:szCs w:val="24"/>
                <w:lang w:eastAsia="ru-RU"/>
              </w:rPr>
              <w:t>24,00</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6738F0" w:rsidRPr="00006A39" w:rsidRDefault="006738F0" w:rsidP="001B3851">
            <w:pPr>
              <w:widowControl w:val="0"/>
              <w:spacing w:line="276" w:lineRule="auto"/>
              <w:jc w:val="center"/>
              <w:rPr>
                <w:rFonts w:eastAsia="Times New Roman"/>
                <w:sz w:val="24"/>
                <w:szCs w:val="24"/>
                <w:lang w:eastAsia="ru-RU"/>
              </w:rPr>
            </w:pPr>
            <w:r w:rsidRPr="00006A39">
              <w:rPr>
                <w:rFonts w:eastAsia="Times New Roman"/>
                <w:sz w:val="24"/>
                <w:szCs w:val="24"/>
                <w:lang w:eastAsia="ru-RU"/>
              </w:rPr>
              <w:t>1,28</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6738F0" w:rsidRPr="00006A39" w:rsidRDefault="006738F0" w:rsidP="001B3851">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0,96</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6738F0" w:rsidRPr="00006A39" w:rsidRDefault="006738F0" w:rsidP="001B3851">
            <w:pPr>
              <w:widowControl w:val="0"/>
              <w:spacing w:line="276" w:lineRule="auto"/>
              <w:jc w:val="center"/>
              <w:rPr>
                <w:rFonts w:eastAsia="Times New Roman"/>
                <w:bCs/>
                <w:color w:val="000000"/>
                <w:sz w:val="24"/>
                <w:szCs w:val="24"/>
                <w:lang w:eastAsia="ru-RU"/>
              </w:rPr>
            </w:pPr>
            <w:r w:rsidRPr="00006A39">
              <w:rPr>
                <w:rFonts w:eastAsia="Times New Roman"/>
                <w:bCs/>
                <w:color w:val="000000"/>
                <w:sz w:val="24"/>
                <w:szCs w:val="24"/>
                <w:lang w:eastAsia="ru-RU"/>
              </w:rPr>
              <w:t>-25,00</w:t>
            </w:r>
          </w:p>
        </w:tc>
      </w:tr>
    </w:tbl>
    <w:p w:rsidR="006738F0" w:rsidRPr="00006A39" w:rsidRDefault="006738F0" w:rsidP="00721203">
      <w:pPr>
        <w:widowControl w:val="0"/>
        <w:ind w:firstLine="709"/>
        <w:jc w:val="center"/>
        <w:rPr>
          <w:rFonts w:eastAsia="Times New Roman"/>
          <w:szCs w:val="28"/>
          <w:lang w:eastAsia="ru-RU"/>
        </w:rPr>
      </w:pPr>
    </w:p>
    <w:p w:rsidR="00170633" w:rsidRPr="00CD7F72" w:rsidRDefault="006738F0" w:rsidP="00170633">
      <w:pPr>
        <w:widowControl w:val="0"/>
        <w:ind w:firstLine="709"/>
        <w:rPr>
          <w:rFonts w:eastAsia="Times New Roman"/>
          <w:szCs w:val="28"/>
          <w:lang w:eastAsia="ru-RU"/>
        </w:rPr>
      </w:pPr>
      <w:r w:rsidRPr="00006A39">
        <w:rPr>
          <w:rFonts w:eastAsia="Times New Roman"/>
          <w:szCs w:val="28"/>
          <w:lang w:eastAsia="ru-RU"/>
        </w:rPr>
        <w:t>Важливим з точки зору запобігання в</w:t>
      </w:r>
      <w:r w:rsidR="004F2D02">
        <w:rPr>
          <w:rFonts w:eastAsia="Times New Roman"/>
          <w:szCs w:val="28"/>
          <w:lang w:eastAsia="ru-RU"/>
        </w:rPr>
        <w:t>ипадкам смерті новонароджених є</w:t>
      </w:r>
      <w:r w:rsidR="00CD7F72">
        <w:rPr>
          <w:rFonts w:eastAsia="Times New Roman"/>
          <w:szCs w:val="28"/>
          <w:lang w:eastAsia="ru-RU"/>
        </w:rPr>
        <w:t xml:space="preserve"> забезпечення</w:t>
      </w:r>
      <w:r w:rsidRPr="00006A39">
        <w:rPr>
          <w:rFonts w:eastAsia="Times New Roman"/>
          <w:szCs w:val="28"/>
          <w:lang w:eastAsia="ru-RU"/>
        </w:rPr>
        <w:t xml:space="preserve"> їх лікарняними ліжками. За результатами проведеного аналізу встановлено, що за 2014-2018 рр. медіанний показник забезпеченості ліжками для недоношених та хворих новонароджених в Україні достовірно збільшилась з 4,95‰ до 6,56‰, (р=0,0003), але міжквартильний інтервал залишився однаковим, що </w:t>
      </w:r>
      <w:r w:rsidRPr="00006A39">
        <w:rPr>
          <w:rFonts w:eastAsia="Times New Roman"/>
          <w:szCs w:val="28"/>
          <w:lang w:eastAsia="ru-RU"/>
        </w:rPr>
        <w:lastRenderedPageBreak/>
        <w:t>свідчить про пролонгацію диспропорцій забезпеченості адміністративних територій країни ліжками для передчасно народжених та хворих новонароджених</w:t>
      </w:r>
      <w:r w:rsidR="00F34224">
        <w:rPr>
          <w:rFonts w:eastAsia="Times New Roman"/>
          <w:szCs w:val="28"/>
          <w:lang w:eastAsia="ru-RU"/>
        </w:rPr>
        <w:t xml:space="preserve"> (рис.</w:t>
      </w:r>
      <w:r w:rsidR="005372A3">
        <w:rPr>
          <w:rFonts w:eastAsia="Times New Roman"/>
          <w:szCs w:val="28"/>
          <w:lang w:eastAsia="ru-RU"/>
        </w:rPr>
        <w:t xml:space="preserve"> </w:t>
      </w:r>
      <w:r w:rsidR="00F34224">
        <w:rPr>
          <w:rFonts w:eastAsia="Times New Roman"/>
          <w:szCs w:val="28"/>
          <w:lang w:eastAsia="ru-RU"/>
        </w:rPr>
        <w:t>5.2)</w:t>
      </w:r>
      <w:r w:rsidRPr="00006A39">
        <w:rPr>
          <w:rFonts w:eastAsia="Times New Roman"/>
          <w:szCs w:val="28"/>
          <w:lang w:eastAsia="ru-RU"/>
        </w:rPr>
        <w:t>.</w:t>
      </w:r>
    </w:p>
    <w:p w:rsidR="006738F0" w:rsidRPr="00006A39" w:rsidRDefault="00C64F5A" w:rsidP="00170633">
      <w:pPr>
        <w:widowControl w:val="0"/>
        <w:ind w:firstLine="709"/>
        <w:rPr>
          <w:rFonts w:eastAsia="Times New Roman"/>
          <w:szCs w:val="28"/>
          <w:lang w:eastAsia="ru-RU"/>
        </w:rPr>
      </w:pPr>
      <w:r w:rsidRPr="00006A39">
        <w:rPr>
          <w:rFonts w:eastAsia="Times New Roman"/>
          <w:noProof/>
          <w:szCs w:val="28"/>
          <w:lang w:val="ru-RU" w:eastAsia="ru-RU"/>
        </w:rPr>
        <mc:AlternateContent>
          <mc:Choice Requires="wps">
            <w:drawing>
              <wp:anchor distT="0" distB="0" distL="114300" distR="114300" simplePos="0" relativeHeight="251686912" behindDoc="0" locked="0" layoutInCell="1" allowOverlap="1" wp14:anchorId="224CB2F7" wp14:editId="737A7A74">
                <wp:simplePos x="0" y="0"/>
                <wp:positionH relativeFrom="column">
                  <wp:posOffset>3305810</wp:posOffset>
                </wp:positionH>
                <wp:positionV relativeFrom="paragraph">
                  <wp:posOffset>538480</wp:posOffset>
                </wp:positionV>
                <wp:extent cx="871220" cy="563245"/>
                <wp:effectExtent l="0" t="0" r="0" b="0"/>
                <wp:wrapNone/>
                <wp:docPr id="57" name="Надпись 57"/>
                <wp:cNvGraphicFramePr/>
                <a:graphic xmlns:a="http://schemas.openxmlformats.org/drawingml/2006/main">
                  <a:graphicData uri="http://schemas.microsoft.com/office/word/2010/wordprocessingShape">
                    <wps:wsp>
                      <wps:cNvSpPr txBox="1"/>
                      <wps:spPr>
                        <a:xfrm>
                          <a:off x="0" y="0"/>
                          <a:ext cx="871220" cy="563245"/>
                        </a:xfrm>
                        <a:prstGeom prst="rect">
                          <a:avLst/>
                        </a:prstGeom>
                        <a:noFill/>
                        <a:ln w="6350">
                          <a:noFill/>
                        </a:ln>
                      </wps:spPr>
                      <wps:txbx>
                        <w:txbxContent>
                          <w:p w:rsidR="001E1DF5" w:rsidRPr="007C5D58" w:rsidRDefault="001E1DF5" w:rsidP="006738F0">
                            <w:pPr>
                              <w:spacing w:line="240" w:lineRule="auto"/>
                              <w:rPr>
                                <w:sz w:val="20"/>
                                <w:szCs w:val="20"/>
                                <w:lang w:val="en-US"/>
                              </w:rPr>
                            </w:pPr>
                            <w:r w:rsidRPr="007C5D58">
                              <w:rPr>
                                <w:sz w:val="20"/>
                                <w:szCs w:val="20"/>
                              </w:rPr>
                              <w:t>Ме</w:t>
                            </w:r>
                            <w:r>
                              <w:rPr>
                                <w:sz w:val="20"/>
                                <w:szCs w:val="20"/>
                                <w:lang w:val="en-US"/>
                              </w:rPr>
                              <w:t>=6.56</w:t>
                            </w:r>
                          </w:p>
                          <w:p w:rsidR="001E1DF5" w:rsidRPr="007C5D58" w:rsidRDefault="001E1DF5" w:rsidP="006738F0">
                            <w:pPr>
                              <w:spacing w:line="240" w:lineRule="auto"/>
                              <w:rPr>
                                <w:sz w:val="20"/>
                                <w:szCs w:val="20"/>
                                <w:lang w:val="en-US"/>
                              </w:rPr>
                            </w:pPr>
                            <w:r w:rsidRPr="007C5D58">
                              <w:rPr>
                                <w:sz w:val="20"/>
                                <w:szCs w:val="20"/>
                                <w:lang w:val="en-US"/>
                              </w:rPr>
                              <w:t>Q1</w:t>
                            </w:r>
                            <w:r>
                              <w:rPr>
                                <w:sz w:val="20"/>
                                <w:szCs w:val="20"/>
                                <w:lang w:val="en-US"/>
                              </w:rPr>
                              <w:t>=5.85</w:t>
                            </w:r>
                          </w:p>
                          <w:p w:rsidR="001E1DF5" w:rsidRPr="007C5D58" w:rsidRDefault="001E1DF5" w:rsidP="006738F0">
                            <w:pPr>
                              <w:spacing w:line="240" w:lineRule="auto"/>
                              <w:rPr>
                                <w:sz w:val="20"/>
                                <w:szCs w:val="20"/>
                                <w:lang w:val="en-US"/>
                              </w:rPr>
                            </w:pPr>
                            <w:r w:rsidRPr="007C5D58">
                              <w:rPr>
                                <w:sz w:val="20"/>
                                <w:szCs w:val="20"/>
                                <w:lang w:val="en-US"/>
                              </w:rPr>
                              <w:t>Q2</w:t>
                            </w:r>
                            <w:r>
                              <w:rPr>
                                <w:sz w:val="20"/>
                                <w:szCs w:val="20"/>
                                <w:lang w:val="en-US"/>
                              </w:rPr>
                              <w:t>=7.44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Надпись 57" o:spid="_x0000_s1110" type="#_x0000_t202" style="position:absolute;left:0;text-align:left;margin-left:260.3pt;margin-top:42.4pt;width:68.6pt;height:44.3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" filled="f" stroked="f" strokeweight=".5pt">
                <v:textbox>
                  <w:txbxContent>
                    <w:p w:rsidR="0057431A" w:rsidRPr="007C5D58" w:rsidRDefault="0057431A" w:rsidP="006738F0">
                      <w:pPr>
                        <w:spacing w:line="240" w:lineRule="auto"/>
                        <w:rPr>
                          <w:sz w:val="20"/>
                          <w:szCs w:val="20"/>
                          <w:lang w:val="en-US"/>
                        </w:rPr>
                      </w:pPr>
                      <w:r w:rsidRPr="007C5D58">
                        <w:rPr>
                          <w:sz w:val="20"/>
                          <w:szCs w:val="20"/>
                        </w:rPr>
                        <w:t>Ме</w:t>
                      </w:r>
                      <w:r>
                        <w:rPr>
                          <w:sz w:val="20"/>
                          <w:szCs w:val="20"/>
                          <w:lang w:val="en-US"/>
                        </w:rPr>
                        <w:t>=6.56</w:t>
                      </w:r>
                    </w:p>
                    <w:p w:rsidR="0057431A" w:rsidRPr="007C5D58" w:rsidRDefault="0057431A" w:rsidP="006738F0">
                      <w:pPr>
                        <w:spacing w:line="240" w:lineRule="auto"/>
                        <w:rPr>
                          <w:sz w:val="20"/>
                          <w:szCs w:val="20"/>
                          <w:lang w:val="en-US"/>
                        </w:rPr>
                      </w:pPr>
                      <w:r w:rsidRPr="007C5D58">
                        <w:rPr>
                          <w:sz w:val="20"/>
                          <w:szCs w:val="20"/>
                          <w:lang w:val="en-US"/>
                        </w:rPr>
                        <w:t>Q1</w:t>
                      </w:r>
                      <w:r>
                        <w:rPr>
                          <w:sz w:val="20"/>
                          <w:szCs w:val="20"/>
                          <w:lang w:val="en-US"/>
                        </w:rPr>
                        <w:t>=5.85</w:t>
                      </w:r>
                    </w:p>
                    <w:p w:rsidR="0057431A" w:rsidRPr="007C5D58" w:rsidRDefault="0057431A" w:rsidP="006738F0">
                      <w:pPr>
                        <w:spacing w:line="240" w:lineRule="auto"/>
                        <w:rPr>
                          <w:sz w:val="20"/>
                          <w:szCs w:val="20"/>
                          <w:lang w:val="en-US"/>
                        </w:rPr>
                      </w:pPr>
                      <w:r w:rsidRPr="007C5D58">
                        <w:rPr>
                          <w:sz w:val="20"/>
                          <w:szCs w:val="20"/>
                          <w:lang w:val="en-US"/>
                        </w:rPr>
                        <w:t>Q2</w:t>
                      </w:r>
                      <w:r>
                        <w:rPr>
                          <w:sz w:val="20"/>
                          <w:szCs w:val="20"/>
                          <w:lang w:val="en-US"/>
                        </w:rPr>
                        <w:t>=7.44</w:t>
                      </w:r>
                    </w:p>
                  </w:txbxContent>
                </v:textbox>
              </v:shape>
            </w:pict>
          </mc:Fallback>
        </mc:AlternateContent>
      </w:r>
      <w:r w:rsidRPr="00006A39">
        <w:rPr>
          <w:rFonts w:eastAsia="Times New Roman"/>
          <w:noProof/>
          <w:szCs w:val="28"/>
          <w:lang w:val="ru-RU" w:eastAsia="ru-RU"/>
        </w:rPr>
        <mc:AlternateContent>
          <mc:Choice Requires="wps">
            <w:drawing>
              <wp:anchor distT="0" distB="0" distL="114300" distR="114300" simplePos="0" relativeHeight="251685888" behindDoc="0" locked="0" layoutInCell="1" allowOverlap="1" wp14:anchorId="3CB8B458" wp14:editId="14EB65B8">
                <wp:simplePos x="0" y="0"/>
                <wp:positionH relativeFrom="column">
                  <wp:posOffset>1536065</wp:posOffset>
                </wp:positionH>
                <wp:positionV relativeFrom="paragraph">
                  <wp:posOffset>579120</wp:posOffset>
                </wp:positionV>
                <wp:extent cx="871220" cy="563245"/>
                <wp:effectExtent l="0" t="0" r="0" b="0"/>
                <wp:wrapNone/>
                <wp:docPr id="58" name="Надпись 58"/>
                <wp:cNvGraphicFramePr/>
                <a:graphic xmlns:a="http://schemas.openxmlformats.org/drawingml/2006/main">
                  <a:graphicData uri="http://schemas.microsoft.com/office/word/2010/wordprocessingShape">
                    <wps:wsp>
                      <wps:cNvSpPr txBox="1"/>
                      <wps:spPr>
                        <a:xfrm>
                          <a:off x="0" y="0"/>
                          <a:ext cx="871220" cy="563245"/>
                        </a:xfrm>
                        <a:prstGeom prst="rect">
                          <a:avLst/>
                        </a:prstGeom>
                        <a:noFill/>
                        <a:ln w="6350">
                          <a:noFill/>
                        </a:ln>
                      </wps:spPr>
                      <wps:txbx>
                        <w:txbxContent>
                          <w:p w:rsidR="001E1DF5" w:rsidRPr="007C5D58" w:rsidRDefault="001E1DF5" w:rsidP="006738F0">
                            <w:pPr>
                              <w:spacing w:line="240" w:lineRule="auto"/>
                              <w:rPr>
                                <w:sz w:val="20"/>
                                <w:szCs w:val="20"/>
                                <w:lang w:val="en-US"/>
                              </w:rPr>
                            </w:pPr>
                            <w:r w:rsidRPr="007C5D58">
                              <w:rPr>
                                <w:sz w:val="20"/>
                                <w:szCs w:val="20"/>
                              </w:rPr>
                              <w:t>Ме</w:t>
                            </w:r>
                            <w:r>
                              <w:rPr>
                                <w:sz w:val="20"/>
                                <w:szCs w:val="20"/>
                                <w:lang w:val="en-US"/>
                              </w:rPr>
                              <w:t>=4.95</w:t>
                            </w:r>
                          </w:p>
                          <w:p w:rsidR="001E1DF5" w:rsidRPr="007C5D58" w:rsidRDefault="001E1DF5" w:rsidP="006738F0">
                            <w:pPr>
                              <w:spacing w:line="240" w:lineRule="auto"/>
                              <w:rPr>
                                <w:sz w:val="20"/>
                                <w:szCs w:val="20"/>
                                <w:lang w:val="en-US"/>
                              </w:rPr>
                            </w:pPr>
                            <w:r w:rsidRPr="007C5D58">
                              <w:rPr>
                                <w:sz w:val="20"/>
                                <w:szCs w:val="20"/>
                                <w:lang w:val="en-US"/>
                              </w:rPr>
                              <w:t>Q1</w:t>
                            </w:r>
                            <w:r>
                              <w:rPr>
                                <w:sz w:val="20"/>
                                <w:szCs w:val="20"/>
                                <w:lang w:val="en-US"/>
                              </w:rPr>
                              <w:t>=4.0</w:t>
                            </w:r>
                          </w:p>
                          <w:p w:rsidR="001E1DF5" w:rsidRPr="007C5D58" w:rsidRDefault="001E1DF5" w:rsidP="006738F0">
                            <w:pPr>
                              <w:spacing w:line="240" w:lineRule="auto"/>
                              <w:rPr>
                                <w:sz w:val="20"/>
                                <w:szCs w:val="20"/>
                                <w:lang w:val="en-US"/>
                              </w:rPr>
                            </w:pPr>
                            <w:r w:rsidRPr="007C5D58">
                              <w:rPr>
                                <w:sz w:val="20"/>
                                <w:szCs w:val="20"/>
                                <w:lang w:val="en-US"/>
                              </w:rPr>
                              <w:t>Q2</w:t>
                            </w:r>
                            <w:r>
                              <w:rPr>
                                <w:sz w:val="20"/>
                                <w:szCs w:val="20"/>
                                <w:lang w:val="en-US"/>
                              </w:rPr>
                              <w:t>=5.5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Надпись 58" o:spid="_x0000_s1111" type="#_x0000_t202" style="position:absolute;left:0;text-align:left;margin-left:120.95pt;margin-top:45.6pt;width:68.6pt;height:44.3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" filled="f" stroked="f" strokeweight=".5pt">
                <v:textbox>
                  <w:txbxContent>
                    <w:p w:rsidR="0057431A" w:rsidRPr="007C5D58" w:rsidRDefault="0057431A" w:rsidP="006738F0">
                      <w:pPr>
                        <w:spacing w:line="240" w:lineRule="auto"/>
                        <w:rPr>
                          <w:sz w:val="20"/>
                          <w:szCs w:val="20"/>
                          <w:lang w:val="en-US"/>
                        </w:rPr>
                      </w:pPr>
                      <w:r w:rsidRPr="007C5D58">
                        <w:rPr>
                          <w:sz w:val="20"/>
                          <w:szCs w:val="20"/>
                        </w:rPr>
                        <w:t>Ме</w:t>
                      </w:r>
                      <w:r>
                        <w:rPr>
                          <w:sz w:val="20"/>
                          <w:szCs w:val="20"/>
                          <w:lang w:val="en-US"/>
                        </w:rPr>
                        <w:t>=4.95</w:t>
                      </w:r>
                    </w:p>
                    <w:p w:rsidR="0057431A" w:rsidRPr="007C5D58" w:rsidRDefault="0057431A" w:rsidP="006738F0">
                      <w:pPr>
                        <w:spacing w:line="240" w:lineRule="auto"/>
                        <w:rPr>
                          <w:sz w:val="20"/>
                          <w:szCs w:val="20"/>
                          <w:lang w:val="en-US"/>
                        </w:rPr>
                      </w:pPr>
                      <w:r w:rsidRPr="007C5D58">
                        <w:rPr>
                          <w:sz w:val="20"/>
                          <w:szCs w:val="20"/>
                          <w:lang w:val="en-US"/>
                        </w:rPr>
                        <w:t>Q1</w:t>
                      </w:r>
                      <w:r>
                        <w:rPr>
                          <w:sz w:val="20"/>
                          <w:szCs w:val="20"/>
                          <w:lang w:val="en-US"/>
                        </w:rPr>
                        <w:t>=4.0</w:t>
                      </w:r>
                    </w:p>
                    <w:p w:rsidR="0057431A" w:rsidRPr="007C5D58" w:rsidRDefault="0057431A" w:rsidP="006738F0">
                      <w:pPr>
                        <w:spacing w:line="240" w:lineRule="auto"/>
                        <w:rPr>
                          <w:sz w:val="20"/>
                          <w:szCs w:val="20"/>
                          <w:lang w:val="en-US"/>
                        </w:rPr>
                      </w:pPr>
                      <w:r w:rsidRPr="007C5D58">
                        <w:rPr>
                          <w:sz w:val="20"/>
                          <w:szCs w:val="20"/>
                          <w:lang w:val="en-US"/>
                        </w:rPr>
                        <w:t>Q2</w:t>
                      </w:r>
                      <w:r>
                        <w:rPr>
                          <w:sz w:val="20"/>
                          <w:szCs w:val="20"/>
                          <w:lang w:val="en-US"/>
                        </w:rPr>
                        <w:t>=5.5</w:t>
                      </w:r>
                    </w:p>
                  </w:txbxContent>
                </v:textbox>
              </v:shape>
            </w:pict>
          </mc:Fallback>
        </mc:AlternateContent>
      </w:r>
      <w:r w:rsidR="006738F0" w:rsidRPr="00006A39">
        <w:rPr>
          <w:rFonts w:eastAsia="Times New Roman"/>
          <w:noProof/>
          <w:szCs w:val="28"/>
          <w:lang w:val="ru-RU" w:eastAsia="ru-RU"/>
        </w:rPr>
        <w:drawing>
          <wp:inline distT="0" distB="0" distL="0" distR="0" wp14:anchorId="25A9FDD7" wp14:editId="057BEB37">
            <wp:extent cx="5411754" cy="4432040"/>
            <wp:effectExtent l="0" t="0" r="0" b="0"/>
            <wp:docPr id="66"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423709" cy="4441831"/>
                    </a:xfrm>
                    <a:prstGeom prst="rect">
                      <a:avLst/>
                    </a:prstGeom>
                    <a:noFill/>
                    <a:ln>
                      <a:noFill/>
                    </a:ln>
                  </pic:spPr>
                </pic:pic>
              </a:graphicData>
            </a:graphic>
          </wp:inline>
        </w:drawing>
      </w:r>
    </w:p>
    <w:p w:rsidR="006738F0" w:rsidRPr="00006A39" w:rsidRDefault="006738F0" w:rsidP="00721203">
      <w:pPr>
        <w:widowControl w:val="0"/>
        <w:spacing w:after="120"/>
        <w:ind w:firstLine="709"/>
        <w:rPr>
          <w:rFonts w:eastAsia="Times New Roman"/>
          <w:szCs w:val="28"/>
          <w:lang w:eastAsia="ru-RU"/>
        </w:rPr>
      </w:pPr>
      <w:r w:rsidRPr="00006A39">
        <w:rPr>
          <w:rFonts w:eastAsia="Times New Roman"/>
          <w:szCs w:val="28"/>
          <w:lang w:eastAsia="ru-RU"/>
        </w:rPr>
        <w:t>Рис.</w:t>
      </w:r>
      <w:r w:rsidR="004C0146">
        <w:rPr>
          <w:rFonts w:eastAsia="Times New Roman"/>
          <w:szCs w:val="28"/>
          <w:lang w:eastAsia="ru-RU"/>
        </w:rPr>
        <w:t xml:space="preserve"> </w:t>
      </w:r>
      <w:r w:rsidRPr="00006A39">
        <w:rPr>
          <w:rFonts w:eastAsia="Times New Roman"/>
          <w:szCs w:val="28"/>
          <w:lang w:eastAsia="ru-RU"/>
        </w:rPr>
        <w:t>5.2. Забезпеченість ліжками для недоношених та хворих новонароджених в Україні</w:t>
      </w:r>
    </w:p>
    <w:p w:rsidR="00CF174E" w:rsidRDefault="00BC7999" w:rsidP="00721203">
      <w:pPr>
        <w:widowControl w:val="0"/>
        <w:ind w:firstLine="709"/>
        <w:rPr>
          <w:rFonts w:eastAsia="Times New Roman"/>
          <w:szCs w:val="28"/>
          <w:lang w:eastAsia="ru-RU"/>
        </w:rPr>
      </w:pPr>
      <w:r>
        <w:rPr>
          <w:rFonts w:eastAsia="Times New Roman"/>
          <w:szCs w:val="28"/>
          <w:lang w:eastAsia="ru-RU"/>
        </w:rPr>
        <w:t>Слід зазначити, що</w:t>
      </w:r>
      <w:r w:rsidR="00CF174E" w:rsidRPr="00CF174E">
        <w:rPr>
          <w:rFonts w:eastAsia="Times New Roman"/>
          <w:szCs w:val="28"/>
          <w:lang w:eastAsia="ru-RU"/>
        </w:rPr>
        <w:t xml:space="preserve"> рівням забезпеченості лікарняними ліжками новонароджених притаманне зростання за всіма регіонами країни та значні регіональні відмінності: найнижчі рівні показника спостерігаються у Рівненській (2,05‰), Івано-Франківській (3,91‰), Київській областях (4,24‰), найвищі – у Харківській (9,18‰), Луганській (9,76‰), Донецькій (10,5‰),  Запорізькій (12,68</w:t>
      </w:r>
      <w:r w:rsidR="00CF174E" w:rsidRPr="00CF174E">
        <w:rPr>
          <w:rFonts w:eastAsia="Times New Roman"/>
          <w:bCs/>
          <w:szCs w:val="28"/>
          <w:lang w:eastAsia="ru-RU"/>
        </w:rPr>
        <w:t xml:space="preserve"> ‰)</w:t>
      </w:r>
      <w:r w:rsidR="00CF174E" w:rsidRPr="00CF174E">
        <w:rPr>
          <w:rFonts w:eastAsia="Times New Roman"/>
          <w:szCs w:val="28"/>
          <w:lang w:eastAsia="ru-RU"/>
        </w:rPr>
        <w:t xml:space="preserve"> областях. Гранична різниця показника склала 6,19 рази</w:t>
      </w:r>
      <w:r w:rsidR="00CF174E">
        <w:rPr>
          <w:rFonts w:eastAsia="Times New Roman"/>
          <w:szCs w:val="28"/>
          <w:lang w:eastAsia="ru-RU"/>
        </w:rPr>
        <w:t xml:space="preserve"> (табл. 5.7).</w:t>
      </w:r>
    </w:p>
    <w:p w:rsidR="00EF20AE" w:rsidRPr="008716DF" w:rsidRDefault="006738F0" w:rsidP="008716DF">
      <w:pPr>
        <w:widowControl w:val="0"/>
        <w:ind w:firstLine="709"/>
        <w:rPr>
          <w:rFonts w:eastAsia="Times New Roman"/>
          <w:szCs w:val="28"/>
          <w:lang w:eastAsia="ru-RU"/>
        </w:rPr>
      </w:pPr>
      <w:r w:rsidRPr="00006A39">
        <w:rPr>
          <w:rFonts w:eastAsia="Times New Roman"/>
          <w:szCs w:val="28"/>
          <w:lang w:eastAsia="ru-RU"/>
        </w:rPr>
        <w:t xml:space="preserve">Крім того, нами відмічені варіації й у обсягах зростання даного показника. Так, якщо у Рівненській області забезпеченість ліжками недоношених та хворих новонароджених зросла на </w:t>
      </w:r>
      <w:r w:rsidR="006F43AD">
        <w:rPr>
          <w:rFonts w:eastAsia="Times New Roman"/>
          <w:szCs w:val="28"/>
          <w:lang w:eastAsia="ru-RU"/>
        </w:rPr>
        <w:t>2,5%, у м. Київ на 8,69%</w:t>
      </w:r>
      <w:r w:rsidR="006F43AD" w:rsidRPr="006F43AD">
        <w:rPr>
          <w:rFonts w:eastAsia="Times New Roman"/>
          <w:szCs w:val="28"/>
          <w:lang w:eastAsia="ru-RU"/>
        </w:rPr>
        <w:t xml:space="preserve">, </w:t>
      </w:r>
      <w:r w:rsidR="006F43AD">
        <w:rPr>
          <w:rFonts w:eastAsia="Times New Roman"/>
          <w:szCs w:val="28"/>
          <w:lang w:eastAsia="ru-RU"/>
        </w:rPr>
        <w:t xml:space="preserve">у </w:t>
      </w:r>
      <w:r w:rsidR="006F43AD" w:rsidRPr="006F43AD">
        <w:rPr>
          <w:rFonts w:eastAsia="Times New Roman"/>
          <w:szCs w:val="28"/>
          <w:lang w:eastAsia="ru-RU"/>
        </w:rPr>
        <w:t xml:space="preserve">Івано-Франківській області </w:t>
      </w:r>
      <w:r w:rsidR="006F43AD">
        <w:rPr>
          <w:rFonts w:eastAsia="Times New Roman"/>
          <w:szCs w:val="28"/>
          <w:lang w:eastAsia="ru-RU"/>
        </w:rPr>
        <w:t>на 9,83%</w:t>
      </w:r>
      <w:r w:rsidR="006F43AD" w:rsidRPr="006F43AD">
        <w:rPr>
          <w:rFonts w:eastAsia="Times New Roman"/>
          <w:szCs w:val="28"/>
          <w:lang w:eastAsia="ru-RU"/>
        </w:rPr>
        <w:t>,</w:t>
      </w:r>
      <w:r w:rsidR="00A21DF5">
        <w:rPr>
          <w:rFonts w:eastAsia="Times New Roman"/>
          <w:szCs w:val="28"/>
          <w:lang w:eastAsia="ru-RU"/>
        </w:rPr>
        <w:t xml:space="preserve"> то </w:t>
      </w:r>
      <w:r w:rsidR="006F43AD" w:rsidRPr="006F43AD">
        <w:rPr>
          <w:rFonts w:eastAsia="Times New Roman"/>
          <w:szCs w:val="28"/>
          <w:lang w:eastAsia="ru-RU"/>
        </w:rPr>
        <w:t xml:space="preserve"> </w:t>
      </w:r>
      <w:r w:rsidR="00A21DF5">
        <w:rPr>
          <w:rFonts w:eastAsia="Times New Roman"/>
          <w:szCs w:val="28"/>
          <w:lang w:eastAsia="ru-RU"/>
        </w:rPr>
        <w:t xml:space="preserve">у </w:t>
      </w:r>
      <w:r w:rsidR="006F43AD" w:rsidRPr="006F43AD">
        <w:rPr>
          <w:rFonts w:eastAsia="Times New Roman"/>
          <w:szCs w:val="28"/>
          <w:lang w:eastAsia="ru-RU"/>
        </w:rPr>
        <w:t>Дніпропетровській</w:t>
      </w:r>
      <w:r w:rsidR="00A21DF5">
        <w:rPr>
          <w:rFonts w:eastAsia="Times New Roman"/>
          <w:szCs w:val="28"/>
          <w:lang w:eastAsia="ru-RU"/>
        </w:rPr>
        <w:t xml:space="preserve">, </w:t>
      </w:r>
      <w:r w:rsidR="00A21DF5" w:rsidRPr="00A21DF5">
        <w:rPr>
          <w:rFonts w:eastAsia="Times New Roman"/>
          <w:szCs w:val="28"/>
          <w:lang w:eastAsia="ru-RU"/>
        </w:rPr>
        <w:t xml:space="preserve">Волинській, </w:t>
      </w:r>
      <w:r w:rsidR="00A21DF5">
        <w:rPr>
          <w:rFonts w:eastAsia="Times New Roman"/>
          <w:szCs w:val="28"/>
          <w:lang w:eastAsia="ru-RU"/>
        </w:rPr>
        <w:t>Кіровоградській</w:t>
      </w:r>
      <w:r w:rsidR="006F43AD" w:rsidRPr="006F43AD">
        <w:rPr>
          <w:rFonts w:eastAsia="Times New Roman"/>
          <w:szCs w:val="28"/>
          <w:lang w:eastAsia="ru-RU"/>
        </w:rPr>
        <w:t xml:space="preserve"> областях</w:t>
      </w:r>
      <w:r w:rsidR="00A21DF5">
        <w:rPr>
          <w:rFonts w:eastAsia="Times New Roman"/>
          <w:szCs w:val="28"/>
          <w:lang w:eastAsia="ru-RU"/>
        </w:rPr>
        <w:t xml:space="preserve"> на </w:t>
      </w:r>
      <w:r w:rsidR="000C3DD3">
        <w:rPr>
          <w:rFonts w:eastAsia="Times New Roman"/>
          <w:szCs w:val="28"/>
          <w:lang w:eastAsia="ru-RU"/>
        </w:rPr>
        <w:t>60,81%, 67,3%, 97,64%</w:t>
      </w:r>
      <w:r w:rsidR="006F43AD" w:rsidRPr="006F43AD">
        <w:rPr>
          <w:rFonts w:eastAsia="Times New Roman"/>
          <w:szCs w:val="28"/>
          <w:lang w:eastAsia="ru-RU"/>
        </w:rPr>
        <w:t xml:space="preserve"> </w:t>
      </w:r>
      <w:r w:rsidRPr="00006A39">
        <w:rPr>
          <w:rFonts w:eastAsia="Times New Roman"/>
          <w:szCs w:val="28"/>
          <w:lang w:eastAsia="ru-RU"/>
        </w:rPr>
        <w:t>(табл. 5.</w:t>
      </w:r>
      <w:r w:rsidR="00F34224">
        <w:rPr>
          <w:rFonts w:eastAsia="Times New Roman"/>
          <w:szCs w:val="28"/>
          <w:lang w:eastAsia="ru-RU"/>
        </w:rPr>
        <w:t>7</w:t>
      </w:r>
      <w:r w:rsidRPr="00006A39">
        <w:rPr>
          <w:rFonts w:eastAsia="Times New Roman"/>
          <w:szCs w:val="28"/>
          <w:lang w:eastAsia="ru-RU"/>
        </w:rPr>
        <w:t>).</w:t>
      </w:r>
    </w:p>
    <w:p w:rsidR="006738F0" w:rsidRPr="00006A39" w:rsidRDefault="006738F0" w:rsidP="004C0146">
      <w:pPr>
        <w:pageBreakBefore/>
        <w:widowControl w:val="0"/>
        <w:spacing w:line="288" w:lineRule="auto"/>
        <w:ind w:firstLine="709"/>
        <w:jc w:val="right"/>
        <w:rPr>
          <w:rFonts w:eastAsia="Times New Roman"/>
          <w:i/>
          <w:szCs w:val="28"/>
          <w:lang w:eastAsia="ru-RU"/>
        </w:rPr>
      </w:pPr>
      <w:r w:rsidRPr="00006A39">
        <w:rPr>
          <w:rFonts w:eastAsia="Times New Roman"/>
          <w:i/>
          <w:szCs w:val="28"/>
          <w:lang w:eastAsia="ru-RU"/>
        </w:rPr>
        <w:lastRenderedPageBreak/>
        <w:t>Таблиця 5.</w:t>
      </w:r>
      <w:r w:rsidR="00F26023">
        <w:rPr>
          <w:rFonts w:eastAsia="Times New Roman"/>
          <w:i/>
          <w:szCs w:val="28"/>
          <w:lang w:eastAsia="ru-RU"/>
        </w:rPr>
        <w:t>7</w:t>
      </w:r>
    </w:p>
    <w:p w:rsidR="006738F0" w:rsidRPr="00006A39" w:rsidRDefault="006738F0" w:rsidP="00721203">
      <w:pPr>
        <w:widowControl w:val="0"/>
        <w:jc w:val="center"/>
        <w:rPr>
          <w:rFonts w:eastAsia="Times New Roman"/>
          <w:b/>
          <w:szCs w:val="28"/>
          <w:lang w:eastAsia="ru-RU"/>
        </w:rPr>
      </w:pPr>
      <w:r w:rsidRPr="00006A39">
        <w:rPr>
          <w:rFonts w:eastAsia="Times New Roman"/>
          <w:b/>
          <w:szCs w:val="28"/>
          <w:lang w:eastAsia="ru-RU"/>
        </w:rPr>
        <w:t>Забезпе</w:t>
      </w:r>
      <w:r w:rsidR="00453F65">
        <w:rPr>
          <w:rFonts w:eastAsia="Times New Roman"/>
          <w:b/>
          <w:szCs w:val="28"/>
          <w:lang w:eastAsia="ru-RU"/>
        </w:rPr>
        <w:t xml:space="preserve">ченість лікарняними ліжками </w:t>
      </w:r>
      <w:r w:rsidRPr="00006A39">
        <w:rPr>
          <w:rFonts w:eastAsia="Times New Roman"/>
          <w:b/>
          <w:szCs w:val="28"/>
          <w:lang w:eastAsia="ru-RU"/>
        </w:rPr>
        <w:t>новонароджених за адміністративними територіями</w:t>
      </w:r>
      <w:r w:rsidR="00453F65">
        <w:rPr>
          <w:rFonts w:eastAsia="Times New Roman"/>
          <w:b/>
          <w:szCs w:val="28"/>
          <w:lang w:eastAsia="ru-RU"/>
        </w:rPr>
        <w:t xml:space="preserve"> України (2014, 2018 рр., </w:t>
      </w:r>
      <w:r w:rsidRPr="00006A39">
        <w:rPr>
          <w:rFonts w:eastAsia="Times New Roman"/>
          <w:b/>
          <w:szCs w:val="28"/>
          <w:lang w:eastAsia="ru-RU"/>
        </w:rPr>
        <w:t>на 1000 народжених живими,‰)</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61"/>
        <w:gridCol w:w="2268"/>
        <w:gridCol w:w="2268"/>
        <w:gridCol w:w="1554"/>
      </w:tblGrid>
      <w:tr w:rsidR="006738F0" w:rsidRPr="00006A39" w:rsidTr="003B67F9">
        <w:trPr>
          <w:cantSplit/>
          <w:trHeight w:val="960"/>
          <w:jc w:val="center"/>
        </w:trPr>
        <w:tc>
          <w:tcPr>
            <w:tcW w:w="3261" w:type="dxa"/>
            <w:vMerge w:val="restart"/>
            <w:shd w:val="clear" w:color="auto" w:fill="auto"/>
            <w:hideMark/>
          </w:tcPr>
          <w:p w:rsidR="006738F0" w:rsidRPr="00006A39" w:rsidRDefault="006738F0" w:rsidP="00EF20AE">
            <w:pPr>
              <w:widowControl w:val="0"/>
              <w:spacing w:line="276" w:lineRule="auto"/>
              <w:ind w:left="601" w:hanging="601"/>
              <w:jc w:val="center"/>
              <w:rPr>
                <w:rFonts w:eastAsia="Times New Roman"/>
                <w:bCs/>
                <w:color w:val="000000"/>
                <w:sz w:val="24"/>
                <w:szCs w:val="24"/>
                <w:lang w:eastAsia="ru-RU"/>
              </w:rPr>
            </w:pPr>
            <w:r w:rsidRPr="00006A39">
              <w:rPr>
                <w:rFonts w:eastAsia="Times New Roman"/>
                <w:bCs/>
                <w:color w:val="000000"/>
                <w:sz w:val="24"/>
                <w:szCs w:val="24"/>
                <w:lang w:eastAsia="ru-RU"/>
              </w:rPr>
              <w:t>Адміністративно-</w:t>
            </w:r>
          </w:p>
          <w:p w:rsidR="006738F0" w:rsidRPr="00006A39" w:rsidRDefault="006738F0" w:rsidP="00EF20AE">
            <w:pPr>
              <w:widowControl w:val="0"/>
              <w:spacing w:line="276" w:lineRule="auto"/>
              <w:ind w:left="601" w:hanging="601"/>
              <w:jc w:val="center"/>
              <w:rPr>
                <w:rFonts w:eastAsia="Times New Roman"/>
                <w:bCs/>
                <w:color w:val="000000"/>
                <w:sz w:val="24"/>
                <w:szCs w:val="24"/>
                <w:lang w:eastAsia="ru-RU"/>
              </w:rPr>
            </w:pPr>
            <w:r w:rsidRPr="00006A39">
              <w:rPr>
                <w:rFonts w:eastAsia="Times New Roman"/>
                <w:bCs/>
                <w:color w:val="000000"/>
                <w:sz w:val="24"/>
                <w:szCs w:val="24"/>
                <w:lang w:eastAsia="ru-RU"/>
              </w:rPr>
              <w:t xml:space="preserve">територіальна </w:t>
            </w:r>
          </w:p>
          <w:p w:rsidR="006738F0" w:rsidRPr="00006A39" w:rsidRDefault="006738F0" w:rsidP="00EF20AE">
            <w:pPr>
              <w:widowControl w:val="0"/>
              <w:spacing w:line="276" w:lineRule="auto"/>
              <w:ind w:left="601" w:hanging="601"/>
              <w:jc w:val="center"/>
              <w:rPr>
                <w:rFonts w:eastAsia="Times New Roman"/>
                <w:bCs/>
                <w:color w:val="000000"/>
                <w:sz w:val="24"/>
                <w:szCs w:val="24"/>
                <w:lang w:eastAsia="ru-RU"/>
              </w:rPr>
            </w:pPr>
            <w:r w:rsidRPr="00006A39">
              <w:rPr>
                <w:rFonts w:eastAsia="Times New Roman"/>
                <w:bCs/>
                <w:color w:val="000000"/>
                <w:sz w:val="24"/>
                <w:szCs w:val="24"/>
                <w:lang w:eastAsia="ru-RU"/>
              </w:rPr>
              <w:t>одиниця</w:t>
            </w:r>
          </w:p>
        </w:tc>
        <w:tc>
          <w:tcPr>
            <w:tcW w:w="6090" w:type="dxa"/>
            <w:gridSpan w:val="3"/>
            <w:vMerge w:val="restart"/>
            <w:shd w:val="clear" w:color="auto" w:fill="auto"/>
            <w:hideMark/>
          </w:tcPr>
          <w:p w:rsidR="006738F0" w:rsidRPr="00006A39" w:rsidRDefault="006738F0" w:rsidP="00EF20AE">
            <w:pPr>
              <w:widowControl w:val="0"/>
              <w:spacing w:line="276" w:lineRule="auto"/>
              <w:ind w:left="601" w:hanging="601"/>
              <w:jc w:val="center"/>
              <w:rPr>
                <w:rFonts w:eastAsia="Times New Roman"/>
                <w:bCs/>
                <w:color w:val="000000"/>
                <w:sz w:val="24"/>
                <w:szCs w:val="24"/>
                <w:lang w:eastAsia="ru-RU"/>
              </w:rPr>
            </w:pPr>
            <w:r w:rsidRPr="00006A39">
              <w:rPr>
                <w:rFonts w:eastAsia="Times New Roman"/>
                <w:bCs/>
                <w:color w:val="000000"/>
                <w:sz w:val="24"/>
                <w:szCs w:val="24"/>
                <w:lang w:eastAsia="ru-RU"/>
              </w:rPr>
              <w:t>Ліжка для недоношених і хворих новонароджених</w:t>
            </w:r>
          </w:p>
          <w:p w:rsidR="006738F0" w:rsidRPr="00006A39" w:rsidRDefault="006738F0" w:rsidP="00EF20AE">
            <w:pPr>
              <w:widowControl w:val="0"/>
              <w:spacing w:line="276" w:lineRule="auto"/>
              <w:ind w:left="601" w:hanging="601"/>
              <w:jc w:val="center"/>
              <w:rPr>
                <w:rFonts w:eastAsia="Times New Roman"/>
                <w:bCs/>
                <w:color w:val="000000"/>
                <w:sz w:val="24"/>
                <w:szCs w:val="24"/>
                <w:lang w:eastAsia="ru-RU"/>
              </w:rPr>
            </w:pPr>
            <w:r w:rsidRPr="00006A39">
              <w:rPr>
                <w:rFonts w:eastAsia="Times New Roman"/>
                <w:bCs/>
                <w:color w:val="000000"/>
                <w:sz w:val="24"/>
                <w:szCs w:val="24"/>
                <w:lang w:eastAsia="ru-RU"/>
              </w:rPr>
              <w:t>на 1000 народжених живими</w:t>
            </w:r>
          </w:p>
        </w:tc>
      </w:tr>
      <w:tr w:rsidR="006738F0" w:rsidRPr="00006A39" w:rsidTr="002B4A72">
        <w:trPr>
          <w:trHeight w:val="414"/>
          <w:jc w:val="center"/>
        </w:trPr>
        <w:tc>
          <w:tcPr>
            <w:tcW w:w="3261" w:type="dxa"/>
            <w:vMerge/>
            <w:hideMark/>
          </w:tcPr>
          <w:p w:rsidR="006738F0" w:rsidRPr="00006A39" w:rsidRDefault="006738F0" w:rsidP="00EF20AE">
            <w:pPr>
              <w:widowControl w:val="0"/>
              <w:spacing w:line="276" w:lineRule="auto"/>
              <w:ind w:left="601" w:hanging="601"/>
              <w:rPr>
                <w:rFonts w:eastAsia="Times New Roman"/>
                <w:bCs/>
                <w:color w:val="000000"/>
                <w:sz w:val="24"/>
                <w:szCs w:val="24"/>
                <w:lang w:eastAsia="ru-RU"/>
              </w:rPr>
            </w:pPr>
          </w:p>
        </w:tc>
        <w:tc>
          <w:tcPr>
            <w:tcW w:w="6090" w:type="dxa"/>
            <w:gridSpan w:val="3"/>
            <w:vMerge/>
          </w:tcPr>
          <w:p w:rsidR="006738F0" w:rsidRPr="00006A39" w:rsidRDefault="006738F0" w:rsidP="00EF20AE">
            <w:pPr>
              <w:widowControl w:val="0"/>
              <w:spacing w:line="276" w:lineRule="auto"/>
              <w:ind w:left="601" w:hanging="601"/>
              <w:jc w:val="center"/>
              <w:rPr>
                <w:rFonts w:eastAsia="Times New Roman"/>
                <w:bCs/>
                <w:color w:val="000000"/>
                <w:sz w:val="24"/>
                <w:szCs w:val="24"/>
                <w:lang w:eastAsia="ru-RU"/>
              </w:rPr>
            </w:pPr>
          </w:p>
        </w:tc>
      </w:tr>
      <w:tr w:rsidR="006738F0" w:rsidRPr="00006A39" w:rsidTr="004C0146">
        <w:trPr>
          <w:trHeight w:val="934"/>
          <w:jc w:val="center"/>
        </w:trPr>
        <w:tc>
          <w:tcPr>
            <w:tcW w:w="3261" w:type="dxa"/>
            <w:vMerge/>
            <w:shd w:val="clear" w:color="auto" w:fill="auto"/>
            <w:hideMark/>
          </w:tcPr>
          <w:p w:rsidR="006738F0" w:rsidRPr="00006A39" w:rsidRDefault="006738F0" w:rsidP="00EF20AE">
            <w:pPr>
              <w:widowControl w:val="0"/>
              <w:spacing w:line="276" w:lineRule="auto"/>
              <w:ind w:left="601" w:hanging="601"/>
              <w:jc w:val="center"/>
              <w:rPr>
                <w:rFonts w:eastAsia="Times New Roman"/>
                <w:bCs/>
                <w:color w:val="000000"/>
                <w:sz w:val="24"/>
                <w:szCs w:val="24"/>
                <w:lang w:eastAsia="ru-RU"/>
              </w:rPr>
            </w:pPr>
          </w:p>
        </w:tc>
        <w:tc>
          <w:tcPr>
            <w:tcW w:w="2268" w:type="dxa"/>
            <w:shd w:val="clear" w:color="auto" w:fill="auto"/>
          </w:tcPr>
          <w:p w:rsidR="006738F0" w:rsidRPr="00006A39" w:rsidRDefault="006738F0" w:rsidP="00EF20AE">
            <w:pPr>
              <w:widowControl w:val="0"/>
              <w:spacing w:line="276" w:lineRule="auto"/>
              <w:ind w:left="601" w:hanging="601"/>
              <w:jc w:val="center"/>
              <w:rPr>
                <w:rFonts w:eastAsia="Times New Roman"/>
                <w:bCs/>
                <w:color w:val="000000"/>
                <w:sz w:val="24"/>
                <w:szCs w:val="24"/>
                <w:lang w:eastAsia="ru-RU"/>
              </w:rPr>
            </w:pPr>
            <w:r w:rsidRPr="00006A39">
              <w:rPr>
                <w:rFonts w:eastAsia="Times New Roman"/>
                <w:bCs/>
                <w:color w:val="000000"/>
                <w:sz w:val="24"/>
                <w:szCs w:val="24"/>
                <w:lang w:eastAsia="ru-RU"/>
              </w:rPr>
              <w:t>2014 рік</w:t>
            </w:r>
          </w:p>
        </w:tc>
        <w:tc>
          <w:tcPr>
            <w:tcW w:w="2268" w:type="dxa"/>
            <w:shd w:val="clear" w:color="auto" w:fill="auto"/>
          </w:tcPr>
          <w:p w:rsidR="006738F0" w:rsidRPr="00006A39" w:rsidRDefault="006738F0" w:rsidP="00EF20AE">
            <w:pPr>
              <w:widowControl w:val="0"/>
              <w:spacing w:line="276" w:lineRule="auto"/>
              <w:ind w:left="601" w:hanging="601"/>
              <w:jc w:val="center"/>
              <w:rPr>
                <w:rFonts w:eastAsia="Times New Roman"/>
                <w:bCs/>
                <w:color w:val="000000"/>
                <w:sz w:val="24"/>
                <w:szCs w:val="24"/>
                <w:lang w:eastAsia="ru-RU"/>
              </w:rPr>
            </w:pPr>
            <w:r w:rsidRPr="00006A39">
              <w:rPr>
                <w:rFonts w:eastAsia="Times New Roman"/>
                <w:bCs/>
                <w:color w:val="000000"/>
                <w:sz w:val="24"/>
                <w:szCs w:val="24"/>
                <w:lang w:eastAsia="ru-RU"/>
              </w:rPr>
              <w:t>2018 рік</w:t>
            </w:r>
          </w:p>
        </w:tc>
        <w:tc>
          <w:tcPr>
            <w:tcW w:w="1554" w:type="dxa"/>
            <w:shd w:val="clear" w:color="auto" w:fill="auto"/>
          </w:tcPr>
          <w:p w:rsidR="006738F0" w:rsidRPr="00006A39" w:rsidRDefault="006738F0" w:rsidP="00EF20AE">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Темп приросту,%</w:t>
            </w:r>
          </w:p>
        </w:tc>
      </w:tr>
      <w:tr w:rsidR="006738F0" w:rsidRPr="00006A39" w:rsidTr="003B67F9">
        <w:trPr>
          <w:trHeight w:val="225"/>
          <w:jc w:val="center"/>
        </w:trPr>
        <w:tc>
          <w:tcPr>
            <w:tcW w:w="3261" w:type="dxa"/>
            <w:shd w:val="clear" w:color="auto" w:fill="auto"/>
            <w:hideMark/>
          </w:tcPr>
          <w:p w:rsidR="006738F0" w:rsidRPr="00006A39" w:rsidRDefault="006738F0" w:rsidP="00EF20AE">
            <w:pPr>
              <w:widowControl w:val="0"/>
              <w:spacing w:line="276" w:lineRule="auto"/>
              <w:ind w:left="601" w:hanging="601"/>
              <w:rPr>
                <w:rFonts w:eastAsia="Times New Roman"/>
                <w:bCs/>
                <w:color w:val="000000"/>
                <w:sz w:val="24"/>
                <w:szCs w:val="24"/>
                <w:lang w:eastAsia="ru-RU"/>
              </w:rPr>
            </w:pPr>
            <w:r w:rsidRPr="00006A39">
              <w:rPr>
                <w:rFonts w:eastAsia="Times New Roman"/>
                <w:bCs/>
                <w:color w:val="000000"/>
                <w:sz w:val="24"/>
                <w:szCs w:val="24"/>
                <w:lang w:eastAsia="ru-RU"/>
              </w:rPr>
              <w:t>Україна</w:t>
            </w:r>
          </w:p>
        </w:tc>
        <w:tc>
          <w:tcPr>
            <w:tcW w:w="2268" w:type="dxa"/>
            <w:shd w:val="clear" w:color="auto" w:fill="auto"/>
          </w:tcPr>
          <w:p w:rsidR="006738F0" w:rsidRPr="00006A39" w:rsidRDefault="006738F0" w:rsidP="00EF20AE">
            <w:pPr>
              <w:widowControl w:val="0"/>
              <w:spacing w:line="276" w:lineRule="auto"/>
              <w:ind w:left="601" w:hanging="601"/>
              <w:jc w:val="center"/>
              <w:rPr>
                <w:rFonts w:eastAsia="Times New Roman"/>
                <w:bCs/>
                <w:sz w:val="24"/>
                <w:szCs w:val="24"/>
                <w:lang w:eastAsia="ru-RU"/>
              </w:rPr>
            </w:pPr>
            <w:r w:rsidRPr="00006A39">
              <w:rPr>
                <w:rFonts w:eastAsia="Times New Roman"/>
                <w:bCs/>
                <w:sz w:val="24"/>
                <w:szCs w:val="24"/>
                <w:lang w:eastAsia="ru-RU"/>
              </w:rPr>
              <w:t>4,77</w:t>
            </w:r>
          </w:p>
        </w:tc>
        <w:tc>
          <w:tcPr>
            <w:tcW w:w="2268" w:type="dxa"/>
            <w:shd w:val="clear" w:color="auto" w:fill="auto"/>
          </w:tcPr>
          <w:p w:rsidR="006738F0" w:rsidRPr="00006A39" w:rsidRDefault="006738F0" w:rsidP="00EF20AE">
            <w:pPr>
              <w:widowControl w:val="0"/>
              <w:spacing w:line="276" w:lineRule="auto"/>
              <w:ind w:left="601" w:hanging="601"/>
              <w:jc w:val="center"/>
              <w:rPr>
                <w:rFonts w:eastAsia="Times New Roman"/>
                <w:bCs/>
                <w:color w:val="000000"/>
                <w:sz w:val="24"/>
                <w:szCs w:val="24"/>
                <w:lang w:eastAsia="ru-RU"/>
              </w:rPr>
            </w:pPr>
            <w:r w:rsidRPr="00006A39">
              <w:rPr>
                <w:rFonts w:eastAsia="Times New Roman"/>
                <w:bCs/>
                <w:color w:val="000000"/>
                <w:sz w:val="24"/>
                <w:szCs w:val="24"/>
                <w:lang w:eastAsia="ru-RU"/>
              </w:rPr>
              <w:t>6,55</w:t>
            </w:r>
          </w:p>
        </w:tc>
        <w:tc>
          <w:tcPr>
            <w:tcW w:w="1554" w:type="dxa"/>
            <w:shd w:val="clear" w:color="auto" w:fill="auto"/>
          </w:tcPr>
          <w:p w:rsidR="006738F0" w:rsidRPr="00006A39" w:rsidRDefault="006738F0" w:rsidP="00EF20AE">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37,32</w:t>
            </w:r>
          </w:p>
        </w:tc>
      </w:tr>
      <w:tr w:rsidR="006738F0" w:rsidRPr="00006A39" w:rsidTr="003B67F9">
        <w:trPr>
          <w:trHeight w:val="225"/>
          <w:jc w:val="center"/>
        </w:trPr>
        <w:tc>
          <w:tcPr>
            <w:tcW w:w="3261" w:type="dxa"/>
            <w:shd w:val="clear" w:color="auto" w:fill="auto"/>
            <w:hideMark/>
          </w:tcPr>
          <w:p w:rsidR="006738F0" w:rsidRPr="00006A39" w:rsidRDefault="006738F0" w:rsidP="00EF20AE">
            <w:pPr>
              <w:widowControl w:val="0"/>
              <w:spacing w:line="276" w:lineRule="auto"/>
              <w:ind w:left="601" w:hanging="601"/>
              <w:rPr>
                <w:rFonts w:eastAsia="Times New Roman"/>
                <w:color w:val="000000"/>
                <w:sz w:val="24"/>
                <w:szCs w:val="24"/>
                <w:lang w:eastAsia="ru-RU"/>
              </w:rPr>
            </w:pPr>
            <w:r w:rsidRPr="00006A39">
              <w:rPr>
                <w:rFonts w:eastAsia="Times New Roman"/>
                <w:color w:val="000000"/>
                <w:sz w:val="24"/>
                <w:szCs w:val="24"/>
                <w:lang w:eastAsia="ru-RU"/>
              </w:rPr>
              <w:t>Вінницька</w:t>
            </w:r>
          </w:p>
        </w:tc>
        <w:tc>
          <w:tcPr>
            <w:tcW w:w="2268" w:type="dxa"/>
            <w:shd w:val="clear" w:color="auto" w:fill="auto"/>
          </w:tcPr>
          <w:p w:rsidR="006738F0" w:rsidRPr="00006A39" w:rsidRDefault="006738F0" w:rsidP="00EF20AE">
            <w:pPr>
              <w:widowControl w:val="0"/>
              <w:spacing w:line="276" w:lineRule="auto"/>
              <w:ind w:left="601" w:hanging="601"/>
              <w:jc w:val="center"/>
              <w:rPr>
                <w:rFonts w:eastAsia="Times New Roman"/>
                <w:sz w:val="24"/>
                <w:szCs w:val="24"/>
                <w:lang w:eastAsia="ru-RU"/>
              </w:rPr>
            </w:pPr>
            <w:r w:rsidRPr="00006A39">
              <w:rPr>
                <w:rFonts w:eastAsia="Times New Roman"/>
                <w:sz w:val="24"/>
                <w:szCs w:val="24"/>
                <w:lang w:eastAsia="ru-RU"/>
              </w:rPr>
              <w:t>5,23</w:t>
            </w:r>
          </w:p>
        </w:tc>
        <w:tc>
          <w:tcPr>
            <w:tcW w:w="2268" w:type="dxa"/>
            <w:shd w:val="clear" w:color="auto" w:fill="auto"/>
          </w:tcPr>
          <w:p w:rsidR="006738F0" w:rsidRPr="00006A39" w:rsidRDefault="006738F0" w:rsidP="00EF20AE">
            <w:pPr>
              <w:widowControl w:val="0"/>
              <w:spacing w:line="276" w:lineRule="auto"/>
              <w:ind w:left="601" w:hanging="601"/>
              <w:jc w:val="center"/>
              <w:rPr>
                <w:rFonts w:eastAsia="Times New Roman"/>
                <w:color w:val="000000"/>
                <w:sz w:val="24"/>
                <w:szCs w:val="24"/>
                <w:lang w:eastAsia="ru-RU"/>
              </w:rPr>
            </w:pPr>
            <w:r w:rsidRPr="00006A39">
              <w:rPr>
                <w:rFonts w:eastAsia="Times New Roman"/>
                <w:color w:val="000000"/>
                <w:sz w:val="24"/>
                <w:szCs w:val="24"/>
                <w:lang w:eastAsia="ru-RU"/>
              </w:rPr>
              <w:t>7,12</w:t>
            </w:r>
          </w:p>
        </w:tc>
        <w:tc>
          <w:tcPr>
            <w:tcW w:w="1554" w:type="dxa"/>
            <w:shd w:val="clear" w:color="auto" w:fill="auto"/>
          </w:tcPr>
          <w:p w:rsidR="006738F0" w:rsidRPr="00006A39" w:rsidRDefault="006738F0" w:rsidP="00EF20AE">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36,14</w:t>
            </w:r>
          </w:p>
        </w:tc>
      </w:tr>
      <w:tr w:rsidR="006738F0" w:rsidRPr="00006A39" w:rsidTr="003B67F9">
        <w:trPr>
          <w:trHeight w:val="225"/>
          <w:jc w:val="center"/>
        </w:trPr>
        <w:tc>
          <w:tcPr>
            <w:tcW w:w="3261" w:type="dxa"/>
            <w:shd w:val="clear" w:color="auto" w:fill="auto"/>
            <w:hideMark/>
          </w:tcPr>
          <w:p w:rsidR="006738F0" w:rsidRPr="00006A39" w:rsidRDefault="006738F0" w:rsidP="00EF20AE">
            <w:pPr>
              <w:widowControl w:val="0"/>
              <w:spacing w:line="276" w:lineRule="auto"/>
              <w:ind w:left="601" w:hanging="601"/>
              <w:rPr>
                <w:rFonts w:eastAsia="Times New Roman"/>
                <w:color w:val="000000"/>
                <w:sz w:val="24"/>
                <w:szCs w:val="24"/>
                <w:lang w:eastAsia="ru-RU"/>
              </w:rPr>
            </w:pPr>
            <w:r w:rsidRPr="00006A39">
              <w:rPr>
                <w:rFonts w:eastAsia="Times New Roman"/>
                <w:color w:val="000000"/>
                <w:sz w:val="24"/>
                <w:szCs w:val="24"/>
                <w:lang w:eastAsia="ru-RU"/>
              </w:rPr>
              <w:t>Волинська</w:t>
            </w:r>
          </w:p>
        </w:tc>
        <w:tc>
          <w:tcPr>
            <w:tcW w:w="2268" w:type="dxa"/>
            <w:shd w:val="clear" w:color="auto" w:fill="auto"/>
          </w:tcPr>
          <w:p w:rsidR="006738F0" w:rsidRPr="00006A39" w:rsidRDefault="006738F0" w:rsidP="00EF20AE">
            <w:pPr>
              <w:widowControl w:val="0"/>
              <w:spacing w:line="276" w:lineRule="auto"/>
              <w:ind w:left="601" w:hanging="601"/>
              <w:jc w:val="center"/>
              <w:rPr>
                <w:rFonts w:eastAsia="Times New Roman"/>
                <w:sz w:val="24"/>
                <w:szCs w:val="24"/>
                <w:lang w:eastAsia="ru-RU"/>
              </w:rPr>
            </w:pPr>
            <w:r w:rsidRPr="00006A39">
              <w:rPr>
                <w:rFonts w:eastAsia="Times New Roman"/>
                <w:sz w:val="24"/>
                <w:szCs w:val="24"/>
                <w:lang w:eastAsia="ru-RU"/>
              </w:rPr>
              <w:t>3,67</w:t>
            </w:r>
          </w:p>
        </w:tc>
        <w:tc>
          <w:tcPr>
            <w:tcW w:w="2268" w:type="dxa"/>
            <w:shd w:val="clear" w:color="auto" w:fill="auto"/>
          </w:tcPr>
          <w:p w:rsidR="006738F0" w:rsidRPr="00006A39" w:rsidRDefault="006738F0" w:rsidP="00EF20AE">
            <w:pPr>
              <w:widowControl w:val="0"/>
              <w:spacing w:line="276" w:lineRule="auto"/>
              <w:ind w:left="601" w:hanging="601"/>
              <w:jc w:val="center"/>
              <w:rPr>
                <w:rFonts w:eastAsia="Times New Roman"/>
                <w:color w:val="000000"/>
                <w:sz w:val="24"/>
                <w:szCs w:val="24"/>
                <w:lang w:eastAsia="ru-RU"/>
              </w:rPr>
            </w:pPr>
            <w:r w:rsidRPr="00006A39">
              <w:rPr>
                <w:rFonts w:eastAsia="Times New Roman"/>
                <w:color w:val="000000"/>
                <w:sz w:val="24"/>
                <w:szCs w:val="24"/>
                <w:lang w:eastAsia="ru-RU"/>
              </w:rPr>
              <w:t>6,14</w:t>
            </w:r>
          </w:p>
        </w:tc>
        <w:tc>
          <w:tcPr>
            <w:tcW w:w="1554" w:type="dxa"/>
            <w:shd w:val="clear" w:color="auto" w:fill="auto"/>
          </w:tcPr>
          <w:p w:rsidR="006738F0" w:rsidRPr="00006A39" w:rsidRDefault="006738F0" w:rsidP="00EF20AE">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67,30</w:t>
            </w:r>
          </w:p>
        </w:tc>
      </w:tr>
      <w:tr w:rsidR="006738F0" w:rsidRPr="00006A39" w:rsidTr="003B67F9">
        <w:trPr>
          <w:trHeight w:val="225"/>
          <w:jc w:val="center"/>
        </w:trPr>
        <w:tc>
          <w:tcPr>
            <w:tcW w:w="3261" w:type="dxa"/>
            <w:shd w:val="clear" w:color="auto" w:fill="auto"/>
            <w:hideMark/>
          </w:tcPr>
          <w:p w:rsidR="006738F0" w:rsidRPr="00006A39" w:rsidRDefault="006738F0" w:rsidP="00EF20AE">
            <w:pPr>
              <w:widowControl w:val="0"/>
              <w:spacing w:line="276" w:lineRule="auto"/>
              <w:ind w:left="601" w:hanging="601"/>
              <w:rPr>
                <w:rFonts w:eastAsia="Times New Roman"/>
                <w:color w:val="000000"/>
                <w:sz w:val="24"/>
                <w:szCs w:val="24"/>
                <w:lang w:eastAsia="ru-RU"/>
              </w:rPr>
            </w:pPr>
            <w:r w:rsidRPr="00006A39">
              <w:rPr>
                <w:rFonts w:eastAsia="Times New Roman"/>
                <w:color w:val="000000"/>
                <w:sz w:val="24"/>
                <w:szCs w:val="24"/>
                <w:lang w:eastAsia="ru-RU"/>
              </w:rPr>
              <w:t>Дніпропетровська</w:t>
            </w:r>
          </w:p>
        </w:tc>
        <w:tc>
          <w:tcPr>
            <w:tcW w:w="2268" w:type="dxa"/>
            <w:shd w:val="clear" w:color="auto" w:fill="auto"/>
          </w:tcPr>
          <w:p w:rsidR="006738F0" w:rsidRPr="00006A39" w:rsidRDefault="006738F0" w:rsidP="00EF20AE">
            <w:pPr>
              <w:widowControl w:val="0"/>
              <w:spacing w:line="276" w:lineRule="auto"/>
              <w:ind w:left="601" w:hanging="601"/>
              <w:jc w:val="center"/>
              <w:rPr>
                <w:rFonts w:eastAsia="Times New Roman"/>
                <w:sz w:val="24"/>
                <w:szCs w:val="24"/>
                <w:lang w:eastAsia="ru-RU"/>
              </w:rPr>
            </w:pPr>
            <w:r w:rsidRPr="00006A39">
              <w:rPr>
                <w:rFonts w:eastAsia="Times New Roman"/>
                <w:sz w:val="24"/>
                <w:szCs w:val="24"/>
                <w:lang w:eastAsia="ru-RU"/>
              </w:rPr>
              <w:t>4,44</w:t>
            </w:r>
          </w:p>
        </w:tc>
        <w:tc>
          <w:tcPr>
            <w:tcW w:w="2268" w:type="dxa"/>
            <w:shd w:val="clear" w:color="auto" w:fill="auto"/>
          </w:tcPr>
          <w:p w:rsidR="006738F0" w:rsidRPr="00006A39" w:rsidRDefault="006738F0" w:rsidP="00EF20AE">
            <w:pPr>
              <w:widowControl w:val="0"/>
              <w:spacing w:line="276" w:lineRule="auto"/>
              <w:ind w:left="601" w:hanging="601"/>
              <w:jc w:val="center"/>
              <w:rPr>
                <w:rFonts w:eastAsia="Times New Roman"/>
                <w:color w:val="000000"/>
                <w:sz w:val="24"/>
                <w:szCs w:val="24"/>
                <w:lang w:eastAsia="ru-RU"/>
              </w:rPr>
            </w:pPr>
            <w:r w:rsidRPr="00006A39">
              <w:rPr>
                <w:rFonts w:eastAsia="Times New Roman"/>
                <w:color w:val="000000"/>
                <w:sz w:val="24"/>
                <w:szCs w:val="24"/>
                <w:lang w:eastAsia="ru-RU"/>
              </w:rPr>
              <w:t>7,14</w:t>
            </w:r>
          </w:p>
        </w:tc>
        <w:tc>
          <w:tcPr>
            <w:tcW w:w="1554" w:type="dxa"/>
            <w:shd w:val="clear" w:color="auto" w:fill="auto"/>
          </w:tcPr>
          <w:p w:rsidR="006738F0" w:rsidRPr="00006A39" w:rsidRDefault="006738F0" w:rsidP="00EF20AE">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60,81</w:t>
            </w:r>
          </w:p>
        </w:tc>
      </w:tr>
      <w:tr w:rsidR="006738F0" w:rsidRPr="00006A39" w:rsidTr="003B67F9">
        <w:trPr>
          <w:trHeight w:val="225"/>
          <w:jc w:val="center"/>
        </w:trPr>
        <w:tc>
          <w:tcPr>
            <w:tcW w:w="3261" w:type="dxa"/>
            <w:shd w:val="clear" w:color="auto" w:fill="auto"/>
            <w:hideMark/>
          </w:tcPr>
          <w:p w:rsidR="006738F0" w:rsidRPr="00006A39" w:rsidRDefault="006738F0" w:rsidP="00EF20AE">
            <w:pPr>
              <w:widowControl w:val="0"/>
              <w:spacing w:line="276" w:lineRule="auto"/>
              <w:ind w:left="601" w:hanging="601"/>
              <w:rPr>
                <w:rFonts w:eastAsia="Times New Roman"/>
                <w:color w:val="000000"/>
                <w:sz w:val="24"/>
                <w:szCs w:val="24"/>
                <w:lang w:eastAsia="ru-RU"/>
              </w:rPr>
            </w:pPr>
            <w:r w:rsidRPr="00006A39">
              <w:rPr>
                <w:rFonts w:eastAsia="Times New Roman"/>
                <w:color w:val="000000"/>
                <w:sz w:val="24"/>
                <w:szCs w:val="24"/>
                <w:lang w:eastAsia="ru-RU"/>
              </w:rPr>
              <w:t>Донецька</w:t>
            </w:r>
          </w:p>
        </w:tc>
        <w:tc>
          <w:tcPr>
            <w:tcW w:w="2268" w:type="dxa"/>
            <w:shd w:val="clear" w:color="auto" w:fill="auto"/>
          </w:tcPr>
          <w:p w:rsidR="006738F0" w:rsidRPr="00006A39" w:rsidRDefault="006738F0" w:rsidP="00EF20AE">
            <w:pPr>
              <w:widowControl w:val="0"/>
              <w:spacing w:line="276" w:lineRule="auto"/>
              <w:ind w:left="601" w:hanging="601"/>
              <w:jc w:val="center"/>
              <w:rPr>
                <w:rFonts w:eastAsia="Times New Roman"/>
                <w:sz w:val="24"/>
                <w:szCs w:val="24"/>
                <w:lang w:eastAsia="ru-RU"/>
              </w:rPr>
            </w:pPr>
            <w:r w:rsidRPr="00006A39">
              <w:rPr>
                <w:rFonts w:eastAsia="Times New Roman"/>
                <w:sz w:val="24"/>
                <w:szCs w:val="24"/>
                <w:lang w:eastAsia="ru-RU"/>
              </w:rPr>
              <w:t>6,78</w:t>
            </w:r>
          </w:p>
        </w:tc>
        <w:tc>
          <w:tcPr>
            <w:tcW w:w="2268" w:type="dxa"/>
            <w:shd w:val="clear" w:color="auto" w:fill="auto"/>
          </w:tcPr>
          <w:p w:rsidR="006738F0" w:rsidRPr="00006A39" w:rsidRDefault="006738F0" w:rsidP="00EF20AE">
            <w:pPr>
              <w:widowControl w:val="0"/>
              <w:spacing w:line="276" w:lineRule="auto"/>
              <w:ind w:left="601" w:hanging="601"/>
              <w:jc w:val="center"/>
              <w:rPr>
                <w:rFonts w:eastAsia="Times New Roman"/>
                <w:color w:val="000000"/>
                <w:sz w:val="24"/>
                <w:szCs w:val="24"/>
                <w:lang w:eastAsia="ru-RU"/>
              </w:rPr>
            </w:pPr>
            <w:r w:rsidRPr="00006A39">
              <w:rPr>
                <w:rFonts w:eastAsia="Times New Roman"/>
                <w:color w:val="000000"/>
                <w:sz w:val="24"/>
                <w:szCs w:val="24"/>
                <w:lang w:eastAsia="ru-RU"/>
              </w:rPr>
              <w:t>10,50</w:t>
            </w:r>
          </w:p>
        </w:tc>
        <w:tc>
          <w:tcPr>
            <w:tcW w:w="1554" w:type="dxa"/>
            <w:shd w:val="clear" w:color="auto" w:fill="auto"/>
          </w:tcPr>
          <w:p w:rsidR="006738F0" w:rsidRPr="00006A39" w:rsidRDefault="006738F0" w:rsidP="00EF20AE">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54,87</w:t>
            </w:r>
          </w:p>
        </w:tc>
      </w:tr>
      <w:tr w:rsidR="006738F0" w:rsidRPr="00006A39" w:rsidTr="003B67F9">
        <w:trPr>
          <w:trHeight w:val="225"/>
          <w:jc w:val="center"/>
        </w:trPr>
        <w:tc>
          <w:tcPr>
            <w:tcW w:w="3261" w:type="dxa"/>
            <w:shd w:val="clear" w:color="auto" w:fill="auto"/>
            <w:hideMark/>
          </w:tcPr>
          <w:p w:rsidR="006738F0" w:rsidRPr="00006A39" w:rsidRDefault="006738F0" w:rsidP="00EF20AE">
            <w:pPr>
              <w:widowControl w:val="0"/>
              <w:spacing w:line="276" w:lineRule="auto"/>
              <w:ind w:left="601" w:hanging="601"/>
              <w:rPr>
                <w:rFonts w:eastAsia="Times New Roman"/>
                <w:color w:val="000000"/>
                <w:sz w:val="24"/>
                <w:szCs w:val="24"/>
                <w:lang w:eastAsia="ru-RU"/>
              </w:rPr>
            </w:pPr>
            <w:r w:rsidRPr="00006A39">
              <w:rPr>
                <w:rFonts w:eastAsia="Times New Roman"/>
                <w:color w:val="000000"/>
                <w:sz w:val="24"/>
                <w:szCs w:val="24"/>
                <w:lang w:eastAsia="ru-RU"/>
              </w:rPr>
              <w:t>Житомирська</w:t>
            </w:r>
          </w:p>
        </w:tc>
        <w:tc>
          <w:tcPr>
            <w:tcW w:w="2268" w:type="dxa"/>
            <w:shd w:val="clear" w:color="auto" w:fill="auto"/>
          </w:tcPr>
          <w:p w:rsidR="006738F0" w:rsidRPr="00006A39" w:rsidRDefault="006738F0" w:rsidP="00EF20AE">
            <w:pPr>
              <w:widowControl w:val="0"/>
              <w:spacing w:line="276" w:lineRule="auto"/>
              <w:ind w:left="601" w:hanging="601"/>
              <w:jc w:val="center"/>
              <w:rPr>
                <w:rFonts w:eastAsia="Times New Roman"/>
                <w:sz w:val="24"/>
                <w:szCs w:val="24"/>
                <w:lang w:eastAsia="ru-RU"/>
              </w:rPr>
            </w:pPr>
            <w:r w:rsidRPr="00006A39">
              <w:rPr>
                <w:rFonts w:eastAsia="Times New Roman"/>
                <w:sz w:val="24"/>
                <w:szCs w:val="24"/>
                <w:lang w:eastAsia="ru-RU"/>
              </w:rPr>
              <w:t>5,50</w:t>
            </w:r>
          </w:p>
        </w:tc>
        <w:tc>
          <w:tcPr>
            <w:tcW w:w="2268" w:type="dxa"/>
            <w:shd w:val="clear" w:color="auto" w:fill="auto"/>
          </w:tcPr>
          <w:p w:rsidR="006738F0" w:rsidRPr="00006A39" w:rsidRDefault="006738F0" w:rsidP="00EF20AE">
            <w:pPr>
              <w:widowControl w:val="0"/>
              <w:spacing w:line="276" w:lineRule="auto"/>
              <w:ind w:left="601" w:hanging="601"/>
              <w:jc w:val="center"/>
              <w:rPr>
                <w:rFonts w:eastAsia="Times New Roman"/>
                <w:color w:val="000000"/>
                <w:sz w:val="24"/>
                <w:szCs w:val="24"/>
                <w:lang w:eastAsia="ru-RU"/>
              </w:rPr>
            </w:pPr>
            <w:r w:rsidRPr="00006A39">
              <w:rPr>
                <w:rFonts w:eastAsia="Times New Roman"/>
                <w:color w:val="000000"/>
                <w:sz w:val="24"/>
                <w:szCs w:val="24"/>
                <w:lang w:eastAsia="ru-RU"/>
              </w:rPr>
              <w:t>6,50</w:t>
            </w:r>
          </w:p>
        </w:tc>
        <w:tc>
          <w:tcPr>
            <w:tcW w:w="1554" w:type="dxa"/>
            <w:shd w:val="clear" w:color="auto" w:fill="auto"/>
          </w:tcPr>
          <w:p w:rsidR="006738F0" w:rsidRPr="00006A39" w:rsidRDefault="006738F0" w:rsidP="00EF20AE">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18,18</w:t>
            </w:r>
          </w:p>
        </w:tc>
      </w:tr>
      <w:tr w:rsidR="006738F0" w:rsidRPr="00006A39" w:rsidTr="003B67F9">
        <w:trPr>
          <w:trHeight w:val="225"/>
          <w:jc w:val="center"/>
        </w:trPr>
        <w:tc>
          <w:tcPr>
            <w:tcW w:w="3261" w:type="dxa"/>
            <w:shd w:val="clear" w:color="auto" w:fill="auto"/>
            <w:hideMark/>
          </w:tcPr>
          <w:p w:rsidR="006738F0" w:rsidRPr="00006A39" w:rsidRDefault="006738F0" w:rsidP="00EF20AE">
            <w:pPr>
              <w:widowControl w:val="0"/>
              <w:spacing w:line="276" w:lineRule="auto"/>
              <w:ind w:left="601" w:hanging="601"/>
              <w:rPr>
                <w:rFonts w:eastAsia="Times New Roman"/>
                <w:color w:val="000000"/>
                <w:sz w:val="24"/>
                <w:szCs w:val="24"/>
                <w:lang w:eastAsia="ru-RU"/>
              </w:rPr>
            </w:pPr>
            <w:r w:rsidRPr="00006A39">
              <w:rPr>
                <w:rFonts w:eastAsia="Times New Roman"/>
                <w:color w:val="000000"/>
                <w:sz w:val="24"/>
                <w:szCs w:val="24"/>
                <w:lang w:eastAsia="ru-RU"/>
              </w:rPr>
              <w:t>Закарпатська</w:t>
            </w:r>
          </w:p>
        </w:tc>
        <w:tc>
          <w:tcPr>
            <w:tcW w:w="2268" w:type="dxa"/>
            <w:shd w:val="clear" w:color="auto" w:fill="auto"/>
          </w:tcPr>
          <w:p w:rsidR="006738F0" w:rsidRPr="00006A39" w:rsidRDefault="006738F0" w:rsidP="00EF20AE">
            <w:pPr>
              <w:widowControl w:val="0"/>
              <w:spacing w:line="276" w:lineRule="auto"/>
              <w:ind w:left="601" w:hanging="601"/>
              <w:jc w:val="center"/>
              <w:rPr>
                <w:rFonts w:eastAsia="Times New Roman"/>
                <w:sz w:val="24"/>
                <w:szCs w:val="24"/>
                <w:lang w:eastAsia="ru-RU"/>
              </w:rPr>
            </w:pPr>
            <w:r w:rsidRPr="00006A39">
              <w:rPr>
                <w:rFonts w:eastAsia="Times New Roman"/>
                <w:sz w:val="24"/>
                <w:szCs w:val="24"/>
                <w:lang w:eastAsia="ru-RU"/>
              </w:rPr>
              <w:t>4,95</w:t>
            </w:r>
          </w:p>
        </w:tc>
        <w:tc>
          <w:tcPr>
            <w:tcW w:w="2268" w:type="dxa"/>
            <w:shd w:val="clear" w:color="auto" w:fill="auto"/>
          </w:tcPr>
          <w:p w:rsidR="006738F0" w:rsidRPr="00006A39" w:rsidRDefault="006738F0" w:rsidP="00EF20AE">
            <w:pPr>
              <w:widowControl w:val="0"/>
              <w:spacing w:line="276" w:lineRule="auto"/>
              <w:ind w:left="601" w:hanging="601"/>
              <w:jc w:val="center"/>
              <w:rPr>
                <w:rFonts w:eastAsia="Times New Roman"/>
                <w:color w:val="000000"/>
                <w:sz w:val="24"/>
                <w:szCs w:val="24"/>
                <w:lang w:eastAsia="ru-RU"/>
              </w:rPr>
            </w:pPr>
            <w:r w:rsidRPr="00006A39">
              <w:rPr>
                <w:rFonts w:eastAsia="Times New Roman"/>
                <w:color w:val="000000"/>
                <w:sz w:val="24"/>
                <w:szCs w:val="24"/>
                <w:lang w:eastAsia="ru-RU"/>
              </w:rPr>
              <w:t>6,56</w:t>
            </w:r>
          </w:p>
        </w:tc>
        <w:tc>
          <w:tcPr>
            <w:tcW w:w="1554" w:type="dxa"/>
            <w:shd w:val="clear" w:color="auto" w:fill="auto"/>
          </w:tcPr>
          <w:p w:rsidR="006738F0" w:rsidRPr="00006A39" w:rsidRDefault="006738F0" w:rsidP="00EF20AE">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32,53</w:t>
            </w:r>
          </w:p>
        </w:tc>
      </w:tr>
      <w:tr w:rsidR="006738F0" w:rsidRPr="00006A39" w:rsidTr="003B67F9">
        <w:trPr>
          <w:trHeight w:val="225"/>
          <w:jc w:val="center"/>
        </w:trPr>
        <w:tc>
          <w:tcPr>
            <w:tcW w:w="3261" w:type="dxa"/>
            <w:shd w:val="clear" w:color="auto" w:fill="auto"/>
            <w:hideMark/>
          </w:tcPr>
          <w:p w:rsidR="006738F0" w:rsidRPr="00006A39" w:rsidRDefault="006738F0" w:rsidP="00EF20AE">
            <w:pPr>
              <w:widowControl w:val="0"/>
              <w:spacing w:line="276" w:lineRule="auto"/>
              <w:ind w:left="601" w:hanging="601"/>
              <w:rPr>
                <w:rFonts w:eastAsia="Times New Roman"/>
                <w:color w:val="000000"/>
                <w:sz w:val="24"/>
                <w:szCs w:val="24"/>
                <w:lang w:eastAsia="ru-RU"/>
              </w:rPr>
            </w:pPr>
            <w:r w:rsidRPr="00006A39">
              <w:rPr>
                <w:rFonts w:eastAsia="Times New Roman"/>
                <w:color w:val="000000"/>
                <w:sz w:val="24"/>
                <w:szCs w:val="24"/>
                <w:lang w:eastAsia="ru-RU"/>
              </w:rPr>
              <w:t>Запорізька</w:t>
            </w:r>
          </w:p>
        </w:tc>
        <w:tc>
          <w:tcPr>
            <w:tcW w:w="2268" w:type="dxa"/>
            <w:shd w:val="clear" w:color="auto" w:fill="auto"/>
          </w:tcPr>
          <w:p w:rsidR="006738F0" w:rsidRPr="00006A39" w:rsidRDefault="006738F0" w:rsidP="00EF20AE">
            <w:pPr>
              <w:widowControl w:val="0"/>
              <w:spacing w:line="276" w:lineRule="auto"/>
              <w:ind w:left="601" w:hanging="601"/>
              <w:jc w:val="center"/>
              <w:rPr>
                <w:rFonts w:eastAsia="Times New Roman"/>
                <w:sz w:val="24"/>
                <w:szCs w:val="24"/>
                <w:lang w:eastAsia="ru-RU"/>
              </w:rPr>
            </w:pPr>
            <w:r w:rsidRPr="00006A39">
              <w:rPr>
                <w:rFonts w:eastAsia="Times New Roman"/>
                <w:sz w:val="24"/>
                <w:szCs w:val="24"/>
                <w:lang w:eastAsia="ru-RU"/>
              </w:rPr>
              <w:t>8,79</w:t>
            </w:r>
          </w:p>
        </w:tc>
        <w:tc>
          <w:tcPr>
            <w:tcW w:w="2268" w:type="dxa"/>
            <w:shd w:val="clear" w:color="auto" w:fill="auto"/>
          </w:tcPr>
          <w:p w:rsidR="006738F0" w:rsidRPr="00006A39" w:rsidRDefault="006738F0" w:rsidP="00EF20AE">
            <w:pPr>
              <w:widowControl w:val="0"/>
              <w:spacing w:line="276" w:lineRule="auto"/>
              <w:ind w:left="601" w:hanging="601"/>
              <w:jc w:val="center"/>
              <w:rPr>
                <w:rFonts w:eastAsia="Times New Roman"/>
                <w:color w:val="000000"/>
                <w:sz w:val="24"/>
                <w:szCs w:val="24"/>
                <w:lang w:eastAsia="ru-RU"/>
              </w:rPr>
            </w:pPr>
            <w:r w:rsidRPr="00006A39">
              <w:rPr>
                <w:rFonts w:eastAsia="Times New Roman"/>
                <w:color w:val="000000"/>
                <w:sz w:val="24"/>
                <w:szCs w:val="24"/>
                <w:lang w:eastAsia="ru-RU"/>
              </w:rPr>
              <w:t>12,68</w:t>
            </w:r>
          </w:p>
        </w:tc>
        <w:tc>
          <w:tcPr>
            <w:tcW w:w="1554" w:type="dxa"/>
            <w:shd w:val="clear" w:color="auto" w:fill="auto"/>
          </w:tcPr>
          <w:p w:rsidR="006738F0" w:rsidRPr="00006A39" w:rsidRDefault="006738F0" w:rsidP="00EF20AE">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44,25</w:t>
            </w:r>
          </w:p>
        </w:tc>
      </w:tr>
      <w:tr w:rsidR="006738F0" w:rsidRPr="00006A39" w:rsidTr="003B67F9">
        <w:trPr>
          <w:trHeight w:val="225"/>
          <w:jc w:val="center"/>
        </w:trPr>
        <w:tc>
          <w:tcPr>
            <w:tcW w:w="3261" w:type="dxa"/>
            <w:shd w:val="clear" w:color="auto" w:fill="auto"/>
            <w:hideMark/>
          </w:tcPr>
          <w:p w:rsidR="006738F0" w:rsidRPr="00006A39" w:rsidRDefault="006738F0" w:rsidP="00EF20AE">
            <w:pPr>
              <w:widowControl w:val="0"/>
              <w:spacing w:line="276" w:lineRule="auto"/>
              <w:ind w:left="601" w:hanging="601"/>
              <w:rPr>
                <w:rFonts w:eastAsia="Times New Roman"/>
                <w:color w:val="000000"/>
                <w:sz w:val="24"/>
                <w:szCs w:val="24"/>
                <w:lang w:eastAsia="ru-RU"/>
              </w:rPr>
            </w:pPr>
            <w:r w:rsidRPr="00006A39">
              <w:rPr>
                <w:rFonts w:eastAsia="Times New Roman"/>
                <w:color w:val="000000"/>
                <w:sz w:val="24"/>
                <w:szCs w:val="24"/>
                <w:lang w:eastAsia="ru-RU"/>
              </w:rPr>
              <w:t>Івано-Франківська</w:t>
            </w:r>
          </w:p>
        </w:tc>
        <w:tc>
          <w:tcPr>
            <w:tcW w:w="2268" w:type="dxa"/>
            <w:shd w:val="clear" w:color="auto" w:fill="auto"/>
          </w:tcPr>
          <w:p w:rsidR="006738F0" w:rsidRPr="00006A39" w:rsidRDefault="006738F0" w:rsidP="00EF20AE">
            <w:pPr>
              <w:widowControl w:val="0"/>
              <w:spacing w:line="276" w:lineRule="auto"/>
              <w:ind w:left="601" w:hanging="601"/>
              <w:jc w:val="center"/>
              <w:rPr>
                <w:rFonts w:eastAsia="Times New Roman"/>
                <w:sz w:val="24"/>
                <w:szCs w:val="24"/>
                <w:lang w:eastAsia="ru-RU"/>
              </w:rPr>
            </w:pPr>
            <w:r w:rsidRPr="00006A39">
              <w:rPr>
                <w:rFonts w:eastAsia="Times New Roman"/>
                <w:sz w:val="24"/>
                <w:szCs w:val="24"/>
                <w:lang w:eastAsia="ru-RU"/>
              </w:rPr>
              <w:t>3,56</w:t>
            </w:r>
          </w:p>
        </w:tc>
        <w:tc>
          <w:tcPr>
            <w:tcW w:w="2268" w:type="dxa"/>
            <w:shd w:val="clear" w:color="auto" w:fill="auto"/>
          </w:tcPr>
          <w:p w:rsidR="006738F0" w:rsidRPr="00006A39" w:rsidRDefault="006738F0" w:rsidP="00EF20AE">
            <w:pPr>
              <w:widowControl w:val="0"/>
              <w:spacing w:line="276" w:lineRule="auto"/>
              <w:ind w:left="601" w:hanging="601"/>
              <w:jc w:val="center"/>
              <w:rPr>
                <w:rFonts w:eastAsia="Times New Roman"/>
                <w:color w:val="000000"/>
                <w:sz w:val="24"/>
                <w:szCs w:val="24"/>
                <w:lang w:eastAsia="ru-RU"/>
              </w:rPr>
            </w:pPr>
            <w:r w:rsidRPr="00006A39">
              <w:rPr>
                <w:rFonts w:eastAsia="Times New Roman"/>
                <w:color w:val="000000"/>
                <w:sz w:val="24"/>
                <w:szCs w:val="24"/>
                <w:lang w:eastAsia="ru-RU"/>
              </w:rPr>
              <w:t>3,91</w:t>
            </w:r>
          </w:p>
        </w:tc>
        <w:tc>
          <w:tcPr>
            <w:tcW w:w="1554" w:type="dxa"/>
            <w:shd w:val="clear" w:color="auto" w:fill="auto"/>
          </w:tcPr>
          <w:p w:rsidR="006738F0" w:rsidRPr="00006A39" w:rsidRDefault="006738F0" w:rsidP="00EF20AE">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9,83</w:t>
            </w:r>
          </w:p>
        </w:tc>
      </w:tr>
      <w:tr w:rsidR="006738F0" w:rsidRPr="00006A39" w:rsidTr="003B67F9">
        <w:trPr>
          <w:trHeight w:val="225"/>
          <w:jc w:val="center"/>
        </w:trPr>
        <w:tc>
          <w:tcPr>
            <w:tcW w:w="3261" w:type="dxa"/>
            <w:shd w:val="clear" w:color="auto" w:fill="auto"/>
            <w:hideMark/>
          </w:tcPr>
          <w:p w:rsidR="006738F0" w:rsidRPr="00006A39" w:rsidRDefault="006738F0" w:rsidP="00EF20AE">
            <w:pPr>
              <w:widowControl w:val="0"/>
              <w:spacing w:line="276" w:lineRule="auto"/>
              <w:ind w:left="601" w:hanging="601"/>
              <w:rPr>
                <w:rFonts w:eastAsia="Times New Roman"/>
                <w:color w:val="000000"/>
                <w:sz w:val="24"/>
                <w:szCs w:val="24"/>
                <w:lang w:eastAsia="ru-RU"/>
              </w:rPr>
            </w:pPr>
            <w:r w:rsidRPr="00006A39">
              <w:rPr>
                <w:rFonts w:eastAsia="Times New Roman"/>
                <w:color w:val="000000"/>
                <w:sz w:val="24"/>
                <w:szCs w:val="24"/>
                <w:lang w:eastAsia="ru-RU"/>
              </w:rPr>
              <w:t>Київська</w:t>
            </w:r>
          </w:p>
        </w:tc>
        <w:tc>
          <w:tcPr>
            <w:tcW w:w="2268" w:type="dxa"/>
            <w:shd w:val="clear" w:color="auto" w:fill="auto"/>
          </w:tcPr>
          <w:p w:rsidR="006738F0" w:rsidRPr="00006A39" w:rsidRDefault="006738F0" w:rsidP="00EF20AE">
            <w:pPr>
              <w:widowControl w:val="0"/>
              <w:spacing w:line="276" w:lineRule="auto"/>
              <w:ind w:left="601" w:hanging="601"/>
              <w:jc w:val="center"/>
              <w:rPr>
                <w:rFonts w:eastAsia="Times New Roman"/>
                <w:sz w:val="24"/>
                <w:szCs w:val="24"/>
                <w:lang w:eastAsia="ru-RU"/>
              </w:rPr>
            </w:pPr>
            <w:r w:rsidRPr="00006A39">
              <w:rPr>
                <w:rFonts w:eastAsia="Times New Roman"/>
                <w:sz w:val="24"/>
                <w:szCs w:val="24"/>
                <w:lang w:eastAsia="ru-RU"/>
              </w:rPr>
              <w:t>3,07</w:t>
            </w:r>
          </w:p>
        </w:tc>
        <w:tc>
          <w:tcPr>
            <w:tcW w:w="2268" w:type="dxa"/>
            <w:shd w:val="clear" w:color="auto" w:fill="auto"/>
          </w:tcPr>
          <w:p w:rsidR="006738F0" w:rsidRPr="00006A39" w:rsidRDefault="006738F0" w:rsidP="00EF20AE">
            <w:pPr>
              <w:widowControl w:val="0"/>
              <w:spacing w:line="276" w:lineRule="auto"/>
              <w:ind w:left="601" w:hanging="601"/>
              <w:jc w:val="center"/>
              <w:rPr>
                <w:rFonts w:eastAsia="Times New Roman"/>
                <w:color w:val="000000"/>
                <w:sz w:val="24"/>
                <w:szCs w:val="24"/>
                <w:lang w:eastAsia="ru-RU"/>
              </w:rPr>
            </w:pPr>
            <w:r w:rsidRPr="00006A39">
              <w:rPr>
                <w:rFonts w:eastAsia="Times New Roman"/>
                <w:color w:val="000000"/>
                <w:sz w:val="24"/>
                <w:szCs w:val="24"/>
                <w:lang w:eastAsia="ru-RU"/>
              </w:rPr>
              <w:t>4,24</w:t>
            </w:r>
          </w:p>
        </w:tc>
        <w:tc>
          <w:tcPr>
            <w:tcW w:w="1554" w:type="dxa"/>
            <w:shd w:val="clear" w:color="auto" w:fill="auto"/>
          </w:tcPr>
          <w:p w:rsidR="006738F0" w:rsidRPr="00006A39" w:rsidRDefault="006738F0" w:rsidP="00EF20AE">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38,11</w:t>
            </w:r>
          </w:p>
        </w:tc>
      </w:tr>
      <w:tr w:rsidR="006738F0" w:rsidRPr="00006A39" w:rsidTr="003B67F9">
        <w:trPr>
          <w:trHeight w:val="225"/>
          <w:jc w:val="center"/>
        </w:trPr>
        <w:tc>
          <w:tcPr>
            <w:tcW w:w="3261" w:type="dxa"/>
            <w:shd w:val="clear" w:color="auto" w:fill="auto"/>
            <w:hideMark/>
          </w:tcPr>
          <w:p w:rsidR="006738F0" w:rsidRPr="00006A39" w:rsidRDefault="006738F0" w:rsidP="00EF20AE">
            <w:pPr>
              <w:widowControl w:val="0"/>
              <w:spacing w:line="276" w:lineRule="auto"/>
              <w:ind w:left="601" w:hanging="601"/>
              <w:rPr>
                <w:rFonts w:eastAsia="Times New Roman"/>
                <w:color w:val="000000"/>
                <w:sz w:val="24"/>
                <w:szCs w:val="24"/>
                <w:lang w:eastAsia="ru-RU"/>
              </w:rPr>
            </w:pPr>
            <w:r w:rsidRPr="00006A39">
              <w:rPr>
                <w:rFonts w:eastAsia="Times New Roman"/>
                <w:color w:val="000000"/>
                <w:sz w:val="24"/>
                <w:szCs w:val="24"/>
                <w:lang w:eastAsia="ru-RU"/>
              </w:rPr>
              <w:t>Кіровоградська</w:t>
            </w:r>
          </w:p>
        </w:tc>
        <w:tc>
          <w:tcPr>
            <w:tcW w:w="2268" w:type="dxa"/>
            <w:shd w:val="clear" w:color="auto" w:fill="auto"/>
          </w:tcPr>
          <w:p w:rsidR="006738F0" w:rsidRPr="00006A39" w:rsidRDefault="006738F0" w:rsidP="00EF20AE">
            <w:pPr>
              <w:widowControl w:val="0"/>
              <w:spacing w:line="276" w:lineRule="auto"/>
              <w:ind w:left="601" w:hanging="601"/>
              <w:jc w:val="center"/>
              <w:rPr>
                <w:rFonts w:eastAsia="Times New Roman"/>
                <w:sz w:val="24"/>
                <w:szCs w:val="24"/>
                <w:lang w:eastAsia="ru-RU"/>
              </w:rPr>
            </w:pPr>
            <w:r w:rsidRPr="00006A39">
              <w:rPr>
                <w:rFonts w:eastAsia="Times New Roman"/>
                <w:sz w:val="24"/>
                <w:szCs w:val="24"/>
                <w:lang w:eastAsia="ru-RU"/>
              </w:rPr>
              <w:t>2,96</w:t>
            </w:r>
          </w:p>
        </w:tc>
        <w:tc>
          <w:tcPr>
            <w:tcW w:w="2268" w:type="dxa"/>
            <w:shd w:val="clear" w:color="auto" w:fill="auto"/>
          </w:tcPr>
          <w:p w:rsidR="006738F0" w:rsidRPr="00006A39" w:rsidRDefault="006738F0" w:rsidP="00EF20AE">
            <w:pPr>
              <w:widowControl w:val="0"/>
              <w:spacing w:line="276" w:lineRule="auto"/>
              <w:ind w:left="601" w:hanging="601"/>
              <w:jc w:val="center"/>
              <w:rPr>
                <w:rFonts w:eastAsia="Times New Roman"/>
                <w:color w:val="000000"/>
                <w:sz w:val="24"/>
                <w:szCs w:val="24"/>
                <w:lang w:eastAsia="ru-RU"/>
              </w:rPr>
            </w:pPr>
            <w:r w:rsidRPr="00006A39">
              <w:rPr>
                <w:rFonts w:eastAsia="Times New Roman"/>
                <w:color w:val="000000"/>
                <w:sz w:val="24"/>
                <w:szCs w:val="24"/>
                <w:lang w:eastAsia="ru-RU"/>
              </w:rPr>
              <w:t>5,85</w:t>
            </w:r>
          </w:p>
        </w:tc>
        <w:tc>
          <w:tcPr>
            <w:tcW w:w="1554" w:type="dxa"/>
            <w:shd w:val="clear" w:color="auto" w:fill="auto"/>
          </w:tcPr>
          <w:p w:rsidR="006738F0" w:rsidRPr="00006A39" w:rsidRDefault="006738F0" w:rsidP="00EF20AE">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97,64</w:t>
            </w:r>
          </w:p>
        </w:tc>
      </w:tr>
      <w:tr w:rsidR="006738F0" w:rsidRPr="00006A39" w:rsidTr="003B67F9">
        <w:trPr>
          <w:trHeight w:val="225"/>
          <w:jc w:val="center"/>
        </w:trPr>
        <w:tc>
          <w:tcPr>
            <w:tcW w:w="3261" w:type="dxa"/>
            <w:shd w:val="clear" w:color="auto" w:fill="auto"/>
            <w:hideMark/>
          </w:tcPr>
          <w:p w:rsidR="006738F0" w:rsidRPr="00006A39" w:rsidRDefault="006738F0" w:rsidP="00EF20AE">
            <w:pPr>
              <w:widowControl w:val="0"/>
              <w:spacing w:line="276" w:lineRule="auto"/>
              <w:ind w:left="601" w:hanging="601"/>
              <w:rPr>
                <w:rFonts w:eastAsia="Times New Roman"/>
                <w:color w:val="000000"/>
                <w:sz w:val="24"/>
                <w:szCs w:val="24"/>
                <w:lang w:eastAsia="ru-RU"/>
              </w:rPr>
            </w:pPr>
            <w:r w:rsidRPr="00006A39">
              <w:rPr>
                <w:rFonts w:eastAsia="Times New Roman"/>
                <w:color w:val="000000"/>
                <w:sz w:val="24"/>
                <w:szCs w:val="24"/>
                <w:lang w:eastAsia="ru-RU"/>
              </w:rPr>
              <w:t>Луганська</w:t>
            </w:r>
          </w:p>
        </w:tc>
        <w:tc>
          <w:tcPr>
            <w:tcW w:w="2268" w:type="dxa"/>
            <w:shd w:val="clear" w:color="auto" w:fill="auto"/>
          </w:tcPr>
          <w:p w:rsidR="006738F0" w:rsidRPr="00006A39" w:rsidRDefault="006738F0" w:rsidP="00EF20AE">
            <w:pPr>
              <w:widowControl w:val="0"/>
              <w:spacing w:line="276" w:lineRule="auto"/>
              <w:ind w:left="601" w:hanging="601"/>
              <w:jc w:val="center"/>
              <w:rPr>
                <w:rFonts w:eastAsia="Times New Roman"/>
                <w:sz w:val="24"/>
                <w:szCs w:val="24"/>
                <w:lang w:eastAsia="ru-RU"/>
              </w:rPr>
            </w:pPr>
            <w:r w:rsidRPr="00006A39">
              <w:rPr>
                <w:rFonts w:eastAsia="Times New Roman"/>
                <w:sz w:val="24"/>
                <w:szCs w:val="24"/>
                <w:lang w:eastAsia="ru-RU"/>
              </w:rPr>
              <w:t>0,91</w:t>
            </w:r>
          </w:p>
        </w:tc>
        <w:tc>
          <w:tcPr>
            <w:tcW w:w="2268" w:type="dxa"/>
            <w:shd w:val="clear" w:color="auto" w:fill="auto"/>
          </w:tcPr>
          <w:p w:rsidR="006738F0" w:rsidRPr="00006A39" w:rsidRDefault="006738F0" w:rsidP="00EF20AE">
            <w:pPr>
              <w:widowControl w:val="0"/>
              <w:spacing w:line="276" w:lineRule="auto"/>
              <w:ind w:left="601" w:hanging="601"/>
              <w:jc w:val="center"/>
              <w:rPr>
                <w:rFonts w:eastAsia="Times New Roman"/>
                <w:color w:val="000000"/>
                <w:sz w:val="24"/>
                <w:szCs w:val="24"/>
                <w:lang w:eastAsia="ru-RU"/>
              </w:rPr>
            </w:pPr>
            <w:r w:rsidRPr="00006A39">
              <w:rPr>
                <w:rFonts w:eastAsia="Times New Roman"/>
                <w:color w:val="000000"/>
                <w:sz w:val="24"/>
                <w:szCs w:val="24"/>
                <w:lang w:eastAsia="ru-RU"/>
              </w:rPr>
              <w:t>9,76</w:t>
            </w:r>
          </w:p>
        </w:tc>
        <w:tc>
          <w:tcPr>
            <w:tcW w:w="1554" w:type="dxa"/>
            <w:shd w:val="clear" w:color="auto" w:fill="auto"/>
          </w:tcPr>
          <w:p w:rsidR="006738F0" w:rsidRPr="00006A39" w:rsidRDefault="006738F0" w:rsidP="00EF20AE">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972,53</w:t>
            </w:r>
          </w:p>
        </w:tc>
      </w:tr>
      <w:tr w:rsidR="006738F0" w:rsidRPr="00006A39" w:rsidTr="003B67F9">
        <w:trPr>
          <w:trHeight w:val="225"/>
          <w:jc w:val="center"/>
        </w:trPr>
        <w:tc>
          <w:tcPr>
            <w:tcW w:w="3261" w:type="dxa"/>
            <w:shd w:val="clear" w:color="auto" w:fill="auto"/>
            <w:hideMark/>
          </w:tcPr>
          <w:p w:rsidR="006738F0" w:rsidRPr="00006A39" w:rsidRDefault="006738F0" w:rsidP="00EF20AE">
            <w:pPr>
              <w:widowControl w:val="0"/>
              <w:spacing w:line="276" w:lineRule="auto"/>
              <w:ind w:left="601" w:hanging="601"/>
              <w:rPr>
                <w:rFonts w:eastAsia="Times New Roman"/>
                <w:color w:val="000000"/>
                <w:sz w:val="24"/>
                <w:szCs w:val="24"/>
                <w:lang w:eastAsia="ru-RU"/>
              </w:rPr>
            </w:pPr>
            <w:r w:rsidRPr="00006A39">
              <w:rPr>
                <w:rFonts w:eastAsia="Times New Roman"/>
                <w:color w:val="000000"/>
                <w:sz w:val="24"/>
                <w:szCs w:val="24"/>
                <w:lang w:eastAsia="ru-RU"/>
              </w:rPr>
              <w:t>Львівська</w:t>
            </w:r>
          </w:p>
        </w:tc>
        <w:tc>
          <w:tcPr>
            <w:tcW w:w="2268" w:type="dxa"/>
            <w:shd w:val="clear" w:color="auto" w:fill="auto"/>
          </w:tcPr>
          <w:p w:rsidR="006738F0" w:rsidRPr="00006A39" w:rsidRDefault="006738F0" w:rsidP="00EF20AE">
            <w:pPr>
              <w:widowControl w:val="0"/>
              <w:spacing w:line="276" w:lineRule="auto"/>
              <w:ind w:left="601" w:hanging="601"/>
              <w:jc w:val="center"/>
              <w:rPr>
                <w:rFonts w:eastAsia="Times New Roman"/>
                <w:sz w:val="24"/>
                <w:szCs w:val="24"/>
                <w:lang w:eastAsia="ru-RU"/>
              </w:rPr>
            </w:pPr>
            <w:r w:rsidRPr="00006A39">
              <w:rPr>
                <w:rFonts w:eastAsia="Times New Roman"/>
                <w:sz w:val="24"/>
                <w:szCs w:val="24"/>
                <w:lang w:eastAsia="ru-RU"/>
              </w:rPr>
              <w:t>4,00</w:t>
            </w:r>
          </w:p>
        </w:tc>
        <w:tc>
          <w:tcPr>
            <w:tcW w:w="2268" w:type="dxa"/>
            <w:shd w:val="clear" w:color="auto" w:fill="auto"/>
          </w:tcPr>
          <w:p w:rsidR="006738F0" w:rsidRPr="00006A39" w:rsidRDefault="006738F0" w:rsidP="00EF20AE">
            <w:pPr>
              <w:widowControl w:val="0"/>
              <w:spacing w:line="276" w:lineRule="auto"/>
              <w:ind w:left="601" w:hanging="601"/>
              <w:jc w:val="center"/>
              <w:rPr>
                <w:rFonts w:eastAsia="Times New Roman"/>
                <w:color w:val="000000"/>
                <w:sz w:val="24"/>
                <w:szCs w:val="24"/>
                <w:lang w:eastAsia="ru-RU"/>
              </w:rPr>
            </w:pPr>
            <w:r w:rsidRPr="00006A39">
              <w:rPr>
                <w:rFonts w:eastAsia="Times New Roman"/>
                <w:color w:val="000000"/>
                <w:sz w:val="24"/>
                <w:szCs w:val="24"/>
                <w:lang w:eastAsia="ru-RU"/>
              </w:rPr>
              <w:t>4,81</w:t>
            </w:r>
          </w:p>
        </w:tc>
        <w:tc>
          <w:tcPr>
            <w:tcW w:w="1554" w:type="dxa"/>
            <w:shd w:val="clear" w:color="auto" w:fill="auto"/>
          </w:tcPr>
          <w:p w:rsidR="006738F0" w:rsidRPr="00006A39" w:rsidRDefault="006738F0" w:rsidP="00EF20AE">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20,25</w:t>
            </w:r>
          </w:p>
        </w:tc>
      </w:tr>
      <w:tr w:rsidR="006738F0" w:rsidRPr="00006A39" w:rsidTr="003B67F9">
        <w:trPr>
          <w:trHeight w:val="225"/>
          <w:jc w:val="center"/>
        </w:trPr>
        <w:tc>
          <w:tcPr>
            <w:tcW w:w="3261" w:type="dxa"/>
            <w:shd w:val="clear" w:color="auto" w:fill="auto"/>
            <w:hideMark/>
          </w:tcPr>
          <w:p w:rsidR="006738F0" w:rsidRPr="00006A39" w:rsidRDefault="006738F0" w:rsidP="00EF20AE">
            <w:pPr>
              <w:widowControl w:val="0"/>
              <w:spacing w:line="276" w:lineRule="auto"/>
              <w:ind w:left="601" w:hanging="601"/>
              <w:rPr>
                <w:rFonts w:eastAsia="Times New Roman"/>
                <w:color w:val="000000"/>
                <w:sz w:val="24"/>
                <w:szCs w:val="24"/>
                <w:lang w:eastAsia="ru-RU"/>
              </w:rPr>
            </w:pPr>
            <w:r w:rsidRPr="00006A39">
              <w:rPr>
                <w:rFonts w:eastAsia="Times New Roman"/>
                <w:color w:val="000000"/>
                <w:sz w:val="24"/>
                <w:szCs w:val="24"/>
                <w:lang w:eastAsia="ru-RU"/>
              </w:rPr>
              <w:t>Миколаївська</w:t>
            </w:r>
          </w:p>
        </w:tc>
        <w:tc>
          <w:tcPr>
            <w:tcW w:w="2268" w:type="dxa"/>
            <w:shd w:val="clear" w:color="auto" w:fill="auto"/>
          </w:tcPr>
          <w:p w:rsidR="006738F0" w:rsidRPr="00006A39" w:rsidRDefault="006738F0" w:rsidP="00EF20AE">
            <w:pPr>
              <w:widowControl w:val="0"/>
              <w:spacing w:line="276" w:lineRule="auto"/>
              <w:ind w:left="601" w:hanging="601"/>
              <w:jc w:val="center"/>
              <w:rPr>
                <w:rFonts w:eastAsia="Times New Roman"/>
                <w:sz w:val="24"/>
                <w:szCs w:val="24"/>
                <w:lang w:eastAsia="ru-RU"/>
              </w:rPr>
            </w:pPr>
            <w:r w:rsidRPr="00006A39">
              <w:rPr>
                <w:rFonts w:eastAsia="Times New Roman"/>
                <w:sz w:val="24"/>
                <w:szCs w:val="24"/>
                <w:lang w:eastAsia="ru-RU"/>
              </w:rPr>
              <w:t>5,40</w:t>
            </w:r>
          </w:p>
        </w:tc>
        <w:tc>
          <w:tcPr>
            <w:tcW w:w="2268" w:type="dxa"/>
            <w:shd w:val="clear" w:color="auto" w:fill="auto"/>
          </w:tcPr>
          <w:p w:rsidR="006738F0" w:rsidRPr="00006A39" w:rsidRDefault="006738F0" w:rsidP="00EF20AE">
            <w:pPr>
              <w:widowControl w:val="0"/>
              <w:spacing w:line="276" w:lineRule="auto"/>
              <w:ind w:left="601" w:hanging="601"/>
              <w:jc w:val="center"/>
              <w:rPr>
                <w:rFonts w:eastAsia="Times New Roman"/>
                <w:color w:val="000000"/>
                <w:sz w:val="24"/>
                <w:szCs w:val="24"/>
                <w:lang w:eastAsia="ru-RU"/>
              </w:rPr>
            </w:pPr>
            <w:r w:rsidRPr="00006A39">
              <w:rPr>
                <w:rFonts w:eastAsia="Times New Roman"/>
                <w:color w:val="000000"/>
                <w:sz w:val="24"/>
                <w:szCs w:val="24"/>
                <w:lang w:eastAsia="ru-RU"/>
              </w:rPr>
              <w:t>7,80</w:t>
            </w:r>
          </w:p>
        </w:tc>
        <w:tc>
          <w:tcPr>
            <w:tcW w:w="1554" w:type="dxa"/>
            <w:shd w:val="clear" w:color="auto" w:fill="auto"/>
          </w:tcPr>
          <w:p w:rsidR="006738F0" w:rsidRPr="00006A39" w:rsidRDefault="006738F0" w:rsidP="00EF20AE">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44,44</w:t>
            </w:r>
          </w:p>
        </w:tc>
      </w:tr>
      <w:tr w:rsidR="006738F0" w:rsidRPr="00006A39" w:rsidTr="003B67F9">
        <w:trPr>
          <w:trHeight w:val="225"/>
          <w:jc w:val="center"/>
        </w:trPr>
        <w:tc>
          <w:tcPr>
            <w:tcW w:w="3261" w:type="dxa"/>
            <w:shd w:val="clear" w:color="auto" w:fill="auto"/>
            <w:hideMark/>
          </w:tcPr>
          <w:p w:rsidR="006738F0" w:rsidRPr="00006A39" w:rsidRDefault="006738F0" w:rsidP="00EF20AE">
            <w:pPr>
              <w:widowControl w:val="0"/>
              <w:spacing w:line="276" w:lineRule="auto"/>
              <w:ind w:left="601" w:hanging="601"/>
              <w:rPr>
                <w:rFonts w:eastAsia="Times New Roman"/>
                <w:color w:val="000000"/>
                <w:sz w:val="24"/>
                <w:szCs w:val="24"/>
                <w:lang w:eastAsia="ru-RU"/>
              </w:rPr>
            </w:pPr>
            <w:r w:rsidRPr="00006A39">
              <w:rPr>
                <w:rFonts w:eastAsia="Times New Roman"/>
                <w:color w:val="000000"/>
                <w:sz w:val="24"/>
                <w:szCs w:val="24"/>
                <w:lang w:eastAsia="ru-RU"/>
              </w:rPr>
              <w:t>Одеська</w:t>
            </w:r>
          </w:p>
        </w:tc>
        <w:tc>
          <w:tcPr>
            <w:tcW w:w="2268" w:type="dxa"/>
            <w:shd w:val="clear" w:color="auto" w:fill="auto"/>
          </w:tcPr>
          <w:p w:rsidR="006738F0" w:rsidRPr="00006A39" w:rsidRDefault="006738F0" w:rsidP="00EF20AE">
            <w:pPr>
              <w:widowControl w:val="0"/>
              <w:spacing w:line="276" w:lineRule="auto"/>
              <w:ind w:left="601" w:hanging="601"/>
              <w:jc w:val="center"/>
              <w:rPr>
                <w:rFonts w:eastAsia="Times New Roman"/>
                <w:sz w:val="24"/>
                <w:szCs w:val="24"/>
                <w:lang w:eastAsia="ru-RU"/>
              </w:rPr>
            </w:pPr>
            <w:r w:rsidRPr="00006A39">
              <w:rPr>
                <w:rFonts w:eastAsia="Times New Roman"/>
                <w:sz w:val="24"/>
                <w:szCs w:val="24"/>
                <w:lang w:eastAsia="ru-RU"/>
              </w:rPr>
              <w:t>4,05</w:t>
            </w:r>
          </w:p>
        </w:tc>
        <w:tc>
          <w:tcPr>
            <w:tcW w:w="2268" w:type="dxa"/>
            <w:shd w:val="clear" w:color="auto" w:fill="auto"/>
          </w:tcPr>
          <w:p w:rsidR="006738F0" w:rsidRPr="00006A39" w:rsidRDefault="006738F0" w:rsidP="00EF20AE">
            <w:pPr>
              <w:widowControl w:val="0"/>
              <w:spacing w:line="276" w:lineRule="auto"/>
              <w:ind w:left="601" w:hanging="601"/>
              <w:jc w:val="center"/>
              <w:rPr>
                <w:rFonts w:eastAsia="Times New Roman"/>
                <w:color w:val="000000"/>
                <w:sz w:val="24"/>
                <w:szCs w:val="24"/>
                <w:lang w:eastAsia="ru-RU"/>
              </w:rPr>
            </w:pPr>
            <w:r w:rsidRPr="00006A39">
              <w:rPr>
                <w:rFonts w:eastAsia="Times New Roman"/>
                <w:color w:val="000000"/>
                <w:sz w:val="24"/>
                <w:szCs w:val="24"/>
                <w:lang w:eastAsia="ru-RU"/>
              </w:rPr>
              <w:t>5,28</w:t>
            </w:r>
          </w:p>
        </w:tc>
        <w:tc>
          <w:tcPr>
            <w:tcW w:w="1554" w:type="dxa"/>
            <w:shd w:val="clear" w:color="auto" w:fill="auto"/>
          </w:tcPr>
          <w:p w:rsidR="006738F0" w:rsidRPr="00006A39" w:rsidRDefault="006738F0" w:rsidP="00EF20AE">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30,37</w:t>
            </w:r>
          </w:p>
        </w:tc>
      </w:tr>
      <w:tr w:rsidR="006738F0" w:rsidRPr="00006A39" w:rsidTr="003B67F9">
        <w:trPr>
          <w:trHeight w:val="225"/>
          <w:jc w:val="center"/>
        </w:trPr>
        <w:tc>
          <w:tcPr>
            <w:tcW w:w="3261" w:type="dxa"/>
            <w:shd w:val="clear" w:color="auto" w:fill="auto"/>
            <w:hideMark/>
          </w:tcPr>
          <w:p w:rsidR="006738F0" w:rsidRPr="00006A39" w:rsidRDefault="006738F0" w:rsidP="00EF20AE">
            <w:pPr>
              <w:widowControl w:val="0"/>
              <w:spacing w:line="276" w:lineRule="auto"/>
              <w:ind w:left="601" w:hanging="601"/>
              <w:rPr>
                <w:rFonts w:eastAsia="Times New Roman"/>
                <w:color w:val="000000"/>
                <w:sz w:val="24"/>
                <w:szCs w:val="24"/>
                <w:lang w:eastAsia="ru-RU"/>
              </w:rPr>
            </w:pPr>
            <w:r w:rsidRPr="00006A39">
              <w:rPr>
                <w:rFonts w:eastAsia="Times New Roman"/>
                <w:color w:val="000000"/>
                <w:sz w:val="24"/>
                <w:szCs w:val="24"/>
                <w:lang w:eastAsia="ru-RU"/>
              </w:rPr>
              <w:t>Полтавська</w:t>
            </w:r>
          </w:p>
        </w:tc>
        <w:tc>
          <w:tcPr>
            <w:tcW w:w="2268" w:type="dxa"/>
            <w:shd w:val="clear" w:color="auto" w:fill="auto"/>
          </w:tcPr>
          <w:p w:rsidR="006738F0" w:rsidRPr="00006A39" w:rsidRDefault="006738F0" w:rsidP="00EF20AE">
            <w:pPr>
              <w:widowControl w:val="0"/>
              <w:spacing w:line="276" w:lineRule="auto"/>
              <w:ind w:left="601" w:hanging="601"/>
              <w:jc w:val="center"/>
              <w:rPr>
                <w:rFonts w:eastAsia="Times New Roman"/>
                <w:sz w:val="24"/>
                <w:szCs w:val="24"/>
                <w:lang w:eastAsia="ru-RU"/>
              </w:rPr>
            </w:pPr>
            <w:r w:rsidRPr="00006A39">
              <w:rPr>
                <w:rFonts w:eastAsia="Times New Roman"/>
                <w:sz w:val="24"/>
                <w:szCs w:val="24"/>
                <w:lang w:eastAsia="ru-RU"/>
              </w:rPr>
              <w:t>6,53</w:t>
            </w:r>
          </w:p>
        </w:tc>
        <w:tc>
          <w:tcPr>
            <w:tcW w:w="2268" w:type="dxa"/>
            <w:shd w:val="clear" w:color="auto" w:fill="auto"/>
          </w:tcPr>
          <w:p w:rsidR="006738F0" w:rsidRPr="00006A39" w:rsidRDefault="006738F0" w:rsidP="00EF20AE">
            <w:pPr>
              <w:widowControl w:val="0"/>
              <w:spacing w:line="276" w:lineRule="auto"/>
              <w:ind w:left="601" w:hanging="601"/>
              <w:jc w:val="center"/>
              <w:rPr>
                <w:rFonts w:eastAsia="Times New Roman"/>
                <w:color w:val="000000"/>
                <w:sz w:val="24"/>
                <w:szCs w:val="24"/>
                <w:lang w:eastAsia="ru-RU"/>
              </w:rPr>
            </w:pPr>
            <w:r w:rsidRPr="00006A39">
              <w:rPr>
                <w:rFonts w:eastAsia="Times New Roman"/>
                <w:color w:val="000000"/>
                <w:sz w:val="24"/>
                <w:szCs w:val="24"/>
                <w:lang w:eastAsia="ru-RU"/>
              </w:rPr>
              <w:t>7,35</w:t>
            </w:r>
          </w:p>
        </w:tc>
        <w:tc>
          <w:tcPr>
            <w:tcW w:w="1554" w:type="dxa"/>
            <w:shd w:val="clear" w:color="auto" w:fill="auto"/>
          </w:tcPr>
          <w:p w:rsidR="006738F0" w:rsidRPr="00006A39" w:rsidRDefault="006738F0" w:rsidP="00EF20AE">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12,56</w:t>
            </w:r>
          </w:p>
        </w:tc>
      </w:tr>
      <w:tr w:rsidR="006738F0" w:rsidRPr="00006A39" w:rsidTr="003B67F9">
        <w:trPr>
          <w:trHeight w:val="225"/>
          <w:jc w:val="center"/>
        </w:trPr>
        <w:tc>
          <w:tcPr>
            <w:tcW w:w="3261" w:type="dxa"/>
            <w:shd w:val="clear" w:color="auto" w:fill="auto"/>
            <w:hideMark/>
          </w:tcPr>
          <w:p w:rsidR="006738F0" w:rsidRPr="00006A39" w:rsidRDefault="006738F0" w:rsidP="00EF20AE">
            <w:pPr>
              <w:widowControl w:val="0"/>
              <w:spacing w:line="276" w:lineRule="auto"/>
              <w:ind w:left="601" w:hanging="601"/>
              <w:rPr>
                <w:rFonts w:eastAsia="Times New Roman"/>
                <w:color w:val="000000"/>
                <w:sz w:val="24"/>
                <w:szCs w:val="24"/>
                <w:lang w:eastAsia="ru-RU"/>
              </w:rPr>
            </w:pPr>
            <w:r w:rsidRPr="00006A39">
              <w:rPr>
                <w:rFonts w:eastAsia="Times New Roman"/>
                <w:color w:val="000000"/>
                <w:sz w:val="24"/>
                <w:szCs w:val="24"/>
                <w:lang w:eastAsia="ru-RU"/>
              </w:rPr>
              <w:t>Рівненська</w:t>
            </w:r>
          </w:p>
        </w:tc>
        <w:tc>
          <w:tcPr>
            <w:tcW w:w="2268" w:type="dxa"/>
            <w:shd w:val="clear" w:color="auto" w:fill="auto"/>
          </w:tcPr>
          <w:p w:rsidR="006738F0" w:rsidRPr="00006A39" w:rsidRDefault="006738F0" w:rsidP="00EF20AE">
            <w:pPr>
              <w:widowControl w:val="0"/>
              <w:spacing w:line="276" w:lineRule="auto"/>
              <w:ind w:left="601" w:hanging="601"/>
              <w:jc w:val="center"/>
              <w:rPr>
                <w:rFonts w:eastAsia="Times New Roman"/>
                <w:sz w:val="24"/>
                <w:szCs w:val="24"/>
                <w:lang w:eastAsia="ru-RU"/>
              </w:rPr>
            </w:pPr>
            <w:r w:rsidRPr="00006A39">
              <w:rPr>
                <w:rFonts w:eastAsia="Times New Roman"/>
                <w:sz w:val="24"/>
                <w:szCs w:val="24"/>
                <w:lang w:eastAsia="ru-RU"/>
              </w:rPr>
              <w:t>2,00</w:t>
            </w:r>
          </w:p>
        </w:tc>
        <w:tc>
          <w:tcPr>
            <w:tcW w:w="2268" w:type="dxa"/>
            <w:shd w:val="clear" w:color="auto" w:fill="auto"/>
          </w:tcPr>
          <w:p w:rsidR="006738F0" w:rsidRPr="00006A39" w:rsidRDefault="006738F0" w:rsidP="00EF20AE">
            <w:pPr>
              <w:widowControl w:val="0"/>
              <w:spacing w:line="276" w:lineRule="auto"/>
              <w:ind w:left="601" w:hanging="601"/>
              <w:jc w:val="center"/>
              <w:rPr>
                <w:rFonts w:eastAsia="Times New Roman"/>
                <w:color w:val="000000"/>
                <w:sz w:val="24"/>
                <w:szCs w:val="24"/>
                <w:lang w:eastAsia="ru-RU"/>
              </w:rPr>
            </w:pPr>
            <w:r w:rsidRPr="00006A39">
              <w:rPr>
                <w:rFonts w:eastAsia="Times New Roman"/>
                <w:color w:val="000000"/>
                <w:sz w:val="24"/>
                <w:szCs w:val="24"/>
                <w:lang w:eastAsia="ru-RU"/>
              </w:rPr>
              <w:t>2,05</w:t>
            </w:r>
          </w:p>
        </w:tc>
        <w:tc>
          <w:tcPr>
            <w:tcW w:w="1554" w:type="dxa"/>
            <w:shd w:val="clear" w:color="auto" w:fill="auto"/>
          </w:tcPr>
          <w:p w:rsidR="006738F0" w:rsidRPr="00006A39" w:rsidRDefault="006738F0" w:rsidP="00EF20AE">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2,50</w:t>
            </w:r>
          </w:p>
        </w:tc>
      </w:tr>
      <w:tr w:rsidR="006738F0" w:rsidRPr="00006A39" w:rsidTr="003B67F9">
        <w:trPr>
          <w:trHeight w:val="225"/>
          <w:jc w:val="center"/>
        </w:trPr>
        <w:tc>
          <w:tcPr>
            <w:tcW w:w="3261" w:type="dxa"/>
            <w:shd w:val="clear" w:color="auto" w:fill="auto"/>
            <w:hideMark/>
          </w:tcPr>
          <w:p w:rsidR="006738F0" w:rsidRPr="00006A39" w:rsidRDefault="006738F0" w:rsidP="00EF20AE">
            <w:pPr>
              <w:widowControl w:val="0"/>
              <w:spacing w:line="276" w:lineRule="auto"/>
              <w:ind w:left="601" w:hanging="601"/>
              <w:rPr>
                <w:rFonts w:eastAsia="Times New Roman"/>
                <w:color w:val="000000"/>
                <w:sz w:val="24"/>
                <w:szCs w:val="24"/>
                <w:lang w:eastAsia="ru-RU"/>
              </w:rPr>
            </w:pPr>
            <w:r w:rsidRPr="00006A39">
              <w:rPr>
                <w:rFonts w:eastAsia="Times New Roman"/>
                <w:color w:val="000000"/>
                <w:sz w:val="24"/>
                <w:szCs w:val="24"/>
                <w:lang w:eastAsia="ru-RU"/>
              </w:rPr>
              <w:t>Сумська</w:t>
            </w:r>
          </w:p>
        </w:tc>
        <w:tc>
          <w:tcPr>
            <w:tcW w:w="2268" w:type="dxa"/>
            <w:shd w:val="clear" w:color="auto" w:fill="auto"/>
          </w:tcPr>
          <w:p w:rsidR="006738F0" w:rsidRPr="00006A39" w:rsidRDefault="006738F0" w:rsidP="00EF20AE">
            <w:pPr>
              <w:widowControl w:val="0"/>
              <w:spacing w:line="276" w:lineRule="auto"/>
              <w:ind w:left="601" w:hanging="601"/>
              <w:jc w:val="center"/>
              <w:rPr>
                <w:rFonts w:eastAsia="Times New Roman"/>
                <w:sz w:val="24"/>
                <w:szCs w:val="24"/>
                <w:lang w:eastAsia="ru-RU"/>
              </w:rPr>
            </w:pPr>
            <w:r w:rsidRPr="00006A39">
              <w:rPr>
                <w:rFonts w:eastAsia="Times New Roman"/>
                <w:sz w:val="24"/>
                <w:szCs w:val="24"/>
                <w:lang w:eastAsia="ru-RU"/>
              </w:rPr>
              <w:t>4,91</w:t>
            </w:r>
          </w:p>
        </w:tc>
        <w:tc>
          <w:tcPr>
            <w:tcW w:w="2268" w:type="dxa"/>
            <w:shd w:val="clear" w:color="auto" w:fill="auto"/>
          </w:tcPr>
          <w:p w:rsidR="006738F0" w:rsidRPr="00006A39" w:rsidRDefault="006738F0" w:rsidP="00EF20AE">
            <w:pPr>
              <w:widowControl w:val="0"/>
              <w:spacing w:line="276" w:lineRule="auto"/>
              <w:ind w:left="601" w:hanging="601"/>
              <w:jc w:val="center"/>
              <w:rPr>
                <w:rFonts w:eastAsia="Times New Roman"/>
                <w:color w:val="000000"/>
                <w:sz w:val="24"/>
                <w:szCs w:val="24"/>
                <w:lang w:eastAsia="ru-RU"/>
              </w:rPr>
            </w:pPr>
            <w:r w:rsidRPr="00006A39">
              <w:rPr>
                <w:rFonts w:eastAsia="Times New Roman"/>
                <w:color w:val="000000"/>
                <w:sz w:val="24"/>
                <w:szCs w:val="24"/>
                <w:lang w:eastAsia="ru-RU"/>
              </w:rPr>
              <w:t>7,03</w:t>
            </w:r>
          </w:p>
        </w:tc>
        <w:tc>
          <w:tcPr>
            <w:tcW w:w="1554" w:type="dxa"/>
            <w:shd w:val="clear" w:color="auto" w:fill="auto"/>
          </w:tcPr>
          <w:p w:rsidR="006738F0" w:rsidRPr="00006A39" w:rsidRDefault="006738F0" w:rsidP="00EF20AE">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43,18</w:t>
            </w:r>
          </w:p>
        </w:tc>
      </w:tr>
      <w:tr w:rsidR="006738F0" w:rsidRPr="00006A39" w:rsidTr="003B67F9">
        <w:trPr>
          <w:trHeight w:val="225"/>
          <w:jc w:val="center"/>
        </w:trPr>
        <w:tc>
          <w:tcPr>
            <w:tcW w:w="3261" w:type="dxa"/>
            <w:shd w:val="clear" w:color="auto" w:fill="auto"/>
            <w:hideMark/>
          </w:tcPr>
          <w:p w:rsidR="006738F0" w:rsidRPr="00006A39" w:rsidRDefault="006738F0" w:rsidP="00EF20AE">
            <w:pPr>
              <w:widowControl w:val="0"/>
              <w:spacing w:line="276" w:lineRule="auto"/>
              <w:ind w:left="601" w:hanging="601"/>
              <w:rPr>
                <w:rFonts w:eastAsia="Times New Roman"/>
                <w:color w:val="000000"/>
                <w:sz w:val="24"/>
                <w:szCs w:val="24"/>
                <w:lang w:eastAsia="ru-RU"/>
              </w:rPr>
            </w:pPr>
            <w:r w:rsidRPr="00006A39">
              <w:rPr>
                <w:rFonts w:eastAsia="Times New Roman"/>
                <w:color w:val="000000"/>
                <w:sz w:val="24"/>
                <w:szCs w:val="24"/>
                <w:lang w:eastAsia="ru-RU"/>
              </w:rPr>
              <w:t>Тернопільська</w:t>
            </w:r>
          </w:p>
        </w:tc>
        <w:tc>
          <w:tcPr>
            <w:tcW w:w="2268" w:type="dxa"/>
            <w:shd w:val="clear" w:color="auto" w:fill="auto"/>
          </w:tcPr>
          <w:p w:rsidR="006738F0" w:rsidRPr="00006A39" w:rsidRDefault="006738F0" w:rsidP="00EF20AE">
            <w:pPr>
              <w:widowControl w:val="0"/>
              <w:spacing w:line="276" w:lineRule="auto"/>
              <w:ind w:left="601" w:hanging="601"/>
              <w:jc w:val="center"/>
              <w:rPr>
                <w:rFonts w:eastAsia="Times New Roman"/>
                <w:sz w:val="24"/>
                <w:szCs w:val="24"/>
                <w:lang w:eastAsia="ru-RU"/>
              </w:rPr>
            </w:pPr>
            <w:r w:rsidRPr="00006A39">
              <w:rPr>
                <w:rFonts w:eastAsia="Times New Roman"/>
                <w:sz w:val="24"/>
                <w:szCs w:val="24"/>
                <w:lang w:eastAsia="ru-RU"/>
              </w:rPr>
              <w:t>5,15</w:t>
            </w:r>
          </w:p>
        </w:tc>
        <w:tc>
          <w:tcPr>
            <w:tcW w:w="2268" w:type="dxa"/>
            <w:shd w:val="clear" w:color="auto" w:fill="auto"/>
          </w:tcPr>
          <w:p w:rsidR="006738F0" w:rsidRPr="00006A39" w:rsidRDefault="006738F0" w:rsidP="00EF20AE">
            <w:pPr>
              <w:widowControl w:val="0"/>
              <w:spacing w:line="276" w:lineRule="auto"/>
              <w:ind w:left="601" w:hanging="601"/>
              <w:jc w:val="center"/>
              <w:rPr>
                <w:rFonts w:eastAsia="Times New Roman"/>
                <w:color w:val="000000"/>
                <w:sz w:val="24"/>
                <w:szCs w:val="24"/>
                <w:lang w:eastAsia="ru-RU"/>
              </w:rPr>
            </w:pPr>
            <w:r w:rsidRPr="00006A39">
              <w:rPr>
                <w:rFonts w:eastAsia="Times New Roman"/>
                <w:color w:val="000000"/>
                <w:sz w:val="24"/>
                <w:szCs w:val="24"/>
                <w:lang w:eastAsia="ru-RU"/>
              </w:rPr>
              <w:t>7,09</w:t>
            </w:r>
          </w:p>
        </w:tc>
        <w:tc>
          <w:tcPr>
            <w:tcW w:w="1554" w:type="dxa"/>
            <w:shd w:val="clear" w:color="auto" w:fill="auto"/>
          </w:tcPr>
          <w:p w:rsidR="006738F0" w:rsidRPr="00006A39" w:rsidRDefault="006738F0" w:rsidP="00EF20AE">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37,67</w:t>
            </w:r>
          </w:p>
        </w:tc>
      </w:tr>
      <w:tr w:rsidR="006738F0" w:rsidRPr="00006A39" w:rsidTr="003B67F9">
        <w:trPr>
          <w:trHeight w:val="225"/>
          <w:jc w:val="center"/>
        </w:trPr>
        <w:tc>
          <w:tcPr>
            <w:tcW w:w="3261" w:type="dxa"/>
            <w:shd w:val="clear" w:color="auto" w:fill="auto"/>
            <w:hideMark/>
          </w:tcPr>
          <w:p w:rsidR="006738F0" w:rsidRPr="00006A39" w:rsidRDefault="006738F0" w:rsidP="00EF20AE">
            <w:pPr>
              <w:widowControl w:val="0"/>
              <w:spacing w:line="276" w:lineRule="auto"/>
              <w:ind w:left="601" w:hanging="601"/>
              <w:rPr>
                <w:rFonts w:eastAsia="Times New Roman"/>
                <w:color w:val="000000"/>
                <w:sz w:val="24"/>
                <w:szCs w:val="24"/>
                <w:lang w:eastAsia="ru-RU"/>
              </w:rPr>
            </w:pPr>
            <w:r w:rsidRPr="00006A39">
              <w:rPr>
                <w:rFonts w:eastAsia="Times New Roman"/>
                <w:color w:val="000000"/>
                <w:sz w:val="24"/>
                <w:szCs w:val="24"/>
                <w:lang w:eastAsia="ru-RU"/>
              </w:rPr>
              <w:t>Харківська</w:t>
            </w:r>
          </w:p>
        </w:tc>
        <w:tc>
          <w:tcPr>
            <w:tcW w:w="2268" w:type="dxa"/>
            <w:shd w:val="clear" w:color="auto" w:fill="auto"/>
          </w:tcPr>
          <w:p w:rsidR="006738F0" w:rsidRPr="00006A39" w:rsidRDefault="006738F0" w:rsidP="00EF20AE">
            <w:pPr>
              <w:widowControl w:val="0"/>
              <w:spacing w:line="276" w:lineRule="auto"/>
              <w:ind w:left="601" w:hanging="601"/>
              <w:jc w:val="center"/>
              <w:rPr>
                <w:rFonts w:eastAsia="Times New Roman"/>
                <w:sz w:val="24"/>
                <w:szCs w:val="24"/>
                <w:lang w:eastAsia="ru-RU"/>
              </w:rPr>
            </w:pPr>
            <w:r w:rsidRPr="00006A39">
              <w:rPr>
                <w:rFonts w:eastAsia="Times New Roman"/>
                <w:sz w:val="24"/>
                <w:szCs w:val="24"/>
                <w:lang w:eastAsia="ru-RU"/>
              </w:rPr>
              <w:t>7,21</w:t>
            </w:r>
          </w:p>
        </w:tc>
        <w:tc>
          <w:tcPr>
            <w:tcW w:w="2268" w:type="dxa"/>
            <w:shd w:val="clear" w:color="auto" w:fill="auto"/>
          </w:tcPr>
          <w:p w:rsidR="006738F0" w:rsidRPr="00006A39" w:rsidRDefault="006738F0" w:rsidP="00EF20AE">
            <w:pPr>
              <w:widowControl w:val="0"/>
              <w:spacing w:line="276" w:lineRule="auto"/>
              <w:ind w:left="601" w:hanging="601"/>
              <w:jc w:val="center"/>
              <w:rPr>
                <w:rFonts w:eastAsia="Times New Roman"/>
                <w:color w:val="000000"/>
                <w:sz w:val="24"/>
                <w:szCs w:val="24"/>
                <w:lang w:eastAsia="ru-RU"/>
              </w:rPr>
            </w:pPr>
            <w:r w:rsidRPr="00006A39">
              <w:rPr>
                <w:rFonts w:eastAsia="Times New Roman"/>
                <w:color w:val="000000"/>
                <w:sz w:val="24"/>
                <w:szCs w:val="24"/>
                <w:lang w:eastAsia="ru-RU"/>
              </w:rPr>
              <w:t>9,18</w:t>
            </w:r>
          </w:p>
        </w:tc>
        <w:tc>
          <w:tcPr>
            <w:tcW w:w="1554" w:type="dxa"/>
            <w:shd w:val="clear" w:color="auto" w:fill="auto"/>
          </w:tcPr>
          <w:p w:rsidR="006738F0" w:rsidRPr="00006A39" w:rsidRDefault="006738F0" w:rsidP="00EF20AE">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27,32</w:t>
            </w:r>
          </w:p>
        </w:tc>
      </w:tr>
      <w:tr w:rsidR="006738F0" w:rsidRPr="00006A39" w:rsidTr="003B67F9">
        <w:trPr>
          <w:trHeight w:val="225"/>
          <w:jc w:val="center"/>
        </w:trPr>
        <w:tc>
          <w:tcPr>
            <w:tcW w:w="3261" w:type="dxa"/>
            <w:shd w:val="clear" w:color="auto" w:fill="auto"/>
            <w:hideMark/>
          </w:tcPr>
          <w:p w:rsidR="006738F0" w:rsidRPr="00006A39" w:rsidRDefault="006738F0" w:rsidP="00EF20AE">
            <w:pPr>
              <w:widowControl w:val="0"/>
              <w:spacing w:line="276" w:lineRule="auto"/>
              <w:ind w:left="601" w:hanging="601"/>
              <w:rPr>
                <w:rFonts w:eastAsia="Times New Roman"/>
                <w:color w:val="000000"/>
                <w:sz w:val="24"/>
                <w:szCs w:val="24"/>
                <w:lang w:eastAsia="ru-RU"/>
              </w:rPr>
            </w:pPr>
            <w:r w:rsidRPr="00006A39">
              <w:rPr>
                <w:rFonts w:eastAsia="Times New Roman"/>
                <w:color w:val="000000"/>
                <w:sz w:val="24"/>
                <w:szCs w:val="24"/>
                <w:lang w:eastAsia="ru-RU"/>
              </w:rPr>
              <w:t>Херсонська</w:t>
            </w:r>
          </w:p>
        </w:tc>
        <w:tc>
          <w:tcPr>
            <w:tcW w:w="2268" w:type="dxa"/>
            <w:shd w:val="clear" w:color="auto" w:fill="auto"/>
          </w:tcPr>
          <w:p w:rsidR="006738F0" w:rsidRPr="00006A39" w:rsidRDefault="006738F0" w:rsidP="00EF20AE">
            <w:pPr>
              <w:widowControl w:val="0"/>
              <w:spacing w:line="276" w:lineRule="auto"/>
              <w:ind w:left="601" w:hanging="601"/>
              <w:jc w:val="center"/>
              <w:rPr>
                <w:rFonts w:eastAsia="Times New Roman"/>
                <w:sz w:val="24"/>
                <w:szCs w:val="24"/>
                <w:lang w:eastAsia="ru-RU"/>
              </w:rPr>
            </w:pPr>
            <w:r w:rsidRPr="00006A39">
              <w:rPr>
                <w:rFonts w:eastAsia="Times New Roman"/>
                <w:sz w:val="24"/>
                <w:szCs w:val="24"/>
                <w:lang w:eastAsia="ru-RU"/>
              </w:rPr>
              <w:t>4,19</w:t>
            </w:r>
          </w:p>
        </w:tc>
        <w:tc>
          <w:tcPr>
            <w:tcW w:w="2268" w:type="dxa"/>
            <w:shd w:val="clear" w:color="auto" w:fill="auto"/>
          </w:tcPr>
          <w:p w:rsidR="006738F0" w:rsidRPr="00006A39" w:rsidRDefault="006738F0" w:rsidP="00EF20AE">
            <w:pPr>
              <w:widowControl w:val="0"/>
              <w:spacing w:line="276" w:lineRule="auto"/>
              <w:ind w:left="601" w:hanging="601"/>
              <w:jc w:val="center"/>
              <w:rPr>
                <w:rFonts w:eastAsia="Times New Roman"/>
                <w:color w:val="000000"/>
                <w:sz w:val="24"/>
                <w:szCs w:val="24"/>
                <w:lang w:eastAsia="ru-RU"/>
              </w:rPr>
            </w:pPr>
            <w:r w:rsidRPr="00006A39">
              <w:rPr>
                <w:rFonts w:eastAsia="Times New Roman"/>
                <w:color w:val="000000"/>
                <w:sz w:val="24"/>
                <w:szCs w:val="24"/>
                <w:lang w:eastAsia="ru-RU"/>
              </w:rPr>
              <w:t>6,14</w:t>
            </w:r>
          </w:p>
        </w:tc>
        <w:tc>
          <w:tcPr>
            <w:tcW w:w="1554" w:type="dxa"/>
            <w:shd w:val="clear" w:color="auto" w:fill="auto"/>
          </w:tcPr>
          <w:p w:rsidR="006738F0" w:rsidRPr="00006A39" w:rsidRDefault="006738F0" w:rsidP="00EF20AE">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46,54</w:t>
            </w:r>
          </w:p>
        </w:tc>
      </w:tr>
      <w:tr w:rsidR="006738F0" w:rsidRPr="00006A39" w:rsidTr="003B67F9">
        <w:trPr>
          <w:trHeight w:val="225"/>
          <w:jc w:val="center"/>
        </w:trPr>
        <w:tc>
          <w:tcPr>
            <w:tcW w:w="3261" w:type="dxa"/>
            <w:shd w:val="clear" w:color="auto" w:fill="auto"/>
            <w:hideMark/>
          </w:tcPr>
          <w:p w:rsidR="006738F0" w:rsidRPr="00006A39" w:rsidRDefault="006738F0" w:rsidP="00EF20AE">
            <w:pPr>
              <w:widowControl w:val="0"/>
              <w:spacing w:line="276" w:lineRule="auto"/>
              <w:ind w:left="601" w:hanging="601"/>
              <w:rPr>
                <w:rFonts w:eastAsia="Times New Roman"/>
                <w:color w:val="000000"/>
                <w:sz w:val="24"/>
                <w:szCs w:val="24"/>
                <w:lang w:eastAsia="ru-RU"/>
              </w:rPr>
            </w:pPr>
            <w:r w:rsidRPr="00006A39">
              <w:rPr>
                <w:rFonts w:eastAsia="Times New Roman"/>
                <w:color w:val="000000"/>
                <w:sz w:val="24"/>
                <w:szCs w:val="24"/>
                <w:lang w:eastAsia="ru-RU"/>
              </w:rPr>
              <w:t>Хмельницька</w:t>
            </w:r>
          </w:p>
        </w:tc>
        <w:tc>
          <w:tcPr>
            <w:tcW w:w="2268" w:type="dxa"/>
            <w:shd w:val="clear" w:color="auto" w:fill="auto"/>
          </w:tcPr>
          <w:p w:rsidR="006738F0" w:rsidRPr="00006A39" w:rsidRDefault="006738F0" w:rsidP="00EF20AE">
            <w:pPr>
              <w:widowControl w:val="0"/>
              <w:spacing w:line="276" w:lineRule="auto"/>
              <w:ind w:left="601" w:hanging="601"/>
              <w:jc w:val="center"/>
              <w:rPr>
                <w:rFonts w:eastAsia="Times New Roman"/>
                <w:sz w:val="24"/>
                <w:szCs w:val="24"/>
                <w:lang w:eastAsia="ru-RU"/>
              </w:rPr>
            </w:pPr>
            <w:r w:rsidRPr="00006A39">
              <w:rPr>
                <w:rFonts w:eastAsia="Times New Roman"/>
                <w:sz w:val="24"/>
                <w:szCs w:val="24"/>
                <w:lang w:eastAsia="ru-RU"/>
              </w:rPr>
              <w:t>5,50</w:t>
            </w:r>
          </w:p>
        </w:tc>
        <w:tc>
          <w:tcPr>
            <w:tcW w:w="2268" w:type="dxa"/>
            <w:shd w:val="clear" w:color="auto" w:fill="auto"/>
          </w:tcPr>
          <w:p w:rsidR="006738F0" w:rsidRPr="00006A39" w:rsidRDefault="006738F0" w:rsidP="00EF20AE">
            <w:pPr>
              <w:widowControl w:val="0"/>
              <w:spacing w:line="276" w:lineRule="auto"/>
              <w:ind w:left="601" w:hanging="601"/>
              <w:jc w:val="center"/>
              <w:rPr>
                <w:rFonts w:eastAsia="Times New Roman"/>
                <w:color w:val="000000"/>
                <w:sz w:val="24"/>
                <w:szCs w:val="24"/>
                <w:lang w:eastAsia="ru-RU"/>
              </w:rPr>
            </w:pPr>
            <w:r w:rsidRPr="00006A39">
              <w:rPr>
                <w:rFonts w:eastAsia="Times New Roman"/>
                <w:color w:val="000000"/>
                <w:sz w:val="24"/>
                <w:szCs w:val="24"/>
                <w:lang w:eastAsia="ru-RU"/>
              </w:rPr>
              <w:t>7,44</w:t>
            </w:r>
          </w:p>
        </w:tc>
        <w:tc>
          <w:tcPr>
            <w:tcW w:w="1554" w:type="dxa"/>
            <w:shd w:val="clear" w:color="auto" w:fill="auto"/>
          </w:tcPr>
          <w:p w:rsidR="006738F0" w:rsidRPr="00006A39" w:rsidRDefault="006738F0" w:rsidP="00EF20AE">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35,27</w:t>
            </w:r>
          </w:p>
        </w:tc>
      </w:tr>
      <w:tr w:rsidR="006738F0" w:rsidRPr="00006A39" w:rsidTr="003B67F9">
        <w:trPr>
          <w:trHeight w:val="225"/>
          <w:jc w:val="center"/>
        </w:trPr>
        <w:tc>
          <w:tcPr>
            <w:tcW w:w="3261" w:type="dxa"/>
            <w:shd w:val="clear" w:color="auto" w:fill="auto"/>
            <w:hideMark/>
          </w:tcPr>
          <w:p w:rsidR="006738F0" w:rsidRPr="00006A39" w:rsidRDefault="006738F0" w:rsidP="00EF20AE">
            <w:pPr>
              <w:widowControl w:val="0"/>
              <w:spacing w:line="276" w:lineRule="auto"/>
              <w:ind w:left="601" w:hanging="601"/>
              <w:rPr>
                <w:rFonts w:eastAsia="Times New Roman"/>
                <w:color w:val="000000"/>
                <w:sz w:val="24"/>
                <w:szCs w:val="24"/>
                <w:lang w:eastAsia="ru-RU"/>
              </w:rPr>
            </w:pPr>
            <w:r w:rsidRPr="00006A39">
              <w:rPr>
                <w:rFonts w:eastAsia="Times New Roman"/>
                <w:color w:val="000000"/>
                <w:sz w:val="24"/>
                <w:szCs w:val="24"/>
                <w:lang w:eastAsia="ru-RU"/>
              </w:rPr>
              <w:t>Черкаська</w:t>
            </w:r>
          </w:p>
        </w:tc>
        <w:tc>
          <w:tcPr>
            <w:tcW w:w="2268" w:type="dxa"/>
            <w:shd w:val="clear" w:color="auto" w:fill="auto"/>
          </w:tcPr>
          <w:p w:rsidR="006738F0" w:rsidRPr="00006A39" w:rsidRDefault="006738F0" w:rsidP="00EF20AE">
            <w:pPr>
              <w:widowControl w:val="0"/>
              <w:spacing w:line="276" w:lineRule="auto"/>
              <w:ind w:left="601" w:hanging="601"/>
              <w:jc w:val="center"/>
              <w:rPr>
                <w:rFonts w:eastAsia="Times New Roman"/>
                <w:sz w:val="24"/>
                <w:szCs w:val="24"/>
                <w:lang w:eastAsia="ru-RU"/>
              </w:rPr>
            </w:pPr>
            <w:r w:rsidRPr="00006A39">
              <w:rPr>
                <w:rFonts w:eastAsia="Times New Roman"/>
                <w:sz w:val="24"/>
                <w:szCs w:val="24"/>
                <w:lang w:eastAsia="ru-RU"/>
              </w:rPr>
              <w:t>5,09</w:t>
            </w:r>
          </w:p>
        </w:tc>
        <w:tc>
          <w:tcPr>
            <w:tcW w:w="2268" w:type="dxa"/>
            <w:shd w:val="clear" w:color="auto" w:fill="auto"/>
          </w:tcPr>
          <w:p w:rsidR="006738F0" w:rsidRPr="00006A39" w:rsidRDefault="006738F0" w:rsidP="00EF20AE">
            <w:pPr>
              <w:widowControl w:val="0"/>
              <w:spacing w:line="276" w:lineRule="auto"/>
              <w:ind w:left="601" w:hanging="601"/>
              <w:jc w:val="center"/>
              <w:rPr>
                <w:rFonts w:eastAsia="Times New Roman"/>
                <w:color w:val="000000"/>
                <w:sz w:val="24"/>
                <w:szCs w:val="24"/>
                <w:lang w:eastAsia="ru-RU"/>
              </w:rPr>
            </w:pPr>
            <w:r w:rsidRPr="00006A39">
              <w:rPr>
                <w:rFonts w:eastAsia="Times New Roman"/>
                <w:color w:val="000000"/>
                <w:sz w:val="24"/>
                <w:szCs w:val="24"/>
                <w:lang w:eastAsia="ru-RU"/>
              </w:rPr>
              <w:t>6,22</w:t>
            </w:r>
          </w:p>
        </w:tc>
        <w:tc>
          <w:tcPr>
            <w:tcW w:w="1554" w:type="dxa"/>
            <w:shd w:val="clear" w:color="auto" w:fill="auto"/>
          </w:tcPr>
          <w:p w:rsidR="006738F0" w:rsidRPr="00006A39" w:rsidRDefault="006738F0" w:rsidP="00EF20AE">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22,20</w:t>
            </w:r>
          </w:p>
        </w:tc>
      </w:tr>
      <w:tr w:rsidR="006738F0" w:rsidRPr="00006A39" w:rsidTr="003B67F9">
        <w:trPr>
          <w:trHeight w:val="225"/>
          <w:jc w:val="center"/>
        </w:trPr>
        <w:tc>
          <w:tcPr>
            <w:tcW w:w="3261" w:type="dxa"/>
            <w:shd w:val="clear" w:color="auto" w:fill="auto"/>
            <w:hideMark/>
          </w:tcPr>
          <w:p w:rsidR="006738F0" w:rsidRPr="00006A39" w:rsidRDefault="006738F0" w:rsidP="00EF20AE">
            <w:pPr>
              <w:widowControl w:val="0"/>
              <w:spacing w:line="276" w:lineRule="auto"/>
              <w:ind w:left="601" w:hanging="601"/>
              <w:rPr>
                <w:rFonts w:eastAsia="Times New Roman"/>
                <w:color w:val="000000"/>
                <w:sz w:val="24"/>
                <w:szCs w:val="24"/>
                <w:lang w:eastAsia="ru-RU"/>
              </w:rPr>
            </w:pPr>
            <w:r w:rsidRPr="00006A39">
              <w:rPr>
                <w:rFonts w:eastAsia="Times New Roman"/>
                <w:color w:val="000000"/>
                <w:sz w:val="24"/>
                <w:szCs w:val="24"/>
                <w:lang w:eastAsia="ru-RU"/>
              </w:rPr>
              <w:t>Чернівецька</w:t>
            </w:r>
          </w:p>
        </w:tc>
        <w:tc>
          <w:tcPr>
            <w:tcW w:w="2268" w:type="dxa"/>
            <w:shd w:val="clear" w:color="auto" w:fill="auto"/>
          </w:tcPr>
          <w:p w:rsidR="006738F0" w:rsidRPr="00006A39" w:rsidRDefault="006738F0" w:rsidP="00EF20AE">
            <w:pPr>
              <w:widowControl w:val="0"/>
              <w:spacing w:line="276" w:lineRule="auto"/>
              <w:ind w:left="601" w:hanging="601"/>
              <w:jc w:val="center"/>
              <w:rPr>
                <w:rFonts w:eastAsia="Times New Roman"/>
                <w:sz w:val="24"/>
                <w:szCs w:val="24"/>
                <w:lang w:eastAsia="ru-RU"/>
              </w:rPr>
            </w:pPr>
            <w:r w:rsidRPr="00006A39">
              <w:rPr>
                <w:rFonts w:eastAsia="Times New Roman"/>
                <w:sz w:val="24"/>
                <w:szCs w:val="24"/>
                <w:lang w:eastAsia="ru-RU"/>
              </w:rPr>
              <w:t>5,61</w:t>
            </w:r>
          </w:p>
        </w:tc>
        <w:tc>
          <w:tcPr>
            <w:tcW w:w="2268" w:type="dxa"/>
            <w:shd w:val="clear" w:color="auto" w:fill="auto"/>
          </w:tcPr>
          <w:p w:rsidR="006738F0" w:rsidRPr="00006A39" w:rsidRDefault="006738F0" w:rsidP="00EF20AE">
            <w:pPr>
              <w:widowControl w:val="0"/>
              <w:spacing w:line="276" w:lineRule="auto"/>
              <w:ind w:left="601" w:hanging="601"/>
              <w:jc w:val="center"/>
              <w:rPr>
                <w:rFonts w:eastAsia="Times New Roman"/>
                <w:color w:val="000000"/>
                <w:sz w:val="24"/>
                <w:szCs w:val="24"/>
                <w:lang w:eastAsia="ru-RU"/>
              </w:rPr>
            </w:pPr>
            <w:r w:rsidRPr="00006A39">
              <w:rPr>
                <w:rFonts w:eastAsia="Times New Roman"/>
                <w:color w:val="000000"/>
                <w:sz w:val="24"/>
                <w:szCs w:val="24"/>
                <w:lang w:eastAsia="ru-RU"/>
              </w:rPr>
              <w:t>7,52</w:t>
            </w:r>
          </w:p>
        </w:tc>
        <w:tc>
          <w:tcPr>
            <w:tcW w:w="1554" w:type="dxa"/>
            <w:shd w:val="clear" w:color="auto" w:fill="auto"/>
          </w:tcPr>
          <w:p w:rsidR="006738F0" w:rsidRPr="00006A39" w:rsidRDefault="006738F0" w:rsidP="00EF20AE">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34,05</w:t>
            </w:r>
          </w:p>
        </w:tc>
      </w:tr>
      <w:tr w:rsidR="006738F0" w:rsidRPr="00006A39" w:rsidTr="003B67F9">
        <w:trPr>
          <w:trHeight w:val="225"/>
          <w:jc w:val="center"/>
        </w:trPr>
        <w:tc>
          <w:tcPr>
            <w:tcW w:w="3261" w:type="dxa"/>
            <w:shd w:val="clear" w:color="auto" w:fill="auto"/>
            <w:hideMark/>
          </w:tcPr>
          <w:p w:rsidR="006738F0" w:rsidRPr="00006A39" w:rsidRDefault="006738F0" w:rsidP="00EF20AE">
            <w:pPr>
              <w:widowControl w:val="0"/>
              <w:spacing w:line="276" w:lineRule="auto"/>
              <w:ind w:left="601" w:hanging="601"/>
              <w:rPr>
                <w:rFonts w:eastAsia="Times New Roman"/>
                <w:color w:val="000000"/>
                <w:sz w:val="24"/>
                <w:szCs w:val="24"/>
                <w:lang w:eastAsia="ru-RU"/>
              </w:rPr>
            </w:pPr>
            <w:r w:rsidRPr="00006A39">
              <w:rPr>
                <w:rFonts w:eastAsia="Times New Roman"/>
                <w:color w:val="000000"/>
                <w:sz w:val="24"/>
                <w:szCs w:val="24"/>
                <w:lang w:eastAsia="ru-RU"/>
              </w:rPr>
              <w:t>Чернігівська</w:t>
            </w:r>
          </w:p>
        </w:tc>
        <w:tc>
          <w:tcPr>
            <w:tcW w:w="2268" w:type="dxa"/>
            <w:shd w:val="clear" w:color="auto" w:fill="auto"/>
          </w:tcPr>
          <w:p w:rsidR="006738F0" w:rsidRPr="00006A39" w:rsidRDefault="006738F0" w:rsidP="00EF20AE">
            <w:pPr>
              <w:widowControl w:val="0"/>
              <w:spacing w:line="276" w:lineRule="auto"/>
              <w:ind w:left="601" w:hanging="601"/>
              <w:jc w:val="center"/>
              <w:rPr>
                <w:rFonts w:eastAsia="Times New Roman"/>
                <w:sz w:val="24"/>
                <w:szCs w:val="24"/>
                <w:lang w:eastAsia="ru-RU"/>
              </w:rPr>
            </w:pPr>
            <w:r w:rsidRPr="00006A39">
              <w:rPr>
                <w:rFonts w:eastAsia="Times New Roman"/>
                <w:sz w:val="24"/>
                <w:szCs w:val="24"/>
                <w:lang w:eastAsia="ru-RU"/>
              </w:rPr>
              <w:t>4,26</w:t>
            </w:r>
          </w:p>
        </w:tc>
        <w:tc>
          <w:tcPr>
            <w:tcW w:w="2268" w:type="dxa"/>
            <w:shd w:val="clear" w:color="auto" w:fill="auto"/>
          </w:tcPr>
          <w:p w:rsidR="006738F0" w:rsidRPr="00006A39" w:rsidRDefault="006738F0" w:rsidP="00EF20AE">
            <w:pPr>
              <w:widowControl w:val="0"/>
              <w:spacing w:line="276" w:lineRule="auto"/>
              <w:ind w:left="601" w:hanging="601"/>
              <w:jc w:val="center"/>
              <w:rPr>
                <w:rFonts w:eastAsia="Times New Roman"/>
                <w:color w:val="000000"/>
                <w:sz w:val="24"/>
                <w:szCs w:val="24"/>
                <w:lang w:eastAsia="ru-RU"/>
              </w:rPr>
            </w:pPr>
            <w:r w:rsidRPr="00006A39">
              <w:rPr>
                <w:rFonts w:eastAsia="Times New Roman"/>
                <w:color w:val="000000"/>
                <w:sz w:val="24"/>
                <w:szCs w:val="24"/>
                <w:lang w:eastAsia="ru-RU"/>
              </w:rPr>
              <w:t>5,89</w:t>
            </w:r>
          </w:p>
        </w:tc>
        <w:tc>
          <w:tcPr>
            <w:tcW w:w="1554" w:type="dxa"/>
            <w:shd w:val="clear" w:color="auto" w:fill="auto"/>
          </w:tcPr>
          <w:p w:rsidR="006738F0" w:rsidRPr="00006A39" w:rsidRDefault="006738F0" w:rsidP="00EF20AE">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38,26</w:t>
            </w:r>
          </w:p>
        </w:tc>
      </w:tr>
      <w:tr w:rsidR="006738F0" w:rsidRPr="00006A39" w:rsidTr="003B67F9">
        <w:trPr>
          <w:trHeight w:val="225"/>
          <w:jc w:val="center"/>
        </w:trPr>
        <w:tc>
          <w:tcPr>
            <w:tcW w:w="3261" w:type="dxa"/>
            <w:shd w:val="clear" w:color="auto" w:fill="auto"/>
            <w:hideMark/>
          </w:tcPr>
          <w:p w:rsidR="006738F0" w:rsidRPr="00006A39" w:rsidRDefault="006738F0" w:rsidP="00EF20AE">
            <w:pPr>
              <w:widowControl w:val="0"/>
              <w:spacing w:line="276" w:lineRule="auto"/>
              <w:ind w:left="601" w:hanging="601"/>
              <w:rPr>
                <w:rFonts w:eastAsia="Times New Roman"/>
                <w:color w:val="000000"/>
                <w:sz w:val="24"/>
                <w:szCs w:val="24"/>
                <w:lang w:eastAsia="ru-RU"/>
              </w:rPr>
            </w:pPr>
            <w:r w:rsidRPr="00006A39">
              <w:rPr>
                <w:rFonts w:eastAsia="Times New Roman"/>
                <w:color w:val="000000"/>
                <w:sz w:val="24"/>
                <w:szCs w:val="24"/>
                <w:lang w:eastAsia="ru-RU"/>
              </w:rPr>
              <w:t>м.Київ</w:t>
            </w:r>
          </w:p>
        </w:tc>
        <w:tc>
          <w:tcPr>
            <w:tcW w:w="2268" w:type="dxa"/>
            <w:shd w:val="clear" w:color="auto" w:fill="auto"/>
          </w:tcPr>
          <w:p w:rsidR="006738F0" w:rsidRPr="00006A39" w:rsidRDefault="006738F0" w:rsidP="00EF20AE">
            <w:pPr>
              <w:widowControl w:val="0"/>
              <w:spacing w:line="276" w:lineRule="auto"/>
              <w:ind w:left="601" w:hanging="601"/>
              <w:jc w:val="center"/>
              <w:rPr>
                <w:rFonts w:eastAsia="Times New Roman"/>
                <w:sz w:val="24"/>
                <w:szCs w:val="24"/>
                <w:lang w:eastAsia="ru-RU"/>
              </w:rPr>
            </w:pPr>
            <w:r w:rsidRPr="00006A39">
              <w:rPr>
                <w:rFonts w:eastAsia="Times New Roman"/>
                <w:sz w:val="24"/>
                <w:szCs w:val="24"/>
                <w:lang w:eastAsia="ru-RU"/>
              </w:rPr>
              <w:t>4,95</w:t>
            </w:r>
          </w:p>
        </w:tc>
        <w:tc>
          <w:tcPr>
            <w:tcW w:w="2268" w:type="dxa"/>
            <w:shd w:val="clear" w:color="auto" w:fill="auto"/>
          </w:tcPr>
          <w:p w:rsidR="006738F0" w:rsidRPr="00006A39" w:rsidRDefault="006738F0" w:rsidP="00EF20AE">
            <w:pPr>
              <w:widowControl w:val="0"/>
              <w:spacing w:line="276" w:lineRule="auto"/>
              <w:ind w:left="601" w:hanging="601"/>
              <w:jc w:val="center"/>
              <w:rPr>
                <w:rFonts w:eastAsia="Times New Roman"/>
                <w:color w:val="000000"/>
                <w:sz w:val="24"/>
                <w:szCs w:val="24"/>
                <w:lang w:eastAsia="ru-RU"/>
              </w:rPr>
            </w:pPr>
            <w:r w:rsidRPr="00006A39">
              <w:rPr>
                <w:rFonts w:eastAsia="Times New Roman"/>
                <w:color w:val="000000"/>
                <w:sz w:val="24"/>
                <w:szCs w:val="24"/>
                <w:lang w:eastAsia="ru-RU"/>
              </w:rPr>
              <w:t>5,38</w:t>
            </w:r>
          </w:p>
        </w:tc>
        <w:tc>
          <w:tcPr>
            <w:tcW w:w="1554" w:type="dxa"/>
            <w:shd w:val="clear" w:color="auto" w:fill="auto"/>
          </w:tcPr>
          <w:p w:rsidR="006738F0" w:rsidRPr="00006A39" w:rsidRDefault="006738F0" w:rsidP="00EF20AE">
            <w:pPr>
              <w:widowControl w:val="0"/>
              <w:spacing w:line="276" w:lineRule="auto"/>
              <w:jc w:val="center"/>
              <w:rPr>
                <w:rFonts w:eastAsia="Times New Roman"/>
                <w:color w:val="000000"/>
                <w:sz w:val="24"/>
                <w:szCs w:val="24"/>
                <w:lang w:eastAsia="ru-RU"/>
              </w:rPr>
            </w:pPr>
            <w:r w:rsidRPr="00006A39">
              <w:rPr>
                <w:rFonts w:eastAsia="Times New Roman"/>
                <w:color w:val="000000"/>
                <w:sz w:val="24"/>
                <w:szCs w:val="24"/>
                <w:lang w:eastAsia="ru-RU"/>
              </w:rPr>
              <w:t>8,69</w:t>
            </w:r>
          </w:p>
        </w:tc>
      </w:tr>
    </w:tbl>
    <w:p w:rsidR="002B4A72" w:rsidRDefault="002B4A72" w:rsidP="00555F45">
      <w:pPr>
        <w:pStyle w:val="a5"/>
        <w:widowControl w:val="0"/>
        <w:ind w:left="0" w:firstLine="709"/>
        <w:rPr>
          <w:szCs w:val="28"/>
          <w:lang w:val="ru-RU"/>
        </w:rPr>
      </w:pPr>
    </w:p>
    <w:p w:rsidR="00EF20AE" w:rsidRPr="001F7350" w:rsidRDefault="004C51C0" w:rsidP="001F7350">
      <w:pPr>
        <w:pStyle w:val="a5"/>
        <w:widowControl w:val="0"/>
        <w:ind w:left="0" w:firstLine="709"/>
        <w:rPr>
          <w:szCs w:val="28"/>
        </w:rPr>
      </w:pPr>
      <w:r w:rsidRPr="00006A39">
        <w:rPr>
          <w:szCs w:val="28"/>
        </w:rPr>
        <w:t>За</w:t>
      </w:r>
      <w:r w:rsidR="00A863E5">
        <w:rPr>
          <w:szCs w:val="28"/>
        </w:rPr>
        <w:t xml:space="preserve"> нашими даними </w:t>
      </w:r>
      <w:r w:rsidRPr="00006A39">
        <w:rPr>
          <w:szCs w:val="28"/>
        </w:rPr>
        <w:t>забезпеченіст</w:t>
      </w:r>
      <w:r w:rsidR="00A863E5">
        <w:rPr>
          <w:szCs w:val="28"/>
        </w:rPr>
        <w:t xml:space="preserve">ь ліжками денного стаціонару,  стаціонарними ліжками, </w:t>
      </w:r>
      <w:r w:rsidRPr="00006A39">
        <w:rPr>
          <w:szCs w:val="28"/>
        </w:rPr>
        <w:t>ліжка</w:t>
      </w:r>
      <w:r w:rsidR="00A863E5">
        <w:rPr>
          <w:szCs w:val="28"/>
        </w:rPr>
        <w:t>ми</w:t>
      </w:r>
      <w:r w:rsidRPr="00006A39">
        <w:rPr>
          <w:szCs w:val="28"/>
        </w:rPr>
        <w:t xml:space="preserve"> для недоношених і хворих новонароджених не асоціюються зі смертністю дітей віком до 5</w:t>
      </w:r>
      <w:r w:rsidR="00A863E5">
        <w:rPr>
          <w:szCs w:val="28"/>
        </w:rPr>
        <w:t xml:space="preserve"> </w:t>
      </w:r>
      <w:r w:rsidRPr="00006A39">
        <w:rPr>
          <w:szCs w:val="28"/>
        </w:rPr>
        <w:t>років</w:t>
      </w:r>
      <w:r w:rsidR="00A863E5">
        <w:rPr>
          <w:szCs w:val="28"/>
        </w:rPr>
        <w:t xml:space="preserve"> життя</w:t>
      </w:r>
      <w:r w:rsidRPr="00006A39">
        <w:rPr>
          <w:szCs w:val="28"/>
        </w:rPr>
        <w:t xml:space="preserve"> (табл.</w:t>
      </w:r>
      <w:r w:rsidR="004C0146">
        <w:rPr>
          <w:szCs w:val="28"/>
        </w:rPr>
        <w:t xml:space="preserve"> </w:t>
      </w:r>
      <w:r w:rsidRPr="00006A39">
        <w:rPr>
          <w:szCs w:val="28"/>
        </w:rPr>
        <w:t>5.</w:t>
      </w:r>
      <w:r w:rsidR="00F34224">
        <w:rPr>
          <w:szCs w:val="28"/>
        </w:rPr>
        <w:t>8</w:t>
      </w:r>
      <w:r w:rsidRPr="00006A39">
        <w:rPr>
          <w:szCs w:val="28"/>
        </w:rPr>
        <w:t>)</w:t>
      </w:r>
      <w:r w:rsidR="002A4861">
        <w:rPr>
          <w:szCs w:val="28"/>
        </w:rPr>
        <w:t>.</w:t>
      </w:r>
    </w:p>
    <w:p w:rsidR="00790D00" w:rsidRDefault="00790D00" w:rsidP="00721203">
      <w:pPr>
        <w:pStyle w:val="a5"/>
        <w:widowControl w:val="0"/>
        <w:ind w:left="0" w:firstLine="709"/>
        <w:jc w:val="right"/>
        <w:rPr>
          <w:i/>
          <w:szCs w:val="28"/>
        </w:rPr>
      </w:pPr>
    </w:p>
    <w:p w:rsidR="004C51C0" w:rsidRPr="00006A39" w:rsidRDefault="004C51C0" w:rsidP="004C0146">
      <w:pPr>
        <w:pStyle w:val="a5"/>
        <w:pageBreakBefore/>
        <w:widowControl w:val="0"/>
        <w:ind w:left="0" w:firstLine="709"/>
        <w:jc w:val="right"/>
        <w:rPr>
          <w:i/>
          <w:szCs w:val="28"/>
        </w:rPr>
      </w:pPr>
      <w:r w:rsidRPr="00006A39">
        <w:rPr>
          <w:i/>
          <w:szCs w:val="28"/>
        </w:rPr>
        <w:lastRenderedPageBreak/>
        <w:t>Таблиця 5.</w:t>
      </w:r>
      <w:r w:rsidR="00F26023">
        <w:rPr>
          <w:i/>
          <w:szCs w:val="28"/>
        </w:rPr>
        <w:t>8</w:t>
      </w:r>
    </w:p>
    <w:p w:rsidR="004C51C0" w:rsidRPr="00006A39" w:rsidRDefault="00D66C63" w:rsidP="00721203">
      <w:pPr>
        <w:pStyle w:val="a5"/>
        <w:widowControl w:val="0"/>
        <w:ind w:left="0" w:firstLine="709"/>
        <w:jc w:val="center"/>
        <w:rPr>
          <w:b/>
          <w:szCs w:val="28"/>
        </w:rPr>
      </w:pPr>
      <w:r w:rsidRPr="00006A39">
        <w:rPr>
          <w:b/>
          <w:szCs w:val="28"/>
        </w:rPr>
        <w:t xml:space="preserve">Асоціації між смертністю дітей </w:t>
      </w:r>
      <w:r w:rsidR="002A4861" w:rsidRPr="002A4861">
        <w:rPr>
          <w:b/>
          <w:szCs w:val="28"/>
        </w:rPr>
        <w:t>до 5 років</w:t>
      </w:r>
      <w:r w:rsidR="002A4861" w:rsidRPr="00006A39">
        <w:rPr>
          <w:b/>
          <w:szCs w:val="28"/>
        </w:rPr>
        <w:t xml:space="preserve"> </w:t>
      </w:r>
      <w:r w:rsidRPr="00006A39">
        <w:rPr>
          <w:b/>
          <w:szCs w:val="28"/>
        </w:rPr>
        <w:t xml:space="preserve">та </w:t>
      </w:r>
      <w:r w:rsidR="004C51C0" w:rsidRPr="00006A39">
        <w:rPr>
          <w:b/>
          <w:szCs w:val="28"/>
        </w:rPr>
        <w:t>забезпечен</w:t>
      </w:r>
      <w:r w:rsidRPr="00006A39">
        <w:rPr>
          <w:b/>
          <w:szCs w:val="28"/>
        </w:rPr>
        <w:t>і</w:t>
      </w:r>
      <w:r w:rsidR="004C51C0" w:rsidRPr="00006A39">
        <w:rPr>
          <w:b/>
          <w:szCs w:val="28"/>
        </w:rPr>
        <w:t>ст</w:t>
      </w:r>
      <w:r w:rsidRPr="00006A39">
        <w:rPr>
          <w:b/>
          <w:szCs w:val="28"/>
        </w:rPr>
        <w:t>ю</w:t>
      </w:r>
      <w:r w:rsidR="004C51C0" w:rsidRPr="00006A39">
        <w:rPr>
          <w:b/>
          <w:szCs w:val="28"/>
        </w:rPr>
        <w:t xml:space="preserve"> дитячими ліжками </w:t>
      </w:r>
      <w:r w:rsidRPr="00006A39">
        <w:rPr>
          <w:b/>
          <w:szCs w:val="28"/>
        </w:rPr>
        <w:t xml:space="preserve">за регресією </w:t>
      </w:r>
      <w:r w:rsidR="00006A39" w:rsidRPr="00006A39">
        <w:rPr>
          <w:b/>
          <w:szCs w:val="28"/>
        </w:rPr>
        <w:t>Пуассона</w:t>
      </w:r>
    </w:p>
    <w:tbl>
      <w:tblPr>
        <w:tblStyle w:val="a6"/>
        <w:tblW w:w="0" w:type="auto"/>
        <w:jc w:val="center"/>
        <w:tblLook w:val="04A0" w:firstRow="1" w:lastRow="0" w:firstColumn="1" w:lastColumn="0" w:noHBand="0" w:noVBand="1"/>
      </w:tblPr>
      <w:tblGrid>
        <w:gridCol w:w="3681"/>
        <w:gridCol w:w="1701"/>
        <w:gridCol w:w="1134"/>
        <w:gridCol w:w="1701"/>
        <w:gridCol w:w="1128"/>
      </w:tblGrid>
      <w:tr w:rsidR="004C51C0" w:rsidRPr="00006A39" w:rsidTr="00A863E5">
        <w:trPr>
          <w:jc w:val="center"/>
        </w:trPr>
        <w:tc>
          <w:tcPr>
            <w:tcW w:w="3681" w:type="dxa"/>
          </w:tcPr>
          <w:p w:rsidR="004C51C0" w:rsidRPr="00006A39" w:rsidRDefault="004C51C0" w:rsidP="00721203">
            <w:pPr>
              <w:widowControl w:val="0"/>
              <w:spacing w:line="360" w:lineRule="auto"/>
              <w:jc w:val="center"/>
              <w:rPr>
                <w:rFonts w:ascii="Times New Roman" w:hAnsi="Times New Roman"/>
                <w:sz w:val="28"/>
                <w:szCs w:val="28"/>
                <w:lang w:val="uk-UA"/>
              </w:rPr>
            </w:pPr>
            <w:r w:rsidRPr="00006A39">
              <w:rPr>
                <w:rFonts w:ascii="Times New Roman" w:hAnsi="Times New Roman"/>
                <w:sz w:val="28"/>
                <w:szCs w:val="28"/>
                <w:lang w:val="uk-UA"/>
              </w:rPr>
              <w:t>Показники</w:t>
            </w:r>
          </w:p>
        </w:tc>
        <w:tc>
          <w:tcPr>
            <w:tcW w:w="1701" w:type="dxa"/>
          </w:tcPr>
          <w:p w:rsidR="004C51C0" w:rsidRPr="00006A39" w:rsidRDefault="003E5561" w:rsidP="00A863E5">
            <w:pPr>
              <w:widowControl w:val="0"/>
              <w:spacing w:line="360" w:lineRule="auto"/>
              <w:jc w:val="center"/>
              <w:rPr>
                <w:rFonts w:ascii="Times New Roman" w:hAnsi="Times New Roman"/>
                <w:sz w:val="28"/>
                <w:szCs w:val="28"/>
                <w:lang w:val="uk-UA"/>
              </w:rPr>
            </w:pPr>
            <w:r w:rsidRPr="003E5561">
              <w:rPr>
                <w:rFonts w:ascii="Times New Roman" w:hAnsi="Times New Roman"/>
                <w:sz w:val="28"/>
                <w:szCs w:val="28"/>
                <w:lang w:val="en-US"/>
              </w:rPr>
              <w:t>Coef</w:t>
            </w:r>
            <w:r w:rsidRPr="003E5561">
              <w:rPr>
                <w:rFonts w:ascii="Times New Roman" w:hAnsi="Times New Roman"/>
                <w:sz w:val="28"/>
                <w:szCs w:val="28"/>
                <w:lang w:val="uk-UA"/>
              </w:rPr>
              <w:t>.</w:t>
            </w:r>
          </w:p>
        </w:tc>
        <w:tc>
          <w:tcPr>
            <w:tcW w:w="1134" w:type="dxa"/>
          </w:tcPr>
          <w:p w:rsidR="004C51C0" w:rsidRPr="00006A39" w:rsidRDefault="004C51C0" w:rsidP="00A863E5">
            <w:pPr>
              <w:widowControl w:val="0"/>
              <w:spacing w:line="360" w:lineRule="auto"/>
              <w:jc w:val="center"/>
              <w:rPr>
                <w:rFonts w:ascii="Times New Roman" w:hAnsi="Times New Roman"/>
                <w:sz w:val="28"/>
                <w:szCs w:val="28"/>
                <w:lang w:val="uk-UA"/>
              </w:rPr>
            </w:pPr>
            <w:r w:rsidRPr="00006A39">
              <w:rPr>
                <w:rFonts w:ascii="Times New Roman" w:hAnsi="Times New Roman"/>
                <w:sz w:val="28"/>
                <w:szCs w:val="28"/>
                <w:lang w:val="uk-UA"/>
              </w:rPr>
              <w:t>m</w:t>
            </w:r>
          </w:p>
        </w:tc>
        <w:tc>
          <w:tcPr>
            <w:tcW w:w="1701" w:type="dxa"/>
          </w:tcPr>
          <w:p w:rsidR="004C51C0" w:rsidRPr="00006A39" w:rsidRDefault="004C51C0" w:rsidP="00A863E5">
            <w:pPr>
              <w:widowControl w:val="0"/>
              <w:spacing w:line="360" w:lineRule="auto"/>
              <w:jc w:val="center"/>
              <w:rPr>
                <w:rFonts w:ascii="Times New Roman" w:hAnsi="Times New Roman"/>
                <w:sz w:val="28"/>
                <w:szCs w:val="28"/>
                <w:lang w:val="uk-UA"/>
              </w:rPr>
            </w:pPr>
            <w:r w:rsidRPr="00006A39">
              <w:rPr>
                <w:rFonts w:ascii="Times New Roman" w:hAnsi="Times New Roman"/>
                <w:sz w:val="28"/>
                <w:szCs w:val="28"/>
                <w:lang w:val="uk-UA"/>
              </w:rPr>
              <w:t>95% CI</w:t>
            </w:r>
          </w:p>
        </w:tc>
        <w:tc>
          <w:tcPr>
            <w:tcW w:w="1128" w:type="dxa"/>
          </w:tcPr>
          <w:p w:rsidR="004C51C0" w:rsidRPr="00006A39" w:rsidRDefault="004C51C0" w:rsidP="00A863E5">
            <w:pPr>
              <w:widowControl w:val="0"/>
              <w:spacing w:line="360" w:lineRule="auto"/>
              <w:jc w:val="center"/>
              <w:rPr>
                <w:rFonts w:ascii="Times New Roman" w:hAnsi="Times New Roman"/>
                <w:sz w:val="28"/>
                <w:szCs w:val="28"/>
                <w:lang w:val="uk-UA"/>
              </w:rPr>
            </w:pPr>
            <w:r w:rsidRPr="00006A39">
              <w:rPr>
                <w:rFonts w:ascii="Times New Roman" w:hAnsi="Times New Roman"/>
                <w:sz w:val="28"/>
                <w:szCs w:val="28"/>
                <w:lang w:val="uk-UA"/>
              </w:rPr>
              <w:t>p</w:t>
            </w:r>
          </w:p>
        </w:tc>
      </w:tr>
      <w:tr w:rsidR="004C51C0" w:rsidRPr="00006A39" w:rsidTr="00A863E5">
        <w:trPr>
          <w:jc w:val="center"/>
        </w:trPr>
        <w:tc>
          <w:tcPr>
            <w:tcW w:w="3681" w:type="dxa"/>
          </w:tcPr>
          <w:p w:rsidR="004C51C0" w:rsidRPr="00006A39" w:rsidRDefault="004C51C0" w:rsidP="00721203">
            <w:pPr>
              <w:widowControl w:val="0"/>
              <w:spacing w:line="276" w:lineRule="auto"/>
              <w:rPr>
                <w:rFonts w:ascii="Times New Roman" w:hAnsi="Times New Roman"/>
                <w:sz w:val="28"/>
                <w:szCs w:val="28"/>
                <w:lang w:val="uk-UA"/>
              </w:rPr>
            </w:pPr>
            <w:r w:rsidRPr="00006A39">
              <w:rPr>
                <w:rFonts w:ascii="Times New Roman" w:hAnsi="Times New Roman"/>
                <w:sz w:val="28"/>
                <w:szCs w:val="28"/>
                <w:lang w:val="uk-UA"/>
              </w:rPr>
              <w:t>Забезпеченість ліжками денного стаціонару</w:t>
            </w:r>
          </w:p>
        </w:tc>
        <w:tc>
          <w:tcPr>
            <w:tcW w:w="1701" w:type="dxa"/>
          </w:tcPr>
          <w:p w:rsidR="004C51C0" w:rsidRPr="00006A39" w:rsidRDefault="004C51C0" w:rsidP="00A863E5">
            <w:pPr>
              <w:widowControl w:val="0"/>
              <w:spacing w:line="360" w:lineRule="auto"/>
              <w:jc w:val="center"/>
              <w:rPr>
                <w:rFonts w:ascii="Times New Roman" w:hAnsi="Times New Roman"/>
                <w:sz w:val="28"/>
                <w:szCs w:val="28"/>
                <w:lang w:val="uk-UA"/>
              </w:rPr>
            </w:pPr>
            <w:r w:rsidRPr="00006A39">
              <w:rPr>
                <w:rFonts w:ascii="Times New Roman" w:hAnsi="Times New Roman"/>
                <w:sz w:val="28"/>
                <w:szCs w:val="28"/>
                <w:lang w:val="uk-UA"/>
              </w:rPr>
              <w:t>1,007</w:t>
            </w:r>
          </w:p>
        </w:tc>
        <w:tc>
          <w:tcPr>
            <w:tcW w:w="1134" w:type="dxa"/>
          </w:tcPr>
          <w:p w:rsidR="004C51C0" w:rsidRPr="00006A39" w:rsidRDefault="004C51C0" w:rsidP="00A863E5">
            <w:pPr>
              <w:widowControl w:val="0"/>
              <w:spacing w:line="360" w:lineRule="auto"/>
              <w:jc w:val="center"/>
              <w:rPr>
                <w:rFonts w:ascii="Times New Roman" w:hAnsi="Times New Roman"/>
                <w:sz w:val="28"/>
                <w:szCs w:val="28"/>
                <w:lang w:val="uk-UA"/>
              </w:rPr>
            </w:pPr>
            <w:r w:rsidRPr="00006A39">
              <w:rPr>
                <w:rFonts w:ascii="Times New Roman" w:hAnsi="Times New Roman"/>
                <w:sz w:val="28"/>
                <w:szCs w:val="28"/>
                <w:lang w:val="uk-UA"/>
              </w:rPr>
              <w:t>0,005</w:t>
            </w:r>
          </w:p>
        </w:tc>
        <w:tc>
          <w:tcPr>
            <w:tcW w:w="1701" w:type="dxa"/>
          </w:tcPr>
          <w:p w:rsidR="004C51C0" w:rsidRPr="00006A39" w:rsidRDefault="004C51C0" w:rsidP="00A863E5">
            <w:pPr>
              <w:widowControl w:val="0"/>
              <w:spacing w:line="360" w:lineRule="auto"/>
              <w:jc w:val="center"/>
              <w:rPr>
                <w:rFonts w:ascii="Times New Roman" w:hAnsi="Times New Roman"/>
                <w:sz w:val="28"/>
                <w:szCs w:val="28"/>
                <w:lang w:val="uk-UA"/>
              </w:rPr>
            </w:pPr>
            <w:r w:rsidRPr="00006A39">
              <w:rPr>
                <w:rFonts w:ascii="Times New Roman" w:hAnsi="Times New Roman"/>
                <w:sz w:val="28"/>
                <w:szCs w:val="28"/>
                <w:lang w:val="uk-UA"/>
              </w:rPr>
              <w:t>0,99-1,01</w:t>
            </w:r>
          </w:p>
        </w:tc>
        <w:tc>
          <w:tcPr>
            <w:tcW w:w="1128" w:type="dxa"/>
          </w:tcPr>
          <w:p w:rsidR="004C51C0" w:rsidRPr="00006A39" w:rsidRDefault="004C51C0" w:rsidP="00A863E5">
            <w:pPr>
              <w:widowControl w:val="0"/>
              <w:spacing w:line="360" w:lineRule="auto"/>
              <w:jc w:val="center"/>
              <w:rPr>
                <w:rFonts w:ascii="Times New Roman" w:hAnsi="Times New Roman"/>
                <w:sz w:val="28"/>
                <w:szCs w:val="28"/>
                <w:lang w:val="uk-UA"/>
              </w:rPr>
            </w:pPr>
            <w:r w:rsidRPr="00006A39">
              <w:rPr>
                <w:rFonts w:ascii="Times New Roman" w:hAnsi="Times New Roman"/>
                <w:sz w:val="28"/>
                <w:szCs w:val="28"/>
                <w:lang w:val="uk-UA"/>
              </w:rPr>
              <w:t>0,147</w:t>
            </w:r>
          </w:p>
        </w:tc>
      </w:tr>
      <w:tr w:rsidR="004C51C0" w:rsidRPr="00006A39" w:rsidTr="00A863E5">
        <w:trPr>
          <w:jc w:val="center"/>
        </w:trPr>
        <w:tc>
          <w:tcPr>
            <w:tcW w:w="3681" w:type="dxa"/>
          </w:tcPr>
          <w:p w:rsidR="004C51C0" w:rsidRPr="00006A39" w:rsidRDefault="004C51C0" w:rsidP="00721203">
            <w:pPr>
              <w:widowControl w:val="0"/>
              <w:spacing w:line="276" w:lineRule="auto"/>
              <w:rPr>
                <w:rFonts w:ascii="Times New Roman" w:hAnsi="Times New Roman"/>
                <w:sz w:val="28"/>
                <w:szCs w:val="28"/>
                <w:lang w:val="uk-UA"/>
              </w:rPr>
            </w:pPr>
            <w:r w:rsidRPr="00006A39">
              <w:rPr>
                <w:rFonts w:ascii="Times New Roman" w:hAnsi="Times New Roman"/>
                <w:sz w:val="28"/>
                <w:szCs w:val="28"/>
                <w:lang w:val="uk-UA"/>
              </w:rPr>
              <w:t>Забезпеченість стаціонарними ліжками</w:t>
            </w:r>
          </w:p>
        </w:tc>
        <w:tc>
          <w:tcPr>
            <w:tcW w:w="1701" w:type="dxa"/>
          </w:tcPr>
          <w:p w:rsidR="004C51C0" w:rsidRPr="00006A39" w:rsidRDefault="004C51C0" w:rsidP="00A863E5">
            <w:pPr>
              <w:widowControl w:val="0"/>
              <w:spacing w:line="360" w:lineRule="auto"/>
              <w:jc w:val="center"/>
              <w:rPr>
                <w:rFonts w:ascii="Times New Roman" w:hAnsi="Times New Roman"/>
                <w:sz w:val="28"/>
                <w:szCs w:val="28"/>
                <w:lang w:val="uk-UA"/>
              </w:rPr>
            </w:pPr>
            <w:r w:rsidRPr="00006A39">
              <w:rPr>
                <w:rFonts w:ascii="Times New Roman" w:hAnsi="Times New Roman"/>
                <w:sz w:val="28"/>
                <w:szCs w:val="28"/>
                <w:lang w:val="uk-UA"/>
              </w:rPr>
              <w:t>0,999</w:t>
            </w:r>
          </w:p>
        </w:tc>
        <w:tc>
          <w:tcPr>
            <w:tcW w:w="1134" w:type="dxa"/>
          </w:tcPr>
          <w:p w:rsidR="004C51C0" w:rsidRPr="00006A39" w:rsidRDefault="004C51C0" w:rsidP="00A863E5">
            <w:pPr>
              <w:widowControl w:val="0"/>
              <w:spacing w:line="360" w:lineRule="auto"/>
              <w:jc w:val="center"/>
              <w:rPr>
                <w:rFonts w:ascii="Times New Roman" w:hAnsi="Times New Roman"/>
                <w:sz w:val="28"/>
                <w:szCs w:val="28"/>
                <w:lang w:val="uk-UA"/>
              </w:rPr>
            </w:pPr>
            <w:r w:rsidRPr="00006A39">
              <w:rPr>
                <w:rFonts w:ascii="Times New Roman" w:hAnsi="Times New Roman"/>
                <w:sz w:val="28"/>
                <w:szCs w:val="28"/>
                <w:lang w:val="uk-UA"/>
              </w:rPr>
              <w:t>0,002</w:t>
            </w:r>
          </w:p>
        </w:tc>
        <w:tc>
          <w:tcPr>
            <w:tcW w:w="1701" w:type="dxa"/>
          </w:tcPr>
          <w:p w:rsidR="004C51C0" w:rsidRPr="00006A39" w:rsidRDefault="004C51C0" w:rsidP="00A863E5">
            <w:pPr>
              <w:widowControl w:val="0"/>
              <w:spacing w:line="360" w:lineRule="auto"/>
              <w:jc w:val="center"/>
              <w:rPr>
                <w:rFonts w:ascii="Times New Roman" w:hAnsi="Times New Roman"/>
                <w:sz w:val="28"/>
                <w:szCs w:val="28"/>
                <w:lang w:val="uk-UA"/>
              </w:rPr>
            </w:pPr>
            <w:r w:rsidRPr="00006A39">
              <w:rPr>
                <w:rFonts w:ascii="Times New Roman" w:hAnsi="Times New Roman"/>
                <w:sz w:val="28"/>
                <w:szCs w:val="28"/>
                <w:lang w:val="uk-UA"/>
              </w:rPr>
              <w:t>0,99-1,003</w:t>
            </w:r>
          </w:p>
        </w:tc>
        <w:tc>
          <w:tcPr>
            <w:tcW w:w="1128" w:type="dxa"/>
          </w:tcPr>
          <w:p w:rsidR="004C51C0" w:rsidRPr="00006A39" w:rsidRDefault="004C51C0" w:rsidP="00A863E5">
            <w:pPr>
              <w:widowControl w:val="0"/>
              <w:spacing w:line="360" w:lineRule="auto"/>
              <w:jc w:val="center"/>
              <w:rPr>
                <w:rFonts w:ascii="Times New Roman" w:hAnsi="Times New Roman"/>
                <w:sz w:val="28"/>
                <w:szCs w:val="28"/>
                <w:lang w:val="uk-UA"/>
              </w:rPr>
            </w:pPr>
            <w:r w:rsidRPr="00006A39">
              <w:rPr>
                <w:rFonts w:ascii="Times New Roman" w:hAnsi="Times New Roman"/>
                <w:sz w:val="28"/>
                <w:szCs w:val="28"/>
                <w:lang w:val="uk-UA"/>
              </w:rPr>
              <w:t>0,631</w:t>
            </w:r>
          </w:p>
        </w:tc>
      </w:tr>
      <w:tr w:rsidR="001451FD" w:rsidRPr="00006A39" w:rsidTr="00A863E5">
        <w:trPr>
          <w:jc w:val="center"/>
        </w:trPr>
        <w:tc>
          <w:tcPr>
            <w:tcW w:w="3681" w:type="dxa"/>
          </w:tcPr>
          <w:p w:rsidR="001451FD" w:rsidRPr="00006A39" w:rsidRDefault="001451FD" w:rsidP="00721203">
            <w:pPr>
              <w:widowControl w:val="0"/>
              <w:spacing w:line="276" w:lineRule="auto"/>
              <w:rPr>
                <w:rFonts w:ascii="Times New Roman" w:hAnsi="Times New Roman"/>
                <w:sz w:val="28"/>
                <w:szCs w:val="28"/>
                <w:lang w:val="uk-UA"/>
              </w:rPr>
            </w:pPr>
            <w:r w:rsidRPr="00006A39">
              <w:rPr>
                <w:rFonts w:ascii="Times New Roman" w:hAnsi="Times New Roman"/>
                <w:sz w:val="28"/>
                <w:szCs w:val="28"/>
                <w:lang w:val="uk-UA"/>
              </w:rPr>
              <w:t>Ліжка для недоношених і хворих новонароджених</w:t>
            </w:r>
          </w:p>
          <w:p w:rsidR="001451FD" w:rsidRPr="00006A39" w:rsidRDefault="001451FD" w:rsidP="00721203">
            <w:pPr>
              <w:widowControl w:val="0"/>
              <w:spacing w:line="276" w:lineRule="auto"/>
              <w:rPr>
                <w:rFonts w:ascii="Times New Roman" w:hAnsi="Times New Roman"/>
                <w:sz w:val="28"/>
                <w:szCs w:val="28"/>
                <w:lang w:val="uk-UA"/>
              </w:rPr>
            </w:pPr>
            <w:r w:rsidRPr="00006A39">
              <w:rPr>
                <w:rFonts w:ascii="Times New Roman" w:hAnsi="Times New Roman"/>
                <w:sz w:val="28"/>
                <w:szCs w:val="28"/>
                <w:lang w:val="uk-UA"/>
              </w:rPr>
              <w:t>на 1000 народжених живими</w:t>
            </w:r>
          </w:p>
        </w:tc>
        <w:tc>
          <w:tcPr>
            <w:tcW w:w="1701" w:type="dxa"/>
          </w:tcPr>
          <w:p w:rsidR="001451FD" w:rsidRPr="00006A39" w:rsidRDefault="001451FD" w:rsidP="00A863E5">
            <w:pPr>
              <w:widowControl w:val="0"/>
              <w:spacing w:line="360" w:lineRule="auto"/>
              <w:jc w:val="center"/>
              <w:rPr>
                <w:rFonts w:ascii="Times New Roman" w:hAnsi="Times New Roman"/>
                <w:sz w:val="28"/>
                <w:szCs w:val="28"/>
                <w:lang w:val="uk-UA"/>
              </w:rPr>
            </w:pPr>
            <w:r w:rsidRPr="00006A39">
              <w:rPr>
                <w:rFonts w:ascii="Times New Roman" w:hAnsi="Times New Roman"/>
                <w:sz w:val="28"/>
                <w:szCs w:val="28"/>
                <w:lang w:val="uk-UA"/>
              </w:rPr>
              <w:t>-0,0004</w:t>
            </w:r>
          </w:p>
        </w:tc>
        <w:tc>
          <w:tcPr>
            <w:tcW w:w="1134" w:type="dxa"/>
          </w:tcPr>
          <w:p w:rsidR="001451FD" w:rsidRPr="00006A39" w:rsidRDefault="001451FD" w:rsidP="00A863E5">
            <w:pPr>
              <w:widowControl w:val="0"/>
              <w:spacing w:line="360" w:lineRule="auto"/>
              <w:jc w:val="center"/>
              <w:rPr>
                <w:rFonts w:ascii="Times New Roman" w:hAnsi="Times New Roman"/>
                <w:sz w:val="28"/>
                <w:szCs w:val="28"/>
                <w:lang w:val="uk-UA"/>
              </w:rPr>
            </w:pPr>
            <w:r w:rsidRPr="00006A39">
              <w:rPr>
                <w:rFonts w:ascii="Times New Roman" w:hAnsi="Times New Roman"/>
                <w:sz w:val="28"/>
                <w:szCs w:val="28"/>
                <w:lang w:val="uk-UA"/>
              </w:rPr>
              <w:t>0,009</w:t>
            </w:r>
          </w:p>
        </w:tc>
        <w:tc>
          <w:tcPr>
            <w:tcW w:w="1701" w:type="dxa"/>
          </w:tcPr>
          <w:p w:rsidR="001451FD" w:rsidRPr="00006A39" w:rsidRDefault="001451FD" w:rsidP="00A863E5">
            <w:pPr>
              <w:widowControl w:val="0"/>
              <w:spacing w:line="360" w:lineRule="auto"/>
              <w:jc w:val="center"/>
              <w:rPr>
                <w:rFonts w:ascii="Times New Roman" w:hAnsi="Times New Roman"/>
                <w:sz w:val="28"/>
                <w:szCs w:val="28"/>
                <w:lang w:val="uk-UA"/>
              </w:rPr>
            </w:pPr>
            <w:r w:rsidRPr="00006A39">
              <w:rPr>
                <w:rFonts w:ascii="Times New Roman" w:hAnsi="Times New Roman"/>
                <w:sz w:val="28"/>
                <w:szCs w:val="28"/>
                <w:lang w:val="uk-UA"/>
              </w:rPr>
              <w:t>-0,019-0,018</w:t>
            </w:r>
          </w:p>
        </w:tc>
        <w:tc>
          <w:tcPr>
            <w:tcW w:w="1128" w:type="dxa"/>
          </w:tcPr>
          <w:p w:rsidR="001451FD" w:rsidRPr="00006A39" w:rsidRDefault="001451FD" w:rsidP="00A863E5">
            <w:pPr>
              <w:widowControl w:val="0"/>
              <w:spacing w:line="360" w:lineRule="auto"/>
              <w:jc w:val="center"/>
              <w:rPr>
                <w:rFonts w:ascii="Times New Roman" w:hAnsi="Times New Roman"/>
                <w:sz w:val="28"/>
                <w:szCs w:val="28"/>
                <w:lang w:val="uk-UA"/>
              </w:rPr>
            </w:pPr>
            <w:r w:rsidRPr="00006A39">
              <w:rPr>
                <w:rFonts w:ascii="Times New Roman" w:hAnsi="Times New Roman"/>
                <w:sz w:val="28"/>
                <w:szCs w:val="28"/>
                <w:lang w:val="uk-UA"/>
              </w:rPr>
              <w:t>0,966</w:t>
            </w:r>
          </w:p>
        </w:tc>
      </w:tr>
    </w:tbl>
    <w:p w:rsidR="004C51C0" w:rsidRPr="00006A39" w:rsidRDefault="004C51C0" w:rsidP="00721203">
      <w:pPr>
        <w:widowControl w:val="0"/>
      </w:pPr>
    </w:p>
    <w:p w:rsidR="00DF07CA" w:rsidRPr="007644A3" w:rsidRDefault="00DF07CA" w:rsidP="007644A3">
      <w:pPr>
        <w:pStyle w:val="22"/>
        <w:tabs>
          <w:tab w:val="left" w:pos="993"/>
        </w:tabs>
        <w:spacing w:after="0" w:line="360" w:lineRule="auto"/>
        <w:ind w:left="0" w:firstLine="709"/>
        <w:rPr>
          <w:color w:val="auto"/>
          <w:szCs w:val="28"/>
        </w:rPr>
      </w:pPr>
      <w:r>
        <w:rPr>
          <w:szCs w:val="28"/>
        </w:rPr>
        <w:t>В ході дослідження вивчено госпіталізаці</w:t>
      </w:r>
      <w:r w:rsidRPr="00127D6A">
        <w:rPr>
          <w:szCs w:val="28"/>
        </w:rPr>
        <w:t>ю</w:t>
      </w:r>
      <w:r w:rsidRPr="00B81580">
        <w:rPr>
          <w:szCs w:val="28"/>
        </w:rPr>
        <w:t xml:space="preserve"> дитячого населення України</w:t>
      </w:r>
      <w:r>
        <w:rPr>
          <w:szCs w:val="28"/>
        </w:rPr>
        <w:t xml:space="preserve"> в цілому та за її регіона</w:t>
      </w:r>
      <w:r w:rsidR="00127D6A">
        <w:rPr>
          <w:szCs w:val="28"/>
        </w:rPr>
        <w:t xml:space="preserve">ми протягом 2014-2018 рр. </w:t>
      </w:r>
      <w:r w:rsidR="00127D6A" w:rsidRPr="00127D6A">
        <w:rPr>
          <w:szCs w:val="28"/>
        </w:rPr>
        <w:t>В</w:t>
      </w:r>
      <w:r>
        <w:rPr>
          <w:szCs w:val="28"/>
        </w:rPr>
        <w:t>становлено, що із з</w:t>
      </w:r>
      <w:r w:rsidRPr="00896A9A">
        <w:rPr>
          <w:szCs w:val="28"/>
        </w:rPr>
        <w:t>ниження</w:t>
      </w:r>
      <w:r>
        <w:rPr>
          <w:szCs w:val="28"/>
        </w:rPr>
        <w:t>м</w:t>
      </w:r>
      <w:r w:rsidRPr="00896A9A">
        <w:rPr>
          <w:szCs w:val="28"/>
        </w:rPr>
        <w:t xml:space="preserve"> забезпеченості дитячого населення стаціонарними ліжками</w:t>
      </w:r>
      <w:r w:rsidR="00127D6A">
        <w:rPr>
          <w:szCs w:val="28"/>
        </w:rPr>
        <w:t xml:space="preserve">, </w:t>
      </w:r>
      <w:r>
        <w:rPr>
          <w:szCs w:val="28"/>
        </w:rPr>
        <w:t>відбулось і</w:t>
      </w:r>
      <w:r w:rsidRPr="00896A9A">
        <w:rPr>
          <w:szCs w:val="28"/>
        </w:rPr>
        <w:t xml:space="preserve"> зниження рівня госпіталізації дітей в </w:t>
      </w:r>
      <w:r>
        <w:rPr>
          <w:szCs w:val="28"/>
        </w:rPr>
        <w:t xml:space="preserve">цілодобові </w:t>
      </w:r>
      <w:r w:rsidRPr="00896A9A">
        <w:rPr>
          <w:szCs w:val="28"/>
        </w:rPr>
        <w:t>лікарняні стаціонари</w:t>
      </w:r>
      <w:r>
        <w:rPr>
          <w:szCs w:val="28"/>
        </w:rPr>
        <w:t xml:space="preserve"> на 7,0% </w:t>
      </w:r>
      <w:r w:rsidRPr="00896A9A">
        <w:rPr>
          <w:szCs w:val="28"/>
        </w:rPr>
        <w:t xml:space="preserve"> </w:t>
      </w:r>
      <w:r>
        <w:rPr>
          <w:szCs w:val="28"/>
        </w:rPr>
        <w:t>(</w:t>
      </w:r>
      <w:r w:rsidRPr="00896A9A">
        <w:rPr>
          <w:szCs w:val="28"/>
        </w:rPr>
        <w:t>210,56 на 1000 дитячого населення у 2014</w:t>
      </w:r>
      <w:r>
        <w:rPr>
          <w:szCs w:val="28"/>
        </w:rPr>
        <w:t xml:space="preserve"> </w:t>
      </w:r>
      <w:r w:rsidRPr="00896A9A">
        <w:rPr>
          <w:szCs w:val="28"/>
        </w:rPr>
        <w:t>р. і 195,84 у 2018</w:t>
      </w:r>
      <w:r>
        <w:rPr>
          <w:szCs w:val="28"/>
        </w:rPr>
        <w:t xml:space="preserve"> </w:t>
      </w:r>
      <w:r w:rsidRPr="00896A9A">
        <w:rPr>
          <w:szCs w:val="28"/>
        </w:rPr>
        <w:t>р.</w:t>
      </w:r>
      <w:r>
        <w:rPr>
          <w:szCs w:val="28"/>
        </w:rPr>
        <w:t>)</w:t>
      </w:r>
      <w:r w:rsidR="00127D6A">
        <w:rPr>
          <w:szCs w:val="28"/>
        </w:rPr>
        <w:t>,</w:t>
      </w:r>
      <w:r w:rsidR="00127D6A" w:rsidRPr="00127D6A">
        <w:rPr>
          <w:szCs w:val="28"/>
        </w:rPr>
        <w:t xml:space="preserve"> а також</w:t>
      </w:r>
      <w:r w:rsidRPr="00896A9A">
        <w:rPr>
          <w:szCs w:val="28"/>
        </w:rPr>
        <w:t xml:space="preserve"> рівня госпіталізації дітей першого року життя</w:t>
      </w:r>
      <w:r>
        <w:rPr>
          <w:szCs w:val="28"/>
        </w:rPr>
        <w:t xml:space="preserve"> на 2,4% (</w:t>
      </w:r>
      <w:r w:rsidRPr="00896A9A">
        <w:rPr>
          <w:szCs w:val="28"/>
        </w:rPr>
        <w:t>611,4 на 1000 дітей відповідного віку</w:t>
      </w:r>
      <w:r>
        <w:rPr>
          <w:szCs w:val="28"/>
        </w:rPr>
        <w:t xml:space="preserve"> у 2014 р. </w:t>
      </w:r>
      <w:r w:rsidRPr="00896A9A">
        <w:rPr>
          <w:szCs w:val="28"/>
        </w:rPr>
        <w:t xml:space="preserve">і 596,55 </w:t>
      </w:r>
      <w:r>
        <w:rPr>
          <w:szCs w:val="28"/>
        </w:rPr>
        <w:t xml:space="preserve">у 2018 р. </w:t>
      </w:r>
      <w:r w:rsidRPr="00896A9A">
        <w:rPr>
          <w:szCs w:val="28"/>
        </w:rPr>
        <w:t>відповідно</w:t>
      </w:r>
      <w:r>
        <w:rPr>
          <w:szCs w:val="28"/>
        </w:rPr>
        <w:t>)</w:t>
      </w:r>
      <w:r w:rsidR="000110D5">
        <w:rPr>
          <w:szCs w:val="28"/>
        </w:rPr>
        <w:t>. Також доведено достовірний зв’язок</w:t>
      </w:r>
      <w:r w:rsidR="000110D5" w:rsidRPr="000110D5">
        <w:rPr>
          <w:szCs w:val="28"/>
        </w:rPr>
        <w:t xml:space="preserve"> між смертністю дітей віком до 5 років життя</w:t>
      </w:r>
      <w:r w:rsidR="000110D5" w:rsidRPr="000110D5">
        <w:rPr>
          <w:color w:val="auto"/>
          <w:szCs w:val="28"/>
          <w:lang w:eastAsia="uk-UA"/>
        </w:rPr>
        <w:t xml:space="preserve"> </w:t>
      </w:r>
      <w:r w:rsidR="000110D5">
        <w:rPr>
          <w:color w:val="auto"/>
          <w:szCs w:val="28"/>
          <w:lang w:eastAsia="uk-UA"/>
        </w:rPr>
        <w:t xml:space="preserve">та </w:t>
      </w:r>
      <w:r w:rsidR="000110D5">
        <w:rPr>
          <w:szCs w:val="28"/>
        </w:rPr>
        <w:t>показника частки</w:t>
      </w:r>
      <w:r w:rsidR="000110D5" w:rsidRPr="000110D5">
        <w:rPr>
          <w:szCs w:val="28"/>
        </w:rPr>
        <w:t xml:space="preserve"> дітей переведених з одного закладу в інший (</w:t>
      </w:r>
      <w:r w:rsidR="003E5561" w:rsidRPr="003E5561">
        <w:rPr>
          <w:szCs w:val="28"/>
          <w:lang w:val="en-US"/>
        </w:rPr>
        <w:t>Coef</w:t>
      </w:r>
      <w:r w:rsidR="003E5561" w:rsidRPr="003E5561">
        <w:rPr>
          <w:szCs w:val="28"/>
        </w:rPr>
        <w:t>.</w:t>
      </w:r>
      <w:r w:rsidR="000110D5" w:rsidRPr="000110D5">
        <w:rPr>
          <w:szCs w:val="28"/>
        </w:rPr>
        <w:t xml:space="preserve"> 1,004; р&lt;0,001)</w:t>
      </w:r>
      <w:r w:rsidR="000110D5">
        <w:rPr>
          <w:szCs w:val="28"/>
        </w:rPr>
        <w:t>.</w:t>
      </w:r>
      <w:r w:rsidR="00F70B18" w:rsidRPr="00F70B18">
        <w:rPr>
          <w:szCs w:val="28"/>
        </w:rPr>
        <w:t xml:space="preserve"> </w:t>
      </w:r>
      <w:r>
        <w:rPr>
          <w:szCs w:val="28"/>
        </w:rPr>
        <w:t>Варто зазначити, що в</w:t>
      </w:r>
      <w:r w:rsidRPr="00816E4F">
        <w:rPr>
          <w:szCs w:val="28"/>
        </w:rPr>
        <w:t>ід рівня захворюваності та поширеності хвороб залежить потреба в стаціонарній допомозі та госпіталізації дітей. При цьому, за умови забезпечення рівного доступу усіх верств дитячого населення до служб стаціонарної допомоги</w:t>
      </w:r>
      <w:r w:rsidR="00BC7999">
        <w:rPr>
          <w:szCs w:val="28"/>
        </w:rPr>
        <w:t>,</w:t>
      </w:r>
      <w:r w:rsidRPr="00816E4F">
        <w:rPr>
          <w:szCs w:val="28"/>
        </w:rPr>
        <w:t xml:space="preserve"> рівень госпіталізації хворих дітей не повинен значно коливатись у розрізі регіонів, враховуючи відсутність суттєвих відмінностей у рівні та тяжкості перебігу захворювань, що потр</w:t>
      </w:r>
      <w:r>
        <w:rPr>
          <w:szCs w:val="28"/>
        </w:rPr>
        <w:t>ебують стаціонарного лікування. За результатами аналізу, рівні госпіталізації дітей у цілодобові стаціонари протягом 2014-2018 рр. мають відмінності в залежності від регіону: найнижчий показник рівня госпіталізації дітей у 2018 р. спостерігався у Волинській області (166,63</w:t>
      </w:r>
      <w:r w:rsidRPr="00ED127E">
        <w:rPr>
          <w:szCs w:val="28"/>
        </w:rPr>
        <w:t>‰</w:t>
      </w:r>
      <w:r>
        <w:rPr>
          <w:szCs w:val="28"/>
        </w:rPr>
        <w:t>), найвищі показники зафіксовано у Харківській (246,8</w:t>
      </w:r>
      <w:r w:rsidRPr="005F2C58">
        <w:rPr>
          <w:szCs w:val="28"/>
        </w:rPr>
        <w:t>‰</w:t>
      </w:r>
      <w:r>
        <w:rPr>
          <w:szCs w:val="28"/>
        </w:rPr>
        <w:t>), у Черкаській (252,58</w:t>
      </w:r>
      <w:r w:rsidRPr="005F2C58">
        <w:rPr>
          <w:szCs w:val="28"/>
        </w:rPr>
        <w:t>‰</w:t>
      </w:r>
      <w:r>
        <w:rPr>
          <w:szCs w:val="28"/>
        </w:rPr>
        <w:t>), Сумській (255,72</w:t>
      </w:r>
      <w:r w:rsidRPr="005F2C58">
        <w:rPr>
          <w:szCs w:val="28"/>
        </w:rPr>
        <w:t>‰</w:t>
      </w:r>
      <w:r>
        <w:rPr>
          <w:szCs w:val="28"/>
        </w:rPr>
        <w:t xml:space="preserve">) областях, гранична різниця становила 1,53 рази. Рівень госпіталізації дітей у віці до 1-го року у цілодобові </w:t>
      </w:r>
      <w:r>
        <w:rPr>
          <w:szCs w:val="28"/>
        </w:rPr>
        <w:lastRenderedPageBreak/>
        <w:t>стаціонари також різниться за регіонами, найнижчий рівень у даному віці у 2018 р. спостерігався у Івано-Франківський (499,74</w:t>
      </w:r>
      <w:r w:rsidRPr="00FC4C9D">
        <w:rPr>
          <w:szCs w:val="28"/>
        </w:rPr>
        <w:t>‰</w:t>
      </w:r>
      <w:r>
        <w:rPr>
          <w:szCs w:val="28"/>
        </w:rPr>
        <w:t>), Тернопільській (499,78</w:t>
      </w:r>
      <w:r w:rsidRPr="00FC4C9D">
        <w:rPr>
          <w:szCs w:val="28"/>
        </w:rPr>
        <w:t>‰</w:t>
      </w:r>
      <w:r>
        <w:rPr>
          <w:szCs w:val="28"/>
        </w:rPr>
        <w:t>) областях, найвищі – у Черкаській (752,25</w:t>
      </w:r>
      <w:r w:rsidRPr="00FC4C9D">
        <w:rPr>
          <w:szCs w:val="28"/>
        </w:rPr>
        <w:t>‰</w:t>
      </w:r>
      <w:r>
        <w:rPr>
          <w:szCs w:val="28"/>
        </w:rPr>
        <w:t>), Закарпатській (752,98</w:t>
      </w:r>
      <w:r w:rsidRPr="00FC4C9D">
        <w:rPr>
          <w:szCs w:val="28"/>
        </w:rPr>
        <w:t>‰</w:t>
      </w:r>
      <w:r>
        <w:rPr>
          <w:szCs w:val="28"/>
        </w:rPr>
        <w:t>), Житомирській (783,35</w:t>
      </w:r>
      <w:r w:rsidRPr="00FC4C9D">
        <w:rPr>
          <w:szCs w:val="28"/>
        </w:rPr>
        <w:t>‰</w:t>
      </w:r>
      <w:r>
        <w:rPr>
          <w:szCs w:val="28"/>
        </w:rPr>
        <w:t xml:space="preserve">) областях, гранична різниця становила 1,57 рази. Нами вивчено та </w:t>
      </w:r>
      <w:r w:rsidRPr="00AE1EB8">
        <w:rPr>
          <w:color w:val="auto"/>
          <w:szCs w:val="28"/>
        </w:rPr>
        <w:t>встановлено</w:t>
      </w:r>
      <w:r>
        <w:rPr>
          <w:szCs w:val="28"/>
        </w:rPr>
        <w:t xml:space="preserve"> </w:t>
      </w:r>
      <w:r>
        <w:rPr>
          <w:spacing w:val="4"/>
          <w:szCs w:val="28"/>
        </w:rPr>
        <w:t>н</w:t>
      </w:r>
      <w:r w:rsidRPr="00896A9A">
        <w:rPr>
          <w:spacing w:val="4"/>
          <w:szCs w:val="28"/>
        </w:rPr>
        <w:t>айбільш доцільне співвідно</w:t>
      </w:r>
      <w:r>
        <w:rPr>
          <w:spacing w:val="4"/>
          <w:szCs w:val="28"/>
        </w:rPr>
        <w:t xml:space="preserve">шення госпіталізації дітей у </w:t>
      </w:r>
      <w:r w:rsidRPr="00AE1EB8">
        <w:rPr>
          <w:spacing w:val="4"/>
          <w:szCs w:val="28"/>
        </w:rPr>
        <w:t xml:space="preserve">денні стаціонари </w:t>
      </w:r>
      <w:r>
        <w:rPr>
          <w:spacing w:val="4"/>
          <w:szCs w:val="28"/>
        </w:rPr>
        <w:t>та цілодобові стаціонари</w:t>
      </w:r>
      <w:r w:rsidRPr="00896A9A">
        <w:rPr>
          <w:spacing w:val="4"/>
          <w:szCs w:val="28"/>
        </w:rPr>
        <w:t xml:space="preserve"> </w:t>
      </w:r>
      <w:r>
        <w:rPr>
          <w:spacing w:val="4"/>
          <w:szCs w:val="28"/>
        </w:rPr>
        <w:t>в 2018</w:t>
      </w:r>
      <w:r w:rsidRPr="00896A9A">
        <w:rPr>
          <w:spacing w:val="4"/>
          <w:szCs w:val="28"/>
        </w:rPr>
        <w:t xml:space="preserve"> </w:t>
      </w:r>
      <w:r>
        <w:rPr>
          <w:spacing w:val="4"/>
          <w:szCs w:val="28"/>
        </w:rPr>
        <w:t>р., яке</w:t>
      </w:r>
      <w:r w:rsidRPr="00896A9A">
        <w:rPr>
          <w:spacing w:val="4"/>
          <w:szCs w:val="28"/>
        </w:rPr>
        <w:t xml:space="preserve"> </w:t>
      </w:r>
      <w:r>
        <w:rPr>
          <w:spacing w:val="4"/>
          <w:szCs w:val="28"/>
        </w:rPr>
        <w:t xml:space="preserve">становило </w:t>
      </w:r>
      <w:r w:rsidRPr="00896A9A">
        <w:rPr>
          <w:spacing w:val="4"/>
          <w:szCs w:val="28"/>
        </w:rPr>
        <w:t xml:space="preserve">менше </w:t>
      </w:r>
      <w:r>
        <w:rPr>
          <w:spacing w:val="4"/>
          <w:szCs w:val="28"/>
        </w:rPr>
        <w:t>1:7.  В</w:t>
      </w:r>
      <w:r w:rsidRPr="00896A9A">
        <w:rPr>
          <w:spacing w:val="4"/>
          <w:szCs w:val="28"/>
        </w:rPr>
        <w:t>икористання стаціонарозамінних форм лікування</w:t>
      </w:r>
      <w:r>
        <w:rPr>
          <w:spacing w:val="4"/>
          <w:szCs w:val="28"/>
        </w:rPr>
        <w:t xml:space="preserve"> на достатньому рівні</w:t>
      </w:r>
      <w:r w:rsidRPr="00896A9A">
        <w:rPr>
          <w:spacing w:val="4"/>
          <w:szCs w:val="28"/>
        </w:rPr>
        <w:t xml:space="preserve"> </w:t>
      </w:r>
      <w:r>
        <w:rPr>
          <w:spacing w:val="4"/>
          <w:szCs w:val="28"/>
        </w:rPr>
        <w:t>зафіксовано</w:t>
      </w:r>
      <w:r w:rsidRPr="00896A9A">
        <w:rPr>
          <w:spacing w:val="4"/>
          <w:szCs w:val="28"/>
        </w:rPr>
        <w:t xml:space="preserve"> у Тернопільській</w:t>
      </w:r>
      <w:r w:rsidRPr="00B56BC1">
        <w:rPr>
          <w:spacing w:val="4"/>
          <w:szCs w:val="28"/>
        </w:rPr>
        <w:t xml:space="preserve"> (</w:t>
      </w:r>
      <w:r>
        <w:rPr>
          <w:spacing w:val="4"/>
          <w:szCs w:val="28"/>
        </w:rPr>
        <w:t xml:space="preserve">на одного госпіталізованого в денні стаціонари приходиться 3 дитини, що госпіталізовано у цілодобовий стаціонар, </w:t>
      </w:r>
      <w:r w:rsidRPr="00B56BC1">
        <w:rPr>
          <w:spacing w:val="4"/>
          <w:szCs w:val="28"/>
        </w:rPr>
        <w:t>1:3)</w:t>
      </w:r>
      <w:r w:rsidRPr="00896A9A">
        <w:rPr>
          <w:spacing w:val="4"/>
          <w:szCs w:val="28"/>
        </w:rPr>
        <w:t>, Чернівецькій</w:t>
      </w:r>
      <w:r w:rsidRPr="00B56BC1">
        <w:rPr>
          <w:spacing w:val="4"/>
          <w:szCs w:val="28"/>
        </w:rPr>
        <w:t xml:space="preserve"> (1:3)</w:t>
      </w:r>
      <w:r w:rsidRPr="00896A9A">
        <w:rPr>
          <w:spacing w:val="4"/>
          <w:szCs w:val="28"/>
        </w:rPr>
        <w:t>, Чернігівській</w:t>
      </w:r>
      <w:r w:rsidRPr="00B56BC1">
        <w:rPr>
          <w:spacing w:val="4"/>
          <w:szCs w:val="28"/>
        </w:rPr>
        <w:t xml:space="preserve"> (1:4),</w:t>
      </w:r>
      <w:r w:rsidRPr="00896A9A">
        <w:rPr>
          <w:spacing w:val="4"/>
          <w:szCs w:val="28"/>
        </w:rPr>
        <w:t xml:space="preserve"> Херсонській</w:t>
      </w:r>
      <w:r w:rsidRPr="002B0779">
        <w:rPr>
          <w:spacing w:val="4"/>
          <w:szCs w:val="28"/>
        </w:rPr>
        <w:t xml:space="preserve"> (1:5)</w:t>
      </w:r>
      <w:r w:rsidRPr="00896A9A">
        <w:rPr>
          <w:spacing w:val="4"/>
          <w:szCs w:val="28"/>
        </w:rPr>
        <w:t>, Рівненській</w:t>
      </w:r>
      <w:r w:rsidRPr="002B0779">
        <w:rPr>
          <w:spacing w:val="4"/>
          <w:szCs w:val="28"/>
        </w:rPr>
        <w:t xml:space="preserve"> (1:5)</w:t>
      </w:r>
      <w:r w:rsidRPr="00896A9A">
        <w:rPr>
          <w:spacing w:val="4"/>
          <w:szCs w:val="28"/>
        </w:rPr>
        <w:t>, Хмельницькій</w:t>
      </w:r>
      <w:r w:rsidRPr="002B0779">
        <w:rPr>
          <w:spacing w:val="4"/>
          <w:szCs w:val="28"/>
        </w:rPr>
        <w:t xml:space="preserve"> (1:6)</w:t>
      </w:r>
      <w:r w:rsidRPr="00896A9A">
        <w:rPr>
          <w:spacing w:val="4"/>
          <w:szCs w:val="28"/>
        </w:rPr>
        <w:t>, Закарпатській</w:t>
      </w:r>
      <w:r w:rsidRPr="00395573">
        <w:rPr>
          <w:spacing w:val="4"/>
          <w:szCs w:val="28"/>
        </w:rPr>
        <w:t xml:space="preserve"> </w:t>
      </w:r>
      <w:r>
        <w:rPr>
          <w:spacing w:val="4"/>
          <w:szCs w:val="28"/>
        </w:rPr>
        <w:t>(1</w:t>
      </w:r>
      <w:r w:rsidRPr="00395573">
        <w:rPr>
          <w:spacing w:val="4"/>
          <w:szCs w:val="28"/>
        </w:rPr>
        <w:t>:6)</w:t>
      </w:r>
      <w:r w:rsidRPr="00896A9A">
        <w:rPr>
          <w:spacing w:val="4"/>
          <w:szCs w:val="28"/>
        </w:rPr>
        <w:t xml:space="preserve"> і Запорізькій</w:t>
      </w:r>
      <w:r w:rsidRPr="00395573">
        <w:rPr>
          <w:spacing w:val="4"/>
          <w:szCs w:val="28"/>
        </w:rPr>
        <w:t xml:space="preserve"> (1:6)</w:t>
      </w:r>
      <w:r w:rsidRPr="00896A9A">
        <w:rPr>
          <w:spacing w:val="4"/>
          <w:szCs w:val="28"/>
        </w:rPr>
        <w:t xml:space="preserve"> областях. </w:t>
      </w:r>
      <w:r>
        <w:rPr>
          <w:spacing w:val="4"/>
          <w:szCs w:val="28"/>
        </w:rPr>
        <w:t>При цьому у 2018 р.</w:t>
      </w:r>
      <w:r w:rsidRPr="00896A9A">
        <w:rPr>
          <w:spacing w:val="4"/>
          <w:szCs w:val="28"/>
        </w:rPr>
        <w:t xml:space="preserve"> на одного госпіталізованого в денні стаціонари припадає 14-25 госпіталізованих</w:t>
      </w:r>
      <w:r>
        <w:rPr>
          <w:spacing w:val="4"/>
          <w:szCs w:val="28"/>
        </w:rPr>
        <w:t xml:space="preserve"> дітей</w:t>
      </w:r>
      <w:r w:rsidRPr="00896A9A">
        <w:rPr>
          <w:spacing w:val="4"/>
          <w:szCs w:val="28"/>
        </w:rPr>
        <w:t xml:space="preserve"> у лікарняні стаціонари у Одеській</w:t>
      </w:r>
      <w:r w:rsidRPr="00A5393B">
        <w:rPr>
          <w:spacing w:val="4"/>
          <w:szCs w:val="28"/>
        </w:rPr>
        <w:t xml:space="preserve"> (1:14)</w:t>
      </w:r>
      <w:r w:rsidRPr="00896A9A">
        <w:rPr>
          <w:spacing w:val="4"/>
          <w:szCs w:val="28"/>
        </w:rPr>
        <w:t>, Полтавській</w:t>
      </w:r>
      <w:r w:rsidRPr="00A5393B">
        <w:rPr>
          <w:spacing w:val="4"/>
          <w:szCs w:val="28"/>
        </w:rPr>
        <w:t xml:space="preserve"> (1:14)</w:t>
      </w:r>
      <w:r w:rsidRPr="00896A9A">
        <w:rPr>
          <w:spacing w:val="4"/>
          <w:szCs w:val="28"/>
        </w:rPr>
        <w:t xml:space="preserve"> і Київській</w:t>
      </w:r>
      <w:r w:rsidRPr="00A5393B">
        <w:rPr>
          <w:spacing w:val="4"/>
          <w:szCs w:val="28"/>
        </w:rPr>
        <w:t xml:space="preserve"> (1:25)</w:t>
      </w:r>
      <w:r w:rsidRPr="00896A9A">
        <w:rPr>
          <w:spacing w:val="4"/>
          <w:szCs w:val="28"/>
        </w:rPr>
        <w:t xml:space="preserve"> </w:t>
      </w:r>
      <w:r>
        <w:rPr>
          <w:spacing w:val="4"/>
          <w:szCs w:val="28"/>
        </w:rPr>
        <w:t>областях, що свідчить про</w:t>
      </w:r>
      <w:r w:rsidRPr="00896A9A">
        <w:rPr>
          <w:spacing w:val="4"/>
          <w:szCs w:val="28"/>
        </w:rPr>
        <w:t xml:space="preserve"> </w:t>
      </w:r>
      <w:r>
        <w:rPr>
          <w:spacing w:val="4"/>
          <w:szCs w:val="28"/>
        </w:rPr>
        <w:t>необхідність посилення</w:t>
      </w:r>
      <w:r w:rsidRPr="00896A9A">
        <w:rPr>
          <w:spacing w:val="4"/>
          <w:szCs w:val="28"/>
        </w:rPr>
        <w:t xml:space="preserve"> </w:t>
      </w:r>
      <w:r>
        <w:rPr>
          <w:spacing w:val="4"/>
          <w:szCs w:val="28"/>
        </w:rPr>
        <w:t>уваги</w:t>
      </w:r>
      <w:r w:rsidRPr="00896A9A">
        <w:rPr>
          <w:spacing w:val="4"/>
          <w:szCs w:val="28"/>
        </w:rPr>
        <w:t xml:space="preserve"> до більш широкого впровадження </w:t>
      </w:r>
      <w:r>
        <w:rPr>
          <w:spacing w:val="4"/>
          <w:szCs w:val="28"/>
        </w:rPr>
        <w:t xml:space="preserve">денних стаціонарів для лікування дітей, як </w:t>
      </w:r>
      <w:r w:rsidRPr="00896A9A">
        <w:rPr>
          <w:spacing w:val="4"/>
          <w:szCs w:val="28"/>
        </w:rPr>
        <w:t xml:space="preserve">ефективної і низькозатратної </w:t>
      </w:r>
      <w:r w:rsidRPr="00D92585">
        <w:rPr>
          <w:color w:val="auto"/>
          <w:spacing w:val="4"/>
          <w:szCs w:val="28"/>
        </w:rPr>
        <w:t>технології (</w:t>
      </w:r>
      <w:r w:rsidR="0003729C" w:rsidRPr="00D92585">
        <w:rPr>
          <w:color w:val="auto"/>
          <w:spacing w:val="4"/>
          <w:szCs w:val="28"/>
        </w:rPr>
        <w:t>Додаток Г</w:t>
      </w:r>
      <w:r w:rsidR="0017462F" w:rsidRPr="00D92585">
        <w:rPr>
          <w:color w:val="auto"/>
          <w:spacing w:val="4"/>
          <w:szCs w:val="28"/>
        </w:rPr>
        <w:t>-3</w:t>
      </w:r>
      <w:r w:rsidRPr="00D92585">
        <w:rPr>
          <w:color w:val="auto"/>
          <w:spacing w:val="4"/>
          <w:szCs w:val="28"/>
        </w:rPr>
        <w:t xml:space="preserve">). </w:t>
      </w:r>
    </w:p>
    <w:p w:rsidR="000E5D02" w:rsidRPr="009E3A9D" w:rsidRDefault="000E5D02" w:rsidP="00EF20AE">
      <w:pPr>
        <w:widowControl w:val="0"/>
        <w:ind w:firstLine="708"/>
        <w:rPr>
          <w:color w:val="FF0000"/>
          <w:szCs w:val="28"/>
        </w:rPr>
      </w:pPr>
      <w:r w:rsidRPr="00006A39">
        <w:t xml:space="preserve">Отже, упродовж останніх років відбулось скорочення закладів педіатричної допомоги, що зумовлено скороченням дитячого населення в Україні, при цьому виявлено достовірний зв’язок між показником смертності дітей віком до 5 років </w:t>
      </w:r>
      <w:r w:rsidRPr="00006A39">
        <w:rPr>
          <w:rFonts w:eastAsia="Times New Roman"/>
          <w:color w:val="000000" w:themeColor="text1"/>
          <w:szCs w:val="28"/>
          <w:lang w:eastAsia="ru-RU"/>
        </w:rPr>
        <w:t xml:space="preserve">та показниками, що характеризують забезпеченість дитячими денними стаціонарними </w:t>
      </w:r>
      <w:r w:rsidR="00092CB2">
        <w:rPr>
          <w:rFonts w:eastAsia="Times New Roman"/>
          <w:szCs w:val="28"/>
          <w:lang w:eastAsia="ru-RU"/>
        </w:rPr>
        <w:t xml:space="preserve">ліжками, а саме </w:t>
      </w:r>
      <w:r w:rsidRPr="009E7184">
        <w:rPr>
          <w:rFonts w:eastAsia="Times New Roman"/>
          <w:szCs w:val="28"/>
          <w:lang w:eastAsia="ru-RU"/>
        </w:rPr>
        <w:t xml:space="preserve">з показником </w:t>
      </w:r>
      <w:r w:rsidRPr="009E7184">
        <w:rPr>
          <w:rFonts w:eastAsia="Times New Roman"/>
          <w:szCs w:val="28"/>
        </w:rPr>
        <w:t>кількість пролікованих дітей з розрахунку на 1000 захворювань</w:t>
      </w:r>
      <w:r w:rsidRPr="009E7184">
        <w:rPr>
          <w:szCs w:val="28"/>
        </w:rPr>
        <w:t xml:space="preserve"> – </w:t>
      </w:r>
      <w:r w:rsidR="009E3A9D" w:rsidRPr="009E3A9D">
        <w:rPr>
          <w:szCs w:val="28"/>
          <w:lang w:val="en-US"/>
        </w:rPr>
        <w:t>Coef</w:t>
      </w:r>
      <w:r w:rsidR="009E3A9D" w:rsidRPr="009E3A9D">
        <w:rPr>
          <w:szCs w:val="28"/>
        </w:rPr>
        <w:t>.</w:t>
      </w:r>
      <w:r w:rsidRPr="009E7184">
        <w:rPr>
          <w:szCs w:val="28"/>
        </w:rPr>
        <w:t xml:space="preserve"> 0,0092, &lt;0,001, </w:t>
      </w:r>
      <w:r w:rsidR="00A8167E">
        <w:rPr>
          <w:rFonts w:eastAsia="Times New Roman"/>
          <w:szCs w:val="28"/>
        </w:rPr>
        <w:t>к</w:t>
      </w:r>
      <w:r w:rsidRPr="009E7184">
        <w:rPr>
          <w:rFonts w:eastAsia="Times New Roman"/>
          <w:szCs w:val="28"/>
        </w:rPr>
        <w:t>ількість пролікованих дітей з розрахунку на одне ліжко денного стаціонару</w:t>
      </w:r>
      <w:r w:rsidRPr="009E7184">
        <w:rPr>
          <w:szCs w:val="28"/>
        </w:rPr>
        <w:t xml:space="preserve"> </w:t>
      </w:r>
      <w:r w:rsidR="009E3A9D" w:rsidRPr="009E3A9D">
        <w:rPr>
          <w:szCs w:val="28"/>
          <w:lang w:val="en-US"/>
        </w:rPr>
        <w:t>Coef</w:t>
      </w:r>
      <w:r w:rsidR="009E3A9D" w:rsidRPr="009E3A9D">
        <w:rPr>
          <w:szCs w:val="28"/>
        </w:rPr>
        <w:t>.</w:t>
      </w:r>
      <w:r w:rsidRPr="009E7184">
        <w:rPr>
          <w:szCs w:val="28"/>
        </w:rPr>
        <w:t xml:space="preserve"> 0,001, р=0,038).</w:t>
      </w:r>
    </w:p>
    <w:p w:rsidR="006738F0" w:rsidRPr="00EF20AE" w:rsidRDefault="00D92585" w:rsidP="000E2232">
      <w:pPr>
        <w:widowControl w:val="0"/>
        <w:spacing w:before="240" w:after="240"/>
        <w:rPr>
          <w:b/>
        </w:rPr>
      </w:pPr>
      <w:r w:rsidRPr="004E357F">
        <w:rPr>
          <w:b/>
        </w:rPr>
        <w:t xml:space="preserve">           </w:t>
      </w:r>
      <w:r w:rsidRPr="00D92585">
        <w:rPr>
          <w:b/>
        </w:rPr>
        <w:t xml:space="preserve">5.2. </w:t>
      </w:r>
      <w:r w:rsidR="006738F0" w:rsidRPr="00D92585">
        <w:rPr>
          <w:b/>
        </w:rPr>
        <w:t>Характеристика кадр</w:t>
      </w:r>
      <w:r w:rsidR="00EF20AE" w:rsidRPr="00D92585">
        <w:rPr>
          <w:b/>
        </w:rPr>
        <w:t>ового забезпечення педіатричних</w:t>
      </w:r>
      <w:r>
        <w:rPr>
          <w:b/>
          <w:lang w:val="ru-RU"/>
        </w:rPr>
        <w:t xml:space="preserve"> </w:t>
      </w:r>
      <w:r w:rsidR="006C3135">
        <w:rPr>
          <w:b/>
        </w:rPr>
        <w:t>підрозділів закладів охорони здоров’я</w:t>
      </w:r>
      <w:r w:rsidR="006738F0" w:rsidRPr="00EF20AE">
        <w:rPr>
          <w:b/>
        </w:rPr>
        <w:t xml:space="preserve"> та його зв’язки з летальністю</w:t>
      </w:r>
    </w:p>
    <w:p w:rsidR="006738F0" w:rsidRPr="00006A39" w:rsidRDefault="006738F0" w:rsidP="00721203">
      <w:pPr>
        <w:widowControl w:val="0"/>
        <w:ind w:firstLine="709"/>
        <w:rPr>
          <w:rFonts w:eastAsia="Times New Roman"/>
          <w:szCs w:val="28"/>
          <w:lang w:eastAsia="ru-RU"/>
        </w:rPr>
      </w:pPr>
      <w:r w:rsidRPr="00006A39">
        <w:rPr>
          <w:rFonts w:eastAsia="Times New Roman"/>
          <w:szCs w:val="28"/>
          <w:lang w:eastAsia="ru-RU"/>
        </w:rPr>
        <w:t xml:space="preserve">Медичні кадри є найвагомішою складовою ресурсного забезпечення галузі охорони здоров'я, забезпечуючи результативну та ефективну її діяльність у цілому, але й окремих закладів охорони здоров'я та їх структурних підрозділів. Політика кадрового забезпечення служби ОЗ матері і дитини ґрунтується на принципах </w:t>
      </w:r>
      <w:r w:rsidRPr="00006A39">
        <w:rPr>
          <w:rFonts w:eastAsia="Times New Roman"/>
          <w:szCs w:val="28"/>
          <w:lang w:eastAsia="ru-RU"/>
        </w:rPr>
        <w:lastRenderedPageBreak/>
        <w:t>задоволення потреби у кваліфікованих і досвідчених кадрах з урахуванням досягнень медичної науки, пропорційному розподілі за територіальним принципом, типом закладу і рівнем надання медичної допомоги.</w:t>
      </w:r>
    </w:p>
    <w:p w:rsidR="006738F0" w:rsidRDefault="006738F0" w:rsidP="00721203">
      <w:pPr>
        <w:widowControl w:val="0"/>
        <w:ind w:firstLine="709"/>
        <w:rPr>
          <w:rFonts w:eastAsia="Times New Roman"/>
          <w:szCs w:val="28"/>
          <w:lang w:eastAsia="ru-RU"/>
        </w:rPr>
      </w:pPr>
      <w:r w:rsidRPr="00006A39">
        <w:rPr>
          <w:rFonts w:eastAsia="Times New Roman"/>
          <w:szCs w:val="28"/>
          <w:lang w:eastAsia="ru-RU"/>
        </w:rPr>
        <w:t>Завданням на цьому етапі дослідження стало з’ясування рівн</w:t>
      </w:r>
      <w:r w:rsidR="00167155">
        <w:rPr>
          <w:rFonts w:eastAsia="Times New Roman"/>
          <w:szCs w:val="28"/>
          <w:lang w:eastAsia="ru-RU"/>
        </w:rPr>
        <w:t>я кадрового забезпечення галузі</w:t>
      </w:r>
      <w:r w:rsidRPr="00006A39">
        <w:rPr>
          <w:rFonts w:eastAsia="Times New Roman"/>
          <w:szCs w:val="28"/>
          <w:lang w:eastAsia="ru-RU"/>
        </w:rPr>
        <w:t xml:space="preserve"> ОЗ дитячого населення в Україні від якого залежить доступність медичної допомоги, ефективність в цілому тощо. Відповідно до загальної методології дослідження аналіз проводився у ПЦ, закладах первинної ланки та ЗОЗ спеціалізованої та високоспеціалізованої медичної допомоги. </w:t>
      </w:r>
    </w:p>
    <w:p w:rsidR="00825D76" w:rsidRDefault="00825D76" w:rsidP="00721203">
      <w:pPr>
        <w:widowControl w:val="0"/>
        <w:ind w:firstLine="709"/>
        <w:rPr>
          <w:rFonts w:eastAsia="Times New Roman"/>
          <w:spacing w:val="-2"/>
          <w:szCs w:val="28"/>
          <w:lang w:eastAsia="ru-RU"/>
        </w:rPr>
      </w:pPr>
      <w:r>
        <w:rPr>
          <w:rFonts w:eastAsia="Times New Roman"/>
          <w:spacing w:val="-2"/>
          <w:szCs w:val="28"/>
          <w:lang w:eastAsia="ru-RU"/>
        </w:rPr>
        <w:t xml:space="preserve">Першочергово нами було вивчено забезпеченість медичними кадрами первинної ланки медичної допомоги дітям, за результатами аналізу встановлено зростання </w:t>
      </w:r>
      <w:r w:rsidRPr="00FD2FA8">
        <w:rPr>
          <w:rFonts w:eastAsia="Times New Roman"/>
          <w:spacing w:val="-2"/>
          <w:szCs w:val="28"/>
          <w:lang w:eastAsia="ru-RU"/>
        </w:rPr>
        <w:t>кількості штатних лікарських посад</w:t>
      </w:r>
      <w:r w:rsidR="00294F56">
        <w:rPr>
          <w:rFonts w:eastAsia="Times New Roman"/>
          <w:spacing w:val="-2"/>
          <w:szCs w:val="28"/>
          <w:lang w:eastAsia="ru-RU"/>
        </w:rPr>
        <w:t xml:space="preserve"> ЛЗП-</w:t>
      </w:r>
      <w:r>
        <w:rPr>
          <w:rFonts w:eastAsia="Times New Roman"/>
          <w:spacing w:val="-2"/>
          <w:szCs w:val="28"/>
          <w:lang w:eastAsia="ru-RU"/>
        </w:rPr>
        <w:t xml:space="preserve">СЛ на 17,96% </w:t>
      </w:r>
      <w:r w:rsidRPr="00207D2A">
        <w:rPr>
          <w:rFonts w:eastAsia="Times New Roman"/>
          <w:spacing w:val="-2"/>
          <w:szCs w:val="28"/>
          <w:lang w:eastAsia="ru-RU"/>
        </w:rPr>
        <w:t>(з 16254,25 у 2014</w:t>
      </w:r>
      <w:r w:rsidR="007F1BFD">
        <w:t> </w:t>
      </w:r>
      <w:r w:rsidRPr="00207D2A">
        <w:rPr>
          <w:rFonts w:eastAsia="Times New Roman"/>
          <w:spacing w:val="-2"/>
          <w:szCs w:val="28"/>
          <w:lang w:eastAsia="ru-RU"/>
        </w:rPr>
        <w:t>р. до 19174,50)</w:t>
      </w:r>
      <w:r w:rsidRPr="008326AA">
        <w:rPr>
          <w:rFonts w:eastAsia="Times New Roman"/>
          <w:spacing w:val="-2"/>
          <w:szCs w:val="28"/>
          <w:lang w:eastAsia="ru-RU"/>
        </w:rPr>
        <w:t>,</w:t>
      </w:r>
      <w:r w:rsidRPr="008326AA">
        <w:t xml:space="preserve"> </w:t>
      </w:r>
      <w:r w:rsidRPr="008326AA">
        <w:rPr>
          <w:rFonts w:eastAsia="Times New Roman"/>
          <w:spacing w:val="-2"/>
          <w:szCs w:val="28"/>
          <w:lang w:eastAsia="ru-RU"/>
        </w:rPr>
        <w:t>числа фізичн</w:t>
      </w:r>
      <w:r w:rsidR="00294F56">
        <w:rPr>
          <w:rFonts w:eastAsia="Times New Roman"/>
          <w:spacing w:val="-2"/>
          <w:szCs w:val="28"/>
          <w:lang w:eastAsia="ru-RU"/>
        </w:rPr>
        <w:t>их осіб на зайнятих посадах ЛЗП-</w:t>
      </w:r>
      <w:r w:rsidRPr="008326AA">
        <w:rPr>
          <w:rFonts w:eastAsia="Times New Roman"/>
          <w:spacing w:val="-2"/>
          <w:szCs w:val="28"/>
          <w:lang w:eastAsia="ru-RU"/>
        </w:rPr>
        <w:t>СЛ</w:t>
      </w:r>
      <w:r>
        <w:rPr>
          <w:rFonts w:eastAsia="Times New Roman"/>
          <w:spacing w:val="-2"/>
          <w:szCs w:val="28"/>
          <w:lang w:eastAsia="ru-RU"/>
        </w:rPr>
        <w:t xml:space="preserve"> на 19,1%</w:t>
      </w:r>
      <w:r w:rsidRPr="008326AA">
        <w:rPr>
          <w:rFonts w:eastAsia="Times New Roman"/>
          <w:spacing w:val="-2"/>
          <w:szCs w:val="28"/>
          <w:lang w:eastAsia="ru-RU"/>
        </w:rPr>
        <w:t xml:space="preserve"> (з 11873 до 14137 осіб  відповідно),</w:t>
      </w:r>
      <w:r w:rsidRPr="008326AA">
        <w:t xml:space="preserve"> </w:t>
      </w:r>
      <w:r w:rsidR="00294F56">
        <w:rPr>
          <w:rFonts w:eastAsia="Times New Roman"/>
          <w:spacing w:val="-2"/>
          <w:szCs w:val="28"/>
          <w:lang w:eastAsia="ru-RU"/>
        </w:rPr>
        <w:t>укомплектованості штатів (ЛЗП-</w:t>
      </w:r>
      <w:r w:rsidRPr="008326AA">
        <w:rPr>
          <w:rFonts w:eastAsia="Times New Roman"/>
          <w:spacing w:val="-2"/>
          <w:szCs w:val="28"/>
          <w:lang w:eastAsia="ru-RU"/>
        </w:rPr>
        <w:t xml:space="preserve">СЛ) фізичними особами (з 73,04% у 2014 р.  до 73,72% у 2018 р.), при зниженні </w:t>
      </w:r>
      <w:r>
        <w:rPr>
          <w:rFonts w:eastAsia="Times New Roman"/>
          <w:spacing w:val="-2"/>
          <w:szCs w:val="28"/>
          <w:lang w:eastAsia="ru-RU"/>
        </w:rPr>
        <w:t>у</w:t>
      </w:r>
      <w:r w:rsidRPr="00904869">
        <w:rPr>
          <w:rFonts w:eastAsia="Times New Roman"/>
          <w:spacing w:val="-2"/>
          <w:szCs w:val="28"/>
          <w:lang w:eastAsia="ru-RU"/>
        </w:rPr>
        <w:t>комплектован</w:t>
      </w:r>
      <w:r>
        <w:rPr>
          <w:rFonts w:eastAsia="Times New Roman"/>
          <w:spacing w:val="-2"/>
          <w:szCs w:val="28"/>
          <w:lang w:eastAsia="ru-RU"/>
        </w:rPr>
        <w:t>ості штатних посад Л</w:t>
      </w:r>
      <w:r w:rsidR="00294F56">
        <w:rPr>
          <w:rFonts w:eastAsia="Times New Roman"/>
          <w:spacing w:val="-2"/>
          <w:szCs w:val="28"/>
          <w:lang w:eastAsia="ru-RU"/>
        </w:rPr>
        <w:t>ЗП-</w:t>
      </w:r>
      <w:r w:rsidRPr="00904869">
        <w:rPr>
          <w:rFonts w:eastAsia="Times New Roman"/>
          <w:spacing w:val="-2"/>
          <w:szCs w:val="28"/>
          <w:lang w:eastAsia="ru-RU"/>
        </w:rPr>
        <w:t>СЛ</w:t>
      </w:r>
      <w:r>
        <w:rPr>
          <w:rFonts w:eastAsia="Times New Roman"/>
          <w:spacing w:val="-2"/>
          <w:szCs w:val="28"/>
          <w:lang w:eastAsia="ru-RU"/>
        </w:rPr>
        <w:t xml:space="preserve"> (</w:t>
      </w:r>
      <w:r w:rsidRPr="00904869">
        <w:rPr>
          <w:rFonts w:eastAsia="Times New Roman"/>
          <w:spacing w:val="-2"/>
          <w:szCs w:val="28"/>
          <w:lang w:eastAsia="ru-RU"/>
        </w:rPr>
        <w:t xml:space="preserve">з </w:t>
      </w:r>
      <w:r w:rsidRPr="00FC774F">
        <w:rPr>
          <w:rFonts w:eastAsia="Times New Roman"/>
          <w:spacing w:val="-2"/>
          <w:szCs w:val="28"/>
          <w:lang w:eastAsia="ru-RU"/>
        </w:rPr>
        <w:t>85,86% у 2014</w:t>
      </w:r>
      <w:r w:rsidR="00B63F5F">
        <w:rPr>
          <w:rFonts w:eastAsia="Times New Roman"/>
          <w:spacing w:val="-2"/>
          <w:szCs w:val="28"/>
          <w:lang w:eastAsia="ru-RU"/>
        </w:rPr>
        <w:t xml:space="preserve"> р. </w:t>
      </w:r>
      <w:r w:rsidRPr="00FC774F">
        <w:rPr>
          <w:rFonts w:eastAsia="Times New Roman"/>
          <w:spacing w:val="-2"/>
          <w:szCs w:val="28"/>
          <w:lang w:eastAsia="ru-RU"/>
        </w:rPr>
        <w:t>до 82,11%</w:t>
      </w:r>
      <w:r>
        <w:rPr>
          <w:rFonts w:eastAsia="Times New Roman"/>
          <w:spacing w:val="-2"/>
          <w:szCs w:val="28"/>
          <w:lang w:eastAsia="ru-RU"/>
        </w:rPr>
        <w:t xml:space="preserve"> у 2018 р.). При цьому спостерігається певна диспропорція за вищезазначеними показниками за регіонами України. Гранична різниця укомплектованості штатних посад 1,38 рази, укомплектованості штатів фізичними особами 1,68 рази. Найвищі показники укомплектованості у 2018 р. спостерігаються у Львівській області (96,34% і 90,85% відповідно) при найнижчих у Херсонській області (70,03% і 54,18% відповідно). За період дослідження укомплектованість штатних посад зросла в 3-х областях України: Вінницькій (на 1,79%), Кіровоградській (на 13,45%), Чернігівській (на 2,42%), в інших областях спостерігалось зниженн</w:t>
      </w:r>
      <w:r w:rsidR="00D83C58">
        <w:rPr>
          <w:rFonts w:eastAsia="Times New Roman"/>
          <w:spacing w:val="-2"/>
          <w:szCs w:val="28"/>
          <w:lang w:eastAsia="ru-RU"/>
        </w:rPr>
        <w:t xml:space="preserve">я показника в порівнянні з 2014 </w:t>
      </w:r>
      <w:r>
        <w:rPr>
          <w:rFonts w:eastAsia="Times New Roman"/>
          <w:spacing w:val="-2"/>
          <w:szCs w:val="28"/>
          <w:lang w:eastAsia="ru-RU"/>
        </w:rPr>
        <w:t>р</w:t>
      </w:r>
      <w:r w:rsidR="00503C66">
        <w:rPr>
          <w:rFonts w:eastAsia="Times New Roman"/>
          <w:spacing w:val="-2"/>
          <w:szCs w:val="28"/>
          <w:lang w:eastAsia="ru-RU"/>
        </w:rPr>
        <w:t>. Укомплектованість штатів (ЛЗП-</w:t>
      </w:r>
      <w:r>
        <w:rPr>
          <w:rFonts w:eastAsia="Times New Roman"/>
          <w:spacing w:val="-2"/>
          <w:szCs w:val="28"/>
          <w:lang w:eastAsia="ru-RU"/>
        </w:rPr>
        <w:t xml:space="preserve">СЛ) фізичними особами зросла у більшості регіонів, за виключенням зниження даного показника у 2018 р. в порівнянні з 2014 р. у  Дніпропетровській (на 4,22%), Донецькій (на 1,61%), Закарпатській (на 2,32%), Запорізькій (на 4,37%), Київській (на 2,13%), Львівській (на 0,82%), Миколаївській (на 4,61%), Херсонській (на 0,6%), Чернівецькій (на 0,02%) областях та  м. Київ (на 4,72%). Рівень забезпеченості ЛЗП-СЛ протягом 2014-2018 рр. зріс як в </w:t>
      </w:r>
      <w:r w:rsidR="00B075DE">
        <w:rPr>
          <w:rFonts w:eastAsia="Times New Roman"/>
          <w:spacing w:val="-2"/>
          <w:szCs w:val="28"/>
          <w:lang w:eastAsia="ru-RU"/>
        </w:rPr>
        <w:t xml:space="preserve">цілому в </w:t>
      </w:r>
      <w:r>
        <w:rPr>
          <w:rFonts w:eastAsia="Times New Roman"/>
          <w:spacing w:val="-2"/>
          <w:szCs w:val="28"/>
          <w:lang w:eastAsia="ru-RU"/>
        </w:rPr>
        <w:t>Україні (на 22,2%, з 2,89 на 10 тис. населення у 2014</w:t>
      </w:r>
      <w:r w:rsidR="00D83C58">
        <w:rPr>
          <w:rFonts w:eastAsia="Times New Roman"/>
          <w:spacing w:val="-2"/>
          <w:szCs w:val="28"/>
          <w:lang w:eastAsia="ru-RU"/>
        </w:rPr>
        <w:t xml:space="preserve"> р. </w:t>
      </w:r>
      <w:r>
        <w:rPr>
          <w:rFonts w:eastAsia="Times New Roman"/>
          <w:spacing w:val="-2"/>
          <w:szCs w:val="28"/>
          <w:lang w:eastAsia="ru-RU"/>
        </w:rPr>
        <w:t>до 3,53 відповідно у 2018 р.)</w:t>
      </w:r>
      <w:r w:rsidR="009529F2">
        <w:rPr>
          <w:rFonts w:eastAsia="Times New Roman"/>
          <w:spacing w:val="-2"/>
          <w:szCs w:val="28"/>
          <w:lang w:eastAsia="ru-RU"/>
        </w:rPr>
        <w:t>,</w:t>
      </w:r>
      <w:r>
        <w:rPr>
          <w:rFonts w:eastAsia="Times New Roman"/>
          <w:spacing w:val="-2"/>
          <w:szCs w:val="28"/>
          <w:lang w:eastAsia="ru-RU"/>
        </w:rPr>
        <w:t xml:space="preserve"> </w:t>
      </w:r>
      <w:r>
        <w:rPr>
          <w:rFonts w:eastAsia="Times New Roman"/>
          <w:spacing w:val="-2"/>
          <w:szCs w:val="28"/>
          <w:lang w:eastAsia="ru-RU"/>
        </w:rPr>
        <w:lastRenderedPageBreak/>
        <w:t>так і за її регіонами, за виключенням Чернівецької області (зниження на 1,75%, 5,14 і 5,05 відповідно), найвищий рівень забезпеченості ЛЗП-СЛ у 2018 р. спостерігався у Вінницькій області (5,37</w:t>
      </w:r>
      <w:r w:rsidRPr="00F46831">
        <w:t xml:space="preserve"> </w:t>
      </w:r>
      <w:r w:rsidRPr="00F46831">
        <w:rPr>
          <w:rFonts w:eastAsia="Times New Roman"/>
          <w:spacing w:val="-2"/>
          <w:szCs w:val="28"/>
          <w:lang w:eastAsia="ru-RU"/>
        </w:rPr>
        <w:t>на 10 тис. населення</w:t>
      </w:r>
      <w:r>
        <w:rPr>
          <w:rFonts w:eastAsia="Times New Roman"/>
          <w:spacing w:val="-2"/>
          <w:szCs w:val="28"/>
          <w:lang w:eastAsia="ru-RU"/>
        </w:rPr>
        <w:t>). В структурі</w:t>
      </w:r>
      <w:r w:rsidRPr="00341752">
        <w:rPr>
          <w:rFonts w:eastAsia="Times New Roman"/>
          <w:spacing w:val="-2"/>
          <w:szCs w:val="28"/>
          <w:lang w:eastAsia="ru-RU"/>
        </w:rPr>
        <w:t xml:space="preserve"> лікар</w:t>
      </w:r>
      <w:r>
        <w:rPr>
          <w:rFonts w:eastAsia="Times New Roman"/>
          <w:spacing w:val="-2"/>
          <w:szCs w:val="28"/>
          <w:lang w:eastAsia="ru-RU"/>
        </w:rPr>
        <w:t>ських кадрів Укр</w:t>
      </w:r>
      <w:r w:rsidR="007825C7">
        <w:rPr>
          <w:rFonts w:eastAsia="Times New Roman"/>
          <w:spacing w:val="-2"/>
          <w:szCs w:val="28"/>
          <w:lang w:eastAsia="ru-RU"/>
        </w:rPr>
        <w:t xml:space="preserve">аїни за спеціальностями частка  </w:t>
      </w:r>
      <w:r w:rsidR="00C42D9C">
        <w:rPr>
          <w:rFonts w:eastAsia="Times New Roman"/>
          <w:spacing w:val="-2"/>
          <w:szCs w:val="28"/>
          <w:lang w:eastAsia="ru-RU"/>
        </w:rPr>
        <w:t xml:space="preserve">ЛЗП-СЛ зросла з 7,7% в 2014 р. </w:t>
      </w:r>
      <w:r>
        <w:rPr>
          <w:rFonts w:eastAsia="Times New Roman"/>
          <w:spacing w:val="-2"/>
          <w:szCs w:val="28"/>
          <w:lang w:eastAsia="ru-RU"/>
        </w:rPr>
        <w:t>до 9,4% у 2018 р</w:t>
      </w:r>
      <w:r w:rsidRPr="00AB5FBA">
        <w:rPr>
          <w:rFonts w:eastAsia="Times New Roman"/>
          <w:spacing w:val="-2"/>
          <w:szCs w:val="28"/>
          <w:lang w:eastAsia="ru-RU"/>
        </w:rPr>
        <w:t>. (</w:t>
      </w:r>
      <w:r w:rsidR="0003729C" w:rsidRPr="00AB5FBA">
        <w:rPr>
          <w:rFonts w:eastAsia="Times New Roman"/>
          <w:spacing w:val="-2"/>
          <w:szCs w:val="28"/>
          <w:lang w:eastAsia="ru-RU"/>
        </w:rPr>
        <w:t>Додаток Г</w:t>
      </w:r>
      <w:r w:rsidR="007644A3" w:rsidRPr="00AB5FBA">
        <w:rPr>
          <w:rFonts w:eastAsia="Times New Roman"/>
          <w:spacing w:val="-2"/>
          <w:szCs w:val="28"/>
          <w:lang w:eastAsia="ru-RU"/>
        </w:rPr>
        <w:t>-</w:t>
      </w:r>
      <w:r w:rsidR="007644A3" w:rsidRPr="00AB5FBA">
        <w:rPr>
          <w:rFonts w:eastAsia="Times New Roman"/>
          <w:spacing w:val="-2"/>
          <w:szCs w:val="28"/>
          <w:lang w:val="ru-RU" w:eastAsia="ru-RU"/>
        </w:rPr>
        <w:t>4</w:t>
      </w:r>
      <w:r w:rsidRPr="00AB5FBA">
        <w:rPr>
          <w:rFonts w:eastAsia="Times New Roman"/>
          <w:spacing w:val="-2"/>
          <w:szCs w:val="28"/>
          <w:lang w:eastAsia="ru-RU"/>
        </w:rPr>
        <w:t>).</w:t>
      </w:r>
    </w:p>
    <w:p w:rsidR="00A71F7A" w:rsidRPr="003E3D36" w:rsidRDefault="008A6C77" w:rsidP="003E3D36">
      <w:pPr>
        <w:widowControl w:val="0"/>
        <w:autoSpaceDE w:val="0"/>
        <w:autoSpaceDN w:val="0"/>
        <w:ind w:firstLine="709"/>
        <w:rPr>
          <w:rFonts w:eastAsia="Times New Roman"/>
          <w:szCs w:val="28"/>
        </w:rPr>
      </w:pPr>
      <w:r>
        <w:rPr>
          <w:rFonts w:eastAsia="Times New Roman"/>
          <w:szCs w:val="28"/>
        </w:rPr>
        <w:t>Протягом 2014-2018 рр. спостерігалось зростання штатних посад середнього медичного персоналу ЦПМСД на 4,2% (з 45797,5 у 2014 р. до 47712,25), що пов’язано з розвитком мережі ЦПМСД, при зниженні зайнятих посад на 0,46% (з 4</w:t>
      </w:r>
      <w:r w:rsidR="00D83C58">
        <w:rPr>
          <w:rFonts w:eastAsia="Times New Roman"/>
          <w:szCs w:val="28"/>
        </w:rPr>
        <w:t>2209.25 до 42015,75 відповідно)</w:t>
      </w:r>
      <w:r>
        <w:rPr>
          <w:rFonts w:eastAsia="Times New Roman"/>
          <w:szCs w:val="28"/>
        </w:rPr>
        <w:t xml:space="preserve"> та зниженні показника укомплектованості штатних посад середнього медичного пер</w:t>
      </w:r>
      <w:r w:rsidR="00BC5FF5">
        <w:rPr>
          <w:rFonts w:eastAsia="Times New Roman"/>
          <w:szCs w:val="28"/>
        </w:rPr>
        <w:t>соналу зайнятими з 92,2% до 88,2</w:t>
      </w:r>
      <w:r>
        <w:rPr>
          <w:rFonts w:eastAsia="Times New Roman"/>
          <w:szCs w:val="28"/>
        </w:rPr>
        <w:t xml:space="preserve">%. </w:t>
      </w:r>
    </w:p>
    <w:p w:rsidR="006738F0" w:rsidRDefault="006738F0" w:rsidP="00721203">
      <w:pPr>
        <w:widowControl w:val="0"/>
        <w:ind w:firstLine="708"/>
        <w:rPr>
          <w:rFonts w:eastAsia="Times New Roman"/>
          <w:szCs w:val="28"/>
          <w:lang w:eastAsia="ru-RU"/>
        </w:rPr>
      </w:pPr>
      <w:r w:rsidRPr="00006A39">
        <w:rPr>
          <w:rFonts w:eastAsia="Times New Roman"/>
          <w:szCs w:val="28"/>
          <w:lang w:eastAsia="ru-RU"/>
        </w:rPr>
        <w:t xml:space="preserve">Аналіз медіанного </w:t>
      </w:r>
      <w:r w:rsidR="00F16B73" w:rsidRPr="00006A39">
        <w:rPr>
          <w:rFonts w:eastAsia="Times New Roman"/>
          <w:szCs w:val="28"/>
          <w:lang w:eastAsia="ru-RU"/>
        </w:rPr>
        <w:t xml:space="preserve">значення </w:t>
      </w:r>
      <w:r w:rsidRPr="00006A39">
        <w:rPr>
          <w:rFonts w:eastAsia="Times New Roman"/>
          <w:szCs w:val="28"/>
          <w:lang w:eastAsia="ru-RU"/>
        </w:rPr>
        <w:t>показника забезпеченості педіатрами за 2014-2018</w:t>
      </w:r>
      <w:r w:rsidR="003E553F">
        <w:t> </w:t>
      </w:r>
      <w:r w:rsidR="008E2F0C">
        <w:rPr>
          <w:rFonts w:eastAsia="Times New Roman"/>
          <w:szCs w:val="28"/>
          <w:lang w:eastAsia="ru-RU"/>
        </w:rPr>
        <w:t>рр. засвідчив його зниження,</w:t>
      </w:r>
      <w:r w:rsidRPr="00006A39">
        <w:rPr>
          <w:rFonts w:eastAsia="Times New Roman"/>
          <w:szCs w:val="28"/>
          <w:lang w:eastAsia="ru-RU"/>
        </w:rPr>
        <w:t xml:space="preserve"> яке не мало статис</w:t>
      </w:r>
      <w:r w:rsidR="00DA27C2">
        <w:rPr>
          <w:rFonts w:eastAsia="Times New Roman"/>
          <w:szCs w:val="28"/>
          <w:lang w:eastAsia="ru-RU"/>
        </w:rPr>
        <w:t>тичного значення (р=0,256)</w:t>
      </w:r>
      <w:r w:rsidRPr="00006A39">
        <w:rPr>
          <w:rFonts w:eastAsia="Times New Roman"/>
          <w:szCs w:val="28"/>
          <w:lang w:eastAsia="ru-RU"/>
        </w:rPr>
        <w:t xml:space="preserve">. При цьому, слід відмітити й однаковий міжквартильний </w:t>
      </w:r>
      <w:r w:rsidR="000E5D02" w:rsidRPr="00006A39">
        <w:rPr>
          <w:rFonts w:eastAsia="Times New Roman"/>
          <w:szCs w:val="28"/>
          <w:lang w:eastAsia="ru-RU"/>
        </w:rPr>
        <w:t>розмах (</w:t>
      </w:r>
      <w:r w:rsidR="00F16B73" w:rsidRPr="00006A39">
        <w:rPr>
          <w:rFonts w:eastAsia="Times New Roman"/>
          <w:szCs w:val="28"/>
          <w:lang w:eastAsia="ru-RU"/>
        </w:rPr>
        <w:t>Q</w:t>
      </w:r>
      <w:r w:rsidR="00F16B73" w:rsidRPr="00006A39">
        <w:rPr>
          <w:rFonts w:eastAsia="Times New Roman"/>
          <w:szCs w:val="28"/>
          <w:vertAlign w:val="subscript"/>
          <w:lang w:eastAsia="ru-RU"/>
        </w:rPr>
        <w:t>1</w:t>
      </w:r>
      <w:r w:rsidR="00F16B73" w:rsidRPr="00006A39">
        <w:rPr>
          <w:rFonts w:eastAsia="Times New Roman"/>
          <w:szCs w:val="28"/>
          <w:lang w:eastAsia="ru-RU"/>
        </w:rPr>
        <w:t>-Q</w:t>
      </w:r>
      <w:r w:rsidR="00F16B73" w:rsidRPr="00006A39">
        <w:rPr>
          <w:rFonts w:eastAsia="Times New Roman"/>
          <w:szCs w:val="28"/>
          <w:vertAlign w:val="subscript"/>
          <w:lang w:eastAsia="ru-RU"/>
        </w:rPr>
        <w:t>3</w:t>
      </w:r>
      <w:r w:rsidR="00F16B73" w:rsidRPr="00006A39">
        <w:rPr>
          <w:rFonts w:eastAsia="Times New Roman"/>
          <w:szCs w:val="28"/>
          <w:lang w:eastAsia="ru-RU"/>
        </w:rPr>
        <w:t>)</w:t>
      </w:r>
      <w:r w:rsidRPr="00006A39">
        <w:rPr>
          <w:rFonts w:eastAsia="Times New Roman"/>
          <w:szCs w:val="28"/>
          <w:lang w:eastAsia="ru-RU"/>
        </w:rPr>
        <w:t xml:space="preserve"> даного показника, що свідчить про </w:t>
      </w:r>
      <w:r w:rsidR="00C42D9C">
        <w:rPr>
          <w:rFonts w:eastAsia="Times New Roman"/>
          <w:szCs w:val="28"/>
          <w:lang w:eastAsia="ru-RU"/>
        </w:rPr>
        <w:t>пролонгацію відмінностей у дан</w:t>
      </w:r>
      <w:r w:rsidR="00F16B73" w:rsidRPr="00006A39">
        <w:rPr>
          <w:rFonts w:eastAsia="Times New Roman"/>
          <w:szCs w:val="28"/>
          <w:lang w:eastAsia="ru-RU"/>
        </w:rPr>
        <w:t xml:space="preserve">ому варіаційному </w:t>
      </w:r>
      <w:r w:rsidR="00006A39" w:rsidRPr="00006A39">
        <w:rPr>
          <w:rFonts w:eastAsia="Times New Roman"/>
          <w:szCs w:val="28"/>
          <w:lang w:eastAsia="ru-RU"/>
        </w:rPr>
        <w:t>ряду</w:t>
      </w:r>
      <w:r w:rsidR="00DA27C2">
        <w:rPr>
          <w:rFonts w:eastAsia="Times New Roman"/>
          <w:szCs w:val="28"/>
          <w:lang w:val="ru-RU" w:eastAsia="ru-RU"/>
        </w:rPr>
        <w:t xml:space="preserve"> (рис. 5.3)</w:t>
      </w:r>
      <w:r w:rsidRPr="00006A39">
        <w:rPr>
          <w:rFonts w:eastAsia="Times New Roman"/>
          <w:szCs w:val="28"/>
          <w:lang w:eastAsia="ru-RU"/>
        </w:rPr>
        <w:t xml:space="preserve">. </w:t>
      </w:r>
    </w:p>
    <w:p w:rsidR="003473C6" w:rsidRPr="00AB5FBA" w:rsidRDefault="003473C6" w:rsidP="003473C6">
      <w:pPr>
        <w:widowControl w:val="0"/>
        <w:ind w:firstLine="708"/>
        <w:rPr>
          <w:rFonts w:eastAsia="Times New Roman"/>
          <w:szCs w:val="28"/>
          <w:lang w:eastAsia="ru-RU"/>
        </w:rPr>
      </w:pPr>
      <w:r w:rsidRPr="00006A39">
        <w:rPr>
          <w:rFonts w:eastAsia="Times New Roman"/>
          <w:szCs w:val="28"/>
          <w:lang w:eastAsia="ru-RU"/>
        </w:rPr>
        <w:t xml:space="preserve">Встановлено регіональну диспропорцію рівнів забезпеченості дитячого населення лікарями-педіатрами, при цьому гранична різниця у значеннях даного показника у 2018 р. становила 3,74 рази (м. Київ – 1,76 на 1000 дитячого населення, Закарпатська область – 0,47 відповідно). Найбільшу спадну динаміку рівня забезпеченості лікарями-педіатрами дитячого населення за 2014-2018 рр. зафіксовано у м. Києві (на 22,47%), у Львівській (на 19,15%), Миколаївській (на 17,2%), у Харківській (на 16,95%), Дніпропетровській (на 16,83%), у Хмельницькій (на 16, 79%) областях </w:t>
      </w:r>
      <w:r w:rsidRPr="00AB5FBA">
        <w:rPr>
          <w:rFonts w:eastAsia="Times New Roman"/>
          <w:szCs w:val="28"/>
          <w:lang w:eastAsia="ru-RU"/>
        </w:rPr>
        <w:t>(Додаток</w:t>
      </w:r>
      <w:r w:rsidR="0003729C" w:rsidRPr="00AB5FBA">
        <w:rPr>
          <w:rFonts w:eastAsia="Times New Roman"/>
          <w:szCs w:val="28"/>
          <w:lang w:val="ru-RU" w:eastAsia="ru-RU"/>
        </w:rPr>
        <w:t xml:space="preserve"> Г</w:t>
      </w:r>
      <w:r w:rsidR="007644A3" w:rsidRPr="00AB5FBA">
        <w:rPr>
          <w:rFonts w:eastAsia="Times New Roman"/>
          <w:szCs w:val="28"/>
          <w:lang w:val="ru-RU" w:eastAsia="ru-RU"/>
        </w:rPr>
        <w:t>-5</w:t>
      </w:r>
      <w:r w:rsidRPr="00AB5FBA">
        <w:rPr>
          <w:rFonts w:eastAsia="Times New Roman"/>
          <w:szCs w:val="28"/>
          <w:lang w:eastAsia="ru-RU"/>
        </w:rPr>
        <w:t>).</w:t>
      </w:r>
    </w:p>
    <w:p w:rsidR="003473C6" w:rsidRPr="00AB5FBA" w:rsidRDefault="00BC5FF5" w:rsidP="00BC5FF5">
      <w:pPr>
        <w:widowControl w:val="0"/>
        <w:ind w:firstLine="709"/>
        <w:rPr>
          <w:rFonts w:eastAsia="Times New Roman"/>
          <w:bCs/>
          <w:szCs w:val="28"/>
          <w:lang w:eastAsia="ru-RU"/>
        </w:rPr>
      </w:pPr>
      <w:r w:rsidRPr="00AB5FBA">
        <w:rPr>
          <w:rFonts w:eastAsia="Times New Roman"/>
          <w:szCs w:val="28"/>
          <w:lang w:eastAsia="ru-RU"/>
        </w:rPr>
        <w:t xml:space="preserve">Що стосується медіанного показника забезпеченості </w:t>
      </w:r>
      <w:r w:rsidRPr="00AB5FBA">
        <w:rPr>
          <w:rFonts w:eastAsia="Times New Roman"/>
          <w:bCs/>
          <w:szCs w:val="28"/>
          <w:lang w:eastAsia="ru-RU"/>
        </w:rPr>
        <w:t>дитячого населення дільничними педіатрами,</w:t>
      </w:r>
      <w:r w:rsidR="00641E8E" w:rsidRPr="00AB5FBA">
        <w:rPr>
          <w:rFonts w:eastAsia="Times New Roman"/>
          <w:bCs/>
          <w:szCs w:val="28"/>
          <w:lang w:val="ru-RU" w:eastAsia="ru-RU"/>
        </w:rPr>
        <w:t xml:space="preserve">  які ще </w:t>
      </w:r>
      <w:r w:rsidR="00DA26C2">
        <w:rPr>
          <w:rFonts w:eastAsia="Times New Roman"/>
          <w:bCs/>
          <w:szCs w:val="28"/>
          <w:lang w:val="ru-RU" w:eastAsia="ru-RU"/>
        </w:rPr>
        <w:t>продовжують надавати</w:t>
      </w:r>
      <w:r w:rsidR="00641E8E" w:rsidRPr="00AB5FBA">
        <w:rPr>
          <w:rFonts w:eastAsia="Times New Roman"/>
          <w:bCs/>
          <w:szCs w:val="28"/>
          <w:lang w:val="ru-RU" w:eastAsia="ru-RU"/>
        </w:rPr>
        <w:t xml:space="preserve"> медичну допомогу,</w:t>
      </w:r>
      <w:r w:rsidR="00641E8E" w:rsidRPr="00AB5FBA">
        <w:rPr>
          <w:rFonts w:eastAsia="Times New Roman"/>
          <w:bCs/>
          <w:szCs w:val="28"/>
          <w:lang w:eastAsia="ru-RU"/>
        </w:rPr>
        <w:t xml:space="preserve"> </w:t>
      </w:r>
      <w:r w:rsidRPr="00AB5FBA">
        <w:rPr>
          <w:rFonts w:eastAsia="Times New Roman"/>
          <w:bCs/>
          <w:szCs w:val="28"/>
          <w:lang w:eastAsia="ru-RU"/>
        </w:rPr>
        <w:t>упродовж 2014-2018 рр. він достовірно не зменшився (р=0,522), але відмінності даного показника в окремих областях від медіанного значення по Україні дещо змен</w:t>
      </w:r>
      <w:r w:rsidR="00DA26C2">
        <w:rPr>
          <w:rFonts w:eastAsia="Times New Roman"/>
          <w:bCs/>
          <w:szCs w:val="28"/>
          <w:lang w:eastAsia="ru-RU"/>
        </w:rPr>
        <w:t>шились, оскільки міжквартильний ро</w:t>
      </w:r>
      <w:r w:rsidRPr="00AB5FBA">
        <w:rPr>
          <w:rFonts w:eastAsia="Times New Roman"/>
          <w:bCs/>
          <w:szCs w:val="28"/>
          <w:lang w:eastAsia="ru-RU"/>
        </w:rPr>
        <w:t>зм</w:t>
      </w:r>
      <w:r w:rsidR="00E12D79">
        <w:rPr>
          <w:rFonts w:eastAsia="Times New Roman"/>
          <w:bCs/>
          <w:szCs w:val="28"/>
          <w:lang w:eastAsia="ru-RU"/>
        </w:rPr>
        <w:t>ах</w:t>
      </w:r>
      <w:r w:rsidRPr="00AB5FBA">
        <w:rPr>
          <w:rFonts w:eastAsia="Times New Roman"/>
          <w:bCs/>
          <w:szCs w:val="28"/>
          <w:lang w:eastAsia="ru-RU"/>
        </w:rPr>
        <w:t xml:space="preserve"> у 2014 р. становив 3,5, а в 2018 р. – 2,8 (рис.</w:t>
      </w:r>
      <w:r w:rsidR="0026364A">
        <w:rPr>
          <w:rFonts w:eastAsia="Times New Roman"/>
          <w:bCs/>
          <w:szCs w:val="28"/>
          <w:lang w:eastAsia="ru-RU"/>
        </w:rPr>
        <w:t xml:space="preserve"> </w:t>
      </w:r>
      <w:r w:rsidRPr="00AB5FBA">
        <w:rPr>
          <w:rFonts w:eastAsia="Times New Roman"/>
          <w:bCs/>
          <w:szCs w:val="28"/>
          <w:lang w:eastAsia="ru-RU"/>
        </w:rPr>
        <w:t>5.4</w:t>
      </w:r>
      <w:r w:rsidR="00DA27C2" w:rsidRPr="00AB5FBA">
        <w:rPr>
          <w:rFonts w:eastAsia="Times New Roman"/>
          <w:bCs/>
          <w:szCs w:val="28"/>
          <w:lang w:val="ru-RU" w:eastAsia="ru-RU"/>
        </w:rPr>
        <w:t xml:space="preserve">, </w:t>
      </w:r>
      <w:r w:rsidR="0003729C" w:rsidRPr="00AB5FBA">
        <w:rPr>
          <w:rFonts w:eastAsia="Times New Roman"/>
          <w:bCs/>
          <w:szCs w:val="28"/>
          <w:lang w:val="ru-RU" w:eastAsia="ru-RU"/>
        </w:rPr>
        <w:t>Додаток Г</w:t>
      </w:r>
      <w:r w:rsidR="007644A3" w:rsidRPr="00AB5FBA">
        <w:rPr>
          <w:rFonts w:eastAsia="Times New Roman"/>
          <w:bCs/>
          <w:szCs w:val="28"/>
          <w:lang w:val="ru-RU" w:eastAsia="ru-RU"/>
        </w:rPr>
        <w:t>-6</w:t>
      </w:r>
      <w:r w:rsidRPr="00AB5FBA">
        <w:rPr>
          <w:rFonts w:eastAsia="Times New Roman"/>
          <w:bCs/>
          <w:szCs w:val="28"/>
          <w:lang w:eastAsia="ru-RU"/>
        </w:rPr>
        <w:t xml:space="preserve">). </w:t>
      </w:r>
    </w:p>
    <w:p w:rsidR="006738F0" w:rsidRPr="00006A39" w:rsidRDefault="006738F0" w:rsidP="00721203">
      <w:pPr>
        <w:widowControl w:val="0"/>
        <w:ind w:firstLine="708"/>
        <w:rPr>
          <w:rFonts w:eastAsia="Times New Roman"/>
          <w:szCs w:val="28"/>
          <w:lang w:eastAsia="ru-RU"/>
        </w:rPr>
      </w:pPr>
      <w:r w:rsidRPr="00006A39">
        <w:rPr>
          <w:rFonts w:eastAsia="Times New Roman"/>
          <w:noProof/>
          <w:szCs w:val="28"/>
          <w:lang w:val="ru-RU" w:eastAsia="ru-RU"/>
        </w:rPr>
        <w:lastRenderedPageBreak/>
        <mc:AlternateContent>
          <mc:Choice Requires="wps">
            <w:drawing>
              <wp:anchor distT="0" distB="0" distL="114300" distR="114300" simplePos="0" relativeHeight="251683840" behindDoc="0" locked="0" layoutInCell="1" allowOverlap="1" wp14:anchorId="7DFB42BE" wp14:editId="2B3C61D8">
                <wp:simplePos x="0" y="0"/>
                <wp:positionH relativeFrom="column">
                  <wp:posOffset>4044315</wp:posOffset>
                </wp:positionH>
                <wp:positionV relativeFrom="paragraph">
                  <wp:posOffset>350520</wp:posOffset>
                </wp:positionV>
                <wp:extent cx="683895" cy="478790"/>
                <wp:effectExtent l="0" t="0" r="0" b="0"/>
                <wp:wrapNone/>
                <wp:docPr id="59" name="Надпись 59"/>
                <wp:cNvGraphicFramePr/>
                <a:graphic xmlns:a="http://schemas.openxmlformats.org/drawingml/2006/main">
                  <a:graphicData uri="http://schemas.microsoft.com/office/word/2010/wordprocessingShape">
                    <wps:wsp>
                      <wps:cNvSpPr txBox="1"/>
                      <wps:spPr>
                        <a:xfrm>
                          <a:off x="0" y="0"/>
                          <a:ext cx="683895" cy="478790"/>
                        </a:xfrm>
                        <a:prstGeom prst="rect">
                          <a:avLst/>
                        </a:prstGeom>
                        <a:noFill/>
                        <a:ln w="6350">
                          <a:noFill/>
                        </a:ln>
                      </wps:spPr>
                      <wps:txbx>
                        <w:txbxContent>
                          <w:p w:rsidR="001E1DF5" w:rsidRPr="00B610DE" w:rsidRDefault="001E1DF5" w:rsidP="006738F0">
                            <w:pPr>
                              <w:spacing w:line="200" w:lineRule="exact"/>
                              <w:rPr>
                                <w:sz w:val="20"/>
                                <w:szCs w:val="20"/>
                                <w:lang w:val="ru-RU"/>
                              </w:rPr>
                            </w:pPr>
                            <w:r w:rsidRPr="00BC68A9">
                              <w:rPr>
                                <w:sz w:val="20"/>
                                <w:szCs w:val="20"/>
                              </w:rPr>
                              <w:t>Ме=</w:t>
                            </w:r>
                            <w:r>
                              <w:rPr>
                                <w:sz w:val="20"/>
                                <w:szCs w:val="20"/>
                                <w:lang w:val="ru-RU"/>
                              </w:rPr>
                              <w:t>1,14</w:t>
                            </w:r>
                          </w:p>
                          <w:p w:rsidR="001E1DF5" w:rsidRPr="00B610DE" w:rsidRDefault="001E1DF5" w:rsidP="006738F0">
                            <w:pPr>
                              <w:spacing w:line="200" w:lineRule="exact"/>
                              <w:rPr>
                                <w:sz w:val="20"/>
                                <w:szCs w:val="20"/>
                                <w:lang w:val="ru-RU"/>
                              </w:rPr>
                            </w:pPr>
                            <w:r w:rsidRPr="00BC68A9">
                              <w:rPr>
                                <w:sz w:val="20"/>
                                <w:szCs w:val="20"/>
                                <w:lang w:val="en-US"/>
                              </w:rPr>
                              <w:t>Q</w:t>
                            </w:r>
                            <w:r w:rsidRPr="00B610DE">
                              <w:rPr>
                                <w:sz w:val="20"/>
                                <w:szCs w:val="20"/>
                                <w:vertAlign w:val="subscript"/>
                                <w:lang w:val="en-US"/>
                              </w:rPr>
                              <w:t>1</w:t>
                            </w:r>
                            <w:r w:rsidRPr="00BC68A9">
                              <w:rPr>
                                <w:sz w:val="20"/>
                                <w:szCs w:val="20"/>
                                <w:lang w:val="en-US"/>
                              </w:rPr>
                              <w:t>=</w:t>
                            </w:r>
                            <w:r>
                              <w:rPr>
                                <w:sz w:val="20"/>
                                <w:szCs w:val="20"/>
                                <w:lang w:val="ru-RU"/>
                              </w:rPr>
                              <w:t>0</w:t>
                            </w:r>
                            <w:proofErr w:type="gramStart"/>
                            <w:r>
                              <w:rPr>
                                <w:sz w:val="20"/>
                                <w:szCs w:val="20"/>
                                <w:lang w:val="ru-RU"/>
                              </w:rPr>
                              <w:t>,92</w:t>
                            </w:r>
                            <w:proofErr w:type="gramEnd"/>
                          </w:p>
                          <w:p w:rsidR="001E1DF5" w:rsidRPr="00B610DE" w:rsidRDefault="001E1DF5" w:rsidP="006738F0">
                            <w:pPr>
                              <w:spacing w:line="200" w:lineRule="exact"/>
                              <w:rPr>
                                <w:sz w:val="20"/>
                                <w:szCs w:val="20"/>
                                <w:lang w:val="ru-RU"/>
                              </w:rPr>
                            </w:pPr>
                            <w:r>
                              <w:rPr>
                                <w:sz w:val="20"/>
                                <w:szCs w:val="20"/>
                                <w:lang w:val="en-US"/>
                              </w:rPr>
                              <w:t>Q</w:t>
                            </w:r>
                            <w:r w:rsidRPr="00B610DE">
                              <w:rPr>
                                <w:sz w:val="20"/>
                                <w:szCs w:val="20"/>
                                <w:vertAlign w:val="subscript"/>
                                <w:lang w:val="ru-RU"/>
                              </w:rPr>
                              <w:t>3</w:t>
                            </w:r>
                            <w:r w:rsidRPr="00BC68A9">
                              <w:rPr>
                                <w:sz w:val="20"/>
                                <w:szCs w:val="20"/>
                                <w:lang w:val="en-US"/>
                              </w:rPr>
                              <w:t>=</w:t>
                            </w:r>
                            <w:r>
                              <w:rPr>
                                <w:sz w:val="20"/>
                                <w:szCs w:val="20"/>
                                <w:lang w:val="ru-RU"/>
                              </w:rPr>
                              <w:t>1</w:t>
                            </w:r>
                            <w:proofErr w:type="gramStart"/>
                            <w:r>
                              <w:rPr>
                                <w:sz w:val="20"/>
                                <w:szCs w:val="20"/>
                                <w:lang w:val="ru-RU"/>
                              </w:rPr>
                              <w:t>,32</w:t>
                            </w:r>
                            <w:proofErr w:type="gram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Надпись 59" o:spid="_x0000_s1112" type="#_x0000_t202" style="position:absolute;left:0;text-align:left;margin-left:318.45pt;margin-top:27.6pt;width:53.85pt;height:37.7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" filled="f" stroked="f" strokeweight=".5pt">
                <v:textbox>
                  <w:txbxContent>
                    <w:p w:rsidR="0057431A" w:rsidRPr="00B610DE" w:rsidRDefault="0057431A" w:rsidP="006738F0">
                      <w:pPr>
                        <w:spacing w:line="200" w:lineRule="exact"/>
                        <w:rPr>
                          <w:sz w:val="20"/>
                          <w:szCs w:val="20"/>
                          <w:lang w:val="ru-RU"/>
                        </w:rPr>
                      </w:pPr>
                      <w:r w:rsidRPr="00BC68A9">
                        <w:rPr>
                          <w:sz w:val="20"/>
                          <w:szCs w:val="20"/>
                        </w:rPr>
                        <w:t>Ме=</w:t>
                      </w:r>
                      <w:r>
                        <w:rPr>
                          <w:sz w:val="20"/>
                          <w:szCs w:val="20"/>
                          <w:lang w:val="ru-RU"/>
                        </w:rPr>
                        <w:t>1,14</w:t>
                      </w:r>
                    </w:p>
                    <w:p w:rsidR="0057431A" w:rsidRPr="00B610DE" w:rsidRDefault="0057431A" w:rsidP="006738F0">
                      <w:pPr>
                        <w:spacing w:line="200" w:lineRule="exact"/>
                        <w:rPr>
                          <w:sz w:val="20"/>
                          <w:szCs w:val="20"/>
                          <w:lang w:val="ru-RU"/>
                        </w:rPr>
                      </w:pPr>
                      <w:r w:rsidRPr="00BC68A9">
                        <w:rPr>
                          <w:sz w:val="20"/>
                          <w:szCs w:val="20"/>
                          <w:lang w:val="en-US"/>
                        </w:rPr>
                        <w:t>Q</w:t>
                      </w:r>
                      <w:r w:rsidRPr="00B610DE">
                        <w:rPr>
                          <w:sz w:val="20"/>
                          <w:szCs w:val="20"/>
                          <w:vertAlign w:val="subscript"/>
                          <w:lang w:val="en-US"/>
                        </w:rPr>
                        <w:t>1</w:t>
                      </w:r>
                      <w:r w:rsidRPr="00BC68A9">
                        <w:rPr>
                          <w:sz w:val="20"/>
                          <w:szCs w:val="20"/>
                          <w:lang w:val="en-US"/>
                        </w:rPr>
                        <w:t>=</w:t>
                      </w:r>
                      <w:r>
                        <w:rPr>
                          <w:sz w:val="20"/>
                          <w:szCs w:val="20"/>
                          <w:lang w:val="ru-RU"/>
                        </w:rPr>
                        <w:t>0</w:t>
                      </w:r>
                      <w:proofErr w:type="gramStart"/>
                      <w:r>
                        <w:rPr>
                          <w:sz w:val="20"/>
                          <w:szCs w:val="20"/>
                          <w:lang w:val="ru-RU"/>
                        </w:rPr>
                        <w:t>,92</w:t>
                      </w:r>
                      <w:proofErr w:type="gramEnd"/>
                    </w:p>
                    <w:p w:rsidR="0057431A" w:rsidRPr="00B610DE" w:rsidRDefault="0057431A" w:rsidP="006738F0">
                      <w:pPr>
                        <w:spacing w:line="200" w:lineRule="exact"/>
                        <w:rPr>
                          <w:sz w:val="20"/>
                          <w:szCs w:val="20"/>
                          <w:lang w:val="ru-RU"/>
                        </w:rPr>
                      </w:pPr>
                      <w:r>
                        <w:rPr>
                          <w:sz w:val="20"/>
                          <w:szCs w:val="20"/>
                          <w:lang w:val="en-US"/>
                        </w:rPr>
                        <w:t>Q</w:t>
                      </w:r>
                      <w:r w:rsidRPr="00B610DE">
                        <w:rPr>
                          <w:sz w:val="20"/>
                          <w:szCs w:val="20"/>
                          <w:vertAlign w:val="subscript"/>
                          <w:lang w:val="ru-RU"/>
                        </w:rPr>
                        <w:t>3</w:t>
                      </w:r>
                      <w:r w:rsidRPr="00BC68A9">
                        <w:rPr>
                          <w:sz w:val="20"/>
                          <w:szCs w:val="20"/>
                          <w:lang w:val="en-US"/>
                        </w:rPr>
                        <w:t>=</w:t>
                      </w:r>
                      <w:r>
                        <w:rPr>
                          <w:sz w:val="20"/>
                          <w:szCs w:val="20"/>
                          <w:lang w:val="ru-RU"/>
                        </w:rPr>
                        <w:t>1</w:t>
                      </w:r>
                      <w:proofErr w:type="gramStart"/>
                      <w:r>
                        <w:rPr>
                          <w:sz w:val="20"/>
                          <w:szCs w:val="20"/>
                          <w:lang w:val="ru-RU"/>
                        </w:rPr>
                        <w:t>,32</w:t>
                      </w:r>
                      <w:proofErr w:type="gramEnd"/>
                    </w:p>
                  </w:txbxContent>
                </v:textbox>
              </v:shape>
            </w:pict>
          </mc:Fallback>
        </mc:AlternateContent>
      </w:r>
      <w:r w:rsidRPr="00006A39">
        <w:rPr>
          <w:rFonts w:eastAsia="Times New Roman"/>
          <w:noProof/>
          <w:szCs w:val="28"/>
          <w:lang w:val="ru-RU" w:eastAsia="ru-RU"/>
        </w:rPr>
        <mc:AlternateContent>
          <mc:Choice Requires="wps">
            <w:drawing>
              <wp:anchor distT="0" distB="0" distL="114300" distR="114300" simplePos="0" relativeHeight="251684864" behindDoc="0" locked="0" layoutInCell="1" allowOverlap="1" wp14:anchorId="468267D2" wp14:editId="13D5C0A7">
                <wp:simplePos x="0" y="0"/>
                <wp:positionH relativeFrom="column">
                  <wp:posOffset>1977390</wp:posOffset>
                </wp:positionH>
                <wp:positionV relativeFrom="paragraph">
                  <wp:posOffset>384175</wp:posOffset>
                </wp:positionV>
                <wp:extent cx="771525" cy="478800"/>
                <wp:effectExtent l="0" t="0" r="0" b="0"/>
                <wp:wrapNone/>
                <wp:docPr id="60" name="Надпись 60"/>
                <wp:cNvGraphicFramePr/>
                <a:graphic xmlns:a="http://schemas.openxmlformats.org/drawingml/2006/main">
                  <a:graphicData uri="http://schemas.microsoft.com/office/word/2010/wordprocessingShape">
                    <wps:wsp>
                      <wps:cNvSpPr txBox="1"/>
                      <wps:spPr>
                        <a:xfrm>
                          <a:off x="0" y="0"/>
                          <a:ext cx="771525" cy="478800"/>
                        </a:xfrm>
                        <a:prstGeom prst="rect">
                          <a:avLst/>
                        </a:prstGeom>
                        <a:noFill/>
                        <a:ln w="6350">
                          <a:noFill/>
                        </a:ln>
                      </wps:spPr>
                      <wps:txbx>
                        <w:txbxContent>
                          <w:p w:rsidR="001E1DF5" w:rsidRPr="00BC68A9" w:rsidRDefault="001E1DF5" w:rsidP="006738F0">
                            <w:pPr>
                              <w:spacing w:line="200" w:lineRule="exact"/>
                              <w:rPr>
                                <w:sz w:val="20"/>
                                <w:szCs w:val="20"/>
                              </w:rPr>
                            </w:pPr>
                            <w:r>
                              <w:rPr>
                                <w:sz w:val="20"/>
                                <w:szCs w:val="20"/>
                              </w:rPr>
                              <w:t>Ме=1,3</w:t>
                            </w:r>
                          </w:p>
                          <w:p w:rsidR="001E1DF5" w:rsidRPr="00B610DE" w:rsidRDefault="001E1DF5" w:rsidP="006738F0">
                            <w:pPr>
                              <w:spacing w:line="200" w:lineRule="exact"/>
                              <w:rPr>
                                <w:sz w:val="20"/>
                                <w:szCs w:val="20"/>
                                <w:lang w:val="ru-RU"/>
                              </w:rPr>
                            </w:pPr>
                            <w:r w:rsidRPr="00BC68A9">
                              <w:rPr>
                                <w:sz w:val="20"/>
                                <w:szCs w:val="20"/>
                                <w:lang w:val="en-US"/>
                              </w:rPr>
                              <w:t>Q</w:t>
                            </w:r>
                            <w:r w:rsidRPr="00B610DE">
                              <w:rPr>
                                <w:sz w:val="20"/>
                                <w:szCs w:val="20"/>
                                <w:vertAlign w:val="subscript"/>
                                <w:lang w:val="en-US"/>
                              </w:rPr>
                              <w:t>1</w:t>
                            </w:r>
                            <w:r w:rsidRPr="00BC68A9">
                              <w:rPr>
                                <w:sz w:val="20"/>
                                <w:szCs w:val="20"/>
                                <w:lang w:val="en-US"/>
                              </w:rPr>
                              <w:t>=</w:t>
                            </w:r>
                            <w:r>
                              <w:rPr>
                                <w:sz w:val="20"/>
                                <w:szCs w:val="20"/>
                                <w:lang w:val="ru-RU"/>
                              </w:rPr>
                              <w:t>1</w:t>
                            </w:r>
                            <w:proofErr w:type="gramStart"/>
                            <w:r>
                              <w:rPr>
                                <w:sz w:val="20"/>
                                <w:szCs w:val="20"/>
                                <w:lang w:val="ru-RU"/>
                              </w:rPr>
                              <w:t>,01</w:t>
                            </w:r>
                            <w:proofErr w:type="gramEnd"/>
                          </w:p>
                          <w:p w:rsidR="001E1DF5" w:rsidRPr="00B610DE" w:rsidRDefault="001E1DF5" w:rsidP="006738F0">
                            <w:pPr>
                              <w:spacing w:line="200" w:lineRule="exact"/>
                              <w:rPr>
                                <w:sz w:val="20"/>
                                <w:szCs w:val="20"/>
                                <w:lang w:val="ru-RU"/>
                              </w:rPr>
                            </w:pPr>
                            <w:r w:rsidRPr="00BC68A9">
                              <w:rPr>
                                <w:sz w:val="20"/>
                                <w:szCs w:val="20"/>
                                <w:lang w:val="en-US"/>
                              </w:rPr>
                              <w:t>Q</w:t>
                            </w:r>
                            <w:r w:rsidRPr="00B610DE">
                              <w:rPr>
                                <w:sz w:val="20"/>
                                <w:szCs w:val="20"/>
                                <w:vertAlign w:val="subscript"/>
                                <w:lang w:val="ru-RU"/>
                              </w:rPr>
                              <w:t>3</w:t>
                            </w:r>
                            <w:r w:rsidRPr="00BC68A9">
                              <w:rPr>
                                <w:sz w:val="20"/>
                                <w:szCs w:val="20"/>
                                <w:lang w:val="en-US"/>
                              </w:rPr>
                              <w:t>=</w:t>
                            </w:r>
                            <w:r>
                              <w:rPr>
                                <w:sz w:val="20"/>
                                <w:szCs w:val="20"/>
                                <w:lang w:val="ru-RU"/>
                              </w:rPr>
                              <w:t>1</w:t>
                            </w:r>
                            <w:proofErr w:type="gramStart"/>
                            <w:r>
                              <w:rPr>
                                <w:sz w:val="20"/>
                                <w:szCs w:val="20"/>
                                <w:lang w:val="ru-RU"/>
                              </w:rPr>
                              <w:t>,43</w:t>
                            </w:r>
                            <w:proofErr w:type="gram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Надпись 60" o:spid="_x0000_s1113" type="#_x0000_t202" style="position:absolute;left:0;text-align:left;margin-left:155.7pt;margin-top:30.25pt;width:60.75pt;height:37.7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" filled="f" stroked="f" strokeweight=".5pt">
                <v:textbox>
                  <w:txbxContent>
                    <w:p w:rsidR="0057431A" w:rsidRPr="00BC68A9" w:rsidRDefault="0057431A" w:rsidP="006738F0">
                      <w:pPr>
                        <w:spacing w:line="200" w:lineRule="exact"/>
                        <w:rPr>
                          <w:sz w:val="20"/>
                          <w:szCs w:val="20"/>
                        </w:rPr>
                      </w:pPr>
                      <w:r>
                        <w:rPr>
                          <w:sz w:val="20"/>
                          <w:szCs w:val="20"/>
                        </w:rPr>
                        <w:t>Ме=1,3</w:t>
                      </w:r>
                    </w:p>
                    <w:p w:rsidR="0057431A" w:rsidRPr="00B610DE" w:rsidRDefault="0057431A" w:rsidP="006738F0">
                      <w:pPr>
                        <w:spacing w:line="200" w:lineRule="exact"/>
                        <w:rPr>
                          <w:sz w:val="20"/>
                          <w:szCs w:val="20"/>
                          <w:lang w:val="ru-RU"/>
                        </w:rPr>
                      </w:pPr>
                      <w:r w:rsidRPr="00BC68A9">
                        <w:rPr>
                          <w:sz w:val="20"/>
                          <w:szCs w:val="20"/>
                          <w:lang w:val="en-US"/>
                        </w:rPr>
                        <w:t>Q</w:t>
                      </w:r>
                      <w:r w:rsidRPr="00B610DE">
                        <w:rPr>
                          <w:sz w:val="20"/>
                          <w:szCs w:val="20"/>
                          <w:vertAlign w:val="subscript"/>
                          <w:lang w:val="en-US"/>
                        </w:rPr>
                        <w:t>1</w:t>
                      </w:r>
                      <w:r w:rsidRPr="00BC68A9">
                        <w:rPr>
                          <w:sz w:val="20"/>
                          <w:szCs w:val="20"/>
                          <w:lang w:val="en-US"/>
                        </w:rPr>
                        <w:t>=</w:t>
                      </w:r>
                      <w:r>
                        <w:rPr>
                          <w:sz w:val="20"/>
                          <w:szCs w:val="20"/>
                          <w:lang w:val="ru-RU"/>
                        </w:rPr>
                        <w:t>1</w:t>
                      </w:r>
                      <w:proofErr w:type="gramStart"/>
                      <w:r>
                        <w:rPr>
                          <w:sz w:val="20"/>
                          <w:szCs w:val="20"/>
                          <w:lang w:val="ru-RU"/>
                        </w:rPr>
                        <w:t>,01</w:t>
                      </w:r>
                      <w:proofErr w:type="gramEnd"/>
                    </w:p>
                    <w:p w:rsidR="0057431A" w:rsidRPr="00B610DE" w:rsidRDefault="0057431A" w:rsidP="006738F0">
                      <w:pPr>
                        <w:spacing w:line="200" w:lineRule="exact"/>
                        <w:rPr>
                          <w:sz w:val="20"/>
                          <w:szCs w:val="20"/>
                          <w:lang w:val="ru-RU"/>
                        </w:rPr>
                      </w:pPr>
                      <w:r w:rsidRPr="00BC68A9">
                        <w:rPr>
                          <w:sz w:val="20"/>
                          <w:szCs w:val="20"/>
                          <w:lang w:val="en-US"/>
                        </w:rPr>
                        <w:t>Q</w:t>
                      </w:r>
                      <w:r w:rsidRPr="00B610DE">
                        <w:rPr>
                          <w:sz w:val="20"/>
                          <w:szCs w:val="20"/>
                          <w:vertAlign w:val="subscript"/>
                          <w:lang w:val="ru-RU"/>
                        </w:rPr>
                        <w:t>3</w:t>
                      </w:r>
                      <w:r w:rsidRPr="00BC68A9">
                        <w:rPr>
                          <w:sz w:val="20"/>
                          <w:szCs w:val="20"/>
                          <w:lang w:val="en-US"/>
                        </w:rPr>
                        <w:t>=</w:t>
                      </w:r>
                      <w:r>
                        <w:rPr>
                          <w:sz w:val="20"/>
                          <w:szCs w:val="20"/>
                          <w:lang w:val="ru-RU"/>
                        </w:rPr>
                        <w:t>1</w:t>
                      </w:r>
                      <w:proofErr w:type="gramStart"/>
                      <w:r>
                        <w:rPr>
                          <w:sz w:val="20"/>
                          <w:szCs w:val="20"/>
                          <w:lang w:val="ru-RU"/>
                        </w:rPr>
                        <w:t>,43</w:t>
                      </w:r>
                      <w:proofErr w:type="gramEnd"/>
                    </w:p>
                  </w:txbxContent>
                </v:textbox>
              </v:shape>
            </w:pict>
          </mc:Fallback>
        </mc:AlternateContent>
      </w:r>
      <w:r w:rsidR="00825D76">
        <w:rPr>
          <w:rFonts w:eastAsia="Times New Roman"/>
          <w:szCs w:val="28"/>
          <w:lang w:eastAsia="ru-RU"/>
        </w:rPr>
        <w:t xml:space="preserve">   </w:t>
      </w:r>
      <w:r w:rsidRPr="00006A39">
        <w:rPr>
          <w:rFonts w:eastAsia="Times New Roman"/>
          <w:noProof/>
          <w:szCs w:val="28"/>
          <w:lang w:val="ru-RU" w:eastAsia="ru-RU"/>
        </w:rPr>
        <w:drawing>
          <wp:inline distT="0" distB="0" distL="0" distR="0" wp14:anchorId="0A4C8696" wp14:editId="34D3D9A5">
            <wp:extent cx="5475514" cy="3788229"/>
            <wp:effectExtent l="0" t="0" r="0" b="3175"/>
            <wp:docPr id="67"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5478378" cy="3790210"/>
                    </a:xfrm>
                    <a:prstGeom prst="rect">
                      <a:avLst/>
                    </a:prstGeom>
                    <a:noFill/>
                    <a:ln>
                      <a:noFill/>
                    </a:ln>
                  </pic:spPr>
                </pic:pic>
              </a:graphicData>
            </a:graphic>
          </wp:inline>
        </w:drawing>
      </w:r>
    </w:p>
    <w:p w:rsidR="006738F0" w:rsidRPr="001F272A" w:rsidRDefault="006738F0" w:rsidP="001F272A">
      <w:pPr>
        <w:widowControl w:val="0"/>
        <w:ind w:firstLine="708"/>
      </w:pPr>
      <w:r w:rsidRPr="00006A39">
        <w:t>Рис.</w:t>
      </w:r>
      <w:r w:rsidR="00C42D9C">
        <w:t xml:space="preserve"> </w:t>
      </w:r>
      <w:r w:rsidRPr="00006A39">
        <w:t xml:space="preserve">5.3. Медіанні показники рівня забезпеченості </w:t>
      </w:r>
      <w:r w:rsidR="006B79C8">
        <w:rPr>
          <w:lang w:val="ru-RU"/>
        </w:rPr>
        <w:t xml:space="preserve">дитячого населення </w:t>
      </w:r>
      <w:r w:rsidRPr="00006A39">
        <w:t>педіатрами у 2014,</w:t>
      </w:r>
      <w:r w:rsidR="001F272A">
        <w:t xml:space="preserve"> 2018 рр. в Україні</w:t>
      </w:r>
    </w:p>
    <w:p w:rsidR="006738F0" w:rsidRPr="00006A39" w:rsidRDefault="001F272A" w:rsidP="00DF7D40">
      <w:pPr>
        <w:widowControl w:val="0"/>
        <w:ind w:firstLine="709"/>
        <w:rPr>
          <w:rFonts w:eastAsia="Times New Roman"/>
          <w:szCs w:val="28"/>
          <w:lang w:eastAsia="ru-RU"/>
        </w:rPr>
      </w:pPr>
      <w:r w:rsidRPr="00006A39">
        <w:rPr>
          <w:rFonts w:eastAsia="Times New Roman"/>
          <w:noProof/>
          <w:szCs w:val="28"/>
          <w:lang w:val="ru-RU" w:eastAsia="ru-RU"/>
        </w:rPr>
        <mc:AlternateContent>
          <mc:Choice Requires="wps">
            <w:drawing>
              <wp:anchor distT="0" distB="0" distL="114300" distR="114300" simplePos="0" relativeHeight="251681792" behindDoc="0" locked="0" layoutInCell="1" allowOverlap="1" wp14:anchorId="3E516EC6" wp14:editId="551387FB">
                <wp:simplePos x="0" y="0"/>
                <wp:positionH relativeFrom="page">
                  <wp:posOffset>3332480</wp:posOffset>
                </wp:positionH>
                <wp:positionV relativeFrom="paragraph">
                  <wp:posOffset>326390</wp:posOffset>
                </wp:positionV>
                <wp:extent cx="771525" cy="478790"/>
                <wp:effectExtent l="0" t="0" r="9525" b="0"/>
                <wp:wrapNone/>
                <wp:docPr id="62" name="Надпись 62"/>
                <wp:cNvGraphicFramePr/>
                <a:graphic xmlns:a="http://schemas.openxmlformats.org/drawingml/2006/main">
                  <a:graphicData uri="http://schemas.microsoft.com/office/word/2010/wordprocessingShape">
                    <wps:wsp>
                      <wps:cNvSpPr txBox="1"/>
                      <wps:spPr>
                        <a:xfrm>
                          <a:off x="0" y="0"/>
                          <a:ext cx="771525" cy="478790"/>
                        </a:xfrm>
                        <a:prstGeom prst="rect">
                          <a:avLst/>
                        </a:prstGeom>
                        <a:solidFill>
                          <a:schemeClr val="lt1"/>
                        </a:solidFill>
                        <a:ln w="6350">
                          <a:noFill/>
                        </a:ln>
                      </wps:spPr>
                      <wps:txbx>
                        <w:txbxContent>
                          <w:p w:rsidR="001E1DF5" w:rsidRPr="00BC68A9" w:rsidRDefault="001E1DF5" w:rsidP="006738F0">
                            <w:pPr>
                              <w:spacing w:line="200" w:lineRule="exact"/>
                              <w:rPr>
                                <w:sz w:val="20"/>
                                <w:szCs w:val="20"/>
                              </w:rPr>
                            </w:pPr>
                            <w:r w:rsidRPr="00BC68A9">
                              <w:rPr>
                                <w:sz w:val="20"/>
                                <w:szCs w:val="20"/>
                              </w:rPr>
                              <w:t>Ме=5,1</w:t>
                            </w:r>
                          </w:p>
                          <w:p w:rsidR="001E1DF5" w:rsidRPr="00BC68A9" w:rsidRDefault="001E1DF5" w:rsidP="006738F0">
                            <w:pPr>
                              <w:spacing w:line="200" w:lineRule="exact"/>
                              <w:rPr>
                                <w:sz w:val="20"/>
                                <w:szCs w:val="20"/>
                                <w:lang w:val="en-US"/>
                              </w:rPr>
                            </w:pPr>
                            <w:r w:rsidRPr="00BC68A9">
                              <w:rPr>
                                <w:sz w:val="20"/>
                                <w:szCs w:val="20"/>
                                <w:lang w:val="en-US"/>
                              </w:rPr>
                              <w:t>Q1=2</w:t>
                            </w:r>
                            <w:proofErr w:type="gramStart"/>
                            <w:r w:rsidRPr="00BC68A9">
                              <w:rPr>
                                <w:sz w:val="20"/>
                                <w:szCs w:val="20"/>
                                <w:lang w:val="en-US"/>
                              </w:rPr>
                              <w:t>,7</w:t>
                            </w:r>
                            <w:proofErr w:type="gramEnd"/>
                          </w:p>
                          <w:p w:rsidR="001E1DF5" w:rsidRPr="00BC68A9" w:rsidRDefault="001E1DF5" w:rsidP="006738F0">
                            <w:pPr>
                              <w:spacing w:line="200" w:lineRule="exact"/>
                              <w:rPr>
                                <w:sz w:val="20"/>
                                <w:szCs w:val="20"/>
                              </w:rPr>
                            </w:pPr>
                            <w:r w:rsidRPr="00BC68A9">
                              <w:rPr>
                                <w:sz w:val="20"/>
                                <w:szCs w:val="20"/>
                                <w:lang w:val="en-US"/>
                              </w:rPr>
                              <w:t>Q=</w:t>
                            </w:r>
                            <w:r>
                              <w:rPr>
                                <w:sz w:val="20"/>
                                <w:szCs w:val="20"/>
                                <w:lang w:val="en-US"/>
                              </w:rPr>
                              <w:t>6</w:t>
                            </w:r>
                            <w:proofErr w:type="gramStart"/>
                            <w:r>
                              <w:rPr>
                                <w:sz w:val="20"/>
                                <w:szCs w:val="20"/>
                                <w:lang w:val="en-US"/>
                              </w:rPr>
                              <w:t>,2</w:t>
                            </w:r>
                            <w:proofErr w:type="gram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Надпись 62" o:spid="_x0000_s1114" type="#_x0000_t202" style="position:absolute;left:0;text-align:left;margin-left:262.4pt;margin-top:25.7pt;width:60.75pt;height:37.7pt;z-index:2516817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" fillcolor="white [3201]" stroked="f" strokeweight=".5pt">
                <v:textbox>
                  <w:txbxContent>
                    <w:p w:rsidR="0057431A" w:rsidRPr="00BC68A9" w:rsidRDefault="0057431A" w:rsidP="006738F0">
                      <w:pPr>
                        <w:spacing w:line="200" w:lineRule="exact"/>
                        <w:rPr>
                          <w:sz w:val="20"/>
                          <w:szCs w:val="20"/>
                        </w:rPr>
                      </w:pPr>
                      <w:r w:rsidRPr="00BC68A9">
                        <w:rPr>
                          <w:sz w:val="20"/>
                          <w:szCs w:val="20"/>
                        </w:rPr>
                        <w:t>Ме=5,1</w:t>
                      </w:r>
                    </w:p>
                    <w:p w:rsidR="0057431A" w:rsidRPr="00BC68A9" w:rsidRDefault="0057431A" w:rsidP="006738F0">
                      <w:pPr>
                        <w:spacing w:line="200" w:lineRule="exact"/>
                        <w:rPr>
                          <w:sz w:val="20"/>
                          <w:szCs w:val="20"/>
                          <w:lang w:val="en-US"/>
                        </w:rPr>
                      </w:pPr>
                      <w:r w:rsidRPr="00BC68A9">
                        <w:rPr>
                          <w:sz w:val="20"/>
                          <w:szCs w:val="20"/>
                          <w:lang w:val="en-US"/>
                        </w:rPr>
                        <w:t>Q1=2</w:t>
                      </w:r>
                      <w:proofErr w:type="gramStart"/>
                      <w:r w:rsidRPr="00BC68A9">
                        <w:rPr>
                          <w:sz w:val="20"/>
                          <w:szCs w:val="20"/>
                          <w:lang w:val="en-US"/>
                        </w:rPr>
                        <w:t>,7</w:t>
                      </w:r>
                      <w:proofErr w:type="gramEnd"/>
                    </w:p>
                    <w:p w:rsidR="0057431A" w:rsidRPr="00BC68A9" w:rsidRDefault="0057431A" w:rsidP="006738F0">
                      <w:pPr>
                        <w:spacing w:line="200" w:lineRule="exact"/>
                        <w:rPr>
                          <w:sz w:val="20"/>
                          <w:szCs w:val="20"/>
                        </w:rPr>
                      </w:pPr>
                      <w:r w:rsidRPr="00BC68A9">
                        <w:rPr>
                          <w:sz w:val="20"/>
                          <w:szCs w:val="20"/>
                          <w:lang w:val="en-US"/>
                        </w:rPr>
                        <w:t>Q=</w:t>
                      </w:r>
                      <w:r>
                        <w:rPr>
                          <w:sz w:val="20"/>
                          <w:szCs w:val="20"/>
                          <w:lang w:val="en-US"/>
                        </w:rPr>
                        <w:t>6</w:t>
                      </w:r>
                      <w:proofErr w:type="gramStart"/>
                      <w:r>
                        <w:rPr>
                          <w:sz w:val="20"/>
                          <w:szCs w:val="20"/>
                          <w:lang w:val="en-US"/>
                        </w:rPr>
                        <w:t>,2</w:t>
                      </w:r>
                      <w:proofErr w:type="gramEnd"/>
                    </w:p>
                  </w:txbxContent>
                </v:textbox>
                <w10:wrap anchorx="page"/>
              </v:shape>
            </w:pict>
          </mc:Fallback>
        </mc:AlternateContent>
      </w:r>
      <w:r w:rsidR="006738F0" w:rsidRPr="00006A39">
        <w:rPr>
          <w:rFonts w:eastAsia="Times New Roman"/>
          <w:noProof/>
          <w:szCs w:val="28"/>
          <w:lang w:val="ru-RU" w:eastAsia="ru-RU"/>
        </w:rPr>
        <mc:AlternateContent>
          <mc:Choice Requires="wps">
            <w:drawing>
              <wp:anchor distT="0" distB="0" distL="114300" distR="114300" simplePos="0" relativeHeight="251682816" behindDoc="0" locked="0" layoutInCell="1" allowOverlap="1" wp14:anchorId="69549128" wp14:editId="6C5197BA">
                <wp:simplePos x="0" y="0"/>
                <wp:positionH relativeFrom="page">
                  <wp:posOffset>5740285</wp:posOffset>
                </wp:positionH>
                <wp:positionV relativeFrom="paragraph">
                  <wp:posOffset>486236</wp:posOffset>
                </wp:positionV>
                <wp:extent cx="612000" cy="478800"/>
                <wp:effectExtent l="0" t="0" r="0" b="0"/>
                <wp:wrapNone/>
                <wp:docPr id="61" name="Надпись 61"/>
                <wp:cNvGraphicFramePr/>
                <a:graphic xmlns:a="http://schemas.openxmlformats.org/drawingml/2006/main">
                  <a:graphicData uri="http://schemas.microsoft.com/office/word/2010/wordprocessingShape">
                    <wps:wsp>
                      <wps:cNvSpPr txBox="1"/>
                      <wps:spPr>
                        <a:xfrm>
                          <a:off x="0" y="0"/>
                          <a:ext cx="612000" cy="478800"/>
                        </a:xfrm>
                        <a:prstGeom prst="rect">
                          <a:avLst/>
                        </a:prstGeom>
                        <a:solidFill>
                          <a:schemeClr val="lt1"/>
                        </a:solidFill>
                        <a:ln w="6350">
                          <a:noFill/>
                        </a:ln>
                      </wps:spPr>
                      <wps:txbx>
                        <w:txbxContent>
                          <w:p w:rsidR="001E1DF5" w:rsidRPr="00BC68A9" w:rsidRDefault="001E1DF5" w:rsidP="006738F0">
                            <w:pPr>
                              <w:spacing w:line="200" w:lineRule="exact"/>
                              <w:rPr>
                                <w:sz w:val="20"/>
                                <w:szCs w:val="20"/>
                              </w:rPr>
                            </w:pPr>
                            <w:r w:rsidRPr="00BC68A9">
                              <w:rPr>
                                <w:sz w:val="20"/>
                                <w:szCs w:val="20"/>
                              </w:rPr>
                              <w:t>Ме=5,1</w:t>
                            </w:r>
                          </w:p>
                          <w:p w:rsidR="001E1DF5" w:rsidRPr="00BC68A9" w:rsidRDefault="001E1DF5" w:rsidP="006738F0">
                            <w:pPr>
                              <w:spacing w:line="200" w:lineRule="exact"/>
                              <w:rPr>
                                <w:sz w:val="20"/>
                                <w:szCs w:val="20"/>
                                <w:lang w:val="en-US"/>
                              </w:rPr>
                            </w:pPr>
                            <w:r w:rsidRPr="00BC68A9">
                              <w:rPr>
                                <w:sz w:val="20"/>
                                <w:szCs w:val="20"/>
                                <w:lang w:val="en-US"/>
                              </w:rPr>
                              <w:t>Q1=2</w:t>
                            </w:r>
                            <w:proofErr w:type="gramStart"/>
                            <w:r w:rsidRPr="00BC68A9">
                              <w:rPr>
                                <w:sz w:val="20"/>
                                <w:szCs w:val="20"/>
                                <w:lang w:val="en-US"/>
                              </w:rPr>
                              <w:t>,7</w:t>
                            </w:r>
                            <w:proofErr w:type="gramEnd"/>
                          </w:p>
                          <w:p w:rsidR="001E1DF5" w:rsidRPr="00BC68A9" w:rsidRDefault="001E1DF5" w:rsidP="006738F0">
                            <w:pPr>
                              <w:spacing w:line="200" w:lineRule="exact"/>
                              <w:rPr>
                                <w:sz w:val="20"/>
                                <w:szCs w:val="20"/>
                              </w:rPr>
                            </w:pPr>
                            <w:r w:rsidRPr="00BC68A9">
                              <w:rPr>
                                <w:sz w:val="20"/>
                                <w:szCs w:val="20"/>
                                <w:lang w:val="en-US"/>
                              </w:rPr>
                              <w:t>Q=</w:t>
                            </w:r>
                            <w:r>
                              <w:rPr>
                                <w:sz w:val="20"/>
                                <w:szCs w:val="20"/>
                                <w:lang w:val="en-US"/>
                              </w:rPr>
                              <w:t>6</w:t>
                            </w:r>
                            <w:proofErr w:type="gramStart"/>
                            <w:r>
                              <w:rPr>
                                <w:sz w:val="20"/>
                                <w:szCs w:val="20"/>
                                <w:lang w:val="en-US"/>
                              </w:rPr>
                              <w:t>,2</w:t>
                            </w:r>
                            <w:proofErr w:type="gram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Надпись 61" o:spid="_x0000_s1115" type="#_x0000_t202" style="position:absolute;left:0;text-align:left;margin-left:452pt;margin-top:38.3pt;width:48.2pt;height:37.7pt;z-index:2516828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" fillcolor="white [3201]" stroked="f" strokeweight=".5pt">
                <v:textbox>
                  <w:txbxContent>
                    <w:p w:rsidR="0057431A" w:rsidRPr="00BC68A9" w:rsidRDefault="0057431A" w:rsidP="006738F0">
                      <w:pPr>
                        <w:spacing w:line="200" w:lineRule="exact"/>
                        <w:rPr>
                          <w:sz w:val="20"/>
                          <w:szCs w:val="20"/>
                        </w:rPr>
                      </w:pPr>
                      <w:r w:rsidRPr="00BC68A9">
                        <w:rPr>
                          <w:sz w:val="20"/>
                          <w:szCs w:val="20"/>
                        </w:rPr>
                        <w:t>Ме=5,1</w:t>
                      </w:r>
                    </w:p>
                    <w:p w:rsidR="0057431A" w:rsidRPr="00BC68A9" w:rsidRDefault="0057431A" w:rsidP="006738F0">
                      <w:pPr>
                        <w:spacing w:line="200" w:lineRule="exact"/>
                        <w:rPr>
                          <w:sz w:val="20"/>
                          <w:szCs w:val="20"/>
                          <w:lang w:val="en-US"/>
                        </w:rPr>
                      </w:pPr>
                      <w:r w:rsidRPr="00BC68A9">
                        <w:rPr>
                          <w:sz w:val="20"/>
                          <w:szCs w:val="20"/>
                          <w:lang w:val="en-US"/>
                        </w:rPr>
                        <w:t>Q1=2</w:t>
                      </w:r>
                      <w:proofErr w:type="gramStart"/>
                      <w:r w:rsidRPr="00BC68A9">
                        <w:rPr>
                          <w:sz w:val="20"/>
                          <w:szCs w:val="20"/>
                          <w:lang w:val="en-US"/>
                        </w:rPr>
                        <w:t>,7</w:t>
                      </w:r>
                      <w:proofErr w:type="gramEnd"/>
                    </w:p>
                    <w:p w:rsidR="0057431A" w:rsidRPr="00BC68A9" w:rsidRDefault="0057431A" w:rsidP="006738F0">
                      <w:pPr>
                        <w:spacing w:line="200" w:lineRule="exact"/>
                        <w:rPr>
                          <w:sz w:val="20"/>
                          <w:szCs w:val="20"/>
                        </w:rPr>
                      </w:pPr>
                      <w:r w:rsidRPr="00BC68A9">
                        <w:rPr>
                          <w:sz w:val="20"/>
                          <w:szCs w:val="20"/>
                          <w:lang w:val="en-US"/>
                        </w:rPr>
                        <w:t>Q=</w:t>
                      </w:r>
                      <w:r>
                        <w:rPr>
                          <w:sz w:val="20"/>
                          <w:szCs w:val="20"/>
                          <w:lang w:val="en-US"/>
                        </w:rPr>
                        <w:t>6</w:t>
                      </w:r>
                      <w:proofErr w:type="gramStart"/>
                      <w:r>
                        <w:rPr>
                          <w:sz w:val="20"/>
                          <w:szCs w:val="20"/>
                          <w:lang w:val="en-US"/>
                        </w:rPr>
                        <w:t>,2</w:t>
                      </w:r>
                      <w:proofErr w:type="gramEnd"/>
                    </w:p>
                  </w:txbxContent>
                </v:textbox>
                <w10:wrap anchorx="page"/>
              </v:shape>
            </w:pict>
          </mc:Fallback>
        </mc:AlternateContent>
      </w:r>
      <w:r w:rsidR="00DF7D40">
        <w:rPr>
          <w:rFonts w:eastAsia="Times New Roman"/>
          <w:szCs w:val="28"/>
          <w:lang w:val="ru-RU" w:eastAsia="ru-RU"/>
        </w:rPr>
        <w:t xml:space="preserve">  </w:t>
      </w:r>
      <w:r w:rsidR="006738F0" w:rsidRPr="00006A39">
        <w:rPr>
          <w:rFonts w:eastAsia="Times New Roman"/>
          <w:noProof/>
          <w:szCs w:val="28"/>
          <w:lang w:val="ru-RU" w:eastAsia="ru-RU"/>
        </w:rPr>
        <w:drawing>
          <wp:inline distT="0" distB="0" distL="0" distR="0" wp14:anchorId="11369F80" wp14:editId="7791BEBF">
            <wp:extent cx="5512202" cy="3890865"/>
            <wp:effectExtent l="0" t="0" r="0" b="0"/>
            <wp:docPr id="68"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5540647" cy="3910943"/>
                    </a:xfrm>
                    <a:prstGeom prst="rect">
                      <a:avLst/>
                    </a:prstGeom>
                    <a:noFill/>
                    <a:ln>
                      <a:noFill/>
                    </a:ln>
                  </pic:spPr>
                </pic:pic>
              </a:graphicData>
            </a:graphic>
          </wp:inline>
        </w:drawing>
      </w:r>
    </w:p>
    <w:p w:rsidR="006738F0" w:rsidRPr="00006A39" w:rsidRDefault="006738F0" w:rsidP="00721203">
      <w:pPr>
        <w:widowControl w:val="0"/>
        <w:ind w:firstLine="709"/>
        <w:rPr>
          <w:szCs w:val="28"/>
        </w:rPr>
      </w:pPr>
      <w:r w:rsidRPr="00006A39">
        <w:rPr>
          <w:szCs w:val="28"/>
        </w:rPr>
        <w:t>Рис. 5.4. Медіанні значення рівня забезпечення дільничними педіатрами за 2014,</w:t>
      </w:r>
      <w:r w:rsidR="00895F10">
        <w:rPr>
          <w:szCs w:val="28"/>
          <w:lang w:val="ru-RU"/>
        </w:rPr>
        <w:t xml:space="preserve"> </w:t>
      </w:r>
      <w:r w:rsidRPr="00006A39">
        <w:rPr>
          <w:szCs w:val="28"/>
        </w:rPr>
        <w:t>2018 рр.</w:t>
      </w:r>
    </w:p>
    <w:p w:rsidR="006738F0" w:rsidRPr="00FA680C" w:rsidRDefault="006738F0" w:rsidP="00721203">
      <w:pPr>
        <w:widowControl w:val="0"/>
        <w:ind w:firstLine="709"/>
        <w:rPr>
          <w:rFonts w:eastAsia="Times New Roman"/>
          <w:color w:val="000000" w:themeColor="text1"/>
          <w:szCs w:val="28"/>
          <w:lang w:eastAsia="ru-RU"/>
        </w:rPr>
      </w:pPr>
      <w:r w:rsidRPr="00006A39">
        <w:rPr>
          <w:rFonts w:eastAsia="Times New Roman"/>
          <w:szCs w:val="28"/>
          <w:lang w:eastAsia="ru-RU"/>
        </w:rPr>
        <w:lastRenderedPageBreak/>
        <w:t xml:space="preserve">Медіанне значення показника укомплектованості ЗОЗ фізичними особами лікарями-педіатрами </w:t>
      </w:r>
      <w:r w:rsidR="003B30FE">
        <w:rPr>
          <w:rFonts w:eastAsia="Times New Roman"/>
          <w:szCs w:val="28"/>
          <w:lang w:eastAsia="ru-RU"/>
        </w:rPr>
        <w:t xml:space="preserve">в Україні в цілому </w:t>
      </w:r>
      <w:r w:rsidR="00F90A06">
        <w:rPr>
          <w:rFonts w:eastAsia="Times New Roman"/>
          <w:szCs w:val="28"/>
          <w:lang w:eastAsia="ru-RU"/>
        </w:rPr>
        <w:t>упродовж 2014-2018 рр. залиша</w:t>
      </w:r>
      <w:r w:rsidR="00F90A06" w:rsidRPr="00F90A06">
        <w:rPr>
          <w:rFonts w:eastAsia="Times New Roman"/>
          <w:szCs w:val="28"/>
          <w:lang w:eastAsia="ru-RU"/>
        </w:rPr>
        <w:t>лось</w:t>
      </w:r>
      <w:r w:rsidRPr="00006A39">
        <w:rPr>
          <w:rFonts w:eastAsia="Times New Roman"/>
          <w:szCs w:val="28"/>
          <w:lang w:eastAsia="ru-RU"/>
        </w:rPr>
        <w:t xml:space="preserve"> н</w:t>
      </w:r>
      <w:r w:rsidR="00F90A06">
        <w:rPr>
          <w:rFonts w:eastAsia="Times New Roman"/>
          <w:szCs w:val="28"/>
          <w:lang w:eastAsia="ru-RU"/>
        </w:rPr>
        <w:t>а тому ж самому рівні і станови</w:t>
      </w:r>
      <w:r w:rsidR="00F90A06" w:rsidRPr="00F90A06">
        <w:rPr>
          <w:rFonts w:eastAsia="Times New Roman"/>
          <w:szCs w:val="28"/>
          <w:lang w:eastAsia="ru-RU"/>
        </w:rPr>
        <w:t>ло</w:t>
      </w:r>
      <w:r w:rsidRPr="00006A39">
        <w:rPr>
          <w:rFonts w:eastAsia="Times New Roman"/>
          <w:szCs w:val="28"/>
          <w:lang w:eastAsia="ru-RU"/>
        </w:rPr>
        <w:t xml:space="preserve"> </w:t>
      </w:r>
      <w:r w:rsidRPr="00495C62">
        <w:rPr>
          <w:rFonts w:eastAsia="Times New Roman"/>
          <w:szCs w:val="28"/>
          <w:lang w:eastAsia="ru-RU"/>
        </w:rPr>
        <w:t xml:space="preserve">відповідно 73,89% та 75,29% </w:t>
      </w:r>
      <w:r w:rsidRPr="00006A39">
        <w:rPr>
          <w:rFonts w:eastAsia="Times New Roman"/>
          <w:szCs w:val="28"/>
          <w:lang w:eastAsia="ru-RU"/>
        </w:rPr>
        <w:t>(р=0,9304), при цьому міжквартильний інтервал також суттєво не змінився</w:t>
      </w:r>
      <w:r w:rsidR="00F34224">
        <w:rPr>
          <w:rFonts w:eastAsia="Times New Roman"/>
          <w:szCs w:val="28"/>
          <w:lang w:eastAsia="ru-RU"/>
        </w:rPr>
        <w:t xml:space="preserve"> (рис.</w:t>
      </w:r>
      <w:r w:rsidR="0098619C">
        <w:rPr>
          <w:rFonts w:eastAsia="Times New Roman"/>
          <w:szCs w:val="28"/>
          <w:lang w:eastAsia="ru-RU"/>
        </w:rPr>
        <w:t xml:space="preserve"> </w:t>
      </w:r>
      <w:r w:rsidR="00F34224">
        <w:rPr>
          <w:rFonts w:eastAsia="Times New Roman"/>
          <w:szCs w:val="28"/>
          <w:lang w:eastAsia="ru-RU"/>
        </w:rPr>
        <w:t>5.5)</w:t>
      </w:r>
      <w:r w:rsidRPr="00006A39">
        <w:rPr>
          <w:rFonts w:eastAsia="Times New Roman"/>
          <w:szCs w:val="28"/>
          <w:lang w:eastAsia="ru-RU"/>
        </w:rPr>
        <w:t xml:space="preserve">. Укомплектованість основними працівниками </w:t>
      </w:r>
      <w:r w:rsidR="003B30FE" w:rsidRPr="003B30FE">
        <w:rPr>
          <w:rFonts w:eastAsia="Times New Roman"/>
          <w:szCs w:val="28"/>
          <w:lang w:eastAsia="ru-RU"/>
        </w:rPr>
        <w:t xml:space="preserve">лікарями-педіатрами </w:t>
      </w:r>
      <w:r w:rsidRPr="00006A39">
        <w:rPr>
          <w:rFonts w:eastAsia="Times New Roman"/>
          <w:szCs w:val="28"/>
          <w:lang w:eastAsia="ru-RU"/>
        </w:rPr>
        <w:t xml:space="preserve">коливалась в межах 90,08% у Івано-Франківській, 87,99% у Львівській до 76,6% у Житомирській, 71,8% у м. Київ, 63,8% у Кіровоградській, 53,3% у </w:t>
      </w:r>
      <w:r w:rsidRPr="00FA680C">
        <w:rPr>
          <w:rFonts w:eastAsia="Times New Roman"/>
          <w:color w:val="000000" w:themeColor="text1"/>
          <w:szCs w:val="28"/>
          <w:lang w:eastAsia="ru-RU"/>
        </w:rPr>
        <w:t>Миколаївській областях. Гранична різниця вказаного</w:t>
      </w:r>
      <w:r w:rsidR="00E607B5">
        <w:rPr>
          <w:rFonts w:eastAsia="Times New Roman"/>
          <w:color w:val="000000" w:themeColor="text1"/>
          <w:szCs w:val="28"/>
          <w:lang w:eastAsia="ru-RU"/>
        </w:rPr>
        <w:t xml:space="preserve"> показника становить 1,7 рази.</w:t>
      </w:r>
      <w:r w:rsidR="002A4861" w:rsidRPr="00FA680C">
        <w:rPr>
          <w:rFonts w:eastAsia="Times New Roman"/>
          <w:color w:val="000000" w:themeColor="text1"/>
          <w:szCs w:val="28"/>
          <w:lang w:eastAsia="ru-RU"/>
        </w:rPr>
        <w:t xml:space="preserve"> </w:t>
      </w:r>
    </w:p>
    <w:p w:rsidR="006738F0" w:rsidRPr="00006A39" w:rsidRDefault="00C35170" w:rsidP="00721203">
      <w:pPr>
        <w:widowControl w:val="0"/>
        <w:ind w:firstLine="709"/>
        <w:rPr>
          <w:rFonts w:eastAsia="Times New Roman"/>
          <w:color w:val="FF0000"/>
          <w:szCs w:val="28"/>
          <w:lang w:eastAsia="ru-RU"/>
        </w:rPr>
      </w:pPr>
      <w:r w:rsidRPr="00006A39">
        <w:rPr>
          <w:rFonts w:eastAsia="Times New Roman"/>
          <w:noProof/>
          <w:szCs w:val="28"/>
          <w:lang w:val="ru-RU" w:eastAsia="ru-RU"/>
        </w:rPr>
        <mc:AlternateContent>
          <mc:Choice Requires="wps">
            <w:drawing>
              <wp:anchor distT="0" distB="0" distL="114300" distR="114300" simplePos="0" relativeHeight="251688960" behindDoc="0" locked="0" layoutInCell="1" allowOverlap="1" wp14:anchorId="2D4FB001" wp14:editId="651FF18D">
                <wp:simplePos x="0" y="0"/>
                <wp:positionH relativeFrom="page">
                  <wp:posOffset>4446905</wp:posOffset>
                </wp:positionH>
                <wp:positionV relativeFrom="paragraph">
                  <wp:posOffset>462915</wp:posOffset>
                </wp:positionV>
                <wp:extent cx="771525" cy="478790"/>
                <wp:effectExtent l="0" t="0" r="0" b="0"/>
                <wp:wrapNone/>
                <wp:docPr id="63" name="Надпись 63"/>
                <wp:cNvGraphicFramePr/>
                <a:graphic xmlns:a="http://schemas.openxmlformats.org/drawingml/2006/main">
                  <a:graphicData uri="http://schemas.microsoft.com/office/word/2010/wordprocessingShape">
                    <wps:wsp>
                      <wps:cNvSpPr txBox="1"/>
                      <wps:spPr>
                        <a:xfrm>
                          <a:off x="0" y="0"/>
                          <a:ext cx="771525" cy="478790"/>
                        </a:xfrm>
                        <a:prstGeom prst="rect">
                          <a:avLst/>
                        </a:prstGeom>
                        <a:noFill/>
                        <a:ln w="6350">
                          <a:noFill/>
                        </a:ln>
                      </wps:spPr>
                      <wps:txbx>
                        <w:txbxContent>
                          <w:p w:rsidR="001E1DF5" w:rsidRPr="00BC68A9" w:rsidRDefault="001E1DF5" w:rsidP="006738F0">
                            <w:pPr>
                              <w:spacing w:line="200" w:lineRule="exact"/>
                              <w:rPr>
                                <w:sz w:val="20"/>
                                <w:szCs w:val="20"/>
                              </w:rPr>
                            </w:pPr>
                            <w:r w:rsidRPr="00BC68A9">
                              <w:rPr>
                                <w:sz w:val="20"/>
                                <w:szCs w:val="20"/>
                              </w:rPr>
                              <w:t>Ме=</w:t>
                            </w:r>
                            <w:r>
                              <w:rPr>
                                <w:sz w:val="20"/>
                                <w:szCs w:val="20"/>
                              </w:rPr>
                              <w:t>75,29</w:t>
                            </w:r>
                          </w:p>
                          <w:p w:rsidR="001E1DF5" w:rsidRPr="00AB5CE2" w:rsidRDefault="001E1DF5" w:rsidP="006738F0">
                            <w:pPr>
                              <w:spacing w:line="200" w:lineRule="exact"/>
                              <w:rPr>
                                <w:sz w:val="20"/>
                                <w:szCs w:val="20"/>
                              </w:rPr>
                            </w:pPr>
                            <w:r w:rsidRPr="00BC68A9">
                              <w:rPr>
                                <w:sz w:val="20"/>
                                <w:szCs w:val="20"/>
                                <w:lang w:val="en-US"/>
                              </w:rPr>
                              <w:t>Q1=</w:t>
                            </w:r>
                            <w:r>
                              <w:rPr>
                                <w:sz w:val="20"/>
                                <w:szCs w:val="20"/>
                              </w:rPr>
                              <w:t>67</w:t>
                            </w:r>
                            <w:proofErr w:type="gramStart"/>
                            <w:r>
                              <w:rPr>
                                <w:sz w:val="20"/>
                                <w:szCs w:val="20"/>
                              </w:rPr>
                              <w:t>,23</w:t>
                            </w:r>
                            <w:proofErr w:type="gramEnd"/>
                          </w:p>
                          <w:p w:rsidR="001E1DF5" w:rsidRPr="00AB5CE2" w:rsidRDefault="001E1DF5" w:rsidP="006738F0">
                            <w:pPr>
                              <w:spacing w:line="200" w:lineRule="exact"/>
                              <w:rPr>
                                <w:sz w:val="20"/>
                                <w:szCs w:val="20"/>
                              </w:rPr>
                            </w:pPr>
                            <w:r w:rsidRPr="00BC68A9">
                              <w:rPr>
                                <w:sz w:val="20"/>
                                <w:szCs w:val="20"/>
                                <w:lang w:val="en-US"/>
                              </w:rPr>
                              <w:t>Q</w:t>
                            </w:r>
                            <w:r>
                              <w:rPr>
                                <w:sz w:val="20"/>
                                <w:szCs w:val="20"/>
                              </w:rPr>
                              <w:t>3</w:t>
                            </w:r>
                            <w:r w:rsidRPr="00BC68A9">
                              <w:rPr>
                                <w:sz w:val="20"/>
                                <w:szCs w:val="20"/>
                                <w:lang w:val="en-US"/>
                              </w:rPr>
                              <w:t>=</w:t>
                            </w:r>
                            <w:r>
                              <w:rPr>
                                <w:sz w:val="20"/>
                                <w:szCs w:val="20"/>
                              </w:rPr>
                              <w:t>81</w:t>
                            </w:r>
                            <w:proofErr w:type="gramStart"/>
                            <w:r>
                              <w:rPr>
                                <w:sz w:val="20"/>
                                <w:szCs w:val="20"/>
                              </w:rPr>
                              <w:t>,5</w:t>
                            </w:r>
                            <w:proofErr w:type="gram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Надпись 63" o:spid="_x0000_s1116" type="#_x0000_t202" style="position:absolute;left:0;text-align:left;margin-left:350.15pt;margin-top:36.45pt;width:60.75pt;height:37.7pt;z-index:2516889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" filled="f" stroked="f" strokeweight=".5pt">
                <v:textbox>
                  <w:txbxContent>
                    <w:p w:rsidR="0057431A" w:rsidRPr="00BC68A9" w:rsidRDefault="0057431A" w:rsidP="006738F0">
                      <w:pPr>
                        <w:spacing w:line="200" w:lineRule="exact"/>
                        <w:rPr>
                          <w:sz w:val="20"/>
                          <w:szCs w:val="20"/>
                        </w:rPr>
                      </w:pPr>
                      <w:r w:rsidRPr="00BC68A9">
                        <w:rPr>
                          <w:sz w:val="20"/>
                          <w:szCs w:val="20"/>
                        </w:rPr>
                        <w:t>Ме=</w:t>
                      </w:r>
                      <w:r>
                        <w:rPr>
                          <w:sz w:val="20"/>
                          <w:szCs w:val="20"/>
                        </w:rPr>
                        <w:t>75,29</w:t>
                      </w:r>
                    </w:p>
                    <w:p w:rsidR="0057431A" w:rsidRPr="00AB5CE2" w:rsidRDefault="0057431A" w:rsidP="006738F0">
                      <w:pPr>
                        <w:spacing w:line="200" w:lineRule="exact"/>
                        <w:rPr>
                          <w:sz w:val="20"/>
                          <w:szCs w:val="20"/>
                        </w:rPr>
                      </w:pPr>
                      <w:r w:rsidRPr="00BC68A9">
                        <w:rPr>
                          <w:sz w:val="20"/>
                          <w:szCs w:val="20"/>
                          <w:lang w:val="en-US"/>
                        </w:rPr>
                        <w:t>Q1=</w:t>
                      </w:r>
                      <w:r>
                        <w:rPr>
                          <w:sz w:val="20"/>
                          <w:szCs w:val="20"/>
                        </w:rPr>
                        <w:t>67</w:t>
                      </w:r>
                      <w:proofErr w:type="gramStart"/>
                      <w:r>
                        <w:rPr>
                          <w:sz w:val="20"/>
                          <w:szCs w:val="20"/>
                        </w:rPr>
                        <w:t>,23</w:t>
                      </w:r>
                      <w:proofErr w:type="gramEnd"/>
                    </w:p>
                    <w:p w:rsidR="0057431A" w:rsidRPr="00AB5CE2" w:rsidRDefault="0057431A" w:rsidP="006738F0">
                      <w:pPr>
                        <w:spacing w:line="200" w:lineRule="exact"/>
                        <w:rPr>
                          <w:sz w:val="20"/>
                          <w:szCs w:val="20"/>
                        </w:rPr>
                      </w:pPr>
                      <w:r w:rsidRPr="00BC68A9">
                        <w:rPr>
                          <w:sz w:val="20"/>
                          <w:szCs w:val="20"/>
                          <w:lang w:val="en-US"/>
                        </w:rPr>
                        <w:t>Q</w:t>
                      </w:r>
                      <w:r>
                        <w:rPr>
                          <w:sz w:val="20"/>
                          <w:szCs w:val="20"/>
                        </w:rPr>
                        <w:t>3</w:t>
                      </w:r>
                      <w:r w:rsidRPr="00BC68A9">
                        <w:rPr>
                          <w:sz w:val="20"/>
                          <w:szCs w:val="20"/>
                          <w:lang w:val="en-US"/>
                        </w:rPr>
                        <w:t>=</w:t>
                      </w:r>
                      <w:r>
                        <w:rPr>
                          <w:sz w:val="20"/>
                          <w:szCs w:val="20"/>
                        </w:rPr>
                        <w:t>81</w:t>
                      </w:r>
                      <w:proofErr w:type="gramStart"/>
                      <w:r>
                        <w:rPr>
                          <w:sz w:val="20"/>
                          <w:szCs w:val="20"/>
                        </w:rPr>
                        <w:t>,5</w:t>
                      </w:r>
                      <w:proofErr w:type="gramEnd"/>
                    </w:p>
                  </w:txbxContent>
                </v:textbox>
                <w10:wrap anchorx="page"/>
              </v:shape>
            </w:pict>
          </mc:Fallback>
        </mc:AlternateContent>
      </w:r>
      <w:r w:rsidRPr="00006A39">
        <w:rPr>
          <w:rFonts w:eastAsia="Times New Roman"/>
          <w:noProof/>
          <w:szCs w:val="28"/>
          <w:lang w:val="ru-RU" w:eastAsia="ru-RU"/>
        </w:rPr>
        <mc:AlternateContent>
          <mc:Choice Requires="wps">
            <w:drawing>
              <wp:anchor distT="0" distB="0" distL="114300" distR="114300" simplePos="0" relativeHeight="251687936" behindDoc="0" locked="0" layoutInCell="1" allowOverlap="1" wp14:anchorId="15828A3D" wp14:editId="4BFDFBBC">
                <wp:simplePos x="0" y="0"/>
                <wp:positionH relativeFrom="page">
                  <wp:posOffset>1797776</wp:posOffset>
                </wp:positionH>
                <wp:positionV relativeFrom="paragraph">
                  <wp:posOffset>455295</wp:posOffset>
                </wp:positionV>
                <wp:extent cx="771525" cy="478790"/>
                <wp:effectExtent l="0" t="0" r="0" b="0"/>
                <wp:wrapNone/>
                <wp:docPr id="64" name="Надпись 64"/>
                <wp:cNvGraphicFramePr/>
                <a:graphic xmlns:a="http://schemas.openxmlformats.org/drawingml/2006/main">
                  <a:graphicData uri="http://schemas.microsoft.com/office/word/2010/wordprocessingShape">
                    <wps:wsp>
                      <wps:cNvSpPr txBox="1"/>
                      <wps:spPr>
                        <a:xfrm>
                          <a:off x="0" y="0"/>
                          <a:ext cx="771525" cy="478790"/>
                        </a:xfrm>
                        <a:prstGeom prst="rect">
                          <a:avLst/>
                        </a:prstGeom>
                        <a:noFill/>
                        <a:ln w="6350">
                          <a:noFill/>
                        </a:ln>
                      </wps:spPr>
                      <wps:txbx>
                        <w:txbxContent>
                          <w:p w:rsidR="001E1DF5" w:rsidRPr="00BC68A9" w:rsidRDefault="001E1DF5" w:rsidP="006738F0">
                            <w:pPr>
                              <w:spacing w:line="200" w:lineRule="exact"/>
                              <w:rPr>
                                <w:sz w:val="20"/>
                                <w:szCs w:val="20"/>
                              </w:rPr>
                            </w:pPr>
                            <w:r w:rsidRPr="00BC68A9">
                              <w:rPr>
                                <w:sz w:val="20"/>
                                <w:szCs w:val="20"/>
                              </w:rPr>
                              <w:t>Ме=</w:t>
                            </w:r>
                            <w:r>
                              <w:rPr>
                                <w:sz w:val="20"/>
                                <w:szCs w:val="20"/>
                              </w:rPr>
                              <w:t>73,89</w:t>
                            </w:r>
                          </w:p>
                          <w:p w:rsidR="001E1DF5" w:rsidRPr="00BC68A9" w:rsidRDefault="001E1DF5" w:rsidP="006738F0">
                            <w:pPr>
                              <w:spacing w:line="200" w:lineRule="exact"/>
                              <w:rPr>
                                <w:sz w:val="20"/>
                                <w:szCs w:val="20"/>
                                <w:lang w:val="en-US"/>
                              </w:rPr>
                            </w:pPr>
                            <w:r>
                              <w:rPr>
                                <w:sz w:val="20"/>
                                <w:szCs w:val="20"/>
                                <w:lang w:val="en-US"/>
                              </w:rPr>
                              <w:t>Q1=67</w:t>
                            </w:r>
                            <w:proofErr w:type="gramStart"/>
                            <w:r>
                              <w:rPr>
                                <w:sz w:val="20"/>
                                <w:szCs w:val="20"/>
                                <w:lang w:val="en-US"/>
                              </w:rPr>
                              <w:t>,88</w:t>
                            </w:r>
                            <w:proofErr w:type="gramEnd"/>
                          </w:p>
                          <w:p w:rsidR="001E1DF5" w:rsidRPr="00BC68A9" w:rsidRDefault="001E1DF5" w:rsidP="006738F0">
                            <w:pPr>
                              <w:spacing w:line="200" w:lineRule="exact"/>
                              <w:rPr>
                                <w:sz w:val="20"/>
                                <w:szCs w:val="20"/>
                              </w:rPr>
                            </w:pPr>
                            <w:r w:rsidRPr="00BC68A9">
                              <w:rPr>
                                <w:sz w:val="20"/>
                                <w:szCs w:val="20"/>
                                <w:lang w:val="en-US"/>
                              </w:rPr>
                              <w:t>Q</w:t>
                            </w:r>
                            <w:r>
                              <w:rPr>
                                <w:sz w:val="20"/>
                                <w:szCs w:val="20"/>
                              </w:rPr>
                              <w:t>3</w:t>
                            </w:r>
                            <w:r w:rsidRPr="00BC68A9">
                              <w:rPr>
                                <w:sz w:val="20"/>
                                <w:szCs w:val="20"/>
                                <w:lang w:val="en-US"/>
                              </w:rPr>
                              <w:t>=</w:t>
                            </w:r>
                            <w:r>
                              <w:rPr>
                                <w:sz w:val="20"/>
                                <w:szCs w:val="20"/>
                                <w:lang w:val="en-US"/>
                              </w:rPr>
                              <w:t>83</w:t>
                            </w:r>
                            <w:proofErr w:type="gramStart"/>
                            <w:r>
                              <w:rPr>
                                <w:sz w:val="20"/>
                                <w:szCs w:val="20"/>
                                <w:lang w:val="en-US"/>
                              </w:rPr>
                              <w:t>,72</w:t>
                            </w:r>
                            <w:proofErr w:type="gram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Надпись 64" o:spid="_x0000_s1117" type="#_x0000_t202" style="position:absolute;left:0;text-align:left;margin-left:141.55pt;margin-top:35.85pt;width:60.75pt;height:37.7pt;z-index:2516879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" filled="f" stroked="f" strokeweight=".5pt">
                <v:textbox>
                  <w:txbxContent>
                    <w:p w:rsidR="0057431A" w:rsidRPr="00BC68A9" w:rsidRDefault="0057431A" w:rsidP="006738F0">
                      <w:pPr>
                        <w:spacing w:line="200" w:lineRule="exact"/>
                        <w:rPr>
                          <w:sz w:val="20"/>
                          <w:szCs w:val="20"/>
                        </w:rPr>
                      </w:pPr>
                      <w:r w:rsidRPr="00BC68A9">
                        <w:rPr>
                          <w:sz w:val="20"/>
                          <w:szCs w:val="20"/>
                        </w:rPr>
                        <w:t>Ме=</w:t>
                      </w:r>
                      <w:r>
                        <w:rPr>
                          <w:sz w:val="20"/>
                          <w:szCs w:val="20"/>
                        </w:rPr>
                        <w:t>73,89</w:t>
                      </w:r>
                    </w:p>
                    <w:p w:rsidR="0057431A" w:rsidRPr="00BC68A9" w:rsidRDefault="0057431A" w:rsidP="006738F0">
                      <w:pPr>
                        <w:spacing w:line="200" w:lineRule="exact"/>
                        <w:rPr>
                          <w:sz w:val="20"/>
                          <w:szCs w:val="20"/>
                          <w:lang w:val="en-US"/>
                        </w:rPr>
                      </w:pPr>
                      <w:r>
                        <w:rPr>
                          <w:sz w:val="20"/>
                          <w:szCs w:val="20"/>
                          <w:lang w:val="en-US"/>
                        </w:rPr>
                        <w:t>Q1=67</w:t>
                      </w:r>
                      <w:proofErr w:type="gramStart"/>
                      <w:r>
                        <w:rPr>
                          <w:sz w:val="20"/>
                          <w:szCs w:val="20"/>
                          <w:lang w:val="en-US"/>
                        </w:rPr>
                        <w:t>,88</w:t>
                      </w:r>
                      <w:proofErr w:type="gramEnd"/>
                    </w:p>
                    <w:p w:rsidR="0057431A" w:rsidRPr="00BC68A9" w:rsidRDefault="0057431A" w:rsidP="006738F0">
                      <w:pPr>
                        <w:spacing w:line="200" w:lineRule="exact"/>
                        <w:rPr>
                          <w:sz w:val="20"/>
                          <w:szCs w:val="20"/>
                        </w:rPr>
                      </w:pPr>
                      <w:r w:rsidRPr="00BC68A9">
                        <w:rPr>
                          <w:sz w:val="20"/>
                          <w:szCs w:val="20"/>
                          <w:lang w:val="en-US"/>
                        </w:rPr>
                        <w:t>Q</w:t>
                      </w:r>
                      <w:r>
                        <w:rPr>
                          <w:sz w:val="20"/>
                          <w:szCs w:val="20"/>
                        </w:rPr>
                        <w:t>3</w:t>
                      </w:r>
                      <w:r w:rsidRPr="00BC68A9">
                        <w:rPr>
                          <w:sz w:val="20"/>
                          <w:szCs w:val="20"/>
                          <w:lang w:val="en-US"/>
                        </w:rPr>
                        <w:t>=</w:t>
                      </w:r>
                      <w:r>
                        <w:rPr>
                          <w:sz w:val="20"/>
                          <w:szCs w:val="20"/>
                          <w:lang w:val="en-US"/>
                        </w:rPr>
                        <w:t>83</w:t>
                      </w:r>
                      <w:proofErr w:type="gramStart"/>
                      <w:r>
                        <w:rPr>
                          <w:sz w:val="20"/>
                          <w:szCs w:val="20"/>
                          <w:lang w:val="en-US"/>
                        </w:rPr>
                        <w:t>,72</w:t>
                      </w:r>
                      <w:proofErr w:type="gramEnd"/>
                    </w:p>
                  </w:txbxContent>
                </v:textbox>
                <w10:wrap anchorx="page"/>
              </v:shape>
            </w:pict>
          </mc:Fallback>
        </mc:AlternateContent>
      </w:r>
      <w:r w:rsidR="006738F0" w:rsidRPr="00006A39">
        <w:rPr>
          <w:rFonts w:eastAsia="Times New Roman"/>
          <w:noProof/>
          <w:color w:val="FF0000"/>
          <w:szCs w:val="28"/>
          <w:lang w:val="ru-RU" w:eastAsia="ru-RU"/>
        </w:rPr>
        <w:drawing>
          <wp:inline distT="0" distB="0" distL="0" distR="0" wp14:anchorId="69AF3043" wp14:editId="00DB79CC">
            <wp:extent cx="5682343" cy="3810000"/>
            <wp:effectExtent l="0" t="0" r="0" b="0"/>
            <wp:docPr id="69" name="Рисунок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5680126" cy="3808514"/>
                    </a:xfrm>
                    <a:prstGeom prst="rect">
                      <a:avLst/>
                    </a:prstGeom>
                    <a:noFill/>
                    <a:ln>
                      <a:noFill/>
                    </a:ln>
                  </pic:spPr>
                </pic:pic>
              </a:graphicData>
            </a:graphic>
          </wp:inline>
        </w:drawing>
      </w:r>
    </w:p>
    <w:p w:rsidR="006738F0" w:rsidRPr="003D5211" w:rsidRDefault="006738F0" w:rsidP="00721203">
      <w:pPr>
        <w:widowControl w:val="0"/>
        <w:spacing w:after="120"/>
        <w:ind w:firstLine="709"/>
        <w:rPr>
          <w:szCs w:val="28"/>
        </w:rPr>
      </w:pPr>
      <w:r w:rsidRPr="003D5211">
        <w:rPr>
          <w:szCs w:val="28"/>
        </w:rPr>
        <w:t xml:space="preserve">Рис. 5.5 Медіанні значення показника  укомплектованості </w:t>
      </w:r>
      <w:r w:rsidRPr="003D5211">
        <w:rPr>
          <w:rFonts w:eastAsia="Times New Roman"/>
          <w:szCs w:val="28"/>
          <w:lang w:eastAsia="ru-RU"/>
        </w:rPr>
        <w:t>ЗОЗ фізичними особами лікарями-педіатрами за 2014-2018 рр.</w:t>
      </w:r>
    </w:p>
    <w:p w:rsidR="006738F0" w:rsidRPr="00006A39" w:rsidRDefault="006738F0" w:rsidP="00721203">
      <w:pPr>
        <w:widowControl w:val="0"/>
        <w:ind w:firstLine="709"/>
        <w:rPr>
          <w:color w:val="000000" w:themeColor="text1"/>
          <w:szCs w:val="28"/>
        </w:rPr>
      </w:pPr>
      <w:r w:rsidRPr="00006A39">
        <w:rPr>
          <w:color w:val="000000" w:themeColor="text1"/>
          <w:szCs w:val="28"/>
        </w:rPr>
        <w:t>Для комплексного оцінювання кадрового забезпечення системи охорони дитинства проаналізовано динаміку рівня забезпеченості дитячого населення лікарями інших спеціальностей (рис.</w:t>
      </w:r>
      <w:r w:rsidR="00CF75F1">
        <w:rPr>
          <w:color w:val="000000" w:themeColor="text1"/>
          <w:szCs w:val="28"/>
        </w:rPr>
        <w:t xml:space="preserve"> </w:t>
      </w:r>
      <w:r w:rsidR="00F34224">
        <w:rPr>
          <w:color w:val="000000" w:themeColor="text1"/>
          <w:szCs w:val="28"/>
        </w:rPr>
        <w:t>5</w:t>
      </w:r>
      <w:r w:rsidRPr="00006A39">
        <w:rPr>
          <w:color w:val="000000" w:themeColor="text1"/>
          <w:szCs w:val="28"/>
        </w:rPr>
        <w:t>.</w:t>
      </w:r>
      <w:r w:rsidR="00F34224">
        <w:rPr>
          <w:color w:val="000000" w:themeColor="text1"/>
          <w:szCs w:val="28"/>
        </w:rPr>
        <w:t>6</w:t>
      </w:r>
      <w:r w:rsidRPr="00006A39">
        <w:rPr>
          <w:color w:val="000000" w:themeColor="text1"/>
          <w:szCs w:val="28"/>
        </w:rPr>
        <w:t xml:space="preserve">). </w:t>
      </w:r>
    </w:p>
    <w:p w:rsidR="006738F0" w:rsidRPr="00D330F5" w:rsidRDefault="006738F0" w:rsidP="00D330F5">
      <w:pPr>
        <w:widowControl w:val="0"/>
        <w:ind w:firstLine="709"/>
        <w:rPr>
          <w:rFonts w:eastAsia="Times New Roman"/>
          <w:color w:val="000000" w:themeColor="text1"/>
          <w:szCs w:val="28"/>
          <w:lang w:eastAsia="ru-RU"/>
        </w:rPr>
      </w:pPr>
      <w:r w:rsidRPr="00006A39">
        <w:rPr>
          <w:rFonts w:eastAsia="Times New Roman"/>
          <w:szCs w:val="28"/>
          <w:lang w:eastAsia="ru-RU"/>
        </w:rPr>
        <w:t>У структурі лікарів педіатричного профілю у 2018 р. найбільшу частку мали лікарі-педіатри (49,78%), дитячі лікарі-стоматологи (9,95%), лікарі педіатри-неонатологи (8,92%), лікарі анестезіологи дитячі (6,86%), дитячі лікарі-хірурги (4,46</w:t>
      </w:r>
      <w:r w:rsidRPr="00FA680C">
        <w:rPr>
          <w:rFonts w:eastAsia="Times New Roman"/>
          <w:color w:val="000000" w:themeColor="text1"/>
          <w:szCs w:val="28"/>
          <w:lang w:eastAsia="ru-RU"/>
        </w:rPr>
        <w:t xml:space="preserve">%) та дитячі лікарі-неврологи (3,78%). </w:t>
      </w:r>
    </w:p>
    <w:p w:rsidR="006738F0" w:rsidRPr="00006A39" w:rsidRDefault="006738F0" w:rsidP="00721203">
      <w:pPr>
        <w:widowControl w:val="0"/>
        <w:ind w:firstLine="709"/>
        <w:rPr>
          <w:rFonts w:eastAsia="Times New Roman"/>
          <w:color w:val="000000" w:themeColor="text1"/>
          <w:szCs w:val="28"/>
          <w:lang w:eastAsia="ru-RU"/>
        </w:rPr>
      </w:pPr>
      <w:r w:rsidRPr="00006A39">
        <w:rPr>
          <w:rFonts w:eastAsia="Times New Roman"/>
          <w:noProof/>
          <w:color w:val="000000" w:themeColor="text1"/>
          <w:szCs w:val="28"/>
          <w:lang w:val="ru-RU" w:eastAsia="ru-RU"/>
        </w:rPr>
        <w:lastRenderedPageBreak/>
        <w:drawing>
          <wp:inline distT="0" distB="0" distL="0" distR="0" wp14:anchorId="7EDC3975" wp14:editId="6195401A">
            <wp:extent cx="5486400" cy="7576457"/>
            <wp:effectExtent l="0" t="0" r="19050" b="24765"/>
            <wp:docPr id="70" name="Диаграмма 70"/>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6738F0" w:rsidRPr="00006A39" w:rsidRDefault="004E6840" w:rsidP="00721203">
      <w:pPr>
        <w:widowControl w:val="0"/>
        <w:spacing w:after="120"/>
        <w:ind w:firstLine="709"/>
        <w:rPr>
          <w:rFonts w:eastAsia="Times New Roman"/>
          <w:color w:val="000000" w:themeColor="text1"/>
          <w:szCs w:val="28"/>
          <w:lang w:eastAsia="ru-RU"/>
        </w:rPr>
      </w:pPr>
      <w:r>
        <w:rPr>
          <w:rFonts w:eastAsia="Times New Roman"/>
          <w:color w:val="000000" w:themeColor="text1"/>
          <w:szCs w:val="28"/>
          <w:lang w:eastAsia="ru-RU"/>
        </w:rPr>
        <w:t>Рис. 5.6</w:t>
      </w:r>
      <w:r>
        <w:rPr>
          <w:rFonts w:eastAsia="Times New Roman"/>
          <w:color w:val="000000" w:themeColor="text1"/>
          <w:szCs w:val="28"/>
          <w:lang w:val="ru-RU" w:eastAsia="ru-RU"/>
        </w:rPr>
        <w:t xml:space="preserve">. </w:t>
      </w:r>
      <w:r w:rsidR="006738F0" w:rsidRPr="00006A39">
        <w:rPr>
          <w:rFonts w:eastAsia="Times New Roman"/>
          <w:color w:val="000000" w:themeColor="text1"/>
          <w:szCs w:val="28"/>
          <w:lang w:eastAsia="ru-RU"/>
        </w:rPr>
        <w:t xml:space="preserve">Забезпеченість служби педіатрії </w:t>
      </w:r>
      <w:r w:rsidR="00846AB7">
        <w:rPr>
          <w:rFonts w:eastAsia="Times New Roman"/>
          <w:color w:val="000000" w:themeColor="text1"/>
          <w:szCs w:val="28"/>
          <w:lang w:eastAsia="ru-RU"/>
        </w:rPr>
        <w:t xml:space="preserve">лікарями інших спеціальностей  </w:t>
      </w:r>
      <w:r w:rsidR="006738F0" w:rsidRPr="00006A39">
        <w:rPr>
          <w:rFonts w:eastAsia="Times New Roman"/>
          <w:color w:val="000000" w:themeColor="text1"/>
          <w:szCs w:val="28"/>
          <w:lang w:eastAsia="ru-RU"/>
        </w:rPr>
        <w:t xml:space="preserve"> </w:t>
      </w:r>
      <w:r w:rsidR="00846AB7">
        <w:rPr>
          <w:rFonts w:eastAsia="Times New Roman"/>
          <w:color w:val="000000" w:themeColor="text1"/>
          <w:szCs w:val="28"/>
          <w:lang w:eastAsia="ru-RU"/>
        </w:rPr>
        <w:t>(</w:t>
      </w:r>
      <w:r w:rsidR="006738F0" w:rsidRPr="00006A39">
        <w:rPr>
          <w:rFonts w:eastAsia="Times New Roman"/>
          <w:color w:val="000000" w:themeColor="text1"/>
          <w:szCs w:val="28"/>
          <w:lang w:eastAsia="ru-RU"/>
        </w:rPr>
        <w:t>2014 та 2018 рр.</w:t>
      </w:r>
      <w:r w:rsidR="00846AB7">
        <w:rPr>
          <w:rFonts w:eastAsia="Times New Roman"/>
          <w:color w:val="000000" w:themeColor="text1"/>
          <w:szCs w:val="28"/>
          <w:lang w:eastAsia="ru-RU"/>
        </w:rPr>
        <w:t>)</w:t>
      </w:r>
    </w:p>
    <w:p w:rsidR="006738F0" w:rsidRPr="00006A39" w:rsidRDefault="006738F0" w:rsidP="00721203">
      <w:pPr>
        <w:widowControl w:val="0"/>
        <w:ind w:firstLine="709"/>
        <w:rPr>
          <w:szCs w:val="28"/>
        </w:rPr>
      </w:pPr>
      <w:r w:rsidRPr="00006A39">
        <w:rPr>
          <w:rFonts w:eastAsia="Times New Roman"/>
          <w:szCs w:val="28"/>
          <w:lang w:eastAsia="ru-RU"/>
        </w:rPr>
        <w:t>Як свідчать результат</w:t>
      </w:r>
      <w:r w:rsidR="000A5031">
        <w:rPr>
          <w:rFonts w:eastAsia="Times New Roman"/>
          <w:szCs w:val="28"/>
          <w:lang w:eastAsia="ru-RU"/>
        </w:rPr>
        <w:t>и дослідження за 2014-2018 рр. у</w:t>
      </w:r>
      <w:r w:rsidRPr="00006A39">
        <w:rPr>
          <w:rFonts w:eastAsia="Times New Roman"/>
          <w:szCs w:val="28"/>
          <w:lang w:eastAsia="ru-RU"/>
        </w:rPr>
        <w:t xml:space="preserve"> ЗОЗ України  відбулось </w:t>
      </w:r>
      <w:r w:rsidR="00896A4D" w:rsidRPr="00896A4D">
        <w:rPr>
          <w:rFonts w:eastAsia="Times New Roman"/>
          <w:szCs w:val="28"/>
          <w:lang w:eastAsia="ru-RU"/>
        </w:rPr>
        <w:t>скорочення як штатних посад, числа зайнятих штатних посад, так і числа фізичних осіб основних прац</w:t>
      </w:r>
      <w:r w:rsidR="00045E30">
        <w:rPr>
          <w:rFonts w:eastAsia="Times New Roman"/>
          <w:szCs w:val="28"/>
          <w:lang w:eastAsia="ru-RU"/>
        </w:rPr>
        <w:t xml:space="preserve">івників. Найбільше скорочення </w:t>
      </w:r>
      <w:r w:rsidR="00896A4D" w:rsidRPr="00896A4D">
        <w:rPr>
          <w:rFonts w:eastAsia="Times New Roman"/>
          <w:szCs w:val="28"/>
          <w:lang w:eastAsia="ru-RU"/>
        </w:rPr>
        <w:t xml:space="preserve">спостерігалось за </w:t>
      </w:r>
      <w:r w:rsidR="00896A4D" w:rsidRPr="00896A4D">
        <w:rPr>
          <w:rFonts w:eastAsia="Times New Roman"/>
          <w:szCs w:val="28"/>
          <w:lang w:eastAsia="ru-RU"/>
        </w:rPr>
        <w:lastRenderedPageBreak/>
        <w:t>спеціальностями: лікар терапевт-підлітковий</w:t>
      </w:r>
      <w:r w:rsidR="00AC75D4" w:rsidRPr="00AC75D4">
        <w:rPr>
          <w:rFonts w:eastAsia="Times New Roman"/>
          <w:szCs w:val="28"/>
          <w:lang w:eastAsia="ru-RU"/>
        </w:rPr>
        <w:t xml:space="preserve">, </w:t>
      </w:r>
      <w:r w:rsidR="00896A4D" w:rsidRPr="00896A4D">
        <w:rPr>
          <w:rFonts w:eastAsia="Times New Roman"/>
          <w:szCs w:val="28"/>
          <w:lang w:eastAsia="ru-RU"/>
        </w:rPr>
        <w:t>лікар-педіатр</w:t>
      </w:r>
      <w:r w:rsidR="00AC75D4" w:rsidRPr="00AC75D4">
        <w:rPr>
          <w:rFonts w:eastAsia="Times New Roman"/>
          <w:szCs w:val="28"/>
          <w:lang w:eastAsia="ru-RU"/>
        </w:rPr>
        <w:t xml:space="preserve">, </w:t>
      </w:r>
      <w:r w:rsidR="00AC75D4">
        <w:rPr>
          <w:rFonts w:eastAsia="Times New Roman"/>
          <w:szCs w:val="28"/>
          <w:lang w:eastAsia="ru-RU"/>
        </w:rPr>
        <w:t>лікар-фтизіатр дитячий</w:t>
      </w:r>
      <w:r w:rsidR="00AC75D4" w:rsidRPr="00AC75D4">
        <w:rPr>
          <w:rFonts w:eastAsia="Times New Roman"/>
          <w:szCs w:val="28"/>
          <w:lang w:eastAsia="ru-RU"/>
        </w:rPr>
        <w:t xml:space="preserve">, </w:t>
      </w:r>
      <w:r w:rsidR="00896A4D" w:rsidRPr="00896A4D">
        <w:rPr>
          <w:rFonts w:eastAsia="Times New Roman"/>
          <w:szCs w:val="28"/>
          <w:lang w:eastAsia="ru-RU"/>
        </w:rPr>
        <w:t>лікар-інфекціоніст д</w:t>
      </w:r>
      <w:r w:rsidR="00AC75D4">
        <w:rPr>
          <w:rFonts w:eastAsia="Times New Roman"/>
          <w:szCs w:val="28"/>
          <w:lang w:eastAsia="ru-RU"/>
        </w:rPr>
        <w:t>итячий</w:t>
      </w:r>
      <w:r w:rsidR="00896A4D" w:rsidRPr="00896A4D">
        <w:rPr>
          <w:rFonts w:eastAsia="Times New Roman"/>
          <w:szCs w:val="28"/>
          <w:lang w:eastAsia="ru-RU"/>
        </w:rPr>
        <w:t xml:space="preserve">, лікар-гінеколог </w:t>
      </w:r>
      <w:r w:rsidR="00AC75D4">
        <w:rPr>
          <w:rFonts w:eastAsia="Times New Roman"/>
          <w:szCs w:val="28"/>
          <w:lang w:eastAsia="ru-RU"/>
        </w:rPr>
        <w:t>дитячий, невропатолог</w:t>
      </w:r>
      <w:r w:rsidR="00AC75D4" w:rsidRPr="00AC75D4">
        <w:rPr>
          <w:rFonts w:eastAsia="Times New Roman"/>
          <w:szCs w:val="28"/>
          <w:lang w:eastAsia="ru-RU"/>
        </w:rPr>
        <w:t>.</w:t>
      </w:r>
      <w:r w:rsidR="00045E30">
        <w:rPr>
          <w:rFonts w:eastAsia="Times New Roman"/>
          <w:szCs w:val="28"/>
          <w:lang w:eastAsia="ru-RU"/>
        </w:rPr>
        <w:t xml:space="preserve"> </w:t>
      </w:r>
      <w:r w:rsidRPr="00006A39">
        <w:rPr>
          <w:rFonts w:eastAsia="Times New Roman"/>
          <w:szCs w:val="28"/>
          <w:lang w:eastAsia="ru-RU"/>
        </w:rPr>
        <w:t xml:space="preserve">Незмінним залишилось число фізичних осіб основних працівників в закладах на зайнятих лікарських посадах гематологів і урологів. </w:t>
      </w:r>
      <w:r w:rsidR="00F76F11" w:rsidRPr="00F76F11">
        <w:rPr>
          <w:szCs w:val="28"/>
        </w:rPr>
        <w:t>Зростання кількості штатних посад та зайнятих штатних посад встановлено за лікарськими дитячими спеціальностями: лікар-нейрохірург дитячий (на 11,52% і 22,7% відповідно), лікар-онколог дитячий (на 6,75% і 10,56% відповідно), лікар-алерголог дитячий (на 5,84% і 3,10% відповідно), лікар педіатр-неонатолог (на 1,09% і 0,44% відповідно), лікар-гематолог дитячий (на 0,91% і 6,14% відповідно), лікар-ревматолог дитячий (на 0,33% і 4,5% відповідно), а також числа зайнятих штатних посад лікарів-нефрологів дитячих на 1,4%. Також спостерігалось зростання кількості фізичних осіб основних працівників лікарів педіатрів-неонатологів (+26,92%), лікарів-нейрохірургів дитячих (+14,63%), лікарів-онкологів дитячих (+7,4%), лікарів</w:t>
      </w:r>
      <w:r w:rsidR="00045E30">
        <w:rPr>
          <w:szCs w:val="28"/>
        </w:rPr>
        <w:t xml:space="preserve">-алергологів дитячих (+5,88%), </w:t>
      </w:r>
      <w:r w:rsidR="00F76F11" w:rsidRPr="00F76F11">
        <w:rPr>
          <w:szCs w:val="28"/>
        </w:rPr>
        <w:t>лікарів-ревматологів дитячих (+3,88%), лікарів-нефрологів дитячих (+2,30%), лікарів-імунологів дитячих (+1,88%), лікарів-анестезіологів дитячих (+1,35%)</w:t>
      </w:r>
      <w:r w:rsidR="00045E30">
        <w:rPr>
          <w:szCs w:val="28"/>
        </w:rPr>
        <w:t xml:space="preserve"> </w:t>
      </w:r>
      <w:r w:rsidRPr="00D330F5">
        <w:rPr>
          <w:szCs w:val="28"/>
        </w:rPr>
        <w:t>(</w:t>
      </w:r>
      <w:r w:rsidR="0003729C" w:rsidRPr="00D330F5">
        <w:rPr>
          <w:szCs w:val="28"/>
        </w:rPr>
        <w:t>Додаток Г</w:t>
      </w:r>
      <w:r w:rsidR="0021560C" w:rsidRPr="00D330F5">
        <w:rPr>
          <w:szCs w:val="28"/>
        </w:rPr>
        <w:t>-</w:t>
      </w:r>
      <w:r w:rsidR="007644A3" w:rsidRPr="00D330F5">
        <w:rPr>
          <w:szCs w:val="28"/>
        </w:rPr>
        <w:t>7</w:t>
      </w:r>
      <w:r w:rsidRPr="00D330F5">
        <w:rPr>
          <w:szCs w:val="28"/>
        </w:rPr>
        <w:t>)</w:t>
      </w:r>
      <w:r w:rsidR="00C55421" w:rsidRPr="00D330F5">
        <w:rPr>
          <w:szCs w:val="28"/>
        </w:rPr>
        <w:t>.</w:t>
      </w:r>
    </w:p>
    <w:p w:rsidR="006738F0" w:rsidRPr="00006A39" w:rsidRDefault="006738F0" w:rsidP="00721203">
      <w:pPr>
        <w:widowControl w:val="0"/>
        <w:ind w:firstLine="709"/>
        <w:rPr>
          <w:szCs w:val="28"/>
        </w:rPr>
      </w:pPr>
      <w:r w:rsidRPr="00006A39">
        <w:rPr>
          <w:szCs w:val="28"/>
        </w:rPr>
        <w:t>Нами досліджено укомплектованість штатних посад дитячими лікарями-спеціалістами, де найнижчі показники у 2018</w:t>
      </w:r>
      <w:r w:rsidR="0081775C" w:rsidRPr="00006A39">
        <w:rPr>
          <w:szCs w:val="28"/>
        </w:rPr>
        <w:t> </w:t>
      </w:r>
      <w:r w:rsidRPr="00006A39">
        <w:rPr>
          <w:szCs w:val="28"/>
        </w:rPr>
        <w:t xml:space="preserve">р. спостерігались у лікарів-офтальмологів дитячих (81,82%), лікарів-гінекологів дитячих (83,22%), лікарів-психіатрів дитячих (83,86%), лікарів-імунологів дитячих (83,38%), а найвищі за спеціальностями лікар-гематолог дитячий (93,25%), лікар-стоматолог дитячий (91,83%), лікар педіатр-неонатолог (90,25%), лікар-онколог дитячий (90,23%), лікар-хірург дитячий (90,22%), лікар-отоларинголог дитячий (90,22%). </w:t>
      </w:r>
    </w:p>
    <w:p w:rsidR="006738F0" w:rsidRPr="00006A39" w:rsidRDefault="006738F0" w:rsidP="00721203">
      <w:pPr>
        <w:widowControl w:val="0"/>
        <w:ind w:firstLine="709"/>
        <w:rPr>
          <w:szCs w:val="28"/>
        </w:rPr>
      </w:pPr>
      <w:r w:rsidRPr="00006A39">
        <w:rPr>
          <w:szCs w:val="28"/>
        </w:rPr>
        <w:t>У той же час, показники укомплектованості штатів (лікарів-спеціалістів) фізичними особами виявились значно нижчими: за спеціальністю</w:t>
      </w:r>
      <w:r w:rsidR="00E74650">
        <w:rPr>
          <w:szCs w:val="28"/>
        </w:rPr>
        <w:t xml:space="preserve"> лікар-імунолог дитячий</w:t>
      </w:r>
      <w:r w:rsidRPr="00006A39">
        <w:rPr>
          <w:szCs w:val="28"/>
        </w:rPr>
        <w:t>, лік</w:t>
      </w:r>
      <w:r w:rsidR="00E74650">
        <w:rPr>
          <w:szCs w:val="28"/>
        </w:rPr>
        <w:t>ар-анестезіолог дитячий, лікар-онколог дитячий</w:t>
      </w:r>
      <w:r w:rsidRPr="00006A39">
        <w:rPr>
          <w:szCs w:val="28"/>
        </w:rPr>
        <w:t>, що в порівнянні з показниками укомплектованості штатних посад за даними спеціальностями, які є вищими, свідчить про достатньо значимий рівень сумісництва. Найвищі показники</w:t>
      </w:r>
      <w:r w:rsidRPr="00006A39">
        <w:t xml:space="preserve"> </w:t>
      </w:r>
      <w:r w:rsidRPr="00006A39">
        <w:rPr>
          <w:szCs w:val="28"/>
        </w:rPr>
        <w:t>укомплектованості штатів (лікарів-спеціалістів) фізичними особами встановлено у лікар</w:t>
      </w:r>
      <w:r w:rsidR="00E74650">
        <w:rPr>
          <w:szCs w:val="28"/>
        </w:rPr>
        <w:t>ів-стоматологів дитячих</w:t>
      </w:r>
      <w:r w:rsidRPr="00006A39">
        <w:rPr>
          <w:szCs w:val="28"/>
        </w:rPr>
        <w:t>, ліка</w:t>
      </w:r>
      <w:r w:rsidR="00E74650">
        <w:rPr>
          <w:szCs w:val="28"/>
        </w:rPr>
        <w:t>рів-алергологів дитячих</w:t>
      </w:r>
      <w:r w:rsidRPr="00006A39">
        <w:rPr>
          <w:szCs w:val="28"/>
        </w:rPr>
        <w:t>, лікарів-дер</w:t>
      </w:r>
      <w:r w:rsidR="00E74650">
        <w:rPr>
          <w:szCs w:val="28"/>
        </w:rPr>
        <w:t>матовенерологів дитячих</w:t>
      </w:r>
      <w:r w:rsidRPr="00006A39">
        <w:rPr>
          <w:szCs w:val="28"/>
        </w:rPr>
        <w:t>, лікарів-</w:t>
      </w:r>
      <w:r w:rsidR="00E74650">
        <w:rPr>
          <w:szCs w:val="28"/>
        </w:rPr>
        <w:t>отоларингологів дитячих</w:t>
      </w:r>
      <w:r w:rsidR="00F34224">
        <w:rPr>
          <w:szCs w:val="28"/>
        </w:rPr>
        <w:t xml:space="preserve"> (рис.</w:t>
      </w:r>
      <w:r w:rsidR="009F4325">
        <w:rPr>
          <w:szCs w:val="28"/>
        </w:rPr>
        <w:t xml:space="preserve"> </w:t>
      </w:r>
      <w:r w:rsidR="00F34224">
        <w:rPr>
          <w:szCs w:val="28"/>
        </w:rPr>
        <w:t>5.7)</w:t>
      </w:r>
      <w:r w:rsidRPr="00006A39">
        <w:rPr>
          <w:szCs w:val="28"/>
        </w:rPr>
        <w:t xml:space="preserve">. </w:t>
      </w:r>
    </w:p>
    <w:p w:rsidR="006738F0" w:rsidRPr="00006A39" w:rsidRDefault="006738F0" w:rsidP="00721203">
      <w:pPr>
        <w:widowControl w:val="0"/>
        <w:ind w:firstLine="709"/>
        <w:rPr>
          <w:rFonts w:eastAsia="Times New Roman"/>
          <w:color w:val="000000" w:themeColor="text1"/>
          <w:szCs w:val="28"/>
          <w:lang w:eastAsia="ru-RU"/>
        </w:rPr>
      </w:pPr>
      <w:r w:rsidRPr="00006A39">
        <w:rPr>
          <w:rFonts w:eastAsia="Times New Roman"/>
          <w:noProof/>
          <w:color w:val="000000" w:themeColor="text1"/>
          <w:szCs w:val="28"/>
          <w:lang w:val="ru-RU" w:eastAsia="ru-RU"/>
        </w:rPr>
        <w:lastRenderedPageBreak/>
        <w:drawing>
          <wp:inline distT="0" distB="0" distL="0" distR="0" wp14:anchorId="35C921C1" wp14:editId="0020A9B5">
            <wp:extent cx="5486400" cy="6906986"/>
            <wp:effectExtent l="0" t="0" r="19050" b="27305"/>
            <wp:docPr id="71" name="Диаграмма 71"/>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6738F0" w:rsidRPr="00EA09FC" w:rsidRDefault="006738F0" w:rsidP="000F1D15">
      <w:pPr>
        <w:widowControl w:val="0"/>
        <w:ind w:firstLine="709"/>
        <w:rPr>
          <w:rFonts w:eastAsia="Times New Roman"/>
          <w:color w:val="000000" w:themeColor="text1"/>
          <w:szCs w:val="28"/>
          <w:lang w:eastAsia="ru-RU"/>
        </w:rPr>
      </w:pPr>
      <w:r w:rsidRPr="00006A39">
        <w:rPr>
          <w:rFonts w:eastAsia="Times New Roman"/>
          <w:color w:val="000000" w:themeColor="text1"/>
          <w:szCs w:val="28"/>
          <w:lang w:eastAsia="ru-RU"/>
        </w:rPr>
        <w:t>Рис. 5.7. Укомплектованість посад лікарів спеціалізованої та високоспеціалізованої допомоги фізичними особами (лікарями)</w:t>
      </w:r>
    </w:p>
    <w:p w:rsidR="00735C81" w:rsidRPr="00D95B66" w:rsidRDefault="000679BA" w:rsidP="00BD34A7">
      <w:pPr>
        <w:widowControl w:val="0"/>
        <w:ind w:firstLine="709"/>
        <w:rPr>
          <w:rFonts w:eastAsia="Times New Roman"/>
          <w:szCs w:val="28"/>
          <w:lang w:eastAsia="ru-RU"/>
        </w:rPr>
      </w:pPr>
      <w:r w:rsidRPr="000679BA">
        <w:rPr>
          <w:rFonts w:eastAsia="Times New Roman"/>
          <w:szCs w:val="28"/>
          <w:lang w:eastAsia="ru-RU"/>
        </w:rPr>
        <w:t xml:space="preserve">В ході дослідження, враховуючи важливість перинатального періоду у розвитку дитини та високу дитячу смертність у неонатальному періоді,  нами вивчено показники укомплектованості штатних посад лікарів педіатрів-неонатологів та укомплектованість штатних посад лікарів педіатрів-неонатологів фізичними особами в ЗОЗ за регіонами України. Слід зазначити, що даним показникам </w:t>
      </w:r>
      <w:r w:rsidRPr="000679BA">
        <w:rPr>
          <w:rFonts w:eastAsia="Times New Roman"/>
          <w:szCs w:val="28"/>
          <w:lang w:eastAsia="ru-RU"/>
        </w:rPr>
        <w:lastRenderedPageBreak/>
        <w:t>притаманна регіональна диспропорція, в більшості рег</w:t>
      </w:r>
      <w:r w:rsidR="00DD6AE6">
        <w:rPr>
          <w:rFonts w:eastAsia="Times New Roman"/>
          <w:szCs w:val="28"/>
          <w:lang w:eastAsia="ru-RU"/>
        </w:rPr>
        <w:t>іонах є певний дефіцит кадрів, у</w:t>
      </w:r>
      <w:r w:rsidRPr="000679BA">
        <w:rPr>
          <w:rFonts w:eastAsia="Times New Roman"/>
          <w:szCs w:val="28"/>
          <w:lang w:eastAsia="ru-RU"/>
        </w:rPr>
        <w:t xml:space="preserve"> зв’язку з чим спостерігається робота за сумісництвом лікарів педіатрів-неонатологів. Найвища укомплектованість</w:t>
      </w:r>
      <w:r w:rsidRPr="000679BA">
        <w:rPr>
          <w:rFonts w:ascii="Calibri" w:eastAsia="Calibri" w:hAnsi="Calibri"/>
          <w:sz w:val="22"/>
        </w:rPr>
        <w:t xml:space="preserve"> </w:t>
      </w:r>
      <w:r w:rsidRPr="000679BA">
        <w:rPr>
          <w:rFonts w:eastAsia="Times New Roman"/>
          <w:szCs w:val="28"/>
          <w:lang w:eastAsia="ru-RU"/>
        </w:rPr>
        <w:t>штатних посад лікарями педіатрами-неонатологами і укомплектованість штатних посад лікарів педіатрів-неонатологів фізичними особами у 2018 р. спостерігається у Львівській  Закарпатській і Тернопільській областях – 99,2% і 102,18; 95,9% і 100,5%; 100,0% і 94,4% відповідно. Низькою залишається укомплектованість ЗОЗ штатними посадами</w:t>
      </w:r>
      <w:r w:rsidRPr="000679BA">
        <w:rPr>
          <w:rFonts w:ascii="Calibri" w:eastAsia="Calibri" w:hAnsi="Calibri"/>
          <w:szCs w:val="28"/>
        </w:rPr>
        <w:t xml:space="preserve"> </w:t>
      </w:r>
      <w:r w:rsidRPr="000679BA">
        <w:rPr>
          <w:rFonts w:eastAsia="Times New Roman"/>
          <w:szCs w:val="28"/>
          <w:lang w:eastAsia="ru-RU"/>
        </w:rPr>
        <w:t xml:space="preserve">лікарів педіатрів-неонатологів і укомплектованість штатних посад лікарів педіатрів-неонатологів фізичними особами основними працівниками у ЗОЗ  Волинської, Київської, Кіровоградської і Луганської областей – 64,11% і 63,16%; 74,4% і 64,4%;  87,17% і 60,16%; 80,16% і 50,79% відповідно. Гранична різниця </w:t>
      </w:r>
      <w:r w:rsidRPr="000679BA">
        <w:rPr>
          <w:rFonts w:ascii="Calibri" w:eastAsia="Calibri" w:hAnsi="Calibri"/>
          <w:sz w:val="22"/>
        </w:rPr>
        <w:t xml:space="preserve"> </w:t>
      </w:r>
      <w:r w:rsidRPr="000679BA">
        <w:rPr>
          <w:rFonts w:eastAsia="Times New Roman"/>
          <w:szCs w:val="28"/>
          <w:lang w:eastAsia="ru-RU"/>
        </w:rPr>
        <w:t>укомплектованості ЗОЗ штатними посадами лікарів педіатрів-неонатологів 1,25 рази,  укомплектованість штатних посад лікарів педіатрів-неонатологів фізичними особами основними працівниками 2,01 рази</w:t>
      </w:r>
      <w:r w:rsidR="00735C81" w:rsidRPr="00735C81">
        <w:rPr>
          <w:rFonts w:eastAsia="Times New Roman"/>
          <w:szCs w:val="28"/>
          <w:lang w:eastAsia="ru-RU"/>
        </w:rPr>
        <w:t xml:space="preserve"> </w:t>
      </w:r>
      <w:r w:rsidR="0003729C" w:rsidRPr="00D95B66">
        <w:rPr>
          <w:rFonts w:eastAsia="Times New Roman"/>
          <w:szCs w:val="28"/>
          <w:lang w:eastAsia="ru-RU"/>
        </w:rPr>
        <w:t>(Додаток Г</w:t>
      </w:r>
      <w:r w:rsidR="00FD0DFA" w:rsidRPr="00D95B66">
        <w:rPr>
          <w:rFonts w:eastAsia="Times New Roman"/>
          <w:szCs w:val="28"/>
          <w:lang w:eastAsia="ru-RU"/>
        </w:rPr>
        <w:t>-8</w:t>
      </w:r>
      <w:r w:rsidR="00735C81" w:rsidRPr="00D95B66">
        <w:rPr>
          <w:rFonts w:eastAsia="Times New Roman"/>
          <w:szCs w:val="28"/>
          <w:lang w:eastAsia="ru-RU"/>
        </w:rPr>
        <w:t>).</w:t>
      </w:r>
    </w:p>
    <w:p w:rsidR="006738F0" w:rsidRPr="00006A39" w:rsidRDefault="006738F0" w:rsidP="00721203">
      <w:pPr>
        <w:widowControl w:val="0"/>
        <w:ind w:firstLine="720"/>
        <w:rPr>
          <w:szCs w:val="28"/>
        </w:rPr>
      </w:pPr>
      <w:r w:rsidRPr="00006A39">
        <w:rPr>
          <w:szCs w:val="28"/>
        </w:rPr>
        <w:t xml:space="preserve">Нами вивчено укомплектованість штатних лікарських посад зайнятими, штатних лікарських посад фізичними особами – лікарями та штатних посад середнього медперсоналу зайнятими в обласних дитячих лікарнях та міських дитячих лікарнях України, за результатами встановлено зростання в обласних дитячих лікарнях вищезазначених показників у 2018 р. відносно 2014 р. на </w:t>
      </w:r>
      <w:r w:rsidR="00565BEF">
        <w:rPr>
          <w:szCs w:val="28"/>
        </w:rPr>
        <w:t>5,7%, 5,4%, 2,25% відповідно і</w:t>
      </w:r>
      <w:r w:rsidRPr="00006A39">
        <w:rPr>
          <w:szCs w:val="28"/>
        </w:rPr>
        <w:t xml:space="preserve"> становило 94,2; 77,8; 95,3 відповідно. Укомплектованість  штатних лікарських посад зайнятими, штатних лікарських посад фізичними особами – лікарями та штатних посад середнього медперсоналу зайнятими в міських дитячих лікарнях протягом періоду дослідження знизились на 2,5%, 1,95%, 4,6% відповідно відносно 2014 р. (89,7; 75,4; 91,8 відповідно). Слід зазначити, що укомплектованість штатних лікарських посад зайнятими, як в обласних дитячих лікарнях, так і в міських дитячих лікарнях  перевищує укомплектованість штатних лікарських посад фізичними особами – лікарями (обласні дитячі лікарні: 94,2 і 77,8; міські дитячі лікарні: 89,7 і 75,4 відповідно), що свідчить про певний кадровий дефіцит і укомплектованість штатних посад за рахунок сумісництва (табл. 5.</w:t>
      </w:r>
      <w:r w:rsidR="00FD0DFA">
        <w:rPr>
          <w:szCs w:val="28"/>
          <w:lang w:val="ru-RU"/>
        </w:rPr>
        <w:t>9</w:t>
      </w:r>
      <w:r w:rsidRPr="00006A39">
        <w:rPr>
          <w:szCs w:val="28"/>
        </w:rPr>
        <w:t xml:space="preserve">). </w:t>
      </w:r>
    </w:p>
    <w:p w:rsidR="006738F0" w:rsidRPr="005359F1" w:rsidRDefault="006738F0" w:rsidP="00472AE3">
      <w:pPr>
        <w:pageBreakBefore/>
        <w:widowControl w:val="0"/>
        <w:ind w:firstLine="720"/>
        <w:jc w:val="right"/>
        <w:rPr>
          <w:i/>
          <w:szCs w:val="28"/>
          <w:lang w:val="ru-RU"/>
        </w:rPr>
      </w:pPr>
      <w:r w:rsidRPr="00006A39">
        <w:rPr>
          <w:i/>
          <w:szCs w:val="28"/>
        </w:rPr>
        <w:lastRenderedPageBreak/>
        <w:t>Таблиця 5.</w:t>
      </w:r>
      <w:r w:rsidR="00FD0DFA">
        <w:rPr>
          <w:i/>
          <w:szCs w:val="28"/>
          <w:lang w:val="ru-RU"/>
        </w:rPr>
        <w:t>9</w:t>
      </w:r>
    </w:p>
    <w:p w:rsidR="006738F0" w:rsidRPr="00006A39" w:rsidRDefault="006738F0" w:rsidP="00721203">
      <w:pPr>
        <w:widowControl w:val="0"/>
        <w:autoSpaceDE w:val="0"/>
        <w:autoSpaceDN w:val="0"/>
        <w:jc w:val="center"/>
        <w:rPr>
          <w:rFonts w:eastAsia="Times New Roman"/>
          <w:b/>
          <w:szCs w:val="28"/>
        </w:rPr>
      </w:pPr>
      <w:r w:rsidRPr="00006A39">
        <w:rPr>
          <w:rFonts w:eastAsia="Times New Roman"/>
          <w:b/>
          <w:szCs w:val="28"/>
        </w:rPr>
        <w:t>Укомплектованість штатних лікарських посад зайнятими, штатних лікарських посад фізичними особами – лікарями та штатних посад середнього медперсоналу зайнятими в окремих типах закладів у 2014, 2018 рр.</w:t>
      </w:r>
    </w:p>
    <w:tbl>
      <w:tblPr>
        <w:tblStyle w:val="a6"/>
        <w:tblW w:w="0" w:type="auto"/>
        <w:tblInd w:w="108" w:type="dxa"/>
        <w:tblLook w:val="04A0" w:firstRow="1" w:lastRow="0" w:firstColumn="1" w:lastColumn="0" w:noHBand="0" w:noVBand="1"/>
      </w:tblPr>
      <w:tblGrid>
        <w:gridCol w:w="3835"/>
        <w:gridCol w:w="776"/>
        <w:gridCol w:w="776"/>
        <w:gridCol w:w="1860"/>
        <w:gridCol w:w="776"/>
        <w:gridCol w:w="776"/>
        <w:gridCol w:w="1514"/>
      </w:tblGrid>
      <w:tr w:rsidR="006738F0" w:rsidRPr="00006A39" w:rsidTr="00A62D42">
        <w:tc>
          <w:tcPr>
            <w:tcW w:w="3835" w:type="dxa"/>
            <w:vMerge w:val="restart"/>
          </w:tcPr>
          <w:p w:rsidR="006738F0" w:rsidRPr="00006A39" w:rsidRDefault="006738F0" w:rsidP="00721203">
            <w:pPr>
              <w:widowControl w:val="0"/>
              <w:spacing w:line="276" w:lineRule="auto"/>
              <w:jc w:val="center"/>
              <w:rPr>
                <w:rFonts w:ascii="Times New Roman" w:hAnsi="Times New Roman"/>
                <w:sz w:val="28"/>
                <w:szCs w:val="28"/>
                <w:lang w:val="uk-UA"/>
              </w:rPr>
            </w:pPr>
            <w:r w:rsidRPr="00006A39">
              <w:rPr>
                <w:rFonts w:ascii="Times New Roman" w:hAnsi="Times New Roman"/>
                <w:sz w:val="28"/>
                <w:szCs w:val="28"/>
                <w:lang w:val="uk-UA"/>
              </w:rPr>
              <w:t>Показники</w:t>
            </w:r>
          </w:p>
        </w:tc>
        <w:tc>
          <w:tcPr>
            <w:tcW w:w="0" w:type="auto"/>
            <w:gridSpan w:val="3"/>
          </w:tcPr>
          <w:p w:rsidR="006738F0" w:rsidRPr="00006A39" w:rsidRDefault="006738F0" w:rsidP="00721203">
            <w:pPr>
              <w:widowControl w:val="0"/>
              <w:spacing w:line="276" w:lineRule="auto"/>
              <w:jc w:val="center"/>
              <w:rPr>
                <w:rFonts w:ascii="Times New Roman" w:hAnsi="Times New Roman"/>
                <w:sz w:val="28"/>
                <w:szCs w:val="28"/>
                <w:lang w:val="uk-UA"/>
              </w:rPr>
            </w:pPr>
            <w:r w:rsidRPr="00006A39">
              <w:rPr>
                <w:rFonts w:ascii="Times New Roman" w:hAnsi="Times New Roman"/>
                <w:sz w:val="28"/>
                <w:szCs w:val="28"/>
                <w:lang w:val="uk-UA"/>
              </w:rPr>
              <w:t>Обласні дитячі лікарні</w:t>
            </w:r>
          </w:p>
        </w:tc>
        <w:tc>
          <w:tcPr>
            <w:tcW w:w="3066" w:type="dxa"/>
            <w:gridSpan w:val="3"/>
          </w:tcPr>
          <w:p w:rsidR="006738F0" w:rsidRPr="00006A39" w:rsidRDefault="006738F0" w:rsidP="00721203">
            <w:pPr>
              <w:widowControl w:val="0"/>
              <w:spacing w:line="276" w:lineRule="auto"/>
              <w:jc w:val="center"/>
              <w:rPr>
                <w:rFonts w:ascii="Times New Roman" w:hAnsi="Times New Roman"/>
                <w:sz w:val="28"/>
                <w:szCs w:val="28"/>
                <w:lang w:val="uk-UA"/>
              </w:rPr>
            </w:pPr>
            <w:r w:rsidRPr="00006A39">
              <w:rPr>
                <w:rFonts w:ascii="Times New Roman" w:hAnsi="Times New Roman"/>
                <w:sz w:val="28"/>
                <w:szCs w:val="28"/>
                <w:lang w:val="uk-UA"/>
              </w:rPr>
              <w:t>Міські дитячі лікарні</w:t>
            </w:r>
          </w:p>
        </w:tc>
      </w:tr>
      <w:tr w:rsidR="006738F0" w:rsidRPr="00006A39" w:rsidTr="00A62D42">
        <w:tc>
          <w:tcPr>
            <w:tcW w:w="3835" w:type="dxa"/>
            <w:vMerge/>
          </w:tcPr>
          <w:p w:rsidR="006738F0" w:rsidRPr="00006A39" w:rsidRDefault="006738F0" w:rsidP="00721203">
            <w:pPr>
              <w:widowControl w:val="0"/>
              <w:spacing w:line="276" w:lineRule="auto"/>
              <w:jc w:val="center"/>
              <w:rPr>
                <w:rFonts w:ascii="Times New Roman" w:hAnsi="Times New Roman"/>
                <w:sz w:val="28"/>
                <w:szCs w:val="28"/>
                <w:lang w:val="uk-UA"/>
              </w:rPr>
            </w:pPr>
          </w:p>
        </w:tc>
        <w:tc>
          <w:tcPr>
            <w:tcW w:w="0" w:type="auto"/>
          </w:tcPr>
          <w:p w:rsidR="006738F0" w:rsidRPr="00006A39" w:rsidRDefault="006738F0" w:rsidP="00721203">
            <w:pPr>
              <w:widowControl w:val="0"/>
              <w:spacing w:line="276" w:lineRule="auto"/>
              <w:jc w:val="center"/>
              <w:rPr>
                <w:rFonts w:ascii="Times New Roman" w:hAnsi="Times New Roman"/>
                <w:sz w:val="28"/>
                <w:szCs w:val="28"/>
                <w:lang w:val="uk-UA"/>
              </w:rPr>
            </w:pPr>
            <w:r w:rsidRPr="00006A39">
              <w:rPr>
                <w:rFonts w:ascii="Times New Roman" w:hAnsi="Times New Roman"/>
                <w:sz w:val="28"/>
                <w:szCs w:val="28"/>
                <w:lang w:val="uk-UA"/>
              </w:rPr>
              <w:t>2014</w:t>
            </w:r>
          </w:p>
        </w:tc>
        <w:tc>
          <w:tcPr>
            <w:tcW w:w="0" w:type="auto"/>
          </w:tcPr>
          <w:p w:rsidR="006738F0" w:rsidRPr="00006A39" w:rsidRDefault="006738F0" w:rsidP="00721203">
            <w:pPr>
              <w:widowControl w:val="0"/>
              <w:spacing w:line="276" w:lineRule="auto"/>
              <w:jc w:val="center"/>
              <w:rPr>
                <w:rFonts w:ascii="Times New Roman" w:hAnsi="Times New Roman"/>
                <w:sz w:val="28"/>
                <w:szCs w:val="28"/>
                <w:lang w:val="uk-UA"/>
              </w:rPr>
            </w:pPr>
            <w:r w:rsidRPr="00006A39">
              <w:rPr>
                <w:rFonts w:ascii="Times New Roman" w:hAnsi="Times New Roman"/>
                <w:sz w:val="28"/>
                <w:szCs w:val="28"/>
                <w:lang w:val="uk-UA"/>
              </w:rPr>
              <w:t>2018</w:t>
            </w:r>
          </w:p>
        </w:tc>
        <w:tc>
          <w:tcPr>
            <w:tcW w:w="0" w:type="auto"/>
          </w:tcPr>
          <w:p w:rsidR="006738F0" w:rsidRPr="00006A39" w:rsidRDefault="006738F0" w:rsidP="00721203">
            <w:pPr>
              <w:widowControl w:val="0"/>
              <w:spacing w:line="276" w:lineRule="auto"/>
              <w:jc w:val="center"/>
              <w:rPr>
                <w:rFonts w:ascii="Times New Roman" w:hAnsi="Times New Roman"/>
                <w:sz w:val="28"/>
                <w:szCs w:val="28"/>
                <w:lang w:val="uk-UA"/>
              </w:rPr>
            </w:pPr>
            <w:r w:rsidRPr="00006A39">
              <w:rPr>
                <w:rFonts w:ascii="Times New Roman" w:hAnsi="Times New Roman"/>
                <w:sz w:val="28"/>
                <w:szCs w:val="28"/>
                <w:lang w:val="uk-UA"/>
              </w:rPr>
              <w:t>Темп приросту (убутку), %</w:t>
            </w:r>
          </w:p>
        </w:tc>
        <w:tc>
          <w:tcPr>
            <w:tcW w:w="0" w:type="auto"/>
          </w:tcPr>
          <w:p w:rsidR="006738F0" w:rsidRPr="00006A39" w:rsidRDefault="006738F0" w:rsidP="00721203">
            <w:pPr>
              <w:widowControl w:val="0"/>
              <w:spacing w:line="276" w:lineRule="auto"/>
              <w:jc w:val="center"/>
              <w:rPr>
                <w:rFonts w:ascii="Times New Roman" w:hAnsi="Times New Roman"/>
                <w:sz w:val="28"/>
                <w:szCs w:val="28"/>
                <w:lang w:val="uk-UA"/>
              </w:rPr>
            </w:pPr>
            <w:r w:rsidRPr="00006A39">
              <w:rPr>
                <w:rFonts w:ascii="Times New Roman" w:hAnsi="Times New Roman"/>
                <w:sz w:val="28"/>
                <w:szCs w:val="28"/>
                <w:lang w:val="uk-UA"/>
              </w:rPr>
              <w:t>2014</w:t>
            </w:r>
          </w:p>
        </w:tc>
        <w:tc>
          <w:tcPr>
            <w:tcW w:w="0" w:type="auto"/>
          </w:tcPr>
          <w:p w:rsidR="006738F0" w:rsidRPr="00006A39" w:rsidRDefault="006738F0" w:rsidP="00721203">
            <w:pPr>
              <w:widowControl w:val="0"/>
              <w:spacing w:line="276" w:lineRule="auto"/>
              <w:jc w:val="center"/>
              <w:rPr>
                <w:rFonts w:ascii="Times New Roman" w:hAnsi="Times New Roman"/>
                <w:sz w:val="28"/>
                <w:szCs w:val="28"/>
                <w:lang w:val="uk-UA"/>
              </w:rPr>
            </w:pPr>
            <w:r w:rsidRPr="00006A39">
              <w:rPr>
                <w:rFonts w:ascii="Times New Roman" w:hAnsi="Times New Roman"/>
                <w:sz w:val="28"/>
                <w:szCs w:val="28"/>
                <w:lang w:val="uk-UA"/>
              </w:rPr>
              <w:t>2018</w:t>
            </w:r>
          </w:p>
        </w:tc>
        <w:tc>
          <w:tcPr>
            <w:tcW w:w="1514" w:type="dxa"/>
          </w:tcPr>
          <w:p w:rsidR="006738F0" w:rsidRPr="00006A39" w:rsidRDefault="006738F0" w:rsidP="00721203">
            <w:pPr>
              <w:widowControl w:val="0"/>
              <w:spacing w:line="276" w:lineRule="auto"/>
              <w:jc w:val="center"/>
              <w:rPr>
                <w:rFonts w:ascii="Times New Roman" w:hAnsi="Times New Roman"/>
                <w:sz w:val="28"/>
                <w:szCs w:val="28"/>
                <w:lang w:val="uk-UA"/>
              </w:rPr>
            </w:pPr>
            <w:r w:rsidRPr="00006A39">
              <w:rPr>
                <w:rFonts w:ascii="Times New Roman" w:hAnsi="Times New Roman"/>
                <w:sz w:val="28"/>
                <w:szCs w:val="28"/>
                <w:lang w:val="uk-UA"/>
              </w:rPr>
              <w:t>Темп приросту (убутку), %</w:t>
            </w:r>
          </w:p>
        </w:tc>
      </w:tr>
      <w:tr w:rsidR="006738F0" w:rsidRPr="00006A39" w:rsidTr="00A62D42">
        <w:tc>
          <w:tcPr>
            <w:tcW w:w="3835" w:type="dxa"/>
          </w:tcPr>
          <w:p w:rsidR="006738F0" w:rsidRPr="00006A39" w:rsidRDefault="006738F0" w:rsidP="00721203">
            <w:pPr>
              <w:widowControl w:val="0"/>
              <w:spacing w:line="276" w:lineRule="auto"/>
              <w:rPr>
                <w:rFonts w:ascii="Times New Roman" w:hAnsi="Times New Roman"/>
                <w:sz w:val="28"/>
                <w:szCs w:val="28"/>
                <w:lang w:val="uk-UA"/>
              </w:rPr>
            </w:pPr>
            <w:r w:rsidRPr="00006A39">
              <w:rPr>
                <w:rFonts w:ascii="Times New Roman" w:hAnsi="Times New Roman"/>
                <w:sz w:val="28"/>
                <w:szCs w:val="28"/>
                <w:lang w:val="uk-UA"/>
              </w:rPr>
              <w:t>Укомплектованість штатних лікарських посад фізичними особами – лікарями</w:t>
            </w:r>
          </w:p>
        </w:tc>
        <w:tc>
          <w:tcPr>
            <w:tcW w:w="0" w:type="auto"/>
          </w:tcPr>
          <w:p w:rsidR="006738F0" w:rsidRPr="00006A39" w:rsidRDefault="006738F0" w:rsidP="00721203">
            <w:pPr>
              <w:widowControl w:val="0"/>
              <w:spacing w:line="276" w:lineRule="auto"/>
              <w:jc w:val="center"/>
              <w:rPr>
                <w:rFonts w:ascii="Times New Roman" w:hAnsi="Times New Roman"/>
                <w:sz w:val="28"/>
                <w:szCs w:val="28"/>
                <w:lang w:val="uk-UA"/>
              </w:rPr>
            </w:pPr>
            <w:r w:rsidRPr="00006A39">
              <w:rPr>
                <w:rFonts w:ascii="Times New Roman" w:hAnsi="Times New Roman"/>
                <w:sz w:val="28"/>
                <w:szCs w:val="28"/>
                <w:lang w:val="uk-UA"/>
              </w:rPr>
              <w:t>73,8</w:t>
            </w:r>
          </w:p>
        </w:tc>
        <w:tc>
          <w:tcPr>
            <w:tcW w:w="0" w:type="auto"/>
          </w:tcPr>
          <w:p w:rsidR="006738F0" w:rsidRPr="00006A39" w:rsidRDefault="006738F0" w:rsidP="00721203">
            <w:pPr>
              <w:widowControl w:val="0"/>
              <w:spacing w:line="276" w:lineRule="auto"/>
              <w:jc w:val="center"/>
              <w:rPr>
                <w:rFonts w:ascii="Times New Roman" w:hAnsi="Times New Roman"/>
                <w:sz w:val="28"/>
                <w:szCs w:val="28"/>
                <w:lang w:val="uk-UA"/>
              </w:rPr>
            </w:pPr>
            <w:r w:rsidRPr="00006A39">
              <w:rPr>
                <w:rFonts w:ascii="Times New Roman" w:hAnsi="Times New Roman"/>
                <w:sz w:val="28"/>
                <w:szCs w:val="28"/>
                <w:lang w:val="uk-UA"/>
              </w:rPr>
              <w:t>77,8</w:t>
            </w:r>
          </w:p>
        </w:tc>
        <w:tc>
          <w:tcPr>
            <w:tcW w:w="0" w:type="auto"/>
          </w:tcPr>
          <w:p w:rsidR="006738F0" w:rsidRPr="00006A39" w:rsidRDefault="006738F0" w:rsidP="00721203">
            <w:pPr>
              <w:widowControl w:val="0"/>
              <w:spacing w:line="276" w:lineRule="auto"/>
              <w:jc w:val="center"/>
              <w:rPr>
                <w:rFonts w:ascii="Times New Roman" w:hAnsi="Times New Roman"/>
                <w:sz w:val="28"/>
                <w:szCs w:val="28"/>
                <w:lang w:val="uk-UA"/>
              </w:rPr>
            </w:pPr>
            <w:r w:rsidRPr="00006A39">
              <w:rPr>
                <w:rFonts w:ascii="Times New Roman" w:hAnsi="Times New Roman"/>
                <w:sz w:val="28"/>
                <w:szCs w:val="28"/>
                <w:lang w:val="uk-UA"/>
              </w:rPr>
              <w:t>+5,4</w:t>
            </w:r>
          </w:p>
        </w:tc>
        <w:tc>
          <w:tcPr>
            <w:tcW w:w="0" w:type="auto"/>
          </w:tcPr>
          <w:p w:rsidR="006738F0" w:rsidRPr="00006A39" w:rsidRDefault="006738F0" w:rsidP="00721203">
            <w:pPr>
              <w:widowControl w:val="0"/>
              <w:spacing w:line="276" w:lineRule="auto"/>
              <w:jc w:val="center"/>
              <w:rPr>
                <w:rFonts w:ascii="Times New Roman" w:hAnsi="Times New Roman"/>
                <w:sz w:val="28"/>
                <w:szCs w:val="28"/>
                <w:lang w:val="uk-UA"/>
              </w:rPr>
            </w:pPr>
            <w:r w:rsidRPr="00006A39">
              <w:rPr>
                <w:rFonts w:ascii="Times New Roman" w:hAnsi="Times New Roman"/>
                <w:sz w:val="28"/>
                <w:szCs w:val="28"/>
                <w:lang w:val="uk-UA"/>
              </w:rPr>
              <w:t>76,9</w:t>
            </w:r>
          </w:p>
        </w:tc>
        <w:tc>
          <w:tcPr>
            <w:tcW w:w="0" w:type="auto"/>
          </w:tcPr>
          <w:p w:rsidR="006738F0" w:rsidRPr="00006A39" w:rsidRDefault="006738F0" w:rsidP="00721203">
            <w:pPr>
              <w:widowControl w:val="0"/>
              <w:spacing w:line="276" w:lineRule="auto"/>
              <w:jc w:val="center"/>
              <w:rPr>
                <w:rFonts w:ascii="Times New Roman" w:hAnsi="Times New Roman"/>
                <w:sz w:val="28"/>
                <w:szCs w:val="28"/>
                <w:lang w:val="uk-UA"/>
              </w:rPr>
            </w:pPr>
            <w:r w:rsidRPr="00006A39">
              <w:rPr>
                <w:rFonts w:ascii="Times New Roman" w:hAnsi="Times New Roman"/>
                <w:sz w:val="28"/>
                <w:szCs w:val="28"/>
                <w:lang w:val="uk-UA"/>
              </w:rPr>
              <w:t>75,4</w:t>
            </w:r>
          </w:p>
        </w:tc>
        <w:tc>
          <w:tcPr>
            <w:tcW w:w="1514" w:type="dxa"/>
          </w:tcPr>
          <w:p w:rsidR="006738F0" w:rsidRPr="00006A39" w:rsidRDefault="006738F0" w:rsidP="00721203">
            <w:pPr>
              <w:widowControl w:val="0"/>
              <w:spacing w:line="276" w:lineRule="auto"/>
              <w:jc w:val="center"/>
              <w:rPr>
                <w:rFonts w:ascii="Times New Roman" w:hAnsi="Times New Roman"/>
                <w:sz w:val="28"/>
                <w:szCs w:val="28"/>
                <w:lang w:val="uk-UA"/>
              </w:rPr>
            </w:pPr>
            <w:r w:rsidRPr="00006A39">
              <w:rPr>
                <w:rFonts w:ascii="Times New Roman" w:hAnsi="Times New Roman"/>
                <w:sz w:val="28"/>
                <w:szCs w:val="28"/>
                <w:lang w:val="uk-UA"/>
              </w:rPr>
              <w:t>-1,95</w:t>
            </w:r>
          </w:p>
        </w:tc>
      </w:tr>
      <w:tr w:rsidR="006738F0" w:rsidRPr="00006A39" w:rsidTr="00A62D42">
        <w:tc>
          <w:tcPr>
            <w:tcW w:w="3835" w:type="dxa"/>
          </w:tcPr>
          <w:p w:rsidR="006738F0" w:rsidRPr="00006A39" w:rsidRDefault="006738F0" w:rsidP="00721203">
            <w:pPr>
              <w:widowControl w:val="0"/>
              <w:spacing w:line="276" w:lineRule="auto"/>
              <w:rPr>
                <w:rFonts w:ascii="Times New Roman" w:hAnsi="Times New Roman"/>
                <w:sz w:val="28"/>
                <w:szCs w:val="28"/>
                <w:lang w:val="uk-UA"/>
              </w:rPr>
            </w:pPr>
            <w:r w:rsidRPr="00006A39">
              <w:rPr>
                <w:rFonts w:ascii="Times New Roman" w:hAnsi="Times New Roman"/>
                <w:sz w:val="28"/>
                <w:szCs w:val="28"/>
                <w:lang w:val="uk-UA"/>
              </w:rPr>
              <w:t>Укомплектованість штатних лікарських посад зайнятими</w:t>
            </w:r>
          </w:p>
        </w:tc>
        <w:tc>
          <w:tcPr>
            <w:tcW w:w="0" w:type="auto"/>
          </w:tcPr>
          <w:p w:rsidR="006738F0" w:rsidRPr="00006A39" w:rsidRDefault="006738F0" w:rsidP="00721203">
            <w:pPr>
              <w:widowControl w:val="0"/>
              <w:spacing w:line="276" w:lineRule="auto"/>
              <w:jc w:val="center"/>
              <w:rPr>
                <w:rFonts w:ascii="Times New Roman" w:hAnsi="Times New Roman"/>
                <w:sz w:val="28"/>
                <w:szCs w:val="28"/>
                <w:lang w:val="uk-UA"/>
              </w:rPr>
            </w:pPr>
            <w:r w:rsidRPr="00006A39">
              <w:rPr>
                <w:rFonts w:ascii="Times New Roman" w:hAnsi="Times New Roman"/>
                <w:sz w:val="28"/>
                <w:szCs w:val="28"/>
                <w:lang w:val="uk-UA"/>
              </w:rPr>
              <w:t>89,1</w:t>
            </w:r>
          </w:p>
        </w:tc>
        <w:tc>
          <w:tcPr>
            <w:tcW w:w="0" w:type="auto"/>
          </w:tcPr>
          <w:p w:rsidR="006738F0" w:rsidRPr="00006A39" w:rsidRDefault="006738F0" w:rsidP="00721203">
            <w:pPr>
              <w:widowControl w:val="0"/>
              <w:spacing w:line="276" w:lineRule="auto"/>
              <w:jc w:val="center"/>
              <w:rPr>
                <w:rFonts w:ascii="Times New Roman" w:hAnsi="Times New Roman"/>
                <w:sz w:val="28"/>
                <w:szCs w:val="28"/>
                <w:lang w:val="uk-UA"/>
              </w:rPr>
            </w:pPr>
            <w:r w:rsidRPr="00006A39">
              <w:rPr>
                <w:rFonts w:ascii="Times New Roman" w:hAnsi="Times New Roman"/>
                <w:sz w:val="28"/>
                <w:szCs w:val="28"/>
                <w:lang w:val="uk-UA"/>
              </w:rPr>
              <w:t>94,2</w:t>
            </w:r>
          </w:p>
        </w:tc>
        <w:tc>
          <w:tcPr>
            <w:tcW w:w="0" w:type="auto"/>
          </w:tcPr>
          <w:p w:rsidR="006738F0" w:rsidRPr="00006A39" w:rsidRDefault="006738F0" w:rsidP="00721203">
            <w:pPr>
              <w:widowControl w:val="0"/>
              <w:spacing w:line="276" w:lineRule="auto"/>
              <w:jc w:val="center"/>
              <w:rPr>
                <w:rFonts w:ascii="Times New Roman" w:hAnsi="Times New Roman"/>
                <w:sz w:val="28"/>
                <w:szCs w:val="28"/>
                <w:lang w:val="uk-UA"/>
              </w:rPr>
            </w:pPr>
            <w:r w:rsidRPr="00006A39">
              <w:rPr>
                <w:rFonts w:ascii="Times New Roman" w:hAnsi="Times New Roman"/>
                <w:sz w:val="28"/>
                <w:szCs w:val="28"/>
                <w:lang w:val="uk-UA"/>
              </w:rPr>
              <w:t>+5,7</w:t>
            </w:r>
          </w:p>
        </w:tc>
        <w:tc>
          <w:tcPr>
            <w:tcW w:w="0" w:type="auto"/>
          </w:tcPr>
          <w:p w:rsidR="006738F0" w:rsidRPr="00006A39" w:rsidRDefault="006738F0" w:rsidP="00721203">
            <w:pPr>
              <w:widowControl w:val="0"/>
              <w:spacing w:line="276" w:lineRule="auto"/>
              <w:jc w:val="center"/>
              <w:rPr>
                <w:rFonts w:ascii="Times New Roman" w:hAnsi="Times New Roman"/>
                <w:sz w:val="28"/>
                <w:szCs w:val="28"/>
                <w:lang w:val="uk-UA"/>
              </w:rPr>
            </w:pPr>
            <w:r w:rsidRPr="00006A39">
              <w:rPr>
                <w:rFonts w:ascii="Times New Roman" w:hAnsi="Times New Roman"/>
                <w:sz w:val="28"/>
                <w:szCs w:val="28"/>
                <w:lang w:val="uk-UA"/>
              </w:rPr>
              <w:t>92,0</w:t>
            </w:r>
          </w:p>
        </w:tc>
        <w:tc>
          <w:tcPr>
            <w:tcW w:w="0" w:type="auto"/>
          </w:tcPr>
          <w:p w:rsidR="006738F0" w:rsidRPr="00006A39" w:rsidRDefault="006738F0" w:rsidP="00721203">
            <w:pPr>
              <w:widowControl w:val="0"/>
              <w:spacing w:line="276" w:lineRule="auto"/>
              <w:jc w:val="center"/>
              <w:rPr>
                <w:rFonts w:ascii="Times New Roman" w:hAnsi="Times New Roman"/>
                <w:sz w:val="28"/>
                <w:szCs w:val="28"/>
                <w:lang w:val="uk-UA"/>
              </w:rPr>
            </w:pPr>
            <w:r w:rsidRPr="00006A39">
              <w:rPr>
                <w:rFonts w:ascii="Times New Roman" w:hAnsi="Times New Roman"/>
                <w:sz w:val="28"/>
                <w:szCs w:val="28"/>
                <w:lang w:val="uk-UA"/>
              </w:rPr>
              <w:t>89,7</w:t>
            </w:r>
          </w:p>
        </w:tc>
        <w:tc>
          <w:tcPr>
            <w:tcW w:w="1514" w:type="dxa"/>
          </w:tcPr>
          <w:p w:rsidR="006738F0" w:rsidRPr="00006A39" w:rsidRDefault="006738F0" w:rsidP="00721203">
            <w:pPr>
              <w:widowControl w:val="0"/>
              <w:spacing w:line="276" w:lineRule="auto"/>
              <w:jc w:val="center"/>
              <w:rPr>
                <w:rFonts w:ascii="Times New Roman" w:hAnsi="Times New Roman"/>
                <w:sz w:val="28"/>
                <w:szCs w:val="28"/>
                <w:lang w:val="uk-UA"/>
              </w:rPr>
            </w:pPr>
            <w:r w:rsidRPr="00006A39">
              <w:rPr>
                <w:rFonts w:ascii="Times New Roman" w:hAnsi="Times New Roman"/>
                <w:sz w:val="28"/>
                <w:szCs w:val="28"/>
                <w:lang w:val="uk-UA"/>
              </w:rPr>
              <w:t>-2,5</w:t>
            </w:r>
          </w:p>
        </w:tc>
      </w:tr>
      <w:tr w:rsidR="006738F0" w:rsidRPr="00006A39" w:rsidTr="00A62D42">
        <w:tc>
          <w:tcPr>
            <w:tcW w:w="3835" w:type="dxa"/>
          </w:tcPr>
          <w:p w:rsidR="006738F0" w:rsidRPr="00006A39" w:rsidRDefault="006738F0" w:rsidP="00721203">
            <w:pPr>
              <w:widowControl w:val="0"/>
              <w:spacing w:line="276" w:lineRule="auto"/>
              <w:rPr>
                <w:rFonts w:ascii="Times New Roman" w:hAnsi="Times New Roman"/>
                <w:sz w:val="28"/>
                <w:szCs w:val="28"/>
                <w:lang w:val="uk-UA"/>
              </w:rPr>
            </w:pPr>
            <w:r w:rsidRPr="00006A39">
              <w:rPr>
                <w:rFonts w:ascii="Times New Roman" w:hAnsi="Times New Roman"/>
                <w:sz w:val="28"/>
                <w:szCs w:val="28"/>
                <w:lang w:val="uk-UA" w:eastAsia="uk-UA" w:bidi="uk-UA"/>
              </w:rPr>
              <w:t>Середній медичний персонал</w:t>
            </w:r>
          </w:p>
        </w:tc>
        <w:tc>
          <w:tcPr>
            <w:tcW w:w="0" w:type="auto"/>
          </w:tcPr>
          <w:p w:rsidR="006738F0" w:rsidRPr="00006A39" w:rsidRDefault="006738F0" w:rsidP="00721203">
            <w:pPr>
              <w:widowControl w:val="0"/>
              <w:spacing w:line="276" w:lineRule="auto"/>
              <w:jc w:val="center"/>
              <w:rPr>
                <w:rFonts w:ascii="Times New Roman" w:hAnsi="Times New Roman"/>
                <w:sz w:val="28"/>
                <w:szCs w:val="28"/>
                <w:lang w:val="uk-UA"/>
              </w:rPr>
            </w:pPr>
            <w:r w:rsidRPr="00006A39">
              <w:rPr>
                <w:rFonts w:ascii="Times New Roman" w:hAnsi="Times New Roman"/>
                <w:sz w:val="28"/>
                <w:szCs w:val="28"/>
                <w:lang w:val="uk-UA"/>
              </w:rPr>
              <w:t>93,2</w:t>
            </w:r>
          </w:p>
        </w:tc>
        <w:tc>
          <w:tcPr>
            <w:tcW w:w="0" w:type="auto"/>
          </w:tcPr>
          <w:p w:rsidR="006738F0" w:rsidRPr="00006A39" w:rsidRDefault="006738F0" w:rsidP="00721203">
            <w:pPr>
              <w:widowControl w:val="0"/>
              <w:spacing w:line="276" w:lineRule="auto"/>
              <w:jc w:val="center"/>
              <w:rPr>
                <w:rFonts w:ascii="Times New Roman" w:hAnsi="Times New Roman"/>
                <w:sz w:val="28"/>
                <w:szCs w:val="28"/>
                <w:lang w:val="uk-UA"/>
              </w:rPr>
            </w:pPr>
            <w:r w:rsidRPr="00006A39">
              <w:rPr>
                <w:rFonts w:ascii="Times New Roman" w:hAnsi="Times New Roman"/>
                <w:sz w:val="28"/>
                <w:szCs w:val="28"/>
                <w:lang w:val="uk-UA"/>
              </w:rPr>
              <w:t>95,3</w:t>
            </w:r>
          </w:p>
        </w:tc>
        <w:tc>
          <w:tcPr>
            <w:tcW w:w="0" w:type="auto"/>
          </w:tcPr>
          <w:p w:rsidR="006738F0" w:rsidRPr="00006A39" w:rsidRDefault="006738F0" w:rsidP="00721203">
            <w:pPr>
              <w:widowControl w:val="0"/>
              <w:spacing w:line="276" w:lineRule="auto"/>
              <w:jc w:val="center"/>
              <w:rPr>
                <w:rFonts w:ascii="Times New Roman" w:hAnsi="Times New Roman"/>
                <w:sz w:val="28"/>
                <w:szCs w:val="28"/>
                <w:lang w:val="uk-UA"/>
              </w:rPr>
            </w:pPr>
            <w:r w:rsidRPr="00006A39">
              <w:rPr>
                <w:rFonts w:ascii="Times New Roman" w:hAnsi="Times New Roman"/>
                <w:sz w:val="28"/>
                <w:szCs w:val="28"/>
                <w:lang w:val="uk-UA"/>
              </w:rPr>
              <w:t>+2,25</w:t>
            </w:r>
          </w:p>
        </w:tc>
        <w:tc>
          <w:tcPr>
            <w:tcW w:w="0" w:type="auto"/>
          </w:tcPr>
          <w:p w:rsidR="006738F0" w:rsidRPr="00006A39" w:rsidRDefault="006738F0" w:rsidP="00721203">
            <w:pPr>
              <w:widowControl w:val="0"/>
              <w:spacing w:line="276" w:lineRule="auto"/>
              <w:jc w:val="center"/>
              <w:rPr>
                <w:rFonts w:ascii="Times New Roman" w:hAnsi="Times New Roman"/>
                <w:sz w:val="28"/>
                <w:szCs w:val="28"/>
                <w:lang w:val="uk-UA"/>
              </w:rPr>
            </w:pPr>
            <w:r w:rsidRPr="00006A39">
              <w:rPr>
                <w:rFonts w:ascii="Times New Roman" w:hAnsi="Times New Roman"/>
                <w:sz w:val="28"/>
                <w:szCs w:val="28"/>
                <w:lang w:val="uk-UA"/>
              </w:rPr>
              <w:t>96,2</w:t>
            </w:r>
          </w:p>
        </w:tc>
        <w:tc>
          <w:tcPr>
            <w:tcW w:w="0" w:type="auto"/>
          </w:tcPr>
          <w:p w:rsidR="006738F0" w:rsidRPr="00006A39" w:rsidRDefault="006738F0" w:rsidP="00721203">
            <w:pPr>
              <w:widowControl w:val="0"/>
              <w:spacing w:line="276" w:lineRule="auto"/>
              <w:jc w:val="center"/>
              <w:rPr>
                <w:rFonts w:ascii="Times New Roman" w:hAnsi="Times New Roman"/>
                <w:sz w:val="28"/>
                <w:szCs w:val="28"/>
                <w:lang w:val="uk-UA"/>
              </w:rPr>
            </w:pPr>
            <w:r w:rsidRPr="00006A39">
              <w:rPr>
                <w:rFonts w:ascii="Times New Roman" w:hAnsi="Times New Roman"/>
                <w:sz w:val="28"/>
                <w:szCs w:val="28"/>
                <w:lang w:val="uk-UA"/>
              </w:rPr>
              <w:t>91,8</w:t>
            </w:r>
          </w:p>
        </w:tc>
        <w:tc>
          <w:tcPr>
            <w:tcW w:w="1514" w:type="dxa"/>
          </w:tcPr>
          <w:p w:rsidR="006738F0" w:rsidRPr="00006A39" w:rsidRDefault="006738F0" w:rsidP="00721203">
            <w:pPr>
              <w:widowControl w:val="0"/>
              <w:spacing w:line="276" w:lineRule="auto"/>
              <w:jc w:val="center"/>
              <w:rPr>
                <w:rFonts w:ascii="Times New Roman" w:hAnsi="Times New Roman"/>
                <w:sz w:val="28"/>
                <w:szCs w:val="28"/>
                <w:lang w:val="uk-UA"/>
              </w:rPr>
            </w:pPr>
            <w:r w:rsidRPr="00006A39">
              <w:rPr>
                <w:rFonts w:ascii="Times New Roman" w:hAnsi="Times New Roman"/>
                <w:sz w:val="28"/>
                <w:szCs w:val="28"/>
                <w:lang w:val="uk-UA"/>
              </w:rPr>
              <w:t>-4,6</w:t>
            </w:r>
          </w:p>
        </w:tc>
      </w:tr>
    </w:tbl>
    <w:p w:rsidR="006738F0" w:rsidRPr="00006A39" w:rsidRDefault="006738F0" w:rsidP="00721203">
      <w:pPr>
        <w:widowControl w:val="0"/>
        <w:ind w:firstLine="709"/>
        <w:rPr>
          <w:rFonts w:eastAsia="Times New Roman"/>
          <w:color w:val="000000" w:themeColor="text1"/>
          <w:szCs w:val="28"/>
          <w:lang w:eastAsia="ru-RU"/>
        </w:rPr>
      </w:pPr>
    </w:p>
    <w:p w:rsidR="004C51C0" w:rsidRPr="00006A39" w:rsidRDefault="004C51C0" w:rsidP="00721203">
      <w:pPr>
        <w:pStyle w:val="a5"/>
        <w:widowControl w:val="0"/>
        <w:ind w:left="0" w:firstLine="709"/>
      </w:pPr>
      <w:r w:rsidRPr="00006A39">
        <w:rPr>
          <w:szCs w:val="28"/>
        </w:rPr>
        <w:t xml:space="preserve">Як свідчать результати наших досліджень на популяційному рівні забезпеченість як педіатрами в цілому, так і дільничними педіатрами,  достовірно асоціюється зі зниженням смертності дітей віком до 5 років (відповідні </w:t>
      </w:r>
      <w:r w:rsidR="0081085A" w:rsidRPr="0081085A">
        <w:rPr>
          <w:lang w:val="en-US"/>
        </w:rPr>
        <w:t>Coef</w:t>
      </w:r>
      <w:r w:rsidR="0081085A" w:rsidRPr="0081085A">
        <w:t>.</w:t>
      </w:r>
      <w:r w:rsidR="006D535D">
        <w:t xml:space="preserve"> </w:t>
      </w:r>
      <w:r w:rsidRPr="00006A39">
        <w:rPr>
          <w:szCs w:val="28"/>
        </w:rPr>
        <w:t xml:space="preserve">0,739; р&lt;0,001 та </w:t>
      </w:r>
      <w:r w:rsidR="0081085A" w:rsidRPr="0081085A">
        <w:rPr>
          <w:lang w:val="en-US"/>
        </w:rPr>
        <w:t>Coef</w:t>
      </w:r>
      <w:r w:rsidR="0081085A" w:rsidRPr="0081085A">
        <w:t>.</w:t>
      </w:r>
      <w:r w:rsidRPr="00006A39">
        <w:t xml:space="preserve"> 0,958 (р&lt;0,001). </w:t>
      </w:r>
    </w:p>
    <w:p w:rsidR="008D69A3" w:rsidRPr="00A62D42" w:rsidRDefault="004C51C0" w:rsidP="00A62D42">
      <w:pPr>
        <w:pStyle w:val="a5"/>
        <w:widowControl w:val="0"/>
        <w:ind w:left="0" w:firstLine="709"/>
      </w:pPr>
      <w:r w:rsidRPr="00006A39">
        <w:t xml:space="preserve">При більш детальному аналізі зв’язку між смертністю дітей до 5 років та показниками, що характеризують кадрове забезпечення структурних підрозділів лікарень, які надають медичну допомогу в період новонародженності з’ясувалось, що укомплектованість ВІТН як лікарями, так і медсестрами не асоціюється зі смертністю дітей до 5 років (відповідні </w:t>
      </w:r>
      <w:r w:rsidR="0081085A" w:rsidRPr="0081085A">
        <w:rPr>
          <w:lang w:val="en-US"/>
        </w:rPr>
        <w:t>Coef</w:t>
      </w:r>
      <w:r w:rsidR="0081085A" w:rsidRPr="0081085A">
        <w:t>.</w:t>
      </w:r>
      <w:r w:rsidRPr="00006A39">
        <w:t xml:space="preserve"> 0,998; р=0,178 т</w:t>
      </w:r>
      <w:r w:rsidR="005359F1">
        <w:t xml:space="preserve">а </w:t>
      </w:r>
      <w:r w:rsidR="0081085A" w:rsidRPr="0081085A">
        <w:rPr>
          <w:lang w:val="en-US"/>
        </w:rPr>
        <w:t>Coef</w:t>
      </w:r>
      <w:r w:rsidR="0081085A" w:rsidRPr="0081085A">
        <w:t>.</w:t>
      </w:r>
      <w:r w:rsidR="005359F1">
        <w:t xml:space="preserve"> 0,999; р=0,267) (табл.</w:t>
      </w:r>
      <w:r w:rsidR="005615DD" w:rsidRPr="005615DD">
        <w:t xml:space="preserve"> </w:t>
      </w:r>
      <w:r w:rsidR="005359F1">
        <w:t>5.1</w:t>
      </w:r>
      <w:r w:rsidR="00FD0DFA">
        <w:t>0</w:t>
      </w:r>
      <w:r w:rsidRPr="00006A39">
        <w:t xml:space="preserve">). </w:t>
      </w:r>
      <w:r w:rsidR="008D69A3" w:rsidRPr="00006A39">
        <w:t>Що стосується укомплектованості медичним персоналом відділень ІІ етапу виходжування, то укомплектованість середнім медичним персоналом достовірно асоціюється зі зниженням смертності дітей віком до 5 років (</w:t>
      </w:r>
      <w:r w:rsidR="0081085A" w:rsidRPr="0081085A">
        <w:rPr>
          <w:lang w:val="en-US"/>
        </w:rPr>
        <w:t>Coef</w:t>
      </w:r>
      <w:r w:rsidR="0081085A" w:rsidRPr="0081085A">
        <w:t xml:space="preserve">. </w:t>
      </w:r>
      <w:r w:rsidR="008D69A3" w:rsidRPr="00006A39">
        <w:t>0,997; р=0,032), в той час як рівень укомплектованості лікарями – ні (</w:t>
      </w:r>
      <w:r w:rsidR="0081085A" w:rsidRPr="0081085A">
        <w:rPr>
          <w:lang w:val="en-US"/>
        </w:rPr>
        <w:t>Coef</w:t>
      </w:r>
      <w:r w:rsidR="0081085A" w:rsidRPr="0081085A">
        <w:t>.</w:t>
      </w:r>
      <w:r w:rsidR="008D69A3" w:rsidRPr="00006A39">
        <w:t xml:space="preserve"> 1,002; р=0,111). При аналізі зв’язку між досліджуваним показником та рівнем укомплектованос</w:t>
      </w:r>
      <w:r w:rsidR="00A62D42">
        <w:t>ті медичним персоналом пологових</w:t>
      </w:r>
      <w:r w:rsidR="008D69A3" w:rsidRPr="00006A39">
        <w:t xml:space="preserve"> відділень, достовірних асоціацій нами не виявлено (відповідні </w:t>
      </w:r>
      <w:r w:rsidR="0081085A" w:rsidRPr="0081085A">
        <w:rPr>
          <w:lang w:val="en-US"/>
        </w:rPr>
        <w:t>Coef</w:t>
      </w:r>
      <w:r w:rsidR="0081085A" w:rsidRPr="0081085A">
        <w:t>.</w:t>
      </w:r>
      <w:r w:rsidR="008D69A3" w:rsidRPr="00006A39">
        <w:t xml:space="preserve"> 1,003; р=0,111</w:t>
      </w:r>
      <w:r w:rsidR="008D69A3">
        <w:t>).</w:t>
      </w:r>
    </w:p>
    <w:p w:rsidR="004C51C0" w:rsidRPr="00F92019" w:rsidRDefault="005359F1" w:rsidP="00721203">
      <w:pPr>
        <w:pStyle w:val="a5"/>
        <w:widowControl w:val="0"/>
        <w:ind w:left="0" w:firstLine="709"/>
        <w:jc w:val="right"/>
        <w:rPr>
          <w:i/>
        </w:rPr>
      </w:pPr>
      <w:r>
        <w:rPr>
          <w:i/>
        </w:rPr>
        <w:lastRenderedPageBreak/>
        <w:t>Таблиця 5.1</w:t>
      </w:r>
      <w:r w:rsidR="00FD0DFA" w:rsidRPr="00F92019">
        <w:rPr>
          <w:i/>
        </w:rPr>
        <w:t>0</w:t>
      </w:r>
    </w:p>
    <w:p w:rsidR="004C51C0" w:rsidRPr="00006A39" w:rsidRDefault="004C51C0" w:rsidP="00721203">
      <w:pPr>
        <w:pStyle w:val="a5"/>
        <w:widowControl w:val="0"/>
        <w:ind w:left="0" w:firstLine="709"/>
        <w:jc w:val="center"/>
        <w:rPr>
          <w:b/>
        </w:rPr>
      </w:pPr>
      <w:r w:rsidRPr="00006A39">
        <w:rPr>
          <w:b/>
        </w:rPr>
        <w:t>Асоціації між рівнем смертності дітей віком до 5 років та чинниками, що характеризують кадрове забезпечення закладів ОЗ та їх структурних підрозділів</w:t>
      </w:r>
    </w:p>
    <w:tbl>
      <w:tblPr>
        <w:tblStyle w:val="a6"/>
        <w:tblW w:w="0" w:type="auto"/>
        <w:jc w:val="center"/>
        <w:tblLook w:val="04A0" w:firstRow="1" w:lastRow="0" w:firstColumn="1" w:lastColumn="0" w:noHBand="0" w:noVBand="1"/>
      </w:tblPr>
      <w:tblGrid>
        <w:gridCol w:w="3823"/>
        <w:gridCol w:w="1275"/>
        <w:gridCol w:w="1134"/>
        <w:gridCol w:w="1985"/>
        <w:gridCol w:w="1128"/>
      </w:tblGrid>
      <w:tr w:rsidR="004C51C0" w:rsidRPr="00006A39" w:rsidTr="005615DD">
        <w:trPr>
          <w:trHeight w:val="611"/>
          <w:jc w:val="center"/>
        </w:trPr>
        <w:tc>
          <w:tcPr>
            <w:tcW w:w="3823" w:type="dxa"/>
          </w:tcPr>
          <w:p w:rsidR="004C51C0" w:rsidRPr="00006A39" w:rsidRDefault="004C51C0" w:rsidP="000F1D15">
            <w:pPr>
              <w:widowControl w:val="0"/>
              <w:spacing w:line="360" w:lineRule="auto"/>
              <w:jc w:val="center"/>
              <w:rPr>
                <w:rFonts w:ascii="Times New Roman" w:hAnsi="Times New Roman"/>
                <w:sz w:val="28"/>
                <w:szCs w:val="28"/>
                <w:lang w:val="uk-UA"/>
              </w:rPr>
            </w:pPr>
            <w:r w:rsidRPr="00006A39">
              <w:rPr>
                <w:rFonts w:ascii="Times New Roman" w:hAnsi="Times New Roman"/>
                <w:sz w:val="28"/>
                <w:szCs w:val="28"/>
                <w:lang w:val="uk-UA"/>
              </w:rPr>
              <w:t>Показники</w:t>
            </w:r>
          </w:p>
        </w:tc>
        <w:tc>
          <w:tcPr>
            <w:tcW w:w="1275" w:type="dxa"/>
          </w:tcPr>
          <w:p w:rsidR="004C51C0" w:rsidRPr="00006A39" w:rsidRDefault="0081085A" w:rsidP="000F1D15">
            <w:pPr>
              <w:widowControl w:val="0"/>
              <w:spacing w:line="360" w:lineRule="auto"/>
              <w:jc w:val="center"/>
              <w:rPr>
                <w:rFonts w:ascii="Times New Roman" w:hAnsi="Times New Roman"/>
                <w:sz w:val="28"/>
                <w:szCs w:val="28"/>
                <w:lang w:val="uk-UA"/>
              </w:rPr>
            </w:pPr>
            <w:r w:rsidRPr="0081085A">
              <w:rPr>
                <w:rFonts w:ascii="Times New Roman" w:hAnsi="Times New Roman"/>
                <w:sz w:val="28"/>
                <w:szCs w:val="28"/>
                <w:lang w:val="en-US"/>
              </w:rPr>
              <w:t>Coef</w:t>
            </w:r>
            <w:r w:rsidRPr="0081085A">
              <w:rPr>
                <w:rFonts w:ascii="Times New Roman" w:hAnsi="Times New Roman"/>
                <w:sz w:val="28"/>
                <w:szCs w:val="28"/>
                <w:lang w:val="uk-UA"/>
              </w:rPr>
              <w:t>.</w:t>
            </w:r>
          </w:p>
        </w:tc>
        <w:tc>
          <w:tcPr>
            <w:tcW w:w="1134" w:type="dxa"/>
          </w:tcPr>
          <w:p w:rsidR="004C51C0" w:rsidRPr="00006A39" w:rsidRDefault="004C51C0" w:rsidP="000F1D15">
            <w:pPr>
              <w:widowControl w:val="0"/>
              <w:spacing w:line="360" w:lineRule="auto"/>
              <w:jc w:val="center"/>
              <w:rPr>
                <w:rFonts w:ascii="Times New Roman" w:hAnsi="Times New Roman"/>
                <w:sz w:val="28"/>
                <w:szCs w:val="28"/>
                <w:lang w:val="uk-UA"/>
              </w:rPr>
            </w:pPr>
            <w:r w:rsidRPr="00006A39">
              <w:rPr>
                <w:rFonts w:ascii="Times New Roman" w:hAnsi="Times New Roman"/>
                <w:sz w:val="28"/>
                <w:szCs w:val="28"/>
                <w:lang w:val="uk-UA"/>
              </w:rPr>
              <w:t>m</w:t>
            </w:r>
          </w:p>
        </w:tc>
        <w:tc>
          <w:tcPr>
            <w:tcW w:w="1985" w:type="dxa"/>
          </w:tcPr>
          <w:p w:rsidR="004C51C0" w:rsidRPr="00006A39" w:rsidRDefault="004C51C0" w:rsidP="000F1D15">
            <w:pPr>
              <w:widowControl w:val="0"/>
              <w:spacing w:line="360" w:lineRule="auto"/>
              <w:jc w:val="center"/>
              <w:rPr>
                <w:rFonts w:ascii="Times New Roman" w:hAnsi="Times New Roman"/>
                <w:sz w:val="28"/>
                <w:szCs w:val="28"/>
                <w:lang w:val="uk-UA"/>
              </w:rPr>
            </w:pPr>
            <w:r w:rsidRPr="00006A39">
              <w:rPr>
                <w:rFonts w:ascii="Times New Roman" w:hAnsi="Times New Roman"/>
                <w:sz w:val="28"/>
                <w:szCs w:val="28"/>
                <w:lang w:val="uk-UA"/>
              </w:rPr>
              <w:t>95% CI</w:t>
            </w:r>
          </w:p>
        </w:tc>
        <w:tc>
          <w:tcPr>
            <w:tcW w:w="1128" w:type="dxa"/>
          </w:tcPr>
          <w:p w:rsidR="004C51C0" w:rsidRPr="00006A39" w:rsidRDefault="004C51C0" w:rsidP="000F1D15">
            <w:pPr>
              <w:widowControl w:val="0"/>
              <w:spacing w:line="360" w:lineRule="auto"/>
              <w:jc w:val="center"/>
              <w:rPr>
                <w:rFonts w:ascii="Times New Roman" w:hAnsi="Times New Roman"/>
                <w:sz w:val="28"/>
                <w:szCs w:val="28"/>
                <w:lang w:val="uk-UA"/>
              </w:rPr>
            </w:pPr>
            <w:r w:rsidRPr="00006A39">
              <w:rPr>
                <w:rFonts w:ascii="Times New Roman" w:hAnsi="Times New Roman"/>
                <w:sz w:val="28"/>
                <w:szCs w:val="28"/>
                <w:lang w:val="uk-UA"/>
              </w:rPr>
              <w:t>p</w:t>
            </w:r>
          </w:p>
        </w:tc>
      </w:tr>
      <w:tr w:rsidR="004C51C0" w:rsidRPr="00006A39" w:rsidTr="00D66388">
        <w:trPr>
          <w:jc w:val="center"/>
        </w:trPr>
        <w:tc>
          <w:tcPr>
            <w:tcW w:w="3823" w:type="dxa"/>
          </w:tcPr>
          <w:p w:rsidR="004C51C0" w:rsidRPr="00006A39" w:rsidRDefault="004C51C0" w:rsidP="000F1D15">
            <w:pPr>
              <w:widowControl w:val="0"/>
              <w:spacing w:line="360" w:lineRule="auto"/>
              <w:jc w:val="left"/>
              <w:rPr>
                <w:rFonts w:ascii="Times New Roman" w:hAnsi="Times New Roman"/>
                <w:sz w:val="28"/>
                <w:szCs w:val="28"/>
                <w:lang w:val="uk-UA"/>
              </w:rPr>
            </w:pPr>
            <w:r w:rsidRPr="00006A39">
              <w:rPr>
                <w:rFonts w:ascii="Times New Roman" w:hAnsi="Times New Roman"/>
                <w:sz w:val="28"/>
                <w:szCs w:val="28"/>
                <w:lang w:val="uk-UA"/>
              </w:rPr>
              <w:t>Забезпеченість педіатрами</w:t>
            </w:r>
          </w:p>
        </w:tc>
        <w:tc>
          <w:tcPr>
            <w:tcW w:w="1275" w:type="dxa"/>
          </w:tcPr>
          <w:p w:rsidR="004C51C0" w:rsidRPr="00006A39" w:rsidRDefault="004C51C0" w:rsidP="000F1D15">
            <w:pPr>
              <w:widowControl w:val="0"/>
              <w:spacing w:line="360" w:lineRule="auto"/>
              <w:jc w:val="center"/>
              <w:rPr>
                <w:rFonts w:ascii="Times New Roman" w:hAnsi="Times New Roman"/>
                <w:sz w:val="28"/>
                <w:szCs w:val="28"/>
                <w:lang w:val="uk-UA"/>
              </w:rPr>
            </w:pPr>
            <w:r w:rsidRPr="00006A39">
              <w:rPr>
                <w:rFonts w:ascii="Times New Roman" w:hAnsi="Times New Roman"/>
                <w:sz w:val="28"/>
                <w:szCs w:val="28"/>
                <w:lang w:val="uk-UA"/>
              </w:rPr>
              <w:t>0,739</w:t>
            </w:r>
          </w:p>
        </w:tc>
        <w:tc>
          <w:tcPr>
            <w:tcW w:w="1134" w:type="dxa"/>
          </w:tcPr>
          <w:p w:rsidR="004C51C0" w:rsidRPr="00006A39" w:rsidRDefault="004C51C0" w:rsidP="000F1D15">
            <w:pPr>
              <w:widowControl w:val="0"/>
              <w:spacing w:line="360" w:lineRule="auto"/>
              <w:jc w:val="center"/>
              <w:rPr>
                <w:rFonts w:ascii="Times New Roman" w:hAnsi="Times New Roman"/>
                <w:sz w:val="28"/>
                <w:szCs w:val="28"/>
                <w:lang w:val="uk-UA"/>
              </w:rPr>
            </w:pPr>
            <w:r w:rsidRPr="00006A39">
              <w:rPr>
                <w:rFonts w:ascii="Times New Roman" w:hAnsi="Times New Roman"/>
                <w:sz w:val="28"/>
                <w:szCs w:val="28"/>
                <w:lang w:val="uk-UA"/>
              </w:rPr>
              <w:t>0,043</w:t>
            </w:r>
          </w:p>
        </w:tc>
        <w:tc>
          <w:tcPr>
            <w:tcW w:w="1985" w:type="dxa"/>
          </w:tcPr>
          <w:p w:rsidR="004C51C0" w:rsidRPr="00006A39" w:rsidRDefault="004C51C0" w:rsidP="000F1D15">
            <w:pPr>
              <w:widowControl w:val="0"/>
              <w:spacing w:line="360" w:lineRule="auto"/>
              <w:jc w:val="center"/>
              <w:rPr>
                <w:rFonts w:ascii="Times New Roman" w:hAnsi="Times New Roman"/>
                <w:sz w:val="28"/>
                <w:szCs w:val="28"/>
                <w:lang w:val="uk-UA"/>
              </w:rPr>
            </w:pPr>
            <w:r w:rsidRPr="00006A39">
              <w:rPr>
                <w:rFonts w:ascii="Times New Roman" w:hAnsi="Times New Roman"/>
                <w:sz w:val="28"/>
                <w:szCs w:val="28"/>
                <w:lang w:val="uk-UA"/>
              </w:rPr>
              <w:t>0,659-0,828</w:t>
            </w:r>
          </w:p>
        </w:tc>
        <w:tc>
          <w:tcPr>
            <w:tcW w:w="1128" w:type="dxa"/>
          </w:tcPr>
          <w:p w:rsidR="004C51C0" w:rsidRPr="00006A39" w:rsidRDefault="008D6ABC" w:rsidP="000F1D15">
            <w:pPr>
              <w:widowControl w:val="0"/>
              <w:spacing w:line="360" w:lineRule="auto"/>
              <w:jc w:val="center"/>
              <w:rPr>
                <w:rFonts w:ascii="Times New Roman" w:hAnsi="Times New Roman"/>
                <w:sz w:val="28"/>
                <w:szCs w:val="28"/>
                <w:lang w:val="uk-UA"/>
              </w:rPr>
            </w:pPr>
            <w:r>
              <w:rPr>
                <w:rFonts w:ascii="Times New Roman" w:hAnsi="Times New Roman"/>
                <w:sz w:val="28"/>
                <w:szCs w:val="28"/>
                <w:lang w:val="uk-UA"/>
              </w:rPr>
              <w:t>0,001</w:t>
            </w:r>
          </w:p>
        </w:tc>
      </w:tr>
      <w:tr w:rsidR="004C51C0" w:rsidRPr="00006A39" w:rsidTr="00D66388">
        <w:trPr>
          <w:jc w:val="center"/>
        </w:trPr>
        <w:tc>
          <w:tcPr>
            <w:tcW w:w="3823" w:type="dxa"/>
          </w:tcPr>
          <w:p w:rsidR="004C51C0" w:rsidRPr="00006A39" w:rsidRDefault="004C51C0" w:rsidP="000F1D15">
            <w:pPr>
              <w:widowControl w:val="0"/>
              <w:spacing w:line="360" w:lineRule="auto"/>
              <w:jc w:val="left"/>
              <w:rPr>
                <w:rFonts w:ascii="Times New Roman" w:hAnsi="Times New Roman"/>
                <w:sz w:val="28"/>
                <w:szCs w:val="28"/>
                <w:lang w:val="uk-UA"/>
              </w:rPr>
            </w:pPr>
            <w:r w:rsidRPr="00006A39">
              <w:rPr>
                <w:rFonts w:ascii="Times New Roman" w:hAnsi="Times New Roman"/>
                <w:sz w:val="28"/>
                <w:szCs w:val="28"/>
                <w:lang w:val="uk-UA"/>
              </w:rPr>
              <w:t>у т.ч. дільничними педіатрами</w:t>
            </w:r>
          </w:p>
        </w:tc>
        <w:tc>
          <w:tcPr>
            <w:tcW w:w="1275" w:type="dxa"/>
          </w:tcPr>
          <w:p w:rsidR="004C51C0" w:rsidRPr="00006A39" w:rsidRDefault="004C51C0" w:rsidP="000F1D15">
            <w:pPr>
              <w:widowControl w:val="0"/>
              <w:spacing w:line="360" w:lineRule="auto"/>
              <w:jc w:val="center"/>
              <w:rPr>
                <w:rFonts w:ascii="Times New Roman" w:hAnsi="Times New Roman"/>
                <w:sz w:val="28"/>
                <w:szCs w:val="28"/>
                <w:lang w:val="uk-UA"/>
              </w:rPr>
            </w:pPr>
            <w:r w:rsidRPr="00006A39">
              <w:rPr>
                <w:rFonts w:ascii="Times New Roman" w:hAnsi="Times New Roman"/>
                <w:sz w:val="28"/>
                <w:szCs w:val="28"/>
                <w:lang w:val="uk-UA"/>
              </w:rPr>
              <w:t>0,958</w:t>
            </w:r>
          </w:p>
        </w:tc>
        <w:tc>
          <w:tcPr>
            <w:tcW w:w="1134" w:type="dxa"/>
          </w:tcPr>
          <w:p w:rsidR="004C51C0" w:rsidRPr="00006A39" w:rsidRDefault="004C51C0" w:rsidP="000F1D15">
            <w:pPr>
              <w:widowControl w:val="0"/>
              <w:spacing w:line="360" w:lineRule="auto"/>
              <w:jc w:val="center"/>
              <w:rPr>
                <w:rFonts w:ascii="Times New Roman" w:hAnsi="Times New Roman"/>
                <w:sz w:val="28"/>
                <w:szCs w:val="28"/>
                <w:lang w:val="uk-UA"/>
              </w:rPr>
            </w:pPr>
            <w:r w:rsidRPr="00006A39">
              <w:rPr>
                <w:rFonts w:ascii="Times New Roman" w:hAnsi="Times New Roman"/>
                <w:sz w:val="28"/>
                <w:szCs w:val="28"/>
                <w:lang w:val="uk-UA"/>
              </w:rPr>
              <w:t>0,007</w:t>
            </w:r>
          </w:p>
        </w:tc>
        <w:tc>
          <w:tcPr>
            <w:tcW w:w="1985" w:type="dxa"/>
          </w:tcPr>
          <w:p w:rsidR="004C51C0" w:rsidRPr="00006A39" w:rsidRDefault="004C51C0" w:rsidP="000F1D15">
            <w:pPr>
              <w:widowControl w:val="0"/>
              <w:spacing w:line="360" w:lineRule="auto"/>
              <w:jc w:val="center"/>
              <w:rPr>
                <w:rFonts w:ascii="Times New Roman" w:hAnsi="Times New Roman"/>
                <w:sz w:val="28"/>
                <w:szCs w:val="28"/>
                <w:lang w:val="uk-UA"/>
              </w:rPr>
            </w:pPr>
            <w:r w:rsidRPr="00006A39">
              <w:rPr>
                <w:rFonts w:ascii="Times New Roman" w:hAnsi="Times New Roman"/>
                <w:sz w:val="28"/>
                <w:szCs w:val="28"/>
                <w:lang w:val="uk-UA"/>
              </w:rPr>
              <w:t>0,943-0,971</w:t>
            </w:r>
          </w:p>
        </w:tc>
        <w:tc>
          <w:tcPr>
            <w:tcW w:w="1128" w:type="dxa"/>
          </w:tcPr>
          <w:p w:rsidR="004C51C0" w:rsidRPr="00006A39" w:rsidRDefault="004C51C0" w:rsidP="000F1D15">
            <w:pPr>
              <w:widowControl w:val="0"/>
              <w:spacing w:line="360" w:lineRule="auto"/>
              <w:jc w:val="center"/>
              <w:rPr>
                <w:rFonts w:ascii="Times New Roman" w:hAnsi="Times New Roman"/>
                <w:sz w:val="28"/>
                <w:szCs w:val="28"/>
                <w:lang w:val="uk-UA"/>
              </w:rPr>
            </w:pPr>
            <w:r w:rsidRPr="00006A39">
              <w:rPr>
                <w:rFonts w:ascii="Times New Roman" w:hAnsi="Times New Roman"/>
                <w:sz w:val="28"/>
                <w:szCs w:val="28"/>
                <w:lang w:val="uk-UA"/>
              </w:rPr>
              <w:t>0,000</w:t>
            </w:r>
          </w:p>
        </w:tc>
      </w:tr>
      <w:tr w:rsidR="004C51C0" w:rsidRPr="00006A39" w:rsidTr="00D66388">
        <w:trPr>
          <w:jc w:val="center"/>
        </w:trPr>
        <w:tc>
          <w:tcPr>
            <w:tcW w:w="3823" w:type="dxa"/>
          </w:tcPr>
          <w:p w:rsidR="004C51C0" w:rsidRPr="00006A39" w:rsidRDefault="004C51C0" w:rsidP="000F1D15">
            <w:pPr>
              <w:widowControl w:val="0"/>
              <w:spacing w:line="360" w:lineRule="auto"/>
              <w:jc w:val="left"/>
              <w:rPr>
                <w:rFonts w:ascii="Times New Roman" w:hAnsi="Times New Roman"/>
                <w:sz w:val="28"/>
                <w:szCs w:val="28"/>
                <w:lang w:val="uk-UA"/>
              </w:rPr>
            </w:pPr>
            <w:r w:rsidRPr="00006A39">
              <w:rPr>
                <w:rFonts w:ascii="Times New Roman" w:hAnsi="Times New Roman"/>
                <w:sz w:val="28"/>
                <w:szCs w:val="28"/>
                <w:lang w:val="uk-UA"/>
              </w:rPr>
              <w:t>Укомплектованість ВІТН:</w:t>
            </w:r>
          </w:p>
        </w:tc>
        <w:tc>
          <w:tcPr>
            <w:tcW w:w="1275" w:type="dxa"/>
          </w:tcPr>
          <w:p w:rsidR="004C51C0" w:rsidRPr="00006A39" w:rsidRDefault="004C51C0" w:rsidP="000F1D15">
            <w:pPr>
              <w:widowControl w:val="0"/>
              <w:spacing w:line="360" w:lineRule="auto"/>
              <w:jc w:val="center"/>
              <w:rPr>
                <w:rFonts w:ascii="Times New Roman" w:hAnsi="Times New Roman"/>
                <w:sz w:val="28"/>
                <w:szCs w:val="28"/>
                <w:lang w:val="uk-UA"/>
              </w:rPr>
            </w:pPr>
            <w:r w:rsidRPr="00006A39">
              <w:rPr>
                <w:rFonts w:ascii="Times New Roman" w:hAnsi="Times New Roman"/>
                <w:sz w:val="28"/>
                <w:szCs w:val="28"/>
                <w:lang w:val="uk-UA"/>
              </w:rPr>
              <w:t>0,998</w:t>
            </w:r>
          </w:p>
        </w:tc>
        <w:tc>
          <w:tcPr>
            <w:tcW w:w="1134" w:type="dxa"/>
          </w:tcPr>
          <w:p w:rsidR="004C51C0" w:rsidRPr="00006A39" w:rsidRDefault="004C51C0" w:rsidP="000F1D15">
            <w:pPr>
              <w:widowControl w:val="0"/>
              <w:spacing w:line="360" w:lineRule="auto"/>
              <w:jc w:val="center"/>
              <w:rPr>
                <w:rFonts w:ascii="Times New Roman" w:hAnsi="Times New Roman"/>
                <w:sz w:val="28"/>
                <w:szCs w:val="28"/>
                <w:lang w:val="uk-UA"/>
              </w:rPr>
            </w:pPr>
            <w:r w:rsidRPr="00006A39">
              <w:rPr>
                <w:rFonts w:ascii="Times New Roman" w:hAnsi="Times New Roman"/>
                <w:sz w:val="28"/>
                <w:szCs w:val="28"/>
                <w:lang w:val="uk-UA"/>
              </w:rPr>
              <w:t>0,001</w:t>
            </w:r>
          </w:p>
        </w:tc>
        <w:tc>
          <w:tcPr>
            <w:tcW w:w="1985" w:type="dxa"/>
          </w:tcPr>
          <w:p w:rsidR="004C51C0" w:rsidRPr="00006A39" w:rsidRDefault="004C51C0" w:rsidP="000F1D15">
            <w:pPr>
              <w:widowControl w:val="0"/>
              <w:spacing w:line="360" w:lineRule="auto"/>
              <w:jc w:val="center"/>
              <w:rPr>
                <w:rFonts w:ascii="Times New Roman" w:hAnsi="Times New Roman"/>
                <w:sz w:val="28"/>
                <w:szCs w:val="28"/>
                <w:lang w:val="uk-UA"/>
              </w:rPr>
            </w:pPr>
            <w:r w:rsidRPr="00006A39">
              <w:rPr>
                <w:rFonts w:ascii="Times New Roman" w:hAnsi="Times New Roman"/>
                <w:sz w:val="28"/>
                <w:szCs w:val="28"/>
                <w:lang w:val="uk-UA"/>
              </w:rPr>
              <w:t>0,997-1,001</w:t>
            </w:r>
          </w:p>
        </w:tc>
        <w:tc>
          <w:tcPr>
            <w:tcW w:w="1128" w:type="dxa"/>
          </w:tcPr>
          <w:p w:rsidR="004C51C0" w:rsidRPr="00006A39" w:rsidRDefault="004C51C0" w:rsidP="000F1D15">
            <w:pPr>
              <w:widowControl w:val="0"/>
              <w:spacing w:line="360" w:lineRule="auto"/>
              <w:jc w:val="center"/>
              <w:rPr>
                <w:rFonts w:ascii="Times New Roman" w:hAnsi="Times New Roman"/>
                <w:sz w:val="28"/>
                <w:szCs w:val="28"/>
                <w:lang w:val="uk-UA"/>
              </w:rPr>
            </w:pPr>
            <w:r w:rsidRPr="00006A39">
              <w:rPr>
                <w:rFonts w:ascii="Times New Roman" w:hAnsi="Times New Roman"/>
                <w:sz w:val="28"/>
                <w:szCs w:val="28"/>
                <w:lang w:val="uk-UA"/>
              </w:rPr>
              <w:t>0,178</w:t>
            </w:r>
          </w:p>
        </w:tc>
      </w:tr>
      <w:tr w:rsidR="004C51C0" w:rsidRPr="00006A39" w:rsidTr="00D66388">
        <w:trPr>
          <w:jc w:val="center"/>
        </w:trPr>
        <w:tc>
          <w:tcPr>
            <w:tcW w:w="3823" w:type="dxa"/>
          </w:tcPr>
          <w:p w:rsidR="004C51C0" w:rsidRPr="00006A39" w:rsidRDefault="004C51C0" w:rsidP="000F1D15">
            <w:pPr>
              <w:widowControl w:val="0"/>
              <w:spacing w:line="360" w:lineRule="auto"/>
              <w:jc w:val="left"/>
              <w:rPr>
                <w:rFonts w:ascii="Times New Roman" w:hAnsi="Times New Roman"/>
                <w:szCs w:val="28"/>
                <w:lang w:val="uk-UA"/>
              </w:rPr>
            </w:pPr>
            <w:r w:rsidRPr="00006A39">
              <w:rPr>
                <w:rFonts w:ascii="Times New Roman" w:hAnsi="Times New Roman"/>
                <w:sz w:val="28"/>
                <w:szCs w:val="28"/>
                <w:lang w:val="uk-UA"/>
              </w:rPr>
              <w:t>лікарями</w:t>
            </w:r>
          </w:p>
        </w:tc>
        <w:tc>
          <w:tcPr>
            <w:tcW w:w="1275" w:type="dxa"/>
          </w:tcPr>
          <w:p w:rsidR="004C51C0" w:rsidRPr="00006A39" w:rsidRDefault="004C51C0" w:rsidP="000F1D15">
            <w:pPr>
              <w:widowControl w:val="0"/>
              <w:spacing w:line="360" w:lineRule="auto"/>
              <w:jc w:val="center"/>
              <w:rPr>
                <w:rFonts w:ascii="Times New Roman" w:hAnsi="Times New Roman"/>
                <w:szCs w:val="28"/>
                <w:lang w:val="uk-UA"/>
              </w:rPr>
            </w:pPr>
          </w:p>
        </w:tc>
        <w:tc>
          <w:tcPr>
            <w:tcW w:w="1134" w:type="dxa"/>
          </w:tcPr>
          <w:p w:rsidR="004C51C0" w:rsidRPr="00006A39" w:rsidRDefault="004C51C0" w:rsidP="000F1D15">
            <w:pPr>
              <w:widowControl w:val="0"/>
              <w:spacing w:line="360" w:lineRule="auto"/>
              <w:jc w:val="center"/>
              <w:rPr>
                <w:rFonts w:ascii="Times New Roman" w:hAnsi="Times New Roman"/>
                <w:szCs w:val="28"/>
                <w:lang w:val="uk-UA"/>
              </w:rPr>
            </w:pPr>
          </w:p>
        </w:tc>
        <w:tc>
          <w:tcPr>
            <w:tcW w:w="1985" w:type="dxa"/>
          </w:tcPr>
          <w:p w:rsidR="004C51C0" w:rsidRPr="00006A39" w:rsidRDefault="004C51C0" w:rsidP="000F1D15">
            <w:pPr>
              <w:widowControl w:val="0"/>
              <w:spacing w:line="360" w:lineRule="auto"/>
              <w:jc w:val="center"/>
              <w:rPr>
                <w:rFonts w:ascii="Times New Roman" w:hAnsi="Times New Roman"/>
                <w:szCs w:val="28"/>
                <w:lang w:val="uk-UA"/>
              </w:rPr>
            </w:pPr>
          </w:p>
        </w:tc>
        <w:tc>
          <w:tcPr>
            <w:tcW w:w="1128" w:type="dxa"/>
          </w:tcPr>
          <w:p w:rsidR="004C51C0" w:rsidRPr="00006A39" w:rsidRDefault="004C51C0" w:rsidP="000F1D15">
            <w:pPr>
              <w:widowControl w:val="0"/>
              <w:spacing w:line="360" w:lineRule="auto"/>
              <w:jc w:val="center"/>
              <w:rPr>
                <w:rFonts w:ascii="Times New Roman" w:hAnsi="Times New Roman"/>
                <w:szCs w:val="28"/>
                <w:lang w:val="uk-UA"/>
              </w:rPr>
            </w:pPr>
          </w:p>
        </w:tc>
      </w:tr>
      <w:tr w:rsidR="004C51C0" w:rsidRPr="00006A39" w:rsidTr="00D66388">
        <w:trPr>
          <w:jc w:val="center"/>
        </w:trPr>
        <w:tc>
          <w:tcPr>
            <w:tcW w:w="3823" w:type="dxa"/>
          </w:tcPr>
          <w:p w:rsidR="004C51C0" w:rsidRPr="00006A39" w:rsidRDefault="004C51C0" w:rsidP="000F1D15">
            <w:pPr>
              <w:widowControl w:val="0"/>
              <w:spacing w:line="360" w:lineRule="auto"/>
              <w:jc w:val="left"/>
              <w:rPr>
                <w:rFonts w:ascii="Times New Roman" w:hAnsi="Times New Roman"/>
                <w:sz w:val="28"/>
                <w:szCs w:val="28"/>
                <w:lang w:val="uk-UA"/>
              </w:rPr>
            </w:pPr>
            <w:r w:rsidRPr="00006A39">
              <w:rPr>
                <w:rFonts w:ascii="Times New Roman" w:hAnsi="Times New Roman"/>
                <w:sz w:val="28"/>
                <w:szCs w:val="28"/>
                <w:lang w:val="uk-UA"/>
              </w:rPr>
              <w:t xml:space="preserve">медсестрами </w:t>
            </w:r>
          </w:p>
        </w:tc>
        <w:tc>
          <w:tcPr>
            <w:tcW w:w="1275" w:type="dxa"/>
          </w:tcPr>
          <w:p w:rsidR="004C51C0" w:rsidRPr="00006A39" w:rsidRDefault="004C51C0" w:rsidP="000F1D15">
            <w:pPr>
              <w:widowControl w:val="0"/>
              <w:spacing w:line="360" w:lineRule="auto"/>
              <w:jc w:val="center"/>
              <w:rPr>
                <w:rFonts w:ascii="Times New Roman" w:hAnsi="Times New Roman"/>
                <w:sz w:val="28"/>
                <w:szCs w:val="28"/>
                <w:lang w:val="uk-UA"/>
              </w:rPr>
            </w:pPr>
            <w:r w:rsidRPr="00006A39">
              <w:rPr>
                <w:rFonts w:ascii="Times New Roman" w:hAnsi="Times New Roman"/>
                <w:sz w:val="28"/>
                <w:szCs w:val="28"/>
                <w:lang w:val="uk-UA"/>
              </w:rPr>
              <w:t>0,999</w:t>
            </w:r>
          </w:p>
        </w:tc>
        <w:tc>
          <w:tcPr>
            <w:tcW w:w="1134" w:type="dxa"/>
          </w:tcPr>
          <w:p w:rsidR="004C51C0" w:rsidRPr="00006A39" w:rsidRDefault="004C51C0" w:rsidP="000F1D15">
            <w:pPr>
              <w:widowControl w:val="0"/>
              <w:spacing w:line="360" w:lineRule="auto"/>
              <w:jc w:val="center"/>
              <w:rPr>
                <w:rFonts w:ascii="Times New Roman" w:hAnsi="Times New Roman"/>
                <w:sz w:val="28"/>
                <w:szCs w:val="28"/>
                <w:lang w:val="uk-UA"/>
              </w:rPr>
            </w:pPr>
            <w:r w:rsidRPr="00006A39">
              <w:rPr>
                <w:rFonts w:ascii="Times New Roman" w:hAnsi="Times New Roman"/>
                <w:sz w:val="28"/>
                <w:szCs w:val="28"/>
                <w:lang w:val="uk-UA"/>
              </w:rPr>
              <w:t>0,001</w:t>
            </w:r>
          </w:p>
        </w:tc>
        <w:tc>
          <w:tcPr>
            <w:tcW w:w="1985" w:type="dxa"/>
          </w:tcPr>
          <w:p w:rsidR="004C51C0" w:rsidRPr="00006A39" w:rsidRDefault="004C51C0" w:rsidP="000F1D15">
            <w:pPr>
              <w:widowControl w:val="0"/>
              <w:spacing w:line="360" w:lineRule="auto"/>
              <w:jc w:val="center"/>
              <w:rPr>
                <w:rFonts w:ascii="Times New Roman" w:hAnsi="Times New Roman"/>
                <w:sz w:val="28"/>
                <w:szCs w:val="28"/>
                <w:lang w:val="uk-UA"/>
              </w:rPr>
            </w:pPr>
            <w:r w:rsidRPr="00006A39">
              <w:rPr>
                <w:rFonts w:ascii="Times New Roman" w:hAnsi="Times New Roman"/>
                <w:sz w:val="28"/>
                <w:szCs w:val="28"/>
                <w:lang w:val="uk-UA"/>
              </w:rPr>
              <w:t>0,997-1,001</w:t>
            </w:r>
          </w:p>
        </w:tc>
        <w:tc>
          <w:tcPr>
            <w:tcW w:w="1128" w:type="dxa"/>
          </w:tcPr>
          <w:p w:rsidR="004C51C0" w:rsidRPr="00006A39" w:rsidRDefault="004C51C0" w:rsidP="000F1D15">
            <w:pPr>
              <w:widowControl w:val="0"/>
              <w:spacing w:line="360" w:lineRule="auto"/>
              <w:jc w:val="center"/>
              <w:rPr>
                <w:rFonts w:ascii="Times New Roman" w:hAnsi="Times New Roman"/>
                <w:sz w:val="28"/>
                <w:szCs w:val="28"/>
                <w:lang w:val="uk-UA"/>
              </w:rPr>
            </w:pPr>
            <w:r w:rsidRPr="00006A39">
              <w:rPr>
                <w:rFonts w:ascii="Times New Roman" w:hAnsi="Times New Roman"/>
                <w:sz w:val="28"/>
                <w:szCs w:val="28"/>
                <w:lang w:val="uk-UA"/>
              </w:rPr>
              <w:t>0,267</w:t>
            </w:r>
          </w:p>
        </w:tc>
      </w:tr>
      <w:tr w:rsidR="004C51C0" w:rsidRPr="00006A39" w:rsidTr="00D66388">
        <w:trPr>
          <w:jc w:val="center"/>
        </w:trPr>
        <w:tc>
          <w:tcPr>
            <w:tcW w:w="3823" w:type="dxa"/>
          </w:tcPr>
          <w:p w:rsidR="004C51C0" w:rsidRPr="00006A39" w:rsidRDefault="004C51C0" w:rsidP="000F1D15">
            <w:pPr>
              <w:widowControl w:val="0"/>
              <w:spacing w:line="360" w:lineRule="auto"/>
              <w:jc w:val="left"/>
              <w:rPr>
                <w:rFonts w:ascii="Times New Roman" w:hAnsi="Times New Roman"/>
                <w:szCs w:val="28"/>
                <w:lang w:val="uk-UA"/>
              </w:rPr>
            </w:pPr>
            <w:r w:rsidRPr="00006A39">
              <w:rPr>
                <w:rFonts w:ascii="Times New Roman" w:hAnsi="Times New Roman"/>
                <w:sz w:val="28"/>
                <w:szCs w:val="28"/>
                <w:lang w:val="uk-UA"/>
              </w:rPr>
              <w:t>Укомплектованість відділень ІІ етапу виходжування</w:t>
            </w:r>
          </w:p>
        </w:tc>
        <w:tc>
          <w:tcPr>
            <w:tcW w:w="1275" w:type="dxa"/>
          </w:tcPr>
          <w:p w:rsidR="004C51C0" w:rsidRPr="00006A39" w:rsidRDefault="004C51C0" w:rsidP="000F1D15">
            <w:pPr>
              <w:widowControl w:val="0"/>
              <w:spacing w:line="360" w:lineRule="auto"/>
              <w:jc w:val="center"/>
              <w:rPr>
                <w:rFonts w:ascii="Times New Roman" w:hAnsi="Times New Roman"/>
                <w:szCs w:val="28"/>
                <w:lang w:val="uk-UA"/>
              </w:rPr>
            </w:pPr>
          </w:p>
        </w:tc>
        <w:tc>
          <w:tcPr>
            <w:tcW w:w="1134" w:type="dxa"/>
          </w:tcPr>
          <w:p w:rsidR="004C51C0" w:rsidRPr="00006A39" w:rsidRDefault="004C51C0" w:rsidP="000F1D15">
            <w:pPr>
              <w:widowControl w:val="0"/>
              <w:spacing w:line="360" w:lineRule="auto"/>
              <w:jc w:val="center"/>
              <w:rPr>
                <w:rFonts w:ascii="Times New Roman" w:hAnsi="Times New Roman"/>
                <w:szCs w:val="28"/>
                <w:lang w:val="uk-UA"/>
              </w:rPr>
            </w:pPr>
          </w:p>
        </w:tc>
        <w:tc>
          <w:tcPr>
            <w:tcW w:w="1985" w:type="dxa"/>
          </w:tcPr>
          <w:p w:rsidR="004C51C0" w:rsidRPr="00006A39" w:rsidRDefault="004C51C0" w:rsidP="000F1D15">
            <w:pPr>
              <w:widowControl w:val="0"/>
              <w:spacing w:line="360" w:lineRule="auto"/>
              <w:jc w:val="center"/>
              <w:rPr>
                <w:rFonts w:ascii="Times New Roman" w:hAnsi="Times New Roman"/>
                <w:szCs w:val="28"/>
                <w:lang w:val="uk-UA"/>
              </w:rPr>
            </w:pPr>
          </w:p>
        </w:tc>
        <w:tc>
          <w:tcPr>
            <w:tcW w:w="1128" w:type="dxa"/>
          </w:tcPr>
          <w:p w:rsidR="004C51C0" w:rsidRPr="00006A39" w:rsidRDefault="004C51C0" w:rsidP="000F1D15">
            <w:pPr>
              <w:widowControl w:val="0"/>
              <w:spacing w:line="360" w:lineRule="auto"/>
              <w:jc w:val="center"/>
              <w:rPr>
                <w:rFonts w:ascii="Times New Roman" w:hAnsi="Times New Roman"/>
                <w:szCs w:val="28"/>
                <w:lang w:val="uk-UA"/>
              </w:rPr>
            </w:pPr>
          </w:p>
        </w:tc>
      </w:tr>
      <w:tr w:rsidR="004C51C0" w:rsidRPr="00006A39" w:rsidTr="00D66388">
        <w:trPr>
          <w:jc w:val="center"/>
        </w:trPr>
        <w:tc>
          <w:tcPr>
            <w:tcW w:w="3823" w:type="dxa"/>
          </w:tcPr>
          <w:p w:rsidR="004C51C0" w:rsidRPr="00006A39" w:rsidRDefault="004C51C0" w:rsidP="000F1D15">
            <w:pPr>
              <w:widowControl w:val="0"/>
              <w:spacing w:line="360" w:lineRule="auto"/>
              <w:jc w:val="left"/>
              <w:rPr>
                <w:rFonts w:ascii="Times New Roman" w:hAnsi="Times New Roman"/>
                <w:sz w:val="28"/>
                <w:szCs w:val="28"/>
                <w:lang w:val="uk-UA"/>
              </w:rPr>
            </w:pPr>
            <w:r w:rsidRPr="00006A39">
              <w:rPr>
                <w:rFonts w:ascii="Times New Roman" w:hAnsi="Times New Roman"/>
                <w:sz w:val="28"/>
                <w:szCs w:val="28"/>
                <w:lang w:val="uk-UA"/>
              </w:rPr>
              <w:t>лікарями</w:t>
            </w:r>
          </w:p>
        </w:tc>
        <w:tc>
          <w:tcPr>
            <w:tcW w:w="1275" w:type="dxa"/>
          </w:tcPr>
          <w:p w:rsidR="004C51C0" w:rsidRPr="00006A39" w:rsidRDefault="004C51C0" w:rsidP="000F1D15">
            <w:pPr>
              <w:widowControl w:val="0"/>
              <w:spacing w:line="360" w:lineRule="auto"/>
              <w:jc w:val="center"/>
              <w:rPr>
                <w:rFonts w:ascii="Times New Roman" w:hAnsi="Times New Roman"/>
                <w:sz w:val="28"/>
                <w:szCs w:val="28"/>
                <w:lang w:val="uk-UA"/>
              </w:rPr>
            </w:pPr>
            <w:r w:rsidRPr="00006A39">
              <w:rPr>
                <w:rFonts w:ascii="Times New Roman" w:hAnsi="Times New Roman"/>
                <w:sz w:val="28"/>
                <w:szCs w:val="28"/>
                <w:lang w:val="uk-UA"/>
              </w:rPr>
              <w:t>1,002</w:t>
            </w:r>
          </w:p>
        </w:tc>
        <w:tc>
          <w:tcPr>
            <w:tcW w:w="1134" w:type="dxa"/>
          </w:tcPr>
          <w:p w:rsidR="004C51C0" w:rsidRPr="00006A39" w:rsidRDefault="004C51C0" w:rsidP="000F1D15">
            <w:pPr>
              <w:widowControl w:val="0"/>
              <w:spacing w:line="360" w:lineRule="auto"/>
              <w:jc w:val="center"/>
              <w:rPr>
                <w:rFonts w:ascii="Times New Roman" w:hAnsi="Times New Roman"/>
                <w:sz w:val="28"/>
                <w:szCs w:val="28"/>
                <w:lang w:val="uk-UA"/>
              </w:rPr>
            </w:pPr>
            <w:r w:rsidRPr="00006A39">
              <w:rPr>
                <w:rFonts w:ascii="Times New Roman" w:hAnsi="Times New Roman"/>
                <w:sz w:val="28"/>
                <w:szCs w:val="28"/>
                <w:lang w:val="uk-UA"/>
              </w:rPr>
              <w:t>0,001</w:t>
            </w:r>
          </w:p>
        </w:tc>
        <w:tc>
          <w:tcPr>
            <w:tcW w:w="1985" w:type="dxa"/>
          </w:tcPr>
          <w:p w:rsidR="004C51C0" w:rsidRPr="00006A39" w:rsidRDefault="004C51C0" w:rsidP="000F1D15">
            <w:pPr>
              <w:widowControl w:val="0"/>
              <w:spacing w:line="360" w:lineRule="auto"/>
              <w:jc w:val="center"/>
              <w:rPr>
                <w:rFonts w:ascii="Times New Roman" w:hAnsi="Times New Roman"/>
                <w:sz w:val="28"/>
                <w:szCs w:val="28"/>
                <w:lang w:val="uk-UA"/>
              </w:rPr>
            </w:pPr>
            <w:r w:rsidRPr="00006A39">
              <w:rPr>
                <w:rFonts w:ascii="Times New Roman" w:hAnsi="Times New Roman"/>
                <w:sz w:val="28"/>
                <w:szCs w:val="28"/>
                <w:lang w:val="uk-UA"/>
              </w:rPr>
              <w:t>0,999-1,003</w:t>
            </w:r>
          </w:p>
        </w:tc>
        <w:tc>
          <w:tcPr>
            <w:tcW w:w="1128" w:type="dxa"/>
          </w:tcPr>
          <w:p w:rsidR="004C51C0" w:rsidRPr="00006A39" w:rsidRDefault="004C51C0" w:rsidP="000F1D15">
            <w:pPr>
              <w:widowControl w:val="0"/>
              <w:spacing w:line="360" w:lineRule="auto"/>
              <w:jc w:val="center"/>
              <w:rPr>
                <w:rFonts w:ascii="Times New Roman" w:hAnsi="Times New Roman"/>
                <w:sz w:val="28"/>
                <w:szCs w:val="28"/>
                <w:lang w:val="uk-UA"/>
              </w:rPr>
            </w:pPr>
            <w:r w:rsidRPr="00006A39">
              <w:rPr>
                <w:rFonts w:ascii="Times New Roman" w:hAnsi="Times New Roman"/>
                <w:sz w:val="28"/>
                <w:szCs w:val="28"/>
                <w:lang w:val="uk-UA"/>
              </w:rPr>
              <w:t>0,111</w:t>
            </w:r>
          </w:p>
        </w:tc>
      </w:tr>
      <w:tr w:rsidR="004C51C0" w:rsidRPr="00006A39" w:rsidTr="00D66388">
        <w:trPr>
          <w:jc w:val="center"/>
        </w:trPr>
        <w:tc>
          <w:tcPr>
            <w:tcW w:w="3823" w:type="dxa"/>
          </w:tcPr>
          <w:p w:rsidR="004C51C0" w:rsidRPr="00006A39" w:rsidRDefault="004C51C0" w:rsidP="000F1D15">
            <w:pPr>
              <w:widowControl w:val="0"/>
              <w:spacing w:line="360" w:lineRule="auto"/>
              <w:jc w:val="left"/>
              <w:rPr>
                <w:rFonts w:ascii="Times New Roman" w:hAnsi="Times New Roman"/>
                <w:sz w:val="28"/>
                <w:szCs w:val="28"/>
                <w:lang w:val="uk-UA"/>
              </w:rPr>
            </w:pPr>
            <w:r w:rsidRPr="00006A39">
              <w:rPr>
                <w:rFonts w:ascii="Times New Roman" w:hAnsi="Times New Roman"/>
                <w:sz w:val="28"/>
                <w:szCs w:val="28"/>
                <w:lang w:val="uk-UA"/>
              </w:rPr>
              <w:t>медсестрами</w:t>
            </w:r>
          </w:p>
        </w:tc>
        <w:tc>
          <w:tcPr>
            <w:tcW w:w="1275" w:type="dxa"/>
          </w:tcPr>
          <w:p w:rsidR="004C51C0" w:rsidRPr="00006A39" w:rsidRDefault="004C51C0" w:rsidP="000F1D15">
            <w:pPr>
              <w:widowControl w:val="0"/>
              <w:spacing w:line="360" w:lineRule="auto"/>
              <w:jc w:val="center"/>
              <w:rPr>
                <w:rFonts w:ascii="Times New Roman" w:hAnsi="Times New Roman"/>
                <w:sz w:val="28"/>
                <w:szCs w:val="28"/>
                <w:lang w:val="uk-UA"/>
              </w:rPr>
            </w:pPr>
            <w:r w:rsidRPr="00006A39">
              <w:rPr>
                <w:rFonts w:ascii="Times New Roman" w:hAnsi="Times New Roman"/>
                <w:sz w:val="28"/>
                <w:szCs w:val="28"/>
                <w:lang w:val="uk-UA"/>
              </w:rPr>
              <w:t>0,997</w:t>
            </w:r>
          </w:p>
        </w:tc>
        <w:tc>
          <w:tcPr>
            <w:tcW w:w="1134" w:type="dxa"/>
          </w:tcPr>
          <w:p w:rsidR="004C51C0" w:rsidRPr="00006A39" w:rsidRDefault="004C51C0" w:rsidP="000F1D15">
            <w:pPr>
              <w:widowControl w:val="0"/>
              <w:spacing w:line="360" w:lineRule="auto"/>
              <w:jc w:val="center"/>
              <w:rPr>
                <w:rFonts w:ascii="Times New Roman" w:hAnsi="Times New Roman"/>
                <w:sz w:val="28"/>
                <w:szCs w:val="28"/>
                <w:lang w:val="uk-UA"/>
              </w:rPr>
            </w:pPr>
            <w:r w:rsidRPr="00006A39">
              <w:rPr>
                <w:rFonts w:ascii="Times New Roman" w:hAnsi="Times New Roman"/>
                <w:sz w:val="28"/>
                <w:szCs w:val="28"/>
                <w:lang w:val="uk-UA"/>
              </w:rPr>
              <w:t>0,001</w:t>
            </w:r>
          </w:p>
        </w:tc>
        <w:tc>
          <w:tcPr>
            <w:tcW w:w="1985" w:type="dxa"/>
          </w:tcPr>
          <w:p w:rsidR="004C51C0" w:rsidRPr="00006A39" w:rsidRDefault="004C51C0" w:rsidP="000F1D15">
            <w:pPr>
              <w:widowControl w:val="0"/>
              <w:spacing w:line="360" w:lineRule="auto"/>
              <w:jc w:val="center"/>
              <w:rPr>
                <w:rFonts w:ascii="Times New Roman" w:hAnsi="Times New Roman"/>
                <w:sz w:val="28"/>
                <w:szCs w:val="28"/>
                <w:lang w:val="uk-UA"/>
              </w:rPr>
            </w:pPr>
            <w:r w:rsidRPr="00006A39">
              <w:rPr>
                <w:rFonts w:ascii="Times New Roman" w:hAnsi="Times New Roman"/>
                <w:sz w:val="28"/>
                <w:szCs w:val="28"/>
                <w:lang w:val="uk-UA"/>
              </w:rPr>
              <w:t>0,994-0,999</w:t>
            </w:r>
          </w:p>
        </w:tc>
        <w:tc>
          <w:tcPr>
            <w:tcW w:w="1128" w:type="dxa"/>
          </w:tcPr>
          <w:p w:rsidR="004C51C0" w:rsidRPr="00006A39" w:rsidRDefault="004C51C0" w:rsidP="000F1D15">
            <w:pPr>
              <w:widowControl w:val="0"/>
              <w:spacing w:line="360" w:lineRule="auto"/>
              <w:jc w:val="center"/>
              <w:rPr>
                <w:rFonts w:ascii="Times New Roman" w:hAnsi="Times New Roman"/>
                <w:sz w:val="28"/>
                <w:szCs w:val="28"/>
                <w:lang w:val="uk-UA"/>
              </w:rPr>
            </w:pPr>
            <w:r w:rsidRPr="00006A39">
              <w:rPr>
                <w:rFonts w:ascii="Times New Roman" w:hAnsi="Times New Roman"/>
                <w:sz w:val="28"/>
                <w:szCs w:val="28"/>
                <w:lang w:val="uk-UA"/>
              </w:rPr>
              <w:t>0,032</w:t>
            </w:r>
          </w:p>
        </w:tc>
      </w:tr>
      <w:tr w:rsidR="00500337" w:rsidRPr="00006A39" w:rsidTr="00A50DA2">
        <w:trPr>
          <w:trHeight w:val="1449"/>
          <w:jc w:val="center"/>
        </w:trPr>
        <w:tc>
          <w:tcPr>
            <w:tcW w:w="3823" w:type="dxa"/>
          </w:tcPr>
          <w:p w:rsidR="00500337" w:rsidRPr="00006A39" w:rsidRDefault="00500337" w:rsidP="000F1D15">
            <w:pPr>
              <w:widowControl w:val="0"/>
              <w:spacing w:line="360" w:lineRule="auto"/>
              <w:jc w:val="left"/>
              <w:rPr>
                <w:rFonts w:ascii="Times New Roman" w:hAnsi="Times New Roman"/>
                <w:sz w:val="28"/>
                <w:szCs w:val="28"/>
                <w:lang w:val="uk-UA"/>
              </w:rPr>
            </w:pPr>
            <w:r w:rsidRPr="00006A39">
              <w:rPr>
                <w:rFonts w:ascii="Times New Roman" w:hAnsi="Times New Roman"/>
                <w:sz w:val="28"/>
                <w:szCs w:val="28"/>
                <w:lang w:val="uk-UA"/>
              </w:rPr>
              <w:t>Укомплектованість пологових відділень</w:t>
            </w:r>
          </w:p>
          <w:p w:rsidR="00500337" w:rsidRPr="00006A39" w:rsidRDefault="00500337" w:rsidP="000F1D15">
            <w:pPr>
              <w:widowControl w:val="0"/>
              <w:spacing w:line="360" w:lineRule="auto"/>
              <w:jc w:val="left"/>
              <w:rPr>
                <w:rFonts w:ascii="Times New Roman" w:hAnsi="Times New Roman"/>
                <w:sz w:val="28"/>
                <w:szCs w:val="28"/>
                <w:lang w:val="uk-UA"/>
              </w:rPr>
            </w:pPr>
            <w:r w:rsidRPr="00500337">
              <w:rPr>
                <w:rFonts w:ascii="Times New Roman" w:hAnsi="Times New Roman"/>
                <w:sz w:val="28"/>
                <w:szCs w:val="28"/>
                <w:lang w:val="uk-UA"/>
              </w:rPr>
              <w:t>лікарями</w:t>
            </w:r>
          </w:p>
        </w:tc>
        <w:tc>
          <w:tcPr>
            <w:tcW w:w="1275" w:type="dxa"/>
          </w:tcPr>
          <w:p w:rsidR="00500337" w:rsidRPr="00006A39" w:rsidRDefault="00500337" w:rsidP="000F1D15">
            <w:pPr>
              <w:widowControl w:val="0"/>
              <w:spacing w:line="360" w:lineRule="auto"/>
              <w:jc w:val="center"/>
              <w:rPr>
                <w:rFonts w:ascii="Times New Roman" w:hAnsi="Times New Roman"/>
                <w:sz w:val="28"/>
                <w:szCs w:val="28"/>
                <w:lang w:val="uk-UA"/>
              </w:rPr>
            </w:pPr>
            <w:r w:rsidRPr="00006A39">
              <w:rPr>
                <w:rFonts w:ascii="Times New Roman" w:hAnsi="Times New Roman"/>
                <w:sz w:val="28"/>
                <w:szCs w:val="28"/>
                <w:lang w:val="uk-UA"/>
              </w:rPr>
              <w:t>1,003</w:t>
            </w:r>
          </w:p>
        </w:tc>
        <w:tc>
          <w:tcPr>
            <w:tcW w:w="1134" w:type="dxa"/>
          </w:tcPr>
          <w:p w:rsidR="00500337" w:rsidRPr="00006A39" w:rsidRDefault="00500337" w:rsidP="000F1D15">
            <w:pPr>
              <w:widowControl w:val="0"/>
              <w:spacing w:line="360" w:lineRule="auto"/>
              <w:jc w:val="center"/>
              <w:rPr>
                <w:rFonts w:ascii="Times New Roman" w:hAnsi="Times New Roman"/>
                <w:sz w:val="28"/>
                <w:szCs w:val="28"/>
                <w:lang w:val="uk-UA"/>
              </w:rPr>
            </w:pPr>
            <w:r w:rsidRPr="00006A39">
              <w:rPr>
                <w:rFonts w:ascii="Times New Roman" w:hAnsi="Times New Roman"/>
                <w:sz w:val="28"/>
                <w:szCs w:val="28"/>
                <w:lang w:val="uk-UA"/>
              </w:rPr>
              <w:t>0,001</w:t>
            </w:r>
          </w:p>
        </w:tc>
        <w:tc>
          <w:tcPr>
            <w:tcW w:w="1985" w:type="dxa"/>
          </w:tcPr>
          <w:p w:rsidR="00500337" w:rsidRPr="00006A39" w:rsidRDefault="00500337" w:rsidP="000F1D15">
            <w:pPr>
              <w:widowControl w:val="0"/>
              <w:spacing w:line="360" w:lineRule="auto"/>
              <w:jc w:val="center"/>
              <w:rPr>
                <w:rFonts w:ascii="Times New Roman" w:hAnsi="Times New Roman"/>
                <w:sz w:val="28"/>
                <w:szCs w:val="28"/>
                <w:lang w:val="uk-UA"/>
              </w:rPr>
            </w:pPr>
            <w:r w:rsidRPr="00006A39">
              <w:rPr>
                <w:rFonts w:ascii="Times New Roman" w:hAnsi="Times New Roman"/>
                <w:sz w:val="28"/>
                <w:szCs w:val="28"/>
                <w:lang w:val="uk-UA"/>
              </w:rPr>
              <w:t>0,996-1,005</w:t>
            </w:r>
          </w:p>
        </w:tc>
        <w:tc>
          <w:tcPr>
            <w:tcW w:w="1128" w:type="dxa"/>
          </w:tcPr>
          <w:p w:rsidR="00500337" w:rsidRPr="00006A39" w:rsidRDefault="00500337" w:rsidP="000F1D15">
            <w:pPr>
              <w:widowControl w:val="0"/>
              <w:spacing w:line="360" w:lineRule="auto"/>
              <w:jc w:val="center"/>
              <w:rPr>
                <w:rFonts w:ascii="Times New Roman" w:hAnsi="Times New Roman"/>
                <w:sz w:val="28"/>
                <w:szCs w:val="28"/>
                <w:lang w:val="uk-UA"/>
              </w:rPr>
            </w:pPr>
            <w:r w:rsidRPr="00006A39">
              <w:rPr>
                <w:rFonts w:ascii="Times New Roman" w:hAnsi="Times New Roman"/>
                <w:sz w:val="28"/>
                <w:szCs w:val="28"/>
                <w:lang w:val="uk-UA"/>
              </w:rPr>
              <w:t>0,113</w:t>
            </w:r>
          </w:p>
        </w:tc>
      </w:tr>
      <w:tr w:rsidR="004C51C0" w:rsidRPr="00006A39" w:rsidTr="00D66388">
        <w:trPr>
          <w:jc w:val="center"/>
        </w:trPr>
        <w:tc>
          <w:tcPr>
            <w:tcW w:w="3823" w:type="dxa"/>
          </w:tcPr>
          <w:p w:rsidR="004C51C0" w:rsidRPr="00006A39" w:rsidRDefault="004C51C0" w:rsidP="000F1D15">
            <w:pPr>
              <w:widowControl w:val="0"/>
              <w:spacing w:line="360" w:lineRule="auto"/>
              <w:jc w:val="left"/>
              <w:rPr>
                <w:rFonts w:ascii="Times New Roman" w:hAnsi="Times New Roman"/>
                <w:sz w:val="28"/>
                <w:szCs w:val="28"/>
                <w:lang w:val="uk-UA"/>
              </w:rPr>
            </w:pPr>
            <w:r w:rsidRPr="00006A39">
              <w:rPr>
                <w:rFonts w:ascii="Times New Roman" w:hAnsi="Times New Roman"/>
                <w:sz w:val="28"/>
                <w:szCs w:val="28"/>
                <w:lang w:val="uk-UA"/>
              </w:rPr>
              <w:t xml:space="preserve">медсестрами </w:t>
            </w:r>
          </w:p>
        </w:tc>
        <w:tc>
          <w:tcPr>
            <w:tcW w:w="1275" w:type="dxa"/>
          </w:tcPr>
          <w:p w:rsidR="004C51C0" w:rsidRPr="00006A39" w:rsidRDefault="004C51C0" w:rsidP="000F1D15">
            <w:pPr>
              <w:widowControl w:val="0"/>
              <w:spacing w:line="360" w:lineRule="auto"/>
              <w:jc w:val="center"/>
              <w:rPr>
                <w:rFonts w:ascii="Times New Roman" w:hAnsi="Times New Roman"/>
                <w:sz w:val="28"/>
                <w:szCs w:val="28"/>
                <w:lang w:val="uk-UA"/>
              </w:rPr>
            </w:pPr>
            <w:r w:rsidRPr="00006A39">
              <w:rPr>
                <w:rFonts w:ascii="Times New Roman" w:hAnsi="Times New Roman"/>
                <w:sz w:val="28"/>
                <w:szCs w:val="28"/>
                <w:lang w:val="uk-UA"/>
              </w:rPr>
              <w:t>0,999</w:t>
            </w:r>
          </w:p>
        </w:tc>
        <w:tc>
          <w:tcPr>
            <w:tcW w:w="1134" w:type="dxa"/>
          </w:tcPr>
          <w:p w:rsidR="004C51C0" w:rsidRPr="00006A39" w:rsidRDefault="004C51C0" w:rsidP="000F1D15">
            <w:pPr>
              <w:widowControl w:val="0"/>
              <w:spacing w:line="360" w:lineRule="auto"/>
              <w:jc w:val="center"/>
              <w:rPr>
                <w:rFonts w:ascii="Times New Roman" w:hAnsi="Times New Roman"/>
                <w:sz w:val="28"/>
                <w:szCs w:val="28"/>
                <w:lang w:val="uk-UA"/>
              </w:rPr>
            </w:pPr>
            <w:r w:rsidRPr="00006A39">
              <w:rPr>
                <w:rFonts w:ascii="Times New Roman" w:hAnsi="Times New Roman"/>
                <w:sz w:val="28"/>
                <w:szCs w:val="28"/>
                <w:lang w:val="uk-UA"/>
              </w:rPr>
              <w:t>0,002</w:t>
            </w:r>
          </w:p>
        </w:tc>
        <w:tc>
          <w:tcPr>
            <w:tcW w:w="1985" w:type="dxa"/>
          </w:tcPr>
          <w:p w:rsidR="004C51C0" w:rsidRPr="00006A39" w:rsidRDefault="004C51C0" w:rsidP="000F1D15">
            <w:pPr>
              <w:widowControl w:val="0"/>
              <w:spacing w:line="360" w:lineRule="auto"/>
              <w:jc w:val="center"/>
              <w:rPr>
                <w:rFonts w:ascii="Times New Roman" w:hAnsi="Times New Roman"/>
                <w:sz w:val="28"/>
                <w:szCs w:val="28"/>
                <w:lang w:val="uk-UA"/>
              </w:rPr>
            </w:pPr>
            <w:r w:rsidRPr="00006A39">
              <w:rPr>
                <w:rFonts w:ascii="Times New Roman" w:hAnsi="Times New Roman"/>
                <w:sz w:val="28"/>
                <w:szCs w:val="28"/>
                <w:lang w:val="uk-UA"/>
              </w:rPr>
              <w:t>0,997-1,003</w:t>
            </w:r>
          </w:p>
        </w:tc>
        <w:tc>
          <w:tcPr>
            <w:tcW w:w="1128" w:type="dxa"/>
          </w:tcPr>
          <w:p w:rsidR="004C51C0" w:rsidRPr="00006A39" w:rsidRDefault="004C51C0" w:rsidP="000F1D15">
            <w:pPr>
              <w:widowControl w:val="0"/>
              <w:spacing w:line="360" w:lineRule="auto"/>
              <w:jc w:val="center"/>
              <w:rPr>
                <w:rFonts w:ascii="Times New Roman" w:hAnsi="Times New Roman"/>
                <w:sz w:val="28"/>
                <w:szCs w:val="28"/>
                <w:lang w:val="uk-UA"/>
              </w:rPr>
            </w:pPr>
            <w:r w:rsidRPr="00006A39">
              <w:rPr>
                <w:rFonts w:ascii="Times New Roman" w:hAnsi="Times New Roman"/>
                <w:sz w:val="28"/>
                <w:szCs w:val="28"/>
                <w:lang w:val="uk-UA"/>
              </w:rPr>
              <w:t>0,811</w:t>
            </w:r>
          </w:p>
        </w:tc>
      </w:tr>
    </w:tbl>
    <w:p w:rsidR="00E24519" w:rsidRDefault="00E24519" w:rsidP="00721203">
      <w:pPr>
        <w:pStyle w:val="a5"/>
        <w:widowControl w:val="0"/>
        <w:ind w:left="0" w:firstLine="709"/>
        <w:rPr>
          <w:lang w:val="ru-RU"/>
        </w:rPr>
      </w:pPr>
    </w:p>
    <w:p w:rsidR="006738F0" w:rsidRPr="00E23C45" w:rsidRDefault="006738F0" w:rsidP="00E23C45">
      <w:pPr>
        <w:widowControl w:val="0"/>
        <w:ind w:firstLine="709"/>
        <w:rPr>
          <w:rFonts w:eastAsia="Times New Roman"/>
          <w:szCs w:val="28"/>
          <w:lang w:val="ru-RU" w:eastAsia="ru-RU"/>
        </w:rPr>
      </w:pPr>
      <w:r w:rsidRPr="00006A39">
        <w:rPr>
          <w:rFonts w:eastAsia="Times New Roman"/>
          <w:color w:val="000000" w:themeColor="text1"/>
          <w:szCs w:val="28"/>
          <w:lang w:eastAsia="ru-RU"/>
        </w:rPr>
        <w:t>Отже</w:t>
      </w:r>
      <w:r w:rsidR="004C51C0" w:rsidRPr="00006A39">
        <w:rPr>
          <w:rFonts w:eastAsia="Times New Roman"/>
          <w:color w:val="000000" w:themeColor="text1"/>
          <w:szCs w:val="28"/>
          <w:lang w:eastAsia="ru-RU"/>
        </w:rPr>
        <w:t>,</w:t>
      </w:r>
      <w:r w:rsidRPr="00006A39">
        <w:rPr>
          <w:rFonts w:eastAsia="Times New Roman"/>
          <w:color w:val="000000" w:themeColor="text1"/>
          <w:szCs w:val="28"/>
          <w:lang w:eastAsia="ru-RU"/>
        </w:rPr>
        <w:t xml:space="preserve"> нами</w:t>
      </w:r>
      <w:r w:rsidRPr="00006A39">
        <w:rPr>
          <w:rFonts w:eastAsia="Times New Roman"/>
          <w:szCs w:val="28"/>
          <w:lang w:eastAsia="ru-RU"/>
        </w:rPr>
        <w:t xml:space="preserve"> встановлено проблемні питання кадрового забезпечення України: регіональну нерівномірність розподілу щільності лікарів та медичних сестер, де низька щільність як лікарів, так і медичних сестер (Закарпатська, Київська, Миколаївська, Херсонська, Донецька та Луганська області), надлишок кадрових ресурсів охорони здоров’я </w:t>
      </w:r>
      <w:r w:rsidRPr="008D69A3">
        <w:rPr>
          <w:rFonts w:eastAsia="Times New Roman"/>
          <w:szCs w:val="28"/>
          <w:lang w:eastAsia="ru-RU"/>
        </w:rPr>
        <w:t xml:space="preserve">(КРОЗ) </w:t>
      </w:r>
      <w:r w:rsidRPr="00006A39">
        <w:rPr>
          <w:rFonts w:eastAsia="Times New Roman"/>
          <w:szCs w:val="28"/>
          <w:lang w:eastAsia="ru-RU"/>
        </w:rPr>
        <w:t xml:space="preserve">спеціалізованої допомоги в Україні в загальній структурі медичної допомоги (4 з 5 лікарів є лікарями-спеціалістами, при тому, що частка лікарів-спеціалістів є вищою за середньоєвропейський показник 4,5 лікаря-спеціаліста на 1 лікаря первинної ланки в Україні, 3:1 – в ЄС), кількість ЛЗП–СЛ переважно зростає за рахунок перепрофілювання дільничних терапевтів та </w:t>
      </w:r>
      <w:r w:rsidRPr="00006A39">
        <w:rPr>
          <w:rFonts w:eastAsia="Times New Roman"/>
          <w:szCs w:val="28"/>
          <w:lang w:eastAsia="ru-RU"/>
        </w:rPr>
        <w:lastRenderedPageBreak/>
        <w:t>педіатрів, при стабільному співвідношенні медичних кадрів первинної та спеціалізованої допомоги [</w:t>
      </w:r>
      <w:r w:rsidR="00DD453C" w:rsidRPr="00DD453C">
        <w:rPr>
          <w:rFonts w:eastAsia="Times New Roman"/>
          <w:szCs w:val="28"/>
          <w:lang w:eastAsia="ru-RU"/>
        </w:rPr>
        <w:t>320</w:t>
      </w:r>
      <w:r w:rsidR="00E23C45">
        <w:rPr>
          <w:rFonts w:eastAsia="Times New Roman"/>
          <w:szCs w:val="28"/>
          <w:lang w:eastAsia="ru-RU"/>
        </w:rPr>
        <w:t>].</w:t>
      </w:r>
    </w:p>
    <w:p w:rsidR="006738F0" w:rsidRPr="00006A39" w:rsidRDefault="006738F0" w:rsidP="00E23C45">
      <w:pPr>
        <w:pStyle w:val="a5"/>
        <w:widowControl w:val="0"/>
        <w:spacing w:before="240" w:after="240"/>
        <w:ind w:left="0" w:firstLine="709"/>
        <w:rPr>
          <w:b/>
          <w:szCs w:val="28"/>
        </w:rPr>
      </w:pPr>
      <w:r w:rsidRPr="00006A39">
        <w:rPr>
          <w:b/>
          <w:szCs w:val="28"/>
        </w:rPr>
        <w:t xml:space="preserve">Висновки </w:t>
      </w:r>
      <w:r w:rsidR="0036523A">
        <w:rPr>
          <w:b/>
          <w:szCs w:val="28"/>
        </w:rPr>
        <w:t>до  розділу</w:t>
      </w:r>
      <w:r w:rsidR="00231426" w:rsidRPr="00231426">
        <w:rPr>
          <w:b/>
          <w:szCs w:val="28"/>
        </w:rPr>
        <w:t xml:space="preserve"> </w:t>
      </w:r>
      <w:r w:rsidR="005A27EC">
        <w:rPr>
          <w:b/>
          <w:szCs w:val="28"/>
        </w:rPr>
        <w:t>5</w:t>
      </w:r>
    </w:p>
    <w:p w:rsidR="001A353E" w:rsidRPr="001A353E" w:rsidRDefault="001A353E" w:rsidP="001A353E">
      <w:pPr>
        <w:widowControl w:val="0"/>
        <w:numPr>
          <w:ilvl w:val="0"/>
          <w:numId w:val="8"/>
        </w:numPr>
        <w:ind w:left="0" w:firstLine="709"/>
        <w:contextualSpacing/>
        <w:rPr>
          <w:rFonts w:eastAsia="Times New Roman"/>
          <w:szCs w:val="28"/>
          <w:lang w:eastAsia="ru-RU"/>
        </w:rPr>
      </w:pPr>
      <w:r w:rsidRPr="001A353E">
        <w:rPr>
          <w:rFonts w:eastAsia="Calibri"/>
          <w:szCs w:val="28"/>
        </w:rPr>
        <w:t>Показано, що за 2013-2018 рр. в Україні відбулось скорочення: дитячих поліклінік на 15,6%, дитячих лікарень міського підпорядкування на 38,6%, обласних дитячих лікарень на 6,9%, інфекційних дитячих лікарень на 33,3%, туберкульозних дитячих лікарень на 33,3%, будинків дитини на 13,6%, що пов’язано з поступовим скороченням чисельності дитячого населення в країні, триваючою трансформацією медично</w:t>
      </w:r>
      <w:r w:rsidR="005615DD">
        <w:rPr>
          <w:rFonts w:eastAsia="Calibri"/>
          <w:szCs w:val="28"/>
        </w:rPr>
        <w:t>ї галузі із впровадженням ПМСД</w:t>
      </w:r>
      <w:r w:rsidRPr="001A353E">
        <w:rPr>
          <w:rFonts w:eastAsia="Calibri"/>
          <w:szCs w:val="28"/>
        </w:rPr>
        <w:t xml:space="preserve"> та створенням центрів з її надання, а також із впровадженням стаціонарзамінної допомоги, використанням сучасних технологій,  воєнною агресією</w:t>
      </w:r>
      <w:r w:rsidR="00EA55A5">
        <w:rPr>
          <w:rFonts w:eastAsia="Calibri"/>
          <w:szCs w:val="28"/>
        </w:rPr>
        <w:t xml:space="preserve"> тощо</w:t>
      </w:r>
      <w:r w:rsidRPr="001A353E">
        <w:rPr>
          <w:rFonts w:eastAsia="Calibri"/>
          <w:szCs w:val="28"/>
        </w:rPr>
        <w:t>.</w:t>
      </w:r>
    </w:p>
    <w:p w:rsidR="001A353E" w:rsidRPr="001A353E" w:rsidRDefault="001A353E" w:rsidP="001A353E">
      <w:pPr>
        <w:widowControl w:val="0"/>
        <w:numPr>
          <w:ilvl w:val="0"/>
          <w:numId w:val="8"/>
        </w:numPr>
        <w:ind w:left="0" w:firstLine="709"/>
        <w:contextualSpacing/>
        <w:rPr>
          <w:rFonts w:eastAsia="Calibri"/>
          <w:szCs w:val="28"/>
        </w:rPr>
      </w:pPr>
      <w:r w:rsidRPr="001A353E">
        <w:rPr>
          <w:rFonts w:eastAsia="Calibri"/>
          <w:szCs w:val="28"/>
        </w:rPr>
        <w:t>Встановлено зростання самостійних ЦПМСД (на 36,7%), у т.ч. у сільських адміністративних районах – на 38,8%, а також зростання лікарських амбулаторій у структурі самостійних ЦПМСД на 1</w:t>
      </w:r>
      <w:r w:rsidR="005615DD">
        <w:rPr>
          <w:rFonts w:eastAsia="Calibri"/>
          <w:szCs w:val="28"/>
        </w:rPr>
        <w:t>5,7% і ФАПів</w:t>
      </w:r>
      <w:r w:rsidRPr="001A353E">
        <w:rPr>
          <w:rFonts w:eastAsia="Calibri"/>
          <w:szCs w:val="28"/>
        </w:rPr>
        <w:t xml:space="preserve"> на 4,1%. При цьому, якщо кількість ФАПів  в структурі самостійних ЦПМСД зросла, загальна кількість ФАПів в країні знизилась з 13295 до 12582 (на 5,4%).</w:t>
      </w:r>
    </w:p>
    <w:p w:rsidR="001A353E" w:rsidRPr="001A353E" w:rsidRDefault="001A353E" w:rsidP="001A353E">
      <w:pPr>
        <w:widowControl w:val="0"/>
        <w:numPr>
          <w:ilvl w:val="0"/>
          <w:numId w:val="8"/>
        </w:numPr>
        <w:ind w:left="0" w:firstLine="709"/>
        <w:contextualSpacing/>
        <w:rPr>
          <w:rFonts w:eastAsia="Calibri"/>
          <w:szCs w:val="28"/>
        </w:rPr>
      </w:pPr>
      <w:r w:rsidRPr="001A353E">
        <w:rPr>
          <w:rFonts w:eastAsia="Calibri"/>
          <w:szCs w:val="28"/>
        </w:rPr>
        <w:t>З’ясовано, що кількість ліжок денних стаціонарів для дітей на рівні амбулаторно-поліклінічної допомоги  в Україні зменшилась на 0,16%  (з  4984 у 2014 р.  до  4976  у 2018 р.), а число пролікованих хворих дітей на 12,6%, при цьому частка пролікованих дітей у денних стаціонарах амбулаторно-полікліничих закладів країни зменшилась з 8,10% до 7,36%, у диспансерах  частка пролікованих дітей зросла з 3,09% до 9,21%.</w:t>
      </w:r>
    </w:p>
    <w:p w:rsidR="001A353E" w:rsidRPr="001A353E" w:rsidRDefault="001A353E" w:rsidP="001A353E">
      <w:pPr>
        <w:widowControl w:val="0"/>
        <w:numPr>
          <w:ilvl w:val="0"/>
          <w:numId w:val="8"/>
        </w:numPr>
        <w:ind w:left="0" w:firstLine="709"/>
        <w:contextualSpacing/>
        <w:rPr>
          <w:rFonts w:eastAsia="Calibri"/>
          <w:szCs w:val="28"/>
        </w:rPr>
      </w:pPr>
      <w:r w:rsidRPr="001A353E">
        <w:rPr>
          <w:rFonts w:eastAsia="Calibri"/>
          <w:szCs w:val="28"/>
        </w:rPr>
        <w:t xml:space="preserve">За період </w:t>
      </w:r>
      <w:r w:rsidR="00210367">
        <w:rPr>
          <w:rFonts w:eastAsia="Calibri"/>
          <w:szCs w:val="28"/>
        </w:rPr>
        <w:t xml:space="preserve"> </w:t>
      </w:r>
      <w:r w:rsidRPr="001A353E">
        <w:rPr>
          <w:rFonts w:eastAsia="Calibri"/>
          <w:szCs w:val="28"/>
        </w:rPr>
        <w:t>2013-2018 рр. в Україні кількість дитячих стаціонарних ліжок цілодобового спостереження скоротилась на 21,5% (з 51382 ліжка у 2013 р., 43668 у 2014 р., 41221 у 2017 р., 40312 у 2018 р.) за більшістю профілями її надання, показник забезпеченості стаціонарними ліжками дітей на 8,0% з 57,5 до 52,98 на 10</w:t>
      </w:r>
      <w:r w:rsidR="00162CAD">
        <w:rPr>
          <w:rFonts w:eastAsia="Calibri"/>
          <w:szCs w:val="28"/>
          <w:lang w:val="ru-RU"/>
        </w:rPr>
        <w:t> </w:t>
      </w:r>
      <w:r w:rsidRPr="001A353E">
        <w:rPr>
          <w:rFonts w:eastAsia="Calibri"/>
          <w:szCs w:val="28"/>
        </w:rPr>
        <w:t>тис. дитячого населення, показник середньої тривалості перебування дитини на ліжку на 6,3% (9,49 і 8,89 днів відповідно) на тлі значної регіональної диференціації показників забезпеченості дитячого населення стаціонарними ліжками.</w:t>
      </w:r>
    </w:p>
    <w:p w:rsidR="00951929" w:rsidRPr="00951929" w:rsidRDefault="001A353E" w:rsidP="00951929">
      <w:pPr>
        <w:widowControl w:val="0"/>
        <w:numPr>
          <w:ilvl w:val="0"/>
          <w:numId w:val="8"/>
        </w:numPr>
        <w:ind w:left="0" w:firstLine="709"/>
        <w:contextualSpacing/>
        <w:rPr>
          <w:rFonts w:eastAsia="Calibri"/>
          <w:szCs w:val="28"/>
        </w:rPr>
      </w:pPr>
      <w:r w:rsidRPr="001A353E">
        <w:rPr>
          <w:rFonts w:eastAsia="Calibri"/>
          <w:szCs w:val="28"/>
        </w:rPr>
        <w:lastRenderedPageBreak/>
        <w:t xml:space="preserve">Показано, що медіанний показник забезпеченості ліжками для недоношених та хворих новонароджених </w:t>
      </w:r>
      <w:r w:rsidR="0036473C">
        <w:rPr>
          <w:rFonts w:eastAsia="Calibri"/>
          <w:szCs w:val="28"/>
        </w:rPr>
        <w:t>в Україні достовірно збільшився</w:t>
      </w:r>
      <w:r w:rsidRPr="001A353E">
        <w:rPr>
          <w:rFonts w:eastAsia="Calibri"/>
          <w:szCs w:val="28"/>
        </w:rPr>
        <w:t xml:space="preserve"> з 4,95‰ до 6,56‰, (р=0,0003), але міжквартильний інтервал залишився однаковим, що свідчить про пролонгацію диспропорцій забезпеченості адміністративних територій країни ліжками для передчасно народжених та хворих новонароджених.</w:t>
      </w:r>
    </w:p>
    <w:p w:rsidR="00951929" w:rsidRPr="00951929" w:rsidRDefault="00951929" w:rsidP="00951929">
      <w:pPr>
        <w:widowControl w:val="0"/>
        <w:numPr>
          <w:ilvl w:val="0"/>
          <w:numId w:val="8"/>
        </w:numPr>
        <w:ind w:left="0" w:firstLine="709"/>
        <w:contextualSpacing/>
        <w:rPr>
          <w:rFonts w:eastAsia="Calibri"/>
          <w:szCs w:val="28"/>
        </w:rPr>
      </w:pPr>
      <w:r w:rsidRPr="00951929">
        <w:rPr>
          <w:rFonts w:eastAsia="Calibri"/>
          <w:szCs w:val="28"/>
        </w:rPr>
        <w:t>В</w:t>
      </w:r>
      <w:r w:rsidRPr="001F7359">
        <w:rPr>
          <w:rFonts w:eastAsia="Calibri"/>
          <w:szCs w:val="28"/>
        </w:rPr>
        <w:t xml:space="preserve">становлено </w:t>
      </w:r>
      <w:r w:rsidRPr="00951929">
        <w:rPr>
          <w:rFonts w:eastAsia="Times New Roman"/>
          <w:szCs w:val="28"/>
          <w:lang w:eastAsia="ru-RU"/>
        </w:rPr>
        <w:t>зниження рівня госпіталізації дітей в цілодобові лікарняні стаціонари на  7,0%  (210,56 на 1000 дитячого населення у 2014 р. і 195,84 у 2018 р.), у т.ч. рівня госпіталізації дітей першого року життя на 2,4%  (611,4 на 1000 діт</w:t>
      </w:r>
      <w:r w:rsidR="001F7359">
        <w:rPr>
          <w:rFonts w:eastAsia="Times New Roman"/>
          <w:szCs w:val="28"/>
          <w:lang w:eastAsia="ru-RU"/>
        </w:rPr>
        <w:t xml:space="preserve">ей відповідного віку у 2014 р. </w:t>
      </w:r>
      <w:r w:rsidRPr="00951929">
        <w:rPr>
          <w:rFonts w:eastAsia="Times New Roman"/>
          <w:szCs w:val="28"/>
          <w:lang w:eastAsia="ru-RU"/>
        </w:rPr>
        <w:t xml:space="preserve">і 596,55 у 2018 р. відповідно). Регіональні коливання рівня госпіталізації дітей у 2018 р. від 166,63‰ у Волинській до 255,72‰ у Сумській  областях, гранична різниця становила 1,53 рази, а також рівня госпіталізації дітей у віці до 1-го року у цілодобові стаціонари </w:t>
      </w:r>
      <w:r w:rsidR="006B738E">
        <w:rPr>
          <w:rFonts w:eastAsia="Times New Roman"/>
          <w:szCs w:val="28"/>
          <w:lang w:eastAsia="ru-RU"/>
        </w:rPr>
        <w:t>від 499,74‰</w:t>
      </w:r>
      <w:r w:rsidRPr="00951929">
        <w:rPr>
          <w:rFonts w:eastAsia="Times New Roman"/>
          <w:szCs w:val="28"/>
          <w:lang w:eastAsia="ru-RU"/>
        </w:rPr>
        <w:t xml:space="preserve"> у Івано-Франківський до 783,35</w:t>
      </w:r>
      <w:r w:rsidR="00011981" w:rsidRPr="00011981">
        <w:rPr>
          <w:rFonts w:eastAsia="Times New Roman"/>
          <w:szCs w:val="28"/>
          <w:lang w:eastAsia="ru-RU"/>
        </w:rPr>
        <w:t>‰</w:t>
      </w:r>
      <w:r w:rsidRPr="00951929">
        <w:rPr>
          <w:rFonts w:eastAsia="Times New Roman"/>
          <w:szCs w:val="28"/>
          <w:lang w:eastAsia="ru-RU"/>
        </w:rPr>
        <w:t xml:space="preserve"> у Житомирській  областях, грани</w:t>
      </w:r>
      <w:r>
        <w:rPr>
          <w:rFonts w:eastAsia="Times New Roman"/>
          <w:szCs w:val="28"/>
          <w:lang w:eastAsia="ru-RU"/>
        </w:rPr>
        <w:t>чна різниця становила 1,57 рази</w:t>
      </w:r>
      <w:r w:rsidRPr="00951929">
        <w:rPr>
          <w:rFonts w:eastAsia="Times New Roman"/>
          <w:szCs w:val="28"/>
          <w:lang w:eastAsia="ru-RU"/>
        </w:rPr>
        <w:t>.</w:t>
      </w:r>
    </w:p>
    <w:p w:rsidR="00951929" w:rsidRPr="00951929" w:rsidRDefault="00951929" w:rsidP="00951929">
      <w:pPr>
        <w:widowControl w:val="0"/>
        <w:numPr>
          <w:ilvl w:val="0"/>
          <w:numId w:val="8"/>
        </w:numPr>
        <w:ind w:left="0" w:firstLine="709"/>
        <w:contextualSpacing/>
        <w:rPr>
          <w:rFonts w:eastAsia="Calibri"/>
          <w:szCs w:val="28"/>
        </w:rPr>
      </w:pPr>
      <w:r w:rsidRPr="00951929">
        <w:rPr>
          <w:rFonts w:eastAsia="Times New Roman"/>
          <w:szCs w:val="28"/>
          <w:lang w:eastAsia="ru-RU"/>
        </w:rPr>
        <w:t>Виявлено, що використання стаціонарозамінних форм лікування у 2018</w:t>
      </w:r>
      <w:r w:rsidR="004D5EE9">
        <w:rPr>
          <w:rFonts w:eastAsia="Times New Roman"/>
          <w:szCs w:val="28"/>
          <w:lang w:val="ru-RU" w:eastAsia="ru-RU"/>
        </w:rPr>
        <w:t> </w:t>
      </w:r>
      <w:r w:rsidRPr="00951929">
        <w:rPr>
          <w:rFonts w:eastAsia="Times New Roman"/>
          <w:szCs w:val="28"/>
          <w:lang w:eastAsia="ru-RU"/>
        </w:rPr>
        <w:t>р. на низькому рівні  у Одеській (1:14), Полтавській (1:14) і Київській (1:25) областях (найбільш доцільне співвідношення госпіталізації дітей у денні стаціонари та цілодобові стаціонари в 2018 р. становило менше 1:7), де на одного госпіталізованого в денні стаціонари припадає 14-25 госпіталізован</w:t>
      </w:r>
      <w:r>
        <w:rPr>
          <w:rFonts w:eastAsia="Times New Roman"/>
          <w:szCs w:val="28"/>
          <w:lang w:eastAsia="ru-RU"/>
        </w:rPr>
        <w:t>их дітей у лікарняні стаціонари</w:t>
      </w:r>
      <w:r w:rsidRPr="00951929">
        <w:rPr>
          <w:rFonts w:eastAsia="Times New Roman"/>
          <w:szCs w:val="28"/>
          <w:lang w:eastAsia="ru-RU"/>
        </w:rPr>
        <w:t>.</w:t>
      </w:r>
    </w:p>
    <w:p w:rsidR="001A353E" w:rsidRPr="001A353E" w:rsidRDefault="001A353E" w:rsidP="001A353E">
      <w:pPr>
        <w:widowControl w:val="0"/>
        <w:numPr>
          <w:ilvl w:val="0"/>
          <w:numId w:val="8"/>
        </w:numPr>
        <w:ind w:left="0" w:firstLine="709"/>
        <w:contextualSpacing/>
        <w:rPr>
          <w:rFonts w:eastAsia="Calibri"/>
          <w:szCs w:val="28"/>
        </w:rPr>
      </w:pPr>
      <w:r w:rsidRPr="001A353E">
        <w:rPr>
          <w:rFonts w:eastAsia="Calibri"/>
          <w:szCs w:val="28"/>
        </w:rPr>
        <w:t>Аналіз медіанного показника рівня забезпеченості</w:t>
      </w:r>
      <w:r w:rsidRPr="001A353E">
        <w:rPr>
          <w:rFonts w:eastAsia="Calibri"/>
          <w:szCs w:val="28"/>
          <w:lang w:val="en-US"/>
        </w:rPr>
        <w:t> </w:t>
      </w:r>
      <w:r w:rsidRPr="001A353E">
        <w:rPr>
          <w:rFonts w:eastAsia="Calibri"/>
          <w:szCs w:val="28"/>
        </w:rPr>
        <w:t>педіатрами</w:t>
      </w:r>
      <w:r w:rsidRPr="001A353E">
        <w:rPr>
          <w:rFonts w:eastAsia="Calibri"/>
          <w:szCs w:val="28"/>
          <w:lang w:val="en-US"/>
        </w:rPr>
        <w:t> </w:t>
      </w:r>
      <w:r w:rsidRPr="001A353E">
        <w:rPr>
          <w:rFonts w:eastAsia="Calibri"/>
          <w:szCs w:val="28"/>
        </w:rPr>
        <w:t>за</w:t>
      </w:r>
      <w:r w:rsidRPr="001A353E">
        <w:rPr>
          <w:rFonts w:eastAsia="Calibri"/>
          <w:szCs w:val="28"/>
          <w:lang w:val="en-US"/>
        </w:rPr>
        <w:t> </w:t>
      </w:r>
      <w:r w:rsidRPr="001A353E">
        <w:rPr>
          <w:rFonts w:eastAsia="Calibri"/>
          <w:szCs w:val="28"/>
        </w:rPr>
        <w:t>2014-2018</w:t>
      </w:r>
      <w:r w:rsidRPr="001A353E">
        <w:rPr>
          <w:rFonts w:eastAsia="Calibri"/>
        </w:rPr>
        <w:t> </w:t>
      </w:r>
      <w:r w:rsidRPr="001A353E">
        <w:rPr>
          <w:rFonts w:eastAsia="Calibri"/>
          <w:szCs w:val="28"/>
        </w:rPr>
        <w:t>рр. засвідчив його зниження, яке не мало статистичного значення (р=0,25</w:t>
      </w:r>
      <w:r w:rsidR="0096231D">
        <w:rPr>
          <w:rFonts w:eastAsia="Calibri"/>
          <w:szCs w:val="28"/>
        </w:rPr>
        <w:t xml:space="preserve">6), при цьому </w:t>
      </w:r>
      <w:r w:rsidRPr="001A353E">
        <w:rPr>
          <w:rFonts w:eastAsia="Calibri"/>
          <w:szCs w:val="28"/>
        </w:rPr>
        <w:t>однаковий міжквартильни</w:t>
      </w:r>
      <w:r w:rsidR="0096231D">
        <w:rPr>
          <w:rFonts w:eastAsia="Calibri"/>
          <w:szCs w:val="28"/>
        </w:rPr>
        <w:t xml:space="preserve">й інтервал даного показника </w:t>
      </w:r>
      <w:r w:rsidRPr="001A353E">
        <w:rPr>
          <w:rFonts w:eastAsia="Calibri"/>
          <w:szCs w:val="28"/>
        </w:rPr>
        <w:t>свідчить про від</w:t>
      </w:r>
      <w:r w:rsidR="0096231D">
        <w:rPr>
          <w:rFonts w:eastAsia="Calibri"/>
          <w:szCs w:val="28"/>
        </w:rPr>
        <w:t xml:space="preserve">сутність динаміки </w:t>
      </w:r>
      <w:r w:rsidRPr="001A353E">
        <w:rPr>
          <w:rFonts w:eastAsia="Calibri"/>
          <w:szCs w:val="28"/>
        </w:rPr>
        <w:t xml:space="preserve">в його варіабельності. Медіанний показник забезпеченості дитячого населення дільничними педіатрами не зменшився (р=0,522), але відмінності даного показника в окремих областях від медіанного значення по Україні дещо зменшились, оскільки міжквартильний інтервал у 2014 р. становив 3,5, а в 2018 р. – 2,8, а медіанне значення показника укомплектованості ЗОЗ фізичними особами лікарями-педіатрами упродовж 2014-2018 рр. залишався на тому ж самому рівні і становив відповідно 73,89% та 75,29% (р=0,9304), при цьому міжквартильний інтервал також суттєво не змінився. Укомплектованість штатних лікарських посад </w:t>
      </w:r>
      <w:r w:rsidRPr="001A353E">
        <w:rPr>
          <w:rFonts w:eastAsia="Calibri"/>
          <w:szCs w:val="28"/>
        </w:rPr>
        <w:lastRenderedPageBreak/>
        <w:t>зайнятими, як в обласних дитячих лікарнях, так і в міських дитячих лікарнях  перевищує укомплектованість штатних лікарських посад фізичними особами – лікарями (обласні дитячі лікарні: 94,2 і 77,8; міські дитячі лікарні: 89,7 і 75,4 відповідно), що свідчить про певний кадровий дефіцит</w:t>
      </w:r>
      <w:r w:rsidR="00C01497">
        <w:rPr>
          <w:rFonts w:eastAsia="Calibri"/>
          <w:szCs w:val="28"/>
        </w:rPr>
        <w:t>.</w:t>
      </w:r>
    </w:p>
    <w:p w:rsidR="00317256" w:rsidRPr="00860482" w:rsidRDefault="00A93381" w:rsidP="00317256">
      <w:pPr>
        <w:widowControl w:val="0"/>
        <w:numPr>
          <w:ilvl w:val="0"/>
          <w:numId w:val="8"/>
        </w:numPr>
        <w:ind w:left="0" w:firstLine="709"/>
        <w:contextualSpacing/>
        <w:rPr>
          <w:rFonts w:eastAsia="Calibri"/>
          <w:szCs w:val="28"/>
        </w:rPr>
      </w:pPr>
      <w:r>
        <w:rPr>
          <w:rFonts w:eastAsia="Calibri"/>
          <w:szCs w:val="28"/>
        </w:rPr>
        <w:t xml:space="preserve">З’ясовано, що </w:t>
      </w:r>
      <w:r w:rsidR="001A353E" w:rsidRPr="001A353E">
        <w:rPr>
          <w:rFonts w:eastAsia="Calibri"/>
          <w:szCs w:val="28"/>
        </w:rPr>
        <w:t>забезпеченість ліжками денного стаціонару (</w:t>
      </w:r>
      <w:r w:rsidR="00DE02B6" w:rsidRPr="00DE02B6">
        <w:rPr>
          <w:rFonts w:eastAsia="Calibri"/>
          <w:szCs w:val="28"/>
          <w:lang w:val="en-US"/>
        </w:rPr>
        <w:t>Coef</w:t>
      </w:r>
      <w:r w:rsidR="00DE02B6" w:rsidRPr="00DE02B6">
        <w:rPr>
          <w:rFonts w:eastAsia="Calibri"/>
          <w:szCs w:val="28"/>
        </w:rPr>
        <w:t>.</w:t>
      </w:r>
      <w:r w:rsidR="00DE02B6">
        <w:rPr>
          <w:lang w:val="en-US"/>
        </w:rPr>
        <w:t> </w:t>
      </w:r>
      <w:r>
        <w:rPr>
          <w:rFonts w:eastAsia="Calibri"/>
          <w:szCs w:val="28"/>
        </w:rPr>
        <w:t xml:space="preserve">1,007, р=0,147), </w:t>
      </w:r>
      <w:r w:rsidR="001A353E" w:rsidRPr="001A353E">
        <w:rPr>
          <w:rFonts w:eastAsia="Calibri"/>
          <w:szCs w:val="28"/>
        </w:rPr>
        <w:t>стаціонарними ліжками (</w:t>
      </w:r>
      <w:r w:rsidR="00DE02B6" w:rsidRPr="00DE02B6">
        <w:rPr>
          <w:rFonts w:eastAsia="Calibri"/>
          <w:szCs w:val="28"/>
          <w:lang w:val="en-US"/>
        </w:rPr>
        <w:t>Coef</w:t>
      </w:r>
      <w:r w:rsidR="00DE02B6" w:rsidRPr="00DE02B6">
        <w:rPr>
          <w:rFonts w:eastAsia="Calibri"/>
          <w:szCs w:val="28"/>
        </w:rPr>
        <w:t xml:space="preserve">. </w:t>
      </w:r>
      <w:r>
        <w:rPr>
          <w:rFonts w:eastAsia="Calibri"/>
          <w:szCs w:val="28"/>
        </w:rPr>
        <w:t xml:space="preserve">0,999, р=0,631), </w:t>
      </w:r>
      <w:r w:rsidR="001A353E" w:rsidRPr="001A353E">
        <w:rPr>
          <w:rFonts w:eastAsia="Calibri"/>
          <w:szCs w:val="28"/>
        </w:rPr>
        <w:t>ліжка</w:t>
      </w:r>
      <w:r>
        <w:rPr>
          <w:rFonts w:eastAsia="Calibri"/>
          <w:szCs w:val="28"/>
        </w:rPr>
        <w:t>ми</w:t>
      </w:r>
      <w:r w:rsidR="001A353E" w:rsidRPr="001A353E">
        <w:rPr>
          <w:rFonts w:eastAsia="Calibri"/>
          <w:szCs w:val="28"/>
        </w:rPr>
        <w:t xml:space="preserve"> для недоношених і хворих новонароджених (</w:t>
      </w:r>
      <w:r w:rsidR="00DE02B6" w:rsidRPr="00DE02B6">
        <w:rPr>
          <w:rFonts w:eastAsia="Calibri"/>
          <w:szCs w:val="28"/>
          <w:lang w:val="en-US"/>
        </w:rPr>
        <w:t>Coef</w:t>
      </w:r>
      <w:r w:rsidR="00DE02B6" w:rsidRPr="00DE02B6">
        <w:rPr>
          <w:rFonts w:eastAsia="Calibri"/>
          <w:szCs w:val="28"/>
        </w:rPr>
        <w:t xml:space="preserve">. </w:t>
      </w:r>
      <w:r w:rsidR="001A353E" w:rsidRPr="001A353E">
        <w:rPr>
          <w:rFonts w:eastAsia="Calibri"/>
          <w:szCs w:val="28"/>
        </w:rPr>
        <w:t xml:space="preserve"> -0,0004, р=0,966) не асоціюються зі смертністю дітей віком до 5 років за регресією Пуассона, проте укомплектованість середнім медичним персоналом достовірно асоціюється зі зниженням смертності дітей віком до 5 років (</w:t>
      </w:r>
      <w:r w:rsidR="00DE02B6" w:rsidRPr="00DE02B6">
        <w:rPr>
          <w:rFonts w:eastAsia="Calibri"/>
          <w:szCs w:val="28"/>
          <w:lang w:val="en-US"/>
        </w:rPr>
        <w:t>Coef</w:t>
      </w:r>
      <w:r w:rsidR="00DE02B6" w:rsidRPr="00DE02B6">
        <w:rPr>
          <w:rFonts w:eastAsia="Calibri"/>
          <w:szCs w:val="28"/>
        </w:rPr>
        <w:t xml:space="preserve">. </w:t>
      </w:r>
      <w:r w:rsidR="001A353E" w:rsidRPr="001A353E">
        <w:rPr>
          <w:rFonts w:eastAsia="Calibri"/>
          <w:szCs w:val="28"/>
        </w:rPr>
        <w:t>0,997; р=0,032), в той час як рівень укомплектованості лікарями – ні (</w:t>
      </w:r>
      <w:r w:rsidR="00DE02B6" w:rsidRPr="00DE02B6">
        <w:rPr>
          <w:rFonts w:eastAsia="Calibri"/>
          <w:szCs w:val="28"/>
          <w:lang w:val="en-US"/>
        </w:rPr>
        <w:t>Coef</w:t>
      </w:r>
      <w:r w:rsidR="00DE02B6" w:rsidRPr="00DE02B6">
        <w:rPr>
          <w:rFonts w:eastAsia="Calibri"/>
          <w:szCs w:val="28"/>
        </w:rPr>
        <w:t>.</w:t>
      </w:r>
      <w:r w:rsidR="00DE02B6" w:rsidRPr="00DE02B6">
        <w:rPr>
          <w:rFonts w:eastAsia="Calibri"/>
          <w:szCs w:val="28"/>
          <w:lang w:val="ru-RU"/>
        </w:rPr>
        <w:t xml:space="preserve"> </w:t>
      </w:r>
      <w:r w:rsidR="001A353E" w:rsidRPr="001A353E">
        <w:rPr>
          <w:rFonts w:eastAsia="Calibri"/>
          <w:szCs w:val="28"/>
        </w:rPr>
        <w:t xml:space="preserve">1,002; р=0,111). При аналізі зв’язку між досліджуваним показником та рівнем укомплектованості медичним персоналом пологовим відділень, достовірних асоціацій нами не виявлено (відповідні </w:t>
      </w:r>
      <w:r w:rsidR="00DE02B6" w:rsidRPr="00DE02B6">
        <w:rPr>
          <w:rFonts w:eastAsia="Calibri"/>
          <w:szCs w:val="28"/>
          <w:lang w:val="en-US"/>
        </w:rPr>
        <w:t>Coef</w:t>
      </w:r>
      <w:r w:rsidR="00DE02B6" w:rsidRPr="00DE02B6">
        <w:rPr>
          <w:rFonts w:eastAsia="Calibri"/>
          <w:szCs w:val="28"/>
        </w:rPr>
        <w:t>.</w:t>
      </w:r>
      <w:r w:rsidR="001A353E" w:rsidRPr="001A353E">
        <w:rPr>
          <w:rFonts w:eastAsia="Calibri"/>
          <w:szCs w:val="28"/>
        </w:rPr>
        <w:t xml:space="preserve"> 1,003; р=0,111).</w:t>
      </w:r>
    </w:p>
    <w:p w:rsidR="00D17CEA" w:rsidRPr="00006A39" w:rsidRDefault="00D17CEA" w:rsidP="00860482">
      <w:pPr>
        <w:widowControl w:val="0"/>
        <w:spacing w:before="240" w:after="240"/>
        <w:rPr>
          <w:b/>
          <w:szCs w:val="28"/>
        </w:rPr>
      </w:pPr>
      <w:r w:rsidRPr="00006A39">
        <w:rPr>
          <w:b/>
          <w:szCs w:val="28"/>
        </w:rPr>
        <w:t>Список особистих робіт за матеріалами розділу</w:t>
      </w:r>
    </w:p>
    <w:p w:rsidR="00C22B2B" w:rsidRDefault="00C22B2B" w:rsidP="0074719A">
      <w:pPr>
        <w:pStyle w:val="a5"/>
        <w:numPr>
          <w:ilvl w:val="0"/>
          <w:numId w:val="47"/>
        </w:numPr>
      </w:pPr>
      <w:r w:rsidRPr="00C22B2B">
        <w:t>Дудник С. В. Стан здоров’я та деякі аспекти організації надання медичної допомоги дитячому населенню України. Україна. Здоров’я нації. 2018. № 1 (47). С.</w:t>
      </w:r>
      <w:r w:rsidRPr="00C22B2B">
        <w:rPr>
          <w:lang w:val="ru-RU"/>
        </w:rPr>
        <w:t> </w:t>
      </w:r>
      <w:r w:rsidRPr="00C22B2B">
        <w:t>26</w:t>
      </w:r>
      <w:r w:rsidRPr="00C22B2B">
        <w:rPr>
          <w:lang w:val="ru-RU"/>
        </w:rPr>
        <w:t> </w:t>
      </w:r>
      <w:r w:rsidRPr="00C22B2B">
        <w:t>-33</w:t>
      </w:r>
      <w:r>
        <w:t>.</w:t>
      </w:r>
    </w:p>
    <w:p w:rsidR="0081127E" w:rsidRPr="0081127E" w:rsidRDefault="00C22B2B" w:rsidP="0074719A">
      <w:pPr>
        <w:widowControl w:val="0"/>
        <w:numPr>
          <w:ilvl w:val="0"/>
          <w:numId w:val="47"/>
        </w:numPr>
        <w:contextualSpacing/>
        <w:rPr>
          <w:rFonts w:eastAsia="Calibri"/>
          <w:szCs w:val="28"/>
        </w:rPr>
      </w:pPr>
      <w:r w:rsidRPr="0081127E">
        <w:rPr>
          <w:rFonts w:eastAsia="Calibri"/>
          <w:szCs w:val="28"/>
        </w:rPr>
        <w:t xml:space="preserve">Slabkiy G. O., Dudnyk S. V., Dudina O. O. Status and tendencies of the children’s health care service of Ukraine: organizational, staffing and resource provision. The Unity оf Science: International Scientific Professional Periodical Journal. Vienna, Austria. December 2018 / January 2019. P. 136–140. </w:t>
      </w:r>
    </w:p>
    <w:p w:rsidR="00D468C7" w:rsidRPr="0081127E" w:rsidRDefault="00D468C7" w:rsidP="0074719A">
      <w:pPr>
        <w:widowControl w:val="0"/>
        <w:numPr>
          <w:ilvl w:val="0"/>
          <w:numId w:val="47"/>
        </w:numPr>
        <w:contextualSpacing/>
        <w:rPr>
          <w:rFonts w:eastAsia="Calibri"/>
          <w:szCs w:val="28"/>
        </w:rPr>
      </w:pPr>
      <w:r w:rsidRPr="0081127E">
        <w:rPr>
          <w:rFonts w:eastAsia="Calibri"/>
          <w:szCs w:val="28"/>
        </w:rPr>
        <w:t xml:space="preserve">Слабкий Г. О., Дудник С. В. Тенденції стану здоров’я дитячого населення та доступності медичної допомоги (за даними вибіркового опитування домогосподарств із дітьми). Вісник соціальної гігієни та організації охорони здоров’я України. 2018. № 2 (76). С. 8–13. </w:t>
      </w:r>
    </w:p>
    <w:p w:rsidR="007076C8" w:rsidRPr="00231499" w:rsidRDefault="007076C8" w:rsidP="0074719A">
      <w:pPr>
        <w:widowControl w:val="0"/>
        <w:numPr>
          <w:ilvl w:val="0"/>
          <w:numId w:val="47"/>
        </w:numPr>
        <w:contextualSpacing/>
        <w:rPr>
          <w:rFonts w:eastAsia="Calibri"/>
          <w:szCs w:val="28"/>
        </w:rPr>
      </w:pPr>
      <w:r w:rsidRPr="00231499">
        <w:rPr>
          <w:szCs w:val="28"/>
          <w:lang w:val="ru-RU" w:eastAsia="ru-RU"/>
        </w:rPr>
        <w:t xml:space="preserve">Слабкий Г. О., Габорець Ю. Ю., Дудіна О. О., Дудник С. В., Рогач І. М., Качала Л. О. До питання ефективності медичної допомоги новонародженим недоношеним дітям в Україні. Матеріали 71-ї наук. конф. професорського-викладац.cкладу УЖНУ (Ужгород,  27–28 лют. 2017 р.) / Факультет </w:t>
      </w:r>
      <w:r w:rsidRPr="00231499">
        <w:rPr>
          <w:szCs w:val="28"/>
          <w:lang w:val="ru-RU" w:eastAsia="ru-RU"/>
        </w:rPr>
        <w:lastRenderedPageBreak/>
        <w:t xml:space="preserve">післядипломної освіти та доуніверситетської підготовки. Ужгород: РІК-У, 2017. С. 50–51. </w:t>
      </w:r>
    </w:p>
    <w:p w:rsidR="00CF466E" w:rsidRPr="00231499" w:rsidRDefault="00CF466E" w:rsidP="0074719A">
      <w:pPr>
        <w:pStyle w:val="a5"/>
        <w:widowControl w:val="0"/>
        <w:numPr>
          <w:ilvl w:val="0"/>
          <w:numId w:val="47"/>
        </w:numPr>
        <w:shd w:val="clear" w:color="auto" w:fill="FFFFFF"/>
        <w:spacing w:after="200"/>
        <w:rPr>
          <w:szCs w:val="28"/>
          <w:lang w:eastAsia="ru-RU"/>
        </w:rPr>
      </w:pPr>
      <w:r w:rsidRPr="00231499">
        <w:rPr>
          <w:szCs w:val="28"/>
          <w:lang w:eastAsia="ru-RU"/>
        </w:rPr>
        <w:t xml:space="preserve">Слабкий Г. А., Дудник С. В. К вопросу о сохранении перинатального здоровья, предотвращении смертности и оптимизации медицинской помощи матерям и новорожденным. Проблемы биологии и медицины. 2018. № 4/1 (105). C. 138. (Инновационные технологии в медицине: материалы науч.-практ. конф. с междунар. участием (Самарканд, 30 нояб.-1 декаб. 2018 г.) / </w:t>
      </w:r>
      <w:r w:rsidR="0081127E">
        <w:rPr>
          <w:szCs w:val="28"/>
          <w:lang w:eastAsia="ru-RU"/>
        </w:rPr>
        <w:t>под. ред проф. А. М. Шамсиева)</w:t>
      </w:r>
      <w:r w:rsidRPr="00231499">
        <w:rPr>
          <w:szCs w:val="28"/>
          <w:lang w:eastAsia="ru-RU"/>
        </w:rPr>
        <w:t xml:space="preserve">. </w:t>
      </w:r>
    </w:p>
    <w:p w:rsidR="00C22B2B" w:rsidRDefault="00C22B2B" w:rsidP="006A6E0E">
      <w:pPr>
        <w:pStyle w:val="a5"/>
      </w:pPr>
    </w:p>
    <w:p w:rsidR="004C51C0" w:rsidRPr="0044132C" w:rsidRDefault="004C51C0" w:rsidP="005B5A7D">
      <w:pPr>
        <w:rPr>
          <w:lang w:val="ru-RU"/>
        </w:rPr>
        <w:sectPr w:rsidR="004C51C0" w:rsidRPr="0044132C" w:rsidSect="00E242B0">
          <w:pgSz w:w="11906" w:h="16838"/>
          <w:pgMar w:top="1134" w:right="567" w:bottom="1134" w:left="1134" w:header="708" w:footer="708" w:gutter="0"/>
          <w:cols w:space="708"/>
          <w:docGrid w:linePitch="360"/>
        </w:sectPr>
      </w:pPr>
    </w:p>
    <w:p w:rsidR="007F136C" w:rsidRPr="00006A39" w:rsidRDefault="007F136C" w:rsidP="00721203">
      <w:pPr>
        <w:widowControl w:val="0"/>
        <w:jc w:val="center"/>
        <w:rPr>
          <w:b/>
          <w:szCs w:val="28"/>
        </w:rPr>
      </w:pPr>
      <w:r w:rsidRPr="00006A39">
        <w:rPr>
          <w:b/>
          <w:szCs w:val="28"/>
        </w:rPr>
        <w:lastRenderedPageBreak/>
        <w:t>РОЗДІЛ 6</w:t>
      </w:r>
    </w:p>
    <w:p w:rsidR="007F136C" w:rsidRPr="00D7393A" w:rsidRDefault="007D17DE" w:rsidP="00D7393A">
      <w:pPr>
        <w:widowControl w:val="0"/>
        <w:spacing w:after="240"/>
        <w:jc w:val="center"/>
        <w:rPr>
          <w:b/>
          <w:szCs w:val="28"/>
        </w:rPr>
      </w:pPr>
      <w:r w:rsidRPr="00006A39">
        <w:rPr>
          <w:b/>
          <w:szCs w:val="28"/>
        </w:rPr>
        <w:t>ГОТОВНІСТЬ</w:t>
      </w:r>
      <w:r w:rsidR="007F136C" w:rsidRPr="00006A39">
        <w:rPr>
          <w:b/>
          <w:szCs w:val="28"/>
        </w:rPr>
        <w:t xml:space="preserve"> БАТЬКІВ ТА ЛІКАРІВ ЗАГАЛЬНОЇ ПРАКТИКИ-СІМЕЙНИХ ЛІКАРІВ ДО ЗАПОБІГАННЯ ДИТЯЧОЇ СМЕРТНОСТІ ТА ЗБЕРЕЖЕННЯ ЗДОРОВ’Я ДІТЕЙ (</w:t>
      </w:r>
      <w:r w:rsidR="00C00272">
        <w:rPr>
          <w:b/>
          <w:szCs w:val="28"/>
        </w:rPr>
        <w:t>ЗА РЕЗУЛЬТАТАМИ СОЦІОЛОГІЧНОГО</w:t>
      </w:r>
      <w:r w:rsidR="00D7393A">
        <w:rPr>
          <w:b/>
          <w:szCs w:val="28"/>
        </w:rPr>
        <w:t xml:space="preserve"> ДОСЛІДЖЕННЯ)</w:t>
      </w:r>
    </w:p>
    <w:p w:rsidR="007F136C" w:rsidRPr="00006A39" w:rsidRDefault="007F136C" w:rsidP="00721203">
      <w:pPr>
        <w:widowControl w:val="0"/>
        <w:ind w:firstLine="709"/>
        <w:rPr>
          <w:szCs w:val="28"/>
        </w:rPr>
      </w:pPr>
      <w:r w:rsidRPr="00006A39">
        <w:rPr>
          <w:szCs w:val="28"/>
        </w:rPr>
        <w:t>Наукові дослідження останніх десятиліть щодо розвитку дітей свідчать про важливість перших років життя дитини, як періоду формування майбутнього здоров’я, благополуччя та ефективності людських ресурсів сучасного суспільства і наступних поколінь, а також економічної стабільності будь-яко</w:t>
      </w:r>
      <w:r w:rsidR="00DD6081">
        <w:rPr>
          <w:szCs w:val="28"/>
        </w:rPr>
        <w:t>ї країни [321-329</w:t>
      </w:r>
      <w:r w:rsidRPr="00006A39">
        <w:rPr>
          <w:szCs w:val="28"/>
        </w:rPr>
        <w:t>]. Тому турбота про здоров’я дітей вимагає координованого комплексного багатосекторального підходу, яка починається із благополуччя та турботи родини і найчастіше на даний</w:t>
      </w:r>
      <w:r w:rsidR="002B3BA1">
        <w:rPr>
          <w:szCs w:val="28"/>
        </w:rPr>
        <w:t xml:space="preserve"> час, відповідно</w:t>
      </w:r>
      <w:r w:rsidRPr="00006A39">
        <w:rPr>
          <w:szCs w:val="28"/>
        </w:rPr>
        <w:t xml:space="preserve"> до сучасної трансформації системи охорони здоров’я, з первинної ланки надання медичної допомоги [</w:t>
      </w:r>
      <w:r w:rsidR="00C85869" w:rsidRPr="00C85869">
        <w:rPr>
          <w:szCs w:val="28"/>
          <w:lang w:val="ru-RU"/>
        </w:rPr>
        <w:t>322</w:t>
      </w:r>
      <w:r w:rsidR="00C85869">
        <w:rPr>
          <w:szCs w:val="28"/>
          <w:lang w:val="ru-RU"/>
        </w:rPr>
        <w:t xml:space="preserve">, </w:t>
      </w:r>
      <w:r w:rsidR="00C85869" w:rsidRPr="00C85869">
        <w:rPr>
          <w:szCs w:val="28"/>
          <w:lang w:val="ru-RU"/>
        </w:rPr>
        <w:t>326, 327, 330-334</w:t>
      </w:r>
      <w:r w:rsidRPr="00006A39">
        <w:rPr>
          <w:szCs w:val="28"/>
        </w:rPr>
        <w:t>].</w:t>
      </w:r>
    </w:p>
    <w:p w:rsidR="007F136C" w:rsidRPr="00006A39" w:rsidRDefault="007F136C" w:rsidP="00721203">
      <w:pPr>
        <w:widowControl w:val="0"/>
        <w:ind w:firstLine="709"/>
        <w:rPr>
          <w:szCs w:val="28"/>
        </w:rPr>
      </w:pPr>
      <w:r w:rsidRPr="00006A39">
        <w:rPr>
          <w:szCs w:val="28"/>
        </w:rPr>
        <w:t>В значній мірі</w:t>
      </w:r>
      <w:r w:rsidRPr="00006A39">
        <w:rPr>
          <w:color w:val="FF0000"/>
          <w:szCs w:val="28"/>
        </w:rPr>
        <w:t xml:space="preserve"> </w:t>
      </w:r>
      <w:r w:rsidRPr="00006A39">
        <w:rPr>
          <w:szCs w:val="28"/>
        </w:rPr>
        <w:t>стан здоров’я дитини формується завдяки нагляду батьків за станом дитини, захисту дитини, перебуванням її у безпечному середовищі, дотриманням санітарно-гігієнічних норм та протидії інфекціям, використання профілактичних та превентивних медичних послуг, сприянню ра</w:t>
      </w:r>
      <w:r w:rsidR="008D78B3">
        <w:rPr>
          <w:szCs w:val="28"/>
        </w:rPr>
        <w:t>ннього розвитку [</w:t>
      </w:r>
      <w:r w:rsidR="008D78B3" w:rsidRPr="008D78B3">
        <w:rPr>
          <w:szCs w:val="28"/>
        </w:rPr>
        <w:t>321</w:t>
      </w:r>
      <w:r w:rsidR="008D78B3">
        <w:rPr>
          <w:szCs w:val="28"/>
        </w:rPr>
        <w:t>, 322, 325, 327, 335, 336</w:t>
      </w:r>
      <w:r w:rsidRPr="00006A39">
        <w:rPr>
          <w:szCs w:val="28"/>
        </w:rPr>
        <w:t>]. Стають цілком зрозумілими обов'язки батьків і інших осіб по догляду за дитиною, що прямо згадуют</w:t>
      </w:r>
      <w:r w:rsidR="002A3464">
        <w:rPr>
          <w:szCs w:val="28"/>
        </w:rPr>
        <w:t>ься в ряді статей Конвенції [337, 338</w:t>
      </w:r>
      <w:r w:rsidRPr="00006A39">
        <w:rPr>
          <w:szCs w:val="28"/>
        </w:rPr>
        <w:t>]. Батьки несуть правову відповідальність та грають важливу роль в питаннях здоров’я дітей, а також саме батьки мають бути невід’ємною частиною системи із збереження здоров’я дитини та попередження дитячої смертності. Батьки та</w:t>
      </w:r>
      <w:r w:rsidR="00553615">
        <w:rPr>
          <w:szCs w:val="28"/>
        </w:rPr>
        <w:t>кож відіграють центральну роль у</w:t>
      </w:r>
      <w:r w:rsidRPr="00006A39">
        <w:rPr>
          <w:szCs w:val="28"/>
        </w:rPr>
        <w:t xml:space="preserve"> стимулюванні здорового розвитку дитини, захист</w:t>
      </w:r>
      <w:r w:rsidR="00553615">
        <w:rPr>
          <w:szCs w:val="28"/>
        </w:rPr>
        <w:t>і</w:t>
      </w:r>
      <w:r w:rsidRPr="00006A39">
        <w:rPr>
          <w:szCs w:val="28"/>
        </w:rPr>
        <w:t xml:space="preserve"> дітей від шкоди внаслідок нещасних</w:t>
      </w:r>
      <w:r w:rsidR="00553615">
        <w:rPr>
          <w:szCs w:val="28"/>
        </w:rPr>
        <w:t xml:space="preserve"> випадків, травм і насильства, </w:t>
      </w:r>
      <w:r w:rsidRPr="00006A39">
        <w:rPr>
          <w:szCs w:val="28"/>
        </w:rPr>
        <w:t>в пом'якшенні негативних наслідків поведінкових факторів ризику. Саме батьки є найбільш важливим джерелом раннього діагностування та первинної медико-санітарної допомоги для маленьк</w:t>
      </w:r>
      <w:r w:rsidR="00E5172E">
        <w:rPr>
          <w:szCs w:val="28"/>
        </w:rPr>
        <w:t>их дітей [322, 323, 336, 339-343</w:t>
      </w:r>
      <w:r w:rsidRPr="00006A39">
        <w:rPr>
          <w:szCs w:val="28"/>
        </w:rPr>
        <w:t>].</w:t>
      </w:r>
    </w:p>
    <w:p w:rsidR="007F136C" w:rsidRPr="00AF53B9" w:rsidRDefault="007F136C" w:rsidP="00AF53B9">
      <w:pPr>
        <w:widowControl w:val="0"/>
        <w:ind w:firstLine="709"/>
        <w:rPr>
          <w:rFonts w:eastAsia="Calibri"/>
          <w:szCs w:val="28"/>
        </w:rPr>
      </w:pPr>
      <w:r w:rsidRPr="00006A39">
        <w:rPr>
          <w:szCs w:val="28"/>
        </w:rPr>
        <w:t xml:space="preserve">Іншою важливою складовою у формуванні здоров’я дитини є забезпечення дітей комплексною, якісною, ефективною, доступною медичною допомогою, проведення та посилення професійної інформаційної діяльності медичних </w:t>
      </w:r>
      <w:r w:rsidRPr="00006A39">
        <w:rPr>
          <w:szCs w:val="28"/>
        </w:rPr>
        <w:lastRenderedPageBreak/>
        <w:t xml:space="preserve">працівників з батьками дітей, тощо. Саме тому діти мають право на якісну медико-санітарну допомогу, включаючи послуги з профілактики, підтримки, лікування і реабілітації та паліативні послуги охорони здоров'я. На первинному рівні ці послуги повинні бути доступні в достатній кількості при належній якості, бути функціональними і доступними з фізичної та фінансової точок зору для дітей з усіх верств населення, а також бути прийнятними для всіх дітей. </w:t>
      </w:r>
      <w:r w:rsidRPr="00006A39">
        <w:t xml:space="preserve"> </w:t>
      </w:r>
      <w:r w:rsidRPr="00006A39">
        <w:rPr>
          <w:szCs w:val="28"/>
        </w:rPr>
        <w:t>Тому держави повинні приймати апробовані заходи з підтримки сумлінного виховання дітей, включаючи освіту в сфері батьківських навичок, і сприяння груповим і сімейним консультаціям, зокрема для сімей, які стикаються з викликами в галузі дитячого здоров'я та іншими соціа</w:t>
      </w:r>
      <w:r w:rsidR="00895338">
        <w:rPr>
          <w:szCs w:val="28"/>
        </w:rPr>
        <w:t>льними проблемами [322, 323, 3</w:t>
      </w:r>
      <w:r w:rsidR="006B4196">
        <w:rPr>
          <w:szCs w:val="28"/>
        </w:rPr>
        <w:t>25, 326, 332, 333, 327, 328</w:t>
      </w:r>
      <w:r w:rsidRPr="00006A39">
        <w:rPr>
          <w:szCs w:val="28"/>
        </w:rPr>
        <w:t xml:space="preserve">]. </w:t>
      </w:r>
      <w:r w:rsidRPr="00006A39">
        <w:rPr>
          <w:rFonts w:eastAsia="Calibri"/>
          <w:szCs w:val="28"/>
        </w:rPr>
        <w:t>Все зазначене, знаходить своє відображення у Конвенції про права дитини, а саме: стаття 24, пункт 2 a) щодо зниження рівня смертності немовлят і дитячої смертності, де на держави покладається зобов'язання щодо скорочення дитячої смертності, особливо смертність немовлят, яка становить зростаючу частку смертності дітей у віці до 5</w:t>
      </w:r>
      <w:r w:rsidR="0048540B">
        <w:rPr>
          <w:rFonts w:eastAsia="Calibri"/>
          <w:szCs w:val="28"/>
        </w:rPr>
        <w:t> </w:t>
      </w:r>
      <w:r w:rsidRPr="00006A39">
        <w:rPr>
          <w:rFonts w:eastAsia="Calibri"/>
          <w:szCs w:val="28"/>
        </w:rPr>
        <w:t>років життя; стаття 24, пункт 2 b)  щодо забезпечення надання необхідної медичної допомоги та охорони здоров'я всіх дітей з приділенням першочергової уваги розвитку первинної медико-санітарної допомоги; стаття 24, пункт 2 e) щодо забезпечення інформацією всіх прошарків суспільства, зокрема батьків про здоров'я і харчування дітей, переваги грудного годування, гігієни, санітарії середовища перебування дитини і запобігання нещасним випадкам, а також доступу до освіти та підтримки у використанні цих знань; стаття 24, пункт 2 f) щодо розвитку освітньої роботи та послуг у галузі профілактичної медичної допомоги та планування розміру сім'ї, включаючи консультації для батьків [</w:t>
      </w:r>
      <w:r w:rsidR="00F77D42">
        <w:rPr>
          <w:rFonts w:eastAsia="Calibri"/>
          <w:szCs w:val="28"/>
        </w:rPr>
        <w:t>337, 338</w:t>
      </w:r>
      <w:r w:rsidRPr="00006A39">
        <w:rPr>
          <w:rFonts w:eastAsia="Calibri"/>
          <w:szCs w:val="28"/>
        </w:rPr>
        <w:t xml:space="preserve">]. </w:t>
      </w:r>
    </w:p>
    <w:p w:rsidR="007F136C" w:rsidRPr="00AF53B9" w:rsidRDefault="007F136C" w:rsidP="00AF53B9">
      <w:pPr>
        <w:widowControl w:val="0"/>
        <w:spacing w:before="240" w:after="240"/>
        <w:ind w:firstLine="709"/>
        <w:rPr>
          <w:b/>
          <w:szCs w:val="28"/>
        </w:rPr>
      </w:pPr>
      <w:r w:rsidRPr="00006A39">
        <w:rPr>
          <w:b/>
          <w:color w:val="000000" w:themeColor="text1"/>
          <w:szCs w:val="28"/>
        </w:rPr>
        <w:t>6.1. Оцінки стану здоров’я дітей за даними соціологічного дослідження батьків</w:t>
      </w:r>
    </w:p>
    <w:p w:rsidR="007F136C" w:rsidRPr="00006A39" w:rsidRDefault="007F136C" w:rsidP="00721203">
      <w:pPr>
        <w:widowControl w:val="0"/>
        <w:ind w:firstLine="708"/>
        <w:rPr>
          <w:szCs w:val="28"/>
        </w:rPr>
      </w:pPr>
      <w:r w:rsidRPr="00FA680C">
        <w:rPr>
          <w:color w:val="000000" w:themeColor="text1"/>
          <w:szCs w:val="28"/>
        </w:rPr>
        <w:t xml:space="preserve">Відповідно </w:t>
      </w:r>
      <w:r w:rsidRPr="00006A39">
        <w:rPr>
          <w:szCs w:val="28"/>
        </w:rPr>
        <w:t>до програми дослідження, методом соціологічного опитування проведено вивчення рівня готовності батькі</w:t>
      </w:r>
      <w:r w:rsidR="00E21CC1">
        <w:rPr>
          <w:szCs w:val="28"/>
        </w:rPr>
        <w:t>в, у яких є діти у віці до 5</w:t>
      </w:r>
      <w:r w:rsidRPr="00006A39">
        <w:rPr>
          <w:szCs w:val="28"/>
        </w:rPr>
        <w:t xml:space="preserve"> років життя,</w:t>
      </w:r>
      <w:r w:rsidRPr="00006A39">
        <w:rPr>
          <w:rFonts w:eastAsia="Calibri"/>
          <w:color w:val="FF0000"/>
          <w:szCs w:val="28"/>
        </w:rPr>
        <w:t xml:space="preserve"> </w:t>
      </w:r>
      <w:r w:rsidRPr="00006A39">
        <w:rPr>
          <w:rFonts w:eastAsia="Calibri"/>
          <w:szCs w:val="28"/>
        </w:rPr>
        <w:t>до збереження здоров’я дітей та запобігання  їх передчасної смерті, з метою розробки заходів  до підвищення рівня даної готовності</w:t>
      </w:r>
      <w:r w:rsidR="00BC5EF8">
        <w:rPr>
          <w:rFonts w:eastAsia="Calibri"/>
          <w:szCs w:val="28"/>
        </w:rPr>
        <w:t xml:space="preserve"> (Додаток Д</w:t>
      </w:r>
      <w:r w:rsidR="00C101D6" w:rsidRPr="00C101D6">
        <w:rPr>
          <w:rFonts w:eastAsia="Calibri"/>
          <w:szCs w:val="28"/>
        </w:rPr>
        <w:t>-1)</w:t>
      </w:r>
      <w:r w:rsidRPr="00006A39">
        <w:rPr>
          <w:szCs w:val="28"/>
        </w:rPr>
        <w:t xml:space="preserve">. </w:t>
      </w:r>
    </w:p>
    <w:p w:rsidR="007F136C" w:rsidRPr="00006A39" w:rsidRDefault="007F136C" w:rsidP="00721203">
      <w:pPr>
        <w:widowControl w:val="0"/>
        <w:ind w:firstLine="708"/>
        <w:rPr>
          <w:rFonts w:eastAsia="Calibri"/>
          <w:szCs w:val="28"/>
        </w:rPr>
      </w:pPr>
      <w:r w:rsidRPr="00006A39">
        <w:rPr>
          <w:szCs w:val="28"/>
        </w:rPr>
        <w:lastRenderedPageBreak/>
        <w:t>В дослідженні прийняли участь 400 батьків (100%), які проживають у м.</w:t>
      </w:r>
      <w:r w:rsidR="00835F21">
        <w:t> </w:t>
      </w:r>
      <w:r w:rsidRPr="00006A39">
        <w:rPr>
          <w:rFonts w:eastAsia="Calibri"/>
          <w:szCs w:val="28"/>
        </w:rPr>
        <w:t>Києві, Київській та Закарпатській областях, серед яких</w:t>
      </w:r>
      <w:r w:rsidR="00193488">
        <w:rPr>
          <w:rFonts w:eastAsia="Calibri"/>
          <w:szCs w:val="28"/>
        </w:rPr>
        <w:t xml:space="preserve"> </w:t>
      </w:r>
      <w:r w:rsidRPr="00006A39">
        <w:rPr>
          <w:rFonts w:eastAsia="Calibri"/>
          <w:szCs w:val="28"/>
        </w:rPr>
        <w:t xml:space="preserve"> 65,75% – матері </w:t>
      </w:r>
      <w:r w:rsidR="00193488">
        <w:rPr>
          <w:rFonts w:eastAsia="Calibri"/>
          <w:szCs w:val="28"/>
        </w:rPr>
        <w:t xml:space="preserve"> </w:t>
      </w:r>
      <w:r w:rsidRPr="00006A39">
        <w:rPr>
          <w:rFonts w:eastAsia="Calibri"/>
          <w:szCs w:val="28"/>
        </w:rPr>
        <w:t xml:space="preserve">та </w:t>
      </w:r>
      <w:r w:rsidR="00193488">
        <w:rPr>
          <w:rFonts w:eastAsia="Calibri"/>
          <w:szCs w:val="28"/>
        </w:rPr>
        <w:t xml:space="preserve">34,25% – </w:t>
      </w:r>
      <w:r w:rsidRPr="00006A39">
        <w:rPr>
          <w:rFonts w:eastAsia="Calibri"/>
          <w:szCs w:val="28"/>
        </w:rPr>
        <w:t xml:space="preserve">батьки. З загального числа опитаних 39,0% були мешканцями села, 61,0% – міськими жителями. </w:t>
      </w:r>
    </w:p>
    <w:p w:rsidR="007F136C" w:rsidRPr="00006A39" w:rsidRDefault="007F136C" w:rsidP="00721203">
      <w:pPr>
        <w:widowControl w:val="0"/>
        <w:ind w:firstLine="708"/>
        <w:rPr>
          <w:rFonts w:eastAsia="Calibri"/>
          <w:szCs w:val="28"/>
        </w:rPr>
      </w:pPr>
      <w:r w:rsidRPr="00006A39">
        <w:rPr>
          <w:rFonts w:eastAsia="Calibri"/>
          <w:szCs w:val="28"/>
        </w:rPr>
        <w:t>За віком респонденти розподілились наступним чином: батьки у віці до 25 років – 32,25%, 26-35 років – 48,0%, 36 років і старші – 19,75% (рис. 6.1.).</w:t>
      </w:r>
    </w:p>
    <w:p w:rsidR="007F136C" w:rsidRPr="00006A39" w:rsidRDefault="007F136C" w:rsidP="00721203">
      <w:pPr>
        <w:widowControl w:val="0"/>
        <w:ind w:firstLine="708"/>
        <w:rPr>
          <w:rFonts w:eastAsia="Calibri"/>
          <w:szCs w:val="28"/>
        </w:rPr>
      </w:pPr>
      <w:r w:rsidRPr="00006A39">
        <w:rPr>
          <w:rFonts w:eastAsia="Calibri"/>
          <w:szCs w:val="28"/>
        </w:rPr>
        <w:t>Найбільшу частку респондентів складали батьки з загальною середньою освітою (48,5%), середньо-спеціальну освіту мали 28,0% батьків, вищу освіту – 23,5% батьків.</w:t>
      </w:r>
    </w:p>
    <w:p w:rsidR="007F136C" w:rsidRPr="00006A39" w:rsidRDefault="007F136C" w:rsidP="00721203">
      <w:pPr>
        <w:widowControl w:val="0"/>
        <w:ind w:firstLine="708"/>
        <w:rPr>
          <w:szCs w:val="28"/>
        </w:rPr>
      </w:pPr>
      <w:r w:rsidRPr="00006A39">
        <w:rPr>
          <w:noProof/>
          <w:szCs w:val="28"/>
          <w:lang w:val="ru-RU" w:eastAsia="ru-RU"/>
        </w:rPr>
        <w:drawing>
          <wp:inline distT="0" distB="0" distL="0" distR="0" wp14:anchorId="001B27E6" wp14:editId="2CD65D4D">
            <wp:extent cx="5486400" cy="3167743"/>
            <wp:effectExtent l="0" t="0" r="0" b="0"/>
            <wp:docPr id="72" name="Діагра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7F136C" w:rsidRPr="00006A39" w:rsidRDefault="007F136C" w:rsidP="00F34224">
      <w:pPr>
        <w:widowControl w:val="0"/>
        <w:ind w:left="709"/>
        <w:jc w:val="left"/>
        <w:rPr>
          <w:rFonts w:eastAsia="Times New Roman"/>
          <w:szCs w:val="28"/>
        </w:rPr>
      </w:pPr>
      <w:r w:rsidRPr="00006A39">
        <w:rPr>
          <w:rFonts w:eastAsia="Times New Roman"/>
          <w:szCs w:val="28"/>
        </w:rPr>
        <w:t>Рис. 6.1.</w:t>
      </w:r>
      <w:r w:rsidR="006810FD">
        <w:rPr>
          <w:rFonts w:eastAsia="Times New Roman"/>
          <w:szCs w:val="28"/>
        </w:rPr>
        <w:t xml:space="preserve"> Розподіл респондентів за віком</w:t>
      </w:r>
    </w:p>
    <w:p w:rsidR="007F136C" w:rsidRDefault="007F136C" w:rsidP="00EE10C7">
      <w:pPr>
        <w:widowControl w:val="0"/>
        <w:tabs>
          <w:tab w:val="left" w:pos="1002"/>
        </w:tabs>
        <w:spacing w:before="240"/>
        <w:ind w:firstLine="709"/>
        <w:rPr>
          <w:rFonts w:eastAsia="Calibri"/>
          <w:color w:val="000000" w:themeColor="text1"/>
          <w:szCs w:val="28"/>
          <w:lang w:val="ru-RU"/>
        </w:rPr>
      </w:pPr>
      <w:r w:rsidRPr="00006A39">
        <w:rPr>
          <w:rFonts w:eastAsia="Calibri"/>
          <w:szCs w:val="28"/>
        </w:rPr>
        <w:t>За родом занять респондентів 14,75% батьків тимчасово не мали роботу, 5,75% були студентами, 79,5% батьків працевлаштовані, серед яких: 18,5% –  робочі, 20,5</w:t>
      </w:r>
      <w:r w:rsidRPr="00FA680C">
        <w:rPr>
          <w:rFonts w:eastAsia="Calibri"/>
          <w:color w:val="000000" w:themeColor="text1"/>
          <w:szCs w:val="28"/>
        </w:rPr>
        <w:t>% – службовці, 36,25% – підприємці, 4,25% –  інші спеціальності (рис.</w:t>
      </w:r>
      <w:r w:rsidR="00EE10C7">
        <w:rPr>
          <w:rFonts w:eastAsia="Calibri"/>
          <w:color w:val="000000" w:themeColor="text1"/>
          <w:szCs w:val="28"/>
        </w:rPr>
        <w:t> </w:t>
      </w:r>
      <w:r w:rsidRPr="00FA680C">
        <w:rPr>
          <w:rFonts w:eastAsia="Calibri"/>
          <w:color w:val="000000" w:themeColor="text1"/>
          <w:szCs w:val="28"/>
        </w:rPr>
        <w:t xml:space="preserve">6.2). </w:t>
      </w:r>
    </w:p>
    <w:p w:rsidR="00EE10C7" w:rsidRPr="00AF6B8C" w:rsidRDefault="00CC579A" w:rsidP="00EE10C7">
      <w:pPr>
        <w:widowControl w:val="0"/>
        <w:ind w:firstLine="708"/>
        <w:rPr>
          <w:rFonts w:eastAsia="Times New Roman"/>
          <w:szCs w:val="28"/>
        </w:rPr>
      </w:pPr>
      <w:r w:rsidRPr="00006A39">
        <w:rPr>
          <w:rFonts w:eastAsia="Times New Roman"/>
          <w:szCs w:val="28"/>
        </w:rPr>
        <w:t>Економічний стан родини оцінено респондентами наступним чином:  повний достаток мають 12,75% сімей, достатній рівень для повного забезпечення – 28,75%, достатній рівень доходу для забезпечення сім’ї необхідним – 38,0%, при цьому 20,5% сімей мають незадовільний матеріальний стан, а саме: 14,75% родин живе у скрутному становище, 5,75% батьків недостає на необхідне.</w:t>
      </w:r>
    </w:p>
    <w:p w:rsidR="007F136C" w:rsidRPr="00006A39" w:rsidRDefault="007F136C" w:rsidP="00AF6B8C">
      <w:pPr>
        <w:widowControl w:val="0"/>
        <w:jc w:val="center"/>
        <w:rPr>
          <w:rFonts w:eastAsia="Calibri"/>
          <w:i/>
          <w:color w:val="FF0000"/>
          <w:szCs w:val="28"/>
        </w:rPr>
      </w:pPr>
      <w:r w:rsidRPr="00006A39">
        <w:rPr>
          <w:rFonts w:eastAsia="Calibri"/>
          <w:i/>
          <w:noProof/>
          <w:color w:val="FF0000"/>
          <w:szCs w:val="28"/>
          <w:lang w:val="ru-RU" w:eastAsia="ru-RU"/>
        </w:rPr>
        <w:lastRenderedPageBreak/>
        <w:drawing>
          <wp:inline distT="0" distB="0" distL="0" distR="0" wp14:anchorId="36C62469" wp14:editId="6A6F8F02">
            <wp:extent cx="5839326" cy="3264568"/>
            <wp:effectExtent l="0" t="0" r="0" b="0"/>
            <wp:docPr id="73" name="Діагра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7F136C" w:rsidRPr="00006A39" w:rsidRDefault="007F136C" w:rsidP="00FA680C">
      <w:pPr>
        <w:widowControl w:val="0"/>
        <w:spacing w:after="120"/>
        <w:ind w:left="709"/>
        <w:jc w:val="left"/>
        <w:rPr>
          <w:rFonts w:eastAsia="Times New Roman"/>
          <w:color w:val="FF0000"/>
          <w:szCs w:val="28"/>
        </w:rPr>
      </w:pPr>
      <w:r w:rsidRPr="00006A39">
        <w:rPr>
          <w:rFonts w:eastAsia="Times New Roman"/>
          <w:szCs w:val="28"/>
        </w:rPr>
        <w:t>Рис. 6.2. Розподіл респ</w:t>
      </w:r>
      <w:r w:rsidR="000E1E3B">
        <w:rPr>
          <w:rFonts w:eastAsia="Times New Roman"/>
          <w:szCs w:val="28"/>
        </w:rPr>
        <w:t>ондентів за соціальним статусом</w:t>
      </w:r>
    </w:p>
    <w:p w:rsidR="007F136C" w:rsidRPr="00006A39" w:rsidRDefault="007F136C" w:rsidP="00721203">
      <w:pPr>
        <w:widowControl w:val="0"/>
        <w:ind w:firstLine="708"/>
        <w:rPr>
          <w:rFonts w:eastAsia="Times New Roman"/>
          <w:szCs w:val="28"/>
        </w:rPr>
      </w:pPr>
      <w:r w:rsidRPr="00006A39">
        <w:rPr>
          <w:rFonts w:eastAsia="Times New Roman"/>
          <w:szCs w:val="28"/>
        </w:rPr>
        <w:t>За кількістю дітей у родині респондентів найбільшу частку становили сім’ї з двома дітьми (41,75%), одну дитину мали 38,5% опитаних батьків, трьох – 12,75%, більше трьох – 12,75%, більше трьох дітей має 7,0% сімей (рис.</w:t>
      </w:r>
      <w:r w:rsidR="00020758">
        <w:rPr>
          <w:rFonts w:eastAsia="Times New Roman"/>
          <w:szCs w:val="28"/>
        </w:rPr>
        <w:t xml:space="preserve"> </w:t>
      </w:r>
      <w:r w:rsidRPr="00006A39">
        <w:rPr>
          <w:rFonts w:eastAsia="Times New Roman"/>
          <w:szCs w:val="28"/>
        </w:rPr>
        <w:t xml:space="preserve">6.3).  </w:t>
      </w:r>
    </w:p>
    <w:p w:rsidR="007F136C" w:rsidRPr="00006A39" w:rsidRDefault="007F136C" w:rsidP="00721203">
      <w:pPr>
        <w:widowControl w:val="0"/>
        <w:jc w:val="center"/>
        <w:rPr>
          <w:rFonts w:eastAsia="Times New Roman"/>
          <w:szCs w:val="28"/>
        </w:rPr>
      </w:pPr>
      <w:r w:rsidRPr="00006A39">
        <w:rPr>
          <w:rFonts w:eastAsia="Times New Roman"/>
          <w:noProof/>
          <w:szCs w:val="28"/>
          <w:lang w:val="ru-RU" w:eastAsia="ru-RU"/>
        </w:rPr>
        <w:drawing>
          <wp:inline distT="0" distB="0" distL="0" distR="0" wp14:anchorId="54CE28C6" wp14:editId="03FF2719">
            <wp:extent cx="5414211" cy="2999874"/>
            <wp:effectExtent l="0" t="0" r="0" b="0"/>
            <wp:docPr id="74" name="Діагра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7F136C" w:rsidRPr="00AF6B8C" w:rsidRDefault="007F136C" w:rsidP="00AF6B8C">
      <w:pPr>
        <w:widowControl w:val="0"/>
        <w:spacing w:before="240"/>
        <w:ind w:firstLine="708"/>
        <w:rPr>
          <w:rFonts w:eastAsia="Times New Roman"/>
          <w:szCs w:val="28"/>
          <w:lang w:val="ru-RU"/>
        </w:rPr>
      </w:pPr>
      <w:r w:rsidRPr="00006A39">
        <w:rPr>
          <w:rFonts w:eastAsia="Times New Roman"/>
          <w:szCs w:val="28"/>
        </w:rPr>
        <w:t>Рис. 6.3. Розподіл респондентів за кількістю дітей у родині.</w:t>
      </w:r>
    </w:p>
    <w:p w:rsidR="007F136C" w:rsidRPr="00006A39" w:rsidRDefault="007F136C" w:rsidP="00AF6B8C">
      <w:pPr>
        <w:widowControl w:val="0"/>
        <w:spacing w:before="240"/>
        <w:ind w:firstLine="709"/>
        <w:rPr>
          <w:rFonts w:eastAsia="Calibri"/>
          <w:color w:val="FF0000"/>
          <w:szCs w:val="28"/>
        </w:rPr>
      </w:pPr>
      <w:r w:rsidRPr="00006A39">
        <w:rPr>
          <w:rFonts w:eastAsia="Calibri"/>
          <w:color w:val="000000" w:themeColor="text1"/>
          <w:szCs w:val="28"/>
        </w:rPr>
        <w:t>Одним із завдань дослідження було оцінка батьками стану здоров’я їх дітей. За даними опитування повністю здоровою свою дитину вважають 13,25% батьків, практично здоров</w:t>
      </w:r>
      <w:r w:rsidR="00020758">
        <w:rPr>
          <w:rFonts w:eastAsia="Calibri"/>
          <w:color w:val="000000" w:themeColor="text1"/>
          <w:szCs w:val="28"/>
        </w:rPr>
        <w:t xml:space="preserve">ою - 9,75% респондентів, 10,5% </w:t>
      </w:r>
      <w:r w:rsidRPr="00006A39">
        <w:rPr>
          <w:rFonts w:eastAsia="Calibri"/>
          <w:color w:val="000000" w:themeColor="text1"/>
          <w:szCs w:val="28"/>
        </w:rPr>
        <w:t xml:space="preserve">батьків вказали на наявність </w:t>
      </w:r>
      <w:r w:rsidRPr="00006A39">
        <w:rPr>
          <w:rFonts w:eastAsia="Calibri"/>
          <w:color w:val="000000" w:themeColor="text1"/>
          <w:szCs w:val="28"/>
        </w:rPr>
        <w:lastRenderedPageBreak/>
        <w:t>проблем перинатального періоду, 34,75%</w:t>
      </w:r>
      <w:r w:rsidRPr="00006A39">
        <w:t xml:space="preserve"> - </w:t>
      </w:r>
      <w:r w:rsidRPr="00006A39">
        <w:rPr>
          <w:rFonts w:eastAsia="Calibri"/>
          <w:color w:val="000000" w:themeColor="text1"/>
          <w:szCs w:val="28"/>
        </w:rPr>
        <w:t>на наявність проблем пов’язаних з їх фізіологічним розвитком, 3,0% - на наявність вроджених вад розвитку, у 22,25% респондентів вказали на періодичні гострі захворювання та 6,5% опитаних - на хронічні зах</w:t>
      </w:r>
      <w:r w:rsidR="00570BBF">
        <w:rPr>
          <w:rFonts w:eastAsia="Calibri"/>
          <w:color w:val="000000" w:themeColor="text1"/>
          <w:szCs w:val="28"/>
        </w:rPr>
        <w:t>ворювання (</w:t>
      </w:r>
      <w:r w:rsidR="00020758">
        <w:rPr>
          <w:rFonts w:eastAsia="Calibri"/>
          <w:color w:val="000000" w:themeColor="text1"/>
          <w:szCs w:val="28"/>
        </w:rPr>
        <w:t>табл.</w:t>
      </w:r>
      <w:r w:rsidRPr="00006A39">
        <w:rPr>
          <w:rFonts w:eastAsia="Calibri"/>
          <w:color w:val="000000" w:themeColor="text1"/>
          <w:szCs w:val="28"/>
        </w:rPr>
        <w:t xml:space="preserve"> </w:t>
      </w:r>
      <w:r w:rsidR="00F34224">
        <w:rPr>
          <w:rFonts w:eastAsia="Calibri"/>
          <w:color w:val="000000" w:themeColor="text1"/>
          <w:szCs w:val="28"/>
        </w:rPr>
        <w:t>6.1</w:t>
      </w:r>
      <w:r w:rsidRPr="00006A39">
        <w:rPr>
          <w:rFonts w:eastAsia="Calibri"/>
          <w:color w:val="000000" w:themeColor="text1"/>
          <w:szCs w:val="28"/>
        </w:rPr>
        <w:t xml:space="preserve">).                                                                                                                                                                                                                                                                                                                                                                                                                                    </w:t>
      </w:r>
    </w:p>
    <w:p w:rsidR="007F136C" w:rsidRPr="00006A39" w:rsidRDefault="007F136C" w:rsidP="00721203">
      <w:pPr>
        <w:widowControl w:val="0"/>
        <w:jc w:val="right"/>
        <w:rPr>
          <w:rFonts w:eastAsia="Calibri"/>
          <w:i/>
          <w:color w:val="FF0000"/>
          <w:szCs w:val="28"/>
        </w:rPr>
      </w:pPr>
      <w:r w:rsidRPr="00006A39">
        <w:rPr>
          <w:rFonts w:eastAsia="Calibri"/>
          <w:i/>
          <w:szCs w:val="28"/>
        </w:rPr>
        <w:t>Таблиця 6.1</w:t>
      </w:r>
    </w:p>
    <w:p w:rsidR="007F136C" w:rsidRPr="00006A39" w:rsidRDefault="007F136C" w:rsidP="00721203">
      <w:pPr>
        <w:widowControl w:val="0"/>
        <w:jc w:val="center"/>
        <w:rPr>
          <w:rFonts w:eastAsia="Calibri"/>
          <w:b/>
          <w:szCs w:val="28"/>
        </w:rPr>
      </w:pPr>
      <w:r w:rsidRPr="00006A39">
        <w:rPr>
          <w:rFonts w:eastAsia="Calibri"/>
          <w:b/>
          <w:szCs w:val="28"/>
        </w:rPr>
        <w:t>Оцінка батьками здоров’я дитини</w:t>
      </w:r>
    </w:p>
    <w:tbl>
      <w:tblPr>
        <w:tblStyle w:val="a6"/>
        <w:tblW w:w="0" w:type="auto"/>
        <w:jc w:val="center"/>
        <w:tblLook w:val="04A0" w:firstRow="1" w:lastRow="0" w:firstColumn="1" w:lastColumn="0" w:noHBand="0" w:noVBand="1"/>
      </w:tblPr>
      <w:tblGrid>
        <w:gridCol w:w="6771"/>
        <w:gridCol w:w="1275"/>
        <w:gridCol w:w="1525"/>
      </w:tblGrid>
      <w:tr w:rsidR="007F136C" w:rsidRPr="00AF6B8C" w:rsidTr="003B67F9">
        <w:trPr>
          <w:jc w:val="center"/>
        </w:trPr>
        <w:tc>
          <w:tcPr>
            <w:tcW w:w="6771" w:type="dxa"/>
            <w:tcBorders>
              <w:top w:val="single" w:sz="4" w:space="0" w:color="auto"/>
              <w:left w:val="single" w:sz="4" w:space="0" w:color="auto"/>
              <w:bottom w:val="single" w:sz="4" w:space="0" w:color="auto"/>
              <w:right w:val="single" w:sz="4" w:space="0" w:color="auto"/>
            </w:tcBorders>
            <w:hideMark/>
          </w:tcPr>
          <w:p w:rsidR="007F136C" w:rsidRPr="00AF6B8C" w:rsidRDefault="007F136C" w:rsidP="00AF6B8C">
            <w:pPr>
              <w:widowControl w:val="0"/>
              <w:spacing w:before="120"/>
              <w:jc w:val="center"/>
              <w:rPr>
                <w:rFonts w:ascii="Times New Roman" w:hAnsi="Times New Roman"/>
                <w:sz w:val="28"/>
                <w:szCs w:val="28"/>
                <w:lang w:val="uk-UA"/>
              </w:rPr>
            </w:pPr>
            <w:r w:rsidRPr="00AF6B8C">
              <w:rPr>
                <w:rFonts w:ascii="Times New Roman" w:hAnsi="Times New Roman"/>
                <w:sz w:val="28"/>
                <w:szCs w:val="28"/>
                <w:lang w:val="uk-UA"/>
              </w:rPr>
              <w:t>Показник</w:t>
            </w:r>
          </w:p>
        </w:tc>
        <w:tc>
          <w:tcPr>
            <w:tcW w:w="1275" w:type="dxa"/>
            <w:tcBorders>
              <w:top w:val="single" w:sz="4" w:space="0" w:color="auto"/>
              <w:left w:val="single" w:sz="4" w:space="0" w:color="auto"/>
              <w:bottom w:val="single" w:sz="4" w:space="0" w:color="auto"/>
              <w:right w:val="single" w:sz="4" w:space="0" w:color="auto"/>
            </w:tcBorders>
            <w:hideMark/>
          </w:tcPr>
          <w:p w:rsidR="007F136C" w:rsidRPr="00AF6B8C" w:rsidRDefault="007F136C" w:rsidP="00AF6B8C">
            <w:pPr>
              <w:widowControl w:val="0"/>
              <w:spacing w:before="120"/>
              <w:jc w:val="center"/>
              <w:rPr>
                <w:rFonts w:ascii="Times New Roman" w:hAnsi="Times New Roman"/>
                <w:sz w:val="28"/>
                <w:szCs w:val="28"/>
                <w:lang w:val="uk-UA"/>
              </w:rPr>
            </w:pPr>
            <w:r w:rsidRPr="00AF6B8C">
              <w:rPr>
                <w:rFonts w:ascii="Times New Roman" w:hAnsi="Times New Roman"/>
                <w:sz w:val="28"/>
                <w:szCs w:val="28"/>
                <w:lang w:val="uk-UA"/>
              </w:rPr>
              <w:t>Абс.</w:t>
            </w:r>
          </w:p>
        </w:tc>
        <w:tc>
          <w:tcPr>
            <w:tcW w:w="1525" w:type="dxa"/>
            <w:tcBorders>
              <w:top w:val="single" w:sz="4" w:space="0" w:color="auto"/>
              <w:left w:val="single" w:sz="4" w:space="0" w:color="auto"/>
              <w:bottom w:val="single" w:sz="4" w:space="0" w:color="auto"/>
              <w:right w:val="single" w:sz="4" w:space="0" w:color="auto"/>
            </w:tcBorders>
            <w:hideMark/>
          </w:tcPr>
          <w:p w:rsidR="007F136C" w:rsidRPr="00AF6B8C" w:rsidRDefault="007F136C" w:rsidP="00AF6B8C">
            <w:pPr>
              <w:widowControl w:val="0"/>
              <w:spacing w:before="120"/>
              <w:jc w:val="center"/>
              <w:rPr>
                <w:rFonts w:ascii="Times New Roman" w:hAnsi="Times New Roman"/>
                <w:sz w:val="28"/>
                <w:szCs w:val="28"/>
                <w:lang w:val="uk-UA"/>
              </w:rPr>
            </w:pPr>
            <w:r w:rsidRPr="00AF6B8C">
              <w:rPr>
                <w:rFonts w:ascii="Times New Roman" w:hAnsi="Times New Roman"/>
                <w:sz w:val="28"/>
                <w:szCs w:val="28"/>
                <w:lang w:val="uk-UA"/>
              </w:rPr>
              <w:t>Р ± m%</w:t>
            </w:r>
          </w:p>
        </w:tc>
      </w:tr>
      <w:tr w:rsidR="007F136C" w:rsidRPr="00AF6B8C" w:rsidTr="003B67F9">
        <w:trPr>
          <w:jc w:val="center"/>
        </w:trPr>
        <w:tc>
          <w:tcPr>
            <w:tcW w:w="6771" w:type="dxa"/>
            <w:tcBorders>
              <w:top w:val="single" w:sz="4" w:space="0" w:color="auto"/>
              <w:left w:val="single" w:sz="4" w:space="0" w:color="auto"/>
              <w:bottom w:val="single" w:sz="4" w:space="0" w:color="auto"/>
              <w:right w:val="single" w:sz="4" w:space="0" w:color="auto"/>
            </w:tcBorders>
            <w:hideMark/>
          </w:tcPr>
          <w:p w:rsidR="007F136C" w:rsidRPr="00AF6B8C" w:rsidRDefault="007F136C" w:rsidP="00AF6B8C">
            <w:pPr>
              <w:widowControl w:val="0"/>
              <w:spacing w:before="120"/>
              <w:rPr>
                <w:rFonts w:ascii="Times New Roman" w:hAnsi="Times New Roman"/>
                <w:sz w:val="28"/>
                <w:szCs w:val="28"/>
                <w:lang w:val="uk-UA"/>
              </w:rPr>
            </w:pPr>
            <w:r w:rsidRPr="00AF6B8C">
              <w:rPr>
                <w:rFonts w:ascii="Times New Roman" w:hAnsi="Times New Roman"/>
                <w:sz w:val="28"/>
                <w:szCs w:val="28"/>
                <w:lang w:val="uk-UA"/>
              </w:rPr>
              <w:t>Повністю здорова дитина</w:t>
            </w:r>
          </w:p>
        </w:tc>
        <w:tc>
          <w:tcPr>
            <w:tcW w:w="1275" w:type="dxa"/>
            <w:tcBorders>
              <w:top w:val="single" w:sz="4" w:space="0" w:color="auto"/>
              <w:left w:val="single" w:sz="4" w:space="0" w:color="auto"/>
              <w:bottom w:val="single" w:sz="4" w:space="0" w:color="auto"/>
              <w:right w:val="single" w:sz="4" w:space="0" w:color="auto"/>
            </w:tcBorders>
            <w:hideMark/>
          </w:tcPr>
          <w:p w:rsidR="007F136C" w:rsidRPr="00AF6B8C" w:rsidRDefault="007F136C" w:rsidP="00AF6B8C">
            <w:pPr>
              <w:widowControl w:val="0"/>
              <w:spacing w:before="120"/>
              <w:jc w:val="center"/>
              <w:rPr>
                <w:rFonts w:ascii="Times New Roman" w:hAnsi="Times New Roman"/>
                <w:sz w:val="28"/>
                <w:szCs w:val="28"/>
                <w:lang w:val="uk-UA"/>
              </w:rPr>
            </w:pPr>
            <w:r w:rsidRPr="00AF6B8C">
              <w:rPr>
                <w:rFonts w:ascii="Times New Roman" w:hAnsi="Times New Roman"/>
                <w:sz w:val="28"/>
                <w:szCs w:val="28"/>
                <w:lang w:val="uk-UA"/>
              </w:rPr>
              <w:t>53</w:t>
            </w:r>
          </w:p>
        </w:tc>
        <w:tc>
          <w:tcPr>
            <w:tcW w:w="1525" w:type="dxa"/>
            <w:tcBorders>
              <w:top w:val="single" w:sz="4" w:space="0" w:color="auto"/>
              <w:left w:val="single" w:sz="4" w:space="0" w:color="auto"/>
              <w:bottom w:val="single" w:sz="4" w:space="0" w:color="auto"/>
              <w:right w:val="single" w:sz="4" w:space="0" w:color="auto"/>
            </w:tcBorders>
            <w:hideMark/>
          </w:tcPr>
          <w:p w:rsidR="007F136C" w:rsidRPr="00AF6B8C" w:rsidRDefault="007F136C" w:rsidP="00AF6B8C">
            <w:pPr>
              <w:widowControl w:val="0"/>
              <w:spacing w:before="120"/>
              <w:jc w:val="center"/>
              <w:rPr>
                <w:rFonts w:ascii="Times New Roman" w:hAnsi="Times New Roman"/>
                <w:sz w:val="28"/>
                <w:szCs w:val="28"/>
                <w:lang w:val="uk-UA"/>
              </w:rPr>
            </w:pPr>
            <w:r w:rsidRPr="00AF6B8C">
              <w:rPr>
                <w:rFonts w:ascii="Times New Roman" w:hAnsi="Times New Roman"/>
                <w:sz w:val="28"/>
                <w:szCs w:val="28"/>
                <w:lang w:val="uk-UA"/>
              </w:rPr>
              <w:t>13,25 ±1,7</w:t>
            </w:r>
          </w:p>
        </w:tc>
      </w:tr>
      <w:tr w:rsidR="007F136C" w:rsidRPr="00AF6B8C" w:rsidTr="003B67F9">
        <w:trPr>
          <w:jc w:val="center"/>
        </w:trPr>
        <w:tc>
          <w:tcPr>
            <w:tcW w:w="6771" w:type="dxa"/>
            <w:tcBorders>
              <w:top w:val="single" w:sz="4" w:space="0" w:color="auto"/>
              <w:left w:val="single" w:sz="4" w:space="0" w:color="auto"/>
              <w:bottom w:val="single" w:sz="4" w:space="0" w:color="auto"/>
              <w:right w:val="single" w:sz="4" w:space="0" w:color="auto"/>
            </w:tcBorders>
            <w:hideMark/>
          </w:tcPr>
          <w:p w:rsidR="007F136C" w:rsidRPr="00AF6B8C" w:rsidRDefault="007F136C" w:rsidP="00AF6B8C">
            <w:pPr>
              <w:widowControl w:val="0"/>
              <w:spacing w:before="120"/>
              <w:rPr>
                <w:rFonts w:ascii="Times New Roman" w:hAnsi="Times New Roman"/>
                <w:sz w:val="28"/>
                <w:szCs w:val="28"/>
                <w:lang w:val="uk-UA"/>
              </w:rPr>
            </w:pPr>
            <w:r w:rsidRPr="00AF6B8C">
              <w:rPr>
                <w:rFonts w:ascii="Times New Roman" w:hAnsi="Times New Roman"/>
                <w:sz w:val="28"/>
                <w:szCs w:val="28"/>
                <w:lang w:val="uk-UA"/>
              </w:rPr>
              <w:t>Практично здорова дитини</w:t>
            </w:r>
          </w:p>
        </w:tc>
        <w:tc>
          <w:tcPr>
            <w:tcW w:w="1275" w:type="dxa"/>
            <w:tcBorders>
              <w:top w:val="single" w:sz="4" w:space="0" w:color="auto"/>
              <w:left w:val="single" w:sz="4" w:space="0" w:color="auto"/>
              <w:bottom w:val="single" w:sz="4" w:space="0" w:color="auto"/>
              <w:right w:val="single" w:sz="4" w:space="0" w:color="auto"/>
            </w:tcBorders>
            <w:hideMark/>
          </w:tcPr>
          <w:p w:rsidR="007F136C" w:rsidRPr="00AF6B8C" w:rsidRDefault="007F136C" w:rsidP="00AF6B8C">
            <w:pPr>
              <w:widowControl w:val="0"/>
              <w:spacing w:before="120"/>
              <w:jc w:val="center"/>
              <w:rPr>
                <w:rFonts w:ascii="Times New Roman" w:hAnsi="Times New Roman"/>
                <w:sz w:val="28"/>
                <w:szCs w:val="28"/>
                <w:lang w:val="uk-UA"/>
              </w:rPr>
            </w:pPr>
            <w:r w:rsidRPr="00AF6B8C">
              <w:rPr>
                <w:rFonts w:ascii="Times New Roman" w:hAnsi="Times New Roman"/>
                <w:sz w:val="28"/>
                <w:szCs w:val="28"/>
                <w:lang w:val="uk-UA"/>
              </w:rPr>
              <w:t>39</w:t>
            </w:r>
          </w:p>
        </w:tc>
        <w:tc>
          <w:tcPr>
            <w:tcW w:w="1525" w:type="dxa"/>
            <w:tcBorders>
              <w:top w:val="single" w:sz="4" w:space="0" w:color="auto"/>
              <w:left w:val="single" w:sz="4" w:space="0" w:color="auto"/>
              <w:bottom w:val="single" w:sz="4" w:space="0" w:color="auto"/>
              <w:right w:val="single" w:sz="4" w:space="0" w:color="auto"/>
            </w:tcBorders>
            <w:hideMark/>
          </w:tcPr>
          <w:p w:rsidR="007F136C" w:rsidRPr="00AF6B8C" w:rsidRDefault="007F136C" w:rsidP="00AF6B8C">
            <w:pPr>
              <w:widowControl w:val="0"/>
              <w:spacing w:before="120"/>
              <w:jc w:val="center"/>
              <w:rPr>
                <w:rFonts w:ascii="Times New Roman" w:hAnsi="Times New Roman"/>
                <w:sz w:val="28"/>
                <w:szCs w:val="28"/>
                <w:lang w:val="uk-UA"/>
              </w:rPr>
            </w:pPr>
            <w:r w:rsidRPr="00AF6B8C">
              <w:rPr>
                <w:rFonts w:ascii="Times New Roman" w:hAnsi="Times New Roman"/>
                <w:sz w:val="28"/>
                <w:szCs w:val="28"/>
                <w:lang w:val="uk-UA"/>
              </w:rPr>
              <w:t>9,75 ±1,5</w:t>
            </w:r>
          </w:p>
        </w:tc>
      </w:tr>
      <w:tr w:rsidR="007F136C" w:rsidRPr="00AF6B8C" w:rsidTr="003B67F9">
        <w:trPr>
          <w:jc w:val="center"/>
        </w:trPr>
        <w:tc>
          <w:tcPr>
            <w:tcW w:w="6771" w:type="dxa"/>
            <w:tcBorders>
              <w:top w:val="single" w:sz="4" w:space="0" w:color="auto"/>
              <w:left w:val="single" w:sz="4" w:space="0" w:color="auto"/>
              <w:bottom w:val="single" w:sz="4" w:space="0" w:color="auto"/>
              <w:right w:val="single" w:sz="4" w:space="0" w:color="auto"/>
            </w:tcBorders>
            <w:hideMark/>
          </w:tcPr>
          <w:p w:rsidR="007F136C" w:rsidRPr="00AF6B8C" w:rsidRDefault="007F136C" w:rsidP="00AF6B8C">
            <w:pPr>
              <w:widowControl w:val="0"/>
              <w:spacing w:before="120"/>
              <w:rPr>
                <w:rFonts w:ascii="Times New Roman" w:hAnsi="Times New Roman"/>
                <w:sz w:val="28"/>
                <w:szCs w:val="28"/>
                <w:lang w:val="uk-UA"/>
              </w:rPr>
            </w:pPr>
            <w:r w:rsidRPr="00AF6B8C">
              <w:rPr>
                <w:rFonts w:ascii="Times New Roman" w:hAnsi="Times New Roman"/>
                <w:sz w:val="28"/>
                <w:szCs w:val="28"/>
                <w:lang w:val="uk-UA"/>
              </w:rPr>
              <w:t>Дитина має проблеми перинатального періоду</w:t>
            </w:r>
          </w:p>
        </w:tc>
        <w:tc>
          <w:tcPr>
            <w:tcW w:w="1275" w:type="dxa"/>
            <w:tcBorders>
              <w:top w:val="single" w:sz="4" w:space="0" w:color="auto"/>
              <w:left w:val="single" w:sz="4" w:space="0" w:color="auto"/>
              <w:bottom w:val="single" w:sz="4" w:space="0" w:color="auto"/>
              <w:right w:val="single" w:sz="4" w:space="0" w:color="auto"/>
            </w:tcBorders>
            <w:hideMark/>
          </w:tcPr>
          <w:p w:rsidR="007F136C" w:rsidRPr="00AF6B8C" w:rsidRDefault="007F136C" w:rsidP="00AF6B8C">
            <w:pPr>
              <w:widowControl w:val="0"/>
              <w:spacing w:before="120"/>
              <w:jc w:val="center"/>
              <w:rPr>
                <w:rFonts w:ascii="Times New Roman" w:hAnsi="Times New Roman"/>
                <w:sz w:val="28"/>
                <w:szCs w:val="28"/>
                <w:lang w:val="uk-UA"/>
              </w:rPr>
            </w:pPr>
            <w:r w:rsidRPr="00AF6B8C">
              <w:rPr>
                <w:rFonts w:ascii="Times New Roman" w:hAnsi="Times New Roman"/>
                <w:sz w:val="28"/>
                <w:szCs w:val="28"/>
                <w:lang w:val="uk-UA"/>
              </w:rPr>
              <w:t>42</w:t>
            </w:r>
          </w:p>
        </w:tc>
        <w:tc>
          <w:tcPr>
            <w:tcW w:w="1525" w:type="dxa"/>
            <w:tcBorders>
              <w:top w:val="single" w:sz="4" w:space="0" w:color="auto"/>
              <w:left w:val="single" w:sz="4" w:space="0" w:color="auto"/>
              <w:bottom w:val="single" w:sz="4" w:space="0" w:color="auto"/>
              <w:right w:val="single" w:sz="4" w:space="0" w:color="auto"/>
            </w:tcBorders>
            <w:hideMark/>
          </w:tcPr>
          <w:p w:rsidR="007F136C" w:rsidRPr="00AF6B8C" w:rsidRDefault="007F136C" w:rsidP="00AF6B8C">
            <w:pPr>
              <w:widowControl w:val="0"/>
              <w:spacing w:before="120"/>
              <w:jc w:val="center"/>
              <w:rPr>
                <w:rFonts w:ascii="Times New Roman" w:hAnsi="Times New Roman"/>
                <w:sz w:val="28"/>
                <w:szCs w:val="28"/>
                <w:lang w:val="uk-UA"/>
              </w:rPr>
            </w:pPr>
            <w:r w:rsidRPr="00AF6B8C">
              <w:rPr>
                <w:rFonts w:ascii="Times New Roman" w:hAnsi="Times New Roman"/>
                <w:sz w:val="28"/>
                <w:szCs w:val="28"/>
                <w:lang w:val="uk-UA"/>
              </w:rPr>
              <w:t>10,50 ±1,5</w:t>
            </w:r>
          </w:p>
        </w:tc>
      </w:tr>
      <w:tr w:rsidR="007F136C" w:rsidRPr="00AF6B8C" w:rsidTr="003B67F9">
        <w:trPr>
          <w:jc w:val="center"/>
        </w:trPr>
        <w:tc>
          <w:tcPr>
            <w:tcW w:w="6771" w:type="dxa"/>
            <w:tcBorders>
              <w:top w:val="single" w:sz="4" w:space="0" w:color="auto"/>
              <w:left w:val="single" w:sz="4" w:space="0" w:color="auto"/>
              <w:bottom w:val="single" w:sz="4" w:space="0" w:color="auto"/>
              <w:right w:val="single" w:sz="4" w:space="0" w:color="auto"/>
            </w:tcBorders>
            <w:hideMark/>
          </w:tcPr>
          <w:p w:rsidR="007F136C" w:rsidRPr="00AF6B8C" w:rsidRDefault="007F136C" w:rsidP="00AF6B8C">
            <w:pPr>
              <w:widowControl w:val="0"/>
              <w:spacing w:before="120"/>
              <w:rPr>
                <w:rFonts w:ascii="Times New Roman" w:hAnsi="Times New Roman"/>
                <w:sz w:val="28"/>
                <w:szCs w:val="28"/>
                <w:lang w:val="uk-UA"/>
              </w:rPr>
            </w:pPr>
            <w:r w:rsidRPr="00AF6B8C">
              <w:rPr>
                <w:rFonts w:ascii="Times New Roman" w:hAnsi="Times New Roman"/>
                <w:sz w:val="28"/>
                <w:szCs w:val="28"/>
                <w:lang w:val="uk-UA"/>
              </w:rPr>
              <w:t>П</w:t>
            </w:r>
            <w:r w:rsidR="00793586">
              <w:rPr>
                <w:rFonts w:ascii="Times New Roman" w:hAnsi="Times New Roman"/>
                <w:sz w:val="28"/>
                <w:szCs w:val="28"/>
                <w:lang w:val="uk-UA"/>
              </w:rPr>
              <w:t>роблеми із здоров’ям пов’язані і</w:t>
            </w:r>
            <w:r w:rsidRPr="00AF6B8C">
              <w:rPr>
                <w:rFonts w:ascii="Times New Roman" w:hAnsi="Times New Roman"/>
                <w:sz w:val="28"/>
                <w:szCs w:val="28"/>
                <w:lang w:val="uk-UA"/>
              </w:rPr>
              <w:t>з  фізіологічним розвитком дитини</w:t>
            </w:r>
          </w:p>
        </w:tc>
        <w:tc>
          <w:tcPr>
            <w:tcW w:w="1275" w:type="dxa"/>
            <w:tcBorders>
              <w:top w:val="single" w:sz="4" w:space="0" w:color="auto"/>
              <w:left w:val="single" w:sz="4" w:space="0" w:color="auto"/>
              <w:bottom w:val="single" w:sz="4" w:space="0" w:color="auto"/>
              <w:right w:val="single" w:sz="4" w:space="0" w:color="auto"/>
            </w:tcBorders>
            <w:hideMark/>
          </w:tcPr>
          <w:p w:rsidR="007F136C" w:rsidRPr="00AF6B8C" w:rsidRDefault="007F136C" w:rsidP="00AF6B8C">
            <w:pPr>
              <w:widowControl w:val="0"/>
              <w:spacing w:before="120"/>
              <w:jc w:val="center"/>
              <w:rPr>
                <w:rFonts w:ascii="Times New Roman" w:hAnsi="Times New Roman"/>
                <w:sz w:val="28"/>
                <w:szCs w:val="28"/>
                <w:lang w:val="uk-UA"/>
              </w:rPr>
            </w:pPr>
            <w:r w:rsidRPr="00AF6B8C">
              <w:rPr>
                <w:rFonts w:ascii="Times New Roman" w:hAnsi="Times New Roman"/>
                <w:sz w:val="28"/>
                <w:szCs w:val="28"/>
                <w:lang w:val="uk-UA"/>
              </w:rPr>
              <w:t>139</w:t>
            </w:r>
          </w:p>
        </w:tc>
        <w:tc>
          <w:tcPr>
            <w:tcW w:w="1525" w:type="dxa"/>
            <w:tcBorders>
              <w:top w:val="single" w:sz="4" w:space="0" w:color="auto"/>
              <w:left w:val="single" w:sz="4" w:space="0" w:color="auto"/>
              <w:bottom w:val="single" w:sz="4" w:space="0" w:color="auto"/>
              <w:right w:val="single" w:sz="4" w:space="0" w:color="auto"/>
            </w:tcBorders>
            <w:hideMark/>
          </w:tcPr>
          <w:p w:rsidR="007F136C" w:rsidRPr="00AF6B8C" w:rsidRDefault="007F136C" w:rsidP="00AF6B8C">
            <w:pPr>
              <w:widowControl w:val="0"/>
              <w:spacing w:before="120"/>
              <w:jc w:val="center"/>
              <w:rPr>
                <w:rFonts w:ascii="Times New Roman" w:hAnsi="Times New Roman"/>
                <w:sz w:val="28"/>
                <w:szCs w:val="28"/>
                <w:lang w:val="uk-UA"/>
              </w:rPr>
            </w:pPr>
            <w:r w:rsidRPr="00AF6B8C">
              <w:rPr>
                <w:rFonts w:ascii="Times New Roman" w:hAnsi="Times New Roman"/>
                <w:sz w:val="28"/>
                <w:szCs w:val="28"/>
                <w:lang w:val="uk-UA"/>
              </w:rPr>
              <w:t>34,75 ±2,4</w:t>
            </w:r>
          </w:p>
        </w:tc>
      </w:tr>
      <w:tr w:rsidR="007F136C" w:rsidRPr="00AF6B8C" w:rsidTr="003B67F9">
        <w:trPr>
          <w:jc w:val="center"/>
        </w:trPr>
        <w:tc>
          <w:tcPr>
            <w:tcW w:w="6771" w:type="dxa"/>
            <w:tcBorders>
              <w:top w:val="single" w:sz="4" w:space="0" w:color="auto"/>
              <w:left w:val="single" w:sz="4" w:space="0" w:color="auto"/>
              <w:bottom w:val="single" w:sz="4" w:space="0" w:color="auto"/>
              <w:right w:val="single" w:sz="4" w:space="0" w:color="auto"/>
            </w:tcBorders>
            <w:hideMark/>
          </w:tcPr>
          <w:p w:rsidR="007F136C" w:rsidRPr="00AF6B8C" w:rsidRDefault="007F136C" w:rsidP="00AF6B8C">
            <w:pPr>
              <w:widowControl w:val="0"/>
              <w:spacing w:before="120"/>
              <w:rPr>
                <w:rFonts w:ascii="Times New Roman" w:hAnsi="Times New Roman"/>
                <w:sz w:val="28"/>
                <w:szCs w:val="28"/>
                <w:lang w:val="uk-UA"/>
              </w:rPr>
            </w:pPr>
            <w:r w:rsidRPr="00AF6B8C">
              <w:rPr>
                <w:rFonts w:ascii="Times New Roman" w:hAnsi="Times New Roman"/>
                <w:sz w:val="28"/>
                <w:szCs w:val="28"/>
                <w:lang w:val="uk-UA"/>
              </w:rPr>
              <w:t>Дитина має вроджені вади розвитку</w:t>
            </w:r>
          </w:p>
        </w:tc>
        <w:tc>
          <w:tcPr>
            <w:tcW w:w="1275" w:type="dxa"/>
            <w:tcBorders>
              <w:top w:val="single" w:sz="4" w:space="0" w:color="auto"/>
              <w:left w:val="single" w:sz="4" w:space="0" w:color="auto"/>
              <w:bottom w:val="single" w:sz="4" w:space="0" w:color="auto"/>
              <w:right w:val="single" w:sz="4" w:space="0" w:color="auto"/>
            </w:tcBorders>
            <w:hideMark/>
          </w:tcPr>
          <w:p w:rsidR="007F136C" w:rsidRPr="00AF6B8C" w:rsidRDefault="007F136C" w:rsidP="00AF6B8C">
            <w:pPr>
              <w:widowControl w:val="0"/>
              <w:spacing w:before="120"/>
              <w:jc w:val="center"/>
              <w:rPr>
                <w:rFonts w:ascii="Times New Roman" w:hAnsi="Times New Roman"/>
                <w:sz w:val="28"/>
                <w:szCs w:val="28"/>
                <w:lang w:val="uk-UA"/>
              </w:rPr>
            </w:pPr>
            <w:r w:rsidRPr="00AF6B8C">
              <w:rPr>
                <w:rFonts w:ascii="Times New Roman" w:hAnsi="Times New Roman"/>
                <w:sz w:val="28"/>
                <w:szCs w:val="28"/>
                <w:lang w:val="uk-UA"/>
              </w:rPr>
              <w:t>12</w:t>
            </w:r>
          </w:p>
        </w:tc>
        <w:tc>
          <w:tcPr>
            <w:tcW w:w="1525" w:type="dxa"/>
            <w:tcBorders>
              <w:top w:val="single" w:sz="4" w:space="0" w:color="auto"/>
              <w:left w:val="single" w:sz="4" w:space="0" w:color="auto"/>
              <w:bottom w:val="single" w:sz="4" w:space="0" w:color="auto"/>
              <w:right w:val="single" w:sz="4" w:space="0" w:color="auto"/>
            </w:tcBorders>
            <w:hideMark/>
          </w:tcPr>
          <w:p w:rsidR="007F136C" w:rsidRPr="00AF6B8C" w:rsidRDefault="007F136C" w:rsidP="00AF6B8C">
            <w:pPr>
              <w:widowControl w:val="0"/>
              <w:spacing w:before="120"/>
              <w:jc w:val="center"/>
              <w:rPr>
                <w:rFonts w:ascii="Times New Roman" w:hAnsi="Times New Roman"/>
                <w:sz w:val="28"/>
                <w:szCs w:val="28"/>
                <w:lang w:val="uk-UA"/>
              </w:rPr>
            </w:pPr>
            <w:r w:rsidRPr="00AF6B8C">
              <w:rPr>
                <w:rFonts w:ascii="Times New Roman" w:hAnsi="Times New Roman"/>
                <w:sz w:val="28"/>
                <w:szCs w:val="28"/>
                <w:lang w:val="uk-UA"/>
              </w:rPr>
              <w:t>3,</w:t>
            </w:r>
            <w:r w:rsidRPr="00AF6B8C">
              <w:rPr>
                <w:rFonts w:ascii="Times New Roman" w:hAnsi="Times New Roman"/>
                <w:color w:val="000000" w:themeColor="text1"/>
                <w:sz w:val="28"/>
                <w:szCs w:val="28"/>
                <w:lang w:val="uk-UA"/>
              </w:rPr>
              <w:t>00 ±</w:t>
            </w:r>
            <w:r w:rsidRPr="00AF6B8C">
              <w:rPr>
                <w:rFonts w:ascii="Times New Roman" w:hAnsi="Times New Roman"/>
                <w:sz w:val="28"/>
                <w:szCs w:val="28"/>
                <w:lang w:val="uk-UA"/>
              </w:rPr>
              <w:t>0,9</w:t>
            </w:r>
          </w:p>
        </w:tc>
      </w:tr>
      <w:tr w:rsidR="007F136C" w:rsidRPr="00AF6B8C" w:rsidTr="003B67F9">
        <w:trPr>
          <w:jc w:val="center"/>
        </w:trPr>
        <w:tc>
          <w:tcPr>
            <w:tcW w:w="6771" w:type="dxa"/>
            <w:tcBorders>
              <w:top w:val="single" w:sz="4" w:space="0" w:color="auto"/>
              <w:left w:val="single" w:sz="4" w:space="0" w:color="auto"/>
              <w:bottom w:val="single" w:sz="4" w:space="0" w:color="auto"/>
              <w:right w:val="single" w:sz="4" w:space="0" w:color="auto"/>
            </w:tcBorders>
            <w:hideMark/>
          </w:tcPr>
          <w:p w:rsidR="007F136C" w:rsidRPr="00AF6B8C" w:rsidRDefault="007F136C" w:rsidP="00AF6B8C">
            <w:pPr>
              <w:widowControl w:val="0"/>
              <w:spacing w:before="120"/>
              <w:rPr>
                <w:rFonts w:ascii="Times New Roman" w:hAnsi="Times New Roman"/>
                <w:sz w:val="28"/>
                <w:szCs w:val="28"/>
                <w:lang w:val="uk-UA"/>
              </w:rPr>
            </w:pPr>
            <w:r w:rsidRPr="00AF6B8C">
              <w:rPr>
                <w:rFonts w:ascii="Times New Roman" w:hAnsi="Times New Roman"/>
                <w:sz w:val="28"/>
                <w:szCs w:val="28"/>
                <w:lang w:val="uk-UA"/>
              </w:rPr>
              <w:t>Дитина має хронічні проблеми  із здоров’ям</w:t>
            </w:r>
          </w:p>
        </w:tc>
        <w:tc>
          <w:tcPr>
            <w:tcW w:w="1275" w:type="dxa"/>
            <w:tcBorders>
              <w:top w:val="single" w:sz="4" w:space="0" w:color="auto"/>
              <w:left w:val="single" w:sz="4" w:space="0" w:color="auto"/>
              <w:bottom w:val="single" w:sz="4" w:space="0" w:color="auto"/>
              <w:right w:val="single" w:sz="4" w:space="0" w:color="auto"/>
            </w:tcBorders>
            <w:hideMark/>
          </w:tcPr>
          <w:p w:rsidR="007F136C" w:rsidRPr="00AF6B8C" w:rsidRDefault="007F136C" w:rsidP="00AF6B8C">
            <w:pPr>
              <w:widowControl w:val="0"/>
              <w:spacing w:before="120"/>
              <w:jc w:val="center"/>
              <w:rPr>
                <w:rFonts w:ascii="Times New Roman" w:hAnsi="Times New Roman"/>
                <w:sz w:val="28"/>
                <w:szCs w:val="28"/>
                <w:lang w:val="uk-UA"/>
              </w:rPr>
            </w:pPr>
            <w:r w:rsidRPr="00AF6B8C">
              <w:rPr>
                <w:rFonts w:ascii="Times New Roman" w:hAnsi="Times New Roman"/>
                <w:sz w:val="28"/>
                <w:szCs w:val="28"/>
                <w:lang w:val="uk-UA"/>
              </w:rPr>
              <w:t>26</w:t>
            </w:r>
          </w:p>
        </w:tc>
        <w:tc>
          <w:tcPr>
            <w:tcW w:w="1525" w:type="dxa"/>
            <w:tcBorders>
              <w:top w:val="single" w:sz="4" w:space="0" w:color="auto"/>
              <w:left w:val="single" w:sz="4" w:space="0" w:color="auto"/>
              <w:bottom w:val="single" w:sz="4" w:space="0" w:color="auto"/>
              <w:right w:val="single" w:sz="4" w:space="0" w:color="auto"/>
            </w:tcBorders>
            <w:hideMark/>
          </w:tcPr>
          <w:p w:rsidR="007F136C" w:rsidRPr="00AF6B8C" w:rsidRDefault="007F136C" w:rsidP="00AF6B8C">
            <w:pPr>
              <w:widowControl w:val="0"/>
              <w:spacing w:before="120"/>
              <w:jc w:val="center"/>
              <w:rPr>
                <w:rFonts w:ascii="Times New Roman" w:hAnsi="Times New Roman"/>
                <w:sz w:val="28"/>
                <w:szCs w:val="28"/>
                <w:lang w:val="uk-UA"/>
              </w:rPr>
            </w:pPr>
            <w:r w:rsidRPr="00AF6B8C">
              <w:rPr>
                <w:rFonts w:ascii="Times New Roman" w:hAnsi="Times New Roman"/>
                <w:sz w:val="28"/>
                <w:szCs w:val="28"/>
                <w:lang w:val="uk-UA"/>
              </w:rPr>
              <w:t>6,50 ±1,2</w:t>
            </w:r>
          </w:p>
        </w:tc>
      </w:tr>
      <w:tr w:rsidR="004A3FDB" w:rsidRPr="00AF6B8C" w:rsidTr="003B67F9">
        <w:trPr>
          <w:jc w:val="center"/>
        </w:trPr>
        <w:tc>
          <w:tcPr>
            <w:tcW w:w="6771" w:type="dxa"/>
            <w:tcBorders>
              <w:top w:val="single" w:sz="4" w:space="0" w:color="auto"/>
              <w:left w:val="single" w:sz="4" w:space="0" w:color="auto"/>
              <w:bottom w:val="single" w:sz="4" w:space="0" w:color="auto"/>
              <w:right w:val="single" w:sz="4" w:space="0" w:color="auto"/>
            </w:tcBorders>
            <w:hideMark/>
          </w:tcPr>
          <w:p w:rsidR="007F136C" w:rsidRPr="00AF6B8C" w:rsidRDefault="007F136C" w:rsidP="00AF6B8C">
            <w:pPr>
              <w:widowControl w:val="0"/>
              <w:spacing w:before="120"/>
              <w:rPr>
                <w:rFonts w:ascii="Times New Roman" w:hAnsi="Times New Roman"/>
                <w:color w:val="000000" w:themeColor="text1"/>
                <w:sz w:val="28"/>
                <w:szCs w:val="28"/>
                <w:lang w:val="uk-UA"/>
              </w:rPr>
            </w:pPr>
            <w:r w:rsidRPr="00AF6B8C">
              <w:rPr>
                <w:rFonts w:ascii="Times New Roman" w:hAnsi="Times New Roman"/>
                <w:color w:val="000000" w:themeColor="text1"/>
                <w:sz w:val="28"/>
                <w:szCs w:val="28"/>
                <w:lang w:val="uk-UA"/>
              </w:rPr>
              <w:t>У дитини періодично виникають гострі  проблеми із здоров’ям</w:t>
            </w:r>
          </w:p>
        </w:tc>
        <w:tc>
          <w:tcPr>
            <w:tcW w:w="1275" w:type="dxa"/>
            <w:tcBorders>
              <w:top w:val="single" w:sz="4" w:space="0" w:color="auto"/>
              <w:left w:val="single" w:sz="4" w:space="0" w:color="auto"/>
              <w:bottom w:val="single" w:sz="4" w:space="0" w:color="auto"/>
              <w:right w:val="single" w:sz="4" w:space="0" w:color="auto"/>
            </w:tcBorders>
            <w:hideMark/>
          </w:tcPr>
          <w:p w:rsidR="007F136C" w:rsidRPr="00AF6B8C" w:rsidRDefault="007F136C" w:rsidP="00AF6B8C">
            <w:pPr>
              <w:widowControl w:val="0"/>
              <w:spacing w:before="120"/>
              <w:jc w:val="center"/>
              <w:rPr>
                <w:rFonts w:ascii="Times New Roman" w:hAnsi="Times New Roman"/>
                <w:color w:val="000000" w:themeColor="text1"/>
                <w:sz w:val="28"/>
                <w:szCs w:val="28"/>
                <w:lang w:val="uk-UA"/>
              </w:rPr>
            </w:pPr>
            <w:r w:rsidRPr="00AF6B8C">
              <w:rPr>
                <w:rFonts w:ascii="Times New Roman" w:hAnsi="Times New Roman"/>
                <w:color w:val="000000" w:themeColor="text1"/>
                <w:sz w:val="28"/>
                <w:szCs w:val="28"/>
                <w:lang w:val="uk-UA"/>
              </w:rPr>
              <w:t>89</w:t>
            </w:r>
          </w:p>
        </w:tc>
        <w:tc>
          <w:tcPr>
            <w:tcW w:w="1525" w:type="dxa"/>
            <w:tcBorders>
              <w:top w:val="single" w:sz="4" w:space="0" w:color="auto"/>
              <w:left w:val="single" w:sz="4" w:space="0" w:color="auto"/>
              <w:bottom w:val="single" w:sz="4" w:space="0" w:color="auto"/>
              <w:right w:val="single" w:sz="4" w:space="0" w:color="auto"/>
            </w:tcBorders>
            <w:hideMark/>
          </w:tcPr>
          <w:p w:rsidR="007F136C" w:rsidRPr="00AF6B8C" w:rsidRDefault="007F136C" w:rsidP="00AF6B8C">
            <w:pPr>
              <w:widowControl w:val="0"/>
              <w:spacing w:before="120"/>
              <w:jc w:val="center"/>
              <w:rPr>
                <w:rFonts w:ascii="Times New Roman" w:hAnsi="Times New Roman"/>
                <w:color w:val="000000" w:themeColor="text1"/>
                <w:sz w:val="28"/>
                <w:szCs w:val="28"/>
                <w:lang w:val="uk-UA"/>
              </w:rPr>
            </w:pPr>
            <w:r w:rsidRPr="00AF6B8C">
              <w:rPr>
                <w:rFonts w:ascii="Times New Roman" w:hAnsi="Times New Roman"/>
                <w:color w:val="000000" w:themeColor="text1"/>
                <w:sz w:val="28"/>
                <w:szCs w:val="28"/>
                <w:lang w:val="uk-UA"/>
              </w:rPr>
              <w:t>22,25 ±2,1</w:t>
            </w:r>
          </w:p>
        </w:tc>
      </w:tr>
    </w:tbl>
    <w:p w:rsidR="007F136C" w:rsidRPr="00006A39" w:rsidRDefault="007F136C" w:rsidP="003F7CE5">
      <w:pPr>
        <w:widowControl w:val="0"/>
        <w:spacing w:before="240"/>
        <w:ind w:firstLine="709"/>
        <w:rPr>
          <w:rFonts w:eastAsia="Calibri"/>
          <w:szCs w:val="28"/>
        </w:rPr>
      </w:pPr>
      <w:r w:rsidRPr="00F34224">
        <w:rPr>
          <w:rFonts w:eastAsia="Calibri"/>
          <w:color w:val="000000" w:themeColor="text1"/>
          <w:szCs w:val="28"/>
        </w:rPr>
        <w:t xml:space="preserve">Дослідження </w:t>
      </w:r>
      <w:r w:rsidRPr="00006A39">
        <w:rPr>
          <w:rFonts w:eastAsia="Calibri"/>
          <w:szCs w:val="28"/>
        </w:rPr>
        <w:t>причин звернень респондентів до закладів охорони здоров’я (ЗОЗ) з приводу здоров’я дитини показало, що найчастіше батьки відвідають ЗОЗ з профілактичною метою (54,25</w:t>
      </w:r>
      <w:r w:rsidRPr="00006A39">
        <w:rPr>
          <w:sz w:val="24"/>
          <w:szCs w:val="24"/>
        </w:rPr>
        <w:t>±</w:t>
      </w:r>
      <w:r w:rsidRPr="00006A39">
        <w:rPr>
          <w:szCs w:val="28"/>
        </w:rPr>
        <w:t>2,5</w:t>
      </w:r>
      <w:r w:rsidRPr="00006A39">
        <w:rPr>
          <w:rFonts w:eastAsia="Calibri"/>
          <w:szCs w:val="28"/>
        </w:rPr>
        <w:t>% – регулярне звернення до лікаря загальної практики-сімейного лікаря з профілактичною метою, 23,5</w:t>
      </w:r>
      <w:r w:rsidRPr="00006A39">
        <w:rPr>
          <w:szCs w:val="28"/>
        </w:rPr>
        <w:t>±2,1</w:t>
      </w:r>
      <w:r w:rsidRPr="00006A39">
        <w:rPr>
          <w:rFonts w:eastAsia="Calibri"/>
          <w:szCs w:val="28"/>
        </w:rPr>
        <w:t>% – регулярне звернення до  лікаря-педіатра з профілактичною метою, 85,5±1,8% – звернення до лікаря загальної практики-сімейного лікаря з метою проведення вакцинації). При появі ознак нездоров’я дитини батьки звертаються за медичною допомогою у заклади  різних рівнів її надання (до лікаря загальної практики-сімейного лікаря – 46,25</w:t>
      </w:r>
      <w:r w:rsidRPr="00006A39">
        <w:rPr>
          <w:szCs w:val="28"/>
        </w:rPr>
        <w:t>±2,5</w:t>
      </w:r>
      <w:r w:rsidRPr="00006A39">
        <w:rPr>
          <w:rFonts w:eastAsia="Calibri"/>
          <w:szCs w:val="28"/>
        </w:rPr>
        <w:t>% та до лікаря-педіатра – 28,0</w:t>
      </w:r>
      <w:r w:rsidRPr="00006A39">
        <w:rPr>
          <w:szCs w:val="28"/>
        </w:rPr>
        <w:t>±2,2</w:t>
      </w:r>
      <w:r w:rsidRPr="00006A39">
        <w:rPr>
          <w:rFonts w:eastAsia="Calibri"/>
          <w:szCs w:val="28"/>
        </w:rPr>
        <w:t>%,</w:t>
      </w:r>
      <w:r w:rsidRPr="00006A39">
        <w:t xml:space="preserve"> </w:t>
      </w:r>
      <w:r w:rsidRPr="00006A39">
        <w:rPr>
          <w:rFonts w:eastAsia="Calibri"/>
          <w:szCs w:val="28"/>
        </w:rPr>
        <w:t>до  послуг служби екстреної медичної допомоги при гострому погіршенні стану здоров’я дитини – 16,75±1,9%, у 24,0±2,1% випадків</w:t>
      </w:r>
      <w:r w:rsidRPr="00006A39">
        <w:t xml:space="preserve"> </w:t>
      </w:r>
      <w:r w:rsidRPr="00006A39">
        <w:rPr>
          <w:rFonts w:eastAsia="Calibri"/>
          <w:szCs w:val="28"/>
        </w:rPr>
        <w:t>лікар загальної практики-сімейний лікар  або лікар-педіатр відвідували дитину за викликом батьків, 28,75±2,3% дітей отримували стаціонарне лікування за направленням лікаря загальної практики-сімейного лікаря або лікаря-педіатра, або за направленням служби екстреної медичної допомоги). Взагалі до ЗОЗ з приводу здоров’я дитини не звертались 5,25±1,1% респ</w:t>
      </w:r>
      <w:r w:rsidR="00570BBF">
        <w:rPr>
          <w:rFonts w:eastAsia="Calibri"/>
          <w:szCs w:val="28"/>
        </w:rPr>
        <w:t>ондентів (</w:t>
      </w:r>
      <w:r w:rsidR="007060DD">
        <w:rPr>
          <w:rFonts w:eastAsia="Calibri"/>
          <w:szCs w:val="28"/>
        </w:rPr>
        <w:t>табл.</w:t>
      </w:r>
      <w:r w:rsidRPr="00006A39">
        <w:rPr>
          <w:rFonts w:eastAsia="Calibri"/>
          <w:szCs w:val="28"/>
        </w:rPr>
        <w:t xml:space="preserve"> 6.2).</w:t>
      </w:r>
    </w:p>
    <w:p w:rsidR="007F136C" w:rsidRPr="00006A39" w:rsidRDefault="007F136C" w:rsidP="00AF6B8C">
      <w:pPr>
        <w:widowControl w:val="0"/>
        <w:jc w:val="right"/>
        <w:rPr>
          <w:rFonts w:eastAsia="Calibri"/>
          <w:i/>
          <w:szCs w:val="28"/>
        </w:rPr>
      </w:pPr>
      <w:r w:rsidRPr="00006A39">
        <w:rPr>
          <w:rFonts w:eastAsia="Calibri"/>
          <w:i/>
          <w:szCs w:val="28"/>
        </w:rPr>
        <w:lastRenderedPageBreak/>
        <w:t>Таблиця 6.2</w:t>
      </w:r>
    </w:p>
    <w:p w:rsidR="007F136C" w:rsidRPr="00006A39" w:rsidRDefault="007F136C" w:rsidP="00721203">
      <w:pPr>
        <w:widowControl w:val="0"/>
        <w:jc w:val="center"/>
        <w:rPr>
          <w:rFonts w:eastAsia="Calibri"/>
          <w:b/>
          <w:szCs w:val="28"/>
        </w:rPr>
      </w:pPr>
      <w:r w:rsidRPr="00006A39">
        <w:rPr>
          <w:rFonts w:eastAsia="Calibri"/>
          <w:b/>
          <w:szCs w:val="28"/>
        </w:rPr>
        <w:t>Розподіл респондентів за відповідями щодо причини звернення до закладів охорони здоров’я з приводу здоров’я дитини</w:t>
      </w:r>
    </w:p>
    <w:tbl>
      <w:tblPr>
        <w:tblStyle w:val="a6"/>
        <w:tblW w:w="0" w:type="auto"/>
        <w:jc w:val="center"/>
        <w:tblLook w:val="04A0" w:firstRow="1" w:lastRow="0" w:firstColumn="1" w:lastColumn="0" w:noHBand="0" w:noVBand="1"/>
      </w:tblPr>
      <w:tblGrid>
        <w:gridCol w:w="6771"/>
        <w:gridCol w:w="1275"/>
        <w:gridCol w:w="1525"/>
      </w:tblGrid>
      <w:tr w:rsidR="007F136C" w:rsidRPr="00AF6B8C" w:rsidTr="003B67F9">
        <w:trPr>
          <w:jc w:val="center"/>
        </w:trPr>
        <w:tc>
          <w:tcPr>
            <w:tcW w:w="6771" w:type="dxa"/>
            <w:tcBorders>
              <w:top w:val="single" w:sz="4" w:space="0" w:color="auto"/>
              <w:left w:val="single" w:sz="4" w:space="0" w:color="auto"/>
              <w:bottom w:val="single" w:sz="4" w:space="0" w:color="auto"/>
              <w:right w:val="single" w:sz="4" w:space="0" w:color="auto"/>
            </w:tcBorders>
            <w:hideMark/>
          </w:tcPr>
          <w:p w:rsidR="007F136C" w:rsidRPr="00AF6B8C" w:rsidRDefault="007F136C" w:rsidP="00AF6B8C">
            <w:pPr>
              <w:widowControl w:val="0"/>
              <w:spacing w:line="276" w:lineRule="auto"/>
              <w:jc w:val="center"/>
              <w:rPr>
                <w:rFonts w:ascii="Times New Roman" w:hAnsi="Times New Roman"/>
                <w:color w:val="000000" w:themeColor="text1"/>
                <w:sz w:val="28"/>
                <w:szCs w:val="28"/>
                <w:lang w:val="uk-UA"/>
              </w:rPr>
            </w:pPr>
            <w:r w:rsidRPr="00AF6B8C">
              <w:rPr>
                <w:rFonts w:ascii="Times New Roman" w:hAnsi="Times New Roman"/>
                <w:color w:val="000000" w:themeColor="text1"/>
                <w:sz w:val="28"/>
                <w:szCs w:val="28"/>
                <w:lang w:val="uk-UA"/>
              </w:rPr>
              <w:t>Показник</w:t>
            </w:r>
          </w:p>
        </w:tc>
        <w:tc>
          <w:tcPr>
            <w:tcW w:w="1275" w:type="dxa"/>
            <w:tcBorders>
              <w:top w:val="single" w:sz="4" w:space="0" w:color="auto"/>
              <w:left w:val="single" w:sz="4" w:space="0" w:color="auto"/>
              <w:bottom w:val="single" w:sz="4" w:space="0" w:color="auto"/>
              <w:right w:val="single" w:sz="4" w:space="0" w:color="auto"/>
            </w:tcBorders>
            <w:hideMark/>
          </w:tcPr>
          <w:p w:rsidR="007F136C" w:rsidRPr="00AF6B8C" w:rsidRDefault="007F136C" w:rsidP="00AF6B8C">
            <w:pPr>
              <w:widowControl w:val="0"/>
              <w:spacing w:line="276" w:lineRule="auto"/>
              <w:jc w:val="center"/>
              <w:rPr>
                <w:rFonts w:ascii="Times New Roman" w:hAnsi="Times New Roman"/>
                <w:color w:val="000000" w:themeColor="text1"/>
                <w:sz w:val="28"/>
                <w:szCs w:val="28"/>
                <w:lang w:val="uk-UA"/>
              </w:rPr>
            </w:pPr>
            <w:r w:rsidRPr="00AF6B8C">
              <w:rPr>
                <w:rFonts w:ascii="Times New Roman" w:hAnsi="Times New Roman"/>
                <w:color w:val="000000" w:themeColor="text1"/>
                <w:sz w:val="28"/>
                <w:szCs w:val="28"/>
                <w:lang w:val="uk-UA"/>
              </w:rPr>
              <w:t>Абс.</w:t>
            </w:r>
          </w:p>
        </w:tc>
        <w:tc>
          <w:tcPr>
            <w:tcW w:w="1525" w:type="dxa"/>
            <w:tcBorders>
              <w:top w:val="single" w:sz="4" w:space="0" w:color="auto"/>
              <w:left w:val="single" w:sz="4" w:space="0" w:color="auto"/>
              <w:bottom w:val="single" w:sz="4" w:space="0" w:color="auto"/>
              <w:right w:val="single" w:sz="4" w:space="0" w:color="auto"/>
            </w:tcBorders>
            <w:hideMark/>
          </w:tcPr>
          <w:p w:rsidR="007F136C" w:rsidRPr="00AF6B8C" w:rsidRDefault="007F136C" w:rsidP="00AF6B8C">
            <w:pPr>
              <w:widowControl w:val="0"/>
              <w:spacing w:line="276" w:lineRule="auto"/>
              <w:jc w:val="center"/>
              <w:rPr>
                <w:rFonts w:ascii="Times New Roman" w:hAnsi="Times New Roman"/>
                <w:color w:val="000000" w:themeColor="text1"/>
                <w:sz w:val="28"/>
                <w:szCs w:val="28"/>
                <w:lang w:val="uk-UA"/>
              </w:rPr>
            </w:pPr>
            <w:r w:rsidRPr="00AF6B8C">
              <w:rPr>
                <w:rFonts w:ascii="Times New Roman" w:hAnsi="Times New Roman"/>
                <w:color w:val="000000" w:themeColor="text1"/>
                <w:sz w:val="28"/>
                <w:szCs w:val="28"/>
                <w:lang w:val="uk-UA"/>
              </w:rPr>
              <w:t>Р ± m%</w:t>
            </w:r>
          </w:p>
        </w:tc>
      </w:tr>
      <w:tr w:rsidR="007F136C" w:rsidRPr="00AF6B8C" w:rsidTr="003B67F9">
        <w:trPr>
          <w:jc w:val="center"/>
        </w:trPr>
        <w:tc>
          <w:tcPr>
            <w:tcW w:w="6771" w:type="dxa"/>
            <w:tcBorders>
              <w:top w:val="single" w:sz="4" w:space="0" w:color="auto"/>
              <w:left w:val="single" w:sz="4" w:space="0" w:color="auto"/>
              <w:bottom w:val="single" w:sz="4" w:space="0" w:color="auto"/>
              <w:right w:val="single" w:sz="4" w:space="0" w:color="auto"/>
            </w:tcBorders>
            <w:hideMark/>
          </w:tcPr>
          <w:p w:rsidR="007F136C" w:rsidRPr="00AF6B8C" w:rsidRDefault="007F136C" w:rsidP="00AF6B8C">
            <w:pPr>
              <w:widowControl w:val="0"/>
              <w:spacing w:line="276" w:lineRule="auto"/>
              <w:rPr>
                <w:rFonts w:ascii="Times New Roman" w:hAnsi="Times New Roman"/>
                <w:color w:val="000000" w:themeColor="text1"/>
                <w:sz w:val="28"/>
                <w:szCs w:val="28"/>
                <w:lang w:val="uk-UA"/>
              </w:rPr>
            </w:pPr>
            <w:r w:rsidRPr="00AF6B8C">
              <w:rPr>
                <w:rFonts w:ascii="Times New Roman" w:hAnsi="Times New Roman"/>
                <w:color w:val="000000" w:themeColor="text1"/>
                <w:sz w:val="28"/>
                <w:szCs w:val="28"/>
                <w:lang w:val="uk-UA"/>
              </w:rPr>
              <w:t>Регулярне звернення до лікаря загальної практики-сімейного лікаря з профілактичною метою</w:t>
            </w:r>
          </w:p>
        </w:tc>
        <w:tc>
          <w:tcPr>
            <w:tcW w:w="1275" w:type="dxa"/>
            <w:tcBorders>
              <w:top w:val="single" w:sz="4" w:space="0" w:color="auto"/>
              <w:left w:val="single" w:sz="4" w:space="0" w:color="auto"/>
              <w:bottom w:val="single" w:sz="4" w:space="0" w:color="auto"/>
              <w:right w:val="single" w:sz="4" w:space="0" w:color="auto"/>
            </w:tcBorders>
            <w:hideMark/>
          </w:tcPr>
          <w:p w:rsidR="007F136C" w:rsidRPr="00AF6B8C" w:rsidRDefault="007F136C" w:rsidP="00AF6B8C">
            <w:pPr>
              <w:widowControl w:val="0"/>
              <w:spacing w:line="276" w:lineRule="auto"/>
              <w:jc w:val="center"/>
              <w:rPr>
                <w:rFonts w:ascii="Times New Roman" w:hAnsi="Times New Roman"/>
                <w:color w:val="000000" w:themeColor="text1"/>
                <w:sz w:val="28"/>
                <w:szCs w:val="28"/>
                <w:lang w:val="uk-UA"/>
              </w:rPr>
            </w:pPr>
            <w:r w:rsidRPr="00AF6B8C">
              <w:rPr>
                <w:rFonts w:ascii="Times New Roman" w:hAnsi="Times New Roman"/>
                <w:color w:val="000000" w:themeColor="text1"/>
                <w:sz w:val="28"/>
                <w:szCs w:val="28"/>
                <w:lang w:val="uk-UA"/>
              </w:rPr>
              <w:t>217</w:t>
            </w:r>
          </w:p>
        </w:tc>
        <w:tc>
          <w:tcPr>
            <w:tcW w:w="1525" w:type="dxa"/>
            <w:tcBorders>
              <w:top w:val="single" w:sz="4" w:space="0" w:color="auto"/>
              <w:left w:val="single" w:sz="4" w:space="0" w:color="auto"/>
              <w:bottom w:val="single" w:sz="4" w:space="0" w:color="auto"/>
              <w:right w:val="single" w:sz="4" w:space="0" w:color="auto"/>
            </w:tcBorders>
            <w:hideMark/>
          </w:tcPr>
          <w:p w:rsidR="007F136C" w:rsidRPr="00AF6B8C" w:rsidRDefault="007F136C" w:rsidP="00AF6B8C">
            <w:pPr>
              <w:widowControl w:val="0"/>
              <w:spacing w:line="276" w:lineRule="auto"/>
              <w:jc w:val="center"/>
              <w:rPr>
                <w:rFonts w:ascii="Times New Roman" w:hAnsi="Times New Roman"/>
                <w:color w:val="000000" w:themeColor="text1"/>
                <w:sz w:val="28"/>
                <w:szCs w:val="28"/>
                <w:lang w:val="uk-UA"/>
              </w:rPr>
            </w:pPr>
            <w:r w:rsidRPr="00AF6B8C">
              <w:rPr>
                <w:rFonts w:ascii="Times New Roman" w:hAnsi="Times New Roman"/>
                <w:color w:val="000000" w:themeColor="text1"/>
                <w:sz w:val="28"/>
                <w:szCs w:val="28"/>
                <w:lang w:val="uk-UA"/>
              </w:rPr>
              <w:t>54,25±2,5</w:t>
            </w:r>
          </w:p>
        </w:tc>
      </w:tr>
      <w:tr w:rsidR="007F136C" w:rsidRPr="00AF6B8C" w:rsidTr="003B67F9">
        <w:trPr>
          <w:jc w:val="center"/>
        </w:trPr>
        <w:tc>
          <w:tcPr>
            <w:tcW w:w="6771" w:type="dxa"/>
            <w:tcBorders>
              <w:top w:val="single" w:sz="4" w:space="0" w:color="auto"/>
              <w:left w:val="single" w:sz="4" w:space="0" w:color="auto"/>
              <w:bottom w:val="single" w:sz="4" w:space="0" w:color="auto"/>
              <w:right w:val="single" w:sz="4" w:space="0" w:color="auto"/>
            </w:tcBorders>
            <w:hideMark/>
          </w:tcPr>
          <w:p w:rsidR="007F136C" w:rsidRPr="00AF6B8C" w:rsidRDefault="007F136C" w:rsidP="00AF6B8C">
            <w:pPr>
              <w:widowControl w:val="0"/>
              <w:spacing w:line="276" w:lineRule="auto"/>
              <w:rPr>
                <w:rFonts w:ascii="Times New Roman" w:hAnsi="Times New Roman"/>
                <w:color w:val="000000" w:themeColor="text1"/>
                <w:sz w:val="28"/>
                <w:szCs w:val="28"/>
                <w:lang w:val="uk-UA"/>
              </w:rPr>
            </w:pPr>
            <w:r w:rsidRPr="00AF6B8C">
              <w:rPr>
                <w:rFonts w:ascii="Times New Roman" w:hAnsi="Times New Roman"/>
                <w:color w:val="000000" w:themeColor="text1"/>
                <w:sz w:val="28"/>
                <w:szCs w:val="28"/>
                <w:lang w:val="uk-UA"/>
              </w:rPr>
              <w:t>Регулярне звернення до  лікаря-педіатра з профілактичною метою</w:t>
            </w:r>
          </w:p>
        </w:tc>
        <w:tc>
          <w:tcPr>
            <w:tcW w:w="1275" w:type="dxa"/>
            <w:tcBorders>
              <w:top w:val="single" w:sz="4" w:space="0" w:color="auto"/>
              <w:left w:val="single" w:sz="4" w:space="0" w:color="auto"/>
              <w:bottom w:val="single" w:sz="4" w:space="0" w:color="auto"/>
              <w:right w:val="single" w:sz="4" w:space="0" w:color="auto"/>
            </w:tcBorders>
            <w:hideMark/>
          </w:tcPr>
          <w:p w:rsidR="007F136C" w:rsidRPr="00AF6B8C" w:rsidRDefault="007F136C" w:rsidP="00AF6B8C">
            <w:pPr>
              <w:widowControl w:val="0"/>
              <w:spacing w:line="276" w:lineRule="auto"/>
              <w:jc w:val="center"/>
              <w:rPr>
                <w:rFonts w:ascii="Times New Roman" w:hAnsi="Times New Roman"/>
                <w:color w:val="000000" w:themeColor="text1"/>
                <w:sz w:val="28"/>
                <w:szCs w:val="28"/>
                <w:lang w:val="uk-UA"/>
              </w:rPr>
            </w:pPr>
            <w:r w:rsidRPr="00AF6B8C">
              <w:rPr>
                <w:rFonts w:ascii="Times New Roman" w:hAnsi="Times New Roman"/>
                <w:color w:val="000000" w:themeColor="text1"/>
                <w:sz w:val="28"/>
                <w:szCs w:val="28"/>
                <w:lang w:val="uk-UA"/>
              </w:rPr>
              <w:t>94</w:t>
            </w:r>
          </w:p>
        </w:tc>
        <w:tc>
          <w:tcPr>
            <w:tcW w:w="1525" w:type="dxa"/>
            <w:tcBorders>
              <w:top w:val="single" w:sz="4" w:space="0" w:color="auto"/>
              <w:left w:val="single" w:sz="4" w:space="0" w:color="auto"/>
              <w:bottom w:val="single" w:sz="4" w:space="0" w:color="auto"/>
              <w:right w:val="single" w:sz="4" w:space="0" w:color="auto"/>
            </w:tcBorders>
            <w:hideMark/>
          </w:tcPr>
          <w:p w:rsidR="007F136C" w:rsidRPr="00AF6B8C" w:rsidRDefault="007F136C" w:rsidP="00AF6B8C">
            <w:pPr>
              <w:widowControl w:val="0"/>
              <w:spacing w:line="276" w:lineRule="auto"/>
              <w:jc w:val="center"/>
              <w:rPr>
                <w:rFonts w:ascii="Times New Roman" w:hAnsi="Times New Roman"/>
                <w:color w:val="000000" w:themeColor="text1"/>
                <w:sz w:val="28"/>
                <w:szCs w:val="28"/>
                <w:lang w:val="uk-UA"/>
              </w:rPr>
            </w:pPr>
            <w:r w:rsidRPr="00AF6B8C">
              <w:rPr>
                <w:rFonts w:ascii="Times New Roman" w:hAnsi="Times New Roman"/>
                <w:color w:val="000000" w:themeColor="text1"/>
                <w:sz w:val="28"/>
                <w:szCs w:val="28"/>
                <w:lang w:val="uk-UA"/>
              </w:rPr>
              <w:t>23,50±2,1</w:t>
            </w:r>
          </w:p>
        </w:tc>
      </w:tr>
      <w:tr w:rsidR="007F136C" w:rsidRPr="00AF6B8C" w:rsidTr="003B67F9">
        <w:trPr>
          <w:jc w:val="center"/>
        </w:trPr>
        <w:tc>
          <w:tcPr>
            <w:tcW w:w="6771" w:type="dxa"/>
            <w:tcBorders>
              <w:top w:val="single" w:sz="4" w:space="0" w:color="auto"/>
              <w:left w:val="single" w:sz="4" w:space="0" w:color="auto"/>
              <w:bottom w:val="single" w:sz="4" w:space="0" w:color="auto"/>
              <w:right w:val="single" w:sz="4" w:space="0" w:color="auto"/>
            </w:tcBorders>
            <w:hideMark/>
          </w:tcPr>
          <w:p w:rsidR="007F136C" w:rsidRPr="00AF6B8C" w:rsidRDefault="007F136C" w:rsidP="00AF6B8C">
            <w:pPr>
              <w:widowControl w:val="0"/>
              <w:spacing w:line="276" w:lineRule="auto"/>
              <w:rPr>
                <w:rFonts w:ascii="Times New Roman" w:hAnsi="Times New Roman"/>
                <w:color w:val="000000" w:themeColor="text1"/>
                <w:sz w:val="28"/>
                <w:szCs w:val="28"/>
                <w:lang w:val="uk-UA"/>
              </w:rPr>
            </w:pPr>
            <w:r w:rsidRPr="00AF6B8C">
              <w:rPr>
                <w:rFonts w:ascii="Times New Roman" w:hAnsi="Times New Roman"/>
                <w:color w:val="000000" w:themeColor="text1"/>
                <w:sz w:val="28"/>
                <w:szCs w:val="28"/>
                <w:lang w:val="uk-UA"/>
              </w:rPr>
              <w:t>Відвідування  лікаря загальної практики-сімейного лікаря за викликом</w:t>
            </w:r>
          </w:p>
        </w:tc>
        <w:tc>
          <w:tcPr>
            <w:tcW w:w="1275" w:type="dxa"/>
            <w:tcBorders>
              <w:top w:val="single" w:sz="4" w:space="0" w:color="auto"/>
              <w:left w:val="single" w:sz="4" w:space="0" w:color="auto"/>
              <w:bottom w:val="single" w:sz="4" w:space="0" w:color="auto"/>
              <w:right w:val="single" w:sz="4" w:space="0" w:color="auto"/>
            </w:tcBorders>
            <w:hideMark/>
          </w:tcPr>
          <w:p w:rsidR="007F136C" w:rsidRPr="00AF6B8C" w:rsidRDefault="007F136C" w:rsidP="00AF6B8C">
            <w:pPr>
              <w:widowControl w:val="0"/>
              <w:spacing w:line="276" w:lineRule="auto"/>
              <w:jc w:val="center"/>
              <w:rPr>
                <w:rFonts w:ascii="Times New Roman" w:hAnsi="Times New Roman"/>
                <w:color w:val="000000" w:themeColor="text1"/>
                <w:sz w:val="28"/>
                <w:szCs w:val="28"/>
                <w:lang w:val="uk-UA"/>
              </w:rPr>
            </w:pPr>
            <w:r w:rsidRPr="00AF6B8C">
              <w:rPr>
                <w:rFonts w:ascii="Times New Roman" w:hAnsi="Times New Roman"/>
                <w:color w:val="000000" w:themeColor="text1"/>
                <w:sz w:val="28"/>
                <w:szCs w:val="28"/>
                <w:lang w:val="uk-UA"/>
              </w:rPr>
              <w:t>86</w:t>
            </w:r>
          </w:p>
        </w:tc>
        <w:tc>
          <w:tcPr>
            <w:tcW w:w="1525" w:type="dxa"/>
            <w:tcBorders>
              <w:top w:val="single" w:sz="4" w:space="0" w:color="auto"/>
              <w:left w:val="single" w:sz="4" w:space="0" w:color="auto"/>
              <w:bottom w:val="single" w:sz="4" w:space="0" w:color="auto"/>
              <w:right w:val="single" w:sz="4" w:space="0" w:color="auto"/>
            </w:tcBorders>
            <w:hideMark/>
          </w:tcPr>
          <w:p w:rsidR="007F136C" w:rsidRPr="00AF6B8C" w:rsidRDefault="007F136C" w:rsidP="00AF6B8C">
            <w:pPr>
              <w:widowControl w:val="0"/>
              <w:spacing w:line="276" w:lineRule="auto"/>
              <w:jc w:val="center"/>
              <w:rPr>
                <w:rFonts w:ascii="Times New Roman" w:hAnsi="Times New Roman"/>
                <w:color w:val="000000" w:themeColor="text1"/>
                <w:sz w:val="28"/>
                <w:szCs w:val="28"/>
                <w:lang w:val="uk-UA"/>
              </w:rPr>
            </w:pPr>
            <w:r w:rsidRPr="00AF6B8C">
              <w:rPr>
                <w:rFonts w:ascii="Times New Roman" w:hAnsi="Times New Roman"/>
                <w:color w:val="000000" w:themeColor="text1"/>
                <w:sz w:val="28"/>
                <w:szCs w:val="28"/>
                <w:lang w:val="uk-UA"/>
              </w:rPr>
              <w:t>21,50±2,1</w:t>
            </w:r>
          </w:p>
        </w:tc>
      </w:tr>
      <w:tr w:rsidR="007F136C" w:rsidRPr="00AF6B8C" w:rsidTr="003B67F9">
        <w:trPr>
          <w:jc w:val="center"/>
        </w:trPr>
        <w:tc>
          <w:tcPr>
            <w:tcW w:w="6771" w:type="dxa"/>
            <w:tcBorders>
              <w:top w:val="single" w:sz="4" w:space="0" w:color="auto"/>
              <w:left w:val="single" w:sz="4" w:space="0" w:color="auto"/>
              <w:bottom w:val="single" w:sz="4" w:space="0" w:color="auto"/>
              <w:right w:val="single" w:sz="4" w:space="0" w:color="auto"/>
            </w:tcBorders>
            <w:hideMark/>
          </w:tcPr>
          <w:p w:rsidR="007F136C" w:rsidRPr="00AF6B8C" w:rsidRDefault="007F136C" w:rsidP="00AF6B8C">
            <w:pPr>
              <w:widowControl w:val="0"/>
              <w:spacing w:line="276" w:lineRule="auto"/>
              <w:rPr>
                <w:rFonts w:ascii="Times New Roman" w:hAnsi="Times New Roman"/>
                <w:color w:val="000000" w:themeColor="text1"/>
                <w:sz w:val="28"/>
                <w:szCs w:val="28"/>
                <w:lang w:val="uk-UA"/>
              </w:rPr>
            </w:pPr>
            <w:r w:rsidRPr="00AF6B8C">
              <w:rPr>
                <w:rFonts w:ascii="Times New Roman" w:hAnsi="Times New Roman"/>
                <w:color w:val="000000" w:themeColor="text1"/>
                <w:sz w:val="28"/>
                <w:szCs w:val="28"/>
                <w:lang w:val="uk-UA"/>
              </w:rPr>
              <w:t xml:space="preserve">Відвідування лікаря-педіатра за викликом  </w:t>
            </w:r>
          </w:p>
        </w:tc>
        <w:tc>
          <w:tcPr>
            <w:tcW w:w="1275" w:type="dxa"/>
            <w:tcBorders>
              <w:top w:val="single" w:sz="4" w:space="0" w:color="auto"/>
              <w:left w:val="single" w:sz="4" w:space="0" w:color="auto"/>
              <w:bottom w:val="single" w:sz="4" w:space="0" w:color="auto"/>
              <w:right w:val="single" w:sz="4" w:space="0" w:color="auto"/>
            </w:tcBorders>
            <w:hideMark/>
          </w:tcPr>
          <w:p w:rsidR="007F136C" w:rsidRPr="00AF6B8C" w:rsidRDefault="007F136C" w:rsidP="00AF6B8C">
            <w:pPr>
              <w:widowControl w:val="0"/>
              <w:spacing w:line="276" w:lineRule="auto"/>
              <w:jc w:val="center"/>
              <w:rPr>
                <w:rFonts w:ascii="Times New Roman" w:hAnsi="Times New Roman"/>
                <w:color w:val="000000" w:themeColor="text1"/>
                <w:sz w:val="28"/>
                <w:szCs w:val="28"/>
                <w:lang w:val="uk-UA"/>
              </w:rPr>
            </w:pPr>
            <w:r w:rsidRPr="00AF6B8C">
              <w:rPr>
                <w:rFonts w:ascii="Times New Roman" w:hAnsi="Times New Roman"/>
                <w:color w:val="000000" w:themeColor="text1"/>
                <w:sz w:val="28"/>
                <w:szCs w:val="28"/>
                <w:lang w:val="uk-UA"/>
              </w:rPr>
              <w:t>14</w:t>
            </w:r>
          </w:p>
        </w:tc>
        <w:tc>
          <w:tcPr>
            <w:tcW w:w="1525" w:type="dxa"/>
            <w:tcBorders>
              <w:top w:val="single" w:sz="4" w:space="0" w:color="auto"/>
              <w:left w:val="single" w:sz="4" w:space="0" w:color="auto"/>
              <w:bottom w:val="single" w:sz="4" w:space="0" w:color="auto"/>
              <w:right w:val="single" w:sz="4" w:space="0" w:color="auto"/>
            </w:tcBorders>
            <w:hideMark/>
          </w:tcPr>
          <w:p w:rsidR="007F136C" w:rsidRPr="00AF6B8C" w:rsidRDefault="007F136C" w:rsidP="00AF6B8C">
            <w:pPr>
              <w:widowControl w:val="0"/>
              <w:spacing w:line="276" w:lineRule="auto"/>
              <w:jc w:val="center"/>
              <w:rPr>
                <w:rFonts w:ascii="Times New Roman" w:hAnsi="Times New Roman"/>
                <w:color w:val="000000" w:themeColor="text1"/>
                <w:sz w:val="28"/>
                <w:szCs w:val="28"/>
                <w:lang w:val="uk-UA"/>
              </w:rPr>
            </w:pPr>
            <w:r w:rsidRPr="00AF6B8C">
              <w:rPr>
                <w:rFonts w:ascii="Times New Roman" w:hAnsi="Times New Roman"/>
                <w:color w:val="000000" w:themeColor="text1"/>
                <w:sz w:val="28"/>
                <w:szCs w:val="28"/>
                <w:lang w:val="uk-UA"/>
              </w:rPr>
              <w:t>2,50±0,9</w:t>
            </w:r>
          </w:p>
        </w:tc>
      </w:tr>
      <w:tr w:rsidR="007F136C" w:rsidRPr="00AF6B8C" w:rsidTr="003B67F9">
        <w:trPr>
          <w:jc w:val="center"/>
        </w:trPr>
        <w:tc>
          <w:tcPr>
            <w:tcW w:w="6771" w:type="dxa"/>
            <w:tcBorders>
              <w:top w:val="single" w:sz="4" w:space="0" w:color="auto"/>
              <w:left w:val="single" w:sz="4" w:space="0" w:color="auto"/>
              <w:bottom w:val="single" w:sz="4" w:space="0" w:color="auto"/>
              <w:right w:val="single" w:sz="4" w:space="0" w:color="auto"/>
            </w:tcBorders>
            <w:hideMark/>
          </w:tcPr>
          <w:p w:rsidR="007F136C" w:rsidRPr="00AF6B8C" w:rsidRDefault="007F136C" w:rsidP="00AF6B8C">
            <w:pPr>
              <w:widowControl w:val="0"/>
              <w:spacing w:line="276" w:lineRule="auto"/>
              <w:rPr>
                <w:rFonts w:ascii="Times New Roman" w:hAnsi="Times New Roman"/>
                <w:color w:val="000000" w:themeColor="text1"/>
                <w:sz w:val="28"/>
                <w:szCs w:val="28"/>
                <w:lang w:val="uk-UA"/>
              </w:rPr>
            </w:pPr>
            <w:r w:rsidRPr="00AF6B8C">
              <w:rPr>
                <w:rFonts w:ascii="Times New Roman" w:hAnsi="Times New Roman"/>
                <w:color w:val="000000" w:themeColor="text1"/>
                <w:sz w:val="28"/>
                <w:szCs w:val="28"/>
                <w:lang w:val="uk-UA"/>
              </w:rPr>
              <w:t>Звернення до лікаря загальної практики-сімейного лікаря з метою проведення вакцинації</w:t>
            </w:r>
          </w:p>
        </w:tc>
        <w:tc>
          <w:tcPr>
            <w:tcW w:w="1275" w:type="dxa"/>
            <w:tcBorders>
              <w:top w:val="single" w:sz="4" w:space="0" w:color="auto"/>
              <w:left w:val="single" w:sz="4" w:space="0" w:color="auto"/>
              <w:bottom w:val="single" w:sz="4" w:space="0" w:color="auto"/>
              <w:right w:val="single" w:sz="4" w:space="0" w:color="auto"/>
            </w:tcBorders>
            <w:hideMark/>
          </w:tcPr>
          <w:p w:rsidR="007F136C" w:rsidRPr="00AF6B8C" w:rsidRDefault="007F136C" w:rsidP="00AF6B8C">
            <w:pPr>
              <w:widowControl w:val="0"/>
              <w:spacing w:line="276" w:lineRule="auto"/>
              <w:jc w:val="center"/>
              <w:rPr>
                <w:rFonts w:ascii="Times New Roman" w:hAnsi="Times New Roman"/>
                <w:color w:val="000000" w:themeColor="text1"/>
                <w:sz w:val="28"/>
                <w:szCs w:val="28"/>
                <w:lang w:val="uk-UA"/>
              </w:rPr>
            </w:pPr>
            <w:r w:rsidRPr="00AF6B8C">
              <w:rPr>
                <w:rFonts w:ascii="Times New Roman" w:hAnsi="Times New Roman"/>
                <w:color w:val="000000" w:themeColor="text1"/>
                <w:sz w:val="28"/>
                <w:szCs w:val="28"/>
                <w:lang w:val="uk-UA"/>
              </w:rPr>
              <w:t>342</w:t>
            </w:r>
          </w:p>
        </w:tc>
        <w:tc>
          <w:tcPr>
            <w:tcW w:w="1525" w:type="dxa"/>
            <w:tcBorders>
              <w:top w:val="single" w:sz="4" w:space="0" w:color="auto"/>
              <w:left w:val="single" w:sz="4" w:space="0" w:color="auto"/>
              <w:bottom w:val="single" w:sz="4" w:space="0" w:color="auto"/>
              <w:right w:val="single" w:sz="4" w:space="0" w:color="auto"/>
            </w:tcBorders>
            <w:hideMark/>
          </w:tcPr>
          <w:p w:rsidR="007F136C" w:rsidRPr="00AF6B8C" w:rsidRDefault="007F136C" w:rsidP="00AF6B8C">
            <w:pPr>
              <w:widowControl w:val="0"/>
              <w:spacing w:line="276" w:lineRule="auto"/>
              <w:jc w:val="center"/>
              <w:rPr>
                <w:rFonts w:ascii="Times New Roman" w:hAnsi="Times New Roman"/>
                <w:color w:val="000000" w:themeColor="text1"/>
                <w:sz w:val="28"/>
                <w:szCs w:val="28"/>
                <w:lang w:val="uk-UA"/>
              </w:rPr>
            </w:pPr>
            <w:r w:rsidRPr="00AF6B8C">
              <w:rPr>
                <w:rFonts w:ascii="Times New Roman" w:hAnsi="Times New Roman"/>
                <w:color w:val="000000" w:themeColor="text1"/>
                <w:sz w:val="28"/>
                <w:szCs w:val="28"/>
                <w:lang w:val="uk-UA"/>
              </w:rPr>
              <w:t>85,50±1,8</w:t>
            </w:r>
          </w:p>
        </w:tc>
      </w:tr>
      <w:tr w:rsidR="007F136C" w:rsidRPr="00AF6B8C" w:rsidTr="003B67F9">
        <w:trPr>
          <w:jc w:val="center"/>
        </w:trPr>
        <w:tc>
          <w:tcPr>
            <w:tcW w:w="6771" w:type="dxa"/>
            <w:tcBorders>
              <w:top w:val="single" w:sz="4" w:space="0" w:color="auto"/>
              <w:left w:val="single" w:sz="4" w:space="0" w:color="auto"/>
              <w:bottom w:val="single" w:sz="4" w:space="0" w:color="auto"/>
              <w:right w:val="single" w:sz="4" w:space="0" w:color="auto"/>
            </w:tcBorders>
            <w:hideMark/>
          </w:tcPr>
          <w:p w:rsidR="007F136C" w:rsidRPr="00AF6B8C" w:rsidRDefault="007F136C" w:rsidP="00AF6B8C">
            <w:pPr>
              <w:widowControl w:val="0"/>
              <w:spacing w:line="276" w:lineRule="auto"/>
              <w:rPr>
                <w:rFonts w:ascii="Times New Roman" w:hAnsi="Times New Roman"/>
                <w:color w:val="000000" w:themeColor="text1"/>
                <w:sz w:val="28"/>
                <w:szCs w:val="28"/>
                <w:lang w:val="uk-UA"/>
              </w:rPr>
            </w:pPr>
            <w:r w:rsidRPr="00AF6B8C">
              <w:rPr>
                <w:rFonts w:ascii="Times New Roman" w:hAnsi="Times New Roman"/>
                <w:color w:val="000000" w:themeColor="text1"/>
                <w:sz w:val="28"/>
                <w:szCs w:val="28"/>
                <w:lang w:val="uk-UA"/>
              </w:rPr>
              <w:t>Звернення до лікаря загальної практики-сімейного лікаря при  появі ознак нездоров’я дитини</w:t>
            </w:r>
          </w:p>
        </w:tc>
        <w:tc>
          <w:tcPr>
            <w:tcW w:w="1275" w:type="dxa"/>
            <w:tcBorders>
              <w:top w:val="single" w:sz="4" w:space="0" w:color="auto"/>
              <w:left w:val="single" w:sz="4" w:space="0" w:color="auto"/>
              <w:bottom w:val="single" w:sz="4" w:space="0" w:color="auto"/>
              <w:right w:val="single" w:sz="4" w:space="0" w:color="auto"/>
            </w:tcBorders>
            <w:hideMark/>
          </w:tcPr>
          <w:p w:rsidR="007F136C" w:rsidRPr="00AF6B8C" w:rsidRDefault="007F136C" w:rsidP="00AF6B8C">
            <w:pPr>
              <w:widowControl w:val="0"/>
              <w:spacing w:line="276" w:lineRule="auto"/>
              <w:jc w:val="center"/>
              <w:rPr>
                <w:rFonts w:ascii="Times New Roman" w:hAnsi="Times New Roman"/>
                <w:color w:val="000000" w:themeColor="text1"/>
                <w:sz w:val="28"/>
                <w:szCs w:val="28"/>
                <w:lang w:val="uk-UA"/>
              </w:rPr>
            </w:pPr>
            <w:r w:rsidRPr="00AF6B8C">
              <w:rPr>
                <w:rFonts w:ascii="Times New Roman" w:hAnsi="Times New Roman"/>
                <w:color w:val="000000" w:themeColor="text1"/>
                <w:sz w:val="28"/>
                <w:szCs w:val="28"/>
                <w:lang w:val="uk-UA"/>
              </w:rPr>
              <w:t>185</w:t>
            </w:r>
          </w:p>
        </w:tc>
        <w:tc>
          <w:tcPr>
            <w:tcW w:w="1525" w:type="dxa"/>
            <w:tcBorders>
              <w:top w:val="single" w:sz="4" w:space="0" w:color="auto"/>
              <w:left w:val="single" w:sz="4" w:space="0" w:color="auto"/>
              <w:bottom w:val="single" w:sz="4" w:space="0" w:color="auto"/>
              <w:right w:val="single" w:sz="4" w:space="0" w:color="auto"/>
            </w:tcBorders>
            <w:hideMark/>
          </w:tcPr>
          <w:p w:rsidR="007F136C" w:rsidRPr="00AF6B8C" w:rsidRDefault="007F136C" w:rsidP="00AF6B8C">
            <w:pPr>
              <w:widowControl w:val="0"/>
              <w:spacing w:line="276" w:lineRule="auto"/>
              <w:jc w:val="center"/>
              <w:rPr>
                <w:rFonts w:ascii="Times New Roman" w:hAnsi="Times New Roman"/>
                <w:color w:val="000000" w:themeColor="text1"/>
                <w:sz w:val="28"/>
                <w:szCs w:val="28"/>
                <w:lang w:val="uk-UA"/>
              </w:rPr>
            </w:pPr>
            <w:r w:rsidRPr="00AF6B8C">
              <w:rPr>
                <w:rFonts w:ascii="Times New Roman" w:hAnsi="Times New Roman"/>
                <w:color w:val="000000" w:themeColor="text1"/>
                <w:sz w:val="28"/>
                <w:szCs w:val="28"/>
                <w:lang w:val="uk-UA"/>
              </w:rPr>
              <w:t>46,25±2,5</w:t>
            </w:r>
          </w:p>
        </w:tc>
      </w:tr>
      <w:tr w:rsidR="007F136C" w:rsidRPr="00AF6B8C" w:rsidTr="003B67F9">
        <w:trPr>
          <w:jc w:val="center"/>
        </w:trPr>
        <w:tc>
          <w:tcPr>
            <w:tcW w:w="6771" w:type="dxa"/>
            <w:tcBorders>
              <w:top w:val="single" w:sz="4" w:space="0" w:color="auto"/>
              <w:left w:val="single" w:sz="4" w:space="0" w:color="auto"/>
              <w:bottom w:val="single" w:sz="4" w:space="0" w:color="auto"/>
              <w:right w:val="single" w:sz="4" w:space="0" w:color="auto"/>
            </w:tcBorders>
            <w:hideMark/>
          </w:tcPr>
          <w:p w:rsidR="007F136C" w:rsidRPr="00AF6B8C" w:rsidRDefault="007F136C" w:rsidP="00AF6B8C">
            <w:pPr>
              <w:widowControl w:val="0"/>
              <w:spacing w:line="276" w:lineRule="auto"/>
              <w:rPr>
                <w:rFonts w:ascii="Times New Roman" w:hAnsi="Times New Roman"/>
                <w:color w:val="000000" w:themeColor="text1"/>
                <w:sz w:val="28"/>
                <w:szCs w:val="28"/>
                <w:lang w:val="uk-UA"/>
              </w:rPr>
            </w:pPr>
            <w:r w:rsidRPr="00AF6B8C">
              <w:rPr>
                <w:rFonts w:ascii="Times New Roman" w:hAnsi="Times New Roman"/>
                <w:color w:val="000000" w:themeColor="text1"/>
                <w:sz w:val="28"/>
                <w:szCs w:val="28"/>
                <w:lang w:val="uk-UA"/>
              </w:rPr>
              <w:t>Звернення до  лікаря-педіатра при появі  симптомів захворювання дитини</w:t>
            </w:r>
          </w:p>
        </w:tc>
        <w:tc>
          <w:tcPr>
            <w:tcW w:w="1275" w:type="dxa"/>
            <w:tcBorders>
              <w:top w:val="single" w:sz="4" w:space="0" w:color="auto"/>
              <w:left w:val="single" w:sz="4" w:space="0" w:color="auto"/>
              <w:bottom w:val="single" w:sz="4" w:space="0" w:color="auto"/>
              <w:right w:val="single" w:sz="4" w:space="0" w:color="auto"/>
            </w:tcBorders>
            <w:hideMark/>
          </w:tcPr>
          <w:p w:rsidR="007F136C" w:rsidRPr="00AF6B8C" w:rsidRDefault="007F136C" w:rsidP="00AF6B8C">
            <w:pPr>
              <w:widowControl w:val="0"/>
              <w:spacing w:line="276" w:lineRule="auto"/>
              <w:jc w:val="center"/>
              <w:rPr>
                <w:rFonts w:ascii="Times New Roman" w:hAnsi="Times New Roman"/>
                <w:color w:val="000000" w:themeColor="text1"/>
                <w:sz w:val="28"/>
                <w:szCs w:val="28"/>
                <w:lang w:val="uk-UA"/>
              </w:rPr>
            </w:pPr>
            <w:r w:rsidRPr="00AF6B8C">
              <w:rPr>
                <w:rFonts w:ascii="Times New Roman" w:hAnsi="Times New Roman"/>
                <w:color w:val="000000" w:themeColor="text1"/>
                <w:sz w:val="28"/>
                <w:szCs w:val="28"/>
                <w:lang w:val="uk-UA"/>
              </w:rPr>
              <w:t>112</w:t>
            </w:r>
          </w:p>
        </w:tc>
        <w:tc>
          <w:tcPr>
            <w:tcW w:w="1525" w:type="dxa"/>
            <w:tcBorders>
              <w:top w:val="single" w:sz="4" w:space="0" w:color="auto"/>
              <w:left w:val="single" w:sz="4" w:space="0" w:color="auto"/>
              <w:bottom w:val="single" w:sz="4" w:space="0" w:color="auto"/>
              <w:right w:val="single" w:sz="4" w:space="0" w:color="auto"/>
            </w:tcBorders>
            <w:hideMark/>
          </w:tcPr>
          <w:p w:rsidR="007F136C" w:rsidRPr="00AF6B8C" w:rsidRDefault="007F136C" w:rsidP="00AF6B8C">
            <w:pPr>
              <w:widowControl w:val="0"/>
              <w:spacing w:line="276" w:lineRule="auto"/>
              <w:jc w:val="center"/>
              <w:rPr>
                <w:rFonts w:ascii="Times New Roman" w:hAnsi="Times New Roman"/>
                <w:color w:val="000000" w:themeColor="text1"/>
                <w:sz w:val="28"/>
                <w:szCs w:val="28"/>
                <w:lang w:val="uk-UA"/>
              </w:rPr>
            </w:pPr>
            <w:r w:rsidRPr="00AF6B8C">
              <w:rPr>
                <w:rFonts w:ascii="Times New Roman" w:hAnsi="Times New Roman"/>
                <w:color w:val="000000" w:themeColor="text1"/>
                <w:sz w:val="28"/>
                <w:szCs w:val="28"/>
                <w:lang w:val="uk-UA"/>
              </w:rPr>
              <w:t>28,00±2,2</w:t>
            </w:r>
          </w:p>
        </w:tc>
      </w:tr>
      <w:tr w:rsidR="007F136C" w:rsidRPr="00AF6B8C" w:rsidTr="003B67F9">
        <w:trPr>
          <w:jc w:val="center"/>
        </w:trPr>
        <w:tc>
          <w:tcPr>
            <w:tcW w:w="6771" w:type="dxa"/>
            <w:tcBorders>
              <w:top w:val="single" w:sz="4" w:space="0" w:color="auto"/>
              <w:left w:val="single" w:sz="4" w:space="0" w:color="auto"/>
              <w:bottom w:val="single" w:sz="4" w:space="0" w:color="auto"/>
              <w:right w:val="single" w:sz="4" w:space="0" w:color="auto"/>
            </w:tcBorders>
            <w:hideMark/>
          </w:tcPr>
          <w:p w:rsidR="007F136C" w:rsidRPr="00AF6B8C" w:rsidRDefault="007F136C" w:rsidP="00AF6B8C">
            <w:pPr>
              <w:widowControl w:val="0"/>
              <w:spacing w:line="276" w:lineRule="auto"/>
              <w:rPr>
                <w:rFonts w:ascii="Times New Roman" w:hAnsi="Times New Roman"/>
                <w:color w:val="000000" w:themeColor="text1"/>
                <w:sz w:val="28"/>
                <w:szCs w:val="28"/>
                <w:lang w:val="uk-UA"/>
              </w:rPr>
            </w:pPr>
            <w:r w:rsidRPr="00AF6B8C">
              <w:rPr>
                <w:rFonts w:ascii="Times New Roman" w:hAnsi="Times New Roman"/>
                <w:color w:val="000000" w:themeColor="text1"/>
                <w:sz w:val="28"/>
                <w:szCs w:val="28"/>
                <w:lang w:val="uk-UA"/>
              </w:rPr>
              <w:t>Звернення до  послуг служби екстреної медичної допомоги при гострому погіршенні стану здоров’я дитини</w:t>
            </w:r>
          </w:p>
        </w:tc>
        <w:tc>
          <w:tcPr>
            <w:tcW w:w="1275" w:type="dxa"/>
            <w:tcBorders>
              <w:top w:val="single" w:sz="4" w:space="0" w:color="auto"/>
              <w:left w:val="single" w:sz="4" w:space="0" w:color="auto"/>
              <w:bottom w:val="single" w:sz="4" w:space="0" w:color="auto"/>
              <w:right w:val="single" w:sz="4" w:space="0" w:color="auto"/>
            </w:tcBorders>
            <w:hideMark/>
          </w:tcPr>
          <w:p w:rsidR="007F136C" w:rsidRPr="00AF6B8C" w:rsidRDefault="007F136C" w:rsidP="00AF6B8C">
            <w:pPr>
              <w:widowControl w:val="0"/>
              <w:spacing w:line="276" w:lineRule="auto"/>
              <w:jc w:val="center"/>
              <w:rPr>
                <w:rFonts w:ascii="Times New Roman" w:hAnsi="Times New Roman"/>
                <w:color w:val="000000" w:themeColor="text1"/>
                <w:sz w:val="28"/>
                <w:szCs w:val="28"/>
                <w:lang w:val="uk-UA"/>
              </w:rPr>
            </w:pPr>
            <w:r w:rsidRPr="00AF6B8C">
              <w:rPr>
                <w:rFonts w:ascii="Times New Roman" w:hAnsi="Times New Roman"/>
                <w:color w:val="000000" w:themeColor="text1"/>
                <w:sz w:val="28"/>
                <w:szCs w:val="28"/>
                <w:lang w:val="uk-UA"/>
              </w:rPr>
              <w:t>67</w:t>
            </w:r>
          </w:p>
        </w:tc>
        <w:tc>
          <w:tcPr>
            <w:tcW w:w="1525" w:type="dxa"/>
            <w:tcBorders>
              <w:top w:val="single" w:sz="4" w:space="0" w:color="auto"/>
              <w:left w:val="single" w:sz="4" w:space="0" w:color="auto"/>
              <w:bottom w:val="single" w:sz="4" w:space="0" w:color="auto"/>
              <w:right w:val="single" w:sz="4" w:space="0" w:color="auto"/>
            </w:tcBorders>
            <w:hideMark/>
          </w:tcPr>
          <w:p w:rsidR="007F136C" w:rsidRPr="00AF6B8C" w:rsidRDefault="007F136C" w:rsidP="00AF6B8C">
            <w:pPr>
              <w:widowControl w:val="0"/>
              <w:spacing w:line="276" w:lineRule="auto"/>
              <w:jc w:val="center"/>
              <w:rPr>
                <w:rFonts w:ascii="Times New Roman" w:hAnsi="Times New Roman"/>
                <w:color w:val="000000" w:themeColor="text1"/>
                <w:sz w:val="28"/>
                <w:szCs w:val="28"/>
                <w:lang w:val="uk-UA"/>
              </w:rPr>
            </w:pPr>
            <w:r w:rsidRPr="00AF6B8C">
              <w:rPr>
                <w:rFonts w:ascii="Times New Roman" w:hAnsi="Times New Roman"/>
                <w:color w:val="000000" w:themeColor="text1"/>
                <w:sz w:val="28"/>
                <w:szCs w:val="28"/>
                <w:lang w:val="uk-UA"/>
              </w:rPr>
              <w:t>16,75±1,9</w:t>
            </w:r>
          </w:p>
        </w:tc>
      </w:tr>
      <w:tr w:rsidR="007F136C" w:rsidRPr="00AF6B8C" w:rsidTr="003B67F9">
        <w:trPr>
          <w:jc w:val="center"/>
        </w:trPr>
        <w:tc>
          <w:tcPr>
            <w:tcW w:w="6771" w:type="dxa"/>
            <w:tcBorders>
              <w:top w:val="single" w:sz="4" w:space="0" w:color="auto"/>
              <w:left w:val="single" w:sz="4" w:space="0" w:color="auto"/>
              <w:bottom w:val="single" w:sz="4" w:space="0" w:color="auto"/>
              <w:right w:val="single" w:sz="4" w:space="0" w:color="auto"/>
            </w:tcBorders>
            <w:hideMark/>
          </w:tcPr>
          <w:p w:rsidR="007F136C" w:rsidRPr="00AF6B8C" w:rsidRDefault="007F136C" w:rsidP="00AF6B8C">
            <w:pPr>
              <w:widowControl w:val="0"/>
              <w:spacing w:line="276" w:lineRule="auto"/>
              <w:rPr>
                <w:rFonts w:ascii="Times New Roman" w:hAnsi="Times New Roman"/>
                <w:color w:val="000000" w:themeColor="text1"/>
                <w:sz w:val="28"/>
                <w:szCs w:val="28"/>
                <w:lang w:val="uk-UA"/>
              </w:rPr>
            </w:pPr>
            <w:r w:rsidRPr="00AF6B8C">
              <w:rPr>
                <w:rFonts w:ascii="Times New Roman" w:hAnsi="Times New Roman"/>
                <w:color w:val="000000" w:themeColor="text1"/>
                <w:sz w:val="28"/>
                <w:szCs w:val="28"/>
                <w:lang w:val="uk-UA"/>
              </w:rPr>
              <w:t>Стаціонарне лікування за направленням сімейного лікаря чи лікаря педіатра</w:t>
            </w:r>
          </w:p>
        </w:tc>
        <w:tc>
          <w:tcPr>
            <w:tcW w:w="1275" w:type="dxa"/>
            <w:tcBorders>
              <w:top w:val="single" w:sz="4" w:space="0" w:color="auto"/>
              <w:left w:val="single" w:sz="4" w:space="0" w:color="auto"/>
              <w:bottom w:val="single" w:sz="4" w:space="0" w:color="auto"/>
              <w:right w:val="single" w:sz="4" w:space="0" w:color="auto"/>
            </w:tcBorders>
            <w:hideMark/>
          </w:tcPr>
          <w:p w:rsidR="007F136C" w:rsidRPr="00AF6B8C" w:rsidRDefault="007F136C" w:rsidP="00AF6B8C">
            <w:pPr>
              <w:widowControl w:val="0"/>
              <w:spacing w:line="276" w:lineRule="auto"/>
              <w:jc w:val="center"/>
              <w:rPr>
                <w:rFonts w:ascii="Times New Roman" w:hAnsi="Times New Roman"/>
                <w:color w:val="000000" w:themeColor="text1"/>
                <w:sz w:val="28"/>
                <w:szCs w:val="28"/>
                <w:lang w:val="uk-UA"/>
              </w:rPr>
            </w:pPr>
            <w:r w:rsidRPr="00AF6B8C">
              <w:rPr>
                <w:rFonts w:ascii="Times New Roman" w:hAnsi="Times New Roman"/>
                <w:color w:val="000000" w:themeColor="text1"/>
                <w:sz w:val="28"/>
                <w:szCs w:val="28"/>
                <w:lang w:val="uk-UA"/>
              </w:rPr>
              <w:t>72</w:t>
            </w:r>
          </w:p>
        </w:tc>
        <w:tc>
          <w:tcPr>
            <w:tcW w:w="1525" w:type="dxa"/>
            <w:tcBorders>
              <w:top w:val="single" w:sz="4" w:space="0" w:color="auto"/>
              <w:left w:val="single" w:sz="4" w:space="0" w:color="auto"/>
              <w:bottom w:val="single" w:sz="4" w:space="0" w:color="auto"/>
              <w:right w:val="single" w:sz="4" w:space="0" w:color="auto"/>
            </w:tcBorders>
            <w:hideMark/>
          </w:tcPr>
          <w:p w:rsidR="007F136C" w:rsidRPr="00AF6B8C" w:rsidRDefault="007F136C" w:rsidP="00AF6B8C">
            <w:pPr>
              <w:widowControl w:val="0"/>
              <w:spacing w:line="276" w:lineRule="auto"/>
              <w:jc w:val="center"/>
              <w:rPr>
                <w:rFonts w:ascii="Times New Roman" w:hAnsi="Times New Roman"/>
                <w:color w:val="000000" w:themeColor="text1"/>
                <w:sz w:val="28"/>
                <w:szCs w:val="28"/>
                <w:lang w:val="uk-UA"/>
              </w:rPr>
            </w:pPr>
            <w:r w:rsidRPr="00AF6B8C">
              <w:rPr>
                <w:rFonts w:ascii="Times New Roman" w:hAnsi="Times New Roman"/>
                <w:color w:val="000000" w:themeColor="text1"/>
                <w:sz w:val="28"/>
                <w:szCs w:val="28"/>
                <w:lang w:val="uk-UA"/>
              </w:rPr>
              <w:t>18,00±1,9</w:t>
            </w:r>
          </w:p>
        </w:tc>
      </w:tr>
      <w:tr w:rsidR="007F136C" w:rsidRPr="00AF6B8C" w:rsidTr="003B67F9">
        <w:trPr>
          <w:jc w:val="center"/>
        </w:trPr>
        <w:tc>
          <w:tcPr>
            <w:tcW w:w="6771" w:type="dxa"/>
            <w:tcBorders>
              <w:top w:val="single" w:sz="4" w:space="0" w:color="auto"/>
              <w:left w:val="single" w:sz="4" w:space="0" w:color="auto"/>
              <w:bottom w:val="single" w:sz="4" w:space="0" w:color="auto"/>
              <w:right w:val="single" w:sz="4" w:space="0" w:color="auto"/>
            </w:tcBorders>
            <w:hideMark/>
          </w:tcPr>
          <w:p w:rsidR="007F136C" w:rsidRPr="00AF6B8C" w:rsidRDefault="007F136C" w:rsidP="00AF6B8C">
            <w:pPr>
              <w:widowControl w:val="0"/>
              <w:spacing w:line="276" w:lineRule="auto"/>
              <w:rPr>
                <w:rFonts w:ascii="Times New Roman" w:hAnsi="Times New Roman"/>
                <w:color w:val="000000" w:themeColor="text1"/>
                <w:sz w:val="28"/>
                <w:szCs w:val="28"/>
                <w:lang w:val="uk-UA"/>
              </w:rPr>
            </w:pPr>
            <w:r w:rsidRPr="00AF6B8C">
              <w:rPr>
                <w:rFonts w:ascii="Times New Roman" w:hAnsi="Times New Roman"/>
                <w:color w:val="000000" w:themeColor="text1"/>
                <w:sz w:val="28"/>
                <w:szCs w:val="28"/>
                <w:lang w:val="uk-UA"/>
              </w:rPr>
              <w:t>Стаціонарне лікування за направленням служби екстреної медичної допомоги</w:t>
            </w:r>
          </w:p>
        </w:tc>
        <w:tc>
          <w:tcPr>
            <w:tcW w:w="1275" w:type="dxa"/>
            <w:tcBorders>
              <w:top w:val="single" w:sz="4" w:space="0" w:color="auto"/>
              <w:left w:val="single" w:sz="4" w:space="0" w:color="auto"/>
              <w:bottom w:val="single" w:sz="4" w:space="0" w:color="auto"/>
              <w:right w:val="single" w:sz="4" w:space="0" w:color="auto"/>
            </w:tcBorders>
            <w:hideMark/>
          </w:tcPr>
          <w:p w:rsidR="007F136C" w:rsidRPr="00AF6B8C" w:rsidRDefault="007F136C" w:rsidP="00AF6B8C">
            <w:pPr>
              <w:widowControl w:val="0"/>
              <w:spacing w:line="276" w:lineRule="auto"/>
              <w:jc w:val="center"/>
              <w:rPr>
                <w:rFonts w:ascii="Times New Roman" w:hAnsi="Times New Roman"/>
                <w:color w:val="000000" w:themeColor="text1"/>
                <w:sz w:val="28"/>
                <w:szCs w:val="28"/>
                <w:lang w:val="uk-UA"/>
              </w:rPr>
            </w:pPr>
            <w:r w:rsidRPr="00AF6B8C">
              <w:rPr>
                <w:rFonts w:ascii="Times New Roman" w:hAnsi="Times New Roman"/>
                <w:color w:val="000000" w:themeColor="text1"/>
                <w:sz w:val="28"/>
                <w:szCs w:val="28"/>
                <w:lang w:val="uk-UA"/>
              </w:rPr>
              <w:t>43</w:t>
            </w:r>
          </w:p>
        </w:tc>
        <w:tc>
          <w:tcPr>
            <w:tcW w:w="1525" w:type="dxa"/>
            <w:tcBorders>
              <w:top w:val="single" w:sz="4" w:space="0" w:color="auto"/>
              <w:left w:val="single" w:sz="4" w:space="0" w:color="auto"/>
              <w:bottom w:val="single" w:sz="4" w:space="0" w:color="auto"/>
              <w:right w:val="single" w:sz="4" w:space="0" w:color="auto"/>
            </w:tcBorders>
            <w:hideMark/>
          </w:tcPr>
          <w:p w:rsidR="007F136C" w:rsidRPr="00AF6B8C" w:rsidRDefault="007F136C" w:rsidP="00AF6B8C">
            <w:pPr>
              <w:widowControl w:val="0"/>
              <w:spacing w:line="276" w:lineRule="auto"/>
              <w:jc w:val="center"/>
              <w:rPr>
                <w:rFonts w:ascii="Times New Roman" w:hAnsi="Times New Roman"/>
                <w:color w:val="000000" w:themeColor="text1"/>
                <w:sz w:val="28"/>
                <w:szCs w:val="28"/>
                <w:lang w:val="uk-UA"/>
              </w:rPr>
            </w:pPr>
            <w:r w:rsidRPr="00AF6B8C">
              <w:rPr>
                <w:rFonts w:ascii="Times New Roman" w:hAnsi="Times New Roman"/>
                <w:color w:val="000000" w:themeColor="text1"/>
                <w:sz w:val="28"/>
                <w:szCs w:val="28"/>
                <w:lang w:val="uk-UA"/>
              </w:rPr>
              <w:t>10,75±1,5</w:t>
            </w:r>
          </w:p>
        </w:tc>
      </w:tr>
      <w:tr w:rsidR="007F136C" w:rsidRPr="00AF6B8C" w:rsidTr="003B67F9">
        <w:trPr>
          <w:jc w:val="center"/>
        </w:trPr>
        <w:tc>
          <w:tcPr>
            <w:tcW w:w="6771" w:type="dxa"/>
            <w:tcBorders>
              <w:top w:val="single" w:sz="4" w:space="0" w:color="auto"/>
              <w:left w:val="single" w:sz="4" w:space="0" w:color="auto"/>
              <w:bottom w:val="single" w:sz="4" w:space="0" w:color="auto"/>
              <w:right w:val="single" w:sz="4" w:space="0" w:color="auto"/>
            </w:tcBorders>
            <w:hideMark/>
          </w:tcPr>
          <w:p w:rsidR="007F136C" w:rsidRPr="00AF6B8C" w:rsidRDefault="007F136C" w:rsidP="00AF6B8C">
            <w:pPr>
              <w:widowControl w:val="0"/>
              <w:spacing w:line="276" w:lineRule="auto"/>
              <w:rPr>
                <w:rFonts w:ascii="Times New Roman" w:hAnsi="Times New Roman"/>
                <w:color w:val="000000" w:themeColor="text1"/>
                <w:sz w:val="28"/>
                <w:szCs w:val="28"/>
                <w:lang w:val="uk-UA"/>
              </w:rPr>
            </w:pPr>
            <w:r w:rsidRPr="00AF6B8C">
              <w:rPr>
                <w:rFonts w:ascii="Times New Roman" w:hAnsi="Times New Roman"/>
                <w:color w:val="000000" w:themeColor="text1"/>
                <w:sz w:val="28"/>
                <w:szCs w:val="28"/>
                <w:lang w:val="uk-UA"/>
              </w:rPr>
              <w:t>До закладів охорони здоров’я не зверталися</w:t>
            </w:r>
          </w:p>
        </w:tc>
        <w:tc>
          <w:tcPr>
            <w:tcW w:w="1275" w:type="dxa"/>
            <w:tcBorders>
              <w:top w:val="single" w:sz="4" w:space="0" w:color="auto"/>
              <w:left w:val="single" w:sz="4" w:space="0" w:color="auto"/>
              <w:bottom w:val="single" w:sz="4" w:space="0" w:color="auto"/>
              <w:right w:val="single" w:sz="4" w:space="0" w:color="auto"/>
            </w:tcBorders>
            <w:hideMark/>
          </w:tcPr>
          <w:p w:rsidR="007F136C" w:rsidRPr="00AF6B8C" w:rsidRDefault="007F136C" w:rsidP="00AF6B8C">
            <w:pPr>
              <w:widowControl w:val="0"/>
              <w:spacing w:line="276" w:lineRule="auto"/>
              <w:jc w:val="center"/>
              <w:rPr>
                <w:rFonts w:ascii="Times New Roman" w:hAnsi="Times New Roman"/>
                <w:color w:val="000000" w:themeColor="text1"/>
                <w:sz w:val="28"/>
                <w:szCs w:val="28"/>
                <w:lang w:val="uk-UA"/>
              </w:rPr>
            </w:pPr>
            <w:r w:rsidRPr="00AF6B8C">
              <w:rPr>
                <w:rFonts w:ascii="Times New Roman" w:hAnsi="Times New Roman"/>
                <w:color w:val="000000" w:themeColor="text1"/>
                <w:sz w:val="28"/>
                <w:szCs w:val="28"/>
                <w:lang w:val="uk-UA"/>
              </w:rPr>
              <w:t>21</w:t>
            </w:r>
          </w:p>
        </w:tc>
        <w:tc>
          <w:tcPr>
            <w:tcW w:w="1525" w:type="dxa"/>
            <w:tcBorders>
              <w:top w:val="single" w:sz="4" w:space="0" w:color="auto"/>
              <w:left w:val="single" w:sz="4" w:space="0" w:color="auto"/>
              <w:bottom w:val="single" w:sz="4" w:space="0" w:color="auto"/>
              <w:right w:val="single" w:sz="4" w:space="0" w:color="auto"/>
            </w:tcBorders>
            <w:hideMark/>
          </w:tcPr>
          <w:p w:rsidR="007F136C" w:rsidRPr="00AF6B8C" w:rsidRDefault="007F136C" w:rsidP="00AF6B8C">
            <w:pPr>
              <w:widowControl w:val="0"/>
              <w:spacing w:line="276" w:lineRule="auto"/>
              <w:jc w:val="center"/>
              <w:rPr>
                <w:rFonts w:ascii="Times New Roman" w:hAnsi="Times New Roman"/>
                <w:color w:val="000000" w:themeColor="text1"/>
                <w:sz w:val="28"/>
                <w:szCs w:val="28"/>
                <w:lang w:val="uk-UA"/>
              </w:rPr>
            </w:pPr>
            <w:r w:rsidRPr="00AF6B8C">
              <w:rPr>
                <w:rFonts w:ascii="Times New Roman" w:hAnsi="Times New Roman"/>
                <w:color w:val="000000" w:themeColor="text1"/>
                <w:sz w:val="28"/>
                <w:szCs w:val="28"/>
                <w:lang w:val="uk-UA"/>
              </w:rPr>
              <w:t>5,25±1,1</w:t>
            </w:r>
          </w:p>
        </w:tc>
      </w:tr>
    </w:tbl>
    <w:p w:rsidR="007F136C" w:rsidRPr="00006A39" w:rsidRDefault="007F136C" w:rsidP="00721203">
      <w:pPr>
        <w:widowControl w:val="0"/>
        <w:rPr>
          <w:rFonts w:eastAsia="Calibri"/>
          <w:szCs w:val="28"/>
        </w:rPr>
      </w:pPr>
      <w:r w:rsidRPr="00006A39">
        <w:rPr>
          <w:rFonts w:eastAsia="Calibri"/>
          <w:szCs w:val="28"/>
        </w:rPr>
        <w:tab/>
      </w:r>
      <w:r w:rsidRPr="00006A39">
        <w:rPr>
          <w:rFonts w:eastAsia="Calibri"/>
          <w:szCs w:val="28"/>
        </w:rPr>
        <w:tab/>
      </w:r>
    </w:p>
    <w:p w:rsidR="007F136C" w:rsidRPr="00006A39" w:rsidRDefault="007F136C" w:rsidP="00721203">
      <w:pPr>
        <w:widowControl w:val="0"/>
        <w:ind w:firstLine="708"/>
        <w:rPr>
          <w:rFonts w:eastAsia="Calibri"/>
          <w:szCs w:val="28"/>
        </w:rPr>
      </w:pPr>
      <w:r w:rsidRPr="00006A39">
        <w:rPr>
          <w:rFonts w:eastAsia="Calibri"/>
          <w:szCs w:val="28"/>
        </w:rPr>
        <w:t xml:space="preserve">За допомогою опитування було вивчено рівень інформованості батьків щодо здоров’яформуючих технологій на рівні сім’ї та загрозливих для життя дітей станів і тактиці дій при них, результати якого вказують на достатньо високий рівень інформованості батьків відносно здоров’яформуючих технологій, а саме стосовно важливості режиму дня дитини обізнано 94,75±1,1% батьків, харчування (99,0±0,5%), фізичного розвитку (85,25±1,8%) та таких загрозливих для дітей станів і тактики дій як висока температура тіла (95,5±1,0%), гострий біль у животі (77,25±2,1%), блювота (65,5±2,4%). Рівень інформованості респондентів щодо інших загрозливих для життя дітей станів і тактиці дій є значно нижчим, а при окремих </w:t>
      </w:r>
      <w:r w:rsidRPr="00006A39">
        <w:rPr>
          <w:rFonts w:eastAsia="Calibri"/>
          <w:szCs w:val="28"/>
        </w:rPr>
        <w:lastRenderedPageBreak/>
        <w:t>станах недостатнім:</w:t>
      </w:r>
      <w:r w:rsidRPr="00006A39">
        <w:rPr>
          <w:szCs w:val="28"/>
        </w:rPr>
        <w:t xml:space="preserve"> поінформованість батьків </w:t>
      </w:r>
      <w:r w:rsidRPr="00006A39">
        <w:rPr>
          <w:rFonts w:eastAsia="Calibri"/>
          <w:szCs w:val="28"/>
        </w:rPr>
        <w:t>тактиці дій при опіку (39,5±2,4%),</w:t>
      </w:r>
      <w:r w:rsidRPr="00006A39">
        <w:rPr>
          <w:szCs w:val="28"/>
        </w:rPr>
        <w:t xml:space="preserve"> </w:t>
      </w:r>
      <w:r w:rsidRPr="00006A39">
        <w:rPr>
          <w:rFonts w:eastAsia="Calibri"/>
          <w:szCs w:val="28"/>
        </w:rPr>
        <w:t xml:space="preserve">при падінні з висоти (31,0±2,3%), </w:t>
      </w:r>
      <w:r w:rsidRPr="00006A39">
        <w:t xml:space="preserve"> </w:t>
      </w:r>
      <w:r w:rsidRPr="00006A39">
        <w:rPr>
          <w:rFonts w:eastAsia="Calibri"/>
          <w:szCs w:val="28"/>
        </w:rPr>
        <w:t>при судомах (24,0±2,1%), при враженні електричним струмом і гострій асфіксії (18,0±1,9%), при травмі грудної клітини, при травмі живота, черепно-мозковій травмі (15,5±1,8%),</w:t>
      </w:r>
      <w:r w:rsidRPr="00006A39">
        <w:t xml:space="preserve"> </w:t>
      </w:r>
      <w:r w:rsidRPr="00006A39">
        <w:rPr>
          <w:rFonts w:eastAsia="Calibri"/>
          <w:szCs w:val="28"/>
        </w:rPr>
        <w:t>при вогнепальному пораненні (13,5±1,7</w:t>
      </w:r>
      <w:r w:rsidR="00C37383">
        <w:rPr>
          <w:rFonts w:eastAsia="Calibri"/>
          <w:szCs w:val="28"/>
        </w:rPr>
        <w:t>%) (табл.</w:t>
      </w:r>
      <w:r w:rsidRPr="00006A39">
        <w:rPr>
          <w:rFonts w:eastAsia="Calibri"/>
          <w:szCs w:val="28"/>
        </w:rPr>
        <w:t xml:space="preserve"> 6.3).</w:t>
      </w:r>
    </w:p>
    <w:p w:rsidR="007F136C" w:rsidRPr="00006A39" w:rsidRDefault="007F136C" w:rsidP="00721203">
      <w:pPr>
        <w:widowControl w:val="0"/>
        <w:jc w:val="right"/>
        <w:rPr>
          <w:rFonts w:eastAsia="Calibri"/>
          <w:i/>
          <w:szCs w:val="28"/>
        </w:rPr>
      </w:pPr>
      <w:r w:rsidRPr="00006A39">
        <w:rPr>
          <w:rFonts w:eastAsia="Calibri"/>
          <w:i/>
          <w:szCs w:val="28"/>
        </w:rPr>
        <w:t>Таблиця 6.3</w:t>
      </w:r>
    </w:p>
    <w:p w:rsidR="007F136C" w:rsidRDefault="007F136C" w:rsidP="00F34224">
      <w:pPr>
        <w:widowControl w:val="0"/>
        <w:jc w:val="center"/>
        <w:rPr>
          <w:rFonts w:eastAsia="Calibri"/>
          <w:b/>
          <w:color w:val="000000" w:themeColor="text1"/>
          <w:szCs w:val="28"/>
          <w:lang w:val="ru-RU"/>
        </w:rPr>
      </w:pPr>
      <w:r w:rsidRPr="00F34224">
        <w:rPr>
          <w:rFonts w:eastAsia="Calibri"/>
          <w:b/>
          <w:color w:val="000000" w:themeColor="text1"/>
          <w:szCs w:val="28"/>
        </w:rPr>
        <w:t>Інформованість батьків про здоров’яформуючі  технології на рівні сім’ї та загрозливі для життя дітей стани і тактику дій при них</w:t>
      </w:r>
    </w:p>
    <w:p w:rsidR="0035739B" w:rsidRPr="0035739B" w:rsidRDefault="0035739B" w:rsidP="00F34224">
      <w:pPr>
        <w:widowControl w:val="0"/>
        <w:jc w:val="center"/>
        <w:rPr>
          <w:rFonts w:eastAsia="Calibri"/>
          <w:b/>
          <w:color w:val="000000" w:themeColor="text1"/>
          <w:szCs w:val="28"/>
          <w:lang w:val="ru-RU"/>
        </w:rPr>
      </w:pPr>
    </w:p>
    <w:tbl>
      <w:tblPr>
        <w:tblStyle w:val="a6"/>
        <w:tblW w:w="0" w:type="auto"/>
        <w:jc w:val="center"/>
        <w:tblLook w:val="04A0" w:firstRow="1" w:lastRow="0" w:firstColumn="1" w:lastColumn="0" w:noHBand="0" w:noVBand="1"/>
      </w:tblPr>
      <w:tblGrid>
        <w:gridCol w:w="6771"/>
        <w:gridCol w:w="1275"/>
        <w:gridCol w:w="1525"/>
      </w:tblGrid>
      <w:tr w:rsidR="007F136C" w:rsidRPr="00AF6B8C" w:rsidTr="003B67F9">
        <w:trPr>
          <w:jc w:val="center"/>
        </w:trPr>
        <w:tc>
          <w:tcPr>
            <w:tcW w:w="6771" w:type="dxa"/>
            <w:tcBorders>
              <w:top w:val="single" w:sz="4" w:space="0" w:color="auto"/>
              <w:left w:val="single" w:sz="4" w:space="0" w:color="auto"/>
              <w:bottom w:val="single" w:sz="4" w:space="0" w:color="auto"/>
              <w:right w:val="single" w:sz="4" w:space="0" w:color="auto"/>
            </w:tcBorders>
            <w:hideMark/>
          </w:tcPr>
          <w:p w:rsidR="007F136C" w:rsidRPr="00AF6B8C" w:rsidRDefault="007F136C" w:rsidP="00AF6B8C">
            <w:pPr>
              <w:widowControl w:val="0"/>
              <w:spacing w:line="276" w:lineRule="auto"/>
              <w:jc w:val="center"/>
              <w:rPr>
                <w:rFonts w:ascii="Times New Roman" w:hAnsi="Times New Roman"/>
                <w:sz w:val="28"/>
                <w:szCs w:val="28"/>
                <w:lang w:val="uk-UA"/>
              </w:rPr>
            </w:pPr>
            <w:r w:rsidRPr="00AF6B8C">
              <w:rPr>
                <w:rFonts w:ascii="Times New Roman" w:hAnsi="Times New Roman"/>
                <w:sz w:val="28"/>
                <w:szCs w:val="28"/>
                <w:lang w:val="uk-UA"/>
              </w:rPr>
              <w:t>Показник</w:t>
            </w:r>
          </w:p>
        </w:tc>
        <w:tc>
          <w:tcPr>
            <w:tcW w:w="1275" w:type="dxa"/>
            <w:tcBorders>
              <w:top w:val="single" w:sz="4" w:space="0" w:color="auto"/>
              <w:left w:val="single" w:sz="4" w:space="0" w:color="auto"/>
              <w:bottom w:val="single" w:sz="4" w:space="0" w:color="auto"/>
              <w:right w:val="single" w:sz="4" w:space="0" w:color="auto"/>
            </w:tcBorders>
            <w:hideMark/>
          </w:tcPr>
          <w:p w:rsidR="007F136C" w:rsidRPr="00AF6B8C" w:rsidRDefault="007F136C" w:rsidP="00AF6B8C">
            <w:pPr>
              <w:widowControl w:val="0"/>
              <w:spacing w:line="276" w:lineRule="auto"/>
              <w:jc w:val="center"/>
              <w:rPr>
                <w:rFonts w:ascii="Times New Roman" w:hAnsi="Times New Roman"/>
                <w:sz w:val="28"/>
                <w:szCs w:val="28"/>
                <w:lang w:val="uk-UA"/>
              </w:rPr>
            </w:pPr>
            <w:r w:rsidRPr="00AF6B8C">
              <w:rPr>
                <w:rFonts w:ascii="Times New Roman" w:hAnsi="Times New Roman"/>
                <w:sz w:val="28"/>
                <w:szCs w:val="28"/>
                <w:lang w:val="uk-UA"/>
              </w:rPr>
              <w:t>Абс.</w:t>
            </w:r>
          </w:p>
        </w:tc>
        <w:tc>
          <w:tcPr>
            <w:tcW w:w="1525" w:type="dxa"/>
            <w:tcBorders>
              <w:top w:val="single" w:sz="4" w:space="0" w:color="auto"/>
              <w:left w:val="single" w:sz="4" w:space="0" w:color="auto"/>
              <w:bottom w:val="single" w:sz="4" w:space="0" w:color="auto"/>
              <w:right w:val="single" w:sz="4" w:space="0" w:color="auto"/>
            </w:tcBorders>
            <w:hideMark/>
          </w:tcPr>
          <w:p w:rsidR="007F136C" w:rsidRPr="00AF6B8C" w:rsidRDefault="007F136C" w:rsidP="00AF6B8C">
            <w:pPr>
              <w:widowControl w:val="0"/>
              <w:spacing w:line="276" w:lineRule="auto"/>
              <w:jc w:val="center"/>
              <w:rPr>
                <w:rFonts w:ascii="Times New Roman" w:hAnsi="Times New Roman"/>
                <w:sz w:val="28"/>
                <w:szCs w:val="28"/>
                <w:lang w:val="uk-UA"/>
              </w:rPr>
            </w:pPr>
            <w:r w:rsidRPr="00AF6B8C">
              <w:rPr>
                <w:rFonts w:ascii="Times New Roman" w:hAnsi="Times New Roman"/>
                <w:sz w:val="28"/>
                <w:szCs w:val="28"/>
                <w:lang w:val="uk-UA"/>
              </w:rPr>
              <w:t>Р ± m%</w:t>
            </w:r>
          </w:p>
        </w:tc>
      </w:tr>
      <w:tr w:rsidR="007F136C" w:rsidRPr="00AF6B8C" w:rsidTr="003B67F9">
        <w:trPr>
          <w:jc w:val="center"/>
        </w:trPr>
        <w:tc>
          <w:tcPr>
            <w:tcW w:w="6771" w:type="dxa"/>
            <w:tcBorders>
              <w:top w:val="single" w:sz="4" w:space="0" w:color="auto"/>
              <w:left w:val="single" w:sz="4" w:space="0" w:color="auto"/>
              <w:bottom w:val="single" w:sz="4" w:space="0" w:color="auto"/>
              <w:right w:val="single" w:sz="4" w:space="0" w:color="auto"/>
            </w:tcBorders>
            <w:hideMark/>
          </w:tcPr>
          <w:p w:rsidR="007F136C" w:rsidRPr="00AF6B8C" w:rsidRDefault="007F136C" w:rsidP="00AF6B8C">
            <w:pPr>
              <w:widowControl w:val="0"/>
              <w:spacing w:line="276" w:lineRule="auto"/>
              <w:rPr>
                <w:rFonts w:ascii="Times New Roman" w:hAnsi="Times New Roman"/>
                <w:sz w:val="28"/>
                <w:szCs w:val="28"/>
                <w:lang w:val="uk-UA"/>
              </w:rPr>
            </w:pPr>
            <w:r w:rsidRPr="00AF6B8C">
              <w:rPr>
                <w:rFonts w:ascii="Times New Roman" w:hAnsi="Times New Roman"/>
                <w:sz w:val="28"/>
                <w:szCs w:val="28"/>
                <w:lang w:val="uk-UA"/>
              </w:rPr>
              <w:t>Інформованість про необхідний дитині режим дня</w:t>
            </w:r>
          </w:p>
        </w:tc>
        <w:tc>
          <w:tcPr>
            <w:tcW w:w="1275" w:type="dxa"/>
            <w:tcBorders>
              <w:top w:val="single" w:sz="4" w:space="0" w:color="auto"/>
              <w:left w:val="single" w:sz="4" w:space="0" w:color="auto"/>
              <w:bottom w:val="single" w:sz="4" w:space="0" w:color="auto"/>
              <w:right w:val="single" w:sz="4" w:space="0" w:color="auto"/>
            </w:tcBorders>
            <w:hideMark/>
          </w:tcPr>
          <w:p w:rsidR="007F136C" w:rsidRPr="00AF6B8C" w:rsidRDefault="007F136C" w:rsidP="00AF6B8C">
            <w:pPr>
              <w:widowControl w:val="0"/>
              <w:spacing w:line="276" w:lineRule="auto"/>
              <w:jc w:val="center"/>
              <w:rPr>
                <w:rFonts w:ascii="Times New Roman" w:hAnsi="Times New Roman"/>
                <w:sz w:val="28"/>
                <w:szCs w:val="28"/>
                <w:lang w:val="uk-UA"/>
              </w:rPr>
            </w:pPr>
            <w:r w:rsidRPr="00AF6B8C">
              <w:rPr>
                <w:rFonts w:ascii="Times New Roman" w:hAnsi="Times New Roman"/>
                <w:sz w:val="28"/>
                <w:szCs w:val="28"/>
                <w:lang w:val="uk-UA"/>
              </w:rPr>
              <w:t>379</w:t>
            </w:r>
          </w:p>
        </w:tc>
        <w:tc>
          <w:tcPr>
            <w:tcW w:w="1525" w:type="dxa"/>
            <w:tcBorders>
              <w:top w:val="single" w:sz="4" w:space="0" w:color="auto"/>
              <w:left w:val="single" w:sz="4" w:space="0" w:color="auto"/>
              <w:bottom w:val="single" w:sz="4" w:space="0" w:color="auto"/>
              <w:right w:val="single" w:sz="4" w:space="0" w:color="auto"/>
            </w:tcBorders>
            <w:hideMark/>
          </w:tcPr>
          <w:p w:rsidR="007F136C" w:rsidRPr="00AF6B8C" w:rsidRDefault="007F136C" w:rsidP="00AF6B8C">
            <w:pPr>
              <w:widowControl w:val="0"/>
              <w:spacing w:line="276" w:lineRule="auto"/>
              <w:jc w:val="center"/>
              <w:rPr>
                <w:rFonts w:ascii="Times New Roman" w:hAnsi="Times New Roman"/>
                <w:sz w:val="28"/>
                <w:szCs w:val="28"/>
                <w:lang w:val="uk-UA"/>
              </w:rPr>
            </w:pPr>
            <w:r w:rsidRPr="00AF6B8C">
              <w:rPr>
                <w:rFonts w:ascii="Times New Roman" w:hAnsi="Times New Roman"/>
                <w:sz w:val="28"/>
                <w:szCs w:val="28"/>
                <w:lang w:val="uk-UA"/>
              </w:rPr>
              <w:t>94,75±1,1</w:t>
            </w:r>
          </w:p>
        </w:tc>
      </w:tr>
      <w:tr w:rsidR="007F136C" w:rsidRPr="00AF6B8C" w:rsidTr="003B67F9">
        <w:trPr>
          <w:jc w:val="center"/>
        </w:trPr>
        <w:tc>
          <w:tcPr>
            <w:tcW w:w="6771" w:type="dxa"/>
            <w:tcBorders>
              <w:top w:val="single" w:sz="4" w:space="0" w:color="auto"/>
              <w:left w:val="single" w:sz="4" w:space="0" w:color="auto"/>
              <w:bottom w:val="single" w:sz="4" w:space="0" w:color="auto"/>
              <w:right w:val="single" w:sz="4" w:space="0" w:color="auto"/>
            </w:tcBorders>
            <w:hideMark/>
          </w:tcPr>
          <w:p w:rsidR="007F136C" w:rsidRPr="00AF6B8C" w:rsidRDefault="007F136C" w:rsidP="00AF6B8C">
            <w:pPr>
              <w:widowControl w:val="0"/>
              <w:spacing w:line="276" w:lineRule="auto"/>
              <w:rPr>
                <w:rFonts w:ascii="Times New Roman" w:hAnsi="Times New Roman"/>
                <w:sz w:val="28"/>
                <w:szCs w:val="28"/>
                <w:lang w:val="uk-UA"/>
              </w:rPr>
            </w:pPr>
            <w:r w:rsidRPr="00AF6B8C">
              <w:rPr>
                <w:rFonts w:ascii="Times New Roman" w:hAnsi="Times New Roman"/>
                <w:sz w:val="28"/>
                <w:szCs w:val="28"/>
                <w:lang w:val="uk-UA"/>
              </w:rPr>
              <w:t>Інформ</w:t>
            </w:r>
            <w:r w:rsidR="001A1DBC">
              <w:rPr>
                <w:rFonts w:ascii="Times New Roman" w:hAnsi="Times New Roman"/>
                <w:sz w:val="28"/>
                <w:szCs w:val="28"/>
                <w:lang w:val="uk-UA"/>
              </w:rPr>
              <w:t xml:space="preserve">ованість про режим харчування </w:t>
            </w:r>
            <w:r w:rsidRPr="00AF6B8C">
              <w:rPr>
                <w:rFonts w:ascii="Times New Roman" w:hAnsi="Times New Roman"/>
                <w:sz w:val="28"/>
                <w:szCs w:val="28"/>
                <w:lang w:val="uk-UA"/>
              </w:rPr>
              <w:t>дитини</w:t>
            </w:r>
          </w:p>
        </w:tc>
        <w:tc>
          <w:tcPr>
            <w:tcW w:w="1275" w:type="dxa"/>
            <w:tcBorders>
              <w:top w:val="single" w:sz="4" w:space="0" w:color="auto"/>
              <w:left w:val="single" w:sz="4" w:space="0" w:color="auto"/>
              <w:bottom w:val="single" w:sz="4" w:space="0" w:color="auto"/>
              <w:right w:val="single" w:sz="4" w:space="0" w:color="auto"/>
            </w:tcBorders>
            <w:hideMark/>
          </w:tcPr>
          <w:p w:rsidR="007F136C" w:rsidRPr="00AF6B8C" w:rsidRDefault="007F136C" w:rsidP="00AF6B8C">
            <w:pPr>
              <w:widowControl w:val="0"/>
              <w:spacing w:line="276" w:lineRule="auto"/>
              <w:jc w:val="center"/>
              <w:rPr>
                <w:rFonts w:ascii="Times New Roman" w:hAnsi="Times New Roman"/>
                <w:sz w:val="28"/>
                <w:szCs w:val="28"/>
                <w:lang w:val="uk-UA"/>
              </w:rPr>
            </w:pPr>
            <w:r w:rsidRPr="00AF6B8C">
              <w:rPr>
                <w:rFonts w:ascii="Times New Roman" w:hAnsi="Times New Roman"/>
                <w:sz w:val="28"/>
                <w:szCs w:val="28"/>
                <w:lang w:val="uk-UA"/>
              </w:rPr>
              <w:t>396</w:t>
            </w:r>
          </w:p>
        </w:tc>
        <w:tc>
          <w:tcPr>
            <w:tcW w:w="1525" w:type="dxa"/>
            <w:tcBorders>
              <w:top w:val="single" w:sz="4" w:space="0" w:color="auto"/>
              <w:left w:val="single" w:sz="4" w:space="0" w:color="auto"/>
              <w:bottom w:val="single" w:sz="4" w:space="0" w:color="auto"/>
              <w:right w:val="single" w:sz="4" w:space="0" w:color="auto"/>
            </w:tcBorders>
            <w:hideMark/>
          </w:tcPr>
          <w:p w:rsidR="007F136C" w:rsidRPr="00AF6B8C" w:rsidRDefault="007F136C" w:rsidP="00AF6B8C">
            <w:pPr>
              <w:widowControl w:val="0"/>
              <w:spacing w:line="276" w:lineRule="auto"/>
              <w:jc w:val="center"/>
              <w:rPr>
                <w:rFonts w:ascii="Times New Roman" w:hAnsi="Times New Roman"/>
                <w:sz w:val="28"/>
                <w:szCs w:val="28"/>
                <w:lang w:val="uk-UA"/>
              </w:rPr>
            </w:pPr>
            <w:r w:rsidRPr="00AF6B8C">
              <w:rPr>
                <w:rFonts w:ascii="Times New Roman" w:hAnsi="Times New Roman"/>
                <w:sz w:val="28"/>
                <w:szCs w:val="28"/>
                <w:lang w:val="uk-UA"/>
              </w:rPr>
              <w:t>99,00±0,5</w:t>
            </w:r>
          </w:p>
        </w:tc>
      </w:tr>
      <w:tr w:rsidR="007F136C" w:rsidRPr="00AF6B8C" w:rsidTr="003B67F9">
        <w:trPr>
          <w:jc w:val="center"/>
        </w:trPr>
        <w:tc>
          <w:tcPr>
            <w:tcW w:w="6771" w:type="dxa"/>
            <w:tcBorders>
              <w:top w:val="single" w:sz="4" w:space="0" w:color="auto"/>
              <w:left w:val="single" w:sz="4" w:space="0" w:color="auto"/>
              <w:bottom w:val="single" w:sz="4" w:space="0" w:color="auto"/>
              <w:right w:val="single" w:sz="4" w:space="0" w:color="auto"/>
            </w:tcBorders>
            <w:hideMark/>
          </w:tcPr>
          <w:p w:rsidR="007F136C" w:rsidRPr="00AF6B8C" w:rsidRDefault="007F136C" w:rsidP="00AF6B8C">
            <w:pPr>
              <w:widowControl w:val="0"/>
              <w:spacing w:line="276" w:lineRule="auto"/>
              <w:rPr>
                <w:rFonts w:ascii="Times New Roman" w:hAnsi="Times New Roman"/>
                <w:sz w:val="28"/>
                <w:szCs w:val="28"/>
                <w:lang w:val="uk-UA"/>
              </w:rPr>
            </w:pPr>
            <w:r w:rsidRPr="00AF6B8C">
              <w:rPr>
                <w:rFonts w:ascii="Times New Roman" w:hAnsi="Times New Roman"/>
                <w:sz w:val="28"/>
                <w:szCs w:val="28"/>
                <w:lang w:val="uk-UA"/>
              </w:rPr>
              <w:t>Інформованість про фізичний розвиток дитини</w:t>
            </w:r>
          </w:p>
        </w:tc>
        <w:tc>
          <w:tcPr>
            <w:tcW w:w="1275" w:type="dxa"/>
            <w:tcBorders>
              <w:top w:val="single" w:sz="4" w:space="0" w:color="auto"/>
              <w:left w:val="single" w:sz="4" w:space="0" w:color="auto"/>
              <w:bottom w:val="single" w:sz="4" w:space="0" w:color="auto"/>
              <w:right w:val="single" w:sz="4" w:space="0" w:color="auto"/>
            </w:tcBorders>
            <w:hideMark/>
          </w:tcPr>
          <w:p w:rsidR="007F136C" w:rsidRPr="00AF6B8C" w:rsidRDefault="007F136C" w:rsidP="00AF6B8C">
            <w:pPr>
              <w:widowControl w:val="0"/>
              <w:spacing w:line="276" w:lineRule="auto"/>
              <w:jc w:val="center"/>
              <w:rPr>
                <w:rFonts w:ascii="Times New Roman" w:hAnsi="Times New Roman"/>
                <w:sz w:val="28"/>
                <w:szCs w:val="28"/>
                <w:lang w:val="uk-UA"/>
              </w:rPr>
            </w:pPr>
            <w:r w:rsidRPr="00AF6B8C">
              <w:rPr>
                <w:rFonts w:ascii="Times New Roman" w:hAnsi="Times New Roman"/>
                <w:sz w:val="28"/>
                <w:szCs w:val="28"/>
                <w:lang w:val="uk-UA"/>
              </w:rPr>
              <w:t>341</w:t>
            </w:r>
          </w:p>
        </w:tc>
        <w:tc>
          <w:tcPr>
            <w:tcW w:w="1525" w:type="dxa"/>
            <w:tcBorders>
              <w:top w:val="single" w:sz="4" w:space="0" w:color="auto"/>
              <w:left w:val="single" w:sz="4" w:space="0" w:color="auto"/>
              <w:bottom w:val="single" w:sz="4" w:space="0" w:color="auto"/>
              <w:right w:val="single" w:sz="4" w:space="0" w:color="auto"/>
            </w:tcBorders>
            <w:hideMark/>
          </w:tcPr>
          <w:p w:rsidR="007F136C" w:rsidRPr="00AF6B8C" w:rsidRDefault="007F136C" w:rsidP="00AF6B8C">
            <w:pPr>
              <w:widowControl w:val="0"/>
              <w:spacing w:line="276" w:lineRule="auto"/>
              <w:jc w:val="center"/>
              <w:rPr>
                <w:rFonts w:ascii="Times New Roman" w:hAnsi="Times New Roman"/>
                <w:sz w:val="28"/>
                <w:szCs w:val="28"/>
                <w:lang w:val="uk-UA"/>
              </w:rPr>
            </w:pPr>
            <w:r w:rsidRPr="00AF6B8C">
              <w:rPr>
                <w:rFonts w:ascii="Times New Roman" w:hAnsi="Times New Roman"/>
                <w:sz w:val="28"/>
                <w:szCs w:val="28"/>
                <w:lang w:val="uk-UA"/>
              </w:rPr>
              <w:t>85,25±1,8</w:t>
            </w:r>
          </w:p>
        </w:tc>
      </w:tr>
      <w:tr w:rsidR="007F136C" w:rsidRPr="00AF6B8C" w:rsidTr="003B67F9">
        <w:trPr>
          <w:jc w:val="center"/>
        </w:trPr>
        <w:tc>
          <w:tcPr>
            <w:tcW w:w="6771" w:type="dxa"/>
            <w:tcBorders>
              <w:top w:val="single" w:sz="4" w:space="0" w:color="auto"/>
              <w:left w:val="single" w:sz="4" w:space="0" w:color="auto"/>
              <w:bottom w:val="single" w:sz="4" w:space="0" w:color="auto"/>
              <w:right w:val="single" w:sz="4" w:space="0" w:color="auto"/>
            </w:tcBorders>
            <w:hideMark/>
          </w:tcPr>
          <w:p w:rsidR="007F136C" w:rsidRPr="00AF6B8C" w:rsidRDefault="007F136C" w:rsidP="00AF6B8C">
            <w:pPr>
              <w:widowControl w:val="0"/>
              <w:spacing w:line="276" w:lineRule="auto"/>
              <w:rPr>
                <w:rFonts w:ascii="Times New Roman" w:hAnsi="Times New Roman"/>
                <w:sz w:val="28"/>
                <w:szCs w:val="28"/>
                <w:lang w:val="uk-UA"/>
              </w:rPr>
            </w:pPr>
            <w:r w:rsidRPr="00AF6B8C">
              <w:rPr>
                <w:rFonts w:ascii="Times New Roman" w:hAnsi="Times New Roman"/>
                <w:sz w:val="28"/>
                <w:szCs w:val="28"/>
                <w:lang w:val="uk-UA"/>
              </w:rPr>
              <w:t>Інформованість про тактику дій при високій температурі тіла</w:t>
            </w:r>
          </w:p>
        </w:tc>
        <w:tc>
          <w:tcPr>
            <w:tcW w:w="1275" w:type="dxa"/>
            <w:tcBorders>
              <w:top w:val="single" w:sz="4" w:space="0" w:color="auto"/>
              <w:left w:val="single" w:sz="4" w:space="0" w:color="auto"/>
              <w:bottom w:val="single" w:sz="4" w:space="0" w:color="auto"/>
              <w:right w:val="single" w:sz="4" w:space="0" w:color="auto"/>
            </w:tcBorders>
            <w:hideMark/>
          </w:tcPr>
          <w:p w:rsidR="007F136C" w:rsidRPr="00AF6B8C" w:rsidRDefault="007F136C" w:rsidP="00AF6B8C">
            <w:pPr>
              <w:widowControl w:val="0"/>
              <w:spacing w:line="276" w:lineRule="auto"/>
              <w:jc w:val="center"/>
              <w:rPr>
                <w:rFonts w:ascii="Times New Roman" w:hAnsi="Times New Roman"/>
                <w:sz w:val="28"/>
                <w:szCs w:val="28"/>
                <w:lang w:val="uk-UA"/>
              </w:rPr>
            </w:pPr>
            <w:r w:rsidRPr="00AF6B8C">
              <w:rPr>
                <w:rFonts w:ascii="Times New Roman" w:hAnsi="Times New Roman"/>
                <w:sz w:val="28"/>
                <w:szCs w:val="28"/>
                <w:lang w:val="uk-UA"/>
              </w:rPr>
              <w:t>382</w:t>
            </w:r>
          </w:p>
        </w:tc>
        <w:tc>
          <w:tcPr>
            <w:tcW w:w="1525" w:type="dxa"/>
            <w:tcBorders>
              <w:top w:val="single" w:sz="4" w:space="0" w:color="auto"/>
              <w:left w:val="single" w:sz="4" w:space="0" w:color="auto"/>
              <w:bottom w:val="single" w:sz="4" w:space="0" w:color="auto"/>
              <w:right w:val="single" w:sz="4" w:space="0" w:color="auto"/>
            </w:tcBorders>
            <w:hideMark/>
          </w:tcPr>
          <w:p w:rsidR="007F136C" w:rsidRPr="00AF6B8C" w:rsidRDefault="007F136C" w:rsidP="00AF6B8C">
            <w:pPr>
              <w:widowControl w:val="0"/>
              <w:spacing w:line="276" w:lineRule="auto"/>
              <w:jc w:val="center"/>
              <w:rPr>
                <w:rFonts w:ascii="Times New Roman" w:hAnsi="Times New Roman"/>
                <w:sz w:val="28"/>
                <w:szCs w:val="28"/>
                <w:lang w:val="uk-UA"/>
              </w:rPr>
            </w:pPr>
            <w:r w:rsidRPr="00AF6B8C">
              <w:rPr>
                <w:rFonts w:ascii="Times New Roman" w:hAnsi="Times New Roman"/>
                <w:sz w:val="28"/>
                <w:szCs w:val="28"/>
                <w:lang w:val="uk-UA"/>
              </w:rPr>
              <w:t>95,50±1,0</w:t>
            </w:r>
          </w:p>
        </w:tc>
      </w:tr>
      <w:tr w:rsidR="007F136C" w:rsidRPr="00AF6B8C" w:rsidTr="003B67F9">
        <w:trPr>
          <w:jc w:val="center"/>
        </w:trPr>
        <w:tc>
          <w:tcPr>
            <w:tcW w:w="6771" w:type="dxa"/>
            <w:tcBorders>
              <w:top w:val="single" w:sz="4" w:space="0" w:color="auto"/>
              <w:left w:val="single" w:sz="4" w:space="0" w:color="auto"/>
              <w:bottom w:val="single" w:sz="4" w:space="0" w:color="auto"/>
              <w:right w:val="single" w:sz="4" w:space="0" w:color="auto"/>
            </w:tcBorders>
            <w:hideMark/>
          </w:tcPr>
          <w:p w:rsidR="007F136C" w:rsidRPr="00AF6B8C" w:rsidRDefault="007F136C" w:rsidP="00AF6B8C">
            <w:pPr>
              <w:widowControl w:val="0"/>
              <w:spacing w:line="276" w:lineRule="auto"/>
              <w:rPr>
                <w:rFonts w:ascii="Times New Roman" w:hAnsi="Times New Roman"/>
                <w:sz w:val="28"/>
                <w:szCs w:val="28"/>
                <w:lang w:val="uk-UA"/>
              </w:rPr>
            </w:pPr>
            <w:r w:rsidRPr="00AF6B8C">
              <w:rPr>
                <w:rFonts w:ascii="Times New Roman" w:hAnsi="Times New Roman"/>
                <w:sz w:val="28"/>
                <w:szCs w:val="28"/>
                <w:lang w:val="uk-UA"/>
              </w:rPr>
              <w:t>Інформованість про тактику дій при враженні електричним струмом</w:t>
            </w:r>
          </w:p>
        </w:tc>
        <w:tc>
          <w:tcPr>
            <w:tcW w:w="1275" w:type="dxa"/>
            <w:tcBorders>
              <w:top w:val="single" w:sz="4" w:space="0" w:color="auto"/>
              <w:left w:val="single" w:sz="4" w:space="0" w:color="auto"/>
              <w:bottom w:val="single" w:sz="4" w:space="0" w:color="auto"/>
              <w:right w:val="single" w:sz="4" w:space="0" w:color="auto"/>
            </w:tcBorders>
            <w:hideMark/>
          </w:tcPr>
          <w:p w:rsidR="007F136C" w:rsidRPr="00AF6B8C" w:rsidRDefault="007F136C" w:rsidP="00AF6B8C">
            <w:pPr>
              <w:widowControl w:val="0"/>
              <w:spacing w:line="276" w:lineRule="auto"/>
              <w:jc w:val="center"/>
              <w:rPr>
                <w:rFonts w:ascii="Times New Roman" w:hAnsi="Times New Roman"/>
                <w:sz w:val="28"/>
                <w:szCs w:val="28"/>
                <w:lang w:val="uk-UA"/>
              </w:rPr>
            </w:pPr>
            <w:r w:rsidRPr="00AF6B8C">
              <w:rPr>
                <w:rFonts w:ascii="Times New Roman" w:hAnsi="Times New Roman"/>
                <w:sz w:val="28"/>
                <w:szCs w:val="28"/>
                <w:lang w:val="uk-UA"/>
              </w:rPr>
              <w:t>72</w:t>
            </w:r>
          </w:p>
        </w:tc>
        <w:tc>
          <w:tcPr>
            <w:tcW w:w="1525" w:type="dxa"/>
            <w:tcBorders>
              <w:top w:val="single" w:sz="4" w:space="0" w:color="auto"/>
              <w:left w:val="single" w:sz="4" w:space="0" w:color="auto"/>
              <w:bottom w:val="single" w:sz="4" w:space="0" w:color="auto"/>
              <w:right w:val="single" w:sz="4" w:space="0" w:color="auto"/>
            </w:tcBorders>
            <w:hideMark/>
          </w:tcPr>
          <w:p w:rsidR="007F136C" w:rsidRPr="00AF6B8C" w:rsidRDefault="007F136C" w:rsidP="00AF6B8C">
            <w:pPr>
              <w:widowControl w:val="0"/>
              <w:spacing w:line="276" w:lineRule="auto"/>
              <w:jc w:val="center"/>
              <w:rPr>
                <w:rFonts w:ascii="Times New Roman" w:hAnsi="Times New Roman"/>
                <w:sz w:val="28"/>
                <w:szCs w:val="28"/>
                <w:lang w:val="uk-UA"/>
              </w:rPr>
            </w:pPr>
            <w:r w:rsidRPr="00AF6B8C">
              <w:rPr>
                <w:rFonts w:ascii="Times New Roman" w:hAnsi="Times New Roman"/>
                <w:sz w:val="28"/>
                <w:szCs w:val="28"/>
                <w:lang w:val="uk-UA"/>
              </w:rPr>
              <w:t>18,00±1,9</w:t>
            </w:r>
          </w:p>
        </w:tc>
      </w:tr>
      <w:tr w:rsidR="007F136C" w:rsidRPr="00AF6B8C" w:rsidTr="003B67F9">
        <w:trPr>
          <w:jc w:val="center"/>
        </w:trPr>
        <w:tc>
          <w:tcPr>
            <w:tcW w:w="6771" w:type="dxa"/>
            <w:tcBorders>
              <w:top w:val="single" w:sz="4" w:space="0" w:color="auto"/>
              <w:left w:val="single" w:sz="4" w:space="0" w:color="auto"/>
              <w:bottom w:val="single" w:sz="4" w:space="0" w:color="auto"/>
              <w:right w:val="single" w:sz="4" w:space="0" w:color="auto"/>
            </w:tcBorders>
            <w:hideMark/>
          </w:tcPr>
          <w:p w:rsidR="007F136C" w:rsidRPr="00AF6B8C" w:rsidRDefault="007F136C" w:rsidP="00AF6B8C">
            <w:pPr>
              <w:widowControl w:val="0"/>
              <w:spacing w:line="276" w:lineRule="auto"/>
              <w:rPr>
                <w:rFonts w:ascii="Times New Roman" w:hAnsi="Times New Roman"/>
                <w:sz w:val="28"/>
                <w:szCs w:val="28"/>
                <w:lang w:val="uk-UA"/>
              </w:rPr>
            </w:pPr>
            <w:r w:rsidRPr="00AF6B8C">
              <w:rPr>
                <w:rFonts w:ascii="Times New Roman" w:hAnsi="Times New Roman"/>
                <w:sz w:val="28"/>
                <w:szCs w:val="28"/>
                <w:lang w:val="uk-UA"/>
              </w:rPr>
              <w:t>Інформованість про тактику дій при гострому болі в животі</w:t>
            </w:r>
          </w:p>
        </w:tc>
        <w:tc>
          <w:tcPr>
            <w:tcW w:w="1275" w:type="dxa"/>
            <w:tcBorders>
              <w:top w:val="single" w:sz="4" w:space="0" w:color="auto"/>
              <w:left w:val="single" w:sz="4" w:space="0" w:color="auto"/>
              <w:bottom w:val="single" w:sz="4" w:space="0" w:color="auto"/>
              <w:right w:val="single" w:sz="4" w:space="0" w:color="auto"/>
            </w:tcBorders>
            <w:hideMark/>
          </w:tcPr>
          <w:p w:rsidR="007F136C" w:rsidRPr="00AF6B8C" w:rsidRDefault="007F136C" w:rsidP="00AF6B8C">
            <w:pPr>
              <w:widowControl w:val="0"/>
              <w:spacing w:line="276" w:lineRule="auto"/>
              <w:jc w:val="center"/>
              <w:rPr>
                <w:rFonts w:ascii="Times New Roman" w:hAnsi="Times New Roman"/>
                <w:sz w:val="28"/>
                <w:szCs w:val="28"/>
                <w:lang w:val="uk-UA"/>
              </w:rPr>
            </w:pPr>
            <w:r w:rsidRPr="00AF6B8C">
              <w:rPr>
                <w:rFonts w:ascii="Times New Roman" w:hAnsi="Times New Roman"/>
                <w:sz w:val="28"/>
                <w:szCs w:val="28"/>
                <w:lang w:val="uk-UA"/>
              </w:rPr>
              <w:t>309</w:t>
            </w:r>
          </w:p>
        </w:tc>
        <w:tc>
          <w:tcPr>
            <w:tcW w:w="1525" w:type="dxa"/>
            <w:tcBorders>
              <w:top w:val="single" w:sz="4" w:space="0" w:color="auto"/>
              <w:left w:val="single" w:sz="4" w:space="0" w:color="auto"/>
              <w:bottom w:val="single" w:sz="4" w:space="0" w:color="auto"/>
              <w:right w:val="single" w:sz="4" w:space="0" w:color="auto"/>
            </w:tcBorders>
            <w:hideMark/>
          </w:tcPr>
          <w:p w:rsidR="007F136C" w:rsidRPr="00AF6B8C" w:rsidRDefault="007F136C" w:rsidP="00AF6B8C">
            <w:pPr>
              <w:widowControl w:val="0"/>
              <w:spacing w:line="276" w:lineRule="auto"/>
              <w:jc w:val="center"/>
              <w:rPr>
                <w:rFonts w:ascii="Times New Roman" w:hAnsi="Times New Roman"/>
                <w:sz w:val="28"/>
                <w:szCs w:val="28"/>
                <w:lang w:val="uk-UA"/>
              </w:rPr>
            </w:pPr>
            <w:r w:rsidRPr="00AF6B8C">
              <w:rPr>
                <w:rFonts w:ascii="Times New Roman" w:hAnsi="Times New Roman"/>
                <w:sz w:val="28"/>
                <w:szCs w:val="28"/>
                <w:lang w:val="uk-UA"/>
              </w:rPr>
              <w:t>77,25±2,1</w:t>
            </w:r>
          </w:p>
        </w:tc>
      </w:tr>
      <w:tr w:rsidR="007F136C" w:rsidRPr="00AF6B8C" w:rsidTr="003B67F9">
        <w:trPr>
          <w:jc w:val="center"/>
        </w:trPr>
        <w:tc>
          <w:tcPr>
            <w:tcW w:w="6771" w:type="dxa"/>
            <w:tcBorders>
              <w:top w:val="single" w:sz="4" w:space="0" w:color="auto"/>
              <w:left w:val="single" w:sz="4" w:space="0" w:color="auto"/>
              <w:bottom w:val="single" w:sz="4" w:space="0" w:color="auto"/>
              <w:right w:val="single" w:sz="4" w:space="0" w:color="auto"/>
            </w:tcBorders>
            <w:hideMark/>
          </w:tcPr>
          <w:p w:rsidR="007F136C" w:rsidRPr="00AF6B8C" w:rsidRDefault="007F136C" w:rsidP="00AF6B8C">
            <w:pPr>
              <w:widowControl w:val="0"/>
              <w:spacing w:line="276" w:lineRule="auto"/>
              <w:rPr>
                <w:rFonts w:ascii="Times New Roman" w:hAnsi="Times New Roman"/>
                <w:sz w:val="28"/>
                <w:szCs w:val="28"/>
                <w:lang w:val="uk-UA"/>
              </w:rPr>
            </w:pPr>
            <w:r w:rsidRPr="00AF6B8C">
              <w:rPr>
                <w:rFonts w:ascii="Times New Roman" w:hAnsi="Times New Roman"/>
                <w:sz w:val="28"/>
                <w:szCs w:val="28"/>
                <w:lang w:val="uk-UA"/>
              </w:rPr>
              <w:t>Інформованість про тактику дій при вогнепальному пораненню</w:t>
            </w:r>
          </w:p>
        </w:tc>
        <w:tc>
          <w:tcPr>
            <w:tcW w:w="1275" w:type="dxa"/>
            <w:tcBorders>
              <w:top w:val="single" w:sz="4" w:space="0" w:color="auto"/>
              <w:left w:val="single" w:sz="4" w:space="0" w:color="auto"/>
              <w:bottom w:val="single" w:sz="4" w:space="0" w:color="auto"/>
              <w:right w:val="single" w:sz="4" w:space="0" w:color="auto"/>
            </w:tcBorders>
            <w:hideMark/>
          </w:tcPr>
          <w:p w:rsidR="007F136C" w:rsidRPr="00AF6B8C" w:rsidRDefault="007F136C" w:rsidP="00AF6B8C">
            <w:pPr>
              <w:widowControl w:val="0"/>
              <w:spacing w:line="276" w:lineRule="auto"/>
              <w:jc w:val="center"/>
              <w:rPr>
                <w:rFonts w:ascii="Times New Roman" w:hAnsi="Times New Roman"/>
                <w:sz w:val="28"/>
                <w:szCs w:val="28"/>
                <w:lang w:val="uk-UA"/>
              </w:rPr>
            </w:pPr>
            <w:r w:rsidRPr="00AF6B8C">
              <w:rPr>
                <w:rFonts w:ascii="Times New Roman" w:hAnsi="Times New Roman"/>
                <w:sz w:val="28"/>
                <w:szCs w:val="28"/>
                <w:lang w:val="uk-UA"/>
              </w:rPr>
              <w:t>54</w:t>
            </w:r>
          </w:p>
        </w:tc>
        <w:tc>
          <w:tcPr>
            <w:tcW w:w="1525" w:type="dxa"/>
            <w:tcBorders>
              <w:top w:val="single" w:sz="4" w:space="0" w:color="auto"/>
              <w:left w:val="single" w:sz="4" w:space="0" w:color="auto"/>
              <w:bottom w:val="single" w:sz="4" w:space="0" w:color="auto"/>
              <w:right w:val="single" w:sz="4" w:space="0" w:color="auto"/>
            </w:tcBorders>
            <w:hideMark/>
          </w:tcPr>
          <w:p w:rsidR="007F136C" w:rsidRPr="00AF6B8C" w:rsidRDefault="007F136C" w:rsidP="00AF6B8C">
            <w:pPr>
              <w:widowControl w:val="0"/>
              <w:spacing w:line="276" w:lineRule="auto"/>
              <w:jc w:val="center"/>
              <w:rPr>
                <w:rFonts w:ascii="Times New Roman" w:hAnsi="Times New Roman"/>
                <w:sz w:val="28"/>
                <w:szCs w:val="28"/>
                <w:lang w:val="uk-UA"/>
              </w:rPr>
            </w:pPr>
            <w:r w:rsidRPr="00AF6B8C">
              <w:rPr>
                <w:rFonts w:ascii="Times New Roman" w:hAnsi="Times New Roman"/>
                <w:sz w:val="28"/>
                <w:szCs w:val="28"/>
                <w:lang w:val="uk-UA"/>
              </w:rPr>
              <w:t>13,50±1,7</w:t>
            </w:r>
          </w:p>
        </w:tc>
      </w:tr>
      <w:tr w:rsidR="007F136C" w:rsidRPr="00AF6B8C" w:rsidTr="003B67F9">
        <w:trPr>
          <w:jc w:val="center"/>
        </w:trPr>
        <w:tc>
          <w:tcPr>
            <w:tcW w:w="6771" w:type="dxa"/>
            <w:tcBorders>
              <w:top w:val="single" w:sz="4" w:space="0" w:color="auto"/>
              <w:left w:val="single" w:sz="4" w:space="0" w:color="auto"/>
              <w:bottom w:val="single" w:sz="4" w:space="0" w:color="auto"/>
              <w:right w:val="single" w:sz="4" w:space="0" w:color="auto"/>
            </w:tcBorders>
            <w:hideMark/>
          </w:tcPr>
          <w:p w:rsidR="007F136C" w:rsidRPr="00AF6B8C" w:rsidRDefault="007F136C" w:rsidP="00AF6B8C">
            <w:pPr>
              <w:widowControl w:val="0"/>
              <w:spacing w:line="276" w:lineRule="auto"/>
              <w:rPr>
                <w:rFonts w:ascii="Times New Roman" w:hAnsi="Times New Roman"/>
                <w:sz w:val="28"/>
                <w:szCs w:val="28"/>
                <w:lang w:val="uk-UA"/>
              </w:rPr>
            </w:pPr>
            <w:r w:rsidRPr="00AF6B8C">
              <w:rPr>
                <w:rFonts w:ascii="Times New Roman" w:hAnsi="Times New Roman"/>
                <w:sz w:val="28"/>
                <w:szCs w:val="28"/>
                <w:lang w:val="uk-UA"/>
              </w:rPr>
              <w:t>Інформованість про тактику дій при гострій асфіксії</w:t>
            </w:r>
          </w:p>
        </w:tc>
        <w:tc>
          <w:tcPr>
            <w:tcW w:w="1275" w:type="dxa"/>
            <w:tcBorders>
              <w:top w:val="single" w:sz="4" w:space="0" w:color="auto"/>
              <w:left w:val="single" w:sz="4" w:space="0" w:color="auto"/>
              <w:bottom w:val="single" w:sz="4" w:space="0" w:color="auto"/>
              <w:right w:val="single" w:sz="4" w:space="0" w:color="auto"/>
            </w:tcBorders>
            <w:hideMark/>
          </w:tcPr>
          <w:p w:rsidR="007F136C" w:rsidRPr="00AF6B8C" w:rsidRDefault="007F136C" w:rsidP="00AF6B8C">
            <w:pPr>
              <w:widowControl w:val="0"/>
              <w:spacing w:line="276" w:lineRule="auto"/>
              <w:jc w:val="center"/>
              <w:rPr>
                <w:rFonts w:ascii="Times New Roman" w:hAnsi="Times New Roman"/>
                <w:sz w:val="28"/>
                <w:szCs w:val="28"/>
                <w:lang w:val="uk-UA"/>
              </w:rPr>
            </w:pPr>
            <w:r w:rsidRPr="00AF6B8C">
              <w:rPr>
                <w:rFonts w:ascii="Times New Roman" w:hAnsi="Times New Roman"/>
                <w:sz w:val="28"/>
                <w:szCs w:val="28"/>
                <w:lang w:val="uk-UA"/>
              </w:rPr>
              <w:t>72</w:t>
            </w:r>
          </w:p>
        </w:tc>
        <w:tc>
          <w:tcPr>
            <w:tcW w:w="1525" w:type="dxa"/>
            <w:tcBorders>
              <w:top w:val="single" w:sz="4" w:space="0" w:color="auto"/>
              <w:left w:val="single" w:sz="4" w:space="0" w:color="auto"/>
              <w:bottom w:val="single" w:sz="4" w:space="0" w:color="auto"/>
              <w:right w:val="single" w:sz="4" w:space="0" w:color="auto"/>
            </w:tcBorders>
            <w:hideMark/>
          </w:tcPr>
          <w:p w:rsidR="007F136C" w:rsidRPr="00AF6B8C" w:rsidRDefault="007F136C" w:rsidP="00AF6B8C">
            <w:pPr>
              <w:widowControl w:val="0"/>
              <w:spacing w:line="276" w:lineRule="auto"/>
              <w:jc w:val="center"/>
              <w:rPr>
                <w:rFonts w:ascii="Times New Roman" w:hAnsi="Times New Roman"/>
                <w:sz w:val="28"/>
                <w:szCs w:val="28"/>
                <w:lang w:val="uk-UA"/>
              </w:rPr>
            </w:pPr>
            <w:r w:rsidRPr="00AF6B8C">
              <w:rPr>
                <w:rFonts w:ascii="Times New Roman" w:hAnsi="Times New Roman"/>
                <w:sz w:val="28"/>
                <w:szCs w:val="28"/>
                <w:lang w:val="uk-UA"/>
              </w:rPr>
              <w:t>18,00±1,9</w:t>
            </w:r>
          </w:p>
        </w:tc>
      </w:tr>
      <w:tr w:rsidR="007F136C" w:rsidRPr="00AF6B8C" w:rsidTr="003B67F9">
        <w:trPr>
          <w:jc w:val="center"/>
        </w:trPr>
        <w:tc>
          <w:tcPr>
            <w:tcW w:w="6771" w:type="dxa"/>
            <w:tcBorders>
              <w:top w:val="single" w:sz="4" w:space="0" w:color="auto"/>
              <w:left w:val="single" w:sz="4" w:space="0" w:color="auto"/>
              <w:bottom w:val="single" w:sz="4" w:space="0" w:color="auto"/>
              <w:right w:val="single" w:sz="4" w:space="0" w:color="auto"/>
            </w:tcBorders>
            <w:hideMark/>
          </w:tcPr>
          <w:p w:rsidR="007F136C" w:rsidRPr="00AF6B8C" w:rsidRDefault="007F136C" w:rsidP="00AF6B8C">
            <w:pPr>
              <w:widowControl w:val="0"/>
              <w:spacing w:line="276" w:lineRule="auto"/>
              <w:rPr>
                <w:rFonts w:ascii="Times New Roman" w:hAnsi="Times New Roman"/>
                <w:sz w:val="28"/>
                <w:szCs w:val="28"/>
                <w:lang w:val="uk-UA"/>
              </w:rPr>
            </w:pPr>
            <w:r w:rsidRPr="00AF6B8C">
              <w:rPr>
                <w:rFonts w:ascii="Times New Roman" w:hAnsi="Times New Roman"/>
                <w:sz w:val="28"/>
                <w:szCs w:val="28"/>
                <w:lang w:val="uk-UA"/>
              </w:rPr>
              <w:t>Інформованість про тактику дій при судомах</w:t>
            </w:r>
          </w:p>
        </w:tc>
        <w:tc>
          <w:tcPr>
            <w:tcW w:w="1275" w:type="dxa"/>
            <w:tcBorders>
              <w:top w:val="single" w:sz="4" w:space="0" w:color="auto"/>
              <w:left w:val="single" w:sz="4" w:space="0" w:color="auto"/>
              <w:bottom w:val="single" w:sz="4" w:space="0" w:color="auto"/>
              <w:right w:val="single" w:sz="4" w:space="0" w:color="auto"/>
            </w:tcBorders>
            <w:hideMark/>
          </w:tcPr>
          <w:p w:rsidR="007F136C" w:rsidRPr="00AF6B8C" w:rsidRDefault="007F136C" w:rsidP="00AF6B8C">
            <w:pPr>
              <w:widowControl w:val="0"/>
              <w:spacing w:line="276" w:lineRule="auto"/>
              <w:jc w:val="center"/>
              <w:rPr>
                <w:rFonts w:ascii="Times New Roman" w:hAnsi="Times New Roman"/>
                <w:sz w:val="28"/>
                <w:szCs w:val="28"/>
                <w:lang w:val="uk-UA"/>
              </w:rPr>
            </w:pPr>
            <w:r w:rsidRPr="00AF6B8C">
              <w:rPr>
                <w:rFonts w:ascii="Times New Roman" w:hAnsi="Times New Roman"/>
                <w:sz w:val="28"/>
                <w:szCs w:val="28"/>
                <w:lang w:val="uk-UA"/>
              </w:rPr>
              <w:t>96</w:t>
            </w:r>
          </w:p>
        </w:tc>
        <w:tc>
          <w:tcPr>
            <w:tcW w:w="1525" w:type="dxa"/>
            <w:tcBorders>
              <w:top w:val="single" w:sz="4" w:space="0" w:color="auto"/>
              <w:left w:val="single" w:sz="4" w:space="0" w:color="auto"/>
              <w:bottom w:val="single" w:sz="4" w:space="0" w:color="auto"/>
              <w:right w:val="single" w:sz="4" w:space="0" w:color="auto"/>
            </w:tcBorders>
            <w:hideMark/>
          </w:tcPr>
          <w:p w:rsidR="007F136C" w:rsidRPr="00AF6B8C" w:rsidRDefault="007F136C" w:rsidP="00AF6B8C">
            <w:pPr>
              <w:widowControl w:val="0"/>
              <w:spacing w:line="276" w:lineRule="auto"/>
              <w:jc w:val="center"/>
              <w:rPr>
                <w:rFonts w:ascii="Times New Roman" w:hAnsi="Times New Roman"/>
                <w:sz w:val="28"/>
                <w:szCs w:val="28"/>
                <w:lang w:val="uk-UA"/>
              </w:rPr>
            </w:pPr>
            <w:r w:rsidRPr="00AF6B8C">
              <w:rPr>
                <w:rFonts w:ascii="Times New Roman" w:hAnsi="Times New Roman"/>
                <w:sz w:val="28"/>
                <w:szCs w:val="28"/>
                <w:lang w:val="uk-UA"/>
              </w:rPr>
              <w:t>24,00±2,1</w:t>
            </w:r>
          </w:p>
        </w:tc>
      </w:tr>
      <w:tr w:rsidR="007F136C" w:rsidRPr="00AF6B8C" w:rsidTr="003B67F9">
        <w:trPr>
          <w:jc w:val="center"/>
        </w:trPr>
        <w:tc>
          <w:tcPr>
            <w:tcW w:w="6771" w:type="dxa"/>
            <w:tcBorders>
              <w:top w:val="single" w:sz="4" w:space="0" w:color="auto"/>
              <w:left w:val="single" w:sz="4" w:space="0" w:color="auto"/>
              <w:bottom w:val="single" w:sz="4" w:space="0" w:color="auto"/>
              <w:right w:val="single" w:sz="4" w:space="0" w:color="auto"/>
            </w:tcBorders>
            <w:hideMark/>
          </w:tcPr>
          <w:p w:rsidR="007F136C" w:rsidRPr="00AF6B8C" w:rsidRDefault="007F136C" w:rsidP="00AF6B8C">
            <w:pPr>
              <w:widowControl w:val="0"/>
              <w:spacing w:line="276" w:lineRule="auto"/>
              <w:rPr>
                <w:rFonts w:ascii="Times New Roman" w:hAnsi="Times New Roman"/>
                <w:sz w:val="28"/>
                <w:szCs w:val="28"/>
                <w:lang w:val="uk-UA"/>
              </w:rPr>
            </w:pPr>
            <w:r w:rsidRPr="00AF6B8C">
              <w:rPr>
                <w:rFonts w:ascii="Times New Roman" w:hAnsi="Times New Roman"/>
                <w:sz w:val="28"/>
                <w:szCs w:val="28"/>
                <w:lang w:val="uk-UA"/>
              </w:rPr>
              <w:t>Інформованість про тактику дій при падінні з висоти</w:t>
            </w:r>
          </w:p>
        </w:tc>
        <w:tc>
          <w:tcPr>
            <w:tcW w:w="1275" w:type="dxa"/>
            <w:tcBorders>
              <w:top w:val="single" w:sz="4" w:space="0" w:color="auto"/>
              <w:left w:val="single" w:sz="4" w:space="0" w:color="auto"/>
              <w:bottom w:val="single" w:sz="4" w:space="0" w:color="auto"/>
              <w:right w:val="single" w:sz="4" w:space="0" w:color="auto"/>
            </w:tcBorders>
            <w:hideMark/>
          </w:tcPr>
          <w:p w:rsidR="007F136C" w:rsidRPr="00AF6B8C" w:rsidRDefault="007F136C" w:rsidP="00AF6B8C">
            <w:pPr>
              <w:widowControl w:val="0"/>
              <w:spacing w:line="276" w:lineRule="auto"/>
              <w:jc w:val="center"/>
              <w:rPr>
                <w:rFonts w:ascii="Times New Roman" w:hAnsi="Times New Roman"/>
                <w:sz w:val="28"/>
                <w:szCs w:val="28"/>
                <w:lang w:val="uk-UA"/>
              </w:rPr>
            </w:pPr>
            <w:r w:rsidRPr="00AF6B8C">
              <w:rPr>
                <w:rFonts w:ascii="Times New Roman" w:hAnsi="Times New Roman"/>
                <w:sz w:val="28"/>
                <w:szCs w:val="28"/>
                <w:lang w:val="uk-UA"/>
              </w:rPr>
              <w:t>124</w:t>
            </w:r>
          </w:p>
        </w:tc>
        <w:tc>
          <w:tcPr>
            <w:tcW w:w="1525" w:type="dxa"/>
            <w:tcBorders>
              <w:top w:val="single" w:sz="4" w:space="0" w:color="auto"/>
              <w:left w:val="single" w:sz="4" w:space="0" w:color="auto"/>
              <w:bottom w:val="single" w:sz="4" w:space="0" w:color="auto"/>
              <w:right w:val="single" w:sz="4" w:space="0" w:color="auto"/>
            </w:tcBorders>
            <w:hideMark/>
          </w:tcPr>
          <w:p w:rsidR="007F136C" w:rsidRPr="00AF6B8C" w:rsidRDefault="007F136C" w:rsidP="00AF6B8C">
            <w:pPr>
              <w:widowControl w:val="0"/>
              <w:spacing w:line="276" w:lineRule="auto"/>
              <w:jc w:val="center"/>
              <w:rPr>
                <w:rFonts w:ascii="Times New Roman" w:hAnsi="Times New Roman"/>
                <w:sz w:val="28"/>
                <w:szCs w:val="28"/>
                <w:lang w:val="uk-UA"/>
              </w:rPr>
            </w:pPr>
            <w:r w:rsidRPr="00AF6B8C">
              <w:rPr>
                <w:rFonts w:ascii="Times New Roman" w:hAnsi="Times New Roman"/>
                <w:sz w:val="28"/>
                <w:szCs w:val="28"/>
                <w:lang w:val="uk-UA"/>
              </w:rPr>
              <w:t>31,00±2,3</w:t>
            </w:r>
          </w:p>
        </w:tc>
      </w:tr>
      <w:tr w:rsidR="007F136C" w:rsidRPr="00AF6B8C" w:rsidTr="003B67F9">
        <w:trPr>
          <w:jc w:val="center"/>
        </w:trPr>
        <w:tc>
          <w:tcPr>
            <w:tcW w:w="6771" w:type="dxa"/>
            <w:tcBorders>
              <w:top w:val="single" w:sz="4" w:space="0" w:color="auto"/>
              <w:left w:val="single" w:sz="4" w:space="0" w:color="auto"/>
              <w:bottom w:val="single" w:sz="4" w:space="0" w:color="auto"/>
              <w:right w:val="single" w:sz="4" w:space="0" w:color="auto"/>
            </w:tcBorders>
            <w:hideMark/>
          </w:tcPr>
          <w:p w:rsidR="007F136C" w:rsidRPr="00AF6B8C" w:rsidRDefault="007F136C" w:rsidP="00AF6B8C">
            <w:pPr>
              <w:widowControl w:val="0"/>
              <w:spacing w:line="276" w:lineRule="auto"/>
              <w:rPr>
                <w:rFonts w:ascii="Times New Roman" w:hAnsi="Times New Roman"/>
                <w:sz w:val="28"/>
                <w:szCs w:val="28"/>
                <w:lang w:val="uk-UA"/>
              </w:rPr>
            </w:pPr>
            <w:r w:rsidRPr="00AF6B8C">
              <w:rPr>
                <w:rFonts w:ascii="Times New Roman" w:hAnsi="Times New Roman"/>
                <w:sz w:val="28"/>
                <w:szCs w:val="28"/>
                <w:lang w:val="uk-UA"/>
              </w:rPr>
              <w:t>Інформованість про тактику дій при травмі грудної  клітини</w:t>
            </w:r>
          </w:p>
        </w:tc>
        <w:tc>
          <w:tcPr>
            <w:tcW w:w="1275" w:type="dxa"/>
            <w:tcBorders>
              <w:top w:val="single" w:sz="4" w:space="0" w:color="auto"/>
              <w:left w:val="single" w:sz="4" w:space="0" w:color="auto"/>
              <w:bottom w:val="single" w:sz="4" w:space="0" w:color="auto"/>
              <w:right w:val="single" w:sz="4" w:space="0" w:color="auto"/>
            </w:tcBorders>
            <w:hideMark/>
          </w:tcPr>
          <w:p w:rsidR="007F136C" w:rsidRPr="00AF6B8C" w:rsidRDefault="007F136C" w:rsidP="00AF6B8C">
            <w:pPr>
              <w:widowControl w:val="0"/>
              <w:spacing w:line="276" w:lineRule="auto"/>
              <w:jc w:val="center"/>
              <w:rPr>
                <w:rFonts w:ascii="Times New Roman" w:hAnsi="Times New Roman"/>
                <w:sz w:val="28"/>
                <w:szCs w:val="28"/>
                <w:lang w:val="uk-UA"/>
              </w:rPr>
            </w:pPr>
            <w:r w:rsidRPr="00AF6B8C">
              <w:rPr>
                <w:rFonts w:ascii="Times New Roman" w:hAnsi="Times New Roman"/>
                <w:sz w:val="28"/>
                <w:szCs w:val="28"/>
                <w:lang w:val="uk-UA"/>
              </w:rPr>
              <w:t>62</w:t>
            </w:r>
          </w:p>
        </w:tc>
        <w:tc>
          <w:tcPr>
            <w:tcW w:w="1525" w:type="dxa"/>
            <w:tcBorders>
              <w:top w:val="single" w:sz="4" w:space="0" w:color="auto"/>
              <w:left w:val="single" w:sz="4" w:space="0" w:color="auto"/>
              <w:bottom w:val="single" w:sz="4" w:space="0" w:color="auto"/>
              <w:right w:val="single" w:sz="4" w:space="0" w:color="auto"/>
            </w:tcBorders>
            <w:hideMark/>
          </w:tcPr>
          <w:p w:rsidR="007F136C" w:rsidRPr="00AF6B8C" w:rsidRDefault="007F136C" w:rsidP="00AF6B8C">
            <w:pPr>
              <w:widowControl w:val="0"/>
              <w:spacing w:line="276" w:lineRule="auto"/>
              <w:jc w:val="center"/>
              <w:rPr>
                <w:rFonts w:ascii="Times New Roman" w:hAnsi="Times New Roman"/>
                <w:sz w:val="28"/>
                <w:szCs w:val="28"/>
                <w:lang w:val="uk-UA"/>
              </w:rPr>
            </w:pPr>
            <w:r w:rsidRPr="00AF6B8C">
              <w:rPr>
                <w:rFonts w:ascii="Times New Roman" w:hAnsi="Times New Roman"/>
                <w:sz w:val="28"/>
                <w:szCs w:val="28"/>
                <w:lang w:val="uk-UA"/>
              </w:rPr>
              <w:t>15,50±1,8</w:t>
            </w:r>
          </w:p>
        </w:tc>
      </w:tr>
      <w:tr w:rsidR="007F136C" w:rsidRPr="00AF6B8C" w:rsidTr="003B67F9">
        <w:trPr>
          <w:jc w:val="center"/>
        </w:trPr>
        <w:tc>
          <w:tcPr>
            <w:tcW w:w="6771" w:type="dxa"/>
            <w:tcBorders>
              <w:top w:val="single" w:sz="4" w:space="0" w:color="auto"/>
              <w:left w:val="single" w:sz="4" w:space="0" w:color="auto"/>
              <w:bottom w:val="single" w:sz="4" w:space="0" w:color="auto"/>
              <w:right w:val="single" w:sz="4" w:space="0" w:color="auto"/>
            </w:tcBorders>
            <w:hideMark/>
          </w:tcPr>
          <w:p w:rsidR="007F136C" w:rsidRPr="00AF6B8C" w:rsidRDefault="007F136C" w:rsidP="00AF6B8C">
            <w:pPr>
              <w:widowControl w:val="0"/>
              <w:spacing w:line="276" w:lineRule="auto"/>
              <w:rPr>
                <w:rFonts w:ascii="Times New Roman" w:hAnsi="Times New Roman"/>
                <w:sz w:val="28"/>
                <w:szCs w:val="28"/>
                <w:lang w:val="uk-UA"/>
              </w:rPr>
            </w:pPr>
            <w:r w:rsidRPr="00AF6B8C">
              <w:rPr>
                <w:rFonts w:ascii="Times New Roman" w:hAnsi="Times New Roman"/>
                <w:sz w:val="28"/>
                <w:szCs w:val="28"/>
                <w:lang w:val="uk-UA"/>
              </w:rPr>
              <w:t>Інформованість про тактику дій при травмі живота</w:t>
            </w:r>
          </w:p>
        </w:tc>
        <w:tc>
          <w:tcPr>
            <w:tcW w:w="1275" w:type="dxa"/>
            <w:tcBorders>
              <w:top w:val="single" w:sz="4" w:space="0" w:color="auto"/>
              <w:left w:val="single" w:sz="4" w:space="0" w:color="auto"/>
              <w:bottom w:val="single" w:sz="4" w:space="0" w:color="auto"/>
              <w:right w:val="single" w:sz="4" w:space="0" w:color="auto"/>
            </w:tcBorders>
            <w:hideMark/>
          </w:tcPr>
          <w:p w:rsidR="007F136C" w:rsidRPr="00AF6B8C" w:rsidRDefault="007F136C" w:rsidP="00AF6B8C">
            <w:pPr>
              <w:widowControl w:val="0"/>
              <w:spacing w:line="276" w:lineRule="auto"/>
              <w:jc w:val="center"/>
              <w:rPr>
                <w:rFonts w:ascii="Times New Roman" w:hAnsi="Times New Roman"/>
                <w:sz w:val="28"/>
                <w:szCs w:val="28"/>
                <w:lang w:val="uk-UA"/>
              </w:rPr>
            </w:pPr>
            <w:r w:rsidRPr="00AF6B8C">
              <w:rPr>
                <w:rFonts w:ascii="Times New Roman" w:hAnsi="Times New Roman"/>
                <w:sz w:val="28"/>
                <w:szCs w:val="28"/>
                <w:lang w:val="uk-UA"/>
              </w:rPr>
              <w:t>62</w:t>
            </w:r>
          </w:p>
        </w:tc>
        <w:tc>
          <w:tcPr>
            <w:tcW w:w="1525" w:type="dxa"/>
            <w:tcBorders>
              <w:top w:val="single" w:sz="4" w:space="0" w:color="auto"/>
              <w:left w:val="single" w:sz="4" w:space="0" w:color="auto"/>
              <w:bottom w:val="single" w:sz="4" w:space="0" w:color="auto"/>
              <w:right w:val="single" w:sz="4" w:space="0" w:color="auto"/>
            </w:tcBorders>
            <w:hideMark/>
          </w:tcPr>
          <w:p w:rsidR="007F136C" w:rsidRPr="00AF6B8C" w:rsidRDefault="007F136C" w:rsidP="00AF6B8C">
            <w:pPr>
              <w:widowControl w:val="0"/>
              <w:spacing w:line="276" w:lineRule="auto"/>
              <w:jc w:val="center"/>
              <w:rPr>
                <w:rFonts w:ascii="Times New Roman" w:hAnsi="Times New Roman"/>
                <w:sz w:val="28"/>
                <w:szCs w:val="28"/>
                <w:lang w:val="uk-UA"/>
              </w:rPr>
            </w:pPr>
            <w:r w:rsidRPr="00AF6B8C">
              <w:rPr>
                <w:rFonts w:ascii="Times New Roman" w:hAnsi="Times New Roman"/>
                <w:sz w:val="28"/>
                <w:szCs w:val="28"/>
                <w:lang w:val="uk-UA"/>
              </w:rPr>
              <w:t>15,50±1,8</w:t>
            </w:r>
          </w:p>
        </w:tc>
      </w:tr>
      <w:tr w:rsidR="007F136C" w:rsidRPr="00AF6B8C" w:rsidTr="003B67F9">
        <w:trPr>
          <w:jc w:val="center"/>
        </w:trPr>
        <w:tc>
          <w:tcPr>
            <w:tcW w:w="6771" w:type="dxa"/>
            <w:tcBorders>
              <w:top w:val="single" w:sz="4" w:space="0" w:color="auto"/>
              <w:left w:val="single" w:sz="4" w:space="0" w:color="auto"/>
              <w:bottom w:val="single" w:sz="4" w:space="0" w:color="auto"/>
              <w:right w:val="single" w:sz="4" w:space="0" w:color="auto"/>
            </w:tcBorders>
            <w:hideMark/>
          </w:tcPr>
          <w:p w:rsidR="007F136C" w:rsidRPr="00AF6B8C" w:rsidRDefault="007F136C" w:rsidP="00AF6B8C">
            <w:pPr>
              <w:widowControl w:val="0"/>
              <w:spacing w:line="276" w:lineRule="auto"/>
              <w:rPr>
                <w:rFonts w:ascii="Times New Roman" w:hAnsi="Times New Roman"/>
                <w:sz w:val="28"/>
                <w:szCs w:val="28"/>
                <w:lang w:val="uk-UA"/>
              </w:rPr>
            </w:pPr>
            <w:r w:rsidRPr="00AF6B8C">
              <w:rPr>
                <w:rFonts w:ascii="Times New Roman" w:hAnsi="Times New Roman"/>
                <w:sz w:val="28"/>
                <w:szCs w:val="28"/>
                <w:lang w:val="uk-UA"/>
              </w:rPr>
              <w:t xml:space="preserve">Інформованість про тактику дій при черепно-мозковій травмі  </w:t>
            </w:r>
          </w:p>
        </w:tc>
        <w:tc>
          <w:tcPr>
            <w:tcW w:w="1275" w:type="dxa"/>
            <w:tcBorders>
              <w:top w:val="single" w:sz="4" w:space="0" w:color="auto"/>
              <w:left w:val="single" w:sz="4" w:space="0" w:color="auto"/>
              <w:bottom w:val="single" w:sz="4" w:space="0" w:color="auto"/>
              <w:right w:val="single" w:sz="4" w:space="0" w:color="auto"/>
            </w:tcBorders>
            <w:hideMark/>
          </w:tcPr>
          <w:p w:rsidR="007F136C" w:rsidRPr="00AF6B8C" w:rsidRDefault="007F136C" w:rsidP="00AF6B8C">
            <w:pPr>
              <w:widowControl w:val="0"/>
              <w:spacing w:line="276" w:lineRule="auto"/>
              <w:jc w:val="center"/>
              <w:rPr>
                <w:rFonts w:ascii="Times New Roman" w:hAnsi="Times New Roman"/>
                <w:sz w:val="28"/>
                <w:szCs w:val="28"/>
                <w:lang w:val="uk-UA"/>
              </w:rPr>
            </w:pPr>
            <w:r w:rsidRPr="00AF6B8C">
              <w:rPr>
                <w:rFonts w:ascii="Times New Roman" w:hAnsi="Times New Roman"/>
                <w:sz w:val="28"/>
                <w:szCs w:val="28"/>
                <w:lang w:val="uk-UA"/>
              </w:rPr>
              <w:t>62</w:t>
            </w:r>
          </w:p>
        </w:tc>
        <w:tc>
          <w:tcPr>
            <w:tcW w:w="1525" w:type="dxa"/>
            <w:tcBorders>
              <w:top w:val="single" w:sz="4" w:space="0" w:color="auto"/>
              <w:left w:val="single" w:sz="4" w:space="0" w:color="auto"/>
              <w:bottom w:val="single" w:sz="4" w:space="0" w:color="auto"/>
              <w:right w:val="single" w:sz="4" w:space="0" w:color="auto"/>
            </w:tcBorders>
            <w:hideMark/>
          </w:tcPr>
          <w:p w:rsidR="007F136C" w:rsidRPr="00AF6B8C" w:rsidRDefault="007F136C" w:rsidP="00AF6B8C">
            <w:pPr>
              <w:widowControl w:val="0"/>
              <w:spacing w:line="276" w:lineRule="auto"/>
              <w:jc w:val="center"/>
              <w:rPr>
                <w:rFonts w:ascii="Times New Roman" w:hAnsi="Times New Roman"/>
                <w:sz w:val="28"/>
                <w:szCs w:val="28"/>
                <w:lang w:val="uk-UA"/>
              </w:rPr>
            </w:pPr>
            <w:r w:rsidRPr="00AF6B8C">
              <w:rPr>
                <w:rFonts w:ascii="Times New Roman" w:hAnsi="Times New Roman"/>
                <w:sz w:val="28"/>
                <w:szCs w:val="28"/>
                <w:lang w:val="uk-UA"/>
              </w:rPr>
              <w:t>15,50±1,8</w:t>
            </w:r>
          </w:p>
        </w:tc>
      </w:tr>
      <w:tr w:rsidR="007F136C" w:rsidRPr="00AF6B8C" w:rsidTr="003B67F9">
        <w:trPr>
          <w:jc w:val="center"/>
        </w:trPr>
        <w:tc>
          <w:tcPr>
            <w:tcW w:w="6771" w:type="dxa"/>
            <w:tcBorders>
              <w:top w:val="single" w:sz="4" w:space="0" w:color="auto"/>
              <w:left w:val="single" w:sz="4" w:space="0" w:color="auto"/>
              <w:bottom w:val="single" w:sz="4" w:space="0" w:color="auto"/>
              <w:right w:val="single" w:sz="4" w:space="0" w:color="auto"/>
            </w:tcBorders>
            <w:hideMark/>
          </w:tcPr>
          <w:p w:rsidR="007F136C" w:rsidRPr="00AF6B8C" w:rsidRDefault="007F136C" w:rsidP="00AF6B8C">
            <w:pPr>
              <w:widowControl w:val="0"/>
              <w:spacing w:line="276" w:lineRule="auto"/>
              <w:rPr>
                <w:rFonts w:ascii="Times New Roman" w:hAnsi="Times New Roman"/>
                <w:sz w:val="28"/>
                <w:szCs w:val="28"/>
                <w:lang w:val="uk-UA"/>
              </w:rPr>
            </w:pPr>
            <w:r w:rsidRPr="00AF6B8C">
              <w:rPr>
                <w:rFonts w:ascii="Times New Roman" w:hAnsi="Times New Roman"/>
                <w:sz w:val="28"/>
                <w:szCs w:val="28"/>
                <w:lang w:val="uk-UA"/>
              </w:rPr>
              <w:t>Інформованість про тактику дій при опіках</w:t>
            </w:r>
          </w:p>
        </w:tc>
        <w:tc>
          <w:tcPr>
            <w:tcW w:w="1275" w:type="dxa"/>
            <w:tcBorders>
              <w:top w:val="single" w:sz="4" w:space="0" w:color="auto"/>
              <w:left w:val="single" w:sz="4" w:space="0" w:color="auto"/>
              <w:bottom w:val="single" w:sz="4" w:space="0" w:color="auto"/>
              <w:right w:val="single" w:sz="4" w:space="0" w:color="auto"/>
            </w:tcBorders>
            <w:hideMark/>
          </w:tcPr>
          <w:p w:rsidR="007F136C" w:rsidRPr="00AF6B8C" w:rsidRDefault="007F136C" w:rsidP="00AF6B8C">
            <w:pPr>
              <w:widowControl w:val="0"/>
              <w:spacing w:line="276" w:lineRule="auto"/>
              <w:jc w:val="center"/>
              <w:rPr>
                <w:rFonts w:ascii="Times New Roman" w:hAnsi="Times New Roman"/>
                <w:sz w:val="28"/>
                <w:szCs w:val="28"/>
                <w:lang w:val="uk-UA"/>
              </w:rPr>
            </w:pPr>
            <w:r w:rsidRPr="00AF6B8C">
              <w:rPr>
                <w:rFonts w:ascii="Times New Roman" w:hAnsi="Times New Roman"/>
                <w:sz w:val="28"/>
                <w:szCs w:val="28"/>
                <w:lang w:val="uk-UA"/>
              </w:rPr>
              <w:t>158</w:t>
            </w:r>
          </w:p>
        </w:tc>
        <w:tc>
          <w:tcPr>
            <w:tcW w:w="1525" w:type="dxa"/>
            <w:tcBorders>
              <w:top w:val="single" w:sz="4" w:space="0" w:color="auto"/>
              <w:left w:val="single" w:sz="4" w:space="0" w:color="auto"/>
              <w:bottom w:val="single" w:sz="4" w:space="0" w:color="auto"/>
              <w:right w:val="single" w:sz="4" w:space="0" w:color="auto"/>
            </w:tcBorders>
            <w:hideMark/>
          </w:tcPr>
          <w:p w:rsidR="007F136C" w:rsidRPr="00AF6B8C" w:rsidRDefault="007F136C" w:rsidP="00AF6B8C">
            <w:pPr>
              <w:widowControl w:val="0"/>
              <w:spacing w:line="276" w:lineRule="auto"/>
              <w:jc w:val="center"/>
              <w:rPr>
                <w:rFonts w:ascii="Times New Roman" w:hAnsi="Times New Roman"/>
                <w:sz w:val="28"/>
                <w:szCs w:val="28"/>
                <w:lang w:val="uk-UA"/>
              </w:rPr>
            </w:pPr>
            <w:r w:rsidRPr="00AF6B8C">
              <w:rPr>
                <w:rFonts w:ascii="Times New Roman" w:hAnsi="Times New Roman"/>
                <w:sz w:val="28"/>
                <w:szCs w:val="28"/>
                <w:lang w:val="uk-UA"/>
              </w:rPr>
              <w:t>39,50±2,4</w:t>
            </w:r>
          </w:p>
        </w:tc>
      </w:tr>
      <w:tr w:rsidR="007F136C" w:rsidRPr="00AF6B8C" w:rsidTr="003B67F9">
        <w:trPr>
          <w:jc w:val="center"/>
        </w:trPr>
        <w:tc>
          <w:tcPr>
            <w:tcW w:w="6771" w:type="dxa"/>
            <w:tcBorders>
              <w:top w:val="single" w:sz="4" w:space="0" w:color="auto"/>
              <w:left w:val="single" w:sz="4" w:space="0" w:color="auto"/>
              <w:bottom w:val="single" w:sz="4" w:space="0" w:color="auto"/>
              <w:right w:val="single" w:sz="4" w:space="0" w:color="auto"/>
            </w:tcBorders>
            <w:hideMark/>
          </w:tcPr>
          <w:p w:rsidR="007F136C" w:rsidRPr="00AF6B8C" w:rsidRDefault="007F136C" w:rsidP="00AF6B8C">
            <w:pPr>
              <w:widowControl w:val="0"/>
              <w:spacing w:line="276" w:lineRule="auto"/>
              <w:rPr>
                <w:rFonts w:ascii="Times New Roman" w:hAnsi="Times New Roman"/>
                <w:sz w:val="28"/>
                <w:szCs w:val="28"/>
                <w:lang w:val="uk-UA"/>
              </w:rPr>
            </w:pPr>
            <w:r w:rsidRPr="00AF6B8C">
              <w:rPr>
                <w:rFonts w:ascii="Times New Roman" w:hAnsi="Times New Roman"/>
                <w:sz w:val="28"/>
                <w:szCs w:val="28"/>
                <w:lang w:val="uk-UA"/>
              </w:rPr>
              <w:t>Інформованість про тактику дій при блювоті</w:t>
            </w:r>
          </w:p>
        </w:tc>
        <w:tc>
          <w:tcPr>
            <w:tcW w:w="1275" w:type="dxa"/>
            <w:tcBorders>
              <w:top w:val="single" w:sz="4" w:space="0" w:color="auto"/>
              <w:left w:val="single" w:sz="4" w:space="0" w:color="auto"/>
              <w:bottom w:val="single" w:sz="4" w:space="0" w:color="auto"/>
              <w:right w:val="single" w:sz="4" w:space="0" w:color="auto"/>
            </w:tcBorders>
            <w:hideMark/>
          </w:tcPr>
          <w:p w:rsidR="007F136C" w:rsidRPr="00AF6B8C" w:rsidRDefault="007F136C" w:rsidP="00AF6B8C">
            <w:pPr>
              <w:widowControl w:val="0"/>
              <w:spacing w:line="276" w:lineRule="auto"/>
              <w:jc w:val="center"/>
              <w:rPr>
                <w:rFonts w:ascii="Times New Roman" w:hAnsi="Times New Roman"/>
                <w:sz w:val="28"/>
                <w:szCs w:val="28"/>
                <w:lang w:val="uk-UA"/>
              </w:rPr>
            </w:pPr>
            <w:r w:rsidRPr="00AF6B8C">
              <w:rPr>
                <w:rFonts w:ascii="Times New Roman" w:hAnsi="Times New Roman"/>
                <w:sz w:val="28"/>
                <w:szCs w:val="28"/>
                <w:lang w:val="uk-UA"/>
              </w:rPr>
              <w:t>262</w:t>
            </w:r>
          </w:p>
        </w:tc>
        <w:tc>
          <w:tcPr>
            <w:tcW w:w="1525" w:type="dxa"/>
            <w:tcBorders>
              <w:top w:val="single" w:sz="4" w:space="0" w:color="auto"/>
              <w:left w:val="single" w:sz="4" w:space="0" w:color="auto"/>
              <w:bottom w:val="single" w:sz="4" w:space="0" w:color="auto"/>
              <w:right w:val="single" w:sz="4" w:space="0" w:color="auto"/>
            </w:tcBorders>
            <w:hideMark/>
          </w:tcPr>
          <w:p w:rsidR="007F136C" w:rsidRPr="00AF6B8C" w:rsidRDefault="007F136C" w:rsidP="00AF6B8C">
            <w:pPr>
              <w:widowControl w:val="0"/>
              <w:spacing w:line="276" w:lineRule="auto"/>
              <w:jc w:val="center"/>
              <w:rPr>
                <w:rFonts w:ascii="Times New Roman" w:hAnsi="Times New Roman"/>
                <w:sz w:val="28"/>
                <w:szCs w:val="28"/>
                <w:lang w:val="uk-UA"/>
              </w:rPr>
            </w:pPr>
            <w:r w:rsidRPr="00AF6B8C">
              <w:rPr>
                <w:rFonts w:ascii="Times New Roman" w:hAnsi="Times New Roman"/>
                <w:sz w:val="28"/>
                <w:szCs w:val="28"/>
                <w:lang w:val="uk-UA"/>
              </w:rPr>
              <w:t>65,50±2,4</w:t>
            </w:r>
          </w:p>
        </w:tc>
      </w:tr>
    </w:tbl>
    <w:p w:rsidR="002D5937" w:rsidRDefault="002D5937" w:rsidP="00C25B1C">
      <w:pPr>
        <w:widowControl w:val="0"/>
        <w:ind w:firstLine="709"/>
        <w:rPr>
          <w:rFonts w:eastAsia="Calibri"/>
          <w:szCs w:val="28"/>
        </w:rPr>
      </w:pPr>
    </w:p>
    <w:p w:rsidR="007F136C" w:rsidRPr="00006A39" w:rsidRDefault="007F136C" w:rsidP="00C25B1C">
      <w:pPr>
        <w:widowControl w:val="0"/>
        <w:ind w:firstLine="709"/>
        <w:rPr>
          <w:rFonts w:eastAsia="Calibri"/>
          <w:szCs w:val="28"/>
        </w:rPr>
      </w:pPr>
      <w:r w:rsidRPr="00006A39">
        <w:rPr>
          <w:rFonts w:eastAsia="Calibri"/>
          <w:szCs w:val="28"/>
        </w:rPr>
        <w:t xml:space="preserve">Важливим завданням було дослідити основні джерела отримання батьками  інформації з питань збереження здоров’я дітей та попередження  їх передчасної смерті, а також вивчити питання наявності бажання і зацікавленості батьків у </w:t>
      </w:r>
      <w:r w:rsidRPr="00006A39">
        <w:rPr>
          <w:rFonts w:eastAsia="Calibri"/>
          <w:szCs w:val="28"/>
        </w:rPr>
        <w:lastRenderedPageBreak/>
        <w:t>регулярному отриманні</w:t>
      </w:r>
      <w:r w:rsidRPr="00006A39">
        <w:rPr>
          <w:rFonts w:eastAsia="Calibri"/>
          <w:b/>
          <w:szCs w:val="28"/>
        </w:rPr>
        <w:t xml:space="preserve"> </w:t>
      </w:r>
      <w:r w:rsidRPr="00006A39">
        <w:rPr>
          <w:rFonts w:eastAsia="Calibri"/>
          <w:szCs w:val="28"/>
        </w:rPr>
        <w:t>вищезазначеної</w:t>
      </w:r>
      <w:r w:rsidRPr="00006A39">
        <w:rPr>
          <w:rFonts w:eastAsia="Calibri"/>
          <w:b/>
          <w:szCs w:val="28"/>
        </w:rPr>
        <w:t xml:space="preserve"> </w:t>
      </w:r>
      <w:r w:rsidRPr="00006A39">
        <w:rPr>
          <w:rFonts w:eastAsia="Calibri"/>
          <w:szCs w:val="28"/>
        </w:rPr>
        <w:t>інформації та найзручніші для цього способи</w:t>
      </w:r>
      <w:r w:rsidR="00775DE7">
        <w:rPr>
          <w:rFonts w:eastAsia="Calibri"/>
          <w:szCs w:val="28"/>
        </w:rPr>
        <w:t xml:space="preserve"> (табл.</w:t>
      </w:r>
      <w:r w:rsidR="00570BBF" w:rsidRPr="00570BBF">
        <w:rPr>
          <w:rFonts w:eastAsia="Calibri"/>
          <w:szCs w:val="28"/>
        </w:rPr>
        <w:t xml:space="preserve"> 6.4</w:t>
      </w:r>
      <w:r w:rsidR="004A5C9D" w:rsidRPr="004A5C9D">
        <w:rPr>
          <w:rFonts w:eastAsia="Calibri"/>
          <w:szCs w:val="28"/>
        </w:rPr>
        <w:t>)</w:t>
      </w:r>
      <w:r w:rsidRPr="00006A39">
        <w:rPr>
          <w:rFonts w:eastAsia="Calibri"/>
          <w:szCs w:val="28"/>
        </w:rPr>
        <w:t xml:space="preserve">.  </w:t>
      </w:r>
    </w:p>
    <w:p w:rsidR="007F136C" w:rsidRPr="00006A39" w:rsidRDefault="007F136C" w:rsidP="00721203">
      <w:pPr>
        <w:widowControl w:val="0"/>
        <w:jc w:val="right"/>
        <w:rPr>
          <w:rFonts w:eastAsia="Calibri"/>
          <w:i/>
          <w:szCs w:val="28"/>
        </w:rPr>
      </w:pPr>
      <w:r w:rsidRPr="00006A39">
        <w:rPr>
          <w:rFonts w:eastAsia="Calibri"/>
          <w:i/>
          <w:szCs w:val="28"/>
        </w:rPr>
        <w:t>Таблиця 6.4</w:t>
      </w:r>
    </w:p>
    <w:p w:rsidR="007F136C" w:rsidRPr="00006A39" w:rsidRDefault="007F136C" w:rsidP="00F34224">
      <w:pPr>
        <w:widowControl w:val="0"/>
        <w:jc w:val="center"/>
        <w:rPr>
          <w:rFonts w:eastAsia="Calibri"/>
          <w:b/>
          <w:szCs w:val="28"/>
        </w:rPr>
      </w:pPr>
      <w:r w:rsidRPr="00006A39">
        <w:rPr>
          <w:rFonts w:eastAsia="Calibri"/>
          <w:b/>
          <w:szCs w:val="28"/>
        </w:rPr>
        <w:t>Джерела  та бажання отримання батьками інформації щ</w:t>
      </w:r>
      <w:r w:rsidR="00F34224">
        <w:rPr>
          <w:rFonts w:eastAsia="Calibri"/>
          <w:b/>
          <w:szCs w:val="28"/>
        </w:rPr>
        <w:t xml:space="preserve">одо збереження здоров’я дітей, </w:t>
      </w:r>
      <w:r w:rsidRPr="00006A39">
        <w:rPr>
          <w:rFonts w:eastAsia="Calibri"/>
          <w:b/>
          <w:szCs w:val="28"/>
        </w:rPr>
        <w:t>попередження їх передчасної смерті та тактики дій при станах, які загрожують  життю</w:t>
      </w:r>
    </w:p>
    <w:tbl>
      <w:tblPr>
        <w:tblStyle w:val="a6"/>
        <w:tblW w:w="0" w:type="auto"/>
        <w:jc w:val="center"/>
        <w:tblInd w:w="-317" w:type="dxa"/>
        <w:tblLook w:val="04A0" w:firstRow="1" w:lastRow="0" w:firstColumn="1" w:lastColumn="0" w:noHBand="0" w:noVBand="1"/>
      </w:tblPr>
      <w:tblGrid>
        <w:gridCol w:w="7088"/>
        <w:gridCol w:w="1417"/>
        <w:gridCol w:w="1383"/>
      </w:tblGrid>
      <w:tr w:rsidR="007F136C" w:rsidRPr="00570BBF" w:rsidTr="00570BBF">
        <w:trPr>
          <w:jc w:val="center"/>
        </w:trPr>
        <w:tc>
          <w:tcPr>
            <w:tcW w:w="7088" w:type="dxa"/>
            <w:tcBorders>
              <w:top w:val="single" w:sz="4" w:space="0" w:color="auto"/>
              <w:left w:val="single" w:sz="4" w:space="0" w:color="auto"/>
              <w:bottom w:val="single" w:sz="4" w:space="0" w:color="auto"/>
              <w:right w:val="single" w:sz="4" w:space="0" w:color="auto"/>
            </w:tcBorders>
            <w:hideMark/>
          </w:tcPr>
          <w:p w:rsidR="00BF64A3" w:rsidRPr="00570BBF" w:rsidRDefault="007F136C" w:rsidP="00BF64A3">
            <w:pPr>
              <w:widowControl w:val="0"/>
              <w:spacing w:line="276" w:lineRule="auto"/>
              <w:jc w:val="center"/>
              <w:rPr>
                <w:rFonts w:ascii="Times New Roman" w:hAnsi="Times New Roman"/>
                <w:sz w:val="28"/>
                <w:szCs w:val="28"/>
                <w:lang w:val="uk-UA"/>
              </w:rPr>
            </w:pPr>
            <w:r w:rsidRPr="00570BBF">
              <w:rPr>
                <w:rFonts w:ascii="Times New Roman" w:hAnsi="Times New Roman"/>
                <w:sz w:val="28"/>
                <w:szCs w:val="28"/>
                <w:lang w:val="uk-UA"/>
              </w:rPr>
              <w:t>Показник</w:t>
            </w:r>
          </w:p>
        </w:tc>
        <w:tc>
          <w:tcPr>
            <w:tcW w:w="1417" w:type="dxa"/>
            <w:tcBorders>
              <w:top w:val="single" w:sz="4" w:space="0" w:color="auto"/>
              <w:left w:val="single" w:sz="4" w:space="0" w:color="auto"/>
              <w:bottom w:val="single" w:sz="4" w:space="0" w:color="auto"/>
              <w:right w:val="single" w:sz="4" w:space="0" w:color="auto"/>
            </w:tcBorders>
            <w:hideMark/>
          </w:tcPr>
          <w:p w:rsidR="007F136C" w:rsidRPr="00570BBF" w:rsidRDefault="007F136C" w:rsidP="00570BBF">
            <w:pPr>
              <w:widowControl w:val="0"/>
              <w:spacing w:line="276" w:lineRule="auto"/>
              <w:jc w:val="center"/>
              <w:rPr>
                <w:rFonts w:ascii="Times New Roman" w:hAnsi="Times New Roman"/>
                <w:sz w:val="28"/>
                <w:szCs w:val="28"/>
                <w:lang w:val="uk-UA"/>
              </w:rPr>
            </w:pPr>
            <w:r w:rsidRPr="00570BBF">
              <w:rPr>
                <w:rFonts w:ascii="Times New Roman" w:hAnsi="Times New Roman"/>
                <w:sz w:val="28"/>
                <w:szCs w:val="28"/>
                <w:lang w:val="uk-UA"/>
              </w:rPr>
              <w:t>Абс.</w:t>
            </w:r>
          </w:p>
        </w:tc>
        <w:tc>
          <w:tcPr>
            <w:tcW w:w="1383" w:type="dxa"/>
            <w:tcBorders>
              <w:top w:val="single" w:sz="4" w:space="0" w:color="auto"/>
              <w:left w:val="single" w:sz="4" w:space="0" w:color="auto"/>
              <w:bottom w:val="single" w:sz="4" w:space="0" w:color="auto"/>
              <w:right w:val="single" w:sz="4" w:space="0" w:color="auto"/>
            </w:tcBorders>
            <w:hideMark/>
          </w:tcPr>
          <w:p w:rsidR="007F136C" w:rsidRPr="00570BBF" w:rsidRDefault="007F136C" w:rsidP="00570BBF">
            <w:pPr>
              <w:widowControl w:val="0"/>
              <w:spacing w:line="276" w:lineRule="auto"/>
              <w:jc w:val="center"/>
              <w:rPr>
                <w:rFonts w:ascii="Times New Roman" w:hAnsi="Times New Roman"/>
                <w:sz w:val="28"/>
                <w:szCs w:val="28"/>
                <w:lang w:val="uk-UA"/>
              </w:rPr>
            </w:pPr>
            <w:r w:rsidRPr="00570BBF">
              <w:rPr>
                <w:rFonts w:ascii="Times New Roman" w:hAnsi="Times New Roman"/>
                <w:sz w:val="28"/>
                <w:szCs w:val="28"/>
                <w:lang w:val="uk-UA"/>
              </w:rPr>
              <w:t>Р ± m%</w:t>
            </w:r>
          </w:p>
        </w:tc>
      </w:tr>
      <w:tr w:rsidR="007F136C" w:rsidRPr="00570BBF" w:rsidTr="00570BBF">
        <w:trPr>
          <w:jc w:val="center"/>
        </w:trPr>
        <w:tc>
          <w:tcPr>
            <w:tcW w:w="9888" w:type="dxa"/>
            <w:gridSpan w:val="3"/>
            <w:tcBorders>
              <w:top w:val="single" w:sz="4" w:space="0" w:color="auto"/>
              <w:left w:val="single" w:sz="4" w:space="0" w:color="auto"/>
              <w:bottom w:val="single" w:sz="4" w:space="0" w:color="auto"/>
              <w:right w:val="single" w:sz="4" w:space="0" w:color="auto"/>
            </w:tcBorders>
            <w:hideMark/>
          </w:tcPr>
          <w:p w:rsidR="007F136C" w:rsidRDefault="007F136C" w:rsidP="00570BBF">
            <w:pPr>
              <w:widowControl w:val="0"/>
              <w:spacing w:line="276" w:lineRule="auto"/>
              <w:jc w:val="center"/>
              <w:rPr>
                <w:rFonts w:ascii="Times New Roman" w:hAnsi="Times New Roman"/>
                <w:sz w:val="28"/>
                <w:szCs w:val="28"/>
                <w:lang w:val="uk-UA"/>
              </w:rPr>
            </w:pPr>
            <w:r w:rsidRPr="00570BBF">
              <w:rPr>
                <w:rFonts w:ascii="Times New Roman" w:hAnsi="Times New Roman"/>
                <w:sz w:val="28"/>
                <w:szCs w:val="28"/>
                <w:lang w:val="uk-UA"/>
              </w:rPr>
              <w:t>Джерела отримання інформації</w:t>
            </w:r>
          </w:p>
          <w:p w:rsidR="00BF64A3" w:rsidRPr="00E043EF" w:rsidRDefault="00BF64A3" w:rsidP="00570BBF">
            <w:pPr>
              <w:widowControl w:val="0"/>
              <w:spacing w:line="276" w:lineRule="auto"/>
              <w:jc w:val="center"/>
              <w:rPr>
                <w:rFonts w:ascii="Times New Roman" w:hAnsi="Times New Roman"/>
                <w:sz w:val="28"/>
                <w:szCs w:val="28"/>
              </w:rPr>
            </w:pPr>
          </w:p>
        </w:tc>
      </w:tr>
      <w:tr w:rsidR="007F136C" w:rsidRPr="00570BBF" w:rsidTr="00570BBF">
        <w:trPr>
          <w:jc w:val="center"/>
        </w:trPr>
        <w:tc>
          <w:tcPr>
            <w:tcW w:w="7088" w:type="dxa"/>
            <w:tcBorders>
              <w:top w:val="single" w:sz="4" w:space="0" w:color="auto"/>
              <w:left w:val="single" w:sz="4" w:space="0" w:color="auto"/>
              <w:bottom w:val="single" w:sz="4" w:space="0" w:color="auto"/>
              <w:right w:val="single" w:sz="4" w:space="0" w:color="auto"/>
            </w:tcBorders>
            <w:hideMark/>
          </w:tcPr>
          <w:p w:rsidR="007F136C" w:rsidRPr="00570BBF" w:rsidRDefault="007F136C" w:rsidP="00570BBF">
            <w:pPr>
              <w:widowControl w:val="0"/>
              <w:spacing w:line="276" w:lineRule="auto"/>
              <w:rPr>
                <w:rFonts w:ascii="Times New Roman" w:hAnsi="Times New Roman"/>
                <w:color w:val="FF0000"/>
                <w:sz w:val="28"/>
                <w:szCs w:val="28"/>
                <w:lang w:val="uk-UA"/>
              </w:rPr>
            </w:pPr>
            <w:r w:rsidRPr="00570BBF">
              <w:rPr>
                <w:rFonts w:ascii="Times New Roman" w:hAnsi="Times New Roman"/>
                <w:sz w:val="28"/>
                <w:szCs w:val="28"/>
                <w:lang w:val="uk-UA"/>
              </w:rPr>
              <w:t>Школа відповідального батьківства</w:t>
            </w:r>
          </w:p>
        </w:tc>
        <w:tc>
          <w:tcPr>
            <w:tcW w:w="1417" w:type="dxa"/>
            <w:tcBorders>
              <w:top w:val="single" w:sz="4" w:space="0" w:color="auto"/>
              <w:left w:val="single" w:sz="4" w:space="0" w:color="auto"/>
              <w:bottom w:val="single" w:sz="4" w:space="0" w:color="auto"/>
              <w:right w:val="single" w:sz="4" w:space="0" w:color="auto"/>
            </w:tcBorders>
            <w:hideMark/>
          </w:tcPr>
          <w:p w:rsidR="007F136C" w:rsidRPr="00570BBF" w:rsidRDefault="007F136C" w:rsidP="00570BBF">
            <w:pPr>
              <w:widowControl w:val="0"/>
              <w:spacing w:line="276" w:lineRule="auto"/>
              <w:jc w:val="center"/>
              <w:rPr>
                <w:rFonts w:ascii="Times New Roman" w:hAnsi="Times New Roman"/>
                <w:sz w:val="28"/>
                <w:szCs w:val="28"/>
                <w:lang w:val="uk-UA"/>
              </w:rPr>
            </w:pPr>
            <w:r w:rsidRPr="00570BBF">
              <w:rPr>
                <w:rFonts w:ascii="Times New Roman" w:hAnsi="Times New Roman"/>
                <w:sz w:val="28"/>
                <w:szCs w:val="28"/>
                <w:lang w:val="uk-UA"/>
              </w:rPr>
              <w:t>54</w:t>
            </w:r>
          </w:p>
        </w:tc>
        <w:tc>
          <w:tcPr>
            <w:tcW w:w="1383" w:type="dxa"/>
            <w:tcBorders>
              <w:top w:val="single" w:sz="4" w:space="0" w:color="auto"/>
              <w:left w:val="single" w:sz="4" w:space="0" w:color="auto"/>
              <w:bottom w:val="single" w:sz="4" w:space="0" w:color="auto"/>
              <w:right w:val="single" w:sz="4" w:space="0" w:color="auto"/>
            </w:tcBorders>
            <w:hideMark/>
          </w:tcPr>
          <w:p w:rsidR="007F136C" w:rsidRPr="00570BBF" w:rsidRDefault="007F136C" w:rsidP="00570BBF">
            <w:pPr>
              <w:widowControl w:val="0"/>
              <w:spacing w:line="276" w:lineRule="auto"/>
              <w:jc w:val="center"/>
              <w:rPr>
                <w:rFonts w:ascii="Times New Roman" w:hAnsi="Times New Roman"/>
                <w:sz w:val="28"/>
                <w:szCs w:val="28"/>
                <w:lang w:val="uk-UA"/>
              </w:rPr>
            </w:pPr>
            <w:r w:rsidRPr="00570BBF">
              <w:rPr>
                <w:rFonts w:ascii="Times New Roman" w:hAnsi="Times New Roman"/>
                <w:sz w:val="28"/>
                <w:szCs w:val="28"/>
                <w:lang w:val="uk-UA"/>
              </w:rPr>
              <w:t>13,50±1,7</w:t>
            </w:r>
          </w:p>
        </w:tc>
      </w:tr>
      <w:tr w:rsidR="007F136C" w:rsidRPr="00570BBF" w:rsidTr="00570BBF">
        <w:trPr>
          <w:jc w:val="center"/>
        </w:trPr>
        <w:tc>
          <w:tcPr>
            <w:tcW w:w="7088" w:type="dxa"/>
            <w:tcBorders>
              <w:top w:val="single" w:sz="4" w:space="0" w:color="auto"/>
              <w:left w:val="single" w:sz="4" w:space="0" w:color="auto"/>
              <w:bottom w:val="single" w:sz="4" w:space="0" w:color="auto"/>
              <w:right w:val="single" w:sz="4" w:space="0" w:color="auto"/>
            </w:tcBorders>
            <w:hideMark/>
          </w:tcPr>
          <w:p w:rsidR="007F136C" w:rsidRPr="00570BBF" w:rsidRDefault="007F136C" w:rsidP="00570BBF">
            <w:pPr>
              <w:widowControl w:val="0"/>
              <w:spacing w:line="276" w:lineRule="auto"/>
              <w:rPr>
                <w:rFonts w:ascii="Times New Roman" w:hAnsi="Times New Roman"/>
                <w:sz w:val="28"/>
                <w:szCs w:val="28"/>
                <w:lang w:val="uk-UA"/>
              </w:rPr>
            </w:pPr>
            <w:r w:rsidRPr="00570BBF">
              <w:rPr>
                <w:rFonts w:ascii="Times New Roman" w:hAnsi="Times New Roman"/>
                <w:sz w:val="28"/>
                <w:szCs w:val="28"/>
                <w:lang w:val="uk-UA"/>
              </w:rPr>
              <w:t>Консультативна інформація від ЛЗП-СЛ</w:t>
            </w:r>
          </w:p>
        </w:tc>
        <w:tc>
          <w:tcPr>
            <w:tcW w:w="1417" w:type="dxa"/>
            <w:tcBorders>
              <w:top w:val="single" w:sz="4" w:space="0" w:color="auto"/>
              <w:left w:val="single" w:sz="4" w:space="0" w:color="auto"/>
              <w:bottom w:val="single" w:sz="4" w:space="0" w:color="auto"/>
              <w:right w:val="single" w:sz="4" w:space="0" w:color="auto"/>
            </w:tcBorders>
            <w:hideMark/>
          </w:tcPr>
          <w:p w:rsidR="007F136C" w:rsidRPr="00570BBF" w:rsidRDefault="007F136C" w:rsidP="00570BBF">
            <w:pPr>
              <w:widowControl w:val="0"/>
              <w:spacing w:line="276" w:lineRule="auto"/>
              <w:jc w:val="center"/>
              <w:rPr>
                <w:rFonts w:ascii="Times New Roman" w:hAnsi="Times New Roman"/>
                <w:sz w:val="28"/>
                <w:szCs w:val="28"/>
                <w:lang w:val="uk-UA"/>
              </w:rPr>
            </w:pPr>
            <w:r w:rsidRPr="00570BBF">
              <w:rPr>
                <w:rFonts w:ascii="Times New Roman" w:hAnsi="Times New Roman"/>
                <w:sz w:val="28"/>
                <w:szCs w:val="28"/>
                <w:lang w:val="uk-UA"/>
              </w:rPr>
              <w:t>152</w:t>
            </w:r>
          </w:p>
        </w:tc>
        <w:tc>
          <w:tcPr>
            <w:tcW w:w="1383" w:type="dxa"/>
            <w:tcBorders>
              <w:top w:val="single" w:sz="4" w:space="0" w:color="auto"/>
              <w:left w:val="single" w:sz="4" w:space="0" w:color="auto"/>
              <w:bottom w:val="single" w:sz="4" w:space="0" w:color="auto"/>
              <w:right w:val="single" w:sz="4" w:space="0" w:color="auto"/>
            </w:tcBorders>
            <w:hideMark/>
          </w:tcPr>
          <w:p w:rsidR="007F136C" w:rsidRPr="00570BBF" w:rsidRDefault="007F136C" w:rsidP="00570BBF">
            <w:pPr>
              <w:widowControl w:val="0"/>
              <w:spacing w:line="276" w:lineRule="auto"/>
              <w:jc w:val="center"/>
              <w:rPr>
                <w:rFonts w:ascii="Times New Roman" w:hAnsi="Times New Roman"/>
                <w:sz w:val="28"/>
                <w:szCs w:val="28"/>
                <w:lang w:val="uk-UA"/>
              </w:rPr>
            </w:pPr>
            <w:r w:rsidRPr="00570BBF">
              <w:rPr>
                <w:rFonts w:ascii="Times New Roman" w:hAnsi="Times New Roman"/>
                <w:sz w:val="28"/>
                <w:szCs w:val="28"/>
                <w:lang w:val="uk-UA"/>
              </w:rPr>
              <w:t>38,00±2,4</w:t>
            </w:r>
          </w:p>
        </w:tc>
      </w:tr>
      <w:tr w:rsidR="007F136C" w:rsidRPr="00570BBF" w:rsidTr="00570BBF">
        <w:trPr>
          <w:jc w:val="center"/>
        </w:trPr>
        <w:tc>
          <w:tcPr>
            <w:tcW w:w="7088" w:type="dxa"/>
            <w:tcBorders>
              <w:top w:val="single" w:sz="4" w:space="0" w:color="auto"/>
              <w:left w:val="single" w:sz="4" w:space="0" w:color="auto"/>
              <w:bottom w:val="single" w:sz="4" w:space="0" w:color="auto"/>
              <w:right w:val="single" w:sz="4" w:space="0" w:color="auto"/>
            </w:tcBorders>
            <w:hideMark/>
          </w:tcPr>
          <w:p w:rsidR="007F136C" w:rsidRPr="00570BBF" w:rsidRDefault="007F136C" w:rsidP="00570BBF">
            <w:pPr>
              <w:widowControl w:val="0"/>
              <w:spacing w:line="276" w:lineRule="auto"/>
              <w:rPr>
                <w:sz w:val="28"/>
                <w:szCs w:val="28"/>
                <w:lang w:val="uk-UA"/>
              </w:rPr>
            </w:pPr>
            <w:r w:rsidRPr="00570BBF">
              <w:rPr>
                <w:rFonts w:ascii="Times New Roman" w:hAnsi="Times New Roman"/>
                <w:sz w:val="28"/>
                <w:szCs w:val="28"/>
                <w:lang w:val="uk-UA"/>
              </w:rPr>
              <w:t>Консультативна інформація від сімейної медсестри</w:t>
            </w:r>
          </w:p>
        </w:tc>
        <w:tc>
          <w:tcPr>
            <w:tcW w:w="1417" w:type="dxa"/>
            <w:tcBorders>
              <w:top w:val="single" w:sz="4" w:space="0" w:color="auto"/>
              <w:left w:val="single" w:sz="4" w:space="0" w:color="auto"/>
              <w:bottom w:val="single" w:sz="4" w:space="0" w:color="auto"/>
              <w:right w:val="single" w:sz="4" w:space="0" w:color="auto"/>
            </w:tcBorders>
            <w:hideMark/>
          </w:tcPr>
          <w:p w:rsidR="007F136C" w:rsidRPr="00570BBF" w:rsidRDefault="007F136C" w:rsidP="00570BBF">
            <w:pPr>
              <w:widowControl w:val="0"/>
              <w:spacing w:line="276" w:lineRule="auto"/>
              <w:jc w:val="center"/>
              <w:rPr>
                <w:rFonts w:ascii="Times New Roman" w:hAnsi="Times New Roman"/>
                <w:sz w:val="28"/>
                <w:szCs w:val="28"/>
                <w:lang w:val="uk-UA"/>
              </w:rPr>
            </w:pPr>
            <w:r w:rsidRPr="00570BBF">
              <w:rPr>
                <w:rFonts w:ascii="Times New Roman" w:hAnsi="Times New Roman"/>
                <w:sz w:val="28"/>
                <w:szCs w:val="28"/>
                <w:lang w:val="uk-UA"/>
              </w:rPr>
              <w:t>147</w:t>
            </w:r>
          </w:p>
        </w:tc>
        <w:tc>
          <w:tcPr>
            <w:tcW w:w="1383" w:type="dxa"/>
            <w:tcBorders>
              <w:top w:val="single" w:sz="4" w:space="0" w:color="auto"/>
              <w:left w:val="single" w:sz="4" w:space="0" w:color="auto"/>
              <w:bottom w:val="single" w:sz="4" w:space="0" w:color="auto"/>
              <w:right w:val="single" w:sz="4" w:space="0" w:color="auto"/>
            </w:tcBorders>
            <w:hideMark/>
          </w:tcPr>
          <w:p w:rsidR="007F136C" w:rsidRPr="00570BBF" w:rsidRDefault="007F136C" w:rsidP="00570BBF">
            <w:pPr>
              <w:widowControl w:val="0"/>
              <w:spacing w:line="276" w:lineRule="auto"/>
              <w:jc w:val="center"/>
              <w:rPr>
                <w:rFonts w:ascii="Times New Roman" w:hAnsi="Times New Roman"/>
                <w:sz w:val="28"/>
                <w:szCs w:val="28"/>
                <w:lang w:val="uk-UA"/>
              </w:rPr>
            </w:pPr>
            <w:r w:rsidRPr="00570BBF">
              <w:rPr>
                <w:rFonts w:ascii="Times New Roman" w:hAnsi="Times New Roman"/>
                <w:sz w:val="28"/>
                <w:szCs w:val="28"/>
                <w:lang w:val="uk-UA"/>
              </w:rPr>
              <w:t>36,75±2,4</w:t>
            </w:r>
          </w:p>
        </w:tc>
      </w:tr>
      <w:tr w:rsidR="007F136C" w:rsidRPr="00570BBF" w:rsidTr="00570BBF">
        <w:trPr>
          <w:jc w:val="center"/>
        </w:trPr>
        <w:tc>
          <w:tcPr>
            <w:tcW w:w="7088" w:type="dxa"/>
            <w:tcBorders>
              <w:top w:val="single" w:sz="4" w:space="0" w:color="auto"/>
              <w:left w:val="single" w:sz="4" w:space="0" w:color="auto"/>
              <w:bottom w:val="single" w:sz="4" w:space="0" w:color="auto"/>
              <w:right w:val="single" w:sz="4" w:space="0" w:color="auto"/>
            </w:tcBorders>
            <w:hideMark/>
          </w:tcPr>
          <w:p w:rsidR="007F136C" w:rsidRPr="00570BBF" w:rsidRDefault="007F136C" w:rsidP="00570BBF">
            <w:pPr>
              <w:widowControl w:val="0"/>
              <w:spacing w:line="276" w:lineRule="auto"/>
              <w:rPr>
                <w:sz w:val="28"/>
                <w:szCs w:val="28"/>
                <w:lang w:val="uk-UA"/>
              </w:rPr>
            </w:pPr>
            <w:r w:rsidRPr="00570BBF">
              <w:rPr>
                <w:rFonts w:ascii="Times New Roman" w:hAnsi="Times New Roman"/>
                <w:sz w:val="28"/>
                <w:szCs w:val="28"/>
                <w:lang w:val="uk-UA"/>
              </w:rPr>
              <w:t>Консультативна інформація від  лікаря-педіатра</w:t>
            </w:r>
          </w:p>
        </w:tc>
        <w:tc>
          <w:tcPr>
            <w:tcW w:w="1417" w:type="dxa"/>
            <w:tcBorders>
              <w:top w:val="single" w:sz="4" w:space="0" w:color="auto"/>
              <w:left w:val="single" w:sz="4" w:space="0" w:color="auto"/>
              <w:bottom w:val="single" w:sz="4" w:space="0" w:color="auto"/>
              <w:right w:val="single" w:sz="4" w:space="0" w:color="auto"/>
            </w:tcBorders>
            <w:hideMark/>
          </w:tcPr>
          <w:p w:rsidR="007F136C" w:rsidRPr="00570BBF" w:rsidRDefault="007F136C" w:rsidP="00570BBF">
            <w:pPr>
              <w:widowControl w:val="0"/>
              <w:spacing w:line="276" w:lineRule="auto"/>
              <w:jc w:val="center"/>
              <w:rPr>
                <w:rFonts w:ascii="Times New Roman" w:hAnsi="Times New Roman"/>
                <w:sz w:val="28"/>
                <w:szCs w:val="28"/>
                <w:lang w:val="uk-UA"/>
              </w:rPr>
            </w:pPr>
            <w:r w:rsidRPr="00570BBF">
              <w:rPr>
                <w:rFonts w:ascii="Times New Roman" w:hAnsi="Times New Roman"/>
                <w:sz w:val="28"/>
                <w:szCs w:val="28"/>
                <w:lang w:val="uk-UA"/>
              </w:rPr>
              <w:t>179</w:t>
            </w:r>
          </w:p>
        </w:tc>
        <w:tc>
          <w:tcPr>
            <w:tcW w:w="1383" w:type="dxa"/>
            <w:tcBorders>
              <w:top w:val="single" w:sz="4" w:space="0" w:color="auto"/>
              <w:left w:val="single" w:sz="4" w:space="0" w:color="auto"/>
              <w:bottom w:val="single" w:sz="4" w:space="0" w:color="auto"/>
              <w:right w:val="single" w:sz="4" w:space="0" w:color="auto"/>
            </w:tcBorders>
            <w:hideMark/>
          </w:tcPr>
          <w:p w:rsidR="007F136C" w:rsidRPr="00570BBF" w:rsidRDefault="007F136C" w:rsidP="00570BBF">
            <w:pPr>
              <w:widowControl w:val="0"/>
              <w:spacing w:line="276" w:lineRule="auto"/>
              <w:jc w:val="center"/>
              <w:rPr>
                <w:rFonts w:ascii="Times New Roman" w:hAnsi="Times New Roman"/>
                <w:sz w:val="28"/>
                <w:szCs w:val="28"/>
                <w:lang w:val="uk-UA"/>
              </w:rPr>
            </w:pPr>
            <w:r w:rsidRPr="00570BBF">
              <w:rPr>
                <w:rFonts w:ascii="Times New Roman" w:hAnsi="Times New Roman"/>
                <w:sz w:val="28"/>
                <w:szCs w:val="28"/>
                <w:lang w:val="uk-UA"/>
              </w:rPr>
              <w:t>44,75±2,5</w:t>
            </w:r>
          </w:p>
        </w:tc>
      </w:tr>
      <w:tr w:rsidR="007F136C" w:rsidRPr="00570BBF" w:rsidTr="00570BBF">
        <w:trPr>
          <w:jc w:val="center"/>
        </w:trPr>
        <w:tc>
          <w:tcPr>
            <w:tcW w:w="7088" w:type="dxa"/>
            <w:tcBorders>
              <w:top w:val="single" w:sz="4" w:space="0" w:color="auto"/>
              <w:left w:val="single" w:sz="4" w:space="0" w:color="auto"/>
              <w:bottom w:val="single" w:sz="4" w:space="0" w:color="auto"/>
              <w:right w:val="single" w:sz="4" w:space="0" w:color="auto"/>
            </w:tcBorders>
            <w:hideMark/>
          </w:tcPr>
          <w:p w:rsidR="007F136C" w:rsidRPr="00570BBF" w:rsidRDefault="007F136C" w:rsidP="00570BBF">
            <w:pPr>
              <w:widowControl w:val="0"/>
              <w:spacing w:line="276" w:lineRule="auto"/>
              <w:rPr>
                <w:rFonts w:ascii="Times New Roman" w:hAnsi="Times New Roman"/>
                <w:sz w:val="28"/>
                <w:szCs w:val="28"/>
                <w:lang w:val="uk-UA"/>
              </w:rPr>
            </w:pPr>
            <w:r w:rsidRPr="00570BBF">
              <w:rPr>
                <w:rFonts w:ascii="Times New Roman" w:hAnsi="Times New Roman"/>
                <w:sz w:val="28"/>
                <w:szCs w:val="28"/>
                <w:lang w:val="uk-UA"/>
              </w:rPr>
              <w:t>Інформація від  колег</w:t>
            </w:r>
          </w:p>
        </w:tc>
        <w:tc>
          <w:tcPr>
            <w:tcW w:w="1417" w:type="dxa"/>
            <w:tcBorders>
              <w:top w:val="single" w:sz="4" w:space="0" w:color="auto"/>
              <w:left w:val="single" w:sz="4" w:space="0" w:color="auto"/>
              <w:bottom w:val="single" w:sz="4" w:space="0" w:color="auto"/>
              <w:right w:val="single" w:sz="4" w:space="0" w:color="auto"/>
            </w:tcBorders>
            <w:hideMark/>
          </w:tcPr>
          <w:p w:rsidR="007F136C" w:rsidRPr="00570BBF" w:rsidRDefault="007F136C" w:rsidP="00570BBF">
            <w:pPr>
              <w:widowControl w:val="0"/>
              <w:spacing w:line="276" w:lineRule="auto"/>
              <w:jc w:val="center"/>
              <w:rPr>
                <w:rFonts w:ascii="Times New Roman" w:hAnsi="Times New Roman"/>
                <w:sz w:val="28"/>
                <w:szCs w:val="28"/>
                <w:lang w:val="uk-UA"/>
              </w:rPr>
            </w:pPr>
            <w:r w:rsidRPr="00570BBF">
              <w:rPr>
                <w:rFonts w:ascii="Times New Roman" w:hAnsi="Times New Roman"/>
                <w:sz w:val="28"/>
                <w:szCs w:val="28"/>
                <w:lang w:val="uk-UA"/>
              </w:rPr>
              <w:t>64</w:t>
            </w:r>
          </w:p>
        </w:tc>
        <w:tc>
          <w:tcPr>
            <w:tcW w:w="1383" w:type="dxa"/>
            <w:tcBorders>
              <w:top w:val="single" w:sz="4" w:space="0" w:color="auto"/>
              <w:left w:val="single" w:sz="4" w:space="0" w:color="auto"/>
              <w:bottom w:val="single" w:sz="4" w:space="0" w:color="auto"/>
              <w:right w:val="single" w:sz="4" w:space="0" w:color="auto"/>
            </w:tcBorders>
            <w:hideMark/>
          </w:tcPr>
          <w:p w:rsidR="007F136C" w:rsidRPr="00570BBF" w:rsidRDefault="007F136C" w:rsidP="00570BBF">
            <w:pPr>
              <w:widowControl w:val="0"/>
              <w:spacing w:line="276" w:lineRule="auto"/>
              <w:jc w:val="center"/>
              <w:rPr>
                <w:rFonts w:ascii="Times New Roman" w:hAnsi="Times New Roman"/>
                <w:sz w:val="28"/>
                <w:szCs w:val="28"/>
                <w:lang w:val="uk-UA"/>
              </w:rPr>
            </w:pPr>
            <w:r w:rsidRPr="00570BBF">
              <w:rPr>
                <w:rFonts w:ascii="Times New Roman" w:hAnsi="Times New Roman"/>
                <w:sz w:val="28"/>
                <w:szCs w:val="28"/>
                <w:lang w:val="uk-UA"/>
              </w:rPr>
              <w:t>16,00±1,8</w:t>
            </w:r>
          </w:p>
        </w:tc>
      </w:tr>
      <w:tr w:rsidR="007F136C" w:rsidRPr="00570BBF" w:rsidTr="00570BBF">
        <w:trPr>
          <w:jc w:val="center"/>
        </w:trPr>
        <w:tc>
          <w:tcPr>
            <w:tcW w:w="7088" w:type="dxa"/>
            <w:tcBorders>
              <w:top w:val="single" w:sz="4" w:space="0" w:color="auto"/>
              <w:left w:val="single" w:sz="4" w:space="0" w:color="auto"/>
              <w:bottom w:val="single" w:sz="4" w:space="0" w:color="auto"/>
              <w:right w:val="single" w:sz="4" w:space="0" w:color="auto"/>
            </w:tcBorders>
            <w:hideMark/>
          </w:tcPr>
          <w:p w:rsidR="007F136C" w:rsidRPr="00570BBF" w:rsidRDefault="00D84414" w:rsidP="00570BBF">
            <w:pPr>
              <w:widowControl w:val="0"/>
              <w:spacing w:line="276" w:lineRule="auto"/>
              <w:rPr>
                <w:rFonts w:ascii="Times New Roman" w:hAnsi="Times New Roman"/>
                <w:sz w:val="28"/>
                <w:szCs w:val="28"/>
                <w:lang w:val="uk-UA"/>
              </w:rPr>
            </w:pPr>
            <w:r>
              <w:rPr>
                <w:rFonts w:ascii="Times New Roman" w:hAnsi="Times New Roman"/>
                <w:sz w:val="28"/>
                <w:szCs w:val="28"/>
                <w:lang w:val="uk-UA"/>
              </w:rPr>
              <w:t xml:space="preserve">Інформація від </w:t>
            </w:r>
            <w:r w:rsidR="007F136C" w:rsidRPr="00570BBF">
              <w:rPr>
                <w:rFonts w:ascii="Times New Roman" w:hAnsi="Times New Roman"/>
                <w:sz w:val="28"/>
                <w:szCs w:val="28"/>
                <w:lang w:val="uk-UA"/>
              </w:rPr>
              <w:t>батьків</w:t>
            </w:r>
          </w:p>
        </w:tc>
        <w:tc>
          <w:tcPr>
            <w:tcW w:w="1417" w:type="dxa"/>
            <w:tcBorders>
              <w:top w:val="single" w:sz="4" w:space="0" w:color="auto"/>
              <w:left w:val="single" w:sz="4" w:space="0" w:color="auto"/>
              <w:bottom w:val="single" w:sz="4" w:space="0" w:color="auto"/>
              <w:right w:val="single" w:sz="4" w:space="0" w:color="auto"/>
            </w:tcBorders>
            <w:hideMark/>
          </w:tcPr>
          <w:p w:rsidR="007F136C" w:rsidRPr="00570BBF" w:rsidRDefault="007F136C" w:rsidP="00570BBF">
            <w:pPr>
              <w:widowControl w:val="0"/>
              <w:spacing w:line="276" w:lineRule="auto"/>
              <w:jc w:val="center"/>
              <w:rPr>
                <w:rFonts w:ascii="Times New Roman" w:hAnsi="Times New Roman"/>
                <w:sz w:val="28"/>
                <w:szCs w:val="28"/>
                <w:lang w:val="uk-UA"/>
              </w:rPr>
            </w:pPr>
            <w:r w:rsidRPr="00570BBF">
              <w:rPr>
                <w:rFonts w:ascii="Times New Roman" w:hAnsi="Times New Roman"/>
                <w:sz w:val="28"/>
                <w:szCs w:val="28"/>
                <w:lang w:val="uk-UA"/>
              </w:rPr>
              <w:t>152</w:t>
            </w:r>
          </w:p>
        </w:tc>
        <w:tc>
          <w:tcPr>
            <w:tcW w:w="1383" w:type="dxa"/>
            <w:tcBorders>
              <w:top w:val="single" w:sz="4" w:space="0" w:color="auto"/>
              <w:left w:val="single" w:sz="4" w:space="0" w:color="auto"/>
              <w:bottom w:val="single" w:sz="4" w:space="0" w:color="auto"/>
              <w:right w:val="single" w:sz="4" w:space="0" w:color="auto"/>
            </w:tcBorders>
            <w:hideMark/>
          </w:tcPr>
          <w:p w:rsidR="007F136C" w:rsidRPr="00570BBF" w:rsidRDefault="007F136C" w:rsidP="00570BBF">
            <w:pPr>
              <w:widowControl w:val="0"/>
              <w:spacing w:line="276" w:lineRule="auto"/>
              <w:jc w:val="center"/>
              <w:rPr>
                <w:rFonts w:ascii="Times New Roman" w:hAnsi="Times New Roman"/>
                <w:sz w:val="28"/>
                <w:szCs w:val="28"/>
                <w:lang w:val="uk-UA"/>
              </w:rPr>
            </w:pPr>
            <w:r w:rsidRPr="00570BBF">
              <w:rPr>
                <w:rFonts w:ascii="Times New Roman" w:hAnsi="Times New Roman"/>
                <w:sz w:val="28"/>
                <w:szCs w:val="28"/>
                <w:lang w:val="uk-UA"/>
              </w:rPr>
              <w:t>38,00±2,4</w:t>
            </w:r>
          </w:p>
        </w:tc>
      </w:tr>
      <w:tr w:rsidR="007F136C" w:rsidRPr="00570BBF" w:rsidTr="00570BBF">
        <w:trPr>
          <w:jc w:val="center"/>
        </w:trPr>
        <w:tc>
          <w:tcPr>
            <w:tcW w:w="7088" w:type="dxa"/>
            <w:tcBorders>
              <w:top w:val="single" w:sz="4" w:space="0" w:color="auto"/>
              <w:left w:val="single" w:sz="4" w:space="0" w:color="auto"/>
              <w:bottom w:val="single" w:sz="4" w:space="0" w:color="auto"/>
              <w:right w:val="single" w:sz="4" w:space="0" w:color="auto"/>
            </w:tcBorders>
            <w:hideMark/>
          </w:tcPr>
          <w:p w:rsidR="007F136C" w:rsidRPr="00570BBF" w:rsidRDefault="00D84414" w:rsidP="00570BBF">
            <w:pPr>
              <w:widowControl w:val="0"/>
              <w:spacing w:line="276" w:lineRule="auto"/>
              <w:rPr>
                <w:rFonts w:ascii="Times New Roman" w:hAnsi="Times New Roman"/>
                <w:sz w:val="28"/>
                <w:szCs w:val="28"/>
                <w:lang w:val="uk-UA"/>
              </w:rPr>
            </w:pPr>
            <w:r>
              <w:rPr>
                <w:rFonts w:ascii="Times New Roman" w:hAnsi="Times New Roman"/>
                <w:sz w:val="28"/>
                <w:szCs w:val="28"/>
                <w:lang w:val="uk-UA"/>
              </w:rPr>
              <w:t xml:space="preserve">Інформація від </w:t>
            </w:r>
            <w:r w:rsidR="007F136C" w:rsidRPr="00570BBF">
              <w:rPr>
                <w:rFonts w:ascii="Times New Roman" w:hAnsi="Times New Roman"/>
                <w:sz w:val="28"/>
                <w:szCs w:val="28"/>
                <w:lang w:val="uk-UA"/>
              </w:rPr>
              <w:t>друзів</w:t>
            </w:r>
          </w:p>
        </w:tc>
        <w:tc>
          <w:tcPr>
            <w:tcW w:w="1417" w:type="dxa"/>
            <w:tcBorders>
              <w:top w:val="single" w:sz="4" w:space="0" w:color="auto"/>
              <w:left w:val="single" w:sz="4" w:space="0" w:color="auto"/>
              <w:bottom w:val="single" w:sz="4" w:space="0" w:color="auto"/>
              <w:right w:val="single" w:sz="4" w:space="0" w:color="auto"/>
            </w:tcBorders>
            <w:hideMark/>
          </w:tcPr>
          <w:p w:rsidR="007F136C" w:rsidRPr="00570BBF" w:rsidRDefault="007F136C" w:rsidP="00570BBF">
            <w:pPr>
              <w:widowControl w:val="0"/>
              <w:spacing w:line="276" w:lineRule="auto"/>
              <w:jc w:val="center"/>
              <w:rPr>
                <w:rFonts w:ascii="Times New Roman" w:hAnsi="Times New Roman"/>
                <w:sz w:val="28"/>
                <w:szCs w:val="28"/>
                <w:lang w:val="uk-UA"/>
              </w:rPr>
            </w:pPr>
            <w:r w:rsidRPr="00570BBF">
              <w:rPr>
                <w:rFonts w:ascii="Times New Roman" w:hAnsi="Times New Roman"/>
                <w:sz w:val="28"/>
                <w:szCs w:val="28"/>
                <w:lang w:val="uk-UA"/>
              </w:rPr>
              <w:t>96</w:t>
            </w:r>
          </w:p>
        </w:tc>
        <w:tc>
          <w:tcPr>
            <w:tcW w:w="1383" w:type="dxa"/>
            <w:tcBorders>
              <w:top w:val="single" w:sz="4" w:space="0" w:color="auto"/>
              <w:left w:val="single" w:sz="4" w:space="0" w:color="auto"/>
              <w:bottom w:val="single" w:sz="4" w:space="0" w:color="auto"/>
              <w:right w:val="single" w:sz="4" w:space="0" w:color="auto"/>
            </w:tcBorders>
            <w:hideMark/>
          </w:tcPr>
          <w:p w:rsidR="007F136C" w:rsidRPr="00570BBF" w:rsidRDefault="007F136C" w:rsidP="00570BBF">
            <w:pPr>
              <w:widowControl w:val="0"/>
              <w:spacing w:line="276" w:lineRule="auto"/>
              <w:jc w:val="center"/>
              <w:rPr>
                <w:rFonts w:ascii="Times New Roman" w:hAnsi="Times New Roman"/>
                <w:sz w:val="28"/>
                <w:szCs w:val="28"/>
                <w:lang w:val="uk-UA"/>
              </w:rPr>
            </w:pPr>
            <w:r w:rsidRPr="00570BBF">
              <w:rPr>
                <w:rFonts w:ascii="Times New Roman" w:hAnsi="Times New Roman"/>
                <w:sz w:val="28"/>
                <w:szCs w:val="28"/>
                <w:lang w:val="uk-UA"/>
              </w:rPr>
              <w:t>24,00±2,1</w:t>
            </w:r>
          </w:p>
        </w:tc>
      </w:tr>
      <w:tr w:rsidR="007F136C" w:rsidRPr="00570BBF" w:rsidTr="00570BBF">
        <w:trPr>
          <w:jc w:val="center"/>
        </w:trPr>
        <w:tc>
          <w:tcPr>
            <w:tcW w:w="7088" w:type="dxa"/>
            <w:tcBorders>
              <w:top w:val="single" w:sz="4" w:space="0" w:color="auto"/>
              <w:left w:val="single" w:sz="4" w:space="0" w:color="auto"/>
              <w:bottom w:val="single" w:sz="4" w:space="0" w:color="auto"/>
              <w:right w:val="single" w:sz="4" w:space="0" w:color="auto"/>
            </w:tcBorders>
            <w:hideMark/>
          </w:tcPr>
          <w:p w:rsidR="007F136C" w:rsidRPr="00570BBF" w:rsidRDefault="007F136C" w:rsidP="00570BBF">
            <w:pPr>
              <w:widowControl w:val="0"/>
              <w:spacing w:line="276" w:lineRule="auto"/>
              <w:rPr>
                <w:rFonts w:ascii="Times New Roman" w:hAnsi="Times New Roman"/>
                <w:sz w:val="28"/>
                <w:szCs w:val="28"/>
                <w:lang w:val="uk-UA"/>
              </w:rPr>
            </w:pPr>
            <w:r w:rsidRPr="00570BBF">
              <w:rPr>
                <w:rFonts w:ascii="Times New Roman" w:hAnsi="Times New Roman"/>
                <w:sz w:val="28"/>
                <w:szCs w:val="28"/>
                <w:lang w:val="uk-UA"/>
              </w:rPr>
              <w:t>Телебачення</w:t>
            </w:r>
          </w:p>
        </w:tc>
        <w:tc>
          <w:tcPr>
            <w:tcW w:w="1417" w:type="dxa"/>
            <w:tcBorders>
              <w:top w:val="single" w:sz="4" w:space="0" w:color="auto"/>
              <w:left w:val="single" w:sz="4" w:space="0" w:color="auto"/>
              <w:bottom w:val="single" w:sz="4" w:space="0" w:color="auto"/>
              <w:right w:val="single" w:sz="4" w:space="0" w:color="auto"/>
            </w:tcBorders>
            <w:hideMark/>
          </w:tcPr>
          <w:p w:rsidR="007F136C" w:rsidRPr="00570BBF" w:rsidRDefault="007F136C" w:rsidP="00570BBF">
            <w:pPr>
              <w:widowControl w:val="0"/>
              <w:spacing w:line="276" w:lineRule="auto"/>
              <w:jc w:val="center"/>
              <w:rPr>
                <w:rFonts w:ascii="Times New Roman" w:hAnsi="Times New Roman"/>
                <w:sz w:val="28"/>
                <w:szCs w:val="28"/>
                <w:lang w:val="uk-UA"/>
              </w:rPr>
            </w:pPr>
            <w:r w:rsidRPr="00570BBF">
              <w:rPr>
                <w:rFonts w:ascii="Times New Roman" w:hAnsi="Times New Roman"/>
                <w:sz w:val="28"/>
                <w:szCs w:val="28"/>
                <w:lang w:val="uk-UA"/>
              </w:rPr>
              <w:t>159</w:t>
            </w:r>
          </w:p>
        </w:tc>
        <w:tc>
          <w:tcPr>
            <w:tcW w:w="1383" w:type="dxa"/>
            <w:tcBorders>
              <w:top w:val="single" w:sz="4" w:space="0" w:color="auto"/>
              <w:left w:val="single" w:sz="4" w:space="0" w:color="auto"/>
              <w:bottom w:val="single" w:sz="4" w:space="0" w:color="auto"/>
              <w:right w:val="single" w:sz="4" w:space="0" w:color="auto"/>
            </w:tcBorders>
            <w:hideMark/>
          </w:tcPr>
          <w:p w:rsidR="007F136C" w:rsidRPr="00570BBF" w:rsidRDefault="007F136C" w:rsidP="00570BBF">
            <w:pPr>
              <w:widowControl w:val="0"/>
              <w:spacing w:line="276" w:lineRule="auto"/>
              <w:jc w:val="center"/>
              <w:rPr>
                <w:rFonts w:ascii="Times New Roman" w:hAnsi="Times New Roman"/>
                <w:sz w:val="28"/>
                <w:szCs w:val="28"/>
                <w:lang w:val="uk-UA"/>
              </w:rPr>
            </w:pPr>
            <w:r w:rsidRPr="00570BBF">
              <w:rPr>
                <w:rFonts w:ascii="Times New Roman" w:hAnsi="Times New Roman"/>
                <w:sz w:val="28"/>
                <w:szCs w:val="28"/>
                <w:lang w:val="uk-UA"/>
              </w:rPr>
              <w:t>39,75±2,4</w:t>
            </w:r>
          </w:p>
        </w:tc>
      </w:tr>
      <w:tr w:rsidR="007F136C" w:rsidRPr="00570BBF" w:rsidTr="00570BBF">
        <w:trPr>
          <w:jc w:val="center"/>
        </w:trPr>
        <w:tc>
          <w:tcPr>
            <w:tcW w:w="7088" w:type="dxa"/>
            <w:tcBorders>
              <w:top w:val="single" w:sz="4" w:space="0" w:color="auto"/>
              <w:left w:val="single" w:sz="4" w:space="0" w:color="auto"/>
              <w:bottom w:val="single" w:sz="4" w:space="0" w:color="auto"/>
              <w:right w:val="single" w:sz="4" w:space="0" w:color="auto"/>
            </w:tcBorders>
            <w:hideMark/>
          </w:tcPr>
          <w:p w:rsidR="007F136C" w:rsidRPr="00570BBF" w:rsidRDefault="007F136C" w:rsidP="00570BBF">
            <w:pPr>
              <w:widowControl w:val="0"/>
              <w:spacing w:line="276" w:lineRule="auto"/>
              <w:rPr>
                <w:rFonts w:ascii="Times New Roman" w:hAnsi="Times New Roman"/>
                <w:sz w:val="28"/>
                <w:szCs w:val="28"/>
                <w:lang w:val="uk-UA"/>
              </w:rPr>
            </w:pPr>
            <w:r w:rsidRPr="00570BBF">
              <w:rPr>
                <w:rFonts w:ascii="Times New Roman" w:hAnsi="Times New Roman"/>
                <w:sz w:val="28"/>
                <w:szCs w:val="28"/>
                <w:lang w:val="uk-UA"/>
              </w:rPr>
              <w:t>Інтернет</w:t>
            </w:r>
          </w:p>
        </w:tc>
        <w:tc>
          <w:tcPr>
            <w:tcW w:w="1417" w:type="dxa"/>
            <w:tcBorders>
              <w:top w:val="single" w:sz="4" w:space="0" w:color="auto"/>
              <w:left w:val="single" w:sz="4" w:space="0" w:color="auto"/>
              <w:bottom w:val="single" w:sz="4" w:space="0" w:color="auto"/>
              <w:right w:val="single" w:sz="4" w:space="0" w:color="auto"/>
            </w:tcBorders>
            <w:hideMark/>
          </w:tcPr>
          <w:p w:rsidR="007F136C" w:rsidRPr="00570BBF" w:rsidRDefault="007F136C" w:rsidP="00570BBF">
            <w:pPr>
              <w:widowControl w:val="0"/>
              <w:spacing w:line="276" w:lineRule="auto"/>
              <w:jc w:val="center"/>
              <w:rPr>
                <w:rFonts w:ascii="Times New Roman" w:hAnsi="Times New Roman"/>
                <w:sz w:val="28"/>
                <w:szCs w:val="28"/>
                <w:lang w:val="uk-UA"/>
              </w:rPr>
            </w:pPr>
            <w:r w:rsidRPr="00570BBF">
              <w:rPr>
                <w:rFonts w:ascii="Times New Roman" w:hAnsi="Times New Roman"/>
                <w:sz w:val="28"/>
                <w:szCs w:val="28"/>
                <w:lang w:val="uk-UA"/>
              </w:rPr>
              <w:t>239</w:t>
            </w:r>
          </w:p>
        </w:tc>
        <w:tc>
          <w:tcPr>
            <w:tcW w:w="1383" w:type="dxa"/>
            <w:tcBorders>
              <w:top w:val="single" w:sz="4" w:space="0" w:color="auto"/>
              <w:left w:val="single" w:sz="4" w:space="0" w:color="auto"/>
              <w:bottom w:val="single" w:sz="4" w:space="0" w:color="auto"/>
              <w:right w:val="single" w:sz="4" w:space="0" w:color="auto"/>
            </w:tcBorders>
            <w:hideMark/>
          </w:tcPr>
          <w:p w:rsidR="007F136C" w:rsidRPr="00570BBF" w:rsidRDefault="007F136C" w:rsidP="00570BBF">
            <w:pPr>
              <w:widowControl w:val="0"/>
              <w:spacing w:line="276" w:lineRule="auto"/>
              <w:jc w:val="center"/>
              <w:rPr>
                <w:rFonts w:ascii="Times New Roman" w:hAnsi="Times New Roman"/>
                <w:sz w:val="28"/>
                <w:szCs w:val="28"/>
                <w:lang w:val="uk-UA"/>
              </w:rPr>
            </w:pPr>
            <w:r w:rsidRPr="00570BBF">
              <w:rPr>
                <w:rFonts w:ascii="Times New Roman" w:hAnsi="Times New Roman"/>
                <w:sz w:val="28"/>
                <w:szCs w:val="28"/>
                <w:lang w:val="uk-UA"/>
              </w:rPr>
              <w:t>59,75±2,5</w:t>
            </w:r>
          </w:p>
        </w:tc>
      </w:tr>
      <w:tr w:rsidR="007F136C" w:rsidRPr="00570BBF" w:rsidTr="00570BBF">
        <w:trPr>
          <w:jc w:val="center"/>
        </w:trPr>
        <w:tc>
          <w:tcPr>
            <w:tcW w:w="7088" w:type="dxa"/>
            <w:tcBorders>
              <w:top w:val="single" w:sz="4" w:space="0" w:color="auto"/>
              <w:left w:val="single" w:sz="4" w:space="0" w:color="auto"/>
              <w:bottom w:val="single" w:sz="4" w:space="0" w:color="auto"/>
              <w:right w:val="single" w:sz="4" w:space="0" w:color="auto"/>
            </w:tcBorders>
            <w:hideMark/>
          </w:tcPr>
          <w:p w:rsidR="007F136C" w:rsidRPr="00570BBF" w:rsidRDefault="007F136C" w:rsidP="00570BBF">
            <w:pPr>
              <w:widowControl w:val="0"/>
              <w:spacing w:line="276" w:lineRule="auto"/>
              <w:rPr>
                <w:rFonts w:ascii="Times New Roman" w:hAnsi="Times New Roman"/>
                <w:sz w:val="28"/>
                <w:szCs w:val="28"/>
                <w:lang w:val="uk-UA"/>
              </w:rPr>
            </w:pPr>
            <w:r w:rsidRPr="00570BBF">
              <w:rPr>
                <w:rFonts w:ascii="Times New Roman" w:hAnsi="Times New Roman"/>
                <w:sz w:val="28"/>
                <w:szCs w:val="28"/>
                <w:lang w:val="uk-UA"/>
              </w:rPr>
              <w:t>Методична література</w:t>
            </w:r>
          </w:p>
        </w:tc>
        <w:tc>
          <w:tcPr>
            <w:tcW w:w="1417" w:type="dxa"/>
            <w:tcBorders>
              <w:top w:val="single" w:sz="4" w:space="0" w:color="auto"/>
              <w:left w:val="single" w:sz="4" w:space="0" w:color="auto"/>
              <w:bottom w:val="single" w:sz="4" w:space="0" w:color="auto"/>
              <w:right w:val="single" w:sz="4" w:space="0" w:color="auto"/>
            </w:tcBorders>
            <w:hideMark/>
          </w:tcPr>
          <w:p w:rsidR="007F136C" w:rsidRPr="00570BBF" w:rsidRDefault="007F136C" w:rsidP="00570BBF">
            <w:pPr>
              <w:widowControl w:val="0"/>
              <w:spacing w:line="276" w:lineRule="auto"/>
              <w:jc w:val="center"/>
              <w:rPr>
                <w:rFonts w:ascii="Times New Roman" w:hAnsi="Times New Roman"/>
                <w:sz w:val="28"/>
                <w:szCs w:val="28"/>
                <w:lang w:val="uk-UA"/>
              </w:rPr>
            </w:pPr>
            <w:r w:rsidRPr="00570BBF">
              <w:rPr>
                <w:rFonts w:ascii="Times New Roman" w:hAnsi="Times New Roman"/>
                <w:sz w:val="28"/>
                <w:szCs w:val="28"/>
                <w:lang w:val="uk-UA"/>
              </w:rPr>
              <w:t>74</w:t>
            </w:r>
          </w:p>
        </w:tc>
        <w:tc>
          <w:tcPr>
            <w:tcW w:w="1383" w:type="dxa"/>
            <w:tcBorders>
              <w:top w:val="single" w:sz="4" w:space="0" w:color="auto"/>
              <w:left w:val="single" w:sz="4" w:space="0" w:color="auto"/>
              <w:bottom w:val="single" w:sz="4" w:space="0" w:color="auto"/>
              <w:right w:val="single" w:sz="4" w:space="0" w:color="auto"/>
            </w:tcBorders>
            <w:hideMark/>
          </w:tcPr>
          <w:p w:rsidR="007F136C" w:rsidRPr="00570BBF" w:rsidRDefault="007F136C" w:rsidP="00570BBF">
            <w:pPr>
              <w:widowControl w:val="0"/>
              <w:spacing w:line="276" w:lineRule="auto"/>
              <w:jc w:val="center"/>
              <w:rPr>
                <w:rFonts w:ascii="Times New Roman" w:hAnsi="Times New Roman"/>
                <w:sz w:val="28"/>
                <w:szCs w:val="28"/>
                <w:lang w:val="uk-UA"/>
              </w:rPr>
            </w:pPr>
            <w:r w:rsidRPr="00570BBF">
              <w:rPr>
                <w:rFonts w:ascii="Times New Roman" w:hAnsi="Times New Roman"/>
                <w:sz w:val="28"/>
                <w:szCs w:val="28"/>
                <w:lang w:val="uk-UA"/>
              </w:rPr>
              <w:t>18,50±1,9</w:t>
            </w:r>
          </w:p>
        </w:tc>
      </w:tr>
      <w:tr w:rsidR="007F136C" w:rsidRPr="00570BBF" w:rsidTr="00570BBF">
        <w:trPr>
          <w:jc w:val="center"/>
        </w:trPr>
        <w:tc>
          <w:tcPr>
            <w:tcW w:w="9888" w:type="dxa"/>
            <w:gridSpan w:val="3"/>
            <w:tcBorders>
              <w:top w:val="single" w:sz="4" w:space="0" w:color="auto"/>
              <w:left w:val="single" w:sz="4" w:space="0" w:color="auto"/>
              <w:bottom w:val="single" w:sz="4" w:space="0" w:color="auto"/>
              <w:right w:val="single" w:sz="4" w:space="0" w:color="auto"/>
            </w:tcBorders>
            <w:hideMark/>
          </w:tcPr>
          <w:p w:rsidR="007F136C" w:rsidRDefault="007F136C" w:rsidP="00570BBF">
            <w:pPr>
              <w:widowControl w:val="0"/>
              <w:spacing w:line="276" w:lineRule="auto"/>
              <w:jc w:val="center"/>
              <w:rPr>
                <w:rFonts w:ascii="Times New Roman" w:hAnsi="Times New Roman"/>
                <w:sz w:val="28"/>
                <w:szCs w:val="28"/>
                <w:lang w:val="uk-UA"/>
              </w:rPr>
            </w:pPr>
            <w:r w:rsidRPr="00570BBF">
              <w:rPr>
                <w:rFonts w:ascii="Times New Roman" w:hAnsi="Times New Roman"/>
                <w:sz w:val="28"/>
                <w:szCs w:val="28"/>
                <w:lang w:val="uk-UA"/>
              </w:rPr>
              <w:t>Бажання регулярно отримувати інформацію</w:t>
            </w:r>
          </w:p>
          <w:p w:rsidR="00BF64A3" w:rsidRPr="00570BBF" w:rsidRDefault="00BF64A3" w:rsidP="00570BBF">
            <w:pPr>
              <w:widowControl w:val="0"/>
              <w:spacing w:line="276" w:lineRule="auto"/>
              <w:jc w:val="center"/>
              <w:rPr>
                <w:rFonts w:ascii="Times New Roman" w:hAnsi="Times New Roman"/>
                <w:sz w:val="28"/>
                <w:szCs w:val="28"/>
                <w:lang w:val="uk-UA"/>
              </w:rPr>
            </w:pPr>
          </w:p>
        </w:tc>
      </w:tr>
      <w:tr w:rsidR="007F136C" w:rsidRPr="00570BBF" w:rsidTr="00570BBF">
        <w:trPr>
          <w:jc w:val="center"/>
        </w:trPr>
        <w:tc>
          <w:tcPr>
            <w:tcW w:w="7088" w:type="dxa"/>
            <w:tcBorders>
              <w:top w:val="single" w:sz="4" w:space="0" w:color="auto"/>
              <w:left w:val="single" w:sz="4" w:space="0" w:color="auto"/>
              <w:bottom w:val="single" w:sz="4" w:space="0" w:color="auto"/>
              <w:right w:val="single" w:sz="4" w:space="0" w:color="auto"/>
            </w:tcBorders>
            <w:hideMark/>
          </w:tcPr>
          <w:p w:rsidR="007F136C" w:rsidRPr="00570BBF" w:rsidRDefault="007F136C" w:rsidP="00570BBF">
            <w:pPr>
              <w:widowControl w:val="0"/>
              <w:spacing w:line="276" w:lineRule="auto"/>
              <w:rPr>
                <w:rFonts w:ascii="Times New Roman" w:hAnsi="Times New Roman"/>
                <w:sz w:val="28"/>
                <w:szCs w:val="28"/>
                <w:lang w:val="uk-UA"/>
              </w:rPr>
            </w:pPr>
            <w:r w:rsidRPr="00570BBF">
              <w:rPr>
                <w:rFonts w:ascii="Times New Roman" w:hAnsi="Times New Roman"/>
                <w:sz w:val="28"/>
                <w:szCs w:val="28"/>
                <w:lang w:val="uk-UA"/>
              </w:rPr>
              <w:t>Бажає отримувати інформацію регулярно</w:t>
            </w:r>
          </w:p>
        </w:tc>
        <w:tc>
          <w:tcPr>
            <w:tcW w:w="1417" w:type="dxa"/>
            <w:tcBorders>
              <w:top w:val="single" w:sz="4" w:space="0" w:color="auto"/>
              <w:left w:val="single" w:sz="4" w:space="0" w:color="auto"/>
              <w:bottom w:val="single" w:sz="4" w:space="0" w:color="auto"/>
              <w:right w:val="single" w:sz="4" w:space="0" w:color="auto"/>
            </w:tcBorders>
            <w:hideMark/>
          </w:tcPr>
          <w:p w:rsidR="007F136C" w:rsidRPr="00570BBF" w:rsidRDefault="007F136C" w:rsidP="00570BBF">
            <w:pPr>
              <w:widowControl w:val="0"/>
              <w:spacing w:line="276" w:lineRule="auto"/>
              <w:jc w:val="center"/>
              <w:rPr>
                <w:rFonts w:ascii="Times New Roman" w:hAnsi="Times New Roman"/>
                <w:sz w:val="28"/>
                <w:szCs w:val="28"/>
                <w:lang w:val="uk-UA"/>
              </w:rPr>
            </w:pPr>
            <w:r w:rsidRPr="00570BBF">
              <w:rPr>
                <w:rFonts w:ascii="Times New Roman" w:hAnsi="Times New Roman"/>
                <w:sz w:val="28"/>
                <w:szCs w:val="28"/>
                <w:lang w:val="uk-UA"/>
              </w:rPr>
              <w:t>327</w:t>
            </w:r>
          </w:p>
        </w:tc>
        <w:tc>
          <w:tcPr>
            <w:tcW w:w="1383" w:type="dxa"/>
            <w:tcBorders>
              <w:top w:val="single" w:sz="4" w:space="0" w:color="auto"/>
              <w:left w:val="single" w:sz="4" w:space="0" w:color="auto"/>
              <w:bottom w:val="single" w:sz="4" w:space="0" w:color="auto"/>
              <w:right w:val="single" w:sz="4" w:space="0" w:color="auto"/>
            </w:tcBorders>
            <w:hideMark/>
          </w:tcPr>
          <w:p w:rsidR="007F136C" w:rsidRPr="00570BBF" w:rsidRDefault="007F136C" w:rsidP="00570BBF">
            <w:pPr>
              <w:widowControl w:val="0"/>
              <w:spacing w:line="276" w:lineRule="auto"/>
              <w:jc w:val="center"/>
              <w:rPr>
                <w:rFonts w:ascii="Times New Roman" w:hAnsi="Times New Roman"/>
                <w:sz w:val="28"/>
                <w:szCs w:val="28"/>
                <w:lang w:val="uk-UA"/>
              </w:rPr>
            </w:pPr>
            <w:r w:rsidRPr="00570BBF">
              <w:rPr>
                <w:rFonts w:ascii="Times New Roman" w:hAnsi="Times New Roman"/>
                <w:sz w:val="28"/>
                <w:szCs w:val="28"/>
                <w:lang w:val="uk-UA"/>
              </w:rPr>
              <w:t>81,75±1,9</w:t>
            </w:r>
          </w:p>
        </w:tc>
      </w:tr>
      <w:tr w:rsidR="007F136C" w:rsidRPr="00570BBF" w:rsidTr="00570BBF">
        <w:trPr>
          <w:jc w:val="center"/>
        </w:trPr>
        <w:tc>
          <w:tcPr>
            <w:tcW w:w="7088" w:type="dxa"/>
            <w:tcBorders>
              <w:top w:val="single" w:sz="4" w:space="0" w:color="auto"/>
              <w:left w:val="single" w:sz="4" w:space="0" w:color="auto"/>
              <w:bottom w:val="single" w:sz="4" w:space="0" w:color="auto"/>
              <w:right w:val="single" w:sz="4" w:space="0" w:color="auto"/>
            </w:tcBorders>
            <w:hideMark/>
          </w:tcPr>
          <w:p w:rsidR="007F136C" w:rsidRPr="00570BBF" w:rsidRDefault="007F136C" w:rsidP="00570BBF">
            <w:pPr>
              <w:widowControl w:val="0"/>
              <w:spacing w:line="276" w:lineRule="auto"/>
              <w:rPr>
                <w:rFonts w:ascii="Times New Roman" w:hAnsi="Times New Roman"/>
                <w:sz w:val="28"/>
                <w:szCs w:val="28"/>
                <w:lang w:val="uk-UA"/>
              </w:rPr>
            </w:pPr>
            <w:r w:rsidRPr="00570BBF">
              <w:rPr>
                <w:rFonts w:ascii="Times New Roman" w:hAnsi="Times New Roman"/>
                <w:sz w:val="28"/>
                <w:szCs w:val="28"/>
                <w:lang w:val="uk-UA"/>
              </w:rPr>
              <w:t>Не бажає отримувати інформацію</w:t>
            </w:r>
          </w:p>
        </w:tc>
        <w:tc>
          <w:tcPr>
            <w:tcW w:w="1417" w:type="dxa"/>
            <w:tcBorders>
              <w:top w:val="single" w:sz="4" w:space="0" w:color="auto"/>
              <w:left w:val="single" w:sz="4" w:space="0" w:color="auto"/>
              <w:bottom w:val="single" w:sz="4" w:space="0" w:color="auto"/>
              <w:right w:val="single" w:sz="4" w:space="0" w:color="auto"/>
            </w:tcBorders>
            <w:hideMark/>
          </w:tcPr>
          <w:p w:rsidR="007F136C" w:rsidRPr="00570BBF" w:rsidRDefault="007F136C" w:rsidP="00570BBF">
            <w:pPr>
              <w:widowControl w:val="0"/>
              <w:spacing w:line="276" w:lineRule="auto"/>
              <w:jc w:val="center"/>
              <w:rPr>
                <w:rFonts w:ascii="Times New Roman" w:hAnsi="Times New Roman"/>
                <w:sz w:val="28"/>
                <w:szCs w:val="28"/>
                <w:lang w:val="uk-UA"/>
              </w:rPr>
            </w:pPr>
            <w:r w:rsidRPr="00570BBF">
              <w:rPr>
                <w:rFonts w:ascii="Times New Roman" w:hAnsi="Times New Roman"/>
                <w:sz w:val="28"/>
                <w:szCs w:val="28"/>
                <w:lang w:val="uk-UA"/>
              </w:rPr>
              <w:t>41</w:t>
            </w:r>
          </w:p>
        </w:tc>
        <w:tc>
          <w:tcPr>
            <w:tcW w:w="1383" w:type="dxa"/>
            <w:tcBorders>
              <w:top w:val="single" w:sz="4" w:space="0" w:color="auto"/>
              <w:left w:val="single" w:sz="4" w:space="0" w:color="auto"/>
              <w:bottom w:val="single" w:sz="4" w:space="0" w:color="auto"/>
              <w:right w:val="single" w:sz="4" w:space="0" w:color="auto"/>
            </w:tcBorders>
            <w:hideMark/>
          </w:tcPr>
          <w:p w:rsidR="007F136C" w:rsidRPr="00570BBF" w:rsidRDefault="007F136C" w:rsidP="00570BBF">
            <w:pPr>
              <w:widowControl w:val="0"/>
              <w:spacing w:line="276" w:lineRule="auto"/>
              <w:jc w:val="center"/>
              <w:rPr>
                <w:rFonts w:ascii="Times New Roman" w:hAnsi="Times New Roman"/>
                <w:sz w:val="28"/>
                <w:szCs w:val="28"/>
                <w:lang w:val="uk-UA"/>
              </w:rPr>
            </w:pPr>
            <w:r w:rsidRPr="00570BBF">
              <w:rPr>
                <w:rFonts w:ascii="Times New Roman" w:hAnsi="Times New Roman"/>
                <w:sz w:val="28"/>
                <w:szCs w:val="28"/>
                <w:lang w:val="uk-UA"/>
              </w:rPr>
              <w:t>10,25±1,5</w:t>
            </w:r>
          </w:p>
        </w:tc>
      </w:tr>
      <w:tr w:rsidR="007F136C" w:rsidRPr="00570BBF" w:rsidTr="00570BBF">
        <w:trPr>
          <w:jc w:val="center"/>
        </w:trPr>
        <w:tc>
          <w:tcPr>
            <w:tcW w:w="7088" w:type="dxa"/>
            <w:tcBorders>
              <w:top w:val="single" w:sz="4" w:space="0" w:color="auto"/>
              <w:left w:val="single" w:sz="4" w:space="0" w:color="auto"/>
              <w:bottom w:val="single" w:sz="4" w:space="0" w:color="auto"/>
              <w:right w:val="single" w:sz="4" w:space="0" w:color="auto"/>
            </w:tcBorders>
            <w:hideMark/>
          </w:tcPr>
          <w:p w:rsidR="007F136C" w:rsidRPr="00570BBF" w:rsidRDefault="007F136C" w:rsidP="00570BBF">
            <w:pPr>
              <w:widowControl w:val="0"/>
              <w:spacing w:line="276" w:lineRule="auto"/>
              <w:rPr>
                <w:rFonts w:ascii="Times New Roman" w:hAnsi="Times New Roman"/>
                <w:sz w:val="28"/>
                <w:szCs w:val="28"/>
                <w:lang w:val="uk-UA"/>
              </w:rPr>
            </w:pPr>
            <w:r w:rsidRPr="00570BBF">
              <w:rPr>
                <w:rFonts w:ascii="Times New Roman" w:hAnsi="Times New Roman"/>
                <w:sz w:val="28"/>
                <w:szCs w:val="28"/>
                <w:lang w:val="uk-UA"/>
              </w:rPr>
              <w:t>Не визначився</w:t>
            </w:r>
          </w:p>
        </w:tc>
        <w:tc>
          <w:tcPr>
            <w:tcW w:w="1417" w:type="dxa"/>
            <w:tcBorders>
              <w:top w:val="single" w:sz="4" w:space="0" w:color="auto"/>
              <w:left w:val="single" w:sz="4" w:space="0" w:color="auto"/>
              <w:bottom w:val="single" w:sz="4" w:space="0" w:color="auto"/>
              <w:right w:val="single" w:sz="4" w:space="0" w:color="auto"/>
            </w:tcBorders>
            <w:hideMark/>
          </w:tcPr>
          <w:p w:rsidR="007F136C" w:rsidRPr="00570BBF" w:rsidRDefault="007F136C" w:rsidP="00570BBF">
            <w:pPr>
              <w:widowControl w:val="0"/>
              <w:spacing w:line="276" w:lineRule="auto"/>
              <w:jc w:val="center"/>
              <w:rPr>
                <w:rFonts w:ascii="Times New Roman" w:hAnsi="Times New Roman"/>
                <w:sz w:val="28"/>
                <w:szCs w:val="28"/>
                <w:lang w:val="uk-UA"/>
              </w:rPr>
            </w:pPr>
            <w:r w:rsidRPr="00570BBF">
              <w:rPr>
                <w:rFonts w:ascii="Times New Roman" w:hAnsi="Times New Roman"/>
                <w:sz w:val="28"/>
                <w:szCs w:val="28"/>
                <w:lang w:val="uk-UA"/>
              </w:rPr>
              <w:t>32</w:t>
            </w:r>
          </w:p>
        </w:tc>
        <w:tc>
          <w:tcPr>
            <w:tcW w:w="1383" w:type="dxa"/>
            <w:tcBorders>
              <w:top w:val="single" w:sz="4" w:space="0" w:color="auto"/>
              <w:left w:val="single" w:sz="4" w:space="0" w:color="auto"/>
              <w:bottom w:val="single" w:sz="4" w:space="0" w:color="auto"/>
              <w:right w:val="single" w:sz="4" w:space="0" w:color="auto"/>
            </w:tcBorders>
            <w:hideMark/>
          </w:tcPr>
          <w:p w:rsidR="007F136C" w:rsidRPr="00570BBF" w:rsidRDefault="007F136C" w:rsidP="00570BBF">
            <w:pPr>
              <w:widowControl w:val="0"/>
              <w:spacing w:line="276" w:lineRule="auto"/>
              <w:jc w:val="center"/>
              <w:rPr>
                <w:rFonts w:ascii="Times New Roman" w:hAnsi="Times New Roman"/>
                <w:sz w:val="28"/>
                <w:szCs w:val="28"/>
                <w:lang w:val="uk-UA"/>
              </w:rPr>
            </w:pPr>
            <w:r w:rsidRPr="00570BBF">
              <w:rPr>
                <w:rFonts w:ascii="Times New Roman" w:hAnsi="Times New Roman"/>
                <w:sz w:val="28"/>
                <w:szCs w:val="28"/>
                <w:lang w:val="uk-UA"/>
              </w:rPr>
              <w:t>8,00±1,4</w:t>
            </w:r>
          </w:p>
        </w:tc>
      </w:tr>
      <w:tr w:rsidR="007F136C" w:rsidRPr="00570BBF" w:rsidTr="00570BBF">
        <w:trPr>
          <w:jc w:val="center"/>
        </w:trPr>
        <w:tc>
          <w:tcPr>
            <w:tcW w:w="9888" w:type="dxa"/>
            <w:gridSpan w:val="3"/>
            <w:tcBorders>
              <w:top w:val="single" w:sz="4" w:space="0" w:color="auto"/>
              <w:left w:val="single" w:sz="4" w:space="0" w:color="auto"/>
              <w:bottom w:val="single" w:sz="4" w:space="0" w:color="auto"/>
              <w:right w:val="single" w:sz="4" w:space="0" w:color="auto"/>
            </w:tcBorders>
            <w:hideMark/>
          </w:tcPr>
          <w:p w:rsidR="007F136C" w:rsidRDefault="007F136C" w:rsidP="00570BBF">
            <w:pPr>
              <w:widowControl w:val="0"/>
              <w:spacing w:line="276" w:lineRule="auto"/>
              <w:jc w:val="center"/>
              <w:rPr>
                <w:rFonts w:ascii="Times New Roman" w:hAnsi="Times New Roman"/>
                <w:sz w:val="28"/>
                <w:szCs w:val="28"/>
                <w:lang w:val="uk-UA"/>
              </w:rPr>
            </w:pPr>
            <w:r w:rsidRPr="00570BBF">
              <w:rPr>
                <w:rFonts w:ascii="Times New Roman" w:hAnsi="Times New Roman"/>
                <w:sz w:val="28"/>
                <w:szCs w:val="28"/>
                <w:lang w:val="uk-UA"/>
              </w:rPr>
              <w:t>Найзручніші способи</w:t>
            </w:r>
            <w:r w:rsidRPr="00570BBF">
              <w:rPr>
                <w:rFonts w:ascii="Times New Roman" w:hAnsi="Times New Roman"/>
                <w:color w:val="FF0000"/>
                <w:sz w:val="28"/>
                <w:szCs w:val="28"/>
                <w:lang w:val="uk-UA"/>
              </w:rPr>
              <w:t xml:space="preserve">  </w:t>
            </w:r>
            <w:r w:rsidRPr="00570BBF">
              <w:rPr>
                <w:rFonts w:ascii="Times New Roman" w:hAnsi="Times New Roman"/>
                <w:sz w:val="28"/>
                <w:szCs w:val="28"/>
                <w:lang w:val="uk-UA"/>
              </w:rPr>
              <w:t>отримання інформації</w:t>
            </w:r>
          </w:p>
          <w:p w:rsidR="00BF64A3" w:rsidRPr="00570BBF" w:rsidRDefault="00BF64A3" w:rsidP="00570BBF">
            <w:pPr>
              <w:widowControl w:val="0"/>
              <w:spacing w:line="276" w:lineRule="auto"/>
              <w:jc w:val="center"/>
              <w:rPr>
                <w:rFonts w:ascii="Times New Roman" w:hAnsi="Times New Roman"/>
                <w:b/>
                <w:color w:val="FF0000"/>
                <w:sz w:val="28"/>
                <w:szCs w:val="28"/>
                <w:lang w:val="uk-UA"/>
              </w:rPr>
            </w:pPr>
          </w:p>
        </w:tc>
      </w:tr>
      <w:tr w:rsidR="007F136C" w:rsidRPr="00570BBF" w:rsidTr="00570BBF">
        <w:trPr>
          <w:jc w:val="center"/>
        </w:trPr>
        <w:tc>
          <w:tcPr>
            <w:tcW w:w="7088" w:type="dxa"/>
            <w:tcBorders>
              <w:top w:val="single" w:sz="4" w:space="0" w:color="auto"/>
              <w:left w:val="single" w:sz="4" w:space="0" w:color="auto"/>
              <w:bottom w:val="single" w:sz="4" w:space="0" w:color="auto"/>
              <w:right w:val="single" w:sz="4" w:space="0" w:color="auto"/>
            </w:tcBorders>
            <w:hideMark/>
          </w:tcPr>
          <w:p w:rsidR="007F136C" w:rsidRPr="00570BBF" w:rsidRDefault="007F136C" w:rsidP="00570BBF">
            <w:pPr>
              <w:widowControl w:val="0"/>
              <w:spacing w:line="276" w:lineRule="auto"/>
              <w:rPr>
                <w:rFonts w:ascii="Times New Roman" w:hAnsi="Times New Roman"/>
                <w:b/>
                <w:sz w:val="28"/>
                <w:szCs w:val="28"/>
                <w:lang w:val="uk-UA"/>
              </w:rPr>
            </w:pPr>
            <w:r w:rsidRPr="00570BBF">
              <w:rPr>
                <w:rFonts w:ascii="Times New Roman" w:hAnsi="Times New Roman"/>
                <w:sz w:val="28"/>
                <w:szCs w:val="28"/>
                <w:lang w:val="uk-UA"/>
              </w:rPr>
              <w:t>Школа відповідального батьківства</w:t>
            </w:r>
          </w:p>
        </w:tc>
        <w:tc>
          <w:tcPr>
            <w:tcW w:w="1417" w:type="dxa"/>
            <w:tcBorders>
              <w:top w:val="single" w:sz="4" w:space="0" w:color="auto"/>
              <w:left w:val="single" w:sz="4" w:space="0" w:color="auto"/>
              <w:bottom w:val="single" w:sz="4" w:space="0" w:color="auto"/>
              <w:right w:val="single" w:sz="4" w:space="0" w:color="auto"/>
            </w:tcBorders>
            <w:hideMark/>
          </w:tcPr>
          <w:p w:rsidR="007F136C" w:rsidRPr="00570BBF" w:rsidRDefault="007F136C" w:rsidP="00570BBF">
            <w:pPr>
              <w:widowControl w:val="0"/>
              <w:spacing w:line="276" w:lineRule="auto"/>
              <w:jc w:val="center"/>
              <w:rPr>
                <w:rFonts w:ascii="Times New Roman" w:hAnsi="Times New Roman"/>
                <w:sz w:val="28"/>
                <w:szCs w:val="28"/>
                <w:lang w:val="uk-UA"/>
              </w:rPr>
            </w:pPr>
            <w:r w:rsidRPr="00570BBF">
              <w:rPr>
                <w:rFonts w:ascii="Times New Roman" w:hAnsi="Times New Roman"/>
                <w:sz w:val="28"/>
                <w:szCs w:val="28"/>
                <w:lang w:val="uk-UA"/>
              </w:rPr>
              <w:t>193</w:t>
            </w:r>
          </w:p>
        </w:tc>
        <w:tc>
          <w:tcPr>
            <w:tcW w:w="1383" w:type="dxa"/>
            <w:tcBorders>
              <w:top w:val="single" w:sz="4" w:space="0" w:color="auto"/>
              <w:left w:val="single" w:sz="4" w:space="0" w:color="auto"/>
              <w:bottom w:val="single" w:sz="4" w:space="0" w:color="auto"/>
              <w:right w:val="single" w:sz="4" w:space="0" w:color="auto"/>
            </w:tcBorders>
            <w:hideMark/>
          </w:tcPr>
          <w:p w:rsidR="007F136C" w:rsidRPr="00570BBF" w:rsidRDefault="007F136C" w:rsidP="00570BBF">
            <w:pPr>
              <w:widowControl w:val="0"/>
              <w:spacing w:line="276" w:lineRule="auto"/>
              <w:jc w:val="center"/>
              <w:rPr>
                <w:rFonts w:ascii="Times New Roman" w:hAnsi="Times New Roman"/>
                <w:sz w:val="28"/>
                <w:szCs w:val="28"/>
                <w:lang w:val="uk-UA"/>
              </w:rPr>
            </w:pPr>
            <w:r w:rsidRPr="00570BBF">
              <w:rPr>
                <w:rFonts w:ascii="Times New Roman" w:hAnsi="Times New Roman"/>
                <w:sz w:val="28"/>
                <w:szCs w:val="28"/>
                <w:lang w:val="uk-UA"/>
              </w:rPr>
              <w:t>48,25±2,5</w:t>
            </w:r>
          </w:p>
        </w:tc>
      </w:tr>
      <w:tr w:rsidR="007F136C" w:rsidRPr="00570BBF" w:rsidTr="00570BBF">
        <w:trPr>
          <w:jc w:val="center"/>
        </w:trPr>
        <w:tc>
          <w:tcPr>
            <w:tcW w:w="7088" w:type="dxa"/>
            <w:tcBorders>
              <w:top w:val="single" w:sz="4" w:space="0" w:color="auto"/>
              <w:left w:val="single" w:sz="4" w:space="0" w:color="auto"/>
              <w:bottom w:val="single" w:sz="4" w:space="0" w:color="auto"/>
              <w:right w:val="single" w:sz="4" w:space="0" w:color="auto"/>
            </w:tcBorders>
            <w:hideMark/>
          </w:tcPr>
          <w:p w:rsidR="007F136C" w:rsidRPr="00570BBF" w:rsidRDefault="007F136C" w:rsidP="00570BBF">
            <w:pPr>
              <w:widowControl w:val="0"/>
              <w:spacing w:line="276" w:lineRule="auto"/>
              <w:rPr>
                <w:rFonts w:ascii="Times New Roman" w:hAnsi="Times New Roman"/>
                <w:b/>
                <w:sz w:val="28"/>
                <w:szCs w:val="28"/>
                <w:lang w:val="uk-UA"/>
              </w:rPr>
            </w:pPr>
            <w:r w:rsidRPr="00570BBF">
              <w:rPr>
                <w:rFonts w:ascii="Times New Roman" w:hAnsi="Times New Roman"/>
                <w:sz w:val="28"/>
                <w:szCs w:val="28"/>
                <w:lang w:val="uk-UA"/>
              </w:rPr>
              <w:t>Індивідуальні консультації  ЛЗП-СЛ</w:t>
            </w:r>
          </w:p>
        </w:tc>
        <w:tc>
          <w:tcPr>
            <w:tcW w:w="1417" w:type="dxa"/>
            <w:tcBorders>
              <w:top w:val="single" w:sz="4" w:space="0" w:color="auto"/>
              <w:left w:val="single" w:sz="4" w:space="0" w:color="auto"/>
              <w:bottom w:val="single" w:sz="4" w:space="0" w:color="auto"/>
              <w:right w:val="single" w:sz="4" w:space="0" w:color="auto"/>
            </w:tcBorders>
            <w:hideMark/>
          </w:tcPr>
          <w:p w:rsidR="007F136C" w:rsidRPr="00570BBF" w:rsidRDefault="007F136C" w:rsidP="00570BBF">
            <w:pPr>
              <w:widowControl w:val="0"/>
              <w:spacing w:line="276" w:lineRule="auto"/>
              <w:jc w:val="center"/>
              <w:rPr>
                <w:rFonts w:ascii="Times New Roman" w:hAnsi="Times New Roman"/>
                <w:sz w:val="28"/>
                <w:szCs w:val="28"/>
                <w:lang w:val="uk-UA"/>
              </w:rPr>
            </w:pPr>
            <w:r w:rsidRPr="00570BBF">
              <w:rPr>
                <w:rFonts w:ascii="Times New Roman" w:hAnsi="Times New Roman"/>
                <w:sz w:val="28"/>
                <w:szCs w:val="28"/>
                <w:lang w:val="uk-UA"/>
              </w:rPr>
              <w:t>252</w:t>
            </w:r>
          </w:p>
        </w:tc>
        <w:tc>
          <w:tcPr>
            <w:tcW w:w="1383" w:type="dxa"/>
            <w:tcBorders>
              <w:top w:val="single" w:sz="4" w:space="0" w:color="auto"/>
              <w:left w:val="single" w:sz="4" w:space="0" w:color="auto"/>
              <w:bottom w:val="single" w:sz="4" w:space="0" w:color="auto"/>
              <w:right w:val="single" w:sz="4" w:space="0" w:color="auto"/>
            </w:tcBorders>
            <w:hideMark/>
          </w:tcPr>
          <w:p w:rsidR="007F136C" w:rsidRPr="00570BBF" w:rsidRDefault="007F136C" w:rsidP="00570BBF">
            <w:pPr>
              <w:widowControl w:val="0"/>
              <w:spacing w:line="276" w:lineRule="auto"/>
              <w:jc w:val="center"/>
              <w:rPr>
                <w:rFonts w:ascii="Times New Roman" w:hAnsi="Times New Roman"/>
                <w:sz w:val="28"/>
                <w:szCs w:val="28"/>
                <w:lang w:val="uk-UA"/>
              </w:rPr>
            </w:pPr>
            <w:r w:rsidRPr="00570BBF">
              <w:rPr>
                <w:rFonts w:ascii="Times New Roman" w:hAnsi="Times New Roman"/>
                <w:sz w:val="28"/>
                <w:szCs w:val="28"/>
                <w:lang w:val="uk-UA"/>
              </w:rPr>
              <w:t>63,00±2,4</w:t>
            </w:r>
          </w:p>
        </w:tc>
      </w:tr>
      <w:tr w:rsidR="007F136C" w:rsidRPr="00570BBF" w:rsidTr="00570BBF">
        <w:trPr>
          <w:jc w:val="center"/>
        </w:trPr>
        <w:tc>
          <w:tcPr>
            <w:tcW w:w="7088" w:type="dxa"/>
            <w:tcBorders>
              <w:top w:val="single" w:sz="4" w:space="0" w:color="auto"/>
              <w:left w:val="single" w:sz="4" w:space="0" w:color="auto"/>
              <w:bottom w:val="single" w:sz="4" w:space="0" w:color="auto"/>
              <w:right w:val="single" w:sz="4" w:space="0" w:color="auto"/>
            </w:tcBorders>
            <w:hideMark/>
          </w:tcPr>
          <w:p w:rsidR="007F136C" w:rsidRPr="00570BBF" w:rsidRDefault="007F136C" w:rsidP="00570BBF">
            <w:pPr>
              <w:widowControl w:val="0"/>
              <w:spacing w:line="276" w:lineRule="auto"/>
              <w:rPr>
                <w:rFonts w:ascii="Times New Roman" w:hAnsi="Times New Roman"/>
                <w:b/>
                <w:sz w:val="28"/>
                <w:szCs w:val="28"/>
                <w:lang w:val="uk-UA"/>
              </w:rPr>
            </w:pPr>
            <w:r w:rsidRPr="00570BBF">
              <w:rPr>
                <w:rFonts w:ascii="Times New Roman" w:hAnsi="Times New Roman"/>
                <w:sz w:val="28"/>
                <w:szCs w:val="28"/>
                <w:lang w:val="uk-UA"/>
              </w:rPr>
              <w:t>Індивідуальні консультації   лікаря-педіатра</w:t>
            </w:r>
          </w:p>
        </w:tc>
        <w:tc>
          <w:tcPr>
            <w:tcW w:w="1417" w:type="dxa"/>
            <w:tcBorders>
              <w:top w:val="single" w:sz="4" w:space="0" w:color="auto"/>
              <w:left w:val="single" w:sz="4" w:space="0" w:color="auto"/>
              <w:bottom w:val="single" w:sz="4" w:space="0" w:color="auto"/>
              <w:right w:val="single" w:sz="4" w:space="0" w:color="auto"/>
            </w:tcBorders>
            <w:hideMark/>
          </w:tcPr>
          <w:p w:rsidR="007F136C" w:rsidRPr="00570BBF" w:rsidRDefault="007F136C" w:rsidP="00570BBF">
            <w:pPr>
              <w:widowControl w:val="0"/>
              <w:spacing w:line="276" w:lineRule="auto"/>
              <w:jc w:val="center"/>
              <w:rPr>
                <w:rFonts w:ascii="Times New Roman" w:hAnsi="Times New Roman"/>
                <w:sz w:val="28"/>
                <w:szCs w:val="28"/>
                <w:lang w:val="uk-UA"/>
              </w:rPr>
            </w:pPr>
            <w:r w:rsidRPr="00570BBF">
              <w:rPr>
                <w:rFonts w:ascii="Times New Roman" w:hAnsi="Times New Roman"/>
                <w:sz w:val="28"/>
                <w:szCs w:val="28"/>
                <w:lang w:val="uk-UA"/>
              </w:rPr>
              <w:t>150</w:t>
            </w:r>
          </w:p>
        </w:tc>
        <w:tc>
          <w:tcPr>
            <w:tcW w:w="1383" w:type="dxa"/>
            <w:tcBorders>
              <w:top w:val="single" w:sz="4" w:space="0" w:color="auto"/>
              <w:left w:val="single" w:sz="4" w:space="0" w:color="auto"/>
              <w:bottom w:val="single" w:sz="4" w:space="0" w:color="auto"/>
              <w:right w:val="single" w:sz="4" w:space="0" w:color="auto"/>
            </w:tcBorders>
            <w:hideMark/>
          </w:tcPr>
          <w:p w:rsidR="007F136C" w:rsidRPr="00570BBF" w:rsidRDefault="007F136C" w:rsidP="00570BBF">
            <w:pPr>
              <w:widowControl w:val="0"/>
              <w:spacing w:line="276" w:lineRule="auto"/>
              <w:jc w:val="center"/>
              <w:rPr>
                <w:rFonts w:ascii="Times New Roman" w:hAnsi="Times New Roman"/>
                <w:sz w:val="28"/>
                <w:szCs w:val="28"/>
                <w:lang w:val="uk-UA"/>
              </w:rPr>
            </w:pPr>
            <w:r w:rsidRPr="00570BBF">
              <w:rPr>
                <w:rFonts w:ascii="Times New Roman" w:hAnsi="Times New Roman"/>
                <w:sz w:val="28"/>
                <w:szCs w:val="28"/>
                <w:lang w:val="uk-UA"/>
              </w:rPr>
              <w:t>37,50±2,4</w:t>
            </w:r>
          </w:p>
        </w:tc>
      </w:tr>
      <w:tr w:rsidR="007F136C" w:rsidRPr="00570BBF" w:rsidTr="00570BBF">
        <w:trPr>
          <w:jc w:val="center"/>
        </w:trPr>
        <w:tc>
          <w:tcPr>
            <w:tcW w:w="7088" w:type="dxa"/>
            <w:tcBorders>
              <w:top w:val="single" w:sz="4" w:space="0" w:color="auto"/>
              <w:left w:val="single" w:sz="4" w:space="0" w:color="auto"/>
              <w:bottom w:val="single" w:sz="4" w:space="0" w:color="auto"/>
              <w:right w:val="single" w:sz="4" w:space="0" w:color="auto"/>
            </w:tcBorders>
            <w:hideMark/>
          </w:tcPr>
          <w:p w:rsidR="007F136C" w:rsidRPr="00570BBF" w:rsidRDefault="007F136C" w:rsidP="00570BBF">
            <w:pPr>
              <w:widowControl w:val="0"/>
              <w:spacing w:line="276" w:lineRule="auto"/>
              <w:rPr>
                <w:rFonts w:ascii="Times New Roman" w:hAnsi="Times New Roman"/>
                <w:b/>
                <w:sz w:val="28"/>
                <w:szCs w:val="28"/>
                <w:lang w:val="uk-UA"/>
              </w:rPr>
            </w:pPr>
            <w:r w:rsidRPr="00570BBF">
              <w:rPr>
                <w:rFonts w:ascii="Times New Roman" w:hAnsi="Times New Roman"/>
                <w:sz w:val="28"/>
                <w:szCs w:val="28"/>
                <w:lang w:val="uk-UA"/>
              </w:rPr>
              <w:t>Спеціальна методична література для батьків</w:t>
            </w:r>
          </w:p>
        </w:tc>
        <w:tc>
          <w:tcPr>
            <w:tcW w:w="1417" w:type="dxa"/>
            <w:tcBorders>
              <w:top w:val="single" w:sz="4" w:space="0" w:color="auto"/>
              <w:left w:val="single" w:sz="4" w:space="0" w:color="auto"/>
              <w:bottom w:val="single" w:sz="4" w:space="0" w:color="auto"/>
              <w:right w:val="single" w:sz="4" w:space="0" w:color="auto"/>
            </w:tcBorders>
            <w:hideMark/>
          </w:tcPr>
          <w:p w:rsidR="007F136C" w:rsidRPr="00570BBF" w:rsidRDefault="007F136C" w:rsidP="00570BBF">
            <w:pPr>
              <w:widowControl w:val="0"/>
              <w:spacing w:line="276" w:lineRule="auto"/>
              <w:jc w:val="center"/>
              <w:rPr>
                <w:rFonts w:ascii="Times New Roman" w:hAnsi="Times New Roman"/>
                <w:sz w:val="28"/>
                <w:szCs w:val="28"/>
                <w:lang w:val="uk-UA"/>
              </w:rPr>
            </w:pPr>
            <w:r w:rsidRPr="00570BBF">
              <w:rPr>
                <w:rFonts w:ascii="Times New Roman" w:hAnsi="Times New Roman"/>
                <w:sz w:val="28"/>
                <w:szCs w:val="28"/>
                <w:lang w:val="uk-UA"/>
              </w:rPr>
              <w:t>210</w:t>
            </w:r>
          </w:p>
        </w:tc>
        <w:tc>
          <w:tcPr>
            <w:tcW w:w="1383" w:type="dxa"/>
            <w:tcBorders>
              <w:top w:val="single" w:sz="4" w:space="0" w:color="auto"/>
              <w:left w:val="single" w:sz="4" w:space="0" w:color="auto"/>
              <w:bottom w:val="single" w:sz="4" w:space="0" w:color="auto"/>
              <w:right w:val="single" w:sz="4" w:space="0" w:color="auto"/>
            </w:tcBorders>
            <w:hideMark/>
          </w:tcPr>
          <w:p w:rsidR="007F136C" w:rsidRPr="00570BBF" w:rsidRDefault="007F136C" w:rsidP="00570BBF">
            <w:pPr>
              <w:widowControl w:val="0"/>
              <w:spacing w:line="276" w:lineRule="auto"/>
              <w:jc w:val="center"/>
              <w:rPr>
                <w:rFonts w:ascii="Times New Roman" w:hAnsi="Times New Roman"/>
                <w:sz w:val="28"/>
                <w:szCs w:val="28"/>
                <w:lang w:val="uk-UA"/>
              </w:rPr>
            </w:pPr>
            <w:r w:rsidRPr="00570BBF">
              <w:rPr>
                <w:rFonts w:ascii="Times New Roman" w:hAnsi="Times New Roman"/>
                <w:sz w:val="28"/>
                <w:szCs w:val="28"/>
                <w:lang w:val="uk-UA"/>
              </w:rPr>
              <w:t>52,50±2,5</w:t>
            </w:r>
          </w:p>
        </w:tc>
      </w:tr>
      <w:tr w:rsidR="007F136C" w:rsidRPr="00570BBF" w:rsidTr="00570BBF">
        <w:trPr>
          <w:jc w:val="center"/>
        </w:trPr>
        <w:tc>
          <w:tcPr>
            <w:tcW w:w="7088" w:type="dxa"/>
            <w:tcBorders>
              <w:top w:val="single" w:sz="4" w:space="0" w:color="auto"/>
              <w:left w:val="single" w:sz="4" w:space="0" w:color="auto"/>
              <w:bottom w:val="single" w:sz="4" w:space="0" w:color="auto"/>
              <w:right w:val="single" w:sz="4" w:space="0" w:color="auto"/>
            </w:tcBorders>
            <w:hideMark/>
          </w:tcPr>
          <w:p w:rsidR="007F136C" w:rsidRPr="00570BBF" w:rsidRDefault="007F136C" w:rsidP="00570BBF">
            <w:pPr>
              <w:widowControl w:val="0"/>
              <w:spacing w:line="276" w:lineRule="auto"/>
              <w:rPr>
                <w:rFonts w:ascii="Times New Roman" w:hAnsi="Times New Roman"/>
                <w:b/>
                <w:sz w:val="28"/>
                <w:szCs w:val="28"/>
                <w:lang w:val="uk-UA"/>
              </w:rPr>
            </w:pPr>
            <w:r w:rsidRPr="00570BBF">
              <w:rPr>
                <w:rFonts w:ascii="Times New Roman" w:hAnsi="Times New Roman"/>
                <w:sz w:val="28"/>
                <w:szCs w:val="28"/>
                <w:lang w:val="uk-UA"/>
              </w:rPr>
              <w:t>Сайт закладу охорони здоров’я</w:t>
            </w:r>
          </w:p>
        </w:tc>
        <w:tc>
          <w:tcPr>
            <w:tcW w:w="1417" w:type="dxa"/>
            <w:tcBorders>
              <w:top w:val="single" w:sz="4" w:space="0" w:color="auto"/>
              <w:left w:val="single" w:sz="4" w:space="0" w:color="auto"/>
              <w:bottom w:val="single" w:sz="4" w:space="0" w:color="auto"/>
              <w:right w:val="single" w:sz="4" w:space="0" w:color="auto"/>
            </w:tcBorders>
            <w:hideMark/>
          </w:tcPr>
          <w:p w:rsidR="007F136C" w:rsidRPr="00570BBF" w:rsidRDefault="007F136C" w:rsidP="00570BBF">
            <w:pPr>
              <w:widowControl w:val="0"/>
              <w:spacing w:line="276" w:lineRule="auto"/>
              <w:jc w:val="center"/>
              <w:rPr>
                <w:rFonts w:ascii="Times New Roman" w:hAnsi="Times New Roman"/>
                <w:sz w:val="28"/>
                <w:szCs w:val="28"/>
                <w:lang w:val="uk-UA"/>
              </w:rPr>
            </w:pPr>
            <w:r w:rsidRPr="00570BBF">
              <w:rPr>
                <w:rFonts w:ascii="Times New Roman" w:hAnsi="Times New Roman"/>
                <w:sz w:val="28"/>
                <w:szCs w:val="28"/>
                <w:lang w:val="uk-UA"/>
              </w:rPr>
              <w:t>296</w:t>
            </w:r>
          </w:p>
        </w:tc>
        <w:tc>
          <w:tcPr>
            <w:tcW w:w="1383" w:type="dxa"/>
            <w:tcBorders>
              <w:top w:val="single" w:sz="4" w:space="0" w:color="auto"/>
              <w:left w:val="single" w:sz="4" w:space="0" w:color="auto"/>
              <w:bottom w:val="single" w:sz="4" w:space="0" w:color="auto"/>
              <w:right w:val="single" w:sz="4" w:space="0" w:color="auto"/>
            </w:tcBorders>
            <w:hideMark/>
          </w:tcPr>
          <w:p w:rsidR="007F136C" w:rsidRPr="00570BBF" w:rsidRDefault="007F136C" w:rsidP="00570BBF">
            <w:pPr>
              <w:widowControl w:val="0"/>
              <w:spacing w:line="276" w:lineRule="auto"/>
              <w:jc w:val="center"/>
              <w:rPr>
                <w:rFonts w:ascii="Times New Roman" w:hAnsi="Times New Roman"/>
                <w:sz w:val="28"/>
                <w:szCs w:val="28"/>
                <w:lang w:val="uk-UA"/>
              </w:rPr>
            </w:pPr>
            <w:r w:rsidRPr="00570BBF">
              <w:rPr>
                <w:rFonts w:ascii="Times New Roman" w:hAnsi="Times New Roman"/>
                <w:sz w:val="28"/>
                <w:szCs w:val="28"/>
                <w:lang w:val="uk-UA"/>
              </w:rPr>
              <w:t>74,00±2,2</w:t>
            </w:r>
          </w:p>
        </w:tc>
      </w:tr>
      <w:tr w:rsidR="007F136C" w:rsidRPr="00570BBF" w:rsidTr="00570BBF">
        <w:trPr>
          <w:jc w:val="center"/>
        </w:trPr>
        <w:tc>
          <w:tcPr>
            <w:tcW w:w="7088" w:type="dxa"/>
            <w:tcBorders>
              <w:top w:val="single" w:sz="4" w:space="0" w:color="auto"/>
              <w:left w:val="single" w:sz="4" w:space="0" w:color="auto"/>
              <w:bottom w:val="single" w:sz="4" w:space="0" w:color="auto"/>
              <w:right w:val="single" w:sz="4" w:space="0" w:color="auto"/>
            </w:tcBorders>
            <w:hideMark/>
          </w:tcPr>
          <w:p w:rsidR="007F136C" w:rsidRPr="00570BBF" w:rsidRDefault="007F136C" w:rsidP="00570BBF">
            <w:pPr>
              <w:widowControl w:val="0"/>
              <w:spacing w:line="276" w:lineRule="auto"/>
              <w:rPr>
                <w:rFonts w:ascii="Times New Roman" w:hAnsi="Times New Roman"/>
                <w:b/>
                <w:sz w:val="28"/>
                <w:szCs w:val="28"/>
                <w:lang w:val="uk-UA"/>
              </w:rPr>
            </w:pPr>
            <w:r w:rsidRPr="00570BBF">
              <w:rPr>
                <w:rFonts w:ascii="Times New Roman" w:hAnsi="Times New Roman"/>
                <w:sz w:val="28"/>
                <w:szCs w:val="28"/>
                <w:lang w:val="uk-UA"/>
              </w:rPr>
              <w:t>Тематичні  телевізійні передачі</w:t>
            </w:r>
          </w:p>
        </w:tc>
        <w:tc>
          <w:tcPr>
            <w:tcW w:w="1417" w:type="dxa"/>
            <w:tcBorders>
              <w:top w:val="single" w:sz="4" w:space="0" w:color="auto"/>
              <w:left w:val="single" w:sz="4" w:space="0" w:color="auto"/>
              <w:bottom w:val="single" w:sz="4" w:space="0" w:color="auto"/>
              <w:right w:val="single" w:sz="4" w:space="0" w:color="auto"/>
            </w:tcBorders>
            <w:hideMark/>
          </w:tcPr>
          <w:p w:rsidR="007F136C" w:rsidRPr="00570BBF" w:rsidRDefault="007F136C" w:rsidP="00570BBF">
            <w:pPr>
              <w:widowControl w:val="0"/>
              <w:spacing w:line="276" w:lineRule="auto"/>
              <w:jc w:val="center"/>
              <w:rPr>
                <w:rFonts w:ascii="Times New Roman" w:hAnsi="Times New Roman"/>
                <w:sz w:val="28"/>
                <w:szCs w:val="28"/>
                <w:lang w:val="uk-UA"/>
              </w:rPr>
            </w:pPr>
            <w:r w:rsidRPr="00570BBF">
              <w:rPr>
                <w:rFonts w:ascii="Times New Roman" w:hAnsi="Times New Roman"/>
                <w:sz w:val="28"/>
                <w:szCs w:val="28"/>
                <w:lang w:val="uk-UA"/>
              </w:rPr>
              <w:t>216</w:t>
            </w:r>
          </w:p>
        </w:tc>
        <w:tc>
          <w:tcPr>
            <w:tcW w:w="1383" w:type="dxa"/>
            <w:tcBorders>
              <w:top w:val="single" w:sz="4" w:space="0" w:color="auto"/>
              <w:left w:val="single" w:sz="4" w:space="0" w:color="auto"/>
              <w:bottom w:val="single" w:sz="4" w:space="0" w:color="auto"/>
              <w:right w:val="single" w:sz="4" w:space="0" w:color="auto"/>
            </w:tcBorders>
            <w:hideMark/>
          </w:tcPr>
          <w:p w:rsidR="007F136C" w:rsidRPr="00570BBF" w:rsidRDefault="007F136C" w:rsidP="00570BBF">
            <w:pPr>
              <w:widowControl w:val="0"/>
              <w:spacing w:line="276" w:lineRule="auto"/>
              <w:jc w:val="center"/>
              <w:rPr>
                <w:rFonts w:ascii="Times New Roman" w:hAnsi="Times New Roman"/>
                <w:sz w:val="28"/>
                <w:szCs w:val="28"/>
                <w:lang w:val="uk-UA"/>
              </w:rPr>
            </w:pPr>
            <w:r w:rsidRPr="00570BBF">
              <w:rPr>
                <w:rFonts w:ascii="Times New Roman" w:hAnsi="Times New Roman"/>
                <w:sz w:val="28"/>
                <w:szCs w:val="28"/>
                <w:lang w:val="uk-UA"/>
              </w:rPr>
              <w:t>54,00±2,5</w:t>
            </w:r>
          </w:p>
        </w:tc>
      </w:tr>
    </w:tbl>
    <w:p w:rsidR="002D5937" w:rsidRDefault="002D5937" w:rsidP="00BF64A3">
      <w:pPr>
        <w:widowControl w:val="0"/>
        <w:ind w:firstLine="709"/>
        <w:rPr>
          <w:rFonts w:eastAsia="Calibri"/>
          <w:szCs w:val="28"/>
        </w:rPr>
      </w:pPr>
    </w:p>
    <w:p w:rsidR="00570BBF" w:rsidRPr="00570BBF" w:rsidRDefault="00570BBF" w:rsidP="00BF64A3">
      <w:pPr>
        <w:widowControl w:val="0"/>
        <w:ind w:firstLine="709"/>
        <w:rPr>
          <w:rFonts w:eastAsia="Calibri"/>
          <w:szCs w:val="28"/>
        </w:rPr>
      </w:pPr>
      <w:r w:rsidRPr="00006A39">
        <w:rPr>
          <w:rFonts w:eastAsia="Calibri"/>
          <w:szCs w:val="28"/>
        </w:rPr>
        <w:t xml:space="preserve">Переважними джерелами отримання інформації респондентами є отримання інформації від інших батьків (38,0±2,4%), колег (16,0±1,8%), друзів (24,0±2,1%), Інтернету (59,75±2,5%), телебачення (39,75±2,4%), поряд з кваліфікованою </w:t>
      </w:r>
      <w:r w:rsidRPr="00006A39">
        <w:rPr>
          <w:rFonts w:eastAsia="Calibri"/>
          <w:szCs w:val="28"/>
        </w:rPr>
        <w:lastRenderedPageBreak/>
        <w:t>консультативною інформацією від лікаря загальної практики-сімейного лікаря, що склала 38,0±2,4%, сімейної медичної сестри – 36,75±2,4%, лікаря-педіатра – 44,75±2,5%. Більшість батьків висловила бажання регулярно отримувати інформацію з питань збереження здоров’я дітей та попередження  їх передчасної смерті (81,75±1,9%), при тому, що 10,25±1,5% респондентів взагалі не бажають отримувати знання з цього питання та  8,0±1,4% респондентів  не визн</w:t>
      </w:r>
      <w:r w:rsidR="006D4D27">
        <w:rPr>
          <w:rFonts w:eastAsia="Calibri"/>
          <w:szCs w:val="28"/>
        </w:rPr>
        <w:t>ачились з цього приводу (табл.</w:t>
      </w:r>
      <w:r w:rsidRPr="00006A39">
        <w:rPr>
          <w:rFonts w:eastAsia="Calibri"/>
          <w:szCs w:val="28"/>
        </w:rPr>
        <w:t xml:space="preserve"> 6.4).</w:t>
      </w:r>
    </w:p>
    <w:p w:rsidR="007F136C" w:rsidRPr="00A143FC" w:rsidRDefault="007F136C" w:rsidP="00A143FC">
      <w:pPr>
        <w:widowControl w:val="0"/>
        <w:ind w:firstLine="709"/>
        <w:rPr>
          <w:rFonts w:eastAsia="Calibri"/>
          <w:color w:val="000000" w:themeColor="text1"/>
          <w:szCs w:val="28"/>
        </w:rPr>
      </w:pPr>
      <w:r w:rsidRPr="00006A39">
        <w:rPr>
          <w:rFonts w:eastAsia="Calibri"/>
          <w:szCs w:val="28"/>
        </w:rPr>
        <w:t>Таким чином,</w:t>
      </w:r>
      <w:r w:rsidRPr="00006A39">
        <w:rPr>
          <w:rFonts w:eastAsia="Calibri"/>
          <w:color w:val="FF0000"/>
          <w:szCs w:val="28"/>
        </w:rPr>
        <w:t xml:space="preserve"> </w:t>
      </w:r>
      <w:r w:rsidRPr="00006A39">
        <w:rPr>
          <w:rFonts w:eastAsia="Calibri"/>
          <w:szCs w:val="28"/>
        </w:rPr>
        <w:t>переважна більшість респондентів зацікавлена отримувати інформацію</w:t>
      </w:r>
      <w:r w:rsidRPr="00006A39">
        <w:rPr>
          <w:rFonts w:eastAsia="Calibri"/>
          <w:color w:val="FF0000"/>
          <w:szCs w:val="28"/>
        </w:rPr>
        <w:t xml:space="preserve"> </w:t>
      </w:r>
      <w:r w:rsidRPr="00006A39">
        <w:rPr>
          <w:rFonts w:eastAsia="Calibri"/>
          <w:szCs w:val="28"/>
        </w:rPr>
        <w:t>з питань  збереження здоров’я дітей,   попередження  їх  передчасної смерті   та тактики дій при станах, які загрожують  життю від  медичних працівників та з офіційних ресурсів закладі</w:t>
      </w:r>
      <w:r w:rsidR="00366396">
        <w:rPr>
          <w:rFonts w:eastAsia="Calibri"/>
          <w:szCs w:val="28"/>
        </w:rPr>
        <w:t xml:space="preserve">в охорони здоров’я, </w:t>
      </w:r>
      <w:r w:rsidRPr="00FA680C">
        <w:rPr>
          <w:rFonts w:eastAsia="Calibri"/>
          <w:color w:val="000000" w:themeColor="text1"/>
          <w:szCs w:val="28"/>
        </w:rPr>
        <w:t xml:space="preserve">батьки бажають отримувати професійну інформацію </w:t>
      </w:r>
    </w:p>
    <w:p w:rsidR="007F136C" w:rsidRPr="00A143FC" w:rsidRDefault="007F136C" w:rsidP="00A143FC">
      <w:pPr>
        <w:widowControl w:val="0"/>
        <w:tabs>
          <w:tab w:val="left" w:pos="523"/>
        </w:tabs>
        <w:spacing w:before="240" w:after="240"/>
        <w:ind w:firstLine="709"/>
        <w:rPr>
          <w:b/>
          <w:szCs w:val="28"/>
          <w:lang w:val="ru-RU"/>
        </w:rPr>
      </w:pPr>
      <w:r w:rsidRPr="00FA680C">
        <w:rPr>
          <w:b/>
          <w:color w:val="000000" w:themeColor="text1"/>
          <w:szCs w:val="28"/>
        </w:rPr>
        <w:t>6.2.</w:t>
      </w:r>
      <w:r w:rsidRPr="00FA680C">
        <w:rPr>
          <w:b/>
          <w:color w:val="000000" w:themeColor="text1"/>
        </w:rPr>
        <w:t xml:space="preserve"> </w:t>
      </w:r>
      <w:r w:rsidRPr="00FA680C">
        <w:rPr>
          <w:b/>
          <w:color w:val="000000" w:themeColor="text1"/>
          <w:szCs w:val="28"/>
        </w:rPr>
        <w:t xml:space="preserve">Результати соціологічного дослідження щодо готовності лікарів загальної </w:t>
      </w:r>
      <w:r w:rsidRPr="00006A39">
        <w:rPr>
          <w:b/>
          <w:szCs w:val="28"/>
        </w:rPr>
        <w:t>практики-сімейних лікарів до попередження передчасної смерті дітей</w:t>
      </w:r>
    </w:p>
    <w:p w:rsidR="008A48BA" w:rsidRDefault="007F136C" w:rsidP="00721203">
      <w:pPr>
        <w:widowControl w:val="0"/>
        <w:ind w:firstLine="709"/>
        <w:rPr>
          <w:rFonts w:eastAsia="Calibri"/>
          <w:szCs w:val="28"/>
        </w:rPr>
      </w:pPr>
      <w:r w:rsidRPr="00006A39">
        <w:rPr>
          <w:rFonts w:eastAsia="Calibri"/>
          <w:szCs w:val="28"/>
        </w:rPr>
        <w:t xml:space="preserve">Відповідно до програми дослідження проводилось вивчення професійної готовності </w:t>
      </w:r>
      <w:r w:rsidR="00BB2A2B">
        <w:rPr>
          <w:rFonts w:eastAsia="Calibri"/>
          <w:szCs w:val="28"/>
        </w:rPr>
        <w:t>ЛЗП-СЛ</w:t>
      </w:r>
      <w:r w:rsidRPr="00006A39">
        <w:rPr>
          <w:rFonts w:eastAsia="Calibri"/>
          <w:szCs w:val="28"/>
        </w:rPr>
        <w:t xml:space="preserve"> до попередження передчасної дитячої смертності за даними їх самооцінки</w:t>
      </w:r>
      <w:r w:rsidR="00BC5EF8">
        <w:rPr>
          <w:rFonts w:eastAsia="Calibri"/>
          <w:szCs w:val="28"/>
        </w:rPr>
        <w:t xml:space="preserve"> (Додаток Д</w:t>
      </w:r>
      <w:r w:rsidR="00D81EC4">
        <w:rPr>
          <w:rFonts w:eastAsia="Calibri"/>
          <w:szCs w:val="28"/>
          <w:lang w:val="ru-RU"/>
        </w:rPr>
        <w:t>-2)</w:t>
      </w:r>
      <w:r w:rsidRPr="00006A39">
        <w:rPr>
          <w:rFonts w:eastAsia="Calibri"/>
          <w:szCs w:val="28"/>
        </w:rPr>
        <w:t>.</w:t>
      </w:r>
      <w:r w:rsidRPr="00006A39">
        <w:rPr>
          <w:rFonts w:eastAsia="Calibri"/>
          <w:color w:val="FF0000"/>
          <w:szCs w:val="28"/>
        </w:rPr>
        <w:t xml:space="preserve"> </w:t>
      </w:r>
      <w:r w:rsidRPr="00006A39">
        <w:rPr>
          <w:rFonts w:eastAsia="Calibri"/>
          <w:szCs w:val="28"/>
        </w:rPr>
        <w:t xml:space="preserve">Всього опитано 400 ЛЗП-СЛ, більшість з яких мешкали у міській місцевості (65,75%), </w:t>
      </w:r>
      <w:r w:rsidR="00B53919">
        <w:rPr>
          <w:rFonts w:eastAsia="Calibri"/>
          <w:szCs w:val="28"/>
          <w:lang w:val="ru-RU"/>
        </w:rPr>
        <w:t xml:space="preserve">в той час як </w:t>
      </w:r>
      <w:r w:rsidRPr="00006A39">
        <w:rPr>
          <w:rFonts w:eastAsia="Calibri"/>
          <w:szCs w:val="28"/>
        </w:rPr>
        <w:t>у сільській місцевості проживало 34,25% респондентів.</w:t>
      </w:r>
      <w:r w:rsidRPr="00006A39">
        <w:rPr>
          <w:rFonts w:eastAsia="Calibri"/>
          <w:color w:val="FF0000"/>
          <w:szCs w:val="28"/>
        </w:rPr>
        <w:t xml:space="preserve"> </w:t>
      </w:r>
      <w:r w:rsidRPr="00006A39">
        <w:rPr>
          <w:rFonts w:eastAsia="Calibri"/>
          <w:szCs w:val="28"/>
        </w:rPr>
        <w:t xml:space="preserve">За віком ЛЗП-СЛ були розподілені на приблизно рівні частки за віковими групами (рис. 6.4.). Серед респондентів лікарі-жінки склали 82,25%, чоловіки – 17,25%. </w:t>
      </w:r>
    </w:p>
    <w:p w:rsidR="00B53919" w:rsidRPr="00723CDF" w:rsidRDefault="008A48BA" w:rsidP="007B598D">
      <w:pPr>
        <w:ind w:firstLine="708"/>
        <w:rPr>
          <w:rFonts w:eastAsia="Calibri"/>
          <w:szCs w:val="28"/>
        </w:rPr>
      </w:pPr>
      <w:r w:rsidRPr="008A48BA">
        <w:rPr>
          <w:rFonts w:eastAsia="Calibri"/>
          <w:szCs w:val="28"/>
        </w:rPr>
        <w:t>Серед усіх респондентів підготовку з н</w:t>
      </w:r>
      <w:r w:rsidR="00BB2A2B">
        <w:rPr>
          <w:rFonts w:eastAsia="Calibri"/>
          <w:szCs w:val="28"/>
        </w:rPr>
        <w:t>апряму «сімейна медицина» ЛЗП-СЛ</w:t>
      </w:r>
      <w:r w:rsidRPr="008A48BA">
        <w:rPr>
          <w:rFonts w:eastAsia="Calibri"/>
          <w:szCs w:val="28"/>
        </w:rPr>
        <w:t xml:space="preserve"> отримали на курсах спеціалізації – 73,25%, проходили інтернатуру з загальної лікарської практики-сімейної медицини – 26,75% респондентів.  Атестаційні категорії мали 91,75% респо</w:t>
      </w:r>
      <w:r w:rsidR="00BB2A2B">
        <w:rPr>
          <w:rFonts w:eastAsia="Calibri"/>
          <w:szCs w:val="28"/>
        </w:rPr>
        <w:t>ндентів, серед яких 38,5% ЛЗП-СЛ</w:t>
      </w:r>
      <w:r w:rsidRPr="008A48BA">
        <w:rPr>
          <w:rFonts w:eastAsia="Calibri"/>
          <w:szCs w:val="28"/>
        </w:rPr>
        <w:t xml:space="preserve"> з вищою категорією, 32,75% з першою, 20,5% з другою категорією (рис.6.5.).</w:t>
      </w:r>
    </w:p>
    <w:p w:rsidR="007F136C" w:rsidRPr="00723CDF" w:rsidRDefault="00957883" w:rsidP="00B53919">
      <w:pPr>
        <w:ind w:firstLine="708"/>
        <w:rPr>
          <w:rFonts w:eastAsia="Calibri"/>
          <w:szCs w:val="28"/>
        </w:rPr>
      </w:pPr>
      <w:r w:rsidRPr="00723CDF">
        <w:rPr>
          <w:rFonts w:eastAsia="Calibri"/>
          <w:szCs w:val="28"/>
        </w:rPr>
        <w:t xml:space="preserve">Слід зазначити, що </w:t>
      </w:r>
      <w:r>
        <w:rPr>
          <w:rFonts w:eastAsia="Calibri"/>
          <w:szCs w:val="28"/>
        </w:rPr>
        <w:t>б</w:t>
      </w:r>
      <w:r w:rsidR="00B53919" w:rsidRPr="00006A39">
        <w:rPr>
          <w:rFonts w:eastAsia="Calibri"/>
          <w:szCs w:val="28"/>
        </w:rPr>
        <w:t>ільшість респондентів працювали у лікарських амбулаторіях (90,75%) і лише 9,25% у поліклініці.</w:t>
      </w:r>
    </w:p>
    <w:p w:rsidR="007F136C" w:rsidRPr="00006A39" w:rsidRDefault="007F136C" w:rsidP="002E1B0F">
      <w:pPr>
        <w:widowControl w:val="0"/>
        <w:tabs>
          <w:tab w:val="left" w:pos="950"/>
        </w:tabs>
        <w:ind w:firstLine="709"/>
        <w:rPr>
          <w:rFonts w:eastAsia="Calibri"/>
          <w:szCs w:val="28"/>
        </w:rPr>
      </w:pPr>
      <w:r w:rsidRPr="00006A39">
        <w:rPr>
          <w:rFonts w:ascii="Calibri" w:eastAsia="Calibri" w:hAnsi="Calibri"/>
          <w:noProof/>
          <w:lang w:val="ru-RU" w:eastAsia="ru-RU"/>
        </w:rPr>
        <w:lastRenderedPageBreak/>
        <w:drawing>
          <wp:inline distT="0" distB="0" distL="0" distR="0" wp14:anchorId="6E8BA486" wp14:editId="7E339C97">
            <wp:extent cx="5477069" cy="2939143"/>
            <wp:effectExtent l="0" t="0" r="0" b="0"/>
            <wp:docPr id="75" name="Рисунок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492823" cy="2947597"/>
                    </a:xfrm>
                    <a:prstGeom prst="rect">
                      <a:avLst/>
                    </a:prstGeom>
                    <a:noFill/>
                    <a:ln>
                      <a:noFill/>
                    </a:ln>
                  </pic:spPr>
                </pic:pic>
              </a:graphicData>
            </a:graphic>
          </wp:inline>
        </w:drawing>
      </w:r>
    </w:p>
    <w:p w:rsidR="007B598D" w:rsidRPr="00C86DCE" w:rsidRDefault="007F136C" w:rsidP="00C86DCE">
      <w:pPr>
        <w:widowControl w:val="0"/>
        <w:spacing w:after="120"/>
        <w:ind w:firstLine="709"/>
        <w:jc w:val="left"/>
        <w:rPr>
          <w:rFonts w:eastAsia="Calibri"/>
          <w:szCs w:val="28"/>
          <w:lang w:val="ru-RU"/>
        </w:rPr>
      </w:pPr>
      <w:r w:rsidRPr="00006A39">
        <w:rPr>
          <w:rFonts w:eastAsia="Calibri"/>
          <w:szCs w:val="28"/>
        </w:rPr>
        <w:t>Рис. 6.4. Розподіл р</w:t>
      </w:r>
      <w:r w:rsidR="00BA2697">
        <w:rPr>
          <w:rFonts w:eastAsia="Calibri"/>
          <w:szCs w:val="28"/>
        </w:rPr>
        <w:t>еспондентів ЛЗП-СЛ</w:t>
      </w:r>
      <w:r w:rsidRPr="00006A39">
        <w:rPr>
          <w:rFonts w:eastAsia="Calibri"/>
          <w:szCs w:val="28"/>
        </w:rPr>
        <w:t xml:space="preserve"> за віком</w:t>
      </w:r>
    </w:p>
    <w:p w:rsidR="007F136C" w:rsidRPr="00006A39" w:rsidRDefault="007F136C" w:rsidP="00721203">
      <w:pPr>
        <w:pStyle w:val="af0"/>
        <w:widowControl w:val="0"/>
        <w:jc w:val="center"/>
        <w:rPr>
          <w:rFonts w:ascii="Times New Roman" w:eastAsia="Calibri" w:hAnsi="Times New Roman"/>
          <w:sz w:val="28"/>
          <w:szCs w:val="28"/>
          <w:lang w:val="uk-UA"/>
        </w:rPr>
      </w:pPr>
      <w:r w:rsidRPr="00006A39">
        <w:rPr>
          <w:noProof/>
          <w:lang w:eastAsia="ru-RU"/>
        </w:rPr>
        <w:drawing>
          <wp:inline distT="0" distB="0" distL="0" distR="0" wp14:anchorId="1D0B4D0F" wp14:editId="55980A32">
            <wp:extent cx="6018245" cy="3097763"/>
            <wp:effectExtent l="0" t="0" r="1905" b="7620"/>
            <wp:docPr id="76" name="Діагра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7F136C" w:rsidRPr="00006A39" w:rsidRDefault="007F136C" w:rsidP="00721203">
      <w:pPr>
        <w:pStyle w:val="af0"/>
        <w:widowControl w:val="0"/>
        <w:jc w:val="center"/>
        <w:rPr>
          <w:rFonts w:ascii="Times New Roman" w:eastAsia="Calibri" w:hAnsi="Times New Roman"/>
          <w:sz w:val="28"/>
          <w:szCs w:val="28"/>
          <w:lang w:val="uk-UA"/>
        </w:rPr>
      </w:pPr>
    </w:p>
    <w:p w:rsidR="007F136C" w:rsidRPr="00006A39" w:rsidRDefault="007F136C" w:rsidP="00721203">
      <w:pPr>
        <w:pStyle w:val="af0"/>
        <w:widowControl w:val="0"/>
        <w:jc w:val="center"/>
        <w:rPr>
          <w:rFonts w:ascii="Times New Roman" w:eastAsia="Calibri" w:hAnsi="Times New Roman"/>
          <w:sz w:val="28"/>
          <w:szCs w:val="28"/>
          <w:lang w:val="uk-UA"/>
        </w:rPr>
      </w:pPr>
      <w:r w:rsidRPr="00006A39">
        <w:rPr>
          <w:rFonts w:ascii="Times New Roman" w:eastAsia="Calibri" w:hAnsi="Times New Roman"/>
          <w:sz w:val="28"/>
          <w:szCs w:val="28"/>
          <w:lang w:val="uk-UA"/>
        </w:rPr>
        <w:t>Рис. 6</w:t>
      </w:r>
      <w:r w:rsidR="00BA2697">
        <w:rPr>
          <w:rFonts w:ascii="Times New Roman" w:eastAsia="Calibri" w:hAnsi="Times New Roman"/>
          <w:sz w:val="28"/>
          <w:szCs w:val="28"/>
          <w:lang w:val="uk-UA"/>
        </w:rPr>
        <w:t>.5. Розподіл респондентів ЛЗП-СЛ</w:t>
      </w:r>
      <w:r w:rsidR="000C2504">
        <w:rPr>
          <w:rFonts w:ascii="Times New Roman" w:eastAsia="Calibri" w:hAnsi="Times New Roman"/>
          <w:sz w:val="28"/>
          <w:szCs w:val="28"/>
          <w:lang w:val="uk-UA"/>
        </w:rPr>
        <w:t xml:space="preserve"> за рівнем кваліфікації</w:t>
      </w:r>
    </w:p>
    <w:p w:rsidR="007F136C" w:rsidRPr="00006A39" w:rsidRDefault="007F136C" w:rsidP="00721203">
      <w:pPr>
        <w:pStyle w:val="af0"/>
        <w:widowControl w:val="0"/>
        <w:jc w:val="center"/>
        <w:rPr>
          <w:rFonts w:ascii="Times New Roman" w:eastAsia="Calibri" w:hAnsi="Times New Roman"/>
          <w:sz w:val="28"/>
          <w:szCs w:val="28"/>
          <w:lang w:val="uk-UA"/>
        </w:rPr>
      </w:pPr>
    </w:p>
    <w:p w:rsidR="007F136C" w:rsidRPr="00006A39" w:rsidRDefault="007F136C" w:rsidP="00721203">
      <w:pPr>
        <w:pStyle w:val="af0"/>
        <w:widowControl w:val="0"/>
        <w:tabs>
          <w:tab w:val="left" w:pos="605"/>
        </w:tabs>
        <w:spacing w:line="360" w:lineRule="auto"/>
        <w:rPr>
          <w:rFonts w:ascii="Times New Roman" w:eastAsia="Calibri" w:hAnsi="Times New Roman"/>
          <w:sz w:val="28"/>
          <w:szCs w:val="28"/>
          <w:lang w:val="uk-UA"/>
        </w:rPr>
      </w:pPr>
      <w:r w:rsidRPr="00006A39">
        <w:rPr>
          <w:rFonts w:ascii="Times New Roman" w:eastAsia="Calibri" w:hAnsi="Times New Roman"/>
          <w:sz w:val="28"/>
          <w:szCs w:val="28"/>
          <w:lang w:val="uk-UA"/>
        </w:rPr>
        <w:tab/>
        <w:t>Більшість респондентів працювали у лікарських амбулаторіях (90,75%) і лише 9,25% у поліклініці.</w:t>
      </w:r>
    </w:p>
    <w:p w:rsidR="007F136C" w:rsidRPr="00006A39" w:rsidRDefault="007F136C" w:rsidP="00721203">
      <w:pPr>
        <w:pStyle w:val="af0"/>
        <w:widowControl w:val="0"/>
        <w:tabs>
          <w:tab w:val="left" w:pos="617"/>
        </w:tabs>
        <w:spacing w:line="360" w:lineRule="auto"/>
        <w:rPr>
          <w:lang w:val="uk-UA"/>
        </w:rPr>
      </w:pPr>
      <w:r w:rsidRPr="00006A39">
        <w:rPr>
          <w:rFonts w:ascii="Times New Roman" w:eastAsia="Calibri" w:hAnsi="Times New Roman"/>
          <w:sz w:val="28"/>
          <w:szCs w:val="28"/>
          <w:lang w:val="uk-UA"/>
        </w:rPr>
        <w:tab/>
        <w:t>Одним з першочергових завдань дослідження було вивчення пит</w:t>
      </w:r>
      <w:r w:rsidR="00BA2697">
        <w:rPr>
          <w:rFonts w:ascii="Times New Roman" w:eastAsia="Calibri" w:hAnsi="Times New Roman"/>
          <w:sz w:val="28"/>
          <w:szCs w:val="28"/>
          <w:lang w:val="uk-UA"/>
        </w:rPr>
        <w:t>ання загальної самооцінки ЛЗП-СЛ</w:t>
      </w:r>
      <w:r w:rsidRPr="00006A39">
        <w:rPr>
          <w:rFonts w:ascii="Times New Roman" w:eastAsia="Calibri" w:hAnsi="Times New Roman"/>
          <w:sz w:val="28"/>
          <w:szCs w:val="28"/>
          <w:lang w:val="uk-UA"/>
        </w:rPr>
        <w:t xml:space="preserve"> рівня</w:t>
      </w:r>
      <w:r w:rsidRPr="00006A39">
        <w:rPr>
          <w:lang w:val="uk-UA"/>
        </w:rPr>
        <w:t xml:space="preserve"> </w:t>
      </w:r>
      <w:r w:rsidRPr="00006A39">
        <w:rPr>
          <w:rFonts w:ascii="Times New Roman" w:eastAsia="Calibri" w:hAnsi="Times New Roman"/>
          <w:sz w:val="28"/>
          <w:szCs w:val="28"/>
          <w:lang w:val="uk-UA"/>
        </w:rPr>
        <w:t xml:space="preserve">особистих знань з теоретичної підготовки та практичної підготовки з попередження передчасної смерті дітей. Отримані та проаналізовані дані свідчать, що переважна більшість лікарів вважають свій рівень теоретичної підготовки та практичних навичок недостатнім та вкрай недостатнім з </w:t>
      </w:r>
      <w:r w:rsidRPr="00006A39">
        <w:rPr>
          <w:rFonts w:ascii="Times New Roman" w:eastAsia="Calibri" w:hAnsi="Times New Roman"/>
          <w:sz w:val="28"/>
          <w:szCs w:val="28"/>
          <w:lang w:val="uk-UA"/>
        </w:rPr>
        <w:lastRenderedPageBreak/>
        <w:t>вищезазначеного питання (67,75±2,3% та 70,25±2,3% відповідно)</w:t>
      </w:r>
      <w:r w:rsidR="008B38DB">
        <w:rPr>
          <w:rFonts w:ascii="Times New Roman" w:eastAsia="Calibri" w:hAnsi="Times New Roman"/>
          <w:sz w:val="28"/>
          <w:szCs w:val="28"/>
          <w:lang w:val="uk-UA"/>
        </w:rPr>
        <w:t>,</w:t>
      </w:r>
      <w:r w:rsidRPr="00006A39">
        <w:rPr>
          <w:rFonts w:ascii="Times New Roman" w:eastAsia="Calibri" w:hAnsi="Times New Roman"/>
          <w:sz w:val="28"/>
          <w:szCs w:val="28"/>
          <w:lang w:val="uk-UA"/>
        </w:rPr>
        <w:t xml:space="preserve"> і тільки 32,25±2,3%  оцінили свій рівень теоретичної підготовки та 29,75±2,3% – практичної підготовки як задовільний і добрий (рис. 6.6).</w:t>
      </w:r>
    </w:p>
    <w:p w:rsidR="007F136C" w:rsidRPr="00006A39" w:rsidRDefault="007F136C" w:rsidP="00721203">
      <w:pPr>
        <w:widowControl w:val="0"/>
        <w:jc w:val="center"/>
        <w:rPr>
          <w:rFonts w:eastAsia="Calibri"/>
          <w:color w:val="FF0000"/>
          <w:szCs w:val="28"/>
        </w:rPr>
      </w:pPr>
      <w:r w:rsidRPr="00006A39">
        <w:rPr>
          <w:rFonts w:eastAsia="Calibri"/>
          <w:noProof/>
          <w:color w:val="FF0000"/>
          <w:szCs w:val="28"/>
          <w:lang w:val="ru-RU" w:eastAsia="ru-RU"/>
        </w:rPr>
        <w:drawing>
          <wp:inline distT="0" distB="0" distL="0" distR="0" wp14:anchorId="44CC0086" wp14:editId="613CDEC8">
            <wp:extent cx="5868955" cy="3750906"/>
            <wp:effectExtent l="0" t="0" r="0" b="2540"/>
            <wp:docPr id="77" name="Діагра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7F136C" w:rsidRDefault="007F136C" w:rsidP="00F34224">
      <w:pPr>
        <w:widowControl w:val="0"/>
        <w:ind w:firstLine="708"/>
        <w:rPr>
          <w:rFonts w:eastAsia="Calibri"/>
          <w:color w:val="000000" w:themeColor="text1"/>
          <w:szCs w:val="28"/>
          <w:lang w:val="ru-RU"/>
        </w:rPr>
      </w:pPr>
      <w:r w:rsidRPr="00F34224">
        <w:rPr>
          <w:rFonts w:eastAsia="Calibri"/>
          <w:color w:val="000000" w:themeColor="text1"/>
          <w:szCs w:val="28"/>
        </w:rPr>
        <w:t>Рис. 6.6. Рівень самооцінки ЛЗП-СЛ особистих теоретичних знань та практичних навичок з попередження передчасної смерті дітей.</w:t>
      </w:r>
      <w:r w:rsidR="00F34224">
        <w:rPr>
          <w:rFonts w:eastAsia="Calibri"/>
          <w:color w:val="000000" w:themeColor="text1"/>
          <w:szCs w:val="28"/>
        </w:rPr>
        <w:t xml:space="preserve"> </w:t>
      </w:r>
    </w:p>
    <w:p w:rsidR="007F136C" w:rsidRPr="006815A4" w:rsidRDefault="007F136C" w:rsidP="006815A4">
      <w:pPr>
        <w:widowControl w:val="0"/>
        <w:spacing w:before="240"/>
        <w:ind w:firstLine="709"/>
        <w:rPr>
          <w:rFonts w:eastAsia="Calibri"/>
          <w:szCs w:val="28"/>
        </w:rPr>
        <w:sectPr w:rsidR="007F136C" w:rsidRPr="006815A4" w:rsidSect="00E242B0">
          <w:pgSz w:w="11906" w:h="16838"/>
          <w:pgMar w:top="1134" w:right="567" w:bottom="1134" w:left="1134" w:header="709" w:footer="709" w:gutter="0"/>
          <w:cols w:space="720"/>
        </w:sectPr>
      </w:pPr>
      <w:r w:rsidRPr="00F34224">
        <w:rPr>
          <w:rFonts w:eastAsia="Calibri"/>
          <w:color w:val="000000" w:themeColor="text1"/>
          <w:szCs w:val="28"/>
        </w:rPr>
        <w:t xml:space="preserve">Наступним кроком соціального дослідження було вивчено та проаналізовано питання щодо рівня самооцінки ЛЗП-СЛ власних теоретичних знань та практичних навичок з тактики дій при окремих станах, які загрожують життю  дітей. </w:t>
      </w:r>
      <w:r w:rsidRPr="00006A39">
        <w:rPr>
          <w:rFonts w:eastAsia="Calibri"/>
          <w:szCs w:val="28"/>
        </w:rPr>
        <w:t>Найбільш підготовленими як теоретично</w:t>
      </w:r>
      <w:r w:rsidR="000E39CA">
        <w:rPr>
          <w:rFonts w:eastAsia="Calibri"/>
          <w:szCs w:val="28"/>
        </w:rPr>
        <w:t>,</w:t>
      </w:r>
      <w:r w:rsidRPr="00006A39">
        <w:rPr>
          <w:rFonts w:eastAsia="Calibri"/>
          <w:szCs w:val="28"/>
        </w:rPr>
        <w:t xml:space="preserve"> так і практично вважають себе респонденти </w:t>
      </w:r>
      <w:r w:rsidR="000E39CA">
        <w:rPr>
          <w:rFonts w:eastAsia="Calibri"/>
          <w:szCs w:val="28"/>
        </w:rPr>
        <w:t xml:space="preserve">при таких окремих станах дитини: </w:t>
      </w:r>
      <w:r w:rsidRPr="00006A39">
        <w:rPr>
          <w:rFonts w:eastAsia="Calibri"/>
          <w:szCs w:val="28"/>
        </w:rPr>
        <w:t xml:space="preserve">гострий біль у животі – 91,75±1,4%  ЛЗП-СЛ оцінюють свої знання добрими та задовільними та 91,0±1,4%  респондентів вважають свої практичні навички добрими та задовільними з цього стану (26,25±2,2% ЛЗП-СЛ оцінюють свої теоретичні знання як добрі та 65,5±2,4%  як задовільні; практичні навички з тактики дій добрими вважають 27,25±2,2%  та задовільними 63,75±2,4% респондентів); при гострій дихальній  недостатності – 69,5±2,3%  та 67,5±2,3%  респондентів відповідно (16,0±1,8%   мають  добрі  теоретичні  знання  та  53,5±2,5%  респондентів оцінюють їх як задовільні; як добрі </w:t>
      </w:r>
      <w:r w:rsidRPr="00006A39">
        <w:rPr>
          <w:rFonts w:eastAsia="Calibri"/>
          <w:szCs w:val="28"/>
        </w:rPr>
        <w:lastRenderedPageBreak/>
        <w:t>оцінюють свої практичні навички 15,25±1,8%  ЛЗП-СЛ та як задовільні 52,25±2,5%  респондентів); при блювоті – 67±2,4%  та 68,75±2,3%  респондентів відповідно (теоретичні знання вважають добрими 18,5±1,9%  ЛЗП-СЛ та задовільними – 48,5±2,5%; практичні навички оцінюють як добрі –  19,0±2,0%  респондентів та як задовільні –  49,75±2,5%); при судомах –  63,0±2,4%  та 60,5±2,4%  ЛЗП-СЛ відповідно (теоретичні знання вважають добрими – 17,25±1,9%  ЛЗП-СЛ та 45,75±2,5%  – задовільними; практичні знання 5,25±1,1% респондентів вважають добрими та 45,25±2,5%  – задовільними); при гострій асфіксії – 63,0±2,4%  та 61,5±2,4%  респондентів відповідно (12,75±1,7%  респондентів вважають свої теоретичні знання добрими та 50,25±2,5%  задовільними; практичні навички на доброму рівні за даними самооцінки має 12,5±1,7% ЛЗП-</w:t>
      </w:r>
      <w:r w:rsidR="000E39CA">
        <w:rPr>
          <w:rFonts w:eastAsia="Calibri"/>
          <w:szCs w:val="28"/>
        </w:rPr>
        <w:t>СЛ та задовільному – 49,0±2,5%);</w:t>
      </w:r>
      <w:r w:rsidRPr="00006A39">
        <w:rPr>
          <w:rFonts w:eastAsia="Calibri"/>
          <w:szCs w:val="28"/>
        </w:rPr>
        <w:t xml:space="preserve"> при анафілактичному шоці – 62,0±2,4%  та 59,25±2,5%  ЛЗП-СЛ відповідно (добрими свої теоретичні знання вважає 13,0±1,7%  респондентів та задовільними – 49,0±2,5%; як добрий оцінює рівень практичних навичок 13,75±1,7%  ЛЗП-СЛ та 45,5±2,5%  респондентів вважає, що має задовільний рівень з даного стану). Недостатніми та вкрай недостатніми вважають респонденти свої власні теоретичні та практичні знання при опіку дихальних шляхів (79,75±2.0% респондентів оцінює свої теоретичні знання як недостатні та вкрай недостатні і 77,25±2,1% ЛЗП-СЛ вважають свої практичні навички з цього стану недостатніми та вкрай недостатніми), при крупі 78,0±2,1% та 84,0±1,8% респондентів відповідно; падінні з висоти 56,0±2,5% ЛЗП-СЛ оцінюють як недостатню та вкрай недостатню, вогнепальне поранення 53,0±2,5% та 56,5±2,5% респондентів відповідно; чере</w:t>
      </w:r>
      <w:r w:rsidR="00454C94">
        <w:rPr>
          <w:rFonts w:eastAsia="Calibri"/>
          <w:szCs w:val="28"/>
        </w:rPr>
        <w:t xml:space="preserve">пно-мозковій травмі 59,0±2,5%  </w:t>
      </w:r>
      <w:r w:rsidRPr="00006A39">
        <w:rPr>
          <w:rFonts w:eastAsia="Calibri"/>
          <w:szCs w:val="28"/>
        </w:rPr>
        <w:t xml:space="preserve">та 56,5±2,5% ЛЗП-СЛ відповідно; враженні </w:t>
      </w:r>
      <w:r w:rsidR="00454C94">
        <w:rPr>
          <w:rFonts w:eastAsia="Calibri"/>
          <w:szCs w:val="28"/>
        </w:rPr>
        <w:t xml:space="preserve">електричним струмом 48,0±2,5% </w:t>
      </w:r>
      <w:r w:rsidRPr="00006A39">
        <w:rPr>
          <w:rFonts w:eastAsia="Calibri"/>
          <w:szCs w:val="28"/>
        </w:rPr>
        <w:t>та 52,0±2,5% респо</w:t>
      </w:r>
      <w:r w:rsidR="00454C94">
        <w:rPr>
          <w:rFonts w:eastAsia="Calibri"/>
          <w:szCs w:val="28"/>
        </w:rPr>
        <w:t xml:space="preserve">ндентів відповідно (табл. 6.5). </w:t>
      </w:r>
      <w:r w:rsidRPr="00006A39">
        <w:rPr>
          <w:rFonts w:eastAsia="Calibri"/>
          <w:szCs w:val="28"/>
        </w:rPr>
        <w:t xml:space="preserve">Слід зазначити, що навіть при тих станах при яких в результаті опитування питома вага респондентів з доброю та задовільною самооцінкою є найбільшою, зберігається </w:t>
      </w:r>
      <w:r w:rsidR="00C86DCE" w:rsidRPr="00006A39">
        <w:rPr>
          <w:rFonts w:eastAsia="Calibri"/>
          <w:szCs w:val="28"/>
        </w:rPr>
        <w:t>достатня частка ЛЗП-СЛ, які мають недостатні або вкрай недостатні теоретичні знання та практичну підготовку щодо станів, які загрожують життю дітей, що є</w:t>
      </w:r>
      <w:r w:rsidR="00C86DCE">
        <w:rPr>
          <w:rFonts w:eastAsia="Calibri"/>
          <w:b/>
          <w:color w:val="000000" w:themeColor="text1"/>
          <w:szCs w:val="28"/>
        </w:rPr>
        <w:t xml:space="preserve"> </w:t>
      </w:r>
      <w:r w:rsidR="00C86DCE" w:rsidRPr="00006A39">
        <w:rPr>
          <w:rFonts w:eastAsia="Calibri"/>
          <w:szCs w:val="28"/>
        </w:rPr>
        <w:t>неприпустимим в умовах трансформації медичної галузі та не відповідає сучасним</w:t>
      </w:r>
      <w:r w:rsidR="006815A4" w:rsidRPr="006815A4">
        <w:rPr>
          <w:rFonts w:eastAsia="Calibri"/>
          <w:szCs w:val="28"/>
        </w:rPr>
        <w:t xml:space="preserve"> </w:t>
      </w:r>
      <w:r w:rsidR="006815A4" w:rsidRPr="00006A39">
        <w:rPr>
          <w:rFonts w:eastAsia="Calibri"/>
          <w:szCs w:val="28"/>
        </w:rPr>
        <w:t>вимогам щодо надання медичної допомоги дитячому населенню і призводить до</w:t>
      </w:r>
    </w:p>
    <w:p w:rsidR="007F136C" w:rsidRPr="00F34224" w:rsidRDefault="007F136C" w:rsidP="00441FB3">
      <w:pPr>
        <w:pageBreakBefore/>
        <w:widowControl w:val="0"/>
        <w:jc w:val="right"/>
        <w:rPr>
          <w:rFonts w:eastAsia="Calibri"/>
          <w:i/>
          <w:color w:val="000000" w:themeColor="text1"/>
          <w:szCs w:val="28"/>
        </w:rPr>
      </w:pPr>
      <w:r w:rsidRPr="00F34224">
        <w:rPr>
          <w:rFonts w:eastAsia="Calibri"/>
          <w:i/>
          <w:color w:val="000000" w:themeColor="text1"/>
          <w:szCs w:val="28"/>
        </w:rPr>
        <w:lastRenderedPageBreak/>
        <w:t>Таблиця 6.5</w:t>
      </w:r>
    </w:p>
    <w:p w:rsidR="007F136C" w:rsidRPr="00F34224" w:rsidRDefault="007F136C" w:rsidP="00005FD0">
      <w:pPr>
        <w:widowControl w:val="0"/>
        <w:jc w:val="center"/>
        <w:rPr>
          <w:rFonts w:eastAsia="Calibri"/>
          <w:b/>
          <w:color w:val="000000" w:themeColor="text1"/>
          <w:szCs w:val="28"/>
        </w:rPr>
      </w:pPr>
      <w:r w:rsidRPr="00F34224">
        <w:rPr>
          <w:rFonts w:eastAsia="Calibri"/>
          <w:b/>
          <w:color w:val="000000" w:themeColor="text1"/>
          <w:szCs w:val="28"/>
        </w:rPr>
        <w:t>Рівень самооцінки лікарями загальної практики-сімейними лікарями власних теоретичних знань та практичних навичок з тактики дій при окремих станах, які загрожують життю  дітей</w:t>
      </w:r>
    </w:p>
    <w:tbl>
      <w:tblPr>
        <w:tblStyle w:val="a6"/>
        <w:tblW w:w="0" w:type="auto"/>
        <w:jc w:val="center"/>
        <w:tblInd w:w="-176" w:type="dxa"/>
        <w:tblLook w:val="04A0" w:firstRow="1" w:lastRow="0" w:firstColumn="1" w:lastColumn="0" w:noHBand="0" w:noVBand="1"/>
      </w:tblPr>
      <w:tblGrid>
        <w:gridCol w:w="1993"/>
        <w:gridCol w:w="595"/>
        <w:gridCol w:w="1125"/>
        <w:gridCol w:w="595"/>
        <w:gridCol w:w="1125"/>
        <w:gridCol w:w="586"/>
        <w:gridCol w:w="1109"/>
        <w:gridCol w:w="604"/>
        <w:gridCol w:w="1029"/>
        <w:gridCol w:w="585"/>
        <w:gridCol w:w="1107"/>
        <w:gridCol w:w="585"/>
        <w:gridCol w:w="1107"/>
        <w:gridCol w:w="585"/>
        <w:gridCol w:w="1107"/>
        <w:gridCol w:w="585"/>
        <w:gridCol w:w="1107"/>
      </w:tblGrid>
      <w:tr w:rsidR="007F136C" w:rsidRPr="00536BC7" w:rsidTr="00816787">
        <w:trPr>
          <w:jc w:val="center"/>
        </w:trPr>
        <w:tc>
          <w:tcPr>
            <w:tcW w:w="1993" w:type="dxa"/>
            <w:vMerge w:val="restart"/>
            <w:tcBorders>
              <w:top w:val="single" w:sz="4" w:space="0" w:color="auto"/>
              <w:left w:val="single" w:sz="4" w:space="0" w:color="auto"/>
              <w:bottom w:val="single" w:sz="4" w:space="0" w:color="auto"/>
              <w:right w:val="single" w:sz="4" w:space="0" w:color="auto"/>
            </w:tcBorders>
            <w:hideMark/>
          </w:tcPr>
          <w:p w:rsidR="007F136C" w:rsidRPr="00816787" w:rsidRDefault="007F136C" w:rsidP="00816787">
            <w:pPr>
              <w:widowControl w:val="0"/>
              <w:spacing w:line="360" w:lineRule="auto"/>
              <w:jc w:val="center"/>
              <w:rPr>
                <w:rFonts w:ascii="Times New Roman" w:hAnsi="Times New Roman"/>
                <w:sz w:val="24"/>
                <w:szCs w:val="24"/>
                <w:lang w:val="uk-UA"/>
              </w:rPr>
            </w:pPr>
            <w:r w:rsidRPr="00816787">
              <w:rPr>
                <w:rFonts w:ascii="Times New Roman" w:hAnsi="Times New Roman"/>
                <w:sz w:val="24"/>
                <w:szCs w:val="24"/>
                <w:lang w:val="uk-UA"/>
              </w:rPr>
              <w:t>Стан дитини</w:t>
            </w:r>
          </w:p>
        </w:tc>
        <w:tc>
          <w:tcPr>
            <w:tcW w:w="6768" w:type="dxa"/>
            <w:gridSpan w:val="8"/>
            <w:tcBorders>
              <w:top w:val="single" w:sz="4" w:space="0" w:color="auto"/>
              <w:left w:val="single" w:sz="4" w:space="0" w:color="auto"/>
              <w:bottom w:val="single" w:sz="4" w:space="0" w:color="auto"/>
              <w:right w:val="single" w:sz="4" w:space="0" w:color="auto"/>
            </w:tcBorders>
            <w:hideMark/>
          </w:tcPr>
          <w:p w:rsidR="007F136C" w:rsidRPr="00816787" w:rsidRDefault="007F136C" w:rsidP="00816787">
            <w:pPr>
              <w:widowControl w:val="0"/>
              <w:spacing w:line="360" w:lineRule="auto"/>
              <w:jc w:val="center"/>
              <w:rPr>
                <w:rFonts w:ascii="Times New Roman" w:hAnsi="Times New Roman"/>
                <w:sz w:val="24"/>
                <w:szCs w:val="24"/>
                <w:lang w:val="uk-UA"/>
              </w:rPr>
            </w:pPr>
            <w:r w:rsidRPr="00816787">
              <w:rPr>
                <w:rFonts w:ascii="Times New Roman" w:hAnsi="Times New Roman"/>
                <w:sz w:val="24"/>
                <w:szCs w:val="24"/>
                <w:lang w:val="uk-UA"/>
              </w:rPr>
              <w:t>Теоретичні знання</w:t>
            </w:r>
          </w:p>
        </w:tc>
        <w:tc>
          <w:tcPr>
            <w:tcW w:w="0" w:type="auto"/>
            <w:gridSpan w:val="8"/>
            <w:tcBorders>
              <w:top w:val="single" w:sz="4" w:space="0" w:color="auto"/>
              <w:left w:val="single" w:sz="4" w:space="0" w:color="auto"/>
              <w:bottom w:val="single" w:sz="4" w:space="0" w:color="auto"/>
              <w:right w:val="single" w:sz="4" w:space="0" w:color="auto"/>
            </w:tcBorders>
            <w:hideMark/>
          </w:tcPr>
          <w:p w:rsidR="007F136C" w:rsidRPr="00816787" w:rsidRDefault="007F136C" w:rsidP="00816787">
            <w:pPr>
              <w:widowControl w:val="0"/>
              <w:spacing w:line="360" w:lineRule="auto"/>
              <w:jc w:val="center"/>
              <w:rPr>
                <w:rFonts w:ascii="Times New Roman" w:hAnsi="Times New Roman"/>
                <w:sz w:val="24"/>
                <w:szCs w:val="24"/>
                <w:lang w:val="uk-UA"/>
              </w:rPr>
            </w:pPr>
            <w:r w:rsidRPr="00816787">
              <w:rPr>
                <w:rFonts w:ascii="Times New Roman" w:hAnsi="Times New Roman"/>
                <w:sz w:val="24"/>
                <w:szCs w:val="24"/>
                <w:lang w:val="uk-UA"/>
              </w:rPr>
              <w:t>Практичні навички</w:t>
            </w:r>
          </w:p>
        </w:tc>
      </w:tr>
      <w:tr w:rsidR="007F136C" w:rsidRPr="00536BC7" w:rsidTr="00816787">
        <w:trPr>
          <w:jc w:val="center"/>
        </w:trPr>
        <w:tc>
          <w:tcPr>
            <w:tcW w:w="1993" w:type="dxa"/>
            <w:vMerge/>
            <w:tcBorders>
              <w:top w:val="single" w:sz="4" w:space="0" w:color="auto"/>
              <w:left w:val="single" w:sz="4" w:space="0" w:color="auto"/>
              <w:bottom w:val="single" w:sz="4" w:space="0" w:color="auto"/>
              <w:right w:val="single" w:sz="4" w:space="0" w:color="auto"/>
            </w:tcBorders>
            <w:vAlign w:val="center"/>
            <w:hideMark/>
          </w:tcPr>
          <w:p w:rsidR="007F136C" w:rsidRPr="00816787" w:rsidRDefault="007F136C" w:rsidP="00816787">
            <w:pPr>
              <w:widowControl w:val="0"/>
              <w:spacing w:line="360" w:lineRule="auto"/>
              <w:rPr>
                <w:rFonts w:ascii="Times New Roman" w:hAnsi="Times New Roman"/>
                <w:sz w:val="24"/>
                <w:szCs w:val="24"/>
                <w:lang w:val="uk-UA"/>
              </w:rPr>
            </w:pPr>
          </w:p>
        </w:tc>
        <w:tc>
          <w:tcPr>
            <w:tcW w:w="1692" w:type="dxa"/>
            <w:gridSpan w:val="2"/>
            <w:tcBorders>
              <w:top w:val="single" w:sz="4" w:space="0" w:color="auto"/>
              <w:left w:val="single" w:sz="4" w:space="0" w:color="auto"/>
              <w:bottom w:val="single" w:sz="4" w:space="0" w:color="auto"/>
              <w:right w:val="single" w:sz="4" w:space="0" w:color="auto"/>
            </w:tcBorders>
            <w:hideMark/>
          </w:tcPr>
          <w:p w:rsidR="007F136C" w:rsidRPr="00816787" w:rsidRDefault="007F136C" w:rsidP="00816787">
            <w:pPr>
              <w:widowControl w:val="0"/>
              <w:spacing w:line="360" w:lineRule="auto"/>
              <w:jc w:val="center"/>
              <w:rPr>
                <w:rFonts w:ascii="Times New Roman" w:hAnsi="Times New Roman"/>
                <w:sz w:val="24"/>
                <w:szCs w:val="24"/>
                <w:lang w:val="uk-UA"/>
              </w:rPr>
            </w:pPr>
            <w:r w:rsidRPr="00816787">
              <w:rPr>
                <w:rFonts w:ascii="Times New Roman" w:hAnsi="Times New Roman"/>
                <w:sz w:val="24"/>
                <w:szCs w:val="24"/>
                <w:lang w:val="uk-UA"/>
              </w:rPr>
              <w:t>добрі</w:t>
            </w:r>
          </w:p>
        </w:tc>
        <w:tc>
          <w:tcPr>
            <w:tcW w:w="1692" w:type="dxa"/>
            <w:gridSpan w:val="2"/>
            <w:tcBorders>
              <w:top w:val="single" w:sz="4" w:space="0" w:color="auto"/>
              <w:left w:val="single" w:sz="4" w:space="0" w:color="auto"/>
              <w:bottom w:val="single" w:sz="4" w:space="0" w:color="auto"/>
              <w:right w:val="single" w:sz="4" w:space="0" w:color="auto"/>
            </w:tcBorders>
            <w:hideMark/>
          </w:tcPr>
          <w:p w:rsidR="007F136C" w:rsidRPr="00816787" w:rsidRDefault="007F136C" w:rsidP="00816787">
            <w:pPr>
              <w:widowControl w:val="0"/>
              <w:spacing w:line="360" w:lineRule="auto"/>
              <w:jc w:val="center"/>
              <w:rPr>
                <w:rFonts w:ascii="Times New Roman" w:hAnsi="Times New Roman"/>
                <w:sz w:val="24"/>
                <w:szCs w:val="24"/>
                <w:lang w:val="uk-UA"/>
              </w:rPr>
            </w:pPr>
            <w:r w:rsidRPr="00816787">
              <w:rPr>
                <w:rFonts w:ascii="Times New Roman" w:hAnsi="Times New Roman"/>
                <w:sz w:val="24"/>
                <w:szCs w:val="24"/>
                <w:lang w:val="uk-UA"/>
              </w:rPr>
              <w:t>задовільні</w:t>
            </w:r>
          </w:p>
        </w:tc>
        <w:tc>
          <w:tcPr>
            <w:tcW w:w="0" w:type="auto"/>
            <w:gridSpan w:val="2"/>
            <w:tcBorders>
              <w:top w:val="single" w:sz="4" w:space="0" w:color="auto"/>
              <w:left w:val="single" w:sz="4" w:space="0" w:color="auto"/>
              <w:bottom w:val="single" w:sz="4" w:space="0" w:color="auto"/>
              <w:right w:val="single" w:sz="4" w:space="0" w:color="auto"/>
            </w:tcBorders>
            <w:hideMark/>
          </w:tcPr>
          <w:p w:rsidR="007F136C" w:rsidRPr="00816787" w:rsidRDefault="007F136C" w:rsidP="00816787">
            <w:pPr>
              <w:widowControl w:val="0"/>
              <w:spacing w:line="360" w:lineRule="auto"/>
              <w:jc w:val="center"/>
              <w:rPr>
                <w:rFonts w:ascii="Times New Roman" w:hAnsi="Times New Roman"/>
                <w:sz w:val="24"/>
                <w:szCs w:val="24"/>
                <w:lang w:val="uk-UA"/>
              </w:rPr>
            </w:pPr>
            <w:r w:rsidRPr="00816787">
              <w:rPr>
                <w:rFonts w:ascii="Times New Roman" w:hAnsi="Times New Roman"/>
                <w:sz w:val="24"/>
                <w:szCs w:val="24"/>
                <w:lang w:val="uk-UA"/>
              </w:rPr>
              <w:t>недостатні</w:t>
            </w:r>
          </w:p>
        </w:tc>
        <w:tc>
          <w:tcPr>
            <w:tcW w:w="0" w:type="auto"/>
            <w:gridSpan w:val="2"/>
            <w:tcBorders>
              <w:top w:val="single" w:sz="4" w:space="0" w:color="auto"/>
              <w:left w:val="single" w:sz="4" w:space="0" w:color="auto"/>
              <w:bottom w:val="single" w:sz="4" w:space="0" w:color="auto"/>
              <w:right w:val="single" w:sz="4" w:space="0" w:color="auto"/>
            </w:tcBorders>
            <w:hideMark/>
          </w:tcPr>
          <w:p w:rsidR="007F136C" w:rsidRPr="00816787" w:rsidRDefault="007F136C" w:rsidP="00816787">
            <w:pPr>
              <w:widowControl w:val="0"/>
              <w:spacing w:line="360" w:lineRule="auto"/>
              <w:jc w:val="center"/>
              <w:rPr>
                <w:rFonts w:ascii="Times New Roman" w:hAnsi="Times New Roman"/>
                <w:sz w:val="24"/>
                <w:szCs w:val="24"/>
                <w:lang w:val="uk-UA"/>
              </w:rPr>
            </w:pPr>
            <w:r w:rsidRPr="00816787">
              <w:rPr>
                <w:rFonts w:ascii="Times New Roman" w:hAnsi="Times New Roman"/>
                <w:sz w:val="24"/>
                <w:szCs w:val="24"/>
                <w:lang w:val="uk-UA"/>
              </w:rPr>
              <w:t>Вкрай недостатні</w:t>
            </w:r>
          </w:p>
        </w:tc>
        <w:tc>
          <w:tcPr>
            <w:tcW w:w="0" w:type="auto"/>
            <w:gridSpan w:val="2"/>
            <w:tcBorders>
              <w:top w:val="single" w:sz="4" w:space="0" w:color="auto"/>
              <w:left w:val="single" w:sz="4" w:space="0" w:color="auto"/>
              <w:bottom w:val="single" w:sz="4" w:space="0" w:color="auto"/>
              <w:right w:val="single" w:sz="4" w:space="0" w:color="auto"/>
            </w:tcBorders>
            <w:hideMark/>
          </w:tcPr>
          <w:p w:rsidR="007F136C" w:rsidRPr="00816787" w:rsidRDefault="007F136C" w:rsidP="00816787">
            <w:pPr>
              <w:widowControl w:val="0"/>
              <w:spacing w:line="360" w:lineRule="auto"/>
              <w:jc w:val="center"/>
              <w:rPr>
                <w:rFonts w:ascii="Times New Roman" w:hAnsi="Times New Roman"/>
                <w:sz w:val="24"/>
                <w:szCs w:val="24"/>
                <w:lang w:val="uk-UA"/>
              </w:rPr>
            </w:pPr>
            <w:r w:rsidRPr="00816787">
              <w:rPr>
                <w:rFonts w:ascii="Times New Roman" w:hAnsi="Times New Roman"/>
                <w:sz w:val="24"/>
                <w:szCs w:val="24"/>
                <w:lang w:val="uk-UA"/>
              </w:rPr>
              <w:t>добрі</w:t>
            </w:r>
          </w:p>
        </w:tc>
        <w:tc>
          <w:tcPr>
            <w:tcW w:w="0" w:type="auto"/>
            <w:gridSpan w:val="2"/>
            <w:tcBorders>
              <w:top w:val="single" w:sz="4" w:space="0" w:color="auto"/>
              <w:left w:val="single" w:sz="4" w:space="0" w:color="auto"/>
              <w:bottom w:val="single" w:sz="4" w:space="0" w:color="auto"/>
              <w:right w:val="single" w:sz="4" w:space="0" w:color="auto"/>
            </w:tcBorders>
            <w:hideMark/>
          </w:tcPr>
          <w:p w:rsidR="007F136C" w:rsidRPr="00816787" w:rsidRDefault="007F136C" w:rsidP="00816787">
            <w:pPr>
              <w:widowControl w:val="0"/>
              <w:spacing w:line="360" w:lineRule="auto"/>
              <w:jc w:val="center"/>
              <w:rPr>
                <w:rFonts w:ascii="Times New Roman" w:hAnsi="Times New Roman"/>
                <w:sz w:val="24"/>
                <w:szCs w:val="24"/>
                <w:lang w:val="uk-UA"/>
              </w:rPr>
            </w:pPr>
            <w:r w:rsidRPr="00816787">
              <w:rPr>
                <w:rFonts w:ascii="Times New Roman" w:hAnsi="Times New Roman"/>
                <w:sz w:val="24"/>
                <w:szCs w:val="24"/>
                <w:lang w:val="uk-UA"/>
              </w:rPr>
              <w:t>задовільні</w:t>
            </w:r>
          </w:p>
        </w:tc>
        <w:tc>
          <w:tcPr>
            <w:tcW w:w="1692" w:type="dxa"/>
            <w:gridSpan w:val="2"/>
            <w:tcBorders>
              <w:top w:val="single" w:sz="4" w:space="0" w:color="auto"/>
              <w:left w:val="single" w:sz="4" w:space="0" w:color="auto"/>
              <w:bottom w:val="single" w:sz="4" w:space="0" w:color="auto"/>
              <w:right w:val="single" w:sz="4" w:space="0" w:color="auto"/>
            </w:tcBorders>
            <w:hideMark/>
          </w:tcPr>
          <w:p w:rsidR="007F136C" w:rsidRPr="00816787" w:rsidRDefault="007F136C" w:rsidP="00816787">
            <w:pPr>
              <w:widowControl w:val="0"/>
              <w:spacing w:line="360" w:lineRule="auto"/>
              <w:jc w:val="center"/>
              <w:rPr>
                <w:rFonts w:ascii="Times New Roman" w:hAnsi="Times New Roman"/>
                <w:sz w:val="24"/>
                <w:szCs w:val="24"/>
                <w:lang w:val="uk-UA"/>
              </w:rPr>
            </w:pPr>
            <w:r w:rsidRPr="00816787">
              <w:rPr>
                <w:rFonts w:ascii="Times New Roman" w:hAnsi="Times New Roman"/>
                <w:sz w:val="24"/>
                <w:szCs w:val="24"/>
                <w:lang w:val="uk-UA"/>
              </w:rPr>
              <w:t>недостатні</w:t>
            </w:r>
          </w:p>
        </w:tc>
        <w:tc>
          <w:tcPr>
            <w:tcW w:w="1692" w:type="dxa"/>
            <w:gridSpan w:val="2"/>
            <w:tcBorders>
              <w:top w:val="single" w:sz="4" w:space="0" w:color="auto"/>
              <w:left w:val="single" w:sz="4" w:space="0" w:color="auto"/>
              <w:bottom w:val="single" w:sz="4" w:space="0" w:color="auto"/>
              <w:right w:val="single" w:sz="4" w:space="0" w:color="auto"/>
            </w:tcBorders>
            <w:hideMark/>
          </w:tcPr>
          <w:p w:rsidR="007F136C" w:rsidRPr="00816787" w:rsidRDefault="007F136C" w:rsidP="00816787">
            <w:pPr>
              <w:widowControl w:val="0"/>
              <w:spacing w:line="360" w:lineRule="auto"/>
              <w:jc w:val="center"/>
              <w:rPr>
                <w:rFonts w:ascii="Times New Roman" w:hAnsi="Times New Roman"/>
                <w:sz w:val="24"/>
                <w:szCs w:val="24"/>
                <w:lang w:val="uk-UA"/>
              </w:rPr>
            </w:pPr>
            <w:r w:rsidRPr="00816787">
              <w:rPr>
                <w:rFonts w:ascii="Times New Roman" w:hAnsi="Times New Roman"/>
                <w:sz w:val="24"/>
                <w:szCs w:val="24"/>
                <w:lang w:val="uk-UA"/>
              </w:rPr>
              <w:t>Вкрай недостатні</w:t>
            </w:r>
          </w:p>
        </w:tc>
      </w:tr>
      <w:tr w:rsidR="007F136C" w:rsidRPr="00536BC7" w:rsidTr="00816787">
        <w:trPr>
          <w:jc w:val="center"/>
        </w:trPr>
        <w:tc>
          <w:tcPr>
            <w:tcW w:w="1993" w:type="dxa"/>
            <w:vMerge/>
            <w:tcBorders>
              <w:top w:val="single" w:sz="4" w:space="0" w:color="auto"/>
              <w:left w:val="single" w:sz="4" w:space="0" w:color="auto"/>
              <w:bottom w:val="single" w:sz="4" w:space="0" w:color="auto"/>
              <w:right w:val="single" w:sz="4" w:space="0" w:color="auto"/>
            </w:tcBorders>
            <w:vAlign w:val="center"/>
            <w:hideMark/>
          </w:tcPr>
          <w:p w:rsidR="007F136C" w:rsidRPr="00536BC7" w:rsidRDefault="007F136C" w:rsidP="00816787">
            <w:pPr>
              <w:widowControl w:val="0"/>
              <w:spacing w:line="360" w:lineRule="auto"/>
              <w:rPr>
                <w:rFonts w:ascii="Times New Roman" w:hAnsi="Times New Roman"/>
                <w:sz w:val="22"/>
                <w:szCs w:val="22"/>
                <w:lang w:val="uk-UA"/>
              </w:rPr>
            </w:pPr>
          </w:p>
        </w:tc>
        <w:tc>
          <w:tcPr>
            <w:tcW w:w="585" w:type="dxa"/>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rPr>
                <w:rFonts w:ascii="Times New Roman" w:hAnsi="Times New Roman"/>
                <w:sz w:val="22"/>
                <w:szCs w:val="22"/>
                <w:lang w:val="uk-UA"/>
              </w:rPr>
            </w:pPr>
            <w:r w:rsidRPr="00536BC7">
              <w:rPr>
                <w:rFonts w:ascii="Times New Roman" w:hAnsi="Times New Roman"/>
                <w:sz w:val="22"/>
                <w:szCs w:val="22"/>
                <w:lang w:val="uk-UA"/>
              </w:rPr>
              <w:t>Абс</w:t>
            </w:r>
          </w:p>
        </w:tc>
        <w:tc>
          <w:tcPr>
            <w:tcW w:w="1107" w:type="dxa"/>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Р ± m %</w:t>
            </w:r>
          </w:p>
        </w:tc>
        <w:tc>
          <w:tcPr>
            <w:tcW w:w="585" w:type="dxa"/>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Абс</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Р ± m%</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Абс</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Р ± m%</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Абс</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Р ± m%</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Абс</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Р ± m%</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Абс</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Р ± m%</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Абс</w:t>
            </w:r>
          </w:p>
        </w:tc>
        <w:tc>
          <w:tcPr>
            <w:tcW w:w="1107" w:type="dxa"/>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Р ± m%</w:t>
            </w:r>
          </w:p>
        </w:tc>
        <w:tc>
          <w:tcPr>
            <w:tcW w:w="585" w:type="dxa"/>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Абс</w:t>
            </w:r>
          </w:p>
        </w:tc>
        <w:tc>
          <w:tcPr>
            <w:tcW w:w="1107" w:type="dxa"/>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Р ± m%</w:t>
            </w:r>
          </w:p>
        </w:tc>
      </w:tr>
      <w:tr w:rsidR="007F136C" w:rsidRPr="00536BC7" w:rsidTr="00816787">
        <w:trPr>
          <w:jc w:val="center"/>
        </w:trPr>
        <w:tc>
          <w:tcPr>
            <w:tcW w:w="1993" w:type="dxa"/>
            <w:tcBorders>
              <w:top w:val="single" w:sz="4" w:space="0" w:color="auto"/>
              <w:left w:val="single" w:sz="4" w:space="0" w:color="auto"/>
              <w:bottom w:val="single" w:sz="4" w:space="0" w:color="auto"/>
              <w:right w:val="single" w:sz="4" w:space="0" w:color="auto"/>
            </w:tcBorders>
            <w:hideMark/>
          </w:tcPr>
          <w:p w:rsidR="007F136C" w:rsidRPr="00816787" w:rsidRDefault="007F136C" w:rsidP="00816787">
            <w:pPr>
              <w:widowControl w:val="0"/>
              <w:spacing w:line="360" w:lineRule="auto"/>
              <w:rPr>
                <w:rFonts w:ascii="Times New Roman" w:hAnsi="Times New Roman"/>
                <w:sz w:val="24"/>
                <w:szCs w:val="24"/>
                <w:lang w:val="uk-UA"/>
              </w:rPr>
            </w:pPr>
            <w:r w:rsidRPr="00816787">
              <w:rPr>
                <w:rFonts w:ascii="Times New Roman" w:hAnsi="Times New Roman"/>
                <w:sz w:val="24"/>
                <w:szCs w:val="24"/>
                <w:lang w:val="uk-UA"/>
              </w:rPr>
              <w:t>Анафілактичний шок</w:t>
            </w:r>
          </w:p>
        </w:tc>
        <w:tc>
          <w:tcPr>
            <w:tcW w:w="585" w:type="dxa"/>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52</w:t>
            </w:r>
          </w:p>
        </w:tc>
        <w:tc>
          <w:tcPr>
            <w:tcW w:w="1107" w:type="dxa"/>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13,00±1,7</w:t>
            </w:r>
          </w:p>
        </w:tc>
        <w:tc>
          <w:tcPr>
            <w:tcW w:w="585" w:type="dxa"/>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196</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49,00±2,5</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140</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35,00±2,4</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12</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3,00±0,9</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55</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13,75±1,7</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rPr>
                <w:rFonts w:ascii="Times New Roman" w:hAnsi="Times New Roman"/>
                <w:sz w:val="22"/>
                <w:szCs w:val="22"/>
                <w:lang w:val="uk-UA"/>
              </w:rPr>
            </w:pPr>
            <w:r w:rsidRPr="00536BC7">
              <w:rPr>
                <w:rFonts w:ascii="Times New Roman" w:hAnsi="Times New Roman"/>
                <w:sz w:val="22"/>
                <w:szCs w:val="22"/>
                <w:lang w:val="uk-UA"/>
              </w:rPr>
              <w:t>182</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rPr>
                <w:rFonts w:ascii="Times New Roman" w:hAnsi="Times New Roman"/>
                <w:sz w:val="22"/>
                <w:szCs w:val="22"/>
                <w:lang w:val="uk-UA"/>
              </w:rPr>
            </w:pPr>
            <w:r w:rsidRPr="00536BC7">
              <w:rPr>
                <w:rFonts w:ascii="Times New Roman" w:hAnsi="Times New Roman"/>
                <w:sz w:val="22"/>
                <w:szCs w:val="22"/>
                <w:lang w:val="uk-UA"/>
              </w:rPr>
              <w:t>45,50±2,5</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rPr>
                <w:rFonts w:ascii="Times New Roman" w:hAnsi="Times New Roman"/>
                <w:sz w:val="22"/>
                <w:szCs w:val="22"/>
                <w:lang w:val="uk-UA"/>
              </w:rPr>
            </w:pPr>
            <w:r w:rsidRPr="00536BC7">
              <w:rPr>
                <w:rFonts w:ascii="Times New Roman" w:hAnsi="Times New Roman"/>
                <w:sz w:val="22"/>
                <w:szCs w:val="22"/>
                <w:lang w:val="uk-UA"/>
              </w:rPr>
              <w:t>144</w:t>
            </w:r>
          </w:p>
        </w:tc>
        <w:tc>
          <w:tcPr>
            <w:tcW w:w="1107" w:type="dxa"/>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rPr>
                <w:rFonts w:ascii="Times New Roman" w:hAnsi="Times New Roman"/>
                <w:sz w:val="22"/>
                <w:szCs w:val="22"/>
                <w:lang w:val="uk-UA"/>
              </w:rPr>
            </w:pPr>
            <w:r w:rsidRPr="00536BC7">
              <w:rPr>
                <w:rFonts w:ascii="Times New Roman" w:hAnsi="Times New Roman"/>
                <w:sz w:val="22"/>
                <w:szCs w:val="22"/>
                <w:lang w:val="uk-UA"/>
              </w:rPr>
              <w:t>36,00±2,4</w:t>
            </w:r>
          </w:p>
        </w:tc>
        <w:tc>
          <w:tcPr>
            <w:tcW w:w="585" w:type="dxa"/>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rPr>
                <w:rFonts w:ascii="Times New Roman" w:hAnsi="Times New Roman"/>
                <w:sz w:val="22"/>
                <w:szCs w:val="22"/>
                <w:lang w:val="uk-UA"/>
              </w:rPr>
            </w:pPr>
            <w:r w:rsidRPr="00536BC7">
              <w:rPr>
                <w:rFonts w:ascii="Times New Roman" w:hAnsi="Times New Roman"/>
                <w:sz w:val="22"/>
                <w:szCs w:val="22"/>
                <w:lang w:val="uk-UA"/>
              </w:rPr>
              <w:t>19</w:t>
            </w:r>
          </w:p>
        </w:tc>
        <w:tc>
          <w:tcPr>
            <w:tcW w:w="1107" w:type="dxa"/>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rPr>
                <w:rFonts w:ascii="Times New Roman" w:hAnsi="Times New Roman"/>
                <w:sz w:val="22"/>
                <w:szCs w:val="22"/>
                <w:lang w:val="uk-UA"/>
              </w:rPr>
            </w:pPr>
            <w:r w:rsidRPr="00536BC7">
              <w:rPr>
                <w:rFonts w:ascii="Times New Roman" w:hAnsi="Times New Roman"/>
                <w:sz w:val="22"/>
                <w:szCs w:val="22"/>
                <w:lang w:val="uk-UA"/>
              </w:rPr>
              <w:t>4,75±1,1</w:t>
            </w:r>
          </w:p>
        </w:tc>
      </w:tr>
      <w:tr w:rsidR="007F136C" w:rsidRPr="00536BC7" w:rsidTr="00816787">
        <w:trPr>
          <w:jc w:val="center"/>
        </w:trPr>
        <w:tc>
          <w:tcPr>
            <w:tcW w:w="1993" w:type="dxa"/>
            <w:tcBorders>
              <w:top w:val="single" w:sz="4" w:space="0" w:color="auto"/>
              <w:left w:val="single" w:sz="4" w:space="0" w:color="auto"/>
              <w:bottom w:val="single" w:sz="4" w:space="0" w:color="auto"/>
              <w:right w:val="single" w:sz="4" w:space="0" w:color="auto"/>
            </w:tcBorders>
            <w:hideMark/>
          </w:tcPr>
          <w:p w:rsidR="007F136C" w:rsidRPr="00816787" w:rsidRDefault="007F136C" w:rsidP="00816787">
            <w:pPr>
              <w:widowControl w:val="0"/>
              <w:spacing w:line="360" w:lineRule="auto"/>
              <w:rPr>
                <w:rFonts w:ascii="Times New Roman" w:hAnsi="Times New Roman"/>
                <w:sz w:val="24"/>
                <w:szCs w:val="24"/>
                <w:lang w:val="uk-UA"/>
              </w:rPr>
            </w:pPr>
            <w:r w:rsidRPr="00816787">
              <w:rPr>
                <w:rFonts w:ascii="Times New Roman" w:hAnsi="Times New Roman"/>
                <w:sz w:val="24"/>
                <w:szCs w:val="24"/>
                <w:lang w:val="uk-UA"/>
              </w:rPr>
              <w:t>Вогнепальне поранення</w:t>
            </w:r>
          </w:p>
        </w:tc>
        <w:tc>
          <w:tcPr>
            <w:tcW w:w="585" w:type="dxa"/>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34</w:t>
            </w:r>
          </w:p>
        </w:tc>
        <w:tc>
          <w:tcPr>
            <w:tcW w:w="1107" w:type="dxa"/>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8,50±1,4</w:t>
            </w:r>
          </w:p>
        </w:tc>
        <w:tc>
          <w:tcPr>
            <w:tcW w:w="585" w:type="dxa"/>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154</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38,50±2,4</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193</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48,25±2,5</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19</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4,75±1,0</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32</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8,00±1,4</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rPr>
                <w:rFonts w:ascii="Times New Roman" w:hAnsi="Times New Roman"/>
                <w:sz w:val="22"/>
                <w:szCs w:val="22"/>
                <w:lang w:val="uk-UA"/>
              </w:rPr>
            </w:pPr>
            <w:r w:rsidRPr="00536BC7">
              <w:rPr>
                <w:rFonts w:ascii="Times New Roman" w:hAnsi="Times New Roman"/>
                <w:sz w:val="22"/>
                <w:szCs w:val="22"/>
                <w:lang w:val="uk-UA"/>
              </w:rPr>
              <w:t>142</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rPr>
                <w:rFonts w:ascii="Times New Roman" w:hAnsi="Times New Roman"/>
                <w:sz w:val="22"/>
                <w:szCs w:val="22"/>
                <w:lang w:val="uk-UA"/>
              </w:rPr>
            </w:pPr>
            <w:r w:rsidRPr="00536BC7">
              <w:rPr>
                <w:rFonts w:ascii="Times New Roman" w:hAnsi="Times New Roman"/>
                <w:sz w:val="22"/>
                <w:szCs w:val="22"/>
                <w:lang w:val="uk-UA"/>
              </w:rPr>
              <w:t>35,50±2,4</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rPr>
                <w:rFonts w:ascii="Times New Roman" w:hAnsi="Times New Roman"/>
                <w:sz w:val="22"/>
                <w:szCs w:val="22"/>
                <w:lang w:val="uk-UA"/>
              </w:rPr>
            </w:pPr>
            <w:r w:rsidRPr="00536BC7">
              <w:rPr>
                <w:rFonts w:ascii="Times New Roman" w:hAnsi="Times New Roman"/>
                <w:sz w:val="22"/>
                <w:szCs w:val="22"/>
                <w:lang w:val="uk-UA"/>
              </w:rPr>
              <w:t>201</w:t>
            </w:r>
          </w:p>
        </w:tc>
        <w:tc>
          <w:tcPr>
            <w:tcW w:w="1107" w:type="dxa"/>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rPr>
                <w:rFonts w:ascii="Times New Roman" w:hAnsi="Times New Roman"/>
                <w:sz w:val="22"/>
                <w:szCs w:val="22"/>
                <w:lang w:val="uk-UA"/>
              </w:rPr>
            </w:pPr>
            <w:r w:rsidRPr="00536BC7">
              <w:rPr>
                <w:rFonts w:ascii="Times New Roman" w:hAnsi="Times New Roman"/>
                <w:sz w:val="22"/>
                <w:szCs w:val="22"/>
                <w:lang w:val="uk-UA"/>
              </w:rPr>
              <w:t>50,25±2,5</w:t>
            </w:r>
          </w:p>
        </w:tc>
        <w:tc>
          <w:tcPr>
            <w:tcW w:w="585" w:type="dxa"/>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rPr>
                <w:rFonts w:ascii="Times New Roman" w:hAnsi="Times New Roman"/>
                <w:sz w:val="22"/>
                <w:szCs w:val="22"/>
                <w:lang w:val="uk-UA"/>
              </w:rPr>
            </w:pPr>
            <w:r w:rsidRPr="00536BC7">
              <w:rPr>
                <w:rFonts w:ascii="Times New Roman" w:hAnsi="Times New Roman"/>
                <w:sz w:val="22"/>
                <w:szCs w:val="22"/>
                <w:lang w:val="uk-UA"/>
              </w:rPr>
              <w:t>25</w:t>
            </w:r>
          </w:p>
        </w:tc>
        <w:tc>
          <w:tcPr>
            <w:tcW w:w="1107" w:type="dxa"/>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rPr>
                <w:rFonts w:ascii="Times New Roman" w:hAnsi="Times New Roman"/>
                <w:sz w:val="22"/>
                <w:szCs w:val="22"/>
                <w:lang w:val="uk-UA"/>
              </w:rPr>
            </w:pPr>
            <w:r w:rsidRPr="00536BC7">
              <w:rPr>
                <w:rFonts w:ascii="Times New Roman" w:hAnsi="Times New Roman"/>
                <w:sz w:val="22"/>
                <w:szCs w:val="22"/>
                <w:lang w:val="uk-UA"/>
              </w:rPr>
              <w:t>6,25±1,2</w:t>
            </w:r>
          </w:p>
        </w:tc>
      </w:tr>
      <w:tr w:rsidR="007F136C" w:rsidRPr="00536BC7" w:rsidTr="00816787">
        <w:trPr>
          <w:jc w:val="center"/>
        </w:trPr>
        <w:tc>
          <w:tcPr>
            <w:tcW w:w="1993" w:type="dxa"/>
            <w:tcBorders>
              <w:top w:val="single" w:sz="4" w:space="0" w:color="auto"/>
              <w:left w:val="single" w:sz="4" w:space="0" w:color="auto"/>
              <w:bottom w:val="single" w:sz="4" w:space="0" w:color="auto"/>
              <w:right w:val="single" w:sz="4" w:space="0" w:color="auto"/>
            </w:tcBorders>
            <w:hideMark/>
          </w:tcPr>
          <w:p w:rsidR="007F136C" w:rsidRPr="00816787" w:rsidRDefault="007F136C" w:rsidP="00816787">
            <w:pPr>
              <w:widowControl w:val="0"/>
              <w:spacing w:line="360" w:lineRule="auto"/>
              <w:rPr>
                <w:rFonts w:ascii="Times New Roman" w:hAnsi="Times New Roman"/>
                <w:sz w:val="24"/>
                <w:szCs w:val="24"/>
                <w:lang w:val="uk-UA"/>
              </w:rPr>
            </w:pPr>
            <w:r w:rsidRPr="00816787">
              <w:rPr>
                <w:rFonts w:ascii="Times New Roman" w:hAnsi="Times New Roman"/>
                <w:sz w:val="24"/>
                <w:szCs w:val="24"/>
                <w:lang w:val="uk-UA"/>
              </w:rPr>
              <w:t>Враження електричним струмом</w:t>
            </w:r>
          </w:p>
        </w:tc>
        <w:tc>
          <w:tcPr>
            <w:tcW w:w="585" w:type="dxa"/>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43</w:t>
            </w:r>
          </w:p>
        </w:tc>
        <w:tc>
          <w:tcPr>
            <w:tcW w:w="1107" w:type="dxa"/>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10,75±1,5</w:t>
            </w:r>
          </w:p>
        </w:tc>
        <w:tc>
          <w:tcPr>
            <w:tcW w:w="585" w:type="dxa"/>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165</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41,25±2,5</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161</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40,25±2,4</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31</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7,75±1,3</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39</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9,75±1,5</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rPr>
                <w:rFonts w:ascii="Times New Roman" w:hAnsi="Times New Roman"/>
                <w:sz w:val="22"/>
                <w:szCs w:val="22"/>
                <w:lang w:val="uk-UA"/>
              </w:rPr>
            </w:pPr>
            <w:r w:rsidRPr="00536BC7">
              <w:rPr>
                <w:rFonts w:ascii="Times New Roman" w:hAnsi="Times New Roman"/>
                <w:sz w:val="22"/>
                <w:szCs w:val="22"/>
                <w:lang w:val="uk-UA"/>
              </w:rPr>
              <w:t>153</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rPr>
                <w:rFonts w:ascii="Times New Roman" w:hAnsi="Times New Roman"/>
                <w:sz w:val="22"/>
                <w:szCs w:val="22"/>
                <w:lang w:val="uk-UA"/>
              </w:rPr>
            </w:pPr>
            <w:r w:rsidRPr="00536BC7">
              <w:rPr>
                <w:rFonts w:ascii="Times New Roman" w:hAnsi="Times New Roman"/>
                <w:sz w:val="22"/>
                <w:szCs w:val="22"/>
                <w:lang w:val="uk-UA"/>
              </w:rPr>
              <w:t>38,25±2,4</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rPr>
                <w:rFonts w:ascii="Times New Roman" w:hAnsi="Times New Roman"/>
                <w:sz w:val="22"/>
                <w:szCs w:val="22"/>
                <w:lang w:val="uk-UA"/>
              </w:rPr>
            </w:pPr>
            <w:r w:rsidRPr="00536BC7">
              <w:rPr>
                <w:rFonts w:ascii="Times New Roman" w:hAnsi="Times New Roman"/>
                <w:sz w:val="22"/>
                <w:szCs w:val="22"/>
                <w:lang w:val="uk-UA"/>
              </w:rPr>
              <w:t>172</w:t>
            </w:r>
          </w:p>
        </w:tc>
        <w:tc>
          <w:tcPr>
            <w:tcW w:w="1107" w:type="dxa"/>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rPr>
                <w:rFonts w:ascii="Times New Roman" w:hAnsi="Times New Roman"/>
                <w:sz w:val="22"/>
                <w:szCs w:val="22"/>
                <w:lang w:val="uk-UA"/>
              </w:rPr>
            </w:pPr>
            <w:r w:rsidRPr="00536BC7">
              <w:rPr>
                <w:rFonts w:ascii="Times New Roman" w:hAnsi="Times New Roman"/>
                <w:sz w:val="22"/>
                <w:szCs w:val="22"/>
                <w:lang w:val="uk-UA"/>
              </w:rPr>
              <w:t>43,00±2,5</w:t>
            </w:r>
          </w:p>
        </w:tc>
        <w:tc>
          <w:tcPr>
            <w:tcW w:w="585" w:type="dxa"/>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rPr>
                <w:rFonts w:ascii="Times New Roman" w:hAnsi="Times New Roman"/>
                <w:sz w:val="22"/>
                <w:szCs w:val="22"/>
                <w:lang w:val="uk-UA"/>
              </w:rPr>
            </w:pPr>
            <w:r w:rsidRPr="00536BC7">
              <w:rPr>
                <w:rFonts w:ascii="Times New Roman" w:hAnsi="Times New Roman"/>
                <w:sz w:val="22"/>
                <w:szCs w:val="22"/>
                <w:lang w:val="uk-UA"/>
              </w:rPr>
              <w:t>36</w:t>
            </w:r>
          </w:p>
        </w:tc>
        <w:tc>
          <w:tcPr>
            <w:tcW w:w="1107" w:type="dxa"/>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rPr>
                <w:rFonts w:ascii="Times New Roman" w:hAnsi="Times New Roman"/>
                <w:sz w:val="22"/>
                <w:szCs w:val="22"/>
                <w:lang w:val="uk-UA"/>
              </w:rPr>
            </w:pPr>
            <w:r w:rsidRPr="00536BC7">
              <w:rPr>
                <w:rFonts w:ascii="Times New Roman" w:hAnsi="Times New Roman"/>
                <w:sz w:val="22"/>
                <w:szCs w:val="22"/>
                <w:lang w:val="uk-UA"/>
              </w:rPr>
              <w:t>9,00±1,4</w:t>
            </w:r>
          </w:p>
        </w:tc>
      </w:tr>
      <w:tr w:rsidR="007F136C" w:rsidRPr="00536BC7" w:rsidTr="00816787">
        <w:trPr>
          <w:jc w:val="center"/>
        </w:trPr>
        <w:tc>
          <w:tcPr>
            <w:tcW w:w="1993" w:type="dxa"/>
            <w:tcBorders>
              <w:top w:val="single" w:sz="4" w:space="0" w:color="auto"/>
              <w:left w:val="single" w:sz="4" w:space="0" w:color="auto"/>
              <w:bottom w:val="single" w:sz="4" w:space="0" w:color="auto"/>
              <w:right w:val="single" w:sz="4" w:space="0" w:color="auto"/>
            </w:tcBorders>
            <w:hideMark/>
          </w:tcPr>
          <w:p w:rsidR="007F136C" w:rsidRPr="00816787" w:rsidRDefault="007F136C" w:rsidP="00816787">
            <w:pPr>
              <w:widowControl w:val="0"/>
              <w:spacing w:line="360" w:lineRule="auto"/>
              <w:rPr>
                <w:rFonts w:ascii="Times New Roman" w:hAnsi="Times New Roman"/>
                <w:sz w:val="24"/>
                <w:szCs w:val="24"/>
                <w:lang w:val="uk-UA"/>
              </w:rPr>
            </w:pPr>
            <w:r w:rsidRPr="00816787">
              <w:rPr>
                <w:rFonts w:ascii="Times New Roman" w:hAnsi="Times New Roman"/>
                <w:sz w:val="24"/>
                <w:szCs w:val="24"/>
                <w:lang w:val="uk-UA"/>
              </w:rPr>
              <w:t>Гостра асфіксія</w:t>
            </w:r>
          </w:p>
        </w:tc>
        <w:tc>
          <w:tcPr>
            <w:tcW w:w="585" w:type="dxa"/>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51</w:t>
            </w:r>
          </w:p>
        </w:tc>
        <w:tc>
          <w:tcPr>
            <w:tcW w:w="1107" w:type="dxa"/>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12,75±1,7</w:t>
            </w:r>
          </w:p>
        </w:tc>
        <w:tc>
          <w:tcPr>
            <w:tcW w:w="585" w:type="dxa"/>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201</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50,25±2,5</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111</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27,75±2,2</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37</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9,25±1,4</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50</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12,50±1,7</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rPr>
                <w:rFonts w:ascii="Times New Roman" w:hAnsi="Times New Roman"/>
                <w:sz w:val="22"/>
                <w:szCs w:val="22"/>
                <w:lang w:val="uk-UA"/>
              </w:rPr>
            </w:pPr>
            <w:r w:rsidRPr="00536BC7">
              <w:rPr>
                <w:rFonts w:ascii="Times New Roman" w:hAnsi="Times New Roman"/>
                <w:sz w:val="22"/>
                <w:szCs w:val="22"/>
                <w:lang w:val="uk-UA"/>
              </w:rPr>
              <w:t>196</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rPr>
                <w:rFonts w:ascii="Times New Roman" w:hAnsi="Times New Roman"/>
                <w:sz w:val="22"/>
                <w:szCs w:val="22"/>
                <w:lang w:val="uk-UA"/>
              </w:rPr>
            </w:pPr>
            <w:r w:rsidRPr="00536BC7">
              <w:rPr>
                <w:rFonts w:ascii="Times New Roman" w:hAnsi="Times New Roman"/>
                <w:sz w:val="22"/>
                <w:szCs w:val="22"/>
                <w:lang w:val="uk-UA"/>
              </w:rPr>
              <w:t>49,00±2,5</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rPr>
                <w:rFonts w:ascii="Times New Roman" w:hAnsi="Times New Roman"/>
                <w:sz w:val="22"/>
                <w:szCs w:val="22"/>
                <w:lang w:val="uk-UA"/>
              </w:rPr>
            </w:pPr>
            <w:r w:rsidRPr="00536BC7">
              <w:rPr>
                <w:rFonts w:ascii="Times New Roman" w:hAnsi="Times New Roman"/>
                <w:sz w:val="22"/>
                <w:szCs w:val="22"/>
                <w:lang w:val="uk-UA"/>
              </w:rPr>
              <w:t>115</w:t>
            </w:r>
          </w:p>
        </w:tc>
        <w:tc>
          <w:tcPr>
            <w:tcW w:w="1107" w:type="dxa"/>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rPr>
                <w:rFonts w:ascii="Times New Roman" w:hAnsi="Times New Roman"/>
                <w:sz w:val="22"/>
                <w:szCs w:val="22"/>
                <w:lang w:val="uk-UA"/>
              </w:rPr>
            </w:pPr>
            <w:r w:rsidRPr="00536BC7">
              <w:rPr>
                <w:rFonts w:ascii="Times New Roman" w:hAnsi="Times New Roman"/>
                <w:sz w:val="22"/>
                <w:szCs w:val="22"/>
                <w:lang w:val="uk-UA"/>
              </w:rPr>
              <w:t>28,75±2,3</w:t>
            </w:r>
          </w:p>
        </w:tc>
        <w:tc>
          <w:tcPr>
            <w:tcW w:w="585" w:type="dxa"/>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rPr>
                <w:rFonts w:ascii="Times New Roman" w:hAnsi="Times New Roman"/>
                <w:sz w:val="22"/>
                <w:szCs w:val="22"/>
                <w:lang w:val="uk-UA"/>
              </w:rPr>
            </w:pPr>
            <w:r w:rsidRPr="00536BC7">
              <w:rPr>
                <w:rFonts w:ascii="Times New Roman" w:hAnsi="Times New Roman"/>
                <w:sz w:val="22"/>
                <w:szCs w:val="22"/>
                <w:lang w:val="uk-UA"/>
              </w:rPr>
              <w:t>39</w:t>
            </w:r>
          </w:p>
        </w:tc>
        <w:tc>
          <w:tcPr>
            <w:tcW w:w="1107" w:type="dxa"/>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rPr>
                <w:rFonts w:ascii="Times New Roman" w:hAnsi="Times New Roman"/>
                <w:sz w:val="22"/>
                <w:szCs w:val="22"/>
                <w:lang w:val="uk-UA"/>
              </w:rPr>
            </w:pPr>
            <w:r w:rsidRPr="00536BC7">
              <w:rPr>
                <w:rFonts w:ascii="Times New Roman" w:hAnsi="Times New Roman"/>
                <w:sz w:val="22"/>
                <w:szCs w:val="22"/>
                <w:lang w:val="uk-UA"/>
              </w:rPr>
              <w:t>9,75±1,5</w:t>
            </w:r>
          </w:p>
        </w:tc>
      </w:tr>
      <w:tr w:rsidR="007F136C" w:rsidRPr="00536BC7" w:rsidTr="00816787">
        <w:trPr>
          <w:jc w:val="center"/>
        </w:trPr>
        <w:tc>
          <w:tcPr>
            <w:tcW w:w="1993" w:type="dxa"/>
            <w:tcBorders>
              <w:top w:val="single" w:sz="4" w:space="0" w:color="auto"/>
              <w:left w:val="single" w:sz="4" w:space="0" w:color="auto"/>
              <w:bottom w:val="single" w:sz="4" w:space="0" w:color="auto"/>
              <w:right w:val="single" w:sz="4" w:space="0" w:color="auto"/>
            </w:tcBorders>
            <w:hideMark/>
          </w:tcPr>
          <w:p w:rsidR="007F136C" w:rsidRPr="00816787" w:rsidRDefault="007F136C" w:rsidP="00816787">
            <w:pPr>
              <w:widowControl w:val="0"/>
              <w:spacing w:line="360" w:lineRule="auto"/>
              <w:rPr>
                <w:rFonts w:ascii="Times New Roman" w:hAnsi="Times New Roman"/>
                <w:sz w:val="24"/>
                <w:szCs w:val="24"/>
                <w:lang w:val="uk-UA"/>
              </w:rPr>
            </w:pPr>
            <w:r w:rsidRPr="00816787">
              <w:rPr>
                <w:rFonts w:ascii="Times New Roman" w:hAnsi="Times New Roman"/>
                <w:sz w:val="24"/>
                <w:szCs w:val="24"/>
                <w:lang w:val="uk-UA"/>
              </w:rPr>
              <w:t>Гостра дихальна недостатність</w:t>
            </w:r>
          </w:p>
        </w:tc>
        <w:tc>
          <w:tcPr>
            <w:tcW w:w="585" w:type="dxa"/>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64</w:t>
            </w:r>
          </w:p>
        </w:tc>
        <w:tc>
          <w:tcPr>
            <w:tcW w:w="1107" w:type="dxa"/>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16,00±1,8</w:t>
            </w:r>
          </w:p>
        </w:tc>
        <w:tc>
          <w:tcPr>
            <w:tcW w:w="585" w:type="dxa"/>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214</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53,50±2,5</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103</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25,75±2,2</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19</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4,75±1,0</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61</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15,25±1,8</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rPr>
                <w:rFonts w:ascii="Times New Roman" w:hAnsi="Times New Roman"/>
                <w:sz w:val="22"/>
                <w:szCs w:val="22"/>
                <w:lang w:val="uk-UA"/>
              </w:rPr>
            </w:pPr>
            <w:r w:rsidRPr="00536BC7">
              <w:rPr>
                <w:rFonts w:ascii="Times New Roman" w:hAnsi="Times New Roman"/>
                <w:sz w:val="22"/>
                <w:szCs w:val="22"/>
                <w:lang w:val="uk-UA"/>
              </w:rPr>
              <w:t>209</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rPr>
                <w:rFonts w:ascii="Times New Roman" w:hAnsi="Times New Roman"/>
                <w:sz w:val="22"/>
                <w:szCs w:val="22"/>
                <w:lang w:val="uk-UA"/>
              </w:rPr>
            </w:pPr>
            <w:r w:rsidRPr="00536BC7">
              <w:rPr>
                <w:rFonts w:ascii="Times New Roman" w:hAnsi="Times New Roman"/>
                <w:sz w:val="22"/>
                <w:szCs w:val="22"/>
                <w:lang w:val="uk-UA"/>
              </w:rPr>
              <w:t>52,25±2,5</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rPr>
                <w:rFonts w:ascii="Times New Roman" w:hAnsi="Times New Roman"/>
                <w:sz w:val="22"/>
                <w:szCs w:val="22"/>
                <w:lang w:val="uk-UA"/>
              </w:rPr>
            </w:pPr>
            <w:r w:rsidRPr="00536BC7">
              <w:rPr>
                <w:rFonts w:ascii="Times New Roman" w:hAnsi="Times New Roman"/>
                <w:sz w:val="22"/>
                <w:szCs w:val="22"/>
                <w:lang w:val="uk-UA"/>
              </w:rPr>
              <w:t>106</w:t>
            </w:r>
          </w:p>
        </w:tc>
        <w:tc>
          <w:tcPr>
            <w:tcW w:w="1107" w:type="dxa"/>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rPr>
                <w:rFonts w:ascii="Times New Roman" w:hAnsi="Times New Roman"/>
                <w:sz w:val="22"/>
                <w:szCs w:val="22"/>
                <w:lang w:val="uk-UA"/>
              </w:rPr>
            </w:pPr>
            <w:r w:rsidRPr="00536BC7">
              <w:rPr>
                <w:rFonts w:ascii="Times New Roman" w:hAnsi="Times New Roman"/>
                <w:sz w:val="22"/>
                <w:szCs w:val="22"/>
                <w:lang w:val="uk-UA"/>
              </w:rPr>
              <w:t>26,50±2,2</w:t>
            </w:r>
          </w:p>
        </w:tc>
        <w:tc>
          <w:tcPr>
            <w:tcW w:w="585" w:type="dxa"/>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rPr>
                <w:rFonts w:ascii="Times New Roman" w:hAnsi="Times New Roman"/>
                <w:sz w:val="22"/>
                <w:szCs w:val="22"/>
                <w:lang w:val="uk-UA"/>
              </w:rPr>
            </w:pPr>
            <w:r w:rsidRPr="00536BC7">
              <w:rPr>
                <w:rFonts w:ascii="Times New Roman" w:hAnsi="Times New Roman"/>
                <w:sz w:val="22"/>
                <w:szCs w:val="22"/>
                <w:lang w:val="uk-UA"/>
              </w:rPr>
              <w:t>24</w:t>
            </w:r>
          </w:p>
        </w:tc>
        <w:tc>
          <w:tcPr>
            <w:tcW w:w="1107" w:type="dxa"/>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rPr>
                <w:rFonts w:ascii="Times New Roman" w:hAnsi="Times New Roman"/>
                <w:sz w:val="22"/>
                <w:szCs w:val="22"/>
                <w:lang w:val="uk-UA"/>
              </w:rPr>
            </w:pPr>
            <w:r w:rsidRPr="00536BC7">
              <w:rPr>
                <w:rFonts w:ascii="Times New Roman" w:hAnsi="Times New Roman"/>
                <w:sz w:val="22"/>
                <w:szCs w:val="22"/>
                <w:lang w:val="uk-UA"/>
              </w:rPr>
              <w:t>6,00±1,2</w:t>
            </w:r>
          </w:p>
        </w:tc>
      </w:tr>
      <w:tr w:rsidR="007F136C" w:rsidRPr="00536BC7" w:rsidTr="00816787">
        <w:trPr>
          <w:jc w:val="center"/>
        </w:trPr>
        <w:tc>
          <w:tcPr>
            <w:tcW w:w="1993" w:type="dxa"/>
            <w:tcBorders>
              <w:top w:val="single" w:sz="4" w:space="0" w:color="auto"/>
              <w:left w:val="single" w:sz="4" w:space="0" w:color="auto"/>
              <w:bottom w:val="single" w:sz="4" w:space="0" w:color="auto"/>
              <w:right w:val="single" w:sz="4" w:space="0" w:color="auto"/>
            </w:tcBorders>
            <w:hideMark/>
          </w:tcPr>
          <w:p w:rsidR="007F136C" w:rsidRPr="00816787" w:rsidRDefault="007F136C" w:rsidP="00816787">
            <w:pPr>
              <w:widowControl w:val="0"/>
              <w:spacing w:line="360" w:lineRule="auto"/>
              <w:rPr>
                <w:rFonts w:ascii="Times New Roman" w:hAnsi="Times New Roman"/>
                <w:sz w:val="24"/>
                <w:szCs w:val="24"/>
                <w:lang w:val="uk-UA"/>
              </w:rPr>
            </w:pPr>
            <w:r w:rsidRPr="00816787">
              <w:rPr>
                <w:rFonts w:ascii="Times New Roman" w:hAnsi="Times New Roman"/>
                <w:sz w:val="24"/>
                <w:szCs w:val="24"/>
                <w:lang w:val="uk-UA"/>
              </w:rPr>
              <w:t>Гострий біль в животі</w:t>
            </w:r>
          </w:p>
        </w:tc>
        <w:tc>
          <w:tcPr>
            <w:tcW w:w="585" w:type="dxa"/>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105</w:t>
            </w:r>
          </w:p>
        </w:tc>
        <w:tc>
          <w:tcPr>
            <w:tcW w:w="1107" w:type="dxa"/>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26,25±2,2</w:t>
            </w:r>
          </w:p>
        </w:tc>
        <w:tc>
          <w:tcPr>
            <w:tcW w:w="585" w:type="dxa"/>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262</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65,50±2,4</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26</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6,50±1,2</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7</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1,75±0,6</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109</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27,25±2,2</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rPr>
                <w:rFonts w:ascii="Times New Roman" w:hAnsi="Times New Roman"/>
                <w:sz w:val="22"/>
                <w:szCs w:val="22"/>
                <w:lang w:val="uk-UA"/>
              </w:rPr>
            </w:pPr>
            <w:r w:rsidRPr="00536BC7">
              <w:rPr>
                <w:rFonts w:ascii="Times New Roman" w:hAnsi="Times New Roman"/>
                <w:sz w:val="22"/>
                <w:szCs w:val="22"/>
                <w:lang w:val="uk-UA"/>
              </w:rPr>
              <w:t>255</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rPr>
                <w:rFonts w:ascii="Times New Roman" w:hAnsi="Times New Roman"/>
                <w:sz w:val="22"/>
                <w:szCs w:val="22"/>
                <w:lang w:val="uk-UA"/>
              </w:rPr>
            </w:pPr>
            <w:r w:rsidRPr="00536BC7">
              <w:rPr>
                <w:rFonts w:ascii="Times New Roman" w:hAnsi="Times New Roman"/>
                <w:sz w:val="22"/>
                <w:szCs w:val="22"/>
                <w:lang w:val="uk-UA"/>
              </w:rPr>
              <w:t>63,75±2,4</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rPr>
                <w:rFonts w:ascii="Times New Roman" w:hAnsi="Times New Roman"/>
                <w:sz w:val="22"/>
                <w:szCs w:val="22"/>
                <w:lang w:val="uk-UA"/>
              </w:rPr>
            </w:pPr>
            <w:r w:rsidRPr="00536BC7">
              <w:rPr>
                <w:rFonts w:ascii="Times New Roman" w:hAnsi="Times New Roman"/>
                <w:sz w:val="22"/>
                <w:szCs w:val="22"/>
                <w:lang w:val="uk-UA"/>
              </w:rPr>
              <w:t>31</w:t>
            </w:r>
          </w:p>
        </w:tc>
        <w:tc>
          <w:tcPr>
            <w:tcW w:w="1107" w:type="dxa"/>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rPr>
                <w:rFonts w:ascii="Times New Roman" w:hAnsi="Times New Roman"/>
                <w:sz w:val="22"/>
                <w:szCs w:val="22"/>
                <w:lang w:val="uk-UA"/>
              </w:rPr>
            </w:pPr>
            <w:r w:rsidRPr="00536BC7">
              <w:rPr>
                <w:rFonts w:ascii="Times New Roman" w:hAnsi="Times New Roman"/>
                <w:sz w:val="22"/>
                <w:szCs w:val="22"/>
                <w:lang w:val="uk-UA"/>
              </w:rPr>
              <w:t>7,75±1,3</w:t>
            </w:r>
          </w:p>
        </w:tc>
        <w:tc>
          <w:tcPr>
            <w:tcW w:w="585" w:type="dxa"/>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rPr>
                <w:rFonts w:ascii="Times New Roman" w:hAnsi="Times New Roman"/>
                <w:sz w:val="22"/>
                <w:szCs w:val="22"/>
                <w:lang w:val="uk-UA"/>
              </w:rPr>
            </w:pPr>
            <w:r w:rsidRPr="00536BC7">
              <w:rPr>
                <w:rFonts w:ascii="Times New Roman" w:hAnsi="Times New Roman"/>
                <w:sz w:val="22"/>
                <w:szCs w:val="22"/>
                <w:lang w:val="uk-UA"/>
              </w:rPr>
              <w:t>5</w:t>
            </w:r>
          </w:p>
        </w:tc>
        <w:tc>
          <w:tcPr>
            <w:tcW w:w="1107" w:type="dxa"/>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rPr>
                <w:rFonts w:ascii="Times New Roman" w:hAnsi="Times New Roman"/>
                <w:sz w:val="22"/>
                <w:szCs w:val="22"/>
                <w:lang w:val="uk-UA"/>
              </w:rPr>
            </w:pPr>
            <w:r w:rsidRPr="00536BC7">
              <w:rPr>
                <w:rFonts w:ascii="Times New Roman" w:hAnsi="Times New Roman"/>
                <w:sz w:val="22"/>
                <w:szCs w:val="22"/>
                <w:lang w:val="uk-UA"/>
              </w:rPr>
              <w:t>1,25±0,6</w:t>
            </w:r>
          </w:p>
        </w:tc>
      </w:tr>
      <w:tr w:rsidR="007F136C" w:rsidRPr="00536BC7" w:rsidTr="00816787">
        <w:trPr>
          <w:trHeight w:val="603"/>
          <w:jc w:val="center"/>
        </w:trPr>
        <w:tc>
          <w:tcPr>
            <w:tcW w:w="1993" w:type="dxa"/>
            <w:tcBorders>
              <w:top w:val="single" w:sz="4" w:space="0" w:color="auto"/>
              <w:left w:val="single" w:sz="4" w:space="0" w:color="auto"/>
              <w:bottom w:val="single" w:sz="4" w:space="0" w:color="auto"/>
              <w:right w:val="single" w:sz="4" w:space="0" w:color="auto"/>
            </w:tcBorders>
            <w:hideMark/>
          </w:tcPr>
          <w:p w:rsidR="007F136C" w:rsidRPr="00816787" w:rsidRDefault="007F136C" w:rsidP="00816787">
            <w:pPr>
              <w:widowControl w:val="0"/>
              <w:spacing w:line="360" w:lineRule="auto"/>
              <w:rPr>
                <w:rFonts w:ascii="Times New Roman" w:hAnsi="Times New Roman"/>
                <w:sz w:val="24"/>
                <w:szCs w:val="24"/>
                <w:lang w:val="uk-UA"/>
              </w:rPr>
            </w:pPr>
            <w:r w:rsidRPr="00816787">
              <w:rPr>
                <w:rFonts w:ascii="Times New Roman" w:hAnsi="Times New Roman"/>
                <w:sz w:val="24"/>
                <w:szCs w:val="24"/>
                <w:lang w:val="uk-UA"/>
              </w:rPr>
              <w:t>Кровава блювота</w:t>
            </w:r>
          </w:p>
        </w:tc>
        <w:tc>
          <w:tcPr>
            <w:tcW w:w="585" w:type="dxa"/>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74</w:t>
            </w:r>
          </w:p>
        </w:tc>
        <w:tc>
          <w:tcPr>
            <w:tcW w:w="1107" w:type="dxa"/>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18,50±1,9</w:t>
            </w:r>
          </w:p>
        </w:tc>
        <w:tc>
          <w:tcPr>
            <w:tcW w:w="585" w:type="dxa"/>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194</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48,50±2,5</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123</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30,75±2,3</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9</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2,25±0,7</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65</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16,25±1,8</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rPr>
                <w:rFonts w:ascii="Times New Roman" w:hAnsi="Times New Roman"/>
                <w:sz w:val="22"/>
                <w:szCs w:val="22"/>
                <w:lang w:val="uk-UA"/>
              </w:rPr>
            </w:pPr>
            <w:r w:rsidRPr="00536BC7">
              <w:rPr>
                <w:rFonts w:ascii="Times New Roman" w:hAnsi="Times New Roman"/>
                <w:sz w:val="22"/>
                <w:szCs w:val="22"/>
                <w:lang w:val="uk-UA"/>
              </w:rPr>
              <w:t>195</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rPr>
                <w:rFonts w:ascii="Times New Roman" w:hAnsi="Times New Roman"/>
                <w:sz w:val="22"/>
                <w:szCs w:val="22"/>
                <w:lang w:val="uk-UA"/>
              </w:rPr>
            </w:pPr>
            <w:r w:rsidRPr="00536BC7">
              <w:rPr>
                <w:rFonts w:ascii="Times New Roman" w:hAnsi="Times New Roman"/>
                <w:sz w:val="22"/>
                <w:szCs w:val="22"/>
                <w:lang w:val="uk-UA"/>
              </w:rPr>
              <w:t>48,75±2,5</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rPr>
                <w:rFonts w:ascii="Times New Roman" w:hAnsi="Times New Roman"/>
                <w:sz w:val="22"/>
                <w:szCs w:val="22"/>
                <w:lang w:val="uk-UA"/>
              </w:rPr>
            </w:pPr>
            <w:r w:rsidRPr="00536BC7">
              <w:rPr>
                <w:rFonts w:ascii="Times New Roman" w:hAnsi="Times New Roman"/>
                <w:sz w:val="22"/>
                <w:szCs w:val="22"/>
                <w:lang w:val="uk-UA"/>
              </w:rPr>
              <w:t>125</w:t>
            </w:r>
          </w:p>
        </w:tc>
        <w:tc>
          <w:tcPr>
            <w:tcW w:w="1107" w:type="dxa"/>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rPr>
                <w:rFonts w:ascii="Times New Roman" w:hAnsi="Times New Roman"/>
                <w:sz w:val="22"/>
                <w:szCs w:val="22"/>
                <w:lang w:val="uk-UA"/>
              </w:rPr>
            </w:pPr>
            <w:r w:rsidRPr="00536BC7">
              <w:rPr>
                <w:rFonts w:ascii="Times New Roman" w:hAnsi="Times New Roman"/>
                <w:sz w:val="22"/>
                <w:szCs w:val="22"/>
                <w:lang w:val="uk-UA"/>
              </w:rPr>
              <w:t>31,25±2,3</w:t>
            </w:r>
          </w:p>
        </w:tc>
        <w:tc>
          <w:tcPr>
            <w:tcW w:w="585" w:type="dxa"/>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rPr>
                <w:rFonts w:ascii="Times New Roman" w:hAnsi="Times New Roman"/>
                <w:sz w:val="22"/>
                <w:szCs w:val="22"/>
                <w:lang w:val="uk-UA"/>
              </w:rPr>
            </w:pPr>
            <w:r w:rsidRPr="00536BC7">
              <w:rPr>
                <w:rFonts w:ascii="Times New Roman" w:hAnsi="Times New Roman"/>
                <w:sz w:val="22"/>
                <w:szCs w:val="22"/>
                <w:lang w:val="uk-UA"/>
              </w:rPr>
              <w:t>15</w:t>
            </w:r>
          </w:p>
        </w:tc>
        <w:tc>
          <w:tcPr>
            <w:tcW w:w="1107" w:type="dxa"/>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rPr>
                <w:rFonts w:ascii="Times New Roman" w:hAnsi="Times New Roman"/>
                <w:sz w:val="22"/>
                <w:szCs w:val="22"/>
                <w:lang w:val="uk-UA"/>
              </w:rPr>
            </w:pPr>
            <w:r w:rsidRPr="00536BC7">
              <w:rPr>
                <w:rFonts w:ascii="Times New Roman" w:hAnsi="Times New Roman"/>
                <w:sz w:val="22"/>
                <w:szCs w:val="22"/>
                <w:lang w:val="uk-UA"/>
              </w:rPr>
              <w:t>3,75±0,9</w:t>
            </w:r>
          </w:p>
        </w:tc>
      </w:tr>
      <w:tr w:rsidR="007F136C" w:rsidRPr="00536BC7" w:rsidTr="00816787">
        <w:trPr>
          <w:trHeight w:val="567"/>
          <w:jc w:val="center"/>
        </w:trPr>
        <w:tc>
          <w:tcPr>
            <w:tcW w:w="1993" w:type="dxa"/>
            <w:tcBorders>
              <w:top w:val="single" w:sz="4" w:space="0" w:color="auto"/>
              <w:left w:val="single" w:sz="4" w:space="0" w:color="auto"/>
              <w:bottom w:val="single" w:sz="4" w:space="0" w:color="auto"/>
              <w:right w:val="single" w:sz="4" w:space="0" w:color="auto"/>
            </w:tcBorders>
            <w:hideMark/>
          </w:tcPr>
          <w:p w:rsidR="007F136C" w:rsidRPr="00816787" w:rsidRDefault="007F136C" w:rsidP="00816787">
            <w:pPr>
              <w:widowControl w:val="0"/>
              <w:spacing w:line="360" w:lineRule="auto"/>
              <w:rPr>
                <w:rFonts w:ascii="Times New Roman" w:hAnsi="Times New Roman"/>
                <w:sz w:val="24"/>
                <w:szCs w:val="24"/>
                <w:lang w:val="uk-UA"/>
              </w:rPr>
            </w:pPr>
            <w:r w:rsidRPr="00816787">
              <w:rPr>
                <w:rFonts w:ascii="Times New Roman" w:hAnsi="Times New Roman"/>
                <w:sz w:val="24"/>
                <w:szCs w:val="24"/>
                <w:lang w:val="uk-UA"/>
              </w:rPr>
              <w:t>Круп</w:t>
            </w:r>
          </w:p>
        </w:tc>
        <w:tc>
          <w:tcPr>
            <w:tcW w:w="585" w:type="dxa"/>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26</w:t>
            </w:r>
          </w:p>
        </w:tc>
        <w:tc>
          <w:tcPr>
            <w:tcW w:w="1107" w:type="dxa"/>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6,50±1,2</w:t>
            </w:r>
          </w:p>
        </w:tc>
        <w:tc>
          <w:tcPr>
            <w:tcW w:w="585" w:type="dxa"/>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62</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15,50±1,8</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283</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70,75±2,3</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29</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7,25±1,3</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9</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2,25±0,7</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rPr>
                <w:rFonts w:ascii="Times New Roman" w:hAnsi="Times New Roman"/>
                <w:sz w:val="22"/>
                <w:szCs w:val="22"/>
                <w:lang w:val="uk-UA"/>
              </w:rPr>
            </w:pPr>
            <w:r w:rsidRPr="00536BC7">
              <w:rPr>
                <w:rFonts w:ascii="Times New Roman" w:hAnsi="Times New Roman"/>
                <w:sz w:val="22"/>
                <w:szCs w:val="22"/>
                <w:lang w:val="uk-UA"/>
              </w:rPr>
              <w:t>55</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rPr>
                <w:rFonts w:ascii="Times New Roman" w:hAnsi="Times New Roman"/>
                <w:sz w:val="22"/>
                <w:szCs w:val="22"/>
                <w:lang w:val="uk-UA"/>
              </w:rPr>
            </w:pPr>
            <w:r w:rsidRPr="00536BC7">
              <w:rPr>
                <w:rFonts w:ascii="Times New Roman" w:hAnsi="Times New Roman"/>
                <w:sz w:val="22"/>
                <w:szCs w:val="22"/>
                <w:lang w:val="uk-UA"/>
              </w:rPr>
              <w:t>13,75±1,7</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rPr>
                <w:rFonts w:ascii="Times New Roman" w:hAnsi="Times New Roman"/>
                <w:sz w:val="22"/>
                <w:szCs w:val="22"/>
                <w:lang w:val="uk-UA"/>
              </w:rPr>
            </w:pPr>
            <w:r w:rsidRPr="00536BC7">
              <w:rPr>
                <w:rFonts w:ascii="Times New Roman" w:hAnsi="Times New Roman"/>
                <w:sz w:val="22"/>
                <w:szCs w:val="22"/>
                <w:lang w:val="uk-UA"/>
              </w:rPr>
              <w:t>274</w:t>
            </w:r>
          </w:p>
        </w:tc>
        <w:tc>
          <w:tcPr>
            <w:tcW w:w="1107" w:type="dxa"/>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rPr>
                <w:rFonts w:ascii="Times New Roman" w:hAnsi="Times New Roman"/>
                <w:sz w:val="22"/>
                <w:szCs w:val="22"/>
                <w:lang w:val="uk-UA"/>
              </w:rPr>
            </w:pPr>
            <w:r w:rsidRPr="00536BC7">
              <w:rPr>
                <w:rFonts w:ascii="Times New Roman" w:hAnsi="Times New Roman"/>
                <w:sz w:val="22"/>
                <w:szCs w:val="22"/>
                <w:lang w:val="uk-UA"/>
              </w:rPr>
              <w:t>68,50±2,3</w:t>
            </w:r>
          </w:p>
        </w:tc>
        <w:tc>
          <w:tcPr>
            <w:tcW w:w="585" w:type="dxa"/>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rPr>
                <w:rFonts w:ascii="Times New Roman" w:hAnsi="Times New Roman"/>
                <w:sz w:val="22"/>
                <w:szCs w:val="22"/>
                <w:lang w:val="uk-UA"/>
              </w:rPr>
            </w:pPr>
            <w:r w:rsidRPr="00536BC7">
              <w:rPr>
                <w:rFonts w:ascii="Times New Roman" w:hAnsi="Times New Roman"/>
                <w:sz w:val="22"/>
                <w:szCs w:val="22"/>
                <w:lang w:val="uk-UA"/>
              </w:rPr>
              <w:t>62</w:t>
            </w:r>
          </w:p>
        </w:tc>
        <w:tc>
          <w:tcPr>
            <w:tcW w:w="1107" w:type="dxa"/>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rPr>
                <w:rFonts w:ascii="Times New Roman" w:hAnsi="Times New Roman"/>
                <w:sz w:val="22"/>
                <w:szCs w:val="22"/>
                <w:lang w:val="uk-UA"/>
              </w:rPr>
            </w:pPr>
            <w:r w:rsidRPr="00536BC7">
              <w:rPr>
                <w:rFonts w:ascii="Times New Roman" w:hAnsi="Times New Roman"/>
                <w:sz w:val="22"/>
                <w:szCs w:val="22"/>
                <w:lang w:val="uk-UA"/>
              </w:rPr>
              <w:t>15,50±1,8</w:t>
            </w:r>
          </w:p>
        </w:tc>
      </w:tr>
    </w:tbl>
    <w:p w:rsidR="00816787" w:rsidRDefault="00816787" w:rsidP="00441FB3">
      <w:pPr>
        <w:pageBreakBefore/>
        <w:jc w:val="right"/>
        <w:rPr>
          <w:i/>
          <w:lang w:val="ru-RU"/>
        </w:rPr>
      </w:pPr>
      <w:r w:rsidRPr="00816787">
        <w:rPr>
          <w:i/>
          <w:lang w:val="ru-RU"/>
        </w:rPr>
        <w:lastRenderedPageBreak/>
        <w:t>Продовження табл. 6.5</w:t>
      </w:r>
    </w:p>
    <w:p w:rsidR="001732B8" w:rsidRPr="00816787" w:rsidRDefault="001732B8" w:rsidP="00816787">
      <w:pPr>
        <w:jc w:val="right"/>
        <w:rPr>
          <w:i/>
          <w:lang w:val="ru-RU"/>
        </w:rPr>
      </w:pPr>
    </w:p>
    <w:tbl>
      <w:tblPr>
        <w:tblStyle w:val="a6"/>
        <w:tblW w:w="0" w:type="auto"/>
        <w:jc w:val="center"/>
        <w:tblInd w:w="-176" w:type="dxa"/>
        <w:tblLook w:val="04A0" w:firstRow="1" w:lastRow="0" w:firstColumn="1" w:lastColumn="0" w:noHBand="0" w:noVBand="1"/>
      </w:tblPr>
      <w:tblGrid>
        <w:gridCol w:w="1993"/>
        <w:gridCol w:w="585"/>
        <w:gridCol w:w="1107"/>
        <w:gridCol w:w="585"/>
        <w:gridCol w:w="1107"/>
        <w:gridCol w:w="546"/>
        <w:gridCol w:w="1107"/>
        <w:gridCol w:w="436"/>
        <w:gridCol w:w="1107"/>
        <w:gridCol w:w="436"/>
        <w:gridCol w:w="1107"/>
        <w:gridCol w:w="546"/>
        <w:gridCol w:w="1107"/>
        <w:gridCol w:w="546"/>
        <w:gridCol w:w="1107"/>
        <w:gridCol w:w="585"/>
        <w:gridCol w:w="1107"/>
      </w:tblGrid>
      <w:tr w:rsidR="007F136C" w:rsidRPr="00536BC7" w:rsidTr="007416A2">
        <w:trPr>
          <w:trHeight w:val="1020"/>
          <w:jc w:val="center"/>
        </w:trPr>
        <w:tc>
          <w:tcPr>
            <w:tcW w:w="1993" w:type="dxa"/>
            <w:tcBorders>
              <w:top w:val="single" w:sz="4" w:space="0" w:color="auto"/>
              <w:left w:val="single" w:sz="4" w:space="0" w:color="auto"/>
              <w:bottom w:val="single" w:sz="4" w:space="0" w:color="auto"/>
              <w:right w:val="single" w:sz="4" w:space="0" w:color="auto"/>
            </w:tcBorders>
            <w:hideMark/>
          </w:tcPr>
          <w:p w:rsidR="007F136C" w:rsidRPr="00816787" w:rsidRDefault="007F136C" w:rsidP="00816787">
            <w:pPr>
              <w:widowControl w:val="0"/>
              <w:spacing w:line="360" w:lineRule="auto"/>
              <w:rPr>
                <w:rFonts w:ascii="Times New Roman" w:hAnsi="Times New Roman"/>
                <w:sz w:val="24"/>
                <w:szCs w:val="24"/>
                <w:lang w:val="uk-UA"/>
              </w:rPr>
            </w:pPr>
            <w:r w:rsidRPr="00816787">
              <w:rPr>
                <w:rFonts w:ascii="Times New Roman" w:hAnsi="Times New Roman"/>
                <w:sz w:val="24"/>
                <w:szCs w:val="24"/>
                <w:lang w:val="uk-UA"/>
              </w:rPr>
              <w:t>Опік дихальних шляхів</w:t>
            </w:r>
          </w:p>
        </w:tc>
        <w:tc>
          <w:tcPr>
            <w:tcW w:w="585" w:type="dxa"/>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17</w:t>
            </w:r>
          </w:p>
        </w:tc>
        <w:tc>
          <w:tcPr>
            <w:tcW w:w="1107" w:type="dxa"/>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4,25±1,0</w:t>
            </w:r>
          </w:p>
        </w:tc>
        <w:tc>
          <w:tcPr>
            <w:tcW w:w="585" w:type="dxa"/>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64</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16,00±1,8</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287</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71,75±2,3</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32</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8,00±1,4</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11</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2,75±0,8</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rPr>
                <w:rFonts w:ascii="Times New Roman" w:hAnsi="Times New Roman"/>
                <w:sz w:val="22"/>
                <w:szCs w:val="22"/>
                <w:lang w:val="uk-UA"/>
              </w:rPr>
            </w:pPr>
            <w:r w:rsidRPr="00536BC7">
              <w:rPr>
                <w:rFonts w:ascii="Times New Roman" w:hAnsi="Times New Roman"/>
                <w:sz w:val="22"/>
                <w:szCs w:val="22"/>
                <w:lang w:val="uk-UA"/>
              </w:rPr>
              <w:t>80</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rPr>
                <w:rFonts w:ascii="Times New Roman" w:hAnsi="Times New Roman"/>
                <w:sz w:val="22"/>
                <w:szCs w:val="22"/>
                <w:lang w:val="uk-UA"/>
              </w:rPr>
            </w:pPr>
            <w:r w:rsidRPr="00536BC7">
              <w:rPr>
                <w:rFonts w:ascii="Times New Roman" w:hAnsi="Times New Roman"/>
                <w:sz w:val="22"/>
                <w:szCs w:val="22"/>
                <w:lang w:val="uk-UA"/>
              </w:rPr>
              <w:t>20,00±2,0</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rPr>
                <w:rFonts w:ascii="Times New Roman" w:hAnsi="Times New Roman"/>
                <w:sz w:val="22"/>
                <w:szCs w:val="22"/>
                <w:lang w:val="uk-UA"/>
              </w:rPr>
            </w:pPr>
            <w:r w:rsidRPr="00536BC7">
              <w:rPr>
                <w:rFonts w:ascii="Times New Roman" w:hAnsi="Times New Roman"/>
                <w:sz w:val="22"/>
                <w:szCs w:val="22"/>
                <w:lang w:val="uk-UA"/>
              </w:rPr>
              <w:t>263</w:t>
            </w:r>
          </w:p>
        </w:tc>
        <w:tc>
          <w:tcPr>
            <w:tcW w:w="1107" w:type="dxa"/>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rPr>
                <w:rFonts w:ascii="Times New Roman" w:hAnsi="Times New Roman"/>
                <w:sz w:val="22"/>
                <w:szCs w:val="22"/>
                <w:lang w:val="uk-UA"/>
              </w:rPr>
            </w:pPr>
            <w:r w:rsidRPr="00536BC7">
              <w:rPr>
                <w:rFonts w:ascii="Times New Roman" w:hAnsi="Times New Roman"/>
                <w:sz w:val="22"/>
                <w:szCs w:val="22"/>
                <w:lang w:val="uk-UA"/>
              </w:rPr>
              <w:t>65,75±2,4</w:t>
            </w:r>
          </w:p>
        </w:tc>
        <w:tc>
          <w:tcPr>
            <w:tcW w:w="585" w:type="dxa"/>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rPr>
                <w:rFonts w:ascii="Times New Roman" w:hAnsi="Times New Roman"/>
                <w:sz w:val="22"/>
                <w:szCs w:val="22"/>
                <w:lang w:val="uk-UA"/>
              </w:rPr>
            </w:pPr>
            <w:r w:rsidRPr="00536BC7">
              <w:rPr>
                <w:rFonts w:ascii="Times New Roman" w:hAnsi="Times New Roman"/>
                <w:sz w:val="22"/>
                <w:szCs w:val="22"/>
                <w:lang w:val="uk-UA"/>
              </w:rPr>
              <w:t>46</w:t>
            </w:r>
          </w:p>
        </w:tc>
        <w:tc>
          <w:tcPr>
            <w:tcW w:w="1107" w:type="dxa"/>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rPr>
                <w:rFonts w:ascii="Times New Roman" w:hAnsi="Times New Roman"/>
                <w:sz w:val="22"/>
                <w:szCs w:val="22"/>
                <w:lang w:val="uk-UA"/>
              </w:rPr>
            </w:pPr>
            <w:r w:rsidRPr="00536BC7">
              <w:rPr>
                <w:rFonts w:ascii="Times New Roman" w:hAnsi="Times New Roman"/>
                <w:sz w:val="22"/>
                <w:szCs w:val="22"/>
                <w:lang w:val="uk-UA"/>
              </w:rPr>
              <w:t>11,50±1,6</w:t>
            </w:r>
          </w:p>
        </w:tc>
      </w:tr>
      <w:tr w:rsidR="007F136C" w:rsidRPr="00536BC7" w:rsidTr="007416A2">
        <w:trPr>
          <w:trHeight w:val="693"/>
          <w:jc w:val="center"/>
        </w:trPr>
        <w:tc>
          <w:tcPr>
            <w:tcW w:w="1993" w:type="dxa"/>
            <w:tcBorders>
              <w:top w:val="single" w:sz="4" w:space="0" w:color="auto"/>
              <w:left w:val="single" w:sz="4" w:space="0" w:color="auto"/>
              <w:bottom w:val="single" w:sz="4" w:space="0" w:color="auto"/>
              <w:right w:val="single" w:sz="4" w:space="0" w:color="auto"/>
            </w:tcBorders>
            <w:hideMark/>
          </w:tcPr>
          <w:p w:rsidR="007F136C" w:rsidRPr="00816787" w:rsidRDefault="007F136C" w:rsidP="00816787">
            <w:pPr>
              <w:widowControl w:val="0"/>
              <w:spacing w:line="360" w:lineRule="auto"/>
              <w:rPr>
                <w:rFonts w:ascii="Times New Roman" w:hAnsi="Times New Roman"/>
                <w:sz w:val="24"/>
                <w:szCs w:val="24"/>
                <w:lang w:val="uk-UA"/>
              </w:rPr>
            </w:pPr>
            <w:r w:rsidRPr="00816787">
              <w:rPr>
                <w:rFonts w:ascii="Times New Roman" w:hAnsi="Times New Roman"/>
                <w:sz w:val="24"/>
                <w:szCs w:val="24"/>
                <w:lang w:val="uk-UA"/>
              </w:rPr>
              <w:t>Опіки</w:t>
            </w:r>
          </w:p>
        </w:tc>
        <w:tc>
          <w:tcPr>
            <w:tcW w:w="585" w:type="dxa"/>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34</w:t>
            </w:r>
          </w:p>
        </w:tc>
        <w:tc>
          <w:tcPr>
            <w:tcW w:w="1107" w:type="dxa"/>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8,50±1,4</w:t>
            </w:r>
          </w:p>
        </w:tc>
        <w:tc>
          <w:tcPr>
            <w:tcW w:w="585" w:type="dxa"/>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192</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48,00±2,5</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140</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35,00±2,4</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34</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8,50±1,4</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41</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10,25±1,5</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rPr>
                <w:rFonts w:ascii="Times New Roman" w:hAnsi="Times New Roman"/>
                <w:sz w:val="22"/>
                <w:szCs w:val="22"/>
                <w:lang w:val="uk-UA"/>
              </w:rPr>
            </w:pPr>
            <w:r w:rsidRPr="00536BC7">
              <w:rPr>
                <w:rFonts w:ascii="Times New Roman" w:hAnsi="Times New Roman"/>
                <w:sz w:val="22"/>
                <w:szCs w:val="22"/>
                <w:lang w:val="uk-UA"/>
              </w:rPr>
              <w:t>189</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rPr>
                <w:rFonts w:ascii="Times New Roman" w:hAnsi="Times New Roman"/>
                <w:sz w:val="22"/>
                <w:szCs w:val="22"/>
                <w:lang w:val="uk-UA"/>
              </w:rPr>
            </w:pPr>
            <w:r w:rsidRPr="00536BC7">
              <w:rPr>
                <w:rFonts w:ascii="Times New Roman" w:hAnsi="Times New Roman"/>
                <w:sz w:val="22"/>
                <w:szCs w:val="22"/>
                <w:lang w:val="uk-UA"/>
              </w:rPr>
              <w:t>47,25±2,5</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rPr>
                <w:rFonts w:ascii="Times New Roman" w:hAnsi="Times New Roman"/>
                <w:sz w:val="22"/>
                <w:szCs w:val="22"/>
                <w:lang w:val="uk-UA"/>
              </w:rPr>
            </w:pPr>
            <w:r w:rsidRPr="00536BC7">
              <w:rPr>
                <w:rFonts w:ascii="Times New Roman" w:hAnsi="Times New Roman"/>
                <w:sz w:val="22"/>
                <w:szCs w:val="22"/>
                <w:lang w:val="uk-UA"/>
              </w:rPr>
              <w:t>141</w:t>
            </w:r>
          </w:p>
        </w:tc>
        <w:tc>
          <w:tcPr>
            <w:tcW w:w="1107" w:type="dxa"/>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rPr>
                <w:rFonts w:ascii="Times New Roman" w:hAnsi="Times New Roman"/>
                <w:sz w:val="22"/>
                <w:szCs w:val="22"/>
                <w:lang w:val="uk-UA"/>
              </w:rPr>
            </w:pPr>
            <w:r w:rsidRPr="00536BC7">
              <w:rPr>
                <w:rFonts w:ascii="Times New Roman" w:hAnsi="Times New Roman"/>
                <w:sz w:val="22"/>
                <w:szCs w:val="22"/>
                <w:lang w:val="uk-UA"/>
              </w:rPr>
              <w:t>35,25±2,4</w:t>
            </w:r>
          </w:p>
        </w:tc>
        <w:tc>
          <w:tcPr>
            <w:tcW w:w="585" w:type="dxa"/>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rPr>
                <w:rFonts w:ascii="Times New Roman" w:hAnsi="Times New Roman"/>
                <w:sz w:val="22"/>
                <w:szCs w:val="22"/>
                <w:lang w:val="uk-UA"/>
              </w:rPr>
            </w:pPr>
            <w:r w:rsidRPr="00536BC7">
              <w:rPr>
                <w:rFonts w:ascii="Times New Roman" w:hAnsi="Times New Roman"/>
                <w:sz w:val="22"/>
                <w:szCs w:val="22"/>
                <w:lang w:val="uk-UA"/>
              </w:rPr>
              <w:t>29</w:t>
            </w:r>
          </w:p>
        </w:tc>
        <w:tc>
          <w:tcPr>
            <w:tcW w:w="1107" w:type="dxa"/>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rPr>
                <w:rFonts w:ascii="Times New Roman" w:hAnsi="Times New Roman"/>
                <w:sz w:val="22"/>
                <w:szCs w:val="22"/>
                <w:lang w:val="uk-UA"/>
              </w:rPr>
            </w:pPr>
            <w:r w:rsidRPr="00536BC7">
              <w:rPr>
                <w:rFonts w:ascii="Times New Roman" w:hAnsi="Times New Roman"/>
                <w:sz w:val="22"/>
                <w:szCs w:val="22"/>
                <w:lang w:val="uk-UA"/>
              </w:rPr>
              <w:t>7,25±1,3</w:t>
            </w:r>
          </w:p>
        </w:tc>
      </w:tr>
      <w:tr w:rsidR="007F136C" w:rsidRPr="00536BC7" w:rsidTr="007416A2">
        <w:trPr>
          <w:trHeight w:val="703"/>
          <w:jc w:val="center"/>
        </w:trPr>
        <w:tc>
          <w:tcPr>
            <w:tcW w:w="1993" w:type="dxa"/>
            <w:tcBorders>
              <w:top w:val="single" w:sz="4" w:space="0" w:color="auto"/>
              <w:left w:val="single" w:sz="4" w:space="0" w:color="auto"/>
              <w:bottom w:val="single" w:sz="4" w:space="0" w:color="auto"/>
              <w:right w:val="single" w:sz="4" w:space="0" w:color="auto"/>
            </w:tcBorders>
            <w:hideMark/>
          </w:tcPr>
          <w:p w:rsidR="007F136C" w:rsidRPr="00816787" w:rsidRDefault="007F136C" w:rsidP="00816787">
            <w:pPr>
              <w:widowControl w:val="0"/>
              <w:spacing w:line="360" w:lineRule="auto"/>
              <w:rPr>
                <w:rFonts w:ascii="Times New Roman" w:hAnsi="Times New Roman"/>
                <w:sz w:val="24"/>
                <w:szCs w:val="24"/>
                <w:lang w:val="uk-UA"/>
              </w:rPr>
            </w:pPr>
            <w:r w:rsidRPr="00816787">
              <w:rPr>
                <w:rFonts w:ascii="Times New Roman" w:hAnsi="Times New Roman"/>
                <w:sz w:val="24"/>
                <w:szCs w:val="24"/>
                <w:lang w:val="uk-UA"/>
              </w:rPr>
              <w:t>Падіння з висоти</w:t>
            </w:r>
          </w:p>
        </w:tc>
        <w:tc>
          <w:tcPr>
            <w:tcW w:w="585" w:type="dxa"/>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49</w:t>
            </w:r>
          </w:p>
        </w:tc>
        <w:tc>
          <w:tcPr>
            <w:tcW w:w="1107" w:type="dxa"/>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12,25±1,6</w:t>
            </w:r>
          </w:p>
        </w:tc>
        <w:tc>
          <w:tcPr>
            <w:tcW w:w="585" w:type="dxa"/>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127</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31,75±2,3</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197</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49,25±2,5</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27</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6,75±1,2</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32</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8,00±1,4</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rPr>
                <w:rFonts w:ascii="Times New Roman" w:hAnsi="Times New Roman"/>
                <w:sz w:val="22"/>
                <w:szCs w:val="22"/>
                <w:lang w:val="uk-UA"/>
              </w:rPr>
            </w:pPr>
            <w:r w:rsidRPr="00536BC7">
              <w:rPr>
                <w:rFonts w:ascii="Times New Roman" w:hAnsi="Times New Roman"/>
                <w:sz w:val="22"/>
                <w:szCs w:val="22"/>
                <w:lang w:val="uk-UA"/>
              </w:rPr>
              <w:t>144</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rPr>
                <w:rFonts w:ascii="Times New Roman" w:hAnsi="Times New Roman"/>
                <w:sz w:val="22"/>
                <w:szCs w:val="22"/>
                <w:lang w:val="uk-UA"/>
              </w:rPr>
            </w:pPr>
            <w:r w:rsidRPr="00536BC7">
              <w:rPr>
                <w:rFonts w:ascii="Times New Roman" w:hAnsi="Times New Roman"/>
                <w:sz w:val="22"/>
                <w:szCs w:val="22"/>
                <w:lang w:val="uk-UA"/>
              </w:rPr>
              <w:t>26,00±2,2</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rPr>
                <w:rFonts w:ascii="Times New Roman" w:hAnsi="Times New Roman"/>
                <w:sz w:val="22"/>
                <w:szCs w:val="22"/>
                <w:lang w:val="uk-UA"/>
              </w:rPr>
            </w:pPr>
            <w:r w:rsidRPr="00536BC7">
              <w:rPr>
                <w:rFonts w:ascii="Times New Roman" w:hAnsi="Times New Roman"/>
                <w:sz w:val="22"/>
                <w:szCs w:val="22"/>
                <w:lang w:val="uk-UA"/>
              </w:rPr>
              <w:t>190</w:t>
            </w:r>
          </w:p>
        </w:tc>
        <w:tc>
          <w:tcPr>
            <w:tcW w:w="1107" w:type="dxa"/>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rPr>
                <w:rFonts w:ascii="Times New Roman" w:hAnsi="Times New Roman"/>
                <w:sz w:val="22"/>
                <w:szCs w:val="22"/>
                <w:lang w:val="uk-UA"/>
              </w:rPr>
            </w:pPr>
            <w:r w:rsidRPr="00536BC7">
              <w:rPr>
                <w:rFonts w:ascii="Times New Roman" w:hAnsi="Times New Roman"/>
                <w:sz w:val="22"/>
                <w:szCs w:val="22"/>
                <w:lang w:val="uk-UA"/>
              </w:rPr>
              <w:t>47,50±2,5</w:t>
            </w:r>
          </w:p>
        </w:tc>
        <w:tc>
          <w:tcPr>
            <w:tcW w:w="585" w:type="dxa"/>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rPr>
                <w:rFonts w:ascii="Times New Roman" w:hAnsi="Times New Roman"/>
                <w:sz w:val="22"/>
                <w:szCs w:val="22"/>
                <w:lang w:val="uk-UA"/>
              </w:rPr>
            </w:pPr>
            <w:r w:rsidRPr="00536BC7">
              <w:rPr>
                <w:rFonts w:ascii="Times New Roman" w:hAnsi="Times New Roman"/>
                <w:sz w:val="22"/>
                <w:szCs w:val="22"/>
                <w:lang w:val="uk-UA"/>
              </w:rPr>
              <w:t>34</w:t>
            </w:r>
          </w:p>
        </w:tc>
        <w:tc>
          <w:tcPr>
            <w:tcW w:w="1107" w:type="dxa"/>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rPr>
                <w:rFonts w:ascii="Times New Roman" w:hAnsi="Times New Roman"/>
                <w:sz w:val="22"/>
                <w:szCs w:val="22"/>
                <w:lang w:val="uk-UA"/>
              </w:rPr>
            </w:pPr>
            <w:r w:rsidRPr="00536BC7">
              <w:rPr>
                <w:rFonts w:ascii="Times New Roman" w:hAnsi="Times New Roman"/>
                <w:sz w:val="22"/>
                <w:szCs w:val="22"/>
                <w:lang w:val="uk-UA"/>
              </w:rPr>
              <w:t>8,50±1,4</w:t>
            </w:r>
          </w:p>
        </w:tc>
      </w:tr>
      <w:tr w:rsidR="007F136C" w:rsidRPr="00536BC7" w:rsidTr="007416A2">
        <w:trPr>
          <w:trHeight w:val="685"/>
          <w:jc w:val="center"/>
        </w:trPr>
        <w:tc>
          <w:tcPr>
            <w:tcW w:w="1993" w:type="dxa"/>
            <w:tcBorders>
              <w:top w:val="single" w:sz="4" w:space="0" w:color="auto"/>
              <w:left w:val="single" w:sz="4" w:space="0" w:color="auto"/>
              <w:bottom w:val="single" w:sz="4" w:space="0" w:color="auto"/>
              <w:right w:val="single" w:sz="4" w:space="0" w:color="auto"/>
            </w:tcBorders>
            <w:hideMark/>
          </w:tcPr>
          <w:p w:rsidR="007F136C" w:rsidRPr="00816787" w:rsidRDefault="007F136C" w:rsidP="00816787">
            <w:pPr>
              <w:widowControl w:val="0"/>
              <w:spacing w:line="360" w:lineRule="auto"/>
              <w:rPr>
                <w:rFonts w:ascii="Times New Roman" w:hAnsi="Times New Roman"/>
                <w:sz w:val="24"/>
                <w:szCs w:val="24"/>
                <w:lang w:val="uk-UA"/>
              </w:rPr>
            </w:pPr>
            <w:r w:rsidRPr="00816787">
              <w:rPr>
                <w:rFonts w:ascii="Times New Roman" w:hAnsi="Times New Roman"/>
                <w:sz w:val="24"/>
                <w:szCs w:val="24"/>
                <w:lang w:val="uk-UA"/>
              </w:rPr>
              <w:t xml:space="preserve">Блювота </w:t>
            </w:r>
          </w:p>
        </w:tc>
        <w:tc>
          <w:tcPr>
            <w:tcW w:w="585" w:type="dxa"/>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74</w:t>
            </w:r>
          </w:p>
        </w:tc>
        <w:tc>
          <w:tcPr>
            <w:tcW w:w="1107" w:type="dxa"/>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18,50±1,9</w:t>
            </w:r>
          </w:p>
        </w:tc>
        <w:tc>
          <w:tcPr>
            <w:tcW w:w="585" w:type="dxa"/>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194</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48,50±2,5</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127</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31,75±2,3</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5</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1,25±0,6</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76</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19,00±2,0</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rPr>
                <w:rFonts w:ascii="Times New Roman" w:hAnsi="Times New Roman"/>
                <w:sz w:val="22"/>
                <w:szCs w:val="22"/>
                <w:lang w:val="uk-UA"/>
              </w:rPr>
            </w:pPr>
            <w:r w:rsidRPr="00536BC7">
              <w:rPr>
                <w:rFonts w:ascii="Times New Roman" w:hAnsi="Times New Roman"/>
                <w:sz w:val="22"/>
                <w:szCs w:val="22"/>
                <w:lang w:val="uk-UA"/>
              </w:rPr>
              <w:t>199</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rPr>
                <w:rFonts w:ascii="Times New Roman" w:hAnsi="Times New Roman"/>
                <w:sz w:val="22"/>
                <w:szCs w:val="22"/>
                <w:lang w:val="uk-UA"/>
              </w:rPr>
            </w:pPr>
            <w:r w:rsidRPr="00536BC7">
              <w:rPr>
                <w:rFonts w:ascii="Times New Roman" w:hAnsi="Times New Roman"/>
                <w:sz w:val="22"/>
                <w:szCs w:val="22"/>
                <w:lang w:val="uk-UA"/>
              </w:rPr>
              <w:t>49,75±2,5</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rPr>
                <w:rFonts w:ascii="Times New Roman" w:hAnsi="Times New Roman"/>
                <w:sz w:val="22"/>
                <w:szCs w:val="22"/>
                <w:lang w:val="uk-UA"/>
              </w:rPr>
            </w:pPr>
            <w:r w:rsidRPr="00536BC7">
              <w:rPr>
                <w:rFonts w:ascii="Times New Roman" w:hAnsi="Times New Roman"/>
                <w:sz w:val="22"/>
                <w:szCs w:val="22"/>
                <w:lang w:val="uk-UA"/>
              </w:rPr>
              <w:t>119</w:t>
            </w:r>
          </w:p>
        </w:tc>
        <w:tc>
          <w:tcPr>
            <w:tcW w:w="1107" w:type="dxa"/>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rPr>
                <w:rFonts w:ascii="Times New Roman" w:hAnsi="Times New Roman"/>
                <w:sz w:val="22"/>
                <w:szCs w:val="22"/>
                <w:lang w:val="uk-UA"/>
              </w:rPr>
            </w:pPr>
            <w:r w:rsidRPr="00536BC7">
              <w:rPr>
                <w:rFonts w:ascii="Times New Roman" w:hAnsi="Times New Roman"/>
                <w:sz w:val="22"/>
                <w:szCs w:val="22"/>
                <w:lang w:val="uk-UA"/>
              </w:rPr>
              <w:t>29,75±2,3</w:t>
            </w:r>
          </w:p>
        </w:tc>
        <w:tc>
          <w:tcPr>
            <w:tcW w:w="585" w:type="dxa"/>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rPr>
                <w:rFonts w:ascii="Times New Roman" w:hAnsi="Times New Roman"/>
                <w:sz w:val="22"/>
                <w:szCs w:val="22"/>
                <w:lang w:val="uk-UA"/>
              </w:rPr>
            </w:pPr>
            <w:r w:rsidRPr="00536BC7">
              <w:rPr>
                <w:rFonts w:ascii="Times New Roman" w:hAnsi="Times New Roman"/>
                <w:sz w:val="22"/>
                <w:szCs w:val="22"/>
                <w:lang w:val="uk-UA"/>
              </w:rPr>
              <w:t>6</w:t>
            </w:r>
          </w:p>
        </w:tc>
        <w:tc>
          <w:tcPr>
            <w:tcW w:w="1107" w:type="dxa"/>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rPr>
                <w:rFonts w:ascii="Times New Roman" w:hAnsi="Times New Roman"/>
                <w:sz w:val="22"/>
                <w:szCs w:val="22"/>
                <w:lang w:val="uk-UA"/>
              </w:rPr>
            </w:pPr>
            <w:r w:rsidRPr="00536BC7">
              <w:rPr>
                <w:rFonts w:ascii="Times New Roman" w:hAnsi="Times New Roman"/>
                <w:sz w:val="22"/>
                <w:szCs w:val="22"/>
                <w:lang w:val="uk-UA"/>
              </w:rPr>
              <w:t>1,50±0,6</w:t>
            </w:r>
          </w:p>
        </w:tc>
      </w:tr>
      <w:tr w:rsidR="007F136C" w:rsidRPr="00536BC7" w:rsidTr="001732B8">
        <w:trPr>
          <w:trHeight w:val="709"/>
          <w:jc w:val="center"/>
        </w:trPr>
        <w:tc>
          <w:tcPr>
            <w:tcW w:w="1993" w:type="dxa"/>
            <w:tcBorders>
              <w:top w:val="single" w:sz="4" w:space="0" w:color="auto"/>
              <w:left w:val="single" w:sz="4" w:space="0" w:color="auto"/>
              <w:bottom w:val="single" w:sz="4" w:space="0" w:color="auto"/>
              <w:right w:val="single" w:sz="4" w:space="0" w:color="auto"/>
            </w:tcBorders>
            <w:hideMark/>
          </w:tcPr>
          <w:p w:rsidR="007F136C" w:rsidRPr="00816787" w:rsidRDefault="007F136C" w:rsidP="00816787">
            <w:pPr>
              <w:widowControl w:val="0"/>
              <w:spacing w:line="360" w:lineRule="auto"/>
              <w:rPr>
                <w:rFonts w:ascii="Times New Roman" w:hAnsi="Times New Roman"/>
                <w:sz w:val="24"/>
                <w:szCs w:val="24"/>
                <w:lang w:val="uk-UA"/>
              </w:rPr>
            </w:pPr>
            <w:r w:rsidRPr="00816787">
              <w:rPr>
                <w:rFonts w:ascii="Times New Roman" w:hAnsi="Times New Roman"/>
                <w:sz w:val="24"/>
                <w:szCs w:val="24"/>
                <w:lang w:val="uk-UA"/>
              </w:rPr>
              <w:t xml:space="preserve">Судоми </w:t>
            </w:r>
          </w:p>
        </w:tc>
        <w:tc>
          <w:tcPr>
            <w:tcW w:w="585" w:type="dxa"/>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69</w:t>
            </w:r>
          </w:p>
        </w:tc>
        <w:tc>
          <w:tcPr>
            <w:tcW w:w="1107" w:type="dxa"/>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17,25±1,9</w:t>
            </w:r>
          </w:p>
        </w:tc>
        <w:tc>
          <w:tcPr>
            <w:tcW w:w="585" w:type="dxa"/>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183</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45,75±2,5</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117</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29,25±2,3</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31</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7,75±1,3</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61</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15,25±1,8</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rPr>
                <w:rFonts w:ascii="Times New Roman" w:hAnsi="Times New Roman"/>
                <w:sz w:val="22"/>
                <w:szCs w:val="22"/>
                <w:lang w:val="uk-UA"/>
              </w:rPr>
            </w:pPr>
            <w:r w:rsidRPr="00536BC7">
              <w:rPr>
                <w:rFonts w:ascii="Times New Roman" w:hAnsi="Times New Roman"/>
                <w:sz w:val="22"/>
                <w:szCs w:val="22"/>
                <w:lang w:val="uk-UA"/>
              </w:rPr>
              <w:t>181</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rPr>
                <w:rFonts w:ascii="Times New Roman" w:hAnsi="Times New Roman"/>
                <w:sz w:val="22"/>
                <w:szCs w:val="22"/>
                <w:lang w:val="uk-UA"/>
              </w:rPr>
            </w:pPr>
            <w:r w:rsidRPr="00536BC7">
              <w:rPr>
                <w:rFonts w:ascii="Times New Roman" w:hAnsi="Times New Roman"/>
                <w:sz w:val="22"/>
                <w:szCs w:val="22"/>
                <w:lang w:val="uk-UA"/>
              </w:rPr>
              <w:t>45,25±2,5</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rPr>
                <w:rFonts w:ascii="Times New Roman" w:hAnsi="Times New Roman"/>
                <w:sz w:val="22"/>
                <w:szCs w:val="22"/>
                <w:lang w:val="uk-UA"/>
              </w:rPr>
            </w:pPr>
            <w:r w:rsidRPr="00536BC7">
              <w:rPr>
                <w:rFonts w:ascii="Times New Roman" w:hAnsi="Times New Roman"/>
                <w:sz w:val="22"/>
                <w:szCs w:val="22"/>
                <w:lang w:val="uk-UA"/>
              </w:rPr>
              <w:t>116</w:t>
            </w:r>
          </w:p>
        </w:tc>
        <w:tc>
          <w:tcPr>
            <w:tcW w:w="1107" w:type="dxa"/>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rPr>
                <w:rFonts w:ascii="Times New Roman" w:hAnsi="Times New Roman"/>
                <w:sz w:val="22"/>
                <w:szCs w:val="22"/>
                <w:lang w:val="uk-UA"/>
              </w:rPr>
            </w:pPr>
            <w:r w:rsidRPr="00536BC7">
              <w:rPr>
                <w:rFonts w:ascii="Times New Roman" w:hAnsi="Times New Roman"/>
                <w:sz w:val="22"/>
                <w:szCs w:val="22"/>
                <w:lang w:val="uk-UA"/>
              </w:rPr>
              <w:t>29,00±2,3</w:t>
            </w:r>
          </w:p>
        </w:tc>
        <w:tc>
          <w:tcPr>
            <w:tcW w:w="585" w:type="dxa"/>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rPr>
                <w:rFonts w:ascii="Times New Roman" w:hAnsi="Times New Roman"/>
                <w:sz w:val="22"/>
                <w:szCs w:val="22"/>
                <w:lang w:val="uk-UA"/>
              </w:rPr>
            </w:pPr>
            <w:r w:rsidRPr="00536BC7">
              <w:rPr>
                <w:rFonts w:ascii="Times New Roman" w:hAnsi="Times New Roman"/>
                <w:sz w:val="22"/>
                <w:szCs w:val="22"/>
                <w:lang w:val="uk-UA"/>
              </w:rPr>
              <w:t>42</w:t>
            </w:r>
          </w:p>
        </w:tc>
        <w:tc>
          <w:tcPr>
            <w:tcW w:w="1107" w:type="dxa"/>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rPr>
                <w:rFonts w:ascii="Times New Roman" w:hAnsi="Times New Roman"/>
                <w:sz w:val="22"/>
                <w:szCs w:val="22"/>
                <w:lang w:val="uk-UA"/>
              </w:rPr>
            </w:pPr>
            <w:r w:rsidRPr="00536BC7">
              <w:rPr>
                <w:rFonts w:ascii="Times New Roman" w:hAnsi="Times New Roman"/>
                <w:sz w:val="22"/>
                <w:szCs w:val="22"/>
                <w:lang w:val="uk-UA"/>
              </w:rPr>
              <w:t>10,50±1,5</w:t>
            </w:r>
          </w:p>
        </w:tc>
      </w:tr>
      <w:tr w:rsidR="007F136C" w:rsidRPr="00536BC7" w:rsidTr="001732B8">
        <w:trPr>
          <w:trHeight w:val="1117"/>
          <w:jc w:val="center"/>
        </w:trPr>
        <w:tc>
          <w:tcPr>
            <w:tcW w:w="1993" w:type="dxa"/>
            <w:tcBorders>
              <w:top w:val="single" w:sz="4" w:space="0" w:color="auto"/>
              <w:left w:val="single" w:sz="4" w:space="0" w:color="auto"/>
              <w:bottom w:val="single" w:sz="4" w:space="0" w:color="auto"/>
              <w:right w:val="single" w:sz="4" w:space="0" w:color="auto"/>
            </w:tcBorders>
            <w:hideMark/>
          </w:tcPr>
          <w:p w:rsidR="007F136C" w:rsidRPr="00816787" w:rsidRDefault="007F136C" w:rsidP="00816787">
            <w:pPr>
              <w:widowControl w:val="0"/>
              <w:spacing w:line="360" w:lineRule="auto"/>
              <w:rPr>
                <w:rFonts w:ascii="Times New Roman" w:hAnsi="Times New Roman"/>
                <w:sz w:val="24"/>
                <w:szCs w:val="24"/>
                <w:lang w:val="uk-UA"/>
              </w:rPr>
            </w:pPr>
            <w:r w:rsidRPr="00816787">
              <w:rPr>
                <w:rFonts w:ascii="Times New Roman" w:hAnsi="Times New Roman"/>
                <w:sz w:val="24"/>
                <w:szCs w:val="24"/>
                <w:lang w:val="uk-UA"/>
              </w:rPr>
              <w:t>Травма грудної  клітки</w:t>
            </w:r>
          </w:p>
        </w:tc>
        <w:tc>
          <w:tcPr>
            <w:tcW w:w="585" w:type="dxa"/>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51</w:t>
            </w:r>
          </w:p>
        </w:tc>
        <w:tc>
          <w:tcPr>
            <w:tcW w:w="1107" w:type="dxa"/>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12,75±1,7</w:t>
            </w:r>
          </w:p>
        </w:tc>
        <w:tc>
          <w:tcPr>
            <w:tcW w:w="585" w:type="dxa"/>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191</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47,75±2,5</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134</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33,50±2,4</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24</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6,00±1,2</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42</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10,5±1,5</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rPr>
                <w:rFonts w:ascii="Times New Roman" w:hAnsi="Times New Roman"/>
                <w:sz w:val="22"/>
                <w:szCs w:val="22"/>
                <w:lang w:val="uk-UA"/>
              </w:rPr>
            </w:pPr>
            <w:r w:rsidRPr="00536BC7">
              <w:rPr>
                <w:rFonts w:ascii="Times New Roman" w:hAnsi="Times New Roman"/>
                <w:sz w:val="22"/>
                <w:szCs w:val="22"/>
                <w:lang w:val="uk-UA"/>
              </w:rPr>
              <w:t>204</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rPr>
                <w:rFonts w:ascii="Times New Roman" w:hAnsi="Times New Roman"/>
                <w:sz w:val="22"/>
                <w:szCs w:val="22"/>
                <w:lang w:val="uk-UA"/>
              </w:rPr>
            </w:pPr>
            <w:r w:rsidRPr="00536BC7">
              <w:rPr>
                <w:rFonts w:ascii="Times New Roman" w:hAnsi="Times New Roman"/>
                <w:sz w:val="22"/>
                <w:szCs w:val="22"/>
                <w:lang w:val="uk-UA"/>
              </w:rPr>
              <w:t>51,00±2,5</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rPr>
                <w:rFonts w:ascii="Times New Roman" w:hAnsi="Times New Roman"/>
                <w:sz w:val="22"/>
                <w:szCs w:val="22"/>
                <w:lang w:val="uk-UA"/>
              </w:rPr>
            </w:pPr>
            <w:r w:rsidRPr="00536BC7">
              <w:rPr>
                <w:rFonts w:ascii="Times New Roman" w:hAnsi="Times New Roman"/>
                <w:sz w:val="22"/>
                <w:szCs w:val="22"/>
                <w:lang w:val="uk-UA"/>
              </w:rPr>
              <w:t>120</w:t>
            </w:r>
          </w:p>
        </w:tc>
        <w:tc>
          <w:tcPr>
            <w:tcW w:w="1107" w:type="dxa"/>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rPr>
                <w:rFonts w:ascii="Times New Roman" w:hAnsi="Times New Roman"/>
                <w:sz w:val="22"/>
                <w:szCs w:val="22"/>
                <w:lang w:val="uk-UA"/>
              </w:rPr>
            </w:pPr>
            <w:r w:rsidRPr="00536BC7">
              <w:rPr>
                <w:rFonts w:ascii="Times New Roman" w:hAnsi="Times New Roman"/>
                <w:sz w:val="22"/>
                <w:szCs w:val="22"/>
                <w:lang w:val="uk-UA"/>
              </w:rPr>
              <w:t>30,00±2,3</w:t>
            </w:r>
          </w:p>
        </w:tc>
        <w:tc>
          <w:tcPr>
            <w:tcW w:w="585" w:type="dxa"/>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rPr>
                <w:rFonts w:ascii="Times New Roman" w:hAnsi="Times New Roman"/>
                <w:sz w:val="22"/>
                <w:szCs w:val="22"/>
                <w:lang w:val="uk-UA"/>
              </w:rPr>
            </w:pPr>
            <w:r w:rsidRPr="00536BC7">
              <w:rPr>
                <w:rFonts w:ascii="Times New Roman" w:hAnsi="Times New Roman"/>
                <w:sz w:val="22"/>
                <w:szCs w:val="22"/>
                <w:lang w:val="uk-UA"/>
              </w:rPr>
              <w:t>34</w:t>
            </w:r>
          </w:p>
        </w:tc>
        <w:tc>
          <w:tcPr>
            <w:tcW w:w="1107" w:type="dxa"/>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rPr>
                <w:rFonts w:ascii="Times New Roman" w:hAnsi="Times New Roman"/>
                <w:sz w:val="22"/>
                <w:szCs w:val="22"/>
                <w:lang w:val="uk-UA"/>
              </w:rPr>
            </w:pPr>
            <w:r w:rsidRPr="00536BC7">
              <w:rPr>
                <w:rFonts w:ascii="Times New Roman" w:hAnsi="Times New Roman"/>
                <w:sz w:val="22"/>
                <w:szCs w:val="22"/>
                <w:lang w:val="uk-UA"/>
              </w:rPr>
              <w:t>8,50±1,4</w:t>
            </w:r>
          </w:p>
        </w:tc>
      </w:tr>
      <w:tr w:rsidR="007F136C" w:rsidRPr="00536BC7" w:rsidTr="001732B8">
        <w:trPr>
          <w:trHeight w:val="706"/>
          <w:jc w:val="center"/>
        </w:trPr>
        <w:tc>
          <w:tcPr>
            <w:tcW w:w="1993" w:type="dxa"/>
            <w:tcBorders>
              <w:top w:val="single" w:sz="4" w:space="0" w:color="auto"/>
              <w:left w:val="single" w:sz="4" w:space="0" w:color="auto"/>
              <w:bottom w:val="single" w:sz="4" w:space="0" w:color="auto"/>
              <w:right w:val="single" w:sz="4" w:space="0" w:color="auto"/>
            </w:tcBorders>
            <w:hideMark/>
          </w:tcPr>
          <w:p w:rsidR="007F136C" w:rsidRPr="00816787" w:rsidRDefault="007F136C" w:rsidP="00816787">
            <w:pPr>
              <w:widowControl w:val="0"/>
              <w:spacing w:line="360" w:lineRule="auto"/>
              <w:rPr>
                <w:rFonts w:ascii="Times New Roman" w:hAnsi="Times New Roman"/>
                <w:sz w:val="24"/>
                <w:szCs w:val="24"/>
                <w:lang w:val="uk-UA"/>
              </w:rPr>
            </w:pPr>
            <w:r w:rsidRPr="00816787">
              <w:rPr>
                <w:rFonts w:ascii="Times New Roman" w:hAnsi="Times New Roman"/>
                <w:sz w:val="24"/>
                <w:szCs w:val="24"/>
                <w:lang w:val="uk-UA"/>
              </w:rPr>
              <w:t>Травма живота</w:t>
            </w:r>
          </w:p>
        </w:tc>
        <w:tc>
          <w:tcPr>
            <w:tcW w:w="585" w:type="dxa"/>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56</w:t>
            </w:r>
          </w:p>
        </w:tc>
        <w:tc>
          <w:tcPr>
            <w:tcW w:w="1107" w:type="dxa"/>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14,00±1,7</w:t>
            </w:r>
          </w:p>
        </w:tc>
        <w:tc>
          <w:tcPr>
            <w:tcW w:w="585" w:type="dxa"/>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184</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46,00±2,5</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131</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32,75±2,3</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29</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7,25±1,3</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45</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11,25±1,6</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rPr>
                <w:rFonts w:ascii="Times New Roman" w:hAnsi="Times New Roman"/>
                <w:sz w:val="22"/>
                <w:szCs w:val="22"/>
                <w:lang w:val="uk-UA"/>
              </w:rPr>
            </w:pPr>
            <w:r w:rsidRPr="00536BC7">
              <w:rPr>
                <w:rFonts w:ascii="Times New Roman" w:hAnsi="Times New Roman"/>
                <w:sz w:val="22"/>
                <w:szCs w:val="22"/>
                <w:lang w:val="uk-UA"/>
              </w:rPr>
              <w:t>200</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rPr>
                <w:rFonts w:ascii="Times New Roman" w:hAnsi="Times New Roman"/>
                <w:sz w:val="22"/>
                <w:szCs w:val="22"/>
                <w:lang w:val="uk-UA"/>
              </w:rPr>
            </w:pPr>
            <w:r w:rsidRPr="00536BC7">
              <w:rPr>
                <w:rFonts w:ascii="Times New Roman" w:hAnsi="Times New Roman"/>
                <w:sz w:val="22"/>
                <w:szCs w:val="22"/>
                <w:lang w:val="uk-UA"/>
              </w:rPr>
              <w:t>50,00±2,5</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rPr>
                <w:rFonts w:ascii="Times New Roman" w:hAnsi="Times New Roman"/>
                <w:sz w:val="22"/>
                <w:szCs w:val="22"/>
                <w:lang w:val="uk-UA"/>
              </w:rPr>
            </w:pPr>
            <w:r w:rsidRPr="00536BC7">
              <w:rPr>
                <w:rFonts w:ascii="Times New Roman" w:hAnsi="Times New Roman"/>
                <w:sz w:val="22"/>
                <w:szCs w:val="22"/>
                <w:lang w:val="uk-UA"/>
              </w:rPr>
              <w:t>118</w:t>
            </w:r>
          </w:p>
        </w:tc>
        <w:tc>
          <w:tcPr>
            <w:tcW w:w="1107" w:type="dxa"/>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rPr>
                <w:rFonts w:ascii="Times New Roman" w:hAnsi="Times New Roman"/>
                <w:sz w:val="22"/>
                <w:szCs w:val="22"/>
                <w:lang w:val="uk-UA"/>
              </w:rPr>
            </w:pPr>
            <w:r w:rsidRPr="00536BC7">
              <w:rPr>
                <w:rFonts w:ascii="Times New Roman" w:hAnsi="Times New Roman"/>
                <w:sz w:val="22"/>
                <w:szCs w:val="22"/>
                <w:lang w:val="uk-UA"/>
              </w:rPr>
              <w:t>29,50±2,3</w:t>
            </w:r>
          </w:p>
        </w:tc>
        <w:tc>
          <w:tcPr>
            <w:tcW w:w="585" w:type="dxa"/>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rPr>
                <w:rFonts w:ascii="Times New Roman" w:hAnsi="Times New Roman"/>
                <w:sz w:val="22"/>
                <w:szCs w:val="22"/>
                <w:lang w:val="uk-UA"/>
              </w:rPr>
            </w:pPr>
            <w:r w:rsidRPr="00536BC7">
              <w:rPr>
                <w:rFonts w:ascii="Times New Roman" w:hAnsi="Times New Roman"/>
                <w:sz w:val="22"/>
                <w:szCs w:val="22"/>
                <w:lang w:val="uk-UA"/>
              </w:rPr>
              <w:t>37</w:t>
            </w:r>
          </w:p>
        </w:tc>
        <w:tc>
          <w:tcPr>
            <w:tcW w:w="1107" w:type="dxa"/>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rPr>
                <w:rFonts w:ascii="Times New Roman" w:hAnsi="Times New Roman"/>
                <w:sz w:val="22"/>
                <w:szCs w:val="22"/>
                <w:lang w:val="uk-UA"/>
              </w:rPr>
            </w:pPr>
            <w:r w:rsidRPr="00536BC7">
              <w:rPr>
                <w:rFonts w:ascii="Times New Roman" w:hAnsi="Times New Roman"/>
                <w:sz w:val="22"/>
                <w:szCs w:val="22"/>
                <w:lang w:val="uk-UA"/>
              </w:rPr>
              <w:t>9,25±1,4</w:t>
            </w:r>
          </w:p>
        </w:tc>
      </w:tr>
      <w:tr w:rsidR="007F136C" w:rsidRPr="00536BC7" w:rsidTr="001732B8">
        <w:trPr>
          <w:trHeight w:val="703"/>
          <w:jc w:val="center"/>
        </w:trPr>
        <w:tc>
          <w:tcPr>
            <w:tcW w:w="1993" w:type="dxa"/>
            <w:tcBorders>
              <w:top w:val="single" w:sz="4" w:space="0" w:color="auto"/>
              <w:left w:val="single" w:sz="4" w:space="0" w:color="auto"/>
              <w:bottom w:val="single" w:sz="4" w:space="0" w:color="auto"/>
              <w:right w:val="single" w:sz="4" w:space="0" w:color="auto"/>
            </w:tcBorders>
            <w:hideMark/>
          </w:tcPr>
          <w:p w:rsidR="007F136C" w:rsidRPr="00816787" w:rsidRDefault="00005FD0" w:rsidP="00816787">
            <w:pPr>
              <w:widowControl w:val="0"/>
              <w:spacing w:line="360" w:lineRule="auto"/>
              <w:rPr>
                <w:rFonts w:ascii="Times New Roman" w:hAnsi="Times New Roman"/>
                <w:sz w:val="24"/>
                <w:szCs w:val="24"/>
                <w:lang w:val="uk-UA"/>
              </w:rPr>
            </w:pPr>
            <w:r w:rsidRPr="00816787">
              <w:rPr>
                <w:rFonts w:ascii="Times New Roman" w:hAnsi="Times New Roman"/>
                <w:sz w:val="24"/>
                <w:szCs w:val="24"/>
                <w:lang w:val="uk-UA"/>
              </w:rPr>
              <w:t>Ч</w:t>
            </w:r>
            <w:r w:rsidRPr="00816787">
              <w:rPr>
                <w:rFonts w:ascii="Times New Roman" w:hAnsi="Times New Roman"/>
                <w:sz w:val="24"/>
                <w:szCs w:val="24"/>
              </w:rPr>
              <w:t>МТ</w:t>
            </w:r>
            <w:r w:rsidR="007F136C" w:rsidRPr="00816787">
              <w:rPr>
                <w:rFonts w:ascii="Times New Roman" w:hAnsi="Times New Roman"/>
                <w:sz w:val="24"/>
                <w:szCs w:val="24"/>
                <w:lang w:val="uk-UA"/>
              </w:rPr>
              <w:t xml:space="preserve">  </w:t>
            </w:r>
          </w:p>
        </w:tc>
        <w:tc>
          <w:tcPr>
            <w:tcW w:w="585" w:type="dxa"/>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49</w:t>
            </w:r>
          </w:p>
        </w:tc>
        <w:tc>
          <w:tcPr>
            <w:tcW w:w="1107" w:type="dxa"/>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12,25±1,6</w:t>
            </w:r>
          </w:p>
        </w:tc>
        <w:tc>
          <w:tcPr>
            <w:tcW w:w="585" w:type="dxa"/>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115</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28,75±2,3</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187</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46,75±2,5</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49</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12,25±1,6</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32</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jc w:val="center"/>
              <w:rPr>
                <w:rFonts w:ascii="Times New Roman" w:hAnsi="Times New Roman"/>
                <w:sz w:val="22"/>
                <w:szCs w:val="22"/>
                <w:lang w:val="uk-UA"/>
              </w:rPr>
            </w:pPr>
            <w:r w:rsidRPr="00536BC7">
              <w:rPr>
                <w:rFonts w:ascii="Times New Roman" w:hAnsi="Times New Roman"/>
                <w:sz w:val="22"/>
                <w:szCs w:val="22"/>
                <w:lang w:val="uk-UA"/>
              </w:rPr>
              <w:t>8,00±1,4</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rPr>
                <w:rFonts w:ascii="Times New Roman" w:hAnsi="Times New Roman"/>
                <w:sz w:val="22"/>
                <w:szCs w:val="22"/>
                <w:lang w:val="uk-UA"/>
              </w:rPr>
            </w:pPr>
            <w:r w:rsidRPr="00536BC7">
              <w:rPr>
                <w:rFonts w:ascii="Times New Roman" w:hAnsi="Times New Roman"/>
                <w:sz w:val="22"/>
                <w:szCs w:val="22"/>
                <w:lang w:val="uk-UA"/>
              </w:rPr>
              <w:t>142</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rPr>
                <w:rFonts w:ascii="Times New Roman" w:hAnsi="Times New Roman"/>
                <w:sz w:val="22"/>
                <w:szCs w:val="22"/>
                <w:lang w:val="uk-UA"/>
              </w:rPr>
            </w:pPr>
            <w:r w:rsidRPr="00536BC7">
              <w:rPr>
                <w:rFonts w:ascii="Times New Roman" w:hAnsi="Times New Roman"/>
                <w:sz w:val="22"/>
                <w:szCs w:val="22"/>
                <w:lang w:val="uk-UA"/>
              </w:rPr>
              <w:t>35,50±2,4</w:t>
            </w:r>
          </w:p>
        </w:tc>
        <w:tc>
          <w:tcPr>
            <w:tcW w:w="0" w:type="auto"/>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rPr>
                <w:rFonts w:ascii="Times New Roman" w:hAnsi="Times New Roman"/>
                <w:sz w:val="22"/>
                <w:szCs w:val="22"/>
                <w:lang w:val="uk-UA"/>
              </w:rPr>
            </w:pPr>
            <w:r w:rsidRPr="00536BC7">
              <w:rPr>
                <w:rFonts w:ascii="Times New Roman" w:hAnsi="Times New Roman"/>
                <w:sz w:val="22"/>
                <w:szCs w:val="22"/>
                <w:lang w:val="uk-UA"/>
              </w:rPr>
              <w:t>162</w:t>
            </w:r>
          </w:p>
        </w:tc>
        <w:tc>
          <w:tcPr>
            <w:tcW w:w="1107" w:type="dxa"/>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rPr>
                <w:rFonts w:ascii="Times New Roman" w:hAnsi="Times New Roman"/>
                <w:sz w:val="22"/>
                <w:szCs w:val="22"/>
                <w:lang w:val="uk-UA"/>
              </w:rPr>
            </w:pPr>
            <w:r w:rsidRPr="00536BC7">
              <w:rPr>
                <w:rFonts w:ascii="Times New Roman" w:hAnsi="Times New Roman"/>
                <w:sz w:val="22"/>
                <w:szCs w:val="22"/>
                <w:lang w:val="uk-UA"/>
              </w:rPr>
              <w:t>40,50±2,5</w:t>
            </w:r>
          </w:p>
        </w:tc>
        <w:tc>
          <w:tcPr>
            <w:tcW w:w="585" w:type="dxa"/>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rPr>
                <w:rFonts w:ascii="Times New Roman" w:hAnsi="Times New Roman"/>
                <w:sz w:val="22"/>
                <w:szCs w:val="22"/>
                <w:lang w:val="uk-UA"/>
              </w:rPr>
            </w:pPr>
            <w:r w:rsidRPr="00536BC7">
              <w:rPr>
                <w:rFonts w:ascii="Times New Roman" w:hAnsi="Times New Roman"/>
                <w:sz w:val="22"/>
                <w:szCs w:val="22"/>
                <w:lang w:val="uk-UA"/>
              </w:rPr>
              <w:t>64</w:t>
            </w:r>
          </w:p>
        </w:tc>
        <w:tc>
          <w:tcPr>
            <w:tcW w:w="1107" w:type="dxa"/>
            <w:tcBorders>
              <w:top w:val="single" w:sz="4" w:space="0" w:color="auto"/>
              <w:left w:val="single" w:sz="4" w:space="0" w:color="auto"/>
              <w:bottom w:val="single" w:sz="4" w:space="0" w:color="auto"/>
              <w:right w:val="single" w:sz="4" w:space="0" w:color="auto"/>
            </w:tcBorders>
            <w:hideMark/>
          </w:tcPr>
          <w:p w:rsidR="007F136C" w:rsidRPr="00536BC7" w:rsidRDefault="007F136C" w:rsidP="00816787">
            <w:pPr>
              <w:widowControl w:val="0"/>
              <w:spacing w:line="360" w:lineRule="auto"/>
              <w:rPr>
                <w:rFonts w:ascii="Times New Roman" w:hAnsi="Times New Roman"/>
                <w:sz w:val="22"/>
                <w:szCs w:val="22"/>
                <w:lang w:val="uk-UA"/>
              </w:rPr>
            </w:pPr>
            <w:r w:rsidRPr="00536BC7">
              <w:rPr>
                <w:rFonts w:ascii="Times New Roman" w:hAnsi="Times New Roman"/>
                <w:sz w:val="22"/>
                <w:szCs w:val="22"/>
                <w:lang w:val="uk-UA"/>
              </w:rPr>
              <w:t>16,00±1,8</w:t>
            </w:r>
          </w:p>
        </w:tc>
      </w:tr>
    </w:tbl>
    <w:p w:rsidR="007F136C" w:rsidRPr="00006A39" w:rsidRDefault="007F136C" w:rsidP="00721203">
      <w:pPr>
        <w:widowControl w:val="0"/>
        <w:rPr>
          <w:rFonts w:eastAsia="Calibri"/>
          <w:b/>
          <w:color w:val="FF0000"/>
          <w:szCs w:val="28"/>
        </w:rPr>
        <w:sectPr w:rsidR="007F136C" w:rsidRPr="00006A39" w:rsidSect="00E242B0">
          <w:pgSz w:w="16838" w:h="11906" w:orient="landscape"/>
          <w:pgMar w:top="1134" w:right="567" w:bottom="1134" w:left="1134" w:header="709" w:footer="709" w:gutter="0"/>
          <w:cols w:space="720"/>
        </w:sectPr>
      </w:pPr>
    </w:p>
    <w:p w:rsidR="000E1241" w:rsidRPr="00006A39" w:rsidRDefault="000E1241" w:rsidP="000E1241">
      <w:pPr>
        <w:widowControl w:val="0"/>
        <w:rPr>
          <w:rFonts w:eastAsia="Calibri"/>
          <w:szCs w:val="28"/>
        </w:rPr>
      </w:pPr>
      <w:r w:rsidRPr="00006A39">
        <w:rPr>
          <w:rFonts w:eastAsia="Calibri"/>
          <w:szCs w:val="28"/>
        </w:rPr>
        <w:lastRenderedPageBreak/>
        <w:t>високої частки смертності дітей н</w:t>
      </w:r>
      <w:r w:rsidR="00972263">
        <w:rPr>
          <w:rFonts w:eastAsia="Calibri"/>
          <w:szCs w:val="28"/>
        </w:rPr>
        <w:t>а до</w:t>
      </w:r>
      <w:r w:rsidR="00256AB0">
        <w:rPr>
          <w:rFonts w:eastAsia="Calibri"/>
          <w:szCs w:val="28"/>
        </w:rPr>
        <w:t>госпітальному рівні (РОЗДІЛ</w:t>
      </w:r>
      <w:r w:rsidRPr="00006A39">
        <w:rPr>
          <w:rFonts w:eastAsia="Calibri"/>
          <w:szCs w:val="28"/>
        </w:rPr>
        <w:t xml:space="preserve"> 3), коли вони не отримують необхідну медичну допомогу.</w:t>
      </w:r>
    </w:p>
    <w:p w:rsidR="000E1241" w:rsidRDefault="000E1241" w:rsidP="000E1241">
      <w:pPr>
        <w:widowControl w:val="0"/>
        <w:ind w:firstLine="708"/>
        <w:rPr>
          <w:rFonts w:eastAsia="Calibri"/>
          <w:b/>
          <w:color w:val="000000" w:themeColor="text1"/>
          <w:szCs w:val="28"/>
          <w:lang w:val="ru-RU"/>
        </w:rPr>
      </w:pPr>
      <w:r w:rsidRPr="00F34224">
        <w:rPr>
          <w:rFonts w:eastAsia="Calibri"/>
          <w:color w:val="000000" w:themeColor="text1"/>
          <w:szCs w:val="28"/>
        </w:rPr>
        <w:t>За результатами аналізу даних щодо самооцінки ЛЗП-СЛ особистих теоретичних знань та практичних навичок з тактики дій при окремих стан</w:t>
      </w:r>
      <w:r w:rsidR="00655060">
        <w:rPr>
          <w:rFonts w:eastAsia="Calibri"/>
          <w:color w:val="000000" w:themeColor="text1"/>
          <w:szCs w:val="28"/>
        </w:rPr>
        <w:t xml:space="preserve">ах, які загрожують життю </w:t>
      </w:r>
      <w:r w:rsidRPr="00F34224">
        <w:rPr>
          <w:rFonts w:eastAsia="Calibri"/>
          <w:color w:val="000000" w:themeColor="text1"/>
          <w:szCs w:val="28"/>
        </w:rPr>
        <w:t>дітей та виявленню певних проблем у рівні наявних теоретичних і практичних знань респондентів, було важливим вивчення  питання щодо джерел та бажання отримання і удосконалення</w:t>
      </w:r>
      <w:r w:rsidRPr="00F34224">
        <w:rPr>
          <w:rFonts w:eastAsia="Calibri"/>
          <w:b/>
          <w:color w:val="000000" w:themeColor="text1"/>
          <w:szCs w:val="28"/>
        </w:rPr>
        <w:t xml:space="preserve"> </w:t>
      </w:r>
      <w:r w:rsidRPr="00F34224">
        <w:rPr>
          <w:rFonts w:eastAsia="Calibri"/>
          <w:color w:val="000000" w:themeColor="text1"/>
          <w:szCs w:val="28"/>
        </w:rPr>
        <w:t>ЛЗП-СЛ знань з  попередження передчасної смерті дітей та тактики дій при станах, які загрожують життю дітей в процесі безперервної післядипломної підготовки. Респонденти мали право максимально обрати три відповіді на питання щодо джерел отримання інформації та найзручніший спосіб навчання для них.</w:t>
      </w:r>
    </w:p>
    <w:p w:rsidR="007F136C" w:rsidRPr="006B3286" w:rsidRDefault="007F136C" w:rsidP="000E1241">
      <w:pPr>
        <w:widowControl w:val="0"/>
        <w:ind w:firstLine="708"/>
        <w:rPr>
          <w:rFonts w:eastAsia="Calibri"/>
          <w:color w:val="000000" w:themeColor="text1"/>
          <w:szCs w:val="28"/>
        </w:rPr>
      </w:pPr>
      <w:r w:rsidRPr="00006A39">
        <w:rPr>
          <w:rFonts w:eastAsia="Calibri"/>
          <w:szCs w:val="28"/>
        </w:rPr>
        <w:t xml:space="preserve">Аналіз отриманих в ході дослідження даних </w:t>
      </w:r>
      <w:r w:rsidRPr="00F34224">
        <w:rPr>
          <w:rFonts w:eastAsia="Calibri"/>
          <w:color w:val="000000" w:themeColor="text1"/>
          <w:szCs w:val="28"/>
        </w:rPr>
        <w:t>вказує на те, що основні знання щодо попередження передчасн</w:t>
      </w:r>
      <w:r w:rsidR="00655060">
        <w:rPr>
          <w:rFonts w:eastAsia="Calibri"/>
          <w:color w:val="000000" w:themeColor="text1"/>
          <w:szCs w:val="28"/>
        </w:rPr>
        <w:t xml:space="preserve">ої смерті дітей до п’яти років </w:t>
      </w:r>
      <w:r w:rsidRPr="00F34224">
        <w:rPr>
          <w:rFonts w:eastAsia="Calibri"/>
          <w:color w:val="000000" w:themeColor="text1"/>
          <w:szCs w:val="28"/>
        </w:rPr>
        <w:t>та тактики дій при станах,</w:t>
      </w:r>
      <w:r w:rsidRPr="00F34224">
        <w:rPr>
          <w:color w:val="000000" w:themeColor="text1"/>
        </w:rPr>
        <w:t xml:space="preserve"> </w:t>
      </w:r>
      <w:r w:rsidRPr="00F34224">
        <w:rPr>
          <w:rFonts w:eastAsia="Calibri"/>
          <w:color w:val="000000" w:themeColor="text1"/>
          <w:szCs w:val="28"/>
        </w:rPr>
        <w:t>які загрожують їх життю, респонденти отримують переважно в процесі проходження спеціалізації (52,25±2,5% ЛЗП-СЛ), при користування навчальною літературою (52,75±2,5%), методичною літературою (45,75±2,5%), в процесі навчання в інтернатурі (26,0±2,2%). 89,5±1,5% ЛЗП-СЛ мають бажання отримувати знання з вищезазначеного питання.  Найзручнішими способами навчання респонденти  визначили наступні форми: курси тематичного удосконалення (67,25±2,3%), спеціальні короткотривалі тренінги (66,0±2,4%), стажування на робочому місці (51,75</w:t>
      </w:r>
      <w:r w:rsidRPr="00F34224">
        <w:rPr>
          <w:rFonts w:eastAsia="Calibri"/>
          <w:color w:val="000000" w:themeColor="text1"/>
          <w:kern w:val="28"/>
          <w:szCs w:val="28"/>
        </w:rPr>
        <w:t>±2,5</w:t>
      </w:r>
      <w:r w:rsidRPr="00F34224">
        <w:rPr>
          <w:rFonts w:eastAsia="Calibri"/>
          <w:color w:val="000000" w:themeColor="text1"/>
          <w:szCs w:val="28"/>
        </w:rPr>
        <w:t>%) (табл. 6.6).</w:t>
      </w:r>
    </w:p>
    <w:p w:rsidR="00435099" w:rsidRPr="00256AB0" w:rsidRDefault="00435099" w:rsidP="00256AB0">
      <w:pPr>
        <w:widowControl w:val="0"/>
        <w:ind w:firstLine="708"/>
        <w:rPr>
          <w:rFonts w:eastAsia="Calibri"/>
          <w:color w:val="000000" w:themeColor="text1"/>
          <w:szCs w:val="28"/>
        </w:rPr>
      </w:pPr>
      <w:r w:rsidRPr="00435099">
        <w:rPr>
          <w:rFonts w:eastAsia="Calibri"/>
          <w:color w:val="000000" w:themeColor="text1"/>
          <w:szCs w:val="28"/>
        </w:rPr>
        <w:t>Проведеним дослідженням також було вивчено обсяг здійснюваної  роз’яснювальної роботи  ЛЗП-СЛ серед батьків</w:t>
      </w:r>
      <w:r w:rsidRPr="00435099">
        <w:rPr>
          <w:rFonts w:eastAsia="Calibri"/>
          <w:b/>
          <w:color w:val="000000" w:themeColor="text1"/>
          <w:szCs w:val="28"/>
        </w:rPr>
        <w:t xml:space="preserve"> </w:t>
      </w:r>
      <w:r w:rsidR="00655060">
        <w:rPr>
          <w:rFonts w:eastAsia="Calibri"/>
          <w:b/>
          <w:color w:val="000000" w:themeColor="text1"/>
          <w:szCs w:val="28"/>
        </w:rPr>
        <w:t>і</w:t>
      </w:r>
      <w:r w:rsidRPr="00435099">
        <w:rPr>
          <w:rFonts w:eastAsia="Calibri"/>
          <w:color w:val="000000" w:themeColor="text1"/>
          <w:szCs w:val="28"/>
        </w:rPr>
        <w:t>з питань збереження здоро</w:t>
      </w:r>
      <w:r w:rsidR="00655060">
        <w:rPr>
          <w:rFonts w:eastAsia="Calibri"/>
          <w:color w:val="000000" w:themeColor="text1"/>
          <w:szCs w:val="28"/>
        </w:rPr>
        <w:t xml:space="preserve">в’я дітей  та навчання батьків </w:t>
      </w:r>
      <w:r w:rsidRPr="00435099">
        <w:rPr>
          <w:rFonts w:eastAsia="Calibri"/>
          <w:color w:val="000000" w:themeColor="text1"/>
          <w:szCs w:val="28"/>
        </w:rPr>
        <w:t>тактиці при загрозливих життю дітей станах. В ході дослідження було встановлено, що серед всіх респондентів, які прийняли участь у опитуванні, тільки 85 ЛЗП-СЛ (21,25±2,0%) організували  роботу школи  відповідального батьківства, заняття в даній школі щодо навчання  батьків  тактиці дій при загрозливих життю дітей станах проводили 63 ЛЗП-СЛ (15,75±1,8%), що є вкрай незадовільним показником і не забезпечує батьків необхідними знаннями по збереженню життя дітей в критичних для них станах.</w:t>
      </w:r>
    </w:p>
    <w:p w:rsidR="007F136C" w:rsidRPr="00F34224" w:rsidRDefault="007F136C" w:rsidP="00721203">
      <w:pPr>
        <w:widowControl w:val="0"/>
        <w:jc w:val="right"/>
        <w:rPr>
          <w:rFonts w:eastAsia="Calibri"/>
          <w:i/>
          <w:color w:val="000000" w:themeColor="text1"/>
          <w:szCs w:val="28"/>
        </w:rPr>
      </w:pPr>
      <w:r w:rsidRPr="00F34224">
        <w:rPr>
          <w:rFonts w:eastAsia="Calibri"/>
          <w:i/>
          <w:color w:val="000000" w:themeColor="text1"/>
          <w:szCs w:val="28"/>
        </w:rPr>
        <w:lastRenderedPageBreak/>
        <w:t>Таблиця 6.6</w:t>
      </w:r>
    </w:p>
    <w:p w:rsidR="007F136C" w:rsidRPr="00F34224" w:rsidRDefault="007F136C" w:rsidP="00721203">
      <w:pPr>
        <w:widowControl w:val="0"/>
        <w:jc w:val="center"/>
        <w:rPr>
          <w:rFonts w:eastAsia="Calibri"/>
          <w:b/>
          <w:color w:val="000000" w:themeColor="text1"/>
          <w:szCs w:val="28"/>
        </w:rPr>
      </w:pPr>
      <w:r w:rsidRPr="00F34224">
        <w:rPr>
          <w:rFonts w:eastAsia="Calibri"/>
          <w:b/>
          <w:color w:val="000000" w:themeColor="text1"/>
          <w:szCs w:val="28"/>
        </w:rPr>
        <w:t>Джерела  та бажання отримання лікарями загальної практики-сімейними лікарями знань з  попередження передчасної смерті дітей та тактики дій при станах, які загрожують їх життю</w:t>
      </w:r>
    </w:p>
    <w:tbl>
      <w:tblPr>
        <w:tblStyle w:val="a6"/>
        <w:tblW w:w="0" w:type="auto"/>
        <w:jc w:val="center"/>
        <w:tblInd w:w="250" w:type="dxa"/>
        <w:tblLook w:val="04A0" w:firstRow="1" w:lastRow="0" w:firstColumn="1" w:lastColumn="0" w:noHBand="0" w:noVBand="1"/>
      </w:tblPr>
      <w:tblGrid>
        <w:gridCol w:w="6521"/>
        <w:gridCol w:w="1417"/>
        <w:gridCol w:w="1843"/>
      </w:tblGrid>
      <w:tr w:rsidR="004A3FDB" w:rsidRPr="00005FD0" w:rsidTr="0041250A">
        <w:trPr>
          <w:jc w:val="center"/>
        </w:trPr>
        <w:tc>
          <w:tcPr>
            <w:tcW w:w="6521" w:type="dxa"/>
            <w:tcBorders>
              <w:top w:val="single" w:sz="4" w:space="0" w:color="auto"/>
              <w:left w:val="single" w:sz="4" w:space="0" w:color="auto"/>
              <w:bottom w:val="single" w:sz="4" w:space="0" w:color="auto"/>
              <w:right w:val="single" w:sz="4" w:space="0" w:color="auto"/>
            </w:tcBorders>
            <w:hideMark/>
          </w:tcPr>
          <w:p w:rsidR="007F136C" w:rsidRPr="00005FD0" w:rsidRDefault="007F136C" w:rsidP="00005FD0">
            <w:pPr>
              <w:widowControl w:val="0"/>
              <w:spacing w:line="276" w:lineRule="auto"/>
              <w:jc w:val="center"/>
              <w:rPr>
                <w:rFonts w:ascii="Times New Roman" w:hAnsi="Times New Roman"/>
                <w:b/>
                <w:color w:val="000000" w:themeColor="text1"/>
                <w:sz w:val="28"/>
                <w:szCs w:val="28"/>
                <w:lang w:val="uk-UA"/>
              </w:rPr>
            </w:pPr>
            <w:r w:rsidRPr="00005FD0">
              <w:rPr>
                <w:rFonts w:ascii="Times New Roman" w:hAnsi="Times New Roman"/>
                <w:b/>
                <w:color w:val="000000" w:themeColor="text1"/>
                <w:sz w:val="28"/>
                <w:szCs w:val="28"/>
                <w:lang w:val="uk-UA"/>
              </w:rPr>
              <w:t>Показник</w:t>
            </w:r>
          </w:p>
        </w:tc>
        <w:tc>
          <w:tcPr>
            <w:tcW w:w="1417" w:type="dxa"/>
            <w:tcBorders>
              <w:top w:val="single" w:sz="4" w:space="0" w:color="auto"/>
              <w:left w:val="single" w:sz="4" w:space="0" w:color="auto"/>
              <w:bottom w:val="single" w:sz="4" w:space="0" w:color="auto"/>
              <w:right w:val="single" w:sz="4" w:space="0" w:color="auto"/>
            </w:tcBorders>
            <w:hideMark/>
          </w:tcPr>
          <w:p w:rsidR="007F136C" w:rsidRPr="00005FD0" w:rsidRDefault="007F136C" w:rsidP="00005FD0">
            <w:pPr>
              <w:widowControl w:val="0"/>
              <w:spacing w:line="276" w:lineRule="auto"/>
              <w:jc w:val="center"/>
              <w:rPr>
                <w:rFonts w:ascii="Times New Roman" w:hAnsi="Times New Roman"/>
                <w:b/>
                <w:color w:val="000000" w:themeColor="text1"/>
                <w:sz w:val="28"/>
                <w:szCs w:val="28"/>
                <w:lang w:val="uk-UA"/>
              </w:rPr>
            </w:pPr>
            <w:r w:rsidRPr="00005FD0">
              <w:rPr>
                <w:rFonts w:ascii="Times New Roman" w:hAnsi="Times New Roman"/>
                <w:b/>
                <w:color w:val="000000" w:themeColor="text1"/>
                <w:sz w:val="28"/>
                <w:szCs w:val="28"/>
                <w:lang w:val="uk-UA"/>
              </w:rPr>
              <w:t>Абс.</w:t>
            </w:r>
          </w:p>
        </w:tc>
        <w:tc>
          <w:tcPr>
            <w:tcW w:w="1843" w:type="dxa"/>
            <w:tcBorders>
              <w:top w:val="single" w:sz="4" w:space="0" w:color="auto"/>
              <w:left w:val="single" w:sz="4" w:space="0" w:color="auto"/>
              <w:bottom w:val="single" w:sz="4" w:space="0" w:color="auto"/>
              <w:right w:val="single" w:sz="4" w:space="0" w:color="auto"/>
            </w:tcBorders>
            <w:hideMark/>
          </w:tcPr>
          <w:p w:rsidR="007F136C" w:rsidRPr="00005FD0" w:rsidRDefault="007F136C" w:rsidP="00005FD0">
            <w:pPr>
              <w:widowControl w:val="0"/>
              <w:spacing w:line="276" w:lineRule="auto"/>
              <w:jc w:val="center"/>
              <w:rPr>
                <w:rFonts w:ascii="Times New Roman" w:hAnsi="Times New Roman"/>
                <w:b/>
                <w:color w:val="000000" w:themeColor="text1"/>
                <w:sz w:val="28"/>
                <w:szCs w:val="28"/>
                <w:lang w:val="uk-UA"/>
              </w:rPr>
            </w:pPr>
            <w:r w:rsidRPr="00005FD0">
              <w:rPr>
                <w:rFonts w:ascii="Times New Roman" w:hAnsi="Times New Roman"/>
                <w:b/>
                <w:color w:val="000000" w:themeColor="text1"/>
                <w:sz w:val="28"/>
                <w:szCs w:val="28"/>
                <w:lang w:val="uk-UA"/>
              </w:rPr>
              <w:t>Р ± m%</w:t>
            </w:r>
          </w:p>
        </w:tc>
      </w:tr>
      <w:tr w:rsidR="004A3FDB" w:rsidRPr="00005FD0" w:rsidTr="0041250A">
        <w:trPr>
          <w:jc w:val="center"/>
        </w:trPr>
        <w:tc>
          <w:tcPr>
            <w:tcW w:w="9781" w:type="dxa"/>
            <w:gridSpan w:val="3"/>
            <w:tcBorders>
              <w:top w:val="single" w:sz="4" w:space="0" w:color="auto"/>
              <w:left w:val="single" w:sz="4" w:space="0" w:color="auto"/>
              <w:bottom w:val="single" w:sz="4" w:space="0" w:color="auto"/>
              <w:right w:val="single" w:sz="4" w:space="0" w:color="auto"/>
            </w:tcBorders>
            <w:hideMark/>
          </w:tcPr>
          <w:p w:rsidR="007F136C" w:rsidRPr="00005FD0" w:rsidRDefault="007F136C" w:rsidP="00005FD0">
            <w:pPr>
              <w:widowControl w:val="0"/>
              <w:spacing w:line="276" w:lineRule="auto"/>
              <w:jc w:val="center"/>
              <w:rPr>
                <w:rFonts w:ascii="Times New Roman" w:hAnsi="Times New Roman"/>
                <w:color w:val="000000" w:themeColor="text1"/>
                <w:sz w:val="28"/>
                <w:szCs w:val="28"/>
                <w:lang w:val="uk-UA"/>
              </w:rPr>
            </w:pPr>
            <w:r w:rsidRPr="00005FD0">
              <w:rPr>
                <w:rFonts w:ascii="Times New Roman" w:hAnsi="Times New Roman"/>
                <w:color w:val="000000" w:themeColor="text1"/>
                <w:sz w:val="28"/>
                <w:szCs w:val="28"/>
                <w:lang w:val="uk-UA"/>
              </w:rPr>
              <w:t>Джерела отримання інформації</w:t>
            </w:r>
          </w:p>
        </w:tc>
      </w:tr>
      <w:tr w:rsidR="004A3FDB" w:rsidRPr="00005FD0" w:rsidTr="0041250A">
        <w:trPr>
          <w:jc w:val="center"/>
        </w:trPr>
        <w:tc>
          <w:tcPr>
            <w:tcW w:w="6521" w:type="dxa"/>
            <w:tcBorders>
              <w:top w:val="single" w:sz="4" w:space="0" w:color="auto"/>
              <w:left w:val="single" w:sz="4" w:space="0" w:color="auto"/>
              <w:bottom w:val="single" w:sz="4" w:space="0" w:color="auto"/>
              <w:right w:val="single" w:sz="4" w:space="0" w:color="auto"/>
            </w:tcBorders>
            <w:hideMark/>
          </w:tcPr>
          <w:p w:rsidR="007F136C" w:rsidRPr="00005FD0" w:rsidRDefault="007F136C" w:rsidP="00005FD0">
            <w:pPr>
              <w:widowControl w:val="0"/>
              <w:spacing w:line="276" w:lineRule="auto"/>
              <w:rPr>
                <w:rFonts w:ascii="Times New Roman" w:hAnsi="Times New Roman"/>
                <w:color w:val="000000" w:themeColor="text1"/>
                <w:sz w:val="28"/>
                <w:szCs w:val="28"/>
                <w:lang w:val="uk-UA"/>
              </w:rPr>
            </w:pPr>
            <w:r w:rsidRPr="00005FD0">
              <w:rPr>
                <w:rFonts w:ascii="Times New Roman" w:hAnsi="Times New Roman"/>
                <w:color w:val="000000" w:themeColor="text1"/>
                <w:sz w:val="28"/>
                <w:szCs w:val="28"/>
                <w:lang w:val="uk-UA"/>
              </w:rPr>
              <w:t>В процесі навчання в інтернатурі</w:t>
            </w:r>
          </w:p>
        </w:tc>
        <w:tc>
          <w:tcPr>
            <w:tcW w:w="1417" w:type="dxa"/>
            <w:tcBorders>
              <w:top w:val="single" w:sz="4" w:space="0" w:color="auto"/>
              <w:left w:val="single" w:sz="4" w:space="0" w:color="auto"/>
              <w:bottom w:val="single" w:sz="4" w:space="0" w:color="auto"/>
              <w:right w:val="single" w:sz="4" w:space="0" w:color="auto"/>
            </w:tcBorders>
            <w:hideMark/>
          </w:tcPr>
          <w:p w:rsidR="007F136C" w:rsidRPr="00005FD0" w:rsidRDefault="007F136C" w:rsidP="00005FD0">
            <w:pPr>
              <w:widowControl w:val="0"/>
              <w:spacing w:line="276" w:lineRule="auto"/>
              <w:jc w:val="center"/>
              <w:rPr>
                <w:rFonts w:ascii="Times New Roman" w:hAnsi="Times New Roman"/>
                <w:color w:val="000000" w:themeColor="text1"/>
                <w:sz w:val="28"/>
                <w:szCs w:val="28"/>
                <w:lang w:val="uk-UA"/>
              </w:rPr>
            </w:pPr>
            <w:r w:rsidRPr="00005FD0">
              <w:rPr>
                <w:rFonts w:ascii="Times New Roman" w:hAnsi="Times New Roman"/>
                <w:color w:val="000000" w:themeColor="text1"/>
                <w:sz w:val="28"/>
                <w:szCs w:val="28"/>
                <w:lang w:val="uk-UA"/>
              </w:rPr>
              <w:t>104</w:t>
            </w:r>
          </w:p>
        </w:tc>
        <w:tc>
          <w:tcPr>
            <w:tcW w:w="1843" w:type="dxa"/>
            <w:tcBorders>
              <w:top w:val="single" w:sz="4" w:space="0" w:color="auto"/>
              <w:left w:val="single" w:sz="4" w:space="0" w:color="auto"/>
              <w:bottom w:val="single" w:sz="4" w:space="0" w:color="auto"/>
              <w:right w:val="single" w:sz="4" w:space="0" w:color="auto"/>
            </w:tcBorders>
            <w:hideMark/>
          </w:tcPr>
          <w:p w:rsidR="007F136C" w:rsidRPr="00005FD0" w:rsidRDefault="007F136C" w:rsidP="00005FD0">
            <w:pPr>
              <w:widowControl w:val="0"/>
              <w:spacing w:line="276" w:lineRule="auto"/>
              <w:jc w:val="center"/>
              <w:rPr>
                <w:rFonts w:ascii="Times New Roman" w:hAnsi="Times New Roman"/>
                <w:color w:val="000000" w:themeColor="text1"/>
                <w:sz w:val="28"/>
                <w:szCs w:val="28"/>
                <w:lang w:val="uk-UA"/>
              </w:rPr>
            </w:pPr>
            <w:r w:rsidRPr="00005FD0">
              <w:rPr>
                <w:rFonts w:ascii="Times New Roman" w:hAnsi="Times New Roman"/>
                <w:color w:val="000000" w:themeColor="text1"/>
                <w:sz w:val="28"/>
                <w:szCs w:val="28"/>
                <w:lang w:val="uk-UA"/>
              </w:rPr>
              <w:t>26,00 ±2,2</w:t>
            </w:r>
          </w:p>
        </w:tc>
      </w:tr>
      <w:tr w:rsidR="004A3FDB" w:rsidRPr="00005FD0" w:rsidTr="0041250A">
        <w:trPr>
          <w:jc w:val="center"/>
        </w:trPr>
        <w:tc>
          <w:tcPr>
            <w:tcW w:w="6521" w:type="dxa"/>
            <w:tcBorders>
              <w:top w:val="single" w:sz="4" w:space="0" w:color="auto"/>
              <w:left w:val="single" w:sz="4" w:space="0" w:color="auto"/>
              <w:bottom w:val="single" w:sz="4" w:space="0" w:color="auto"/>
              <w:right w:val="single" w:sz="4" w:space="0" w:color="auto"/>
            </w:tcBorders>
            <w:hideMark/>
          </w:tcPr>
          <w:p w:rsidR="007F136C" w:rsidRPr="00005FD0" w:rsidRDefault="007F136C" w:rsidP="00005FD0">
            <w:pPr>
              <w:widowControl w:val="0"/>
              <w:spacing w:line="276" w:lineRule="auto"/>
              <w:rPr>
                <w:rFonts w:ascii="Times New Roman" w:hAnsi="Times New Roman"/>
                <w:color w:val="000000" w:themeColor="text1"/>
                <w:sz w:val="28"/>
                <w:szCs w:val="28"/>
                <w:lang w:val="uk-UA"/>
              </w:rPr>
            </w:pPr>
            <w:r w:rsidRPr="00005FD0">
              <w:rPr>
                <w:rFonts w:ascii="Times New Roman" w:hAnsi="Times New Roman"/>
                <w:color w:val="000000" w:themeColor="text1"/>
                <w:sz w:val="28"/>
                <w:szCs w:val="28"/>
                <w:lang w:val="uk-UA"/>
              </w:rPr>
              <w:t>В процесі проходження  спеціалізації</w:t>
            </w:r>
          </w:p>
        </w:tc>
        <w:tc>
          <w:tcPr>
            <w:tcW w:w="1417" w:type="dxa"/>
            <w:tcBorders>
              <w:top w:val="single" w:sz="4" w:space="0" w:color="auto"/>
              <w:left w:val="single" w:sz="4" w:space="0" w:color="auto"/>
              <w:bottom w:val="single" w:sz="4" w:space="0" w:color="auto"/>
              <w:right w:val="single" w:sz="4" w:space="0" w:color="auto"/>
            </w:tcBorders>
            <w:hideMark/>
          </w:tcPr>
          <w:p w:rsidR="007F136C" w:rsidRPr="00005FD0" w:rsidRDefault="007F136C" w:rsidP="00005FD0">
            <w:pPr>
              <w:widowControl w:val="0"/>
              <w:spacing w:line="276" w:lineRule="auto"/>
              <w:jc w:val="center"/>
              <w:rPr>
                <w:rFonts w:ascii="Times New Roman" w:hAnsi="Times New Roman"/>
                <w:color w:val="000000" w:themeColor="text1"/>
                <w:sz w:val="28"/>
                <w:szCs w:val="28"/>
                <w:lang w:val="uk-UA"/>
              </w:rPr>
            </w:pPr>
            <w:r w:rsidRPr="00005FD0">
              <w:rPr>
                <w:rFonts w:ascii="Times New Roman" w:hAnsi="Times New Roman"/>
                <w:color w:val="000000" w:themeColor="text1"/>
                <w:sz w:val="28"/>
                <w:szCs w:val="28"/>
                <w:lang w:val="uk-UA"/>
              </w:rPr>
              <w:t>209</w:t>
            </w:r>
          </w:p>
        </w:tc>
        <w:tc>
          <w:tcPr>
            <w:tcW w:w="1843" w:type="dxa"/>
            <w:tcBorders>
              <w:top w:val="single" w:sz="4" w:space="0" w:color="auto"/>
              <w:left w:val="single" w:sz="4" w:space="0" w:color="auto"/>
              <w:bottom w:val="single" w:sz="4" w:space="0" w:color="auto"/>
              <w:right w:val="single" w:sz="4" w:space="0" w:color="auto"/>
            </w:tcBorders>
            <w:hideMark/>
          </w:tcPr>
          <w:p w:rsidR="007F136C" w:rsidRPr="00005FD0" w:rsidRDefault="007F136C" w:rsidP="00005FD0">
            <w:pPr>
              <w:widowControl w:val="0"/>
              <w:spacing w:line="276" w:lineRule="auto"/>
              <w:jc w:val="center"/>
              <w:rPr>
                <w:rFonts w:ascii="Times New Roman" w:hAnsi="Times New Roman"/>
                <w:color w:val="000000" w:themeColor="text1"/>
                <w:sz w:val="28"/>
                <w:szCs w:val="28"/>
                <w:lang w:val="uk-UA"/>
              </w:rPr>
            </w:pPr>
            <w:r w:rsidRPr="00005FD0">
              <w:rPr>
                <w:rFonts w:ascii="Times New Roman" w:hAnsi="Times New Roman"/>
                <w:color w:val="000000" w:themeColor="text1"/>
                <w:sz w:val="28"/>
                <w:szCs w:val="28"/>
                <w:lang w:val="uk-UA"/>
              </w:rPr>
              <w:t>52,25 ±2,5</w:t>
            </w:r>
          </w:p>
        </w:tc>
      </w:tr>
      <w:tr w:rsidR="004A3FDB" w:rsidRPr="00005FD0" w:rsidTr="0041250A">
        <w:trPr>
          <w:jc w:val="center"/>
        </w:trPr>
        <w:tc>
          <w:tcPr>
            <w:tcW w:w="6521" w:type="dxa"/>
            <w:tcBorders>
              <w:top w:val="single" w:sz="4" w:space="0" w:color="auto"/>
              <w:left w:val="single" w:sz="4" w:space="0" w:color="auto"/>
              <w:bottom w:val="single" w:sz="4" w:space="0" w:color="auto"/>
              <w:right w:val="single" w:sz="4" w:space="0" w:color="auto"/>
            </w:tcBorders>
            <w:hideMark/>
          </w:tcPr>
          <w:p w:rsidR="007F136C" w:rsidRPr="00005FD0" w:rsidRDefault="007F136C" w:rsidP="00005FD0">
            <w:pPr>
              <w:widowControl w:val="0"/>
              <w:spacing w:line="276" w:lineRule="auto"/>
              <w:rPr>
                <w:rFonts w:ascii="Times New Roman" w:hAnsi="Times New Roman"/>
                <w:color w:val="000000" w:themeColor="text1"/>
                <w:sz w:val="28"/>
                <w:szCs w:val="28"/>
                <w:lang w:val="uk-UA"/>
              </w:rPr>
            </w:pPr>
            <w:r w:rsidRPr="00005FD0">
              <w:rPr>
                <w:rFonts w:ascii="Times New Roman" w:hAnsi="Times New Roman"/>
                <w:color w:val="000000" w:themeColor="text1"/>
                <w:sz w:val="28"/>
                <w:szCs w:val="28"/>
                <w:lang w:val="uk-UA"/>
              </w:rPr>
              <w:t>Курси тематичного удосконалення</w:t>
            </w:r>
          </w:p>
        </w:tc>
        <w:tc>
          <w:tcPr>
            <w:tcW w:w="1417" w:type="dxa"/>
            <w:tcBorders>
              <w:top w:val="single" w:sz="4" w:space="0" w:color="auto"/>
              <w:left w:val="single" w:sz="4" w:space="0" w:color="auto"/>
              <w:bottom w:val="single" w:sz="4" w:space="0" w:color="auto"/>
              <w:right w:val="single" w:sz="4" w:space="0" w:color="auto"/>
            </w:tcBorders>
            <w:hideMark/>
          </w:tcPr>
          <w:p w:rsidR="007F136C" w:rsidRPr="00005FD0" w:rsidRDefault="007F136C" w:rsidP="00005FD0">
            <w:pPr>
              <w:widowControl w:val="0"/>
              <w:spacing w:line="276" w:lineRule="auto"/>
              <w:jc w:val="center"/>
              <w:rPr>
                <w:rFonts w:ascii="Times New Roman" w:hAnsi="Times New Roman"/>
                <w:color w:val="000000" w:themeColor="text1"/>
                <w:sz w:val="28"/>
                <w:szCs w:val="28"/>
                <w:lang w:val="uk-UA"/>
              </w:rPr>
            </w:pPr>
            <w:r w:rsidRPr="00005FD0">
              <w:rPr>
                <w:rFonts w:ascii="Times New Roman" w:hAnsi="Times New Roman"/>
                <w:color w:val="000000" w:themeColor="text1"/>
                <w:sz w:val="28"/>
                <w:szCs w:val="28"/>
                <w:lang w:val="uk-UA"/>
              </w:rPr>
              <w:t>32</w:t>
            </w:r>
          </w:p>
        </w:tc>
        <w:tc>
          <w:tcPr>
            <w:tcW w:w="1843" w:type="dxa"/>
            <w:tcBorders>
              <w:top w:val="single" w:sz="4" w:space="0" w:color="auto"/>
              <w:left w:val="single" w:sz="4" w:space="0" w:color="auto"/>
              <w:bottom w:val="single" w:sz="4" w:space="0" w:color="auto"/>
              <w:right w:val="single" w:sz="4" w:space="0" w:color="auto"/>
            </w:tcBorders>
            <w:hideMark/>
          </w:tcPr>
          <w:p w:rsidR="007F136C" w:rsidRPr="00005FD0" w:rsidRDefault="007F136C" w:rsidP="00005FD0">
            <w:pPr>
              <w:widowControl w:val="0"/>
              <w:spacing w:line="276" w:lineRule="auto"/>
              <w:jc w:val="center"/>
              <w:rPr>
                <w:rFonts w:ascii="Times New Roman" w:hAnsi="Times New Roman"/>
                <w:color w:val="000000" w:themeColor="text1"/>
                <w:sz w:val="28"/>
                <w:szCs w:val="28"/>
                <w:lang w:val="uk-UA"/>
              </w:rPr>
            </w:pPr>
            <w:r w:rsidRPr="00005FD0">
              <w:rPr>
                <w:rFonts w:ascii="Times New Roman" w:hAnsi="Times New Roman"/>
                <w:color w:val="000000" w:themeColor="text1"/>
                <w:sz w:val="28"/>
                <w:szCs w:val="28"/>
                <w:lang w:val="uk-UA"/>
              </w:rPr>
              <w:t>8,00 ±1,4</w:t>
            </w:r>
          </w:p>
        </w:tc>
      </w:tr>
      <w:tr w:rsidR="004A3FDB" w:rsidRPr="00005FD0" w:rsidTr="0041250A">
        <w:trPr>
          <w:jc w:val="center"/>
        </w:trPr>
        <w:tc>
          <w:tcPr>
            <w:tcW w:w="6521" w:type="dxa"/>
            <w:tcBorders>
              <w:top w:val="single" w:sz="4" w:space="0" w:color="auto"/>
              <w:left w:val="single" w:sz="4" w:space="0" w:color="auto"/>
              <w:bottom w:val="single" w:sz="4" w:space="0" w:color="auto"/>
              <w:right w:val="single" w:sz="4" w:space="0" w:color="auto"/>
            </w:tcBorders>
            <w:hideMark/>
          </w:tcPr>
          <w:p w:rsidR="007F136C" w:rsidRPr="00005FD0" w:rsidRDefault="007F136C" w:rsidP="00005FD0">
            <w:pPr>
              <w:widowControl w:val="0"/>
              <w:spacing w:line="276" w:lineRule="auto"/>
              <w:rPr>
                <w:rFonts w:ascii="Times New Roman" w:hAnsi="Times New Roman"/>
                <w:color w:val="000000" w:themeColor="text1"/>
                <w:sz w:val="28"/>
                <w:szCs w:val="28"/>
                <w:lang w:val="uk-UA"/>
              </w:rPr>
            </w:pPr>
            <w:r w:rsidRPr="00005FD0">
              <w:rPr>
                <w:rFonts w:ascii="Times New Roman" w:hAnsi="Times New Roman"/>
                <w:color w:val="000000" w:themeColor="text1"/>
                <w:sz w:val="28"/>
                <w:szCs w:val="28"/>
                <w:lang w:val="uk-UA"/>
              </w:rPr>
              <w:t>Передатестаційні цикли підвищення кваліфікації</w:t>
            </w:r>
          </w:p>
        </w:tc>
        <w:tc>
          <w:tcPr>
            <w:tcW w:w="1417" w:type="dxa"/>
            <w:tcBorders>
              <w:top w:val="single" w:sz="4" w:space="0" w:color="auto"/>
              <w:left w:val="single" w:sz="4" w:space="0" w:color="auto"/>
              <w:bottom w:val="single" w:sz="4" w:space="0" w:color="auto"/>
              <w:right w:val="single" w:sz="4" w:space="0" w:color="auto"/>
            </w:tcBorders>
            <w:hideMark/>
          </w:tcPr>
          <w:p w:rsidR="007F136C" w:rsidRPr="00005FD0" w:rsidRDefault="007F136C" w:rsidP="00005FD0">
            <w:pPr>
              <w:widowControl w:val="0"/>
              <w:spacing w:line="276" w:lineRule="auto"/>
              <w:jc w:val="center"/>
              <w:rPr>
                <w:rFonts w:ascii="Times New Roman" w:hAnsi="Times New Roman"/>
                <w:color w:val="000000" w:themeColor="text1"/>
                <w:sz w:val="28"/>
                <w:szCs w:val="28"/>
                <w:lang w:val="uk-UA"/>
              </w:rPr>
            </w:pPr>
            <w:r w:rsidRPr="00005FD0">
              <w:rPr>
                <w:rFonts w:ascii="Times New Roman" w:hAnsi="Times New Roman"/>
                <w:color w:val="000000" w:themeColor="text1"/>
                <w:sz w:val="28"/>
                <w:szCs w:val="28"/>
                <w:lang w:val="uk-UA"/>
              </w:rPr>
              <w:t>46</w:t>
            </w:r>
          </w:p>
        </w:tc>
        <w:tc>
          <w:tcPr>
            <w:tcW w:w="1843" w:type="dxa"/>
            <w:tcBorders>
              <w:top w:val="single" w:sz="4" w:space="0" w:color="auto"/>
              <w:left w:val="single" w:sz="4" w:space="0" w:color="auto"/>
              <w:bottom w:val="single" w:sz="4" w:space="0" w:color="auto"/>
              <w:right w:val="single" w:sz="4" w:space="0" w:color="auto"/>
            </w:tcBorders>
            <w:hideMark/>
          </w:tcPr>
          <w:p w:rsidR="007F136C" w:rsidRPr="00005FD0" w:rsidRDefault="007F136C" w:rsidP="00005FD0">
            <w:pPr>
              <w:widowControl w:val="0"/>
              <w:spacing w:line="276" w:lineRule="auto"/>
              <w:jc w:val="center"/>
              <w:rPr>
                <w:rFonts w:ascii="Times New Roman" w:hAnsi="Times New Roman"/>
                <w:color w:val="000000" w:themeColor="text1"/>
                <w:sz w:val="28"/>
                <w:szCs w:val="28"/>
                <w:lang w:val="uk-UA"/>
              </w:rPr>
            </w:pPr>
            <w:r w:rsidRPr="00005FD0">
              <w:rPr>
                <w:rFonts w:ascii="Times New Roman" w:hAnsi="Times New Roman"/>
                <w:color w:val="000000" w:themeColor="text1"/>
                <w:sz w:val="28"/>
                <w:szCs w:val="28"/>
                <w:lang w:val="uk-UA"/>
              </w:rPr>
              <w:t>11,50 ±1,6</w:t>
            </w:r>
          </w:p>
        </w:tc>
      </w:tr>
      <w:tr w:rsidR="004A3FDB" w:rsidRPr="00005FD0" w:rsidTr="0041250A">
        <w:trPr>
          <w:jc w:val="center"/>
        </w:trPr>
        <w:tc>
          <w:tcPr>
            <w:tcW w:w="6521" w:type="dxa"/>
            <w:tcBorders>
              <w:top w:val="single" w:sz="4" w:space="0" w:color="auto"/>
              <w:left w:val="single" w:sz="4" w:space="0" w:color="auto"/>
              <w:bottom w:val="single" w:sz="4" w:space="0" w:color="auto"/>
              <w:right w:val="single" w:sz="4" w:space="0" w:color="auto"/>
            </w:tcBorders>
            <w:hideMark/>
          </w:tcPr>
          <w:p w:rsidR="007F136C" w:rsidRPr="00005FD0" w:rsidRDefault="007F136C" w:rsidP="00005FD0">
            <w:pPr>
              <w:widowControl w:val="0"/>
              <w:spacing w:line="276" w:lineRule="auto"/>
              <w:rPr>
                <w:rFonts w:ascii="Times New Roman" w:hAnsi="Times New Roman"/>
                <w:color w:val="000000" w:themeColor="text1"/>
                <w:sz w:val="28"/>
                <w:szCs w:val="28"/>
                <w:lang w:val="uk-UA"/>
              </w:rPr>
            </w:pPr>
            <w:r w:rsidRPr="00005FD0">
              <w:rPr>
                <w:rFonts w:ascii="Times New Roman" w:hAnsi="Times New Roman"/>
                <w:color w:val="000000" w:themeColor="text1"/>
                <w:sz w:val="28"/>
                <w:szCs w:val="28"/>
                <w:lang w:val="uk-UA"/>
              </w:rPr>
              <w:t>Стажування на робочому місці</w:t>
            </w:r>
          </w:p>
        </w:tc>
        <w:tc>
          <w:tcPr>
            <w:tcW w:w="1417" w:type="dxa"/>
            <w:tcBorders>
              <w:top w:val="single" w:sz="4" w:space="0" w:color="auto"/>
              <w:left w:val="single" w:sz="4" w:space="0" w:color="auto"/>
              <w:bottom w:val="single" w:sz="4" w:space="0" w:color="auto"/>
              <w:right w:val="single" w:sz="4" w:space="0" w:color="auto"/>
            </w:tcBorders>
            <w:hideMark/>
          </w:tcPr>
          <w:p w:rsidR="007F136C" w:rsidRPr="00005FD0" w:rsidRDefault="007F136C" w:rsidP="00005FD0">
            <w:pPr>
              <w:widowControl w:val="0"/>
              <w:spacing w:line="276" w:lineRule="auto"/>
              <w:jc w:val="center"/>
              <w:rPr>
                <w:rFonts w:ascii="Times New Roman" w:hAnsi="Times New Roman"/>
                <w:color w:val="000000" w:themeColor="text1"/>
                <w:sz w:val="28"/>
                <w:szCs w:val="28"/>
                <w:lang w:val="uk-UA"/>
              </w:rPr>
            </w:pPr>
            <w:r w:rsidRPr="00005FD0">
              <w:rPr>
                <w:rFonts w:ascii="Times New Roman" w:hAnsi="Times New Roman"/>
                <w:color w:val="000000" w:themeColor="text1"/>
                <w:sz w:val="28"/>
                <w:szCs w:val="28"/>
                <w:lang w:val="uk-UA"/>
              </w:rPr>
              <w:t>29</w:t>
            </w:r>
          </w:p>
        </w:tc>
        <w:tc>
          <w:tcPr>
            <w:tcW w:w="1843" w:type="dxa"/>
            <w:tcBorders>
              <w:top w:val="single" w:sz="4" w:space="0" w:color="auto"/>
              <w:left w:val="single" w:sz="4" w:space="0" w:color="auto"/>
              <w:bottom w:val="single" w:sz="4" w:space="0" w:color="auto"/>
              <w:right w:val="single" w:sz="4" w:space="0" w:color="auto"/>
            </w:tcBorders>
            <w:hideMark/>
          </w:tcPr>
          <w:p w:rsidR="007F136C" w:rsidRPr="00005FD0" w:rsidRDefault="007F136C" w:rsidP="00005FD0">
            <w:pPr>
              <w:widowControl w:val="0"/>
              <w:spacing w:line="276" w:lineRule="auto"/>
              <w:jc w:val="center"/>
              <w:rPr>
                <w:rFonts w:ascii="Times New Roman" w:hAnsi="Times New Roman"/>
                <w:color w:val="000000" w:themeColor="text1"/>
                <w:sz w:val="28"/>
                <w:szCs w:val="28"/>
                <w:lang w:val="uk-UA"/>
              </w:rPr>
            </w:pPr>
            <w:r w:rsidRPr="00005FD0">
              <w:rPr>
                <w:rFonts w:ascii="Times New Roman" w:hAnsi="Times New Roman"/>
                <w:color w:val="000000" w:themeColor="text1"/>
                <w:sz w:val="28"/>
                <w:szCs w:val="28"/>
                <w:lang w:val="uk-UA"/>
              </w:rPr>
              <w:t>7,25 ±1,3</w:t>
            </w:r>
          </w:p>
        </w:tc>
      </w:tr>
      <w:tr w:rsidR="004A3FDB" w:rsidRPr="00005FD0" w:rsidTr="0041250A">
        <w:trPr>
          <w:jc w:val="center"/>
        </w:trPr>
        <w:tc>
          <w:tcPr>
            <w:tcW w:w="6521" w:type="dxa"/>
            <w:tcBorders>
              <w:top w:val="single" w:sz="4" w:space="0" w:color="auto"/>
              <w:left w:val="single" w:sz="4" w:space="0" w:color="auto"/>
              <w:bottom w:val="single" w:sz="4" w:space="0" w:color="auto"/>
              <w:right w:val="single" w:sz="4" w:space="0" w:color="auto"/>
            </w:tcBorders>
            <w:hideMark/>
          </w:tcPr>
          <w:p w:rsidR="007F136C" w:rsidRPr="00005FD0" w:rsidRDefault="007F136C" w:rsidP="00005FD0">
            <w:pPr>
              <w:widowControl w:val="0"/>
              <w:spacing w:line="276" w:lineRule="auto"/>
              <w:rPr>
                <w:rFonts w:ascii="Times New Roman" w:hAnsi="Times New Roman"/>
                <w:color w:val="000000" w:themeColor="text1"/>
                <w:sz w:val="28"/>
                <w:szCs w:val="28"/>
                <w:lang w:val="uk-UA"/>
              </w:rPr>
            </w:pPr>
            <w:r w:rsidRPr="00005FD0">
              <w:rPr>
                <w:rFonts w:ascii="Times New Roman" w:hAnsi="Times New Roman"/>
                <w:color w:val="000000" w:themeColor="text1"/>
                <w:sz w:val="28"/>
                <w:szCs w:val="28"/>
                <w:lang w:val="uk-UA"/>
              </w:rPr>
              <w:t>Спеціальні тренінги</w:t>
            </w:r>
          </w:p>
        </w:tc>
        <w:tc>
          <w:tcPr>
            <w:tcW w:w="1417" w:type="dxa"/>
            <w:tcBorders>
              <w:top w:val="single" w:sz="4" w:space="0" w:color="auto"/>
              <w:left w:val="single" w:sz="4" w:space="0" w:color="auto"/>
              <w:bottom w:val="single" w:sz="4" w:space="0" w:color="auto"/>
              <w:right w:val="single" w:sz="4" w:space="0" w:color="auto"/>
            </w:tcBorders>
            <w:hideMark/>
          </w:tcPr>
          <w:p w:rsidR="007F136C" w:rsidRPr="00005FD0" w:rsidRDefault="007F136C" w:rsidP="00005FD0">
            <w:pPr>
              <w:widowControl w:val="0"/>
              <w:spacing w:line="276" w:lineRule="auto"/>
              <w:jc w:val="center"/>
              <w:rPr>
                <w:rFonts w:ascii="Times New Roman" w:hAnsi="Times New Roman"/>
                <w:color w:val="000000" w:themeColor="text1"/>
                <w:sz w:val="28"/>
                <w:szCs w:val="28"/>
                <w:lang w:val="uk-UA"/>
              </w:rPr>
            </w:pPr>
            <w:r w:rsidRPr="00005FD0">
              <w:rPr>
                <w:rFonts w:ascii="Times New Roman" w:hAnsi="Times New Roman"/>
                <w:color w:val="000000" w:themeColor="text1"/>
                <w:sz w:val="28"/>
                <w:szCs w:val="28"/>
                <w:lang w:val="uk-UA"/>
              </w:rPr>
              <w:t>47</w:t>
            </w:r>
          </w:p>
        </w:tc>
        <w:tc>
          <w:tcPr>
            <w:tcW w:w="1843" w:type="dxa"/>
            <w:tcBorders>
              <w:top w:val="single" w:sz="4" w:space="0" w:color="auto"/>
              <w:left w:val="single" w:sz="4" w:space="0" w:color="auto"/>
              <w:bottom w:val="single" w:sz="4" w:space="0" w:color="auto"/>
              <w:right w:val="single" w:sz="4" w:space="0" w:color="auto"/>
            </w:tcBorders>
            <w:hideMark/>
          </w:tcPr>
          <w:p w:rsidR="007F136C" w:rsidRPr="00005FD0" w:rsidRDefault="007F136C" w:rsidP="00005FD0">
            <w:pPr>
              <w:widowControl w:val="0"/>
              <w:spacing w:line="276" w:lineRule="auto"/>
              <w:jc w:val="center"/>
              <w:rPr>
                <w:rFonts w:ascii="Times New Roman" w:hAnsi="Times New Roman"/>
                <w:color w:val="000000" w:themeColor="text1"/>
                <w:sz w:val="28"/>
                <w:szCs w:val="28"/>
                <w:lang w:val="uk-UA"/>
              </w:rPr>
            </w:pPr>
            <w:r w:rsidRPr="00005FD0">
              <w:rPr>
                <w:rFonts w:ascii="Times New Roman" w:hAnsi="Times New Roman"/>
                <w:color w:val="000000" w:themeColor="text1"/>
                <w:sz w:val="28"/>
                <w:szCs w:val="28"/>
                <w:lang w:val="uk-UA"/>
              </w:rPr>
              <w:t>11,75 ±1,6</w:t>
            </w:r>
          </w:p>
        </w:tc>
      </w:tr>
      <w:tr w:rsidR="004A3FDB" w:rsidRPr="00005FD0" w:rsidTr="0041250A">
        <w:trPr>
          <w:jc w:val="center"/>
        </w:trPr>
        <w:tc>
          <w:tcPr>
            <w:tcW w:w="6521" w:type="dxa"/>
            <w:tcBorders>
              <w:top w:val="single" w:sz="4" w:space="0" w:color="auto"/>
              <w:left w:val="single" w:sz="4" w:space="0" w:color="auto"/>
              <w:bottom w:val="single" w:sz="4" w:space="0" w:color="auto"/>
              <w:right w:val="single" w:sz="4" w:space="0" w:color="auto"/>
            </w:tcBorders>
            <w:hideMark/>
          </w:tcPr>
          <w:p w:rsidR="007F136C" w:rsidRPr="00005FD0" w:rsidRDefault="007F136C" w:rsidP="00005FD0">
            <w:pPr>
              <w:widowControl w:val="0"/>
              <w:spacing w:line="276" w:lineRule="auto"/>
              <w:rPr>
                <w:rFonts w:ascii="Times New Roman" w:hAnsi="Times New Roman"/>
                <w:color w:val="000000" w:themeColor="text1"/>
                <w:sz w:val="28"/>
                <w:szCs w:val="28"/>
                <w:lang w:val="uk-UA"/>
              </w:rPr>
            </w:pPr>
            <w:r w:rsidRPr="00005FD0">
              <w:rPr>
                <w:rFonts w:ascii="Times New Roman" w:hAnsi="Times New Roman"/>
                <w:color w:val="000000" w:themeColor="text1"/>
                <w:sz w:val="28"/>
                <w:szCs w:val="28"/>
                <w:lang w:val="uk-UA"/>
              </w:rPr>
              <w:t>Наукові конференції</w:t>
            </w:r>
          </w:p>
        </w:tc>
        <w:tc>
          <w:tcPr>
            <w:tcW w:w="1417" w:type="dxa"/>
            <w:tcBorders>
              <w:top w:val="single" w:sz="4" w:space="0" w:color="auto"/>
              <w:left w:val="single" w:sz="4" w:space="0" w:color="auto"/>
              <w:bottom w:val="single" w:sz="4" w:space="0" w:color="auto"/>
              <w:right w:val="single" w:sz="4" w:space="0" w:color="auto"/>
            </w:tcBorders>
            <w:hideMark/>
          </w:tcPr>
          <w:p w:rsidR="007F136C" w:rsidRPr="00005FD0" w:rsidRDefault="007F136C" w:rsidP="00005FD0">
            <w:pPr>
              <w:widowControl w:val="0"/>
              <w:spacing w:line="276" w:lineRule="auto"/>
              <w:jc w:val="center"/>
              <w:rPr>
                <w:rFonts w:ascii="Times New Roman" w:hAnsi="Times New Roman"/>
                <w:color w:val="000000" w:themeColor="text1"/>
                <w:sz w:val="28"/>
                <w:szCs w:val="28"/>
                <w:lang w:val="uk-UA"/>
              </w:rPr>
            </w:pPr>
            <w:r w:rsidRPr="00005FD0">
              <w:rPr>
                <w:rFonts w:ascii="Times New Roman" w:hAnsi="Times New Roman"/>
                <w:color w:val="000000" w:themeColor="text1"/>
                <w:sz w:val="28"/>
                <w:szCs w:val="28"/>
                <w:lang w:val="uk-UA"/>
              </w:rPr>
              <w:t>9</w:t>
            </w:r>
          </w:p>
        </w:tc>
        <w:tc>
          <w:tcPr>
            <w:tcW w:w="1843" w:type="dxa"/>
            <w:tcBorders>
              <w:top w:val="single" w:sz="4" w:space="0" w:color="auto"/>
              <w:left w:val="single" w:sz="4" w:space="0" w:color="auto"/>
              <w:bottom w:val="single" w:sz="4" w:space="0" w:color="auto"/>
              <w:right w:val="single" w:sz="4" w:space="0" w:color="auto"/>
            </w:tcBorders>
            <w:hideMark/>
          </w:tcPr>
          <w:p w:rsidR="007F136C" w:rsidRPr="00005FD0" w:rsidRDefault="007F136C" w:rsidP="00005FD0">
            <w:pPr>
              <w:widowControl w:val="0"/>
              <w:spacing w:line="276" w:lineRule="auto"/>
              <w:jc w:val="center"/>
              <w:rPr>
                <w:rFonts w:ascii="Times New Roman" w:hAnsi="Times New Roman"/>
                <w:color w:val="000000" w:themeColor="text1"/>
                <w:sz w:val="28"/>
                <w:szCs w:val="28"/>
                <w:lang w:val="uk-UA"/>
              </w:rPr>
            </w:pPr>
            <w:r w:rsidRPr="00005FD0">
              <w:rPr>
                <w:rFonts w:ascii="Times New Roman" w:hAnsi="Times New Roman"/>
                <w:color w:val="000000" w:themeColor="text1"/>
                <w:sz w:val="28"/>
                <w:szCs w:val="28"/>
                <w:lang w:val="uk-UA"/>
              </w:rPr>
              <w:t>2,25 ±0,7</w:t>
            </w:r>
          </w:p>
        </w:tc>
      </w:tr>
      <w:tr w:rsidR="004A3FDB" w:rsidRPr="00005FD0" w:rsidTr="0041250A">
        <w:trPr>
          <w:jc w:val="center"/>
        </w:trPr>
        <w:tc>
          <w:tcPr>
            <w:tcW w:w="6521" w:type="dxa"/>
            <w:tcBorders>
              <w:top w:val="single" w:sz="4" w:space="0" w:color="auto"/>
              <w:left w:val="single" w:sz="4" w:space="0" w:color="auto"/>
              <w:bottom w:val="single" w:sz="4" w:space="0" w:color="auto"/>
              <w:right w:val="single" w:sz="4" w:space="0" w:color="auto"/>
            </w:tcBorders>
            <w:hideMark/>
          </w:tcPr>
          <w:p w:rsidR="007F136C" w:rsidRPr="00005FD0" w:rsidRDefault="007F136C" w:rsidP="00005FD0">
            <w:pPr>
              <w:widowControl w:val="0"/>
              <w:spacing w:line="276" w:lineRule="auto"/>
              <w:rPr>
                <w:rFonts w:ascii="Times New Roman" w:hAnsi="Times New Roman"/>
                <w:color w:val="000000" w:themeColor="text1"/>
                <w:sz w:val="28"/>
                <w:szCs w:val="28"/>
                <w:lang w:val="uk-UA"/>
              </w:rPr>
            </w:pPr>
            <w:r w:rsidRPr="00005FD0">
              <w:rPr>
                <w:rFonts w:ascii="Times New Roman" w:hAnsi="Times New Roman"/>
                <w:color w:val="000000" w:themeColor="text1"/>
                <w:sz w:val="28"/>
                <w:szCs w:val="28"/>
                <w:lang w:val="uk-UA"/>
              </w:rPr>
              <w:t>Навчальна література</w:t>
            </w:r>
          </w:p>
        </w:tc>
        <w:tc>
          <w:tcPr>
            <w:tcW w:w="1417" w:type="dxa"/>
            <w:tcBorders>
              <w:top w:val="single" w:sz="4" w:space="0" w:color="auto"/>
              <w:left w:val="single" w:sz="4" w:space="0" w:color="auto"/>
              <w:bottom w:val="single" w:sz="4" w:space="0" w:color="auto"/>
              <w:right w:val="single" w:sz="4" w:space="0" w:color="auto"/>
            </w:tcBorders>
            <w:hideMark/>
          </w:tcPr>
          <w:p w:rsidR="007F136C" w:rsidRPr="00005FD0" w:rsidRDefault="007F136C" w:rsidP="00005FD0">
            <w:pPr>
              <w:widowControl w:val="0"/>
              <w:spacing w:line="276" w:lineRule="auto"/>
              <w:jc w:val="center"/>
              <w:rPr>
                <w:rFonts w:ascii="Times New Roman" w:hAnsi="Times New Roman"/>
                <w:color w:val="000000" w:themeColor="text1"/>
                <w:sz w:val="28"/>
                <w:szCs w:val="28"/>
                <w:lang w:val="uk-UA"/>
              </w:rPr>
            </w:pPr>
            <w:r w:rsidRPr="00005FD0">
              <w:rPr>
                <w:rFonts w:ascii="Times New Roman" w:hAnsi="Times New Roman"/>
                <w:color w:val="000000" w:themeColor="text1"/>
                <w:sz w:val="28"/>
                <w:szCs w:val="28"/>
                <w:lang w:val="uk-UA"/>
              </w:rPr>
              <w:t>211</w:t>
            </w:r>
          </w:p>
        </w:tc>
        <w:tc>
          <w:tcPr>
            <w:tcW w:w="1843" w:type="dxa"/>
            <w:tcBorders>
              <w:top w:val="single" w:sz="4" w:space="0" w:color="auto"/>
              <w:left w:val="single" w:sz="4" w:space="0" w:color="auto"/>
              <w:bottom w:val="single" w:sz="4" w:space="0" w:color="auto"/>
              <w:right w:val="single" w:sz="4" w:space="0" w:color="auto"/>
            </w:tcBorders>
            <w:hideMark/>
          </w:tcPr>
          <w:p w:rsidR="007F136C" w:rsidRPr="00005FD0" w:rsidRDefault="007F136C" w:rsidP="00005FD0">
            <w:pPr>
              <w:widowControl w:val="0"/>
              <w:spacing w:line="276" w:lineRule="auto"/>
              <w:jc w:val="center"/>
              <w:rPr>
                <w:rFonts w:ascii="Times New Roman" w:hAnsi="Times New Roman"/>
                <w:color w:val="000000" w:themeColor="text1"/>
                <w:sz w:val="28"/>
                <w:szCs w:val="28"/>
                <w:lang w:val="uk-UA"/>
              </w:rPr>
            </w:pPr>
            <w:r w:rsidRPr="00005FD0">
              <w:rPr>
                <w:rFonts w:ascii="Times New Roman" w:hAnsi="Times New Roman"/>
                <w:color w:val="000000" w:themeColor="text1"/>
                <w:sz w:val="28"/>
                <w:szCs w:val="28"/>
                <w:lang w:val="uk-UA"/>
              </w:rPr>
              <w:t>52,75 ±2,5</w:t>
            </w:r>
          </w:p>
        </w:tc>
      </w:tr>
      <w:tr w:rsidR="004A3FDB" w:rsidRPr="00005FD0" w:rsidTr="0041250A">
        <w:trPr>
          <w:jc w:val="center"/>
        </w:trPr>
        <w:tc>
          <w:tcPr>
            <w:tcW w:w="6521" w:type="dxa"/>
            <w:tcBorders>
              <w:top w:val="single" w:sz="4" w:space="0" w:color="auto"/>
              <w:left w:val="single" w:sz="4" w:space="0" w:color="auto"/>
              <w:bottom w:val="single" w:sz="4" w:space="0" w:color="auto"/>
              <w:right w:val="single" w:sz="4" w:space="0" w:color="auto"/>
            </w:tcBorders>
            <w:hideMark/>
          </w:tcPr>
          <w:p w:rsidR="007F136C" w:rsidRPr="00005FD0" w:rsidRDefault="007F136C" w:rsidP="00005FD0">
            <w:pPr>
              <w:widowControl w:val="0"/>
              <w:spacing w:line="276" w:lineRule="auto"/>
              <w:rPr>
                <w:rFonts w:ascii="Times New Roman" w:hAnsi="Times New Roman"/>
                <w:color w:val="000000" w:themeColor="text1"/>
                <w:sz w:val="28"/>
                <w:szCs w:val="28"/>
                <w:lang w:val="uk-UA"/>
              </w:rPr>
            </w:pPr>
            <w:r w:rsidRPr="00005FD0">
              <w:rPr>
                <w:rFonts w:ascii="Times New Roman" w:hAnsi="Times New Roman"/>
                <w:color w:val="000000" w:themeColor="text1"/>
                <w:sz w:val="28"/>
                <w:szCs w:val="28"/>
                <w:lang w:val="uk-UA"/>
              </w:rPr>
              <w:t>Наукова література</w:t>
            </w:r>
          </w:p>
        </w:tc>
        <w:tc>
          <w:tcPr>
            <w:tcW w:w="1417" w:type="dxa"/>
            <w:tcBorders>
              <w:top w:val="single" w:sz="4" w:space="0" w:color="auto"/>
              <w:left w:val="single" w:sz="4" w:space="0" w:color="auto"/>
              <w:bottom w:val="single" w:sz="4" w:space="0" w:color="auto"/>
              <w:right w:val="single" w:sz="4" w:space="0" w:color="auto"/>
            </w:tcBorders>
            <w:hideMark/>
          </w:tcPr>
          <w:p w:rsidR="007F136C" w:rsidRPr="00005FD0" w:rsidRDefault="007F136C" w:rsidP="00005FD0">
            <w:pPr>
              <w:widowControl w:val="0"/>
              <w:spacing w:line="276" w:lineRule="auto"/>
              <w:jc w:val="center"/>
              <w:rPr>
                <w:rFonts w:ascii="Times New Roman" w:hAnsi="Times New Roman"/>
                <w:color w:val="000000" w:themeColor="text1"/>
                <w:sz w:val="28"/>
                <w:szCs w:val="28"/>
                <w:lang w:val="uk-UA"/>
              </w:rPr>
            </w:pPr>
            <w:r w:rsidRPr="00005FD0">
              <w:rPr>
                <w:rFonts w:ascii="Times New Roman" w:hAnsi="Times New Roman"/>
                <w:color w:val="000000" w:themeColor="text1"/>
                <w:sz w:val="28"/>
                <w:szCs w:val="28"/>
                <w:lang w:val="uk-UA"/>
              </w:rPr>
              <w:t>72</w:t>
            </w:r>
          </w:p>
        </w:tc>
        <w:tc>
          <w:tcPr>
            <w:tcW w:w="1843" w:type="dxa"/>
            <w:tcBorders>
              <w:top w:val="single" w:sz="4" w:space="0" w:color="auto"/>
              <w:left w:val="single" w:sz="4" w:space="0" w:color="auto"/>
              <w:bottom w:val="single" w:sz="4" w:space="0" w:color="auto"/>
              <w:right w:val="single" w:sz="4" w:space="0" w:color="auto"/>
            </w:tcBorders>
            <w:hideMark/>
          </w:tcPr>
          <w:p w:rsidR="007F136C" w:rsidRPr="00005FD0" w:rsidRDefault="007F136C" w:rsidP="00005FD0">
            <w:pPr>
              <w:widowControl w:val="0"/>
              <w:spacing w:line="276" w:lineRule="auto"/>
              <w:jc w:val="center"/>
              <w:rPr>
                <w:rFonts w:ascii="Times New Roman" w:hAnsi="Times New Roman"/>
                <w:color w:val="000000" w:themeColor="text1"/>
                <w:sz w:val="28"/>
                <w:szCs w:val="28"/>
                <w:lang w:val="uk-UA"/>
              </w:rPr>
            </w:pPr>
            <w:r w:rsidRPr="00005FD0">
              <w:rPr>
                <w:rFonts w:ascii="Times New Roman" w:hAnsi="Times New Roman"/>
                <w:color w:val="000000" w:themeColor="text1"/>
                <w:sz w:val="28"/>
                <w:szCs w:val="28"/>
                <w:lang w:val="uk-UA"/>
              </w:rPr>
              <w:t>18,00 ±1,9</w:t>
            </w:r>
          </w:p>
        </w:tc>
      </w:tr>
      <w:tr w:rsidR="004A3FDB" w:rsidRPr="00005FD0" w:rsidTr="0041250A">
        <w:trPr>
          <w:jc w:val="center"/>
        </w:trPr>
        <w:tc>
          <w:tcPr>
            <w:tcW w:w="6521" w:type="dxa"/>
            <w:tcBorders>
              <w:top w:val="single" w:sz="4" w:space="0" w:color="auto"/>
              <w:left w:val="single" w:sz="4" w:space="0" w:color="auto"/>
              <w:bottom w:val="single" w:sz="4" w:space="0" w:color="auto"/>
              <w:right w:val="single" w:sz="4" w:space="0" w:color="auto"/>
            </w:tcBorders>
            <w:hideMark/>
          </w:tcPr>
          <w:p w:rsidR="007F136C" w:rsidRPr="00005FD0" w:rsidRDefault="007F136C" w:rsidP="00005FD0">
            <w:pPr>
              <w:widowControl w:val="0"/>
              <w:spacing w:line="276" w:lineRule="auto"/>
              <w:rPr>
                <w:rFonts w:ascii="Times New Roman" w:hAnsi="Times New Roman"/>
                <w:color w:val="000000" w:themeColor="text1"/>
                <w:sz w:val="28"/>
                <w:szCs w:val="28"/>
                <w:lang w:val="uk-UA"/>
              </w:rPr>
            </w:pPr>
            <w:r w:rsidRPr="00005FD0">
              <w:rPr>
                <w:rFonts w:ascii="Times New Roman" w:hAnsi="Times New Roman"/>
                <w:color w:val="000000" w:themeColor="text1"/>
                <w:sz w:val="28"/>
                <w:szCs w:val="28"/>
                <w:lang w:val="uk-UA"/>
              </w:rPr>
              <w:t>Методична література</w:t>
            </w:r>
          </w:p>
        </w:tc>
        <w:tc>
          <w:tcPr>
            <w:tcW w:w="1417" w:type="dxa"/>
            <w:tcBorders>
              <w:top w:val="single" w:sz="4" w:space="0" w:color="auto"/>
              <w:left w:val="single" w:sz="4" w:space="0" w:color="auto"/>
              <w:bottom w:val="single" w:sz="4" w:space="0" w:color="auto"/>
              <w:right w:val="single" w:sz="4" w:space="0" w:color="auto"/>
            </w:tcBorders>
            <w:hideMark/>
          </w:tcPr>
          <w:p w:rsidR="007F136C" w:rsidRPr="00005FD0" w:rsidRDefault="007F136C" w:rsidP="00005FD0">
            <w:pPr>
              <w:widowControl w:val="0"/>
              <w:spacing w:line="276" w:lineRule="auto"/>
              <w:jc w:val="center"/>
              <w:rPr>
                <w:rFonts w:ascii="Times New Roman" w:hAnsi="Times New Roman"/>
                <w:color w:val="000000" w:themeColor="text1"/>
                <w:sz w:val="28"/>
                <w:szCs w:val="28"/>
                <w:lang w:val="uk-UA"/>
              </w:rPr>
            </w:pPr>
            <w:r w:rsidRPr="00005FD0">
              <w:rPr>
                <w:rFonts w:ascii="Times New Roman" w:hAnsi="Times New Roman"/>
                <w:color w:val="000000" w:themeColor="text1"/>
                <w:sz w:val="28"/>
                <w:szCs w:val="28"/>
                <w:lang w:val="uk-UA"/>
              </w:rPr>
              <w:t>183</w:t>
            </w:r>
          </w:p>
        </w:tc>
        <w:tc>
          <w:tcPr>
            <w:tcW w:w="1843" w:type="dxa"/>
            <w:tcBorders>
              <w:top w:val="single" w:sz="4" w:space="0" w:color="auto"/>
              <w:left w:val="single" w:sz="4" w:space="0" w:color="auto"/>
              <w:bottom w:val="single" w:sz="4" w:space="0" w:color="auto"/>
              <w:right w:val="single" w:sz="4" w:space="0" w:color="auto"/>
            </w:tcBorders>
            <w:hideMark/>
          </w:tcPr>
          <w:p w:rsidR="007F136C" w:rsidRPr="00005FD0" w:rsidRDefault="007F136C" w:rsidP="00005FD0">
            <w:pPr>
              <w:widowControl w:val="0"/>
              <w:spacing w:line="276" w:lineRule="auto"/>
              <w:jc w:val="center"/>
              <w:rPr>
                <w:rFonts w:ascii="Times New Roman" w:hAnsi="Times New Roman"/>
                <w:color w:val="000000" w:themeColor="text1"/>
                <w:sz w:val="28"/>
                <w:szCs w:val="28"/>
                <w:lang w:val="uk-UA"/>
              </w:rPr>
            </w:pPr>
            <w:r w:rsidRPr="00005FD0">
              <w:rPr>
                <w:rFonts w:ascii="Times New Roman" w:hAnsi="Times New Roman"/>
                <w:color w:val="000000" w:themeColor="text1"/>
                <w:sz w:val="28"/>
                <w:szCs w:val="28"/>
                <w:lang w:val="uk-UA"/>
              </w:rPr>
              <w:t>45,75 ±2,5</w:t>
            </w:r>
          </w:p>
        </w:tc>
      </w:tr>
      <w:tr w:rsidR="004A3FDB" w:rsidRPr="00005FD0" w:rsidTr="0041250A">
        <w:trPr>
          <w:jc w:val="center"/>
        </w:trPr>
        <w:tc>
          <w:tcPr>
            <w:tcW w:w="9781" w:type="dxa"/>
            <w:gridSpan w:val="3"/>
            <w:tcBorders>
              <w:top w:val="single" w:sz="4" w:space="0" w:color="auto"/>
              <w:left w:val="single" w:sz="4" w:space="0" w:color="auto"/>
              <w:bottom w:val="single" w:sz="4" w:space="0" w:color="auto"/>
              <w:right w:val="single" w:sz="4" w:space="0" w:color="auto"/>
            </w:tcBorders>
            <w:hideMark/>
          </w:tcPr>
          <w:p w:rsidR="007F136C" w:rsidRPr="00005FD0" w:rsidRDefault="007F136C" w:rsidP="00005FD0">
            <w:pPr>
              <w:widowControl w:val="0"/>
              <w:spacing w:line="276" w:lineRule="auto"/>
              <w:jc w:val="center"/>
              <w:rPr>
                <w:rFonts w:ascii="Times New Roman" w:hAnsi="Times New Roman"/>
                <w:color w:val="000000" w:themeColor="text1"/>
                <w:sz w:val="28"/>
                <w:szCs w:val="28"/>
                <w:lang w:val="uk-UA"/>
              </w:rPr>
            </w:pPr>
            <w:r w:rsidRPr="00005FD0">
              <w:rPr>
                <w:rFonts w:ascii="Times New Roman" w:hAnsi="Times New Roman"/>
                <w:color w:val="000000" w:themeColor="text1"/>
                <w:sz w:val="28"/>
                <w:szCs w:val="28"/>
                <w:lang w:val="uk-UA"/>
              </w:rPr>
              <w:t>Бажання  проходити навчання</w:t>
            </w:r>
          </w:p>
        </w:tc>
      </w:tr>
      <w:tr w:rsidR="004A3FDB" w:rsidRPr="00005FD0" w:rsidTr="0041250A">
        <w:trPr>
          <w:jc w:val="center"/>
        </w:trPr>
        <w:tc>
          <w:tcPr>
            <w:tcW w:w="6521" w:type="dxa"/>
            <w:tcBorders>
              <w:top w:val="single" w:sz="4" w:space="0" w:color="auto"/>
              <w:left w:val="single" w:sz="4" w:space="0" w:color="auto"/>
              <w:bottom w:val="single" w:sz="4" w:space="0" w:color="auto"/>
              <w:right w:val="single" w:sz="4" w:space="0" w:color="auto"/>
            </w:tcBorders>
            <w:hideMark/>
          </w:tcPr>
          <w:p w:rsidR="007F136C" w:rsidRPr="00005FD0" w:rsidRDefault="007F136C" w:rsidP="00005FD0">
            <w:pPr>
              <w:widowControl w:val="0"/>
              <w:spacing w:line="276" w:lineRule="auto"/>
              <w:rPr>
                <w:rFonts w:ascii="Times New Roman" w:hAnsi="Times New Roman"/>
                <w:color w:val="000000" w:themeColor="text1"/>
                <w:sz w:val="28"/>
                <w:szCs w:val="28"/>
                <w:lang w:val="uk-UA"/>
              </w:rPr>
            </w:pPr>
            <w:r w:rsidRPr="00005FD0">
              <w:rPr>
                <w:rFonts w:ascii="Times New Roman" w:hAnsi="Times New Roman"/>
                <w:color w:val="000000" w:themeColor="text1"/>
                <w:sz w:val="28"/>
                <w:szCs w:val="28"/>
                <w:lang w:val="uk-UA"/>
              </w:rPr>
              <w:t>Бажає навчатися</w:t>
            </w:r>
          </w:p>
        </w:tc>
        <w:tc>
          <w:tcPr>
            <w:tcW w:w="1417" w:type="dxa"/>
            <w:tcBorders>
              <w:top w:val="single" w:sz="4" w:space="0" w:color="auto"/>
              <w:left w:val="single" w:sz="4" w:space="0" w:color="auto"/>
              <w:bottom w:val="single" w:sz="4" w:space="0" w:color="auto"/>
              <w:right w:val="single" w:sz="4" w:space="0" w:color="auto"/>
            </w:tcBorders>
            <w:hideMark/>
          </w:tcPr>
          <w:p w:rsidR="007F136C" w:rsidRPr="00005FD0" w:rsidRDefault="007F136C" w:rsidP="00005FD0">
            <w:pPr>
              <w:widowControl w:val="0"/>
              <w:spacing w:line="276" w:lineRule="auto"/>
              <w:jc w:val="center"/>
              <w:rPr>
                <w:rFonts w:ascii="Times New Roman" w:hAnsi="Times New Roman"/>
                <w:color w:val="000000" w:themeColor="text1"/>
                <w:sz w:val="28"/>
                <w:szCs w:val="28"/>
                <w:lang w:val="uk-UA"/>
              </w:rPr>
            </w:pPr>
            <w:r w:rsidRPr="00005FD0">
              <w:rPr>
                <w:rFonts w:ascii="Times New Roman" w:hAnsi="Times New Roman"/>
                <w:color w:val="000000" w:themeColor="text1"/>
                <w:sz w:val="28"/>
                <w:szCs w:val="28"/>
                <w:lang w:val="uk-UA"/>
              </w:rPr>
              <w:t>358</w:t>
            </w:r>
          </w:p>
        </w:tc>
        <w:tc>
          <w:tcPr>
            <w:tcW w:w="1843" w:type="dxa"/>
            <w:tcBorders>
              <w:top w:val="single" w:sz="4" w:space="0" w:color="auto"/>
              <w:left w:val="single" w:sz="4" w:space="0" w:color="auto"/>
              <w:bottom w:val="single" w:sz="4" w:space="0" w:color="auto"/>
              <w:right w:val="single" w:sz="4" w:space="0" w:color="auto"/>
            </w:tcBorders>
            <w:hideMark/>
          </w:tcPr>
          <w:p w:rsidR="007F136C" w:rsidRPr="00005FD0" w:rsidRDefault="007F136C" w:rsidP="00005FD0">
            <w:pPr>
              <w:widowControl w:val="0"/>
              <w:spacing w:line="276" w:lineRule="auto"/>
              <w:jc w:val="center"/>
              <w:rPr>
                <w:rFonts w:ascii="Times New Roman" w:hAnsi="Times New Roman"/>
                <w:color w:val="000000" w:themeColor="text1"/>
                <w:sz w:val="28"/>
                <w:szCs w:val="28"/>
                <w:lang w:val="uk-UA"/>
              </w:rPr>
            </w:pPr>
            <w:r w:rsidRPr="00005FD0">
              <w:rPr>
                <w:rFonts w:ascii="Times New Roman" w:hAnsi="Times New Roman"/>
                <w:color w:val="000000" w:themeColor="text1"/>
                <w:sz w:val="28"/>
                <w:szCs w:val="28"/>
                <w:lang w:val="uk-UA"/>
              </w:rPr>
              <w:t>89,50 ±1,5</w:t>
            </w:r>
          </w:p>
        </w:tc>
      </w:tr>
      <w:tr w:rsidR="004A3FDB" w:rsidRPr="00005FD0" w:rsidTr="0041250A">
        <w:trPr>
          <w:jc w:val="center"/>
        </w:trPr>
        <w:tc>
          <w:tcPr>
            <w:tcW w:w="6521" w:type="dxa"/>
            <w:tcBorders>
              <w:top w:val="single" w:sz="4" w:space="0" w:color="auto"/>
              <w:left w:val="single" w:sz="4" w:space="0" w:color="auto"/>
              <w:bottom w:val="single" w:sz="4" w:space="0" w:color="auto"/>
              <w:right w:val="single" w:sz="4" w:space="0" w:color="auto"/>
            </w:tcBorders>
            <w:hideMark/>
          </w:tcPr>
          <w:p w:rsidR="007F136C" w:rsidRPr="00005FD0" w:rsidRDefault="007F136C" w:rsidP="00005FD0">
            <w:pPr>
              <w:widowControl w:val="0"/>
              <w:spacing w:line="276" w:lineRule="auto"/>
              <w:rPr>
                <w:rFonts w:ascii="Times New Roman" w:hAnsi="Times New Roman"/>
                <w:color w:val="000000" w:themeColor="text1"/>
                <w:sz w:val="28"/>
                <w:szCs w:val="28"/>
                <w:lang w:val="uk-UA"/>
              </w:rPr>
            </w:pPr>
            <w:r w:rsidRPr="00005FD0">
              <w:rPr>
                <w:rFonts w:ascii="Times New Roman" w:hAnsi="Times New Roman"/>
                <w:color w:val="000000" w:themeColor="text1"/>
                <w:sz w:val="28"/>
                <w:szCs w:val="28"/>
                <w:lang w:val="uk-UA"/>
              </w:rPr>
              <w:t>Не бажає навчатися</w:t>
            </w:r>
          </w:p>
        </w:tc>
        <w:tc>
          <w:tcPr>
            <w:tcW w:w="1417" w:type="dxa"/>
            <w:tcBorders>
              <w:top w:val="single" w:sz="4" w:space="0" w:color="auto"/>
              <w:left w:val="single" w:sz="4" w:space="0" w:color="auto"/>
              <w:bottom w:val="single" w:sz="4" w:space="0" w:color="auto"/>
              <w:right w:val="single" w:sz="4" w:space="0" w:color="auto"/>
            </w:tcBorders>
            <w:hideMark/>
          </w:tcPr>
          <w:p w:rsidR="007F136C" w:rsidRPr="00005FD0" w:rsidRDefault="007F136C" w:rsidP="00005FD0">
            <w:pPr>
              <w:widowControl w:val="0"/>
              <w:spacing w:line="276" w:lineRule="auto"/>
              <w:jc w:val="center"/>
              <w:rPr>
                <w:rFonts w:ascii="Times New Roman" w:hAnsi="Times New Roman"/>
                <w:color w:val="000000" w:themeColor="text1"/>
                <w:sz w:val="28"/>
                <w:szCs w:val="28"/>
                <w:lang w:val="uk-UA"/>
              </w:rPr>
            </w:pPr>
            <w:r w:rsidRPr="00005FD0">
              <w:rPr>
                <w:rFonts w:ascii="Times New Roman" w:hAnsi="Times New Roman"/>
                <w:color w:val="000000" w:themeColor="text1"/>
                <w:sz w:val="28"/>
                <w:szCs w:val="28"/>
                <w:lang w:val="uk-UA"/>
              </w:rPr>
              <w:t>17</w:t>
            </w:r>
          </w:p>
        </w:tc>
        <w:tc>
          <w:tcPr>
            <w:tcW w:w="1843" w:type="dxa"/>
            <w:tcBorders>
              <w:top w:val="single" w:sz="4" w:space="0" w:color="auto"/>
              <w:left w:val="single" w:sz="4" w:space="0" w:color="auto"/>
              <w:bottom w:val="single" w:sz="4" w:space="0" w:color="auto"/>
              <w:right w:val="single" w:sz="4" w:space="0" w:color="auto"/>
            </w:tcBorders>
            <w:hideMark/>
          </w:tcPr>
          <w:p w:rsidR="007F136C" w:rsidRPr="00005FD0" w:rsidRDefault="007F136C" w:rsidP="00005FD0">
            <w:pPr>
              <w:widowControl w:val="0"/>
              <w:spacing w:line="276" w:lineRule="auto"/>
              <w:jc w:val="center"/>
              <w:rPr>
                <w:rFonts w:ascii="Times New Roman" w:hAnsi="Times New Roman"/>
                <w:color w:val="000000" w:themeColor="text1"/>
                <w:sz w:val="28"/>
                <w:szCs w:val="28"/>
                <w:lang w:val="uk-UA"/>
              </w:rPr>
            </w:pPr>
            <w:r w:rsidRPr="00005FD0">
              <w:rPr>
                <w:rFonts w:ascii="Times New Roman" w:hAnsi="Times New Roman"/>
                <w:color w:val="000000" w:themeColor="text1"/>
                <w:sz w:val="28"/>
                <w:szCs w:val="28"/>
                <w:lang w:val="uk-UA"/>
              </w:rPr>
              <w:t>4,25 ±1,0</w:t>
            </w:r>
          </w:p>
        </w:tc>
      </w:tr>
      <w:tr w:rsidR="004A3FDB" w:rsidRPr="00005FD0" w:rsidTr="0041250A">
        <w:trPr>
          <w:jc w:val="center"/>
        </w:trPr>
        <w:tc>
          <w:tcPr>
            <w:tcW w:w="6521" w:type="dxa"/>
            <w:tcBorders>
              <w:top w:val="single" w:sz="4" w:space="0" w:color="auto"/>
              <w:left w:val="single" w:sz="4" w:space="0" w:color="auto"/>
              <w:bottom w:val="single" w:sz="4" w:space="0" w:color="auto"/>
              <w:right w:val="single" w:sz="4" w:space="0" w:color="auto"/>
            </w:tcBorders>
            <w:hideMark/>
          </w:tcPr>
          <w:p w:rsidR="007F136C" w:rsidRPr="00005FD0" w:rsidRDefault="007F136C" w:rsidP="00005FD0">
            <w:pPr>
              <w:widowControl w:val="0"/>
              <w:spacing w:line="276" w:lineRule="auto"/>
              <w:rPr>
                <w:rFonts w:ascii="Times New Roman" w:hAnsi="Times New Roman"/>
                <w:color w:val="000000" w:themeColor="text1"/>
                <w:sz w:val="28"/>
                <w:szCs w:val="28"/>
                <w:lang w:val="uk-UA"/>
              </w:rPr>
            </w:pPr>
            <w:r w:rsidRPr="00005FD0">
              <w:rPr>
                <w:rFonts w:ascii="Times New Roman" w:hAnsi="Times New Roman"/>
                <w:color w:val="000000" w:themeColor="text1"/>
                <w:sz w:val="28"/>
                <w:szCs w:val="28"/>
                <w:lang w:val="uk-UA"/>
              </w:rPr>
              <w:t>Не визначився</w:t>
            </w:r>
          </w:p>
        </w:tc>
        <w:tc>
          <w:tcPr>
            <w:tcW w:w="1417" w:type="dxa"/>
            <w:tcBorders>
              <w:top w:val="single" w:sz="4" w:space="0" w:color="auto"/>
              <w:left w:val="single" w:sz="4" w:space="0" w:color="auto"/>
              <w:bottom w:val="single" w:sz="4" w:space="0" w:color="auto"/>
              <w:right w:val="single" w:sz="4" w:space="0" w:color="auto"/>
            </w:tcBorders>
            <w:hideMark/>
          </w:tcPr>
          <w:p w:rsidR="007F136C" w:rsidRPr="00005FD0" w:rsidRDefault="007F136C" w:rsidP="00005FD0">
            <w:pPr>
              <w:widowControl w:val="0"/>
              <w:spacing w:line="276" w:lineRule="auto"/>
              <w:jc w:val="center"/>
              <w:rPr>
                <w:rFonts w:ascii="Times New Roman" w:hAnsi="Times New Roman"/>
                <w:color w:val="000000" w:themeColor="text1"/>
                <w:sz w:val="28"/>
                <w:szCs w:val="28"/>
                <w:lang w:val="uk-UA"/>
              </w:rPr>
            </w:pPr>
            <w:r w:rsidRPr="00005FD0">
              <w:rPr>
                <w:rFonts w:ascii="Times New Roman" w:hAnsi="Times New Roman"/>
                <w:color w:val="000000" w:themeColor="text1"/>
                <w:sz w:val="28"/>
                <w:szCs w:val="28"/>
                <w:lang w:val="uk-UA"/>
              </w:rPr>
              <w:t>25</w:t>
            </w:r>
          </w:p>
        </w:tc>
        <w:tc>
          <w:tcPr>
            <w:tcW w:w="1843" w:type="dxa"/>
            <w:tcBorders>
              <w:top w:val="single" w:sz="4" w:space="0" w:color="auto"/>
              <w:left w:val="single" w:sz="4" w:space="0" w:color="auto"/>
              <w:bottom w:val="single" w:sz="4" w:space="0" w:color="auto"/>
              <w:right w:val="single" w:sz="4" w:space="0" w:color="auto"/>
            </w:tcBorders>
            <w:hideMark/>
          </w:tcPr>
          <w:p w:rsidR="007F136C" w:rsidRPr="00005FD0" w:rsidRDefault="007F136C" w:rsidP="00005FD0">
            <w:pPr>
              <w:widowControl w:val="0"/>
              <w:spacing w:line="276" w:lineRule="auto"/>
              <w:jc w:val="center"/>
              <w:rPr>
                <w:rFonts w:ascii="Times New Roman" w:hAnsi="Times New Roman"/>
                <w:color w:val="000000" w:themeColor="text1"/>
                <w:sz w:val="28"/>
                <w:szCs w:val="28"/>
                <w:lang w:val="uk-UA"/>
              </w:rPr>
            </w:pPr>
            <w:r w:rsidRPr="00005FD0">
              <w:rPr>
                <w:rFonts w:ascii="Times New Roman" w:hAnsi="Times New Roman"/>
                <w:color w:val="000000" w:themeColor="text1"/>
                <w:sz w:val="28"/>
                <w:szCs w:val="28"/>
                <w:lang w:val="uk-UA"/>
              </w:rPr>
              <w:t>6,25 ±1,2</w:t>
            </w:r>
          </w:p>
        </w:tc>
      </w:tr>
      <w:tr w:rsidR="004A3FDB" w:rsidRPr="00005FD0" w:rsidTr="0041250A">
        <w:trPr>
          <w:jc w:val="center"/>
        </w:trPr>
        <w:tc>
          <w:tcPr>
            <w:tcW w:w="9781" w:type="dxa"/>
            <w:gridSpan w:val="3"/>
            <w:tcBorders>
              <w:top w:val="single" w:sz="4" w:space="0" w:color="auto"/>
              <w:left w:val="single" w:sz="4" w:space="0" w:color="auto"/>
              <w:bottom w:val="single" w:sz="4" w:space="0" w:color="auto"/>
              <w:right w:val="single" w:sz="4" w:space="0" w:color="auto"/>
            </w:tcBorders>
            <w:hideMark/>
          </w:tcPr>
          <w:p w:rsidR="007F136C" w:rsidRPr="00005FD0" w:rsidRDefault="007F136C" w:rsidP="00005FD0">
            <w:pPr>
              <w:widowControl w:val="0"/>
              <w:spacing w:line="276" w:lineRule="auto"/>
              <w:jc w:val="center"/>
              <w:rPr>
                <w:rFonts w:ascii="Times New Roman" w:hAnsi="Times New Roman"/>
                <w:b/>
                <w:color w:val="000000" w:themeColor="text1"/>
                <w:sz w:val="28"/>
                <w:szCs w:val="28"/>
                <w:lang w:val="uk-UA"/>
              </w:rPr>
            </w:pPr>
            <w:r w:rsidRPr="00005FD0">
              <w:rPr>
                <w:rFonts w:ascii="Times New Roman" w:hAnsi="Times New Roman"/>
                <w:color w:val="000000" w:themeColor="text1"/>
                <w:sz w:val="28"/>
                <w:szCs w:val="28"/>
                <w:lang w:val="uk-UA"/>
              </w:rPr>
              <w:t>Найзручніший спосіб навчання</w:t>
            </w:r>
          </w:p>
        </w:tc>
      </w:tr>
      <w:tr w:rsidR="004A3FDB" w:rsidRPr="00005FD0" w:rsidTr="0041250A">
        <w:trPr>
          <w:jc w:val="center"/>
        </w:trPr>
        <w:tc>
          <w:tcPr>
            <w:tcW w:w="6521" w:type="dxa"/>
            <w:tcBorders>
              <w:top w:val="single" w:sz="4" w:space="0" w:color="auto"/>
              <w:left w:val="single" w:sz="4" w:space="0" w:color="auto"/>
              <w:bottom w:val="single" w:sz="4" w:space="0" w:color="auto"/>
              <w:right w:val="single" w:sz="4" w:space="0" w:color="auto"/>
            </w:tcBorders>
            <w:hideMark/>
          </w:tcPr>
          <w:p w:rsidR="007F136C" w:rsidRPr="00005FD0" w:rsidRDefault="007F136C" w:rsidP="00005FD0">
            <w:pPr>
              <w:widowControl w:val="0"/>
              <w:spacing w:line="276" w:lineRule="auto"/>
              <w:rPr>
                <w:rFonts w:ascii="Times New Roman" w:hAnsi="Times New Roman"/>
                <w:b/>
                <w:color w:val="000000" w:themeColor="text1"/>
                <w:sz w:val="28"/>
                <w:szCs w:val="28"/>
                <w:lang w:val="uk-UA"/>
              </w:rPr>
            </w:pPr>
            <w:r w:rsidRPr="00005FD0">
              <w:rPr>
                <w:rFonts w:ascii="Times New Roman" w:hAnsi="Times New Roman"/>
                <w:color w:val="000000" w:themeColor="text1"/>
                <w:sz w:val="28"/>
                <w:szCs w:val="28"/>
                <w:lang w:val="uk-UA"/>
              </w:rPr>
              <w:t>Курси тематичного удосконалення</w:t>
            </w:r>
          </w:p>
        </w:tc>
        <w:tc>
          <w:tcPr>
            <w:tcW w:w="1417" w:type="dxa"/>
            <w:tcBorders>
              <w:top w:val="single" w:sz="4" w:space="0" w:color="auto"/>
              <w:left w:val="single" w:sz="4" w:space="0" w:color="auto"/>
              <w:bottom w:val="single" w:sz="4" w:space="0" w:color="auto"/>
              <w:right w:val="single" w:sz="4" w:space="0" w:color="auto"/>
            </w:tcBorders>
            <w:hideMark/>
          </w:tcPr>
          <w:p w:rsidR="007F136C" w:rsidRPr="00005FD0" w:rsidRDefault="007F136C" w:rsidP="00005FD0">
            <w:pPr>
              <w:widowControl w:val="0"/>
              <w:spacing w:line="276" w:lineRule="auto"/>
              <w:jc w:val="center"/>
              <w:rPr>
                <w:rFonts w:ascii="Times New Roman" w:hAnsi="Times New Roman"/>
                <w:color w:val="000000" w:themeColor="text1"/>
                <w:sz w:val="28"/>
                <w:szCs w:val="28"/>
                <w:lang w:val="uk-UA"/>
              </w:rPr>
            </w:pPr>
            <w:r w:rsidRPr="00005FD0">
              <w:rPr>
                <w:rFonts w:ascii="Times New Roman" w:hAnsi="Times New Roman"/>
                <w:color w:val="000000" w:themeColor="text1"/>
                <w:sz w:val="28"/>
                <w:szCs w:val="28"/>
                <w:lang w:val="uk-UA"/>
              </w:rPr>
              <w:t>269</w:t>
            </w:r>
          </w:p>
        </w:tc>
        <w:tc>
          <w:tcPr>
            <w:tcW w:w="1843" w:type="dxa"/>
            <w:tcBorders>
              <w:top w:val="single" w:sz="4" w:space="0" w:color="auto"/>
              <w:left w:val="single" w:sz="4" w:space="0" w:color="auto"/>
              <w:bottom w:val="single" w:sz="4" w:space="0" w:color="auto"/>
              <w:right w:val="single" w:sz="4" w:space="0" w:color="auto"/>
            </w:tcBorders>
            <w:hideMark/>
          </w:tcPr>
          <w:p w:rsidR="007F136C" w:rsidRPr="00005FD0" w:rsidRDefault="007F136C" w:rsidP="00005FD0">
            <w:pPr>
              <w:widowControl w:val="0"/>
              <w:spacing w:line="276" w:lineRule="auto"/>
              <w:jc w:val="center"/>
              <w:rPr>
                <w:rFonts w:ascii="Times New Roman" w:hAnsi="Times New Roman"/>
                <w:color w:val="000000" w:themeColor="text1"/>
                <w:sz w:val="28"/>
                <w:szCs w:val="28"/>
                <w:lang w:val="uk-UA"/>
              </w:rPr>
            </w:pPr>
            <w:r w:rsidRPr="00005FD0">
              <w:rPr>
                <w:rFonts w:ascii="Times New Roman" w:hAnsi="Times New Roman"/>
                <w:color w:val="000000" w:themeColor="text1"/>
                <w:sz w:val="28"/>
                <w:szCs w:val="28"/>
                <w:lang w:val="uk-UA"/>
              </w:rPr>
              <w:t>67,25 ±2,3</w:t>
            </w:r>
          </w:p>
        </w:tc>
      </w:tr>
      <w:tr w:rsidR="004A3FDB" w:rsidRPr="00005FD0" w:rsidTr="0041250A">
        <w:trPr>
          <w:jc w:val="center"/>
        </w:trPr>
        <w:tc>
          <w:tcPr>
            <w:tcW w:w="6521" w:type="dxa"/>
            <w:tcBorders>
              <w:top w:val="single" w:sz="4" w:space="0" w:color="auto"/>
              <w:left w:val="single" w:sz="4" w:space="0" w:color="auto"/>
              <w:bottom w:val="single" w:sz="4" w:space="0" w:color="auto"/>
              <w:right w:val="single" w:sz="4" w:space="0" w:color="auto"/>
            </w:tcBorders>
            <w:hideMark/>
          </w:tcPr>
          <w:p w:rsidR="007F136C" w:rsidRPr="00005FD0" w:rsidRDefault="007F136C" w:rsidP="00005FD0">
            <w:pPr>
              <w:widowControl w:val="0"/>
              <w:spacing w:line="276" w:lineRule="auto"/>
              <w:rPr>
                <w:rFonts w:ascii="Times New Roman" w:hAnsi="Times New Roman"/>
                <w:b/>
                <w:color w:val="000000" w:themeColor="text1"/>
                <w:sz w:val="28"/>
                <w:szCs w:val="28"/>
                <w:lang w:val="uk-UA"/>
              </w:rPr>
            </w:pPr>
            <w:r w:rsidRPr="00005FD0">
              <w:rPr>
                <w:rFonts w:ascii="Times New Roman" w:hAnsi="Times New Roman"/>
                <w:color w:val="000000" w:themeColor="text1"/>
                <w:sz w:val="28"/>
                <w:szCs w:val="28"/>
                <w:lang w:val="uk-UA"/>
              </w:rPr>
              <w:t>Стажування на робочому місці</w:t>
            </w:r>
          </w:p>
        </w:tc>
        <w:tc>
          <w:tcPr>
            <w:tcW w:w="1417" w:type="dxa"/>
            <w:tcBorders>
              <w:top w:val="single" w:sz="4" w:space="0" w:color="auto"/>
              <w:left w:val="single" w:sz="4" w:space="0" w:color="auto"/>
              <w:bottom w:val="single" w:sz="4" w:space="0" w:color="auto"/>
              <w:right w:val="single" w:sz="4" w:space="0" w:color="auto"/>
            </w:tcBorders>
            <w:hideMark/>
          </w:tcPr>
          <w:p w:rsidR="007F136C" w:rsidRPr="00005FD0" w:rsidRDefault="007F136C" w:rsidP="00005FD0">
            <w:pPr>
              <w:widowControl w:val="0"/>
              <w:spacing w:line="276" w:lineRule="auto"/>
              <w:jc w:val="center"/>
              <w:rPr>
                <w:rFonts w:ascii="Times New Roman" w:hAnsi="Times New Roman"/>
                <w:color w:val="000000" w:themeColor="text1"/>
                <w:sz w:val="28"/>
                <w:szCs w:val="28"/>
                <w:lang w:val="uk-UA"/>
              </w:rPr>
            </w:pPr>
            <w:r w:rsidRPr="00005FD0">
              <w:rPr>
                <w:rFonts w:ascii="Times New Roman" w:hAnsi="Times New Roman"/>
                <w:color w:val="000000" w:themeColor="text1"/>
                <w:sz w:val="28"/>
                <w:szCs w:val="28"/>
                <w:lang w:val="uk-UA"/>
              </w:rPr>
              <w:t>207</w:t>
            </w:r>
          </w:p>
        </w:tc>
        <w:tc>
          <w:tcPr>
            <w:tcW w:w="1843" w:type="dxa"/>
            <w:tcBorders>
              <w:top w:val="single" w:sz="4" w:space="0" w:color="auto"/>
              <w:left w:val="single" w:sz="4" w:space="0" w:color="auto"/>
              <w:bottom w:val="single" w:sz="4" w:space="0" w:color="auto"/>
              <w:right w:val="single" w:sz="4" w:space="0" w:color="auto"/>
            </w:tcBorders>
            <w:hideMark/>
          </w:tcPr>
          <w:p w:rsidR="007F136C" w:rsidRPr="00005FD0" w:rsidRDefault="007F136C" w:rsidP="00005FD0">
            <w:pPr>
              <w:widowControl w:val="0"/>
              <w:spacing w:line="276" w:lineRule="auto"/>
              <w:jc w:val="center"/>
              <w:rPr>
                <w:rFonts w:ascii="Times New Roman" w:hAnsi="Times New Roman"/>
                <w:color w:val="000000" w:themeColor="text1"/>
                <w:sz w:val="28"/>
                <w:szCs w:val="28"/>
                <w:lang w:val="uk-UA"/>
              </w:rPr>
            </w:pPr>
            <w:r w:rsidRPr="00005FD0">
              <w:rPr>
                <w:rFonts w:ascii="Times New Roman" w:hAnsi="Times New Roman"/>
                <w:color w:val="000000" w:themeColor="text1"/>
                <w:sz w:val="28"/>
                <w:szCs w:val="28"/>
                <w:lang w:val="uk-UA"/>
              </w:rPr>
              <w:t>51,75 ±2,5</w:t>
            </w:r>
          </w:p>
        </w:tc>
      </w:tr>
      <w:tr w:rsidR="004A3FDB" w:rsidRPr="00005FD0" w:rsidTr="0041250A">
        <w:trPr>
          <w:jc w:val="center"/>
        </w:trPr>
        <w:tc>
          <w:tcPr>
            <w:tcW w:w="6521" w:type="dxa"/>
            <w:tcBorders>
              <w:top w:val="single" w:sz="4" w:space="0" w:color="auto"/>
              <w:left w:val="single" w:sz="4" w:space="0" w:color="auto"/>
              <w:bottom w:val="single" w:sz="4" w:space="0" w:color="auto"/>
              <w:right w:val="single" w:sz="4" w:space="0" w:color="auto"/>
            </w:tcBorders>
            <w:hideMark/>
          </w:tcPr>
          <w:p w:rsidR="007F136C" w:rsidRPr="00005FD0" w:rsidRDefault="007F136C" w:rsidP="00005FD0">
            <w:pPr>
              <w:widowControl w:val="0"/>
              <w:spacing w:line="276" w:lineRule="auto"/>
              <w:rPr>
                <w:rFonts w:ascii="Times New Roman" w:hAnsi="Times New Roman"/>
                <w:b/>
                <w:color w:val="000000" w:themeColor="text1"/>
                <w:sz w:val="28"/>
                <w:szCs w:val="28"/>
                <w:lang w:val="uk-UA"/>
              </w:rPr>
            </w:pPr>
            <w:r w:rsidRPr="00005FD0">
              <w:rPr>
                <w:rFonts w:ascii="Times New Roman" w:hAnsi="Times New Roman"/>
                <w:color w:val="000000" w:themeColor="text1"/>
                <w:sz w:val="28"/>
                <w:szCs w:val="28"/>
                <w:lang w:val="uk-UA"/>
              </w:rPr>
              <w:t>Спеціальні короткотривалі тренінги</w:t>
            </w:r>
          </w:p>
        </w:tc>
        <w:tc>
          <w:tcPr>
            <w:tcW w:w="1417" w:type="dxa"/>
            <w:tcBorders>
              <w:top w:val="single" w:sz="4" w:space="0" w:color="auto"/>
              <w:left w:val="single" w:sz="4" w:space="0" w:color="auto"/>
              <w:bottom w:val="single" w:sz="4" w:space="0" w:color="auto"/>
              <w:right w:val="single" w:sz="4" w:space="0" w:color="auto"/>
            </w:tcBorders>
            <w:hideMark/>
          </w:tcPr>
          <w:p w:rsidR="007F136C" w:rsidRPr="00005FD0" w:rsidRDefault="007F136C" w:rsidP="00005FD0">
            <w:pPr>
              <w:widowControl w:val="0"/>
              <w:spacing w:line="276" w:lineRule="auto"/>
              <w:jc w:val="center"/>
              <w:rPr>
                <w:rFonts w:ascii="Times New Roman" w:hAnsi="Times New Roman"/>
                <w:color w:val="000000" w:themeColor="text1"/>
                <w:sz w:val="28"/>
                <w:szCs w:val="28"/>
                <w:lang w:val="uk-UA"/>
              </w:rPr>
            </w:pPr>
            <w:r w:rsidRPr="00005FD0">
              <w:rPr>
                <w:rFonts w:ascii="Times New Roman" w:hAnsi="Times New Roman"/>
                <w:color w:val="000000" w:themeColor="text1"/>
                <w:sz w:val="28"/>
                <w:szCs w:val="28"/>
                <w:lang w:val="uk-UA"/>
              </w:rPr>
              <w:t>264</w:t>
            </w:r>
          </w:p>
        </w:tc>
        <w:tc>
          <w:tcPr>
            <w:tcW w:w="1843" w:type="dxa"/>
            <w:tcBorders>
              <w:top w:val="single" w:sz="4" w:space="0" w:color="auto"/>
              <w:left w:val="single" w:sz="4" w:space="0" w:color="auto"/>
              <w:bottom w:val="single" w:sz="4" w:space="0" w:color="auto"/>
              <w:right w:val="single" w:sz="4" w:space="0" w:color="auto"/>
            </w:tcBorders>
            <w:hideMark/>
          </w:tcPr>
          <w:p w:rsidR="007F136C" w:rsidRPr="00005FD0" w:rsidRDefault="007F136C" w:rsidP="00005FD0">
            <w:pPr>
              <w:widowControl w:val="0"/>
              <w:spacing w:line="276" w:lineRule="auto"/>
              <w:jc w:val="center"/>
              <w:rPr>
                <w:rFonts w:ascii="Times New Roman" w:hAnsi="Times New Roman"/>
                <w:color w:val="000000" w:themeColor="text1"/>
                <w:sz w:val="28"/>
                <w:szCs w:val="28"/>
                <w:lang w:val="uk-UA"/>
              </w:rPr>
            </w:pPr>
            <w:r w:rsidRPr="00005FD0">
              <w:rPr>
                <w:rFonts w:ascii="Times New Roman" w:hAnsi="Times New Roman"/>
                <w:color w:val="000000" w:themeColor="text1"/>
                <w:sz w:val="28"/>
                <w:szCs w:val="28"/>
                <w:lang w:val="uk-UA"/>
              </w:rPr>
              <w:t>66,00 ±2,4</w:t>
            </w:r>
          </w:p>
        </w:tc>
      </w:tr>
      <w:tr w:rsidR="004A3FDB" w:rsidRPr="00005FD0" w:rsidTr="0041250A">
        <w:trPr>
          <w:jc w:val="center"/>
        </w:trPr>
        <w:tc>
          <w:tcPr>
            <w:tcW w:w="6521" w:type="dxa"/>
            <w:tcBorders>
              <w:top w:val="single" w:sz="4" w:space="0" w:color="auto"/>
              <w:left w:val="single" w:sz="4" w:space="0" w:color="auto"/>
              <w:bottom w:val="single" w:sz="4" w:space="0" w:color="auto"/>
              <w:right w:val="single" w:sz="4" w:space="0" w:color="auto"/>
            </w:tcBorders>
            <w:hideMark/>
          </w:tcPr>
          <w:p w:rsidR="007F136C" w:rsidRPr="00005FD0" w:rsidRDefault="007F136C" w:rsidP="00005FD0">
            <w:pPr>
              <w:widowControl w:val="0"/>
              <w:spacing w:line="276" w:lineRule="auto"/>
              <w:rPr>
                <w:rFonts w:ascii="Times New Roman" w:hAnsi="Times New Roman"/>
                <w:b/>
                <w:color w:val="000000" w:themeColor="text1"/>
                <w:sz w:val="28"/>
                <w:szCs w:val="28"/>
                <w:lang w:val="uk-UA"/>
              </w:rPr>
            </w:pPr>
            <w:r w:rsidRPr="00005FD0">
              <w:rPr>
                <w:rFonts w:ascii="Times New Roman" w:hAnsi="Times New Roman"/>
                <w:color w:val="000000" w:themeColor="text1"/>
                <w:sz w:val="28"/>
                <w:szCs w:val="28"/>
                <w:lang w:val="uk-UA"/>
              </w:rPr>
              <w:t>Спеціальна методична література</w:t>
            </w:r>
          </w:p>
        </w:tc>
        <w:tc>
          <w:tcPr>
            <w:tcW w:w="1417" w:type="dxa"/>
            <w:tcBorders>
              <w:top w:val="single" w:sz="4" w:space="0" w:color="auto"/>
              <w:left w:val="single" w:sz="4" w:space="0" w:color="auto"/>
              <w:bottom w:val="single" w:sz="4" w:space="0" w:color="auto"/>
              <w:right w:val="single" w:sz="4" w:space="0" w:color="auto"/>
            </w:tcBorders>
            <w:hideMark/>
          </w:tcPr>
          <w:p w:rsidR="007F136C" w:rsidRPr="00005FD0" w:rsidRDefault="007F136C" w:rsidP="00005FD0">
            <w:pPr>
              <w:widowControl w:val="0"/>
              <w:spacing w:line="276" w:lineRule="auto"/>
              <w:jc w:val="center"/>
              <w:rPr>
                <w:rFonts w:ascii="Times New Roman" w:hAnsi="Times New Roman"/>
                <w:color w:val="000000" w:themeColor="text1"/>
                <w:sz w:val="28"/>
                <w:szCs w:val="28"/>
                <w:lang w:val="uk-UA"/>
              </w:rPr>
            </w:pPr>
            <w:r w:rsidRPr="00005FD0">
              <w:rPr>
                <w:rFonts w:ascii="Times New Roman" w:hAnsi="Times New Roman"/>
                <w:color w:val="000000" w:themeColor="text1"/>
                <w:sz w:val="28"/>
                <w:szCs w:val="28"/>
                <w:lang w:val="uk-UA"/>
              </w:rPr>
              <w:t>172</w:t>
            </w:r>
          </w:p>
        </w:tc>
        <w:tc>
          <w:tcPr>
            <w:tcW w:w="1843" w:type="dxa"/>
            <w:tcBorders>
              <w:top w:val="single" w:sz="4" w:space="0" w:color="auto"/>
              <w:left w:val="single" w:sz="4" w:space="0" w:color="auto"/>
              <w:bottom w:val="single" w:sz="4" w:space="0" w:color="auto"/>
              <w:right w:val="single" w:sz="4" w:space="0" w:color="auto"/>
            </w:tcBorders>
            <w:hideMark/>
          </w:tcPr>
          <w:p w:rsidR="007F136C" w:rsidRPr="00005FD0" w:rsidRDefault="007F136C" w:rsidP="00005FD0">
            <w:pPr>
              <w:widowControl w:val="0"/>
              <w:spacing w:line="276" w:lineRule="auto"/>
              <w:jc w:val="center"/>
              <w:rPr>
                <w:rFonts w:ascii="Times New Roman" w:hAnsi="Times New Roman"/>
                <w:color w:val="000000" w:themeColor="text1"/>
                <w:sz w:val="28"/>
                <w:szCs w:val="28"/>
                <w:lang w:val="uk-UA"/>
              </w:rPr>
            </w:pPr>
            <w:r w:rsidRPr="00005FD0">
              <w:rPr>
                <w:rFonts w:ascii="Times New Roman" w:hAnsi="Times New Roman"/>
                <w:color w:val="000000" w:themeColor="text1"/>
                <w:sz w:val="28"/>
                <w:szCs w:val="28"/>
                <w:lang w:val="uk-UA"/>
              </w:rPr>
              <w:t>43,00 ±2,5</w:t>
            </w:r>
          </w:p>
        </w:tc>
      </w:tr>
      <w:tr w:rsidR="004A3FDB" w:rsidRPr="00005FD0" w:rsidTr="0041250A">
        <w:trPr>
          <w:jc w:val="center"/>
        </w:trPr>
        <w:tc>
          <w:tcPr>
            <w:tcW w:w="6521" w:type="dxa"/>
            <w:tcBorders>
              <w:top w:val="single" w:sz="4" w:space="0" w:color="auto"/>
              <w:left w:val="single" w:sz="4" w:space="0" w:color="auto"/>
              <w:bottom w:val="single" w:sz="4" w:space="0" w:color="auto"/>
              <w:right w:val="single" w:sz="4" w:space="0" w:color="auto"/>
            </w:tcBorders>
            <w:hideMark/>
          </w:tcPr>
          <w:p w:rsidR="007F136C" w:rsidRPr="00005FD0" w:rsidRDefault="007F136C" w:rsidP="00005FD0">
            <w:pPr>
              <w:widowControl w:val="0"/>
              <w:spacing w:line="276" w:lineRule="auto"/>
              <w:rPr>
                <w:rFonts w:ascii="Times New Roman" w:hAnsi="Times New Roman"/>
                <w:b/>
                <w:color w:val="000000" w:themeColor="text1"/>
                <w:sz w:val="28"/>
                <w:szCs w:val="28"/>
                <w:lang w:val="uk-UA"/>
              </w:rPr>
            </w:pPr>
            <w:r w:rsidRPr="00005FD0">
              <w:rPr>
                <w:rFonts w:ascii="Times New Roman" w:hAnsi="Times New Roman"/>
                <w:color w:val="000000" w:themeColor="text1"/>
                <w:sz w:val="28"/>
                <w:szCs w:val="28"/>
                <w:lang w:val="uk-UA"/>
              </w:rPr>
              <w:t>Спеціальна навчальна література</w:t>
            </w:r>
          </w:p>
        </w:tc>
        <w:tc>
          <w:tcPr>
            <w:tcW w:w="1417" w:type="dxa"/>
            <w:tcBorders>
              <w:top w:val="single" w:sz="4" w:space="0" w:color="auto"/>
              <w:left w:val="single" w:sz="4" w:space="0" w:color="auto"/>
              <w:bottom w:val="single" w:sz="4" w:space="0" w:color="auto"/>
              <w:right w:val="single" w:sz="4" w:space="0" w:color="auto"/>
            </w:tcBorders>
            <w:hideMark/>
          </w:tcPr>
          <w:p w:rsidR="007F136C" w:rsidRPr="00005FD0" w:rsidRDefault="007F136C" w:rsidP="00005FD0">
            <w:pPr>
              <w:widowControl w:val="0"/>
              <w:spacing w:line="276" w:lineRule="auto"/>
              <w:jc w:val="center"/>
              <w:rPr>
                <w:rFonts w:ascii="Times New Roman" w:hAnsi="Times New Roman"/>
                <w:color w:val="000000" w:themeColor="text1"/>
                <w:sz w:val="28"/>
                <w:szCs w:val="28"/>
                <w:lang w:val="uk-UA"/>
              </w:rPr>
            </w:pPr>
            <w:r w:rsidRPr="00005FD0">
              <w:rPr>
                <w:rFonts w:ascii="Times New Roman" w:hAnsi="Times New Roman"/>
                <w:color w:val="000000" w:themeColor="text1"/>
                <w:sz w:val="28"/>
                <w:szCs w:val="28"/>
                <w:lang w:val="uk-UA"/>
              </w:rPr>
              <w:t>154</w:t>
            </w:r>
          </w:p>
        </w:tc>
        <w:tc>
          <w:tcPr>
            <w:tcW w:w="1843" w:type="dxa"/>
            <w:tcBorders>
              <w:top w:val="single" w:sz="4" w:space="0" w:color="auto"/>
              <w:left w:val="single" w:sz="4" w:space="0" w:color="auto"/>
              <w:bottom w:val="single" w:sz="4" w:space="0" w:color="auto"/>
              <w:right w:val="single" w:sz="4" w:space="0" w:color="auto"/>
            </w:tcBorders>
            <w:hideMark/>
          </w:tcPr>
          <w:p w:rsidR="007F136C" w:rsidRPr="00005FD0" w:rsidRDefault="007F136C" w:rsidP="00005FD0">
            <w:pPr>
              <w:widowControl w:val="0"/>
              <w:spacing w:line="276" w:lineRule="auto"/>
              <w:jc w:val="center"/>
              <w:rPr>
                <w:rFonts w:ascii="Times New Roman" w:hAnsi="Times New Roman"/>
                <w:color w:val="000000" w:themeColor="text1"/>
                <w:sz w:val="28"/>
                <w:szCs w:val="28"/>
                <w:lang w:val="uk-UA"/>
              </w:rPr>
            </w:pPr>
            <w:r w:rsidRPr="00005FD0">
              <w:rPr>
                <w:rFonts w:ascii="Times New Roman" w:hAnsi="Times New Roman"/>
                <w:color w:val="000000" w:themeColor="text1"/>
                <w:sz w:val="28"/>
                <w:szCs w:val="28"/>
                <w:lang w:val="uk-UA"/>
              </w:rPr>
              <w:t>38,50 ±2,4</w:t>
            </w:r>
          </w:p>
        </w:tc>
      </w:tr>
      <w:tr w:rsidR="004A3FDB" w:rsidRPr="00005FD0" w:rsidTr="0041250A">
        <w:trPr>
          <w:jc w:val="center"/>
        </w:trPr>
        <w:tc>
          <w:tcPr>
            <w:tcW w:w="6521" w:type="dxa"/>
            <w:tcBorders>
              <w:top w:val="single" w:sz="4" w:space="0" w:color="auto"/>
              <w:left w:val="single" w:sz="4" w:space="0" w:color="auto"/>
              <w:bottom w:val="single" w:sz="4" w:space="0" w:color="auto"/>
              <w:right w:val="single" w:sz="4" w:space="0" w:color="auto"/>
            </w:tcBorders>
            <w:hideMark/>
          </w:tcPr>
          <w:p w:rsidR="007F136C" w:rsidRPr="00005FD0" w:rsidRDefault="007F136C" w:rsidP="00231FE8">
            <w:pPr>
              <w:widowControl w:val="0"/>
              <w:spacing w:line="260" w:lineRule="exact"/>
              <w:rPr>
                <w:rFonts w:ascii="Times New Roman" w:hAnsi="Times New Roman"/>
                <w:b/>
                <w:color w:val="000000" w:themeColor="text1"/>
                <w:sz w:val="28"/>
                <w:szCs w:val="28"/>
                <w:lang w:val="uk-UA"/>
              </w:rPr>
            </w:pPr>
            <w:r w:rsidRPr="00005FD0">
              <w:rPr>
                <w:rFonts w:ascii="Times New Roman" w:hAnsi="Times New Roman"/>
                <w:color w:val="000000" w:themeColor="text1"/>
                <w:sz w:val="28"/>
                <w:szCs w:val="28"/>
                <w:lang w:val="uk-UA"/>
              </w:rPr>
              <w:t>Спеціальна наукова література</w:t>
            </w:r>
          </w:p>
        </w:tc>
        <w:tc>
          <w:tcPr>
            <w:tcW w:w="1417" w:type="dxa"/>
            <w:tcBorders>
              <w:top w:val="single" w:sz="4" w:space="0" w:color="auto"/>
              <w:left w:val="single" w:sz="4" w:space="0" w:color="auto"/>
              <w:bottom w:val="single" w:sz="4" w:space="0" w:color="auto"/>
              <w:right w:val="single" w:sz="4" w:space="0" w:color="auto"/>
            </w:tcBorders>
            <w:hideMark/>
          </w:tcPr>
          <w:p w:rsidR="007F136C" w:rsidRPr="00005FD0" w:rsidRDefault="007F136C" w:rsidP="00231FE8">
            <w:pPr>
              <w:widowControl w:val="0"/>
              <w:spacing w:line="260" w:lineRule="exact"/>
              <w:jc w:val="center"/>
              <w:rPr>
                <w:rFonts w:ascii="Times New Roman" w:hAnsi="Times New Roman"/>
                <w:color w:val="000000" w:themeColor="text1"/>
                <w:sz w:val="28"/>
                <w:szCs w:val="28"/>
                <w:lang w:val="uk-UA"/>
              </w:rPr>
            </w:pPr>
            <w:r w:rsidRPr="00005FD0">
              <w:rPr>
                <w:rFonts w:ascii="Times New Roman" w:hAnsi="Times New Roman"/>
                <w:color w:val="000000" w:themeColor="text1"/>
                <w:sz w:val="28"/>
                <w:szCs w:val="28"/>
                <w:lang w:val="uk-UA"/>
              </w:rPr>
              <w:t>82</w:t>
            </w:r>
          </w:p>
        </w:tc>
        <w:tc>
          <w:tcPr>
            <w:tcW w:w="1843" w:type="dxa"/>
            <w:tcBorders>
              <w:top w:val="single" w:sz="4" w:space="0" w:color="auto"/>
              <w:left w:val="single" w:sz="4" w:space="0" w:color="auto"/>
              <w:bottom w:val="single" w:sz="4" w:space="0" w:color="auto"/>
              <w:right w:val="single" w:sz="4" w:space="0" w:color="auto"/>
            </w:tcBorders>
            <w:hideMark/>
          </w:tcPr>
          <w:p w:rsidR="007F136C" w:rsidRPr="00005FD0" w:rsidRDefault="007F136C" w:rsidP="00231FE8">
            <w:pPr>
              <w:widowControl w:val="0"/>
              <w:spacing w:line="260" w:lineRule="exact"/>
              <w:jc w:val="center"/>
              <w:rPr>
                <w:rFonts w:ascii="Times New Roman" w:hAnsi="Times New Roman"/>
                <w:color w:val="000000" w:themeColor="text1"/>
                <w:sz w:val="28"/>
                <w:szCs w:val="28"/>
                <w:lang w:val="uk-UA"/>
              </w:rPr>
            </w:pPr>
            <w:r w:rsidRPr="00005FD0">
              <w:rPr>
                <w:rFonts w:ascii="Times New Roman" w:hAnsi="Times New Roman"/>
                <w:color w:val="000000" w:themeColor="text1"/>
                <w:sz w:val="28"/>
                <w:szCs w:val="28"/>
                <w:lang w:val="uk-UA"/>
              </w:rPr>
              <w:t>20,50 ±2,0</w:t>
            </w:r>
          </w:p>
        </w:tc>
      </w:tr>
    </w:tbl>
    <w:p w:rsidR="007F136C" w:rsidRPr="00256AB0" w:rsidRDefault="007F136C" w:rsidP="00231FE8">
      <w:pPr>
        <w:widowControl w:val="0"/>
        <w:spacing w:line="260" w:lineRule="exact"/>
        <w:rPr>
          <w:rFonts w:eastAsia="Calibri"/>
          <w:color w:val="FF0000"/>
          <w:szCs w:val="28"/>
          <w:lang w:val="ru-RU"/>
        </w:rPr>
      </w:pPr>
    </w:p>
    <w:p w:rsidR="002D5937" w:rsidRPr="009E0E51" w:rsidRDefault="007F136C" w:rsidP="009E0E51">
      <w:pPr>
        <w:widowControl w:val="0"/>
        <w:ind w:firstLine="708"/>
        <w:rPr>
          <w:rFonts w:eastAsia="Calibri"/>
          <w:szCs w:val="28"/>
        </w:rPr>
      </w:pPr>
      <w:r w:rsidRPr="00006A39">
        <w:rPr>
          <w:rFonts w:eastAsia="Calibri"/>
          <w:szCs w:val="28"/>
        </w:rPr>
        <w:t>Отримані під час соціологічного дослідження результат</w:t>
      </w:r>
      <w:r w:rsidR="00231FE8">
        <w:rPr>
          <w:rFonts w:eastAsia="Calibri"/>
          <w:szCs w:val="28"/>
        </w:rPr>
        <w:t xml:space="preserve">и використані при обґрунтуванні інноваційної системи медико-соціальної допомоги дітям до 5 років життя. </w:t>
      </w:r>
    </w:p>
    <w:p w:rsidR="007F136C" w:rsidRPr="00231FE8" w:rsidRDefault="007F136C" w:rsidP="009E0E51">
      <w:pPr>
        <w:widowControl w:val="0"/>
        <w:spacing w:before="240"/>
        <w:ind w:firstLine="708"/>
        <w:rPr>
          <w:rFonts w:eastAsia="Calibri"/>
          <w:szCs w:val="28"/>
        </w:rPr>
      </w:pPr>
      <w:r w:rsidRPr="00FA680C">
        <w:rPr>
          <w:b/>
          <w:color w:val="000000" w:themeColor="text1"/>
          <w:szCs w:val="28"/>
        </w:rPr>
        <w:t>Виснов</w:t>
      </w:r>
      <w:r w:rsidR="00D23844">
        <w:rPr>
          <w:b/>
          <w:color w:val="000000" w:themeColor="text1"/>
          <w:szCs w:val="28"/>
        </w:rPr>
        <w:t>ки до  розділу 6</w:t>
      </w:r>
      <w:r w:rsidRPr="00FA680C">
        <w:rPr>
          <w:b/>
          <w:color w:val="000000" w:themeColor="text1"/>
          <w:szCs w:val="28"/>
        </w:rPr>
        <w:t xml:space="preserve">  </w:t>
      </w:r>
    </w:p>
    <w:p w:rsidR="007F136C" w:rsidRPr="00006A39" w:rsidRDefault="007F136C" w:rsidP="00721203">
      <w:pPr>
        <w:widowControl w:val="0"/>
        <w:ind w:firstLine="567"/>
        <w:rPr>
          <w:szCs w:val="28"/>
        </w:rPr>
      </w:pPr>
      <w:r w:rsidRPr="00006A39">
        <w:rPr>
          <w:szCs w:val="28"/>
        </w:rPr>
        <w:t xml:space="preserve">1. За результатами проведеного опитування батьків, більшість яких проживали у міській місцевості (61,0±2,4%), </w:t>
      </w:r>
      <w:r w:rsidR="008C6E7A">
        <w:rPr>
          <w:szCs w:val="28"/>
        </w:rPr>
        <w:t xml:space="preserve">були </w:t>
      </w:r>
      <w:r w:rsidRPr="00006A39">
        <w:rPr>
          <w:szCs w:val="28"/>
        </w:rPr>
        <w:t>працевлаштовані (79,5±2,0%), у віці до 35 років (80,25±2,0%), доходу</w:t>
      </w:r>
      <w:r w:rsidRPr="00006A39">
        <w:t xml:space="preserve"> </w:t>
      </w:r>
      <w:r w:rsidRPr="00006A39">
        <w:rPr>
          <w:szCs w:val="28"/>
        </w:rPr>
        <w:t xml:space="preserve">38,0±2,4% респондентів вистачало для забезпечення </w:t>
      </w:r>
      <w:r w:rsidRPr="00006A39">
        <w:rPr>
          <w:szCs w:val="28"/>
        </w:rPr>
        <w:lastRenderedPageBreak/>
        <w:t xml:space="preserve">родини лише необхідним та п’ята частина респондентів (20,5±2,0%) мала незадовільний економічний стан із яких 14,75±1,8% респондентів жила у скрутному становищі, 5,75±1,2% батькам не вистачало на необхідне. </w:t>
      </w:r>
    </w:p>
    <w:p w:rsidR="007F136C" w:rsidRPr="00006A39" w:rsidRDefault="007F136C" w:rsidP="00721203">
      <w:pPr>
        <w:widowControl w:val="0"/>
        <w:ind w:firstLine="567"/>
        <w:rPr>
          <w:szCs w:val="28"/>
        </w:rPr>
      </w:pPr>
      <w:r w:rsidRPr="00006A39">
        <w:rPr>
          <w:szCs w:val="28"/>
        </w:rPr>
        <w:t>2. Встановлено, що здоровою або практично здоровою вважають свою дитину лише 23,0±2,1% респондентів, 77,0±2,1% батьків вказали на проблеми із здоров’ям дитини серед яких переважають</w:t>
      </w:r>
      <w:r w:rsidRPr="00006A39">
        <w:t xml:space="preserve"> </w:t>
      </w:r>
      <w:r w:rsidRPr="00006A39">
        <w:rPr>
          <w:szCs w:val="28"/>
        </w:rPr>
        <w:t>проблеми, пов’язані із  фізіологічним розвитком дитини (34,75±2,4%) та періодичними гострими проблемами із здоров’ям (22,25±2,1%).</w:t>
      </w:r>
    </w:p>
    <w:p w:rsidR="007F136C" w:rsidRPr="00006A39" w:rsidRDefault="007F136C" w:rsidP="00721203">
      <w:pPr>
        <w:widowControl w:val="0"/>
        <w:ind w:firstLine="567"/>
        <w:rPr>
          <w:szCs w:val="28"/>
        </w:rPr>
      </w:pPr>
      <w:r w:rsidRPr="00006A39">
        <w:rPr>
          <w:szCs w:val="28"/>
        </w:rPr>
        <w:t xml:space="preserve">3. Встановлено, що рівень інформованості батьків щодо здоров’яформуючих технологій дитини є на достатньому рівні, при цьому обізнаність респондентів-батьків щодо переважної більшості загрозливих для життя дітей станів та тактиці дій при них є недостатніми (опіки – 39,5±2,4%, падіння з висоти – 31,0±2,3%, асфіксія та враження електричним струмом – 18,0±1,9%, травма грудної клітини, травма живота, черепно-мозкова травма – 15,5±1,8%, вогнепальне поранення – 13,5±1,7%).  </w:t>
      </w:r>
    </w:p>
    <w:p w:rsidR="007F136C" w:rsidRPr="00006A39" w:rsidRDefault="007F136C" w:rsidP="00721203">
      <w:pPr>
        <w:widowControl w:val="0"/>
        <w:ind w:firstLine="567"/>
        <w:rPr>
          <w:szCs w:val="28"/>
        </w:rPr>
      </w:pPr>
      <w:r w:rsidRPr="00006A39">
        <w:rPr>
          <w:szCs w:val="28"/>
        </w:rPr>
        <w:t>4. За результатами соціологічного дослідження респондентів-батьків переважними джерелами отримання інформації для них є Інтернет, телебачення, інші батьки та колеги, при цьому кваліфіковану консультативну інформацію від лікарів-педіатрів отримує 44,75±2,5% респондентів, від ЛЗП-СЛ – 38,0±2,4%, від сімейної медичної сестри – 36,75±2,4%. Встановлено, що 81,75±1,9% батьків мають бажання регулярно отримувати професійну консультативну інформацію від медичних працівників щодо здоров’я дітей, загрозливих життю дитини станів та тактиці  дій при них.</w:t>
      </w:r>
    </w:p>
    <w:p w:rsidR="007F136C" w:rsidRPr="00006A39" w:rsidRDefault="007F136C" w:rsidP="00721203">
      <w:pPr>
        <w:widowControl w:val="0"/>
        <w:ind w:firstLine="567"/>
        <w:rPr>
          <w:szCs w:val="28"/>
        </w:rPr>
      </w:pPr>
      <w:r w:rsidRPr="00006A39">
        <w:rPr>
          <w:szCs w:val="28"/>
        </w:rPr>
        <w:t xml:space="preserve">5. За результатами дослідження проведеного серед ЛЗП-СЛ, більшість з яких мешкали у міській місцевості (65,75±2,4%), вікові групи опитуваних були приблизно однакові за чисельністю, 90,75±1,4% працювали у лікарських амбулаторіях, 73,25±2,2%  респондентів здобули підготовку за даним напрямом на курсах спеціалізації, 91,75±1,4% ЛЗП-СЛ мали атестаційну категорію за напрямом «сімейна медицина». </w:t>
      </w:r>
    </w:p>
    <w:p w:rsidR="007F136C" w:rsidRPr="00006A39" w:rsidRDefault="007F136C" w:rsidP="00721203">
      <w:pPr>
        <w:widowControl w:val="0"/>
        <w:ind w:firstLine="567"/>
        <w:rPr>
          <w:szCs w:val="28"/>
        </w:rPr>
      </w:pPr>
      <w:r w:rsidRPr="00006A39">
        <w:rPr>
          <w:szCs w:val="28"/>
        </w:rPr>
        <w:t xml:space="preserve">6. Встановлено переважно низький рівень самооцінки респондентами </w:t>
      </w:r>
      <w:r w:rsidRPr="00006A39">
        <w:rPr>
          <w:szCs w:val="28"/>
        </w:rPr>
        <w:lastRenderedPageBreak/>
        <w:t>особистих теоретичних знань та практичних навичок з тактики дій при більшості окремих станах, які загрожують життю  дітей, особливо при опіку дихальних шляхів 79,75±2,0% та 77,25±2,1% відповідно, при крупі – 78,0±2,1% та 84,0±1,8% відповідно, падіння з висоти – 56,0±2,5%, черепно-мозковій травмі – 59,0±2,5% та 56,5±2,5% відповідно, враженні електричним струмом 48,0±2,5% та 52,0±2,5% відповідно, тощо).</w:t>
      </w:r>
    </w:p>
    <w:p w:rsidR="007F136C" w:rsidRDefault="007F136C" w:rsidP="00717BD6">
      <w:pPr>
        <w:widowControl w:val="0"/>
        <w:ind w:firstLine="567"/>
        <w:rPr>
          <w:szCs w:val="28"/>
        </w:rPr>
      </w:pPr>
      <w:r w:rsidRPr="00006A39">
        <w:rPr>
          <w:szCs w:val="28"/>
        </w:rPr>
        <w:t>7. За результатами дослідження переважними джерелами отримання знань ЛЗП-СЛ з попередження передчасної смертності дітей та тактики дій при станах, які загрожують їх життю, є знання, що набуті за час проходження спеціалізації за даним напрямом (52,25±2,5%), вивчення відповідної методичної літератури (45,75±2,5%), проходження інтернатури (26,0±2,2%). 89,5±1,5% респондентів бажають отр</w:t>
      </w:r>
      <w:r w:rsidR="0081376E">
        <w:rPr>
          <w:szCs w:val="28"/>
        </w:rPr>
        <w:t xml:space="preserve">имувати знання з попередження </w:t>
      </w:r>
      <w:r w:rsidRPr="00006A39">
        <w:rPr>
          <w:szCs w:val="28"/>
        </w:rPr>
        <w:t>передчасної смерті дітей та тактиці дій при станах, які загрожують їх життю, визнаючи, що найзручнішою формою для цього мають бути курси тематичного вдосконалення (67,25±2,3%), спеціальні короткотривалі тренінги (66,0±2,4%), безпосередньо на робочому місці (51,75±2,5%). При цьому серед опитаних лікарів лише 21,25±2,0% респондентів організували  роботу школи  відповідального батьківства і 15,75±1,8% респондентів  проводили навчання  батьків  тактиці дій при з</w:t>
      </w:r>
      <w:r w:rsidR="00717BD6">
        <w:rPr>
          <w:szCs w:val="28"/>
        </w:rPr>
        <w:t>агрозливих життю  дітей станах.</w:t>
      </w:r>
      <w:r w:rsidR="00C069B6">
        <w:rPr>
          <w:szCs w:val="28"/>
        </w:rPr>
        <w:t xml:space="preserve"> </w:t>
      </w:r>
    </w:p>
    <w:p w:rsidR="00C640A0" w:rsidRPr="00006A39" w:rsidRDefault="00C640A0" w:rsidP="00717BD6">
      <w:pPr>
        <w:widowControl w:val="0"/>
        <w:ind w:firstLine="567"/>
        <w:rPr>
          <w:szCs w:val="28"/>
        </w:rPr>
      </w:pPr>
      <w:r>
        <w:rPr>
          <w:szCs w:val="28"/>
        </w:rPr>
        <w:t>8. Встановлено необхідність удосконалення та включення</w:t>
      </w:r>
      <w:r w:rsidRPr="00C640A0">
        <w:rPr>
          <w:szCs w:val="28"/>
        </w:rPr>
        <w:t xml:space="preserve"> до навчальних програм лікарів загальної практ</w:t>
      </w:r>
      <w:r w:rsidR="007F4B2E">
        <w:rPr>
          <w:szCs w:val="28"/>
        </w:rPr>
        <w:t xml:space="preserve">ики-сімейних лікарів </w:t>
      </w:r>
      <w:r>
        <w:rPr>
          <w:szCs w:val="28"/>
        </w:rPr>
        <w:t>підготовки</w:t>
      </w:r>
      <w:r w:rsidRPr="00C640A0">
        <w:rPr>
          <w:szCs w:val="28"/>
        </w:rPr>
        <w:t xml:space="preserve"> з питань збереження здоров’я дітей та попередження дитячої смертності, надання медичної допомоги при невідкладних станах, перинатології</w:t>
      </w:r>
      <w:r>
        <w:rPr>
          <w:szCs w:val="28"/>
        </w:rPr>
        <w:t>.</w:t>
      </w:r>
    </w:p>
    <w:p w:rsidR="007F136C" w:rsidRPr="00006A39" w:rsidRDefault="007F136C" w:rsidP="009E0E51">
      <w:pPr>
        <w:widowControl w:val="0"/>
        <w:spacing w:before="240"/>
        <w:rPr>
          <w:b/>
        </w:rPr>
      </w:pPr>
      <w:r w:rsidRPr="00006A39">
        <w:rPr>
          <w:rFonts w:eastAsia="Calibri"/>
          <w:b/>
          <w:bCs/>
          <w:szCs w:val="28"/>
        </w:rPr>
        <w:t xml:space="preserve">Список особистих робіт за матеріалами розділу: </w:t>
      </w:r>
      <w:r w:rsidRPr="00006A39">
        <w:rPr>
          <w:rFonts w:eastAsia="Calibri"/>
          <w:b/>
          <w:bCs/>
          <w:color w:val="FF0000"/>
          <w:szCs w:val="28"/>
        </w:rPr>
        <w:t xml:space="preserve"> </w:t>
      </w:r>
    </w:p>
    <w:p w:rsidR="008D5D0D" w:rsidRDefault="004B230B" w:rsidP="0074719A">
      <w:pPr>
        <w:pStyle w:val="a5"/>
        <w:widowControl w:val="0"/>
        <w:numPr>
          <w:ilvl w:val="0"/>
          <w:numId w:val="36"/>
        </w:numPr>
        <w:rPr>
          <w:szCs w:val="28"/>
          <w:lang w:val="ru-RU"/>
        </w:rPr>
      </w:pPr>
      <w:r w:rsidRPr="004B230B">
        <w:rPr>
          <w:rFonts w:eastAsia="Calibri"/>
          <w:szCs w:val="28"/>
          <w:lang w:eastAsia="uk-UA"/>
        </w:rPr>
        <w:t xml:space="preserve">Slabkiy G. O., Dudnyk S. V. The results of sociological survey of parents about preserving the health of children and preventing their premature death. The Unity оf Science: International Scientific Professional Periodical Journal. Vienna, Austria. June 2019. P. 76–79. </w:t>
      </w:r>
    </w:p>
    <w:p w:rsidR="000A060F" w:rsidRPr="00717BD6" w:rsidRDefault="00CF6415" w:rsidP="00F06CC0">
      <w:pPr>
        <w:widowControl w:val="0"/>
        <w:numPr>
          <w:ilvl w:val="0"/>
          <w:numId w:val="36"/>
        </w:numPr>
        <w:contextualSpacing/>
        <w:rPr>
          <w:rFonts w:eastAsia="Calibri"/>
          <w:szCs w:val="28"/>
        </w:rPr>
      </w:pPr>
      <w:r w:rsidRPr="00231499">
        <w:rPr>
          <w:rFonts w:eastAsia="Calibri"/>
          <w:szCs w:val="28"/>
        </w:rPr>
        <w:t xml:space="preserve">Слабкий Г.О., Дудник С.В. Готовність лікарів загальної практики — сімейних лікарів до попередження передчасної смерті дітей: за даними соціологічного дослідження. Сучасна педіатрія. Україна. 2019. № 5 (101). С. 57–63. </w:t>
      </w:r>
    </w:p>
    <w:p w:rsidR="003B67F9" w:rsidRPr="00006A39" w:rsidRDefault="003B67F9" w:rsidP="00EE2DB8">
      <w:pPr>
        <w:pageBreakBefore/>
        <w:widowControl w:val="0"/>
        <w:ind w:firstLine="709"/>
        <w:jc w:val="center"/>
        <w:rPr>
          <w:rFonts w:eastAsia="Times New Roman"/>
          <w:b/>
          <w:szCs w:val="28"/>
          <w:lang w:eastAsia="ru-RU"/>
        </w:rPr>
      </w:pPr>
      <w:r w:rsidRPr="00006A39">
        <w:rPr>
          <w:rFonts w:eastAsia="Times New Roman"/>
          <w:b/>
          <w:szCs w:val="28"/>
          <w:lang w:eastAsia="ru-RU"/>
        </w:rPr>
        <w:lastRenderedPageBreak/>
        <w:t>РОЗДІЛ 7</w:t>
      </w:r>
    </w:p>
    <w:p w:rsidR="003B67F9" w:rsidRPr="00723CDF" w:rsidRDefault="003B67F9" w:rsidP="00723CDF">
      <w:pPr>
        <w:widowControl w:val="0"/>
        <w:ind w:firstLine="709"/>
        <w:jc w:val="center"/>
        <w:rPr>
          <w:rFonts w:eastAsia="Calibri"/>
          <w:b/>
          <w:szCs w:val="28"/>
          <w:lang w:val="ru-RU"/>
        </w:rPr>
      </w:pPr>
      <w:r w:rsidRPr="00006A39">
        <w:rPr>
          <w:rFonts w:eastAsia="Calibri"/>
          <w:b/>
          <w:szCs w:val="28"/>
        </w:rPr>
        <w:t xml:space="preserve">ОБҐРУНТУВАННЯ, РОЗРОБЛЕННЯ ТА АПРОБАЦІЯ КОМПЛЕКСНОЇ ОЦІНКИ СТАНУ ПЕРИНАТАЛЬНОЇ ДОПОМОГИ В УКРАЇНІ </w:t>
      </w:r>
    </w:p>
    <w:p w:rsidR="003B67F9" w:rsidRPr="00A50DA2" w:rsidRDefault="003B67F9" w:rsidP="00723CDF">
      <w:pPr>
        <w:widowControl w:val="0"/>
        <w:spacing w:before="240"/>
        <w:ind w:firstLine="709"/>
        <w:rPr>
          <w:rFonts w:eastAsia="Times New Roman"/>
          <w:b/>
          <w:szCs w:val="28"/>
          <w:lang w:val="ru-RU" w:eastAsia="ru-RU"/>
        </w:rPr>
      </w:pPr>
      <w:r w:rsidRPr="00006A39">
        <w:rPr>
          <w:rFonts w:eastAsia="Times New Roman"/>
          <w:b/>
          <w:szCs w:val="28"/>
          <w:lang w:eastAsia="ru-RU"/>
        </w:rPr>
        <w:t xml:space="preserve">7.1. </w:t>
      </w:r>
      <w:r w:rsidR="00703C6D" w:rsidRPr="00703C6D">
        <w:rPr>
          <w:rFonts w:eastAsia="Times New Roman"/>
          <w:b/>
          <w:szCs w:val="28"/>
          <w:lang w:eastAsia="ru-RU"/>
        </w:rPr>
        <w:t>Комплексна оцінка стану перинатальної допомоги в Україні: індикатори діяльності, методика оцінки, оцінка перинатальної допомоги за рівнями</w:t>
      </w:r>
    </w:p>
    <w:p w:rsidR="003B67F9" w:rsidRPr="000D40E9" w:rsidRDefault="00955DAF" w:rsidP="000D40E9">
      <w:pPr>
        <w:widowControl w:val="0"/>
        <w:ind w:firstLine="709"/>
        <w:rPr>
          <w:rFonts w:eastAsia="Times New Roman"/>
          <w:szCs w:val="28"/>
          <w:lang w:eastAsia="ru-RU"/>
        </w:rPr>
      </w:pPr>
      <w:r w:rsidRPr="00A6612A">
        <w:rPr>
          <w:rFonts w:eastAsia="Times New Roman"/>
          <w:szCs w:val="28"/>
          <w:lang w:eastAsia="ru-RU"/>
        </w:rPr>
        <w:t xml:space="preserve">Одним </w:t>
      </w:r>
      <w:r w:rsidR="003B67F9" w:rsidRPr="00A6612A">
        <w:rPr>
          <w:rFonts w:eastAsia="Times New Roman"/>
          <w:szCs w:val="28"/>
          <w:lang w:eastAsia="ru-RU"/>
        </w:rPr>
        <w:t>з основних показників, який рекомендує ВООЗ для оцінки якос</w:t>
      </w:r>
      <w:r w:rsidRPr="00A6612A">
        <w:rPr>
          <w:rFonts w:eastAsia="Times New Roman"/>
          <w:szCs w:val="28"/>
          <w:lang w:eastAsia="ru-RU"/>
        </w:rPr>
        <w:t>ті надання акушерської та</w:t>
      </w:r>
      <w:r w:rsidR="00E81D6C" w:rsidRPr="00A6612A">
        <w:rPr>
          <w:rFonts w:eastAsia="Times New Roman"/>
          <w:szCs w:val="28"/>
          <w:lang w:eastAsia="ru-RU"/>
        </w:rPr>
        <w:t xml:space="preserve"> неоната</w:t>
      </w:r>
      <w:r w:rsidR="003B67F9" w:rsidRPr="00A6612A">
        <w:rPr>
          <w:rFonts w:eastAsia="Times New Roman"/>
          <w:szCs w:val="28"/>
          <w:lang w:eastAsia="ru-RU"/>
        </w:rPr>
        <w:t xml:space="preserve">льної допомоги, є перинатальна й неонатальна смертність, зниження яких є ключовим завданням </w:t>
      </w:r>
      <w:r w:rsidR="00367201">
        <w:rPr>
          <w:rFonts w:eastAsia="Times New Roman"/>
          <w:szCs w:val="28"/>
        </w:rPr>
        <w:t>ЦСР</w:t>
      </w:r>
      <w:r w:rsidR="003B67F9" w:rsidRPr="00A6612A">
        <w:rPr>
          <w:rFonts w:eastAsia="Times New Roman"/>
          <w:szCs w:val="28"/>
        </w:rPr>
        <w:t xml:space="preserve"> [</w:t>
      </w:r>
      <w:r w:rsidR="00E26CBF" w:rsidRPr="00A6612A">
        <w:rPr>
          <w:rFonts w:eastAsia="Times New Roman"/>
          <w:szCs w:val="28"/>
        </w:rPr>
        <w:t>45</w:t>
      </w:r>
      <w:r w:rsidR="00B72717">
        <w:rPr>
          <w:rFonts w:eastAsia="Times New Roman"/>
          <w:szCs w:val="28"/>
        </w:rPr>
        <w:t>,</w:t>
      </w:r>
      <w:r w:rsidR="00B72717">
        <w:rPr>
          <w:rFonts w:eastAsia="Times New Roman"/>
          <w:szCs w:val="28"/>
          <w:lang w:val="ru-RU"/>
        </w:rPr>
        <w:t xml:space="preserve"> </w:t>
      </w:r>
      <w:r w:rsidR="004A798E" w:rsidRPr="00A6612A">
        <w:rPr>
          <w:rFonts w:eastAsia="Times New Roman"/>
          <w:szCs w:val="28"/>
        </w:rPr>
        <w:t>304</w:t>
      </w:r>
      <w:r w:rsidR="003B67F9" w:rsidRPr="00A6612A">
        <w:rPr>
          <w:rFonts w:eastAsia="Times New Roman"/>
          <w:szCs w:val="28"/>
        </w:rPr>
        <w:t>]</w:t>
      </w:r>
      <w:r w:rsidR="003B67F9" w:rsidRPr="00A6612A">
        <w:rPr>
          <w:rFonts w:eastAsia="Times New Roman"/>
          <w:szCs w:val="28"/>
          <w:lang w:eastAsia="ru-RU"/>
        </w:rPr>
        <w:t xml:space="preserve">. </w:t>
      </w:r>
      <w:r w:rsidR="00FE6DF4">
        <w:rPr>
          <w:rFonts w:eastAsia="Calibri"/>
          <w:szCs w:val="28"/>
        </w:rPr>
        <w:t xml:space="preserve">Для виконання вищезазначених завдань першочергово необхідно підвищувати якість та ефективність надання перинатальної допомоги в країні з використанням медико-організаційних технологій, зокрема в Україні такою технологією стала трирівнева система надання перинатальної допомоги. </w:t>
      </w:r>
      <w:r w:rsidR="001F2B5E">
        <w:rPr>
          <w:rFonts w:eastAsia="Times New Roman"/>
          <w:szCs w:val="28"/>
          <w:lang w:eastAsia="ru-RU"/>
        </w:rPr>
        <w:t>За результатами аналізу, слід</w:t>
      </w:r>
      <w:r w:rsidR="00610211">
        <w:rPr>
          <w:rFonts w:eastAsia="Times New Roman"/>
          <w:szCs w:val="28"/>
          <w:lang w:eastAsia="ru-RU"/>
        </w:rPr>
        <w:t xml:space="preserve"> зазначити, що на даному етапі </w:t>
      </w:r>
      <w:r w:rsidR="00154A63">
        <w:rPr>
          <w:rFonts w:eastAsia="Times New Roman"/>
          <w:szCs w:val="28"/>
          <w:lang w:eastAsia="ru-RU"/>
        </w:rPr>
        <w:t>в У</w:t>
      </w:r>
      <w:r w:rsidR="00024CC2">
        <w:rPr>
          <w:rFonts w:eastAsia="Times New Roman"/>
          <w:szCs w:val="28"/>
          <w:lang w:eastAsia="ru-RU"/>
        </w:rPr>
        <w:t>країні триває процес</w:t>
      </w:r>
      <w:r w:rsidR="00154A63">
        <w:rPr>
          <w:rFonts w:eastAsia="Times New Roman"/>
          <w:szCs w:val="28"/>
          <w:lang w:eastAsia="ru-RU"/>
        </w:rPr>
        <w:t xml:space="preserve"> регіоналізації перина</w:t>
      </w:r>
      <w:r w:rsidR="00B72717" w:rsidRPr="00B72717">
        <w:rPr>
          <w:rFonts w:eastAsia="Times New Roman"/>
          <w:szCs w:val="28"/>
          <w:lang w:eastAsia="ru-RU"/>
        </w:rPr>
        <w:t>та</w:t>
      </w:r>
      <w:r w:rsidR="00154A63">
        <w:rPr>
          <w:rFonts w:eastAsia="Times New Roman"/>
          <w:szCs w:val="28"/>
          <w:lang w:eastAsia="ru-RU"/>
        </w:rPr>
        <w:t>льної допомоги (РПД), яка</w:t>
      </w:r>
      <w:r w:rsidR="0019506D">
        <w:rPr>
          <w:rFonts w:eastAsia="Times New Roman"/>
          <w:szCs w:val="28"/>
          <w:lang w:eastAsia="ru-RU"/>
        </w:rPr>
        <w:t xml:space="preserve"> забезпечена</w:t>
      </w:r>
      <w:r w:rsidR="00610211">
        <w:rPr>
          <w:rFonts w:eastAsia="Times New Roman"/>
          <w:szCs w:val="28"/>
          <w:lang w:eastAsia="ru-RU"/>
        </w:rPr>
        <w:t xml:space="preserve"> </w:t>
      </w:r>
      <w:r w:rsidR="0019506D">
        <w:rPr>
          <w:rFonts w:eastAsia="Times New Roman"/>
          <w:szCs w:val="28"/>
          <w:lang w:eastAsia="ru-RU"/>
        </w:rPr>
        <w:t>нормативно-правовою базою</w:t>
      </w:r>
      <w:r w:rsidR="00024CC2">
        <w:rPr>
          <w:rFonts w:eastAsia="Times New Roman"/>
          <w:szCs w:val="28"/>
          <w:lang w:eastAsia="ru-RU"/>
        </w:rPr>
        <w:t>, розробленою</w:t>
      </w:r>
      <w:r w:rsidR="00DA6423">
        <w:rPr>
          <w:rFonts w:eastAsia="Times New Roman"/>
          <w:szCs w:val="28"/>
          <w:lang w:eastAsia="ru-RU"/>
        </w:rPr>
        <w:t xml:space="preserve"> відповідно до принципів ВООЗ </w:t>
      </w:r>
      <w:r w:rsidR="001E0DFB">
        <w:rPr>
          <w:rFonts w:eastAsia="Times New Roman"/>
          <w:szCs w:val="28"/>
          <w:lang w:eastAsia="ru-RU"/>
        </w:rPr>
        <w:t>і</w:t>
      </w:r>
      <w:r w:rsidR="00DA6423">
        <w:rPr>
          <w:rFonts w:eastAsia="Times New Roman"/>
          <w:szCs w:val="28"/>
          <w:lang w:eastAsia="ru-RU"/>
        </w:rPr>
        <w:t>з визначенням</w:t>
      </w:r>
      <w:r w:rsidR="00610211">
        <w:rPr>
          <w:rFonts w:eastAsia="Times New Roman"/>
          <w:szCs w:val="28"/>
          <w:lang w:eastAsia="ru-RU"/>
        </w:rPr>
        <w:t xml:space="preserve"> її</w:t>
      </w:r>
      <w:r w:rsidR="00DA6423">
        <w:rPr>
          <w:rFonts w:eastAsia="Times New Roman"/>
          <w:szCs w:val="28"/>
          <w:lang w:eastAsia="ru-RU"/>
        </w:rPr>
        <w:t xml:space="preserve"> порядку, </w:t>
      </w:r>
      <w:r w:rsidR="004F3AE9">
        <w:rPr>
          <w:rFonts w:eastAsia="Times New Roman"/>
          <w:szCs w:val="28"/>
          <w:lang w:eastAsia="ru-RU"/>
        </w:rPr>
        <w:t>вимог</w:t>
      </w:r>
      <w:r w:rsidR="0019506D">
        <w:rPr>
          <w:rFonts w:eastAsia="Times New Roman"/>
          <w:szCs w:val="28"/>
          <w:lang w:eastAsia="ru-RU"/>
        </w:rPr>
        <w:t>ами</w:t>
      </w:r>
      <w:r w:rsidR="004F3AE9">
        <w:rPr>
          <w:rFonts w:eastAsia="Times New Roman"/>
          <w:szCs w:val="28"/>
          <w:lang w:eastAsia="ru-RU"/>
        </w:rPr>
        <w:t xml:space="preserve"> до транспортування вагітних жінок та новонароджених </w:t>
      </w:r>
      <w:r w:rsidR="004F3AE9" w:rsidRPr="004F3AE9">
        <w:rPr>
          <w:rFonts w:eastAsia="Times New Roman"/>
          <w:szCs w:val="28"/>
          <w:lang w:eastAsia="ru-RU"/>
        </w:rPr>
        <w:t>групи</w:t>
      </w:r>
      <w:r w:rsidR="004F3AE9">
        <w:rPr>
          <w:rFonts w:eastAsia="Times New Roman"/>
          <w:szCs w:val="28"/>
          <w:lang w:eastAsia="ru-RU"/>
        </w:rPr>
        <w:t xml:space="preserve"> високого перинатального риз</w:t>
      </w:r>
      <w:r w:rsidR="00540DE4">
        <w:rPr>
          <w:rFonts w:eastAsia="Times New Roman"/>
          <w:szCs w:val="28"/>
          <w:lang w:eastAsia="ru-RU"/>
        </w:rPr>
        <w:t>ику, вимогами</w:t>
      </w:r>
      <w:r w:rsidR="00610211">
        <w:rPr>
          <w:rFonts w:eastAsia="Times New Roman"/>
          <w:szCs w:val="28"/>
          <w:lang w:eastAsia="ru-RU"/>
        </w:rPr>
        <w:t xml:space="preserve"> до</w:t>
      </w:r>
      <w:r w:rsidR="004F3AE9">
        <w:rPr>
          <w:rFonts w:eastAsia="Times New Roman"/>
          <w:szCs w:val="28"/>
          <w:lang w:eastAsia="ru-RU"/>
        </w:rPr>
        <w:t xml:space="preserve"> маршруту пацієнта, </w:t>
      </w:r>
      <w:r w:rsidR="00DA6423">
        <w:rPr>
          <w:rFonts w:eastAsia="Times New Roman"/>
          <w:szCs w:val="28"/>
          <w:lang w:eastAsia="ru-RU"/>
        </w:rPr>
        <w:t>проведення аудит</w:t>
      </w:r>
      <w:r w:rsidR="009074CB">
        <w:rPr>
          <w:rFonts w:eastAsia="Times New Roman"/>
          <w:szCs w:val="28"/>
          <w:lang w:eastAsia="ru-RU"/>
        </w:rPr>
        <w:t xml:space="preserve">у стану регіоналізації, </w:t>
      </w:r>
      <w:r w:rsidR="00610211">
        <w:rPr>
          <w:rFonts w:eastAsia="Times New Roman"/>
          <w:szCs w:val="28"/>
          <w:lang w:eastAsia="ru-RU"/>
        </w:rPr>
        <w:t xml:space="preserve">кадрів </w:t>
      </w:r>
      <w:r w:rsidR="00DA6423">
        <w:rPr>
          <w:rFonts w:eastAsia="Times New Roman"/>
          <w:szCs w:val="28"/>
          <w:lang w:eastAsia="ru-RU"/>
        </w:rPr>
        <w:t>відповідно до рівнів надання</w:t>
      </w:r>
      <w:r w:rsidR="009074CB">
        <w:rPr>
          <w:rFonts w:eastAsia="Times New Roman"/>
          <w:szCs w:val="28"/>
          <w:lang w:eastAsia="ru-RU"/>
        </w:rPr>
        <w:t xml:space="preserve"> медичної допомоги, </w:t>
      </w:r>
      <w:r w:rsidR="00DA6423">
        <w:rPr>
          <w:rFonts w:eastAsia="Times New Roman"/>
          <w:szCs w:val="28"/>
          <w:lang w:eastAsia="ru-RU"/>
        </w:rPr>
        <w:t>індикаторів якості діяльності</w:t>
      </w:r>
      <w:r w:rsidR="009074CB">
        <w:rPr>
          <w:rFonts w:eastAsia="Times New Roman"/>
          <w:szCs w:val="28"/>
          <w:lang w:eastAsia="ru-RU"/>
        </w:rPr>
        <w:t xml:space="preserve"> ЗПД</w:t>
      </w:r>
      <w:r w:rsidR="004F3AE9">
        <w:rPr>
          <w:rFonts w:eastAsia="Times New Roman"/>
          <w:szCs w:val="28"/>
          <w:lang w:eastAsia="ru-RU"/>
        </w:rPr>
        <w:t>, табелів матеріа</w:t>
      </w:r>
      <w:r w:rsidR="00F14DF0">
        <w:rPr>
          <w:rFonts w:eastAsia="Times New Roman"/>
          <w:szCs w:val="28"/>
          <w:lang w:eastAsia="ru-RU"/>
        </w:rPr>
        <w:t>льно-технічного оснащення</w:t>
      </w:r>
      <w:r w:rsidR="00172DC3">
        <w:rPr>
          <w:rFonts w:eastAsia="Times New Roman"/>
          <w:szCs w:val="28"/>
          <w:lang w:eastAsia="ru-RU"/>
        </w:rPr>
        <w:t>. М</w:t>
      </w:r>
      <w:r w:rsidR="00610211">
        <w:rPr>
          <w:rFonts w:eastAsia="Times New Roman"/>
          <w:szCs w:val="28"/>
          <w:lang w:eastAsia="ru-RU"/>
        </w:rPr>
        <w:t>айже у всіх</w:t>
      </w:r>
      <w:r w:rsidR="00F14DF0">
        <w:rPr>
          <w:rFonts w:eastAsia="Times New Roman"/>
          <w:szCs w:val="28"/>
          <w:lang w:eastAsia="ru-RU"/>
        </w:rPr>
        <w:t xml:space="preserve"> </w:t>
      </w:r>
      <w:r w:rsidR="00F14DF0" w:rsidRPr="00F14DF0">
        <w:rPr>
          <w:rFonts w:eastAsia="Times New Roman"/>
          <w:szCs w:val="28"/>
          <w:lang w:eastAsia="ru-RU"/>
        </w:rPr>
        <w:t>областях У</w:t>
      </w:r>
      <w:r w:rsidR="00F14DF0">
        <w:rPr>
          <w:rFonts w:eastAsia="Times New Roman"/>
          <w:szCs w:val="28"/>
          <w:lang w:eastAsia="ru-RU"/>
        </w:rPr>
        <w:t xml:space="preserve">країни </w:t>
      </w:r>
      <w:r w:rsidR="00172DC3">
        <w:rPr>
          <w:rFonts w:eastAsia="Times New Roman"/>
          <w:szCs w:val="28"/>
          <w:lang w:eastAsia="ru-RU"/>
        </w:rPr>
        <w:t xml:space="preserve">впроваджено </w:t>
      </w:r>
      <w:r w:rsidR="00F14DF0">
        <w:rPr>
          <w:rFonts w:eastAsia="Times New Roman"/>
          <w:szCs w:val="28"/>
          <w:lang w:eastAsia="ru-RU"/>
        </w:rPr>
        <w:t>трирівнев</w:t>
      </w:r>
      <w:r w:rsidR="0019506D">
        <w:rPr>
          <w:rFonts w:eastAsia="Times New Roman"/>
          <w:szCs w:val="28"/>
          <w:lang w:eastAsia="ru-RU"/>
        </w:rPr>
        <w:t>у</w:t>
      </w:r>
      <w:r w:rsidR="00F14DF0">
        <w:rPr>
          <w:rFonts w:eastAsia="Times New Roman"/>
          <w:szCs w:val="28"/>
          <w:lang w:eastAsia="ru-RU"/>
        </w:rPr>
        <w:t xml:space="preserve"> систем</w:t>
      </w:r>
      <w:r w:rsidR="0019506D">
        <w:rPr>
          <w:rFonts w:eastAsia="Times New Roman"/>
          <w:szCs w:val="28"/>
          <w:lang w:eastAsia="ru-RU"/>
        </w:rPr>
        <w:t>у</w:t>
      </w:r>
      <w:r w:rsidR="004F3AE9">
        <w:rPr>
          <w:rFonts w:eastAsia="Times New Roman"/>
          <w:szCs w:val="28"/>
          <w:lang w:eastAsia="ru-RU"/>
        </w:rPr>
        <w:t xml:space="preserve"> перинатальної допомоги</w:t>
      </w:r>
      <w:r w:rsidR="00F14DF0">
        <w:rPr>
          <w:rFonts w:eastAsia="Times New Roman"/>
          <w:szCs w:val="28"/>
          <w:lang w:eastAsia="ru-RU"/>
        </w:rPr>
        <w:t>,</w:t>
      </w:r>
      <w:r w:rsidR="0098770A">
        <w:rPr>
          <w:rFonts w:eastAsia="Times New Roman"/>
          <w:szCs w:val="28"/>
          <w:lang w:eastAsia="ru-RU"/>
        </w:rPr>
        <w:t xml:space="preserve"> адаптовану до особливостей</w:t>
      </w:r>
      <w:r w:rsidR="0019506D">
        <w:rPr>
          <w:rFonts w:eastAsia="Times New Roman"/>
          <w:szCs w:val="28"/>
          <w:lang w:eastAsia="ru-RU"/>
        </w:rPr>
        <w:t xml:space="preserve"> регіонів</w:t>
      </w:r>
      <w:r w:rsidR="00F14DF0">
        <w:rPr>
          <w:rFonts w:eastAsia="Times New Roman"/>
          <w:szCs w:val="28"/>
          <w:lang w:eastAsia="ru-RU"/>
        </w:rPr>
        <w:t xml:space="preserve">, </w:t>
      </w:r>
      <w:r w:rsidR="0019506D">
        <w:rPr>
          <w:rFonts w:eastAsia="Times New Roman"/>
          <w:szCs w:val="28"/>
          <w:lang w:eastAsia="ru-RU"/>
        </w:rPr>
        <w:t>проводиться</w:t>
      </w:r>
      <w:r w:rsidR="00610211">
        <w:rPr>
          <w:rFonts w:eastAsia="Times New Roman"/>
          <w:szCs w:val="28"/>
          <w:lang w:eastAsia="ru-RU"/>
        </w:rPr>
        <w:t xml:space="preserve"> сертифікація закладів</w:t>
      </w:r>
      <w:r w:rsidR="00F14DF0">
        <w:rPr>
          <w:rFonts w:eastAsia="Times New Roman"/>
          <w:szCs w:val="28"/>
          <w:lang w:eastAsia="ru-RU"/>
        </w:rPr>
        <w:t xml:space="preserve"> перинатальної допомоги </w:t>
      </w:r>
      <w:r w:rsidR="004F3AE9" w:rsidRPr="004F3AE9">
        <w:rPr>
          <w:rFonts w:eastAsia="Times New Roman"/>
          <w:szCs w:val="28"/>
          <w:lang w:eastAsia="ru-RU"/>
        </w:rPr>
        <w:t>на звання «Лікарня доброзичлива до дитини»</w:t>
      </w:r>
      <w:r w:rsidR="00F14DF0">
        <w:rPr>
          <w:rFonts w:eastAsia="Times New Roman"/>
          <w:szCs w:val="28"/>
          <w:lang w:eastAsia="ru-RU"/>
        </w:rPr>
        <w:t xml:space="preserve"> (ЛДД)</w:t>
      </w:r>
      <w:r w:rsidR="00E816D4">
        <w:rPr>
          <w:rFonts w:eastAsia="Times New Roman"/>
          <w:szCs w:val="28"/>
          <w:lang w:eastAsia="ru-RU"/>
        </w:rPr>
        <w:t xml:space="preserve">, </w:t>
      </w:r>
      <w:r w:rsidR="0019506D">
        <w:rPr>
          <w:rFonts w:eastAsia="Times New Roman"/>
          <w:szCs w:val="28"/>
          <w:lang w:eastAsia="ru-RU"/>
        </w:rPr>
        <w:t xml:space="preserve">спостерігається </w:t>
      </w:r>
      <w:r w:rsidR="00F14DF0" w:rsidRPr="00F14DF0">
        <w:rPr>
          <w:rFonts w:eastAsia="Times New Roman"/>
          <w:szCs w:val="28"/>
          <w:lang w:eastAsia="ru-RU"/>
        </w:rPr>
        <w:t>достатній рівень укомплектованості</w:t>
      </w:r>
      <w:r w:rsidR="005F2B8F" w:rsidRPr="005F2B8F">
        <w:rPr>
          <w:rFonts w:eastAsia="Times New Roman"/>
          <w:szCs w:val="28"/>
          <w:lang w:eastAsia="ru-RU"/>
        </w:rPr>
        <w:t xml:space="preserve"> </w:t>
      </w:r>
      <w:r w:rsidR="0019506D">
        <w:rPr>
          <w:rFonts w:eastAsia="Times New Roman"/>
          <w:szCs w:val="28"/>
          <w:lang w:eastAsia="ru-RU"/>
        </w:rPr>
        <w:t xml:space="preserve">ЗПД </w:t>
      </w:r>
      <w:r w:rsidR="00E816D4">
        <w:rPr>
          <w:rFonts w:eastAsia="Times New Roman"/>
          <w:szCs w:val="28"/>
          <w:lang w:eastAsia="ru-RU"/>
        </w:rPr>
        <w:t>медичними кадрами</w:t>
      </w:r>
      <w:r w:rsidR="00F14DF0" w:rsidRPr="00F14DF0">
        <w:rPr>
          <w:rFonts w:eastAsia="Times New Roman"/>
          <w:szCs w:val="28"/>
          <w:lang w:eastAsia="ru-RU"/>
        </w:rPr>
        <w:t xml:space="preserve"> і високий рівень</w:t>
      </w:r>
      <w:r w:rsidR="0019506D">
        <w:rPr>
          <w:rFonts w:eastAsia="Times New Roman"/>
          <w:szCs w:val="28"/>
          <w:lang w:eastAsia="ru-RU"/>
        </w:rPr>
        <w:t xml:space="preserve"> їх</w:t>
      </w:r>
      <w:r w:rsidR="00E816D4">
        <w:rPr>
          <w:rFonts w:eastAsia="Times New Roman"/>
          <w:szCs w:val="28"/>
          <w:lang w:eastAsia="ru-RU"/>
        </w:rPr>
        <w:t xml:space="preserve"> кваліфікації</w:t>
      </w:r>
      <w:r w:rsidR="00F14DF0">
        <w:rPr>
          <w:rFonts w:eastAsia="Times New Roman"/>
          <w:szCs w:val="28"/>
          <w:lang w:eastAsia="ru-RU"/>
        </w:rPr>
        <w:t xml:space="preserve">, </w:t>
      </w:r>
      <w:r w:rsidR="0019506D">
        <w:rPr>
          <w:rFonts w:eastAsia="Times New Roman"/>
          <w:szCs w:val="28"/>
          <w:lang w:eastAsia="ru-RU"/>
        </w:rPr>
        <w:t>наявні</w:t>
      </w:r>
      <w:r w:rsidR="00F14DF0">
        <w:rPr>
          <w:rFonts w:eastAsia="Times New Roman"/>
          <w:szCs w:val="28"/>
          <w:lang w:eastAsia="ru-RU"/>
        </w:rPr>
        <w:t xml:space="preserve"> позитивн</w:t>
      </w:r>
      <w:r w:rsidR="0019506D">
        <w:rPr>
          <w:rFonts w:eastAsia="Times New Roman"/>
          <w:szCs w:val="28"/>
          <w:lang w:eastAsia="ru-RU"/>
        </w:rPr>
        <w:t>і</w:t>
      </w:r>
      <w:r w:rsidR="00F14DF0">
        <w:rPr>
          <w:rFonts w:eastAsia="Times New Roman"/>
          <w:szCs w:val="28"/>
          <w:lang w:eastAsia="ru-RU"/>
        </w:rPr>
        <w:t xml:space="preserve"> тенденції</w:t>
      </w:r>
      <w:r w:rsidR="00F14DF0" w:rsidRPr="00F14DF0">
        <w:rPr>
          <w:rFonts w:eastAsia="Times New Roman"/>
          <w:szCs w:val="28"/>
          <w:lang w:eastAsia="ru-RU"/>
        </w:rPr>
        <w:t xml:space="preserve"> виживання новонароджених з дуже малою масою тіла при народженні</w:t>
      </w:r>
      <w:r w:rsidR="006C60B2">
        <w:rPr>
          <w:rFonts w:eastAsia="Times New Roman"/>
          <w:szCs w:val="28"/>
          <w:lang w:eastAsia="ru-RU"/>
        </w:rPr>
        <w:t xml:space="preserve"> </w:t>
      </w:r>
      <w:r w:rsidR="007C5EEC">
        <w:rPr>
          <w:rFonts w:eastAsia="Times New Roman"/>
          <w:szCs w:val="28"/>
          <w:lang w:eastAsia="ru-RU"/>
        </w:rPr>
        <w:t>[14, 17</w:t>
      </w:r>
      <w:r w:rsidR="006C60B2" w:rsidRPr="006C60B2">
        <w:rPr>
          <w:rFonts w:eastAsia="Times New Roman"/>
          <w:szCs w:val="28"/>
          <w:lang w:eastAsia="ru-RU"/>
        </w:rPr>
        <w:t>,</w:t>
      </w:r>
      <w:r w:rsidR="007C5EEC">
        <w:rPr>
          <w:rFonts w:eastAsia="Times New Roman"/>
          <w:szCs w:val="28"/>
          <w:lang w:eastAsia="ru-RU"/>
        </w:rPr>
        <w:t xml:space="preserve"> 20-24, 30, 34</w:t>
      </w:r>
      <w:r w:rsidR="006C60B2" w:rsidRPr="006C60B2">
        <w:rPr>
          <w:rFonts w:eastAsia="Times New Roman"/>
          <w:szCs w:val="28"/>
          <w:lang w:eastAsia="ru-RU"/>
        </w:rPr>
        <w:t>,</w:t>
      </w:r>
      <w:r w:rsidR="007C5EEC">
        <w:rPr>
          <w:rFonts w:eastAsia="Times New Roman"/>
          <w:szCs w:val="28"/>
          <w:lang w:eastAsia="ru-RU"/>
        </w:rPr>
        <w:t xml:space="preserve"> </w:t>
      </w:r>
      <w:r w:rsidR="00F66564">
        <w:rPr>
          <w:rFonts w:eastAsia="Times New Roman"/>
          <w:szCs w:val="28"/>
          <w:lang w:eastAsia="ru-RU"/>
        </w:rPr>
        <w:t>41, 278, 286, 290, 291, 344-</w:t>
      </w:r>
      <w:r w:rsidR="006C60B2" w:rsidRPr="006C60B2">
        <w:rPr>
          <w:rFonts w:eastAsia="Times New Roman"/>
          <w:szCs w:val="28"/>
          <w:lang w:eastAsia="ru-RU"/>
        </w:rPr>
        <w:t xml:space="preserve"> 346]</w:t>
      </w:r>
      <w:r w:rsidR="00F14DF0" w:rsidRPr="00F14DF0">
        <w:rPr>
          <w:rFonts w:eastAsia="Times New Roman"/>
          <w:szCs w:val="28"/>
          <w:lang w:eastAsia="ru-RU"/>
        </w:rPr>
        <w:t>.</w:t>
      </w:r>
      <w:r w:rsidR="008E3529">
        <w:rPr>
          <w:rFonts w:eastAsia="Times New Roman"/>
          <w:szCs w:val="28"/>
          <w:lang w:eastAsia="ru-RU"/>
        </w:rPr>
        <w:t xml:space="preserve"> Отже надалі треба</w:t>
      </w:r>
      <w:r w:rsidR="00691DD3">
        <w:rPr>
          <w:rFonts w:eastAsia="Times New Roman"/>
          <w:szCs w:val="28"/>
          <w:lang w:eastAsia="ru-RU"/>
        </w:rPr>
        <w:t xml:space="preserve"> </w:t>
      </w:r>
      <w:r w:rsidR="008E3529">
        <w:rPr>
          <w:rFonts w:eastAsia="Times New Roman"/>
          <w:szCs w:val="28"/>
          <w:lang w:eastAsia="ru-RU"/>
        </w:rPr>
        <w:t>спрямувати</w:t>
      </w:r>
      <w:r w:rsidR="00701654">
        <w:rPr>
          <w:rFonts w:eastAsia="Times New Roman"/>
          <w:szCs w:val="28"/>
          <w:lang w:eastAsia="ru-RU"/>
        </w:rPr>
        <w:t xml:space="preserve"> </w:t>
      </w:r>
      <w:r w:rsidR="008E3529">
        <w:rPr>
          <w:rFonts w:eastAsia="Times New Roman"/>
          <w:szCs w:val="28"/>
          <w:lang w:eastAsia="ru-RU"/>
        </w:rPr>
        <w:t xml:space="preserve"> зусилля на з</w:t>
      </w:r>
      <w:r w:rsidR="00417E0C">
        <w:rPr>
          <w:rFonts w:eastAsia="Times New Roman"/>
          <w:szCs w:val="28"/>
          <w:lang w:eastAsia="ru-RU"/>
        </w:rPr>
        <w:t>авершення</w:t>
      </w:r>
      <w:r w:rsidR="008E3529">
        <w:rPr>
          <w:rFonts w:eastAsia="Times New Roman"/>
          <w:szCs w:val="28"/>
          <w:lang w:eastAsia="ru-RU"/>
        </w:rPr>
        <w:t xml:space="preserve"> створення ПЦ ІІІ рівня в </w:t>
      </w:r>
      <w:r w:rsidR="005B6CAC">
        <w:rPr>
          <w:rFonts w:eastAsia="Times New Roman"/>
          <w:szCs w:val="28"/>
          <w:lang w:eastAsia="ru-RU"/>
        </w:rPr>
        <w:t>усіх областях України (</w:t>
      </w:r>
      <w:r w:rsidR="008E3529">
        <w:rPr>
          <w:rFonts w:eastAsia="Times New Roman"/>
          <w:szCs w:val="28"/>
          <w:lang w:eastAsia="ru-RU"/>
        </w:rPr>
        <w:t>Херсонській</w:t>
      </w:r>
      <w:r w:rsidR="008E3529" w:rsidRPr="008E3529">
        <w:rPr>
          <w:rFonts w:eastAsia="Times New Roman"/>
          <w:szCs w:val="28"/>
          <w:lang w:eastAsia="ru-RU"/>
        </w:rPr>
        <w:t xml:space="preserve">, </w:t>
      </w:r>
      <w:r w:rsidR="008E3529">
        <w:rPr>
          <w:rFonts w:eastAsia="Times New Roman"/>
          <w:szCs w:val="28"/>
          <w:lang w:eastAsia="ru-RU"/>
        </w:rPr>
        <w:t>Закарпатській, Чернігівській, Миколаївській областях</w:t>
      </w:r>
      <w:r w:rsidR="005B6CAC">
        <w:rPr>
          <w:rFonts w:eastAsia="Times New Roman"/>
          <w:szCs w:val="28"/>
          <w:lang w:eastAsia="ru-RU"/>
        </w:rPr>
        <w:t>)</w:t>
      </w:r>
      <w:r w:rsidR="008E3529">
        <w:rPr>
          <w:rFonts w:eastAsia="Times New Roman"/>
          <w:szCs w:val="28"/>
          <w:lang w:eastAsia="ru-RU"/>
        </w:rPr>
        <w:t>, вдосконал</w:t>
      </w:r>
      <w:r w:rsidR="00417E0C">
        <w:rPr>
          <w:rFonts w:eastAsia="Times New Roman"/>
          <w:szCs w:val="28"/>
          <w:lang w:eastAsia="ru-RU"/>
        </w:rPr>
        <w:t>ення</w:t>
      </w:r>
      <w:r w:rsidR="008E3529">
        <w:rPr>
          <w:rFonts w:eastAsia="Times New Roman"/>
          <w:szCs w:val="28"/>
          <w:lang w:eastAsia="ru-RU"/>
        </w:rPr>
        <w:t xml:space="preserve"> програми ВНЗ щодо підготовки спеціалістів</w:t>
      </w:r>
      <w:r w:rsidR="00691DD3">
        <w:rPr>
          <w:rFonts w:eastAsia="Times New Roman"/>
          <w:szCs w:val="28"/>
          <w:lang w:eastAsia="ru-RU"/>
        </w:rPr>
        <w:t xml:space="preserve"> з надання перинатальної допомоги</w:t>
      </w:r>
      <w:r w:rsidR="008E3529">
        <w:rPr>
          <w:rFonts w:eastAsia="Times New Roman"/>
          <w:szCs w:val="28"/>
          <w:lang w:eastAsia="ru-RU"/>
        </w:rPr>
        <w:t>, дотримання маршруту пацієнта,</w:t>
      </w:r>
      <w:r w:rsidR="000663CF">
        <w:rPr>
          <w:rFonts w:eastAsia="Times New Roman"/>
          <w:szCs w:val="28"/>
          <w:lang w:eastAsia="ru-RU"/>
        </w:rPr>
        <w:t xml:space="preserve"> підвищення доступності перинатальної </w:t>
      </w:r>
      <w:r w:rsidR="000663CF">
        <w:rPr>
          <w:rFonts w:eastAsia="Times New Roman"/>
          <w:szCs w:val="28"/>
          <w:lang w:eastAsia="ru-RU"/>
        </w:rPr>
        <w:lastRenderedPageBreak/>
        <w:t>допомоги,</w:t>
      </w:r>
      <w:r w:rsidR="008E3529">
        <w:rPr>
          <w:rFonts w:eastAsia="Times New Roman"/>
          <w:szCs w:val="28"/>
          <w:lang w:eastAsia="ru-RU"/>
        </w:rPr>
        <w:t xml:space="preserve">  впровадження послуг </w:t>
      </w:r>
      <w:r w:rsidR="00540DE4">
        <w:rPr>
          <w:rFonts w:eastAsia="Times New Roman"/>
          <w:szCs w:val="28"/>
          <w:lang w:eastAsia="ru-RU"/>
        </w:rPr>
        <w:t>і</w:t>
      </w:r>
      <w:r w:rsidR="008E3529">
        <w:rPr>
          <w:rFonts w:eastAsia="Times New Roman"/>
          <w:szCs w:val="28"/>
          <w:lang w:eastAsia="ru-RU"/>
        </w:rPr>
        <w:t xml:space="preserve">з раннього втручання, </w:t>
      </w:r>
      <w:r w:rsidR="00691DD3" w:rsidRPr="00691DD3">
        <w:rPr>
          <w:rFonts w:eastAsia="Times New Roman"/>
          <w:szCs w:val="28"/>
          <w:lang w:eastAsia="ru-RU"/>
        </w:rPr>
        <w:t xml:space="preserve">катамнестичного спостереження, </w:t>
      </w:r>
      <w:r w:rsidR="008E3529" w:rsidRPr="008E3529">
        <w:rPr>
          <w:rFonts w:eastAsia="Times New Roman"/>
          <w:szCs w:val="28"/>
          <w:lang w:eastAsia="ru-RU"/>
        </w:rPr>
        <w:t>паліативн</w:t>
      </w:r>
      <w:r w:rsidR="00F2384F">
        <w:rPr>
          <w:rFonts w:eastAsia="Times New Roman"/>
          <w:szCs w:val="28"/>
          <w:lang w:eastAsia="ru-RU"/>
        </w:rPr>
        <w:t>ої допомоги</w:t>
      </w:r>
      <w:r w:rsidR="00691DD3">
        <w:rPr>
          <w:rFonts w:eastAsia="Times New Roman"/>
          <w:szCs w:val="28"/>
          <w:lang w:eastAsia="ru-RU"/>
        </w:rPr>
        <w:t>, реабілітації</w:t>
      </w:r>
      <w:r w:rsidR="00F2384F">
        <w:rPr>
          <w:rFonts w:eastAsia="Times New Roman"/>
          <w:szCs w:val="28"/>
          <w:lang w:eastAsia="ru-RU"/>
        </w:rPr>
        <w:t xml:space="preserve"> дітям раннього віку, підвищення виживаності </w:t>
      </w:r>
      <w:r w:rsidR="00540DE4">
        <w:rPr>
          <w:rFonts w:eastAsia="Times New Roman"/>
          <w:szCs w:val="28"/>
          <w:lang w:eastAsia="ru-RU"/>
        </w:rPr>
        <w:t>новонароджених, у</w:t>
      </w:r>
      <w:r w:rsidR="008E3529" w:rsidRPr="008E3529">
        <w:rPr>
          <w:rFonts w:eastAsia="Times New Roman"/>
          <w:szCs w:val="28"/>
          <w:lang w:eastAsia="ru-RU"/>
        </w:rPr>
        <w:t xml:space="preserve"> тому числі з дуже малою масою тіла при народженні та </w:t>
      </w:r>
      <w:r w:rsidR="00691DD3">
        <w:rPr>
          <w:rFonts w:eastAsia="Times New Roman"/>
          <w:szCs w:val="28"/>
          <w:lang w:eastAsia="ru-RU"/>
        </w:rPr>
        <w:t xml:space="preserve">попередженні </w:t>
      </w:r>
      <w:r w:rsidR="008E3529" w:rsidRPr="008E3529">
        <w:rPr>
          <w:rFonts w:eastAsia="Times New Roman"/>
          <w:szCs w:val="28"/>
          <w:lang w:eastAsia="ru-RU"/>
        </w:rPr>
        <w:t>перинатальних втрат.</w:t>
      </w:r>
      <w:r w:rsidR="00B42E74">
        <w:rPr>
          <w:rFonts w:eastAsia="Times New Roman"/>
          <w:szCs w:val="28"/>
          <w:lang w:eastAsia="ru-RU"/>
        </w:rPr>
        <w:t xml:space="preserve"> Подальшому створенню</w:t>
      </w:r>
      <w:r w:rsidR="00B42E74" w:rsidRPr="00B42E74">
        <w:rPr>
          <w:rFonts w:eastAsia="Calibri"/>
          <w:color w:val="FF0000"/>
          <w:szCs w:val="28"/>
        </w:rPr>
        <w:t xml:space="preserve"> </w:t>
      </w:r>
      <w:r w:rsidR="00B42E74" w:rsidRPr="00B42E74">
        <w:rPr>
          <w:rFonts w:eastAsia="Times New Roman"/>
          <w:szCs w:val="28"/>
          <w:lang w:eastAsia="ru-RU"/>
        </w:rPr>
        <w:t>сучасної трирівневої системи перинатальної допомоги</w:t>
      </w:r>
      <w:r w:rsidR="00B42E74">
        <w:rPr>
          <w:rFonts w:eastAsia="Times New Roman"/>
          <w:szCs w:val="28"/>
          <w:lang w:eastAsia="ru-RU"/>
        </w:rPr>
        <w:t xml:space="preserve"> із раціональним використанням ресурсів сприяє використання досвіду РПД інших країн</w:t>
      </w:r>
      <w:r w:rsidR="005241DF">
        <w:rPr>
          <w:rFonts w:eastAsia="Times New Roman"/>
          <w:szCs w:val="28"/>
          <w:lang w:eastAsia="ru-RU"/>
        </w:rPr>
        <w:t xml:space="preserve">, </w:t>
      </w:r>
      <w:r w:rsidR="005241DF" w:rsidRPr="005241DF">
        <w:rPr>
          <w:rFonts w:eastAsia="Times New Roman"/>
          <w:szCs w:val="28"/>
          <w:lang w:eastAsia="ru-RU"/>
        </w:rPr>
        <w:t>децентралізації повноважень з центрального рівня на</w:t>
      </w:r>
      <w:r w:rsidR="00F3213A">
        <w:rPr>
          <w:rFonts w:eastAsia="Times New Roman"/>
          <w:szCs w:val="28"/>
          <w:lang w:eastAsia="ru-RU"/>
        </w:rPr>
        <w:t xml:space="preserve"> регіональний з делегуванням </w:t>
      </w:r>
      <w:r w:rsidR="005241DF" w:rsidRPr="005241DF">
        <w:rPr>
          <w:rFonts w:eastAsia="Times New Roman"/>
          <w:szCs w:val="28"/>
          <w:lang w:eastAsia="ru-RU"/>
        </w:rPr>
        <w:t>відповідальності за надання медичної допомоги, можливості реалізації потенціалу через пріоритетні державні програми</w:t>
      </w:r>
      <w:r w:rsidR="00B42E74">
        <w:rPr>
          <w:rFonts w:eastAsia="Times New Roman"/>
          <w:szCs w:val="28"/>
          <w:lang w:eastAsia="ru-RU"/>
        </w:rPr>
        <w:t xml:space="preserve"> </w:t>
      </w:r>
      <w:r w:rsidR="00B42E74" w:rsidRPr="00B42E74">
        <w:rPr>
          <w:rFonts w:eastAsia="Times New Roman"/>
          <w:szCs w:val="28"/>
          <w:lang w:eastAsia="ru-RU"/>
        </w:rPr>
        <w:t>[204, 231, 346, 347]</w:t>
      </w:r>
      <w:r w:rsidR="00F3213A">
        <w:rPr>
          <w:rFonts w:eastAsia="Times New Roman"/>
          <w:szCs w:val="28"/>
          <w:lang w:eastAsia="ru-RU"/>
        </w:rPr>
        <w:t xml:space="preserve">, а також усунення потенційних загроз </w:t>
      </w:r>
      <w:r w:rsidR="0098770A">
        <w:rPr>
          <w:rFonts w:eastAsia="Times New Roman"/>
          <w:szCs w:val="28"/>
          <w:lang w:eastAsia="ru-RU"/>
        </w:rPr>
        <w:t>економічного</w:t>
      </w:r>
      <w:r w:rsidR="008E3969">
        <w:rPr>
          <w:rFonts w:eastAsia="Times New Roman"/>
          <w:szCs w:val="28"/>
          <w:lang w:eastAsia="ru-RU"/>
        </w:rPr>
        <w:t>, інфраструктурного, матеріально-ресурсного, кадрового</w:t>
      </w:r>
      <w:r w:rsidR="0098770A">
        <w:rPr>
          <w:rFonts w:eastAsia="Times New Roman"/>
          <w:szCs w:val="28"/>
          <w:lang w:eastAsia="ru-RU"/>
        </w:rPr>
        <w:t xml:space="preserve"> характеру</w:t>
      </w:r>
      <w:r w:rsidR="008E3969">
        <w:rPr>
          <w:rFonts w:eastAsia="Times New Roman"/>
          <w:szCs w:val="28"/>
          <w:lang w:eastAsia="ru-RU"/>
        </w:rPr>
        <w:t xml:space="preserve"> тощо.</w:t>
      </w:r>
    </w:p>
    <w:p w:rsidR="003B67F9" w:rsidRPr="00F34224" w:rsidRDefault="003B67F9" w:rsidP="00721203">
      <w:pPr>
        <w:widowControl w:val="0"/>
        <w:ind w:firstLine="720"/>
        <w:rPr>
          <w:rFonts w:eastAsia="Times New Roman"/>
          <w:color w:val="000000" w:themeColor="text1"/>
          <w:szCs w:val="28"/>
          <w:lang w:eastAsia="ru-RU"/>
        </w:rPr>
      </w:pPr>
      <w:r w:rsidRPr="00006A39">
        <w:rPr>
          <w:rFonts w:eastAsia="Times New Roman"/>
          <w:szCs w:val="28"/>
          <w:lang w:eastAsia="ru-RU"/>
        </w:rPr>
        <w:t>Найперспективнішим ресурсом економіки та безпеки країни є здоров’я матері і новонародженої</w:t>
      </w:r>
      <w:r w:rsidRPr="00006A39">
        <w:rPr>
          <w:rFonts w:eastAsia="Times New Roman"/>
          <w:color w:val="FF0000"/>
          <w:szCs w:val="28"/>
          <w:lang w:eastAsia="ru-RU"/>
        </w:rPr>
        <w:t xml:space="preserve">  </w:t>
      </w:r>
      <w:r w:rsidRPr="00006A39">
        <w:rPr>
          <w:rFonts w:eastAsia="Times New Roman"/>
          <w:szCs w:val="28"/>
          <w:lang w:eastAsia="ru-RU"/>
        </w:rPr>
        <w:t>дитини, при цьо</w:t>
      </w:r>
      <w:r w:rsidR="00540DE4">
        <w:rPr>
          <w:rFonts w:eastAsia="Times New Roman"/>
          <w:szCs w:val="28"/>
          <w:lang w:eastAsia="ru-RU"/>
        </w:rPr>
        <w:t>му значний внесок у формування та</w:t>
      </w:r>
      <w:r w:rsidRPr="00006A39">
        <w:rPr>
          <w:rFonts w:eastAsia="Times New Roman"/>
          <w:szCs w:val="28"/>
          <w:lang w:eastAsia="ru-RU"/>
        </w:rPr>
        <w:t xml:space="preserve"> зміцнення їх здоров’я, зниження інвалідності та смертності вносить система надання перинатальної допомоги. На даний час в Україні тривають процеси трансформації галузі охорони здоров’я</w:t>
      </w:r>
      <w:r w:rsidRPr="00006A39">
        <w:rPr>
          <w:rFonts w:eastAsia="Times New Roman"/>
          <w:color w:val="FF0000"/>
          <w:szCs w:val="28"/>
          <w:lang w:eastAsia="ru-RU"/>
        </w:rPr>
        <w:t xml:space="preserve"> </w:t>
      </w:r>
      <w:r w:rsidRPr="00006A39">
        <w:rPr>
          <w:rFonts w:eastAsia="Times New Roman"/>
          <w:szCs w:val="28"/>
          <w:lang w:eastAsia="ru-RU"/>
        </w:rPr>
        <w:t>в цілому і, зокрема, реорганізації служби перин</w:t>
      </w:r>
      <w:r w:rsidR="00540DE4">
        <w:rPr>
          <w:rFonts w:eastAsia="Times New Roman"/>
          <w:szCs w:val="28"/>
          <w:lang w:eastAsia="ru-RU"/>
        </w:rPr>
        <w:t>атальної допомоги, що потребує</w:t>
      </w:r>
      <w:r w:rsidRPr="00006A39">
        <w:rPr>
          <w:rFonts w:eastAsia="Times New Roman"/>
          <w:szCs w:val="28"/>
          <w:lang w:eastAsia="ru-RU"/>
        </w:rPr>
        <w:t xml:space="preserve"> здійснення оцінки їх ефективності</w:t>
      </w:r>
      <w:r w:rsidR="002B3E61">
        <w:rPr>
          <w:rFonts w:eastAsia="Times New Roman"/>
          <w:szCs w:val="28"/>
          <w:lang w:val="ru-RU" w:eastAsia="ru-RU"/>
        </w:rPr>
        <w:t xml:space="preserve"> </w:t>
      </w:r>
      <w:r w:rsidR="002B3E61" w:rsidRPr="002B3E61">
        <w:rPr>
          <w:rFonts w:eastAsia="Times New Roman"/>
          <w:szCs w:val="28"/>
          <w:lang w:val="ru-RU" w:eastAsia="ru-RU"/>
        </w:rPr>
        <w:t>[348</w:t>
      </w:r>
      <w:r w:rsidR="00F36852">
        <w:rPr>
          <w:rFonts w:eastAsia="Times New Roman"/>
          <w:szCs w:val="28"/>
          <w:lang w:val="ru-RU" w:eastAsia="ru-RU"/>
        </w:rPr>
        <w:t>, 349</w:t>
      </w:r>
      <w:r w:rsidR="002B3E61" w:rsidRPr="002B3E61">
        <w:rPr>
          <w:rFonts w:eastAsia="Times New Roman"/>
          <w:szCs w:val="28"/>
          <w:lang w:val="ru-RU" w:eastAsia="ru-RU"/>
        </w:rPr>
        <w:t>]</w:t>
      </w:r>
      <w:r w:rsidRPr="00006A39">
        <w:rPr>
          <w:rFonts w:eastAsia="Times New Roman"/>
          <w:szCs w:val="28"/>
          <w:lang w:eastAsia="ru-RU"/>
        </w:rPr>
        <w:t xml:space="preserve">. В зв’язку з чим, нами розроблено </w:t>
      </w:r>
      <w:r w:rsidRPr="00006A39">
        <w:rPr>
          <w:rFonts w:eastAsia="Calibri"/>
          <w:szCs w:val="28"/>
        </w:rPr>
        <w:t>інструментарій, який дозволить своєчасно отримувати і аналізувати дані щодо регіоналізації перинатальної допомоги для</w:t>
      </w:r>
      <w:r w:rsidR="00540DE4">
        <w:rPr>
          <w:rFonts w:eastAsia="Calibri"/>
          <w:szCs w:val="28"/>
        </w:rPr>
        <w:t xml:space="preserve"> наступного прийняття або кориг</w:t>
      </w:r>
      <w:r w:rsidRPr="00006A39">
        <w:rPr>
          <w:rFonts w:eastAsia="Calibri"/>
          <w:szCs w:val="28"/>
        </w:rPr>
        <w:t xml:space="preserve">ування управлінських рішень, спрямованих на вирішення комплексу проблем, що визначають здоров'я матері і дитини, якість і доступність наданої медичної допомоги на всіх її етапах. </w:t>
      </w:r>
      <w:r w:rsidRPr="00006A39">
        <w:rPr>
          <w:rFonts w:eastAsia="Times New Roman"/>
          <w:szCs w:val="28"/>
          <w:lang w:eastAsia="ru-RU"/>
        </w:rPr>
        <w:t>У цілому, будь яка реформа охорони здоров’я повинна спрям</w:t>
      </w:r>
      <w:r w:rsidR="00D358F3">
        <w:rPr>
          <w:rFonts w:eastAsia="Times New Roman"/>
          <w:szCs w:val="28"/>
          <w:lang w:eastAsia="ru-RU"/>
        </w:rPr>
        <w:t>овуватись на безперервне покращ</w:t>
      </w:r>
      <w:r w:rsidR="00D358F3">
        <w:rPr>
          <w:rFonts w:eastAsia="Times New Roman"/>
          <w:szCs w:val="28"/>
          <w:lang w:val="ru-RU" w:eastAsia="ru-RU"/>
        </w:rPr>
        <w:t>е</w:t>
      </w:r>
      <w:r w:rsidRPr="00006A39">
        <w:rPr>
          <w:rFonts w:eastAsia="Times New Roman"/>
          <w:szCs w:val="28"/>
          <w:lang w:eastAsia="ru-RU"/>
        </w:rPr>
        <w:t xml:space="preserve">ння якості медичної допомоги, а також на підвищення її ефективності, розробку і використання системи </w:t>
      </w:r>
      <w:r w:rsidR="00925241">
        <w:rPr>
          <w:rFonts w:eastAsia="Times New Roman"/>
          <w:szCs w:val="28"/>
          <w:lang w:eastAsia="ru-RU"/>
        </w:rPr>
        <w:t>її моніторингу і оцінки</w:t>
      </w:r>
      <w:r w:rsidRPr="00006A39">
        <w:rPr>
          <w:rFonts w:eastAsia="Times New Roman"/>
          <w:szCs w:val="28"/>
          <w:lang w:eastAsia="ru-RU"/>
        </w:rPr>
        <w:t xml:space="preserve">. Для вдосконалення перинатальної допомоги важливо систематично аналізувати  результати діяльності ЗОЗ, виявляти та оцінювати зміни, що відбулися в стані здоров'я матерів і дітей, розробляти додаткові диференційовані пропозиції по оптимізації перинатальної допомоги на всіх етапах її надання. </w:t>
      </w:r>
    </w:p>
    <w:p w:rsidR="003B67F9" w:rsidRPr="00006A39" w:rsidRDefault="003B67F9" w:rsidP="00721203">
      <w:pPr>
        <w:widowControl w:val="0"/>
        <w:autoSpaceDE w:val="0"/>
        <w:autoSpaceDN w:val="0"/>
        <w:adjustRightInd w:val="0"/>
        <w:ind w:firstLine="709"/>
        <w:rPr>
          <w:rFonts w:eastAsia="Times New Roman"/>
          <w:szCs w:val="28"/>
          <w:lang w:eastAsia="ru-RU"/>
        </w:rPr>
      </w:pPr>
      <w:r w:rsidRPr="00006A39">
        <w:rPr>
          <w:rFonts w:eastAsia="Times New Roman"/>
          <w:szCs w:val="28"/>
          <w:lang w:eastAsia="ru-RU"/>
        </w:rPr>
        <w:t xml:space="preserve">У ході дослідження нами обґрунтовано, розроблено та частково впроваджено комплексну оцінку діяльності установ і закладів перинатальної допомоги, основним </w:t>
      </w:r>
      <w:r w:rsidRPr="00006A39">
        <w:rPr>
          <w:rFonts w:eastAsia="Times New Roman"/>
          <w:szCs w:val="28"/>
          <w:lang w:eastAsia="ru-RU"/>
        </w:rPr>
        <w:lastRenderedPageBreak/>
        <w:t>інструментом якої є індикатори якості, відносно яких є надійні докази, що їх зміни пов'язані з якістю надання медичної допомоги. Ми пропонуємо окремі індикатори для комплексної оцінки закладів різних р</w:t>
      </w:r>
      <w:r w:rsidR="00B52190">
        <w:rPr>
          <w:rFonts w:eastAsia="Times New Roman"/>
          <w:szCs w:val="28"/>
          <w:lang w:eastAsia="ru-RU"/>
        </w:rPr>
        <w:t>івнів надання медичної допомоги</w:t>
      </w:r>
      <w:r w:rsidRPr="00006A39">
        <w:rPr>
          <w:rFonts w:eastAsia="Times New Roman"/>
          <w:szCs w:val="28"/>
          <w:lang w:eastAsia="ru-RU"/>
        </w:rPr>
        <w:t xml:space="preserve">. Слід зазначити, що Європейським регіональним бюро (ЄРБ) ВООЗ було розпочато нову ініціативу під загальною назвою «Сприяння підвищенню ефективності перинатальної допомоги» (СПЕП), що включає оцінку показників (індикаторів), які необхідно адаптувати на національному і місцевому рівнях у кожному окремому випадку для того, щоб оцінити успіх здійснення ініціативи як в окремій країні, </w:t>
      </w:r>
      <w:r w:rsidR="004D58EF">
        <w:rPr>
          <w:rFonts w:eastAsia="Times New Roman"/>
          <w:szCs w:val="28"/>
          <w:lang w:eastAsia="ru-RU"/>
        </w:rPr>
        <w:t>так і в регіоні в цілому [</w:t>
      </w:r>
      <w:r w:rsidR="00F36852">
        <w:rPr>
          <w:rFonts w:eastAsia="Times New Roman"/>
          <w:szCs w:val="28"/>
          <w:lang w:eastAsia="ru-RU"/>
        </w:rPr>
        <w:t>3</w:t>
      </w:r>
      <w:r w:rsidR="00F36852" w:rsidRPr="00F36852">
        <w:rPr>
          <w:rFonts w:eastAsia="Times New Roman"/>
          <w:szCs w:val="28"/>
          <w:lang w:eastAsia="ru-RU"/>
        </w:rPr>
        <w:t>50</w:t>
      </w:r>
      <w:r w:rsidRPr="00006A39">
        <w:rPr>
          <w:rFonts w:eastAsia="Times New Roman"/>
          <w:szCs w:val="28"/>
          <w:lang w:eastAsia="ru-RU"/>
        </w:rPr>
        <w:t>]. Індикатори використовують як частину процесу оцінки, який робить акцент на здійсненні ініціативи регіоналізації перинатальної допомоги на районному, субрегіональному, регіональному і національному рівнях. Регіоналізований підхід СПЕП дуже важливий, оскільки відповідальність за планування, складання бюджету і надання послуг з охорони материнського і перинатального здоров’я має бути перенесена й на районний рівень. У цілому, оцінка виконання СПЕП може здійснюватися як на державному, так і на регіональному рівнях. На даний</w:t>
      </w:r>
      <w:r w:rsidR="00EB78F9">
        <w:rPr>
          <w:rFonts w:eastAsia="Times New Roman"/>
          <w:szCs w:val="28"/>
          <w:lang w:eastAsia="ru-RU"/>
        </w:rPr>
        <w:t xml:space="preserve"> час у</w:t>
      </w:r>
      <w:r w:rsidRPr="00006A39">
        <w:rPr>
          <w:rFonts w:eastAsia="Times New Roman"/>
          <w:szCs w:val="28"/>
          <w:lang w:eastAsia="ru-RU"/>
        </w:rPr>
        <w:t xml:space="preserve"> Європейському регіоні відрізняються визначення (включаючи визначення самого перинатального догляду), ведення документації (записів), частота збору даних, використання параметрів і точок зору на етичні проблеми, в зв’язку чим проблематичним стає розроблення набору стандартних індикаторі</w:t>
      </w:r>
      <w:r w:rsidR="00EB78F9">
        <w:rPr>
          <w:rFonts w:eastAsia="Times New Roman"/>
          <w:szCs w:val="28"/>
          <w:lang w:eastAsia="ru-RU"/>
        </w:rPr>
        <w:t>в</w:t>
      </w:r>
      <w:r w:rsidRPr="00006A39">
        <w:rPr>
          <w:rFonts w:eastAsia="Times New Roman"/>
          <w:szCs w:val="28"/>
          <w:lang w:eastAsia="ru-RU"/>
        </w:rPr>
        <w:t xml:space="preserve">. </w:t>
      </w:r>
    </w:p>
    <w:p w:rsidR="003B67F9" w:rsidRPr="00006A39" w:rsidRDefault="003B67F9" w:rsidP="00721203">
      <w:pPr>
        <w:widowControl w:val="0"/>
        <w:autoSpaceDE w:val="0"/>
        <w:autoSpaceDN w:val="0"/>
        <w:adjustRightInd w:val="0"/>
        <w:ind w:firstLine="709"/>
        <w:rPr>
          <w:rFonts w:eastAsia="Times New Roman"/>
          <w:szCs w:val="28"/>
          <w:lang w:eastAsia="ru-RU"/>
        </w:rPr>
      </w:pPr>
      <w:r w:rsidRPr="00006A39">
        <w:rPr>
          <w:rFonts w:eastAsia="Times New Roman"/>
          <w:szCs w:val="28"/>
          <w:lang w:eastAsia="ru-RU"/>
        </w:rPr>
        <w:t>Відповідно до ініціативи СПЕП, оцінка повинна ґрунтувати</w:t>
      </w:r>
      <w:r w:rsidR="00B419F9">
        <w:rPr>
          <w:rFonts w:eastAsia="Times New Roman"/>
          <w:szCs w:val="28"/>
          <w:lang w:eastAsia="ru-RU"/>
        </w:rPr>
        <w:t>ся на трьох типах показників:</w:t>
      </w:r>
      <w:r w:rsidR="00B419F9" w:rsidRPr="00B419F9">
        <w:rPr>
          <w:rFonts w:eastAsia="Times New Roman"/>
          <w:szCs w:val="28"/>
          <w:lang w:eastAsia="ru-RU"/>
        </w:rPr>
        <w:t xml:space="preserve"> 1) </w:t>
      </w:r>
      <w:r w:rsidRPr="00006A39">
        <w:rPr>
          <w:rFonts w:eastAsia="Times New Roman"/>
          <w:szCs w:val="28"/>
          <w:lang w:eastAsia="ru-RU"/>
        </w:rPr>
        <w:t>класичні індикатори результатів або наслідків для здоров’я (материнська і перинатальна смертність, плюс деякі показники захворюваності і здоров’я, як, наприклад, еклампсія і грудне або ви</w:t>
      </w:r>
      <w:r w:rsidR="00B419F9">
        <w:rPr>
          <w:rFonts w:eastAsia="Times New Roman"/>
          <w:szCs w:val="28"/>
          <w:lang w:eastAsia="ru-RU"/>
        </w:rPr>
        <w:t xml:space="preserve">ключно грудне вигодовування); </w:t>
      </w:r>
      <w:r w:rsidR="00B419F9" w:rsidRPr="00B419F9">
        <w:rPr>
          <w:rFonts w:eastAsia="Times New Roman"/>
          <w:szCs w:val="28"/>
          <w:lang w:eastAsia="ru-RU"/>
        </w:rPr>
        <w:t>2)</w:t>
      </w:r>
      <w:r w:rsidR="00B419F9">
        <w:rPr>
          <w:rFonts w:eastAsia="Times New Roman"/>
          <w:szCs w:val="28"/>
          <w:lang w:val="ru-RU" w:eastAsia="ru-RU"/>
        </w:rPr>
        <w:t> </w:t>
      </w:r>
      <w:r w:rsidRPr="00006A39">
        <w:rPr>
          <w:rFonts w:eastAsia="Times New Roman"/>
          <w:szCs w:val="28"/>
          <w:lang w:eastAsia="ru-RU"/>
        </w:rPr>
        <w:t>деякі індикатори процесу або діяльності (охоплення видами меди</w:t>
      </w:r>
      <w:r w:rsidR="00B419F9">
        <w:rPr>
          <w:rFonts w:eastAsia="Times New Roman"/>
          <w:szCs w:val="28"/>
          <w:lang w:eastAsia="ru-RU"/>
        </w:rPr>
        <w:t xml:space="preserve">чної допомоги, типи пологів); </w:t>
      </w:r>
      <w:r w:rsidR="00B419F9" w:rsidRPr="00B419F9">
        <w:rPr>
          <w:rFonts w:eastAsia="Times New Roman"/>
          <w:szCs w:val="28"/>
          <w:lang w:eastAsia="ru-RU"/>
        </w:rPr>
        <w:t xml:space="preserve">3) </w:t>
      </w:r>
      <w:r w:rsidRPr="00006A39">
        <w:rPr>
          <w:rFonts w:eastAsia="Times New Roman"/>
          <w:szCs w:val="28"/>
          <w:lang w:eastAsia="ru-RU"/>
        </w:rPr>
        <w:t>деякі індикатори якості догляду, включаючи задоволеність пацієнта. Індикатори процесу мають деякі переваги над індикаторами результатів в області материнського і перинатального догляду: вони дають інформацію про дії, які необхідно зро</w:t>
      </w:r>
      <w:r w:rsidR="00A50BE6">
        <w:rPr>
          <w:rFonts w:eastAsia="Times New Roman"/>
          <w:szCs w:val="28"/>
          <w:lang w:eastAsia="ru-RU"/>
        </w:rPr>
        <w:t>бити, щоб поліпшити ситуацію [</w:t>
      </w:r>
      <w:r w:rsidR="00A50BE6" w:rsidRPr="002E2ACF">
        <w:rPr>
          <w:rFonts w:eastAsia="Times New Roman"/>
          <w:szCs w:val="28"/>
          <w:lang w:eastAsia="ru-RU"/>
        </w:rPr>
        <w:t>346, 349</w:t>
      </w:r>
      <w:r w:rsidRPr="00006A39">
        <w:rPr>
          <w:rFonts w:eastAsia="Times New Roman"/>
          <w:szCs w:val="28"/>
          <w:lang w:eastAsia="ru-RU"/>
        </w:rPr>
        <w:t xml:space="preserve">]. Їхнє вимірювання дешевше, тому їх можна вимірювати або оцінювати частіше, вони відразу </w:t>
      </w:r>
      <w:r w:rsidRPr="00006A39">
        <w:rPr>
          <w:rFonts w:eastAsia="Times New Roman"/>
          <w:szCs w:val="28"/>
          <w:lang w:eastAsia="ru-RU"/>
        </w:rPr>
        <w:lastRenderedPageBreak/>
        <w:t xml:space="preserve">відбивають усі зміни, що дозволяє здійснювати більш своєчасну корекцію виявлених негативних змін. Показники процесу можна використовувати як для початкової комплексної оцінки ситуації, так і для послідуючого аналізу і оцінки  ефективності проведених змін. </w:t>
      </w:r>
    </w:p>
    <w:p w:rsidR="003B67F9" w:rsidRPr="00F34224" w:rsidRDefault="003B67F9" w:rsidP="00721203">
      <w:pPr>
        <w:widowControl w:val="0"/>
        <w:ind w:firstLine="720"/>
        <w:rPr>
          <w:rFonts w:eastAsia="Times New Roman"/>
          <w:szCs w:val="28"/>
          <w:lang w:eastAsia="ru-RU"/>
        </w:rPr>
      </w:pPr>
      <w:r w:rsidRPr="00F34224">
        <w:rPr>
          <w:rFonts w:eastAsia="Times New Roman"/>
          <w:szCs w:val="28"/>
          <w:lang w:eastAsia="ru-RU"/>
        </w:rPr>
        <w:t>Всесвітнім Самітом у захисті дітей і ВООЗ (1993 р.) рекомендовано</w:t>
      </w:r>
      <w:r w:rsidRPr="00F34224">
        <w:rPr>
          <w:rFonts w:eastAsia="Calibri"/>
          <w:szCs w:val="28"/>
        </w:rPr>
        <w:t xml:space="preserve"> наступні з</w:t>
      </w:r>
      <w:r w:rsidRPr="00F34224">
        <w:rPr>
          <w:rFonts w:eastAsia="Times New Roman"/>
          <w:szCs w:val="28"/>
          <w:lang w:eastAsia="ru-RU"/>
        </w:rPr>
        <w:t>агальні індикатори</w:t>
      </w:r>
      <w:r w:rsidR="0025293A">
        <w:rPr>
          <w:rFonts w:eastAsia="Times New Roman"/>
          <w:szCs w:val="28"/>
          <w:lang w:eastAsia="ru-RU"/>
        </w:rPr>
        <w:t>:</w:t>
      </w:r>
      <w:r w:rsidRPr="00F34224">
        <w:rPr>
          <w:rFonts w:eastAsia="Times New Roman"/>
          <w:szCs w:val="28"/>
          <w:lang w:eastAsia="ru-RU"/>
        </w:rPr>
        <w:t xml:space="preserve"> материнського</w:t>
      </w:r>
      <w:r w:rsidR="006576A5" w:rsidRPr="006576A5">
        <w:rPr>
          <w:rFonts w:eastAsia="Times New Roman"/>
          <w:szCs w:val="28"/>
          <w:lang w:eastAsia="ru-RU"/>
        </w:rPr>
        <w:t xml:space="preserve"> догляду, </w:t>
      </w:r>
      <w:r w:rsidR="006576A5">
        <w:rPr>
          <w:rFonts w:eastAsia="Times New Roman"/>
          <w:szCs w:val="28"/>
          <w:lang w:eastAsia="ru-RU"/>
        </w:rPr>
        <w:t>перинатального догляду</w:t>
      </w:r>
      <w:r w:rsidR="006576A5" w:rsidRPr="006576A5">
        <w:rPr>
          <w:rFonts w:eastAsia="Times New Roman"/>
          <w:szCs w:val="28"/>
          <w:lang w:eastAsia="ru-RU"/>
        </w:rPr>
        <w:t>,</w:t>
      </w:r>
      <w:r w:rsidR="006576A5">
        <w:rPr>
          <w:rFonts w:eastAsia="Times New Roman"/>
          <w:szCs w:val="28"/>
          <w:lang w:eastAsia="ru-RU"/>
        </w:rPr>
        <w:t xml:space="preserve"> відсоток вагітних</w:t>
      </w:r>
      <w:r w:rsidR="00705B00">
        <w:rPr>
          <w:rFonts w:eastAsia="Times New Roman"/>
          <w:szCs w:val="28"/>
          <w:lang w:eastAsia="ru-RU"/>
        </w:rPr>
        <w:t>, які відвідують жіночі консультації;  кількість закладів охорони здоров’я, що надають основну</w:t>
      </w:r>
      <w:r w:rsidRPr="00F34224">
        <w:rPr>
          <w:rFonts w:eastAsia="Times New Roman"/>
          <w:szCs w:val="28"/>
          <w:lang w:eastAsia="ru-RU"/>
        </w:rPr>
        <w:t xml:space="preserve"> акушерську допомогу (</w:t>
      </w:r>
      <w:r w:rsidR="00705B00">
        <w:rPr>
          <w:rFonts w:eastAsia="Times New Roman"/>
          <w:szCs w:val="28"/>
          <w:lang w:eastAsia="ru-RU"/>
        </w:rPr>
        <w:t xml:space="preserve">в розрахунку </w:t>
      </w:r>
      <w:r w:rsidR="0025293A">
        <w:rPr>
          <w:rFonts w:eastAsia="Times New Roman"/>
          <w:szCs w:val="28"/>
          <w:lang w:eastAsia="ru-RU"/>
        </w:rPr>
        <w:t>на 500,0 тис. населення)</w:t>
      </w:r>
      <w:r w:rsidRPr="00F34224">
        <w:rPr>
          <w:rFonts w:eastAsia="Times New Roman"/>
          <w:szCs w:val="28"/>
          <w:lang w:eastAsia="ru-RU"/>
        </w:rPr>
        <w:t xml:space="preserve">; </w:t>
      </w:r>
      <w:r w:rsidR="00705B00">
        <w:rPr>
          <w:rFonts w:eastAsia="Times New Roman"/>
          <w:szCs w:val="28"/>
          <w:lang w:eastAsia="ru-RU"/>
        </w:rPr>
        <w:t>розподіл основної</w:t>
      </w:r>
      <w:r w:rsidRPr="00F34224">
        <w:rPr>
          <w:rFonts w:eastAsia="Times New Roman"/>
          <w:szCs w:val="28"/>
          <w:lang w:eastAsia="ru-RU"/>
        </w:rPr>
        <w:t xml:space="preserve"> акушерської допомоги</w:t>
      </w:r>
      <w:r w:rsidR="00705B00">
        <w:rPr>
          <w:rFonts w:eastAsia="Times New Roman"/>
          <w:szCs w:val="28"/>
          <w:lang w:eastAsia="ru-RU"/>
        </w:rPr>
        <w:t xml:space="preserve"> за географічним розташуванням</w:t>
      </w:r>
      <w:r w:rsidRPr="00F34224">
        <w:rPr>
          <w:rFonts w:eastAsia="Times New Roman"/>
          <w:szCs w:val="28"/>
          <w:lang w:eastAsia="ru-RU"/>
        </w:rPr>
        <w:t>; відсоток жінок з ускладненнями при наданні основної акушерської допомоги; час з початку прояву ускладнень (чи поступлення в ЗОЗ) до початку лікування в стаціонарі; відсоток пологів за уч</w:t>
      </w:r>
      <w:r w:rsidR="009E5ACF">
        <w:rPr>
          <w:rFonts w:eastAsia="Times New Roman"/>
          <w:szCs w:val="28"/>
          <w:lang w:eastAsia="ru-RU"/>
        </w:rPr>
        <w:t>астю досвідченого медперсоналу;</w:t>
      </w:r>
      <w:r w:rsidRPr="00F34224">
        <w:rPr>
          <w:rFonts w:eastAsia="Times New Roman"/>
          <w:szCs w:val="28"/>
          <w:lang w:eastAsia="ru-RU"/>
        </w:rPr>
        <w:t xml:space="preserve"> відсоток кесаревих розтинів від загальної кількості пологів; відсоток навчених і компетентних людей, що надають медичну допомогу; присутність близької людини під час пологів; використання </w:t>
      </w:r>
      <w:r w:rsidR="001D1972" w:rsidRPr="00F34224">
        <w:rPr>
          <w:rFonts w:eastAsia="Times New Roman"/>
          <w:szCs w:val="28"/>
          <w:lang w:eastAsia="ru-RU"/>
        </w:rPr>
        <w:t>парторгам</w:t>
      </w:r>
      <w:r w:rsidRPr="00F34224">
        <w:rPr>
          <w:rFonts w:eastAsia="Times New Roman"/>
          <w:szCs w:val="28"/>
          <w:lang w:eastAsia="ru-RU"/>
        </w:rPr>
        <w:t xml:space="preserve"> ВООЗ;  використання положення на спині під час пологів; практику контакту «шкіра до шкі</w:t>
      </w:r>
      <w:r w:rsidR="006203E6">
        <w:rPr>
          <w:rFonts w:eastAsia="Times New Roman"/>
          <w:szCs w:val="28"/>
          <w:lang w:eastAsia="ru-RU"/>
        </w:rPr>
        <w:t>ри» щонайменше протягом 30 хв. у</w:t>
      </w:r>
      <w:r w:rsidRPr="00F34224">
        <w:rPr>
          <w:rFonts w:eastAsia="Times New Roman"/>
          <w:szCs w:val="28"/>
          <w:lang w:eastAsia="ru-RU"/>
        </w:rPr>
        <w:t xml:space="preserve"> першу годину після народження дитини; відсоток лікарень </w:t>
      </w:r>
      <w:r w:rsidR="006203E6">
        <w:rPr>
          <w:rFonts w:eastAsia="Times New Roman"/>
          <w:szCs w:val="28"/>
          <w:lang w:eastAsia="ru-RU"/>
        </w:rPr>
        <w:t>і</w:t>
      </w:r>
      <w:r w:rsidRPr="00F34224">
        <w:rPr>
          <w:rFonts w:eastAsia="Times New Roman"/>
          <w:szCs w:val="28"/>
          <w:lang w:eastAsia="ru-RU"/>
        </w:rPr>
        <w:t>з протоколами по грудному вигодовуванню; відсоток жінок, що отримали консультації по грудному вигодовуванню в період вагітності і перед випискою з пологового будинку [</w:t>
      </w:r>
      <w:r w:rsidR="008578C7" w:rsidRPr="008578C7">
        <w:rPr>
          <w:rFonts w:eastAsia="Times New Roman"/>
          <w:szCs w:val="28"/>
          <w:lang w:eastAsia="ru-RU"/>
        </w:rPr>
        <w:t>346, 351-353</w:t>
      </w:r>
      <w:r w:rsidRPr="00F34224">
        <w:rPr>
          <w:rFonts w:eastAsia="Times New Roman"/>
          <w:szCs w:val="28"/>
          <w:lang w:eastAsia="ru-RU"/>
        </w:rPr>
        <w:t>].</w:t>
      </w:r>
    </w:p>
    <w:p w:rsidR="003B67F9" w:rsidRPr="00F34224" w:rsidRDefault="003B67F9" w:rsidP="00721203">
      <w:pPr>
        <w:widowControl w:val="0"/>
        <w:ind w:firstLine="720"/>
        <w:rPr>
          <w:rFonts w:eastAsia="Times New Roman"/>
          <w:szCs w:val="28"/>
          <w:lang w:eastAsia="ru-RU"/>
        </w:rPr>
      </w:pPr>
      <w:r w:rsidRPr="00F34224">
        <w:rPr>
          <w:rFonts w:eastAsia="Times New Roman"/>
          <w:szCs w:val="28"/>
          <w:lang w:eastAsia="ru-RU"/>
        </w:rPr>
        <w:t xml:space="preserve">У результаті консенсусу, досягнутого експертами в ході обговорення в робочих групах на другій нараді Цільової групи по перинатальному догляду (Болонья, 26–29 січня 2000 р.) </w:t>
      </w:r>
      <w:r w:rsidR="004875C3">
        <w:rPr>
          <w:rFonts w:eastAsia="Calibri"/>
          <w:szCs w:val="28"/>
          <w:lang w:eastAsia="ru-RU"/>
        </w:rPr>
        <w:t>[</w:t>
      </w:r>
      <w:r w:rsidR="004875C3">
        <w:rPr>
          <w:rFonts w:eastAsia="Calibri"/>
          <w:szCs w:val="28"/>
          <w:lang w:val="ru-RU" w:eastAsia="ru-RU"/>
        </w:rPr>
        <w:t>354, 355</w:t>
      </w:r>
      <w:r w:rsidRPr="00F34224">
        <w:rPr>
          <w:rFonts w:eastAsia="Calibri"/>
          <w:szCs w:val="28"/>
          <w:lang w:eastAsia="ru-RU"/>
        </w:rPr>
        <w:t>]</w:t>
      </w:r>
      <w:r w:rsidRPr="00F34224">
        <w:rPr>
          <w:rFonts w:eastAsia="Times New Roman"/>
          <w:szCs w:val="28"/>
          <w:lang w:eastAsia="ru-RU"/>
        </w:rPr>
        <w:t>, ЄРБ ВООЗ нині розглядає можливість здійснення пілотних проектів для апробації рекомендованих індикаторів у трьох об</w:t>
      </w:r>
      <w:r w:rsidR="009E5ACF">
        <w:rPr>
          <w:rFonts w:eastAsia="Times New Roman"/>
          <w:szCs w:val="28"/>
          <w:lang w:eastAsia="ru-RU"/>
        </w:rPr>
        <w:t>ластях перинатального догляду:</w:t>
      </w:r>
      <w:r w:rsidRPr="00F34224">
        <w:rPr>
          <w:rFonts w:eastAsia="Times New Roman"/>
          <w:szCs w:val="28"/>
          <w:lang w:eastAsia="ru-RU"/>
        </w:rPr>
        <w:t xml:space="preserve"> вагітність, ве</w:t>
      </w:r>
      <w:r w:rsidR="009E5ACF">
        <w:rPr>
          <w:rFonts w:eastAsia="Times New Roman"/>
          <w:szCs w:val="28"/>
          <w:lang w:eastAsia="ru-RU"/>
        </w:rPr>
        <w:t xml:space="preserve">дення передпологових кровотеч;  ведення нормальних пологів; </w:t>
      </w:r>
      <w:r w:rsidR="006203E6">
        <w:rPr>
          <w:rFonts w:eastAsia="Times New Roman"/>
          <w:szCs w:val="28"/>
          <w:lang w:eastAsia="ru-RU"/>
        </w:rPr>
        <w:t>новонароджені (</w:t>
      </w:r>
      <w:r w:rsidRPr="00F34224">
        <w:rPr>
          <w:rFonts w:eastAsia="Times New Roman"/>
          <w:szCs w:val="28"/>
          <w:lang w:eastAsia="ru-RU"/>
        </w:rPr>
        <w:t>пропаганда грудного вигодовування</w:t>
      </w:r>
      <w:r w:rsidR="006203E6">
        <w:rPr>
          <w:rFonts w:eastAsia="Times New Roman"/>
          <w:szCs w:val="28"/>
          <w:lang w:eastAsia="ru-RU"/>
        </w:rPr>
        <w:t>)</w:t>
      </w:r>
      <w:r w:rsidRPr="00F34224">
        <w:rPr>
          <w:rFonts w:eastAsia="Times New Roman"/>
          <w:szCs w:val="28"/>
          <w:lang w:eastAsia="ru-RU"/>
        </w:rPr>
        <w:t xml:space="preserve">. Було визнано, що для всього регіону неможливо рекомендувати набір простих індикаторів, досить гнучких у застосуванні до всіх ситуацій. Окремі компоненти будуть відкриті для безлічі різних інтерпретацій, але акцент необхідно зробити на їх важливості як механізму управління для тих, хто здійснює планування. Зрозуміло, </w:t>
      </w:r>
      <w:r w:rsidRPr="00F34224">
        <w:rPr>
          <w:rFonts w:eastAsia="Times New Roman"/>
          <w:szCs w:val="28"/>
          <w:lang w:eastAsia="ru-RU"/>
        </w:rPr>
        <w:lastRenderedPageBreak/>
        <w:t xml:space="preserve">що деякі індикатори можна порівняно легко збирати і вимірювати (грудне вигодовування), тоді як інші індикатори (включаючи допологову кровотечу і ведення пологів) представляють певні труднощі. Робочими групами був розроблений список індикаторів процесу і результатів для ведення усіх жінок: з кровотечами до або після 24 тижнів вагітності. Ці індикатори включають охоплення і діяльність, що дозволить керівникам охорони здоров’я приймати ефективніші рішення. Наступні два індикатори були вибрані робочою групою як глобальна рекомендація: відсоток жінок, що знають про важливість такого симптому, як кровотеча; відсоток навчених, компетентних в установленні діагнозу і веденні консультування людей, що надають допомогу жінкам. Але відзначена наявність труднощів (відсутність знань, бажання і навичок тощо) для того, щоб рекомендувати використання цих двох індикаторів для комплексної оцінки діяльності закладів перинатальної допомоги усіх регіонів. </w:t>
      </w:r>
    </w:p>
    <w:p w:rsidR="003B67F9" w:rsidRPr="00F34224" w:rsidRDefault="003B67F9" w:rsidP="00721203">
      <w:pPr>
        <w:widowControl w:val="0"/>
        <w:ind w:firstLine="720"/>
        <w:rPr>
          <w:rFonts w:eastAsia="Times New Roman"/>
          <w:szCs w:val="28"/>
          <w:lang w:eastAsia="ru-RU"/>
        </w:rPr>
      </w:pPr>
      <w:r w:rsidRPr="00F34224">
        <w:rPr>
          <w:rFonts w:eastAsia="Times New Roman"/>
          <w:szCs w:val="28"/>
          <w:lang w:eastAsia="ru-RU"/>
        </w:rPr>
        <w:t>В цілому для оцінки репродуктивного здоров’я на національному і міжнародному рівнях експерти ВООЗ рекомендують 17 показників. Водночас різні країни і міжнародні організації пропонують відмінні рекомендації щодо того, які показники повинні оцінюватися. Кількість показників коливається в</w:t>
      </w:r>
      <w:r w:rsidR="004875C3">
        <w:rPr>
          <w:rFonts w:eastAsia="Times New Roman"/>
          <w:szCs w:val="28"/>
          <w:lang w:eastAsia="ru-RU"/>
        </w:rPr>
        <w:t>ід 10 у Данії до 43 у Канаді [</w:t>
      </w:r>
      <w:r w:rsidR="004875C3" w:rsidRPr="004875C3">
        <w:rPr>
          <w:rFonts w:eastAsia="Times New Roman"/>
          <w:szCs w:val="28"/>
          <w:lang w:eastAsia="ru-RU"/>
        </w:rPr>
        <w:t>345</w:t>
      </w:r>
      <w:r w:rsidRPr="00F34224">
        <w:rPr>
          <w:rFonts w:eastAsia="Times New Roman"/>
          <w:szCs w:val="28"/>
          <w:lang w:eastAsia="ru-RU"/>
        </w:rPr>
        <w:t xml:space="preserve">]. В розвинених країнах для аналізу і оцінки перинатальної допомоги використовується розроблений Інститутом здоров’я дитини IRCCS Burlo Garofolo, Трієст, Італія – Партнерським центром ВООЗ з питань охорони здоров’я матері і дитини, в консультаційному процесі з Європейським регіональним бюро ВООЗ, інструмент для оцінки якості стаціонарної допомоги матерям і новонародженим (ІОЯСДМН) </w:t>
      </w:r>
      <w:r w:rsidR="004875C3">
        <w:rPr>
          <w:rFonts w:eastAsia="Calibri"/>
          <w:szCs w:val="28"/>
          <w:lang w:eastAsia="ru-RU"/>
        </w:rPr>
        <w:t>[</w:t>
      </w:r>
      <w:r w:rsidR="004875C3" w:rsidRPr="004875C3">
        <w:rPr>
          <w:rFonts w:eastAsia="Calibri"/>
          <w:szCs w:val="28"/>
          <w:lang w:eastAsia="ru-RU"/>
        </w:rPr>
        <w:t>346</w:t>
      </w:r>
      <w:r w:rsidRPr="00F34224">
        <w:rPr>
          <w:rFonts w:eastAsia="Calibri"/>
          <w:szCs w:val="28"/>
          <w:lang w:eastAsia="ru-RU"/>
        </w:rPr>
        <w:t>]</w:t>
      </w:r>
      <w:r w:rsidRPr="00F34224">
        <w:rPr>
          <w:rFonts w:eastAsia="Times New Roman"/>
          <w:szCs w:val="28"/>
          <w:lang w:eastAsia="ru-RU"/>
        </w:rPr>
        <w:t>. Згідно рекомендацій ВООЗ ІОЯСДМН може бути використаний на національному і регіональному рівнях як один з компонентів стратегії з підвищення якості перинатальної допомоги. Нами проведено порівняльну характеристику індикаторів якості перинатальної допомоги, які використовуються найчастіше в країнах пострадянського простору (зокрема в РФ) та запропо</w:t>
      </w:r>
      <w:r w:rsidR="000C6DAF">
        <w:rPr>
          <w:rFonts w:eastAsia="Times New Roman"/>
          <w:szCs w:val="28"/>
          <w:lang w:eastAsia="ru-RU"/>
        </w:rPr>
        <w:t>новані ІОЯСДМ та СПЕП (</w:t>
      </w:r>
      <w:r w:rsidR="00B205B8" w:rsidRPr="007F671C">
        <w:rPr>
          <w:rFonts w:eastAsia="Times New Roman"/>
          <w:szCs w:val="28"/>
          <w:lang w:eastAsia="ru-RU"/>
        </w:rPr>
        <w:t>Додаток Е</w:t>
      </w:r>
      <w:r w:rsidR="000C6DAF" w:rsidRPr="007F671C">
        <w:rPr>
          <w:rFonts w:eastAsia="Times New Roman"/>
          <w:szCs w:val="28"/>
          <w:lang w:eastAsia="ru-RU"/>
        </w:rPr>
        <w:t>-1</w:t>
      </w:r>
      <w:r w:rsidRPr="007F671C">
        <w:rPr>
          <w:rFonts w:eastAsia="Times New Roman"/>
          <w:szCs w:val="28"/>
          <w:lang w:eastAsia="ru-RU"/>
        </w:rPr>
        <w:t>).</w:t>
      </w:r>
    </w:p>
    <w:p w:rsidR="003B67F9" w:rsidRPr="00006A39" w:rsidRDefault="003B67F9" w:rsidP="00721203">
      <w:pPr>
        <w:widowControl w:val="0"/>
        <w:ind w:firstLine="708"/>
        <w:rPr>
          <w:rFonts w:eastAsia="Times New Roman"/>
          <w:szCs w:val="28"/>
          <w:lang w:eastAsia="ru-RU"/>
        </w:rPr>
      </w:pPr>
      <w:r w:rsidRPr="00F34224">
        <w:rPr>
          <w:rFonts w:eastAsia="Times New Roman"/>
          <w:szCs w:val="28"/>
          <w:lang w:eastAsia="ru-RU"/>
        </w:rPr>
        <w:t xml:space="preserve">Слід зазначити, що в Україні розробка і впровадження індикаторів якості регламентовані Законами України «Про внесення змін до Основ законодавства </w:t>
      </w:r>
      <w:r w:rsidRPr="00F34224">
        <w:rPr>
          <w:rFonts w:eastAsia="Times New Roman"/>
          <w:szCs w:val="28"/>
          <w:lang w:eastAsia="ru-RU"/>
        </w:rPr>
        <w:lastRenderedPageBreak/>
        <w:t xml:space="preserve">України про охорону здоров'я щодо удосконалення надання медичної допомоги» </w:t>
      </w:r>
      <w:r w:rsidRPr="00F34224">
        <w:rPr>
          <w:rFonts w:eastAsia="Times New Roman"/>
          <w:color w:val="FF0000"/>
          <w:szCs w:val="28"/>
          <w:lang w:eastAsia="ru-RU"/>
        </w:rPr>
        <w:t xml:space="preserve"> </w:t>
      </w:r>
      <w:r w:rsidR="00AB1597">
        <w:rPr>
          <w:rFonts w:eastAsia="Times New Roman"/>
          <w:szCs w:val="28"/>
          <w:lang w:eastAsia="ru-RU"/>
        </w:rPr>
        <w:t>від 07.07.2011 р. № 3611-VI [</w:t>
      </w:r>
      <w:r w:rsidR="005C0E85">
        <w:rPr>
          <w:rFonts w:eastAsia="Times New Roman"/>
          <w:szCs w:val="28"/>
          <w:lang w:eastAsia="ru-RU"/>
        </w:rPr>
        <w:t xml:space="preserve">263, </w:t>
      </w:r>
      <w:r w:rsidR="00AB1597">
        <w:rPr>
          <w:rFonts w:eastAsia="Times New Roman"/>
          <w:szCs w:val="28"/>
          <w:lang w:eastAsia="ru-RU"/>
        </w:rPr>
        <w:t>3</w:t>
      </w:r>
      <w:r w:rsidR="00AB1597" w:rsidRPr="00AB1597">
        <w:rPr>
          <w:rFonts w:eastAsia="Times New Roman"/>
          <w:szCs w:val="28"/>
          <w:lang w:eastAsia="ru-RU"/>
        </w:rPr>
        <w:t>56</w:t>
      </w:r>
      <w:r w:rsidRPr="00F34224">
        <w:rPr>
          <w:rFonts w:eastAsia="Times New Roman"/>
          <w:szCs w:val="28"/>
          <w:lang w:eastAsia="ru-RU"/>
        </w:rPr>
        <w:t>] та «Про порядок проведення реформування системи охорони здоров’я у Вінницькій, Дніпропетровській, Донецькій областях та місті Києві»</w:t>
      </w:r>
      <w:r w:rsidR="00AB1597">
        <w:rPr>
          <w:rFonts w:eastAsia="Times New Roman"/>
          <w:szCs w:val="28"/>
          <w:lang w:eastAsia="ru-RU"/>
        </w:rPr>
        <w:t xml:space="preserve"> від 7.07.2011 р. № 36112-VI [3</w:t>
      </w:r>
      <w:r w:rsidR="00AB1597" w:rsidRPr="00695908">
        <w:rPr>
          <w:rFonts w:eastAsia="Times New Roman"/>
          <w:szCs w:val="28"/>
          <w:lang w:eastAsia="ru-RU"/>
        </w:rPr>
        <w:t>57</w:t>
      </w:r>
      <w:r w:rsidRPr="00F34224">
        <w:rPr>
          <w:rFonts w:eastAsia="Times New Roman"/>
          <w:szCs w:val="28"/>
          <w:lang w:eastAsia="ru-RU"/>
        </w:rPr>
        <w:t xml:space="preserve">]. </w:t>
      </w:r>
      <w:r w:rsidRPr="00F34224">
        <w:rPr>
          <w:rFonts w:eastAsia="Times New Roman"/>
          <w:bCs/>
          <w:szCs w:val="28"/>
          <w:lang w:eastAsia="ru-RU"/>
        </w:rPr>
        <w:t>Основними компонентами індикаторів є: якість структури (організація роботи персоналу, кваліфікація медичних працівників, матеріально-технічне і лікарське забезпечення медичного процесу); якість процесу (доступність медичної допомоги в залежності від потреби,</w:t>
      </w:r>
      <w:r w:rsidRPr="00F34224">
        <w:rPr>
          <w:rFonts w:eastAsia="Times New Roman"/>
          <w:szCs w:val="28"/>
          <w:lang w:eastAsia="ru-RU"/>
        </w:rPr>
        <w:t xml:space="preserve"> ведення пацієнтів у певних клінічних ситуаціях (при профілактиці, діагностиці, лікуванні і реабілітації, </w:t>
      </w:r>
      <w:r w:rsidRPr="00F34224">
        <w:rPr>
          <w:rFonts w:eastAsia="Times New Roman"/>
          <w:bCs/>
          <w:szCs w:val="28"/>
          <w:lang w:eastAsia="ru-RU"/>
        </w:rPr>
        <w:t>дотримання стандартів медичної допомоги і правильності вибору медичної технології); якість кінцевого результату (</w:t>
      </w:r>
      <w:r w:rsidRPr="00F34224">
        <w:rPr>
          <w:rFonts w:eastAsia="Times New Roman"/>
          <w:szCs w:val="28"/>
          <w:lang w:eastAsia="ru-RU"/>
        </w:rPr>
        <w:t xml:space="preserve">визначення стану здоров’я пацієнта після лікування і порівняння результатів з еталонними, встановленими на підставі даних надійних досліджень і клінічних оцінок, </w:t>
      </w:r>
      <w:r w:rsidRPr="00F34224">
        <w:rPr>
          <w:rFonts w:eastAsia="Times New Roman"/>
          <w:bCs/>
          <w:szCs w:val="28"/>
          <w:lang w:eastAsia="ru-RU"/>
        </w:rPr>
        <w:t xml:space="preserve">економічна і соціальна ефективність, медико-демографічні показники, задоволеність пацієнтів отриманими послугами, якість життя). </w:t>
      </w:r>
      <w:r w:rsidRPr="00F34224">
        <w:rPr>
          <w:rFonts w:eastAsia="Times New Roman"/>
          <w:szCs w:val="28"/>
          <w:lang w:eastAsia="ru-RU"/>
        </w:rPr>
        <w:t>В цілому індикатори віддзеркалюють ступінь досягнення (або відхилення) цільового рівня медичної допомоги.</w:t>
      </w:r>
      <w:r w:rsidRPr="00F34224">
        <w:rPr>
          <w:rFonts w:eastAsia="Times New Roman"/>
          <w:bCs/>
          <w:szCs w:val="28"/>
          <w:lang w:eastAsia="ru-RU"/>
        </w:rPr>
        <w:t xml:space="preserve"> </w:t>
      </w:r>
      <w:r w:rsidRPr="00F34224">
        <w:rPr>
          <w:rFonts w:eastAsia="Times New Roman"/>
          <w:szCs w:val="28"/>
          <w:lang w:eastAsia="ru-RU" w:bidi="sa-IN"/>
        </w:rPr>
        <w:t>Потенційними користувачами індикаторів є клініцисти, управлінці та розробники політики у сфері охорони здоров’я, засоби масової інформації та широкі кола громадськості.</w:t>
      </w:r>
      <w:r w:rsidRPr="00006A39">
        <w:rPr>
          <w:rFonts w:eastAsia="Times New Roman"/>
          <w:i/>
          <w:szCs w:val="28"/>
          <w:lang w:eastAsia="ru-RU"/>
        </w:rPr>
        <w:t xml:space="preserve"> </w:t>
      </w:r>
    </w:p>
    <w:p w:rsidR="003B67F9" w:rsidRPr="00006A39" w:rsidRDefault="003B67F9" w:rsidP="00721203">
      <w:pPr>
        <w:widowControl w:val="0"/>
        <w:ind w:firstLine="708"/>
        <w:rPr>
          <w:rFonts w:eastAsia="Times New Roman"/>
          <w:szCs w:val="28"/>
          <w:lang w:eastAsia="ru-RU"/>
        </w:rPr>
      </w:pPr>
      <w:r w:rsidRPr="00006A39">
        <w:rPr>
          <w:rFonts w:eastAsia="Times New Roman"/>
          <w:szCs w:val="28"/>
          <w:lang w:eastAsia="ru-RU"/>
        </w:rPr>
        <w:t xml:space="preserve">Індикатори діяльності закладів перинатальної допомоги необхідно використовувати на всіх рівнях перинатальної допомоги. При цьому слід вважати на те, що в кожному ЗПД існують свої проблеми: в одному випадку – це </w:t>
      </w:r>
      <w:r w:rsidRPr="00F34224">
        <w:rPr>
          <w:rFonts w:eastAsia="Times New Roman"/>
          <w:color w:val="000000" w:themeColor="text1"/>
          <w:szCs w:val="28"/>
          <w:lang w:eastAsia="ru-RU"/>
        </w:rPr>
        <w:t xml:space="preserve">своєчасність надання допомоги, в іншому – результативність або економічна ефективність, тому відповідно, для кожної служби на кожній території й кожного типу ЗПД слід розробити (поряд із загально визначеним переліком) </w:t>
      </w:r>
      <w:r w:rsidRPr="00006A39">
        <w:rPr>
          <w:rFonts w:eastAsia="Times New Roman"/>
          <w:szCs w:val="28"/>
          <w:lang w:eastAsia="ru-RU"/>
        </w:rPr>
        <w:t xml:space="preserve">свої індикатори, які дадуть змогу оцінити досягнення актуальних завдань. </w:t>
      </w:r>
    </w:p>
    <w:p w:rsidR="003B67F9" w:rsidRPr="00006A39" w:rsidRDefault="003B67F9" w:rsidP="00721203">
      <w:pPr>
        <w:widowControl w:val="0"/>
        <w:ind w:firstLine="708"/>
        <w:rPr>
          <w:rFonts w:eastAsia="Times New Roman"/>
          <w:szCs w:val="28"/>
          <w:lang w:eastAsia="ru-RU"/>
        </w:rPr>
      </w:pPr>
      <w:r w:rsidRPr="00006A39">
        <w:rPr>
          <w:rFonts w:eastAsia="Times New Roman"/>
          <w:szCs w:val="28"/>
          <w:lang w:eastAsia="ru-RU"/>
        </w:rPr>
        <w:t xml:space="preserve">Розвиток методології комплексної оцінки діяльності служби перинатальної допомоги включав розробку і впровадження стандартів перинатальної допомоги, перинатального аудиту, індикаторів якості, моніторингу і оцінки регіоналізації перинатальної допомоги. </w:t>
      </w:r>
    </w:p>
    <w:p w:rsidR="003B67F9" w:rsidRPr="00006A39" w:rsidRDefault="003B67F9" w:rsidP="00721203">
      <w:pPr>
        <w:widowControl w:val="0"/>
        <w:autoSpaceDE w:val="0"/>
        <w:autoSpaceDN w:val="0"/>
        <w:adjustRightInd w:val="0"/>
        <w:ind w:firstLine="709"/>
        <w:rPr>
          <w:rFonts w:eastAsia="Times New Roman"/>
          <w:szCs w:val="28"/>
          <w:lang w:eastAsia="ru-RU"/>
        </w:rPr>
      </w:pPr>
      <w:r w:rsidRPr="00006A39">
        <w:rPr>
          <w:rFonts w:eastAsia="Times New Roman"/>
          <w:szCs w:val="28"/>
          <w:lang w:eastAsia="ru-RU"/>
        </w:rPr>
        <w:t>Наша розробка</w:t>
      </w:r>
      <w:r w:rsidR="005D697E">
        <w:rPr>
          <w:rFonts w:eastAsia="Times New Roman"/>
          <w:szCs w:val="28"/>
          <w:lang w:eastAsia="ru-RU"/>
        </w:rPr>
        <w:t xml:space="preserve"> </w:t>
      </w:r>
      <w:r w:rsidR="005D697E">
        <w:rPr>
          <w:rFonts w:eastAsia="Times New Roman"/>
          <w:szCs w:val="28"/>
          <w:shd w:val="clear" w:color="auto" w:fill="FFFFFF"/>
          <w:lang w:eastAsia="ru-RU"/>
        </w:rPr>
        <w:t>МКО</w:t>
      </w:r>
      <w:r w:rsidRPr="00006A39">
        <w:rPr>
          <w:rFonts w:eastAsia="Times New Roman"/>
          <w:szCs w:val="28"/>
          <w:shd w:val="clear" w:color="auto" w:fill="FFFFFF"/>
          <w:lang w:eastAsia="ru-RU"/>
        </w:rPr>
        <w:t xml:space="preserve"> діяльності служби перинатальної допомоги базувалась </w:t>
      </w:r>
      <w:r w:rsidRPr="00006A39">
        <w:rPr>
          <w:rFonts w:eastAsia="Times New Roman"/>
          <w:szCs w:val="28"/>
          <w:shd w:val="clear" w:color="auto" w:fill="FFFFFF"/>
          <w:lang w:eastAsia="ru-RU"/>
        </w:rPr>
        <w:lastRenderedPageBreak/>
        <w:t>на методі кінцевих результатів (МКР) діяльності закладів і установ перинатальної допомоги, метою якого є сумарна оцінка результатів діяльно</w:t>
      </w:r>
      <w:r w:rsidR="00331ED3">
        <w:rPr>
          <w:rFonts w:eastAsia="Times New Roman"/>
          <w:szCs w:val="28"/>
          <w:shd w:val="clear" w:color="auto" w:fill="FFFFFF"/>
          <w:lang w:eastAsia="ru-RU"/>
        </w:rPr>
        <w:t>сті, яка виражається ККО</w:t>
      </w:r>
      <w:r w:rsidRPr="00006A39">
        <w:rPr>
          <w:rFonts w:eastAsia="Times New Roman"/>
          <w:szCs w:val="28"/>
          <w:shd w:val="clear" w:color="auto" w:fill="FFFFFF"/>
          <w:lang w:eastAsia="ru-RU"/>
        </w:rPr>
        <w:t xml:space="preserve"> і визначає ставлення реально досягнутої суми балів до суми балів контрольних, та передбачає аналіз і оцінку показників, які характеризують результати діяльності (індикатори якості), нормативних значень даних показників, шкалу для чисельної оцінки результатів діяльності в балах і оцінку від</w:t>
      </w:r>
      <w:r w:rsidR="00695908">
        <w:rPr>
          <w:rFonts w:eastAsia="Times New Roman"/>
          <w:szCs w:val="28"/>
          <w:shd w:val="clear" w:color="auto" w:fill="FFFFFF"/>
          <w:lang w:eastAsia="ru-RU"/>
        </w:rPr>
        <w:t>хилення на одиницю виміру [35</w:t>
      </w:r>
      <w:r w:rsidR="00695908" w:rsidRPr="00695908">
        <w:rPr>
          <w:rFonts w:eastAsia="Times New Roman"/>
          <w:szCs w:val="28"/>
          <w:shd w:val="clear" w:color="auto" w:fill="FFFFFF"/>
          <w:lang w:eastAsia="ru-RU"/>
        </w:rPr>
        <w:t>8</w:t>
      </w:r>
      <w:r w:rsidR="00695908">
        <w:rPr>
          <w:rFonts w:eastAsia="Times New Roman"/>
          <w:szCs w:val="28"/>
          <w:shd w:val="clear" w:color="auto" w:fill="FFFFFF"/>
          <w:lang w:eastAsia="ru-RU"/>
        </w:rPr>
        <w:t>, 359</w:t>
      </w:r>
      <w:r w:rsidRPr="00006A39">
        <w:rPr>
          <w:rFonts w:eastAsia="Times New Roman"/>
          <w:szCs w:val="28"/>
          <w:shd w:val="clear" w:color="auto" w:fill="FFFFFF"/>
          <w:lang w:eastAsia="ru-RU"/>
        </w:rPr>
        <w:t>]. При розробці МКО</w:t>
      </w:r>
      <w:r w:rsidRPr="00006A39">
        <w:rPr>
          <w:rFonts w:eastAsia="Calibri"/>
          <w:szCs w:val="28"/>
        </w:rPr>
        <w:t xml:space="preserve"> ми </w:t>
      </w:r>
      <w:r w:rsidRPr="00006A39">
        <w:rPr>
          <w:rFonts w:eastAsia="Times New Roman"/>
          <w:szCs w:val="28"/>
          <w:shd w:val="clear" w:color="auto" w:fill="FFFFFF"/>
          <w:lang w:eastAsia="ru-RU"/>
        </w:rPr>
        <w:t>використали показники, що відносяться до об'єкту</w:t>
      </w:r>
      <w:r w:rsidRPr="00006A39">
        <w:rPr>
          <w:rFonts w:eastAsia="Times New Roman"/>
          <w:color w:val="FF0000"/>
          <w:szCs w:val="28"/>
          <w:shd w:val="clear" w:color="auto" w:fill="FFFFFF"/>
          <w:lang w:eastAsia="ru-RU"/>
        </w:rPr>
        <w:t xml:space="preserve"> </w:t>
      </w:r>
      <w:r w:rsidRPr="00006A39">
        <w:rPr>
          <w:rFonts w:eastAsia="Times New Roman"/>
          <w:szCs w:val="28"/>
          <w:shd w:val="clear" w:color="auto" w:fill="FFFFFF"/>
          <w:lang w:eastAsia="ru-RU"/>
        </w:rPr>
        <w:t xml:space="preserve">«медична допомога»: показники структури, процесу і результативності медичної (перинатальної) допомоги. </w:t>
      </w:r>
      <w:r w:rsidRPr="00006A39">
        <w:rPr>
          <w:rFonts w:eastAsia="Times New Roman"/>
          <w:szCs w:val="28"/>
          <w:lang w:eastAsia="ru-RU"/>
        </w:rPr>
        <w:t>Для забезпечення доступності і достовірності</w:t>
      </w:r>
      <w:r w:rsidRPr="00006A39">
        <w:rPr>
          <w:rFonts w:eastAsia="Times New Roman"/>
          <w:bCs/>
          <w:szCs w:val="28"/>
          <w:lang w:eastAsia="ru-RU"/>
        </w:rPr>
        <w:t xml:space="preserve"> нами </w:t>
      </w:r>
      <w:r w:rsidRPr="00006A39">
        <w:rPr>
          <w:rFonts w:eastAsia="Times New Roman"/>
          <w:szCs w:val="28"/>
          <w:lang w:eastAsia="ru-RU"/>
        </w:rPr>
        <w:t xml:space="preserve">відібрано показники, які передбачені формами державної або галузевої статистики та даними моніторингу і оцінки регіоналізації перинатальної допомоги (МіО РПД). </w:t>
      </w:r>
    </w:p>
    <w:p w:rsidR="003B67F9" w:rsidRPr="00177C95" w:rsidRDefault="003B67F9" w:rsidP="00177C95">
      <w:pPr>
        <w:widowControl w:val="0"/>
        <w:autoSpaceDE w:val="0"/>
        <w:autoSpaceDN w:val="0"/>
        <w:adjustRightInd w:val="0"/>
        <w:ind w:firstLine="709"/>
        <w:rPr>
          <w:rFonts w:eastAsia="Times New Roman"/>
          <w:szCs w:val="28"/>
          <w:lang w:eastAsia="ru-RU"/>
        </w:rPr>
      </w:pPr>
      <w:r w:rsidRPr="00006A39">
        <w:rPr>
          <w:rFonts w:eastAsia="Times New Roman"/>
          <w:szCs w:val="28"/>
          <w:lang w:eastAsia="ru-RU"/>
        </w:rPr>
        <w:t>Первісно нами було</w:t>
      </w:r>
      <w:r w:rsidRPr="00006A39">
        <w:rPr>
          <w:rFonts w:eastAsia="Times New Roman"/>
          <w:color w:val="FF0000"/>
          <w:szCs w:val="28"/>
          <w:lang w:eastAsia="ru-RU"/>
        </w:rPr>
        <w:t xml:space="preserve"> </w:t>
      </w:r>
      <w:r w:rsidRPr="00006A39">
        <w:rPr>
          <w:rFonts w:eastAsia="Times New Roman"/>
          <w:szCs w:val="28"/>
          <w:lang w:eastAsia="ru-RU"/>
        </w:rPr>
        <w:t xml:space="preserve">розроблено і запропоновано перелік 60 індикаторів для проведення комплексної оцінки з нормативним значенням </w:t>
      </w:r>
      <w:r w:rsidR="00B33E37">
        <w:rPr>
          <w:rFonts w:eastAsia="Times New Roman"/>
          <w:szCs w:val="28"/>
          <w:lang w:eastAsia="ru-RU"/>
        </w:rPr>
        <w:t>і</w:t>
      </w:r>
      <w:r w:rsidRPr="00006A39">
        <w:rPr>
          <w:rFonts w:eastAsia="Times New Roman"/>
          <w:szCs w:val="28"/>
          <w:lang w:eastAsia="ru-RU"/>
        </w:rPr>
        <w:t>з урахуванням корисності, наукової обґрунтованості</w:t>
      </w:r>
      <w:r w:rsidRPr="00F34224">
        <w:rPr>
          <w:rFonts w:eastAsia="Times New Roman"/>
          <w:color w:val="000000" w:themeColor="text1"/>
          <w:szCs w:val="28"/>
          <w:lang w:eastAsia="ru-RU"/>
        </w:rPr>
        <w:t xml:space="preserve">, зрозумілості, доступності і достовірності, максимально сумісні з міжнародними системами індикаторів </w:t>
      </w:r>
      <w:r w:rsidR="00F15E71" w:rsidRPr="00D90BB9">
        <w:rPr>
          <w:rFonts w:eastAsia="Times New Roman"/>
          <w:szCs w:val="28"/>
          <w:lang w:eastAsia="ru-RU"/>
        </w:rPr>
        <w:t>(</w:t>
      </w:r>
      <w:r w:rsidR="00D90BB9">
        <w:rPr>
          <w:rFonts w:eastAsia="Times New Roman"/>
          <w:szCs w:val="28"/>
          <w:lang w:eastAsia="ru-RU"/>
        </w:rPr>
        <w:t>Д</w:t>
      </w:r>
      <w:r w:rsidR="00B205B8" w:rsidRPr="00D90BB9">
        <w:rPr>
          <w:rFonts w:eastAsia="Times New Roman"/>
          <w:szCs w:val="28"/>
          <w:lang w:eastAsia="ru-RU"/>
        </w:rPr>
        <w:t>одаток Е</w:t>
      </w:r>
      <w:r w:rsidR="00F15E71" w:rsidRPr="00D90BB9">
        <w:rPr>
          <w:rFonts w:eastAsia="Times New Roman"/>
          <w:szCs w:val="28"/>
          <w:lang w:eastAsia="ru-RU"/>
        </w:rPr>
        <w:t>-2</w:t>
      </w:r>
      <w:r w:rsidRPr="00D90BB9">
        <w:rPr>
          <w:rFonts w:eastAsia="Times New Roman"/>
          <w:szCs w:val="28"/>
          <w:lang w:eastAsia="ru-RU"/>
        </w:rPr>
        <w:t xml:space="preserve">), </w:t>
      </w:r>
      <w:r w:rsidRPr="00F34224">
        <w:rPr>
          <w:rFonts w:eastAsia="Times New Roman"/>
          <w:color w:val="000000" w:themeColor="text1"/>
          <w:szCs w:val="28"/>
          <w:lang w:eastAsia="ru-RU"/>
        </w:rPr>
        <w:t xml:space="preserve">за результатами роботи фокус-груп </w:t>
      </w:r>
      <w:r w:rsidRPr="00F34224">
        <w:rPr>
          <w:rFonts w:eastAsia="Calibri"/>
          <w:color w:val="000000" w:themeColor="text1"/>
          <w:szCs w:val="28"/>
        </w:rPr>
        <w:t xml:space="preserve">до переліку індикаторів оцінки діяльності закладів і установ перинатальної допомоги було відібрано </w:t>
      </w:r>
      <w:r w:rsidR="00124867" w:rsidRPr="00124867">
        <w:rPr>
          <w:rFonts w:eastAsia="Calibri"/>
          <w:color w:val="000000" w:themeColor="text1"/>
          <w:szCs w:val="28"/>
        </w:rPr>
        <w:t xml:space="preserve">структуровані за рівнями перинатальної допомоги </w:t>
      </w:r>
      <w:r w:rsidRPr="00F34224">
        <w:rPr>
          <w:rFonts w:eastAsia="Calibri"/>
          <w:color w:val="000000" w:themeColor="text1"/>
          <w:szCs w:val="28"/>
        </w:rPr>
        <w:t xml:space="preserve">26 найбільш значущих індикаторів </w:t>
      </w:r>
      <w:r w:rsidRPr="00FE070B">
        <w:rPr>
          <w:rFonts w:eastAsia="Calibri"/>
          <w:szCs w:val="28"/>
        </w:rPr>
        <w:t>(</w:t>
      </w:r>
      <w:r w:rsidR="00B205B8" w:rsidRPr="00FE070B">
        <w:rPr>
          <w:rFonts w:eastAsia="Calibri"/>
          <w:szCs w:val="28"/>
        </w:rPr>
        <w:t>Додаток Е</w:t>
      </w:r>
      <w:r w:rsidR="00F15E71" w:rsidRPr="00FE070B">
        <w:rPr>
          <w:rFonts w:eastAsia="Calibri"/>
          <w:szCs w:val="28"/>
        </w:rPr>
        <w:t>-3</w:t>
      </w:r>
      <w:r w:rsidR="00124867" w:rsidRPr="00FE070B">
        <w:rPr>
          <w:rFonts w:eastAsia="Calibri"/>
          <w:szCs w:val="28"/>
        </w:rPr>
        <w:t>)</w:t>
      </w:r>
      <w:r w:rsidR="00124867" w:rsidRPr="00FE070B">
        <w:rPr>
          <w:rFonts w:eastAsia="Times New Roman"/>
          <w:szCs w:val="28"/>
          <w:lang w:eastAsia="ru-RU"/>
        </w:rPr>
        <w:t xml:space="preserve">, </w:t>
      </w:r>
      <w:r w:rsidR="00331ED3">
        <w:rPr>
          <w:rFonts w:eastAsia="Times New Roman"/>
          <w:szCs w:val="28"/>
          <w:lang w:eastAsia="ru-RU"/>
        </w:rPr>
        <w:t xml:space="preserve">із яких відібрано </w:t>
      </w:r>
      <w:r w:rsidR="00124867">
        <w:rPr>
          <w:rFonts w:eastAsia="Times New Roman"/>
          <w:szCs w:val="28"/>
          <w:lang w:eastAsia="ru-RU"/>
        </w:rPr>
        <w:t>19 (індикаторів діяльності), які є</w:t>
      </w:r>
      <w:r w:rsidR="00124867">
        <w:rPr>
          <w:rFonts w:eastAsia="Times New Roman"/>
          <w:szCs w:val="28"/>
          <w:shd w:val="clear" w:color="auto" w:fill="FFFFFF"/>
          <w:lang w:eastAsia="ru-RU"/>
        </w:rPr>
        <w:t xml:space="preserve"> складовими основних компонентів діяльності закладів перинатальної допомоги, в зв’язку з чим вони в різних варіаціях можуть використовуватися при розробці МКО для різних рівнів надання медичної допомоги, а саме: </w:t>
      </w:r>
      <w:r w:rsidR="00124867">
        <w:rPr>
          <w:rFonts w:eastAsia="Times New Roman"/>
          <w:szCs w:val="28"/>
          <w:lang w:eastAsia="ru-RU"/>
        </w:rPr>
        <w:t>розроблена нами МКО діяльності закладів і установ перинатальної служби на основі МКР дає можливість аналізу перинатальної служби на рівні держави та регіонів, і може розглядатися в якості однієї зі складових процесу управління якістю і ефективністю перинатальної допомоги для подальшого покращення показників діяльності та удосконалення регіональних схем руху (маршруту) вагітних, породіль, роділь і новонароджених із ризиком материнської та перинатальної патології і смертності у ЗПД відповідного рівня</w:t>
      </w:r>
      <w:r w:rsidRPr="00006A39">
        <w:rPr>
          <w:rFonts w:eastAsia="Calibri"/>
          <w:szCs w:val="28"/>
        </w:rPr>
        <w:t xml:space="preserve"> (детальна інформація по методології відбору індикаторів, респондентам, їх оц</w:t>
      </w:r>
      <w:r w:rsidR="00177C95">
        <w:rPr>
          <w:rFonts w:eastAsia="Calibri"/>
          <w:szCs w:val="28"/>
        </w:rPr>
        <w:t>інки  представлено у РОЗДІЛІ 2)</w:t>
      </w:r>
      <w:r w:rsidR="00174A8F">
        <w:rPr>
          <w:rFonts w:eastAsia="Times New Roman"/>
          <w:szCs w:val="28"/>
          <w:lang w:eastAsia="ru-RU"/>
        </w:rPr>
        <w:t xml:space="preserve"> </w:t>
      </w:r>
      <w:r w:rsidR="00161986">
        <w:rPr>
          <w:rFonts w:eastAsia="Times New Roman"/>
          <w:szCs w:val="28"/>
          <w:lang w:eastAsia="ru-RU"/>
        </w:rPr>
        <w:t>(табл. 7.1</w:t>
      </w:r>
      <w:r w:rsidRPr="00006A39">
        <w:rPr>
          <w:rFonts w:eastAsia="Times New Roman"/>
          <w:szCs w:val="28"/>
          <w:lang w:eastAsia="ru-RU"/>
        </w:rPr>
        <w:t xml:space="preserve">). </w:t>
      </w:r>
    </w:p>
    <w:p w:rsidR="003B67F9" w:rsidRPr="00006A39" w:rsidRDefault="00161986" w:rsidP="00331ED3">
      <w:pPr>
        <w:pageBreakBefore/>
        <w:widowControl w:val="0"/>
        <w:spacing w:after="240" w:line="240" w:lineRule="auto"/>
        <w:ind w:firstLine="709"/>
        <w:jc w:val="right"/>
        <w:rPr>
          <w:rFonts w:eastAsia="Times New Roman"/>
          <w:i/>
          <w:szCs w:val="28"/>
          <w:lang w:eastAsia="ru-RU"/>
        </w:rPr>
      </w:pPr>
      <w:r>
        <w:rPr>
          <w:rFonts w:eastAsia="Times New Roman"/>
          <w:i/>
          <w:szCs w:val="28"/>
          <w:lang w:eastAsia="ru-RU"/>
        </w:rPr>
        <w:lastRenderedPageBreak/>
        <w:t>Таблиця 7.1</w:t>
      </w:r>
      <w:r w:rsidR="003B67F9" w:rsidRPr="00006A39">
        <w:rPr>
          <w:rFonts w:eastAsia="Times New Roman"/>
          <w:i/>
          <w:szCs w:val="28"/>
          <w:lang w:eastAsia="ru-RU"/>
        </w:rPr>
        <w:t xml:space="preserve"> </w:t>
      </w:r>
    </w:p>
    <w:p w:rsidR="003B67F9" w:rsidRPr="00006A39" w:rsidRDefault="003B67F9" w:rsidP="00721203">
      <w:pPr>
        <w:widowControl w:val="0"/>
        <w:spacing w:after="240"/>
        <w:jc w:val="center"/>
        <w:rPr>
          <w:rFonts w:eastAsia="Times New Roman"/>
          <w:b/>
          <w:color w:val="000000"/>
          <w:szCs w:val="28"/>
          <w:lang w:eastAsia="ru-RU"/>
        </w:rPr>
      </w:pPr>
      <w:r w:rsidRPr="00006A39">
        <w:rPr>
          <w:rFonts w:eastAsia="Times New Roman"/>
          <w:b/>
          <w:color w:val="000000"/>
          <w:szCs w:val="28"/>
          <w:lang w:eastAsia="ru-RU"/>
        </w:rPr>
        <w:t>Модель комплексної оцінки діяльності закладів та установ перинатальної допомоги України</w:t>
      </w:r>
    </w:p>
    <w:tbl>
      <w:tblPr>
        <w:tblStyle w:val="116"/>
        <w:tblW w:w="0" w:type="auto"/>
        <w:tblInd w:w="108" w:type="dxa"/>
        <w:tblLayout w:type="fixed"/>
        <w:tblLook w:val="04A0" w:firstRow="1" w:lastRow="0" w:firstColumn="1" w:lastColumn="0" w:noHBand="0" w:noVBand="1"/>
      </w:tblPr>
      <w:tblGrid>
        <w:gridCol w:w="2694"/>
        <w:gridCol w:w="2835"/>
        <w:gridCol w:w="941"/>
        <w:gridCol w:w="618"/>
        <w:gridCol w:w="892"/>
        <w:gridCol w:w="548"/>
        <w:gridCol w:w="548"/>
        <w:gridCol w:w="548"/>
        <w:gridCol w:w="548"/>
      </w:tblGrid>
      <w:tr w:rsidR="003B67F9" w:rsidRPr="00F14959" w:rsidTr="00F748D4">
        <w:trPr>
          <w:cantSplit/>
          <w:trHeight w:val="2258"/>
        </w:trPr>
        <w:tc>
          <w:tcPr>
            <w:tcW w:w="2694" w:type="dxa"/>
          </w:tcPr>
          <w:p w:rsidR="003B67F9" w:rsidRPr="00F14959" w:rsidRDefault="003B67F9" w:rsidP="00721203">
            <w:pPr>
              <w:widowControl w:val="0"/>
              <w:jc w:val="center"/>
              <w:rPr>
                <w:color w:val="000000"/>
                <w:sz w:val="24"/>
                <w:szCs w:val="24"/>
                <w:lang w:eastAsia="ru-RU"/>
              </w:rPr>
            </w:pPr>
            <w:r w:rsidRPr="00F14959">
              <w:rPr>
                <w:color w:val="000000"/>
                <w:sz w:val="24"/>
                <w:szCs w:val="24"/>
                <w:lang w:eastAsia="ru-RU"/>
              </w:rPr>
              <w:t>Нормативний показник</w:t>
            </w:r>
          </w:p>
        </w:tc>
        <w:tc>
          <w:tcPr>
            <w:tcW w:w="2835" w:type="dxa"/>
          </w:tcPr>
          <w:p w:rsidR="003B67F9" w:rsidRPr="00F14959" w:rsidRDefault="003B67F9" w:rsidP="00721203">
            <w:pPr>
              <w:widowControl w:val="0"/>
              <w:jc w:val="center"/>
              <w:rPr>
                <w:color w:val="000000"/>
                <w:sz w:val="24"/>
                <w:szCs w:val="24"/>
                <w:lang w:eastAsia="ru-RU"/>
              </w:rPr>
            </w:pPr>
            <w:r w:rsidRPr="00F14959">
              <w:rPr>
                <w:color w:val="000000"/>
                <w:sz w:val="24"/>
                <w:szCs w:val="24"/>
                <w:lang w:eastAsia="ru-RU"/>
              </w:rPr>
              <w:t>Методика вимірювання</w:t>
            </w:r>
          </w:p>
        </w:tc>
        <w:tc>
          <w:tcPr>
            <w:tcW w:w="941" w:type="dxa"/>
            <w:textDirection w:val="btLr"/>
            <w:vAlign w:val="center"/>
          </w:tcPr>
          <w:p w:rsidR="003B67F9" w:rsidRPr="00F14959" w:rsidRDefault="003B67F9" w:rsidP="00721203">
            <w:pPr>
              <w:widowControl w:val="0"/>
              <w:ind w:left="113" w:right="113"/>
              <w:jc w:val="center"/>
              <w:rPr>
                <w:color w:val="000000"/>
                <w:sz w:val="24"/>
                <w:szCs w:val="24"/>
                <w:lang w:eastAsia="ru-RU"/>
              </w:rPr>
            </w:pPr>
            <w:r w:rsidRPr="00F14959">
              <w:rPr>
                <w:color w:val="000000"/>
                <w:sz w:val="24"/>
                <w:szCs w:val="24"/>
                <w:lang w:eastAsia="ru-RU"/>
              </w:rPr>
              <w:t>Норматив (контрольний показник)</w:t>
            </w:r>
          </w:p>
        </w:tc>
        <w:tc>
          <w:tcPr>
            <w:tcW w:w="618" w:type="dxa"/>
            <w:textDirection w:val="btLr"/>
            <w:vAlign w:val="center"/>
          </w:tcPr>
          <w:p w:rsidR="003B67F9" w:rsidRPr="00F14959" w:rsidRDefault="00F748D4" w:rsidP="00721203">
            <w:pPr>
              <w:widowControl w:val="0"/>
              <w:rPr>
                <w:sz w:val="24"/>
                <w:szCs w:val="24"/>
                <w:lang w:eastAsia="ru-RU"/>
              </w:rPr>
            </w:pPr>
            <w:r>
              <w:rPr>
                <w:sz w:val="24"/>
                <w:szCs w:val="24"/>
                <w:lang w:eastAsia="ru-RU"/>
              </w:rPr>
              <w:t xml:space="preserve">   </w:t>
            </w:r>
            <w:r w:rsidR="003B67F9" w:rsidRPr="00F14959">
              <w:rPr>
                <w:sz w:val="24"/>
                <w:szCs w:val="24"/>
                <w:lang w:eastAsia="ru-RU"/>
              </w:rPr>
              <w:t>Оцінка нормативу</w:t>
            </w:r>
          </w:p>
          <w:p w:rsidR="003B67F9" w:rsidRPr="00F14959" w:rsidRDefault="003B67F9" w:rsidP="00721203">
            <w:pPr>
              <w:widowControl w:val="0"/>
              <w:ind w:left="113" w:right="113"/>
              <w:jc w:val="center"/>
              <w:rPr>
                <w:color w:val="000000"/>
                <w:sz w:val="24"/>
                <w:szCs w:val="24"/>
                <w:lang w:eastAsia="ru-RU"/>
              </w:rPr>
            </w:pPr>
            <w:r w:rsidRPr="00F14959">
              <w:rPr>
                <w:color w:val="000000"/>
                <w:sz w:val="24"/>
                <w:szCs w:val="24"/>
                <w:lang w:eastAsia="ru-RU"/>
              </w:rPr>
              <w:t>(бал)</w:t>
            </w:r>
          </w:p>
        </w:tc>
        <w:tc>
          <w:tcPr>
            <w:tcW w:w="892" w:type="dxa"/>
            <w:textDirection w:val="btLr"/>
            <w:vAlign w:val="center"/>
          </w:tcPr>
          <w:p w:rsidR="003B67F9" w:rsidRPr="00F14959" w:rsidRDefault="003B67F9" w:rsidP="00721203">
            <w:pPr>
              <w:widowControl w:val="0"/>
              <w:ind w:left="113" w:right="113"/>
              <w:jc w:val="center"/>
              <w:rPr>
                <w:color w:val="000000"/>
                <w:sz w:val="24"/>
                <w:szCs w:val="24"/>
                <w:lang w:eastAsia="ru-RU"/>
              </w:rPr>
            </w:pPr>
            <w:r w:rsidRPr="00F14959">
              <w:rPr>
                <w:color w:val="000000"/>
                <w:sz w:val="24"/>
                <w:szCs w:val="24"/>
                <w:lang w:eastAsia="ru-RU"/>
              </w:rPr>
              <w:t>Оцінка відхилення в балах на 1 одиницю виміру</w:t>
            </w:r>
          </w:p>
        </w:tc>
        <w:tc>
          <w:tcPr>
            <w:tcW w:w="548" w:type="dxa"/>
            <w:textDirection w:val="btLr"/>
            <w:vAlign w:val="center"/>
          </w:tcPr>
          <w:p w:rsidR="003B67F9" w:rsidRPr="00F14959" w:rsidRDefault="003B67F9" w:rsidP="00721203">
            <w:pPr>
              <w:widowControl w:val="0"/>
              <w:ind w:left="113" w:right="113"/>
              <w:jc w:val="center"/>
              <w:rPr>
                <w:color w:val="000000"/>
                <w:sz w:val="24"/>
                <w:szCs w:val="24"/>
                <w:lang w:eastAsia="ru-RU"/>
              </w:rPr>
            </w:pPr>
            <w:r w:rsidRPr="00F14959">
              <w:rPr>
                <w:color w:val="000000"/>
                <w:sz w:val="24"/>
                <w:szCs w:val="24"/>
                <w:lang w:eastAsia="ru-RU"/>
              </w:rPr>
              <w:t>Знак</w:t>
            </w:r>
          </w:p>
        </w:tc>
        <w:tc>
          <w:tcPr>
            <w:tcW w:w="548" w:type="dxa"/>
            <w:textDirection w:val="btLr"/>
            <w:vAlign w:val="center"/>
          </w:tcPr>
          <w:p w:rsidR="003B67F9" w:rsidRPr="00F14959" w:rsidRDefault="003B67F9" w:rsidP="00721203">
            <w:pPr>
              <w:widowControl w:val="0"/>
              <w:ind w:left="113" w:right="113"/>
              <w:jc w:val="center"/>
              <w:rPr>
                <w:color w:val="000000"/>
                <w:sz w:val="24"/>
                <w:szCs w:val="24"/>
                <w:lang w:eastAsia="ru-RU"/>
              </w:rPr>
            </w:pPr>
            <w:r w:rsidRPr="00F14959">
              <w:rPr>
                <w:color w:val="000000"/>
                <w:sz w:val="24"/>
                <w:szCs w:val="24"/>
                <w:lang w:eastAsia="ru-RU"/>
              </w:rPr>
              <w:t>Фактичний показник</w:t>
            </w:r>
          </w:p>
        </w:tc>
        <w:tc>
          <w:tcPr>
            <w:tcW w:w="548" w:type="dxa"/>
            <w:noWrap/>
            <w:textDirection w:val="btLr"/>
            <w:vAlign w:val="center"/>
          </w:tcPr>
          <w:p w:rsidR="003B67F9" w:rsidRPr="00F14959" w:rsidRDefault="003B67F9" w:rsidP="00721203">
            <w:pPr>
              <w:widowControl w:val="0"/>
              <w:ind w:left="113" w:right="113"/>
              <w:jc w:val="center"/>
              <w:rPr>
                <w:color w:val="000000"/>
                <w:sz w:val="24"/>
                <w:szCs w:val="24"/>
                <w:lang w:eastAsia="ru-RU"/>
              </w:rPr>
            </w:pPr>
            <w:r w:rsidRPr="00F14959">
              <w:rPr>
                <w:color w:val="000000"/>
                <w:sz w:val="24"/>
                <w:szCs w:val="24"/>
                <w:lang w:eastAsia="ru-RU"/>
              </w:rPr>
              <w:t>Оцінка фактичного показника</w:t>
            </w:r>
          </w:p>
        </w:tc>
        <w:tc>
          <w:tcPr>
            <w:tcW w:w="548" w:type="dxa"/>
            <w:noWrap/>
            <w:textDirection w:val="btLr"/>
            <w:vAlign w:val="center"/>
          </w:tcPr>
          <w:p w:rsidR="003B67F9" w:rsidRPr="00F14959" w:rsidRDefault="003B67F9" w:rsidP="00721203">
            <w:pPr>
              <w:widowControl w:val="0"/>
              <w:ind w:left="113" w:right="113"/>
              <w:jc w:val="center"/>
              <w:rPr>
                <w:color w:val="000000"/>
                <w:sz w:val="24"/>
                <w:szCs w:val="24"/>
                <w:lang w:eastAsia="ru-RU"/>
              </w:rPr>
            </w:pPr>
            <w:r w:rsidRPr="00F14959">
              <w:rPr>
                <w:color w:val="000000"/>
                <w:sz w:val="24"/>
                <w:szCs w:val="24"/>
                <w:lang w:eastAsia="ru-RU"/>
              </w:rPr>
              <w:t>КДНЗ</w:t>
            </w:r>
          </w:p>
        </w:tc>
      </w:tr>
      <w:tr w:rsidR="003B67F9" w:rsidRPr="00F14959" w:rsidTr="00331ED3">
        <w:trPr>
          <w:trHeight w:val="911"/>
        </w:trPr>
        <w:tc>
          <w:tcPr>
            <w:tcW w:w="2694" w:type="dxa"/>
            <w:hideMark/>
          </w:tcPr>
          <w:p w:rsidR="003B67F9" w:rsidRPr="00F14959" w:rsidRDefault="003B67F9" w:rsidP="00721203">
            <w:pPr>
              <w:widowControl w:val="0"/>
              <w:jc w:val="both"/>
              <w:rPr>
                <w:color w:val="000000"/>
                <w:sz w:val="24"/>
                <w:szCs w:val="24"/>
                <w:lang w:eastAsia="ru-RU"/>
              </w:rPr>
            </w:pPr>
            <w:r w:rsidRPr="00F14959">
              <w:rPr>
                <w:color w:val="000000"/>
                <w:sz w:val="24"/>
                <w:szCs w:val="24"/>
                <w:lang w:eastAsia="ru-RU"/>
              </w:rPr>
              <w:t>Забезпеченість лікарями акушер-гінекологами</w:t>
            </w:r>
          </w:p>
        </w:tc>
        <w:tc>
          <w:tcPr>
            <w:tcW w:w="2835" w:type="dxa"/>
          </w:tcPr>
          <w:p w:rsidR="003B67F9" w:rsidRPr="00F14959" w:rsidRDefault="003B67F9" w:rsidP="00721203">
            <w:pPr>
              <w:widowControl w:val="0"/>
              <w:jc w:val="both"/>
              <w:rPr>
                <w:color w:val="000000"/>
                <w:sz w:val="24"/>
                <w:szCs w:val="24"/>
                <w:lang w:eastAsia="ru-RU"/>
              </w:rPr>
            </w:pPr>
            <w:r w:rsidRPr="00F14959">
              <w:rPr>
                <w:color w:val="000000"/>
                <w:sz w:val="24"/>
                <w:szCs w:val="24"/>
                <w:lang w:eastAsia="ru-RU"/>
              </w:rPr>
              <w:t>На 1000 жіночого населення</w:t>
            </w:r>
          </w:p>
        </w:tc>
        <w:tc>
          <w:tcPr>
            <w:tcW w:w="941" w:type="dxa"/>
            <w:vAlign w:val="center"/>
            <w:hideMark/>
          </w:tcPr>
          <w:p w:rsidR="003B67F9" w:rsidRPr="00F14959" w:rsidRDefault="003B67F9" w:rsidP="00721203">
            <w:pPr>
              <w:widowControl w:val="0"/>
              <w:jc w:val="center"/>
              <w:rPr>
                <w:color w:val="000000"/>
                <w:sz w:val="24"/>
                <w:szCs w:val="24"/>
                <w:lang w:eastAsia="ru-RU"/>
              </w:rPr>
            </w:pPr>
            <w:r w:rsidRPr="00F14959">
              <w:rPr>
                <w:color w:val="000000"/>
                <w:sz w:val="24"/>
                <w:szCs w:val="24"/>
                <w:lang w:eastAsia="ru-RU"/>
              </w:rPr>
              <w:t>5,5</w:t>
            </w:r>
          </w:p>
        </w:tc>
        <w:tc>
          <w:tcPr>
            <w:tcW w:w="618" w:type="dxa"/>
            <w:vAlign w:val="center"/>
            <w:hideMark/>
          </w:tcPr>
          <w:p w:rsidR="003B67F9" w:rsidRPr="00F14959" w:rsidRDefault="003B67F9" w:rsidP="00721203">
            <w:pPr>
              <w:widowControl w:val="0"/>
              <w:jc w:val="center"/>
              <w:rPr>
                <w:color w:val="000000"/>
                <w:sz w:val="24"/>
                <w:szCs w:val="24"/>
                <w:lang w:eastAsia="ru-RU"/>
              </w:rPr>
            </w:pPr>
            <w:r w:rsidRPr="00F14959">
              <w:rPr>
                <w:color w:val="000000"/>
                <w:sz w:val="24"/>
                <w:szCs w:val="24"/>
                <w:lang w:eastAsia="ru-RU"/>
              </w:rPr>
              <w:t>6</w:t>
            </w:r>
          </w:p>
        </w:tc>
        <w:tc>
          <w:tcPr>
            <w:tcW w:w="892" w:type="dxa"/>
            <w:vAlign w:val="center"/>
            <w:hideMark/>
          </w:tcPr>
          <w:p w:rsidR="003B67F9" w:rsidRPr="00F14959" w:rsidRDefault="003B67F9" w:rsidP="00721203">
            <w:pPr>
              <w:widowControl w:val="0"/>
              <w:jc w:val="center"/>
              <w:rPr>
                <w:color w:val="000000"/>
                <w:sz w:val="24"/>
                <w:szCs w:val="24"/>
                <w:lang w:eastAsia="ru-RU"/>
              </w:rPr>
            </w:pPr>
            <w:r w:rsidRPr="00F14959">
              <w:rPr>
                <w:color w:val="000000"/>
                <w:sz w:val="24"/>
                <w:szCs w:val="24"/>
                <w:lang w:eastAsia="ru-RU"/>
              </w:rPr>
              <w:t>1,09</w:t>
            </w:r>
          </w:p>
        </w:tc>
        <w:tc>
          <w:tcPr>
            <w:tcW w:w="548" w:type="dxa"/>
            <w:vAlign w:val="center"/>
            <w:hideMark/>
          </w:tcPr>
          <w:p w:rsidR="003B67F9" w:rsidRPr="00F14959" w:rsidRDefault="003B67F9" w:rsidP="00721203">
            <w:pPr>
              <w:widowControl w:val="0"/>
              <w:jc w:val="center"/>
              <w:rPr>
                <w:color w:val="000000"/>
                <w:sz w:val="24"/>
                <w:szCs w:val="24"/>
                <w:lang w:eastAsia="ru-RU"/>
              </w:rPr>
            </w:pPr>
            <w:r w:rsidRPr="00F14959">
              <w:rPr>
                <w:color w:val="000000"/>
                <w:sz w:val="24"/>
                <w:szCs w:val="24"/>
                <w:lang w:eastAsia="ru-RU"/>
              </w:rPr>
              <w:t>–</w:t>
            </w:r>
          </w:p>
        </w:tc>
        <w:tc>
          <w:tcPr>
            <w:tcW w:w="548" w:type="dxa"/>
            <w:vAlign w:val="center"/>
          </w:tcPr>
          <w:p w:rsidR="003B67F9" w:rsidRPr="00F14959" w:rsidRDefault="003B67F9" w:rsidP="00721203">
            <w:pPr>
              <w:widowControl w:val="0"/>
              <w:jc w:val="center"/>
              <w:rPr>
                <w:color w:val="000000"/>
                <w:sz w:val="24"/>
                <w:szCs w:val="24"/>
                <w:lang w:eastAsia="ru-RU"/>
              </w:rPr>
            </w:pPr>
          </w:p>
        </w:tc>
        <w:tc>
          <w:tcPr>
            <w:tcW w:w="548" w:type="dxa"/>
            <w:noWrap/>
            <w:vAlign w:val="center"/>
          </w:tcPr>
          <w:p w:rsidR="003B67F9" w:rsidRPr="00F14959" w:rsidRDefault="003B67F9" w:rsidP="00721203">
            <w:pPr>
              <w:widowControl w:val="0"/>
              <w:jc w:val="center"/>
              <w:rPr>
                <w:color w:val="000000"/>
                <w:sz w:val="24"/>
                <w:szCs w:val="24"/>
                <w:lang w:eastAsia="ru-RU"/>
              </w:rPr>
            </w:pPr>
          </w:p>
        </w:tc>
        <w:tc>
          <w:tcPr>
            <w:tcW w:w="548" w:type="dxa"/>
            <w:noWrap/>
            <w:vAlign w:val="center"/>
          </w:tcPr>
          <w:p w:rsidR="003B67F9" w:rsidRPr="00F14959" w:rsidRDefault="003B67F9" w:rsidP="00721203">
            <w:pPr>
              <w:widowControl w:val="0"/>
              <w:jc w:val="center"/>
              <w:rPr>
                <w:color w:val="000000"/>
                <w:sz w:val="24"/>
                <w:szCs w:val="24"/>
                <w:lang w:eastAsia="ru-RU"/>
              </w:rPr>
            </w:pPr>
          </w:p>
        </w:tc>
      </w:tr>
      <w:tr w:rsidR="003B67F9" w:rsidRPr="00F14959" w:rsidTr="00F748D4">
        <w:trPr>
          <w:trHeight w:val="615"/>
        </w:trPr>
        <w:tc>
          <w:tcPr>
            <w:tcW w:w="2694" w:type="dxa"/>
            <w:hideMark/>
          </w:tcPr>
          <w:p w:rsidR="003B67F9" w:rsidRPr="00F14959" w:rsidRDefault="003B67F9" w:rsidP="00721203">
            <w:pPr>
              <w:widowControl w:val="0"/>
              <w:jc w:val="both"/>
              <w:rPr>
                <w:color w:val="000000"/>
                <w:sz w:val="24"/>
                <w:szCs w:val="24"/>
                <w:lang w:eastAsia="ru-RU"/>
              </w:rPr>
            </w:pPr>
            <w:r w:rsidRPr="00F14959">
              <w:rPr>
                <w:color w:val="000000"/>
                <w:sz w:val="24"/>
                <w:szCs w:val="24"/>
                <w:lang w:eastAsia="ru-RU"/>
              </w:rPr>
              <w:t>Забезпеченість лікарями педіатрами-неонатологами</w:t>
            </w:r>
          </w:p>
        </w:tc>
        <w:tc>
          <w:tcPr>
            <w:tcW w:w="2835" w:type="dxa"/>
          </w:tcPr>
          <w:p w:rsidR="003B67F9" w:rsidRPr="00F14959" w:rsidRDefault="003B67F9" w:rsidP="00721203">
            <w:pPr>
              <w:widowControl w:val="0"/>
              <w:jc w:val="both"/>
              <w:rPr>
                <w:color w:val="000000"/>
                <w:sz w:val="24"/>
                <w:szCs w:val="24"/>
                <w:lang w:eastAsia="ru-RU"/>
              </w:rPr>
            </w:pPr>
            <w:r w:rsidRPr="00F14959">
              <w:rPr>
                <w:color w:val="000000"/>
                <w:sz w:val="24"/>
                <w:szCs w:val="24"/>
                <w:lang w:eastAsia="ru-RU"/>
              </w:rPr>
              <w:t>На 1000 народжених живими</w:t>
            </w:r>
          </w:p>
        </w:tc>
        <w:tc>
          <w:tcPr>
            <w:tcW w:w="941" w:type="dxa"/>
            <w:vAlign w:val="center"/>
            <w:hideMark/>
          </w:tcPr>
          <w:p w:rsidR="003B67F9" w:rsidRPr="00F14959" w:rsidRDefault="003B67F9" w:rsidP="00721203">
            <w:pPr>
              <w:widowControl w:val="0"/>
              <w:jc w:val="center"/>
              <w:rPr>
                <w:color w:val="000000"/>
                <w:sz w:val="24"/>
                <w:szCs w:val="24"/>
                <w:lang w:eastAsia="ru-RU"/>
              </w:rPr>
            </w:pPr>
            <w:r w:rsidRPr="00F14959">
              <w:rPr>
                <w:color w:val="000000"/>
                <w:sz w:val="24"/>
                <w:szCs w:val="24"/>
                <w:lang w:eastAsia="ru-RU"/>
              </w:rPr>
              <w:t>5,5</w:t>
            </w:r>
          </w:p>
        </w:tc>
        <w:tc>
          <w:tcPr>
            <w:tcW w:w="618" w:type="dxa"/>
            <w:vAlign w:val="center"/>
            <w:hideMark/>
          </w:tcPr>
          <w:p w:rsidR="003B67F9" w:rsidRPr="00F14959" w:rsidRDefault="003B67F9" w:rsidP="00721203">
            <w:pPr>
              <w:widowControl w:val="0"/>
              <w:jc w:val="center"/>
              <w:rPr>
                <w:color w:val="000000"/>
                <w:sz w:val="24"/>
                <w:szCs w:val="24"/>
                <w:lang w:eastAsia="ru-RU"/>
              </w:rPr>
            </w:pPr>
            <w:r w:rsidRPr="00F14959">
              <w:rPr>
                <w:color w:val="000000"/>
                <w:sz w:val="24"/>
                <w:szCs w:val="24"/>
                <w:lang w:eastAsia="ru-RU"/>
              </w:rPr>
              <w:t>6</w:t>
            </w:r>
          </w:p>
        </w:tc>
        <w:tc>
          <w:tcPr>
            <w:tcW w:w="892" w:type="dxa"/>
            <w:vAlign w:val="center"/>
            <w:hideMark/>
          </w:tcPr>
          <w:p w:rsidR="003B67F9" w:rsidRPr="00F14959" w:rsidRDefault="003B67F9" w:rsidP="00721203">
            <w:pPr>
              <w:widowControl w:val="0"/>
              <w:jc w:val="center"/>
              <w:rPr>
                <w:color w:val="000000"/>
                <w:sz w:val="24"/>
                <w:szCs w:val="24"/>
                <w:lang w:eastAsia="ru-RU"/>
              </w:rPr>
            </w:pPr>
            <w:r w:rsidRPr="00F14959">
              <w:rPr>
                <w:color w:val="000000"/>
                <w:sz w:val="24"/>
                <w:szCs w:val="24"/>
                <w:lang w:eastAsia="ru-RU"/>
              </w:rPr>
              <w:t>1,09</w:t>
            </w:r>
          </w:p>
        </w:tc>
        <w:tc>
          <w:tcPr>
            <w:tcW w:w="548" w:type="dxa"/>
            <w:vAlign w:val="center"/>
            <w:hideMark/>
          </w:tcPr>
          <w:p w:rsidR="003B67F9" w:rsidRPr="00F14959" w:rsidRDefault="003B67F9" w:rsidP="00721203">
            <w:pPr>
              <w:widowControl w:val="0"/>
              <w:jc w:val="center"/>
              <w:rPr>
                <w:color w:val="000000"/>
                <w:sz w:val="24"/>
                <w:szCs w:val="24"/>
                <w:lang w:eastAsia="ru-RU"/>
              </w:rPr>
            </w:pPr>
            <w:r w:rsidRPr="00F14959">
              <w:rPr>
                <w:color w:val="000000"/>
                <w:sz w:val="24"/>
                <w:szCs w:val="24"/>
                <w:lang w:eastAsia="ru-RU"/>
              </w:rPr>
              <w:t>–</w:t>
            </w:r>
          </w:p>
        </w:tc>
        <w:tc>
          <w:tcPr>
            <w:tcW w:w="548" w:type="dxa"/>
            <w:vAlign w:val="center"/>
          </w:tcPr>
          <w:p w:rsidR="003B67F9" w:rsidRPr="00F14959" w:rsidRDefault="003B67F9" w:rsidP="00721203">
            <w:pPr>
              <w:widowControl w:val="0"/>
              <w:jc w:val="center"/>
              <w:rPr>
                <w:color w:val="000000"/>
                <w:sz w:val="24"/>
                <w:szCs w:val="24"/>
                <w:lang w:eastAsia="ru-RU"/>
              </w:rPr>
            </w:pPr>
          </w:p>
        </w:tc>
        <w:tc>
          <w:tcPr>
            <w:tcW w:w="548" w:type="dxa"/>
            <w:noWrap/>
            <w:vAlign w:val="center"/>
          </w:tcPr>
          <w:p w:rsidR="003B67F9" w:rsidRPr="00F14959" w:rsidRDefault="003B67F9" w:rsidP="00721203">
            <w:pPr>
              <w:widowControl w:val="0"/>
              <w:jc w:val="center"/>
              <w:rPr>
                <w:color w:val="000000"/>
                <w:sz w:val="24"/>
                <w:szCs w:val="24"/>
                <w:lang w:eastAsia="ru-RU"/>
              </w:rPr>
            </w:pPr>
          </w:p>
        </w:tc>
        <w:tc>
          <w:tcPr>
            <w:tcW w:w="548" w:type="dxa"/>
            <w:noWrap/>
            <w:vAlign w:val="center"/>
          </w:tcPr>
          <w:p w:rsidR="003B67F9" w:rsidRPr="00F14959" w:rsidRDefault="003B67F9" w:rsidP="00721203">
            <w:pPr>
              <w:widowControl w:val="0"/>
              <w:jc w:val="center"/>
              <w:rPr>
                <w:color w:val="000000"/>
                <w:sz w:val="24"/>
                <w:szCs w:val="24"/>
                <w:lang w:eastAsia="ru-RU"/>
              </w:rPr>
            </w:pPr>
          </w:p>
        </w:tc>
      </w:tr>
      <w:tr w:rsidR="003B67F9" w:rsidRPr="00F14959" w:rsidTr="00F748D4">
        <w:trPr>
          <w:trHeight w:val="315"/>
        </w:trPr>
        <w:tc>
          <w:tcPr>
            <w:tcW w:w="2694" w:type="dxa"/>
            <w:hideMark/>
          </w:tcPr>
          <w:p w:rsidR="003B67F9" w:rsidRPr="00F14959" w:rsidRDefault="003B67F9" w:rsidP="00721203">
            <w:pPr>
              <w:widowControl w:val="0"/>
              <w:jc w:val="both"/>
              <w:rPr>
                <w:color w:val="000000"/>
                <w:sz w:val="24"/>
                <w:szCs w:val="24"/>
                <w:lang w:eastAsia="ru-RU"/>
              </w:rPr>
            </w:pPr>
            <w:r w:rsidRPr="00F14959">
              <w:rPr>
                <w:color w:val="000000"/>
                <w:sz w:val="24"/>
                <w:szCs w:val="24"/>
                <w:lang w:eastAsia="ru-RU"/>
              </w:rPr>
              <w:t>Своєчасність постановки на облік вагітних</w:t>
            </w:r>
          </w:p>
        </w:tc>
        <w:tc>
          <w:tcPr>
            <w:tcW w:w="2835" w:type="dxa"/>
          </w:tcPr>
          <w:p w:rsidR="003B67F9" w:rsidRPr="00F14959" w:rsidRDefault="003B67F9" w:rsidP="00721203">
            <w:pPr>
              <w:widowControl w:val="0"/>
              <w:jc w:val="both"/>
              <w:rPr>
                <w:color w:val="000000"/>
                <w:sz w:val="24"/>
                <w:szCs w:val="24"/>
                <w:lang w:eastAsia="ru-RU"/>
              </w:rPr>
            </w:pPr>
            <w:r w:rsidRPr="00F14959">
              <w:rPr>
                <w:iCs/>
                <w:color w:val="000000"/>
                <w:kern w:val="28"/>
                <w:sz w:val="24"/>
                <w:szCs w:val="24"/>
                <w:lang w:eastAsia="ru-RU"/>
              </w:rPr>
              <w:t>На</w:t>
            </w:r>
            <w:r w:rsidRPr="00F14959">
              <w:rPr>
                <w:color w:val="000000"/>
                <w:kern w:val="28"/>
                <w:sz w:val="24"/>
                <w:szCs w:val="24"/>
                <w:lang w:eastAsia="ru-RU"/>
              </w:rPr>
              <w:t xml:space="preserve"> 100 </w:t>
            </w:r>
            <w:r w:rsidRPr="00F14959">
              <w:rPr>
                <w:iCs/>
                <w:color w:val="000000"/>
                <w:kern w:val="28"/>
                <w:sz w:val="24"/>
                <w:szCs w:val="24"/>
                <w:lang w:eastAsia="ru-RU"/>
              </w:rPr>
              <w:t>вагітних, які надійшли для нагляду</w:t>
            </w:r>
          </w:p>
        </w:tc>
        <w:tc>
          <w:tcPr>
            <w:tcW w:w="941" w:type="dxa"/>
            <w:vAlign w:val="center"/>
            <w:hideMark/>
          </w:tcPr>
          <w:p w:rsidR="003B67F9" w:rsidRPr="00F14959" w:rsidRDefault="003B67F9" w:rsidP="00721203">
            <w:pPr>
              <w:widowControl w:val="0"/>
              <w:jc w:val="center"/>
              <w:rPr>
                <w:color w:val="000000"/>
                <w:sz w:val="24"/>
                <w:szCs w:val="24"/>
                <w:lang w:eastAsia="ru-RU"/>
              </w:rPr>
            </w:pPr>
            <w:r w:rsidRPr="00F14959">
              <w:rPr>
                <w:color w:val="000000"/>
                <w:sz w:val="24"/>
                <w:szCs w:val="24"/>
                <w:lang w:eastAsia="ru-RU"/>
              </w:rPr>
              <w:t>95</w:t>
            </w:r>
          </w:p>
        </w:tc>
        <w:tc>
          <w:tcPr>
            <w:tcW w:w="618" w:type="dxa"/>
            <w:vAlign w:val="center"/>
            <w:hideMark/>
          </w:tcPr>
          <w:p w:rsidR="003B67F9" w:rsidRPr="00F14959" w:rsidRDefault="003B67F9" w:rsidP="00721203">
            <w:pPr>
              <w:widowControl w:val="0"/>
              <w:jc w:val="center"/>
              <w:rPr>
                <w:color w:val="000000"/>
                <w:sz w:val="24"/>
                <w:szCs w:val="24"/>
                <w:lang w:eastAsia="ru-RU"/>
              </w:rPr>
            </w:pPr>
            <w:r w:rsidRPr="00F14959">
              <w:rPr>
                <w:color w:val="000000"/>
                <w:sz w:val="24"/>
                <w:szCs w:val="24"/>
                <w:lang w:eastAsia="ru-RU"/>
              </w:rPr>
              <w:t>7</w:t>
            </w:r>
          </w:p>
        </w:tc>
        <w:tc>
          <w:tcPr>
            <w:tcW w:w="892" w:type="dxa"/>
            <w:vAlign w:val="center"/>
            <w:hideMark/>
          </w:tcPr>
          <w:p w:rsidR="003B67F9" w:rsidRPr="00F14959" w:rsidRDefault="003B67F9" w:rsidP="00721203">
            <w:pPr>
              <w:widowControl w:val="0"/>
              <w:jc w:val="center"/>
              <w:rPr>
                <w:color w:val="000000"/>
                <w:sz w:val="24"/>
                <w:szCs w:val="24"/>
                <w:lang w:eastAsia="ru-RU"/>
              </w:rPr>
            </w:pPr>
            <w:r w:rsidRPr="00F14959">
              <w:rPr>
                <w:color w:val="000000"/>
                <w:sz w:val="24"/>
                <w:szCs w:val="24"/>
                <w:lang w:eastAsia="ru-RU"/>
              </w:rPr>
              <w:t>0,07</w:t>
            </w:r>
          </w:p>
        </w:tc>
        <w:tc>
          <w:tcPr>
            <w:tcW w:w="548" w:type="dxa"/>
            <w:vAlign w:val="center"/>
            <w:hideMark/>
          </w:tcPr>
          <w:p w:rsidR="003B67F9" w:rsidRPr="00F14959" w:rsidRDefault="003B67F9" w:rsidP="00721203">
            <w:pPr>
              <w:widowControl w:val="0"/>
              <w:jc w:val="center"/>
              <w:rPr>
                <w:color w:val="000000"/>
                <w:sz w:val="24"/>
                <w:szCs w:val="24"/>
                <w:lang w:eastAsia="ru-RU"/>
              </w:rPr>
            </w:pPr>
            <w:r w:rsidRPr="00F14959">
              <w:rPr>
                <w:color w:val="000000"/>
                <w:sz w:val="24"/>
                <w:szCs w:val="24"/>
                <w:lang w:eastAsia="ru-RU"/>
              </w:rPr>
              <w:t>–</w:t>
            </w:r>
          </w:p>
        </w:tc>
        <w:tc>
          <w:tcPr>
            <w:tcW w:w="548" w:type="dxa"/>
            <w:vAlign w:val="center"/>
          </w:tcPr>
          <w:p w:rsidR="003B67F9" w:rsidRPr="00F14959" w:rsidRDefault="003B67F9" w:rsidP="00721203">
            <w:pPr>
              <w:widowControl w:val="0"/>
              <w:jc w:val="center"/>
              <w:rPr>
                <w:color w:val="000000"/>
                <w:sz w:val="24"/>
                <w:szCs w:val="24"/>
                <w:lang w:eastAsia="ru-RU"/>
              </w:rPr>
            </w:pPr>
          </w:p>
        </w:tc>
        <w:tc>
          <w:tcPr>
            <w:tcW w:w="548" w:type="dxa"/>
            <w:noWrap/>
            <w:vAlign w:val="center"/>
          </w:tcPr>
          <w:p w:rsidR="003B67F9" w:rsidRPr="00F14959" w:rsidRDefault="003B67F9" w:rsidP="00721203">
            <w:pPr>
              <w:widowControl w:val="0"/>
              <w:jc w:val="center"/>
              <w:rPr>
                <w:color w:val="000000"/>
                <w:sz w:val="24"/>
                <w:szCs w:val="24"/>
                <w:lang w:eastAsia="ru-RU"/>
              </w:rPr>
            </w:pPr>
          </w:p>
        </w:tc>
        <w:tc>
          <w:tcPr>
            <w:tcW w:w="548" w:type="dxa"/>
            <w:noWrap/>
            <w:vAlign w:val="center"/>
          </w:tcPr>
          <w:p w:rsidR="003B67F9" w:rsidRPr="00F14959" w:rsidRDefault="003B67F9" w:rsidP="00721203">
            <w:pPr>
              <w:widowControl w:val="0"/>
              <w:jc w:val="center"/>
              <w:rPr>
                <w:color w:val="000000"/>
                <w:sz w:val="24"/>
                <w:szCs w:val="24"/>
                <w:lang w:eastAsia="ru-RU"/>
              </w:rPr>
            </w:pPr>
          </w:p>
        </w:tc>
      </w:tr>
      <w:tr w:rsidR="003B67F9" w:rsidRPr="00F14959" w:rsidTr="00F748D4">
        <w:trPr>
          <w:trHeight w:val="315"/>
        </w:trPr>
        <w:tc>
          <w:tcPr>
            <w:tcW w:w="2694" w:type="dxa"/>
            <w:hideMark/>
          </w:tcPr>
          <w:p w:rsidR="003B67F9" w:rsidRPr="00F14959" w:rsidRDefault="003B67F9" w:rsidP="00721203">
            <w:pPr>
              <w:widowControl w:val="0"/>
              <w:jc w:val="both"/>
              <w:rPr>
                <w:color w:val="000000"/>
                <w:sz w:val="24"/>
                <w:szCs w:val="24"/>
                <w:lang w:eastAsia="ru-RU"/>
              </w:rPr>
            </w:pPr>
            <w:r w:rsidRPr="00F14959">
              <w:rPr>
                <w:color w:val="000000"/>
                <w:sz w:val="24"/>
                <w:szCs w:val="24"/>
                <w:lang w:eastAsia="ru-RU"/>
              </w:rPr>
              <w:t>Частота анемій вагітних</w:t>
            </w:r>
          </w:p>
        </w:tc>
        <w:tc>
          <w:tcPr>
            <w:tcW w:w="2835" w:type="dxa"/>
          </w:tcPr>
          <w:p w:rsidR="003B67F9" w:rsidRPr="00F14959" w:rsidRDefault="003B67F9" w:rsidP="00721203">
            <w:pPr>
              <w:widowControl w:val="0"/>
              <w:jc w:val="both"/>
              <w:rPr>
                <w:color w:val="000000"/>
                <w:sz w:val="24"/>
                <w:szCs w:val="24"/>
                <w:lang w:eastAsia="ru-RU"/>
              </w:rPr>
            </w:pPr>
            <w:r w:rsidRPr="00F14959">
              <w:rPr>
                <w:iCs/>
                <w:color w:val="000000"/>
                <w:kern w:val="28"/>
                <w:sz w:val="24"/>
                <w:szCs w:val="24"/>
                <w:lang w:eastAsia="ru-RU"/>
              </w:rPr>
              <w:t>На 100 вагітних, що закінчили вагітність</w:t>
            </w:r>
          </w:p>
        </w:tc>
        <w:tc>
          <w:tcPr>
            <w:tcW w:w="941" w:type="dxa"/>
            <w:vAlign w:val="center"/>
            <w:hideMark/>
          </w:tcPr>
          <w:p w:rsidR="003B67F9" w:rsidRPr="00F14959" w:rsidRDefault="003B67F9" w:rsidP="00721203">
            <w:pPr>
              <w:widowControl w:val="0"/>
              <w:jc w:val="center"/>
              <w:rPr>
                <w:color w:val="000000"/>
                <w:sz w:val="24"/>
                <w:szCs w:val="24"/>
                <w:lang w:eastAsia="ru-RU"/>
              </w:rPr>
            </w:pPr>
            <w:r w:rsidRPr="00F14959">
              <w:rPr>
                <w:color w:val="000000"/>
                <w:sz w:val="24"/>
                <w:szCs w:val="24"/>
                <w:lang w:eastAsia="ru-RU"/>
              </w:rPr>
              <w:t>20</w:t>
            </w:r>
          </w:p>
        </w:tc>
        <w:tc>
          <w:tcPr>
            <w:tcW w:w="618" w:type="dxa"/>
            <w:vAlign w:val="center"/>
            <w:hideMark/>
          </w:tcPr>
          <w:p w:rsidR="003B67F9" w:rsidRPr="00F14959" w:rsidRDefault="003B67F9" w:rsidP="00721203">
            <w:pPr>
              <w:widowControl w:val="0"/>
              <w:jc w:val="center"/>
              <w:rPr>
                <w:color w:val="000000"/>
                <w:sz w:val="24"/>
                <w:szCs w:val="24"/>
                <w:lang w:eastAsia="ru-RU"/>
              </w:rPr>
            </w:pPr>
            <w:r w:rsidRPr="00F14959">
              <w:rPr>
                <w:color w:val="000000"/>
                <w:sz w:val="24"/>
                <w:szCs w:val="24"/>
                <w:lang w:eastAsia="ru-RU"/>
              </w:rPr>
              <w:t>4</w:t>
            </w:r>
          </w:p>
        </w:tc>
        <w:tc>
          <w:tcPr>
            <w:tcW w:w="892" w:type="dxa"/>
            <w:vAlign w:val="center"/>
            <w:hideMark/>
          </w:tcPr>
          <w:p w:rsidR="003B67F9" w:rsidRPr="00F14959" w:rsidRDefault="003B67F9" w:rsidP="00721203">
            <w:pPr>
              <w:widowControl w:val="0"/>
              <w:jc w:val="center"/>
              <w:rPr>
                <w:color w:val="000000"/>
                <w:sz w:val="24"/>
                <w:szCs w:val="24"/>
                <w:lang w:eastAsia="ru-RU"/>
              </w:rPr>
            </w:pPr>
            <w:r w:rsidRPr="00F14959">
              <w:rPr>
                <w:color w:val="000000"/>
                <w:sz w:val="24"/>
                <w:szCs w:val="24"/>
                <w:lang w:eastAsia="ru-RU"/>
              </w:rPr>
              <w:t>0,20</w:t>
            </w:r>
          </w:p>
        </w:tc>
        <w:tc>
          <w:tcPr>
            <w:tcW w:w="548" w:type="dxa"/>
            <w:vAlign w:val="center"/>
            <w:hideMark/>
          </w:tcPr>
          <w:p w:rsidR="003B67F9" w:rsidRPr="00F14959" w:rsidRDefault="003B67F9" w:rsidP="00721203">
            <w:pPr>
              <w:widowControl w:val="0"/>
              <w:jc w:val="center"/>
              <w:rPr>
                <w:color w:val="000000"/>
                <w:sz w:val="24"/>
                <w:szCs w:val="24"/>
                <w:lang w:eastAsia="ru-RU"/>
              </w:rPr>
            </w:pPr>
            <w:r w:rsidRPr="00F14959">
              <w:rPr>
                <w:color w:val="000000"/>
                <w:sz w:val="24"/>
                <w:szCs w:val="24"/>
                <w:lang w:eastAsia="ru-RU"/>
              </w:rPr>
              <w:t>+</w:t>
            </w:r>
          </w:p>
        </w:tc>
        <w:tc>
          <w:tcPr>
            <w:tcW w:w="548" w:type="dxa"/>
            <w:vAlign w:val="center"/>
          </w:tcPr>
          <w:p w:rsidR="003B67F9" w:rsidRPr="00F14959" w:rsidRDefault="003B67F9" w:rsidP="00721203">
            <w:pPr>
              <w:widowControl w:val="0"/>
              <w:jc w:val="center"/>
              <w:rPr>
                <w:color w:val="000000"/>
                <w:sz w:val="24"/>
                <w:szCs w:val="24"/>
                <w:lang w:eastAsia="ru-RU"/>
              </w:rPr>
            </w:pPr>
          </w:p>
        </w:tc>
        <w:tc>
          <w:tcPr>
            <w:tcW w:w="548" w:type="dxa"/>
            <w:noWrap/>
            <w:vAlign w:val="center"/>
          </w:tcPr>
          <w:p w:rsidR="003B67F9" w:rsidRPr="00F14959" w:rsidRDefault="003B67F9" w:rsidP="00721203">
            <w:pPr>
              <w:widowControl w:val="0"/>
              <w:jc w:val="center"/>
              <w:rPr>
                <w:color w:val="000000"/>
                <w:sz w:val="24"/>
                <w:szCs w:val="24"/>
                <w:lang w:eastAsia="ru-RU"/>
              </w:rPr>
            </w:pPr>
          </w:p>
        </w:tc>
        <w:tc>
          <w:tcPr>
            <w:tcW w:w="548" w:type="dxa"/>
            <w:noWrap/>
            <w:vAlign w:val="center"/>
          </w:tcPr>
          <w:p w:rsidR="003B67F9" w:rsidRPr="00F14959" w:rsidRDefault="003B67F9" w:rsidP="00721203">
            <w:pPr>
              <w:widowControl w:val="0"/>
              <w:jc w:val="center"/>
              <w:rPr>
                <w:color w:val="000000"/>
                <w:sz w:val="24"/>
                <w:szCs w:val="24"/>
                <w:lang w:eastAsia="ru-RU"/>
              </w:rPr>
            </w:pPr>
          </w:p>
        </w:tc>
      </w:tr>
      <w:tr w:rsidR="003B67F9" w:rsidRPr="00F14959" w:rsidTr="00F748D4">
        <w:trPr>
          <w:trHeight w:val="315"/>
        </w:trPr>
        <w:tc>
          <w:tcPr>
            <w:tcW w:w="2694" w:type="dxa"/>
            <w:hideMark/>
          </w:tcPr>
          <w:p w:rsidR="003B67F9" w:rsidRPr="00F14959" w:rsidRDefault="003B67F9" w:rsidP="00721203">
            <w:pPr>
              <w:widowControl w:val="0"/>
              <w:jc w:val="both"/>
              <w:rPr>
                <w:color w:val="000000"/>
                <w:sz w:val="24"/>
                <w:szCs w:val="24"/>
                <w:lang w:eastAsia="ru-RU"/>
              </w:rPr>
            </w:pPr>
            <w:r w:rsidRPr="00F14959">
              <w:rPr>
                <w:color w:val="000000"/>
                <w:sz w:val="24"/>
                <w:szCs w:val="24"/>
                <w:lang w:eastAsia="ru-RU"/>
              </w:rPr>
              <w:t>Частота прееклампсій та еклампсій вагітних</w:t>
            </w:r>
          </w:p>
        </w:tc>
        <w:tc>
          <w:tcPr>
            <w:tcW w:w="2835" w:type="dxa"/>
          </w:tcPr>
          <w:p w:rsidR="003B67F9" w:rsidRPr="00F14959" w:rsidRDefault="003B67F9" w:rsidP="00721203">
            <w:pPr>
              <w:widowControl w:val="0"/>
              <w:jc w:val="both"/>
              <w:rPr>
                <w:color w:val="000000"/>
                <w:sz w:val="24"/>
                <w:szCs w:val="24"/>
                <w:lang w:eastAsia="ru-RU"/>
              </w:rPr>
            </w:pPr>
            <w:r w:rsidRPr="00F14959">
              <w:rPr>
                <w:iCs/>
                <w:color w:val="000000"/>
                <w:kern w:val="28"/>
                <w:sz w:val="24"/>
                <w:szCs w:val="24"/>
                <w:lang w:eastAsia="ru-RU"/>
              </w:rPr>
              <w:t>На 100 вагітних, що закінчили вагітність</w:t>
            </w:r>
          </w:p>
        </w:tc>
        <w:tc>
          <w:tcPr>
            <w:tcW w:w="941" w:type="dxa"/>
            <w:vAlign w:val="center"/>
            <w:hideMark/>
          </w:tcPr>
          <w:p w:rsidR="003B67F9" w:rsidRPr="00F14959" w:rsidRDefault="003B67F9" w:rsidP="00721203">
            <w:pPr>
              <w:widowControl w:val="0"/>
              <w:jc w:val="center"/>
              <w:rPr>
                <w:color w:val="000000"/>
                <w:sz w:val="24"/>
                <w:szCs w:val="24"/>
                <w:lang w:eastAsia="ru-RU"/>
              </w:rPr>
            </w:pPr>
            <w:r w:rsidRPr="00F14959">
              <w:rPr>
                <w:color w:val="000000"/>
                <w:sz w:val="24"/>
                <w:szCs w:val="24"/>
                <w:lang w:eastAsia="ru-RU"/>
              </w:rPr>
              <w:t>1,75</w:t>
            </w:r>
          </w:p>
        </w:tc>
        <w:tc>
          <w:tcPr>
            <w:tcW w:w="618" w:type="dxa"/>
            <w:vAlign w:val="center"/>
            <w:hideMark/>
          </w:tcPr>
          <w:p w:rsidR="003B67F9" w:rsidRPr="00F14959" w:rsidRDefault="003B67F9" w:rsidP="00721203">
            <w:pPr>
              <w:widowControl w:val="0"/>
              <w:jc w:val="center"/>
              <w:rPr>
                <w:color w:val="000000"/>
                <w:sz w:val="24"/>
                <w:szCs w:val="24"/>
                <w:lang w:eastAsia="ru-RU"/>
              </w:rPr>
            </w:pPr>
            <w:r w:rsidRPr="00F14959">
              <w:rPr>
                <w:color w:val="000000"/>
                <w:sz w:val="24"/>
                <w:szCs w:val="24"/>
                <w:lang w:eastAsia="ru-RU"/>
              </w:rPr>
              <w:t>7</w:t>
            </w:r>
          </w:p>
        </w:tc>
        <w:tc>
          <w:tcPr>
            <w:tcW w:w="892" w:type="dxa"/>
            <w:vAlign w:val="center"/>
            <w:hideMark/>
          </w:tcPr>
          <w:p w:rsidR="003B67F9" w:rsidRPr="00F14959" w:rsidRDefault="003B67F9" w:rsidP="00721203">
            <w:pPr>
              <w:widowControl w:val="0"/>
              <w:jc w:val="center"/>
              <w:rPr>
                <w:color w:val="000000"/>
                <w:sz w:val="24"/>
                <w:szCs w:val="24"/>
                <w:lang w:eastAsia="ru-RU"/>
              </w:rPr>
            </w:pPr>
            <w:r w:rsidRPr="00F14959">
              <w:rPr>
                <w:color w:val="000000"/>
                <w:sz w:val="24"/>
                <w:szCs w:val="24"/>
                <w:lang w:eastAsia="ru-RU"/>
              </w:rPr>
              <w:t>4,00</w:t>
            </w:r>
          </w:p>
        </w:tc>
        <w:tc>
          <w:tcPr>
            <w:tcW w:w="548" w:type="dxa"/>
            <w:vAlign w:val="center"/>
            <w:hideMark/>
          </w:tcPr>
          <w:p w:rsidR="003B67F9" w:rsidRPr="00F14959" w:rsidRDefault="003B67F9" w:rsidP="00721203">
            <w:pPr>
              <w:widowControl w:val="0"/>
              <w:jc w:val="center"/>
              <w:rPr>
                <w:color w:val="000000"/>
                <w:sz w:val="24"/>
                <w:szCs w:val="24"/>
                <w:lang w:eastAsia="ru-RU"/>
              </w:rPr>
            </w:pPr>
            <w:r w:rsidRPr="00F14959">
              <w:rPr>
                <w:color w:val="000000"/>
                <w:sz w:val="24"/>
                <w:szCs w:val="24"/>
                <w:lang w:eastAsia="ru-RU"/>
              </w:rPr>
              <w:t>+</w:t>
            </w:r>
          </w:p>
        </w:tc>
        <w:tc>
          <w:tcPr>
            <w:tcW w:w="548" w:type="dxa"/>
            <w:vAlign w:val="center"/>
          </w:tcPr>
          <w:p w:rsidR="003B67F9" w:rsidRPr="00F14959" w:rsidRDefault="003B67F9" w:rsidP="00721203">
            <w:pPr>
              <w:widowControl w:val="0"/>
              <w:jc w:val="center"/>
              <w:rPr>
                <w:color w:val="000000"/>
                <w:sz w:val="24"/>
                <w:szCs w:val="24"/>
                <w:lang w:eastAsia="ru-RU"/>
              </w:rPr>
            </w:pPr>
          </w:p>
        </w:tc>
        <w:tc>
          <w:tcPr>
            <w:tcW w:w="548" w:type="dxa"/>
            <w:noWrap/>
            <w:vAlign w:val="center"/>
          </w:tcPr>
          <w:p w:rsidR="003B67F9" w:rsidRPr="00F14959" w:rsidRDefault="003B67F9" w:rsidP="00721203">
            <w:pPr>
              <w:widowControl w:val="0"/>
              <w:jc w:val="center"/>
              <w:rPr>
                <w:color w:val="000000"/>
                <w:sz w:val="24"/>
                <w:szCs w:val="24"/>
                <w:lang w:eastAsia="ru-RU"/>
              </w:rPr>
            </w:pPr>
          </w:p>
        </w:tc>
        <w:tc>
          <w:tcPr>
            <w:tcW w:w="548" w:type="dxa"/>
            <w:noWrap/>
            <w:vAlign w:val="center"/>
          </w:tcPr>
          <w:p w:rsidR="003B67F9" w:rsidRPr="00F14959" w:rsidRDefault="003B67F9" w:rsidP="00721203">
            <w:pPr>
              <w:widowControl w:val="0"/>
              <w:jc w:val="center"/>
              <w:rPr>
                <w:color w:val="000000"/>
                <w:sz w:val="24"/>
                <w:szCs w:val="24"/>
                <w:lang w:eastAsia="ru-RU"/>
              </w:rPr>
            </w:pPr>
          </w:p>
        </w:tc>
      </w:tr>
      <w:tr w:rsidR="003B67F9" w:rsidRPr="00F14959" w:rsidTr="00F748D4">
        <w:trPr>
          <w:trHeight w:val="615"/>
        </w:trPr>
        <w:tc>
          <w:tcPr>
            <w:tcW w:w="2694" w:type="dxa"/>
            <w:hideMark/>
          </w:tcPr>
          <w:p w:rsidR="003B67F9" w:rsidRPr="00F14959" w:rsidRDefault="003B67F9" w:rsidP="00721203">
            <w:pPr>
              <w:widowControl w:val="0"/>
              <w:jc w:val="both"/>
              <w:rPr>
                <w:color w:val="000000"/>
                <w:sz w:val="24"/>
                <w:szCs w:val="24"/>
                <w:lang w:eastAsia="ru-RU"/>
              </w:rPr>
            </w:pPr>
            <w:r w:rsidRPr="00F14959">
              <w:rPr>
                <w:color w:val="000000"/>
                <w:sz w:val="24"/>
                <w:szCs w:val="24"/>
                <w:lang w:eastAsia="ru-RU"/>
              </w:rPr>
              <w:t>Співвідношення безпечних методів абортів до небезпечних</w:t>
            </w:r>
          </w:p>
        </w:tc>
        <w:tc>
          <w:tcPr>
            <w:tcW w:w="2835" w:type="dxa"/>
          </w:tcPr>
          <w:p w:rsidR="003B67F9" w:rsidRPr="00F14959" w:rsidRDefault="003B67F9" w:rsidP="00721203">
            <w:pPr>
              <w:widowControl w:val="0"/>
              <w:jc w:val="both"/>
              <w:rPr>
                <w:color w:val="000000"/>
                <w:sz w:val="24"/>
                <w:szCs w:val="24"/>
                <w:lang w:eastAsia="ru-RU"/>
              </w:rPr>
            </w:pPr>
            <w:r w:rsidRPr="00F14959">
              <w:rPr>
                <w:color w:val="000000"/>
                <w:sz w:val="24"/>
                <w:szCs w:val="24"/>
                <w:lang w:eastAsia="ru-RU"/>
              </w:rPr>
              <w:t>Кількість безпечних методів абортів /кількість небезпечних методів абортів</w:t>
            </w:r>
          </w:p>
        </w:tc>
        <w:tc>
          <w:tcPr>
            <w:tcW w:w="941" w:type="dxa"/>
            <w:vAlign w:val="center"/>
            <w:hideMark/>
          </w:tcPr>
          <w:p w:rsidR="003B67F9" w:rsidRPr="00F14959" w:rsidRDefault="003B67F9" w:rsidP="00721203">
            <w:pPr>
              <w:widowControl w:val="0"/>
              <w:jc w:val="center"/>
              <w:rPr>
                <w:color w:val="000000"/>
                <w:sz w:val="24"/>
                <w:szCs w:val="24"/>
                <w:lang w:eastAsia="ru-RU"/>
              </w:rPr>
            </w:pPr>
            <w:r w:rsidRPr="00F14959">
              <w:rPr>
                <w:color w:val="000000"/>
                <w:sz w:val="24"/>
                <w:szCs w:val="24"/>
                <w:lang w:eastAsia="ru-RU"/>
              </w:rPr>
              <w:t>10</w:t>
            </w:r>
          </w:p>
        </w:tc>
        <w:tc>
          <w:tcPr>
            <w:tcW w:w="618" w:type="dxa"/>
            <w:vAlign w:val="center"/>
            <w:hideMark/>
          </w:tcPr>
          <w:p w:rsidR="003B67F9" w:rsidRPr="00F14959" w:rsidRDefault="003B67F9" w:rsidP="00721203">
            <w:pPr>
              <w:widowControl w:val="0"/>
              <w:jc w:val="center"/>
              <w:rPr>
                <w:color w:val="000000"/>
                <w:sz w:val="24"/>
                <w:szCs w:val="24"/>
                <w:lang w:eastAsia="ru-RU"/>
              </w:rPr>
            </w:pPr>
            <w:r w:rsidRPr="00F14959">
              <w:rPr>
                <w:color w:val="000000"/>
                <w:sz w:val="24"/>
                <w:szCs w:val="24"/>
                <w:lang w:eastAsia="ru-RU"/>
              </w:rPr>
              <w:t>6</w:t>
            </w:r>
          </w:p>
        </w:tc>
        <w:tc>
          <w:tcPr>
            <w:tcW w:w="892" w:type="dxa"/>
            <w:vAlign w:val="center"/>
            <w:hideMark/>
          </w:tcPr>
          <w:p w:rsidR="003B67F9" w:rsidRPr="00F14959" w:rsidRDefault="003B67F9" w:rsidP="00721203">
            <w:pPr>
              <w:widowControl w:val="0"/>
              <w:jc w:val="center"/>
              <w:rPr>
                <w:color w:val="000000"/>
                <w:sz w:val="24"/>
                <w:szCs w:val="24"/>
                <w:lang w:eastAsia="ru-RU"/>
              </w:rPr>
            </w:pPr>
            <w:r w:rsidRPr="00F14959">
              <w:rPr>
                <w:color w:val="000000"/>
                <w:sz w:val="24"/>
                <w:szCs w:val="24"/>
                <w:lang w:eastAsia="ru-RU"/>
              </w:rPr>
              <w:t>0,60</w:t>
            </w:r>
          </w:p>
        </w:tc>
        <w:tc>
          <w:tcPr>
            <w:tcW w:w="548" w:type="dxa"/>
            <w:vAlign w:val="center"/>
            <w:hideMark/>
          </w:tcPr>
          <w:p w:rsidR="003B67F9" w:rsidRPr="00F14959" w:rsidRDefault="003B67F9" w:rsidP="00721203">
            <w:pPr>
              <w:widowControl w:val="0"/>
              <w:jc w:val="center"/>
              <w:rPr>
                <w:color w:val="000000"/>
                <w:sz w:val="24"/>
                <w:szCs w:val="24"/>
                <w:lang w:eastAsia="ru-RU"/>
              </w:rPr>
            </w:pPr>
            <w:r w:rsidRPr="00F14959">
              <w:rPr>
                <w:color w:val="000000"/>
                <w:sz w:val="24"/>
                <w:szCs w:val="24"/>
                <w:lang w:eastAsia="ru-RU"/>
              </w:rPr>
              <w:t>–</w:t>
            </w:r>
          </w:p>
        </w:tc>
        <w:tc>
          <w:tcPr>
            <w:tcW w:w="548" w:type="dxa"/>
            <w:vAlign w:val="center"/>
          </w:tcPr>
          <w:p w:rsidR="003B67F9" w:rsidRPr="00F14959" w:rsidRDefault="003B67F9" w:rsidP="00721203">
            <w:pPr>
              <w:widowControl w:val="0"/>
              <w:jc w:val="center"/>
              <w:rPr>
                <w:color w:val="000000"/>
                <w:sz w:val="24"/>
                <w:szCs w:val="24"/>
                <w:lang w:eastAsia="ru-RU"/>
              </w:rPr>
            </w:pPr>
          </w:p>
        </w:tc>
        <w:tc>
          <w:tcPr>
            <w:tcW w:w="548" w:type="dxa"/>
            <w:noWrap/>
            <w:vAlign w:val="center"/>
          </w:tcPr>
          <w:p w:rsidR="003B67F9" w:rsidRPr="00F14959" w:rsidRDefault="003B67F9" w:rsidP="00721203">
            <w:pPr>
              <w:widowControl w:val="0"/>
              <w:jc w:val="center"/>
              <w:rPr>
                <w:color w:val="000000"/>
                <w:sz w:val="24"/>
                <w:szCs w:val="24"/>
                <w:lang w:eastAsia="ru-RU"/>
              </w:rPr>
            </w:pPr>
          </w:p>
        </w:tc>
        <w:tc>
          <w:tcPr>
            <w:tcW w:w="548" w:type="dxa"/>
            <w:noWrap/>
            <w:vAlign w:val="center"/>
          </w:tcPr>
          <w:p w:rsidR="003B67F9" w:rsidRPr="00F14959" w:rsidRDefault="003B67F9" w:rsidP="00721203">
            <w:pPr>
              <w:widowControl w:val="0"/>
              <w:jc w:val="center"/>
              <w:rPr>
                <w:color w:val="000000"/>
                <w:sz w:val="24"/>
                <w:szCs w:val="24"/>
                <w:lang w:eastAsia="ru-RU"/>
              </w:rPr>
            </w:pPr>
          </w:p>
        </w:tc>
      </w:tr>
      <w:tr w:rsidR="003B67F9" w:rsidRPr="00F14959" w:rsidTr="00F748D4">
        <w:trPr>
          <w:trHeight w:val="615"/>
        </w:trPr>
        <w:tc>
          <w:tcPr>
            <w:tcW w:w="2694" w:type="dxa"/>
            <w:hideMark/>
          </w:tcPr>
          <w:p w:rsidR="003B67F9" w:rsidRPr="00F14959" w:rsidRDefault="003B67F9" w:rsidP="00721203">
            <w:pPr>
              <w:widowControl w:val="0"/>
              <w:jc w:val="both"/>
              <w:rPr>
                <w:color w:val="000000"/>
                <w:sz w:val="24"/>
                <w:szCs w:val="24"/>
                <w:lang w:eastAsia="ru-RU"/>
              </w:rPr>
            </w:pPr>
            <w:r w:rsidRPr="00F14959">
              <w:rPr>
                <w:color w:val="000000"/>
                <w:sz w:val="24"/>
                <w:szCs w:val="24"/>
                <w:lang w:eastAsia="ru-RU"/>
              </w:rPr>
              <w:t>Індекс концентрації розродження вагітних з цукровим діабетом у ЗПД ІІІ рівня</w:t>
            </w:r>
          </w:p>
        </w:tc>
        <w:tc>
          <w:tcPr>
            <w:tcW w:w="2835" w:type="dxa"/>
          </w:tcPr>
          <w:p w:rsidR="003B67F9" w:rsidRPr="00F14959" w:rsidRDefault="003B67F9" w:rsidP="00721203">
            <w:pPr>
              <w:widowControl w:val="0"/>
              <w:jc w:val="both"/>
              <w:rPr>
                <w:color w:val="000000"/>
                <w:sz w:val="24"/>
                <w:szCs w:val="24"/>
                <w:lang w:eastAsia="ru-RU"/>
              </w:rPr>
            </w:pPr>
            <w:r w:rsidRPr="00F14959">
              <w:rPr>
                <w:color w:val="000000"/>
                <w:sz w:val="24"/>
                <w:szCs w:val="24"/>
                <w:lang w:eastAsia="ru-RU"/>
              </w:rPr>
              <w:t xml:space="preserve">На </w:t>
            </w:r>
            <w:r w:rsidRPr="00F14959">
              <w:rPr>
                <w:iCs/>
                <w:color w:val="000000"/>
                <w:kern w:val="28"/>
                <w:sz w:val="24"/>
                <w:szCs w:val="24"/>
                <w:lang w:eastAsia="ru-RU"/>
              </w:rPr>
              <w:t xml:space="preserve">100 </w:t>
            </w:r>
            <w:r w:rsidRPr="00F14959">
              <w:rPr>
                <w:color w:val="000000"/>
                <w:sz w:val="24"/>
                <w:szCs w:val="24"/>
                <w:lang w:eastAsia="ru-RU"/>
              </w:rPr>
              <w:t>вагітних з цукровим діабетом розроджених в регіоні</w:t>
            </w:r>
          </w:p>
        </w:tc>
        <w:tc>
          <w:tcPr>
            <w:tcW w:w="941" w:type="dxa"/>
            <w:vAlign w:val="center"/>
            <w:hideMark/>
          </w:tcPr>
          <w:p w:rsidR="003B67F9" w:rsidRPr="00F14959" w:rsidRDefault="003B67F9" w:rsidP="00721203">
            <w:pPr>
              <w:widowControl w:val="0"/>
              <w:jc w:val="center"/>
              <w:rPr>
                <w:color w:val="000000"/>
                <w:sz w:val="24"/>
                <w:szCs w:val="24"/>
                <w:lang w:eastAsia="ru-RU"/>
              </w:rPr>
            </w:pPr>
            <w:r w:rsidRPr="00F14959">
              <w:rPr>
                <w:color w:val="000000"/>
                <w:sz w:val="24"/>
                <w:szCs w:val="24"/>
                <w:lang w:eastAsia="ru-RU"/>
              </w:rPr>
              <w:t>70</w:t>
            </w:r>
          </w:p>
        </w:tc>
        <w:tc>
          <w:tcPr>
            <w:tcW w:w="618" w:type="dxa"/>
            <w:vAlign w:val="center"/>
            <w:hideMark/>
          </w:tcPr>
          <w:p w:rsidR="003B67F9" w:rsidRPr="00F14959" w:rsidRDefault="003B67F9" w:rsidP="00721203">
            <w:pPr>
              <w:widowControl w:val="0"/>
              <w:jc w:val="center"/>
              <w:rPr>
                <w:color w:val="000000"/>
                <w:sz w:val="24"/>
                <w:szCs w:val="24"/>
                <w:lang w:eastAsia="ru-RU"/>
              </w:rPr>
            </w:pPr>
            <w:r w:rsidRPr="00F14959">
              <w:rPr>
                <w:color w:val="000000"/>
                <w:sz w:val="24"/>
                <w:szCs w:val="24"/>
                <w:lang w:eastAsia="ru-RU"/>
              </w:rPr>
              <w:t>7</w:t>
            </w:r>
          </w:p>
        </w:tc>
        <w:tc>
          <w:tcPr>
            <w:tcW w:w="892" w:type="dxa"/>
            <w:vAlign w:val="center"/>
            <w:hideMark/>
          </w:tcPr>
          <w:p w:rsidR="003B67F9" w:rsidRPr="00F14959" w:rsidRDefault="003B67F9" w:rsidP="00721203">
            <w:pPr>
              <w:widowControl w:val="0"/>
              <w:jc w:val="center"/>
              <w:rPr>
                <w:color w:val="000000"/>
                <w:sz w:val="24"/>
                <w:szCs w:val="24"/>
                <w:lang w:eastAsia="ru-RU"/>
              </w:rPr>
            </w:pPr>
            <w:r w:rsidRPr="00F14959">
              <w:rPr>
                <w:color w:val="000000"/>
                <w:sz w:val="24"/>
                <w:szCs w:val="24"/>
                <w:lang w:eastAsia="ru-RU"/>
              </w:rPr>
              <w:t>0,10</w:t>
            </w:r>
          </w:p>
        </w:tc>
        <w:tc>
          <w:tcPr>
            <w:tcW w:w="548" w:type="dxa"/>
            <w:vAlign w:val="center"/>
            <w:hideMark/>
          </w:tcPr>
          <w:p w:rsidR="003B67F9" w:rsidRPr="00F14959" w:rsidRDefault="003B67F9" w:rsidP="00721203">
            <w:pPr>
              <w:widowControl w:val="0"/>
              <w:jc w:val="center"/>
              <w:rPr>
                <w:color w:val="000000"/>
                <w:sz w:val="24"/>
                <w:szCs w:val="24"/>
                <w:lang w:eastAsia="ru-RU"/>
              </w:rPr>
            </w:pPr>
          </w:p>
        </w:tc>
        <w:tc>
          <w:tcPr>
            <w:tcW w:w="548" w:type="dxa"/>
            <w:vAlign w:val="center"/>
          </w:tcPr>
          <w:p w:rsidR="003B67F9" w:rsidRPr="00F14959" w:rsidRDefault="003B67F9" w:rsidP="00721203">
            <w:pPr>
              <w:widowControl w:val="0"/>
              <w:jc w:val="center"/>
              <w:rPr>
                <w:color w:val="000000"/>
                <w:sz w:val="24"/>
                <w:szCs w:val="24"/>
                <w:lang w:eastAsia="ru-RU"/>
              </w:rPr>
            </w:pPr>
          </w:p>
        </w:tc>
        <w:tc>
          <w:tcPr>
            <w:tcW w:w="548" w:type="dxa"/>
            <w:noWrap/>
            <w:vAlign w:val="center"/>
          </w:tcPr>
          <w:p w:rsidR="003B67F9" w:rsidRPr="00F14959" w:rsidRDefault="003B67F9" w:rsidP="00721203">
            <w:pPr>
              <w:widowControl w:val="0"/>
              <w:jc w:val="center"/>
              <w:rPr>
                <w:color w:val="000000"/>
                <w:sz w:val="24"/>
                <w:szCs w:val="24"/>
                <w:lang w:eastAsia="ru-RU"/>
              </w:rPr>
            </w:pPr>
          </w:p>
        </w:tc>
        <w:tc>
          <w:tcPr>
            <w:tcW w:w="548" w:type="dxa"/>
            <w:noWrap/>
            <w:vAlign w:val="center"/>
          </w:tcPr>
          <w:p w:rsidR="003B67F9" w:rsidRPr="00F14959" w:rsidRDefault="003B67F9" w:rsidP="00721203">
            <w:pPr>
              <w:widowControl w:val="0"/>
              <w:jc w:val="center"/>
              <w:rPr>
                <w:color w:val="000000"/>
                <w:sz w:val="24"/>
                <w:szCs w:val="24"/>
                <w:lang w:eastAsia="ru-RU"/>
              </w:rPr>
            </w:pPr>
          </w:p>
        </w:tc>
      </w:tr>
      <w:tr w:rsidR="003B67F9" w:rsidRPr="00F14959" w:rsidTr="00F748D4">
        <w:trPr>
          <w:trHeight w:val="915"/>
        </w:trPr>
        <w:tc>
          <w:tcPr>
            <w:tcW w:w="2694" w:type="dxa"/>
            <w:hideMark/>
          </w:tcPr>
          <w:p w:rsidR="003B67F9" w:rsidRPr="00F14959" w:rsidRDefault="003B67F9" w:rsidP="00721203">
            <w:pPr>
              <w:widowControl w:val="0"/>
              <w:jc w:val="both"/>
              <w:rPr>
                <w:color w:val="000000"/>
                <w:sz w:val="24"/>
                <w:szCs w:val="24"/>
                <w:lang w:eastAsia="ru-RU"/>
              </w:rPr>
            </w:pPr>
            <w:r w:rsidRPr="00F14959">
              <w:rPr>
                <w:color w:val="000000"/>
                <w:sz w:val="24"/>
                <w:szCs w:val="24"/>
                <w:lang w:eastAsia="ru-RU"/>
              </w:rPr>
              <w:t>Індекс концентрації розродження вагітних з  пре- еклампсією і еклампсією  у ЗПД ІІ-ІІІ рівнів</w:t>
            </w:r>
          </w:p>
        </w:tc>
        <w:tc>
          <w:tcPr>
            <w:tcW w:w="2835" w:type="dxa"/>
          </w:tcPr>
          <w:p w:rsidR="003B67F9" w:rsidRPr="00F14959" w:rsidRDefault="003B67F9" w:rsidP="00721203">
            <w:pPr>
              <w:widowControl w:val="0"/>
              <w:jc w:val="both"/>
              <w:rPr>
                <w:color w:val="000000"/>
                <w:sz w:val="24"/>
                <w:szCs w:val="24"/>
                <w:lang w:eastAsia="ru-RU"/>
              </w:rPr>
            </w:pPr>
            <w:r w:rsidRPr="00F14959">
              <w:rPr>
                <w:color w:val="000000"/>
                <w:sz w:val="24"/>
                <w:szCs w:val="24"/>
                <w:lang w:eastAsia="ru-RU"/>
              </w:rPr>
              <w:t>На</w:t>
            </w:r>
            <w:r w:rsidRPr="00F14959">
              <w:rPr>
                <w:iCs/>
                <w:color w:val="000000"/>
                <w:kern w:val="28"/>
                <w:sz w:val="24"/>
                <w:szCs w:val="24"/>
                <w:lang w:eastAsia="ru-RU"/>
              </w:rPr>
              <w:t xml:space="preserve">100 </w:t>
            </w:r>
            <w:r w:rsidRPr="00F14959">
              <w:rPr>
                <w:color w:val="000000"/>
                <w:sz w:val="24"/>
                <w:szCs w:val="24"/>
                <w:lang w:eastAsia="ru-RU"/>
              </w:rPr>
              <w:t>вагітних з прееклампсією і еклампсією розроджених в регіоні</w:t>
            </w:r>
          </w:p>
        </w:tc>
        <w:tc>
          <w:tcPr>
            <w:tcW w:w="941" w:type="dxa"/>
            <w:vAlign w:val="center"/>
            <w:hideMark/>
          </w:tcPr>
          <w:p w:rsidR="003B67F9" w:rsidRPr="00F14959" w:rsidRDefault="003B67F9" w:rsidP="00721203">
            <w:pPr>
              <w:widowControl w:val="0"/>
              <w:jc w:val="center"/>
              <w:rPr>
                <w:color w:val="000000"/>
                <w:sz w:val="24"/>
                <w:szCs w:val="24"/>
                <w:lang w:eastAsia="ru-RU"/>
              </w:rPr>
            </w:pPr>
            <w:r w:rsidRPr="00F14959">
              <w:rPr>
                <w:color w:val="000000"/>
                <w:sz w:val="24"/>
                <w:szCs w:val="24"/>
                <w:lang w:eastAsia="ru-RU"/>
              </w:rPr>
              <w:t>90</w:t>
            </w:r>
          </w:p>
        </w:tc>
        <w:tc>
          <w:tcPr>
            <w:tcW w:w="618" w:type="dxa"/>
            <w:vAlign w:val="center"/>
            <w:hideMark/>
          </w:tcPr>
          <w:p w:rsidR="003B67F9" w:rsidRPr="00F14959" w:rsidRDefault="003B67F9" w:rsidP="00721203">
            <w:pPr>
              <w:widowControl w:val="0"/>
              <w:jc w:val="center"/>
              <w:rPr>
                <w:color w:val="000000"/>
                <w:sz w:val="24"/>
                <w:szCs w:val="24"/>
                <w:lang w:eastAsia="ru-RU"/>
              </w:rPr>
            </w:pPr>
            <w:r w:rsidRPr="00F14959">
              <w:rPr>
                <w:color w:val="000000"/>
                <w:sz w:val="24"/>
                <w:szCs w:val="24"/>
                <w:lang w:eastAsia="ru-RU"/>
              </w:rPr>
              <w:t>7</w:t>
            </w:r>
          </w:p>
        </w:tc>
        <w:tc>
          <w:tcPr>
            <w:tcW w:w="892" w:type="dxa"/>
            <w:vAlign w:val="center"/>
            <w:hideMark/>
          </w:tcPr>
          <w:p w:rsidR="003B67F9" w:rsidRPr="00F14959" w:rsidRDefault="003B67F9" w:rsidP="00721203">
            <w:pPr>
              <w:widowControl w:val="0"/>
              <w:jc w:val="center"/>
              <w:rPr>
                <w:color w:val="000000"/>
                <w:sz w:val="24"/>
                <w:szCs w:val="24"/>
                <w:lang w:eastAsia="ru-RU"/>
              </w:rPr>
            </w:pPr>
            <w:r w:rsidRPr="00F14959">
              <w:rPr>
                <w:color w:val="000000"/>
                <w:sz w:val="24"/>
                <w:szCs w:val="24"/>
                <w:lang w:eastAsia="ru-RU"/>
              </w:rPr>
              <w:t>0,08</w:t>
            </w:r>
          </w:p>
        </w:tc>
        <w:tc>
          <w:tcPr>
            <w:tcW w:w="548" w:type="dxa"/>
            <w:vAlign w:val="center"/>
            <w:hideMark/>
          </w:tcPr>
          <w:p w:rsidR="003B67F9" w:rsidRPr="00F14959" w:rsidRDefault="003B67F9" w:rsidP="00721203">
            <w:pPr>
              <w:widowControl w:val="0"/>
              <w:jc w:val="center"/>
              <w:rPr>
                <w:color w:val="000000"/>
                <w:sz w:val="24"/>
                <w:szCs w:val="24"/>
                <w:lang w:eastAsia="ru-RU"/>
              </w:rPr>
            </w:pPr>
            <w:r w:rsidRPr="00F14959">
              <w:rPr>
                <w:color w:val="000000"/>
                <w:sz w:val="24"/>
                <w:szCs w:val="24"/>
                <w:lang w:eastAsia="ru-RU"/>
              </w:rPr>
              <w:t>–</w:t>
            </w:r>
          </w:p>
        </w:tc>
        <w:tc>
          <w:tcPr>
            <w:tcW w:w="548" w:type="dxa"/>
            <w:vAlign w:val="center"/>
          </w:tcPr>
          <w:p w:rsidR="003B67F9" w:rsidRPr="00F14959" w:rsidRDefault="003B67F9" w:rsidP="00721203">
            <w:pPr>
              <w:widowControl w:val="0"/>
              <w:jc w:val="center"/>
              <w:rPr>
                <w:color w:val="000000"/>
                <w:sz w:val="24"/>
                <w:szCs w:val="24"/>
                <w:lang w:eastAsia="ru-RU"/>
              </w:rPr>
            </w:pPr>
          </w:p>
        </w:tc>
        <w:tc>
          <w:tcPr>
            <w:tcW w:w="548" w:type="dxa"/>
            <w:noWrap/>
            <w:vAlign w:val="center"/>
          </w:tcPr>
          <w:p w:rsidR="003B67F9" w:rsidRPr="00F14959" w:rsidRDefault="003B67F9" w:rsidP="00721203">
            <w:pPr>
              <w:widowControl w:val="0"/>
              <w:jc w:val="center"/>
              <w:rPr>
                <w:color w:val="000000"/>
                <w:sz w:val="24"/>
                <w:szCs w:val="24"/>
                <w:lang w:eastAsia="ru-RU"/>
              </w:rPr>
            </w:pPr>
          </w:p>
        </w:tc>
        <w:tc>
          <w:tcPr>
            <w:tcW w:w="548" w:type="dxa"/>
            <w:noWrap/>
            <w:vAlign w:val="center"/>
          </w:tcPr>
          <w:p w:rsidR="003B67F9" w:rsidRPr="00F14959" w:rsidRDefault="003B67F9" w:rsidP="00721203">
            <w:pPr>
              <w:widowControl w:val="0"/>
              <w:jc w:val="center"/>
              <w:rPr>
                <w:color w:val="000000"/>
                <w:sz w:val="24"/>
                <w:szCs w:val="24"/>
                <w:lang w:eastAsia="ru-RU"/>
              </w:rPr>
            </w:pPr>
          </w:p>
        </w:tc>
      </w:tr>
      <w:tr w:rsidR="003B67F9" w:rsidRPr="00F14959" w:rsidTr="00331ED3">
        <w:trPr>
          <w:trHeight w:val="1595"/>
        </w:trPr>
        <w:tc>
          <w:tcPr>
            <w:tcW w:w="2694" w:type="dxa"/>
            <w:hideMark/>
          </w:tcPr>
          <w:p w:rsidR="003B67F9" w:rsidRPr="00F14959" w:rsidRDefault="003B67F9" w:rsidP="00721203">
            <w:pPr>
              <w:widowControl w:val="0"/>
              <w:jc w:val="both"/>
              <w:rPr>
                <w:color w:val="000000"/>
                <w:sz w:val="24"/>
                <w:szCs w:val="24"/>
                <w:lang w:eastAsia="ru-RU"/>
              </w:rPr>
            </w:pPr>
            <w:r w:rsidRPr="00F14959">
              <w:rPr>
                <w:color w:val="000000"/>
                <w:sz w:val="24"/>
                <w:szCs w:val="24"/>
                <w:lang w:eastAsia="ru-RU"/>
              </w:rPr>
              <w:t>Індекс концентрації новонароджених масою тіла при народженні 500-1499г у ЗПД ІІІ рівня</w:t>
            </w:r>
          </w:p>
        </w:tc>
        <w:tc>
          <w:tcPr>
            <w:tcW w:w="2835" w:type="dxa"/>
          </w:tcPr>
          <w:p w:rsidR="003B67F9" w:rsidRPr="00F14959" w:rsidRDefault="003B67F9" w:rsidP="00721203">
            <w:pPr>
              <w:widowControl w:val="0"/>
              <w:jc w:val="both"/>
              <w:rPr>
                <w:color w:val="000000"/>
                <w:sz w:val="24"/>
                <w:szCs w:val="24"/>
                <w:lang w:eastAsia="ru-RU"/>
              </w:rPr>
            </w:pPr>
            <w:r w:rsidRPr="00F14959">
              <w:rPr>
                <w:color w:val="000000"/>
                <w:sz w:val="24"/>
                <w:szCs w:val="24"/>
                <w:lang w:eastAsia="ru-RU"/>
              </w:rPr>
              <w:t>На</w:t>
            </w:r>
            <w:r w:rsidRPr="00F14959">
              <w:rPr>
                <w:iCs/>
                <w:color w:val="000000"/>
                <w:kern w:val="28"/>
                <w:sz w:val="24"/>
                <w:szCs w:val="24"/>
                <w:lang w:eastAsia="ru-RU"/>
              </w:rPr>
              <w:t xml:space="preserve"> 100 </w:t>
            </w:r>
            <w:r w:rsidRPr="00F14959">
              <w:rPr>
                <w:color w:val="000000"/>
                <w:sz w:val="24"/>
                <w:szCs w:val="24"/>
                <w:lang w:eastAsia="ru-RU"/>
              </w:rPr>
              <w:t>живонароджених масою тіла при народженні 500-1499г народжених в регіоні</w:t>
            </w:r>
          </w:p>
        </w:tc>
        <w:tc>
          <w:tcPr>
            <w:tcW w:w="941" w:type="dxa"/>
            <w:vAlign w:val="center"/>
            <w:hideMark/>
          </w:tcPr>
          <w:p w:rsidR="003B67F9" w:rsidRPr="00F14959" w:rsidRDefault="003B67F9" w:rsidP="00721203">
            <w:pPr>
              <w:widowControl w:val="0"/>
              <w:jc w:val="center"/>
              <w:rPr>
                <w:color w:val="000000"/>
                <w:sz w:val="24"/>
                <w:szCs w:val="24"/>
                <w:lang w:eastAsia="ru-RU"/>
              </w:rPr>
            </w:pPr>
            <w:r w:rsidRPr="00F14959">
              <w:rPr>
                <w:color w:val="000000"/>
                <w:sz w:val="24"/>
                <w:szCs w:val="24"/>
                <w:lang w:eastAsia="ru-RU"/>
              </w:rPr>
              <w:t>80</w:t>
            </w:r>
          </w:p>
        </w:tc>
        <w:tc>
          <w:tcPr>
            <w:tcW w:w="618" w:type="dxa"/>
            <w:vAlign w:val="center"/>
            <w:hideMark/>
          </w:tcPr>
          <w:p w:rsidR="003B67F9" w:rsidRPr="00F14959" w:rsidRDefault="003B67F9" w:rsidP="00721203">
            <w:pPr>
              <w:widowControl w:val="0"/>
              <w:jc w:val="center"/>
              <w:rPr>
                <w:color w:val="000000"/>
                <w:sz w:val="24"/>
                <w:szCs w:val="24"/>
                <w:lang w:eastAsia="ru-RU"/>
              </w:rPr>
            </w:pPr>
            <w:r w:rsidRPr="00F14959">
              <w:rPr>
                <w:color w:val="000000"/>
                <w:sz w:val="24"/>
                <w:szCs w:val="24"/>
                <w:lang w:eastAsia="ru-RU"/>
              </w:rPr>
              <w:t>6</w:t>
            </w:r>
          </w:p>
        </w:tc>
        <w:tc>
          <w:tcPr>
            <w:tcW w:w="892" w:type="dxa"/>
            <w:vAlign w:val="center"/>
            <w:hideMark/>
          </w:tcPr>
          <w:p w:rsidR="003B67F9" w:rsidRPr="00F14959" w:rsidRDefault="003B67F9" w:rsidP="00721203">
            <w:pPr>
              <w:widowControl w:val="0"/>
              <w:jc w:val="center"/>
              <w:rPr>
                <w:color w:val="000000"/>
                <w:sz w:val="24"/>
                <w:szCs w:val="24"/>
                <w:lang w:eastAsia="ru-RU"/>
              </w:rPr>
            </w:pPr>
            <w:r w:rsidRPr="00F14959">
              <w:rPr>
                <w:color w:val="000000"/>
                <w:sz w:val="24"/>
                <w:szCs w:val="24"/>
                <w:lang w:eastAsia="ru-RU"/>
              </w:rPr>
              <w:t>0,08</w:t>
            </w:r>
          </w:p>
        </w:tc>
        <w:tc>
          <w:tcPr>
            <w:tcW w:w="548" w:type="dxa"/>
            <w:vAlign w:val="center"/>
            <w:hideMark/>
          </w:tcPr>
          <w:p w:rsidR="003B67F9" w:rsidRPr="00F14959" w:rsidRDefault="003B67F9" w:rsidP="00721203">
            <w:pPr>
              <w:widowControl w:val="0"/>
              <w:jc w:val="center"/>
              <w:rPr>
                <w:color w:val="000000"/>
                <w:sz w:val="24"/>
                <w:szCs w:val="24"/>
                <w:lang w:eastAsia="ru-RU"/>
              </w:rPr>
            </w:pPr>
            <w:r w:rsidRPr="00F14959">
              <w:rPr>
                <w:color w:val="000000"/>
                <w:sz w:val="24"/>
                <w:szCs w:val="24"/>
                <w:lang w:eastAsia="ru-RU"/>
              </w:rPr>
              <w:t>–</w:t>
            </w:r>
          </w:p>
        </w:tc>
        <w:tc>
          <w:tcPr>
            <w:tcW w:w="548" w:type="dxa"/>
            <w:vAlign w:val="center"/>
          </w:tcPr>
          <w:p w:rsidR="003B67F9" w:rsidRPr="00F14959" w:rsidRDefault="003B67F9" w:rsidP="00721203">
            <w:pPr>
              <w:widowControl w:val="0"/>
              <w:jc w:val="center"/>
              <w:rPr>
                <w:color w:val="000000"/>
                <w:sz w:val="24"/>
                <w:szCs w:val="24"/>
                <w:lang w:eastAsia="ru-RU"/>
              </w:rPr>
            </w:pPr>
          </w:p>
        </w:tc>
        <w:tc>
          <w:tcPr>
            <w:tcW w:w="548" w:type="dxa"/>
            <w:noWrap/>
            <w:vAlign w:val="center"/>
          </w:tcPr>
          <w:p w:rsidR="003B67F9" w:rsidRPr="00F14959" w:rsidRDefault="003B67F9" w:rsidP="00721203">
            <w:pPr>
              <w:widowControl w:val="0"/>
              <w:jc w:val="center"/>
              <w:rPr>
                <w:color w:val="000000"/>
                <w:sz w:val="24"/>
                <w:szCs w:val="24"/>
                <w:lang w:eastAsia="ru-RU"/>
              </w:rPr>
            </w:pPr>
          </w:p>
        </w:tc>
        <w:tc>
          <w:tcPr>
            <w:tcW w:w="548" w:type="dxa"/>
            <w:noWrap/>
            <w:vAlign w:val="center"/>
          </w:tcPr>
          <w:p w:rsidR="003B67F9" w:rsidRPr="00F14959" w:rsidRDefault="003B67F9" w:rsidP="00721203">
            <w:pPr>
              <w:widowControl w:val="0"/>
              <w:jc w:val="center"/>
              <w:rPr>
                <w:color w:val="000000"/>
                <w:sz w:val="24"/>
                <w:szCs w:val="24"/>
                <w:lang w:eastAsia="ru-RU"/>
              </w:rPr>
            </w:pPr>
          </w:p>
        </w:tc>
      </w:tr>
      <w:tr w:rsidR="003B67F9" w:rsidRPr="00F14959" w:rsidTr="00331ED3">
        <w:trPr>
          <w:trHeight w:val="1062"/>
        </w:trPr>
        <w:tc>
          <w:tcPr>
            <w:tcW w:w="2694" w:type="dxa"/>
            <w:hideMark/>
          </w:tcPr>
          <w:p w:rsidR="003B67F9" w:rsidRPr="00F14959" w:rsidRDefault="003B67F9" w:rsidP="00721203">
            <w:pPr>
              <w:widowControl w:val="0"/>
              <w:jc w:val="both"/>
              <w:rPr>
                <w:color w:val="000000"/>
                <w:sz w:val="24"/>
                <w:szCs w:val="24"/>
                <w:lang w:eastAsia="ru-RU"/>
              </w:rPr>
            </w:pPr>
            <w:r w:rsidRPr="00F14959">
              <w:rPr>
                <w:color w:val="000000"/>
                <w:sz w:val="24"/>
                <w:szCs w:val="24"/>
                <w:lang w:eastAsia="ru-RU"/>
              </w:rPr>
              <w:t>Індекс неонатального трансферу</w:t>
            </w:r>
          </w:p>
        </w:tc>
        <w:tc>
          <w:tcPr>
            <w:tcW w:w="2835" w:type="dxa"/>
          </w:tcPr>
          <w:p w:rsidR="003B67F9" w:rsidRPr="00F14959" w:rsidRDefault="003B67F9" w:rsidP="00721203">
            <w:pPr>
              <w:widowControl w:val="0"/>
              <w:jc w:val="both"/>
              <w:rPr>
                <w:color w:val="000000"/>
                <w:sz w:val="24"/>
                <w:szCs w:val="24"/>
                <w:lang w:eastAsia="ru-RU"/>
              </w:rPr>
            </w:pPr>
            <w:r w:rsidRPr="00F14959">
              <w:rPr>
                <w:color w:val="000000"/>
                <w:sz w:val="24"/>
                <w:szCs w:val="24"/>
                <w:lang w:eastAsia="ru-RU"/>
              </w:rPr>
              <w:t>На 100 живонароджених</w:t>
            </w:r>
          </w:p>
        </w:tc>
        <w:tc>
          <w:tcPr>
            <w:tcW w:w="941" w:type="dxa"/>
            <w:vAlign w:val="center"/>
            <w:hideMark/>
          </w:tcPr>
          <w:p w:rsidR="003B67F9" w:rsidRPr="00F14959" w:rsidRDefault="003B67F9" w:rsidP="00721203">
            <w:pPr>
              <w:widowControl w:val="0"/>
              <w:jc w:val="center"/>
              <w:rPr>
                <w:color w:val="000000"/>
                <w:sz w:val="24"/>
                <w:szCs w:val="24"/>
                <w:lang w:eastAsia="ru-RU"/>
              </w:rPr>
            </w:pPr>
            <w:r w:rsidRPr="00F14959">
              <w:rPr>
                <w:color w:val="000000"/>
                <w:sz w:val="24"/>
                <w:szCs w:val="24"/>
                <w:lang w:eastAsia="ru-RU"/>
              </w:rPr>
              <w:t>4</w:t>
            </w:r>
          </w:p>
        </w:tc>
        <w:tc>
          <w:tcPr>
            <w:tcW w:w="618" w:type="dxa"/>
            <w:vAlign w:val="center"/>
            <w:hideMark/>
          </w:tcPr>
          <w:p w:rsidR="003B67F9" w:rsidRPr="00F14959" w:rsidRDefault="003B67F9" w:rsidP="00721203">
            <w:pPr>
              <w:widowControl w:val="0"/>
              <w:jc w:val="center"/>
              <w:rPr>
                <w:color w:val="000000"/>
                <w:sz w:val="24"/>
                <w:szCs w:val="24"/>
                <w:lang w:eastAsia="ru-RU"/>
              </w:rPr>
            </w:pPr>
            <w:r w:rsidRPr="00F14959">
              <w:rPr>
                <w:color w:val="000000"/>
                <w:sz w:val="24"/>
                <w:szCs w:val="24"/>
                <w:lang w:eastAsia="ru-RU"/>
              </w:rPr>
              <w:t>7</w:t>
            </w:r>
          </w:p>
        </w:tc>
        <w:tc>
          <w:tcPr>
            <w:tcW w:w="892" w:type="dxa"/>
            <w:vAlign w:val="center"/>
            <w:hideMark/>
          </w:tcPr>
          <w:p w:rsidR="003B67F9" w:rsidRPr="00F14959" w:rsidRDefault="003B67F9" w:rsidP="00721203">
            <w:pPr>
              <w:widowControl w:val="0"/>
              <w:jc w:val="center"/>
              <w:rPr>
                <w:color w:val="000000"/>
                <w:sz w:val="24"/>
                <w:szCs w:val="24"/>
                <w:lang w:eastAsia="ru-RU"/>
              </w:rPr>
            </w:pPr>
            <w:r w:rsidRPr="00F14959">
              <w:rPr>
                <w:color w:val="000000"/>
                <w:sz w:val="24"/>
                <w:szCs w:val="24"/>
                <w:lang w:eastAsia="ru-RU"/>
              </w:rPr>
              <w:t>1,75</w:t>
            </w:r>
          </w:p>
        </w:tc>
        <w:tc>
          <w:tcPr>
            <w:tcW w:w="548" w:type="dxa"/>
            <w:vAlign w:val="center"/>
            <w:hideMark/>
          </w:tcPr>
          <w:p w:rsidR="003B67F9" w:rsidRPr="00F14959" w:rsidRDefault="003B67F9" w:rsidP="00721203">
            <w:pPr>
              <w:widowControl w:val="0"/>
              <w:jc w:val="center"/>
              <w:rPr>
                <w:color w:val="000000"/>
                <w:sz w:val="24"/>
                <w:szCs w:val="24"/>
                <w:lang w:eastAsia="ru-RU"/>
              </w:rPr>
            </w:pPr>
            <w:r w:rsidRPr="00F14959">
              <w:rPr>
                <w:color w:val="000000"/>
                <w:sz w:val="24"/>
                <w:szCs w:val="24"/>
                <w:lang w:eastAsia="ru-RU"/>
              </w:rPr>
              <w:t>+</w:t>
            </w:r>
          </w:p>
        </w:tc>
        <w:tc>
          <w:tcPr>
            <w:tcW w:w="548" w:type="dxa"/>
            <w:vAlign w:val="center"/>
          </w:tcPr>
          <w:p w:rsidR="003B67F9" w:rsidRPr="00F14959" w:rsidRDefault="003B67F9" w:rsidP="00721203">
            <w:pPr>
              <w:widowControl w:val="0"/>
              <w:jc w:val="center"/>
              <w:rPr>
                <w:color w:val="000000"/>
                <w:sz w:val="24"/>
                <w:szCs w:val="24"/>
                <w:lang w:eastAsia="ru-RU"/>
              </w:rPr>
            </w:pPr>
          </w:p>
        </w:tc>
        <w:tc>
          <w:tcPr>
            <w:tcW w:w="548" w:type="dxa"/>
            <w:noWrap/>
            <w:vAlign w:val="center"/>
          </w:tcPr>
          <w:p w:rsidR="003B67F9" w:rsidRPr="00F14959" w:rsidRDefault="003B67F9" w:rsidP="00721203">
            <w:pPr>
              <w:widowControl w:val="0"/>
              <w:jc w:val="center"/>
              <w:rPr>
                <w:color w:val="000000"/>
                <w:sz w:val="24"/>
                <w:szCs w:val="24"/>
                <w:lang w:eastAsia="ru-RU"/>
              </w:rPr>
            </w:pPr>
          </w:p>
        </w:tc>
        <w:tc>
          <w:tcPr>
            <w:tcW w:w="548" w:type="dxa"/>
            <w:noWrap/>
            <w:vAlign w:val="center"/>
          </w:tcPr>
          <w:p w:rsidR="003B67F9" w:rsidRPr="00F14959" w:rsidRDefault="003B67F9" w:rsidP="00721203">
            <w:pPr>
              <w:widowControl w:val="0"/>
              <w:jc w:val="center"/>
              <w:rPr>
                <w:color w:val="000000"/>
                <w:sz w:val="24"/>
                <w:szCs w:val="24"/>
                <w:lang w:eastAsia="ru-RU"/>
              </w:rPr>
            </w:pPr>
          </w:p>
        </w:tc>
      </w:tr>
    </w:tbl>
    <w:p w:rsidR="00456C2E" w:rsidRDefault="00F748D4" w:rsidP="00F748D4">
      <w:pPr>
        <w:widowControl w:val="0"/>
        <w:tabs>
          <w:tab w:val="left" w:pos="7225"/>
        </w:tabs>
        <w:ind w:firstLine="709"/>
        <w:jc w:val="right"/>
        <w:rPr>
          <w:rFonts w:eastAsia="Times New Roman"/>
          <w:szCs w:val="28"/>
          <w:shd w:val="clear" w:color="auto" w:fill="FFFFFF"/>
          <w:lang w:eastAsia="ru-RU"/>
        </w:rPr>
      </w:pPr>
      <w:r>
        <w:rPr>
          <w:rFonts w:eastAsia="Times New Roman"/>
          <w:szCs w:val="28"/>
          <w:shd w:val="clear" w:color="auto" w:fill="FFFFFF"/>
          <w:lang w:eastAsia="ru-RU"/>
        </w:rPr>
        <w:tab/>
      </w:r>
    </w:p>
    <w:p w:rsidR="00F748D4" w:rsidRPr="00F748D4" w:rsidRDefault="00381A36" w:rsidP="00331ED3">
      <w:pPr>
        <w:widowControl w:val="0"/>
        <w:tabs>
          <w:tab w:val="left" w:pos="7225"/>
        </w:tabs>
        <w:ind w:firstLine="709"/>
        <w:jc w:val="right"/>
        <w:rPr>
          <w:rFonts w:eastAsia="Times New Roman"/>
          <w:i/>
          <w:szCs w:val="28"/>
          <w:shd w:val="clear" w:color="auto" w:fill="FFFFFF"/>
          <w:lang w:eastAsia="ru-RU"/>
        </w:rPr>
      </w:pPr>
      <w:r>
        <w:rPr>
          <w:rFonts w:eastAsia="Times New Roman"/>
          <w:i/>
          <w:szCs w:val="28"/>
          <w:shd w:val="clear" w:color="auto" w:fill="FFFFFF"/>
          <w:lang w:val="ru-RU" w:eastAsia="ru-RU"/>
        </w:rPr>
        <w:lastRenderedPageBreak/>
        <w:t>Продовження</w:t>
      </w:r>
      <w:r w:rsidR="00F748D4" w:rsidRPr="00F748D4">
        <w:rPr>
          <w:rFonts w:eastAsia="Times New Roman"/>
          <w:i/>
          <w:szCs w:val="28"/>
          <w:shd w:val="clear" w:color="auto" w:fill="FFFFFF"/>
          <w:lang w:eastAsia="ru-RU"/>
        </w:rPr>
        <w:t xml:space="preserve"> табл. 7.1</w:t>
      </w:r>
    </w:p>
    <w:tbl>
      <w:tblPr>
        <w:tblStyle w:val="116"/>
        <w:tblW w:w="0" w:type="auto"/>
        <w:tblInd w:w="108" w:type="dxa"/>
        <w:tblLayout w:type="fixed"/>
        <w:tblLook w:val="04A0" w:firstRow="1" w:lastRow="0" w:firstColumn="1" w:lastColumn="0" w:noHBand="0" w:noVBand="1"/>
      </w:tblPr>
      <w:tblGrid>
        <w:gridCol w:w="2694"/>
        <w:gridCol w:w="2835"/>
        <w:gridCol w:w="941"/>
        <w:gridCol w:w="618"/>
        <w:gridCol w:w="892"/>
        <w:gridCol w:w="548"/>
        <w:gridCol w:w="548"/>
        <w:gridCol w:w="548"/>
        <w:gridCol w:w="548"/>
      </w:tblGrid>
      <w:tr w:rsidR="00F748D4" w:rsidRPr="00F14959" w:rsidTr="00470433">
        <w:trPr>
          <w:trHeight w:val="315"/>
        </w:trPr>
        <w:tc>
          <w:tcPr>
            <w:tcW w:w="2694" w:type="dxa"/>
            <w:hideMark/>
          </w:tcPr>
          <w:p w:rsidR="00F748D4" w:rsidRPr="00F14959" w:rsidRDefault="00F748D4" w:rsidP="00470433">
            <w:pPr>
              <w:widowControl w:val="0"/>
              <w:jc w:val="both"/>
              <w:rPr>
                <w:color w:val="000000"/>
                <w:sz w:val="24"/>
                <w:szCs w:val="24"/>
                <w:lang w:eastAsia="ru-RU"/>
              </w:rPr>
            </w:pPr>
            <w:r w:rsidRPr="00F14959">
              <w:rPr>
                <w:color w:val="000000"/>
                <w:sz w:val="24"/>
                <w:szCs w:val="24"/>
                <w:lang w:eastAsia="ru-RU"/>
              </w:rPr>
              <w:t>Частота нормальних пологів</w:t>
            </w:r>
          </w:p>
        </w:tc>
        <w:tc>
          <w:tcPr>
            <w:tcW w:w="2835" w:type="dxa"/>
            <w:vAlign w:val="center"/>
          </w:tcPr>
          <w:p w:rsidR="00F748D4" w:rsidRPr="00F14959" w:rsidRDefault="00F748D4" w:rsidP="00470433">
            <w:pPr>
              <w:widowControl w:val="0"/>
              <w:jc w:val="both"/>
              <w:rPr>
                <w:color w:val="000000"/>
                <w:sz w:val="24"/>
                <w:szCs w:val="24"/>
                <w:lang w:eastAsia="ru-RU"/>
              </w:rPr>
            </w:pPr>
            <w:r w:rsidRPr="00F14959">
              <w:rPr>
                <w:color w:val="000000"/>
                <w:sz w:val="24"/>
                <w:szCs w:val="24"/>
                <w:lang w:eastAsia="ru-RU"/>
              </w:rPr>
              <w:t>На</w:t>
            </w:r>
            <w:r w:rsidRPr="00F14959">
              <w:rPr>
                <w:iCs/>
                <w:color w:val="000000"/>
                <w:kern w:val="28"/>
                <w:sz w:val="24"/>
                <w:szCs w:val="24"/>
                <w:lang w:eastAsia="ru-RU"/>
              </w:rPr>
              <w:t xml:space="preserve"> 100 пологів</w:t>
            </w:r>
          </w:p>
        </w:tc>
        <w:tc>
          <w:tcPr>
            <w:tcW w:w="941" w:type="dxa"/>
            <w:vAlign w:val="center"/>
            <w:hideMark/>
          </w:tcPr>
          <w:p w:rsidR="00F748D4" w:rsidRPr="00F14959" w:rsidRDefault="00F748D4" w:rsidP="00470433">
            <w:pPr>
              <w:widowControl w:val="0"/>
              <w:jc w:val="center"/>
              <w:rPr>
                <w:color w:val="000000"/>
                <w:sz w:val="24"/>
                <w:szCs w:val="24"/>
                <w:lang w:eastAsia="ru-RU"/>
              </w:rPr>
            </w:pPr>
            <w:r w:rsidRPr="00F14959">
              <w:rPr>
                <w:color w:val="000000"/>
                <w:sz w:val="24"/>
                <w:szCs w:val="24"/>
                <w:lang w:eastAsia="ru-RU"/>
              </w:rPr>
              <w:t>70</w:t>
            </w:r>
          </w:p>
        </w:tc>
        <w:tc>
          <w:tcPr>
            <w:tcW w:w="618" w:type="dxa"/>
            <w:vAlign w:val="center"/>
            <w:hideMark/>
          </w:tcPr>
          <w:p w:rsidR="00F748D4" w:rsidRPr="00F14959" w:rsidRDefault="00F748D4" w:rsidP="00470433">
            <w:pPr>
              <w:widowControl w:val="0"/>
              <w:jc w:val="center"/>
              <w:rPr>
                <w:color w:val="000000"/>
                <w:sz w:val="24"/>
                <w:szCs w:val="24"/>
                <w:lang w:eastAsia="ru-RU"/>
              </w:rPr>
            </w:pPr>
            <w:r w:rsidRPr="00F14959">
              <w:rPr>
                <w:color w:val="000000"/>
                <w:sz w:val="24"/>
                <w:szCs w:val="24"/>
                <w:lang w:eastAsia="ru-RU"/>
              </w:rPr>
              <w:t>5</w:t>
            </w:r>
          </w:p>
        </w:tc>
        <w:tc>
          <w:tcPr>
            <w:tcW w:w="892" w:type="dxa"/>
            <w:vAlign w:val="center"/>
            <w:hideMark/>
          </w:tcPr>
          <w:p w:rsidR="00F748D4" w:rsidRPr="00F14959" w:rsidRDefault="00F748D4" w:rsidP="00470433">
            <w:pPr>
              <w:widowControl w:val="0"/>
              <w:jc w:val="center"/>
              <w:rPr>
                <w:color w:val="000000"/>
                <w:sz w:val="24"/>
                <w:szCs w:val="24"/>
                <w:lang w:eastAsia="ru-RU"/>
              </w:rPr>
            </w:pPr>
            <w:r w:rsidRPr="00F14959">
              <w:rPr>
                <w:color w:val="000000"/>
                <w:sz w:val="24"/>
                <w:szCs w:val="24"/>
                <w:lang w:eastAsia="ru-RU"/>
              </w:rPr>
              <w:t>0,07</w:t>
            </w:r>
          </w:p>
        </w:tc>
        <w:tc>
          <w:tcPr>
            <w:tcW w:w="548" w:type="dxa"/>
            <w:vAlign w:val="center"/>
            <w:hideMark/>
          </w:tcPr>
          <w:p w:rsidR="00F748D4" w:rsidRPr="00F14959" w:rsidRDefault="00F748D4" w:rsidP="00470433">
            <w:pPr>
              <w:widowControl w:val="0"/>
              <w:jc w:val="center"/>
              <w:rPr>
                <w:color w:val="000000"/>
                <w:sz w:val="24"/>
                <w:szCs w:val="24"/>
                <w:lang w:eastAsia="ru-RU"/>
              </w:rPr>
            </w:pPr>
            <w:r w:rsidRPr="00F14959">
              <w:rPr>
                <w:color w:val="000000"/>
                <w:sz w:val="24"/>
                <w:szCs w:val="24"/>
                <w:lang w:eastAsia="ru-RU"/>
              </w:rPr>
              <w:t>–</w:t>
            </w:r>
          </w:p>
        </w:tc>
        <w:tc>
          <w:tcPr>
            <w:tcW w:w="548" w:type="dxa"/>
            <w:vAlign w:val="center"/>
          </w:tcPr>
          <w:p w:rsidR="00F748D4" w:rsidRPr="00F14959" w:rsidRDefault="00F748D4" w:rsidP="00470433">
            <w:pPr>
              <w:widowControl w:val="0"/>
              <w:jc w:val="center"/>
              <w:rPr>
                <w:color w:val="000000"/>
                <w:sz w:val="24"/>
                <w:szCs w:val="24"/>
                <w:lang w:eastAsia="ru-RU"/>
              </w:rPr>
            </w:pPr>
          </w:p>
        </w:tc>
        <w:tc>
          <w:tcPr>
            <w:tcW w:w="548" w:type="dxa"/>
            <w:noWrap/>
            <w:vAlign w:val="center"/>
          </w:tcPr>
          <w:p w:rsidR="00F748D4" w:rsidRPr="00F14959" w:rsidRDefault="00F748D4" w:rsidP="00470433">
            <w:pPr>
              <w:widowControl w:val="0"/>
              <w:jc w:val="center"/>
              <w:rPr>
                <w:color w:val="000000"/>
                <w:sz w:val="24"/>
                <w:szCs w:val="24"/>
                <w:lang w:eastAsia="ru-RU"/>
              </w:rPr>
            </w:pPr>
          </w:p>
        </w:tc>
        <w:tc>
          <w:tcPr>
            <w:tcW w:w="548" w:type="dxa"/>
            <w:noWrap/>
            <w:vAlign w:val="center"/>
          </w:tcPr>
          <w:p w:rsidR="00F748D4" w:rsidRPr="00F14959" w:rsidRDefault="00F748D4" w:rsidP="00470433">
            <w:pPr>
              <w:widowControl w:val="0"/>
              <w:jc w:val="center"/>
              <w:rPr>
                <w:color w:val="000000"/>
                <w:sz w:val="24"/>
                <w:szCs w:val="24"/>
                <w:lang w:eastAsia="ru-RU"/>
              </w:rPr>
            </w:pPr>
          </w:p>
        </w:tc>
      </w:tr>
      <w:tr w:rsidR="00F748D4" w:rsidRPr="00F14959" w:rsidTr="00470433">
        <w:trPr>
          <w:trHeight w:val="615"/>
        </w:trPr>
        <w:tc>
          <w:tcPr>
            <w:tcW w:w="2694" w:type="dxa"/>
            <w:hideMark/>
          </w:tcPr>
          <w:p w:rsidR="00F748D4" w:rsidRPr="00F14959" w:rsidRDefault="00F748D4" w:rsidP="00470433">
            <w:pPr>
              <w:widowControl w:val="0"/>
              <w:jc w:val="both"/>
              <w:rPr>
                <w:color w:val="000000"/>
                <w:sz w:val="24"/>
                <w:szCs w:val="24"/>
                <w:lang w:eastAsia="ru-RU"/>
              </w:rPr>
            </w:pPr>
            <w:r w:rsidRPr="00F14959">
              <w:rPr>
                <w:color w:val="000000"/>
                <w:sz w:val="24"/>
                <w:szCs w:val="24"/>
                <w:lang w:eastAsia="ru-RU"/>
              </w:rPr>
              <w:t>Частота розроджень вагітних шляхом кесаревого розтину</w:t>
            </w:r>
          </w:p>
        </w:tc>
        <w:tc>
          <w:tcPr>
            <w:tcW w:w="2835" w:type="dxa"/>
            <w:vAlign w:val="center"/>
          </w:tcPr>
          <w:p w:rsidR="00F748D4" w:rsidRPr="00F14959" w:rsidRDefault="00F748D4" w:rsidP="00470433">
            <w:pPr>
              <w:widowControl w:val="0"/>
              <w:jc w:val="both"/>
              <w:rPr>
                <w:color w:val="000000"/>
                <w:sz w:val="24"/>
                <w:szCs w:val="24"/>
                <w:lang w:eastAsia="ru-RU"/>
              </w:rPr>
            </w:pPr>
            <w:r w:rsidRPr="00F14959">
              <w:rPr>
                <w:color w:val="000000"/>
                <w:sz w:val="24"/>
                <w:szCs w:val="24"/>
                <w:lang w:eastAsia="ru-RU"/>
              </w:rPr>
              <w:t>На</w:t>
            </w:r>
            <w:r w:rsidRPr="00F14959">
              <w:rPr>
                <w:iCs/>
                <w:color w:val="000000"/>
                <w:kern w:val="28"/>
                <w:sz w:val="24"/>
                <w:szCs w:val="24"/>
                <w:lang w:eastAsia="ru-RU"/>
              </w:rPr>
              <w:t xml:space="preserve"> 100 пологів</w:t>
            </w:r>
          </w:p>
        </w:tc>
        <w:tc>
          <w:tcPr>
            <w:tcW w:w="941" w:type="dxa"/>
            <w:vAlign w:val="center"/>
            <w:hideMark/>
          </w:tcPr>
          <w:p w:rsidR="00F748D4" w:rsidRPr="00F14959" w:rsidRDefault="00F748D4" w:rsidP="00470433">
            <w:pPr>
              <w:widowControl w:val="0"/>
              <w:jc w:val="center"/>
              <w:rPr>
                <w:color w:val="000000"/>
                <w:sz w:val="24"/>
                <w:szCs w:val="24"/>
                <w:lang w:eastAsia="ru-RU"/>
              </w:rPr>
            </w:pPr>
            <w:r w:rsidRPr="00F14959">
              <w:rPr>
                <w:color w:val="000000"/>
                <w:sz w:val="24"/>
                <w:szCs w:val="24"/>
                <w:lang w:eastAsia="ru-RU"/>
              </w:rPr>
              <w:t>160</w:t>
            </w:r>
          </w:p>
        </w:tc>
        <w:tc>
          <w:tcPr>
            <w:tcW w:w="618" w:type="dxa"/>
            <w:vAlign w:val="center"/>
            <w:hideMark/>
          </w:tcPr>
          <w:p w:rsidR="00F748D4" w:rsidRPr="00F14959" w:rsidRDefault="00F748D4" w:rsidP="00470433">
            <w:pPr>
              <w:widowControl w:val="0"/>
              <w:jc w:val="center"/>
              <w:rPr>
                <w:color w:val="000000"/>
                <w:sz w:val="24"/>
                <w:szCs w:val="24"/>
                <w:lang w:eastAsia="ru-RU"/>
              </w:rPr>
            </w:pPr>
            <w:r w:rsidRPr="00F14959">
              <w:rPr>
                <w:color w:val="000000"/>
                <w:sz w:val="24"/>
                <w:szCs w:val="24"/>
                <w:lang w:eastAsia="ru-RU"/>
              </w:rPr>
              <w:t>7</w:t>
            </w:r>
          </w:p>
        </w:tc>
        <w:tc>
          <w:tcPr>
            <w:tcW w:w="892" w:type="dxa"/>
            <w:vAlign w:val="center"/>
            <w:hideMark/>
          </w:tcPr>
          <w:p w:rsidR="00F748D4" w:rsidRPr="00F14959" w:rsidRDefault="00F748D4" w:rsidP="00470433">
            <w:pPr>
              <w:widowControl w:val="0"/>
              <w:jc w:val="center"/>
              <w:rPr>
                <w:color w:val="000000"/>
                <w:sz w:val="24"/>
                <w:szCs w:val="24"/>
                <w:lang w:eastAsia="ru-RU"/>
              </w:rPr>
            </w:pPr>
            <w:r w:rsidRPr="00F14959">
              <w:rPr>
                <w:color w:val="000000"/>
                <w:sz w:val="24"/>
                <w:szCs w:val="24"/>
                <w:lang w:eastAsia="ru-RU"/>
              </w:rPr>
              <w:t>0,04</w:t>
            </w:r>
          </w:p>
        </w:tc>
        <w:tc>
          <w:tcPr>
            <w:tcW w:w="548" w:type="dxa"/>
            <w:vAlign w:val="center"/>
            <w:hideMark/>
          </w:tcPr>
          <w:p w:rsidR="00F748D4" w:rsidRPr="00F14959" w:rsidRDefault="00F748D4" w:rsidP="00470433">
            <w:pPr>
              <w:widowControl w:val="0"/>
              <w:jc w:val="center"/>
              <w:rPr>
                <w:color w:val="000000"/>
                <w:sz w:val="24"/>
                <w:szCs w:val="24"/>
                <w:lang w:eastAsia="ru-RU"/>
              </w:rPr>
            </w:pPr>
            <w:r w:rsidRPr="00F14959">
              <w:rPr>
                <w:color w:val="000000"/>
                <w:sz w:val="24"/>
                <w:szCs w:val="24"/>
                <w:lang w:eastAsia="ru-RU"/>
              </w:rPr>
              <w:t>+</w:t>
            </w:r>
          </w:p>
        </w:tc>
        <w:tc>
          <w:tcPr>
            <w:tcW w:w="548" w:type="dxa"/>
            <w:vAlign w:val="center"/>
          </w:tcPr>
          <w:p w:rsidR="00F748D4" w:rsidRPr="00F14959" w:rsidRDefault="00F748D4" w:rsidP="00470433">
            <w:pPr>
              <w:widowControl w:val="0"/>
              <w:jc w:val="center"/>
              <w:rPr>
                <w:color w:val="000000"/>
                <w:sz w:val="24"/>
                <w:szCs w:val="24"/>
                <w:lang w:eastAsia="ru-RU"/>
              </w:rPr>
            </w:pPr>
          </w:p>
        </w:tc>
        <w:tc>
          <w:tcPr>
            <w:tcW w:w="548" w:type="dxa"/>
            <w:noWrap/>
            <w:vAlign w:val="center"/>
          </w:tcPr>
          <w:p w:rsidR="00F748D4" w:rsidRPr="00F14959" w:rsidRDefault="00F748D4" w:rsidP="00470433">
            <w:pPr>
              <w:widowControl w:val="0"/>
              <w:jc w:val="center"/>
              <w:rPr>
                <w:color w:val="000000"/>
                <w:sz w:val="24"/>
                <w:szCs w:val="24"/>
                <w:lang w:eastAsia="ru-RU"/>
              </w:rPr>
            </w:pPr>
          </w:p>
        </w:tc>
        <w:tc>
          <w:tcPr>
            <w:tcW w:w="548" w:type="dxa"/>
            <w:noWrap/>
            <w:vAlign w:val="center"/>
          </w:tcPr>
          <w:p w:rsidR="00F748D4" w:rsidRPr="00F14959" w:rsidRDefault="00F748D4" w:rsidP="00470433">
            <w:pPr>
              <w:widowControl w:val="0"/>
              <w:jc w:val="center"/>
              <w:rPr>
                <w:color w:val="000000"/>
                <w:sz w:val="24"/>
                <w:szCs w:val="24"/>
                <w:lang w:eastAsia="ru-RU"/>
              </w:rPr>
            </w:pPr>
          </w:p>
        </w:tc>
      </w:tr>
      <w:tr w:rsidR="00F748D4" w:rsidRPr="00F14959" w:rsidTr="00470433">
        <w:trPr>
          <w:trHeight w:val="615"/>
        </w:trPr>
        <w:tc>
          <w:tcPr>
            <w:tcW w:w="2694" w:type="dxa"/>
            <w:hideMark/>
          </w:tcPr>
          <w:p w:rsidR="00F748D4" w:rsidRPr="00F14959" w:rsidRDefault="00F748D4" w:rsidP="00470433">
            <w:pPr>
              <w:widowControl w:val="0"/>
              <w:jc w:val="both"/>
              <w:rPr>
                <w:color w:val="000000"/>
                <w:sz w:val="24"/>
                <w:szCs w:val="24"/>
                <w:lang w:eastAsia="ru-RU"/>
              </w:rPr>
            </w:pPr>
            <w:r w:rsidRPr="00F14959">
              <w:rPr>
                <w:color w:val="000000"/>
                <w:sz w:val="24"/>
                <w:szCs w:val="24"/>
                <w:lang w:eastAsia="ru-RU"/>
              </w:rPr>
              <w:t>Частота кровотеч в послідовому і післяродовому періодах</w:t>
            </w:r>
          </w:p>
        </w:tc>
        <w:tc>
          <w:tcPr>
            <w:tcW w:w="2835" w:type="dxa"/>
            <w:vAlign w:val="center"/>
          </w:tcPr>
          <w:p w:rsidR="00F748D4" w:rsidRPr="00F14959" w:rsidRDefault="00F748D4" w:rsidP="00470433">
            <w:pPr>
              <w:widowControl w:val="0"/>
              <w:jc w:val="both"/>
              <w:rPr>
                <w:color w:val="000000"/>
                <w:sz w:val="24"/>
                <w:szCs w:val="24"/>
                <w:lang w:eastAsia="ru-RU"/>
              </w:rPr>
            </w:pPr>
            <w:r w:rsidRPr="00F14959">
              <w:rPr>
                <w:color w:val="000000"/>
                <w:sz w:val="24"/>
                <w:szCs w:val="24"/>
                <w:lang w:eastAsia="ru-RU"/>
              </w:rPr>
              <w:t>На</w:t>
            </w:r>
            <w:r w:rsidRPr="00F14959">
              <w:rPr>
                <w:iCs/>
                <w:color w:val="000000"/>
                <w:kern w:val="28"/>
                <w:sz w:val="24"/>
                <w:szCs w:val="24"/>
                <w:lang w:eastAsia="ru-RU"/>
              </w:rPr>
              <w:t xml:space="preserve"> 100 пологів</w:t>
            </w:r>
          </w:p>
        </w:tc>
        <w:tc>
          <w:tcPr>
            <w:tcW w:w="941" w:type="dxa"/>
            <w:vAlign w:val="center"/>
            <w:hideMark/>
          </w:tcPr>
          <w:p w:rsidR="00F748D4" w:rsidRPr="00F14959" w:rsidRDefault="00F748D4" w:rsidP="00470433">
            <w:pPr>
              <w:widowControl w:val="0"/>
              <w:jc w:val="center"/>
              <w:rPr>
                <w:color w:val="000000"/>
                <w:sz w:val="24"/>
                <w:szCs w:val="24"/>
                <w:lang w:eastAsia="ru-RU"/>
              </w:rPr>
            </w:pPr>
            <w:r w:rsidRPr="00F14959">
              <w:rPr>
                <w:color w:val="000000"/>
                <w:sz w:val="24"/>
                <w:szCs w:val="24"/>
                <w:lang w:eastAsia="ru-RU"/>
              </w:rPr>
              <w:t>5</w:t>
            </w:r>
          </w:p>
        </w:tc>
        <w:tc>
          <w:tcPr>
            <w:tcW w:w="618" w:type="dxa"/>
            <w:vAlign w:val="center"/>
            <w:hideMark/>
          </w:tcPr>
          <w:p w:rsidR="00F748D4" w:rsidRPr="00F14959" w:rsidRDefault="00F748D4" w:rsidP="00470433">
            <w:pPr>
              <w:widowControl w:val="0"/>
              <w:jc w:val="center"/>
              <w:rPr>
                <w:color w:val="000000"/>
                <w:sz w:val="24"/>
                <w:szCs w:val="24"/>
                <w:lang w:eastAsia="ru-RU"/>
              </w:rPr>
            </w:pPr>
            <w:r w:rsidRPr="00F14959">
              <w:rPr>
                <w:color w:val="000000"/>
                <w:sz w:val="24"/>
                <w:szCs w:val="24"/>
                <w:lang w:eastAsia="ru-RU"/>
              </w:rPr>
              <w:t>9</w:t>
            </w:r>
          </w:p>
        </w:tc>
        <w:tc>
          <w:tcPr>
            <w:tcW w:w="892" w:type="dxa"/>
            <w:vAlign w:val="center"/>
            <w:hideMark/>
          </w:tcPr>
          <w:p w:rsidR="00F748D4" w:rsidRPr="00F14959" w:rsidRDefault="00F748D4" w:rsidP="00470433">
            <w:pPr>
              <w:widowControl w:val="0"/>
              <w:jc w:val="center"/>
              <w:rPr>
                <w:color w:val="000000"/>
                <w:sz w:val="24"/>
                <w:szCs w:val="24"/>
                <w:lang w:eastAsia="ru-RU"/>
              </w:rPr>
            </w:pPr>
            <w:r w:rsidRPr="00F14959">
              <w:rPr>
                <w:color w:val="000000"/>
                <w:sz w:val="24"/>
                <w:szCs w:val="24"/>
                <w:lang w:eastAsia="ru-RU"/>
              </w:rPr>
              <w:t>1,80</w:t>
            </w:r>
          </w:p>
        </w:tc>
        <w:tc>
          <w:tcPr>
            <w:tcW w:w="548" w:type="dxa"/>
            <w:vAlign w:val="center"/>
            <w:hideMark/>
          </w:tcPr>
          <w:p w:rsidR="00F748D4" w:rsidRPr="00F14959" w:rsidRDefault="00F748D4" w:rsidP="00470433">
            <w:pPr>
              <w:widowControl w:val="0"/>
              <w:jc w:val="center"/>
              <w:rPr>
                <w:color w:val="000000"/>
                <w:sz w:val="24"/>
                <w:szCs w:val="24"/>
                <w:lang w:eastAsia="ru-RU"/>
              </w:rPr>
            </w:pPr>
            <w:r w:rsidRPr="00F14959">
              <w:rPr>
                <w:color w:val="000000"/>
                <w:sz w:val="24"/>
                <w:szCs w:val="24"/>
                <w:lang w:eastAsia="ru-RU"/>
              </w:rPr>
              <w:t>+</w:t>
            </w:r>
          </w:p>
        </w:tc>
        <w:tc>
          <w:tcPr>
            <w:tcW w:w="548" w:type="dxa"/>
            <w:vAlign w:val="center"/>
          </w:tcPr>
          <w:p w:rsidR="00F748D4" w:rsidRPr="00F14959" w:rsidRDefault="00F748D4" w:rsidP="00470433">
            <w:pPr>
              <w:widowControl w:val="0"/>
              <w:jc w:val="center"/>
              <w:rPr>
                <w:color w:val="000000"/>
                <w:sz w:val="24"/>
                <w:szCs w:val="24"/>
                <w:lang w:eastAsia="ru-RU"/>
              </w:rPr>
            </w:pPr>
          </w:p>
        </w:tc>
        <w:tc>
          <w:tcPr>
            <w:tcW w:w="548" w:type="dxa"/>
            <w:noWrap/>
            <w:vAlign w:val="center"/>
          </w:tcPr>
          <w:p w:rsidR="00F748D4" w:rsidRPr="00F14959" w:rsidRDefault="00F748D4" w:rsidP="00470433">
            <w:pPr>
              <w:widowControl w:val="0"/>
              <w:jc w:val="center"/>
              <w:rPr>
                <w:color w:val="000000"/>
                <w:sz w:val="24"/>
                <w:szCs w:val="24"/>
                <w:lang w:eastAsia="ru-RU"/>
              </w:rPr>
            </w:pPr>
          </w:p>
        </w:tc>
        <w:tc>
          <w:tcPr>
            <w:tcW w:w="548" w:type="dxa"/>
            <w:noWrap/>
            <w:vAlign w:val="center"/>
          </w:tcPr>
          <w:p w:rsidR="00F748D4" w:rsidRPr="00F14959" w:rsidRDefault="00F748D4" w:rsidP="00470433">
            <w:pPr>
              <w:widowControl w:val="0"/>
              <w:jc w:val="center"/>
              <w:rPr>
                <w:color w:val="000000"/>
                <w:sz w:val="24"/>
                <w:szCs w:val="24"/>
                <w:lang w:eastAsia="ru-RU"/>
              </w:rPr>
            </w:pPr>
          </w:p>
        </w:tc>
      </w:tr>
      <w:tr w:rsidR="00F748D4" w:rsidRPr="00F14959" w:rsidTr="00470433">
        <w:trPr>
          <w:trHeight w:val="315"/>
        </w:trPr>
        <w:tc>
          <w:tcPr>
            <w:tcW w:w="2694" w:type="dxa"/>
            <w:hideMark/>
          </w:tcPr>
          <w:p w:rsidR="00F748D4" w:rsidRPr="00F14959" w:rsidRDefault="00F748D4" w:rsidP="00470433">
            <w:pPr>
              <w:widowControl w:val="0"/>
              <w:jc w:val="both"/>
              <w:rPr>
                <w:color w:val="000000"/>
                <w:sz w:val="24"/>
                <w:szCs w:val="24"/>
                <w:lang w:eastAsia="ru-RU"/>
              </w:rPr>
            </w:pPr>
            <w:r w:rsidRPr="00F14959">
              <w:rPr>
                <w:color w:val="000000"/>
                <w:sz w:val="24"/>
                <w:szCs w:val="24"/>
                <w:lang w:eastAsia="ru-RU"/>
              </w:rPr>
              <w:t>Частота мало вагових новонароджених</w:t>
            </w:r>
          </w:p>
        </w:tc>
        <w:tc>
          <w:tcPr>
            <w:tcW w:w="2835" w:type="dxa"/>
          </w:tcPr>
          <w:p w:rsidR="00F748D4" w:rsidRPr="00F14959" w:rsidRDefault="00F748D4" w:rsidP="00470433">
            <w:pPr>
              <w:widowControl w:val="0"/>
              <w:jc w:val="both"/>
              <w:rPr>
                <w:color w:val="000000"/>
                <w:sz w:val="24"/>
                <w:szCs w:val="24"/>
                <w:lang w:eastAsia="ru-RU"/>
              </w:rPr>
            </w:pPr>
            <w:r w:rsidRPr="00F14959">
              <w:rPr>
                <w:color w:val="000000"/>
                <w:sz w:val="24"/>
                <w:szCs w:val="24"/>
                <w:lang w:eastAsia="ru-RU"/>
              </w:rPr>
              <w:t>На</w:t>
            </w:r>
            <w:r w:rsidRPr="00F14959">
              <w:rPr>
                <w:iCs/>
                <w:color w:val="000000"/>
                <w:kern w:val="28"/>
                <w:sz w:val="24"/>
                <w:szCs w:val="24"/>
                <w:lang w:eastAsia="ru-RU"/>
              </w:rPr>
              <w:t xml:space="preserve"> 100 </w:t>
            </w:r>
            <w:r w:rsidRPr="00F14959">
              <w:rPr>
                <w:color w:val="000000"/>
                <w:sz w:val="24"/>
                <w:szCs w:val="24"/>
                <w:lang w:eastAsia="ru-RU"/>
              </w:rPr>
              <w:t xml:space="preserve">живонароджених </w:t>
            </w:r>
          </w:p>
        </w:tc>
        <w:tc>
          <w:tcPr>
            <w:tcW w:w="941" w:type="dxa"/>
            <w:vAlign w:val="center"/>
            <w:hideMark/>
          </w:tcPr>
          <w:p w:rsidR="00F748D4" w:rsidRPr="00F14959" w:rsidRDefault="00F748D4" w:rsidP="00470433">
            <w:pPr>
              <w:widowControl w:val="0"/>
              <w:jc w:val="center"/>
              <w:rPr>
                <w:color w:val="000000"/>
                <w:sz w:val="24"/>
                <w:szCs w:val="24"/>
                <w:lang w:eastAsia="ru-RU"/>
              </w:rPr>
            </w:pPr>
            <w:r w:rsidRPr="00F14959">
              <w:rPr>
                <w:color w:val="000000"/>
                <w:sz w:val="24"/>
                <w:szCs w:val="24"/>
                <w:lang w:eastAsia="ru-RU"/>
              </w:rPr>
              <w:t>4</w:t>
            </w:r>
          </w:p>
        </w:tc>
        <w:tc>
          <w:tcPr>
            <w:tcW w:w="618" w:type="dxa"/>
            <w:vAlign w:val="center"/>
            <w:hideMark/>
          </w:tcPr>
          <w:p w:rsidR="00F748D4" w:rsidRPr="00F14959" w:rsidRDefault="00F748D4" w:rsidP="00470433">
            <w:pPr>
              <w:widowControl w:val="0"/>
              <w:jc w:val="center"/>
              <w:rPr>
                <w:color w:val="000000"/>
                <w:sz w:val="24"/>
                <w:szCs w:val="24"/>
                <w:lang w:eastAsia="ru-RU"/>
              </w:rPr>
            </w:pPr>
            <w:r w:rsidRPr="00F14959">
              <w:rPr>
                <w:color w:val="000000"/>
                <w:sz w:val="24"/>
                <w:szCs w:val="24"/>
                <w:lang w:eastAsia="ru-RU"/>
              </w:rPr>
              <w:t>5</w:t>
            </w:r>
          </w:p>
        </w:tc>
        <w:tc>
          <w:tcPr>
            <w:tcW w:w="892" w:type="dxa"/>
            <w:vAlign w:val="center"/>
            <w:hideMark/>
          </w:tcPr>
          <w:p w:rsidR="00F748D4" w:rsidRPr="00F14959" w:rsidRDefault="00F748D4" w:rsidP="00470433">
            <w:pPr>
              <w:widowControl w:val="0"/>
              <w:jc w:val="center"/>
              <w:rPr>
                <w:color w:val="000000"/>
                <w:sz w:val="24"/>
                <w:szCs w:val="24"/>
                <w:lang w:eastAsia="ru-RU"/>
              </w:rPr>
            </w:pPr>
            <w:r w:rsidRPr="00F14959">
              <w:rPr>
                <w:color w:val="000000"/>
                <w:sz w:val="24"/>
                <w:szCs w:val="24"/>
                <w:lang w:eastAsia="ru-RU"/>
              </w:rPr>
              <w:t>1,25</w:t>
            </w:r>
          </w:p>
        </w:tc>
        <w:tc>
          <w:tcPr>
            <w:tcW w:w="548" w:type="dxa"/>
            <w:vAlign w:val="center"/>
            <w:hideMark/>
          </w:tcPr>
          <w:p w:rsidR="00F748D4" w:rsidRPr="00F14959" w:rsidRDefault="00F748D4" w:rsidP="00470433">
            <w:pPr>
              <w:widowControl w:val="0"/>
              <w:jc w:val="center"/>
              <w:rPr>
                <w:color w:val="000000"/>
                <w:sz w:val="24"/>
                <w:szCs w:val="24"/>
                <w:lang w:eastAsia="ru-RU"/>
              </w:rPr>
            </w:pPr>
            <w:r w:rsidRPr="00F14959">
              <w:rPr>
                <w:color w:val="000000"/>
                <w:sz w:val="24"/>
                <w:szCs w:val="24"/>
                <w:lang w:eastAsia="ru-RU"/>
              </w:rPr>
              <w:t>+</w:t>
            </w:r>
          </w:p>
        </w:tc>
        <w:tc>
          <w:tcPr>
            <w:tcW w:w="548" w:type="dxa"/>
            <w:vAlign w:val="center"/>
          </w:tcPr>
          <w:p w:rsidR="00F748D4" w:rsidRPr="00F14959" w:rsidRDefault="00F748D4" w:rsidP="00470433">
            <w:pPr>
              <w:widowControl w:val="0"/>
              <w:jc w:val="center"/>
              <w:rPr>
                <w:color w:val="000000"/>
                <w:sz w:val="24"/>
                <w:szCs w:val="24"/>
                <w:lang w:eastAsia="ru-RU"/>
              </w:rPr>
            </w:pPr>
          </w:p>
        </w:tc>
        <w:tc>
          <w:tcPr>
            <w:tcW w:w="548" w:type="dxa"/>
            <w:noWrap/>
            <w:vAlign w:val="center"/>
          </w:tcPr>
          <w:p w:rsidR="00F748D4" w:rsidRPr="00F14959" w:rsidRDefault="00F748D4" w:rsidP="00470433">
            <w:pPr>
              <w:widowControl w:val="0"/>
              <w:jc w:val="center"/>
              <w:rPr>
                <w:color w:val="000000"/>
                <w:sz w:val="24"/>
                <w:szCs w:val="24"/>
                <w:lang w:eastAsia="ru-RU"/>
              </w:rPr>
            </w:pPr>
          </w:p>
        </w:tc>
        <w:tc>
          <w:tcPr>
            <w:tcW w:w="548" w:type="dxa"/>
            <w:noWrap/>
            <w:vAlign w:val="center"/>
          </w:tcPr>
          <w:p w:rsidR="00F748D4" w:rsidRPr="00F14959" w:rsidRDefault="00F748D4" w:rsidP="00470433">
            <w:pPr>
              <w:widowControl w:val="0"/>
              <w:jc w:val="center"/>
              <w:rPr>
                <w:color w:val="000000"/>
                <w:sz w:val="24"/>
                <w:szCs w:val="24"/>
                <w:lang w:eastAsia="ru-RU"/>
              </w:rPr>
            </w:pPr>
          </w:p>
        </w:tc>
      </w:tr>
      <w:tr w:rsidR="00F748D4" w:rsidRPr="00F14959" w:rsidTr="00470433">
        <w:trPr>
          <w:trHeight w:val="915"/>
        </w:trPr>
        <w:tc>
          <w:tcPr>
            <w:tcW w:w="2694" w:type="dxa"/>
            <w:hideMark/>
          </w:tcPr>
          <w:p w:rsidR="00F748D4" w:rsidRPr="00F14959" w:rsidRDefault="00F748D4" w:rsidP="00470433">
            <w:pPr>
              <w:widowControl w:val="0"/>
              <w:jc w:val="both"/>
              <w:rPr>
                <w:color w:val="000000"/>
                <w:sz w:val="24"/>
                <w:szCs w:val="24"/>
                <w:lang w:eastAsia="ru-RU"/>
              </w:rPr>
            </w:pPr>
            <w:r w:rsidRPr="00F14959">
              <w:rPr>
                <w:color w:val="000000"/>
                <w:sz w:val="24"/>
                <w:szCs w:val="24"/>
                <w:lang w:eastAsia="ru-RU"/>
              </w:rPr>
              <w:t>Виживання новонароджених з дуже малою масою тіла при народженні після 168 годин життя</w:t>
            </w:r>
          </w:p>
        </w:tc>
        <w:tc>
          <w:tcPr>
            <w:tcW w:w="2835" w:type="dxa"/>
          </w:tcPr>
          <w:p w:rsidR="00F748D4" w:rsidRPr="00F14959" w:rsidRDefault="00F748D4" w:rsidP="00470433">
            <w:pPr>
              <w:widowControl w:val="0"/>
              <w:jc w:val="both"/>
              <w:rPr>
                <w:color w:val="000000"/>
                <w:sz w:val="24"/>
                <w:szCs w:val="24"/>
                <w:lang w:eastAsia="ru-RU"/>
              </w:rPr>
            </w:pPr>
            <w:r w:rsidRPr="00F14959">
              <w:rPr>
                <w:color w:val="000000"/>
                <w:sz w:val="24"/>
                <w:szCs w:val="24"/>
                <w:lang w:eastAsia="ru-RU"/>
              </w:rPr>
              <w:t>На</w:t>
            </w:r>
            <w:r w:rsidRPr="00F14959">
              <w:rPr>
                <w:iCs/>
                <w:color w:val="000000"/>
                <w:kern w:val="28"/>
                <w:sz w:val="24"/>
                <w:szCs w:val="24"/>
                <w:lang w:eastAsia="ru-RU"/>
              </w:rPr>
              <w:t xml:space="preserve"> 100 </w:t>
            </w:r>
            <w:r w:rsidRPr="00F14959">
              <w:rPr>
                <w:color w:val="000000"/>
                <w:sz w:val="24"/>
                <w:szCs w:val="24"/>
                <w:lang w:eastAsia="ru-RU"/>
              </w:rPr>
              <w:t>новонароджених з масою тіла при народженні 500-1499</w:t>
            </w:r>
            <w:r w:rsidR="001E2949">
              <w:rPr>
                <w:color w:val="000000"/>
                <w:sz w:val="24"/>
                <w:szCs w:val="24"/>
                <w:lang w:val="ru-RU" w:eastAsia="ru-RU"/>
              </w:rPr>
              <w:t xml:space="preserve"> </w:t>
            </w:r>
            <w:r w:rsidRPr="00F14959">
              <w:rPr>
                <w:color w:val="000000"/>
                <w:sz w:val="24"/>
                <w:szCs w:val="24"/>
                <w:lang w:eastAsia="ru-RU"/>
              </w:rPr>
              <w:t>г</w:t>
            </w:r>
          </w:p>
        </w:tc>
        <w:tc>
          <w:tcPr>
            <w:tcW w:w="941" w:type="dxa"/>
            <w:vAlign w:val="center"/>
            <w:hideMark/>
          </w:tcPr>
          <w:p w:rsidR="00F748D4" w:rsidRPr="00F14959" w:rsidRDefault="00F748D4" w:rsidP="00470433">
            <w:pPr>
              <w:widowControl w:val="0"/>
              <w:jc w:val="center"/>
              <w:rPr>
                <w:color w:val="000000"/>
                <w:sz w:val="24"/>
                <w:szCs w:val="24"/>
                <w:lang w:eastAsia="ru-RU"/>
              </w:rPr>
            </w:pPr>
            <w:r w:rsidRPr="00F14959">
              <w:rPr>
                <w:color w:val="000000"/>
                <w:sz w:val="24"/>
                <w:szCs w:val="24"/>
                <w:lang w:eastAsia="ru-RU"/>
              </w:rPr>
              <w:t>90</w:t>
            </w:r>
          </w:p>
        </w:tc>
        <w:tc>
          <w:tcPr>
            <w:tcW w:w="618" w:type="dxa"/>
            <w:vAlign w:val="center"/>
            <w:hideMark/>
          </w:tcPr>
          <w:p w:rsidR="00F748D4" w:rsidRPr="00F14959" w:rsidRDefault="00F748D4" w:rsidP="00470433">
            <w:pPr>
              <w:widowControl w:val="0"/>
              <w:jc w:val="center"/>
              <w:rPr>
                <w:color w:val="000000"/>
                <w:sz w:val="24"/>
                <w:szCs w:val="24"/>
                <w:lang w:eastAsia="ru-RU"/>
              </w:rPr>
            </w:pPr>
            <w:r w:rsidRPr="00F14959">
              <w:rPr>
                <w:color w:val="000000"/>
                <w:sz w:val="24"/>
                <w:szCs w:val="24"/>
                <w:lang w:eastAsia="ru-RU"/>
              </w:rPr>
              <w:t>8</w:t>
            </w:r>
          </w:p>
        </w:tc>
        <w:tc>
          <w:tcPr>
            <w:tcW w:w="892" w:type="dxa"/>
            <w:vAlign w:val="center"/>
            <w:hideMark/>
          </w:tcPr>
          <w:p w:rsidR="00F748D4" w:rsidRPr="00F14959" w:rsidRDefault="00F748D4" w:rsidP="00470433">
            <w:pPr>
              <w:widowControl w:val="0"/>
              <w:jc w:val="center"/>
              <w:rPr>
                <w:color w:val="000000"/>
                <w:sz w:val="24"/>
                <w:szCs w:val="24"/>
                <w:lang w:eastAsia="ru-RU"/>
              </w:rPr>
            </w:pPr>
            <w:r w:rsidRPr="00F14959">
              <w:rPr>
                <w:color w:val="000000"/>
                <w:sz w:val="24"/>
                <w:szCs w:val="24"/>
                <w:lang w:eastAsia="ru-RU"/>
              </w:rPr>
              <w:t>0,09</w:t>
            </w:r>
          </w:p>
        </w:tc>
        <w:tc>
          <w:tcPr>
            <w:tcW w:w="548" w:type="dxa"/>
            <w:vAlign w:val="center"/>
            <w:hideMark/>
          </w:tcPr>
          <w:p w:rsidR="00F748D4" w:rsidRPr="00F14959" w:rsidRDefault="00F748D4" w:rsidP="00470433">
            <w:pPr>
              <w:widowControl w:val="0"/>
              <w:jc w:val="center"/>
              <w:rPr>
                <w:color w:val="000000"/>
                <w:sz w:val="24"/>
                <w:szCs w:val="24"/>
                <w:lang w:eastAsia="ru-RU"/>
              </w:rPr>
            </w:pPr>
            <w:r w:rsidRPr="00F14959">
              <w:rPr>
                <w:color w:val="000000"/>
                <w:sz w:val="24"/>
                <w:szCs w:val="24"/>
                <w:lang w:eastAsia="ru-RU"/>
              </w:rPr>
              <w:t>–</w:t>
            </w:r>
          </w:p>
        </w:tc>
        <w:tc>
          <w:tcPr>
            <w:tcW w:w="548" w:type="dxa"/>
            <w:vAlign w:val="center"/>
          </w:tcPr>
          <w:p w:rsidR="00F748D4" w:rsidRPr="00F14959" w:rsidRDefault="00F748D4" w:rsidP="00470433">
            <w:pPr>
              <w:widowControl w:val="0"/>
              <w:jc w:val="center"/>
              <w:rPr>
                <w:color w:val="000000"/>
                <w:sz w:val="24"/>
                <w:szCs w:val="24"/>
                <w:lang w:eastAsia="ru-RU"/>
              </w:rPr>
            </w:pPr>
          </w:p>
        </w:tc>
        <w:tc>
          <w:tcPr>
            <w:tcW w:w="548" w:type="dxa"/>
            <w:noWrap/>
            <w:vAlign w:val="center"/>
          </w:tcPr>
          <w:p w:rsidR="00F748D4" w:rsidRPr="00F14959" w:rsidRDefault="00F748D4" w:rsidP="00470433">
            <w:pPr>
              <w:widowControl w:val="0"/>
              <w:jc w:val="center"/>
              <w:rPr>
                <w:color w:val="000000"/>
                <w:sz w:val="24"/>
                <w:szCs w:val="24"/>
                <w:lang w:eastAsia="ru-RU"/>
              </w:rPr>
            </w:pPr>
          </w:p>
        </w:tc>
        <w:tc>
          <w:tcPr>
            <w:tcW w:w="548" w:type="dxa"/>
            <w:noWrap/>
            <w:vAlign w:val="center"/>
          </w:tcPr>
          <w:p w:rsidR="00F748D4" w:rsidRPr="00F14959" w:rsidRDefault="00F748D4" w:rsidP="00470433">
            <w:pPr>
              <w:widowControl w:val="0"/>
              <w:jc w:val="center"/>
              <w:rPr>
                <w:color w:val="000000"/>
                <w:sz w:val="24"/>
                <w:szCs w:val="24"/>
                <w:lang w:eastAsia="ru-RU"/>
              </w:rPr>
            </w:pPr>
          </w:p>
        </w:tc>
      </w:tr>
      <w:tr w:rsidR="00F748D4" w:rsidRPr="00F14959" w:rsidTr="00470433">
        <w:trPr>
          <w:trHeight w:val="713"/>
        </w:trPr>
        <w:tc>
          <w:tcPr>
            <w:tcW w:w="2694" w:type="dxa"/>
          </w:tcPr>
          <w:p w:rsidR="00F748D4" w:rsidRPr="00F14959" w:rsidRDefault="00F748D4" w:rsidP="00470433">
            <w:pPr>
              <w:widowControl w:val="0"/>
              <w:jc w:val="both"/>
              <w:rPr>
                <w:color w:val="000000"/>
                <w:sz w:val="24"/>
                <w:szCs w:val="24"/>
                <w:lang w:eastAsia="ru-RU"/>
              </w:rPr>
            </w:pPr>
            <w:r w:rsidRPr="00F14959">
              <w:rPr>
                <w:color w:val="000000"/>
                <w:sz w:val="24"/>
                <w:szCs w:val="24"/>
                <w:lang w:eastAsia="ru-RU"/>
              </w:rPr>
              <w:t>Індекс здоров’я новонароджених</w:t>
            </w:r>
          </w:p>
        </w:tc>
        <w:tc>
          <w:tcPr>
            <w:tcW w:w="2835" w:type="dxa"/>
          </w:tcPr>
          <w:p w:rsidR="00F748D4" w:rsidRPr="00F14959" w:rsidRDefault="00F748D4" w:rsidP="00470433">
            <w:pPr>
              <w:widowControl w:val="0"/>
              <w:jc w:val="both"/>
              <w:rPr>
                <w:color w:val="000000"/>
                <w:sz w:val="24"/>
                <w:szCs w:val="24"/>
                <w:lang w:eastAsia="ru-RU"/>
              </w:rPr>
            </w:pPr>
            <w:r w:rsidRPr="00F14959">
              <w:rPr>
                <w:iCs/>
                <w:color w:val="000000"/>
                <w:kern w:val="28"/>
                <w:sz w:val="24"/>
                <w:szCs w:val="24"/>
                <w:lang w:eastAsia="ru-RU"/>
              </w:rPr>
              <w:t xml:space="preserve">На 100 </w:t>
            </w:r>
            <w:r w:rsidRPr="00F14959">
              <w:rPr>
                <w:color w:val="000000"/>
                <w:sz w:val="24"/>
                <w:szCs w:val="24"/>
                <w:lang w:eastAsia="ru-RU"/>
              </w:rPr>
              <w:t>живонароджених</w:t>
            </w:r>
          </w:p>
        </w:tc>
        <w:tc>
          <w:tcPr>
            <w:tcW w:w="941" w:type="dxa"/>
            <w:vAlign w:val="center"/>
          </w:tcPr>
          <w:p w:rsidR="00F748D4" w:rsidRPr="00F14959" w:rsidRDefault="00F748D4" w:rsidP="00470433">
            <w:pPr>
              <w:widowControl w:val="0"/>
              <w:jc w:val="center"/>
              <w:rPr>
                <w:color w:val="000000"/>
                <w:sz w:val="24"/>
                <w:szCs w:val="24"/>
                <w:lang w:eastAsia="ru-RU"/>
              </w:rPr>
            </w:pPr>
            <w:r w:rsidRPr="00F14959">
              <w:rPr>
                <w:color w:val="000000"/>
                <w:sz w:val="24"/>
                <w:szCs w:val="24"/>
                <w:lang w:eastAsia="ru-RU"/>
              </w:rPr>
              <w:t>90</w:t>
            </w:r>
          </w:p>
        </w:tc>
        <w:tc>
          <w:tcPr>
            <w:tcW w:w="618" w:type="dxa"/>
            <w:vAlign w:val="center"/>
          </w:tcPr>
          <w:p w:rsidR="00F748D4" w:rsidRPr="00F14959" w:rsidRDefault="00F748D4" w:rsidP="00470433">
            <w:pPr>
              <w:widowControl w:val="0"/>
              <w:jc w:val="center"/>
              <w:rPr>
                <w:color w:val="000000"/>
                <w:sz w:val="24"/>
                <w:szCs w:val="24"/>
                <w:lang w:eastAsia="ru-RU"/>
              </w:rPr>
            </w:pPr>
            <w:r w:rsidRPr="00F14959">
              <w:rPr>
                <w:color w:val="000000"/>
                <w:sz w:val="24"/>
                <w:szCs w:val="24"/>
                <w:lang w:eastAsia="ru-RU"/>
              </w:rPr>
              <w:t>6</w:t>
            </w:r>
          </w:p>
        </w:tc>
        <w:tc>
          <w:tcPr>
            <w:tcW w:w="892" w:type="dxa"/>
            <w:vAlign w:val="center"/>
          </w:tcPr>
          <w:p w:rsidR="00F748D4" w:rsidRPr="00F14959" w:rsidRDefault="00F748D4" w:rsidP="00470433">
            <w:pPr>
              <w:widowControl w:val="0"/>
              <w:jc w:val="center"/>
              <w:rPr>
                <w:color w:val="000000"/>
                <w:sz w:val="24"/>
                <w:szCs w:val="24"/>
                <w:lang w:eastAsia="ru-RU"/>
              </w:rPr>
            </w:pPr>
            <w:r w:rsidRPr="00F14959">
              <w:rPr>
                <w:color w:val="000000"/>
                <w:sz w:val="24"/>
                <w:szCs w:val="24"/>
                <w:lang w:eastAsia="ru-RU"/>
              </w:rPr>
              <w:t>0,07</w:t>
            </w:r>
          </w:p>
        </w:tc>
        <w:tc>
          <w:tcPr>
            <w:tcW w:w="548" w:type="dxa"/>
            <w:vAlign w:val="center"/>
          </w:tcPr>
          <w:p w:rsidR="00F748D4" w:rsidRPr="00F14959" w:rsidRDefault="00F748D4" w:rsidP="00470433">
            <w:pPr>
              <w:widowControl w:val="0"/>
              <w:jc w:val="center"/>
              <w:rPr>
                <w:color w:val="000000"/>
                <w:sz w:val="24"/>
                <w:szCs w:val="24"/>
                <w:lang w:eastAsia="ru-RU"/>
              </w:rPr>
            </w:pPr>
            <w:r w:rsidRPr="00F14959">
              <w:rPr>
                <w:color w:val="000000"/>
                <w:sz w:val="24"/>
                <w:szCs w:val="24"/>
                <w:lang w:eastAsia="ru-RU"/>
              </w:rPr>
              <w:t>–</w:t>
            </w:r>
          </w:p>
        </w:tc>
        <w:tc>
          <w:tcPr>
            <w:tcW w:w="548" w:type="dxa"/>
            <w:vAlign w:val="center"/>
          </w:tcPr>
          <w:p w:rsidR="00F748D4" w:rsidRPr="00F14959" w:rsidRDefault="00F748D4" w:rsidP="00470433">
            <w:pPr>
              <w:widowControl w:val="0"/>
              <w:jc w:val="center"/>
              <w:rPr>
                <w:color w:val="000000"/>
                <w:sz w:val="24"/>
                <w:szCs w:val="24"/>
                <w:lang w:eastAsia="ru-RU"/>
              </w:rPr>
            </w:pPr>
          </w:p>
        </w:tc>
        <w:tc>
          <w:tcPr>
            <w:tcW w:w="548" w:type="dxa"/>
            <w:noWrap/>
            <w:vAlign w:val="center"/>
          </w:tcPr>
          <w:p w:rsidR="00F748D4" w:rsidRPr="00F14959" w:rsidRDefault="00F748D4" w:rsidP="00470433">
            <w:pPr>
              <w:widowControl w:val="0"/>
              <w:jc w:val="center"/>
              <w:rPr>
                <w:color w:val="000000"/>
                <w:sz w:val="24"/>
                <w:szCs w:val="24"/>
                <w:lang w:eastAsia="ru-RU"/>
              </w:rPr>
            </w:pPr>
          </w:p>
        </w:tc>
        <w:tc>
          <w:tcPr>
            <w:tcW w:w="548" w:type="dxa"/>
            <w:noWrap/>
            <w:vAlign w:val="center"/>
          </w:tcPr>
          <w:p w:rsidR="00F748D4" w:rsidRPr="00F14959" w:rsidRDefault="00F748D4" w:rsidP="00470433">
            <w:pPr>
              <w:widowControl w:val="0"/>
              <w:jc w:val="center"/>
              <w:rPr>
                <w:color w:val="000000"/>
                <w:sz w:val="24"/>
                <w:szCs w:val="24"/>
                <w:lang w:eastAsia="ru-RU"/>
              </w:rPr>
            </w:pPr>
          </w:p>
        </w:tc>
      </w:tr>
      <w:tr w:rsidR="00F748D4" w:rsidRPr="00F14959" w:rsidTr="00470433">
        <w:trPr>
          <w:trHeight w:val="552"/>
        </w:trPr>
        <w:tc>
          <w:tcPr>
            <w:tcW w:w="2694" w:type="dxa"/>
          </w:tcPr>
          <w:p w:rsidR="00F748D4" w:rsidRPr="00F14959" w:rsidRDefault="00F748D4" w:rsidP="00470433">
            <w:pPr>
              <w:widowControl w:val="0"/>
              <w:jc w:val="both"/>
              <w:rPr>
                <w:color w:val="000000"/>
                <w:sz w:val="24"/>
                <w:szCs w:val="24"/>
                <w:lang w:eastAsia="ru-RU"/>
              </w:rPr>
            </w:pPr>
            <w:r w:rsidRPr="00F14959">
              <w:rPr>
                <w:color w:val="000000"/>
                <w:sz w:val="24"/>
                <w:szCs w:val="24"/>
                <w:lang w:eastAsia="ru-RU"/>
              </w:rPr>
              <w:t>Рівень перинатальної смертності</w:t>
            </w:r>
          </w:p>
        </w:tc>
        <w:tc>
          <w:tcPr>
            <w:tcW w:w="2835" w:type="dxa"/>
          </w:tcPr>
          <w:p w:rsidR="00F748D4" w:rsidRPr="00F14959" w:rsidRDefault="00F748D4" w:rsidP="00470433">
            <w:pPr>
              <w:widowControl w:val="0"/>
              <w:jc w:val="both"/>
              <w:rPr>
                <w:color w:val="000000"/>
                <w:sz w:val="24"/>
                <w:szCs w:val="24"/>
                <w:lang w:eastAsia="ru-RU"/>
              </w:rPr>
            </w:pPr>
            <w:r w:rsidRPr="00F14959">
              <w:rPr>
                <w:color w:val="000000"/>
                <w:sz w:val="24"/>
                <w:szCs w:val="24"/>
                <w:lang w:eastAsia="ru-RU"/>
              </w:rPr>
              <w:t>На 1000  народжених живими і мертвими</w:t>
            </w:r>
          </w:p>
        </w:tc>
        <w:tc>
          <w:tcPr>
            <w:tcW w:w="941" w:type="dxa"/>
            <w:vAlign w:val="center"/>
          </w:tcPr>
          <w:p w:rsidR="00F748D4" w:rsidRPr="00F14959" w:rsidRDefault="00F748D4" w:rsidP="00470433">
            <w:pPr>
              <w:widowControl w:val="0"/>
              <w:jc w:val="center"/>
              <w:rPr>
                <w:color w:val="000000"/>
                <w:sz w:val="24"/>
                <w:szCs w:val="24"/>
                <w:lang w:eastAsia="ru-RU"/>
              </w:rPr>
            </w:pPr>
            <w:r w:rsidRPr="00F14959">
              <w:rPr>
                <w:color w:val="000000"/>
                <w:sz w:val="24"/>
                <w:szCs w:val="24"/>
                <w:lang w:eastAsia="ru-RU"/>
              </w:rPr>
              <w:t>8</w:t>
            </w:r>
          </w:p>
        </w:tc>
        <w:tc>
          <w:tcPr>
            <w:tcW w:w="618" w:type="dxa"/>
            <w:vAlign w:val="center"/>
          </w:tcPr>
          <w:p w:rsidR="00F748D4" w:rsidRPr="00F14959" w:rsidRDefault="00F748D4" w:rsidP="00470433">
            <w:pPr>
              <w:widowControl w:val="0"/>
              <w:jc w:val="center"/>
              <w:rPr>
                <w:color w:val="000000"/>
                <w:sz w:val="24"/>
                <w:szCs w:val="24"/>
                <w:lang w:eastAsia="ru-RU"/>
              </w:rPr>
            </w:pPr>
            <w:r w:rsidRPr="00F14959">
              <w:rPr>
                <w:color w:val="000000"/>
                <w:sz w:val="24"/>
                <w:szCs w:val="24"/>
                <w:lang w:eastAsia="ru-RU"/>
              </w:rPr>
              <w:t>6</w:t>
            </w:r>
          </w:p>
        </w:tc>
        <w:tc>
          <w:tcPr>
            <w:tcW w:w="892" w:type="dxa"/>
            <w:vAlign w:val="center"/>
          </w:tcPr>
          <w:p w:rsidR="00F748D4" w:rsidRPr="00F14959" w:rsidRDefault="00F748D4" w:rsidP="00470433">
            <w:pPr>
              <w:widowControl w:val="0"/>
              <w:jc w:val="center"/>
              <w:rPr>
                <w:color w:val="000000"/>
                <w:sz w:val="24"/>
                <w:szCs w:val="24"/>
                <w:lang w:eastAsia="ru-RU"/>
              </w:rPr>
            </w:pPr>
            <w:r w:rsidRPr="00F14959">
              <w:rPr>
                <w:color w:val="000000"/>
                <w:sz w:val="24"/>
                <w:szCs w:val="24"/>
                <w:lang w:eastAsia="ru-RU"/>
              </w:rPr>
              <w:t>0,75</w:t>
            </w:r>
          </w:p>
        </w:tc>
        <w:tc>
          <w:tcPr>
            <w:tcW w:w="548" w:type="dxa"/>
            <w:vAlign w:val="center"/>
          </w:tcPr>
          <w:p w:rsidR="00F748D4" w:rsidRPr="00F14959" w:rsidRDefault="00F748D4" w:rsidP="00470433">
            <w:pPr>
              <w:widowControl w:val="0"/>
              <w:jc w:val="center"/>
              <w:rPr>
                <w:color w:val="000000"/>
                <w:sz w:val="24"/>
                <w:szCs w:val="24"/>
                <w:lang w:eastAsia="ru-RU"/>
              </w:rPr>
            </w:pPr>
            <w:r w:rsidRPr="00F14959">
              <w:rPr>
                <w:color w:val="000000"/>
                <w:sz w:val="24"/>
                <w:szCs w:val="24"/>
                <w:lang w:eastAsia="ru-RU"/>
              </w:rPr>
              <w:t>+</w:t>
            </w:r>
          </w:p>
        </w:tc>
        <w:tc>
          <w:tcPr>
            <w:tcW w:w="548" w:type="dxa"/>
            <w:vAlign w:val="center"/>
          </w:tcPr>
          <w:p w:rsidR="00F748D4" w:rsidRPr="00F14959" w:rsidRDefault="00F748D4" w:rsidP="00470433">
            <w:pPr>
              <w:widowControl w:val="0"/>
              <w:jc w:val="center"/>
              <w:rPr>
                <w:color w:val="000000"/>
                <w:sz w:val="24"/>
                <w:szCs w:val="24"/>
                <w:lang w:eastAsia="ru-RU"/>
              </w:rPr>
            </w:pPr>
          </w:p>
        </w:tc>
        <w:tc>
          <w:tcPr>
            <w:tcW w:w="548" w:type="dxa"/>
            <w:noWrap/>
            <w:vAlign w:val="center"/>
          </w:tcPr>
          <w:p w:rsidR="00F748D4" w:rsidRPr="00F14959" w:rsidRDefault="00F748D4" w:rsidP="00470433">
            <w:pPr>
              <w:widowControl w:val="0"/>
              <w:jc w:val="center"/>
              <w:rPr>
                <w:color w:val="000000"/>
                <w:sz w:val="24"/>
                <w:szCs w:val="24"/>
                <w:lang w:eastAsia="ru-RU"/>
              </w:rPr>
            </w:pPr>
          </w:p>
        </w:tc>
        <w:tc>
          <w:tcPr>
            <w:tcW w:w="548" w:type="dxa"/>
            <w:noWrap/>
            <w:vAlign w:val="center"/>
          </w:tcPr>
          <w:p w:rsidR="00F748D4" w:rsidRPr="00F14959" w:rsidRDefault="00F748D4" w:rsidP="00470433">
            <w:pPr>
              <w:widowControl w:val="0"/>
              <w:jc w:val="center"/>
              <w:rPr>
                <w:color w:val="000000"/>
                <w:sz w:val="24"/>
                <w:szCs w:val="24"/>
                <w:lang w:eastAsia="ru-RU"/>
              </w:rPr>
            </w:pPr>
          </w:p>
        </w:tc>
      </w:tr>
      <w:tr w:rsidR="00F748D4" w:rsidRPr="00F14959" w:rsidTr="00470433">
        <w:trPr>
          <w:trHeight w:val="703"/>
        </w:trPr>
        <w:tc>
          <w:tcPr>
            <w:tcW w:w="2694" w:type="dxa"/>
          </w:tcPr>
          <w:p w:rsidR="00F748D4" w:rsidRPr="00F14959" w:rsidRDefault="00F748D4" w:rsidP="00470433">
            <w:pPr>
              <w:widowControl w:val="0"/>
              <w:jc w:val="both"/>
              <w:rPr>
                <w:color w:val="000000"/>
                <w:sz w:val="24"/>
                <w:szCs w:val="24"/>
                <w:lang w:eastAsia="ru-RU"/>
              </w:rPr>
            </w:pPr>
            <w:r w:rsidRPr="00F14959">
              <w:rPr>
                <w:color w:val="000000"/>
                <w:sz w:val="24"/>
                <w:szCs w:val="24"/>
                <w:lang w:eastAsia="ru-RU"/>
              </w:rPr>
              <w:t>Рівень неонатальної смертності</w:t>
            </w:r>
          </w:p>
        </w:tc>
        <w:tc>
          <w:tcPr>
            <w:tcW w:w="2835" w:type="dxa"/>
          </w:tcPr>
          <w:p w:rsidR="00F748D4" w:rsidRPr="00F14959" w:rsidRDefault="00F748D4" w:rsidP="00470433">
            <w:pPr>
              <w:widowControl w:val="0"/>
              <w:jc w:val="both"/>
              <w:rPr>
                <w:color w:val="000000"/>
                <w:sz w:val="24"/>
                <w:szCs w:val="24"/>
                <w:lang w:eastAsia="ru-RU"/>
              </w:rPr>
            </w:pPr>
            <w:r w:rsidRPr="00F14959">
              <w:rPr>
                <w:color w:val="000000"/>
                <w:sz w:val="24"/>
                <w:szCs w:val="24"/>
                <w:lang w:eastAsia="ru-RU"/>
              </w:rPr>
              <w:t>На 1000   живонароджених</w:t>
            </w:r>
          </w:p>
        </w:tc>
        <w:tc>
          <w:tcPr>
            <w:tcW w:w="941" w:type="dxa"/>
            <w:vAlign w:val="center"/>
          </w:tcPr>
          <w:p w:rsidR="00F748D4" w:rsidRPr="00F14959" w:rsidRDefault="00F748D4" w:rsidP="00470433">
            <w:pPr>
              <w:widowControl w:val="0"/>
              <w:jc w:val="center"/>
              <w:rPr>
                <w:color w:val="000000"/>
                <w:sz w:val="24"/>
                <w:szCs w:val="24"/>
                <w:lang w:eastAsia="ru-RU"/>
              </w:rPr>
            </w:pPr>
            <w:r w:rsidRPr="00F14959">
              <w:rPr>
                <w:color w:val="000000"/>
                <w:sz w:val="24"/>
                <w:szCs w:val="24"/>
                <w:lang w:eastAsia="ru-RU"/>
              </w:rPr>
              <w:t>4</w:t>
            </w:r>
          </w:p>
        </w:tc>
        <w:tc>
          <w:tcPr>
            <w:tcW w:w="618" w:type="dxa"/>
            <w:vAlign w:val="center"/>
          </w:tcPr>
          <w:p w:rsidR="00F748D4" w:rsidRPr="00F14959" w:rsidRDefault="00F748D4" w:rsidP="00470433">
            <w:pPr>
              <w:widowControl w:val="0"/>
              <w:jc w:val="center"/>
              <w:rPr>
                <w:color w:val="000000"/>
                <w:sz w:val="24"/>
                <w:szCs w:val="24"/>
                <w:lang w:eastAsia="ru-RU"/>
              </w:rPr>
            </w:pPr>
            <w:r w:rsidRPr="00F14959">
              <w:rPr>
                <w:color w:val="000000"/>
                <w:sz w:val="24"/>
                <w:szCs w:val="24"/>
                <w:lang w:eastAsia="ru-RU"/>
              </w:rPr>
              <w:t>6</w:t>
            </w:r>
          </w:p>
        </w:tc>
        <w:tc>
          <w:tcPr>
            <w:tcW w:w="892" w:type="dxa"/>
            <w:vAlign w:val="center"/>
          </w:tcPr>
          <w:p w:rsidR="00F748D4" w:rsidRPr="00F14959" w:rsidRDefault="00F748D4" w:rsidP="00470433">
            <w:pPr>
              <w:widowControl w:val="0"/>
              <w:jc w:val="center"/>
              <w:rPr>
                <w:color w:val="000000"/>
                <w:sz w:val="24"/>
                <w:szCs w:val="24"/>
                <w:lang w:eastAsia="ru-RU"/>
              </w:rPr>
            </w:pPr>
            <w:r w:rsidRPr="00F14959">
              <w:rPr>
                <w:color w:val="000000"/>
                <w:sz w:val="24"/>
                <w:szCs w:val="24"/>
                <w:lang w:eastAsia="ru-RU"/>
              </w:rPr>
              <w:t>1,50</w:t>
            </w:r>
          </w:p>
        </w:tc>
        <w:tc>
          <w:tcPr>
            <w:tcW w:w="548" w:type="dxa"/>
            <w:vAlign w:val="center"/>
          </w:tcPr>
          <w:p w:rsidR="00F748D4" w:rsidRPr="00F14959" w:rsidRDefault="00F748D4" w:rsidP="00470433">
            <w:pPr>
              <w:widowControl w:val="0"/>
              <w:jc w:val="center"/>
              <w:rPr>
                <w:color w:val="000000"/>
                <w:sz w:val="24"/>
                <w:szCs w:val="24"/>
                <w:lang w:eastAsia="ru-RU"/>
              </w:rPr>
            </w:pPr>
            <w:r w:rsidRPr="00F14959">
              <w:rPr>
                <w:color w:val="000000"/>
                <w:sz w:val="24"/>
                <w:szCs w:val="24"/>
                <w:lang w:eastAsia="ru-RU"/>
              </w:rPr>
              <w:t>+</w:t>
            </w:r>
          </w:p>
        </w:tc>
        <w:tc>
          <w:tcPr>
            <w:tcW w:w="548" w:type="dxa"/>
            <w:vAlign w:val="center"/>
          </w:tcPr>
          <w:p w:rsidR="00F748D4" w:rsidRPr="00F14959" w:rsidRDefault="00F748D4" w:rsidP="00470433">
            <w:pPr>
              <w:widowControl w:val="0"/>
              <w:jc w:val="center"/>
              <w:rPr>
                <w:color w:val="000000"/>
                <w:sz w:val="24"/>
                <w:szCs w:val="24"/>
                <w:lang w:eastAsia="ru-RU"/>
              </w:rPr>
            </w:pPr>
          </w:p>
        </w:tc>
        <w:tc>
          <w:tcPr>
            <w:tcW w:w="548" w:type="dxa"/>
            <w:noWrap/>
            <w:vAlign w:val="center"/>
          </w:tcPr>
          <w:p w:rsidR="00F748D4" w:rsidRPr="00F14959" w:rsidRDefault="00F748D4" w:rsidP="00470433">
            <w:pPr>
              <w:widowControl w:val="0"/>
              <w:jc w:val="center"/>
              <w:rPr>
                <w:color w:val="000000"/>
                <w:sz w:val="24"/>
                <w:szCs w:val="24"/>
                <w:lang w:eastAsia="ru-RU"/>
              </w:rPr>
            </w:pPr>
          </w:p>
        </w:tc>
        <w:tc>
          <w:tcPr>
            <w:tcW w:w="548" w:type="dxa"/>
            <w:noWrap/>
            <w:vAlign w:val="center"/>
          </w:tcPr>
          <w:p w:rsidR="00F748D4" w:rsidRPr="00F14959" w:rsidRDefault="00F748D4" w:rsidP="00470433">
            <w:pPr>
              <w:widowControl w:val="0"/>
              <w:jc w:val="center"/>
              <w:rPr>
                <w:color w:val="000000"/>
                <w:sz w:val="24"/>
                <w:szCs w:val="24"/>
                <w:lang w:eastAsia="ru-RU"/>
              </w:rPr>
            </w:pPr>
          </w:p>
        </w:tc>
      </w:tr>
      <w:tr w:rsidR="00F748D4" w:rsidRPr="00F14959" w:rsidTr="00470433">
        <w:trPr>
          <w:trHeight w:val="557"/>
        </w:trPr>
        <w:tc>
          <w:tcPr>
            <w:tcW w:w="2694" w:type="dxa"/>
          </w:tcPr>
          <w:p w:rsidR="00F748D4" w:rsidRPr="00F14959" w:rsidRDefault="00F748D4" w:rsidP="00470433">
            <w:pPr>
              <w:widowControl w:val="0"/>
              <w:jc w:val="both"/>
              <w:rPr>
                <w:color w:val="000000"/>
                <w:sz w:val="24"/>
                <w:szCs w:val="24"/>
                <w:lang w:eastAsia="ru-RU"/>
              </w:rPr>
            </w:pPr>
            <w:r w:rsidRPr="00F14959">
              <w:rPr>
                <w:color w:val="000000"/>
                <w:sz w:val="24"/>
                <w:szCs w:val="24"/>
                <w:lang w:eastAsia="ru-RU"/>
              </w:rPr>
              <w:t>Рівень материнської смертності</w:t>
            </w:r>
          </w:p>
        </w:tc>
        <w:tc>
          <w:tcPr>
            <w:tcW w:w="2835" w:type="dxa"/>
          </w:tcPr>
          <w:p w:rsidR="00F748D4" w:rsidRPr="00F14959" w:rsidRDefault="00F748D4" w:rsidP="00470433">
            <w:pPr>
              <w:widowControl w:val="0"/>
              <w:jc w:val="both"/>
              <w:rPr>
                <w:color w:val="000000"/>
                <w:sz w:val="24"/>
                <w:szCs w:val="24"/>
                <w:lang w:eastAsia="ru-RU"/>
              </w:rPr>
            </w:pPr>
            <w:r w:rsidRPr="00F14959">
              <w:rPr>
                <w:color w:val="000000"/>
                <w:sz w:val="24"/>
                <w:szCs w:val="24"/>
                <w:lang w:eastAsia="ru-RU"/>
              </w:rPr>
              <w:t>На 100000  живонароджених</w:t>
            </w:r>
          </w:p>
        </w:tc>
        <w:tc>
          <w:tcPr>
            <w:tcW w:w="941" w:type="dxa"/>
            <w:vAlign w:val="center"/>
          </w:tcPr>
          <w:p w:rsidR="00F748D4" w:rsidRPr="00F14959" w:rsidRDefault="00F748D4" w:rsidP="00470433">
            <w:pPr>
              <w:widowControl w:val="0"/>
              <w:jc w:val="center"/>
              <w:rPr>
                <w:color w:val="000000"/>
                <w:sz w:val="24"/>
                <w:szCs w:val="24"/>
                <w:lang w:eastAsia="ru-RU"/>
              </w:rPr>
            </w:pPr>
            <w:r w:rsidRPr="00F14959">
              <w:rPr>
                <w:color w:val="000000"/>
                <w:sz w:val="24"/>
                <w:szCs w:val="24"/>
                <w:lang w:eastAsia="ru-RU"/>
              </w:rPr>
              <w:t>11</w:t>
            </w:r>
          </w:p>
        </w:tc>
        <w:tc>
          <w:tcPr>
            <w:tcW w:w="618" w:type="dxa"/>
            <w:vAlign w:val="center"/>
          </w:tcPr>
          <w:p w:rsidR="00F748D4" w:rsidRPr="00F14959" w:rsidRDefault="00F748D4" w:rsidP="00470433">
            <w:pPr>
              <w:widowControl w:val="0"/>
              <w:jc w:val="center"/>
              <w:rPr>
                <w:color w:val="000000"/>
                <w:sz w:val="24"/>
                <w:szCs w:val="24"/>
                <w:lang w:eastAsia="ru-RU"/>
              </w:rPr>
            </w:pPr>
            <w:r w:rsidRPr="00F14959">
              <w:rPr>
                <w:color w:val="000000"/>
                <w:sz w:val="24"/>
                <w:szCs w:val="24"/>
                <w:lang w:eastAsia="ru-RU"/>
              </w:rPr>
              <w:t>5</w:t>
            </w:r>
          </w:p>
        </w:tc>
        <w:tc>
          <w:tcPr>
            <w:tcW w:w="892" w:type="dxa"/>
            <w:vAlign w:val="center"/>
          </w:tcPr>
          <w:p w:rsidR="00F748D4" w:rsidRPr="00F14959" w:rsidRDefault="00F748D4" w:rsidP="00470433">
            <w:pPr>
              <w:widowControl w:val="0"/>
              <w:jc w:val="center"/>
              <w:rPr>
                <w:color w:val="000000"/>
                <w:sz w:val="24"/>
                <w:szCs w:val="24"/>
                <w:lang w:eastAsia="ru-RU"/>
              </w:rPr>
            </w:pPr>
            <w:r w:rsidRPr="00F14959">
              <w:rPr>
                <w:color w:val="000000"/>
                <w:sz w:val="24"/>
                <w:szCs w:val="24"/>
                <w:lang w:eastAsia="ru-RU"/>
              </w:rPr>
              <w:t>0,45</w:t>
            </w:r>
          </w:p>
        </w:tc>
        <w:tc>
          <w:tcPr>
            <w:tcW w:w="548" w:type="dxa"/>
            <w:vAlign w:val="center"/>
          </w:tcPr>
          <w:p w:rsidR="00F748D4" w:rsidRPr="00F14959" w:rsidRDefault="00F748D4" w:rsidP="00470433">
            <w:pPr>
              <w:widowControl w:val="0"/>
              <w:jc w:val="center"/>
              <w:rPr>
                <w:color w:val="000000"/>
                <w:sz w:val="24"/>
                <w:szCs w:val="24"/>
                <w:lang w:eastAsia="ru-RU"/>
              </w:rPr>
            </w:pPr>
            <w:r w:rsidRPr="00F14959">
              <w:rPr>
                <w:color w:val="000000"/>
                <w:sz w:val="24"/>
                <w:szCs w:val="24"/>
                <w:lang w:eastAsia="ru-RU"/>
              </w:rPr>
              <w:t>+</w:t>
            </w:r>
          </w:p>
        </w:tc>
        <w:tc>
          <w:tcPr>
            <w:tcW w:w="548" w:type="dxa"/>
            <w:vAlign w:val="center"/>
          </w:tcPr>
          <w:p w:rsidR="00F748D4" w:rsidRPr="00F14959" w:rsidRDefault="00F748D4" w:rsidP="00470433">
            <w:pPr>
              <w:widowControl w:val="0"/>
              <w:jc w:val="center"/>
              <w:rPr>
                <w:color w:val="000000"/>
                <w:sz w:val="24"/>
                <w:szCs w:val="24"/>
                <w:lang w:eastAsia="ru-RU"/>
              </w:rPr>
            </w:pPr>
          </w:p>
        </w:tc>
        <w:tc>
          <w:tcPr>
            <w:tcW w:w="548" w:type="dxa"/>
            <w:noWrap/>
            <w:vAlign w:val="center"/>
          </w:tcPr>
          <w:p w:rsidR="00F748D4" w:rsidRPr="00F14959" w:rsidRDefault="00F748D4" w:rsidP="00470433">
            <w:pPr>
              <w:widowControl w:val="0"/>
              <w:jc w:val="center"/>
              <w:rPr>
                <w:color w:val="000000"/>
                <w:sz w:val="24"/>
                <w:szCs w:val="24"/>
                <w:lang w:eastAsia="ru-RU"/>
              </w:rPr>
            </w:pPr>
          </w:p>
        </w:tc>
        <w:tc>
          <w:tcPr>
            <w:tcW w:w="548" w:type="dxa"/>
            <w:noWrap/>
            <w:vAlign w:val="center"/>
          </w:tcPr>
          <w:p w:rsidR="00F748D4" w:rsidRPr="00F14959" w:rsidRDefault="00F748D4" w:rsidP="00470433">
            <w:pPr>
              <w:widowControl w:val="0"/>
              <w:jc w:val="center"/>
              <w:rPr>
                <w:color w:val="000000"/>
                <w:sz w:val="24"/>
                <w:szCs w:val="24"/>
                <w:lang w:eastAsia="ru-RU"/>
              </w:rPr>
            </w:pPr>
          </w:p>
        </w:tc>
      </w:tr>
      <w:tr w:rsidR="00F748D4" w:rsidRPr="00F14959" w:rsidTr="00470433">
        <w:trPr>
          <w:trHeight w:val="415"/>
        </w:trPr>
        <w:tc>
          <w:tcPr>
            <w:tcW w:w="2694" w:type="dxa"/>
          </w:tcPr>
          <w:p w:rsidR="00F748D4" w:rsidRPr="00F14959" w:rsidRDefault="00F748D4" w:rsidP="00470433">
            <w:pPr>
              <w:widowControl w:val="0"/>
              <w:jc w:val="both"/>
              <w:rPr>
                <w:i/>
                <w:color w:val="000000"/>
                <w:sz w:val="24"/>
                <w:szCs w:val="24"/>
                <w:lang w:eastAsia="ru-RU"/>
              </w:rPr>
            </w:pPr>
            <w:r w:rsidRPr="00F14959">
              <w:rPr>
                <w:i/>
                <w:color w:val="000000"/>
                <w:sz w:val="24"/>
                <w:szCs w:val="24"/>
                <w:lang w:eastAsia="ru-RU"/>
              </w:rPr>
              <w:t>Сума балів</w:t>
            </w:r>
          </w:p>
        </w:tc>
        <w:tc>
          <w:tcPr>
            <w:tcW w:w="2835" w:type="dxa"/>
          </w:tcPr>
          <w:p w:rsidR="00F748D4" w:rsidRPr="00F14959" w:rsidRDefault="00F748D4" w:rsidP="00470433">
            <w:pPr>
              <w:widowControl w:val="0"/>
              <w:jc w:val="center"/>
              <w:rPr>
                <w:i/>
                <w:color w:val="000000"/>
                <w:sz w:val="24"/>
                <w:szCs w:val="24"/>
                <w:lang w:eastAsia="ru-RU"/>
              </w:rPr>
            </w:pPr>
          </w:p>
        </w:tc>
        <w:tc>
          <w:tcPr>
            <w:tcW w:w="941" w:type="dxa"/>
            <w:vAlign w:val="center"/>
          </w:tcPr>
          <w:p w:rsidR="00F748D4" w:rsidRPr="00F14959" w:rsidRDefault="00F748D4" w:rsidP="00470433">
            <w:pPr>
              <w:widowControl w:val="0"/>
              <w:jc w:val="center"/>
              <w:rPr>
                <w:i/>
                <w:color w:val="000000"/>
                <w:sz w:val="24"/>
                <w:szCs w:val="24"/>
                <w:lang w:eastAsia="ru-RU"/>
              </w:rPr>
            </w:pPr>
          </w:p>
        </w:tc>
        <w:tc>
          <w:tcPr>
            <w:tcW w:w="618" w:type="dxa"/>
            <w:vAlign w:val="center"/>
          </w:tcPr>
          <w:p w:rsidR="00F748D4" w:rsidRPr="00F14959" w:rsidRDefault="00F748D4" w:rsidP="00470433">
            <w:pPr>
              <w:widowControl w:val="0"/>
              <w:jc w:val="center"/>
              <w:rPr>
                <w:i/>
                <w:color w:val="000000"/>
                <w:sz w:val="24"/>
                <w:szCs w:val="24"/>
                <w:lang w:eastAsia="ru-RU"/>
              </w:rPr>
            </w:pPr>
            <w:r w:rsidRPr="00F14959">
              <w:rPr>
                <w:i/>
                <w:color w:val="000000"/>
                <w:sz w:val="24"/>
                <w:szCs w:val="24"/>
                <w:lang w:eastAsia="ru-RU"/>
              </w:rPr>
              <w:t>120</w:t>
            </w:r>
          </w:p>
        </w:tc>
        <w:tc>
          <w:tcPr>
            <w:tcW w:w="892" w:type="dxa"/>
            <w:vAlign w:val="center"/>
          </w:tcPr>
          <w:p w:rsidR="00F748D4" w:rsidRPr="00F14959" w:rsidRDefault="00F748D4" w:rsidP="00470433">
            <w:pPr>
              <w:widowControl w:val="0"/>
              <w:jc w:val="center"/>
              <w:rPr>
                <w:i/>
                <w:color w:val="000000"/>
                <w:sz w:val="24"/>
                <w:szCs w:val="24"/>
                <w:lang w:eastAsia="ru-RU"/>
              </w:rPr>
            </w:pPr>
          </w:p>
        </w:tc>
        <w:tc>
          <w:tcPr>
            <w:tcW w:w="548" w:type="dxa"/>
            <w:vAlign w:val="center"/>
          </w:tcPr>
          <w:p w:rsidR="00F748D4" w:rsidRPr="00F14959" w:rsidRDefault="00F748D4" w:rsidP="00470433">
            <w:pPr>
              <w:widowControl w:val="0"/>
              <w:jc w:val="center"/>
              <w:rPr>
                <w:i/>
                <w:color w:val="000000"/>
                <w:sz w:val="24"/>
                <w:szCs w:val="24"/>
                <w:lang w:eastAsia="ru-RU"/>
              </w:rPr>
            </w:pPr>
          </w:p>
        </w:tc>
        <w:tc>
          <w:tcPr>
            <w:tcW w:w="548" w:type="dxa"/>
            <w:vAlign w:val="center"/>
          </w:tcPr>
          <w:p w:rsidR="00F748D4" w:rsidRPr="00F14959" w:rsidRDefault="00F748D4" w:rsidP="00470433">
            <w:pPr>
              <w:widowControl w:val="0"/>
              <w:jc w:val="center"/>
              <w:rPr>
                <w:i/>
                <w:color w:val="000000"/>
                <w:sz w:val="24"/>
                <w:szCs w:val="24"/>
                <w:lang w:eastAsia="ru-RU"/>
              </w:rPr>
            </w:pPr>
          </w:p>
        </w:tc>
        <w:tc>
          <w:tcPr>
            <w:tcW w:w="548" w:type="dxa"/>
            <w:noWrap/>
            <w:vAlign w:val="center"/>
          </w:tcPr>
          <w:p w:rsidR="00F748D4" w:rsidRPr="00F14959" w:rsidRDefault="00F748D4" w:rsidP="00470433">
            <w:pPr>
              <w:widowControl w:val="0"/>
              <w:jc w:val="center"/>
              <w:rPr>
                <w:i/>
                <w:color w:val="000000"/>
                <w:sz w:val="24"/>
                <w:szCs w:val="24"/>
                <w:lang w:eastAsia="ru-RU"/>
              </w:rPr>
            </w:pPr>
          </w:p>
        </w:tc>
        <w:tc>
          <w:tcPr>
            <w:tcW w:w="548" w:type="dxa"/>
            <w:noWrap/>
            <w:vAlign w:val="center"/>
          </w:tcPr>
          <w:p w:rsidR="00F748D4" w:rsidRPr="00F14959" w:rsidRDefault="00F748D4" w:rsidP="00470433">
            <w:pPr>
              <w:widowControl w:val="0"/>
              <w:jc w:val="center"/>
              <w:rPr>
                <w:i/>
                <w:color w:val="000000"/>
                <w:sz w:val="24"/>
                <w:szCs w:val="24"/>
                <w:lang w:eastAsia="ru-RU"/>
              </w:rPr>
            </w:pPr>
          </w:p>
        </w:tc>
      </w:tr>
    </w:tbl>
    <w:p w:rsidR="00F748D4" w:rsidRPr="00006A39" w:rsidRDefault="00F748D4" w:rsidP="00721203">
      <w:pPr>
        <w:widowControl w:val="0"/>
        <w:ind w:firstLine="709"/>
        <w:rPr>
          <w:rFonts w:eastAsia="Times New Roman"/>
          <w:szCs w:val="28"/>
          <w:shd w:val="clear" w:color="auto" w:fill="FFFFFF"/>
          <w:lang w:eastAsia="ru-RU"/>
        </w:rPr>
      </w:pPr>
    </w:p>
    <w:p w:rsidR="003B67F9" w:rsidRPr="00006A39" w:rsidRDefault="003B67F9" w:rsidP="00721203">
      <w:pPr>
        <w:widowControl w:val="0"/>
        <w:ind w:firstLine="709"/>
        <w:rPr>
          <w:rFonts w:eastAsia="Times New Roman"/>
          <w:szCs w:val="28"/>
          <w:shd w:val="clear" w:color="auto" w:fill="FFFFFF"/>
          <w:lang w:eastAsia="ru-RU"/>
        </w:rPr>
      </w:pPr>
      <w:r w:rsidRPr="00006A39">
        <w:rPr>
          <w:rFonts w:eastAsia="Times New Roman"/>
          <w:szCs w:val="28"/>
          <w:shd w:val="clear" w:color="auto" w:fill="FFFFFF"/>
          <w:lang w:eastAsia="ru-RU"/>
        </w:rPr>
        <w:t xml:space="preserve">Слід зазначити, що показники для оцінки діяльності перинатальної служби (нормативне значення і оціночна є примірними і </w:t>
      </w:r>
      <w:r w:rsidR="001D1972" w:rsidRPr="00006A39">
        <w:rPr>
          <w:rFonts w:eastAsia="Times New Roman"/>
          <w:szCs w:val="28"/>
          <w:shd w:val="clear" w:color="auto" w:fill="FFFFFF"/>
          <w:lang w:eastAsia="ru-RU"/>
        </w:rPr>
        <w:t>динамічними</w:t>
      </w:r>
      <w:r w:rsidRPr="00006A39">
        <w:rPr>
          <w:rFonts w:eastAsia="Times New Roman"/>
          <w:szCs w:val="28"/>
          <w:shd w:val="clear" w:color="auto" w:fill="FFFFFF"/>
          <w:lang w:eastAsia="ru-RU"/>
        </w:rPr>
        <w:t>) в МКО можуть змінюватись в залежності від поставлених завдань, досягнутих результатів, тощо. Так, у 2018 р. у зв’язку з відміною моніторингу і оцінки РПД з пере</w:t>
      </w:r>
      <w:r w:rsidR="0054688F">
        <w:rPr>
          <w:rFonts w:eastAsia="Times New Roman"/>
          <w:szCs w:val="28"/>
          <w:shd w:val="clear" w:color="auto" w:fill="FFFFFF"/>
          <w:lang w:eastAsia="ru-RU"/>
        </w:rPr>
        <w:t>ліку оцінюваних показників виключено</w:t>
      </w:r>
      <w:r w:rsidRPr="00006A39">
        <w:rPr>
          <w:rFonts w:eastAsia="Times New Roman"/>
          <w:szCs w:val="28"/>
          <w:shd w:val="clear" w:color="auto" w:fill="FFFFFF"/>
          <w:lang w:eastAsia="ru-RU"/>
        </w:rPr>
        <w:t xml:space="preserve"> індекси концентрації </w:t>
      </w:r>
      <w:r w:rsidRPr="00006A39">
        <w:rPr>
          <w:rFonts w:eastAsia="Times New Roman"/>
          <w:szCs w:val="28"/>
          <w:lang w:eastAsia="ru-RU"/>
        </w:rPr>
        <w:t>розродження вагітних з цукровим діабетом у ЗПД ІІІ рівня, з прееклампсією і еклампсією у ЗПД ІІ-ІІІ рівнів та індекс концентрації новонароджених масою тіла при народженні 500-1499</w:t>
      </w:r>
      <w:r w:rsidR="0083032F">
        <w:rPr>
          <w:rFonts w:eastAsia="Times New Roman"/>
          <w:szCs w:val="28"/>
          <w:lang w:eastAsia="ru-RU"/>
        </w:rPr>
        <w:t xml:space="preserve"> </w:t>
      </w:r>
      <w:r w:rsidRPr="00006A39">
        <w:rPr>
          <w:rFonts w:eastAsia="Times New Roman"/>
          <w:szCs w:val="28"/>
          <w:lang w:eastAsia="ru-RU"/>
        </w:rPr>
        <w:t xml:space="preserve">г у ЗПД ІІІ рівня. Водночас у 2018 р. перелік показників діяльності перинатальної служби доповнено показниками професійного рівня спеціалістів за даними атестації акушер-гінекологів (контрольний показник 90%, оцінка нормативу в балах – 6, оцінки відхилення в балах 0,07) та педіатрів-неонатологів (80%; 6; 0,08 відповідно), своєчасності діагностики злоякісних новоутворень молочної залози (80%; 6; 0,07) і шийки матки (80%; 6; 0,07), рівня ранньої неонатальної </w:t>
      </w:r>
      <w:r w:rsidR="001D1972" w:rsidRPr="00006A39">
        <w:rPr>
          <w:rFonts w:eastAsia="Times New Roman"/>
          <w:szCs w:val="28"/>
          <w:lang w:eastAsia="ru-RU"/>
        </w:rPr>
        <w:t>смертності</w:t>
      </w:r>
      <w:r w:rsidRPr="00006A39">
        <w:rPr>
          <w:rFonts w:eastAsia="Times New Roman"/>
          <w:szCs w:val="28"/>
          <w:lang w:eastAsia="ru-RU"/>
        </w:rPr>
        <w:t xml:space="preserve"> (2,6‰; 6; 1,5), </w:t>
      </w:r>
      <w:r w:rsidRPr="00006A39">
        <w:rPr>
          <w:rFonts w:eastAsia="Times New Roman"/>
          <w:szCs w:val="28"/>
          <w:lang w:eastAsia="ru-RU"/>
        </w:rPr>
        <w:lastRenderedPageBreak/>
        <w:t>достовірності реєстрації ранньої неонатальної смертності за даними співвідношення реального і фактичного її рівнів (1,5; 6; 4,0) відповідно.</w:t>
      </w:r>
    </w:p>
    <w:p w:rsidR="003B67F9" w:rsidRPr="00006A39" w:rsidRDefault="003B67F9" w:rsidP="00721203">
      <w:pPr>
        <w:widowControl w:val="0"/>
        <w:ind w:firstLine="709"/>
        <w:rPr>
          <w:rFonts w:eastAsia="Times New Roman"/>
          <w:szCs w:val="28"/>
          <w:shd w:val="clear" w:color="auto" w:fill="FFFFFF"/>
          <w:lang w:eastAsia="ru-RU"/>
        </w:rPr>
      </w:pPr>
      <w:r w:rsidRPr="00006A39">
        <w:rPr>
          <w:rFonts w:eastAsia="Times New Roman"/>
          <w:szCs w:val="28"/>
          <w:shd w:val="clear" w:color="auto" w:fill="FFFFFF"/>
          <w:lang w:eastAsia="ru-RU"/>
        </w:rPr>
        <w:t xml:space="preserve">Наступним завданням дослідження стала </w:t>
      </w:r>
      <w:r w:rsidRPr="00006A39">
        <w:rPr>
          <w:rFonts w:eastAsia="Times New Roman"/>
          <w:noProof/>
          <w:szCs w:val="28"/>
          <w:lang w:eastAsia="ru-RU"/>
        </w:rPr>
        <w:t xml:space="preserve">розробка технології комплексної оцінки </w:t>
      </w:r>
      <w:r w:rsidR="00B84EB4">
        <w:rPr>
          <w:rFonts w:eastAsia="Times New Roman"/>
          <w:noProof/>
          <w:szCs w:val="28"/>
          <w:lang w:eastAsia="ru-RU"/>
        </w:rPr>
        <w:t>ЗПД</w:t>
      </w:r>
      <w:r w:rsidRPr="00006A39">
        <w:rPr>
          <w:rFonts w:eastAsia="Times New Roman"/>
          <w:noProof/>
          <w:szCs w:val="28"/>
          <w:lang w:eastAsia="ru-RU"/>
        </w:rPr>
        <w:t xml:space="preserve"> І, ІІ і ІІІ рівнів.</w:t>
      </w:r>
      <w:r w:rsidRPr="00006A39">
        <w:rPr>
          <w:rFonts w:eastAsia="Times New Roman"/>
          <w:szCs w:val="28"/>
          <w:shd w:val="clear" w:color="auto" w:fill="FFFFFF"/>
          <w:lang w:eastAsia="ru-RU"/>
        </w:rPr>
        <w:t xml:space="preserve"> </w:t>
      </w:r>
      <w:r w:rsidRPr="00006A39">
        <w:rPr>
          <w:rFonts w:eastAsia="Times New Roman"/>
          <w:szCs w:val="28"/>
          <w:lang w:eastAsia="ru-RU"/>
        </w:rPr>
        <w:t>Це викликано потребою удосконалення системи охорони здоров'я на різних рівнях та проведенням оцінки даних процесів, здійснюючи аналіз дієвості та результативності.</w:t>
      </w:r>
      <w:r w:rsidRPr="00006A39">
        <w:rPr>
          <w:rFonts w:eastAsia="Times New Roman"/>
          <w:szCs w:val="28"/>
          <w:shd w:val="clear" w:color="auto" w:fill="FFFFFF"/>
          <w:lang w:eastAsia="ru-RU"/>
        </w:rPr>
        <w:t xml:space="preserve"> Тому після </w:t>
      </w:r>
      <w:r w:rsidRPr="00006A39">
        <w:rPr>
          <w:rFonts w:eastAsia="Times New Roman"/>
          <w:szCs w:val="28"/>
          <w:lang w:eastAsia="ru-RU"/>
        </w:rPr>
        <w:t>розробки</w:t>
      </w:r>
      <w:r w:rsidRPr="00006A39">
        <w:rPr>
          <w:rFonts w:eastAsia="Calibri"/>
          <w:szCs w:val="28"/>
        </w:rPr>
        <w:t xml:space="preserve"> </w:t>
      </w:r>
      <w:r w:rsidRPr="00006A39">
        <w:rPr>
          <w:rFonts w:eastAsia="Times New Roman"/>
          <w:szCs w:val="28"/>
          <w:lang w:eastAsia="ru-RU"/>
        </w:rPr>
        <w:t>методології комплексної оцінки діяльності служби перинатальної допомоги і апробації моделі комплексної оцінки діяльності закладів перинатальної допомоги,</w:t>
      </w:r>
      <w:r w:rsidRPr="00006A39">
        <w:rPr>
          <w:rFonts w:eastAsia="Calibri"/>
          <w:szCs w:val="28"/>
        </w:rPr>
        <w:t xml:space="preserve"> на підставі даної методології </w:t>
      </w:r>
      <w:r w:rsidRPr="00006A39">
        <w:rPr>
          <w:rFonts w:eastAsia="Times New Roman"/>
          <w:szCs w:val="28"/>
          <w:lang w:eastAsia="ru-RU"/>
        </w:rPr>
        <w:t xml:space="preserve">нами розроблено </w:t>
      </w:r>
      <w:r w:rsidR="00841F5C">
        <w:rPr>
          <w:rFonts w:eastAsia="Times New Roman"/>
          <w:szCs w:val="28"/>
          <w:lang w:eastAsia="ru-RU"/>
        </w:rPr>
        <w:t xml:space="preserve">МКО </w:t>
      </w:r>
      <w:r w:rsidRPr="00006A39">
        <w:rPr>
          <w:rFonts w:eastAsia="Times New Roman"/>
          <w:szCs w:val="28"/>
          <w:lang w:eastAsia="ru-RU"/>
        </w:rPr>
        <w:t xml:space="preserve">діяльності ЗПД І, ІІ і ІІІ рівнів перинатальної допомоги. </w:t>
      </w:r>
    </w:p>
    <w:p w:rsidR="003B67F9" w:rsidRPr="00006A39" w:rsidRDefault="003B67F9" w:rsidP="0072120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rFonts w:eastAsia="Times New Roman"/>
          <w:szCs w:val="28"/>
          <w:lang w:eastAsia="ru-RU"/>
        </w:rPr>
      </w:pPr>
      <w:r w:rsidRPr="00006A39">
        <w:rPr>
          <w:rFonts w:eastAsia="Times New Roman"/>
          <w:szCs w:val="28"/>
          <w:lang w:eastAsia="ru-RU"/>
        </w:rPr>
        <w:t xml:space="preserve">Слід відмітити, що система регіоналізації перинатальної допомоги в Україні відповідає рекомендаціям ВООЗ з цих питань і відрізняється від регламентованих Законом України </w:t>
      </w:r>
      <w:bookmarkStart w:id="1" w:name="1"/>
      <w:bookmarkEnd w:id="1"/>
      <w:r w:rsidRPr="00006A39">
        <w:rPr>
          <w:rFonts w:eastAsia="Times New Roman"/>
          <w:szCs w:val="28"/>
          <w:lang w:eastAsia="ru-RU"/>
        </w:rPr>
        <w:t xml:space="preserve">від </w:t>
      </w:r>
      <w:r w:rsidR="00846C61">
        <w:rPr>
          <w:rFonts w:eastAsia="Times New Roman"/>
          <w:bCs/>
          <w:szCs w:val="28"/>
          <w:lang w:eastAsia="ru-RU"/>
        </w:rPr>
        <w:t>07.07.2011 №</w:t>
      </w:r>
      <w:r w:rsidRPr="00006A39">
        <w:rPr>
          <w:rFonts w:eastAsia="Times New Roman"/>
          <w:bCs/>
          <w:szCs w:val="28"/>
          <w:lang w:eastAsia="ru-RU"/>
        </w:rPr>
        <w:t>3611</w:t>
      </w:r>
      <w:r w:rsidRPr="00006A39">
        <w:rPr>
          <w:rFonts w:eastAsia="Times New Roman"/>
          <w:szCs w:val="28"/>
          <w:lang w:eastAsia="ru-RU"/>
        </w:rPr>
        <w:t xml:space="preserve"> «Про внесення змін до Основ законодавства України про охорону здоров'я щодо удосконалення надання медичної допомоги» видів медичної допомоги – екстрена, первинна, вторинна (спеціалізована), третинна (високоспеціалізована), палі</w:t>
      </w:r>
      <w:r w:rsidR="00F14959">
        <w:rPr>
          <w:rFonts w:eastAsia="Times New Roman"/>
          <w:szCs w:val="28"/>
          <w:lang w:eastAsia="ru-RU"/>
        </w:rPr>
        <w:t>ативна, медична реабілітація [</w:t>
      </w:r>
      <w:r w:rsidR="005C0E85">
        <w:rPr>
          <w:rFonts w:eastAsia="Times New Roman"/>
          <w:szCs w:val="28"/>
          <w:lang w:eastAsia="ru-RU"/>
        </w:rPr>
        <w:t xml:space="preserve">263, </w:t>
      </w:r>
      <w:r w:rsidR="00F14959">
        <w:rPr>
          <w:rFonts w:eastAsia="Times New Roman"/>
          <w:szCs w:val="28"/>
          <w:lang w:eastAsia="ru-RU"/>
        </w:rPr>
        <w:t>3</w:t>
      </w:r>
      <w:r w:rsidR="00F14959" w:rsidRPr="00F14959">
        <w:rPr>
          <w:rFonts w:eastAsia="Times New Roman"/>
          <w:szCs w:val="28"/>
          <w:lang w:eastAsia="ru-RU"/>
        </w:rPr>
        <w:t>56</w:t>
      </w:r>
      <w:r w:rsidRPr="00006A39">
        <w:rPr>
          <w:rFonts w:eastAsia="Times New Roman"/>
          <w:szCs w:val="28"/>
          <w:lang w:eastAsia="ru-RU"/>
        </w:rPr>
        <w:t>]. У відповідності до Наказів МОЗ України від 31.10.2011 р.</w:t>
      </w:r>
      <w:r w:rsidRPr="00006A39">
        <w:rPr>
          <w:rFonts w:eastAsia="Calibri"/>
          <w:szCs w:val="28"/>
        </w:rPr>
        <w:t xml:space="preserve"> </w:t>
      </w:r>
      <w:r w:rsidRPr="00006A39">
        <w:rPr>
          <w:rFonts w:eastAsia="Times New Roman"/>
          <w:szCs w:val="28"/>
          <w:lang w:eastAsia="ru-RU"/>
        </w:rPr>
        <w:t xml:space="preserve">№726 «Про вдосконалення організації надання медичної допомоги матерям та новонародженим у перинатальних центрах» та від </w:t>
      </w:r>
      <w:r w:rsidR="00846C61">
        <w:rPr>
          <w:rFonts w:eastAsia="Times New Roman"/>
          <w:bCs/>
          <w:szCs w:val="28"/>
          <w:shd w:val="clear" w:color="auto" w:fill="FFFFFF"/>
          <w:lang w:eastAsia="ru-RU"/>
        </w:rPr>
        <w:t>19.10.2018 р. №</w:t>
      </w:r>
      <w:r w:rsidRPr="00006A39">
        <w:rPr>
          <w:rFonts w:eastAsia="Times New Roman"/>
          <w:bCs/>
          <w:szCs w:val="28"/>
          <w:shd w:val="clear" w:color="auto" w:fill="FFFFFF"/>
          <w:lang w:eastAsia="ru-RU"/>
        </w:rPr>
        <w:t xml:space="preserve">1881 «Про затвердження Об’єму надання вторинної (спеціалізованої) медичної допомоги, що повинен забезпечуватися багатопрофільними лікарнями інтенсивного лікування першого та другого рівня, та Змін до Порядку регіоналізації перинатальної допомоги» </w:t>
      </w:r>
      <w:r w:rsidRPr="00006A39">
        <w:rPr>
          <w:rFonts w:eastAsia="Times New Roman"/>
          <w:szCs w:val="28"/>
          <w:lang w:eastAsia="ru-RU"/>
        </w:rPr>
        <w:t xml:space="preserve">порядок регіоналізації перинатальної допомоги передбачає розмежування закладів перинатальної допомоги на 3 рівні – первинний, вторинний і третинний, які визначаються мережею закладів охорони здоров’я, що надають перинатальну допомогу; категорією пацієнтів, яким надається медична допомога (ступінь перинатального ризику); наявністю можливості виїзних консультацій; можливістю транспортування пацієнтів; кваліфікацією медичного персоналу; обсягом надання медичної допомоги; рівнем матеріально-технічного оснащення; перинатальними технологіями, що використовуються в </w:t>
      </w:r>
      <w:r w:rsidR="00F14959">
        <w:rPr>
          <w:rFonts w:eastAsia="Times New Roman"/>
          <w:szCs w:val="28"/>
          <w:lang w:eastAsia="ru-RU"/>
        </w:rPr>
        <w:t>закладі охорони здоров’я [</w:t>
      </w:r>
      <w:r w:rsidR="00F14959" w:rsidRPr="00F14959">
        <w:rPr>
          <w:rFonts w:eastAsia="Times New Roman"/>
          <w:szCs w:val="28"/>
          <w:lang w:eastAsia="ru-RU"/>
        </w:rPr>
        <w:t>348, 349</w:t>
      </w:r>
      <w:r w:rsidRPr="00006A39">
        <w:rPr>
          <w:rFonts w:eastAsia="Times New Roman"/>
          <w:szCs w:val="28"/>
          <w:lang w:eastAsia="ru-RU"/>
        </w:rPr>
        <w:t>].</w:t>
      </w:r>
    </w:p>
    <w:p w:rsidR="003B67F9" w:rsidRPr="00006A39" w:rsidRDefault="003B67F9" w:rsidP="0072120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rFonts w:eastAsia="Times New Roman"/>
          <w:szCs w:val="28"/>
          <w:lang w:eastAsia="ru-RU"/>
        </w:rPr>
      </w:pPr>
      <w:r w:rsidRPr="00006A39">
        <w:rPr>
          <w:rFonts w:eastAsia="Times New Roman"/>
          <w:szCs w:val="28"/>
          <w:lang w:eastAsia="ru-RU"/>
        </w:rPr>
        <w:t xml:space="preserve">Згідно наказів МОЗ України №726 від 31.10.2011 р. та </w:t>
      </w:r>
      <w:hyperlink r:id="rId44" w:anchor="n8" w:tgtFrame="_blank" w:history="1">
        <w:r w:rsidRPr="00006A39">
          <w:rPr>
            <w:rFonts w:eastAsia="Times New Roman"/>
            <w:bCs/>
            <w:szCs w:val="28"/>
            <w:shd w:val="clear" w:color="auto" w:fill="FFFFFF"/>
            <w:lang w:eastAsia="ru-RU"/>
          </w:rPr>
          <w:t>№ 1881</w:t>
        </w:r>
      </w:hyperlink>
      <w:r w:rsidRPr="00006A39">
        <w:rPr>
          <w:rFonts w:eastAsia="Times New Roman"/>
          <w:szCs w:val="28"/>
          <w:lang w:eastAsia="ru-RU"/>
        </w:rPr>
        <w:t xml:space="preserve"> від </w:t>
      </w:r>
      <w:r w:rsidRPr="00006A39">
        <w:rPr>
          <w:rFonts w:eastAsia="Times New Roman"/>
          <w:bCs/>
          <w:szCs w:val="28"/>
          <w:shd w:val="clear" w:color="auto" w:fill="FFFFFF"/>
          <w:lang w:eastAsia="ru-RU"/>
        </w:rPr>
        <w:lastRenderedPageBreak/>
        <w:t xml:space="preserve">19.10.2018 р. </w:t>
      </w:r>
      <w:r w:rsidRPr="00006A39">
        <w:rPr>
          <w:rFonts w:eastAsia="Times New Roman"/>
          <w:szCs w:val="28"/>
          <w:lang w:eastAsia="ru-RU"/>
        </w:rPr>
        <w:t>на амбулаторному етапі до ЗОЗ І рівня перинатальної допомоги відносяться: ФАП, ФП, СЛА, ЦПМСД, амбулаторія загальної практики сімейної медицини, жіночі консультації, центри/кабінети планування сім’ї; до закладів охорони здоров’я ІІ рівня перинатальної допомоги – жіночі консультації як юридичні особи так і відокремлені структурні підрозділи міських пологових будинків, та/або міських багатопрофільних поліклінік, та/або міських багатопрофільних лікарень.</w:t>
      </w:r>
    </w:p>
    <w:p w:rsidR="003B67F9" w:rsidRPr="00B76FBD" w:rsidRDefault="003B67F9" w:rsidP="00B76FBD">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rFonts w:eastAsia="Times New Roman"/>
          <w:szCs w:val="28"/>
          <w:lang w:eastAsia="ru-RU"/>
        </w:rPr>
      </w:pPr>
      <w:r w:rsidRPr="00006A39">
        <w:rPr>
          <w:rFonts w:eastAsia="Times New Roman"/>
          <w:szCs w:val="28"/>
          <w:shd w:val="clear" w:color="auto" w:fill="FFFFFF"/>
          <w:lang w:eastAsia="ru-RU"/>
        </w:rPr>
        <w:t xml:space="preserve">Вибір використовуваних в побудові МКО діяльності </w:t>
      </w:r>
      <w:r w:rsidRPr="00006A39">
        <w:rPr>
          <w:rFonts w:eastAsia="Times New Roman"/>
          <w:szCs w:val="28"/>
          <w:lang w:eastAsia="ru-RU"/>
        </w:rPr>
        <w:t xml:space="preserve">ЗПД різних рівнів перинатальної допомоги </w:t>
      </w:r>
      <w:r w:rsidRPr="00006A39">
        <w:rPr>
          <w:rFonts w:eastAsia="Times New Roman"/>
          <w:szCs w:val="28"/>
          <w:shd w:val="clear" w:color="auto" w:fill="FFFFFF"/>
          <w:lang w:eastAsia="ru-RU"/>
        </w:rPr>
        <w:t>показників залежав від функціональних можливостей кожного ЗПД.</w:t>
      </w:r>
      <w:r w:rsidRPr="00006A39">
        <w:rPr>
          <w:rFonts w:eastAsia="Times New Roman"/>
          <w:szCs w:val="28"/>
          <w:lang w:eastAsia="ru-RU"/>
        </w:rPr>
        <w:t xml:space="preserve"> Дана МКО передбачає використання як усіх, так і окремих її компонентів для оцінки діяльності окремих структу</w:t>
      </w:r>
      <w:r w:rsidR="009B2F47">
        <w:rPr>
          <w:rFonts w:eastAsia="Times New Roman"/>
          <w:szCs w:val="28"/>
          <w:lang w:eastAsia="ru-RU"/>
        </w:rPr>
        <w:t>рних підрозділів, в тому числі</w:t>
      </w:r>
      <w:r w:rsidRPr="00006A39">
        <w:rPr>
          <w:rFonts w:eastAsia="Times New Roman"/>
          <w:szCs w:val="28"/>
          <w:lang w:eastAsia="ru-RU"/>
        </w:rPr>
        <w:t xml:space="preserve"> з надання акушерсько-гінекологічної допомоги.</w:t>
      </w:r>
    </w:p>
    <w:p w:rsidR="003B67F9" w:rsidRPr="00006A39" w:rsidRDefault="007D17DE" w:rsidP="00B76FBD">
      <w:pPr>
        <w:widowControl w:val="0"/>
        <w:spacing w:before="240" w:after="240"/>
        <w:ind w:firstLine="720"/>
        <w:rPr>
          <w:rFonts w:eastAsia="Times New Roman"/>
          <w:b/>
          <w:szCs w:val="28"/>
          <w:lang w:eastAsia="ru-RU"/>
        </w:rPr>
      </w:pPr>
      <w:r w:rsidRPr="00006A39">
        <w:rPr>
          <w:rFonts w:eastAsia="Times New Roman"/>
          <w:b/>
          <w:szCs w:val="28"/>
          <w:lang w:eastAsia="ru-RU"/>
        </w:rPr>
        <w:t>7</w:t>
      </w:r>
      <w:r w:rsidR="002D0F5C">
        <w:rPr>
          <w:rFonts w:eastAsia="Times New Roman"/>
          <w:b/>
          <w:szCs w:val="28"/>
          <w:lang w:eastAsia="ru-RU"/>
        </w:rPr>
        <w:t>.1</w:t>
      </w:r>
      <w:r w:rsidR="003B67F9" w:rsidRPr="00006A39">
        <w:rPr>
          <w:rFonts w:eastAsia="Times New Roman"/>
          <w:b/>
          <w:szCs w:val="28"/>
          <w:lang w:eastAsia="ru-RU"/>
        </w:rPr>
        <w:t xml:space="preserve">.1. Модель оцінювання якості надання медичної допомоги на догоспітальному етапі перинатальної допомоги </w:t>
      </w:r>
    </w:p>
    <w:p w:rsidR="003B67F9" w:rsidRPr="00006A39" w:rsidRDefault="003B67F9" w:rsidP="00721203">
      <w:pPr>
        <w:widowControl w:val="0"/>
        <w:ind w:firstLine="720"/>
        <w:rPr>
          <w:rFonts w:eastAsia="Times New Roman"/>
          <w:szCs w:val="28"/>
          <w:lang w:eastAsia="ru-RU"/>
        </w:rPr>
      </w:pPr>
      <w:r w:rsidRPr="00006A39">
        <w:rPr>
          <w:rFonts w:eastAsia="Times New Roman"/>
          <w:szCs w:val="28"/>
          <w:lang w:eastAsia="ru-RU"/>
        </w:rPr>
        <w:t>Наразі в Україні базова акушерсько-гінекологічна допомога на догоспітальному етапі надається спеціалістами ЦПМСД, та відокремленими структурними підрозділами акушерсько-гінекологічного профілю. На рівні первинної медико-санітарної допомоги, починаючи з ФАП, повинно здійснюватися диспансерне спостереження жінок під час вагітності, надання відповідно долікарської та лікарської допомоги,</w:t>
      </w:r>
      <w:r w:rsidR="009234B6">
        <w:rPr>
          <w:rFonts w:eastAsia="Times New Roman"/>
          <w:szCs w:val="28"/>
          <w:lang w:eastAsia="ru-RU"/>
        </w:rPr>
        <w:t xml:space="preserve"> оцінка ризику всіх пацієнтів із</w:t>
      </w:r>
      <w:r w:rsidRPr="00006A39">
        <w:rPr>
          <w:rFonts w:eastAsia="Times New Roman"/>
          <w:szCs w:val="28"/>
          <w:lang w:eastAsia="ru-RU"/>
        </w:rPr>
        <w:t xml:space="preserve"> встановленою системою розподілу, своєчасне скерування для надання спеціалізованої медичної допомоги з подальшим динамічним спостереженням у жіночих консультаціях (кабінетах) або закладах охорони здоров’я вищого рівня перинат</w:t>
      </w:r>
      <w:r w:rsidR="009234B6">
        <w:rPr>
          <w:rFonts w:eastAsia="Times New Roman"/>
          <w:szCs w:val="28"/>
          <w:lang w:eastAsia="ru-RU"/>
        </w:rPr>
        <w:t>альної допомоги та надання</w:t>
      </w:r>
      <w:r w:rsidRPr="00006A39">
        <w:rPr>
          <w:rFonts w:eastAsia="Times New Roman"/>
          <w:szCs w:val="28"/>
          <w:lang w:eastAsia="ru-RU"/>
        </w:rPr>
        <w:t xml:space="preserve"> акушерсько-гінекологічної допомоги.</w:t>
      </w:r>
    </w:p>
    <w:p w:rsidR="003B67F9" w:rsidRDefault="003B67F9" w:rsidP="00721203">
      <w:pPr>
        <w:widowControl w:val="0"/>
        <w:ind w:firstLine="708"/>
        <w:rPr>
          <w:rFonts w:eastAsia="Times New Roman"/>
          <w:szCs w:val="28"/>
          <w:lang w:eastAsia="ru-RU"/>
        </w:rPr>
      </w:pPr>
      <w:r w:rsidRPr="00006A39">
        <w:rPr>
          <w:rFonts w:eastAsia="Times New Roman"/>
          <w:szCs w:val="28"/>
          <w:lang w:eastAsia="ru-RU"/>
        </w:rPr>
        <w:t xml:space="preserve">Тому нами </w:t>
      </w:r>
      <w:r w:rsidRPr="00006A39">
        <w:rPr>
          <w:rFonts w:eastAsia="Times New Roman"/>
          <w:color w:val="FF0000"/>
          <w:szCs w:val="28"/>
          <w:lang w:eastAsia="ru-RU"/>
        </w:rPr>
        <w:t xml:space="preserve"> </w:t>
      </w:r>
      <w:r w:rsidRPr="00006A39">
        <w:rPr>
          <w:rFonts w:eastAsia="Times New Roman"/>
          <w:szCs w:val="28"/>
          <w:lang w:eastAsia="ru-RU"/>
        </w:rPr>
        <w:t>розроблено та</w:t>
      </w:r>
      <w:r w:rsidRPr="00006A39">
        <w:rPr>
          <w:rFonts w:eastAsia="Times New Roman"/>
          <w:color w:val="FF0000"/>
          <w:szCs w:val="28"/>
          <w:lang w:eastAsia="ru-RU"/>
        </w:rPr>
        <w:t xml:space="preserve"> </w:t>
      </w:r>
      <w:r w:rsidRPr="00006A39">
        <w:rPr>
          <w:rFonts w:eastAsia="Times New Roman"/>
          <w:szCs w:val="28"/>
          <w:lang w:eastAsia="ru-RU"/>
        </w:rPr>
        <w:t xml:space="preserve">запропоновано МКО діяльності структурних підрозділів для надання догоспітальної перинатальної допомоги, що включає показники базової лікарської допомоги у відповідності функцій та можливостей закладів І </w:t>
      </w:r>
      <w:r w:rsidR="00924616">
        <w:rPr>
          <w:rFonts w:eastAsia="Times New Roman"/>
          <w:szCs w:val="28"/>
          <w:lang w:eastAsia="ru-RU"/>
        </w:rPr>
        <w:t>-</w:t>
      </w:r>
      <w:r w:rsidRPr="00006A39">
        <w:rPr>
          <w:rFonts w:eastAsia="Times New Roman"/>
          <w:szCs w:val="28"/>
          <w:lang w:eastAsia="ru-RU"/>
        </w:rPr>
        <w:t>ІІ рівнів п</w:t>
      </w:r>
      <w:r w:rsidR="00161986">
        <w:rPr>
          <w:rFonts w:eastAsia="Times New Roman"/>
          <w:szCs w:val="28"/>
          <w:lang w:eastAsia="ru-RU"/>
        </w:rPr>
        <w:t>еринатальної допомоги (табл. 7.2</w:t>
      </w:r>
      <w:r w:rsidRPr="00006A39">
        <w:rPr>
          <w:rFonts w:eastAsia="Times New Roman"/>
          <w:szCs w:val="28"/>
          <w:lang w:eastAsia="ru-RU"/>
        </w:rPr>
        <w:t>).</w:t>
      </w:r>
    </w:p>
    <w:p w:rsidR="003B67F9" w:rsidRPr="00006A39" w:rsidRDefault="00161986" w:rsidP="00F40F98">
      <w:pPr>
        <w:pageBreakBefore/>
        <w:widowControl w:val="0"/>
        <w:jc w:val="right"/>
        <w:rPr>
          <w:rFonts w:eastAsia="Times New Roman"/>
          <w:i/>
          <w:szCs w:val="28"/>
          <w:lang w:eastAsia="ru-RU"/>
        </w:rPr>
      </w:pPr>
      <w:r>
        <w:rPr>
          <w:rFonts w:eastAsia="Times New Roman"/>
          <w:i/>
          <w:szCs w:val="28"/>
          <w:lang w:eastAsia="ru-RU"/>
        </w:rPr>
        <w:lastRenderedPageBreak/>
        <w:t>Таблиця 7.2</w:t>
      </w:r>
      <w:r w:rsidR="003B67F9" w:rsidRPr="00006A39">
        <w:rPr>
          <w:rFonts w:eastAsia="Times New Roman"/>
          <w:i/>
          <w:szCs w:val="28"/>
          <w:lang w:eastAsia="ru-RU"/>
        </w:rPr>
        <w:t xml:space="preserve"> </w:t>
      </w:r>
    </w:p>
    <w:p w:rsidR="003B67F9" w:rsidRPr="003A3E27" w:rsidRDefault="003B67F9" w:rsidP="00721203">
      <w:pPr>
        <w:widowControl w:val="0"/>
        <w:jc w:val="center"/>
        <w:rPr>
          <w:rFonts w:eastAsia="Times New Roman"/>
          <w:i/>
          <w:szCs w:val="28"/>
          <w:lang w:val="ru-RU" w:eastAsia="ru-RU"/>
        </w:rPr>
      </w:pPr>
      <w:r w:rsidRPr="00006A39">
        <w:rPr>
          <w:rFonts w:eastAsia="Times New Roman"/>
          <w:b/>
          <w:szCs w:val="28"/>
          <w:lang w:eastAsia="ru-RU"/>
        </w:rPr>
        <w:t xml:space="preserve">Модель комплексної оцінки діяльності структурних підрозділів ЗОЗ, що надають догоспітальну перинатальну допомоги </w:t>
      </w:r>
    </w:p>
    <w:tbl>
      <w:tblPr>
        <w:tblStyle w:val="a6"/>
        <w:tblW w:w="0" w:type="auto"/>
        <w:tblInd w:w="108" w:type="dxa"/>
        <w:tblLayout w:type="fixed"/>
        <w:tblLook w:val="04A0" w:firstRow="1" w:lastRow="0" w:firstColumn="1" w:lastColumn="0" w:noHBand="0" w:noVBand="1"/>
      </w:tblPr>
      <w:tblGrid>
        <w:gridCol w:w="2800"/>
        <w:gridCol w:w="2948"/>
        <w:gridCol w:w="773"/>
        <w:gridCol w:w="773"/>
        <w:gridCol w:w="859"/>
        <w:gridCol w:w="540"/>
        <w:gridCol w:w="540"/>
        <w:gridCol w:w="540"/>
        <w:gridCol w:w="433"/>
      </w:tblGrid>
      <w:tr w:rsidR="003B67F9" w:rsidRPr="008D4BBC" w:rsidTr="00360E81">
        <w:trPr>
          <w:trHeight w:val="3054"/>
        </w:trPr>
        <w:tc>
          <w:tcPr>
            <w:tcW w:w="2800" w:type="dxa"/>
          </w:tcPr>
          <w:p w:rsidR="003B67F9" w:rsidRPr="008D4BBC" w:rsidRDefault="004B3D5A" w:rsidP="008D4BBC">
            <w:pPr>
              <w:widowControl w:val="0"/>
              <w:spacing w:line="276" w:lineRule="auto"/>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Нормативний показник</w:t>
            </w:r>
          </w:p>
        </w:tc>
        <w:tc>
          <w:tcPr>
            <w:tcW w:w="2948" w:type="dxa"/>
          </w:tcPr>
          <w:p w:rsidR="003B67F9" w:rsidRPr="008D4BBC" w:rsidRDefault="003B67F9" w:rsidP="008D4BBC">
            <w:pPr>
              <w:widowControl w:val="0"/>
              <w:spacing w:line="276" w:lineRule="auto"/>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Методика вимірювання (обчислення)</w:t>
            </w:r>
          </w:p>
        </w:tc>
        <w:tc>
          <w:tcPr>
            <w:tcW w:w="773" w:type="dxa"/>
            <w:textDirection w:val="btLr"/>
          </w:tcPr>
          <w:p w:rsidR="003B67F9" w:rsidRPr="008D4BBC" w:rsidRDefault="003B67F9" w:rsidP="008D4BBC">
            <w:pPr>
              <w:widowControl w:val="0"/>
              <w:spacing w:line="276" w:lineRule="auto"/>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Норматив (контрольний показник)</w:t>
            </w:r>
          </w:p>
        </w:tc>
        <w:tc>
          <w:tcPr>
            <w:tcW w:w="773" w:type="dxa"/>
            <w:textDirection w:val="btLr"/>
          </w:tcPr>
          <w:p w:rsidR="003B67F9" w:rsidRPr="008D4BBC" w:rsidRDefault="003B67F9" w:rsidP="008D4BBC">
            <w:pPr>
              <w:widowControl w:val="0"/>
              <w:spacing w:line="276" w:lineRule="auto"/>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Оцінка нормативу</w:t>
            </w:r>
          </w:p>
          <w:p w:rsidR="003B67F9" w:rsidRPr="008D4BBC" w:rsidRDefault="003B67F9" w:rsidP="008D4BBC">
            <w:pPr>
              <w:widowControl w:val="0"/>
              <w:spacing w:line="276" w:lineRule="auto"/>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 бал)</w:t>
            </w:r>
          </w:p>
        </w:tc>
        <w:tc>
          <w:tcPr>
            <w:tcW w:w="859" w:type="dxa"/>
            <w:textDirection w:val="btLr"/>
          </w:tcPr>
          <w:p w:rsidR="003B67F9" w:rsidRPr="008D4BBC" w:rsidRDefault="003B67F9" w:rsidP="008D4BBC">
            <w:pPr>
              <w:widowControl w:val="0"/>
              <w:spacing w:line="276" w:lineRule="auto"/>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Оцінка відхилення в балах</w:t>
            </w:r>
          </w:p>
          <w:p w:rsidR="003B67F9" w:rsidRPr="008D4BBC" w:rsidRDefault="003B67F9" w:rsidP="008D4BBC">
            <w:pPr>
              <w:widowControl w:val="0"/>
              <w:spacing w:line="276" w:lineRule="auto"/>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на 1 одиницю виміру</w:t>
            </w:r>
          </w:p>
        </w:tc>
        <w:tc>
          <w:tcPr>
            <w:tcW w:w="540" w:type="dxa"/>
            <w:textDirection w:val="btLr"/>
          </w:tcPr>
          <w:p w:rsidR="003B67F9" w:rsidRPr="008D4BBC" w:rsidRDefault="003B67F9" w:rsidP="008D4BBC">
            <w:pPr>
              <w:widowControl w:val="0"/>
              <w:spacing w:line="276" w:lineRule="auto"/>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Знак</w:t>
            </w:r>
          </w:p>
        </w:tc>
        <w:tc>
          <w:tcPr>
            <w:tcW w:w="540" w:type="dxa"/>
            <w:textDirection w:val="btLr"/>
          </w:tcPr>
          <w:p w:rsidR="003B67F9" w:rsidRPr="008D4BBC" w:rsidRDefault="003B67F9" w:rsidP="008D4BBC">
            <w:pPr>
              <w:widowControl w:val="0"/>
              <w:spacing w:line="276" w:lineRule="auto"/>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Фактичний показник</w:t>
            </w:r>
          </w:p>
        </w:tc>
        <w:tc>
          <w:tcPr>
            <w:tcW w:w="540" w:type="dxa"/>
            <w:textDirection w:val="btLr"/>
          </w:tcPr>
          <w:p w:rsidR="003B67F9" w:rsidRPr="008D4BBC" w:rsidRDefault="003B67F9" w:rsidP="008D4BBC">
            <w:pPr>
              <w:widowControl w:val="0"/>
              <w:spacing w:line="276" w:lineRule="auto"/>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Оцінка фактичного показника</w:t>
            </w:r>
          </w:p>
        </w:tc>
        <w:tc>
          <w:tcPr>
            <w:tcW w:w="433" w:type="dxa"/>
            <w:textDirection w:val="btLr"/>
          </w:tcPr>
          <w:p w:rsidR="003B67F9" w:rsidRPr="008D4BBC" w:rsidRDefault="003B67F9" w:rsidP="008D4BBC">
            <w:pPr>
              <w:widowControl w:val="0"/>
              <w:spacing w:line="276" w:lineRule="auto"/>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КДНЗ</w:t>
            </w:r>
          </w:p>
        </w:tc>
      </w:tr>
      <w:tr w:rsidR="003B67F9" w:rsidRPr="008D4BBC" w:rsidTr="00360E81">
        <w:tc>
          <w:tcPr>
            <w:tcW w:w="2800" w:type="dxa"/>
          </w:tcPr>
          <w:p w:rsidR="003B67F9" w:rsidRPr="008D4BBC" w:rsidRDefault="003B67F9" w:rsidP="008D4BBC">
            <w:pPr>
              <w:widowControl w:val="0"/>
              <w:spacing w:line="276" w:lineRule="auto"/>
              <w:rPr>
                <w:rFonts w:ascii="Times New Roman" w:hAnsi="Times New Roman"/>
                <w:color w:val="000000"/>
                <w:sz w:val="24"/>
                <w:szCs w:val="24"/>
                <w:lang w:val="uk-UA"/>
              </w:rPr>
            </w:pPr>
            <w:r w:rsidRPr="008D4BBC">
              <w:rPr>
                <w:rFonts w:ascii="Times New Roman" w:hAnsi="Times New Roman"/>
                <w:color w:val="000000"/>
                <w:sz w:val="24"/>
                <w:szCs w:val="24"/>
                <w:lang w:val="uk-UA"/>
              </w:rPr>
              <w:t>Комп’ютеризація з доступом до Інтернет-мережі</w:t>
            </w:r>
          </w:p>
        </w:tc>
        <w:tc>
          <w:tcPr>
            <w:tcW w:w="2948" w:type="dxa"/>
          </w:tcPr>
          <w:p w:rsidR="003B67F9" w:rsidRPr="008D4BBC" w:rsidRDefault="003B67F9" w:rsidP="008D4BBC">
            <w:pPr>
              <w:widowControl w:val="0"/>
              <w:spacing w:line="276" w:lineRule="auto"/>
              <w:rPr>
                <w:rFonts w:ascii="Times New Roman" w:hAnsi="Times New Roman"/>
                <w:color w:val="000000"/>
                <w:sz w:val="24"/>
                <w:szCs w:val="24"/>
                <w:lang w:val="uk-UA"/>
              </w:rPr>
            </w:pPr>
            <w:r w:rsidRPr="008D4BBC">
              <w:rPr>
                <w:rFonts w:ascii="Times New Roman" w:hAnsi="Times New Roman"/>
                <w:color w:val="000000"/>
                <w:sz w:val="24"/>
                <w:szCs w:val="24"/>
                <w:lang w:val="uk-UA"/>
              </w:rPr>
              <w:t xml:space="preserve">Наявність у </w:t>
            </w:r>
          </w:p>
          <w:p w:rsidR="003B67F9" w:rsidRPr="008D4BBC" w:rsidRDefault="003B67F9" w:rsidP="008D4BBC">
            <w:pPr>
              <w:widowControl w:val="0"/>
              <w:spacing w:line="276" w:lineRule="auto"/>
              <w:rPr>
                <w:rFonts w:ascii="Times New Roman" w:hAnsi="Times New Roman"/>
                <w:color w:val="000000"/>
                <w:sz w:val="24"/>
                <w:szCs w:val="24"/>
                <w:lang w:val="uk-UA"/>
              </w:rPr>
            </w:pPr>
            <w:r w:rsidRPr="008D4BBC">
              <w:rPr>
                <w:rFonts w:ascii="Times New Roman" w:hAnsi="Times New Roman"/>
                <w:color w:val="000000"/>
                <w:sz w:val="24"/>
                <w:szCs w:val="24"/>
                <w:lang w:val="uk-UA"/>
              </w:rPr>
              <w:t>структурному підрозділі закладу комп’ютера з доступом до Інтернет-мережі</w:t>
            </w:r>
          </w:p>
        </w:tc>
        <w:tc>
          <w:tcPr>
            <w:tcW w:w="773" w:type="dxa"/>
          </w:tcPr>
          <w:p w:rsidR="003B67F9" w:rsidRPr="008D4BBC" w:rsidRDefault="003B67F9" w:rsidP="008D4BBC">
            <w:pPr>
              <w:widowControl w:val="0"/>
              <w:spacing w:line="276" w:lineRule="auto"/>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так</w:t>
            </w:r>
          </w:p>
        </w:tc>
        <w:tc>
          <w:tcPr>
            <w:tcW w:w="773" w:type="dxa"/>
          </w:tcPr>
          <w:p w:rsidR="003B67F9" w:rsidRPr="008D4BBC" w:rsidRDefault="003B67F9" w:rsidP="008D4BBC">
            <w:pPr>
              <w:widowControl w:val="0"/>
              <w:spacing w:line="276" w:lineRule="auto"/>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8</w:t>
            </w:r>
          </w:p>
        </w:tc>
        <w:tc>
          <w:tcPr>
            <w:tcW w:w="859" w:type="dxa"/>
          </w:tcPr>
          <w:p w:rsidR="003B67F9" w:rsidRPr="008D4BBC" w:rsidRDefault="003B67F9" w:rsidP="008D4BBC">
            <w:pPr>
              <w:widowControl w:val="0"/>
              <w:spacing w:line="276" w:lineRule="auto"/>
              <w:jc w:val="center"/>
              <w:rPr>
                <w:rFonts w:ascii="Times New Roman" w:hAnsi="Times New Roman"/>
                <w:color w:val="000000"/>
                <w:sz w:val="24"/>
                <w:szCs w:val="24"/>
                <w:lang w:val="uk-UA"/>
              </w:rPr>
            </w:pPr>
          </w:p>
        </w:tc>
        <w:tc>
          <w:tcPr>
            <w:tcW w:w="540" w:type="dxa"/>
          </w:tcPr>
          <w:p w:rsidR="003B67F9" w:rsidRPr="008D4BBC" w:rsidRDefault="003B67F9" w:rsidP="008D4BBC">
            <w:pPr>
              <w:widowControl w:val="0"/>
              <w:spacing w:line="276" w:lineRule="auto"/>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w:t>
            </w:r>
          </w:p>
        </w:tc>
        <w:tc>
          <w:tcPr>
            <w:tcW w:w="540" w:type="dxa"/>
          </w:tcPr>
          <w:p w:rsidR="003B67F9" w:rsidRPr="008D4BBC" w:rsidRDefault="003B67F9" w:rsidP="008D4BBC">
            <w:pPr>
              <w:widowControl w:val="0"/>
              <w:spacing w:line="276" w:lineRule="auto"/>
              <w:jc w:val="center"/>
              <w:rPr>
                <w:rFonts w:ascii="Times New Roman" w:hAnsi="Times New Roman"/>
                <w:color w:val="000000"/>
                <w:sz w:val="24"/>
                <w:szCs w:val="24"/>
                <w:lang w:val="uk-UA"/>
              </w:rPr>
            </w:pPr>
          </w:p>
        </w:tc>
        <w:tc>
          <w:tcPr>
            <w:tcW w:w="540" w:type="dxa"/>
          </w:tcPr>
          <w:p w:rsidR="003B67F9" w:rsidRPr="008D4BBC" w:rsidRDefault="003B67F9" w:rsidP="008D4BBC">
            <w:pPr>
              <w:widowControl w:val="0"/>
              <w:spacing w:line="276" w:lineRule="auto"/>
              <w:jc w:val="center"/>
              <w:rPr>
                <w:rFonts w:ascii="Times New Roman" w:hAnsi="Times New Roman"/>
                <w:color w:val="000000"/>
                <w:sz w:val="24"/>
                <w:szCs w:val="24"/>
                <w:lang w:val="uk-UA"/>
              </w:rPr>
            </w:pPr>
          </w:p>
        </w:tc>
        <w:tc>
          <w:tcPr>
            <w:tcW w:w="433" w:type="dxa"/>
          </w:tcPr>
          <w:p w:rsidR="003B67F9" w:rsidRPr="008D4BBC" w:rsidRDefault="003B67F9" w:rsidP="008D4BBC">
            <w:pPr>
              <w:widowControl w:val="0"/>
              <w:spacing w:line="276" w:lineRule="auto"/>
              <w:jc w:val="center"/>
              <w:rPr>
                <w:rFonts w:ascii="Times New Roman" w:hAnsi="Times New Roman"/>
                <w:color w:val="000000"/>
                <w:sz w:val="24"/>
                <w:szCs w:val="24"/>
                <w:lang w:val="uk-UA"/>
              </w:rPr>
            </w:pPr>
          </w:p>
        </w:tc>
      </w:tr>
      <w:tr w:rsidR="003B67F9" w:rsidRPr="008D4BBC" w:rsidTr="00360E81">
        <w:tc>
          <w:tcPr>
            <w:tcW w:w="2800" w:type="dxa"/>
          </w:tcPr>
          <w:p w:rsidR="003B67F9" w:rsidRPr="008D4BBC" w:rsidRDefault="003B67F9" w:rsidP="008D4BBC">
            <w:pPr>
              <w:widowControl w:val="0"/>
              <w:spacing w:line="276" w:lineRule="auto"/>
              <w:rPr>
                <w:rFonts w:ascii="Times New Roman" w:hAnsi="Times New Roman"/>
                <w:color w:val="000000"/>
                <w:sz w:val="24"/>
                <w:szCs w:val="24"/>
                <w:lang w:val="uk-UA"/>
              </w:rPr>
            </w:pPr>
            <w:r w:rsidRPr="008D4BBC">
              <w:rPr>
                <w:rFonts w:ascii="Times New Roman" w:hAnsi="Times New Roman"/>
                <w:color w:val="000000"/>
                <w:sz w:val="24"/>
                <w:szCs w:val="24"/>
                <w:lang w:val="uk-UA"/>
              </w:rPr>
              <w:t>Наявність сучасного медичного обладнання для надання прегра</w:t>
            </w:r>
            <w:r w:rsidR="001D1972" w:rsidRPr="008D4BBC">
              <w:rPr>
                <w:rFonts w:ascii="Times New Roman" w:hAnsi="Times New Roman"/>
                <w:color w:val="000000"/>
                <w:sz w:val="24"/>
                <w:szCs w:val="24"/>
                <w:lang w:val="uk-UA"/>
              </w:rPr>
              <w:t>в</w:t>
            </w:r>
            <w:r w:rsidRPr="008D4BBC">
              <w:rPr>
                <w:rFonts w:ascii="Times New Roman" w:hAnsi="Times New Roman"/>
                <w:color w:val="000000"/>
                <w:sz w:val="24"/>
                <w:szCs w:val="24"/>
                <w:lang w:val="uk-UA"/>
              </w:rPr>
              <w:t xml:space="preserve">ідарної і неонатальної медичної допомоги </w:t>
            </w:r>
          </w:p>
        </w:tc>
        <w:tc>
          <w:tcPr>
            <w:tcW w:w="2948" w:type="dxa"/>
          </w:tcPr>
          <w:p w:rsidR="003B67F9" w:rsidRPr="008D4BBC" w:rsidRDefault="003B67F9" w:rsidP="008D4BBC">
            <w:pPr>
              <w:widowControl w:val="0"/>
              <w:spacing w:line="276" w:lineRule="auto"/>
              <w:rPr>
                <w:rFonts w:ascii="Times New Roman" w:hAnsi="Times New Roman"/>
                <w:color w:val="000000"/>
                <w:sz w:val="24"/>
                <w:szCs w:val="24"/>
                <w:lang w:val="uk-UA"/>
              </w:rPr>
            </w:pPr>
            <w:r w:rsidRPr="008D4BBC">
              <w:rPr>
                <w:rFonts w:ascii="Times New Roman" w:hAnsi="Times New Roman"/>
                <w:color w:val="000000"/>
                <w:sz w:val="24"/>
                <w:szCs w:val="24"/>
                <w:lang w:val="uk-UA"/>
              </w:rPr>
              <w:t xml:space="preserve">Кількість наявного передбаченого табелем оснащення сучасного медичного обладнання </w:t>
            </w:r>
            <w:r w:rsidRPr="008D4BBC">
              <w:rPr>
                <w:rFonts w:ascii="Times New Roman" w:hAnsi="Times New Roman"/>
                <w:sz w:val="24"/>
                <w:szCs w:val="24"/>
                <w:lang w:val="uk-UA" w:eastAsia="uk-UA"/>
              </w:rPr>
              <w:t>×</w:t>
            </w:r>
            <w:r w:rsidRPr="008D4BBC">
              <w:rPr>
                <w:rFonts w:ascii="Times New Roman" w:hAnsi="Times New Roman"/>
                <w:color w:val="000000"/>
                <w:kern w:val="28"/>
                <w:sz w:val="24"/>
                <w:szCs w:val="24"/>
                <w:lang w:val="uk-UA"/>
              </w:rPr>
              <w:t xml:space="preserve"> 100</w:t>
            </w:r>
            <w:r w:rsidRPr="008D4BBC">
              <w:rPr>
                <w:rFonts w:ascii="Times New Roman" w:hAnsi="Times New Roman"/>
                <w:color w:val="000000"/>
                <w:sz w:val="24"/>
                <w:szCs w:val="24"/>
                <w:lang w:val="uk-UA"/>
              </w:rPr>
              <w:t>/ кількість передбаченого табелем оснащення сучасного медичного обладнання</w:t>
            </w:r>
          </w:p>
        </w:tc>
        <w:tc>
          <w:tcPr>
            <w:tcW w:w="773" w:type="dxa"/>
          </w:tcPr>
          <w:p w:rsidR="003B67F9" w:rsidRPr="008D4BBC" w:rsidRDefault="003B67F9" w:rsidP="008D4BBC">
            <w:pPr>
              <w:widowControl w:val="0"/>
              <w:spacing w:line="276" w:lineRule="auto"/>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95</w:t>
            </w:r>
          </w:p>
        </w:tc>
        <w:tc>
          <w:tcPr>
            <w:tcW w:w="773" w:type="dxa"/>
          </w:tcPr>
          <w:p w:rsidR="003B67F9" w:rsidRPr="008D4BBC" w:rsidRDefault="003B67F9" w:rsidP="008D4BBC">
            <w:pPr>
              <w:widowControl w:val="0"/>
              <w:spacing w:line="276" w:lineRule="auto"/>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8</w:t>
            </w:r>
          </w:p>
        </w:tc>
        <w:tc>
          <w:tcPr>
            <w:tcW w:w="859" w:type="dxa"/>
          </w:tcPr>
          <w:p w:rsidR="003B67F9" w:rsidRPr="008D4BBC" w:rsidRDefault="003B67F9" w:rsidP="008D4BBC">
            <w:pPr>
              <w:widowControl w:val="0"/>
              <w:spacing w:line="276" w:lineRule="auto"/>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0,08</w:t>
            </w:r>
          </w:p>
        </w:tc>
        <w:tc>
          <w:tcPr>
            <w:tcW w:w="540" w:type="dxa"/>
          </w:tcPr>
          <w:p w:rsidR="003B67F9" w:rsidRPr="008D4BBC" w:rsidRDefault="003B67F9" w:rsidP="008D4BBC">
            <w:pPr>
              <w:widowControl w:val="0"/>
              <w:spacing w:line="276" w:lineRule="auto"/>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w:t>
            </w:r>
          </w:p>
        </w:tc>
        <w:tc>
          <w:tcPr>
            <w:tcW w:w="540" w:type="dxa"/>
          </w:tcPr>
          <w:p w:rsidR="003B67F9" w:rsidRPr="008D4BBC" w:rsidRDefault="003B67F9" w:rsidP="008D4BBC">
            <w:pPr>
              <w:widowControl w:val="0"/>
              <w:spacing w:line="276" w:lineRule="auto"/>
              <w:jc w:val="center"/>
              <w:rPr>
                <w:rFonts w:ascii="Times New Roman" w:hAnsi="Times New Roman"/>
                <w:color w:val="000000"/>
                <w:sz w:val="24"/>
                <w:szCs w:val="24"/>
                <w:lang w:val="uk-UA"/>
              </w:rPr>
            </w:pPr>
          </w:p>
        </w:tc>
        <w:tc>
          <w:tcPr>
            <w:tcW w:w="540" w:type="dxa"/>
          </w:tcPr>
          <w:p w:rsidR="003B67F9" w:rsidRPr="008D4BBC" w:rsidRDefault="003B67F9" w:rsidP="008D4BBC">
            <w:pPr>
              <w:widowControl w:val="0"/>
              <w:spacing w:line="276" w:lineRule="auto"/>
              <w:jc w:val="center"/>
              <w:rPr>
                <w:rFonts w:ascii="Times New Roman" w:hAnsi="Times New Roman"/>
                <w:color w:val="000000"/>
                <w:sz w:val="24"/>
                <w:szCs w:val="24"/>
                <w:lang w:val="uk-UA"/>
              </w:rPr>
            </w:pPr>
          </w:p>
        </w:tc>
        <w:tc>
          <w:tcPr>
            <w:tcW w:w="433" w:type="dxa"/>
          </w:tcPr>
          <w:p w:rsidR="003B67F9" w:rsidRPr="008D4BBC" w:rsidRDefault="003B67F9" w:rsidP="008D4BBC">
            <w:pPr>
              <w:widowControl w:val="0"/>
              <w:spacing w:line="276" w:lineRule="auto"/>
              <w:rPr>
                <w:rFonts w:ascii="Times New Roman" w:hAnsi="Times New Roman"/>
                <w:color w:val="000000"/>
                <w:sz w:val="24"/>
                <w:szCs w:val="24"/>
                <w:lang w:val="uk-UA"/>
              </w:rPr>
            </w:pPr>
            <w:r w:rsidRPr="008D4BBC">
              <w:rPr>
                <w:rFonts w:ascii="Times New Roman" w:hAnsi="Times New Roman"/>
                <w:color w:val="000000"/>
                <w:sz w:val="24"/>
                <w:szCs w:val="24"/>
                <w:lang w:val="uk-UA"/>
              </w:rPr>
              <w:t>.</w:t>
            </w:r>
          </w:p>
        </w:tc>
      </w:tr>
      <w:tr w:rsidR="003B67F9" w:rsidRPr="008D4BBC" w:rsidTr="00360E81">
        <w:tc>
          <w:tcPr>
            <w:tcW w:w="2800" w:type="dxa"/>
          </w:tcPr>
          <w:p w:rsidR="003B67F9" w:rsidRPr="008D4BBC" w:rsidRDefault="003B67F9" w:rsidP="008D4BBC">
            <w:pPr>
              <w:widowControl w:val="0"/>
              <w:spacing w:line="276" w:lineRule="auto"/>
              <w:rPr>
                <w:rFonts w:ascii="Times New Roman" w:hAnsi="Times New Roman"/>
                <w:color w:val="000000"/>
                <w:sz w:val="24"/>
                <w:szCs w:val="24"/>
                <w:lang w:val="uk-UA"/>
              </w:rPr>
            </w:pPr>
            <w:r w:rsidRPr="008D4BBC">
              <w:rPr>
                <w:rFonts w:ascii="Times New Roman" w:hAnsi="Times New Roman"/>
                <w:color w:val="000000"/>
                <w:sz w:val="24"/>
                <w:szCs w:val="24"/>
                <w:lang w:val="uk-UA"/>
              </w:rPr>
              <w:t xml:space="preserve">Наявність локальних протоколів надання акушерсько-гінекологічної допомоги з маршрутами пацієнтів </w:t>
            </w:r>
          </w:p>
        </w:tc>
        <w:tc>
          <w:tcPr>
            <w:tcW w:w="2948" w:type="dxa"/>
          </w:tcPr>
          <w:p w:rsidR="003B67F9" w:rsidRPr="008D4BBC" w:rsidRDefault="003B67F9" w:rsidP="008D4BBC">
            <w:pPr>
              <w:widowControl w:val="0"/>
              <w:spacing w:line="276" w:lineRule="auto"/>
              <w:rPr>
                <w:rFonts w:ascii="Times New Roman" w:hAnsi="Times New Roman"/>
                <w:color w:val="000000"/>
                <w:sz w:val="24"/>
                <w:szCs w:val="24"/>
                <w:lang w:val="uk-UA"/>
              </w:rPr>
            </w:pPr>
            <w:r w:rsidRPr="008D4BBC">
              <w:rPr>
                <w:rFonts w:ascii="Times New Roman" w:hAnsi="Times New Roman"/>
                <w:color w:val="000000"/>
                <w:sz w:val="24"/>
                <w:szCs w:val="24"/>
                <w:lang w:val="uk-UA"/>
              </w:rPr>
              <w:t xml:space="preserve">Кількість розроблених і наявних у закладі локальних протоколів надання акушерсько-гінекологічної та неонатологічної допомоги на електронних та /або паперових носіях </w:t>
            </w:r>
            <w:r w:rsidRPr="008D4BBC">
              <w:rPr>
                <w:rFonts w:ascii="Times New Roman" w:hAnsi="Times New Roman"/>
                <w:sz w:val="24"/>
                <w:szCs w:val="24"/>
                <w:lang w:val="uk-UA" w:eastAsia="uk-UA"/>
              </w:rPr>
              <w:t>×</w:t>
            </w:r>
            <w:r w:rsidRPr="008D4BBC">
              <w:rPr>
                <w:rFonts w:ascii="Times New Roman" w:hAnsi="Times New Roman"/>
                <w:color w:val="000000"/>
                <w:kern w:val="28"/>
                <w:sz w:val="24"/>
                <w:szCs w:val="24"/>
                <w:lang w:val="uk-UA"/>
              </w:rPr>
              <w:t xml:space="preserve"> 100</w:t>
            </w:r>
            <w:r w:rsidRPr="008D4BBC">
              <w:rPr>
                <w:rFonts w:ascii="Times New Roman" w:hAnsi="Times New Roman"/>
                <w:color w:val="000000"/>
                <w:sz w:val="24"/>
                <w:szCs w:val="24"/>
                <w:lang w:val="uk-UA"/>
              </w:rPr>
              <w:t xml:space="preserve"> /кількість затверджених наказами МОЗ України клінічних протоколів </w:t>
            </w:r>
            <w:r w:rsidRPr="008D4BBC">
              <w:rPr>
                <w:rFonts w:ascii="Times New Roman" w:hAnsi="Times New Roman"/>
                <w:color w:val="000000"/>
                <w:kern w:val="28"/>
                <w:sz w:val="24"/>
                <w:szCs w:val="24"/>
                <w:lang w:val="uk-UA"/>
              </w:rPr>
              <w:t xml:space="preserve"> </w:t>
            </w:r>
          </w:p>
        </w:tc>
        <w:tc>
          <w:tcPr>
            <w:tcW w:w="773" w:type="dxa"/>
          </w:tcPr>
          <w:p w:rsidR="003B67F9" w:rsidRPr="008D4BBC" w:rsidRDefault="003B67F9" w:rsidP="008D4BBC">
            <w:pPr>
              <w:widowControl w:val="0"/>
              <w:spacing w:line="276" w:lineRule="auto"/>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95</w:t>
            </w:r>
          </w:p>
        </w:tc>
        <w:tc>
          <w:tcPr>
            <w:tcW w:w="773" w:type="dxa"/>
          </w:tcPr>
          <w:p w:rsidR="003B67F9" w:rsidRPr="008D4BBC" w:rsidRDefault="003B67F9" w:rsidP="008D4BBC">
            <w:pPr>
              <w:widowControl w:val="0"/>
              <w:spacing w:line="276" w:lineRule="auto"/>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8</w:t>
            </w:r>
          </w:p>
        </w:tc>
        <w:tc>
          <w:tcPr>
            <w:tcW w:w="859" w:type="dxa"/>
          </w:tcPr>
          <w:p w:rsidR="003B67F9" w:rsidRPr="008D4BBC" w:rsidRDefault="003B67F9" w:rsidP="008D4BBC">
            <w:pPr>
              <w:widowControl w:val="0"/>
              <w:spacing w:line="276" w:lineRule="auto"/>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0,08</w:t>
            </w:r>
          </w:p>
        </w:tc>
        <w:tc>
          <w:tcPr>
            <w:tcW w:w="540" w:type="dxa"/>
          </w:tcPr>
          <w:p w:rsidR="003B67F9" w:rsidRPr="008D4BBC" w:rsidRDefault="003B67F9" w:rsidP="008D4BBC">
            <w:pPr>
              <w:widowControl w:val="0"/>
              <w:spacing w:line="276" w:lineRule="auto"/>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w:t>
            </w:r>
          </w:p>
        </w:tc>
        <w:tc>
          <w:tcPr>
            <w:tcW w:w="540" w:type="dxa"/>
          </w:tcPr>
          <w:p w:rsidR="003B67F9" w:rsidRPr="008D4BBC" w:rsidRDefault="003B67F9" w:rsidP="008D4BBC">
            <w:pPr>
              <w:widowControl w:val="0"/>
              <w:spacing w:line="276" w:lineRule="auto"/>
              <w:jc w:val="center"/>
              <w:rPr>
                <w:rFonts w:ascii="Times New Roman" w:hAnsi="Times New Roman"/>
                <w:color w:val="000000"/>
                <w:sz w:val="24"/>
                <w:szCs w:val="24"/>
                <w:lang w:val="uk-UA"/>
              </w:rPr>
            </w:pPr>
          </w:p>
        </w:tc>
        <w:tc>
          <w:tcPr>
            <w:tcW w:w="540" w:type="dxa"/>
          </w:tcPr>
          <w:p w:rsidR="003B67F9" w:rsidRPr="008D4BBC" w:rsidRDefault="003B67F9" w:rsidP="008D4BBC">
            <w:pPr>
              <w:widowControl w:val="0"/>
              <w:spacing w:line="276" w:lineRule="auto"/>
              <w:jc w:val="center"/>
              <w:rPr>
                <w:rFonts w:ascii="Times New Roman" w:hAnsi="Times New Roman"/>
                <w:color w:val="000000"/>
                <w:sz w:val="24"/>
                <w:szCs w:val="24"/>
                <w:lang w:val="uk-UA"/>
              </w:rPr>
            </w:pPr>
          </w:p>
        </w:tc>
        <w:tc>
          <w:tcPr>
            <w:tcW w:w="433" w:type="dxa"/>
          </w:tcPr>
          <w:p w:rsidR="003B67F9" w:rsidRPr="008D4BBC" w:rsidRDefault="003B67F9" w:rsidP="008D4BBC">
            <w:pPr>
              <w:widowControl w:val="0"/>
              <w:spacing w:line="276" w:lineRule="auto"/>
              <w:rPr>
                <w:rFonts w:ascii="Times New Roman" w:hAnsi="Times New Roman"/>
                <w:color w:val="000000"/>
                <w:sz w:val="24"/>
                <w:szCs w:val="24"/>
                <w:lang w:val="uk-UA"/>
              </w:rPr>
            </w:pPr>
          </w:p>
        </w:tc>
      </w:tr>
      <w:tr w:rsidR="003B67F9" w:rsidRPr="008D4BBC" w:rsidTr="00F40F98">
        <w:trPr>
          <w:trHeight w:val="871"/>
        </w:trPr>
        <w:tc>
          <w:tcPr>
            <w:tcW w:w="2800" w:type="dxa"/>
          </w:tcPr>
          <w:p w:rsidR="003B67F9" w:rsidRPr="008D4BBC" w:rsidRDefault="003B67F9" w:rsidP="008D4BBC">
            <w:pPr>
              <w:widowControl w:val="0"/>
              <w:spacing w:line="276" w:lineRule="auto"/>
              <w:rPr>
                <w:rFonts w:ascii="Times New Roman" w:hAnsi="Times New Roman"/>
                <w:color w:val="000000"/>
                <w:sz w:val="24"/>
                <w:szCs w:val="24"/>
                <w:lang w:val="uk-UA"/>
              </w:rPr>
            </w:pPr>
            <w:r w:rsidRPr="008D4BBC">
              <w:rPr>
                <w:rFonts w:ascii="Times New Roman" w:hAnsi="Times New Roman"/>
                <w:color w:val="000000"/>
                <w:sz w:val="24"/>
                <w:szCs w:val="24"/>
                <w:lang w:val="uk-UA"/>
              </w:rPr>
              <w:t>Своєчасність постановки на облік вагітних</w:t>
            </w:r>
          </w:p>
        </w:tc>
        <w:tc>
          <w:tcPr>
            <w:tcW w:w="2948" w:type="dxa"/>
          </w:tcPr>
          <w:p w:rsidR="003B67F9" w:rsidRPr="008D4BBC" w:rsidRDefault="003B67F9" w:rsidP="008D4BBC">
            <w:pPr>
              <w:widowControl w:val="0"/>
              <w:spacing w:line="276" w:lineRule="auto"/>
              <w:rPr>
                <w:rFonts w:ascii="Times New Roman" w:hAnsi="Times New Roman"/>
                <w:color w:val="000000"/>
                <w:sz w:val="24"/>
                <w:szCs w:val="24"/>
                <w:lang w:val="uk-UA"/>
              </w:rPr>
            </w:pPr>
            <w:r w:rsidRPr="008D4BBC">
              <w:rPr>
                <w:rFonts w:ascii="Times New Roman" w:hAnsi="Times New Roman"/>
                <w:iCs/>
                <w:color w:val="000000"/>
                <w:kern w:val="28"/>
                <w:sz w:val="24"/>
                <w:szCs w:val="24"/>
                <w:lang w:val="uk-UA"/>
              </w:rPr>
              <w:t>На</w:t>
            </w:r>
            <w:r w:rsidRPr="008D4BBC">
              <w:rPr>
                <w:rFonts w:ascii="Times New Roman" w:hAnsi="Times New Roman"/>
                <w:color w:val="000000"/>
                <w:kern w:val="28"/>
                <w:sz w:val="24"/>
                <w:szCs w:val="24"/>
                <w:lang w:val="uk-UA"/>
              </w:rPr>
              <w:t xml:space="preserve"> 100 </w:t>
            </w:r>
            <w:r w:rsidRPr="008D4BBC">
              <w:rPr>
                <w:rFonts w:ascii="Times New Roman" w:hAnsi="Times New Roman"/>
                <w:iCs/>
                <w:color w:val="000000"/>
                <w:kern w:val="28"/>
                <w:sz w:val="24"/>
                <w:szCs w:val="24"/>
                <w:lang w:val="uk-UA"/>
              </w:rPr>
              <w:t>вагітних, які надійшли для нагляду</w:t>
            </w:r>
          </w:p>
        </w:tc>
        <w:tc>
          <w:tcPr>
            <w:tcW w:w="773" w:type="dxa"/>
          </w:tcPr>
          <w:p w:rsidR="003B67F9" w:rsidRPr="008D4BBC" w:rsidRDefault="003B67F9" w:rsidP="008D4BBC">
            <w:pPr>
              <w:widowControl w:val="0"/>
              <w:spacing w:line="276" w:lineRule="auto"/>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95</w:t>
            </w:r>
          </w:p>
        </w:tc>
        <w:tc>
          <w:tcPr>
            <w:tcW w:w="773" w:type="dxa"/>
          </w:tcPr>
          <w:p w:rsidR="003B67F9" w:rsidRPr="008D4BBC" w:rsidRDefault="003B67F9" w:rsidP="008D4BBC">
            <w:pPr>
              <w:widowControl w:val="0"/>
              <w:spacing w:line="276" w:lineRule="auto"/>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7</w:t>
            </w:r>
          </w:p>
        </w:tc>
        <w:tc>
          <w:tcPr>
            <w:tcW w:w="859" w:type="dxa"/>
          </w:tcPr>
          <w:p w:rsidR="003B67F9" w:rsidRPr="008D4BBC" w:rsidRDefault="003B67F9" w:rsidP="008D4BBC">
            <w:pPr>
              <w:widowControl w:val="0"/>
              <w:spacing w:line="276" w:lineRule="auto"/>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0,07</w:t>
            </w:r>
          </w:p>
        </w:tc>
        <w:tc>
          <w:tcPr>
            <w:tcW w:w="540" w:type="dxa"/>
          </w:tcPr>
          <w:p w:rsidR="003B67F9" w:rsidRPr="008D4BBC" w:rsidRDefault="003B67F9" w:rsidP="008D4BBC">
            <w:pPr>
              <w:widowControl w:val="0"/>
              <w:spacing w:line="276" w:lineRule="auto"/>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w:t>
            </w:r>
          </w:p>
        </w:tc>
        <w:tc>
          <w:tcPr>
            <w:tcW w:w="540" w:type="dxa"/>
          </w:tcPr>
          <w:p w:rsidR="003B67F9" w:rsidRPr="008D4BBC" w:rsidRDefault="003B67F9" w:rsidP="008D4BBC">
            <w:pPr>
              <w:widowControl w:val="0"/>
              <w:spacing w:line="276" w:lineRule="auto"/>
              <w:jc w:val="center"/>
              <w:rPr>
                <w:rFonts w:ascii="Times New Roman" w:hAnsi="Times New Roman"/>
                <w:color w:val="000000"/>
                <w:sz w:val="24"/>
                <w:szCs w:val="24"/>
                <w:lang w:val="uk-UA"/>
              </w:rPr>
            </w:pPr>
          </w:p>
        </w:tc>
        <w:tc>
          <w:tcPr>
            <w:tcW w:w="540" w:type="dxa"/>
          </w:tcPr>
          <w:p w:rsidR="003B67F9" w:rsidRPr="008D4BBC" w:rsidRDefault="003B67F9" w:rsidP="008D4BBC">
            <w:pPr>
              <w:widowControl w:val="0"/>
              <w:spacing w:line="276" w:lineRule="auto"/>
              <w:jc w:val="center"/>
              <w:rPr>
                <w:rFonts w:ascii="Times New Roman" w:hAnsi="Times New Roman"/>
                <w:color w:val="000000"/>
                <w:sz w:val="24"/>
                <w:szCs w:val="24"/>
                <w:lang w:val="uk-UA"/>
              </w:rPr>
            </w:pPr>
          </w:p>
        </w:tc>
        <w:tc>
          <w:tcPr>
            <w:tcW w:w="433" w:type="dxa"/>
          </w:tcPr>
          <w:p w:rsidR="003B67F9" w:rsidRPr="008D4BBC" w:rsidRDefault="003B67F9" w:rsidP="008D4BBC">
            <w:pPr>
              <w:widowControl w:val="0"/>
              <w:spacing w:line="276" w:lineRule="auto"/>
              <w:rPr>
                <w:rFonts w:ascii="Times New Roman" w:hAnsi="Times New Roman"/>
                <w:color w:val="000000"/>
                <w:sz w:val="24"/>
                <w:szCs w:val="24"/>
                <w:lang w:val="uk-UA"/>
              </w:rPr>
            </w:pPr>
          </w:p>
        </w:tc>
      </w:tr>
      <w:tr w:rsidR="0056304A" w:rsidRPr="008D4BBC" w:rsidTr="00360E81">
        <w:tc>
          <w:tcPr>
            <w:tcW w:w="2800" w:type="dxa"/>
          </w:tcPr>
          <w:p w:rsidR="0056304A" w:rsidRPr="008D4BBC" w:rsidRDefault="0056304A" w:rsidP="00470433">
            <w:pPr>
              <w:widowControl w:val="0"/>
              <w:spacing w:line="276" w:lineRule="auto"/>
              <w:rPr>
                <w:rFonts w:ascii="Times New Roman" w:hAnsi="Times New Roman"/>
                <w:color w:val="000000"/>
                <w:sz w:val="24"/>
                <w:szCs w:val="24"/>
                <w:lang w:val="uk-UA"/>
              </w:rPr>
            </w:pPr>
            <w:r w:rsidRPr="008D4BBC">
              <w:rPr>
                <w:rFonts w:ascii="Times New Roman" w:hAnsi="Times New Roman"/>
                <w:iCs/>
                <w:color w:val="000000"/>
                <w:kern w:val="28"/>
                <w:sz w:val="24"/>
                <w:szCs w:val="24"/>
                <w:lang w:val="uk-UA"/>
              </w:rPr>
              <w:t xml:space="preserve">Охоплення вагітних УЗД </w:t>
            </w:r>
          </w:p>
        </w:tc>
        <w:tc>
          <w:tcPr>
            <w:tcW w:w="2948" w:type="dxa"/>
          </w:tcPr>
          <w:p w:rsidR="0056304A" w:rsidRPr="008D4BBC" w:rsidRDefault="0056304A" w:rsidP="0056304A">
            <w:pPr>
              <w:widowControl w:val="0"/>
              <w:spacing w:line="276" w:lineRule="auto"/>
              <w:rPr>
                <w:rFonts w:ascii="Times New Roman" w:hAnsi="Times New Roman"/>
                <w:iCs/>
                <w:color w:val="000000"/>
                <w:kern w:val="28"/>
                <w:sz w:val="24"/>
                <w:szCs w:val="24"/>
                <w:lang w:val="uk-UA"/>
              </w:rPr>
            </w:pPr>
            <w:r w:rsidRPr="008D4BBC">
              <w:rPr>
                <w:rFonts w:ascii="Times New Roman" w:hAnsi="Times New Roman"/>
                <w:iCs/>
                <w:color w:val="000000"/>
                <w:kern w:val="28"/>
                <w:sz w:val="24"/>
                <w:szCs w:val="24"/>
                <w:lang w:val="uk-UA"/>
              </w:rPr>
              <w:t xml:space="preserve">Кількість вагітних, що пройшли УЗД дворазово у терміні вагітності до 21 тижня / загальну кількість </w:t>
            </w:r>
          </w:p>
        </w:tc>
        <w:tc>
          <w:tcPr>
            <w:tcW w:w="773" w:type="dxa"/>
          </w:tcPr>
          <w:p w:rsidR="0056304A" w:rsidRPr="008D4BBC" w:rsidRDefault="0056304A" w:rsidP="00470433">
            <w:pPr>
              <w:widowControl w:val="0"/>
              <w:spacing w:line="276" w:lineRule="auto"/>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95</w:t>
            </w:r>
          </w:p>
        </w:tc>
        <w:tc>
          <w:tcPr>
            <w:tcW w:w="773" w:type="dxa"/>
          </w:tcPr>
          <w:p w:rsidR="0056304A" w:rsidRPr="008D4BBC" w:rsidRDefault="0056304A" w:rsidP="00470433">
            <w:pPr>
              <w:widowControl w:val="0"/>
              <w:spacing w:line="276" w:lineRule="auto"/>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8</w:t>
            </w:r>
          </w:p>
        </w:tc>
        <w:tc>
          <w:tcPr>
            <w:tcW w:w="859" w:type="dxa"/>
          </w:tcPr>
          <w:p w:rsidR="0056304A" w:rsidRPr="008D4BBC" w:rsidRDefault="0056304A" w:rsidP="00470433">
            <w:pPr>
              <w:widowControl w:val="0"/>
              <w:spacing w:line="276" w:lineRule="auto"/>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0,08</w:t>
            </w:r>
          </w:p>
        </w:tc>
        <w:tc>
          <w:tcPr>
            <w:tcW w:w="540" w:type="dxa"/>
          </w:tcPr>
          <w:p w:rsidR="0056304A" w:rsidRPr="008D4BBC" w:rsidRDefault="0056304A" w:rsidP="00470433">
            <w:pPr>
              <w:widowControl w:val="0"/>
              <w:spacing w:line="276" w:lineRule="auto"/>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w:t>
            </w:r>
          </w:p>
        </w:tc>
        <w:tc>
          <w:tcPr>
            <w:tcW w:w="540" w:type="dxa"/>
          </w:tcPr>
          <w:p w:rsidR="0056304A" w:rsidRPr="008D4BBC" w:rsidRDefault="0056304A" w:rsidP="00470433">
            <w:pPr>
              <w:widowControl w:val="0"/>
              <w:spacing w:line="276" w:lineRule="auto"/>
              <w:jc w:val="center"/>
              <w:rPr>
                <w:rFonts w:ascii="Times New Roman" w:hAnsi="Times New Roman"/>
                <w:color w:val="000000"/>
                <w:sz w:val="24"/>
                <w:szCs w:val="24"/>
                <w:lang w:val="uk-UA"/>
              </w:rPr>
            </w:pPr>
          </w:p>
        </w:tc>
        <w:tc>
          <w:tcPr>
            <w:tcW w:w="540" w:type="dxa"/>
          </w:tcPr>
          <w:p w:rsidR="0056304A" w:rsidRPr="008D4BBC" w:rsidRDefault="0056304A" w:rsidP="00470433">
            <w:pPr>
              <w:widowControl w:val="0"/>
              <w:spacing w:line="276" w:lineRule="auto"/>
              <w:jc w:val="center"/>
              <w:rPr>
                <w:rFonts w:ascii="Times New Roman" w:hAnsi="Times New Roman"/>
                <w:color w:val="000000"/>
                <w:sz w:val="24"/>
                <w:szCs w:val="24"/>
                <w:lang w:val="uk-UA"/>
              </w:rPr>
            </w:pPr>
          </w:p>
        </w:tc>
        <w:tc>
          <w:tcPr>
            <w:tcW w:w="433" w:type="dxa"/>
          </w:tcPr>
          <w:p w:rsidR="0056304A" w:rsidRPr="008D4BBC" w:rsidRDefault="0056304A" w:rsidP="00470433">
            <w:pPr>
              <w:widowControl w:val="0"/>
              <w:spacing w:line="276" w:lineRule="auto"/>
              <w:rPr>
                <w:rFonts w:ascii="Times New Roman" w:hAnsi="Times New Roman"/>
                <w:color w:val="000000"/>
                <w:sz w:val="24"/>
                <w:szCs w:val="24"/>
                <w:lang w:val="uk-UA"/>
              </w:rPr>
            </w:pPr>
          </w:p>
        </w:tc>
      </w:tr>
    </w:tbl>
    <w:p w:rsidR="003A3E27" w:rsidRPr="003A3E27" w:rsidRDefault="003A3E27" w:rsidP="00F40F98">
      <w:pPr>
        <w:pageBreakBefore/>
        <w:tabs>
          <w:tab w:val="left" w:pos="7538"/>
        </w:tabs>
        <w:jc w:val="right"/>
        <w:rPr>
          <w:i/>
          <w:lang w:val="ru-RU"/>
        </w:rPr>
      </w:pPr>
      <w:r w:rsidRPr="003A3E27">
        <w:rPr>
          <w:i/>
          <w:lang w:val="ru-RU"/>
        </w:rPr>
        <w:lastRenderedPageBreak/>
        <w:t>Продовження табл. 7.2</w:t>
      </w:r>
    </w:p>
    <w:tbl>
      <w:tblPr>
        <w:tblStyle w:val="a6"/>
        <w:tblW w:w="0" w:type="auto"/>
        <w:tblInd w:w="108" w:type="dxa"/>
        <w:tblLayout w:type="fixed"/>
        <w:tblLook w:val="04A0" w:firstRow="1" w:lastRow="0" w:firstColumn="1" w:lastColumn="0" w:noHBand="0" w:noVBand="1"/>
      </w:tblPr>
      <w:tblGrid>
        <w:gridCol w:w="2800"/>
        <w:gridCol w:w="2948"/>
        <w:gridCol w:w="773"/>
        <w:gridCol w:w="773"/>
        <w:gridCol w:w="859"/>
        <w:gridCol w:w="540"/>
        <w:gridCol w:w="540"/>
        <w:gridCol w:w="540"/>
        <w:gridCol w:w="433"/>
      </w:tblGrid>
      <w:tr w:rsidR="003B67F9" w:rsidRPr="008D4BBC" w:rsidTr="00360E81">
        <w:tc>
          <w:tcPr>
            <w:tcW w:w="2800" w:type="dxa"/>
          </w:tcPr>
          <w:p w:rsidR="003B67F9" w:rsidRPr="008D4BBC" w:rsidRDefault="003B67F9" w:rsidP="008D4BBC">
            <w:pPr>
              <w:widowControl w:val="0"/>
              <w:spacing w:line="276" w:lineRule="auto"/>
              <w:rPr>
                <w:rFonts w:ascii="Times New Roman" w:hAnsi="Times New Roman"/>
                <w:color w:val="000000"/>
                <w:sz w:val="24"/>
                <w:szCs w:val="24"/>
                <w:lang w:val="uk-UA"/>
              </w:rPr>
            </w:pPr>
          </w:p>
        </w:tc>
        <w:tc>
          <w:tcPr>
            <w:tcW w:w="2948" w:type="dxa"/>
          </w:tcPr>
          <w:p w:rsidR="003B67F9" w:rsidRPr="008D4BBC" w:rsidRDefault="003B67F9" w:rsidP="008D4BBC">
            <w:pPr>
              <w:widowControl w:val="0"/>
              <w:spacing w:line="276" w:lineRule="auto"/>
              <w:rPr>
                <w:rFonts w:ascii="Times New Roman" w:hAnsi="Times New Roman"/>
                <w:iCs/>
                <w:color w:val="000000"/>
                <w:kern w:val="28"/>
                <w:sz w:val="24"/>
                <w:szCs w:val="24"/>
                <w:lang w:val="uk-UA"/>
              </w:rPr>
            </w:pPr>
            <w:r w:rsidRPr="008D4BBC">
              <w:rPr>
                <w:rFonts w:ascii="Times New Roman" w:hAnsi="Times New Roman"/>
                <w:iCs/>
                <w:color w:val="000000"/>
                <w:kern w:val="28"/>
                <w:sz w:val="24"/>
                <w:szCs w:val="24"/>
                <w:lang w:val="uk-UA"/>
              </w:rPr>
              <w:t xml:space="preserve">жінок, що були на обліку по вагітності і пологам </w:t>
            </w:r>
            <w:r w:rsidRPr="008D4BBC">
              <w:rPr>
                <w:rFonts w:ascii="Times New Roman" w:hAnsi="Times New Roman"/>
                <w:sz w:val="24"/>
                <w:szCs w:val="24"/>
                <w:lang w:val="uk-UA" w:eastAsia="uk-UA"/>
              </w:rPr>
              <w:t>×</w:t>
            </w:r>
            <w:r w:rsidRPr="008D4BBC">
              <w:rPr>
                <w:rFonts w:ascii="Times New Roman" w:hAnsi="Times New Roman"/>
                <w:color w:val="000000"/>
                <w:kern w:val="28"/>
                <w:sz w:val="24"/>
                <w:szCs w:val="24"/>
                <w:lang w:val="uk-UA"/>
              </w:rPr>
              <w:t xml:space="preserve"> 100</w:t>
            </w:r>
          </w:p>
        </w:tc>
        <w:tc>
          <w:tcPr>
            <w:tcW w:w="773" w:type="dxa"/>
          </w:tcPr>
          <w:p w:rsidR="003B67F9" w:rsidRPr="0056304A" w:rsidRDefault="003B67F9" w:rsidP="008D4BBC">
            <w:pPr>
              <w:widowControl w:val="0"/>
              <w:spacing w:line="276" w:lineRule="auto"/>
              <w:jc w:val="center"/>
              <w:rPr>
                <w:rFonts w:ascii="Times New Roman" w:hAnsi="Times New Roman"/>
                <w:color w:val="000000"/>
                <w:sz w:val="24"/>
                <w:szCs w:val="24"/>
              </w:rPr>
            </w:pPr>
          </w:p>
        </w:tc>
        <w:tc>
          <w:tcPr>
            <w:tcW w:w="773" w:type="dxa"/>
          </w:tcPr>
          <w:p w:rsidR="003B67F9" w:rsidRPr="0056304A" w:rsidRDefault="003B67F9" w:rsidP="008D4BBC">
            <w:pPr>
              <w:widowControl w:val="0"/>
              <w:spacing w:line="276" w:lineRule="auto"/>
              <w:jc w:val="center"/>
              <w:rPr>
                <w:rFonts w:ascii="Times New Roman" w:hAnsi="Times New Roman"/>
                <w:color w:val="000000"/>
                <w:sz w:val="24"/>
                <w:szCs w:val="24"/>
              </w:rPr>
            </w:pPr>
          </w:p>
        </w:tc>
        <w:tc>
          <w:tcPr>
            <w:tcW w:w="859" w:type="dxa"/>
          </w:tcPr>
          <w:p w:rsidR="003B67F9" w:rsidRPr="0056304A" w:rsidRDefault="003B67F9" w:rsidP="008D4BBC">
            <w:pPr>
              <w:widowControl w:val="0"/>
              <w:spacing w:line="276" w:lineRule="auto"/>
              <w:jc w:val="center"/>
              <w:rPr>
                <w:rFonts w:ascii="Times New Roman" w:hAnsi="Times New Roman"/>
                <w:color w:val="000000"/>
                <w:sz w:val="24"/>
                <w:szCs w:val="24"/>
              </w:rPr>
            </w:pPr>
          </w:p>
        </w:tc>
        <w:tc>
          <w:tcPr>
            <w:tcW w:w="540" w:type="dxa"/>
          </w:tcPr>
          <w:p w:rsidR="003B67F9" w:rsidRPr="0056304A" w:rsidRDefault="003B67F9" w:rsidP="008D4BBC">
            <w:pPr>
              <w:widowControl w:val="0"/>
              <w:spacing w:line="276" w:lineRule="auto"/>
              <w:jc w:val="center"/>
              <w:rPr>
                <w:rFonts w:ascii="Times New Roman" w:hAnsi="Times New Roman"/>
                <w:color w:val="000000"/>
                <w:sz w:val="24"/>
                <w:szCs w:val="24"/>
              </w:rPr>
            </w:pPr>
          </w:p>
        </w:tc>
        <w:tc>
          <w:tcPr>
            <w:tcW w:w="540" w:type="dxa"/>
          </w:tcPr>
          <w:p w:rsidR="003B67F9" w:rsidRPr="008D4BBC" w:rsidRDefault="003B67F9" w:rsidP="008D4BBC">
            <w:pPr>
              <w:widowControl w:val="0"/>
              <w:spacing w:line="276" w:lineRule="auto"/>
              <w:jc w:val="center"/>
              <w:rPr>
                <w:rFonts w:ascii="Times New Roman" w:hAnsi="Times New Roman"/>
                <w:color w:val="000000"/>
                <w:sz w:val="24"/>
                <w:szCs w:val="24"/>
                <w:lang w:val="uk-UA"/>
              </w:rPr>
            </w:pPr>
          </w:p>
        </w:tc>
        <w:tc>
          <w:tcPr>
            <w:tcW w:w="540" w:type="dxa"/>
          </w:tcPr>
          <w:p w:rsidR="003B67F9" w:rsidRPr="008D4BBC" w:rsidRDefault="003B67F9" w:rsidP="008D4BBC">
            <w:pPr>
              <w:widowControl w:val="0"/>
              <w:spacing w:line="276" w:lineRule="auto"/>
              <w:jc w:val="center"/>
              <w:rPr>
                <w:rFonts w:ascii="Times New Roman" w:hAnsi="Times New Roman"/>
                <w:color w:val="000000"/>
                <w:sz w:val="24"/>
                <w:szCs w:val="24"/>
                <w:lang w:val="uk-UA"/>
              </w:rPr>
            </w:pPr>
          </w:p>
        </w:tc>
        <w:tc>
          <w:tcPr>
            <w:tcW w:w="433" w:type="dxa"/>
          </w:tcPr>
          <w:p w:rsidR="003B67F9" w:rsidRPr="008D4BBC" w:rsidRDefault="003B67F9" w:rsidP="008D4BBC">
            <w:pPr>
              <w:widowControl w:val="0"/>
              <w:spacing w:line="276" w:lineRule="auto"/>
              <w:rPr>
                <w:rFonts w:ascii="Times New Roman" w:hAnsi="Times New Roman"/>
                <w:color w:val="000000"/>
                <w:sz w:val="24"/>
                <w:szCs w:val="24"/>
                <w:lang w:val="uk-UA"/>
              </w:rPr>
            </w:pPr>
          </w:p>
        </w:tc>
      </w:tr>
      <w:tr w:rsidR="003B67F9" w:rsidRPr="008D4BBC" w:rsidTr="00360E81">
        <w:tc>
          <w:tcPr>
            <w:tcW w:w="2800" w:type="dxa"/>
          </w:tcPr>
          <w:p w:rsidR="003B67F9" w:rsidRPr="008D4BBC" w:rsidRDefault="003B67F9" w:rsidP="008D4BBC">
            <w:pPr>
              <w:widowControl w:val="0"/>
              <w:spacing w:line="276" w:lineRule="auto"/>
              <w:rPr>
                <w:rFonts w:ascii="Times New Roman" w:hAnsi="Times New Roman"/>
                <w:color w:val="000000"/>
                <w:sz w:val="24"/>
                <w:szCs w:val="24"/>
                <w:lang w:val="uk-UA"/>
              </w:rPr>
            </w:pPr>
            <w:r w:rsidRPr="008D4BBC">
              <w:rPr>
                <w:rFonts w:ascii="Times New Roman" w:hAnsi="Times New Roman"/>
                <w:iCs/>
                <w:color w:val="000000"/>
                <w:kern w:val="28"/>
                <w:sz w:val="24"/>
                <w:szCs w:val="24"/>
                <w:lang w:val="uk-UA"/>
              </w:rPr>
              <w:t>Охоплення вагітних обстеженням на ВІЛ/СНІД</w:t>
            </w:r>
          </w:p>
        </w:tc>
        <w:tc>
          <w:tcPr>
            <w:tcW w:w="2948" w:type="dxa"/>
          </w:tcPr>
          <w:p w:rsidR="003B67F9" w:rsidRPr="008D4BBC" w:rsidRDefault="003B67F9" w:rsidP="008D4BBC">
            <w:pPr>
              <w:widowControl w:val="0"/>
              <w:spacing w:line="276" w:lineRule="auto"/>
              <w:rPr>
                <w:rFonts w:ascii="Times New Roman" w:hAnsi="Times New Roman"/>
                <w:iCs/>
                <w:color w:val="000000"/>
                <w:kern w:val="28"/>
                <w:sz w:val="24"/>
                <w:szCs w:val="24"/>
                <w:lang w:val="uk-UA"/>
              </w:rPr>
            </w:pPr>
            <w:r w:rsidRPr="008D4BBC">
              <w:rPr>
                <w:rFonts w:ascii="Times New Roman" w:hAnsi="Times New Roman"/>
                <w:iCs/>
                <w:color w:val="000000"/>
                <w:kern w:val="28"/>
                <w:sz w:val="24"/>
                <w:szCs w:val="24"/>
                <w:lang w:val="uk-UA"/>
              </w:rPr>
              <w:t>Кількість вагітних, що пройшли обстеженням на ВІЛ/СНІД дворазово у терміні вагітності до 23 тижн</w:t>
            </w:r>
            <w:r w:rsidR="00262C0D">
              <w:rPr>
                <w:rFonts w:ascii="Times New Roman" w:hAnsi="Times New Roman"/>
                <w:iCs/>
                <w:color w:val="000000"/>
                <w:kern w:val="28"/>
                <w:sz w:val="24"/>
                <w:szCs w:val="24"/>
                <w:lang w:val="uk-UA"/>
              </w:rPr>
              <w:t xml:space="preserve">я / загальну кількість жінок, </w:t>
            </w:r>
            <w:r w:rsidR="00BF7B84">
              <w:rPr>
                <w:rFonts w:ascii="Times New Roman" w:hAnsi="Times New Roman"/>
                <w:iCs/>
                <w:color w:val="000000"/>
                <w:kern w:val="28"/>
                <w:sz w:val="24"/>
                <w:szCs w:val="24"/>
                <w:lang w:val="uk-UA"/>
              </w:rPr>
              <w:t>що</w:t>
            </w:r>
            <w:r w:rsidRPr="008D4BBC">
              <w:rPr>
                <w:rFonts w:ascii="Times New Roman" w:hAnsi="Times New Roman"/>
                <w:iCs/>
                <w:color w:val="000000"/>
                <w:kern w:val="28"/>
                <w:sz w:val="24"/>
                <w:szCs w:val="24"/>
                <w:lang w:val="uk-UA"/>
              </w:rPr>
              <w:t xml:space="preserve"> були на обліку по вагітності і пологам </w:t>
            </w:r>
            <w:r w:rsidRPr="008D4BBC">
              <w:rPr>
                <w:rFonts w:ascii="Times New Roman" w:hAnsi="Times New Roman"/>
                <w:sz w:val="24"/>
                <w:szCs w:val="24"/>
                <w:lang w:val="uk-UA" w:eastAsia="uk-UA"/>
              </w:rPr>
              <w:t>×</w:t>
            </w:r>
            <w:r w:rsidRPr="008D4BBC">
              <w:rPr>
                <w:rFonts w:ascii="Times New Roman" w:hAnsi="Times New Roman"/>
                <w:color w:val="000000"/>
                <w:kern w:val="28"/>
                <w:sz w:val="24"/>
                <w:szCs w:val="24"/>
                <w:lang w:val="uk-UA"/>
              </w:rPr>
              <w:t xml:space="preserve"> 100</w:t>
            </w:r>
          </w:p>
        </w:tc>
        <w:tc>
          <w:tcPr>
            <w:tcW w:w="773" w:type="dxa"/>
          </w:tcPr>
          <w:p w:rsidR="003B67F9" w:rsidRPr="008D4BBC" w:rsidRDefault="003B67F9" w:rsidP="008D4BBC">
            <w:pPr>
              <w:widowControl w:val="0"/>
              <w:spacing w:line="276" w:lineRule="auto"/>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98</w:t>
            </w:r>
          </w:p>
        </w:tc>
        <w:tc>
          <w:tcPr>
            <w:tcW w:w="773" w:type="dxa"/>
          </w:tcPr>
          <w:p w:rsidR="003B67F9" w:rsidRPr="008D4BBC" w:rsidRDefault="003B67F9" w:rsidP="008D4BBC">
            <w:pPr>
              <w:widowControl w:val="0"/>
              <w:spacing w:line="276" w:lineRule="auto"/>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8</w:t>
            </w:r>
          </w:p>
        </w:tc>
        <w:tc>
          <w:tcPr>
            <w:tcW w:w="859" w:type="dxa"/>
          </w:tcPr>
          <w:p w:rsidR="003B67F9" w:rsidRPr="008D4BBC" w:rsidRDefault="003B67F9" w:rsidP="008D4BBC">
            <w:pPr>
              <w:widowControl w:val="0"/>
              <w:spacing w:line="276" w:lineRule="auto"/>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0,08</w:t>
            </w:r>
          </w:p>
        </w:tc>
        <w:tc>
          <w:tcPr>
            <w:tcW w:w="540" w:type="dxa"/>
          </w:tcPr>
          <w:p w:rsidR="003B67F9" w:rsidRPr="008D4BBC" w:rsidRDefault="003B67F9" w:rsidP="008D4BBC">
            <w:pPr>
              <w:widowControl w:val="0"/>
              <w:spacing w:line="276" w:lineRule="auto"/>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w:t>
            </w:r>
          </w:p>
        </w:tc>
        <w:tc>
          <w:tcPr>
            <w:tcW w:w="540" w:type="dxa"/>
          </w:tcPr>
          <w:p w:rsidR="003B67F9" w:rsidRPr="008D4BBC" w:rsidRDefault="003B67F9" w:rsidP="008D4BBC">
            <w:pPr>
              <w:widowControl w:val="0"/>
              <w:spacing w:line="276" w:lineRule="auto"/>
              <w:jc w:val="center"/>
              <w:rPr>
                <w:rFonts w:ascii="Times New Roman" w:hAnsi="Times New Roman"/>
                <w:color w:val="000000"/>
                <w:sz w:val="24"/>
                <w:szCs w:val="24"/>
                <w:lang w:val="uk-UA"/>
              </w:rPr>
            </w:pPr>
          </w:p>
        </w:tc>
        <w:tc>
          <w:tcPr>
            <w:tcW w:w="540" w:type="dxa"/>
          </w:tcPr>
          <w:p w:rsidR="003B67F9" w:rsidRPr="008D4BBC" w:rsidRDefault="003B67F9" w:rsidP="008D4BBC">
            <w:pPr>
              <w:widowControl w:val="0"/>
              <w:spacing w:line="276" w:lineRule="auto"/>
              <w:jc w:val="center"/>
              <w:rPr>
                <w:rFonts w:ascii="Times New Roman" w:hAnsi="Times New Roman"/>
                <w:color w:val="000000"/>
                <w:sz w:val="24"/>
                <w:szCs w:val="24"/>
                <w:lang w:val="uk-UA"/>
              </w:rPr>
            </w:pPr>
          </w:p>
        </w:tc>
        <w:tc>
          <w:tcPr>
            <w:tcW w:w="433" w:type="dxa"/>
          </w:tcPr>
          <w:p w:rsidR="003B67F9" w:rsidRPr="008D4BBC" w:rsidRDefault="003B67F9" w:rsidP="008D4BBC">
            <w:pPr>
              <w:widowControl w:val="0"/>
              <w:spacing w:line="276" w:lineRule="auto"/>
              <w:jc w:val="center"/>
              <w:rPr>
                <w:rFonts w:ascii="Times New Roman" w:hAnsi="Times New Roman"/>
                <w:color w:val="000000"/>
                <w:sz w:val="24"/>
                <w:szCs w:val="24"/>
                <w:lang w:val="uk-UA"/>
              </w:rPr>
            </w:pPr>
          </w:p>
        </w:tc>
      </w:tr>
      <w:tr w:rsidR="003B67F9" w:rsidRPr="008D4BBC" w:rsidTr="00360E81">
        <w:tc>
          <w:tcPr>
            <w:tcW w:w="2800" w:type="dxa"/>
          </w:tcPr>
          <w:p w:rsidR="003B67F9" w:rsidRPr="008D4BBC" w:rsidRDefault="003B67F9" w:rsidP="008D4BBC">
            <w:pPr>
              <w:widowControl w:val="0"/>
              <w:spacing w:line="276" w:lineRule="auto"/>
              <w:rPr>
                <w:rFonts w:ascii="Times New Roman" w:hAnsi="Times New Roman"/>
                <w:iCs/>
                <w:color w:val="000000"/>
                <w:kern w:val="28"/>
                <w:sz w:val="24"/>
                <w:szCs w:val="24"/>
                <w:lang w:val="uk-UA" w:eastAsia="uk-UA"/>
              </w:rPr>
            </w:pPr>
            <w:r w:rsidRPr="008D4BBC">
              <w:rPr>
                <w:rFonts w:ascii="Times New Roman" w:hAnsi="Times New Roman"/>
                <w:iCs/>
                <w:color w:val="000000"/>
                <w:kern w:val="28"/>
                <w:sz w:val="24"/>
                <w:szCs w:val="24"/>
                <w:lang w:val="uk-UA" w:eastAsia="uk-UA"/>
              </w:rPr>
              <w:t>Охоплення вагітних обстеженням на HBsAg</w:t>
            </w:r>
          </w:p>
          <w:p w:rsidR="003B67F9" w:rsidRPr="008D4BBC" w:rsidRDefault="003B67F9" w:rsidP="008D4BBC">
            <w:pPr>
              <w:widowControl w:val="0"/>
              <w:spacing w:line="276" w:lineRule="auto"/>
              <w:rPr>
                <w:rFonts w:ascii="Times New Roman" w:hAnsi="Times New Roman"/>
                <w:iCs/>
                <w:color w:val="000000"/>
                <w:kern w:val="28"/>
                <w:sz w:val="24"/>
                <w:szCs w:val="24"/>
                <w:lang w:val="uk-UA" w:eastAsia="uk-UA"/>
              </w:rPr>
            </w:pPr>
          </w:p>
        </w:tc>
        <w:tc>
          <w:tcPr>
            <w:tcW w:w="2948" w:type="dxa"/>
          </w:tcPr>
          <w:p w:rsidR="003B67F9" w:rsidRPr="008D4BBC" w:rsidRDefault="003B67F9" w:rsidP="008D4BBC">
            <w:pPr>
              <w:widowControl w:val="0"/>
              <w:spacing w:line="276" w:lineRule="auto"/>
              <w:rPr>
                <w:rFonts w:ascii="Times New Roman" w:hAnsi="Times New Roman"/>
                <w:iCs/>
                <w:color w:val="000000"/>
                <w:kern w:val="28"/>
                <w:sz w:val="24"/>
                <w:szCs w:val="24"/>
                <w:lang w:val="uk-UA" w:eastAsia="uk-UA"/>
              </w:rPr>
            </w:pPr>
            <w:r w:rsidRPr="008D4BBC">
              <w:rPr>
                <w:rFonts w:ascii="Times New Roman" w:hAnsi="Times New Roman"/>
                <w:iCs/>
                <w:color w:val="000000"/>
                <w:kern w:val="28"/>
                <w:sz w:val="24"/>
                <w:szCs w:val="24"/>
                <w:lang w:val="uk-UA" w:eastAsia="uk-UA"/>
              </w:rPr>
              <w:t xml:space="preserve">Кількість вагітних, що пройшли обстеженням на / загальну кількість жінок, що були на обліку по вагітності і пологам </w:t>
            </w:r>
            <w:r w:rsidRPr="008D4BBC">
              <w:rPr>
                <w:rFonts w:ascii="Times New Roman" w:hAnsi="Times New Roman"/>
                <w:color w:val="000000"/>
                <w:kern w:val="28"/>
                <w:sz w:val="24"/>
                <w:szCs w:val="24"/>
                <w:lang w:val="uk-UA" w:eastAsia="uk-UA"/>
              </w:rPr>
              <w:t xml:space="preserve"> </w:t>
            </w:r>
            <w:r w:rsidRPr="008D4BBC">
              <w:rPr>
                <w:rFonts w:ascii="Times New Roman" w:hAnsi="Times New Roman"/>
                <w:sz w:val="24"/>
                <w:szCs w:val="24"/>
                <w:lang w:val="uk-UA" w:eastAsia="uk-UA"/>
              </w:rPr>
              <w:t>×</w:t>
            </w:r>
            <w:r w:rsidRPr="008D4BBC">
              <w:rPr>
                <w:rFonts w:ascii="Times New Roman" w:hAnsi="Times New Roman"/>
                <w:color w:val="000000"/>
                <w:kern w:val="28"/>
                <w:sz w:val="24"/>
                <w:szCs w:val="24"/>
                <w:lang w:val="uk-UA" w:eastAsia="uk-UA"/>
              </w:rPr>
              <w:t>100</w:t>
            </w:r>
          </w:p>
        </w:tc>
        <w:tc>
          <w:tcPr>
            <w:tcW w:w="773" w:type="dxa"/>
          </w:tcPr>
          <w:p w:rsidR="003B67F9" w:rsidRPr="008D4BBC" w:rsidRDefault="003B67F9" w:rsidP="008D4BBC">
            <w:pPr>
              <w:widowControl w:val="0"/>
              <w:spacing w:line="276" w:lineRule="auto"/>
              <w:jc w:val="center"/>
              <w:rPr>
                <w:rFonts w:ascii="Times New Roman" w:hAnsi="Times New Roman"/>
                <w:color w:val="000000"/>
                <w:sz w:val="24"/>
                <w:szCs w:val="24"/>
                <w:lang w:val="uk-UA" w:eastAsia="uk-UA"/>
              </w:rPr>
            </w:pPr>
            <w:r w:rsidRPr="008D4BBC">
              <w:rPr>
                <w:rFonts w:ascii="Times New Roman" w:hAnsi="Times New Roman"/>
                <w:color w:val="000000"/>
                <w:sz w:val="24"/>
                <w:szCs w:val="24"/>
                <w:lang w:val="uk-UA" w:eastAsia="uk-UA"/>
              </w:rPr>
              <w:t>99</w:t>
            </w:r>
          </w:p>
        </w:tc>
        <w:tc>
          <w:tcPr>
            <w:tcW w:w="773" w:type="dxa"/>
          </w:tcPr>
          <w:p w:rsidR="003B67F9" w:rsidRPr="008D4BBC" w:rsidRDefault="003B67F9" w:rsidP="008D4BBC">
            <w:pPr>
              <w:widowControl w:val="0"/>
              <w:spacing w:line="276" w:lineRule="auto"/>
              <w:jc w:val="center"/>
              <w:rPr>
                <w:rFonts w:ascii="Times New Roman" w:hAnsi="Times New Roman"/>
                <w:color w:val="000000"/>
                <w:sz w:val="24"/>
                <w:szCs w:val="24"/>
                <w:lang w:val="uk-UA" w:eastAsia="uk-UA"/>
              </w:rPr>
            </w:pPr>
            <w:r w:rsidRPr="008D4BBC">
              <w:rPr>
                <w:rFonts w:ascii="Times New Roman" w:hAnsi="Times New Roman"/>
                <w:color w:val="000000"/>
                <w:sz w:val="24"/>
                <w:szCs w:val="24"/>
                <w:lang w:val="uk-UA" w:eastAsia="uk-UA"/>
              </w:rPr>
              <w:t>8</w:t>
            </w:r>
          </w:p>
        </w:tc>
        <w:tc>
          <w:tcPr>
            <w:tcW w:w="859" w:type="dxa"/>
          </w:tcPr>
          <w:p w:rsidR="003B67F9" w:rsidRPr="008D4BBC" w:rsidRDefault="003B67F9" w:rsidP="008D4BBC">
            <w:pPr>
              <w:widowControl w:val="0"/>
              <w:spacing w:line="276" w:lineRule="auto"/>
              <w:jc w:val="center"/>
              <w:rPr>
                <w:rFonts w:ascii="Times New Roman" w:hAnsi="Times New Roman"/>
                <w:color w:val="000000"/>
                <w:sz w:val="24"/>
                <w:szCs w:val="24"/>
                <w:lang w:val="uk-UA" w:eastAsia="uk-UA"/>
              </w:rPr>
            </w:pPr>
            <w:r w:rsidRPr="008D4BBC">
              <w:rPr>
                <w:rFonts w:ascii="Times New Roman" w:hAnsi="Times New Roman"/>
                <w:color w:val="000000"/>
                <w:sz w:val="24"/>
                <w:szCs w:val="24"/>
                <w:lang w:val="uk-UA" w:eastAsia="uk-UA"/>
              </w:rPr>
              <w:t>0,08</w:t>
            </w:r>
          </w:p>
        </w:tc>
        <w:tc>
          <w:tcPr>
            <w:tcW w:w="540" w:type="dxa"/>
          </w:tcPr>
          <w:p w:rsidR="003B67F9" w:rsidRPr="008D4BBC" w:rsidRDefault="003B67F9" w:rsidP="008D4BBC">
            <w:pPr>
              <w:widowControl w:val="0"/>
              <w:spacing w:line="276" w:lineRule="auto"/>
              <w:jc w:val="center"/>
              <w:rPr>
                <w:rFonts w:ascii="Times New Roman" w:hAnsi="Times New Roman"/>
                <w:color w:val="000000"/>
                <w:sz w:val="24"/>
                <w:szCs w:val="24"/>
                <w:lang w:val="uk-UA" w:eastAsia="uk-UA"/>
              </w:rPr>
            </w:pPr>
            <w:r w:rsidRPr="008D4BBC">
              <w:rPr>
                <w:rFonts w:ascii="Times New Roman" w:hAnsi="Times New Roman"/>
                <w:color w:val="000000"/>
                <w:sz w:val="24"/>
                <w:szCs w:val="24"/>
                <w:lang w:val="uk-UA" w:eastAsia="uk-UA"/>
              </w:rPr>
              <w:t>-</w:t>
            </w:r>
          </w:p>
        </w:tc>
        <w:tc>
          <w:tcPr>
            <w:tcW w:w="540" w:type="dxa"/>
          </w:tcPr>
          <w:p w:rsidR="003B67F9" w:rsidRPr="008D4BBC" w:rsidRDefault="003B67F9" w:rsidP="008D4BBC">
            <w:pPr>
              <w:widowControl w:val="0"/>
              <w:spacing w:line="276" w:lineRule="auto"/>
              <w:jc w:val="center"/>
              <w:rPr>
                <w:rFonts w:ascii="Times New Roman" w:hAnsi="Times New Roman"/>
                <w:color w:val="000000"/>
                <w:sz w:val="24"/>
                <w:szCs w:val="24"/>
                <w:lang w:val="uk-UA" w:eastAsia="uk-UA"/>
              </w:rPr>
            </w:pPr>
          </w:p>
        </w:tc>
        <w:tc>
          <w:tcPr>
            <w:tcW w:w="540" w:type="dxa"/>
          </w:tcPr>
          <w:p w:rsidR="003B67F9" w:rsidRPr="008D4BBC" w:rsidRDefault="003B67F9" w:rsidP="008D4BBC">
            <w:pPr>
              <w:widowControl w:val="0"/>
              <w:spacing w:line="276" w:lineRule="auto"/>
              <w:jc w:val="center"/>
              <w:rPr>
                <w:rFonts w:ascii="Times New Roman" w:hAnsi="Times New Roman"/>
                <w:color w:val="000000"/>
                <w:sz w:val="24"/>
                <w:szCs w:val="24"/>
                <w:lang w:val="uk-UA" w:eastAsia="uk-UA"/>
              </w:rPr>
            </w:pPr>
          </w:p>
        </w:tc>
        <w:tc>
          <w:tcPr>
            <w:tcW w:w="433" w:type="dxa"/>
          </w:tcPr>
          <w:p w:rsidR="003B67F9" w:rsidRPr="008D4BBC" w:rsidRDefault="003B67F9" w:rsidP="008D4BBC">
            <w:pPr>
              <w:widowControl w:val="0"/>
              <w:spacing w:line="276" w:lineRule="auto"/>
              <w:jc w:val="center"/>
              <w:rPr>
                <w:rFonts w:ascii="Times New Roman" w:hAnsi="Times New Roman"/>
                <w:color w:val="000000"/>
                <w:sz w:val="24"/>
                <w:szCs w:val="24"/>
                <w:lang w:val="uk-UA" w:eastAsia="uk-UA"/>
              </w:rPr>
            </w:pPr>
          </w:p>
        </w:tc>
      </w:tr>
      <w:tr w:rsidR="003B67F9" w:rsidRPr="008D4BBC" w:rsidTr="00360E81">
        <w:tc>
          <w:tcPr>
            <w:tcW w:w="2800" w:type="dxa"/>
          </w:tcPr>
          <w:p w:rsidR="003B67F9" w:rsidRPr="008D4BBC" w:rsidRDefault="003B67F9" w:rsidP="008D4BBC">
            <w:pPr>
              <w:widowControl w:val="0"/>
              <w:spacing w:line="276" w:lineRule="auto"/>
              <w:rPr>
                <w:rFonts w:ascii="Times New Roman" w:hAnsi="Times New Roman"/>
                <w:color w:val="000000"/>
                <w:sz w:val="24"/>
                <w:szCs w:val="24"/>
                <w:lang w:val="uk-UA"/>
              </w:rPr>
            </w:pPr>
            <w:r w:rsidRPr="008D4BBC">
              <w:rPr>
                <w:rFonts w:ascii="Times New Roman" w:hAnsi="Times New Roman"/>
                <w:color w:val="000000"/>
                <w:sz w:val="24"/>
                <w:szCs w:val="24"/>
                <w:lang w:val="uk-UA"/>
              </w:rPr>
              <w:t xml:space="preserve">Охоплення жінок </w:t>
            </w:r>
          </w:p>
          <w:p w:rsidR="003B67F9" w:rsidRPr="008D4BBC" w:rsidRDefault="003B67F9" w:rsidP="008D4BBC">
            <w:pPr>
              <w:widowControl w:val="0"/>
              <w:spacing w:line="276" w:lineRule="auto"/>
              <w:rPr>
                <w:rFonts w:ascii="Times New Roman" w:hAnsi="Times New Roman"/>
                <w:color w:val="000000"/>
                <w:sz w:val="24"/>
                <w:szCs w:val="24"/>
                <w:lang w:val="uk-UA"/>
              </w:rPr>
            </w:pPr>
            <w:r w:rsidRPr="008D4BBC">
              <w:rPr>
                <w:rFonts w:ascii="Times New Roman" w:hAnsi="Times New Roman"/>
                <w:color w:val="000000"/>
                <w:sz w:val="24"/>
                <w:szCs w:val="24"/>
                <w:lang w:val="uk-UA"/>
              </w:rPr>
              <w:t>скринінгом на рак шийки матки</w:t>
            </w:r>
          </w:p>
          <w:p w:rsidR="003B67F9" w:rsidRPr="008D4BBC" w:rsidRDefault="003B67F9" w:rsidP="008D4BBC">
            <w:pPr>
              <w:widowControl w:val="0"/>
              <w:spacing w:line="276" w:lineRule="auto"/>
              <w:rPr>
                <w:rFonts w:ascii="Times New Roman" w:hAnsi="Times New Roman"/>
                <w:iCs/>
                <w:color w:val="000000"/>
                <w:kern w:val="28"/>
                <w:sz w:val="24"/>
                <w:szCs w:val="24"/>
                <w:lang w:val="uk-UA"/>
              </w:rPr>
            </w:pPr>
          </w:p>
        </w:tc>
        <w:tc>
          <w:tcPr>
            <w:tcW w:w="2948" w:type="dxa"/>
          </w:tcPr>
          <w:p w:rsidR="003B67F9" w:rsidRPr="00A43E6B" w:rsidRDefault="003B67F9" w:rsidP="008D4BBC">
            <w:pPr>
              <w:widowControl w:val="0"/>
              <w:spacing w:line="276" w:lineRule="auto"/>
              <w:rPr>
                <w:rFonts w:ascii="Times New Roman" w:hAnsi="Times New Roman"/>
                <w:color w:val="000000"/>
                <w:sz w:val="24"/>
                <w:szCs w:val="24"/>
                <w:lang w:val="uk-UA"/>
              </w:rPr>
            </w:pPr>
            <w:r w:rsidRPr="008D4BBC">
              <w:rPr>
                <w:rFonts w:ascii="Times New Roman" w:hAnsi="Times New Roman"/>
                <w:color w:val="000000"/>
                <w:sz w:val="24"/>
                <w:szCs w:val="24"/>
                <w:lang w:val="uk-UA"/>
              </w:rPr>
              <w:t>Кількість жінок 18 років і старших, яким протягом останніх 3</w:t>
            </w:r>
            <w:r w:rsidR="007E0307">
              <w:rPr>
                <w:rFonts w:ascii="Times New Roman" w:hAnsi="Times New Roman"/>
                <w:color w:val="000000"/>
                <w:sz w:val="24"/>
                <w:szCs w:val="24"/>
                <w:lang w:val="uk-UA"/>
              </w:rPr>
              <w:t>-х</w:t>
            </w:r>
            <w:r w:rsidRPr="008D4BBC">
              <w:rPr>
                <w:rFonts w:ascii="Times New Roman" w:hAnsi="Times New Roman"/>
                <w:color w:val="000000"/>
                <w:sz w:val="24"/>
                <w:szCs w:val="24"/>
                <w:lang w:val="uk-UA"/>
              </w:rPr>
              <w:t xml:space="preserve"> років проведено скринінг на рак шийки матки/ загальну кількість жінок 18 років і старших </w:t>
            </w:r>
            <w:r w:rsidRPr="008D4BBC">
              <w:rPr>
                <w:rFonts w:ascii="Times New Roman" w:hAnsi="Times New Roman"/>
                <w:sz w:val="24"/>
                <w:szCs w:val="24"/>
                <w:lang w:val="uk-UA" w:eastAsia="uk-UA"/>
              </w:rPr>
              <w:t>×</w:t>
            </w:r>
            <w:r w:rsidRPr="008D4BBC">
              <w:rPr>
                <w:rFonts w:ascii="Times New Roman" w:hAnsi="Times New Roman"/>
                <w:color w:val="000000"/>
                <w:sz w:val="24"/>
                <w:szCs w:val="24"/>
                <w:lang w:val="uk-UA"/>
              </w:rPr>
              <w:t xml:space="preserve"> 100</w:t>
            </w:r>
          </w:p>
        </w:tc>
        <w:tc>
          <w:tcPr>
            <w:tcW w:w="773" w:type="dxa"/>
          </w:tcPr>
          <w:p w:rsidR="003B67F9" w:rsidRPr="008D4BBC" w:rsidRDefault="003B67F9" w:rsidP="008D4BBC">
            <w:pPr>
              <w:widowControl w:val="0"/>
              <w:spacing w:line="276" w:lineRule="auto"/>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70</w:t>
            </w:r>
          </w:p>
        </w:tc>
        <w:tc>
          <w:tcPr>
            <w:tcW w:w="773" w:type="dxa"/>
          </w:tcPr>
          <w:p w:rsidR="003B67F9" w:rsidRPr="008D4BBC" w:rsidRDefault="003B67F9" w:rsidP="008D4BBC">
            <w:pPr>
              <w:widowControl w:val="0"/>
              <w:spacing w:line="276" w:lineRule="auto"/>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7</w:t>
            </w:r>
          </w:p>
        </w:tc>
        <w:tc>
          <w:tcPr>
            <w:tcW w:w="859" w:type="dxa"/>
          </w:tcPr>
          <w:p w:rsidR="003B67F9" w:rsidRPr="008D4BBC" w:rsidRDefault="003B67F9" w:rsidP="008D4BBC">
            <w:pPr>
              <w:widowControl w:val="0"/>
              <w:spacing w:line="276" w:lineRule="auto"/>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0,09</w:t>
            </w:r>
          </w:p>
        </w:tc>
        <w:tc>
          <w:tcPr>
            <w:tcW w:w="540" w:type="dxa"/>
          </w:tcPr>
          <w:p w:rsidR="003B67F9" w:rsidRPr="008D4BBC" w:rsidRDefault="003B67F9" w:rsidP="008D4BBC">
            <w:pPr>
              <w:widowControl w:val="0"/>
              <w:spacing w:line="276" w:lineRule="auto"/>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w:t>
            </w:r>
          </w:p>
        </w:tc>
        <w:tc>
          <w:tcPr>
            <w:tcW w:w="540" w:type="dxa"/>
          </w:tcPr>
          <w:p w:rsidR="003B67F9" w:rsidRPr="008D4BBC" w:rsidRDefault="003B67F9" w:rsidP="008D4BBC">
            <w:pPr>
              <w:widowControl w:val="0"/>
              <w:spacing w:line="276" w:lineRule="auto"/>
              <w:jc w:val="center"/>
              <w:rPr>
                <w:rFonts w:ascii="Times New Roman" w:hAnsi="Times New Roman"/>
                <w:color w:val="000000"/>
                <w:sz w:val="24"/>
                <w:szCs w:val="24"/>
                <w:lang w:val="uk-UA"/>
              </w:rPr>
            </w:pPr>
          </w:p>
        </w:tc>
        <w:tc>
          <w:tcPr>
            <w:tcW w:w="540" w:type="dxa"/>
          </w:tcPr>
          <w:p w:rsidR="003B67F9" w:rsidRPr="008D4BBC" w:rsidRDefault="003B67F9" w:rsidP="008D4BBC">
            <w:pPr>
              <w:widowControl w:val="0"/>
              <w:spacing w:line="276" w:lineRule="auto"/>
              <w:jc w:val="center"/>
              <w:rPr>
                <w:rFonts w:ascii="Times New Roman" w:hAnsi="Times New Roman"/>
                <w:color w:val="000000"/>
                <w:sz w:val="24"/>
                <w:szCs w:val="24"/>
                <w:lang w:val="uk-UA"/>
              </w:rPr>
            </w:pPr>
          </w:p>
        </w:tc>
        <w:tc>
          <w:tcPr>
            <w:tcW w:w="433" w:type="dxa"/>
          </w:tcPr>
          <w:p w:rsidR="003B67F9" w:rsidRPr="008D4BBC" w:rsidRDefault="003B67F9" w:rsidP="008D4BBC">
            <w:pPr>
              <w:widowControl w:val="0"/>
              <w:spacing w:line="276" w:lineRule="auto"/>
              <w:jc w:val="center"/>
              <w:rPr>
                <w:rFonts w:ascii="Times New Roman" w:hAnsi="Times New Roman"/>
                <w:color w:val="000000"/>
                <w:sz w:val="24"/>
                <w:szCs w:val="24"/>
                <w:lang w:val="uk-UA"/>
              </w:rPr>
            </w:pPr>
          </w:p>
        </w:tc>
      </w:tr>
      <w:tr w:rsidR="003B67F9" w:rsidRPr="008D4BBC" w:rsidTr="00A43E6B">
        <w:trPr>
          <w:trHeight w:val="2431"/>
        </w:trPr>
        <w:tc>
          <w:tcPr>
            <w:tcW w:w="2800" w:type="dxa"/>
          </w:tcPr>
          <w:p w:rsidR="003B67F9" w:rsidRPr="008D4BBC" w:rsidRDefault="003B67F9" w:rsidP="008D4BBC">
            <w:pPr>
              <w:widowControl w:val="0"/>
              <w:spacing w:line="276" w:lineRule="auto"/>
              <w:rPr>
                <w:rFonts w:ascii="Times New Roman" w:hAnsi="Times New Roman"/>
                <w:color w:val="000000"/>
                <w:sz w:val="24"/>
                <w:szCs w:val="24"/>
                <w:lang w:val="uk-UA"/>
              </w:rPr>
            </w:pPr>
            <w:r w:rsidRPr="008D4BBC">
              <w:rPr>
                <w:rFonts w:ascii="Times New Roman" w:hAnsi="Times New Roman"/>
                <w:color w:val="000000"/>
                <w:sz w:val="24"/>
                <w:szCs w:val="24"/>
                <w:lang w:val="uk-UA"/>
              </w:rPr>
              <w:t>Виявлення онкозахворювань в I-II cтадіях:</w:t>
            </w:r>
          </w:p>
          <w:p w:rsidR="003B67F9" w:rsidRPr="008D4BBC" w:rsidRDefault="003B67F9" w:rsidP="008D4BBC">
            <w:pPr>
              <w:widowControl w:val="0"/>
              <w:tabs>
                <w:tab w:val="left" w:pos="42"/>
              </w:tabs>
              <w:spacing w:line="276" w:lineRule="auto"/>
              <w:rPr>
                <w:rFonts w:ascii="Times New Roman" w:hAnsi="Times New Roman"/>
                <w:color w:val="000000"/>
                <w:sz w:val="24"/>
                <w:szCs w:val="24"/>
                <w:lang w:val="uk-UA"/>
              </w:rPr>
            </w:pPr>
            <w:r w:rsidRPr="008D4BBC">
              <w:rPr>
                <w:rFonts w:ascii="Times New Roman" w:hAnsi="Times New Roman"/>
                <w:color w:val="000000"/>
                <w:sz w:val="24"/>
                <w:szCs w:val="24"/>
                <w:lang w:val="uk-UA"/>
              </w:rPr>
              <w:t>- рак молочної залози</w:t>
            </w:r>
          </w:p>
          <w:p w:rsidR="003B67F9" w:rsidRPr="008D4BBC" w:rsidRDefault="003B67F9" w:rsidP="008D4BBC">
            <w:pPr>
              <w:widowControl w:val="0"/>
              <w:tabs>
                <w:tab w:val="left" w:pos="42"/>
              </w:tabs>
              <w:spacing w:line="276" w:lineRule="auto"/>
              <w:rPr>
                <w:rFonts w:ascii="Times New Roman" w:hAnsi="Times New Roman"/>
                <w:color w:val="000000"/>
                <w:sz w:val="24"/>
                <w:szCs w:val="24"/>
                <w:lang w:val="uk-UA"/>
              </w:rPr>
            </w:pPr>
          </w:p>
          <w:p w:rsidR="003B67F9" w:rsidRPr="008D4BBC" w:rsidRDefault="003B67F9" w:rsidP="008D4BBC">
            <w:pPr>
              <w:widowControl w:val="0"/>
              <w:tabs>
                <w:tab w:val="left" w:pos="42"/>
              </w:tabs>
              <w:spacing w:line="276" w:lineRule="auto"/>
              <w:rPr>
                <w:rFonts w:ascii="Times New Roman" w:hAnsi="Times New Roman"/>
                <w:color w:val="000000"/>
                <w:sz w:val="24"/>
                <w:szCs w:val="24"/>
                <w:lang w:val="uk-UA"/>
              </w:rPr>
            </w:pPr>
            <w:r w:rsidRPr="008D4BBC">
              <w:rPr>
                <w:rFonts w:ascii="Times New Roman" w:hAnsi="Times New Roman"/>
                <w:color w:val="000000"/>
                <w:sz w:val="24"/>
                <w:szCs w:val="24"/>
                <w:lang w:val="uk-UA"/>
              </w:rPr>
              <w:t>- рак шийки матки</w:t>
            </w:r>
          </w:p>
          <w:p w:rsidR="003B67F9" w:rsidRPr="008D4BBC" w:rsidRDefault="003B67F9" w:rsidP="008D4BBC">
            <w:pPr>
              <w:widowControl w:val="0"/>
              <w:tabs>
                <w:tab w:val="left" w:pos="42"/>
              </w:tabs>
              <w:spacing w:line="276" w:lineRule="auto"/>
              <w:rPr>
                <w:rFonts w:ascii="Times New Roman" w:hAnsi="Times New Roman"/>
                <w:color w:val="000000"/>
                <w:sz w:val="24"/>
                <w:szCs w:val="24"/>
                <w:lang w:val="uk-UA"/>
              </w:rPr>
            </w:pPr>
          </w:p>
          <w:p w:rsidR="003B67F9" w:rsidRPr="008D4BBC" w:rsidRDefault="003B67F9" w:rsidP="008D4BBC">
            <w:pPr>
              <w:widowControl w:val="0"/>
              <w:spacing w:line="276" w:lineRule="auto"/>
              <w:rPr>
                <w:rFonts w:ascii="Times New Roman" w:hAnsi="Times New Roman"/>
                <w:iCs/>
                <w:color w:val="000000"/>
                <w:kern w:val="28"/>
                <w:sz w:val="24"/>
                <w:szCs w:val="24"/>
                <w:lang w:val="uk-UA"/>
              </w:rPr>
            </w:pPr>
          </w:p>
        </w:tc>
        <w:tc>
          <w:tcPr>
            <w:tcW w:w="2948" w:type="dxa"/>
          </w:tcPr>
          <w:p w:rsidR="003B67F9" w:rsidRPr="00A43E6B" w:rsidRDefault="003B67F9" w:rsidP="008D4BBC">
            <w:pPr>
              <w:widowControl w:val="0"/>
              <w:spacing w:line="276" w:lineRule="auto"/>
              <w:rPr>
                <w:rFonts w:ascii="Times New Roman" w:hAnsi="Times New Roman"/>
                <w:color w:val="000000"/>
                <w:sz w:val="24"/>
                <w:szCs w:val="24"/>
                <w:lang w:val="uk-UA"/>
              </w:rPr>
            </w:pPr>
            <w:r w:rsidRPr="008D4BBC">
              <w:rPr>
                <w:rFonts w:ascii="Times New Roman" w:hAnsi="Times New Roman"/>
                <w:color w:val="000000"/>
                <w:sz w:val="24"/>
                <w:szCs w:val="24"/>
                <w:lang w:val="uk-UA"/>
              </w:rPr>
              <w:t xml:space="preserve">Кількість виявлених жінок з раком молочної залози і шийки матки в I-II cтадіях/ загальну кількість вперше зареєстрованих хворих з раком молочної залози і шийки матки и </w:t>
            </w:r>
            <w:r w:rsidRPr="008D4BBC">
              <w:rPr>
                <w:rFonts w:ascii="Times New Roman" w:hAnsi="Times New Roman"/>
                <w:sz w:val="24"/>
                <w:szCs w:val="24"/>
                <w:lang w:val="uk-UA" w:eastAsia="uk-UA"/>
              </w:rPr>
              <w:t>×</w:t>
            </w:r>
            <w:r w:rsidRPr="008D4BBC">
              <w:rPr>
                <w:rFonts w:ascii="Times New Roman" w:hAnsi="Times New Roman"/>
                <w:color w:val="000000"/>
                <w:sz w:val="24"/>
                <w:szCs w:val="24"/>
                <w:lang w:val="uk-UA"/>
              </w:rPr>
              <w:t xml:space="preserve"> 100 </w:t>
            </w:r>
          </w:p>
        </w:tc>
        <w:tc>
          <w:tcPr>
            <w:tcW w:w="773" w:type="dxa"/>
          </w:tcPr>
          <w:p w:rsidR="003B67F9" w:rsidRPr="008D4BBC" w:rsidRDefault="003B67F9" w:rsidP="008D4BBC">
            <w:pPr>
              <w:widowControl w:val="0"/>
              <w:spacing w:line="276" w:lineRule="auto"/>
              <w:jc w:val="center"/>
              <w:rPr>
                <w:rFonts w:ascii="Times New Roman" w:hAnsi="Times New Roman"/>
                <w:color w:val="000000"/>
                <w:sz w:val="24"/>
                <w:szCs w:val="24"/>
                <w:lang w:val="uk-UA"/>
              </w:rPr>
            </w:pPr>
          </w:p>
          <w:p w:rsidR="003B67F9" w:rsidRPr="008D4BBC" w:rsidRDefault="003B67F9" w:rsidP="008D4BBC">
            <w:pPr>
              <w:widowControl w:val="0"/>
              <w:spacing w:line="276" w:lineRule="auto"/>
              <w:jc w:val="center"/>
              <w:rPr>
                <w:rFonts w:ascii="Times New Roman" w:hAnsi="Times New Roman"/>
                <w:color w:val="000000"/>
                <w:sz w:val="24"/>
                <w:szCs w:val="24"/>
                <w:lang w:val="uk-UA"/>
              </w:rPr>
            </w:pPr>
          </w:p>
          <w:p w:rsidR="003B67F9" w:rsidRPr="008D4BBC" w:rsidRDefault="003B67F9" w:rsidP="008D4BBC">
            <w:pPr>
              <w:widowControl w:val="0"/>
              <w:spacing w:line="276" w:lineRule="auto"/>
              <w:jc w:val="center"/>
              <w:rPr>
                <w:rFonts w:ascii="Times New Roman" w:hAnsi="Times New Roman"/>
                <w:color w:val="000000"/>
                <w:sz w:val="24"/>
                <w:szCs w:val="24"/>
                <w:lang w:val="uk-UA"/>
              </w:rPr>
            </w:pPr>
          </w:p>
          <w:p w:rsidR="003B67F9" w:rsidRPr="008D4BBC" w:rsidRDefault="003B67F9" w:rsidP="008D4BBC">
            <w:pPr>
              <w:widowControl w:val="0"/>
              <w:spacing w:line="276" w:lineRule="auto"/>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90</w:t>
            </w:r>
          </w:p>
          <w:p w:rsidR="003B67F9" w:rsidRPr="008D4BBC" w:rsidRDefault="003B67F9" w:rsidP="008D4BBC">
            <w:pPr>
              <w:widowControl w:val="0"/>
              <w:spacing w:line="276" w:lineRule="auto"/>
              <w:jc w:val="center"/>
              <w:rPr>
                <w:rFonts w:ascii="Times New Roman" w:hAnsi="Times New Roman"/>
                <w:color w:val="000000"/>
                <w:sz w:val="24"/>
                <w:szCs w:val="24"/>
                <w:lang w:val="uk-UA"/>
              </w:rPr>
            </w:pPr>
          </w:p>
          <w:p w:rsidR="003B67F9" w:rsidRPr="008D4BBC" w:rsidRDefault="003B67F9" w:rsidP="008D4BBC">
            <w:pPr>
              <w:widowControl w:val="0"/>
              <w:spacing w:line="276" w:lineRule="auto"/>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90</w:t>
            </w:r>
          </w:p>
        </w:tc>
        <w:tc>
          <w:tcPr>
            <w:tcW w:w="773" w:type="dxa"/>
          </w:tcPr>
          <w:p w:rsidR="003B67F9" w:rsidRPr="008D4BBC" w:rsidRDefault="003B67F9" w:rsidP="008D4BBC">
            <w:pPr>
              <w:widowControl w:val="0"/>
              <w:spacing w:line="276" w:lineRule="auto"/>
              <w:jc w:val="center"/>
              <w:rPr>
                <w:rFonts w:ascii="Times New Roman" w:hAnsi="Times New Roman"/>
                <w:color w:val="000000"/>
                <w:sz w:val="24"/>
                <w:szCs w:val="24"/>
                <w:lang w:val="uk-UA"/>
              </w:rPr>
            </w:pPr>
          </w:p>
          <w:p w:rsidR="003B67F9" w:rsidRPr="008D4BBC" w:rsidRDefault="003B67F9" w:rsidP="008D4BBC">
            <w:pPr>
              <w:widowControl w:val="0"/>
              <w:spacing w:line="276" w:lineRule="auto"/>
              <w:jc w:val="center"/>
              <w:rPr>
                <w:rFonts w:ascii="Times New Roman" w:hAnsi="Times New Roman"/>
                <w:color w:val="000000"/>
                <w:sz w:val="24"/>
                <w:szCs w:val="24"/>
                <w:lang w:val="uk-UA"/>
              </w:rPr>
            </w:pPr>
          </w:p>
          <w:p w:rsidR="003B67F9" w:rsidRPr="008D4BBC" w:rsidRDefault="003B67F9" w:rsidP="008D4BBC">
            <w:pPr>
              <w:widowControl w:val="0"/>
              <w:spacing w:line="276" w:lineRule="auto"/>
              <w:jc w:val="center"/>
              <w:rPr>
                <w:rFonts w:ascii="Times New Roman" w:hAnsi="Times New Roman"/>
                <w:color w:val="000000"/>
                <w:sz w:val="24"/>
                <w:szCs w:val="24"/>
                <w:lang w:val="uk-UA"/>
              </w:rPr>
            </w:pPr>
          </w:p>
          <w:p w:rsidR="003B67F9" w:rsidRPr="008D4BBC" w:rsidRDefault="003B67F9" w:rsidP="008D4BBC">
            <w:pPr>
              <w:widowControl w:val="0"/>
              <w:spacing w:line="276" w:lineRule="auto"/>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8</w:t>
            </w:r>
          </w:p>
          <w:p w:rsidR="003B67F9" w:rsidRPr="008D4BBC" w:rsidRDefault="003B67F9" w:rsidP="008D4BBC">
            <w:pPr>
              <w:widowControl w:val="0"/>
              <w:spacing w:line="276" w:lineRule="auto"/>
              <w:jc w:val="center"/>
              <w:rPr>
                <w:rFonts w:ascii="Times New Roman" w:hAnsi="Times New Roman"/>
                <w:color w:val="000000"/>
                <w:sz w:val="24"/>
                <w:szCs w:val="24"/>
                <w:lang w:val="uk-UA"/>
              </w:rPr>
            </w:pPr>
          </w:p>
          <w:p w:rsidR="003B67F9" w:rsidRPr="008D4BBC" w:rsidRDefault="003B67F9" w:rsidP="008D4BBC">
            <w:pPr>
              <w:widowControl w:val="0"/>
              <w:spacing w:line="276" w:lineRule="auto"/>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8</w:t>
            </w:r>
          </w:p>
        </w:tc>
        <w:tc>
          <w:tcPr>
            <w:tcW w:w="859" w:type="dxa"/>
          </w:tcPr>
          <w:p w:rsidR="003B67F9" w:rsidRPr="008D4BBC" w:rsidRDefault="003B67F9" w:rsidP="008D4BBC">
            <w:pPr>
              <w:widowControl w:val="0"/>
              <w:spacing w:line="276" w:lineRule="auto"/>
              <w:jc w:val="center"/>
              <w:rPr>
                <w:rFonts w:ascii="Times New Roman" w:hAnsi="Times New Roman"/>
                <w:color w:val="000000"/>
                <w:sz w:val="24"/>
                <w:szCs w:val="24"/>
                <w:lang w:val="uk-UA"/>
              </w:rPr>
            </w:pPr>
          </w:p>
          <w:p w:rsidR="003B67F9" w:rsidRPr="008D4BBC" w:rsidRDefault="003B67F9" w:rsidP="008D4BBC">
            <w:pPr>
              <w:widowControl w:val="0"/>
              <w:spacing w:line="276" w:lineRule="auto"/>
              <w:jc w:val="center"/>
              <w:rPr>
                <w:rFonts w:ascii="Times New Roman" w:hAnsi="Times New Roman"/>
                <w:color w:val="000000"/>
                <w:sz w:val="24"/>
                <w:szCs w:val="24"/>
                <w:lang w:val="uk-UA"/>
              </w:rPr>
            </w:pPr>
          </w:p>
          <w:p w:rsidR="003B67F9" w:rsidRPr="008D4BBC" w:rsidRDefault="003B67F9" w:rsidP="008D4BBC">
            <w:pPr>
              <w:widowControl w:val="0"/>
              <w:spacing w:line="276" w:lineRule="auto"/>
              <w:jc w:val="center"/>
              <w:rPr>
                <w:rFonts w:ascii="Times New Roman" w:hAnsi="Times New Roman"/>
                <w:color w:val="000000"/>
                <w:sz w:val="24"/>
                <w:szCs w:val="24"/>
                <w:lang w:val="uk-UA"/>
              </w:rPr>
            </w:pPr>
          </w:p>
          <w:p w:rsidR="003B67F9" w:rsidRPr="008D4BBC" w:rsidRDefault="003B67F9" w:rsidP="008D4BBC">
            <w:pPr>
              <w:widowControl w:val="0"/>
              <w:spacing w:line="276" w:lineRule="auto"/>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0,09</w:t>
            </w:r>
          </w:p>
          <w:p w:rsidR="003B67F9" w:rsidRPr="008D4BBC" w:rsidRDefault="003B67F9" w:rsidP="008D4BBC">
            <w:pPr>
              <w:widowControl w:val="0"/>
              <w:spacing w:line="276" w:lineRule="auto"/>
              <w:jc w:val="center"/>
              <w:rPr>
                <w:rFonts w:ascii="Times New Roman" w:hAnsi="Times New Roman"/>
                <w:color w:val="000000"/>
                <w:sz w:val="24"/>
                <w:szCs w:val="24"/>
                <w:lang w:val="uk-UA"/>
              </w:rPr>
            </w:pPr>
          </w:p>
          <w:p w:rsidR="003B67F9" w:rsidRPr="008D4BBC" w:rsidRDefault="003B67F9" w:rsidP="008D4BBC">
            <w:pPr>
              <w:widowControl w:val="0"/>
              <w:spacing w:line="276" w:lineRule="auto"/>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0,09</w:t>
            </w:r>
          </w:p>
        </w:tc>
        <w:tc>
          <w:tcPr>
            <w:tcW w:w="540" w:type="dxa"/>
          </w:tcPr>
          <w:p w:rsidR="003B67F9" w:rsidRPr="008D4BBC" w:rsidRDefault="003B67F9" w:rsidP="008D4BBC">
            <w:pPr>
              <w:widowControl w:val="0"/>
              <w:spacing w:line="276" w:lineRule="auto"/>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w:t>
            </w:r>
          </w:p>
        </w:tc>
        <w:tc>
          <w:tcPr>
            <w:tcW w:w="540" w:type="dxa"/>
          </w:tcPr>
          <w:p w:rsidR="003B67F9" w:rsidRPr="008D4BBC" w:rsidRDefault="003B67F9" w:rsidP="008D4BBC">
            <w:pPr>
              <w:widowControl w:val="0"/>
              <w:spacing w:line="276" w:lineRule="auto"/>
              <w:jc w:val="center"/>
              <w:rPr>
                <w:rFonts w:ascii="Times New Roman" w:hAnsi="Times New Roman"/>
                <w:color w:val="000000"/>
                <w:sz w:val="24"/>
                <w:szCs w:val="24"/>
                <w:lang w:val="uk-UA"/>
              </w:rPr>
            </w:pPr>
          </w:p>
        </w:tc>
        <w:tc>
          <w:tcPr>
            <w:tcW w:w="540" w:type="dxa"/>
          </w:tcPr>
          <w:p w:rsidR="003B67F9" w:rsidRPr="008D4BBC" w:rsidRDefault="003B67F9" w:rsidP="008D4BBC">
            <w:pPr>
              <w:widowControl w:val="0"/>
              <w:spacing w:line="276" w:lineRule="auto"/>
              <w:jc w:val="center"/>
              <w:rPr>
                <w:rFonts w:ascii="Times New Roman" w:hAnsi="Times New Roman"/>
                <w:color w:val="000000"/>
                <w:sz w:val="24"/>
                <w:szCs w:val="24"/>
                <w:lang w:val="uk-UA"/>
              </w:rPr>
            </w:pPr>
          </w:p>
        </w:tc>
        <w:tc>
          <w:tcPr>
            <w:tcW w:w="433" w:type="dxa"/>
          </w:tcPr>
          <w:p w:rsidR="003B67F9" w:rsidRPr="008D4BBC" w:rsidRDefault="003B67F9" w:rsidP="008D4BBC">
            <w:pPr>
              <w:widowControl w:val="0"/>
              <w:spacing w:line="276" w:lineRule="auto"/>
              <w:jc w:val="center"/>
              <w:rPr>
                <w:rFonts w:ascii="Times New Roman" w:hAnsi="Times New Roman"/>
                <w:color w:val="000000"/>
                <w:sz w:val="24"/>
                <w:szCs w:val="24"/>
                <w:lang w:val="uk-UA"/>
              </w:rPr>
            </w:pPr>
          </w:p>
        </w:tc>
      </w:tr>
      <w:tr w:rsidR="003B67F9" w:rsidRPr="008D4BBC" w:rsidTr="00360E81">
        <w:tc>
          <w:tcPr>
            <w:tcW w:w="2800" w:type="dxa"/>
          </w:tcPr>
          <w:p w:rsidR="003B67F9" w:rsidRPr="008D4BBC" w:rsidRDefault="003B67F9" w:rsidP="008D4BBC">
            <w:pPr>
              <w:widowControl w:val="0"/>
              <w:spacing w:line="276" w:lineRule="auto"/>
              <w:rPr>
                <w:rFonts w:ascii="Times New Roman" w:hAnsi="Times New Roman"/>
                <w:color w:val="000000"/>
                <w:sz w:val="24"/>
                <w:szCs w:val="24"/>
                <w:lang w:val="uk-UA"/>
              </w:rPr>
            </w:pPr>
            <w:r w:rsidRPr="008D4BBC">
              <w:rPr>
                <w:rFonts w:ascii="Times New Roman" w:hAnsi="Times New Roman"/>
                <w:color w:val="000000"/>
                <w:sz w:val="24"/>
                <w:szCs w:val="24"/>
                <w:lang w:val="uk-UA"/>
              </w:rPr>
              <w:t>Частота переривань вагітності</w:t>
            </w:r>
          </w:p>
        </w:tc>
        <w:tc>
          <w:tcPr>
            <w:tcW w:w="2948" w:type="dxa"/>
          </w:tcPr>
          <w:p w:rsidR="003B67F9" w:rsidRPr="008D4BBC" w:rsidRDefault="003B67F9" w:rsidP="008D4BBC">
            <w:pPr>
              <w:widowControl w:val="0"/>
              <w:spacing w:line="276" w:lineRule="auto"/>
              <w:rPr>
                <w:rFonts w:ascii="Times New Roman" w:hAnsi="Times New Roman"/>
                <w:color w:val="000000"/>
                <w:sz w:val="24"/>
                <w:szCs w:val="24"/>
                <w:lang w:val="uk-UA"/>
              </w:rPr>
            </w:pPr>
            <w:r w:rsidRPr="008D4BBC">
              <w:rPr>
                <w:rFonts w:ascii="Times New Roman" w:hAnsi="Times New Roman"/>
                <w:color w:val="000000"/>
                <w:sz w:val="24"/>
                <w:szCs w:val="24"/>
                <w:lang w:val="uk-UA"/>
              </w:rPr>
              <w:t>Кількість жінок фертильного віку, у яких була перервана вагітність</w:t>
            </w:r>
            <w:r w:rsidRPr="008D4BBC">
              <w:rPr>
                <w:rFonts w:ascii="Times New Roman" w:hAnsi="Times New Roman"/>
                <w:iCs/>
                <w:color w:val="000000"/>
                <w:kern w:val="28"/>
                <w:sz w:val="24"/>
                <w:szCs w:val="24"/>
                <w:lang w:val="uk-UA"/>
              </w:rPr>
              <w:t xml:space="preserve"> Х 1000/ загальна кількість жінок </w:t>
            </w:r>
            <w:r w:rsidRPr="008D4BBC">
              <w:rPr>
                <w:rFonts w:ascii="Times New Roman" w:hAnsi="Times New Roman"/>
                <w:color w:val="000000"/>
                <w:sz w:val="24"/>
                <w:szCs w:val="24"/>
                <w:lang w:val="uk-UA"/>
              </w:rPr>
              <w:t>фертильного віку</w:t>
            </w:r>
          </w:p>
        </w:tc>
        <w:tc>
          <w:tcPr>
            <w:tcW w:w="773" w:type="dxa"/>
          </w:tcPr>
          <w:p w:rsidR="003B67F9" w:rsidRPr="008D4BBC" w:rsidRDefault="003B67F9" w:rsidP="008D4BBC">
            <w:pPr>
              <w:widowControl w:val="0"/>
              <w:spacing w:line="276" w:lineRule="auto"/>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7,0</w:t>
            </w:r>
          </w:p>
        </w:tc>
        <w:tc>
          <w:tcPr>
            <w:tcW w:w="773" w:type="dxa"/>
          </w:tcPr>
          <w:p w:rsidR="003B67F9" w:rsidRPr="008D4BBC" w:rsidRDefault="003B67F9" w:rsidP="008D4BBC">
            <w:pPr>
              <w:widowControl w:val="0"/>
              <w:spacing w:line="276" w:lineRule="auto"/>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6,0</w:t>
            </w:r>
          </w:p>
        </w:tc>
        <w:tc>
          <w:tcPr>
            <w:tcW w:w="859" w:type="dxa"/>
          </w:tcPr>
          <w:p w:rsidR="003B67F9" w:rsidRPr="008D4BBC" w:rsidRDefault="003B67F9" w:rsidP="008D4BBC">
            <w:pPr>
              <w:widowControl w:val="0"/>
              <w:spacing w:line="276" w:lineRule="auto"/>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0,8</w:t>
            </w:r>
          </w:p>
        </w:tc>
        <w:tc>
          <w:tcPr>
            <w:tcW w:w="540" w:type="dxa"/>
          </w:tcPr>
          <w:p w:rsidR="003B67F9" w:rsidRPr="008D4BBC" w:rsidRDefault="003B67F9" w:rsidP="008D4BBC">
            <w:pPr>
              <w:widowControl w:val="0"/>
              <w:spacing w:line="276" w:lineRule="auto"/>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w:t>
            </w:r>
          </w:p>
        </w:tc>
        <w:tc>
          <w:tcPr>
            <w:tcW w:w="540" w:type="dxa"/>
          </w:tcPr>
          <w:p w:rsidR="003B67F9" w:rsidRPr="008D4BBC" w:rsidRDefault="003B67F9" w:rsidP="008D4BBC">
            <w:pPr>
              <w:widowControl w:val="0"/>
              <w:spacing w:line="276" w:lineRule="auto"/>
              <w:jc w:val="center"/>
              <w:rPr>
                <w:rFonts w:ascii="Times New Roman" w:hAnsi="Times New Roman"/>
                <w:color w:val="000000"/>
                <w:sz w:val="24"/>
                <w:szCs w:val="24"/>
                <w:lang w:val="uk-UA"/>
              </w:rPr>
            </w:pPr>
          </w:p>
        </w:tc>
        <w:tc>
          <w:tcPr>
            <w:tcW w:w="540" w:type="dxa"/>
          </w:tcPr>
          <w:p w:rsidR="003B67F9" w:rsidRPr="008D4BBC" w:rsidRDefault="003B67F9" w:rsidP="008D4BBC">
            <w:pPr>
              <w:widowControl w:val="0"/>
              <w:spacing w:line="276" w:lineRule="auto"/>
              <w:jc w:val="center"/>
              <w:rPr>
                <w:rFonts w:ascii="Times New Roman" w:hAnsi="Times New Roman"/>
                <w:color w:val="000000"/>
                <w:sz w:val="24"/>
                <w:szCs w:val="24"/>
                <w:lang w:val="uk-UA"/>
              </w:rPr>
            </w:pPr>
          </w:p>
        </w:tc>
        <w:tc>
          <w:tcPr>
            <w:tcW w:w="433" w:type="dxa"/>
          </w:tcPr>
          <w:p w:rsidR="003B67F9" w:rsidRPr="008D4BBC" w:rsidRDefault="003B67F9" w:rsidP="008D4BBC">
            <w:pPr>
              <w:widowControl w:val="0"/>
              <w:spacing w:line="276" w:lineRule="auto"/>
              <w:jc w:val="center"/>
              <w:rPr>
                <w:rFonts w:ascii="Times New Roman" w:hAnsi="Times New Roman"/>
                <w:color w:val="000000"/>
                <w:sz w:val="24"/>
                <w:szCs w:val="24"/>
                <w:lang w:val="uk-UA"/>
              </w:rPr>
            </w:pPr>
          </w:p>
        </w:tc>
      </w:tr>
      <w:tr w:rsidR="003B67F9" w:rsidRPr="008D4BBC" w:rsidTr="00360E81">
        <w:tc>
          <w:tcPr>
            <w:tcW w:w="2800" w:type="dxa"/>
          </w:tcPr>
          <w:p w:rsidR="003B67F9" w:rsidRPr="008D4BBC" w:rsidRDefault="003B67F9" w:rsidP="008D4BBC">
            <w:pPr>
              <w:widowControl w:val="0"/>
              <w:spacing w:line="276" w:lineRule="auto"/>
              <w:rPr>
                <w:rFonts w:ascii="Times New Roman" w:hAnsi="Times New Roman"/>
                <w:color w:val="000000"/>
                <w:sz w:val="24"/>
                <w:szCs w:val="24"/>
                <w:lang w:val="uk-UA"/>
              </w:rPr>
            </w:pPr>
            <w:r w:rsidRPr="008D4BBC">
              <w:rPr>
                <w:rFonts w:ascii="Times New Roman" w:hAnsi="Times New Roman"/>
                <w:color w:val="000000"/>
                <w:sz w:val="24"/>
                <w:szCs w:val="24"/>
                <w:lang w:val="uk-UA"/>
              </w:rPr>
              <w:t>Співвідношення безпечних методів абортів до небезпечних</w:t>
            </w:r>
          </w:p>
        </w:tc>
        <w:tc>
          <w:tcPr>
            <w:tcW w:w="2948" w:type="dxa"/>
          </w:tcPr>
          <w:p w:rsidR="003B67F9" w:rsidRPr="00A43E6B" w:rsidRDefault="003B67F9" w:rsidP="008D4BBC">
            <w:pPr>
              <w:widowControl w:val="0"/>
              <w:spacing w:line="276" w:lineRule="auto"/>
              <w:rPr>
                <w:rFonts w:ascii="Times New Roman" w:hAnsi="Times New Roman"/>
                <w:color w:val="000000"/>
                <w:sz w:val="24"/>
                <w:szCs w:val="24"/>
              </w:rPr>
            </w:pPr>
            <w:r w:rsidRPr="008D4BBC">
              <w:rPr>
                <w:rFonts w:ascii="Times New Roman" w:hAnsi="Times New Roman"/>
                <w:color w:val="000000"/>
                <w:sz w:val="24"/>
                <w:szCs w:val="24"/>
                <w:lang w:val="uk-UA"/>
              </w:rPr>
              <w:t>Кількість безпечних методів абортів / кількість небезпечних методів абортів</w:t>
            </w:r>
          </w:p>
        </w:tc>
        <w:tc>
          <w:tcPr>
            <w:tcW w:w="773" w:type="dxa"/>
          </w:tcPr>
          <w:p w:rsidR="003B67F9" w:rsidRPr="008D4BBC" w:rsidRDefault="003B67F9" w:rsidP="008D4BBC">
            <w:pPr>
              <w:widowControl w:val="0"/>
              <w:spacing w:line="276" w:lineRule="auto"/>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10</w:t>
            </w:r>
          </w:p>
        </w:tc>
        <w:tc>
          <w:tcPr>
            <w:tcW w:w="773" w:type="dxa"/>
          </w:tcPr>
          <w:p w:rsidR="003B67F9" w:rsidRPr="008D4BBC" w:rsidRDefault="003B67F9" w:rsidP="008D4BBC">
            <w:pPr>
              <w:widowControl w:val="0"/>
              <w:spacing w:line="276" w:lineRule="auto"/>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7</w:t>
            </w:r>
          </w:p>
        </w:tc>
        <w:tc>
          <w:tcPr>
            <w:tcW w:w="859" w:type="dxa"/>
          </w:tcPr>
          <w:p w:rsidR="003B67F9" w:rsidRPr="008D4BBC" w:rsidRDefault="003B67F9" w:rsidP="008D4BBC">
            <w:pPr>
              <w:widowControl w:val="0"/>
              <w:spacing w:line="276" w:lineRule="auto"/>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0,7</w:t>
            </w:r>
          </w:p>
        </w:tc>
        <w:tc>
          <w:tcPr>
            <w:tcW w:w="540" w:type="dxa"/>
          </w:tcPr>
          <w:p w:rsidR="003B67F9" w:rsidRPr="008D4BBC" w:rsidRDefault="003B67F9" w:rsidP="008D4BBC">
            <w:pPr>
              <w:widowControl w:val="0"/>
              <w:spacing w:line="276" w:lineRule="auto"/>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w:t>
            </w:r>
          </w:p>
        </w:tc>
        <w:tc>
          <w:tcPr>
            <w:tcW w:w="540" w:type="dxa"/>
          </w:tcPr>
          <w:p w:rsidR="003B67F9" w:rsidRPr="008D4BBC" w:rsidRDefault="003B67F9" w:rsidP="008D4BBC">
            <w:pPr>
              <w:widowControl w:val="0"/>
              <w:spacing w:line="276" w:lineRule="auto"/>
              <w:jc w:val="center"/>
              <w:rPr>
                <w:rFonts w:ascii="Times New Roman" w:hAnsi="Times New Roman"/>
                <w:color w:val="000000"/>
                <w:sz w:val="24"/>
                <w:szCs w:val="24"/>
                <w:lang w:val="uk-UA"/>
              </w:rPr>
            </w:pPr>
          </w:p>
        </w:tc>
        <w:tc>
          <w:tcPr>
            <w:tcW w:w="540" w:type="dxa"/>
          </w:tcPr>
          <w:p w:rsidR="003B67F9" w:rsidRPr="008D4BBC" w:rsidRDefault="003B67F9" w:rsidP="008D4BBC">
            <w:pPr>
              <w:widowControl w:val="0"/>
              <w:spacing w:line="276" w:lineRule="auto"/>
              <w:jc w:val="center"/>
              <w:rPr>
                <w:rFonts w:ascii="Times New Roman" w:hAnsi="Times New Roman"/>
                <w:color w:val="000000"/>
                <w:sz w:val="24"/>
                <w:szCs w:val="24"/>
                <w:lang w:val="uk-UA"/>
              </w:rPr>
            </w:pPr>
          </w:p>
        </w:tc>
        <w:tc>
          <w:tcPr>
            <w:tcW w:w="433" w:type="dxa"/>
          </w:tcPr>
          <w:p w:rsidR="003B67F9" w:rsidRPr="008D4BBC" w:rsidRDefault="003B67F9" w:rsidP="008D4BBC">
            <w:pPr>
              <w:widowControl w:val="0"/>
              <w:spacing w:line="276" w:lineRule="auto"/>
              <w:jc w:val="center"/>
              <w:rPr>
                <w:rFonts w:ascii="Times New Roman" w:hAnsi="Times New Roman"/>
                <w:color w:val="000000"/>
                <w:sz w:val="24"/>
                <w:szCs w:val="24"/>
                <w:lang w:val="uk-UA"/>
              </w:rPr>
            </w:pPr>
          </w:p>
        </w:tc>
      </w:tr>
      <w:tr w:rsidR="00A43E6B" w:rsidRPr="008D4BBC" w:rsidTr="00360E81">
        <w:tc>
          <w:tcPr>
            <w:tcW w:w="2800" w:type="dxa"/>
          </w:tcPr>
          <w:p w:rsidR="00A43E6B" w:rsidRPr="008D4BBC" w:rsidRDefault="00A43E6B" w:rsidP="00470433">
            <w:pPr>
              <w:widowControl w:val="0"/>
              <w:spacing w:line="276" w:lineRule="auto"/>
              <w:rPr>
                <w:rFonts w:ascii="Times New Roman" w:hAnsi="Times New Roman"/>
                <w:color w:val="000000"/>
                <w:sz w:val="24"/>
                <w:szCs w:val="24"/>
                <w:lang w:val="uk-UA"/>
              </w:rPr>
            </w:pPr>
            <w:r w:rsidRPr="008D4BBC">
              <w:rPr>
                <w:rFonts w:ascii="Times New Roman" w:hAnsi="Times New Roman"/>
                <w:color w:val="000000"/>
                <w:sz w:val="24"/>
                <w:szCs w:val="24"/>
                <w:lang w:val="uk-UA"/>
              </w:rPr>
              <w:t>Частота анемій вагітних</w:t>
            </w:r>
          </w:p>
        </w:tc>
        <w:tc>
          <w:tcPr>
            <w:tcW w:w="2948" w:type="dxa"/>
          </w:tcPr>
          <w:p w:rsidR="00A43E6B" w:rsidRPr="008D4BBC" w:rsidRDefault="00A43E6B" w:rsidP="00470433">
            <w:pPr>
              <w:widowControl w:val="0"/>
              <w:spacing w:line="276" w:lineRule="auto"/>
              <w:rPr>
                <w:rFonts w:ascii="Times New Roman" w:hAnsi="Times New Roman"/>
                <w:color w:val="000000"/>
                <w:sz w:val="24"/>
                <w:szCs w:val="24"/>
                <w:lang w:val="uk-UA"/>
              </w:rPr>
            </w:pPr>
            <w:r w:rsidRPr="008D4BBC">
              <w:rPr>
                <w:rFonts w:ascii="Times New Roman" w:hAnsi="Times New Roman"/>
                <w:iCs/>
                <w:color w:val="000000"/>
                <w:kern w:val="28"/>
                <w:sz w:val="24"/>
                <w:szCs w:val="24"/>
                <w:lang w:val="uk-UA"/>
              </w:rPr>
              <w:t>На 100 вагітних, що закінчили вагітність</w:t>
            </w:r>
          </w:p>
        </w:tc>
        <w:tc>
          <w:tcPr>
            <w:tcW w:w="773" w:type="dxa"/>
          </w:tcPr>
          <w:p w:rsidR="00A43E6B" w:rsidRPr="008D4BBC" w:rsidRDefault="00A43E6B" w:rsidP="00470433">
            <w:pPr>
              <w:widowControl w:val="0"/>
              <w:spacing w:line="276" w:lineRule="auto"/>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20</w:t>
            </w:r>
          </w:p>
        </w:tc>
        <w:tc>
          <w:tcPr>
            <w:tcW w:w="773" w:type="dxa"/>
          </w:tcPr>
          <w:p w:rsidR="00A43E6B" w:rsidRPr="008D4BBC" w:rsidRDefault="00A43E6B" w:rsidP="00470433">
            <w:pPr>
              <w:widowControl w:val="0"/>
              <w:spacing w:line="276" w:lineRule="auto"/>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4</w:t>
            </w:r>
          </w:p>
        </w:tc>
        <w:tc>
          <w:tcPr>
            <w:tcW w:w="859" w:type="dxa"/>
          </w:tcPr>
          <w:p w:rsidR="00A43E6B" w:rsidRPr="008D4BBC" w:rsidRDefault="00A43E6B" w:rsidP="00470433">
            <w:pPr>
              <w:widowControl w:val="0"/>
              <w:spacing w:line="276" w:lineRule="auto"/>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0,20</w:t>
            </w:r>
          </w:p>
        </w:tc>
        <w:tc>
          <w:tcPr>
            <w:tcW w:w="540" w:type="dxa"/>
          </w:tcPr>
          <w:p w:rsidR="00A43E6B" w:rsidRPr="008D4BBC" w:rsidRDefault="00A43E6B" w:rsidP="00470433">
            <w:pPr>
              <w:widowControl w:val="0"/>
              <w:spacing w:line="276" w:lineRule="auto"/>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w:t>
            </w:r>
          </w:p>
        </w:tc>
        <w:tc>
          <w:tcPr>
            <w:tcW w:w="540" w:type="dxa"/>
          </w:tcPr>
          <w:p w:rsidR="00A43E6B" w:rsidRPr="008D4BBC" w:rsidRDefault="00A43E6B" w:rsidP="00470433">
            <w:pPr>
              <w:widowControl w:val="0"/>
              <w:spacing w:line="276" w:lineRule="auto"/>
              <w:jc w:val="center"/>
              <w:rPr>
                <w:rFonts w:ascii="Times New Roman" w:hAnsi="Times New Roman"/>
                <w:color w:val="000000"/>
                <w:sz w:val="24"/>
                <w:szCs w:val="24"/>
                <w:lang w:val="uk-UA"/>
              </w:rPr>
            </w:pPr>
          </w:p>
        </w:tc>
        <w:tc>
          <w:tcPr>
            <w:tcW w:w="540" w:type="dxa"/>
          </w:tcPr>
          <w:p w:rsidR="00A43E6B" w:rsidRPr="008D4BBC" w:rsidRDefault="00A43E6B" w:rsidP="00470433">
            <w:pPr>
              <w:widowControl w:val="0"/>
              <w:spacing w:line="276" w:lineRule="auto"/>
              <w:jc w:val="center"/>
              <w:rPr>
                <w:rFonts w:ascii="Times New Roman" w:hAnsi="Times New Roman"/>
                <w:color w:val="000000"/>
                <w:sz w:val="24"/>
                <w:szCs w:val="24"/>
                <w:lang w:val="uk-UA"/>
              </w:rPr>
            </w:pPr>
          </w:p>
        </w:tc>
        <w:tc>
          <w:tcPr>
            <w:tcW w:w="433" w:type="dxa"/>
          </w:tcPr>
          <w:p w:rsidR="00A43E6B" w:rsidRPr="008D4BBC" w:rsidRDefault="00A43E6B" w:rsidP="00470433">
            <w:pPr>
              <w:widowControl w:val="0"/>
              <w:spacing w:line="276" w:lineRule="auto"/>
              <w:jc w:val="center"/>
              <w:rPr>
                <w:rFonts w:ascii="Times New Roman" w:hAnsi="Times New Roman"/>
                <w:color w:val="000000"/>
                <w:sz w:val="24"/>
                <w:szCs w:val="24"/>
                <w:lang w:val="uk-UA"/>
              </w:rPr>
            </w:pPr>
          </w:p>
        </w:tc>
      </w:tr>
    </w:tbl>
    <w:p w:rsidR="00456C2E" w:rsidRDefault="00456C2E" w:rsidP="00F40F98">
      <w:pPr>
        <w:rPr>
          <w:i/>
          <w:lang w:val="ru-RU"/>
        </w:rPr>
      </w:pPr>
    </w:p>
    <w:p w:rsidR="00872F54" w:rsidRPr="00872F54" w:rsidRDefault="00872F54" w:rsidP="00F40F98">
      <w:pPr>
        <w:pageBreakBefore/>
        <w:jc w:val="right"/>
        <w:rPr>
          <w:i/>
          <w:lang w:val="ru-RU"/>
        </w:rPr>
      </w:pPr>
      <w:r w:rsidRPr="00872F54">
        <w:rPr>
          <w:i/>
          <w:lang w:val="ru-RU"/>
        </w:rPr>
        <w:lastRenderedPageBreak/>
        <w:t>Продовження табл. 7.2</w:t>
      </w:r>
    </w:p>
    <w:tbl>
      <w:tblPr>
        <w:tblStyle w:val="a6"/>
        <w:tblW w:w="0" w:type="auto"/>
        <w:tblInd w:w="108" w:type="dxa"/>
        <w:tblLayout w:type="fixed"/>
        <w:tblLook w:val="04A0" w:firstRow="1" w:lastRow="0" w:firstColumn="1" w:lastColumn="0" w:noHBand="0" w:noVBand="1"/>
      </w:tblPr>
      <w:tblGrid>
        <w:gridCol w:w="2800"/>
        <w:gridCol w:w="2948"/>
        <w:gridCol w:w="773"/>
        <w:gridCol w:w="773"/>
        <w:gridCol w:w="859"/>
        <w:gridCol w:w="540"/>
        <w:gridCol w:w="540"/>
        <w:gridCol w:w="540"/>
        <w:gridCol w:w="433"/>
      </w:tblGrid>
      <w:tr w:rsidR="003B67F9" w:rsidRPr="008D4BBC" w:rsidTr="00360E81">
        <w:tc>
          <w:tcPr>
            <w:tcW w:w="2800" w:type="dxa"/>
          </w:tcPr>
          <w:p w:rsidR="003B67F9" w:rsidRPr="008D4BBC" w:rsidRDefault="003B67F9" w:rsidP="008D4BBC">
            <w:pPr>
              <w:widowControl w:val="0"/>
              <w:spacing w:line="276" w:lineRule="auto"/>
              <w:rPr>
                <w:rFonts w:ascii="Times New Roman" w:hAnsi="Times New Roman"/>
                <w:color w:val="000000"/>
                <w:sz w:val="24"/>
                <w:szCs w:val="24"/>
                <w:lang w:val="uk-UA"/>
              </w:rPr>
            </w:pPr>
            <w:r w:rsidRPr="008D4BBC">
              <w:rPr>
                <w:rFonts w:ascii="Times New Roman" w:hAnsi="Times New Roman"/>
                <w:color w:val="000000"/>
                <w:sz w:val="24"/>
                <w:szCs w:val="24"/>
                <w:lang w:val="uk-UA"/>
              </w:rPr>
              <w:t>Своєчасність постановки на облік вагітних</w:t>
            </w:r>
          </w:p>
        </w:tc>
        <w:tc>
          <w:tcPr>
            <w:tcW w:w="2948" w:type="dxa"/>
          </w:tcPr>
          <w:p w:rsidR="003B67F9" w:rsidRPr="008D4BBC" w:rsidRDefault="003B67F9" w:rsidP="008D4BBC">
            <w:pPr>
              <w:widowControl w:val="0"/>
              <w:spacing w:line="276" w:lineRule="auto"/>
              <w:rPr>
                <w:rFonts w:ascii="Times New Roman" w:hAnsi="Times New Roman"/>
                <w:color w:val="000000"/>
                <w:sz w:val="24"/>
                <w:szCs w:val="24"/>
                <w:lang w:val="uk-UA"/>
              </w:rPr>
            </w:pPr>
            <w:r w:rsidRPr="008D4BBC">
              <w:rPr>
                <w:rFonts w:ascii="Times New Roman" w:hAnsi="Times New Roman"/>
                <w:iCs/>
                <w:color w:val="000000"/>
                <w:kern w:val="28"/>
                <w:sz w:val="24"/>
                <w:szCs w:val="24"/>
                <w:lang w:val="uk-UA"/>
              </w:rPr>
              <w:t>На</w:t>
            </w:r>
            <w:r w:rsidRPr="008D4BBC">
              <w:rPr>
                <w:rFonts w:ascii="Times New Roman" w:hAnsi="Times New Roman"/>
                <w:color w:val="000000"/>
                <w:kern w:val="28"/>
                <w:sz w:val="24"/>
                <w:szCs w:val="24"/>
                <w:lang w:val="uk-UA"/>
              </w:rPr>
              <w:t xml:space="preserve"> 100 </w:t>
            </w:r>
            <w:r w:rsidRPr="008D4BBC">
              <w:rPr>
                <w:rFonts w:ascii="Times New Roman" w:hAnsi="Times New Roman"/>
                <w:iCs/>
                <w:color w:val="000000"/>
                <w:kern w:val="28"/>
                <w:sz w:val="24"/>
                <w:szCs w:val="24"/>
                <w:lang w:val="uk-UA"/>
              </w:rPr>
              <w:t>вагітних, які надійшли для нагляду</w:t>
            </w:r>
          </w:p>
        </w:tc>
        <w:tc>
          <w:tcPr>
            <w:tcW w:w="773" w:type="dxa"/>
          </w:tcPr>
          <w:p w:rsidR="003B67F9" w:rsidRPr="008D4BBC" w:rsidRDefault="003B67F9" w:rsidP="008D4BBC">
            <w:pPr>
              <w:widowControl w:val="0"/>
              <w:spacing w:line="276" w:lineRule="auto"/>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95</w:t>
            </w:r>
          </w:p>
        </w:tc>
        <w:tc>
          <w:tcPr>
            <w:tcW w:w="773" w:type="dxa"/>
          </w:tcPr>
          <w:p w:rsidR="003B67F9" w:rsidRPr="008D4BBC" w:rsidRDefault="003B67F9" w:rsidP="008D4BBC">
            <w:pPr>
              <w:widowControl w:val="0"/>
              <w:spacing w:line="276" w:lineRule="auto"/>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7</w:t>
            </w:r>
          </w:p>
        </w:tc>
        <w:tc>
          <w:tcPr>
            <w:tcW w:w="859" w:type="dxa"/>
          </w:tcPr>
          <w:p w:rsidR="003B67F9" w:rsidRPr="008D4BBC" w:rsidRDefault="003B67F9" w:rsidP="008D4BBC">
            <w:pPr>
              <w:widowControl w:val="0"/>
              <w:spacing w:line="276" w:lineRule="auto"/>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0,07</w:t>
            </w:r>
          </w:p>
        </w:tc>
        <w:tc>
          <w:tcPr>
            <w:tcW w:w="540" w:type="dxa"/>
          </w:tcPr>
          <w:p w:rsidR="003B67F9" w:rsidRPr="008D4BBC" w:rsidRDefault="003B67F9" w:rsidP="008D4BBC">
            <w:pPr>
              <w:widowControl w:val="0"/>
              <w:spacing w:line="276" w:lineRule="auto"/>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w:t>
            </w:r>
          </w:p>
        </w:tc>
        <w:tc>
          <w:tcPr>
            <w:tcW w:w="540" w:type="dxa"/>
          </w:tcPr>
          <w:p w:rsidR="003B67F9" w:rsidRPr="008D4BBC" w:rsidRDefault="003B67F9" w:rsidP="008D4BBC">
            <w:pPr>
              <w:widowControl w:val="0"/>
              <w:spacing w:line="276" w:lineRule="auto"/>
              <w:jc w:val="center"/>
              <w:rPr>
                <w:rFonts w:ascii="Times New Roman" w:hAnsi="Times New Roman"/>
                <w:color w:val="000000"/>
                <w:sz w:val="24"/>
                <w:szCs w:val="24"/>
                <w:lang w:val="uk-UA"/>
              </w:rPr>
            </w:pPr>
          </w:p>
        </w:tc>
        <w:tc>
          <w:tcPr>
            <w:tcW w:w="540" w:type="dxa"/>
          </w:tcPr>
          <w:p w:rsidR="003B67F9" w:rsidRPr="008D4BBC" w:rsidRDefault="003B67F9" w:rsidP="008D4BBC">
            <w:pPr>
              <w:widowControl w:val="0"/>
              <w:spacing w:line="276" w:lineRule="auto"/>
              <w:jc w:val="center"/>
              <w:rPr>
                <w:rFonts w:ascii="Times New Roman" w:hAnsi="Times New Roman"/>
                <w:color w:val="000000"/>
                <w:sz w:val="24"/>
                <w:szCs w:val="24"/>
                <w:lang w:val="uk-UA"/>
              </w:rPr>
            </w:pPr>
          </w:p>
        </w:tc>
        <w:tc>
          <w:tcPr>
            <w:tcW w:w="433" w:type="dxa"/>
          </w:tcPr>
          <w:p w:rsidR="003B67F9" w:rsidRPr="008D4BBC" w:rsidRDefault="003B67F9" w:rsidP="008D4BBC">
            <w:pPr>
              <w:widowControl w:val="0"/>
              <w:spacing w:line="276" w:lineRule="auto"/>
              <w:rPr>
                <w:rFonts w:ascii="Times New Roman" w:hAnsi="Times New Roman"/>
                <w:color w:val="000000"/>
                <w:sz w:val="24"/>
                <w:szCs w:val="24"/>
                <w:lang w:val="uk-UA"/>
              </w:rPr>
            </w:pPr>
          </w:p>
        </w:tc>
      </w:tr>
      <w:tr w:rsidR="003B67F9" w:rsidRPr="008D4BBC" w:rsidTr="00360E81">
        <w:tc>
          <w:tcPr>
            <w:tcW w:w="2800" w:type="dxa"/>
          </w:tcPr>
          <w:p w:rsidR="003B67F9" w:rsidRPr="008D4BBC" w:rsidRDefault="003B67F9" w:rsidP="008D4BBC">
            <w:pPr>
              <w:widowControl w:val="0"/>
              <w:spacing w:line="276" w:lineRule="auto"/>
              <w:rPr>
                <w:rFonts w:ascii="Times New Roman" w:hAnsi="Times New Roman"/>
                <w:color w:val="000000"/>
                <w:sz w:val="24"/>
                <w:szCs w:val="24"/>
                <w:lang w:val="uk-UA"/>
              </w:rPr>
            </w:pPr>
            <w:r w:rsidRPr="008D4BBC">
              <w:rPr>
                <w:rFonts w:ascii="Times New Roman" w:hAnsi="Times New Roman"/>
                <w:color w:val="000000"/>
                <w:sz w:val="24"/>
                <w:szCs w:val="24"/>
                <w:lang w:val="uk-UA"/>
              </w:rPr>
              <w:t>Частота прееклампсій та еклампсій вагітних</w:t>
            </w:r>
          </w:p>
        </w:tc>
        <w:tc>
          <w:tcPr>
            <w:tcW w:w="2948" w:type="dxa"/>
          </w:tcPr>
          <w:p w:rsidR="003B67F9" w:rsidRPr="008D4BBC" w:rsidRDefault="003B67F9" w:rsidP="008D4BBC">
            <w:pPr>
              <w:widowControl w:val="0"/>
              <w:spacing w:line="276" w:lineRule="auto"/>
              <w:rPr>
                <w:rFonts w:ascii="Times New Roman" w:hAnsi="Times New Roman"/>
                <w:color w:val="000000"/>
                <w:sz w:val="24"/>
                <w:szCs w:val="24"/>
                <w:lang w:val="uk-UA"/>
              </w:rPr>
            </w:pPr>
            <w:r w:rsidRPr="008D4BBC">
              <w:rPr>
                <w:rFonts w:ascii="Times New Roman" w:hAnsi="Times New Roman"/>
                <w:iCs/>
                <w:color w:val="000000"/>
                <w:kern w:val="28"/>
                <w:sz w:val="24"/>
                <w:szCs w:val="24"/>
                <w:lang w:val="uk-UA"/>
              </w:rPr>
              <w:t>На 100 вагітних, що закінчили вагітність</w:t>
            </w:r>
          </w:p>
        </w:tc>
        <w:tc>
          <w:tcPr>
            <w:tcW w:w="773" w:type="dxa"/>
          </w:tcPr>
          <w:p w:rsidR="003B67F9" w:rsidRPr="008D4BBC" w:rsidRDefault="003B67F9" w:rsidP="008D4BBC">
            <w:pPr>
              <w:widowControl w:val="0"/>
              <w:spacing w:line="276" w:lineRule="auto"/>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1,75</w:t>
            </w:r>
          </w:p>
        </w:tc>
        <w:tc>
          <w:tcPr>
            <w:tcW w:w="773" w:type="dxa"/>
          </w:tcPr>
          <w:p w:rsidR="003B67F9" w:rsidRPr="008D4BBC" w:rsidRDefault="003B67F9" w:rsidP="008D4BBC">
            <w:pPr>
              <w:widowControl w:val="0"/>
              <w:spacing w:line="276" w:lineRule="auto"/>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7</w:t>
            </w:r>
          </w:p>
        </w:tc>
        <w:tc>
          <w:tcPr>
            <w:tcW w:w="859" w:type="dxa"/>
          </w:tcPr>
          <w:p w:rsidR="003B67F9" w:rsidRPr="008D4BBC" w:rsidRDefault="003B67F9" w:rsidP="008D4BBC">
            <w:pPr>
              <w:widowControl w:val="0"/>
              <w:spacing w:line="276" w:lineRule="auto"/>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4,00</w:t>
            </w:r>
          </w:p>
        </w:tc>
        <w:tc>
          <w:tcPr>
            <w:tcW w:w="540" w:type="dxa"/>
          </w:tcPr>
          <w:p w:rsidR="003B67F9" w:rsidRPr="008D4BBC" w:rsidRDefault="003B67F9" w:rsidP="008D4BBC">
            <w:pPr>
              <w:widowControl w:val="0"/>
              <w:spacing w:line="276" w:lineRule="auto"/>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w:t>
            </w:r>
          </w:p>
        </w:tc>
        <w:tc>
          <w:tcPr>
            <w:tcW w:w="540" w:type="dxa"/>
          </w:tcPr>
          <w:p w:rsidR="003B67F9" w:rsidRPr="008D4BBC" w:rsidRDefault="003B67F9" w:rsidP="008D4BBC">
            <w:pPr>
              <w:widowControl w:val="0"/>
              <w:spacing w:line="276" w:lineRule="auto"/>
              <w:jc w:val="center"/>
              <w:rPr>
                <w:rFonts w:ascii="Times New Roman" w:hAnsi="Times New Roman"/>
                <w:color w:val="000000"/>
                <w:sz w:val="24"/>
                <w:szCs w:val="24"/>
                <w:lang w:val="uk-UA"/>
              </w:rPr>
            </w:pPr>
          </w:p>
        </w:tc>
        <w:tc>
          <w:tcPr>
            <w:tcW w:w="540" w:type="dxa"/>
          </w:tcPr>
          <w:p w:rsidR="003B67F9" w:rsidRPr="008D4BBC" w:rsidRDefault="003B67F9" w:rsidP="008D4BBC">
            <w:pPr>
              <w:widowControl w:val="0"/>
              <w:spacing w:line="276" w:lineRule="auto"/>
              <w:jc w:val="center"/>
              <w:rPr>
                <w:rFonts w:ascii="Times New Roman" w:hAnsi="Times New Roman"/>
                <w:color w:val="000000"/>
                <w:sz w:val="24"/>
                <w:szCs w:val="24"/>
                <w:lang w:val="uk-UA"/>
              </w:rPr>
            </w:pPr>
          </w:p>
        </w:tc>
        <w:tc>
          <w:tcPr>
            <w:tcW w:w="433" w:type="dxa"/>
          </w:tcPr>
          <w:p w:rsidR="003B67F9" w:rsidRPr="008D4BBC" w:rsidRDefault="003B67F9" w:rsidP="008D4BBC">
            <w:pPr>
              <w:widowControl w:val="0"/>
              <w:spacing w:line="276" w:lineRule="auto"/>
              <w:jc w:val="center"/>
              <w:rPr>
                <w:rFonts w:ascii="Times New Roman" w:hAnsi="Times New Roman"/>
                <w:color w:val="000000"/>
                <w:sz w:val="24"/>
                <w:szCs w:val="24"/>
                <w:lang w:val="uk-UA"/>
              </w:rPr>
            </w:pPr>
          </w:p>
        </w:tc>
      </w:tr>
      <w:tr w:rsidR="003B67F9" w:rsidRPr="008D4BBC" w:rsidTr="00360E81">
        <w:tc>
          <w:tcPr>
            <w:tcW w:w="2800" w:type="dxa"/>
          </w:tcPr>
          <w:p w:rsidR="003B67F9" w:rsidRPr="008D4BBC" w:rsidRDefault="003B67F9" w:rsidP="008D4BBC">
            <w:pPr>
              <w:widowControl w:val="0"/>
              <w:spacing w:line="276" w:lineRule="auto"/>
              <w:rPr>
                <w:rFonts w:ascii="Times New Roman" w:hAnsi="Times New Roman"/>
                <w:color w:val="000000"/>
                <w:sz w:val="24"/>
                <w:szCs w:val="24"/>
                <w:lang w:val="uk-UA"/>
              </w:rPr>
            </w:pPr>
            <w:r w:rsidRPr="008D4BBC">
              <w:rPr>
                <w:rFonts w:ascii="Times New Roman" w:hAnsi="Times New Roman"/>
                <w:color w:val="000000"/>
                <w:sz w:val="24"/>
                <w:szCs w:val="24"/>
                <w:lang w:val="uk-UA"/>
              </w:rPr>
              <w:t>Невиношування вагітності</w:t>
            </w:r>
          </w:p>
        </w:tc>
        <w:tc>
          <w:tcPr>
            <w:tcW w:w="2948" w:type="dxa"/>
          </w:tcPr>
          <w:p w:rsidR="003B67F9" w:rsidRPr="008D4BBC" w:rsidRDefault="003B67F9" w:rsidP="008D4BBC">
            <w:pPr>
              <w:widowControl w:val="0"/>
              <w:spacing w:line="276" w:lineRule="auto"/>
              <w:rPr>
                <w:rFonts w:ascii="Times New Roman" w:hAnsi="Times New Roman"/>
                <w:color w:val="000000"/>
                <w:sz w:val="24"/>
                <w:szCs w:val="24"/>
                <w:lang w:val="uk-UA"/>
              </w:rPr>
            </w:pPr>
            <w:r w:rsidRPr="008D4BBC">
              <w:rPr>
                <w:rFonts w:ascii="Times New Roman" w:hAnsi="Times New Roman"/>
                <w:iCs/>
                <w:color w:val="000000"/>
                <w:kern w:val="28"/>
                <w:sz w:val="24"/>
                <w:szCs w:val="24"/>
                <w:lang w:val="uk-UA"/>
              </w:rPr>
              <w:t xml:space="preserve">Кількість жінок, у яких вагітність закінчилася передчасними пологами та абортами самовільними і за медичними показаннями </w:t>
            </w:r>
            <w:r w:rsidRPr="008D4BBC">
              <w:rPr>
                <w:rFonts w:ascii="Times New Roman" w:hAnsi="Times New Roman"/>
                <w:sz w:val="24"/>
                <w:szCs w:val="24"/>
                <w:lang w:val="uk-UA" w:eastAsia="uk-UA"/>
              </w:rPr>
              <w:t>×</w:t>
            </w:r>
            <w:r w:rsidRPr="008D4BBC">
              <w:rPr>
                <w:rFonts w:ascii="Times New Roman" w:hAnsi="Times New Roman"/>
                <w:iCs/>
                <w:color w:val="000000"/>
                <w:kern w:val="28"/>
                <w:sz w:val="24"/>
                <w:szCs w:val="24"/>
                <w:lang w:val="uk-UA"/>
              </w:rPr>
              <w:t>100/загальна кількість жінок, що закінчили  вагітність</w:t>
            </w:r>
          </w:p>
        </w:tc>
        <w:tc>
          <w:tcPr>
            <w:tcW w:w="773" w:type="dxa"/>
          </w:tcPr>
          <w:p w:rsidR="003B67F9" w:rsidRPr="008D4BBC" w:rsidRDefault="003B67F9" w:rsidP="008D4BBC">
            <w:pPr>
              <w:widowControl w:val="0"/>
              <w:spacing w:line="276" w:lineRule="auto"/>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4,5</w:t>
            </w:r>
          </w:p>
        </w:tc>
        <w:tc>
          <w:tcPr>
            <w:tcW w:w="773" w:type="dxa"/>
          </w:tcPr>
          <w:p w:rsidR="003B67F9" w:rsidRPr="008D4BBC" w:rsidRDefault="003B67F9" w:rsidP="008D4BBC">
            <w:pPr>
              <w:widowControl w:val="0"/>
              <w:spacing w:line="276" w:lineRule="auto"/>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5</w:t>
            </w:r>
          </w:p>
        </w:tc>
        <w:tc>
          <w:tcPr>
            <w:tcW w:w="859" w:type="dxa"/>
          </w:tcPr>
          <w:p w:rsidR="003B67F9" w:rsidRPr="008D4BBC" w:rsidRDefault="003B67F9" w:rsidP="008D4BBC">
            <w:pPr>
              <w:widowControl w:val="0"/>
              <w:spacing w:line="276" w:lineRule="auto"/>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1,1</w:t>
            </w:r>
          </w:p>
        </w:tc>
        <w:tc>
          <w:tcPr>
            <w:tcW w:w="540" w:type="dxa"/>
          </w:tcPr>
          <w:p w:rsidR="003B67F9" w:rsidRPr="008D4BBC" w:rsidRDefault="003B67F9" w:rsidP="008D4BBC">
            <w:pPr>
              <w:widowControl w:val="0"/>
              <w:spacing w:line="276" w:lineRule="auto"/>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w:t>
            </w:r>
          </w:p>
        </w:tc>
        <w:tc>
          <w:tcPr>
            <w:tcW w:w="540" w:type="dxa"/>
          </w:tcPr>
          <w:p w:rsidR="003B67F9" w:rsidRPr="008D4BBC" w:rsidRDefault="003B67F9" w:rsidP="008D4BBC">
            <w:pPr>
              <w:widowControl w:val="0"/>
              <w:spacing w:line="276" w:lineRule="auto"/>
              <w:jc w:val="center"/>
              <w:rPr>
                <w:rFonts w:ascii="Times New Roman" w:hAnsi="Times New Roman"/>
                <w:color w:val="000000"/>
                <w:sz w:val="24"/>
                <w:szCs w:val="24"/>
                <w:lang w:val="uk-UA"/>
              </w:rPr>
            </w:pPr>
          </w:p>
        </w:tc>
        <w:tc>
          <w:tcPr>
            <w:tcW w:w="540" w:type="dxa"/>
          </w:tcPr>
          <w:p w:rsidR="003B67F9" w:rsidRPr="008D4BBC" w:rsidRDefault="003B67F9" w:rsidP="008D4BBC">
            <w:pPr>
              <w:widowControl w:val="0"/>
              <w:spacing w:line="276" w:lineRule="auto"/>
              <w:jc w:val="center"/>
              <w:rPr>
                <w:rFonts w:ascii="Times New Roman" w:hAnsi="Times New Roman"/>
                <w:color w:val="000000"/>
                <w:sz w:val="24"/>
                <w:szCs w:val="24"/>
                <w:lang w:val="uk-UA"/>
              </w:rPr>
            </w:pPr>
          </w:p>
        </w:tc>
        <w:tc>
          <w:tcPr>
            <w:tcW w:w="433" w:type="dxa"/>
          </w:tcPr>
          <w:p w:rsidR="003B67F9" w:rsidRPr="008D4BBC" w:rsidRDefault="003B67F9" w:rsidP="008D4BBC">
            <w:pPr>
              <w:widowControl w:val="0"/>
              <w:spacing w:line="276" w:lineRule="auto"/>
              <w:jc w:val="center"/>
              <w:rPr>
                <w:rFonts w:ascii="Times New Roman" w:hAnsi="Times New Roman"/>
                <w:color w:val="000000"/>
                <w:sz w:val="24"/>
                <w:szCs w:val="24"/>
                <w:lang w:val="uk-UA"/>
              </w:rPr>
            </w:pPr>
          </w:p>
        </w:tc>
      </w:tr>
      <w:tr w:rsidR="003B67F9" w:rsidRPr="008D4BBC" w:rsidTr="00360E81">
        <w:tc>
          <w:tcPr>
            <w:tcW w:w="2800" w:type="dxa"/>
          </w:tcPr>
          <w:p w:rsidR="003B67F9" w:rsidRPr="008D4BBC" w:rsidRDefault="003B67F9" w:rsidP="008D4BBC">
            <w:pPr>
              <w:widowControl w:val="0"/>
              <w:spacing w:line="276" w:lineRule="auto"/>
              <w:rPr>
                <w:rFonts w:ascii="Times New Roman" w:hAnsi="Times New Roman"/>
                <w:color w:val="000000"/>
                <w:sz w:val="24"/>
                <w:szCs w:val="24"/>
                <w:lang w:val="uk-UA"/>
              </w:rPr>
            </w:pPr>
            <w:r w:rsidRPr="008D4BBC">
              <w:rPr>
                <w:rFonts w:ascii="Times New Roman" w:hAnsi="Times New Roman"/>
                <w:color w:val="000000"/>
                <w:sz w:val="24"/>
                <w:szCs w:val="24"/>
                <w:lang w:val="uk-UA"/>
              </w:rPr>
              <w:t>Мертвонароджуваність</w:t>
            </w:r>
          </w:p>
        </w:tc>
        <w:tc>
          <w:tcPr>
            <w:tcW w:w="2948" w:type="dxa"/>
          </w:tcPr>
          <w:p w:rsidR="003B67F9" w:rsidRPr="008D4BBC" w:rsidRDefault="003B67F9" w:rsidP="008D4BBC">
            <w:pPr>
              <w:widowControl w:val="0"/>
              <w:spacing w:line="276" w:lineRule="auto"/>
              <w:rPr>
                <w:rFonts w:ascii="Times New Roman" w:hAnsi="Times New Roman"/>
                <w:color w:val="000000"/>
                <w:sz w:val="24"/>
                <w:szCs w:val="24"/>
                <w:lang w:val="uk-UA"/>
              </w:rPr>
            </w:pPr>
            <w:r w:rsidRPr="008D4BBC">
              <w:rPr>
                <w:rFonts w:ascii="Times New Roman" w:hAnsi="Times New Roman"/>
                <w:color w:val="000000"/>
                <w:sz w:val="24"/>
                <w:szCs w:val="24"/>
                <w:lang w:val="uk-UA"/>
              </w:rPr>
              <w:t xml:space="preserve">Кількість жінок, у яких вагітність закінчилася мертвонароджуваністю </w:t>
            </w:r>
            <w:r w:rsidRPr="008D4BBC">
              <w:rPr>
                <w:rFonts w:ascii="Times New Roman" w:hAnsi="Times New Roman"/>
                <w:sz w:val="24"/>
                <w:szCs w:val="24"/>
                <w:lang w:val="uk-UA" w:eastAsia="uk-UA"/>
              </w:rPr>
              <w:t>×</w:t>
            </w:r>
            <w:r w:rsidRPr="008D4BBC">
              <w:rPr>
                <w:rFonts w:ascii="Times New Roman" w:hAnsi="Times New Roman"/>
                <w:color w:val="000000"/>
                <w:sz w:val="24"/>
                <w:szCs w:val="24"/>
                <w:lang w:val="uk-UA"/>
              </w:rPr>
              <w:t xml:space="preserve"> 1000</w:t>
            </w:r>
            <w:r w:rsidR="001E2949">
              <w:rPr>
                <w:rFonts w:ascii="Times New Roman" w:hAnsi="Times New Roman"/>
                <w:color w:val="000000"/>
                <w:sz w:val="24"/>
                <w:szCs w:val="24"/>
              </w:rPr>
              <w:t xml:space="preserve"> </w:t>
            </w:r>
            <w:r w:rsidRPr="008D4BBC">
              <w:rPr>
                <w:rFonts w:ascii="Times New Roman" w:hAnsi="Times New Roman"/>
                <w:color w:val="000000"/>
                <w:sz w:val="24"/>
                <w:szCs w:val="24"/>
                <w:lang w:val="uk-UA"/>
              </w:rPr>
              <w:t xml:space="preserve">/ </w:t>
            </w:r>
            <w:r w:rsidRPr="008D4BBC">
              <w:rPr>
                <w:rFonts w:ascii="Times New Roman" w:hAnsi="Times New Roman"/>
                <w:iCs/>
                <w:color w:val="000000"/>
                <w:kern w:val="28"/>
                <w:sz w:val="24"/>
                <w:szCs w:val="24"/>
                <w:lang w:val="uk-UA"/>
              </w:rPr>
              <w:t>загальна кількість жінок, що закінчили вагітність</w:t>
            </w:r>
          </w:p>
        </w:tc>
        <w:tc>
          <w:tcPr>
            <w:tcW w:w="773" w:type="dxa"/>
          </w:tcPr>
          <w:p w:rsidR="003B67F9" w:rsidRPr="008D4BBC" w:rsidRDefault="003B67F9" w:rsidP="008D4BBC">
            <w:pPr>
              <w:widowControl w:val="0"/>
              <w:spacing w:line="276" w:lineRule="auto"/>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5,0</w:t>
            </w:r>
          </w:p>
        </w:tc>
        <w:tc>
          <w:tcPr>
            <w:tcW w:w="773" w:type="dxa"/>
          </w:tcPr>
          <w:p w:rsidR="003B67F9" w:rsidRPr="008D4BBC" w:rsidRDefault="003B67F9" w:rsidP="008D4BBC">
            <w:pPr>
              <w:widowControl w:val="0"/>
              <w:spacing w:line="276" w:lineRule="auto"/>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6</w:t>
            </w:r>
          </w:p>
        </w:tc>
        <w:tc>
          <w:tcPr>
            <w:tcW w:w="859" w:type="dxa"/>
          </w:tcPr>
          <w:p w:rsidR="003B67F9" w:rsidRPr="008D4BBC" w:rsidRDefault="003B67F9" w:rsidP="008D4BBC">
            <w:pPr>
              <w:widowControl w:val="0"/>
              <w:spacing w:line="276" w:lineRule="auto"/>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1,2</w:t>
            </w:r>
          </w:p>
        </w:tc>
        <w:tc>
          <w:tcPr>
            <w:tcW w:w="540" w:type="dxa"/>
          </w:tcPr>
          <w:p w:rsidR="003B67F9" w:rsidRPr="008D4BBC" w:rsidRDefault="003B67F9" w:rsidP="008D4BBC">
            <w:pPr>
              <w:widowControl w:val="0"/>
              <w:spacing w:line="276" w:lineRule="auto"/>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w:t>
            </w:r>
          </w:p>
        </w:tc>
        <w:tc>
          <w:tcPr>
            <w:tcW w:w="540" w:type="dxa"/>
          </w:tcPr>
          <w:p w:rsidR="003B67F9" w:rsidRPr="008D4BBC" w:rsidRDefault="003B67F9" w:rsidP="008D4BBC">
            <w:pPr>
              <w:widowControl w:val="0"/>
              <w:spacing w:line="276" w:lineRule="auto"/>
              <w:jc w:val="center"/>
              <w:rPr>
                <w:rFonts w:ascii="Times New Roman" w:hAnsi="Times New Roman"/>
                <w:color w:val="000000"/>
                <w:sz w:val="24"/>
                <w:szCs w:val="24"/>
                <w:lang w:val="uk-UA"/>
              </w:rPr>
            </w:pPr>
          </w:p>
        </w:tc>
        <w:tc>
          <w:tcPr>
            <w:tcW w:w="540" w:type="dxa"/>
          </w:tcPr>
          <w:p w:rsidR="003B67F9" w:rsidRPr="008D4BBC" w:rsidRDefault="003B67F9" w:rsidP="008D4BBC">
            <w:pPr>
              <w:widowControl w:val="0"/>
              <w:spacing w:line="276" w:lineRule="auto"/>
              <w:jc w:val="center"/>
              <w:rPr>
                <w:rFonts w:ascii="Times New Roman" w:hAnsi="Times New Roman"/>
                <w:color w:val="000000"/>
                <w:sz w:val="24"/>
                <w:szCs w:val="24"/>
                <w:lang w:val="uk-UA"/>
              </w:rPr>
            </w:pPr>
          </w:p>
        </w:tc>
        <w:tc>
          <w:tcPr>
            <w:tcW w:w="433" w:type="dxa"/>
          </w:tcPr>
          <w:p w:rsidR="003B67F9" w:rsidRPr="008D4BBC" w:rsidRDefault="003B67F9" w:rsidP="008D4BBC">
            <w:pPr>
              <w:widowControl w:val="0"/>
              <w:spacing w:line="276" w:lineRule="auto"/>
              <w:jc w:val="center"/>
              <w:rPr>
                <w:rFonts w:ascii="Times New Roman" w:hAnsi="Times New Roman"/>
                <w:color w:val="000000"/>
                <w:sz w:val="24"/>
                <w:szCs w:val="24"/>
                <w:lang w:val="uk-UA"/>
              </w:rPr>
            </w:pPr>
          </w:p>
        </w:tc>
      </w:tr>
      <w:tr w:rsidR="003B67F9" w:rsidRPr="008D4BBC" w:rsidTr="00360E81">
        <w:tc>
          <w:tcPr>
            <w:tcW w:w="2800" w:type="dxa"/>
          </w:tcPr>
          <w:p w:rsidR="003B67F9" w:rsidRPr="008D4BBC" w:rsidRDefault="003B67F9" w:rsidP="008D4BBC">
            <w:pPr>
              <w:widowControl w:val="0"/>
              <w:spacing w:line="276" w:lineRule="auto"/>
              <w:rPr>
                <w:rFonts w:ascii="Times New Roman" w:hAnsi="Times New Roman"/>
                <w:color w:val="000000"/>
                <w:sz w:val="24"/>
                <w:szCs w:val="24"/>
                <w:lang w:val="uk-UA"/>
              </w:rPr>
            </w:pPr>
            <w:r w:rsidRPr="008D4BBC">
              <w:rPr>
                <w:rFonts w:ascii="Times New Roman" w:hAnsi="Times New Roman"/>
                <w:color w:val="000000"/>
                <w:sz w:val="24"/>
                <w:szCs w:val="24"/>
                <w:lang w:val="uk-UA"/>
              </w:rPr>
              <w:t xml:space="preserve">Частота антенатальної загибелі плода </w:t>
            </w:r>
          </w:p>
          <w:p w:rsidR="003B67F9" w:rsidRPr="008D4BBC" w:rsidRDefault="003B67F9" w:rsidP="008D4BBC">
            <w:pPr>
              <w:widowControl w:val="0"/>
              <w:spacing w:line="276" w:lineRule="auto"/>
              <w:rPr>
                <w:rFonts w:ascii="Times New Roman" w:hAnsi="Times New Roman"/>
                <w:color w:val="000000"/>
                <w:sz w:val="24"/>
                <w:szCs w:val="24"/>
                <w:lang w:val="uk-UA"/>
              </w:rPr>
            </w:pPr>
          </w:p>
        </w:tc>
        <w:tc>
          <w:tcPr>
            <w:tcW w:w="2948" w:type="dxa"/>
          </w:tcPr>
          <w:p w:rsidR="003B67F9" w:rsidRPr="008D4BBC" w:rsidRDefault="003B67F9" w:rsidP="008D4BBC">
            <w:pPr>
              <w:widowControl w:val="0"/>
              <w:spacing w:line="276" w:lineRule="auto"/>
              <w:rPr>
                <w:rFonts w:ascii="Times New Roman" w:hAnsi="Times New Roman"/>
                <w:color w:val="000000"/>
                <w:sz w:val="24"/>
                <w:szCs w:val="24"/>
                <w:lang w:val="uk-UA"/>
              </w:rPr>
            </w:pPr>
            <w:r w:rsidRPr="008D4BBC">
              <w:rPr>
                <w:rFonts w:ascii="Times New Roman" w:hAnsi="Times New Roman"/>
                <w:color w:val="000000"/>
                <w:sz w:val="24"/>
                <w:szCs w:val="24"/>
                <w:lang w:val="uk-UA"/>
              </w:rPr>
              <w:t xml:space="preserve">Кількість жінок, у яких вагітність закінчилася антенатальною загибеллю і плода </w:t>
            </w:r>
            <w:r w:rsidRPr="008D4BBC">
              <w:rPr>
                <w:rFonts w:ascii="Times New Roman" w:hAnsi="Times New Roman"/>
                <w:sz w:val="24"/>
                <w:szCs w:val="24"/>
                <w:lang w:val="uk-UA" w:eastAsia="uk-UA"/>
              </w:rPr>
              <w:t>×</w:t>
            </w:r>
            <w:r w:rsidRPr="008D4BBC">
              <w:rPr>
                <w:rFonts w:ascii="Times New Roman" w:hAnsi="Times New Roman"/>
                <w:color w:val="000000"/>
                <w:sz w:val="24"/>
                <w:szCs w:val="24"/>
                <w:lang w:val="uk-UA"/>
              </w:rPr>
              <w:t xml:space="preserve"> 1000 / </w:t>
            </w:r>
            <w:r w:rsidRPr="008D4BBC">
              <w:rPr>
                <w:rFonts w:ascii="Times New Roman" w:hAnsi="Times New Roman"/>
                <w:iCs/>
                <w:color w:val="000000"/>
                <w:kern w:val="28"/>
                <w:sz w:val="24"/>
                <w:szCs w:val="24"/>
                <w:lang w:val="uk-UA"/>
              </w:rPr>
              <w:t>загальна кількість жінок, що закінчили  вагітність</w:t>
            </w:r>
          </w:p>
        </w:tc>
        <w:tc>
          <w:tcPr>
            <w:tcW w:w="773" w:type="dxa"/>
          </w:tcPr>
          <w:p w:rsidR="003B67F9" w:rsidRPr="008D4BBC" w:rsidRDefault="003B67F9" w:rsidP="008D4BBC">
            <w:pPr>
              <w:widowControl w:val="0"/>
              <w:spacing w:line="276" w:lineRule="auto"/>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4,5</w:t>
            </w:r>
          </w:p>
        </w:tc>
        <w:tc>
          <w:tcPr>
            <w:tcW w:w="773" w:type="dxa"/>
          </w:tcPr>
          <w:p w:rsidR="003B67F9" w:rsidRPr="008D4BBC" w:rsidRDefault="003B67F9" w:rsidP="008D4BBC">
            <w:pPr>
              <w:widowControl w:val="0"/>
              <w:spacing w:line="276" w:lineRule="auto"/>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6</w:t>
            </w:r>
          </w:p>
        </w:tc>
        <w:tc>
          <w:tcPr>
            <w:tcW w:w="859" w:type="dxa"/>
          </w:tcPr>
          <w:p w:rsidR="003B67F9" w:rsidRPr="008D4BBC" w:rsidRDefault="003B67F9" w:rsidP="008D4BBC">
            <w:pPr>
              <w:widowControl w:val="0"/>
              <w:spacing w:line="276" w:lineRule="auto"/>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1,3</w:t>
            </w:r>
          </w:p>
        </w:tc>
        <w:tc>
          <w:tcPr>
            <w:tcW w:w="540" w:type="dxa"/>
          </w:tcPr>
          <w:p w:rsidR="003B67F9" w:rsidRPr="008D4BBC" w:rsidRDefault="003B67F9" w:rsidP="008D4BBC">
            <w:pPr>
              <w:widowControl w:val="0"/>
              <w:spacing w:line="276" w:lineRule="auto"/>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w:t>
            </w:r>
          </w:p>
        </w:tc>
        <w:tc>
          <w:tcPr>
            <w:tcW w:w="540" w:type="dxa"/>
          </w:tcPr>
          <w:p w:rsidR="003B67F9" w:rsidRPr="008D4BBC" w:rsidRDefault="003B67F9" w:rsidP="008D4BBC">
            <w:pPr>
              <w:widowControl w:val="0"/>
              <w:spacing w:line="276" w:lineRule="auto"/>
              <w:jc w:val="center"/>
              <w:rPr>
                <w:rFonts w:ascii="Times New Roman" w:hAnsi="Times New Roman"/>
                <w:color w:val="000000"/>
                <w:sz w:val="24"/>
                <w:szCs w:val="24"/>
                <w:lang w:val="uk-UA"/>
              </w:rPr>
            </w:pPr>
          </w:p>
        </w:tc>
        <w:tc>
          <w:tcPr>
            <w:tcW w:w="540" w:type="dxa"/>
          </w:tcPr>
          <w:p w:rsidR="003B67F9" w:rsidRPr="008D4BBC" w:rsidRDefault="003B67F9" w:rsidP="008D4BBC">
            <w:pPr>
              <w:widowControl w:val="0"/>
              <w:spacing w:line="276" w:lineRule="auto"/>
              <w:jc w:val="center"/>
              <w:rPr>
                <w:rFonts w:ascii="Times New Roman" w:hAnsi="Times New Roman"/>
                <w:color w:val="000000"/>
                <w:sz w:val="24"/>
                <w:szCs w:val="24"/>
                <w:lang w:val="uk-UA"/>
              </w:rPr>
            </w:pPr>
          </w:p>
        </w:tc>
        <w:tc>
          <w:tcPr>
            <w:tcW w:w="433" w:type="dxa"/>
          </w:tcPr>
          <w:p w:rsidR="003B67F9" w:rsidRPr="008D4BBC" w:rsidRDefault="003B67F9" w:rsidP="008D4BBC">
            <w:pPr>
              <w:widowControl w:val="0"/>
              <w:spacing w:line="276" w:lineRule="auto"/>
              <w:jc w:val="center"/>
              <w:rPr>
                <w:rFonts w:ascii="Times New Roman" w:hAnsi="Times New Roman"/>
                <w:color w:val="000000"/>
                <w:sz w:val="24"/>
                <w:szCs w:val="24"/>
                <w:lang w:val="uk-UA"/>
              </w:rPr>
            </w:pPr>
          </w:p>
        </w:tc>
      </w:tr>
      <w:tr w:rsidR="003B67F9" w:rsidRPr="008D4BBC" w:rsidTr="00360E81">
        <w:tc>
          <w:tcPr>
            <w:tcW w:w="2800" w:type="dxa"/>
          </w:tcPr>
          <w:p w:rsidR="003B67F9" w:rsidRPr="008D4BBC" w:rsidRDefault="003B67F9" w:rsidP="008D4BBC">
            <w:pPr>
              <w:widowControl w:val="0"/>
              <w:spacing w:line="276" w:lineRule="auto"/>
              <w:rPr>
                <w:rFonts w:ascii="Times New Roman" w:hAnsi="Times New Roman"/>
                <w:color w:val="000000"/>
                <w:sz w:val="24"/>
                <w:szCs w:val="24"/>
                <w:lang w:val="uk-UA"/>
              </w:rPr>
            </w:pPr>
            <w:r w:rsidRPr="008D4BBC">
              <w:rPr>
                <w:rFonts w:ascii="Times New Roman" w:hAnsi="Times New Roman"/>
                <w:color w:val="000000"/>
                <w:sz w:val="24"/>
                <w:szCs w:val="24"/>
                <w:lang w:val="uk-UA"/>
              </w:rPr>
              <w:t>Рівень неонатальної смертності</w:t>
            </w:r>
          </w:p>
        </w:tc>
        <w:tc>
          <w:tcPr>
            <w:tcW w:w="2948" w:type="dxa"/>
          </w:tcPr>
          <w:p w:rsidR="003B67F9" w:rsidRPr="008D4BBC" w:rsidRDefault="007E0307" w:rsidP="008D4BBC">
            <w:pPr>
              <w:widowControl w:val="0"/>
              <w:spacing w:line="276" w:lineRule="auto"/>
              <w:rPr>
                <w:rFonts w:ascii="Times New Roman" w:hAnsi="Times New Roman"/>
                <w:color w:val="000000"/>
                <w:sz w:val="24"/>
                <w:szCs w:val="24"/>
                <w:lang w:val="uk-UA"/>
              </w:rPr>
            </w:pPr>
            <w:r>
              <w:rPr>
                <w:rFonts w:ascii="Times New Roman" w:hAnsi="Times New Roman"/>
                <w:color w:val="000000"/>
                <w:sz w:val="24"/>
                <w:szCs w:val="24"/>
                <w:lang w:val="uk-UA"/>
              </w:rPr>
              <w:t xml:space="preserve">На </w:t>
            </w:r>
            <w:r w:rsidR="003B67F9" w:rsidRPr="008D4BBC">
              <w:rPr>
                <w:rFonts w:ascii="Times New Roman" w:hAnsi="Times New Roman"/>
                <w:color w:val="000000"/>
                <w:sz w:val="24"/>
                <w:szCs w:val="24"/>
                <w:lang w:val="uk-UA"/>
              </w:rPr>
              <w:t>1000   живонароджених</w:t>
            </w:r>
          </w:p>
        </w:tc>
        <w:tc>
          <w:tcPr>
            <w:tcW w:w="773" w:type="dxa"/>
          </w:tcPr>
          <w:p w:rsidR="003B67F9" w:rsidRPr="008D4BBC" w:rsidRDefault="003B67F9" w:rsidP="008D4BBC">
            <w:pPr>
              <w:widowControl w:val="0"/>
              <w:spacing w:line="276" w:lineRule="auto"/>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4</w:t>
            </w:r>
          </w:p>
        </w:tc>
        <w:tc>
          <w:tcPr>
            <w:tcW w:w="773" w:type="dxa"/>
          </w:tcPr>
          <w:p w:rsidR="003B67F9" w:rsidRPr="008D4BBC" w:rsidRDefault="003B67F9" w:rsidP="008D4BBC">
            <w:pPr>
              <w:widowControl w:val="0"/>
              <w:spacing w:line="276" w:lineRule="auto"/>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6</w:t>
            </w:r>
          </w:p>
        </w:tc>
        <w:tc>
          <w:tcPr>
            <w:tcW w:w="859" w:type="dxa"/>
          </w:tcPr>
          <w:p w:rsidR="003B67F9" w:rsidRPr="008D4BBC" w:rsidRDefault="003B67F9" w:rsidP="008D4BBC">
            <w:pPr>
              <w:widowControl w:val="0"/>
              <w:spacing w:line="276" w:lineRule="auto"/>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1,50</w:t>
            </w:r>
          </w:p>
        </w:tc>
        <w:tc>
          <w:tcPr>
            <w:tcW w:w="540" w:type="dxa"/>
          </w:tcPr>
          <w:p w:rsidR="003B67F9" w:rsidRPr="008D4BBC" w:rsidRDefault="003B67F9" w:rsidP="008D4BBC">
            <w:pPr>
              <w:widowControl w:val="0"/>
              <w:spacing w:line="276" w:lineRule="auto"/>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w:t>
            </w:r>
          </w:p>
        </w:tc>
        <w:tc>
          <w:tcPr>
            <w:tcW w:w="540" w:type="dxa"/>
          </w:tcPr>
          <w:p w:rsidR="003B67F9" w:rsidRPr="008D4BBC" w:rsidRDefault="003B67F9" w:rsidP="008D4BBC">
            <w:pPr>
              <w:widowControl w:val="0"/>
              <w:spacing w:line="276" w:lineRule="auto"/>
              <w:jc w:val="center"/>
              <w:rPr>
                <w:rFonts w:ascii="Times New Roman" w:hAnsi="Times New Roman"/>
                <w:color w:val="000000"/>
                <w:sz w:val="24"/>
                <w:szCs w:val="24"/>
                <w:lang w:val="uk-UA"/>
              </w:rPr>
            </w:pPr>
          </w:p>
        </w:tc>
        <w:tc>
          <w:tcPr>
            <w:tcW w:w="540" w:type="dxa"/>
          </w:tcPr>
          <w:p w:rsidR="003B67F9" w:rsidRPr="008D4BBC" w:rsidRDefault="003B67F9" w:rsidP="008D4BBC">
            <w:pPr>
              <w:widowControl w:val="0"/>
              <w:spacing w:line="276" w:lineRule="auto"/>
              <w:jc w:val="center"/>
              <w:rPr>
                <w:rFonts w:ascii="Times New Roman" w:hAnsi="Times New Roman"/>
                <w:color w:val="000000"/>
                <w:sz w:val="24"/>
                <w:szCs w:val="24"/>
                <w:lang w:val="uk-UA"/>
              </w:rPr>
            </w:pPr>
          </w:p>
        </w:tc>
        <w:tc>
          <w:tcPr>
            <w:tcW w:w="433" w:type="dxa"/>
          </w:tcPr>
          <w:p w:rsidR="003B67F9" w:rsidRPr="008D4BBC" w:rsidRDefault="003B67F9" w:rsidP="008D4BBC">
            <w:pPr>
              <w:widowControl w:val="0"/>
              <w:spacing w:line="276" w:lineRule="auto"/>
              <w:jc w:val="center"/>
              <w:rPr>
                <w:rFonts w:ascii="Times New Roman" w:hAnsi="Times New Roman"/>
                <w:color w:val="000000"/>
                <w:sz w:val="24"/>
                <w:szCs w:val="24"/>
                <w:lang w:val="uk-UA"/>
              </w:rPr>
            </w:pPr>
          </w:p>
        </w:tc>
      </w:tr>
      <w:tr w:rsidR="003B67F9" w:rsidRPr="008D4BBC" w:rsidTr="00360E81">
        <w:tc>
          <w:tcPr>
            <w:tcW w:w="2800" w:type="dxa"/>
          </w:tcPr>
          <w:p w:rsidR="003B67F9" w:rsidRPr="008D4BBC" w:rsidRDefault="003B67F9" w:rsidP="008D4BBC">
            <w:pPr>
              <w:widowControl w:val="0"/>
              <w:spacing w:line="276" w:lineRule="auto"/>
              <w:rPr>
                <w:rFonts w:ascii="Times New Roman" w:hAnsi="Times New Roman"/>
                <w:color w:val="000000"/>
                <w:sz w:val="24"/>
                <w:szCs w:val="24"/>
                <w:lang w:val="uk-UA"/>
              </w:rPr>
            </w:pPr>
            <w:r w:rsidRPr="008D4BBC">
              <w:rPr>
                <w:rFonts w:ascii="Times New Roman" w:hAnsi="Times New Roman"/>
                <w:color w:val="000000"/>
                <w:sz w:val="24"/>
                <w:szCs w:val="24"/>
                <w:lang w:val="uk-UA"/>
              </w:rPr>
              <w:t>Задоволеність пацієнтів медичною допомогою</w:t>
            </w:r>
          </w:p>
        </w:tc>
        <w:tc>
          <w:tcPr>
            <w:tcW w:w="2948" w:type="dxa"/>
          </w:tcPr>
          <w:p w:rsidR="003B67F9" w:rsidRPr="008D4BBC" w:rsidRDefault="003B67F9" w:rsidP="008D4BBC">
            <w:pPr>
              <w:widowControl w:val="0"/>
              <w:spacing w:line="276" w:lineRule="auto"/>
              <w:rPr>
                <w:rFonts w:ascii="Times New Roman" w:hAnsi="Times New Roman"/>
                <w:color w:val="000000"/>
                <w:sz w:val="24"/>
                <w:szCs w:val="24"/>
                <w:lang w:val="uk-UA"/>
              </w:rPr>
            </w:pPr>
            <w:r w:rsidRPr="008D4BBC">
              <w:rPr>
                <w:rFonts w:ascii="Times New Roman" w:hAnsi="Times New Roman"/>
                <w:color w:val="000000"/>
                <w:sz w:val="24"/>
                <w:szCs w:val="24"/>
                <w:lang w:val="uk-UA"/>
              </w:rPr>
              <w:t xml:space="preserve">Кількість пацієнток, які за даними анонімного анкетування висловили задоволення медичною допомогою </w:t>
            </w:r>
            <w:r w:rsidRPr="008D4BBC">
              <w:rPr>
                <w:rFonts w:ascii="Times New Roman" w:hAnsi="Times New Roman"/>
                <w:sz w:val="24"/>
                <w:szCs w:val="24"/>
                <w:lang w:val="uk-UA" w:eastAsia="uk-UA"/>
              </w:rPr>
              <w:t>×</w:t>
            </w:r>
            <w:r w:rsidRPr="008D4BBC">
              <w:rPr>
                <w:rFonts w:ascii="Times New Roman" w:hAnsi="Times New Roman"/>
                <w:color w:val="000000"/>
                <w:sz w:val="24"/>
                <w:szCs w:val="24"/>
                <w:lang w:val="uk-UA"/>
              </w:rPr>
              <w:t xml:space="preserve"> 100 / кількість пацієнток, які заповнили анкети</w:t>
            </w:r>
          </w:p>
        </w:tc>
        <w:tc>
          <w:tcPr>
            <w:tcW w:w="773" w:type="dxa"/>
          </w:tcPr>
          <w:p w:rsidR="003B67F9" w:rsidRPr="008D4BBC" w:rsidRDefault="003B67F9" w:rsidP="008D4BBC">
            <w:pPr>
              <w:widowControl w:val="0"/>
              <w:spacing w:line="276" w:lineRule="auto"/>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80</w:t>
            </w:r>
          </w:p>
        </w:tc>
        <w:tc>
          <w:tcPr>
            <w:tcW w:w="773" w:type="dxa"/>
          </w:tcPr>
          <w:p w:rsidR="003B67F9" w:rsidRPr="008D4BBC" w:rsidRDefault="003B67F9" w:rsidP="008D4BBC">
            <w:pPr>
              <w:widowControl w:val="0"/>
              <w:spacing w:line="276" w:lineRule="auto"/>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7</w:t>
            </w:r>
          </w:p>
        </w:tc>
        <w:tc>
          <w:tcPr>
            <w:tcW w:w="859" w:type="dxa"/>
          </w:tcPr>
          <w:p w:rsidR="003B67F9" w:rsidRPr="008D4BBC" w:rsidRDefault="003B67F9" w:rsidP="008D4BBC">
            <w:pPr>
              <w:widowControl w:val="0"/>
              <w:spacing w:line="276" w:lineRule="auto"/>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0,09</w:t>
            </w:r>
          </w:p>
        </w:tc>
        <w:tc>
          <w:tcPr>
            <w:tcW w:w="540" w:type="dxa"/>
          </w:tcPr>
          <w:p w:rsidR="003B67F9" w:rsidRPr="008D4BBC" w:rsidRDefault="003B67F9" w:rsidP="008D4BBC">
            <w:pPr>
              <w:widowControl w:val="0"/>
              <w:spacing w:line="276" w:lineRule="auto"/>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w:t>
            </w:r>
          </w:p>
        </w:tc>
        <w:tc>
          <w:tcPr>
            <w:tcW w:w="540" w:type="dxa"/>
          </w:tcPr>
          <w:p w:rsidR="003B67F9" w:rsidRPr="008D4BBC" w:rsidRDefault="003B67F9" w:rsidP="008D4BBC">
            <w:pPr>
              <w:widowControl w:val="0"/>
              <w:spacing w:line="276" w:lineRule="auto"/>
              <w:jc w:val="center"/>
              <w:rPr>
                <w:rFonts w:ascii="Times New Roman" w:hAnsi="Times New Roman"/>
                <w:color w:val="000000"/>
                <w:sz w:val="24"/>
                <w:szCs w:val="24"/>
                <w:lang w:val="uk-UA"/>
              </w:rPr>
            </w:pPr>
          </w:p>
        </w:tc>
        <w:tc>
          <w:tcPr>
            <w:tcW w:w="540" w:type="dxa"/>
          </w:tcPr>
          <w:p w:rsidR="003B67F9" w:rsidRPr="008D4BBC" w:rsidRDefault="003B67F9" w:rsidP="008D4BBC">
            <w:pPr>
              <w:widowControl w:val="0"/>
              <w:spacing w:line="276" w:lineRule="auto"/>
              <w:jc w:val="center"/>
              <w:rPr>
                <w:rFonts w:ascii="Times New Roman" w:hAnsi="Times New Roman"/>
                <w:color w:val="000000"/>
                <w:sz w:val="24"/>
                <w:szCs w:val="24"/>
                <w:lang w:val="uk-UA"/>
              </w:rPr>
            </w:pPr>
          </w:p>
        </w:tc>
        <w:tc>
          <w:tcPr>
            <w:tcW w:w="433" w:type="dxa"/>
          </w:tcPr>
          <w:p w:rsidR="003B67F9" w:rsidRPr="008D4BBC" w:rsidRDefault="003B67F9" w:rsidP="008D4BBC">
            <w:pPr>
              <w:widowControl w:val="0"/>
              <w:spacing w:line="276" w:lineRule="auto"/>
              <w:jc w:val="center"/>
              <w:rPr>
                <w:rFonts w:ascii="Times New Roman" w:hAnsi="Times New Roman"/>
                <w:color w:val="000000"/>
                <w:sz w:val="24"/>
                <w:szCs w:val="24"/>
                <w:lang w:val="uk-UA"/>
              </w:rPr>
            </w:pPr>
          </w:p>
        </w:tc>
      </w:tr>
      <w:tr w:rsidR="003B67F9" w:rsidRPr="008D4BBC" w:rsidTr="00360E81">
        <w:tc>
          <w:tcPr>
            <w:tcW w:w="2800" w:type="dxa"/>
          </w:tcPr>
          <w:p w:rsidR="003B67F9" w:rsidRPr="008D4BBC" w:rsidRDefault="003B67F9" w:rsidP="008D4BBC">
            <w:pPr>
              <w:widowControl w:val="0"/>
              <w:spacing w:line="276" w:lineRule="auto"/>
              <w:rPr>
                <w:rFonts w:ascii="Times New Roman" w:hAnsi="Times New Roman"/>
                <w:color w:val="000000"/>
                <w:sz w:val="24"/>
                <w:szCs w:val="24"/>
                <w:lang w:val="uk-UA"/>
              </w:rPr>
            </w:pPr>
            <w:r w:rsidRPr="008D4BBC">
              <w:rPr>
                <w:rFonts w:ascii="Times New Roman" w:hAnsi="Times New Roman"/>
                <w:color w:val="000000"/>
                <w:sz w:val="24"/>
                <w:szCs w:val="24"/>
                <w:lang w:val="uk-UA"/>
              </w:rPr>
              <w:t xml:space="preserve">Знання жінками загрозливих симптомів під час вагітності. </w:t>
            </w:r>
          </w:p>
          <w:p w:rsidR="003B67F9" w:rsidRPr="008D4BBC" w:rsidRDefault="003B67F9" w:rsidP="008D4BBC">
            <w:pPr>
              <w:widowControl w:val="0"/>
              <w:spacing w:line="276" w:lineRule="auto"/>
              <w:rPr>
                <w:rFonts w:ascii="Times New Roman" w:hAnsi="Times New Roman"/>
                <w:color w:val="000000"/>
                <w:sz w:val="24"/>
                <w:szCs w:val="24"/>
                <w:lang w:val="uk-UA"/>
              </w:rPr>
            </w:pPr>
          </w:p>
        </w:tc>
        <w:tc>
          <w:tcPr>
            <w:tcW w:w="2948" w:type="dxa"/>
          </w:tcPr>
          <w:p w:rsidR="003B67F9" w:rsidRPr="008D4BBC" w:rsidRDefault="003B67F9" w:rsidP="008D4BBC">
            <w:pPr>
              <w:widowControl w:val="0"/>
              <w:spacing w:line="276" w:lineRule="auto"/>
              <w:rPr>
                <w:rFonts w:ascii="Times New Roman" w:hAnsi="Times New Roman"/>
                <w:color w:val="000000"/>
                <w:sz w:val="24"/>
                <w:szCs w:val="24"/>
                <w:lang w:val="uk-UA"/>
              </w:rPr>
            </w:pPr>
            <w:r w:rsidRPr="008D4BBC">
              <w:rPr>
                <w:rFonts w:ascii="Times New Roman" w:hAnsi="Times New Roman"/>
                <w:color w:val="000000"/>
                <w:sz w:val="24"/>
                <w:szCs w:val="24"/>
                <w:lang w:val="uk-UA"/>
              </w:rPr>
              <w:t xml:space="preserve">Кількість пацієнток, які за даними анонімного анкетування знали загрозливі симптоми під час вагітності. пологів та післяпологового періоду </w:t>
            </w:r>
            <w:r w:rsidRPr="008D4BBC">
              <w:rPr>
                <w:rFonts w:ascii="Times New Roman" w:hAnsi="Times New Roman"/>
                <w:sz w:val="24"/>
                <w:szCs w:val="24"/>
                <w:lang w:val="uk-UA" w:eastAsia="uk-UA"/>
              </w:rPr>
              <w:t>×</w:t>
            </w:r>
            <w:r w:rsidRPr="008D4BBC">
              <w:rPr>
                <w:rFonts w:ascii="Times New Roman" w:hAnsi="Times New Roman"/>
                <w:color w:val="000000"/>
                <w:sz w:val="24"/>
                <w:szCs w:val="24"/>
                <w:lang w:val="uk-UA"/>
              </w:rPr>
              <w:t xml:space="preserve"> 100 / кількість пацієнток, які заповнили анкети</w:t>
            </w:r>
          </w:p>
        </w:tc>
        <w:tc>
          <w:tcPr>
            <w:tcW w:w="773" w:type="dxa"/>
          </w:tcPr>
          <w:p w:rsidR="003B67F9" w:rsidRPr="008D4BBC" w:rsidRDefault="003B67F9" w:rsidP="008D4BBC">
            <w:pPr>
              <w:widowControl w:val="0"/>
              <w:spacing w:line="276" w:lineRule="auto"/>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95</w:t>
            </w:r>
          </w:p>
        </w:tc>
        <w:tc>
          <w:tcPr>
            <w:tcW w:w="773" w:type="dxa"/>
          </w:tcPr>
          <w:p w:rsidR="003B67F9" w:rsidRPr="008D4BBC" w:rsidRDefault="003B67F9" w:rsidP="008D4BBC">
            <w:pPr>
              <w:widowControl w:val="0"/>
              <w:spacing w:line="276" w:lineRule="auto"/>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7</w:t>
            </w:r>
          </w:p>
        </w:tc>
        <w:tc>
          <w:tcPr>
            <w:tcW w:w="859" w:type="dxa"/>
          </w:tcPr>
          <w:p w:rsidR="003B67F9" w:rsidRPr="008D4BBC" w:rsidRDefault="003B67F9" w:rsidP="008D4BBC">
            <w:pPr>
              <w:widowControl w:val="0"/>
              <w:spacing w:line="276" w:lineRule="auto"/>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0,08</w:t>
            </w:r>
          </w:p>
        </w:tc>
        <w:tc>
          <w:tcPr>
            <w:tcW w:w="540" w:type="dxa"/>
          </w:tcPr>
          <w:p w:rsidR="003B67F9" w:rsidRPr="008D4BBC" w:rsidRDefault="003B67F9" w:rsidP="008D4BBC">
            <w:pPr>
              <w:widowControl w:val="0"/>
              <w:spacing w:line="276" w:lineRule="auto"/>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w:t>
            </w:r>
          </w:p>
        </w:tc>
        <w:tc>
          <w:tcPr>
            <w:tcW w:w="540" w:type="dxa"/>
          </w:tcPr>
          <w:p w:rsidR="003B67F9" w:rsidRPr="008D4BBC" w:rsidRDefault="003B67F9" w:rsidP="008D4BBC">
            <w:pPr>
              <w:widowControl w:val="0"/>
              <w:spacing w:line="276" w:lineRule="auto"/>
              <w:jc w:val="center"/>
              <w:rPr>
                <w:rFonts w:ascii="Times New Roman" w:hAnsi="Times New Roman"/>
                <w:color w:val="000000"/>
                <w:sz w:val="24"/>
                <w:szCs w:val="24"/>
                <w:lang w:val="uk-UA"/>
              </w:rPr>
            </w:pPr>
          </w:p>
        </w:tc>
        <w:tc>
          <w:tcPr>
            <w:tcW w:w="540" w:type="dxa"/>
          </w:tcPr>
          <w:p w:rsidR="003B67F9" w:rsidRPr="008D4BBC" w:rsidRDefault="003B67F9" w:rsidP="008D4BBC">
            <w:pPr>
              <w:widowControl w:val="0"/>
              <w:spacing w:line="276" w:lineRule="auto"/>
              <w:jc w:val="center"/>
              <w:rPr>
                <w:rFonts w:ascii="Times New Roman" w:hAnsi="Times New Roman"/>
                <w:color w:val="000000"/>
                <w:sz w:val="24"/>
                <w:szCs w:val="24"/>
                <w:lang w:val="uk-UA"/>
              </w:rPr>
            </w:pPr>
          </w:p>
        </w:tc>
        <w:tc>
          <w:tcPr>
            <w:tcW w:w="433" w:type="dxa"/>
          </w:tcPr>
          <w:p w:rsidR="003B67F9" w:rsidRPr="008D4BBC" w:rsidRDefault="003B67F9" w:rsidP="008D4BBC">
            <w:pPr>
              <w:widowControl w:val="0"/>
              <w:spacing w:line="276" w:lineRule="auto"/>
              <w:jc w:val="center"/>
              <w:rPr>
                <w:rFonts w:ascii="Times New Roman" w:hAnsi="Times New Roman"/>
                <w:color w:val="000000"/>
                <w:sz w:val="24"/>
                <w:szCs w:val="24"/>
                <w:lang w:val="uk-UA"/>
              </w:rPr>
            </w:pPr>
          </w:p>
        </w:tc>
      </w:tr>
      <w:tr w:rsidR="003B67F9" w:rsidRPr="008D4BBC" w:rsidTr="00360E81">
        <w:tc>
          <w:tcPr>
            <w:tcW w:w="2800" w:type="dxa"/>
          </w:tcPr>
          <w:p w:rsidR="003B67F9" w:rsidRPr="008D4BBC" w:rsidRDefault="003B67F9" w:rsidP="008D4BBC">
            <w:pPr>
              <w:widowControl w:val="0"/>
              <w:spacing w:line="276" w:lineRule="auto"/>
              <w:rPr>
                <w:rFonts w:ascii="Times New Roman" w:hAnsi="Times New Roman"/>
                <w:color w:val="000000"/>
                <w:sz w:val="24"/>
                <w:szCs w:val="24"/>
                <w:lang w:val="uk-UA"/>
              </w:rPr>
            </w:pPr>
            <w:r w:rsidRPr="008D4BBC">
              <w:rPr>
                <w:rFonts w:ascii="Times New Roman" w:hAnsi="Times New Roman"/>
                <w:color w:val="000000"/>
                <w:sz w:val="24"/>
                <w:szCs w:val="24"/>
                <w:lang w:val="uk-UA"/>
              </w:rPr>
              <w:t>Сума балів</w:t>
            </w:r>
          </w:p>
        </w:tc>
        <w:tc>
          <w:tcPr>
            <w:tcW w:w="2948" w:type="dxa"/>
          </w:tcPr>
          <w:p w:rsidR="003B67F9" w:rsidRPr="008D4BBC" w:rsidRDefault="003B67F9" w:rsidP="008D4BBC">
            <w:pPr>
              <w:widowControl w:val="0"/>
              <w:spacing w:line="276" w:lineRule="auto"/>
              <w:rPr>
                <w:rFonts w:ascii="Times New Roman" w:hAnsi="Times New Roman"/>
                <w:iCs/>
                <w:color w:val="000000"/>
                <w:kern w:val="28"/>
                <w:sz w:val="24"/>
                <w:szCs w:val="24"/>
                <w:lang w:val="uk-UA"/>
              </w:rPr>
            </w:pPr>
          </w:p>
        </w:tc>
        <w:tc>
          <w:tcPr>
            <w:tcW w:w="773" w:type="dxa"/>
          </w:tcPr>
          <w:p w:rsidR="003B67F9" w:rsidRPr="008D4BBC" w:rsidRDefault="003B67F9" w:rsidP="008D4BBC">
            <w:pPr>
              <w:widowControl w:val="0"/>
              <w:spacing w:line="276" w:lineRule="auto"/>
              <w:jc w:val="center"/>
              <w:rPr>
                <w:rFonts w:ascii="Times New Roman" w:hAnsi="Times New Roman"/>
                <w:color w:val="000000"/>
                <w:sz w:val="24"/>
                <w:szCs w:val="24"/>
                <w:lang w:val="uk-UA"/>
              </w:rPr>
            </w:pPr>
          </w:p>
        </w:tc>
        <w:tc>
          <w:tcPr>
            <w:tcW w:w="773" w:type="dxa"/>
          </w:tcPr>
          <w:p w:rsidR="003B67F9" w:rsidRPr="008D4BBC" w:rsidRDefault="003B67F9" w:rsidP="008D4BBC">
            <w:pPr>
              <w:widowControl w:val="0"/>
              <w:spacing w:line="276" w:lineRule="auto"/>
              <w:jc w:val="center"/>
              <w:rPr>
                <w:rFonts w:ascii="Times New Roman" w:hAnsi="Times New Roman"/>
                <w:color w:val="000000"/>
                <w:sz w:val="24"/>
                <w:szCs w:val="24"/>
                <w:lang w:val="uk-UA"/>
              </w:rPr>
            </w:pPr>
          </w:p>
        </w:tc>
        <w:tc>
          <w:tcPr>
            <w:tcW w:w="859" w:type="dxa"/>
          </w:tcPr>
          <w:p w:rsidR="003B67F9" w:rsidRPr="008D4BBC" w:rsidRDefault="003B67F9" w:rsidP="008D4BBC">
            <w:pPr>
              <w:widowControl w:val="0"/>
              <w:spacing w:line="276" w:lineRule="auto"/>
              <w:jc w:val="center"/>
              <w:rPr>
                <w:rFonts w:ascii="Times New Roman" w:hAnsi="Times New Roman"/>
                <w:color w:val="000000"/>
                <w:sz w:val="24"/>
                <w:szCs w:val="24"/>
                <w:lang w:val="uk-UA"/>
              </w:rPr>
            </w:pPr>
          </w:p>
        </w:tc>
        <w:tc>
          <w:tcPr>
            <w:tcW w:w="540" w:type="dxa"/>
          </w:tcPr>
          <w:p w:rsidR="003B67F9" w:rsidRPr="008D4BBC" w:rsidRDefault="003B67F9" w:rsidP="008D4BBC">
            <w:pPr>
              <w:widowControl w:val="0"/>
              <w:spacing w:line="276" w:lineRule="auto"/>
              <w:jc w:val="center"/>
              <w:rPr>
                <w:rFonts w:ascii="Times New Roman" w:hAnsi="Times New Roman"/>
                <w:color w:val="000000"/>
                <w:sz w:val="24"/>
                <w:szCs w:val="24"/>
                <w:lang w:val="uk-UA"/>
              </w:rPr>
            </w:pPr>
          </w:p>
        </w:tc>
        <w:tc>
          <w:tcPr>
            <w:tcW w:w="540" w:type="dxa"/>
          </w:tcPr>
          <w:p w:rsidR="003B67F9" w:rsidRPr="008D4BBC" w:rsidRDefault="003B67F9" w:rsidP="008D4BBC">
            <w:pPr>
              <w:widowControl w:val="0"/>
              <w:spacing w:line="276" w:lineRule="auto"/>
              <w:jc w:val="center"/>
              <w:rPr>
                <w:rFonts w:ascii="Times New Roman" w:hAnsi="Times New Roman"/>
                <w:color w:val="000000"/>
                <w:sz w:val="24"/>
                <w:szCs w:val="24"/>
                <w:lang w:val="uk-UA"/>
              </w:rPr>
            </w:pPr>
          </w:p>
        </w:tc>
        <w:tc>
          <w:tcPr>
            <w:tcW w:w="540" w:type="dxa"/>
          </w:tcPr>
          <w:p w:rsidR="003B67F9" w:rsidRPr="008D4BBC" w:rsidRDefault="003B67F9" w:rsidP="008D4BBC">
            <w:pPr>
              <w:widowControl w:val="0"/>
              <w:spacing w:line="276" w:lineRule="auto"/>
              <w:jc w:val="center"/>
              <w:rPr>
                <w:rFonts w:ascii="Times New Roman" w:hAnsi="Times New Roman"/>
                <w:color w:val="000000"/>
                <w:sz w:val="24"/>
                <w:szCs w:val="24"/>
                <w:lang w:val="uk-UA"/>
              </w:rPr>
            </w:pPr>
          </w:p>
        </w:tc>
        <w:tc>
          <w:tcPr>
            <w:tcW w:w="433" w:type="dxa"/>
          </w:tcPr>
          <w:p w:rsidR="003B67F9" w:rsidRPr="008D4BBC" w:rsidRDefault="003B67F9" w:rsidP="008D4BBC">
            <w:pPr>
              <w:widowControl w:val="0"/>
              <w:spacing w:line="276" w:lineRule="auto"/>
              <w:jc w:val="center"/>
              <w:rPr>
                <w:rFonts w:ascii="Times New Roman" w:hAnsi="Times New Roman"/>
                <w:color w:val="000000"/>
                <w:sz w:val="24"/>
                <w:szCs w:val="24"/>
                <w:lang w:val="uk-UA"/>
              </w:rPr>
            </w:pPr>
          </w:p>
        </w:tc>
      </w:tr>
    </w:tbl>
    <w:p w:rsidR="00456C2E" w:rsidRDefault="00456C2E" w:rsidP="00721203">
      <w:pPr>
        <w:widowControl w:val="0"/>
        <w:ind w:firstLine="720"/>
        <w:rPr>
          <w:rFonts w:eastAsia="Times New Roman"/>
          <w:b/>
          <w:szCs w:val="28"/>
          <w:lang w:eastAsia="ru-RU"/>
        </w:rPr>
      </w:pPr>
    </w:p>
    <w:p w:rsidR="003B67F9" w:rsidRPr="00006A39" w:rsidRDefault="007D17DE" w:rsidP="00F159BE">
      <w:pPr>
        <w:widowControl w:val="0"/>
        <w:spacing w:after="240"/>
        <w:ind w:firstLine="720"/>
        <w:rPr>
          <w:rFonts w:eastAsia="Times New Roman"/>
          <w:b/>
          <w:szCs w:val="28"/>
          <w:lang w:eastAsia="ru-RU"/>
        </w:rPr>
      </w:pPr>
      <w:r w:rsidRPr="00006A39">
        <w:rPr>
          <w:rFonts w:eastAsia="Times New Roman"/>
          <w:b/>
          <w:szCs w:val="28"/>
          <w:lang w:eastAsia="ru-RU"/>
        </w:rPr>
        <w:lastRenderedPageBreak/>
        <w:t>7</w:t>
      </w:r>
      <w:r w:rsidR="002D0F5C">
        <w:rPr>
          <w:rFonts w:eastAsia="Times New Roman"/>
          <w:b/>
          <w:szCs w:val="28"/>
          <w:lang w:eastAsia="ru-RU"/>
        </w:rPr>
        <w:t>.1</w:t>
      </w:r>
      <w:r w:rsidR="003B67F9" w:rsidRPr="00006A39">
        <w:rPr>
          <w:rFonts w:eastAsia="Times New Roman"/>
          <w:b/>
          <w:szCs w:val="28"/>
          <w:lang w:eastAsia="ru-RU"/>
        </w:rPr>
        <w:t xml:space="preserve">.2. Модель оцінювання якості надання медичної допомоги на госпітальному етапі перинатальної допомоги </w:t>
      </w:r>
    </w:p>
    <w:p w:rsidR="00F159BE" w:rsidRDefault="003B67F9" w:rsidP="00F159BE">
      <w:pPr>
        <w:widowControl w:val="0"/>
        <w:ind w:firstLine="720"/>
        <w:rPr>
          <w:rFonts w:eastAsia="Times New Roman"/>
          <w:szCs w:val="28"/>
          <w:shd w:val="clear" w:color="auto" w:fill="FFFFFF"/>
          <w:lang w:eastAsia="ru-RU"/>
        </w:rPr>
      </w:pPr>
      <w:r w:rsidRPr="00006A39">
        <w:rPr>
          <w:rFonts w:eastAsia="Times New Roman"/>
          <w:szCs w:val="28"/>
          <w:lang w:eastAsia="ru-RU"/>
        </w:rPr>
        <w:t xml:space="preserve">На госпітальному етапі до ЗОЗ І рівня перинатальної допомоги відносяться </w:t>
      </w:r>
      <w:r w:rsidRPr="00006A39">
        <w:rPr>
          <w:rFonts w:eastAsia="Times New Roman"/>
          <w:szCs w:val="28"/>
          <w:shd w:val="clear" w:color="auto" w:fill="FFFFFF"/>
          <w:lang w:eastAsia="ru-RU"/>
        </w:rPr>
        <w:t xml:space="preserve">багатопрофільні лікарні інтенсивного лікування (БЛІЛ) першого рівня з кількістю пологів 400 і більше на рік, пологові відділення районних, центральних районних та міських лікарень. </w:t>
      </w:r>
      <w:r w:rsidRPr="00006A39">
        <w:rPr>
          <w:rFonts w:eastAsia="Times New Roman"/>
          <w:szCs w:val="28"/>
          <w:lang w:eastAsia="ru-RU"/>
        </w:rPr>
        <w:t xml:space="preserve">В цих ЗОЗ забезпечується надання допомоги жінкам </w:t>
      </w:r>
      <w:r w:rsidR="00326FF9">
        <w:rPr>
          <w:rFonts w:eastAsia="Times New Roman"/>
          <w:szCs w:val="28"/>
          <w:lang w:eastAsia="ru-RU"/>
        </w:rPr>
        <w:t>і</w:t>
      </w:r>
      <w:r w:rsidRPr="00006A39">
        <w:rPr>
          <w:rFonts w:eastAsia="Times New Roman"/>
          <w:szCs w:val="28"/>
          <w:lang w:eastAsia="ru-RU"/>
        </w:rPr>
        <w:t>з одноплідною вагітністю, низьким рівнем акушерського та/або перинатального ризику, без тяжкої екстрагеніт</w:t>
      </w:r>
      <w:r w:rsidR="0077410C">
        <w:rPr>
          <w:rFonts w:eastAsia="Times New Roman"/>
          <w:szCs w:val="28"/>
          <w:lang w:eastAsia="ru-RU"/>
        </w:rPr>
        <w:t>альної патології, новонароджени</w:t>
      </w:r>
      <w:r w:rsidR="0077410C" w:rsidRPr="0077410C">
        <w:rPr>
          <w:rFonts w:eastAsia="Times New Roman"/>
          <w:szCs w:val="28"/>
          <w:lang w:eastAsia="ru-RU"/>
        </w:rPr>
        <w:t>м</w:t>
      </w:r>
      <w:r w:rsidRPr="00006A39">
        <w:rPr>
          <w:rFonts w:eastAsia="Times New Roman"/>
          <w:szCs w:val="28"/>
          <w:lang w:eastAsia="ru-RU"/>
        </w:rPr>
        <w:t xml:space="preserve"> </w:t>
      </w:r>
      <w:r w:rsidR="00FB1487">
        <w:rPr>
          <w:rFonts w:eastAsia="Times New Roman"/>
          <w:szCs w:val="28"/>
          <w:lang w:eastAsia="ru-RU"/>
        </w:rPr>
        <w:t>і</w:t>
      </w:r>
      <w:r w:rsidRPr="00006A39">
        <w:rPr>
          <w:rFonts w:eastAsia="Times New Roman"/>
          <w:szCs w:val="28"/>
          <w:lang w:eastAsia="ru-RU"/>
        </w:rPr>
        <w:t>з масою тіла &gt;</w:t>
      </w:r>
      <w:r w:rsidR="003C5555">
        <w:rPr>
          <w:rFonts w:eastAsia="Times New Roman"/>
          <w:szCs w:val="28"/>
          <w:lang w:val="ru-RU" w:eastAsia="ru-RU"/>
        </w:rPr>
        <w:t> </w:t>
      </w:r>
      <w:r w:rsidRPr="00006A39">
        <w:rPr>
          <w:rFonts w:eastAsia="Times New Roman"/>
          <w:szCs w:val="28"/>
          <w:lang w:eastAsia="ru-RU"/>
        </w:rPr>
        <w:t>2500</w:t>
      </w:r>
      <w:r w:rsidR="003C5555">
        <w:rPr>
          <w:rFonts w:eastAsia="Times New Roman"/>
          <w:szCs w:val="28"/>
          <w:lang w:val="ru-RU" w:eastAsia="ru-RU"/>
        </w:rPr>
        <w:t> </w:t>
      </w:r>
      <w:r w:rsidRPr="00006A39">
        <w:rPr>
          <w:rFonts w:eastAsia="Times New Roman"/>
          <w:szCs w:val="28"/>
          <w:lang w:eastAsia="ru-RU"/>
        </w:rPr>
        <w:t>г (термін гестації ≥ 37 тижнів), к</w:t>
      </w:r>
      <w:r w:rsidRPr="00006A39">
        <w:rPr>
          <w:rFonts w:eastAsia="Times New Roman"/>
          <w:szCs w:val="28"/>
          <w:shd w:val="clear" w:color="auto" w:fill="FFFFFF"/>
          <w:lang w:eastAsia="ru-RU"/>
        </w:rPr>
        <w:t>онсультування з питань грудного вигодовування і післяпологової контрацепції,</w:t>
      </w:r>
      <w:r w:rsidRPr="00006A39">
        <w:rPr>
          <w:rFonts w:eastAsia="Times New Roman"/>
          <w:szCs w:val="28"/>
          <w:lang w:eastAsia="ru-RU"/>
        </w:rPr>
        <w:t xml:space="preserve"> </w:t>
      </w:r>
      <w:r w:rsidR="0077410C" w:rsidRPr="0077410C">
        <w:rPr>
          <w:rFonts w:eastAsia="Times New Roman"/>
          <w:szCs w:val="28"/>
          <w:lang w:eastAsia="ru-RU"/>
        </w:rPr>
        <w:t xml:space="preserve">у </w:t>
      </w:r>
      <w:r w:rsidRPr="00006A39">
        <w:rPr>
          <w:rFonts w:eastAsia="Times New Roman"/>
          <w:szCs w:val="28"/>
          <w:lang w:eastAsia="ru-RU"/>
        </w:rPr>
        <w:t xml:space="preserve">цілодобовому режимі здійснюється ведення нормальних пологів, ургентних кесаревих розтинів, динамічне спостереження за породіллями (у тому числі лабораторне спостереження, рутинний гемостаз, кислотно-лужна рівновага, гази крові, електроліти плазми), </w:t>
      </w:r>
      <w:r w:rsidRPr="00006A39">
        <w:rPr>
          <w:rFonts w:eastAsia="Times New Roman"/>
          <w:szCs w:val="28"/>
          <w:shd w:val="clear" w:color="auto" w:fill="FFFFFF"/>
          <w:lang w:eastAsia="ru-RU"/>
        </w:rPr>
        <w:t xml:space="preserve">трансфузіологічна допомога, спостереження і догляд за новонародженим, </w:t>
      </w:r>
      <w:r w:rsidRPr="00006A39">
        <w:rPr>
          <w:rFonts w:eastAsia="Times New Roman"/>
          <w:szCs w:val="28"/>
          <w:lang w:eastAsia="ru-RU"/>
        </w:rPr>
        <w:t>невідкладна медична допомога, інтенсивна терапія жінкам, вагітним, роділлям, породіллям та новонародженим, стабілізація невідкладних гінекологічних станів (ургентні гінекологічні операції) та переведення до закладу охорони здоров’я вищого рівня медичної допомоги.</w:t>
      </w:r>
    </w:p>
    <w:p w:rsidR="003B67F9" w:rsidRPr="00F159BE" w:rsidRDefault="003B67F9" w:rsidP="00F159BE">
      <w:pPr>
        <w:widowControl w:val="0"/>
        <w:ind w:firstLine="720"/>
        <w:rPr>
          <w:rFonts w:eastAsia="Times New Roman"/>
          <w:szCs w:val="28"/>
          <w:shd w:val="clear" w:color="auto" w:fill="FFFFFF"/>
          <w:lang w:eastAsia="ru-RU"/>
        </w:rPr>
      </w:pPr>
      <w:r w:rsidRPr="00006A39">
        <w:rPr>
          <w:rFonts w:eastAsia="Times New Roman"/>
          <w:szCs w:val="28"/>
          <w:lang w:eastAsia="ru-RU"/>
        </w:rPr>
        <w:t>Розроблена та запропонована нами модель комплексної оцінки діяльності структурних підрозділів ЗОЗ, що надають базову перинатальну допомогу (І рівень перинатальної допомоги) передбачає оцінку первинної перинатальної допомоги н</w:t>
      </w:r>
      <w:r w:rsidR="00732962">
        <w:rPr>
          <w:rFonts w:eastAsia="Times New Roman"/>
          <w:szCs w:val="28"/>
          <w:lang w:eastAsia="ru-RU"/>
        </w:rPr>
        <w:t>а госпітальному рівні (т</w:t>
      </w:r>
      <w:r w:rsidR="00250408">
        <w:rPr>
          <w:rFonts w:eastAsia="Times New Roman"/>
          <w:szCs w:val="28"/>
          <w:lang w:eastAsia="ru-RU"/>
        </w:rPr>
        <w:t>абл. 7.3</w:t>
      </w:r>
      <w:r w:rsidRPr="00006A39">
        <w:rPr>
          <w:rFonts w:eastAsia="Times New Roman"/>
          <w:szCs w:val="28"/>
          <w:lang w:eastAsia="ru-RU"/>
        </w:rPr>
        <w:t>).</w:t>
      </w:r>
    </w:p>
    <w:p w:rsidR="0077410C" w:rsidRPr="0050319C" w:rsidRDefault="0077410C" w:rsidP="00F159BE">
      <w:pPr>
        <w:widowControl w:val="0"/>
        <w:ind w:firstLine="709"/>
        <w:rPr>
          <w:rFonts w:eastAsia="Times New Roman"/>
          <w:szCs w:val="28"/>
          <w:lang w:eastAsia="ru-RU"/>
        </w:rPr>
      </w:pPr>
      <w:r w:rsidRPr="00006A39">
        <w:rPr>
          <w:rFonts w:eastAsia="Times New Roman"/>
          <w:szCs w:val="28"/>
          <w:lang w:eastAsia="ru-RU"/>
        </w:rPr>
        <w:t xml:space="preserve">До закладів охорони здоров’я ІІ рівня перинатальної допомоги на госпітальному етапі належать: </w:t>
      </w:r>
      <w:r w:rsidRPr="00006A39">
        <w:rPr>
          <w:rFonts w:eastAsia="Times New Roman"/>
          <w:color w:val="000000"/>
          <w:szCs w:val="28"/>
          <w:shd w:val="clear" w:color="auto" w:fill="FFFFFF"/>
          <w:lang w:eastAsia="ru-RU"/>
        </w:rPr>
        <w:t>БЛІЛ другого рівня з кількістю пологів 800 і більше на рік, міськ</w:t>
      </w:r>
      <w:r w:rsidR="00FB1487">
        <w:rPr>
          <w:rFonts w:eastAsia="Times New Roman"/>
          <w:color w:val="000000"/>
          <w:szCs w:val="28"/>
          <w:shd w:val="clear" w:color="auto" w:fill="FFFFFF"/>
          <w:lang w:eastAsia="ru-RU"/>
        </w:rPr>
        <w:t>і пологові будинки, ПЦ</w:t>
      </w:r>
      <w:r w:rsidRPr="00006A39">
        <w:rPr>
          <w:rFonts w:eastAsia="Times New Roman"/>
          <w:color w:val="000000"/>
          <w:szCs w:val="28"/>
          <w:shd w:val="clear" w:color="auto" w:fill="FFFFFF"/>
          <w:lang w:eastAsia="ru-RU"/>
        </w:rPr>
        <w:t xml:space="preserve"> II рівня, у тому числі створені на базі міських пологових будинків або багатопрофільних лікарень (центральних районних лікарень), що виконують функції міжрайонних </w:t>
      </w:r>
      <w:r w:rsidR="00887BDE">
        <w:rPr>
          <w:rFonts w:eastAsia="Times New Roman"/>
          <w:color w:val="000000"/>
          <w:szCs w:val="28"/>
          <w:shd w:val="clear" w:color="auto" w:fill="FFFFFF"/>
          <w:lang w:eastAsia="ru-RU"/>
        </w:rPr>
        <w:t>ПЦ</w:t>
      </w:r>
      <w:r w:rsidRPr="00006A39">
        <w:rPr>
          <w:rFonts w:eastAsia="Times New Roman"/>
          <w:color w:val="000000"/>
          <w:szCs w:val="28"/>
          <w:shd w:val="clear" w:color="auto" w:fill="FFFFFF"/>
          <w:lang w:eastAsia="ru-RU"/>
        </w:rPr>
        <w:t>, з кількістю пологів 1500 і більше на рік та радіусом обслуговування не більше 60 км.</w:t>
      </w:r>
    </w:p>
    <w:p w:rsidR="0077410C" w:rsidRPr="0050319C" w:rsidRDefault="0077410C" w:rsidP="00721203">
      <w:pPr>
        <w:widowControl w:val="0"/>
        <w:ind w:firstLine="709"/>
        <w:jc w:val="right"/>
        <w:rPr>
          <w:rFonts w:eastAsia="Times New Roman"/>
          <w:i/>
          <w:szCs w:val="28"/>
          <w:lang w:eastAsia="ru-RU"/>
        </w:rPr>
      </w:pPr>
    </w:p>
    <w:p w:rsidR="0077410C" w:rsidRPr="0050319C" w:rsidRDefault="0077410C" w:rsidP="00721203">
      <w:pPr>
        <w:widowControl w:val="0"/>
        <w:ind w:firstLine="709"/>
        <w:jc w:val="right"/>
        <w:rPr>
          <w:rFonts w:eastAsia="Times New Roman"/>
          <w:i/>
          <w:szCs w:val="28"/>
          <w:lang w:eastAsia="ru-RU"/>
        </w:rPr>
      </w:pPr>
    </w:p>
    <w:p w:rsidR="003B67F9" w:rsidRPr="00006A39" w:rsidRDefault="00250408" w:rsidP="00F159BE">
      <w:pPr>
        <w:pageBreakBefore/>
        <w:widowControl w:val="0"/>
        <w:ind w:firstLine="709"/>
        <w:jc w:val="right"/>
        <w:rPr>
          <w:rFonts w:eastAsia="Times New Roman"/>
          <w:i/>
          <w:szCs w:val="28"/>
          <w:lang w:eastAsia="ru-RU"/>
        </w:rPr>
      </w:pPr>
      <w:r>
        <w:rPr>
          <w:rFonts w:eastAsia="Times New Roman"/>
          <w:i/>
          <w:szCs w:val="28"/>
          <w:lang w:eastAsia="ru-RU"/>
        </w:rPr>
        <w:lastRenderedPageBreak/>
        <w:t>Таблиця 7.3</w:t>
      </w:r>
    </w:p>
    <w:p w:rsidR="003B67F9" w:rsidRPr="00006A39" w:rsidRDefault="003B67F9" w:rsidP="00721203">
      <w:pPr>
        <w:widowControl w:val="0"/>
        <w:jc w:val="center"/>
        <w:rPr>
          <w:rFonts w:eastAsia="Times New Roman"/>
          <w:b/>
          <w:color w:val="000000"/>
          <w:szCs w:val="28"/>
          <w:lang w:eastAsia="ru-RU"/>
        </w:rPr>
      </w:pPr>
      <w:r w:rsidRPr="00006A39">
        <w:rPr>
          <w:rFonts w:eastAsia="Times New Roman"/>
          <w:b/>
          <w:color w:val="000000"/>
          <w:szCs w:val="28"/>
          <w:lang w:eastAsia="ru-RU"/>
        </w:rPr>
        <w:t>Модель комплексної оцінки діяльності структурних підрозділів ЗОЗ, що надають І рівень перинатальної допомоги</w:t>
      </w:r>
    </w:p>
    <w:tbl>
      <w:tblPr>
        <w:tblStyle w:val="a6"/>
        <w:tblW w:w="0" w:type="auto"/>
        <w:jc w:val="center"/>
        <w:tblInd w:w="-267" w:type="dxa"/>
        <w:tblLayout w:type="fixed"/>
        <w:tblLook w:val="01E0" w:firstRow="1" w:lastRow="1" w:firstColumn="1" w:lastColumn="1" w:noHBand="0" w:noVBand="0"/>
      </w:tblPr>
      <w:tblGrid>
        <w:gridCol w:w="2563"/>
        <w:gridCol w:w="3183"/>
        <w:gridCol w:w="851"/>
        <w:gridCol w:w="567"/>
        <w:gridCol w:w="850"/>
        <w:gridCol w:w="425"/>
        <w:gridCol w:w="426"/>
        <w:gridCol w:w="708"/>
        <w:gridCol w:w="500"/>
      </w:tblGrid>
      <w:tr w:rsidR="003B67F9" w:rsidRPr="008D4BBC" w:rsidTr="002A565A">
        <w:trPr>
          <w:cantSplit/>
          <w:trHeight w:val="2613"/>
          <w:jc w:val="center"/>
        </w:trPr>
        <w:tc>
          <w:tcPr>
            <w:tcW w:w="2563" w:type="dxa"/>
            <w:tcBorders>
              <w:top w:val="single" w:sz="4" w:space="0" w:color="auto"/>
              <w:left w:val="single" w:sz="4" w:space="0" w:color="auto"/>
              <w:bottom w:val="single" w:sz="4" w:space="0" w:color="auto"/>
              <w:right w:val="single" w:sz="4" w:space="0" w:color="auto"/>
            </w:tcBorders>
            <w:hideMark/>
          </w:tcPr>
          <w:p w:rsidR="003B67F9" w:rsidRPr="008D4BBC" w:rsidRDefault="003B67F9" w:rsidP="008D4BBC">
            <w:pPr>
              <w:widowControl w:val="0"/>
              <w:spacing w:line="276" w:lineRule="auto"/>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Нормативний показник</w:t>
            </w:r>
          </w:p>
        </w:tc>
        <w:tc>
          <w:tcPr>
            <w:tcW w:w="3183" w:type="dxa"/>
            <w:tcBorders>
              <w:top w:val="single" w:sz="4" w:space="0" w:color="auto"/>
              <w:left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Методика вимірювання (обчислення)</w:t>
            </w:r>
          </w:p>
        </w:tc>
        <w:tc>
          <w:tcPr>
            <w:tcW w:w="851" w:type="dxa"/>
            <w:tcBorders>
              <w:top w:val="single" w:sz="4" w:space="0" w:color="auto"/>
              <w:left w:val="single" w:sz="4" w:space="0" w:color="auto"/>
              <w:right w:val="single" w:sz="4" w:space="0" w:color="auto"/>
            </w:tcBorders>
            <w:textDirection w:val="btLr"/>
            <w:vAlign w:val="center"/>
          </w:tcPr>
          <w:p w:rsidR="003B67F9" w:rsidRPr="008D4BBC" w:rsidRDefault="003B67F9" w:rsidP="008D4BBC">
            <w:pPr>
              <w:widowControl w:val="0"/>
              <w:spacing w:line="180" w:lineRule="exact"/>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Норматив (контрольний показник)</w:t>
            </w:r>
          </w:p>
        </w:tc>
        <w:tc>
          <w:tcPr>
            <w:tcW w:w="567" w:type="dxa"/>
            <w:tcBorders>
              <w:top w:val="single" w:sz="4" w:space="0" w:color="auto"/>
              <w:left w:val="single" w:sz="4" w:space="0" w:color="auto"/>
              <w:right w:val="single" w:sz="4" w:space="0" w:color="auto"/>
            </w:tcBorders>
            <w:textDirection w:val="btLr"/>
            <w:vAlign w:val="center"/>
          </w:tcPr>
          <w:p w:rsidR="003B67F9" w:rsidRPr="008D4BBC" w:rsidRDefault="003B67F9" w:rsidP="008D4BBC">
            <w:pPr>
              <w:widowControl w:val="0"/>
              <w:spacing w:line="180" w:lineRule="exact"/>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Оцінка нормативу</w:t>
            </w:r>
          </w:p>
          <w:p w:rsidR="003B67F9" w:rsidRPr="008D4BBC" w:rsidRDefault="003B67F9" w:rsidP="008D4BBC">
            <w:pPr>
              <w:widowControl w:val="0"/>
              <w:spacing w:line="180" w:lineRule="exact"/>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 бал)</w:t>
            </w:r>
          </w:p>
        </w:tc>
        <w:tc>
          <w:tcPr>
            <w:tcW w:w="850" w:type="dxa"/>
            <w:tcBorders>
              <w:top w:val="single" w:sz="4" w:space="0" w:color="auto"/>
              <w:left w:val="single" w:sz="4" w:space="0" w:color="auto"/>
              <w:right w:val="single" w:sz="4" w:space="0" w:color="auto"/>
            </w:tcBorders>
            <w:textDirection w:val="btLr"/>
            <w:vAlign w:val="center"/>
          </w:tcPr>
          <w:p w:rsidR="003B67F9" w:rsidRPr="008D4BBC" w:rsidRDefault="003B67F9" w:rsidP="008D4BBC">
            <w:pPr>
              <w:widowControl w:val="0"/>
              <w:spacing w:line="180" w:lineRule="exact"/>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 xml:space="preserve"> </w:t>
            </w:r>
          </w:p>
          <w:p w:rsidR="003B67F9" w:rsidRPr="008D4BBC" w:rsidRDefault="003B67F9" w:rsidP="008D4BBC">
            <w:pPr>
              <w:widowControl w:val="0"/>
              <w:spacing w:line="180" w:lineRule="exact"/>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Оцінка відхилення  в балах на 1 одиницю виміру</w:t>
            </w:r>
          </w:p>
          <w:p w:rsidR="003B67F9" w:rsidRPr="008D4BBC" w:rsidRDefault="003B67F9" w:rsidP="008D4BBC">
            <w:pPr>
              <w:widowControl w:val="0"/>
              <w:spacing w:line="180" w:lineRule="exact"/>
              <w:jc w:val="center"/>
              <w:rPr>
                <w:rFonts w:ascii="Times New Roman" w:hAnsi="Times New Roman"/>
                <w:color w:val="000000"/>
                <w:sz w:val="24"/>
                <w:szCs w:val="24"/>
                <w:lang w:val="uk-UA"/>
              </w:rPr>
            </w:pPr>
          </w:p>
        </w:tc>
        <w:tc>
          <w:tcPr>
            <w:tcW w:w="425" w:type="dxa"/>
            <w:tcBorders>
              <w:top w:val="single" w:sz="4" w:space="0" w:color="auto"/>
              <w:left w:val="single" w:sz="4" w:space="0" w:color="auto"/>
              <w:right w:val="single" w:sz="4" w:space="0" w:color="auto"/>
            </w:tcBorders>
            <w:textDirection w:val="btLr"/>
            <w:vAlign w:val="center"/>
          </w:tcPr>
          <w:p w:rsidR="003B67F9" w:rsidRPr="008D4BBC" w:rsidRDefault="003B67F9" w:rsidP="008D4BBC">
            <w:pPr>
              <w:widowControl w:val="0"/>
              <w:spacing w:line="180" w:lineRule="exact"/>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Знак</w:t>
            </w:r>
          </w:p>
        </w:tc>
        <w:tc>
          <w:tcPr>
            <w:tcW w:w="426" w:type="dxa"/>
            <w:tcBorders>
              <w:top w:val="single" w:sz="4" w:space="0" w:color="auto"/>
              <w:left w:val="single" w:sz="4" w:space="0" w:color="auto"/>
              <w:right w:val="single" w:sz="4" w:space="0" w:color="auto"/>
            </w:tcBorders>
            <w:textDirection w:val="btLr"/>
            <w:vAlign w:val="center"/>
          </w:tcPr>
          <w:p w:rsidR="003B67F9" w:rsidRPr="008D4BBC" w:rsidRDefault="003B67F9" w:rsidP="008D4BBC">
            <w:pPr>
              <w:widowControl w:val="0"/>
              <w:spacing w:line="180" w:lineRule="exact"/>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Фактичний показник</w:t>
            </w:r>
          </w:p>
        </w:tc>
        <w:tc>
          <w:tcPr>
            <w:tcW w:w="708" w:type="dxa"/>
            <w:tcBorders>
              <w:top w:val="single" w:sz="4" w:space="0" w:color="auto"/>
              <w:left w:val="single" w:sz="4" w:space="0" w:color="auto"/>
              <w:right w:val="single" w:sz="4" w:space="0" w:color="auto"/>
            </w:tcBorders>
            <w:textDirection w:val="btLr"/>
            <w:vAlign w:val="center"/>
          </w:tcPr>
          <w:p w:rsidR="003B67F9" w:rsidRPr="008D4BBC" w:rsidRDefault="003B67F9" w:rsidP="008D4BBC">
            <w:pPr>
              <w:widowControl w:val="0"/>
              <w:spacing w:line="180" w:lineRule="exact"/>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Бальна оцінка фактичного показника</w:t>
            </w:r>
          </w:p>
        </w:tc>
        <w:tc>
          <w:tcPr>
            <w:tcW w:w="500" w:type="dxa"/>
            <w:tcBorders>
              <w:top w:val="single" w:sz="4" w:space="0" w:color="auto"/>
              <w:left w:val="single" w:sz="4" w:space="0" w:color="auto"/>
              <w:right w:val="single" w:sz="4" w:space="0" w:color="auto"/>
            </w:tcBorders>
            <w:textDirection w:val="btLr"/>
          </w:tcPr>
          <w:p w:rsidR="003B67F9" w:rsidRPr="008D4BBC" w:rsidRDefault="003B67F9" w:rsidP="008D4BBC">
            <w:pPr>
              <w:widowControl w:val="0"/>
              <w:spacing w:line="180" w:lineRule="exact"/>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КДНЗ</w:t>
            </w:r>
          </w:p>
        </w:tc>
      </w:tr>
      <w:tr w:rsidR="003B67F9" w:rsidRPr="008D4BBC" w:rsidTr="002A565A">
        <w:trPr>
          <w:trHeight w:val="81"/>
          <w:jc w:val="center"/>
        </w:trPr>
        <w:tc>
          <w:tcPr>
            <w:tcW w:w="2563"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rPr>
                <w:rFonts w:ascii="Times New Roman" w:hAnsi="Times New Roman"/>
                <w:color w:val="000000"/>
                <w:sz w:val="24"/>
                <w:szCs w:val="24"/>
                <w:lang w:val="uk-UA"/>
              </w:rPr>
            </w:pPr>
            <w:r w:rsidRPr="008D4BBC">
              <w:rPr>
                <w:rFonts w:ascii="Times New Roman" w:hAnsi="Times New Roman"/>
                <w:color w:val="000000"/>
                <w:sz w:val="24"/>
                <w:szCs w:val="24"/>
                <w:lang w:val="uk-UA"/>
              </w:rPr>
              <w:t>Укомплектованість лікарями акушер-гінекологами</w:t>
            </w:r>
          </w:p>
        </w:tc>
        <w:tc>
          <w:tcPr>
            <w:tcW w:w="3183"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rPr>
                <w:rFonts w:ascii="Times New Roman" w:hAnsi="Times New Roman"/>
                <w:color w:val="000000"/>
                <w:sz w:val="24"/>
                <w:szCs w:val="24"/>
                <w:lang w:val="uk-UA"/>
              </w:rPr>
            </w:pPr>
            <w:r w:rsidRPr="008D4BBC">
              <w:rPr>
                <w:rFonts w:ascii="Times New Roman" w:hAnsi="Times New Roman"/>
                <w:color w:val="000000"/>
                <w:sz w:val="24"/>
                <w:szCs w:val="24"/>
                <w:lang w:val="uk-UA"/>
              </w:rPr>
              <w:t xml:space="preserve">Кількість фізичних осіб лікарів акушер-гінекологів </w:t>
            </w:r>
            <w:r w:rsidRPr="008D4BBC">
              <w:rPr>
                <w:rFonts w:ascii="Times New Roman" w:hAnsi="Times New Roman"/>
                <w:sz w:val="24"/>
                <w:szCs w:val="24"/>
                <w:lang w:val="uk-UA" w:eastAsia="uk-UA"/>
              </w:rPr>
              <w:t>×</w:t>
            </w:r>
            <w:r w:rsidRPr="008D4BBC">
              <w:rPr>
                <w:rFonts w:ascii="Times New Roman" w:hAnsi="Times New Roman"/>
                <w:color w:val="000000"/>
                <w:sz w:val="24"/>
                <w:szCs w:val="24"/>
                <w:lang w:val="uk-UA"/>
              </w:rPr>
              <w:t xml:space="preserve"> 100 / кількість штатних посад лікарів акушер-гінекологів</w:t>
            </w:r>
          </w:p>
        </w:tc>
        <w:tc>
          <w:tcPr>
            <w:tcW w:w="851"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95</w:t>
            </w:r>
          </w:p>
        </w:tc>
        <w:tc>
          <w:tcPr>
            <w:tcW w:w="567"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7</w:t>
            </w:r>
          </w:p>
        </w:tc>
        <w:tc>
          <w:tcPr>
            <w:tcW w:w="850"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0,07</w:t>
            </w:r>
          </w:p>
        </w:tc>
        <w:tc>
          <w:tcPr>
            <w:tcW w:w="425"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w:t>
            </w:r>
          </w:p>
        </w:tc>
        <w:tc>
          <w:tcPr>
            <w:tcW w:w="426"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rPr>
            </w:pPr>
          </w:p>
        </w:tc>
        <w:tc>
          <w:tcPr>
            <w:tcW w:w="708"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rPr>
            </w:pPr>
          </w:p>
        </w:tc>
        <w:tc>
          <w:tcPr>
            <w:tcW w:w="500"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rPr>
            </w:pPr>
          </w:p>
        </w:tc>
      </w:tr>
      <w:tr w:rsidR="003B67F9" w:rsidRPr="008D4BBC" w:rsidTr="002A565A">
        <w:trPr>
          <w:trHeight w:val="81"/>
          <w:jc w:val="center"/>
        </w:trPr>
        <w:tc>
          <w:tcPr>
            <w:tcW w:w="2563"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rPr>
                <w:rFonts w:ascii="Times New Roman" w:hAnsi="Times New Roman"/>
                <w:color w:val="000000"/>
                <w:sz w:val="24"/>
                <w:szCs w:val="24"/>
                <w:lang w:val="uk-UA"/>
              </w:rPr>
            </w:pPr>
            <w:r w:rsidRPr="008D4BBC">
              <w:rPr>
                <w:rFonts w:ascii="Times New Roman" w:hAnsi="Times New Roman"/>
                <w:color w:val="000000"/>
                <w:sz w:val="24"/>
                <w:szCs w:val="24"/>
                <w:lang w:val="uk-UA"/>
              </w:rPr>
              <w:t>Укомплектованість лікарями педіатрами- неонатологами</w:t>
            </w:r>
          </w:p>
        </w:tc>
        <w:tc>
          <w:tcPr>
            <w:tcW w:w="3183"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rPr>
                <w:rFonts w:ascii="Times New Roman" w:hAnsi="Times New Roman"/>
                <w:color w:val="000000"/>
                <w:sz w:val="24"/>
                <w:szCs w:val="24"/>
                <w:lang w:val="uk-UA"/>
              </w:rPr>
            </w:pPr>
            <w:r w:rsidRPr="008D4BBC">
              <w:rPr>
                <w:rFonts w:ascii="Times New Roman" w:hAnsi="Times New Roman"/>
                <w:color w:val="000000"/>
                <w:sz w:val="24"/>
                <w:szCs w:val="24"/>
                <w:lang w:val="uk-UA"/>
              </w:rPr>
              <w:t xml:space="preserve">Кількість фізичних осіб лікарів педіатрів-неонатологів </w:t>
            </w:r>
            <w:r w:rsidRPr="008D4BBC">
              <w:rPr>
                <w:rFonts w:ascii="Times New Roman" w:hAnsi="Times New Roman"/>
                <w:sz w:val="24"/>
                <w:szCs w:val="24"/>
                <w:lang w:val="uk-UA" w:eastAsia="uk-UA"/>
              </w:rPr>
              <w:t>×</w:t>
            </w:r>
            <w:r w:rsidRPr="008D4BBC">
              <w:rPr>
                <w:rFonts w:ascii="Times New Roman" w:hAnsi="Times New Roman"/>
                <w:color w:val="000000"/>
                <w:sz w:val="24"/>
                <w:szCs w:val="24"/>
                <w:lang w:val="uk-UA"/>
              </w:rPr>
              <w:t xml:space="preserve"> 100 / кількість штатних посад лікарів педіатрів-неонатологів</w:t>
            </w:r>
          </w:p>
        </w:tc>
        <w:tc>
          <w:tcPr>
            <w:tcW w:w="851"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95</w:t>
            </w:r>
          </w:p>
        </w:tc>
        <w:tc>
          <w:tcPr>
            <w:tcW w:w="567"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7</w:t>
            </w:r>
          </w:p>
        </w:tc>
        <w:tc>
          <w:tcPr>
            <w:tcW w:w="850"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0,07</w:t>
            </w:r>
          </w:p>
        </w:tc>
        <w:tc>
          <w:tcPr>
            <w:tcW w:w="425"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w:t>
            </w:r>
          </w:p>
        </w:tc>
        <w:tc>
          <w:tcPr>
            <w:tcW w:w="426"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rPr>
            </w:pPr>
          </w:p>
        </w:tc>
        <w:tc>
          <w:tcPr>
            <w:tcW w:w="708"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rPr>
            </w:pPr>
          </w:p>
        </w:tc>
        <w:tc>
          <w:tcPr>
            <w:tcW w:w="500"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rPr>
            </w:pPr>
          </w:p>
        </w:tc>
      </w:tr>
      <w:tr w:rsidR="003B67F9" w:rsidRPr="008D4BBC" w:rsidTr="002A565A">
        <w:trPr>
          <w:trHeight w:val="81"/>
          <w:jc w:val="center"/>
        </w:trPr>
        <w:tc>
          <w:tcPr>
            <w:tcW w:w="2563"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rPr>
                <w:rFonts w:ascii="Times New Roman" w:hAnsi="Times New Roman"/>
                <w:color w:val="000000"/>
                <w:sz w:val="24"/>
                <w:szCs w:val="24"/>
                <w:lang w:val="uk-UA"/>
              </w:rPr>
            </w:pPr>
            <w:r w:rsidRPr="008D4BBC">
              <w:rPr>
                <w:rFonts w:ascii="Times New Roman" w:hAnsi="Times New Roman"/>
                <w:sz w:val="24"/>
                <w:szCs w:val="24"/>
                <w:lang w:val="uk-UA"/>
              </w:rPr>
              <w:t xml:space="preserve">Комп’ютеризація </w:t>
            </w:r>
            <w:r w:rsidR="001D1972" w:rsidRPr="008D4BBC">
              <w:rPr>
                <w:rFonts w:ascii="Times New Roman" w:hAnsi="Times New Roman"/>
                <w:sz w:val="24"/>
                <w:szCs w:val="24"/>
                <w:lang w:val="uk-UA"/>
              </w:rPr>
              <w:t>відділеннях</w:t>
            </w:r>
            <w:r w:rsidRPr="008D4BBC">
              <w:rPr>
                <w:rFonts w:ascii="Times New Roman" w:hAnsi="Times New Roman"/>
                <w:sz w:val="24"/>
                <w:szCs w:val="24"/>
                <w:lang w:val="uk-UA"/>
              </w:rPr>
              <w:t xml:space="preserve"> </w:t>
            </w:r>
            <w:r w:rsidR="00520D08">
              <w:rPr>
                <w:rFonts w:ascii="Times New Roman" w:hAnsi="Times New Roman"/>
                <w:sz w:val="24"/>
                <w:szCs w:val="24"/>
                <w:lang w:val="uk-UA"/>
              </w:rPr>
              <w:t>і</w:t>
            </w:r>
            <w:r w:rsidRPr="008D4BBC">
              <w:rPr>
                <w:rFonts w:ascii="Times New Roman" w:hAnsi="Times New Roman"/>
                <w:sz w:val="24"/>
                <w:szCs w:val="24"/>
                <w:lang w:val="uk-UA"/>
              </w:rPr>
              <w:t>з доступом до Інтернет-мережі</w:t>
            </w:r>
          </w:p>
        </w:tc>
        <w:tc>
          <w:tcPr>
            <w:tcW w:w="3183"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rPr>
                <w:rFonts w:ascii="Times New Roman" w:hAnsi="Times New Roman"/>
                <w:color w:val="000000"/>
                <w:sz w:val="24"/>
                <w:szCs w:val="24"/>
                <w:lang w:val="uk-UA"/>
              </w:rPr>
            </w:pPr>
            <w:r w:rsidRPr="008D4BBC">
              <w:rPr>
                <w:rFonts w:ascii="Times New Roman" w:hAnsi="Times New Roman"/>
                <w:sz w:val="24"/>
                <w:szCs w:val="24"/>
                <w:lang w:val="uk-UA"/>
              </w:rPr>
              <w:t>Наявність у структурному підрозділі закладу комп’ютера з доступом до Інтернет-мережі</w:t>
            </w:r>
          </w:p>
        </w:tc>
        <w:tc>
          <w:tcPr>
            <w:tcW w:w="851"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так</w:t>
            </w:r>
          </w:p>
        </w:tc>
        <w:tc>
          <w:tcPr>
            <w:tcW w:w="567"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rPr>
            </w:pPr>
            <w:r w:rsidRPr="008D4BBC">
              <w:rPr>
                <w:rFonts w:ascii="Times New Roman" w:hAnsi="Times New Roman"/>
                <w:sz w:val="24"/>
                <w:szCs w:val="24"/>
                <w:lang w:val="uk-UA"/>
              </w:rPr>
              <w:t>8</w:t>
            </w:r>
          </w:p>
        </w:tc>
        <w:tc>
          <w:tcPr>
            <w:tcW w:w="850"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rPr>
            </w:pPr>
          </w:p>
        </w:tc>
        <w:tc>
          <w:tcPr>
            <w:tcW w:w="425"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w:t>
            </w:r>
          </w:p>
        </w:tc>
        <w:tc>
          <w:tcPr>
            <w:tcW w:w="426"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rPr>
            </w:pPr>
          </w:p>
        </w:tc>
        <w:tc>
          <w:tcPr>
            <w:tcW w:w="708"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rPr>
            </w:pPr>
          </w:p>
        </w:tc>
        <w:tc>
          <w:tcPr>
            <w:tcW w:w="500"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rPr>
            </w:pPr>
          </w:p>
        </w:tc>
      </w:tr>
      <w:tr w:rsidR="003B67F9" w:rsidRPr="008D4BBC" w:rsidTr="002A565A">
        <w:trPr>
          <w:trHeight w:val="81"/>
          <w:jc w:val="center"/>
        </w:trPr>
        <w:tc>
          <w:tcPr>
            <w:tcW w:w="2563"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rPr>
                <w:rFonts w:ascii="Times New Roman" w:hAnsi="Times New Roman"/>
                <w:sz w:val="24"/>
                <w:szCs w:val="24"/>
                <w:lang w:val="uk-UA"/>
              </w:rPr>
            </w:pPr>
            <w:r w:rsidRPr="008D4BBC">
              <w:rPr>
                <w:rFonts w:ascii="Times New Roman" w:hAnsi="Times New Roman"/>
                <w:sz w:val="24"/>
                <w:szCs w:val="24"/>
                <w:lang w:val="uk-UA"/>
              </w:rPr>
              <w:t>Наявність сучасного медичного обладнання для надання базової перинатальної допомоги</w:t>
            </w:r>
          </w:p>
        </w:tc>
        <w:tc>
          <w:tcPr>
            <w:tcW w:w="3183"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rPr>
                <w:rFonts w:ascii="Times New Roman" w:hAnsi="Times New Roman"/>
                <w:sz w:val="24"/>
                <w:szCs w:val="24"/>
                <w:lang w:val="uk-UA"/>
              </w:rPr>
            </w:pPr>
            <w:r w:rsidRPr="008D4BBC">
              <w:rPr>
                <w:rFonts w:ascii="Times New Roman" w:hAnsi="Times New Roman"/>
                <w:sz w:val="24"/>
                <w:szCs w:val="24"/>
                <w:lang w:val="uk-UA"/>
              </w:rPr>
              <w:t xml:space="preserve">Кількість наявного передбаченого табелем оснащення сучасного медичного обладнання </w:t>
            </w:r>
            <w:r w:rsidRPr="008D4BBC">
              <w:rPr>
                <w:rFonts w:ascii="Times New Roman" w:hAnsi="Times New Roman"/>
                <w:sz w:val="24"/>
                <w:szCs w:val="24"/>
                <w:lang w:val="uk-UA" w:eastAsia="uk-UA"/>
              </w:rPr>
              <w:t>×</w:t>
            </w:r>
            <w:r w:rsidRPr="008D4BBC">
              <w:rPr>
                <w:rFonts w:ascii="Times New Roman" w:hAnsi="Times New Roman"/>
                <w:kern w:val="28"/>
                <w:sz w:val="24"/>
                <w:szCs w:val="24"/>
                <w:lang w:val="uk-UA"/>
              </w:rPr>
              <w:t xml:space="preserve"> 100 </w:t>
            </w:r>
            <w:r w:rsidRPr="008D4BBC">
              <w:rPr>
                <w:rFonts w:ascii="Times New Roman" w:hAnsi="Times New Roman"/>
                <w:sz w:val="24"/>
                <w:szCs w:val="24"/>
                <w:lang w:val="uk-UA"/>
              </w:rPr>
              <w:t>/ кількість передбаченого табелем оснащення сучасного медичного обладнання</w:t>
            </w:r>
          </w:p>
        </w:tc>
        <w:tc>
          <w:tcPr>
            <w:tcW w:w="851"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sz w:val="24"/>
                <w:szCs w:val="24"/>
                <w:lang w:val="uk-UA"/>
              </w:rPr>
            </w:pPr>
            <w:r w:rsidRPr="008D4BBC">
              <w:rPr>
                <w:rFonts w:ascii="Times New Roman" w:hAnsi="Times New Roman"/>
                <w:sz w:val="24"/>
                <w:szCs w:val="24"/>
                <w:lang w:val="uk-UA"/>
              </w:rPr>
              <w:t>95</w:t>
            </w:r>
          </w:p>
        </w:tc>
        <w:tc>
          <w:tcPr>
            <w:tcW w:w="567"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sz w:val="24"/>
                <w:szCs w:val="24"/>
                <w:lang w:val="uk-UA"/>
              </w:rPr>
            </w:pPr>
            <w:r w:rsidRPr="008D4BBC">
              <w:rPr>
                <w:rFonts w:ascii="Times New Roman" w:hAnsi="Times New Roman"/>
                <w:sz w:val="24"/>
                <w:szCs w:val="24"/>
                <w:lang w:val="uk-UA"/>
              </w:rPr>
              <w:t>8</w:t>
            </w:r>
          </w:p>
        </w:tc>
        <w:tc>
          <w:tcPr>
            <w:tcW w:w="850"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sz w:val="24"/>
                <w:szCs w:val="24"/>
                <w:lang w:val="uk-UA"/>
              </w:rPr>
            </w:pPr>
            <w:r w:rsidRPr="008D4BBC">
              <w:rPr>
                <w:rFonts w:ascii="Times New Roman" w:hAnsi="Times New Roman"/>
                <w:sz w:val="24"/>
                <w:szCs w:val="24"/>
                <w:lang w:val="uk-UA"/>
              </w:rPr>
              <w:t>0,08</w:t>
            </w:r>
          </w:p>
        </w:tc>
        <w:tc>
          <w:tcPr>
            <w:tcW w:w="425"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sz w:val="24"/>
                <w:szCs w:val="24"/>
                <w:lang w:val="uk-UA"/>
              </w:rPr>
            </w:pPr>
            <w:r w:rsidRPr="008D4BBC">
              <w:rPr>
                <w:rFonts w:ascii="Times New Roman" w:hAnsi="Times New Roman"/>
                <w:sz w:val="24"/>
                <w:szCs w:val="24"/>
                <w:lang w:val="uk-UA"/>
              </w:rPr>
              <w:t>-</w:t>
            </w:r>
          </w:p>
        </w:tc>
        <w:tc>
          <w:tcPr>
            <w:tcW w:w="426"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sz w:val="24"/>
                <w:szCs w:val="24"/>
                <w:lang w:val="uk-UA"/>
              </w:rPr>
            </w:pPr>
          </w:p>
        </w:tc>
        <w:tc>
          <w:tcPr>
            <w:tcW w:w="708"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sz w:val="24"/>
                <w:szCs w:val="24"/>
                <w:lang w:val="uk-UA"/>
              </w:rPr>
            </w:pPr>
          </w:p>
        </w:tc>
        <w:tc>
          <w:tcPr>
            <w:tcW w:w="500"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sz w:val="24"/>
                <w:szCs w:val="24"/>
                <w:lang w:val="uk-UA"/>
              </w:rPr>
            </w:pPr>
            <w:r w:rsidRPr="008D4BBC">
              <w:rPr>
                <w:rFonts w:ascii="Times New Roman" w:hAnsi="Times New Roman"/>
                <w:sz w:val="24"/>
                <w:szCs w:val="24"/>
                <w:lang w:val="uk-UA"/>
              </w:rPr>
              <w:t>.</w:t>
            </w:r>
          </w:p>
        </w:tc>
      </w:tr>
      <w:tr w:rsidR="003B67F9" w:rsidRPr="008D4BBC" w:rsidTr="002A565A">
        <w:trPr>
          <w:trHeight w:val="263"/>
          <w:jc w:val="center"/>
        </w:trPr>
        <w:tc>
          <w:tcPr>
            <w:tcW w:w="2563"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rPr>
                <w:rFonts w:ascii="Times New Roman" w:hAnsi="Times New Roman"/>
                <w:sz w:val="24"/>
                <w:szCs w:val="24"/>
                <w:lang w:val="uk-UA"/>
              </w:rPr>
            </w:pPr>
            <w:r w:rsidRPr="008D4BBC">
              <w:rPr>
                <w:rFonts w:ascii="Times New Roman" w:hAnsi="Times New Roman"/>
                <w:sz w:val="24"/>
                <w:szCs w:val="24"/>
                <w:lang w:val="uk-UA"/>
              </w:rPr>
              <w:t>Наявність статусу «Лікарня, доброзичлива до дитини»</w:t>
            </w:r>
          </w:p>
        </w:tc>
        <w:tc>
          <w:tcPr>
            <w:tcW w:w="3183"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rPr>
                <w:rFonts w:ascii="Times New Roman" w:hAnsi="Times New Roman"/>
                <w:sz w:val="24"/>
                <w:szCs w:val="24"/>
                <w:lang w:val="uk-UA"/>
              </w:rPr>
            </w:pPr>
            <w:r w:rsidRPr="008D4BBC">
              <w:rPr>
                <w:rFonts w:ascii="Times New Roman" w:hAnsi="Times New Roman"/>
                <w:sz w:val="24"/>
                <w:szCs w:val="24"/>
                <w:lang w:val="uk-UA"/>
              </w:rPr>
              <w:t>Наявність сертифікату «Лікарня, доброзичлива до дитини»</w:t>
            </w:r>
          </w:p>
        </w:tc>
        <w:tc>
          <w:tcPr>
            <w:tcW w:w="851"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sz w:val="24"/>
                <w:szCs w:val="24"/>
                <w:lang w:val="uk-UA"/>
              </w:rPr>
            </w:pPr>
            <w:r w:rsidRPr="008D4BBC">
              <w:rPr>
                <w:rFonts w:ascii="Times New Roman" w:hAnsi="Times New Roman"/>
                <w:sz w:val="24"/>
                <w:szCs w:val="24"/>
                <w:lang w:val="uk-UA"/>
              </w:rPr>
              <w:t>так</w:t>
            </w:r>
          </w:p>
        </w:tc>
        <w:tc>
          <w:tcPr>
            <w:tcW w:w="567"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sz w:val="24"/>
                <w:szCs w:val="24"/>
                <w:lang w:val="uk-UA"/>
              </w:rPr>
            </w:pPr>
            <w:r w:rsidRPr="008D4BBC">
              <w:rPr>
                <w:rFonts w:ascii="Times New Roman" w:hAnsi="Times New Roman"/>
                <w:sz w:val="24"/>
                <w:szCs w:val="24"/>
                <w:lang w:val="uk-UA"/>
              </w:rPr>
              <w:t>7</w:t>
            </w:r>
          </w:p>
        </w:tc>
        <w:tc>
          <w:tcPr>
            <w:tcW w:w="850"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sz w:val="24"/>
                <w:szCs w:val="24"/>
                <w:lang w:val="uk-UA"/>
              </w:rPr>
            </w:pPr>
          </w:p>
        </w:tc>
        <w:tc>
          <w:tcPr>
            <w:tcW w:w="425"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sz w:val="24"/>
                <w:szCs w:val="24"/>
                <w:lang w:val="uk-UA"/>
              </w:rPr>
            </w:pPr>
            <w:r w:rsidRPr="008D4BBC">
              <w:rPr>
                <w:rFonts w:ascii="Times New Roman" w:hAnsi="Times New Roman"/>
                <w:sz w:val="24"/>
                <w:szCs w:val="24"/>
                <w:lang w:val="uk-UA"/>
              </w:rPr>
              <w:t>-</w:t>
            </w:r>
          </w:p>
        </w:tc>
        <w:tc>
          <w:tcPr>
            <w:tcW w:w="426"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sz w:val="24"/>
                <w:szCs w:val="24"/>
                <w:lang w:val="uk-UA"/>
              </w:rPr>
            </w:pPr>
          </w:p>
        </w:tc>
        <w:tc>
          <w:tcPr>
            <w:tcW w:w="708"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sz w:val="24"/>
                <w:szCs w:val="24"/>
                <w:lang w:val="uk-UA"/>
              </w:rPr>
            </w:pPr>
          </w:p>
        </w:tc>
        <w:tc>
          <w:tcPr>
            <w:tcW w:w="500"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sz w:val="24"/>
                <w:szCs w:val="24"/>
                <w:lang w:val="uk-UA"/>
              </w:rPr>
            </w:pPr>
          </w:p>
        </w:tc>
      </w:tr>
      <w:tr w:rsidR="003B67F9" w:rsidRPr="008D4BBC" w:rsidTr="002A565A">
        <w:trPr>
          <w:trHeight w:val="81"/>
          <w:jc w:val="center"/>
        </w:trPr>
        <w:tc>
          <w:tcPr>
            <w:tcW w:w="2563"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rPr>
                <w:rFonts w:ascii="Times New Roman" w:hAnsi="Times New Roman"/>
                <w:sz w:val="24"/>
                <w:szCs w:val="24"/>
                <w:lang w:val="uk-UA"/>
              </w:rPr>
            </w:pPr>
            <w:r w:rsidRPr="008D4BBC">
              <w:rPr>
                <w:rFonts w:ascii="Times New Roman" w:hAnsi="Times New Roman"/>
                <w:sz w:val="24"/>
                <w:szCs w:val="24"/>
                <w:lang w:val="uk-UA"/>
              </w:rPr>
              <w:t>Частота ускладнених пологів</w:t>
            </w:r>
          </w:p>
        </w:tc>
        <w:tc>
          <w:tcPr>
            <w:tcW w:w="3183"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rPr>
                <w:rFonts w:ascii="Times New Roman" w:hAnsi="Times New Roman"/>
                <w:sz w:val="24"/>
                <w:szCs w:val="24"/>
                <w:lang w:val="uk-UA"/>
              </w:rPr>
            </w:pPr>
            <w:r w:rsidRPr="008D4BBC">
              <w:rPr>
                <w:rFonts w:ascii="Times New Roman" w:hAnsi="Times New Roman"/>
                <w:sz w:val="24"/>
                <w:szCs w:val="24"/>
                <w:lang w:val="uk-UA"/>
              </w:rPr>
              <w:t xml:space="preserve">Кількість ускладнених пологів/загальна кількість пологів </w:t>
            </w:r>
            <w:r w:rsidRPr="008D4BBC">
              <w:rPr>
                <w:rFonts w:ascii="Times New Roman" w:hAnsi="Times New Roman"/>
                <w:sz w:val="24"/>
                <w:szCs w:val="24"/>
                <w:lang w:val="uk-UA" w:eastAsia="uk-UA"/>
              </w:rPr>
              <w:t>×</w:t>
            </w:r>
            <w:r w:rsidRPr="008D4BBC">
              <w:rPr>
                <w:rFonts w:ascii="Times New Roman" w:hAnsi="Times New Roman"/>
                <w:sz w:val="24"/>
                <w:szCs w:val="24"/>
                <w:lang w:val="uk-UA"/>
              </w:rPr>
              <w:t xml:space="preserve"> 100 / загальна кількість пологів</w:t>
            </w:r>
          </w:p>
        </w:tc>
        <w:tc>
          <w:tcPr>
            <w:tcW w:w="851"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sz w:val="24"/>
                <w:szCs w:val="24"/>
                <w:lang w:val="uk-UA"/>
              </w:rPr>
            </w:pPr>
            <w:r w:rsidRPr="008D4BBC">
              <w:rPr>
                <w:rFonts w:ascii="Times New Roman" w:hAnsi="Times New Roman"/>
                <w:sz w:val="24"/>
                <w:szCs w:val="24"/>
                <w:lang w:val="uk-UA"/>
              </w:rPr>
              <w:t>15,0</w:t>
            </w:r>
          </w:p>
        </w:tc>
        <w:tc>
          <w:tcPr>
            <w:tcW w:w="567"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sz w:val="24"/>
                <w:szCs w:val="24"/>
                <w:lang w:val="uk-UA"/>
              </w:rPr>
            </w:pPr>
            <w:r w:rsidRPr="008D4BBC">
              <w:rPr>
                <w:rFonts w:ascii="Times New Roman" w:hAnsi="Times New Roman"/>
                <w:sz w:val="24"/>
                <w:szCs w:val="24"/>
                <w:lang w:val="uk-UA"/>
              </w:rPr>
              <w:t>6</w:t>
            </w:r>
          </w:p>
        </w:tc>
        <w:tc>
          <w:tcPr>
            <w:tcW w:w="850"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sz w:val="24"/>
                <w:szCs w:val="24"/>
                <w:lang w:val="uk-UA"/>
              </w:rPr>
            </w:pPr>
            <w:r w:rsidRPr="008D4BBC">
              <w:rPr>
                <w:rFonts w:ascii="Times New Roman" w:hAnsi="Times New Roman"/>
                <w:sz w:val="24"/>
                <w:szCs w:val="24"/>
                <w:lang w:val="uk-UA"/>
              </w:rPr>
              <w:t>0,4</w:t>
            </w:r>
          </w:p>
        </w:tc>
        <w:tc>
          <w:tcPr>
            <w:tcW w:w="425"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sz w:val="24"/>
                <w:szCs w:val="24"/>
                <w:lang w:val="uk-UA"/>
              </w:rPr>
            </w:pPr>
            <w:r w:rsidRPr="008D4BBC">
              <w:rPr>
                <w:rFonts w:ascii="Times New Roman" w:hAnsi="Times New Roman"/>
                <w:sz w:val="24"/>
                <w:szCs w:val="24"/>
                <w:lang w:val="uk-UA"/>
              </w:rPr>
              <w:t>+</w:t>
            </w:r>
          </w:p>
        </w:tc>
        <w:tc>
          <w:tcPr>
            <w:tcW w:w="426"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sz w:val="24"/>
                <w:szCs w:val="24"/>
                <w:lang w:val="uk-UA"/>
              </w:rPr>
            </w:pPr>
          </w:p>
        </w:tc>
        <w:tc>
          <w:tcPr>
            <w:tcW w:w="708"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sz w:val="24"/>
                <w:szCs w:val="24"/>
                <w:lang w:val="uk-UA"/>
              </w:rPr>
            </w:pPr>
          </w:p>
        </w:tc>
        <w:tc>
          <w:tcPr>
            <w:tcW w:w="500"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sz w:val="24"/>
                <w:szCs w:val="24"/>
                <w:lang w:val="uk-UA"/>
              </w:rPr>
            </w:pPr>
          </w:p>
        </w:tc>
      </w:tr>
    </w:tbl>
    <w:p w:rsidR="002A565A" w:rsidRDefault="002A565A">
      <w:pPr>
        <w:rPr>
          <w:lang w:val="ru-RU"/>
        </w:rPr>
      </w:pPr>
    </w:p>
    <w:p w:rsidR="002A565A" w:rsidRPr="002A565A" w:rsidRDefault="002A565A" w:rsidP="00F159BE">
      <w:pPr>
        <w:pageBreakBefore/>
        <w:jc w:val="right"/>
        <w:rPr>
          <w:i/>
          <w:lang w:val="ru-RU"/>
        </w:rPr>
      </w:pPr>
      <w:r w:rsidRPr="002A565A">
        <w:rPr>
          <w:i/>
          <w:lang w:val="ru-RU"/>
        </w:rPr>
        <w:lastRenderedPageBreak/>
        <w:t>Продовження табл. 7.3</w:t>
      </w:r>
    </w:p>
    <w:tbl>
      <w:tblPr>
        <w:tblStyle w:val="a6"/>
        <w:tblW w:w="0" w:type="auto"/>
        <w:jc w:val="center"/>
        <w:tblInd w:w="-267" w:type="dxa"/>
        <w:tblLayout w:type="fixed"/>
        <w:tblLook w:val="01E0" w:firstRow="1" w:lastRow="1" w:firstColumn="1" w:lastColumn="1" w:noHBand="0" w:noVBand="0"/>
      </w:tblPr>
      <w:tblGrid>
        <w:gridCol w:w="2563"/>
        <w:gridCol w:w="3183"/>
        <w:gridCol w:w="851"/>
        <w:gridCol w:w="567"/>
        <w:gridCol w:w="850"/>
        <w:gridCol w:w="425"/>
        <w:gridCol w:w="426"/>
        <w:gridCol w:w="708"/>
        <w:gridCol w:w="500"/>
      </w:tblGrid>
      <w:tr w:rsidR="003B67F9" w:rsidRPr="008D4BBC" w:rsidTr="00D65ACA">
        <w:trPr>
          <w:trHeight w:val="1019"/>
          <w:jc w:val="center"/>
        </w:trPr>
        <w:tc>
          <w:tcPr>
            <w:tcW w:w="2563"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rPr>
                <w:rFonts w:ascii="Times New Roman" w:hAnsi="Times New Roman"/>
                <w:color w:val="000000"/>
                <w:sz w:val="24"/>
                <w:szCs w:val="24"/>
                <w:lang w:val="uk-UA"/>
              </w:rPr>
            </w:pPr>
            <w:r w:rsidRPr="008D4BBC">
              <w:rPr>
                <w:rFonts w:ascii="Times New Roman" w:hAnsi="Times New Roman"/>
                <w:sz w:val="24"/>
                <w:szCs w:val="24"/>
                <w:lang w:val="uk-UA"/>
              </w:rPr>
              <w:t>Частота партнерських пологів</w:t>
            </w:r>
          </w:p>
        </w:tc>
        <w:tc>
          <w:tcPr>
            <w:tcW w:w="3183" w:type="dxa"/>
            <w:tcBorders>
              <w:top w:val="single" w:sz="4" w:space="0" w:color="auto"/>
              <w:left w:val="single" w:sz="4" w:space="0" w:color="auto"/>
              <w:bottom w:val="single" w:sz="4" w:space="0" w:color="auto"/>
              <w:right w:val="single" w:sz="4" w:space="0" w:color="auto"/>
            </w:tcBorders>
          </w:tcPr>
          <w:p w:rsidR="003B67F9" w:rsidRPr="00D65ACA" w:rsidRDefault="003B67F9" w:rsidP="008D4BBC">
            <w:pPr>
              <w:widowControl w:val="0"/>
              <w:spacing w:line="276" w:lineRule="auto"/>
              <w:rPr>
                <w:rFonts w:ascii="Times New Roman" w:hAnsi="Times New Roman"/>
                <w:color w:val="000000"/>
                <w:sz w:val="24"/>
                <w:szCs w:val="24"/>
              </w:rPr>
            </w:pPr>
            <w:r w:rsidRPr="008D4BBC">
              <w:rPr>
                <w:rFonts w:ascii="Times New Roman" w:hAnsi="Times New Roman"/>
                <w:sz w:val="24"/>
                <w:szCs w:val="24"/>
                <w:lang w:val="uk-UA"/>
              </w:rPr>
              <w:t>Кількість партнерських пологів, × 100 / загальна кількість пологів</w:t>
            </w:r>
          </w:p>
        </w:tc>
        <w:tc>
          <w:tcPr>
            <w:tcW w:w="851"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90,0</w:t>
            </w:r>
          </w:p>
        </w:tc>
        <w:tc>
          <w:tcPr>
            <w:tcW w:w="567"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9</w:t>
            </w:r>
          </w:p>
        </w:tc>
        <w:tc>
          <w:tcPr>
            <w:tcW w:w="850"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0,1</w:t>
            </w:r>
          </w:p>
        </w:tc>
        <w:tc>
          <w:tcPr>
            <w:tcW w:w="425"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w:t>
            </w:r>
          </w:p>
        </w:tc>
        <w:tc>
          <w:tcPr>
            <w:tcW w:w="426"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rPr>
            </w:pPr>
          </w:p>
        </w:tc>
        <w:tc>
          <w:tcPr>
            <w:tcW w:w="708"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rPr>
            </w:pPr>
          </w:p>
        </w:tc>
        <w:tc>
          <w:tcPr>
            <w:tcW w:w="500"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rPr>
            </w:pPr>
          </w:p>
        </w:tc>
      </w:tr>
      <w:tr w:rsidR="003B67F9" w:rsidRPr="008D4BBC" w:rsidTr="00D65ACA">
        <w:trPr>
          <w:trHeight w:val="1402"/>
          <w:jc w:val="center"/>
        </w:trPr>
        <w:tc>
          <w:tcPr>
            <w:tcW w:w="2563"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rPr>
                <w:rFonts w:ascii="Times New Roman" w:hAnsi="Times New Roman"/>
                <w:color w:val="000000"/>
                <w:sz w:val="24"/>
                <w:szCs w:val="24"/>
                <w:lang w:val="uk-UA" w:eastAsia="uk-UA"/>
              </w:rPr>
            </w:pPr>
            <w:r w:rsidRPr="008D4BBC">
              <w:rPr>
                <w:rFonts w:ascii="Times New Roman" w:hAnsi="Times New Roman"/>
                <w:sz w:val="24"/>
                <w:szCs w:val="24"/>
                <w:lang w:val="uk-UA" w:eastAsia="uk-UA"/>
              </w:rPr>
              <w:t>Активне ведення ІІІ періоду пологів</w:t>
            </w:r>
          </w:p>
        </w:tc>
        <w:tc>
          <w:tcPr>
            <w:tcW w:w="3183" w:type="dxa"/>
            <w:tcBorders>
              <w:top w:val="single" w:sz="4" w:space="0" w:color="auto"/>
              <w:left w:val="single" w:sz="4" w:space="0" w:color="auto"/>
              <w:bottom w:val="single" w:sz="4" w:space="0" w:color="auto"/>
              <w:right w:val="single" w:sz="4" w:space="0" w:color="auto"/>
            </w:tcBorders>
          </w:tcPr>
          <w:p w:rsidR="003B67F9" w:rsidRPr="00D65ACA" w:rsidRDefault="003B67F9" w:rsidP="008D4BBC">
            <w:pPr>
              <w:widowControl w:val="0"/>
              <w:snapToGrid w:val="0"/>
              <w:spacing w:line="276" w:lineRule="auto"/>
              <w:rPr>
                <w:rFonts w:ascii="Times New Roman" w:hAnsi="Times New Roman"/>
                <w:color w:val="000000"/>
                <w:sz w:val="24"/>
                <w:szCs w:val="24"/>
                <w:lang w:eastAsia="uk-UA"/>
              </w:rPr>
            </w:pPr>
            <w:r w:rsidRPr="008D4BBC">
              <w:rPr>
                <w:rFonts w:ascii="Times New Roman" w:hAnsi="Times New Roman"/>
                <w:sz w:val="24"/>
                <w:szCs w:val="24"/>
                <w:lang w:val="uk-UA" w:eastAsia="uk-UA"/>
              </w:rPr>
              <w:t>Кількість пологів з активним ведення ІІІ періоду / загальна кількість пологів ×100</w:t>
            </w:r>
          </w:p>
        </w:tc>
        <w:tc>
          <w:tcPr>
            <w:tcW w:w="851"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eastAsia="uk-UA"/>
              </w:rPr>
            </w:pPr>
            <w:r w:rsidRPr="008D4BBC">
              <w:rPr>
                <w:rFonts w:ascii="Times New Roman" w:hAnsi="Times New Roman"/>
                <w:color w:val="000000"/>
                <w:sz w:val="24"/>
                <w:szCs w:val="24"/>
                <w:lang w:val="uk-UA" w:eastAsia="uk-UA"/>
              </w:rPr>
              <w:t>90,0</w:t>
            </w:r>
          </w:p>
        </w:tc>
        <w:tc>
          <w:tcPr>
            <w:tcW w:w="567"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eastAsia="uk-UA"/>
              </w:rPr>
            </w:pPr>
            <w:r w:rsidRPr="008D4BBC">
              <w:rPr>
                <w:rFonts w:ascii="Times New Roman" w:hAnsi="Times New Roman"/>
                <w:color w:val="000000"/>
                <w:sz w:val="24"/>
                <w:szCs w:val="24"/>
                <w:lang w:val="uk-UA" w:eastAsia="uk-UA"/>
              </w:rPr>
              <w:t>8</w:t>
            </w:r>
          </w:p>
        </w:tc>
        <w:tc>
          <w:tcPr>
            <w:tcW w:w="850"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eastAsia="uk-UA"/>
              </w:rPr>
            </w:pPr>
            <w:r w:rsidRPr="008D4BBC">
              <w:rPr>
                <w:rFonts w:ascii="Times New Roman" w:hAnsi="Times New Roman"/>
                <w:color w:val="000000"/>
                <w:sz w:val="24"/>
                <w:szCs w:val="24"/>
                <w:lang w:val="uk-UA" w:eastAsia="uk-UA"/>
              </w:rPr>
              <w:t>0,1</w:t>
            </w:r>
          </w:p>
        </w:tc>
        <w:tc>
          <w:tcPr>
            <w:tcW w:w="425"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eastAsia="uk-UA"/>
              </w:rPr>
            </w:pPr>
            <w:r w:rsidRPr="008D4BBC">
              <w:rPr>
                <w:rFonts w:ascii="Times New Roman" w:hAnsi="Times New Roman"/>
                <w:color w:val="000000"/>
                <w:sz w:val="24"/>
                <w:szCs w:val="24"/>
                <w:lang w:val="uk-UA" w:eastAsia="uk-UA"/>
              </w:rPr>
              <w:t>-</w:t>
            </w:r>
          </w:p>
        </w:tc>
        <w:tc>
          <w:tcPr>
            <w:tcW w:w="426"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eastAsia="uk-UA"/>
              </w:rPr>
            </w:pPr>
          </w:p>
        </w:tc>
        <w:tc>
          <w:tcPr>
            <w:tcW w:w="708"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eastAsia="uk-UA"/>
              </w:rPr>
            </w:pPr>
          </w:p>
        </w:tc>
        <w:tc>
          <w:tcPr>
            <w:tcW w:w="500"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eastAsia="uk-UA"/>
              </w:rPr>
            </w:pPr>
          </w:p>
        </w:tc>
      </w:tr>
      <w:tr w:rsidR="003B67F9" w:rsidRPr="008D4BBC" w:rsidTr="00E04DF1">
        <w:trPr>
          <w:trHeight w:val="996"/>
          <w:jc w:val="center"/>
        </w:trPr>
        <w:tc>
          <w:tcPr>
            <w:tcW w:w="2563"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rPr>
                <w:rFonts w:ascii="Times New Roman" w:hAnsi="Times New Roman"/>
                <w:color w:val="000000"/>
                <w:sz w:val="24"/>
                <w:szCs w:val="24"/>
                <w:lang w:val="uk-UA" w:eastAsia="uk-UA"/>
              </w:rPr>
            </w:pPr>
            <w:r w:rsidRPr="008D4BBC">
              <w:rPr>
                <w:rFonts w:ascii="Times New Roman" w:hAnsi="Times New Roman"/>
                <w:color w:val="000000"/>
                <w:sz w:val="24"/>
                <w:szCs w:val="24"/>
                <w:lang w:val="uk-UA" w:eastAsia="uk-UA"/>
              </w:rPr>
              <w:t>Частота розроджень вагітних шляхом кесаревого розтину</w:t>
            </w:r>
          </w:p>
        </w:tc>
        <w:tc>
          <w:tcPr>
            <w:tcW w:w="3183" w:type="dxa"/>
            <w:tcBorders>
              <w:top w:val="single" w:sz="4" w:space="0" w:color="auto"/>
              <w:left w:val="single" w:sz="4" w:space="0" w:color="auto"/>
              <w:bottom w:val="single" w:sz="4" w:space="0" w:color="auto"/>
              <w:right w:val="single" w:sz="4" w:space="0" w:color="auto"/>
            </w:tcBorders>
          </w:tcPr>
          <w:p w:rsidR="003B67F9" w:rsidRPr="00D65ACA" w:rsidRDefault="003B67F9" w:rsidP="008D4BBC">
            <w:pPr>
              <w:widowControl w:val="0"/>
              <w:spacing w:line="276" w:lineRule="auto"/>
              <w:rPr>
                <w:rFonts w:ascii="Times New Roman" w:hAnsi="Times New Roman"/>
                <w:color w:val="000000"/>
                <w:sz w:val="24"/>
                <w:szCs w:val="24"/>
                <w:lang w:eastAsia="uk-UA"/>
              </w:rPr>
            </w:pPr>
            <w:r w:rsidRPr="008D4BBC">
              <w:rPr>
                <w:rFonts w:ascii="Times New Roman" w:hAnsi="Times New Roman"/>
                <w:sz w:val="24"/>
                <w:szCs w:val="24"/>
                <w:lang w:val="uk-UA" w:eastAsia="uk-UA"/>
              </w:rPr>
              <w:t>Кількість пологів шляхом КР,  × 100 / загальна кількість пологів</w:t>
            </w:r>
          </w:p>
        </w:tc>
        <w:tc>
          <w:tcPr>
            <w:tcW w:w="851"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eastAsia="uk-UA"/>
              </w:rPr>
            </w:pPr>
            <w:r w:rsidRPr="008D4BBC">
              <w:rPr>
                <w:rFonts w:ascii="Times New Roman" w:hAnsi="Times New Roman"/>
                <w:color w:val="000000"/>
                <w:sz w:val="24"/>
                <w:szCs w:val="24"/>
                <w:lang w:val="uk-UA" w:eastAsia="uk-UA"/>
              </w:rPr>
              <w:t>10,0</w:t>
            </w:r>
          </w:p>
        </w:tc>
        <w:tc>
          <w:tcPr>
            <w:tcW w:w="567"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eastAsia="uk-UA"/>
              </w:rPr>
            </w:pPr>
            <w:r w:rsidRPr="008D4BBC">
              <w:rPr>
                <w:rFonts w:ascii="Times New Roman" w:hAnsi="Times New Roman"/>
                <w:color w:val="000000"/>
                <w:sz w:val="24"/>
                <w:szCs w:val="24"/>
                <w:lang w:val="uk-UA" w:eastAsia="uk-UA"/>
              </w:rPr>
              <w:t>7</w:t>
            </w:r>
          </w:p>
        </w:tc>
        <w:tc>
          <w:tcPr>
            <w:tcW w:w="850"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eastAsia="uk-UA"/>
              </w:rPr>
            </w:pPr>
            <w:r w:rsidRPr="008D4BBC">
              <w:rPr>
                <w:rFonts w:ascii="Times New Roman" w:hAnsi="Times New Roman"/>
                <w:color w:val="000000"/>
                <w:sz w:val="24"/>
                <w:szCs w:val="24"/>
                <w:lang w:val="uk-UA" w:eastAsia="uk-UA"/>
              </w:rPr>
              <w:t>0,7</w:t>
            </w:r>
          </w:p>
        </w:tc>
        <w:tc>
          <w:tcPr>
            <w:tcW w:w="425"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eastAsia="uk-UA"/>
              </w:rPr>
            </w:pPr>
            <w:r w:rsidRPr="008D4BBC">
              <w:rPr>
                <w:rFonts w:ascii="Times New Roman" w:hAnsi="Times New Roman"/>
                <w:color w:val="000000"/>
                <w:sz w:val="24"/>
                <w:szCs w:val="24"/>
                <w:lang w:val="uk-UA" w:eastAsia="uk-UA"/>
              </w:rPr>
              <w:t>+</w:t>
            </w:r>
          </w:p>
        </w:tc>
        <w:tc>
          <w:tcPr>
            <w:tcW w:w="426"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eastAsia="uk-UA"/>
              </w:rPr>
            </w:pPr>
          </w:p>
        </w:tc>
        <w:tc>
          <w:tcPr>
            <w:tcW w:w="708"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eastAsia="uk-UA"/>
              </w:rPr>
            </w:pPr>
          </w:p>
        </w:tc>
        <w:tc>
          <w:tcPr>
            <w:tcW w:w="500"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eastAsia="uk-UA"/>
              </w:rPr>
            </w:pPr>
          </w:p>
        </w:tc>
      </w:tr>
      <w:tr w:rsidR="003B67F9" w:rsidRPr="008D4BBC" w:rsidTr="00E04DF1">
        <w:trPr>
          <w:trHeight w:val="2386"/>
          <w:jc w:val="center"/>
        </w:trPr>
        <w:tc>
          <w:tcPr>
            <w:tcW w:w="2563"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rPr>
                <w:rFonts w:ascii="Times New Roman" w:hAnsi="Times New Roman"/>
                <w:color w:val="000000"/>
                <w:sz w:val="24"/>
                <w:szCs w:val="24"/>
                <w:lang w:val="uk-UA" w:eastAsia="uk-UA"/>
              </w:rPr>
            </w:pPr>
            <w:r w:rsidRPr="008D4BBC">
              <w:rPr>
                <w:rFonts w:ascii="Times New Roman" w:hAnsi="Times New Roman"/>
                <w:color w:val="000000"/>
                <w:sz w:val="24"/>
                <w:szCs w:val="24"/>
                <w:lang w:val="uk-UA" w:eastAsia="uk-UA"/>
              </w:rPr>
              <w:t>Своєчасність екстреного кесаревого розтину</w:t>
            </w:r>
          </w:p>
        </w:tc>
        <w:tc>
          <w:tcPr>
            <w:tcW w:w="3183"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rPr>
                <w:rFonts w:ascii="Times New Roman" w:hAnsi="Times New Roman"/>
                <w:color w:val="000000"/>
                <w:sz w:val="24"/>
                <w:szCs w:val="24"/>
                <w:lang w:val="uk-UA" w:eastAsia="uk-UA"/>
              </w:rPr>
            </w:pPr>
            <w:r w:rsidRPr="008D4BBC">
              <w:rPr>
                <w:rFonts w:ascii="Times New Roman" w:hAnsi="Times New Roman"/>
                <w:color w:val="000000"/>
                <w:sz w:val="24"/>
                <w:szCs w:val="24"/>
                <w:lang w:val="uk-UA" w:eastAsia="uk-UA"/>
              </w:rPr>
              <w:t xml:space="preserve">Кількість екстрених кесаревих розтинів, розпочатих у перші 30хв.після прийняття рішення </w:t>
            </w:r>
            <w:r w:rsidRPr="008D4BBC">
              <w:rPr>
                <w:rFonts w:ascii="Times New Roman" w:hAnsi="Times New Roman"/>
                <w:sz w:val="24"/>
                <w:szCs w:val="24"/>
                <w:lang w:val="uk-UA" w:eastAsia="uk-UA"/>
              </w:rPr>
              <w:t>×</w:t>
            </w:r>
            <w:r w:rsidRPr="008D4BBC">
              <w:rPr>
                <w:rFonts w:ascii="Times New Roman" w:hAnsi="Times New Roman"/>
                <w:color w:val="000000"/>
                <w:sz w:val="24"/>
                <w:szCs w:val="24"/>
                <w:lang w:val="uk-UA" w:eastAsia="uk-UA"/>
              </w:rPr>
              <w:t xml:space="preserve"> 100 / загальна  кількість екстрених кесаревих розтинів</w:t>
            </w:r>
          </w:p>
        </w:tc>
        <w:tc>
          <w:tcPr>
            <w:tcW w:w="851"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eastAsia="uk-UA"/>
              </w:rPr>
            </w:pPr>
            <w:r w:rsidRPr="008D4BBC">
              <w:rPr>
                <w:rFonts w:ascii="Times New Roman" w:hAnsi="Times New Roman"/>
                <w:color w:val="000000"/>
                <w:sz w:val="24"/>
                <w:szCs w:val="24"/>
                <w:lang w:val="uk-UA" w:eastAsia="uk-UA"/>
              </w:rPr>
              <w:t>90</w:t>
            </w:r>
          </w:p>
        </w:tc>
        <w:tc>
          <w:tcPr>
            <w:tcW w:w="567"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eastAsia="uk-UA"/>
              </w:rPr>
            </w:pPr>
            <w:r w:rsidRPr="008D4BBC">
              <w:rPr>
                <w:rFonts w:ascii="Times New Roman" w:hAnsi="Times New Roman"/>
                <w:color w:val="000000"/>
                <w:sz w:val="24"/>
                <w:szCs w:val="24"/>
                <w:lang w:val="uk-UA" w:eastAsia="uk-UA"/>
              </w:rPr>
              <w:t>8</w:t>
            </w:r>
          </w:p>
        </w:tc>
        <w:tc>
          <w:tcPr>
            <w:tcW w:w="850"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eastAsia="uk-UA"/>
              </w:rPr>
            </w:pPr>
            <w:r w:rsidRPr="008D4BBC">
              <w:rPr>
                <w:rFonts w:ascii="Times New Roman" w:hAnsi="Times New Roman"/>
                <w:color w:val="000000"/>
                <w:sz w:val="24"/>
                <w:szCs w:val="24"/>
                <w:lang w:val="uk-UA" w:eastAsia="uk-UA"/>
              </w:rPr>
              <w:t>0,09</w:t>
            </w:r>
          </w:p>
        </w:tc>
        <w:tc>
          <w:tcPr>
            <w:tcW w:w="425"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eastAsia="uk-UA"/>
              </w:rPr>
            </w:pPr>
            <w:r w:rsidRPr="008D4BBC">
              <w:rPr>
                <w:rFonts w:ascii="Times New Roman" w:hAnsi="Times New Roman"/>
                <w:color w:val="000000"/>
                <w:sz w:val="24"/>
                <w:szCs w:val="24"/>
                <w:lang w:val="uk-UA" w:eastAsia="uk-UA"/>
              </w:rPr>
              <w:t>-</w:t>
            </w:r>
          </w:p>
        </w:tc>
        <w:tc>
          <w:tcPr>
            <w:tcW w:w="426"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eastAsia="uk-UA"/>
              </w:rPr>
            </w:pPr>
          </w:p>
        </w:tc>
        <w:tc>
          <w:tcPr>
            <w:tcW w:w="708"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eastAsia="uk-UA"/>
              </w:rPr>
            </w:pPr>
          </w:p>
        </w:tc>
        <w:tc>
          <w:tcPr>
            <w:tcW w:w="500"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eastAsia="uk-UA"/>
              </w:rPr>
            </w:pPr>
          </w:p>
        </w:tc>
      </w:tr>
      <w:tr w:rsidR="003B67F9" w:rsidRPr="008D4BBC" w:rsidTr="00E04DF1">
        <w:trPr>
          <w:trHeight w:val="1980"/>
          <w:jc w:val="center"/>
        </w:trPr>
        <w:tc>
          <w:tcPr>
            <w:tcW w:w="2563"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rPr>
                <w:rFonts w:ascii="Times New Roman" w:hAnsi="Times New Roman"/>
                <w:color w:val="000000"/>
                <w:sz w:val="24"/>
                <w:szCs w:val="24"/>
                <w:lang w:val="uk-UA" w:eastAsia="uk-UA"/>
              </w:rPr>
            </w:pPr>
            <w:r w:rsidRPr="008D4BBC">
              <w:rPr>
                <w:rFonts w:ascii="Times New Roman" w:hAnsi="Times New Roman"/>
                <w:color w:val="000000"/>
                <w:sz w:val="24"/>
                <w:szCs w:val="24"/>
                <w:lang w:val="uk-UA" w:eastAsia="uk-UA"/>
              </w:rPr>
              <w:t>Частота кровотеч в послідовому і післяродовому періодах</w:t>
            </w:r>
          </w:p>
        </w:tc>
        <w:tc>
          <w:tcPr>
            <w:tcW w:w="3183"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rPr>
                <w:rFonts w:ascii="Times New Roman" w:hAnsi="Times New Roman"/>
                <w:color w:val="000000"/>
                <w:sz w:val="24"/>
                <w:szCs w:val="24"/>
                <w:lang w:val="uk-UA" w:eastAsia="uk-UA"/>
              </w:rPr>
            </w:pPr>
            <w:r w:rsidRPr="008D4BBC">
              <w:rPr>
                <w:rFonts w:ascii="Times New Roman" w:hAnsi="Times New Roman"/>
                <w:sz w:val="24"/>
                <w:szCs w:val="24"/>
                <w:lang w:val="uk-UA" w:eastAsia="uk-UA"/>
              </w:rPr>
              <w:t>Кількість породіль, у яких були кровотечі в післяпологовому періоді,  × 100 / загальна кількість виписаних породіль</w:t>
            </w:r>
          </w:p>
        </w:tc>
        <w:tc>
          <w:tcPr>
            <w:tcW w:w="851"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eastAsia="uk-UA"/>
              </w:rPr>
            </w:pPr>
            <w:r w:rsidRPr="008D4BBC">
              <w:rPr>
                <w:rFonts w:ascii="Times New Roman" w:hAnsi="Times New Roman"/>
                <w:color w:val="000000"/>
                <w:sz w:val="24"/>
                <w:szCs w:val="24"/>
                <w:lang w:val="uk-UA" w:eastAsia="uk-UA"/>
              </w:rPr>
              <w:t>2,0</w:t>
            </w:r>
          </w:p>
        </w:tc>
        <w:tc>
          <w:tcPr>
            <w:tcW w:w="567"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eastAsia="uk-UA"/>
              </w:rPr>
            </w:pPr>
            <w:r w:rsidRPr="008D4BBC">
              <w:rPr>
                <w:rFonts w:ascii="Times New Roman" w:hAnsi="Times New Roman"/>
                <w:color w:val="000000"/>
                <w:sz w:val="24"/>
                <w:szCs w:val="24"/>
                <w:lang w:val="uk-UA" w:eastAsia="uk-UA"/>
              </w:rPr>
              <w:t>7</w:t>
            </w:r>
          </w:p>
        </w:tc>
        <w:tc>
          <w:tcPr>
            <w:tcW w:w="850"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eastAsia="uk-UA"/>
              </w:rPr>
            </w:pPr>
            <w:r w:rsidRPr="008D4BBC">
              <w:rPr>
                <w:rFonts w:ascii="Times New Roman" w:hAnsi="Times New Roman"/>
                <w:color w:val="000000"/>
                <w:sz w:val="24"/>
                <w:szCs w:val="24"/>
                <w:lang w:val="uk-UA" w:eastAsia="uk-UA"/>
              </w:rPr>
              <w:t>3,5</w:t>
            </w:r>
          </w:p>
        </w:tc>
        <w:tc>
          <w:tcPr>
            <w:tcW w:w="425"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eastAsia="uk-UA"/>
              </w:rPr>
            </w:pPr>
            <w:r w:rsidRPr="008D4BBC">
              <w:rPr>
                <w:rFonts w:ascii="Times New Roman" w:hAnsi="Times New Roman"/>
                <w:color w:val="000000"/>
                <w:sz w:val="24"/>
                <w:szCs w:val="24"/>
                <w:lang w:val="uk-UA" w:eastAsia="uk-UA"/>
              </w:rPr>
              <w:t>+</w:t>
            </w:r>
          </w:p>
        </w:tc>
        <w:tc>
          <w:tcPr>
            <w:tcW w:w="426"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eastAsia="uk-UA"/>
              </w:rPr>
            </w:pPr>
          </w:p>
        </w:tc>
        <w:tc>
          <w:tcPr>
            <w:tcW w:w="708"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eastAsia="uk-UA"/>
              </w:rPr>
            </w:pPr>
          </w:p>
        </w:tc>
        <w:tc>
          <w:tcPr>
            <w:tcW w:w="500"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eastAsia="uk-UA"/>
              </w:rPr>
            </w:pPr>
          </w:p>
        </w:tc>
      </w:tr>
      <w:tr w:rsidR="003B67F9" w:rsidRPr="008D4BBC" w:rsidTr="00D65ACA">
        <w:trPr>
          <w:trHeight w:val="1653"/>
          <w:jc w:val="center"/>
        </w:trPr>
        <w:tc>
          <w:tcPr>
            <w:tcW w:w="2563"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rPr>
                <w:rFonts w:ascii="Times New Roman" w:hAnsi="Times New Roman"/>
                <w:sz w:val="24"/>
                <w:szCs w:val="24"/>
                <w:lang w:val="uk-UA" w:eastAsia="uk-UA"/>
              </w:rPr>
            </w:pPr>
            <w:r w:rsidRPr="008D4BBC">
              <w:rPr>
                <w:rFonts w:ascii="Times New Roman" w:hAnsi="Times New Roman"/>
                <w:sz w:val="24"/>
                <w:szCs w:val="24"/>
                <w:lang w:val="uk-UA" w:eastAsia="uk-UA"/>
              </w:rPr>
              <w:t>Частота новонароджених з масою тіла &gt; 2500 г (термін гестації ≥ 37 тижнів)</w:t>
            </w:r>
          </w:p>
        </w:tc>
        <w:tc>
          <w:tcPr>
            <w:tcW w:w="3183"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rPr>
                <w:rFonts w:ascii="Times New Roman" w:hAnsi="Times New Roman"/>
                <w:iCs/>
                <w:color w:val="000000"/>
                <w:kern w:val="28"/>
                <w:sz w:val="24"/>
                <w:szCs w:val="24"/>
                <w:lang w:val="uk-UA" w:eastAsia="uk-UA"/>
              </w:rPr>
            </w:pPr>
            <w:r w:rsidRPr="008D4BBC">
              <w:rPr>
                <w:rFonts w:ascii="Times New Roman" w:hAnsi="Times New Roman"/>
                <w:iCs/>
                <w:color w:val="000000"/>
                <w:kern w:val="28"/>
                <w:sz w:val="24"/>
                <w:szCs w:val="24"/>
                <w:lang w:val="uk-UA" w:eastAsia="uk-UA"/>
              </w:rPr>
              <w:t xml:space="preserve">Кількість </w:t>
            </w:r>
            <w:r w:rsidRPr="008D4BBC">
              <w:rPr>
                <w:rFonts w:ascii="Times New Roman" w:hAnsi="Times New Roman"/>
                <w:sz w:val="24"/>
                <w:szCs w:val="24"/>
                <w:lang w:val="uk-UA" w:eastAsia="uk-UA"/>
              </w:rPr>
              <w:t xml:space="preserve">новонароджених з масою тіла &gt; 2500 г (термін гестації ≥ 37 тижнів) × 100 / загальна </w:t>
            </w:r>
            <w:r w:rsidRPr="008D4BBC">
              <w:rPr>
                <w:rFonts w:ascii="Times New Roman" w:hAnsi="Times New Roman"/>
                <w:iCs/>
                <w:color w:val="000000"/>
                <w:kern w:val="28"/>
                <w:sz w:val="24"/>
                <w:szCs w:val="24"/>
                <w:lang w:val="uk-UA" w:eastAsia="uk-UA"/>
              </w:rPr>
              <w:t xml:space="preserve">кількість </w:t>
            </w:r>
            <w:r w:rsidRPr="008D4BBC">
              <w:rPr>
                <w:rFonts w:ascii="Times New Roman" w:hAnsi="Times New Roman"/>
                <w:sz w:val="24"/>
                <w:szCs w:val="24"/>
                <w:lang w:val="uk-UA" w:eastAsia="uk-UA"/>
              </w:rPr>
              <w:t>новонароджених</w:t>
            </w:r>
          </w:p>
        </w:tc>
        <w:tc>
          <w:tcPr>
            <w:tcW w:w="851"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eastAsia="uk-UA"/>
              </w:rPr>
            </w:pPr>
            <w:r w:rsidRPr="008D4BBC">
              <w:rPr>
                <w:rFonts w:ascii="Times New Roman" w:hAnsi="Times New Roman"/>
                <w:color w:val="000000"/>
                <w:sz w:val="24"/>
                <w:szCs w:val="24"/>
                <w:lang w:val="uk-UA" w:eastAsia="uk-UA"/>
              </w:rPr>
              <w:t>99,0</w:t>
            </w:r>
          </w:p>
        </w:tc>
        <w:tc>
          <w:tcPr>
            <w:tcW w:w="567"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eastAsia="uk-UA"/>
              </w:rPr>
            </w:pPr>
            <w:r w:rsidRPr="008D4BBC">
              <w:rPr>
                <w:rFonts w:ascii="Times New Roman" w:hAnsi="Times New Roman"/>
                <w:color w:val="000000"/>
                <w:sz w:val="24"/>
                <w:szCs w:val="24"/>
                <w:lang w:val="uk-UA" w:eastAsia="uk-UA"/>
              </w:rPr>
              <w:t>7</w:t>
            </w:r>
          </w:p>
        </w:tc>
        <w:tc>
          <w:tcPr>
            <w:tcW w:w="850"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eastAsia="uk-UA"/>
              </w:rPr>
            </w:pPr>
            <w:r w:rsidRPr="008D4BBC">
              <w:rPr>
                <w:rFonts w:ascii="Times New Roman" w:hAnsi="Times New Roman"/>
                <w:color w:val="000000"/>
                <w:sz w:val="24"/>
                <w:szCs w:val="24"/>
                <w:lang w:val="uk-UA" w:eastAsia="uk-UA"/>
              </w:rPr>
              <w:t>0,07</w:t>
            </w:r>
          </w:p>
        </w:tc>
        <w:tc>
          <w:tcPr>
            <w:tcW w:w="425"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eastAsia="uk-UA"/>
              </w:rPr>
            </w:pPr>
            <w:r w:rsidRPr="008D4BBC">
              <w:rPr>
                <w:rFonts w:ascii="Times New Roman" w:hAnsi="Times New Roman"/>
                <w:color w:val="000000"/>
                <w:sz w:val="24"/>
                <w:szCs w:val="24"/>
                <w:lang w:val="uk-UA" w:eastAsia="uk-UA"/>
              </w:rPr>
              <w:t>-</w:t>
            </w:r>
          </w:p>
        </w:tc>
        <w:tc>
          <w:tcPr>
            <w:tcW w:w="426"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eastAsia="uk-UA"/>
              </w:rPr>
            </w:pPr>
          </w:p>
        </w:tc>
        <w:tc>
          <w:tcPr>
            <w:tcW w:w="708"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eastAsia="uk-UA"/>
              </w:rPr>
            </w:pPr>
          </w:p>
        </w:tc>
        <w:tc>
          <w:tcPr>
            <w:tcW w:w="500"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eastAsia="uk-UA"/>
              </w:rPr>
            </w:pPr>
          </w:p>
        </w:tc>
      </w:tr>
      <w:tr w:rsidR="003B67F9" w:rsidRPr="008D4BBC" w:rsidTr="00D65ACA">
        <w:trPr>
          <w:trHeight w:val="2030"/>
          <w:jc w:val="center"/>
        </w:trPr>
        <w:tc>
          <w:tcPr>
            <w:tcW w:w="2563"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rPr>
                <w:rFonts w:ascii="Times New Roman" w:hAnsi="Times New Roman"/>
                <w:color w:val="000000"/>
                <w:sz w:val="24"/>
                <w:szCs w:val="24"/>
                <w:lang w:val="uk-UA" w:eastAsia="uk-UA"/>
              </w:rPr>
            </w:pPr>
            <w:r w:rsidRPr="008D4BBC">
              <w:rPr>
                <w:rFonts w:ascii="Times New Roman" w:hAnsi="Times New Roman"/>
                <w:color w:val="000000"/>
                <w:sz w:val="24"/>
                <w:szCs w:val="24"/>
                <w:lang w:val="uk-UA" w:eastAsia="uk-UA"/>
              </w:rPr>
              <w:t>Питома вага новонароджених з виключно грудним вигодовуванням</w:t>
            </w:r>
          </w:p>
        </w:tc>
        <w:tc>
          <w:tcPr>
            <w:tcW w:w="3183"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rPr>
                <w:rFonts w:ascii="Times New Roman" w:hAnsi="Times New Roman"/>
                <w:color w:val="000000"/>
                <w:sz w:val="24"/>
                <w:szCs w:val="24"/>
                <w:lang w:val="uk-UA" w:eastAsia="uk-UA"/>
              </w:rPr>
            </w:pPr>
            <w:r w:rsidRPr="008D4BBC">
              <w:rPr>
                <w:rFonts w:ascii="Times New Roman" w:hAnsi="Times New Roman"/>
                <w:sz w:val="24"/>
                <w:szCs w:val="24"/>
                <w:lang w:val="uk-UA" w:eastAsia="uk-UA"/>
              </w:rPr>
              <w:t>Кількість новонароджених, виписаних на виключно грудному вигодовуванні,  × 100 / загальна кількість виписаних новонароджених</w:t>
            </w:r>
          </w:p>
        </w:tc>
        <w:tc>
          <w:tcPr>
            <w:tcW w:w="851"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eastAsia="uk-UA"/>
              </w:rPr>
            </w:pPr>
            <w:r w:rsidRPr="008D4BBC">
              <w:rPr>
                <w:rFonts w:ascii="Times New Roman" w:hAnsi="Times New Roman"/>
                <w:color w:val="000000"/>
                <w:sz w:val="24"/>
                <w:szCs w:val="24"/>
                <w:lang w:val="uk-UA" w:eastAsia="uk-UA"/>
              </w:rPr>
              <w:t>95,0</w:t>
            </w:r>
          </w:p>
        </w:tc>
        <w:tc>
          <w:tcPr>
            <w:tcW w:w="567"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eastAsia="uk-UA"/>
              </w:rPr>
            </w:pPr>
            <w:r w:rsidRPr="008D4BBC">
              <w:rPr>
                <w:rFonts w:ascii="Times New Roman" w:hAnsi="Times New Roman"/>
                <w:color w:val="000000"/>
                <w:sz w:val="24"/>
                <w:szCs w:val="24"/>
                <w:lang w:val="uk-UA" w:eastAsia="uk-UA"/>
              </w:rPr>
              <w:t>7</w:t>
            </w:r>
          </w:p>
        </w:tc>
        <w:tc>
          <w:tcPr>
            <w:tcW w:w="850"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eastAsia="uk-UA"/>
              </w:rPr>
            </w:pPr>
            <w:r w:rsidRPr="008D4BBC">
              <w:rPr>
                <w:rFonts w:ascii="Times New Roman" w:hAnsi="Times New Roman"/>
                <w:color w:val="000000"/>
                <w:sz w:val="24"/>
                <w:szCs w:val="24"/>
                <w:lang w:val="uk-UA" w:eastAsia="uk-UA"/>
              </w:rPr>
              <w:t>0,07</w:t>
            </w:r>
          </w:p>
        </w:tc>
        <w:tc>
          <w:tcPr>
            <w:tcW w:w="425"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eastAsia="uk-UA"/>
              </w:rPr>
            </w:pPr>
            <w:r w:rsidRPr="008D4BBC">
              <w:rPr>
                <w:rFonts w:ascii="Times New Roman" w:hAnsi="Times New Roman"/>
                <w:color w:val="000000"/>
                <w:sz w:val="24"/>
                <w:szCs w:val="24"/>
                <w:lang w:val="uk-UA" w:eastAsia="uk-UA"/>
              </w:rPr>
              <w:t>-</w:t>
            </w:r>
          </w:p>
        </w:tc>
        <w:tc>
          <w:tcPr>
            <w:tcW w:w="426"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eastAsia="uk-UA"/>
              </w:rPr>
            </w:pPr>
          </w:p>
        </w:tc>
        <w:tc>
          <w:tcPr>
            <w:tcW w:w="708"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eastAsia="uk-UA"/>
              </w:rPr>
            </w:pPr>
          </w:p>
        </w:tc>
        <w:tc>
          <w:tcPr>
            <w:tcW w:w="500"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eastAsia="uk-UA"/>
              </w:rPr>
            </w:pPr>
          </w:p>
        </w:tc>
      </w:tr>
      <w:tr w:rsidR="003B67F9" w:rsidRPr="008D4BBC" w:rsidTr="00E04DF1">
        <w:trPr>
          <w:trHeight w:val="1665"/>
          <w:jc w:val="center"/>
        </w:trPr>
        <w:tc>
          <w:tcPr>
            <w:tcW w:w="2563"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rPr>
                <w:rFonts w:ascii="Times New Roman" w:hAnsi="Times New Roman"/>
                <w:color w:val="000000"/>
                <w:sz w:val="24"/>
                <w:szCs w:val="24"/>
                <w:lang w:val="uk-UA" w:eastAsia="uk-UA"/>
              </w:rPr>
            </w:pPr>
            <w:r w:rsidRPr="008D4BBC">
              <w:rPr>
                <w:rFonts w:ascii="Times New Roman" w:hAnsi="Times New Roman"/>
                <w:sz w:val="24"/>
                <w:szCs w:val="24"/>
                <w:lang w:val="uk-UA" w:eastAsia="uk-UA"/>
              </w:rPr>
              <w:t>Контакт «шкіра до шкіри»</w:t>
            </w:r>
          </w:p>
        </w:tc>
        <w:tc>
          <w:tcPr>
            <w:tcW w:w="3183"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rPr>
                <w:rFonts w:ascii="Times New Roman" w:hAnsi="Times New Roman"/>
                <w:color w:val="000000"/>
                <w:sz w:val="24"/>
                <w:szCs w:val="24"/>
                <w:lang w:val="uk-UA" w:eastAsia="uk-UA"/>
              </w:rPr>
            </w:pPr>
            <w:r w:rsidRPr="008D4BBC">
              <w:rPr>
                <w:rFonts w:ascii="Times New Roman" w:hAnsi="Times New Roman"/>
                <w:sz w:val="24"/>
                <w:szCs w:val="24"/>
                <w:lang w:val="uk-UA" w:eastAsia="uk-UA"/>
              </w:rPr>
              <w:t>Кількість новонароджених, яким проведено контакт «шкіра до шкіри», × 100 / загальна кількість новонароджених</w:t>
            </w:r>
          </w:p>
        </w:tc>
        <w:tc>
          <w:tcPr>
            <w:tcW w:w="851"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eastAsia="uk-UA"/>
              </w:rPr>
            </w:pPr>
            <w:r w:rsidRPr="008D4BBC">
              <w:rPr>
                <w:rFonts w:ascii="Times New Roman" w:hAnsi="Times New Roman"/>
                <w:color w:val="000000"/>
                <w:sz w:val="24"/>
                <w:szCs w:val="24"/>
                <w:lang w:val="uk-UA" w:eastAsia="uk-UA"/>
              </w:rPr>
              <w:t>90,0</w:t>
            </w:r>
          </w:p>
        </w:tc>
        <w:tc>
          <w:tcPr>
            <w:tcW w:w="567"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eastAsia="uk-UA"/>
              </w:rPr>
            </w:pPr>
            <w:r w:rsidRPr="008D4BBC">
              <w:rPr>
                <w:rFonts w:ascii="Times New Roman" w:hAnsi="Times New Roman"/>
                <w:color w:val="000000"/>
                <w:sz w:val="24"/>
                <w:szCs w:val="24"/>
                <w:lang w:val="uk-UA" w:eastAsia="uk-UA"/>
              </w:rPr>
              <w:t>9</w:t>
            </w:r>
          </w:p>
        </w:tc>
        <w:tc>
          <w:tcPr>
            <w:tcW w:w="850"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eastAsia="uk-UA"/>
              </w:rPr>
            </w:pPr>
            <w:r w:rsidRPr="008D4BBC">
              <w:rPr>
                <w:rFonts w:ascii="Times New Roman" w:hAnsi="Times New Roman"/>
                <w:color w:val="000000"/>
                <w:sz w:val="24"/>
                <w:szCs w:val="24"/>
                <w:lang w:val="uk-UA" w:eastAsia="uk-UA"/>
              </w:rPr>
              <w:t>0,1</w:t>
            </w:r>
          </w:p>
        </w:tc>
        <w:tc>
          <w:tcPr>
            <w:tcW w:w="425"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eastAsia="uk-UA"/>
              </w:rPr>
            </w:pPr>
            <w:r w:rsidRPr="008D4BBC">
              <w:rPr>
                <w:rFonts w:ascii="Times New Roman" w:hAnsi="Times New Roman"/>
                <w:color w:val="000000"/>
                <w:sz w:val="24"/>
                <w:szCs w:val="24"/>
                <w:lang w:val="uk-UA" w:eastAsia="uk-UA"/>
              </w:rPr>
              <w:t>-</w:t>
            </w:r>
          </w:p>
        </w:tc>
        <w:tc>
          <w:tcPr>
            <w:tcW w:w="426"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eastAsia="uk-UA"/>
              </w:rPr>
            </w:pPr>
          </w:p>
        </w:tc>
        <w:tc>
          <w:tcPr>
            <w:tcW w:w="708"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eastAsia="uk-UA"/>
              </w:rPr>
            </w:pPr>
          </w:p>
        </w:tc>
        <w:tc>
          <w:tcPr>
            <w:tcW w:w="500"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eastAsia="uk-UA"/>
              </w:rPr>
            </w:pPr>
          </w:p>
        </w:tc>
      </w:tr>
    </w:tbl>
    <w:p w:rsidR="00E04DF1" w:rsidRDefault="00E04DF1" w:rsidP="00D65ACA">
      <w:pPr>
        <w:jc w:val="right"/>
        <w:rPr>
          <w:i/>
          <w:lang w:val="ru-RU"/>
        </w:rPr>
      </w:pPr>
    </w:p>
    <w:p w:rsidR="00B10A22" w:rsidRDefault="00B10A22" w:rsidP="00D65ACA">
      <w:pPr>
        <w:jc w:val="right"/>
        <w:rPr>
          <w:i/>
          <w:lang w:val="ru-RU"/>
        </w:rPr>
      </w:pPr>
    </w:p>
    <w:p w:rsidR="00D65ACA" w:rsidRPr="00D65ACA" w:rsidRDefault="00190DD1" w:rsidP="00F159BE">
      <w:pPr>
        <w:pageBreakBefore/>
        <w:jc w:val="right"/>
        <w:rPr>
          <w:i/>
          <w:lang w:val="ru-RU"/>
        </w:rPr>
      </w:pPr>
      <w:r>
        <w:rPr>
          <w:i/>
          <w:lang w:val="ru-RU"/>
        </w:rPr>
        <w:lastRenderedPageBreak/>
        <w:t>Продовження табл. 7.</w:t>
      </w:r>
      <w:r w:rsidR="0034144B">
        <w:rPr>
          <w:i/>
          <w:lang w:val="ru-RU"/>
        </w:rPr>
        <w:t>3</w:t>
      </w:r>
    </w:p>
    <w:tbl>
      <w:tblPr>
        <w:tblStyle w:val="a6"/>
        <w:tblW w:w="0" w:type="auto"/>
        <w:jc w:val="center"/>
        <w:tblInd w:w="-267" w:type="dxa"/>
        <w:tblLayout w:type="fixed"/>
        <w:tblLook w:val="01E0" w:firstRow="1" w:lastRow="1" w:firstColumn="1" w:lastColumn="1" w:noHBand="0" w:noVBand="0"/>
      </w:tblPr>
      <w:tblGrid>
        <w:gridCol w:w="2563"/>
        <w:gridCol w:w="3183"/>
        <w:gridCol w:w="851"/>
        <w:gridCol w:w="567"/>
        <w:gridCol w:w="850"/>
        <w:gridCol w:w="425"/>
        <w:gridCol w:w="426"/>
        <w:gridCol w:w="708"/>
        <w:gridCol w:w="500"/>
      </w:tblGrid>
      <w:tr w:rsidR="003B67F9" w:rsidRPr="008D4BBC" w:rsidTr="001B4649">
        <w:trPr>
          <w:trHeight w:val="4563"/>
          <w:jc w:val="center"/>
        </w:trPr>
        <w:tc>
          <w:tcPr>
            <w:tcW w:w="2563"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rPr>
                <w:rFonts w:ascii="Times New Roman" w:hAnsi="Times New Roman"/>
                <w:color w:val="000000"/>
                <w:sz w:val="24"/>
                <w:szCs w:val="24"/>
                <w:lang w:val="uk-UA" w:eastAsia="uk-UA"/>
              </w:rPr>
            </w:pPr>
            <w:r w:rsidRPr="008D4BBC">
              <w:rPr>
                <w:rFonts w:ascii="Times New Roman" w:hAnsi="Times New Roman"/>
                <w:sz w:val="24"/>
                <w:szCs w:val="24"/>
                <w:lang w:val="uk-UA" w:eastAsia="uk-UA"/>
              </w:rPr>
              <w:t>Догляд новонароджених за методом «кенгуру»</w:t>
            </w:r>
          </w:p>
        </w:tc>
        <w:tc>
          <w:tcPr>
            <w:tcW w:w="3183"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rPr>
                <w:rFonts w:ascii="Times New Roman" w:hAnsi="Times New Roman"/>
                <w:sz w:val="24"/>
                <w:szCs w:val="24"/>
                <w:lang w:val="uk-UA" w:eastAsia="uk-UA"/>
              </w:rPr>
            </w:pPr>
            <w:r w:rsidRPr="008D4BBC">
              <w:rPr>
                <w:rFonts w:ascii="Times New Roman" w:hAnsi="Times New Roman"/>
                <w:sz w:val="24"/>
                <w:szCs w:val="24"/>
                <w:lang w:val="uk-UA" w:eastAsia="uk-UA"/>
              </w:rPr>
              <w:t>Кількість недоношених новонароджених і доношених</w:t>
            </w:r>
            <w:r w:rsidR="001D1972" w:rsidRPr="008D4BBC">
              <w:rPr>
                <w:rFonts w:ascii="Times New Roman" w:hAnsi="Times New Roman"/>
                <w:sz w:val="24"/>
                <w:szCs w:val="24"/>
                <w:lang w:val="uk-UA" w:eastAsia="uk-UA"/>
              </w:rPr>
              <w:t xml:space="preserve">, </w:t>
            </w:r>
            <w:r w:rsidRPr="008D4BBC">
              <w:rPr>
                <w:rFonts w:ascii="Times New Roman" w:hAnsi="Times New Roman"/>
                <w:sz w:val="24"/>
                <w:szCs w:val="24"/>
                <w:lang w:val="uk-UA" w:eastAsia="uk-UA"/>
              </w:rPr>
              <w:t>хворих новонароджених з стабільним клінічним станом, які  доглядалися за методом «кенгуру» / загальна кількість виписаних недоношених новонароджених і доношених хворих новонароджених з стабільним клінічним станом × 100</w:t>
            </w:r>
          </w:p>
        </w:tc>
        <w:tc>
          <w:tcPr>
            <w:tcW w:w="851"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eastAsia="uk-UA"/>
              </w:rPr>
            </w:pPr>
            <w:r w:rsidRPr="008D4BBC">
              <w:rPr>
                <w:rFonts w:ascii="Times New Roman" w:hAnsi="Times New Roman"/>
                <w:color w:val="000000"/>
                <w:sz w:val="24"/>
                <w:szCs w:val="24"/>
                <w:lang w:val="uk-UA" w:eastAsia="uk-UA"/>
              </w:rPr>
              <w:t>90,0</w:t>
            </w:r>
          </w:p>
        </w:tc>
        <w:tc>
          <w:tcPr>
            <w:tcW w:w="567"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eastAsia="uk-UA"/>
              </w:rPr>
            </w:pPr>
            <w:r w:rsidRPr="008D4BBC">
              <w:rPr>
                <w:rFonts w:ascii="Times New Roman" w:hAnsi="Times New Roman"/>
                <w:color w:val="000000"/>
                <w:sz w:val="24"/>
                <w:szCs w:val="24"/>
                <w:lang w:val="uk-UA" w:eastAsia="uk-UA"/>
              </w:rPr>
              <w:t>6</w:t>
            </w:r>
          </w:p>
        </w:tc>
        <w:tc>
          <w:tcPr>
            <w:tcW w:w="850"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eastAsia="uk-UA"/>
              </w:rPr>
            </w:pPr>
            <w:r w:rsidRPr="008D4BBC">
              <w:rPr>
                <w:rFonts w:ascii="Times New Roman" w:hAnsi="Times New Roman"/>
                <w:color w:val="000000"/>
                <w:sz w:val="24"/>
                <w:szCs w:val="24"/>
                <w:lang w:val="uk-UA" w:eastAsia="uk-UA"/>
              </w:rPr>
              <w:t>0,07</w:t>
            </w:r>
          </w:p>
        </w:tc>
        <w:tc>
          <w:tcPr>
            <w:tcW w:w="425"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eastAsia="uk-UA"/>
              </w:rPr>
            </w:pPr>
            <w:r w:rsidRPr="008D4BBC">
              <w:rPr>
                <w:rFonts w:ascii="Times New Roman" w:hAnsi="Times New Roman"/>
                <w:color w:val="000000"/>
                <w:sz w:val="24"/>
                <w:szCs w:val="24"/>
                <w:lang w:val="uk-UA" w:eastAsia="uk-UA"/>
              </w:rPr>
              <w:t>-</w:t>
            </w:r>
          </w:p>
        </w:tc>
        <w:tc>
          <w:tcPr>
            <w:tcW w:w="426"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eastAsia="uk-UA"/>
              </w:rPr>
            </w:pPr>
          </w:p>
        </w:tc>
        <w:tc>
          <w:tcPr>
            <w:tcW w:w="708"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eastAsia="uk-UA"/>
              </w:rPr>
            </w:pPr>
          </w:p>
        </w:tc>
        <w:tc>
          <w:tcPr>
            <w:tcW w:w="500"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eastAsia="uk-UA"/>
              </w:rPr>
            </w:pPr>
          </w:p>
        </w:tc>
      </w:tr>
      <w:tr w:rsidR="003B67F9" w:rsidRPr="008D4BBC" w:rsidTr="001B4649">
        <w:trPr>
          <w:trHeight w:val="687"/>
          <w:jc w:val="center"/>
        </w:trPr>
        <w:tc>
          <w:tcPr>
            <w:tcW w:w="2563"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rPr>
                <w:rFonts w:ascii="Times New Roman" w:hAnsi="Times New Roman"/>
                <w:color w:val="000000"/>
                <w:sz w:val="24"/>
                <w:szCs w:val="24"/>
                <w:lang w:val="uk-UA" w:eastAsia="uk-UA"/>
              </w:rPr>
            </w:pPr>
            <w:r w:rsidRPr="008D4BBC">
              <w:rPr>
                <w:rFonts w:ascii="Times New Roman" w:hAnsi="Times New Roman"/>
                <w:color w:val="000000"/>
                <w:sz w:val="24"/>
                <w:szCs w:val="24"/>
                <w:lang w:val="uk-UA" w:eastAsia="uk-UA"/>
              </w:rPr>
              <w:t>Індекс здоров’я новонароджених</w:t>
            </w:r>
          </w:p>
        </w:tc>
        <w:tc>
          <w:tcPr>
            <w:tcW w:w="3183"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rPr>
                <w:rFonts w:ascii="Times New Roman" w:hAnsi="Times New Roman"/>
                <w:color w:val="000000"/>
                <w:sz w:val="24"/>
                <w:szCs w:val="24"/>
                <w:lang w:val="uk-UA" w:eastAsia="uk-UA"/>
              </w:rPr>
            </w:pPr>
            <w:r w:rsidRPr="008D4BBC">
              <w:rPr>
                <w:rFonts w:ascii="Times New Roman" w:hAnsi="Times New Roman"/>
                <w:iCs/>
                <w:color w:val="000000"/>
                <w:kern w:val="28"/>
                <w:sz w:val="24"/>
                <w:szCs w:val="24"/>
                <w:lang w:val="uk-UA" w:eastAsia="uk-UA"/>
              </w:rPr>
              <w:t xml:space="preserve">На 100 </w:t>
            </w:r>
            <w:r w:rsidRPr="008D4BBC">
              <w:rPr>
                <w:rFonts w:ascii="Times New Roman" w:hAnsi="Times New Roman"/>
                <w:color w:val="000000"/>
                <w:sz w:val="24"/>
                <w:szCs w:val="24"/>
                <w:lang w:val="uk-UA" w:eastAsia="uk-UA"/>
              </w:rPr>
              <w:t>живонароджених</w:t>
            </w:r>
          </w:p>
        </w:tc>
        <w:tc>
          <w:tcPr>
            <w:tcW w:w="851"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eastAsia="uk-UA"/>
              </w:rPr>
            </w:pPr>
            <w:r w:rsidRPr="008D4BBC">
              <w:rPr>
                <w:rFonts w:ascii="Times New Roman" w:hAnsi="Times New Roman"/>
                <w:color w:val="000000"/>
                <w:sz w:val="24"/>
                <w:szCs w:val="24"/>
                <w:lang w:val="uk-UA" w:eastAsia="uk-UA"/>
              </w:rPr>
              <w:t>90,0</w:t>
            </w:r>
          </w:p>
        </w:tc>
        <w:tc>
          <w:tcPr>
            <w:tcW w:w="567"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eastAsia="uk-UA"/>
              </w:rPr>
            </w:pPr>
            <w:r w:rsidRPr="008D4BBC">
              <w:rPr>
                <w:rFonts w:ascii="Times New Roman" w:hAnsi="Times New Roman"/>
                <w:color w:val="000000"/>
                <w:sz w:val="24"/>
                <w:szCs w:val="24"/>
                <w:lang w:val="uk-UA" w:eastAsia="uk-UA"/>
              </w:rPr>
              <w:t>6</w:t>
            </w:r>
          </w:p>
        </w:tc>
        <w:tc>
          <w:tcPr>
            <w:tcW w:w="850"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eastAsia="uk-UA"/>
              </w:rPr>
            </w:pPr>
            <w:r w:rsidRPr="008D4BBC">
              <w:rPr>
                <w:rFonts w:ascii="Times New Roman" w:hAnsi="Times New Roman"/>
                <w:color w:val="000000"/>
                <w:sz w:val="24"/>
                <w:szCs w:val="24"/>
                <w:lang w:val="uk-UA" w:eastAsia="uk-UA"/>
              </w:rPr>
              <w:t>0,07</w:t>
            </w:r>
          </w:p>
        </w:tc>
        <w:tc>
          <w:tcPr>
            <w:tcW w:w="425"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eastAsia="uk-UA"/>
              </w:rPr>
            </w:pPr>
            <w:r w:rsidRPr="008D4BBC">
              <w:rPr>
                <w:rFonts w:ascii="Times New Roman" w:hAnsi="Times New Roman"/>
                <w:color w:val="000000"/>
                <w:sz w:val="24"/>
                <w:szCs w:val="24"/>
                <w:lang w:val="uk-UA" w:eastAsia="uk-UA"/>
              </w:rPr>
              <w:t>-</w:t>
            </w:r>
          </w:p>
        </w:tc>
        <w:tc>
          <w:tcPr>
            <w:tcW w:w="426"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eastAsia="uk-UA"/>
              </w:rPr>
            </w:pPr>
          </w:p>
        </w:tc>
        <w:tc>
          <w:tcPr>
            <w:tcW w:w="708"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eastAsia="uk-UA"/>
              </w:rPr>
            </w:pPr>
          </w:p>
        </w:tc>
        <w:tc>
          <w:tcPr>
            <w:tcW w:w="500"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eastAsia="uk-UA"/>
              </w:rPr>
            </w:pPr>
          </w:p>
        </w:tc>
      </w:tr>
      <w:tr w:rsidR="003B67F9" w:rsidRPr="008D4BBC" w:rsidTr="001B4649">
        <w:trPr>
          <w:trHeight w:val="2296"/>
          <w:jc w:val="center"/>
        </w:trPr>
        <w:tc>
          <w:tcPr>
            <w:tcW w:w="2563"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rPr>
                <w:rFonts w:ascii="Times New Roman" w:hAnsi="Times New Roman"/>
                <w:color w:val="000000"/>
                <w:sz w:val="24"/>
                <w:szCs w:val="24"/>
                <w:lang w:val="uk-UA" w:eastAsia="uk-UA"/>
              </w:rPr>
            </w:pPr>
            <w:r w:rsidRPr="008D4BBC">
              <w:rPr>
                <w:rFonts w:ascii="Times New Roman" w:hAnsi="Times New Roman"/>
                <w:color w:val="000000"/>
                <w:sz w:val="24"/>
                <w:szCs w:val="24"/>
                <w:lang w:val="uk-UA" w:eastAsia="uk-UA"/>
              </w:rPr>
              <w:t>Виживання новонароджених з масою тіла при народженні &gt;2500</w:t>
            </w:r>
            <w:r w:rsidR="00520D08">
              <w:rPr>
                <w:rFonts w:ascii="Times New Roman" w:hAnsi="Times New Roman"/>
                <w:color w:val="000000"/>
                <w:sz w:val="24"/>
                <w:szCs w:val="24"/>
                <w:lang w:val="uk-UA" w:eastAsia="uk-UA"/>
              </w:rPr>
              <w:t xml:space="preserve"> </w:t>
            </w:r>
            <w:r w:rsidRPr="008D4BBC">
              <w:rPr>
                <w:rFonts w:ascii="Times New Roman" w:hAnsi="Times New Roman"/>
                <w:color w:val="000000"/>
                <w:sz w:val="24"/>
                <w:szCs w:val="24"/>
                <w:lang w:val="uk-UA" w:eastAsia="uk-UA"/>
              </w:rPr>
              <w:t>г</w:t>
            </w:r>
          </w:p>
        </w:tc>
        <w:tc>
          <w:tcPr>
            <w:tcW w:w="3183"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rPr>
                <w:rFonts w:ascii="Times New Roman" w:hAnsi="Times New Roman"/>
                <w:iCs/>
                <w:color w:val="000000"/>
                <w:kern w:val="28"/>
                <w:sz w:val="24"/>
                <w:szCs w:val="24"/>
                <w:lang w:val="uk-UA" w:eastAsia="uk-UA"/>
              </w:rPr>
            </w:pPr>
            <w:r w:rsidRPr="008D4BBC">
              <w:rPr>
                <w:rFonts w:ascii="Times New Roman" w:hAnsi="Times New Roman"/>
                <w:color w:val="000000"/>
                <w:sz w:val="24"/>
                <w:szCs w:val="24"/>
                <w:lang w:val="uk-UA" w:eastAsia="uk-UA"/>
              </w:rPr>
              <w:t>Кількість новонароджених масою тіла при народженні &gt;2500</w:t>
            </w:r>
            <w:r w:rsidR="00520D08">
              <w:rPr>
                <w:rFonts w:ascii="Times New Roman" w:hAnsi="Times New Roman"/>
                <w:color w:val="000000"/>
                <w:sz w:val="24"/>
                <w:szCs w:val="24"/>
                <w:lang w:val="uk-UA" w:eastAsia="uk-UA"/>
              </w:rPr>
              <w:t xml:space="preserve"> </w:t>
            </w:r>
            <w:r w:rsidRPr="008D4BBC">
              <w:rPr>
                <w:rFonts w:ascii="Times New Roman" w:hAnsi="Times New Roman"/>
                <w:color w:val="000000"/>
                <w:sz w:val="24"/>
                <w:szCs w:val="24"/>
                <w:lang w:val="uk-UA" w:eastAsia="uk-UA"/>
              </w:rPr>
              <w:t xml:space="preserve">г, які вижили після 168годин життя </w:t>
            </w:r>
            <w:r w:rsidR="009E37F8">
              <w:rPr>
                <w:rFonts w:ascii="Times New Roman" w:hAnsi="Times New Roman"/>
                <w:iCs/>
                <w:color w:val="000000"/>
                <w:kern w:val="28"/>
                <w:sz w:val="24"/>
                <w:szCs w:val="24"/>
                <w:lang w:val="uk-UA" w:eastAsia="uk-UA"/>
              </w:rPr>
              <w:t>×</w:t>
            </w:r>
            <w:r w:rsidRPr="008D4BBC">
              <w:rPr>
                <w:rFonts w:ascii="Times New Roman" w:hAnsi="Times New Roman"/>
                <w:iCs/>
                <w:color w:val="000000"/>
                <w:kern w:val="28"/>
                <w:sz w:val="24"/>
                <w:szCs w:val="24"/>
                <w:lang w:val="uk-UA" w:eastAsia="uk-UA"/>
              </w:rPr>
              <w:t xml:space="preserve"> 100 / </w:t>
            </w:r>
            <w:r w:rsidRPr="008D4BBC">
              <w:rPr>
                <w:rFonts w:ascii="Times New Roman" w:hAnsi="Times New Roman"/>
                <w:color w:val="000000"/>
                <w:sz w:val="24"/>
                <w:szCs w:val="24"/>
                <w:lang w:val="uk-UA" w:eastAsia="uk-UA"/>
              </w:rPr>
              <w:t>кількість</w:t>
            </w:r>
            <w:r w:rsidRPr="008D4BBC">
              <w:rPr>
                <w:rFonts w:ascii="Times New Roman" w:hAnsi="Times New Roman"/>
                <w:iCs/>
                <w:color w:val="000000"/>
                <w:kern w:val="28"/>
                <w:sz w:val="24"/>
                <w:szCs w:val="24"/>
                <w:lang w:val="uk-UA" w:eastAsia="uk-UA"/>
              </w:rPr>
              <w:t xml:space="preserve"> </w:t>
            </w:r>
            <w:r w:rsidRPr="008D4BBC">
              <w:rPr>
                <w:rFonts w:ascii="Times New Roman" w:hAnsi="Times New Roman"/>
                <w:color w:val="000000"/>
                <w:sz w:val="24"/>
                <w:szCs w:val="24"/>
                <w:lang w:val="uk-UA" w:eastAsia="uk-UA"/>
              </w:rPr>
              <w:t>новонароджених масою тіла при народженні &gt;2500</w:t>
            </w:r>
            <w:r w:rsidR="00520D08">
              <w:rPr>
                <w:rFonts w:ascii="Times New Roman" w:hAnsi="Times New Roman"/>
                <w:color w:val="000000"/>
                <w:sz w:val="24"/>
                <w:szCs w:val="24"/>
                <w:lang w:val="uk-UA" w:eastAsia="uk-UA"/>
              </w:rPr>
              <w:t xml:space="preserve"> </w:t>
            </w:r>
            <w:r w:rsidRPr="008D4BBC">
              <w:rPr>
                <w:rFonts w:ascii="Times New Roman" w:hAnsi="Times New Roman"/>
                <w:color w:val="000000"/>
                <w:sz w:val="24"/>
                <w:szCs w:val="24"/>
                <w:lang w:val="uk-UA" w:eastAsia="uk-UA"/>
              </w:rPr>
              <w:t>г</w:t>
            </w:r>
          </w:p>
        </w:tc>
        <w:tc>
          <w:tcPr>
            <w:tcW w:w="851"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eastAsia="uk-UA"/>
              </w:rPr>
            </w:pPr>
            <w:r w:rsidRPr="008D4BBC">
              <w:rPr>
                <w:rFonts w:ascii="Times New Roman" w:hAnsi="Times New Roman"/>
                <w:color w:val="000000"/>
                <w:sz w:val="24"/>
                <w:szCs w:val="24"/>
                <w:lang w:val="uk-UA" w:eastAsia="uk-UA"/>
              </w:rPr>
              <w:t>99,98</w:t>
            </w:r>
          </w:p>
        </w:tc>
        <w:tc>
          <w:tcPr>
            <w:tcW w:w="567"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eastAsia="uk-UA"/>
              </w:rPr>
            </w:pPr>
            <w:r w:rsidRPr="008D4BBC">
              <w:rPr>
                <w:rFonts w:ascii="Times New Roman" w:hAnsi="Times New Roman"/>
                <w:color w:val="000000"/>
                <w:sz w:val="24"/>
                <w:szCs w:val="24"/>
                <w:lang w:val="uk-UA" w:eastAsia="uk-UA"/>
              </w:rPr>
              <w:t>6</w:t>
            </w:r>
          </w:p>
        </w:tc>
        <w:tc>
          <w:tcPr>
            <w:tcW w:w="850"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eastAsia="uk-UA"/>
              </w:rPr>
            </w:pPr>
            <w:r w:rsidRPr="008D4BBC">
              <w:rPr>
                <w:rFonts w:ascii="Times New Roman" w:hAnsi="Times New Roman"/>
                <w:color w:val="000000"/>
                <w:sz w:val="24"/>
                <w:szCs w:val="24"/>
                <w:lang w:val="uk-UA" w:eastAsia="uk-UA"/>
              </w:rPr>
              <w:t>0,06</w:t>
            </w:r>
          </w:p>
        </w:tc>
        <w:tc>
          <w:tcPr>
            <w:tcW w:w="425"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eastAsia="uk-UA"/>
              </w:rPr>
            </w:pPr>
            <w:r w:rsidRPr="008D4BBC">
              <w:rPr>
                <w:rFonts w:ascii="Times New Roman" w:hAnsi="Times New Roman"/>
                <w:color w:val="000000"/>
                <w:sz w:val="24"/>
                <w:szCs w:val="24"/>
                <w:lang w:val="uk-UA" w:eastAsia="uk-UA"/>
              </w:rPr>
              <w:t>-</w:t>
            </w:r>
          </w:p>
        </w:tc>
        <w:tc>
          <w:tcPr>
            <w:tcW w:w="426"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eastAsia="uk-UA"/>
              </w:rPr>
            </w:pPr>
          </w:p>
        </w:tc>
        <w:tc>
          <w:tcPr>
            <w:tcW w:w="708"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eastAsia="uk-UA"/>
              </w:rPr>
            </w:pPr>
          </w:p>
        </w:tc>
        <w:tc>
          <w:tcPr>
            <w:tcW w:w="500"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eastAsia="uk-UA"/>
              </w:rPr>
            </w:pPr>
          </w:p>
        </w:tc>
      </w:tr>
      <w:tr w:rsidR="003B67F9" w:rsidRPr="008D4BBC" w:rsidTr="002A565A">
        <w:trPr>
          <w:trHeight w:val="81"/>
          <w:jc w:val="center"/>
        </w:trPr>
        <w:tc>
          <w:tcPr>
            <w:tcW w:w="2563"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rPr>
                <w:rFonts w:ascii="Times New Roman" w:hAnsi="Times New Roman"/>
                <w:color w:val="000000"/>
                <w:sz w:val="24"/>
                <w:szCs w:val="24"/>
                <w:lang w:val="uk-UA" w:eastAsia="uk-UA"/>
              </w:rPr>
            </w:pPr>
            <w:r w:rsidRPr="008D4BBC">
              <w:rPr>
                <w:rFonts w:ascii="Times New Roman" w:hAnsi="Times New Roman"/>
                <w:color w:val="000000"/>
                <w:sz w:val="24"/>
                <w:szCs w:val="24"/>
                <w:lang w:val="uk-UA" w:eastAsia="uk-UA"/>
              </w:rPr>
              <w:t>Індекс неоната</w:t>
            </w:r>
            <w:r w:rsidR="001D1972" w:rsidRPr="008D4BBC">
              <w:rPr>
                <w:rFonts w:ascii="Times New Roman" w:hAnsi="Times New Roman"/>
                <w:color w:val="000000"/>
                <w:sz w:val="24"/>
                <w:szCs w:val="24"/>
                <w:lang w:val="uk-UA" w:eastAsia="uk-UA"/>
              </w:rPr>
              <w:t>л</w:t>
            </w:r>
            <w:r w:rsidRPr="008D4BBC">
              <w:rPr>
                <w:rFonts w:ascii="Times New Roman" w:hAnsi="Times New Roman"/>
                <w:color w:val="000000"/>
                <w:sz w:val="24"/>
                <w:szCs w:val="24"/>
                <w:lang w:val="uk-UA" w:eastAsia="uk-UA"/>
              </w:rPr>
              <w:t>ьних трансферів</w:t>
            </w:r>
          </w:p>
        </w:tc>
        <w:tc>
          <w:tcPr>
            <w:tcW w:w="3183"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rPr>
                <w:rFonts w:ascii="Times New Roman" w:hAnsi="Times New Roman"/>
                <w:iCs/>
                <w:color w:val="000000"/>
                <w:kern w:val="28"/>
                <w:sz w:val="24"/>
                <w:szCs w:val="24"/>
                <w:lang w:val="uk-UA" w:eastAsia="uk-UA"/>
              </w:rPr>
            </w:pPr>
            <w:r w:rsidRPr="008D4BBC">
              <w:rPr>
                <w:rFonts w:ascii="Times New Roman" w:hAnsi="Times New Roman"/>
                <w:iCs/>
                <w:color w:val="000000"/>
                <w:kern w:val="28"/>
                <w:sz w:val="24"/>
                <w:szCs w:val="24"/>
                <w:lang w:val="uk-UA" w:eastAsia="uk-UA"/>
              </w:rPr>
              <w:t>Кількість новонароджених, які були переведені у ЗОЗ  вищог</w:t>
            </w:r>
            <w:r w:rsidR="009E37F8">
              <w:rPr>
                <w:rFonts w:ascii="Times New Roman" w:hAnsi="Times New Roman"/>
                <w:iCs/>
                <w:color w:val="000000"/>
                <w:kern w:val="28"/>
                <w:sz w:val="24"/>
                <w:szCs w:val="24"/>
                <w:lang w:val="uk-UA" w:eastAsia="uk-UA"/>
              </w:rPr>
              <w:t>о рівня перинатальної допомоги ×</w:t>
            </w:r>
            <w:r w:rsidRPr="008D4BBC">
              <w:rPr>
                <w:rFonts w:ascii="Times New Roman" w:hAnsi="Times New Roman"/>
                <w:iCs/>
                <w:color w:val="000000"/>
                <w:kern w:val="28"/>
                <w:sz w:val="24"/>
                <w:szCs w:val="24"/>
                <w:lang w:val="uk-UA" w:eastAsia="uk-UA"/>
              </w:rPr>
              <w:t xml:space="preserve"> 100 / загальна кількість вибувших новонароджених</w:t>
            </w:r>
          </w:p>
        </w:tc>
        <w:tc>
          <w:tcPr>
            <w:tcW w:w="851"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eastAsia="uk-UA"/>
              </w:rPr>
            </w:pPr>
            <w:r w:rsidRPr="008D4BBC">
              <w:rPr>
                <w:rFonts w:ascii="Times New Roman" w:hAnsi="Times New Roman"/>
                <w:color w:val="000000"/>
                <w:sz w:val="24"/>
                <w:szCs w:val="24"/>
                <w:lang w:val="uk-UA" w:eastAsia="uk-UA"/>
              </w:rPr>
              <w:t>3,0</w:t>
            </w:r>
          </w:p>
        </w:tc>
        <w:tc>
          <w:tcPr>
            <w:tcW w:w="567"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eastAsia="uk-UA"/>
              </w:rPr>
            </w:pPr>
            <w:r w:rsidRPr="008D4BBC">
              <w:rPr>
                <w:rFonts w:ascii="Times New Roman" w:hAnsi="Times New Roman"/>
                <w:color w:val="000000"/>
                <w:sz w:val="24"/>
                <w:szCs w:val="24"/>
                <w:lang w:val="uk-UA" w:eastAsia="uk-UA"/>
              </w:rPr>
              <w:t>7</w:t>
            </w:r>
          </w:p>
        </w:tc>
        <w:tc>
          <w:tcPr>
            <w:tcW w:w="850"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eastAsia="uk-UA"/>
              </w:rPr>
            </w:pPr>
            <w:r w:rsidRPr="008D4BBC">
              <w:rPr>
                <w:rFonts w:ascii="Times New Roman" w:hAnsi="Times New Roman"/>
                <w:color w:val="000000"/>
                <w:sz w:val="24"/>
                <w:szCs w:val="24"/>
                <w:lang w:val="uk-UA" w:eastAsia="uk-UA"/>
              </w:rPr>
              <w:t>2,3</w:t>
            </w:r>
          </w:p>
        </w:tc>
        <w:tc>
          <w:tcPr>
            <w:tcW w:w="425"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eastAsia="uk-UA"/>
              </w:rPr>
            </w:pPr>
            <w:r w:rsidRPr="008D4BBC">
              <w:rPr>
                <w:rFonts w:ascii="Times New Roman" w:hAnsi="Times New Roman"/>
                <w:color w:val="000000"/>
                <w:sz w:val="24"/>
                <w:szCs w:val="24"/>
                <w:lang w:val="uk-UA" w:eastAsia="uk-UA"/>
              </w:rPr>
              <w:t>+</w:t>
            </w:r>
          </w:p>
        </w:tc>
        <w:tc>
          <w:tcPr>
            <w:tcW w:w="426"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eastAsia="uk-UA"/>
              </w:rPr>
            </w:pPr>
          </w:p>
        </w:tc>
        <w:tc>
          <w:tcPr>
            <w:tcW w:w="708"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eastAsia="uk-UA"/>
              </w:rPr>
            </w:pPr>
          </w:p>
        </w:tc>
        <w:tc>
          <w:tcPr>
            <w:tcW w:w="500"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eastAsia="uk-UA"/>
              </w:rPr>
            </w:pPr>
          </w:p>
        </w:tc>
      </w:tr>
      <w:tr w:rsidR="003B67F9" w:rsidRPr="008D4BBC" w:rsidTr="001B4649">
        <w:trPr>
          <w:trHeight w:val="1619"/>
          <w:jc w:val="center"/>
        </w:trPr>
        <w:tc>
          <w:tcPr>
            <w:tcW w:w="2563"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rPr>
                <w:rFonts w:ascii="Times New Roman" w:hAnsi="Times New Roman"/>
                <w:color w:val="000000"/>
                <w:sz w:val="24"/>
                <w:szCs w:val="24"/>
                <w:lang w:val="uk-UA" w:eastAsia="uk-UA"/>
              </w:rPr>
            </w:pPr>
            <w:r w:rsidRPr="008D4BBC">
              <w:rPr>
                <w:rFonts w:ascii="Times New Roman" w:hAnsi="Times New Roman"/>
                <w:color w:val="000000"/>
                <w:sz w:val="24"/>
                <w:szCs w:val="24"/>
                <w:lang w:val="uk-UA" w:eastAsia="uk-UA"/>
              </w:rPr>
              <w:t>Рівень перинатальної смертності</w:t>
            </w:r>
          </w:p>
        </w:tc>
        <w:tc>
          <w:tcPr>
            <w:tcW w:w="3183"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rPr>
                <w:rFonts w:ascii="Times New Roman" w:hAnsi="Times New Roman"/>
                <w:color w:val="000000"/>
                <w:sz w:val="24"/>
                <w:szCs w:val="24"/>
                <w:lang w:val="uk-UA" w:eastAsia="uk-UA"/>
              </w:rPr>
            </w:pPr>
            <w:r w:rsidRPr="008D4BBC">
              <w:rPr>
                <w:rFonts w:ascii="Times New Roman" w:hAnsi="Times New Roman"/>
                <w:color w:val="000000"/>
                <w:sz w:val="24"/>
                <w:szCs w:val="24"/>
                <w:lang w:val="uk-UA" w:eastAsia="uk-UA"/>
              </w:rPr>
              <w:t>Кількість народжених мертвими і померлих у перші 168 год.</w:t>
            </w:r>
            <w:r w:rsidR="009E37F8">
              <w:rPr>
                <w:rFonts w:ascii="Times New Roman" w:hAnsi="Times New Roman"/>
                <w:color w:val="000000"/>
                <w:sz w:val="24"/>
                <w:szCs w:val="24"/>
                <w:lang w:val="uk-UA" w:eastAsia="uk-UA"/>
              </w:rPr>
              <w:t xml:space="preserve"> життя ×</w:t>
            </w:r>
            <w:r w:rsidRPr="008D4BBC">
              <w:rPr>
                <w:rFonts w:ascii="Times New Roman" w:hAnsi="Times New Roman"/>
                <w:color w:val="000000"/>
                <w:sz w:val="24"/>
                <w:szCs w:val="24"/>
                <w:lang w:val="uk-UA" w:eastAsia="uk-UA"/>
              </w:rPr>
              <w:t xml:space="preserve"> 1000 / кількість народжених мертвими і живими</w:t>
            </w:r>
          </w:p>
        </w:tc>
        <w:tc>
          <w:tcPr>
            <w:tcW w:w="851"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eastAsia="uk-UA"/>
              </w:rPr>
            </w:pPr>
            <w:r w:rsidRPr="008D4BBC">
              <w:rPr>
                <w:rFonts w:ascii="Times New Roman" w:hAnsi="Times New Roman"/>
                <w:color w:val="000000"/>
                <w:sz w:val="24"/>
                <w:szCs w:val="24"/>
                <w:lang w:val="uk-UA" w:eastAsia="uk-UA"/>
              </w:rPr>
              <w:t>5,5</w:t>
            </w:r>
          </w:p>
        </w:tc>
        <w:tc>
          <w:tcPr>
            <w:tcW w:w="567"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eastAsia="uk-UA"/>
              </w:rPr>
            </w:pPr>
            <w:r w:rsidRPr="008D4BBC">
              <w:rPr>
                <w:rFonts w:ascii="Times New Roman" w:hAnsi="Times New Roman"/>
                <w:color w:val="000000"/>
                <w:sz w:val="24"/>
                <w:szCs w:val="24"/>
                <w:lang w:val="uk-UA" w:eastAsia="uk-UA"/>
              </w:rPr>
              <w:t>6</w:t>
            </w:r>
          </w:p>
        </w:tc>
        <w:tc>
          <w:tcPr>
            <w:tcW w:w="850"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eastAsia="uk-UA"/>
              </w:rPr>
            </w:pPr>
            <w:r w:rsidRPr="008D4BBC">
              <w:rPr>
                <w:rFonts w:ascii="Times New Roman" w:hAnsi="Times New Roman"/>
                <w:color w:val="000000"/>
                <w:sz w:val="24"/>
                <w:szCs w:val="24"/>
                <w:lang w:val="uk-UA" w:eastAsia="uk-UA"/>
              </w:rPr>
              <w:t>2,0</w:t>
            </w:r>
          </w:p>
        </w:tc>
        <w:tc>
          <w:tcPr>
            <w:tcW w:w="425"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eastAsia="uk-UA"/>
              </w:rPr>
            </w:pPr>
            <w:r w:rsidRPr="008D4BBC">
              <w:rPr>
                <w:rFonts w:ascii="Times New Roman" w:hAnsi="Times New Roman"/>
                <w:color w:val="000000"/>
                <w:sz w:val="24"/>
                <w:szCs w:val="24"/>
                <w:lang w:val="uk-UA" w:eastAsia="uk-UA"/>
              </w:rPr>
              <w:t>+</w:t>
            </w:r>
          </w:p>
        </w:tc>
        <w:tc>
          <w:tcPr>
            <w:tcW w:w="426"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eastAsia="uk-UA"/>
              </w:rPr>
            </w:pPr>
          </w:p>
        </w:tc>
        <w:tc>
          <w:tcPr>
            <w:tcW w:w="708"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eastAsia="uk-UA"/>
              </w:rPr>
            </w:pPr>
          </w:p>
        </w:tc>
        <w:tc>
          <w:tcPr>
            <w:tcW w:w="500"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eastAsia="uk-UA"/>
              </w:rPr>
            </w:pPr>
          </w:p>
        </w:tc>
      </w:tr>
      <w:tr w:rsidR="003B67F9" w:rsidRPr="008D4BBC" w:rsidTr="001B4649">
        <w:trPr>
          <w:trHeight w:val="1372"/>
          <w:jc w:val="center"/>
        </w:trPr>
        <w:tc>
          <w:tcPr>
            <w:tcW w:w="2563"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rPr>
                <w:rFonts w:ascii="Times New Roman" w:hAnsi="Times New Roman"/>
                <w:color w:val="000000"/>
                <w:sz w:val="24"/>
                <w:szCs w:val="24"/>
                <w:lang w:val="uk-UA" w:eastAsia="uk-UA"/>
              </w:rPr>
            </w:pPr>
            <w:r w:rsidRPr="008D4BBC">
              <w:rPr>
                <w:rFonts w:ascii="Times New Roman" w:hAnsi="Times New Roman"/>
                <w:color w:val="000000"/>
                <w:sz w:val="24"/>
                <w:szCs w:val="24"/>
                <w:lang w:val="uk-UA" w:eastAsia="uk-UA"/>
              </w:rPr>
              <w:t>Рівень мертвонароджуваності</w:t>
            </w:r>
          </w:p>
        </w:tc>
        <w:tc>
          <w:tcPr>
            <w:tcW w:w="3183"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rPr>
                <w:rFonts w:ascii="Times New Roman" w:hAnsi="Times New Roman"/>
                <w:color w:val="000000"/>
                <w:sz w:val="24"/>
                <w:szCs w:val="24"/>
                <w:lang w:val="uk-UA" w:eastAsia="uk-UA"/>
              </w:rPr>
            </w:pPr>
            <w:r w:rsidRPr="008D4BBC">
              <w:rPr>
                <w:rFonts w:ascii="Times New Roman" w:hAnsi="Times New Roman"/>
                <w:color w:val="000000"/>
                <w:sz w:val="24"/>
                <w:szCs w:val="24"/>
                <w:lang w:val="uk-UA" w:eastAsia="uk-UA"/>
              </w:rPr>
              <w:t>Кількіст</w:t>
            </w:r>
            <w:r w:rsidR="009E37F8">
              <w:rPr>
                <w:rFonts w:ascii="Times New Roman" w:hAnsi="Times New Roman"/>
                <w:color w:val="000000"/>
                <w:sz w:val="24"/>
                <w:szCs w:val="24"/>
                <w:lang w:val="uk-UA" w:eastAsia="uk-UA"/>
              </w:rPr>
              <w:t>ь народжених мертвими і живими ×</w:t>
            </w:r>
            <w:r w:rsidRPr="008D4BBC">
              <w:rPr>
                <w:rFonts w:ascii="Times New Roman" w:hAnsi="Times New Roman"/>
                <w:color w:val="000000"/>
                <w:sz w:val="24"/>
                <w:szCs w:val="24"/>
                <w:lang w:val="uk-UA" w:eastAsia="uk-UA"/>
              </w:rPr>
              <w:t xml:space="preserve"> 1000 / кількість народжених мертвими</w:t>
            </w:r>
          </w:p>
        </w:tc>
        <w:tc>
          <w:tcPr>
            <w:tcW w:w="851"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eastAsia="uk-UA"/>
              </w:rPr>
            </w:pPr>
            <w:r w:rsidRPr="008D4BBC">
              <w:rPr>
                <w:rFonts w:ascii="Times New Roman" w:hAnsi="Times New Roman"/>
                <w:color w:val="000000"/>
                <w:sz w:val="24"/>
                <w:szCs w:val="24"/>
                <w:lang w:val="uk-UA" w:eastAsia="uk-UA"/>
              </w:rPr>
              <w:t>4,5</w:t>
            </w:r>
          </w:p>
        </w:tc>
        <w:tc>
          <w:tcPr>
            <w:tcW w:w="567"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eastAsia="uk-UA"/>
              </w:rPr>
            </w:pPr>
            <w:r w:rsidRPr="008D4BBC">
              <w:rPr>
                <w:rFonts w:ascii="Times New Roman" w:hAnsi="Times New Roman"/>
                <w:color w:val="000000"/>
                <w:sz w:val="24"/>
                <w:szCs w:val="24"/>
                <w:lang w:val="uk-UA" w:eastAsia="uk-UA"/>
              </w:rPr>
              <w:t>6</w:t>
            </w:r>
          </w:p>
        </w:tc>
        <w:tc>
          <w:tcPr>
            <w:tcW w:w="850"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eastAsia="uk-UA"/>
              </w:rPr>
            </w:pPr>
            <w:r w:rsidRPr="008D4BBC">
              <w:rPr>
                <w:rFonts w:ascii="Times New Roman" w:hAnsi="Times New Roman"/>
                <w:color w:val="000000"/>
                <w:sz w:val="24"/>
                <w:szCs w:val="24"/>
                <w:lang w:val="uk-UA" w:eastAsia="uk-UA"/>
              </w:rPr>
              <w:t>1,3</w:t>
            </w:r>
          </w:p>
        </w:tc>
        <w:tc>
          <w:tcPr>
            <w:tcW w:w="425"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eastAsia="uk-UA"/>
              </w:rPr>
            </w:pPr>
            <w:r w:rsidRPr="008D4BBC">
              <w:rPr>
                <w:rFonts w:ascii="Times New Roman" w:hAnsi="Times New Roman"/>
                <w:color w:val="000000"/>
                <w:sz w:val="24"/>
                <w:szCs w:val="24"/>
                <w:lang w:val="uk-UA" w:eastAsia="uk-UA"/>
              </w:rPr>
              <w:t>+</w:t>
            </w:r>
          </w:p>
        </w:tc>
        <w:tc>
          <w:tcPr>
            <w:tcW w:w="426"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eastAsia="uk-UA"/>
              </w:rPr>
            </w:pPr>
          </w:p>
        </w:tc>
        <w:tc>
          <w:tcPr>
            <w:tcW w:w="708"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eastAsia="uk-UA"/>
              </w:rPr>
            </w:pPr>
          </w:p>
        </w:tc>
        <w:tc>
          <w:tcPr>
            <w:tcW w:w="500"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eastAsia="uk-UA"/>
              </w:rPr>
            </w:pPr>
          </w:p>
        </w:tc>
      </w:tr>
      <w:tr w:rsidR="003B67F9" w:rsidRPr="008D4BBC" w:rsidTr="002A565A">
        <w:trPr>
          <w:trHeight w:val="81"/>
          <w:jc w:val="center"/>
        </w:trPr>
        <w:tc>
          <w:tcPr>
            <w:tcW w:w="2563"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rPr>
                <w:rFonts w:ascii="Times New Roman" w:hAnsi="Times New Roman"/>
                <w:color w:val="000000"/>
                <w:sz w:val="24"/>
                <w:szCs w:val="24"/>
                <w:lang w:val="uk-UA" w:eastAsia="uk-UA"/>
              </w:rPr>
            </w:pPr>
            <w:r w:rsidRPr="008D4BBC">
              <w:rPr>
                <w:rFonts w:ascii="Times New Roman" w:hAnsi="Times New Roman"/>
                <w:color w:val="000000"/>
                <w:sz w:val="24"/>
                <w:szCs w:val="24"/>
                <w:lang w:val="uk-UA" w:eastAsia="uk-UA"/>
              </w:rPr>
              <w:t>Рівень материнської смертності</w:t>
            </w:r>
          </w:p>
        </w:tc>
        <w:tc>
          <w:tcPr>
            <w:tcW w:w="3183"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rPr>
                <w:rFonts w:ascii="Times New Roman" w:hAnsi="Times New Roman"/>
                <w:color w:val="000000"/>
                <w:sz w:val="24"/>
                <w:szCs w:val="24"/>
                <w:lang w:val="uk-UA" w:eastAsia="uk-UA"/>
              </w:rPr>
            </w:pPr>
            <w:r w:rsidRPr="008D4BBC">
              <w:rPr>
                <w:rFonts w:ascii="Times New Roman" w:hAnsi="Times New Roman"/>
                <w:color w:val="000000"/>
                <w:sz w:val="24"/>
                <w:szCs w:val="24"/>
                <w:lang w:val="uk-UA" w:eastAsia="uk-UA"/>
              </w:rPr>
              <w:t>На 100000 живонароджених</w:t>
            </w:r>
          </w:p>
        </w:tc>
        <w:tc>
          <w:tcPr>
            <w:tcW w:w="851"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eastAsia="uk-UA"/>
              </w:rPr>
            </w:pPr>
            <w:r w:rsidRPr="008D4BBC">
              <w:rPr>
                <w:rFonts w:ascii="Times New Roman" w:hAnsi="Times New Roman"/>
                <w:color w:val="000000"/>
                <w:sz w:val="24"/>
                <w:szCs w:val="24"/>
                <w:lang w:val="uk-UA" w:eastAsia="uk-UA"/>
              </w:rPr>
              <w:t>3,0</w:t>
            </w:r>
          </w:p>
        </w:tc>
        <w:tc>
          <w:tcPr>
            <w:tcW w:w="567"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eastAsia="uk-UA"/>
              </w:rPr>
            </w:pPr>
            <w:r w:rsidRPr="008D4BBC">
              <w:rPr>
                <w:rFonts w:ascii="Times New Roman" w:hAnsi="Times New Roman"/>
                <w:color w:val="000000"/>
                <w:sz w:val="24"/>
                <w:szCs w:val="24"/>
                <w:lang w:val="uk-UA" w:eastAsia="uk-UA"/>
              </w:rPr>
              <w:t>8</w:t>
            </w:r>
          </w:p>
        </w:tc>
        <w:tc>
          <w:tcPr>
            <w:tcW w:w="850"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eastAsia="uk-UA"/>
              </w:rPr>
            </w:pPr>
            <w:r w:rsidRPr="008D4BBC">
              <w:rPr>
                <w:rFonts w:ascii="Times New Roman" w:hAnsi="Times New Roman"/>
                <w:color w:val="000000"/>
                <w:sz w:val="24"/>
                <w:szCs w:val="24"/>
                <w:lang w:val="uk-UA" w:eastAsia="uk-UA"/>
              </w:rPr>
              <w:t>2,7</w:t>
            </w:r>
          </w:p>
        </w:tc>
        <w:tc>
          <w:tcPr>
            <w:tcW w:w="425"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eastAsia="uk-UA"/>
              </w:rPr>
            </w:pPr>
            <w:r w:rsidRPr="008D4BBC">
              <w:rPr>
                <w:rFonts w:ascii="Times New Roman" w:hAnsi="Times New Roman"/>
                <w:color w:val="000000"/>
                <w:sz w:val="24"/>
                <w:szCs w:val="24"/>
                <w:lang w:val="uk-UA" w:eastAsia="uk-UA"/>
              </w:rPr>
              <w:t>+</w:t>
            </w:r>
          </w:p>
        </w:tc>
        <w:tc>
          <w:tcPr>
            <w:tcW w:w="426"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eastAsia="uk-UA"/>
              </w:rPr>
            </w:pPr>
          </w:p>
        </w:tc>
        <w:tc>
          <w:tcPr>
            <w:tcW w:w="708"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eastAsia="uk-UA"/>
              </w:rPr>
            </w:pPr>
          </w:p>
        </w:tc>
        <w:tc>
          <w:tcPr>
            <w:tcW w:w="500"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eastAsia="uk-UA"/>
              </w:rPr>
            </w:pPr>
          </w:p>
        </w:tc>
      </w:tr>
    </w:tbl>
    <w:p w:rsidR="001B4649" w:rsidRDefault="001B4649" w:rsidP="00E04DF1">
      <w:pPr>
        <w:jc w:val="right"/>
        <w:rPr>
          <w:i/>
          <w:lang w:val="ru-RU"/>
        </w:rPr>
      </w:pPr>
    </w:p>
    <w:p w:rsidR="00B10A22" w:rsidRDefault="00B10A22" w:rsidP="00E04DF1">
      <w:pPr>
        <w:jc w:val="right"/>
        <w:rPr>
          <w:i/>
        </w:rPr>
      </w:pPr>
    </w:p>
    <w:p w:rsidR="00E04DF1" w:rsidRPr="00E04DF1" w:rsidRDefault="00E04DF1" w:rsidP="00E04DF1">
      <w:pPr>
        <w:jc w:val="right"/>
        <w:rPr>
          <w:i/>
          <w:lang w:val="ru-RU"/>
        </w:rPr>
      </w:pPr>
      <w:r w:rsidRPr="00E04DF1">
        <w:rPr>
          <w:i/>
        </w:rPr>
        <w:lastRenderedPageBreak/>
        <w:t xml:space="preserve">Продовження табл. </w:t>
      </w:r>
      <w:r w:rsidR="001A6C03">
        <w:rPr>
          <w:i/>
          <w:lang w:val="ru-RU"/>
        </w:rPr>
        <w:t>7.</w:t>
      </w:r>
      <w:r w:rsidR="0034144B">
        <w:rPr>
          <w:i/>
          <w:lang w:val="ru-RU"/>
        </w:rPr>
        <w:t>3</w:t>
      </w:r>
    </w:p>
    <w:tbl>
      <w:tblPr>
        <w:tblStyle w:val="a6"/>
        <w:tblW w:w="0" w:type="auto"/>
        <w:jc w:val="center"/>
        <w:tblInd w:w="-267" w:type="dxa"/>
        <w:tblLayout w:type="fixed"/>
        <w:tblLook w:val="01E0" w:firstRow="1" w:lastRow="1" w:firstColumn="1" w:lastColumn="1" w:noHBand="0" w:noVBand="0"/>
      </w:tblPr>
      <w:tblGrid>
        <w:gridCol w:w="2563"/>
        <w:gridCol w:w="3183"/>
        <w:gridCol w:w="851"/>
        <w:gridCol w:w="567"/>
        <w:gridCol w:w="850"/>
        <w:gridCol w:w="425"/>
        <w:gridCol w:w="426"/>
        <w:gridCol w:w="708"/>
        <w:gridCol w:w="500"/>
      </w:tblGrid>
      <w:tr w:rsidR="003B67F9" w:rsidRPr="008D4BBC" w:rsidTr="009B6FBE">
        <w:trPr>
          <w:trHeight w:val="3004"/>
          <w:jc w:val="center"/>
        </w:trPr>
        <w:tc>
          <w:tcPr>
            <w:tcW w:w="2563"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rPr>
                <w:rFonts w:ascii="Times New Roman" w:hAnsi="Times New Roman"/>
                <w:color w:val="000000"/>
                <w:sz w:val="24"/>
                <w:szCs w:val="24"/>
                <w:lang w:val="uk-UA" w:eastAsia="uk-UA"/>
              </w:rPr>
            </w:pPr>
            <w:r w:rsidRPr="008D4BBC">
              <w:rPr>
                <w:rFonts w:ascii="Times New Roman" w:hAnsi="Times New Roman"/>
                <w:sz w:val="24"/>
                <w:szCs w:val="24"/>
                <w:lang w:val="uk-UA" w:eastAsia="uk-UA"/>
              </w:rPr>
              <w:t>Знання жінками загрозливих симптомів під час вагітності, пологів та післяпологового періоду</w:t>
            </w:r>
          </w:p>
        </w:tc>
        <w:tc>
          <w:tcPr>
            <w:tcW w:w="3183"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rPr>
                <w:rFonts w:ascii="Times New Roman" w:hAnsi="Times New Roman"/>
                <w:color w:val="000000"/>
                <w:sz w:val="24"/>
                <w:szCs w:val="24"/>
                <w:lang w:val="uk-UA" w:eastAsia="uk-UA"/>
              </w:rPr>
            </w:pPr>
            <w:r w:rsidRPr="008D4BBC">
              <w:rPr>
                <w:rFonts w:ascii="Times New Roman" w:hAnsi="Times New Roman"/>
                <w:sz w:val="24"/>
                <w:szCs w:val="24"/>
                <w:lang w:val="uk-UA" w:eastAsia="uk-UA"/>
              </w:rPr>
              <w:t>Кількість пацієнток, які, за даними анонімного анкетування, знали про загрозливі симптоми під час вагітно</w:t>
            </w:r>
            <w:r w:rsidR="00520D08">
              <w:rPr>
                <w:rFonts w:ascii="Times New Roman" w:hAnsi="Times New Roman"/>
                <w:sz w:val="24"/>
                <w:szCs w:val="24"/>
                <w:lang w:val="uk-UA" w:eastAsia="uk-UA"/>
              </w:rPr>
              <w:t xml:space="preserve">сті. пологів та післяпологового </w:t>
            </w:r>
            <w:r w:rsidRPr="008D4BBC">
              <w:rPr>
                <w:rFonts w:ascii="Times New Roman" w:hAnsi="Times New Roman"/>
                <w:sz w:val="24"/>
                <w:szCs w:val="24"/>
                <w:lang w:val="uk-UA" w:eastAsia="uk-UA"/>
              </w:rPr>
              <w:t>періоду, × 100 / загальна кількість пацієнток, які заповнили анкети</w:t>
            </w:r>
          </w:p>
        </w:tc>
        <w:tc>
          <w:tcPr>
            <w:tcW w:w="851"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eastAsia="uk-UA"/>
              </w:rPr>
            </w:pPr>
            <w:r w:rsidRPr="008D4BBC">
              <w:rPr>
                <w:rFonts w:ascii="Times New Roman" w:hAnsi="Times New Roman"/>
                <w:color w:val="000000"/>
                <w:sz w:val="24"/>
                <w:szCs w:val="24"/>
                <w:lang w:val="uk-UA" w:eastAsia="uk-UA"/>
              </w:rPr>
              <w:t>95,0</w:t>
            </w:r>
          </w:p>
        </w:tc>
        <w:tc>
          <w:tcPr>
            <w:tcW w:w="567"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eastAsia="uk-UA"/>
              </w:rPr>
            </w:pPr>
            <w:r w:rsidRPr="008D4BBC">
              <w:rPr>
                <w:rFonts w:ascii="Times New Roman" w:hAnsi="Times New Roman"/>
                <w:color w:val="000000"/>
                <w:sz w:val="24"/>
                <w:szCs w:val="24"/>
                <w:lang w:val="uk-UA" w:eastAsia="uk-UA"/>
              </w:rPr>
              <w:t>7</w:t>
            </w:r>
          </w:p>
        </w:tc>
        <w:tc>
          <w:tcPr>
            <w:tcW w:w="850"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eastAsia="uk-UA"/>
              </w:rPr>
            </w:pPr>
            <w:r w:rsidRPr="008D4BBC">
              <w:rPr>
                <w:rFonts w:ascii="Times New Roman" w:hAnsi="Times New Roman"/>
                <w:color w:val="000000"/>
                <w:sz w:val="24"/>
                <w:szCs w:val="24"/>
                <w:lang w:val="uk-UA" w:eastAsia="uk-UA"/>
              </w:rPr>
              <w:t>0,07</w:t>
            </w:r>
          </w:p>
        </w:tc>
        <w:tc>
          <w:tcPr>
            <w:tcW w:w="425"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eastAsia="uk-UA"/>
              </w:rPr>
            </w:pPr>
            <w:r w:rsidRPr="008D4BBC">
              <w:rPr>
                <w:rFonts w:ascii="Times New Roman" w:hAnsi="Times New Roman"/>
                <w:color w:val="000000"/>
                <w:sz w:val="24"/>
                <w:szCs w:val="24"/>
                <w:lang w:val="uk-UA" w:eastAsia="uk-UA"/>
              </w:rPr>
              <w:t>-</w:t>
            </w:r>
          </w:p>
        </w:tc>
        <w:tc>
          <w:tcPr>
            <w:tcW w:w="426"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eastAsia="uk-UA"/>
              </w:rPr>
            </w:pPr>
          </w:p>
        </w:tc>
        <w:tc>
          <w:tcPr>
            <w:tcW w:w="708"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eastAsia="uk-UA"/>
              </w:rPr>
            </w:pPr>
          </w:p>
        </w:tc>
        <w:tc>
          <w:tcPr>
            <w:tcW w:w="500"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eastAsia="uk-UA"/>
              </w:rPr>
            </w:pPr>
          </w:p>
        </w:tc>
      </w:tr>
      <w:tr w:rsidR="003B67F9" w:rsidRPr="008D4BBC" w:rsidTr="009B6FBE">
        <w:trPr>
          <w:trHeight w:val="2252"/>
          <w:jc w:val="center"/>
        </w:trPr>
        <w:tc>
          <w:tcPr>
            <w:tcW w:w="2563"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rPr>
                <w:rFonts w:ascii="Times New Roman" w:hAnsi="Times New Roman"/>
                <w:color w:val="000000"/>
                <w:sz w:val="24"/>
                <w:szCs w:val="24"/>
                <w:lang w:val="uk-UA" w:eastAsia="uk-UA"/>
              </w:rPr>
            </w:pPr>
            <w:r w:rsidRPr="008D4BBC">
              <w:rPr>
                <w:rFonts w:ascii="Times New Roman" w:hAnsi="Times New Roman"/>
                <w:sz w:val="24"/>
                <w:szCs w:val="24"/>
                <w:lang w:val="uk-UA" w:eastAsia="uk-UA"/>
              </w:rPr>
              <w:t>Задоволеність пацієнтів медичною допомогою</w:t>
            </w:r>
          </w:p>
        </w:tc>
        <w:tc>
          <w:tcPr>
            <w:tcW w:w="3183"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rPr>
                <w:rFonts w:ascii="Times New Roman" w:hAnsi="Times New Roman"/>
                <w:color w:val="000000"/>
                <w:sz w:val="24"/>
                <w:szCs w:val="24"/>
                <w:lang w:val="uk-UA" w:eastAsia="uk-UA"/>
              </w:rPr>
            </w:pPr>
            <w:r w:rsidRPr="008D4BBC">
              <w:rPr>
                <w:rFonts w:ascii="Times New Roman" w:hAnsi="Times New Roman"/>
                <w:sz w:val="24"/>
                <w:szCs w:val="24"/>
                <w:lang w:val="uk-UA" w:eastAsia="uk-UA"/>
              </w:rPr>
              <w:t>Кількість пацієнток, які, за даними анонімного анкетування, задоволені медичною допомогою, × 100 / загальна кількість пацієнток, які заповнили анкети</w:t>
            </w:r>
          </w:p>
        </w:tc>
        <w:tc>
          <w:tcPr>
            <w:tcW w:w="851"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eastAsia="uk-UA"/>
              </w:rPr>
            </w:pPr>
            <w:r w:rsidRPr="008D4BBC">
              <w:rPr>
                <w:rFonts w:ascii="Times New Roman" w:hAnsi="Times New Roman"/>
                <w:color w:val="000000"/>
                <w:sz w:val="24"/>
                <w:szCs w:val="24"/>
                <w:lang w:val="uk-UA" w:eastAsia="uk-UA"/>
              </w:rPr>
              <w:t>80,0</w:t>
            </w:r>
          </w:p>
        </w:tc>
        <w:tc>
          <w:tcPr>
            <w:tcW w:w="567"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eastAsia="uk-UA"/>
              </w:rPr>
            </w:pPr>
            <w:r w:rsidRPr="008D4BBC">
              <w:rPr>
                <w:rFonts w:ascii="Times New Roman" w:hAnsi="Times New Roman"/>
                <w:color w:val="000000"/>
                <w:sz w:val="24"/>
                <w:szCs w:val="24"/>
                <w:lang w:val="uk-UA" w:eastAsia="uk-UA"/>
              </w:rPr>
              <w:t>7</w:t>
            </w:r>
          </w:p>
        </w:tc>
        <w:tc>
          <w:tcPr>
            <w:tcW w:w="850"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eastAsia="uk-UA"/>
              </w:rPr>
            </w:pPr>
            <w:r w:rsidRPr="008D4BBC">
              <w:rPr>
                <w:rFonts w:ascii="Times New Roman" w:hAnsi="Times New Roman"/>
                <w:color w:val="000000"/>
                <w:sz w:val="24"/>
                <w:szCs w:val="24"/>
                <w:lang w:val="uk-UA" w:eastAsia="uk-UA"/>
              </w:rPr>
              <w:t>0,09</w:t>
            </w:r>
          </w:p>
        </w:tc>
        <w:tc>
          <w:tcPr>
            <w:tcW w:w="425"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eastAsia="uk-UA"/>
              </w:rPr>
            </w:pPr>
            <w:r w:rsidRPr="008D4BBC">
              <w:rPr>
                <w:rFonts w:ascii="Times New Roman" w:hAnsi="Times New Roman"/>
                <w:color w:val="000000"/>
                <w:sz w:val="24"/>
                <w:szCs w:val="24"/>
                <w:lang w:val="uk-UA" w:eastAsia="uk-UA"/>
              </w:rPr>
              <w:t>-</w:t>
            </w:r>
          </w:p>
        </w:tc>
        <w:tc>
          <w:tcPr>
            <w:tcW w:w="426"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eastAsia="uk-UA"/>
              </w:rPr>
            </w:pPr>
          </w:p>
        </w:tc>
        <w:tc>
          <w:tcPr>
            <w:tcW w:w="708"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eastAsia="uk-UA"/>
              </w:rPr>
            </w:pPr>
          </w:p>
        </w:tc>
        <w:tc>
          <w:tcPr>
            <w:tcW w:w="500"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eastAsia="uk-UA"/>
              </w:rPr>
            </w:pPr>
          </w:p>
        </w:tc>
      </w:tr>
      <w:tr w:rsidR="003B67F9" w:rsidRPr="008D4BBC" w:rsidTr="002A565A">
        <w:trPr>
          <w:trHeight w:val="403"/>
          <w:jc w:val="center"/>
        </w:trPr>
        <w:tc>
          <w:tcPr>
            <w:tcW w:w="2563"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rPr>
                <w:rFonts w:ascii="Times New Roman" w:hAnsi="Times New Roman"/>
                <w:sz w:val="24"/>
                <w:szCs w:val="24"/>
                <w:lang w:val="uk-UA" w:eastAsia="uk-UA"/>
              </w:rPr>
            </w:pPr>
            <w:r w:rsidRPr="008D4BBC">
              <w:rPr>
                <w:rFonts w:ascii="Times New Roman" w:hAnsi="Times New Roman"/>
                <w:sz w:val="24"/>
                <w:szCs w:val="24"/>
                <w:lang w:val="uk-UA" w:eastAsia="uk-UA"/>
              </w:rPr>
              <w:t>Сума балів</w:t>
            </w:r>
          </w:p>
          <w:p w:rsidR="003B67F9" w:rsidRPr="008D4BBC" w:rsidRDefault="003B67F9" w:rsidP="008D4BBC">
            <w:pPr>
              <w:widowControl w:val="0"/>
              <w:spacing w:line="276" w:lineRule="auto"/>
              <w:rPr>
                <w:rFonts w:ascii="Times New Roman" w:hAnsi="Times New Roman"/>
                <w:sz w:val="24"/>
                <w:szCs w:val="24"/>
                <w:lang w:val="uk-UA" w:eastAsia="uk-UA"/>
              </w:rPr>
            </w:pPr>
          </w:p>
        </w:tc>
        <w:tc>
          <w:tcPr>
            <w:tcW w:w="3183"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rPr>
                <w:rFonts w:ascii="Times New Roman" w:hAnsi="Times New Roman"/>
                <w:sz w:val="24"/>
                <w:szCs w:val="24"/>
                <w:lang w:val="uk-UA" w:eastAsia="uk-UA"/>
              </w:rPr>
            </w:pPr>
          </w:p>
        </w:tc>
        <w:tc>
          <w:tcPr>
            <w:tcW w:w="851"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eastAsia="uk-UA"/>
              </w:rPr>
            </w:pPr>
          </w:p>
        </w:tc>
        <w:tc>
          <w:tcPr>
            <w:tcW w:w="567"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eastAsia="uk-UA"/>
              </w:rPr>
            </w:pPr>
          </w:p>
        </w:tc>
        <w:tc>
          <w:tcPr>
            <w:tcW w:w="850"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eastAsia="uk-UA"/>
              </w:rPr>
            </w:pPr>
          </w:p>
        </w:tc>
        <w:tc>
          <w:tcPr>
            <w:tcW w:w="425"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eastAsia="uk-UA"/>
              </w:rPr>
            </w:pPr>
          </w:p>
        </w:tc>
        <w:tc>
          <w:tcPr>
            <w:tcW w:w="426"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eastAsia="uk-UA"/>
              </w:rPr>
            </w:pPr>
          </w:p>
        </w:tc>
        <w:tc>
          <w:tcPr>
            <w:tcW w:w="708"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eastAsia="uk-UA"/>
              </w:rPr>
            </w:pPr>
          </w:p>
        </w:tc>
        <w:tc>
          <w:tcPr>
            <w:tcW w:w="500" w:type="dxa"/>
            <w:tcBorders>
              <w:top w:val="single" w:sz="4" w:space="0" w:color="auto"/>
              <w:left w:val="single" w:sz="4" w:space="0" w:color="auto"/>
              <w:bottom w:val="single" w:sz="4" w:space="0" w:color="auto"/>
              <w:right w:val="single" w:sz="4" w:space="0" w:color="auto"/>
            </w:tcBorders>
          </w:tcPr>
          <w:p w:rsidR="003B67F9" w:rsidRPr="008D4BBC" w:rsidRDefault="003B67F9" w:rsidP="008D4BBC">
            <w:pPr>
              <w:widowControl w:val="0"/>
              <w:spacing w:line="276" w:lineRule="auto"/>
              <w:jc w:val="center"/>
              <w:rPr>
                <w:rFonts w:ascii="Times New Roman" w:hAnsi="Times New Roman"/>
                <w:color w:val="000000"/>
                <w:sz w:val="24"/>
                <w:szCs w:val="24"/>
                <w:lang w:val="uk-UA" w:eastAsia="uk-UA"/>
              </w:rPr>
            </w:pPr>
          </w:p>
        </w:tc>
      </w:tr>
    </w:tbl>
    <w:p w:rsidR="003B67F9" w:rsidRPr="00006A39" w:rsidRDefault="003B67F9" w:rsidP="00721203">
      <w:pPr>
        <w:widowControl w:val="0"/>
        <w:ind w:firstLine="709"/>
        <w:rPr>
          <w:rFonts w:eastAsia="Times New Roman"/>
          <w:szCs w:val="28"/>
          <w:lang w:eastAsia="ru-RU"/>
        </w:rPr>
      </w:pPr>
    </w:p>
    <w:p w:rsidR="003B67F9" w:rsidRPr="00006A39" w:rsidRDefault="003B67F9" w:rsidP="00721203">
      <w:pPr>
        <w:widowControl w:val="0"/>
        <w:ind w:firstLine="709"/>
        <w:rPr>
          <w:rFonts w:eastAsia="Times New Roman"/>
          <w:szCs w:val="28"/>
          <w:lang w:eastAsia="ru-RU"/>
        </w:rPr>
      </w:pPr>
      <w:r w:rsidRPr="00006A39">
        <w:rPr>
          <w:rFonts w:eastAsia="Times New Roman"/>
          <w:szCs w:val="28"/>
          <w:lang w:eastAsia="ru-RU"/>
        </w:rPr>
        <w:t>Заклади охорони здоров’я IІ рівня перинатальної допомоги забезпечують надання допомоги пацієнткам з одноплідною/багатоплідною вагітністю, із середнім рівнем акушерського та/або перинатального ризику, новонародженим з масою тіла &gt; 1500 г (</w:t>
      </w:r>
      <w:r w:rsidRPr="00006A39">
        <w:rPr>
          <w:rFonts w:eastAsia="Times New Roman"/>
          <w:color w:val="000000"/>
          <w:szCs w:val="28"/>
          <w:lang w:eastAsia="ru-RU"/>
        </w:rPr>
        <w:t>термін гестації ≥ 34 тижні), к</w:t>
      </w:r>
      <w:r w:rsidRPr="00006A39">
        <w:rPr>
          <w:rFonts w:eastAsia="Times New Roman"/>
          <w:color w:val="000000"/>
          <w:szCs w:val="28"/>
          <w:shd w:val="clear" w:color="auto" w:fill="FFFFFF"/>
          <w:lang w:eastAsia="ru-RU"/>
        </w:rPr>
        <w:t>онсультування з питань грудного вигодовування і післяпологової контрацепції;</w:t>
      </w:r>
      <w:r w:rsidRPr="00006A39">
        <w:rPr>
          <w:rFonts w:eastAsia="Times New Roman"/>
          <w:color w:val="000000"/>
          <w:szCs w:val="28"/>
          <w:lang w:eastAsia="ru-RU"/>
        </w:rPr>
        <w:t xml:space="preserve"> у цілодобовому режимі виконують: ведення нормальних і патологічних пологів, ургентні кесареві розтини, кесареві розтини у т.ч. рубцем на матці, динамічне спостереження за породіллями (у тому числі лабораторне спостереження (рутинний гемостаз, кислотно-лужна рівновага, гази крові, електроліти плазми), трансфузіологічну допомогу, спостереження і догляд за новонародженими, у т. ч. </w:t>
      </w:r>
      <w:r w:rsidR="007519DD">
        <w:rPr>
          <w:rFonts w:eastAsia="Times New Roman"/>
          <w:color w:val="000000"/>
          <w:szCs w:val="28"/>
          <w:lang w:eastAsia="ru-RU"/>
        </w:rPr>
        <w:t>і</w:t>
      </w:r>
      <w:r w:rsidRPr="00006A39">
        <w:rPr>
          <w:rFonts w:eastAsia="Times New Roman"/>
          <w:color w:val="000000"/>
          <w:szCs w:val="28"/>
          <w:lang w:eastAsia="ru-RU"/>
        </w:rPr>
        <w:t xml:space="preserve">з патологічними станами, невідкладну медичну допомогу, інтенсивну терапію жінкам, вагітним, роділлям, породіллям та новонародженим, стабілізацію невідкладних гінекологічних станів (ургентні гінекологічні операції) та переведення до закладу охорони здоров’я вищого рівня медичної допомоги </w:t>
      </w:r>
      <w:r w:rsidR="004B01FB">
        <w:rPr>
          <w:rFonts w:eastAsia="Times New Roman"/>
          <w:szCs w:val="28"/>
          <w:lang w:eastAsia="ru-RU"/>
        </w:rPr>
        <w:t>(табл. 7.4</w:t>
      </w:r>
      <w:r w:rsidRPr="00006A39">
        <w:rPr>
          <w:rFonts w:eastAsia="Times New Roman"/>
          <w:szCs w:val="28"/>
          <w:lang w:eastAsia="ru-RU"/>
        </w:rPr>
        <w:t xml:space="preserve">). </w:t>
      </w:r>
    </w:p>
    <w:p w:rsidR="009B6FBE" w:rsidRPr="0050319C" w:rsidRDefault="009B6FBE" w:rsidP="00721203">
      <w:pPr>
        <w:widowControl w:val="0"/>
        <w:spacing w:after="200" w:line="240" w:lineRule="auto"/>
        <w:ind w:firstLine="709"/>
        <w:jc w:val="right"/>
        <w:rPr>
          <w:rFonts w:eastAsia="Times New Roman"/>
          <w:i/>
          <w:szCs w:val="28"/>
          <w:lang w:eastAsia="ru-RU"/>
        </w:rPr>
      </w:pPr>
    </w:p>
    <w:p w:rsidR="00B10A22" w:rsidRDefault="00B10A22" w:rsidP="00721203">
      <w:pPr>
        <w:widowControl w:val="0"/>
        <w:spacing w:after="200" w:line="240" w:lineRule="auto"/>
        <w:ind w:firstLine="709"/>
        <w:jc w:val="right"/>
        <w:rPr>
          <w:rFonts w:eastAsia="Times New Roman"/>
          <w:i/>
          <w:szCs w:val="28"/>
          <w:lang w:eastAsia="ru-RU"/>
        </w:rPr>
      </w:pPr>
    </w:p>
    <w:p w:rsidR="003B67F9" w:rsidRPr="00006A39" w:rsidRDefault="004B01FB" w:rsidP="00F159BE">
      <w:pPr>
        <w:pageBreakBefore/>
        <w:widowControl w:val="0"/>
        <w:spacing w:after="200" w:line="240" w:lineRule="auto"/>
        <w:ind w:firstLine="709"/>
        <w:jc w:val="right"/>
        <w:rPr>
          <w:rFonts w:eastAsia="Times New Roman"/>
          <w:i/>
          <w:szCs w:val="28"/>
          <w:lang w:eastAsia="ru-RU"/>
        </w:rPr>
      </w:pPr>
      <w:r>
        <w:rPr>
          <w:rFonts w:eastAsia="Times New Roman"/>
          <w:i/>
          <w:szCs w:val="28"/>
          <w:lang w:eastAsia="ru-RU"/>
        </w:rPr>
        <w:lastRenderedPageBreak/>
        <w:t>Таблиця 7.4</w:t>
      </w:r>
      <w:r w:rsidR="003B67F9" w:rsidRPr="00006A39">
        <w:rPr>
          <w:rFonts w:eastAsia="Times New Roman"/>
          <w:i/>
          <w:szCs w:val="28"/>
          <w:lang w:eastAsia="ru-RU"/>
        </w:rPr>
        <w:t xml:space="preserve"> </w:t>
      </w:r>
    </w:p>
    <w:p w:rsidR="003B67F9" w:rsidRPr="00006A39" w:rsidRDefault="003B67F9" w:rsidP="00721203">
      <w:pPr>
        <w:widowControl w:val="0"/>
        <w:spacing w:after="200"/>
        <w:jc w:val="center"/>
        <w:rPr>
          <w:rFonts w:eastAsia="Times New Roman"/>
          <w:b/>
          <w:szCs w:val="28"/>
          <w:lang w:eastAsia="ru-RU"/>
        </w:rPr>
      </w:pPr>
      <w:r w:rsidRPr="00006A39">
        <w:rPr>
          <w:rFonts w:eastAsia="Times New Roman"/>
          <w:b/>
          <w:color w:val="000000"/>
          <w:szCs w:val="28"/>
          <w:lang w:eastAsia="ru-RU"/>
        </w:rPr>
        <w:t xml:space="preserve">Модель комплексної оцінки діяльності ЗПД (структурних підрозділів ЗОЗ), що надають ІІ рівень </w:t>
      </w:r>
      <w:r w:rsidRPr="00006A39">
        <w:rPr>
          <w:rFonts w:eastAsia="Times New Roman"/>
          <w:b/>
          <w:color w:val="000000"/>
          <w:szCs w:val="28"/>
          <w:shd w:val="clear" w:color="auto" w:fill="FFFFFF"/>
          <w:lang w:eastAsia="ru-RU"/>
        </w:rPr>
        <w:t>перинатальної допомоги</w:t>
      </w:r>
    </w:p>
    <w:tbl>
      <w:tblPr>
        <w:tblStyle w:val="a6"/>
        <w:tblW w:w="0" w:type="auto"/>
        <w:jc w:val="center"/>
        <w:tblInd w:w="55" w:type="dxa"/>
        <w:tblLayout w:type="fixed"/>
        <w:tblLook w:val="01E0" w:firstRow="1" w:lastRow="1" w:firstColumn="1" w:lastColumn="1" w:noHBand="0" w:noVBand="0"/>
      </w:tblPr>
      <w:tblGrid>
        <w:gridCol w:w="2478"/>
        <w:gridCol w:w="3245"/>
        <w:gridCol w:w="851"/>
        <w:gridCol w:w="709"/>
        <w:gridCol w:w="806"/>
        <w:gridCol w:w="506"/>
        <w:gridCol w:w="567"/>
        <w:gridCol w:w="656"/>
        <w:gridCol w:w="441"/>
      </w:tblGrid>
      <w:tr w:rsidR="003B67F9" w:rsidRPr="008D4BBC" w:rsidTr="00ED7A85">
        <w:trPr>
          <w:cantSplit/>
          <w:trHeight w:val="2921"/>
          <w:jc w:val="center"/>
        </w:trPr>
        <w:tc>
          <w:tcPr>
            <w:tcW w:w="2478" w:type="dxa"/>
            <w:tcBorders>
              <w:top w:val="single" w:sz="4" w:space="0" w:color="auto"/>
              <w:left w:val="single" w:sz="4" w:space="0" w:color="auto"/>
              <w:bottom w:val="single" w:sz="4" w:space="0" w:color="auto"/>
              <w:right w:val="single" w:sz="4" w:space="0" w:color="auto"/>
            </w:tcBorders>
            <w:hideMark/>
          </w:tcPr>
          <w:p w:rsidR="003B67F9" w:rsidRPr="008D4BBC" w:rsidRDefault="003B67F9" w:rsidP="00721203">
            <w:pPr>
              <w:widowControl w:val="0"/>
              <w:spacing w:line="276" w:lineRule="auto"/>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Нормативний показник</w:t>
            </w:r>
          </w:p>
        </w:tc>
        <w:tc>
          <w:tcPr>
            <w:tcW w:w="3245" w:type="dxa"/>
            <w:tcBorders>
              <w:top w:val="single" w:sz="4" w:space="0" w:color="auto"/>
              <w:left w:val="single" w:sz="4" w:space="0" w:color="auto"/>
              <w:right w:val="single" w:sz="4" w:space="0" w:color="auto"/>
            </w:tcBorders>
          </w:tcPr>
          <w:p w:rsidR="003B67F9" w:rsidRPr="008D4BBC" w:rsidRDefault="003B67F9" w:rsidP="00721203">
            <w:pPr>
              <w:widowControl w:val="0"/>
              <w:spacing w:line="276" w:lineRule="auto"/>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Методика вимірювання (обчислення)</w:t>
            </w:r>
          </w:p>
        </w:tc>
        <w:tc>
          <w:tcPr>
            <w:tcW w:w="851" w:type="dxa"/>
            <w:tcBorders>
              <w:top w:val="single" w:sz="4" w:space="0" w:color="auto"/>
              <w:left w:val="single" w:sz="4" w:space="0" w:color="auto"/>
              <w:right w:val="single" w:sz="4" w:space="0" w:color="auto"/>
            </w:tcBorders>
            <w:textDirection w:val="btLr"/>
          </w:tcPr>
          <w:p w:rsidR="003B67F9" w:rsidRPr="008D4BBC" w:rsidRDefault="003B67F9" w:rsidP="009B6FBE">
            <w:pPr>
              <w:widowControl w:val="0"/>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Норматив (контрольний показник)</w:t>
            </w:r>
          </w:p>
        </w:tc>
        <w:tc>
          <w:tcPr>
            <w:tcW w:w="709" w:type="dxa"/>
            <w:tcBorders>
              <w:top w:val="single" w:sz="4" w:space="0" w:color="auto"/>
              <w:left w:val="single" w:sz="4" w:space="0" w:color="auto"/>
              <w:right w:val="single" w:sz="4" w:space="0" w:color="auto"/>
            </w:tcBorders>
            <w:textDirection w:val="btLr"/>
          </w:tcPr>
          <w:p w:rsidR="003B67F9" w:rsidRPr="008D4BBC" w:rsidRDefault="003B67F9" w:rsidP="009B6FBE">
            <w:pPr>
              <w:widowControl w:val="0"/>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 xml:space="preserve">Оцінка нормативу </w:t>
            </w:r>
          </w:p>
          <w:p w:rsidR="003B67F9" w:rsidRPr="008D4BBC" w:rsidRDefault="003B67F9" w:rsidP="009B6FBE">
            <w:pPr>
              <w:widowControl w:val="0"/>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 бал)</w:t>
            </w:r>
          </w:p>
        </w:tc>
        <w:tc>
          <w:tcPr>
            <w:tcW w:w="806" w:type="dxa"/>
            <w:tcBorders>
              <w:top w:val="single" w:sz="4" w:space="0" w:color="auto"/>
              <w:left w:val="single" w:sz="4" w:space="0" w:color="auto"/>
              <w:right w:val="single" w:sz="4" w:space="0" w:color="auto"/>
            </w:tcBorders>
            <w:textDirection w:val="btLr"/>
          </w:tcPr>
          <w:p w:rsidR="003B67F9" w:rsidRPr="008D4BBC" w:rsidRDefault="003B67F9" w:rsidP="009B6FBE">
            <w:pPr>
              <w:widowControl w:val="0"/>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Оцінка відхилення  в балах</w:t>
            </w:r>
          </w:p>
          <w:p w:rsidR="003B67F9" w:rsidRPr="008D4BBC" w:rsidRDefault="003B67F9" w:rsidP="009B6FBE">
            <w:pPr>
              <w:widowControl w:val="0"/>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 xml:space="preserve"> на 1 одиницю виміру</w:t>
            </w:r>
          </w:p>
        </w:tc>
        <w:tc>
          <w:tcPr>
            <w:tcW w:w="506" w:type="dxa"/>
            <w:tcBorders>
              <w:top w:val="single" w:sz="4" w:space="0" w:color="auto"/>
              <w:left w:val="single" w:sz="4" w:space="0" w:color="auto"/>
              <w:right w:val="single" w:sz="4" w:space="0" w:color="auto"/>
            </w:tcBorders>
            <w:textDirection w:val="btLr"/>
          </w:tcPr>
          <w:p w:rsidR="003B67F9" w:rsidRPr="008D4BBC" w:rsidRDefault="003B67F9" w:rsidP="009B6FBE">
            <w:pPr>
              <w:widowControl w:val="0"/>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Знак</w:t>
            </w:r>
          </w:p>
        </w:tc>
        <w:tc>
          <w:tcPr>
            <w:tcW w:w="567" w:type="dxa"/>
            <w:tcBorders>
              <w:top w:val="single" w:sz="4" w:space="0" w:color="auto"/>
              <w:left w:val="single" w:sz="4" w:space="0" w:color="auto"/>
              <w:right w:val="single" w:sz="4" w:space="0" w:color="auto"/>
            </w:tcBorders>
            <w:textDirection w:val="btLr"/>
          </w:tcPr>
          <w:p w:rsidR="003B67F9" w:rsidRPr="008D4BBC" w:rsidRDefault="003B67F9" w:rsidP="009B6FBE">
            <w:pPr>
              <w:widowControl w:val="0"/>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 xml:space="preserve">Фактичний показник </w:t>
            </w:r>
          </w:p>
        </w:tc>
        <w:tc>
          <w:tcPr>
            <w:tcW w:w="656" w:type="dxa"/>
            <w:tcBorders>
              <w:top w:val="single" w:sz="4" w:space="0" w:color="auto"/>
              <w:left w:val="single" w:sz="4" w:space="0" w:color="auto"/>
              <w:right w:val="single" w:sz="4" w:space="0" w:color="auto"/>
            </w:tcBorders>
            <w:textDirection w:val="btLr"/>
          </w:tcPr>
          <w:p w:rsidR="003B67F9" w:rsidRPr="008D4BBC" w:rsidRDefault="003B67F9" w:rsidP="009B6FBE">
            <w:pPr>
              <w:widowControl w:val="0"/>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Бальна оцінка фактичного показника</w:t>
            </w:r>
          </w:p>
        </w:tc>
        <w:tc>
          <w:tcPr>
            <w:tcW w:w="441" w:type="dxa"/>
            <w:tcBorders>
              <w:top w:val="single" w:sz="4" w:space="0" w:color="auto"/>
              <w:left w:val="single" w:sz="4" w:space="0" w:color="auto"/>
              <w:right w:val="single" w:sz="4" w:space="0" w:color="auto"/>
            </w:tcBorders>
            <w:textDirection w:val="btLr"/>
          </w:tcPr>
          <w:p w:rsidR="003B67F9" w:rsidRPr="008D4BBC" w:rsidRDefault="003B67F9" w:rsidP="009B6FBE">
            <w:pPr>
              <w:widowControl w:val="0"/>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 xml:space="preserve">КДНЗ </w:t>
            </w:r>
          </w:p>
        </w:tc>
      </w:tr>
      <w:tr w:rsidR="003B67F9" w:rsidRPr="008D4BBC" w:rsidTr="00ED7A85">
        <w:trPr>
          <w:trHeight w:val="81"/>
          <w:jc w:val="center"/>
        </w:trPr>
        <w:tc>
          <w:tcPr>
            <w:tcW w:w="2478" w:type="dxa"/>
            <w:tcBorders>
              <w:top w:val="single" w:sz="4" w:space="0" w:color="auto"/>
              <w:left w:val="single" w:sz="4" w:space="0" w:color="auto"/>
              <w:bottom w:val="single" w:sz="4" w:space="0" w:color="auto"/>
              <w:right w:val="single" w:sz="4" w:space="0" w:color="auto"/>
            </w:tcBorders>
          </w:tcPr>
          <w:p w:rsidR="003B67F9" w:rsidRPr="008D4BBC" w:rsidRDefault="003B67F9" w:rsidP="00721203">
            <w:pPr>
              <w:widowControl w:val="0"/>
              <w:spacing w:line="276" w:lineRule="auto"/>
              <w:rPr>
                <w:rFonts w:ascii="Times New Roman" w:hAnsi="Times New Roman"/>
                <w:color w:val="000000"/>
                <w:sz w:val="24"/>
                <w:szCs w:val="24"/>
                <w:lang w:val="uk-UA"/>
              </w:rPr>
            </w:pPr>
            <w:r w:rsidRPr="008D4BBC">
              <w:rPr>
                <w:rFonts w:ascii="Times New Roman" w:hAnsi="Times New Roman"/>
                <w:color w:val="000000"/>
                <w:sz w:val="24"/>
                <w:szCs w:val="24"/>
                <w:lang w:val="uk-UA"/>
              </w:rPr>
              <w:t>Укомплектованість лікарями акушер-гінекологами</w:t>
            </w:r>
          </w:p>
        </w:tc>
        <w:tc>
          <w:tcPr>
            <w:tcW w:w="3245" w:type="dxa"/>
            <w:tcBorders>
              <w:top w:val="single" w:sz="4" w:space="0" w:color="auto"/>
              <w:left w:val="single" w:sz="4" w:space="0" w:color="auto"/>
              <w:bottom w:val="single" w:sz="4" w:space="0" w:color="auto"/>
              <w:right w:val="single" w:sz="4" w:space="0" w:color="auto"/>
            </w:tcBorders>
          </w:tcPr>
          <w:p w:rsidR="003B67F9" w:rsidRPr="008D4BBC" w:rsidRDefault="003B67F9" w:rsidP="00721203">
            <w:pPr>
              <w:widowControl w:val="0"/>
              <w:spacing w:line="276" w:lineRule="auto"/>
              <w:rPr>
                <w:rFonts w:ascii="Times New Roman" w:hAnsi="Times New Roman"/>
                <w:color w:val="000000"/>
                <w:sz w:val="24"/>
                <w:szCs w:val="24"/>
                <w:lang w:val="uk-UA"/>
              </w:rPr>
            </w:pPr>
            <w:r w:rsidRPr="008D4BBC">
              <w:rPr>
                <w:rFonts w:ascii="Times New Roman" w:hAnsi="Times New Roman"/>
                <w:color w:val="000000"/>
                <w:sz w:val="24"/>
                <w:szCs w:val="24"/>
                <w:lang w:val="uk-UA"/>
              </w:rPr>
              <w:t xml:space="preserve">Кількість фізичних осіб лікарів акушер-гінекологів </w:t>
            </w:r>
            <w:r w:rsidRPr="008D4BBC">
              <w:rPr>
                <w:rFonts w:ascii="Times New Roman" w:hAnsi="Times New Roman"/>
                <w:sz w:val="24"/>
                <w:szCs w:val="24"/>
                <w:lang w:val="uk-UA"/>
              </w:rPr>
              <w:t>×</w:t>
            </w:r>
            <w:r w:rsidRPr="008D4BBC">
              <w:rPr>
                <w:rFonts w:ascii="Times New Roman" w:hAnsi="Times New Roman"/>
                <w:color w:val="000000"/>
                <w:sz w:val="24"/>
                <w:szCs w:val="24"/>
                <w:lang w:val="uk-UA"/>
              </w:rPr>
              <w:t xml:space="preserve"> 100/ кількість штатних посад лікарів акушер-гінекологів</w:t>
            </w:r>
          </w:p>
        </w:tc>
        <w:tc>
          <w:tcPr>
            <w:tcW w:w="851" w:type="dxa"/>
            <w:tcBorders>
              <w:top w:val="single" w:sz="4" w:space="0" w:color="auto"/>
              <w:left w:val="single" w:sz="4" w:space="0" w:color="auto"/>
              <w:bottom w:val="single" w:sz="4" w:space="0" w:color="auto"/>
              <w:right w:val="single" w:sz="4" w:space="0" w:color="auto"/>
            </w:tcBorders>
          </w:tcPr>
          <w:p w:rsidR="003B67F9" w:rsidRPr="008D4BBC" w:rsidRDefault="003B67F9" w:rsidP="00721203">
            <w:pPr>
              <w:widowControl w:val="0"/>
              <w:spacing w:line="276" w:lineRule="auto"/>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95</w:t>
            </w:r>
          </w:p>
        </w:tc>
        <w:tc>
          <w:tcPr>
            <w:tcW w:w="709" w:type="dxa"/>
            <w:tcBorders>
              <w:top w:val="single" w:sz="4" w:space="0" w:color="auto"/>
              <w:left w:val="single" w:sz="4" w:space="0" w:color="auto"/>
              <w:bottom w:val="single" w:sz="4" w:space="0" w:color="auto"/>
              <w:right w:val="single" w:sz="4" w:space="0" w:color="auto"/>
            </w:tcBorders>
          </w:tcPr>
          <w:p w:rsidR="003B67F9" w:rsidRPr="008D4BBC" w:rsidRDefault="003B67F9" w:rsidP="00721203">
            <w:pPr>
              <w:widowControl w:val="0"/>
              <w:spacing w:line="276" w:lineRule="auto"/>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7</w:t>
            </w:r>
          </w:p>
        </w:tc>
        <w:tc>
          <w:tcPr>
            <w:tcW w:w="806" w:type="dxa"/>
            <w:tcBorders>
              <w:top w:val="single" w:sz="4" w:space="0" w:color="auto"/>
              <w:left w:val="single" w:sz="4" w:space="0" w:color="auto"/>
              <w:bottom w:val="single" w:sz="4" w:space="0" w:color="auto"/>
              <w:right w:val="single" w:sz="4" w:space="0" w:color="auto"/>
            </w:tcBorders>
          </w:tcPr>
          <w:p w:rsidR="003B67F9" w:rsidRPr="008D4BBC" w:rsidRDefault="003B67F9" w:rsidP="00721203">
            <w:pPr>
              <w:widowControl w:val="0"/>
              <w:spacing w:line="276" w:lineRule="auto"/>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0,07</w:t>
            </w:r>
          </w:p>
        </w:tc>
        <w:tc>
          <w:tcPr>
            <w:tcW w:w="506" w:type="dxa"/>
            <w:tcBorders>
              <w:top w:val="single" w:sz="4" w:space="0" w:color="auto"/>
              <w:left w:val="single" w:sz="4" w:space="0" w:color="auto"/>
              <w:bottom w:val="single" w:sz="4" w:space="0" w:color="auto"/>
              <w:right w:val="single" w:sz="4" w:space="0" w:color="auto"/>
            </w:tcBorders>
          </w:tcPr>
          <w:p w:rsidR="003B67F9" w:rsidRPr="008D4BBC" w:rsidRDefault="003B67F9" w:rsidP="00721203">
            <w:pPr>
              <w:widowControl w:val="0"/>
              <w:spacing w:line="276" w:lineRule="auto"/>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w:t>
            </w:r>
          </w:p>
        </w:tc>
        <w:tc>
          <w:tcPr>
            <w:tcW w:w="567" w:type="dxa"/>
            <w:tcBorders>
              <w:top w:val="single" w:sz="4" w:space="0" w:color="auto"/>
              <w:left w:val="single" w:sz="4" w:space="0" w:color="auto"/>
              <w:bottom w:val="single" w:sz="4" w:space="0" w:color="auto"/>
              <w:right w:val="single" w:sz="4" w:space="0" w:color="auto"/>
            </w:tcBorders>
          </w:tcPr>
          <w:p w:rsidR="003B67F9" w:rsidRPr="008D4BBC" w:rsidRDefault="003B67F9" w:rsidP="00721203">
            <w:pPr>
              <w:widowControl w:val="0"/>
              <w:spacing w:line="276" w:lineRule="auto"/>
              <w:jc w:val="center"/>
              <w:rPr>
                <w:rFonts w:ascii="Times New Roman" w:hAnsi="Times New Roman"/>
                <w:color w:val="000000"/>
                <w:sz w:val="24"/>
                <w:szCs w:val="24"/>
                <w:lang w:val="uk-UA"/>
              </w:rPr>
            </w:pPr>
          </w:p>
        </w:tc>
        <w:tc>
          <w:tcPr>
            <w:tcW w:w="656" w:type="dxa"/>
            <w:tcBorders>
              <w:top w:val="single" w:sz="4" w:space="0" w:color="auto"/>
              <w:left w:val="single" w:sz="4" w:space="0" w:color="auto"/>
              <w:bottom w:val="single" w:sz="4" w:space="0" w:color="auto"/>
              <w:right w:val="single" w:sz="4" w:space="0" w:color="auto"/>
            </w:tcBorders>
          </w:tcPr>
          <w:p w:rsidR="003B67F9" w:rsidRPr="008D4BBC" w:rsidRDefault="003B67F9" w:rsidP="00721203">
            <w:pPr>
              <w:widowControl w:val="0"/>
              <w:spacing w:line="276" w:lineRule="auto"/>
              <w:jc w:val="right"/>
              <w:rPr>
                <w:rFonts w:ascii="Times New Roman" w:hAnsi="Times New Roman"/>
                <w:color w:val="000000"/>
                <w:sz w:val="24"/>
                <w:szCs w:val="24"/>
                <w:lang w:val="uk-UA"/>
              </w:rPr>
            </w:pPr>
          </w:p>
        </w:tc>
        <w:tc>
          <w:tcPr>
            <w:tcW w:w="441" w:type="dxa"/>
            <w:tcBorders>
              <w:top w:val="single" w:sz="4" w:space="0" w:color="auto"/>
              <w:left w:val="single" w:sz="4" w:space="0" w:color="auto"/>
              <w:bottom w:val="single" w:sz="4" w:space="0" w:color="auto"/>
              <w:right w:val="single" w:sz="4" w:space="0" w:color="auto"/>
            </w:tcBorders>
          </w:tcPr>
          <w:p w:rsidR="003B67F9" w:rsidRPr="008D4BBC" w:rsidRDefault="003B67F9" w:rsidP="00721203">
            <w:pPr>
              <w:widowControl w:val="0"/>
              <w:spacing w:line="276" w:lineRule="auto"/>
              <w:jc w:val="right"/>
              <w:rPr>
                <w:rFonts w:ascii="Times New Roman" w:hAnsi="Times New Roman"/>
                <w:color w:val="000000"/>
                <w:sz w:val="24"/>
                <w:szCs w:val="24"/>
                <w:lang w:val="uk-UA"/>
              </w:rPr>
            </w:pPr>
          </w:p>
        </w:tc>
      </w:tr>
      <w:tr w:rsidR="003B67F9" w:rsidRPr="008D4BBC" w:rsidTr="00ED7A85">
        <w:trPr>
          <w:trHeight w:val="81"/>
          <w:jc w:val="center"/>
        </w:trPr>
        <w:tc>
          <w:tcPr>
            <w:tcW w:w="2478" w:type="dxa"/>
            <w:tcBorders>
              <w:top w:val="single" w:sz="4" w:space="0" w:color="auto"/>
              <w:left w:val="single" w:sz="4" w:space="0" w:color="auto"/>
              <w:bottom w:val="single" w:sz="4" w:space="0" w:color="auto"/>
              <w:right w:val="single" w:sz="4" w:space="0" w:color="auto"/>
            </w:tcBorders>
          </w:tcPr>
          <w:p w:rsidR="003B67F9" w:rsidRPr="008D4BBC" w:rsidRDefault="003B67F9" w:rsidP="00721203">
            <w:pPr>
              <w:widowControl w:val="0"/>
              <w:spacing w:line="276" w:lineRule="auto"/>
              <w:rPr>
                <w:rFonts w:ascii="Times New Roman" w:hAnsi="Times New Roman"/>
                <w:color w:val="000000"/>
                <w:sz w:val="24"/>
                <w:szCs w:val="24"/>
                <w:lang w:val="uk-UA"/>
              </w:rPr>
            </w:pPr>
            <w:r w:rsidRPr="008D4BBC">
              <w:rPr>
                <w:rFonts w:ascii="Times New Roman" w:hAnsi="Times New Roman"/>
                <w:color w:val="000000"/>
                <w:sz w:val="24"/>
                <w:szCs w:val="24"/>
                <w:lang w:val="uk-UA"/>
              </w:rPr>
              <w:t>Укомплектованість лікарями педіатрами- неонатологами</w:t>
            </w:r>
          </w:p>
        </w:tc>
        <w:tc>
          <w:tcPr>
            <w:tcW w:w="3245" w:type="dxa"/>
            <w:tcBorders>
              <w:top w:val="single" w:sz="4" w:space="0" w:color="auto"/>
              <w:left w:val="single" w:sz="4" w:space="0" w:color="auto"/>
              <w:bottom w:val="single" w:sz="4" w:space="0" w:color="auto"/>
              <w:right w:val="single" w:sz="4" w:space="0" w:color="auto"/>
            </w:tcBorders>
          </w:tcPr>
          <w:p w:rsidR="003B67F9" w:rsidRPr="008D4BBC" w:rsidRDefault="003B67F9" w:rsidP="00721203">
            <w:pPr>
              <w:widowControl w:val="0"/>
              <w:spacing w:line="276" w:lineRule="auto"/>
              <w:rPr>
                <w:rFonts w:ascii="Times New Roman" w:hAnsi="Times New Roman"/>
                <w:color w:val="000000"/>
                <w:sz w:val="24"/>
                <w:szCs w:val="24"/>
                <w:lang w:val="uk-UA"/>
              </w:rPr>
            </w:pPr>
            <w:r w:rsidRPr="008D4BBC">
              <w:rPr>
                <w:rFonts w:ascii="Times New Roman" w:hAnsi="Times New Roman"/>
                <w:color w:val="000000"/>
                <w:sz w:val="24"/>
                <w:szCs w:val="24"/>
                <w:lang w:val="uk-UA"/>
              </w:rPr>
              <w:t xml:space="preserve">Кількість фізичних осіб лікарів педіатрів-неонатологів </w:t>
            </w:r>
            <w:r w:rsidRPr="008D4BBC">
              <w:rPr>
                <w:rFonts w:ascii="Times New Roman" w:hAnsi="Times New Roman"/>
                <w:sz w:val="24"/>
                <w:szCs w:val="24"/>
                <w:lang w:val="uk-UA"/>
              </w:rPr>
              <w:t>×</w:t>
            </w:r>
            <w:r w:rsidR="00F17D67" w:rsidRPr="00F17D67">
              <w:rPr>
                <w:rFonts w:ascii="Times New Roman" w:hAnsi="Times New Roman"/>
                <w:sz w:val="24"/>
                <w:szCs w:val="24"/>
                <w:lang w:val="uk-UA"/>
              </w:rPr>
              <w:t xml:space="preserve"> </w:t>
            </w:r>
            <w:r w:rsidRPr="008D4BBC">
              <w:rPr>
                <w:rFonts w:ascii="Times New Roman" w:hAnsi="Times New Roman"/>
                <w:color w:val="000000"/>
                <w:sz w:val="24"/>
                <w:szCs w:val="24"/>
                <w:lang w:val="uk-UA"/>
              </w:rPr>
              <w:t>100</w:t>
            </w:r>
            <w:r w:rsidR="00F17D67" w:rsidRPr="00F17D67">
              <w:rPr>
                <w:rFonts w:ascii="Times New Roman" w:hAnsi="Times New Roman"/>
                <w:color w:val="000000"/>
                <w:sz w:val="24"/>
                <w:szCs w:val="24"/>
                <w:lang w:val="uk-UA"/>
              </w:rPr>
              <w:t xml:space="preserve"> </w:t>
            </w:r>
            <w:r w:rsidRPr="008D4BBC">
              <w:rPr>
                <w:rFonts w:ascii="Times New Roman" w:hAnsi="Times New Roman"/>
                <w:color w:val="000000"/>
                <w:sz w:val="24"/>
                <w:szCs w:val="24"/>
                <w:lang w:val="uk-UA"/>
              </w:rPr>
              <w:t>/ кількість штатних посад лікарів педіатрів-неонатологів</w:t>
            </w:r>
          </w:p>
        </w:tc>
        <w:tc>
          <w:tcPr>
            <w:tcW w:w="851" w:type="dxa"/>
            <w:tcBorders>
              <w:top w:val="single" w:sz="4" w:space="0" w:color="auto"/>
              <w:left w:val="single" w:sz="4" w:space="0" w:color="auto"/>
              <w:bottom w:val="single" w:sz="4" w:space="0" w:color="auto"/>
              <w:right w:val="single" w:sz="4" w:space="0" w:color="auto"/>
            </w:tcBorders>
          </w:tcPr>
          <w:p w:rsidR="003B67F9" w:rsidRPr="008D4BBC" w:rsidRDefault="003B67F9" w:rsidP="00721203">
            <w:pPr>
              <w:widowControl w:val="0"/>
              <w:spacing w:line="276" w:lineRule="auto"/>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95</w:t>
            </w:r>
          </w:p>
        </w:tc>
        <w:tc>
          <w:tcPr>
            <w:tcW w:w="709" w:type="dxa"/>
            <w:tcBorders>
              <w:top w:val="single" w:sz="4" w:space="0" w:color="auto"/>
              <w:left w:val="single" w:sz="4" w:space="0" w:color="auto"/>
              <w:bottom w:val="single" w:sz="4" w:space="0" w:color="auto"/>
              <w:right w:val="single" w:sz="4" w:space="0" w:color="auto"/>
            </w:tcBorders>
          </w:tcPr>
          <w:p w:rsidR="003B67F9" w:rsidRPr="008D4BBC" w:rsidRDefault="003B67F9" w:rsidP="00721203">
            <w:pPr>
              <w:widowControl w:val="0"/>
              <w:spacing w:line="276" w:lineRule="auto"/>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7</w:t>
            </w:r>
          </w:p>
        </w:tc>
        <w:tc>
          <w:tcPr>
            <w:tcW w:w="806" w:type="dxa"/>
            <w:tcBorders>
              <w:top w:val="single" w:sz="4" w:space="0" w:color="auto"/>
              <w:left w:val="single" w:sz="4" w:space="0" w:color="auto"/>
              <w:bottom w:val="single" w:sz="4" w:space="0" w:color="auto"/>
              <w:right w:val="single" w:sz="4" w:space="0" w:color="auto"/>
            </w:tcBorders>
          </w:tcPr>
          <w:p w:rsidR="003B67F9" w:rsidRPr="008D4BBC" w:rsidRDefault="003B67F9" w:rsidP="00721203">
            <w:pPr>
              <w:widowControl w:val="0"/>
              <w:spacing w:line="276" w:lineRule="auto"/>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0,07</w:t>
            </w:r>
          </w:p>
        </w:tc>
        <w:tc>
          <w:tcPr>
            <w:tcW w:w="506" w:type="dxa"/>
            <w:tcBorders>
              <w:top w:val="single" w:sz="4" w:space="0" w:color="auto"/>
              <w:left w:val="single" w:sz="4" w:space="0" w:color="auto"/>
              <w:bottom w:val="single" w:sz="4" w:space="0" w:color="auto"/>
              <w:right w:val="single" w:sz="4" w:space="0" w:color="auto"/>
            </w:tcBorders>
          </w:tcPr>
          <w:p w:rsidR="003B67F9" w:rsidRPr="008D4BBC" w:rsidRDefault="003B67F9" w:rsidP="00721203">
            <w:pPr>
              <w:widowControl w:val="0"/>
              <w:spacing w:line="276" w:lineRule="auto"/>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w:t>
            </w:r>
          </w:p>
        </w:tc>
        <w:tc>
          <w:tcPr>
            <w:tcW w:w="567" w:type="dxa"/>
            <w:tcBorders>
              <w:top w:val="single" w:sz="4" w:space="0" w:color="auto"/>
              <w:left w:val="single" w:sz="4" w:space="0" w:color="auto"/>
              <w:bottom w:val="single" w:sz="4" w:space="0" w:color="auto"/>
              <w:right w:val="single" w:sz="4" w:space="0" w:color="auto"/>
            </w:tcBorders>
          </w:tcPr>
          <w:p w:rsidR="003B67F9" w:rsidRPr="008D4BBC" w:rsidRDefault="003B67F9" w:rsidP="00721203">
            <w:pPr>
              <w:widowControl w:val="0"/>
              <w:spacing w:line="276" w:lineRule="auto"/>
              <w:jc w:val="center"/>
              <w:rPr>
                <w:rFonts w:ascii="Times New Roman" w:hAnsi="Times New Roman"/>
                <w:color w:val="000000"/>
                <w:sz w:val="24"/>
                <w:szCs w:val="24"/>
                <w:lang w:val="uk-UA"/>
              </w:rPr>
            </w:pPr>
          </w:p>
        </w:tc>
        <w:tc>
          <w:tcPr>
            <w:tcW w:w="656" w:type="dxa"/>
            <w:tcBorders>
              <w:top w:val="single" w:sz="4" w:space="0" w:color="auto"/>
              <w:left w:val="single" w:sz="4" w:space="0" w:color="auto"/>
              <w:bottom w:val="single" w:sz="4" w:space="0" w:color="auto"/>
              <w:right w:val="single" w:sz="4" w:space="0" w:color="auto"/>
            </w:tcBorders>
          </w:tcPr>
          <w:p w:rsidR="003B67F9" w:rsidRPr="008D4BBC" w:rsidRDefault="003B67F9" w:rsidP="00721203">
            <w:pPr>
              <w:widowControl w:val="0"/>
              <w:spacing w:line="276" w:lineRule="auto"/>
              <w:jc w:val="right"/>
              <w:rPr>
                <w:rFonts w:ascii="Times New Roman" w:hAnsi="Times New Roman"/>
                <w:color w:val="000000"/>
                <w:sz w:val="24"/>
                <w:szCs w:val="24"/>
                <w:lang w:val="uk-UA"/>
              </w:rPr>
            </w:pPr>
          </w:p>
        </w:tc>
        <w:tc>
          <w:tcPr>
            <w:tcW w:w="441" w:type="dxa"/>
            <w:tcBorders>
              <w:top w:val="single" w:sz="4" w:space="0" w:color="auto"/>
              <w:left w:val="single" w:sz="4" w:space="0" w:color="auto"/>
              <w:bottom w:val="single" w:sz="4" w:space="0" w:color="auto"/>
              <w:right w:val="single" w:sz="4" w:space="0" w:color="auto"/>
            </w:tcBorders>
          </w:tcPr>
          <w:p w:rsidR="003B67F9" w:rsidRPr="008D4BBC" w:rsidRDefault="003B67F9" w:rsidP="00721203">
            <w:pPr>
              <w:widowControl w:val="0"/>
              <w:spacing w:line="276" w:lineRule="auto"/>
              <w:jc w:val="right"/>
              <w:rPr>
                <w:rFonts w:ascii="Times New Roman" w:hAnsi="Times New Roman"/>
                <w:color w:val="000000"/>
                <w:sz w:val="24"/>
                <w:szCs w:val="24"/>
                <w:lang w:val="uk-UA"/>
              </w:rPr>
            </w:pPr>
          </w:p>
        </w:tc>
      </w:tr>
      <w:tr w:rsidR="003B67F9" w:rsidRPr="008D4BBC" w:rsidTr="00ED7A85">
        <w:trPr>
          <w:trHeight w:val="81"/>
          <w:jc w:val="center"/>
        </w:trPr>
        <w:tc>
          <w:tcPr>
            <w:tcW w:w="2478" w:type="dxa"/>
            <w:tcBorders>
              <w:top w:val="single" w:sz="4" w:space="0" w:color="auto"/>
              <w:left w:val="single" w:sz="4" w:space="0" w:color="auto"/>
              <w:bottom w:val="single" w:sz="4" w:space="0" w:color="auto"/>
              <w:right w:val="single" w:sz="4" w:space="0" w:color="auto"/>
            </w:tcBorders>
          </w:tcPr>
          <w:p w:rsidR="003B67F9" w:rsidRPr="008D4BBC" w:rsidRDefault="003B67F9" w:rsidP="00721203">
            <w:pPr>
              <w:widowControl w:val="0"/>
              <w:autoSpaceDE w:val="0"/>
              <w:autoSpaceDN w:val="0"/>
              <w:adjustRightInd w:val="0"/>
              <w:spacing w:line="276" w:lineRule="auto"/>
              <w:rPr>
                <w:rFonts w:ascii="Times New Roman" w:hAnsi="Times New Roman"/>
                <w:sz w:val="24"/>
                <w:szCs w:val="24"/>
                <w:lang w:val="uk-UA"/>
              </w:rPr>
            </w:pPr>
            <w:r w:rsidRPr="008D4BBC">
              <w:rPr>
                <w:rFonts w:ascii="Times New Roman" w:hAnsi="Times New Roman"/>
                <w:sz w:val="24"/>
                <w:szCs w:val="24"/>
                <w:lang w:val="uk-UA"/>
              </w:rPr>
              <w:t>Участь лікарів у наукових конференціях, пленумах асоціацій, наявність друкованих праць</w:t>
            </w:r>
          </w:p>
        </w:tc>
        <w:tc>
          <w:tcPr>
            <w:tcW w:w="3245" w:type="dxa"/>
            <w:tcBorders>
              <w:top w:val="single" w:sz="4" w:space="0" w:color="auto"/>
              <w:left w:val="single" w:sz="4" w:space="0" w:color="auto"/>
              <w:bottom w:val="single" w:sz="4" w:space="0" w:color="auto"/>
              <w:right w:val="single" w:sz="4" w:space="0" w:color="auto"/>
            </w:tcBorders>
          </w:tcPr>
          <w:p w:rsidR="003B67F9" w:rsidRPr="009B6FBE" w:rsidRDefault="003B67F9" w:rsidP="009B6FBE">
            <w:pPr>
              <w:widowControl w:val="0"/>
              <w:autoSpaceDE w:val="0"/>
              <w:autoSpaceDN w:val="0"/>
              <w:adjustRightInd w:val="0"/>
              <w:spacing w:line="276" w:lineRule="auto"/>
              <w:rPr>
                <w:rFonts w:ascii="Times New Roman" w:hAnsi="Times New Roman"/>
                <w:sz w:val="24"/>
                <w:szCs w:val="24"/>
                <w:lang w:val="uk-UA"/>
              </w:rPr>
            </w:pPr>
            <w:r w:rsidRPr="008D4BBC">
              <w:rPr>
                <w:rFonts w:ascii="Times New Roman" w:hAnsi="Times New Roman"/>
                <w:sz w:val="24"/>
                <w:szCs w:val="24"/>
                <w:lang w:val="uk-UA"/>
              </w:rPr>
              <w:t>Кількість лікарів, які протягом приймали участь в конференціях, пленумах асоціацій, або мали друковані праці ×</w:t>
            </w:r>
            <w:r w:rsidR="00F17D67" w:rsidRPr="00F17D67">
              <w:rPr>
                <w:rFonts w:ascii="Times New Roman" w:hAnsi="Times New Roman"/>
                <w:sz w:val="24"/>
                <w:szCs w:val="24"/>
                <w:lang w:val="uk-UA"/>
              </w:rPr>
              <w:t xml:space="preserve"> </w:t>
            </w:r>
            <w:r w:rsidRPr="008D4BBC">
              <w:rPr>
                <w:rFonts w:ascii="Times New Roman" w:hAnsi="Times New Roman"/>
                <w:sz w:val="24"/>
                <w:szCs w:val="24"/>
                <w:lang w:val="uk-UA"/>
              </w:rPr>
              <w:t>100/</w:t>
            </w:r>
            <w:r w:rsidR="004E2747">
              <w:rPr>
                <w:rFonts w:ascii="Times New Roman" w:hAnsi="Times New Roman"/>
                <w:sz w:val="24"/>
                <w:szCs w:val="24"/>
                <w:lang w:val="uk-UA"/>
              </w:rPr>
              <w:t xml:space="preserve"> </w:t>
            </w:r>
            <w:r w:rsidRPr="008D4BBC">
              <w:rPr>
                <w:rFonts w:ascii="Times New Roman" w:hAnsi="Times New Roman"/>
                <w:sz w:val="24"/>
                <w:szCs w:val="24"/>
                <w:lang w:val="uk-UA"/>
              </w:rPr>
              <w:t>загальна кількість лікарів</w:t>
            </w:r>
          </w:p>
        </w:tc>
        <w:tc>
          <w:tcPr>
            <w:tcW w:w="851" w:type="dxa"/>
            <w:tcBorders>
              <w:top w:val="single" w:sz="4" w:space="0" w:color="auto"/>
              <w:left w:val="single" w:sz="4" w:space="0" w:color="auto"/>
              <w:bottom w:val="single" w:sz="4" w:space="0" w:color="auto"/>
              <w:right w:val="single" w:sz="4" w:space="0" w:color="auto"/>
            </w:tcBorders>
          </w:tcPr>
          <w:p w:rsidR="003B67F9" w:rsidRPr="008D4BBC" w:rsidRDefault="003B67F9" w:rsidP="00721203">
            <w:pPr>
              <w:widowControl w:val="0"/>
              <w:spacing w:line="276" w:lineRule="auto"/>
              <w:jc w:val="center"/>
              <w:rPr>
                <w:rFonts w:ascii="Times New Roman" w:hAnsi="Times New Roman"/>
                <w:sz w:val="24"/>
                <w:szCs w:val="24"/>
                <w:lang w:val="uk-UA"/>
              </w:rPr>
            </w:pPr>
            <w:r w:rsidRPr="008D4BBC">
              <w:rPr>
                <w:rFonts w:ascii="Times New Roman" w:hAnsi="Times New Roman"/>
                <w:sz w:val="24"/>
                <w:szCs w:val="24"/>
                <w:lang w:val="uk-UA"/>
              </w:rPr>
              <w:t>10,0</w:t>
            </w:r>
          </w:p>
        </w:tc>
        <w:tc>
          <w:tcPr>
            <w:tcW w:w="709" w:type="dxa"/>
            <w:tcBorders>
              <w:top w:val="single" w:sz="4" w:space="0" w:color="auto"/>
              <w:left w:val="single" w:sz="4" w:space="0" w:color="auto"/>
              <w:bottom w:val="single" w:sz="4" w:space="0" w:color="auto"/>
              <w:right w:val="single" w:sz="4" w:space="0" w:color="auto"/>
            </w:tcBorders>
          </w:tcPr>
          <w:p w:rsidR="003B67F9" w:rsidRPr="008D4BBC" w:rsidRDefault="003B67F9" w:rsidP="00721203">
            <w:pPr>
              <w:widowControl w:val="0"/>
              <w:spacing w:line="276" w:lineRule="auto"/>
              <w:jc w:val="center"/>
              <w:rPr>
                <w:rFonts w:ascii="Times New Roman" w:hAnsi="Times New Roman"/>
                <w:sz w:val="24"/>
                <w:szCs w:val="24"/>
                <w:lang w:val="uk-UA"/>
              </w:rPr>
            </w:pPr>
            <w:r w:rsidRPr="008D4BBC">
              <w:rPr>
                <w:rFonts w:ascii="Times New Roman" w:hAnsi="Times New Roman"/>
                <w:sz w:val="24"/>
                <w:szCs w:val="24"/>
                <w:lang w:val="uk-UA"/>
              </w:rPr>
              <w:t>7</w:t>
            </w:r>
          </w:p>
        </w:tc>
        <w:tc>
          <w:tcPr>
            <w:tcW w:w="806" w:type="dxa"/>
            <w:tcBorders>
              <w:top w:val="single" w:sz="4" w:space="0" w:color="auto"/>
              <w:left w:val="single" w:sz="4" w:space="0" w:color="auto"/>
              <w:bottom w:val="single" w:sz="4" w:space="0" w:color="auto"/>
              <w:right w:val="single" w:sz="4" w:space="0" w:color="auto"/>
            </w:tcBorders>
          </w:tcPr>
          <w:p w:rsidR="003B67F9" w:rsidRPr="008D4BBC" w:rsidRDefault="003B67F9" w:rsidP="00721203">
            <w:pPr>
              <w:widowControl w:val="0"/>
              <w:spacing w:line="276" w:lineRule="auto"/>
              <w:jc w:val="center"/>
              <w:rPr>
                <w:rFonts w:ascii="Times New Roman" w:hAnsi="Times New Roman"/>
                <w:sz w:val="24"/>
                <w:szCs w:val="24"/>
                <w:lang w:val="uk-UA"/>
              </w:rPr>
            </w:pPr>
            <w:r w:rsidRPr="008D4BBC">
              <w:rPr>
                <w:rFonts w:ascii="Times New Roman" w:hAnsi="Times New Roman"/>
                <w:sz w:val="24"/>
                <w:szCs w:val="24"/>
                <w:lang w:val="uk-UA"/>
              </w:rPr>
              <w:t>0,47</w:t>
            </w:r>
          </w:p>
        </w:tc>
        <w:tc>
          <w:tcPr>
            <w:tcW w:w="506" w:type="dxa"/>
            <w:tcBorders>
              <w:top w:val="single" w:sz="4" w:space="0" w:color="auto"/>
              <w:left w:val="single" w:sz="4" w:space="0" w:color="auto"/>
              <w:bottom w:val="single" w:sz="4" w:space="0" w:color="auto"/>
              <w:right w:val="single" w:sz="4" w:space="0" w:color="auto"/>
            </w:tcBorders>
          </w:tcPr>
          <w:p w:rsidR="003B67F9" w:rsidRPr="008D4BBC" w:rsidRDefault="003B67F9" w:rsidP="00721203">
            <w:pPr>
              <w:widowControl w:val="0"/>
              <w:spacing w:line="276" w:lineRule="auto"/>
              <w:jc w:val="center"/>
              <w:rPr>
                <w:rFonts w:ascii="Times New Roman" w:hAnsi="Times New Roman"/>
                <w:sz w:val="24"/>
                <w:szCs w:val="24"/>
                <w:lang w:val="uk-UA"/>
              </w:rPr>
            </w:pPr>
            <w:r w:rsidRPr="008D4BBC">
              <w:rPr>
                <w:rFonts w:ascii="Times New Roman" w:hAnsi="Times New Roman"/>
                <w:sz w:val="24"/>
                <w:szCs w:val="24"/>
                <w:lang w:val="uk-UA"/>
              </w:rPr>
              <w:t>-</w:t>
            </w:r>
          </w:p>
        </w:tc>
        <w:tc>
          <w:tcPr>
            <w:tcW w:w="567" w:type="dxa"/>
            <w:tcBorders>
              <w:top w:val="single" w:sz="4" w:space="0" w:color="auto"/>
              <w:left w:val="single" w:sz="4" w:space="0" w:color="auto"/>
              <w:bottom w:val="single" w:sz="4" w:space="0" w:color="auto"/>
              <w:right w:val="single" w:sz="4" w:space="0" w:color="auto"/>
            </w:tcBorders>
          </w:tcPr>
          <w:p w:rsidR="003B67F9" w:rsidRPr="008D4BBC" w:rsidRDefault="003B67F9" w:rsidP="00721203">
            <w:pPr>
              <w:widowControl w:val="0"/>
              <w:spacing w:line="276" w:lineRule="auto"/>
              <w:jc w:val="center"/>
              <w:rPr>
                <w:rFonts w:ascii="Times New Roman" w:hAnsi="Times New Roman"/>
                <w:sz w:val="24"/>
                <w:szCs w:val="24"/>
                <w:lang w:val="uk-UA"/>
              </w:rPr>
            </w:pPr>
          </w:p>
        </w:tc>
        <w:tc>
          <w:tcPr>
            <w:tcW w:w="656" w:type="dxa"/>
            <w:tcBorders>
              <w:top w:val="single" w:sz="4" w:space="0" w:color="auto"/>
              <w:left w:val="single" w:sz="4" w:space="0" w:color="auto"/>
              <w:bottom w:val="single" w:sz="4" w:space="0" w:color="auto"/>
              <w:right w:val="single" w:sz="4" w:space="0" w:color="auto"/>
            </w:tcBorders>
          </w:tcPr>
          <w:p w:rsidR="003B67F9" w:rsidRPr="008D4BBC" w:rsidRDefault="003B67F9" w:rsidP="00721203">
            <w:pPr>
              <w:widowControl w:val="0"/>
              <w:spacing w:line="276" w:lineRule="auto"/>
              <w:jc w:val="right"/>
              <w:rPr>
                <w:rFonts w:ascii="Times New Roman" w:hAnsi="Times New Roman"/>
                <w:sz w:val="24"/>
                <w:szCs w:val="24"/>
                <w:lang w:val="uk-UA"/>
              </w:rPr>
            </w:pPr>
          </w:p>
        </w:tc>
        <w:tc>
          <w:tcPr>
            <w:tcW w:w="441" w:type="dxa"/>
            <w:tcBorders>
              <w:top w:val="single" w:sz="4" w:space="0" w:color="auto"/>
              <w:left w:val="single" w:sz="4" w:space="0" w:color="auto"/>
              <w:bottom w:val="single" w:sz="4" w:space="0" w:color="auto"/>
              <w:right w:val="single" w:sz="4" w:space="0" w:color="auto"/>
            </w:tcBorders>
          </w:tcPr>
          <w:p w:rsidR="003B67F9" w:rsidRPr="008D4BBC" w:rsidRDefault="003B67F9" w:rsidP="00721203">
            <w:pPr>
              <w:widowControl w:val="0"/>
              <w:spacing w:line="276" w:lineRule="auto"/>
              <w:jc w:val="right"/>
              <w:rPr>
                <w:rFonts w:ascii="Times New Roman" w:hAnsi="Times New Roman"/>
                <w:color w:val="000000"/>
                <w:sz w:val="24"/>
                <w:szCs w:val="24"/>
                <w:lang w:val="uk-UA"/>
              </w:rPr>
            </w:pPr>
          </w:p>
        </w:tc>
      </w:tr>
      <w:tr w:rsidR="003B67F9" w:rsidRPr="008D4BBC" w:rsidTr="00ED7A85">
        <w:trPr>
          <w:trHeight w:val="81"/>
          <w:jc w:val="center"/>
        </w:trPr>
        <w:tc>
          <w:tcPr>
            <w:tcW w:w="2478" w:type="dxa"/>
            <w:tcBorders>
              <w:top w:val="single" w:sz="4" w:space="0" w:color="auto"/>
              <w:left w:val="single" w:sz="4" w:space="0" w:color="auto"/>
              <w:bottom w:val="single" w:sz="4" w:space="0" w:color="auto"/>
              <w:right w:val="single" w:sz="4" w:space="0" w:color="auto"/>
            </w:tcBorders>
          </w:tcPr>
          <w:p w:rsidR="003B67F9" w:rsidRPr="008D4BBC" w:rsidRDefault="003B67F9" w:rsidP="00721203">
            <w:pPr>
              <w:widowControl w:val="0"/>
              <w:spacing w:line="276" w:lineRule="auto"/>
              <w:rPr>
                <w:rFonts w:ascii="Times New Roman" w:hAnsi="Times New Roman"/>
                <w:color w:val="000000"/>
                <w:sz w:val="24"/>
                <w:szCs w:val="24"/>
                <w:lang w:val="uk-UA"/>
              </w:rPr>
            </w:pPr>
            <w:r w:rsidRPr="008D4BBC">
              <w:rPr>
                <w:rFonts w:ascii="Times New Roman" w:hAnsi="Times New Roman"/>
                <w:sz w:val="24"/>
                <w:szCs w:val="24"/>
                <w:lang w:val="uk-UA"/>
              </w:rPr>
              <w:t xml:space="preserve">Комп’ютеризація </w:t>
            </w:r>
            <w:r w:rsidR="001D1972" w:rsidRPr="008D4BBC">
              <w:rPr>
                <w:rFonts w:ascii="Times New Roman" w:hAnsi="Times New Roman"/>
                <w:sz w:val="24"/>
                <w:szCs w:val="24"/>
                <w:lang w:val="uk-UA"/>
              </w:rPr>
              <w:t>відділення</w:t>
            </w:r>
            <w:r w:rsidRPr="008D4BBC">
              <w:rPr>
                <w:rFonts w:ascii="Times New Roman" w:hAnsi="Times New Roman"/>
                <w:sz w:val="24"/>
                <w:szCs w:val="24"/>
                <w:lang w:val="uk-UA"/>
              </w:rPr>
              <w:t xml:space="preserve"> з доступом до Інтернет-мережі</w:t>
            </w:r>
          </w:p>
        </w:tc>
        <w:tc>
          <w:tcPr>
            <w:tcW w:w="3245" w:type="dxa"/>
            <w:tcBorders>
              <w:top w:val="single" w:sz="4" w:space="0" w:color="auto"/>
              <w:left w:val="single" w:sz="4" w:space="0" w:color="auto"/>
              <w:bottom w:val="single" w:sz="4" w:space="0" w:color="auto"/>
              <w:right w:val="single" w:sz="4" w:space="0" w:color="auto"/>
            </w:tcBorders>
          </w:tcPr>
          <w:p w:rsidR="003B67F9" w:rsidRPr="008D4BBC" w:rsidRDefault="003B67F9" w:rsidP="00721203">
            <w:pPr>
              <w:widowControl w:val="0"/>
              <w:spacing w:line="276" w:lineRule="auto"/>
              <w:rPr>
                <w:rFonts w:ascii="Times New Roman" w:hAnsi="Times New Roman"/>
                <w:color w:val="000000"/>
                <w:sz w:val="24"/>
                <w:szCs w:val="24"/>
                <w:lang w:val="uk-UA"/>
              </w:rPr>
            </w:pPr>
            <w:r w:rsidRPr="008D4BBC">
              <w:rPr>
                <w:rFonts w:ascii="Times New Roman" w:hAnsi="Times New Roman"/>
                <w:sz w:val="24"/>
                <w:szCs w:val="24"/>
                <w:lang w:val="uk-UA"/>
              </w:rPr>
              <w:t>Наявність у структурному підрозділі закладу комп’ютера з доступом до Інтернет-мережі</w:t>
            </w:r>
          </w:p>
        </w:tc>
        <w:tc>
          <w:tcPr>
            <w:tcW w:w="851" w:type="dxa"/>
            <w:tcBorders>
              <w:top w:val="single" w:sz="4" w:space="0" w:color="auto"/>
              <w:left w:val="single" w:sz="4" w:space="0" w:color="auto"/>
              <w:bottom w:val="single" w:sz="4" w:space="0" w:color="auto"/>
              <w:right w:val="single" w:sz="4" w:space="0" w:color="auto"/>
            </w:tcBorders>
          </w:tcPr>
          <w:p w:rsidR="003B67F9" w:rsidRPr="008D4BBC" w:rsidRDefault="003B67F9" w:rsidP="00721203">
            <w:pPr>
              <w:widowControl w:val="0"/>
              <w:spacing w:line="276" w:lineRule="auto"/>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так</w:t>
            </w:r>
          </w:p>
        </w:tc>
        <w:tc>
          <w:tcPr>
            <w:tcW w:w="709" w:type="dxa"/>
            <w:tcBorders>
              <w:top w:val="single" w:sz="4" w:space="0" w:color="auto"/>
              <w:left w:val="single" w:sz="4" w:space="0" w:color="auto"/>
              <w:bottom w:val="single" w:sz="4" w:space="0" w:color="auto"/>
              <w:right w:val="single" w:sz="4" w:space="0" w:color="auto"/>
            </w:tcBorders>
          </w:tcPr>
          <w:p w:rsidR="003B67F9" w:rsidRPr="008D4BBC" w:rsidRDefault="003B67F9" w:rsidP="00721203">
            <w:pPr>
              <w:widowControl w:val="0"/>
              <w:spacing w:line="276" w:lineRule="auto"/>
              <w:jc w:val="center"/>
              <w:rPr>
                <w:rFonts w:ascii="Times New Roman" w:hAnsi="Times New Roman"/>
                <w:color w:val="000000"/>
                <w:sz w:val="24"/>
                <w:szCs w:val="24"/>
                <w:lang w:val="uk-UA"/>
              </w:rPr>
            </w:pPr>
            <w:r w:rsidRPr="008D4BBC">
              <w:rPr>
                <w:rFonts w:ascii="Times New Roman" w:hAnsi="Times New Roman"/>
                <w:sz w:val="24"/>
                <w:szCs w:val="24"/>
                <w:lang w:val="uk-UA"/>
              </w:rPr>
              <w:t>8</w:t>
            </w:r>
          </w:p>
        </w:tc>
        <w:tc>
          <w:tcPr>
            <w:tcW w:w="806" w:type="dxa"/>
            <w:tcBorders>
              <w:top w:val="single" w:sz="4" w:space="0" w:color="auto"/>
              <w:left w:val="single" w:sz="4" w:space="0" w:color="auto"/>
              <w:bottom w:val="single" w:sz="4" w:space="0" w:color="auto"/>
              <w:right w:val="single" w:sz="4" w:space="0" w:color="auto"/>
            </w:tcBorders>
          </w:tcPr>
          <w:p w:rsidR="003B67F9" w:rsidRPr="008D4BBC" w:rsidRDefault="003B67F9" w:rsidP="00721203">
            <w:pPr>
              <w:widowControl w:val="0"/>
              <w:spacing w:line="276" w:lineRule="auto"/>
              <w:jc w:val="center"/>
              <w:rPr>
                <w:rFonts w:ascii="Times New Roman" w:hAnsi="Times New Roman"/>
                <w:color w:val="000000"/>
                <w:sz w:val="24"/>
                <w:szCs w:val="24"/>
                <w:lang w:val="uk-UA"/>
              </w:rPr>
            </w:pPr>
          </w:p>
        </w:tc>
        <w:tc>
          <w:tcPr>
            <w:tcW w:w="506" w:type="dxa"/>
            <w:tcBorders>
              <w:top w:val="single" w:sz="4" w:space="0" w:color="auto"/>
              <w:left w:val="single" w:sz="4" w:space="0" w:color="auto"/>
              <w:bottom w:val="single" w:sz="4" w:space="0" w:color="auto"/>
              <w:right w:val="single" w:sz="4" w:space="0" w:color="auto"/>
            </w:tcBorders>
          </w:tcPr>
          <w:p w:rsidR="003B67F9" w:rsidRPr="008D4BBC" w:rsidRDefault="003B67F9" w:rsidP="00721203">
            <w:pPr>
              <w:widowControl w:val="0"/>
              <w:spacing w:line="276" w:lineRule="auto"/>
              <w:jc w:val="center"/>
              <w:rPr>
                <w:rFonts w:ascii="Times New Roman" w:hAnsi="Times New Roman"/>
                <w:color w:val="000000"/>
                <w:sz w:val="24"/>
                <w:szCs w:val="24"/>
                <w:lang w:val="uk-UA"/>
              </w:rPr>
            </w:pPr>
            <w:r w:rsidRPr="008D4BBC">
              <w:rPr>
                <w:rFonts w:ascii="Times New Roman" w:hAnsi="Times New Roman"/>
                <w:color w:val="000000"/>
                <w:sz w:val="24"/>
                <w:szCs w:val="24"/>
                <w:lang w:val="uk-UA"/>
              </w:rPr>
              <w:t>-</w:t>
            </w:r>
          </w:p>
        </w:tc>
        <w:tc>
          <w:tcPr>
            <w:tcW w:w="567" w:type="dxa"/>
            <w:tcBorders>
              <w:top w:val="single" w:sz="4" w:space="0" w:color="auto"/>
              <w:left w:val="single" w:sz="4" w:space="0" w:color="auto"/>
              <w:bottom w:val="single" w:sz="4" w:space="0" w:color="auto"/>
              <w:right w:val="single" w:sz="4" w:space="0" w:color="auto"/>
            </w:tcBorders>
          </w:tcPr>
          <w:p w:rsidR="003B67F9" w:rsidRPr="008D4BBC" w:rsidRDefault="003B67F9" w:rsidP="00721203">
            <w:pPr>
              <w:widowControl w:val="0"/>
              <w:spacing w:line="276" w:lineRule="auto"/>
              <w:jc w:val="center"/>
              <w:rPr>
                <w:rFonts w:ascii="Times New Roman" w:hAnsi="Times New Roman"/>
                <w:color w:val="000000"/>
                <w:sz w:val="24"/>
                <w:szCs w:val="24"/>
                <w:lang w:val="uk-UA"/>
              </w:rPr>
            </w:pPr>
          </w:p>
        </w:tc>
        <w:tc>
          <w:tcPr>
            <w:tcW w:w="656" w:type="dxa"/>
            <w:tcBorders>
              <w:top w:val="single" w:sz="4" w:space="0" w:color="auto"/>
              <w:left w:val="single" w:sz="4" w:space="0" w:color="auto"/>
              <w:bottom w:val="single" w:sz="4" w:space="0" w:color="auto"/>
              <w:right w:val="single" w:sz="4" w:space="0" w:color="auto"/>
            </w:tcBorders>
          </w:tcPr>
          <w:p w:rsidR="003B67F9" w:rsidRPr="008D4BBC" w:rsidRDefault="003B67F9" w:rsidP="00721203">
            <w:pPr>
              <w:widowControl w:val="0"/>
              <w:spacing w:line="276" w:lineRule="auto"/>
              <w:jc w:val="center"/>
              <w:rPr>
                <w:rFonts w:ascii="Times New Roman" w:hAnsi="Times New Roman"/>
                <w:color w:val="000000"/>
                <w:sz w:val="24"/>
                <w:szCs w:val="24"/>
                <w:lang w:val="uk-UA"/>
              </w:rPr>
            </w:pPr>
          </w:p>
        </w:tc>
        <w:tc>
          <w:tcPr>
            <w:tcW w:w="441" w:type="dxa"/>
            <w:tcBorders>
              <w:top w:val="single" w:sz="4" w:space="0" w:color="auto"/>
              <w:left w:val="single" w:sz="4" w:space="0" w:color="auto"/>
              <w:bottom w:val="single" w:sz="4" w:space="0" w:color="auto"/>
              <w:right w:val="single" w:sz="4" w:space="0" w:color="auto"/>
            </w:tcBorders>
          </w:tcPr>
          <w:p w:rsidR="003B67F9" w:rsidRPr="008D4BBC" w:rsidRDefault="003B67F9" w:rsidP="00721203">
            <w:pPr>
              <w:widowControl w:val="0"/>
              <w:spacing w:line="276" w:lineRule="auto"/>
              <w:jc w:val="center"/>
              <w:rPr>
                <w:rFonts w:ascii="Times New Roman" w:hAnsi="Times New Roman"/>
                <w:color w:val="000000"/>
                <w:sz w:val="24"/>
                <w:szCs w:val="24"/>
                <w:lang w:val="uk-UA"/>
              </w:rPr>
            </w:pPr>
          </w:p>
        </w:tc>
      </w:tr>
      <w:tr w:rsidR="00332706" w:rsidRPr="008D4BBC" w:rsidTr="00ED7A85">
        <w:trPr>
          <w:trHeight w:val="81"/>
          <w:jc w:val="center"/>
        </w:trPr>
        <w:tc>
          <w:tcPr>
            <w:tcW w:w="2478" w:type="dxa"/>
            <w:tcBorders>
              <w:top w:val="single" w:sz="4" w:space="0" w:color="auto"/>
              <w:left w:val="single" w:sz="4" w:space="0" w:color="auto"/>
              <w:bottom w:val="single" w:sz="4" w:space="0" w:color="auto"/>
              <w:right w:val="single" w:sz="4" w:space="0" w:color="auto"/>
            </w:tcBorders>
          </w:tcPr>
          <w:p w:rsidR="00332706" w:rsidRPr="00552FE3" w:rsidRDefault="00332706" w:rsidP="00470433">
            <w:pPr>
              <w:widowControl w:val="0"/>
              <w:spacing w:line="276" w:lineRule="auto"/>
              <w:rPr>
                <w:rFonts w:ascii="Times New Roman" w:hAnsi="Times New Roman"/>
                <w:sz w:val="24"/>
                <w:szCs w:val="24"/>
                <w:lang w:val="uk-UA"/>
              </w:rPr>
            </w:pPr>
            <w:r w:rsidRPr="00552FE3">
              <w:rPr>
                <w:rFonts w:ascii="Times New Roman" w:hAnsi="Times New Roman"/>
                <w:sz w:val="24"/>
                <w:szCs w:val="24"/>
                <w:lang w:val="uk-UA"/>
              </w:rPr>
              <w:t>Наявність сучасного медичного обладнання для надання перинатальної допомоги</w:t>
            </w:r>
          </w:p>
        </w:tc>
        <w:tc>
          <w:tcPr>
            <w:tcW w:w="3245" w:type="dxa"/>
            <w:tcBorders>
              <w:top w:val="single" w:sz="4" w:space="0" w:color="auto"/>
              <w:left w:val="single" w:sz="4" w:space="0" w:color="auto"/>
              <w:bottom w:val="single" w:sz="4" w:space="0" w:color="auto"/>
              <w:right w:val="single" w:sz="4" w:space="0" w:color="auto"/>
            </w:tcBorders>
          </w:tcPr>
          <w:p w:rsidR="00332706" w:rsidRPr="00552FE3" w:rsidRDefault="00332706" w:rsidP="00470433">
            <w:pPr>
              <w:widowControl w:val="0"/>
              <w:spacing w:line="276" w:lineRule="auto"/>
              <w:rPr>
                <w:rFonts w:ascii="Times New Roman" w:hAnsi="Times New Roman"/>
                <w:sz w:val="24"/>
                <w:szCs w:val="24"/>
                <w:lang w:val="uk-UA"/>
              </w:rPr>
            </w:pPr>
            <w:r w:rsidRPr="00552FE3">
              <w:rPr>
                <w:rFonts w:ascii="Times New Roman" w:hAnsi="Times New Roman"/>
                <w:sz w:val="24"/>
                <w:szCs w:val="24"/>
                <w:lang w:val="uk-UA"/>
              </w:rPr>
              <w:t>Кількість наявного передбаченого табелем оснащення сучасного медичного обладнання ×</w:t>
            </w:r>
            <w:r w:rsidRPr="00552FE3">
              <w:rPr>
                <w:rFonts w:ascii="Times New Roman" w:hAnsi="Times New Roman"/>
                <w:kern w:val="28"/>
                <w:sz w:val="24"/>
                <w:szCs w:val="24"/>
                <w:lang w:val="uk-UA"/>
              </w:rPr>
              <w:t xml:space="preserve"> 100</w:t>
            </w:r>
            <w:r w:rsidR="001E2949">
              <w:rPr>
                <w:rFonts w:ascii="Times New Roman" w:hAnsi="Times New Roman"/>
                <w:kern w:val="28"/>
                <w:sz w:val="24"/>
                <w:szCs w:val="24"/>
              </w:rPr>
              <w:t xml:space="preserve"> </w:t>
            </w:r>
            <w:r w:rsidRPr="00552FE3">
              <w:rPr>
                <w:rFonts w:ascii="Times New Roman" w:hAnsi="Times New Roman"/>
                <w:sz w:val="24"/>
                <w:szCs w:val="24"/>
                <w:lang w:val="uk-UA"/>
              </w:rPr>
              <w:t>/ кількість передбаченого табелем оснащення сучасного медичного обладнання</w:t>
            </w:r>
          </w:p>
        </w:tc>
        <w:tc>
          <w:tcPr>
            <w:tcW w:w="851" w:type="dxa"/>
            <w:tcBorders>
              <w:top w:val="single" w:sz="4" w:space="0" w:color="auto"/>
              <w:left w:val="single" w:sz="4" w:space="0" w:color="auto"/>
              <w:bottom w:val="single" w:sz="4" w:space="0" w:color="auto"/>
              <w:right w:val="single" w:sz="4" w:space="0" w:color="auto"/>
            </w:tcBorders>
          </w:tcPr>
          <w:p w:rsidR="00332706" w:rsidRPr="00552FE3" w:rsidRDefault="00332706" w:rsidP="00332706">
            <w:pPr>
              <w:widowControl w:val="0"/>
              <w:spacing w:line="276" w:lineRule="auto"/>
              <w:jc w:val="center"/>
              <w:rPr>
                <w:rFonts w:ascii="Times New Roman" w:hAnsi="Times New Roman"/>
                <w:sz w:val="24"/>
                <w:szCs w:val="24"/>
                <w:lang w:val="uk-UA"/>
              </w:rPr>
            </w:pPr>
            <w:r w:rsidRPr="00552FE3">
              <w:rPr>
                <w:rFonts w:ascii="Times New Roman" w:hAnsi="Times New Roman"/>
                <w:sz w:val="24"/>
                <w:szCs w:val="24"/>
                <w:lang w:val="uk-UA"/>
              </w:rPr>
              <w:t>95</w:t>
            </w:r>
          </w:p>
        </w:tc>
        <w:tc>
          <w:tcPr>
            <w:tcW w:w="709" w:type="dxa"/>
            <w:tcBorders>
              <w:top w:val="single" w:sz="4" w:space="0" w:color="auto"/>
              <w:left w:val="single" w:sz="4" w:space="0" w:color="auto"/>
              <w:bottom w:val="single" w:sz="4" w:space="0" w:color="auto"/>
              <w:right w:val="single" w:sz="4" w:space="0" w:color="auto"/>
            </w:tcBorders>
          </w:tcPr>
          <w:p w:rsidR="00332706" w:rsidRPr="00552FE3" w:rsidRDefault="00332706" w:rsidP="00332706">
            <w:pPr>
              <w:widowControl w:val="0"/>
              <w:spacing w:line="276" w:lineRule="auto"/>
              <w:jc w:val="center"/>
              <w:rPr>
                <w:rFonts w:ascii="Times New Roman" w:hAnsi="Times New Roman"/>
                <w:sz w:val="24"/>
                <w:szCs w:val="24"/>
                <w:lang w:val="uk-UA"/>
              </w:rPr>
            </w:pPr>
            <w:r w:rsidRPr="00552FE3">
              <w:rPr>
                <w:rFonts w:ascii="Times New Roman" w:hAnsi="Times New Roman"/>
                <w:sz w:val="24"/>
                <w:szCs w:val="24"/>
                <w:lang w:val="uk-UA"/>
              </w:rPr>
              <w:t>8</w:t>
            </w:r>
          </w:p>
        </w:tc>
        <w:tc>
          <w:tcPr>
            <w:tcW w:w="806" w:type="dxa"/>
            <w:tcBorders>
              <w:top w:val="single" w:sz="4" w:space="0" w:color="auto"/>
              <w:left w:val="single" w:sz="4" w:space="0" w:color="auto"/>
              <w:bottom w:val="single" w:sz="4" w:space="0" w:color="auto"/>
              <w:right w:val="single" w:sz="4" w:space="0" w:color="auto"/>
            </w:tcBorders>
          </w:tcPr>
          <w:p w:rsidR="00332706" w:rsidRPr="00552FE3" w:rsidRDefault="00332706" w:rsidP="00332706">
            <w:pPr>
              <w:widowControl w:val="0"/>
              <w:spacing w:line="276" w:lineRule="auto"/>
              <w:jc w:val="center"/>
              <w:rPr>
                <w:rFonts w:ascii="Times New Roman" w:hAnsi="Times New Roman"/>
                <w:sz w:val="24"/>
                <w:szCs w:val="24"/>
                <w:lang w:val="uk-UA"/>
              </w:rPr>
            </w:pPr>
            <w:r w:rsidRPr="00552FE3">
              <w:rPr>
                <w:rFonts w:ascii="Times New Roman" w:hAnsi="Times New Roman"/>
                <w:sz w:val="24"/>
                <w:szCs w:val="24"/>
                <w:lang w:val="uk-UA"/>
              </w:rPr>
              <w:t>0,08</w:t>
            </w:r>
          </w:p>
        </w:tc>
        <w:tc>
          <w:tcPr>
            <w:tcW w:w="506" w:type="dxa"/>
            <w:tcBorders>
              <w:top w:val="single" w:sz="4" w:space="0" w:color="auto"/>
              <w:left w:val="single" w:sz="4" w:space="0" w:color="auto"/>
              <w:bottom w:val="single" w:sz="4" w:space="0" w:color="auto"/>
              <w:right w:val="single" w:sz="4" w:space="0" w:color="auto"/>
            </w:tcBorders>
          </w:tcPr>
          <w:p w:rsidR="00332706" w:rsidRPr="00552FE3" w:rsidRDefault="00332706" w:rsidP="00470433">
            <w:pPr>
              <w:widowControl w:val="0"/>
              <w:spacing w:line="276" w:lineRule="auto"/>
              <w:jc w:val="center"/>
              <w:rPr>
                <w:rFonts w:ascii="Times New Roman" w:hAnsi="Times New Roman"/>
                <w:sz w:val="24"/>
                <w:szCs w:val="24"/>
                <w:lang w:val="uk-UA"/>
              </w:rPr>
            </w:pPr>
            <w:r w:rsidRPr="00552FE3">
              <w:rPr>
                <w:rFonts w:ascii="Times New Roman" w:hAnsi="Times New Roman"/>
                <w:sz w:val="24"/>
                <w:szCs w:val="24"/>
                <w:lang w:val="uk-UA"/>
              </w:rPr>
              <w:t>-</w:t>
            </w:r>
          </w:p>
        </w:tc>
        <w:tc>
          <w:tcPr>
            <w:tcW w:w="567" w:type="dxa"/>
            <w:tcBorders>
              <w:top w:val="single" w:sz="4" w:space="0" w:color="auto"/>
              <w:left w:val="single" w:sz="4" w:space="0" w:color="auto"/>
              <w:bottom w:val="single" w:sz="4" w:space="0" w:color="auto"/>
              <w:right w:val="single" w:sz="4" w:space="0" w:color="auto"/>
            </w:tcBorders>
          </w:tcPr>
          <w:p w:rsidR="00332706" w:rsidRPr="00552FE3" w:rsidRDefault="00332706" w:rsidP="00470433">
            <w:pPr>
              <w:widowControl w:val="0"/>
              <w:spacing w:line="276" w:lineRule="auto"/>
              <w:jc w:val="center"/>
              <w:rPr>
                <w:rFonts w:ascii="Times New Roman" w:hAnsi="Times New Roman"/>
                <w:sz w:val="24"/>
                <w:szCs w:val="24"/>
                <w:lang w:val="uk-UA"/>
              </w:rPr>
            </w:pPr>
          </w:p>
        </w:tc>
        <w:tc>
          <w:tcPr>
            <w:tcW w:w="656" w:type="dxa"/>
            <w:tcBorders>
              <w:top w:val="single" w:sz="4" w:space="0" w:color="auto"/>
              <w:left w:val="single" w:sz="4" w:space="0" w:color="auto"/>
              <w:bottom w:val="single" w:sz="4" w:space="0" w:color="auto"/>
              <w:right w:val="single" w:sz="4" w:space="0" w:color="auto"/>
            </w:tcBorders>
          </w:tcPr>
          <w:p w:rsidR="00332706" w:rsidRPr="00552FE3" w:rsidRDefault="00332706" w:rsidP="00470433">
            <w:pPr>
              <w:widowControl w:val="0"/>
              <w:spacing w:line="276" w:lineRule="auto"/>
              <w:jc w:val="center"/>
              <w:rPr>
                <w:rFonts w:ascii="Times New Roman" w:hAnsi="Times New Roman"/>
                <w:sz w:val="24"/>
                <w:szCs w:val="24"/>
                <w:lang w:val="uk-UA"/>
              </w:rPr>
            </w:pPr>
          </w:p>
        </w:tc>
        <w:tc>
          <w:tcPr>
            <w:tcW w:w="441" w:type="dxa"/>
            <w:tcBorders>
              <w:top w:val="single" w:sz="4" w:space="0" w:color="auto"/>
              <w:left w:val="single" w:sz="4" w:space="0" w:color="auto"/>
              <w:bottom w:val="single" w:sz="4" w:space="0" w:color="auto"/>
              <w:right w:val="single" w:sz="4" w:space="0" w:color="auto"/>
            </w:tcBorders>
          </w:tcPr>
          <w:p w:rsidR="00332706" w:rsidRPr="00552FE3" w:rsidRDefault="00332706" w:rsidP="00470433">
            <w:pPr>
              <w:widowControl w:val="0"/>
              <w:spacing w:line="276" w:lineRule="auto"/>
              <w:rPr>
                <w:rFonts w:ascii="Times New Roman" w:hAnsi="Times New Roman"/>
                <w:sz w:val="24"/>
                <w:szCs w:val="24"/>
                <w:lang w:val="uk-UA"/>
              </w:rPr>
            </w:pPr>
            <w:r w:rsidRPr="00552FE3">
              <w:rPr>
                <w:rFonts w:ascii="Times New Roman" w:hAnsi="Times New Roman"/>
                <w:sz w:val="24"/>
                <w:szCs w:val="24"/>
                <w:lang w:val="uk-UA"/>
              </w:rPr>
              <w:t>.</w:t>
            </w:r>
          </w:p>
        </w:tc>
      </w:tr>
    </w:tbl>
    <w:p w:rsidR="003B67F9" w:rsidRDefault="003B67F9" w:rsidP="009B6FBE">
      <w:pPr>
        <w:widowControl w:val="0"/>
        <w:tabs>
          <w:tab w:val="left" w:pos="3556"/>
        </w:tabs>
        <w:spacing w:line="240" w:lineRule="auto"/>
        <w:rPr>
          <w:rFonts w:eastAsia="Times New Roman"/>
          <w:szCs w:val="28"/>
          <w:lang w:val="ru-RU" w:eastAsia="ru-RU"/>
        </w:rPr>
      </w:pPr>
    </w:p>
    <w:p w:rsidR="009B6FBE" w:rsidRDefault="009B6FBE" w:rsidP="009B6FBE">
      <w:pPr>
        <w:widowControl w:val="0"/>
        <w:tabs>
          <w:tab w:val="left" w:pos="3556"/>
        </w:tabs>
        <w:spacing w:line="240" w:lineRule="auto"/>
        <w:rPr>
          <w:rFonts w:eastAsia="Times New Roman"/>
          <w:szCs w:val="28"/>
          <w:lang w:val="ru-RU" w:eastAsia="ru-RU"/>
        </w:rPr>
      </w:pPr>
    </w:p>
    <w:p w:rsidR="00B10A22" w:rsidRDefault="00B10A22" w:rsidP="00332706">
      <w:pPr>
        <w:widowControl w:val="0"/>
        <w:tabs>
          <w:tab w:val="left" w:pos="3556"/>
        </w:tabs>
        <w:spacing w:line="240" w:lineRule="auto"/>
        <w:jc w:val="right"/>
        <w:rPr>
          <w:rFonts w:eastAsia="Times New Roman"/>
          <w:i/>
          <w:szCs w:val="28"/>
          <w:lang w:val="ru-RU" w:eastAsia="ru-RU"/>
        </w:rPr>
      </w:pPr>
    </w:p>
    <w:p w:rsidR="00332706" w:rsidRDefault="00332706" w:rsidP="00F159BE">
      <w:pPr>
        <w:pageBreakBefore/>
        <w:widowControl w:val="0"/>
        <w:tabs>
          <w:tab w:val="left" w:pos="3556"/>
        </w:tabs>
        <w:spacing w:line="240" w:lineRule="auto"/>
        <w:jc w:val="right"/>
        <w:rPr>
          <w:rFonts w:eastAsia="Times New Roman"/>
          <w:i/>
          <w:szCs w:val="28"/>
          <w:lang w:val="ru-RU" w:eastAsia="ru-RU"/>
        </w:rPr>
      </w:pPr>
      <w:r w:rsidRPr="00332706">
        <w:rPr>
          <w:rFonts w:eastAsia="Times New Roman"/>
          <w:i/>
          <w:szCs w:val="28"/>
          <w:lang w:val="ru-RU" w:eastAsia="ru-RU"/>
        </w:rPr>
        <w:lastRenderedPageBreak/>
        <w:t>Продовження табл. 7.4</w:t>
      </w:r>
    </w:p>
    <w:p w:rsidR="00ED7A85" w:rsidRPr="00332706" w:rsidRDefault="00ED7A85" w:rsidP="00332706">
      <w:pPr>
        <w:widowControl w:val="0"/>
        <w:tabs>
          <w:tab w:val="left" w:pos="3556"/>
        </w:tabs>
        <w:spacing w:line="240" w:lineRule="auto"/>
        <w:jc w:val="right"/>
        <w:rPr>
          <w:rFonts w:eastAsia="Times New Roman"/>
          <w:i/>
          <w:szCs w:val="28"/>
          <w:lang w:val="ru-RU" w:eastAsia="ru-RU"/>
        </w:rPr>
      </w:pPr>
    </w:p>
    <w:tbl>
      <w:tblPr>
        <w:tblStyle w:val="a6"/>
        <w:tblW w:w="0" w:type="auto"/>
        <w:tblInd w:w="108" w:type="dxa"/>
        <w:tblLook w:val="01E0" w:firstRow="1" w:lastRow="1" w:firstColumn="1" w:lastColumn="1" w:noHBand="0" w:noVBand="0"/>
      </w:tblPr>
      <w:tblGrid>
        <w:gridCol w:w="2562"/>
        <w:gridCol w:w="3108"/>
        <w:gridCol w:w="851"/>
        <w:gridCol w:w="709"/>
        <w:gridCol w:w="850"/>
        <w:gridCol w:w="425"/>
        <w:gridCol w:w="709"/>
        <w:gridCol w:w="567"/>
        <w:gridCol w:w="435"/>
      </w:tblGrid>
      <w:tr w:rsidR="003B67F9" w:rsidRPr="00552FE3" w:rsidTr="00ED7A85">
        <w:trPr>
          <w:trHeight w:val="263"/>
        </w:trPr>
        <w:tc>
          <w:tcPr>
            <w:tcW w:w="2562"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rPr>
                <w:rFonts w:ascii="Times New Roman" w:hAnsi="Times New Roman"/>
                <w:sz w:val="24"/>
                <w:szCs w:val="24"/>
                <w:lang w:val="uk-UA"/>
              </w:rPr>
            </w:pPr>
            <w:r w:rsidRPr="00552FE3">
              <w:rPr>
                <w:rFonts w:ascii="Times New Roman" w:hAnsi="Times New Roman"/>
                <w:sz w:val="24"/>
                <w:szCs w:val="24"/>
                <w:lang w:val="uk-UA"/>
              </w:rPr>
              <w:t>Наявність статусу «Лікарня, доброзичлива до дитини»</w:t>
            </w:r>
          </w:p>
        </w:tc>
        <w:tc>
          <w:tcPr>
            <w:tcW w:w="3108"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rPr>
                <w:rFonts w:ascii="Times New Roman" w:hAnsi="Times New Roman"/>
                <w:sz w:val="24"/>
                <w:szCs w:val="24"/>
                <w:lang w:val="uk-UA"/>
              </w:rPr>
            </w:pPr>
            <w:r w:rsidRPr="00552FE3">
              <w:rPr>
                <w:rFonts w:ascii="Times New Roman" w:hAnsi="Times New Roman"/>
                <w:sz w:val="24"/>
                <w:szCs w:val="24"/>
                <w:lang w:val="uk-UA"/>
              </w:rPr>
              <w:t>Наявність сертифікату «Лікарня, доброзичлива до дитини»</w:t>
            </w:r>
          </w:p>
        </w:tc>
        <w:tc>
          <w:tcPr>
            <w:tcW w:w="851"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rPr>
                <w:rFonts w:ascii="Times New Roman" w:hAnsi="Times New Roman"/>
                <w:sz w:val="24"/>
                <w:szCs w:val="24"/>
                <w:lang w:val="uk-UA"/>
              </w:rPr>
            </w:pPr>
            <w:r w:rsidRPr="00552FE3">
              <w:rPr>
                <w:rFonts w:ascii="Times New Roman" w:hAnsi="Times New Roman"/>
                <w:sz w:val="24"/>
                <w:szCs w:val="24"/>
                <w:lang w:val="uk-UA"/>
              </w:rPr>
              <w:t>так</w:t>
            </w:r>
          </w:p>
        </w:tc>
        <w:tc>
          <w:tcPr>
            <w:tcW w:w="709"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center"/>
              <w:rPr>
                <w:rFonts w:ascii="Times New Roman" w:hAnsi="Times New Roman"/>
                <w:sz w:val="24"/>
                <w:szCs w:val="24"/>
                <w:lang w:val="uk-UA"/>
              </w:rPr>
            </w:pPr>
            <w:r w:rsidRPr="00552FE3">
              <w:rPr>
                <w:rFonts w:ascii="Times New Roman" w:hAnsi="Times New Roman"/>
                <w:sz w:val="24"/>
                <w:szCs w:val="24"/>
                <w:lang w:val="uk-UA"/>
              </w:rPr>
              <w:t>8</w:t>
            </w:r>
          </w:p>
        </w:tc>
        <w:tc>
          <w:tcPr>
            <w:tcW w:w="850"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center"/>
              <w:rPr>
                <w:rFonts w:ascii="Times New Roman" w:hAnsi="Times New Roman"/>
                <w:sz w:val="24"/>
                <w:szCs w:val="24"/>
                <w:lang w:val="uk-UA"/>
              </w:rPr>
            </w:pPr>
          </w:p>
        </w:tc>
        <w:tc>
          <w:tcPr>
            <w:tcW w:w="425"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center"/>
              <w:rPr>
                <w:rFonts w:ascii="Times New Roman" w:hAnsi="Times New Roman"/>
                <w:sz w:val="24"/>
                <w:szCs w:val="24"/>
                <w:lang w:val="uk-UA"/>
              </w:rPr>
            </w:pPr>
            <w:r w:rsidRPr="00552FE3">
              <w:rPr>
                <w:rFonts w:ascii="Times New Roman" w:hAnsi="Times New Roman"/>
                <w:sz w:val="24"/>
                <w:szCs w:val="24"/>
                <w:lang w:val="uk-UA"/>
              </w:rPr>
              <w:t>-</w:t>
            </w:r>
          </w:p>
        </w:tc>
        <w:tc>
          <w:tcPr>
            <w:tcW w:w="709"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center"/>
              <w:rPr>
                <w:rFonts w:ascii="Times New Roman" w:hAnsi="Times New Roman"/>
                <w:sz w:val="24"/>
                <w:szCs w:val="24"/>
                <w:lang w:val="uk-UA"/>
              </w:rPr>
            </w:pPr>
          </w:p>
        </w:tc>
        <w:tc>
          <w:tcPr>
            <w:tcW w:w="567"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center"/>
              <w:rPr>
                <w:rFonts w:ascii="Times New Roman" w:hAnsi="Times New Roman"/>
                <w:sz w:val="24"/>
                <w:szCs w:val="24"/>
                <w:lang w:val="uk-UA"/>
              </w:rPr>
            </w:pPr>
          </w:p>
        </w:tc>
        <w:tc>
          <w:tcPr>
            <w:tcW w:w="435"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rPr>
                <w:rFonts w:ascii="Times New Roman" w:hAnsi="Times New Roman"/>
                <w:sz w:val="24"/>
                <w:szCs w:val="24"/>
                <w:lang w:val="uk-UA"/>
              </w:rPr>
            </w:pPr>
          </w:p>
        </w:tc>
      </w:tr>
      <w:tr w:rsidR="003B67F9" w:rsidRPr="00552FE3" w:rsidTr="00ED7A85">
        <w:trPr>
          <w:trHeight w:val="81"/>
        </w:trPr>
        <w:tc>
          <w:tcPr>
            <w:tcW w:w="2562"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rPr>
                <w:rFonts w:ascii="Times New Roman" w:hAnsi="Times New Roman"/>
                <w:sz w:val="24"/>
                <w:szCs w:val="24"/>
                <w:lang w:val="uk-UA"/>
              </w:rPr>
            </w:pPr>
            <w:r w:rsidRPr="00552FE3">
              <w:rPr>
                <w:rFonts w:ascii="Times New Roman" w:hAnsi="Times New Roman"/>
                <w:sz w:val="24"/>
                <w:szCs w:val="24"/>
                <w:lang w:val="uk-UA"/>
              </w:rPr>
              <w:t>Частота ускладнених пологів</w:t>
            </w:r>
          </w:p>
        </w:tc>
        <w:tc>
          <w:tcPr>
            <w:tcW w:w="3108"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rPr>
                <w:rFonts w:ascii="Times New Roman" w:hAnsi="Times New Roman"/>
                <w:sz w:val="24"/>
                <w:szCs w:val="24"/>
                <w:lang w:val="uk-UA"/>
              </w:rPr>
            </w:pPr>
            <w:r w:rsidRPr="00552FE3">
              <w:rPr>
                <w:rFonts w:ascii="Times New Roman" w:hAnsi="Times New Roman"/>
                <w:sz w:val="24"/>
                <w:szCs w:val="24"/>
                <w:lang w:val="uk-UA"/>
              </w:rPr>
              <w:t>Кількість ускладнених пологів/загальна кількість пологів ×100/ загальна кількість пологів</w:t>
            </w:r>
          </w:p>
        </w:tc>
        <w:tc>
          <w:tcPr>
            <w:tcW w:w="851"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rPr>
                <w:rFonts w:ascii="Times New Roman" w:hAnsi="Times New Roman"/>
                <w:sz w:val="24"/>
                <w:szCs w:val="24"/>
                <w:lang w:val="uk-UA"/>
              </w:rPr>
            </w:pPr>
            <w:r w:rsidRPr="00552FE3">
              <w:rPr>
                <w:rFonts w:ascii="Times New Roman" w:hAnsi="Times New Roman"/>
                <w:sz w:val="24"/>
                <w:szCs w:val="24"/>
                <w:lang w:val="uk-UA"/>
              </w:rPr>
              <w:t>25,0</w:t>
            </w:r>
          </w:p>
        </w:tc>
        <w:tc>
          <w:tcPr>
            <w:tcW w:w="709"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center"/>
              <w:rPr>
                <w:rFonts w:ascii="Times New Roman" w:hAnsi="Times New Roman"/>
                <w:sz w:val="24"/>
                <w:szCs w:val="24"/>
                <w:lang w:val="uk-UA"/>
              </w:rPr>
            </w:pPr>
            <w:r w:rsidRPr="00552FE3">
              <w:rPr>
                <w:rFonts w:ascii="Times New Roman" w:hAnsi="Times New Roman"/>
                <w:sz w:val="24"/>
                <w:szCs w:val="24"/>
                <w:lang w:val="uk-UA"/>
              </w:rPr>
              <w:t>6</w:t>
            </w:r>
          </w:p>
        </w:tc>
        <w:tc>
          <w:tcPr>
            <w:tcW w:w="850"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center"/>
              <w:rPr>
                <w:rFonts w:ascii="Times New Roman" w:hAnsi="Times New Roman"/>
                <w:sz w:val="24"/>
                <w:szCs w:val="24"/>
                <w:lang w:val="uk-UA"/>
              </w:rPr>
            </w:pPr>
            <w:r w:rsidRPr="00552FE3">
              <w:rPr>
                <w:rFonts w:ascii="Times New Roman" w:hAnsi="Times New Roman"/>
                <w:sz w:val="24"/>
                <w:szCs w:val="24"/>
                <w:lang w:val="uk-UA"/>
              </w:rPr>
              <w:t>0,24</w:t>
            </w:r>
          </w:p>
        </w:tc>
        <w:tc>
          <w:tcPr>
            <w:tcW w:w="425"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center"/>
              <w:rPr>
                <w:rFonts w:ascii="Times New Roman" w:hAnsi="Times New Roman"/>
                <w:sz w:val="24"/>
                <w:szCs w:val="24"/>
                <w:lang w:val="uk-UA"/>
              </w:rPr>
            </w:pPr>
            <w:r w:rsidRPr="00552FE3">
              <w:rPr>
                <w:rFonts w:ascii="Times New Roman" w:hAnsi="Times New Roman"/>
                <w:sz w:val="24"/>
                <w:szCs w:val="24"/>
                <w:lang w:val="uk-UA"/>
              </w:rPr>
              <w:t>+</w:t>
            </w:r>
          </w:p>
        </w:tc>
        <w:tc>
          <w:tcPr>
            <w:tcW w:w="709"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center"/>
              <w:rPr>
                <w:rFonts w:ascii="Times New Roman" w:hAnsi="Times New Roman"/>
                <w:sz w:val="24"/>
                <w:szCs w:val="24"/>
                <w:lang w:val="uk-UA"/>
              </w:rPr>
            </w:pPr>
          </w:p>
        </w:tc>
        <w:tc>
          <w:tcPr>
            <w:tcW w:w="567"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center"/>
              <w:rPr>
                <w:rFonts w:ascii="Times New Roman" w:hAnsi="Times New Roman"/>
                <w:sz w:val="24"/>
                <w:szCs w:val="24"/>
                <w:lang w:val="uk-UA"/>
              </w:rPr>
            </w:pPr>
          </w:p>
        </w:tc>
        <w:tc>
          <w:tcPr>
            <w:tcW w:w="435"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rPr>
                <w:rFonts w:ascii="Times New Roman" w:hAnsi="Times New Roman"/>
                <w:sz w:val="24"/>
                <w:szCs w:val="24"/>
                <w:lang w:val="uk-UA"/>
              </w:rPr>
            </w:pPr>
          </w:p>
        </w:tc>
      </w:tr>
      <w:tr w:rsidR="003B67F9" w:rsidRPr="00552FE3" w:rsidTr="00ED7A85">
        <w:trPr>
          <w:trHeight w:val="81"/>
        </w:trPr>
        <w:tc>
          <w:tcPr>
            <w:tcW w:w="2562"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rPr>
                <w:rFonts w:ascii="Times New Roman" w:hAnsi="Times New Roman"/>
                <w:color w:val="000000"/>
                <w:sz w:val="24"/>
                <w:szCs w:val="24"/>
                <w:lang w:val="uk-UA"/>
              </w:rPr>
            </w:pPr>
            <w:r w:rsidRPr="00552FE3">
              <w:rPr>
                <w:rFonts w:ascii="Times New Roman" w:hAnsi="Times New Roman"/>
                <w:sz w:val="24"/>
                <w:szCs w:val="24"/>
                <w:lang w:val="uk-UA"/>
              </w:rPr>
              <w:t>Частота партнерських пологів</w:t>
            </w:r>
          </w:p>
        </w:tc>
        <w:tc>
          <w:tcPr>
            <w:tcW w:w="3108"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rPr>
                <w:rFonts w:ascii="Times New Roman" w:hAnsi="Times New Roman"/>
                <w:color w:val="000000"/>
                <w:sz w:val="24"/>
                <w:szCs w:val="24"/>
                <w:lang w:val="uk-UA"/>
              </w:rPr>
            </w:pPr>
            <w:r w:rsidRPr="00552FE3">
              <w:rPr>
                <w:rFonts w:ascii="Times New Roman" w:hAnsi="Times New Roman"/>
                <w:sz w:val="24"/>
                <w:szCs w:val="24"/>
                <w:lang w:val="uk-UA"/>
              </w:rPr>
              <w:t>Кількість партнерських пологів,  × 100 / загальна кількість пологів</w:t>
            </w:r>
          </w:p>
        </w:tc>
        <w:tc>
          <w:tcPr>
            <w:tcW w:w="851"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center"/>
              <w:rPr>
                <w:rFonts w:ascii="Times New Roman" w:hAnsi="Times New Roman"/>
                <w:color w:val="000000"/>
                <w:sz w:val="24"/>
                <w:szCs w:val="24"/>
                <w:lang w:val="uk-UA"/>
              </w:rPr>
            </w:pPr>
            <w:r w:rsidRPr="00552FE3">
              <w:rPr>
                <w:rFonts w:ascii="Times New Roman" w:hAnsi="Times New Roman"/>
                <w:color w:val="000000"/>
                <w:sz w:val="24"/>
                <w:szCs w:val="24"/>
                <w:lang w:val="uk-UA"/>
              </w:rPr>
              <w:t>80,0</w:t>
            </w:r>
          </w:p>
        </w:tc>
        <w:tc>
          <w:tcPr>
            <w:tcW w:w="709"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center"/>
              <w:rPr>
                <w:rFonts w:ascii="Times New Roman" w:hAnsi="Times New Roman"/>
                <w:color w:val="000000"/>
                <w:sz w:val="24"/>
                <w:szCs w:val="24"/>
                <w:lang w:val="uk-UA"/>
              </w:rPr>
            </w:pPr>
            <w:r w:rsidRPr="00552FE3">
              <w:rPr>
                <w:rFonts w:ascii="Times New Roman" w:hAnsi="Times New Roman"/>
                <w:color w:val="000000"/>
                <w:sz w:val="24"/>
                <w:szCs w:val="24"/>
                <w:lang w:val="uk-UA"/>
              </w:rPr>
              <w:t>8</w:t>
            </w:r>
          </w:p>
        </w:tc>
        <w:tc>
          <w:tcPr>
            <w:tcW w:w="850"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center"/>
              <w:rPr>
                <w:rFonts w:ascii="Times New Roman" w:hAnsi="Times New Roman"/>
                <w:color w:val="000000"/>
                <w:sz w:val="24"/>
                <w:szCs w:val="24"/>
                <w:lang w:val="uk-UA"/>
              </w:rPr>
            </w:pPr>
            <w:r w:rsidRPr="00552FE3">
              <w:rPr>
                <w:rFonts w:ascii="Times New Roman" w:hAnsi="Times New Roman"/>
                <w:color w:val="000000"/>
                <w:sz w:val="24"/>
                <w:szCs w:val="24"/>
                <w:lang w:val="uk-UA"/>
              </w:rPr>
              <w:t>0,1</w:t>
            </w:r>
          </w:p>
        </w:tc>
        <w:tc>
          <w:tcPr>
            <w:tcW w:w="425"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center"/>
              <w:rPr>
                <w:rFonts w:ascii="Times New Roman" w:hAnsi="Times New Roman"/>
                <w:color w:val="000000"/>
                <w:sz w:val="24"/>
                <w:szCs w:val="24"/>
                <w:lang w:val="uk-UA"/>
              </w:rPr>
            </w:pPr>
            <w:r w:rsidRPr="00552FE3">
              <w:rPr>
                <w:rFonts w:ascii="Times New Roman" w:hAnsi="Times New Roman"/>
                <w:color w:val="000000"/>
                <w:sz w:val="24"/>
                <w:szCs w:val="24"/>
                <w:lang w:val="uk-UA"/>
              </w:rPr>
              <w:t>-</w:t>
            </w:r>
          </w:p>
        </w:tc>
        <w:tc>
          <w:tcPr>
            <w:tcW w:w="709"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center"/>
              <w:rPr>
                <w:rFonts w:ascii="Times New Roman" w:hAnsi="Times New Roman"/>
                <w:color w:val="000000"/>
                <w:sz w:val="24"/>
                <w:szCs w:val="24"/>
                <w:lang w:val="uk-UA"/>
              </w:rPr>
            </w:pPr>
          </w:p>
        </w:tc>
        <w:tc>
          <w:tcPr>
            <w:tcW w:w="567"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right"/>
              <w:rPr>
                <w:rFonts w:ascii="Times New Roman" w:hAnsi="Times New Roman"/>
                <w:color w:val="000000"/>
                <w:sz w:val="24"/>
                <w:szCs w:val="24"/>
                <w:lang w:val="uk-UA"/>
              </w:rPr>
            </w:pPr>
          </w:p>
        </w:tc>
        <w:tc>
          <w:tcPr>
            <w:tcW w:w="435"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right"/>
              <w:rPr>
                <w:rFonts w:ascii="Times New Roman" w:hAnsi="Times New Roman"/>
                <w:color w:val="000000"/>
                <w:sz w:val="24"/>
                <w:szCs w:val="24"/>
                <w:lang w:val="uk-UA"/>
              </w:rPr>
            </w:pPr>
          </w:p>
        </w:tc>
      </w:tr>
      <w:tr w:rsidR="003B67F9" w:rsidRPr="00552FE3" w:rsidTr="00ED7A85">
        <w:trPr>
          <w:trHeight w:val="1297"/>
        </w:trPr>
        <w:tc>
          <w:tcPr>
            <w:tcW w:w="2562"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rPr>
                <w:rFonts w:ascii="Times New Roman" w:hAnsi="Times New Roman"/>
                <w:color w:val="000000"/>
                <w:sz w:val="24"/>
                <w:szCs w:val="24"/>
                <w:lang w:val="uk-UA"/>
              </w:rPr>
            </w:pPr>
            <w:r w:rsidRPr="00552FE3">
              <w:rPr>
                <w:rFonts w:ascii="Times New Roman" w:hAnsi="Times New Roman"/>
                <w:sz w:val="24"/>
                <w:szCs w:val="24"/>
                <w:lang w:val="uk-UA"/>
              </w:rPr>
              <w:t>Активне ведення ІІІ періоду пологів</w:t>
            </w:r>
          </w:p>
        </w:tc>
        <w:tc>
          <w:tcPr>
            <w:tcW w:w="3108"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napToGrid w:val="0"/>
              <w:spacing w:line="276" w:lineRule="auto"/>
              <w:rPr>
                <w:rFonts w:ascii="Times New Roman" w:hAnsi="Times New Roman"/>
                <w:color w:val="000000"/>
                <w:sz w:val="24"/>
                <w:szCs w:val="24"/>
                <w:lang w:val="uk-UA"/>
              </w:rPr>
            </w:pPr>
            <w:r w:rsidRPr="00552FE3">
              <w:rPr>
                <w:rFonts w:ascii="Times New Roman" w:hAnsi="Times New Roman"/>
                <w:sz w:val="24"/>
                <w:szCs w:val="24"/>
                <w:lang w:val="uk-UA"/>
              </w:rPr>
              <w:t>Кількість пологів з активним ведення ІІІ періоду /загальна кількість пологів ×100</w:t>
            </w:r>
          </w:p>
        </w:tc>
        <w:tc>
          <w:tcPr>
            <w:tcW w:w="851"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center"/>
              <w:rPr>
                <w:rFonts w:ascii="Times New Roman" w:hAnsi="Times New Roman"/>
                <w:color w:val="000000"/>
                <w:sz w:val="24"/>
                <w:szCs w:val="24"/>
                <w:lang w:val="uk-UA"/>
              </w:rPr>
            </w:pPr>
            <w:r w:rsidRPr="00552FE3">
              <w:rPr>
                <w:rFonts w:ascii="Times New Roman" w:hAnsi="Times New Roman"/>
                <w:color w:val="000000"/>
                <w:sz w:val="24"/>
                <w:szCs w:val="24"/>
                <w:lang w:val="uk-UA"/>
              </w:rPr>
              <w:t>80,0</w:t>
            </w:r>
          </w:p>
        </w:tc>
        <w:tc>
          <w:tcPr>
            <w:tcW w:w="709"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center"/>
              <w:rPr>
                <w:rFonts w:ascii="Times New Roman" w:hAnsi="Times New Roman"/>
                <w:color w:val="000000"/>
                <w:sz w:val="24"/>
                <w:szCs w:val="24"/>
                <w:lang w:val="uk-UA"/>
              </w:rPr>
            </w:pPr>
            <w:r w:rsidRPr="00552FE3">
              <w:rPr>
                <w:rFonts w:ascii="Times New Roman" w:hAnsi="Times New Roman"/>
                <w:color w:val="000000"/>
                <w:sz w:val="24"/>
                <w:szCs w:val="24"/>
                <w:lang w:val="uk-UA"/>
              </w:rPr>
              <w:t>8</w:t>
            </w:r>
          </w:p>
        </w:tc>
        <w:tc>
          <w:tcPr>
            <w:tcW w:w="850"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center"/>
              <w:rPr>
                <w:rFonts w:ascii="Times New Roman" w:hAnsi="Times New Roman"/>
                <w:color w:val="000000"/>
                <w:sz w:val="24"/>
                <w:szCs w:val="24"/>
                <w:lang w:val="uk-UA"/>
              </w:rPr>
            </w:pPr>
            <w:r w:rsidRPr="00552FE3">
              <w:rPr>
                <w:rFonts w:ascii="Times New Roman" w:hAnsi="Times New Roman"/>
                <w:color w:val="000000"/>
                <w:sz w:val="24"/>
                <w:szCs w:val="24"/>
                <w:lang w:val="uk-UA"/>
              </w:rPr>
              <w:t>0,1</w:t>
            </w:r>
          </w:p>
        </w:tc>
        <w:tc>
          <w:tcPr>
            <w:tcW w:w="425"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center"/>
              <w:rPr>
                <w:rFonts w:ascii="Times New Roman" w:hAnsi="Times New Roman"/>
                <w:color w:val="000000"/>
                <w:sz w:val="24"/>
                <w:szCs w:val="24"/>
                <w:lang w:val="uk-UA"/>
              </w:rPr>
            </w:pPr>
            <w:r w:rsidRPr="00552FE3">
              <w:rPr>
                <w:rFonts w:ascii="Times New Roman" w:hAnsi="Times New Roman"/>
                <w:color w:val="000000"/>
                <w:sz w:val="24"/>
                <w:szCs w:val="24"/>
                <w:lang w:val="uk-UA"/>
              </w:rPr>
              <w:t>-</w:t>
            </w:r>
          </w:p>
        </w:tc>
        <w:tc>
          <w:tcPr>
            <w:tcW w:w="709"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center"/>
              <w:rPr>
                <w:rFonts w:ascii="Times New Roman" w:hAnsi="Times New Roman"/>
                <w:color w:val="000000"/>
                <w:sz w:val="24"/>
                <w:szCs w:val="24"/>
                <w:lang w:val="uk-UA"/>
              </w:rPr>
            </w:pPr>
          </w:p>
        </w:tc>
        <w:tc>
          <w:tcPr>
            <w:tcW w:w="567"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right"/>
              <w:rPr>
                <w:rFonts w:ascii="Times New Roman" w:hAnsi="Times New Roman"/>
                <w:color w:val="000000"/>
                <w:sz w:val="24"/>
                <w:szCs w:val="24"/>
                <w:lang w:val="uk-UA"/>
              </w:rPr>
            </w:pPr>
          </w:p>
        </w:tc>
        <w:tc>
          <w:tcPr>
            <w:tcW w:w="435"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right"/>
              <w:rPr>
                <w:rFonts w:ascii="Times New Roman" w:hAnsi="Times New Roman"/>
                <w:color w:val="000000"/>
                <w:sz w:val="24"/>
                <w:szCs w:val="24"/>
                <w:lang w:val="uk-UA"/>
              </w:rPr>
            </w:pPr>
          </w:p>
        </w:tc>
      </w:tr>
      <w:tr w:rsidR="003B67F9" w:rsidRPr="00552FE3" w:rsidTr="00ED7A85">
        <w:trPr>
          <w:trHeight w:val="990"/>
        </w:trPr>
        <w:tc>
          <w:tcPr>
            <w:tcW w:w="2562"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rPr>
                <w:rFonts w:ascii="Times New Roman" w:hAnsi="Times New Roman"/>
                <w:color w:val="000000"/>
                <w:sz w:val="24"/>
                <w:szCs w:val="24"/>
                <w:lang w:val="uk-UA"/>
              </w:rPr>
            </w:pPr>
            <w:r w:rsidRPr="00552FE3">
              <w:rPr>
                <w:rFonts w:ascii="Times New Roman" w:hAnsi="Times New Roman"/>
                <w:color w:val="000000"/>
                <w:sz w:val="24"/>
                <w:szCs w:val="24"/>
                <w:lang w:val="uk-UA"/>
              </w:rPr>
              <w:t>Частота розроджень вагітних шляхом кесаревого розтину</w:t>
            </w:r>
          </w:p>
        </w:tc>
        <w:tc>
          <w:tcPr>
            <w:tcW w:w="3108"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rPr>
                <w:rFonts w:ascii="Times New Roman" w:hAnsi="Times New Roman"/>
                <w:color w:val="000000"/>
                <w:sz w:val="24"/>
                <w:szCs w:val="24"/>
                <w:lang w:val="uk-UA"/>
              </w:rPr>
            </w:pPr>
            <w:r w:rsidRPr="00552FE3">
              <w:rPr>
                <w:rFonts w:ascii="Times New Roman" w:hAnsi="Times New Roman"/>
                <w:sz w:val="24"/>
                <w:szCs w:val="24"/>
                <w:lang w:val="uk-UA"/>
              </w:rPr>
              <w:t>Кількість пологів шляхом КР,  × 100 / загальна кількість пологів</w:t>
            </w:r>
          </w:p>
        </w:tc>
        <w:tc>
          <w:tcPr>
            <w:tcW w:w="851"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center"/>
              <w:rPr>
                <w:rFonts w:ascii="Times New Roman" w:hAnsi="Times New Roman"/>
                <w:color w:val="000000"/>
                <w:sz w:val="24"/>
                <w:szCs w:val="24"/>
                <w:lang w:val="uk-UA"/>
              </w:rPr>
            </w:pPr>
            <w:r w:rsidRPr="00552FE3">
              <w:rPr>
                <w:rFonts w:ascii="Times New Roman" w:hAnsi="Times New Roman"/>
                <w:color w:val="000000"/>
                <w:sz w:val="24"/>
                <w:szCs w:val="24"/>
                <w:lang w:val="uk-UA"/>
              </w:rPr>
              <w:t>18,0</w:t>
            </w:r>
          </w:p>
        </w:tc>
        <w:tc>
          <w:tcPr>
            <w:tcW w:w="709"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center"/>
              <w:rPr>
                <w:rFonts w:ascii="Times New Roman" w:hAnsi="Times New Roman"/>
                <w:color w:val="000000"/>
                <w:sz w:val="24"/>
                <w:szCs w:val="24"/>
                <w:lang w:val="uk-UA"/>
              </w:rPr>
            </w:pPr>
            <w:r w:rsidRPr="00552FE3">
              <w:rPr>
                <w:rFonts w:ascii="Times New Roman" w:hAnsi="Times New Roman"/>
                <w:color w:val="000000"/>
                <w:sz w:val="24"/>
                <w:szCs w:val="24"/>
                <w:lang w:val="uk-UA"/>
              </w:rPr>
              <w:t>7</w:t>
            </w:r>
          </w:p>
        </w:tc>
        <w:tc>
          <w:tcPr>
            <w:tcW w:w="850"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center"/>
              <w:rPr>
                <w:rFonts w:ascii="Times New Roman" w:hAnsi="Times New Roman"/>
                <w:color w:val="000000"/>
                <w:sz w:val="24"/>
                <w:szCs w:val="24"/>
                <w:lang w:val="uk-UA"/>
              </w:rPr>
            </w:pPr>
            <w:r w:rsidRPr="00552FE3">
              <w:rPr>
                <w:rFonts w:ascii="Times New Roman" w:hAnsi="Times New Roman"/>
                <w:color w:val="000000"/>
                <w:sz w:val="24"/>
                <w:szCs w:val="24"/>
                <w:lang w:val="uk-UA"/>
              </w:rPr>
              <w:t>0,4</w:t>
            </w:r>
          </w:p>
        </w:tc>
        <w:tc>
          <w:tcPr>
            <w:tcW w:w="425"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center"/>
              <w:rPr>
                <w:rFonts w:ascii="Times New Roman" w:hAnsi="Times New Roman"/>
                <w:color w:val="000000"/>
                <w:sz w:val="24"/>
                <w:szCs w:val="24"/>
                <w:lang w:val="uk-UA"/>
              </w:rPr>
            </w:pPr>
            <w:r w:rsidRPr="00552FE3">
              <w:rPr>
                <w:rFonts w:ascii="Times New Roman" w:hAnsi="Times New Roman"/>
                <w:color w:val="000000"/>
                <w:sz w:val="24"/>
                <w:szCs w:val="24"/>
                <w:lang w:val="uk-UA"/>
              </w:rPr>
              <w:t>+</w:t>
            </w:r>
          </w:p>
        </w:tc>
        <w:tc>
          <w:tcPr>
            <w:tcW w:w="709"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center"/>
              <w:rPr>
                <w:rFonts w:ascii="Times New Roman" w:hAnsi="Times New Roman"/>
                <w:color w:val="000000"/>
                <w:sz w:val="24"/>
                <w:szCs w:val="24"/>
                <w:lang w:val="uk-UA"/>
              </w:rPr>
            </w:pPr>
          </w:p>
        </w:tc>
        <w:tc>
          <w:tcPr>
            <w:tcW w:w="567"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right"/>
              <w:rPr>
                <w:rFonts w:ascii="Times New Roman" w:hAnsi="Times New Roman"/>
                <w:color w:val="000000"/>
                <w:sz w:val="24"/>
                <w:szCs w:val="24"/>
                <w:lang w:val="uk-UA"/>
              </w:rPr>
            </w:pPr>
          </w:p>
        </w:tc>
        <w:tc>
          <w:tcPr>
            <w:tcW w:w="435"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right"/>
              <w:rPr>
                <w:rFonts w:ascii="Times New Roman" w:hAnsi="Times New Roman"/>
                <w:color w:val="000000"/>
                <w:sz w:val="24"/>
                <w:szCs w:val="24"/>
                <w:lang w:val="uk-UA"/>
              </w:rPr>
            </w:pPr>
          </w:p>
        </w:tc>
      </w:tr>
      <w:tr w:rsidR="003B67F9" w:rsidRPr="00552FE3" w:rsidTr="00ED7A85">
        <w:trPr>
          <w:trHeight w:val="2322"/>
        </w:trPr>
        <w:tc>
          <w:tcPr>
            <w:tcW w:w="2562"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rPr>
                <w:rFonts w:ascii="Times New Roman" w:hAnsi="Times New Roman"/>
                <w:color w:val="000000"/>
                <w:sz w:val="24"/>
                <w:szCs w:val="24"/>
                <w:lang w:val="uk-UA"/>
              </w:rPr>
            </w:pPr>
            <w:r w:rsidRPr="00552FE3">
              <w:rPr>
                <w:rFonts w:ascii="Times New Roman" w:hAnsi="Times New Roman"/>
                <w:color w:val="000000"/>
                <w:sz w:val="24"/>
                <w:szCs w:val="24"/>
                <w:lang w:val="uk-UA"/>
              </w:rPr>
              <w:t>Своєчасність екстреного кесаревого розтину</w:t>
            </w:r>
          </w:p>
        </w:tc>
        <w:tc>
          <w:tcPr>
            <w:tcW w:w="3108"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rPr>
                <w:rFonts w:ascii="Times New Roman" w:hAnsi="Times New Roman"/>
                <w:color w:val="000000"/>
                <w:sz w:val="24"/>
                <w:szCs w:val="24"/>
                <w:lang w:val="uk-UA"/>
              </w:rPr>
            </w:pPr>
            <w:r w:rsidRPr="00552FE3">
              <w:rPr>
                <w:rFonts w:ascii="Times New Roman" w:hAnsi="Times New Roman"/>
                <w:color w:val="000000"/>
                <w:sz w:val="24"/>
                <w:szCs w:val="24"/>
                <w:lang w:val="uk-UA"/>
              </w:rPr>
              <w:t>Кількість екстрених кесаревих розтинів, розпочатих у перші 30</w:t>
            </w:r>
            <w:r w:rsidR="00F17D67" w:rsidRPr="00F17D67">
              <w:rPr>
                <w:rFonts w:ascii="Times New Roman" w:hAnsi="Times New Roman"/>
                <w:color w:val="000000"/>
                <w:sz w:val="24"/>
                <w:szCs w:val="24"/>
                <w:lang w:val="uk-UA"/>
              </w:rPr>
              <w:t xml:space="preserve"> </w:t>
            </w:r>
            <w:r w:rsidRPr="00552FE3">
              <w:rPr>
                <w:rFonts w:ascii="Times New Roman" w:hAnsi="Times New Roman"/>
                <w:color w:val="000000"/>
                <w:sz w:val="24"/>
                <w:szCs w:val="24"/>
                <w:lang w:val="uk-UA"/>
              </w:rPr>
              <w:t>хв.</w:t>
            </w:r>
            <w:r w:rsidR="00F17D67" w:rsidRPr="00F17D67">
              <w:rPr>
                <w:rFonts w:ascii="Times New Roman" w:hAnsi="Times New Roman"/>
                <w:color w:val="000000"/>
                <w:sz w:val="24"/>
                <w:szCs w:val="24"/>
                <w:lang w:val="uk-UA"/>
              </w:rPr>
              <w:t xml:space="preserve"> </w:t>
            </w:r>
            <w:r w:rsidRPr="00552FE3">
              <w:rPr>
                <w:rFonts w:ascii="Times New Roman" w:hAnsi="Times New Roman"/>
                <w:color w:val="000000"/>
                <w:sz w:val="24"/>
                <w:szCs w:val="24"/>
                <w:lang w:val="uk-UA"/>
              </w:rPr>
              <w:t xml:space="preserve">після прийняття рішення </w:t>
            </w:r>
            <w:r w:rsidRPr="00552FE3">
              <w:rPr>
                <w:rFonts w:ascii="Times New Roman" w:hAnsi="Times New Roman"/>
                <w:sz w:val="24"/>
                <w:szCs w:val="24"/>
                <w:lang w:val="uk-UA"/>
              </w:rPr>
              <w:t>×</w:t>
            </w:r>
            <w:r w:rsidR="00F17D67" w:rsidRPr="00F17D67">
              <w:rPr>
                <w:rFonts w:ascii="Times New Roman" w:hAnsi="Times New Roman"/>
                <w:sz w:val="24"/>
                <w:szCs w:val="24"/>
                <w:lang w:val="uk-UA"/>
              </w:rPr>
              <w:t xml:space="preserve"> </w:t>
            </w:r>
            <w:r w:rsidRPr="00552FE3">
              <w:rPr>
                <w:rFonts w:ascii="Times New Roman" w:hAnsi="Times New Roman"/>
                <w:color w:val="000000"/>
                <w:sz w:val="24"/>
                <w:szCs w:val="24"/>
                <w:lang w:val="uk-UA"/>
              </w:rPr>
              <w:t>100</w:t>
            </w:r>
            <w:r w:rsidR="004B538A" w:rsidRPr="004B538A">
              <w:rPr>
                <w:rFonts w:ascii="Times New Roman" w:hAnsi="Times New Roman"/>
                <w:color w:val="000000"/>
                <w:sz w:val="24"/>
                <w:szCs w:val="24"/>
                <w:lang w:val="uk-UA"/>
              </w:rPr>
              <w:t xml:space="preserve"> </w:t>
            </w:r>
            <w:r w:rsidRPr="00552FE3">
              <w:rPr>
                <w:rFonts w:ascii="Times New Roman" w:hAnsi="Times New Roman"/>
                <w:color w:val="000000"/>
                <w:sz w:val="24"/>
                <w:szCs w:val="24"/>
                <w:lang w:val="uk-UA"/>
              </w:rPr>
              <w:t xml:space="preserve">/ загальна  кількість екстрених кесаревих розтинів </w:t>
            </w:r>
          </w:p>
        </w:tc>
        <w:tc>
          <w:tcPr>
            <w:tcW w:w="851"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center"/>
              <w:rPr>
                <w:rFonts w:ascii="Times New Roman" w:hAnsi="Times New Roman"/>
                <w:color w:val="000000"/>
                <w:sz w:val="24"/>
                <w:szCs w:val="24"/>
                <w:lang w:val="uk-UA"/>
              </w:rPr>
            </w:pPr>
            <w:r w:rsidRPr="00552FE3">
              <w:rPr>
                <w:rFonts w:ascii="Times New Roman" w:hAnsi="Times New Roman"/>
                <w:color w:val="000000"/>
                <w:sz w:val="24"/>
                <w:szCs w:val="24"/>
                <w:lang w:val="uk-UA"/>
              </w:rPr>
              <w:t>95</w:t>
            </w:r>
          </w:p>
        </w:tc>
        <w:tc>
          <w:tcPr>
            <w:tcW w:w="709"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center"/>
              <w:rPr>
                <w:rFonts w:ascii="Times New Roman" w:hAnsi="Times New Roman"/>
                <w:color w:val="000000"/>
                <w:sz w:val="24"/>
                <w:szCs w:val="24"/>
                <w:lang w:val="uk-UA"/>
              </w:rPr>
            </w:pPr>
            <w:r w:rsidRPr="00552FE3">
              <w:rPr>
                <w:rFonts w:ascii="Times New Roman" w:hAnsi="Times New Roman"/>
                <w:color w:val="000000"/>
                <w:sz w:val="24"/>
                <w:szCs w:val="24"/>
                <w:lang w:val="uk-UA"/>
              </w:rPr>
              <w:t>8</w:t>
            </w:r>
          </w:p>
        </w:tc>
        <w:tc>
          <w:tcPr>
            <w:tcW w:w="850"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center"/>
              <w:rPr>
                <w:rFonts w:ascii="Times New Roman" w:hAnsi="Times New Roman"/>
                <w:color w:val="000000"/>
                <w:sz w:val="24"/>
                <w:szCs w:val="24"/>
                <w:lang w:val="uk-UA"/>
              </w:rPr>
            </w:pPr>
            <w:r w:rsidRPr="00552FE3">
              <w:rPr>
                <w:rFonts w:ascii="Times New Roman" w:hAnsi="Times New Roman"/>
                <w:color w:val="000000"/>
                <w:sz w:val="24"/>
                <w:szCs w:val="24"/>
                <w:lang w:val="uk-UA"/>
              </w:rPr>
              <w:t>0,08</w:t>
            </w:r>
          </w:p>
        </w:tc>
        <w:tc>
          <w:tcPr>
            <w:tcW w:w="425"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center"/>
              <w:rPr>
                <w:rFonts w:ascii="Times New Roman" w:hAnsi="Times New Roman"/>
                <w:color w:val="000000"/>
                <w:sz w:val="24"/>
                <w:szCs w:val="24"/>
                <w:lang w:val="uk-UA"/>
              </w:rPr>
            </w:pPr>
            <w:r w:rsidRPr="00552FE3">
              <w:rPr>
                <w:rFonts w:ascii="Times New Roman" w:hAnsi="Times New Roman"/>
                <w:color w:val="000000"/>
                <w:sz w:val="24"/>
                <w:szCs w:val="24"/>
                <w:lang w:val="uk-UA"/>
              </w:rPr>
              <w:t>-</w:t>
            </w:r>
          </w:p>
        </w:tc>
        <w:tc>
          <w:tcPr>
            <w:tcW w:w="709"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center"/>
              <w:rPr>
                <w:rFonts w:ascii="Times New Roman" w:hAnsi="Times New Roman"/>
                <w:color w:val="000000"/>
                <w:sz w:val="24"/>
                <w:szCs w:val="24"/>
                <w:lang w:val="uk-UA"/>
              </w:rPr>
            </w:pPr>
          </w:p>
        </w:tc>
        <w:tc>
          <w:tcPr>
            <w:tcW w:w="567"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right"/>
              <w:rPr>
                <w:rFonts w:ascii="Times New Roman" w:hAnsi="Times New Roman"/>
                <w:color w:val="000000"/>
                <w:sz w:val="24"/>
                <w:szCs w:val="24"/>
                <w:lang w:val="uk-UA"/>
              </w:rPr>
            </w:pPr>
          </w:p>
        </w:tc>
        <w:tc>
          <w:tcPr>
            <w:tcW w:w="435"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right"/>
              <w:rPr>
                <w:rFonts w:ascii="Times New Roman" w:hAnsi="Times New Roman"/>
                <w:color w:val="000000"/>
                <w:sz w:val="24"/>
                <w:szCs w:val="24"/>
                <w:lang w:val="uk-UA"/>
              </w:rPr>
            </w:pPr>
          </w:p>
        </w:tc>
      </w:tr>
      <w:tr w:rsidR="003B67F9" w:rsidRPr="00552FE3" w:rsidTr="00ED7A85">
        <w:trPr>
          <w:trHeight w:val="81"/>
        </w:trPr>
        <w:tc>
          <w:tcPr>
            <w:tcW w:w="2562"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rPr>
                <w:rFonts w:ascii="Times New Roman" w:hAnsi="Times New Roman"/>
                <w:color w:val="000000"/>
                <w:sz w:val="24"/>
                <w:szCs w:val="24"/>
                <w:lang w:val="uk-UA"/>
              </w:rPr>
            </w:pPr>
            <w:r w:rsidRPr="00552FE3">
              <w:rPr>
                <w:rFonts w:ascii="Times New Roman" w:hAnsi="Times New Roman"/>
                <w:color w:val="000000"/>
                <w:sz w:val="24"/>
                <w:szCs w:val="24"/>
                <w:lang w:val="uk-UA"/>
              </w:rPr>
              <w:t>Частота кровотеч в послідовому і післяродовому періодах</w:t>
            </w:r>
          </w:p>
        </w:tc>
        <w:tc>
          <w:tcPr>
            <w:tcW w:w="3108"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rPr>
                <w:rFonts w:ascii="Times New Roman" w:hAnsi="Times New Roman"/>
                <w:color w:val="000000"/>
                <w:sz w:val="24"/>
                <w:szCs w:val="24"/>
                <w:lang w:val="uk-UA"/>
              </w:rPr>
            </w:pPr>
            <w:r w:rsidRPr="00552FE3">
              <w:rPr>
                <w:rFonts w:ascii="Times New Roman" w:hAnsi="Times New Roman"/>
                <w:iCs/>
                <w:color w:val="000000"/>
                <w:kern w:val="28"/>
                <w:sz w:val="24"/>
                <w:szCs w:val="24"/>
                <w:lang w:val="uk-UA"/>
              </w:rPr>
              <w:t xml:space="preserve"> </w:t>
            </w:r>
            <w:r w:rsidRPr="00552FE3">
              <w:rPr>
                <w:rFonts w:ascii="Times New Roman" w:hAnsi="Times New Roman"/>
                <w:sz w:val="24"/>
                <w:szCs w:val="24"/>
                <w:lang w:val="uk-UA"/>
              </w:rPr>
              <w:t>Кількість породіль, у яких були кровотечі в післяпологовому періоді,  × 1000 / загальна кількість виписаних породіль</w:t>
            </w:r>
          </w:p>
        </w:tc>
        <w:tc>
          <w:tcPr>
            <w:tcW w:w="851"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center"/>
              <w:rPr>
                <w:rFonts w:ascii="Times New Roman" w:hAnsi="Times New Roman"/>
                <w:color w:val="000000"/>
                <w:sz w:val="24"/>
                <w:szCs w:val="24"/>
                <w:lang w:val="uk-UA"/>
              </w:rPr>
            </w:pPr>
            <w:r w:rsidRPr="00552FE3">
              <w:rPr>
                <w:rFonts w:ascii="Times New Roman" w:hAnsi="Times New Roman"/>
                <w:color w:val="000000"/>
                <w:sz w:val="24"/>
                <w:szCs w:val="24"/>
                <w:lang w:val="uk-UA"/>
              </w:rPr>
              <w:t>6,0</w:t>
            </w:r>
          </w:p>
        </w:tc>
        <w:tc>
          <w:tcPr>
            <w:tcW w:w="709"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center"/>
              <w:rPr>
                <w:rFonts w:ascii="Times New Roman" w:hAnsi="Times New Roman"/>
                <w:color w:val="000000"/>
                <w:sz w:val="24"/>
                <w:szCs w:val="24"/>
                <w:lang w:val="uk-UA"/>
              </w:rPr>
            </w:pPr>
            <w:r w:rsidRPr="00552FE3">
              <w:rPr>
                <w:rFonts w:ascii="Times New Roman" w:hAnsi="Times New Roman"/>
                <w:color w:val="000000"/>
                <w:sz w:val="24"/>
                <w:szCs w:val="24"/>
                <w:lang w:val="uk-UA"/>
              </w:rPr>
              <w:t>7</w:t>
            </w:r>
          </w:p>
        </w:tc>
        <w:tc>
          <w:tcPr>
            <w:tcW w:w="850"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center"/>
              <w:rPr>
                <w:rFonts w:ascii="Times New Roman" w:hAnsi="Times New Roman"/>
                <w:color w:val="000000"/>
                <w:sz w:val="24"/>
                <w:szCs w:val="24"/>
                <w:lang w:val="uk-UA"/>
              </w:rPr>
            </w:pPr>
            <w:r w:rsidRPr="00552FE3">
              <w:rPr>
                <w:rFonts w:ascii="Times New Roman" w:hAnsi="Times New Roman"/>
                <w:color w:val="000000"/>
                <w:sz w:val="24"/>
                <w:szCs w:val="24"/>
                <w:lang w:val="uk-UA"/>
              </w:rPr>
              <w:t>1,17</w:t>
            </w:r>
          </w:p>
        </w:tc>
        <w:tc>
          <w:tcPr>
            <w:tcW w:w="425"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center"/>
              <w:rPr>
                <w:rFonts w:ascii="Times New Roman" w:hAnsi="Times New Roman"/>
                <w:color w:val="000000"/>
                <w:sz w:val="24"/>
                <w:szCs w:val="24"/>
                <w:lang w:val="uk-UA"/>
              </w:rPr>
            </w:pPr>
            <w:r w:rsidRPr="00552FE3">
              <w:rPr>
                <w:rFonts w:ascii="Times New Roman" w:hAnsi="Times New Roman"/>
                <w:color w:val="000000"/>
                <w:sz w:val="24"/>
                <w:szCs w:val="24"/>
                <w:lang w:val="uk-UA"/>
              </w:rPr>
              <w:t>+</w:t>
            </w:r>
          </w:p>
        </w:tc>
        <w:tc>
          <w:tcPr>
            <w:tcW w:w="709"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center"/>
              <w:rPr>
                <w:rFonts w:ascii="Times New Roman" w:hAnsi="Times New Roman"/>
                <w:color w:val="000000"/>
                <w:sz w:val="24"/>
                <w:szCs w:val="24"/>
                <w:lang w:val="uk-UA"/>
              </w:rPr>
            </w:pPr>
          </w:p>
        </w:tc>
        <w:tc>
          <w:tcPr>
            <w:tcW w:w="567"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right"/>
              <w:rPr>
                <w:rFonts w:ascii="Times New Roman" w:hAnsi="Times New Roman"/>
                <w:color w:val="000000"/>
                <w:sz w:val="24"/>
                <w:szCs w:val="24"/>
                <w:lang w:val="uk-UA"/>
              </w:rPr>
            </w:pPr>
          </w:p>
        </w:tc>
        <w:tc>
          <w:tcPr>
            <w:tcW w:w="435"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right"/>
              <w:rPr>
                <w:rFonts w:ascii="Times New Roman" w:hAnsi="Times New Roman"/>
                <w:color w:val="000000"/>
                <w:sz w:val="24"/>
                <w:szCs w:val="24"/>
                <w:lang w:val="uk-UA"/>
              </w:rPr>
            </w:pPr>
          </w:p>
        </w:tc>
      </w:tr>
      <w:tr w:rsidR="003B67F9" w:rsidRPr="00552FE3" w:rsidTr="00ED7A85">
        <w:trPr>
          <w:trHeight w:val="1689"/>
        </w:trPr>
        <w:tc>
          <w:tcPr>
            <w:tcW w:w="2562"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rPr>
                <w:rFonts w:ascii="Times New Roman" w:hAnsi="Times New Roman"/>
                <w:sz w:val="24"/>
                <w:szCs w:val="24"/>
                <w:lang w:val="uk-UA"/>
              </w:rPr>
            </w:pPr>
            <w:r w:rsidRPr="00552FE3">
              <w:rPr>
                <w:rFonts w:ascii="Times New Roman" w:hAnsi="Times New Roman"/>
                <w:sz w:val="24"/>
                <w:szCs w:val="24"/>
                <w:lang w:val="uk-UA"/>
              </w:rPr>
              <w:t xml:space="preserve"> Частота новонароджених з масою тіла  1500 -2500г(термін гестації  34 -37тижнів)</w:t>
            </w:r>
          </w:p>
        </w:tc>
        <w:tc>
          <w:tcPr>
            <w:tcW w:w="3108"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rPr>
                <w:rFonts w:ascii="Times New Roman" w:hAnsi="Times New Roman"/>
                <w:iCs/>
                <w:color w:val="000000"/>
                <w:kern w:val="28"/>
                <w:sz w:val="24"/>
                <w:szCs w:val="24"/>
                <w:lang w:val="uk-UA"/>
              </w:rPr>
            </w:pPr>
            <w:r w:rsidRPr="00552FE3">
              <w:rPr>
                <w:rFonts w:ascii="Times New Roman" w:hAnsi="Times New Roman"/>
                <w:iCs/>
                <w:color w:val="000000"/>
                <w:kern w:val="28"/>
                <w:sz w:val="24"/>
                <w:szCs w:val="24"/>
                <w:lang w:val="uk-UA"/>
              </w:rPr>
              <w:t xml:space="preserve">Кількість </w:t>
            </w:r>
            <w:r w:rsidRPr="00552FE3">
              <w:rPr>
                <w:rFonts w:ascii="Times New Roman" w:hAnsi="Times New Roman"/>
                <w:sz w:val="24"/>
                <w:szCs w:val="24"/>
                <w:lang w:val="uk-UA"/>
              </w:rPr>
              <w:t>новонароджених з масою тіла 1500-2500</w:t>
            </w:r>
            <w:r w:rsidR="004B538A" w:rsidRPr="004B538A">
              <w:rPr>
                <w:rFonts w:ascii="Times New Roman" w:hAnsi="Times New Roman"/>
                <w:sz w:val="24"/>
                <w:szCs w:val="24"/>
                <w:lang w:val="uk-UA"/>
              </w:rPr>
              <w:t xml:space="preserve"> </w:t>
            </w:r>
            <w:r w:rsidRPr="00552FE3">
              <w:rPr>
                <w:rFonts w:ascii="Times New Roman" w:hAnsi="Times New Roman"/>
                <w:sz w:val="24"/>
                <w:szCs w:val="24"/>
                <w:lang w:val="uk-UA"/>
              </w:rPr>
              <w:t>г (термін гестації  34 – 37 тижнів) ×</w:t>
            </w:r>
            <w:r w:rsidR="00F17D67" w:rsidRPr="00F17D67">
              <w:rPr>
                <w:rFonts w:ascii="Times New Roman" w:hAnsi="Times New Roman"/>
                <w:sz w:val="24"/>
                <w:szCs w:val="24"/>
                <w:lang w:val="uk-UA"/>
              </w:rPr>
              <w:t xml:space="preserve"> </w:t>
            </w:r>
            <w:r w:rsidRPr="00552FE3">
              <w:rPr>
                <w:rFonts w:ascii="Times New Roman" w:hAnsi="Times New Roman"/>
                <w:sz w:val="24"/>
                <w:szCs w:val="24"/>
                <w:lang w:val="uk-UA"/>
              </w:rPr>
              <w:t>100</w:t>
            </w:r>
            <w:r w:rsidR="00F17D67" w:rsidRPr="00F17D67">
              <w:rPr>
                <w:rFonts w:ascii="Times New Roman" w:hAnsi="Times New Roman"/>
                <w:sz w:val="24"/>
                <w:szCs w:val="24"/>
                <w:lang w:val="uk-UA"/>
              </w:rPr>
              <w:t xml:space="preserve"> </w:t>
            </w:r>
            <w:r w:rsidRPr="00552FE3">
              <w:rPr>
                <w:rFonts w:ascii="Times New Roman" w:hAnsi="Times New Roman"/>
                <w:sz w:val="24"/>
                <w:szCs w:val="24"/>
                <w:lang w:val="uk-UA"/>
              </w:rPr>
              <w:t>/</w:t>
            </w:r>
            <w:r w:rsidR="00F17D67" w:rsidRPr="00F17D67">
              <w:rPr>
                <w:rFonts w:ascii="Times New Roman" w:hAnsi="Times New Roman"/>
                <w:sz w:val="24"/>
                <w:szCs w:val="24"/>
                <w:lang w:val="uk-UA"/>
              </w:rPr>
              <w:t xml:space="preserve"> </w:t>
            </w:r>
            <w:r w:rsidRPr="00552FE3">
              <w:rPr>
                <w:rFonts w:ascii="Times New Roman" w:hAnsi="Times New Roman"/>
                <w:sz w:val="24"/>
                <w:szCs w:val="24"/>
                <w:lang w:val="uk-UA"/>
              </w:rPr>
              <w:t xml:space="preserve">загальна </w:t>
            </w:r>
            <w:r w:rsidRPr="00552FE3">
              <w:rPr>
                <w:rFonts w:ascii="Times New Roman" w:hAnsi="Times New Roman"/>
                <w:iCs/>
                <w:color w:val="000000"/>
                <w:kern w:val="28"/>
                <w:sz w:val="24"/>
                <w:szCs w:val="24"/>
                <w:lang w:val="uk-UA"/>
              </w:rPr>
              <w:t xml:space="preserve">кількість </w:t>
            </w:r>
            <w:r w:rsidRPr="00552FE3">
              <w:rPr>
                <w:rFonts w:ascii="Times New Roman" w:hAnsi="Times New Roman"/>
                <w:sz w:val="24"/>
                <w:szCs w:val="24"/>
                <w:lang w:val="uk-UA"/>
              </w:rPr>
              <w:t>новонароджених</w:t>
            </w:r>
          </w:p>
        </w:tc>
        <w:tc>
          <w:tcPr>
            <w:tcW w:w="851"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center"/>
              <w:rPr>
                <w:rFonts w:ascii="Times New Roman" w:hAnsi="Times New Roman"/>
                <w:color w:val="000000"/>
                <w:sz w:val="24"/>
                <w:szCs w:val="24"/>
                <w:lang w:val="uk-UA"/>
              </w:rPr>
            </w:pPr>
            <w:r w:rsidRPr="00552FE3">
              <w:rPr>
                <w:rFonts w:ascii="Times New Roman" w:hAnsi="Times New Roman"/>
                <w:color w:val="000000"/>
                <w:sz w:val="24"/>
                <w:szCs w:val="24"/>
                <w:lang w:val="uk-UA"/>
              </w:rPr>
              <w:t>10,0</w:t>
            </w:r>
          </w:p>
        </w:tc>
        <w:tc>
          <w:tcPr>
            <w:tcW w:w="709"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center"/>
              <w:rPr>
                <w:rFonts w:ascii="Times New Roman" w:hAnsi="Times New Roman"/>
                <w:color w:val="000000"/>
                <w:sz w:val="24"/>
                <w:szCs w:val="24"/>
                <w:lang w:val="uk-UA"/>
              </w:rPr>
            </w:pPr>
            <w:r w:rsidRPr="00552FE3">
              <w:rPr>
                <w:rFonts w:ascii="Times New Roman" w:hAnsi="Times New Roman"/>
                <w:color w:val="000000"/>
                <w:sz w:val="24"/>
                <w:szCs w:val="24"/>
                <w:lang w:val="uk-UA"/>
              </w:rPr>
              <w:t>8</w:t>
            </w:r>
          </w:p>
        </w:tc>
        <w:tc>
          <w:tcPr>
            <w:tcW w:w="850"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center"/>
              <w:rPr>
                <w:rFonts w:ascii="Times New Roman" w:hAnsi="Times New Roman"/>
                <w:color w:val="000000"/>
                <w:sz w:val="24"/>
                <w:szCs w:val="24"/>
                <w:lang w:val="uk-UA"/>
              </w:rPr>
            </w:pPr>
            <w:r w:rsidRPr="00552FE3">
              <w:rPr>
                <w:rFonts w:ascii="Times New Roman" w:hAnsi="Times New Roman"/>
                <w:color w:val="000000"/>
                <w:sz w:val="24"/>
                <w:szCs w:val="24"/>
                <w:lang w:val="uk-UA"/>
              </w:rPr>
              <w:t>0,8</w:t>
            </w:r>
          </w:p>
        </w:tc>
        <w:tc>
          <w:tcPr>
            <w:tcW w:w="425"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center"/>
              <w:rPr>
                <w:rFonts w:ascii="Times New Roman" w:hAnsi="Times New Roman"/>
                <w:color w:val="000000"/>
                <w:sz w:val="24"/>
                <w:szCs w:val="24"/>
                <w:lang w:val="uk-UA"/>
              </w:rPr>
            </w:pPr>
            <w:r w:rsidRPr="00552FE3">
              <w:rPr>
                <w:rFonts w:ascii="Times New Roman" w:hAnsi="Times New Roman"/>
                <w:color w:val="000000"/>
                <w:sz w:val="24"/>
                <w:szCs w:val="24"/>
                <w:lang w:val="uk-UA"/>
              </w:rPr>
              <w:t>-</w:t>
            </w:r>
          </w:p>
        </w:tc>
        <w:tc>
          <w:tcPr>
            <w:tcW w:w="709"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center"/>
              <w:rPr>
                <w:rFonts w:ascii="Times New Roman" w:hAnsi="Times New Roman"/>
                <w:color w:val="000000"/>
                <w:sz w:val="24"/>
                <w:szCs w:val="24"/>
                <w:lang w:val="uk-UA"/>
              </w:rPr>
            </w:pPr>
          </w:p>
        </w:tc>
        <w:tc>
          <w:tcPr>
            <w:tcW w:w="567"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right"/>
              <w:rPr>
                <w:rFonts w:ascii="Times New Roman" w:hAnsi="Times New Roman"/>
                <w:color w:val="000000"/>
                <w:sz w:val="24"/>
                <w:szCs w:val="24"/>
                <w:lang w:val="uk-UA"/>
              </w:rPr>
            </w:pPr>
          </w:p>
        </w:tc>
        <w:tc>
          <w:tcPr>
            <w:tcW w:w="435"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right"/>
              <w:rPr>
                <w:rFonts w:ascii="Times New Roman" w:hAnsi="Times New Roman"/>
                <w:color w:val="000000"/>
                <w:sz w:val="24"/>
                <w:szCs w:val="24"/>
                <w:lang w:val="uk-UA"/>
              </w:rPr>
            </w:pPr>
          </w:p>
        </w:tc>
      </w:tr>
      <w:tr w:rsidR="003B67F9" w:rsidRPr="00552FE3" w:rsidTr="00ED7A85">
        <w:trPr>
          <w:trHeight w:val="1681"/>
        </w:trPr>
        <w:tc>
          <w:tcPr>
            <w:tcW w:w="2562"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rPr>
                <w:rFonts w:ascii="Times New Roman" w:hAnsi="Times New Roman"/>
                <w:color w:val="000000"/>
                <w:sz w:val="24"/>
                <w:szCs w:val="24"/>
                <w:lang w:val="uk-UA"/>
              </w:rPr>
            </w:pPr>
            <w:r w:rsidRPr="00552FE3">
              <w:rPr>
                <w:rFonts w:ascii="Times New Roman" w:hAnsi="Times New Roman"/>
                <w:color w:val="000000"/>
                <w:sz w:val="24"/>
                <w:szCs w:val="24"/>
                <w:lang w:val="uk-UA"/>
              </w:rPr>
              <w:t>Питома вага новонароджених з виключно грудним вигодовуванням</w:t>
            </w:r>
          </w:p>
        </w:tc>
        <w:tc>
          <w:tcPr>
            <w:tcW w:w="3108"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rPr>
                <w:rFonts w:ascii="Times New Roman" w:hAnsi="Times New Roman"/>
                <w:color w:val="000000"/>
                <w:sz w:val="24"/>
                <w:szCs w:val="24"/>
                <w:lang w:val="uk-UA"/>
              </w:rPr>
            </w:pPr>
            <w:r w:rsidRPr="00552FE3">
              <w:rPr>
                <w:rFonts w:ascii="Times New Roman" w:hAnsi="Times New Roman"/>
                <w:sz w:val="24"/>
                <w:szCs w:val="24"/>
                <w:lang w:val="uk-UA"/>
              </w:rPr>
              <w:t xml:space="preserve">Кількість новонароджених, виписаних на виключно грудному вигодовуванні, </w:t>
            </w:r>
            <w:r w:rsidRPr="00552FE3">
              <w:rPr>
                <w:rFonts w:ascii="Times New Roman" w:hAnsi="Times New Roman"/>
                <w:sz w:val="24"/>
                <w:szCs w:val="24"/>
                <w:lang w:val="uk-UA"/>
              </w:rPr>
              <w:br/>
              <w:t> × 100 / загальна кількість виписаних новонароджених</w:t>
            </w:r>
          </w:p>
        </w:tc>
        <w:tc>
          <w:tcPr>
            <w:tcW w:w="851"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center"/>
              <w:rPr>
                <w:rFonts w:ascii="Times New Roman" w:hAnsi="Times New Roman"/>
                <w:color w:val="000000"/>
                <w:sz w:val="24"/>
                <w:szCs w:val="24"/>
                <w:lang w:val="uk-UA"/>
              </w:rPr>
            </w:pPr>
            <w:r w:rsidRPr="00552FE3">
              <w:rPr>
                <w:rFonts w:ascii="Times New Roman" w:hAnsi="Times New Roman"/>
                <w:color w:val="000000"/>
                <w:sz w:val="24"/>
                <w:szCs w:val="24"/>
                <w:lang w:val="uk-UA"/>
              </w:rPr>
              <w:t>95,0</w:t>
            </w:r>
          </w:p>
        </w:tc>
        <w:tc>
          <w:tcPr>
            <w:tcW w:w="709"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center"/>
              <w:rPr>
                <w:rFonts w:ascii="Times New Roman" w:hAnsi="Times New Roman"/>
                <w:color w:val="000000"/>
                <w:sz w:val="24"/>
                <w:szCs w:val="24"/>
                <w:lang w:val="uk-UA"/>
              </w:rPr>
            </w:pPr>
            <w:r w:rsidRPr="00552FE3">
              <w:rPr>
                <w:rFonts w:ascii="Times New Roman" w:hAnsi="Times New Roman"/>
                <w:color w:val="000000"/>
                <w:sz w:val="24"/>
                <w:szCs w:val="24"/>
                <w:lang w:val="uk-UA"/>
              </w:rPr>
              <w:t>7</w:t>
            </w:r>
          </w:p>
        </w:tc>
        <w:tc>
          <w:tcPr>
            <w:tcW w:w="850"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center"/>
              <w:rPr>
                <w:rFonts w:ascii="Times New Roman" w:hAnsi="Times New Roman"/>
                <w:color w:val="000000"/>
                <w:sz w:val="24"/>
                <w:szCs w:val="24"/>
                <w:lang w:val="uk-UA"/>
              </w:rPr>
            </w:pPr>
            <w:r w:rsidRPr="00552FE3">
              <w:rPr>
                <w:rFonts w:ascii="Times New Roman" w:hAnsi="Times New Roman"/>
                <w:color w:val="000000"/>
                <w:sz w:val="24"/>
                <w:szCs w:val="24"/>
                <w:lang w:val="uk-UA"/>
              </w:rPr>
              <w:t>0,07</w:t>
            </w:r>
          </w:p>
        </w:tc>
        <w:tc>
          <w:tcPr>
            <w:tcW w:w="425"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center"/>
              <w:rPr>
                <w:rFonts w:ascii="Times New Roman" w:hAnsi="Times New Roman"/>
                <w:color w:val="000000"/>
                <w:sz w:val="24"/>
                <w:szCs w:val="24"/>
                <w:lang w:val="uk-UA"/>
              </w:rPr>
            </w:pPr>
            <w:r w:rsidRPr="00552FE3">
              <w:rPr>
                <w:rFonts w:ascii="Times New Roman" w:hAnsi="Times New Roman"/>
                <w:color w:val="000000"/>
                <w:sz w:val="24"/>
                <w:szCs w:val="24"/>
                <w:lang w:val="uk-UA"/>
              </w:rPr>
              <w:t>-</w:t>
            </w:r>
          </w:p>
        </w:tc>
        <w:tc>
          <w:tcPr>
            <w:tcW w:w="709"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center"/>
              <w:rPr>
                <w:rFonts w:ascii="Times New Roman" w:hAnsi="Times New Roman"/>
                <w:color w:val="000000"/>
                <w:sz w:val="24"/>
                <w:szCs w:val="24"/>
                <w:lang w:val="uk-UA"/>
              </w:rPr>
            </w:pPr>
          </w:p>
        </w:tc>
        <w:tc>
          <w:tcPr>
            <w:tcW w:w="567"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right"/>
              <w:rPr>
                <w:rFonts w:ascii="Times New Roman" w:hAnsi="Times New Roman"/>
                <w:color w:val="000000"/>
                <w:sz w:val="24"/>
                <w:szCs w:val="24"/>
                <w:lang w:val="uk-UA"/>
              </w:rPr>
            </w:pPr>
          </w:p>
        </w:tc>
        <w:tc>
          <w:tcPr>
            <w:tcW w:w="435"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right"/>
              <w:rPr>
                <w:rFonts w:ascii="Times New Roman" w:hAnsi="Times New Roman"/>
                <w:color w:val="000000"/>
                <w:sz w:val="24"/>
                <w:szCs w:val="24"/>
                <w:lang w:val="uk-UA"/>
              </w:rPr>
            </w:pPr>
          </w:p>
        </w:tc>
      </w:tr>
    </w:tbl>
    <w:p w:rsidR="00B10A22" w:rsidRDefault="00B10A22" w:rsidP="00ED7A85">
      <w:pPr>
        <w:jc w:val="right"/>
        <w:rPr>
          <w:i/>
          <w:lang w:val="ru-RU"/>
        </w:rPr>
      </w:pPr>
    </w:p>
    <w:p w:rsidR="00ED7A85" w:rsidRPr="00ED7A85" w:rsidRDefault="00ED7A85" w:rsidP="00F159BE">
      <w:pPr>
        <w:pageBreakBefore/>
        <w:jc w:val="right"/>
        <w:rPr>
          <w:i/>
          <w:lang w:val="ru-RU"/>
        </w:rPr>
      </w:pPr>
      <w:r w:rsidRPr="00ED7A85">
        <w:rPr>
          <w:i/>
          <w:lang w:val="ru-RU"/>
        </w:rPr>
        <w:lastRenderedPageBreak/>
        <w:t>Продовження табл. 7.4</w:t>
      </w:r>
    </w:p>
    <w:tbl>
      <w:tblPr>
        <w:tblStyle w:val="a6"/>
        <w:tblW w:w="0" w:type="auto"/>
        <w:tblInd w:w="108" w:type="dxa"/>
        <w:tblLook w:val="01E0" w:firstRow="1" w:lastRow="1" w:firstColumn="1" w:lastColumn="1" w:noHBand="0" w:noVBand="0"/>
      </w:tblPr>
      <w:tblGrid>
        <w:gridCol w:w="2562"/>
        <w:gridCol w:w="3108"/>
        <w:gridCol w:w="851"/>
        <w:gridCol w:w="709"/>
        <w:gridCol w:w="850"/>
        <w:gridCol w:w="425"/>
        <w:gridCol w:w="709"/>
        <w:gridCol w:w="567"/>
        <w:gridCol w:w="435"/>
      </w:tblGrid>
      <w:tr w:rsidR="003B67F9" w:rsidRPr="00552FE3" w:rsidTr="00610154">
        <w:trPr>
          <w:trHeight w:val="1728"/>
        </w:trPr>
        <w:tc>
          <w:tcPr>
            <w:tcW w:w="2562"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rPr>
                <w:rFonts w:ascii="Times New Roman" w:hAnsi="Times New Roman"/>
                <w:color w:val="000000"/>
                <w:sz w:val="24"/>
                <w:szCs w:val="24"/>
                <w:lang w:val="uk-UA"/>
              </w:rPr>
            </w:pPr>
            <w:r w:rsidRPr="00552FE3">
              <w:rPr>
                <w:rFonts w:ascii="Times New Roman" w:hAnsi="Times New Roman"/>
                <w:sz w:val="24"/>
                <w:szCs w:val="24"/>
                <w:lang w:val="uk-UA"/>
              </w:rPr>
              <w:t>Контакт «шкіра до шкіри»</w:t>
            </w:r>
          </w:p>
        </w:tc>
        <w:tc>
          <w:tcPr>
            <w:tcW w:w="3108"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rPr>
                <w:rFonts w:ascii="Times New Roman" w:hAnsi="Times New Roman"/>
                <w:color w:val="000000"/>
                <w:sz w:val="24"/>
                <w:szCs w:val="24"/>
                <w:lang w:val="uk-UA"/>
              </w:rPr>
            </w:pPr>
            <w:r w:rsidRPr="00552FE3">
              <w:rPr>
                <w:rFonts w:ascii="Times New Roman" w:hAnsi="Times New Roman"/>
                <w:sz w:val="24"/>
                <w:szCs w:val="24"/>
                <w:lang w:val="uk-UA"/>
              </w:rPr>
              <w:t>Кількість новонароджених, яким проведено контакт «шкіра до шкіри», × 100 / загальна кількість новонароджених</w:t>
            </w:r>
          </w:p>
        </w:tc>
        <w:tc>
          <w:tcPr>
            <w:tcW w:w="851"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center"/>
              <w:rPr>
                <w:rFonts w:ascii="Times New Roman" w:hAnsi="Times New Roman"/>
                <w:color w:val="000000"/>
                <w:sz w:val="24"/>
                <w:szCs w:val="24"/>
                <w:lang w:val="uk-UA"/>
              </w:rPr>
            </w:pPr>
            <w:r w:rsidRPr="00552FE3">
              <w:rPr>
                <w:rFonts w:ascii="Times New Roman" w:hAnsi="Times New Roman"/>
                <w:color w:val="000000"/>
                <w:sz w:val="24"/>
                <w:szCs w:val="24"/>
                <w:lang w:val="uk-UA"/>
              </w:rPr>
              <w:t>95,0</w:t>
            </w:r>
          </w:p>
        </w:tc>
        <w:tc>
          <w:tcPr>
            <w:tcW w:w="709"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center"/>
              <w:rPr>
                <w:rFonts w:ascii="Times New Roman" w:hAnsi="Times New Roman"/>
                <w:color w:val="000000"/>
                <w:sz w:val="24"/>
                <w:szCs w:val="24"/>
                <w:lang w:val="uk-UA"/>
              </w:rPr>
            </w:pPr>
            <w:r w:rsidRPr="00552FE3">
              <w:rPr>
                <w:rFonts w:ascii="Times New Roman" w:hAnsi="Times New Roman"/>
                <w:color w:val="000000"/>
                <w:sz w:val="24"/>
                <w:szCs w:val="24"/>
                <w:lang w:val="uk-UA"/>
              </w:rPr>
              <w:t>9</w:t>
            </w:r>
          </w:p>
        </w:tc>
        <w:tc>
          <w:tcPr>
            <w:tcW w:w="850"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center"/>
              <w:rPr>
                <w:rFonts w:ascii="Times New Roman" w:hAnsi="Times New Roman"/>
                <w:color w:val="000000"/>
                <w:sz w:val="24"/>
                <w:szCs w:val="24"/>
                <w:lang w:val="uk-UA"/>
              </w:rPr>
            </w:pPr>
            <w:r w:rsidRPr="00552FE3">
              <w:rPr>
                <w:rFonts w:ascii="Times New Roman" w:hAnsi="Times New Roman"/>
                <w:color w:val="000000"/>
                <w:sz w:val="24"/>
                <w:szCs w:val="24"/>
                <w:lang w:val="uk-UA"/>
              </w:rPr>
              <w:t>0,1</w:t>
            </w:r>
          </w:p>
        </w:tc>
        <w:tc>
          <w:tcPr>
            <w:tcW w:w="425"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center"/>
              <w:rPr>
                <w:rFonts w:ascii="Times New Roman" w:hAnsi="Times New Roman"/>
                <w:color w:val="000000"/>
                <w:sz w:val="24"/>
                <w:szCs w:val="24"/>
                <w:lang w:val="uk-UA"/>
              </w:rPr>
            </w:pPr>
            <w:r w:rsidRPr="00552FE3">
              <w:rPr>
                <w:rFonts w:ascii="Times New Roman" w:hAnsi="Times New Roman"/>
                <w:color w:val="000000"/>
                <w:sz w:val="24"/>
                <w:szCs w:val="24"/>
                <w:lang w:val="uk-UA"/>
              </w:rPr>
              <w:t>-</w:t>
            </w:r>
          </w:p>
        </w:tc>
        <w:tc>
          <w:tcPr>
            <w:tcW w:w="709"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center"/>
              <w:rPr>
                <w:rFonts w:ascii="Times New Roman" w:hAnsi="Times New Roman"/>
                <w:color w:val="000000"/>
                <w:sz w:val="24"/>
                <w:szCs w:val="24"/>
                <w:lang w:val="uk-UA"/>
              </w:rPr>
            </w:pPr>
          </w:p>
        </w:tc>
        <w:tc>
          <w:tcPr>
            <w:tcW w:w="567"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right"/>
              <w:rPr>
                <w:rFonts w:ascii="Times New Roman" w:hAnsi="Times New Roman"/>
                <w:color w:val="000000"/>
                <w:sz w:val="24"/>
                <w:szCs w:val="24"/>
                <w:lang w:val="uk-UA"/>
              </w:rPr>
            </w:pPr>
          </w:p>
        </w:tc>
        <w:tc>
          <w:tcPr>
            <w:tcW w:w="435"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right"/>
              <w:rPr>
                <w:rFonts w:ascii="Times New Roman" w:hAnsi="Times New Roman"/>
                <w:color w:val="000000"/>
                <w:sz w:val="24"/>
                <w:szCs w:val="24"/>
                <w:lang w:val="uk-UA"/>
              </w:rPr>
            </w:pPr>
          </w:p>
        </w:tc>
      </w:tr>
      <w:tr w:rsidR="003B67F9" w:rsidRPr="00552FE3" w:rsidTr="00610154">
        <w:trPr>
          <w:trHeight w:val="4530"/>
        </w:trPr>
        <w:tc>
          <w:tcPr>
            <w:tcW w:w="2562"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rPr>
                <w:rFonts w:ascii="Times New Roman" w:hAnsi="Times New Roman"/>
                <w:color w:val="000000"/>
                <w:sz w:val="24"/>
                <w:szCs w:val="24"/>
                <w:lang w:val="uk-UA"/>
              </w:rPr>
            </w:pPr>
            <w:r w:rsidRPr="00552FE3">
              <w:rPr>
                <w:rFonts w:ascii="Times New Roman" w:hAnsi="Times New Roman"/>
                <w:sz w:val="24"/>
                <w:szCs w:val="24"/>
                <w:lang w:val="uk-UA"/>
              </w:rPr>
              <w:t>Догляд новонароджених за методом «кенгуру»</w:t>
            </w:r>
          </w:p>
        </w:tc>
        <w:tc>
          <w:tcPr>
            <w:tcW w:w="3108"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rPr>
                <w:rFonts w:ascii="Times New Roman" w:hAnsi="Times New Roman"/>
                <w:sz w:val="24"/>
                <w:szCs w:val="24"/>
                <w:lang w:val="uk-UA"/>
              </w:rPr>
            </w:pPr>
            <w:r w:rsidRPr="00552FE3">
              <w:rPr>
                <w:rFonts w:ascii="Times New Roman" w:hAnsi="Times New Roman"/>
                <w:sz w:val="24"/>
                <w:szCs w:val="24"/>
                <w:lang w:val="uk-UA"/>
              </w:rPr>
              <w:t>Кількість недоношених новонароджених і доношених хворих новонароджених з стабільним клінічним станом, які  доглядалися за методом «кенгуру» ×</w:t>
            </w:r>
            <w:r w:rsidR="001E2949" w:rsidRPr="001E2949">
              <w:rPr>
                <w:rFonts w:ascii="Times New Roman" w:hAnsi="Times New Roman"/>
                <w:sz w:val="24"/>
                <w:szCs w:val="24"/>
                <w:lang w:val="uk-UA"/>
              </w:rPr>
              <w:t xml:space="preserve"> </w:t>
            </w:r>
            <w:r w:rsidRPr="00552FE3">
              <w:rPr>
                <w:rFonts w:ascii="Times New Roman" w:hAnsi="Times New Roman"/>
                <w:sz w:val="24"/>
                <w:szCs w:val="24"/>
                <w:lang w:val="uk-UA"/>
              </w:rPr>
              <w:t>100 / загальна кількість виписаних недоношених новонароджених і доношених хворих новонароджених з стабільним клінічним станом ×100</w:t>
            </w:r>
          </w:p>
        </w:tc>
        <w:tc>
          <w:tcPr>
            <w:tcW w:w="851"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center"/>
              <w:rPr>
                <w:rFonts w:ascii="Times New Roman" w:hAnsi="Times New Roman"/>
                <w:color w:val="000000"/>
                <w:sz w:val="24"/>
                <w:szCs w:val="24"/>
                <w:lang w:val="uk-UA"/>
              </w:rPr>
            </w:pPr>
            <w:r w:rsidRPr="00552FE3">
              <w:rPr>
                <w:rFonts w:ascii="Times New Roman" w:hAnsi="Times New Roman"/>
                <w:color w:val="000000"/>
                <w:sz w:val="24"/>
                <w:szCs w:val="24"/>
                <w:lang w:val="uk-UA"/>
              </w:rPr>
              <w:t>90,0</w:t>
            </w:r>
          </w:p>
        </w:tc>
        <w:tc>
          <w:tcPr>
            <w:tcW w:w="709"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center"/>
              <w:rPr>
                <w:rFonts w:ascii="Times New Roman" w:hAnsi="Times New Roman"/>
                <w:color w:val="000000"/>
                <w:sz w:val="24"/>
                <w:szCs w:val="24"/>
                <w:lang w:val="uk-UA"/>
              </w:rPr>
            </w:pPr>
            <w:r w:rsidRPr="00552FE3">
              <w:rPr>
                <w:rFonts w:ascii="Times New Roman" w:hAnsi="Times New Roman"/>
                <w:color w:val="000000"/>
                <w:sz w:val="24"/>
                <w:szCs w:val="24"/>
                <w:lang w:val="uk-UA"/>
              </w:rPr>
              <w:t>7</w:t>
            </w:r>
          </w:p>
        </w:tc>
        <w:tc>
          <w:tcPr>
            <w:tcW w:w="850"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center"/>
              <w:rPr>
                <w:rFonts w:ascii="Times New Roman" w:hAnsi="Times New Roman"/>
                <w:color w:val="000000"/>
                <w:sz w:val="24"/>
                <w:szCs w:val="24"/>
                <w:lang w:val="uk-UA"/>
              </w:rPr>
            </w:pPr>
            <w:r w:rsidRPr="00552FE3">
              <w:rPr>
                <w:rFonts w:ascii="Times New Roman" w:hAnsi="Times New Roman"/>
                <w:color w:val="000000"/>
                <w:sz w:val="24"/>
                <w:szCs w:val="24"/>
                <w:lang w:val="uk-UA"/>
              </w:rPr>
              <w:t>0,08</w:t>
            </w:r>
          </w:p>
        </w:tc>
        <w:tc>
          <w:tcPr>
            <w:tcW w:w="425"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center"/>
              <w:rPr>
                <w:rFonts w:ascii="Times New Roman" w:hAnsi="Times New Roman"/>
                <w:color w:val="000000"/>
                <w:sz w:val="24"/>
                <w:szCs w:val="24"/>
                <w:lang w:val="uk-UA"/>
              </w:rPr>
            </w:pPr>
            <w:r w:rsidRPr="00552FE3">
              <w:rPr>
                <w:rFonts w:ascii="Times New Roman" w:hAnsi="Times New Roman"/>
                <w:color w:val="000000"/>
                <w:sz w:val="24"/>
                <w:szCs w:val="24"/>
                <w:lang w:val="uk-UA"/>
              </w:rPr>
              <w:t>-</w:t>
            </w:r>
          </w:p>
        </w:tc>
        <w:tc>
          <w:tcPr>
            <w:tcW w:w="709"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center"/>
              <w:rPr>
                <w:rFonts w:ascii="Times New Roman" w:hAnsi="Times New Roman"/>
                <w:color w:val="000000"/>
                <w:sz w:val="24"/>
                <w:szCs w:val="24"/>
                <w:lang w:val="uk-UA"/>
              </w:rPr>
            </w:pPr>
          </w:p>
        </w:tc>
        <w:tc>
          <w:tcPr>
            <w:tcW w:w="567"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right"/>
              <w:rPr>
                <w:rFonts w:ascii="Times New Roman" w:hAnsi="Times New Roman"/>
                <w:color w:val="000000"/>
                <w:sz w:val="24"/>
                <w:szCs w:val="24"/>
                <w:lang w:val="uk-UA"/>
              </w:rPr>
            </w:pPr>
          </w:p>
        </w:tc>
        <w:tc>
          <w:tcPr>
            <w:tcW w:w="435"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right"/>
              <w:rPr>
                <w:rFonts w:ascii="Times New Roman" w:hAnsi="Times New Roman"/>
                <w:color w:val="000000"/>
                <w:sz w:val="24"/>
                <w:szCs w:val="24"/>
                <w:lang w:val="uk-UA"/>
              </w:rPr>
            </w:pPr>
          </w:p>
        </w:tc>
      </w:tr>
      <w:tr w:rsidR="003B67F9" w:rsidRPr="00552FE3" w:rsidTr="00610154">
        <w:trPr>
          <w:trHeight w:val="683"/>
        </w:trPr>
        <w:tc>
          <w:tcPr>
            <w:tcW w:w="2562"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rPr>
                <w:rFonts w:ascii="Times New Roman" w:hAnsi="Times New Roman"/>
                <w:color w:val="000000"/>
                <w:sz w:val="24"/>
                <w:szCs w:val="24"/>
                <w:lang w:val="uk-UA"/>
              </w:rPr>
            </w:pPr>
            <w:r w:rsidRPr="00552FE3">
              <w:rPr>
                <w:rFonts w:ascii="Times New Roman" w:hAnsi="Times New Roman"/>
                <w:color w:val="000000"/>
                <w:sz w:val="24"/>
                <w:szCs w:val="24"/>
                <w:lang w:val="uk-UA"/>
              </w:rPr>
              <w:t>Індекс здоров’я новонароджених</w:t>
            </w:r>
          </w:p>
        </w:tc>
        <w:tc>
          <w:tcPr>
            <w:tcW w:w="3108"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rPr>
                <w:rFonts w:ascii="Times New Roman" w:hAnsi="Times New Roman"/>
                <w:color w:val="000000"/>
                <w:sz w:val="24"/>
                <w:szCs w:val="24"/>
                <w:lang w:val="uk-UA"/>
              </w:rPr>
            </w:pPr>
            <w:r w:rsidRPr="00552FE3">
              <w:rPr>
                <w:rFonts w:ascii="Times New Roman" w:hAnsi="Times New Roman"/>
                <w:iCs/>
                <w:color w:val="000000"/>
                <w:kern w:val="28"/>
                <w:sz w:val="24"/>
                <w:szCs w:val="24"/>
                <w:lang w:val="uk-UA"/>
              </w:rPr>
              <w:t xml:space="preserve">На 100 </w:t>
            </w:r>
            <w:r w:rsidRPr="00552FE3">
              <w:rPr>
                <w:rFonts w:ascii="Times New Roman" w:hAnsi="Times New Roman"/>
                <w:color w:val="000000"/>
                <w:sz w:val="24"/>
                <w:szCs w:val="24"/>
                <w:lang w:val="uk-UA"/>
              </w:rPr>
              <w:t>живонароджених</w:t>
            </w:r>
          </w:p>
        </w:tc>
        <w:tc>
          <w:tcPr>
            <w:tcW w:w="851"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center"/>
              <w:rPr>
                <w:rFonts w:ascii="Times New Roman" w:hAnsi="Times New Roman"/>
                <w:color w:val="000000"/>
                <w:sz w:val="24"/>
                <w:szCs w:val="24"/>
                <w:lang w:val="uk-UA"/>
              </w:rPr>
            </w:pPr>
            <w:r w:rsidRPr="00552FE3">
              <w:rPr>
                <w:rFonts w:ascii="Times New Roman" w:hAnsi="Times New Roman"/>
                <w:color w:val="000000"/>
                <w:sz w:val="24"/>
                <w:szCs w:val="24"/>
                <w:lang w:val="uk-UA"/>
              </w:rPr>
              <w:t>80,00</w:t>
            </w:r>
          </w:p>
        </w:tc>
        <w:tc>
          <w:tcPr>
            <w:tcW w:w="709"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center"/>
              <w:rPr>
                <w:rFonts w:ascii="Times New Roman" w:hAnsi="Times New Roman"/>
                <w:color w:val="000000"/>
                <w:sz w:val="24"/>
                <w:szCs w:val="24"/>
                <w:lang w:val="uk-UA"/>
              </w:rPr>
            </w:pPr>
            <w:r w:rsidRPr="00552FE3">
              <w:rPr>
                <w:rFonts w:ascii="Times New Roman" w:hAnsi="Times New Roman"/>
                <w:color w:val="000000"/>
                <w:sz w:val="24"/>
                <w:szCs w:val="24"/>
                <w:lang w:val="uk-UA"/>
              </w:rPr>
              <w:t>6</w:t>
            </w:r>
          </w:p>
        </w:tc>
        <w:tc>
          <w:tcPr>
            <w:tcW w:w="850"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center"/>
              <w:rPr>
                <w:rFonts w:ascii="Times New Roman" w:hAnsi="Times New Roman"/>
                <w:color w:val="000000"/>
                <w:sz w:val="24"/>
                <w:szCs w:val="24"/>
                <w:lang w:val="uk-UA"/>
              </w:rPr>
            </w:pPr>
            <w:r w:rsidRPr="00552FE3">
              <w:rPr>
                <w:rFonts w:ascii="Times New Roman" w:hAnsi="Times New Roman"/>
                <w:color w:val="000000"/>
                <w:sz w:val="24"/>
                <w:szCs w:val="24"/>
                <w:lang w:val="uk-UA"/>
              </w:rPr>
              <w:t>0,075</w:t>
            </w:r>
          </w:p>
        </w:tc>
        <w:tc>
          <w:tcPr>
            <w:tcW w:w="425"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center"/>
              <w:rPr>
                <w:rFonts w:ascii="Times New Roman" w:hAnsi="Times New Roman"/>
                <w:color w:val="000000"/>
                <w:sz w:val="24"/>
                <w:szCs w:val="24"/>
                <w:lang w:val="uk-UA"/>
              </w:rPr>
            </w:pPr>
            <w:r w:rsidRPr="00552FE3">
              <w:rPr>
                <w:rFonts w:ascii="Times New Roman" w:hAnsi="Times New Roman"/>
                <w:color w:val="000000"/>
                <w:sz w:val="24"/>
                <w:szCs w:val="24"/>
                <w:lang w:val="uk-UA"/>
              </w:rPr>
              <w:t>–</w:t>
            </w:r>
          </w:p>
        </w:tc>
        <w:tc>
          <w:tcPr>
            <w:tcW w:w="709"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center"/>
              <w:rPr>
                <w:rFonts w:ascii="Times New Roman" w:hAnsi="Times New Roman"/>
                <w:color w:val="000000"/>
                <w:sz w:val="24"/>
                <w:szCs w:val="24"/>
                <w:lang w:val="uk-UA"/>
              </w:rPr>
            </w:pPr>
          </w:p>
        </w:tc>
        <w:tc>
          <w:tcPr>
            <w:tcW w:w="567"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right"/>
              <w:rPr>
                <w:rFonts w:ascii="Times New Roman" w:hAnsi="Times New Roman"/>
                <w:color w:val="000000"/>
                <w:sz w:val="24"/>
                <w:szCs w:val="24"/>
                <w:lang w:val="uk-UA"/>
              </w:rPr>
            </w:pPr>
          </w:p>
        </w:tc>
        <w:tc>
          <w:tcPr>
            <w:tcW w:w="435"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right"/>
              <w:rPr>
                <w:rFonts w:ascii="Times New Roman" w:hAnsi="Times New Roman"/>
                <w:color w:val="000000"/>
                <w:sz w:val="24"/>
                <w:szCs w:val="24"/>
                <w:lang w:val="uk-UA"/>
              </w:rPr>
            </w:pPr>
          </w:p>
        </w:tc>
      </w:tr>
      <w:tr w:rsidR="003B67F9" w:rsidRPr="00552FE3" w:rsidTr="00610154">
        <w:trPr>
          <w:trHeight w:val="2605"/>
        </w:trPr>
        <w:tc>
          <w:tcPr>
            <w:tcW w:w="2562"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rPr>
                <w:rFonts w:ascii="Times New Roman" w:hAnsi="Times New Roman"/>
                <w:color w:val="000000"/>
                <w:sz w:val="24"/>
                <w:szCs w:val="24"/>
                <w:lang w:val="uk-UA"/>
              </w:rPr>
            </w:pPr>
            <w:r w:rsidRPr="00552FE3">
              <w:rPr>
                <w:rFonts w:ascii="Times New Roman" w:hAnsi="Times New Roman"/>
                <w:color w:val="000000"/>
                <w:sz w:val="24"/>
                <w:szCs w:val="24"/>
                <w:lang w:val="uk-UA"/>
              </w:rPr>
              <w:t>Виживання новонароджених з малою масою тіла при народженні 1500-2499</w:t>
            </w:r>
          </w:p>
        </w:tc>
        <w:tc>
          <w:tcPr>
            <w:tcW w:w="3108"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rPr>
                <w:rFonts w:ascii="Times New Roman" w:hAnsi="Times New Roman"/>
                <w:iCs/>
                <w:color w:val="000000"/>
                <w:kern w:val="28"/>
                <w:sz w:val="24"/>
                <w:szCs w:val="24"/>
                <w:lang w:val="uk-UA"/>
              </w:rPr>
            </w:pPr>
            <w:r w:rsidRPr="00552FE3">
              <w:rPr>
                <w:rFonts w:ascii="Times New Roman" w:hAnsi="Times New Roman"/>
                <w:color w:val="000000"/>
                <w:sz w:val="24"/>
                <w:szCs w:val="24"/>
                <w:lang w:val="uk-UA"/>
              </w:rPr>
              <w:t>Кількість новонароджених масою тіла при народженні 1500-2499</w:t>
            </w:r>
            <w:r w:rsidR="00F17D67">
              <w:rPr>
                <w:rFonts w:ascii="Times New Roman" w:hAnsi="Times New Roman"/>
                <w:color w:val="000000"/>
                <w:sz w:val="24"/>
                <w:szCs w:val="24"/>
              </w:rPr>
              <w:t xml:space="preserve"> </w:t>
            </w:r>
            <w:r w:rsidRPr="00552FE3">
              <w:rPr>
                <w:rFonts w:ascii="Times New Roman" w:hAnsi="Times New Roman"/>
                <w:color w:val="000000"/>
                <w:sz w:val="24"/>
                <w:szCs w:val="24"/>
                <w:lang w:val="uk-UA"/>
              </w:rPr>
              <w:t>г, які вижили після 168</w:t>
            </w:r>
            <w:r w:rsidR="004B538A">
              <w:rPr>
                <w:rFonts w:ascii="Times New Roman" w:hAnsi="Times New Roman"/>
                <w:color w:val="000000"/>
                <w:sz w:val="24"/>
                <w:szCs w:val="24"/>
              </w:rPr>
              <w:t xml:space="preserve"> </w:t>
            </w:r>
            <w:r w:rsidRPr="00552FE3">
              <w:rPr>
                <w:rFonts w:ascii="Times New Roman" w:hAnsi="Times New Roman"/>
                <w:color w:val="000000"/>
                <w:sz w:val="24"/>
                <w:szCs w:val="24"/>
                <w:lang w:val="uk-UA"/>
              </w:rPr>
              <w:t xml:space="preserve">годин життя </w:t>
            </w:r>
            <w:r w:rsidRPr="00552FE3">
              <w:rPr>
                <w:rFonts w:ascii="Times New Roman" w:hAnsi="Times New Roman"/>
                <w:sz w:val="24"/>
                <w:szCs w:val="24"/>
                <w:lang w:val="uk-UA"/>
              </w:rPr>
              <w:t>×</w:t>
            </w:r>
            <w:r w:rsidR="00452D6D">
              <w:rPr>
                <w:rFonts w:ascii="Times New Roman" w:hAnsi="Times New Roman"/>
                <w:iCs/>
                <w:color w:val="000000"/>
                <w:kern w:val="28"/>
                <w:sz w:val="24"/>
                <w:szCs w:val="24"/>
                <w:lang w:val="uk-UA"/>
              </w:rPr>
              <w:t xml:space="preserve"> 100</w:t>
            </w:r>
            <w:r w:rsidRPr="00552FE3">
              <w:rPr>
                <w:rFonts w:ascii="Times New Roman" w:hAnsi="Times New Roman"/>
                <w:iCs/>
                <w:color w:val="000000"/>
                <w:kern w:val="28"/>
                <w:sz w:val="24"/>
                <w:szCs w:val="24"/>
                <w:lang w:val="uk-UA"/>
              </w:rPr>
              <w:t>/</w:t>
            </w:r>
            <w:r w:rsidRPr="00552FE3">
              <w:rPr>
                <w:rFonts w:ascii="Times New Roman" w:hAnsi="Times New Roman"/>
                <w:color w:val="000000"/>
                <w:sz w:val="24"/>
                <w:szCs w:val="24"/>
                <w:lang w:val="uk-UA"/>
              </w:rPr>
              <w:t>кількість</w:t>
            </w:r>
            <w:r w:rsidRPr="00552FE3">
              <w:rPr>
                <w:rFonts w:ascii="Times New Roman" w:hAnsi="Times New Roman"/>
                <w:iCs/>
                <w:color w:val="000000"/>
                <w:kern w:val="28"/>
                <w:sz w:val="24"/>
                <w:szCs w:val="24"/>
                <w:lang w:val="uk-UA"/>
              </w:rPr>
              <w:t xml:space="preserve"> </w:t>
            </w:r>
            <w:r w:rsidRPr="00552FE3">
              <w:rPr>
                <w:rFonts w:ascii="Times New Roman" w:hAnsi="Times New Roman"/>
                <w:color w:val="000000"/>
                <w:sz w:val="24"/>
                <w:szCs w:val="24"/>
                <w:lang w:val="uk-UA"/>
              </w:rPr>
              <w:t>новонароджених масою тіла при народженні 1500-2499</w:t>
            </w:r>
            <w:r w:rsidR="00610154">
              <w:rPr>
                <w:rFonts w:ascii="Times New Roman" w:hAnsi="Times New Roman"/>
                <w:color w:val="000000"/>
                <w:sz w:val="24"/>
                <w:szCs w:val="24"/>
              </w:rPr>
              <w:t xml:space="preserve"> </w:t>
            </w:r>
            <w:r w:rsidRPr="00552FE3">
              <w:rPr>
                <w:rFonts w:ascii="Times New Roman" w:hAnsi="Times New Roman"/>
                <w:color w:val="000000"/>
                <w:sz w:val="24"/>
                <w:szCs w:val="24"/>
                <w:lang w:val="uk-UA"/>
              </w:rPr>
              <w:t>г</w:t>
            </w:r>
          </w:p>
        </w:tc>
        <w:tc>
          <w:tcPr>
            <w:tcW w:w="851"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center"/>
              <w:rPr>
                <w:rFonts w:ascii="Times New Roman" w:hAnsi="Times New Roman"/>
                <w:color w:val="000000"/>
                <w:sz w:val="24"/>
                <w:szCs w:val="24"/>
                <w:lang w:val="uk-UA"/>
              </w:rPr>
            </w:pPr>
            <w:r w:rsidRPr="00552FE3">
              <w:rPr>
                <w:rFonts w:ascii="Times New Roman" w:hAnsi="Times New Roman"/>
                <w:color w:val="000000"/>
                <w:sz w:val="24"/>
                <w:szCs w:val="24"/>
                <w:lang w:val="uk-UA"/>
              </w:rPr>
              <w:t>98,8</w:t>
            </w:r>
          </w:p>
        </w:tc>
        <w:tc>
          <w:tcPr>
            <w:tcW w:w="709"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center"/>
              <w:rPr>
                <w:rFonts w:ascii="Times New Roman" w:hAnsi="Times New Roman"/>
                <w:color w:val="000000"/>
                <w:sz w:val="24"/>
                <w:szCs w:val="24"/>
                <w:lang w:val="uk-UA"/>
              </w:rPr>
            </w:pPr>
            <w:r w:rsidRPr="00552FE3">
              <w:rPr>
                <w:rFonts w:ascii="Times New Roman" w:hAnsi="Times New Roman"/>
                <w:color w:val="000000"/>
                <w:sz w:val="24"/>
                <w:szCs w:val="24"/>
                <w:lang w:val="uk-UA"/>
              </w:rPr>
              <w:t>6</w:t>
            </w:r>
          </w:p>
        </w:tc>
        <w:tc>
          <w:tcPr>
            <w:tcW w:w="850"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center"/>
              <w:rPr>
                <w:rFonts w:ascii="Times New Roman" w:hAnsi="Times New Roman"/>
                <w:color w:val="000000"/>
                <w:sz w:val="24"/>
                <w:szCs w:val="24"/>
                <w:lang w:val="uk-UA"/>
              </w:rPr>
            </w:pPr>
            <w:r w:rsidRPr="00552FE3">
              <w:rPr>
                <w:rFonts w:ascii="Times New Roman" w:hAnsi="Times New Roman"/>
                <w:color w:val="000000"/>
                <w:sz w:val="24"/>
                <w:szCs w:val="24"/>
                <w:lang w:val="uk-UA"/>
              </w:rPr>
              <w:t>0,06</w:t>
            </w:r>
          </w:p>
        </w:tc>
        <w:tc>
          <w:tcPr>
            <w:tcW w:w="425"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center"/>
              <w:rPr>
                <w:rFonts w:ascii="Times New Roman" w:hAnsi="Times New Roman"/>
                <w:color w:val="000000"/>
                <w:sz w:val="24"/>
                <w:szCs w:val="24"/>
                <w:lang w:val="uk-UA"/>
              </w:rPr>
            </w:pPr>
            <w:r w:rsidRPr="00552FE3">
              <w:rPr>
                <w:rFonts w:ascii="Times New Roman" w:hAnsi="Times New Roman"/>
                <w:color w:val="000000"/>
                <w:sz w:val="24"/>
                <w:szCs w:val="24"/>
                <w:lang w:val="uk-UA"/>
              </w:rPr>
              <w:t>-</w:t>
            </w:r>
          </w:p>
        </w:tc>
        <w:tc>
          <w:tcPr>
            <w:tcW w:w="709"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center"/>
              <w:rPr>
                <w:rFonts w:ascii="Times New Roman" w:hAnsi="Times New Roman"/>
                <w:color w:val="000000"/>
                <w:sz w:val="24"/>
                <w:szCs w:val="24"/>
                <w:lang w:val="uk-UA"/>
              </w:rPr>
            </w:pPr>
          </w:p>
        </w:tc>
        <w:tc>
          <w:tcPr>
            <w:tcW w:w="567"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right"/>
              <w:rPr>
                <w:rFonts w:ascii="Times New Roman" w:hAnsi="Times New Roman"/>
                <w:color w:val="000000"/>
                <w:sz w:val="24"/>
                <w:szCs w:val="24"/>
                <w:lang w:val="uk-UA"/>
              </w:rPr>
            </w:pPr>
          </w:p>
        </w:tc>
        <w:tc>
          <w:tcPr>
            <w:tcW w:w="435"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right"/>
              <w:rPr>
                <w:rFonts w:ascii="Times New Roman" w:hAnsi="Times New Roman"/>
                <w:color w:val="000000"/>
                <w:sz w:val="24"/>
                <w:szCs w:val="24"/>
                <w:lang w:val="uk-UA"/>
              </w:rPr>
            </w:pPr>
          </w:p>
        </w:tc>
      </w:tr>
      <w:tr w:rsidR="003B67F9" w:rsidRPr="00552FE3" w:rsidTr="00610154">
        <w:trPr>
          <w:trHeight w:val="2105"/>
        </w:trPr>
        <w:tc>
          <w:tcPr>
            <w:tcW w:w="2562"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rPr>
                <w:rFonts w:ascii="Times New Roman" w:hAnsi="Times New Roman"/>
                <w:color w:val="000000"/>
                <w:sz w:val="24"/>
                <w:szCs w:val="24"/>
                <w:lang w:val="uk-UA"/>
              </w:rPr>
            </w:pPr>
            <w:r w:rsidRPr="00552FE3">
              <w:rPr>
                <w:rFonts w:ascii="Times New Roman" w:hAnsi="Times New Roman"/>
                <w:color w:val="000000"/>
                <w:sz w:val="24"/>
                <w:szCs w:val="24"/>
                <w:lang w:val="uk-UA"/>
              </w:rPr>
              <w:t>Індекс неонатальних трансферів</w:t>
            </w:r>
          </w:p>
        </w:tc>
        <w:tc>
          <w:tcPr>
            <w:tcW w:w="3108"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rPr>
                <w:rFonts w:ascii="Times New Roman" w:hAnsi="Times New Roman"/>
                <w:iCs/>
                <w:color w:val="000000"/>
                <w:kern w:val="28"/>
                <w:sz w:val="24"/>
                <w:szCs w:val="24"/>
                <w:lang w:val="uk-UA"/>
              </w:rPr>
            </w:pPr>
            <w:r w:rsidRPr="00552FE3">
              <w:rPr>
                <w:rFonts w:ascii="Times New Roman" w:hAnsi="Times New Roman"/>
                <w:iCs/>
                <w:color w:val="000000"/>
                <w:kern w:val="28"/>
                <w:sz w:val="24"/>
                <w:szCs w:val="24"/>
                <w:lang w:val="uk-UA"/>
              </w:rPr>
              <w:t xml:space="preserve">Кількість новонароджених, які були переведені у ЗОЗ  вищого рівня перинатальної допомоги </w:t>
            </w:r>
            <w:r w:rsidRPr="00552FE3">
              <w:rPr>
                <w:rFonts w:ascii="Times New Roman" w:hAnsi="Times New Roman"/>
                <w:sz w:val="24"/>
                <w:szCs w:val="24"/>
                <w:lang w:val="uk-UA"/>
              </w:rPr>
              <w:t>×</w:t>
            </w:r>
            <w:r w:rsidRPr="00552FE3">
              <w:rPr>
                <w:rFonts w:ascii="Times New Roman" w:hAnsi="Times New Roman"/>
                <w:iCs/>
                <w:color w:val="000000"/>
                <w:kern w:val="28"/>
                <w:sz w:val="24"/>
                <w:szCs w:val="24"/>
                <w:lang w:val="uk-UA"/>
              </w:rPr>
              <w:t xml:space="preserve"> 100 / загальна кількість вибувших новонароджених</w:t>
            </w:r>
          </w:p>
        </w:tc>
        <w:tc>
          <w:tcPr>
            <w:tcW w:w="851"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center"/>
              <w:rPr>
                <w:rFonts w:ascii="Times New Roman" w:hAnsi="Times New Roman"/>
                <w:color w:val="000000"/>
                <w:sz w:val="24"/>
                <w:szCs w:val="24"/>
                <w:lang w:val="uk-UA"/>
              </w:rPr>
            </w:pPr>
            <w:r w:rsidRPr="00552FE3">
              <w:rPr>
                <w:rFonts w:ascii="Times New Roman" w:hAnsi="Times New Roman"/>
                <w:color w:val="000000"/>
                <w:sz w:val="24"/>
                <w:szCs w:val="24"/>
                <w:lang w:val="uk-UA"/>
              </w:rPr>
              <w:t>2,0</w:t>
            </w:r>
          </w:p>
        </w:tc>
        <w:tc>
          <w:tcPr>
            <w:tcW w:w="709"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center"/>
              <w:rPr>
                <w:rFonts w:ascii="Times New Roman" w:hAnsi="Times New Roman"/>
                <w:color w:val="000000"/>
                <w:sz w:val="24"/>
                <w:szCs w:val="24"/>
                <w:lang w:val="uk-UA"/>
              </w:rPr>
            </w:pPr>
            <w:r w:rsidRPr="00552FE3">
              <w:rPr>
                <w:rFonts w:ascii="Times New Roman" w:hAnsi="Times New Roman"/>
                <w:color w:val="000000"/>
                <w:sz w:val="24"/>
                <w:szCs w:val="24"/>
                <w:lang w:val="uk-UA"/>
              </w:rPr>
              <w:t>7</w:t>
            </w:r>
          </w:p>
        </w:tc>
        <w:tc>
          <w:tcPr>
            <w:tcW w:w="850"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center"/>
              <w:rPr>
                <w:rFonts w:ascii="Times New Roman" w:hAnsi="Times New Roman"/>
                <w:color w:val="000000"/>
                <w:sz w:val="24"/>
                <w:szCs w:val="24"/>
                <w:lang w:val="uk-UA"/>
              </w:rPr>
            </w:pPr>
            <w:r w:rsidRPr="00552FE3">
              <w:rPr>
                <w:rFonts w:ascii="Times New Roman" w:hAnsi="Times New Roman"/>
                <w:color w:val="000000"/>
                <w:sz w:val="24"/>
                <w:szCs w:val="24"/>
                <w:lang w:val="uk-UA"/>
              </w:rPr>
              <w:t>3,5</w:t>
            </w:r>
          </w:p>
        </w:tc>
        <w:tc>
          <w:tcPr>
            <w:tcW w:w="425"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center"/>
              <w:rPr>
                <w:rFonts w:ascii="Times New Roman" w:hAnsi="Times New Roman"/>
                <w:color w:val="000000"/>
                <w:sz w:val="24"/>
                <w:szCs w:val="24"/>
                <w:lang w:val="uk-UA"/>
              </w:rPr>
            </w:pPr>
            <w:r w:rsidRPr="00552FE3">
              <w:rPr>
                <w:rFonts w:ascii="Times New Roman" w:hAnsi="Times New Roman"/>
                <w:color w:val="000000"/>
                <w:sz w:val="24"/>
                <w:szCs w:val="24"/>
                <w:lang w:val="uk-UA"/>
              </w:rPr>
              <w:t>+</w:t>
            </w:r>
          </w:p>
        </w:tc>
        <w:tc>
          <w:tcPr>
            <w:tcW w:w="709"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center"/>
              <w:rPr>
                <w:rFonts w:ascii="Times New Roman" w:hAnsi="Times New Roman"/>
                <w:color w:val="000000"/>
                <w:sz w:val="24"/>
                <w:szCs w:val="24"/>
                <w:lang w:val="uk-UA"/>
              </w:rPr>
            </w:pPr>
          </w:p>
        </w:tc>
        <w:tc>
          <w:tcPr>
            <w:tcW w:w="567"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right"/>
              <w:rPr>
                <w:rFonts w:ascii="Times New Roman" w:hAnsi="Times New Roman"/>
                <w:color w:val="000000"/>
                <w:sz w:val="24"/>
                <w:szCs w:val="24"/>
                <w:lang w:val="uk-UA"/>
              </w:rPr>
            </w:pPr>
          </w:p>
        </w:tc>
        <w:tc>
          <w:tcPr>
            <w:tcW w:w="435"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right"/>
              <w:rPr>
                <w:rFonts w:ascii="Times New Roman" w:hAnsi="Times New Roman"/>
                <w:color w:val="000000"/>
                <w:sz w:val="24"/>
                <w:szCs w:val="24"/>
                <w:lang w:val="uk-UA"/>
              </w:rPr>
            </w:pPr>
          </w:p>
        </w:tc>
      </w:tr>
      <w:tr w:rsidR="003B67F9" w:rsidRPr="00552FE3" w:rsidTr="00610154">
        <w:trPr>
          <w:trHeight w:val="1693"/>
        </w:trPr>
        <w:tc>
          <w:tcPr>
            <w:tcW w:w="2562"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rPr>
                <w:rFonts w:ascii="Times New Roman" w:hAnsi="Times New Roman"/>
                <w:color w:val="000000"/>
                <w:sz w:val="24"/>
                <w:szCs w:val="24"/>
                <w:lang w:val="uk-UA"/>
              </w:rPr>
            </w:pPr>
            <w:r w:rsidRPr="00552FE3">
              <w:rPr>
                <w:rFonts w:ascii="Times New Roman" w:hAnsi="Times New Roman"/>
                <w:color w:val="000000"/>
                <w:sz w:val="24"/>
                <w:szCs w:val="24"/>
                <w:lang w:val="uk-UA"/>
              </w:rPr>
              <w:t>Рівень перинатальної смертності</w:t>
            </w:r>
          </w:p>
        </w:tc>
        <w:tc>
          <w:tcPr>
            <w:tcW w:w="3108"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rPr>
                <w:rFonts w:ascii="Times New Roman" w:hAnsi="Times New Roman"/>
                <w:color w:val="000000"/>
                <w:sz w:val="24"/>
                <w:szCs w:val="24"/>
                <w:lang w:val="uk-UA"/>
              </w:rPr>
            </w:pPr>
            <w:r w:rsidRPr="00552FE3">
              <w:rPr>
                <w:rFonts w:ascii="Times New Roman" w:hAnsi="Times New Roman"/>
                <w:color w:val="000000"/>
                <w:sz w:val="24"/>
                <w:szCs w:val="24"/>
                <w:lang w:val="uk-UA"/>
              </w:rPr>
              <w:t xml:space="preserve">Кількість народжених мертвими і померлих у перші 168 год. життя </w:t>
            </w:r>
            <w:r w:rsidRPr="00552FE3">
              <w:rPr>
                <w:rFonts w:ascii="Times New Roman" w:hAnsi="Times New Roman"/>
                <w:sz w:val="24"/>
                <w:szCs w:val="24"/>
                <w:lang w:val="uk-UA"/>
              </w:rPr>
              <w:t>×</w:t>
            </w:r>
            <w:r w:rsidRPr="00552FE3">
              <w:rPr>
                <w:rFonts w:ascii="Times New Roman" w:hAnsi="Times New Roman"/>
                <w:color w:val="000000"/>
                <w:sz w:val="24"/>
                <w:szCs w:val="24"/>
                <w:lang w:val="uk-UA"/>
              </w:rPr>
              <w:t>1000 / кількість народжених мертвими і живими</w:t>
            </w:r>
          </w:p>
        </w:tc>
        <w:tc>
          <w:tcPr>
            <w:tcW w:w="851"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center"/>
              <w:rPr>
                <w:rFonts w:ascii="Times New Roman" w:hAnsi="Times New Roman"/>
                <w:color w:val="000000"/>
                <w:sz w:val="24"/>
                <w:szCs w:val="24"/>
                <w:lang w:val="uk-UA"/>
              </w:rPr>
            </w:pPr>
            <w:r w:rsidRPr="00552FE3">
              <w:rPr>
                <w:rFonts w:ascii="Times New Roman" w:hAnsi="Times New Roman"/>
                <w:color w:val="000000"/>
                <w:sz w:val="24"/>
                <w:szCs w:val="24"/>
                <w:lang w:val="uk-UA"/>
              </w:rPr>
              <w:t>6,5</w:t>
            </w:r>
          </w:p>
        </w:tc>
        <w:tc>
          <w:tcPr>
            <w:tcW w:w="709"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center"/>
              <w:rPr>
                <w:rFonts w:ascii="Times New Roman" w:hAnsi="Times New Roman"/>
                <w:color w:val="000000"/>
                <w:sz w:val="24"/>
                <w:szCs w:val="24"/>
                <w:lang w:val="uk-UA"/>
              </w:rPr>
            </w:pPr>
            <w:r w:rsidRPr="00552FE3">
              <w:rPr>
                <w:rFonts w:ascii="Times New Roman" w:hAnsi="Times New Roman"/>
                <w:color w:val="000000"/>
                <w:sz w:val="24"/>
                <w:szCs w:val="24"/>
                <w:lang w:val="uk-UA"/>
              </w:rPr>
              <w:t>6</w:t>
            </w:r>
          </w:p>
        </w:tc>
        <w:tc>
          <w:tcPr>
            <w:tcW w:w="850"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center"/>
              <w:rPr>
                <w:rFonts w:ascii="Times New Roman" w:hAnsi="Times New Roman"/>
                <w:color w:val="000000"/>
                <w:sz w:val="24"/>
                <w:szCs w:val="24"/>
                <w:lang w:val="uk-UA"/>
              </w:rPr>
            </w:pPr>
            <w:r w:rsidRPr="00552FE3">
              <w:rPr>
                <w:rFonts w:ascii="Times New Roman" w:hAnsi="Times New Roman"/>
                <w:color w:val="000000"/>
                <w:sz w:val="24"/>
                <w:szCs w:val="24"/>
                <w:lang w:val="uk-UA"/>
              </w:rPr>
              <w:t>2,0</w:t>
            </w:r>
          </w:p>
        </w:tc>
        <w:tc>
          <w:tcPr>
            <w:tcW w:w="425"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center"/>
              <w:rPr>
                <w:rFonts w:ascii="Times New Roman" w:hAnsi="Times New Roman"/>
                <w:color w:val="000000"/>
                <w:sz w:val="24"/>
                <w:szCs w:val="24"/>
                <w:lang w:val="uk-UA"/>
              </w:rPr>
            </w:pPr>
            <w:r w:rsidRPr="00552FE3">
              <w:rPr>
                <w:rFonts w:ascii="Times New Roman" w:hAnsi="Times New Roman"/>
                <w:color w:val="000000"/>
                <w:sz w:val="24"/>
                <w:szCs w:val="24"/>
                <w:lang w:val="uk-UA"/>
              </w:rPr>
              <w:t>+</w:t>
            </w:r>
          </w:p>
        </w:tc>
        <w:tc>
          <w:tcPr>
            <w:tcW w:w="709"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center"/>
              <w:rPr>
                <w:rFonts w:ascii="Times New Roman" w:hAnsi="Times New Roman"/>
                <w:color w:val="000000"/>
                <w:sz w:val="24"/>
                <w:szCs w:val="24"/>
                <w:lang w:val="uk-UA"/>
              </w:rPr>
            </w:pPr>
          </w:p>
        </w:tc>
        <w:tc>
          <w:tcPr>
            <w:tcW w:w="567"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right"/>
              <w:rPr>
                <w:rFonts w:ascii="Times New Roman" w:hAnsi="Times New Roman"/>
                <w:color w:val="000000"/>
                <w:sz w:val="24"/>
                <w:szCs w:val="24"/>
                <w:lang w:val="uk-UA"/>
              </w:rPr>
            </w:pPr>
          </w:p>
        </w:tc>
        <w:tc>
          <w:tcPr>
            <w:tcW w:w="435"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right"/>
              <w:rPr>
                <w:rFonts w:ascii="Times New Roman" w:hAnsi="Times New Roman"/>
                <w:color w:val="000000"/>
                <w:sz w:val="24"/>
                <w:szCs w:val="24"/>
                <w:lang w:val="uk-UA"/>
              </w:rPr>
            </w:pPr>
          </w:p>
        </w:tc>
      </w:tr>
    </w:tbl>
    <w:p w:rsidR="00610154" w:rsidRDefault="00610154" w:rsidP="00610154">
      <w:pPr>
        <w:jc w:val="right"/>
        <w:rPr>
          <w:i/>
          <w:lang w:val="ru-RU"/>
        </w:rPr>
      </w:pPr>
    </w:p>
    <w:p w:rsidR="00610154" w:rsidRPr="00610154" w:rsidRDefault="00610154" w:rsidP="00F159BE">
      <w:pPr>
        <w:pageBreakBefore/>
        <w:jc w:val="right"/>
        <w:rPr>
          <w:i/>
          <w:lang w:val="ru-RU"/>
        </w:rPr>
      </w:pPr>
      <w:r w:rsidRPr="00610154">
        <w:rPr>
          <w:i/>
          <w:lang w:val="ru-RU"/>
        </w:rPr>
        <w:lastRenderedPageBreak/>
        <w:t>Продовження табл. 7.4</w:t>
      </w:r>
    </w:p>
    <w:tbl>
      <w:tblPr>
        <w:tblStyle w:val="a6"/>
        <w:tblW w:w="0" w:type="auto"/>
        <w:tblInd w:w="108" w:type="dxa"/>
        <w:tblLook w:val="01E0" w:firstRow="1" w:lastRow="1" w:firstColumn="1" w:lastColumn="1" w:noHBand="0" w:noVBand="0"/>
      </w:tblPr>
      <w:tblGrid>
        <w:gridCol w:w="2562"/>
        <w:gridCol w:w="3108"/>
        <w:gridCol w:w="851"/>
        <w:gridCol w:w="709"/>
        <w:gridCol w:w="850"/>
        <w:gridCol w:w="425"/>
        <w:gridCol w:w="709"/>
        <w:gridCol w:w="567"/>
        <w:gridCol w:w="435"/>
      </w:tblGrid>
      <w:tr w:rsidR="003B67F9" w:rsidRPr="00552FE3" w:rsidTr="00ED7A85">
        <w:trPr>
          <w:trHeight w:val="81"/>
        </w:trPr>
        <w:tc>
          <w:tcPr>
            <w:tcW w:w="2562"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rPr>
                <w:rFonts w:ascii="Times New Roman" w:hAnsi="Times New Roman"/>
                <w:color w:val="000000"/>
                <w:sz w:val="24"/>
                <w:szCs w:val="24"/>
                <w:lang w:val="uk-UA"/>
              </w:rPr>
            </w:pPr>
            <w:r w:rsidRPr="00552FE3">
              <w:rPr>
                <w:rFonts w:ascii="Times New Roman" w:hAnsi="Times New Roman"/>
                <w:color w:val="000000"/>
                <w:sz w:val="24"/>
                <w:szCs w:val="24"/>
                <w:lang w:val="uk-UA"/>
              </w:rPr>
              <w:t>Рівень мертвонароджуваності</w:t>
            </w:r>
          </w:p>
        </w:tc>
        <w:tc>
          <w:tcPr>
            <w:tcW w:w="3108"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rPr>
                <w:rFonts w:ascii="Times New Roman" w:hAnsi="Times New Roman"/>
                <w:color w:val="000000"/>
                <w:sz w:val="24"/>
                <w:szCs w:val="24"/>
                <w:lang w:val="uk-UA"/>
              </w:rPr>
            </w:pPr>
            <w:r w:rsidRPr="00552FE3">
              <w:rPr>
                <w:rFonts w:ascii="Times New Roman" w:hAnsi="Times New Roman"/>
                <w:color w:val="000000"/>
                <w:sz w:val="24"/>
                <w:szCs w:val="24"/>
                <w:lang w:val="uk-UA"/>
              </w:rPr>
              <w:t xml:space="preserve">Кількість народжених мертвими і живими </w:t>
            </w:r>
            <w:r w:rsidRPr="00552FE3">
              <w:rPr>
                <w:rFonts w:ascii="Times New Roman" w:hAnsi="Times New Roman"/>
                <w:sz w:val="24"/>
                <w:szCs w:val="24"/>
                <w:lang w:val="uk-UA"/>
              </w:rPr>
              <w:t>×</w:t>
            </w:r>
            <w:r w:rsidRPr="00552FE3">
              <w:rPr>
                <w:rFonts w:ascii="Times New Roman" w:hAnsi="Times New Roman"/>
                <w:color w:val="000000"/>
                <w:sz w:val="24"/>
                <w:szCs w:val="24"/>
                <w:lang w:val="uk-UA"/>
              </w:rPr>
              <w:t xml:space="preserve"> 1000 / кількість народжених мертвими</w:t>
            </w:r>
          </w:p>
        </w:tc>
        <w:tc>
          <w:tcPr>
            <w:tcW w:w="851"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center"/>
              <w:rPr>
                <w:rFonts w:ascii="Times New Roman" w:hAnsi="Times New Roman"/>
                <w:color w:val="000000"/>
                <w:sz w:val="24"/>
                <w:szCs w:val="24"/>
                <w:lang w:val="uk-UA"/>
              </w:rPr>
            </w:pPr>
            <w:r w:rsidRPr="00552FE3">
              <w:rPr>
                <w:rFonts w:ascii="Times New Roman" w:hAnsi="Times New Roman"/>
                <w:color w:val="000000"/>
                <w:sz w:val="24"/>
                <w:szCs w:val="24"/>
                <w:lang w:val="uk-UA"/>
              </w:rPr>
              <w:t>5,0</w:t>
            </w:r>
          </w:p>
        </w:tc>
        <w:tc>
          <w:tcPr>
            <w:tcW w:w="709"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center"/>
              <w:rPr>
                <w:rFonts w:ascii="Times New Roman" w:hAnsi="Times New Roman"/>
                <w:color w:val="000000"/>
                <w:sz w:val="24"/>
                <w:szCs w:val="24"/>
                <w:lang w:val="uk-UA"/>
              </w:rPr>
            </w:pPr>
            <w:r w:rsidRPr="00552FE3">
              <w:rPr>
                <w:rFonts w:ascii="Times New Roman" w:hAnsi="Times New Roman"/>
                <w:color w:val="000000"/>
                <w:sz w:val="24"/>
                <w:szCs w:val="24"/>
                <w:lang w:val="uk-UA"/>
              </w:rPr>
              <w:t>6</w:t>
            </w:r>
          </w:p>
        </w:tc>
        <w:tc>
          <w:tcPr>
            <w:tcW w:w="850"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center"/>
              <w:rPr>
                <w:rFonts w:ascii="Times New Roman" w:hAnsi="Times New Roman"/>
                <w:color w:val="000000"/>
                <w:sz w:val="24"/>
                <w:szCs w:val="24"/>
                <w:lang w:val="uk-UA"/>
              </w:rPr>
            </w:pPr>
            <w:r w:rsidRPr="00552FE3">
              <w:rPr>
                <w:rFonts w:ascii="Times New Roman" w:hAnsi="Times New Roman"/>
                <w:color w:val="000000"/>
                <w:sz w:val="24"/>
                <w:szCs w:val="24"/>
                <w:lang w:val="uk-UA"/>
              </w:rPr>
              <w:t>1,2</w:t>
            </w:r>
          </w:p>
        </w:tc>
        <w:tc>
          <w:tcPr>
            <w:tcW w:w="425"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center"/>
              <w:rPr>
                <w:rFonts w:ascii="Times New Roman" w:hAnsi="Times New Roman"/>
                <w:color w:val="000000"/>
                <w:sz w:val="24"/>
                <w:szCs w:val="24"/>
                <w:lang w:val="uk-UA"/>
              </w:rPr>
            </w:pPr>
            <w:r w:rsidRPr="00552FE3">
              <w:rPr>
                <w:rFonts w:ascii="Times New Roman" w:hAnsi="Times New Roman"/>
                <w:color w:val="000000"/>
                <w:sz w:val="24"/>
                <w:szCs w:val="24"/>
                <w:lang w:val="uk-UA"/>
              </w:rPr>
              <w:t>+</w:t>
            </w:r>
          </w:p>
        </w:tc>
        <w:tc>
          <w:tcPr>
            <w:tcW w:w="709"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center"/>
              <w:rPr>
                <w:rFonts w:ascii="Times New Roman" w:hAnsi="Times New Roman"/>
                <w:color w:val="000000"/>
                <w:sz w:val="24"/>
                <w:szCs w:val="24"/>
                <w:lang w:val="uk-UA"/>
              </w:rPr>
            </w:pPr>
          </w:p>
        </w:tc>
        <w:tc>
          <w:tcPr>
            <w:tcW w:w="567"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right"/>
              <w:rPr>
                <w:rFonts w:ascii="Times New Roman" w:hAnsi="Times New Roman"/>
                <w:color w:val="000000"/>
                <w:sz w:val="24"/>
                <w:szCs w:val="24"/>
                <w:lang w:val="uk-UA"/>
              </w:rPr>
            </w:pPr>
          </w:p>
        </w:tc>
        <w:tc>
          <w:tcPr>
            <w:tcW w:w="435"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right"/>
              <w:rPr>
                <w:rFonts w:ascii="Times New Roman" w:hAnsi="Times New Roman"/>
                <w:color w:val="000000"/>
                <w:sz w:val="24"/>
                <w:szCs w:val="24"/>
                <w:lang w:val="uk-UA"/>
              </w:rPr>
            </w:pPr>
          </w:p>
        </w:tc>
      </w:tr>
      <w:tr w:rsidR="003B67F9" w:rsidRPr="00552FE3" w:rsidTr="00ED7A85">
        <w:trPr>
          <w:trHeight w:val="81"/>
        </w:trPr>
        <w:tc>
          <w:tcPr>
            <w:tcW w:w="2562"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rPr>
                <w:rFonts w:ascii="Times New Roman" w:hAnsi="Times New Roman"/>
                <w:color w:val="000000"/>
                <w:sz w:val="24"/>
                <w:szCs w:val="24"/>
                <w:lang w:val="uk-UA"/>
              </w:rPr>
            </w:pPr>
            <w:r w:rsidRPr="00552FE3">
              <w:rPr>
                <w:rFonts w:ascii="Times New Roman" w:hAnsi="Times New Roman"/>
                <w:color w:val="000000"/>
                <w:sz w:val="24"/>
                <w:szCs w:val="24"/>
                <w:lang w:val="uk-UA"/>
              </w:rPr>
              <w:t>Рівень материнської смертності</w:t>
            </w:r>
          </w:p>
        </w:tc>
        <w:tc>
          <w:tcPr>
            <w:tcW w:w="3108"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rPr>
                <w:rFonts w:ascii="Times New Roman" w:hAnsi="Times New Roman"/>
                <w:color w:val="000000"/>
                <w:sz w:val="24"/>
                <w:szCs w:val="24"/>
                <w:lang w:val="uk-UA"/>
              </w:rPr>
            </w:pPr>
            <w:r w:rsidRPr="00552FE3">
              <w:rPr>
                <w:rFonts w:ascii="Times New Roman" w:hAnsi="Times New Roman"/>
                <w:color w:val="000000"/>
                <w:sz w:val="24"/>
                <w:szCs w:val="24"/>
                <w:lang w:val="uk-UA"/>
              </w:rPr>
              <w:t>На 100000  живонароджених</w:t>
            </w:r>
          </w:p>
        </w:tc>
        <w:tc>
          <w:tcPr>
            <w:tcW w:w="851"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center"/>
              <w:rPr>
                <w:rFonts w:ascii="Times New Roman" w:hAnsi="Times New Roman"/>
                <w:color w:val="000000"/>
                <w:sz w:val="24"/>
                <w:szCs w:val="24"/>
                <w:lang w:val="uk-UA"/>
              </w:rPr>
            </w:pPr>
            <w:r w:rsidRPr="00552FE3">
              <w:rPr>
                <w:rFonts w:ascii="Times New Roman" w:hAnsi="Times New Roman"/>
                <w:color w:val="000000"/>
                <w:sz w:val="24"/>
                <w:szCs w:val="24"/>
                <w:lang w:val="uk-UA"/>
              </w:rPr>
              <w:t>5,0</w:t>
            </w:r>
          </w:p>
        </w:tc>
        <w:tc>
          <w:tcPr>
            <w:tcW w:w="709"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center"/>
              <w:rPr>
                <w:rFonts w:ascii="Times New Roman" w:hAnsi="Times New Roman"/>
                <w:color w:val="000000"/>
                <w:sz w:val="24"/>
                <w:szCs w:val="24"/>
                <w:lang w:val="uk-UA"/>
              </w:rPr>
            </w:pPr>
            <w:r w:rsidRPr="00552FE3">
              <w:rPr>
                <w:rFonts w:ascii="Times New Roman" w:hAnsi="Times New Roman"/>
                <w:color w:val="000000"/>
                <w:sz w:val="24"/>
                <w:szCs w:val="24"/>
                <w:lang w:val="uk-UA"/>
              </w:rPr>
              <w:t>8</w:t>
            </w:r>
          </w:p>
        </w:tc>
        <w:tc>
          <w:tcPr>
            <w:tcW w:w="850"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center"/>
              <w:rPr>
                <w:rFonts w:ascii="Times New Roman" w:hAnsi="Times New Roman"/>
                <w:color w:val="000000"/>
                <w:sz w:val="24"/>
                <w:szCs w:val="24"/>
                <w:lang w:val="uk-UA"/>
              </w:rPr>
            </w:pPr>
            <w:r w:rsidRPr="00552FE3">
              <w:rPr>
                <w:rFonts w:ascii="Times New Roman" w:hAnsi="Times New Roman"/>
                <w:color w:val="000000"/>
                <w:sz w:val="24"/>
                <w:szCs w:val="24"/>
                <w:lang w:val="uk-UA"/>
              </w:rPr>
              <w:t>1,6</w:t>
            </w:r>
          </w:p>
        </w:tc>
        <w:tc>
          <w:tcPr>
            <w:tcW w:w="425"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center"/>
              <w:rPr>
                <w:rFonts w:ascii="Times New Roman" w:hAnsi="Times New Roman"/>
                <w:color w:val="000000"/>
                <w:sz w:val="24"/>
                <w:szCs w:val="24"/>
                <w:lang w:val="uk-UA"/>
              </w:rPr>
            </w:pPr>
            <w:r w:rsidRPr="00552FE3">
              <w:rPr>
                <w:rFonts w:ascii="Times New Roman" w:hAnsi="Times New Roman"/>
                <w:color w:val="000000"/>
                <w:sz w:val="24"/>
                <w:szCs w:val="24"/>
                <w:lang w:val="uk-UA"/>
              </w:rPr>
              <w:t>+</w:t>
            </w:r>
          </w:p>
        </w:tc>
        <w:tc>
          <w:tcPr>
            <w:tcW w:w="709"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center"/>
              <w:rPr>
                <w:rFonts w:ascii="Times New Roman" w:hAnsi="Times New Roman"/>
                <w:color w:val="000000"/>
                <w:sz w:val="24"/>
                <w:szCs w:val="24"/>
                <w:lang w:val="uk-UA"/>
              </w:rPr>
            </w:pPr>
          </w:p>
        </w:tc>
        <w:tc>
          <w:tcPr>
            <w:tcW w:w="567"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right"/>
              <w:rPr>
                <w:rFonts w:ascii="Times New Roman" w:hAnsi="Times New Roman"/>
                <w:color w:val="000000"/>
                <w:sz w:val="24"/>
                <w:szCs w:val="24"/>
                <w:lang w:val="uk-UA"/>
              </w:rPr>
            </w:pPr>
          </w:p>
        </w:tc>
        <w:tc>
          <w:tcPr>
            <w:tcW w:w="435"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right"/>
              <w:rPr>
                <w:rFonts w:ascii="Times New Roman" w:hAnsi="Times New Roman"/>
                <w:color w:val="000000"/>
                <w:sz w:val="24"/>
                <w:szCs w:val="24"/>
                <w:lang w:val="uk-UA"/>
              </w:rPr>
            </w:pPr>
          </w:p>
        </w:tc>
      </w:tr>
      <w:tr w:rsidR="003B67F9" w:rsidRPr="00552FE3" w:rsidTr="00ED7A85">
        <w:trPr>
          <w:trHeight w:val="81"/>
        </w:trPr>
        <w:tc>
          <w:tcPr>
            <w:tcW w:w="2562"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rPr>
                <w:rFonts w:ascii="Times New Roman" w:hAnsi="Times New Roman"/>
                <w:color w:val="000000"/>
                <w:sz w:val="24"/>
                <w:szCs w:val="24"/>
                <w:lang w:val="uk-UA"/>
              </w:rPr>
            </w:pPr>
            <w:r w:rsidRPr="00552FE3">
              <w:rPr>
                <w:rFonts w:ascii="Times New Roman" w:hAnsi="Times New Roman"/>
                <w:sz w:val="24"/>
                <w:szCs w:val="24"/>
                <w:lang w:val="uk-UA"/>
              </w:rPr>
              <w:t>Розходження клінічного та патологоанатомічних діагнозів</w:t>
            </w:r>
          </w:p>
        </w:tc>
        <w:tc>
          <w:tcPr>
            <w:tcW w:w="3108"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rPr>
                <w:rFonts w:ascii="Times New Roman" w:hAnsi="Times New Roman"/>
                <w:color w:val="000000"/>
                <w:sz w:val="24"/>
                <w:szCs w:val="24"/>
                <w:lang w:val="uk-UA"/>
              </w:rPr>
            </w:pPr>
            <w:r w:rsidRPr="00552FE3">
              <w:rPr>
                <w:rFonts w:ascii="Times New Roman" w:hAnsi="Times New Roman"/>
                <w:sz w:val="24"/>
                <w:szCs w:val="24"/>
                <w:lang w:val="uk-UA"/>
              </w:rPr>
              <w:t>Кількість розходжень патологоанатомічного та клінічного діагнозів (за основним діагнозом) х 100 / загальна кількість патологоанатомічних розтинів</w:t>
            </w:r>
          </w:p>
        </w:tc>
        <w:tc>
          <w:tcPr>
            <w:tcW w:w="851"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center"/>
              <w:rPr>
                <w:rFonts w:ascii="Times New Roman" w:hAnsi="Times New Roman"/>
                <w:color w:val="000000"/>
                <w:sz w:val="24"/>
                <w:szCs w:val="24"/>
                <w:lang w:val="uk-UA"/>
              </w:rPr>
            </w:pPr>
            <w:r w:rsidRPr="00552FE3">
              <w:rPr>
                <w:rFonts w:ascii="Times New Roman" w:hAnsi="Times New Roman"/>
                <w:color w:val="000000"/>
                <w:sz w:val="24"/>
                <w:szCs w:val="24"/>
                <w:lang w:val="uk-UA"/>
              </w:rPr>
              <w:t>10,0</w:t>
            </w:r>
          </w:p>
        </w:tc>
        <w:tc>
          <w:tcPr>
            <w:tcW w:w="709"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center"/>
              <w:rPr>
                <w:rFonts w:ascii="Times New Roman" w:hAnsi="Times New Roman"/>
                <w:color w:val="000000"/>
                <w:sz w:val="24"/>
                <w:szCs w:val="24"/>
                <w:lang w:val="uk-UA"/>
              </w:rPr>
            </w:pPr>
            <w:r w:rsidRPr="00552FE3">
              <w:rPr>
                <w:rFonts w:ascii="Times New Roman" w:hAnsi="Times New Roman"/>
                <w:color w:val="000000"/>
                <w:sz w:val="24"/>
                <w:szCs w:val="24"/>
                <w:lang w:val="uk-UA"/>
              </w:rPr>
              <w:t>8</w:t>
            </w:r>
          </w:p>
        </w:tc>
        <w:tc>
          <w:tcPr>
            <w:tcW w:w="850"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center"/>
              <w:rPr>
                <w:rFonts w:ascii="Times New Roman" w:hAnsi="Times New Roman"/>
                <w:color w:val="000000"/>
                <w:sz w:val="24"/>
                <w:szCs w:val="24"/>
                <w:lang w:val="uk-UA"/>
              </w:rPr>
            </w:pPr>
            <w:r w:rsidRPr="00552FE3">
              <w:rPr>
                <w:rFonts w:ascii="Times New Roman" w:hAnsi="Times New Roman"/>
                <w:color w:val="000000"/>
                <w:sz w:val="24"/>
                <w:szCs w:val="24"/>
                <w:lang w:val="uk-UA"/>
              </w:rPr>
              <w:t>0,8</w:t>
            </w:r>
          </w:p>
        </w:tc>
        <w:tc>
          <w:tcPr>
            <w:tcW w:w="425"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center"/>
              <w:rPr>
                <w:rFonts w:ascii="Times New Roman" w:hAnsi="Times New Roman"/>
                <w:color w:val="000000"/>
                <w:sz w:val="24"/>
                <w:szCs w:val="24"/>
                <w:lang w:val="uk-UA"/>
              </w:rPr>
            </w:pPr>
            <w:r w:rsidRPr="00552FE3">
              <w:rPr>
                <w:rFonts w:ascii="Times New Roman" w:hAnsi="Times New Roman"/>
                <w:color w:val="000000"/>
                <w:sz w:val="24"/>
                <w:szCs w:val="24"/>
                <w:lang w:val="uk-UA"/>
              </w:rPr>
              <w:t>+</w:t>
            </w:r>
          </w:p>
        </w:tc>
        <w:tc>
          <w:tcPr>
            <w:tcW w:w="709"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center"/>
              <w:rPr>
                <w:rFonts w:ascii="Times New Roman" w:hAnsi="Times New Roman"/>
                <w:color w:val="000000"/>
                <w:sz w:val="24"/>
                <w:szCs w:val="24"/>
                <w:lang w:val="uk-UA"/>
              </w:rPr>
            </w:pPr>
          </w:p>
        </w:tc>
        <w:tc>
          <w:tcPr>
            <w:tcW w:w="567"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right"/>
              <w:rPr>
                <w:rFonts w:ascii="Times New Roman" w:hAnsi="Times New Roman"/>
                <w:color w:val="000000"/>
                <w:sz w:val="24"/>
                <w:szCs w:val="24"/>
                <w:lang w:val="uk-UA"/>
              </w:rPr>
            </w:pPr>
          </w:p>
        </w:tc>
        <w:tc>
          <w:tcPr>
            <w:tcW w:w="435"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right"/>
              <w:rPr>
                <w:rFonts w:ascii="Times New Roman" w:hAnsi="Times New Roman"/>
                <w:color w:val="000000"/>
                <w:sz w:val="24"/>
                <w:szCs w:val="24"/>
                <w:lang w:val="uk-UA"/>
              </w:rPr>
            </w:pPr>
          </w:p>
        </w:tc>
      </w:tr>
      <w:tr w:rsidR="003B67F9" w:rsidRPr="00552FE3" w:rsidTr="00ED7A85">
        <w:trPr>
          <w:trHeight w:val="81"/>
        </w:trPr>
        <w:tc>
          <w:tcPr>
            <w:tcW w:w="2562"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rPr>
                <w:rFonts w:ascii="Times New Roman" w:hAnsi="Times New Roman"/>
                <w:color w:val="000000"/>
                <w:sz w:val="24"/>
                <w:szCs w:val="24"/>
                <w:lang w:val="uk-UA"/>
              </w:rPr>
            </w:pPr>
            <w:r w:rsidRPr="00552FE3">
              <w:rPr>
                <w:rFonts w:ascii="Times New Roman" w:hAnsi="Times New Roman"/>
                <w:sz w:val="24"/>
                <w:szCs w:val="24"/>
                <w:lang w:val="uk-UA"/>
              </w:rPr>
              <w:t>Знання жінками загрозливих симптомів під час вагітності, пологів та післяпологового періоду</w:t>
            </w:r>
          </w:p>
        </w:tc>
        <w:tc>
          <w:tcPr>
            <w:tcW w:w="3108"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rPr>
                <w:rFonts w:ascii="Times New Roman" w:hAnsi="Times New Roman"/>
                <w:color w:val="000000"/>
                <w:sz w:val="24"/>
                <w:szCs w:val="24"/>
                <w:lang w:val="uk-UA"/>
              </w:rPr>
            </w:pPr>
            <w:r w:rsidRPr="00552FE3">
              <w:rPr>
                <w:rFonts w:ascii="Times New Roman" w:hAnsi="Times New Roman"/>
                <w:sz w:val="24"/>
                <w:szCs w:val="24"/>
                <w:lang w:val="uk-UA"/>
              </w:rPr>
              <w:t>Кількість пацієнток, які, за даними анонімного анкетування, знали про загрозливі симптоми під час вагітності. пологів та післяпологового періоду, × 100 / загальна кількість пацієнток, які заповнили анкети</w:t>
            </w:r>
          </w:p>
        </w:tc>
        <w:tc>
          <w:tcPr>
            <w:tcW w:w="851"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center"/>
              <w:rPr>
                <w:rFonts w:ascii="Times New Roman" w:hAnsi="Times New Roman"/>
                <w:color w:val="000000"/>
                <w:sz w:val="24"/>
                <w:szCs w:val="24"/>
                <w:lang w:val="uk-UA"/>
              </w:rPr>
            </w:pPr>
            <w:r w:rsidRPr="00552FE3">
              <w:rPr>
                <w:rFonts w:ascii="Times New Roman" w:hAnsi="Times New Roman"/>
                <w:color w:val="000000"/>
                <w:sz w:val="24"/>
                <w:szCs w:val="24"/>
                <w:lang w:val="uk-UA"/>
              </w:rPr>
              <w:t>95,0</w:t>
            </w:r>
          </w:p>
        </w:tc>
        <w:tc>
          <w:tcPr>
            <w:tcW w:w="709"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center"/>
              <w:rPr>
                <w:rFonts w:ascii="Times New Roman" w:hAnsi="Times New Roman"/>
                <w:color w:val="000000"/>
                <w:sz w:val="24"/>
                <w:szCs w:val="24"/>
                <w:lang w:val="uk-UA"/>
              </w:rPr>
            </w:pPr>
            <w:r w:rsidRPr="00552FE3">
              <w:rPr>
                <w:rFonts w:ascii="Times New Roman" w:hAnsi="Times New Roman"/>
                <w:color w:val="000000"/>
                <w:sz w:val="24"/>
                <w:szCs w:val="24"/>
                <w:lang w:val="uk-UA"/>
              </w:rPr>
              <w:t>7</w:t>
            </w:r>
          </w:p>
        </w:tc>
        <w:tc>
          <w:tcPr>
            <w:tcW w:w="850"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center"/>
              <w:rPr>
                <w:rFonts w:ascii="Times New Roman" w:hAnsi="Times New Roman"/>
                <w:color w:val="000000"/>
                <w:sz w:val="24"/>
                <w:szCs w:val="24"/>
                <w:lang w:val="uk-UA"/>
              </w:rPr>
            </w:pPr>
            <w:r w:rsidRPr="00552FE3">
              <w:rPr>
                <w:rFonts w:ascii="Times New Roman" w:hAnsi="Times New Roman"/>
                <w:color w:val="000000"/>
                <w:sz w:val="24"/>
                <w:szCs w:val="24"/>
                <w:lang w:val="uk-UA"/>
              </w:rPr>
              <w:t>0,07</w:t>
            </w:r>
          </w:p>
        </w:tc>
        <w:tc>
          <w:tcPr>
            <w:tcW w:w="425"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center"/>
              <w:rPr>
                <w:rFonts w:ascii="Times New Roman" w:hAnsi="Times New Roman"/>
                <w:color w:val="000000"/>
                <w:sz w:val="24"/>
                <w:szCs w:val="24"/>
                <w:lang w:val="uk-UA"/>
              </w:rPr>
            </w:pPr>
            <w:r w:rsidRPr="00552FE3">
              <w:rPr>
                <w:rFonts w:ascii="Times New Roman" w:hAnsi="Times New Roman"/>
                <w:color w:val="000000"/>
                <w:sz w:val="24"/>
                <w:szCs w:val="24"/>
                <w:lang w:val="uk-UA"/>
              </w:rPr>
              <w:t>-</w:t>
            </w:r>
          </w:p>
        </w:tc>
        <w:tc>
          <w:tcPr>
            <w:tcW w:w="709"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center"/>
              <w:rPr>
                <w:rFonts w:ascii="Times New Roman" w:hAnsi="Times New Roman"/>
                <w:color w:val="000000"/>
                <w:sz w:val="24"/>
                <w:szCs w:val="24"/>
                <w:lang w:val="uk-UA"/>
              </w:rPr>
            </w:pPr>
          </w:p>
        </w:tc>
        <w:tc>
          <w:tcPr>
            <w:tcW w:w="567"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right"/>
              <w:rPr>
                <w:rFonts w:ascii="Times New Roman" w:hAnsi="Times New Roman"/>
                <w:color w:val="000000"/>
                <w:sz w:val="24"/>
                <w:szCs w:val="24"/>
                <w:lang w:val="uk-UA"/>
              </w:rPr>
            </w:pPr>
          </w:p>
        </w:tc>
        <w:tc>
          <w:tcPr>
            <w:tcW w:w="435"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right"/>
              <w:rPr>
                <w:rFonts w:ascii="Times New Roman" w:hAnsi="Times New Roman"/>
                <w:color w:val="000000"/>
                <w:sz w:val="24"/>
                <w:szCs w:val="24"/>
                <w:lang w:val="uk-UA"/>
              </w:rPr>
            </w:pPr>
          </w:p>
        </w:tc>
      </w:tr>
      <w:tr w:rsidR="003B67F9" w:rsidRPr="00552FE3" w:rsidTr="00ED7A85">
        <w:trPr>
          <w:trHeight w:val="81"/>
        </w:trPr>
        <w:tc>
          <w:tcPr>
            <w:tcW w:w="2562"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rPr>
                <w:rFonts w:ascii="Times New Roman" w:hAnsi="Times New Roman"/>
                <w:color w:val="000000"/>
                <w:sz w:val="24"/>
                <w:szCs w:val="24"/>
                <w:lang w:val="uk-UA"/>
              </w:rPr>
            </w:pPr>
            <w:r w:rsidRPr="00552FE3">
              <w:rPr>
                <w:rFonts w:ascii="Times New Roman" w:hAnsi="Times New Roman"/>
                <w:sz w:val="24"/>
                <w:szCs w:val="24"/>
                <w:lang w:val="uk-UA"/>
              </w:rPr>
              <w:t>Задоволеність пацієнтів медичною допомогою</w:t>
            </w:r>
          </w:p>
        </w:tc>
        <w:tc>
          <w:tcPr>
            <w:tcW w:w="3108"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rPr>
                <w:rFonts w:ascii="Times New Roman" w:hAnsi="Times New Roman"/>
                <w:color w:val="000000"/>
                <w:sz w:val="24"/>
                <w:szCs w:val="24"/>
                <w:lang w:val="uk-UA"/>
              </w:rPr>
            </w:pPr>
            <w:r w:rsidRPr="00552FE3">
              <w:rPr>
                <w:rFonts w:ascii="Times New Roman" w:hAnsi="Times New Roman"/>
                <w:sz w:val="24"/>
                <w:szCs w:val="24"/>
                <w:lang w:val="uk-UA"/>
              </w:rPr>
              <w:t>Кількість пацієнток, які, за даними анонімного анкетування, задоволені медичною допомогою, × 100 / загальна кількість пацієнток, які заповнили анкети</w:t>
            </w:r>
          </w:p>
        </w:tc>
        <w:tc>
          <w:tcPr>
            <w:tcW w:w="851"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center"/>
              <w:rPr>
                <w:rFonts w:ascii="Times New Roman" w:hAnsi="Times New Roman"/>
                <w:color w:val="000000"/>
                <w:sz w:val="24"/>
                <w:szCs w:val="24"/>
                <w:lang w:val="uk-UA"/>
              </w:rPr>
            </w:pPr>
            <w:r w:rsidRPr="00552FE3">
              <w:rPr>
                <w:rFonts w:ascii="Times New Roman" w:hAnsi="Times New Roman"/>
                <w:color w:val="000000"/>
                <w:sz w:val="24"/>
                <w:szCs w:val="24"/>
                <w:lang w:val="uk-UA"/>
              </w:rPr>
              <w:t>80,0</w:t>
            </w:r>
          </w:p>
        </w:tc>
        <w:tc>
          <w:tcPr>
            <w:tcW w:w="709"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center"/>
              <w:rPr>
                <w:rFonts w:ascii="Times New Roman" w:hAnsi="Times New Roman"/>
                <w:color w:val="000000"/>
                <w:sz w:val="24"/>
                <w:szCs w:val="24"/>
                <w:lang w:val="uk-UA"/>
              </w:rPr>
            </w:pPr>
            <w:r w:rsidRPr="00552FE3">
              <w:rPr>
                <w:rFonts w:ascii="Times New Roman" w:hAnsi="Times New Roman"/>
                <w:color w:val="000000"/>
                <w:sz w:val="24"/>
                <w:szCs w:val="24"/>
                <w:lang w:val="uk-UA"/>
              </w:rPr>
              <w:t>7</w:t>
            </w:r>
          </w:p>
        </w:tc>
        <w:tc>
          <w:tcPr>
            <w:tcW w:w="850"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center"/>
              <w:rPr>
                <w:rFonts w:ascii="Times New Roman" w:hAnsi="Times New Roman"/>
                <w:color w:val="000000"/>
                <w:sz w:val="24"/>
                <w:szCs w:val="24"/>
                <w:lang w:val="uk-UA"/>
              </w:rPr>
            </w:pPr>
            <w:r w:rsidRPr="00552FE3">
              <w:rPr>
                <w:rFonts w:ascii="Times New Roman" w:hAnsi="Times New Roman"/>
                <w:color w:val="000000"/>
                <w:sz w:val="24"/>
                <w:szCs w:val="24"/>
                <w:lang w:val="uk-UA"/>
              </w:rPr>
              <w:t>0,09</w:t>
            </w:r>
          </w:p>
        </w:tc>
        <w:tc>
          <w:tcPr>
            <w:tcW w:w="425"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center"/>
              <w:rPr>
                <w:rFonts w:ascii="Times New Roman" w:hAnsi="Times New Roman"/>
                <w:color w:val="000000"/>
                <w:sz w:val="24"/>
                <w:szCs w:val="24"/>
                <w:lang w:val="uk-UA"/>
              </w:rPr>
            </w:pPr>
            <w:r w:rsidRPr="00552FE3">
              <w:rPr>
                <w:rFonts w:ascii="Times New Roman" w:hAnsi="Times New Roman"/>
                <w:color w:val="000000"/>
                <w:sz w:val="24"/>
                <w:szCs w:val="24"/>
                <w:lang w:val="uk-UA"/>
              </w:rPr>
              <w:t>-</w:t>
            </w:r>
          </w:p>
        </w:tc>
        <w:tc>
          <w:tcPr>
            <w:tcW w:w="709"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center"/>
              <w:rPr>
                <w:rFonts w:ascii="Times New Roman" w:hAnsi="Times New Roman"/>
                <w:color w:val="000000"/>
                <w:sz w:val="24"/>
                <w:szCs w:val="24"/>
                <w:lang w:val="uk-UA"/>
              </w:rPr>
            </w:pPr>
          </w:p>
        </w:tc>
        <w:tc>
          <w:tcPr>
            <w:tcW w:w="567"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right"/>
              <w:rPr>
                <w:rFonts w:ascii="Times New Roman" w:hAnsi="Times New Roman"/>
                <w:color w:val="000000"/>
                <w:sz w:val="24"/>
                <w:szCs w:val="24"/>
                <w:lang w:val="uk-UA"/>
              </w:rPr>
            </w:pPr>
          </w:p>
        </w:tc>
        <w:tc>
          <w:tcPr>
            <w:tcW w:w="435"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right"/>
              <w:rPr>
                <w:rFonts w:ascii="Times New Roman" w:hAnsi="Times New Roman"/>
                <w:color w:val="000000"/>
                <w:sz w:val="24"/>
                <w:szCs w:val="24"/>
                <w:lang w:val="uk-UA"/>
              </w:rPr>
            </w:pPr>
          </w:p>
        </w:tc>
      </w:tr>
      <w:tr w:rsidR="003B67F9" w:rsidRPr="00552FE3" w:rsidTr="00ED7A85">
        <w:trPr>
          <w:trHeight w:val="81"/>
        </w:trPr>
        <w:tc>
          <w:tcPr>
            <w:tcW w:w="2562"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rPr>
                <w:rFonts w:ascii="Times New Roman" w:hAnsi="Times New Roman"/>
                <w:color w:val="000000"/>
                <w:sz w:val="24"/>
                <w:szCs w:val="24"/>
                <w:lang w:val="uk-UA"/>
              </w:rPr>
            </w:pPr>
            <w:r w:rsidRPr="00552FE3">
              <w:rPr>
                <w:rFonts w:ascii="Times New Roman" w:hAnsi="Times New Roman"/>
                <w:color w:val="000000"/>
                <w:sz w:val="24"/>
                <w:szCs w:val="24"/>
                <w:lang w:val="uk-UA"/>
              </w:rPr>
              <w:t>Сума балів</w:t>
            </w:r>
          </w:p>
        </w:tc>
        <w:tc>
          <w:tcPr>
            <w:tcW w:w="3108"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rPr>
                <w:rFonts w:ascii="Times New Roman" w:hAnsi="Times New Roman"/>
                <w:color w:val="000000"/>
                <w:sz w:val="24"/>
                <w:szCs w:val="24"/>
                <w:lang w:val="uk-UA"/>
              </w:rPr>
            </w:pPr>
          </w:p>
        </w:tc>
        <w:tc>
          <w:tcPr>
            <w:tcW w:w="851"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center"/>
              <w:rPr>
                <w:rFonts w:ascii="Times New Roman" w:hAnsi="Times New Roman"/>
                <w:color w:val="000000"/>
                <w:sz w:val="24"/>
                <w:szCs w:val="24"/>
                <w:lang w:val="uk-UA"/>
              </w:rPr>
            </w:pPr>
            <w:r w:rsidRPr="00552FE3">
              <w:rPr>
                <w:rFonts w:ascii="Times New Roman" w:hAnsi="Times New Roman"/>
                <w:color w:val="000000"/>
                <w:sz w:val="24"/>
                <w:szCs w:val="24"/>
                <w:lang w:val="uk-UA"/>
              </w:rPr>
              <w:t> </w:t>
            </w:r>
          </w:p>
        </w:tc>
        <w:tc>
          <w:tcPr>
            <w:tcW w:w="709"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center"/>
              <w:rPr>
                <w:rFonts w:ascii="Times New Roman" w:hAnsi="Times New Roman"/>
                <w:color w:val="000000"/>
                <w:sz w:val="24"/>
                <w:szCs w:val="24"/>
                <w:lang w:val="uk-UA"/>
              </w:rPr>
            </w:pPr>
          </w:p>
        </w:tc>
        <w:tc>
          <w:tcPr>
            <w:tcW w:w="850"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center"/>
              <w:rPr>
                <w:rFonts w:ascii="Times New Roman" w:hAnsi="Times New Roman"/>
                <w:color w:val="000000"/>
                <w:sz w:val="24"/>
                <w:szCs w:val="24"/>
                <w:lang w:val="uk-UA"/>
              </w:rPr>
            </w:pPr>
          </w:p>
        </w:tc>
        <w:tc>
          <w:tcPr>
            <w:tcW w:w="425"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center"/>
              <w:rPr>
                <w:rFonts w:ascii="Times New Roman" w:hAnsi="Times New Roman"/>
                <w:color w:val="000000"/>
                <w:sz w:val="24"/>
                <w:szCs w:val="24"/>
                <w:lang w:val="uk-UA"/>
              </w:rPr>
            </w:pPr>
          </w:p>
        </w:tc>
        <w:tc>
          <w:tcPr>
            <w:tcW w:w="709"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center"/>
              <w:rPr>
                <w:rFonts w:ascii="Times New Roman" w:hAnsi="Times New Roman"/>
                <w:color w:val="000000"/>
                <w:sz w:val="24"/>
                <w:szCs w:val="24"/>
                <w:lang w:val="uk-UA"/>
              </w:rPr>
            </w:pPr>
          </w:p>
        </w:tc>
        <w:tc>
          <w:tcPr>
            <w:tcW w:w="567"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right"/>
              <w:rPr>
                <w:rFonts w:ascii="Times New Roman" w:hAnsi="Times New Roman"/>
                <w:color w:val="000000"/>
                <w:sz w:val="24"/>
                <w:szCs w:val="24"/>
                <w:lang w:val="uk-UA"/>
              </w:rPr>
            </w:pPr>
          </w:p>
        </w:tc>
        <w:tc>
          <w:tcPr>
            <w:tcW w:w="435" w:type="dxa"/>
            <w:tcBorders>
              <w:top w:val="single" w:sz="4" w:space="0" w:color="auto"/>
              <w:left w:val="single" w:sz="4" w:space="0" w:color="auto"/>
              <w:bottom w:val="single" w:sz="4" w:space="0" w:color="auto"/>
              <w:right w:val="single" w:sz="4" w:space="0" w:color="auto"/>
            </w:tcBorders>
          </w:tcPr>
          <w:p w:rsidR="003B67F9" w:rsidRPr="00552FE3" w:rsidRDefault="003B67F9" w:rsidP="00721203">
            <w:pPr>
              <w:widowControl w:val="0"/>
              <w:spacing w:line="276" w:lineRule="auto"/>
              <w:jc w:val="right"/>
              <w:rPr>
                <w:rFonts w:ascii="Times New Roman" w:hAnsi="Times New Roman"/>
                <w:color w:val="000000"/>
                <w:sz w:val="24"/>
                <w:szCs w:val="24"/>
                <w:lang w:val="uk-UA"/>
              </w:rPr>
            </w:pPr>
          </w:p>
        </w:tc>
      </w:tr>
    </w:tbl>
    <w:p w:rsidR="003B67F9" w:rsidRPr="00006A39" w:rsidRDefault="003B67F9" w:rsidP="00721203">
      <w:pPr>
        <w:widowControl w:val="0"/>
        <w:spacing w:line="312" w:lineRule="auto"/>
        <w:rPr>
          <w:rFonts w:eastAsia="Times New Roman"/>
          <w:szCs w:val="28"/>
          <w:lang w:eastAsia="ru-RU"/>
        </w:rPr>
      </w:pPr>
    </w:p>
    <w:p w:rsidR="003B67F9" w:rsidRPr="00006A39" w:rsidRDefault="003B67F9" w:rsidP="00721203">
      <w:pPr>
        <w:widowControl w:val="0"/>
        <w:ind w:firstLine="720"/>
        <w:rPr>
          <w:rFonts w:eastAsia="Times New Roman"/>
          <w:szCs w:val="28"/>
          <w:lang w:eastAsia="ru-RU"/>
        </w:rPr>
      </w:pPr>
      <w:r w:rsidRPr="00006A39">
        <w:rPr>
          <w:rFonts w:eastAsia="Times New Roman"/>
          <w:szCs w:val="28"/>
          <w:lang w:eastAsia="ru-RU"/>
        </w:rPr>
        <w:t>До закладів охорони здоров’я ІІІ рівня перинатальної допомоги належать обласний (республіканський Автономної Республіки Крим) перинатальний центр або міський перинатальний центр (міст Києва та Севастополя) як юридична особа, так і відокремлений структурний підрозділ закладу охорони здоров’я ІІІ рівня надання медичної допомоги.</w:t>
      </w:r>
    </w:p>
    <w:p w:rsidR="003B67F9" w:rsidRPr="00006A39" w:rsidRDefault="003B67F9" w:rsidP="00721203">
      <w:pPr>
        <w:widowControl w:val="0"/>
        <w:ind w:firstLine="720"/>
        <w:rPr>
          <w:rFonts w:eastAsia="Times New Roman"/>
          <w:szCs w:val="28"/>
          <w:lang w:eastAsia="ru-RU"/>
        </w:rPr>
      </w:pPr>
      <w:r w:rsidRPr="00006A39">
        <w:rPr>
          <w:rFonts w:eastAsia="Times New Roman"/>
          <w:szCs w:val="28"/>
          <w:lang w:eastAsia="ru-RU"/>
        </w:rPr>
        <w:t xml:space="preserve">Заклади ОЗ ІІІ рівня забезпечують: надання медичної допомоги жінкам, вагітним, роділлям, породіллям високого ступеня акушерського та перинатального ризиків (за сукупністю факторів); новонародженим з масою тіла </w:t>
      </w:r>
      <w:smartTag w:uri="urn:schemas-microsoft-com:office:smarttags" w:element="metricconverter">
        <w:smartTagPr>
          <w:attr w:name="ProductID" w:val="1500 г"/>
        </w:smartTagPr>
        <w:r w:rsidRPr="00006A39">
          <w:rPr>
            <w:rFonts w:eastAsia="Times New Roman"/>
            <w:szCs w:val="28"/>
            <w:lang w:eastAsia="ru-RU"/>
          </w:rPr>
          <w:t>&lt;1500 г</w:t>
        </w:r>
      </w:smartTag>
      <w:r w:rsidRPr="00006A39">
        <w:rPr>
          <w:rFonts w:eastAsia="Times New Roman"/>
          <w:szCs w:val="28"/>
          <w:lang w:eastAsia="ru-RU"/>
        </w:rPr>
        <w:t xml:space="preserve"> і терміном </w:t>
      </w:r>
      <w:r w:rsidRPr="00006A39">
        <w:rPr>
          <w:rFonts w:eastAsia="Times New Roman"/>
          <w:szCs w:val="28"/>
          <w:lang w:eastAsia="ru-RU"/>
        </w:rPr>
        <w:lastRenderedPageBreak/>
        <w:t xml:space="preserve">гестації &lt; 34 тижнів, незалежно від наявної патології; новонародженим </w:t>
      </w:r>
      <w:r w:rsidR="005E28A0">
        <w:rPr>
          <w:rFonts w:eastAsia="Times New Roman"/>
          <w:szCs w:val="28"/>
          <w:lang w:eastAsia="ru-RU"/>
        </w:rPr>
        <w:t>і</w:t>
      </w:r>
      <w:r w:rsidRPr="00006A39">
        <w:rPr>
          <w:rFonts w:eastAsia="Times New Roman"/>
          <w:szCs w:val="28"/>
          <w:lang w:eastAsia="ru-RU"/>
        </w:rPr>
        <w:t>з дихальними розладами, що потребують тривалої, у т.ч. високочастотної респіраторної підтримки, станами, що потребують невідкладної хірургічної корекції; надання організаційно-методичної допомоги із застосуванням телемедичних технологій, у тому числі з виїздом у заклади охорони здоров’я І та ІІ рівнів п</w:t>
      </w:r>
      <w:r w:rsidR="00F42864">
        <w:rPr>
          <w:rFonts w:eastAsia="Times New Roman"/>
          <w:szCs w:val="28"/>
          <w:lang w:eastAsia="ru-RU"/>
        </w:rPr>
        <w:t>еринатальної допомоги (табл. 7.5</w:t>
      </w:r>
      <w:r w:rsidRPr="00006A39">
        <w:rPr>
          <w:rFonts w:eastAsia="Times New Roman"/>
          <w:szCs w:val="28"/>
          <w:lang w:eastAsia="ru-RU"/>
        </w:rPr>
        <w:t>).</w:t>
      </w:r>
    </w:p>
    <w:p w:rsidR="003B67F9" w:rsidRPr="00006A39" w:rsidRDefault="00F42864" w:rsidP="00721203">
      <w:pPr>
        <w:widowControl w:val="0"/>
        <w:ind w:firstLine="709"/>
        <w:jc w:val="right"/>
        <w:rPr>
          <w:rFonts w:eastAsia="Times New Roman"/>
          <w:i/>
          <w:szCs w:val="28"/>
          <w:lang w:eastAsia="ru-RU"/>
        </w:rPr>
      </w:pPr>
      <w:r>
        <w:rPr>
          <w:rFonts w:eastAsia="Times New Roman"/>
          <w:i/>
          <w:szCs w:val="28"/>
          <w:lang w:eastAsia="ru-RU"/>
        </w:rPr>
        <w:t>Таблиця 7.5</w:t>
      </w:r>
    </w:p>
    <w:p w:rsidR="003B67F9" w:rsidRPr="00006A39" w:rsidRDefault="003B67F9" w:rsidP="00721203">
      <w:pPr>
        <w:widowControl w:val="0"/>
        <w:jc w:val="center"/>
        <w:rPr>
          <w:rFonts w:eastAsia="Times New Roman"/>
          <w:b/>
          <w:szCs w:val="28"/>
          <w:lang w:eastAsia="ru-RU"/>
        </w:rPr>
      </w:pPr>
      <w:r w:rsidRPr="00006A39">
        <w:rPr>
          <w:rFonts w:eastAsia="Times New Roman"/>
          <w:b/>
          <w:color w:val="000000"/>
          <w:szCs w:val="28"/>
          <w:lang w:eastAsia="ru-RU"/>
        </w:rPr>
        <w:t>Комплексна оцінка діяльності ЗОЗ, що надають третинну (високоспеціалізовану) перинатальну допомогу</w:t>
      </w:r>
    </w:p>
    <w:tbl>
      <w:tblPr>
        <w:tblStyle w:val="a6"/>
        <w:tblW w:w="10178" w:type="dxa"/>
        <w:tblInd w:w="95" w:type="dxa"/>
        <w:tblLayout w:type="fixed"/>
        <w:tblLook w:val="01E0" w:firstRow="1" w:lastRow="1" w:firstColumn="1" w:lastColumn="1" w:noHBand="0" w:noVBand="0"/>
      </w:tblPr>
      <w:tblGrid>
        <w:gridCol w:w="2267"/>
        <w:gridCol w:w="3257"/>
        <w:gridCol w:w="995"/>
        <w:gridCol w:w="712"/>
        <w:gridCol w:w="853"/>
        <w:gridCol w:w="428"/>
        <w:gridCol w:w="429"/>
        <w:gridCol w:w="850"/>
        <w:gridCol w:w="387"/>
      </w:tblGrid>
      <w:tr w:rsidR="00470433" w:rsidRPr="00470433" w:rsidTr="007E4D41">
        <w:trPr>
          <w:cantSplit/>
          <w:trHeight w:val="2817"/>
        </w:trPr>
        <w:tc>
          <w:tcPr>
            <w:tcW w:w="2267" w:type="dxa"/>
            <w:tcBorders>
              <w:top w:val="single" w:sz="4" w:space="0" w:color="auto"/>
              <w:left w:val="single" w:sz="4" w:space="0" w:color="auto"/>
              <w:bottom w:val="single" w:sz="4" w:space="0" w:color="auto"/>
              <w:right w:val="single" w:sz="4" w:space="0" w:color="auto"/>
            </w:tcBorders>
            <w:hideMark/>
          </w:tcPr>
          <w:p w:rsidR="003B67F9" w:rsidRPr="00470433" w:rsidRDefault="003B67F9" w:rsidP="00721203">
            <w:pPr>
              <w:widowControl w:val="0"/>
              <w:spacing w:line="276" w:lineRule="auto"/>
              <w:jc w:val="center"/>
              <w:rPr>
                <w:rFonts w:ascii="Times New Roman" w:hAnsi="Times New Roman"/>
                <w:color w:val="000000"/>
                <w:sz w:val="24"/>
                <w:szCs w:val="24"/>
                <w:lang w:val="uk-UA"/>
              </w:rPr>
            </w:pPr>
            <w:r w:rsidRPr="00470433">
              <w:rPr>
                <w:rFonts w:ascii="Times New Roman" w:hAnsi="Times New Roman"/>
                <w:color w:val="000000"/>
                <w:sz w:val="24"/>
                <w:szCs w:val="24"/>
                <w:lang w:val="uk-UA"/>
              </w:rPr>
              <w:t>Нормативний показник</w:t>
            </w:r>
          </w:p>
        </w:tc>
        <w:tc>
          <w:tcPr>
            <w:tcW w:w="3257" w:type="dxa"/>
            <w:tcBorders>
              <w:top w:val="single" w:sz="4" w:space="0" w:color="auto"/>
              <w:left w:val="single" w:sz="4" w:space="0" w:color="auto"/>
              <w:right w:val="single" w:sz="4" w:space="0" w:color="auto"/>
            </w:tcBorders>
          </w:tcPr>
          <w:p w:rsidR="003B67F9" w:rsidRPr="00470433" w:rsidRDefault="003B67F9" w:rsidP="00721203">
            <w:pPr>
              <w:widowControl w:val="0"/>
              <w:spacing w:line="276" w:lineRule="auto"/>
              <w:jc w:val="center"/>
              <w:rPr>
                <w:rFonts w:ascii="Times New Roman" w:hAnsi="Times New Roman"/>
                <w:color w:val="000000"/>
                <w:sz w:val="24"/>
                <w:szCs w:val="24"/>
                <w:lang w:val="uk-UA"/>
              </w:rPr>
            </w:pPr>
            <w:r w:rsidRPr="00470433">
              <w:rPr>
                <w:rFonts w:ascii="Times New Roman" w:hAnsi="Times New Roman"/>
                <w:color w:val="000000"/>
                <w:sz w:val="24"/>
                <w:szCs w:val="24"/>
                <w:lang w:val="uk-UA"/>
              </w:rPr>
              <w:t>Методика вимірювання (обчислення)</w:t>
            </w:r>
          </w:p>
        </w:tc>
        <w:tc>
          <w:tcPr>
            <w:tcW w:w="995" w:type="dxa"/>
            <w:tcBorders>
              <w:top w:val="single" w:sz="4" w:space="0" w:color="auto"/>
              <w:left w:val="single" w:sz="4" w:space="0" w:color="auto"/>
              <w:right w:val="single" w:sz="4" w:space="0" w:color="auto"/>
            </w:tcBorders>
            <w:textDirection w:val="btLr"/>
          </w:tcPr>
          <w:p w:rsidR="003B67F9" w:rsidRPr="00470433" w:rsidRDefault="003B67F9" w:rsidP="00470433">
            <w:pPr>
              <w:widowControl w:val="0"/>
              <w:jc w:val="center"/>
              <w:rPr>
                <w:rFonts w:ascii="Times New Roman" w:hAnsi="Times New Roman"/>
                <w:color w:val="000000"/>
                <w:sz w:val="24"/>
                <w:szCs w:val="24"/>
                <w:lang w:val="uk-UA"/>
              </w:rPr>
            </w:pPr>
            <w:r w:rsidRPr="00470433">
              <w:rPr>
                <w:rFonts w:ascii="Times New Roman" w:hAnsi="Times New Roman"/>
                <w:color w:val="000000"/>
                <w:sz w:val="24"/>
                <w:szCs w:val="24"/>
                <w:lang w:val="uk-UA"/>
              </w:rPr>
              <w:t>Норматив (контрольний показник)</w:t>
            </w:r>
          </w:p>
        </w:tc>
        <w:tc>
          <w:tcPr>
            <w:tcW w:w="712" w:type="dxa"/>
            <w:tcBorders>
              <w:top w:val="single" w:sz="4" w:space="0" w:color="auto"/>
              <w:left w:val="single" w:sz="4" w:space="0" w:color="auto"/>
              <w:right w:val="single" w:sz="4" w:space="0" w:color="auto"/>
            </w:tcBorders>
            <w:textDirection w:val="btLr"/>
          </w:tcPr>
          <w:p w:rsidR="003B67F9" w:rsidRPr="00470433" w:rsidRDefault="003B67F9" w:rsidP="00470433">
            <w:pPr>
              <w:widowControl w:val="0"/>
              <w:jc w:val="center"/>
              <w:rPr>
                <w:rFonts w:ascii="Times New Roman" w:hAnsi="Times New Roman"/>
                <w:color w:val="000000"/>
                <w:sz w:val="24"/>
                <w:szCs w:val="24"/>
                <w:lang w:val="uk-UA"/>
              </w:rPr>
            </w:pPr>
            <w:r w:rsidRPr="00470433">
              <w:rPr>
                <w:rFonts w:ascii="Times New Roman" w:hAnsi="Times New Roman"/>
                <w:color w:val="000000"/>
                <w:sz w:val="24"/>
                <w:szCs w:val="24"/>
                <w:lang w:val="uk-UA"/>
              </w:rPr>
              <w:t xml:space="preserve">Оцінка нормативу </w:t>
            </w:r>
          </w:p>
          <w:p w:rsidR="003B67F9" w:rsidRPr="00470433" w:rsidRDefault="003B67F9" w:rsidP="00470433">
            <w:pPr>
              <w:widowControl w:val="0"/>
              <w:jc w:val="center"/>
              <w:rPr>
                <w:rFonts w:ascii="Times New Roman" w:hAnsi="Times New Roman"/>
                <w:color w:val="000000"/>
                <w:sz w:val="24"/>
                <w:szCs w:val="24"/>
                <w:lang w:val="uk-UA"/>
              </w:rPr>
            </w:pPr>
            <w:r w:rsidRPr="00470433">
              <w:rPr>
                <w:rFonts w:ascii="Times New Roman" w:hAnsi="Times New Roman"/>
                <w:color w:val="000000"/>
                <w:sz w:val="24"/>
                <w:szCs w:val="24"/>
                <w:lang w:val="uk-UA"/>
              </w:rPr>
              <w:t>( бал)</w:t>
            </w:r>
          </w:p>
        </w:tc>
        <w:tc>
          <w:tcPr>
            <w:tcW w:w="853" w:type="dxa"/>
            <w:tcBorders>
              <w:top w:val="single" w:sz="4" w:space="0" w:color="auto"/>
              <w:left w:val="single" w:sz="4" w:space="0" w:color="auto"/>
              <w:right w:val="single" w:sz="4" w:space="0" w:color="auto"/>
            </w:tcBorders>
            <w:textDirection w:val="btLr"/>
          </w:tcPr>
          <w:p w:rsidR="003B67F9" w:rsidRPr="00470433" w:rsidRDefault="003B67F9" w:rsidP="00470433">
            <w:pPr>
              <w:widowControl w:val="0"/>
              <w:jc w:val="center"/>
              <w:rPr>
                <w:rFonts w:ascii="Times New Roman" w:hAnsi="Times New Roman"/>
                <w:color w:val="000000"/>
                <w:sz w:val="24"/>
                <w:szCs w:val="24"/>
                <w:lang w:val="uk-UA"/>
              </w:rPr>
            </w:pPr>
            <w:r w:rsidRPr="00470433">
              <w:rPr>
                <w:rFonts w:ascii="Times New Roman" w:hAnsi="Times New Roman"/>
                <w:color w:val="000000"/>
                <w:sz w:val="24"/>
                <w:szCs w:val="24"/>
                <w:lang w:val="uk-UA"/>
              </w:rPr>
              <w:t>Оцінка відхилення  в балах на 1 одиницю виміру</w:t>
            </w:r>
          </w:p>
        </w:tc>
        <w:tc>
          <w:tcPr>
            <w:tcW w:w="428" w:type="dxa"/>
            <w:tcBorders>
              <w:top w:val="single" w:sz="4" w:space="0" w:color="auto"/>
              <w:left w:val="single" w:sz="4" w:space="0" w:color="auto"/>
              <w:right w:val="single" w:sz="4" w:space="0" w:color="auto"/>
            </w:tcBorders>
            <w:textDirection w:val="btLr"/>
          </w:tcPr>
          <w:p w:rsidR="003B67F9" w:rsidRPr="00470433" w:rsidRDefault="003B67F9" w:rsidP="00470433">
            <w:pPr>
              <w:widowControl w:val="0"/>
              <w:jc w:val="center"/>
              <w:rPr>
                <w:rFonts w:ascii="Times New Roman" w:hAnsi="Times New Roman"/>
                <w:color w:val="000000"/>
                <w:sz w:val="24"/>
                <w:szCs w:val="24"/>
                <w:lang w:val="uk-UA"/>
              </w:rPr>
            </w:pPr>
            <w:r w:rsidRPr="00470433">
              <w:rPr>
                <w:rFonts w:ascii="Times New Roman" w:hAnsi="Times New Roman"/>
                <w:color w:val="000000"/>
                <w:sz w:val="24"/>
                <w:szCs w:val="24"/>
                <w:lang w:val="uk-UA"/>
              </w:rPr>
              <w:t>Знак</w:t>
            </w:r>
          </w:p>
        </w:tc>
        <w:tc>
          <w:tcPr>
            <w:tcW w:w="429" w:type="dxa"/>
            <w:tcBorders>
              <w:top w:val="single" w:sz="4" w:space="0" w:color="auto"/>
              <w:left w:val="single" w:sz="4" w:space="0" w:color="auto"/>
              <w:right w:val="single" w:sz="4" w:space="0" w:color="auto"/>
            </w:tcBorders>
            <w:textDirection w:val="btLr"/>
          </w:tcPr>
          <w:p w:rsidR="003B67F9" w:rsidRPr="00470433" w:rsidRDefault="003B67F9" w:rsidP="00470433">
            <w:pPr>
              <w:widowControl w:val="0"/>
              <w:jc w:val="center"/>
              <w:rPr>
                <w:rFonts w:ascii="Times New Roman" w:hAnsi="Times New Roman"/>
                <w:color w:val="000000"/>
                <w:sz w:val="24"/>
                <w:szCs w:val="24"/>
                <w:lang w:val="uk-UA"/>
              </w:rPr>
            </w:pPr>
            <w:r w:rsidRPr="00470433">
              <w:rPr>
                <w:rFonts w:ascii="Times New Roman" w:hAnsi="Times New Roman"/>
                <w:color w:val="000000"/>
                <w:sz w:val="24"/>
                <w:szCs w:val="24"/>
                <w:lang w:val="uk-UA"/>
              </w:rPr>
              <w:t xml:space="preserve">Фактичний показник </w:t>
            </w:r>
          </w:p>
        </w:tc>
        <w:tc>
          <w:tcPr>
            <w:tcW w:w="850" w:type="dxa"/>
            <w:tcBorders>
              <w:top w:val="single" w:sz="4" w:space="0" w:color="auto"/>
              <w:left w:val="single" w:sz="4" w:space="0" w:color="auto"/>
              <w:right w:val="single" w:sz="4" w:space="0" w:color="auto"/>
            </w:tcBorders>
            <w:textDirection w:val="btLr"/>
          </w:tcPr>
          <w:p w:rsidR="003B67F9" w:rsidRPr="00470433" w:rsidRDefault="003B67F9" w:rsidP="00470433">
            <w:pPr>
              <w:widowControl w:val="0"/>
              <w:jc w:val="center"/>
              <w:rPr>
                <w:rFonts w:ascii="Times New Roman" w:hAnsi="Times New Roman"/>
                <w:color w:val="000000"/>
                <w:sz w:val="24"/>
                <w:szCs w:val="24"/>
                <w:lang w:val="uk-UA"/>
              </w:rPr>
            </w:pPr>
            <w:r w:rsidRPr="00470433">
              <w:rPr>
                <w:rFonts w:ascii="Times New Roman" w:hAnsi="Times New Roman"/>
                <w:color w:val="000000"/>
                <w:sz w:val="24"/>
                <w:szCs w:val="24"/>
                <w:lang w:val="uk-UA"/>
              </w:rPr>
              <w:t>Бальна оцінка фактичного показника</w:t>
            </w:r>
          </w:p>
        </w:tc>
        <w:tc>
          <w:tcPr>
            <w:tcW w:w="387" w:type="dxa"/>
            <w:tcBorders>
              <w:top w:val="single" w:sz="4" w:space="0" w:color="auto"/>
              <w:left w:val="single" w:sz="4" w:space="0" w:color="auto"/>
              <w:right w:val="single" w:sz="4" w:space="0" w:color="auto"/>
            </w:tcBorders>
            <w:textDirection w:val="btLr"/>
          </w:tcPr>
          <w:p w:rsidR="003B67F9" w:rsidRPr="00470433" w:rsidRDefault="003B67F9" w:rsidP="00470433">
            <w:pPr>
              <w:widowControl w:val="0"/>
              <w:jc w:val="center"/>
              <w:rPr>
                <w:rFonts w:ascii="Times New Roman" w:hAnsi="Times New Roman"/>
                <w:color w:val="000000"/>
                <w:sz w:val="24"/>
                <w:szCs w:val="24"/>
                <w:lang w:val="uk-UA"/>
              </w:rPr>
            </w:pPr>
            <w:r w:rsidRPr="00470433">
              <w:rPr>
                <w:rFonts w:ascii="Times New Roman" w:hAnsi="Times New Roman"/>
                <w:color w:val="000000"/>
                <w:sz w:val="24"/>
                <w:szCs w:val="24"/>
                <w:lang w:val="uk-UA"/>
              </w:rPr>
              <w:t>КДНЗ</w:t>
            </w:r>
          </w:p>
        </w:tc>
      </w:tr>
      <w:tr w:rsidR="00470433" w:rsidRPr="00470433" w:rsidTr="007E4D41">
        <w:trPr>
          <w:trHeight w:val="81"/>
        </w:trPr>
        <w:tc>
          <w:tcPr>
            <w:tcW w:w="2267"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rPr>
                <w:rFonts w:ascii="Times New Roman" w:hAnsi="Times New Roman"/>
                <w:color w:val="000000"/>
                <w:sz w:val="24"/>
                <w:szCs w:val="24"/>
                <w:lang w:val="uk-UA"/>
              </w:rPr>
            </w:pPr>
            <w:r w:rsidRPr="00470433">
              <w:rPr>
                <w:rFonts w:ascii="Times New Roman" w:hAnsi="Times New Roman"/>
                <w:color w:val="000000"/>
                <w:sz w:val="24"/>
                <w:szCs w:val="24"/>
                <w:lang w:val="uk-UA"/>
              </w:rPr>
              <w:t>Укомплектованість лікарями акушер-гінекологами</w:t>
            </w:r>
          </w:p>
        </w:tc>
        <w:tc>
          <w:tcPr>
            <w:tcW w:w="3257"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rPr>
                <w:rFonts w:ascii="Times New Roman" w:hAnsi="Times New Roman"/>
                <w:color w:val="000000"/>
                <w:sz w:val="24"/>
                <w:szCs w:val="24"/>
                <w:lang w:val="uk-UA"/>
              </w:rPr>
            </w:pPr>
            <w:r w:rsidRPr="00470433">
              <w:rPr>
                <w:rFonts w:ascii="Times New Roman" w:hAnsi="Times New Roman"/>
                <w:color w:val="000000"/>
                <w:sz w:val="24"/>
                <w:szCs w:val="24"/>
                <w:lang w:val="uk-UA"/>
              </w:rPr>
              <w:t>Кількість фізичних о</w:t>
            </w:r>
            <w:r w:rsidR="00F17D67">
              <w:rPr>
                <w:rFonts w:ascii="Times New Roman" w:hAnsi="Times New Roman"/>
                <w:color w:val="000000"/>
                <w:sz w:val="24"/>
                <w:szCs w:val="24"/>
                <w:lang w:val="uk-UA"/>
              </w:rPr>
              <w:t>сіб лікарів акушер-гінекологів ×</w:t>
            </w:r>
            <w:r w:rsidRPr="00470433">
              <w:rPr>
                <w:rFonts w:ascii="Times New Roman" w:hAnsi="Times New Roman"/>
                <w:color w:val="000000"/>
                <w:sz w:val="24"/>
                <w:szCs w:val="24"/>
                <w:lang w:val="uk-UA"/>
              </w:rPr>
              <w:t>100/ кількість штатних посад лікарів акушер-гінекологів</w:t>
            </w:r>
          </w:p>
        </w:tc>
        <w:tc>
          <w:tcPr>
            <w:tcW w:w="995"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jc w:val="center"/>
              <w:rPr>
                <w:rFonts w:ascii="Times New Roman" w:hAnsi="Times New Roman"/>
                <w:color w:val="000000"/>
                <w:sz w:val="24"/>
                <w:szCs w:val="24"/>
                <w:lang w:val="uk-UA"/>
              </w:rPr>
            </w:pPr>
            <w:r w:rsidRPr="00470433">
              <w:rPr>
                <w:rFonts w:ascii="Times New Roman" w:hAnsi="Times New Roman"/>
                <w:color w:val="000000"/>
                <w:sz w:val="24"/>
                <w:szCs w:val="24"/>
                <w:lang w:val="uk-UA"/>
              </w:rPr>
              <w:t>95</w:t>
            </w:r>
          </w:p>
        </w:tc>
        <w:tc>
          <w:tcPr>
            <w:tcW w:w="712"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jc w:val="center"/>
              <w:rPr>
                <w:rFonts w:ascii="Times New Roman" w:hAnsi="Times New Roman"/>
                <w:color w:val="000000"/>
                <w:sz w:val="24"/>
                <w:szCs w:val="24"/>
                <w:lang w:val="uk-UA"/>
              </w:rPr>
            </w:pPr>
            <w:r w:rsidRPr="00470433">
              <w:rPr>
                <w:rFonts w:ascii="Times New Roman" w:hAnsi="Times New Roman"/>
                <w:color w:val="000000"/>
                <w:sz w:val="24"/>
                <w:szCs w:val="24"/>
                <w:lang w:val="uk-UA"/>
              </w:rPr>
              <w:t>7</w:t>
            </w:r>
          </w:p>
        </w:tc>
        <w:tc>
          <w:tcPr>
            <w:tcW w:w="853"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jc w:val="center"/>
              <w:rPr>
                <w:rFonts w:ascii="Times New Roman" w:hAnsi="Times New Roman"/>
                <w:color w:val="000000"/>
                <w:sz w:val="24"/>
                <w:szCs w:val="24"/>
                <w:lang w:val="uk-UA"/>
              </w:rPr>
            </w:pPr>
            <w:r w:rsidRPr="00470433">
              <w:rPr>
                <w:rFonts w:ascii="Times New Roman" w:hAnsi="Times New Roman"/>
                <w:color w:val="000000"/>
                <w:sz w:val="24"/>
                <w:szCs w:val="24"/>
                <w:lang w:val="uk-UA"/>
              </w:rPr>
              <w:t>0,07</w:t>
            </w:r>
          </w:p>
        </w:tc>
        <w:tc>
          <w:tcPr>
            <w:tcW w:w="428"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jc w:val="center"/>
              <w:rPr>
                <w:rFonts w:ascii="Times New Roman" w:hAnsi="Times New Roman"/>
                <w:color w:val="000000"/>
                <w:sz w:val="24"/>
                <w:szCs w:val="24"/>
                <w:lang w:val="uk-UA"/>
              </w:rPr>
            </w:pPr>
            <w:r w:rsidRPr="00470433">
              <w:rPr>
                <w:rFonts w:ascii="Times New Roman" w:hAnsi="Times New Roman"/>
                <w:color w:val="000000"/>
                <w:sz w:val="24"/>
                <w:szCs w:val="24"/>
                <w:lang w:val="uk-UA"/>
              </w:rPr>
              <w:t>-</w:t>
            </w:r>
          </w:p>
        </w:tc>
        <w:tc>
          <w:tcPr>
            <w:tcW w:w="429"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jc w:val="center"/>
              <w:rPr>
                <w:rFonts w:ascii="Times New Roman" w:hAnsi="Times New Roman"/>
                <w:color w:val="000000"/>
                <w:sz w:val="24"/>
                <w:szCs w:val="24"/>
                <w:lang w:val="uk-UA"/>
              </w:rPr>
            </w:pPr>
          </w:p>
        </w:tc>
        <w:tc>
          <w:tcPr>
            <w:tcW w:w="850"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jc w:val="right"/>
              <w:rPr>
                <w:rFonts w:ascii="Times New Roman" w:hAnsi="Times New Roman"/>
                <w:color w:val="000000"/>
                <w:sz w:val="24"/>
                <w:szCs w:val="24"/>
                <w:lang w:val="uk-UA"/>
              </w:rPr>
            </w:pPr>
          </w:p>
        </w:tc>
        <w:tc>
          <w:tcPr>
            <w:tcW w:w="387"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jc w:val="right"/>
              <w:rPr>
                <w:rFonts w:ascii="Times New Roman" w:hAnsi="Times New Roman"/>
                <w:color w:val="000000"/>
                <w:sz w:val="24"/>
                <w:szCs w:val="24"/>
                <w:lang w:val="uk-UA"/>
              </w:rPr>
            </w:pPr>
          </w:p>
        </w:tc>
      </w:tr>
      <w:tr w:rsidR="00470433" w:rsidRPr="00470433" w:rsidTr="007E4D41">
        <w:trPr>
          <w:trHeight w:val="81"/>
        </w:trPr>
        <w:tc>
          <w:tcPr>
            <w:tcW w:w="2267"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rPr>
                <w:rFonts w:ascii="Times New Roman" w:hAnsi="Times New Roman"/>
                <w:color w:val="000000"/>
                <w:sz w:val="24"/>
                <w:szCs w:val="24"/>
                <w:lang w:val="uk-UA"/>
              </w:rPr>
            </w:pPr>
            <w:r w:rsidRPr="00470433">
              <w:rPr>
                <w:rFonts w:ascii="Times New Roman" w:hAnsi="Times New Roman"/>
                <w:color w:val="000000"/>
                <w:sz w:val="24"/>
                <w:szCs w:val="24"/>
                <w:lang w:val="uk-UA"/>
              </w:rPr>
              <w:t>Укомплектованість лікарями педіатрами- неонатологами</w:t>
            </w:r>
          </w:p>
        </w:tc>
        <w:tc>
          <w:tcPr>
            <w:tcW w:w="3257"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rPr>
                <w:rFonts w:ascii="Times New Roman" w:hAnsi="Times New Roman"/>
                <w:color w:val="000000"/>
                <w:sz w:val="24"/>
                <w:szCs w:val="24"/>
                <w:lang w:val="uk-UA"/>
              </w:rPr>
            </w:pPr>
            <w:r w:rsidRPr="00470433">
              <w:rPr>
                <w:rFonts w:ascii="Times New Roman" w:hAnsi="Times New Roman"/>
                <w:color w:val="000000"/>
                <w:sz w:val="24"/>
                <w:szCs w:val="24"/>
                <w:lang w:val="uk-UA"/>
              </w:rPr>
              <w:t xml:space="preserve">Кількість фізичних осіб </w:t>
            </w:r>
            <w:r w:rsidR="00C4577E">
              <w:rPr>
                <w:rFonts w:ascii="Times New Roman" w:hAnsi="Times New Roman"/>
                <w:color w:val="000000"/>
                <w:sz w:val="24"/>
                <w:szCs w:val="24"/>
                <w:lang w:val="uk-UA"/>
              </w:rPr>
              <w:t>лікарів педіатрів-неонатологів ×</w:t>
            </w:r>
            <w:r w:rsidR="001E1DF5" w:rsidRPr="001E1DF5">
              <w:rPr>
                <w:rFonts w:ascii="Times New Roman" w:hAnsi="Times New Roman"/>
                <w:color w:val="000000"/>
                <w:sz w:val="24"/>
                <w:szCs w:val="24"/>
                <w:lang w:val="uk-UA"/>
              </w:rPr>
              <w:t xml:space="preserve"> </w:t>
            </w:r>
            <w:r w:rsidRPr="00470433">
              <w:rPr>
                <w:rFonts w:ascii="Times New Roman" w:hAnsi="Times New Roman"/>
                <w:color w:val="000000"/>
                <w:sz w:val="24"/>
                <w:szCs w:val="24"/>
                <w:lang w:val="uk-UA"/>
              </w:rPr>
              <w:t>100/ кількість штатних посад лікарів педіатрів-неонатологів</w:t>
            </w:r>
          </w:p>
        </w:tc>
        <w:tc>
          <w:tcPr>
            <w:tcW w:w="995"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jc w:val="center"/>
              <w:rPr>
                <w:rFonts w:ascii="Times New Roman" w:hAnsi="Times New Roman"/>
                <w:color w:val="000000"/>
                <w:sz w:val="24"/>
                <w:szCs w:val="24"/>
                <w:lang w:val="uk-UA"/>
              </w:rPr>
            </w:pPr>
            <w:r w:rsidRPr="00470433">
              <w:rPr>
                <w:rFonts w:ascii="Times New Roman" w:hAnsi="Times New Roman"/>
                <w:color w:val="000000"/>
                <w:sz w:val="24"/>
                <w:szCs w:val="24"/>
                <w:lang w:val="uk-UA"/>
              </w:rPr>
              <w:t>95</w:t>
            </w:r>
          </w:p>
        </w:tc>
        <w:tc>
          <w:tcPr>
            <w:tcW w:w="712"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jc w:val="center"/>
              <w:rPr>
                <w:rFonts w:ascii="Times New Roman" w:hAnsi="Times New Roman"/>
                <w:color w:val="000000"/>
                <w:sz w:val="24"/>
                <w:szCs w:val="24"/>
                <w:lang w:val="uk-UA"/>
              </w:rPr>
            </w:pPr>
            <w:r w:rsidRPr="00470433">
              <w:rPr>
                <w:rFonts w:ascii="Times New Roman" w:hAnsi="Times New Roman"/>
                <w:color w:val="000000"/>
                <w:sz w:val="24"/>
                <w:szCs w:val="24"/>
                <w:lang w:val="uk-UA"/>
              </w:rPr>
              <w:t>7</w:t>
            </w:r>
          </w:p>
        </w:tc>
        <w:tc>
          <w:tcPr>
            <w:tcW w:w="853"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jc w:val="center"/>
              <w:rPr>
                <w:rFonts w:ascii="Times New Roman" w:hAnsi="Times New Roman"/>
                <w:color w:val="000000"/>
                <w:sz w:val="24"/>
                <w:szCs w:val="24"/>
                <w:lang w:val="uk-UA"/>
              </w:rPr>
            </w:pPr>
            <w:r w:rsidRPr="00470433">
              <w:rPr>
                <w:rFonts w:ascii="Times New Roman" w:hAnsi="Times New Roman"/>
                <w:color w:val="000000"/>
                <w:sz w:val="24"/>
                <w:szCs w:val="24"/>
                <w:lang w:val="uk-UA"/>
              </w:rPr>
              <w:t>0,07</w:t>
            </w:r>
          </w:p>
        </w:tc>
        <w:tc>
          <w:tcPr>
            <w:tcW w:w="428"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jc w:val="center"/>
              <w:rPr>
                <w:rFonts w:ascii="Times New Roman" w:hAnsi="Times New Roman"/>
                <w:color w:val="000000"/>
                <w:sz w:val="24"/>
                <w:szCs w:val="24"/>
                <w:lang w:val="uk-UA"/>
              </w:rPr>
            </w:pPr>
            <w:r w:rsidRPr="00470433">
              <w:rPr>
                <w:rFonts w:ascii="Times New Roman" w:hAnsi="Times New Roman"/>
                <w:color w:val="000000"/>
                <w:sz w:val="24"/>
                <w:szCs w:val="24"/>
                <w:lang w:val="uk-UA"/>
              </w:rPr>
              <w:t>-</w:t>
            </w:r>
          </w:p>
        </w:tc>
        <w:tc>
          <w:tcPr>
            <w:tcW w:w="429"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jc w:val="center"/>
              <w:rPr>
                <w:rFonts w:ascii="Times New Roman" w:hAnsi="Times New Roman"/>
                <w:color w:val="000000"/>
                <w:sz w:val="24"/>
                <w:szCs w:val="24"/>
                <w:lang w:val="uk-UA"/>
              </w:rPr>
            </w:pPr>
          </w:p>
        </w:tc>
        <w:tc>
          <w:tcPr>
            <w:tcW w:w="850"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jc w:val="right"/>
              <w:rPr>
                <w:rFonts w:ascii="Times New Roman" w:hAnsi="Times New Roman"/>
                <w:color w:val="000000"/>
                <w:sz w:val="24"/>
                <w:szCs w:val="24"/>
                <w:lang w:val="uk-UA"/>
              </w:rPr>
            </w:pPr>
          </w:p>
        </w:tc>
        <w:tc>
          <w:tcPr>
            <w:tcW w:w="387"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jc w:val="right"/>
              <w:rPr>
                <w:rFonts w:ascii="Times New Roman" w:hAnsi="Times New Roman"/>
                <w:color w:val="000000"/>
                <w:sz w:val="24"/>
                <w:szCs w:val="24"/>
                <w:lang w:val="uk-UA"/>
              </w:rPr>
            </w:pPr>
          </w:p>
        </w:tc>
      </w:tr>
      <w:tr w:rsidR="00470433" w:rsidRPr="00470433" w:rsidTr="007E4D41">
        <w:trPr>
          <w:trHeight w:val="81"/>
        </w:trPr>
        <w:tc>
          <w:tcPr>
            <w:tcW w:w="2267"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autoSpaceDE w:val="0"/>
              <w:autoSpaceDN w:val="0"/>
              <w:adjustRightInd w:val="0"/>
              <w:spacing w:line="276" w:lineRule="auto"/>
              <w:rPr>
                <w:rFonts w:ascii="Times New Roman" w:hAnsi="Times New Roman"/>
                <w:sz w:val="24"/>
                <w:szCs w:val="24"/>
                <w:lang w:val="uk-UA"/>
              </w:rPr>
            </w:pPr>
            <w:r w:rsidRPr="00470433">
              <w:rPr>
                <w:rFonts w:ascii="Times New Roman" w:hAnsi="Times New Roman"/>
                <w:sz w:val="24"/>
                <w:szCs w:val="24"/>
                <w:lang w:val="uk-UA"/>
              </w:rPr>
              <w:t>Участь лікарів  в наукових</w:t>
            </w:r>
          </w:p>
          <w:p w:rsidR="003B67F9" w:rsidRPr="00470433" w:rsidRDefault="003B67F9" w:rsidP="00721203">
            <w:pPr>
              <w:widowControl w:val="0"/>
              <w:autoSpaceDE w:val="0"/>
              <w:autoSpaceDN w:val="0"/>
              <w:adjustRightInd w:val="0"/>
              <w:spacing w:line="276" w:lineRule="auto"/>
              <w:rPr>
                <w:rFonts w:ascii="Times New Roman" w:hAnsi="Times New Roman"/>
                <w:sz w:val="24"/>
                <w:szCs w:val="24"/>
                <w:lang w:val="uk-UA"/>
              </w:rPr>
            </w:pPr>
            <w:r w:rsidRPr="00470433">
              <w:rPr>
                <w:rFonts w:ascii="Times New Roman" w:hAnsi="Times New Roman"/>
                <w:sz w:val="24"/>
                <w:szCs w:val="24"/>
                <w:lang w:val="uk-UA"/>
              </w:rPr>
              <w:t xml:space="preserve">конференціях, пленумах </w:t>
            </w:r>
          </w:p>
          <w:p w:rsidR="003B67F9" w:rsidRPr="00470433" w:rsidRDefault="003B67F9" w:rsidP="00721203">
            <w:pPr>
              <w:widowControl w:val="0"/>
              <w:autoSpaceDE w:val="0"/>
              <w:autoSpaceDN w:val="0"/>
              <w:adjustRightInd w:val="0"/>
              <w:spacing w:line="276" w:lineRule="auto"/>
              <w:rPr>
                <w:rFonts w:ascii="Times New Roman" w:hAnsi="Times New Roman"/>
                <w:sz w:val="24"/>
                <w:szCs w:val="24"/>
                <w:lang w:val="uk-UA"/>
              </w:rPr>
            </w:pPr>
            <w:r w:rsidRPr="00470433">
              <w:rPr>
                <w:rFonts w:ascii="Times New Roman" w:hAnsi="Times New Roman"/>
                <w:sz w:val="24"/>
                <w:szCs w:val="24"/>
                <w:lang w:val="uk-UA"/>
              </w:rPr>
              <w:t>асоціацій, наявність</w:t>
            </w:r>
          </w:p>
          <w:p w:rsidR="003B67F9" w:rsidRPr="00470433" w:rsidRDefault="003B67F9" w:rsidP="00721203">
            <w:pPr>
              <w:widowControl w:val="0"/>
              <w:spacing w:line="276" w:lineRule="auto"/>
              <w:rPr>
                <w:rFonts w:ascii="Times New Roman" w:hAnsi="Times New Roman"/>
                <w:sz w:val="24"/>
                <w:szCs w:val="24"/>
                <w:lang w:val="uk-UA"/>
              </w:rPr>
            </w:pPr>
            <w:r w:rsidRPr="00470433">
              <w:rPr>
                <w:rFonts w:ascii="Times New Roman" w:hAnsi="Times New Roman"/>
                <w:sz w:val="24"/>
                <w:szCs w:val="24"/>
                <w:lang w:val="uk-UA"/>
              </w:rPr>
              <w:t>друкованих праць</w:t>
            </w:r>
          </w:p>
        </w:tc>
        <w:tc>
          <w:tcPr>
            <w:tcW w:w="3257"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autoSpaceDE w:val="0"/>
              <w:autoSpaceDN w:val="0"/>
              <w:adjustRightInd w:val="0"/>
              <w:spacing w:line="276" w:lineRule="auto"/>
              <w:rPr>
                <w:rFonts w:ascii="Times New Roman" w:hAnsi="Times New Roman"/>
                <w:sz w:val="24"/>
                <w:szCs w:val="24"/>
                <w:lang w:val="uk-UA"/>
              </w:rPr>
            </w:pPr>
            <w:r w:rsidRPr="00470433">
              <w:rPr>
                <w:rFonts w:ascii="Times New Roman" w:hAnsi="Times New Roman"/>
                <w:sz w:val="24"/>
                <w:szCs w:val="24"/>
                <w:lang w:val="uk-UA"/>
              </w:rPr>
              <w:t>Кількість лікарів, які протягом останнього року приймали участь в конференціях, пленумах асоці</w:t>
            </w:r>
            <w:r w:rsidR="00C4577E">
              <w:rPr>
                <w:rFonts w:ascii="Times New Roman" w:hAnsi="Times New Roman"/>
                <w:sz w:val="24"/>
                <w:szCs w:val="24"/>
                <w:lang w:val="uk-UA"/>
              </w:rPr>
              <w:t>ацій, або мали друковані праці ×</w:t>
            </w:r>
            <w:r w:rsidRPr="00470433">
              <w:rPr>
                <w:rFonts w:ascii="Times New Roman" w:hAnsi="Times New Roman"/>
                <w:sz w:val="24"/>
                <w:szCs w:val="24"/>
                <w:lang w:val="uk-UA"/>
              </w:rPr>
              <w:t>100</w:t>
            </w:r>
            <w:r w:rsidR="00C4577E" w:rsidRPr="00C4577E">
              <w:rPr>
                <w:rFonts w:ascii="Times New Roman" w:hAnsi="Times New Roman"/>
                <w:sz w:val="24"/>
                <w:szCs w:val="24"/>
                <w:lang w:val="uk-UA"/>
              </w:rPr>
              <w:t xml:space="preserve"> </w:t>
            </w:r>
            <w:r w:rsidRPr="00470433">
              <w:rPr>
                <w:rFonts w:ascii="Times New Roman" w:hAnsi="Times New Roman"/>
                <w:sz w:val="24"/>
                <w:szCs w:val="24"/>
                <w:lang w:val="uk-UA"/>
              </w:rPr>
              <w:t>/</w:t>
            </w:r>
            <w:r w:rsidR="00C4577E" w:rsidRPr="00C4577E">
              <w:rPr>
                <w:rFonts w:ascii="Times New Roman" w:hAnsi="Times New Roman"/>
                <w:sz w:val="24"/>
                <w:szCs w:val="24"/>
                <w:lang w:val="uk-UA"/>
              </w:rPr>
              <w:t xml:space="preserve"> </w:t>
            </w:r>
            <w:r w:rsidRPr="00470433">
              <w:rPr>
                <w:rFonts w:ascii="Times New Roman" w:hAnsi="Times New Roman"/>
                <w:sz w:val="24"/>
                <w:szCs w:val="24"/>
                <w:lang w:val="uk-UA"/>
              </w:rPr>
              <w:t>загальна кількість лікарів</w:t>
            </w:r>
          </w:p>
        </w:tc>
        <w:tc>
          <w:tcPr>
            <w:tcW w:w="995"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jc w:val="center"/>
              <w:rPr>
                <w:rFonts w:ascii="Times New Roman" w:hAnsi="Times New Roman"/>
                <w:sz w:val="24"/>
                <w:szCs w:val="24"/>
                <w:lang w:val="uk-UA"/>
              </w:rPr>
            </w:pPr>
            <w:r w:rsidRPr="00470433">
              <w:rPr>
                <w:rFonts w:ascii="Times New Roman" w:hAnsi="Times New Roman"/>
                <w:sz w:val="24"/>
                <w:szCs w:val="24"/>
                <w:lang w:val="uk-UA"/>
              </w:rPr>
              <w:t>20,0</w:t>
            </w:r>
          </w:p>
        </w:tc>
        <w:tc>
          <w:tcPr>
            <w:tcW w:w="712"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jc w:val="center"/>
              <w:rPr>
                <w:rFonts w:ascii="Times New Roman" w:hAnsi="Times New Roman"/>
                <w:sz w:val="24"/>
                <w:szCs w:val="24"/>
                <w:lang w:val="uk-UA"/>
              </w:rPr>
            </w:pPr>
            <w:r w:rsidRPr="00470433">
              <w:rPr>
                <w:rFonts w:ascii="Times New Roman" w:hAnsi="Times New Roman"/>
                <w:sz w:val="24"/>
                <w:szCs w:val="24"/>
                <w:lang w:val="uk-UA"/>
              </w:rPr>
              <w:t>7</w:t>
            </w:r>
          </w:p>
        </w:tc>
        <w:tc>
          <w:tcPr>
            <w:tcW w:w="853"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jc w:val="center"/>
              <w:rPr>
                <w:rFonts w:ascii="Times New Roman" w:hAnsi="Times New Roman"/>
                <w:sz w:val="24"/>
                <w:szCs w:val="24"/>
                <w:lang w:val="uk-UA"/>
              </w:rPr>
            </w:pPr>
            <w:r w:rsidRPr="00470433">
              <w:rPr>
                <w:rFonts w:ascii="Times New Roman" w:hAnsi="Times New Roman"/>
                <w:sz w:val="24"/>
                <w:szCs w:val="24"/>
                <w:lang w:val="uk-UA"/>
              </w:rPr>
              <w:t>0,35</w:t>
            </w:r>
          </w:p>
        </w:tc>
        <w:tc>
          <w:tcPr>
            <w:tcW w:w="428"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jc w:val="center"/>
              <w:rPr>
                <w:rFonts w:ascii="Times New Roman" w:hAnsi="Times New Roman"/>
                <w:sz w:val="24"/>
                <w:szCs w:val="24"/>
                <w:lang w:val="uk-UA"/>
              </w:rPr>
            </w:pPr>
            <w:r w:rsidRPr="00470433">
              <w:rPr>
                <w:rFonts w:ascii="Times New Roman" w:hAnsi="Times New Roman"/>
                <w:sz w:val="24"/>
                <w:szCs w:val="24"/>
                <w:lang w:val="uk-UA"/>
              </w:rPr>
              <w:t>-</w:t>
            </w:r>
          </w:p>
        </w:tc>
        <w:tc>
          <w:tcPr>
            <w:tcW w:w="429"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jc w:val="center"/>
              <w:rPr>
                <w:rFonts w:ascii="Times New Roman" w:hAnsi="Times New Roman"/>
                <w:sz w:val="24"/>
                <w:szCs w:val="24"/>
                <w:lang w:val="uk-UA"/>
              </w:rPr>
            </w:pPr>
          </w:p>
        </w:tc>
        <w:tc>
          <w:tcPr>
            <w:tcW w:w="850"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jc w:val="right"/>
              <w:rPr>
                <w:rFonts w:ascii="Times New Roman" w:hAnsi="Times New Roman"/>
                <w:sz w:val="24"/>
                <w:szCs w:val="24"/>
                <w:lang w:val="uk-UA"/>
              </w:rPr>
            </w:pPr>
          </w:p>
        </w:tc>
        <w:tc>
          <w:tcPr>
            <w:tcW w:w="387"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jc w:val="right"/>
              <w:rPr>
                <w:rFonts w:ascii="Times New Roman" w:hAnsi="Times New Roman"/>
                <w:color w:val="000000"/>
                <w:sz w:val="24"/>
                <w:szCs w:val="24"/>
                <w:lang w:val="uk-UA"/>
              </w:rPr>
            </w:pPr>
          </w:p>
        </w:tc>
      </w:tr>
      <w:tr w:rsidR="00470433" w:rsidRPr="00470433" w:rsidTr="007E4D41">
        <w:trPr>
          <w:trHeight w:val="1069"/>
        </w:trPr>
        <w:tc>
          <w:tcPr>
            <w:tcW w:w="2267"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rPr>
                <w:rFonts w:ascii="Times New Roman" w:hAnsi="Times New Roman"/>
                <w:color w:val="000000"/>
                <w:sz w:val="24"/>
                <w:szCs w:val="24"/>
                <w:lang w:val="uk-UA"/>
              </w:rPr>
            </w:pPr>
            <w:r w:rsidRPr="00470433">
              <w:rPr>
                <w:rFonts w:ascii="Times New Roman" w:hAnsi="Times New Roman"/>
                <w:sz w:val="24"/>
                <w:szCs w:val="24"/>
                <w:lang w:val="uk-UA"/>
              </w:rPr>
              <w:t xml:space="preserve">Комп’ютеризація </w:t>
            </w:r>
            <w:r w:rsidR="001D1972" w:rsidRPr="00470433">
              <w:rPr>
                <w:rFonts w:ascii="Times New Roman" w:hAnsi="Times New Roman"/>
                <w:sz w:val="24"/>
                <w:szCs w:val="24"/>
                <w:lang w:val="uk-UA"/>
              </w:rPr>
              <w:t>відділення</w:t>
            </w:r>
            <w:r w:rsidRPr="00470433">
              <w:rPr>
                <w:rFonts w:ascii="Times New Roman" w:hAnsi="Times New Roman"/>
                <w:sz w:val="24"/>
                <w:szCs w:val="24"/>
                <w:lang w:val="uk-UA"/>
              </w:rPr>
              <w:t xml:space="preserve"> з доступом до Інтернет-мережі</w:t>
            </w:r>
          </w:p>
        </w:tc>
        <w:tc>
          <w:tcPr>
            <w:tcW w:w="3257"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rPr>
                <w:rFonts w:ascii="Times New Roman" w:hAnsi="Times New Roman"/>
                <w:color w:val="000000"/>
                <w:sz w:val="24"/>
                <w:szCs w:val="24"/>
                <w:lang w:val="uk-UA"/>
              </w:rPr>
            </w:pPr>
            <w:r w:rsidRPr="00470433">
              <w:rPr>
                <w:rFonts w:ascii="Times New Roman" w:hAnsi="Times New Roman"/>
                <w:sz w:val="24"/>
                <w:szCs w:val="24"/>
                <w:lang w:val="uk-UA"/>
              </w:rPr>
              <w:t>Наявність у структурному підрозділі закладу комп’ютера з доступом до Інтернет-мережі</w:t>
            </w:r>
          </w:p>
        </w:tc>
        <w:tc>
          <w:tcPr>
            <w:tcW w:w="995"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jc w:val="center"/>
              <w:rPr>
                <w:rFonts w:ascii="Times New Roman" w:hAnsi="Times New Roman"/>
                <w:color w:val="000000"/>
                <w:sz w:val="24"/>
                <w:szCs w:val="24"/>
                <w:lang w:val="uk-UA"/>
              </w:rPr>
            </w:pPr>
            <w:r w:rsidRPr="00470433">
              <w:rPr>
                <w:rFonts w:ascii="Times New Roman" w:hAnsi="Times New Roman"/>
                <w:color w:val="000000"/>
                <w:sz w:val="24"/>
                <w:szCs w:val="24"/>
                <w:lang w:val="uk-UA"/>
              </w:rPr>
              <w:t>так</w:t>
            </w:r>
          </w:p>
        </w:tc>
        <w:tc>
          <w:tcPr>
            <w:tcW w:w="712"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jc w:val="center"/>
              <w:rPr>
                <w:rFonts w:ascii="Times New Roman" w:hAnsi="Times New Roman"/>
                <w:color w:val="000000"/>
                <w:sz w:val="24"/>
                <w:szCs w:val="24"/>
                <w:lang w:val="uk-UA"/>
              </w:rPr>
            </w:pPr>
            <w:r w:rsidRPr="00470433">
              <w:rPr>
                <w:rFonts w:ascii="Times New Roman" w:hAnsi="Times New Roman"/>
                <w:sz w:val="24"/>
                <w:szCs w:val="24"/>
                <w:lang w:val="uk-UA"/>
              </w:rPr>
              <w:t>8</w:t>
            </w:r>
          </w:p>
        </w:tc>
        <w:tc>
          <w:tcPr>
            <w:tcW w:w="853"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jc w:val="center"/>
              <w:rPr>
                <w:rFonts w:ascii="Times New Roman" w:hAnsi="Times New Roman"/>
                <w:color w:val="000000"/>
                <w:sz w:val="24"/>
                <w:szCs w:val="24"/>
                <w:lang w:val="uk-UA"/>
              </w:rPr>
            </w:pPr>
          </w:p>
        </w:tc>
        <w:tc>
          <w:tcPr>
            <w:tcW w:w="428"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jc w:val="center"/>
              <w:rPr>
                <w:rFonts w:ascii="Times New Roman" w:hAnsi="Times New Roman"/>
                <w:color w:val="000000"/>
                <w:sz w:val="24"/>
                <w:szCs w:val="24"/>
                <w:lang w:val="uk-UA"/>
              </w:rPr>
            </w:pPr>
            <w:r w:rsidRPr="00470433">
              <w:rPr>
                <w:rFonts w:ascii="Times New Roman" w:hAnsi="Times New Roman"/>
                <w:color w:val="000000"/>
                <w:sz w:val="24"/>
                <w:szCs w:val="24"/>
                <w:lang w:val="uk-UA"/>
              </w:rPr>
              <w:t>-</w:t>
            </w:r>
          </w:p>
        </w:tc>
        <w:tc>
          <w:tcPr>
            <w:tcW w:w="429"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jc w:val="center"/>
              <w:rPr>
                <w:rFonts w:ascii="Times New Roman" w:hAnsi="Times New Roman"/>
                <w:color w:val="000000"/>
                <w:sz w:val="24"/>
                <w:szCs w:val="24"/>
                <w:lang w:val="uk-UA"/>
              </w:rPr>
            </w:pPr>
          </w:p>
        </w:tc>
        <w:tc>
          <w:tcPr>
            <w:tcW w:w="850"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jc w:val="center"/>
              <w:rPr>
                <w:rFonts w:ascii="Times New Roman" w:hAnsi="Times New Roman"/>
                <w:color w:val="000000"/>
                <w:sz w:val="24"/>
                <w:szCs w:val="24"/>
                <w:lang w:val="uk-UA"/>
              </w:rPr>
            </w:pPr>
          </w:p>
        </w:tc>
        <w:tc>
          <w:tcPr>
            <w:tcW w:w="387"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jc w:val="center"/>
              <w:rPr>
                <w:rFonts w:ascii="Times New Roman" w:hAnsi="Times New Roman"/>
                <w:color w:val="000000"/>
                <w:sz w:val="24"/>
                <w:szCs w:val="24"/>
                <w:lang w:val="uk-UA"/>
              </w:rPr>
            </w:pPr>
          </w:p>
        </w:tc>
      </w:tr>
    </w:tbl>
    <w:p w:rsidR="00B10A22" w:rsidRDefault="00B10A22" w:rsidP="007E4D41">
      <w:pPr>
        <w:jc w:val="right"/>
        <w:rPr>
          <w:i/>
          <w:lang w:val="ru-RU"/>
        </w:rPr>
      </w:pPr>
    </w:p>
    <w:p w:rsidR="007E4D41" w:rsidRPr="007E4D41" w:rsidRDefault="007E4D41" w:rsidP="00F159BE">
      <w:pPr>
        <w:pageBreakBefore/>
        <w:jc w:val="right"/>
        <w:rPr>
          <w:i/>
          <w:lang w:val="ru-RU"/>
        </w:rPr>
      </w:pPr>
      <w:r w:rsidRPr="007E4D41">
        <w:rPr>
          <w:i/>
          <w:lang w:val="ru-RU"/>
        </w:rPr>
        <w:lastRenderedPageBreak/>
        <w:t>Продовження табл. 7.5</w:t>
      </w:r>
    </w:p>
    <w:tbl>
      <w:tblPr>
        <w:tblStyle w:val="a6"/>
        <w:tblW w:w="10425" w:type="dxa"/>
        <w:jc w:val="center"/>
        <w:tblInd w:w="-5" w:type="dxa"/>
        <w:tblLayout w:type="fixed"/>
        <w:tblLook w:val="01E0" w:firstRow="1" w:lastRow="1" w:firstColumn="1" w:lastColumn="1" w:noHBand="0" w:noVBand="0"/>
      </w:tblPr>
      <w:tblGrid>
        <w:gridCol w:w="2367"/>
        <w:gridCol w:w="3257"/>
        <w:gridCol w:w="995"/>
        <w:gridCol w:w="712"/>
        <w:gridCol w:w="853"/>
        <w:gridCol w:w="454"/>
        <w:gridCol w:w="403"/>
        <w:gridCol w:w="850"/>
        <w:gridCol w:w="534"/>
      </w:tblGrid>
      <w:tr w:rsidR="00470433" w:rsidRPr="00470433" w:rsidTr="0050319C">
        <w:trPr>
          <w:trHeight w:val="81"/>
          <w:jc w:val="center"/>
        </w:trPr>
        <w:tc>
          <w:tcPr>
            <w:tcW w:w="2367"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rPr>
                <w:rFonts w:ascii="Times New Roman" w:hAnsi="Times New Roman"/>
                <w:sz w:val="24"/>
                <w:szCs w:val="24"/>
                <w:lang w:val="uk-UA"/>
              </w:rPr>
            </w:pPr>
            <w:r w:rsidRPr="00470433">
              <w:rPr>
                <w:rFonts w:ascii="Times New Roman" w:hAnsi="Times New Roman"/>
                <w:sz w:val="24"/>
                <w:szCs w:val="24"/>
                <w:lang w:val="uk-UA"/>
              </w:rPr>
              <w:t>Наявність сучасного медичного обладнання для надання перинатальної допомоги</w:t>
            </w:r>
          </w:p>
        </w:tc>
        <w:tc>
          <w:tcPr>
            <w:tcW w:w="3257"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rPr>
                <w:rFonts w:ascii="Times New Roman" w:hAnsi="Times New Roman"/>
                <w:sz w:val="24"/>
                <w:szCs w:val="24"/>
                <w:lang w:val="uk-UA"/>
              </w:rPr>
            </w:pPr>
            <w:r w:rsidRPr="00470433">
              <w:rPr>
                <w:rFonts w:ascii="Times New Roman" w:hAnsi="Times New Roman"/>
                <w:sz w:val="24"/>
                <w:szCs w:val="24"/>
                <w:lang w:val="uk-UA"/>
              </w:rPr>
              <w:t xml:space="preserve">Кількість наявного передбаченого табелем оснащення сучасного медичного обладнання </w:t>
            </w:r>
            <w:r w:rsidR="00EA0706">
              <w:rPr>
                <w:rFonts w:ascii="Times New Roman" w:hAnsi="Times New Roman"/>
                <w:kern w:val="28"/>
                <w:sz w:val="24"/>
                <w:szCs w:val="24"/>
                <w:lang w:val="uk-UA"/>
              </w:rPr>
              <w:t>×</w:t>
            </w:r>
            <w:r w:rsidRPr="00470433">
              <w:rPr>
                <w:rFonts w:ascii="Times New Roman" w:hAnsi="Times New Roman"/>
                <w:kern w:val="28"/>
                <w:sz w:val="24"/>
                <w:szCs w:val="24"/>
                <w:lang w:val="uk-UA"/>
              </w:rPr>
              <w:t xml:space="preserve"> 100</w:t>
            </w:r>
            <w:r w:rsidR="00EA0706">
              <w:rPr>
                <w:rFonts w:ascii="Times New Roman" w:hAnsi="Times New Roman"/>
                <w:kern w:val="28"/>
                <w:sz w:val="24"/>
                <w:szCs w:val="24"/>
              </w:rPr>
              <w:t xml:space="preserve"> </w:t>
            </w:r>
            <w:r w:rsidRPr="00470433">
              <w:rPr>
                <w:rFonts w:ascii="Times New Roman" w:hAnsi="Times New Roman"/>
                <w:sz w:val="24"/>
                <w:szCs w:val="24"/>
                <w:lang w:val="uk-UA"/>
              </w:rPr>
              <w:t>/ кількість передбаченого табелем оснащення сучасного медичного обладнання</w:t>
            </w:r>
          </w:p>
        </w:tc>
        <w:tc>
          <w:tcPr>
            <w:tcW w:w="995"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rPr>
                <w:rFonts w:ascii="Times New Roman" w:hAnsi="Times New Roman"/>
                <w:sz w:val="24"/>
                <w:szCs w:val="24"/>
                <w:lang w:val="uk-UA"/>
              </w:rPr>
            </w:pPr>
            <w:r w:rsidRPr="00470433">
              <w:rPr>
                <w:rFonts w:ascii="Times New Roman" w:hAnsi="Times New Roman"/>
                <w:sz w:val="24"/>
                <w:szCs w:val="24"/>
                <w:lang w:val="uk-UA"/>
              </w:rPr>
              <w:t>95</w:t>
            </w:r>
          </w:p>
        </w:tc>
        <w:tc>
          <w:tcPr>
            <w:tcW w:w="712"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jc w:val="center"/>
              <w:rPr>
                <w:rFonts w:ascii="Times New Roman" w:hAnsi="Times New Roman"/>
                <w:sz w:val="24"/>
                <w:szCs w:val="24"/>
                <w:lang w:val="uk-UA"/>
              </w:rPr>
            </w:pPr>
            <w:r w:rsidRPr="00470433">
              <w:rPr>
                <w:rFonts w:ascii="Times New Roman" w:hAnsi="Times New Roman"/>
                <w:sz w:val="24"/>
                <w:szCs w:val="24"/>
                <w:lang w:val="uk-UA"/>
              </w:rPr>
              <w:t>8</w:t>
            </w:r>
          </w:p>
        </w:tc>
        <w:tc>
          <w:tcPr>
            <w:tcW w:w="853"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jc w:val="center"/>
              <w:rPr>
                <w:rFonts w:ascii="Times New Roman" w:hAnsi="Times New Roman"/>
                <w:sz w:val="24"/>
                <w:szCs w:val="24"/>
                <w:lang w:val="uk-UA"/>
              </w:rPr>
            </w:pPr>
            <w:r w:rsidRPr="00470433">
              <w:rPr>
                <w:rFonts w:ascii="Times New Roman" w:hAnsi="Times New Roman"/>
                <w:sz w:val="24"/>
                <w:szCs w:val="24"/>
                <w:lang w:val="uk-UA"/>
              </w:rPr>
              <w:t>0,08</w:t>
            </w:r>
          </w:p>
        </w:tc>
        <w:tc>
          <w:tcPr>
            <w:tcW w:w="454"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jc w:val="center"/>
              <w:rPr>
                <w:rFonts w:ascii="Times New Roman" w:hAnsi="Times New Roman"/>
                <w:sz w:val="24"/>
                <w:szCs w:val="24"/>
                <w:lang w:val="uk-UA"/>
              </w:rPr>
            </w:pPr>
            <w:r w:rsidRPr="00470433">
              <w:rPr>
                <w:rFonts w:ascii="Times New Roman" w:hAnsi="Times New Roman"/>
                <w:sz w:val="24"/>
                <w:szCs w:val="24"/>
                <w:lang w:val="uk-UA"/>
              </w:rPr>
              <w:t>-</w:t>
            </w:r>
          </w:p>
        </w:tc>
        <w:tc>
          <w:tcPr>
            <w:tcW w:w="403"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jc w:val="center"/>
              <w:rPr>
                <w:rFonts w:ascii="Times New Roman" w:hAnsi="Times New Roman"/>
                <w:sz w:val="24"/>
                <w:szCs w:val="24"/>
                <w:lang w:val="uk-UA"/>
              </w:rPr>
            </w:pPr>
          </w:p>
        </w:tc>
        <w:tc>
          <w:tcPr>
            <w:tcW w:w="850"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jc w:val="center"/>
              <w:rPr>
                <w:rFonts w:ascii="Times New Roman" w:hAnsi="Times New Roman"/>
                <w:sz w:val="24"/>
                <w:szCs w:val="24"/>
                <w:lang w:val="uk-UA"/>
              </w:rPr>
            </w:pPr>
          </w:p>
        </w:tc>
        <w:tc>
          <w:tcPr>
            <w:tcW w:w="534"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rPr>
                <w:rFonts w:ascii="Times New Roman" w:hAnsi="Times New Roman"/>
                <w:sz w:val="24"/>
                <w:szCs w:val="24"/>
                <w:lang w:val="uk-UA"/>
              </w:rPr>
            </w:pPr>
            <w:r w:rsidRPr="00470433">
              <w:rPr>
                <w:rFonts w:ascii="Times New Roman" w:hAnsi="Times New Roman"/>
                <w:sz w:val="24"/>
                <w:szCs w:val="24"/>
                <w:lang w:val="uk-UA"/>
              </w:rPr>
              <w:t>.</w:t>
            </w:r>
          </w:p>
        </w:tc>
      </w:tr>
      <w:tr w:rsidR="00470433" w:rsidRPr="00470433" w:rsidTr="0050319C">
        <w:trPr>
          <w:trHeight w:val="263"/>
          <w:jc w:val="center"/>
        </w:trPr>
        <w:tc>
          <w:tcPr>
            <w:tcW w:w="2367"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rPr>
                <w:rFonts w:ascii="Times New Roman" w:hAnsi="Times New Roman"/>
                <w:sz w:val="24"/>
                <w:szCs w:val="24"/>
                <w:lang w:val="uk-UA"/>
              </w:rPr>
            </w:pPr>
            <w:r w:rsidRPr="00470433">
              <w:rPr>
                <w:rFonts w:ascii="Times New Roman" w:hAnsi="Times New Roman"/>
                <w:sz w:val="24"/>
                <w:szCs w:val="24"/>
                <w:lang w:val="uk-UA"/>
              </w:rPr>
              <w:t>Наявність статусу «Лікарня, доброзичлива до дитини»</w:t>
            </w:r>
          </w:p>
        </w:tc>
        <w:tc>
          <w:tcPr>
            <w:tcW w:w="3257"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rPr>
                <w:rFonts w:ascii="Times New Roman" w:hAnsi="Times New Roman"/>
                <w:sz w:val="24"/>
                <w:szCs w:val="24"/>
                <w:lang w:val="uk-UA"/>
              </w:rPr>
            </w:pPr>
            <w:r w:rsidRPr="00470433">
              <w:rPr>
                <w:rFonts w:ascii="Times New Roman" w:hAnsi="Times New Roman"/>
                <w:sz w:val="24"/>
                <w:szCs w:val="24"/>
                <w:lang w:val="uk-UA"/>
              </w:rPr>
              <w:t>Наявність сертифікату «Лікарня, доброзичлива до дитини»</w:t>
            </w:r>
          </w:p>
        </w:tc>
        <w:tc>
          <w:tcPr>
            <w:tcW w:w="995"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rPr>
                <w:rFonts w:ascii="Times New Roman" w:hAnsi="Times New Roman"/>
                <w:sz w:val="24"/>
                <w:szCs w:val="24"/>
                <w:lang w:val="uk-UA"/>
              </w:rPr>
            </w:pPr>
            <w:r w:rsidRPr="00470433">
              <w:rPr>
                <w:rFonts w:ascii="Times New Roman" w:hAnsi="Times New Roman"/>
                <w:sz w:val="24"/>
                <w:szCs w:val="24"/>
                <w:lang w:val="uk-UA"/>
              </w:rPr>
              <w:t>так</w:t>
            </w:r>
          </w:p>
        </w:tc>
        <w:tc>
          <w:tcPr>
            <w:tcW w:w="712"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jc w:val="center"/>
              <w:rPr>
                <w:rFonts w:ascii="Times New Roman" w:hAnsi="Times New Roman"/>
                <w:sz w:val="24"/>
                <w:szCs w:val="24"/>
                <w:lang w:val="uk-UA"/>
              </w:rPr>
            </w:pPr>
            <w:r w:rsidRPr="00470433">
              <w:rPr>
                <w:rFonts w:ascii="Times New Roman" w:hAnsi="Times New Roman"/>
                <w:sz w:val="24"/>
                <w:szCs w:val="24"/>
                <w:lang w:val="uk-UA"/>
              </w:rPr>
              <w:t>8</w:t>
            </w:r>
          </w:p>
        </w:tc>
        <w:tc>
          <w:tcPr>
            <w:tcW w:w="853"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jc w:val="center"/>
              <w:rPr>
                <w:rFonts w:ascii="Times New Roman" w:hAnsi="Times New Roman"/>
                <w:sz w:val="24"/>
                <w:szCs w:val="24"/>
                <w:lang w:val="uk-UA"/>
              </w:rPr>
            </w:pPr>
          </w:p>
        </w:tc>
        <w:tc>
          <w:tcPr>
            <w:tcW w:w="454"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jc w:val="center"/>
              <w:rPr>
                <w:rFonts w:ascii="Times New Roman" w:hAnsi="Times New Roman"/>
                <w:sz w:val="24"/>
                <w:szCs w:val="24"/>
                <w:lang w:val="uk-UA"/>
              </w:rPr>
            </w:pPr>
            <w:r w:rsidRPr="00470433">
              <w:rPr>
                <w:rFonts w:ascii="Times New Roman" w:hAnsi="Times New Roman"/>
                <w:sz w:val="24"/>
                <w:szCs w:val="24"/>
                <w:lang w:val="uk-UA"/>
              </w:rPr>
              <w:t>-</w:t>
            </w:r>
          </w:p>
        </w:tc>
        <w:tc>
          <w:tcPr>
            <w:tcW w:w="403"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jc w:val="center"/>
              <w:rPr>
                <w:rFonts w:ascii="Times New Roman" w:hAnsi="Times New Roman"/>
                <w:sz w:val="24"/>
                <w:szCs w:val="24"/>
                <w:lang w:val="uk-UA"/>
              </w:rPr>
            </w:pPr>
          </w:p>
        </w:tc>
        <w:tc>
          <w:tcPr>
            <w:tcW w:w="850"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jc w:val="center"/>
              <w:rPr>
                <w:rFonts w:ascii="Times New Roman" w:hAnsi="Times New Roman"/>
                <w:sz w:val="24"/>
                <w:szCs w:val="24"/>
                <w:lang w:val="uk-UA"/>
              </w:rPr>
            </w:pPr>
          </w:p>
        </w:tc>
        <w:tc>
          <w:tcPr>
            <w:tcW w:w="534"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rPr>
                <w:rFonts w:ascii="Times New Roman" w:hAnsi="Times New Roman"/>
                <w:sz w:val="24"/>
                <w:szCs w:val="24"/>
                <w:lang w:val="uk-UA"/>
              </w:rPr>
            </w:pPr>
          </w:p>
        </w:tc>
      </w:tr>
      <w:tr w:rsidR="00470433" w:rsidRPr="00470433" w:rsidTr="0050319C">
        <w:trPr>
          <w:trHeight w:val="81"/>
          <w:jc w:val="center"/>
        </w:trPr>
        <w:tc>
          <w:tcPr>
            <w:tcW w:w="2367"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rPr>
                <w:rFonts w:ascii="Times New Roman" w:hAnsi="Times New Roman"/>
                <w:sz w:val="24"/>
                <w:szCs w:val="24"/>
                <w:lang w:val="uk-UA"/>
              </w:rPr>
            </w:pPr>
            <w:r w:rsidRPr="00470433">
              <w:rPr>
                <w:rFonts w:ascii="Times New Roman" w:hAnsi="Times New Roman"/>
                <w:sz w:val="24"/>
                <w:szCs w:val="24"/>
                <w:lang w:val="uk-UA"/>
              </w:rPr>
              <w:t>Частота ускладнених пологів</w:t>
            </w:r>
          </w:p>
        </w:tc>
        <w:tc>
          <w:tcPr>
            <w:tcW w:w="3257"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rPr>
                <w:rFonts w:ascii="Times New Roman" w:hAnsi="Times New Roman"/>
                <w:sz w:val="24"/>
                <w:szCs w:val="24"/>
                <w:lang w:val="uk-UA"/>
              </w:rPr>
            </w:pPr>
            <w:r w:rsidRPr="00470433">
              <w:rPr>
                <w:rFonts w:ascii="Times New Roman" w:hAnsi="Times New Roman"/>
                <w:sz w:val="24"/>
                <w:szCs w:val="24"/>
                <w:lang w:val="uk-UA"/>
              </w:rPr>
              <w:t>Кількість ускладнених поло</w:t>
            </w:r>
            <w:r w:rsidR="00EA0706">
              <w:rPr>
                <w:rFonts w:ascii="Times New Roman" w:hAnsi="Times New Roman"/>
                <w:sz w:val="24"/>
                <w:szCs w:val="24"/>
                <w:lang w:val="uk-UA"/>
              </w:rPr>
              <w:t>гів/загальна кількість пологів ×</w:t>
            </w:r>
            <w:r w:rsidRPr="00470433">
              <w:rPr>
                <w:rFonts w:ascii="Times New Roman" w:hAnsi="Times New Roman"/>
                <w:sz w:val="24"/>
                <w:szCs w:val="24"/>
                <w:lang w:val="uk-UA"/>
              </w:rPr>
              <w:t>100/ загальна кількість пологів</w:t>
            </w:r>
          </w:p>
        </w:tc>
        <w:tc>
          <w:tcPr>
            <w:tcW w:w="995"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rPr>
                <w:rFonts w:ascii="Times New Roman" w:hAnsi="Times New Roman"/>
                <w:sz w:val="24"/>
                <w:szCs w:val="24"/>
                <w:lang w:val="uk-UA"/>
              </w:rPr>
            </w:pPr>
            <w:r w:rsidRPr="00470433">
              <w:rPr>
                <w:rFonts w:ascii="Times New Roman" w:hAnsi="Times New Roman"/>
                <w:sz w:val="24"/>
                <w:szCs w:val="24"/>
                <w:lang w:val="uk-UA"/>
              </w:rPr>
              <w:t>50,0</w:t>
            </w:r>
          </w:p>
        </w:tc>
        <w:tc>
          <w:tcPr>
            <w:tcW w:w="712"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jc w:val="center"/>
              <w:rPr>
                <w:rFonts w:ascii="Times New Roman" w:hAnsi="Times New Roman"/>
                <w:sz w:val="24"/>
                <w:szCs w:val="24"/>
                <w:lang w:val="uk-UA"/>
              </w:rPr>
            </w:pPr>
            <w:r w:rsidRPr="00470433">
              <w:rPr>
                <w:rFonts w:ascii="Times New Roman" w:hAnsi="Times New Roman"/>
                <w:sz w:val="24"/>
                <w:szCs w:val="24"/>
                <w:lang w:val="uk-UA"/>
              </w:rPr>
              <w:t>6</w:t>
            </w:r>
          </w:p>
        </w:tc>
        <w:tc>
          <w:tcPr>
            <w:tcW w:w="853"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jc w:val="center"/>
              <w:rPr>
                <w:rFonts w:ascii="Times New Roman" w:hAnsi="Times New Roman"/>
                <w:sz w:val="24"/>
                <w:szCs w:val="24"/>
                <w:lang w:val="uk-UA"/>
              </w:rPr>
            </w:pPr>
            <w:r w:rsidRPr="00470433">
              <w:rPr>
                <w:rFonts w:ascii="Times New Roman" w:hAnsi="Times New Roman"/>
                <w:sz w:val="24"/>
                <w:szCs w:val="24"/>
                <w:lang w:val="uk-UA"/>
              </w:rPr>
              <w:t>0,12</w:t>
            </w:r>
          </w:p>
        </w:tc>
        <w:tc>
          <w:tcPr>
            <w:tcW w:w="454"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jc w:val="center"/>
              <w:rPr>
                <w:rFonts w:ascii="Times New Roman" w:hAnsi="Times New Roman"/>
                <w:sz w:val="24"/>
                <w:szCs w:val="24"/>
                <w:lang w:val="uk-UA"/>
              </w:rPr>
            </w:pPr>
            <w:r w:rsidRPr="00470433">
              <w:rPr>
                <w:rFonts w:ascii="Times New Roman" w:hAnsi="Times New Roman"/>
                <w:sz w:val="24"/>
                <w:szCs w:val="24"/>
                <w:lang w:val="uk-UA"/>
              </w:rPr>
              <w:t>-</w:t>
            </w:r>
          </w:p>
        </w:tc>
        <w:tc>
          <w:tcPr>
            <w:tcW w:w="403"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jc w:val="center"/>
              <w:rPr>
                <w:rFonts w:ascii="Times New Roman" w:hAnsi="Times New Roman"/>
                <w:sz w:val="24"/>
                <w:szCs w:val="24"/>
                <w:lang w:val="uk-UA"/>
              </w:rPr>
            </w:pPr>
          </w:p>
        </w:tc>
        <w:tc>
          <w:tcPr>
            <w:tcW w:w="850"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jc w:val="center"/>
              <w:rPr>
                <w:rFonts w:ascii="Times New Roman" w:hAnsi="Times New Roman"/>
                <w:sz w:val="24"/>
                <w:szCs w:val="24"/>
                <w:lang w:val="uk-UA"/>
              </w:rPr>
            </w:pPr>
          </w:p>
        </w:tc>
        <w:tc>
          <w:tcPr>
            <w:tcW w:w="534"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rPr>
                <w:rFonts w:ascii="Times New Roman" w:hAnsi="Times New Roman"/>
                <w:sz w:val="24"/>
                <w:szCs w:val="24"/>
                <w:lang w:val="uk-UA"/>
              </w:rPr>
            </w:pPr>
          </w:p>
        </w:tc>
      </w:tr>
      <w:tr w:rsidR="00470433" w:rsidRPr="00470433" w:rsidTr="0050319C">
        <w:trPr>
          <w:trHeight w:val="81"/>
          <w:jc w:val="center"/>
        </w:trPr>
        <w:tc>
          <w:tcPr>
            <w:tcW w:w="2367"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rPr>
                <w:rFonts w:ascii="Times New Roman" w:hAnsi="Times New Roman"/>
                <w:color w:val="000000"/>
                <w:sz w:val="24"/>
                <w:szCs w:val="24"/>
                <w:lang w:val="uk-UA"/>
              </w:rPr>
            </w:pPr>
            <w:r w:rsidRPr="00470433">
              <w:rPr>
                <w:rFonts w:ascii="Times New Roman" w:hAnsi="Times New Roman"/>
                <w:sz w:val="24"/>
                <w:szCs w:val="24"/>
                <w:lang w:val="uk-UA"/>
              </w:rPr>
              <w:t>Частота партнерських пологів</w:t>
            </w:r>
          </w:p>
        </w:tc>
        <w:tc>
          <w:tcPr>
            <w:tcW w:w="3257"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rPr>
                <w:rFonts w:ascii="Times New Roman" w:hAnsi="Times New Roman"/>
                <w:color w:val="000000"/>
                <w:sz w:val="24"/>
                <w:szCs w:val="24"/>
                <w:lang w:val="uk-UA"/>
              </w:rPr>
            </w:pPr>
            <w:r w:rsidRPr="00470433">
              <w:rPr>
                <w:rFonts w:ascii="Times New Roman" w:hAnsi="Times New Roman"/>
                <w:sz w:val="24"/>
                <w:szCs w:val="24"/>
                <w:lang w:val="uk-UA"/>
              </w:rPr>
              <w:t>Кількість партнерських пологів, × 100 / загальна кількість пологів</w:t>
            </w:r>
          </w:p>
        </w:tc>
        <w:tc>
          <w:tcPr>
            <w:tcW w:w="995"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jc w:val="center"/>
              <w:rPr>
                <w:rFonts w:ascii="Times New Roman" w:hAnsi="Times New Roman"/>
                <w:color w:val="000000"/>
                <w:sz w:val="24"/>
                <w:szCs w:val="24"/>
                <w:lang w:val="uk-UA"/>
              </w:rPr>
            </w:pPr>
            <w:r w:rsidRPr="00470433">
              <w:rPr>
                <w:rFonts w:ascii="Times New Roman" w:hAnsi="Times New Roman"/>
                <w:color w:val="000000"/>
                <w:sz w:val="24"/>
                <w:szCs w:val="24"/>
                <w:lang w:val="uk-UA"/>
              </w:rPr>
              <w:t>75,0</w:t>
            </w:r>
          </w:p>
        </w:tc>
        <w:tc>
          <w:tcPr>
            <w:tcW w:w="712"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jc w:val="center"/>
              <w:rPr>
                <w:rFonts w:ascii="Times New Roman" w:hAnsi="Times New Roman"/>
                <w:color w:val="000000"/>
                <w:sz w:val="24"/>
                <w:szCs w:val="24"/>
                <w:lang w:val="uk-UA"/>
              </w:rPr>
            </w:pPr>
            <w:r w:rsidRPr="00470433">
              <w:rPr>
                <w:rFonts w:ascii="Times New Roman" w:hAnsi="Times New Roman"/>
                <w:color w:val="000000"/>
                <w:sz w:val="24"/>
                <w:szCs w:val="24"/>
                <w:lang w:val="uk-UA"/>
              </w:rPr>
              <w:t>8</w:t>
            </w:r>
          </w:p>
        </w:tc>
        <w:tc>
          <w:tcPr>
            <w:tcW w:w="853"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jc w:val="center"/>
              <w:rPr>
                <w:rFonts w:ascii="Times New Roman" w:hAnsi="Times New Roman"/>
                <w:color w:val="000000"/>
                <w:sz w:val="24"/>
                <w:szCs w:val="24"/>
                <w:lang w:val="uk-UA"/>
              </w:rPr>
            </w:pPr>
            <w:r w:rsidRPr="00470433">
              <w:rPr>
                <w:rFonts w:ascii="Times New Roman" w:hAnsi="Times New Roman"/>
                <w:color w:val="000000"/>
                <w:sz w:val="24"/>
                <w:szCs w:val="24"/>
                <w:lang w:val="uk-UA"/>
              </w:rPr>
              <w:t>0,11</w:t>
            </w:r>
          </w:p>
        </w:tc>
        <w:tc>
          <w:tcPr>
            <w:tcW w:w="454"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jc w:val="center"/>
              <w:rPr>
                <w:rFonts w:ascii="Times New Roman" w:hAnsi="Times New Roman"/>
                <w:color w:val="000000"/>
                <w:sz w:val="24"/>
                <w:szCs w:val="24"/>
                <w:lang w:val="uk-UA"/>
              </w:rPr>
            </w:pPr>
            <w:r w:rsidRPr="00470433">
              <w:rPr>
                <w:rFonts w:ascii="Times New Roman" w:hAnsi="Times New Roman"/>
                <w:color w:val="000000"/>
                <w:sz w:val="24"/>
                <w:szCs w:val="24"/>
                <w:lang w:val="uk-UA"/>
              </w:rPr>
              <w:t>-</w:t>
            </w:r>
          </w:p>
        </w:tc>
        <w:tc>
          <w:tcPr>
            <w:tcW w:w="403"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jc w:val="center"/>
              <w:rPr>
                <w:rFonts w:ascii="Times New Roman" w:hAnsi="Times New Roman"/>
                <w:color w:val="000000"/>
                <w:sz w:val="24"/>
                <w:szCs w:val="24"/>
                <w:lang w:val="uk-UA"/>
              </w:rPr>
            </w:pPr>
          </w:p>
        </w:tc>
        <w:tc>
          <w:tcPr>
            <w:tcW w:w="850"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jc w:val="right"/>
              <w:rPr>
                <w:rFonts w:ascii="Times New Roman" w:hAnsi="Times New Roman"/>
                <w:color w:val="000000"/>
                <w:sz w:val="24"/>
                <w:szCs w:val="24"/>
                <w:lang w:val="uk-UA"/>
              </w:rPr>
            </w:pPr>
          </w:p>
        </w:tc>
        <w:tc>
          <w:tcPr>
            <w:tcW w:w="534"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jc w:val="right"/>
              <w:rPr>
                <w:rFonts w:ascii="Times New Roman" w:hAnsi="Times New Roman"/>
                <w:color w:val="000000"/>
                <w:sz w:val="24"/>
                <w:szCs w:val="24"/>
                <w:lang w:val="uk-UA"/>
              </w:rPr>
            </w:pPr>
          </w:p>
        </w:tc>
      </w:tr>
      <w:tr w:rsidR="00470433" w:rsidRPr="00470433" w:rsidTr="0050319C">
        <w:trPr>
          <w:trHeight w:val="81"/>
          <w:jc w:val="center"/>
        </w:trPr>
        <w:tc>
          <w:tcPr>
            <w:tcW w:w="2367"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rPr>
                <w:rFonts w:ascii="Times New Roman" w:hAnsi="Times New Roman"/>
                <w:color w:val="000000"/>
                <w:sz w:val="24"/>
                <w:szCs w:val="24"/>
                <w:lang w:val="uk-UA"/>
              </w:rPr>
            </w:pPr>
            <w:r w:rsidRPr="00470433">
              <w:rPr>
                <w:rFonts w:ascii="Times New Roman" w:hAnsi="Times New Roman"/>
                <w:sz w:val="24"/>
                <w:szCs w:val="24"/>
                <w:lang w:val="uk-UA"/>
              </w:rPr>
              <w:t>Активне ведення ІІІ періоду пологів</w:t>
            </w:r>
          </w:p>
        </w:tc>
        <w:tc>
          <w:tcPr>
            <w:tcW w:w="3257"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napToGrid w:val="0"/>
              <w:spacing w:line="276" w:lineRule="auto"/>
              <w:rPr>
                <w:rFonts w:ascii="Times New Roman" w:hAnsi="Times New Roman"/>
                <w:color w:val="000000"/>
                <w:sz w:val="24"/>
                <w:szCs w:val="24"/>
                <w:lang w:val="uk-UA"/>
              </w:rPr>
            </w:pPr>
            <w:r w:rsidRPr="00470433">
              <w:rPr>
                <w:rFonts w:ascii="Times New Roman" w:hAnsi="Times New Roman"/>
                <w:sz w:val="24"/>
                <w:szCs w:val="24"/>
                <w:lang w:val="uk-UA"/>
              </w:rPr>
              <w:t>Кількість пологів з активним ведення ІІІ періо</w:t>
            </w:r>
            <w:r w:rsidR="00EA0706">
              <w:rPr>
                <w:rFonts w:ascii="Times New Roman" w:hAnsi="Times New Roman"/>
                <w:sz w:val="24"/>
                <w:szCs w:val="24"/>
                <w:lang w:val="uk-UA"/>
              </w:rPr>
              <w:t>ду /загальна кількість пологів ×</w:t>
            </w:r>
            <w:r w:rsidRPr="00470433">
              <w:rPr>
                <w:rFonts w:ascii="Times New Roman" w:hAnsi="Times New Roman"/>
                <w:sz w:val="24"/>
                <w:szCs w:val="24"/>
                <w:lang w:val="uk-UA"/>
              </w:rPr>
              <w:t>100</w:t>
            </w:r>
          </w:p>
        </w:tc>
        <w:tc>
          <w:tcPr>
            <w:tcW w:w="995"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jc w:val="center"/>
              <w:rPr>
                <w:rFonts w:ascii="Times New Roman" w:hAnsi="Times New Roman"/>
                <w:color w:val="000000"/>
                <w:sz w:val="24"/>
                <w:szCs w:val="24"/>
                <w:lang w:val="uk-UA"/>
              </w:rPr>
            </w:pPr>
            <w:r w:rsidRPr="00470433">
              <w:rPr>
                <w:rFonts w:ascii="Times New Roman" w:hAnsi="Times New Roman"/>
                <w:color w:val="000000"/>
                <w:sz w:val="24"/>
                <w:szCs w:val="24"/>
                <w:lang w:val="uk-UA"/>
              </w:rPr>
              <w:t>75,0</w:t>
            </w:r>
          </w:p>
        </w:tc>
        <w:tc>
          <w:tcPr>
            <w:tcW w:w="712"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jc w:val="center"/>
              <w:rPr>
                <w:rFonts w:ascii="Times New Roman" w:hAnsi="Times New Roman"/>
                <w:color w:val="000000"/>
                <w:sz w:val="24"/>
                <w:szCs w:val="24"/>
                <w:lang w:val="uk-UA"/>
              </w:rPr>
            </w:pPr>
            <w:r w:rsidRPr="00470433">
              <w:rPr>
                <w:rFonts w:ascii="Times New Roman" w:hAnsi="Times New Roman"/>
                <w:color w:val="000000"/>
                <w:sz w:val="24"/>
                <w:szCs w:val="24"/>
                <w:lang w:val="uk-UA"/>
              </w:rPr>
              <w:t>8</w:t>
            </w:r>
          </w:p>
        </w:tc>
        <w:tc>
          <w:tcPr>
            <w:tcW w:w="853"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jc w:val="center"/>
              <w:rPr>
                <w:rFonts w:ascii="Times New Roman" w:hAnsi="Times New Roman"/>
                <w:color w:val="000000"/>
                <w:sz w:val="24"/>
                <w:szCs w:val="24"/>
                <w:lang w:val="uk-UA"/>
              </w:rPr>
            </w:pPr>
            <w:r w:rsidRPr="00470433">
              <w:rPr>
                <w:rFonts w:ascii="Times New Roman" w:hAnsi="Times New Roman"/>
                <w:color w:val="000000"/>
                <w:sz w:val="24"/>
                <w:szCs w:val="24"/>
                <w:lang w:val="uk-UA"/>
              </w:rPr>
              <w:t>0,11</w:t>
            </w:r>
          </w:p>
        </w:tc>
        <w:tc>
          <w:tcPr>
            <w:tcW w:w="454"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jc w:val="center"/>
              <w:rPr>
                <w:rFonts w:ascii="Times New Roman" w:hAnsi="Times New Roman"/>
                <w:color w:val="000000"/>
                <w:sz w:val="24"/>
                <w:szCs w:val="24"/>
                <w:lang w:val="uk-UA"/>
              </w:rPr>
            </w:pPr>
            <w:r w:rsidRPr="00470433">
              <w:rPr>
                <w:rFonts w:ascii="Times New Roman" w:hAnsi="Times New Roman"/>
                <w:color w:val="000000"/>
                <w:sz w:val="24"/>
                <w:szCs w:val="24"/>
                <w:lang w:val="uk-UA"/>
              </w:rPr>
              <w:t>-</w:t>
            </w:r>
          </w:p>
        </w:tc>
        <w:tc>
          <w:tcPr>
            <w:tcW w:w="403"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jc w:val="center"/>
              <w:rPr>
                <w:rFonts w:ascii="Times New Roman" w:hAnsi="Times New Roman"/>
                <w:color w:val="000000"/>
                <w:sz w:val="24"/>
                <w:szCs w:val="24"/>
                <w:lang w:val="uk-UA"/>
              </w:rPr>
            </w:pPr>
          </w:p>
        </w:tc>
        <w:tc>
          <w:tcPr>
            <w:tcW w:w="850"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jc w:val="right"/>
              <w:rPr>
                <w:rFonts w:ascii="Times New Roman" w:hAnsi="Times New Roman"/>
                <w:color w:val="000000"/>
                <w:sz w:val="24"/>
                <w:szCs w:val="24"/>
                <w:lang w:val="uk-UA"/>
              </w:rPr>
            </w:pPr>
          </w:p>
        </w:tc>
        <w:tc>
          <w:tcPr>
            <w:tcW w:w="534"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jc w:val="right"/>
              <w:rPr>
                <w:rFonts w:ascii="Times New Roman" w:hAnsi="Times New Roman"/>
                <w:color w:val="000000"/>
                <w:sz w:val="24"/>
                <w:szCs w:val="24"/>
                <w:lang w:val="uk-UA"/>
              </w:rPr>
            </w:pPr>
          </w:p>
        </w:tc>
      </w:tr>
      <w:tr w:rsidR="00470433" w:rsidRPr="00470433" w:rsidTr="0050319C">
        <w:trPr>
          <w:trHeight w:val="81"/>
          <w:jc w:val="center"/>
        </w:trPr>
        <w:tc>
          <w:tcPr>
            <w:tcW w:w="2367"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rPr>
                <w:rFonts w:ascii="Times New Roman" w:hAnsi="Times New Roman"/>
                <w:color w:val="000000"/>
                <w:sz w:val="24"/>
                <w:szCs w:val="24"/>
                <w:lang w:val="uk-UA"/>
              </w:rPr>
            </w:pPr>
            <w:r w:rsidRPr="00470433">
              <w:rPr>
                <w:rFonts w:ascii="Times New Roman" w:hAnsi="Times New Roman"/>
                <w:color w:val="000000"/>
                <w:sz w:val="24"/>
                <w:szCs w:val="24"/>
                <w:lang w:val="uk-UA"/>
              </w:rPr>
              <w:t>Частота розроджень вагітних шляхом кесаревого розтину</w:t>
            </w:r>
          </w:p>
        </w:tc>
        <w:tc>
          <w:tcPr>
            <w:tcW w:w="3257"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rPr>
                <w:rFonts w:ascii="Times New Roman" w:hAnsi="Times New Roman"/>
                <w:color w:val="000000"/>
                <w:sz w:val="24"/>
                <w:szCs w:val="24"/>
                <w:lang w:val="uk-UA"/>
              </w:rPr>
            </w:pPr>
            <w:r w:rsidRPr="00470433">
              <w:rPr>
                <w:rFonts w:ascii="Times New Roman" w:hAnsi="Times New Roman"/>
                <w:sz w:val="24"/>
                <w:szCs w:val="24"/>
                <w:lang w:val="uk-UA"/>
              </w:rPr>
              <w:t>Кількість пологів шляхом КР, × 100 / загальна кількість пологів</w:t>
            </w:r>
          </w:p>
        </w:tc>
        <w:tc>
          <w:tcPr>
            <w:tcW w:w="995"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jc w:val="center"/>
              <w:rPr>
                <w:rFonts w:ascii="Times New Roman" w:hAnsi="Times New Roman"/>
                <w:color w:val="000000"/>
                <w:sz w:val="24"/>
                <w:szCs w:val="24"/>
                <w:lang w:val="uk-UA"/>
              </w:rPr>
            </w:pPr>
            <w:r w:rsidRPr="00470433">
              <w:rPr>
                <w:rFonts w:ascii="Times New Roman" w:hAnsi="Times New Roman"/>
                <w:color w:val="000000"/>
                <w:sz w:val="24"/>
                <w:szCs w:val="24"/>
                <w:lang w:val="uk-UA"/>
              </w:rPr>
              <w:t>22,0</w:t>
            </w:r>
          </w:p>
        </w:tc>
        <w:tc>
          <w:tcPr>
            <w:tcW w:w="712"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jc w:val="center"/>
              <w:rPr>
                <w:rFonts w:ascii="Times New Roman" w:hAnsi="Times New Roman"/>
                <w:color w:val="000000"/>
                <w:sz w:val="24"/>
                <w:szCs w:val="24"/>
                <w:lang w:val="uk-UA"/>
              </w:rPr>
            </w:pPr>
            <w:r w:rsidRPr="00470433">
              <w:rPr>
                <w:rFonts w:ascii="Times New Roman" w:hAnsi="Times New Roman"/>
                <w:color w:val="000000"/>
                <w:sz w:val="24"/>
                <w:szCs w:val="24"/>
                <w:lang w:val="uk-UA"/>
              </w:rPr>
              <w:t>7</w:t>
            </w:r>
          </w:p>
        </w:tc>
        <w:tc>
          <w:tcPr>
            <w:tcW w:w="853"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jc w:val="center"/>
              <w:rPr>
                <w:rFonts w:ascii="Times New Roman" w:hAnsi="Times New Roman"/>
                <w:color w:val="000000"/>
                <w:sz w:val="24"/>
                <w:szCs w:val="24"/>
                <w:lang w:val="uk-UA"/>
              </w:rPr>
            </w:pPr>
            <w:r w:rsidRPr="00470433">
              <w:rPr>
                <w:rFonts w:ascii="Times New Roman" w:hAnsi="Times New Roman"/>
                <w:color w:val="000000"/>
                <w:sz w:val="24"/>
                <w:szCs w:val="24"/>
                <w:lang w:val="uk-UA"/>
              </w:rPr>
              <w:t>0,32</w:t>
            </w:r>
          </w:p>
        </w:tc>
        <w:tc>
          <w:tcPr>
            <w:tcW w:w="454"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jc w:val="center"/>
              <w:rPr>
                <w:rFonts w:ascii="Times New Roman" w:hAnsi="Times New Roman"/>
                <w:color w:val="000000"/>
                <w:sz w:val="24"/>
                <w:szCs w:val="24"/>
                <w:lang w:val="uk-UA"/>
              </w:rPr>
            </w:pPr>
            <w:r w:rsidRPr="00470433">
              <w:rPr>
                <w:rFonts w:ascii="Times New Roman" w:hAnsi="Times New Roman"/>
                <w:color w:val="000000"/>
                <w:sz w:val="24"/>
                <w:szCs w:val="24"/>
                <w:lang w:val="uk-UA"/>
              </w:rPr>
              <w:t>+</w:t>
            </w:r>
          </w:p>
        </w:tc>
        <w:tc>
          <w:tcPr>
            <w:tcW w:w="403"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jc w:val="center"/>
              <w:rPr>
                <w:rFonts w:ascii="Times New Roman" w:hAnsi="Times New Roman"/>
                <w:color w:val="000000"/>
                <w:sz w:val="24"/>
                <w:szCs w:val="24"/>
                <w:lang w:val="uk-UA"/>
              </w:rPr>
            </w:pPr>
          </w:p>
        </w:tc>
        <w:tc>
          <w:tcPr>
            <w:tcW w:w="850"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jc w:val="right"/>
              <w:rPr>
                <w:rFonts w:ascii="Times New Roman" w:hAnsi="Times New Roman"/>
                <w:color w:val="000000"/>
                <w:sz w:val="24"/>
                <w:szCs w:val="24"/>
                <w:lang w:val="uk-UA"/>
              </w:rPr>
            </w:pPr>
          </w:p>
        </w:tc>
        <w:tc>
          <w:tcPr>
            <w:tcW w:w="534"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jc w:val="right"/>
              <w:rPr>
                <w:rFonts w:ascii="Times New Roman" w:hAnsi="Times New Roman"/>
                <w:color w:val="000000"/>
                <w:sz w:val="24"/>
                <w:szCs w:val="24"/>
                <w:lang w:val="uk-UA"/>
              </w:rPr>
            </w:pPr>
          </w:p>
        </w:tc>
      </w:tr>
      <w:tr w:rsidR="00470433" w:rsidRPr="00470433" w:rsidTr="0050319C">
        <w:trPr>
          <w:trHeight w:val="81"/>
          <w:jc w:val="center"/>
        </w:trPr>
        <w:tc>
          <w:tcPr>
            <w:tcW w:w="2367"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rPr>
                <w:rFonts w:ascii="Times New Roman" w:hAnsi="Times New Roman"/>
                <w:color w:val="000000"/>
                <w:sz w:val="24"/>
                <w:szCs w:val="24"/>
                <w:lang w:val="uk-UA"/>
              </w:rPr>
            </w:pPr>
            <w:r w:rsidRPr="00470433">
              <w:rPr>
                <w:rFonts w:ascii="Times New Roman" w:hAnsi="Times New Roman"/>
                <w:color w:val="000000"/>
                <w:sz w:val="24"/>
                <w:szCs w:val="24"/>
                <w:lang w:val="uk-UA"/>
              </w:rPr>
              <w:t>Своєчасність екстреного кесаревого розтину</w:t>
            </w:r>
          </w:p>
        </w:tc>
        <w:tc>
          <w:tcPr>
            <w:tcW w:w="3257"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rPr>
                <w:rFonts w:ascii="Times New Roman" w:hAnsi="Times New Roman"/>
                <w:color w:val="000000"/>
                <w:sz w:val="24"/>
                <w:szCs w:val="24"/>
                <w:lang w:val="uk-UA"/>
              </w:rPr>
            </w:pPr>
            <w:r w:rsidRPr="00470433">
              <w:rPr>
                <w:rFonts w:ascii="Times New Roman" w:hAnsi="Times New Roman"/>
                <w:color w:val="000000"/>
                <w:sz w:val="24"/>
                <w:szCs w:val="24"/>
                <w:lang w:val="uk-UA"/>
              </w:rPr>
              <w:t>Кількість екстрених кесаревих розтинів, розпочатих у перші 30хв.після прийняття рішення</w:t>
            </w:r>
            <w:r w:rsidR="00EA0706" w:rsidRPr="00EA0706">
              <w:rPr>
                <w:rFonts w:ascii="Times New Roman" w:hAnsi="Times New Roman"/>
                <w:color w:val="000000"/>
                <w:sz w:val="24"/>
                <w:szCs w:val="24"/>
                <w:lang w:val="uk-UA"/>
              </w:rPr>
              <w:t xml:space="preserve"> </w:t>
            </w:r>
            <w:r w:rsidR="00EA0706">
              <w:rPr>
                <w:rFonts w:ascii="Times New Roman" w:hAnsi="Times New Roman"/>
                <w:color w:val="000000"/>
                <w:sz w:val="24"/>
                <w:szCs w:val="24"/>
                <w:lang w:val="uk-UA"/>
              </w:rPr>
              <w:t>×</w:t>
            </w:r>
            <w:r w:rsidRPr="00470433">
              <w:rPr>
                <w:rFonts w:ascii="Times New Roman" w:hAnsi="Times New Roman"/>
                <w:color w:val="000000"/>
                <w:sz w:val="24"/>
                <w:szCs w:val="24"/>
                <w:lang w:val="uk-UA"/>
              </w:rPr>
              <w:t xml:space="preserve">100/ загальна  кількість екстрених кесаревих розтинів </w:t>
            </w:r>
          </w:p>
        </w:tc>
        <w:tc>
          <w:tcPr>
            <w:tcW w:w="995"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jc w:val="center"/>
              <w:rPr>
                <w:rFonts w:ascii="Times New Roman" w:hAnsi="Times New Roman"/>
                <w:color w:val="000000"/>
                <w:sz w:val="24"/>
                <w:szCs w:val="24"/>
                <w:lang w:val="uk-UA"/>
              </w:rPr>
            </w:pPr>
            <w:r w:rsidRPr="00470433">
              <w:rPr>
                <w:rFonts w:ascii="Times New Roman" w:hAnsi="Times New Roman"/>
                <w:color w:val="000000"/>
                <w:sz w:val="24"/>
                <w:szCs w:val="24"/>
                <w:lang w:val="uk-UA"/>
              </w:rPr>
              <w:t>95</w:t>
            </w:r>
          </w:p>
        </w:tc>
        <w:tc>
          <w:tcPr>
            <w:tcW w:w="712"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jc w:val="center"/>
              <w:rPr>
                <w:rFonts w:ascii="Times New Roman" w:hAnsi="Times New Roman"/>
                <w:color w:val="000000"/>
                <w:sz w:val="24"/>
                <w:szCs w:val="24"/>
                <w:lang w:val="uk-UA"/>
              </w:rPr>
            </w:pPr>
            <w:r w:rsidRPr="00470433">
              <w:rPr>
                <w:rFonts w:ascii="Times New Roman" w:hAnsi="Times New Roman"/>
                <w:color w:val="000000"/>
                <w:sz w:val="24"/>
                <w:szCs w:val="24"/>
                <w:lang w:val="uk-UA"/>
              </w:rPr>
              <w:t>8</w:t>
            </w:r>
          </w:p>
        </w:tc>
        <w:tc>
          <w:tcPr>
            <w:tcW w:w="853"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jc w:val="center"/>
              <w:rPr>
                <w:rFonts w:ascii="Times New Roman" w:hAnsi="Times New Roman"/>
                <w:color w:val="000000"/>
                <w:sz w:val="24"/>
                <w:szCs w:val="24"/>
                <w:lang w:val="uk-UA"/>
              </w:rPr>
            </w:pPr>
            <w:r w:rsidRPr="00470433">
              <w:rPr>
                <w:rFonts w:ascii="Times New Roman" w:hAnsi="Times New Roman"/>
                <w:color w:val="000000"/>
                <w:sz w:val="24"/>
                <w:szCs w:val="24"/>
                <w:lang w:val="uk-UA"/>
              </w:rPr>
              <w:t>0,09</w:t>
            </w:r>
          </w:p>
        </w:tc>
        <w:tc>
          <w:tcPr>
            <w:tcW w:w="454"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jc w:val="center"/>
              <w:rPr>
                <w:rFonts w:ascii="Times New Roman" w:hAnsi="Times New Roman"/>
                <w:color w:val="000000"/>
                <w:sz w:val="24"/>
                <w:szCs w:val="24"/>
                <w:lang w:val="uk-UA"/>
              </w:rPr>
            </w:pPr>
            <w:r w:rsidRPr="00470433">
              <w:rPr>
                <w:rFonts w:ascii="Times New Roman" w:hAnsi="Times New Roman"/>
                <w:color w:val="000000"/>
                <w:sz w:val="24"/>
                <w:szCs w:val="24"/>
                <w:lang w:val="uk-UA"/>
              </w:rPr>
              <w:t>-</w:t>
            </w:r>
          </w:p>
        </w:tc>
        <w:tc>
          <w:tcPr>
            <w:tcW w:w="403"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jc w:val="center"/>
              <w:rPr>
                <w:rFonts w:ascii="Times New Roman" w:hAnsi="Times New Roman"/>
                <w:color w:val="000000"/>
                <w:sz w:val="24"/>
                <w:szCs w:val="24"/>
                <w:lang w:val="uk-UA"/>
              </w:rPr>
            </w:pPr>
          </w:p>
        </w:tc>
        <w:tc>
          <w:tcPr>
            <w:tcW w:w="850"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jc w:val="right"/>
              <w:rPr>
                <w:rFonts w:ascii="Times New Roman" w:hAnsi="Times New Roman"/>
                <w:color w:val="000000"/>
                <w:sz w:val="24"/>
                <w:szCs w:val="24"/>
                <w:lang w:val="uk-UA"/>
              </w:rPr>
            </w:pPr>
          </w:p>
        </w:tc>
        <w:tc>
          <w:tcPr>
            <w:tcW w:w="534"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jc w:val="right"/>
              <w:rPr>
                <w:rFonts w:ascii="Times New Roman" w:hAnsi="Times New Roman"/>
                <w:color w:val="000000"/>
                <w:sz w:val="24"/>
                <w:szCs w:val="24"/>
                <w:lang w:val="uk-UA"/>
              </w:rPr>
            </w:pPr>
          </w:p>
        </w:tc>
      </w:tr>
      <w:tr w:rsidR="00470433" w:rsidRPr="00470433" w:rsidTr="0050319C">
        <w:trPr>
          <w:trHeight w:val="81"/>
          <w:jc w:val="center"/>
        </w:trPr>
        <w:tc>
          <w:tcPr>
            <w:tcW w:w="2367"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rPr>
                <w:rFonts w:ascii="Times New Roman" w:hAnsi="Times New Roman"/>
                <w:color w:val="000000"/>
                <w:sz w:val="24"/>
                <w:szCs w:val="24"/>
                <w:lang w:val="uk-UA"/>
              </w:rPr>
            </w:pPr>
            <w:r w:rsidRPr="00470433">
              <w:rPr>
                <w:rFonts w:ascii="Times New Roman" w:hAnsi="Times New Roman"/>
                <w:color w:val="000000"/>
                <w:sz w:val="24"/>
                <w:szCs w:val="24"/>
                <w:lang w:val="uk-UA"/>
              </w:rPr>
              <w:t>Частота кровотеч в послідовому і післяродовому періодах</w:t>
            </w:r>
          </w:p>
        </w:tc>
        <w:tc>
          <w:tcPr>
            <w:tcW w:w="3257"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rPr>
                <w:rFonts w:ascii="Times New Roman" w:hAnsi="Times New Roman"/>
                <w:color w:val="000000"/>
                <w:sz w:val="24"/>
                <w:szCs w:val="24"/>
                <w:lang w:val="uk-UA"/>
              </w:rPr>
            </w:pPr>
            <w:r w:rsidRPr="00470433">
              <w:rPr>
                <w:rFonts w:ascii="Times New Roman" w:hAnsi="Times New Roman"/>
                <w:iCs/>
                <w:color w:val="000000"/>
                <w:kern w:val="28"/>
                <w:sz w:val="24"/>
                <w:szCs w:val="24"/>
                <w:lang w:val="uk-UA"/>
              </w:rPr>
              <w:t xml:space="preserve"> </w:t>
            </w:r>
            <w:r w:rsidRPr="00470433">
              <w:rPr>
                <w:rFonts w:ascii="Times New Roman" w:hAnsi="Times New Roman"/>
                <w:sz w:val="24"/>
                <w:szCs w:val="24"/>
                <w:lang w:val="uk-UA"/>
              </w:rPr>
              <w:t>Кількість породіль, у яких були кровотечі в післяпологовому періоді,  × 1000 / загальна кількість виписаних породіль</w:t>
            </w:r>
          </w:p>
        </w:tc>
        <w:tc>
          <w:tcPr>
            <w:tcW w:w="995"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jc w:val="center"/>
              <w:rPr>
                <w:rFonts w:ascii="Times New Roman" w:hAnsi="Times New Roman"/>
                <w:color w:val="000000"/>
                <w:sz w:val="24"/>
                <w:szCs w:val="24"/>
                <w:lang w:val="uk-UA"/>
              </w:rPr>
            </w:pPr>
            <w:r w:rsidRPr="00470433">
              <w:rPr>
                <w:rFonts w:ascii="Times New Roman" w:hAnsi="Times New Roman"/>
                <w:color w:val="000000"/>
                <w:sz w:val="24"/>
                <w:szCs w:val="24"/>
                <w:lang w:val="uk-UA"/>
              </w:rPr>
              <w:t>12,0</w:t>
            </w:r>
          </w:p>
        </w:tc>
        <w:tc>
          <w:tcPr>
            <w:tcW w:w="712"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jc w:val="center"/>
              <w:rPr>
                <w:rFonts w:ascii="Times New Roman" w:hAnsi="Times New Roman"/>
                <w:color w:val="000000"/>
                <w:sz w:val="24"/>
                <w:szCs w:val="24"/>
                <w:lang w:val="uk-UA"/>
              </w:rPr>
            </w:pPr>
            <w:r w:rsidRPr="00470433">
              <w:rPr>
                <w:rFonts w:ascii="Times New Roman" w:hAnsi="Times New Roman"/>
                <w:color w:val="000000"/>
                <w:sz w:val="24"/>
                <w:szCs w:val="24"/>
                <w:lang w:val="uk-UA"/>
              </w:rPr>
              <w:t>7</w:t>
            </w:r>
          </w:p>
        </w:tc>
        <w:tc>
          <w:tcPr>
            <w:tcW w:w="853"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jc w:val="center"/>
              <w:rPr>
                <w:rFonts w:ascii="Times New Roman" w:hAnsi="Times New Roman"/>
                <w:color w:val="000000"/>
                <w:sz w:val="24"/>
                <w:szCs w:val="24"/>
                <w:lang w:val="uk-UA"/>
              </w:rPr>
            </w:pPr>
            <w:r w:rsidRPr="00470433">
              <w:rPr>
                <w:rFonts w:ascii="Times New Roman" w:hAnsi="Times New Roman"/>
                <w:color w:val="000000"/>
                <w:sz w:val="24"/>
                <w:szCs w:val="24"/>
                <w:lang w:val="uk-UA"/>
              </w:rPr>
              <w:t>0,58</w:t>
            </w:r>
          </w:p>
        </w:tc>
        <w:tc>
          <w:tcPr>
            <w:tcW w:w="454"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jc w:val="center"/>
              <w:rPr>
                <w:rFonts w:ascii="Times New Roman" w:hAnsi="Times New Roman"/>
                <w:color w:val="000000"/>
                <w:sz w:val="24"/>
                <w:szCs w:val="24"/>
                <w:lang w:val="uk-UA"/>
              </w:rPr>
            </w:pPr>
            <w:r w:rsidRPr="00470433">
              <w:rPr>
                <w:rFonts w:ascii="Times New Roman" w:hAnsi="Times New Roman"/>
                <w:color w:val="000000"/>
                <w:sz w:val="24"/>
                <w:szCs w:val="24"/>
                <w:lang w:val="uk-UA"/>
              </w:rPr>
              <w:t>+</w:t>
            </w:r>
          </w:p>
        </w:tc>
        <w:tc>
          <w:tcPr>
            <w:tcW w:w="403"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jc w:val="center"/>
              <w:rPr>
                <w:rFonts w:ascii="Times New Roman" w:hAnsi="Times New Roman"/>
                <w:color w:val="000000"/>
                <w:sz w:val="24"/>
                <w:szCs w:val="24"/>
                <w:lang w:val="uk-UA"/>
              </w:rPr>
            </w:pPr>
          </w:p>
        </w:tc>
        <w:tc>
          <w:tcPr>
            <w:tcW w:w="850"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jc w:val="right"/>
              <w:rPr>
                <w:rFonts w:ascii="Times New Roman" w:hAnsi="Times New Roman"/>
                <w:color w:val="000000"/>
                <w:sz w:val="24"/>
                <w:szCs w:val="24"/>
                <w:lang w:val="uk-UA"/>
              </w:rPr>
            </w:pPr>
          </w:p>
        </w:tc>
        <w:tc>
          <w:tcPr>
            <w:tcW w:w="534"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jc w:val="right"/>
              <w:rPr>
                <w:rFonts w:ascii="Times New Roman" w:hAnsi="Times New Roman"/>
                <w:color w:val="000000"/>
                <w:sz w:val="24"/>
                <w:szCs w:val="24"/>
                <w:lang w:val="uk-UA"/>
              </w:rPr>
            </w:pPr>
          </w:p>
        </w:tc>
      </w:tr>
      <w:tr w:rsidR="00470433" w:rsidRPr="00470433" w:rsidTr="0050319C">
        <w:trPr>
          <w:trHeight w:val="81"/>
          <w:jc w:val="center"/>
        </w:trPr>
        <w:tc>
          <w:tcPr>
            <w:tcW w:w="2367"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rPr>
                <w:rFonts w:ascii="Times New Roman" w:hAnsi="Times New Roman"/>
                <w:sz w:val="24"/>
                <w:szCs w:val="24"/>
                <w:lang w:val="uk-UA"/>
              </w:rPr>
            </w:pPr>
            <w:r w:rsidRPr="00470433">
              <w:rPr>
                <w:rFonts w:ascii="Times New Roman" w:hAnsi="Times New Roman"/>
                <w:sz w:val="24"/>
                <w:szCs w:val="24"/>
                <w:lang w:val="uk-UA"/>
              </w:rPr>
              <w:t>Частота новонароджених з масою тіла  500 -1499</w:t>
            </w:r>
            <w:r w:rsidR="00387D58">
              <w:rPr>
                <w:rFonts w:ascii="Times New Roman" w:hAnsi="Times New Roman"/>
                <w:sz w:val="24"/>
                <w:szCs w:val="24"/>
                <w:lang w:val="uk-UA"/>
              </w:rPr>
              <w:t xml:space="preserve"> </w:t>
            </w:r>
            <w:r w:rsidRPr="00470433">
              <w:rPr>
                <w:rFonts w:ascii="Times New Roman" w:hAnsi="Times New Roman"/>
                <w:sz w:val="24"/>
                <w:szCs w:val="24"/>
                <w:lang w:val="uk-UA"/>
              </w:rPr>
              <w:t>г (термін гестації&lt;34 тижнів)</w:t>
            </w:r>
          </w:p>
        </w:tc>
        <w:tc>
          <w:tcPr>
            <w:tcW w:w="3257"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rPr>
                <w:rFonts w:ascii="Times New Roman" w:hAnsi="Times New Roman"/>
                <w:iCs/>
                <w:color w:val="000000"/>
                <w:kern w:val="28"/>
                <w:sz w:val="24"/>
                <w:szCs w:val="24"/>
                <w:lang w:val="uk-UA"/>
              </w:rPr>
            </w:pPr>
            <w:r w:rsidRPr="00470433">
              <w:rPr>
                <w:rFonts w:ascii="Times New Roman" w:hAnsi="Times New Roman"/>
                <w:iCs/>
                <w:color w:val="000000"/>
                <w:kern w:val="28"/>
                <w:sz w:val="24"/>
                <w:szCs w:val="24"/>
                <w:lang w:val="uk-UA"/>
              </w:rPr>
              <w:t xml:space="preserve">Кількість </w:t>
            </w:r>
            <w:r w:rsidRPr="00470433">
              <w:rPr>
                <w:rFonts w:ascii="Times New Roman" w:hAnsi="Times New Roman"/>
                <w:sz w:val="24"/>
                <w:szCs w:val="24"/>
                <w:lang w:val="uk-UA"/>
              </w:rPr>
              <w:t>новонароджених з масою тіла 500-</w:t>
            </w:r>
            <w:r w:rsidRPr="00470433">
              <w:rPr>
                <w:rFonts w:ascii="Times New Roman" w:hAnsi="Times New Roman"/>
                <w:bCs/>
                <w:sz w:val="24"/>
                <w:szCs w:val="24"/>
                <w:lang w:val="uk-UA"/>
              </w:rPr>
              <w:t>1499</w:t>
            </w:r>
            <w:r w:rsidR="00387D58">
              <w:rPr>
                <w:rFonts w:ascii="Times New Roman" w:hAnsi="Times New Roman"/>
                <w:bCs/>
                <w:sz w:val="24"/>
                <w:szCs w:val="24"/>
                <w:lang w:val="uk-UA"/>
              </w:rPr>
              <w:t xml:space="preserve"> </w:t>
            </w:r>
            <w:r w:rsidRPr="00470433">
              <w:rPr>
                <w:rFonts w:ascii="Times New Roman" w:hAnsi="Times New Roman"/>
                <w:bCs/>
                <w:sz w:val="24"/>
                <w:szCs w:val="24"/>
                <w:lang w:val="uk-UA"/>
              </w:rPr>
              <w:t>г</w:t>
            </w:r>
            <w:r w:rsidRPr="00470433">
              <w:rPr>
                <w:rFonts w:ascii="Times New Roman" w:hAnsi="Times New Roman"/>
                <w:sz w:val="24"/>
                <w:szCs w:val="24"/>
                <w:lang w:val="uk-UA"/>
              </w:rPr>
              <w:t xml:space="preserve"> (те</w:t>
            </w:r>
            <w:r w:rsidR="00EA0706">
              <w:rPr>
                <w:rFonts w:ascii="Times New Roman" w:hAnsi="Times New Roman"/>
                <w:sz w:val="24"/>
                <w:szCs w:val="24"/>
                <w:lang w:val="uk-UA"/>
              </w:rPr>
              <w:t>рмін гестації &lt; 34 -37 тижнів) ×</w:t>
            </w:r>
            <w:r w:rsidRPr="00470433">
              <w:rPr>
                <w:rFonts w:ascii="Times New Roman" w:hAnsi="Times New Roman"/>
                <w:sz w:val="24"/>
                <w:szCs w:val="24"/>
                <w:lang w:val="uk-UA"/>
              </w:rPr>
              <w:t xml:space="preserve"> 100 / загальна </w:t>
            </w:r>
            <w:r w:rsidRPr="00470433">
              <w:rPr>
                <w:rFonts w:ascii="Times New Roman" w:hAnsi="Times New Roman"/>
                <w:iCs/>
                <w:color w:val="000000"/>
                <w:kern w:val="28"/>
                <w:sz w:val="24"/>
                <w:szCs w:val="24"/>
                <w:lang w:val="uk-UA"/>
              </w:rPr>
              <w:t xml:space="preserve">кількість </w:t>
            </w:r>
            <w:r w:rsidRPr="00470433">
              <w:rPr>
                <w:rFonts w:ascii="Times New Roman" w:hAnsi="Times New Roman"/>
                <w:sz w:val="24"/>
                <w:szCs w:val="24"/>
                <w:lang w:val="uk-UA"/>
              </w:rPr>
              <w:t>новонароджених</w:t>
            </w:r>
          </w:p>
        </w:tc>
        <w:tc>
          <w:tcPr>
            <w:tcW w:w="995"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jc w:val="center"/>
              <w:rPr>
                <w:rFonts w:ascii="Times New Roman" w:hAnsi="Times New Roman"/>
                <w:color w:val="000000"/>
                <w:sz w:val="24"/>
                <w:szCs w:val="24"/>
                <w:lang w:val="uk-UA"/>
              </w:rPr>
            </w:pPr>
            <w:r w:rsidRPr="00470433">
              <w:rPr>
                <w:rFonts w:ascii="Times New Roman" w:hAnsi="Times New Roman"/>
                <w:color w:val="000000"/>
                <w:sz w:val="24"/>
                <w:szCs w:val="24"/>
                <w:lang w:val="uk-UA"/>
              </w:rPr>
              <w:t>4,0</w:t>
            </w:r>
          </w:p>
        </w:tc>
        <w:tc>
          <w:tcPr>
            <w:tcW w:w="712"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jc w:val="center"/>
              <w:rPr>
                <w:rFonts w:ascii="Times New Roman" w:hAnsi="Times New Roman"/>
                <w:color w:val="000000"/>
                <w:sz w:val="24"/>
                <w:szCs w:val="24"/>
                <w:lang w:val="uk-UA"/>
              </w:rPr>
            </w:pPr>
            <w:r w:rsidRPr="00470433">
              <w:rPr>
                <w:rFonts w:ascii="Times New Roman" w:hAnsi="Times New Roman"/>
                <w:color w:val="000000"/>
                <w:sz w:val="24"/>
                <w:szCs w:val="24"/>
                <w:lang w:val="uk-UA"/>
              </w:rPr>
              <w:t>7</w:t>
            </w:r>
          </w:p>
        </w:tc>
        <w:tc>
          <w:tcPr>
            <w:tcW w:w="853"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jc w:val="center"/>
              <w:rPr>
                <w:rFonts w:ascii="Times New Roman" w:hAnsi="Times New Roman"/>
                <w:color w:val="000000"/>
                <w:sz w:val="24"/>
                <w:szCs w:val="24"/>
                <w:lang w:val="uk-UA"/>
              </w:rPr>
            </w:pPr>
            <w:r w:rsidRPr="00470433">
              <w:rPr>
                <w:rFonts w:ascii="Times New Roman" w:hAnsi="Times New Roman"/>
                <w:color w:val="000000"/>
                <w:sz w:val="24"/>
                <w:szCs w:val="24"/>
                <w:lang w:val="uk-UA"/>
              </w:rPr>
              <w:t>1,75</w:t>
            </w:r>
          </w:p>
        </w:tc>
        <w:tc>
          <w:tcPr>
            <w:tcW w:w="454"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jc w:val="center"/>
              <w:rPr>
                <w:rFonts w:ascii="Times New Roman" w:hAnsi="Times New Roman"/>
                <w:color w:val="000000"/>
                <w:sz w:val="24"/>
                <w:szCs w:val="24"/>
                <w:lang w:val="uk-UA"/>
              </w:rPr>
            </w:pPr>
            <w:r w:rsidRPr="00470433">
              <w:rPr>
                <w:rFonts w:ascii="Times New Roman" w:hAnsi="Times New Roman"/>
                <w:color w:val="000000"/>
                <w:sz w:val="24"/>
                <w:szCs w:val="24"/>
                <w:lang w:val="uk-UA"/>
              </w:rPr>
              <w:t>-</w:t>
            </w:r>
          </w:p>
        </w:tc>
        <w:tc>
          <w:tcPr>
            <w:tcW w:w="403"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jc w:val="center"/>
              <w:rPr>
                <w:rFonts w:ascii="Times New Roman" w:hAnsi="Times New Roman"/>
                <w:color w:val="000000"/>
                <w:sz w:val="24"/>
                <w:szCs w:val="24"/>
                <w:lang w:val="uk-UA"/>
              </w:rPr>
            </w:pPr>
          </w:p>
        </w:tc>
        <w:tc>
          <w:tcPr>
            <w:tcW w:w="850"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jc w:val="right"/>
              <w:rPr>
                <w:rFonts w:ascii="Times New Roman" w:hAnsi="Times New Roman"/>
                <w:color w:val="000000"/>
                <w:sz w:val="24"/>
                <w:szCs w:val="24"/>
                <w:lang w:val="uk-UA"/>
              </w:rPr>
            </w:pPr>
          </w:p>
        </w:tc>
        <w:tc>
          <w:tcPr>
            <w:tcW w:w="534"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jc w:val="right"/>
              <w:rPr>
                <w:rFonts w:ascii="Times New Roman" w:hAnsi="Times New Roman"/>
                <w:color w:val="000000"/>
                <w:sz w:val="24"/>
                <w:szCs w:val="24"/>
                <w:lang w:val="uk-UA"/>
              </w:rPr>
            </w:pPr>
          </w:p>
        </w:tc>
      </w:tr>
    </w:tbl>
    <w:p w:rsidR="00E23BCA" w:rsidRDefault="00E23BCA" w:rsidP="0050319C">
      <w:pPr>
        <w:jc w:val="right"/>
        <w:rPr>
          <w:i/>
          <w:lang w:val="ru-RU"/>
        </w:rPr>
      </w:pPr>
    </w:p>
    <w:p w:rsidR="0050319C" w:rsidRPr="0050319C" w:rsidRDefault="0050319C" w:rsidP="00F159BE">
      <w:pPr>
        <w:pageBreakBefore/>
        <w:jc w:val="right"/>
        <w:rPr>
          <w:i/>
          <w:lang w:val="ru-RU"/>
        </w:rPr>
      </w:pPr>
      <w:r w:rsidRPr="0050319C">
        <w:rPr>
          <w:i/>
          <w:lang w:val="ru-RU"/>
        </w:rPr>
        <w:lastRenderedPageBreak/>
        <w:t>Продовження табл. 7.5</w:t>
      </w:r>
    </w:p>
    <w:tbl>
      <w:tblPr>
        <w:tblStyle w:val="a6"/>
        <w:tblW w:w="10425" w:type="dxa"/>
        <w:jc w:val="center"/>
        <w:tblInd w:w="-5" w:type="dxa"/>
        <w:tblLayout w:type="fixed"/>
        <w:tblLook w:val="01E0" w:firstRow="1" w:lastRow="1" w:firstColumn="1" w:lastColumn="1" w:noHBand="0" w:noVBand="0"/>
      </w:tblPr>
      <w:tblGrid>
        <w:gridCol w:w="2367"/>
        <w:gridCol w:w="3257"/>
        <w:gridCol w:w="995"/>
        <w:gridCol w:w="712"/>
        <w:gridCol w:w="853"/>
        <w:gridCol w:w="454"/>
        <w:gridCol w:w="403"/>
        <w:gridCol w:w="850"/>
        <w:gridCol w:w="534"/>
      </w:tblGrid>
      <w:tr w:rsidR="00470433" w:rsidRPr="00470433" w:rsidTr="003C353C">
        <w:trPr>
          <w:trHeight w:val="1728"/>
          <w:jc w:val="center"/>
        </w:trPr>
        <w:tc>
          <w:tcPr>
            <w:tcW w:w="2367"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rPr>
                <w:rFonts w:ascii="Times New Roman" w:hAnsi="Times New Roman"/>
                <w:color w:val="000000"/>
                <w:sz w:val="24"/>
                <w:szCs w:val="24"/>
                <w:lang w:val="uk-UA"/>
              </w:rPr>
            </w:pPr>
            <w:r w:rsidRPr="00470433">
              <w:rPr>
                <w:rFonts w:ascii="Times New Roman" w:hAnsi="Times New Roman"/>
                <w:color w:val="000000"/>
                <w:sz w:val="24"/>
                <w:szCs w:val="24"/>
                <w:lang w:val="uk-UA"/>
              </w:rPr>
              <w:t>Питома вага новонароджених з виключно грудним вигодовуванням</w:t>
            </w:r>
          </w:p>
        </w:tc>
        <w:tc>
          <w:tcPr>
            <w:tcW w:w="3257"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rPr>
                <w:rFonts w:ascii="Times New Roman" w:hAnsi="Times New Roman"/>
                <w:color w:val="000000"/>
                <w:sz w:val="24"/>
                <w:szCs w:val="24"/>
                <w:lang w:val="uk-UA"/>
              </w:rPr>
            </w:pPr>
            <w:r w:rsidRPr="00470433">
              <w:rPr>
                <w:rFonts w:ascii="Times New Roman" w:hAnsi="Times New Roman"/>
                <w:sz w:val="24"/>
                <w:szCs w:val="24"/>
                <w:lang w:val="uk-UA"/>
              </w:rPr>
              <w:t>Кількість новонароджених, виписаних на виключно грудному вигодовуванні, × 100 / загальна кількість виписаних новонароджених</w:t>
            </w:r>
          </w:p>
        </w:tc>
        <w:tc>
          <w:tcPr>
            <w:tcW w:w="995"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jc w:val="center"/>
              <w:rPr>
                <w:rFonts w:ascii="Times New Roman" w:hAnsi="Times New Roman"/>
                <w:color w:val="000000"/>
                <w:sz w:val="24"/>
                <w:szCs w:val="24"/>
                <w:lang w:val="uk-UA"/>
              </w:rPr>
            </w:pPr>
            <w:r w:rsidRPr="00470433">
              <w:rPr>
                <w:rFonts w:ascii="Times New Roman" w:hAnsi="Times New Roman"/>
                <w:color w:val="000000"/>
                <w:sz w:val="24"/>
                <w:szCs w:val="24"/>
                <w:lang w:val="uk-UA"/>
              </w:rPr>
              <w:t>95,0</w:t>
            </w:r>
          </w:p>
        </w:tc>
        <w:tc>
          <w:tcPr>
            <w:tcW w:w="712"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jc w:val="center"/>
              <w:rPr>
                <w:rFonts w:ascii="Times New Roman" w:hAnsi="Times New Roman"/>
                <w:color w:val="000000"/>
                <w:sz w:val="24"/>
                <w:szCs w:val="24"/>
                <w:lang w:val="uk-UA"/>
              </w:rPr>
            </w:pPr>
            <w:r w:rsidRPr="00470433">
              <w:rPr>
                <w:rFonts w:ascii="Times New Roman" w:hAnsi="Times New Roman"/>
                <w:color w:val="000000"/>
                <w:sz w:val="24"/>
                <w:szCs w:val="24"/>
                <w:lang w:val="uk-UA"/>
              </w:rPr>
              <w:t>7</w:t>
            </w:r>
          </w:p>
        </w:tc>
        <w:tc>
          <w:tcPr>
            <w:tcW w:w="853"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jc w:val="center"/>
              <w:rPr>
                <w:rFonts w:ascii="Times New Roman" w:hAnsi="Times New Roman"/>
                <w:color w:val="000000"/>
                <w:sz w:val="24"/>
                <w:szCs w:val="24"/>
                <w:lang w:val="uk-UA"/>
              </w:rPr>
            </w:pPr>
            <w:r w:rsidRPr="00470433">
              <w:rPr>
                <w:rFonts w:ascii="Times New Roman" w:hAnsi="Times New Roman"/>
                <w:color w:val="000000"/>
                <w:sz w:val="24"/>
                <w:szCs w:val="24"/>
                <w:lang w:val="uk-UA"/>
              </w:rPr>
              <w:t>0,07</w:t>
            </w:r>
          </w:p>
        </w:tc>
        <w:tc>
          <w:tcPr>
            <w:tcW w:w="454"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jc w:val="center"/>
              <w:rPr>
                <w:rFonts w:ascii="Times New Roman" w:hAnsi="Times New Roman"/>
                <w:color w:val="000000"/>
                <w:sz w:val="24"/>
                <w:szCs w:val="24"/>
                <w:lang w:val="uk-UA"/>
              </w:rPr>
            </w:pPr>
            <w:r w:rsidRPr="00470433">
              <w:rPr>
                <w:rFonts w:ascii="Times New Roman" w:hAnsi="Times New Roman"/>
                <w:color w:val="000000"/>
                <w:sz w:val="24"/>
                <w:szCs w:val="24"/>
                <w:lang w:val="uk-UA"/>
              </w:rPr>
              <w:t>-</w:t>
            </w:r>
          </w:p>
        </w:tc>
        <w:tc>
          <w:tcPr>
            <w:tcW w:w="403"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jc w:val="center"/>
              <w:rPr>
                <w:rFonts w:ascii="Times New Roman" w:hAnsi="Times New Roman"/>
                <w:color w:val="000000"/>
                <w:sz w:val="24"/>
                <w:szCs w:val="24"/>
                <w:lang w:val="uk-UA"/>
              </w:rPr>
            </w:pPr>
          </w:p>
        </w:tc>
        <w:tc>
          <w:tcPr>
            <w:tcW w:w="850"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jc w:val="right"/>
              <w:rPr>
                <w:rFonts w:ascii="Times New Roman" w:hAnsi="Times New Roman"/>
                <w:color w:val="000000"/>
                <w:sz w:val="24"/>
                <w:szCs w:val="24"/>
                <w:lang w:val="uk-UA"/>
              </w:rPr>
            </w:pPr>
          </w:p>
        </w:tc>
        <w:tc>
          <w:tcPr>
            <w:tcW w:w="534"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jc w:val="right"/>
              <w:rPr>
                <w:rFonts w:ascii="Times New Roman" w:hAnsi="Times New Roman"/>
                <w:color w:val="000000"/>
                <w:sz w:val="24"/>
                <w:szCs w:val="24"/>
                <w:lang w:val="uk-UA"/>
              </w:rPr>
            </w:pPr>
          </w:p>
        </w:tc>
      </w:tr>
      <w:tr w:rsidR="00470433" w:rsidRPr="00470433" w:rsidTr="003C353C">
        <w:trPr>
          <w:trHeight w:val="1695"/>
          <w:jc w:val="center"/>
        </w:trPr>
        <w:tc>
          <w:tcPr>
            <w:tcW w:w="2367"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rPr>
                <w:rFonts w:ascii="Times New Roman" w:hAnsi="Times New Roman"/>
                <w:color w:val="000000"/>
                <w:sz w:val="24"/>
                <w:szCs w:val="24"/>
                <w:lang w:val="uk-UA"/>
              </w:rPr>
            </w:pPr>
            <w:r w:rsidRPr="00470433">
              <w:rPr>
                <w:rFonts w:ascii="Times New Roman" w:hAnsi="Times New Roman"/>
                <w:sz w:val="24"/>
                <w:szCs w:val="24"/>
                <w:lang w:val="uk-UA"/>
              </w:rPr>
              <w:t>Контакт «шкіра до шкіри»</w:t>
            </w:r>
          </w:p>
        </w:tc>
        <w:tc>
          <w:tcPr>
            <w:tcW w:w="3257"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rPr>
                <w:rFonts w:ascii="Times New Roman" w:hAnsi="Times New Roman"/>
                <w:color w:val="000000"/>
                <w:sz w:val="24"/>
                <w:szCs w:val="24"/>
                <w:lang w:val="uk-UA"/>
              </w:rPr>
            </w:pPr>
            <w:r w:rsidRPr="00470433">
              <w:rPr>
                <w:rFonts w:ascii="Times New Roman" w:hAnsi="Times New Roman"/>
                <w:sz w:val="24"/>
                <w:szCs w:val="24"/>
                <w:lang w:val="uk-UA"/>
              </w:rPr>
              <w:t>Кількість новонароджених, яким проведено контакт «шкіра до шкіри», × 100 / загальна кількість новонароджених</w:t>
            </w:r>
          </w:p>
        </w:tc>
        <w:tc>
          <w:tcPr>
            <w:tcW w:w="995"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jc w:val="center"/>
              <w:rPr>
                <w:rFonts w:ascii="Times New Roman" w:hAnsi="Times New Roman"/>
                <w:color w:val="000000"/>
                <w:sz w:val="24"/>
                <w:szCs w:val="24"/>
                <w:lang w:val="uk-UA"/>
              </w:rPr>
            </w:pPr>
            <w:r w:rsidRPr="00470433">
              <w:rPr>
                <w:rFonts w:ascii="Times New Roman" w:hAnsi="Times New Roman"/>
                <w:color w:val="000000"/>
                <w:sz w:val="24"/>
                <w:szCs w:val="24"/>
                <w:lang w:val="uk-UA"/>
              </w:rPr>
              <w:t>95,0</w:t>
            </w:r>
          </w:p>
        </w:tc>
        <w:tc>
          <w:tcPr>
            <w:tcW w:w="712"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jc w:val="center"/>
              <w:rPr>
                <w:rFonts w:ascii="Times New Roman" w:hAnsi="Times New Roman"/>
                <w:color w:val="000000"/>
                <w:sz w:val="24"/>
                <w:szCs w:val="24"/>
                <w:lang w:val="uk-UA"/>
              </w:rPr>
            </w:pPr>
            <w:r w:rsidRPr="00470433">
              <w:rPr>
                <w:rFonts w:ascii="Times New Roman" w:hAnsi="Times New Roman"/>
                <w:color w:val="000000"/>
                <w:sz w:val="24"/>
                <w:szCs w:val="24"/>
                <w:lang w:val="uk-UA"/>
              </w:rPr>
              <w:t>9</w:t>
            </w:r>
          </w:p>
        </w:tc>
        <w:tc>
          <w:tcPr>
            <w:tcW w:w="853"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jc w:val="center"/>
              <w:rPr>
                <w:rFonts w:ascii="Times New Roman" w:hAnsi="Times New Roman"/>
                <w:color w:val="000000"/>
                <w:sz w:val="24"/>
                <w:szCs w:val="24"/>
                <w:lang w:val="uk-UA"/>
              </w:rPr>
            </w:pPr>
            <w:r w:rsidRPr="00470433">
              <w:rPr>
                <w:rFonts w:ascii="Times New Roman" w:hAnsi="Times New Roman"/>
                <w:color w:val="000000"/>
                <w:sz w:val="24"/>
                <w:szCs w:val="24"/>
                <w:lang w:val="uk-UA"/>
              </w:rPr>
              <w:t>0,09</w:t>
            </w:r>
          </w:p>
        </w:tc>
        <w:tc>
          <w:tcPr>
            <w:tcW w:w="454"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jc w:val="center"/>
              <w:rPr>
                <w:rFonts w:ascii="Times New Roman" w:hAnsi="Times New Roman"/>
                <w:color w:val="000000"/>
                <w:sz w:val="24"/>
                <w:szCs w:val="24"/>
                <w:lang w:val="uk-UA"/>
              </w:rPr>
            </w:pPr>
            <w:r w:rsidRPr="00470433">
              <w:rPr>
                <w:rFonts w:ascii="Times New Roman" w:hAnsi="Times New Roman"/>
                <w:color w:val="000000"/>
                <w:sz w:val="24"/>
                <w:szCs w:val="24"/>
                <w:lang w:val="uk-UA"/>
              </w:rPr>
              <w:t>-</w:t>
            </w:r>
          </w:p>
        </w:tc>
        <w:tc>
          <w:tcPr>
            <w:tcW w:w="403"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jc w:val="center"/>
              <w:rPr>
                <w:rFonts w:ascii="Times New Roman" w:hAnsi="Times New Roman"/>
                <w:color w:val="000000"/>
                <w:sz w:val="24"/>
                <w:szCs w:val="24"/>
                <w:lang w:val="uk-UA"/>
              </w:rPr>
            </w:pPr>
          </w:p>
        </w:tc>
        <w:tc>
          <w:tcPr>
            <w:tcW w:w="850"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jc w:val="right"/>
              <w:rPr>
                <w:rFonts w:ascii="Times New Roman" w:hAnsi="Times New Roman"/>
                <w:color w:val="000000"/>
                <w:sz w:val="24"/>
                <w:szCs w:val="24"/>
                <w:lang w:val="uk-UA"/>
              </w:rPr>
            </w:pPr>
          </w:p>
        </w:tc>
        <w:tc>
          <w:tcPr>
            <w:tcW w:w="534"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jc w:val="right"/>
              <w:rPr>
                <w:rFonts w:ascii="Times New Roman" w:hAnsi="Times New Roman"/>
                <w:color w:val="000000"/>
                <w:sz w:val="24"/>
                <w:szCs w:val="24"/>
                <w:lang w:val="uk-UA"/>
              </w:rPr>
            </w:pPr>
          </w:p>
        </w:tc>
      </w:tr>
      <w:tr w:rsidR="00470433" w:rsidRPr="00470433" w:rsidTr="003C353C">
        <w:trPr>
          <w:trHeight w:val="4526"/>
          <w:jc w:val="center"/>
        </w:trPr>
        <w:tc>
          <w:tcPr>
            <w:tcW w:w="2367"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rPr>
                <w:rFonts w:ascii="Times New Roman" w:hAnsi="Times New Roman"/>
                <w:color w:val="000000"/>
                <w:sz w:val="24"/>
                <w:szCs w:val="24"/>
                <w:lang w:val="uk-UA"/>
              </w:rPr>
            </w:pPr>
            <w:r w:rsidRPr="00470433">
              <w:rPr>
                <w:rFonts w:ascii="Times New Roman" w:hAnsi="Times New Roman"/>
                <w:sz w:val="24"/>
                <w:szCs w:val="24"/>
                <w:lang w:val="uk-UA"/>
              </w:rPr>
              <w:t>Догляд новонароджених за методом «кенгуру»</w:t>
            </w:r>
          </w:p>
        </w:tc>
        <w:tc>
          <w:tcPr>
            <w:tcW w:w="3257"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rPr>
                <w:rFonts w:ascii="Times New Roman" w:hAnsi="Times New Roman"/>
                <w:sz w:val="24"/>
                <w:szCs w:val="24"/>
                <w:lang w:val="uk-UA"/>
              </w:rPr>
            </w:pPr>
            <w:r w:rsidRPr="00470433">
              <w:rPr>
                <w:rFonts w:ascii="Times New Roman" w:hAnsi="Times New Roman"/>
                <w:sz w:val="24"/>
                <w:szCs w:val="24"/>
                <w:lang w:val="uk-UA"/>
              </w:rPr>
              <w:t>Кількість недоношених новонароджених і доношених хворих новонароджених з стабільним клінічним станом, які  доглядалися за методом «кенгуру»</w:t>
            </w:r>
            <w:r w:rsidR="00407D8E" w:rsidRPr="00407D8E">
              <w:rPr>
                <w:rFonts w:ascii="Times New Roman" w:hAnsi="Times New Roman"/>
                <w:sz w:val="24"/>
                <w:szCs w:val="24"/>
                <w:lang w:val="uk-UA"/>
              </w:rPr>
              <w:t xml:space="preserve"> </w:t>
            </w:r>
            <w:r w:rsidR="00407D8E">
              <w:rPr>
                <w:rFonts w:ascii="Times New Roman" w:hAnsi="Times New Roman"/>
                <w:sz w:val="24"/>
                <w:szCs w:val="24"/>
                <w:lang w:val="uk-UA"/>
              </w:rPr>
              <w:t>×</w:t>
            </w:r>
            <w:r w:rsidR="00407D8E" w:rsidRPr="00407D8E">
              <w:rPr>
                <w:rFonts w:ascii="Times New Roman" w:hAnsi="Times New Roman"/>
                <w:sz w:val="24"/>
                <w:szCs w:val="24"/>
                <w:lang w:val="uk-UA"/>
              </w:rPr>
              <w:t xml:space="preserve"> </w:t>
            </w:r>
            <w:r w:rsidRPr="00470433">
              <w:rPr>
                <w:rFonts w:ascii="Times New Roman" w:hAnsi="Times New Roman"/>
                <w:sz w:val="24"/>
                <w:szCs w:val="24"/>
                <w:lang w:val="uk-UA"/>
              </w:rPr>
              <w:t xml:space="preserve">100 / загальна кількість виписаних недоношених новонароджених і доношених хворих новонароджених з </w:t>
            </w:r>
            <w:r w:rsidR="00EA0706">
              <w:rPr>
                <w:rFonts w:ascii="Times New Roman" w:hAnsi="Times New Roman"/>
                <w:sz w:val="24"/>
                <w:szCs w:val="24"/>
                <w:lang w:val="uk-UA"/>
              </w:rPr>
              <w:t>стабільним клінічним станом ×</w:t>
            </w:r>
            <w:r w:rsidR="00407D8E" w:rsidRPr="00407D8E">
              <w:rPr>
                <w:rFonts w:ascii="Times New Roman" w:hAnsi="Times New Roman"/>
                <w:sz w:val="24"/>
                <w:szCs w:val="24"/>
                <w:lang w:val="uk-UA"/>
              </w:rPr>
              <w:t xml:space="preserve"> </w:t>
            </w:r>
            <w:r w:rsidRPr="00470433">
              <w:rPr>
                <w:rFonts w:ascii="Times New Roman" w:hAnsi="Times New Roman"/>
                <w:sz w:val="24"/>
                <w:szCs w:val="24"/>
                <w:lang w:val="uk-UA"/>
              </w:rPr>
              <w:t>100</w:t>
            </w:r>
          </w:p>
        </w:tc>
        <w:tc>
          <w:tcPr>
            <w:tcW w:w="995"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jc w:val="center"/>
              <w:rPr>
                <w:rFonts w:ascii="Times New Roman" w:hAnsi="Times New Roman"/>
                <w:color w:val="000000"/>
                <w:sz w:val="24"/>
                <w:szCs w:val="24"/>
                <w:lang w:val="uk-UA"/>
              </w:rPr>
            </w:pPr>
            <w:r w:rsidRPr="00470433">
              <w:rPr>
                <w:rFonts w:ascii="Times New Roman" w:hAnsi="Times New Roman"/>
                <w:color w:val="000000"/>
                <w:sz w:val="24"/>
                <w:szCs w:val="24"/>
                <w:lang w:val="uk-UA"/>
              </w:rPr>
              <w:t>90,0</w:t>
            </w:r>
          </w:p>
        </w:tc>
        <w:tc>
          <w:tcPr>
            <w:tcW w:w="712"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jc w:val="center"/>
              <w:rPr>
                <w:rFonts w:ascii="Times New Roman" w:hAnsi="Times New Roman"/>
                <w:color w:val="000000"/>
                <w:sz w:val="24"/>
                <w:szCs w:val="24"/>
                <w:lang w:val="uk-UA"/>
              </w:rPr>
            </w:pPr>
            <w:r w:rsidRPr="00470433">
              <w:rPr>
                <w:rFonts w:ascii="Times New Roman" w:hAnsi="Times New Roman"/>
                <w:color w:val="000000"/>
                <w:sz w:val="24"/>
                <w:szCs w:val="24"/>
                <w:lang w:val="uk-UA"/>
              </w:rPr>
              <w:t>7</w:t>
            </w:r>
          </w:p>
        </w:tc>
        <w:tc>
          <w:tcPr>
            <w:tcW w:w="853"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jc w:val="center"/>
              <w:rPr>
                <w:rFonts w:ascii="Times New Roman" w:hAnsi="Times New Roman"/>
                <w:color w:val="000000"/>
                <w:sz w:val="24"/>
                <w:szCs w:val="24"/>
                <w:lang w:val="uk-UA"/>
              </w:rPr>
            </w:pPr>
            <w:r w:rsidRPr="00470433">
              <w:rPr>
                <w:rFonts w:ascii="Times New Roman" w:hAnsi="Times New Roman"/>
                <w:color w:val="000000"/>
                <w:sz w:val="24"/>
                <w:szCs w:val="24"/>
                <w:lang w:val="uk-UA"/>
              </w:rPr>
              <w:t>0,08</w:t>
            </w:r>
          </w:p>
        </w:tc>
        <w:tc>
          <w:tcPr>
            <w:tcW w:w="454"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jc w:val="center"/>
              <w:rPr>
                <w:rFonts w:ascii="Times New Roman" w:hAnsi="Times New Roman"/>
                <w:color w:val="000000"/>
                <w:sz w:val="24"/>
                <w:szCs w:val="24"/>
                <w:lang w:val="uk-UA"/>
              </w:rPr>
            </w:pPr>
            <w:r w:rsidRPr="00470433">
              <w:rPr>
                <w:rFonts w:ascii="Times New Roman" w:hAnsi="Times New Roman"/>
                <w:color w:val="000000"/>
                <w:sz w:val="24"/>
                <w:szCs w:val="24"/>
                <w:lang w:val="uk-UA"/>
              </w:rPr>
              <w:t>-</w:t>
            </w:r>
          </w:p>
        </w:tc>
        <w:tc>
          <w:tcPr>
            <w:tcW w:w="403"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jc w:val="center"/>
              <w:rPr>
                <w:rFonts w:ascii="Times New Roman" w:hAnsi="Times New Roman"/>
                <w:color w:val="000000"/>
                <w:sz w:val="24"/>
                <w:szCs w:val="24"/>
                <w:lang w:val="uk-UA"/>
              </w:rPr>
            </w:pPr>
          </w:p>
        </w:tc>
        <w:tc>
          <w:tcPr>
            <w:tcW w:w="850"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jc w:val="right"/>
              <w:rPr>
                <w:rFonts w:ascii="Times New Roman" w:hAnsi="Times New Roman"/>
                <w:color w:val="000000"/>
                <w:sz w:val="24"/>
                <w:szCs w:val="24"/>
                <w:lang w:val="uk-UA"/>
              </w:rPr>
            </w:pPr>
          </w:p>
        </w:tc>
        <w:tc>
          <w:tcPr>
            <w:tcW w:w="534" w:type="dxa"/>
            <w:tcBorders>
              <w:top w:val="single" w:sz="4" w:space="0" w:color="auto"/>
              <w:left w:val="single" w:sz="4" w:space="0" w:color="auto"/>
              <w:bottom w:val="single" w:sz="4" w:space="0" w:color="auto"/>
              <w:right w:val="single" w:sz="4" w:space="0" w:color="auto"/>
            </w:tcBorders>
          </w:tcPr>
          <w:p w:rsidR="003B67F9" w:rsidRPr="00470433" w:rsidRDefault="003B67F9" w:rsidP="00721203">
            <w:pPr>
              <w:widowControl w:val="0"/>
              <w:spacing w:line="276" w:lineRule="auto"/>
              <w:jc w:val="right"/>
              <w:rPr>
                <w:rFonts w:ascii="Times New Roman" w:hAnsi="Times New Roman"/>
                <w:color w:val="000000"/>
                <w:sz w:val="24"/>
                <w:szCs w:val="24"/>
                <w:lang w:val="uk-UA"/>
              </w:rPr>
            </w:pPr>
          </w:p>
        </w:tc>
      </w:tr>
      <w:tr w:rsidR="00E23BCA" w:rsidRPr="00470433" w:rsidTr="003C353C">
        <w:trPr>
          <w:trHeight w:val="835"/>
          <w:jc w:val="center"/>
        </w:trPr>
        <w:tc>
          <w:tcPr>
            <w:tcW w:w="2367" w:type="dxa"/>
            <w:tcBorders>
              <w:top w:val="single" w:sz="4" w:space="0" w:color="auto"/>
              <w:left w:val="single" w:sz="4" w:space="0" w:color="auto"/>
              <w:bottom w:val="single" w:sz="4" w:space="0" w:color="auto"/>
              <w:right w:val="single" w:sz="4" w:space="0" w:color="auto"/>
            </w:tcBorders>
          </w:tcPr>
          <w:p w:rsidR="00E23BCA" w:rsidRPr="00470433" w:rsidRDefault="00E23BCA" w:rsidP="00F12FC0">
            <w:pPr>
              <w:widowControl w:val="0"/>
              <w:spacing w:line="276" w:lineRule="auto"/>
              <w:rPr>
                <w:rFonts w:ascii="Times New Roman" w:hAnsi="Times New Roman"/>
                <w:color w:val="000000"/>
                <w:sz w:val="24"/>
                <w:szCs w:val="24"/>
                <w:lang w:val="uk-UA"/>
              </w:rPr>
            </w:pPr>
            <w:r w:rsidRPr="00470433">
              <w:rPr>
                <w:rFonts w:ascii="Times New Roman" w:hAnsi="Times New Roman"/>
                <w:color w:val="000000"/>
                <w:sz w:val="24"/>
                <w:szCs w:val="24"/>
                <w:lang w:val="uk-UA"/>
              </w:rPr>
              <w:t>Індекс здоров’я новонароджених</w:t>
            </w:r>
          </w:p>
        </w:tc>
        <w:tc>
          <w:tcPr>
            <w:tcW w:w="3257" w:type="dxa"/>
            <w:tcBorders>
              <w:top w:val="single" w:sz="4" w:space="0" w:color="auto"/>
              <w:left w:val="single" w:sz="4" w:space="0" w:color="auto"/>
              <w:bottom w:val="single" w:sz="4" w:space="0" w:color="auto"/>
              <w:right w:val="single" w:sz="4" w:space="0" w:color="auto"/>
            </w:tcBorders>
          </w:tcPr>
          <w:p w:rsidR="00E23BCA" w:rsidRPr="00470433" w:rsidRDefault="00E23BCA" w:rsidP="00F12FC0">
            <w:pPr>
              <w:widowControl w:val="0"/>
              <w:spacing w:line="276" w:lineRule="auto"/>
              <w:rPr>
                <w:rFonts w:ascii="Times New Roman" w:hAnsi="Times New Roman"/>
                <w:color w:val="000000"/>
                <w:sz w:val="24"/>
                <w:szCs w:val="24"/>
                <w:lang w:val="uk-UA"/>
              </w:rPr>
            </w:pPr>
            <w:r w:rsidRPr="00470433">
              <w:rPr>
                <w:rFonts w:ascii="Times New Roman" w:hAnsi="Times New Roman"/>
                <w:iCs/>
                <w:color w:val="000000"/>
                <w:kern w:val="28"/>
                <w:sz w:val="24"/>
                <w:szCs w:val="24"/>
                <w:lang w:val="uk-UA"/>
              </w:rPr>
              <w:t xml:space="preserve">На 100 </w:t>
            </w:r>
            <w:r w:rsidRPr="00470433">
              <w:rPr>
                <w:rFonts w:ascii="Times New Roman" w:hAnsi="Times New Roman"/>
                <w:color w:val="000000"/>
                <w:sz w:val="24"/>
                <w:szCs w:val="24"/>
                <w:lang w:val="uk-UA"/>
              </w:rPr>
              <w:t>живонароджених</w:t>
            </w:r>
          </w:p>
        </w:tc>
        <w:tc>
          <w:tcPr>
            <w:tcW w:w="995" w:type="dxa"/>
            <w:tcBorders>
              <w:top w:val="single" w:sz="4" w:space="0" w:color="auto"/>
              <w:left w:val="single" w:sz="4" w:space="0" w:color="auto"/>
              <w:bottom w:val="single" w:sz="4" w:space="0" w:color="auto"/>
              <w:right w:val="single" w:sz="4" w:space="0" w:color="auto"/>
            </w:tcBorders>
          </w:tcPr>
          <w:p w:rsidR="00E23BCA" w:rsidRPr="00470433" w:rsidRDefault="00E23BCA" w:rsidP="00F12FC0">
            <w:pPr>
              <w:widowControl w:val="0"/>
              <w:spacing w:line="276" w:lineRule="auto"/>
              <w:jc w:val="center"/>
              <w:rPr>
                <w:rFonts w:ascii="Times New Roman" w:hAnsi="Times New Roman"/>
                <w:color w:val="000000"/>
                <w:sz w:val="24"/>
                <w:szCs w:val="24"/>
                <w:lang w:val="uk-UA"/>
              </w:rPr>
            </w:pPr>
            <w:r w:rsidRPr="00470433">
              <w:rPr>
                <w:rFonts w:ascii="Times New Roman" w:hAnsi="Times New Roman"/>
                <w:color w:val="000000"/>
                <w:sz w:val="24"/>
                <w:szCs w:val="24"/>
                <w:lang w:val="uk-UA"/>
              </w:rPr>
              <w:t>70,0</w:t>
            </w:r>
          </w:p>
        </w:tc>
        <w:tc>
          <w:tcPr>
            <w:tcW w:w="712" w:type="dxa"/>
            <w:tcBorders>
              <w:top w:val="single" w:sz="4" w:space="0" w:color="auto"/>
              <w:left w:val="single" w:sz="4" w:space="0" w:color="auto"/>
              <w:bottom w:val="single" w:sz="4" w:space="0" w:color="auto"/>
              <w:right w:val="single" w:sz="4" w:space="0" w:color="auto"/>
            </w:tcBorders>
          </w:tcPr>
          <w:p w:rsidR="00E23BCA" w:rsidRPr="00470433" w:rsidRDefault="00E23BCA" w:rsidP="00F12FC0">
            <w:pPr>
              <w:widowControl w:val="0"/>
              <w:spacing w:line="276" w:lineRule="auto"/>
              <w:jc w:val="center"/>
              <w:rPr>
                <w:rFonts w:ascii="Times New Roman" w:hAnsi="Times New Roman"/>
                <w:color w:val="000000"/>
                <w:sz w:val="24"/>
                <w:szCs w:val="24"/>
                <w:lang w:val="uk-UA"/>
              </w:rPr>
            </w:pPr>
            <w:r w:rsidRPr="00470433">
              <w:rPr>
                <w:rFonts w:ascii="Times New Roman" w:hAnsi="Times New Roman"/>
                <w:color w:val="000000"/>
                <w:sz w:val="24"/>
                <w:szCs w:val="24"/>
                <w:lang w:val="uk-UA"/>
              </w:rPr>
              <w:t>6</w:t>
            </w:r>
          </w:p>
        </w:tc>
        <w:tc>
          <w:tcPr>
            <w:tcW w:w="853" w:type="dxa"/>
            <w:tcBorders>
              <w:top w:val="single" w:sz="4" w:space="0" w:color="auto"/>
              <w:left w:val="single" w:sz="4" w:space="0" w:color="auto"/>
              <w:bottom w:val="single" w:sz="4" w:space="0" w:color="auto"/>
              <w:right w:val="single" w:sz="4" w:space="0" w:color="auto"/>
            </w:tcBorders>
          </w:tcPr>
          <w:p w:rsidR="00E23BCA" w:rsidRPr="00470433" w:rsidRDefault="00E23BCA" w:rsidP="00F12FC0">
            <w:pPr>
              <w:widowControl w:val="0"/>
              <w:spacing w:line="276" w:lineRule="auto"/>
              <w:jc w:val="center"/>
              <w:rPr>
                <w:rFonts w:ascii="Times New Roman" w:hAnsi="Times New Roman"/>
                <w:color w:val="000000"/>
                <w:sz w:val="24"/>
                <w:szCs w:val="24"/>
                <w:lang w:val="uk-UA"/>
              </w:rPr>
            </w:pPr>
            <w:r w:rsidRPr="00470433">
              <w:rPr>
                <w:rFonts w:ascii="Times New Roman" w:hAnsi="Times New Roman"/>
                <w:color w:val="000000"/>
                <w:sz w:val="24"/>
                <w:szCs w:val="24"/>
                <w:lang w:val="uk-UA"/>
              </w:rPr>
              <w:t>0,09</w:t>
            </w:r>
          </w:p>
        </w:tc>
        <w:tc>
          <w:tcPr>
            <w:tcW w:w="454" w:type="dxa"/>
            <w:tcBorders>
              <w:top w:val="single" w:sz="4" w:space="0" w:color="auto"/>
              <w:left w:val="single" w:sz="4" w:space="0" w:color="auto"/>
              <w:bottom w:val="single" w:sz="4" w:space="0" w:color="auto"/>
              <w:right w:val="single" w:sz="4" w:space="0" w:color="auto"/>
            </w:tcBorders>
          </w:tcPr>
          <w:p w:rsidR="00E23BCA" w:rsidRPr="00470433" w:rsidRDefault="00E23BCA" w:rsidP="00F12FC0">
            <w:pPr>
              <w:widowControl w:val="0"/>
              <w:spacing w:line="276" w:lineRule="auto"/>
              <w:jc w:val="center"/>
              <w:rPr>
                <w:rFonts w:ascii="Times New Roman" w:hAnsi="Times New Roman"/>
                <w:color w:val="000000"/>
                <w:sz w:val="24"/>
                <w:szCs w:val="24"/>
                <w:lang w:val="uk-UA"/>
              </w:rPr>
            </w:pPr>
            <w:r w:rsidRPr="00470433">
              <w:rPr>
                <w:rFonts w:ascii="Times New Roman" w:hAnsi="Times New Roman"/>
                <w:color w:val="000000"/>
                <w:sz w:val="24"/>
                <w:szCs w:val="24"/>
                <w:lang w:val="uk-UA"/>
              </w:rPr>
              <w:t>–</w:t>
            </w:r>
          </w:p>
        </w:tc>
        <w:tc>
          <w:tcPr>
            <w:tcW w:w="403" w:type="dxa"/>
            <w:tcBorders>
              <w:top w:val="single" w:sz="4" w:space="0" w:color="auto"/>
              <w:left w:val="single" w:sz="4" w:space="0" w:color="auto"/>
              <w:bottom w:val="single" w:sz="4" w:space="0" w:color="auto"/>
              <w:right w:val="single" w:sz="4" w:space="0" w:color="auto"/>
            </w:tcBorders>
          </w:tcPr>
          <w:p w:rsidR="00E23BCA" w:rsidRPr="00470433" w:rsidRDefault="00E23BCA" w:rsidP="00F12FC0">
            <w:pPr>
              <w:widowControl w:val="0"/>
              <w:spacing w:line="276" w:lineRule="auto"/>
              <w:jc w:val="center"/>
              <w:rPr>
                <w:rFonts w:ascii="Times New Roman" w:hAnsi="Times New Roman"/>
                <w:color w:val="000000"/>
                <w:sz w:val="24"/>
                <w:szCs w:val="24"/>
                <w:lang w:val="uk-UA"/>
              </w:rPr>
            </w:pPr>
          </w:p>
        </w:tc>
        <w:tc>
          <w:tcPr>
            <w:tcW w:w="850" w:type="dxa"/>
            <w:tcBorders>
              <w:top w:val="single" w:sz="4" w:space="0" w:color="auto"/>
              <w:left w:val="single" w:sz="4" w:space="0" w:color="auto"/>
              <w:bottom w:val="single" w:sz="4" w:space="0" w:color="auto"/>
              <w:right w:val="single" w:sz="4" w:space="0" w:color="auto"/>
            </w:tcBorders>
          </w:tcPr>
          <w:p w:rsidR="00E23BCA" w:rsidRPr="00470433" w:rsidRDefault="00E23BCA" w:rsidP="00F12FC0">
            <w:pPr>
              <w:widowControl w:val="0"/>
              <w:spacing w:line="276" w:lineRule="auto"/>
              <w:jc w:val="right"/>
              <w:rPr>
                <w:rFonts w:ascii="Times New Roman" w:hAnsi="Times New Roman"/>
                <w:color w:val="000000"/>
                <w:sz w:val="24"/>
                <w:szCs w:val="24"/>
                <w:lang w:val="uk-UA"/>
              </w:rPr>
            </w:pPr>
          </w:p>
        </w:tc>
        <w:tc>
          <w:tcPr>
            <w:tcW w:w="534" w:type="dxa"/>
            <w:tcBorders>
              <w:top w:val="single" w:sz="4" w:space="0" w:color="auto"/>
              <w:left w:val="single" w:sz="4" w:space="0" w:color="auto"/>
              <w:bottom w:val="single" w:sz="4" w:space="0" w:color="auto"/>
              <w:right w:val="single" w:sz="4" w:space="0" w:color="auto"/>
            </w:tcBorders>
          </w:tcPr>
          <w:p w:rsidR="00E23BCA" w:rsidRPr="00470433" w:rsidRDefault="00E23BCA" w:rsidP="00F12FC0">
            <w:pPr>
              <w:widowControl w:val="0"/>
              <w:spacing w:line="276" w:lineRule="auto"/>
              <w:jc w:val="right"/>
              <w:rPr>
                <w:rFonts w:ascii="Times New Roman" w:hAnsi="Times New Roman"/>
                <w:color w:val="000000"/>
                <w:sz w:val="24"/>
                <w:szCs w:val="24"/>
                <w:lang w:val="uk-UA"/>
              </w:rPr>
            </w:pPr>
          </w:p>
        </w:tc>
      </w:tr>
      <w:tr w:rsidR="00F12FC0" w:rsidRPr="00470433" w:rsidTr="003C353C">
        <w:trPr>
          <w:trHeight w:val="81"/>
          <w:jc w:val="center"/>
        </w:trPr>
        <w:tc>
          <w:tcPr>
            <w:tcW w:w="2367" w:type="dxa"/>
            <w:tcBorders>
              <w:top w:val="single" w:sz="4" w:space="0" w:color="auto"/>
              <w:left w:val="single" w:sz="4" w:space="0" w:color="auto"/>
              <w:bottom w:val="single" w:sz="4" w:space="0" w:color="auto"/>
              <w:right w:val="single" w:sz="4" w:space="0" w:color="auto"/>
            </w:tcBorders>
          </w:tcPr>
          <w:p w:rsidR="00F12FC0" w:rsidRPr="00470433" w:rsidRDefault="00F12FC0" w:rsidP="00F12FC0">
            <w:pPr>
              <w:widowControl w:val="0"/>
              <w:spacing w:line="276" w:lineRule="auto"/>
              <w:rPr>
                <w:rFonts w:ascii="Times New Roman" w:hAnsi="Times New Roman"/>
                <w:color w:val="000000"/>
                <w:sz w:val="24"/>
                <w:szCs w:val="24"/>
                <w:lang w:val="uk-UA"/>
              </w:rPr>
            </w:pPr>
            <w:r w:rsidRPr="00470433">
              <w:rPr>
                <w:rFonts w:ascii="Times New Roman" w:hAnsi="Times New Roman"/>
                <w:color w:val="000000"/>
                <w:sz w:val="24"/>
                <w:szCs w:val="24"/>
                <w:lang w:val="uk-UA"/>
              </w:rPr>
              <w:t>Забезпеченість новонароджених хірургічною корекцією</w:t>
            </w:r>
          </w:p>
        </w:tc>
        <w:tc>
          <w:tcPr>
            <w:tcW w:w="3257" w:type="dxa"/>
            <w:tcBorders>
              <w:top w:val="single" w:sz="4" w:space="0" w:color="auto"/>
              <w:left w:val="single" w:sz="4" w:space="0" w:color="auto"/>
              <w:bottom w:val="single" w:sz="4" w:space="0" w:color="auto"/>
              <w:right w:val="single" w:sz="4" w:space="0" w:color="auto"/>
            </w:tcBorders>
          </w:tcPr>
          <w:p w:rsidR="00F12FC0" w:rsidRPr="00A2513D" w:rsidRDefault="00F12FC0" w:rsidP="00F12FC0">
            <w:pPr>
              <w:widowControl w:val="0"/>
              <w:spacing w:line="276" w:lineRule="auto"/>
              <w:rPr>
                <w:rFonts w:ascii="Times New Roman" w:hAnsi="Times New Roman"/>
                <w:iCs/>
                <w:color w:val="000000"/>
                <w:kern w:val="28"/>
                <w:sz w:val="24"/>
                <w:szCs w:val="24"/>
                <w:lang w:val="uk-UA"/>
              </w:rPr>
            </w:pPr>
            <w:r w:rsidRPr="00470433">
              <w:rPr>
                <w:rFonts w:ascii="Times New Roman" w:hAnsi="Times New Roman"/>
                <w:iCs/>
                <w:color w:val="000000"/>
                <w:kern w:val="28"/>
                <w:sz w:val="24"/>
                <w:szCs w:val="24"/>
                <w:lang w:val="uk-UA"/>
              </w:rPr>
              <w:t>Кількість новонароджених з надзвичайно малою масою тіла, некротичним ентероколітом ІІІ Б (перфорація полого органу, перитоніт), яким здійснена хірург</w:t>
            </w:r>
            <w:r w:rsidR="00EA0706">
              <w:rPr>
                <w:rFonts w:ascii="Times New Roman" w:hAnsi="Times New Roman"/>
                <w:iCs/>
                <w:color w:val="000000"/>
                <w:kern w:val="28"/>
                <w:sz w:val="24"/>
                <w:szCs w:val="24"/>
                <w:lang w:val="uk-UA"/>
              </w:rPr>
              <w:t>ічна корекція в умовах закладу ×</w:t>
            </w:r>
            <w:r w:rsidR="00407D8E" w:rsidRPr="00407D8E">
              <w:rPr>
                <w:rFonts w:ascii="Times New Roman" w:hAnsi="Times New Roman"/>
                <w:iCs/>
                <w:color w:val="000000"/>
                <w:kern w:val="28"/>
                <w:sz w:val="24"/>
                <w:szCs w:val="24"/>
                <w:lang w:val="uk-UA"/>
              </w:rPr>
              <w:t xml:space="preserve"> </w:t>
            </w:r>
            <w:r w:rsidRPr="00470433">
              <w:rPr>
                <w:rFonts w:ascii="Times New Roman" w:hAnsi="Times New Roman"/>
                <w:iCs/>
                <w:color w:val="000000"/>
                <w:kern w:val="28"/>
                <w:sz w:val="24"/>
                <w:szCs w:val="24"/>
                <w:lang w:val="uk-UA"/>
              </w:rPr>
              <w:t>100</w:t>
            </w:r>
            <w:r w:rsidR="00407D8E" w:rsidRPr="00407D8E">
              <w:rPr>
                <w:rFonts w:ascii="Times New Roman" w:hAnsi="Times New Roman"/>
                <w:iCs/>
                <w:color w:val="000000"/>
                <w:kern w:val="28"/>
                <w:sz w:val="24"/>
                <w:szCs w:val="24"/>
                <w:lang w:val="uk-UA"/>
              </w:rPr>
              <w:t xml:space="preserve"> </w:t>
            </w:r>
            <w:r w:rsidRPr="00470433">
              <w:rPr>
                <w:rFonts w:ascii="Times New Roman" w:hAnsi="Times New Roman"/>
                <w:iCs/>
                <w:color w:val="000000"/>
                <w:kern w:val="28"/>
                <w:sz w:val="24"/>
                <w:szCs w:val="24"/>
                <w:lang w:val="uk-UA"/>
              </w:rPr>
              <w:t>/</w:t>
            </w:r>
            <w:r w:rsidR="00407D8E" w:rsidRPr="00407D8E">
              <w:rPr>
                <w:rFonts w:ascii="Times New Roman" w:hAnsi="Times New Roman"/>
                <w:iCs/>
                <w:color w:val="000000"/>
                <w:kern w:val="28"/>
                <w:sz w:val="24"/>
                <w:szCs w:val="24"/>
                <w:lang w:val="uk-UA"/>
              </w:rPr>
              <w:t xml:space="preserve"> </w:t>
            </w:r>
            <w:r w:rsidRPr="00470433">
              <w:rPr>
                <w:rFonts w:ascii="Times New Roman" w:hAnsi="Times New Roman"/>
                <w:iCs/>
                <w:color w:val="000000"/>
                <w:kern w:val="28"/>
                <w:sz w:val="24"/>
                <w:szCs w:val="24"/>
                <w:lang w:val="uk-UA"/>
              </w:rPr>
              <w:t>загальна кількість новонароджених, з надзвичайно малою масою тіла, некротичним ентероколітом ІІІ Б</w:t>
            </w:r>
            <w:r w:rsidR="001E1DF5" w:rsidRPr="001E1DF5">
              <w:rPr>
                <w:rFonts w:ascii="Times New Roman" w:hAnsi="Times New Roman"/>
                <w:iCs/>
                <w:color w:val="000000"/>
                <w:kern w:val="28"/>
                <w:sz w:val="24"/>
                <w:szCs w:val="24"/>
                <w:lang w:val="uk-UA"/>
              </w:rPr>
              <w:t xml:space="preserve"> </w:t>
            </w:r>
            <w:r w:rsidRPr="00470433">
              <w:rPr>
                <w:rFonts w:ascii="Times New Roman" w:hAnsi="Times New Roman"/>
                <w:iCs/>
                <w:color w:val="000000"/>
                <w:kern w:val="28"/>
                <w:sz w:val="24"/>
                <w:szCs w:val="24"/>
                <w:lang w:val="uk-UA"/>
              </w:rPr>
              <w:t>(перфорація полого органу, перитоніт</w:t>
            </w:r>
          </w:p>
          <w:p w:rsidR="00EA311E" w:rsidRPr="00A2513D" w:rsidRDefault="00EA311E" w:rsidP="00F12FC0">
            <w:pPr>
              <w:widowControl w:val="0"/>
              <w:spacing w:line="276" w:lineRule="auto"/>
              <w:rPr>
                <w:rFonts w:ascii="Times New Roman" w:hAnsi="Times New Roman"/>
                <w:iCs/>
                <w:color w:val="000000"/>
                <w:kern w:val="28"/>
                <w:sz w:val="24"/>
                <w:szCs w:val="24"/>
                <w:lang w:val="uk-UA"/>
              </w:rPr>
            </w:pPr>
          </w:p>
        </w:tc>
        <w:tc>
          <w:tcPr>
            <w:tcW w:w="995" w:type="dxa"/>
            <w:tcBorders>
              <w:top w:val="single" w:sz="4" w:space="0" w:color="auto"/>
              <w:left w:val="single" w:sz="4" w:space="0" w:color="auto"/>
              <w:bottom w:val="single" w:sz="4" w:space="0" w:color="auto"/>
              <w:right w:val="single" w:sz="4" w:space="0" w:color="auto"/>
            </w:tcBorders>
          </w:tcPr>
          <w:p w:rsidR="00F12FC0" w:rsidRPr="00470433" w:rsidRDefault="00F12FC0" w:rsidP="00F12FC0">
            <w:pPr>
              <w:widowControl w:val="0"/>
              <w:spacing w:line="276" w:lineRule="auto"/>
              <w:jc w:val="center"/>
              <w:rPr>
                <w:rFonts w:ascii="Times New Roman" w:hAnsi="Times New Roman"/>
                <w:color w:val="000000"/>
                <w:sz w:val="24"/>
                <w:szCs w:val="24"/>
                <w:lang w:val="uk-UA"/>
              </w:rPr>
            </w:pPr>
            <w:r w:rsidRPr="00470433">
              <w:rPr>
                <w:rFonts w:ascii="Times New Roman" w:hAnsi="Times New Roman"/>
                <w:color w:val="000000"/>
                <w:sz w:val="24"/>
                <w:szCs w:val="24"/>
                <w:lang w:val="uk-UA"/>
              </w:rPr>
              <w:t>90</w:t>
            </w:r>
          </w:p>
        </w:tc>
        <w:tc>
          <w:tcPr>
            <w:tcW w:w="712" w:type="dxa"/>
            <w:tcBorders>
              <w:top w:val="single" w:sz="4" w:space="0" w:color="auto"/>
              <w:left w:val="single" w:sz="4" w:space="0" w:color="auto"/>
              <w:bottom w:val="single" w:sz="4" w:space="0" w:color="auto"/>
              <w:right w:val="single" w:sz="4" w:space="0" w:color="auto"/>
            </w:tcBorders>
          </w:tcPr>
          <w:p w:rsidR="00F12FC0" w:rsidRPr="00470433" w:rsidRDefault="00F12FC0" w:rsidP="00F12FC0">
            <w:pPr>
              <w:widowControl w:val="0"/>
              <w:spacing w:line="276" w:lineRule="auto"/>
              <w:jc w:val="center"/>
              <w:outlineLvl w:val="1"/>
              <w:rPr>
                <w:rFonts w:ascii="Times New Roman" w:hAnsi="Times New Roman"/>
                <w:sz w:val="24"/>
                <w:szCs w:val="24"/>
                <w:lang w:val="uk-UA"/>
              </w:rPr>
            </w:pPr>
            <w:r w:rsidRPr="00470433">
              <w:rPr>
                <w:rFonts w:ascii="Times New Roman" w:hAnsi="Times New Roman"/>
                <w:sz w:val="24"/>
                <w:szCs w:val="24"/>
                <w:lang w:val="uk-UA"/>
              </w:rPr>
              <w:t>5</w:t>
            </w:r>
          </w:p>
        </w:tc>
        <w:tc>
          <w:tcPr>
            <w:tcW w:w="853" w:type="dxa"/>
            <w:tcBorders>
              <w:top w:val="single" w:sz="4" w:space="0" w:color="auto"/>
              <w:left w:val="single" w:sz="4" w:space="0" w:color="auto"/>
              <w:bottom w:val="single" w:sz="4" w:space="0" w:color="auto"/>
              <w:right w:val="single" w:sz="4" w:space="0" w:color="auto"/>
            </w:tcBorders>
          </w:tcPr>
          <w:p w:rsidR="00F12FC0" w:rsidRPr="00470433" w:rsidRDefault="00F12FC0" w:rsidP="00F12FC0">
            <w:pPr>
              <w:widowControl w:val="0"/>
              <w:spacing w:line="276" w:lineRule="auto"/>
              <w:jc w:val="center"/>
              <w:rPr>
                <w:rFonts w:ascii="Times New Roman" w:hAnsi="Times New Roman"/>
                <w:color w:val="000000"/>
                <w:sz w:val="24"/>
                <w:szCs w:val="24"/>
                <w:lang w:val="uk-UA"/>
              </w:rPr>
            </w:pPr>
            <w:r w:rsidRPr="00470433">
              <w:rPr>
                <w:rFonts w:ascii="Times New Roman" w:hAnsi="Times New Roman"/>
                <w:color w:val="000000"/>
                <w:sz w:val="24"/>
                <w:szCs w:val="24"/>
                <w:lang w:val="uk-UA"/>
              </w:rPr>
              <w:t>0,06</w:t>
            </w:r>
          </w:p>
        </w:tc>
        <w:tc>
          <w:tcPr>
            <w:tcW w:w="454" w:type="dxa"/>
            <w:tcBorders>
              <w:top w:val="single" w:sz="4" w:space="0" w:color="auto"/>
              <w:left w:val="single" w:sz="4" w:space="0" w:color="auto"/>
              <w:bottom w:val="single" w:sz="4" w:space="0" w:color="auto"/>
              <w:right w:val="single" w:sz="4" w:space="0" w:color="auto"/>
            </w:tcBorders>
          </w:tcPr>
          <w:p w:rsidR="00F12FC0" w:rsidRPr="00470433" w:rsidRDefault="00F12FC0" w:rsidP="00F12FC0">
            <w:pPr>
              <w:widowControl w:val="0"/>
              <w:spacing w:line="276" w:lineRule="auto"/>
              <w:jc w:val="center"/>
              <w:rPr>
                <w:rFonts w:ascii="Times New Roman" w:hAnsi="Times New Roman"/>
                <w:color w:val="000000"/>
                <w:sz w:val="24"/>
                <w:szCs w:val="24"/>
                <w:lang w:val="uk-UA"/>
              </w:rPr>
            </w:pPr>
            <w:r w:rsidRPr="00470433">
              <w:rPr>
                <w:rFonts w:ascii="Times New Roman" w:hAnsi="Times New Roman"/>
                <w:color w:val="000000"/>
                <w:sz w:val="24"/>
                <w:szCs w:val="24"/>
                <w:lang w:val="uk-UA"/>
              </w:rPr>
              <w:t>-</w:t>
            </w:r>
          </w:p>
        </w:tc>
        <w:tc>
          <w:tcPr>
            <w:tcW w:w="403" w:type="dxa"/>
            <w:tcBorders>
              <w:top w:val="single" w:sz="4" w:space="0" w:color="auto"/>
              <w:left w:val="single" w:sz="4" w:space="0" w:color="auto"/>
              <w:bottom w:val="single" w:sz="4" w:space="0" w:color="auto"/>
              <w:right w:val="single" w:sz="4" w:space="0" w:color="auto"/>
            </w:tcBorders>
          </w:tcPr>
          <w:p w:rsidR="00F12FC0" w:rsidRPr="00470433" w:rsidRDefault="00F12FC0" w:rsidP="00F12FC0">
            <w:pPr>
              <w:widowControl w:val="0"/>
              <w:spacing w:line="276" w:lineRule="auto"/>
              <w:jc w:val="center"/>
              <w:rPr>
                <w:rFonts w:ascii="Times New Roman" w:hAnsi="Times New Roman"/>
                <w:color w:val="000000"/>
                <w:sz w:val="24"/>
                <w:szCs w:val="24"/>
                <w:lang w:val="uk-UA"/>
              </w:rPr>
            </w:pPr>
          </w:p>
        </w:tc>
        <w:tc>
          <w:tcPr>
            <w:tcW w:w="850" w:type="dxa"/>
            <w:tcBorders>
              <w:top w:val="single" w:sz="4" w:space="0" w:color="auto"/>
              <w:left w:val="single" w:sz="4" w:space="0" w:color="auto"/>
              <w:bottom w:val="single" w:sz="4" w:space="0" w:color="auto"/>
              <w:right w:val="single" w:sz="4" w:space="0" w:color="auto"/>
            </w:tcBorders>
          </w:tcPr>
          <w:p w:rsidR="00F12FC0" w:rsidRPr="00470433" w:rsidRDefault="00F12FC0" w:rsidP="00F12FC0">
            <w:pPr>
              <w:widowControl w:val="0"/>
              <w:spacing w:line="276" w:lineRule="auto"/>
              <w:jc w:val="right"/>
              <w:rPr>
                <w:rFonts w:ascii="Times New Roman" w:hAnsi="Times New Roman"/>
                <w:color w:val="000000"/>
                <w:sz w:val="24"/>
                <w:szCs w:val="24"/>
                <w:lang w:val="uk-UA"/>
              </w:rPr>
            </w:pPr>
          </w:p>
        </w:tc>
        <w:tc>
          <w:tcPr>
            <w:tcW w:w="534" w:type="dxa"/>
            <w:tcBorders>
              <w:top w:val="single" w:sz="4" w:space="0" w:color="auto"/>
              <w:left w:val="single" w:sz="4" w:space="0" w:color="auto"/>
              <w:bottom w:val="single" w:sz="4" w:space="0" w:color="auto"/>
              <w:right w:val="single" w:sz="4" w:space="0" w:color="auto"/>
            </w:tcBorders>
          </w:tcPr>
          <w:p w:rsidR="00F12FC0" w:rsidRPr="00470433" w:rsidRDefault="00F12FC0" w:rsidP="00F12FC0">
            <w:pPr>
              <w:widowControl w:val="0"/>
              <w:spacing w:line="276" w:lineRule="auto"/>
              <w:jc w:val="right"/>
              <w:rPr>
                <w:rFonts w:ascii="Times New Roman" w:hAnsi="Times New Roman"/>
                <w:color w:val="000000"/>
                <w:sz w:val="24"/>
                <w:szCs w:val="24"/>
                <w:lang w:val="uk-UA"/>
              </w:rPr>
            </w:pPr>
          </w:p>
        </w:tc>
      </w:tr>
    </w:tbl>
    <w:p w:rsidR="00B10A22" w:rsidRDefault="00B10A22" w:rsidP="00061998">
      <w:pPr>
        <w:jc w:val="right"/>
        <w:rPr>
          <w:i/>
          <w:lang w:val="ru-RU"/>
        </w:rPr>
      </w:pPr>
    </w:p>
    <w:p w:rsidR="00061998" w:rsidRPr="00061998" w:rsidRDefault="00061998" w:rsidP="00F159BE">
      <w:pPr>
        <w:pageBreakBefore/>
        <w:jc w:val="right"/>
        <w:rPr>
          <w:i/>
          <w:lang w:val="ru-RU"/>
        </w:rPr>
      </w:pPr>
      <w:r w:rsidRPr="00061998">
        <w:rPr>
          <w:i/>
          <w:lang w:val="ru-RU"/>
        </w:rPr>
        <w:lastRenderedPageBreak/>
        <w:t>Продовження табл. 7.5</w:t>
      </w:r>
    </w:p>
    <w:tbl>
      <w:tblPr>
        <w:tblStyle w:val="a6"/>
        <w:tblW w:w="10425" w:type="dxa"/>
        <w:jc w:val="center"/>
        <w:tblInd w:w="-5" w:type="dxa"/>
        <w:tblLayout w:type="fixed"/>
        <w:tblLook w:val="01E0" w:firstRow="1" w:lastRow="1" w:firstColumn="1" w:lastColumn="1" w:noHBand="0" w:noVBand="0"/>
      </w:tblPr>
      <w:tblGrid>
        <w:gridCol w:w="2367"/>
        <w:gridCol w:w="3257"/>
        <w:gridCol w:w="995"/>
        <w:gridCol w:w="712"/>
        <w:gridCol w:w="853"/>
        <w:gridCol w:w="454"/>
        <w:gridCol w:w="403"/>
        <w:gridCol w:w="850"/>
        <w:gridCol w:w="534"/>
      </w:tblGrid>
      <w:tr w:rsidR="009F0BE9" w:rsidRPr="00470433" w:rsidTr="003C353C">
        <w:trPr>
          <w:trHeight w:val="81"/>
          <w:jc w:val="center"/>
        </w:trPr>
        <w:tc>
          <w:tcPr>
            <w:tcW w:w="2367" w:type="dxa"/>
            <w:tcBorders>
              <w:top w:val="single" w:sz="4" w:space="0" w:color="auto"/>
              <w:left w:val="single" w:sz="4" w:space="0" w:color="auto"/>
              <w:bottom w:val="single" w:sz="4" w:space="0" w:color="auto"/>
              <w:right w:val="single" w:sz="4" w:space="0" w:color="auto"/>
            </w:tcBorders>
          </w:tcPr>
          <w:p w:rsidR="009F0BE9" w:rsidRPr="00470433" w:rsidRDefault="009F0BE9" w:rsidP="000B2804">
            <w:pPr>
              <w:widowControl w:val="0"/>
              <w:spacing w:line="276" w:lineRule="auto"/>
              <w:rPr>
                <w:rFonts w:ascii="Times New Roman" w:hAnsi="Times New Roman"/>
                <w:color w:val="000000"/>
                <w:sz w:val="24"/>
                <w:szCs w:val="24"/>
                <w:lang w:val="uk-UA"/>
              </w:rPr>
            </w:pPr>
            <w:r w:rsidRPr="00470433">
              <w:rPr>
                <w:rFonts w:ascii="Times New Roman" w:hAnsi="Times New Roman"/>
                <w:color w:val="000000"/>
                <w:sz w:val="24"/>
                <w:szCs w:val="24"/>
                <w:lang w:val="uk-UA"/>
              </w:rPr>
              <w:t>Виживання новонароджених з малою масою тіла при народженні 500-1499</w:t>
            </w:r>
            <w:r w:rsidR="00387D58">
              <w:rPr>
                <w:rFonts w:ascii="Times New Roman" w:hAnsi="Times New Roman"/>
                <w:color w:val="000000"/>
                <w:sz w:val="24"/>
                <w:szCs w:val="24"/>
                <w:lang w:val="uk-UA"/>
              </w:rPr>
              <w:t xml:space="preserve"> </w:t>
            </w:r>
            <w:r w:rsidRPr="00470433">
              <w:rPr>
                <w:rFonts w:ascii="Times New Roman" w:hAnsi="Times New Roman"/>
                <w:color w:val="000000"/>
                <w:sz w:val="24"/>
                <w:szCs w:val="24"/>
                <w:lang w:val="uk-UA"/>
              </w:rPr>
              <w:t>г</w:t>
            </w:r>
          </w:p>
        </w:tc>
        <w:tc>
          <w:tcPr>
            <w:tcW w:w="3257" w:type="dxa"/>
            <w:tcBorders>
              <w:top w:val="single" w:sz="4" w:space="0" w:color="auto"/>
              <w:left w:val="single" w:sz="4" w:space="0" w:color="auto"/>
              <w:bottom w:val="single" w:sz="4" w:space="0" w:color="auto"/>
              <w:right w:val="single" w:sz="4" w:space="0" w:color="auto"/>
            </w:tcBorders>
          </w:tcPr>
          <w:p w:rsidR="009F0BE9" w:rsidRPr="00470433" w:rsidRDefault="009F0BE9" w:rsidP="000B2804">
            <w:pPr>
              <w:widowControl w:val="0"/>
              <w:spacing w:line="276" w:lineRule="auto"/>
              <w:rPr>
                <w:rFonts w:ascii="Times New Roman" w:hAnsi="Times New Roman"/>
                <w:color w:val="000000"/>
                <w:sz w:val="24"/>
                <w:szCs w:val="24"/>
                <w:lang w:val="uk-UA"/>
              </w:rPr>
            </w:pPr>
            <w:r w:rsidRPr="00470433">
              <w:rPr>
                <w:rFonts w:ascii="Times New Roman" w:hAnsi="Times New Roman"/>
                <w:color w:val="000000"/>
                <w:sz w:val="24"/>
                <w:szCs w:val="24"/>
                <w:lang w:val="uk-UA"/>
              </w:rPr>
              <w:t>Кількість новонароджених масою тіла при народженні 500-1499</w:t>
            </w:r>
            <w:r w:rsidR="00387D58">
              <w:rPr>
                <w:rFonts w:ascii="Times New Roman" w:hAnsi="Times New Roman"/>
                <w:color w:val="000000"/>
                <w:sz w:val="24"/>
                <w:szCs w:val="24"/>
                <w:lang w:val="uk-UA"/>
              </w:rPr>
              <w:t xml:space="preserve"> </w:t>
            </w:r>
            <w:r w:rsidRPr="00470433">
              <w:rPr>
                <w:rFonts w:ascii="Times New Roman" w:hAnsi="Times New Roman"/>
                <w:color w:val="000000"/>
                <w:sz w:val="24"/>
                <w:szCs w:val="24"/>
                <w:lang w:val="uk-UA"/>
              </w:rPr>
              <w:t>г, які вижили після 168</w:t>
            </w:r>
            <w:r w:rsidR="00387D58">
              <w:rPr>
                <w:rFonts w:ascii="Times New Roman" w:hAnsi="Times New Roman"/>
                <w:color w:val="000000"/>
                <w:sz w:val="24"/>
                <w:szCs w:val="24"/>
                <w:lang w:val="uk-UA"/>
              </w:rPr>
              <w:t xml:space="preserve"> </w:t>
            </w:r>
            <w:r w:rsidRPr="00470433">
              <w:rPr>
                <w:rFonts w:ascii="Times New Roman" w:hAnsi="Times New Roman"/>
                <w:color w:val="000000"/>
                <w:sz w:val="24"/>
                <w:szCs w:val="24"/>
                <w:lang w:val="uk-UA"/>
              </w:rPr>
              <w:t xml:space="preserve">годин життя </w:t>
            </w:r>
            <w:r w:rsidR="00EA0706">
              <w:rPr>
                <w:rFonts w:ascii="Times New Roman" w:hAnsi="Times New Roman"/>
                <w:iCs/>
                <w:color w:val="000000"/>
                <w:kern w:val="28"/>
                <w:sz w:val="24"/>
                <w:szCs w:val="24"/>
                <w:lang w:val="uk-UA"/>
              </w:rPr>
              <w:t>×</w:t>
            </w:r>
            <w:r w:rsidRPr="00470433">
              <w:rPr>
                <w:rFonts w:ascii="Times New Roman" w:hAnsi="Times New Roman"/>
                <w:iCs/>
                <w:color w:val="000000"/>
                <w:kern w:val="28"/>
                <w:sz w:val="24"/>
                <w:szCs w:val="24"/>
                <w:lang w:val="uk-UA"/>
              </w:rPr>
              <w:t xml:space="preserve"> 100 / </w:t>
            </w:r>
            <w:r w:rsidRPr="00470433">
              <w:rPr>
                <w:rFonts w:ascii="Times New Roman" w:hAnsi="Times New Roman"/>
                <w:color w:val="000000"/>
                <w:sz w:val="24"/>
                <w:szCs w:val="24"/>
                <w:lang w:val="uk-UA"/>
              </w:rPr>
              <w:t>кількість</w:t>
            </w:r>
            <w:r w:rsidRPr="00470433">
              <w:rPr>
                <w:rFonts w:ascii="Times New Roman" w:hAnsi="Times New Roman"/>
                <w:iCs/>
                <w:color w:val="000000"/>
                <w:kern w:val="28"/>
                <w:sz w:val="24"/>
                <w:szCs w:val="24"/>
                <w:lang w:val="uk-UA"/>
              </w:rPr>
              <w:t xml:space="preserve"> </w:t>
            </w:r>
            <w:r w:rsidRPr="00470433">
              <w:rPr>
                <w:rFonts w:ascii="Times New Roman" w:hAnsi="Times New Roman"/>
                <w:color w:val="000000"/>
                <w:sz w:val="24"/>
                <w:szCs w:val="24"/>
                <w:lang w:val="uk-UA"/>
              </w:rPr>
              <w:t xml:space="preserve">новонароджених масою тіла при народженні </w:t>
            </w:r>
          </w:p>
          <w:p w:rsidR="009F0BE9" w:rsidRPr="00470433" w:rsidRDefault="009F0BE9" w:rsidP="000B2804">
            <w:pPr>
              <w:widowControl w:val="0"/>
              <w:spacing w:line="276" w:lineRule="auto"/>
              <w:rPr>
                <w:rFonts w:ascii="Times New Roman" w:hAnsi="Times New Roman"/>
                <w:iCs/>
                <w:color w:val="000000"/>
                <w:kern w:val="28"/>
                <w:sz w:val="24"/>
                <w:szCs w:val="24"/>
                <w:lang w:val="uk-UA"/>
              </w:rPr>
            </w:pPr>
            <w:r w:rsidRPr="00470433">
              <w:rPr>
                <w:rFonts w:ascii="Times New Roman" w:hAnsi="Times New Roman"/>
                <w:color w:val="000000"/>
                <w:sz w:val="24"/>
                <w:szCs w:val="24"/>
                <w:lang w:val="uk-UA"/>
              </w:rPr>
              <w:t>500-1499</w:t>
            </w:r>
            <w:r w:rsidR="00387D58">
              <w:rPr>
                <w:rFonts w:ascii="Times New Roman" w:hAnsi="Times New Roman"/>
                <w:color w:val="000000"/>
                <w:sz w:val="24"/>
                <w:szCs w:val="24"/>
                <w:lang w:val="uk-UA"/>
              </w:rPr>
              <w:t xml:space="preserve"> </w:t>
            </w:r>
            <w:r w:rsidRPr="00470433">
              <w:rPr>
                <w:rFonts w:ascii="Times New Roman" w:hAnsi="Times New Roman"/>
                <w:color w:val="000000"/>
                <w:sz w:val="24"/>
                <w:szCs w:val="24"/>
                <w:lang w:val="uk-UA"/>
              </w:rPr>
              <w:t>г</w:t>
            </w:r>
          </w:p>
        </w:tc>
        <w:tc>
          <w:tcPr>
            <w:tcW w:w="995" w:type="dxa"/>
            <w:tcBorders>
              <w:top w:val="single" w:sz="4" w:space="0" w:color="auto"/>
              <w:left w:val="single" w:sz="4" w:space="0" w:color="auto"/>
              <w:bottom w:val="single" w:sz="4" w:space="0" w:color="auto"/>
              <w:right w:val="single" w:sz="4" w:space="0" w:color="auto"/>
            </w:tcBorders>
          </w:tcPr>
          <w:p w:rsidR="009F0BE9" w:rsidRPr="00470433" w:rsidRDefault="009F0BE9" w:rsidP="000B2804">
            <w:pPr>
              <w:widowControl w:val="0"/>
              <w:spacing w:line="276" w:lineRule="auto"/>
              <w:jc w:val="center"/>
              <w:rPr>
                <w:rFonts w:ascii="Times New Roman" w:hAnsi="Times New Roman"/>
                <w:color w:val="000000"/>
                <w:sz w:val="24"/>
                <w:szCs w:val="24"/>
                <w:lang w:val="uk-UA"/>
              </w:rPr>
            </w:pPr>
            <w:r w:rsidRPr="00470433">
              <w:rPr>
                <w:rFonts w:ascii="Times New Roman" w:hAnsi="Times New Roman"/>
                <w:color w:val="000000"/>
                <w:sz w:val="24"/>
                <w:szCs w:val="24"/>
                <w:lang w:val="uk-UA"/>
              </w:rPr>
              <w:t>85,0</w:t>
            </w:r>
          </w:p>
        </w:tc>
        <w:tc>
          <w:tcPr>
            <w:tcW w:w="712" w:type="dxa"/>
            <w:tcBorders>
              <w:top w:val="single" w:sz="4" w:space="0" w:color="auto"/>
              <w:left w:val="single" w:sz="4" w:space="0" w:color="auto"/>
              <w:bottom w:val="single" w:sz="4" w:space="0" w:color="auto"/>
              <w:right w:val="single" w:sz="4" w:space="0" w:color="auto"/>
            </w:tcBorders>
          </w:tcPr>
          <w:p w:rsidR="009F0BE9" w:rsidRPr="00470433" w:rsidRDefault="009F0BE9" w:rsidP="000B2804">
            <w:pPr>
              <w:widowControl w:val="0"/>
              <w:spacing w:line="276" w:lineRule="auto"/>
              <w:jc w:val="center"/>
              <w:rPr>
                <w:rFonts w:ascii="Times New Roman" w:hAnsi="Times New Roman"/>
                <w:color w:val="000000"/>
                <w:sz w:val="24"/>
                <w:szCs w:val="24"/>
                <w:lang w:val="uk-UA"/>
              </w:rPr>
            </w:pPr>
            <w:r w:rsidRPr="00470433">
              <w:rPr>
                <w:rFonts w:ascii="Times New Roman" w:hAnsi="Times New Roman"/>
                <w:color w:val="000000"/>
                <w:sz w:val="24"/>
                <w:szCs w:val="24"/>
                <w:lang w:val="uk-UA"/>
              </w:rPr>
              <w:t>6</w:t>
            </w:r>
          </w:p>
        </w:tc>
        <w:tc>
          <w:tcPr>
            <w:tcW w:w="853" w:type="dxa"/>
            <w:tcBorders>
              <w:top w:val="single" w:sz="4" w:space="0" w:color="auto"/>
              <w:left w:val="single" w:sz="4" w:space="0" w:color="auto"/>
              <w:bottom w:val="single" w:sz="4" w:space="0" w:color="auto"/>
              <w:right w:val="single" w:sz="4" w:space="0" w:color="auto"/>
            </w:tcBorders>
          </w:tcPr>
          <w:p w:rsidR="009F0BE9" w:rsidRPr="00470433" w:rsidRDefault="009F0BE9" w:rsidP="000B2804">
            <w:pPr>
              <w:widowControl w:val="0"/>
              <w:spacing w:line="276" w:lineRule="auto"/>
              <w:jc w:val="center"/>
              <w:rPr>
                <w:rFonts w:ascii="Times New Roman" w:hAnsi="Times New Roman"/>
                <w:color w:val="000000"/>
                <w:sz w:val="24"/>
                <w:szCs w:val="24"/>
                <w:lang w:val="uk-UA"/>
              </w:rPr>
            </w:pPr>
            <w:r w:rsidRPr="00470433">
              <w:rPr>
                <w:rFonts w:ascii="Times New Roman" w:hAnsi="Times New Roman"/>
                <w:color w:val="000000"/>
                <w:sz w:val="24"/>
                <w:szCs w:val="24"/>
                <w:lang w:val="uk-UA"/>
              </w:rPr>
              <w:t>0,07</w:t>
            </w:r>
          </w:p>
        </w:tc>
        <w:tc>
          <w:tcPr>
            <w:tcW w:w="454" w:type="dxa"/>
            <w:tcBorders>
              <w:top w:val="single" w:sz="4" w:space="0" w:color="auto"/>
              <w:left w:val="single" w:sz="4" w:space="0" w:color="auto"/>
              <w:bottom w:val="single" w:sz="4" w:space="0" w:color="auto"/>
              <w:right w:val="single" w:sz="4" w:space="0" w:color="auto"/>
            </w:tcBorders>
          </w:tcPr>
          <w:p w:rsidR="009F0BE9" w:rsidRPr="00470433" w:rsidRDefault="009F0BE9" w:rsidP="000B2804">
            <w:pPr>
              <w:widowControl w:val="0"/>
              <w:spacing w:line="276" w:lineRule="auto"/>
              <w:jc w:val="center"/>
              <w:rPr>
                <w:rFonts w:ascii="Times New Roman" w:hAnsi="Times New Roman"/>
                <w:color w:val="000000"/>
                <w:sz w:val="24"/>
                <w:szCs w:val="24"/>
                <w:lang w:val="uk-UA"/>
              </w:rPr>
            </w:pPr>
            <w:r w:rsidRPr="00470433">
              <w:rPr>
                <w:rFonts w:ascii="Times New Roman" w:hAnsi="Times New Roman"/>
                <w:color w:val="000000"/>
                <w:sz w:val="24"/>
                <w:szCs w:val="24"/>
                <w:lang w:val="uk-UA"/>
              </w:rPr>
              <w:t>-</w:t>
            </w:r>
          </w:p>
        </w:tc>
        <w:tc>
          <w:tcPr>
            <w:tcW w:w="403" w:type="dxa"/>
            <w:tcBorders>
              <w:top w:val="single" w:sz="4" w:space="0" w:color="auto"/>
              <w:left w:val="single" w:sz="4" w:space="0" w:color="auto"/>
              <w:bottom w:val="single" w:sz="4" w:space="0" w:color="auto"/>
              <w:right w:val="single" w:sz="4" w:space="0" w:color="auto"/>
            </w:tcBorders>
          </w:tcPr>
          <w:p w:rsidR="009F0BE9" w:rsidRPr="00470433" w:rsidRDefault="009F0BE9" w:rsidP="000B2804">
            <w:pPr>
              <w:widowControl w:val="0"/>
              <w:spacing w:line="276" w:lineRule="auto"/>
              <w:jc w:val="center"/>
              <w:rPr>
                <w:rFonts w:ascii="Times New Roman" w:hAnsi="Times New Roman"/>
                <w:color w:val="000000"/>
                <w:sz w:val="24"/>
                <w:szCs w:val="24"/>
                <w:lang w:val="uk-UA"/>
              </w:rPr>
            </w:pPr>
          </w:p>
        </w:tc>
        <w:tc>
          <w:tcPr>
            <w:tcW w:w="850" w:type="dxa"/>
            <w:tcBorders>
              <w:top w:val="single" w:sz="4" w:space="0" w:color="auto"/>
              <w:left w:val="single" w:sz="4" w:space="0" w:color="auto"/>
              <w:bottom w:val="single" w:sz="4" w:space="0" w:color="auto"/>
              <w:right w:val="single" w:sz="4" w:space="0" w:color="auto"/>
            </w:tcBorders>
          </w:tcPr>
          <w:p w:rsidR="009F0BE9" w:rsidRPr="00470433" w:rsidRDefault="009F0BE9" w:rsidP="000B2804">
            <w:pPr>
              <w:widowControl w:val="0"/>
              <w:spacing w:line="276" w:lineRule="auto"/>
              <w:jc w:val="right"/>
              <w:rPr>
                <w:rFonts w:ascii="Times New Roman" w:hAnsi="Times New Roman"/>
                <w:color w:val="000000"/>
                <w:sz w:val="24"/>
                <w:szCs w:val="24"/>
                <w:lang w:val="uk-UA"/>
              </w:rPr>
            </w:pPr>
          </w:p>
        </w:tc>
        <w:tc>
          <w:tcPr>
            <w:tcW w:w="534" w:type="dxa"/>
            <w:tcBorders>
              <w:top w:val="single" w:sz="4" w:space="0" w:color="auto"/>
              <w:left w:val="single" w:sz="4" w:space="0" w:color="auto"/>
              <w:bottom w:val="single" w:sz="4" w:space="0" w:color="auto"/>
              <w:right w:val="single" w:sz="4" w:space="0" w:color="auto"/>
            </w:tcBorders>
          </w:tcPr>
          <w:p w:rsidR="009F0BE9" w:rsidRPr="00470433" w:rsidRDefault="009F0BE9" w:rsidP="000B2804">
            <w:pPr>
              <w:widowControl w:val="0"/>
              <w:spacing w:line="276" w:lineRule="auto"/>
              <w:jc w:val="right"/>
              <w:rPr>
                <w:rFonts w:ascii="Times New Roman" w:hAnsi="Times New Roman"/>
                <w:color w:val="000000"/>
                <w:sz w:val="24"/>
                <w:szCs w:val="24"/>
                <w:lang w:val="uk-UA"/>
              </w:rPr>
            </w:pPr>
          </w:p>
        </w:tc>
      </w:tr>
      <w:tr w:rsidR="009F0BE9" w:rsidRPr="00470433" w:rsidTr="003C353C">
        <w:trPr>
          <w:trHeight w:val="81"/>
          <w:jc w:val="center"/>
        </w:trPr>
        <w:tc>
          <w:tcPr>
            <w:tcW w:w="2367" w:type="dxa"/>
            <w:tcBorders>
              <w:top w:val="single" w:sz="4" w:space="0" w:color="auto"/>
              <w:left w:val="single" w:sz="4" w:space="0" w:color="auto"/>
              <w:bottom w:val="single" w:sz="4" w:space="0" w:color="auto"/>
              <w:right w:val="single" w:sz="4" w:space="0" w:color="auto"/>
            </w:tcBorders>
          </w:tcPr>
          <w:p w:rsidR="009F0BE9" w:rsidRPr="00470433" w:rsidRDefault="009F0BE9" w:rsidP="000B2804">
            <w:pPr>
              <w:widowControl w:val="0"/>
              <w:spacing w:line="276" w:lineRule="auto"/>
              <w:rPr>
                <w:rFonts w:ascii="Times New Roman" w:hAnsi="Times New Roman"/>
                <w:color w:val="000000"/>
                <w:sz w:val="24"/>
                <w:szCs w:val="24"/>
                <w:lang w:val="uk-UA"/>
              </w:rPr>
            </w:pPr>
            <w:r w:rsidRPr="00470433">
              <w:rPr>
                <w:rFonts w:ascii="Times New Roman" w:hAnsi="Times New Roman"/>
                <w:color w:val="000000"/>
                <w:sz w:val="24"/>
                <w:szCs w:val="24"/>
                <w:lang w:val="uk-UA"/>
              </w:rPr>
              <w:t>Рівень перинатальної смертності</w:t>
            </w:r>
          </w:p>
        </w:tc>
        <w:tc>
          <w:tcPr>
            <w:tcW w:w="3257" w:type="dxa"/>
            <w:tcBorders>
              <w:top w:val="single" w:sz="4" w:space="0" w:color="auto"/>
              <w:left w:val="single" w:sz="4" w:space="0" w:color="auto"/>
              <w:bottom w:val="single" w:sz="4" w:space="0" w:color="auto"/>
              <w:right w:val="single" w:sz="4" w:space="0" w:color="auto"/>
            </w:tcBorders>
          </w:tcPr>
          <w:p w:rsidR="009F0BE9" w:rsidRPr="00470433" w:rsidRDefault="009F0BE9" w:rsidP="000B2804">
            <w:pPr>
              <w:widowControl w:val="0"/>
              <w:spacing w:line="276" w:lineRule="auto"/>
              <w:rPr>
                <w:rFonts w:ascii="Times New Roman" w:hAnsi="Times New Roman"/>
                <w:color w:val="000000"/>
                <w:sz w:val="24"/>
                <w:szCs w:val="24"/>
                <w:lang w:val="uk-UA"/>
              </w:rPr>
            </w:pPr>
            <w:r w:rsidRPr="00470433">
              <w:rPr>
                <w:rFonts w:ascii="Times New Roman" w:hAnsi="Times New Roman"/>
                <w:color w:val="000000"/>
                <w:sz w:val="24"/>
                <w:szCs w:val="24"/>
                <w:lang w:val="uk-UA"/>
              </w:rPr>
              <w:t xml:space="preserve">Кількість народжених мертвими і </w:t>
            </w:r>
            <w:r w:rsidR="00EA0706">
              <w:rPr>
                <w:rFonts w:ascii="Times New Roman" w:hAnsi="Times New Roman"/>
                <w:color w:val="000000"/>
                <w:sz w:val="24"/>
                <w:szCs w:val="24"/>
                <w:lang w:val="uk-UA"/>
              </w:rPr>
              <w:t xml:space="preserve">померлих у перші 168 год. </w:t>
            </w:r>
            <w:r w:rsidR="00EA0706" w:rsidRPr="00EA0706">
              <w:rPr>
                <w:rFonts w:ascii="Times New Roman" w:hAnsi="Times New Roman"/>
                <w:color w:val="000000"/>
                <w:sz w:val="24"/>
                <w:szCs w:val="24"/>
                <w:lang w:val="uk-UA"/>
              </w:rPr>
              <w:t>ж</w:t>
            </w:r>
            <w:r w:rsidR="00EA0706">
              <w:rPr>
                <w:rFonts w:ascii="Times New Roman" w:hAnsi="Times New Roman"/>
                <w:color w:val="000000"/>
                <w:sz w:val="24"/>
                <w:szCs w:val="24"/>
                <w:lang w:val="uk-UA"/>
              </w:rPr>
              <w:t>иття</w:t>
            </w:r>
            <w:r w:rsidR="00EA0706" w:rsidRPr="00EA0706">
              <w:rPr>
                <w:rFonts w:ascii="Times New Roman" w:hAnsi="Times New Roman"/>
                <w:color w:val="000000"/>
                <w:sz w:val="24"/>
                <w:szCs w:val="24"/>
                <w:lang w:val="uk-UA"/>
              </w:rPr>
              <w:t xml:space="preserve"> ×</w:t>
            </w:r>
            <w:r w:rsidRPr="00470433">
              <w:rPr>
                <w:rFonts w:ascii="Times New Roman" w:hAnsi="Times New Roman"/>
                <w:color w:val="000000"/>
                <w:sz w:val="24"/>
                <w:szCs w:val="24"/>
                <w:lang w:val="uk-UA"/>
              </w:rPr>
              <w:t>1000</w:t>
            </w:r>
            <w:r w:rsidR="001E1DF5">
              <w:rPr>
                <w:rFonts w:ascii="Times New Roman" w:hAnsi="Times New Roman"/>
                <w:color w:val="000000"/>
                <w:sz w:val="24"/>
                <w:szCs w:val="24"/>
              </w:rPr>
              <w:t xml:space="preserve"> </w:t>
            </w:r>
            <w:r w:rsidRPr="00470433">
              <w:rPr>
                <w:rFonts w:ascii="Times New Roman" w:hAnsi="Times New Roman"/>
                <w:color w:val="000000"/>
                <w:sz w:val="24"/>
                <w:szCs w:val="24"/>
                <w:lang w:val="uk-UA"/>
              </w:rPr>
              <w:t>/кількість народжених мертвими і живими</w:t>
            </w:r>
          </w:p>
        </w:tc>
        <w:tc>
          <w:tcPr>
            <w:tcW w:w="995" w:type="dxa"/>
            <w:tcBorders>
              <w:top w:val="single" w:sz="4" w:space="0" w:color="auto"/>
              <w:left w:val="single" w:sz="4" w:space="0" w:color="auto"/>
              <w:bottom w:val="single" w:sz="4" w:space="0" w:color="auto"/>
              <w:right w:val="single" w:sz="4" w:space="0" w:color="auto"/>
            </w:tcBorders>
          </w:tcPr>
          <w:p w:rsidR="009F0BE9" w:rsidRPr="00470433" w:rsidRDefault="009F0BE9" w:rsidP="000B2804">
            <w:pPr>
              <w:widowControl w:val="0"/>
              <w:spacing w:line="276" w:lineRule="auto"/>
              <w:jc w:val="center"/>
              <w:rPr>
                <w:rFonts w:ascii="Times New Roman" w:hAnsi="Times New Roman"/>
                <w:color w:val="000000"/>
                <w:sz w:val="24"/>
                <w:szCs w:val="24"/>
                <w:lang w:val="uk-UA"/>
              </w:rPr>
            </w:pPr>
            <w:r w:rsidRPr="00470433">
              <w:rPr>
                <w:rFonts w:ascii="Times New Roman" w:hAnsi="Times New Roman"/>
                <w:color w:val="000000"/>
                <w:sz w:val="24"/>
                <w:szCs w:val="24"/>
                <w:lang w:val="uk-UA"/>
              </w:rPr>
              <w:t>12,0</w:t>
            </w:r>
          </w:p>
        </w:tc>
        <w:tc>
          <w:tcPr>
            <w:tcW w:w="712" w:type="dxa"/>
            <w:tcBorders>
              <w:top w:val="single" w:sz="4" w:space="0" w:color="auto"/>
              <w:left w:val="single" w:sz="4" w:space="0" w:color="auto"/>
              <w:bottom w:val="single" w:sz="4" w:space="0" w:color="auto"/>
              <w:right w:val="single" w:sz="4" w:space="0" w:color="auto"/>
            </w:tcBorders>
          </w:tcPr>
          <w:p w:rsidR="009F0BE9" w:rsidRPr="00470433" w:rsidRDefault="009F0BE9" w:rsidP="000B2804">
            <w:pPr>
              <w:widowControl w:val="0"/>
              <w:spacing w:line="276" w:lineRule="auto"/>
              <w:jc w:val="center"/>
              <w:rPr>
                <w:rFonts w:ascii="Times New Roman" w:hAnsi="Times New Roman"/>
                <w:color w:val="000000"/>
                <w:sz w:val="24"/>
                <w:szCs w:val="24"/>
                <w:lang w:val="uk-UA"/>
              </w:rPr>
            </w:pPr>
            <w:r w:rsidRPr="00470433">
              <w:rPr>
                <w:rFonts w:ascii="Times New Roman" w:hAnsi="Times New Roman"/>
                <w:color w:val="000000"/>
                <w:sz w:val="24"/>
                <w:szCs w:val="24"/>
                <w:lang w:val="uk-UA"/>
              </w:rPr>
              <w:t>6</w:t>
            </w:r>
          </w:p>
        </w:tc>
        <w:tc>
          <w:tcPr>
            <w:tcW w:w="853" w:type="dxa"/>
            <w:tcBorders>
              <w:top w:val="single" w:sz="4" w:space="0" w:color="auto"/>
              <w:left w:val="single" w:sz="4" w:space="0" w:color="auto"/>
              <w:bottom w:val="single" w:sz="4" w:space="0" w:color="auto"/>
              <w:right w:val="single" w:sz="4" w:space="0" w:color="auto"/>
            </w:tcBorders>
          </w:tcPr>
          <w:p w:rsidR="009F0BE9" w:rsidRPr="00470433" w:rsidRDefault="009F0BE9" w:rsidP="000B2804">
            <w:pPr>
              <w:widowControl w:val="0"/>
              <w:spacing w:line="276" w:lineRule="auto"/>
              <w:jc w:val="center"/>
              <w:rPr>
                <w:rFonts w:ascii="Times New Roman" w:hAnsi="Times New Roman"/>
                <w:color w:val="000000"/>
                <w:sz w:val="24"/>
                <w:szCs w:val="24"/>
                <w:lang w:val="uk-UA"/>
              </w:rPr>
            </w:pPr>
            <w:r w:rsidRPr="00470433">
              <w:rPr>
                <w:rFonts w:ascii="Times New Roman" w:hAnsi="Times New Roman"/>
                <w:color w:val="000000"/>
                <w:sz w:val="24"/>
                <w:szCs w:val="24"/>
                <w:lang w:val="uk-UA"/>
              </w:rPr>
              <w:t>0,5</w:t>
            </w:r>
          </w:p>
        </w:tc>
        <w:tc>
          <w:tcPr>
            <w:tcW w:w="454" w:type="dxa"/>
            <w:tcBorders>
              <w:top w:val="single" w:sz="4" w:space="0" w:color="auto"/>
              <w:left w:val="single" w:sz="4" w:space="0" w:color="auto"/>
              <w:bottom w:val="single" w:sz="4" w:space="0" w:color="auto"/>
              <w:right w:val="single" w:sz="4" w:space="0" w:color="auto"/>
            </w:tcBorders>
          </w:tcPr>
          <w:p w:rsidR="009F0BE9" w:rsidRPr="00470433" w:rsidRDefault="009F0BE9" w:rsidP="000B2804">
            <w:pPr>
              <w:widowControl w:val="0"/>
              <w:spacing w:line="276" w:lineRule="auto"/>
              <w:jc w:val="center"/>
              <w:rPr>
                <w:rFonts w:ascii="Times New Roman" w:hAnsi="Times New Roman"/>
                <w:color w:val="000000"/>
                <w:sz w:val="24"/>
                <w:szCs w:val="24"/>
                <w:lang w:val="uk-UA"/>
              </w:rPr>
            </w:pPr>
            <w:r w:rsidRPr="00470433">
              <w:rPr>
                <w:rFonts w:ascii="Times New Roman" w:hAnsi="Times New Roman"/>
                <w:color w:val="000000"/>
                <w:sz w:val="24"/>
                <w:szCs w:val="24"/>
                <w:lang w:val="uk-UA"/>
              </w:rPr>
              <w:t>+</w:t>
            </w:r>
          </w:p>
        </w:tc>
        <w:tc>
          <w:tcPr>
            <w:tcW w:w="403" w:type="dxa"/>
            <w:tcBorders>
              <w:top w:val="single" w:sz="4" w:space="0" w:color="auto"/>
              <w:left w:val="single" w:sz="4" w:space="0" w:color="auto"/>
              <w:bottom w:val="single" w:sz="4" w:space="0" w:color="auto"/>
              <w:right w:val="single" w:sz="4" w:space="0" w:color="auto"/>
            </w:tcBorders>
          </w:tcPr>
          <w:p w:rsidR="009F0BE9" w:rsidRPr="00470433" w:rsidRDefault="009F0BE9" w:rsidP="000B2804">
            <w:pPr>
              <w:widowControl w:val="0"/>
              <w:spacing w:line="276" w:lineRule="auto"/>
              <w:jc w:val="center"/>
              <w:rPr>
                <w:rFonts w:ascii="Times New Roman" w:hAnsi="Times New Roman"/>
                <w:color w:val="000000"/>
                <w:sz w:val="24"/>
                <w:szCs w:val="24"/>
                <w:lang w:val="uk-UA"/>
              </w:rPr>
            </w:pPr>
          </w:p>
        </w:tc>
        <w:tc>
          <w:tcPr>
            <w:tcW w:w="850" w:type="dxa"/>
            <w:tcBorders>
              <w:top w:val="single" w:sz="4" w:space="0" w:color="auto"/>
              <w:left w:val="single" w:sz="4" w:space="0" w:color="auto"/>
              <w:bottom w:val="single" w:sz="4" w:space="0" w:color="auto"/>
              <w:right w:val="single" w:sz="4" w:space="0" w:color="auto"/>
            </w:tcBorders>
          </w:tcPr>
          <w:p w:rsidR="009F0BE9" w:rsidRPr="00470433" w:rsidRDefault="009F0BE9" w:rsidP="000B2804">
            <w:pPr>
              <w:widowControl w:val="0"/>
              <w:spacing w:line="276" w:lineRule="auto"/>
              <w:jc w:val="right"/>
              <w:rPr>
                <w:rFonts w:ascii="Times New Roman" w:hAnsi="Times New Roman"/>
                <w:color w:val="000000"/>
                <w:sz w:val="24"/>
                <w:szCs w:val="24"/>
                <w:lang w:val="uk-UA"/>
              </w:rPr>
            </w:pPr>
          </w:p>
        </w:tc>
        <w:tc>
          <w:tcPr>
            <w:tcW w:w="534" w:type="dxa"/>
            <w:tcBorders>
              <w:top w:val="single" w:sz="4" w:space="0" w:color="auto"/>
              <w:left w:val="single" w:sz="4" w:space="0" w:color="auto"/>
              <w:bottom w:val="single" w:sz="4" w:space="0" w:color="auto"/>
              <w:right w:val="single" w:sz="4" w:space="0" w:color="auto"/>
            </w:tcBorders>
          </w:tcPr>
          <w:p w:rsidR="009F0BE9" w:rsidRPr="00470433" w:rsidRDefault="009F0BE9" w:rsidP="000B2804">
            <w:pPr>
              <w:widowControl w:val="0"/>
              <w:spacing w:line="276" w:lineRule="auto"/>
              <w:jc w:val="right"/>
              <w:rPr>
                <w:rFonts w:ascii="Times New Roman" w:hAnsi="Times New Roman"/>
                <w:color w:val="000000"/>
                <w:sz w:val="24"/>
                <w:szCs w:val="24"/>
                <w:lang w:val="uk-UA"/>
              </w:rPr>
            </w:pPr>
          </w:p>
        </w:tc>
      </w:tr>
      <w:tr w:rsidR="003C353C" w:rsidRPr="00470433" w:rsidTr="003C353C">
        <w:trPr>
          <w:trHeight w:val="81"/>
          <w:jc w:val="center"/>
        </w:trPr>
        <w:tc>
          <w:tcPr>
            <w:tcW w:w="2367" w:type="dxa"/>
            <w:tcBorders>
              <w:top w:val="single" w:sz="4" w:space="0" w:color="auto"/>
              <w:left w:val="single" w:sz="4" w:space="0" w:color="auto"/>
              <w:bottom w:val="single" w:sz="4" w:space="0" w:color="auto"/>
              <w:right w:val="single" w:sz="4" w:space="0" w:color="auto"/>
            </w:tcBorders>
          </w:tcPr>
          <w:p w:rsidR="003C353C" w:rsidRPr="00470433" w:rsidRDefault="003C353C" w:rsidP="000B2804">
            <w:pPr>
              <w:widowControl w:val="0"/>
              <w:spacing w:line="276" w:lineRule="auto"/>
              <w:rPr>
                <w:rFonts w:ascii="Times New Roman" w:hAnsi="Times New Roman"/>
                <w:color w:val="000000"/>
                <w:sz w:val="24"/>
                <w:szCs w:val="24"/>
                <w:lang w:val="uk-UA"/>
              </w:rPr>
            </w:pPr>
            <w:r w:rsidRPr="00470433">
              <w:rPr>
                <w:rFonts w:ascii="Times New Roman" w:hAnsi="Times New Roman"/>
                <w:color w:val="000000"/>
                <w:sz w:val="24"/>
                <w:szCs w:val="24"/>
                <w:lang w:val="uk-UA"/>
              </w:rPr>
              <w:t>Рівень мертвонароджуваності</w:t>
            </w:r>
          </w:p>
        </w:tc>
        <w:tc>
          <w:tcPr>
            <w:tcW w:w="3257" w:type="dxa"/>
            <w:tcBorders>
              <w:top w:val="single" w:sz="4" w:space="0" w:color="auto"/>
              <w:left w:val="single" w:sz="4" w:space="0" w:color="auto"/>
              <w:bottom w:val="single" w:sz="4" w:space="0" w:color="auto"/>
              <w:right w:val="single" w:sz="4" w:space="0" w:color="auto"/>
            </w:tcBorders>
          </w:tcPr>
          <w:p w:rsidR="003C353C" w:rsidRPr="00470433" w:rsidRDefault="003C353C" w:rsidP="000B2804">
            <w:pPr>
              <w:widowControl w:val="0"/>
              <w:spacing w:line="276" w:lineRule="auto"/>
              <w:rPr>
                <w:rFonts w:ascii="Times New Roman" w:hAnsi="Times New Roman"/>
                <w:color w:val="000000"/>
                <w:sz w:val="24"/>
                <w:szCs w:val="24"/>
                <w:lang w:val="uk-UA"/>
              </w:rPr>
            </w:pPr>
            <w:r w:rsidRPr="00470433">
              <w:rPr>
                <w:rFonts w:ascii="Times New Roman" w:hAnsi="Times New Roman"/>
                <w:color w:val="000000"/>
                <w:sz w:val="24"/>
                <w:szCs w:val="24"/>
                <w:lang w:val="uk-UA"/>
              </w:rPr>
              <w:t>Кількість народжених мертвими і живими</w:t>
            </w:r>
            <w:r w:rsidR="006E7A36">
              <w:rPr>
                <w:rFonts w:ascii="Times New Roman" w:hAnsi="Times New Roman"/>
                <w:color w:val="000000"/>
                <w:sz w:val="24"/>
                <w:szCs w:val="24"/>
                <w:lang w:val="uk-UA"/>
              </w:rPr>
              <w:t xml:space="preserve"> </w:t>
            </w:r>
            <w:r w:rsidR="00EA0706">
              <w:rPr>
                <w:rFonts w:ascii="Times New Roman" w:hAnsi="Times New Roman"/>
                <w:color w:val="000000"/>
                <w:sz w:val="24"/>
                <w:szCs w:val="24"/>
                <w:lang w:val="uk-UA"/>
              </w:rPr>
              <w:t>×</w:t>
            </w:r>
            <w:r w:rsidRPr="00470433">
              <w:rPr>
                <w:rFonts w:ascii="Times New Roman" w:hAnsi="Times New Roman"/>
                <w:color w:val="000000"/>
                <w:sz w:val="24"/>
                <w:szCs w:val="24"/>
                <w:lang w:val="uk-UA"/>
              </w:rPr>
              <w:t>1000</w:t>
            </w:r>
            <w:r w:rsidR="001E1DF5">
              <w:rPr>
                <w:rFonts w:ascii="Times New Roman" w:hAnsi="Times New Roman"/>
                <w:color w:val="000000"/>
                <w:sz w:val="24"/>
                <w:szCs w:val="24"/>
              </w:rPr>
              <w:t xml:space="preserve"> </w:t>
            </w:r>
            <w:r w:rsidRPr="00470433">
              <w:rPr>
                <w:rFonts w:ascii="Times New Roman" w:hAnsi="Times New Roman"/>
                <w:color w:val="000000"/>
                <w:sz w:val="24"/>
                <w:szCs w:val="24"/>
                <w:lang w:val="uk-UA"/>
              </w:rPr>
              <w:t>/кількість народжених мертвими</w:t>
            </w:r>
          </w:p>
        </w:tc>
        <w:tc>
          <w:tcPr>
            <w:tcW w:w="995" w:type="dxa"/>
            <w:tcBorders>
              <w:top w:val="single" w:sz="4" w:space="0" w:color="auto"/>
              <w:left w:val="single" w:sz="4" w:space="0" w:color="auto"/>
              <w:bottom w:val="single" w:sz="4" w:space="0" w:color="auto"/>
              <w:right w:val="single" w:sz="4" w:space="0" w:color="auto"/>
            </w:tcBorders>
          </w:tcPr>
          <w:p w:rsidR="003C353C" w:rsidRPr="00470433" w:rsidRDefault="003C353C" w:rsidP="000B2804">
            <w:pPr>
              <w:widowControl w:val="0"/>
              <w:spacing w:line="276" w:lineRule="auto"/>
              <w:jc w:val="center"/>
              <w:rPr>
                <w:rFonts w:ascii="Times New Roman" w:hAnsi="Times New Roman"/>
                <w:color w:val="000000"/>
                <w:sz w:val="24"/>
                <w:szCs w:val="24"/>
                <w:lang w:val="uk-UA"/>
              </w:rPr>
            </w:pPr>
            <w:r w:rsidRPr="00470433">
              <w:rPr>
                <w:rFonts w:ascii="Times New Roman" w:hAnsi="Times New Roman"/>
                <w:color w:val="000000"/>
                <w:sz w:val="24"/>
                <w:szCs w:val="24"/>
                <w:lang w:val="uk-UA"/>
              </w:rPr>
              <w:t>10,0</w:t>
            </w:r>
          </w:p>
        </w:tc>
        <w:tc>
          <w:tcPr>
            <w:tcW w:w="712" w:type="dxa"/>
            <w:tcBorders>
              <w:top w:val="single" w:sz="4" w:space="0" w:color="auto"/>
              <w:left w:val="single" w:sz="4" w:space="0" w:color="auto"/>
              <w:bottom w:val="single" w:sz="4" w:space="0" w:color="auto"/>
              <w:right w:val="single" w:sz="4" w:space="0" w:color="auto"/>
            </w:tcBorders>
          </w:tcPr>
          <w:p w:rsidR="003C353C" w:rsidRPr="00470433" w:rsidRDefault="003C353C" w:rsidP="000B2804">
            <w:pPr>
              <w:widowControl w:val="0"/>
              <w:spacing w:line="276" w:lineRule="auto"/>
              <w:jc w:val="center"/>
              <w:rPr>
                <w:rFonts w:ascii="Times New Roman" w:hAnsi="Times New Roman"/>
                <w:color w:val="000000"/>
                <w:sz w:val="24"/>
                <w:szCs w:val="24"/>
                <w:lang w:val="uk-UA"/>
              </w:rPr>
            </w:pPr>
            <w:r w:rsidRPr="00470433">
              <w:rPr>
                <w:rFonts w:ascii="Times New Roman" w:hAnsi="Times New Roman"/>
                <w:color w:val="000000"/>
                <w:sz w:val="24"/>
                <w:szCs w:val="24"/>
                <w:lang w:val="uk-UA"/>
              </w:rPr>
              <w:t>6</w:t>
            </w:r>
          </w:p>
        </w:tc>
        <w:tc>
          <w:tcPr>
            <w:tcW w:w="853" w:type="dxa"/>
            <w:tcBorders>
              <w:top w:val="single" w:sz="4" w:space="0" w:color="auto"/>
              <w:left w:val="single" w:sz="4" w:space="0" w:color="auto"/>
              <w:bottom w:val="single" w:sz="4" w:space="0" w:color="auto"/>
              <w:right w:val="single" w:sz="4" w:space="0" w:color="auto"/>
            </w:tcBorders>
          </w:tcPr>
          <w:p w:rsidR="003C353C" w:rsidRPr="00470433" w:rsidRDefault="003C353C" w:rsidP="000B2804">
            <w:pPr>
              <w:widowControl w:val="0"/>
              <w:spacing w:line="276" w:lineRule="auto"/>
              <w:jc w:val="center"/>
              <w:rPr>
                <w:rFonts w:ascii="Times New Roman" w:hAnsi="Times New Roman"/>
                <w:color w:val="000000"/>
                <w:sz w:val="24"/>
                <w:szCs w:val="24"/>
                <w:lang w:val="uk-UA"/>
              </w:rPr>
            </w:pPr>
            <w:r w:rsidRPr="00470433">
              <w:rPr>
                <w:rFonts w:ascii="Times New Roman" w:hAnsi="Times New Roman"/>
                <w:color w:val="000000"/>
                <w:sz w:val="24"/>
                <w:szCs w:val="24"/>
                <w:lang w:val="uk-UA"/>
              </w:rPr>
              <w:t>0,6</w:t>
            </w:r>
          </w:p>
        </w:tc>
        <w:tc>
          <w:tcPr>
            <w:tcW w:w="454" w:type="dxa"/>
            <w:tcBorders>
              <w:top w:val="single" w:sz="4" w:space="0" w:color="auto"/>
              <w:left w:val="single" w:sz="4" w:space="0" w:color="auto"/>
              <w:bottom w:val="single" w:sz="4" w:space="0" w:color="auto"/>
              <w:right w:val="single" w:sz="4" w:space="0" w:color="auto"/>
            </w:tcBorders>
          </w:tcPr>
          <w:p w:rsidR="003C353C" w:rsidRPr="00470433" w:rsidRDefault="003C353C" w:rsidP="000B2804">
            <w:pPr>
              <w:widowControl w:val="0"/>
              <w:spacing w:line="276" w:lineRule="auto"/>
              <w:jc w:val="center"/>
              <w:rPr>
                <w:rFonts w:ascii="Times New Roman" w:hAnsi="Times New Roman"/>
                <w:color w:val="000000"/>
                <w:sz w:val="24"/>
                <w:szCs w:val="24"/>
                <w:lang w:val="uk-UA"/>
              </w:rPr>
            </w:pPr>
            <w:r w:rsidRPr="00470433">
              <w:rPr>
                <w:rFonts w:ascii="Times New Roman" w:hAnsi="Times New Roman"/>
                <w:color w:val="000000"/>
                <w:sz w:val="24"/>
                <w:szCs w:val="24"/>
                <w:lang w:val="uk-UA"/>
              </w:rPr>
              <w:t>+</w:t>
            </w:r>
          </w:p>
        </w:tc>
        <w:tc>
          <w:tcPr>
            <w:tcW w:w="403" w:type="dxa"/>
            <w:tcBorders>
              <w:top w:val="single" w:sz="4" w:space="0" w:color="auto"/>
              <w:left w:val="single" w:sz="4" w:space="0" w:color="auto"/>
              <w:bottom w:val="single" w:sz="4" w:space="0" w:color="auto"/>
              <w:right w:val="single" w:sz="4" w:space="0" w:color="auto"/>
            </w:tcBorders>
          </w:tcPr>
          <w:p w:rsidR="003C353C" w:rsidRPr="00470433" w:rsidRDefault="003C353C" w:rsidP="000B2804">
            <w:pPr>
              <w:widowControl w:val="0"/>
              <w:spacing w:line="276" w:lineRule="auto"/>
              <w:jc w:val="center"/>
              <w:rPr>
                <w:rFonts w:ascii="Times New Roman" w:hAnsi="Times New Roman"/>
                <w:color w:val="000000"/>
                <w:sz w:val="24"/>
                <w:szCs w:val="24"/>
                <w:lang w:val="uk-UA"/>
              </w:rPr>
            </w:pPr>
          </w:p>
        </w:tc>
        <w:tc>
          <w:tcPr>
            <w:tcW w:w="850" w:type="dxa"/>
            <w:tcBorders>
              <w:top w:val="single" w:sz="4" w:space="0" w:color="auto"/>
              <w:left w:val="single" w:sz="4" w:space="0" w:color="auto"/>
              <w:bottom w:val="single" w:sz="4" w:space="0" w:color="auto"/>
              <w:right w:val="single" w:sz="4" w:space="0" w:color="auto"/>
            </w:tcBorders>
          </w:tcPr>
          <w:p w:rsidR="003C353C" w:rsidRPr="00470433" w:rsidRDefault="003C353C" w:rsidP="000B2804">
            <w:pPr>
              <w:widowControl w:val="0"/>
              <w:spacing w:line="276" w:lineRule="auto"/>
              <w:jc w:val="right"/>
              <w:rPr>
                <w:rFonts w:ascii="Times New Roman" w:hAnsi="Times New Roman"/>
                <w:color w:val="000000"/>
                <w:sz w:val="24"/>
                <w:szCs w:val="24"/>
                <w:lang w:val="uk-UA"/>
              </w:rPr>
            </w:pPr>
          </w:p>
        </w:tc>
        <w:tc>
          <w:tcPr>
            <w:tcW w:w="534" w:type="dxa"/>
            <w:tcBorders>
              <w:top w:val="single" w:sz="4" w:space="0" w:color="auto"/>
              <w:left w:val="single" w:sz="4" w:space="0" w:color="auto"/>
              <w:bottom w:val="single" w:sz="4" w:space="0" w:color="auto"/>
              <w:right w:val="single" w:sz="4" w:space="0" w:color="auto"/>
            </w:tcBorders>
          </w:tcPr>
          <w:p w:rsidR="003C353C" w:rsidRPr="00470433" w:rsidRDefault="003C353C" w:rsidP="000B2804">
            <w:pPr>
              <w:widowControl w:val="0"/>
              <w:spacing w:line="276" w:lineRule="auto"/>
              <w:jc w:val="right"/>
              <w:rPr>
                <w:rFonts w:ascii="Times New Roman" w:hAnsi="Times New Roman"/>
                <w:color w:val="000000"/>
                <w:sz w:val="24"/>
                <w:szCs w:val="24"/>
                <w:lang w:val="uk-UA"/>
              </w:rPr>
            </w:pPr>
          </w:p>
        </w:tc>
      </w:tr>
      <w:tr w:rsidR="003C353C" w:rsidRPr="00470433" w:rsidTr="003C353C">
        <w:trPr>
          <w:trHeight w:val="81"/>
          <w:jc w:val="center"/>
        </w:trPr>
        <w:tc>
          <w:tcPr>
            <w:tcW w:w="2367" w:type="dxa"/>
            <w:tcBorders>
              <w:top w:val="single" w:sz="4" w:space="0" w:color="auto"/>
              <w:left w:val="single" w:sz="4" w:space="0" w:color="auto"/>
              <w:bottom w:val="single" w:sz="4" w:space="0" w:color="auto"/>
              <w:right w:val="single" w:sz="4" w:space="0" w:color="auto"/>
            </w:tcBorders>
          </w:tcPr>
          <w:p w:rsidR="003C353C" w:rsidRPr="00470433" w:rsidRDefault="003C353C" w:rsidP="000B2804">
            <w:pPr>
              <w:widowControl w:val="0"/>
              <w:spacing w:line="276" w:lineRule="auto"/>
              <w:rPr>
                <w:rFonts w:ascii="Times New Roman" w:hAnsi="Times New Roman"/>
                <w:color w:val="000000"/>
                <w:sz w:val="24"/>
                <w:szCs w:val="24"/>
                <w:lang w:val="uk-UA"/>
              </w:rPr>
            </w:pPr>
            <w:r w:rsidRPr="00470433">
              <w:rPr>
                <w:rFonts w:ascii="Times New Roman" w:hAnsi="Times New Roman"/>
                <w:color w:val="000000"/>
                <w:sz w:val="24"/>
                <w:szCs w:val="24"/>
                <w:lang w:val="uk-UA"/>
              </w:rPr>
              <w:t>Рівень материнської смертності</w:t>
            </w:r>
          </w:p>
        </w:tc>
        <w:tc>
          <w:tcPr>
            <w:tcW w:w="3257" w:type="dxa"/>
            <w:tcBorders>
              <w:top w:val="single" w:sz="4" w:space="0" w:color="auto"/>
              <w:left w:val="single" w:sz="4" w:space="0" w:color="auto"/>
              <w:bottom w:val="single" w:sz="4" w:space="0" w:color="auto"/>
              <w:right w:val="single" w:sz="4" w:space="0" w:color="auto"/>
            </w:tcBorders>
          </w:tcPr>
          <w:p w:rsidR="003C353C" w:rsidRPr="00470433" w:rsidRDefault="003C353C" w:rsidP="000B2804">
            <w:pPr>
              <w:widowControl w:val="0"/>
              <w:spacing w:line="276" w:lineRule="auto"/>
              <w:rPr>
                <w:rFonts w:ascii="Times New Roman" w:hAnsi="Times New Roman"/>
                <w:color w:val="000000"/>
                <w:sz w:val="24"/>
                <w:szCs w:val="24"/>
                <w:lang w:val="uk-UA"/>
              </w:rPr>
            </w:pPr>
            <w:r w:rsidRPr="00470433">
              <w:rPr>
                <w:rFonts w:ascii="Times New Roman" w:hAnsi="Times New Roman"/>
                <w:color w:val="000000"/>
                <w:sz w:val="24"/>
                <w:szCs w:val="24"/>
                <w:lang w:val="uk-UA"/>
              </w:rPr>
              <w:t>На 100000  живонароджених</w:t>
            </w:r>
          </w:p>
        </w:tc>
        <w:tc>
          <w:tcPr>
            <w:tcW w:w="995" w:type="dxa"/>
            <w:tcBorders>
              <w:top w:val="single" w:sz="4" w:space="0" w:color="auto"/>
              <w:left w:val="single" w:sz="4" w:space="0" w:color="auto"/>
              <w:bottom w:val="single" w:sz="4" w:space="0" w:color="auto"/>
              <w:right w:val="single" w:sz="4" w:space="0" w:color="auto"/>
            </w:tcBorders>
          </w:tcPr>
          <w:p w:rsidR="003C353C" w:rsidRPr="00470433" w:rsidRDefault="003C353C" w:rsidP="000B2804">
            <w:pPr>
              <w:widowControl w:val="0"/>
              <w:spacing w:line="276" w:lineRule="auto"/>
              <w:jc w:val="center"/>
              <w:rPr>
                <w:rFonts w:ascii="Times New Roman" w:hAnsi="Times New Roman"/>
                <w:color w:val="000000"/>
                <w:sz w:val="24"/>
                <w:szCs w:val="24"/>
                <w:lang w:val="uk-UA"/>
              </w:rPr>
            </w:pPr>
            <w:r w:rsidRPr="00470433">
              <w:rPr>
                <w:rFonts w:ascii="Times New Roman" w:hAnsi="Times New Roman"/>
                <w:color w:val="000000"/>
                <w:sz w:val="24"/>
                <w:szCs w:val="24"/>
                <w:lang w:val="uk-UA"/>
              </w:rPr>
              <w:t>15,0</w:t>
            </w:r>
          </w:p>
        </w:tc>
        <w:tc>
          <w:tcPr>
            <w:tcW w:w="712" w:type="dxa"/>
            <w:tcBorders>
              <w:top w:val="single" w:sz="4" w:space="0" w:color="auto"/>
              <w:left w:val="single" w:sz="4" w:space="0" w:color="auto"/>
              <w:bottom w:val="single" w:sz="4" w:space="0" w:color="auto"/>
              <w:right w:val="single" w:sz="4" w:space="0" w:color="auto"/>
            </w:tcBorders>
          </w:tcPr>
          <w:p w:rsidR="003C353C" w:rsidRPr="00470433" w:rsidRDefault="003C353C" w:rsidP="000B2804">
            <w:pPr>
              <w:widowControl w:val="0"/>
              <w:spacing w:line="276" w:lineRule="auto"/>
              <w:jc w:val="center"/>
              <w:rPr>
                <w:rFonts w:ascii="Times New Roman" w:hAnsi="Times New Roman"/>
                <w:color w:val="000000"/>
                <w:sz w:val="24"/>
                <w:szCs w:val="24"/>
                <w:lang w:val="uk-UA"/>
              </w:rPr>
            </w:pPr>
            <w:r w:rsidRPr="00470433">
              <w:rPr>
                <w:rFonts w:ascii="Times New Roman" w:hAnsi="Times New Roman"/>
                <w:color w:val="000000"/>
                <w:sz w:val="24"/>
                <w:szCs w:val="24"/>
                <w:lang w:val="uk-UA"/>
              </w:rPr>
              <w:t>8</w:t>
            </w:r>
          </w:p>
        </w:tc>
        <w:tc>
          <w:tcPr>
            <w:tcW w:w="853" w:type="dxa"/>
            <w:tcBorders>
              <w:top w:val="single" w:sz="4" w:space="0" w:color="auto"/>
              <w:left w:val="single" w:sz="4" w:space="0" w:color="auto"/>
              <w:bottom w:val="single" w:sz="4" w:space="0" w:color="auto"/>
              <w:right w:val="single" w:sz="4" w:space="0" w:color="auto"/>
            </w:tcBorders>
          </w:tcPr>
          <w:p w:rsidR="003C353C" w:rsidRPr="00470433" w:rsidRDefault="003C353C" w:rsidP="000B2804">
            <w:pPr>
              <w:widowControl w:val="0"/>
              <w:spacing w:line="276" w:lineRule="auto"/>
              <w:jc w:val="center"/>
              <w:rPr>
                <w:rFonts w:ascii="Times New Roman" w:hAnsi="Times New Roman"/>
                <w:color w:val="000000"/>
                <w:sz w:val="24"/>
                <w:szCs w:val="24"/>
                <w:lang w:val="uk-UA"/>
              </w:rPr>
            </w:pPr>
            <w:r w:rsidRPr="00470433">
              <w:rPr>
                <w:rFonts w:ascii="Times New Roman" w:hAnsi="Times New Roman"/>
                <w:color w:val="000000"/>
                <w:sz w:val="24"/>
                <w:szCs w:val="24"/>
                <w:lang w:val="uk-UA"/>
              </w:rPr>
              <w:t>0,53</w:t>
            </w:r>
          </w:p>
        </w:tc>
        <w:tc>
          <w:tcPr>
            <w:tcW w:w="454" w:type="dxa"/>
            <w:tcBorders>
              <w:top w:val="single" w:sz="4" w:space="0" w:color="auto"/>
              <w:left w:val="single" w:sz="4" w:space="0" w:color="auto"/>
              <w:bottom w:val="single" w:sz="4" w:space="0" w:color="auto"/>
              <w:right w:val="single" w:sz="4" w:space="0" w:color="auto"/>
            </w:tcBorders>
          </w:tcPr>
          <w:p w:rsidR="003C353C" w:rsidRPr="00470433" w:rsidRDefault="003C353C" w:rsidP="000B2804">
            <w:pPr>
              <w:widowControl w:val="0"/>
              <w:spacing w:line="276" w:lineRule="auto"/>
              <w:jc w:val="center"/>
              <w:rPr>
                <w:rFonts w:ascii="Times New Roman" w:hAnsi="Times New Roman"/>
                <w:color w:val="000000"/>
                <w:sz w:val="24"/>
                <w:szCs w:val="24"/>
                <w:lang w:val="uk-UA"/>
              </w:rPr>
            </w:pPr>
            <w:r w:rsidRPr="00470433">
              <w:rPr>
                <w:rFonts w:ascii="Times New Roman" w:hAnsi="Times New Roman"/>
                <w:color w:val="000000"/>
                <w:sz w:val="24"/>
                <w:szCs w:val="24"/>
                <w:lang w:val="uk-UA"/>
              </w:rPr>
              <w:t>+</w:t>
            </w:r>
          </w:p>
        </w:tc>
        <w:tc>
          <w:tcPr>
            <w:tcW w:w="403" w:type="dxa"/>
            <w:tcBorders>
              <w:top w:val="single" w:sz="4" w:space="0" w:color="auto"/>
              <w:left w:val="single" w:sz="4" w:space="0" w:color="auto"/>
              <w:bottom w:val="single" w:sz="4" w:space="0" w:color="auto"/>
              <w:right w:val="single" w:sz="4" w:space="0" w:color="auto"/>
            </w:tcBorders>
          </w:tcPr>
          <w:p w:rsidR="003C353C" w:rsidRPr="00470433" w:rsidRDefault="003C353C" w:rsidP="000B2804">
            <w:pPr>
              <w:widowControl w:val="0"/>
              <w:spacing w:line="276" w:lineRule="auto"/>
              <w:jc w:val="center"/>
              <w:rPr>
                <w:rFonts w:ascii="Times New Roman" w:hAnsi="Times New Roman"/>
                <w:color w:val="000000"/>
                <w:sz w:val="24"/>
                <w:szCs w:val="24"/>
                <w:lang w:val="uk-UA"/>
              </w:rPr>
            </w:pPr>
          </w:p>
        </w:tc>
        <w:tc>
          <w:tcPr>
            <w:tcW w:w="850" w:type="dxa"/>
            <w:tcBorders>
              <w:top w:val="single" w:sz="4" w:space="0" w:color="auto"/>
              <w:left w:val="single" w:sz="4" w:space="0" w:color="auto"/>
              <w:bottom w:val="single" w:sz="4" w:space="0" w:color="auto"/>
              <w:right w:val="single" w:sz="4" w:space="0" w:color="auto"/>
            </w:tcBorders>
          </w:tcPr>
          <w:p w:rsidR="003C353C" w:rsidRPr="00470433" w:rsidRDefault="003C353C" w:rsidP="000B2804">
            <w:pPr>
              <w:widowControl w:val="0"/>
              <w:spacing w:line="276" w:lineRule="auto"/>
              <w:jc w:val="right"/>
              <w:rPr>
                <w:rFonts w:ascii="Times New Roman" w:hAnsi="Times New Roman"/>
                <w:color w:val="000000"/>
                <w:sz w:val="24"/>
                <w:szCs w:val="24"/>
                <w:lang w:val="uk-UA"/>
              </w:rPr>
            </w:pPr>
          </w:p>
        </w:tc>
        <w:tc>
          <w:tcPr>
            <w:tcW w:w="534" w:type="dxa"/>
            <w:tcBorders>
              <w:top w:val="single" w:sz="4" w:space="0" w:color="auto"/>
              <w:left w:val="single" w:sz="4" w:space="0" w:color="auto"/>
              <w:bottom w:val="single" w:sz="4" w:space="0" w:color="auto"/>
              <w:right w:val="single" w:sz="4" w:space="0" w:color="auto"/>
            </w:tcBorders>
          </w:tcPr>
          <w:p w:rsidR="003C353C" w:rsidRPr="00470433" w:rsidRDefault="003C353C" w:rsidP="000B2804">
            <w:pPr>
              <w:widowControl w:val="0"/>
              <w:spacing w:line="276" w:lineRule="auto"/>
              <w:jc w:val="right"/>
              <w:rPr>
                <w:rFonts w:ascii="Times New Roman" w:hAnsi="Times New Roman"/>
                <w:color w:val="000000"/>
                <w:sz w:val="24"/>
                <w:szCs w:val="24"/>
                <w:lang w:val="uk-UA"/>
              </w:rPr>
            </w:pPr>
          </w:p>
        </w:tc>
      </w:tr>
      <w:tr w:rsidR="003C353C" w:rsidRPr="00470433" w:rsidTr="003C353C">
        <w:trPr>
          <w:trHeight w:val="81"/>
          <w:jc w:val="center"/>
        </w:trPr>
        <w:tc>
          <w:tcPr>
            <w:tcW w:w="2367" w:type="dxa"/>
            <w:tcBorders>
              <w:top w:val="single" w:sz="4" w:space="0" w:color="auto"/>
              <w:left w:val="single" w:sz="4" w:space="0" w:color="auto"/>
              <w:bottom w:val="single" w:sz="4" w:space="0" w:color="auto"/>
              <w:right w:val="single" w:sz="4" w:space="0" w:color="auto"/>
            </w:tcBorders>
          </w:tcPr>
          <w:p w:rsidR="003C353C" w:rsidRPr="00470433" w:rsidRDefault="003C353C" w:rsidP="000B2804">
            <w:pPr>
              <w:widowControl w:val="0"/>
              <w:spacing w:line="276" w:lineRule="auto"/>
              <w:rPr>
                <w:rFonts w:ascii="Times New Roman" w:hAnsi="Times New Roman"/>
                <w:color w:val="000000"/>
                <w:sz w:val="24"/>
                <w:szCs w:val="24"/>
                <w:lang w:val="uk-UA"/>
              </w:rPr>
            </w:pPr>
            <w:r w:rsidRPr="00470433">
              <w:rPr>
                <w:rFonts w:ascii="Times New Roman" w:hAnsi="Times New Roman"/>
                <w:sz w:val="24"/>
                <w:szCs w:val="24"/>
                <w:lang w:val="uk-UA"/>
              </w:rPr>
              <w:t>Знання жінками загрозливих симптомів під час вагітності, пологів та післяпологового періоду</w:t>
            </w:r>
          </w:p>
        </w:tc>
        <w:tc>
          <w:tcPr>
            <w:tcW w:w="3257" w:type="dxa"/>
            <w:tcBorders>
              <w:top w:val="single" w:sz="4" w:space="0" w:color="auto"/>
              <w:left w:val="single" w:sz="4" w:space="0" w:color="auto"/>
              <w:bottom w:val="single" w:sz="4" w:space="0" w:color="auto"/>
              <w:right w:val="single" w:sz="4" w:space="0" w:color="auto"/>
            </w:tcBorders>
          </w:tcPr>
          <w:p w:rsidR="003C353C" w:rsidRPr="00470433" w:rsidRDefault="003C353C" w:rsidP="000B2804">
            <w:pPr>
              <w:widowControl w:val="0"/>
              <w:spacing w:line="276" w:lineRule="auto"/>
              <w:rPr>
                <w:rFonts w:ascii="Times New Roman" w:hAnsi="Times New Roman"/>
                <w:color w:val="000000"/>
                <w:sz w:val="24"/>
                <w:szCs w:val="24"/>
                <w:lang w:val="uk-UA"/>
              </w:rPr>
            </w:pPr>
            <w:r w:rsidRPr="00470433">
              <w:rPr>
                <w:rFonts w:ascii="Times New Roman" w:hAnsi="Times New Roman"/>
                <w:sz w:val="24"/>
                <w:szCs w:val="24"/>
                <w:lang w:val="uk-UA"/>
              </w:rPr>
              <w:t>Кількість пацієнток, які, за даними анонімного анкетування, знали про загрозливі симптоми під час вагітності. пологів та післяпологового періоду, × 100 / загальна кількість пацієнток, які заповнили анкети</w:t>
            </w:r>
          </w:p>
        </w:tc>
        <w:tc>
          <w:tcPr>
            <w:tcW w:w="995" w:type="dxa"/>
            <w:tcBorders>
              <w:top w:val="single" w:sz="4" w:space="0" w:color="auto"/>
              <w:left w:val="single" w:sz="4" w:space="0" w:color="auto"/>
              <w:bottom w:val="single" w:sz="4" w:space="0" w:color="auto"/>
              <w:right w:val="single" w:sz="4" w:space="0" w:color="auto"/>
            </w:tcBorders>
          </w:tcPr>
          <w:p w:rsidR="003C353C" w:rsidRPr="00470433" w:rsidRDefault="003C353C" w:rsidP="000B2804">
            <w:pPr>
              <w:widowControl w:val="0"/>
              <w:spacing w:line="276" w:lineRule="auto"/>
              <w:jc w:val="center"/>
              <w:rPr>
                <w:rFonts w:ascii="Times New Roman" w:hAnsi="Times New Roman"/>
                <w:color w:val="000000"/>
                <w:sz w:val="24"/>
                <w:szCs w:val="24"/>
                <w:lang w:val="uk-UA"/>
              </w:rPr>
            </w:pPr>
            <w:r w:rsidRPr="00470433">
              <w:rPr>
                <w:rFonts w:ascii="Times New Roman" w:hAnsi="Times New Roman"/>
                <w:color w:val="000000"/>
                <w:sz w:val="24"/>
                <w:szCs w:val="24"/>
                <w:lang w:val="uk-UA"/>
              </w:rPr>
              <w:t>95,0</w:t>
            </w:r>
          </w:p>
        </w:tc>
        <w:tc>
          <w:tcPr>
            <w:tcW w:w="712" w:type="dxa"/>
            <w:tcBorders>
              <w:top w:val="single" w:sz="4" w:space="0" w:color="auto"/>
              <w:left w:val="single" w:sz="4" w:space="0" w:color="auto"/>
              <w:bottom w:val="single" w:sz="4" w:space="0" w:color="auto"/>
              <w:right w:val="single" w:sz="4" w:space="0" w:color="auto"/>
            </w:tcBorders>
          </w:tcPr>
          <w:p w:rsidR="003C353C" w:rsidRPr="00470433" w:rsidRDefault="003C353C" w:rsidP="000B2804">
            <w:pPr>
              <w:widowControl w:val="0"/>
              <w:spacing w:line="276" w:lineRule="auto"/>
              <w:jc w:val="center"/>
              <w:rPr>
                <w:rFonts w:ascii="Times New Roman" w:hAnsi="Times New Roman"/>
                <w:color w:val="000000"/>
                <w:sz w:val="24"/>
                <w:szCs w:val="24"/>
                <w:lang w:val="uk-UA"/>
              </w:rPr>
            </w:pPr>
            <w:r w:rsidRPr="00470433">
              <w:rPr>
                <w:rFonts w:ascii="Times New Roman" w:hAnsi="Times New Roman"/>
                <w:color w:val="000000"/>
                <w:sz w:val="24"/>
                <w:szCs w:val="24"/>
                <w:lang w:val="uk-UA"/>
              </w:rPr>
              <w:t>7</w:t>
            </w:r>
          </w:p>
        </w:tc>
        <w:tc>
          <w:tcPr>
            <w:tcW w:w="853" w:type="dxa"/>
            <w:tcBorders>
              <w:top w:val="single" w:sz="4" w:space="0" w:color="auto"/>
              <w:left w:val="single" w:sz="4" w:space="0" w:color="auto"/>
              <w:bottom w:val="single" w:sz="4" w:space="0" w:color="auto"/>
              <w:right w:val="single" w:sz="4" w:space="0" w:color="auto"/>
            </w:tcBorders>
          </w:tcPr>
          <w:p w:rsidR="003C353C" w:rsidRPr="00470433" w:rsidRDefault="003C353C" w:rsidP="000B2804">
            <w:pPr>
              <w:widowControl w:val="0"/>
              <w:spacing w:line="276" w:lineRule="auto"/>
              <w:jc w:val="center"/>
              <w:rPr>
                <w:rFonts w:ascii="Times New Roman" w:hAnsi="Times New Roman"/>
                <w:color w:val="000000"/>
                <w:sz w:val="24"/>
                <w:szCs w:val="24"/>
                <w:lang w:val="uk-UA"/>
              </w:rPr>
            </w:pPr>
            <w:r w:rsidRPr="00470433">
              <w:rPr>
                <w:rFonts w:ascii="Times New Roman" w:hAnsi="Times New Roman"/>
                <w:color w:val="000000"/>
                <w:sz w:val="24"/>
                <w:szCs w:val="24"/>
                <w:lang w:val="uk-UA"/>
              </w:rPr>
              <w:t>0,07</w:t>
            </w:r>
          </w:p>
        </w:tc>
        <w:tc>
          <w:tcPr>
            <w:tcW w:w="454" w:type="dxa"/>
            <w:tcBorders>
              <w:top w:val="single" w:sz="4" w:space="0" w:color="auto"/>
              <w:left w:val="single" w:sz="4" w:space="0" w:color="auto"/>
              <w:bottom w:val="single" w:sz="4" w:space="0" w:color="auto"/>
              <w:right w:val="single" w:sz="4" w:space="0" w:color="auto"/>
            </w:tcBorders>
          </w:tcPr>
          <w:p w:rsidR="003C353C" w:rsidRPr="00470433" w:rsidRDefault="003C353C" w:rsidP="000B2804">
            <w:pPr>
              <w:widowControl w:val="0"/>
              <w:spacing w:line="276" w:lineRule="auto"/>
              <w:jc w:val="center"/>
              <w:rPr>
                <w:rFonts w:ascii="Times New Roman" w:hAnsi="Times New Roman"/>
                <w:color w:val="000000"/>
                <w:sz w:val="24"/>
                <w:szCs w:val="24"/>
                <w:lang w:val="uk-UA"/>
              </w:rPr>
            </w:pPr>
            <w:r w:rsidRPr="00470433">
              <w:rPr>
                <w:rFonts w:ascii="Times New Roman" w:hAnsi="Times New Roman"/>
                <w:color w:val="000000"/>
                <w:sz w:val="24"/>
                <w:szCs w:val="24"/>
                <w:lang w:val="uk-UA"/>
              </w:rPr>
              <w:t>-</w:t>
            </w:r>
          </w:p>
        </w:tc>
        <w:tc>
          <w:tcPr>
            <w:tcW w:w="403" w:type="dxa"/>
            <w:tcBorders>
              <w:top w:val="single" w:sz="4" w:space="0" w:color="auto"/>
              <w:left w:val="single" w:sz="4" w:space="0" w:color="auto"/>
              <w:bottom w:val="single" w:sz="4" w:space="0" w:color="auto"/>
              <w:right w:val="single" w:sz="4" w:space="0" w:color="auto"/>
            </w:tcBorders>
          </w:tcPr>
          <w:p w:rsidR="003C353C" w:rsidRPr="00470433" w:rsidRDefault="003C353C" w:rsidP="000B2804">
            <w:pPr>
              <w:widowControl w:val="0"/>
              <w:spacing w:line="276" w:lineRule="auto"/>
              <w:jc w:val="center"/>
              <w:rPr>
                <w:rFonts w:ascii="Times New Roman" w:hAnsi="Times New Roman"/>
                <w:color w:val="000000"/>
                <w:sz w:val="24"/>
                <w:szCs w:val="24"/>
                <w:lang w:val="uk-UA"/>
              </w:rPr>
            </w:pPr>
          </w:p>
        </w:tc>
        <w:tc>
          <w:tcPr>
            <w:tcW w:w="850" w:type="dxa"/>
            <w:tcBorders>
              <w:top w:val="single" w:sz="4" w:space="0" w:color="auto"/>
              <w:left w:val="single" w:sz="4" w:space="0" w:color="auto"/>
              <w:bottom w:val="single" w:sz="4" w:space="0" w:color="auto"/>
              <w:right w:val="single" w:sz="4" w:space="0" w:color="auto"/>
            </w:tcBorders>
          </w:tcPr>
          <w:p w:rsidR="003C353C" w:rsidRPr="00470433" w:rsidRDefault="003C353C" w:rsidP="000B2804">
            <w:pPr>
              <w:widowControl w:val="0"/>
              <w:spacing w:line="276" w:lineRule="auto"/>
              <w:jc w:val="right"/>
              <w:rPr>
                <w:rFonts w:ascii="Times New Roman" w:hAnsi="Times New Roman"/>
                <w:color w:val="000000"/>
                <w:sz w:val="24"/>
                <w:szCs w:val="24"/>
                <w:lang w:val="uk-UA"/>
              </w:rPr>
            </w:pPr>
          </w:p>
        </w:tc>
        <w:tc>
          <w:tcPr>
            <w:tcW w:w="534" w:type="dxa"/>
            <w:tcBorders>
              <w:top w:val="single" w:sz="4" w:space="0" w:color="auto"/>
              <w:left w:val="single" w:sz="4" w:space="0" w:color="auto"/>
              <w:bottom w:val="single" w:sz="4" w:space="0" w:color="auto"/>
              <w:right w:val="single" w:sz="4" w:space="0" w:color="auto"/>
            </w:tcBorders>
          </w:tcPr>
          <w:p w:rsidR="003C353C" w:rsidRPr="00470433" w:rsidRDefault="003C353C" w:rsidP="000B2804">
            <w:pPr>
              <w:widowControl w:val="0"/>
              <w:spacing w:line="276" w:lineRule="auto"/>
              <w:jc w:val="right"/>
              <w:rPr>
                <w:rFonts w:ascii="Times New Roman" w:hAnsi="Times New Roman"/>
                <w:color w:val="000000"/>
                <w:sz w:val="24"/>
                <w:szCs w:val="24"/>
                <w:lang w:val="uk-UA"/>
              </w:rPr>
            </w:pPr>
          </w:p>
        </w:tc>
      </w:tr>
      <w:tr w:rsidR="003C353C" w:rsidRPr="00470433" w:rsidTr="003C353C">
        <w:trPr>
          <w:trHeight w:val="81"/>
          <w:jc w:val="center"/>
        </w:trPr>
        <w:tc>
          <w:tcPr>
            <w:tcW w:w="2367" w:type="dxa"/>
            <w:tcBorders>
              <w:top w:val="single" w:sz="4" w:space="0" w:color="auto"/>
              <w:left w:val="single" w:sz="4" w:space="0" w:color="auto"/>
              <w:bottom w:val="single" w:sz="4" w:space="0" w:color="auto"/>
              <w:right w:val="single" w:sz="4" w:space="0" w:color="auto"/>
            </w:tcBorders>
          </w:tcPr>
          <w:p w:rsidR="003C353C" w:rsidRPr="00470433" w:rsidRDefault="003C353C" w:rsidP="000B2804">
            <w:pPr>
              <w:widowControl w:val="0"/>
              <w:spacing w:line="276" w:lineRule="auto"/>
              <w:rPr>
                <w:rFonts w:ascii="Times New Roman" w:hAnsi="Times New Roman"/>
                <w:color w:val="000000"/>
                <w:sz w:val="24"/>
                <w:szCs w:val="24"/>
                <w:lang w:val="uk-UA"/>
              </w:rPr>
            </w:pPr>
            <w:r w:rsidRPr="00470433">
              <w:rPr>
                <w:rFonts w:ascii="Times New Roman" w:hAnsi="Times New Roman"/>
                <w:sz w:val="24"/>
                <w:szCs w:val="24"/>
                <w:lang w:val="uk-UA"/>
              </w:rPr>
              <w:t>Задоволеність пацієнтів медичною допомогою</w:t>
            </w:r>
          </w:p>
        </w:tc>
        <w:tc>
          <w:tcPr>
            <w:tcW w:w="3257" w:type="dxa"/>
            <w:tcBorders>
              <w:top w:val="single" w:sz="4" w:space="0" w:color="auto"/>
              <w:left w:val="single" w:sz="4" w:space="0" w:color="auto"/>
              <w:bottom w:val="single" w:sz="4" w:space="0" w:color="auto"/>
              <w:right w:val="single" w:sz="4" w:space="0" w:color="auto"/>
            </w:tcBorders>
          </w:tcPr>
          <w:p w:rsidR="003C353C" w:rsidRPr="00470433" w:rsidRDefault="003C353C" w:rsidP="000B2804">
            <w:pPr>
              <w:widowControl w:val="0"/>
              <w:spacing w:line="276" w:lineRule="auto"/>
              <w:rPr>
                <w:rFonts w:ascii="Times New Roman" w:hAnsi="Times New Roman"/>
                <w:color w:val="000000"/>
                <w:sz w:val="24"/>
                <w:szCs w:val="24"/>
                <w:lang w:val="uk-UA"/>
              </w:rPr>
            </w:pPr>
            <w:r w:rsidRPr="00470433">
              <w:rPr>
                <w:rFonts w:ascii="Times New Roman" w:hAnsi="Times New Roman"/>
                <w:sz w:val="24"/>
                <w:szCs w:val="24"/>
                <w:lang w:val="uk-UA"/>
              </w:rPr>
              <w:t>Кількість пацієнток, які, за даними анонімного анкетування, задоволені медичною допомогою, × 100 / загальна кількість пацієнток, які заповнили анкети</w:t>
            </w:r>
          </w:p>
        </w:tc>
        <w:tc>
          <w:tcPr>
            <w:tcW w:w="995" w:type="dxa"/>
            <w:tcBorders>
              <w:top w:val="single" w:sz="4" w:space="0" w:color="auto"/>
              <w:left w:val="single" w:sz="4" w:space="0" w:color="auto"/>
              <w:bottom w:val="single" w:sz="4" w:space="0" w:color="auto"/>
              <w:right w:val="single" w:sz="4" w:space="0" w:color="auto"/>
            </w:tcBorders>
          </w:tcPr>
          <w:p w:rsidR="003C353C" w:rsidRPr="00470433" w:rsidRDefault="003C353C" w:rsidP="000B2804">
            <w:pPr>
              <w:widowControl w:val="0"/>
              <w:spacing w:line="276" w:lineRule="auto"/>
              <w:jc w:val="center"/>
              <w:rPr>
                <w:rFonts w:ascii="Times New Roman" w:hAnsi="Times New Roman"/>
                <w:color w:val="000000"/>
                <w:sz w:val="24"/>
                <w:szCs w:val="24"/>
                <w:lang w:val="uk-UA"/>
              </w:rPr>
            </w:pPr>
            <w:r w:rsidRPr="00470433">
              <w:rPr>
                <w:rFonts w:ascii="Times New Roman" w:hAnsi="Times New Roman"/>
                <w:color w:val="000000"/>
                <w:sz w:val="24"/>
                <w:szCs w:val="24"/>
                <w:lang w:val="uk-UA"/>
              </w:rPr>
              <w:t>80,0</w:t>
            </w:r>
          </w:p>
        </w:tc>
        <w:tc>
          <w:tcPr>
            <w:tcW w:w="712" w:type="dxa"/>
            <w:tcBorders>
              <w:top w:val="single" w:sz="4" w:space="0" w:color="auto"/>
              <w:left w:val="single" w:sz="4" w:space="0" w:color="auto"/>
              <w:bottom w:val="single" w:sz="4" w:space="0" w:color="auto"/>
              <w:right w:val="single" w:sz="4" w:space="0" w:color="auto"/>
            </w:tcBorders>
          </w:tcPr>
          <w:p w:rsidR="003C353C" w:rsidRPr="00470433" w:rsidRDefault="003C353C" w:rsidP="000B2804">
            <w:pPr>
              <w:widowControl w:val="0"/>
              <w:spacing w:line="276" w:lineRule="auto"/>
              <w:jc w:val="center"/>
              <w:rPr>
                <w:rFonts w:ascii="Times New Roman" w:hAnsi="Times New Roman"/>
                <w:color w:val="000000"/>
                <w:sz w:val="24"/>
                <w:szCs w:val="24"/>
                <w:lang w:val="uk-UA"/>
              </w:rPr>
            </w:pPr>
            <w:r w:rsidRPr="00470433">
              <w:rPr>
                <w:rFonts w:ascii="Times New Roman" w:hAnsi="Times New Roman"/>
                <w:color w:val="000000"/>
                <w:sz w:val="24"/>
                <w:szCs w:val="24"/>
                <w:lang w:val="uk-UA"/>
              </w:rPr>
              <w:t>7</w:t>
            </w:r>
          </w:p>
        </w:tc>
        <w:tc>
          <w:tcPr>
            <w:tcW w:w="853" w:type="dxa"/>
            <w:tcBorders>
              <w:top w:val="single" w:sz="4" w:space="0" w:color="auto"/>
              <w:left w:val="single" w:sz="4" w:space="0" w:color="auto"/>
              <w:bottom w:val="single" w:sz="4" w:space="0" w:color="auto"/>
              <w:right w:val="single" w:sz="4" w:space="0" w:color="auto"/>
            </w:tcBorders>
          </w:tcPr>
          <w:p w:rsidR="003C353C" w:rsidRPr="00470433" w:rsidRDefault="003C353C" w:rsidP="000B2804">
            <w:pPr>
              <w:widowControl w:val="0"/>
              <w:spacing w:line="276" w:lineRule="auto"/>
              <w:jc w:val="center"/>
              <w:rPr>
                <w:rFonts w:ascii="Times New Roman" w:hAnsi="Times New Roman"/>
                <w:color w:val="000000"/>
                <w:sz w:val="24"/>
                <w:szCs w:val="24"/>
                <w:lang w:val="uk-UA"/>
              </w:rPr>
            </w:pPr>
            <w:r w:rsidRPr="00470433">
              <w:rPr>
                <w:rFonts w:ascii="Times New Roman" w:hAnsi="Times New Roman"/>
                <w:color w:val="000000"/>
                <w:sz w:val="24"/>
                <w:szCs w:val="24"/>
                <w:lang w:val="uk-UA"/>
              </w:rPr>
              <w:t>0,09</w:t>
            </w:r>
          </w:p>
        </w:tc>
        <w:tc>
          <w:tcPr>
            <w:tcW w:w="454" w:type="dxa"/>
            <w:tcBorders>
              <w:top w:val="single" w:sz="4" w:space="0" w:color="auto"/>
              <w:left w:val="single" w:sz="4" w:space="0" w:color="auto"/>
              <w:bottom w:val="single" w:sz="4" w:space="0" w:color="auto"/>
              <w:right w:val="single" w:sz="4" w:space="0" w:color="auto"/>
            </w:tcBorders>
          </w:tcPr>
          <w:p w:rsidR="003C353C" w:rsidRPr="00470433" w:rsidRDefault="003C353C" w:rsidP="000B2804">
            <w:pPr>
              <w:widowControl w:val="0"/>
              <w:spacing w:line="276" w:lineRule="auto"/>
              <w:jc w:val="center"/>
              <w:rPr>
                <w:rFonts w:ascii="Times New Roman" w:hAnsi="Times New Roman"/>
                <w:color w:val="000000"/>
                <w:sz w:val="24"/>
                <w:szCs w:val="24"/>
                <w:lang w:val="uk-UA"/>
              </w:rPr>
            </w:pPr>
            <w:r w:rsidRPr="00470433">
              <w:rPr>
                <w:rFonts w:ascii="Times New Roman" w:hAnsi="Times New Roman"/>
                <w:color w:val="000000"/>
                <w:sz w:val="24"/>
                <w:szCs w:val="24"/>
                <w:lang w:val="uk-UA"/>
              </w:rPr>
              <w:t>-</w:t>
            </w:r>
          </w:p>
        </w:tc>
        <w:tc>
          <w:tcPr>
            <w:tcW w:w="403" w:type="dxa"/>
            <w:tcBorders>
              <w:top w:val="single" w:sz="4" w:space="0" w:color="auto"/>
              <w:left w:val="single" w:sz="4" w:space="0" w:color="auto"/>
              <w:bottom w:val="single" w:sz="4" w:space="0" w:color="auto"/>
              <w:right w:val="single" w:sz="4" w:space="0" w:color="auto"/>
            </w:tcBorders>
          </w:tcPr>
          <w:p w:rsidR="003C353C" w:rsidRPr="00470433" w:rsidRDefault="003C353C" w:rsidP="000B2804">
            <w:pPr>
              <w:widowControl w:val="0"/>
              <w:spacing w:line="276" w:lineRule="auto"/>
              <w:jc w:val="center"/>
              <w:rPr>
                <w:rFonts w:ascii="Times New Roman" w:hAnsi="Times New Roman"/>
                <w:color w:val="000000"/>
                <w:sz w:val="24"/>
                <w:szCs w:val="24"/>
                <w:lang w:val="uk-UA"/>
              </w:rPr>
            </w:pPr>
          </w:p>
        </w:tc>
        <w:tc>
          <w:tcPr>
            <w:tcW w:w="850" w:type="dxa"/>
            <w:tcBorders>
              <w:top w:val="single" w:sz="4" w:space="0" w:color="auto"/>
              <w:left w:val="single" w:sz="4" w:space="0" w:color="auto"/>
              <w:bottom w:val="single" w:sz="4" w:space="0" w:color="auto"/>
              <w:right w:val="single" w:sz="4" w:space="0" w:color="auto"/>
            </w:tcBorders>
          </w:tcPr>
          <w:p w:rsidR="003C353C" w:rsidRPr="00470433" w:rsidRDefault="003C353C" w:rsidP="000B2804">
            <w:pPr>
              <w:widowControl w:val="0"/>
              <w:spacing w:line="276" w:lineRule="auto"/>
              <w:jc w:val="right"/>
              <w:rPr>
                <w:rFonts w:ascii="Times New Roman" w:hAnsi="Times New Roman"/>
                <w:color w:val="000000"/>
                <w:sz w:val="24"/>
                <w:szCs w:val="24"/>
                <w:lang w:val="uk-UA"/>
              </w:rPr>
            </w:pPr>
          </w:p>
        </w:tc>
        <w:tc>
          <w:tcPr>
            <w:tcW w:w="534" w:type="dxa"/>
            <w:tcBorders>
              <w:top w:val="single" w:sz="4" w:space="0" w:color="auto"/>
              <w:left w:val="single" w:sz="4" w:space="0" w:color="auto"/>
              <w:bottom w:val="single" w:sz="4" w:space="0" w:color="auto"/>
              <w:right w:val="single" w:sz="4" w:space="0" w:color="auto"/>
            </w:tcBorders>
          </w:tcPr>
          <w:p w:rsidR="003C353C" w:rsidRPr="00470433" w:rsidRDefault="003C353C" w:rsidP="000B2804">
            <w:pPr>
              <w:widowControl w:val="0"/>
              <w:spacing w:line="276" w:lineRule="auto"/>
              <w:jc w:val="right"/>
              <w:rPr>
                <w:rFonts w:ascii="Times New Roman" w:hAnsi="Times New Roman"/>
                <w:color w:val="000000"/>
                <w:sz w:val="24"/>
                <w:szCs w:val="24"/>
                <w:lang w:val="uk-UA"/>
              </w:rPr>
            </w:pPr>
          </w:p>
        </w:tc>
      </w:tr>
      <w:tr w:rsidR="003C353C" w:rsidRPr="00470433" w:rsidTr="003C353C">
        <w:trPr>
          <w:trHeight w:val="81"/>
          <w:jc w:val="center"/>
        </w:trPr>
        <w:tc>
          <w:tcPr>
            <w:tcW w:w="2367" w:type="dxa"/>
            <w:tcBorders>
              <w:top w:val="single" w:sz="4" w:space="0" w:color="auto"/>
              <w:left w:val="single" w:sz="4" w:space="0" w:color="auto"/>
              <w:bottom w:val="single" w:sz="4" w:space="0" w:color="auto"/>
              <w:right w:val="single" w:sz="4" w:space="0" w:color="auto"/>
            </w:tcBorders>
          </w:tcPr>
          <w:p w:rsidR="003C353C" w:rsidRPr="00470433" w:rsidRDefault="003C353C" w:rsidP="000B2804">
            <w:pPr>
              <w:widowControl w:val="0"/>
              <w:spacing w:line="276" w:lineRule="auto"/>
              <w:rPr>
                <w:rFonts w:ascii="Times New Roman" w:hAnsi="Times New Roman"/>
                <w:sz w:val="24"/>
                <w:szCs w:val="24"/>
                <w:lang w:val="uk-UA"/>
              </w:rPr>
            </w:pPr>
            <w:r w:rsidRPr="00470433">
              <w:rPr>
                <w:rFonts w:ascii="Times New Roman" w:hAnsi="Times New Roman"/>
                <w:sz w:val="24"/>
                <w:szCs w:val="24"/>
                <w:lang w:val="uk-UA"/>
              </w:rPr>
              <w:t>Сума балів</w:t>
            </w:r>
          </w:p>
        </w:tc>
        <w:tc>
          <w:tcPr>
            <w:tcW w:w="3257" w:type="dxa"/>
            <w:tcBorders>
              <w:top w:val="single" w:sz="4" w:space="0" w:color="auto"/>
              <w:left w:val="single" w:sz="4" w:space="0" w:color="auto"/>
              <w:bottom w:val="single" w:sz="4" w:space="0" w:color="auto"/>
              <w:right w:val="single" w:sz="4" w:space="0" w:color="auto"/>
            </w:tcBorders>
          </w:tcPr>
          <w:p w:rsidR="003C353C" w:rsidRPr="00470433" w:rsidRDefault="003C353C" w:rsidP="000B2804">
            <w:pPr>
              <w:widowControl w:val="0"/>
              <w:spacing w:line="276" w:lineRule="auto"/>
              <w:rPr>
                <w:rFonts w:ascii="Times New Roman" w:hAnsi="Times New Roman"/>
                <w:sz w:val="24"/>
                <w:szCs w:val="24"/>
                <w:lang w:val="uk-UA"/>
              </w:rPr>
            </w:pPr>
          </w:p>
        </w:tc>
        <w:tc>
          <w:tcPr>
            <w:tcW w:w="995" w:type="dxa"/>
            <w:tcBorders>
              <w:top w:val="single" w:sz="4" w:space="0" w:color="auto"/>
              <w:left w:val="single" w:sz="4" w:space="0" w:color="auto"/>
              <w:bottom w:val="single" w:sz="4" w:space="0" w:color="auto"/>
              <w:right w:val="single" w:sz="4" w:space="0" w:color="auto"/>
            </w:tcBorders>
          </w:tcPr>
          <w:p w:rsidR="003C353C" w:rsidRPr="00470433" w:rsidRDefault="003C353C" w:rsidP="000B2804">
            <w:pPr>
              <w:widowControl w:val="0"/>
              <w:spacing w:line="276" w:lineRule="auto"/>
              <w:jc w:val="center"/>
              <w:rPr>
                <w:rFonts w:ascii="Times New Roman" w:hAnsi="Times New Roman"/>
                <w:color w:val="000000"/>
                <w:sz w:val="24"/>
                <w:szCs w:val="24"/>
                <w:lang w:val="uk-UA"/>
              </w:rPr>
            </w:pPr>
          </w:p>
        </w:tc>
        <w:tc>
          <w:tcPr>
            <w:tcW w:w="712" w:type="dxa"/>
            <w:tcBorders>
              <w:top w:val="single" w:sz="4" w:space="0" w:color="auto"/>
              <w:left w:val="single" w:sz="4" w:space="0" w:color="auto"/>
              <w:bottom w:val="single" w:sz="4" w:space="0" w:color="auto"/>
              <w:right w:val="single" w:sz="4" w:space="0" w:color="auto"/>
            </w:tcBorders>
          </w:tcPr>
          <w:p w:rsidR="003C353C" w:rsidRPr="00470433" w:rsidRDefault="003C353C" w:rsidP="000B2804">
            <w:pPr>
              <w:widowControl w:val="0"/>
              <w:spacing w:line="276" w:lineRule="auto"/>
              <w:jc w:val="center"/>
              <w:rPr>
                <w:rFonts w:ascii="Times New Roman" w:hAnsi="Times New Roman"/>
                <w:color w:val="000000"/>
                <w:sz w:val="24"/>
                <w:szCs w:val="24"/>
                <w:lang w:val="uk-UA"/>
              </w:rPr>
            </w:pPr>
          </w:p>
        </w:tc>
        <w:tc>
          <w:tcPr>
            <w:tcW w:w="853" w:type="dxa"/>
            <w:tcBorders>
              <w:top w:val="single" w:sz="4" w:space="0" w:color="auto"/>
              <w:left w:val="single" w:sz="4" w:space="0" w:color="auto"/>
              <w:bottom w:val="single" w:sz="4" w:space="0" w:color="auto"/>
              <w:right w:val="single" w:sz="4" w:space="0" w:color="auto"/>
            </w:tcBorders>
          </w:tcPr>
          <w:p w:rsidR="003C353C" w:rsidRPr="00470433" w:rsidRDefault="003C353C" w:rsidP="000B2804">
            <w:pPr>
              <w:widowControl w:val="0"/>
              <w:spacing w:line="276" w:lineRule="auto"/>
              <w:jc w:val="center"/>
              <w:rPr>
                <w:rFonts w:ascii="Times New Roman" w:hAnsi="Times New Roman"/>
                <w:color w:val="000000"/>
                <w:sz w:val="24"/>
                <w:szCs w:val="24"/>
                <w:lang w:val="uk-UA"/>
              </w:rPr>
            </w:pPr>
          </w:p>
        </w:tc>
        <w:tc>
          <w:tcPr>
            <w:tcW w:w="454" w:type="dxa"/>
            <w:tcBorders>
              <w:top w:val="single" w:sz="4" w:space="0" w:color="auto"/>
              <w:left w:val="single" w:sz="4" w:space="0" w:color="auto"/>
              <w:bottom w:val="single" w:sz="4" w:space="0" w:color="auto"/>
              <w:right w:val="single" w:sz="4" w:space="0" w:color="auto"/>
            </w:tcBorders>
          </w:tcPr>
          <w:p w:rsidR="003C353C" w:rsidRPr="00470433" w:rsidRDefault="003C353C" w:rsidP="000B2804">
            <w:pPr>
              <w:widowControl w:val="0"/>
              <w:spacing w:line="276" w:lineRule="auto"/>
              <w:jc w:val="center"/>
              <w:rPr>
                <w:rFonts w:ascii="Times New Roman" w:hAnsi="Times New Roman"/>
                <w:color w:val="000000"/>
                <w:sz w:val="24"/>
                <w:szCs w:val="24"/>
                <w:lang w:val="uk-UA"/>
              </w:rPr>
            </w:pPr>
          </w:p>
        </w:tc>
        <w:tc>
          <w:tcPr>
            <w:tcW w:w="403" w:type="dxa"/>
            <w:tcBorders>
              <w:top w:val="single" w:sz="4" w:space="0" w:color="auto"/>
              <w:left w:val="single" w:sz="4" w:space="0" w:color="auto"/>
              <w:bottom w:val="single" w:sz="4" w:space="0" w:color="auto"/>
              <w:right w:val="single" w:sz="4" w:space="0" w:color="auto"/>
            </w:tcBorders>
          </w:tcPr>
          <w:p w:rsidR="003C353C" w:rsidRPr="00470433" w:rsidRDefault="003C353C" w:rsidP="000B2804">
            <w:pPr>
              <w:widowControl w:val="0"/>
              <w:spacing w:line="276" w:lineRule="auto"/>
              <w:jc w:val="center"/>
              <w:rPr>
                <w:rFonts w:ascii="Times New Roman" w:hAnsi="Times New Roman"/>
                <w:color w:val="000000"/>
                <w:sz w:val="24"/>
                <w:szCs w:val="24"/>
                <w:lang w:val="uk-UA"/>
              </w:rPr>
            </w:pPr>
          </w:p>
        </w:tc>
        <w:tc>
          <w:tcPr>
            <w:tcW w:w="850" w:type="dxa"/>
            <w:tcBorders>
              <w:top w:val="single" w:sz="4" w:space="0" w:color="auto"/>
              <w:left w:val="single" w:sz="4" w:space="0" w:color="auto"/>
              <w:bottom w:val="single" w:sz="4" w:space="0" w:color="auto"/>
              <w:right w:val="single" w:sz="4" w:space="0" w:color="auto"/>
            </w:tcBorders>
          </w:tcPr>
          <w:p w:rsidR="003C353C" w:rsidRPr="00470433" w:rsidRDefault="003C353C" w:rsidP="000B2804">
            <w:pPr>
              <w:widowControl w:val="0"/>
              <w:spacing w:line="276" w:lineRule="auto"/>
              <w:jc w:val="right"/>
              <w:rPr>
                <w:rFonts w:ascii="Times New Roman" w:hAnsi="Times New Roman"/>
                <w:color w:val="000000"/>
                <w:sz w:val="24"/>
                <w:szCs w:val="24"/>
                <w:lang w:val="uk-UA"/>
              </w:rPr>
            </w:pPr>
          </w:p>
        </w:tc>
        <w:tc>
          <w:tcPr>
            <w:tcW w:w="534" w:type="dxa"/>
            <w:tcBorders>
              <w:top w:val="single" w:sz="4" w:space="0" w:color="auto"/>
              <w:left w:val="single" w:sz="4" w:space="0" w:color="auto"/>
              <w:bottom w:val="single" w:sz="4" w:space="0" w:color="auto"/>
              <w:right w:val="single" w:sz="4" w:space="0" w:color="auto"/>
            </w:tcBorders>
          </w:tcPr>
          <w:p w:rsidR="003C353C" w:rsidRPr="00470433" w:rsidRDefault="003C353C" w:rsidP="000B2804">
            <w:pPr>
              <w:widowControl w:val="0"/>
              <w:spacing w:line="276" w:lineRule="auto"/>
              <w:jc w:val="right"/>
              <w:rPr>
                <w:rFonts w:ascii="Times New Roman" w:hAnsi="Times New Roman"/>
                <w:color w:val="000000"/>
                <w:sz w:val="24"/>
                <w:szCs w:val="24"/>
                <w:lang w:val="uk-UA"/>
              </w:rPr>
            </w:pPr>
          </w:p>
        </w:tc>
      </w:tr>
    </w:tbl>
    <w:p w:rsidR="003B67F9" w:rsidRPr="00006A39" w:rsidRDefault="003B67F9" w:rsidP="00721203">
      <w:pPr>
        <w:widowControl w:val="0"/>
        <w:spacing w:line="312" w:lineRule="auto"/>
        <w:rPr>
          <w:rFonts w:eastAsia="Times New Roman"/>
          <w:szCs w:val="28"/>
          <w:lang w:eastAsia="ru-RU"/>
        </w:rPr>
      </w:pPr>
    </w:p>
    <w:p w:rsidR="003B67F9" w:rsidRPr="00006A39" w:rsidRDefault="007D2935" w:rsidP="00721203">
      <w:pPr>
        <w:widowControl w:val="0"/>
        <w:ind w:firstLine="709"/>
        <w:rPr>
          <w:rFonts w:eastAsia="Times New Roman"/>
          <w:b/>
          <w:szCs w:val="28"/>
          <w:lang w:eastAsia="ru-RU"/>
        </w:rPr>
      </w:pPr>
      <w:r>
        <w:rPr>
          <w:rFonts w:eastAsia="Times New Roman"/>
          <w:b/>
          <w:szCs w:val="28"/>
          <w:lang w:eastAsia="ru-RU"/>
        </w:rPr>
        <w:t>7.2</w:t>
      </w:r>
      <w:r w:rsidR="003B67F9" w:rsidRPr="00006A39">
        <w:rPr>
          <w:rFonts w:eastAsia="Times New Roman"/>
          <w:b/>
          <w:szCs w:val="28"/>
          <w:lang w:eastAsia="ru-RU"/>
        </w:rPr>
        <w:t>. Апробація к</w:t>
      </w:r>
      <w:r w:rsidR="00936AED">
        <w:rPr>
          <w:rFonts w:eastAsia="Times New Roman"/>
          <w:b/>
          <w:szCs w:val="28"/>
          <w:lang w:eastAsia="ru-RU"/>
        </w:rPr>
        <w:t>омплексної оцінки діяльності закладів перинатальної допомоги</w:t>
      </w:r>
      <w:r w:rsidR="003B67F9" w:rsidRPr="00006A39">
        <w:rPr>
          <w:rFonts w:eastAsia="Times New Roman"/>
          <w:b/>
          <w:szCs w:val="28"/>
          <w:lang w:eastAsia="ru-RU"/>
        </w:rPr>
        <w:t xml:space="preserve"> І, ІІ і ІІІ рівнів на національному рівні</w:t>
      </w:r>
    </w:p>
    <w:p w:rsidR="003B67F9" w:rsidRPr="00006A39" w:rsidRDefault="003B67F9" w:rsidP="00721203">
      <w:pPr>
        <w:widowControl w:val="0"/>
        <w:ind w:firstLine="709"/>
        <w:rPr>
          <w:rFonts w:eastAsia="Times New Roman"/>
          <w:szCs w:val="28"/>
          <w:lang w:eastAsia="ru-RU"/>
        </w:rPr>
      </w:pPr>
      <w:r w:rsidRPr="00006A39">
        <w:rPr>
          <w:rFonts w:eastAsia="Times New Roman"/>
          <w:szCs w:val="28"/>
          <w:lang w:eastAsia="ru-RU"/>
        </w:rPr>
        <w:t xml:space="preserve">Розроблені в ході дослідження моделі комплексної оцінки діяльності ЗПД І, ІІ і ІІІ рівнів дозволяють здійснити багатофакторний аналіз діяльності ЗПД кожного рівня в цілому, підвищити прозорість ЗПД щодо результатів його діяльності і </w:t>
      </w:r>
      <w:r w:rsidRPr="00006A39">
        <w:rPr>
          <w:rFonts w:eastAsia="Times New Roman"/>
          <w:szCs w:val="28"/>
          <w:lang w:eastAsia="ru-RU"/>
        </w:rPr>
        <w:lastRenderedPageBreak/>
        <w:t>досягнення ним прогресу; дати зацікавленим партнерам спільне стратегічне бачення і розуміння пріоритетів подальшого розвитку закладу.</w:t>
      </w:r>
    </w:p>
    <w:p w:rsidR="003B67F9" w:rsidRPr="00813317" w:rsidRDefault="003B67F9" w:rsidP="00721203">
      <w:pPr>
        <w:widowControl w:val="0"/>
        <w:ind w:firstLine="709"/>
        <w:rPr>
          <w:rFonts w:eastAsia="Times New Roman"/>
          <w:szCs w:val="28"/>
          <w:lang w:eastAsia="ru-RU"/>
        </w:rPr>
      </w:pPr>
      <w:r w:rsidRPr="00006A39">
        <w:rPr>
          <w:rFonts w:eastAsia="Times New Roman"/>
          <w:szCs w:val="28"/>
          <w:shd w:val="clear" w:color="auto" w:fill="FFFFFF"/>
          <w:lang w:eastAsia="ru-RU"/>
        </w:rPr>
        <w:t>У ході дослідження,</w:t>
      </w:r>
      <w:r w:rsidRPr="00006A39">
        <w:rPr>
          <w:rFonts w:eastAsia="Calibri"/>
          <w:szCs w:val="28"/>
        </w:rPr>
        <w:t xml:space="preserve"> із використанням МКО діяльності закладів і установ перинатальної служби на основі методу кінцевих результатів нами проведено </w:t>
      </w:r>
      <w:r w:rsidRPr="00006A39">
        <w:rPr>
          <w:rFonts w:eastAsia="Times New Roman"/>
          <w:szCs w:val="28"/>
          <w:shd w:val="clear" w:color="auto" w:fill="FFFFFF"/>
          <w:lang w:eastAsia="ru-RU"/>
        </w:rPr>
        <w:t>розрахунки комплексної оцінки діяльності закладів перинатальної допомоги в цілому України за</w:t>
      </w:r>
      <w:r w:rsidR="00005088">
        <w:rPr>
          <w:rFonts w:eastAsia="Times New Roman"/>
          <w:szCs w:val="28"/>
          <w:shd w:val="clear" w:color="auto" w:fill="FFFFFF"/>
          <w:lang w:eastAsia="ru-RU"/>
        </w:rPr>
        <w:t xml:space="preserve"> 2017 рік та 2018 рр. (табл. 7.6</w:t>
      </w:r>
      <w:r w:rsidRPr="00006A39">
        <w:rPr>
          <w:rFonts w:eastAsia="Times New Roman"/>
          <w:szCs w:val="28"/>
          <w:shd w:val="clear" w:color="auto" w:fill="FFFFFF"/>
          <w:lang w:eastAsia="ru-RU"/>
        </w:rPr>
        <w:t xml:space="preserve">) та за її регіонами </w:t>
      </w:r>
      <w:r w:rsidRPr="00813317">
        <w:rPr>
          <w:rFonts w:eastAsia="Times New Roman"/>
          <w:szCs w:val="28"/>
          <w:shd w:val="clear" w:color="auto" w:fill="FFFFFF"/>
          <w:lang w:eastAsia="ru-RU"/>
        </w:rPr>
        <w:t>(</w:t>
      </w:r>
      <w:r w:rsidR="00B205B8" w:rsidRPr="00813317">
        <w:rPr>
          <w:rFonts w:eastAsia="Times New Roman"/>
          <w:szCs w:val="28"/>
          <w:shd w:val="clear" w:color="auto" w:fill="FFFFFF"/>
          <w:lang w:eastAsia="ru-RU"/>
        </w:rPr>
        <w:t>Додаток Е-4–Е</w:t>
      </w:r>
      <w:r w:rsidR="0081382A" w:rsidRPr="00813317">
        <w:rPr>
          <w:rFonts w:eastAsia="Times New Roman"/>
          <w:szCs w:val="28"/>
          <w:shd w:val="clear" w:color="auto" w:fill="FFFFFF"/>
          <w:lang w:eastAsia="ru-RU"/>
        </w:rPr>
        <w:t>-28</w:t>
      </w:r>
      <w:r w:rsidRPr="00813317">
        <w:rPr>
          <w:rFonts w:eastAsia="Times New Roman"/>
          <w:szCs w:val="28"/>
          <w:shd w:val="clear" w:color="auto" w:fill="FFFFFF"/>
          <w:lang w:eastAsia="ru-RU"/>
        </w:rPr>
        <w:t>)</w:t>
      </w:r>
      <w:r w:rsidRPr="00813317">
        <w:rPr>
          <w:rFonts w:eastAsia="Times New Roman"/>
          <w:szCs w:val="28"/>
          <w:lang w:eastAsia="ru-RU"/>
        </w:rPr>
        <w:t>.</w:t>
      </w:r>
    </w:p>
    <w:p w:rsidR="003B67F9" w:rsidRPr="00006A39" w:rsidRDefault="00005088" w:rsidP="00721203">
      <w:pPr>
        <w:widowControl w:val="0"/>
        <w:ind w:firstLine="709"/>
        <w:jc w:val="right"/>
        <w:rPr>
          <w:rFonts w:eastAsia="Times New Roman"/>
          <w:i/>
          <w:szCs w:val="28"/>
          <w:lang w:eastAsia="ru-RU"/>
        </w:rPr>
      </w:pPr>
      <w:r>
        <w:rPr>
          <w:rFonts w:eastAsia="Times New Roman"/>
          <w:i/>
          <w:szCs w:val="28"/>
          <w:lang w:eastAsia="ru-RU"/>
        </w:rPr>
        <w:t>Таблиця 7.6</w:t>
      </w:r>
    </w:p>
    <w:p w:rsidR="003B67F9" w:rsidRPr="00006A39" w:rsidRDefault="003B67F9" w:rsidP="00721203">
      <w:pPr>
        <w:widowControl w:val="0"/>
        <w:jc w:val="center"/>
        <w:rPr>
          <w:rFonts w:eastAsia="Times New Roman"/>
          <w:b/>
          <w:color w:val="000000"/>
          <w:szCs w:val="28"/>
          <w:lang w:eastAsia="ru-RU"/>
        </w:rPr>
      </w:pPr>
      <w:r w:rsidRPr="00006A39">
        <w:rPr>
          <w:rFonts w:eastAsia="Times New Roman"/>
          <w:b/>
          <w:color w:val="000000"/>
          <w:szCs w:val="28"/>
          <w:lang w:eastAsia="ru-RU"/>
        </w:rPr>
        <w:t xml:space="preserve">Комплексна оцінка діяльності закладів </w:t>
      </w:r>
      <w:r w:rsidR="00DA56D9">
        <w:rPr>
          <w:rFonts w:eastAsia="Times New Roman"/>
          <w:b/>
          <w:color w:val="000000"/>
          <w:szCs w:val="28"/>
          <w:lang w:eastAsia="ru-RU"/>
        </w:rPr>
        <w:t>перинатальної допомоги України</w:t>
      </w:r>
      <w:r w:rsidRPr="00006A39">
        <w:rPr>
          <w:rFonts w:eastAsia="Times New Roman"/>
          <w:b/>
          <w:color w:val="000000"/>
          <w:szCs w:val="28"/>
          <w:lang w:eastAsia="ru-RU"/>
        </w:rPr>
        <w:t>, 2017 -2018 рр.</w:t>
      </w:r>
    </w:p>
    <w:tbl>
      <w:tblPr>
        <w:tblW w:w="10206" w:type="dxa"/>
        <w:jc w:val="center"/>
        <w:tblInd w:w="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52"/>
        <w:gridCol w:w="850"/>
        <w:gridCol w:w="993"/>
        <w:gridCol w:w="850"/>
        <w:gridCol w:w="851"/>
        <w:gridCol w:w="850"/>
        <w:gridCol w:w="851"/>
        <w:gridCol w:w="733"/>
        <w:gridCol w:w="826"/>
        <w:gridCol w:w="850"/>
      </w:tblGrid>
      <w:tr w:rsidR="003B67F9" w:rsidRPr="00C860A4" w:rsidTr="00C860A4">
        <w:trPr>
          <w:cantSplit/>
          <w:trHeight w:val="920"/>
          <w:jc w:val="center"/>
        </w:trPr>
        <w:tc>
          <w:tcPr>
            <w:tcW w:w="2552" w:type="dxa"/>
            <w:vMerge w:val="restart"/>
            <w:tcBorders>
              <w:top w:val="single" w:sz="4" w:space="0" w:color="auto"/>
              <w:left w:val="single" w:sz="4" w:space="0" w:color="auto"/>
              <w:right w:val="single" w:sz="4" w:space="0" w:color="auto"/>
            </w:tcBorders>
            <w:hideMark/>
          </w:tcPr>
          <w:p w:rsidR="003B67F9" w:rsidRPr="00C860A4" w:rsidRDefault="003B67F9" w:rsidP="00721203">
            <w:pPr>
              <w:widowControl w:val="0"/>
              <w:spacing w:line="276" w:lineRule="auto"/>
              <w:jc w:val="center"/>
              <w:rPr>
                <w:rFonts w:eastAsia="Times New Roman"/>
                <w:sz w:val="24"/>
                <w:szCs w:val="24"/>
                <w:lang w:eastAsia="uk-UA"/>
              </w:rPr>
            </w:pPr>
            <w:r w:rsidRPr="00C860A4">
              <w:rPr>
                <w:rFonts w:eastAsia="Times New Roman"/>
                <w:sz w:val="24"/>
                <w:szCs w:val="24"/>
                <w:lang w:eastAsia="uk-UA"/>
              </w:rPr>
              <w:t>Індикатор якості</w:t>
            </w:r>
          </w:p>
        </w:tc>
        <w:tc>
          <w:tcPr>
            <w:tcW w:w="1843" w:type="dxa"/>
            <w:gridSpan w:val="2"/>
            <w:tcBorders>
              <w:top w:val="single" w:sz="4" w:space="0" w:color="auto"/>
              <w:left w:val="single" w:sz="4" w:space="0" w:color="auto"/>
              <w:right w:val="single" w:sz="4" w:space="0" w:color="auto"/>
            </w:tcBorders>
          </w:tcPr>
          <w:p w:rsidR="003B67F9" w:rsidRPr="00C860A4" w:rsidRDefault="003B67F9" w:rsidP="00721203">
            <w:pPr>
              <w:widowControl w:val="0"/>
              <w:spacing w:line="276" w:lineRule="auto"/>
              <w:jc w:val="center"/>
              <w:rPr>
                <w:rFonts w:eastAsia="Times New Roman"/>
                <w:sz w:val="24"/>
                <w:szCs w:val="24"/>
                <w:lang w:eastAsia="uk-UA"/>
              </w:rPr>
            </w:pPr>
            <w:r w:rsidRPr="00C860A4">
              <w:rPr>
                <w:rFonts w:eastAsia="Times New Roman"/>
                <w:sz w:val="24"/>
                <w:szCs w:val="24"/>
                <w:lang w:eastAsia="uk-UA"/>
              </w:rPr>
              <w:t>Норматив (контрольний показник)</w:t>
            </w:r>
          </w:p>
        </w:tc>
        <w:tc>
          <w:tcPr>
            <w:tcW w:w="850" w:type="dxa"/>
            <w:vMerge w:val="restart"/>
            <w:tcBorders>
              <w:top w:val="single" w:sz="4" w:space="0" w:color="auto"/>
              <w:left w:val="single" w:sz="4" w:space="0" w:color="auto"/>
              <w:right w:val="single" w:sz="4" w:space="0" w:color="auto"/>
            </w:tcBorders>
            <w:textDirection w:val="btLr"/>
          </w:tcPr>
          <w:p w:rsidR="003B67F9" w:rsidRPr="00C860A4" w:rsidRDefault="003B67F9" w:rsidP="00721203">
            <w:pPr>
              <w:widowControl w:val="0"/>
              <w:spacing w:line="276" w:lineRule="auto"/>
              <w:ind w:left="113" w:right="113"/>
              <w:jc w:val="center"/>
              <w:rPr>
                <w:rFonts w:eastAsia="Times New Roman"/>
                <w:sz w:val="24"/>
                <w:szCs w:val="24"/>
                <w:lang w:eastAsia="uk-UA"/>
              </w:rPr>
            </w:pPr>
            <w:r w:rsidRPr="00C860A4">
              <w:rPr>
                <w:rFonts w:eastAsia="Times New Roman"/>
                <w:sz w:val="24"/>
                <w:szCs w:val="24"/>
                <w:lang w:eastAsia="uk-UA"/>
              </w:rPr>
              <w:t>Оцінка нормативу (бал)</w:t>
            </w:r>
          </w:p>
        </w:tc>
        <w:tc>
          <w:tcPr>
            <w:tcW w:w="1701" w:type="dxa"/>
            <w:gridSpan w:val="2"/>
            <w:tcBorders>
              <w:top w:val="single" w:sz="4" w:space="0" w:color="auto"/>
              <w:left w:val="single" w:sz="4" w:space="0" w:color="auto"/>
              <w:bottom w:val="single" w:sz="4" w:space="0" w:color="auto"/>
              <w:right w:val="single" w:sz="4" w:space="0" w:color="auto"/>
            </w:tcBorders>
          </w:tcPr>
          <w:p w:rsidR="003B67F9" w:rsidRPr="00C860A4" w:rsidRDefault="003B67F9" w:rsidP="00721203">
            <w:pPr>
              <w:widowControl w:val="0"/>
              <w:spacing w:line="276" w:lineRule="auto"/>
              <w:jc w:val="center"/>
              <w:rPr>
                <w:rFonts w:eastAsia="Times New Roman"/>
                <w:sz w:val="24"/>
                <w:szCs w:val="24"/>
                <w:lang w:eastAsia="uk-UA"/>
              </w:rPr>
            </w:pPr>
            <w:r w:rsidRPr="00C860A4">
              <w:rPr>
                <w:rFonts w:eastAsia="Times New Roman"/>
                <w:sz w:val="24"/>
                <w:szCs w:val="24"/>
                <w:lang w:eastAsia="uk-UA"/>
              </w:rPr>
              <w:t>Фактичний показник, Україна</w:t>
            </w:r>
          </w:p>
        </w:tc>
        <w:tc>
          <w:tcPr>
            <w:tcW w:w="1584" w:type="dxa"/>
            <w:gridSpan w:val="2"/>
            <w:tcBorders>
              <w:top w:val="single" w:sz="4" w:space="0" w:color="auto"/>
              <w:left w:val="single" w:sz="4" w:space="0" w:color="auto"/>
              <w:bottom w:val="single" w:sz="4" w:space="0" w:color="auto"/>
              <w:right w:val="single" w:sz="4" w:space="0" w:color="auto"/>
            </w:tcBorders>
          </w:tcPr>
          <w:p w:rsidR="003B67F9" w:rsidRPr="00C860A4" w:rsidRDefault="003B67F9" w:rsidP="00721203">
            <w:pPr>
              <w:widowControl w:val="0"/>
              <w:spacing w:line="276" w:lineRule="auto"/>
              <w:jc w:val="center"/>
              <w:rPr>
                <w:rFonts w:eastAsia="Times New Roman"/>
                <w:sz w:val="24"/>
                <w:szCs w:val="24"/>
                <w:lang w:eastAsia="uk-UA"/>
              </w:rPr>
            </w:pPr>
            <w:r w:rsidRPr="00C860A4">
              <w:rPr>
                <w:rFonts w:eastAsia="Times New Roman"/>
                <w:sz w:val="24"/>
                <w:szCs w:val="24"/>
                <w:lang w:eastAsia="uk-UA"/>
              </w:rPr>
              <w:t>Бальна оцінка фактичного показника</w:t>
            </w:r>
          </w:p>
        </w:tc>
        <w:tc>
          <w:tcPr>
            <w:tcW w:w="1676" w:type="dxa"/>
            <w:gridSpan w:val="2"/>
            <w:tcBorders>
              <w:top w:val="single" w:sz="4" w:space="0" w:color="auto"/>
              <w:left w:val="single" w:sz="4" w:space="0" w:color="auto"/>
              <w:bottom w:val="single" w:sz="4" w:space="0" w:color="auto"/>
              <w:right w:val="single" w:sz="4" w:space="0" w:color="auto"/>
            </w:tcBorders>
          </w:tcPr>
          <w:p w:rsidR="003B67F9" w:rsidRPr="00C860A4" w:rsidRDefault="003B67F9" w:rsidP="00721203">
            <w:pPr>
              <w:widowControl w:val="0"/>
              <w:spacing w:line="276" w:lineRule="auto"/>
              <w:jc w:val="center"/>
              <w:rPr>
                <w:rFonts w:eastAsia="Times New Roman"/>
                <w:sz w:val="24"/>
                <w:szCs w:val="24"/>
                <w:lang w:eastAsia="uk-UA"/>
              </w:rPr>
            </w:pPr>
            <w:r w:rsidRPr="00C860A4">
              <w:rPr>
                <w:rFonts w:eastAsia="Times New Roman"/>
                <w:sz w:val="24"/>
                <w:szCs w:val="24"/>
                <w:lang w:eastAsia="uk-UA"/>
              </w:rPr>
              <w:t>КДНЗ</w:t>
            </w:r>
          </w:p>
        </w:tc>
      </w:tr>
      <w:tr w:rsidR="003B67F9" w:rsidRPr="00C860A4" w:rsidTr="00C860A4">
        <w:trPr>
          <w:trHeight w:val="980"/>
          <w:jc w:val="center"/>
        </w:trPr>
        <w:tc>
          <w:tcPr>
            <w:tcW w:w="2552" w:type="dxa"/>
            <w:vMerge/>
            <w:tcBorders>
              <w:left w:val="single" w:sz="4" w:space="0" w:color="auto"/>
              <w:bottom w:val="single" w:sz="4" w:space="0" w:color="auto"/>
              <w:right w:val="single" w:sz="4" w:space="0" w:color="auto"/>
            </w:tcBorders>
          </w:tcPr>
          <w:p w:rsidR="003B67F9" w:rsidRPr="00C860A4" w:rsidRDefault="003B67F9" w:rsidP="00721203">
            <w:pPr>
              <w:widowControl w:val="0"/>
              <w:spacing w:line="276" w:lineRule="auto"/>
              <w:rPr>
                <w:rFonts w:eastAsia="Times New Roman"/>
                <w:sz w:val="24"/>
                <w:szCs w:val="24"/>
                <w:lang w:eastAsia="ru-RU"/>
              </w:rPr>
            </w:pPr>
          </w:p>
        </w:tc>
        <w:tc>
          <w:tcPr>
            <w:tcW w:w="850" w:type="dxa"/>
            <w:tcBorders>
              <w:left w:val="single" w:sz="4" w:space="0" w:color="auto"/>
              <w:bottom w:val="single" w:sz="4" w:space="0" w:color="auto"/>
              <w:right w:val="single" w:sz="4" w:space="0" w:color="auto"/>
            </w:tcBorders>
          </w:tcPr>
          <w:p w:rsidR="003B67F9" w:rsidRPr="00C860A4" w:rsidRDefault="003B67F9" w:rsidP="00721203">
            <w:pPr>
              <w:widowControl w:val="0"/>
              <w:spacing w:line="276" w:lineRule="auto"/>
              <w:jc w:val="center"/>
              <w:rPr>
                <w:rFonts w:eastAsia="Times New Roman"/>
                <w:sz w:val="24"/>
                <w:szCs w:val="24"/>
                <w:lang w:eastAsia="ru-RU"/>
              </w:rPr>
            </w:pPr>
            <w:r w:rsidRPr="00C860A4">
              <w:rPr>
                <w:rFonts w:eastAsia="Times New Roman"/>
                <w:sz w:val="24"/>
                <w:szCs w:val="24"/>
                <w:lang w:eastAsia="ru-RU"/>
              </w:rPr>
              <w:t>2017 р.</w:t>
            </w:r>
          </w:p>
        </w:tc>
        <w:tc>
          <w:tcPr>
            <w:tcW w:w="993" w:type="dxa"/>
            <w:tcBorders>
              <w:left w:val="single" w:sz="4" w:space="0" w:color="auto"/>
              <w:bottom w:val="single" w:sz="4" w:space="0" w:color="auto"/>
              <w:right w:val="single" w:sz="4" w:space="0" w:color="auto"/>
            </w:tcBorders>
          </w:tcPr>
          <w:p w:rsidR="003B67F9" w:rsidRPr="00C860A4" w:rsidRDefault="003B67F9" w:rsidP="00721203">
            <w:pPr>
              <w:widowControl w:val="0"/>
              <w:spacing w:line="276" w:lineRule="auto"/>
              <w:jc w:val="center"/>
              <w:rPr>
                <w:rFonts w:eastAsia="Times New Roman"/>
                <w:sz w:val="24"/>
                <w:szCs w:val="24"/>
                <w:lang w:eastAsia="ru-RU"/>
              </w:rPr>
            </w:pPr>
            <w:r w:rsidRPr="00C860A4">
              <w:rPr>
                <w:rFonts w:eastAsia="Times New Roman"/>
                <w:sz w:val="24"/>
                <w:szCs w:val="24"/>
                <w:lang w:eastAsia="ru-RU"/>
              </w:rPr>
              <w:t>2018 р.</w:t>
            </w:r>
          </w:p>
        </w:tc>
        <w:tc>
          <w:tcPr>
            <w:tcW w:w="850" w:type="dxa"/>
            <w:vMerge/>
            <w:tcBorders>
              <w:left w:val="single" w:sz="4" w:space="0" w:color="auto"/>
              <w:bottom w:val="single" w:sz="4" w:space="0" w:color="auto"/>
              <w:right w:val="single" w:sz="4" w:space="0" w:color="auto"/>
            </w:tcBorders>
          </w:tcPr>
          <w:p w:rsidR="003B67F9" w:rsidRPr="00C860A4" w:rsidRDefault="003B67F9" w:rsidP="00721203">
            <w:pPr>
              <w:widowControl w:val="0"/>
              <w:spacing w:line="276" w:lineRule="auto"/>
              <w:jc w:val="center"/>
              <w:rPr>
                <w:rFonts w:eastAsia="Times New Roman"/>
                <w:sz w:val="24"/>
                <w:szCs w:val="24"/>
                <w:lang w:eastAsia="ru-RU"/>
              </w:rPr>
            </w:pPr>
          </w:p>
        </w:tc>
        <w:tc>
          <w:tcPr>
            <w:tcW w:w="851" w:type="dxa"/>
            <w:tcBorders>
              <w:top w:val="single" w:sz="4" w:space="0" w:color="auto"/>
              <w:left w:val="single" w:sz="4" w:space="0" w:color="auto"/>
              <w:bottom w:val="single" w:sz="4" w:space="0" w:color="auto"/>
              <w:right w:val="single" w:sz="4" w:space="0" w:color="auto"/>
            </w:tcBorders>
          </w:tcPr>
          <w:p w:rsidR="003B67F9" w:rsidRPr="00C860A4" w:rsidRDefault="003B67F9" w:rsidP="00721203">
            <w:pPr>
              <w:widowControl w:val="0"/>
              <w:spacing w:line="276" w:lineRule="auto"/>
              <w:jc w:val="center"/>
              <w:rPr>
                <w:rFonts w:eastAsia="Times New Roman"/>
                <w:sz w:val="24"/>
                <w:szCs w:val="24"/>
                <w:lang w:eastAsia="ru-RU"/>
              </w:rPr>
            </w:pPr>
            <w:r w:rsidRPr="00C860A4">
              <w:rPr>
                <w:rFonts w:eastAsia="Times New Roman"/>
                <w:sz w:val="24"/>
                <w:szCs w:val="24"/>
                <w:lang w:eastAsia="ru-RU"/>
              </w:rPr>
              <w:t>2017 р.</w:t>
            </w:r>
          </w:p>
        </w:tc>
        <w:tc>
          <w:tcPr>
            <w:tcW w:w="850" w:type="dxa"/>
            <w:tcBorders>
              <w:top w:val="single" w:sz="4" w:space="0" w:color="auto"/>
              <w:left w:val="single" w:sz="4" w:space="0" w:color="auto"/>
              <w:bottom w:val="single" w:sz="4" w:space="0" w:color="auto"/>
              <w:right w:val="single" w:sz="4" w:space="0" w:color="auto"/>
            </w:tcBorders>
          </w:tcPr>
          <w:p w:rsidR="003B67F9" w:rsidRPr="00C860A4" w:rsidRDefault="003B67F9" w:rsidP="00721203">
            <w:pPr>
              <w:widowControl w:val="0"/>
              <w:spacing w:line="276" w:lineRule="auto"/>
              <w:jc w:val="center"/>
              <w:rPr>
                <w:rFonts w:eastAsia="Times New Roman"/>
                <w:sz w:val="24"/>
                <w:szCs w:val="24"/>
                <w:lang w:eastAsia="ru-RU"/>
              </w:rPr>
            </w:pPr>
            <w:r w:rsidRPr="00C860A4">
              <w:rPr>
                <w:rFonts w:eastAsia="Times New Roman"/>
                <w:sz w:val="24"/>
                <w:szCs w:val="24"/>
                <w:lang w:eastAsia="ru-RU"/>
              </w:rPr>
              <w:t>2018 р.</w:t>
            </w:r>
          </w:p>
        </w:tc>
        <w:tc>
          <w:tcPr>
            <w:tcW w:w="851" w:type="dxa"/>
            <w:tcBorders>
              <w:top w:val="single" w:sz="4" w:space="0" w:color="auto"/>
              <w:left w:val="single" w:sz="4" w:space="0" w:color="auto"/>
              <w:bottom w:val="single" w:sz="4" w:space="0" w:color="auto"/>
              <w:right w:val="single" w:sz="4" w:space="0" w:color="auto"/>
            </w:tcBorders>
          </w:tcPr>
          <w:p w:rsidR="003B67F9" w:rsidRPr="00C860A4" w:rsidRDefault="003B67F9" w:rsidP="00721203">
            <w:pPr>
              <w:widowControl w:val="0"/>
              <w:spacing w:line="276" w:lineRule="auto"/>
              <w:jc w:val="center"/>
              <w:rPr>
                <w:rFonts w:eastAsia="Times New Roman"/>
                <w:sz w:val="24"/>
                <w:szCs w:val="24"/>
                <w:lang w:eastAsia="ru-RU"/>
              </w:rPr>
            </w:pPr>
            <w:r w:rsidRPr="00C860A4">
              <w:rPr>
                <w:rFonts w:eastAsia="Times New Roman"/>
                <w:sz w:val="24"/>
                <w:szCs w:val="24"/>
                <w:lang w:eastAsia="ru-RU"/>
              </w:rPr>
              <w:t>2017 р.</w:t>
            </w:r>
          </w:p>
        </w:tc>
        <w:tc>
          <w:tcPr>
            <w:tcW w:w="733" w:type="dxa"/>
            <w:tcBorders>
              <w:top w:val="single" w:sz="4" w:space="0" w:color="auto"/>
              <w:left w:val="single" w:sz="4" w:space="0" w:color="auto"/>
              <w:bottom w:val="single" w:sz="4" w:space="0" w:color="auto"/>
              <w:right w:val="single" w:sz="4" w:space="0" w:color="auto"/>
            </w:tcBorders>
          </w:tcPr>
          <w:p w:rsidR="003B67F9" w:rsidRPr="00C860A4" w:rsidRDefault="003B67F9" w:rsidP="00721203">
            <w:pPr>
              <w:widowControl w:val="0"/>
              <w:spacing w:line="276" w:lineRule="auto"/>
              <w:jc w:val="center"/>
              <w:rPr>
                <w:rFonts w:eastAsia="Times New Roman"/>
                <w:sz w:val="24"/>
                <w:szCs w:val="24"/>
                <w:lang w:eastAsia="ru-RU"/>
              </w:rPr>
            </w:pPr>
            <w:r w:rsidRPr="00C860A4">
              <w:rPr>
                <w:rFonts w:eastAsia="Times New Roman"/>
                <w:sz w:val="24"/>
                <w:szCs w:val="24"/>
                <w:lang w:eastAsia="ru-RU"/>
              </w:rPr>
              <w:t>2018 р.</w:t>
            </w:r>
          </w:p>
        </w:tc>
        <w:tc>
          <w:tcPr>
            <w:tcW w:w="826" w:type="dxa"/>
            <w:tcBorders>
              <w:top w:val="single" w:sz="4" w:space="0" w:color="auto"/>
              <w:left w:val="single" w:sz="4" w:space="0" w:color="auto"/>
              <w:bottom w:val="single" w:sz="4" w:space="0" w:color="auto"/>
              <w:right w:val="single" w:sz="4" w:space="0" w:color="auto"/>
            </w:tcBorders>
          </w:tcPr>
          <w:p w:rsidR="003B67F9" w:rsidRPr="00C860A4" w:rsidRDefault="003B67F9" w:rsidP="00721203">
            <w:pPr>
              <w:widowControl w:val="0"/>
              <w:spacing w:line="276" w:lineRule="auto"/>
              <w:jc w:val="center"/>
              <w:rPr>
                <w:rFonts w:eastAsia="Times New Roman"/>
                <w:sz w:val="24"/>
                <w:szCs w:val="24"/>
                <w:lang w:eastAsia="ru-RU"/>
              </w:rPr>
            </w:pPr>
            <w:r w:rsidRPr="00C860A4">
              <w:rPr>
                <w:rFonts w:eastAsia="Times New Roman"/>
                <w:sz w:val="24"/>
                <w:szCs w:val="24"/>
                <w:lang w:eastAsia="ru-RU"/>
              </w:rPr>
              <w:t>2017 р.</w:t>
            </w:r>
          </w:p>
        </w:tc>
        <w:tc>
          <w:tcPr>
            <w:tcW w:w="850" w:type="dxa"/>
            <w:tcBorders>
              <w:top w:val="single" w:sz="4" w:space="0" w:color="auto"/>
              <w:left w:val="single" w:sz="4" w:space="0" w:color="auto"/>
              <w:bottom w:val="single" w:sz="4" w:space="0" w:color="auto"/>
              <w:right w:val="single" w:sz="4" w:space="0" w:color="auto"/>
            </w:tcBorders>
          </w:tcPr>
          <w:p w:rsidR="003B67F9" w:rsidRPr="00C860A4" w:rsidRDefault="003B67F9" w:rsidP="00721203">
            <w:pPr>
              <w:widowControl w:val="0"/>
              <w:spacing w:line="276" w:lineRule="auto"/>
              <w:jc w:val="center"/>
              <w:rPr>
                <w:rFonts w:eastAsia="Times New Roman"/>
                <w:sz w:val="24"/>
                <w:szCs w:val="24"/>
                <w:lang w:eastAsia="ru-RU"/>
              </w:rPr>
            </w:pPr>
            <w:r w:rsidRPr="00C860A4">
              <w:rPr>
                <w:rFonts w:eastAsia="Times New Roman"/>
                <w:sz w:val="24"/>
                <w:szCs w:val="24"/>
                <w:lang w:eastAsia="ru-RU"/>
              </w:rPr>
              <w:t>2018 р.</w:t>
            </w:r>
          </w:p>
        </w:tc>
      </w:tr>
      <w:tr w:rsidR="003B67F9" w:rsidRPr="00C860A4" w:rsidTr="00C860A4">
        <w:trPr>
          <w:trHeight w:val="404"/>
          <w:jc w:val="center"/>
        </w:trPr>
        <w:tc>
          <w:tcPr>
            <w:tcW w:w="2552" w:type="dxa"/>
            <w:tcBorders>
              <w:top w:val="single" w:sz="4" w:space="0" w:color="auto"/>
              <w:left w:val="single" w:sz="4" w:space="0" w:color="auto"/>
              <w:bottom w:val="single" w:sz="4" w:space="0" w:color="auto"/>
              <w:right w:val="single" w:sz="4" w:space="0" w:color="auto"/>
            </w:tcBorders>
          </w:tcPr>
          <w:p w:rsidR="003B67F9" w:rsidRPr="00C860A4" w:rsidRDefault="003B67F9" w:rsidP="0010078D">
            <w:pPr>
              <w:widowControl w:val="0"/>
              <w:spacing w:line="276" w:lineRule="auto"/>
              <w:rPr>
                <w:rFonts w:eastAsia="Times New Roman"/>
                <w:sz w:val="24"/>
                <w:szCs w:val="24"/>
                <w:lang w:eastAsia="ru-RU"/>
              </w:rPr>
            </w:pPr>
            <w:r w:rsidRPr="00C860A4">
              <w:rPr>
                <w:rFonts w:eastAsia="Times New Roman"/>
                <w:sz w:val="24"/>
                <w:szCs w:val="24"/>
                <w:lang w:eastAsia="ru-RU"/>
              </w:rPr>
              <w:t>Забезпеченість  лікарями акушер-гінекологами</w:t>
            </w:r>
          </w:p>
        </w:tc>
        <w:tc>
          <w:tcPr>
            <w:tcW w:w="850" w:type="dxa"/>
            <w:tcBorders>
              <w:top w:val="single" w:sz="4" w:space="0" w:color="auto"/>
              <w:left w:val="single" w:sz="4" w:space="0" w:color="auto"/>
              <w:bottom w:val="single" w:sz="4" w:space="0" w:color="auto"/>
              <w:right w:val="single" w:sz="4" w:space="0" w:color="auto"/>
            </w:tcBorders>
          </w:tcPr>
          <w:p w:rsidR="003B67F9" w:rsidRPr="00C860A4" w:rsidRDefault="003B67F9" w:rsidP="0010078D">
            <w:pPr>
              <w:widowControl w:val="0"/>
              <w:spacing w:line="276" w:lineRule="auto"/>
              <w:jc w:val="center"/>
              <w:rPr>
                <w:rFonts w:eastAsia="Times New Roman"/>
                <w:sz w:val="24"/>
                <w:szCs w:val="24"/>
                <w:lang w:eastAsia="ru-RU"/>
              </w:rPr>
            </w:pPr>
            <w:r w:rsidRPr="00C860A4">
              <w:rPr>
                <w:rFonts w:eastAsia="Times New Roman"/>
                <w:sz w:val="24"/>
                <w:szCs w:val="24"/>
                <w:lang w:eastAsia="ru-RU"/>
              </w:rPr>
              <w:t>5,5</w:t>
            </w:r>
          </w:p>
        </w:tc>
        <w:tc>
          <w:tcPr>
            <w:tcW w:w="993" w:type="dxa"/>
            <w:tcBorders>
              <w:top w:val="single" w:sz="4" w:space="0" w:color="auto"/>
              <w:left w:val="single" w:sz="4" w:space="0" w:color="auto"/>
              <w:bottom w:val="single" w:sz="4" w:space="0" w:color="auto"/>
              <w:right w:val="single" w:sz="4" w:space="0" w:color="auto"/>
            </w:tcBorders>
          </w:tcPr>
          <w:p w:rsidR="003B67F9" w:rsidRPr="00C860A4" w:rsidRDefault="003B67F9" w:rsidP="0010078D">
            <w:pPr>
              <w:widowControl w:val="0"/>
              <w:spacing w:line="276" w:lineRule="auto"/>
              <w:ind w:right="-44"/>
              <w:jc w:val="center"/>
              <w:rPr>
                <w:rFonts w:eastAsia="Times New Roman"/>
                <w:sz w:val="24"/>
                <w:szCs w:val="24"/>
                <w:lang w:eastAsia="ru-RU"/>
              </w:rPr>
            </w:pPr>
            <w:r w:rsidRPr="00C860A4">
              <w:rPr>
                <w:rFonts w:eastAsia="Times New Roman"/>
                <w:sz w:val="24"/>
                <w:szCs w:val="24"/>
                <w:lang w:eastAsia="ru-RU"/>
              </w:rPr>
              <w:t>5,5</w:t>
            </w:r>
          </w:p>
        </w:tc>
        <w:tc>
          <w:tcPr>
            <w:tcW w:w="850" w:type="dxa"/>
            <w:tcBorders>
              <w:top w:val="single" w:sz="4" w:space="0" w:color="auto"/>
              <w:left w:val="single" w:sz="4" w:space="0" w:color="auto"/>
              <w:bottom w:val="single" w:sz="4" w:space="0" w:color="auto"/>
              <w:right w:val="single" w:sz="4" w:space="0" w:color="auto"/>
            </w:tcBorders>
          </w:tcPr>
          <w:p w:rsidR="003B67F9" w:rsidRPr="00C860A4" w:rsidRDefault="003B67F9" w:rsidP="0010078D">
            <w:pPr>
              <w:widowControl w:val="0"/>
              <w:spacing w:line="276" w:lineRule="auto"/>
              <w:ind w:right="-44"/>
              <w:jc w:val="center"/>
              <w:rPr>
                <w:rFonts w:eastAsia="Times New Roman"/>
                <w:sz w:val="24"/>
                <w:szCs w:val="24"/>
                <w:lang w:eastAsia="ru-RU"/>
              </w:rPr>
            </w:pPr>
            <w:r w:rsidRPr="00C860A4">
              <w:rPr>
                <w:rFonts w:eastAsia="Times New Roman"/>
                <w:sz w:val="24"/>
                <w:szCs w:val="24"/>
                <w:lang w:eastAsia="ru-RU"/>
              </w:rPr>
              <w:t>6</w:t>
            </w:r>
          </w:p>
        </w:tc>
        <w:tc>
          <w:tcPr>
            <w:tcW w:w="851" w:type="dxa"/>
            <w:tcBorders>
              <w:top w:val="single" w:sz="4" w:space="0" w:color="auto"/>
              <w:left w:val="single" w:sz="4" w:space="0" w:color="auto"/>
              <w:bottom w:val="single" w:sz="4" w:space="0" w:color="auto"/>
              <w:right w:val="single" w:sz="4" w:space="0" w:color="auto"/>
            </w:tcBorders>
          </w:tcPr>
          <w:p w:rsidR="003B67F9" w:rsidRPr="00C860A4" w:rsidRDefault="003B67F9" w:rsidP="0010078D">
            <w:pPr>
              <w:widowControl w:val="0"/>
              <w:spacing w:line="276" w:lineRule="auto"/>
              <w:jc w:val="center"/>
              <w:rPr>
                <w:rFonts w:eastAsia="Times New Roman"/>
                <w:sz w:val="24"/>
                <w:szCs w:val="24"/>
                <w:lang w:eastAsia="ru-RU"/>
              </w:rPr>
            </w:pPr>
            <w:r w:rsidRPr="00C860A4">
              <w:rPr>
                <w:rFonts w:eastAsia="Times New Roman"/>
                <w:sz w:val="24"/>
                <w:szCs w:val="24"/>
                <w:lang w:eastAsia="ru-RU"/>
              </w:rPr>
              <w:t>4,47</w:t>
            </w:r>
          </w:p>
        </w:tc>
        <w:tc>
          <w:tcPr>
            <w:tcW w:w="850" w:type="dxa"/>
            <w:tcBorders>
              <w:top w:val="single" w:sz="4" w:space="0" w:color="auto"/>
              <w:left w:val="single" w:sz="4" w:space="0" w:color="auto"/>
              <w:bottom w:val="single" w:sz="4" w:space="0" w:color="auto"/>
              <w:right w:val="single" w:sz="4" w:space="0" w:color="auto"/>
            </w:tcBorders>
          </w:tcPr>
          <w:p w:rsidR="003B67F9" w:rsidRPr="00C860A4" w:rsidRDefault="003B67F9" w:rsidP="0010078D">
            <w:pPr>
              <w:widowControl w:val="0"/>
              <w:spacing w:line="276" w:lineRule="auto"/>
              <w:jc w:val="center"/>
              <w:rPr>
                <w:rFonts w:eastAsia="Times New Roman"/>
                <w:sz w:val="24"/>
                <w:szCs w:val="24"/>
                <w:lang w:eastAsia="ru-RU"/>
              </w:rPr>
            </w:pPr>
            <w:r w:rsidRPr="00C860A4">
              <w:rPr>
                <w:rFonts w:eastAsia="Times New Roman"/>
                <w:sz w:val="24"/>
                <w:szCs w:val="24"/>
                <w:lang w:eastAsia="ru-RU"/>
              </w:rPr>
              <w:t>4,38</w:t>
            </w:r>
          </w:p>
        </w:tc>
        <w:tc>
          <w:tcPr>
            <w:tcW w:w="851" w:type="dxa"/>
            <w:tcBorders>
              <w:top w:val="single" w:sz="4" w:space="0" w:color="auto"/>
              <w:left w:val="single" w:sz="4" w:space="0" w:color="auto"/>
              <w:bottom w:val="single" w:sz="4" w:space="0" w:color="auto"/>
              <w:right w:val="single" w:sz="4" w:space="0" w:color="auto"/>
            </w:tcBorders>
          </w:tcPr>
          <w:p w:rsidR="003B67F9" w:rsidRPr="00C860A4" w:rsidRDefault="003B67F9" w:rsidP="0010078D">
            <w:pPr>
              <w:widowControl w:val="0"/>
              <w:spacing w:line="276" w:lineRule="auto"/>
              <w:jc w:val="center"/>
              <w:rPr>
                <w:rFonts w:eastAsia="Times New Roman"/>
                <w:sz w:val="24"/>
                <w:szCs w:val="24"/>
                <w:lang w:eastAsia="ru-RU"/>
              </w:rPr>
            </w:pPr>
            <w:r w:rsidRPr="00C860A4">
              <w:rPr>
                <w:rFonts w:eastAsia="Times New Roman"/>
                <w:sz w:val="24"/>
                <w:szCs w:val="24"/>
                <w:lang w:eastAsia="ru-RU"/>
              </w:rPr>
              <w:t>4,88</w:t>
            </w:r>
          </w:p>
        </w:tc>
        <w:tc>
          <w:tcPr>
            <w:tcW w:w="733" w:type="dxa"/>
            <w:tcBorders>
              <w:top w:val="single" w:sz="4" w:space="0" w:color="auto"/>
              <w:left w:val="single" w:sz="4" w:space="0" w:color="auto"/>
              <w:bottom w:val="single" w:sz="4" w:space="0" w:color="auto"/>
              <w:right w:val="single" w:sz="4" w:space="0" w:color="auto"/>
            </w:tcBorders>
          </w:tcPr>
          <w:p w:rsidR="003B67F9" w:rsidRPr="00C860A4" w:rsidRDefault="003B67F9" w:rsidP="0010078D">
            <w:pPr>
              <w:widowControl w:val="0"/>
              <w:spacing w:line="276" w:lineRule="auto"/>
              <w:jc w:val="center"/>
              <w:rPr>
                <w:rFonts w:eastAsia="Times New Roman"/>
                <w:sz w:val="24"/>
                <w:szCs w:val="24"/>
                <w:lang w:eastAsia="ru-RU"/>
              </w:rPr>
            </w:pPr>
            <w:r w:rsidRPr="00C860A4">
              <w:rPr>
                <w:rFonts w:eastAsia="Times New Roman"/>
                <w:sz w:val="24"/>
                <w:szCs w:val="24"/>
                <w:lang w:eastAsia="ru-RU"/>
              </w:rPr>
              <w:t>4,78</w:t>
            </w:r>
          </w:p>
        </w:tc>
        <w:tc>
          <w:tcPr>
            <w:tcW w:w="826" w:type="dxa"/>
            <w:tcBorders>
              <w:top w:val="single" w:sz="4" w:space="0" w:color="auto"/>
              <w:left w:val="single" w:sz="4" w:space="0" w:color="auto"/>
              <w:bottom w:val="single" w:sz="4" w:space="0" w:color="auto"/>
              <w:right w:val="single" w:sz="4" w:space="0" w:color="auto"/>
            </w:tcBorders>
          </w:tcPr>
          <w:p w:rsidR="003B67F9" w:rsidRPr="00C860A4" w:rsidRDefault="003B67F9" w:rsidP="0010078D">
            <w:pPr>
              <w:widowControl w:val="0"/>
              <w:spacing w:line="276" w:lineRule="auto"/>
              <w:jc w:val="center"/>
              <w:rPr>
                <w:rFonts w:eastAsia="Times New Roman"/>
                <w:sz w:val="24"/>
                <w:szCs w:val="24"/>
                <w:lang w:eastAsia="ru-RU"/>
              </w:rPr>
            </w:pPr>
            <w:r w:rsidRPr="00C860A4">
              <w:rPr>
                <w:rFonts w:eastAsia="Times New Roman"/>
                <w:sz w:val="24"/>
                <w:szCs w:val="24"/>
                <w:lang w:eastAsia="ru-RU"/>
              </w:rPr>
              <w:t>0,81</w:t>
            </w:r>
          </w:p>
        </w:tc>
        <w:tc>
          <w:tcPr>
            <w:tcW w:w="850" w:type="dxa"/>
            <w:tcBorders>
              <w:top w:val="single" w:sz="4" w:space="0" w:color="auto"/>
              <w:left w:val="single" w:sz="4" w:space="0" w:color="auto"/>
              <w:bottom w:val="single" w:sz="4" w:space="0" w:color="auto"/>
              <w:right w:val="single" w:sz="4" w:space="0" w:color="auto"/>
            </w:tcBorders>
          </w:tcPr>
          <w:p w:rsidR="003B67F9" w:rsidRPr="00C860A4" w:rsidRDefault="003B67F9" w:rsidP="0010078D">
            <w:pPr>
              <w:widowControl w:val="0"/>
              <w:spacing w:line="276" w:lineRule="auto"/>
              <w:jc w:val="center"/>
              <w:rPr>
                <w:rFonts w:eastAsia="Times New Roman"/>
                <w:sz w:val="24"/>
                <w:szCs w:val="24"/>
                <w:lang w:eastAsia="ru-RU"/>
              </w:rPr>
            </w:pPr>
            <w:r w:rsidRPr="00C860A4">
              <w:rPr>
                <w:rFonts w:eastAsia="Times New Roman"/>
                <w:sz w:val="24"/>
                <w:szCs w:val="24"/>
                <w:lang w:eastAsia="ru-RU"/>
              </w:rPr>
              <w:t>0,8</w:t>
            </w:r>
          </w:p>
        </w:tc>
      </w:tr>
      <w:tr w:rsidR="003B67F9" w:rsidRPr="00C860A4" w:rsidTr="00C860A4">
        <w:trPr>
          <w:trHeight w:val="404"/>
          <w:jc w:val="center"/>
        </w:trPr>
        <w:tc>
          <w:tcPr>
            <w:tcW w:w="2552" w:type="dxa"/>
            <w:tcBorders>
              <w:top w:val="single" w:sz="4" w:space="0" w:color="auto"/>
              <w:left w:val="single" w:sz="4" w:space="0" w:color="auto"/>
              <w:bottom w:val="single" w:sz="4" w:space="0" w:color="auto"/>
              <w:right w:val="single" w:sz="4" w:space="0" w:color="auto"/>
            </w:tcBorders>
          </w:tcPr>
          <w:p w:rsidR="003B67F9" w:rsidRPr="00C860A4" w:rsidRDefault="003B67F9" w:rsidP="0010078D">
            <w:pPr>
              <w:widowControl w:val="0"/>
              <w:spacing w:line="276" w:lineRule="auto"/>
              <w:rPr>
                <w:rFonts w:eastAsia="Times New Roman"/>
                <w:sz w:val="24"/>
                <w:szCs w:val="24"/>
                <w:lang w:eastAsia="ru-RU"/>
              </w:rPr>
            </w:pPr>
            <w:r w:rsidRPr="00C860A4">
              <w:rPr>
                <w:rFonts w:eastAsia="Times New Roman"/>
                <w:sz w:val="24"/>
                <w:szCs w:val="24"/>
                <w:lang w:eastAsia="ru-RU"/>
              </w:rPr>
              <w:t>Забезпеченість  лікарями  педіатрами-неонатологами</w:t>
            </w:r>
          </w:p>
        </w:tc>
        <w:tc>
          <w:tcPr>
            <w:tcW w:w="850" w:type="dxa"/>
            <w:tcBorders>
              <w:top w:val="single" w:sz="4" w:space="0" w:color="auto"/>
              <w:left w:val="single" w:sz="4" w:space="0" w:color="auto"/>
              <w:bottom w:val="single" w:sz="4" w:space="0" w:color="auto"/>
              <w:right w:val="single" w:sz="4" w:space="0" w:color="auto"/>
            </w:tcBorders>
          </w:tcPr>
          <w:p w:rsidR="003B67F9" w:rsidRPr="00C860A4" w:rsidRDefault="003B67F9" w:rsidP="0010078D">
            <w:pPr>
              <w:widowControl w:val="0"/>
              <w:spacing w:line="276" w:lineRule="auto"/>
              <w:jc w:val="center"/>
              <w:rPr>
                <w:rFonts w:eastAsia="Times New Roman"/>
                <w:sz w:val="24"/>
                <w:szCs w:val="24"/>
                <w:lang w:eastAsia="ru-RU"/>
              </w:rPr>
            </w:pPr>
            <w:r w:rsidRPr="00C860A4">
              <w:rPr>
                <w:rFonts w:eastAsia="Times New Roman"/>
                <w:sz w:val="24"/>
                <w:szCs w:val="24"/>
                <w:lang w:eastAsia="ru-RU"/>
              </w:rPr>
              <w:t>5,5</w:t>
            </w:r>
          </w:p>
        </w:tc>
        <w:tc>
          <w:tcPr>
            <w:tcW w:w="993" w:type="dxa"/>
            <w:tcBorders>
              <w:top w:val="single" w:sz="4" w:space="0" w:color="auto"/>
              <w:left w:val="single" w:sz="4" w:space="0" w:color="auto"/>
              <w:bottom w:val="single" w:sz="4" w:space="0" w:color="auto"/>
              <w:right w:val="single" w:sz="4" w:space="0" w:color="auto"/>
            </w:tcBorders>
          </w:tcPr>
          <w:p w:rsidR="003B67F9" w:rsidRPr="00C860A4" w:rsidRDefault="003B67F9" w:rsidP="0010078D">
            <w:pPr>
              <w:widowControl w:val="0"/>
              <w:spacing w:line="276" w:lineRule="auto"/>
              <w:jc w:val="center"/>
              <w:rPr>
                <w:rFonts w:eastAsia="Times New Roman"/>
                <w:sz w:val="24"/>
                <w:szCs w:val="24"/>
                <w:lang w:eastAsia="ru-RU"/>
              </w:rPr>
            </w:pPr>
            <w:r w:rsidRPr="00C860A4">
              <w:rPr>
                <w:rFonts w:eastAsia="Times New Roman"/>
                <w:sz w:val="24"/>
                <w:szCs w:val="24"/>
                <w:lang w:eastAsia="ru-RU"/>
              </w:rPr>
              <w:t>5,5</w:t>
            </w:r>
          </w:p>
        </w:tc>
        <w:tc>
          <w:tcPr>
            <w:tcW w:w="850" w:type="dxa"/>
            <w:tcBorders>
              <w:top w:val="single" w:sz="4" w:space="0" w:color="auto"/>
              <w:left w:val="single" w:sz="4" w:space="0" w:color="auto"/>
              <w:bottom w:val="single" w:sz="4" w:space="0" w:color="auto"/>
              <w:right w:val="single" w:sz="4" w:space="0" w:color="auto"/>
            </w:tcBorders>
          </w:tcPr>
          <w:p w:rsidR="003B67F9" w:rsidRPr="00C860A4" w:rsidRDefault="003B67F9" w:rsidP="0010078D">
            <w:pPr>
              <w:widowControl w:val="0"/>
              <w:spacing w:line="276" w:lineRule="auto"/>
              <w:jc w:val="center"/>
              <w:rPr>
                <w:rFonts w:eastAsia="Times New Roman"/>
                <w:sz w:val="24"/>
                <w:szCs w:val="24"/>
                <w:lang w:eastAsia="ru-RU"/>
              </w:rPr>
            </w:pPr>
            <w:r w:rsidRPr="00C860A4">
              <w:rPr>
                <w:rFonts w:eastAsia="Times New Roman"/>
                <w:sz w:val="24"/>
                <w:szCs w:val="24"/>
                <w:lang w:eastAsia="ru-RU"/>
              </w:rPr>
              <w:t>6</w:t>
            </w:r>
          </w:p>
        </w:tc>
        <w:tc>
          <w:tcPr>
            <w:tcW w:w="851" w:type="dxa"/>
            <w:tcBorders>
              <w:top w:val="single" w:sz="4" w:space="0" w:color="auto"/>
              <w:left w:val="single" w:sz="4" w:space="0" w:color="auto"/>
              <w:bottom w:val="single" w:sz="4" w:space="0" w:color="auto"/>
              <w:right w:val="single" w:sz="4" w:space="0" w:color="auto"/>
            </w:tcBorders>
          </w:tcPr>
          <w:p w:rsidR="003B67F9" w:rsidRPr="00C860A4" w:rsidRDefault="003B67F9" w:rsidP="0010078D">
            <w:pPr>
              <w:widowControl w:val="0"/>
              <w:spacing w:line="276" w:lineRule="auto"/>
              <w:jc w:val="center"/>
              <w:rPr>
                <w:rFonts w:eastAsia="Times New Roman"/>
                <w:sz w:val="24"/>
                <w:szCs w:val="24"/>
                <w:lang w:eastAsia="ru-RU"/>
              </w:rPr>
            </w:pPr>
            <w:r w:rsidRPr="00C860A4">
              <w:rPr>
                <w:rFonts w:eastAsia="Times New Roman"/>
                <w:sz w:val="24"/>
                <w:szCs w:val="24"/>
                <w:lang w:eastAsia="ru-RU"/>
              </w:rPr>
              <w:t>4,51</w:t>
            </w:r>
          </w:p>
        </w:tc>
        <w:tc>
          <w:tcPr>
            <w:tcW w:w="850" w:type="dxa"/>
            <w:tcBorders>
              <w:top w:val="single" w:sz="4" w:space="0" w:color="auto"/>
              <w:left w:val="single" w:sz="4" w:space="0" w:color="auto"/>
              <w:bottom w:val="single" w:sz="4" w:space="0" w:color="auto"/>
              <w:right w:val="single" w:sz="4" w:space="0" w:color="auto"/>
            </w:tcBorders>
          </w:tcPr>
          <w:p w:rsidR="003B67F9" w:rsidRPr="00C860A4" w:rsidRDefault="003B67F9" w:rsidP="0010078D">
            <w:pPr>
              <w:widowControl w:val="0"/>
              <w:spacing w:line="276" w:lineRule="auto"/>
              <w:jc w:val="center"/>
              <w:rPr>
                <w:rFonts w:eastAsia="Times New Roman"/>
                <w:sz w:val="24"/>
                <w:szCs w:val="24"/>
                <w:lang w:eastAsia="ru-RU"/>
              </w:rPr>
            </w:pPr>
            <w:r w:rsidRPr="00C860A4">
              <w:rPr>
                <w:rFonts w:eastAsia="Times New Roman"/>
                <w:sz w:val="24"/>
                <w:szCs w:val="24"/>
                <w:lang w:eastAsia="ru-RU"/>
              </w:rPr>
              <w:t>4,96</w:t>
            </w:r>
          </w:p>
        </w:tc>
        <w:tc>
          <w:tcPr>
            <w:tcW w:w="851" w:type="dxa"/>
            <w:tcBorders>
              <w:top w:val="single" w:sz="4" w:space="0" w:color="auto"/>
              <w:left w:val="single" w:sz="4" w:space="0" w:color="auto"/>
              <w:bottom w:val="single" w:sz="4" w:space="0" w:color="auto"/>
              <w:right w:val="single" w:sz="4" w:space="0" w:color="auto"/>
            </w:tcBorders>
          </w:tcPr>
          <w:p w:rsidR="003B67F9" w:rsidRPr="00C860A4" w:rsidRDefault="003B67F9" w:rsidP="0010078D">
            <w:pPr>
              <w:widowControl w:val="0"/>
              <w:spacing w:line="276" w:lineRule="auto"/>
              <w:jc w:val="center"/>
              <w:rPr>
                <w:rFonts w:eastAsia="Times New Roman"/>
                <w:sz w:val="24"/>
                <w:szCs w:val="24"/>
                <w:lang w:eastAsia="ru-RU"/>
              </w:rPr>
            </w:pPr>
            <w:r w:rsidRPr="00C860A4">
              <w:rPr>
                <w:rFonts w:eastAsia="Times New Roman"/>
                <w:sz w:val="24"/>
                <w:szCs w:val="24"/>
                <w:lang w:eastAsia="ru-RU"/>
              </w:rPr>
              <w:t>4,92</w:t>
            </w:r>
          </w:p>
        </w:tc>
        <w:tc>
          <w:tcPr>
            <w:tcW w:w="733" w:type="dxa"/>
            <w:tcBorders>
              <w:top w:val="single" w:sz="4" w:space="0" w:color="auto"/>
              <w:left w:val="single" w:sz="4" w:space="0" w:color="auto"/>
              <w:bottom w:val="single" w:sz="4" w:space="0" w:color="auto"/>
              <w:right w:val="single" w:sz="4" w:space="0" w:color="auto"/>
            </w:tcBorders>
          </w:tcPr>
          <w:p w:rsidR="003B67F9" w:rsidRPr="00C860A4" w:rsidRDefault="003B67F9" w:rsidP="0010078D">
            <w:pPr>
              <w:widowControl w:val="0"/>
              <w:spacing w:line="276" w:lineRule="auto"/>
              <w:jc w:val="center"/>
              <w:rPr>
                <w:rFonts w:eastAsia="Times New Roman"/>
                <w:sz w:val="24"/>
                <w:szCs w:val="24"/>
                <w:lang w:eastAsia="ru-RU"/>
              </w:rPr>
            </w:pPr>
            <w:r w:rsidRPr="00C860A4">
              <w:rPr>
                <w:rFonts w:eastAsia="Times New Roman"/>
                <w:sz w:val="24"/>
                <w:szCs w:val="24"/>
                <w:lang w:eastAsia="ru-RU"/>
              </w:rPr>
              <w:t>5,41</w:t>
            </w:r>
          </w:p>
        </w:tc>
        <w:tc>
          <w:tcPr>
            <w:tcW w:w="826" w:type="dxa"/>
            <w:tcBorders>
              <w:top w:val="single" w:sz="4" w:space="0" w:color="auto"/>
              <w:left w:val="single" w:sz="4" w:space="0" w:color="auto"/>
              <w:bottom w:val="single" w:sz="4" w:space="0" w:color="auto"/>
              <w:right w:val="single" w:sz="4" w:space="0" w:color="auto"/>
            </w:tcBorders>
          </w:tcPr>
          <w:p w:rsidR="003B67F9" w:rsidRPr="00C860A4" w:rsidRDefault="003B67F9" w:rsidP="0010078D">
            <w:pPr>
              <w:widowControl w:val="0"/>
              <w:spacing w:line="276" w:lineRule="auto"/>
              <w:jc w:val="center"/>
              <w:rPr>
                <w:rFonts w:eastAsia="Times New Roman"/>
                <w:sz w:val="24"/>
                <w:szCs w:val="24"/>
                <w:lang w:eastAsia="ru-RU"/>
              </w:rPr>
            </w:pPr>
            <w:r w:rsidRPr="00C860A4">
              <w:rPr>
                <w:rFonts w:eastAsia="Times New Roman"/>
                <w:sz w:val="24"/>
                <w:szCs w:val="24"/>
                <w:lang w:eastAsia="ru-RU"/>
              </w:rPr>
              <w:t>0,82</w:t>
            </w:r>
          </w:p>
        </w:tc>
        <w:tc>
          <w:tcPr>
            <w:tcW w:w="850" w:type="dxa"/>
            <w:tcBorders>
              <w:top w:val="single" w:sz="4" w:space="0" w:color="auto"/>
              <w:left w:val="single" w:sz="4" w:space="0" w:color="auto"/>
              <w:bottom w:val="single" w:sz="4" w:space="0" w:color="auto"/>
              <w:right w:val="single" w:sz="4" w:space="0" w:color="auto"/>
            </w:tcBorders>
          </w:tcPr>
          <w:p w:rsidR="003B67F9" w:rsidRPr="00C860A4" w:rsidRDefault="003B67F9" w:rsidP="0010078D">
            <w:pPr>
              <w:widowControl w:val="0"/>
              <w:spacing w:line="276" w:lineRule="auto"/>
              <w:jc w:val="center"/>
              <w:rPr>
                <w:rFonts w:eastAsia="Times New Roman"/>
                <w:sz w:val="24"/>
                <w:szCs w:val="24"/>
                <w:lang w:eastAsia="ru-RU"/>
              </w:rPr>
            </w:pPr>
            <w:r w:rsidRPr="00C860A4">
              <w:rPr>
                <w:rFonts w:eastAsia="Times New Roman"/>
                <w:sz w:val="24"/>
                <w:szCs w:val="24"/>
                <w:lang w:eastAsia="ru-RU"/>
              </w:rPr>
              <w:t>0,9</w:t>
            </w:r>
          </w:p>
        </w:tc>
      </w:tr>
      <w:tr w:rsidR="003B67F9" w:rsidRPr="00C860A4" w:rsidTr="00C860A4">
        <w:trPr>
          <w:trHeight w:val="404"/>
          <w:jc w:val="center"/>
        </w:trPr>
        <w:tc>
          <w:tcPr>
            <w:tcW w:w="2552" w:type="dxa"/>
            <w:tcBorders>
              <w:top w:val="single" w:sz="4" w:space="0" w:color="auto"/>
              <w:left w:val="single" w:sz="4" w:space="0" w:color="auto"/>
              <w:bottom w:val="single" w:sz="4" w:space="0" w:color="auto"/>
              <w:right w:val="single" w:sz="4" w:space="0" w:color="auto"/>
            </w:tcBorders>
          </w:tcPr>
          <w:p w:rsidR="003B67F9" w:rsidRPr="00C860A4" w:rsidRDefault="003B67F9" w:rsidP="0010078D">
            <w:pPr>
              <w:widowControl w:val="0"/>
              <w:spacing w:line="276" w:lineRule="auto"/>
              <w:rPr>
                <w:rFonts w:eastAsia="Times New Roman"/>
                <w:sz w:val="24"/>
                <w:szCs w:val="24"/>
                <w:lang w:eastAsia="ru-RU"/>
              </w:rPr>
            </w:pPr>
            <w:r w:rsidRPr="00C860A4">
              <w:rPr>
                <w:rFonts w:eastAsia="Times New Roman"/>
                <w:sz w:val="24"/>
                <w:szCs w:val="24"/>
                <w:lang w:eastAsia="ru-RU"/>
              </w:rPr>
              <w:t>Питома вага атестованих лікарів акушер-гінекологів</w:t>
            </w:r>
          </w:p>
        </w:tc>
        <w:tc>
          <w:tcPr>
            <w:tcW w:w="850" w:type="dxa"/>
            <w:tcBorders>
              <w:top w:val="single" w:sz="4" w:space="0" w:color="auto"/>
              <w:left w:val="single" w:sz="4" w:space="0" w:color="auto"/>
              <w:bottom w:val="single" w:sz="4" w:space="0" w:color="auto"/>
              <w:right w:val="single" w:sz="4" w:space="0" w:color="auto"/>
            </w:tcBorders>
          </w:tcPr>
          <w:p w:rsidR="003B67F9" w:rsidRPr="00C860A4" w:rsidRDefault="003B67F9" w:rsidP="0010078D">
            <w:pPr>
              <w:widowControl w:val="0"/>
              <w:spacing w:line="276" w:lineRule="auto"/>
              <w:jc w:val="center"/>
              <w:rPr>
                <w:rFonts w:eastAsia="Times New Roman"/>
                <w:sz w:val="24"/>
                <w:szCs w:val="24"/>
                <w:lang w:eastAsia="ru-RU"/>
              </w:rPr>
            </w:pPr>
            <w:r w:rsidRPr="00C860A4">
              <w:rPr>
                <w:rFonts w:eastAsia="Times New Roman"/>
                <w:sz w:val="24"/>
                <w:szCs w:val="24"/>
                <w:lang w:eastAsia="ru-RU"/>
              </w:rPr>
              <w:t>*</w:t>
            </w:r>
          </w:p>
        </w:tc>
        <w:tc>
          <w:tcPr>
            <w:tcW w:w="993" w:type="dxa"/>
            <w:tcBorders>
              <w:top w:val="single" w:sz="4" w:space="0" w:color="auto"/>
              <w:left w:val="single" w:sz="4" w:space="0" w:color="auto"/>
              <w:bottom w:val="single" w:sz="4" w:space="0" w:color="auto"/>
              <w:right w:val="single" w:sz="4" w:space="0" w:color="auto"/>
            </w:tcBorders>
          </w:tcPr>
          <w:p w:rsidR="003B67F9" w:rsidRPr="00C860A4" w:rsidRDefault="003B67F9" w:rsidP="0010078D">
            <w:pPr>
              <w:widowControl w:val="0"/>
              <w:spacing w:line="276" w:lineRule="auto"/>
              <w:jc w:val="center"/>
              <w:rPr>
                <w:rFonts w:eastAsia="Times New Roman"/>
                <w:sz w:val="24"/>
                <w:szCs w:val="24"/>
                <w:lang w:eastAsia="ru-RU"/>
              </w:rPr>
            </w:pPr>
            <w:r w:rsidRPr="00C860A4">
              <w:rPr>
                <w:rFonts w:eastAsia="Times New Roman"/>
                <w:sz w:val="24"/>
                <w:szCs w:val="24"/>
                <w:lang w:eastAsia="ru-RU"/>
              </w:rPr>
              <w:t>90</w:t>
            </w:r>
          </w:p>
        </w:tc>
        <w:tc>
          <w:tcPr>
            <w:tcW w:w="850" w:type="dxa"/>
            <w:tcBorders>
              <w:top w:val="single" w:sz="4" w:space="0" w:color="auto"/>
              <w:left w:val="single" w:sz="4" w:space="0" w:color="auto"/>
              <w:bottom w:val="single" w:sz="4" w:space="0" w:color="auto"/>
              <w:right w:val="single" w:sz="4" w:space="0" w:color="auto"/>
            </w:tcBorders>
          </w:tcPr>
          <w:p w:rsidR="003B67F9" w:rsidRPr="00C860A4" w:rsidRDefault="003B67F9" w:rsidP="0010078D">
            <w:pPr>
              <w:widowControl w:val="0"/>
              <w:spacing w:line="276" w:lineRule="auto"/>
              <w:jc w:val="center"/>
              <w:rPr>
                <w:rFonts w:eastAsia="Times New Roman"/>
                <w:sz w:val="24"/>
                <w:szCs w:val="24"/>
                <w:lang w:eastAsia="ru-RU"/>
              </w:rPr>
            </w:pPr>
            <w:r w:rsidRPr="00C860A4">
              <w:rPr>
                <w:rFonts w:eastAsia="Times New Roman"/>
                <w:sz w:val="24"/>
                <w:szCs w:val="24"/>
                <w:lang w:eastAsia="ru-RU"/>
              </w:rPr>
              <w:t>6</w:t>
            </w:r>
          </w:p>
        </w:tc>
        <w:tc>
          <w:tcPr>
            <w:tcW w:w="851" w:type="dxa"/>
            <w:tcBorders>
              <w:top w:val="single" w:sz="4" w:space="0" w:color="auto"/>
              <w:left w:val="single" w:sz="4" w:space="0" w:color="auto"/>
              <w:bottom w:val="single" w:sz="4" w:space="0" w:color="auto"/>
              <w:right w:val="single" w:sz="4" w:space="0" w:color="auto"/>
            </w:tcBorders>
          </w:tcPr>
          <w:p w:rsidR="003B67F9" w:rsidRPr="00C860A4" w:rsidRDefault="003B67F9" w:rsidP="0010078D">
            <w:pPr>
              <w:widowControl w:val="0"/>
              <w:spacing w:line="276" w:lineRule="auto"/>
              <w:jc w:val="center"/>
              <w:rPr>
                <w:rFonts w:eastAsia="Times New Roman"/>
                <w:sz w:val="24"/>
                <w:szCs w:val="24"/>
                <w:lang w:eastAsia="ru-RU"/>
              </w:rPr>
            </w:pPr>
            <w:r w:rsidRPr="00C860A4">
              <w:rPr>
                <w:rFonts w:eastAsia="Times New Roman"/>
                <w:sz w:val="24"/>
                <w:szCs w:val="24"/>
                <w:lang w:eastAsia="ru-RU"/>
              </w:rPr>
              <w:t>*</w:t>
            </w:r>
          </w:p>
        </w:tc>
        <w:tc>
          <w:tcPr>
            <w:tcW w:w="850" w:type="dxa"/>
            <w:tcBorders>
              <w:top w:val="single" w:sz="4" w:space="0" w:color="auto"/>
              <w:left w:val="single" w:sz="4" w:space="0" w:color="auto"/>
              <w:bottom w:val="single" w:sz="4" w:space="0" w:color="auto"/>
              <w:right w:val="single" w:sz="4" w:space="0" w:color="auto"/>
            </w:tcBorders>
          </w:tcPr>
          <w:p w:rsidR="003B67F9" w:rsidRPr="00C860A4" w:rsidRDefault="003B67F9" w:rsidP="0010078D">
            <w:pPr>
              <w:widowControl w:val="0"/>
              <w:spacing w:line="276" w:lineRule="auto"/>
              <w:jc w:val="center"/>
              <w:rPr>
                <w:rFonts w:eastAsia="Times New Roman"/>
                <w:sz w:val="24"/>
                <w:szCs w:val="24"/>
                <w:lang w:eastAsia="ru-RU"/>
              </w:rPr>
            </w:pPr>
            <w:r w:rsidRPr="00C860A4">
              <w:rPr>
                <w:rFonts w:eastAsia="Times New Roman"/>
                <w:sz w:val="24"/>
                <w:szCs w:val="24"/>
                <w:lang w:eastAsia="ru-RU"/>
              </w:rPr>
              <w:t>85,28</w:t>
            </w:r>
          </w:p>
        </w:tc>
        <w:tc>
          <w:tcPr>
            <w:tcW w:w="851" w:type="dxa"/>
            <w:tcBorders>
              <w:top w:val="single" w:sz="4" w:space="0" w:color="auto"/>
              <w:left w:val="single" w:sz="4" w:space="0" w:color="auto"/>
              <w:bottom w:val="single" w:sz="4" w:space="0" w:color="auto"/>
              <w:right w:val="single" w:sz="4" w:space="0" w:color="auto"/>
            </w:tcBorders>
          </w:tcPr>
          <w:p w:rsidR="003B67F9" w:rsidRPr="00C860A4" w:rsidRDefault="003B67F9" w:rsidP="0010078D">
            <w:pPr>
              <w:widowControl w:val="0"/>
              <w:spacing w:line="276" w:lineRule="auto"/>
              <w:jc w:val="center"/>
              <w:rPr>
                <w:rFonts w:eastAsia="Times New Roman"/>
                <w:sz w:val="24"/>
                <w:szCs w:val="24"/>
                <w:lang w:eastAsia="ru-RU"/>
              </w:rPr>
            </w:pPr>
            <w:r w:rsidRPr="00C860A4">
              <w:rPr>
                <w:rFonts w:eastAsia="Times New Roman"/>
                <w:sz w:val="24"/>
                <w:szCs w:val="24"/>
                <w:lang w:eastAsia="ru-RU"/>
              </w:rPr>
              <w:t>*</w:t>
            </w:r>
          </w:p>
        </w:tc>
        <w:tc>
          <w:tcPr>
            <w:tcW w:w="733" w:type="dxa"/>
            <w:tcBorders>
              <w:top w:val="single" w:sz="4" w:space="0" w:color="auto"/>
              <w:left w:val="single" w:sz="4" w:space="0" w:color="auto"/>
              <w:bottom w:val="single" w:sz="4" w:space="0" w:color="auto"/>
              <w:right w:val="single" w:sz="4" w:space="0" w:color="auto"/>
            </w:tcBorders>
          </w:tcPr>
          <w:p w:rsidR="003B67F9" w:rsidRPr="00C860A4" w:rsidRDefault="003B67F9" w:rsidP="0010078D">
            <w:pPr>
              <w:widowControl w:val="0"/>
              <w:spacing w:line="276" w:lineRule="auto"/>
              <w:jc w:val="center"/>
              <w:rPr>
                <w:rFonts w:eastAsia="Times New Roman"/>
                <w:sz w:val="24"/>
                <w:szCs w:val="24"/>
                <w:lang w:eastAsia="ru-RU"/>
              </w:rPr>
            </w:pPr>
            <w:r w:rsidRPr="00C860A4">
              <w:rPr>
                <w:rFonts w:eastAsia="Times New Roman"/>
                <w:sz w:val="24"/>
                <w:szCs w:val="24"/>
                <w:lang w:eastAsia="ru-RU"/>
              </w:rPr>
              <w:t>5,69</w:t>
            </w:r>
          </w:p>
        </w:tc>
        <w:tc>
          <w:tcPr>
            <w:tcW w:w="826" w:type="dxa"/>
            <w:tcBorders>
              <w:top w:val="single" w:sz="4" w:space="0" w:color="auto"/>
              <w:left w:val="single" w:sz="4" w:space="0" w:color="auto"/>
              <w:bottom w:val="single" w:sz="4" w:space="0" w:color="auto"/>
              <w:right w:val="single" w:sz="4" w:space="0" w:color="auto"/>
            </w:tcBorders>
          </w:tcPr>
          <w:p w:rsidR="003B67F9" w:rsidRPr="00C860A4" w:rsidRDefault="003B67F9" w:rsidP="0010078D">
            <w:pPr>
              <w:widowControl w:val="0"/>
              <w:spacing w:line="276" w:lineRule="auto"/>
              <w:jc w:val="center"/>
              <w:rPr>
                <w:rFonts w:eastAsia="Times New Roman"/>
                <w:sz w:val="24"/>
                <w:szCs w:val="24"/>
                <w:lang w:eastAsia="ru-RU"/>
              </w:rPr>
            </w:pPr>
            <w:r w:rsidRPr="00C860A4">
              <w:rPr>
                <w:rFonts w:eastAsia="Times New Roman"/>
                <w:sz w:val="24"/>
                <w:szCs w:val="24"/>
                <w:lang w:eastAsia="ru-RU"/>
              </w:rPr>
              <w:t>*</w:t>
            </w:r>
          </w:p>
        </w:tc>
        <w:tc>
          <w:tcPr>
            <w:tcW w:w="850" w:type="dxa"/>
            <w:tcBorders>
              <w:top w:val="single" w:sz="4" w:space="0" w:color="auto"/>
              <w:left w:val="single" w:sz="4" w:space="0" w:color="auto"/>
              <w:bottom w:val="single" w:sz="4" w:space="0" w:color="auto"/>
              <w:right w:val="single" w:sz="4" w:space="0" w:color="auto"/>
            </w:tcBorders>
          </w:tcPr>
          <w:p w:rsidR="003B67F9" w:rsidRPr="00C860A4" w:rsidRDefault="003B67F9" w:rsidP="0010078D">
            <w:pPr>
              <w:widowControl w:val="0"/>
              <w:spacing w:line="276" w:lineRule="auto"/>
              <w:jc w:val="center"/>
              <w:rPr>
                <w:rFonts w:eastAsia="Times New Roman"/>
                <w:sz w:val="24"/>
                <w:szCs w:val="24"/>
                <w:lang w:eastAsia="ru-RU"/>
              </w:rPr>
            </w:pPr>
            <w:r w:rsidRPr="00C860A4">
              <w:rPr>
                <w:rFonts w:eastAsia="Times New Roman"/>
                <w:sz w:val="24"/>
                <w:szCs w:val="24"/>
                <w:lang w:eastAsia="ru-RU"/>
              </w:rPr>
              <w:t>0,95</w:t>
            </w:r>
          </w:p>
        </w:tc>
      </w:tr>
      <w:tr w:rsidR="003B67F9" w:rsidRPr="00C860A4" w:rsidTr="00C860A4">
        <w:trPr>
          <w:trHeight w:val="404"/>
          <w:jc w:val="center"/>
        </w:trPr>
        <w:tc>
          <w:tcPr>
            <w:tcW w:w="2552" w:type="dxa"/>
            <w:tcBorders>
              <w:top w:val="single" w:sz="4" w:space="0" w:color="auto"/>
              <w:left w:val="single" w:sz="4" w:space="0" w:color="auto"/>
              <w:bottom w:val="single" w:sz="4" w:space="0" w:color="auto"/>
              <w:right w:val="single" w:sz="4" w:space="0" w:color="auto"/>
            </w:tcBorders>
          </w:tcPr>
          <w:p w:rsidR="003B67F9" w:rsidRPr="00C860A4" w:rsidRDefault="003B67F9" w:rsidP="0010078D">
            <w:pPr>
              <w:widowControl w:val="0"/>
              <w:spacing w:line="276" w:lineRule="auto"/>
              <w:rPr>
                <w:rFonts w:eastAsia="Times New Roman"/>
                <w:sz w:val="24"/>
                <w:szCs w:val="24"/>
                <w:lang w:eastAsia="ru-RU"/>
              </w:rPr>
            </w:pPr>
            <w:r w:rsidRPr="00C860A4">
              <w:rPr>
                <w:rFonts w:eastAsia="Times New Roman"/>
                <w:sz w:val="24"/>
                <w:szCs w:val="24"/>
                <w:lang w:eastAsia="ru-RU"/>
              </w:rPr>
              <w:t>Питома вага атестованих лікарів педіатрів-неонатологів</w:t>
            </w:r>
          </w:p>
        </w:tc>
        <w:tc>
          <w:tcPr>
            <w:tcW w:w="850" w:type="dxa"/>
            <w:tcBorders>
              <w:top w:val="single" w:sz="4" w:space="0" w:color="auto"/>
              <w:left w:val="single" w:sz="4" w:space="0" w:color="auto"/>
              <w:bottom w:val="single" w:sz="4" w:space="0" w:color="auto"/>
              <w:right w:val="single" w:sz="4" w:space="0" w:color="auto"/>
            </w:tcBorders>
          </w:tcPr>
          <w:p w:rsidR="003B67F9" w:rsidRPr="00C860A4" w:rsidRDefault="003B67F9" w:rsidP="0010078D">
            <w:pPr>
              <w:widowControl w:val="0"/>
              <w:spacing w:line="276" w:lineRule="auto"/>
              <w:jc w:val="center"/>
              <w:rPr>
                <w:rFonts w:eastAsia="Times New Roman"/>
                <w:sz w:val="24"/>
                <w:szCs w:val="24"/>
                <w:lang w:eastAsia="ru-RU"/>
              </w:rPr>
            </w:pPr>
            <w:r w:rsidRPr="00C860A4">
              <w:rPr>
                <w:rFonts w:eastAsia="Times New Roman"/>
                <w:sz w:val="24"/>
                <w:szCs w:val="24"/>
                <w:lang w:eastAsia="ru-RU"/>
              </w:rPr>
              <w:t>*</w:t>
            </w:r>
          </w:p>
        </w:tc>
        <w:tc>
          <w:tcPr>
            <w:tcW w:w="993" w:type="dxa"/>
            <w:tcBorders>
              <w:top w:val="single" w:sz="4" w:space="0" w:color="auto"/>
              <w:left w:val="single" w:sz="4" w:space="0" w:color="auto"/>
              <w:bottom w:val="single" w:sz="4" w:space="0" w:color="auto"/>
              <w:right w:val="single" w:sz="4" w:space="0" w:color="auto"/>
            </w:tcBorders>
          </w:tcPr>
          <w:p w:rsidR="003B67F9" w:rsidRPr="00C860A4" w:rsidRDefault="003B67F9" w:rsidP="0010078D">
            <w:pPr>
              <w:widowControl w:val="0"/>
              <w:spacing w:line="276" w:lineRule="auto"/>
              <w:jc w:val="center"/>
              <w:rPr>
                <w:rFonts w:eastAsia="Times New Roman"/>
                <w:sz w:val="24"/>
                <w:szCs w:val="24"/>
                <w:lang w:eastAsia="ru-RU"/>
              </w:rPr>
            </w:pPr>
            <w:r w:rsidRPr="00C860A4">
              <w:rPr>
                <w:rFonts w:eastAsia="Times New Roman"/>
                <w:sz w:val="24"/>
                <w:szCs w:val="24"/>
                <w:lang w:eastAsia="ru-RU"/>
              </w:rPr>
              <w:t>80</w:t>
            </w:r>
          </w:p>
        </w:tc>
        <w:tc>
          <w:tcPr>
            <w:tcW w:w="850" w:type="dxa"/>
            <w:tcBorders>
              <w:top w:val="single" w:sz="4" w:space="0" w:color="auto"/>
              <w:left w:val="single" w:sz="4" w:space="0" w:color="auto"/>
              <w:bottom w:val="single" w:sz="4" w:space="0" w:color="auto"/>
              <w:right w:val="single" w:sz="4" w:space="0" w:color="auto"/>
            </w:tcBorders>
          </w:tcPr>
          <w:p w:rsidR="003B67F9" w:rsidRPr="00C860A4" w:rsidRDefault="003B67F9" w:rsidP="0010078D">
            <w:pPr>
              <w:widowControl w:val="0"/>
              <w:spacing w:line="276" w:lineRule="auto"/>
              <w:jc w:val="center"/>
              <w:rPr>
                <w:rFonts w:eastAsia="Times New Roman"/>
                <w:sz w:val="24"/>
                <w:szCs w:val="24"/>
                <w:lang w:eastAsia="ru-RU"/>
              </w:rPr>
            </w:pPr>
            <w:r w:rsidRPr="00C860A4">
              <w:rPr>
                <w:rFonts w:eastAsia="Times New Roman"/>
                <w:sz w:val="24"/>
                <w:szCs w:val="24"/>
                <w:lang w:eastAsia="ru-RU"/>
              </w:rPr>
              <w:t>6</w:t>
            </w:r>
          </w:p>
        </w:tc>
        <w:tc>
          <w:tcPr>
            <w:tcW w:w="851" w:type="dxa"/>
            <w:tcBorders>
              <w:top w:val="single" w:sz="4" w:space="0" w:color="auto"/>
              <w:left w:val="single" w:sz="4" w:space="0" w:color="auto"/>
              <w:bottom w:val="single" w:sz="4" w:space="0" w:color="auto"/>
              <w:right w:val="single" w:sz="4" w:space="0" w:color="auto"/>
            </w:tcBorders>
          </w:tcPr>
          <w:p w:rsidR="003B67F9" w:rsidRPr="00C860A4" w:rsidRDefault="003B67F9" w:rsidP="0010078D">
            <w:pPr>
              <w:widowControl w:val="0"/>
              <w:spacing w:line="276" w:lineRule="auto"/>
              <w:jc w:val="center"/>
              <w:rPr>
                <w:rFonts w:eastAsia="Times New Roman"/>
                <w:sz w:val="24"/>
                <w:szCs w:val="24"/>
                <w:lang w:eastAsia="ru-RU"/>
              </w:rPr>
            </w:pPr>
            <w:r w:rsidRPr="00C860A4">
              <w:rPr>
                <w:rFonts w:eastAsia="Times New Roman"/>
                <w:sz w:val="24"/>
                <w:szCs w:val="24"/>
                <w:lang w:eastAsia="ru-RU"/>
              </w:rPr>
              <w:t>*</w:t>
            </w:r>
          </w:p>
        </w:tc>
        <w:tc>
          <w:tcPr>
            <w:tcW w:w="850" w:type="dxa"/>
            <w:tcBorders>
              <w:top w:val="single" w:sz="4" w:space="0" w:color="auto"/>
              <w:left w:val="single" w:sz="4" w:space="0" w:color="auto"/>
              <w:bottom w:val="single" w:sz="4" w:space="0" w:color="auto"/>
              <w:right w:val="single" w:sz="4" w:space="0" w:color="auto"/>
            </w:tcBorders>
          </w:tcPr>
          <w:p w:rsidR="003B67F9" w:rsidRPr="00C860A4" w:rsidRDefault="003B67F9" w:rsidP="0010078D">
            <w:pPr>
              <w:widowControl w:val="0"/>
              <w:spacing w:line="276" w:lineRule="auto"/>
              <w:jc w:val="center"/>
              <w:rPr>
                <w:rFonts w:eastAsia="Times New Roman"/>
                <w:sz w:val="24"/>
                <w:szCs w:val="24"/>
                <w:lang w:eastAsia="ru-RU"/>
              </w:rPr>
            </w:pPr>
            <w:r w:rsidRPr="00C860A4">
              <w:rPr>
                <w:rFonts w:eastAsia="Times New Roman"/>
                <w:sz w:val="24"/>
                <w:szCs w:val="24"/>
                <w:lang w:eastAsia="ru-RU"/>
              </w:rPr>
              <w:t>76,79</w:t>
            </w:r>
          </w:p>
        </w:tc>
        <w:tc>
          <w:tcPr>
            <w:tcW w:w="851" w:type="dxa"/>
            <w:tcBorders>
              <w:top w:val="single" w:sz="4" w:space="0" w:color="auto"/>
              <w:left w:val="single" w:sz="4" w:space="0" w:color="auto"/>
              <w:bottom w:val="single" w:sz="4" w:space="0" w:color="auto"/>
              <w:right w:val="single" w:sz="4" w:space="0" w:color="auto"/>
            </w:tcBorders>
          </w:tcPr>
          <w:p w:rsidR="003B67F9" w:rsidRPr="00C860A4" w:rsidRDefault="003B67F9" w:rsidP="0010078D">
            <w:pPr>
              <w:widowControl w:val="0"/>
              <w:spacing w:line="276" w:lineRule="auto"/>
              <w:jc w:val="center"/>
              <w:rPr>
                <w:rFonts w:eastAsia="Times New Roman"/>
                <w:sz w:val="24"/>
                <w:szCs w:val="24"/>
                <w:lang w:eastAsia="ru-RU"/>
              </w:rPr>
            </w:pPr>
            <w:r w:rsidRPr="00C860A4">
              <w:rPr>
                <w:rFonts w:eastAsia="Times New Roman"/>
                <w:sz w:val="24"/>
                <w:szCs w:val="24"/>
                <w:lang w:eastAsia="ru-RU"/>
              </w:rPr>
              <w:t>*</w:t>
            </w:r>
          </w:p>
        </w:tc>
        <w:tc>
          <w:tcPr>
            <w:tcW w:w="733" w:type="dxa"/>
            <w:tcBorders>
              <w:top w:val="single" w:sz="4" w:space="0" w:color="auto"/>
              <w:left w:val="single" w:sz="4" w:space="0" w:color="auto"/>
              <w:bottom w:val="single" w:sz="4" w:space="0" w:color="auto"/>
              <w:right w:val="single" w:sz="4" w:space="0" w:color="auto"/>
            </w:tcBorders>
          </w:tcPr>
          <w:p w:rsidR="003B67F9" w:rsidRPr="00C860A4" w:rsidRDefault="003B67F9" w:rsidP="0010078D">
            <w:pPr>
              <w:widowControl w:val="0"/>
              <w:spacing w:line="276" w:lineRule="auto"/>
              <w:jc w:val="center"/>
              <w:rPr>
                <w:rFonts w:eastAsia="Times New Roman"/>
                <w:sz w:val="24"/>
                <w:szCs w:val="24"/>
                <w:lang w:eastAsia="ru-RU"/>
              </w:rPr>
            </w:pPr>
            <w:r w:rsidRPr="00C860A4">
              <w:rPr>
                <w:rFonts w:eastAsia="Times New Roman"/>
                <w:sz w:val="24"/>
                <w:szCs w:val="24"/>
                <w:lang w:eastAsia="ru-RU"/>
              </w:rPr>
              <w:t>5,76</w:t>
            </w:r>
          </w:p>
        </w:tc>
        <w:tc>
          <w:tcPr>
            <w:tcW w:w="826" w:type="dxa"/>
            <w:tcBorders>
              <w:top w:val="single" w:sz="4" w:space="0" w:color="auto"/>
              <w:left w:val="single" w:sz="4" w:space="0" w:color="auto"/>
              <w:bottom w:val="single" w:sz="4" w:space="0" w:color="auto"/>
              <w:right w:val="single" w:sz="4" w:space="0" w:color="auto"/>
            </w:tcBorders>
          </w:tcPr>
          <w:p w:rsidR="003B67F9" w:rsidRPr="00C860A4" w:rsidRDefault="003B67F9" w:rsidP="0010078D">
            <w:pPr>
              <w:widowControl w:val="0"/>
              <w:spacing w:line="276" w:lineRule="auto"/>
              <w:jc w:val="center"/>
              <w:rPr>
                <w:rFonts w:eastAsia="Times New Roman"/>
                <w:sz w:val="24"/>
                <w:szCs w:val="24"/>
                <w:lang w:eastAsia="ru-RU"/>
              </w:rPr>
            </w:pPr>
            <w:r w:rsidRPr="00C860A4">
              <w:rPr>
                <w:rFonts w:eastAsia="Times New Roman"/>
                <w:sz w:val="24"/>
                <w:szCs w:val="24"/>
                <w:lang w:eastAsia="ru-RU"/>
              </w:rPr>
              <w:t>*</w:t>
            </w:r>
          </w:p>
        </w:tc>
        <w:tc>
          <w:tcPr>
            <w:tcW w:w="850" w:type="dxa"/>
            <w:tcBorders>
              <w:top w:val="single" w:sz="4" w:space="0" w:color="auto"/>
              <w:left w:val="single" w:sz="4" w:space="0" w:color="auto"/>
              <w:bottom w:val="single" w:sz="4" w:space="0" w:color="auto"/>
              <w:right w:val="single" w:sz="4" w:space="0" w:color="auto"/>
            </w:tcBorders>
          </w:tcPr>
          <w:p w:rsidR="003B67F9" w:rsidRPr="00C860A4" w:rsidRDefault="003B67F9" w:rsidP="0010078D">
            <w:pPr>
              <w:widowControl w:val="0"/>
              <w:spacing w:line="276" w:lineRule="auto"/>
              <w:jc w:val="center"/>
              <w:rPr>
                <w:rFonts w:eastAsia="Times New Roman"/>
                <w:sz w:val="24"/>
                <w:szCs w:val="24"/>
                <w:lang w:eastAsia="ru-RU"/>
              </w:rPr>
            </w:pPr>
            <w:r w:rsidRPr="00C860A4">
              <w:rPr>
                <w:rFonts w:eastAsia="Times New Roman"/>
                <w:sz w:val="24"/>
                <w:szCs w:val="24"/>
                <w:lang w:eastAsia="ru-RU"/>
              </w:rPr>
              <w:t>0,96</w:t>
            </w:r>
          </w:p>
        </w:tc>
      </w:tr>
      <w:tr w:rsidR="003B67F9" w:rsidRPr="00C860A4" w:rsidTr="00C860A4">
        <w:trPr>
          <w:trHeight w:val="319"/>
          <w:jc w:val="center"/>
        </w:trPr>
        <w:tc>
          <w:tcPr>
            <w:tcW w:w="2552" w:type="dxa"/>
            <w:tcBorders>
              <w:top w:val="single" w:sz="4" w:space="0" w:color="auto"/>
              <w:left w:val="single" w:sz="4" w:space="0" w:color="auto"/>
              <w:bottom w:val="single" w:sz="4" w:space="0" w:color="auto"/>
              <w:right w:val="single" w:sz="4" w:space="0" w:color="auto"/>
            </w:tcBorders>
          </w:tcPr>
          <w:p w:rsidR="003B67F9" w:rsidRPr="00C860A4" w:rsidRDefault="003B67F9" w:rsidP="0010078D">
            <w:pPr>
              <w:widowControl w:val="0"/>
              <w:spacing w:line="276" w:lineRule="auto"/>
              <w:rPr>
                <w:rFonts w:eastAsia="Times New Roman"/>
                <w:sz w:val="24"/>
                <w:szCs w:val="24"/>
                <w:lang w:eastAsia="ru-RU"/>
              </w:rPr>
            </w:pPr>
            <w:r w:rsidRPr="00C860A4">
              <w:rPr>
                <w:rFonts w:eastAsia="Times New Roman"/>
                <w:sz w:val="24"/>
                <w:szCs w:val="24"/>
                <w:lang w:eastAsia="ru-RU"/>
              </w:rPr>
              <w:t xml:space="preserve">Своєчасність постановки на облік вагітних </w:t>
            </w:r>
          </w:p>
        </w:tc>
        <w:tc>
          <w:tcPr>
            <w:tcW w:w="850" w:type="dxa"/>
            <w:tcBorders>
              <w:top w:val="single" w:sz="4" w:space="0" w:color="auto"/>
              <w:left w:val="single" w:sz="4" w:space="0" w:color="auto"/>
              <w:bottom w:val="single" w:sz="4" w:space="0" w:color="auto"/>
              <w:right w:val="single" w:sz="4" w:space="0" w:color="auto"/>
            </w:tcBorders>
          </w:tcPr>
          <w:p w:rsidR="003B67F9" w:rsidRPr="00C860A4" w:rsidRDefault="003B67F9" w:rsidP="0010078D">
            <w:pPr>
              <w:widowControl w:val="0"/>
              <w:spacing w:line="276" w:lineRule="auto"/>
              <w:jc w:val="center"/>
              <w:rPr>
                <w:rFonts w:eastAsia="Times New Roman"/>
                <w:sz w:val="24"/>
                <w:szCs w:val="24"/>
                <w:lang w:eastAsia="ru-RU"/>
              </w:rPr>
            </w:pPr>
            <w:r w:rsidRPr="00C860A4">
              <w:rPr>
                <w:rFonts w:eastAsia="Times New Roman"/>
                <w:sz w:val="24"/>
                <w:szCs w:val="24"/>
                <w:lang w:eastAsia="ru-RU"/>
              </w:rPr>
              <w:t>95</w:t>
            </w:r>
          </w:p>
        </w:tc>
        <w:tc>
          <w:tcPr>
            <w:tcW w:w="993" w:type="dxa"/>
            <w:tcBorders>
              <w:top w:val="single" w:sz="4" w:space="0" w:color="auto"/>
              <w:left w:val="single" w:sz="4" w:space="0" w:color="auto"/>
              <w:bottom w:val="single" w:sz="4" w:space="0" w:color="auto"/>
              <w:right w:val="single" w:sz="4" w:space="0" w:color="auto"/>
            </w:tcBorders>
          </w:tcPr>
          <w:p w:rsidR="003B67F9" w:rsidRPr="00C860A4" w:rsidRDefault="003B67F9" w:rsidP="0010078D">
            <w:pPr>
              <w:widowControl w:val="0"/>
              <w:spacing w:line="276" w:lineRule="auto"/>
              <w:jc w:val="center"/>
              <w:rPr>
                <w:rFonts w:eastAsia="Times New Roman"/>
                <w:sz w:val="24"/>
                <w:szCs w:val="24"/>
                <w:lang w:eastAsia="ru-RU"/>
              </w:rPr>
            </w:pPr>
            <w:r w:rsidRPr="00C860A4">
              <w:rPr>
                <w:rFonts w:eastAsia="Times New Roman"/>
                <w:sz w:val="24"/>
                <w:szCs w:val="24"/>
                <w:lang w:eastAsia="ru-RU"/>
              </w:rPr>
              <w:t>95</w:t>
            </w:r>
          </w:p>
        </w:tc>
        <w:tc>
          <w:tcPr>
            <w:tcW w:w="850" w:type="dxa"/>
            <w:tcBorders>
              <w:top w:val="single" w:sz="4" w:space="0" w:color="auto"/>
              <w:left w:val="single" w:sz="4" w:space="0" w:color="auto"/>
              <w:bottom w:val="single" w:sz="4" w:space="0" w:color="auto"/>
              <w:right w:val="single" w:sz="4" w:space="0" w:color="auto"/>
            </w:tcBorders>
          </w:tcPr>
          <w:p w:rsidR="003B67F9" w:rsidRPr="00C860A4" w:rsidRDefault="003B67F9" w:rsidP="0010078D">
            <w:pPr>
              <w:widowControl w:val="0"/>
              <w:spacing w:line="276" w:lineRule="auto"/>
              <w:jc w:val="center"/>
              <w:rPr>
                <w:rFonts w:eastAsia="Times New Roman"/>
                <w:sz w:val="24"/>
                <w:szCs w:val="24"/>
                <w:lang w:eastAsia="ru-RU"/>
              </w:rPr>
            </w:pPr>
            <w:r w:rsidRPr="00C860A4">
              <w:rPr>
                <w:rFonts w:eastAsia="Times New Roman"/>
                <w:sz w:val="24"/>
                <w:szCs w:val="24"/>
                <w:lang w:eastAsia="ru-RU"/>
              </w:rPr>
              <w:t>7</w:t>
            </w:r>
          </w:p>
        </w:tc>
        <w:tc>
          <w:tcPr>
            <w:tcW w:w="851" w:type="dxa"/>
            <w:tcBorders>
              <w:top w:val="single" w:sz="4" w:space="0" w:color="auto"/>
              <w:left w:val="single" w:sz="4" w:space="0" w:color="auto"/>
              <w:bottom w:val="single" w:sz="4" w:space="0" w:color="auto"/>
              <w:right w:val="single" w:sz="4" w:space="0" w:color="auto"/>
            </w:tcBorders>
          </w:tcPr>
          <w:p w:rsidR="003B67F9" w:rsidRPr="00C860A4" w:rsidRDefault="003B67F9" w:rsidP="0010078D">
            <w:pPr>
              <w:widowControl w:val="0"/>
              <w:spacing w:line="276" w:lineRule="auto"/>
              <w:jc w:val="center"/>
              <w:rPr>
                <w:rFonts w:eastAsia="Times New Roman"/>
                <w:sz w:val="24"/>
                <w:szCs w:val="24"/>
                <w:lang w:eastAsia="ru-RU"/>
              </w:rPr>
            </w:pPr>
            <w:r w:rsidRPr="00C860A4">
              <w:rPr>
                <w:rFonts w:eastAsia="Times New Roman"/>
                <w:sz w:val="24"/>
                <w:szCs w:val="24"/>
                <w:lang w:eastAsia="ru-RU"/>
              </w:rPr>
              <w:t>91,36</w:t>
            </w:r>
          </w:p>
        </w:tc>
        <w:tc>
          <w:tcPr>
            <w:tcW w:w="850" w:type="dxa"/>
            <w:tcBorders>
              <w:top w:val="single" w:sz="4" w:space="0" w:color="auto"/>
              <w:left w:val="single" w:sz="4" w:space="0" w:color="auto"/>
              <w:bottom w:val="single" w:sz="4" w:space="0" w:color="auto"/>
              <w:right w:val="single" w:sz="4" w:space="0" w:color="auto"/>
            </w:tcBorders>
          </w:tcPr>
          <w:p w:rsidR="003B67F9" w:rsidRPr="00C860A4" w:rsidRDefault="003B67F9" w:rsidP="0010078D">
            <w:pPr>
              <w:widowControl w:val="0"/>
              <w:spacing w:line="276" w:lineRule="auto"/>
              <w:jc w:val="center"/>
              <w:rPr>
                <w:rFonts w:eastAsia="Times New Roman"/>
                <w:sz w:val="24"/>
                <w:szCs w:val="24"/>
                <w:lang w:eastAsia="ru-RU"/>
              </w:rPr>
            </w:pPr>
            <w:r w:rsidRPr="00C860A4">
              <w:rPr>
                <w:rFonts w:eastAsia="Times New Roman"/>
                <w:sz w:val="24"/>
                <w:szCs w:val="24"/>
                <w:lang w:eastAsia="ru-RU"/>
              </w:rPr>
              <w:t>91,32</w:t>
            </w:r>
          </w:p>
        </w:tc>
        <w:tc>
          <w:tcPr>
            <w:tcW w:w="851" w:type="dxa"/>
            <w:tcBorders>
              <w:top w:val="single" w:sz="4" w:space="0" w:color="auto"/>
              <w:left w:val="single" w:sz="4" w:space="0" w:color="auto"/>
              <w:bottom w:val="single" w:sz="4" w:space="0" w:color="auto"/>
              <w:right w:val="single" w:sz="4" w:space="0" w:color="auto"/>
            </w:tcBorders>
          </w:tcPr>
          <w:p w:rsidR="003B67F9" w:rsidRPr="00C860A4" w:rsidRDefault="003B67F9" w:rsidP="0010078D">
            <w:pPr>
              <w:widowControl w:val="0"/>
              <w:spacing w:line="276" w:lineRule="auto"/>
              <w:jc w:val="center"/>
              <w:rPr>
                <w:rFonts w:eastAsia="Times New Roman"/>
                <w:sz w:val="24"/>
                <w:szCs w:val="24"/>
                <w:lang w:eastAsia="ru-RU"/>
              </w:rPr>
            </w:pPr>
            <w:r w:rsidRPr="00C860A4">
              <w:rPr>
                <w:rFonts w:eastAsia="Times New Roman"/>
                <w:sz w:val="24"/>
                <w:szCs w:val="24"/>
                <w:lang w:eastAsia="ru-RU"/>
              </w:rPr>
              <w:t>6,73</w:t>
            </w:r>
          </w:p>
        </w:tc>
        <w:tc>
          <w:tcPr>
            <w:tcW w:w="733" w:type="dxa"/>
            <w:tcBorders>
              <w:top w:val="single" w:sz="4" w:space="0" w:color="auto"/>
              <w:left w:val="single" w:sz="4" w:space="0" w:color="auto"/>
              <w:bottom w:val="single" w:sz="4" w:space="0" w:color="auto"/>
              <w:right w:val="single" w:sz="4" w:space="0" w:color="auto"/>
            </w:tcBorders>
          </w:tcPr>
          <w:p w:rsidR="003B67F9" w:rsidRPr="00C860A4" w:rsidRDefault="003B67F9" w:rsidP="0010078D">
            <w:pPr>
              <w:widowControl w:val="0"/>
              <w:spacing w:line="276" w:lineRule="auto"/>
              <w:jc w:val="center"/>
              <w:rPr>
                <w:rFonts w:eastAsia="Times New Roman"/>
                <w:sz w:val="24"/>
                <w:szCs w:val="24"/>
                <w:lang w:eastAsia="ru-RU"/>
              </w:rPr>
            </w:pPr>
            <w:r w:rsidRPr="00C860A4">
              <w:rPr>
                <w:rFonts w:eastAsia="Times New Roman"/>
                <w:sz w:val="24"/>
                <w:szCs w:val="24"/>
                <w:lang w:eastAsia="ru-RU"/>
              </w:rPr>
              <w:t>6,74</w:t>
            </w:r>
          </w:p>
        </w:tc>
        <w:tc>
          <w:tcPr>
            <w:tcW w:w="826" w:type="dxa"/>
            <w:tcBorders>
              <w:top w:val="single" w:sz="4" w:space="0" w:color="auto"/>
              <w:left w:val="single" w:sz="4" w:space="0" w:color="auto"/>
              <w:bottom w:val="single" w:sz="4" w:space="0" w:color="auto"/>
              <w:right w:val="single" w:sz="4" w:space="0" w:color="auto"/>
            </w:tcBorders>
          </w:tcPr>
          <w:p w:rsidR="003B67F9" w:rsidRPr="00C860A4" w:rsidRDefault="003B67F9" w:rsidP="0010078D">
            <w:pPr>
              <w:widowControl w:val="0"/>
              <w:spacing w:line="276" w:lineRule="auto"/>
              <w:jc w:val="center"/>
              <w:rPr>
                <w:rFonts w:eastAsia="Times New Roman"/>
                <w:sz w:val="24"/>
                <w:szCs w:val="24"/>
                <w:lang w:eastAsia="ru-RU"/>
              </w:rPr>
            </w:pPr>
            <w:r w:rsidRPr="00C860A4">
              <w:rPr>
                <w:rFonts w:eastAsia="Times New Roman"/>
                <w:sz w:val="24"/>
                <w:szCs w:val="24"/>
                <w:lang w:eastAsia="ru-RU"/>
              </w:rPr>
              <w:t>0,96</w:t>
            </w:r>
          </w:p>
        </w:tc>
        <w:tc>
          <w:tcPr>
            <w:tcW w:w="850" w:type="dxa"/>
            <w:tcBorders>
              <w:top w:val="single" w:sz="4" w:space="0" w:color="auto"/>
              <w:left w:val="single" w:sz="4" w:space="0" w:color="auto"/>
              <w:bottom w:val="single" w:sz="4" w:space="0" w:color="auto"/>
              <w:right w:val="single" w:sz="4" w:space="0" w:color="auto"/>
            </w:tcBorders>
          </w:tcPr>
          <w:p w:rsidR="003B67F9" w:rsidRPr="00C860A4" w:rsidRDefault="003B67F9" w:rsidP="0010078D">
            <w:pPr>
              <w:widowControl w:val="0"/>
              <w:spacing w:line="276" w:lineRule="auto"/>
              <w:jc w:val="center"/>
              <w:rPr>
                <w:rFonts w:eastAsia="Times New Roman"/>
                <w:sz w:val="24"/>
                <w:szCs w:val="24"/>
                <w:lang w:eastAsia="ru-RU"/>
              </w:rPr>
            </w:pPr>
            <w:r w:rsidRPr="00C860A4">
              <w:rPr>
                <w:rFonts w:eastAsia="Times New Roman"/>
                <w:sz w:val="24"/>
                <w:szCs w:val="24"/>
                <w:lang w:eastAsia="ru-RU"/>
              </w:rPr>
              <w:t>0,96</w:t>
            </w:r>
          </w:p>
        </w:tc>
      </w:tr>
      <w:tr w:rsidR="003B67F9" w:rsidRPr="00C860A4" w:rsidTr="00C860A4">
        <w:trPr>
          <w:trHeight w:val="284"/>
          <w:jc w:val="center"/>
        </w:trPr>
        <w:tc>
          <w:tcPr>
            <w:tcW w:w="2552" w:type="dxa"/>
            <w:tcBorders>
              <w:top w:val="single" w:sz="4" w:space="0" w:color="auto"/>
              <w:left w:val="single" w:sz="4" w:space="0" w:color="auto"/>
              <w:bottom w:val="single" w:sz="4" w:space="0" w:color="auto"/>
              <w:right w:val="single" w:sz="4" w:space="0" w:color="auto"/>
            </w:tcBorders>
          </w:tcPr>
          <w:p w:rsidR="003B67F9" w:rsidRPr="00C860A4" w:rsidRDefault="003B67F9" w:rsidP="0010078D">
            <w:pPr>
              <w:widowControl w:val="0"/>
              <w:spacing w:line="276" w:lineRule="auto"/>
              <w:rPr>
                <w:rFonts w:eastAsia="Times New Roman"/>
                <w:sz w:val="24"/>
                <w:szCs w:val="24"/>
                <w:lang w:eastAsia="ru-RU"/>
              </w:rPr>
            </w:pPr>
            <w:r w:rsidRPr="00C860A4">
              <w:rPr>
                <w:rFonts w:eastAsia="Times New Roman"/>
                <w:sz w:val="24"/>
                <w:szCs w:val="24"/>
                <w:lang w:eastAsia="ru-RU"/>
              </w:rPr>
              <w:t>Частота анемій вагітних</w:t>
            </w:r>
          </w:p>
        </w:tc>
        <w:tc>
          <w:tcPr>
            <w:tcW w:w="850" w:type="dxa"/>
            <w:tcBorders>
              <w:top w:val="single" w:sz="4" w:space="0" w:color="auto"/>
              <w:left w:val="single" w:sz="4" w:space="0" w:color="auto"/>
              <w:bottom w:val="single" w:sz="4" w:space="0" w:color="auto"/>
              <w:right w:val="single" w:sz="4" w:space="0" w:color="auto"/>
            </w:tcBorders>
          </w:tcPr>
          <w:p w:rsidR="003B67F9" w:rsidRPr="00C860A4" w:rsidRDefault="003B67F9" w:rsidP="0010078D">
            <w:pPr>
              <w:widowControl w:val="0"/>
              <w:spacing w:line="276" w:lineRule="auto"/>
              <w:jc w:val="center"/>
              <w:rPr>
                <w:rFonts w:eastAsia="Times New Roman"/>
                <w:sz w:val="24"/>
                <w:szCs w:val="24"/>
                <w:lang w:eastAsia="ru-RU"/>
              </w:rPr>
            </w:pPr>
            <w:r w:rsidRPr="00C860A4">
              <w:rPr>
                <w:rFonts w:eastAsia="Times New Roman"/>
                <w:sz w:val="24"/>
                <w:szCs w:val="24"/>
                <w:lang w:eastAsia="ru-RU"/>
              </w:rPr>
              <w:t>20</w:t>
            </w:r>
          </w:p>
        </w:tc>
        <w:tc>
          <w:tcPr>
            <w:tcW w:w="993" w:type="dxa"/>
            <w:tcBorders>
              <w:top w:val="single" w:sz="4" w:space="0" w:color="auto"/>
              <w:left w:val="single" w:sz="4" w:space="0" w:color="auto"/>
              <w:bottom w:val="single" w:sz="4" w:space="0" w:color="auto"/>
              <w:right w:val="single" w:sz="4" w:space="0" w:color="auto"/>
            </w:tcBorders>
          </w:tcPr>
          <w:p w:rsidR="003B67F9" w:rsidRPr="00C860A4" w:rsidRDefault="003B67F9" w:rsidP="0010078D">
            <w:pPr>
              <w:widowControl w:val="0"/>
              <w:spacing w:line="276" w:lineRule="auto"/>
              <w:jc w:val="center"/>
              <w:rPr>
                <w:rFonts w:eastAsia="Times New Roman"/>
                <w:sz w:val="24"/>
                <w:szCs w:val="24"/>
                <w:lang w:eastAsia="ru-RU"/>
              </w:rPr>
            </w:pPr>
            <w:r w:rsidRPr="00C860A4">
              <w:rPr>
                <w:rFonts w:eastAsia="Times New Roman"/>
                <w:sz w:val="24"/>
                <w:szCs w:val="24"/>
                <w:lang w:eastAsia="ru-RU"/>
              </w:rPr>
              <w:t>21,5</w:t>
            </w:r>
          </w:p>
        </w:tc>
        <w:tc>
          <w:tcPr>
            <w:tcW w:w="850" w:type="dxa"/>
            <w:tcBorders>
              <w:top w:val="single" w:sz="4" w:space="0" w:color="auto"/>
              <w:left w:val="single" w:sz="4" w:space="0" w:color="auto"/>
              <w:bottom w:val="single" w:sz="4" w:space="0" w:color="auto"/>
              <w:right w:val="single" w:sz="4" w:space="0" w:color="auto"/>
            </w:tcBorders>
          </w:tcPr>
          <w:p w:rsidR="003B67F9" w:rsidRPr="00C860A4" w:rsidRDefault="003B67F9" w:rsidP="0010078D">
            <w:pPr>
              <w:widowControl w:val="0"/>
              <w:spacing w:line="276" w:lineRule="auto"/>
              <w:jc w:val="center"/>
              <w:rPr>
                <w:rFonts w:eastAsia="Times New Roman"/>
                <w:sz w:val="24"/>
                <w:szCs w:val="24"/>
                <w:lang w:eastAsia="ru-RU"/>
              </w:rPr>
            </w:pPr>
            <w:r w:rsidRPr="00C860A4">
              <w:rPr>
                <w:rFonts w:eastAsia="Times New Roman"/>
                <w:sz w:val="24"/>
                <w:szCs w:val="24"/>
                <w:lang w:eastAsia="ru-RU"/>
              </w:rPr>
              <w:t>4</w:t>
            </w:r>
          </w:p>
        </w:tc>
        <w:tc>
          <w:tcPr>
            <w:tcW w:w="851" w:type="dxa"/>
            <w:tcBorders>
              <w:top w:val="single" w:sz="4" w:space="0" w:color="auto"/>
              <w:left w:val="single" w:sz="4" w:space="0" w:color="auto"/>
              <w:bottom w:val="single" w:sz="4" w:space="0" w:color="auto"/>
              <w:right w:val="single" w:sz="4" w:space="0" w:color="auto"/>
            </w:tcBorders>
          </w:tcPr>
          <w:p w:rsidR="003B67F9" w:rsidRPr="00C860A4" w:rsidRDefault="003B67F9" w:rsidP="0010078D">
            <w:pPr>
              <w:widowControl w:val="0"/>
              <w:spacing w:line="276" w:lineRule="auto"/>
              <w:jc w:val="center"/>
              <w:rPr>
                <w:rFonts w:eastAsia="Times New Roman"/>
                <w:sz w:val="24"/>
                <w:szCs w:val="24"/>
                <w:lang w:eastAsia="ru-RU"/>
              </w:rPr>
            </w:pPr>
            <w:r w:rsidRPr="00C860A4">
              <w:rPr>
                <w:rFonts w:eastAsia="Times New Roman"/>
                <w:sz w:val="24"/>
                <w:szCs w:val="24"/>
                <w:lang w:eastAsia="ru-RU"/>
              </w:rPr>
              <w:t>25,55</w:t>
            </w:r>
          </w:p>
        </w:tc>
        <w:tc>
          <w:tcPr>
            <w:tcW w:w="850" w:type="dxa"/>
            <w:tcBorders>
              <w:top w:val="single" w:sz="4" w:space="0" w:color="auto"/>
              <w:left w:val="single" w:sz="4" w:space="0" w:color="auto"/>
              <w:bottom w:val="single" w:sz="4" w:space="0" w:color="auto"/>
              <w:right w:val="single" w:sz="4" w:space="0" w:color="auto"/>
            </w:tcBorders>
          </w:tcPr>
          <w:p w:rsidR="003B67F9" w:rsidRPr="00C860A4" w:rsidRDefault="003B67F9" w:rsidP="0010078D">
            <w:pPr>
              <w:widowControl w:val="0"/>
              <w:spacing w:line="276" w:lineRule="auto"/>
              <w:jc w:val="center"/>
              <w:rPr>
                <w:rFonts w:eastAsia="Times New Roman"/>
                <w:sz w:val="24"/>
                <w:szCs w:val="24"/>
                <w:lang w:eastAsia="ru-RU"/>
              </w:rPr>
            </w:pPr>
            <w:r w:rsidRPr="00C860A4">
              <w:rPr>
                <w:rFonts w:eastAsia="Times New Roman"/>
                <w:sz w:val="24"/>
                <w:szCs w:val="24"/>
                <w:lang w:eastAsia="ru-RU"/>
              </w:rPr>
              <w:t>25,97</w:t>
            </w:r>
          </w:p>
        </w:tc>
        <w:tc>
          <w:tcPr>
            <w:tcW w:w="851" w:type="dxa"/>
            <w:tcBorders>
              <w:top w:val="single" w:sz="4" w:space="0" w:color="auto"/>
              <w:left w:val="single" w:sz="4" w:space="0" w:color="auto"/>
              <w:bottom w:val="single" w:sz="4" w:space="0" w:color="auto"/>
              <w:right w:val="single" w:sz="4" w:space="0" w:color="auto"/>
            </w:tcBorders>
          </w:tcPr>
          <w:p w:rsidR="003B67F9" w:rsidRPr="00C860A4" w:rsidRDefault="003B67F9" w:rsidP="0010078D">
            <w:pPr>
              <w:widowControl w:val="0"/>
              <w:spacing w:line="276" w:lineRule="auto"/>
              <w:jc w:val="center"/>
              <w:rPr>
                <w:rFonts w:eastAsia="Times New Roman"/>
                <w:sz w:val="24"/>
                <w:szCs w:val="24"/>
                <w:lang w:eastAsia="ru-RU"/>
              </w:rPr>
            </w:pPr>
            <w:r w:rsidRPr="00C860A4">
              <w:rPr>
                <w:rFonts w:eastAsia="Times New Roman"/>
                <w:sz w:val="24"/>
                <w:szCs w:val="24"/>
                <w:lang w:eastAsia="ru-RU"/>
              </w:rPr>
              <w:t>2,89</w:t>
            </w:r>
          </w:p>
        </w:tc>
        <w:tc>
          <w:tcPr>
            <w:tcW w:w="733" w:type="dxa"/>
            <w:tcBorders>
              <w:top w:val="single" w:sz="4" w:space="0" w:color="auto"/>
              <w:left w:val="single" w:sz="4" w:space="0" w:color="auto"/>
              <w:bottom w:val="single" w:sz="4" w:space="0" w:color="auto"/>
              <w:right w:val="single" w:sz="4" w:space="0" w:color="auto"/>
            </w:tcBorders>
          </w:tcPr>
          <w:p w:rsidR="003B67F9" w:rsidRPr="00C860A4" w:rsidRDefault="003B67F9" w:rsidP="0010078D">
            <w:pPr>
              <w:widowControl w:val="0"/>
              <w:spacing w:line="276" w:lineRule="auto"/>
              <w:jc w:val="center"/>
              <w:rPr>
                <w:rFonts w:eastAsia="Times New Roman"/>
                <w:sz w:val="24"/>
                <w:szCs w:val="24"/>
                <w:lang w:eastAsia="ru-RU"/>
              </w:rPr>
            </w:pPr>
            <w:r w:rsidRPr="00C860A4">
              <w:rPr>
                <w:rFonts w:eastAsia="Times New Roman"/>
                <w:sz w:val="24"/>
                <w:szCs w:val="24"/>
                <w:lang w:eastAsia="ru-RU"/>
              </w:rPr>
              <w:t>3,15</w:t>
            </w:r>
          </w:p>
        </w:tc>
        <w:tc>
          <w:tcPr>
            <w:tcW w:w="826" w:type="dxa"/>
            <w:tcBorders>
              <w:top w:val="single" w:sz="4" w:space="0" w:color="auto"/>
              <w:left w:val="single" w:sz="4" w:space="0" w:color="auto"/>
              <w:bottom w:val="single" w:sz="4" w:space="0" w:color="auto"/>
              <w:right w:val="single" w:sz="4" w:space="0" w:color="auto"/>
            </w:tcBorders>
          </w:tcPr>
          <w:p w:rsidR="003B67F9" w:rsidRPr="00C860A4" w:rsidRDefault="003B67F9" w:rsidP="0010078D">
            <w:pPr>
              <w:widowControl w:val="0"/>
              <w:spacing w:line="276" w:lineRule="auto"/>
              <w:jc w:val="center"/>
              <w:rPr>
                <w:rFonts w:eastAsia="Times New Roman"/>
                <w:sz w:val="24"/>
                <w:szCs w:val="24"/>
                <w:lang w:eastAsia="ru-RU"/>
              </w:rPr>
            </w:pPr>
            <w:r w:rsidRPr="00C860A4">
              <w:rPr>
                <w:rFonts w:eastAsia="Times New Roman"/>
                <w:sz w:val="24"/>
                <w:szCs w:val="24"/>
                <w:lang w:eastAsia="ru-RU"/>
              </w:rPr>
              <w:t>0,72</w:t>
            </w:r>
          </w:p>
        </w:tc>
        <w:tc>
          <w:tcPr>
            <w:tcW w:w="850" w:type="dxa"/>
            <w:tcBorders>
              <w:top w:val="single" w:sz="4" w:space="0" w:color="auto"/>
              <w:left w:val="single" w:sz="4" w:space="0" w:color="auto"/>
              <w:bottom w:val="single" w:sz="4" w:space="0" w:color="auto"/>
              <w:right w:val="single" w:sz="4" w:space="0" w:color="auto"/>
            </w:tcBorders>
          </w:tcPr>
          <w:p w:rsidR="003B67F9" w:rsidRPr="00C860A4" w:rsidRDefault="003B67F9" w:rsidP="0010078D">
            <w:pPr>
              <w:widowControl w:val="0"/>
              <w:spacing w:line="276" w:lineRule="auto"/>
              <w:jc w:val="center"/>
              <w:rPr>
                <w:rFonts w:eastAsia="Times New Roman"/>
                <w:sz w:val="24"/>
                <w:szCs w:val="24"/>
                <w:lang w:eastAsia="ru-RU"/>
              </w:rPr>
            </w:pPr>
            <w:r w:rsidRPr="00C860A4">
              <w:rPr>
                <w:rFonts w:eastAsia="Times New Roman"/>
                <w:sz w:val="24"/>
                <w:szCs w:val="24"/>
                <w:lang w:eastAsia="ru-RU"/>
              </w:rPr>
              <w:t>0,79</w:t>
            </w:r>
          </w:p>
        </w:tc>
      </w:tr>
      <w:tr w:rsidR="003B67F9" w:rsidRPr="00C860A4" w:rsidTr="00C860A4">
        <w:trPr>
          <w:trHeight w:val="340"/>
          <w:jc w:val="center"/>
        </w:trPr>
        <w:tc>
          <w:tcPr>
            <w:tcW w:w="2552" w:type="dxa"/>
            <w:tcBorders>
              <w:top w:val="single" w:sz="4" w:space="0" w:color="auto"/>
              <w:left w:val="single" w:sz="4" w:space="0" w:color="auto"/>
              <w:bottom w:val="single" w:sz="4" w:space="0" w:color="auto"/>
              <w:right w:val="single" w:sz="4" w:space="0" w:color="auto"/>
            </w:tcBorders>
          </w:tcPr>
          <w:p w:rsidR="003B67F9" w:rsidRPr="00C860A4" w:rsidRDefault="003B67F9" w:rsidP="0010078D">
            <w:pPr>
              <w:widowControl w:val="0"/>
              <w:spacing w:line="276" w:lineRule="auto"/>
              <w:rPr>
                <w:rFonts w:eastAsia="Times New Roman"/>
                <w:sz w:val="24"/>
                <w:szCs w:val="24"/>
                <w:lang w:eastAsia="ru-RU"/>
              </w:rPr>
            </w:pPr>
            <w:r w:rsidRPr="00C860A4">
              <w:rPr>
                <w:rFonts w:eastAsia="Times New Roman"/>
                <w:sz w:val="24"/>
                <w:szCs w:val="24"/>
                <w:lang w:eastAsia="ru-RU"/>
              </w:rPr>
              <w:t>Частота прееклампсій та еклампсій вагітних</w:t>
            </w:r>
          </w:p>
        </w:tc>
        <w:tc>
          <w:tcPr>
            <w:tcW w:w="850" w:type="dxa"/>
            <w:tcBorders>
              <w:top w:val="single" w:sz="4" w:space="0" w:color="auto"/>
              <w:left w:val="single" w:sz="4" w:space="0" w:color="auto"/>
              <w:bottom w:val="single" w:sz="4" w:space="0" w:color="auto"/>
              <w:right w:val="single" w:sz="4" w:space="0" w:color="auto"/>
            </w:tcBorders>
          </w:tcPr>
          <w:p w:rsidR="003B67F9" w:rsidRPr="00C860A4" w:rsidRDefault="003B67F9" w:rsidP="0010078D">
            <w:pPr>
              <w:widowControl w:val="0"/>
              <w:spacing w:line="276" w:lineRule="auto"/>
              <w:jc w:val="center"/>
              <w:rPr>
                <w:rFonts w:eastAsia="Times New Roman"/>
                <w:sz w:val="24"/>
                <w:szCs w:val="24"/>
                <w:lang w:eastAsia="ru-RU"/>
              </w:rPr>
            </w:pPr>
            <w:r w:rsidRPr="00C860A4">
              <w:rPr>
                <w:rFonts w:eastAsia="Times New Roman"/>
                <w:sz w:val="24"/>
                <w:szCs w:val="24"/>
                <w:lang w:eastAsia="ru-RU"/>
              </w:rPr>
              <w:t>1,75</w:t>
            </w:r>
          </w:p>
        </w:tc>
        <w:tc>
          <w:tcPr>
            <w:tcW w:w="993" w:type="dxa"/>
            <w:tcBorders>
              <w:top w:val="single" w:sz="4" w:space="0" w:color="auto"/>
              <w:left w:val="single" w:sz="4" w:space="0" w:color="auto"/>
              <w:bottom w:val="single" w:sz="4" w:space="0" w:color="auto"/>
              <w:right w:val="single" w:sz="4" w:space="0" w:color="auto"/>
            </w:tcBorders>
          </w:tcPr>
          <w:p w:rsidR="003B67F9" w:rsidRPr="00C860A4" w:rsidRDefault="003B67F9" w:rsidP="0010078D">
            <w:pPr>
              <w:widowControl w:val="0"/>
              <w:spacing w:line="276" w:lineRule="auto"/>
              <w:jc w:val="center"/>
              <w:rPr>
                <w:rFonts w:eastAsia="Times New Roman"/>
                <w:sz w:val="24"/>
                <w:szCs w:val="24"/>
                <w:lang w:eastAsia="ru-RU"/>
              </w:rPr>
            </w:pPr>
            <w:r w:rsidRPr="00C860A4">
              <w:rPr>
                <w:rFonts w:eastAsia="Times New Roman"/>
                <w:sz w:val="24"/>
                <w:szCs w:val="24"/>
                <w:lang w:eastAsia="ru-RU"/>
              </w:rPr>
              <w:t>1,75</w:t>
            </w:r>
          </w:p>
        </w:tc>
        <w:tc>
          <w:tcPr>
            <w:tcW w:w="850" w:type="dxa"/>
            <w:tcBorders>
              <w:top w:val="single" w:sz="4" w:space="0" w:color="auto"/>
              <w:left w:val="single" w:sz="4" w:space="0" w:color="auto"/>
              <w:bottom w:val="single" w:sz="4" w:space="0" w:color="auto"/>
              <w:right w:val="single" w:sz="4" w:space="0" w:color="auto"/>
            </w:tcBorders>
          </w:tcPr>
          <w:p w:rsidR="003B67F9" w:rsidRPr="00C860A4" w:rsidRDefault="003B67F9" w:rsidP="0010078D">
            <w:pPr>
              <w:widowControl w:val="0"/>
              <w:spacing w:line="276" w:lineRule="auto"/>
              <w:jc w:val="center"/>
              <w:rPr>
                <w:rFonts w:eastAsia="Times New Roman"/>
                <w:sz w:val="24"/>
                <w:szCs w:val="24"/>
                <w:lang w:eastAsia="ru-RU"/>
              </w:rPr>
            </w:pPr>
            <w:r w:rsidRPr="00C860A4">
              <w:rPr>
                <w:rFonts w:eastAsia="Times New Roman"/>
                <w:sz w:val="24"/>
                <w:szCs w:val="24"/>
                <w:lang w:eastAsia="ru-RU"/>
              </w:rPr>
              <w:t>7</w:t>
            </w:r>
          </w:p>
        </w:tc>
        <w:tc>
          <w:tcPr>
            <w:tcW w:w="851" w:type="dxa"/>
            <w:tcBorders>
              <w:top w:val="single" w:sz="4" w:space="0" w:color="auto"/>
              <w:left w:val="single" w:sz="4" w:space="0" w:color="auto"/>
              <w:bottom w:val="single" w:sz="4" w:space="0" w:color="auto"/>
              <w:right w:val="single" w:sz="4" w:space="0" w:color="auto"/>
            </w:tcBorders>
          </w:tcPr>
          <w:p w:rsidR="003B67F9" w:rsidRPr="00C860A4" w:rsidRDefault="003B67F9" w:rsidP="0010078D">
            <w:pPr>
              <w:widowControl w:val="0"/>
              <w:spacing w:line="276" w:lineRule="auto"/>
              <w:jc w:val="center"/>
              <w:rPr>
                <w:rFonts w:eastAsia="Times New Roman"/>
                <w:sz w:val="24"/>
                <w:szCs w:val="24"/>
                <w:lang w:eastAsia="ru-RU"/>
              </w:rPr>
            </w:pPr>
            <w:r w:rsidRPr="00C860A4">
              <w:rPr>
                <w:rFonts w:eastAsia="Times New Roman"/>
                <w:sz w:val="24"/>
                <w:szCs w:val="24"/>
                <w:lang w:eastAsia="ru-RU"/>
              </w:rPr>
              <w:t>2,1</w:t>
            </w:r>
          </w:p>
        </w:tc>
        <w:tc>
          <w:tcPr>
            <w:tcW w:w="850" w:type="dxa"/>
            <w:tcBorders>
              <w:top w:val="single" w:sz="4" w:space="0" w:color="auto"/>
              <w:left w:val="single" w:sz="4" w:space="0" w:color="auto"/>
              <w:bottom w:val="single" w:sz="4" w:space="0" w:color="auto"/>
              <w:right w:val="single" w:sz="4" w:space="0" w:color="auto"/>
            </w:tcBorders>
          </w:tcPr>
          <w:p w:rsidR="003B67F9" w:rsidRPr="00C860A4" w:rsidRDefault="003B67F9" w:rsidP="0010078D">
            <w:pPr>
              <w:widowControl w:val="0"/>
              <w:spacing w:line="276" w:lineRule="auto"/>
              <w:jc w:val="center"/>
              <w:rPr>
                <w:rFonts w:eastAsia="Times New Roman"/>
                <w:sz w:val="24"/>
                <w:szCs w:val="24"/>
                <w:lang w:eastAsia="ru-RU"/>
              </w:rPr>
            </w:pPr>
            <w:r w:rsidRPr="00C860A4">
              <w:rPr>
                <w:rFonts w:eastAsia="Times New Roman"/>
                <w:sz w:val="24"/>
                <w:szCs w:val="24"/>
                <w:lang w:eastAsia="ru-RU"/>
              </w:rPr>
              <w:t>2,08</w:t>
            </w:r>
          </w:p>
        </w:tc>
        <w:tc>
          <w:tcPr>
            <w:tcW w:w="851" w:type="dxa"/>
            <w:tcBorders>
              <w:top w:val="single" w:sz="4" w:space="0" w:color="auto"/>
              <w:left w:val="single" w:sz="4" w:space="0" w:color="auto"/>
              <w:bottom w:val="single" w:sz="4" w:space="0" w:color="auto"/>
              <w:right w:val="single" w:sz="4" w:space="0" w:color="auto"/>
            </w:tcBorders>
          </w:tcPr>
          <w:p w:rsidR="003B67F9" w:rsidRPr="00C860A4" w:rsidRDefault="003B67F9" w:rsidP="0010078D">
            <w:pPr>
              <w:widowControl w:val="0"/>
              <w:spacing w:line="276" w:lineRule="auto"/>
              <w:jc w:val="center"/>
              <w:rPr>
                <w:rFonts w:eastAsia="Times New Roman"/>
                <w:sz w:val="24"/>
                <w:szCs w:val="24"/>
                <w:lang w:eastAsia="ru-RU"/>
              </w:rPr>
            </w:pPr>
            <w:r w:rsidRPr="00C860A4">
              <w:rPr>
                <w:rFonts w:eastAsia="Times New Roman"/>
                <w:sz w:val="24"/>
                <w:szCs w:val="24"/>
                <w:lang w:eastAsia="ru-RU"/>
              </w:rPr>
              <w:t>5,6</w:t>
            </w:r>
          </w:p>
        </w:tc>
        <w:tc>
          <w:tcPr>
            <w:tcW w:w="733" w:type="dxa"/>
            <w:tcBorders>
              <w:top w:val="single" w:sz="4" w:space="0" w:color="auto"/>
              <w:left w:val="single" w:sz="4" w:space="0" w:color="auto"/>
              <w:bottom w:val="single" w:sz="4" w:space="0" w:color="auto"/>
              <w:right w:val="single" w:sz="4" w:space="0" w:color="auto"/>
            </w:tcBorders>
          </w:tcPr>
          <w:p w:rsidR="003B67F9" w:rsidRPr="00C860A4" w:rsidRDefault="003B67F9" w:rsidP="0010078D">
            <w:pPr>
              <w:widowControl w:val="0"/>
              <w:spacing w:line="276" w:lineRule="auto"/>
              <w:jc w:val="center"/>
              <w:rPr>
                <w:rFonts w:eastAsia="Times New Roman"/>
                <w:sz w:val="24"/>
                <w:szCs w:val="24"/>
                <w:lang w:eastAsia="ru-RU"/>
              </w:rPr>
            </w:pPr>
            <w:r w:rsidRPr="00C860A4">
              <w:rPr>
                <w:rFonts w:eastAsia="Times New Roman"/>
                <w:sz w:val="24"/>
                <w:szCs w:val="24"/>
                <w:lang w:eastAsia="ru-RU"/>
              </w:rPr>
              <w:t>5,68</w:t>
            </w:r>
          </w:p>
        </w:tc>
        <w:tc>
          <w:tcPr>
            <w:tcW w:w="826" w:type="dxa"/>
            <w:tcBorders>
              <w:top w:val="single" w:sz="4" w:space="0" w:color="auto"/>
              <w:left w:val="single" w:sz="4" w:space="0" w:color="auto"/>
              <w:bottom w:val="single" w:sz="4" w:space="0" w:color="auto"/>
              <w:right w:val="single" w:sz="4" w:space="0" w:color="auto"/>
            </w:tcBorders>
          </w:tcPr>
          <w:p w:rsidR="003B67F9" w:rsidRPr="00C860A4" w:rsidRDefault="003B67F9" w:rsidP="0010078D">
            <w:pPr>
              <w:widowControl w:val="0"/>
              <w:spacing w:line="276" w:lineRule="auto"/>
              <w:jc w:val="center"/>
              <w:rPr>
                <w:rFonts w:eastAsia="Times New Roman"/>
                <w:sz w:val="24"/>
                <w:szCs w:val="24"/>
                <w:lang w:eastAsia="ru-RU"/>
              </w:rPr>
            </w:pPr>
            <w:r w:rsidRPr="00C860A4">
              <w:rPr>
                <w:rFonts w:eastAsia="Times New Roman"/>
                <w:sz w:val="24"/>
                <w:szCs w:val="24"/>
                <w:lang w:eastAsia="ru-RU"/>
              </w:rPr>
              <w:t>0,8</w:t>
            </w:r>
          </w:p>
        </w:tc>
        <w:tc>
          <w:tcPr>
            <w:tcW w:w="850" w:type="dxa"/>
            <w:tcBorders>
              <w:top w:val="single" w:sz="4" w:space="0" w:color="auto"/>
              <w:left w:val="single" w:sz="4" w:space="0" w:color="auto"/>
              <w:bottom w:val="single" w:sz="4" w:space="0" w:color="auto"/>
              <w:right w:val="single" w:sz="4" w:space="0" w:color="auto"/>
            </w:tcBorders>
          </w:tcPr>
          <w:p w:rsidR="003B67F9" w:rsidRPr="00C860A4" w:rsidRDefault="003B67F9" w:rsidP="0010078D">
            <w:pPr>
              <w:widowControl w:val="0"/>
              <w:spacing w:line="276" w:lineRule="auto"/>
              <w:jc w:val="center"/>
              <w:rPr>
                <w:rFonts w:eastAsia="Times New Roman"/>
                <w:sz w:val="24"/>
                <w:szCs w:val="24"/>
                <w:lang w:eastAsia="ru-RU"/>
              </w:rPr>
            </w:pPr>
            <w:r w:rsidRPr="00C860A4">
              <w:rPr>
                <w:rFonts w:eastAsia="Times New Roman"/>
                <w:sz w:val="24"/>
                <w:szCs w:val="24"/>
                <w:lang w:eastAsia="ru-RU"/>
              </w:rPr>
              <w:t>0,81</w:t>
            </w:r>
          </w:p>
        </w:tc>
      </w:tr>
    </w:tbl>
    <w:p w:rsidR="007D677E" w:rsidRPr="009A4E56" w:rsidRDefault="007D677E">
      <w:pPr>
        <w:rPr>
          <w:lang w:val="ru-RU"/>
        </w:rPr>
      </w:pPr>
    </w:p>
    <w:p w:rsidR="007D677E" w:rsidRPr="007D677E" w:rsidRDefault="007D677E" w:rsidP="00F159BE">
      <w:pPr>
        <w:pageBreakBefore/>
        <w:jc w:val="right"/>
        <w:rPr>
          <w:i/>
          <w:lang w:val="ru-RU"/>
        </w:rPr>
      </w:pPr>
      <w:r w:rsidRPr="007D677E">
        <w:rPr>
          <w:i/>
          <w:lang w:val="ru-RU"/>
        </w:rPr>
        <w:lastRenderedPageBreak/>
        <w:t>Продовження табл. 7.6</w:t>
      </w:r>
    </w:p>
    <w:tbl>
      <w:tblPr>
        <w:tblW w:w="10235" w:type="dxa"/>
        <w:jc w:val="center"/>
        <w:tblInd w:w="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67"/>
        <w:gridCol w:w="850"/>
        <w:gridCol w:w="993"/>
        <w:gridCol w:w="850"/>
        <w:gridCol w:w="14"/>
        <w:gridCol w:w="837"/>
        <w:gridCol w:w="992"/>
        <w:gridCol w:w="709"/>
        <w:gridCol w:w="708"/>
        <w:gridCol w:w="851"/>
        <w:gridCol w:w="850"/>
        <w:gridCol w:w="14"/>
      </w:tblGrid>
      <w:tr w:rsidR="003B67F9" w:rsidRPr="00C860A4" w:rsidTr="00030901">
        <w:trPr>
          <w:trHeight w:val="418"/>
          <w:jc w:val="center"/>
        </w:trPr>
        <w:tc>
          <w:tcPr>
            <w:tcW w:w="2567" w:type="dxa"/>
            <w:tcBorders>
              <w:top w:val="single" w:sz="4" w:space="0" w:color="auto"/>
              <w:left w:val="single" w:sz="4" w:space="0" w:color="auto"/>
              <w:bottom w:val="single" w:sz="4" w:space="0" w:color="auto"/>
              <w:right w:val="single" w:sz="4" w:space="0" w:color="auto"/>
            </w:tcBorders>
          </w:tcPr>
          <w:p w:rsidR="003B67F9" w:rsidRPr="00C860A4" w:rsidRDefault="003B67F9" w:rsidP="0010078D">
            <w:pPr>
              <w:widowControl w:val="0"/>
              <w:spacing w:line="276" w:lineRule="auto"/>
              <w:rPr>
                <w:rFonts w:eastAsia="Times New Roman"/>
                <w:sz w:val="24"/>
                <w:szCs w:val="24"/>
                <w:lang w:eastAsia="ru-RU"/>
              </w:rPr>
            </w:pPr>
            <w:r w:rsidRPr="00C860A4">
              <w:rPr>
                <w:rFonts w:eastAsia="Times New Roman"/>
                <w:sz w:val="24"/>
                <w:szCs w:val="24"/>
                <w:lang w:eastAsia="ru-RU"/>
              </w:rPr>
              <w:t>Співвідношення безпечних методів абортів до небезпечних</w:t>
            </w:r>
          </w:p>
        </w:tc>
        <w:tc>
          <w:tcPr>
            <w:tcW w:w="850" w:type="dxa"/>
            <w:tcBorders>
              <w:top w:val="single" w:sz="4" w:space="0" w:color="auto"/>
              <w:left w:val="single" w:sz="4" w:space="0" w:color="auto"/>
              <w:bottom w:val="single" w:sz="4" w:space="0" w:color="auto"/>
              <w:right w:val="single" w:sz="4" w:space="0" w:color="auto"/>
            </w:tcBorders>
          </w:tcPr>
          <w:p w:rsidR="003B67F9" w:rsidRPr="00C860A4" w:rsidRDefault="003B67F9" w:rsidP="0010078D">
            <w:pPr>
              <w:widowControl w:val="0"/>
              <w:spacing w:line="276" w:lineRule="auto"/>
              <w:jc w:val="center"/>
              <w:rPr>
                <w:rFonts w:eastAsia="Times New Roman"/>
                <w:sz w:val="24"/>
                <w:szCs w:val="24"/>
                <w:lang w:eastAsia="ru-RU"/>
              </w:rPr>
            </w:pPr>
            <w:r w:rsidRPr="00C860A4">
              <w:rPr>
                <w:rFonts w:eastAsia="Times New Roman"/>
                <w:sz w:val="24"/>
                <w:szCs w:val="24"/>
                <w:lang w:eastAsia="ru-RU"/>
              </w:rPr>
              <w:t>10</w:t>
            </w:r>
          </w:p>
        </w:tc>
        <w:tc>
          <w:tcPr>
            <w:tcW w:w="993" w:type="dxa"/>
            <w:tcBorders>
              <w:top w:val="single" w:sz="4" w:space="0" w:color="auto"/>
              <w:left w:val="single" w:sz="4" w:space="0" w:color="auto"/>
              <w:bottom w:val="single" w:sz="4" w:space="0" w:color="auto"/>
              <w:right w:val="single" w:sz="4" w:space="0" w:color="auto"/>
            </w:tcBorders>
          </w:tcPr>
          <w:p w:rsidR="003B67F9" w:rsidRPr="00C860A4" w:rsidRDefault="003B67F9" w:rsidP="0010078D">
            <w:pPr>
              <w:widowControl w:val="0"/>
              <w:spacing w:line="276" w:lineRule="auto"/>
              <w:jc w:val="center"/>
              <w:rPr>
                <w:rFonts w:eastAsia="Times New Roman"/>
                <w:sz w:val="24"/>
                <w:szCs w:val="24"/>
                <w:lang w:eastAsia="ru-RU"/>
              </w:rPr>
            </w:pPr>
            <w:r w:rsidRPr="00C860A4">
              <w:rPr>
                <w:rFonts w:eastAsia="Times New Roman"/>
                <w:sz w:val="24"/>
                <w:szCs w:val="24"/>
                <w:lang w:eastAsia="ru-RU"/>
              </w:rPr>
              <w:t>8</w:t>
            </w:r>
          </w:p>
        </w:tc>
        <w:tc>
          <w:tcPr>
            <w:tcW w:w="864" w:type="dxa"/>
            <w:gridSpan w:val="2"/>
            <w:tcBorders>
              <w:top w:val="single" w:sz="4" w:space="0" w:color="auto"/>
              <w:left w:val="single" w:sz="4" w:space="0" w:color="auto"/>
              <w:bottom w:val="single" w:sz="4" w:space="0" w:color="auto"/>
              <w:right w:val="single" w:sz="4" w:space="0" w:color="auto"/>
            </w:tcBorders>
          </w:tcPr>
          <w:p w:rsidR="003B67F9" w:rsidRPr="00C860A4" w:rsidRDefault="003B67F9" w:rsidP="0010078D">
            <w:pPr>
              <w:widowControl w:val="0"/>
              <w:spacing w:line="276" w:lineRule="auto"/>
              <w:jc w:val="center"/>
              <w:rPr>
                <w:rFonts w:eastAsia="Times New Roman"/>
                <w:sz w:val="24"/>
                <w:szCs w:val="24"/>
                <w:lang w:eastAsia="ru-RU"/>
              </w:rPr>
            </w:pPr>
            <w:r w:rsidRPr="00C860A4">
              <w:rPr>
                <w:rFonts w:eastAsia="Times New Roman"/>
                <w:sz w:val="24"/>
                <w:szCs w:val="24"/>
                <w:lang w:eastAsia="ru-RU"/>
              </w:rPr>
              <w:t>6</w:t>
            </w:r>
          </w:p>
        </w:tc>
        <w:tc>
          <w:tcPr>
            <w:tcW w:w="837" w:type="dxa"/>
            <w:tcBorders>
              <w:top w:val="single" w:sz="4" w:space="0" w:color="auto"/>
              <w:left w:val="single" w:sz="4" w:space="0" w:color="auto"/>
              <w:bottom w:val="single" w:sz="4" w:space="0" w:color="auto"/>
              <w:right w:val="single" w:sz="4" w:space="0" w:color="auto"/>
            </w:tcBorders>
          </w:tcPr>
          <w:p w:rsidR="003B67F9" w:rsidRPr="00C860A4" w:rsidRDefault="003B67F9" w:rsidP="0010078D">
            <w:pPr>
              <w:widowControl w:val="0"/>
              <w:spacing w:line="276" w:lineRule="auto"/>
              <w:jc w:val="center"/>
              <w:rPr>
                <w:rFonts w:eastAsia="Times New Roman"/>
                <w:sz w:val="24"/>
                <w:szCs w:val="24"/>
                <w:lang w:eastAsia="ru-RU"/>
              </w:rPr>
            </w:pPr>
            <w:r w:rsidRPr="00C860A4">
              <w:rPr>
                <w:rFonts w:eastAsia="Times New Roman"/>
                <w:sz w:val="24"/>
                <w:szCs w:val="24"/>
                <w:lang w:eastAsia="ru-RU"/>
              </w:rPr>
              <w:t>7,3</w:t>
            </w:r>
          </w:p>
        </w:tc>
        <w:tc>
          <w:tcPr>
            <w:tcW w:w="992" w:type="dxa"/>
            <w:tcBorders>
              <w:top w:val="single" w:sz="4" w:space="0" w:color="auto"/>
              <w:left w:val="single" w:sz="4" w:space="0" w:color="auto"/>
              <w:bottom w:val="single" w:sz="4" w:space="0" w:color="auto"/>
              <w:right w:val="single" w:sz="4" w:space="0" w:color="auto"/>
            </w:tcBorders>
          </w:tcPr>
          <w:p w:rsidR="003B67F9" w:rsidRPr="00C860A4" w:rsidRDefault="003B67F9" w:rsidP="0010078D">
            <w:pPr>
              <w:widowControl w:val="0"/>
              <w:spacing w:line="276" w:lineRule="auto"/>
              <w:jc w:val="center"/>
              <w:rPr>
                <w:rFonts w:eastAsia="Times New Roman"/>
                <w:sz w:val="24"/>
                <w:szCs w:val="24"/>
                <w:lang w:eastAsia="ru-RU"/>
              </w:rPr>
            </w:pPr>
            <w:r w:rsidRPr="00C860A4">
              <w:rPr>
                <w:rFonts w:eastAsia="Times New Roman"/>
                <w:sz w:val="24"/>
                <w:szCs w:val="24"/>
                <w:lang w:eastAsia="ru-RU"/>
              </w:rPr>
              <w:t>7,67</w:t>
            </w:r>
          </w:p>
        </w:tc>
        <w:tc>
          <w:tcPr>
            <w:tcW w:w="709" w:type="dxa"/>
            <w:tcBorders>
              <w:top w:val="single" w:sz="4" w:space="0" w:color="auto"/>
              <w:left w:val="single" w:sz="4" w:space="0" w:color="auto"/>
              <w:bottom w:val="single" w:sz="4" w:space="0" w:color="auto"/>
              <w:right w:val="single" w:sz="4" w:space="0" w:color="auto"/>
            </w:tcBorders>
          </w:tcPr>
          <w:p w:rsidR="003B67F9" w:rsidRPr="00C860A4" w:rsidRDefault="003B67F9" w:rsidP="0010078D">
            <w:pPr>
              <w:widowControl w:val="0"/>
              <w:spacing w:line="276" w:lineRule="auto"/>
              <w:jc w:val="center"/>
              <w:rPr>
                <w:rFonts w:eastAsia="Times New Roman"/>
                <w:sz w:val="24"/>
                <w:szCs w:val="24"/>
                <w:lang w:eastAsia="ru-RU"/>
              </w:rPr>
            </w:pPr>
            <w:r w:rsidRPr="00C860A4">
              <w:rPr>
                <w:rFonts w:eastAsia="Times New Roman"/>
                <w:sz w:val="24"/>
                <w:szCs w:val="24"/>
                <w:lang w:eastAsia="ru-RU"/>
              </w:rPr>
              <w:t>4,38</w:t>
            </w:r>
          </w:p>
        </w:tc>
        <w:tc>
          <w:tcPr>
            <w:tcW w:w="708" w:type="dxa"/>
            <w:tcBorders>
              <w:top w:val="single" w:sz="4" w:space="0" w:color="auto"/>
              <w:left w:val="single" w:sz="4" w:space="0" w:color="auto"/>
              <w:bottom w:val="single" w:sz="4" w:space="0" w:color="auto"/>
              <w:right w:val="single" w:sz="4" w:space="0" w:color="auto"/>
            </w:tcBorders>
          </w:tcPr>
          <w:p w:rsidR="003B67F9" w:rsidRPr="00C860A4" w:rsidRDefault="003B67F9" w:rsidP="0010078D">
            <w:pPr>
              <w:widowControl w:val="0"/>
              <w:spacing w:line="276" w:lineRule="auto"/>
              <w:jc w:val="center"/>
              <w:rPr>
                <w:rFonts w:eastAsia="Times New Roman"/>
                <w:sz w:val="24"/>
                <w:szCs w:val="24"/>
                <w:lang w:eastAsia="ru-RU"/>
              </w:rPr>
            </w:pPr>
            <w:r w:rsidRPr="00C860A4">
              <w:rPr>
                <w:rFonts w:eastAsia="Times New Roman"/>
                <w:sz w:val="24"/>
                <w:szCs w:val="24"/>
                <w:lang w:eastAsia="ru-RU"/>
              </w:rPr>
              <w:t>5,75</w:t>
            </w:r>
          </w:p>
        </w:tc>
        <w:tc>
          <w:tcPr>
            <w:tcW w:w="851" w:type="dxa"/>
            <w:tcBorders>
              <w:top w:val="single" w:sz="4" w:space="0" w:color="auto"/>
              <w:left w:val="single" w:sz="4" w:space="0" w:color="auto"/>
              <w:bottom w:val="single" w:sz="4" w:space="0" w:color="auto"/>
              <w:right w:val="single" w:sz="4" w:space="0" w:color="auto"/>
            </w:tcBorders>
          </w:tcPr>
          <w:p w:rsidR="003B67F9" w:rsidRPr="00C860A4" w:rsidRDefault="003B67F9" w:rsidP="0010078D">
            <w:pPr>
              <w:widowControl w:val="0"/>
              <w:spacing w:line="276" w:lineRule="auto"/>
              <w:jc w:val="center"/>
              <w:rPr>
                <w:rFonts w:eastAsia="Times New Roman"/>
                <w:sz w:val="24"/>
                <w:szCs w:val="24"/>
                <w:lang w:eastAsia="ru-RU"/>
              </w:rPr>
            </w:pPr>
            <w:r w:rsidRPr="00C860A4">
              <w:rPr>
                <w:rFonts w:eastAsia="Times New Roman"/>
                <w:sz w:val="24"/>
                <w:szCs w:val="24"/>
                <w:lang w:eastAsia="ru-RU"/>
              </w:rPr>
              <w:t>0,73</w:t>
            </w:r>
          </w:p>
        </w:tc>
        <w:tc>
          <w:tcPr>
            <w:tcW w:w="864" w:type="dxa"/>
            <w:gridSpan w:val="2"/>
            <w:tcBorders>
              <w:top w:val="single" w:sz="4" w:space="0" w:color="auto"/>
              <w:left w:val="single" w:sz="4" w:space="0" w:color="auto"/>
              <w:bottom w:val="single" w:sz="4" w:space="0" w:color="auto"/>
              <w:right w:val="single" w:sz="4" w:space="0" w:color="auto"/>
            </w:tcBorders>
          </w:tcPr>
          <w:p w:rsidR="003B67F9" w:rsidRPr="00C860A4" w:rsidRDefault="003B67F9" w:rsidP="0010078D">
            <w:pPr>
              <w:widowControl w:val="0"/>
              <w:spacing w:line="276" w:lineRule="auto"/>
              <w:jc w:val="center"/>
              <w:rPr>
                <w:rFonts w:eastAsia="Times New Roman"/>
                <w:sz w:val="24"/>
                <w:szCs w:val="24"/>
                <w:lang w:eastAsia="ru-RU"/>
              </w:rPr>
            </w:pPr>
            <w:r w:rsidRPr="00C860A4">
              <w:rPr>
                <w:rFonts w:eastAsia="Times New Roman"/>
                <w:sz w:val="24"/>
                <w:szCs w:val="24"/>
                <w:lang w:eastAsia="ru-RU"/>
              </w:rPr>
              <w:t>0,96</w:t>
            </w:r>
          </w:p>
        </w:tc>
      </w:tr>
      <w:tr w:rsidR="007D677E" w:rsidRPr="00C860A4" w:rsidTr="00030901">
        <w:trPr>
          <w:gridAfter w:val="1"/>
          <w:wAfter w:w="14" w:type="dxa"/>
          <w:trHeight w:val="418"/>
          <w:jc w:val="center"/>
        </w:trPr>
        <w:tc>
          <w:tcPr>
            <w:tcW w:w="2567" w:type="dxa"/>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rPr>
                <w:rFonts w:eastAsia="Times New Roman"/>
                <w:sz w:val="24"/>
                <w:szCs w:val="24"/>
                <w:lang w:eastAsia="ru-RU"/>
              </w:rPr>
            </w:pPr>
            <w:r w:rsidRPr="00C860A4">
              <w:rPr>
                <w:rFonts w:eastAsia="Times New Roman"/>
                <w:sz w:val="24"/>
                <w:szCs w:val="24"/>
                <w:lang w:eastAsia="ru-RU"/>
              </w:rPr>
              <w:t>Питома вага хворих виявлення в ранніх стадіях (І – ІІ) серед хворих з вперше встановленим діагнозом онкологія молочної залози</w:t>
            </w:r>
          </w:p>
        </w:tc>
        <w:tc>
          <w:tcPr>
            <w:tcW w:w="850" w:type="dxa"/>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jc w:val="center"/>
              <w:rPr>
                <w:rFonts w:eastAsia="Times New Roman"/>
                <w:sz w:val="24"/>
                <w:szCs w:val="24"/>
                <w:lang w:eastAsia="ru-RU"/>
              </w:rPr>
            </w:pPr>
            <w:r w:rsidRPr="00C860A4">
              <w:rPr>
                <w:rFonts w:eastAsia="Times New Roman"/>
                <w:sz w:val="24"/>
                <w:szCs w:val="24"/>
                <w:lang w:eastAsia="ru-RU"/>
              </w:rPr>
              <w:t>*</w:t>
            </w:r>
          </w:p>
        </w:tc>
        <w:tc>
          <w:tcPr>
            <w:tcW w:w="993" w:type="dxa"/>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jc w:val="center"/>
              <w:rPr>
                <w:rFonts w:eastAsia="Times New Roman"/>
                <w:sz w:val="24"/>
                <w:szCs w:val="24"/>
                <w:lang w:eastAsia="ru-RU"/>
              </w:rPr>
            </w:pPr>
            <w:r w:rsidRPr="00C860A4">
              <w:rPr>
                <w:rFonts w:eastAsia="Times New Roman"/>
                <w:sz w:val="24"/>
                <w:szCs w:val="24"/>
                <w:lang w:eastAsia="ru-RU"/>
              </w:rPr>
              <w:t>80</w:t>
            </w:r>
          </w:p>
        </w:tc>
        <w:tc>
          <w:tcPr>
            <w:tcW w:w="850" w:type="dxa"/>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jc w:val="center"/>
              <w:rPr>
                <w:rFonts w:eastAsia="Times New Roman"/>
                <w:sz w:val="24"/>
                <w:szCs w:val="24"/>
                <w:lang w:eastAsia="ru-RU"/>
              </w:rPr>
            </w:pPr>
            <w:r w:rsidRPr="00C860A4">
              <w:rPr>
                <w:rFonts w:eastAsia="Times New Roman"/>
                <w:sz w:val="24"/>
                <w:szCs w:val="24"/>
                <w:lang w:eastAsia="ru-RU"/>
              </w:rPr>
              <w:t>6</w:t>
            </w:r>
          </w:p>
        </w:tc>
        <w:tc>
          <w:tcPr>
            <w:tcW w:w="851" w:type="dxa"/>
            <w:gridSpan w:val="2"/>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jc w:val="center"/>
              <w:rPr>
                <w:rFonts w:eastAsia="Times New Roman"/>
                <w:sz w:val="24"/>
                <w:szCs w:val="24"/>
                <w:lang w:eastAsia="ru-RU"/>
              </w:rPr>
            </w:pPr>
            <w:r w:rsidRPr="00C860A4">
              <w:rPr>
                <w:rFonts w:eastAsia="Times New Roman"/>
                <w:sz w:val="24"/>
                <w:szCs w:val="24"/>
                <w:lang w:eastAsia="ru-RU"/>
              </w:rPr>
              <w:t>*</w:t>
            </w:r>
          </w:p>
        </w:tc>
        <w:tc>
          <w:tcPr>
            <w:tcW w:w="992" w:type="dxa"/>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jc w:val="center"/>
              <w:rPr>
                <w:rFonts w:eastAsia="Times New Roman"/>
                <w:sz w:val="24"/>
                <w:szCs w:val="24"/>
                <w:lang w:eastAsia="ru-RU"/>
              </w:rPr>
            </w:pPr>
            <w:r w:rsidRPr="00C860A4">
              <w:rPr>
                <w:rFonts w:eastAsia="Times New Roman"/>
                <w:sz w:val="24"/>
                <w:szCs w:val="24"/>
                <w:lang w:eastAsia="ru-RU"/>
              </w:rPr>
              <w:t>74,1</w:t>
            </w:r>
          </w:p>
        </w:tc>
        <w:tc>
          <w:tcPr>
            <w:tcW w:w="709" w:type="dxa"/>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jc w:val="center"/>
              <w:rPr>
                <w:rFonts w:eastAsia="Times New Roman"/>
                <w:sz w:val="24"/>
                <w:szCs w:val="24"/>
                <w:lang w:eastAsia="ru-RU"/>
              </w:rPr>
            </w:pPr>
            <w:r w:rsidRPr="00C860A4">
              <w:rPr>
                <w:rFonts w:eastAsia="Times New Roman"/>
                <w:sz w:val="24"/>
                <w:szCs w:val="24"/>
                <w:lang w:eastAsia="ru-RU"/>
              </w:rPr>
              <w:t>*</w:t>
            </w:r>
          </w:p>
        </w:tc>
        <w:tc>
          <w:tcPr>
            <w:tcW w:w="708" w:type="dxa"/>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jc w:val="center"/>
              <w:rPr>
                <w:rFonts w:eastAsia="Times New Roman"/>
                <w:sz w:val="24"/>
                <w:szCs w:val="24"/>
                <w:lang w:eastAsia="ru-RU"/>
              </w:rPr>
            </w:pPr>
            <w:r w:rsidRPr="00C860A4">
              <w:rPr>
                <w:rFonts w:eastAsia="Times New Roman"/>
                <w:sz w:val="24"/>
                <w:szCs w:val="24"/>
                <w:lang w:eastAsia="ru-RU"/>
              </w:rPr>
              <w:t>5,59</w:t>
            </w:r>
          </w:p>
        </w:tc>
        <w:tc>
          <w:tcPr>
            <w:tcW w:w="851" w:type="dxa"/>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jc w:val="center"/>
              <w:rPr>
                <w:rFonts w:eastAsia="Times New Roman"/>
                <w:sz w:val="24"/>
                <w:szCs w:val="24"/>
                <w:lang w:eastAsia="ru-RU"/>
              </w:rPr>
            </w:pPr>
            <w:r w:rsidRPr="00C860A4">
              <w:rPr>
                <w:rFonts w:eastAsia="Times New Roman"/>
                <w:sz w:val="24"/>
                <w:szCs w:val="24"/>
                <w:lang w:eastAsia="ru-RU"/>
              </w:rPr>
              <w:t>*</w:t>
            </w:r>
          </w:p>
        </w:tc>
        <w:tc>
          <w:tcPr>
            <w:tcW w:w="850" w:type="dxa"/>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jc w:val="center"/>
              <w:rPr>
                <w:rFonts w:eastAsia="Times New Roman"/>
                <w:sz w:val="24"/>
                <w:szCs w:val="24"/>
                <w:lang w:eastAsia="ru-RU"/>
              </w:rPr>
            </w:pPr>
            <w:r w:rsidRPr="00C860A4">
              <w:rPr>
                <w:rFonts w:eastAsia="Times New Roman"/>
                <w:sz w:val="24"/>
                <w:szCs w:val="24"/>
                <w:lang w:eastAsia="ru-RU"/>
              </w:rPr>
              <w:t>0,93</w:t>
            </w:r>
          </w:p>
        </w:tc>
      </w:tr>
      <w:tr w:rsidR="007D677E" w:rsidRPr="00C860A4" w:rsidTr="00030901">
        <w:trPr>
          <w:gridAfter w:val="1"/>
          <w:wAfter w:w="14" w:type="dxa"/>
          <w:trHeight w:val="418"/>
          <w:jc w:val="center"/>
        </w:trPr>
        <w:tc>
          <w:tcPr>
            <w:tcW w:w="2567" w:type="dxa"/>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rPr>
                <w:rFonts w:eastAsia="Times New Roman"/>
                <w:sz w:val="24"/>
                <w:szCs w:val="24"/>
                <w:lang w:eastAsia="ru-RU"/>
              </w:rPr>
            </w:pPr>
            <w:r w:rsidRPr="00C860A4">
              <w:rPr>
                <w:rFonts w:eastAsia="Times New Roman"/>
                <w:sz w:val="24"/>
                <w:szCs w:val="24"/>
                <w:lang w:eastAsia="ru-RU"/>
              </w:rPr>
              <w:t>Питома вага хворих виявлення в ранніх стадіях (І – ІІ) серед хворих з вперше встановленим діагнозом онкологія шийки матки</w:t>
            </w:r>
          </w:p>
        </w:tc>
        <w:tc>
          <w:tcPr>
            <w:tcW w:w="850" w:type="dxa"/>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jc w:val="center"/>
              <w:rPr>
                <w:rFonts w:eastAsia="Times New Roman"/>
                <w:sz w:val="24"/>
                <w:szCs w:val="24"/>
                <w:lang w:eastAsia="ru-RU"/>
              </w:rPr>
            </w:pPr>
            <w:r w:rsidRPr="00C860A4">
              <w:rPr>
                <w:rFonts w:eastAsia="Times New Roman"/>
                <w:sz w:val="24"/>
                <w:szCs w:val="24"/>
                <w:lang w:eastAsia="ru-RU"/>
              </w:rPr>
              <w:t>*</w:t>
            </w:r>
          </w:p>
        </w:tc>
        <w:tc>
          <w:tcPr>
            <w:tcW w:w="993" w:type="dxa"/>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jc w:val="center"/>
              <w:rPr>
                <w:rFonts w:eastAsia="Times New Roman"/>
                <w:sz w:val="24"/>
                <w:szCs w:val="24"/>
                <w:lang w:eastAsia="ru-RU"/>
              </w:rPr>
            </w:pPr>
            <w:r w:rsidRPr="00C860A4">
              <w:rPr>
                <w:rFonts w:eastAsia="Times New Roman"/>
                <w:sz w:val="24"/>
                <w:szCs w:val="24"/>
                <w:lang w:eastAsia="ru-RU"/>
              </w:rPr>
              <w:t>80</w:t>
            </w:r>
          </w:p>
        </w:tc>
        <w:tc>
          <w:tcPr>
            <w:tcW w:w="850" w:type="dxa"/>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jc w:val="center"/>
              <w:rPr>
                <w:rFonts w:eastAsia="Times New Roman"/>
                <w:sz w:val="24"/>
                <w:szCs w:val="24"/>
                <w:lang w:eastAsia="ru-RU"/>
              </w:rPr>
            </w:pPr>
            <w:r w:rsidRPr="00C860A4">
              <w:rPr>
                <w:rFonts w:eastAsia="Times New Roman"/>
                <w:sz w:val="24"/>
                <w:szCs w:val="24"/>
                <w:lang w:eastAsia="ru-RU"/>
              </w:rPr>
              <w:t>6</w:t>
            </w:r>
          </w:p>
        </w:tc>
        <w:tc>
          <w:tcPr>
            <w:tcW w:w="851" w:type="dxa"/>
            <w:gridSpan w:val="2"/>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jc w:val="center"/>
              <w:rPr>
                <w:rFonts w:eastAsia="Times New Roman"/>
                <w:sz w:val="24"/>
                <w:szCs w:val="24"/>
                <w:lang w:eastAsia="ru-RU"/>
              </w:rPr>
            </w:pPr>
            <w:r w:rsidRPr="00C860A4">
              <w:rPr>
                <w:rFonts w:eastAsia="Times New Roman"/>
                <w:sz w:val="24"/>
                <w:szCs w:val="24"/>
                <w:lang w:eastAsia="ru-RU"/>
              </w:rPr>
              <w:t>*</w:t>
            </w:r>
          </w:p>
        </w:tc>
        <w:tc>
          <w:tcPr>
            <w:tcW w:w="992" w:type="dxa"/>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jc w:val="center"/>
              <w:rPr>
                <w:rFonts w:eastAsia="Times New Roman"/>
                <w:sz w:val="24"/>
                <w:szCs w:val="24"/>
                <w:lang w:eastAsia="ru-RU"/>
              </w:rPr>
            </w:pPr>
            <w:r w:rsidRPr="00C860A4">
              <w:rPr>
                <w:rFonts w:eastAsia="Times New Roman"/>
                <w:sz w:val="24"/>
                <w:szCs w:val="24"/>
                <w:lang w:eastAsia="ru-RU"/>
              </w:rPr>
              <w:t>73,9</w:t>
            </w:r>
          </w:p>
        </w:tc>
        <w:tc>
          <w:tcPr>
            <w:tcW w:w="709" w:type="dxa"/>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jc w:val="center"/>
              <w:rPr>
                <w:rFonts w:eastAsia="Times New Roman"/>
                <w:sz w:val="24"/>
                <w:szCs w:val="24"/>
                <w:lang w:eastAsia="ru-RU"/>
              </w:rPr>
            </w:pPr>
            <w:r w:rsidRPr="00C860A4">
              <w:rPr>
                <w:rFonts w:eastAsia="Times New Roman"/>
                <w:sz w:val="24"/>
                <w:szCs w:val="24"/>
                <w:lang w:eastAsia="ru-RU"/>
              </w:rPr>
              <w:t>*</w:t>
            </w:r>
          </w:p>
        </w:tc>
        <w:tc>
          <w:tcPr>
            <w:tcW w:w="708" w:type="dxa"/>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jc w:val="center"/>
              <w:rPr>
                <w:rFonts w:eastAsia="Times New Roman"/>
                <w:sz w:val="24"/>
                <w:szCs w:val="24"/>
                <w:lang w:eastAsia="ru-RU"/>
              </w:rPr>
            </w:pPr>
            <w:r w:rsidRPr="00C860A4">
              <w:rPr>
                <w:rFonts w:eastAsia="Times New Roman"/>
                <w:sz w:val="24"/>
                <w:szCs w:val="24"/>
                <w:lang w:eastAsia="ru-RU"/>
              </w:rPr>
              <w:t>5,57</w:t>
            </w:r>
          </w:p>
        </w:tc>
        <w:tc>
          <w:tcPr>
            <w:tcW w:w="851" w:type="dxa"/>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jc w:val="center"/>
              <w:rPr>
                <w:rFonts w:eastAsia="Times New Roman"/>
                <w:sz w:val="24"/>
                <w:szCs w:val="24"/>
                <w:lang w:eastAsia="ru-RU"/>
              </w:rPr>
            </w:pPr>
            <w:r w:rsidRPr="00C860A4">
              <w:rPr>
                <w:rFonts w:eastAsia="Times New Roman"/>
                <w:sz w:val="24"/>
                <w:szCs w:val="24"/>
                <w:lang w:eastAsia="ru-RU"/>
              </w:rPr>
              <w:t>*</w:t>
            </w:r>
          </w:p>
        </w:tc>
        <w:tc>
          <w:tcPr>
            <w:tcW w:w="850" w:type="dxa"/>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jc w:val="center"/>
              <w:rPr>
                <w:rFonts w:eastAsia="Times New Roman"/>
                <w:sz w:val="24"/>
                <w:szCs w:val="24"/>
                <w:lang w:eastAsia="ru-RU"/>
              </w:rPr>
            </w:pPr>
            <w:r w:rsidRPr="00C860A4">
              <w:rPr>
                <w:rFonts w:eastAsia="Times New Roman"/>
                <w:sz w:val="24"/>
                <w:szCs w:val="24"/>
                <w:lang w:eastAsia="ru-RU"/>
              </w:rPr>
              <w:t>0,93</w:t>
            </w:r>
          </w:p>
        </w:tc>
      </w:tr>
      <w:tr w:rsidR="007D677E" w:rsidRPr="00C860A4" w:rsidTr="00030901">
        <w:trPr>
          <w:gridAfter w:val="1"/>
          <w:wAfter w:w="14" w:type="dxa"/>
          <w:trHeight w:val="418"/>
          <w:jc w:val="center"/>
        </w:trPr>
        <w:tc>
          <w:tcPr>
            <w:tcW w:w="2567" w:type="dxa"/>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rPr>
                <w:rFonts w:eastAsia="Times New Roman"/>
                <w:sz w:val="24"/>
                <w:szCs w:val="24"/>
                <w:lang w:eastAsia="ru-RU"/>
              </w:rPr>
            </w:pPr>
            <w:r w:rsidRPr="00C860A4">
              <w:rPr>
                <w:rFonts w:eastAsia="Times New Roman"/>
                <w:sz w:val="24"/>
                <w:szCs w:val="24"/>
                <w:lang w:eastAsia="ru-RU"/>
              </w:rPr>
              <w:t>Індекс концентрації розродження вагітних з цукровим діабетом у ЗПД ІІІ рівня</w:t>
            </w:r>
          </w:p>
        </w:tc>
        <w:tc>
          <w:tcPr>
            <w:tcW w:w="850" w:type="dxa"/>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jc w:val="center"/>
              <w:rPr>
                <w:rFonts w:eastAsia="Times New Roman"/>
                <w:sz w:val="24"/>
                <w:szCs w:val="24"/>
                <w:lang w:eastAsia="ru-RU"/>
              </w:rPr>
            </w:pPr>
            <w:r w:rsidRPr="00C860A4">
              <w:rPr>
                <w:rFonts w:eastAsia="Times New Roman"/>
                <w:sz w:val="24"/>
                <w:szCs w:val="24"/>
                <w:lang w:eastAsia="ru-RU"/>
              </w:rPr>
              <w:t>70</w:t>
            </w:r>
          </w:p>
        </w:tc>
        <w:tc>
          <w:tcPr>
            <w:tcW w:w="993" w:type="dxa"/>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jc w:val="center"/>
              <w:rPr>
                <w:rFonts w:eastAsia="Times New Roman"/>
                <w:sz w:val="24"/>
                <w:szCs w:val="24"/>
                <w:lang w:eastAsia="ru-RU"/>
              </w:rPr>
            </w:pPr>
            <w:r w:rsidRPr="00C860A4">
              <w:rPr>
                <w:rFonts w:eastAsia="Times New Roman"/>
                <w:sz w:val="24"/>
                <w:szCs w:val="24"/>
                <w:lang w:eastAsia="ru-RU"/>
              </w:rPr>
              <w:t>**</w:t>
            </w:r>
          </w:p>
        </w:tc>
        <w:tc>
          <w:tcPr>
            <w:tcW w:w="850" w:type="dxa"/>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jc w:val="center"/>
              <w:rPr>
                <w:rFonts w:eastAsia="Times New Roman"/>
                <w:sz w:val="24"/>
                <w:szCs w:val="24"/>
                <w:lang w:eastAsia="ru-RU"/>
              </w:rPr>
            </w:pPr>
            <w:r w:rsidRPr="00C860A4">
              <w:rPr>
                <w:rFonts w:eastAsia="Times New Roman"/>
                <w:sz w:val="24"/>
                <w:szCs w:val="24"/>
                <w:lang w:eastAsia="ru-RU"/>
              </w:rPr>
              <w:t>7</w:t>
            </w:r>
          </w:p>
        </w:tc>
        <w:tc>
          <w:tcPr>
            <w:tcW w:w="851" w:type="dxa"/>
            <w:gridSpan w:val="2"/>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jc w:val="center"/>
              <w:rPr>
                <w:rFonts w:eastAsia="Times New Roman"/>
                <w:sz w:val="24"/>
                <w:szCs w:val="24"/>
                <w:lang w:eastAsia="ru-RU"/>
              </w:rPr>
            </w:pPr>
            <w:r w:rsidRPr="00C860A4">
              <w:rPr>
                <w:rFonts w:eastAsia="Times New Roman"/>
                <w:sz w:val="24"/>
                <w:szCs w:val="24"/>
                <w:lang w:eastAsia="ru-RU"/>
              </w:rPr>
              <w:t>46,7</w:t>
            </w:r>
          </w:p>
        </w:tc>
        <w:tc>
          <w:tcPr>
            <w:tcW w:w="992" w:type="dxa"/>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jc w:val="center"/>
              <w:rPr>
                <w:rFonts w:eastAsia="Times New Roman"/>
                <w:sz w:val="24"/>
                <w:szCs w:val="24"/>
                <w:lang w:eastAsia="ru-RU"/>
              </w:rPr>
            </w:pPr>
            <w:r w:rsidRPr="00C860A4">
              <w:rPr>
                <w:rFonts w:eastAsia="Times New Roman"/>
                <w:sz w:val="24"/>
                <w:szCs w:val="24"/>
                <w:lang w:eastAsia="ru-RU"/>
              </w:rPr>
              <w:t>**</w:t>
            </w:r>
          </w:p>
        </w:tc>
        <w:tc>
          <w:tcPr>
            <w:tcW w:w="709" w:type="dxa"/>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jc w:val="center"/>
              <w:rPr>
                <w:rFonts w:eastAsia="Times New Roman"/>
                <w:sz w:val="24"/>
                <w:szCs w:val="24"/>
                <w:lang w:eastAsia="ru-RU"/>
              </w:rPr>
            </w:pPr>
            <w:r w:rsidRPr="00C860A4">
              <w:rPr>
                <w:rFonts w:eastAsia="Times New Roman"/>
                <w:sz w:val="24"/>
                <w:szCs w:val="24"/>
                <w:lang w:eastAsia="ru-RU"/>
              </w:rPr>
              <w:t>4,67</w:t>
            </w:r>
          </w:p>
        </w:tc>
        <w:tc>
          <w:tcPr>
            <w:tcW w:w="708" w:type="dxa"/>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jc w:val="center"/>
              <w:rPr>
                <w:rFonts w:eastAsia="Times New Roman"/>
                <w:sz w:val="24"/>
                <w:szCs w:val="24"/>
                <w:lang w:eastAsia="ru-RU"/>
              </w:rPr>
            </w:pPr>
            <w:r w:rsidRPr="00C860A4">
              <w:rPr>
                <w:rFonts w:eastAsia="Times New Roman"/>
                <w:sz w:val="24"/>
                <w:szCs w:val="24"/>
                <w:lang w:eastAsia="ru-RU"/>
              </w:rPr>
              <w:t>**</w:t>
            </w:r>
          </w:p>
        </w:tc>
        <w:tc>
          <w:tcPr>
            <w:tcW w:w="851" w:type="dxa"/>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jc w:val="center"/>
              <w:rPr>
                <w:rFonts w:eastAsia="Times New Roman"/>
                <w:sz w:val="24"/>
                <w:szCs w:val="24"/>
                <w:lang w:eastAsia="ru-RU"/>
              </w:rPr>
            </w:pPr>
            <w:r w:rsidRPr="00C860A4">
              <w:rPr>
                <w:rFonts w:eastAsia="Times New Roman"/>
                <w:sz w:val="24"/>
                <w:szCs w:val="24"/>
                <w:lang w:eastAsia="ru-RU"/>
              </w:rPr>
              <w:t>0,67</w:t>
            </w:r>
          </w:p>
        </w:tc>
        <w:tc>
          <w:tcPr>
            <w:tcW w:w="850" w:type="dxa"/>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jc w:val="center"/>
              <w:rPr>
                <w:rFonts w:eastAsia="Times New Roman"/>
                <w:sz w:val="24"/>
                <w:szCs w:val="24"/>
                <w:lang w:eastAsia="ru-RU"/>
              </w:rPr>
            </w:pPr>
            <w:r w:rsidRPr="00C860A4">
              <w:rPr>
                <w:rFonts w:eastAsia="Times New Roman"/>
                <w:sz w:val="24"/>
                <w:szCs w:val="24"/>
                <w:lang w:eastAsia="ru-RU"/>
              </w:rPr>
              <w:t>**</w:t>
            </w:r>
          </w:p>
        </w:tc>
      </w:tr>
      <w:tr w:rsidR="007D677E" w:rsidRPr="00C860A4" w:rsidTr="00030901">
        <w:trPr>
          <w:gridAfter w:val="1"/>
          <w:wAfter w:w="14" w:type="dxa"/>
          <w:trHeight w:val="418"/>
          <w:jc w:val="center"/>
        </w:trPr>
        <w:tc>
          <w:tcPr>
            <w:tcW w:w="2567" w:type="dxa"/>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rPr>
                <w:rFonts w:eastAsia="Times New Roman"/>
                <w:sz w:val="24"/>
                <w:szCs w:val="24"/>
                <w:lang w:eastAsia="ru-RU"/>
              </w:rPr>
            </w:pPr>
            <w:r w:rsidRPr="00C860A4">
              <w:rPr>
                <w:rFonts w:eastAsia="Times New Roman"/>
                <w:sz w:val="24"/>
                <w:szCs w:val="24"/>
                <w:lang w:eastAsia="ru-RU"/>
              </w:rPr>
              <w:t>Індекс концентрац</w:t>
            </w:r>
            <w:r w:rsidR="009C36AF">
              <w:rPr>
                <w:rFonts w:eastAsia="Times New Roman"/>
                <w:sz w:val="24"/>
                <w:szCs w:val="24"/>
                <w:lang w:eastAsia="ru-RU"/>
              </w:rPr>
              <w:t>ії розродження вагітних з  пре</w:t>
            </w:r>
            <w:r w:rsidRPr="00C860A4">
              <w:rPr>
                <w:rFonts w:eastAsia="Times New Roman"/>
                <w:sz w:val="24"/>
                <w:szCs w:val="24"/>
                <w:lang w:eastAsia="ru-RU"/>
              </w:rPr>
              <w:t>еклампсією і еклампсією  у ЗПД ІІ-ІІІ рівнів</w:t>
            </w:r>
          </w:p>
        </w:tc>
        <w:tc>
          <w:tcPr>
            <w:tcW w:w="850" w:type="dxa"/>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jc w:val="center"/>
              <w:rPr>
                <w:rFonts w:eastAsia="Times New Roman"/>
                <w:sz w:val="24"/>
                <w:szCs w:val="24"/>
                <w:lang w:eastAsia="ru-RU"/>
              </w:rPr>
            </w:pPr>
            <w:r w:rsidRPr="00C860A4">
              <w:rPr>
                <w:rFonts w:eastAsia="Times New Roman"/>
                <w:sz w:val="24"/>
                <w:szCs w:val="24"/>
                <w:lang w:eastAsia="ru-RU"/>
              </w:rPr>
              <w:t>90</w:t>
            </w:r>
          </w:p>
        </w:tc>
        <w:tc>
          <w:tcPr>
            <w:tcW w:w="993" w:type="dxa"/>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jc w:val="center"/>
              <w:rPr>
                <w:rFonts w:eastAsia="Times New Roman"/>
                <w:sz w:val="24"/>
                <w:szCs w:val="24"/>
                <w:lang w:eastAsia="ru-RU"/>
              </w:rPr>
            </w:pPr>
            <w:r w:rsidRPr="00C860A4">
              <w:rPr>
                <w:rFonts w:eastAsia="Times New Roman"/>
                <w:sz w:val="24"/>
                <w:szCs w:val="24"/>
                <w:lang w:eastAsia="ru-RU"/>
              </w:rPr>
              <w:t>**</w:t>
            </w:r>
          </w:p>
        </w:tc>
        <w:tc>
          <w:tcPr>
            <w:tcW w:w="850" w:type="dxa"/>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jc w:val="center"/>
              <w:rPr>
                <w:rFonts w:eastAsia="Times New Roman"/>
                <w:sz w:val="24"/>
                <w:szCs w:val="24"/>
                <w:lang w:eastAsia="ru-RU"/>
              </w:rPr>
            </w:pPr>
            <w:r w:rsidRPr="00C860A4">
              <w:rPr>
                <w:rFonts w:eastAsia="Times New Roman"/>
                <w:sz w:val="24"/>
                <w:szCs w:val="24"/>
                <w:lang w:eastAsia="ru-RU"/>
              </w:rPr>
              <w:t>7</w:t>
            </w:r>
          </w:p>
        </w:tc>
        <w:tc>
          <w:tcPr>
            <w:tcW w:w="851" w:type="dxa"/>
            <w:gridSpan w:val="2"/>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jc w:val="center"/>
              <w:rPr>
                <w:rFonts w:eastAsia="Times New Roman"/>
                <w:sz w:val="24"/>
                <w:szCs w:val="24"/>
                <w:lang w:eastAsia="ru-RU"/>
              </w:rPr>
            </w:pPr>
            <w:r w:rsidRPr="00C860A4">
              <w:rPr>
                <w:rFonts w:eastAsia="Times New Roman"/>
                <w:sz w:val="24"/>
                <w:szCs w:val="24"/>
                <w:lang w:eastAsia="ru-RU"/>
              </w:rPr>
              <w:t>79</w:t>
            </w:r>
          </w:p>
        </w:tc>
        <w:tc>
          <w:tcPr>
            <w:tcW w:w="992" w:type="dxa"/>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jc w:val="center"/>
              <w:rPr>
                <w:rFonts w:eastAsia="Times New Roman"/>
                <w:sz w:val="24"/>
                <w:szCs w:val="24"/>
                <w:lang w:eastAsia="ru-RU"/>
              </w:rPr>
            </w:pPr>
            <w:r w:rsidRPr="00C860A4">
              <w:rPr>
                <w:rFonts w:eastAsia="Times New Roman"/>
                <w:sz w:val="24"/>
                <w:szCs w:val="24"/>
                <w:lang w:eastAsia="ru-RU"/>
              </w:rPr>
              <w:t>**</w:t>
            </w:r>
          </w:p>
        </w:tc>
        <w:tc>
          <w:tcPr>
            <w:tcW w:w="709" w:type="dxa"/>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jc w:val="center"/>
              <w:rPr>
                <w:rFonts w:eastAsia="Times New Roman"/>
                <w:sz w:val="24"/>
                <w:szCs w:val="24"/>
                <w:lang w:eastAsia="ru-RU"/>
              </w:rPr>
            </w:pPr>
            <w:r w:rsidRPr="00C860A4">
              <w:rPr>
                <w:rFonts w:eastAsia="Times New Roman"/>
                <w:sz w:val="24"/>
                <w:szCs w:val="24"/>
                <w:lang w:eastAsia="ru-RU"/>
              </w:rPr>
              <w:t>6,14</w:t>
            </w:r>
          </w:p>
        </w:tc>
        <w:tc>
          <w:tcPr>
            <w:tcW w:w="708" w:type="dxa"/>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jc w:val="center"/>
              <w:rPr>
                <w:rFonts w:eastAsia="Times New Roman"/>
                <w:sz w:val="24"/>
                <w:szCs w:val="24"/>
                <w:lang w:eastAsia="ru-RU"/>
              </w:rPr>
            </w:pPr>
            <w:r w:rsidRPr="00C860A4">
              <w:rPr>
                <w:rFonts w:eastAsia="Times New Roman"/>
                <w:sz w:val="24"/>
                <w:szCs w:val="24"/>
                <w:lang w:eastAsia="ru-RU"/>
              </w:rPr>
              <w:t>**</w:t>
            </w:r>
          </w:p>
        </w:tc>
        <w:tc>
          <w:tcPr>
            <w:tcW w:w="851" w:type="dxa"/>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jc w:val="center"/>
              <w:rPr>
                <w:rFonts w:eastAsia="Times New Roman"/>
                <w:sz w:val="24"/>
                <w:szCs w:val="24"/>
                <w:lang w:eastAsia="ru-RU"/>
              </w:rPr>
            </w:pPr>
            <w:r w:rsidRPr="00C860A4">
              <w:rPr>
                <w:rFonts w:eastAsia="Times New Roman"/>
                <w:sz w:val="24"/>
                <w:szCs w:val="24"/>
                <w:lang w:eastAsia="ru-RU"/>
              </w:rPr>
              <w:t>0,88</w:t>
            </w:r>
          </w:p>
        </w:tc>
        <w:tc>
          <w:tcPr>
            <w:tcW w:w="850" w:type="dxa"/>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jc w:val="center"/>
              <w:rPr>
                <w:rFonts w:eastAsia="Times New Roman"/>
                <w:sz w:val="24"/>
                <w:szCs w:val="24"/>
                <w:lang w:eastAsia="ru-RU"/>
              </w:rPr>
            </w:pPr>
            <w:r w:rsidRPr="00C860A4">
              <w:rPr>
                <w:rFonts w:eastAsia="Times New Roman"/>
                <w:sz w:val="24"/>
                <w:szCs w:val="24"/>
                <w:lang w:eastAsia="ru-RU"/>
              </w:rPr>
              <w:t>**</w:t>
            </w:r>
          </w:p>
        </w:tc>
      </w:tr>
      <w:tr w:rsidR="007D677E" w:rsidRPr="00C860A4" w:rsidTr="00030901">
        <w:trPr>
          <w:gridAfter w:val="1"/>
          <w:wAfter w:w="14" w:type="dxa"/>
          <w:trHeight w:val="418"/>
          <w:jc w:val="center"/>
        </w:trPr>
        <w:tc>
          <w:tcPr>
            <w:tcW w:w="2567" w:type="dxa"/>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rPr>
                <w:rFonts w:eastAsia="Times New Roman"/>
                <w:sz w:val="24"/>
                <w:szCs w:val="24"/>
                <w:lang w:eastAsia="ru-RU"/>
              </w:rPr>
            </w:pPr>
            <w:r w:rsidRPr="00C860A4">
              <w:rPr>
                <w:rFonts w:eastAsia="Times New Roman"/>
                <w:sz w:val="24"/>
                <w:szCs w:val="24"/>
                <w:lang w:eastAsia="ru-RU"/>
              </w:rPr>
              <w:t>Індекс концентрації новонароджених масою тіла при народженні 500-1499</w:t>
            </w:r>
            <w:r w:rsidR="00030901">
              <w:rPr>
                <w:rFonts w:eastAsia="Times New Roman"/>
                <w:sz w:val="24"/>
                <w:szCs w:val="24"/>
                <w:lang w:eastAsia="ru-RU"/>
              </w:rPr>
              <w:t xml:space="preserve"> </w:t>
            </w:r>
            <w:r w:rsidRPr="00C860A4">
              <w:rPr>
                <w:rFonts w:eastAsia="Times New Roman"/>
                <w:sz w:val="24"/>
                <w:szCs w:val="24"/>
                <w:lang w:eastAsia="ru-RU"/>
              </w:rPr>
              <w:t>г у ЗПД ІІІ рівня</w:t>
            </w:r>
          </w:p>
        </w:tc>
        <w:tc>
          <w:tcPr>
            <w:tcW w:w="850" w:type="dxa"/>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jc w:val="center"/>
              <w:rPr>
                <w:rFonts w:eastAsia="Times New Roman"/>
                <w:sz w:val="24"/>
                <w:szCs w:val="24"/>
                <w:lang w:eastAsia="ru-RU"/>
              </w:rPr>
            </w:pPr>
            <w:r w:rsidRPr="00C860A4">
              <w:rPr>
                <w:rFonts w:eastAsia="Times New Roman"/>
                <w:sz w:val="24"/>
                <w:szCs w:val="24"/>
                <w:lang w:eastAsia="ru-RU"/>
              </w:rPr>
              <w:t>80</w:t>
            </w:r>
          </w:p>
        </w:tc>
        <w:tc>
          <w:tcPr>
            <w:tcW w:w="993" w:type="dxa"/>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jc w:val="center"/>
              <w:rPr>
                <w:rFonts w:eastAsia="Times New Roman"/>
                <w:sz w:val="24"/>
                <w:szCs w:val="24"/>
                <w:lang w:eastAsia="ru-RU"/>
              </w:rPr>
            </w:pPr>
            <w:r w:rsidRPr="00C860A4">
              <w:rPr>
                <w:rFonts w:eastAsia="Times New Roman"/>
                <w:sz w:val="24"/>
                <w:szCs w:val="24"/>
                <w:lang w:eastAsia="ru-RU"/>
              </w:rPr>
              <w:t>**</w:t>
            </w:r>
          </w:p>
        </w:tc>
        <w:tc>
          <w:tcPr>
            <w:tcW w:w="850" w:type="dxa"/>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jc w:val="center"/>
              <w:rPr>
                <w:rFonts w:eastAsia="Times New Roman"/>
                <w:sz w:val="24"/>
                <w:szCs w:val="24"/>
                <w:lang w:eastAsia="ru-RU"/>
              </w:rPr>
            </w:pPr>
            <w:r w:rsidRPr="00C860A4">
              <w:rPr>
                <w:rFonts w:eastAsia="Times New Roman"/>
                <w:sz w:val="24"/>
                <w:szCs w:val="24"/>
                <w:lang w:eastAsia="ru-RU"/>
              </w:rPr>
              <w:t>6</w:t>
            </w:r>
          </w:p>
        </w:tc>
        <w:tc>
          <w:tcPr>
            <w:tcW w:w="851" w:type="dxa"/>
            <w:gridSpan w:val="2"/>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jc w:val="center"/>
              <w:rPr>
                <w:rFonts w:eastAsia="Times New Roman"/>
                <w:sz w:val="24"/>
                <w:szCs w:val="24"/>
                <w:lang w:eastAsia="ru-RU"/>
              </w:rPr>
            </w:pPr>
            <w:r w:rsidRPr="00C860A4">
              <w:rPr>
                <w:rFonts w:eastAsia="Times New Roman"/>
                <w:sz w:val="24"/>
                <w:szCs w:val="24"/>
                <w:lang w:eastAsia="ru-RU"/>
              </w:rPr>
              <w:t>56,12</w:t>
            </w:r>
          </w:p>
        </w:tc>
        <w:tc>
          <w:tcPr>
            <w:tcW w:w="992" w:type="dxa"/>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jc w:val="center"/>
              <w:rPr>
                <w:rFonts w:eastAsia="Times New Roman"/>
                <w:sz w:val="24"/>
                <w:szCs w:val="24"/>
                <w:lang w:eastAsia="ru-RU"/>
              </w:rPr>
            </w:pPr>
            <w:r w:rsidRPr="00C860A4">
              <w:rPr>
                <w:rFonts w:eastAsia="Times New Roman"/>
                <w:sz w:val="24"/>
                <w:szCs w:val="24"/>
                <w:lang w:eastAsia="ru-RU"/>
              </w:rPr>
              <w:t>**</w:t>
            </w:r>
          </w:p>
        </w:tc>
        <w:tc>
          <w:tcPr>
            <w:tcW w:w="709" w:type="dxa"/>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jc w:val="center"/>
              <w:rPr>
                <w:rFonts w:eastAsia="Times New Roman"/>
                <w:sz w:val="24"/>
                <w:szCs w:val="24"/>
                <w:lang w:eastAsia="ru-RU"/>
              </w:rPr>
            </w:pPr>
            <w:r w:rsidRPr="00C860A4">
              <w:rPr>
                <w:rFonts w:eastAsia="Times New Roman"/>
                <w:sz w:val="24"/>
                <w:szCs w:val="24"/>
                <w:lang w:eastAsia="ru-RU"/>
              </w:rPr>
              <w:t>4,21</w:t>
            </w:r>
          </w:p>
        </w:tc>
        <w:tc>
          <w:tcPr>
            <w:tcW w:w="708" w:type="dxa"/>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jc w:val="center"/>
              <w:rPr>
                <w:rFonts w:eastAsia="Times New Roman"/>
                <w:sz w:val="24"/>
                <w:szCs w:val="24"/>
                <w:lang w:eastAsia="ru-RU"/>
              </w:rPr>
            </w:pPr>
            <w:r w:rsidRPr="00C860A4">
              <w:rPr>
                <w:rFonts w:eastAsia="Times New Roman"/>
                <w:sz w:val="24"/>
                <w:szCs w:val="24"/>
                <w:lang w:eastAsia="ru-RU"/>
              </w:rPr>
              <w:t>**</w:t>
            </w:r>
          </w:p>
        </w:tc>
        <w:tc>
          <w:tcPr>
            <w:tcW w:w="851" w:type="dxa"/>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jc w:val="center"/>
              <w:rPr>
                <w:rFonts w:eastAsia="Times New Roman"/>
                <w:sz w:val="24"/>
                <w:szCs w:val="24"/>
                <w:lang w:eastAsia="ru-RU"/>
              </w:rPr>
            </w:pPr>
            <w:r w:rsidRPr="00C860A4">
              <w:rPr>
                <w:rFonts w:eastAsia="Times New Roman"/>
                <w:sz w:val="24"/>
                <w:szCs w:val="24"/>
                <w:lang w:eastAsia="ru-RU"/>
              </w:rPr>
              <w:t>0,70</w:t>
            </w:r>
          </w:p>
        </w:tc>
        <w:tc>
          <w:tcPr>
            <w:tcW w:w="850" w:type="dxa"/>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jc w:val="center"/>
              <w:rPr>
                <w:rFonts w:eastAsia="Times New Roman"/>
                <w:sz w:val="24"/>
                <w:szCs w:val="24"/>
                <w:lang w:eastAsia="ru-RU"/>
              </w:rPr>
            </w:pPr>
            <w:r w:rsidRPr="00C860A4">
              <w:rPr>
                <w:rFonts w:eastAsia="Times New Roman"/>
                <w:sz w:val="24"/>
                <w:szCs w:val="24"/>
                <w:lang w:eastAsia="ru-RU"/>
              </w:rPr>
              <w:t>**</w:t>
            </w:r>
          </w:p>
        </w:tc>
      </w:tr>
      <w:tr w:rsidR="007D677E" w:rsidRPr="00C860A4" w:rsidTr="00030901">
        <w:trPr>
          <w:gridAfter w:val="1"/>
          <w:wAfter w:w="14" w:type="dxa"/>
          <w:trHeight w:val="418"/>
          <w:jc w:val="center"/>
        </w:trPr>
        <w:tc>
          <w:tcPr>
            <w:tcW w:w="2567" w:type="dxa"/>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rPr>
                <w:rFonts w:eastAsia="Times New Roman"/>
                <w:sz w:val="24"/>
                <w:szCs w:val="24"/>
                <w:lang w:eastAsia="ru-RU"/>
              </w:rPr>
            </w:pPr>
            <w:r w:rsidRPr="00C860A4">
              <w:rPr>
                <w:rFonts w:eastAsia="Times New Roman"/>
                <w:sz w:val="24"/>
                <w:szCs w:val="24"/>
                <w:lang w:eastAsia="ru-RU"/>
              </w:rPr>
              <w:t>Індекс неонатального трансферу</w:t>
            </w:r>
          </w:p>
        </w:tc>
        <w:tc>
          <w:tcPr>
            <w:tcW w:w="850" w:type="dxa"/>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jc w:val="center"/>
              <w:rPr>
                <w:rFonts w:eastAsia="Times New Roman"/>
                <w:sz w:val="24"/>
                <w:szCs w:val="24"/>
                <w:lang w:eastAsia="ru-RU"/>
              </w:rPr>
            </w:pPr>
            <w:r w:rsidRPr="00C860A4">
              <w:rPr>
                <w:rFonts w:eastAsia="Times New Roman"/>
                <w:sz w:val="24"/>
                <w:szCs w:val="24"/>
                <w:lang w:eastAsia="ru-RU"/>
              </w:rPr>
              <w:t>4</w:t>
            </w:r>
          </w:p>
        </w:tc>
        <w:tc>
          <w:tcPr>
            <w:tcW w:w="993" w:type="dxa"/>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jc w:val="center"/>
              <w:rPr>
                <w:rFonts w:eastAsia="Times New Roman"/>
                <w:sz w:val="24"/>
                <w:szCs w:val="24"/>
                <w:lang w:eastAsia="ru-RU"/>
              </w:rPr>
            </w:pPr>
            <w:r w:rsidRPr="00C860A4">
              <w:rPr>
                <w:rFonts w:eastAsia="Times New Roman"/>
                <w:sz w:val="24"/>
                <w:szCs w:val="24"/>
                <w:lang w:eastAsia="ru-RU"/>
              </w:rPr>
              <w:t>5</w:t>
            </w:r>
          </w:p>
        </w:tc>
        <w:tc>
          <w:tcPr>
            <w:tcW w:w="850" w:type="dxa"/>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jc w:val="center"/>
              <w:rPr>
                <w:rFonts w:eastAsia="Times New Roman"/>
                <w:sz w:val="24"/>
                <w:szCs w:val="24"/>
                <w:lang w:eastAsia="ru-RU"/>
              </w:rPr>
            </w:pPr>
            <w:r w:rsidRPr="00C860A4">
              <w:rPr>
                <w:rFonts w:eastAsia="Times New Roman"/>
                <w:sz w:val="24"/>
                <w:szCs w:val="24"/>
                <w:lang w:eastAsia="ru-RU"/>
              </w:rPr>
              <w:t>7</w:t>
            </w:r>
          </w:p>
        </w:tc>
        <w:tc>
          <w:tcPr>
            <w:tcW w:w="851" w:type="dxa"/>
            <w:gridSpan w:val="2"/>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jc w:val="center"/>
              <w:rPr>
                <w:rFonts w:eastAsia="Times New Roman"/>
                <w:sz w:val="24"/>
                <w:szCs w:val="24"/>
                <w:lang w:eastAsia="ru-RU"/>
              </w:rPr>
            </w:pPr>
            <w:r w:rsidRPr="00C860A4">
              <w:rPr>
                <w:rFonts w:eastAsia="Times New Roman"/>
                <w:sz w:val="24"/>
                <w:szCs w:val="24"/>
                <w:lang w:eastAsia="ru-RU"/>
              </w:rPr>
              <w:t>6,1</w:t>
            </w:r>
          </w:p>
        </w:tc>
        <w:tc>
          <w:tcPr>
            <w:tcW w:w="992" w:type="dxa"/>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jc w:val="center"/>
              <w:rPr>
                <w:rFonts w:eastAsia="Times New Roman"/>
                <w:sz w:val="24"/>
                <w:szCs w:val="24"/>
                <w:lang w:eastAsia="ru-RU"/>
              </w:rPr>
            </w:pPr>
            <w:r w:rsidRPr="00C860A4">
              <w:rPr>
                <w:rFonts w:eastAsia="Times New Roman"/>
                <w:sz w:val="24"/>
                <w:szCs w:val="24"/>
                <w:lang w:eastAsia="ru-RU"/>
              </w:rPr>
              <w:t>6,7</w:t>
            </w:r>
          </w:p>
        </w:tc>
        <w:tc>
          <w:tcPr>
            <w:tcW w:w="709" w:type="dxa"/>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jc w:val="center"/>
              <w:rPr>
                <w:rFonts w:eastAsia="Times New Roman"/>
                <w:sz w:val="24"/>
                <w:szCs w:val="24"/>
                <w:lang w:eastAsia="ru-RU"/>
              </w:rPr>
            </w:pPr>
            <w:r w:rsidRPr="00C860A4">
              <w:rPr>
                <w:rFonts w:eastAsia="Times New Roman"/>
                <w:sz w:val="24"/>
                <w:szCs w:val="24"/>
                <w:lang w:eastAsia="ru-RU"/>
              </w:rPr>
              <w:t>3,33</w:t>
            </w:r>
          </w:p>
        </w:tc>
        <w:tc>
          <w:tcPr>
            <w:tcW w:w="708" w:type="dxa"/>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jc w:val="center"/>
              <w:rPr>
                <w:rFonts w:eastAsia="Times New Roman"/>
                <w:sz w:val="24"/>
                <w:szCs w:val="24"/>
                <w:lang w:eastAsia="ru-RU"/>
              </w:rPr>
            </w:pPr>
            <w:r w:rsidRPr="00C860A4">
              <w:rPr>
                <w:rFonts w:eastAsia="Times New Roman"/>
                <w:sz w:val="24"/>
                <w:szCs w:val="24"/>
                <w:lang w:eastAsia="ru-RU"/>
              </w:rPr>
              <w:t>4,62</w:t>
            </w:r>
          </w:p>
        </w:tc>
        <w:tc>
          <w:tcPr>
            <w:tcW w:w="851" w:type="dxa"/>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jc w:val="center"/>
              <w:rPr>
                <w:rFonts w:eastAsia="Times New Roman"/>
                <w:sz w:val="24"/>
                <w:szCs w:val="24"/>
                <w:lang w:eastAsia="ru-RU"/>
              </w:rPr>
            </w:pPr>
            <w:r w:rsidRPr="00C860A4">
              <w:rPr>
                <w:rFonts w:eastAsia="Times New Roman"/>
                <w:sz w:val="24"/>
                <w:szCs w:val="24"/>
                <w:lang w:eastAsia="ru-RU"/>
              </w:rPr>
              <w:t>0,48</w:t>
            </w:r>
          </w:p>
        </w:tc>
        <w:tc>
          <w:tcPr>
            <w:tcW w:w="850" w:type="dxa"/>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jc w:val="center"/>
              <w:rPr>
                <w:rFonts w:eastAsia="Times New Roman"/>
                <w:sz w:val="24"/>
                <w:szCs w:val="24"/>
                <w:lang w:eastAsia="ru-RU"/>
              </w:rPr>
            </w:pPr>
            <w:r w:rsidRPr="00C860A4">
              <w:rPr>
                <w:rFonts w:eastAsia="Times New Roman"/>
                <w:sz w:val="24"/>
                <w:szCs w:val="24"/>
                <w:lang w:eastAsia="ru-RU"/>
              </w:rPr>
              <w:t>0,66</w:t>
            </w:r>
          </w:p>
        </w:tc>
      </w:tr>
      <w:tr w:rsidR="007D677E" w:rsidRPr="00C860A4" w:rsidTr="00030901">
        <w:trPr>
          <w:gridAfter w:val="1"/>
          <w:wAfter w:w="14" w:type="dxa"/>
          <w:trHeight w:val="418"/>
          <w:jc w:val="center"/>
        </w:trPr>
        <w:tc>
          <w:tcPr>
            <w:tcW w:w="2567" w:type="dxa"/>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rPr>
                <w:rFonts w:eastAsia="Times New Roman"/>
                <w:sz w:val="24"/>
                <w:szCs w:val="24"/>
                <w:lang w:eastAsia="ru-RU"/>
              </w:rPr>
            </w:pPr>
            <w:r w:rsidRPr="00C860A4">
              <w:rPr>
                <w:rFonts w:eastAsia="Times New Roman"/>
                <w:sz w:val="24"/>
                <w:szCs w:val="24"/>
                <w:lang w:eastAsia="ru-RU"/>
              </w:rPr>
              <w:t>Частота нормальних пологів</w:t>
            </w:r>
          </w:p>
        </w:tc>
        <w:tc>
          <w:tcPr>
            <w:tcW w:w="850" w:type="dxa"/>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jc w:val="center"/>
              <w:rPr>
                <w:rFonts w:eastAsia="Times New Roman"/>
                <w:sz w:val="24"/>
                <w:szCs w:val="24"/>
                <w:lang w:eastAsia="ru-RU"/>
              </w:rPr>
            </w:pPr>
            <w:r w:rsidRPr="00C860A4">
              <w:rPr>
                <w:rFonts w:eastAsia="Times New Roman"/>
                <w:sz w:val="24"/>
                <w:szCs w:val="24"/>
                <w:lang w:eastAsia="ru-RU"/>
              </w:rPr>
              <w:t>70</w:t>
            </w:r>
          </w:p>
        </w:tc>
        <w:tc>
          <w:tcPr>
            <w:tcW w:w="993" w:type="dxa"/>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jc w:val="center"/>
              <w:rPr>
                <w:rFonts w:eastAsia="Times New Roman"/>
                <w:sz w:val="24"/>
                <w:szCs w:val="24"/>
                <w:lang w:eastAsia="ru-RU"/>
              </w:rPr>
            </w:pPr>
            <w:r w:rsidRPr="00C860A4">
              <w:rPr>
                <w:rFonts w:eastAsia="Times New Roman"/>
                <w:sz w:val="24"/>
                <w:szCs w:val="24"/>
                <w:lang w:eastAsia="ru-RU"/>
              </w:rPr>
              <w:t>67</w:t>
            </w:r>
          </w:p>
        </w:tc>
        <w:tc>
          <w:tcPr>
            <w:tcW w:w="850" w:type="dxa"/>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jc w:val="center"/>
              <w:rPr>
                <w:rFonts w:eastAsia="Times New Roman"/>
                <w:sz w:val="24"/>
                <w:szCs w:val="24"/>
                <w:lang w:eastAsia="ru-RU"/>
              </w:rPr>
            </w:pPr>
            <w:r w:rsidRPr="00C860A4">
              <w:rPr>
                <w:rFonts w:eastAsia="Times New Roman"/>
                <w:sz w:val="24"/>
                <w:szCs w:val="24"/>
                <w:lang w:eastAsia="ru-RU"/>
              </w:rPr>
              <w:t>5</w:t>
            </w:r>
          </w:p>
        </w:tc>
        <w:tc>
          <w:tcPr>
            <w:tcW w:w="851" w:type="dxa"/>
            <w:gridSpan w:val="2"/>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jc w:val="center"/>
              <w:rPr>
                <w:rFonts w:eastAsia="Times New Roman"/>
                <w:sz w:val="24"/>
                <w:szCs w:val="24"/>
                <w:lang w:eastAsia="ru-RU"/>
              </w:rPr>
            </w:pPr>
            <w:r w:rsidRPr="00C860A4">
              <w:rPr>
                <w:rFonts w:eastAsia="Times New Roman"/>
                <w:sz w:val="24"/>
                <w:szCs w:val="24"/>
                <w:lang w:eastAsia="ru-RU"/>
              </w:rPr>
              <w:t>66,54</w:t>
            </w:r>
          </w:p>
        </w:tc>
        <w:tc>
          <w:tcPr>
            <w:tcW w:w="992" w:type="dxa"/>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jc w:val="center"/>
              <w:rPr>
                <w:rFonts w:eastAsia="Times New Roman"/>
                <w:sz w:val="24"/>
                <w:szCs w:val="24"/>
                <w:lang w:eastAsia="ru-RU"/>
              </w:rPr>
            </w:pPr>
            <w:r w:rsidRPr="00C860A4">
              <w:rPr>
                <w:rFonts w:eastAsia="Times New Roman"/>
                <w:sz w:val="24"/>
                <w:szCs w:val="24"/>
                <w:lang w:eastAsia="ru-RU"/>
              </w:rPr>
              <w:t>65,47</w:t>
            </w:r>
          </w:p>
        </w:tc>
        <w:tc>
          <w:tcPr>
            <w:tcW w:w="709" w:type="dxa"/>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jc w:val="center"/>
              <w:rPr>
                <w:rFonts w:eastAsia="Times New Roman"/>
                <w:sz w:val="24"/>
                <w:szCs w:val="24"/>
                <w:lang w:eastAsia="ru-RU"/>
              </w:rPr>
            </w:pPr>
            <w:r w:rsidRPr="00C860A4">
              <w:rPr>
                <w:rFonts w:eastAsia="Times New Roman"/>
                <w:sz w:val="24"/>
                <w:szCs w:val="24"/>
                <w:lang w:eastAsia="ru-RU"/>
              </w:rPr>
              <w:t>4,75</w:t>
            </w:r>
          </w:p>
        </w:tc>
        <w:tc>
          <w:tcPr>
            <w:tcW w:w="708" w:type="dxa"/>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jc w:val="center"/>
              <w:rPr>
                <w:rFonts w:eastAsia="Times New Roman"/>
                <w:sz w:val="24"/>
                <w:szCs w:val="24"/>
                <w:lang w:eastAsia="ru-RU"/>
              </w:rPr>
            </w:pPr>
            <w:r w:rsidRPr="00C860A4">
              <w:rPr>
                <w:rFonts w:eastAsia="Times New Roman"/>
                <w:sz w:val="24"/>
                <w:szCs w:val="24"/>
                <w:lang w:eastAsia="ru-RU"/>
              </w:rPr>
              <w:t>4,89</w:t>
            </w:r>
          </w:p>
        </w:tc>
        <w:tc>
          <w:tcPr>
            <w:tcW w:w="851" w:type="dxa"/>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jc w:val="center"/>
              <w:rPr>
                <w:rFonts w:eastAsia="Times New Roman"/>
                <w:sz w:val="24"/>
                <w:szCs w:val="24"/>
                <w:lang w:eastAsia="ru-RU"/>
              </w:rPr>
            </w:pPr>
            <w:r w:rsidRPr="00C860A4">
              <w:rPr>
                <w:rFonts w:eastAsia="Times New Roman"/>
                <w:sz w:val="24"/>
                <w:szCs w:val="24"/>
                <w:lang w:eastAsia="ru-RU"/>
              </w:rPr>
              <w:t>0,95</w:t>
            </w:r>
          </w:p>
        </w:tc>
        <w:tc>
          <w:tcPr>
            <w:tcW w:w="850" w:type="dxa"/>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jc w:val="center"/>
              <w:rPr>
                <w:rFonts w:eastAsia="Times New Roman"/>
                <w:sz w:val="24"/>
                <w:szCs w:val="24"/>
                <w:lang w:eastAsia="ru-RU"/>
              </w:rPr>
            </w:pPr>
            <w:r w:rsidRPr="00C860A4">
              <w:rPr>
                <w:rFonts w:eastAsia="Times New Roman"/>
                <w:sz w:val="24"/>
                <w:szCs w:val="24"/>
                <w:lang w:eastAsia="ru-RU"/>
              </w:rPr>
              <w:t>0,98</w:t>
            </w:r>
          </w:p>
        </w:tc>
      </w:tr>
      <w:tr w:rsidR="007D677E" w:rsidRPr="00C860A4" w:rsidTr="00030901">
        <w:trPr>
          <w:gridAfter w:val="1"/>
          <w:wAfter w:w="14" w:type="dxa"/>
          <w:trHeight w:val="418"/>
          <w:jc w:val="center"/>
        </w:trPr>
        <w:tc>
          <w:tcPr>
            <w:tcW w:w="2567" w:type="dxa"/>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rPr>
                <w:rFonts w:eastAsia="Times New Roman"/>
                <w:sz w:val="24"/>
                <w:szCs w:val="24"/>
                <w:lang w:eastAsia="ru-RU"/>
              </w:rPr>
            </w:pPr>
            <w:r w:rsidRPr="00C860A4">
              <w:rPr>
                <w:rFonts w:eastAsia="Times New Roman"/>
                <w:sz w:val="24"/>
                <w:szCs w:val="24"/>
                <w:lang w:eastAsia="ru-RU"/>
              </w:rPr>
              <w:t>Частота розроджень вагітних шляхом кесаревого розтину</w:t>
            </w:r>
          </w:p>
        </w:tc>
        <w:tc>
          <w:tcPr>
            <w:tcW w:w="850" w:type="dxa"/>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jc w:val="center"/>
              <w:rPr>
                <w:rFonts w:eastAsia="Times New Roman"/>
                <w:sz w:val="24"/>
                <w:szCs w:val="24"/>
                <w:lang w:eastAsia="ru-RU"/>
              </w:rPr>
            </w:pPr>
            <w:r w:rsidRPr="00C860A4">
              <w:rPr>
                <w:rFonts w:eastAsia="Times New Roman"/>
                <w:sz w:val="24"/>
                <w:szCs w:val="24"/>
                <w:lang w:eastAsia="ru-RU"/>
              </w:rPr>
              <w:t>160</w:t>
            </w:r>
          </w:p>
        </w:tc>
        <w:tc>
          <w:tcPr>
            <w:tcW w:w="993" w:type="dxa"/>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jc w:val="center"/>
              <w:rPr>
                <w:rFonts w:eastAsia="Times New Roman"/>
                <w:sz w:val="24"/>
                <w:szCs w:val="24"/>
                <w:lang w:eastAsia="ru-RU"/>
              </w:rPr>
            </w:pPr>
            <w:r w:rsidRPr="00C860A4">
              <w:rPr>
                <w:rFonts w:eastAsia="Times New Roman"/>
                <w:sz w:val="24"/>
                <w:szCs w:val="24"/>
                <w:lang w:eastAsia="ru-RU"/>
              </w:rPr>
              <w:t>180</w:t>
            </w:r>
          </w:p>
        </w:tc>
        <w:tc>
          <w:tcPr>
            <w:tcW w:w="850" w:type="dxa"/>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jc w:val="center"/>
              <w:rPr>
                <w:rFonts w:eastAsia="Times New Roman"/>
                <w:sz w:val="24"/>
                <w:szCs w:val="24"/>
                <w:lang w:eastAsia="ru-RU"/>
              </w:rPr>
            </w:pPr>
            <w:r w:rsidRPr="00C860A4">
              <w:rPr>
                <w:rFonts w:eastAsia="Times New Roman"/>
                <w:sz w:val="24"/>
                <w:szCs w:val="24"/>
                <w:lang w:eastAsia="ru-RU"/>
              </w:rPr>
              <w:t>7</w:t>
            </w:r>
          </w:p>
        </w:tc>
        <w:tc>
          <w:tcPr>
            <w:tcW w:w="851" w:type="dxa"/>
            <w:gridSpan w:val="2"/>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jc w:val="center"/>
              <w:rPr>
                <w:rFonts w:eastAsia="Times New Roman"/>
                <w:sz w:val="24"/>
                <w:szCs w:val="24"/>
                <w:lang w:eastAsia="ru-RU"/>
              </w:rPr>
            </w:pPr>
            <w:r w:rsidRPr="00C860A4">
              <w:rPr>
                <w:rFonts w:eastAsia="Times New Roman"/>
                <w:sz w:val="24"/>
                <w:szCs w:val="24"/>
                <w:lang w:eastAsia="ru-RU"/>
              </w:rPr>
              <w:t>208,5</w:t>
            </w:r>
          </w:p>
        </w:tc>
        <w:tc>
          <w:tcPr>
            <w:tcW w:w="992" w:type="dxa"/>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jc w:val="center"/>
              <w:rPr>
                <w:rFonts w:eastAsia="Times New Roman"/>
                <w:sz w:val="24"/>
                <w:szCs w:val="24"/>
                <w:lang w:eastAsia="ru-RU"/>
              </w:rPr>
            </w:pPr>
            <w:r w:rsidRPr="00C860A4">
              <w:rPr>
                <w:rFonts w:eastAsia="Times New Roman"/>
                <w:sz w:val="24"/>
                <w:szCs w:val="24"/>
                <w:lang w:eastAsia="ru-RU"/>
              </w:rPr>
              <w:t>223,23</w:t>
            </w:r>
          </w:p>
        </w:tc>
        <w:tc>
          <w:tcPr>
            <w:tcW w:w="709" w:type="dxa"/>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jc w:val="center"/>
              <w:rPr>
                <w:rFonts w:eastAsia="Times New Roman"/>
                <w:sz w:val="24"/>
                <w:szCs w:val="24"/>
                <w:lang w:eastAsia="ru-RU"/>
              </w:rPr>
            </w:pPr>
            <w:r w:rsidRPr="00C860A4">
              <w:rPr>
                <w:rFonts w:eastAsia="Times New Roman"/>
                <w:sz w:val="24"/>
                <w:szCs w:val="24"/>
                <w:lang w:eastAsia="ru-RU"/>
              </w:rPr>
              <w:t>4,88</w:t>
            </w:r>
          </w:p>
        </w:tc>
        <w:tc>
          <w:tcPr>
            <w:tcW w:w="708" w:type="dxa"/>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jc w:val="center"/>
              <w:rPr>
                <w:rFonts w:eastAsia="Times New Roman"/>
                <w:sz w:val="24"/>
                <w:szCs w:val="24"/>
                <w:lang w:eastAsia="ru-RU"/>
              </w:rPr>
            </w:pPr>
            <w:r w:rsidRPr="00C860A4">
              <w:rPr>
                <w:rFonts w:eastAsia="Times New Roman"/>
                <w:sz w:val="24"/>
                <w:szCs w:val="24"/>
                <w:lang w:eastAsia="ru-RU"/>
              </w:rPr>
              <w:t>5,27</w:t>
            </w:r>
          </w:p>
        </w:tc>
        <w:tc>
          <w:tcPr>
            <w:tcW w:w="851" w:type="dxa"/>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jc w:val="center"/>
              <w:rPr>
                <w:rFonts w:eastAsia="Times New Roman"/>
                <w:sz w:val="24"/>
                <w:szCs w:val="24"/>
                <w:lang w:eastAsia="ru-RU"/>
              </w:rPr>
            </w:pPr>
            <w:r w:rsidRPr="00C860A4">
              <w:rPr>
                <w:rFonts w:eastAsia="Times New Roman"/>
                <w:sz w:val="24"/>
                <w:szCs w:val="24"/>
                <w:lang w:eastAsia="ru-RU"/>
              </w:rPr>
              <w:t>0,70</w:t>
            </w:r>
          </w:p>
        </w:tc>
        <w:tc>
          <w:tcPr>
            <w:tcW w:w="850" w:type="dxa"/>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jc w:val="center"/>
              <w:rPr>
                <w:rFonts w:eastAsia="Times New Roman"/>
                <w:sz w:val="24"/>
                <w:szCs w:val="24"/>
                <w:lang w:eastAsia="ru-RU"/>
              </w:rPr>
            </w:pPr>
            <w:r w:rsidRPr="00C860A4">
              <w:rPr>
                <w:rFonts w:eastAsia="Times New Roman"/>
                <w:sz w:val="24"/>
                <w:szCs w:val="24"/>
                <w:lang w:eastAsia="ru-RU"/>
              </w:rPr>
              <w:t>0,75</w:t>
            </w:r>
          </w:p>
        </w:tc>
      </w:tr>
      <w:tr w:rsidR="007D677E" w:rsidRPr="00C860A4" w:rsidTr="00030901">
        <w:trPr>
          <w:gridAfter w:val="1"/>
          <w:wAfter w:w="14" w:type="dxa"/>
          <w:trHeight w:val="418"/>
          <w:jc w:val="center"/>
        </w:trPr>
        <w:tc>
          <w:tcPr>
            <w:tcW w:w="2567" w:type="dxa"/>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rPr>
                <w:rFonts w:eastAsia="Times New Roman"/>
                <w:sz w:val="24"/>
                <w:szCs w:val="24"/>
                <w:lang w:eastAsia="ru-RU"/>
              </w:rPr>
            </w:pPr>
            <w:r w:rsidRPr="00C860A4">
              <w:rPr>
                <w:rFonts w:eastAsia="Times New Roman"/>
                <w:sz w:val="24"/>
                <w:szCs w:val="24"/>
                <w:lang w:eastAsia="ru-RU"/>
              </w:rPr>
              <w:t>Частота  кровотеч в послідовому і післяродовому періодах</w:t>
            </w:r>
          </w:p>
        </w:tc>
        <w:tc>
          <w:tcPr>
            <w:tcW w:w="850" w:type="dxa"/>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jc w:val="center"/>
              <w:rPr>
                <w:rFonts w:eastAsia="Times New Roman"/>
                <w:sz w:val="24"/>
                <w:szCs w:val="24"/>
                <w:lang w:eastAsia="ru-RU"/>
              </w:rPr>
            </w:pPr>
            <w:r w:rsidRPr="00C860A4">
              <w:rPr>
                <w:rFonts w:eastAsia="Times New Roman"/>
                <w:sz w:val="24"/>
                <w:szCs w:val="24"/>
                <w:lang w:eastAsia="ru-RU"/>
              </w:rPr>
              <w:t>5</w:t>
            </w:r>
          </w:p>
        </w:tc>
        <w:tc>
          <w:tcPr>
            <w:tcW w:w="993" w:type="dxa"/>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jc w:val="center"/>
              <w:rPr>
                <w:rFonts w:eastAsia="Times New Roman"/>
                <w:sz w:val="24"/>
                <w:szCs w:val="24"/>
                <w:lang w:eastAsia="ru-RU"/>
              </w:rPr>
            </w:pPr>
            <w:r w:rsidRPr="00C860A4">
              <w:rPr>
                <w:rFonts w:eastAsia="Times New Roman"/>
                <w:sz w:val="24"/>
                <w:szCs w:val="24"/>
                <w:lang w:eastAsia="ru-RU"/>
              </w:rPr>
              <w:t>6</w:t>
            </w:r>
          </w:p>
        </w:tc>
        <w:tc>
          <w:tcPr>
            <w:tcW w:w="850" w:type="dxa"/>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jc w:val="center"/>
              <w:rPr>
                <w:rFonts w:eastAsia="Times New Roman"/>
                <w:sz w:val="24"/>
                <w:szCs w:val="24"/>
                <w:lang w:eastAsia="ru-RU"/>
              </w:rPr>
            </w:pPr>
            <w:r w:rsidRPr="00C860A4">
              <w:rPr>
                <w:rFonts w:eastAsia="Times New Roman"/>
                <w:sz w:val="24"/>
                <w:szCs w:val="24"/>
                <w:lang w:eastAsia="ru-RU"/>
              </w:rPr>
              <w:t>9</w:t>
            </w:r>
          </w:p>
        </w:tc>
        <w:tc>
          <w:tcPr>
            <w:tcW w:w="851" w:type="dxa"/>
            <w:gridSpan w:val="2"/>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jc w:val="center"/>
              <w:rPr>
                <w:rFonts w:eastAsia="Times New Roman"/>
                <w:sz w:val="24"/>
                <w:szCs w:val="24"/>
                <w:lang w:eastAsia="ru-RU"/>
              </w:rPr>
            </w:pPr>
            <w:r w:rsidRPr="00C860A4">
              <w:rPr>
                <w:rFonts w:eastAsia="Times New Roman"/>
                <w:sz w:val="24"/>
                <w:szCs w:val="24"/>
                <w:lang w:eastAsia="ru-RU"/>
              </w:rPr>
              <w:t>7,21</w:t>
            </w:r>
          </w:p>
        </w:tc>
        <w:tc>
          <w:tcPr>
            <w:tcW w:w="992" w:type="dxa"/>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jc w:val="center"/>
              <w:rPr>
                <w:rFonts w:eastAsia="Times New Roman"/>
                <w:sz w:val="24"/>
                <w:szCs w:val="24"/>
                <w:lang w:eastAsia="ru-RU"/>
              </w:rPr>
            </w:pPr>
            <w:r w:rsidRPr="00C860A4">
              <w:rPr>
                <w:rFonts w:eastAsia="Times New Roman"/>
                <w:sz w:val="24"/>
                <w:szCs w:val="24"/>
                <w:lang w:eastAsia="ru-RU"/>
              </w:rPr>
              <w:t>7,55</w:t>
            </w:r>
          </w:p>
        </w:tc>
        <w:tc>
          <w:tcPr>
            <w:tcW w:w="709" w:type="dxa"/>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jc w:val="center"/>
              <w:rPr>
                <w:rFonts w:eastAsia="Times New Roman"/>
                <w:sz w:val="24"/>
                <w:szCs w:val="24"/>
                <w:lang w:eastAsia="ru-RU"/>
              </w:rPr>
            </w:pPr>
            <w:r w:rsidRPr="00C860A4">
              <w:rPr>
                <w:rFonts w:eastAsia="Times New Roman"/>
                <w:sz w:val="24"/>
                <w:szCs w:val="24"/>
                <w:lang w:eastAsia="ru-RU"/>
              </w:rPr>
              <w:t>5,02</w:t>
            </w:r>
          </w:p>
        </w:tc>
        <w:tc>
          <w:tcPr>
            <w:tcW w:w="708" w:type="dxa"/>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jc w:val="center"/>
              <w:rPr>
                <w:rFonts w:eastAsia="Times New Roman"/>
                <w:sz w:val="24"/>
                <w:szCs w:val="24"/>
                <w:lang w:eastAsia="ru-RU"/>
              </w:rPr>
            </w:pPr>
            <w:r w:rsidRPr="00C860A4">
              <w:rPr>
                <w:rFonts w:eastAsia="Times New Roman"/>
                <w:sz w:val="24"/>
                <w:szCs w:val="24"/>
                <w:lang w:eastAsia="ru-RU"/>
              </w:rPr>
              <w:t>6,68</w:t>
            </w:r>
          </w:p>
        </w:tc>
        <w:tc>
          <w:tcPr>
            <w:tcW w:w="851" w:type="dxa"/>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jc w:val="center"/>
              <w:rPr>
                <w:rFonts w:eastAsia="Times New Roman"/>
                <w:sz w:val="24"/>
                <w:szCs w:val="24"/>
                <w:lang w:eastAsia="ru-RU"/>
              </w:rPr>
            </w:pPr>
            <w:r w:rsidRPr="00C860A4">
              <w:rPr>
                <w:rFonts w:eastAsia="Times New Roman"/>
                <w:sz w:val="24"/>
                <w:szCs w:val="24"/>
                <w:lang w:eastAsia="ru-RU"/>
              </w:rPr>
              <w:t>0,56</w:t>
            </w:r>
          </w:p>
        </w:tc>
        <w:tc>
          <w:tcPr>
            <w:tcW w:w="850" w:type="dxa"/>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jc w:val="center"/>
              <w:rPr>
                <w:rFonts w:eastAsia="Times New Roman"/>
                <w:sz w:val="24"/>
                <w:szCs w:val="24"/>
                <w:lang w:eastAsia="ru-RU"/>
              </w:rPr>
            </w:pPr>
            <w:r w:rsidRPr="00C860A4">
              <w:rPr>
                <w:rFonts w:eastAsia="Times New Roman"/>
                <w:sz w:val="24"/>
                <w:szCs w:val="24"/>
                <w:lang w:eastAsia="ru-RU"/>
              </w:rPr>
              <w:t>0,74</w:t>
            </w:r>
          </w:p>
        </w:tc>
      </w:tr>
    </w:tbl>
    <w:p w:rsidR="00595829" w:rsidRDefault="00595829" w:rsidP="00E2368B">
      <w:pPr>
        <w:jc w:val="right"/>
        <w:rPr>
          <w:i/>
          <w:lang w:val="ru-RU"/>
        </w:rPr>
      </w:pPr>
    </w:p>
    <w:p w:rsidR="00E2368B" w:rsidRPr="00E2368B" w:rsidRDefault="00E2368B" w:rsidP="00F159BE">
      <w:pPr>
        <w:pageBreakBefore/>
        <w:jc w:val="right"/>
        <w:rPr>
          <w:i/>
          <w:lang w:val="ru-RU"/>
        </w:rPr>
      </w:pPr>
      <w:r w:rsidRPr="00E2368B">
        <w:rPr>
          <w:i/>
          <w:lang w:val="ru-RU"/>
        </w:rPr>
        <w:lastRenderedPageBreak/>
        <w:t>Продовження табл. 7.6</w:t>
      </w:r>
    </w:p>
    <w:tbl>
      <w:tblPr>
        <w:tblW w:w="10221" w:type="dxa"/>
        <w:jc w:val="center"/>
        <w:tblInd w:w="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67"/>
        <w:gridCol w:w="850"/>
        <w:gridCol w:w="993"/>
        <w:gridCol w:w="850"/>
        <w:gridCol w:w="851"/>
        <w:gridCol w:w="850"/>
        <w:gridCol w:w="851"/>
        <w:gridCol w:w="843"/>
        <w:gridCol w:w="716"/>
        <w:gridCol w:w="850"/>
      </w:tblGrid>
      <w:tr w:rsidR="007D677E" w:rsidRPr="00C860A4" w:rsidTr="00D57943">
        <w:trPr>
          <w:trHeight w:val="418"/>
          <w:jc w:val="center"/>
        </w:trPr>
        <w:tc>
          <w:tcPr>
            <w:tcW w:w="2567" w:type="dxa"/>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rPr>
                <w:rFonts w:eastAsia="Times New Roman"/>
                <w:sz w:val="24"/>
                <w:szCs w:val="24"/>
                <w:lang w:eastAsia="ru-RU"/>
              </w:rPr>
            </w:pPr>
            <w:r w:rsidRPr="00C860A4">
              <w:rPr>
                <w:rFonts w:eastAsia="Times New Roman"/>
                <w:sz w:val="24"/>
                <w:szCs w:val="24"/>
                <w:lang w:eastAsia="ru-RU"/>
              </w:rPr>
              <w:t>Частота мало вагових новонароджених</w:t>
            </w:r>
          </w:p>
        </w:tc>
        <w:tc>
          <w:tcPr>
            <w:tcW w:w="850" w:type="dxa"/>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jc w:val="center"/>
              <w:rPr>
                <w:rFonts w:eastAsia="Times New Roman"/>
                <w:sz w:val="24"/>
                <w:szCs w:val="24"/>
                <w:lang w:eastAsia="ru-RU"/>
              </w:rPr>
            </w:pPr>
            <w:r w:rsidRPr="00C860A4">
              <w:rPr>
                <w:rFonts w:eastAsia="Times New Roman"/>
                <w:sz w:val="24"/>
                <w:szCs w:val="24"/>
                <w:lang w:eastAsia="ru-RU"/>
              </w:rPr>
              <w:t>4</w:t>
            </w:r>
          </w:p>
        </w:tc>
        <w:tc>
          <w:tcPr>
            <w:tcW w:w="993" w:type="dxa"/>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jc w:val="center"/>
              <w:rPr>
                <w:rFonts w:eastAsia="Times New Roman"/>
                <w:sz w:val="24"/>
                <w:szCs w:val="24"/>
                <w:lang w:eastAsia="ru-RU"/>
              </w:rPr>
            </w:pPr>
            <w:r w:rsidRPr="00C860A4">
              <w:rPr>
                <w:rFonts w:eastAsia="Times New Roman"/>
                <w:sz w:val="24"/>
                <w:szCs w:val="24"/>
                <w:lang w:eastAsia="ru-RU"/>
              </w:rPr>
              <w:t>4</w:t>
            </w:r>
          </w:p>
        </w:tc>
        <w:tc>
          <w:tcPr>
            <w:tcW w:w="850" w:type="dxa"/>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jc w:val="center"/>
              <w:rPr>
                <w:rFonts w:eastAsia="Times New Roman"/>
                <w:sz w:val="24"/>
                <w:szCs w:val="24"/>
                <w:lang w:eastAsia="ru-RU"/>
              </w:rPr>
            </w:pPr>
            <w:r w:rsidRPr="00C860A4">
              <w:rPr>
                <w:rFonts w:eastAsia="Times New Roman"/>
                <w:sz w:val="24"/>
                <w:szCs w:val="24"/>
                <w:lang w:eastAsia="ru-RU"/>
              </w:rPr>
              <w:t>5</w:t>
            </w:r>
          </w:p>
        </w:tc>
        <w:tc>
          <w:tcPr>
            <w:tcW w:w="851" w:type="dxa"/>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jc w:val="center"/>
              <w:rPr>
                <w:rFonts w:eastAsia="Times New Roman"/>
                <w:sz w:val="24"/>
                <w:szCs w:val="24"/>
                <w:lang w:eastAsia="ru-RU"/>
              </w:rPr>
            </w:pPr>
            <w:r w:rsidRPr="00C860A4">
              <w:rPr>
                <w:rFonts w:eastAsia="Times New Roman"/>
                <w:sz w:val="24"/>
                <w:szCs w:val="24"/>
                <w:lang w:eastAsia="ru-RU"/>
              </w:rPr>
              <w:t>5,74</w:t>
            </w:r>
          </w:p>
        </w:tc>
        <w:tc>
          <w:tcPr>
            <w:tcW w:w="850" w:type="dxa"/>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jc w:val="center"/>
              <w:rPr>
                <w:rFonts w:eastAsia="Times New Roman"/>
                <w:sz w:val="24"/>
                <w:szCs w:val="24"/>
                <w:lang w:eastAsia="ru-RU"/>
              </w:rPr>
            </w:pPr>
            <w:r w:rsidRPr="00C860A4">
              <w:rPr>
                <w:rFonts w:eastAsia="Times New Roman"/>
                <w:sz w:val="24"/>
                <w:szCs w:val="24"/>
                <w:lang w:eastAsia="ru-RU"/>
              </w:rPr>
              <w:t>5,02</w:t>
            </w:r>
          </w:p>
        </w:tc>
        <w:tc>
          <w:tcPr>
            <w:tcW w:w="851" w:type="dxa"/>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jc w:val="center"/>
              <w:rPr>
                <w:rFonts w:eastAsia="Times New Roman"/>
                <w:sz w:val="24"/>
                <w:szCs w:val="24"/>
                <w:lang w:eastAsia="ru-RU"/>
              </w:rPr>
            </w:pPr>
            <w:r w:rsidRPr="00C860A4">
              <w:rPr>
                <w:rFonts w:eastAsia="Times New Roman"/>
                <w:sz w:val="24"/>
                <w:szCs w:val="24"/>
                <w:lang w:eastAsia="ru-RU"/>
              </w:rPr>
              <w:t>2,83</w:t>
            </w:r>
          </w:p>
        </w:tc>
        <w:tc>
          <w:tcPr>
            <w:tcW w:w="843" w:type="dxa"/>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jc w:val="center"/>
              <w:rPr>
                <w:rFonts w:eastAsia="Times New Roman"/>
                <w:sz w:val="24"/>
                <w:szCs w:val="24"/>
                <w:lang w:eastAsia="ru-RU"/>
              </w:rPr>
            </w:pPr>
            <w:r w:rsidRPr="00C860A4">
              <w:rPr>
                <w:rFonts w:eastAsia="Times New Roman"/>
                <w:sz w:val="24"/>
                <w:szCs w:val="24"/>
                <w:lang w:eastAsia="ru-RU"/>
              </w:rPr>
              <w:t>3,98</w:t>
            </w:r>
          </w:p>
        </w:tc>
        <w:tc>
          <w:tcPr>
            <w:tcW w:w="716" w:type="dxa"/>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jc w:val="center"/>
              <w:rPr>
                <w:rFonts w:eastAsia="Times New Roman"/>
                <w:sz w:val="24"/>
                <w:szCs w:val="24"/>
                <w:lang w:eastAsia="ru-RU"/>
              </w:rPr>
            </w:pPr>
            <w:r w:rsidRPr="00C860A4">
              <w:rPr>
                <w:rFonts w:eastAsia="Times New Roman"/>
                <w:sz w:val="24"/>
                <w:szCs w:val="24"/>
                <w:lang w:eastAsia="ru-RU"/>
              </w:rPr>
              <w:t>0,57</w:t>
            </w:r>
          </w:p>
        </w:tc>
        <w:tc>
          <w:tcPr>
            <w:tcW w:w="850" w:type="dxa"/>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jc w:val="center"/>
              <w:rPr>
                <w:rFonts w:eastAsia="Times New Roman"/>
                <w:sz w:val="24"/>
                <w:szCs w:val="24"/>
                <w:lang w:eastAsia="ru-RU"/>
              </w:rPr>
            </w:pPr>
            <w:r w:rsidRPr="00C860A4">
              <w:rPr>
                <w:rFonts w:eastAsia="Times New Roman"/>
                <w:sz w:val="24"/>
                <w:szCs w:val="24"/>
                <w:lang w:eastAsia="ru-RU"/>
              </w:rPr>
              <w:t>1,00</w:t>
            </w:r>
          </w:p>
        </w:tc>
      </w:tr>
      <w:tr w:rsidR="007D677E" w:rsidRPr="00C860A4" w:rsidTr="00D57943">
        <w:trPr>
          <w:trHeight w:val="418"/>
          <w:jc w:val="center"/>
        </w:trPr>
        <w:tc>
          <w:tcPr>
            <w:tcW w:w="2567" w:type="dxa"/>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rPr>
                <w:rFonts w:eastAsia="Times New Roman"/>
                <w:sz w:val="24"/>
                <w:szCs w:val="24"/>
                <w:lang w:eastAsia="ru-RU"/>
              </w:rPr>
            </w:pPr>
            <w:r w:rsidRPr="00C860A4">
              <w:rPr>
                <w:rFonts w:eastAsia="Times New Roman"/>
                <w:sz w:val="24"/>
                <w:szCs w:val="24"/>
                <w:lang w:eastAsia="ru-RU"/>
              </w:rPr>
              <w:t>Виживання новонароджених з дуже малою масою тіла при народженні</w:t>
            </w:r>
          </w:p>
        </w:tc>
        <w:tc>
          <w:tcPr>
            <w:tcW w:w="850" w:type="dxa"/>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jc w:val="center"/>
              <w:rPr>
                <w:rFonts w:eastAsia="Times New Roman"/>
                <w:sz w:val="24"/>
                <w:szCs w:val="24"/>
                <w:lang w:eastAsia="ru-RU"/>
              </w:rPr>
            </w:pPr>
            <w:r w:rsidRPr="00C860A4">
              <w:rPr>
                <w:rFonts w:eastAsia="Times New Roman"/>
                <w:sz w:val="24"/>
                <w:szCs w:val="24"/>
                <w:lang w:eastAsia="ru-RU"/>
              </w:rPr>
              <w:t>90</w:t>
            </w:r>
          </w:p>
        </w:tc>
        <w:tc>
          <w:tcPr>
            <w:tcW w:w="993" w:type="dxa"/>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jc w:val="center"/>
              <w:rPr>
                <w:rFonts w:eastAsia="Times New Roman"/>
                <w:sz w:val="24"/>
                <w:szCs w:val="24"/>
                <w:lang w:eastAsia="ru-RU"/>
              </w:rPr>
            </w:pPr>
            <w:r w:rsidRPr="00C860A4">
              <w:rPr>
                <w:rFonts w:eastAsia="Times New Roman"/>
                <w:sz w:val="24"/>
                <w:szCs w:val="24"/>
                <w:lang w:eastAsia="ru-RU"/>
              </w:rPr>
              <w:t>85</w:t>
            </w:r>
          </w:p>
        </w:tc>
        <w:tc>
          <w:tcPr>
            <w:tcW w:w="850" w:type="dxa"/>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jc w:val="center"/>
              <w:rPr>
                <w:rFonts w:eastAsia="Times New Roman"/>
                <w:sz w:val="24"/>
                <w:szCs w:val="24"/>
                <w:lang w:eastAsia="ru-RU"/>
              </w:rPr>
            </w:pPr>
            <w:r w:rsidRPr="00C860A4">
              <w:rPr>
                <w:rFonts w:eastAsia="Times New Roman"/>
                <w:sz w:val="24"/>
                <w:szCs w:val="24"/>
                <w:lang w:eastAsia="ru-RU"/>
              </w:rPr>
              <w:t>8</w:t>
            </w:r>
          </w:p>
        </w:tc>
        <w:tc>
          <w:tcPr>
            <w:tcW w:w="851" w:type="dxa"/>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jc w:val="center"/>
              <w:rPr>
                <w:rFonts w:eastAsia="Times New Roman"/>
                <w:sz w:val="24"/>
                <w:szCs w:val="24"/>
                <w:lang w:eastAsia="ru-RU"/>
              </w:rPr>
            </w:pPr>
            <w:r w:rsidRPr="00C860A4">
              <w:rPr>
                <w:rFonts w:eastAsia="Times New Roman"/>
                <w:sz w:val="24"/>
                <w:szCs w:val="24"/>
                <w:lang w:eastAsia="ru-RU"/>
              </w:rPr>
              <w:t>81,57</w:t>
            </w:r>
          </w:p>
        </w:tc>
        <w:tc>
          <w:tcPr>
            <w:tcW w:w="850" w:type="dxa"/>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jc w:val="center"/>
              <w:rPr>
                <w:rFonts w:eastAsia="Times New Roman"/>
                <w:sz w:val="24"/>
                <w:szCs w:val="24"/>
                <w:lang w:eastAsia="ru-RU"/>
              </w:rPr>
            </w:pPr>
            <w:r w:rsidRPr="00C860A4">
              <w:rPr>
                <w:rFonts w:eastAsia="Times New Roman"/>
                <w:sz w:val="24"/>
                <w:szCs w:val="24"/>
                <w:lang w:eastAsia="ru-RU"/>
              </w:rPr>
              <w:t>81,17</w:t>
            </w:r>
          </w:p>
        </w:tc>
        <w:tc>
          <w:tcPr>
            <w:tcW w:w="851" w:type="dxa"/>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jc w:val="center"/>
              <w:rPr>
                <w:rFonts w:eastAsia="Times New Roman"/>
                <w:sz w:val="24"/>
                <w:szCs w:val="24"/>
                <w:lang w:eastAsia="ru-RU"/>
              </w:rPr>
            </w:pPr>
            <w:r w:rsidRPr="00C860A4">
              <w:rPr>
                <w:rFonts w:eastAsia="Times New Roman"/>
                <w:sz w:val="24"/>
                <w:szCs w:val="24"/>
                <w:lang w:eastAsia="ru-RU"/>
              </w:rPr>
              <w:t>7,25</w:t>
            </w:r>
          </w:p>
        </w:tc>
        <w:tc>
          <w:tcPr>
            <w:tcW w:w="843" w:type="dxa"/>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jc w:val="center"/>
              <w:rPr>
                <w:rFonts w:eastAsia="Times New Roman"/>
                <w:sz w:val="24"/>
                <w:szCs w:val="24"/>
                <w:lang w:eastAsia="ru-RU"/>
              </w:rPr>
            </w:pPr>
            <w:r w:rsidRPr="00C860A4">
              <w:rPr>
                <w:rFonts w:eastAsia="Times New Roman"/>
                <w:sz w:val="24"/>
                <w:szCs w:val="24"/>
                <w:lang w:eastAsia="ru-RU"/>
              </w:rPr>
              <w:t>7,66</w:t>
            </w:r>
          </w:p>
        </w:tc>
        <w:tc>
          <w:tcPr>
            <w:tcW w:w="716" w:type="dxa"/>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jc w:val="center"/>
              <w:rPr>
                <w:rFonts w:eastAsia="Times New Roman"/>
                <w:sz w:val="24"/>
                <w:szCs w:val="24"/>
                <w:lang w:eastAsia="ru-RU"/>
              </w:rPr>
            </w:pPr>
            <w:r w:rsidRPr="00C860A4">
              <w:rPr>
                <w:rFonts w:eastAsia="Times New Roman"/>
                <w:sz w:val="24"/>
                <w:szCs w:val="24"/>
                <w:lang w:eastAsia="ru-RU"/>
              </w:rPr>
              <w:t>0,91</w:t>
            </w:r>
          </w:p>
        </w:tc>
        <w:tc>
          <w:tcPr>
            <w:tcW w:w="850" w:type="dxa"/>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jc w:val="center"/>
              <w:rPr>
                <w:rFonts w:eastAsia="Times New Roman"/>
                <w:sz w:val="24"/>
                <w:szCs w:val="24"/>
                <w:lang w:eastAsia="ru-RU"/>
              </w:rPr>
            </w:pPr>
            <w:r w:rsidRPr="00C860A4">
              <w:rPr>
                <w:rFonts w:eastAsia="Times New Roman"/>
                <w:sz w:val="24"/>
                <w:szCs w:val="24"/>
                <w:lang w:eastAsia="ru-RU"/>
              </w:rPr>
              <w:t>0,96</w:t>
            </w:r>
          </w:p>
        </w:tc>
      </w:tr>
      <w:tr w:rsidR="007D677E" w:rsidRPr="00C860A4" w:rsidTr="00D57943">
        <w:trPr>
          <w:trHeight w:val="418"/>
          <w:jc w:val="center"/>
        </w:trPr>
        <w:tc>
          <w:tcPr>
            <w:tcW w:w="2567" w:type="dxa"/>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rPr>
                <w:rFonts w:eastAsia="Times New Roman"/>
                <w:sz w:val="24"/>
                <w:szCs w:val="24"/>
                <w:lang w:eastAsia="ru-RU"/>
              </w:rPr>
            </w:pPr>
            <w:r w:rsidRPr="00C860A4">
              <w:rPr>
                <w:rFonts w:eastAsia="Times New Roman"/>
                <w:sz w:val="24"/>
                <w:szCs w:val="24"/>
                <w:lang w:eastAsia="ru-RU"/>
              </w:rPr>
              <w:t>Індекс здоров’я новонароджених</w:t>
            </w:r>
          </w:p>
        </w:tc>
        <w:tc>
          <w:tcPr>
            <w:tcW w:w="850" w:type="dxa"/>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jc w:val="center"/>
              <w:rPr>
                <w:rFonts w:eastAsia="Times New Roman"/>
                <w:sz w:val="24"/>
                <w:szCs w:val="24"/>
                <w:lang w:eastAsia="ru-RU"/>
              </w:rPr>
            </w:pPr>
            <w:r w:rsidRPr="00C860A4">
              <w:rPr>
                <w:rFonts w:eastAsia="Times New Roman"/>
                <w:sz w:val="24"/>
                <w:szCs w:val="24"/>
                <w:lang w:eastAsia="ru-RU"/>
              </w:rPr>
              <w:t>90</w:t>
            </w:r>
          </w:p>
        </w:tc>
        <w:tc>
          <w:tcPr>
            <w:tcW w:w="993" w:type="dxa"/>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jc w:val="center"/>
              <w:rPr>
                <w:rFonts w:eastAsia="Times New Roman"/>
                <w:sz w:val="24"/>
                <w:szCs w:val="24"/>
                <w:lang w:eastAsia="ru-RU"/>
              </w:rPr>
            </w:pPr>
            <w:r w:rsidRPr="00C860A4">
              <w:rPr>
                <w:rFonts w:eastAsia="Times New Roman"/>
                <w:sz w:val="24"/>
                <w:szCs w:val="24"/>
                <w:lang w:eastAsia="ru-RU"/>
              </w:rPr>
              <w:t>85</w:t>
            </w:r>
          </w:p>
        </w:tc>
        <w:tc>
          <w:tcPr>
            <w:tcW w:w="850" w:type="dxa"/>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jc w:val="center"/>
              <w:rPr>
                <w:rFonts w:eastAsia="Times New Roman"/>
                <w:sz w:val="24"/>
                <w:szCs w:val="24"/>
                <w:lang w:eastAsia="ru-RU"/>
              </w:rPr>
            </w:pPr>
            <w:r w:rsidRPr="00C860A4">
              <w:rPr>
                <w:rFonts w:eastAsia="Times New Roman"/>
                <w:sz w:val="24"/>
                <w:szCs w:val="24"/>
                <w:lang w:eastAsia="ru-RU"/>
              </w:rPr>
              <w:t>6</w:t>
            </w:r>
          </w:p>
        </w:tc>
        <w:tc>
          <w:tcPr>
            <w:tcW w:w="851" w:type="dxa"/>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jc w:val="center"/>
              <w:rPr>
                <w:rFonts w:eastAsia="Times New Roman"/>
                <w:sz w:val="24"/>
                <w:szCs w:val="24"/>
                <w:lang w:eastAsia="ru-RU"/>
              </w:rPr>
            </w:pPr>
            <w:r w:rsidRPr="00C860A4">
              <w:rPr>
                <w:rFonts w:eastAsia="Times New Roman"/>
                <w:sz w:val="24"/>
                <w:szCs w:val="24"/>
                <w:lang w:eastAsia="ru-RU"/>
              </w:rPr>
              <w:t>85,1</w:t>
            </w:r>
          </w:p>
        </w:tc>
        <w:tc>
          <w:tcPr>
            <w:tcW w:w="850" w:type="dxa"/>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jc w:val="center"/>
              <w:rPr>
                <w:rFonts w:eastAsia="Times New Roman"/>
                <w:sz w:val="24"/>
                <w:szCs w:val="24"/>
                <w:lang w:eastAsia="ru-RU"/>
              </w:rPr>
            </w:pPr>
            <w:r w:rsidRPr="00C860A4">
              <w:rPr>
                <w:rFonts w:eastAsia="Times New Roman"/>
                <w:sz w:val="24"/>
                <w:szCs w:val="24"/>
                <w:lang w:eastAsia="ru-RU"/>
              </w:rPr>
              <w:t>83,44</w:t>
            </w:r>
          </w:p>
        </w:tc>
        <w:tc>
          <w:tcPr>
            <w:tcW w:w="851" w:type="dxa"/>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jc w:val="center"/>
              <w:rPr>
                <w:rFonts w:eastAsia="Times New Roman"/>
                <w:sz w:val="24"/>
                <w:szCs w:val="24"/>
                <w:lang w:eastAsia="ru-RU"/>
              </w:rPr>
            </w:pPr>
            <w:r w:rsidRPr="00C860A4">
              <w:rPr>
                <w:rFonts w:eastAsia="Times New Roman"/>
                <w:sz w:val="24"/>
                <w:szCs w:val="24"/>
                <w:lang w:eastAsia="ru-RU"/>
              </w:rPr>
              <w:t>5,65</w:t>
            </w:r>
          </w:p>
        </w:tc>
        <w:tc>
          <w:tcPr>
            <w:tcW w:w="843" w:type="dxa"/>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jc w:val="center"/>
              <w:rPr>
                <w:rFonts w:eastAsia="Times New Roman"/>
                <w:sz w:val="24"/>
                <w:szCs w:val="24"/>
                <w:lang w:eastAsia="ru-RU"/>
              </w:rPr>
            </w:pPr>
            <w:r w:rsidRPr="00C860A4">
              <w:rPr>
                <w:rFonts w:eastAsia="Times New Roman"/>
                <w:sz w:val="24"/>
                <w:szCs w:val="24"/>
                <w:lang w:eastAsia="ru-RU"/>
              </w:rPr>
              <w:t>5,89</w:t>
            </w:r>
          </w:p>
        </w:tc>
        <w:tc>
          <w:tcPr>
            <w:tcW w:w="716" w:type="dxa"/>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jc w:val="center"/>
              <w:rPr>
                <w:rFonts w:eastAsia="Times New Roman"/>
                <w:sz w:val="24"/>
                <w:szCs w:val="24"/>
                <w:lang w:eastAsia="ru-RU"/>
              </w:rPr>
            </w:pPr>
            <w:r w:rsidRPr="00C860A4">
              <w:rPr>
                <w:rFonts w:eastAsia="Times New Roman"/>
                <w:sz w:val="24"/>
                <w:szCs w:val="24"/>
                <w:lang w:eastAsia="ru-RU"/>
              </w:rPr>
              <w:t>0,93</w:t>
            </w:r>
          </w:p>
        </w:tc>
        <w:tc>
          <w:tcPr>
            <w:tcW w:w="850" w:type="dxa"/>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jc w:val="center"/>
              <w:rPr>
                <w:rFonts w:eastAsia="Times New Roman"/>
                <w:sz w:val="24"/>
                <w:szCs w:val="24"/>
                <w:lang w:eastAsia="ru-RU"/>
              </w:rPr>
            </w:pPr>
            <w:r w:rsidRPr="00C860A4">
              <w:rPr>
                <w:rFonts w:eastAsia="Times New Roman"/>
                <w:sz w:val="24"/>
                <w:szCs w:val="24"/>
                <w:lang w:eastAsia="ru-RU"/>
              </w:rPr>
              <w:t>0,98</w:t>
            </w:r>
          </w:p>
        </w:tc>
      </w:tr>
      <w:tr w:rsidR="007D677E" w:rsidRPr="00C860A4" w:rsidTr="00D57943">
        <w:trPr>
          <w:trHeight w:val="418"/>
          <w:jc w:val="center"/>
        </w:trPr>
        <w:tc>
          <w:tcPr>
            <w:tcW w:w="2567" w:type="dxa"/>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rPr>
                <w:rFonts w:eastAsia="Times New Roman"/>
                <w:sz w:val="24"/>
                <w:szCs w:val="24"/>
                <w:lang w:eastAsia="ru-RU"/>
              </w:rPr>
            </w:pPr>
            <w:r w:rsidRPr="00C860A4">
              <w:rPr>
                <w:rFonts w:eastAsia="Times New Roman"/>
                <w:sz w:val="24"/>
                <w:szCs w:val="24"/>
                <w:lang w:eastAsia="ru-RU"/>
              </w:rPr>
              <w:t xml:space="preserve">Рівень перинатальної смертності </w:t>
            </w:r>
          </w:p>
        </w:tc>
        <w:tc>
          <w:tcPr>
            <w:tcW w:w="850" w:type="dxa"/>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jc w:val="center"/>
              <w:rPr>
                <w:rFonts w:eastAsia="Times New Roman"/>
                <w:sz w:val="24"/>
                <w:szCs w:val="24"/>
                <w:lang w:eastAsia="ru-RU"/>
              </w:rPr>
            </w:pPr>
            <w:r w:rsidRPr="00C860A4">
              <w:rPr>
                <w:rFonts w:eastAsia="Times New Roman"/>
                <w:sz w:val="24"/>
                <w:szCs w:val="24"/>
                <w:lang w:eastAsia="ru-RU"/>
              </w:rPr>
              <w:t>8</w:t>
            </w:r>
          </w:p>
        </w:tc>
        <w:tc>
          <w:tcPr>
            <w:tcW w:w="993" w:type="dxa"/>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jc w:val="center"/>
              <w:rPr>
                <w:rFonts w:eastAsia="Times New Roman"/>
                <w:sz w:val="24"/>
                <w:szCs w:val="24"/>
                <w:lang w:eastAsia="ru-RU"/>
              </w:rPr>
            </w:pPr>
            <w:r w:rsidRPr="00C860A4">
              <w:rPr>
                <w:rFonts w:eastAsia="Times New Roman"/>
                <w:sz w:val="24"/>
                <w:szCs w:val="24"/>
                <w:lang w:eastAsia="ru-RU"/>
              </w:rPr>
              <w:t>8</w:t>
            </w:r>
          </w:p>
        </w:tc>
        <w:tc>
          <w:tcPr>
            <w:tcW w:w="850" w:type="dxa"/>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jc w:val="center"/>
              <w:rPr>
                <w:rFonts w:eastAsia="Times New Roman"/>
                <w:sz w:val="24"/>
                <w:szCs w:val="24"/>
                <w:lang w:eastAsia="ru-RU"/>
              </w:rPr>
            </w:pPr>
            <w:r w:rsidRPr="00C860A4">
              <w:rPr>
                <w:rFonts w:eastAsia="Times New Roman"/>
                <w:sz w:val="24"/>
                <w:szCs w:val="24"/>
                <w:lang w:eastAsia="ru-RU"/>
              </w:rPr>
              <w:t>6</w:t>
            </w:r>
          </w:p>
        </w:tc>
        <w:tc>
          <w:tcPr>
            <w:tcW w:w="851" w:type="dxa"/>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jc w:val="center"/>
              <w:rPr>
                <w:rFonts w:eastAsia="Times New Roman"/>
                <w:sz w:val="24"/>
                <w:szCs w:val="24"/>
                <w:lang w:eastAsia="ru-RU"/>
              </w:rPr>
            </w:pPr>
            <w:r w:rsidRPr="00C860A4">
              <w:rPr>
                <w:rFonts w:eastAsia="Times New Roman"/>
                <w:sz w:val="24"/>
                <w:szCs w:val="24"/>
                <w:lang w:eastAsia="ru-RU"/>
              </w:rPr>
              <w:t>9,16</w:t>
            </w:r>
          </w:p>
        </w:tc>
        <w:tc>
          <w:tcPr>
            <w:tcW w:w="850" w:type="dxa"/>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jc w:val="center"/>
              <w:rPr>
                <w:rFonts w:eastAsia="Times New Roman"/>
                <w:sz w:val="24"/>
                <w:szCs w:val="24"/>
                <w:lang w:eastAsia="ru-RU"/>
              </w:rPr>
            </w:pPr>
            <w:r w:rsidRPr="00C860A4">
              <w:rPr>
                <w:rFonts w:eastAsia="Times New Roman"/>
                <w:sz w:val="24"/>
                <w:szCs w:val="24"/>
                <w:lang w:eastAsia="ru-RU"/>
              </w:rPr>
              <w:t>8,65</w:t>
            </w:r>
          </w:p>
        </w:tc>
        <w:tc>
          <w:tcPr>
            <w:tcW w:w="851" w:type="dxa"/>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jc w:val="center"/>
              <w:rPr>
                <w:rFonts w:eastAsia="Times New Roman"/>
                <w:sz w:val="24"/>
                <w:szCs w:val="24"/>
                <w:lang w:eastAsia="ru-RU"/>
              </w:rPr>
            </w:pPr>
            <w:r w:rsidRPr="00C860A4">
              <w:rPr>
                <w:rFonts w:eastAsia="Times New Roman"/>
                <w:sz w:val="24"/>
                <w:szCs w:val="24"/>
                <w:lang w:eastAsia="ru-RU"/>
              </w:rPr>
              <w:t>5,13</w:t>
            </w:r>
          </w:p>
        </w:tc>
        <w:tc>
          <w:tcPr>
            <w:tcW w:w="843" w:type="dxa"/>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jc w:val="center"/>
              <w:rPr>
                <w:rFonts w:eastAsia="Times New Roman"/>
                <w:sz w:val="24"/>
                <w:szCs w:val="24"/>
                <w:lang w:eastAsia="ru-RU"/>
              </w:rPr>
            </w:pPr>
            <w:r w:rsidRPr="00C860A4">
              <w:rPr>
                <w:rFonts w:eastAsia="Times New Roman"/>
                <w:sz w:val="24"/>
                <w:szCs w:val="24"/>
                <w:lang w:eastAsia="ru-RU"/>
              </w:rPr>
              <w:t>5,51</w:t>
            </w:r>
          </w:p>
        </w:tc>
        <w:tc>
          <w:tcPr>
            <w:tcW w:w="716" w:type="dxa"/>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jc w:val="center"/>
              <w:rPr>
                <w:rFonts w:eastAsia="Times New Roman"/>
                <w:sz w:val="24"/>
                <w:szCs w:val="24"/>
                <w:lang w:eastAsia="ru-RU"/>
              </w:rPr>
            </w:pPr>
            <w:r w:rsidRPr="00C860A4">
              <w:rPr>
                <w:rFonts w:eastAsia="Times New Roman"/>
                <w:sz w:val="24"/>
                <w:szCs w:val="24"/>
                <w:lang w:eastAsia="ru-RU"/>
              </w:rPr>
              <w:t>0,86</w:t>
            </w:r>
          </w:p>
        </w:tc>
        <w:tc>
          <w:tcPr>
            <w:tcW w:w="850" w:type="dxa"/>
            <w:tcBorders>
              <w:top w:val="single" w:sz="4" w:space="0" w:color="auto"/>
              <w:left w:val="single" w:sz="4" w:space="0" w:color="auto"/>
              <w:bottom w:val="single" w:sz="4" w:space="0" w:color="auto"/>
              <w:right w:val="single" w:sz="4" w:space="0" w:color="auto"/>
            </w:tcBorders>
          </w:tcPr>
          <w:p w:rsidR="007D677E" w:rsidRPr="00C860A4" w:rsidRDefault="007D677E" w:rsidP="005709BB">
            <w:pPr>
              <w:widowControl w:val="0"/>
              <w:spacing w:line="276" w:lineRule="auto"/>
              <w:jc w:val="center"/>
              <w:rPr>
                <w:rFonts w:eastAsia="Times New Roman"/>
                <w:sz w:val="24"/>
                <w:szCs w:val="24"/>
                <w:lang w:eastAsia="ru-RU"/>
              </w:rPr>
            </w:pPr>
            <w:r w:rsidRPr="00C860A4">
              <w:rPr>
                <w:rFonts w:eastAsia="Times New Roman"/>
                <w:sz w:val="24"/>
                <w:szCs w:val="24"/>
                <w:lang w:eastAsia="ru-RU"/>
              </w:rPr>
              <w:t>0,92</w:t>
            </w:r>
          </w:p>
        </w:tc>
      </w:tr>
      <w:tr w:rsidR="00B435EA" w:rsidRPr="00C860A4" w:rsidTr="00D57943">
        <w:trPr>
          <w:trHeight w:val="418"/>
          <w:jc w:val="center"/>
        </w:trPr>
        <w:tc>
          <w:tcPr>
            <w:tcW w:w="2567" w:type="dxa"/>
            <w:tcBorders>
              <w:top w:val="single" w:sz="4" w:space="0" w:color="auto"/>
              <w:left w:val="single" w:sz="4" w:space="0" w:color="auto"/>
              <w:bottom w:val="single" w:sz="4" w:space="0" w:color="auto"/>
              <w:right w:val="single" w:sz="4" w:space="0" w:color="auto"/>
            </w:tcBorders>
          </w:tcPr>
          <w:p w:rsidR="00B435EA" w:rsidRPr="00C860A4" w:rsidRDefault="00B435EA" w:rsidP="00FC05A7">
            <w:pPr>
              <w:widowControl w:val="0"/>
              <w:spacing w:line="276" w:lineRule="auto"/>
              <w:rPr>
                <w:rFonts w:eastAsia="Times New Roman"/>
                <w:sz w:val="24"/>
                <w:szCs w:val="24"/>
                <w:lang w:eastAsia="ru-RU"/>
              </w:rPr>
            </w:pPr>
            <w:r w:rsidRPr="00C860A4">
              <w:rPr>
                <w:rFonts w:eastAsia="Times New Roman"/>
                <w:sz w:val="24"/>
                <w:szCs w:val="24"/>
                <w:lang w:eastAsia="ru-RU"/>
              </w:rPr>
              <w:t>Співвідношення реального і фактичного показника ранньої неонатальної смертності</w:t>
            </w:r>
          </w:p>
        </w:tc>
        <w:tc>
          <w:tcPr>
            <w:tcW w:w="850" w:type="dxa"/>
            <w:tcBorders>
              <w:top w:val="single" w:sz="4" w:space="0" w:color="auto"/>
              <w:left w:val="single" w:sz="4" w:space="0" w:color="auto"/>
              <w:bottom w:val="single" w:sz="4" w:space="0" w:color="auto"/>
              <w:right w:val="single" w:sz="4" w:space="0" w:color="auto"/>
            </w:tcBorders>
          </w:tcPr>
          <w:p w:rsidR="00B435EA" w:rsidRPr="00C860A4" w:rsidRDefault="00B435EA" w:rsidP="00FC05A7">
            <w:pPr>
              <w:widowControl w:val="0"/>
              <w:spacing w:line="276" w:lineRule="auto"/>
              <w:jc w:val="center"/>
              <w:rPr>
                <w:rFonts w:eastAsia="Times New Roman"/>
                <w:sz w:val="24"/>
                <w:szCs w:val="24"/>
                <w:lang w:eastAsia="ru-RU"/>
              </w:rPr>
            </w:pPr>
            <w:r w:rsidRPr="00C860A4">
              <w:rPr>
                <w:rFonts w:eastAsia="Times New Roman"/>
                <w:sz w:val="24"/>
                <w:szCs w:val="24"/>
                <w:lang w:eastAsia="ru-RU"/>
              </w:rPr>
              <w:t>*</w:t>
            </w:r>
          </w:p>
        </w:tc>
        <w:tc>
          <w:tcPr>
            <w:tcW w:w="993" w:type="dxa"/>
            <w:tcBorders>
              <w:top w:val="single" w:sz="4" w:space="0" w:color="auto"/>
              <w:left w:val="single" w:sz="4" w:space="0" w:color="auto"/>
              <w:bottom w:val="single" w:sz="4" w:space="0" w:color="auto"/>
              <w:right w:val="single" w:sz="4" w:space="0" w:color="auto"/>
            </w:tcBorders>
          </w:tcPr>
          <w:p w:rsidR="00B435EA" w:rsidRPr="00C860A4" w:rsidRDefault="00B435EA" w:rsidP="00FC05A7">
            <w:pPr>
              <w:widowControl w:val="0"/>
              <w:spacing w:line="276" w:lineRule="auto"/>
              <w:jc w:val="center"/>
              <w:rPr>
                <w:rFonts w:eastAsia="Times New Roman"/>
                <w:sz w:val="24"/>
                <w:szCs w:val="24"/>
                <w:lang w:eastAsia="ru-RU"/>
              </w:rPr>
            </w:pPr>
            <w:r w:rsidRPr="00C860A4">
              <w:rPr>
                <w:rFonts w:eastAsia="Times New Roman"/>
                <w:sz w:val="24"/>
                <w:szCs w:val="24"/>
                <w:lang w:eastAsia="ru-RU"/>
              </w:rPr>
              <w:t>1,5</w:t>
            </w:r>
          </w:p>
        </w:tc>
        <w:tc>
          <w:tcPr>
            <w:tcW w:w="850" w:type="dxa"/>
            <w:tcBorders>
              <w:top w:val="single" w:sz="4" w:space="0" w:color="auto"/>
              <w:left w:val="single" w:sz="4" w:space="0" w:color="auto"/>
              <w:bottom w:val="single" w:sz="4" w:space="0" w:color="auto"/>
              <w:right w:val="single" w:sz="4" w:space="0" w:color="auto"/>
            </w:tcBorders>
          </w:tcPr>
          <w:p w:rsidR="00B435EA" w:rsidRPr="00C860A4" w:rsidRDefault="00B435EA" w:rsidP="00FC05A7">
            <w:pPr>
              <w:widowControl w:val="0"/>
              <w:spacing w:line="276" w:lineRule="auto"/>
              <w:jc w:val="center"/>
              <w:rPr>
                <w:rFonts w:eastAsia="Times New Roman"/>
                <w:sz w:val="24"/>
                <w:szCs w:val="24"/>
                <w:lang w:eastAsia="ru-RU"/>
              </w:rPr>
            </w:pPr>
            <w:r w:rsidRPr="00C860A4">
              <w:rPr>
                <w:rFonts w:eastAsia="Times New Roman"/>
                <w:sz w:val="24"/>
                <w:szCs w:val="24"/>
                <w:lang w:eastAsia="ru-RU"/>
              </w:rPr>
              <w:t>6</w:t>
            </w:r>
          </w:p>
        </w:tc>
        <w:tc>
          <w:tcPr>
            <w:tcW w:w="851" w:type="dxa"/>
            <w:tcBorders>
              <w:top w:val="single" w:sz="4" w:space="0" w:color="auto"/>
              <w:left w:val="single" w:sz="4" w:space="0" w:color="auto"/>
              <w:bottom w:val="single" w:sz="4" w:space="0" w:color="auto"/>
              <w:right w:val="single" w:sz="4" w:space="0" w:color="auto"/>
            </w:tcBorders>
          </w:tcPr>
          <w:p w:rsidR="00B435EA" w:rsidRPr="00C860A4" w:rsidRDefault="00B435EA" w:rsidP="00FC05A7">
            <w:pPr>
              <w:widowControl w:val="0"/>
              <w:spacing w:line="276" w:lineRule="auto"/>
              <w:jc w:val="center"/>
              <w:rPr>
                <w:rFonts w:eastAsia="Times New Roman"/>
                <w:sz w:val="24"/>
                <w:szCs w:val="24"/>
                <w:lang w:eastAsia="ru-RU"/>
              </w:rPr>
            </w:pPr>
            <w:r w:rsidRPr="00C860A4">
              <w:rPr>
                <w:rFonts w:eastAsia="Times New Roman"/>
                <w:sz w:val="24"/>
                <w:szCs w:val="24"/>
                <w:lang w:eastAsia="ru-RU"/>
              </w:rPr>
              <w:t>*</w:t>
            </w:r>
          </w:p>
        </w:tc>
        <w:tc>
          <w:tcPr>
            <w:tcW w:w="850" w:type="dxa"/>
            <w:tcBorders>
              <w:top w:val="single" w:sz="4" w:space="0" w:color="auto"/>
              <w:left w:val="single" w:sz="4" w:space="0" w:color="auto"/>
              <w:bottom w:val="single" w:sz="4" w:space="0" w:color="auto"/>
              <w:right w:val="single" w:sz="4" w:space="0" w:color="auto"/>
            </w:tcBorders>
          </w:tcPr>
          <w:p w:rsidR="00B435EA" w:rsidRPr="00C860A4" w:rsidRDefault="00B435EA" w:rsidP="00FC05A7">
            <w:pPr>
              <w:widowControl w:val="0"/>
              <w:spacing w:line="276" w:lineRule="auto"/>
              <w:jc w:val="center"/>
              <w:rPr>
                <w:rFonts w:eastAsia="Times New Roman"/>
                <w:sz w:val="24"/>
                <w:szCs w:val="24"/>
                <w:lang w:eastAsia="ru-RU"/>
              </w:rPr>
            </w:pPr>
            <w:r w:rsidRPr="00C860A4">
              <w:rPr>
                <w:rFonts w:eastAsia="Times New Roman"/>
                <w:sz w:val="24"/>
                <w:szCs w:val="24"/>
                <w:lang w:eastAsia="ru-RU"/>
              </w:rPr>
              <w:t>2,27</w:t>
            </w:r>
          </w:p>
        </w:tc>
        <w:tc>
          <w:tcPr>
            <w:tcW w:w="851" w:type="dxa"/>
            <w:tcBorders>
              <w:top w:val="single" w:sz="4" w:space="0" w:color="auto"/>
              <w:left w:val="single" w:sz="4" w:space="0" w:color="auto"/>
              <w:bottom w:val="single" w:sz="4" w:space="0" w:color="auto"/>
              <w:right w:val="single" w:sz="4" w:space="0" w:color="auto"/>
            </w:tcBorders>
          </w:tcPr>
          <w:p w:rsidR="00B435EA" w:rsidRPr="00C860A4" w:rsidRDefault="00B435EA" w:rsidP="00FC05A7">
            <w:pPr>
              <w:widowControl w:val="0"/>
              <w:spacing w:line="276" w:lineRule="auto"/>
              <w:jc w:val="center"/>
              <w:rPr>
                <w:rFonts w:eastAsia="Times New Roman"/>
                <w:sz w:val="24"/>
                <w:szCs w:val="24"/>
                <w:lang w:eastAsia="ru-RU"/>
              </w:rPr>
            </w:pPr>
            <w:r w:rsidRPr="00C860A4">
              <w:rPr>
                <w:rFonts w:eastAsia="Times New Roman"/>
                <w:sz w:val="24"/>
                <w:szCs w:val="24"/>
                <w:lang w:eastAsia="ru-RU"/>
              </w:rPr>
              <w:t>*</w:t>
            </w:r>
          </w:p>
        </w:tc>
        <w:tc>
          <w:tcPr>
            <w:tcW w:w="843" w:type="dxa"/>
            <w:tcBorders>
              <w:top w:val="single" w:sz="4" w:space="0" w:color="auto"/>
              <w:left w:val="single" w:sz="4" w:space="0" w:color="auto"/>
              <w:bottom w:val="single" w:sz="4" w:space="0" w:color="auto"/>
              <w:right w:val="single" w:sz="4" w:space="0" w:color="auto"/>
            </w:tcBorders>
          </w:tcPr>
          <w:p w:rsidR="00B435EA" w:rsidRPr="00C860A4" w:rsidRDefault="00B435EA" w:rsidP="00FC05A7">
            <w:pPr>
              <w:widowControl w:val="0"/>
              <w:spacing w:line="276" w:lineRule="auto"/>
              <w:jc w:val="center"/>
              <w:rPr>
                <w:rFonts w:eastAsia="Times New Roman"/>
                <w:sz w:val="24"/>
                <w:szCs w:val="24"/>
                <w:lang w:eastAsia="ru-RU"/>
              </w:rPr>
            </w:pPr>
            <w:r w:rsidRPr="00C860A4">
              <w:rPr>
                <w:rFonts w:eastAsia="Times New Roman"/>
                <w:sz w:val="24"/>
                <w:szCs w:val="24"/>
                <w:lang w:eastAsia="ru-RU"/>
              </w:rPr>
              <w:t>2,92</w:t>
            </w:r>
          </w:p>
        </w:tc>
        <w:tc>
          <w:tcPr>
            <w:tcW w:w="716" w:type="dxa"/>
            <w:tcBorders>
              <w:top w:val="single" w:sz="4" w:space="0" w:color="auto"/>
              <w:left w:val="single" w:sz="4" w:space="0" w:color="auto"/>
              <w:bottom w:val="single" w:sz="4" w:space="0" w:color="auto"/>
              <w:right w:val="single" w:sz="4" w:space="0" w:color="auto"/>
            </w:tcBorders>
          </w:tcPr>
          <w:p w:rsidR="00B435EA" w:rsidRPr="00C860A4" w:rsidRDefault="00B435EA" w:rsidP="00FC05A7">
            <w:pPr>
              <w:widowControl w:val="0"/>
              <w:spacing w:line="276" w:lineRule="auto"/>
              <w:jc w:val="center"/>
              <w:rPr>
                <w:rFonts w:eastAsia="Times New Roman"/>
                <w:sz w:val="24"/>
                <w:szCs w:val="24"/>
                <w:lang w:eastAsia="ru-RU"/>
              </w:rPr>
            </w:pPr>
            <w:r w:rsidRPr="00C860A4">
              <w:rPr>
                <w:rFonts w:eastAsia="Times New Roman"/>
                <w:sz w:val="24"/>
                <w:szCs w:val="24"/>
                <w:lang w:eastAsia="ru-RU"/>
              </w:rPr>
              <w:t>*</w:t>
            </w:r>
          </w:p>
        </w:tc>
        <w:tc>
          <w:tcPr>
            <w:tcW w:w="850" w:type="dxa"/>
            <w:tcBorders>
              <w:top w:val="single" w:sz="4" w:space="0" w:color="auto"/>
              <w:left w:val="single" w:sz="4" w:space="0" w:color="auto"/>
              <w:bottom w:val="single" w:sz="4" w:space="0" w:color="auto"/>
              <w:right w:val="single" w:sz="4" w:space="0" w:color="auto"/>
            </w:tcBorders>
          </w:tcPr>
          <w:p w:rsidR="00B435EA" w:rsidRPr="00C860A4" w:rsidRDefault="00B435EA" w:rsidP="00FC05A7">
            <w:pPr>
              <w:widowControl w:val="0"/>
              <w:spacing w:line="276" w:lineRule="auto"/>
              <w:jc w:val="center"/>
              <w:rPr>
                <w:rFonts w:eastAsia="Times New Roman"/>
                <w:sz w:val="24"/>
                <w:szCs w:val="24"/>
                <w:lang w:eastAsia="ru-RU"/>
              </w:rPr>
            </w:pPr>
            <w:r w:rsidRPr="00C860A4">
              <w:rPr>
                <w:rFonts w:eastAsia="Times New Roman"/>
                <w:sz w:val="24"/>
                <w:szCs w:val="24"/>
                <w:lang w:eastAsia="ru-RU"/>
              </w:rPr>
              <w:t>0,49</w:t>
            </w:r>
          </w:p>
        </w:tc>
      </w:tr>
      <w:tr w:rsidR="00B435EA" w:rsidRPr="00C860A4" w:rsidTr="00D57943">
        <w:trPr>
          <w:trHeight w:val="418"/>
          <w:jc w:val="center"/>
        </w:trPr>
        <w:tc>
          <w:tcPr>
            <w:tcW w:w="2567" w:type="dxa"/>
            <w:tcBorders>
              <w:top w:val="single" w:sz="4" w:space="0" w:color="auto"/>
              <w:left w:val="single" w:sz="4" w:space="0" w:color="auto"/>
              <w:bottom w:val="single" w:sz="4" w:space="0" w:color="auto"/>
              <w:right w:val="single" w:sz="4" w:space="0" w:color="auto"/>
            </w:tcBorders>
          </w:tcPr>
          <w:p w:rsidR="00B435EA" w:rsidRPr="00C860A4" w:rsidRDefault="00B435EA" w:rsidP="00FC05A7">
            <w:pPr>
              <w:widowControl w:val="0"/>
              <w:spacing w:line="276" w:lineRule="auto"/>
              <w:rPr>
                <w:rFonts w:eastAsia="Times New Roman"/>
                <w:sz w:val="24"/>
                <w:szCs w:val="24"/>
                <w:lang w:eastAsia="ru-RU"/>
              </w:rPr>
            </w:pPr>
            <w:r w:rsidRPr="00C860A4">
              <w:rPr>
                <w:rFonts w:eastAsia="Times New Roman"/>
                <w:sz w:val="24"/>
                <w:szCs w:val="24"/>
                <w:lang w:eastAsia="ru-RU"/>
              </w:rPr>
              <w:t>Рівень неонатальної смертності</w:t>
            </w:r>
          </w:p>
        </w:tc>
        <w:tc>
          <w:tcPr>
            <w:tcW w:w="850" w:type="dxa"/>
            <w:tcBorders>
              <w:top w:val="single" w:sz="4" w:space="0" w:color="auto"/>
              <w:left w:val="single" w:sz="4" w:space="0" w:color="auto"/>
              <w:bottom w:val="single" w:sz="4" w:space="0" w:color="auto"/>
              <w:right w:val="single" w:sz="4" w:space="0" w:color="auto"/>
            </w:tcBorders>
          </w:tcPr>
          <w:p w:rsidR="00B435EA" w:rsidRPr="00C860A4" w:rsidRDefault="00B435EA" w:rsidP="00FC05A7">
            <w:pPr>
              <w:widowControl w:val="0"/>
              <w:spacing w:line="276" w:lineRule="auto"/>
              <w:jc w:val="center"/>
              <w:rPr>
                <w:rFonts w:eastAsia="Times New Roman"/>
                <w:sz w:val="24"/>
                <w:szCs w:val="24"/>
                <w:lang w:eastAsia="ru-RU"/>
              </w:rPr>
            </w:pPr>
            <w:r w:rsidRPr="00C860A4">
              <w:rPr>
                <w:rFonts w:eastAsia="Times New Roman"/>
                <w:sz w:val="24"/>
                <w:szCs w:val="24"/>
                <w:lang w:eastAsia="ru-RU"/>
              </w:rPr>
              <w:t>4</w:t>
            </w:r>
          </w:p>
        </w:tc>
        <w:tc>
          <w:tcPr>
            <w:tcW w:w="993" w:type="dxa"/>
            <w:tcBorders>
              <w:top w:val="single" w:sz="4" w:space="0" w:color="auto"/>
              <w:left w:val="single" w:sz="4" w:space="0" w:color="auto"/>
              <w:bottom w:val="single" w:sz="4" w:space="0" w:color="auto"/>
              <w:right w:val="single" w:sz="4" w:space="0" w:color="auto"/>
            </w:tcBorders>
          </w:tcPr>
          <w:p w:rsidR="00B435EA" w:rsidRPr="00C860A4" w:rsidRDefault="00B435EA" w:rsidP="00FC05A7">
            <w:pPr>
              <w:widowControl w:val="0"/>
              <w:spacing w:line="276" w:lineRule="auto"/>
              <w:jc w:val="center"/>
              <w:rPr>
                <w:rFonts w:eastAsia="Times New Roman"/>
                <w:sz w:val="24"/>
                <w:szCs w:val="24"/>
                <w:lang w:eastAsia="ru-RU"/>
              </w:rPr>
            </w:pPr>
            <w:r w:rsidRPr="00C860A4">
              <w:rPr>
                <w:rFonts w:eastAsia="Times New Roman"/>
                <w:sz w:val="24"/>
                <w:szCs w:val="24"/>
                <w:lang w:eastAsia="ru-RU"/>
              </w:rPr>
              <w:t>**</w:t>
            </w:r>
          </w:p>
        </w:tc>
        <w:tc>
          <w:tcPr>
            <w:tcW w:w="850" w:type="dxa"/>
            <w:tcBorders>
              <w:top w:val="single" w:sz="4" w:space="0" w:color="auto"/>
              <w:left w:val="single" w:sz="4" w:space="0" w:color="auto"/>
              <w:bottom w:val="single" w:sz="4" w:space="0" w:color="auto"/>
              <w:right w:val="single" w:sz="4" w:space="0" w:color="auto"/>
            </w:tcBorders>
          </w:tcPr>
          <w:p w:rsidR="00B435EA" w:rsidRPr="00C860A4" w:rsidRDefault="00B435EA" w:rsidP="00FC05A7">
            <w:pPr>
              <w:widowControl w:val="0"/>
              <w:spacing w:line="276" w:lineRule="auto"/>
              <w:jc w:val="center"/>
              <w:rPr>
                <w:rFonts w:eastAsia="Times New Roman"/>
                <w:sz w:val="24"/>
                <w:szCs w:val="24"/>
                <w:lang w:eastAsia="ru-RU"/>
              </w:rPr>
            </w:pPr>
            <w:r w:rsidRPr="00C860A4">
              <w:rPr>
                <w:rFonts w:eastAsia="Times New Roman"/>
                <w:sz w:val="24"/>
                <w:szCs w:val="24"/>
                <w:lang w:eastAsia="ru-RU"/>
              </w:rPr>
              <w:t>6</w:t>
            </w:r>
          </w:p>
        </w:tc>
        <w:tc>
          <w:tcPr>
            <w:tcW w:w="851" w:type="dxa"/>
            <w:tcBorders>
              <w:top w:val="single" w:sz="4" w:space="0" w:color="auto"/>
              <w:left w:val="single" w:sz="4" w:space="0" w:color="auto"/>
              <w:bottom w:val="single" w:sz="4" w:space="0" w:color="auto"/>
              <w:right w:val="single" w:sz="4" w:space="0" w:color="auto"/>
            </w:tcBorders>
          </w:tcPr>
          <w:p w:rsidR="00B435EA" w:rsidRPr="00C860A4" w:rsidRDefault="00B435EA" w:rsidP="00FC05A7">
            <w:pPr>
              <w:widowControl w:val="0"/>
              <w:spacing w:line="276" w:lineRule="auto"/>
              <w:jc w:val="center"/>
              <w:rPr>
                <w:rFonts w:eastAsia="Times New Roman"/>
                <w:sz w:val="24"/>
                <w:szCs w:val="24"/>
                <w:lang w:eastAsia="ru-RU"/>
              </w:rPr>
            </w:pPr>
            <w:r w:rsidRPr="00C860A4">
              <w:rPr>
                <w:rFonts w:eastAsia="Times New Roman"/>
                <w:sz w:val="24"/>
                <w:szCs w:val="24"/>
                <w:lang w:eastAsia="ru-RU"/>
              </w:rPr>
              <w:t>4,94</w:t>
            </w:r>
          </w:p>
        </w:tc>
        <w:tc>
          <w:tcPr>
            <w:tcW w:w="850" w:type="dxa"/>
            <w:tcBorders>
              <w:top w:val="single" w:sz="4" w:space="0" w:color="auto"/>
              <w:left w:val="single" w:sz="4" w:space="0" w:color="auto"/>
              <w:bottom w:val="single" w:sz="4" w:space="0" w:color="auto"/>
              <w:right w:val="single" w:sz="4" w:space="0" w:color="auto"/>
            </w:tcBorders>
          </w:tcPr>
          <w:p w:rsidR="00B435EA" w:rsidRPr="00C860A4" w:rsidRDefault="00B435EA" w:rsidP="00FC05A7">
            <w:pPr>
              <w:widowControl w:val="0"/>
              <w:spacing w:line="276" w:lineRule="auto"/>
              <w:jc w:val="center"/>
              <w:rPr>
                <w:rFonts w:eastAsia="Times New Roman"/>
                <w:sz w:val="24"/>
                <w:szCs w:val="24"/>
                <w:lang w:eastAsia="ru-RU"/>
              </w:rPr>
            </w:pPr>
            <w:r w:rsidRPr="00C860A4">
              <w:rPr>
                <w:rFonts w:eastAsia="Times New Roman"/>
                <w:sz w:val="24"/>
                <w:szCs w:val="24"/>
                <w:lang w:eastAsia="ru-RU"/>
              </w:rPr>
              <w:t>**</w:t>
            </w:r>
          </w:p>
        </w:tc>
        <w:tc>
          <w:tcPr>
            <w:tcW w:w="851" w:type="dxa"/>
            <w:tcBorders>
              <w:top w:val="single" w:sz="4" w:space="0" w:color="auto"/>
              <w:left w:val="single" w:sz="4" w:space="0" w:color="auto"/>
              <w:bottom w:val="single" w:sz="4" w:space="0" w:color="auto"/>
              <w:right w:val="single" w:sz="4" w:space="0" w:color="auto"/>
            </w:tcBorders>
          </w:tcPr>
          <w:p w:rsidR="00B435EA" w:rsidRPr="00C860A4" w:rsidRDefault="00B435EA" w:rsidP="00FC05A7">
            <w:pPr>
              <w:widowControl w:val="0"/>
              <w:spacing w:line="276" w:lineRule="auto"/>
              <w:jc w:val="center"/>
              <w:rPr>
                <w:rFonts w:eastAsia="Times New Roman"/>
                <w:sz w:val="24"/>
                <w:szCs w:val="24"/>
                <w:lang w:eastAsia="ru-RU"/>
              </w:rPr>
            </w:pPr>
            <w:r w:rsidRPr="00C860A4">
              <w:rPr>
                <w:rFonts w:eastAsia="Times New Roman"/>
                <w:sz w:val="24"/>
                <w:szCs w:val="24"/>
                <w:lang w:eastAsia="ru-RU"/>
              </w:rPr>
              <w:t>4,59</w:t>
            </w:r>
          </w:p>
        </w:tc>
        <w:tc>
          <w:tcPr>
            <w:tcW w:w="843" w:type="dxa"/>
            <w:tcBorders>
              <w:top w:val="single" w:sz="4" w:space="0" w:color="auto"/>
              <w:left w:val="single" w:sz="4" w:space="0" w:color="auto"/>
              <w:bottom w:val="single" w:sz="4" w:space="0" w:color="auto"/>
              <w:right w:val="single" w:sz="4" w:space="0" w:color="auto"/>
            </w:tcBorders>
          </w:tcPr>
          <w:p w:rsidR="00B435EA" w:rsidRPr="00C860A4" w:rsidRDefault="00B435EA" w:rsidP="00FC05A7">
            <w:pPr>
              <w:widowControl w:val="0"/>
              <w:spacing w:line="276" w:lineRule="auto"/>
              <w:jc w:val="center"/>
              <w:rPr>
                <w:rFonts w:eastAsia="Times New Roman"/>
                <w:sz w:val="24"/>
                <w:szCs w:val="24"/>
                <w:lang w:eastAsia="ru-RU"/>
              </w:rPr>
            </w:pPr>
            <w:r w:rsidRPr="00C860A4">
              <w:rPr>
                <w:rFonts w:eastAsia="Times New Roman"/>
                <w:sz w:val="24"/>
                <w:szCs w:val="24"/>
                <w:lang w:eastAsia="ru-RU"/>
              </w:rPr>
              <w:t>**</w:t>
            </w:r>
          </w:p>
        </w:tc>
        <w:tc>
          <w:tcPr>
            <w:tcW w:w="716" w:type="dxa"/>
            <w:tcBorders>
              <w:top w:val="single" w:sz="4" w:space="0" w:color="auto"/>
              <w:left w:val="single" w:sz="4" w:space="0" w:color="auto"/>
              <w:bottom w:val="single" w:sz="4" w:space="0" w:color="auto"/>
              <w:right w:val="single" w:sz="4" w:space="0" w:color="auto"/>
            </w:tcBorders>
          </w:tcPr>
          <w:p w:rsidR="00B435EA" w:rsidRPr="00C860A4" w:rsidRDefault="00B435EA" w:rsidP="00FC05A7">
            <w:pPr>
              <w:widowControl w:val="0"/>
              <w:spacing w:line="276" w:lineRule="auto"/>
              <w:jc w:val="center"/>
              <w:rPr>
                <w:rFonts w:eastAsia="Times New Roman"/>
                <w:sz w:val="24"/>
                <w:szCs w:val="24"/>
                <w:lang w:eastAsia="ru-RU"/>
              </w:rPr>
            </w:pPr>
            <w:r w:rsidRPr="00C860A4">
              <w:rPr>
                <w:rFonts w:eastAsia="Times New Roman"/>
                <w:sz w:val="24"/>
                <w:szCs w:val="24"/>
                <w:lang w:eastAsia="ru-RU"/>
              </w:rPr>
              <w:t>0,77</w:t>
            </w:r>
          </w:p>
        </w:tc>
        <w:tc>
          <w:tcPr>
            <w:tcW w:w="850" w:type="dxa"/>
            <w:tcBorders>
              <w:top w:val="single" w:sz="4" w:space="0" w:color="auto"/>
              <w:left w:val="single" w:sz="4" w:space="0" w:color="auto"/>
              <w:bottom w:val="single" w:sz="4" w:space="0" w:color="auto"/>
              <w:right w:val="single" w:sz="4" w:space="0" w:color="auto"/>
            </w:tcBorders>
          </w:tcPr>
          <w:p w:rsidR="00B435EA" w:rsidRPr="00C860A4" w:rsidRDefault="00B435EA" w:rsidP="00FC05A7">
            <w:pPr>
              <w:widowControl w:val="0"/>
              <w:spacing w:line="276" w:lineRule="auto"/>
              <w:jc w:val="center"/>
              <w:rPr>
                <w:rFonts w:eastAsia="Times New Roman"/>
                <w:sz w:val="24"/>
                <w:szCs w:val="24"/>
                <w:lang w:eastAsia="ru-RU"/>
              </w:rPr>
            </w:pPr>
            <w:r w:rsidRPr="00C860A4">
              <w:rPr>
                <w:rFonts w:eastAsia="Times New Roman"/>
                <w:sz w:val="24"/>
                <w:szCs w:val="24"/>
                <w:lang w:eastAsia="ru-RU"/>
              </w:rPr>
              <w:t>**</w:t>
            </w:r>
          </w:p>
        </w:tc>
      </w:tr>
      <w:tr w:rsidR="00B435EA" w:rsidRPr="00C860A4" w:rsidTr="00D57943">
        <w:trPr>
          <w:trHeight w:val="418"/>
          <w:jc w:val="center"/>
        </w:trPr>
        <w:tc>
          <w:tcPr>
            <w:tcW w:w="2567" w:type="dxa"/>
            <w:tcBorders>
              <w:top w:val="single" w:sz="4" w:space="0" w:color="auto"/>
              <w:left w:val="single" w:sz="4" w:space="0" w:color="auto"/>
              <w:bottom w:val="single" w:sz="4" w:space="0" w:color="auto"/>
              <w:right w:val="single" w:sz="4" w:space="0" w:color="auto"/>
            </w:tcBorders>
          </w:tcPr>
          <w:p w:rsidR="00B435EA" w:rsidRPr="00C860A4" w:rsidRDefault="00B435EA" w:rsidP="00FC05A7">
            <w:pPr>
              <w:widowControl w:val="0"/>
              <w:spacing w:line="276" w:lineRule="auto"/>
              <w:rPr>
                <w:rFonts w:eastAsia="Times New Roman"/>
                <w:sz w:val="24"/>
                <w:szCs w:val="24"/>
                <w:lang w:eastAsia="ru-RU"/>
              </w:rPr>
            </w:pPr>
            <w:r w:rsidRPr="00C860A4">
              <w:rPr>
                <w:rFonts w:eastAsia="Times New Roman"/>
                <w:sz w:val="24"/>
                <w:szCs w:val="24"/>
                <w:lang w:eastAsia="ru-RU"/>
              </w:rPr>
              <w:t xml:space="preserve">Рівень ранньої неонатальної смертності </w:t>
            </w:r>
          </w:p>
        </w:tc>
        <w:tc>
          <w:tcPr>
            <w:tcW w:w="850" w:type="dxa"/>
            <w:tcBorders>
              <w:top w:val="single" w:sz="4" w:space="0" w:color="auto"/>
              <w:left w:val="single" w:sz="4" w:space="0" w:color="auto"/>
              <w:bottom w:val="single" w:sz="4" w:space="0" w:color="auto"/>
              <w:right w:val="single" w:sz="4" w:space="0" w:color="auto"/>
            </w:tcBorders>
          </w:tcPr>
          <w:p w:rsidR="00B435EA" w:rsidRPr="00C860A4" w:rsidRDefault="00B435EA" w:rsidP="00FC05A7">
            <w:pPr>
              <w:widowControl w:val="0"/>
              <w:spacing w:line="276" w:lineRule="auto"/>
              <w:jc w:val="center"/>
              <w:rPr>
                <w:rFonts w:eastAsia="Times New Roman"/>
                <w:sz w:val="24"/>
                <w:szCs w:val="24"/>
                <w:lang w:eastAsia="ru-RU"/>
              </w:rPr>
            </w:pPr>
            <w:r w:rsidRPr="00C860A4">
              <w:rPr>
                <w:rFonts w:eastAsia="Times New Roman"/>
                <w:sz w:val="24"/>
                <w:szCs w:val="24"/>
                <w:lang w:eastAsia="ru-RU"/>
              </w:rPr>
              <w:t>*</w:t>
            </w:r>
          </w:p>
        </w:tc>
        <w:tc>
          <w:tcPr>
            <w:tcW w:w="993" w:type="dxa"/>
            <w:tcBorders>
              <w:top w:val="single" w:sz="4" w:space="0" w:color="auto"/>
              <w:left w:val="single" w:sz="4" w:space="0" w:color="auto"/>
              <w:bottom w:val="single" w:sz="4" w:space="0" w:color="auto"/>
              <w:right w:val="single" w:sz="4" w:space="0" w:color="auto"/>
            </w:tcBorders>
          </w:tcPr>
          <w:p w:rsidR="00B435EA" w:rsidRPr="00C860A4" w:rsidRDefault="00B435EA" w:rsidP="00FC05A7">
            <w:pPr>
              <w:widowControl w:val="0"/>
              <w:spacing w:line="276" w:lineRule="auto"/>
              <w:jc w:val="center"/>
              <w:rPr>
                <w:rFonts w:eastAsia="Times New Roman"/>
                <w:sz w:val="24"/>
                <w:szCs w:val="24"/>
                <w:lang w:eastAsia="ru-RU"/>
              </w:rPr>
            </w:pPr>
            <w:r w:rsidRPr="00C860A4">
              <w:rPr>
                <w:rFonts w:eastAsia="Times New Roman"/>
                <w:sz w:val="24"/>
                <w:szCs w:val="24"/>
                <w:lang w:eastAsia="ru-RU"/>
              </w:rPr>
              <w:t>2,6</w:t>
            </w:r>
          </w:p>
        </w:tc>
        <w:tc>
          <w:tcPr>
            <w:tcW w:w="850" w:type="dxa"/>
            <w:tcBorders>
              <w:top w:val="single" w:sz="4" w:space="0" w:color="auto"/>
              <w:left w:val="single" w:sz="4" w:space="0" w:color="auto"/>
              <w:bottom w:val="single" w:sz="4" w:space="0" w:color="auto"/>
              <w:right w:val="single" w:sz="4" w:space="0" w:color="auto"/>
            </w:tcBorders>
          </w:tcPr>
          <w:p w:rsidR="00B435EA" w:rsidRPr="00C860A4" w:rsidRDefault="00B435EA" w:rsidP="00FC05A7">
            <w:pPr>
              <w:widowControl w:val="0"/>
              <w:spacing w:line="276" w:lineRule="auto"/>
              <w:jc w:val="center"/>
              <w:rPr>
                <w:rFonts w:eastAsia="Times New Roman"/>
                <w:sz w:val="24"/>
                <w:szCs w:val="24"/>
                <w:lang w:eastAsia="ru-RU"/>
              </w:rPr>
            </w:pPr>
            <w:r w:rsidRPr="00C860A4">
              <w:rPr>
                <w:rFonts w:eastAsia="Times New Roman"/>
                <w:sz w:val="24"/>
                <w:szCs w:val="24"/>
                <w:lang w:eastAsia="ru-RU"/>
              </w:rPr>
              <w:t>6</w:t>
            </w:r>
          </w:p>
        </w:tc>
        <w:tc>
          <w:tcPr>
            <w:tcW w:w="851" w:type="dxa"/>
            <w:tcBorders>
              <w:top w:val="single" w:sz="4" w:space="0" w:color="auto"/>
              <w:left w:val="single" w:sz="4" w:space="0" w:color="auto"/>
              <w:bottom w:val="single" w:sz="4" w:space="0" w:color="auto"/>
              <w:right w:val="single" w:sz="4" w:space="0" w:color="auto"/>
            </w:tcBorders>
          </w:tcPr>
          <w:p w:rsidR="00B435EA" w:rsidRPr="00C860A4" w:rsidRDefault="00B435EA" w:rsidP="00FC05A7">
            <w:pPr>
              <w:widowControl w:val="0"/>
              <w:spacing w:line="276" w:lineRule="auto"/>
              <w:jc w:val="center"/>
              <w:rPr>
                <w:rFonts w:eastAsia="Times New Roman"/>
                <w:sz w:val="24"/>
                <w:szCs w:val="24"/>
                <w:lang w:eastAsia="ru-RU"/>
              </w:rPr>
            </w:pPr>
            <w:r w:rsidRPr="00C860A4">
              <w:rPr>
                <w:rFonts w:eastAsia="Times New Roman"/>
                <w:sz w:val="24"/>
                <w:szCs w:val="24"/>
                <w:lang w:eastAsia="ru-RU"/>
              </w:rPr>
              <w:t>*</w:t>
            </w:r>
          </w:p>
        </w:tc>
        <w:tc>
          <w:tcPr>
            <w:tcW w:w="850" w:type="dxa"/>
            <w:tcBorders>
              <w:top w:val="single" w:sz="4" w:space="0" w:color="auto"/>
              <w:left w:val="single" w:sz="4" w:space="0" w:color="auto"/>
              <w:bottom w:val="single" w:sz="4" w:space="0" w:color="auto"/>
              <w:right w:val="single" w:sz="4" w:space="0" w:color="auto"/>
            </w:tcBorders>
          </w:tcPr>
          <w:p w:rsidR="00B435EA" w:rsidRPr="00C860A4" w:rsidRDefault="00B435EA" w:rsidP="00FC05A7">
            <w:pPr>
              <w:widowControl w:val="0"/>
              <w:spacing w:line="276" w:lineRule="auto"/>
              <w:jc w:val="center"/>
              <w:rPr>
                <w:rFonts w:eastAsia="Times New Roman"/>
                <w:sz w:val="24"/>
                <w:szCs w:val="24"/>
                <w:lang w:eastAsia="ru-RU"/>
              </w:rPr>
            </w:pPr>
            <w:r w:rsidRPr="00C860A4">
              <w:rPr>
                <w:rFonts w:eastAsia="Times New Roman"/>
                <w:sz w:val="24"/>
                <w:szCs w:val="24"/>
                <w:lang w:eastAsia="ru-RU"/>
              </w:rPr>
              <w:t>2,99</w:t>
            </w:r>
          </w:p>
        </w:tc>
        <w:tc>
          <w:tcPr>
            <w:tcW w:w="851" w:type="dxa"/>
            <w:tcBorders>
              <w:top w:val="single" w:sz="4" w:space="0" w:color="auto"/>
              <w:left w:val="single" w:sz="4" w:space="0" w:color="auto"/>
              <w:bottom w:val="single" w:sz="4" w:space="0" w:color="auto"/>
              <w:right w:val="single" w:sz="4" w:space="0" w:color="auto"/>
            </w:tcBorders>
          </w:tcPr>
          <w:p w:rsidR="00B435EA" w:rsidRPr="00C860A4" w:rsidRDefault="00B435EA" w:rsidP="00FC05A7">
            <w:pPr>
              <w:widowControl w:val="0"/>
              <w:spacing w:line="276" w:lineRule="auto"/>
              <w:jc w:val="center"/>
              <w:rPr>
                <w:rFonts w:eastAsia="Times New Roman"/>
                <w:sz w:val="24"/>
                <w:szCs w:val="24"/>
                <w:lang w:eastAsia="ru-RU"/>
              </w:rPr>
            </w:pPr>
            <w:r w:rsidRPr="00C860A4">
              <w:rPr>
                <w:rFonts w:eastAsia="Times New Roman"/>
                <w:sz w:val="24"/>
                <w:szCs w:val="24"/>
                <w:lang w:eastAsia="ru-RU"/>
              </w:rPr>
              <w:t>*</w:t>
            </w:r>
          </w:p>
        </w:tc>
        <w:tc>
          <w:tcPr>
            <w:tcW w:w="843" w:type="dxa"/>
            <w:tcBorders>
              <w:top w:val="single" w:sz="4" w:space="0" w:color="auto"/>
              <w:left w:val="single" w:sz="4" w:space="0" w:color="auto"/>
              <w:bottom w:val="single" w:sz="4" w:space="0" w:color="auto"/>
              <w:right w:val="single" w:sz="4" w:space="0" w:color="auto"/>
            </w:tcBorders>
          </w:tcPr>
          <w:p w:rsidR="00B435EA" w:rsidRPr="00C860A4" w:rsidRDefault="00B435EA" w:rsidP="00FC05A7">
            <w:pPr>
              <w:widowControl w:val="0"/>
              <w:spacing w:line="276" w:lineRule="auto"/>
              <w:jc w:val="center"/>
              <w:rPr>
                <w:rFonts w:eastAsia="Times New Roman"/>
                <w:sz w:val="24"/>
                <w:szCs w:val="24"/>
                <w:lang w:eastAsia="ru-RU"/>
              </w:rPr>
            </w:pPr>
            <w:r w:rsidRPr="00C860A4">
              <w:rPr>
                <w:rFonts w:eastAsia="Times New Roman"/>
                <w:sz w:val="24"/>
                <w:szCs w:val="24"/>
                <w:lang w:eastAsia="ru-RU"/>
              </w:rPr>
              <w:t>5,42</w:t>
            </w:r>
          </w:p>
        </w:tc>
        <w:tc>
          <w:tcPr>
            <w:tcW w:w="716" w:type="dxa"/>
            <w:tcBorders>
              <w:top w:val="single" w:sz="4" w:space="0" w:color="auto"/>
              <w:left w:val="single" w:sz="4" w:space="0" w:color="auto"/>
              <w:bottom w:val="single" w:sz="4" w:space="0" w:color="auto"/>
              <w:right w:val="single" w:sz="4" w:space="0" w:color="auto"/>
            </w:tcBorders>
          </w:tcPr>
          <w:p w:rsidR="00B435EA" w:rsidRPr="00C860A4" w:rsidRDefault="00B435EA" w:rsidP="00FC05A7">
            <w:pPr>
              <w:widowControl w:val="0"/>
              <w:spacing w:line="276" w:lineRule="auto"/>
              <w:jc w:val="center"/>
              <w:rPr>
                <w:rFonts w:eastAsia="Times New Roman"/>
                <w:sz w:val="24"/>
                <w:szCs w:val="24"/>
                <w:lang w:eastAsia="ru-RU"/>
              </w:rPr>
            </w:pPr>
            <w:r w:rsidRPr="00C860A4">
              <w:rPr>
                <w:rFonts w:eastAsia="Times New Roman"/>
                <w:sz w:val="24"/>
                <w:szCs w:val="24"/>
                <w:lang w:eastAsia="ru-RU"/>
              </w:rPr>
              <w:t>*</w:t>
            </w:r>
          </w:p>
        </w:tc>
        <w:tc>
          <w:tcPr>
            <w:tcW w:w="850" w:type="dxa"/>
            <w:tcBorders>
              <w:top w:val="single" w:sz="4" w:space="0" w:color="auto"/>
              <w:left w:val="single" w:sz="4" w:space="0" w:color="auto"/>
              <w:bottom w:val="single" w:sz="4" w:space="0" w:color="auto"/>
              <w:right w:val="single" w:sz="4" w:space="0" w:color="auto"/>
            </w:tcBorders>
          </w:tcPr>
          <w:p w:rsidR="00B435EA" w:rsidRPr="00C860A4" w:rsidRDefault="00B435EA" w:rsidP="00FC05A7">
            <w:pPr>
              <w:widowControl w:val="0"/>
              <w:spacing w:line="276" w:lineRule="auto"/>
              <w:jc w:val="center"/>
              <w:rPr>
                <w:rFonts w:eastAsia="Times New Roman"/>
                <w:sz w:val="24"/>
                <w:szCs w:val="24"/>
                <w:lang w:eastAsia="ru-RU"/>
              </w:rPr>
            </w:pPr>
            <w:r w:rsidRPr="00C860A4">
              <w:rPr>
                <w:rFonts w:eastAsia="Times New Roman"/>
                <w:sz w:val="24"/>
                <w:szCs w:val="24"/>
                <w:lang w:eastAsia="ru-RU"/>
              </w:rPr>
              <w:t>0,90</w:t>
            </w:r>
          </w:p>
        </w:tc>
      </w:tr>
      <w:tr w:rsidR="00B435EA" w:rsidRPr="00C860A4" w:rsidTr="00D57943">
        <w:trPr>
          <w:trHeight w:val="418"/>
          <w:jc w:val="center"/>
        </w:trPr>
        <w:tc>
          <w:tcPr>
            <w:tcW w:w="2567" w:type="dxa"/>
            <w:tcBorders>
              <w:top w:val="single" w:sz="4" w:space="0" w:color="auto"/>
              <w:left w:val="single" w:sz="4" w:space="0" w:color="auto"/>
              <w:bottom w:val="single" w:sz="4" w:space="0" w:color="auto"/>
              <w:right w:val="single" w:sz="4" w:space="0" w:color="auto"/>
            </w:tcBorders>
          </w:tcPr>
          <w:p w:rsidR="00B435EA" w:rsidRPr="00C860A4" w:rsidRDefault="00B435EA" w:rsidP="00FC05A7">
            <w:pPr>
              <w:widowControl w:val="0"/>
              <w:spacing w:line="276" w:lineRule="auto"/>
              <w:rPr>
                <w:rFonts w:eastAsia="Times New Roman"/>
                <w:sz w:val="24"/>
                <w:szCs w:val="24"/>
                <w:lang w:eastAsia="ru-RU"/>
              </w:rPr>
            </w:pPr>
            <w:r w:rsidRPr="00C860A4">
              <w:rPr>
                <w:rFonts w:eastAsia="Times New Roman"/>
                <w:sz w:val="24"/>
                <w:szCs w:val="24"/>
                <w:lang w:eastAsia="ru-RU"/>
              </w:rPr>
              <w:t>Рівень материнської смертності</w:t>
            </w:r>
          </w:p>
        </w:tc>
        <w:tc>
          <w:tcPr>
            <w:tcW w:w="850" w:type="dxa"/>
            <w:tcBorders>
              <w:top w:val="single" w:sz="4" w:space="0" w:color="auto"/>
              <w:left w:val="single" w:sz="4" w:space="0" w:color="auto"/>
              <w:bottom w:val="single" w:sz="4" w:space="0" w:color="auto"/>
              <w:right w:val="single" w:sz="4" w:space="0" w:color="auto"/>
            </w:tcBorders>
          </w:tcPr>
          <w:p w:rsidR="00B435EA" w:rsidRPr="00C860A4" w:rsidRDefault="00B435EA" w:rsidP="00FC05A7">
            <w:pPr>
              <w:widowControl w:val="0"/>
              <w:spacing w:line="276" w:lineRule="auto"/>
              <w:jc w:val="center"/>
              <w:rPr>
                <w:rFonts w:eastAsia="Times New Roman"/>
                <w:sz w:val="24"/>
                <w:szCs w:val="24"/>
                <w:lang w:eastAsia="ru-RU"/>
              </w:rPr>
            </w:pPr>
            <w:r w:rsidRPr="00C860A4">
              <w:rPr>
                <w:rFonts w:eastAsia="Times New Roman"/>
                <w:sz w:val="24"/>
                <w:szCs w:val="24"/>
                <w:lang w:eastAsia="ru-RU"/>
              </w:rPr>
              <w:t>11</w:t>
            </w:r>
          </w:p>
        </w:tc>
        <w:tc>
          <w:tcPr>
            <w:tcW w:w="993" w:type="dxa"/>
            <w:tcBorders>
              <w:top w:val="single" w:sz="4" w:space="0" w:color="auto"/>
              <w:left w:val="single" w:sz="4" w:space="0" w:color="auto"/>
              <w:bottom w:val="single" w:sz="4" w:space="0" w:color="auto"/>
              <w:right w:val="single" w:sz="4" w:space="0" w:color="auto"/>
            </w:tcBorders>
          </w:tcPr>
          <w:p w:rsidR="00B435EA" w:rsidRPr="00C860A4" w:rsidRDefault="00B435EA" w:rsidP="00FC05A7">
            <w:pPr>
              <w:widowControl w:val="0"/>
              <w:spacing w:line="276" w:lineRule="auto"/>
              <w:jc w:val="center"/>
              <w:rPr>
                <w:rFonts w:eastAsia="Times New Roman"/>
                <w:sz w:val="24"/>
                <w:szCs w:val="24"/>
                <w:lang w:eastAsia="ru-RU"/>
              </w:rPr>
            </w:pPr>
            <w:r w:rsidRPr="00C860A4">
              <w:rPr>
                <w:rFonts w:eastAsia="Times New Roman"/>
                <w:sz w:val="24"/>
                <w:szCs w:val="24"/>
                <w:lang w:eastAsia="ru-RU"/>
              </w:rPr>
              <w:t>11</w:t>
            </w:r>
          </w:p>
        </w:tc>
        <w:tc>
          <w:tcPr>
            <w:tcW w:w="850" w:type="dxa"/>
            <w:tcBorders>
              <w:top w:val="single" w:sz="4" w:space="0" w:color="auto"/>
              <w:left w:val="single" w:sz="4" w:space="0" w:color="auto"/>
              <w:bottom w:val="single" w:sz="4" w:space="0" w:color="auto"/>
              <w:right w:val="single" w:sz="4" w:space="0" w:color="auto"/>
            </w:tcBorders>
          </w:tcPr>
          <w:p w:rsidR="00B435EA" w:rsidRPr="00C860A4" w:rsidRDefault="00B435EA" w:rsidP="00FC05A7">
            <w:pPr>
              <w:widowControl w:val="0"/>
              <w:spacing w:line="276" w:lineRule="auto"/>
              <w:jc w:val="center"/>
              <w:rPr>
                <w:rFonts w:eastAsia="Times New Roman"/>
                <w:sz w:val="24"/>
                <w:szCs w:val="24"/>
                <w:lang w:eastAsia="ru-RU"/>
              </w:rPr>
            </w:pPr>
            <w:r w:rsidRPr="00C860A4">
              <w:rPr>
                <w:rFonts w:eastAsia="Times New Roman"/>
                <w:sz w:val="24"/>
                <w:szCs w:val="24"/>
                <w:lang w:eastAsia="ru-RU"/>
              </w:rPr>
              <w:t>5</w:t>
            </w:r>
          </w:p>
        </w:tc>
        <w:tc>
          <w:tcPr>
            <w:tcW w:w="851" w:type="dxa"/>
            <w:tcBorders>
              <w:top w:val="single" w:sz="4" w:space="0" w:color="auto"/>
              <w:left w:val="single" w:sz="4" w:space="0" w:color="auto"/>
              <w:bottom w:val="single" w:sz="4" w:space="0" w:color="auto"/>
              <w:right w:val="single" w:sz="4" w:space="0" w:color="auto"/>
            </w:tcBorders>
          </w:tcPr>
          <w:p w:rsidR="00B435EA" w:rsidRPr="00C860A4" w:rsidRDefault="00B435EA" w:rsidP="00FC05A7">
            <w:pPr>
              <w:widowControl w:val="0"/>
              <w:spacing w:line="276" w:lineRule="auto"/>
              <w:jc w:val="center"/>
              <w:rPr>
                <w:rFonts w:eastAsia="Times New Roman"/>
                <w:sz w:val="24"/>
                <w:szCs w:val="24"/>
                <w:lang w:eastAsia="ru-RU"/>
              </w:rPr>
            </w:pPr>
            <w:r w:rsidRPr="00C860A4">
              <w:rPr>
                <w:rFonts w:eastAsia="Times New Roman"/>
                <w:sz w:val="24"/>
                <w:szCs w:val="24"/>
                <w:lang w:eastAsia="ru-RU"/>
              </w:rPr>
              <w:t>8,2</w:t>
            </w:r>
          </w:p>
        </w:tc>
        <w:tc>
          <w:tcPr>
            <w:tcW w:w="850" w:type="dxa"/>
            <w:tcBorders>
              <w:top w:val="single" w:sz="4" w:space="0" w:color="auto"/>
              <w:left w:val="single" w:sz="4" w:space="0" w:color="auto"/>
              <w:bottom w:val="single" w:sz="4" w:space="0" w:color="auto"/>
              <w:right w:val="single" w:sz="4" w:space="0" w:color="auto"/>
            </w:tcBorders>
          </w:tcPr>
          <w:p w:rsidR="00B435EA" w:rsidRPr="00C860A4" w:rsidRDefault="00B435EA" w:rsidP="00FC05A7">
            <w:pPr>
              <w:widowControl w:val="0"/>
              <w:spacing w:line="276" w:lineRule="auto"/>
              <w:jc w:val="center"/>
              <w:rPr>
                <w:rFonts w:eastAsia="Times New Roman"/>
                <w:sz w:val="24"/>
                <w:szCs w:val="24"/>
                <w:lang w:eastAsia="ru-RU"/>
              </w:rPr>
            </w:pPr>
            <w:r w:rsidRPr="00C860A4">
              <w:rPr>
                <w:rFonts w:eastAsia="Times New Roman"/>
                <w:sz w:val="24"/>
                <w:szCs w:val="24"/>
                <w:lang w:eastAsia="ru-RU"/>
              </w:rPr>
              <w:t>12,5</w:t>
            </w:r>
          </w:p>
        </w:tc>
        <w:tc>
          <w:tcPr>
            <w:tcW w:w="851" w:type="dxa"/>
            <w:tcBorders>
              <w:top w:val="single" w:sz="4" w:space="0" w:color="auto"/>
              <w:left w:val="single" w:sz="4" w:space="0" w:color="auto"/>
              <w:bottom w:val="single" w:sz="4" w:space="0" w:color="auto"/>
              <w:right w:val="single" w:sz="4" w:space="0" w:color="auto"/>
            </w:tcBorders>
          </w:tcPr>
          <w:p w:rsidR="00B435EA" w:rsidRPr="00C860A4" w:rsidRDefault="00B435EA" w:rsidP="00FC05A7">
            <w:pPr>
              <w:widowControl w:val="0"/>
              <w:spacing w:line="276" w:lineRule="auto"/>
              <w:jc w:val="center"/>
              <w:rPr>
                <w:rFonts w:eastAsia="Times New Roman"/>
                <w:sz w:val="24"/>
                <w:szCs w:val="24"/>
                <w:lang w:eastAsia="ru-RU"/>
              </w:rPr>
            </w:pPr>
            <w:r w:rsidRPr="00C860A4">
              <w:rPr>
                <w:rFonts w:eastAsia="Times New Roman"/>
                <w:sz w:val="24"/>
                <w:szCs w:val="24"/>
                <w:lang w:eastAsia="ru-RU"/>
              </w:rPr>
              <w:t>5,00</w:t>
            </w:r>
          </w:p>
        </w:tc>
        <w:tc>
          <w:tcPr>
            <w:tcW w:w="843" w:type="dxa"/>
            <w:tcBorders>
              <w:top w:val="single" w:sz="4" w:space="0" w:color="auto"/>
              <w:left w:val="single" w:sz="4" w:space="0" w:color="auto"/>
              <w:bottom w:val="single" w:sz="4" w:space="0" w:color="auto"/>
              <w:right w:val="single" w:sz="4" w:space="0" w:color="auto"/>
            </w:tcBorders>
          </w:tcPr>
          <w:p w:rsidR="00B435EA" w:rsidRPr="00C860A4" w:rsidRDefault="00B435EA" w:rsidP="00FC05A7">
            <w:pPr>
              <w:widowControl w:val="0"/>
              <w:spacing w:line="276" w:lineRule="auto"/>
              <w:jc w:val="center"/>
              <w:rPr>
                <w:rFonts w:eastAsia="Times New Roman"/>
                <w:sz w:val="24"/>
                <w:szCs w:val="24"/>
                <w:lang w:eastAsia="ru-RU"/>
              </w:rPr>
            </w:pPr>
            <w:r w:rsidRPr="00C860A4">
              <w:rPr>
                <w:rFonts w:eastAsia="Times New Roman"/>
                <w:sz w:val="24"/>
                <w:szCs w:val="24"/>
                <w:lang w:eastAsia="ru-RU"/>
              </w:rPr>
              <w:t>4,33</w:t>
            </w:r>
          </w:p>
        </w:tc>
        <w:tc>
          <w:tcPr>
            <w:tcW w:w="716" w:type="dxa"/>
            <w:tcBorders>
              <w:top w:val="single" w:sz="4" w:space="0" w:color="auto"/>
              <w:left w:val="single" w:sz="4" w:space="0" w:color="auto"/>
              <w:bottom w:val="single" w:sz="4" w:space="0" w:color="auto"/>
              <w:right w:val="single" w:sz="4" w:space="0" w:color="auto"/>
            </w:tcBorders>
          </w:tcPr>
          <w:p w:rsidR="00B435EA" w:rsidRPr="00C860A4" w:rsidRDefault="00B435EA" w:rsidP="00FC05A7">
            <w:pPr>
              <w:widowControl w:val="0"/>
              <w:spacing w:line="276" w:lineRule="auto"/>
              <w:jc w:val="center"/>
              <w:rPr>
                <w:rFonts w:eastAsia="Times New Roman"/>
                <w:sz w:val="24"/>
                <w:szCs w:val="24"/>
                <w:lang w:eastAsia="ru-RU"/>
              </w:rPr>
            </w:pPr>
            <w:r w:rsidRPr="00C860A4">
              <w:rPr>
                <w:rFonts w:eastAsia="Times New Roman"/>
                <w:sz w:val="24"/>
                <w:szCs w:val="24"/>
                <w:lang w:eastAsia="ru-RU"/>
              </w:rPr>
              <w:t>1,00</w:t>
            </w:r>
          </w:p>
        </w:tc>
        <w:tc>
          <w:tcPr>
            <w:tcW w:w="850" w:type="dxa"/>
            <w:tcBorders>
              <w:top w:val="single" w:sz="4" w:space="0" w:color="auto"/>
              <w:left w:val="single" w:sz="4" w:space="0" w:color="auto"/>
              <w:bottom w:val="single" w:sz="4" w:space="0" w:color="auto"/>
              <w:right w:val="single" w:sz="4" w:space="0" w:color="auto"/>
            </w:tcBorders>
          </w:tcPr>
          <w:p w:rsidR="00B435EA" w:rsidRPr="00C860A4" w:rsidRDefault="00B435EA" w:rsidP="00FC05A7">
            <w:pPr>
              <w:widowControl w:val="0"/>
              <w:spacing w:line="276" w:lineRule="auto"/>
              <w:jc w:val="center"/>
              <w:rPr>
                <w:rFonts w:eastAsia="Times New Roman"/>
                <w:sz w:val="24"/>
                <w:szCs w:val="24"/>
                <w:lang w:eastAsia="ru-RU"/>
              </w:rPr>
            </w:pPr>
            <w:r w:rsidRPr="00C860A4">
              <w:rPr>
                <w:rFonts w:eastAsia="Times New Roman"/>
                <w:sz w:val="24"/>
                <w:szCs w:val="24"/>
                <w:lang w:eastAsia="ru-RU"/>
              </w:rPr>
              <w:t>0,87</w:t>
            </w:r>
          </w:p>
        </w:tc>
      </w:tr>
      <w:tr w:rsidR="00B435EA" w:rsidRPr="00C860A4" w:rsidTr="00D57943">
        <w:trPr>
          <w:trHeight w:val="418"/>
          <w:jc w:val="center"/>
        </w:trPr>
        <w:tc>
          <w:tcPr>
            <w:tcW w:w="2567" w:type="dxa"/>
            <w:tcBorders>
              <w:top w:val="single" w:sz="4" w:space="0" w:color="auto"/>
              <w:left w:val="single" w:sz="4" w:space="0" w:color="auto"/>
              <w:bottom w:val="single" w:sz="4" w:space="0" w:color="auto"/>
              <w:right w:val="single" w:sz="4" w:space="0" w:color="auto"/>
            </w:tcBorders>
          </w:tcPr>
          <w:p w:rsidR="00B435EA" w:rsidRPr="00C860A4" w:rsidRDefault="00B435EA" w:rsidP="00FC05A7">
            <w:pPr>
              <w:widowControl w:val="0"/>
              <w:spacing w:line="276" w:lineRule="auto"/>
              <w:rPr>
                <w:rFonts w:eastAsia="Times New Roman"/>
                <w:sz w:val="24"/>
                <w:szCs w:val="24"/>
                <w:lang w:eastAsia="ru-RU"/>
              </w:rPr>
            </w:pPr>
            <w:r w:rsidRPr="00C860A4">
              <w:rPr>
                <w:rFonts w:eastAsia="Times New Roman"/>
                <w:sz w:val="24"/>
                <w:szCs w:val="24"/>
                <w:lang w:eastAsia="ru-RU"/>
              </w:rPr>
              <w:t>Сума балів</w:t>
            </w:r>
          </w:p>
        </w:tc>
        <w:tc>
          <w:tcPr>
            <w:tcW w:w="850" w:type="dxa"/>
            <w:tcBorders>
              <w:top w:val="single" w:sz="4" w:space="0" w:color="auto"/>
              <w:left w:val="single" w:sz="4" w:space="0" w:color="auto"/>
              <w:bottom w:val="single" w:sz="4" w:space="0" w:color="auto"/>
              <w:right w:val="single" w:sz="4" w:space="0" w:color="auto"/>
            </w:tcBorders>
          </w:tcPr>
          <w:p w:rsidR="00B435EA" w:rsidRPr="00C860A4" w:rsidRDefault="00B435EA" w:rsidP="00FC05A7">
            <w:pPr>
              <w:widowControl w:val="0"/>
              <w:spacing w:line="276" w:lineRule="auto"/>
              <w:jc w:val="center"/>
              <w:rPr>
                <w:rFonts w:eastAsia="Times New Roman"/>
                <w:sz w:val="24"/>
                <w:szCs w:val="24"/>
                <w:lang w:eastAsia="ru-RU"/>
              </w:rPr>
            </w:pPr>
          </w:p>
        </w:tc>
        <w:tc>
          <w:tcPr>
            <w:tcW w:w="993" w:type="dxa"/>
            <w:tcBorders>
              <w:top w:val="single" w:sz="4" w:space="0" w:color="auto"/>
              <w:left w:val="single" w:sz="4" w:space="0" w:color="auto"/>
              <w:bottom w:val="single" w:sz="4" w:space="0" w:color="auto"/>
              <w:right w:val="single" w:sz="4" w:space="0" w:color="auto"/>
            </w:tcBorders>
          </w:tcPr>
          <w:p w:rsidR="00B435EA" w:rsidRPr="00C860A4" w:rsidRDefault="00B435EA" w:rsidP="00FC05A7">
            <w:pPr>
              <w:widowControl w:val="0"/>
              <w:spacing w:line="276" w:lineRule="auto"/>
              <w:jc w:val="center"/>
              <w:rPr>
                <w:rFonts w:eastAsia="Times New Roman"/>
                <w:sz w:val="24"/>
                <w:szCs w:val="24"/>
                <w:lang w:eastAsia="ru-RU"/>
              </w:rPr>
            </w:pPr>
          </w:p>
        </w:tc>
        <w:tc>
          <w:tcPr>
            <w:tcW w:w="850" w:type="dxa"/>
            <w:tcBorders>
              <w:top w:val="single" w:sz="4" w:space="0" w:color="auto"/>
              <w:left w:val="single" w:sz="4" w:space="0" w:color="auto"/>
              <w:bottom w:val="single" w:sz="4" w:space="0" w:color="auto"/>
              <w:right w:val="single" w:sz="4" w:space="0" w:color="auto"/>
            </w:tcBorders>
          </w:tcPr>
          <w:p w:rsidR="00B435EA" w:rsidRPr="00C860A4" w:rsidRDefault="00B435EA" w:rsidP="00FC05A7">
            <w:pPr>
              <w:widowControl w:val="0"/>
              <w:spacing w:line="276" w:lineRule="auto"/>
              <w:jc w:val="center"/>
              <w:rPr>
                <w:rFonts w:eastAsia="Times New Roman"/>
                <w:sz w:val="24"/>
                <w:szCs w:val="24"/>
                <w:lang w:eastAsia="ru-RU"/>
              </w:rPr>
            </w:pPr>
          </w:p>
        </w:tc>
        <w:tc>
          <w:tcPr>
            <w:tcW w:w="851" w:type="dxa"/>
            <w:tcBorders>
              <w:top w:val="single" w:sz="4" w:space="0" w:color="auto"/>
              <w:left w:val="single" w:sz="4" w:space="0" w:color="auto"/>
              <w:bottom w:val="single" w:sz="4" w:space="0" w:color="auto"/>
              <w:right w:val="single" w:sz="4" w:space="0" w:color="auto"/>
            </w:tcBorders>
          </w:tcPr>
          <w:p w:rsidR="00B435EA" w:rsidRPr="00C860A4" w:rsidRDefault="00B435EA" w:rsidP="00FC05A7">
            <w:pPr>
              <w:widowControl w:val="0"/>
              <w:spacing w:line="276" w:lineRule="auto"/>
              <w:jc w:val="center"/>
              <w:rPr>
                <w:rFonts w:eastAsia="Times New Roman"/>
                <w:sz w:val="24"/>
                <w:szCs w:val="24"/>
                <w:lang w:eastAsia="ru-RU"/>
              </w:rPr>
            </w:pPr>
          </w:p>
        </w:tc>
        <w:tc>
          <w:tcPr>
            <w:tcW w:w="850" w:type="dxa"/>
            <w:tcBorders>
              <w:top w:val="single" w:sz="4" w:space="0" w:color="auto"/>
              <w:left w:val="single" w:sz="4" w:space="0" w:color="auto"/>
              <w:bottom w:val="single" w:sz="4" w:space="0" w:color="auto"/>
              <w:right w:val="single" w:sz="4" w:space="0" w:color="auto"/>
            </w:tcBorders>
          </w:tcPr>
          <w:p w:rsidR="00B435EA" w:rsidRPr="00C860A4" w:rsidRDefault="00B435EA" w:rsidP="00FC05A7">
            <w:pPr>
              <w:widowControl w:val="0"/>
              <w:spacing w:line="276" w:lineRule="auto"/>
              <w:jc w:val="center"/>
              <w:rPr>
                <w:rFonts w:eastAsia="Times New Roman"/>
                <w:sz w:val="24"/>
                <w:szCs w:val="24"/>
                <w:lang w:eastAsia="ru-RU"/>
              </w:rPr>
            </w:pPr>
          </w:p>
        </w:tc>
        <w:tc>
          <w:tcPr>
            <w:tcW w:w="851" w:type="dxa"/>
            <w:tcBorders>
              <w:top w:val="single" w:sz="4" w:space="0" w:color="auto"/>
              <w:left w:val="single" w:sz="4" w:space="0" w:color="auto"/>
              <w:bottom w:val="single" w:sz="4" w:space="0" w:color="auto"/>
              <w:right w:val="single" w:sz="4" w:space="0" w:color="auto"/>
            </w:tcBorders>
          </w:tcPr>
          <w:p w:rsidR="00B435EA" w:rsidRPr="00C860A4" w:rsidRDefault="00B435EA" w:rsidP="00FC05A7">
            <w:pPr>
              <w:widowControl w:val="0"/>
              <w:spacing w:line="276" w:lineRule="auto"/>
              <w:jc w:val="center"/>
              <w:rPr>
                <w:rFonts w:eastAsia="Times New Roman"/>
                <w:sz w:val="24"/>
                <w:szCs w:val="24"/>
                <w:lang w:eastAsia="ru-RU"/>
              </w:rPr>
            </w:pPr>
            <w:r w:rsidRPr="00C860A4">
              <w:rPr>
                <w:rFonts w:eastAsia="Times New Roman"/>
                <w:sz w:val="24"/>
                <w:szCs w:val="24"/>
                <w:lang w:eastAsia="ru-RU"/>
              </w:rPr>
              <w:t>92,84</w:t>
            </w:r>
          </w:p>
        </w:tc>
        <w:tc>
          <w:tcPr>
            <w:tcW w:w="843" w:type="dxa"/>
            <w:tcBorders>
              <w:top w:val="single" w:sz="4" w:space="0" w:color="auto"/>
              <w:left w:val="single" w:sz="4" w:space="0" w:color="auto"/>
              <w:bottom w:val="single" w:sz="4" w:space="0" w:color="auto"/>
              <w:right w:val="single" w:sz="4" w:space="0" w:color="auto"/>
            </w:tcBorders>
          </w:tcPr>
          <w:p w:rsidR="00B435EA" w:rsidRPr="00C860A4" w:rsidRDefault="00B435EA" w:rsidP="00FC05A7">
            <w:pPr>
              <w:widowControl w:val="0"/>
              <w:spacing w:line="276" w:lineRule="auto"/>
              <w:jc w:val="center"/>
              <w:rPr>
                <w:rFonts w:eastAsia="Times New Roman"/>
                <w:sz w:val="24"/>
                <w:szCs w:val="24"/>
                <w:lang w:eastAsia="ru-RU"/>
              </w:rPr>
            </w:pPr>
            <w:r w:rsidRPr="00C860A4">
              <w:rPr>
                <w:rFonts w:eastAsia="Times New Roman"/>
                <w:sz w:val="24"/>
                <w:szCs w:val="24"/>
                <w:lang w:eastAsia="ru-RU"/>
              </w:rPr>
              <w:t>111,3</w:t>
            </w:r>
          </w:p>
        </w:tc>
        <w:tc>
          <w:tcPr>
            <w:tcW w:w="716" w:type="dxa"/>
            <w:tcBorders>
              <w:top w:val="single" w:sz="4" w:space="0" w:color="auto"/>
              <w:left w:val="single" w:sz="4" w:space="0" w:color="auto"/>
              <w:bottom w:val="single" w:sz="4" w:space="0" w:color="auto"/>
              <w:right w:val="single" w:sz="4" w:space="0" w:color="auto"/>
            </w:tcBorders>
          </w:tcPr>
          <w:p w:rsidR="00B435EA" w:rsidRPr="00C860A4" w:rsidRDefault="00B435EA" w:rsidP="00FC05A7">
            <w:pPr>
              <w:widowControl w:val="0"/>
              <w:spacing w:line="276" w:lineRule="auto"/>
              <w:jc w:val="center"/>
              <w:rPr>
                <w:rFonts w:eastAsia="Times New Roman"/>
                <w:sz w:val="24"/>
                <w:szCs w:val="24"/>
                <w:lang w:eastAsia="ru-RU"/>
              </w:rPr>
            </w:pPr>
            <w:r w:rsidRPr="00C860A4">
              <w:rPr>
                <w:rFonts w:eastAsia="Times New Roman"/>
                <w:sz w:val="24"/>
                <w:szCs w:val="24"/>
                <w:lang w:eastAsia="ru-RU"/>
              </w:rPr>
              <w:t>0,77</w:t>
            </w:r>
          </w:p>
        </w:tc>
        <w:tc>
          <w:tcPr>
            <w:tcW w:w="850" w:type="dxa"/>
            <w:tcBorders>
              <w:top w:val="single" w:sz="4" w:space="0" w:color="auto"/>
              <w:left w:val="single" w:sz="4" w:space="0" w:color="auto"/>
              <w:bottom w:val="single" w:sz="4" w:space="0" w:color="auto"/>
              <w:right w:val="single" w:sz="4" w:space="0" w:color="auto"/>
            </w:tcBorders>
          </w:tcPr>
          <w:p w:rsidR="00B435EA" w:rsidRPr="00C860A4" w:rsidRDefault="00B435EA" w:rsidP="00FC05A7">
            <w:pPr>
              <w:widowControl w:val="0"/>
              <w:spacing w:line="276" w:lineRule="auto"/>
              <w:jc w:val="center"/>
              <w:rPr>
                <w:rFonts w:eastAsia="Times New Roman"/>
                <w:sz w:val="24"/>
                <w:szCs w:val="24"/>
                <w:lang w:eastAsia="ru-RU"/>
              </w:rPr>
            </w:pPr>
            <w:r w:rsidRPr="00C860A4">
              <w:rPr>
                <w:rFonts w:eastAsia="Times New Roman"/>
                <w:sz w:val="24"/>
                <w:szCs w:val="24"/>
                <w:lang w:eastAsia="ru-RU"/>
              </w:rPr>
              <w:t>0,86</w:t>
            </w:r>
          </w:p>
        </w:tc>
      </w:tr>
    </w:tbl>
    <w:p w:rsidR="003B67F9" w:rsidRPr="00F159BE" w:rsidRDefault="003B67F9" w:rsidP="00721203">
      <w:pPr>
        <w:widowControl w:val="0"/>
        <w:spacing w:line="240" w:lineRule="auto"/>
        <w:rPr>
          <w:rFonts w:eastAsia="Times New Roman"/>
          <w:sz w:val="22"/>
        </w:rPr>
      </w:pPr>
      <w:r w:rsidRPr="00F159BE">
        <w:rPr>
          <w:rFonts w:eastAsia="Times New Roman"/>
          <w:sz w:val="22"/>
          <w:lang w:eastAsia="ru-RU"/>
        </w:rPr>
        <w:t>* – показник не оцінювався</w:t>
      </w:r>
      <w:r w:rsidRPr="00F159BE">
        <w:rPr>
          <w:rFonts w:eastAsia="Times New Roman"/>
          <w:sz w:val="22"/>
        </w:rPr>
        <w:t xml:space="preserve">; </w:t>
      </w:r>
      <w:r w:rsidRPr="00F159BE">
        <w:rPr>
          <w:rFonts w:eastAsia="Times New Roman"/>
          <w:sz w:val="22"/>
          <w:lang w:eastAsia="ru-RU"/>
        </w:rPr>
        <w:t>** – немає даних</w:t>
      </w:r>
    </w:p>
    <w:p w:rsidR="003B67F9" w:rsidRPr="00006A39" w:rsidRDefault="003B67F9" w:rsidP="00721203">
      <w:pPr>
        <w:widowControl w:val="0"/>
        <w:spacing w:line="240" w:lineRule="auto"/>
        <w:rPr>
          <w:rFonts w:eastAsia="Times New Roman"/>
          <w:szCs w:val="28"/>
          <w:lang w:eastAsia="ru-RU"/>
        </w:rPr>
      </w:pPr>
    </w:p>
    <w:p w:rsidR="003B67F9" w:rsidRPr="00320023" w:rsidRDefault="003B67F9" w:rsidP="00320023">
      <w:pPr>
        <w:widowControl w:val="0"/>
        <w:ind w:firstLine="709"/>
        <w:rPr>
          <w:rFonts w:eastAsia="Times New Roman"/>
          <w:color w:val="5F497A"/>
          <w:szCs w:val="28"/>
          <w:lang w:eastAsia="uk-UA"/>
        </w:rPr>
      </w:pPr>
      <w:r w:rsidRPr="00006A39">
        <w:rPr>
          <w:rFonts w:eastAsia="Times New Roman"/>
          <w:szCs w:val="28"/>
          <w:lang w:eastAsia="ru-RU"/>
        </w:rPr>
        <w:t xml:space="preserve">За результатами проведених розрахунків, модель комплексної оцінки діяльності закладів перинатальної допомоги України за 2017 р. включає 19 показників: показники забезпеченості ЗПД лікарями акушер-гінекологами і педіатрами-неонатологами, діяльності за даними своєчасності постановки вагітних на облік, частоти анемій, </w:t>
      </w:r>
      <w:r w:rsidRPr="00006A39">
        <w:rPr>
          <w:rFonts w:eastAsia="Times New Roman"/>
          <w:szCs w:val="28"/>
          <w:lang w:eastAsia="uk-UA"/>
        </w:rPr>
        <w:t xml:space="preserve">прееклампсій та еклампсій вагітних, співвідношення безпечних методів абортів до небезпечних, частоти нормальних пологів, розроджень вагітних шляхом кесаревого розтину та забезпечення доступності пацієнток до спеціалізованої і високоспеціалізованої перинатальної допомоги за даними індексів концентрації розроджень вагітних з цукровим діабетом у ЗПД ІІІ рівня, прееклампсією і еклампсією у ЗПД ІІ-ІІІ рівня, новонароджених з дуже малою масою тіла при народженні у ЗПД ІІІ рівня. Показники результативності діяльності ЗПД включали частоту кровотеч в послідовому і післяродовому періодах, </w:t>
      </w:r>
      <w:r w:rsidRPr="00006A39">
        <w:rPr>
          <w:rFonts w:eastAsia="Times New Roman"/>
          <w:szCs w:val="28"/>
          <w:lang w:eastAsia="uk-UA"/>
        </w:rPr>
        <w:lastRenderedPageBreak/>
        <w:t>маловагових новонароджених, виживання новонароджених з дуже малою масою тіла при народженні, індекс здоров’я новонароджених, рівні перинатальної, неонаталь</w:t>
      </w:r>
      <w:r w:rsidR="00377E98">
        <w:rPr>
          <w:rFonts w:eastAsia="Times New Roman"/>
          <w:szCs w:val="28"/>
          <w:lang w:eastAsia="uk-UA"/>
        </w:rPr>
        <w:t>ної і материнської смертності. Із</w:t>
      </w:r>
      <w:r w:rsidRPr="00006A39">
        <w:rPr>
          <w:rFonts w:eastAsia="Times New Roman"/>
          <w:szCs w:val="28"/>
          <w:lang w:eastAsia="uk-UA"/>
        </w:rPr>
        <w:t xml:space="preserve"> МКО пери</w:t>
      </w:r>
      <w:r w:rsidR="00377E98">
        <w:rPr>
          <w:rFonts w:eastAsia="Times New Roman"/>
          <w:szCs w:val="28"/>
          <w:lang w:eastAsia="uk-UA"/>
        </w:rPr>
        <w:t>натальної допомоги за 2018 рік у</w:t>
      </w:r>
      <w:r w:rsidRPr="00006A39">
        <w:rPr>
          <w:rFonts w:eastAsia="Times New Roman"/>
          <w:szCs w:val="28"/>
          <w:lang w:eastAsia="uk-UA"/>
        </w:rPr>
        <w:t xml:space="preserve"> зв’язку </w:t>
      </w:r>
      <w:r w:rsidR="00377E98">
        <w:rPr>
          <w:rFonts w:eastAsia="Times New Roman"/>
          <w:szCs w:val="28"/>
          <w:lang w:eastAsia="uk-UA"/>
        </w:rPr>
        <w:t>і</w:t>
      </w:r>
      <w:r w:rsidRPr="00006A39">
        <w:rPr>
          <w:rFonts w:eastAsia="Times New Roman"/>
          <w:szCs w:val="28"/>
          <w:lang w:eastAsia="uk-UA"/>
        </w:rPr>
        <w:t>з відміною моніторингу і оцінки регіоналізації перинатальної допомоги виключено дані індексів концентрації розроджень вагітних з цукровим д</w:t>
      </w:r>
      <w:r w:rsidR="009C36AF">
        <w:rPr>
          <w:rFonts w:eastAsia="Times New Roman"/>
          <w:szCs w:val="28"/>
          <w:lang w:eastAsia="uk-UA"/>
        </w:rPr>
        <w:t>іабетом, еклампсією і пре</w:t>
      </w:r>
      <w:r w:rsidRPr="00006A39">
        <w:rPr>
          <w:rFonts w:eastAsia="Times New Roman"/>
          <w:szCs w:val="28"/>
          <w:lang w:eastAsia="uk-UA"/>
        </w:rPr>
        <w:t xml:space="preserve">еклампсією, новонароджених </w:t>
      </w:r>
      <w:r w:rsidR="009228D6">
        <w:rPr>
          <w:rFonts w:eastAsia="Times New Roman"/>
          <w:szCs w:val="28"/>
          <w:lang w:eastAsia="uk-UA"/>
        </w:rPr>
        <w:t>і</w:t>
      </w:r>
      <w:r w:rsidRPr="00006A39">
        <w:rPr>
          <w:rFonts w:eastAsia="Times New Roman"/>
          <w:szCs w:val="28"/>
          <w:lang w:eastAsia="uk-UA"/>
        </w:rPr>
        <w:t>з дуже малою масою тіла при народженні у ЗПД відповідного рівня та введено дані охоплення атестацією акушер-гінекологів і неонатологів, раннього виявлення злоякісних новоутворень молочної залози і шийки матки</w:t>
      </w:r>
      <w:r w:rsidR="009228D6">
        <w:rPr>
          <w:rFonts w:eastAsia="Times New Roman"/>
          <w:szCs w:val="28"/>
          <w:lang w:eastAsia="uk-UA"/>
        </w:rPr>
        <w:t>,</w:t>
      </w:r>
      <w:r w:rsidRPr="00006A39">
        <w:rPr>
          <w:rFonts w:eastAsia="Times New Roman"/>
          <w:szCs w:val="28"/>
          <w:lang w:eastAsia="uk-UA"/>
        </w:rPr>
        <w:t xml:space="preserve"> достовірності реєстрації ранньої неонатальної смертності за даними співвідношення її реального і фактичного показників. В цілому МКО </w:t>
      </w:r>
      <w:r w:rsidRPr="00006A39">
        <w:rPr>
          <w:rFonts w:eastAsia="Times New Roman"/>
          <w:szCs w:val="28"/>
          <w:lang w:eastAsia="ru-RU"/>
        </w:rPr>
        <w:t>діяльності закладів перинатальної допомоги України за 2018 р</w:t>
      </w:r>
      <w:r w:rsidR="002E2A40">
        <w:rPr>
          <w:rFonts w:eastAsia="Times New Roman"/>
          <w:szCs w:val="28"/>
          <w:lang w:eastAsia="ru-RU"/>
        </w:rPr>
        <w:t>. включала</w:t>
      </w:r>
      <w:r w:rsidR="00320023">
        <w:rPr>
          <w:rFonts w:eastAsia="Times New Roman"/>
          <w:szCs w:val="28"/>
          <w:lang w:eastAsia="ru-RU"/>
        </w:rPr>
        <w:t xml:space="preserve"> 21 показник</w:t>
      </w:r>
      <w:r w:rsidR="00320023">
        <w:rPr>
          <w:rFonts w:eastAsia="Times New Roman"/>
          <w:szCs w:val="28"/>
          <w:lang w:val="ru-RU" w:eastAsia="ru-RU"/>
        </w:rPr>
        <w:t>.</w:t>
      </w:r>
      <w:r w:rsidR="00320023">
        <w:rPr>
          <w:rFonts w:eastAsia="Times New Roman"/>
          <w:color w:val="5F497A"/>
          <w:szCs w:val="28"/>
          <w:lang w:val="ru-RU" w:eastAsia="uk-UA"/>
        </w:rPr>
        <w:t xml:space="preserve"> </w:t>
      </w:r>
      <w:r w:rsidR="00893B76">
        <w:rPr>
          <w:rFonts w:eastAsia="Times New Roman"/>
          <w:szCs w:val="28"/>
          <w:lang w:eastAsia="uk-UA"/>
        </w:rPr>
        <w:t xml:space="preserve">За даними, проведеного </w:t>
      </w:r>
      <w:r w:rsidRPr="00006A39">
        <w:rPr>
          <w:rFonts w:eastAsia="Times New Roman"/>
          <w:szCs w:val="28"/>
          <w:lang w:eastAsia="uk-UA"/>
        </w:rPr>
        <w:t>за адаптованою методикою МКР, аналізу комплексної оцінки діяльності перинатальної служби України у 2017 році</w:t>
      </w:r>
      <w:r w:rsidRPr="00006A39">
        <w:rPr>
          <w:rFonts w:eastAsia="Times New Roman"/>
          <w:szCs w:val="28"/>
          <w:lang w:eastAsia="ru-RU"/>
        </w:rPr>
        <w:t xml:space="preserve"> сумарна оцінка фактичних показників складала 92,84 при оцінці нормативу їх в балах –120, коефіцієнт комплексної оцінки (інтегральна оцінка діяльності) – 0,77, а у </w:t>
      </w:r>
      <w:r w:rsidRPr="00174A8F">
        <w:rPr>
          <w:rFonts w:eastAsia="Times New Roman"/>
          <w:color w:val="000000" w:themeColor="text1"/>
          <w:szCs w:val="28"/>
          <w:lang w:eastAsia="ru-RU"/>
        </w:rPr>
        <w:t>2018 р. – 111,3 (при оцінці нормативу їх в балах – 130) і 0,86 відповідно</w:t>
      </w:r>
      <w:r w:rsidR="00320023" w:rsidRPr="00320023">
        <w:rPr>
          <w:rFonts w:eastAsia="Times New Roman"/>
          <w:color w:val="000000" w:themeColor="text1"/>
          <w:szCs w:val="28"/>
          <w:lang w:eastAsia="ru-RU"/>
        </w:rPr>
        <w:t xml:space="preserve"> (табл.</w:t>
      </w:r>
      <w:r w:rsidR="00320023" w:rsidRPr="00320023">
        <w:rPr>
          <w:rFonts w:eastAsia="Times New Roman"/>
          <w:color w:val="000000" w:themeColor="text1"/>
          <w:szCs w:val="28"/>
          <w:lang w:val="ru-RU" w:eastAsia="ru-RU"/>
        </w:rPr>
        <w:t> </w:t>
      </w:r>
      <w:r w:rsidR="003E5C64">
        <w:rPr>
          <w:rFonts w:eastAsia="Times New Roman"/>
          <w:color w:val="000000" w:themeColor="text1"/>
          <w:szCs w:val="28"/>
          <w:lang w:eastAsia="ru-RU"/>
        </w:rPr>
        <w:t>7.6</w:t>
      </w:r>
      <w:r w:rsidR="00320023" w:rsidRPr="00320023">
        <w:rPr>
          <w:rFonts w:eastAsia="Times New Roman"/>
          <w:color w:val="000000" w:themeColor="text1"/>
          <w:szCs w:val="28"/>
          <w:lang w:eastAsia="ru-RU"/>
        </w:rPr>
        <w:t>).</w:t>
      </w:r>
      <w:r w:rsidRPr="00174A8F">
        <w:rPr>
          <w:rFonts w:eastAsia="Times New Roman"/>
          <w:color w:val="000000" w:themeColor="text1"/>
          <w:szCs w:val="28"/>
          <w:lang w:eastAsia="ru-RU"/>
        </w:rPr>
        <w:t xml:space="preserve"> </w:t>
      </w:r>
    </w:p>
    <w:p w:rsidR="003B67F9" w:rsidRPr="00006A39" w:rsidRDefault="003B67F9" w:rsidP="00721203">
      <w:pPr>
        <w:widowControl w:val="0"/>
        <w:ind w:firstLine="709"/>
        <w:rPr>
          <w:rFonts w:eastAsia="Times New Roman"/>
          <w:szCs w:val="28"/>
          <w:lang w:eastAsia="ru-RU"/>
        </w:rPr>
      </w:pPr>
      <w:r w:rsidRPr="00006A39">
        <w:rPr>
          <w:rFonts w:eastAsia="Times New Roman"/>
          <w:color w:val="000000"/>
          <w:szCs w:val="28"/>
          <w:lang w:eastAsia="ru-RU"/>
        </w:rPr>
        <w:t>За результатами аналізу в розрізі регіонів України, на достатньо високому рівні</w:t>
      </w:r>
      <w:r w:rsidRPr="00006A39">
        <w:rPr>
          <w:rFonts w:eastAsia="Calibri"/>
          <w:szCs w:val="28"/>
        </w:rPr>
        <w:t xml:space="preserve"> </w:t>
      </w:r>
      <w:r w:rsidRPr="00006A39">
        <w:rPr>
          <w:rFonts w:eastAsia="Times New Roman"/>
          <w:color w:val="000000"/>
          <w:szCs w:val="28"/>
          <w:lang w:eastAsia="ru-RU"/>
        </w:rPr>
        <w:t xml:space="preserve">коефіцієнт комплексної оцінки (ККО) діяльності закладів перинатальної допомоги (0,8 і більше) у 2017 р. </w:t>
      </w:r>
      <w:r w:rsidR="001D1972" w:rsidRPr="00006A39">
        <w:rPr>
          <w:rFonts w:eastAsia="Times New Roman"/>
          <w:color w:val="000000"/>
          <w:szCs w:val="28"/>
          <w:lang w:eastAsia="ru-RU"/>
        </w:rPr>
        <w:t>спостерігався</w:t>
      </w:r>
      <w:r w:rsidRPr="00006A39">
        <w:rPr>
          <w:rFonts w:eastAsia="Times New Roman"/>
          <w:color w:val="000000"/>
          <w:szCs w:val="28"/>
          <w:lang w:eastAsia="ru-RU"/>
        </w:rPr>
        <w:t>, у м. Києві, Тернопільській Житомирській, Івано-Франківській, Сумській, Полтавській і Запорізькій областях,</w:t>
      </w:r>
      <w:r w:rsidRPr="00006A39">
        <w:rPr>
          <w:rFonts w:eastAsia="Calibri"/>
          <w:szCs w:val="28"/>
        </w:rPr>
        <w:t xml:space="preserve"> </w:t>
      </w:r>
      <w:r w:rsidRPr="00006A39">
        <w:rPr>
          <w:rFonts w:eastAsia="Times New Roman"/>
          <w:color w:val="000000"/>
          <w:szCs w:val="28"/>
          <w:lang w:eastAsia="ru-RU"/>
        </w:rPr>
        <w:t xml:space="preserve">що свідчить про достатньо ефективну діяльність перинатальної служби в даних регіонах, у 2018 році в переважній більшості областей, за виключенням Вінницької, Волинської, Донецької, Київської, Миколаївської, Рівненської і Херсонської областей. Середні (0,6 – 0,69) показники комплексної оцінки діяльності закладів перинатальної допомоги відмічалися у 2017 р. у Миколаївській, Чернігівській, Херсонській, Донецькій, Волинській і Закарпатській областях. Слід відмітити, що в цих регіонах відсутні ПЦ ІІІ рівня, а ЗПД ІІІ рівня функціонують лише у </w:t>
      </w:r>
      <w:r w:rsidRPr="00174A8F">
        <w:rPr>
          <w:rFonts w:eastAsia="Times New Roman"/>
          <w:color w:val="000000" w:themeColor="text1"/>
          <w:szCs w:val="28"/>
          <w:lang w:eastAsia="ru-RU"/>
        </w:rPr>
        <w:t>Херсо</w:t>
      </w:r>
      <w:r w:rsidR="00B06135">
        <w:rPr>
          <w:rFonts w:eastAsia="Times New Roman"/>
          <w:color w:val="000000" w:themeColor="text1"/>
          <w:szCs w:val="28"/>
          <w:lang w:eastAsia="ru-RU"/>
        </w:rPr>
        <w:t>нській і Миколаївській областях</w:t>
      </w:r>
      <w:r w:rsidRPr="00006A39">
        <w:rPr>
          <w:rFonts w:eastAsia="Times New Roman"/>
          <w:szCs w:val="28"/>
          <w:lang w:eastAsia="ru-RU"/>
        </w:rPr>
        <w:t xml:space="preserve">. При цьому в розрізі компонентів комплексної оцінки перинатальної допомоги за 2017 рік фактичні показники коливаються від 0,82 за результатами забезпеченості перинатальної служби </w:t>
      </w:r>
      <w:r w:rsidRPr="00006A39">
        <w:rPr>
          <w:rFonts w:eastAsia="Times New Roman"/>
          <w:szCs w:val="28"/>
          <w:lang w:eastAsia="ru-RU"/>
        </w:rPr>
        <w:lastRenderedPageBreak/>
        <w:t>лікарями, до 0,76 за показниками діяльності закладів і установ і 0,79 – за показниками результативності (ефективності),  у 2018 р. – 0,9, 0</w:t>
      </w:r>
      <w:r w:rsidR="00A2513D">
        <w:rPr>
          <w:rFonts w:eastAsia="Times New Roman"/>
          <w:szCs w:val="28"/>
          <w:lang w:eastAsia="ru-RU"/>
        </w:rPr>
        <w:t>,89 і 0,81 відповідно (табл. 7.</w:t>
      </w:r>
      <w:r w:rsidR="00A2513D">
        <w:rPr>
          <w:rFonts w:eastAsia="Times New Roman"/>
          <w:szCs w:val="28"/>
          <w:lang w:val="ru-RU" w:eastAsia="ru-RU"/>
        </w:rPr>
        <w:t>7</w:t>
      </w:r>
      <w:r w:rsidRPr="00006A39">
        <w:rPr>
          <w:rFonts w:eastAsia="Times New Roman"/>
          <w:szCs w:val="28"/>
          <w:lang w:eastAsia="ru-RU"/>
        </w:rPr>
        <w:t>).</w:t>
      </w:r>
    </w:p>
    <w:p w:rsidR="005E1664" w:rsidRDefault="003B67F9" w:rsidP="00721203">
      <w:pPr>
        <w:widowControl w:val="0"/>
        <w:ind w:firstLine="709"/>
        <w:rPr>
          <w:rFonts w:eastAsia="Times New Roman"/>
          <w:szCs w:val="28"/>
          <w:lang w:val="ru-RU" w:eastAsia="ru-RU"/>
        </w:rPr>
      </w:pPr>
      <w:r w:rsidRPr="00006A39">
        <w:rPr>
          <w:rFonts w:eastAsia="Times New Roman"/>
          <w:szCs w:val="28"/>
          <w:lang w:eastAsia="ru-RU"/>
        </w:rPr>
        <w:t xml:space="preserve">У 2017 році високий рівень коефіцієнта досягнення нормативного значення (КДНЗ) 0,82, характерний лише для компоненту забезпеченості лікарями акушер-гінекологами і педіатрами-неонатологами. При цьому в Івано-Франківській, Львівській і Харківській області він становив 1,0, у м. Києві - 0,96, Вінницькій, Тернопільській і Хмельницькій областях – 0,92-0,9. Нижче середнього КДНЗ показника забезпеченості населення кадрами у Миколаївській області (0,56). </w:t>
      </w:r>
    </w:p>
    <w:p w:rsidR="005E1664" w:rsidRPr="00006A39" w:rsidRDefault="005E1664" w:rsidP="005E1664">
      <w:pPr>
        <w:widowControl w:val="0"/>
        <w:ind w:firstLine="709"/>
        <w:jc w:val="right"/>
        <w:rPr>
          <w:rFonts w:eastAsia="Times New Roman"/>
          <w:i/>
          <w:szCs w:val="28"/>
          <w:lang w:eastAsia="ru-RU"/>
        </w:rPr>
      </w:pPr>
      <w:r>
        <w:rPr>
          <w:rFonts w:eastAsia="Times New Roman"/>
          <w:i/>
          <w:szCs w:val="28"/>
          <w:lang w:eastAsia="ru-RU"/>
        </w:rPr>
        <w:t>Таблиця 7.7</w:t>
      </w:r>
    </w:p>
    <w:p w:rsidR="005E1664" w:rsidRPr="00006A39" w:rsidRDefault="005E1664" w:rsidP="005E1664">
      <w:pPr>
        <w:widowControl w:val="0"/>
        <w:jc w:val="center"/>
        <w:rPr>
          <w:rFonts w:eastAsia="Times New Roman"/>
          <w:szCs w:val="28"/>
          <w:lang w:eastAsia="ru-RU"/>
        </w:rPr>
      </w:pPr>
      <w:r w:rsidRPr="00006A39">
        <w:rPr>
          <w:rFonts w:eastAsia="Times New Roman"/>
          <w:b/>
          <w:szCs w:val="28"/>
          <w:lang w:eastAsia="ru-RU"/>
        </w:rPr>
        <w:t>Характеристика комплексної оцінки перинатальної допомоги в розрізі регіонів за основними компонентами, 2017, 2018 рр</w:t>
      </w:r>
      <w:r w:rsidRPr="00006A39">
        <w:rPr>
          <w:rFonts w:eastAsia="Times New Roman"/>
          <w:szCs w:val="28"/>
          <w:lang w:eastAsia="ru-RU"/>
        </w:rPr>
        <w:t>.</w:t>
      </w:r>
    </w:p>
    <w:tbl>
      <w:tblPr>
        <w:tblW w:w="0" w:type="auto"/>
        <w:jc w:val="center"/>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55"/>
        <w:gridCol w:w="822"/>
        <w:gridCol w:w="993"/>
        <w:gridCol w:w="910"/>
        <w:gridCol w:w="1136"/>
        <w:gridCol w:w="850"/>
        <w:gridCol w:w="850"/>
        <w:gridCol w:w="1157"/>
        <w:gridCol w:w="1050"/>
      </w:tblGrid>
      <w:tr w:rsidR="005E1664" w:rsidRPr="00D1174C" w:rsidTr="000B2804">
        <w:trPr>
          <w:trHeight w:val="754"/>
          <w:jc w:val="center"/>
        </w:trPr>
        <w:tc>
          <w:tcPr>
            <w:tcW w:w="2155" w:type="dxa"/>
            <w:vMerge w:val="restart"/>
            <w:shd w:val="clear" w:color="auto" w:fill="auto"/>
            <w:vAlign w:val="center"/>
            <w:hideMark/>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Адміністративні території</w:t>
            </w:r>
          </w:p>
        </w:tc>
        <w:tc>
          <w:tcPr>
            <w:tcW w:w="1815" w:type="dxa"/>
            <w:gridSpan w:val="2"/>
          </w:tcPr>
          <w:p w:rsidR="005E1664" w:rsidRPr="00D1174C" w:rsidRDefault="005E1664" w:rsidP="003969D9">
            <w:pPr>
              <w:widowControl w:val="0"/>
              <w:spacing w:line="276" w:lineRule="auto"/>
              <w:jc w:val="center"/>
              <w:rPr>
                <w:rFonts w:eastAsia="Times New Roman"/>
                <w:sz w:val="24"/>
                <w:szCs w:val="24"/>
                <w:lang w:eastAsia="ru-RU"/>
              </w:rPr>
            </w:pPr>
            <w:r w:rsidRPr="00D1174C">
              <w:rPr>
                <w:sz w:val="24"/>
                <w:szCs w:val="24"/>
                <w:lang w:eastAsia="ru-RU"/>
              </w:rPr>
              <w:t>Коефіцієнт досягнення результату</w:t>
            </w:r>
            <w:r w:rsidR="0067642D">
              <w:rPr>
                <w:sz w:val="24"/>
                <w:szCs w:val="24"/>
                <w:lang w:eastAsia="ru-RU"/>
              </w:rPr>
              <w:t xml:space="preserve"> </w:t>
            </w:r>
          </w:p>
        </w:tc>
        <w:tc>
          <w:tcPr>
            <w:tcW w:w="2046" w:type="dxa"/>
            <w:gridSpan w:val="2"/>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Компонент забезпеченості кадрами</w:t>
            </w:r>
          </w:p>
        </w:tc>
        <w:tc>
          <w:tcPr>
            <w:tcW w:w="1700" w:type="dxa"/>
            <w:gridSpan w:val="2"/>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Компонент діяльності</w:t>
            </w:r>
          </w:p>
        </w:tc>
        <w:tc>
          <w:tcPr>
            <w:tcW w:w="2207" w:type="dxa"/>
            <w:gridSpan w:val="2"/>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Компонент результативності</w:t>
            </w:r>
          </w:p>
        </w:tc>
      </w:tr>
      <w:tr w:rsidR="005E1664" w:rsidRPr="00D1174C" w:rsidTr="000B2804">
        <w:trPr>
          <w:trHeight w:val="330"/>
          <w:jc w:val="center"/>
        </w:trPr>
        <w:tc>
          <w:tcPr>
            <w:tcW w:w="2155" w:type="dxa"/>
            <w:vMerge/>
            <w:shd w:val="clear" w:color="auto" w:fill="auto"/>
            <w:vAlign w:val="center"/>
          </w:tcPr>
          <w:p w:rsidR="005E1664" w:rsidRPr="00D1174C" w:rsidRDefault="005E1664" w:rsidP="003969D9">
            <w:pPr>
              <w:widowControl w:val="0"/>
              <w:spacing w:line="276" w:lineRule="auto"/>
              <w:rPr>
                <w:rFonts w:eastAsia="Times New Roman"/>
                <w:sz w:val="24"/>
                <w:szCs w:val="24"/>
                <w:lang w:eastAsia="ru-RU"/>
              </w:rPr>
            </w:pPr>
          </w:p>
        </w:tc>
        <w:tc>
          <w:tcPr>
            <w:tcW w:w="822" w:type="dxa"/>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2017 р.</w:t>
            </w:r>
          </w:p>
        </w:tc>
        <w:tc>
          <w:tcPr>
            <w:tcW w:w="993" w:type="dxa"/>
            <w:shd w:val="clear" w:color="auto" w:fill="auto"/>
            <w:vAlign w:val="center"/>
          </w:tcPr>
          <w:p w:rsidR="00C65B63" w:rsidRDefault="005E1664" w:rsidP="003969D9">
            <w:pPr>
              <w:widowControl w:val="0"/>
              <w:spacing w:line="276" w:lineRule="auto"/>
              <w:jc w:val="center"/>
              <w:rPr>
                <w:rFonts w:eastAsia="Times New Roman"/>
                <w:sz w:val="24"/>
                <w:szCs w:val="24"/>
                <w:lang w:val="ru-RU" w:eastAsia="ru-RU"/>
              </w:rPr>
            </w:pPr>
            <w:r w:rsidRPr="00D1174C">
              <w:rPr>
                <w:rFonts w:eastAsia="Times New Roman"/>
                <w:sz w:val="24"/>
                <w:szCs w:val="24"/>
                <w:lang w:eastAsia="ru-RU"/>
              </w:rPr>
              <w:t xml:space="preserve">2018 </w:t>
            </w:r>
          </w:p>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р.</w:t>
            </w:r>
          </w:p>
        </w:tc>
        <w:tc>
          <w:tcPr>
            <w:tcW w:w="910" w:type="dxa"/>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2017 р.</w:t>
            </w:r>
          </w:p>
        </w:tc>
        <w:tc>
          <w:tcPr>
            <w:tcW w:w="1136" w:type="dxa"/>
            <w:shd w:val="clear" w:color="auto" w:fill="auto"/>
            <w:vAlign w:val="center"/>
          </w:tcPr>
          <w:p w:rsidR="00C65B63" w:rsidRDefault="005E1664" w:rsidP="003969D9">
            <w:pPr>
              <w:widowControl w:val="0"/>
              <w:spacing w:line="276" w:lineRule="auto"/>
              <w:jc w:val="center"/>
              <w:rPr>
                <w:rFonts w:eastAsia="Times New Roman"/>
                <w:sz w:val="24"/>
                <w:szCs w:val="24"/>
                <w:lang w:val="ru-RU" w:eastAsia="ru-RU"/>
              </w:rPr>
            </w:pPr>
            <w:r w:rsidRPr="00D1174C">
              <w:rPr>
                <w:rFonts w:eastAsia="Times New Roman"/>
                <w:sz w:val="24"/>
                <w:szCs w:val="24"/>
                <w:lang w:eastAsia="ru-RU"/>
              </w:rPr>
              <w:t xml:space="preserve">2018 </w:t>
            </w:r>
          </w:p>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р.</w:t>
            </w:r>
          </w:p>
        </w:tc>
        <w:tc>
          <w:tcPr>
            <w:tcW w:w="850" w:type="dxa"/>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2017 р.</w:t>
            </w:r>
          </w:p>
        </w:tc>
        <w:tc>
          <w:tcPr>
            <w:tcW w:w="850" w:type="dxa"/>
            <w:shd w:val="clear" w:color="auto" w:fill="auto"/>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2018 р.</w:t>
            </w:r>
          </w:p>
        </w:tc>
        <w:tc>
          <w:tcPr>
            <w:tcW w:w="1157" w:type="dxa"/>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2017 р.</w:t>
            </w:r>
          </w:p>
        </w:tc>
        <w:tc>
          <w:tcPr>
            <w:tcW w:w="1050" w:type="dxa"/>
            <w:shd w:val="clear" w:color="auto" w:fill="auto"/>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2018 р.</w:t>
            </w:r>
          </w:p>
        </w:tc>
      </w:tr>
      <w:tr w:rsidR="005E1664" w:rsidRPr="00D1174C" w:rsidTr="000B2804">
        <w:trPr>
          <w:trHeight w:val="330"/>
          <w:jc w:val="center"/>
        </w:trPr>
        <w:tc>
          <w:tcPr>
            <w:tcW w:w="2155" w:type="dxa"/>
            <w:shd w:val="clear" w:color="auto" w:fill="auto"/>
            <w:vAlign w:val="center"/>
            <w:hideMark/>
          </w:tcPr>
          <w:p w:rsidR="005E1664" w:rsidRPr="00D1174C" w:rsidRDefault="005E1664" w:rsidP="003969D9">
            <w:pPr>
              <w:widowControl w:val="0"/>
              <w:spacing w:line="276" w:lineRule="auto"/>
              <w:rPr>
                <w:rFonts w:eastAsia="Times New Roman"/>
                <w:sz w:val="24"/>
                <w:szCs w:val="24"/>
                <w:lang w:eastAsia="ru-RU"/>
              </w:rPr>
            </w:pPr>
            <w:r w:rsidRPr="00D1174C">
              <w:rPr>
                <w:rFonts w:eastAsia="Times New Roman"/>
                <w:sz w:val="24"/>
                <w:szCs w:val="24"/>
                <w:lang w:eastAsia="ru-RU"/>
              </w:rPr>
              <w:t>Україна</w:t>
            </w:r>
          </w:p>
        </w:tc>
        <w:tc>
          <w:tcPr>
            <w:tcW w:w="822" w:type="dxa"/>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0,77</w:t>
            </w:r>
          </w:p>
        </w:tc>
        <w:tc>
          <w:tcPr>
            <w:tcW w:w="993" w:type="dxa"/>
            <w:shd w:val="clear" w:color="auto" w:fill="auto"/>
            <w:vAlign w:val="center"/>
            <w:hideMark/>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0,86</w:t>
            </w:r>
          </w:p>
        </w:tc>
        <w:tc>
          <w:tcPr>
            <w:tcW w:w="910" w:type="dxa"/>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0,82</w:t>
            </w:r>
          </w:p>
        </w:tc>
        <w:tc>
          <w:tcPr>
            <w:tcW w:w="1136" w:type="dxa"/>
            <w:shd w:val="clear" w:color="auto" w:fill="auto"/>
            <w:vAlign w:val="center"/>
            <w:hideMark/>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0,9</w:t>
            </w:r>
          </w:p>
        </w:tc>
        <w:tc>
          <w:tcPr>
            <w:tcW w:w="850" w:type="dxa"/>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0,76</w:t>
            </w:r>
          </w:p>
        </w:tc>
        <w:tc>
          <w:tcPr>
            <w:tcW w:w="850" w:type="dxa"/>
            <w:shd w:val="clear" w:color="auto" w:fill="auto"/>
            <w:vAlign w:val="center"/>
            <w:hideMark/>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0,89</w:t>
            </w:r>
          </w:p>
        </w:tc>
        <w:tc>
          <w:tcPr>
            <w:tcW w:w="1157" w:type="dxa"/>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0,79</w:t>
            </w:r>
          </w:p>
        </w:tc>
        <w:tc>
          <w:tcPr>
            <w:tcW w:w="1050" w:type="dxa"/>
            <w:shd w:val="clear" w:color="auto" w:fill="auto"/>
            <w:vAlign w:val="center"/>
            <w:hideMark/>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0,81</w:t>
            </w:r>
          </w:p>
        </w:tc>
      </w:tr>
      <w:tr w:rsidR="005E1664" w:rsidRPr="00D1174C" w:rsidTr="000B2804">
        <w:trPr>
          <w:trHeight w:val="330"/>
          <w:jc w:val="center"/>
        </w:trPr>
        <w:tc>
          <w:tcPr>
            <w:tcW w:w="2155" w:type="dxa"/>
            <w:shd w:val="clear" w:color="auto" w:fill="auto"/>
            <w:vAlign w:val="center"/>
          </w:tcPr>
          <w:p w:rsidR="005E1664" w:rsidRPr="00D1174C" w:rsidRDefault="005E1664" w:rsidP="003969D9">
            <w:pPr>
              <w:widowControl w:val="0"/>
              <w:spacing w:line="276" w:lineRule="auto"/>
              <w:rPr>
                <w:rFonts w:eastAsia="Times New Roman"/>
                <w:sz w:val="24"/>
                <w:szCs w:val="24"/>
                <w:lang w:eastAsia="ru-RU"/>
              </w:rPr>
            </w:pPr>
            <w:r w:rsidRPr="00D1174C">
              <w:rPr>
                <w:rFonts w:eastAsia="Times New Roman"/>
                <w:sz w:val="24"/>
                <w:szCs w:val="24"/>
                <w:lang w:eastAsia="ru-RU"/>
              </w:rPr>
              <w:t>Ме</w:t>
            </w:r>
          </w:p>
        </w:tc>
        <w:tc>
          <w:tcPr>
            <w:tcW w:w="822" w:type="dxa"/>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0,74</w:t>
            </w:r>
          </w:p>
        </w:tc>
        <w:tc>
          <w:tcPr>
            <w:tcW w:w="993" w:type="dxa"/>
            <w:shd w:val="clear" w:color="auto" w:fill="auto"/>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0,82</w:t>
            </w:r>
          </w:p>
        </w:tc>
        <w:tc>
          <w:tcPr>
            <w:tcW w:w="910" w:type="dxa"/>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0,79</w:t>
            </w:r>
          </w:p>
        </w:tc>
        <w:tc>
          <w:tcPr>
            <w:tcW w:w="1136" w:type="dxa"/>
            <w:shd w:val="clear" w:color="auto" w:fill="auto"/>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0,9</w:t>
            </w:r>
          </w:p>
        </w:tc>
        <w:tc>
          <w:tcPr>
            <w:tcW w:w="850" w:type="dxa"/>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0,75</w:t>
            </w:r>
          </w:p>
        </w:tc>
        <w:tc>
          <w:tcPr>
            <w:tcW w:w="850" w:type="dxa"/>
            <w:shd w:val="clear" w:color="auto" w:fill="auto"/>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0,85</w:t>
            </w:r>
          </w:p>
        </w:tc>
        <w:tc>
          <w:tcPr>
            <w:tcW w:w="1157" w:type="dxa"/>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0,76</w:t>
            </w:r>
          </w:p>
        </w:tc>
        <w:tc>
          <w:tcPr>
            <w:tcW w:w="1050" w:type="dxa"/>
            <w:shd w:val="clear" w:color="auto" w:fill="auto"/>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0,77</w:t>
            </w:r>
          </w:p>
        </w:tc>
      </w:tr>
      <w:tr w:rsidR="005E1664" w:rsidRPr="00D1174C" w:rsidTr="000B2804">
        <w:trPr>
          <w:trHeight w:val="330"/>
          <w:jc w:val="center"/>
        </w:trPr>
        <w:tc>
          <w:tcPr>
            <w:tcW w:w="2155" w:type="dxa"/>
            <w:shd w:val="clear" w:color="auto" w:fill="auto"/>
            <w:vAlign w:val="center"/>
          </w:tcPr>
          <w:p w:rsidR="005E1664" w:rsidRPr="00D1174C" w:rsidRDefault="005E1664" w:rsidP="003969D9">
            <w:pPr>
              <w:widowControl w:val="0"/>
              <w:spacing w:line="276" w:lineRule="auto"/>
              <w:rPr>
                <w:rFonts w:eastAsia="Times New Roman"/>
                <w:sz w:val="24"/>
                <w:szCs w:val="24"/>
                <w:lang w:eastAsia="ru-RU"/>
              </w:rPr>
            </w:pPr>
            <w:r w:rsidRPr="00D1174C">
              <w:rPr>
                <w:rFonts w:eastAsia="Times New Roman"/>
                <w:sz w:val="24"/>
                <w:szCs w:val="24"/>
                <w:lang w:eastAsia="ru-RU"/>
              </w:rPr>
              <w:t>Q</w:t>
            </w:r>
            <w:r w:rsidRPr="00D1174C">
              <w:rPr>
                <w:rFonts w:eastAsia="Times New Roman"/>
                <w:sz w:val="24"/>
                <w:szCs w:val="24"/>
                <w:vertAlign w:val="subscript"/>
                <w:lang w:eastAsia="ru-RU"/>
              </w:rPr>
              <w:t>1</w:t>
            </w:r>
          </w:p>
        </w:tc>
        <w:tc>
          <w:tcPr>
            <w:tcW w:w="822" w:type="dxa"/>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0,7</w:t>
            </w:r>
          </w:p>
        </w:tc>
        <w:tc>
          <w:tcPr>
            <w:tcW w:w="993" w:type="dxa"/>
            <w:shd w:val="clear" w:color="auto" w:fill="auto"/>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0,79</w:t>
            </w:r>
          </w:p>
        </w:tc>
        <w:tc>
          <w:tcPr>
            <w:tcW w:w="910" w:type="dxa"/>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0,72</w:t>
            </w:r>
          </w:p>
        </w:tc>
        <w:tc>
          <w:tcPr>
            <w:tcW w:w="1136" w:type="dxa"/>
            <w:shd w:val="clear" w:color="auto" w:fill="auto"/>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0,85</w:t>
            </w:r>
          </w:p>
        </w:tc>
        <w:tc>
          <w:tcPr>
            <w:tcW w:w="850" w:type="dxa"/>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0,66</w:t>
            </w:r>
          </w:p>
        </w:tc>
        <w:tc>
          <w:tcPr>
            <w:tcW w:w="850" w:type="dxa"/>
            <w:shd w:val="clear" w:color="auto" w:fill="auto"/>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0,8</w:t>
            </w:r>
          </w:p>
        </w:tc>
        <w:tc>
          <w:tcPr>
            <w:tcW w:w="1157" w:type="dxa"/>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0,71</w:t>
            </w:r>
          </w:p>
        </w:tc>
        <w:tc>
          <w:tcPr>
            <w:tcW w:w="1050" w:type="dxa"/>
            <w:shd w:val="clear" w:color="auto" w:fill="auto"/>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0,67</w:t>
            </w:r>
          </w:p>
        </w:tc>
      </w:tr>
      <w:tr w:rsidR="005E1664" w:rsidRPr="00D1174C" w:rsidTr="000B2804">
        <w:trPr>
          <w:trHeight w:val="330"/>
          <w:jc w:val="center"/>
        </w:trPr>
        <w:tc>
          <w:tcPr>
            <w:tcW w:w="2155" w:type="dxa"/>
            <w:shd w:val="clear" w:color="auto" w:fill="auto"/>
            <w:vAlign w:val="center"/>
          </w:tcPr>
          <w:p w:rsidR="005E1664" w:rsidRPr="00D1174C" w:rsidRDefault="005E1664" w:rsidP="003969D9">
            <w:pPr>
              <w:widowControl w:val="0"/>
              <w:spacing w:line="276" w:lineRule="auto"/>
              <w:rPr>
                <w:rFonts w:eastAsia="Times New Roman"/>
                <w:sz w:val="24"/>
                <w:szCs w:val="24"/>
                <w:lang w:eastAsia="ru-RU"/>
              </w:rPr>
            </w:pPr>
            <w:r w:rsidRPr="00D1174C">
              <w:rPr>
                <w:rFonts w:eastAsia="Times New Roman"/>
                <w:sz w:val="24"/>
                <w:szCs w:val="24"/>
                <w:lang w:eastAsia="ru-RU"/>
              </w:rPr>
              <w:t>Q</w:t>
            </w:r>
            <w:r w:rsidRPr="00D1174C">
              <w:rPr>
                <w:rFonts w:eastAsia="Times New Roman"/>
                <w:sz w:val="24"/>
                <w:szCs w:val="24"/>
                <w:vertAlign w:val="superscript"/>
                <w:lang w:eastAsia="ru-RU"/>
              </w:rPr>
              <w:t>3</w:t>
            </w:r>
          </w:p>
        </w:tc>
        <w:tc>
          <w:tcPr>
            <w:tcW w:w="822" w:type="dxa"/>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0,8</w:t>
            </w:r>
          </w:p>
        </w:tc>
        <w:tc>
          <w:tcPr>
            <w:tcW w:w="993" w:type="dxa"/>
            <w:shd w:val="clear" w:color="auto" w:fill="auto"/>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0,85</w:t>
            </w:r>
          </w:p>
        </w:tc>
        <w:tc>
          <w:tcPr>
            <w:tcW w:w="910" w:type="dxa"/>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0,9</w:t>
            </w:r>
          </w:p>
        </w:tc>
        <w:tc>
          <w:tcPr>
            <w:tcW w:w="1136" w:type="dxa"/>
            <w:shd w:val="clear" w:color="auto" w:fill="auto"/>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0,94</w:t>
            </w:r>
          </w:p>
        </w:tc>
        <w:tc>
          <w:tcPr>
            <w:tcW w:w="850" w:type="dxa"/>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0,78</w:t>
            </w:r>
          </w:p>
        </w:tc>
        <w:tc>
          <w:tcPr>
            <w:tcW w:w="850" w:type="dxa"/>
            <w:shd w:val="clear" w:color="auto" w:fill="auto"/>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0,91</w:t>
            </w:r>
          </w:p>
        </w:tc>
        <w:tc>
          <w:tcPr>
            <w:tcW w:w="1157" w:type="dxa"/>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0,81</w:t>
            </w:r>
          </w:p>
        </w:tc>
        <w:tc>
          <w:tcPr>
            <w:tcW w:w="1050" w:type="dxa"/>
            <w:shd w:val="clear" w:color="auto" w:fill="auto"/>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0,85</w:t>
            </w:r>
          </w:p>
        </w:tc>
      </w:tr>
      <w:tr w:rsidR="005E1664" w:rsidRPr="00D1174C" w:rsidTr="000B2804">
        <w:trPr>
          <w:trHeight w:val="330"/>
          <w:jc w:val="center"/>
        </w:trPr>
        <w:tc>
          <w:tcPr>
            <w:tcW w:w="2155" w:type="dxa"/>
            <w:shd w:val="clear" w:color="auto" w:fill="auto"/>
            <w:vAlign w:val="center"/>
          </w:tcPr>
          <w:p w:rsidR="005E1664" w:rsidRPr="00D1174C" w:rsidRDefault="005E1664" w:rsidP="003969D9">
            <w:pPr>
              <w:widowControl w:val="0"/>
              <w:spacing w:line="276" w:lineRule="auto"/>
              <w:rPr>
                <w:rFonts w:eastAsia="Times New Roman"/>
                <w:sz w:val="24"/>
                <w:szCs w:val="24"/>
                <w:lang w:eastAsia="ru-RU"/>
              </w:rPr>
            </w:pPr>
            <w:r w:rsidRPr="00D1174C">
              <w:rPr>
                <w:rFonts w:eastAsia="Times New Roman"/>
                <w:sz w:val="24"/>
                <w:szCs w:val="24"/>
                <w:lang w:eastAsia="ru-RU"/>
              </w:rPr>
              <w:t>р</w:t>
            </w:r>
          </w:p>
        </w:tc>
        <w:tc>
          <w:tcPr>
            <w:tcW w:w="822" w:type="dxa"/>
            <w:vAlign w:val="center"/>
          </w:tcPr>
          <w:p w:rsidR="005E1664" w:rsidRPr="00D1174C" w:rsidRDefault="00ED2D58" w:rsidP="003969D9">
            <w:pPr>
              <w:widowControl w:val="0"/>
              <w:spacing w:line="276" w:lineRule="auto"/>
              <w:jc w:val="center"/>
              <w:rPr>
                <w:rFonts w:eastAsia="Times New Roman"/>
                <w:sz w:val="24"/>
                <w:szCs w:val="24"/>
                <w:lang w:eastAsia="ru-RU"/>
              </w:rPr>
            </w:pPr>
            <w:r>
              <w:rPr>
                <w:rFonts w:eastAsia="Times New Roman"/>
                <w:sz w:val="24"/>
                <w:szCs w:val="24"/>
                <w:lang w:eastAsia="ru-RU"/>
              </w:rPr>
              <w:t>-</w:t>
            </w:r>
          </w:p>
        </w:tc>
        <w:tc>
          <w:tcPr>
            <w:tcW w:w="993" w:type="dxa"/>
            <w:shd w:val="clear" w:color="auto" w:fill="auto"/>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0,0002</w:t>
            </w:r>
          </w:p>
        </w:tc>
        <w:tc>
          <w:tcPr>
            <w:tcW w:w="910" w:type="dxa"/>
            <w:vAlign w:val="center"/>
          </w:tcPr>
          <w:p w:rsidR="005E1664" w:rsidRPr="00D1174C" w:rsidRDefault="00ED2D58" w:rsidP="003969D9">
            <w:pPr>
              <w:widowControl w:val="0"/>
              <w:spacing w:line="276" w:lineRule="auto"/>
              <w:jc w:val="center"/>
              <w:rPr>
                <w:rFonts w:eastAsia="Times New Roman"/>
                <w:sz w:val="24"/>
                <w:szCs w:val="24"/>
                <w:lang w:eastAsia="ru-RU"/>
              </w:rPr>
            </w:pPr>
            <w:r>
              <w:rPr>
                <w:rFonts w:eastAsia="Times New Roman"/>
                <w:sz w:val="24"/>
                <w:szCs w:val="24"/>
                <w:lang w:eastAsia="ru-RU"/>
              </w:rPr>
              <w:t>-</w:t>
            </w:r>
          </w:p>
        </w:tc>
        <w:tc>
          <w:tcPr>
            <w:tcW w:w="1136" w:type="dxa"/>
            <w:shd w:val="clear" w:color="auto" w:fill="auto"/>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0,008</w:t>
            </w:r>
          </w:p>
        </w:tc>
        <w:tc>
          <w:tcPr>
            <w:tcW w:w="850" w:type="dxa"/>
            <w:vAlign w:val="center"/>
          </w:tcPr>
          <w:p w:rsidR="005E1664" w:rsidRPr="00D1174C" w:rsidRDefault="00ED2D58" w:rsidP="003969D9">
            <w:pPr>
              <w:widowControl w:val="0"/>
              <w:spacing w:line="276" w:lineRule="auto"/>
              <w:jc w:val="center"/>
              <w:rPr>
                <w:rFonts w:eastAsia="Times New Roman"/>
                <w:sz w:val="24"/>
                <w:szCs w:val="24"/>
                <w:lang w:eastAsia="ru-RU"/>
              </w:rPr>
            </w:pPr>
            <w:r>
              <w:rPr>
                <w:rFonts w:eastAsia="Times New Roman"/>
                <w:sz w:val="24"/>
                <w:szCs w:val="24"/>
                <w:lang w:eastAsia="ru-RU"/>
              </w:rPr>
              <w:t>-</w:t>
            </w:r>
          </w:p>
        </w:tc>
        <w:tc>
          <w:tcPr>
            <w:tcW w:w="850" w:type="dxa"/>
            <w:shd w:val="clear" w:color="auto" w:fill="auto"/>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0,000</w:t>
            </w:r>
          </w:p>
        </w:tc>
        <w:tc>
          <w:tcPr>
            <w:tcW w:w="1157" w:type="dxa"/>
            <w:vAlign w:val="center"/>
          </w:tcPr>
          <w:p w:rsidR="005E1664" w:rsidRPr="00D1174C" w:rsidRDefault="00ED2D58" w:rsidP="003969D9">
            <w:pPr>
              <w:widowControl w:val="0"/>
              <w:spacing w:line="276" w:lineRule="auto"/>
              <w:jc w:val="center"/>
              <w:rPr>
                <w:rFonts w:eastAsia="Times New Roman"/>
                <w:sz w:val="24"/>
                <w:szCs w:val="24"/>
                <w:lang w:eastAsia="ru-RU"/>
              </w:rPr>
            </w:pPr>
            <w:r>
              <w:rPr>
                <w:rFonts w:eastAsia="Times New Roman"/>
                <w:sz w:val="24"/>
                <w:szCs w:val="24"/>
                <w:lang w:eastAsia="ru-RU"/>
              </w:rPr>
              <w:t>-</w:t>
            </w:r>
          </w:p>
        </w:tc>
        <w:tc>
          <w:tcPr>
            <w:tcW w:w="1050" w:type="dxa"/>
            <w:shd w:val="clear" w:color="auto" w:fill="auto"/>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0,6067</w:t>
            </w:r>
          </w:p>
        </w:tc>
      </w:tr>
      <w:tr w:rsidR="005E1664" w:rsidRPr="00D1174C" w:rsidTr="000B2804">
        <w:trPr>
          <w:trHeight w:val="375"/>
          <w:jc w:val="center"/>
        </w:trPr>
        <w:tc>
          <w:tcPr>
            <w:tcW w:w="2155" w:type="dxa"/>
            <w:shd w:val="clear" w:color="auto" w:fill="auto"/>
            <w:vAlign w:val="center"/>
            <w:hideMark/>
          </w:tcPr>
          <w:p w:rsidR="005E1664" w:rsidRPr="00D1174C" w:rsidRDefault="005E1664" w:rsidP="003969D9">
            <w:pPr>
              <w:widowControl w:val="0"/>
              <w:spacing w:line="276" w:lineRule="auto"/>
              <w:rPr>
                <w:rFonts w:eastAsia="Times New Roman"/>
                <w:sz w:val="24"/>
                <w:szCs w:val="24"/>
                <w:lang w:eastAsia="ru-RU"/>
              </w:rPr>
            </w:pPr>
            <w:r w:rsidRPr="00D1174C">
              <w:rPr>
                <w:rFonts w:eastAsia="Times New Roman"/>
                <w:sz w:val="24"/>
                <w:szCs w:val="24"/>
                <w:lang w:eastAsia="ru-RU"/>
              </w:rPr>
              <w:t>Вінницька</w:t>
            </w:r>
          </w:p>
        </w:tc>
        <w:tc>
          <w:tcPr>
            <w:tcW w:w="822" w:type="dxa"/>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0,77</w:t>
            </w:r>
          </w:p>
        </w:tc>
        <w:tc>
          <w:tcPr>
            <w:tcW w:w="993" w:type="dxa"/>
            <w:shd w:val="clear" w:color="auto" w:fill="auto"/>
            <w:vAlign w:val="center"/>
            <w:hideMark/>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0,79</w:t>
            </w:r>
          </w:p>
        </w:tc>
        <w:tc>
          <w:tcPr>
            <w:tcW w:w="910" w:type="dxa"/>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0,92</w:t>
            </w:r>
          </w:p>
        </w:tc>
        <w:tc>
          <w:tcPr>
            <w:tcW w:w="1136" w:type="dxa"/>
            <w:shd w:val="clear" w:color="auto" w:fill="auto"/>
            <w:vAlign w:val="center"/>
            <w:hideMark/>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0,94</w:t>
            </w:r>
          </w:p>
        </w:tc>
        <w:tc>
          <w:tcPr>
            <w:tcW w:w="850" w:type="dxa"/>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0,77</w:t>
            </w:r>
          </w:p>
        </w:tc>
        <w:tc>
          <w:tcPr>
            <w:tcW w:w="850" w:type="dxa"/>
            <w:shd w:val="clear" w:color="auto" w:fill="auto"/>
            <w:vAlign w:val="center"/>
            <w:hideMark/>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0,93</w:t>
            </w:r>
          </w:p>
        </w:tc>
        <w:tc>
          <w:tcPr>
            <w:tcW w:w="1157" w:type="dxa"/>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0,71</w:t>
            </w:r>
          </w:p>
        </w:tc>
        <w:tc>
          <w:tcPr>
            <w:tcW w:w="1050" w:type="dxa"/>
            <w:shd w:val="clear" w:color="auto" w:fill="auto"/>
            <w:vAlign w:val="center"/>
            <w:hideMark/>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0,61</w:t>
            </w:r>
          </w:p>
        </w:tc>
      </w:tr>
      <w:tr w:rsidR="005E1664" w:rsidRPr="00D1174C" w:rsidTr="000B2804">
        <w:trPr>
          <w:trHeight w:val="315"/>
          <w:jc w:val="center"/>
        </w:trPr>
        <w:tc>
          <w:tcPr>
            <w:tcW w:w="2155" w:type="dxa"/>
            <w:shd w:val="clear" w:color="auto" w:fill="auto"/>
            <w:vAlign w:val="center"/>
            <w:hideMark/>
          </w:tcPr>
          <w:p w:rsidR="005E1664" w:rsidRPr="00D1174C" w:rsidRDefault="005E1664" w:rsidP="003969D9">
            <w:pPr>
              <w:widowControl w:val="0"/>
              <w:spacing w:line="276" w:lineRule="auto"/>
              <w:rPr>
                <w:rFonts w:eastAsia="Times New Roman"/>
                <w:sz w:val="24"/>
                <w:szCs w:val="24"/>
                <w:lang w:eastAsia="ru-RU"/>
              </w:rPr>
            </w:pPr>
            <w:r w:rsidRPr="00D1174C">
              <w:rPr>
                <w:rFonts w:eastAsia="Times New Roman"/>
                <w:sz w:val="24"/>
                <w:szCs w:val="24"/>
                <w:lang w:eastAsia="ru-RU"/>
              </w:rPr>
              <w:t>Волинська</w:t>
            </w:r>
          </w:p>
        </w:tc>
        <w:tc>
          <w:tcPr>
            <w:tcW w:w="822" w:type="dxa"/>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0,66</w:t>
            </w:r>
          </w:p>
        </w:tc>
        <w:tc>
          <w:tcPr>
            <w:tcW w:w="993" w:type="dxa"/>
            <w:shd w:val="clear" w:color="auto" w:fill="auto"/>
            <w:vAlign w:val="center"/>
            <w:hideMark/>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0,71</w:t>
            </w:r>
          </w:p>
        </w:tc>
        <w:tc>
          <w:tcPr>
            <w:tcW w:w="910" w:type="dxa"/>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0,72</w:t>
            </w:r>
          </w:p>
        </w:tc>
        <w:tc>
          <w:tcPr>
            <w:tcW w:w="1136" w:type="dxa"/>
            <w:shd w:val="clear" w:color="auto" w:fill="auto"/>
            <w:vAlign w:val="center"/>
            <w:hideMark/>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0,85</w:t>
            </w:r>
          </w:p>
        </w:tc>
        <w:tc>
          <w:tcPr>
            <w:tcW w:w="850" w:type="dxa"/>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0,52</w:t>
            </w:r>
          </w:p>
        </w:tc>
        <w:tc>
          <w:tcPr>
            <w:tcW w:w="850" w:type="dxa"/>
            <w:shd w:val="clear" w:color="auto" w:fill="auto"/>
            <w:vAlign w:val="center"/>
            <w:hideMark/>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0,7</w:t>
            </w:r>
          </w:p>
        </w:tc>
        <w:tc>
          <w:tcPr>
            <w:tcW w:w="1157" w:type="dxa"/>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0,84</w:t>
            </w:r>
          </w:p>
        </w:tc>
        <w:tc>
          <w:tcPr>
            <w:tcW w:w="1050" w:type="dxa"/>
            <w:shd w:val="clear" w:color="auto" w:fill="auto"/>
            <w:vAlign w:val="center"/>
            <w:hideMark/>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0,66</w:t>
            </w:r>
          </w:p>
        </w:tc>
      </w:tr>
      <w:tr w:rsidR="005E1664" w:rsidRPr="00D1174C" w:rsidTr="000B2804">
        <w:trPr>
          <w:trHeight w:val="435"/>
          <w:jc w:val="center"/>
        </w:trPr>
        <w:tc>
          <w:tcPr>
            <w:tcW w:w="2155" w:type="dxa"/>
            <w:shd w:val="clear" w:color="auto" w:fill="auto"/>
            <w:vAlign w:val="center"/>
            <w:hideMark/>
          </w:tcPr>
          <w:p w:rsidR="005E1664" w:rsidRPr="00D1174C" w:rsidRDefault="005E1664" w:rsidP="003969D9">
            <w:pPr>
              <w:widowControl w:val="0"/>
              <w:spacing w:line="276" w:lineRule="auto"/>
              <w:rPr>
                <w:rFonts w:eastAsia="Times New Roman"/>
                <w:sz w:val="24"/>
                <w:szCs w:val="24"/>
                <w:lang w:eastAsia="ru-RU"/>
              </w:rPr>
            </w:pPr>
            <w:r w:rsidRPr="00D1174C">
              <w:rPr>
                <w:rFonts w:eastAsia="Times New Roman"/>
                <w:sz w:val="24"/>
                <w:szCs w:val="24"/>
                <w:lang w:eastAsia="ru-RU"/>
              </w:rPr>
              <w:t>Дніпропетровська</w:t>
            </w:r>
          </w:p>
        </w:tc>
        <w:tc>
          <w:tcPr>
            <w:tcW w:w="822" w:type="dxa"/>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0,75</w:t>
            </w:r>
          </w:p>
        </w:tc>
        <w:tc>
          <w:tcPr>
            <w:tcW w:w="993" w:type="dxa"/>
            <w:shd w:val="clear" w:color="auto" w:fill="auto"/>
            <w:vAlign w:val="center"/>
            <w:hideMark/>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0,8</w:t>
            </w:r>
          </w:p>
        </w:tc>
        <w:tc>
          <w:tcPr>
            <w:tcW w:w="910" w:type="dxa"/>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0,76</w:t>
            </w:r>
          </w:p>
        </w:tc>
        <w:tc>
          <w:tcPr>
            <w:tcW w:w="1136" w:type="dxa"/>
            <w:shd w:val="clear" w:color="auto" w:fill="auto"/>
            <w:vAlign w:val="center"/>
            <w:hideMark/>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0,84</w:t>
            </w:r>
          </w:p>
        </w:tc>
        <w:tc>
          <w:tcPr>
            <w:tcW w:w="850" w:type="dxa"/>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0,71</w:t>
            </w:r>
          </w:p>
        </w:tc>
        <w:tc>
          <w:tcPr>
            <w:tcW w:w="850" w:type="dxa"/>
            <w:shd w:val="clear" w:color="auto" w:fill="auto"/>
            <w:vAlign w:val="center"/>
            <w:hideMark/>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0,86</w:t>
            </w:r>
          </w:p>
        </w:tc>
        <w:tc>
          <w:tcPr>
            <w:tcW w:w="1157" w:type="dxa"/>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0,8</w:t>
            </w:r>
          </w:p>
        </w:tc>
        <w:tc>
          <w:tcPr>
            <w:tcW w:w="1050" w:type="dxa"/>
            <w:shd w:val="clear" w:color="auto" w:fill="auto"/>
            <w:vAlign w:val="center"/>
            <w:hideMark/>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0,74</w:t>
            </w:r>
          </w:p>
        </w:tc>
      </w:tr>
      <w:tr w:rsidR="005E1664" w:rsidRPr="00D1174C" w:rsidTr="000B2804">
        <w:trPr>
          <w:trHeight w:val="345"/>
          <w:jc w:val="center"/>
        </w:trPr>
        <w:tc>
          <w:tcPr>
            <w:tcW w:w="2155" w:type="dxa"/>
            <w:shd w:val="clear" w:color="auto" w:fill="auto"/>
            <w:vAlign w:val="center"/>
            <w:hideMark/>
          </w:tcPr>
          <w:p w:rsidR="005E1664" w:rsidRPr="00D1174C" w:rsidRDefault="005E1664" w:rsidP="003969D9">
            <w:pPr>
              <w:widowControl w:val="0"/>
              <w:spacing w:line="276" w:lineRule="auto"/>
              <w:rPr>
                <w:rFonts w:eastAsia="Times New Roman"/>
                <w:sz w:val="24"/>
                <w:szCs w:val="24"/>
                <w:lang w:eastAsia="ru-RU"/>
              </w:rPr>
            </w:pPr>
            <w:r w:rsidRPr="00D1174C">
              <w:rPr>
                <w:rFonts w:eastAsia="Times New Roman"/>
                <w:sz w:val="24"/>
                <w:szCs w:val="24"/>
                <w:lang w:eastAsia="ru-RU"/>
              </w:rPr>
              <w:t>Донецька</w:t>
            </w:r>
          </w:p>
        </w:tc>
        <w:tc>
          <w:tcPr>
            <w:tcW w:w="822" w:type="dxa"/>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0,67</w:t>
            </w:r>
          </w:p>
        </w:tc>
        <w:tc>
          <w:tcPr>
            <w:tcW w:w="993" w:type="dxa"/>
            <w:shd w:val="clear" w:color="auto" w:fill="auto"/>
            <w:vAlign w:val="center"/>
            <w:hideMark/>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0,75</w:t>
            </w:r>
          </w:p>
        </w:tc>
        <w:tc>
          <w:tcPr>
            <w:tcW w:w="910" w:type="dxa"/>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0,65</w:t>
            </w:r>
          </w:p>
        </w:tc>
        <w:tc>
          <w:tcPr>
            <w:tcW w:w="1136" w:type="dxa"/>
            <w:shd w:val="clear" w:color="auto" w:fill="auto"/>
            <w:vAlign w:val="center"/>
            <w:hideMark/>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0,86</w:t>
            </w:r>
          </w:p>
        </w:tc>
        <w:tc>
          <w:tcPr>
            <w:tcW w:w="850" w:type="dxa"/>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0,69</w:t>
            </w:r>
          </w:p>
        </w:tc>
        <w:tc>
          <w:tcPr>
            <w:tcW w:w="850" w:type="dxa"/>
            <w:shd w:val="clear" w:color="auto" w:fill="auto"/>
            <w:vAlign w:val="center"/>
            <w:hideMark/>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0,79</w:t>
            </w:r>
          </w:p>
        </w:tc>
        <w:tc>
          <w:tcPr>
            <w:tcW w:w="1157" w:type="dxa"/>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0,65</w:t>
            </w:r>
          </w:p>
        </w:tc>
        <w:tc>
          <w:tcPr>
            <w:tcW w:w="1050" w:type="dxa"/>
            <w:shd w:val="clear" w:color="auto" w:fill="auto"/>
            <w:vAlign w:val="center"/>
            <w:hideMark/>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0,66</w:t>
            </w:r>
          </w:p>
        </w:tc>
      </w:tr>
      <w:tr w:rsidR="005E1664" w:rsidRPr="00D1174C" w:rsidTr="000B2804">
        <w:trPr>
          <w:trHeight w:val="345"/>
          <w:jc w:val="center"/>
        </w:trPr>
        <w:tc>
          <w:tcPr>
            <w:tcW w:w="2155" w:type="dxa"/>
            <w:shd w:val="clear" w:color="auto" w:fill="auto"/>
            <w:vAlign w:val="center"/>
            <w:hideMark/>
          </w:tcPr>
          <w:p w:rsidR="005E1664" w:rsidRPr="00D1174C" w:rsidRDefault="005E1664" w:rsidP="003969D9">
            <w:pPr>
              <w:widowControl w:val="0"/>
              <w:spacing w:line="276" w:lineRule="auto"/>
              <w:rPr>
                <w:rFonts w:eastAsia="Times New Roman"/>
                <w:sz w:val="24"/>
                <w:szCs w:val="24"/>
                <w:lang w:eastAsia="ru-RU"/>
              </w:rPr>
            </w:pPr>
            <w:r w:rsidRPr="00D1174C">
              <w:rPr>
                <w:rFonts w:eastAsia="Times New Roman"/>
                <w:sz w:val="24"/>
                <w:szCs w:val="24"/>
                <w:lang w:eastAsia="ru-RU"/>
              </w:rPr>
              <w:t>Житомирська</w:t>
            </w:r>
          </w:p>
        </w:tc>
        <w:tc>
          <w:tcPr>
            <w:tcW w:w="822" w:type="dxa"/>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0,84</w:t>
            </w:r>
          </w:p>
        </w:tc>
        <w:tc>
          <w:tcPr>
            <w:tcW w:w="993" w:type="dxa"/>
            <w:shd w:val="clear" w:color="auto" w:fill="auto"/>
            <w:vAlign w:val="center"/>
            <w:hideMark/>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0,83</w:t>
            </w:r>
          </w:p>
        </w:tc>
        <w:tc>
          <w:tcPr>
            <w:tcW w:w="910" w:type="dxa"/>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0,76</w:t>
            </w:r>
          </w:p>
        </w:tc>
        <w:tc>
          <w:tcPr>
            <w:tcW w:w="1136" w:type="dxa"/>
            <w:shd w:val="clear" w:color="auto" w:fill="auto"/>
            <w:vAlign w:val="center"/>
            <w:hideMark/>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0,9</w:t>
            </w:r>
          </w:p>
        </w:tc>
        <w:tc>
          <w:tcPr>
            <w:tcW w:w="850" w:type="dxa"/>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0,81</w:t>
            </w:r>
          </w:p>
        </w:tc>
        <w:tc>
          <w:tcPr>
            <w:tcW w:w="850" w:type="dxa"/>
            <w:shd w:val="clear" w:color="auto" w:fill="auto"/>
            <w:vAlign w:val="center"/>
            <w:hideMark/>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0,91</w:t>
            </w:r>
          </w:p>
        </w:tc>
        <w:tc>
          <w:tcPr>
            <w:tcW w:w="1157" w:type="dxa"/>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0,91</w:t>
            </w:r>
          </w:p>
        </w:tc>
        <w:tc>
          <w:tcPr>
            <w:tcW w:w="1050" w:type="dxa"/>
            <w:shd w:val="clear" w:color="auto" w:fill="auto"/>
            <w:vAlign w:val="center"/>
            <w:hideMark/>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0,74</w:t>
            </w:r>
          </w:p>
        </w:tc>
      </w:tr>
      <w:tr w:rsidR="005E1664" w:rsidRPr="00D1174C" w:rsidTr="000B2804">
        <w:trPr>
          <w:trHeight w:val="315"/>
          <w:jc w:val="center"/>
        </w:trPr>
        <w:tc>
          <w:tcPr>
            <w:tcW w:w="2155" w:type="dxa"/>
            <w:shd w:val="clear" w:color="auto" w:fill="auto"/>
            <w:vAlign w:val="center"/>
            <w:hideMark/>
          </w:tcPr>
          <w:p w:rsidR="005E1664" w:rsidRPr="00D1174C" w:rsidRDefault="005E1664" w:rsidP="003969D9">
            <w:pPr>
              <w:widowControl w:val="0"/>
              <w:spacing w:line="276" w:lineRule="auto"/>
              <w:rPr>
                <w:rFonts w:eastAsia="Times New Roman"/>
                <w:sz w:val="24"/>
                <w:szCs w:val="24"/>
                <w:lang w:eastAsia="ru-RU"/>
              </w:rPr>
            </w:pPr>
            <w:r w:rsidRPr="00D1174C">
              <w:rPr>
                <w:rFonts w:eastAsia="Times New Roman"/>
                <w:sz w:val="24"/>
                <w:szCs w:val="24"/>
                <w:lang w:eastAsia="ru-RU"/>
              </w:rPr>
              <w:t>Закарпатська</w:t>
            </w:r>
          </w:p>
        </w:tc>
        <w:tc>
          <w:tcPr>
            <w:tcW w:w="822" w:type="dxa"/>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0,64</w:t>
            </w:r>
          </w:p>
        </w:tc>
        <w:tc>
          <w:tcPr>
            <w:tcW w:w="993" w:type="dxa"/>
            <w:shd w:val="clear" w:color="auto" w:fill="auto"/>
            <w:vAlign w:val="center"/>
            <w:hideMark/>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0,8</w:t>
            </w:r>
          </w:p>
        </w:tc>
        <w:tc>
          <w:tcPr>
            <w:tcW w:w="910" w:type="dxa"/>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0,69</w:t>
            </w:r>
          </w:p>
        </w:tc>
        <w:tc>
          <w:tcPr>
            <w:tcW w:w="1136" w:type="dxa"/>
            <w:shd w:val="clear" w:color="auto" w:fill="auto"/>
            <w:vAlign w:val="center"/>
            <w:hideMark/>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0,83</w:t>
            </w:r>
          </w:p>
        </w:tc>
        <w:tc>
          <w:tcPr>
            <w:tcW w:w="850" w:type="dxa"/>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0,64</w:t>
            </w:r>
          </w:p>
        </w:tc>
        <w:tc>
          <w:tcPr>
            <w:tcW w:w="850" w:type="dxa"/>
            <w:shd w:val="clear" w:color="auto" w:fill="auto"/>
            <w:vAlign w:val="center"/>
            <w:hideMark/>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0,8</w:t>
            </w:r>
          </w:p>
        </w:tc>
        <w:tc>
          <w:tcPr>
            <w:tcW w:w="1157" w:type="dxa"/>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0,63</w:t>
            </w:r>
          </w:p>
        </w:tc>
        <w:tc>
          <w:tcPr>
            <w:tcW w:w="1050" w:type="dxa"/>
            <w:shd w:val="clear" w:color="auto" w:fill="auto"/>
            <w:vAlign w:val="center"/>
            <w:hideMark/>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0,78</w:t>
            </w:r>
          </w:p>
        </w:tc>
      </w:tr>
      <w:tr w:rsidR="005E1664" w:rsidRPr="00D1174C" w:rsidTr="000B2804">
        <w:trPr>
          <w:trHeight w:val="360"/>
          <w:jc w:val="center"/>
        </w:trPr>
        <w:tc>
          <w:tcPr>
            <w:tcW w:w="2155" w:type="dxa"/>
            <w:shd w:val="clear" w:color="auto" w:fill="auto"/>
            <w:vAlign w:val="center"/>
            <w:hideMark/>
          </w:tcPr>
          <w:p w:rsidR="005E1664" w:rsidRPr="00D1174C" w:rsidRDefault="005E1664" w:rsidP="003969D9">
            <w:pPr>
              <w:widowControl w:val="0"/>
              <w:spacing w:line="276" w:lineRule="auto"/>
              <w:rPr>
                <w:rFonts w:eastAsia="Times New Roman"/>
                <w:sz w:val="24"/>
                <w:szCs w:val="24"/>
                <w:lang w:eastAsia="ru-RU"/>
              </w:rPr>
            </w:pPr>
            <w:r w:rsidRPr="00D1174C">
              <w:rPr>
                <w:rFonts w:eastAsia="Times New Roman"/>
                <w:sz w:val="24"/>
                <w:szCs w:val="24"/>
                <w:lang w:eastAsia="ru-RU"/>
              </w:rPr>
              <w:t>Запорізька</w:t>
            </w:r>
          </w:p>
        </w:tc>
        <w:tc>
          <w:tcPr>
            <w:tcW w:w="822" w:type="dxa"/>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0,8</w:t>
            </w:r>
          </w:p>
        </w:tc>
        <w:tc>
          <w:tcPr>
            <w:tcW w:w="993" w:type="dxa"/>
            <w:shd w:val="clear" w:color="auto" w:fill="auto"/>
            <w:vAlign w:val="center"/>
            <w:hideMark/>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0,86</w:t>
            </w:r>
          </w:p>
        </w:tc>
        <w:tc>
          <w:tcPr>
            <w:tcW w:w="910" w:type="dxa"/>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0,88</w:t>
            </w:r>
          </w:p>
        </w:tc>
        <w:tc>
          <w:tcPr>
            <w:tcW w:w="1136" w:type="dxa"/>
            <w:shd w:val="clear" w:color="auto" w:fill="auto"/>
            <w:vAlign w:val="center"/>
            <w:hideMark/>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0,95</w:t>
            </w:r>
          </w:p>
        </w:tc>
        <w:tc>
          <w:tcPr>
            <w:tcW w:w="850" w:type="dxa"/>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0,81</w:t>
            </w:r>
          </w:p>
        </w:tc>
        <w:tc>
          <w:tcPr>
            <w:tcW w:w="850" w:type="dxa"/>
            <w:shd w:val="clear" w:color="auto" w:fill="auto"/>
            <w:vAlign w:val="center"/>
            <w:hideMark/>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0,91</w:t>
            </w:r>
          </w:p>
        </w:tc>
        <w:tc>
          <w:tcPr>
            <w:tcW w:w="1157" w:type="dxa"/>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0,77</w:t>
            </w:r>
          </w:p>
        </w:tc>
        <w:tc>
          <w:tcPr>
            <w:tcW w:w="1050" w:type="dxa"/>
            <w:shd w:val="clear" w:color="auto" w:fill="auto"/>
            <w:vAlign w:val="center"/>
            <w:hideMark/>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0,77</w:t>
            </w:r>
          </w:p>
        </w:tc>
      </w:tr>
      <w:tr w:rsidR="005E1664" w:rsidRPr="00D1174C" w:rsidTr="000B2804">
        <w:trPr>
          <w:trHeight w:val="420"/>
          <w:jc w:val="center"/>
        </w:trPr>
        <w:tc>
          <w:tcPr>
            <w:tcW w:w="2155" w:type="dxa"/>
            <w:shd w:val="clear" w:color="auto" w:fill="auto"/>
            <w:vAlign w:val="center"/>
            <w:hideMark/>
          </w:tcPr>
          <w:p w:rsidR="005E1664" w:rsidRPr="00D1174C" w:rsidRDefault="005E1664" w:rsidP="003969D9">
            <w:pPr>
              <w:widowControl w:val="0"/>
              <w:spacing w:line="276" w:lineRule="auto"/>
              <w:rPr>
                <w:rFonts w:eastAsia="Times New Roman"/>
                <w:sz w:val="24"/>
                <w:szCs w:val="24"/>
                <w:lang w:eastAsia="ru-RU"/>
              </w:rPr>
            </w:pPr>
            <w:r w:rsidRPr="00D1174C">
              <w:rPr>
                <w:rFonts w:eastAsia="Times New Roman"/>
                <w:sz w:val="24"/>
                <w:szCs w:val="24"/>
                <w:lang w:eastAsia="ru-RU"/>
              </w:rPr>
              <w:t>Івано-Франківська</w:t>
            </w:r>
          </w:p>
        </w:tc>
        <w:tc>
          <w:tcPr>
            <w:tcW w:w="822" w:type="dxa"/>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0,84</w:t>
            </w:r>
          </w:p>
        </w:tc>
        <w:tc>
          <w:tcPr>
            <w:tcW w:w="993" w:type="dxa"/>
            <w:shd w:val="clear" w:color="auto" w:fill="auto"/>
            <w:vAlign w:val="center"/>
            <w:hideMark/>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0,88</w:t>
            </w:r>
          </w:p>
        </w:tc>
        <w:tc>
          <w:tcPr>
            <w:tcW w:w="910" w:type="dxa"/>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1,0</w:t>
            </w:r>
          </w:p>
        </w:tc>
        <w:tc>
          <w:tcPr>
            <w:tcW w:w="1136" w:type="dxa"/>
            <w:shd w:val="clear" w:color="auto" w:fill="auto"/>
            <w:vAlign w:val="center"/>
            <w:hideMark/>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0,97</w:t>
            </w:r>
          </w:p>
        </w:tc>
        <w:tc>
          <w:tcPr>
            <w:tcW w:w="850" w:type="dxa"/>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0,88</w:t>
            </w:r>
          </w:p>
        </w:tc>
        <w:tc>
          <w:tcPr>
            <w:tcW w:w="850" w:type="dxa"/>
            <w:shd w:val="clear" w:color="auto" w:fill="auto"/>
            <w:vAlign w:val="center"/>
            <w:hideMark/>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0,91</w:t>
            </w:r>
          </w:p>
        </w:tc>
        <w:tc>
          <w:tcPr>
            <w:tcW w:w="1157" w:type="dxa"/>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0,75</w:t>
            </w:r>
          </w:p>
        </w:tc>
        <w:tc>
          <w:tcPr>
            <w:tcW w:w="1050" w:type="dxa"/>
            <w:shd w:val="clear" w:color="auto" w:fill="auto"/>
            <w:vAlign w:val="center"/>
            <w:hideMark/>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0,81</w:t>
            </w:r>
          </w:p>
        </w:tc>
      </w:tr>
      <w:tr w:rsidR="005E1664" w:rsidRPr="00D1174C" w:rsidTr="000B2804">
        <w:trPr>
          <w:trHeight w:val="330"/>
          <w:jc w:val="center"/>
        </w:trPr>
        <w:tc>
          <w:tcPr>
            <w:tcW w:w="2155" w:type="dxa"/>
            <w:shd w:val="clear" w:color="auto" w:fill="auto"/>
            <w:vAlign w:val="center"/>
            <w:hideMark/>
          </w:tcPr>
          <w:p w:rsidR="005E1664" w:rsidRPr="00D1174C" w:rsidRDefault="005E1664" w:rsidP="003969D9">
            <w:pPr>
              <w:widowControl w:val="0"/>
              <w:spacing w:line="276" w:lineRule="auto"/>
              <w:rPr>
                <w:rFonts w:eastAsia="Times New Roman"/>
                <w:sz w:val="24"/>
                <w:szCs w:val="24"/>
                <w:lang w:eastAsia="ru-RU"/>
              </w:rPr>
            </w:pPr>
            <w:r w:rsidRPr="00D1174C">
              <w:rPr>
                <w:rFonts w:eastAsia="Times New Roman"/>
                <w:sz w:val="24"/>
                <w:szCs w:val="24"/>
                <w:lang w:eastAsia="ru-RU"/>
              </w:rPr>
              <w:t>Київська</w:t>
            </w:r>
          </w:p>
        </w:tc>
        <w:tc>
          <w:tcPr>
            <w:tcW w:w="822" w:type="dxa"/>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0,71</w:t>
            </w:r>
          </w:p>
        </w:tc>
        <w:tc>
          <w:tcPr>
            <w:tcW w:w="993" w:type="dxa"/>
            <w:shd w:val="clear" w:color="auto" w:fill="auto"/>
            <w:vAlign w:val="center"/>
            <w:hideMark/>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0,72</w:t>
            </w:r>
          </w:p>
        </w:tc>
        <w:tc>
          <w:tcPr>
            <w:tcW w:w="910" w:type="dxa"/>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0,73</w:t>
            </w:r>
          </w:p>
        </w:tc>
        <w:tc>
          <w:tcPr>
            <w:tcW w:w="1136" w:type="dxa"/>
            <w:shd w:val="clear" w:color="auto" w:fill="auto"/>
            <w:vAlign w:val="center"/>
            <w:hideMark/>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0,85</w:t>
            </w:r>
          </w:p>
        </w:tc>
        <w:tc>
          <w:tcPr>
            <w:tcW w:w="850" w:type="dxa"/>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0,69</w:t>
            </w:r>
          </w:p>
        </w:tc>
        <w:tc>
          <w:tcPr>
            <w:tcW w:w="850" w:type="dxa"/>
            <w:shd w:val="clear" w:color="auto" w:fill="auto"/>
            <w:vAlign w:val="center"/>
            <w:hideMark/>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0,73</w:t>
            </w:r>
          </w:p>
        </w:tc>
        <w:tc>
          <w:tcPr>
            <w:tcW w:w="1157" w:type="dxa"/>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0,72</w:t>
            </w:r>
          </w:p>
        </w:tc>
        <w:tc>
          <w:tcPr>
            <w:tcW w:w="1050" w:type="dxa"/>
            <w:shd w:val="clear" w:color="auto" w:fill="auto"/>
            <w:vAlign w:val="center"/>
            <w:hideMark/>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0,65</w:t>
            </w:r>
          </w:p>
        </w:tc>
      </w:tr>
      <w:tr w:rsidR="005E1664" w:rsidRPr="00D1174C" w:rsidTr="000B2804">
        <w:trPr>
          <w:trHeight w:val="345"/>
          <w:jc w:val="center"/>
        </w:trPr>
        <w:tc>
          <w:tcPr>
            <w:tcW w:w="2155" w:type="dxa"/>
            <w:shd w:val="clear" w:color="auto" w:fill="auto"/>
            <w:vAlign w:val="center"/>
            <w:hideMark/>
          </w:tcPr>
          <w:p w:rsidR="005E1664" w:rsidRPr="00D1174C" w:rsidRDefault="005E1664" w:rsidP="003969D9">
            <w:pPr>
              <w:widowControl w:val="0"/>
              <w:spacing w:line="276" w:lineRule="auto"/>
              <w:rPr>
                <w:rFonts w:eastAsia="Times New Roman"/>
                <w:sz w:val="24"/>
                <w:szCs w:val="24"/>
                <w:lang w:eastAsia="ru-RU"/>
              </w:rPr>
            </w:pPr>
            <w:r w:rsidRPr="00D1174C">
              <w:rPr>
                <w:rFonts w:eastAsia="Times New Roman"/>
                <w:sz w:val="24"/>
                <w:szCs w:val="24"/>
                <w:lang w:eastAsia="ru-RU"/>
              </w:rPr>
              <w:t>Кіровоградська</w:t>
            </w:r>
          </w:p>
        </w:tc>
        <w:tc>
          <w:tcPr>
            <w:tcW w:w="822" w:type="dxa"/>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0,71</w:t>
            </w:r>
          </w:p>
        </w:tc>
        <w:tc>
          <w:tcPr>
            <w:tcW w:w="993" w:type="dxa"/>
            <w:shd w:val="clear" w:color="auto" w:fill="auto"/>
            <w:vAlign w:val="center"/>
            <w:hideMark/>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0,84</w:t>
            </w:r>
          </w:p>
        </w:tc>
        <w:tc>
          <w:tcPr>
            <w:tcW w:w="910" w:type="dxa"/>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0,77</w:t>
            </w:r>
          </w:p>
        </w:tc>
        <w:tc>
          <w:tcPr>
            <w:tcW w:w="1136" w:type="dxa"/>
            <w:shd w:val="clear" w:color="auto" w:fill="auto"/>
            <w:vAlign w:val="center"/>
            <w:hideMark/>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0,91</w:t>
            </w:r>
          </w:p>
        </w:tc>
        <w:tc>
          <w:tcPr>
            <w:tcW w:w="850" w:type="dxa"/>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0,82</w:t>
            </w:r>
          </w:p>
        </w:tc>
        <w:tc>
          <w:tcPr>
            <w:tcW w:w="850" w:type="dxa"/>
            <w:shd w:val="clear" w:color="auto" w:fill="auto"/>
            <w:vAlign w:val="center"/>
            <w:hideMark/>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0,81</w:t>
            </w:r>
          </w:p>
        </w:tc>
        <w:tc>
          <w:tcPr>
            <w:tcW w:w="1157" w:type="dxa"/>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0,54</w:t>
            </w:r>
          </w:p>
        </w:tc>
        <w:tc>
          <w:tcPr>
            <w:tcW w:w="1050" w:type="dxa"/>
            <w:shd w:val="clear" w:color="auto" w:fill="auto"/>
            <w:vAlign w:val="center"/>
            <w:hideMark/>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0,85</w:t>
            </w:r>
          </w:p>
        </w:tc>
      </w:tr>
      <w:tr w:rsidR="005E1664" w:rsidRPr="00D1174C" w:rsidTr="000B2804">
        <w:trPr>
          <w:trHeight w:val="330"/>
          <w:jc w:val="center"/>
        </w:trPr>
        <w:tc>
          <w:tcPr>
            <w:tcW w:w="2155" w:type="dxa"/>
            <w:shd w:val="clear" w:color="auto" w:fill="auto"/>
            <w:vAlign w:val="center"/>
            <w:hideMark/>
          </w:tcPr>
          <w:p w:rsidR="005E1664" w:rsidRPr="00D1174C" w:rsidRDefault="005E1664" w:rsidP="003969D9">
            <w:pPr>
              <w:widowControl w:val="0"/>
              <w:spacing w:line="276" w:lineRule="auto"/>
              <w:rPr>
                <w:rFonts w:eastAsia="Times New Roman"/>
                <w:sz w:val="24"/>
                <w:szCs w:val="24"/>
                <w:lang w:eastAsia="ru-RU"/>
              </w:rPr>
            </w:pPr>
            <w:r w:rsidRPr="00D1174C">
              <w:rPr>
                <w:rFonts w:eastAsia="Times New Roman"/>
                <w:sz w:val="24"/>
                <w:szCs w:val="24"/>
                <w:lang w:eastAsia="ru-RU"/>
              </w:rPr>
              <w:t>Луганська</w:t>
            </w:r>
          </w:p>
        </w:tc>
        <w:tc>
          <w:tcPr>
            <w:tcW w:w="822" w:type="dxa"/>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0,72</w:t>
            </w:r>
          </w:p>
        </w:tc>
        <w:tc>
          <w:tcPr>
            <w:tcW w:w="993" w:type="dxa"/>
            <w:shd w:val="clear" w:color="auto" w:fill="auto"/>
            <w:vAlign w:val="center"/>
            <w:hideMark/>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0,82</w:t>
            </w:r>
          </w:p>
        </w:tc>
        <w:tc>
          <w:tcPr>
            <w:tcW w:w="910" w:type="dxa"/>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0,72</w:t>
            </w:r>
          </w:p>
        </w:tc>
        <w:tc>
          <w:tcPr>
            <w:tcW w:w="1136" w:type="dxa"/>
            <w:shd w:val="clear" w:color="auto" w:fill="auto"/>
            <w:vAlign w:val="center"/>
            <w:hideMark/>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0,9</w:t>
            </w:r>
          </w:p>
        </w:tc>
        <w:tc>
          <w:tcPr>
            <w:tcW w:w="850" w:type="dxa"/>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0,82</w:t>
            </w:r>
          </w:p>
        </w:tc>
        <w:tc>
          <w:tcPr>
            <w:tcW w:w="850" w:type="dxa"/>
            <w:shd w:val="clear" w:color="auto" w:fill="auto"/>
            <w:vAlign w:val="center"/>
            <w:hideMark/>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0,86</w:t>
            </w:r>
          </w:p>
        </w:tc>
        <w:tc>
          <w:tcPr>
            <w:tcW w:w="1157" w:type="dxa"/>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0,61</w:t>
            </w:r>
          </w:p>
        </w:tc>
        <w:tc>
          <w:tcPr>
            <w:tcW w:w="1050" w:type="dxa"/>
            <w:shd w:val="clear" w:color="auto" w:fill="auto"/>
            <w:vAlign w:val="center"/>
            <w:hideMark/>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0,75</w:t>
            </w:r>
          </w:p>
        </w:tc>
      </w:tr>
      <w:tr w:rsidR="005E1664" w:rsidRPr="00D1174C" w:rsidTr="000B2804">
        <w:trPr>
          <w:trHeight w:val="330"/>
          <w:jc w:val="center"/>
        </w:trPr>
        <w:tc>
          <w:tcPr>
            <w:tcW w:w="2155" w:type="dxa"/>
            <w:shd w:val="clear" w:color="auto" w:fill="auto"/>
            <w:vAlign w:val="center"/>
            <w:hideMark/>
          </w:tcPr>
          <w:p w:rsidR="005E1664" w:rsidRPr="00D1174C" w:rsidRDefault="005E1664" w:rsidP="003969D9">
            <w:pPr>
              <w:widowControl w:val="0"/>
              <w:spacing w:line="276" w:lineRule="auto"/>
              <w:rPr>
                <w:rFonts w:eastAsia="Times New Roman"/>
                <w:sz w:val="24"/>
                <w:szCs w:val="24"/>
                <w:lang w:eastAsia="ru-RU"/>
              </w:rPr>
            </w:pPr>
            <w:r w:rsidRPr="00D1174C">
              <w:rPr>
                <w:rFonts w:eastAsia="Times New Roman"/>
                <w:sz w:val="24"/>
                <w:szCs w:val="24"/>
                <w:lang w:eastAsia="ru-RU"/>
              </w:rPr>
              <w:t>Львівська</w:t>
            </w:r>
          </w:p>
        </w:tc>
        <w:tc>
          <w:tcPr>
            <w:tcW w:w="822" w:type="dxa"/>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0,79</w:t>
            </w:r>
          </w:p>
        </w:tc>
        <w:tc>
          <w:tcPr>
            <w:tcW w:w="993" w:type="dxa"/>
            <w:shd w:val="clear" w:color="auto" w:fill="auto"/>
            <w:vAlign w:val="center"/>
            <w:hideMark/>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0,88</w:t>
            </w:r>
          </w:p>
        </w:tc>
        <w:tc>
          <w:tcPr>
            <w:tcW w:w="910" w:type="dxa"/>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1,0</w:t>
            </w:r>
          </w:p>
        </w:tc>
        <w:tc>
          <w:tcPr>
            <w:tcW w:w="1136" w:type="dxa"/>
            <w:shd w:val="clear" w:color="auto" w:fill="auto"/>
            <w:vAlign w:val="center"/>
            <w:hideMark/>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0,99</w:t>
            </w:r>
          </w:p>
        </w:tc>
        <w:tc>
          <w:tcPr>
            <w:tcW w:w="850" w:type="dxa"/>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0,77</w:t>
            </w:r>
          </w:p>
        </w:tc>
        <w:tc>
          <w:tcPr>
            <w:tcW w:w="850" w:type="dxa"/>
            <w:shd w:val="clear" w:color="auto" w:fill="auto"/>
            <w:vAlign w:val="center"/>
            <w:hideMark/>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0,85</w:t>
            </w:r>
          </w:p>
        </w:tc>
        <w:tc>
          <w:tcPr>
            <w:tcW w:w="1157" w:type="dxa"/>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0,76</w:t>
            </w:r>
          </w:p>
        </w:tc>
        <w:tc>
          <w:tcPr>
            <w:tcW w:w="1050" w:type="dxa"/>
            <w:shd w:val="clear" w:color="auto" w:fill="auto"/>
            <w:vAlign w:val="center"/>
            <w:hideMark/>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0,85</w:t>
            </w:r>
          </w:p>
        </w:tc>
      </w:tr>
      <w:tr w:rsidR="005E1664" w:rsidRPr="00D1174C" w:rsidTr="000B2804">
        <w:trPr>
          <w:trHeight w:val="270"/>
          <w:jc w:val="center"/>
        </w:trPr>
        <w:tc>
          <w:tcPr>
            <w:tcW w:w="2155" w:type="dxa"/>
            <w:shd w:val="clear" w:color="auto" w:fill="auto"/>
            <w:vAlign w:val="center"/>
            <w:hideMark/>
          </w:tcPr>
          <w:p w:rsidR="005E1664" w:rsidRPr="00D1174C" w:rsidRDefault="005E1664" w:rsidP="003969D9">
            <w:pPr>
              <w:widowControl w:val="0"/>
              <w:spacing w:line="276" w:lineRule="auto"/>
              <w:rPr>
                <w:rFonts w:eastAsia="Times New Roman"/>
                <w:sz w:val="24"/>
                <w:szCs w:val="24"/>
                <w:lang w:eastAsia="ru-RU"/>
              </w:rPr>
            </w:pPr>
            <w:r w:rsidRPr="00D1174C">
              <w:rPr>
                <w:rFonts w:eastAsia="Times New Roman"/>
                <w:sz w:val="24"/>
                <w:szCs w:val="24"/>
                <w:lang w:eastAsia="ru-RU"/>
              </w:rPr>
              <w:t>Миколаївська</w:t>
            </w:r>
          </w:p>
        </w:tc>
        <w:tc>
          <w:tcPr>
            <w:tcW w:w="822" w:type="dxa"/>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0,69</w:t>
            </w:r>
          </w:p>
        </w:tc>
        <w:tc>
          <w:tcPr>
            <w:tcW w:w="993" w:type="dxa"/>
            <w:shd w:val="clear" w:color="auto" w:fill="auto"/>
            <w:vAlign w:val="center"/>
            <w:hideMark/>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0,74</w:t>
            </w:r>
          </w:p>
        </w:tc>
        <w:tc>
          <w:tcPr>
            <w:tcW w:w="910" w:type="dxa"/>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0,56</w:t>
            </w:r>
          </w:p>
        </w:tc>
        <w:tc>
          <w:tcPr>
            <w:tcW w:w="1136" w:type="dxa"/>
            <w:shd w:val="clear" w:color="auto" w:fill="auto"/>
            <w:vAlign w:val="center"/>
            <w:hideMark/>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0,8</w:t>
            </w:r>
          </w:p>
        </w:tc>
        <w:tc>
          <w:tcPr>
            <w:tcW w:w="850" w:type="dxa"/>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0,63</w:t>
            </w:r>
          </w:p>
        </w:tc>
        <w:tc>
          <w:tcPr>
            <w:tcW w:w="850" w:type="dxa"/>
            <w:shd w:val="clear" w:color="auto" w:fill="auto"/>
            <w:vAlign w:val="center"/>
            <w:hideMark/>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0,82</w:t>
            </w:r>
          </w:p>
        </w:tc>
        <w:tc>
          <w:tcPr>
            <w:tcW w:w="1157" w:type="dxa"/>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0,82</w:t>
            </w:r>
          </w:p>
        </w:tc>
        <w:tc>
          <w:tcPr>
            <w:tcW w:w="1050" w:type="dxa"/>
            <w:shd w:val="clear" w:color="auto" w:fill="auto"/>
            <w:vAlign w:val="center"/>
            <w:hideMark/>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0,64</w:t>
            </w:r>
          </w:p>
        </w:tc>
      </w:tr>
      <w:tr w:rsidR="005E1664" w:rsidRPr="00D1174C" w:rsidTr="000B2804">
        <w:trPr>
          <w:trHeight w:val="330"/>
          <w:jc w:val="center"/>
        </w:trPr>
        <w:tc>
          <w:tcPr>
            <w:tcW w:w="2155" w:type="dxa"/>
            <w:shd w:val="clear" w:color="auto" w:fill="auto"/>
            <w:vAlign w:val="center"/>
            <w:hideMark/>
          </w:tcPr>
          <w:p w:rsidR="005E1664" w:rsidRPr="00D1174C" w:rsidRDefault="005E1664" w:rsidP="003969D9">
            <w:pPr>
              <w:widowControl w:val="0"/>
              <w:spacing w:line="276" w:lineRule="auto"/>
              <w:rPr>
                <w:rFonts w:eastAsia="Times New Roman"/>
                <w:sz w:val="24"/>
                <w:szCs w:val="24"/>
                <w:lang w:eastAsia="ru-RU"/>
              </w:rPr>
            </w:pPr>
            <w:r w:rsidRPr="00D1174C">
              <w:rPr>
                <w:rFonts w:eastAsia="Times New Roman"/>
                <w:sz w:val="24"/>
                <w:szCs w:val="24"/>
                <w:lang w:eastAsia="ru-RU"/>
              </w:rPr>
              <w:t>Одеська</w:t>
            </w:r>
          </w:p>
        </w:tc>
        <w:tc>
          <w:tcPr>
            <w:tcW w:w="822" w:type="dxa"/>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0,73</w:t>
            </w:r>
          </w:p>
        </w:tc>
        <w:tc>
          <w:tcPr>
            <w:tcW w:w="993" w:type="dxa"/>
            <w:shd w:val="clear" w:color="auto" w:fill="auto"/>
            <w:vAlign w:val="center"/>
            <w:hideMark/>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0,82</w:t>
            </w:r>
          </w:p>
        </w:tc>
        <w:tc>
          <w:tcPr>
            <w:tcW w:w="910" w:type="dxa"/>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0,78</w:t>
            </w:r>
          </w:p>
        </w:tc>
        <w:tc>
          <w:tcPr>
            <w:tcW w:w="1136" w:type="dxa"/>
            <w:shd w:val="clear" w:color="auto" w:fill="auto"/>
            <w:vAlign w:val="center"/>
            <w:hideMark/>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0,89</w:t>
            </w:r>
          </w:p>
        </w:tc>
        <w:tc>
          <w:tcPr>
            <w:tcW w:w="850" w:type="dxa"/>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0,73</w:t>
            </w:r>
          </w:p>
        </w:tc>
        <w:tc>
          <w:tcPr>
            <w:tcW w:w="850" w:type="dxa"/>
            <w:shd w:val="clear" w:color="auto" w:fill="auto"/>
            <w:vAlign w:val="center"/>
            <w:hideMark/>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0,77</w:t>
            </w:r>
          </w:p>
        </w:tc>
        <w:tc>
          <w:tcPr>
            <w:tcW w:w="1157" w:type="dxa"/>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0,72</w:t>
            </w:r>
          </w:p>
        </w:tc>
        <w:tc>
          <w:tcPr>
            <w:tcW w:w="1050" w:type="dxa"/>
            <w:shd w:val="clear" w:color="auto" w:fill="auto"/>
            <w:vAlign w:val="center"/>
            <w:hideMark/>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0,85</w:t>
            </w:r>
          </w:p>
        </w:tc>
      </w:tr>
    </w:tbl>
    <w:p w:rsidR="00595829" w:rsidRDefault="00595829" w:rsidP="003969D9">
      <w:pPr>
        <w:jc w:val="right"/>
        <w:rPr>
          <w:i/>
          <w:lang w:val="ru-RU"/>
        </w:rPr>
      </w:pPr>
    </w:p>
    <w:p w:rsidR="003969D9" w:rsidRPr="003969D9" w:rsidRDefault="003969D9" w:rsidP="003969D9">
      <w:pPr>
        <w:jc w:val="right"/>
        <w:rPr>
          <w:i/>
          <w:lang w:val="ru-RU"/>
        </w:rPr>
      </w:pPr>
      <w:r w:rsidRPr="003969D9">
        <w:rPr>
          <w:i/>
          <w:lang w:val="ru-RU"/>
        </w:rPr>
        <w:lastRenderedPageBreak/>
        <w:t>Продовження табл. 7.7</w:t>
      </w:r>
    </w:p>
    <w:tbl>
      <w:tblPr>
        <w:tblW w:w="0" w:type="auto"/>
        <w:jc w:val="center"/>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55"/>
        <w:gridCol w:w="822"/>
        <w:gridCol w:w="993"/>
        <w:gridCol w:w="910"/>
        <w:gridCol w:w="1136"/>
        <w:gridCol w:w="850"/>
        <w:gridCol w:w="850"/>
        <w:gridCol w:w="1157"/>
        <w:gridCol w:w="1050"/>
      </w:tblGrid>
      <w:tr w:rsidR="005E1664" w:rsidRPr="00D1174C" w:rsidTr="000B2804">
        <w:trPr>
          <w:trHeight w:val="360"/>
          <w:jc w:val="center"/>
        </w:trPr>
        <w:tc>
          <w:tcPr>
            <w:tcW w:w="2155" w:type="dxa"/>
            <w:shd w:val="clear" w:color="auto" w:fill="auto"/>
            <w:vAlign w:val="center"/>
            <w:hideMark/>
          </w:tcPr>
          <w:p w:rsidR="005E1664" w:rsidRPr="00D1174C" w:rsidRDefault="005E1664" w:rsidP="003969D9">
            <w:pPr>
              <w:widowControl w:val="0"/>
              <w:spacing w:line="276" w:lineRule="auto"/>
              <w:rPr>
                <w:rFonts w:eastAsia="Times New Roman"/>
                <w:sz w:val="24"/>
                <w:szCs w:val="24"/>
                <w:lang w:eastAsia="ru-RU"/>
              </w:rPr>
            </w:pPr>
            <w:r w:rsidRPr="00D1174C">
              <w:rPr>
                <w:rFonts w:eastAsia="Times New Roman"/>
                <w:sz w:val="24"/>
                <w:szCs w:val="24"/>
                <w:lang w:eastAsia="ru-RU"/>
              </w:rPr>
              <w:t>Полтавська</w:t>
            </w:r>
          </w:p>
        </w:tc>
        <w:tc>
          <w:tcPr>
            <w:tcW w:w="822" w:type="dxa"/>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0,80</w:t>
            </w:r>
          </w:p>
        </w:tc>
        <w:tc>
          <w:tcPr>
            <w:tcW w:w="993" w:type="dxa"/>
            <w:shd w:val="clear" w:color="auto" w:fill="auto"/>
            <w:vAlign w:val="center"/>
            <w:hideMark/>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0,84</w:t>
            </w:r>
          </w:p>
        </w:tc>
        <w:tc>
          <w:tcPr>
            <w:tcW w:w="910" w:type="dxa"/>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0,84</w:t>
            </w:r>
          </w:p>
        </w:tc>
        <w:tc>
          <w:tcPr>
            <w:tcW w:w="1136" w:type="dxa"/>
            <w:shd w:val="clear" w:color="auto" w:fill="auto"/>
            <w:vAlign w:val="center"/>
            <w:hideMark/>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0,89</w:t>
            </w:r>
          </w:p>
        </w:tc>
        <w:tc>
          <w:tcPr>
            <w:tcW w:w="850" w:type="dxa"/>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0,78</w:t>
            </w:r>
          </w:p>
        </w:tc>
        <w:tc>
          <w:tcPr>
            <w:tcW w:w="850" w:type="dxa"/>
            <w:shd w:val="clear" w:color="auto" w:fill="auto"/>
            <w:vAlign w:val="center"/>
            <w:hideMark/>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0,8</w:t>
            </w:r>
          </w:p>
        </w:tc>
        <w:tc>
          <w:tcPr>
            <w:tcW w:w="1157" w:type="dxa"/>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0,84</w:t>
            </w:r>
          </w:p>
        </w:tc>
        <w:tc>
          <w:tcPr>
            <w:tcW w:w="1050" w:type="dxa"/>
            <w:shd w:val="clear" w:color="auto" w:fill="auto"/>
            <w:vAlign w:val="center"/>
            <w:hideMark/>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0,85</w:t>
            </w:r>
          </w:p>
        </w:tc>
      </w:tr>
      <w:tr w:rsidR="005E1664" w:rsidRPr="00D1174C" w:rsidTr="000B2804">
        <w:trPr>
          <w:trHeight w:val="330"/>
          <w:jc w:val="center"/>
        </w:trPr>
        <w:tc>
          <w:tcPr>
            <w:tcW w:w="2155" w:type="dxa"/>
            <w:shd w:val="clear" w:color="auto" w:fill="auto"/>
            <w:vAlign w:val="center"/>
            <w:hideMark/>
          </w:tcPr>
          <w:p w:rsidR="005E1664" w:rsidRPr="00D1174C" w:rsidRDefault="005E1664" w:rsidP="003969D9">
            <w:pPr>
              <w:widowControl w:val="0"/>
              <w:spacing w:line="276" w:lineRule="auto"/>
              <w:rPr>
                <w:rFonts w:eastAsia="Times New Roman"/>
                <w:sz w:val="24"/>
                <w:szCs w:val="24"/>
                <w:lang w:eastAsia="ru-RU"/>
              </w:rPr>
            </w:pPr>
            <w:r w:rsidRPr="00D1174C">
              <w:rPr>
                <w:rFonts w:eastAsia="Times New Roman"/>
                <w:sz w:val="24"/>
                <w:szCs w:val="24"/>
                <w:lang w:eastAsia="ru-RU"/>
              </w:rPr>
              <w:t>Рівненська</w:t>
            </w:r>
          </w:p>
        </w:tc>
        <w:tc>
          <w:tcPr>
            <w:tcW w:w="822" w:type="dxa"/>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0,72</w:t>
            </w:r>
          </w:p>
        </w:tc>
        <w:tc>
          <w:tcPr>
            <w:tcW w:w="993" w:type="dxa"/>
            <w:shd w:val="clear" w:color="auto" w:fill="auto"/>
            <w:vAlign w:val="center"/>
            <w:hideMark/>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0,79</w:t>
            </w:r>
          </w:p>
        </w:tc>
        <w:tc>
          <w:tcPr>
            <w:tcW w:w="910" w:type="dxa"/>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0,79</w:t>
            </w:r>
          </w:p>
        </w:tc>
        <w:tc>
          <w:tcPr>
            <w:tcW w:w="1136" w:type="dxa"/>
            <w:shd w:val="clear" w:color="auto" w:fill="auto"/>
            <w:vAlign w:val="center"/>
            <w:hideMark/>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0,89</w:t>
            </w:r>
          </w:p>
        </w:tc>
        <w:tc>
          <w:tcPr>
            <w:tcW w:w="850" w:type="dxa"/>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0,66</w:t>
            </w:r>
          </w:p>
        </w:tc>
        <w:tc>
          <w:tcPr>
            <w:tcW w:w="850" w:type="dxa"/>
            <w:shd w:val="clear" w:color="auto" w:fill="auto"/>
            <w:vAlign w:val="center"/>
            <w:hideMark/>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0,9</w:t>
            </w:r>
          </w:p>
        </w:tc>
        <w:tc>
          <w:tcPr>
            <w:tcW w:w="1157" w:type="dxa"/>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0,78</w:t>
            </w:r>
          </w:p>
        </w:tc>
        <w:tc>
          <w:tcPr>
            <w:tcW w:w="1050" w:type="dxa"/>
            <w:shd w:val="clear" w:color="auto" w:fill="auto"/>
            <w:vAlign w:val="center"/>
            <w:hideMark/>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0,66</w:t>
            </w:r>
          </w:p>
        </w:tc>
      </w:tr>
      <w:tr w:rsidR="005E1664" w:rsidRPr="00D1174C" w:rsidTr="000B2804">
        <w:trPr>
          <w:trHeight w:val="330"/>
          <w:jc w:val="center"/>
        </w:trPr>
        <w:tc>
          <w:tcPr>
            <w:tcW w:w="2155" w:type="dxa"/>
            <w:shd w:val="clear" w:color="auto" w:fill="auto"/>
            <w:vAlign w:val="center"/>
            <w:hideMark/>
          </w:tcPr>
          <w:p w:rsidR="005E1664" w:rsidRPr="00D1174C" w:rsidRDefault="005E1664" w:rsidP="003969D9">
            <w:pPr>
              <w:widowControl w:val="0"/>
              <w:spacing w:line="276" w:lineRule="auto"/>
              <w:rPr>
                <w:rFonts w:eastAsia="Times New Roman"/>
                <w:sz w:val="24"/>
                <w:szCs w:val="24"/>
                <w:lang w:eastAsia="ru-RU"/>
              </w:rPr>
            </w:pPr>
            <w:r w:rsidRPr="00D1174C">
              <w:rPr>
                <w:rFonts w:eastAsia="Times New Roman"/>
                <w:sz w:val="24"/>
                <w:szCs w:val="24"/>
                <w:lang w:eastAsia="ru-RU"/>
              </w:rPr>
              <w:t>Сумська</w:t>
            </w:r>
          </w:p>
        </w:tc>
        <w:tc>
          <w:tcPr>
            <w:tcW w:w="822" w:type="dxa"/>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0,8</w:t>
            </w:r>
          </w:p>
        </w:tc>
        <w:tc>
          <w:tcPr>
            <w:tcW w:w="993" w:type="dxa"/>
            <w:shd w:val="clear" w:color="auto" w:fill="auto"/>
            <w:vAlign w:val="center"/>
            <w:hideMark/>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0,86</w:t>
            </w:r>
          </w:p>
        </w:tc>
        <w:tc>
          <w:tcPr>
            <w:tcW w:w="910" w:type="dxa"/>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0,87</w:t>
            </w:r>
          </w:p>
        </w:tc>
        <w:tc>
          <w:tcPr>
            <w:tcW w:w="1136" w:type="dxa"/>
            <w:shd w:val="clear" w:color="auto" w:fill="auto"/>
            <w:vAlign w:val="center"/>
            <w:hideMark/>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0,9</w:t>
            </w:r>
          </w:p>
        </w:tc>
        <w:tc>
          <w:tcPr>
            <w:tcW w:w="850" w:type="dxa"/>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0,78</w:t>
            </w:r>
          </w:p>
        </w:tc>
        <w:tc>
          <w:tcPr>
            <w:tcW w:w="850" w:type="dxa"/>
            <w:shd w:val="clear" w:color="auto" w:fill="auto"/>
            <w:vAlign w:val="center"/>
            <w:hideMark/>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0,93</w:t>
            </w:r>
          </w:p>
        </w:tc>
        <w:tc>
          <w:tcPr>
            <w:tcW w:w="1157" w:type="dxa"/>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0,8</w:t>
            </w:r>
          </w:p>
        </w:tc>
        <w:tc>
          <w:tcPr>
            <w:tcW w:w="1050" w:type="dxa"/>
            <w:shd w:val="clear" w:color="auto" w:fill="auto"/>
            <w:vAlign w:val="center"/>
            <w:hideMark/>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0,8</w:t>
            </w:r>
          </w:p>
        </w:tc>
      </w:tr>
      <w:tr w:rsidR="005E1664" w:rsidRPr="00D1174C" w:rsidTr="000B2804">
        <w:trPr>
          <w:trHeight w:val="360"/>
          <w:jc w:val="center"/>
        </w:trPr>
        <w:tc>
          <w:tcPr>
            <w:tcW w:w="2155" w:type="dxa"/>
            <w:shd w:val="clear" w:color="auto" w:fill="auto"/>
            <w:vAlign w:val="center"/>
            <w:hideMark/>
          </w:tcPr>
          <w:p w:rsidR="005E1664" w:rsidRPr="00D1174C" w:rsidRDefault="005E1664" w:rsidP="003969D9">
            <w:pPr>
              <w:widowControl w:val="0"/>
              <w:spacing w:line="276" w:lineRule="auto"/>
              <w:rPr>
                <w:rFonts w:eastAsia="Times New Roman"/>
                <w:sz w:val="24"/>
                <w:szCs w:val="24"/>
                <w:lang w:eastAsia="ru-RU"/>
              </w:rPr>
            </w:pPr>
            <w:r w:rsidRPr="00D1174C">
              <w:rPr>
                <w:rFonts w:eastAsia="Times New Roman"/>
                <w:sz w:val="24"/>
                <w:szCs w:val="24"/>
                <w:lang w:eastAsia="ru-RU"/>
              </w:rPr>
              <w:t>Тернопільська</w:t>
            </w:r>
          </w:p>
        </w:tc>
        <w:tc>
          <w:tcPr>
            <w:tcW w:w="822" w:type="dxa"/>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0,86</w:t>
            </w:r>
          </w:p>
        </w:tc>
        <w:tc>
          <w:tcPr>
            <w:tcW w:w="993" w:type="dxa"/>
            <w:shd w:val="clear" w:color="auto" w:fill="auto"/>
            <w:vAlign w:val="center"/>
            <w:hideMark/>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0,9</w:t>
            </w:r>
          </w:p>
        </w:tc>
        <w:tc>
          <w:tcPr>
            <w:tcW w:w="910" w:type="dxa"/>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0,91</w:t>
            </w:r>
          </w:p>
        </w:tc>
        <w:tc>
          <w:tcPr>
            <w:tcW w:w="1136" w:type="dxa"/>
            <w:shd w:val="clear" w:color="auto" w:fill="auto"/>
            <w:vAlign w:val="center"/>
            <w:hideMark/>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0,94</w:t>
            </w:r>
          </w:p>
        </w:tc>
        <w:tc>
          <w:tcPr>
            <w:tcW w:w="850" w:type="dxa"/>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0,87</w:t>
            </w:r>
          </w:p>
        </w:tc>
        <w:tc>
          <w:tcPr>
            <w:tcW w:w="850" w:type="dxa"/>
            <w:shd w:val="clear" w:color="auto" w:fill="auto"/>
            <w:vAlign w:val="center"/>
            <w:hideMark/>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0,97</w:t>
            </w:r>
          </w:p>
        </w:tc>
        <w:tc>
          <w:tcPr>
            <w:tcW w:w="1157" w:type="dxa"/>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0,82</w:t>
            </w:r>
          </w:p>
        </w:tc>
        <w:tc>
          <w:tcPr>
            <w:tcW w:w="1050" w:type="dxa"/>
            <w:shd w:val="clear" w:color="auto" w:fill="auto"/>
            <w:vAlign w:val="center"/>
            <w:hideMark/>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0,83</w:t>
            </w:r>
          </w:p>
        </w:tc>
      </w:tr>
      <w:tr w:rsidR="005E1664" w:rsidRPr="00D1174C" w:rsidTr="000B2804">
        <w:trPr>
          <w:trHeight w:val="360"/>
          <w:jc w:val="center"/>
        </w:trPr>
        <w:tc>
          <w:tcPr>
            <w:tcW w:w="2155" w:type="dxa"/>
            <w:shd w:val="clear" w:color="auto" w:fill="auto"/>
            <w:vAlign w:val="center"/>
            <w:hideMark/>
          </w:tcPr>
          <w:p w:rsidR="005E1664" w:rsidRPr="00D1174C" w:rsidRDefault="005E1664" w:rsidP="003969D9">
            <w:pPr>
              <w:widowControl w:val="0"/>
              <w:spacing w:line="276" w:lineRule="auto"/>
              <w:rPr>
                <w:rFonts w:eastAsia="Times New Roman"/>
                <w:sz w:val="24"/>
                <w:szCs w:val="24"/>
                <w:lang w:eastAsia="ru-RU"/>
              </w:rPr>
            </w:pPr>
            <w:r w:rsidRPr="00D1174C">
              <w:rPr>
                <w:rFonts w:eastAsia="Times New Roman"/>
                <w:sz w:val="24"/>
                <w:szCs w:val="24"/>
                <w:lang w:eastAsia="ru-RU"/>
              </w:rPr>
              <w:t>Харківська</w:t>
            </w:r>
          </w:p>
        </w:tc>
        <w:tc>
          <w:tcPr>
            <w:tcW w:w="822" w:type="dxa"/>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0,76</w:t>
            </w:r>
          </w:p>
        </w:tc>
        <w:tc>
          <w:tcPr>
            <w:tcW w:w="993" w:type="dxa"/>
            <w:shd w:val="clear" w:color="auto" w:fill="auto"/>
            <w:vAlign w:val="center"/>
            <w:hideMark/>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0,85</w:t>
            </w:r>
          </w:p>
        </w:tc>
        <w:tc>
          <w:tcPr>
            <w:tcW w:w="910" w:type="dxa"/>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1,0</w:t>
            </w:r>
          </w:p>
        </w:tc>
        <w:tc>
          <w:tcPr>
            <w:tcW w:w="1136" w:type="dxa"/>
            <w:shd w:val="clear" w:color="auto" w:fill="auto"/>
            <w:vAlign w:val="center"/>
            <w:hideMark/>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0,99</w:t>
            </w:r>
          </w:p>
        </w:tc>
        <w:tc>
          <w:tcPr>
            <w:tcW w:w="850" w:type="dxa"/>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0,74</w:t>
            </w:r>
          </w:p>
        </w:tc>
        <w:tc>
          <w:tcPr>
            <w:tcW w:w="850" w:type="dxa"/>
            <w:shd w:val="clear" w:color="auto" w:fill="auto"/>
            <w:vAlign w:val="center"/>
            <w:hideMark/>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0,82</w:t>
            </w:r>
          </w:p>
        </w:tc>
        <w:tc>
          <w:tcPr>
            <w:tcW w:w="1157" w:type="dxa"/>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0,72</w:t>
            </w:r>
          </w:p>
        </w:tc>
        <w:tc>
          <w:tcPr>
            <w:tcW w:w="1050" w:type="dxa"/>
            <w:shd w:val="clear" w:color="auto" w:fill="auto"/>
            <w:vAlign w:val="center"/>
            <w:hideMark/>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0,81</w:t>
            </w:r>
          </w:p>
        </w:tc>
      </w:tr>
      <w:tr w:rsidR="005E1664" w:rsidRPr="00D1174C" w:rsidTr="000B2804">
        <w:trPr>
          <w:trHeight w:val="405"/>
          <w:jc w:val="center"/>
        </w:trPr>
        <w:tc>
          <w:tcPr>
            <w:tcW w:w="2155" w:type="dxa"/>
            <w:shd w:val="clear" w:color="auto" w:fill="auto"/>
            <w:vAlign w:val="center"/>
            <w:hideMark/>
          </w:tcPr>
          <w:p w:rsidR="005E1664" w:rsidRPr="00D1174C" w:rsidRDefault="005E1664" w:rsidP="003969D9">
            <w:pPr>
              <w:widowControl w:val="0"/>
              <w:spacing w:line="276" w:lineRule="auto"/>
              <w:rPr>
                <w:rFonts w:eastAsia="Times New Roman"/>
                <w:sz w:val="24"/>
                <w:szCs w:val="24"/>
                <w:lang w:eastAsia="ru-RU"/>
              </w:rPr>
            </w:pPr>
            <w:r w:rsidRPr="00D1174C">
              <w:rPr>
                <w:rFonts w:eastAsia="Times New Roman"/>
                <w:sz w:val="24"/>
                <w:szCs w:val="24"/>
                <w:lang w:eastAsia="ru-RU"/>
              </w:rPr>
              <w:t>Херсонська</w:t>
            </w:r>
          </w:p>
        </w:tc>
        <w:tc>
          <w:tcPr>
            <w:tcW w:w="822" w:type="dxa"/>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0,67</w:t>
            </w:r>
          </w:p>
        </w:tc>
        <w:tc>
          <w:tcPr>
            <w:tcW w:w="993" w:type="dxa"/>
            <w:shd w:val="clear" w:color="auto" w:fill="auto"/>
            <w:vAlign w:val="center"/>
            <w:hideMark/>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0,76</w:t>
            </w:r>
          </w:p>
        </w:tc>
        <w:tc>
          <w:tcPr>
            <w:tcW w:w="910" w:type="dxa"/>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0,71</w:t>
            </w:r>
          </w:p>
        </w:tc>
        <w:tc>
          <w:tcPr>
            <w:tcW w:w="1136" w:type="dxa"/>
            <w:shd w:val="clear" w:color="auto" w:fill="auto"/>
            <w:vAlign w:val="center"/>
            <w:hideMark/>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0,82</w:t>
            </w:r>
          </w:p>
        </w:tc>
        <w:tc>
          <w:tcPr>
            <w:tcW w:w="850" w:type="dxa"/>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0,65</w:t>
            </w:r>
          </w:p>
        </w:tc>
        <w:tc>
          <w:tcPr>
            <w:tcW w:w="850" w:type="dxa"/>
            <w:shd w:val="clear" w:color="auto" w:fill="auto"/>
            <w:vAlign w:val="center"/>
            <w:hideMark/>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0,84</w:t>
            </w:r>
          </w:p>
        </w:tc>
        <w:tc>
          <w:tcPr>
            <w:tcW w:w="1157" w:type="dxa"/>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0,69</w:t>
            </w:r>
          </w:p>
        </w:tc>
        <w:tc>
          <w:tcPr>
            <w:tcW w:w="1050" w:type="dxa"/>
            <w:shd w:val="clear" w:color="auto" w:fill="auto"/>
            <w:vAlign w:val="center"/>
            <w:hideMark/>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0,67</w:t>
            </w:r>
          </w:p>
        </w:tc>
      </w:tr>
      <w:tr w:rsidR="005E1664" w:rsidRPr="00D1174C" w:rsidTr="000B2804">
        <w:trPr>
          <w:trHeight w:val="345"/>
          <w:jc w:val="center"/>
        </w:trPr>
        <w:tc>
          <w:tcPr>
            <w:tcW w:w="2155" w:type="dxa"/>
            <w:shd w:val="clear" w:color="auto" w:fill="auto"/>
            <w:vAlign w:val="center"/>
            <w:hideMark/>
          </w:tcPr>
          <w:p w:rsidR="005E1664" w:rsidRPr="00D1174C" w:rsidRDefault="005E1664" w:rsidP="003969D9">
            <w:pPr>
              <w:widowControl w:val="0"/>
              <w:spacing w:line="276" w:lineRule="auto"/>
              <w:rPr>
                <w:rFonts w:eastAsia="Times New Roman"/>
                <w:sz w:val="24"/>
                <w:szCs w:val="24"/>
                <w:lang w:eastAsia="ru-RU"/>
              </w:rPr>
            </w:pPr>
            <w:r w:rsidRPr="00D1174C">
              <w:rPr>
                <w:rFonts w:eastAsia="Times New Roman"/>
                <w:sz w:val="24"/>
                <w:szCs w:val="24"/>
                <w:lang w:eastAsia="ru-RU"/>
              </w:rPr>
              <w:t>Хмельницька</w:t>
            </w:r>
          </w:p>
        </w:tc>
        <w:tc>
          <w:tcPr>
            <w:tcW w:w="822" w:type="dxa"/>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0,75</w:t>
            </w:r>
          </w:p>
        </w:tc>
        <w:tc>
          <w:tcPr>
            <w:tcW w:w="993" w:type="dxa"/>
            <w:shd w:val="clear" w:color="auto" w:fill="auto"/>
            <w:vAlign w:val="center"/>
            <w:hideMark/>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0,81</w:t>
            </w:r>
          </w:p>
        </w:tc>
        <w:tc>
          <w:tcPr>
            <w:tcW w:w="910" w:type="dxa"/>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0,9</w:t>
            </w:r>
          </w:p>
        </w:tc>
        <w:tc>
          <w:tcPr>
            <w:tcW w:w="1136" w:type="dxa"/>
            <w:shd w:val="clear" w:color="auto" w:fill="auto"/>
            <w:vAlign w:val="center"/>
            <w:hideMark/>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0,91</w:t>
            </w:r>
          </w:p>
        </w:tc>
        <w:tc>
          <w:tcPr>
            <w:tcW w:w="850" w:type="dxa"/>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0,75</w:t>
            </w:r>
          </w:p>
        </w:tc>
        <w:tc>
          <w:tcPr>
            <w:tcW w:w="850" w:type="dxa"/>
            <w:shd w:val="clear" w:color="auto" w:fill="auto"/>
            <w:vAlign w:val="center"/>
            <w:hideMark/>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0,9</w:t>
            </w:r>
          </w:p>
        </w:tc>
        <w:tc>
          <w:tcPr>
            <w:tcW w:w="1157" w:type="dxa"/>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0,72</w:t>
            </w:r>
          </w:p>
        </w:tc>
        <w:tc>
          <w:tcPr>
            <w:tcW w:w="1050" w:type="dxa"/>
            <w:shd w:val="clear" w:color="auto" w:fill="auto"/>
            <w:vAlign w:val="center"/>
            <w:hideMark/>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0,69</w:t>
            </w:r>
          </w:p>
        </w:tc>
      </w:tr>
      <w:tr w:rsidR="005E1664" w:rsidRPr="00D1174C" w:rsidTr="000B2804">
        <w:trPr>
          <w:trHeight w:val="330"/>
          <w:jc w:val="center"/>
        </w:trPr>
        <w:tc>
          <w:tcPr>
            <w:tcW w:w="2155" w:type="dxa"/>
            <w:shd w:val="clear" w:color="auto" w:fill="auto"/>
            <w:vAlign w:val="center"/>
            <w:hideMark/>
          </w:tcPr>
          <w:p w:rsidR="005E1664" w:rsidRPr="00D1174C" w:rsidRDefault="005E1664" w:rsidP="003969D9">
            <w:pPr>
              <w:widowControl w:val="0"/>
              <w:spacing w:line="276" w:lineRule="auto"/>
              <w:rPr>
                <w:rFonts w:eastAsia="Times New Roman"/>
                <w:sz w:val="24"/>
                <w:szCs w:val="24"/>
                <w:lang w:eastAsia="ru-RU"/>
              </w:rPr>
            </w:pPr>
            <w:r w:rsidRPr="00D1174C">
              <w:rPr>
                <w:rFonts w:eastAsia="Times New Roman"/>
                <w:sz w:val="24"/>
                <w:szCs w:val="24"/>
                <w:lang w:eastAsia="ru-RU"/>
              </w:rPr>
              <w:t>Черкаська</w:t>
            </w:r>
          </w:p>
        </w:tc>
        <w:tc>
          <w:tcPr>
            <w:tcW w:w="822" w:type="dxa"/>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0,7</w:t>
            </w:r>
          </w:p>
        </w:tc>
        <w:tc>
          <w:tcPr>
            <w:tcW w:w="993" w:type="dxa"/>
            <w:shd w:val="clear" w:color="auto" w:fill="auto"/>
            <w:vAlign w:val="center"/>
            <w:hideMark/>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0,81</w:t>
            </w:r>
          </w:p>
        </w:tc>
        <w:tc>
          <w:tcPr>
            <w:tcW w:w="910" w:type="dxa"/>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0,82</w:t>
            </w:r>
          </w:p>
        </w:tc>
        <w:tc>
          <w:tcPr>
            <w:tcW w:w="1136" w:type="dxa"/>
            <w:shd w:val="clear" w:color="auto" w:fill="auto"/>
            <w:vAlign w:val="center"/>
            <w:hideMark/>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0,9</w:t>
            </w:r>
          </w:p>
        </w:tc>
        <w:tc>
          <w:tcPr>
            <w:tcW w:w="850" w:type="dxa"/>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0,78</w:t>
            </w:r>
          </w:p>
        </w:tc>
        <w:tc>
          <w:tcPr>
            <w:tcW w:w="850" w:type="dxa"/>
            <w:shd w:val="clear" w:color="auto" w:fill="auto"/>
            <w:vAlign w:val="center"/>
            <w:hideMark/>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0,92</w:t>
            </w:r>
          </w:p>
        </w:tc>
        <w:tc>
          <w:tcPr>
            <w:tcW w:w="1157" w:type="dxa"/>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0,56</w:t>
            </w:r>
          </w:p>
        </w:tc>
        <w:tc>
          <w:tcPr>
            <w:tcW w:w="1050" w:type="dxa"/>
            <w:shd w:val="clear" w:color="auto" w:fill="auto"/>
            <w:vAlign w:val="center"/>
            <w:hideMark/>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0,67</w:t>
            </w:r>
          </w:p>
        </w:tc>
      </w:tr>
      <w:tr w:rsidR="005E1664" w:rsidRPr="00D1174C" w:rsidTr="000B2804">
        <w:trPr>
          <w:trHeight w:val="345"/>
          <w:jc w:val="center"/>
        </w:trPr>
        <w:tc>
          <w:tcPr>
            <w:tcW w:w="2155" w:type="dxa"/>
            <w:shd w:val="clear" w:color="auto" w:fill="auto"/>
            <w:vAlign w:val="center"/>
            <w:hideMark/>
          </w:tcPr>
          <w:p w:rsidR="005E1664" w:rsidRPr="00D1174C" w:rsidRDefault="005E1664" w:rsidP="003969D9">
            <w:pPr>
              <w:widowControl w:val="0"/>
              <w:spacing w:line="276" w:lineRule="auto"/>
              <w:rPr>
                <w:rFonts w:eastAsia="Times New Roman"/>
                <w:sz w:val="24"/>
                <w:szCs w:val="24"/>
                <w:lang w:eastAsia="ru-RU"/>
              </w:rPr>
            </w:pPr>
            <w:r w:rsidRPr="00D1174C">
              <w:rPr>
                <w:rFonts w:eastAsia="Times New Roman"/>
                <w:sz w:val="24"/>
                <w:szCs w:val="24"/>
                <w:lang w:eastAsia="ru-RU"/>
              </w:rPr>
              <w:t>Чернівецька</w:t>
            </w:r>
          </w:p>
        </w:tc>
        <w:tc>
          <w:tcPr>
            <w:tcW w:w="822" w:type="dxa"/>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0,74</w:t>
            </w:r>
          </w:p>
        </w:tc>
        <w:tc>
          <w:tcPr>
            <w:tcW w:w="993" w:type="dxa"/>
            <w:shd w:val="clear" w:color="auto" w:fill="auto"/>
            <w:vAlign w:val="center"/>
            <w:hideMark/>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0,8</w:t>
            </w:r>
          </w:p>
        </w:tc>
        <w:tc>
          <w:tcPr>
            <w:tcW w:w="910" w:type="dxa"/>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0,88</w:t>
            </w:r>
          </w:p>
        </w:tc>
        <w:tc>
          <w:tcPr>
            <w:tcW w:w="1136" w:type="dxa"/>
            <w:shd w:val="clear" w:color="auto" w:fill="auto"/>
            <w:vAlign w:val="center"/>
            <w:hideMark/>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0,95</w:t>
            </w:r>
          </w:p>
        </w:tc>
        <w:tc>
          <w:tcPr>
            <w:tcW w:w="850" w:type="dxa"/>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0,66</w:t>
            </w:r>
          </w:p>
        </w:tc>
        <w:tc>
          <w:tcPr>
            <w:tcW w:w="850" w:type="dxa"/>
            <w:shd w:val="clear" w:color="auto" w:fill="auto"/>
            <w:vAlign w:val="center"/>
            <w:hideMark/>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0,67</w:t>
            </w:r>
          </w:p>
        </w:tc>
        <w:tc>
          <w:tcPr>
            <w:tcW w:w="1157" w:type="dxa"/>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0,81</w:t>
            </w:r>
          </w:p>
        </w:tc>
        <w:tc>
          <w:tcPr>
            <w:tcW w:w="1050" w:type="dxa"/>
            <w:shd w:val="clear" w:color="auto" w:fill="auto"/>
            <w:vAlign w:val="center"/>
            <w:hideMark/>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0,85</w:t>
            </w:r>
          </w:p>
        </w:tc>
      </w:tr>
      <w:tr w:rsidR="005E1664" w:rsidRPr="00D1174C" w:rsidTr="000B2804">
        <w:trPr>
          <w:trHeight w:val="345"/>
          <w:jc w:val="center"/>
        </w:trPr>
        <w:tc>
          <w:tcPr>
            <w:tcW w:w="2155" w:type="dxa"/>
            <w:shd w:val="clear" w:color="auto" w:fill="auto"/>
            <w:vAlign w:val="center"/>
            <w:hideMark/>
          </w:tcPr>
          <w:p w:rsidR="005E1664" w:rsidRPr="00D1174C" w:rsidRDefault="005E1664" w:rsidP="003969D9">
            <w:pPr>
              <w:widowControl w:val="0"/>
              <w:spacing w:line="276" w:lineRule="auto"/>
              <w:rPr>
                <w:rFonts w:eastAsia="Times New Roman"/>
                <w:sz w:val="24"/>
                <w:szCs w:val="24"/>
                <w:lang w:eastAsia="ru-RU"/>
              </w:rPr>
            </w:pPr>
            <w:r w:rsidRPr="00D1174C">
              <w:rPr>
                <w:rFonts w:eastAsia="Times New Roman"/>
                <w:sz w:val="24"/>
                <w:szCs w:val="24"/>
                <w:lang w:eastAsia="ru-RU"/>
              </w:rPr>
              <w:t>Чернігівська</w:t>
            </w:r>
          </w:p>
        </w:tc>
        <w:tc>
          <w:tcPr>
            <w:tcW w:w="822" w:type="dxa"/>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0,68</w:t>
            </w:r>
          </w:p>
        </w:tc>
        <w:tc>
          <w:tcPr>
            <w:tcW w:w="993" w:type="dxa"/>
            <w:shd w:val="clear" w:color="auto" w:fill="auto"/>
            <w:vAlign w:val="center"/>
            <w:hideMark/>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0,82</w:t>
            </w:r>
          </w:p>
        </w:tc>
        <w:tc>
          <w:tcPr>
            <w:tcW w:w="910" w:type="dxa"/>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0,65</w:t>
            </w:r>
          </w:p>
        </w:tc>
        <w:tc>
          <w:tcPr>
            <w:tcW w:w="1136" w:type="dxa"/>
            <w:shd w:val="clear" w:color="auto" w:fill="auto"/>
            <w:vAlign w:val="center"/>
            <w:hideMark/>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0,78</w:t>
            </w:r>
          </w:p>
        </w:tc>
        <w:tc>
          <w:tcPr>
            <w:tcW w:w="850" w:type="dxa"/>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0,61</w:t>
            </w:r>
          </w:p>
        </w:tc>
        <w:tc>
          <w:tcPr>
            <w:tcW w:w="850" w:type="dxa"/>
            <w:shd w:val="clear" w:color="auto" w:fill="auto"/>
            <w:vAlign w:val="center"/>
            <w:hideMark/>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0,79</w:t>
            </w:r>
          </w:p>
        </w:tc>
        <w:tc>
          <w:tcPr>
            <w:tcW w:w="1157" w:type="dxa"/>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0,79</w:t>
            </w:r>
          </w:p>
        </w:tc>
        <w:tc>
          <w:tcPr>
            <w:tcW w:w="1050" w:type="dxa"/>
            <w:shd w:val="clear" w:color="auto" w:fill="auto"/>
            <w:vAlign w:val="center"/>
            <w:hideMark/>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0,86</w:t>
            </w:r>
          </w:p>
        </w:tc>
      </w:tr>
      <w:tr w:rsidR="005E1664" w:rsidRPr="00D1174C" w:rsidTr="000B2804">
        <w:trPr>
          <w:trHeight w:val="315"/>
          <w:jc w:val="center"/>
        </w:trPr>
        <w:tc>
          <w:tcPr>
            <w:tcW w:w="2155" w:type="dxa"/>
            <w:shd w:val="clear" w:color="auto" w:fill="auto"/>
            <w:vAlign w:val="center"/>
            <w:hideMark/>
          </w:tcPr>
          <w:p w:rsidR="005E1664" w:rsidRPr="00D1174C" w:rsidRDefault="005E1664" w:rsidP="003969D9">
            <w:pPr>
              <w:widowControl w:val="0"/>
              <w:spacing w:line="276" w:lineRule="auto"/>
              <w:rPr>
                <w:rFonts w:eastAsia="Times New Roman"/>
                <w:sz w:val="24"/>
                <w:szCs w:val="24"/>
                <w:lang w:eastAsia="ru-RU"/>
              </w:rPr>
            </w:pPr>
            <w:r w:rsidRPr="00D1174C">
              <w:rPr>
                <w:rFonts w:eastAsia="Times New Roman"/>
                <w:sz w:val="24"/>
                <w:szCs w:val="24"/>
                <w:lang w:eastAsia="ru-RU"/>
              </w:rPr>
              <w:t>м. Київ</w:t>
            </w:r>
          </w:p>
        </w:tc>
        <w:tc>
          <w:tcPr>
            <w:tcW w:w="822" w:type="dxa"/>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0,82</w:t>
            </w:r>
          </w:p>
        </w:tc>
        <w:tc>
          <w:tcPr>
            <w:tcW w:w="993" w:type="dxa"/>
            <w:shd w:val="clear" w:color="auto" w:fill="auto"/>
            <w:vAlign w:val="center"/>
            <w:hideMark/>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0,89</w:t>
            </w:r>
          </w:p>
        </w:tc>
        <w:tc>
          <w:tcPr>
            <w:tcW w:w="910" w:type="dxa"/>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0,96</w:t>
            </w:r>
          </w:p>
        </w:tc>
        <w:tc>
          <w:tcPr>
            <w:tcW w:w="1136" w:type="dxa"/>
            <w:shd w:val="clear" w:color="auto" w:fill="auto"/>
            <w:vAlign w:val="center"/>
            <w:hideMark/>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0,92</w:t>
            </w:r>
          </w:p>
        </w:tc>
        <w:tc>
          <w:tcPr>
            <w:tcW w:w="850" w:type="dxa"/>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0,77</w:t>
            </w:r>
          </w:p>
        </w:tc>
        <w:tc>
          <w:tcPr>
            <w:tcW w:w="850" w:type="dxa"/>
            <w:shd w:val="clear" w:color="auto" w:fill="auto"/>
            <w:vAlign w:val="center"/>
            <w:hideMark/>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0,9</w:t>
            </w:r>
          </w:p>
        </w:tc>
        <w:tc>
          <w:tcPr>
            <w:tcW w:w="1157" w:type="dxa"/>
            <w:vAlign w:val="center"/>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1,0</w:t>
            </w:r>
          </w:p>
        </w:tc>
        <w:tc>
          <w:tcPr>
            <w:tcW w:w="1050" w:type="dxa"/>
            <w:shd w:val="clear" w:color="auto" w:fill="auto"/>
            <w:vAlign w:val="center"/>
            <w:hideMark/>
          </w:tcPr>
          <w:p w:rsidR="005E1664" w:rsidRPr="00D1174C" w:rsidRDefault="005E1664" w:rsidP="003969D9">
            <w:pPr>
              <w:widowControl w:val="0"/>
              <w:spacing w:line="276" w:lineRule="auto"/>
              <w:jc w:val="center"/>
              <w:rPr>
                <w:rFonts w:eastAsia="Times New Roman"/>
                <w:sz w:val="24"/>
                <w:szCs w:val="24"/>
                <w:lang w:eastAsia="ru-RU"/>
              </w:rPr>
            </w:pPr>
            <w:r w:rsidRPr="00D1174C">
              <w:rPr>
                <w:rFonts w:eastAsia="Times New Roman"/>
                <w:sz w:val="24"/>
                <w:szCs w:val="24"/>
                <w:lang w:eastAsia="ru-RU"/>
              </w:rPr>
              <w:t>0,86</w:t>
            </w:r>
          </w:p>
        </w:tc>
      </w:tr>
    </w:tbl>
    <w:p w:rsidR="008D23B6" w:rsidRDefault="008D23B6" w:rsidP="005222DA">
      <w:pPr>
        <w:widowControl w:val="0"/>
        <w:rPr>
          <w:rFonts w:eastAsia="Times New Roman"/>
          <w:szCs w:val="28"/>
          <w:lang w:val="ru-RU" w:eastAsia="ru-RU"/>
        </w:rPr>
      </w:pPr>
    </w:p>
    <w:p w:rsidR="003B67F9" w:rsidRPr="005E1664" w:rsidRDefault="003B67F9" w:rsidP="005E1664">
      <w:pPr>
        <w:widowControl w:val="0"/>
        <w:ind w:firstLine="709"/>
        <w:rPr>
          <w:rFonts w:eastAsia="Times New Roman"/>
          <w:szCs w:val="28"/>
          <w:lang w:eastAsia="ru-RU"/>
        </w:rPr>
      </w:pPr>
      <w:r w:rsidRPr="00006A39">
        <w:rPr>
          <w:rFonts w:eastAsia="Times New Roman"/>
          <w:szCs w:val="28"/>
          <w:lang w:eastAsia="ru-RU"/>
        </w:rPr>
        <w:t>Градація КДНЗ компоненту діяльності закладів і установ перинатальної служби регіонів включає в основному високий, вище середнього і середній рівні і коливається від 0,52 у Волинській, 0,61 у Чернігівській, 0,63 у Миколаївській областях до 0,87-0,88 у Івано-Франківській і Тернопільській областях у 2017 р.  і від 0,67-0,7 у Чернівецькій і Волинській областях до 0,93-0,97 у Тернопільській і Вінницькій у 2018 р. Дещо ширший діапазон КДНЗ компонентів результативності діяльності перинатальної служби регіонів – 1,0 у м. Київ, 0,91 у Житомирській, 0,84 у Волинській і Полтавській, 0,82 у Миколаївській і Тернопільській, 0,56 у Черкаській, 0,54 у Кіровоградській областях у 2017 р. та 0,86-0,85 у м. Київ, Чернігівській, Чернівецькій, Одеській, Луганській областях, 0,61-0,64 у Вінницькій, Миколаївсь</w:t>
      </w:r>
      <w:r w:rsidR="00045257">
        <w:rPr>
          <w:rFonts w:eastAsia="Times New Roman"/>
          <w:szCs w:val="28"/>
          <w:lang w:eastAsia="ru-RU"/>
        </w:rPr>
        <w:t>кій областях у 2018 р. (табл.7.7</w:t>
      </w:r>
      <w:r w:rsidR="005E1664">
        <w:rPr>
          <w:rFonts w:eastAsia="Times New Roman"/>
          <w:szCs w:val="28"/>
          <w:lang w:eastAsia="ru-RU"/>
        </w:rPr>
        <w:t>).</w:t>
      </w:r>
    </w:p>
    <w:p w:rsidR="003B67F9" w:rsidRPr="00006A39" w:rsidRDefault="003B67F9" w:rsidP="00721203">
      <w:pPr>
        <w:widowControl w:val="0"/>
        <w:ind w:firstLine="709"/>
        <w:rPr>
          <w:rFonts w:eastAsia="Times New Roman"/>
          <w:color w:val="5F497A"/>
          <w:szCs w:val="28"/>
          <w:lang w:eastAsia="ru-RU"/>
        </w:rPr>
      </w:pPr>
      <w:r w:rsidRPr="00006A39">
        <w:rPr>
          <w:rFonts w:eastAsia="Times New Roman"/>
          <w:szCs w:val="28"/>
          <w:lang w:eastAsia="ru-RU"/>
        </w:rPr>
        <w:t>Достатні показники КДНЗ компонентів діяльності і результативності зумовлені високими рівнями КДНЗ у 2017 – 2018 рр. своєчасності постановки на облік вагітних (0,96-0,96), частоти нормальних пологів (0,95-0,98), виживання новонароджених з дуже малою масою тіла при народженні (0,91-0,96), індексу здоров’я новонароджених (0,93-0,98) та рівнів перинатальної (0,86-0,92) і материнської (1,0-0,87) смертності (табл. 7.</w:t>
      </w:r>
      <w:r w:rsidR="00955026" w:rsidRPr="00955026">
        <w:rPr>
          <w:rFonts w:eastAsia="Times New Roman"/>
          <w:szCs w:val="28"/>
          <w:lang w:eastAsia="ru-RU"/>
        </w:rPr>
        <w:t>7</w:t>
      </w:r>
      <w:r w:rsidRPr="00955026">
        <w:rPr>
          <w:rFonts w:eastAsia="Times New Roman"/>
          <w:szCs w:val="28"/>
          <w:lang w:eastAsia="ru-RU"/>
        </w:rPr>
        <w:t>).</w:t>
      </w:r>
    </w:p>
    <w:p w:rsidR="003B67F9" w:rsidRPr="00006A39" w:rsidRDefault="003B67F9" w:rsidP="00721203">
      <w:pPr>
        <w:widowControl w:val="0"/>
        <w:ind w:firstLine="709"/>
        <w:rPr>
          <w:rFonts w:eastAsia="Times New Roman"/>
          <w:color w:val="5F497A"/>
          <w:szCs w:val="28"/>
          <w:lang w:eastAsia="ru-RU"/>
        </w:rPr>
      </w:pPr>
      <w:r w:rsidRPr="00006A39">
        <w:rPr>
          <w:rFonts w:eastAsia="Times New Roman"/>
          <w:szCs w:val="28"/>
          <w:lang w:eastAsia="ru-RU"/>
        </w:rPr>
        <w:t xml:space="preserve">Потребують прийняття низки заходів (управлінських рішень) для досягнення рівнів контрольних показників частоти акушерських кровотеч (коефіцієнт досягнення нормативного показника (0,56-0,74), анемій вагітних (0,72-0,79). Все ще </w:t>
      </w:r>
      <w:r w:rsidRPr="00006A39">
        <w:rPr>
          <w:rFonts w:eastAsia="Times New Roman"/>
          <w:szCs w:val="28"/>
          <w:lang w:eastAsia="ru-RU"/>
        </w:rPr>
        <w:lastRenderedPageBreak/>
        <w:t xml:space="preserve">недостатнім забезпеченням маршрутизації пацієнтів зумовлений низький рівень досягнення коефіцієнту індексу неонатального </w:t>
      </w:r>
      <w:r w:rsidR="00577448">
        <w:rPr>
          <w:rFonts w:eastAsia="Times New Roman"/>
          <w:szCs w:val="28"/>
          <w:lang w:eastAsia="ru-RU"/>
        </w:rPr>
        <w:t>трансферу (0,48-0,66) (табл. 7.7</w:t>
      </w:r>
      <w:r w:rsidRPr="00006A39">
        <w:rPr>
          <w:rFonts w:eastAsia="Times New Roman"/>
          <w:szCs w:val="28"/>
          <w:lang w:eastAsia="ru-RU"/>
        </w:rPr>
        <w:t>).</w:t>
      </w:r>
    </w:p>
    <w:p w:rsidR="008D23B6" w:rsidRPr="008D23B6" w:rsidRDefault="003B67F9" w:rsidP="008D23B6">
      <w:pPr>
        <w:widowControl w:val="0"/>
        <w:ind w:firstLine="709"/>
        <w:rPr>
          <w:rFonts w:eastAsia="Times New Roman"/>
          <w:szCs w:val="28"/>
          <w:lang w:val="ru-RU" w:eastAsia="ru-RU"/>
        </w:rPr>
      </w:pPr>
      <w:r w:rsidRPr="00006A39">
        <w:rPr>
          <w:rFonts w:eastAsia="Times New Roman"/>
          <w:szCs w:val="28"/>
          <w:lang w:eastAsia="ru-RU"/>
        </w:rPr>
        <w:t xml:space="preserve">Слід зазначити, що модель комплексної оцінки діяльності </w:t>
      </w:r>
      <w:r w:rsidR="001D1972" w:rsidRPr="00006A39">
        <w:rPr>
          <w:rFonts w:eastAsia="Times New Roman"/>
          <w:szCs w:val="28"/>
          <w:lang w:eastAsia="ru-RU"/>
        </w:rPr>
        <w:t>перинатальної</w:t>
      </w:r>
      <w:r w:rsidRPr="00006A39">
        <w:rPr>
          <w:rFonts w:eastAsia="Times New Roman"/>
          <w:szCs w:val="28"/>
          <w:lang w:eastAsia="ru-RU"/>
        </w:rPr>
        <w:t xml:space="preserve"> служби є пілотною, інтегральна оцінка за даними 2017 року була нами здійснена шляхом розподілу регіонів на 3 групи – І група з високим рівнем коефіцієнта досягнення результатів (ККО ≥ 0,80), що свідчить про достатньо ефективну діяльність перинатальної служби регіонів, ІІ група з вище середнього рівнем (ККО 07-0,79), що потребує посилення окремих компонентів діяльності закладів і установ перинатальної служби і ІІІ група проблемних регіонів з середнім рівнем (ККО 0,6-0,69), що потребують прийняття управлінських рішень з питань більш ефективної діяльності закладів і установ перинатальної служби (</w:t>
      </w:r>
      <w:r w:rsidR="005A0BCE">
        <w:rPr>
          <w:rFonts w:eastAsia="Times New Roman"/>
          <w:szCs w:val="28"/>
          <w:lang w:eastAsia="ru-RU"/>
        </w:rPr>
        <w:t>табл. 7.</w:t>
      </w:r>
      <w:r w:rsidR="005A0BCE">
        <w:rPr>
          <w:rFonts w:eastAsia="Times New Roman"/>
          <w:szCs w:val="28"/>
          <w:lang w:val="ru-RU" w:eastAsia="ru-RU"/>
        </w:rPr>
        <w:t>8</w:t>
      </w:r>
      <w:r w:rsidR="005A0BCE">
        <w:rPr>
          <w:rFonts w:eastAsia="Times New Roman"/>
          <w:szCs w:val="28"/>
          <w:lang w:eastAsia="ru-RU"/>
        </w:rPr>
        <w:t>, 7.</w:t>
      </w:r>
      <w:r w:rsidR="005A0BCE">
        <w:rPr>
          <w:rFonts w:eastAsia="Times New Roman"/>
          <w:szCs w:val="28"/>
          <w:lang w:val="ru-RU" w:eastAsia="ru-RU"/>
        </w:rPr>
        <w:t>9</w:t>
      </w:r>
      <w:r w:rsidR="005A0BCE">
        <w:rPr>
          <w:rFonts w:eastAsia="Times New Roman"/>
          <w:szCs w:val="28"/>
          <w:lang w:eastAsia="ru-RU"/>
        </w:rPr>
        <w:t>, 7.1</w:t>
      </w:r>
      <w:r w:rsidR="005A0BCE">
        <w:rPr>
          <w:rFonts w:eastAsia="Times New Roman"/>
          <w:szCs w:val="28"/>
          <w:lang w:val="ru-RU" w:eastAsia="ru-RU"/>
        </w:rPr>
        <w:t>0</w:t>
      </w:r>
      <w:r w:rsidRPr="001C461D">
        <w:rPr>
          <w:rFonts w:eastAsia="Times New Roman"/>
          <w:szCs w:val="28"/>
          <w:lang w:eastAsia="ru-RU"/>
        </w:rPr>
        <w:t xml:space="preserve">). </w:t>
      </w:r>
      <w:r w:rsidRPr="00006A39">
        <w:rPr>
          <w:rFonts w:eastAsia="Times New Roman"/>
          <w:szCs w:val="28"/>
          <w:lang w:eastAsia="ru-RU"/>
        </w:rPr>
        <w:t>Розподіл регіонів на групи здійснено як за даними КДР в цілому, так і за даними КДНЗ кожного показника перинатальної допомоги.</w:t>
      </w:r>
    </w:p>
    <w:p w:rsidR="003B67F9" w:rsidRPr="00006A39" w:rsidRDefault="003B67F9" w:rsidP="00721203">
      <w:pPr>
        <w:widowControl w:val="0"/>
        <w:ind w:firstLine="709"/>
        <w:rPr>
          <w:rFonts w:eastAsia="Times New Roman"/>
          <w:color w:val="5F497A"/>
          <w:szCs w:val="28"/>
          <w:lang w:eastAsia="ru-RU"/>
        </w:rPr>
      </w:pPr>
      <w:r w:rsidRPr="00006A39">
        <w:rPr>
          <w:rFonts w:eastAsia="Times New Roman"/>
          <w:szCs w:val="28"/>
          <w:lang w:eastAsia="ru-RU"/>
        </w:rPr>
        <w:t xml:space="preserve">За результатами дослідження, до регіонів І групи з високим рівнем ККО віднесено Тернопільську (ККО = 0,86), Івано-Франківську (0,84), Житомирську (0,84), Полтавську (0,80), Сумську (0,80), Запорізьку (0,80) області і м. Київ (0,82). Характерно, що в усіх регіонах І групи відмічається високий КДНЗ (0,8-1,0) лише за показниками </w:t>
      </w:r>
      <w:r w:rsidRPr="00006A39">
        <w:rPr>
          <w:rFonts w:eastAsia="Times New Roman"/>
          <w:szCs w:val="28"/>
          <w:lang w:eastAsia="uk-UA"/>
        </w:rPr>
        <w:t xml:space="preserve">своєчасності постановки на облік вагітних (0,92-1,0), частоти нормальних пологів (0,92-1,0), індексу здоров’я новонароджених (0,87-0,99). Високі і вище середніх </w:t>
      </w:r>
      <w:r w:rsidRPr="00006A39">
        <w:rPr>
          <w:rFonts w:eastAsia="Times New Roman"/>
          <w:szCs w:val="28"/>
          <w:lang w:eastAsia="ru-RU"/>
        </w:rPr>
        <w:t>коефіцієнти досягнення нормативного значення в усіх регіонах І</w:t>
      </w:r>
      <w:r w:rsidR="004E548C">
        <w:rPr>
          <w:rFonts w:eastAsia="Times New Roman"/>
          <w:szCs w:val="28"/>
          <w:lang w:eastAsia="ru-RU"/>
        </w:rPr>
        <w:t> </w:t>
      </w:r>
      <w:r w:rsidRPr="00006A39">
        <w:rPr>
          <w:rFonts w:eastAsia="Times New Roman"/>
          <w:szCs w:val="28"/>
          <w:lang w:eastAsia="ru-RU"/>
        </w:rPr>
        <w:t xml:space="preserve">групи досягнуто за показниками </w:t>
      </w:r>
      <w:r w:rsidRPr="00006A39">
        <w:rPr>
          <w:rFonts w:eastAsia="Times New Roman"/>
          <w:szCs w:val="28"/>
          <w:lang w:eastAsia="uk-UA"/>
        </w:rPr>
        <w:t>забезпеченості населення лікарями акушер-гінекологами (0,74-1,0) та педіатр</w:t>
      </w:r>
      <w:r w:rsidR="00297B5B">
        <w:rPr>
          <w:rFonts w:eastAsia="Times New Roman"/>
          <w:szCs w:val="28"/>
          <w:lang w:eastAsia="uk-UA"/>
        </w:rPr>
        <w:t>ами-неонатологами (0,78-1,0), індекс концентрації (ІК)</w:t>
      </w:r>
      <w:r w:rsidRPr="00006A39">
        <w:rPr>
          <w:rFonts w:eastAsia="Times New Roman"/>
          <w:szCs w:val="28"/>
          <w:lang w:eastAsia="uk-UA"/>
        </w:rPr>
        <w:t xml:space="preserve"> новонароджених масою тіла при народженні 500-1499</w:t>
      </w:r>
      <w:r w:rsidR="004E548C">
        <w:rPr>
          <w:rFonts w:eastAsia="Times New Roman"/>
          <w:szCs w:val="28"/>
          <w:lang w:eastAsia="uk-UA"/>
        </w:rPr>
        <w:t xml:space="preserve"> </w:t>
      </w:r>
      <w:r w:rsidRPr="00006A39">
        <w:rPr>
          <w:rFonts w:eastAsia="Times New Roman"/>
          <w:szCs w:val="28"/>
          <w:lang w:eastAsia="uk-UA"/>
        </w:rPr>
        <w:t xml:space="preserve">г у ЗПД ІІІ рівня (0,77-1,0), виживання новонароджених з дуже малою масою тіла при народженні (0,72-0,99). При цьому в жодному регіоні І групи не забезпечено досягнення високих і вище середніх </w:t>
      </w:r>
      <w:r w:rsidRPr="00006A39">
        <w:rPr>
          <w:rFonts w:eastAsia="Times New Roman"/>
          <w:szCs w:val="28"/>
          <w:lang w:eastAsia="ru-RU"/>
        </w:rPr>
        <w:t>КДНЗ</w:t>
      </w:r>
      <w:r w:rsidR="00045257">
        <w:rPr>
          <w:rFonts w:eastAsia="Times New Roman"/>
          <w:szCs w:val="28"/>
          <w:lang w:eastAsia="ru-RU"/>
        </w:rPr>
        <w:t xml:space="preserve"> за всіма показниками (табл.7.8</w:t>
      </w:r>
      <w:r w:rsidRPr="00006A39">
        <w:rPr>
          <w:rFonts w:eastAsia="Times New Roman"/>
          <w:szCs w:val="28"/>
          <w:lang w:eastAsia="ru-RU"/>
        </w:rPr>
        <w:t>).</w:t>
      </w:r>
    </w:p>
    <w:p w:rsidR="00725EC3" w:rsidRPr="00725EC3" w:rsidRDefault="003B67F9" w:rsidP="00725EC3">
      <w:pPr>
        <w:widowControl w:val="0"/>
        <w:ind w:firstLine="709"/>
        <w:rPr>
          <w:rFonts w:eastAsia="Times New Roman"/>
          <w:szCs w:val="28"/>
          <w:lang w:eastAsia="ru-RU"/>
        </w:rPr>
      </w:pPr>
      <w:r w:rsidRPr="00006A39">
        <w:rPr>
          <w:rFonts w:eastAsia="Times New Roman"/>
          <w:szCs w:val="28"/>
          <w:lang w:eastAsia="ru-RU"/>
        </w:rPr>
        <w:t xml:space="preserve">Незважаючи на високі загальні КДР, все ще не повною мірою забезпечені заходи з профілактики </w:t>
      </w:r>
      <w:r w:rsidRPr="00006A39">
        <w:rPr>
          <w:rFonts w:eastAsia="Times New Roman"/>
          <w:szCs w:val="28"/>
          <w:lang w:eastAsia="uk-UA"/>
        </w:rPr>
        <w:t>прееклампсій та еклампсій вагітних</w:t>
      </w:r>
      <w:r w:rsidRPr="00006A39">
        <w:rPr>
          <w:rFonts w:eastAsia="Times New Roman"/>
          <w:szCs w:val="28"/>
          <w:lang w:eastAsia="ru-RU"/>
        </w:rPr>
        <w:t xml:space="preserve"> у Полтавській (КДНЗ = 0,06), мінімізації індексу неонатальних трансферів у Запорізькій, Сумській, Житомирській, Тернопільській і Полтавській областях (КДНЗ = 0,0; 0,0; 0,07; 0,1 і </w:t>
      </w:r>
      <w:r w:rsidRPr="00006A39">
        <w:rPr>
          <w:rFonts w:eastAsia="Times New Roman"/>
          <w:szCs w:val="28"/>
          <w:lang w:eastAsia="ru-RU"/>
        </w:rPr>
        <w:lastRenderedPageBreak/>
        <w:t>0,5 відповідно), частоти розроджень вагітних шляхом кесаревого розтину у Сумській, Івано-Франківській, Житомирській областях і м. Києві (КДНЗ = 0,56; 0,58; 0,7 і 0,68 відповідно), частоти кровотеч в послідовому і післяродовому періодах у Івано-Франківській, Сумській і Полтавській областях (КДНЗ =</w:t>
      </w:r>
      <w:r w:rsidR="00725EC3">
        <w:rPr>
          <w:rFonts w:eastAsia="Times New Roman"/>
          <w:szCs w:val="28"/>
          <w:lang w:eastAsia="ru-RU"/>
        </w:rPr>
        <w:t xml:space="preserve"> 0,0; 0,56 і 0,61 відповідно).</w:t>
      </w:r>
    </w:p>
    <w:p w:rsidR="005222DA" w:rsidRPr="00725EC3" w:rsidRDefault="003B67F9" w:rsidP="00B06135">
      <w:pPr>
        <w:widowControl w:val="0"/>
        <w:ind w:firstLine="709"/>
        <w:rPr>
          <w:rFonts w:eastAsia="Times New Roman"/>
          <w:szCs w:val="28"/>
          <w:lang w:eastAsia="ru-RU"/>
        </w:rPr>
      </w:pPr>
      <w:r w:rsidRPr="00006A39">
        <w:rPr>
          <w:rFonts w:eastAsia="Times New Roman"/>
          <w:szCs w:val="28"/>
          <w:lang w:eastAsia="ru-RU"/>
        </w:rPr>
        <w:t>Низькими і нижче середніх є КДНЗ частоти маловагових новонароджених у Запорізькій (0,47), облас</w:t>
      </w:r>
      <w:r w:rsidR="00FE7E32">
        <w:rPr>
          <w:rFonts w:eastAsia="Times New Roman"/>
          <w:szCs w:val="28"/>
          <w:lang w:eastAsia="ru-RU"/>
        </w:rPr>
        <w:t>ті і м.</w:t>
      </w:r>
      <w:r w:rsidR="00B06135">
        <w:rPr>
          <w:rFonts w:eastAsia="Times New Roman"/>
          <w:szCs w:val="28"/>
          <w:lang w:eastAsia="ru-RU"/>
        </w:rPr>
        <w:t> Києві (0,57)</w:t>
      </w:r>
      <w:r w:rsidR="00B06135">
        <w:rPr>
          <w:rFonts w:eastAsia="Times New Roman"/>
          <w:szCs w:val="28"/>
          <w:lang w:val="ru-RU" w:eastAsia="ru-RU"/>
        </w:rPr>
        <w:t xml:space="preserve">. </w:t>
      </w:r>
      <w:r w:rsidRPr="00006A39">
        <w:rPr>
          <w:rFonts w:eastAsia="Times New Roman"/>
          <w:szCs w:val="28"/>
          <w:lang w:eastAsia="ru-RU"/>
        </w:rPr>
        <w:t xml:space="preserve">Також, нами встановлено, що не забезпечено досягнення інтегральних показників діяльності закладів і установ перинатальної допомоги – перинатальної смертності у Запорізькій (КДНЗ = 0,67), неонатальної смертності у Тернопільській і Сумській (КДНЗ = 0,44 і 0,67), материнської смертності у Запорізькій і Полтавській (КДНЗ = </w:t>
      </w:r>
      <w:r w:rsidR="00710406">
        <w:rPr>
          <w:rFonts w:eastAsia="Times New Roman"/>
          <w:szCs w:val="28"/>
          <w:lang w:eastAsia="ru-RU"/>
        </w:rPr>
        <w:t>0,0 і 0,36) областях (табл. 7.</w:t>
      </w:r>
      <w:r w:rsidR="00710406" w:rsidRPr="00C65B63">
        <w:rPr>
          <w:rFonts w:eastAsia="Times New Roman"/>
          <w:szCs w:val="28"/>
          <w:lang w:eastAsia="ru-RU"/>
        </w:rPr>
        <w:t>8</w:t>
      </w:r>
      <w:r w:rsidRPr="00006A39">
        <w:rPr>
          <w:rFonts w:eastAsia="Times New Roman"/>
          <w:szCs w:val="28"/>
          <w:lang w:eastAsia="ru-RU"/>
        </w:rPr>
        <w:t>).</w:t>
      </w:r>
    </w:p>
    <w:p w:rsidR="005222DA" w:rsidRPr="00006A39" w:rsidRDefault="005222DA" w:rsidP="005222DA">
      <w:pPr>
        <w:widowControl w:val="0"/>
        <w:ind w:firstLine="709"/>
        <w:jc w:val="right"/>
        <w:rPr>
          <w:rFonts w:eastAsia="Times New Roman"/>
          <w:i/>
          <w:szCs w:val="28"/>
          <w:lang w:eastAsia="ru-RU"/>
        </w:rPr>
      </w:pPr>
      <w:r>
        <w:rPr>
          <w:rFonts w:eastAsia="Times New Roman"/>
          <w:i/>
          <w:szCs w:val="28"/>
          <w:lang w:eastAsia="ru-RU"/>
        </w:rPr>
        <w:t>Таблиця 7.8</w:t>
      </w:r>
      <w:r w:rsidRPr="00006A39">
        <w:rPr>
          <w:rFonts w:eastAsia="Times New Roman"/>
          <w:i/>
          <w:szCs w:val="28"/>
          <w:lang w:eastAsia="ru-RU"/>
        </w:rPr>
        <w:t xml:space="preserve"> </w:t>
      </w:r>
    </w:p>
    <w:p w:rsidR="005222DA" w:rsidRPr="00006A39" w:rsidRDefault="005222DA" w:rsidP="005222DA">
      <w:pPr>
        <w:widowControl w:val="0"/>
        <w:jc w:val="center"/>
        <w:rPr>
          <w:rFonts w:eastAsia="Times New Roman"/>
          <w:b/>
          <w:szCs w:val="28"/>
          <w:lang w:eastAsia="ru-RU"/>
        </w:rPr>
      </w:pPr>
      <w:r w:rsidRPr="00006A39">
        <w:rPr>
          <w:rFonts w:eastAsia="Times New Roman"/>
          <w:b/>
          <w:szCs w:val="28"/>
          <w:lang w:eastAsia="ru-RU"/>
        </w:rPr>
        <w:t>Коефіцієнти досягнення нормативних показників перинатальної допомоги в регіонах І групи, 2017 р.</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0"/>
        <w:gridCol w:w="709"/>
        <w:gridCol w:w="636"/>
        <w:gridCol w:w="640"/>
        <w:gridCol w:w="636"/>
        <w:gridCol w:w="640"/>
        <w:gridCol w:w="636"/>
        <w:gridCol w:w="639"/>
      </w:tblGrid>
      <w:tr w:rsidR="005222DA" w:rsidRPr="00595829" w:rsidTr="00361227">
        <w:trPr>
          <w:cantSplit/>
          <w:trHeight w:val="1724"/>
        </w:trPr>
        <w:tc>
          <w:tcPr>
            <w:tcW w:w="5670" w:type="dxa"/>
            <w:vAlign w:val="center"/>
          </w:tcPr>
          <w:p w:rsidR="005222DA" w:rsidRPr="00595829" w:rsidRDefault="005222DA" w:rsidP="00595829">
            <w:pPr>
              <w:widowControl w:val="0"/>
              <w:spacing w:line="276" w:lineRule="auto"/>
              <w:jc w:val="center"/>
              <w:rPr>
                <w:rFonts w:eastAsia="Times New Roman"/>
                <w:sz w:val="24"/>
                <w:szCs w:val="24"/>
                <w:lang w:eastAsia="ru-RU"/>
              </w:rPr>
            </w:pPr>
            <w:r w:rsidRPr="00595829">
              <w:rPr>
                <w:rFonts w:eastAsia="Times New Roman"/>
                <w:sz w:val="24"/>
                <w:szCs w:val="24"/>
                <w:lang w:eastAsia="ru-RU"/>
              </w:rPr>
              <w:t>Нормативний показник</w:t>
            </w:r>
          </w:p>
        </w:tc>
        <w:tc>
          <w:tcPr>
            <w:tcW w:w="709" w:type="dxa"/>
            <w:textDirection w:val="btLr"/>
            <w:vAlign w:val="center"/>
          </w:tcPr>
          <w:p w:rsidR="005222DA" w:rsidRPr="00595829" w:rsidRDefault="005222DA" w:rsidP="00595829">
            <w:pPr>
              <w:widowControl w:val="0"/>
              <w:spacing w:line="276" w:lineRule="auto"/>
              <w:ind w:left="113" w:right="113"/>
              <w:jc w:val="center"/>
              <w:rPr>
                <w:rFonts w:eastAsia="Times New Roman"/>
                <w:sz w:val="24"/>
                <w:szCs w:val="24"/>
                <w:lang w:eastAsia="ru-RU"/>
              </w:rPr>
            </w:pPr>
            <w:r w:rsidRPr="00595829">
              <w:rPr>
                <w:rFonts w:eastAsia="Times New Roman"/>
                <w:sz w:val="24"/>
                <w:szCs w:val="24"/>
                <w:lang w:eastAsia="ru-RU"/>
              </w:rPr>
              <w:t>Запорізька</w:t>
            </w:r>
          </w:p>
        </w:tc>
        <w:tc>
          <w:tcPr>
            <w:tcW w:w="636" w:type="dxa"/>
            <w:textDirection w:val="btLr"/>
            <w:vAlign w:val="center"/>
          </w:tcPr>
          <w:p w:rsidR="005222DA" w:rsidRPr="00595829" w:rsidRDefault="005222DA" w:rsidP="00595829">
            <w:pPr>
              <w:widowControl w:val="0"/>
              <w:spacing w:line="276" w:lineRule="auto"/>
              <w:ind w:left="113" w:right="113"/>
              <w:jc w:val="center"/>
              <w:rPr>
                <w:rFonts w:eastAsia="Times New Roman"/>
                <w:sz w:val="24"/>
                <w:szCs w:val="24"/>
                <w:lang w:eastAsia="ru-RU"/>
              </w:rPr>
            </w:pPr>
            <w:r w:rsidRPr="00595829">
              <w:rPr>
                <w:rFonts w:eastAsia="Times New Roman"/>
                <w:sz w:val="24"/>
                <w:szCs w:val="24"/>
                <w:lang w:eastAsia="ru-RU"/>
              </w:rPr>
              <w:t>Сумська</w:t>
            </w:r>
          </w:p>
        </w:tc>
        <w:tc>
          <w:tcPr>
            <w:tcW w:w="640" w:type="dxa"/>
            <w:textDirection w:val="btLr"/>
            <w:vAlign w:val="center"/>
          </w:tcPr>
          <w:p w:rsidR="005222DA" w:rsidRPr="00595829" w:rsidRDefault="005222DA" w:rsidP="00595829">
            <w:pPr>
              <w:widowControl w:val="0"/>
              <w:spacing w:line="276" w:lineRule="auto"/>
              <w:ind w:left="113" w:right="113"/>
              <w:jc w:val="center"/>
              <w:rPr>
                <w:rFonts w:eastAsia="Times New Roman"/>
                <w:sz w:val="24"/>
                <w:szCs w:val="24"/>
                <w:lang w:eastAsia="ru-RU"/>
              </w:rPr>
            </w:pPr>
            <w:r w:rsidRPr="00595829">
              <w:rPr>
                <w:rFonts w:eastAsia="Times New Roman"/>
                <w:sz w:val="24"/>
                <w:szCs w:val="24"/>
                <w:lang w:eastAsia="ru-RU"/>
              </w:rPr>
              <w:t>Полтавська</w:t>
            </w:r>
          </w:p>
        </w:tc>
        <w:tc>
          <w:tcPr>
            <w:tcW w:w="636" w:type="dxa"/>
            <w:textDirection w:val="btLr"/>
            <w:vAlign w:val="center"/>
          </w:tcPr>
          <w:p w:rsidR="005222DA" w:rsidRPr="00595829" w:rsidRDefault="005222DA" w:rsidP="00595829">
            <w:pPr>
              <w:widowControl w:val="0"/>
              <w:spacing w:line="276" w:lineRule="auto"/>
              <w:ind w:left="113" w:right="113"/>
              <w:jc w:val="center"/>
              <w:rPr>
                <w:rFonts w:eastAsia="Times New Roman"/>
                <w:sz w:val="24"/>
                <w:szCs w:val="24"/>
                <w:lang w:eastAsia="ru-RU"/>
              </w:rPr>
            </w:pPr>
            <w:r w:rsidRPr="00595829">
              <w:rPr>
                <w:rFonts w:eastAsia="Times New Roman"/>
                <w:sz w:val="24"/>
                <w:szCs w:val="24"/>
                <w:lang w:eastAsia="ru-RU"/>
              </w:rPr>
              <w:t>м. Київ</w:t>
            </w:r>
          </w:p>
        </w:tc>
        <w:tc>
          <w:tcPr>
            <w:tcW w:w="640" w:type="dxa"/>
            <w:textDirection w:val="btLr"/>
            <w:vAlign w:val="center"/>
          </w:tcPr>
          <w:p w:rsidR="005222DA" w:rsidRPr="00595829" w:rsidRDefault="005222DA" w:rsidP="00595829">
            <w:pPr>
              <w:widowControl w:val="0"/>
              <w:spacing w:line="276" w:lineRule="auto"/>
              <w:ind w:left="113" w:right="113"/>
              <w:jc w:val="center"/>
              <w:rPr>
                <w:rFonts w:eastAsia="Times New Roman"/>
                <w:sz w:val="24"/>
                <w:szCs w:val="24"/>
                <w:lang w:eastAsia="ru-RU"/>
              </w:rPr>
            </w:pPr>
            <w:r w:rsidRPr="00595829">
              <w:rPr>
                <w:rFonts w:eastAsia="Times New Roman"/>
                <w:sz w:val="24"/>
                <w:szCs w:val="24"/>
                <w:lang w:eastAsia="ru-RU"/>
              </w:rPr>
              <w:t>Житомирська</w:t>
            </w:r>
          </w:p>
        </w:tc>
        <w:tc>
          <w:tcPr>
            <w:tcW w:w="636" w:type="dxa"/>
            <w:textDirection w:val="btLr"/>
            <w:vAlign w:val="center"/>
          </w:tcPr>
          <w:p w:rsidR="005222DA" w:rsidRPr="00595829" w:rsidRDefault="005222DA" w:rsidP="00595829">
            <w:pPr>
              <w:widowControl w:val="0"/>
              <w:spacing w:line="276" w:lineRule="auto"/>
              <w:ind w:left="113" w:right="113"/>
              <w:jc w:val="center"/>
              <w:rPr>
                <w:rFonts w:eastAsia="Times New Roman"/>
                <w:sz w:val="24"/>
                <w:szCs w:val="24"/>
                <w:lang w:eastAsia="ru-RU"/>
              </w:rPr>
            </w:pPr>
            <w:r w:rsidRPr="00595829">
              <w:rPr>
                <w:rFonts w:eastAsia="Times New Roman"/>
                <w:sz w:val="24"/>
                <w:szCs w:val="24"/>
                <w:lang w:eastAsia="ru-RU"/>
              </w:rPr>
              <w:t>Івано-Франківська</w:t>
            </w:r>
          </w:p>
        </w:tc>
        <w:tc>
          <w:tcPr>
            <w:tcW w:w="639" w:type="dxa"/>
            <w:textDirection w:val="btLr"/>
            <w:vAlign w:val="center"/>
          </w:tcPr>
          <w:p w:rsidR="005222DA" w:rsidRPr="00595829" w:rsidRDefault="005222DA" w:rsidP="00595829">
            <w:pPr>
              <w:widowControl w:val="0"/>
              <w:spacing w:line="276" w:lineRule="auto"/>
              <w:ind w:left="113" w:right="113"/>
              <w:jc w:val="center"/>
              <w:rPr>
                <w:rFonts w:eastAsia="Times New Roman"/>
                <w:sz w:val="24"/>
                <w:szCs w:val="24"/>
                <w:lang w:eastAsia="ru-RU"/>
              </w:rPr>
            </w:pPr>
            <w:r w:rsidRPr="00595829">
              <w:rPr>
                <w:rFonts w:eastAsia="Times New Roman"/>
                <w:sz w:val="24"/>
                <w:szCs w:val="24"/>
                <w:lang w:eastAsia="ru-RU"/>
              </w:rPr>
              <w:t>Тернопільська</w:t>
            </w:r>
          </w:p>
        </w:tc>
      </w:tr>
      <w:tr w:rsidR="005222DA" w:rsidRPr="00595829" w:rsidTr="00595829">
        <w:trPr>
          <w:trHeight w:val="513"/>
        </w:trPr>
        <w:tc>
          <w:tcPr>
            <w:tcW w:w="5670" w:type="dxa"/>
            <w:vAlign w:val="center"/>
          </w:tcPr>
          <w:p w:rsidR="005222DA" w:rsidRPr="00595829" w:rsidRDefault="005222DA" w:rsidP="00595829">
            <w:pPr>
              <w:widowControl w:val="0"/>
              <w:spacing w:line="276" w:lineRule="auto"/>
              <w:rPr>
                <w:rFonts w:eastAsia="Times New Roman"/>
                <w:sz w:val="24"/>
                <w:szCs w:val="24"/>
                <w:lang w:eastAsia="uk-UA"/>
              </w:rPr>
            </w:pPr>
            <w:r w:rsidRPr="00595829">
              <w:rPr>
                <w:rFonts w:eastAsia="Times New Roman"/>
                <w:sz w:val="24"/>
                <w:szCs w:val="24"/>
                <w:lang w:eastAsia="uk-UA"/>
              </w:rPr>
              <w:t>Забезпеченість лікарями акушер-гінекологами</w:t>
            </w:r>
          </w:p>
        </w:tc>
        <w:tc>
          <w:tcPr>
            <w:tcW w:w="709" w:type="dxa"/>
            <w:vAlign w:val="center"/>
          </w:tcPr>
          <w:p w:rsidR="005222DA" w:rsidRPr="00595829" w:rsidRDefault="005222DA" w:rsidP="00595829">
            <w:pPr>
              <w:widowControl w:val="0"/>
              <w:spacing w:line="276" w:lineRule="auto"/>
              <w:jc w:val="center"/>
              <w:rPr>
                <w:rFonts w:eastAsia="Times New Roman"/>
                <w:sz w:val="24"/>
                <w:szCs w:val="24"/>
                <w:lang w:eastAsia="ru-RU"/>
              </w:rPr>
            </w:pPr>
            <w:r w:rsidRPr="00595829">
              <w:rPr>
                <w:rFonts w:eastAsia="Times New Roman"/>
                <w:sz w:val="24"/>
                <w:szCs w:val="24"/>
                <w:lang w:eastAsia="ru-RU"/>
              </w:rPr>
              <w:t>0,89</w:t>
            </w:r>
          </w:p>
        </w:tc>
        <w:tc>
          <w:tcPr>
            <w:tcW w:w="636" w:type="dxa"/>
            <w:vAlign w:val="center"/>
          </w:tcPr>
          <w:p w:rsidR="005222DA" w:rsidRPr="00595829" w:rsidRDefault="005222DA" w:rsidP="00595829">
            <w:pPr>
              <w:widowControl w:val="0"/>
              <w:spacing w:line="276" w:lineRule="auto"/>
              <w:jc w:val="center"/>
              <w:rPr>
                <w:rFonts w:eastAsia="Times New Roman"/>
                <w:sz w:val="24"/>
                <w:szCs w:val="24"/>
                <w:lang w:eastAsia="ru-RU"/>
              </w:rPr>
            </w:pPr>
            <w:r w:rsidRPr="00595829">
              <w:rPr>
                <w:rFonts w:eastAsia="Times New Roman"/>
                <w:sz w:val="24"/>
                <w:szCs w:val="24"/>
                <w:lang w:eastAsia="ru-RU"/>
              </w:rPr>
              <w:t>0,74</w:t>
            </w:r>
          </w:p>
        </w:tc>
        <w:tc>
          <w:tcPr>
            <w:tcW w:w="640" w:type="dxa"/>
            <w:vAlign w:val="center"/>
          </w:tcPr>
          <w:p w:rsidR="005222DA" w:rsidRPr="00595829" w:rsidRDefault="005222DA" w:rsidP="00595829">
            <w:pPr>
              <w:widowControl w:val="0"/>
              <w:spacing w:line="276" w:lineRule="auto"/>
              <w:jc w:val="center"/>
              <w:rPr>
                <w:rFonts w:eastAsia="Times New Roman"/>
                <w:sz w:val="24"/>
                <w:szCs w:val="24"/>
                <w:lang w:eastAsia="ru-RU"/>
              </w:rPr>
            </w:pPr>
            <w:r w:rsidRPr="00595829">
              <w:rPr>
                <w:rFonts w:eastAsia="Times New Roman"/>
                <w:sz w:val="24"/>
                <w:szCs w:val="24"/>
                <w:lang w:eastAsia="ru-RU"/>
              </w:rPr>
              <w:t>0,78</w:t>
            </w:r>
          </w:p>
        </w:tc>
        <w:tc>
          <w:tcPr>
            <w:tcW w:w="636" w:type="dxa"/>
            <w:vAlign w:val="center"/>
          </w:tcPr>
          <w:p w:rsidR="005222DA" w:rsidRPr="00595829" w:rsidRDefault="005222DA" w:rsidP="00595829">
            <w:pPr>
              <w:widowControl w:val="0"/>
              <w:spacing w:line="276" w:lineRule="auto"/>
              <w:jc w:val="center"/>
              <w:rPr>
                <w:rFonts w:eastAsia="Times New Roman"/>
                <w:sz w:val="24"/>
                <w:szCs w:val="24"/>
                <w:lang w:eastAsia="ru-RU"/>
              </w:rPr>
            </w:pPr>
            <w:r w:rsidRPr="00595829">
              <w:rPr>
                <w:rFonts w:eastAsia="Times New Roman"/>
                <w:sz w:val="24"/>
                <w:szCs w:val="24"/>
                <w:lang w:eastAsia="ru-RU"/>
              </w:rPr>
              <w:t>1,00</w:t>
            </w:r>
          </w:p>
        </w:tc>
        <w:tc>
          <w:tcPr>
            <w:tcW w:w="640" w:type="dxa"/>
            <w:vAlign w:val="center"/>
          </w:tcPr>
          <w:p w:rsidR="005222DA" w:rsidRPr="00595829" w:rsidRDefault="005222DA" w:rsidP="00595829">
            <w:pPr>
              <w:widowControl w:val="0"/>
              <w:spacing w:line="276" w:lineRule="auto"/>
              <w:jc w:val="center"/>
              <w:rPr>
                <w:rFonts w:eastAsia="Times New Roman"/>
                <w:sz w:val="24"/>
                <w:szCs w:val="24"/>
                <w:lang w:eastAsia="ru-RU"/>
              </w:rPr>
            </w:pPr>
            <w:r w:rsidRPr="00595829">
              <w:rPr>
                <w:rFonts w:eastAsia="Times New Roman"/>
                <w:sz w:val="24"/>
                <w:szCs w:val="24"/>
                <w:lang w:eastAsia="ru-RU"/>
              </w:rPr>
              <w:t>0,75</w:t>
            </w:r>
          </w:p>
        </w:tc>
        <w:tc>
          <w:tcPr>
            <w:tcW w:w="636" w:type="dxa"/>
            <w:vAlign w:val="center"/>
          </w:tcPr>
          <w:p w:rsidR="005222DA" w:rsidRPr="00595829" w:rsidRDefault="005222DA" w:rsidP="00595829">
            <w:pPr>
              <w:widowControl w:val="0"/>
              <w:spacing w:line="276" w:lineRule="auto"/>
              <w:jc w:val="center"/>
              <w:rPr>
                <w:rFonts w:eastAsia="Times New Roman"/>
                <w:sz w:val="24"/>
                <w:szCs w:val="24"/>
                <w:lang w:eastAsia="ru-RU"/>
              </w:rPr>
            </w:pPr>
            <w:r w:rsidRPr="00595829">
              <w:rPr>
                <w:rFonts w:eastAsia="Times New Roman"/>
                <w:sz w:val="24"/>
                <w:szCs w:val="24"/>
                <w:lang w:eastAsia="ru-RU"/>
              </w:rPr>
              <w:t>1,00</w:t>
            </w:r>
          </w:p>
        </w:tc>
        <w:tc>
          <w:tcPr>
            <w:tcW w:w="639" w:type="dxa"/>
            <w:vAlign w:val="center"/>
          </w:tcPr>
          <w:p w:rsidR="005222DA" w:rsidRPr="00595829" w:rsidRDefault="005222DA" w:rsidP="00595829">
            <w:pPr>
              <w:widowControl w:val="0"/>
              <w:spacing w:line="276" w:lineRule="auto"/>
              <w:jc w:val="center"/>
              <w:rPr>
                <w:rFonts w:eastAsia="Times New Roman"/>
                <w:sz w:val="24"/>
                <w:szCs w:val="24"/>
                <w:lang w:eastAsia="ru-RU"/>
              </w:rPr>
            </w:pPr>
            <w:r w:rsidRPr="00595829">
              <w:rPr>
                <w:rFonts w:eastAsia="Times New Roman"/>
                <w:sz w:val="24"/>
                <w:szCs w:val="24"/>
                <w:lang w:eastAsia="ru-RU"/>
              </w:rPr>
              <w:t>0,94</w:t>
            </w:r>
          </w:p>
        </w:tc>
      </w:tr>
      <w:tr w:rsidR="005222DA" w:rsidRPr="00595829" w:rsidTr="000B2804">
        <w:tc>
          <w:tcPr>
            <w:tcW w:w="5670" w:type="dxa"/>
            <w:vAlign w:val="bottom"/>
          </w:tcPr>
          <w:p w:rsidR="005222DA" w:rsidRPr="00595829" w:rsidRDefault="005222DA" w:rsidP="00595829">
            <w:pPr>
              <w:widowControl w:val="0"/>
              <w:spacing w:line="276" w:lineRule="auto"/>
              <w:rPr>
                <w:rFonts w:eastAsia="Times New Roman"/>
                <w:sz w:val="24"/>
                <w:szCs w:val="24"/>
                <w:lang w:eastAsia="uk-UA"/>
              </w:rPr>
            </w:pPr>
            <w:r w:rsidRPr="00595829">
              <w:rPr>
                <w:rFonts w:eastAsia="Times New Roman"/>
                <w:sz w:val="24"/>
                <w:szCs w:val="24"/>
                <w:lang w:eastAsia="uk-UA"/>
              </w:rPr>
              <w:t>Забезпеченість лікарями педіатрами-неонатологами</w:t>
            </w:r>
          </w:p>
        </w:tc>
        <w:tc>
          <w:tcPr>
            <w:tcW w:w="709" w:type="dxa"/>
            <w:vAlign w:val="center"/>
          </w:tcPr>
          <w:p w:rsidR="005222DA" w:rsidRPr="00595829" w:rsidRDefault="005222DA" w:rsidP="00595829">
            <w:pPr>
              <w:widowControl w:val="0"/>
              <w:spacing w:line="276" w:lineRule="auto"/>
              <w:jc w:val="center"/>
              <w:rPr>
                <w:rFonts w:eastAsia="Times New Roman"/>
                <w:sz w:val="24"/>
                <w:szCs w:val="24"/>
                <w:lang w:eastAsia="ru-RU"/>
              </w:rPr>
            </w:pPr>
            <w:r w:rsidRPr="00595829">
              <w:rPr>
                <w:rFonts w:eastAsia="Times New Roman"/>
                <w:sz w:val="24"/>
                <w:szCs w:val="24"/>
                <w:lang w:eastAsia="ru-RU"/>
              </w:rPr>
              <w:t>0,88</w:t>
            </w:r>
          </w:p>
        </w:tc>
        <w:tc>
          <w:tcPr>
            <w:tcW w:w="636" w:type="dxa"/>
            <w:vAlign w:val="center"/>
          </w:tcPr>
          <w:p w:rsidR="005222DA" w:rsidRPr="00595829" w:rsidRDefault="005222DA" w:rsidP="00595829">
            <w:pPr>
              <w:widowControl w:val="0"/>
              <w:spacing w:line="276" w:lineRule="auto"/>
              <w:jc w:val="center"/>
              <w:rPr>
                <w:rFonts w:eastAsia="Times New Roman"/>
                <w:sz w:val="24"/>
                <w:szCs w:val="24"/>
                <w:lang w:eastAsia="ru-RU"/>
              </w:rPr>
            </w:pPr>
            <w:r w:rsidRPr="00595829">
              <w:rPr>
                <w:rFonts w:eastAsia="Times New Roman"/>
                <w:sz w:val="24"/>
                <w:szCs w:val="24"/>
                <w:lang w:eastAsia="ru-RU"/>
              </w:rPr>
              <w:t>1,00</w:t>
            </w:r>
          </w:p>
        </w:tc>
        <w:tc>
          <w:tcPr>
            <w:tcW w:w="640" w:type="dxa"/>
            <w:vAlign w:val="center"/>
          </w:tcPr>
          <w:p w:rsidR="005222DA" w:rsidRPr="00595829" w:rsidRDefault="005222DA" w:rsidP="00595829">
            <w:pPr>
              <w:widowControl w:val="0"/>
              <w:spacing w:line="276" w:lineRule="auto"/>
              <w:jc w:val="center"/>
              <w:rPr>
                <w:rFonts w:eastAsia="Times New Roman"/>
                <w:sz w:val="24"/>
                <w:szCs w:val="24"/>
                <w:lang w:eastAsia="ru-RU"/>
              </w:rPr>
            </w:pPr>
            <w:r w:rsidRPr="00595829">
              <w:rPr>
                <w:rFonts w:eastAsia="Times New Roman"/>
                <w:sz w:val="24"/>
                <w:szCs w:val="24"/>
                <w:lang w:eastAsia="ru-RU"/>
              </w:rPr>
              <w:t>0,90</w:t>
            </w:r>
          </w:p>
        </w:tc>
        <w:tc>
          <w:tcPr>
            <w:tcW w:w="636" w:type="dxa"/>
            <w:vAlign w:val="center"/>
          </w:tcPr>
          <w:p w:rsidR="005222DA" w:rsidRPr="00595829" w:rsidRDefault="005222DA" w:rsidP="00595829">
            <w:pPr>
              <w:widowControl w:val="0"/>
              <w:spacing w:line="276" w:lineRule="auto"/>
              <w:jc w:val="center"/>
              <w:rPr>
                <w:rFonts w:eastAsia="Times New Roman"/>
                <w:sz w:val="24"/>
                <w:szCs w:val="24"/>
                <w:lang w:eastAsia="ru-RU"/>
              </w:rPr>
            </w:pPr>
            <w:r w:rsidRPr="00595829">
              <w:rPr>
                <w:rFonts w:eastAsia="Times New Roman"/>
                <w:sz w:val="24"/>
                <w:szCs w:val="24"/>
                <w:lang w:eastAsia="ru-RU"/>
              </w:rPr>
              <w:t>0,91</w:t>
            </w:r>
          </w:p>
        </w:tc>
        <w:tc>
          <w:tcPr>
            <w:tcW w:w="640" w:type="dxa"/>
            <w:vAlign w:val="center"/>
          </w:tcPr>
          <w:p w:rsidR="005222DA" w:rsidRPr="00595829" w:rsidRDefault="005222DA" w:rsidP="00595829">
            <w:pPr>
              <w:widowControl w:val="0"/>
              <w:spacing w:line="276" w:lineRule="auto"/>
              <w:jc w:val="center"/>
              <w:rPr>
                <w:rFonts w:eastAsia="Times New Roman"/>
                <w:sz w:val="24"/>
                <w:szCs w:val="24"/>
                <w:lang w:eastAsia="ru-RU"/>
              </w:rPr>
            </w:pPr>
            <w:r w:rsidRPr="00595829">
              <w:rPr>
                <w:rFonts w:eastAsia="Times New Roman"/>
                <w:sz w:val="24"/>
                <w:szCs w:val="24"/>
                <w:lang w:eastAsia="ru-RU"/>
              </w:rPr>
              <w:t>0,78</w:t>
            </w:r>
          </w:p>
        </w:tc>
        <w:tc>
          <w:tcPr>
            <w:tcW w:w="636" w:type="dxa"/>
            <w:vAlign w:val="center"/>
          </w:tcPr>
          <w:p w:rsidR="005222DA" w:rsidRPr="00595829" w:rsidRDefault="005222DA" w:rsidP="00595829">
            <w:pPr>
              <w:widowControl w:val="0"/>
              <w:spacing w:line="276" w:lineRule="auto"/>
              <w:jc w:val="center"/>
              <w:rPr>
                <w:rFonts w:eastAsia="Times New Roman"/>
                <w:sz w:val="24"/>
                <w:szCs w:val="24"/>
                <w:lang w:eastAsia="ru-RU"/>
              </w:rPr>
            </w:pPr>
            <w:r w:rsidRPr="00595829">
              <w:rPr>
                <w:rFonts w:eastAsia="Times New Roman"/>
                <w:sz w:val="24"/>
                <w:szCs w:val="24"/>
                <w:lang w:eastAsia="ru-RU"/>
              </w:rPr>
              <w:t>1,00</w:t>
            </w:r>
          </w:p>
        </w:tc>
        <w:tc>
          <w:tcPr>
            <w:tcW w:w="639" w:type="dxa"/>
            <w:vAlign w:val="center"/>
          </w:tcPr>
          <w:p w:rsidR="005222DA" w:rsidRPr="00595829" w:rsidRDefault="005222DA" w:rsidP="00595829">
            <w:pPr>
              <w:widowControl w:val="0"/>
              <w:spacing w:line="276" w:lineRule="auto"/>
              <w:jc w:val="center"/>
              <w:rPr>
                <w:rFonts w:eastAsia="Times New Roman"/>
                <w:sz w:val="24"/>
                <w:szCs w:val="24"/>
                <w:lang w:eastAsia="ru-RU"/>
              </w:rPr>
            </w:pPr>
            <w:r w:rsidRPr="00595829">
              <w:rPr>
                <w:rFonts w:eastAsia="Times New Roman"/>
                <w:sz w:val="24"/>
                <w:szCs w:val="24"/>
                <w:lang w:eastAsia="ru-RU"/>
              </w:rPr>
              <w:t>0,88</w:t>
            </w:r>
          </w:p>
        </w:tc>
      </w:tr>
      <w:tr w:rsidR="005222DA" w:rsidRPr="00595829" w:rsidTr="000B2804">
        <w:tc>
          <w:tcPr>
            <w:tcW w:w="5670" w:type="dxa"/>
            <w:vAlign w:val="center"/>
          </w:tcPr>
          <w:p w:rsidR="005222DA" w:rsidRPr="00595829" w:rsidRDefault="005222DA" w:rsidP="00595829">
            <w:pPr>
              <w:widowControl w:val="0"/>
              <w:spacing w:line="276" w:lineRule="auto"/>
              <w:rPr>
                <w:rFonts w:eastAsia="Times New Roman"/>
                <w:sz w:val="24"/>
                <w:szCs w:val="24"/>
                <w:lang w:eastAsia="uk-UA"/>
              </w:rPr>
            </w:pPr>
            <w:r w:rsidRPr="00595829">
              <w:rPr>
                <w:rFonts w:eastAsia="Times New Roman"/>
                <w:sz w:val="24"/>
                <w:szCs w:val="24"/>
                <w:lang w:eastAsia="uk-UA"/>
              </w:rPr>
              <w:t>Своєчасність постановки на облік вагітних</w:t>
            </w:r>
          </w:p>
        </w:tc>
        <w:tc>
          <w:tcPr>
            <w:tcW w:w="709" w:type="dxa"/>
            <w:vAlign w:val="center"/>
          </w:tcPr>
          <w:p w:rsidR="005222DA" w:rsidRPr="00595829" w:rsidRDefault="005222DA" w:rsidP="00595829">
            <w:pPr>
              <w:widowControl w:val="0"/>
              <w:spacing w:line="276" w:lineRule="auto"/>
              <w:jc w:val="center"/>
              <w:rPr>
                <w:rFonts w:eastAsia="Times New Roman"/>
                <w:sz w:val="24"/>
                <w:szCs w:val="24"/>
                <w:lang w:eastAsia="ru-RU"/>
              </w:rPr>
            </w:pPr>
            <w:r w:rsidRPr="00595829">
              <w:rPr>
                <w:rFonts w:eastAsia="Times New Roman"/>
                <w:sz w:val="24"/>
                <w:szCs w:val="24"/>
                <w:lang w:eastAsia="ru-RU"/>
              </w:rPr>
              <w:t>0,96</w:t>
            </w:r>
          </w:p>
        </w:tc>
        <w:tc>
          <w:tcPr>
            <w:tcW w:w="636" w:type="dxa"/>
            <w:vAlign w:val="center"/>
          </w:tcPr>
          <w:p w:rsidR="005222DA" w:rsidRPr="00595829" w:rsidRDefault="005222DA" w:rsidP="00595829">
            <w:pPr>
              <w:widowControl w:val="0"/>
              <w:spacing w:line="276" w:lineRule="auto"/>
              <w:jc w:val="center"/>
              <w:rPr>
                <w:rFonts w:eastAsia="Times New Roman"/>
                <w:sz w:val="24"/>
                <w:szCs w:val="24"/>
                <w:lang w:eastAsia="ru-RU"/>
              </w:rPr>
            </w:pPr>
            <w:r w:rsidRPr="00595829">
              <w:rPr>
                <w:rFonts w:eastAsia="Times New Roman"/>
                <w:sz w:val="24"/>
                <w:szCs w:val="24"/>
                <w:lang w:eastAsia="ru-RU"/>
              </w:rPr>
              <w:t>1,00</w:t>
            </w:r>
          </w:p>
        </w:tc>
        <w:tc>
          <w:tcPr>
            <w:tcW w:w="640" w:type="dxa"/>
            <w:vAlign w:val="center"/>
          </w:tcPr>
          <w:p w:rsidR="005222DA" w:rsidRPr="00595829" w:rsidRDefault="005222DA" w:rsidP="00595829">
            <w:pPr>
              <w:widowControl w:val="0"/>
              <w:spacing w:line="276" w:lineRule="auto"/>
              <w:jc w:val="center"/>
              <w:rPr>
                <w:rFonts w:eastAsia="Times New Roman"/>
                <w:sz w:val="24"/>
                <w:szCs w:val="24"/>
                <w:lang w:eastAsia="ru-RU"/>
              </w:rPr>
            </w:pPr>
            <w:r w:rsidRPr="00595829">
              <w:rPr>
                <w:rFonts w:eastAsia="Times New Roman"/>
                <w:sz w:val="24"/>
                <w:szCs w:val="24"/>
                <w:lang w:eastAsia="ru-RU"/>
              </w:rPr>
              <w:t>0,93</w:t>
            </w:r>
          </w:p>
        </w:tc>
        <w:tc>
          <w:tcPr>
            <w:tcW w:w="636" w:type="dxa"/>
            <w:vAlign w:val="center"/>
          </w:tcPr>
          <w:p w:rsidR="005222DA" w:rsidRPr="00595829" w:rsidRDefault="005222DA" w:rsidP="00595829">
            <w:pPr>
              <w:widowControl w:val="0"/>
              <w:spacing w:line="276" w:lineRule="auto"/>
              <w:jc w:val="center"/>
              <w:rPr>
                <w:rFonts w:eastAsia="Times New Roman"/>
                <w:sz w:val="24"/>
                <w:szCs w:val="24"/>
                <w:lang w:eastAsia="ru-RU"/>
              </w:rPr>
            </w:pPr>
            <w:r w:rsidRPr="00595829">
              <w:rPr>
                <w:rFonts w:eastAsia="Times New Roman"/>
                <w:sz w:val="24"/>
                <w:szCs w:val="24"/>
                <w:lang w:eastAsia="ru-RU"/>
              </w:rPr>
              <w:t>0,92</w:t>
            </w:r>
          </w:p>
        </w:tc>
        <w:tc>
          <w:tcPr>
            <w:tcW w:w="640" w:type="dxa"/>
            <w:vAlign w:val="center"/>
          </w:tcPr>
          <w:p w:rsidR="005222DA" w:rsidRPr="00595829" w:rsidRDefault="005222DA" w:rsidP="00595829">
            <w:pPr>
              <w:widowControl w:val="0"/>
              <w:spacing w:line="276" w:lineRule="auto"/>
              <w:jc w:val="center"/>
              <w:rPr>
                <w:rFonts w:eastAsia="Times New Roman"/>
                <w:sz w:val="24"/>
                <w:szCs w:val="24"/>
                <w:lang w:eastAsia="ru-RU"/>
              </w:rPr>
            </w:pPr>
            <w:r w:rsidRPr="00595829">
              <w:rPr>
                <w:rFonts w:eastAsia="Times New Roman"/>
                <w:sz w:val="24"/>
                <w:szCs w:val="24"/>
                <w:lang w:eastAsia="ru-RU"/>
              </w:rPr>
              <w:t>1,00</w:t>
            </w:r>
          </w:p>
        </w:tc>
        <w:tc>
          <w:tcPr>
            <w:tcW w:w="636" w:type="dxa"/>
            <w:vAlign w:val="center"/>
          </w:tcPr>
          <w:p w:rsidR="005222DA" w:rsidRPr="00595829" w:rsidRDefault="005222DA" w:rsidP="00595829">
            <w:pPr>
              <w:widowControl w:val="0"/>
              <w:spacing w:line="276" w:lineRule="auto"/>
              <w:jc w:val="center"/>
              <w:rPr>
                <w:rFonts w:eastAsia="Times New Roman"/>
                <w:sz w:val="24"/>
                <w:szCs w:val="24"/>
                <w:lang w:eastAsia="ru-RU"/>
              </w:rPr>
            </w:pPr>
            <w:r w:rsidRPr="00595829">
              <w:rPr>
                <w:rFonts w:eastAsia="Times New Roman"/>
                <w:sz w:val="24"/>
                <w:szCs w:val="24"/>
                <w:lang w:eastAsia="ru-RU"/>
              </w:rPr>
              <w:t>0,94</w:t>
            </w:r>
          </w:p>
        </w:tc>
        <w:tc>
          <w:tcPr>
            <w:tcW w:w="639" w:type="dxa"/>
            <w:vAlign w:val="center"/>
          </w:tcPr>
          <w:p w:rsidR="005222DA" w:rsidRPr="00595829" w:rsidRDefault="005222DA" w:rsidP="00595829">
            <w:pPr>
              <w:widowControl w:val="0"/>
              <w:spacing w:line="276" w:lineRule="auto"/>
              <w:jc w:val="center"/>
              <w:rPr>
                <w:rFonts w:eastAsia="Times New Roman"/>
                <w:sz w:val="24"/>
                <w:szCs w:val="24"/>
                <w:lang w:eastAsia="ru-RU"/>
              </w:rPr>
            </w:pPr>
            <w:r w:rsidRPr="00595829">
              <w:rPr>
                <w:rFonts w:eastAsia="Times New Roman"/>
                <w:sz w:val="24"/>
                <w:szCs w:val="24"/>
                <w:lang w:eastAsia="ru-RU"/>
              </w:rPr>
              <w:t>1,00</w:t>
            </w:r>
          </w:p>
        </w:tc>
      </w:tr>
      <w:tr w:rsidR="005222DA" w:rsidRPr="00595829" w:rsidTr="000B2804">
        <w:tc>
          <w:tcPr>
            <w:tcW w:w="5670" w:type="dxa"/>
            <w:vAlign w:val="center"/>
          </w:tcPr>
          <w:p w:rsidR="005222DA" w:rsidRPr="00595829" w:rsidRDefault="005222DA" w:rsidP="00595829">
            <w:pPr>
              <w:widowControl w:val="0"/>
              <w:spacing w:line="276" w:lineRule="auto"/>
              <w:rPr>
                <w:rFonts w:eastAsia="Times New Roman"/>
                <w:sz w:val="24"/>
                <w:szCs w:val="24"/>
                <w:lang w:eastAsia="uk-UA"/>
              </w:rPr>
            </w:pPr>
            <w:r w:rsidRPr="00595829">
              <w:rPr>
                <w:rFonts w:eastAsia="Times New Roman"/>
                <w:sz w:val="24"/>
                <w:szCs w:val="24"/>
                <w:lang w:eastAsia="uk-UA"/>
              </w:rPr>
              <w:t>Частота анемій вагітних</w:t>
            </w:r>
          </w:p>
        </w:tc>
        <w:tc>
          <w:tcPr>
            <w:tcW w:w="709" w:type="dxa"/>
            <w:vAlign w:val="center"/>
          </w:tcPr>
          <w:p w:rsidR="005222DA" w:rsidRPr="00595829" w:rsidRDefault="005222DA" w:rsidP="00595829">
            <w:pPr>
              <w:widowControl w:val="0"/>
              <w:spacing w:line="276" w:lineRule="auto"/>
              <w:jc w:val="center"/>
              <w:rPr>
                <w:rFonts w:eastAsia="Times New Roman"/>
                <w:sz w:val="24"/>
                <w:szCs w:val="24"/>
                <w:lang w:eastAsia="ru-RU"/>
              </w:rPr>
            </w:pPr>
            <w:r w:rsidRPr="00595829">
              <w:rPr>
                <w:rFonts w:eastAsia="Times New Roman"/>
                <w:sz w:val="24"/>
                <w:szCs w:val="24"/>
                <w:lang w:eastAsia="ru-RU"/>
              </w:rPr>
              <w:t>1,00</w:t>
            </w:r>
          </w:p>
        </w:tc>
        <w:tc>
          <w:tcPr>
            <w:tcW w:w="636" w:type="dxa"/>
            <w:vAlign w:val="center"/>
          </w:tcPr>
          <w:p w:rsidR="005222DA" w:rsidRPr="00595829" w:rsidRDefault="005222DA" w:rsidP="00595829">
            <w:pPr>
              <w:widowControl w:val="0"/>
              <w:spacing w:line="276" w:lineRule="auto"/>
              <w:jc w:val="center"/>
              <w:rPr>
                <w:rFonts w:eastAsia="Times New Roman"/>
                <w:sz w:val="24"/>
                <w:szCs w:val="24"/>
                <w:lang w:eastAsia="ru-RU"/>
              </w:rPr>
            </w:pPr>
            <w:r w:rsidRPr="00595829">
              <w:rPr>
                <w:rFonts w:eastAsia="Times New Roman"/>
                <w:sz w:val="24"/>
                <w:szCs w:val="24"/>
                <w:lang w:eastAsia="ru-RU"/>
              </w:rPr>
              <w:t>1,00</w:t>
            </w:r>
          </w:p>
        </w:tc>
        <w:tc>
          <w:tcPr>
            <w:tcW w:w="640" w:type="dxa"/>
            <w:vAlign w:val="center"/>
          </w:tcPr>
          <w:p w:rsidR="005222DA" w:rsidRPr="00595829" w:rsidRDefault="005222DA" w:rsidP="00595829">
            <w:pPr>
              <w:widowControl w:val="0"/>
              <w:spacing w:line="276" w:lineRule="auto"/>
              <w:jc w:val="center"/>
              <w:rPr>
                <w:rFonts w:eastAsia="Times New Roman"/>
                <w:sz w:val="24"/>
                <w:szCs w:val="24"/>
                <w:lang w:eastAsia="ru-RU"/>
              </w:rPr>
            </w:pPr>
            <w:r w:rsidRPr="00595829">
              <w:rPr>
                <w:rFonts w:eastAsia="Times New Roman"/>
                <w:sz w:val="24"/>
                <w:szCs w:val="24"/>
                <w:lang w:eastAsia="ru-RU"/>
              </w:rPr>
              <w:t>0,71</w:t>
            </w:r>
          </w:p>
        </w:tc>
        <w:tc>
          <w:tcPr>
            <w:tcW w:w="636" w:type="dxa"/>
            <w:vAlign w:val="center"/>
          </w:tcPr>
          <w:p w:rsidR="005222DA" w:rsidRPr="00595829" w:rsidRDefault="005222DA" w:rsidP="00595829">
            <w:pPr>
              <w:widowControl w:val="0"/>
              <w:spacing w:line="276" w:lineRule="auto"/>
              <w:jc w:val="center"/>
              <w:rPr>
                <w:rFonts w:eastAsia="Times New Roman"/>
                <w:sz w:val="24"/>
                <w:szCs w:val="24"/>
                <w:lang w:eastAsia="ru-RU"/>
              </w:rPr>
            </w:pPr>
            <w:r w:rsidRPr="00595829">
              <w:rPr>
                <w:rFonts w:eastAsia="Times New Roman"/>
                <w:sz w:val="24"/>
                <w:szCs w:val="24"/>
                <w:lang w:eastAsia="ru-RU"/>
              </w:rPr>
              <w:t>0,51</w:t>
            </w:r>
          </w:p>
        </w:tc>
        <w:tc>
          <w:tcPr>
            <w:tcW w:w="640" w:type="dxa"/>
            <w:vAlign w:val="center"/>
          </w:tcPr>
          <w:p w:rsidR="005222DA" w:rsidRPr="00595829" w:rsidRDefault="005222DA" w:rsidP="00595829">
            <w:pPr>
              <w:widowControl w:val="0"/>
              <w:spacing w:line="276" w:lineRule="auto"/>
              <w:jc w:val="center"/>
              <w:rPr>
                <w:rFonts w:eastAsia="Times New Roman"/>
                <w:sz w:val="24"/>
                <w:szCs w:val="24"/>
                <w:lang w:eastAsia="ru-RU"/>
              </w:rPr>
            </w:pPr>
            <w:r w:rsidRPr="00595829">
              <w:rPr>
                <w:rFonts w:eastAsia="Times New Roman"/>
                <w:sz w:val="24"/>
                <w:szCs w:val="24"/>
                <w:lang w:eastAsia="ru-RU"/>
              </w:rPr>
              <w:t>1,00</w:t>
            </w:r>
          </w:p>
        </w:tc>
        <w:tc>
          <w:tcPr>
            <w:tcW w:w="636" w:type="dxa"/>
            <w:vAlign w:val="center"/>
          </w:tcPr>
          <w:p w:rsidR="005222DA" w:rsidRPr="00595829" w:rsidRDefault="005222DA" w:rsidP="00595829">
            <w:pPr>
              <w:widowControl w:val="0"/>
              <w:spacing w:line="276" w:lineRule="auto"/>
              <w:jc w:val="center"/>
              <w:rPr>
                <w:rFonts w:eastAsia="Times New Roman"/>
                <w:sz w:val="24"/>
                <w:szCs w:val="24"/>
                <w:lang w:eastAsia="ru-RU"/>
              </w:rPr>
            </w:pPr>
            <w:r w:rsidRPr="00595829">
              <w:rPr>
                <w:rFonts w:eastAsia="Times New Roman"/>
                <w:sz w:val="24"/>
                <w:szCs w:val="24"/>
                <w:lang w:eastAsia="ru-RU"/>
              </w:rPr>
              <w:t>0,63</w:t>
            </w:r>
          </w:p>
        </w:tc>
        <w:tc>
          <w:tcPr>
            <w:tcW w:w="639" w:type="dxa"/>
            <w:vAlign w:val="center"/>
          </w:tcPr>
          <w:p w:rsidR="005222DA" w:rsidRPr="00595829" w:rsidRDefault="005222DA" w:rsidP="00595829">
            <w:pPr>
              <w:widowControl w:val="0"/>
              <w:spacing w:line="276" w:lineRule="auto"/>
              <w:jc w:val="center"/>
              <w:rPr>
                <w:rFonts w:eastAsia="Times New Roman"/>
                <w:sz w:val="24"/>
                <w:szCs w:val="24"/>
                <w:lang w:eastAsia="ru-RU"/>
              </w:rPr>
            </w:pPr>
            <w:r w:rsidRPr="00595829">
              <w:rPr>
                <w:rFonts w:eastAsia="Times New Roman"/>
                <w:sz w:val="24"/>
                <w:szCs w:val="24"/>
                <w:lang w:eastAsia="ru-RU"/>
              </w:rPr>
              <w:t>1,00</w:t>
            </w:r>
          </w:p>
        </w:tc>
      </w:tr>
      <w:tr w:rsidR="005222DA" w:rsidRPr="00595829" w:rsidTr="000B2804">
        <w:tc>
          <w:tcPr>
            <w:tcW w:w="5670" w:type="dxa"/>
            <w:vAlign w:val="center"/>
          </w:tcPr>
          <w:p w:rsidR="005222DA" w:rsidRPr="00595829" w:rsidRDefault="005222DA" w:rsidP="00595829">
            <w:pPr>
              <w:widowControl w:val="0"/>
              <w:spacing w:line="276" w:lineRule="auto"/>
              <w:rPr>
                <w:rFonts w:eastAsia="Times New Roman"/>
                <w:sz w:val="24"/>
                <w:szCs w:val="24"/>
                <w:lang w:eastAsia="uk-UA"/>
              </w:rPr>
            </w:pPr>
            <w:r w:rsidRPr="00595829">
              <w:rPr>
                <w:rFonts w:eastAsia="Times New Roman"/>
                <w:sz w:val="24"/>
                <w:szCs w:val="24"/>
                <w:lang w:eastAsia="uk-UA"/>
              </w:rPr>
              <w:t>Частота прееклампсій та еклампсій вагітних</w:t>
            </w:r>
          </w:p>
        </w:tc>
        <w:tc>
          <w:tcPr>
            <w:tcW w:w="709" w:type="dxa"/>
            <w:vAlign w:val="center"/>
          </w:tcPr>
          <w:p w:rsidR="005222DA" w:rsidRPr="00595829" w:rsidRDefault="005222DA" w:rsidP="00595829">
            <w:pPr>
              <w:widowControl w:val="0"/>
              <w:spacing w:line="276" w:lineRule="auto"/>
              <w:jc w:val="center"/>
              <w:rPr>
                <w:rFonts w:eastAsia="Times New Roman"/>
                <w:sz w:val="24"/>
                <w:szCs w:val="24"/>
                <w:lang w:eastAsia="ru-RU"/>
              </w:rPr>
            </w:pPr>
            <w:r w:rsidRPr="00595829">
              <w:rPr>
                <w:rFonts w:eastAsia="Times New Roman"/>
                <w:sz w:val="24"/>
                <w:szCs w:val="24"/>
                <w:lang w:eastAsia="ru-RU"/>
              </w:rPr>
              <w:t>1,00</w:t>
            </w:r>
          </w:p>
        </w:tc>
        <w:tc>
          <w:tcPr>
            <w:tcW w:w="636" w:type="dxa"/>
            <w:vAlign w:val="center"/>
          </w:tcPr>
          <w:p w:rsidR="005222DA" w:rsidRPr="00595829" w:rsidRDefault="005222DA" w:rsidP="00595829">
            <w:pPr>
              <w:widowControl w:val="0"/>
              <w:spacing w:line="276" w:lineRule="auto"/>
              <w:jc w:val="center"/>
              <w:rPr>
                <w:rFonts w:eastAsia="Times New Roman"/>
                <w:sz w:val="24"/>
                <w:szCs w:val="24"/>
                <w:lang w:eastAsia="ru-RU"/>
              </w:rPr>
            </w:pPr>
            <w:r w:rsidRPr="00595829">
              <w:rPr>
                <w:rFonts w:eastAsia="Times New Roman"/>
                <w:sz w:val="24"/>
                <w:szCs w:val="24"/>
                <w:lang w:eastAsia="ru-RU"/>
              </w:rPr>
              <w:t>0,90</w:t>
            </w:r>
          </w:p>
        </w:tc>
        <w:tc>
          <w:tcPr>
            <w:tcW w:w="640" w:type="dxa"/>
            <w:vAlign w:val="center"/>
          </w:tcPr>
          <w:p w:rsidR="005222DA" w:rsidRPr="00595829" w:rsidRDefault="005222DA" w:rsidP="00595829">
            <w:pPr>
              <w:widowControl w:val="0"/>
              <w:spacing w:line="276" w:lineRule="auto"/>
              <w:jc w:val="center"/>
              <w:rPr>
                <w:rFonts w:eastAsia="Times New Roman"/>
                <w:sz w:val="24"/>
                <w:szCs w:val="24"/>
                <w:lang w:eastAsia="ru-RU"/>
              </w:rPr>
            </w:pPr>
            <w:r w:rsidRPr="00595829">
              <w:rPr>
                <w:rFonts w:eastAsia="Times New Roman"/>
                <w:sz w:val="24"/>
                <w:szCs w:val="24"/>
                <w:lang w:eastAsia="ru-RU"/>
              </w:rPr>
              <w:t>0,06</w:t>
            </w:r>
          </w:p>
        </w:tc>
        <w:tc>
          <w:tcPr>
            <w:tcW w:w="636" w:type="dxa"/>
            <w:vAlign w:val="center"/>
          </w:tcPr>
          <w:p w:rsidR="005222DA" w:rsidRPr="00595829" w:rsidRDefault="005222DA" w:rsidP="00595829">
            <w:pPr>
              <w:widowControl w:val="0"/>
              <w:spacing w:line="276" w:lineRule="auto"/>
              <w:jc w:val="center"/>
              <w:rPr>
                <w:rFonts w:eastAsia="Times New Roman"/>
                <w:sz w:val="24"/>
                <w:szCs w:val="24"/>
                <w:lang w:eastAsia="ru-RU"/>
              </w:rPr>
            </w:pPr>
            <w:r w:rsidRPr="00595829">
              <w:rPr>
                <w:rFonts w:eastAsia="Times New Roman"/>
                <w:sz w:val="24"/>
                <w:szCs w:val="24"/>
                <w:lang w:eastAsia="ru-RU"/>
              </w:rPr>
              <w:t>0,98</w:t>
            </w:r>
          </w:p>
        </w:tc>
        <w:tc>
          <w:tcPr>
            <w:tcW w:w="640" w:type="dxa"/>
            <w:vAlign w:val="center"/>
          </w:tcPr>
          <w:p w:rsidR="005222DA" w:rsidRPr="00595829" w:rsidRDefault="005222DA" w:rsidP="00595829">
            <w:pPr>
              <w:widowControl w:val="0"/>
              <w:spacing w:line="276" w:lineRule="auto"/>
              <w:jc w:val="center"/>
              <w:rPr>
                <w:rFonts w:eastAsia="Times New Roman"/>
                <w:sz w:val="24"/>
                <w:szCs w:val="24"/>
                <w:lang w:eastAsia="ru-RU"/>
              </w:rPr>
            </w:pPr>
            <w:r w:rsidRPr="00595829">
              <w:rPr>
                <w:rFonts w:eastAsia="Times New Roman"/>
                <w:sz w:val="24"/>
                <w:szCs w:val="24"/>
                <w:lang w:eastAsia="ru-RU"/>
              </w:rPr>
              <w:t>0,94</w:t>
            </w:r>
          </w:p>
        </w:tc>
        <w:tc>
          <w:tcPr>
            <w:tcW w:w="636" w:type="dxa"/>
            <w:vAlign w:val="center"/>
          </w:tcPr>
          <w:p w:rsidR="005222DA" w:rsidRPr="00595829" w:rsidRDefault="005222DA" w:rsidP="00595829">
            <w:pPr>
              <w:widowControl w:val="0"/>
              <w:spacing w:line="276" w:lineRule="auto"/>
              <w:jc w:val="center"/>
              <w:rPr>
                <w:rFonts w:eastAsia="Times New Roman"/>
                <w:sz w:val="24"/>
                <w:szCs w:val="24"/>
                <w:lang w:eastAsia="ru-RU"/>
              </w:rPr>
            </w:pPr>
            <w:r w:rsidRPr="00595829">
              <w:rPr>
                <w:rFonts w:eastAsia="Times New Roman"/>
                <w:sz w:val="24"/>
                <w:szCs w:val="24"/>
                <w:lang w:eastAsia="ru-RU"/>
              </w:rPr>
              <w:t>1,00</w:t>
            </w:r>
          </w:p>
        </w:tc>
        <w:tc>
          <w:tcPr>
            <w:tcW w:w="639" w:type="dxa"/>
            <w:vAlign w:val="center"/>
          </w:tcPr>
          <w:p w:rsidR="005222DA" w:rsidRPr="00595829" w:rsidRDefault="005222DA" w:rsidP="00595829">
            <w:pPr>
              <w:widowControl w:val="0"/>
              <w:spacing w:line="276" w:lineRule="auto"/>
              <w:jc w:val="center"/>
              <w:rPr>
                <w:rFonts w:eastAsia="Times New Roman"/>
                <w:sz w:val="24"/>
                <w:szCs w:val="24"/>
                <w:lang w:eastAsia="ru-RU"/>
              </w:rPr>
            </w:pPr>
            <w:r w:rsidRPr="00595829">
              <w:rPr>
                <w:rFonts w:eastAsia="Times New Roman"/>
                <w:sz w:val="24"/>
                <w:szCs w:val="24"/>
                <w:lang w:eastAsia="ru-RU"/>
              </w:rPr>
              <w:t>1,00</w:t>
            </w:r>
          </w:p>
        </w:tc>
      </w:tr>
      <w:tr w:rsidR="005222DA" w:rsidRPr="00595829" w:rsidTr="000B2804">
        <w:tc>
          <w:tcPr>
            <w:tcW w:w="5670" w:type="dxa"/>
            <w:vAlign w:val="center"/>
          </w:tcPr>
          <w:p w:rsidR="005222DA" w:rsidRPr="00595829" w:rsidRDefault="005222DA" w:rsidP="00595829">
            <w:pPr>
              <w:widowControl w:val="0"/>
              <w:spacing w:line="276" w:lineRule="auto"/>
              <w:rPr>
                <w:rFonts w:eastAsia="Times New Roman"/>
                <w:sz w:val="24"/>
                <w:szCs w:val="24"/>
                <w:lang w:eastAsia="uk-UA"/>
              </w:rPr>
            </w:pPr>
            <w:r w:rsidRPr="00595829">
              <w:rPr>
                <w:rFonts w:eastAsia="Times New Roman"/>
                <w:sz w:val="24"/>
                <w:szCs w:val="24"/>
                <w:lang w:eastAsia="uk-UA"/>
              </w:rPr>
              <w:t>Співвідношення безпечних методів абортів до небезпечних</w:t>
            </w:r>
          </w:p>
        </w:tc>
        <w:tc>
          <w:tcPr>
            <w:tcW w:w="709" w:type="dxa"/>
            <w:vAlign w:val="center"/>
          </w:tcPr>
          <w:p w:rsidR="005222DA" w:rsidRPr="00595829" w:rsidRDefault="005222DA" w:rsidP="00595829">
            <w:pPr>
              <w:widowControl w:val="0"/>
              <w:spacing w:line="276" w:lineRule="auto"/>
              <w:jc w:val="center"/>
              <w:rPr>
                <w:rFonts w:eastAsia="Times New Roman"/>
                <w:sz w:val="24"/>
                <w:szCs w:val="24"/>
                <w:lang w:eastAsia="ru-RU"/>
              </w:rPr>
            </w:pPr>
            <w:r w:rsidRPr="00595829">
              <w:rPr>
                <w:rFonts w:eastAsia="Times New Roman"/>
                <w:sz w:val="24"/>
                <w:szCs w:val="24"/>
                <w:lang w:eastAsia="ru-RU"/>
              </w:rPr>
              <w:t>0,46</w:t>
            </w:r>
          </w:p>
        </w:tc>
        <w:tc>
          <w:tcPr>
            <w:tcW w:w="636" w:type="dxa"/>
            <w:vAlign w:val="center"/>
          </w:tcPr>
          <w:p w:rsidR="005222DA" w:rsidRPr="00595829" w:rsidRDefault="005222DA" w:rsidP="00595829">
            <w:pPr>
              <w:widowControl w:val="0"/>
              <w:spacing w:line="276" w:lineRule="auto"/>
              <w:jc w:val="center"/>
              <w:rPr>
                <w:rFonts w:eastAsia="Times New Roman"/>
                <w:sz w:val="24"/>
                <w:szCs w:val="24"/>
                <w:lang w:eastAsia="ru-RU"/>
              </w:rPr>
            </w:pPr>
            <w:r w:rsidRPr="00595829">
              <w:rPr>
                <w:rFonts w:eastAsia="Times New Roman"/>
                <w:sz w:val="24"/>
                <w:szCs w:val="24"/>
                <w:lang w:eastAsia="ru-RU"/>
              </w:rPr>
              <w:t>0,95</w:t>
            </w:r>
          </w:p>
        </w:tc>
        <w:tc>
          <w:tcPr>
            <w:tcW w:w="640" w:type="dxa"/>
            <w:vAlign w:val="center"/>
          </w:tcPr>
          <w:p w:rsidR="005222DA" w:rsidRPr="00595829" w:rsidRDefault="005222DA" w:rsidP="00595829">
            <w:pPr>
              <w:widowControl w:val="0"/>
              <w:spacing w:line="276" w:lineRule="auto"/>
              <w:jc w:val="center"/>
              <w:rPr>
                <w:rFonts w:eastAsia="Times New Roman"/>
                <w:sz w:val="24"/>
                <w:szCs w:val="24"/>
                <w:lang w:eastAsia="ru-RU"/>
              </w:rPr>
            </w:pPr>
            <w:r w:rsidRPr="00595829">
              <w:rPr>
                <w:rFonts w:eastAsia="Times New Roman"/>
                <w:sz w:val="24"/>
                <w:szCs w:val="24"/>
                <w:lang w:eastAsia="ru-RU"/>
              </w:rPr>
              <w:t>1,00</w:t>
            </w:r>
          </w:p>
        </w:tc>
        <w:tc>
          <w:tcPr>
            <w:tcW w:w="636" w:type="dxa"/>
            <w:vAlign w:val="center"/>
          </w:tcPr>
          <w:p w:rsidR="005222DA" w:rsidRPr="00595829" w:rsidRDefault="005222DA" w:rsidP="00595829">
            <w:pPr>
              <w:widowControl w:val="0"/>
              <w:spacing w:line="276" w:lineRule="auto"/>
              <w:jc w:val="center"/>
              <w:rPr>
                <w:rFonts w:eastAsia="Times New Roman"/>
                <w:sz w:val="24"/>
                <w:szCs w:val="24"/>
                <w:lang w:eastAsia="ru-RU"/>
              </w:rPr>
            </w:pPr>
            <w:r w:rsidRPr="00595829">
              <w:rPr>
                <w:rFonts w:eastAsia="Times New Roman"/>
                <w:sz w:val="24"/>
                <w:szCs w:val="24"/>
                <w:lang w:eastAsia="ru-RU"/>
              </w:rPr>
              <w:t>0,75</w:t>
            </w:r>
          </w:p>
        </w:tc>
        <w:tc>
          <w:tcPr>
            <w:tcW w:w="640" w:type="dxa"/>
            <w:vAlign w:val="center"/>
          </w:tcPr>
          <w:p w:rsidR="005222DA" w:rsidRPr="00595829" w:rsidRDefault="005222DA" w:rsidP="00595829">
            <w:pPr>
              <w:widowControl w:val="0"/>
              <w:spacing w:line="276" w:lineRule="auto"/>
              <w:jc w:val="center"/>
              <w:rPr>
                <w:rFonts w:eastAsia="Times New Roman"/>
                <w:sz w:val="24"/>
                <w:szCs w:val="24"/>
                <w:lang w:eastAsia="ru-RU"/>
              </w:rPr>
            </w:pPr>
            <w:r w:rsidRPr="00595829">
              <w:rPr>
                <w:rFonts w:eastAsia="Times New Roman"/>
                <w:sz w:val="24"/>
                <w:szCs w:val="24"/>
                <w:lang w:eastAsia="ru-RU"/>
              </w:rPr>
              <w:t>1,00</w:t>
            </w:r>
          </w:p>
        </w:tc>
        <w:tc>
          <w:tcPr>
            <w:tcW w:w="636" w:type="dxa"/>
            <w:vAlign w:val="center"/>
          </w:tcPr>
          <w:p w:rsidR="005222DA" w:rsidRPr="00595829" w:rsidRDefault="005222DA" w:rsidP="00595829">
            <w:pPr>
              <w:widowControl w:val="0"/>
              <w:spacing w:line="276" w:lineRule="auto"/>
              <w:jc w:val="center"/>
              <w:rPr>
                <w:rFonts w:eastAsia="Times New Roman"/>
                <w:sz w:val="24"/>
                <w:szCs w:val="24"/>
                <w:lang w:eastAsia="ru-RU"/>
              </w:rPr>
            </w:pPr>
            <w:r w:rsidRPr="00595829">
              <w:rPr>
                <w:rFonts w:eastAsia="Times New Roman"/>
                <w:sz w:val="24"/>
                <w:szCs w:val="24"/>
                <w:lang w:eastAsia="ru-RU"/>
              </w:rPr>
              <w:t>1,00</w:t>
            </w:r>
          </w:p>
        </w:tc>
        <w:tc>
          <w:tcPr>
            <w:tcW w:w="639" w:type="dxa"/>
            <w:vAlign w:val="center"/>
          </w:tcPr>
          <w:p w:rsidR="005222DA" w:rsidRPr="00595829" w:rsidRDefault="005222DA" w:rsidP="00595829">
            <w:pPr>
              <w:widowControl w:val="0"/>
              <w:spacing w:line="276" w:lineRule="auto"/>
              <w:jc w:val="center"/>
              <w:rPr>
                <w:rFonts w:eastAsia="Times New Roman"/>
                <w:sz w:val="24"/>
                <w:szCs w:val="24"/>
                <w:lang w:eastAsia="ru-RU"/>
              </w:rPr>
            </w:pPr>
            <w:r w:rsidRPr="00595829">
              <w:rPr>
                <w:rFonts w:eastAsia="Times New Roman"/>
                <w:sz w:val="24"/>
                <w:szCs w:val="24"/>
                <w:lang w:eastAsia="ru-RU"/>
              </w:rPr>
              <w:t>1,00</w:t>
            </w:r>
          </w:p>
        </w:tc>
      </w:tr>
      <w:tr w:rsidR="005222DA" w:rsidRPr="00595829" w:rsidTr="000B2804">
        <w:tc>
          <w:tcPr>
            <w:tcW w:w="5670" w:type="dxa"/>
            <w:vAlign w:val="center"/>
          </w:tcPr>
          <w:p w:rsidR="005222DA" w:rsidRPr="00595829" w:rsidRDefault="005222DA" w:rsidP="00595829">
            <w:pPr>
              <w:widowControl w:val="0"/>
              <w:spacing w:line="276" w:lineRule="auto"/>
              <w:rPr>
                <w:rFonts w:eastAsia="Times New Roman"/>
                <w:sz w:val="24"/>
                <w:szCs w:val="24"/>
                <w:lang w:eastAsia="uk-UA"/>
              </w:rPr>
            </w:pPr>
            <w:r w:rsidRPr="00595829">
              <w:rPr>
                <w:rFonts w:eastAsia="Times New Roman"/>
                <w:sz w:val="24"/>
                <w:szCs w:val="24"/>
                <w:lang w:eastAsia="uk-UA"/>
              </w:rPr>
              <w:t>Індекс концентрації розродження вагітних з цукровим діабетом у ЗПД ІІІ рівня</w:t>
            </w:r>
          </w:p>
        </w:tc>
        <w:tc>
          <w:tcPr>
            <w:tcW w:w="709" w:type="dxa"/>
            <w:vAlign w:val="center"/>
          </w:tcPr>
          <w:p w:rsidR="005222DA" w:rsidRPr="00595829" w:rsidRDefault="005222DA" w:rsidP="00595829">
            <w:pPr>
              <w:widowControl w:val="0"/>
              <w:spacing w:line="276" w:lineRule="auto"/>
              <w:jc w:val="center"/>
              <w:rPr>
                <w:rFonts w:eastAsia="Times New Roman"/>
                <w:sz w:val="24"/>
                <w:szCs w:val="24"/>
                <w:lang w:eastAsia="ru-RU"/>
              </w:rPr>
            </w:pPr>
            <w:r w:rsidRPr="00595829">
              <w:rPr>
                <w:rFonts w:eastAsia="Times New Roman"/>
                <w:sz w:val="24"/>
                <w:szCs w:val="24"/>
                <w:lang w:eastAsia="ru-RU"/>
              </w:rPr>
              <w:t>1,00</w:t>
            </w:r>
          </w:p>
        </w:tc>
        <w:tc>
          <w:tcPr>
            <w:tcW w:w="636" w:type="dxa"/>
            <w:vAlign w:val="center"/>
          </w:tcPr>
          <w:p w:rsidR="005222DA" w:rsidRPr="00595829" w:rsidRDefault="005222DA" w:rsidP="00595829">
            <w:pPr>
              <w:widowControl w:val="0"/>
              <w:spacing w:line="276" w:lineRule="auto"/>
              <w:jc w:val="center"/>
              <w:rPr>
                <w:rFonts w:eastAsia="Times New Roman"/>
                <w:sz w:val="24"/>
                <w:szCs w:val="24"/>
                <w:lang w:eastAsia="ru-RU"/>
              </w:rPr>
            </w:pPr>
            <w:r w:rsidRPr="00595829">
              <w:rPr>
                <w:rFonts w:eastAsia="Times New Roman"/>
                <w:sz w:val="24"/>
                <w:szCs w:val="24"/>
                <w:lang w:eastAsia="ru-RU"/>
              </w:rPr>
              <w:t>1,00</w:t>
            </w:r>
          </w:p>
        </w:tc>
        <w:tc>
          <w:tcPr>
            <w:tcW w:w="640" w:type="dxa"/>
            <w:vAlign w:val="center"/>
          </w:tcPr>
          <w:p w:rsidR="005222DA" w:rsidRPr="00595829" w:rsidRDefault="005222DA" w:rsidP="00595829">
            <w:pPr>
              <w:widowControl w:val="0"/>
              <w:spacing w:line="276" w:lineRule="auto"/>
              <w:jc w:val="center"/>
              <w:rPr>
                <w:rFonts w:eastAsia="Times New Roman"/>
                <w:sz w:val="24"/>
                <w:szCs w:val="24"/>
                <w:lang w:eastAsia="ru-RU"/>
              </w:rPr>
            </w:pPr>
            <w:r w:rsidRPr="00595829">
              <w:rPr>
                <w:rFonts w:eastAsia="Times New Roman"/>
                <w:sz w:val="24"/>
                <w:szCs w:val="24"/>
                <w:lang w:eastAsia="ru-RU"/>
              </w:rPr>
              <w:t>1,00</w:t>
            </w:r>
          </w:p>
        </w:tc>
        <w:tc>
          <w:tcPr>
            <w:tcW w:w="636" w:type="dxa"/>
            <w:vAlign w:val="center"/>
          </w:tcPr>
          <w:p w:rsidR="005222DA" w:rsidRPr="00595829" w:rsidRDefault="005222DA" w:rsidP="00595829">
            <w:pPr>
              <w:widowControl w:val="0"/>
              <w:spacing w:line="276" w:lineRule="auto"/>
              <w:jc w:val="center"/>
              <w:rPr>
                <w:rFonts w:eastAsia="Times New Roman"/>
                <w:sz w:val="24"/>
                <w:szCs w:val="24"/>
                <w:lang w:eastAsia="ru-RU"/>
              </w:rPr>
            </w:pPr>
            <w:r w:rsidRPr="00595829">
              <w:rPr>
                <w:rFonts w:eastAsia="Times New Roman"/>
                <w:sz w:val="24"/>
                <w:szCs w:val="24"/>
                <w:lang w:eastAsia="ru-RU"/>
              </w:rPr>
              <w:t>0,04</w:t>
            </w:r>
          </w:p>
        </w:tc>
        <w:tc>
          <w:tcPr>
            <w:tcW w:w="640" w:type="dxa"/>
            <w:vAlign w:val="center"/>
          </w:tcPr>
          <w:p w:rsidR="005222DA" w:rsidRPr="00595829" w:rsidRDefault="005222DA" w:rsidP="00595829">
            <w:pPr>
              <w:widowControl w:val="0"/>
              <w:spacing w:line="276" w:lineRule="auto"/>
              <w:jc w:val="center"/>
              <w:rPr>
                <w:rFonts w:eastAsia="Times New Roman"/>
                <w:sz w:val="24"/>
                <w:szCs w:val="24"/>
                <w:lang w:eastAsia="ru-RU"/>
              </w:rPr>
            </w:pPr>
            <w:r w:rsidRPr="00595829">
              <w:rPr>
                <w:rFonts w:eastAsia="Times New Roman"/>
                <w:sz w:val="24"/>
                <w:szCs w:val="24"/>
                <w:lang w:eastAsia="ru-RU"/>
              </w:rPr>
              <w:t>1,00</w:t>
            </w:r>
          </w:p>
        </w:tc>
        <w:tc>
          <w:tcPr>
            <w:tcW w:w="636" w:type="dxa"/>
            <w:vAlign w:val="center"/>
          </w:tcPr>
          <w:p w:rsidR="005222DA" w:rsidRPr="00595829" w:rsidRDefault="005222DA" w:rsidP="00595829">
            <w:pPr>
              <w:widowControl w:val="0"/>
              <w:spacing w:line="276" w:lineRule="auto"/>
              <w:jc w:val="center"/>
              <w:rPr>
                <w:rFonts w:eastAsia="Times New Roman"/>
                <w:sz w:val="24"/>
                <w:szCs w:val="24"/>
                <w:lang w:eastAsia="ru-RU"/>
              </w:rPr>
            </w:pPr>
            <w:r w:rsidRPr="00595829">
              <w:rPr>
                <w:rFonts w:eastAsia="Times New Roman"/>
                <w:sz w:val="24"/>
                <w:szCs w:val="24"/>
                <w:lang w:eastAsia="ru-RU"/>
              </w:rPr>
              <w:t>1,00</w:t>
            </w:r>
          </w:p>
        </w:tc>
        <w:tc>
          <w:tcPr>
            <w:tcW w:w="639" w:type="dxa"/>
            <w:vAlign w:val="center"/>
          </w:tcPr>
          <w:p w:rsidR="005222DA" w:rsidRPr="00595829" w:rsidRDefault="005222DA" w:rsidP="00595829">
            <w:pPr>
              <w:widowControl w:val="0"/>
              <w:spacing w:line="276" w:lineRule="auto"/>
              <w:jc w:val="center"/>
              <w:rPr>
                <w:rFonts w:eastAsia="Times New Roman"/>
                <w:sz w:val="24"/>
                <w:szCs w:val="24"/>
                <w:lang w:eastAsia="ru-RU"/>
              </w:rPr>
            </w:pPr>
            <w:r w:rsidRPr="00595829">
              <w:rPr>
                <w:rFonts w:eastAsia="Times New Roman"/>
                <w:sz w:val="24"/>
                <w:szCs w:val="24"/>
                <w:lang w:eastAsia="ru-RU"/>
              </w:rPr>
              <w:t>1,00</w:t>
            </w:r>
          </w:p>
        </w:tc>
      </w:tr>
      <w:tr w:rsidR="005222DA" w:rsidRPr="00595829" w:rsidTr="00595829">
        <w:trPr>
          <w:trHeight w:val="852"/>
        </w:trPr>
        <w:tc>
          <w:tcPr>
            <w:tcW w:w="5670" w:type="dxa"/>
            <w:vAlign w:val="center"/>
          </w:tcPr>
          <w:p w:rsidR="005222DA" w:rsidRPr="00595829" w:rsidRDefault="005222DA" w:rsidP="00595829">
            <w:pPr>
              <w:widowControl w:val="0"/>
              <w:spacing w:line="276" w:lineRule="auto"/>
              <w:rPr>
                <w:rFonts w:eastAsia="Times New Roman"/>
                <w:sz w:val="24"/>
                <w:szCs w:val="24"/>
                <w:lang w:eastAsia="uk-UA"/>
              </w:rPr>
            </w:pPr>
            <w:r w:rsidRPr="00595829">
              <w:rPr>
                <w:rFonts w:eastAsia="Times New Roman"/>
                <w:sz w:val="24"/>
                <w:szCs w:val="24"/>
                <w:lang w:eastAsia="uk-UA"/>
              </w:rPr>
              <w:t>Індекс концентрації розродження вагітних з пре- еклампсією і еклампсією у ЗПД ІІ-ІІІ рівнів</w:t>
            </w:r>
          </w:p>
        </w:tc>
        <w:tc>
          <w:tcPr>
            <w:tcW w:w="709" w:type="dxa"/>
            <w:vAlign w:val="center"/>
          </w:tcPr>
          <w:p w:rsidR="005222DA" w:rsidRPr="00595829" w:rsidRDefault="005222DA" w:rsidP="00595829">
            <w:pPr>
              <w:widowControl w:val="0"/>
              <w:spacing w:line="276" w:lineRule="auto"/>
              <w:jc w:val="center"/>
              <w:rPr>
                <w:rFonts w:eastAsia="Times New Roman"/>
                <w:sz w:val="24"/>
                <w:szCs w:val="24"/>
                <w:lang w:eastAsia="ru-RU"/>
              </w:rPr>
            </w:pPr>
            <w:r w:rsidRPr="00595829">
              <w:rPr>
                <w:rFonts w:eastAsia="Times New Roman"/>
                <w:sz w:val="24"/>
                <w:szCs w:val="24"/>
                <w:lang w:eastAsia="ru-RU"/>
              </w:rPr>
              <w:t>0,99</w:t>
            </w:r>
          </w:p>
        </w:tc>
        <w:tc>
          <w:tcPr>
            <w:tcW w:w="636" w:type="dxa"/>
            <w:vAlign w:val="center"/>
          </w:tcPr>
          <w:p w:rsidR="005222DA" w:rsidRPr="00595829" w:rsidRDefault="005222DA" w:rsidP="00595829">
            <w:pPr>
              <w:widowControl w:val="0"/>
              <w:spacing w:line="276" w:lineRule="auto"/>
              <w:jc w:val="center"/>
              <w:rPr>
                <w:rFonts w:eastAsia="Times New Roman"/>
                <w:sz w:val="24"/>
                <w:szCs w:val="24"/>
                <w:lang w:eastAsia="ru-RU"/>
              </w:rPr>
            </w:pPr>
            <w:r w:rsidRPr="00595829">
              <w:rPr>
                <w:rFonts w:eastAsia="Times New Roman"/>
                <w:sz w:val="24"/>
                <w:szCs w:val="24"/>
                <w:lang w:eastAsia="ru-RU"/>
              </w:rPr>
              <w:t>1,00</w:t>
            </w:r>
          </w:p>
        </w:tc>
        <w:tc>
          <w:tcPr>
            <w:tcW w:w="640" w:type="dxa"/>
            <w:vAlign w:val="center"/>
          </w:tcPr>
          <w:p w:rsidR="005222DA" w:rsidRPr="00595829" w:rsidRDefault="005222DA" w:rsidP="00595829">
            <w:pPr>
              <w:widowControl w:val="0"/>
              <w:spacing w:line="276" w:lineRule="auto"/>
              <w:jc w:val="center"/>
              <w:rPr>
                <w:rFonts w:eastAsia="Times New Roman"/>
                <w:sz w:val="24"/>
                <w:szCs w:val="24"/>
                <w:lang w:eastAsia="ru-RU"/>
              </w:rPr>
            </w:pPr>
            <w:r w:rsidRPr="00595829">
              <w:rPr>
                <w:rFonts w:eastAsia="Times New Roman"/>
                <w:sz w:val="24"/>
                <w:szCs w:val="24"/>
                <w:lang w:eastAsia="ru-RU"/>
              </w:rPr>
              <w:t>1,00</w:t>
            </w:r>
          </w:p>
        </w:tc>
        <w:tc>
          <w:tcPr>
            <w:tcW w:w="636" w:type="dxa"/>
            <w:vAlign w:val="center"/>
          </w:tcPr>
          <w:p w:rsidR="005222DA" w:rsidRPr="00595829" w:rsidRDefault="005222DA" w:rsidP="00595829">
            <w:pPr>
              <w:widowControl w:val="0"/>
              <w:spacing w:line="276" w:lineRule="auto"/>
              <w:jc w:val="center"/>
              <w:rPr>
                <w:rFonts w:eastAsia="Times New Roman"/>
                <w:sz w:val="24"/>
                <w:szCs w:val="24"/>
                <w:lang w:eastAsia="ru-RU"/>
              </w:rPr>
            </w:pPr>
            <w:r w:rsidRPr="00595829">
              <w:rPr>
                <w:rFonts w:eastAsia="Times New Roman"/>
                <w:sz w:val="24"/>
                <w:szCs w:val="24"/>
                <w:lang w:eastAsia="ru-RU"/>
              </w:rPr>
              <w:t>1,00</w:t>
            </w:r>
          </w:p>
        </w:tc>
        <w:tc>
          <w:tcPr>
            <w:tcW w:w="640" w:type="dxa"/>
            <w:vAlign w:val="center"/>
          </w:tcPr>
          <w:p w:rsidR="005222DA" w:rsidRPr="00595829" w:rsidRDefault="005222DA" w:rsidP="00595829">
            <w:pPr>
              <w:widowControl w:val="0"/>
              <w:spacing w:line="276" w:lineRule="auto"/>
              <w:jc w:val="center"/>
              <w:rPr>
                <w:rFonts w:eastAsia="Times New Roman"/>
                <w:sz w:val="24"/>
                <w:szCs w:val="24"/>
                <w:lang w:eastAsia="ru-RU"/>
              </w:rPr>
            </w:pPr>
            <w:r w:rsidRPr="00595829">
              <w:rPr>
                <w:rFonts w:eastAsia="Times New Roman"/>
                <w:sz w:val="24"/>
                <w:szCs w:val="24"/>
                <w:lang w:eastAsia="ru-RU"/>
              </w:rPr>
              <w:t>0,53</w:t>
            </w:r>
          </w:p>
        </w:tc>
        <w:tc>
          <w:tcPr>
            <w:tcW w:w="636" w:type="dxa"/>
            <w:vAlign w:val="center"/>
          </w:tcPr>
          <w:p w:rsidR="005222DA" w:rsidRPr="00595829" w:rsidRDefault="005222DA" w:rsidP="00595829">
            <w:pPr>
              <w:widowControl w:val="0"/>
              <w:spacing w:line="276" w:lineRule="auto"/>
              <w:jc w:val="center"/>
              <w:rPr>
                <w:rFonts w:eastAsia="Times New Roman"/>
                <w:sz w:val="24"/>
                <w:szCs w:val="24"/>
                <w:lang w:eastAsia="ru-RU"/>
              </w:rPr>
            </w:pPr>
            <w:r w:rsidRPr="00595829">
              <w:rPr>
                <w:rFonts w:eastAsia="Times New Roman"/>
                <w:sz w:val="24"/>
                <w:szCs w:val="24"/>
                <w:lang w:eastAsia="ru-RU"/>
              </w:rPr>
              <w:t>0,69</w:t>
            </w:r>
          </w:p>
        </w:tc>
        <w:tc>
          <w:tcPr>
            <w:tcW w:w="639" w:type="dxa"/>
            <w:vAlign w:val="center"/>
          </w:tcPr>
          <w:p w:rsidR="005222DA" w:rsidRPr="00595829" w:rsidRDefault="005222DA" w:rsidP="00595829">
            <w:pPr>
              <w:widowControl w:val="0"/>
              <w:spacing w:line="276" w:lineRule="auto"/>
              <w:jc w:val="center"/>
              <w:rPr>
                <w:rFonts w:eastAsia="Times New Roman"/>
                <w:sz w:val="24"/>
                <w:szCs w:val="24"/>
                <w:lang w:eastAsia="ru-RU"/>
              </w:rPr>
            </w:pPr>
            <w:r w:rsidRPr="00595829">
              <w:rPr>
                <w:rFonts w:eastAsia="Times New Roman"/>
                <w:sz w:val="24"/>
                <w:szCs w:val="24"/>
                <w:lang w:eastAsia="ru-RU"/>
              </w:rPr>
              <w:t>0,98</w:t>
            </w:r>
          </w:p>
        </w:tc>
      </w:tr>
      <w:tr w:rsidR="005222DA" w:rsidRPr="00595829" w:rsidTr="00595829">
        <w:trPr>
          <w:trHeight w:val="905"/>
        </w:trPr>
        <w:tc>
          <w:tcPr>
            <w:tcW w:w="5670" w:type="dxa"/>
            <w:vAlign w:val="center"/>
          </w:tcPr>
          <w:p w:rsidR="005222DA" w:rsidRPr="00595829" w:rsidRDefault="005222DA" w:rsidP="00595829">
            <w:pPr>
              <w:widowControl w:val="0"/>
              <w:spacing w:line="276" w:lineRule="auto"/>
              <w:rPr>
                <w:rFonts w:eastAsia="Times New Roman"/>
                <w:sz w:val="24"/>
                <w:szCs w:val="24"/>
                <w:lang w:eastAsia="uk-UA"/>
              </w:rPr>
            </w:pPr>
            <w:r w:rsidRPr="00595829">
              <w:rPr>
                <w:rFonts w:eastAsia="Times New Roman"/>
                <w:sz w:val="24"/>
                <w:szCs w:val="24"/>
                <w:lang w:eastAsia="uk-UA"/>
              </w:rPr>
              <w:t>Індекс концентрації новонароджених масою тіла при народженні 500-1499г у ЗПД ІІІ рівня</w:t>
            </w:r>
          </w:p>
        </w:tc>
        <w:tc>
          <w:tcPr>
            <w:tcW w:w="709" w:type="dxa"/>
            <w:vAlign w:val="center"/>
          </w:tcPr>
          <w:p w:rsidR="005222DA" w:rsidRPr="00595829" w:rsidRDefault="005222DA" w:rsidP="00595829">
            <w:pPr>
              <w:widowControl w:val="0"/>
              <w:spacing w:line="276" w:lineRule="auto"/>
              <w:jc w:val="center"/>
              <w:rPr>
                <w:rFonts w:eastAsia="Times New Roman"/>
                <w:sz w:val="24"/>
                <w:szCs w:val="24"/>
                <w:lang w:eastAsia="ru-RU"/>
              </w:rPr>
            </w:pPr>
            <w:r w:rsidRPr="00595829">
              <w:rPr>
                <w:rFonts w:eastAsia="Times New Roman"/>
                <w:sz w:val="24"/>
                <w:szCs w:val="24"/>
                <w:lang w:eastAsia="ru-RU"/>
              </w:rPr>
              <w:t>0,99</w:t>
            </w:r>
          </w:p>
        </w:tc>
        <w:tc>
          <w:tcPr>
            <w:tcW w:w="636" w:type="dxa"/>
            <w:vAlign w:val="center"/>
          </w:tcPr>
          <w:p w:rsidR="005222DA" w:rsidRPr="00595829" w:rsidRDefault="005222DA" w:rsidP="00595829">
            <w:pPr>
              <w:widowControl w:val="0"/>
              <w:spacing w:line="276" w:lineRule="auto"/>
              <w:jc w:val="center"/>
              <w:rPr>
                <w:rFonts w:eastAsia="Times New Roman"/>
                <w:sz w:val="24"/>
                <w:szCs w:val="24"/>
                <w:lang w:eastAsia="ru-RU"/>
              </w:rPr>
            </w:pPr>
            <w:r w:rsidRPr="00595829">
              <w:rPr>
                <w:rFonts w:eastAsia="Times New Roman"/>
                <w:sz w:val="24"/>
                <w:szCs w:val="24"/>
                <w:lang w:eastAsia="ru-RU"/>
              </w:rPr>
              <w:t>0,99</w:t>
            </w:r>
          </w:p>
        </w:tc>
        <w:tc>
          <w:tcPr>
            <w:tcW w:w="640" w:type="dxa"/>
            <w:vAlign w:val="center"/>
          </w:tcPr>
          <w:p w:rsidR="005222DA" w:rsidRPr="00595829" w:rsidRDefault="005222DA" w:rsidP="00595829">
            <w:pPr>
              <w:widowControl w:val="0"/>
              <w:spacing w:line="276" w:lineRule="auto"/>
              <w:jc w:val="center"/>
              <w:rPr>
                <w:rFonts w:eastAsia="Times New Roman"/>
                <w:sz w:val="24"/>
                <w:szCs w:val="24"/>
                <w:lang w:eastAsia="ru-RU"/>
              </w:rPr>
            </w:pPr>
            <w:r w:rsidRPr="00595829">
              <w:rPr>
                <w:rFonts w:eastAsia="Times New Roman"/>
                <w:sz w:val="24"/>
                <w:szCs w:val="24"/>
                <w:lang w:eastAsia="ru-RU"/>
              </w:rPr>
              <w:t>1,00</w:t>
            </w:r>
          </w:p>
        </w:tc>
        <w:tc>
          <w:tcPr>
            <w:tcW w:w="636" w:type="dxa"/>
            <w:vAlign w:val="center"/>
          </w:tcPr>
          <w:p w:rsidR="005222DA" w:rsidRPr="00595829" w:rsidRDefault="005222DA" w:rsidP="00595829">
            <w:pPr>
              <w:widowControl w:val="0"/>
              <w:spacing w:line="276" w:lineRule="auto"/>
              <w:jc w:val="center"/>
              <w:rPr>
                <w:rFonts w:eastAsia="Times New Roman"/>
                <w:sz w:val="24"/>
                <w:szCs w:val="24"/>
                <w:lang w:eastAsia="ru-RU"/>
              </w:rPr>
            </w:pPr>
            <w:r w:rsidRPr="00595829">
              <w:rPr>
                <w:rFonts w:eastAsia="Times New Roman"/>
                <w:sz w:val="24"/>
                <w:szCs w:val="24"/>
                <w:lang w:eastAsia="ru-RU"/>
              </w:rPr>
              <w:t>0,77</w:t>
            </w:r>
          </w:p>
        </w:tc>
        <w:tc>
          <w:tcPr>
            <w:tcW w:w="640" w:type="dxa"/>
            <w:vAlign w:val="center"/>
          </w:tcPr>
          <w:p w:rsidR="005222DA" w:rsidRPr="00595829" w:rsidRDefault="005222DA" w:rsidP="00595829">
            <w:pPr>
              <w:widowControl w:val="0"/>
              <w:spacing w:line="276" w:lineRule="auto"/>
              <w:jc w:val="center"/>
              <w:rPr>
                <w:rFonts w:eastAsia="Times New Roman"/>
                <w:sz w:val="24"/>
                <w:szCs w:val="24"/>
                <w:lang w:eastAsia="ru-RU"/>
              </w:rPr>
            </w:pPr>
            <w:r w:rsidRPr="00595829">
              <w:rPr>
                <w:rFonts w:eastAsia="Times New Roman"/>
                <w:sz w:val="24"/>
                <w:szCs w:val="24"/>
                <w:lang w:eastAsia="ru-RU"/>
              </w:rPr>
              <w:t>1,00</w:t>
            </w:r>
          </w:p>
        </w:tc>
        <w:tc>
          <w:tcPr>
            <w:tcW w:w="636" w:type="dxa"/>
            <w:vAlign w:val="center"/>
          </w:tcPr>
          <w:p w:rsidR="005222DA" w:rsidRPr="00595829" w:rsidRDefault="005222DA" w:rsidP="00595829">
            <w:pPr>
              <w:widowControl w:val="0"/>
              <w:spacing w:line="276" w:lineRule="auto"/>
              <w:jc w:val="center"/>
              <w:rPr>
                <w:rFonts w:eastAsia="Times New Roman"/>
                <w:sz w:val="24"/>
                <w:szCs w:val="24"/>
                <w:lang w:eastAsia="ru-RU"/>
              </w:rPr>
            </w:pPr>
            <w:r w:rsidRPr="00595829">
              <w:rPr>
                <w:rFonts w:eastAsia="Times New Roman"/>
                <w:sz w:val="24"/>
                <w:szCs w:val="24"/>
                <w:lang w:eastAsia="ru-RU"/>
              </w:rPr>
              <w:t>1,00</w:t>
            </w:r>
          </w:p>
        </w:tc>
        <w:tc>
          <w:tcPr>
            <w:tcW w:w="639" w:type="dxa"/>
            <w:vAlign w:val="center"/>
          </w:tcPr>
          <w:p w:rsidR="005222DA" w:rsidRPr="00595829" w:rsidRDefault="005222DA" w:rsidP="00595829">
            <w:pPr>
              <w:widowControl w:val="0"/>
              <w:spacing w:line="276" w:lineRule="auto"/>
              <w:jc w:val="center"/>
              <w:rPr>
                <w:rFonts w:eastAsia="Times New Roman"/>
                <w:sz w:val="24"/>
                <w:szCs w:val="24"/>
                <w:lang w:eastAsia="ru-RU"/>
              </w:rPr>
            </w:pPr>
            <w:r w:rsidRPr="00595829">
              <w:rPr>
                <w:rFonts w:eastAsia="Times New Roman"/>
                <w:sz w:val="24"/>
                <w:szCs w:val="24"/>
                <w:lang w:eastAsia="ru-RU"/>
              </w:rPr>
              <w:t>1,00</w:t>
            </w:r>
          </w:p>
        </w:tc>
      </w:tr>
    </w:tbl>
    <w:p w:rsidR="00595829" w:rsidRDefault="00595829" w:rsidP="00361227">
      <w:pPr>
        <w:jc w:val="right"/>
        <w:rPr>
          <w:i/>
          <w:lang w:val="ru-RU"/>
        </w:rPr>
      </w:pPr>
    </w:p>
    <w:p w:rsidR="00361227" w:rsidRPr="00361227" w:rsidRDefault="00361227" w:rsidP="00B06135">
      <w:pPr>
        <w:pageBreakBefore/>
        <w:jc w:val="right"/>
        <w:rPr>
          <w:i/>
          <w:lang w:val="ru-RU"/>
        </w:rPr>
      </w:pPr>
      <w:r w:rsidRPr="00361227">
        <w:rPr>
          <w:i/>
          <w:lang w:val="ru-RU"/>
        </w:rPr>
        <w:lastRenderedPageBreak/>
        <w:t>Продовження табл. 7.8</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0"/>
        <w:gridCol w:w="709"/>
        <w:gridCol w:w="636"/>
        <w:gridCol w:w="640"/>
        <w:gridCol w:w="636"/>
        <w:gridCol w:w="640"/>
        <w:gridCol w:w="636"/>
        <w:gridCol w:w="639"/>
      </w:tblGrid>
      <w:tr w:rsidR="005222DA" w:rsidRPr="000E06F7" w:rsidTr="000B2804">
        <w:tc>
          <w:tcPr>
            <w:tcW w:w="5670" w:type="dxa"/>
            <w:vAlign w:val="bottom"/>
          </w:tcPr>
          <w:p w:rsidR="005222DA" w:rsidRPr="000E06F7" w:rsidRDefault="005222DA" w:rsidP="00361227">
            <w:pPr>
              <w:widowControl w:val="0"/>
              <w:spacing w:line="276" w:lineRule="auto"/>
              <w:rPr>
                <w:rFonts w:eastAsia="Times New Roman"/>
                <w:sz w:val="24"/>
                <w:szCs w:val="24"/>
                <w:lang w:eastAsia="uk-UA"/>
              </w:rPr>
            </w:pPr>
            <w:r w:rsidRPr="000E06F7">
              <w:rPr>
                <w:rFonts w:eastAsia="Times New Roman"/>
                <w:sz w:val="24"/>
                <w:szCs w:val="24"/>
                <w:lang w:eastAsia="uk-UA"/>
              </w:rPr>
              <w:t>Індекс неонатального трансферу</w:t>
            </w:r>
          </w:p>
        </w:tc>
        <w:tc>
          <w:tcPr>
            <w:tcW w:w="709" w:type="dxa"/>
            <w:vAlign w:val="center"/>
          </w:tcPr>
          <w:p w:rsidR="005222DA" w:rsidRPr="000E06F7" w:rsidRDefault="005222DA" w:rsidP="00361227">
            <w:pPr>
              <w:widowControl w:val="0"/>
              <w:spacing w:line="276" w:lineRule="auto"/>
              <w:jc w:val="center"/>
              <w:rPr>
                <w:rFonts w:eastAsia="Times New Roman"/>
                <w:sz w:val="24"/>
                <w:szCs w:val="24"/>
                <w:lang w:eastAsia="ru-RU"/>
              </w:rPr>
            </w:pPr>
            <w:r w:rsidRPr="000E06F7">
              <w:rPr>
                <w:rFonts w:eastAsia="Times New Roman"/>
                <w:sz w:val="24"/>
                <w:szCs w:val="24"/>
                <w:lang w:eastAsia="ru-RU"/>
              </w:rPr>
              <w:t>0,00</w:t>
            </w:r>
          </w:p>
        </w:tc>
        <w:tc>
          <w:tcPr>
            <w:tcW w:w="636" w:type="dxa"/>
            <w:vAlign w:val="center"/>
          </w:tcPr>
          <w:p w:rsidR="005222DA" w:rsidRPr="000E06F7" w:rsidRDefault="005222DA" w:rsidP="00361227">
            <w:pPr>
              <w:widowControl w:val="0"/>
              <w:spacing w:line="276" w:lineRule="auto"/>
              <w:jc w:val="center"/>
              <w:rPr>
                <w:rFonts w:eastAsia="Times New Roman"/>
                <w:sz w:val="24"/>
                <w:szCs w:val="24"/>
                <w:lang w:eastAsia="ru-RU"/>
              </w:rPr>
            </w:pPr>
            <w:r w:rsidRPr="000E06F7">
              <w:rPr>
                <w:rFonts w:eastAsia="Times New Roman"/>
                <w:sz w:val="24"/>
                <w:szCs w:val="24"/>
                <w:lang w:eastAsia="ru-RU"/>
              </w:rPr>
              <w:t>0,00</w:t>
            </w:r>
          </w:p>
        </w:tc>
        <w:tc>
          <w:tcPr>
            <w:tcW w:w="640" w:type="dxa"/>
            <w:vAlign w:val="center"/>
          </w:tcPr>
          <w:p w:rsidR="005222DA" w:rsidRPr="000E06F7" w:rsidRDefault="005222DA" w:rsidP="00361227">
            <w:pPr>
              <w:widowControl w:val="0"/>
              <w:spacing w:line="276" w:lineRule="auto"/>
              <w:jc w:val="center"/>
              <w:rPr>
                <w:rFonts w:eastAsia="Times New Roman"/>
                <w:sz w:val="24"/>
                <w:szCs w:val="24"/>
                <w:lang w:eastAsia="ru-RU"/>
              </w:rPr>
            </w:pPr>
            <w:r w:rsidRPr="000E06F7">
              <w:rPr>
                <w:rFonts w:eastAsia="Times New Roman"/>
                <w:sz w:val="24"/>
                <w:szCs w:val="24"/>
                <w:lang w:eastAsia="ru-RU"/>
              </w:rPr>
              <w:t>0,5</w:t>
            </w:r>
          </w:p>
        </w:tc>
        <w:tc>
          <w:tcPr>
            <w:tcW w:w="636" w:type="dxa"/>
            <w:vAlign w:val="center"/>
          </w:tcPr>
          <w:p w:rsidR="005222DA" w:rsidRPr="000E06F7" w:rsidRDefault="005222DA" w:rsidP="00361227">
            <w:pPr>
              <w:widowControl w:val="0"/>
              <w:spacing w:line="276" w:lineRule="auto"/>
              <w:jc w:val="center"/>
              <w:rPr>
                <w:rFonts w:eastAsia="Times New Roman"/>
                <w:sz w:val="24"/>
                <w:szCs w:val="24"/>
                <w:lang w:eastAsia="ru-RU"/>
              </w:rPr>
            </w:pPr>
            <w:r w:rsidRPr="000E06F7">
              <w:rPr>
                <w:rFonts w:eastAsia="Times New Roman"/>
                <w:sz w:val="24"/>
                <w:szCs w:val="24"/>
                <w:lang w:eastAsia="ru-RU"/>
              </w:rPr>
              <w:t>1,00</w:t>
            </w:r>
          </w:p>
        </w:tc>
        <w:tc>
          <w:tcPr>
            <w:tcW w:w="640" w:type="dxa"/>
            <w:vAlign w:val="center"/>
          </w:tcPr>
          <w:p w:rsidR="005222DA" w:rsidRPr="000E06F7" w:rsidRDefault="005222DA" w:rsidP="00361227">
            <w:pPr>
              <w:widowControl w:val="0"/>
              <w:spacing w:line="276" w:lineRule="auto"/>
              <w:jc w:val="center"/>
              <w:rPr>
                <w:rFonts w:eastAsia="Times New Roman"/>
                <w:sz w:val="24"/>
                <w:szCs w:val="24"/>
                <w:lang w:eastAsia="ru-RU"/>
              </w:rPr>
            </w:pPr>
            <w:r w:rsidRPr="000E06F7">
              <w:rPr>
                <w:rFonts w:eastAsia="Times New Roman"/>
                <w:sz w:val="24"/>
                <w:szCs w:val="24"/>
                <w:lang w:eastAsia="ru-RU"/>
              </w:rPr>
              <w:t>0,07</w:t>
            </w:r>
          </w:p>
        </w:tc>
        <w:tc>
          <w:tcPr>
            <w:tcW w:w="636" w:type="dxa"/>
            <w:vAlign w:val="center"/>
          </w:tcPr>
          <w:p w:rsidR="005222DA" w:rsidRPr="000E06F7" w:rsidRDefault="005222DA" w:rsidP="00361227">
            <w:pPr>
              <w:widowControl w:val="0"/>
              <w:spacing w:line="276" w:lineRule="auto"/>
              <w:jc w:val="center"/>
              <w:rPr>
                <w:rFonts w:eastAsia="Times New Roman"/>
                <w:sz w:val="24"/>
                <w:szCs w:val="24"/>
                <w:lang w:eastAsia="ru-RU"/>
              </w:rPr>
            </w:pPr>
            <w:r w:rsidRPr="000E06F7">
              <w:rPr>
                <w:rFonts w:eastAsia="Times New Roman"/>
                <w:sz w:val="24"/>
                <w:szCs w:val="24"/>
                <w:lang w:eastAsia="ru-RU"/>
              </w:rPr>
              <w:t>1,00</w:t>
            </w:r>
          </w:p>
        </w:tc>
        <w:tc>
          <w:tcPr>
            <w:tcW w:w="639" w:type="dxa"/>
            <w:vAlign w:val="center"/>
          </w:tcPr>
          <w:p w:rsidR="005222DA" w:rsidRPr="000E06F7" w:rsidRDefault="005222DA" w:rsidP="00361227">
            <w:pPr>
              <w:widowControl w:val="0"/>
              <w:spacing w:line="276" w:lineRule="auto"/>
              <w:jc w:val="center"/>
              <w:rPr>
                <w:rFonts w:eastAsia="Times New Roman"/>
                <w:sz w:val="24"/>
                <w:szCs w:val="24"/>
                <w:lang w:eastAsia="ru-RU"/>
              </w:rPr>
            </w:pPr>
            <w:r w:rsidRPr="000E06F7">
              <w:rPr>
                <w:rFonts w:eastAsia="Times New Roman"/>
                <w:sz w:val="24"/>
                <w:szCs w:val="24"/>
                <w:lang w:eastAsia="ru-RU"/>
              </w:rPr>
              <w:t>0,10</w:t>
            </w:r>
          </w:p>
        </w:tc>
      </w:tr>
      <w:tr w:rsidR="005222DA" w:rsidRPr="000E06F7" w:rsidTr="000B2804">
        <w:tc>
          <w:tcPr>
            <w:tcW w:w="5670" w:type="dxa"/>
            <w:vAlign w:val="center"/>
          </w:tcPr>
          <w:p w:rsidR="005222DA" w:rsidRPr="000E06F7" w:rsidRDefault="005222DA" w:rsidP="00361227">
            <w:pPr>
              <w:widowControl w:val="0"/>
              <w:spacing w:line="276" w:lineRule="auto"/>
              <w:rPr>
                <w:rFonts w:eastAsia="Times New Roman"/>
                <w:sz w:val="24"/>
                <w:szCs w:val="24"/>
                <w:lang w:eastAsia="uk-UA"/>
              </w:rPr>
            </w:pPr>
            <w:r w:rsidRPr="000E06F7">
              <w:rPr>
                <w:rFonts w:eastAsia="Times New Roman"/>
                <w:sz w:val="24"/>
                <w:szCs w:val="24"/>
                <w:lang w:eastAsia="uk-UA"/>
              </w:rPr>
              <w:t>Частота нормальних пологів</w:t>
            </w:r>
          </w:p>
        </w:tc>
        <w:tc>
          <w:tcPr>
            <w:tcW w:w="709" w:type="dxa"/>
            <w:vAlign w:val="center"/>
          </w:tcPr>
          <w:p w:rsidR="005222DA" w:rsidRPr="000E06F7" w:rsidRDefault="005222DA" w:rsidP="00361227">
            <w:pPr>
              <w:widowControl w:val="0"/>
              <w:spacing w:line="276" w:lineRule="auto"/>
              <w:jc w:val="center"/>
              <w:rPr>
                <w:rFonts w:eastAsia="Times New Roman"/>
                <w:sz w:val="24"/>
                <w:szCs w:val="24"/>
                <w:lang w:eastAsia="ru-RU"/>
              </w:rPr>
            </w:pPr>
            <w:r w:rsidRPr="000E06F7">
              <w:rPr>
                <w:rFonts w:eastAsia="Times New Roman"/>
                <w:sz w:val="24"/>
                <w:szCs w:val="24"/>
                <w:lang w:eastAsia="ru-RU"/>
              </w:rPr>
              <w:t>1,00</w:t>
            </w:r>
          </w:p>
        </w:tc>
        <w:tc>
          <w:tcPr>
            <w:tcW w:w="636" w:type="dxa"/>
            <w:vAlign w:val="center"/>
          </w:tcPr>
          <w:p w:rsidR="005222DA" w:rsidRPr="000E06F7" w:rsidRDefault="005222DA" w:rsidP="00361227">
            <w:pPr>
              <w:widowControl w:val="0"/>
              <w:spacing w:line="276" w:lineRule="auto"/>
              <w:jc w:val="center"/>
              <w:rPr>
                <w:rFonts w:eastAsia="Times New Roman"/>
                <w:sz w:val="24"/>
                <w:szCs w:val="24"/>
                <w:lang w:eastAsia="ru-RU"/>
              </w:rPr>
            </w:pPr>
            <w:r w:rsidRPr="000E06F7">
              <w:rPr>
                <w:rFonts w:eastAsia="Times New Roman"/>
                <w:sz w:val="24"/>
                <w:szCs w:val="24"/>
                <w:lang w:eastAsia="ru-RU"/>
              </w:rPr>
              <w:t>0,91</w:t>
            </w:r>
          </w:p>
        </w:tc>
        <w:tc>
          <w:tcPr>
            <w:tcW w:w="640" w:type="dxa"/>
            <w:vAlign w:val="center"/>
          </w:tcPr>
          <w:p w:rsidR="005222DA" w:rsidRPr="000E06F7" w:rsidRDefault="005222DA" w:rsidP="00361227">
            <w:pPr>
              <w:widowControl w:val="0"/>
              <w:spacing w:line="276" w:lineRule="auto"/>
              <w:jc w:val="center"/>
              <w:rPr>
                <w:rFonts w:eastAsia="Times New Roman"/>
                <w:sz w:val="24"/>
                <w:szCs w:val="24"/>
                <w:lang w:eastAsia="ru-RU"/>
              </w:rPr>
            </w:pPr>
            <w:r w:rsidRPr="000E06F7">
              <w:rPr>
                <w:rFonts w:eastAsia="Times New Roman"/>
                <w:sz w:val="24"/>
                <w:szCs w:val="24"/>
                <w:lang w:eastAsia="ru-RU"/>
              </w:rPr>
              <w:t>0,96</w:t>
            </w:r>
          </w:p>
        </w:tc>
        <w:tc>
          <w:tcPr>
            <w:tcW w:w="636" w:type="dxa"/>
            <w:vAlign w:val="center"/>
          </w:tcPr>
          <w:p w:rsidR="005222DA" w:rsidRPr="000E06F7" w:rsidRDefault="005222DA" w:rsidP="00361227">
            <w:pPr>
              <w:widowControl w:val="0"/>
              <w:spacing w:line="276" w:lineRule="auto"/>
              <w:jc w:val="center"/>
              <w:rPr>
                <w:rFonts w:eastAsia="Times New Roman"/>
                <w:sz w:val="24"/>
                <w:szCs w:val="24"/>
                <w:lang w:eastAsia="ru-RU"/>
              </w:rPr>
            </w:pPr>
            <w:r w:rsidRPr="000E06F7">
              <w:rPr>
                <w:rFonts w:eastAsia="Times New Roman"/>
                <w:sz w:val="24"/>
                <w:szCs w:val="24"/>
                <w:lang w:eastAsia="ru-RU"/>
              </w:rPr>
              <w:t>0,95</w:t>
            </w:r>
          </w:p>
        </w:tc>
        <w:tc>
          <w:tcPr>
            <w:tcW w:w="640" w:type="dxa"/>
            <w:vAlign w:val="center"/>
          </w:tcPr>
          <w:p w:rsidR="005222DA" w:rsidRPr="000E06F7" w:rsidRDefault="005222DA" w:rsidP="00361227">
            <w:pPr>
              <w:widowControl w:val="0"/>
              <w:spacing w:line="276" w:lineRule="auto"/>
              <w:jc w:val="center"/>
              <w:rPr>
                <w:rFonts w:eastAsia="Times New Roman"/>
                <w:sz w:val="24"/>
                <w:szCs w:val="24"/>
                <w:lang w:eastAsia="ru-RU"/>
              </w:rPr>
            </w:pPr>
            <w:r w:rsidRPr="000E06F7">
              <w:rPr>
                <w:rFonts w:eastAsia="Times New Roman"/>
                <w:sz w:val="24"/>
                <w:szCs w:val="24"/>
                <w:lang w:eastAsia="ru-RU"/>
              </w:rPr>
              <w:t>0,92</w:t>
            </w:r>
          </w:p>
        </w:tc>
        <w:tc>
          <w:tcPr>
            <w:tcW w:w="636" w:type="dxa"/>
            <w:vAlign w:val="center"/>
          </w:tcPr>
          <w:p w:rsidR="005222DA" w:rsidRPr="000E06F7" w:rsidRDefault="005222DA" w:rsidP="00361227">
            <w:pPr>
              <w:widowControl w:val="0"/>
              <w:spacing w:line="276" w:lineRule="auto"/>
              <w:jc w:val="center"/>
              <w:rPr>
                <w:rFonts w:eastAsia="Times New Roman"/>
                <w:sz w:val="24"/>
                <w:szCs w:val="24"/>
                <w:lang w:eastAsia="ru-RU"/>
              </w:rPr>
            </w:pPr>
            <w:r w:rsidRPr="000E06F7">
              <w:rPr>
                <w:rFonts w:eastAsia="Times New Roman"/>
                <w:sz w:val="24"/>
                <w:szCs w:val="24"/>
                <w:lang w:eastAsia="ru-RU"/>
              </w:rPr>
              <w:t>0,94</w:t>
            </w:r>
          </w:p>
        </w:tc>
        <w:tc>
          <w:tcPr>
            <w:tcW w:w="639" w:type="dxa"/>
            <w:vAlign w:val="center"/>
          </w:tcPr>
          <w:p w:rsidR="005222DA" w:rsidRPr="000E06F7" w:rsidRDefault="005222DA" w:rsidP="00361227">
            <w:pPr>
              <w:widowControl w:val="0"/>
              <w:spacing w:line="276" w:lineRule="auto"/>
              <w:jc w:val="center"/>
              <w:rPr>
                <w:rFonts w:eastAsia="Times New Roman"/>
                <w:sz w:val="24"/>
                <w:szCs w:val="24"/>
                <w:lang w:eastAsia="ru-RU"/>
              </w:rPr>
            </w:pPr>
            <w:r w:rsidRPr="000E06F7">
              <w:rPr>
                <w:rFonts w:eastAsia="Times New Roman"/>
                <w:sz w:val="24"/>
                <w:szCs w:val="24"/>
                <w:lang w:eastAsia="ru-RU"/>
              </w:rPr>
              <w:t>0,98</w:t>
            </w:r>
          </w:p>
        </w:tc>
      </w:tr>
      <w:tr w:rsidR="005222DA" w:rsidRPr="000E06F7" w:rsidTr="000B2804">
        <w:tc>
          <w:tcPr>
            <w:tcW w:w="5670" w:type="dxa"/>
            <w:vAlign w:val="bottom"/>
          </w:tcPr>
          <w:p w:rsidR="005222DA" w:rsidRPr="000E06F7" w:rsidRDefault="005222DA" w:rsidP="00361227">
            <w:pPr>
              <w:widowControl w:val="0"/>
              <w:spacing w:line="276" w:lineRule="auto"/>
              <w:rPr>
                <w:rFonts w:eastAsia="Times New Roman"/>
                <w:sz w:val="24"/>
                <w:szCs w:val="24"/>
                <w:lang w:eastAsia="uk-UA"/>
              </w:rPr>
            </w:pPr>
            <w:r w:rsidRPr="000E06F7">
              <w:rPr>
                <w:rFonts w:eastAsia="Times New Roman"/>
                <w:sz w:val="24"/>
                <w:szCs w:val="24"/>
                <w:lang w:eastAsia="uk-UA"/>
              </w:rPr>
              <w:t>Частота розроджень вагітних шляхом кесаревого розтину</w:t>
            </w:r>
          </w:p>
        </w:tc>
        <w:tc>
          <w:tcPr>
            <w:tcW w:w="709" w:type="dxa"/>
            <w:vAlign w:val="center"/>
          </w:tcPr>
          <w:p w:rsidR="005222DA" w:rsidRPr="000E06F7" w:rsidRDefault="005222DA" w:rsidP="00361227">
            <w:pPr>
              <w:widowControl w:val="0"/>
              <w:spacing w:line="276" w:lineRule="auto"/>
              <w:jc w:val="center"/>
              <w:rPr>
                <w:rFonts w:eastAsia="Times New Roman"/>
                <w:sz w:val="24"/>
                <w:szCs w:val="24"/>
                <w:lang w:eastAsia="ru-RU"/>
              </w:rPr>
            </w:pPr>
            <w:r w:rsidRPr="000E06F7">
              <w:rPr>
                <w:rFonts w:eastAsia="Times New Roman"/>
                <w:sz w:val="24"/>
                <w:szCs w:val="24"/>
                <w:lang w:eastAsia="ru-RU"/>
              </w:rPr>
              <w:t>0,84</w:t>
            </w:r>
          </w:p>
        </w:tc>
        <w:tc>
          <w:tcPr>
            <w:tcW w:w="636" w:type="dxa"/>
            <w:vAlign w:val="center"/>
          </w:tcPr>
          <w:p w:rsidR="005222DA" w:rsidRPr="000E06F7" w:rsidRDefault="005222DA" w:rsidP="00361227">
            <w:pPr>
              <w:widowControl w:val="0"/>
              <w:spacing w:line="276" w:lineRule="auto"/>
              <w:jc w:val="center"/>
              <w:rPr>
                <w:rFonts w:eastAsia="Times New Roman"/>
                <w:sz w:val="24"/>
                <w:szCs w:val="24"/>
                <w:lang w:eastAsia="ru-RU"/>
              </w:rPr>
            </w:pPr>
            <w:r w:rsidRPr="000E06F7">
              <w:rPr>
                <w:rFonts w:eastAsia="Times New Roman"/>
                <w:sz w:val="24"/>
                <w:szCs w:val="24"/>
                <w:lang w:eastAsia="ru-RU"/>
              </w:rPr>
              <w:t>0,56</w:t>
            </w:r>
          </w:p>
        </w:tc>
        <w:tc>
          <w:tcPr>
            <w:tcW w:w="640" w:type="dxa"/>
            <w:vAlign w:val="center"/>
          </w:tcPr>
          <w:p w:rsidR="005222DA" w:rsidRPr="000E06F7" w:rsidRDefault="005222DA" w:rsidP="00361227">
            <w:pPr>
              <w:widowControl w:val="0"/>
              <w:spacing w:line="276" w:lineRule="auto"/>
              <w:jc w:val="center"/>
              <w:rPr>
                <w:rFonts w:eastAsia="Times New Roman"/>
                <w:sz w:val="24"/>
                <w:szCs w:val="24"/>
                <w:lang w:eastAsia="ru-RU"/>
              </w:rPr>
            </w:pPr>
            <w:r w:rsidRPr="000E06F7">
              <w:rPr>
                <w:rFonts w:eastAsia="Times New Roman"/>
                <w:sz w:val="24"/>
                <w:szCs w:val="24"/>
                <w:lang w:eastAsia="ru-RU"/>
              </w:rPr>
              <w:t>0,77</w:t>
            </w:r>
          </w:p>
        </w:tc>
        <w:tc>
          <w:tcPr>
            <w:tcW w:w="636" w:type="dxa"/>
            <w:vAlign w:val="center"/>
          </w:tcPr>
          <w:p w:rsidR="005222DA" w:rsidRPr="000E06F7" w:rsidRDefault="005222DA" w:rsidP="00361227">
            <w:pPr>
              <w:widowControl w:val="0"/>
              <w:spacing w:line="276" w:lineRule="auto"/>
              <w:jc w:val="center"/>
              <w:rPr>
                <w:rFonts w:eastAsia="Times New Roman"/>
                <w:sz w:val="24"/>
                <w:szCs w:val="24"/>
                <w:lang w:eastAsia="ru-RU"/>
              </w:rPr>
            </w:pPr>
            <w:r w:rsidRPr="000E06F7">
              <w:rPr>
                <w:rFonts w:eastAsia="Times New Roman"/>
                <w:sz w:val="24"/>
                <w:szCs w:val="24"/>
                <w:lang w:eastAsia="ru-RU"/>
              </w:rPr>
              <w:t>0,68</w:t>
            </w:r>
          </w:p>
        </w:tc>
        <w:tc>
          <w:tcPr>
            <w:tcW w:w="640" w:type="dxa"/>
            <w:vAlign w:val="center"/>
          </w:tcPr>
          <w:p w:rsidR="005222DA" w:rsidRPr="000E06F7" w:rsidRDefault="005222DA" w:rsidP="00361227">
            <w:pPr>
              <w:widowControl w:val="0"/>
              <w:spacing w:line="276" w:lineRule="auto"/>
              <w:jc w:val="center"/>
              <w:rPr>
                <w:rFonts w:eastAsia="Times New Roman"/>
                <w:sz w:val="24"/>
                <w:szCs w:val="24"/>
                <w:lang w:eastAsia="ru-RU"/>
              </w:rPr>
            </w:pPr>
            <w:r w:rsidRPr="000E06F7">
              <w:rPr>
                <w:rFonts w:eastAsia="Times New Roman"/>
                <w:sz w:val="24"/>
                <w:szCs w:val="24"/>
                <w:lang w:eastAsia="ru-RU"/>
              </w:rPr>
              <w:t>0,7</w:t>
            </w:r>
          </w:p>
        </w:tc>
        <w:tc>
          <w:tcPr>
            <w:tcW w:w="636" w:type="dxa"/>
            <w:vAlign w:val="center"/>
          </w:tcPr>
          <w:p w:rsidR="005222DA" w:rsidRPr="000E06F7" w:rsidRDefault="005222DA" w:rsidP="00361227">
            <w:pPr>
              <w:widowControl w:val="0"/>
              <w:spacing w:line="276" w:lineRule="auto"/>
              <w:jc w:val="center"/>
              <w:rPr>
                <w:rFonts w:eastAsia="Times New Roman"/>
                <w:sz w:val="24"/>
                <w:szCs w:val="24"/>
                <w:lang w:eastAsia="ru-RU"/>
              </w:rPr>
            </w:pPr>
            <w:r w:rsidRPr="000E06F7">
              <w:rPr>
                <w:rFonts w:eastAsia="Times New Roman"/>
                <w:sz w:val="24"/>
                <w:szCs w:val="24"/>
                <w:lang w:eastAsia="ru-RU"/>
              </w:rPr>
              <w:t>0,58</w:t>
            </w:r>
          </w:p>
        </w:tc>
        <w:tc>
          <w:tcPr>
            <w:tcW w:w="639" w:type="dxa"/>
            <w:vAlign w:val="center"/>
          </w:tcPr>
          <w:p w:rsidR="005222DA" w:rsidRPr="000E06F7" w:rsidRDefault="005222DA" w:rsidP="00361227">
            <w:pPr>
              <w:widowControl w:val="0"/>
              <w:spacing w:line="276" w:lineRule="auto"/>
              <w:jc w:val="center"/>
              <w:rPr>
                <w:rFonts w:eastAsia="Times New Roman"/>
                <w:sz w:val="24"/>
                <w:szCs w:val="24"/>
                <w:lang w:eastAsia="ru-RU"/>
              </w:rPr>
            </w:pPr>
            <w:r w:rsidRPr="000E06F7">
              <w:rPr>
                <w:rFonts w:eastAsia="Times New Roman"/>
                <w:sz w:val="24"/>
                <w:szCs w:val="24"/>
                <w:lang w:eastAsia="ru-RU"/>
              </w:rPr>
              <w:t>0,80</w:t>
            </w:r>
          </w:p>
        </w:tc>
      </w:tr>
      <w:tr w:rsidR="005222DA" w:rsidRPr="000E06F7" w:rsidTr="000B2804">
        <w:tc>
          <w:tcPr>
            <w:tcW w:w="5670" w:type="dxa"/>
            <w:vAlign w:val="bottom"/>
          </w:tcPr>
          <w:p w:rsidR="005222DA" w:rsidRPr="000E06F7" w:rsidRDefault="005222DA" w:rsidP="00361227">
            <w:pPr>
              <w:widowControl w:val="0"/>
              <w:spacing w:line="276" w:lineRule="auto"/>
              <w:rPr>
                <w:rFonts w:eastAsia="Times New Roman"/>
                <w:sz w:val="24"/>
                <w:szCs w:val="24"/>
                <w:lang w:eastAsia="uk-UA"/>
              </w:rPr>
            </w:pPr>
            <w:r w:rsidRPr="000E06F7">
              <w:rPr>
                <w:rFonts w:eastAsia="Times New Roman"/>
                <w:sz w:val="24"/>
                <w:szCs w:val="24"/>
                <w:lang w:eastAsia="uk-UA"/>
              </w:rPr>
              <w:t>Частота кровотеч в послідовому і післяродовому періодах</w:t>
            </w:r>
          </w:p>
        </w:tc>
        <w:tc>
          <w:tcPr>
            <w:tcW w:w="709" w:type="dxa"/>
            <w:vAlign w:val="center"/>
          </w:tcPr>
          <w:p w:rsidR="005222DA" w:rsidRPr="000E06F7" w:rsidRDefault="005222DA" w:rsidP="00361227">
            <w:pPr>
              <w:widowControl w:val="0"/>
              <w:spacing w:line="276" w:lineRule="auto"/>
              <w:jc w:val="center"/>
              <w:rPr>
                <w:rFonts w:eastAsia="Times New Roman"/>
                <w:sz w:val="24"/>
                <w:szCs w:val="24"/>
                <w:lang w:eastAsia="ru-RU"/>
              </w:rPr>
            </w:pPr>
            <w:r w:rsidRPr="000E06F7">
              <w:rPr>
                <w:rFonts w:eastAsia="Times New Roman"/>
                <w:sz w:val="24"/>
                <w:szCs w:val="24"/>
                <w:lang w:eastAsia="ru-RU"/>
              </w:rPr>
              <w:t>1,00</w:t>
            </w:r>
          </w:p>
        </w:tc>
        <w:tc>
          <w:tcPr>
            <w:tcW w:w="636" w:type="dxa"/>
            <w:vAlign w:val="center"/>
          </w:tcPr>
          <w:p w:rsidR="005222DA" w:rsidRPr="000E06F7" w:rsidRDefault="005222DA" w:rsidP="00361227">
            <w:pPr>
              <w:widowControl w:val="0"/>
              <w:spacing w:line="276" w:lineRule="auto"/>
              <w:jc w:val="center"/>
              <w:rPr>
                <w:rFonts w:eastAsia="Times New Roman"/>
                <w:sz w:val="24"/>
                <w:szCs w:val="24"/>
                <w:lang w:eastAsia="ru-RU"/>
              </w:rPr>
            </w:pPr>
            <w:r w:rsidRPr="000E06F7">
              <w:rPr>
                <w:rFonts w:eastAsia="Times New Roman"/>
                <w:sz w:val="24"/>
                <w:szCs w:val="24"/>
                <w:lang w:eastAsia="ru-RU"/>
              </w:rPr>
              <w:t>0,56</w:t>
            </w:r>
          </w:p>
        </w:tc>
        <w:tc>
          <w:tcPr>
            <w:tcW w:w="640" w:type="dxa"/>
            <w:vAlign w:val="center"/>
          </w:tcPr>
          <w:p w:rsidR="005222DA" w:rsidRPr="000E06F7" w:rsidRDefault="005222DA" w:rsidP="00361227">
            <w:pPr>
              <w:widowControl w:val="0"/>
              <w:spacing w:line="276" w:lineRule="auto"/>
              <w:jc w:val="center"/>
              <w:rPr>
                <w:rFonts w:eastAsia="Times New Roman"/>
                <w:sz w:val="24"/>
                <w:szCs w:val="24"/>
                <w:lang w:eastAsia="ru-RU"/>
              </w:rPr>
            </w:pPr>
            <w:r w:rsidRPr="000E06F7">
              <w:rPr>
                <w:rFonts w:eastAsia="Times New Roman"/>
                <w:sz w:val="24"/>
                <w:szCs w:val="24"/>
                <w:lang w:eastAsia="ru-RU"/>
              </w:rPr>
              <w:t>0,61</w:t>
            </w:r>
          </w:p>
        </w:tc>
        <w:tc>
          <w:tcPr>
            <w:tcW w:w="636" w:type="dxa"/>
            <w:vAlign w:val="center"/>
          </w:tcPr>
          <w:p w:rsidR="005222DA" w:rsidRPr="000E06F7" w:rsidRDefault="005222DA" w:rsidP="00361227">
            <w:pPr>
              <w:widowControl w:val="0"/>
              <w:spacing w:line="276" w:lineRule="auto"/>
              <w:jc w:val="center"/>
              <w:rPr>
                <w:rFonts w:eastAsia="Times New Roman"/>
                <w:sz w:val="24"/>
                <w:szCs w:val="24"/>
                <w:lang w:eastAsia="ru-RU"/>
              </w:rPr>
            </w:pPr>
            <w:r w:rsidRPr="000E06F7">
              <w:rPr>
                <w:rFonts w:eastAsia="Times New Roman"/>
                <w:sz w:val="24"/>
                <w:szCs w:val="24"/>
                <w:lang w:eastAsia="ru-RU"/>
              </w:rPr>
              <w:t>0,71</w:t>
            </w:r>
          </w:p>
        </w:tc>
        <w:tc>
          <w:tcPr>
            <w:tcW w:w="640" w:type="dxa"/>
            <w:vAlign w:val="center"/>
          </w:tcPr>
          <w:p w:rsidR="005222DA" w:rsidRPr="000E06F7" w:rsidRDefault="005222DA" w:rsidP="00361227">
            <w:pPr>
              <w:widowControl w:val="0"/>
              <w:spacing w:line="276" w:lineRule="auto"/>
              <w:jc w:val="center"/>
              <w:rPr>
                <w:rFonts w:eastAsia="Times New Roman"/>
                <w:sz w:val="24"/>
                <w:szCs w:val="24"/>
                <w:lang w:eastAsia="ru-RU"/>
              </w:rPr>
            </w:pPr>
            <w:r w:rsidRPr="000E06F7">
              <w:rPr>
                <w:rFonts w:eastAsia="Times New Roman"/>
                <w:sz w:val="24"/>
                <w:szCs w:val="24"/>
                <w:lang w:eastAsia="ru-RU"/>
              </w:rPr>
              <w:t>0,81</w:t>
            </w:r>
          </w:p>
        </w:tc>
        <w:tc>
          <w:tcPr>
            <w:tcW w:w="636" w:type="dxa"/>
            <w:vAlign w:val="center"/>
          </w:tcPr>
          <w:p w:rsidR="005222DA" w:rsidRPr="000E06F7" w:rsidRDefault="005222DA" w:rsidP="00361227">
            <w:pPr>
              <w:widowControl w:val="0"/>
              <w:spacing w:line="276" w:lineRule="auto"/>
              <w:jc w:val="center"/>
              <w:rPr>
                <w:rFonts w:eastAsia="Times New Roman"/>
                <w:sz w:val="24"/>
                <w:szCs w:val="24"/>
                <w:lang w:eastAsia="ru-RU"/>
              </w:rPr>
            </w:pPr>
            <w:r w:rsidRPr="000E06F7">
              <w:rPr>
                <w:rFonts w:eastAsia="Times New Roman"/>
                <w:sz w:val="24"/>
                <w:szCs w:val="24"/>
                <w:lang w:eastAsia="ru-RU"/>
              </w:rPr>
              <w:t>0,00</w:t>
            </w:r>
          </w:p>
        </w:tc>
        <w:tc>
          <w:tcPr>
            <w:tcW w:w="639" w:type="dxa"/>
            <w:vAlign w:val="center"/>
          </w:tcPr>
          <w:p w:rsidR="005222DA" w:rsidRPr="000E06F7" w:rsidRDefault="005222DA" w:rsidP="00361227">
            <w:pPr>
              <w:widowControl w:val="0"/>
              <w:spacing w:line="276" w:lineRule="auto"/>
              <w:ind w:left="459" w:right="-958" w:hanging="459"/>
              <w:rPr>
                <w:rFonts w:eastAsia="Times New Roman"/>
                <w:sz w:val="24"/>
                <w:szCs w:val="24"/>
                <w:lang w:eastAsia="ru-RU"/>
              </w:rPr>
            </w:pPr>
            <w:r w:rsidRPr="000E06F7">
              <w:rPr>
                <w:rFonts w:eastAsia="Times New Roman"/>
                <w:sz w:val="24"/>
                <w:szCs w:val="24"/>
                <w:lang w:eastAsia="ru-RU"/>
              </w:rPr>
              <w:t>0,95</w:t>
            </w:r>
          </w:p>
        </w:tc>
      </w:tr>
      <w:tr w:rsidR="005222DA" w:rsidRPr="000E06F7" w:rsidTr="000B2804">
        <w:tc>
          <w:tcPr>
            <w:tcW w:w="5670" w:type="dxa"/>
            <w:vAlign w:val="bottom"/>
          </w:tcPr>
          <w:p w:rsidR="005222DA" w:rsidRPr="000E06F7" w:rsidRDefault="005222DA" w:rsidP="00361227">
            <w:pPr>
              <w:widowControl w:val="0"/>
              <w:spacing w:line="276" w:lineRule="auto"/>
              <w:rPr>
                <w:rFonts w:eastAsia="Times New Roman"/>
                <w:sz w:val="24"/>
                <w:szCs w:val="24"/>
                <w:lang w:eastAsia="uk-UA"/>
              </w:rPr>
            </w:pPr>
            <w:r>
              <w:rPr>
                <w:rFonts w:eastAsia="Times New Roman"/>
                <w:sz w:val="24"/>
                <w:szCs w:val="24"/>
                <w:lang w:eastAsia="uk-UA"/>
              </w:rPr>
              <w:t>Частота мало</w:t>
            </w:r>
            <w:r w:rsidRPr="000E06F7">
              <w:rPr>
                <w:rFonts w:eastAsia="Times New Roman"/>
                <w:sz w:val="24"/>
                <w:szCs w:val="24"/>
                <w:lang w:eastAsia="uk-UA"/>
              </w:rPr>
              <w:t>вагових новонароджених</w:t>
            </w:r>
          </w:p>
        </w:tc>
        <w:tc>
          <w:tcPr>
            <w:tcW w:w="709" w:type="dxa"/>
            <w:vAlign w:val="center"/>
          </w:tcPr>
          <w:p w:rsidR="005222DA" w:rsidRPr="000E06F7" w:rsidRDefault="005222DA" w:rsidP="00361227">
            <w:pPr>
              <w:widowControl w:val="0"/>
              <w:spacing w:line="276" w:lineRule="auto"/>
              <w:jc w:val="center"/>
              <w:rPr>
                <w:rFonts w:eastAsia="Times New Roman"/>
                <w:sz w:val="24"/>
                <w:szCs w:val="24"/>
                <w:lang w:eastAsia="ru-RU"/>
              </w:rPr>
            </w:pPr>
            <w:r w:rsidRPr="000E06F7">
              <w:rPr>
                <w:rFonts w:eastAsia="Times New Roman"/>
                <w:sz w:val="24"/>
                <w:szCs w:val="24"/>
                <w:lang w:eastAsia="ru-RU"/>
              </w:rPr>
              <w:t>0,47</w:t>
            </w:r>
          </w:p>
        </w:tc>
        <w:tc>
          <w:tcPr>
            <w:tcW w:w="636" w:type="dxa"/>
            <w:vAlign w:val="center"/>
          </w:tcPr>
          <w:p w:rsidR="005222DA" w:rsidRPr="000E06F7" w:rsidRDefault="005222DA" w:rsidP="00361227">
            <w:pPr>
              <w:widowControl w:val="0"/>
              <w:spacing w:line="276" w:lineRule="auto"/>
              <w:jc w:val="center"/>
              <w:rPr>
                <w:rFonts w:eastAsia="Times New Roman"/>
                <w:sz w:val="24"/>
                <w:szCs w:val="24"/>
                <w:lang w:eastAsia="ru-RU"/>
              </w:rPr>
            </w:pPr>
            <w:r w:rsidRPr="000E06F7">
              <w:rPr>
                <w:rFonts w:eastAsia="Times New Roman"/>
                <w:sz w:val="24"/>
                <w:szCs w:val="24"/>
                <w:lang w:eastAsia="ru-RU"/>
              </w:rPr>
              <w:t>0,71</w:t>
            </w:r>
          </w:p>
        </w:tc>
        <w:tc>
          <w:tcPr>
            <w:tcW w:w="640" w:type="dxa"/>
            <w:vAlign w:val="center"/>
          </w:tcPr>
          <w:p w:rsidR="005222DA" w:rsidRPr="000E06F7" w:rsidRDefault="005222DA" w:rsidP="00361227">
            <w:pPr>
              <w:widowControl w:val="0"/>
              <w:spacing w:line="276" w:lineRule="auto"/>
              <w:jc w:val="center"/>
              <w:rPr>
                <w:rFonts w:eastAsia="Times New Roman"/>
                <w:sz w:val="24"/>
                <w:szCs w:val="24"/>
                <w:lang w:eastAsia="ru-RU"/>
              </w:rPr>
            </w:pPr>
            <w:r w:rsidRPr="000E06F7">
              <w:rPr>
                <w:rFonts w:eastAsia="Times New Roman"/>
                <w:sz w:val="24"/>
                <w:szCs w:val="24"/>
                <w:lang w:eastAsia="ru-RU"/>
              </w:rPr>
              <w:t>0,68</w:t>
            </w:r>
          </w:p>
        </w:tc>
        <w:tc>
          <w:tcPr>
            <w:tcW w:w="636" w:type="dxa"/>
            <w:vAlign w:val="center"/>
          </w:tcPr>
          <w:p w:rsidR="005222DA" w:rsidRPr="000E06F7" w:rsidRDefault="005222DA" w:rsidP="00361227">
            <w:pPr>
              <w:widowControl w:val="0"/>
              <w:spacing w:line="276" w:lineRule="auto"/>
              <w:jc w:val="center"/>
              <w:rPr>
                <w:rFonts w:eastAsia="Times New Roman"/>
                <w:sz w:val="24"/>
                <w:szCs w:val="24"/>
                <w:lang w:eastAsia="ru-RU"/>
              </w:rPr>
            </w:pPr>
            <w:r w:rsidRPr="000E06F7">
              <w:rPr>
                <w:rFonts w:eastAsia="Times New Roman"/>
                <w:sz w:val="24"/>
                <w:szCs w:val="24"/>
                <w:lang w:eastAsia="ru-RU"/>
              </w:rPr>
              <w:t>0,57</w:t>
            </w:r>
          </w:p>
        </w:tc>
        <w:tc>
          <w:tcPr>
            <w:tcW w:w="640" w:type="dxa"/>
            <w:vAlign w:val="center"/>
          </w:tcPr>
          <w:p w:rsidR="005222DA" w:rsidRPr="000E06F7" w:rsidRDefault="005222DA" w:rsidP="00361227">
            <w:pPr>
              <w:widowControl w:val="0"/>
              <w:spacing w:line="276" w:lineRule="auto"/>
              <w:jc w:val="center"/>
              <w:rPr>
                <w:rFonts w:eastAsia="Times New Roman"/>
                <w:sz w:val="24"/>
                <w:szCs w:val="24"/>
                <w:lang w:eastAsia="ru-RU"/>
              </w:rPr>
            </w:pPr>
            <w:r w:rsidRPr="000E06F7">
              <w:rPr>
                <w:rFonts w:eastAsia="Times New Roman"/>
                <w:sz w:val="24"/>
                <w:szCs w:val="24"/>
                <w:lang w:eastAsia="ru-RU"/>
              </w:rPr>
              <w:t>0,72</w:t>
            </w:r>
          </w:p>
        </w:tc>
        <w:tc>
          <w:tcPr>
            <w:tcW w:w="636" w:type="dxa"/>
            <w:vAlign w:val="center"/>
          </w:tcPr>
          <w:p w:rsidR="005222DA" w:rsidRPr="000E06F7" w:rsidRDefault="005222DA" w:rsidP="00361227">
            <w:pPr>
              <w:widowControl w:val="0"/>
              <w:spacing w:line="276" w:lineRule="auto"/>
              <w:jc w:val="center"/>
              <w:rPr>
                <w:rFonts w:eastAsia="Times New Roman"/>
                <w:sz w:val="24"/>
                <w:szCs w:val="24"/>
                <w:lang w:eastAsia="ru-RU"/>
              </w:rPr>
            </w:pPr>
            <w:r w:rsidRPr="000E06F7">
              <w:rPr>
                <w:rFonts w:eastAsia="Times New Roman"/>
                <w:sz w:val="24"/>
                <w:szCs w:val="24"/>
                <w:lang w:eastAsia="ru-RU"/>
              </w:rPr>
              <w:t>0,70</w:t>
            </w:r>
          </w:p>
        </w:tc>
        <w:tc>
          <w:tcPr>
            <w:tcW w:w="639" w:type="dxa"/>
            <w:vAlign w:val="center"/>
          </w:tcPr>
          <w:p w:rsidR="005222DA" w:rsidRPr="000E06F7" w:rsidRDefault="005222DA" w:rsidP="00361227">
            <w:pPr>
              <w:widowControl w:val="0"/>
              <w:spacing w:line="276" w:lineRule="auto"/>
              <w:jc w:val="center"/>
              <w:rPr>
                <w:rFonts w:eastAsia="Times New Roman"/>
                <w:sz w:val="24"/>
                <w:szCs w:val="24"/>
                <w:lang w:eastAsia="ru-RU"/>
              </w:rPr>
            </w:pPr>
            <w:r w:rsidRPr="000E06F7">
              <w:rPr>
                <w:rFonts w:eastAsia="Times New Roman"/>
                <w:sz w:val="24"/>
                <w:szCs w:val="24"/>
                <w:lang w:eastAsia="ru-RU"/>
              </w:rPr>
              <w:t>0,67</w:t>
            </w:r>
          </w:p>
        </w:tc>
      </w:tr>
      <w:tr w:rsidR="005222DA" w:rsidRPr="000E06F7" w:rsidTr="000B2804">
        <w:tc>
          <w:tcPr>
            <w:tcW w:w="5670" w:type="dxa"/>
            <w:vAlign w:val="bottom"/>
          </w:tcPr>
          <w:p w:rsidR="005222DA" w:rsidRPr="000E06F7" w:rsidRDefault="005222DA" w:rsidP="00361227">
            <w:pPr>
              <w:widowControl w:val="0"/>
              <w:spacing w:line="276" w:lineRule="auto"/>
              <w:rPr>
                <w:rFonts w:eastAsia="Times New Roman"/>
                <w:sz w:val="24"/>
                <w:szCs w:val="24"/>
                <w:lang w:eastAsia="uk-UA"/>
              </w:rPr>
            </w:pPr>
            <w:r w:rsidRPr="000E06F7">
              <w:rPr>
                <w:rFonts w:eastAsia="Times New Roman"/>
                <w:sz w:val="24"/>
                <w:szCs w:val="24"/>
                <w:lang w:eastAsia="uk-UA"/>
              </w:rPr>
              <w:t>Виживання новонароджених з дуже малою масою тіла при народженні</w:t>
            </w:r>
          </w:p>
        </w:tc>
        <w:tc>
          <w:tcPr>
            <w:tcW w:w="709" w:type="dxa"/>
            <w:vAlign w:val="center"/>
          </w:tcPr>
          <w:p w:rsidR="005222DA" w:rsidRPr="000E06F7" w:rsidRDefault="005222DA" w:rsidP="00361227">
            <w:pPr>
              <w:widowControl w:val="0"/>
              <w:spacing w:line="276" w:lineRule="auto"/>
              <w:jc w:val="center"/>
              <w:rPr>
                <w:rFonts w:eastAsia="Times New Roman"/>
                <w:sz w:val="24"/>
                <w:szCs w:val="24"/>
                <w:lang w:eastAsia="ru-RU"/>
              </w:rPr>
            </w:pPr>
            <w:r w:rsidRPr="000E06F7">
              <w:rPr>
                <w:rFonts w:eastAsia="Times New Roman"/>
                <w:sz w:val="24"/>
                <w:szCs w:val="24"/>
                <w:lang w:eastAsia="ru-RU"/>
              </w:rPr>
              <w:t>0,96</w:t>
            </w:r>
          </w:p>
        </w:tc>
        <w:tc>
          <w:tcPr>
            <w:tcW w:w="636" w:type="dxa"/>
            <w:vAlign w:val="center"/>
          </w:tcPr>
          <w:p w:rsidR="005222DA" w:rsidRPr="000E06F7" w:rsidRDefault="005222DA" w:rsidP="00361227">
            <w:pPr>
              <w:widowControl w:val="0"/>
              <w:spacing w:line="276" w:lineRule="auto"/>
              <w:jc w:val="center"/>
              <w:rPr>
                <w:rFonts w:eastAsia="Times New Roman"/>
                <w:sz w:val="24"/>
                <w:szCs w:val="24"/>
                <w:lang w:eastAsia="ru-RU"/>
              </w:rPr>
            </w:pPr>
            <w:r w:rsidRPr="000E06F7">
              <w:rPr>
                <w:rFonts w:eastAsia="Times New Roman"/>
                <w:sz w:val="24"/>
                <w:szCs w:val="24"/>
                <w:lang w:eastAsia="ru-RU"/>
              </w:rPr>
              <w:t>0,72</w:t>
            </w:r>
          </w:p>
        </w:tc>
        <w:tc>
          <w:tcPr>
            <w:tcW w:w="640" w:type="dxa"/>
            <w:vAlign w:val="center"/>
          </w:tcPr>
          <w:p w:rsidR="005222DA" w:rsidRPr="000E06F7" w:rsidRDefault="005222DA" w:rsidP="00361227">
            <w:pPr>
              <w:widowControl w:val="0"/>
              <w:spacing w:line="276" w:lineRule="auto"/>
              <w:jc w:val="center"/>
              <w:rPr>
                <w:rFonts w:eastAsia="Times New Roman"/>
                <w:sz w:val="24"/>
                <w:szCs w:val="24"/>
                <w:lang w:eastAsia="ru-RU"/>
              </w:rPr>
            </w:pPr>
            <w:r w:rsidRPr="000E06F7">
              <w:rPr>
                <w:rFonts w:eastAsia="Times New Roman"/>
                <w:sz w:val="24"/>
                <w:szCs w:val="24"/>
                <w:lang w:eastAsia="ru-RU"/>
              </w:rPr>
              <w:t>0,96</w:t>
            </w:r>
          </w:p>
        </w:tc>
        <w:tc>
          <w:tcPr>
            <w:tcW w:w="636" w:type="dxa"/>
            <w:vAlign w:val="center"/>
          </w:tcPr>
          <w:p w:rsidR="005222DA" w:rsidRPr="000E06F7" w:rsidRDefault="005222DA" w:rsidP="00361227">
            <w:pPr>
              <w:widowControl w:val="0"/>
              <w:spacing w:line="276" w:lineRule="auto"/>
              <w:jc w:val="center"/>
              <w:rPr>
                <w:rFonts w:eastAsia="Times New Roman"/>
                <w:sz w:val="24"/>
                <w:szCs w:val="24"/>
                <w:lang w:eastAsia="ru-RU"/>
              </w:rPr>
            </w:pPr>
            <w:r w:rsidRPr="000E06F7">
              <w:rPr>
                <w:rFonts w:eastAsia="Times New Roman"/>
                <w:sz w:val="24"/>
                <w:szCs w:val="24"/>
                <w:lang w:eastAsia="ru-RU"/>
              </w:rPr>
              <w:t>0,99</w:t>
            </w:r>
          </w:p>
        </w:tc>
        <w:tc>
          <w:tcPr>
            <w:tcW w:w="640" w:type="dxa"/>
            <w:vAlign w:val="center"/>
          </w:tcPr>
          <w:p w:rsidR="005222DA" w:rsidRPr="000E06F7" w:rsidRDefault="005222DA" w:rsidP="00361227">
            <w:pPr>
              <w:widowControl w:val="0"/>
              <w:spacing w:line="276" w:lineRule="auto"/>
              <w:jc w:val="center"/>
              <w:rPr>
                <w:rFonts w:eastAsia="Times New Roman"/>
                <w:sz w:val="24"/>
                <w:szCs w:val="24"/>
                <w:lang w:eastAsia="ru-RU"/>
              </w:rPr>
            </w:pPr>
            <w:r w:rsidRPr="000E06F7">
              <w:rPr>
                <w:rFonts w:eastAsia="Times New Roman"/>
                <w:sz w:val="24"/>
                <w:szCs w:val="24"/>
                <w:lang w:eastAsia="ru-RU"/>
              </w:rPr>
              <w:t>0,93</w:t>
            </w:r>
          </w:p>
        </w:tc>
        <w:tc>
          <w:tcPr>
            <w:tcW w:w="636" w:type="dxa"/>
            <w:vAlign w:val="center"/>
          </w:tcPr>
          <w:p w:rsidR="005222DA" w:rsidRPr="000E06F7" w:rsidRDefault="005222DA" w:rsidP="00361227">
            <w:pPr>
              <w:widowControl w:val="0"/>
              <w:spacing w:line="276" w:lineRule="auto"/>
              <w:jc w:val="center"/>
              <w:rPr>
                <w:rFonts w:eastAsia="Times New Roman"/>
                <w:sz w:val="24"/>
                <w:szCs w:val="24"/>
                <w:lang w:eastAsia="ru-RU"/>
              </w:rPr>
            </w:pPr>
            <w:r w:rsidRPr="000E06F7">
              <w:rPr>
                <w:rFonts w:eastAsia="Times New Roman"/>
                <w:sz w:val="24"/>
                <w:szCs w:val="24"/>
                <w:lang w:eastAsia="ru-RU"/>
              </w:rPr>
              <w:t>0,90</w:t>
            </w:r>
          </w:p>
        </w:tc>
        <w:tc>
          <w:tcPr>
            <w:tcW w:w="639" w:type="dxa"/>
            <w:vAlign w:val="center"/>
          </w:tcPr>
          <w:p w:rsidR="005222DA" w:rsidRPr="000E06F7" w:rsidRDefault="005222DA" w:rsidP="00361227">
            <w:pPr>
              <w:widowControl w:val="0"/>
              <w:spacing w:line="276" w:lineRule="auto"/>
              <w:jc w:val="center"/>
              <w:rPr>
                <w:rFonts w:eastAsia="Times New Roman"/>
                <w:sz w:val="24"/>
                <w:szCs w:val="24"/>
                <w:lang w:eastAsia="ru-RU"/>
              </w:rPr>
            </w:pPr>
            <w:r w:rsidRPr="000E06F7">
              <w:rPr>
                <w:rFonts w:eastAsia="Times New Roman"/>
                <w:sz w:val="24"/>
                <w:szCs w:val="24"/>
                <w:lang w:eastAsia="ru-RU"/>
              </w:rPr>
              <w:t>0,83</w:t>
            </w:r>
          </w:p>
        </w:tc>
      </w:tr>
      <w:tr w:rsidR="005222DA" w:rsidRPr="000E06F7" w:rsidTr="000B2804">
        <w:tc>
          <w:tcPr>
            <w:tcW w:w="5670" w:type="dxa"/>
            <w:vAlign w:val="bottom"/>
          </w:tcPr>
          <w:p w:rsidR="005222DA" w:rsidRPr="000E06F7" w:rsidRDefault="005222DA" w:rsidP="00361227">
            <w:pPr>
              <w:widowControl w:val="0"/>
              <w:spacing w:line="276" w:lineRule="auto"/>
              <w:rPr>
                <w:rFonts w:eastAsia="Times New Roman"/>
                <w:sz w:val="24"/>
                <w:szCs w:val="24"/>
                <w:lang w:eastAsia="uk-UA"/>
              </w:rPr>
            </w:pPr>
            <w:r w:rsidRPr="000E06F7">
              <w:rPr>
                <w:rFonts w:eastAsia="Times New Roman"/>
                <w:sz w:val="24"/>
                <w:szCs w:val="24"/>
                <w:lang w:eastAsia="uk-UA"/>
              </w:rPr>
              <w:t>Індекс здоров’я новонароджених</w:t>
            </w:r>
          </w:p>
        </w:tc>
        <w:tc>
          <w:tcPr>
            <w:tcW w:w="709" w:type="dxa"/>
            <w:vAlign w:val="center"/>
          </w:tcPr>
          <w:p w:rsidR="005222DA" w:rsidRPr="000E06F7" w:rsidRDefault="005222DA" w:rsidP="00361227">
            <w:pPr>
              <w:widowControl w:val="0"/>
              <w:spacing w:line="276" w:lineRule="auto"/>
              <w:jc w:val="center"/>
              <w:rPr>
                <w:rFonts w:eastAsia="Times New Roman"/>
                <w:sz w:val="24"/>
                <w:szCs w:val="24"/>
                <w:lang w:eastAsia="ru-RU"/>
              </w:rPr>
            </w:pPr>
            <w:r w:rsidRPr="000E06F7">
              <w:rPr>
                <w:rFonts w:eastAsia="Times New Roman"/>
                <w:sz w:val="24"/>
                <w:szCs w:val="24"/>
                <w:lang w:eastAsia="ru-RU"/>
              </w:rPr>
              <w:t>0,93</w:t>
            </w:r>
          </w:p>
        </w:tc>
        <w:tc>
          <w:tcPr>
            <w:tcW w:w="636" w:type="dxa"/>
            <w:vAlign w:val="center"/>
          </w:tcPr>
          <w:p w:rsidR="005222DA" w:rsidRPr="000E06F7" w:rsidRDefault="005222DA" w:rsidP="00361227">
            <w:pPr>
              <w:widowControl w:val="0"/>
              <w:spacing w:line="276" w:lineRule="auto"/>
              <w:jc w:val="center"/>
              <w:rPr>
                <w:rFonts w:eastAsia="Times New Roman"/>
                <w:sz w:val="24"/>
                <w:szCs w:val="24"/>
                <w:lang w:eastAsia="ru-RU"/>
              </w:rPr>
            </w:pPr>
            <w:r w:rsidRPr="000E06F7">
              <w:rPr>
                <w:rFonts w:eastAsia="Times New Roman"/>
                <w:sz w:val="24"/>
                <w:szCs w:val="24"/>
                <w:lang w:eastAsia="ru-RU"/>
              </w:rPr>
              <w:t>0,94</w:t>
            </w:r>
          </w:p>
        </w:tc>
        <w:tc>
          <w:tcPr>
            <w:tcW w:w="640" w:type="dxa"/>
            <w:vAlign w:val="center"/>
          </w:tcPr>
          <w:p w:rsidR="005222DA" w:rsidRPr="000E06F7" w:rsidRDefault="005222DA" w:rsidP="00361227">
            <w:pPr>
              <w:widowControl w:val="0"/>
              <w:spacing w:line="276" w:lineRule="auto"/>
              <w:jc w:val="center"/>
              <w:rPr>
                <w:rFonts w:eastAsia="Times New Roman"/>
                <w:sz w:val="24"/>
                <w:szCs w:val="24"/>
                <w:lang w:eastAsia="ru-RU"/>
              </w:rPr>
            </w:pPr>
            <w:r w:rsidRPr="000E06F7">
              <w:rPr>
                <w:rFonts w:eastAsia="Times New Roman"/>
                <w:sz w:val="24"/>
                <w:szCs w:val="24"/>
                <w:lang w:eastAsia="ru-RU"/>
              </w:rPr>
              <w:t>0,92</w:t>
            </w:r>
          </w:p>
        </w:tc>
        <w:tc>
          <w:tcPr>
            <w:tcW w:w="636" w:type="dxa"/>
            <w:vAlign w:val="center"/>
          </w:tcPr>
          <w:p w:rsidR="005222DA" w:rsidRPr="000E06F7" w:rsidRDefault="005222DA" w:rsidP="00361227">
            <w:pPr>
              <w:widowControl w:val="0"/>
              <w:spacing w:line="276" w:lineRule="auto"/>
              <w:jc w:val="center"/>
              <w:rPr>
                <w:rFonts w:eastAsia="Times New Roman"/>
                <w:sz w:val="24"/>
                <w:szCs w:val="24"/>
                <w:lang w:eastAsia="ru-RU"/>
              </w:rPr>
            </w:pPr>
            <w:r w:rsidRPr="000E06F7">
              <w:rPr>
                <w:rFonts w:eastAsia="Times New Roman"/>
                <w:sz w:val="24"/>
                <w:szCs w:val="24"/>
                <w:lang w:eastAsia="ru-RU"/>
              </w:rPr>
              <w:t>0,87</w:t>
            </w:r>
          </w:p>
        </w:tc>
        <w:tc>
          <w:tcPr>
            <w:tcW w:w="640" w:type="dxa"/>
            <w:vAlign w:val="center"/>
          </w:tcPr>
          <w:p w:rsidR="005222DA" w:rsidRPr="000E06F7" w:rsidRDefault="005222DA" w:rsidP="00361227">
            <w:pPr>
              <w:widowControl w:val="0"/>
              <w:spacing w:line="276" w:lineRule="auto"/>
              <w:jc w:val="center"/>
              <w:rPr>
                <w:rFonts w:eastAsia="Times New Roman"/>
                <w:sz w:val="24"/>
                <w:szCs w:val="24"/>
                <w:lang w:eastAsia="ru-RU"/>
              </w:rPr>
            </w:pPr>
            <w:r w:rsidRPr="000E06F7">
              <w:rPr>
                <w:rFonts w:eastAsia="Times New Roman"/>
                <w:sz w:val="24"/>
                <w:szCs w:val="24"/>
                <w:lang w:eastAsia="ru-RU"/>
              </w:rPr>
              <w:t>0,91</w:t>
            </w:r>
          </w:p>
        </w:tc>
        <w:tc>
          <w:tcPr>
            <w:tcW w:w="636" w:type="dxa"/>
            <w:vAlign w:val="center"/>
          </w:tcPr>
          <w:p w:rsidR="005222DA" w:rsidRPr="000E06F7" w:rsidRDefault="005222DA" w:rsidP="00361227">
            <w:pPr>
              <w:widowControl w:val="0"/>
              <w:spacing w:line="276" w:lineRule="auto"/>
              <w:jc w:val="center"/>
              <w:rPr>
                <w:rFonts w:eastAsia="Times New Roman"/>
                <w:sz w:val="24"/>
                <w:szCs w:val="24"/>
                <w:lang w:eastAsia="ru-RU"/>
              </w:rPr>
            </w:pPr>
            <w:r w:rsidRPr="000E06F7">
              <w:rPr>
                <w:rFonts w:eastAsia="Times New Roman"/>
                <w:sz w:val="24"/>
                <w:szCs w:val="24"/>
                <w:lang w:eastAsia="ru-RU"/>
              </w:rPr>
              <w:t>0,99</w:t>
            </w:r>
          </w:p>
        </w:tc>
        <w:tc>
          <w:tcPr>
            <w:tcW w:w="639" w:type="dxa"/>
            <w:vAlign w:val="center"/>
          </w:tcPr>
          <w:p w:rsidR="005222DA" w:rsidRPr="000E06F7" w:rsidRDefault="005222DA" w:rsidP="00361227">
            <w:pPr>
              <w:widowControl w:val="0"/>
              <w:spacing w:line="276" w:lineRule="auto"/>
              <w:jc w:val="center"/>
              <w:rPr>
                <w:rFonts w:eastAsia="Times New Roman"/>
                <w:sz w:val="24"/>
                <w:szCs w:val="24"/>
                <w:lang w:eastAsia="ru-RU"/>
              </w:rPr>
            </w:pPr>
            <w:r w:rsidRPr="000E06F7">
              <w:rPr>
                <w:rFonts w:eastAsia="Times New Roman"/>
                <w:sz w:val="24"/>
                <w:szCs w:val="24"/>
                <w:lang w:eastAsia="ru-RU"/>
              </w:rPr>
              <w:t>0,98</w:t>
            </w:r>
          </w:p>
        </w:tc>
      </w:tr>
      <w:tr w:rsidR="005222DA" w:rsidRPr="000E06F7" w:rsidTr="000B2804">
        <w:tc>
          <w:tcPr>
            <w:tcW w:w="5670" w:type="dxa"/>
            <w:vAlign w:val="bottom"/>
          </w:tcPr>
          <w:p w:rsidR="005222DA" w:rsidRPr="000E06F7" w:rsidRDefault="005222DA" w:rsidP="00361227">
            <w:pPr>
              <w:widowControl w:val="0"/>
              <w:spacing w:line="276" w:lineRule="auto"/>
              <w:rPr>
                <w:rFonts w:eastAsia="Times New Roman"/>
                <w:sz w:val="24"/>
                <w:szCs w:val="24"/>
                <w:lang w:eastAsia="uk-UA"/>
              </w:rPr>
            </w:pPr>
            <w:r w:rsidRPr="000E06F7">
              <w:rPr>
                <w:rFonts w:eastAsia="Times New Roman"/>
                <w:sz w:val="24"/>
                <w:szCs w:val="24"/>
                <w:lang w:eastAsia="uk-UA"/>
              </w:rPr>
              <w:t xml:space="preserve">Рівень перинатальної смертності </w:t>
            </w:r>
          </w:p>
        </w:tc>
        <w:tc>
          <w:tcPr>
            <w:tcW w:w="709" w:type="dxa"/>
            <w:vAlign w:val="center"/>
          </w:tcPr>
          <w:p w:rsidR="005222DA" w:rsidRPr="000E06F7" w:rsidRDefault="005222DA" w:rsidP="00361227">
            <w:pPr>
              <w:widowControl w:val="0"/>
              <w:spacing w:line="276" w:lineRule="auto"/>
              <w:jc w:val="center"/>
              <w:rPr>
                <w:rFonts w:eastAsia="Times New Roman"/>
                <w:sz w:val="24"/>
                <w:szCs w:val="24"/>
                <w:lang w:eastAsia="ru-RU"/>
              </w:rPr>
            </w:pPr>
            <w:r w:rsidRPr="000E06F7">
              <w:rPr>
                <w:rFonts w:eastAsia="Times New Roman"/>
                <w:sz w:val="24"/>
                <w:szCs w:val="24"/>
                <w:lang w:eastAsia="ru-RU"/>
              </w:rPr>
              <w:t>0,67</w:t>
            </w:r>
          </w:p>
        </w:tc>
        <w:tc>
          <w:tcPr>
            <w:tcW w:w="636" w:type="dxa"/>
            <w:vAlign w:val="center"/>
          </w:tcPr>
          <w:p w:rsidR="005222DA" w:rsidRPr="000E06F7" w:rsidRDefault="005222DA" w:rsidP="00361227">
            <w:pPr>
              <w:widowControl w:val="0"/>
              <w:spacing w:line="276" w:lineRule="auto"/>
              <w:jc w:val="center"/>
              <w:rPr>
                <w:rFonts w:eastAsia="Times New Roman"/>
                <w:sz w:val="24"/>
                <w:szCs w:val="24"/>
                <w:lang w:eastAsia="ru-RU"/>
              </w:rPr>
            </w:pPr>
            <w:r w:rsidRPr="000E06F7">
              <w:rPr>
                <w:rFonts w:eastAsia="Times New Roman"/>
                <w:sz w:val="24"/>
                <w:szCs w:val="24"/>
                <w:lang w:eastAsia="ru-RU"/>
              </w:rPr>
              <w:t>0,89</w:t>
            </w:r>
          </w:p>
        </w:tc>
        <w:tc>
          <w:tcPr>
            <w:tcW w:w="640" w:type="dxa"/>
            <w:vAlign w:val="center"/>
          </w:tcPr>
          <w:p w:rsidR="005222DA" w:rsidRPr="000E06F7" w:rsidRDefault="005222DA" w:rsidP="00361227">
            <w:pPr>
              <w:widowControl w:val="0"/>
              <w:spacing w:line="276" w:lineRule="auto"/>
              <w:jc w:val="center"/>
              <w:rPr>
                <w:rFonts w:eastAsia="Times New Roman"/>
                <w:sz w:val="24"/>
                <w:szCs w:val="24"/>
                <w:lang w:eastAsia="ru-RU"/>
              </w:rPr>
            </w:pPr>
            <w:r w:rsidRPr="000E06F7">
              <w:rPr>
                <w:rFonts w:eastAsia="Times New Roman"/>
                <w:sz w:val="24"/>
                <w:szCs w:val="24"/>
                <w:lang w:eastAsia="ru-RU"/>
              </w:rPr>
              <w:t>1,00</w:t>
            </w:r>
          </w:p>
        </w:tc>
        <w:tc>
          <w:tcPr>
            <w:tcW w:w="636" w:type="dxa"/>
            <w:vAlign w:val="center"/>
          </w:tcPr>
          <w:p w:rsidR="005222DA" w:rsidRPr="000E06F7" w:rsidRDefault="005222DA" w:rsidP="00361227">
            <w:pPr>
              <w:widowControl w:val="0"/>
              <w:spacing w:line="276" w:lineRule="auto"/>
              <w:jc w:val="center"/>
              <w:rPr>
                <w:rFonts w:eastAsia="Times New Roman"/>
                <w:sz w:val="24"/>
                <w:szCs w:val="24"/>
                <w:lang w:eastAsia="ru-RU"/>
              </w:rPr>
            </w:pPr>
            <w:r w:rsidRPr="000E06F7">
              <w:rPr>
                <w:rFonts w:eastAsia="Times New Roman"/>
                <w:sz w:val="24"/>
                <w:szCs w:val="24"/>
                <w:lang w:eastAsia="ru-RU"/>
              </w:rPr>
              <w:t>1,00</w:t>
            </w:r>
          </w:p>
        </w:tc>
        <w:tc>
          <w:tcPr>
            <w:tcW w:w="640" w:type="dxa"/>
            <w:vAlign w:val="center"/>
          </w:tcPr>
          <w:p w:rsidR="005222DA" w:rsidRPr="000E06F7" w:rsidRDefault="005222DA" w:rsidP="00361227">
            <w:pPr>
              <w:widowControl w:val="0"/>
              <w:spacing w:line="276" w:lineRule="auto"/>
              <w:jc w:val="center"/>
              <w:rPr>
                <w:rFonts w:eastAsia="Times New Roman"/>
                <w:sz w:val="24"/>
                <w:szCs w:val="24"/>
                <w:lang w:eastAsia="ru-RU"/>
              </w:rPr>
            </w:pPr>
            <w:r w:rsidRPr="000E06F7">
              <w:rPr>
                <w:rFonts w:eastAsia="Times New Roman"/>
                <w:sz w:val="24"/>
                <w:szCs w:val="24"/>
                <w:lang w:eastAsia="ru-RU"/>
              </w:rPr>
              <w:t>1,00</w:t>
            </w:r>
          </w:p>
        </w:tc>
        <w:tc>
          <w:tcPr>
            <w:tcW w:w="636" w:type="dxa"/>
            <w:vAlign w:val="center"/>
          </w:tcPr>
          <w:p w:rsidR="005222DA" w:rsidRPr="000E06F7" w:rsidRDefault="005222DA" w:rsidP="00361227">
            <w:pPr>
              <w:widowControl w:val="0"/>
              <w:spacing w:line="276" w:lineRule="auto"/>
              <w:jc w:val="center"/>
              <w:rPr>
                <w:rFonts w:eastAsia="Times New Roman"/>
                <w:sz w:val="24"/>
                <w:szCs w:val="24"/>
                <w:lang w:eastAsia="ru-RU"/>
              </w:rPr>
            </w:pPr>
            <w:r w:rsidRPr="000E06F7">
              <w:rPr>
                <w:rFonts w:eastAsia="Times New Roman"/>
                <w:sz w:val="24"/>
                <w:szCs w:val="24"/>
                <w:lang w:eastAsia="ru-RU"/>
              </w:rPr>
              <w:t>1,00</w:t>
            </w:r>
          </w:p>
        </w:tc>
        <w:tc>
          <w:tcPr>
            <w:tcW w:w="639" w:type="dxa"/>
            <w:vAlign w:val="center"/>
          </w:tcPr>
          <w:p w:rsidR="005222DA" w:rsidRPr="000E06F7" w:rsidRDefault="005222DA" w:rsidP="00361227">
            <w:pPr>
              <w:widowControl w:val="0"/>
              <w:spacing w:line="276" w:lineRule="auto"/>
              <w:jc w:val="center"/>
              <w:rPr>
                <w:rFonts w:eastAsia="Times New Roman"/>
                <w:sz w:val="24"/>
                <w:szCs w:val="24"/>
                <w:lang w:eastAsia="ru-RU"/>
              </w:rPr>
            </w:pPr>
            <w:r w:rsidRPr="000E06F7">
              <w:rPr>
                <w:rFonts w:eastAsia="Times New Roman"/>
                <w:sz w:val="24"/>
                <w:szCs w:val="24"/>
                <w:lang w:eastAsia="ru-RU"/>
              </w:rPr>
              <w:t>0,80</w:t>
            </w:r>
          </w:p>
        </w:tc>
      </w:tr>
      <w:tr w:rsidR="005222DA" w:rsidRPr="000E06F7" w:rsidTr="000B2804">
        <w:tc>
          <w:tcPr>
            <w:tcW w:w="5670" w:type="dxa"/>
            <w:vAlign w:val="center"/>
          </w:tcPr>
          <w:p w:rsidR="005222DA" w:rsidRPr="000E06F7" w:rsidRDefault="005222DA" w:rsidP="00361227">
            <w:pPr>
              <w:widowControl w:val="0"/>
              <w:spacing w:line="276" w:lineRule="auto"/>
              <w:rPr>
                <w:rFonts w:eastAsia="Times New Roman"/>
                <w:sz w:val="24"/>
                <w:szCs w:val="24"/>
                <w:lang w:eastAsia="uk-UA"/>
              </w:rPr>
            </w:pPr>
            <w:r w:rsidRPr="000E06F7">
              <w:rPr>
                <w:rFonts w:eastAsia="Times New Roman"/>
                <w:sz w:val="24"/>
                <w:szCs w:val="24"/>
                <w:lang w:eastAsia="uk-UA"/>
              </w:rPr>
              <w:t>Рівень неонатальної смертності</w:t>
            </w:r>
          </w:p>
        </w:tc>
        <w:tc>
          <w:tcPr>
            <w:tcW w:w="709" w:type="dxa"/>
            <w:vAlign w:val="center"/>
          </w:tcPr>
          <w:p w:rsidR="005222DA" w:rsidRPr="000E06F7" w:rsidRDefault="005222DA" w:rsidP="00361227">
            <w:pPr>
              <w:widowControl w:val="0"/>
              <w:spacing w:line="276" w:lineRule="auto"/>
              <w:jc w:val="center"/>
              <w:rPr>
                <w:rFonts w:eastAsia="Times New Roman"/>
                <w:sz w:val="24"/>
                <w:szCs w:val="24"/>
                <w:lang w:eastAsia="ru-RU"/>
              </w:rPr>
            </w:pPr>
            <w:r w:rsidRPr="000E06F7">
              <w:rPr>
                <w:rFonts w:eastAsia="Times New Roman"/>
                <w:sz w:val="24"/>
                <w:szCs w:val="24"/>
                <w:lang w:eastAsia="ru-RU"/>
              </w:rPr>
              <w:t>0,98</w:t>
            </w:r>
          </w:p>
        </w:tc>
        <w:tc>
          <w:tcPr>
            <w:tcW w:w="636" w:type="dxa"/>
            <w:vAlign w:val="center"/>
          </w:tcPr>
          <w:p w:rsidR="005222DA" w:rsidRPr="000E06F7" w:rsidRDefault="005222DA" w:rsidP="00361227">
            <w:pPr>
              <w:widowControl w:val="0"/>
              <w:spacing w:line="276" w:lineRule="auto"/>
              <w:jc w:val="center"/>
              <w:rPr>
                <w:rFonts w:eastAsia="Times New Roman"/>
                <w:sz w:val="24"/>
                <w:szCs w:val="24"/>
                <w:lang w:eastAsia="ru-RU"/>
              </w:rPr>
            </w:pPr>
            <w:r w:rsidRPr="000E06F7">
              <w:rPr>
                <w:rFonts w:eastAsia="Times New Roman"/>
                <w:sz w:val="24"/>
                <w:szCs w:val="24"/>
                <w:lang w:eastAsia="ru-RU"/>
              </w:rPr>
              <w:t>0,67</w:t>
            </w:r>
          </w:p>
        </w:tc>
        <w:tc>
          <w:tcPr>
            <w:tcW w:w="640" w:type="dxa"/>
            <w:vAlign w:val="center"/>
          </w:tcPr>
          <w:p w:rsidR="005222DA" w:rsidRPr="000E06F7" w:rsidRDefault="005222DA" w:rsidP="00361227">
            <w:pPr>
              <w:widowControl w:val="0"/>
              <w:spacing w:line="276" w:lineRule="auto"/>
              <w:jc w:val="center"/>
              <w:rPr>
                <w:rFonts w:eastAsia="Times New Roman"/>
                <w:sz w:val="24"/>
                <w:szCs w:val="24"/>
                <w:lang w:eastAsia="ru-RU"/>
              </w:rPr>
            </w:pPr>
            <w:r w:rsidRPr="000E06F7">
              <w:rPr>
                <w:rFonts w:eastAsia="Times New Roman"/>
                <w:sz w:val="24"/>
                <w:szCs w:val="24"/>
                <w:lang w:eastAsia="ru-RU"/>
              </w:rPr>
              <w:t>1,0</w:t>
            </w:r>
          </w:p>
        </w:tc>
        <w:tc>
          <w:tcPr>
            <w:tcW w:w="636" w:type="dxa"/>
            <w:vAlign w:val="center"/>
          </w:tcPr>
          <w:p w:rsidR="005222DA" w:rsidRPr="000E06F7" w:rsidRDefault="005222DA" w:rsidP="00361227">
            <w:pPr>
              <w:widowControl w:val="0"/>
              <w:spacing w:line="276" w:lineRule="auto"/>
              <w:jc w:val="center"/>
              <w:rPr>
                <w:rFonts w:eastAsia="Times New Roman"/>
                <w:sz w:val="24"/>
                <w:szCs w:val="24"/>
                <w:lang w:eastAsia="ru-RU"/>
              </w:rPr>
            </w:pPr>
            <w:r w:rsidRPr="000E06F7">
              <w:rPr>
                <w:rFonts w:eastAsia="Times New Roman"/>
                <w:sz w:val="24"/>
                <w:szCs w:val="24"/>
                <w:lang w:eastAsia="ru-RU"/>
              </w:rPr>
              <w:t>0,94</w:t>
            </w:r>
          </w:p>
        </w:tc>
        <w:tc>
          <w:tcPr>
            <w:tcW w:w="640" w:type="dxa"/>
            <w:vAlign w:val="center"/>
          </w:tcPr>
          <w:p w:rsidR="005222DA" w:rsidRPr="000E06F7" w:rsidRDefault="005222DA" w:rsidP="00361227">
            <w:pPr>
              <w:widowControl w:val="0"/>
              <w:spacing w:line="276" w:lineRule="auto"/>
              <w:jc w:val="center"/>
              <w:rPr>
                <w:rFonts w:eastAsia="Times New Roman"/>
                <w:sz w:val="24"/>
                <w:szCs w:val="24"/>
                <w:lang w:eastAsia="ru-RU"/>
              </w:rPr>
            </w:pPr>
            <w:r w:rsidRPr="000E06F7">
              <w:rPr>
                <w:rFonts w:eastAsia="Times New Roman"/>
                <w:sz w:val="24"/>
                <w:szCs w:val="24"/>
                <w:lang w:eastAsia="ru-RU"/>
              </w:rPr>
              <w:t>1,0</w:t>
            </w:r>
          </w:p>
        </w:tc>
        <w:tc>
          <w:tcPr>
            <w:tcW w:w="636" w:type="dxa"/>
            <w:vAlign w:val="center"/>
          </w:tcPr>
          <w:p w:rsidR="005222DA" w:rsidRPr="000E06F7" w:rsidRDefault="005222DA" w:rsidP="00361227">
            <w:pPr>
              <w:widowControl w:val="0"/>
              <w:spacing w:line="276" w:lineRule="auto"/>
              <w:jc w:val="center"/>
              <w:rPr>
                <w:rFonts w:eastAsia="Times New Roman"/>
                <w:sz w:val="24"/>
                <w:szCs w:val="24"/>
                <w:lang w:eastAsia="ru-RU"/>
              </w:rPr>
            </w:pPr>
            <w:r w:rsidRPr="000E06F7">
              <w:rPr>
                <w:rFonts w:eastAsia="Times New Roman"/>
                <w:sz w:val="24"/>
                <w:szCs w:val="24"/>
                <w:lang w:eastAsia="ru-RU"/>
              </w:rPr>
              <w:t>1,0</w:t>
            </w:r>
          </w:p>
        </w:tc>
        <w:tc>
          <w:tcPr>
            <w:tcW w:w="639" w:type="dxa"/>
            <w:vAlign w:val="center"/>
          </w:tcPr>
          <w:p w:rsidR="005222DA" w:rsidRPr="000E06F7" w:rsidRDefault="005222DA" w:rsidP="00361227">
            <w:pPr>
              <w:widowControl w:val="0"/>
              <w:spacing w:line="276" w:lineRule="auto"/>
              <w:jc w:val="center"/>
              <w:rPr>
                <w:rFonts w:eastAsia="Times New Roman"/>
                <w:sz w:val="24"/>
                <w:szCs w:val="24"/>
                <w:lang w:eastAsia="ru-RU"/>
              </w:rPr>
            </w:pPr>
            <w:r w:rsidRPr="000E06F7">
              <w:rPr>
                <w:rFonts w:eastAsia="Times New Roman"/>
                <w:sz w:val="24"/>
                <w:szCs w:val="24"/>
                <w:lang w:eastAsia="ru-RU"/>
              </w:rPr>
              <w:t>0,44</w:t>
            </w:r>
          </w:p>
        </w:tc>
      </w:tr>
      <w:tr w:rsidR="005222DA" w:rsidRPr="000E06F7" w:rsidTr="000B2804">
        <w:tc>
          <w:tcPr>
            <w:tcW w:w="5670" w:type="dxa"/>
            <w:vAlign w:val="bottom"/>
          </w:tcPr>
          <w:p w:rsidR="005222DA" w:rsidRPr="000E06F7" w:rsidRDefault="005222DA" w:rsidP="00361227">
            <w:pPr>
              <w:widowControl w:val="0"/>
              <w:spacing w:line="276" w:lineRule="auto"/>
              <w:rPr>
                <w:rFonts w:eastAsia="Times New Roman"/>
                <w:sz w:val="24"/>
                <w:szCs w:val="24"/>
                <w:lang w:eastAsia="uk-UA"/>
              </w:rPr>
            </w:pPr>
            <w:r w:rsidRPr="000E06F7">
              <w:rPr>
                <w:rFonts w:eastAsia="Times New Roman"/>
                <w:sz w:val="24"/>
                <w:szCs w:val="24"/>
                <w:lang w:eastAsia="uk-UA"/>
              </w:rPr>
              <w:t xml:space="preserve">Рівень материнської смертності </w:t>
            </w:r>
          </w:p>
        </w:tc>
        <w:tc>
          <w:tcPr>
            <w:tcW w:w="709" w:type="dxa"/>
            <w:vAlign w:val="center"/>
          </w:tcPr>
          <w:p w:rsidR="005222DA" w:rsidRPr="000E06F7" w:rsidRDefault="005222DA" w:rsidP="00361227">
            <w:pPr>
              <w:widowControl w:val="0"/>
              <w:spacing w:line="276" w:lineRule="auto"/>
              <w:jc w:val="center"/>
              <w:rPr>
                <w:rFonts w:eastAsia="Times New Roman"/>
                <w:sz w:val="24"/>
                <w:szCs w:val="24"/>
                <w:lang w:eastAsia="ru-RU"/>
              </w:rPr>
            </w:pPr>
            <w:r w:rsidRPr="000E06F7">
              <w:rPr>
                <w:rFonts w:eastAsia="Times New Roman"/>
                <w:sz w:val="24"/>
                <w:szCs w:val="24"/>
                <w:lang w:eastAsia="ru-RU"/>
              </w:rPr>
              <w:t>0,00</w:t>
            </w:r>
          </w:p>
        </w:tc>
        <w:tc>
          <w:tcPr>
            <w:tcW w:w="636" w:type="dxa"/>
            <w:vAlign w:val="center"/>
          </w:tcPr>
          <w:p w:rsidR="005222DA" w:rsidRPr="000E06F7" w:rsidRDefault="005222DA" w:rsidP="00361227">
            <w:pPr>
              <w:widowControl w:val="0"/>
              <w:spacing w:line="276" w:lineRule="auto"/>
              <w:jc w:val="center"/>
              <w:rPr>
                <w:rFonts w:eastAsia="Times New Roman"/>
                <w:sz w:val="24"/>
                <w:szCs w:val="24"/>
                <w:lang w:eastAsia="ru-RU"/>
              </w:rPr>
            </w:pPr>
            <w:r w:rsidRPr="000E06F7">
              <w:rPr>
                <w:rFonts w:eastAsia="Times New Roman"/>
                <w:sz w:val="24"/>
                <w:szCs w:val="24"/>
                <w:lang w:eastAsia="ru-RU"/>
              </w:rPr>
              <w:t>1,00</w:t>
            </w:r>
          </w:p>
        </w:tc>
        <w:tc>
          <w:tcPr>
            <w:tcW w:w="640" w:type="dxa"/>
            <w:vAlign w:val="center"/>
          </w:tcPr>
          <w:p w:rsidR="005222DA" w:rsidRPr="000E06F7" w:rsidRDefault="005222DA" w:rsidP="00361227">
            <w:pPr>
              <w:widowControl w:val="0"/>
              <w:spacing w:line="276" w:lineRule="auto"/>
              <w:jc w:val="center"/>
              <w:rPr>
                <w:rFonts w:eastAsia="Times New Roman"/>
                <w:sz w:val="24"/>
                <w:szCs w:val="24"/>
                <w:lang w:eastAsia="ru-RU"/>
              </w:rPr>
            </w:pPr>
            <w:r w:rsidRPr="000E06F7">
              <w:rPr>
                <w:rFonts w:eastAsia="Times New Roman"/>
                <w:sz w:val="24"/>
                <w:szCs w:val="24"/>
                <w:lang w:eastAsia="ru-RU"/>
              </w:rPr>
              <w:t>0,36</w:t>
            </w:r>
          </w:p>
        </w:tc>
        <w:tc>
          <w:tcPr>
            <w:tcW w:w="636" w:type="dxa"/>
            <w:vAlign w:val="center"/>
          </w:tcPr>
          <w:p w:rsidR="005222DA" w:rsidRPr="000E06F7" w:rsidRDefault="005222DA" w:rsidP="00361227">
            <w:pPr>
              <w:widowControl w:val="0"/>
              <w:spacing w:line="276" w:lineRule="auto"/>
              <w:jc w:val="center"/>
              <w:rPr>
                <w:rFonts w:eastAsia="Times New Roman"/>
                <w:sz w:val="24"/>
                <w:szCs w:val="24"/>
                <w:lang w:eastAsia="ru-RU"/>
              </w:rPr>
            </w:pPr>
            <w:r w:rsidRPr="000E06F7">
              <w:rPr>
                <w:rFonts w:eastAsia="Times New Roman"/>
                <w:sz w:val="24"/>
                <w:szCs w:val="24"/>
                <w:lang w:eastAsia="ru-RU"/>
              </w:rPr>
              <w:t>1,0</w:t>
            </w:r>
          </w:p>
        </w:tc>
        <w:tc>
          <w:tcPr>
            <w:tcW w:w="640" w:type="dxa"/>
            <w:vAlign w:val="center"/>
          </w:tcPr>
          <w:p w:rsidR="005222DA" w:rsidRPr="000E06F7" w:rsidRDefault="005222DA" w:rsidP="00361227">
            <w:pPr>
              <w:widowControl w:val="0"/>
              <w:spacing w:line="276" w:lineRule="auto"/>
              <w:jc w:val="center"/>
              <w:rPr>
                <w:rFonts w:eastAsia="Times New Roman"/>
                <w:sz w:val="24"/>
                <w:szCs w:val="24"/>
                <w:lang w:eastAsia="ru-RU"/>
              </w:rPr>
            </w:pPr>
            <w:r w:rsidRPr="000E06F7">
              <w:rPr>
                <w:rFonts w:eastAsia="Times New Roman"/>
                <w:sz w:val="24"/>
                <w:szCs w:val="24"/>
                <w:lang w:eastAsia="ru-RU"/>
              </w:rPr>
              <w:t>1,00</w:t>
            </w:r>
          </w:p>
        </w:tc>
        <w:tc>
          <w:tcPr>
            <w:tcW w:w="636" w:type="dxa"/>
            <w:vAlign w:val="center"/>
          </w:tcPr>
          <w:p w:rsidR="005222DA" w:rsidRPr="000E06F7" w:rsidRDefault="005222DA" w:rsidP="00361227">
            <w:pPr>
              <w:widowControl w:val="0"/>
              <w:spacing w:line="276" w:lineRule="auto"/>
              <w:jc w:val="center"/>
              <w:rPr>
                <w:rFonts w:eastAsia="Times New Roman"/>
                <w:sz w:val="24"/>
                <w:szCs w:val="24"/>
                <w:lang w:eastAsia="ru-RU"/>
              </w:rPr>
            </w:pPr>
            <w:r w:rsidRPr="000E06F7">
              <w:rPr>
                <w:rFonts w:eastAsia="Times New Roman"/>
                <w:sz w:val="24"/>
                <w:szCs w:val="24"/>
                <w:lang w:eastAsia="ru-RU"/>
              </w:rPr>
              <w:t>1,00</w:t>
            </w:r>
          </w:p>
        </w:tc>
        <w:tc>
          <w:tcPr>
            <w:tcW w:w="639" w:type="dxa"/>
            <w:vAlign w:val="center"/>
          </w:tcPr>
          <w:p w:rsidR="005222DA" w:rsidRPr="000E06F7" w:rsidRDefault="005222DA" w:rsidP="00361227">
            <w:pPr>
              <w:widowControl w:val="0"/>
              <w:spacing w:line="276" w:lineRule="auto"/>
              <w:jc w:val="center"/>
              <w:rPr>
                <w:rFonts w:eastAsia="Times New Roman"/>
                <w:sz w:val="24"/>
                <w:szCs w:val="24"/>
                <w:lang w:eastAsia="ru-RU"/>
              </w:rPr>
            </w:pPr>
            <w:r w:rsidRPr="000E06F7">
              <w:rPr>
                <w:rFonts w:eastAsia="Times New Roman"/>
                <w:sz w:val="24"/>
                <w:szCs w:val="24"/>
                <w:lang w:eastAsia="ru-RU"/>
              </w:rPr>
              <w:t>1,00</w:t>
            </w:r>
          </w:p>
        </w:tc>
      </w:tr>
      <w:tr w:rsidR="005222DA" w:rsidRPr="000E06F7" w:rsidTr="000B2804">
        <w:tc>
          <w:tcPr>
            <w:tcW w:w="5670" w:type="dxa"/>
            <w:vAlign w:val="bottom"/>
          </w:tcPr>
          <w:p w:rsidR="005222DA" w:rsidRPr="000E06F7" w:rsidRDefault="005222DA" w:rsidP="00361227">
            <w:pPr>
              <w:widowControl w:val="0"/>
              <w:spacing w:line="276" w:lineRule="auto"/>
              <w:rPr>
                <w:rFonts w:eastAsia="Times New Roman"/>
                <w:sz w:val="24"/>
                <w:szCs w:val="24"/>
                <w:lang w:eastAsia="uk-UA"/>
              </w:rPr>
            </w:pPr>
            <w:r w:rsidRPr="000E06F7">
              <w:rPr>
                <w:rFonts w:eastAsia="Times New Roman"/>
                <w:sz w:val="24"/>
                <w:szCs w:val="24"/>
                <w:lang w:eastAsia="uk-UA"/>
              </w:rPr>
              <w:t>ККО</w:t>
            </w:r>
          </w:p>
        </w:tc>
        <w:tc>
          <w:tcPr>
            <w:tcW w:w="709" w:type="dxa"/>
            <w:vAlign w:val="center"/>
          </w:tcPr>
          <w:p w:rsidR="005222DA" w:rsidRPr="000E06F7" w:rsidRDefault="005222DA" w:rsidP="00361227">
            <w:pPr>
              <w:widowControl w:val="0"/>
              <w:spacing w:line="276" w:lineRule="auto"/>
              <w:jc w:val="center"/>
              <w:rPr>
                <w:rFonts w:eastAsia="Times New Roman"/>
                <w:sz w:val="24"/>
                <w:szCs w:val="24"/>
                <w:lang w:eastAsia="ru-RU"/>
              </w:rPr>
            </w:pPr>
            <w:r w:rsidRPr="000E06F7">
              <w:rPr>
                <w:rFonts w:eastAsia="Times New Roman"/>
                <w:sz w:val="24"/>
                <w:szCs w:val="24"/>
                <w:lang w:eastAsia="ru-RU"/>
              </w:rPr>
              <w:t>0,80</w:t>
            </w:r>
          </w:p>
        </w:tc>
        <w:tc>
          <w:tcPr>
            <w:tcW w:w="636" w:type="dxa"/>
            <w:vAlign w:val="center"/>
          </w:tcPr>
          <w:p w:rsidR="005222DA" w:rsidRPr="000E06F7" w:rsidRDefault="005222DA" w:rsidP="00361227">
            <w:pPr>
              <w:widowControl w:val="0"/>
              <w:spacing w:line="276" w:lineRule="auto"/>
              <w:jc w:val="center"/>
              <w:rPr>
                <w:rFonts w:eastAsia="Times New Roman"/>
                <w:sz w:val="24"/>
                <w:szCs w:val="24"/>
                <w:lang w:eastAsia="ru-RU"/>
              </w:rPr>
            </w:pPr>
            <w:r w:rsidRPr="000E06F7">
              <w:rPr>
                <w:rFonts w:eastAsia="Times New Roman"/>
                <w:sz w:val="24"/>
                <w:szCs w:val="24"/>
                <w:lang w:eastAsia="ru-RU"/>
              </w:rPr>
              <w:t>0,80</w:t>
            </w:r>
          </w:p>
        </w:tc>
        <w:tc>
          <w:tcPr>
            <w:tcW w:w="640" w:type="dxa"/>
            <w:vAlign w:val="center"/>
          </w:tcPr>
          <w:p w:rsidR="005222DA" w:rsidRPr="000E06F7" w:rsidRDefault="005222DA" w:rsidP="00361227">
            <w:pPr>
              <w:widowControl w:val="0"/>
              <w:spacing w:line="276" w:lineRule="auto"/>
              <w:jc w:val="center"/>
              <w:rPr>
                <w:rFonts w:eastAsia="Times New Roman"/>
                <w:sz w:val="24"/>
                <w:szCs w:val="24"/>
                <w:lang w:eastAsia="ru-RU"/>
              </w:rPr>
            </w:pPr>
            <w:r w:rsidRPr="000E06F7">
              <w:rPr>
                <w:rFonts w:eastAsia="Times New Roman"/>
                <w:sz w:val="24"/>
                <w:szCs w:val="24"/>
                <w:lang w:eastAsia="ru-RU"/>
              </w:rPr>
              <w:t>0,80</w:t>
            </w:r>
          </w:p>
        </w:tc>
        <w:tc>
          <w:tcPr>
            <w:tcW w:w="636" w:type="dxa"/>
            <w:vAlign w:val="center"/>
          </w:tcPr>
          <w:p w:rsidR="005222DA" w:rsidRPr="000E06F7" w:rsidRDefault="005222DA" w:rsidP="00361227">
            <w:pPr>
              <w:widowControl w:val="0"/>
              <w:spacing w:line="276" w:lineRule="auto"/>
              <w:jc w:val="center"/>
              <w:rPr>
                <w:rFonts w:eastAsia="Times New Roman"/>
                <w:sz w:val="24"/>
                <w:szCs w:val="24"/>
                <w:lang w:eastAsia="ru-RU"/>
              </w:rPr>
            </w:pPr>
            <w:r w:rsidRPr="000E06F7">
              <w:rPr>
                <w:rFonts w:eastAsia="Times New Roman"/>
                <w:sz w:val="24"/>
                <w:szCs w:val="24"/>
                <w:lang w:eastAsia="ru-RU"/>
              </w:rPr>
              <w:t>0,82</w:t>
            </w:r>
          </w:p>
        </w:tc>
        <w:tc>
          <w:tcPr>
            <w:tcW w:w="640" w:type="dxa"/>
            <w:vAlign w:val="center"/>
          </w:tcPr>
          <w:p w:rsidR="005222DA" w:rsidRPr="000E06F7" w:rsidRDefault="005222DA" w:rsidP="00361227">
            <w:pPr>
              <w:widowControl w:val="0"/>
              <w:spacing w:line="276" w:lineRule="auto"/>
              <w:jc w:val="center"/>
              <w:rPr>
                <w:rFonts w:eastAsia="Times New Roman"/>
                <w:sz w:val="24"/>
                <w:szCs w:val="24"/>
                <w:lang w:eastAsia="ru-RU"/>
              </w:rPr>
            </w:pPr>
            <w:r w:rsidRPr="000E06F7">
              <w:rPr>
                <w:rFonts w:eastAsia="Times New Roman"/>
                <w:sz w:val="24"/>
                <w:szCs w:val="24"/>
                <w:lang w:eastAsia="ru-RU"/>
              </w:rPr>
              <w:t>0,84</w:t>
            </w:r>
          </w:p>
        </w:tc>
        <w:tc>
          <w:tcPr>
            <w:tcW w:w="636" w:type="dxa"/>
            <w:vAlign w:val="center"/>
          </w:tcPr>
          <w:p w:rsidR="005222DA" w:rsidRPr="000E06F7" w:rsidRDefault="005222DA" w:rsidP="00361227">
            <w:pPr>
              <w:widowControl w:val="0"/>
              <w:spacing w:line="276" w:lineRule="auto"/>
              <w:jc w:val="center"/>
              <w:rPr>
                <w:rFonts w:eastAsia="Times New Roman"/>
                <w:sz w:val="24"/>
                <w:szCs w:val="24"/>
                <w:lang w:eastAsia="ru-RU"/>
              </w:rPr>
            </w:pPr>
            <w:r w:rsidRPr="000E06F7">
              <w:rPr>
                <w:rFonts w:eastAsia="Times New Roman"/>
                <w:sz w:val="24"/>
                <w:szCs w:val="24"/>
                <w:lang w:eastAsia="ru-RU"/>
              </w:rPr>
              <w:t>0,84</w:t>
            </w:r>
          </w:p>
        </w:tc>
        <w:tc>
          <w:tcPr>
            <w:tcW w:w="639" w:type="dxa"/>
            <w:vAlign w:val="center"/>
          </w:tcPr>
          <w:p w:rsidR="005222DA" w:rsidRPr="000E06F7" w:rsidRDefault="005222DA" w:rsidP="00361227">
            <w:pPr>
              <w:widowControl w:val="0"/>
              <w:spacing w:line="276" w:lineRule="auto"/>
              <w:jc w:val="center"/>
              <w:rPr>
                <w:rFonts w:eastAsia="Times New Roman"/>
                <w:sz w:val="24"/>
                <w:szCs w:val="24"/>
                <w:lang w:eastAsia="ru-RU"/>
              </w:rPr>
            </w:pPr>
            <w:r w:rsidRPr="000E06F7">
              <w:rPr>
                <w:rFonts w:eastAsia="Times New Roman"/>
                <w:sz w:val="24"/>
                <w:szCs w:val="24"/>
                <w:lang w:eastAsia="ru-RU"/>
              </w:rPr>
              <w:t>0,86</w:t>
            </w:r>
          </w:p>
        </w:tc>
      </w:tr>
    </w:tbl>
    <w:p w:rsidR="005222DA" w:rsidRPr="005222DA" w:rsidRDefault="005222DA" w:rsidP="00721203">
      <w:pPr>
        <w:widowControl w:val="0"/>
        <w:ind w:firstLine="709"/>
        <w:rPr>
          <w:rFonts w:eastAsia="Times New Roman"/>
          <w:szCs w:val="28"/>
          <w:lang w:val="ru-RU" w:eastAsia="ru-RU"/>
        </w:rPr>
      </w:pPr>
    </w:p>
    <w:p w:rsidR="003B67F9" w:rsidRPr="00006A39" w:rsidRDefault="003B67F9" w:rsidP="00721203">
      <w:pPr>
        <w:widowControl w:val="0"/>
        <w:ind w:firstLine="709"/>
        <w:rPr>
          <w:rFonts w:eastAsia="Times New Roman"/>
          <w:szCs w:val="28"/>
          <w:lang w:eastAsia="uk-UA"/>
        </w:rPr>
      </w:pPr>
      <w:r w:rsidRPr="00006A39">
        <w:rPr>
          <w:rFonts w:eastAsia="Times New Roman"/>
          <w:szCs w:val="28"/>
          <w:lang w:eastAsia="uk-UA"/>
        </w:rPr>
        <w:t xml:space="preserve">За даними комплексної оцінки до регіонів ІІ групи з вище середнього рівнем КДР </w:t>
      </w:r>
      <w:r w:rsidR="00F63E76">
        <w:rPr>
          <w:rFonts w:eastAsia="Times New Roman"/>
          <w:szCs w:val="28"/>
          <w:lang w:eastAsia="uk-UA"/>
        </w:rPr>
        <w:t xml:space="preserve">віднесено 12 регіонів: </w:t>
      </w:r>
      <w:r w:rsidRPr="00006A39">
        <w:rPr>
          <w:rFonts w:eastAsia="Times New Roman"/>
          <w:szCs w:val="28"/>
          <w:lang w:eastAsia="uk-UA"/>
        </w:rPr>
        <w:t>Вінницьку (КДР = 0,77), Львівську (0,79). Харківську (0,76), Хмельницьку (0,75), Дніпропетровську (0,75). Чернівецьку</w:t>
      </w:r>
      <w:r w:rsidR="00F63E76">
        <w:rPr>
          <w:rFonts w:eastAsia="Times New Roman"/>
          <w:szCs w:val="28"/>
          <w:lang w:eastAsia="uk-UA"/>
        </w:rPr>
        <w:t xml:space="preserve"> (</w:t>
      </w:r>
      <w:r w:rsidRPr="00006A39">
        <w:rPr>
          <w:rFonts w:eastAsia="Times New Roman"/>
          <w:szCs w:val="28"/>
          <w:lang w:eastAsia="uk-UA"/>
        </w:rPr>
        <w:t>0,74), Одеську (0,73), Рівненську (0,72), Луганську (0,72), Київську (0,71), Кіровоградську (0,71) і Черк</w:t>
      </w:r>
      <w:r w:rsidR="003044E8">
        <w:rPr>
          <w:rFonts w:eastAsia="Times New Roman"/>
          <w:szCs w:val="28"/>
          <w:lang w:eastAsia="uk-UA"/>
        </w:rPr>
        <w:t>аську (0,70) області (табл. 7.9</w:t>
      </w:r>
      <w:r w:rsidRPr="00006A39">
        <w:rPr>
          <w:rFonts w:eastAsia="Times New Roman"/>
          <w:szCs w:val="28"/>
          <w:lang w:eastAsia="uk-UA"/>
        </w:rPr>
        <w:t>).</w:t>
      </w:r>
    </w:p>
    <w:p w:rsidR="003B67F9" w:rsidRPr="00006A39" w:rsidRDefault="003044E8" w:rsidP="00721203">
      <w:pPr>
        <w:widowControl w:val="0"/>
        <w:ind w:firstLine="709"/>
        <w:jc w:val="right"/>
        <w:rPr>
          <w:rFonts w:eastAsia="Times New Roman"/>
          <w:i/>
          <w:szCs w:val="28"/>
          <w:lang w:eastAsia="ru-RU"/>
        </w:rPr>
      </w:pPr>
      <w:r>
        <w:rPr>
          <w:rFonts w:eastAsia="Times New Roman"/>
          <w:i/>
          <w:szCs w:val="28"/>
          <w:lang w:eastAsia="ru-RU"/>
        </w:rPr>
        <w:t>Таблиця 7.9</w:t>
      </w:r>
      <w:r w:rsidR="003B67F9" w:rsidRPr="00006A39">
        <w:rPr>
          <w:rFonts w:eastAsia="Times New Roman"/>
          <w:i/>
          <w:szCs w:val="28"/>
          <w:lang w:eastAsia="ru-RU"/>
        </w:rPr>
        <w:t xml:space="preserve"> </w:t>
      </w:r>
    </w:p>
    <w:p w:rsidR="003B67F9" w:rsidRPr="00006A39" w:rsidRDefault="003B67F9" w:rsidP="00721203">
      <w:pPr>
        <w:widowControl w:val="0"/>
        <w:jc w:val="center"/>
        <w:rPr>
          <w:rFonts w:eastAsia="Times New Roman"/>
          <w:b/>
          <w:color w:val="000000"/>
          <w:szCs w:val="28"/>
          <w:lang w:eastAsia="ru-RU"/>
        </w:rPr>
      </w:pPr>
      <w:r w:rsidRPr="00006A39">
        <w:rPr>
          <w:rFonts w:eastAsia="Times New Roman"/>
          <w:b/>
          <w:color w:val="000000"/>
          <w:szCs w:val="28"/>
          <w:lang w:eastAsia="ru-RU"/>
        </w:rPr>
        <w:t>Коефіцієнти досягнення нормативних показників (КДНЗ) перинатальної допомоги в регіонах ІІ групи</w:t>
      </w:r>
    </w:p>
    <w:tbl>
      <w:tblPr>
        <w:tblW w:w="0" w:type="auto"/>
        <w:jc w:val="center"/>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39"/>
        <w:gridCol w:w="636"/>
        <w:gridCol w:w="636"/>
        <w:gridCol w:w="636"/>
        <w:gridCol w:w="636"/>
        <w:gridCol w:w="636"/>
        <w:gridCol w:w="636"/>
        <w:gridCol w:w="636"/>
        <w:gridCol w:w="636"/>
        <w:gridCol w:w="636"/>
        <w:gridCol w:w="636"/>
        <w:gridCol w:w="636"/>
        <w:gridCol w:w="636"/>
      </w:tblGrid>
      <w:tr w:rsidR="003B67F9" w:rsidRPr="00A42069" w:rsidTr="009D237B">
        <w:trPr>
          <w:cantSplit/>
          <w:trHeight w:val="1890"/>
          <w:jc w:val="center"/>
        </w:trPr>
        <w:tc>
          <w:tcPr>
            <w:tcW w:w="2539" w:type="dxa"/>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Нормативний показник</w:t>
            </w:r>
          </w:p>
        </w:tc>
        <w:tc>
          <w:tcPr>
            <w:tcW w:w="636" w:type="dxa"/>
            <w:textDirection w:val="btLr"/>
            <w:vAlign w:val="center"/>
          </w:tcPr>
          <w:p w:rsidR="003B67F9" w:rsidRPr="00A42069" w:rsidRDefault="003B67F9" w:rsidP="00401099">
            <w:pPr>
              <w:widowControl w:val="0"/>
              <w:spacing w:line="276" w:lineRule="auto"/>
              <w:ind w:left="113" w:right="113"/>
              <w:jc w:val="center"/>
              <w:rPr>
                <w:rFonts w:eastAsia="Times New Roman"/>
                <w:color w:val="000000"/>
                <w:sz w:val="24"/>
                <w:szCs w:val="24"/>
                <w:lang w:eastAsia="ru-RU"/>
              </w:rPr>
            </w:pPr>
            <w:r w:rsidRPr="00A42069">
              <w:rPr>
                <w:rFonts w:eastAsia="Times New Roman"/>
                <w:color w:val="000000"/>
                <w:sz w:val="24"/>
                <w:szCs w:val="24"/>
                <w:lang w:eastAsia="ru-RU"/>
              </w:rPr>
              <w:t>Черкаська</w:t>
            </w:r>
          </w:p>
        </w:tc>
        <w:tc>
          <w:tcPr>
            <w:tcW w:w="636" w:type="dxa"/>
            <w:textDirection w:val="btLr"/>
            <w:vAlign w:val="center"/>
          </w:tcPr>
          <w:p w:rsidR="003B67F9" w:rsidRPr="00A42069" w:rsidRDefault="003B67F9" w:rsidP="00401099">
            <w:pPr>
              <w:widowControl w:val="0"/>
              <w:spacing w:line="276" w:lineRule="auto"/>
              <w:ind w:left="113" w:right="113"/>
              <w:jc w:val="center"/>
              <w:rPr>
                <w:rFonts w:eastAsia="Times New Roman"/>
                <w:color w:val="000000"/>
                <w:sz w:val="24"/>
                <w:szCs w:val="24"/>
                <w:lang w:eastAsia="ru-RU"/>
              </w:rPr>
            </w:pPr>
            <w:r w:rsidRPr="00A42069">
              <w:rPr>
                <w:rFonts w:eastAsia="Times New Roman"/>
                <w:color w:val="000000"/>
                <w:sz w:val="24"/>
                <w:szCs w:val="24"/>
                <w:lang w:eastAsia="ru-RU"/>
              </w:rPr>
              <w:t>Кіровоградська</w:t>
            </w:r>
          </w:p>
        </w:tc>
        <w:tc>
          <w:tcPr>
            <w:tcW w:w="0" w:type="auto"/>
            <w:textDirection w:val="btLr"/>
            <w:vAlign w:val="center"/>
          </w:tcPr>
          <w:p w:rsidR="003B67F9" w:rsidRPr="00A42069" w:rsidRDefault="003B67F9" w:rsidP="00401099">
            <w:pPr>
              <w:widowControl w:val="0"/>
              <w:spacing w:line="276" w:lineRule="auto"/>
              <w:ind w:left="113" w:right="113"/>
              <w:jc w:val="center"/>
              <w:rPr>
                <w:rFonts w:eastAsia="Times New Roman"/>
                <w:color w:val="000000"/>
                <w:sz w:val="24"/>
                <w:szCs w:val="24"/>
                <w:lang w:eastAsia="ru-RU"/>
              </w:rPr>
            </w:pPr>
            <w:r w:rsidRPr="00A42069">
              <w:rPr>
                <w:rFonts w:eastAsia="Times New Roman"/>
                <w:color w:val="000000"/>
                <w:sz w:val="24"/>
                <w:szCs w:val="24"/>
                <w:lang w:eastAsia="ru-RU"/>
              </w:rPr>
              <w:t>Київська</w:t>
            </w:r>
          </w:p>
        </w:tc>
        <w:tc>
          <w:tcPr>
            <w:tcW w:w="0" w:type="auto"/>
            <w:textDirection w:val="btLr"/>
            <w:vAlign w:val="center"/>
          </w:tcPr>
          <w:p w:rsidR="003B67F9" w:rsidRPr="00A42069" w:rsidRDefault="003B67F9" w:rsidP="00401099">
            <w:pPr>
              <w:widowControl w:val="0"/>
              <w:spacing w:line="276" w:lineRule="auto"/>
              <w:ind w:left="113" w:right="113"/>
              <w:jc w:val="center"/>
              <w:rPr>
                <w:rFonts w:eastAsia="Times New Roman"/>
                <w:color w:val="000000"/>
                <w:sz w:val="24"/>
                <w:szCs w:val="24"/>
                <w:lang w:eastAsia="ru-RU"/>
              </w:rPr>
            </w:pPr>
            <w:r w:rsidRPr="00A42069">
              <w:rPr>
                <w:rFonts w:eastAsia="Times New Roman"/>
                <w:color w:val="000000"/>
                <w:sz w:val="24"/>
                <w:szCs w:val="24"/>
                <w:lang w:eastAsia="ru-RU"/>
              </w:rPr>
              <w:t>Луганська</w:t>
            </w:r>
          </w:p>
        </w:tc>
        <w:tc>
          <w:tcPr>
            <w:tcW w:w="0" w:type="auto"/>
            <w:textDirection w:val="btLr"/>
            <w:vAlign w:val="center"/>
          </w:tcPr>
          <w:p w:rsidR="003B67F9" w:rsidRPr="00A42069" w:rsidRDefault="003B67F9" w:rsidP="00401099">
            <w:pPr>
              <w:widowControl w:val="0"/>
              <w:spacing w:line="276" w:lineRule="auto"/>
              <w:ind w:left="113" w:right="113"/>
              <w:jc w:val="center"/>
              <w:rPr>
                <w:rFonts w:eastAsia="Times New Roman"/>
                <w:color w:val="000000"/>
                <w:sz w:val="24"/>
                <w:szCs w:val="24"/>
                <w:lang w:eastAsia="ru-RU"/>
              </w:rPr>
            </w:pPr>
            <w:r w:rsidRPr="00A42069">
              <w:rPr>
                <w:rFonts w:eastAsia="Times New Roman"/>
                <w:color w:val="000000"/>
                <w:sz w:val="24"/>
                <w:szCs w:val="24"/>
                <w:lang w:eastAsia="ru-RU"/>
              </w:rPr>
              <w:t>Рівненська</w:t>
            </w:r>
          </w:p>
        </w:tc>
        <w:tc>
          <w:tcPr>
            <w:tcW w:w="0" w:type="auto"/>
            <w:textDirection w:val="btLr"/>
            <w:vAlign w:val="center"/>
          </w:tcPr>
          <w:p w:rsidR="003B67F9" w:rsidRPr="00A42069" w:rsidRDefault="003B67F9" w:rsidP="00401099">
            <w:pPr>
              <w:widowControl w:val="0"/>
              <w:spacing w:line="276" w:lineRule="auto"/>
              <w:ind w:left="113" w:right="113"/>
              <w:jc w:val="center"/>
              <w:rPr>
                <w:rFonts w:eastAsia="Times New Roman"/>
                <w:color w:val="000000"/>
                <w:sz w:val="24"/>
                <w:szCs w:val="24"/>
                <w:lang w:eastAsia="ru-RU"/>
              </w:rPr>
            </w:pPr>
            <w:r w:rsidRPr="00A42069">
              <w:rPr>
                <w:rFonts w:eastAsia="Times New Roman"/>
                <w:color w:val="000000"/>
                <w:sz w:val="24"/>
                <w:szCs w:val="24"/>
                <w:lang w:eastAsia="ru-RU"/>
              </w:rPr>
              <w:t>Одеська</w:t>
            </w:r>
          </w:p>
        </w:tc>
        <w:tc>
          <w:tcPr>
            <w:tcW w:w="0" w:type="auto"/>
            <w:textDirection w:val="btLr"/>
            <w:vAlign w:val="center"/>
          </w:tcPr>
          <w:p w:rsidR="003B67F9" w:rsidRPr="00A42069" w:rsidRDefault="003B67F9" w:rsidP="00401099">
            <w:pPr>
              <w:widowControl w:val="0"/>
              <w:spacing w:line="276" w:lineRule="auto"/>
              <w:ind w:left="113" w:right="113"/>
              <w:jc w:val="center"/>
              <w:rPr>
                <w:rFonts w:eastAsia="Times New Roman"/>
                <w:color w:val="000000"/>
                <w:sz w:val="24"/>
                <w:szCs w:val="24"/>
                <w:lang w:eastAsia="ru-RU"/>
              </w:rPr>
            </w:pPr>
            <w:r w:rsidRPr="00A42069">
              <w:rPr>
                <w:rFonts w:eastAsia="Times New Roman"/>
                <w:color w:val="000000"/>
                <w:sz w:val="24"/>
                <w:szCs w:val="24"/>
                <w:lang w:eastAsia="ru-RU"/>
              </w:rPr>
              <w:t>Чернівецька</w:t>
            </w:r>
          </w:p>
        </w:tc>
        <w:tc>
          <w:tcPr>
            <w:tcW w:w="0" w:type="auto"/>
            <w:textDirection w:val="btLr"/>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Дніпропетровська</w:t>
            </w:r>
          </w:p>
        </w:tc>
        <w:tc>
          <w:tcPr>
            <w:tcW w:w="0" w:type="auto"/>
            <w:textDirection w:val="btLr"/>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Хмельницька</w:t>
            </w:r>
          </w:p>
        </w:tc>
        <w:tc>
          <w:tcPr>
            <w:tcW w:w="0" w:type="auto"/>
            <w:textDirection w:val="btLr"/>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Харківська</w:t>
            </w:r>
          </w:p>
        </w:tc>
        <w:tc>
          <w:tcPr>
            <w:tcW w:w="0" w:type="auto"/>
            <w:textDirection w:val="btLr"/>
            <w:vAlign w:val="center"/>
          </w:tcPr>
          <w:p w:rsidR="003B67F9" w:rsidRPr="00A42069" w:rsidRDefault="003B67F9" w:rsidP="00401099">
            <w:pPr>
              <w:widowControl w:val="0"/>
              <w:spacing w:line="276" w:lineRule="auto"/>
              <w:ind w:left="113" w:right="113"/>
              <w:jc w:val="center"/>
              <w:rPr>
                <w:rFonts w:eastAsia="Times New Roman"/>
                <w:color w:val="000000"/>
                <w:sz w:val="24"/>
                <w:szCs w:val="24"/>
                <w:lang w:eastAsia="ru-RU"/>
              </w:rPr>
            </w:pPr>
            <w:r w:rsidRPr="00A42069">
              <w:rPr>
                <w:rFonts w:eastAsia="Times New Roman"/>
                <w:color w:val="000000"/>
                <w:sz w:val="24"/>
                <w:szCs w:val="24"/>
                <w:lang w:eastAsia="ru-RU"/>
              </w:rPr>
              <w:t>Львівська</w:t>
            </w:r>
          </w:p>
        </w:tc>
        <w:tc>
          <w:tcPr>
            <w:tcW w:w="0" w:type="auto"/>
            <w:textDirection w:val="btLr"/>
            <w:vAlign w:val="center"/>
          </w:tcPr>
          <w:p w:rsidR="003B67F9" w:rsidRPr="00A42069" w:rsidRDefault="003B67F9" w:rsidP="00401099">
            <w:pPr>
              <w:widowControl w:val="0"/>
              <w:spacing w:line="276" w:lineRule="auto"/>
              <w:ind w:left="113" w:right="113"/>
              <w:jc w:val="center"/>
              <w:rPr>
                <w:rFonts w:eastAsia="Times New Roman"/>
                <w:color w:val="000000"/>
                <w:sz w:val="24"/>
                <w:szCs w:val="24"/>
                <w:lang w:eastAsia="ru-RU"/>
              </w:rPr>
            </w:pPr>
            <w:r w:rsidRPr="00A42069">
              <w:rPr>
                <w:rFonts w:eastAsia="Times New Roman"/>
                <w:color w:val="000000"/>
                <w:sz w:val="24"/>
                <w:szCs w:val="24"/>
                <w:lang w:eastAsia="ru-RU"/>
              </w:rPr>
              <w:t>Вінницька</w:t>
            </w:r>
          </w:p>
        </w:tc>
      </w:tr>
      <w:tr w:rsidR="003B67F9" w:rsidRPr="00A42069" w:rsidTr="009D237B">
        <w:trPr>
          <w:jc w:val="center"/>
        </w:trPr>
        <w:tc>
          <w:tcPr>
            <w:tcW w:w="2539" w:type="dxa"/>
            <w:vAlign w:val="center"/>
          </w:tcPr>
          <w:p w:rsidR="003B67F9" w:rsidRPr="00A42069" w:rsidRDefault="003B67F9" w:rsidP="00401099">
            <w:pPr>
              <w:widowControl w:val="0"/>
              <w:spacing w:line="276" w:lineRule="auto"/>
              <w:rPr>
                <w:rFonts w:eastAsia="Times New Roman"/>
                <w:color w:val="000000"/>
                <w:sz w:val="24"/>
                <w:szCs w:val="24"/>
                <w:lang w:eastAsia="uk-UA"/>
              </w:rPr>
            </w:pPr>
            <w:r w:rsidRPr="00A42069">
              <w:rPr>
                <w:rFonts w:eastAsia="Times New Roman"/>
                <w:color w:val="000000"/>
                <w:sz w:val="24"/>
                <w:szCs w:val="24"/>
                <w:lang w:eastAsia="uk-UA"/>
              </w:rPr>
              <w:t>Забезпеченість лікарями акушер-гінекологами</w:t>
            </w:r>
          </w:p>
        </w:tc>
        <w:tc>
          <w:tcPr>
            <w:tcW w:w="636" w:type="dxa"/>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0,74</w:t>
            </w:r>
          </w:p>
        </w:tc>
        <w:tc>
          <w:tcPr>
            <w:tcW w:w="636" w:type="dxa"/>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0,74</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0,79</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0,59</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0,96</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1,00</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1,00</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0,81</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0,87</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1,00</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1,00</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0,93</w:t>
            </w:r>
          </w:p>
        </w:tc>
      </w:tr>
      <w:tr w:rsidR="003B67F9" w:rsidRPr="00A42069" w:rsidTr="009D237B">
        <w:trPr>
          <w:jc w:val="center"/>
        </w:trPr>
        <w:tc>
          <w:tcPr>
            <w:tcW w:w="2539" w:type="dxa"/>
            <w:vAlign w:val="bottom"/>
          </w:tcPr>
          <w:p w:rsidR="003B67F9" w:rsidRPr="00A42069" w:rsidRDefault="003B67F9" w:rsidP="00401099">
            <w:pPr>
              <w:widowControl w:val="0"/>
              <w:spacing w:line="276" w:lineRule="auto"/>
              <w:rPr>
                <w:rFonts w:eastAsia="Times New Roman"/>
                <w:color w:val="000000"/>
                <w:sz w:val="24"/>
                <w:szCs w:val="24"/>
                <w:lang w:eastAsia="uk-UA"/>
              </w:rPr>
            </w:pPr>
            <w:r w:rsidRPr="00A42069">
              <w:rPr>
                <w:rFonts w:eastAsia="Times New Roman"/>
                <w:color w:val="000000"/>
                <w:sz w:val="24"/>
                <w:szCs w:val="24"/>
                <w:lang w:eastAsia="uk-UA"/>
              </w:rPr>
              <w:t>Забезпеченість лікарями педіатрами-неонатологами</w:t>
            </w:r>
          </w:p>
        </w:tc>
        <w:tc>
          <w:tcPr>
            <w:tcW w:w="636" w:type="dxa"/>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0,89</w:t>
            </w:r>
          </w:p>
        </w:tc>
        <w:tc>
          <w:tcPr>
            <w:tcW w:w="636" w:type="dxa"/>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0,81</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0,67</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0,86</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0,63</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0,56</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0,76</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0,71</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0,92</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1,00</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1,00</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0,91</w:t>
            </w:r>
          </w:p>
        </w:tc>
      </w:tr>
      <w:tr w:rsidR="003B67F9" w:rsidRPr="00A42069" w:rsidTr="009D237B">
        <w:trPr>
          <w:jc w:val="center"/>
        </w:trPr>
        <w:tc>
          <w:tcPr>
            <w:tcW w:w="2539" w:type="dxa"/>
            <w:vAlign w:val="center"/>
          </w:tcPr>
          <w:p w:rsidR="003B67F9" w:rsidRPr="00A42069" w:rsidRDefault="003B67F9" w:rsidP="00401099">
            <w:pPr>
              <w:widowControl w:val="0"/>
              <w:spacing w:line="276" w:lineRule="auto"/>
              <w:rPr>
                <w:rFonts w:eastAsia="Times New Roman"/>
                <w:color w:val="000000"/>
                <w:sz w:val="24"/>
                <w:szCs w:val="24"/>
                <w:lang w:eastAsia="uk-UA"/>
              </w:rPr>
            </w:pPr>
            <w:r w:rsidRPr="00A42069">
              <w:rPr>
                <w:rFonts w:eastAsia="Times New Roman"/>
                <w:color w:val="000000"/>
                <w:sz w:val="24"/>
                <w:szCs w:val="24"/>
                <w:lang w:eastAsia="uk-UA"/>
              </w:rPr>
              <w:t>Своєчасність постановки на облік вагітних</w:t>
            </w:r>
          </w:p>
        </w:tc>
        <w:tc>
          <w:tcPr>
            <w:tcW w:w="636" w:type="dxa"/>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0,94</w:t>
            </w:r>
          </w:p>
        </w:tc>
        <w:tc>
          <w:tcPr>
            <w:tcW w:w="636" w:type="dxa"/>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0,95</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0,95</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0,96</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1,00</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0,98</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0,98</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0,96</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0,98</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0,94</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0,98</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0,78</w:t>
            </w:r>
          </w:p>
        </w:tc>
      </w:tr>
    </w:tbl>
    <w:p w:rsidR="00595829" w:rsidRDefault="00595829" w:rsidP="006F1D95">
      <w:pPr>
        <w:jc w:val="right"/>
        <w:rPr>
          <w:i/>
          <w:lang w:val="ru-RU"/>
        </w:rPr>
      </w:pPr>
    </w:p>
    <w:p w:rsidR="006F1D95" w:rsidRPr="006F1D95" w:rsidRDefault="006F1D95" w:rsidP="00B06135">
      <w:pPr>
        <w:pageBreakBefore/>
        <w:jc w:val="right"/>
        <w:rPr>
          <w:i/>
          <w:lang w:val="ru-RU"/>
        </w:rPr>
      </w:pPr>
      <w:r>
        <w:rPr>
          <w:i/>
          <w:lang w:val="ru-RU"/>
        </w:rPr>
        <w:lastRenderedPageBreak/>
        <w:t>Продовження табл. 7.9</w:t>
      </w:r>
    </w:p>
    <w:tbl>
      <w:tblPr>
        <w:tblW w:w="0" w:type="auto"/>
        <w:jc w:val="center"/>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39"/>
        <w:gridCol w:w="636"/>
        <w:gridCol w:w="636"/>
        <w:gridCol w:w="636"/>
        <w:gridCol w:w="636"/>
        <w:gridCol w:w="636"/>
        <w:gridCol w:w="636"/>
        <w:gridCol w:w="636"/>
        <w:gridCol w:w="636"/>
        <w:gridCol w:w="636"/>
        <w:gridCol w:w="636"/>
        <w:gridCol w:w="636"/>
        <w:gridCol w:w="636"/>
      </w:tblGrid>
      <w:tr w:rsidR="003B67F9" w:rsidRPr="00A42069" w:rsidTr="009D237B">
        <w:trPr>
          <w:trHeight w:val="350"/>
          <w:jc w:val="center"/>
        </w:trPr>
        <w:tc>
          <w:tcPr>
            <w:tcW w:w="2539" w:type="dxa"/>
            <w:vAlign w:val="center"/>
          </w:tcPr>
          <w:p w:rsidR="003B67F9" w:rsidRPr="00A42069" w:rsidRDefault="003B67F9" w:rsidP="00401099">
            <w:pPr>
              <w:widowControl w:val="0"/>
              <w:spacing w:line="276" w:lineRule="auto"/>
              <w:rPr>
                <w:rFonts w:eastAsia="Times New Roman"/>
                <w:color w:val="000000"/>
                <w:sz w:val="24"/>
                <w:szCs w:val="24"/>
                <w:lang w:eastAsia="uk-UA"/>
              </w:rPr>
            </w:pPr>
            <w:r w:rsidRPr="00A42069">
              <w:rPr>
                <w:rFonts w:eastAsia="Times New Roman"/>
                <w:color w:val="000000"/>
                <w:sz w:val="24"/>
                <w:szCs w:val="24"/>
                <w:lang w:eastAsia="uk-UA"/>
              </w:rPr>
              <w:t>Частота анемій вагітних</w:t>
            </w:r>
          </w:p>
        </w:tc>
        <w:tc>
          <w:tcPr>
            <w:tcW w:w="636" w:type="dxa"/>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0,99</w:t>
            </w:r>
          </w:p>
        </w:tc>
        <w:tc>
          <w:tcPr>
            <w:tcW w:w="636" w:type="dxa"/>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0,54</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0,64</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0,47</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0,68</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0,67</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0,43</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0,52</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0,89</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0,76</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0,60</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0,80</w:t>
            </w:r>
          </w:p>
        </w:tc>
      </w:tr>
      <w:tr w:rsidR="003B67F9" w:rsidRPr="00A42069" w:rsidTr="009D237B">
        <w:trPr>
          <w:trHeight w:val="839"/>
          <w:jc w:val="center"/>
        </w:trPr>
        <w:tc>
          <w:tcPr>
            <w:tcW w:w="2539" w:type="dxa"/>
            <w:vAlign w:val="center"/>
          </w:tcPr>
          <w:p w:rsidR="003B67F9" w:rsidRPr="00A42069" w:rsidRDefault="003B67F9" w:rsidP="00401099">
            <w:pPr>
              <w:widowControl w:val="0"/>
              <w:spacing w:line="276" w:lineRule="auto"/>
              <w:rPr>
                <w:rFonts w:eastAsia="Times New Roman"/>
                <w:color w:val="000000"/>
                <w:sz w:val="24"/>
                <w:szCs w:val="24"/>
                <w:lang w:eastAsia="uk-UA"/>
              </w:rPr>
            </w:pPr>
            <w:r w:rsidRPr="00A42069">
              <w:rPr>
                <w:rFonts w:eastAsia="Times New Roman"/>
                <w:color w:val="000000"/>
                <w:sz w:val="24"/>
                <w:szCs w:val="24"/>
                <w:lang w:eastAsia="uk-UA"/>
              </w:rPr>
              <w:t>Частота прееклампсій та еклампсій вагітних</w:t>
            </w:r>
          </w:p>
        </w:tc>
        <w:tc>
          <w:tcPr>
            <w:tcW w:w="636" w:type="dxa"/>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0,74</w:t>
            </w:r>
          </w:p>
        </w:tc>
        <w:tc>
          <w:tcPr>
            <w:tcW w:w="636" w:type="dxa"/>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0,94</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0,58</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0,98</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1,00</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0,57</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0,03</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1,00</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0,35</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0,57</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0,77</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0,98</w:t>
            </w:r>
          </w:p>
        </w:tc>
      </w:tr>
      <w:tr w:rsidR="003B67F9" w:rsidRPr="00A42069" w:rsidTr="009D237B">
        <w:trPr>
          <w:trHeight w:val="953"/>
          <w:jc w:val="center"/>
        </w:trPr>
        <w:tc>
          <w:tcPr>
            <w:tcW w:w="2539" w:type="dxa"/>
            <w:vAlign w:val="center"/>
          </w:tcPr>
          <w:p w:rsidR="003B67F9" w:rsidRPr="00A42069" w:rsidRDefault="003B67F9" w:rsidP="00401099">
            <w:pPr>
              <w:widowControl w:val="0"/>
              <w:spacing w:line="276" w:lineRule="auto"/>
              <w:rPr>
                <w:rFonts w:eastAsia="Times New Roman"/>
                <w:color w:val="000000"/>
                <w:sz w:val="24"/>
                <w:szCs w:val="24"/>
                <w:lang w:eastAsia="uk-UA"/>
              </w:rPr>
            </w:pPr>
            <w:r w:rsidRPr="00A42069">
              <w:rPr>
                <w:rFonts w:eastAsia="Times New Roman"/>
                <w:color w:val="000000"/>
                <w:sz w:val="24"/>
                <w:szCs w:val="24"/>
                <w:lang w:eastAsia="uk-UA"/>
              </w:rPr>
              <w:t>Співвідношення безпечних методів абортів до небезпечних</w:t>
            </w:r>
          </w:p>
        </w:tc>
        <w:tc>
          <w:tcPr>
            <w:tcW w:w="636" w:type="dxa"/>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1,00</w:t>
            </w:r>
          </w:p>
        </w:tc>
        <w:tc>
          <w:tcPr>
            <w:tcW w:w="636" w:type="dxa"/>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0,41</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0,37</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1,00</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0,36</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0,43</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0,09</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0,52</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1,00</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1,00</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0,38</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1,00</w:t>
            </w:r>
          </w:p>
        </w:tc>
      </w:tr>
      <w:tr w:rsidR="003B67F9" w:rsidRPr="00A42069" w:rsidTr="009D237B">
        <w:trPr>
          <w:jc w:val="center"/>
        </w:trPr>
        <w:tc>
          <w:tcPr>
            <w:tcW w:w="2539" w:type="dxa"/>
            <w:vAlign w:val="center"/>
          </w:tcPr>
          <w:p w:rsidR="003B67F9" w:rsidRPr="00A42069" w:rsidRDefault="003B67F9" w:rsidP="00401099">
            <w:pPr>
              <w:widowControl w:val="0"/>
              <w:spacing w:line="276" w:lineRule="auto"/>
              <w:rPr>
                <w:rFonts w:eastAsia="Times New Roman"/>
                <w:color w:val="000000"/>
                <w:sz w:val="24"/>
                <w:szCs w:val="24"/>
                <w:lang w:eastAsia="uk-UA"/>
              </w:rPr>
            </w:pPr>
            <w:r w:rsidRPr="00A42069">
              <w:rPr>
                <w:rFonts w:eastAsia="Times New Roman"/>
                <w:color w:val="000000"/>
                <w:sz w:val="24"/>
                <w:szCs w:val="24"/>
                <w:lang w:eastAsia="uk-UA"/>
              </w:rPr>
              <w:t>Індекс концентрації розродження вагітних з цукровим діабетом у ЗПД ІІІ рівня</w:t>
            </w:r>
          </w:p>
        </w:tc>
        <w:tc>
          <w:tcPr>
            <w:tcW w:w="636" w:type="dxa"/>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0,70</w:t>
            </w:r>
          </w:p>
        </w:tc>
        <w:tc>
          <w:tcPr>
            <w:tcW w:w="636" w:type="dxa"/>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1,00</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1,00</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н/д</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0,21</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1,00</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1,00</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0,73</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0,98</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1,00</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0,89</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0,86</w:t>
            </w:r>
          </w:p>
        </w:tc>
      </w:tr>
      <w:tr w:rsidR="003B67F9" w:rsidRPr="00A42069" w:rsidTr="009D237B">
        <w:trPr>
          <w:jc w:val="center"/>
        </w:trPr>
        <w:tc>
          <w:tcPr>
            <w:tcW w:w="2539" w:type="dxa"/>
            <w:vAlign w:val="center"/>
          </w:tcPr>
          <w:p w:rsidR="003B67F9" w:rsidRPr="00A42069" w:rsidRDefault="003B67F9" w:rsidP="00401099">
            <w:pPr>
              <w:widowControl w:val="0"/>
              <w:spacing w:line="276" w:lineRule="auto"/>
              <w:rPr>
                <w:rFonts w:eastAsia="Times New Roman"/>
                <w:color w:val="000000"/>
                <w:sz w:val="24"/>
                <w:szCs w:val="24"/>
                <w:lang w:eastAsia="uk-UA"/>
              </w:rPr>
            </w:pPr>
            <w:r w:rsidRPr="00A42069">
              <w:rPr>
                <w:rFonts w:eastAsia="Times New Roman"/>
                <w:color w:val="000000"/>
                <w:sz w:val="24"/>
                <w:szCs w:val="24"/>
                <w:lang w:eastAsia="uk-UA"/>
              </w:rPr>
              <w:t>Індекс концентра</w:t>
            </w:r>
            <w:r w:rsidR="008C1B56">
              <w:rPr>
                <w:rFonts w:eastAsia="Times New Roman"/>
                <w:color w:val="000000"/>
                <w:sz w:val="24"/>
                <w:szCs w:val="24"/>
                <w:lang w:eastAsia="uk-UA"/>
              </w:rPr>
              <w:t>ції розродження вагітних з пре</w:t>
            </w:r>
            <w:r w:rsidRPr="00A42069">
              <w:rPr>
                <w:rFonts w:eastAsia="Times New Roman"/>
                <w:color w:val="000000"/>
                <w:sz w:val="24"/>
                <w:szCs w:val="24"/>
                <w:lang w:eastAsia="uk-UA"/>
              </w:rPr>
              <w:t>еклампсією і еклампсією у ЗПД ІІ-ІІІ рівнів</w:t>
            </w:r>
          </w:p>
        </w:tc>
        <w:tc>
          <w:tcPr>
            <w:tcW w:w="636" w:type="dxa"/>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0,70</w:t>
            </w:r>
          </w:p>
        </w:tc>
        <w:tc>
          <w:tcPr>
            <w:tcW w:w="636" w:type="dxa"/>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0,85</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0,50</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н/д</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0,75</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1,00</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0,77</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1,00</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0,78</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1,00</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0,85</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0,86</w:t>
            </w:r>
          </w:p>
        </w:tc>
      </w:tr>
      <w:tr w:rsidR="003B67F9" w:rsidRPr="00A42069" w:rsidTr="009D237B">
        <w:trPr>
          <w:jc w:val="center"/>
        </w:trPr>
        <w:tc>
          <w:tcPr>
            <w:tcW w:w="2539" w:type="dxa"/>
            <w:vAlign w:val="center"/>
          </w:tcPr>
          <w:p w:rsidR="003B67F9" w:rsidRPr="00A42069" w:rsidRDefault="003B67F9" w:rsidP="00401099">
            <w:pPr>
              <w:widowControl w:val="0"/>
              <w:spacing w:line="276" w:lineRule="auto"/>
              <w:rPr>
                <w:rFonts w:eastAsia="Times New Roman"/>
                <w:color w:val="000000"/>
                <w:sz w:val="24"/>
                <w:szCs w:val="24"/>
                <w:lang w:eastAsia="uk-UA"/>
              </w:rPr>
            </w:pPr>
            <w:r w:rsidRPr="00A42069">
              <w:rPr>
                <w:rFonts w:eastAsia="Times New Roman"/>
                <w:color w:val="000000"/>
                <w:sz w:val="24"/>
                <w:szCs w:val="24"/>
                <w:lang w:eastAsia="uk-UA"/>
              </w:rPr>
              <w:t>Індекс концентрації новонароджених масою тіла при народженні 500-1499</w:t>
            </w:r>
            <w:r w:rsidR="008C1B56">
              <w:rPr>
                <w:rFonts w:eastAsia="Times New Roman"/>
                <w:color w:val="000000"/>
                <w:sz w:val="24"/>
                <w:szCs w:val="24"/>
                <w:lang w:eastAsia="uk-UA"/>
              </w:rPr>
              <w:t xml:space="preserve"> </w:t>
            </w:r>
            <w:r w:rsidRPr="00A42069">
              <w:rPr>
                <w:rFonts w:eastAsia="Times New Roman"/>
                <w:color w:val="000000"/>
                <w:sz w:val="24"/>
                <w:szCs w:val="24"/>
                <w:lang w:eastAsia="uk-UA"/>
              </w:rPr>
              <w:t>г у ЗПД ІІІ рівня</w:t>
            </w:r>
          </w:p>
        </w:tc>
        <w:tc>
          <w:tcPr>
            <w:tcW w:w="636" w:type="dxa"/>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0,66</w:t>
            </w:r>
          </w:p>
        </w:tc>
        <w:tc>
          <w:tcPr>
            <w:tcW w:w="636" w:type="dxa"/>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0,96</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0,65</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н/д</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0,69</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0,68</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1,00</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0,58</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0,78</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1,00</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0,64</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0,65</w:t>
            </w:r>
          </w:p>
        </w:tc>
      </w:tr>
      <w:tr w:rsidR="00873C58" w:rsidRPr="00A42069" w:rsidTr="009D237B">
        <w:trPr>
          <w:jc w:val="center"/>
        </w:trPr>
        <w:tc>
          <w:tcPr>
            <w:tcW w:w="2539" w:type="dxa"/>
            <w:vAlign w:val="bottom"/>
          </w:tcPr>
          <w:p w:rsidR="00873C58" w:rsidRPr="00A42069" w:rsidRDefault="00873C58" w:rsidP="00D13CFF">
            <w:pPr>
              <w:widowControl w:val="0"/>
              <w:spacing w:line="276" w:lineRule="auto"/>
              <w:rPr>
                <w:rFonts w:eastAsia="Times New Roman"/>
                <w:color w:val="000000"/>
                <w:sz w:val="24"/>
                <w:szCs w:val="24"/>
                <w:lang w:eastAsia="uk-UA"/>
              </w:rPr>
            </w:pPr>
            <w:r w:rsidRPr="00A42069">
              <w:rPr>
                <w:rFonts w:eastAsia="Times New Roman"/>
                <w:color w:val="000000"/>
                <w:sz w:val="24"/>
                <w:szCs w:val="24"/>
                <w:lang w:eastAsia="uk-UA"/>
              </w:rPr>
              <w:t>Індекс неонатального трансферу</w:t>
            </w:r>
          </w:p>
        </w:tc>
        <w:tc>
          <w:tcPr>
            <w:tcW w:w="636" w:type="dxa"/>
            <w:vAlign w:val="center"/>
          </w:tcPr>
          <w:p w:rsidR="00873C58" w:rsidRPr="00A42069" w:rsidRDefault="00873C58" w:rsidP="00D13CFF">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0,29</w:t>
            </w:r>
          </w:p>
        </w:tc>
        <w:tc>
          <w:tcPr>
            <w:tcW w:w="636" w:type="dxa"/>
            <w:vAlign w:val="center"/>
          </w:tcPr>
          <w:p w:rsidR="00873C58" w:rsidRPr="00A42069" w:rsidRDefault="00873C58" w:rsidP="00D13CFF">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0,97</w:t>
            </w:r>
          </w:p>
        </w:tc>
        <w:tc>
          <w:tcPr>
            <w:tcW w:w="0" w:type="auto"/>
            <w:vAlign w:val="center"/>
          </w:tcPr>
          <w:p w:rsidR="00873C58" w:rsidRPr="00A42069" w:rsidRDefault="00873C58" w:rsidP="00D13CFF">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0,73</w:t>
            </w:r>
          </w:p>
        </w:tc>
        <w:tc>
          <w:tcPr>
            <w:tcW w:w="0" w:type="auto"/>
            <w:vAlign w:val="center"/>
          </w:tcPr>
          <w:p w:rsidR="00873C58" w:rsidRPr="00A42069" w:rsidRDefault="00873C58" w:rsidP="00D13CFF">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0,73</w:t>
            </w:r>
          </w:p>
        </w:tc>
        <w:tc>
          <w:tcPr>
            <w:tcW w:w="0" w:type="auto"/>
            <w:vAlign w:val="center"/>
          </w:tcPr>
          <w:p w:rsidR="00873C58" w:rsidRPr="00A42069" w:rsidRDefault="00873C58" w:rsidP="00D13CFF">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0,16</w:t>
            </w:r>
          </w:p>
        </w:tc>
        <w:tc>
          <w:tcPr>
            <w:tcW w:w="0" w:type="auto"/>
            <w:vAlign w:val="center"/>
          </w:tcPr>
          <w:p w:rsidR="00873C58" w:rsidRPr="00A42069" w:rsidRDefault="00873C58" w:rsidP="00D13CFF">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0,53</w:t>
            </w:r>
          </w:p>
        </w:tc>
        <w:tc>
          <w:tcPr>
            <w:tcW w:w="0" w:type="auto"/>
            <w:vAlign w:val="center"/>
          </w:tcPr>
          <w:p w:rsidR="00873C58" w:rsidRPr="00A42069" w:rsidRDefault="00873C58" w:rsidP="00D13CFF">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0,25</w:t>
            </w:r>
          </w:p>
        </w:tc>
        <w:tc>
          <w:tcPr>
            <w:tcW w:w="0" w:type="auto"/>
            <w:vAlign w:val="center"/>
          </w:tcPr>
          <w:p w:rsidR="00873C58" w:rsidRPr="00A42069" w:rsidRDefault="00873C58" w:rsidP="00D13CFF">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0,00</w:t>
            </w:r>
          </w:p>
        </w:tc>
        <w:tc>
          <w:tcPr>
            <w:tcW w:w="0" w:type="auto"/>
            <w:vAlign w:val="center"/>
          </w:tcPr>
          <w:p w:rsidR="00873C58" w:rsidRPr="00A42069" w:rsidRDefault="00873C58" w:rsidP="00D13CFF">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0,39</w:t>
            </w:r>
          </w:p>
        </w:tc>
        <w:tc>
          <w:tcPr>
            <w:tcW w:w="0" w:type="auto"/>
            <w:vAlign w:val="center"/>
          </w:tcPr>
          <w:p w:rsidR="00873C58" w:rsidRPr="00A42069" w:rsidRDefault="00873C58" w:rsidP="00D13CFF">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0,00</w:t>
            </w:r>
          </w:p>
        </w:tc>
        <w:tc>
          <w:tcPr>
            <w:tcW w:w="0" w:type="auto"/>
            <w:vAlign w:val="center"/>
          </w:tcPr>
          <w:p w:rsidR="00873C58" w:rsidRPr="00A42069" w:rsidRDefault="00873C58" w:rsidP="00D13CFF">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0,54</w:t>
            </w:r>
          </w:p>
        </w:tc>
        <w:tc>
          <w:tcPr>
            <w:tcW w:w="0" w:type="auto"/>
            <w:vAlign w:val="center"/>
          </w:tcPr>
          <w:p w:rsidR="00873C58" w:rsidRPr="00A42069" w:rsidRDefault="00873C58" w:rsidP="00D13CFF">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0,07</w:t>
            </w:r>
          </w:p>
        </w:tc>
      </w:tr>
      <w:tr w:rsidR="00873C58" w:rsidRPr="00A42069" w:rsidTr="009D237B">
        <w:trPr>
          <w:jc w:val="center"/>
        </w:trPr>
        <w:tc>
          <w:tcPr>
            <w:tcW w:w="2539" w:type="dxa"/>
            <w:vAlign w:val="center"/>
          </w:tcPr>
          <w:p w:rsidR="00873C58" w:rsidRPr="00A42069" w:rsidRDefault="00873C58" w:rsidP="00D13CFF">
            <w:pPr>
              <w:widowControl w:val="0"/>
              <w:spacing w:line="276" w:lineRule="auto"/>
              <w:rPr>
                <w:rFonts w:eastAsia="Times New Roman"/>
                <w:color w:val="000000"/>
                <w:sz w:val="24"/>
                <w:szCs w:val="24"/>
                <w:lang w:eastAsia="uk-UA"/>
              </w:rPr>
            </w:pPr>
            <w:r w:rsidRPr="00A42069">
              <w:rPr>
                <w:rFonts w:eastAsia="Times New Roman"/>
                <w:color w:val="000000"/>
                <w:sz w:val="24"/>
                <w:szCs w:val="24"/>
                <w:lang w:eastAsia="uk-UA"/>
              </w:rPr>
              <w:t>Частота нормальних пологів</w:t>
            </w:r>
          </w:p>
        </w:tc>
        <w:tc>
          <w:tcPr>
            <w:tcW w:w="636" w:type="dxa"/>
            <w:vAlign w:val="center"/>
          </w:tcPr>
          <w:p w:rsidR="00873C58" w:rsidRPr="00A42069" w:rsidRDefault="00873C58" w:rsidP="00D13CFF">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1,00</w:t>
            </w:r>
          </w:p>
        </w:tc>
        <w:tc>
          <w:tcPr>
            <w:tcW w:w="636" w:type="dxa"/>
            <w:vAlign w:val="center"/>
          </w:tcPr>
          <w:p w:rsidR="00873C58" w:rsidRPr="00A42069" w:rsidRDefault="00873C58" w:rsidP="00D13CFF">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0,87</w:t>
            </w:r>
          </w:p>
        </w:tc>
        <w:tc>
          <w:tcPr>
            <w:tcW w:w="0" w:type="auto"/>
            <w:vAlign w:val="center"/>
          </w:tcPr>
          <w:p w:rsidR="00873C58" w:rsidRPr="00A42069" w:rsidRDefault="00873C58" w:rsidP="00D13CFF">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0,91</w:t>
            </w:r>
          </w:p>
        </w:tc>
        <w:tc>
          <w:tcPr>
            <w:tcW w:w="0" w:type="auto"/>
            <w:vAlign w:val="center"/>
          </w:tcPr>
          <w:p w:rsidR="00873C58" w:rsidRPr="00A42069" w:rsidRDefault="00873C58" w:rsidP="00D13CFF">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0,95</w:t>
            </w:r>
          </w:p>
        </w:tc>
        <w:tc>
          <w:tcPr>
            <w:tcW w:w="0" w:type="auto"/>
            <w:vAlign w:val="center"/>
          </w:tcPr>
          <w:p w:rsidR="00873C58" w:rsidRPr="00A42069" w:rsidRDefault="00873C58" w:rsidP="00D13CFF">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1,00</w:t>
            </w:r>
          </w:p>
        </w:tc>
        <w:tc>
          <w:tcPr>
            <w:tcW w:w="0" w:type="auto"/>
            <w:vAlign w:val="center"/>
          </w:tcPr>
          <w:p w:rsidR="00873C58" w:rsidRPr="00A42069" w:rsidRDefault="00873C58" w:rsidP="00D13CFF">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0,88</w:t>
            </w:r>
          </w:p>
        </w:tc>
        <w:tc>
          <w:tcPr>
            <w:tcW w:w="0" w:type="auto"/>
            <w:vAlign w:val="center"/>
          </w:tcPr>
          <w:p w:rsidR="00873C58" w:rsidRPr="00A42069" w:rsidRDefault="00873C58" w:rsidP="00D13CFF">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1,00</w:t>
            </w:r>
          </w:p>
        </w:tc>
        <w:tc>
          <w:tcPr>
            <w:tcW w:w="0" w:type="auto"/>
            <w:vAlign w:val="center"/>
          </w:tcPr>
          <w:p w:rsidR="00873C58" w:rsidRPr="00A42069" w:rsidRDefault="00873C58" w:rsidP="00D13CFF">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0,87</w:t>
            </w:r>
          </w:p>
        </w:tc>
        <w:tc>
          <w:tcPr>
            <w:tcW w:w="0" w:type="auto"/>
            <w:vAlign w:val="center"/>
          </w:tcPr>
          <w:p w:rsidR="00873C58" w:rsidRPr="00A42069" w:rsidRDefault="00873C58" w:rsidP="00D13CFF">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0,88</w:t>
            </w:r>
          </w:p>
        </w:tc>
        <w:tc>
          <w:tcPr>
            <w:tcW w:w="0" w:type="auto"/>
            <w:vAlign w:val="center"/>
          </w:tcPr>
          <w:p w:rsidR="00873C58" w:rsidRPr="00A42069" w:rsidRDefault="00873C58" w:rsidP="00D13CFF">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0,90</w:t>
            </w:r>
          </w:p>
        </w:tc>
        <w:tc>
          <w:tcPr>
            <w:tcW w:w="0" w:type="auto"/>
            <w:vAlign w:val="center"/>
          </w:tcPr>
          <w:p w:rsidR="00873C58" w:rsidRPr="00A42069" w:rsidRDefault="00873C58" w:rsidP="00D13CFF">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1,00</w:t>
            </w:r>
          </w:p>
        </w:tc>
        <w:tc>
          <w:tcPr>
            <w:tcW w:w="0" w:type="auto"/>
            <w:vAlign w:val="center"/>
          </w:tcPr>
          <w:p w:rsidR="00873C58" w:rsidRPr="00A42069" w:rsidRDefault="00873C58" w:rsidP="00D13CFF">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0,90</w:t>
            </w:r>
          </w:p>
        </w:tc>
      </w:tr>
      <w:tr w:rsidR="00873C58" w:rsidRPr="00A42069" w:rsidTr="009D237B">
        <w:trPr>
          <w:jc w:val="center"/>
        </w:trPr>
        <w:tc>
          <w:tcPr>
            <w:tcW w:w="2539" w:type="dxa"/>
            <w:vAlign w:val="bottom"/>
          </w:tcPr>
          <w:p w:rsidR="00873C58" w:rsidRPr="00A42069" w:rsidRDefault="00873C58" w:rsidP="00D13CFF">
            <w:pPr>
              <w:widowControl w:val="0"/>
              <w:spacing w:line="276" w:lineRule="auto"/>
              <w:rPr>
                <w:rFonts w:eastAsia="Times New Roman"/>
                <w:color w:val="000000"/>
                <w:sz w:val="24"/>
                <w:szCs w:val="24"/>
                <w:lang w:eastAsia="uk-UA"/>
              </w:rPr>
            </w:pPr>
            <w:r w:rsidRPr="00A42069">
              <w:rPr>
                <w:rFonts w:eastAsia="Times New Roman"/>
                <w:color w:val="000000"/>
                <w:sz w:val="24"/>
                <w:szCs w:val="24"/>
                <w:lang w:eastAsia="uk-UA"/>
              </w:rPr>
              <w:t>Частота розроджень вагітних шляхом кесаревого розтину</w:t>
            </w:r>
          </w:p>
        </w:tc>
        <w:tc>
          <w:tcPr>
            <w:tcW w:w="636" w:type="dxa"/>
            <w:vAlign w:val="center"/>
          </w:tcPr>
          <w:p w:rsidR="00873C58" w:rsidRPr="00A42069" w:rsidRDefault="00873C58" w:rsidP="00D13CFF">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0,91</w:t>
            </w:r>
          </w:p>
        </w:tc>
        <w:tc>
          <w:tcPr>
            <w:tcW w:w="636" w:type="dxa"/>
            <w:vAlign w:val="center"/>
          </w:tcPr>
          <w:p w:rsidR="00873C58" w:rsidRPr="00A42069" w:rsidRDefault="00873C58" w:rsidP="00D13CFF">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0,55</w:t>
            </w:r>
          </w:p>
        </w:tc>
        <w:tc>
          <w:tcPr>
            <w:tcW w:w="0" w:type="auto"/>
            <w:vAlign w:val="center"/>
          </w:tcPr>
          <w:p w:rsidR="00873C58" w:rsidRPr="00A42069" w:rsidRDefault="00873C58" w:rsidP="00D13CFF">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0,58</w:t>
            </w:r>
          </w:p>
        </w:tc>
        <w:tc>
          <w:tcPr>
            <w:tcW w:w="0" w:type="auto"/>
            <w:vAlign w:val="center"/>
          </w:tcPr>
          <w:p w:rsidR="00873C58" w:rsidRPr="00A42069" w:rsidRDefault="00873C58" w:rsidP="00D13CFF">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0,59</w:t>
            </w:r>
          </w:p>
        </w:tc>
        <w:tc>
          <w:tcPr>
            <w:tcW w:w="0" w:type="auto"/>
            <w:vAlign w:val="center"/>
          </w:tcPr>
          <w:p w:rsidR="00873C58" w:rsidRPr="00A42069" w:rsidRDefault="00873C58" w:rsidP="00D13CFF">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0,86</w:t>
            </w:r>
          </w:p>
        </w:tc>
        <w:tc>
          <w:tcPr>
            <w:tcW w:w="0" w:type="auto"/>
            <w:vAlign w:val="center"/>
          </w:tcPr>
          <w:p w:rsidR="00873C58" w:rsidRPr="00A42069" w:rsidRDefault="00873C58" w:rsidP="00D13CFF">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0,52</w:t>
            </w:r>
          </w:p>
        </w:tc>
        <w:tc>
          <w:tcPr>
            <w:tcW w:w="0" w:type="auto"/>
            <w:vAlign w:val="center"/>
          </w:tcPr>
          <w:p w:rsidR="00873C58" w:rsidRPr="00A42069" w:rsidRDefault="00873C58" w:rsidP="00D13CFF">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1,00</w:t>
            </w:r>
          </w:p>
        </w:tc>
        <w:tc>
          <w:tcPr>
            <w:tcW w:w="0" w:type="auto"/>
            <w:vAlign w:val="center"/>
          </w:tcPr>
          <w:p w:rsidR="00873C58" w:rsidRPr="00A42069" w:rsidRDefault="00873C58" w:rsidP="00D13CFF">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0,84</w:t>
            </w:r>
          </w:p>
        </w:tc>
        <w:tc>
          <w:tcPr>
            <w:tcW w:w="0" w:type="auto"/>
            <w:vAlign w:val="center"/>
          </w:tcPr>
          <w:p w:rsidR="00873C58" w:rsidRPr="00A42069" w:rsidRDefault="00873C58" w:rsidP="00D13CFF">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0,59</w:t>
            </w:r>
          </w:p>
        </w:tc>
        <w:tc>
          <w:tcPr>
            <w:tcW w:w="0" w:type="auto"/>
            <w:vAlign w:val="center"/>
          </w:tcPr>
          <w:p w:rsidR="00873C58" w:rsidRPr="00A42069" w:rsidRDefault="00873C58" w:rsidP="00D13CFF">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0,36</w:t>
            </w:r>
          </w:p>
        </w:tc>
        <w:tc>
          <w:tcPr>
            <w:tcW w:w="0" w:type="auto"/>
            <w:vAlign w:val="center"/>
          </w:tcPr>
          <w:p w:rsidR="00873C58" w:rsidRPr="00A42069" w:rsidRDefault="00873C58" w:rsidP="00D13CFF">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0,97</w:t>
            </w:r>
          </w:p>
        </w:tc>
        <w:tc>
          <w:tcPr>
            <w:tcW w:w="0" w:type="auto"/>
            <w:vAlign w:val="center"/>
          </w:tcPr>
          <w:p w:rsidR="00873C58" w:rsidRPr="00A42069" w:rsidRDefault="00873C58" w:rsidP="00D13CFF">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0,91</w:t>
            </w:r>
          </w:p>
        </w:tc>
      </w:tr>
      <w:tr w:rsidR="00873C58" w:rsidRPr="00A42069" w:rsidTr="009D237B">
        <w:trPr>
          <w:jc w:val="center"/>
        </w:trPr>
        <w:tc>
          <w:tcPr>
            <w:tcW w:w="2539" w:type="dxa"/>
            <w:vAlign w:val="bottom"/>
          </w:tcPr>
          <w:p w:rsidR="00873C58" w:rsidRPr="00A42069" w:rsidRDefault="00873C58" w:rsidP="00D13CFF">
            <w:pPr>
              <w:widowControl w:val="0"/>
              <w:spacing w:line="276" w:lineRule="auto"/>
              <w:rPr>
                <w:rFonts w:eastAsia="Times New Roman"/>
                <w:color w:val="000000"/>
                <w:sz w:val="24"/>
                <w:szCs w:val="24"/>
                <w:lang w:eastAsia="uk-UA"/>
              </w:rPr>
            </w:pPr>
            <w:r w:rsidRPr="00A42069">
              <w:rPr>
                <w:rFonts w:eastAsia="Times New Roman"/>
                <w:color w:val="000000"/>
                <w:sz w:val="24"/>
                <w:szCs w:val="24"/>
                <w:lang w:eastAsia="uk-UA"/>
              </w:rPr>
              <w:t>Частота кровотеч в послідовому і післяродовому періодах</w:t>
            </w:r>
          </w:p>
        </w:tc>
        <w:tc>
          <w:tcPr>
            <w:tcW w:w="636" w:type="dxa"/>
            <w:vAlign w:val="center"/>
          </w:tcPr>
          <w:p w:rsidR="00873C58" w:rsidRPr="00A42069" w:rsidRDefault="00873C58" w:rsidP="00D13CFF">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0,00</w:t>
            </w:r>
          </w:p>
        </w:tc>
        <w:tc>
          <w:tcPr>
            <w:tcW w:w="636" w:type="dxa"/>
            <w:vAlign w:val="center"/>
          </w:tcPr>
          <w:p w:rsidR="00873C58" w:rsidRPr="00A42069" w:rsidRDefault="00873C58" w:rsidP="00D13CFF">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0,52</w:t>
            </w:r>
          </w:p>
        </w:tc>
        <w:tc>
          <w:tcPr>
            <w:tcW w:w="0" w:type="auto"/>
            <w:vAlign w:val="center"/>
          </w:tcPr>
          <w:p w:rsidR="00873C58" w:rsidRPr="00A42069" w:rsidRDefault="00873C58" w:rsidP="00D13CFF">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0,00</w:t>
            </w:r>
          </w:p>
        </w:tc>
        <w:tc>
          <w:tcPr>
            <w:tcW w:w="0" w:type="auto"/>
            <w:vAlign w:val="center"/>
          </w:tcPr>
          <w:p w:rsidR="00873C58" w:rsidRPr="00A42069" w:rsidRDefault="00873C58" w:rsidP="00D13CFF">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0,00</w:t>
            </w:r>
          </w:p>
        </w:tc>
        <w:tc>
          <w:tcPr>
            <w:tcW w:w="0" w:type="auto"/>
            <w:vAlign w:val="center"/>
          </w:tcPr>
          <w:p w:rsidR="00873C58" w:rsidRPr="00A42069" w:rsidRDefault="00873C58" w:rsidP="00D13CFF">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0,74</w:t>
            </w:r>
          </w:p>
        </w:tc>
        <w:tc>
          <w:tcPr>
            <w:tcW w:w="0" w:type="auto"/>
            <w:vAlign w:val="center"/>
          </w:tcPr>
          <w:p w:rsidR="00873C58" w:rsidRPr="00A42069" w:rsidRDefault="00873C58" w:rsidP="00D13CFF">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0,66</w:t>
            </w:r>
          </w:p>
        </w:tc>
        <w:tc>
          <w:tcPr>
            <w:tcW w:w="0" w:type="auto"/>
            <w:vAlign w:val="center"/>
          </w:tcPr>
          <w:p w:rsidR="00873C58" w:rsidRPr="00A42069" w:rsidRDefault="00873C58" w:rsidP="00D13CFF">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1,00</w:t>
            </w:r>
          </w:p>
        </w:tc>
        <w:tc>
          <w:tcPr>
            <w:tcW w:w="0" w:type="auto"/>
            <w:vAlign w:val="center"/>
          </w:tcPr>
          <w:p w:rsidR="00873C58" w:rsidRPr="00A42069" w:rsidRDefault="00873C58" w:rsidP="00D13CFF">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0,77</w:t>
            </w:r>
          </w:p>
        </w:tc>
        <w:tc>
          <w:tcPr>
            <w:tcW w:w="0" w:type="auto"/>
            <w:vAlign w:val="center"/>
          </w:tcPr>
          <w:p w:rsidR="00873C58" w:rsidRPr="00A42069" w:rsidRDefault="00873C58" w:rsidP="00D13CFF">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0,70</w:t>
            </w:r>
          </w:p>
        </w:tc>
        <w:tc>
          <w:tcPr>
            <w:tcW w:w="0" w:type="auto"/>
            <w:vAlign w:val="center"/>
          </w:tcPr>
          <w:p w:rsidR="00873C58" w:rsidRPr="00A42069" w:rsidRDefault="00873C58" w:rsidP="00D13CFF">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0,39</w:t>
            </w:r>
          </w:p>
        </w:tc>
        <w:tc>
          <w:tcPr>
            <w:tcW w:w="0" w:type="auto"/>
            <w:vAlign w:val="center"/>
          </w:tcPr>
          <w:p w:rsidR="00873C58" w:rsidRPr="00A42069" w:rsidRDefault="00873C58" w:rsidP="00D13CFF">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1,00</w:t>
            </w:r>
          </w:p>
        </w:tc>
        <w:tc>
          <w:tcPr>
            <w:tcW w:w="0" w:type="auto"/>
            <w:vAlign w:val="center"/>
          </w:tcPr>
          <w:p w:rsidR="00873C58" w:rsidRPr="00A42069" w:rsidRDefault="00873C58" w:rsidP="00D13CFF">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0,06</w:t>
            </w:r>
          </w:p>
        </w:tc>
      </w:tr>
      <w:tr w:rsidR="001141AE" w:rsidRPr="00A42069" w:rsidTr="009D237B">
        <w:trPr>
          <w:jc w:val="center"/>
        </w:trPr>
        <w:tc>
          <w:tcPr>
            <w:tcW w:w="2539" w:type="dxa"/>
            <w:vAlign w:val="bottom"/>
          </w:tcPr>
          <w:p w:rsidR="001141AE" w:rsidRPr="00A42069" w:rsidRDefault="001141AE" w:rsidP="00D13CFF">
            <w:pPr>
              <w:widowControl w:val="0"/>
              <w:spacing w:line="276" w:lineRule="auto"/>
              <w:rPr>
                <w:rFonts w:eastAsia="Times New Roman"/>
                <w:color w:val="000000"/>
                <w:sz w:val="24"/>
                <w:szCs w:val="24"/>
                <w:lang w:eastAsia="uk-UA"/>
              </w:rPr>
            </w:pPr>
            <w:r>
              <w:rPr>
                <w:rFonts w:eastAsia="Times New Roman"/>
                <w:color w:val="000000"/>
                <w:sz w:val="24"/>
                <w:szCs w:val="24"/>
                <w:lang w:eastAsia="uk-UA"/>
              </w:rPr>
              <w:t>Частота мало</w:t>
            </w:r>
            <w:r w:rsidRPr="00A42069">
              <w:rPr>
                <w:rFonts w:eastAsia="Times New Roman"/>
                <w:color w:val="000000"/>
                <w:sz w:val="24"/>
                <w:szCs w:val="24"/>
                <w:lang w:eastAsia="uk-UA"/>
              </w:rPr>
              <w:t>вагових новонароджених</w:t>
            </w:r>
          </w:p>
        </w:tc>
        <w:tc>
          <w:tcPr>
            <w:tcW w:w="636" w:type="dxa"/>
            <w:vAlign w:val="center"/>
          </w:tcPr>
          <w:p w:rsidR="001141AE" w:rsidRPr="00A42069" w:rsidRDefault="001141AE" w:rsidP="00D13CFF">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0,62</w:t>
            </w:r>
          </w:p>
        </w:tc>
        <w:tc>
          <w:tcPr>
            <w:tcW w:w="636" w:type="dxa"/>
            <w:vAlign w:val="center"/>
          </w:tcPr>
          <w:p w:rsidR="001141AE" w:rsidRPr="00A42069" w:rsidRDefault="001141AE" w:rsidP="00D13CFF">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0,31</w:t>
            </w:r>
          </w:p>
        </w:tc>
        <w:tc>
          <w:tcPr>
            <w:tcW w:w="0" w:type="auto"/>
            <w:vAlign w:val="center"/>
          </w:tcPr>
          <w:p w:rsidR="001141AE" w:rsidRPr="00A42069" w:rsidRDefault="001141AE" w:rsidP="00D13CFF">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0,47</w:t>
            </w:r>
          </w:p>
        </w:tc>
        <w:tc>
          <w:tcPr>
            <w:tcW w:w="0" w:type="auto"/>
            <w:vAlign w:val="center"/>
          </w:tcPr>
          <w:p w:rsidR="001141AE" w:rsidRPr="00A42069" w:rsidRDefault="001141AE" w:rsidP="00D13CFF">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0,46</w:t>
            </w:r>
          </w:p>
        </w:tc>
        <w:tc>
          <w:tcPr>
            <w:tcW w:w="0" w:type="auto"/>
            <w:vAlign w:val="center"/>
          </w:tcPr>
          <w:p w:rsidR="001141AE" w:rsidRPr="00A42069" w:rsidRDefault="001141AE" w:rsidP="00D13CFF">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0,89</w:t>
            </w:r>
          </w:p>
        </w:tc>
        <w:tc>
          <w:tcPr>
            <w:tcW w:w="0" w:type="auto"/>
            <w:vAlign w:val="center"/>
          </w:tcPr>
          <w:p w:rsidR="001141AE" w:rsidRPr="00A42069" w:rsidRDefault="001141AE" w:rsidP="00D13CFF">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0,49</w:t>
            </w:r>
          </w:p>
        </w:tc>
        <w:tc>
          <w:tcPr>
            <w:tcW w:w="0" w:type="auto"/>
            <w:vAlign w:val="center"/>
          </w:tcPr>
          <w:p w:rsidR="001141AE" w:rsidRPr="00A42069" w:rsidRDefault="001141AE" w:rsidP="00D13CFF">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0,61</w:t>
            </w:r>
          </w:p>
        </w:tc>
        <w:tc>
          <w:tcPr>
            <w:tcW w:w="0" w:type="auto"/>
            <w:vAlign w:val="center"/>
          </w:tcPr>
          <w:p w:rsidR="001141AE" w:rsidRPr="00A42069" w:rsidRDefault="001141AE" w:rsidP="00D13CFF">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0,45</w:t>
            </w:r>
          </w:p>
        </w:tc>
        <w:tc>
          <w:tcPr>
            <w:tcW w:w="0" w:type="auto"/>
            <w:vAlign w:val="center"/>
          </w:tcPr>
          <w:p w:rsidR="001141AE" w:rsidRPr="00A42069" w:rsidRDefault="001141AE" w:rsidP="00D13CFF">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0,64</w:t>
            </w:r>
          </w:p>
        </w:tc>
        <w:tc>
          <w:tcPr>
            <w:tcW w:w="0" w:type="auto"/>
            <w:vAlign w:val="center"/>
          </w:tcPr>
          <w:p w:rsidR="001141AE" w:rsidRPr="00A42069" w:rsidRDefault="001141AE" w:rsidP="00D13CFF">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0,53</w:t>
            </w:r>
          </w:p>
        </w:tc>
        <w:tc>
          <w:tcPr>
            <w:tcW w:w="0" w:type="auto"/>
            <w:vAlign w:val="center"/>
          </w:tcPr>
          <w:p w:rsidR="001141AE" w:rsidRPr="00A42069" w:rsidRDefault="001141AE" w:rsidP="00D13CFF">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0,57</w:t>
            </w:r>
          </w:p>
        </w:tc>
        <w:tc>
          <w:tcPr>
            <w:tcW w:w="0" w:type="auto"/>
            <w:vAlign w:val="center"/>
          </w:tcPr>
          <w:p w:rsidR="001141AE" w:rsidRPr="00A42069" w:rsidRDefault="001141AE" w:rsidP="00D13CFF">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0,57</w:t>
            </w:r>
          </w:p>
        </w:tc>
      </w:tr>
      <w:tr w:rsidR="00ED4860" w:rsidRPr="00A42069" w:rsidTr="009D237B">
        <w:trPr>
          <w:jc w:val="center"/>
        </w:trPr>
        <w:tc>
          <w:tcPr>
            <w:tcW w:w="2539" w:type="dxa"/>
            <w:vAlign w:val="bottom"/>
          </w:tcPr>
          <w:p w:rsidR="00ED4860" w:rsidRPr="00A42069" w:rsidRDefault="00ED4860" w:rsidP="00D13CFF">
            <w:pPr>
              <w:widowControl w:val="0"/>
              <w:spacing w:line="276" w:lineRule="auto"/>
              <w:rPr>
                <w:rFonts w:eastAsia="Times New Roman"/>
                <w:color w:val="000000"/>
                <w:sz w:val="24"/>
                <w:szCs w:val="24"/>
                <w:lang w:eastAsia="uk-UA"/>
              </w:rPr>
            </w:pPr>
            <w:r w:rsidRPr="00A42069">
              <w:rPr>
                <w:rFonts w:eastAsia="Times New Roman"/>
                <w:color w:val="000000"/>
                <w:sz w:val="24"/>
                <w:szCs w:val="24"/>
                <w:lang w:eastAsia="uk-UA"/>
              </w:rPr>
              <w:t>Виживання новонароджених з дуже малою масою тіла при народженні</w:t>
            </w:r>
          </w:p>
        </w:tc>
        <w:tc>
          <w:tcPr>
            <w:tcW w:w="636" w:type="dxa"/>
            <w:vAlign w:val="center"/>
          </w:tcPr>
          <w:p w:rsidR="00ED4860" w:rsidRPr="00A42069" w:rsidRDefault="00ED4860" w:rsidP="00D13CFF">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1,00</w:t>
            </w:r>
          </w:p>
        </w:tc>
        <w:tc>
          <w:tcPr>
            <w:tcW w:w="636" w:type="dxa"/>
            <w:vAlign w:val="center"/>
          </w:tcPr>
          <w:p w:rsidR="00ED4860" w:rsidRPr="00A42069" w:rsidRDefault="00ED4860" w:rsidP="00D13CFF">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0,83</w:t>
            </w:r>
          </w:p>
        </w:tc>
        <w:tc>
          <w:tcPr>
            <w:tcW w:w="0" w:type="auto"/>
            <w:vAlign w:val="center"/>
          </w:tcPr>
          <w:p w:rsidR="00ED4860" w:rsidRPr="00A42069" w:rsidRDefault="00ED4860" w:rsidP="00D13CFF">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0,93</w:t>
            </w:r>
          </w:p>
        </w:tc>
        <w:tc>
          <w:tcPr>
            <w:tcW w:w="0" w:type="auto"/>
            <w:vAlign w:val="center"/>
          </w:tcPr>
          <w:p w:rsidR="00ED4860" w:rsidRPr="00A42069" w:rsidRDefault="00ED4860" w:rsidP="00D13CFF">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н/д</w:t>
            </w:r>
          </w:p>
        </w:tc>
        <w:tc>
          <w:tcPr>
            <w:tcW w:w="0" w:type="auto"/>
            <w:vAlign w:val="center"/>
          </w:tcPr>
          <w:p w:rsidR="00ED4860" w:rsidRPr="00A42069" w:rsidRDefault="00ED4860" w:rsidP="00D13CFF">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0,84</w:t>
            </w:r>
          </w:p>
        </w:tc>
        <w:tc>
          <w:tcPr>
            <w:tcW w:w="0" w:type="auto"/>
            <w:vAlign w:val="center"/>
          </w:tcPr>
          <w:p w:rsidR="00ED4860" w:rsidRPr="00A42069" w:rsidRDefault="00ED4860" w:rsidP="00D13CFF">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0,86</w:t>
            </w:r>
          </w:p>
        </w:tc>
        <w:tc>
          <w:tcPr>
            <w:tcW w:w="0" w:type="auto"/>
            <w:vAlign w:val="center"/>
          </w:tcPr>
          <w:p w:rsidR="00ED4860" w:rsidRPr="00A42069" w:rsidRDefault="00ED4860" w:rsidP="00D13CFF">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0,91</w:t>
            </w:r>
          </w:p>
        </w:tc>
        <w:tc>
          <w:tcPr>
            <w:tcW w:w="0" w:type="auto"/>
            <w:vAlign w:val="center"/>
          </w:tcPr>
          <w:p w:rsidR="00ED4860" w:rsidRPr="00A42069" w:rsidRDefault="00ED4860" w:rsidP="00D13CFF">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0,95</w:t>
            </w:r>
          </w:p>
        </w:tc>
        <w:tc>
          <w:tcPr>
            <w:tcW w:w="0" w:type="auto"/>
            <w:vAlign w:val="center"/>
          </w:tcPr>
          <w:p w:rsidR="00ED4860" w:rsidRPr="00A42069" w:rsidRDefault="00ED4860" w:rsidP="00D13CFF">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0,88</w:t>
            </w:r>
          </w:p>
        </w:tc>
        <w:tc>
          <w:tcPr>
            <w:tcW w:w="0" w:type="auto"/>
            <w:vAlign w:val="center"/>
          </w:tcPr>
          <w:p w:rsidR="00ED4860" w:rsidRPr="00A42069" w:rsidRDefault="00ED4860" w:rsidP="00D13CFF">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0,89</w:t>
            </w:r>
          </w:p>
        </w:tc>
        <w:tc>
          <w:tcPr>
            <w:tcW w:w="0" w:type="auto"/>
            <w:vAlign w:val="center"/>
          </w:tcPr>
          <w:p w:rsidR="00ED4860" w:rsidRPr="00A42069" w:rsidRDefault="00ED4860" w:rsidP="00D13CFF">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0,73</w:t>
            </w:r>
          </w:p>
        </w:tc>
        <w:tc>
          <w:tcPr>
            <w:tcW w:w="0" w:type="auto"/>
            <w:vAlign w:val="center"/>
          </w:tcPr>
          <w:p w:rsidR="00ED4860" w:rsidRPr="00A42069" w:rsidRDefault="00ED4860" w:rsidP="00D13CFF">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0,93</w:t>
            </w:r>
          </w:p>
        </w:tc>
      </w:tr>
      <w:tr w:rsidR="00ED4860" w:rsidRPr="00A42069" w:rsidTr="009D237B">
        <w:trPr>
          <w:jc w:val="center"/>
        </w:trPr>
        <w:tc>
          <w:tcPr>
            <w:tcW w:w="2539" w:type="dxa"/>
            <w:vAlign w:val="bottom"/>
          </w:tcPr>
          <w:p w:rsidR="00ED4860" w:rsidRPr="00A42069" w:rsidRDefault="00ED4860" w:rsidP="00D13CFF">
            <w:pPr>
              <w:widowControl w:val="0"/>
              <w:spacing w:line="276" w:lineRule="auto"/>
              <w:rPr>
                <w:rFonts w:eastAsia="Times New Roman"/>
                <w:color w:val="000000"/>
                <w:sz w:val="24"/>
                <w:szCs w:val="24"/>
                <w:lang w:eastAsia="uk-UA"/>
              </w:rPr>
            </w:pPr>
            <w:r w:rsidRPr="00A42069">
              <w:rPr>
                <w:rFonts w:eastAsia="Times New Roman"/>
                <w:color w:val="000000"/>
                <w:sz w:val="24"/>
                <w:szCs w:val="24"/>
                <w:lang w:eastAsia="uk-UA"/>
              </w:rPr>
              <w:t>Індекс здоров’я новонароджених</w:t>
            </w:r>
          </w:p>
        </w:tc>
        <w:tc>
          <w:tcPr>
            <w:tcW w:w="636" w:type="dxa"/>
            <w:vAlign w:val="center"/>
          </w:tcPr>
          <w:p w:rsidR="00ED4860" w:rsidRPr="00A42069" w:rsidRDefault="00ED4860" w:rsidP="00D13CFF">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0,96</w:t>
            </w:r>
          </w:p>
        </w:tc>
        <w:tc>
          <w:tcPr>
            <w:tcW w:w="636" w:type="dxa"/>
            <w:vAlign w:val="center"/>
          </w:tcPr>
          <w:p w:rsidR="00ED4860" w:rsidRPr="00A42069" w:rsidRDefault="00ED4860" w:rsidP="00D13CFF">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0,96</w:t>
            </w:r>
          </w:p>
        </w:tc>
        <w:tc>
          <w:tcPr>
            <w:tcW w:w="0" w:type="auto"/>
            <w:vAlign w:val="center"/>
          </w:tcPr>
          <w:p w:rsidR="00ED4860" w:rsidRPr="00A42069" w:rsidRDefault="00ED4860" w:rsidP="00D13CFF">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0,91</w:t>
            </w:r>
          </w:p>
        </w:tc>
        <w:tc>
          <w:tcPr>
            <w:tcW w:w="0" w:type="auto"/>
            <w:vAlign w:val="center"/>
          </w:tcPr>
          <w:p w:rsidR="00ED4860" w:rsidRPr="00A42069" w:rsidRDefault="00ED4860" w:rsidP="00D13CFF">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0,95</w:t>
            </w:r>
          </w:p>
        </w:tc>
        <w:tc>
          <w:tcPr>
            <w:tcW w:w="0" w:type="auto"/>
            <w:vAlign w:val="center"/>
          </w:tcPr>
          <w:p w:rsidR="00ED4860" w:rsidRPr="00A42069" w:rsidRDefault="00ED4860" w:rsidP="00D13CFF">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0,90</w:t>
            </w:r>
          </w:p>
        </w:tc>
        <w:tc>
          <w:tcPr>
            <w:tcW w:w="0" w:type="auto"/>
            <w:vAlign w:val="center"/>
          </w:tcPr>
          <w:p w:rsidR="00ED4860" w:rsidRPr="00A42069" w:rsidRDefault="00ED4860" w:rsidP="00D13CFF">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0,92</w:t>
            </w:r>
          </w:p>
        </w:tc>
        <w:tc>
          <w:tcPr>
            <w:tcW w:w="0" w:type="auto"/>
            <w:vAlign w:val="center"/>
          </w:tcPr>
          <w:p w:rsidR="00ED4860" w:rsidRPr="00A42069" w:rsidRDefault="00ED4860" w:rsidP="00D13CFF">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0,96</w:t>
            </w:r>
          </w:p>
        </w:tc>
        <w:tc>
          <w:tcPr>
            <w:tcW w:w="0" w:type="auto"/>
            <w:vAlign w:val="center"/>
          </w:tcPr>
          <w:p w:rsidR="00ED4860" w:rsidRPr="00A42069" w:rsidRDefault="00ED4860" w:rsidP="00D13CFF">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0,95</w:t>
            </w:r>
          </w:p>
        </w:tc>
        <w:tc>
          <w:tcPr>
            <w:tcW w:w="0" w:type="auto"/>
            <w:vAlign w:val="center"/>
          </w:tcPr>
          <w:p w:rsidR="00ED4860" w:rsidRPr="00A42069" w:rsidRDefault="00ED4860" w:rsidP="00D13CFF">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0,86</w:t>
            </w:r>
          </w:p>
        </w:tc>
        <w:tc>
          <w:tcPr>
            <w:tcW w:w="0" w:type="auto"/>
            <w:vAlign w:val="center"/>
          </w:tcPr>
          <w:p w:rsidR="00ED4860" w:rsidRPr="00A42069" w:rsidRDefault="00ED4860" w:rsidP="00D13CFF">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0,94</w:t>
            </w:r>
          </w:p>
        </w:tc>
        <w:tc>
          <w:tcPr>
            <w:tcW w:w="0" w:type="auto"/>
            <w:vAlign w:val="center"/>
          </w:tcPr>
          <w:p w:rsidR="00ED4860" w:rsidRPr="00A42069" w:rsidRDefault="00ED4860" w:rsidP="00D13CFF">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0,99</w:t>
            </w:r>
          </w:p>
        </w:tc>
        <w:tc>
          <w:tcPr>
            <w:tcW w:w="0" w:type="auto"/>
            <w:vAlign w:val="center"/>
          </w:tcPr>
          <w:p w:rsidR="00ED4860" w:rsidRPr="00A42069" w:rsidRDefault="00ED4860" w:rsidP="00D13CFF">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0,93</w:t>
            </w:r>
          </w:p>
        </w:tc>
      </w:tr>
    </w:tbl>
    <w:p w:rsidR="00630610" w:rsidRPr="00630610" w:rsidRDefault="00630610" w:rsidP="00630610">
      <w:pPr>
        <w:jc w:val="right"/>
        <w:rPr>
          <w:i/>
          <w:lang w:val="ru-RU"/>
        </w:rPr>
      </w:pPr>
    </w:p>
    <w:p w:rsidR="00360BD9" w:rsidRPr="00360BD9" w:rsidRDefault="00360BD9" w:rsidP="00B06135">
      <w:pPr>
        <w:pageBreakBefore/>
        <w:jc w:val="right"/>
        <w:rPr>
          <w:i/>
          <w:lang w:val="ru-RU"/>
        </w:rPr>
      </w:pPr>
      <w:r w:rsidRPr="00360BD9">
        <w:rPr>
          <w:i/>
          <w:lang w:val="ru-RU"/>
        </w:rPr>
        <w:lastRenderedPageBreak/>
        <w:t>Продовження табл. 7.9</w:t>
      </w:r>
    </w:p>
    <w:tbl>
      <w:tblPr>
        <w:tblW w:w="0" w:type="auto"/>
        <w:jc w:val="center"/>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39"/>
        <w:gridCol w:w="636"/>
        <w:gridCol w:w="636"/>
        <w:gridCol w:w="636"/>
        <w:gridCol w:w="636"/>
        <w:gridCol w:w="636"/>
        <w:gridCol w:w="636"/>
        <w:gridCol w:w="636"/>
        <w:gridCol w:w="636"/>
        <w:gridCol w:w="636"/>
        <w:gridCol w:w="636"/>
        <w:gridCol w:w="636"/>
        <w:gridCol w:w="636"/>
      </w:tblGrid>
      <w:tr w:rsidR="003B67F9" w:rsidRPr="00A42069" w:rsidTr="009D237B">
        <w:trPr>
          <w:jc w:val="center"/>
        </w:trPr>
        <w:tc>
          <w:tcPr>
            <w:tcW w:w="2539" w:type="dxa"/>
            <w:vAlign w:val="bottom"/>
          </w:tcPr>
          <w:p w:rsidR="003B67F9" w:rsidRPr="00A42069" w:rsidRDefault="003B67F9" w:rsidP="00401099">
            <w:pPr>
              <w:widowControl w:val="0"/>
              <w:spacing w:line="276" w:lineRule="auto"/>
              <w:rPr>
                <w:rFonts w:eastAsia="Times New Roman"/>
                <w:color w:val="000000"/>
                <w:sz w:val="24"/>
                <w:szCs w:val="24"/>
                <w:lang w:eastAsia="uk-UA"/>
              </w:rPr>
            </w:pPr>
            <w:r w:rsidRPr="00A42069">
              <w:rPr>
                <w:rFonts w:eastAsia="Times New Roman"/>
                <w:color w:val="000000"/>
                <w:sz w:val="24"/>
                <w:szCs w:val="24"/>
                <w:lang w:eastAsia="uk-UA"/>
              </w:rPr>
              <w:t xml:space="preserve">Рівень перинатальної смертності </w:t>
            </w:r>
          </w:p>
        </w:tc>
        <w:tc>
          <w:tcPr>
            <w:tcW w:w="636" w:type="dxa"/>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0,76</w:t>
            </w:r>
          </w:p>
        </w:tc>
        <w:tc>
          <w:tcPr>
            <w:tcW w:w="636" w:type="dxa"/>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0,11</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1,00</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1,00</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0,83</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0,68</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0,87</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0,59</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0,89</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0,70</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0,65</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0,85</w:t>
            </w:r>
          </w:p>
        </w:tc>
      </w:tr>
      <w:tr w:rsidR="003B67F9" w:rsidRPr="00A42069" w:rsidTr="009D237B">
        <w:trPr>
          <w:jc w:val="center"/>
        </w:trPr>
        <w:tc>
          <w:tcPr>
            <w:tcW w:w="2539" w:type="dxa"/>
            <w:vAlign w:val="center"/>
          </w:tcPr>
          <w:p w:rsidR="003B67F9" w:rsidRPr="00A42069" w:rsidRDefault="003B67F9" w:rsidP="00401099">
            <w:pPr>
              <w:widowControl w:val="0"/>
              <w:spacing w:line="276" w:lineRule="auto"/>
              <w:rPr>
                <w:rFonts w:eastAsia="Times New Roman"/>
                <w:color w:val="000000"/>
                <w:sz w:val="24"/>
                <w:szCs w:val="24"/>
                <w:lang w:eastAsia="uk-UA"/>
              </w:rPr>
            </w:pPr>
            <w:r w:rsidRPr="00A42069">
              <w:rPr>
                <w:rFonts w:eastAsia="Times New Roman"/>
                <w:color w:val="000000"/>
                <w:sz w:val="24"/>
                <w:szCs w:val="24"/>
                <w:lang w:eastAsia="uk-UA"/>
              </w:rPr>
              <w:t xml:space="preserve">Рівень неонатальної смертності </w:t>
            </w:r>
          </w:p>
        </w:tc>
        <w:tc>
          <w:tcPr>
            <w:tcW w:w="636" w:type="dxa"/>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0,63</w:t>
            </w:r>
          </w:p>
        </w:tc>
        <w:tc>
          <w:tcPr>
            <w:tcW w:w="636" w:type="dxa"/>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0,00</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1,00</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0,58</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0,56</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0,47</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0,20</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0,83</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0,59</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0,74</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0,25</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0,94</w:t>
            </w:r>
          </w:p>
        </w:tc>
      </w:tr>
      <w:tr w:rsidR="003B67F9" w:rsidRPr="00A42069" w:rsidTr="009D237B">
        <w:trPr>
          <w:jc w:val="center"/>
        </w:trPr>
        <w:tc>
          <w:tcPr>
            <w:tcW w:w="2539" w:type="dxa"/>
            <w:vAlign w:val="bottom"/>
          </w:tcPr>
          <w:p w:rsidR="003B67F9" w:rsidRPr="00A42069" w:rsidRDefault="003B67F9" w:rsidP="00401099">
            <w:pPr>
              <w:widowControl w:val="0"/>
              <w:spacing w:line="276" w:lineRule="auto"/>
              <w:rPr>
                <w:rFonts w:eastAsia="Times New Roman"/>
                <w:color w:val="000000"/>
                <w:sz w:val="24"/>
                <w:szCs w:val="24"/>
                <w:lang w:eastAsia="uk-UA"/>
              </w:rPr>
            </w:pPr>
            <w:r w:rsidRPr="00A42069">
              <w:rPr>
                <w:rFonts w:eastAsia="Times New Roman"/>
                <w:color w:val="000000"/>
                <w:sz w:val="24"/>
                <w:szCs w:val="24"/>
                <w:lang w:eastAsia="uk-UA"/>
              </w:rPr>
              <w:t xml:space="preserve">Рівень материнської смертності </w:t>
            </w:r>
          </w:p>
        </w:tc>
        <w:tc>
          <w:tcPr>
            <w:tcW w:w="636" w:type="dxa"/>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0,00</w:t>
            </w:r>
          </w:p>
        </w:tc>
        <w:tc>
          <w:tcPr>
            <w:tcW w:w="636" w:type="dxa"/>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1,00</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1,00</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1,00</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0,74</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0,92</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1,00</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1,00</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0,42</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1,00</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1,00</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1,00</w:t>
            </w:r>
          </w:p>
        </w:tc>
      </w:tr>
      <w:tr w:rsidR="003B67F9" w:rsidRPr="00A42069" w:rsidTr="009D237B">
        <w:trPr>
          <w:jc w:val="center"/>
        </w:trPr>
        <w:tc>
          <w:tcPr>
            <w:tcW w:w="2539" w:type="dxa"/>
            <w:vAlign w:val="bottom"/>
          </w:tcPr>
          <w:p w:rsidR="003B67F9" w:rsidRPr="00A42069" w:rsidRDefault="003B67F9" w:rsidP="00401099">
            <w:pPr>
              <w:widowControl w:val="0"/>
              <w:spacing w:line="276" w:lineRule="auto"/>
              <w:rPr>
                <w:rFonts w:eastAsia="Times New Roman"/>
                <w:color w:val="000000"/>
                <w:sz w:val="24"/>
                <w:szCs w:val="24"/>
                <w:lang w:eastAsia="uk-UA"/>
              </w:rPr>
            </w:pPr>
            <w:r w:rsidRPr="00A42069">
              <w:rPr>
                <w:rFonts w:eastAsia="Times New Roman"/>
                <w:color w:val="000000"/>
                <w:sz w:val="24"/>
                <w:szCs w:val="24"/>
                <w:lang w:eastAsia="uk-UA"/>
              </w:rPr>
              <w:t>ККО</w:t>
            </w:r>
          </w:p>
        </w:tc>
        <w:tc>
          <w:tcPr>
            <w:tcW w:w="636" w:type="dxa"/>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0,70</w:t>
            </w:r>
          </w:p>
        </w:tc>
        <w:tc>
          <w:tcPr>
            <w:tcW w:w="636" w:type="dxa"/>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0,71</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0,71</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0,72</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0,72</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0,73</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0,74</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0,75</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0,75</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0,76</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0,79</w:t>
            </w:r>
          </w:p>
        </w:tc>
        <w:tc>
          <w:tcPr>
            <w:tcW w:w="0" w:type="auto"/>
            <w:vAlign w:val="center"/>
          </w:tcPr>
          <w:p w:rsidR="003B67F9" w:rsidRPr="00A42069" w:rsidRDefault="003B67F9" w:rsidP="00401099">
            <w:pPr>
              <w:widowControl w:val="0"/>
              <w:spacing w:line="276" w:lineRule="auto"/>
              <w:jc w:val="center"/>
              <w:rPr>
                <w:rFonts w:eastAsia="Times New Roman"/>
                <w:color w:val="000000"/>
                <w:sz w:val="24"/>
                <w:szCs w:val="24"/>
                <w:lang w:eastAsia="ru-RU"/>
              </w:rPr>
            </w:pPr>
            <w:r w:rsidRPr="00A42069">
              <w:rPr>
                <w:rFonts w:eastAsia="Times New Roman"/>
                <w:color w:val="000000"/>
                <w:sz w:val="24"/>
                <w:szCs w:val="24"/>
                <w:lang w:eastAsia="ru-RU"/>
              </w:rPr>
              <w:t>0,77</w:t>
            </w:r>
          </w:p>
        </w:tc>
      </w:tr>
    </w:tbl>
    <w:p w:rsidR="003B67F9" w:rsidRPr="006E4AD0" w:rsidRDefault="003B67F9" w:rsidP="00721203">
      <w:pPr>
        <w:widowControl w:val="0"/>
        <w:spacing w:line="240" w:lineRule="auto"/>
        <w:rPr>
          <w:rFonts w:eastAsia="Times New Roman"/>
          <w:sz w:val="22"/>
          <w:lang w:eastAsia="ru-RU"/>
        </w:rPr>
      </w:pPr>
      <w:r w:rsidRPr="006E4AD0">
        <w:rPr>
          <w:rFonts w:eastAsia="Times New Roman"/>
          <w:sz w:val="22"/>
          <w:lang w:eastAsia="ru-RU"/>
        </w:rPr>
        <w:t>н/д – немає даних</w:t>
      </w:r>
    </w:p>
    <w:p w:rsidR="003B67F9" w:rsidRPr="00006A39" w:rsidRDefault="003B67F9" w:rsidP="00721203">
      <w:pPr>
        <w:widowControl w:val="0"/>
        <w:ind w:firstLine="709"/>
        <w:rPr>
          <w:rFonts w:eastAsia="Times New Roman"/>
          <w:szCs w:val="28"/>
          <w:lang w:eastAsia="ru-RU"/>
        </w:rPr>
      </w:pPr>
    </w:p>
    <w:p w:rsidR="003B67F9" w:rsidRPr="00006A39" w:rsidRDefault="003B67F9" w:rsidP="00721203">
      <w:pPr>
        <w:widowControl w:val="0"/>
        <w:ind w:firstLine="709"/>
        <w:rPr>
          <w:rFonts w:eastAsia="Times New Roman"/>
          <w:b/>
          <w:color w:val="5F497A"/>
          <w:szCs w:val="28"/>
          <w:lang w:eastAsia="ru-RU"/>
        </w:rPr>
      </w:pPr>
      <w:r w:rsidRPr="00006A39">
        <w:rPr>
          <w:rFonts w:eastAsia="Times New Roman"/>
          <w:szCs w:val="28"/>
          <w:lang w:eastAsia="ru-RU"/>
        </w:rPr>
        <w:t>Характерний великий діапазон коливань забезпеченості населення регіонів ІІ</w:t>
      </w:r>
      <w:r w:rsidR="008B6EFE">
        <w:rPr>
          <w:rFonts w:eastAsia="Times New Roman"/>
          <w:szCs w:val="28"/>
          <w:lang w:eastAsia="ru-RU"/>
        </w:rPr>
        <w:t> </w:t>
      </w:r>
      <w:r w:rsidRPr="00006A39">
        <w:rPr>
          <w:rFonts w:eastAsia="Times New Roman"/>
          <w:szCs w:val="28"/>
          <w:lang w:eastAsia="ru-RU"/>
        </w:rPr>
        <w:t>групи лікарським персоналом – від нижче середнього (КДНЗ = 0,59) акушерами-гінекологами жіночого населення Луганської області, і нижче середнього і середнього новонароджених педіатрами-неонатологами Одеської, Рівненської, Київської (КДНЗ = 0,56, 0,63 і 0,67 відповідно) до нормативного забезпечення цими спеціалістами Харківської і Львівської областей (КДНЗ = 1,0</w:t>
      </w:r>
      <w:r w:rsidR="003044E8">
        <w:rPr>
          <w:rFonts w:eastAsia="Times New Roman"/>
          <w:szCs w:val="28"/>
          <w:lang w:eastAsia="ru-RU"/>
        </w:rPr>
        <w:t>) (табл. 7.9</w:t>
      </w:r>
      <w:r w:rsidRPr="00006A39">
        <w:rPr>
          <w:rFonts w:eastAsia="Times New Roman"/>
          <w:szCs w:val="28"/>
          <w:lang w:eastAsia="ru-RU"/>
        </w:rPr>
        <w:t>).</w:t>
      </w:r>
    </w:p>
    <w:p w:rsidR="003B67F9" w:rsidRPr="00006A39" w:rsidRDefault="003B67F9" w:rsidP="00721203">
      <w:pPr>
        <w:widowControl w:val="0"/>
        <w:ind w:firstLine="709"/>
        <w:rPr>
          <w:rFonts w:eastAsia="Times New Roman"/>
          <w:szCs w:val="28"/>
          <w:lang w:eastAsia="ru-RU"/>
        </w:rPr>
      </w:pPr>
      <w:r w:rsidRPr="00006A39">
        <w:rPr>
          <w:rFonts w:eastAsia="Times New Roman"/>
          <w:szCs w:val="28"/>
          <w:lang w:eastAsia="ru-RU"/>
        </w:rPr>
        <w:t xml:space="preserve">Незважаючи на те, що в цілому за даними аналізу перинатальної допомоги у регіонах ІІ групи наявні вище середніх КДР, в усіх регіонах групи КДНЗ  </w:t>
      </w:r>
      <w:r w:rsidRPr="00006A39">
        <w:rPr>
          <w:rFonts w:eastAsia="Times New Roman"/>
          <w:szCs w:val="28"/>
          <w:lang w:eastAsia="uk-UA"/>
        </w:rPr>
        <w:t xml:space="preserve">частоти нормальних пологів </w:t>
      </w:r>
      <w:r w:rsidRPr="00006A39">
        <w:rPr>
          <w:rFonts w:eastAsia="Times New Roman"/>
          <w:szCs w:val="28"/>
          <w:lang w:eastAsia="ru-RU"/>
        </w:rPr>
        <w:t xml:space="preserve">є високими (0,87-1,0), а </w:t>
      </w:r>
      <w:r w:rsidRPr="00006A39">
        <w:rPr>
          <w:rFonts w:eastAsia="Times New Roman"/>
          <w:szCs w:val="28"/>
          <w:lang w:eastAsia="uk-UA"/>
        </w:rPr>
        <w:t>своєчасності постановки на облік вагітних, і виживання новонароджених з дуже малою масою тіла при народженні</w:t>
      </w:r>
      <w:r w:rsidRPr="00006A39">
        <w:rPr>
          <w:rFonts w:eastAsia="Times New Roman"/>
          <w:szCs w:val="28"/>
          <w:lang w:eastAsia="ru-RU"/>
        </w:rPr>
        <w:t xml:space="preserve"> – вище середніх і високі (0,78-1,0;  0,73-1,0 відповідно). Високими і вище середніх є і КДНЗ ІК розроджень вагітних з цукровим діабетом у ЗПД ІІІ рівня, з прееклампсією і еклампсією у ЗПД ІІ-ІІІ рівнів майже у всіх регіонах ІІ групи, за виключенням Рівненської області, де КДНЗ ІК розроджень вагітних з цукровим діабетом у ЗПД ІІІ рівня становить лише 0,21 та Київської області, де КДНЗ індексу концентрації розроджень вагітних з прееклампсією і еклампсією у ЗПД ІІ-ІІІ рівнів становить 0,5. КДНЗ ІК новонароджених з дуже малою масою тіла при народженні у ЗПД ІІІ рівня коливається від 1,0 у Харківській і Чернівецькій областях до 0,58 у Дніпропетровській, 0,64-0,69 у Вінницькій, Київській, Черкаській, Львівській, Одеській і Рівненсь</w:t>
      </w:r>
      <w:r w:rsidR="005F6838">
        <w:rPr>
          <w:rFonts w:eastAsia="Times New Roman"/>
          <w:szCs w:val="28"/>
          <w:lang w:eastAsia="ru-RU"/>
        </w:rPr>
        <w:t>кій областях. При цьому КДНЗ індексу неонатальних трансферів (ІНТ)</w:t>
      </w:r>
      <w:r w:rsidRPr="00006A39">
        <w:rPr>
          <w:rFonts w:eastAsia="Times New Roman"/>
          <w:szCs w:val="28"/>
          <w:lang w:eastAsia="ru-RU"/>
        </w:rPr>
        <w:t xml:space="preserve"> у більшості областей є низьким і нижче середнього, за виключенням Кіровоградської, Київської і Луганської областей, де він становить 0,97, 0,73 і 0,73 відповідно. Значні розбіжності в регіонах ІІ групи характерні для КДНЗ частоти </w:t>
      </w:r>
      <w:r w:rsidRPr="00006A39">
        <w:rPr>
          <w:rFonts w:eastAsia="Times New Roman"/>
          <w:szCs w:val="28"/>
          <w:lang w:eastAsia="ru-RU"/>
        </w:rPr>
        <w:lastRenderedPageBreak/>
        <w:t>анемій вагітних – від 0,43 у Чернівецькій, 0,47 у Луганській до 0,89 у Хмельницькій, 0,99 у Черкаській областях, прееклампсій і еклампсій (КДНЗ 0,03 у Чернівецькій, і 1,0 у Рівненській і Дніпропетровській областях), частоти розроджень вагітних шляхом кесаревого розтину – від 0,36 у Харківській, 0,52-0,59 у Кіровоградській, Київській, Луганській, Одеській, Хмельницькій до 1,0 у Дніпропетровській, 0,91-0,97 у Черкаській, Львівській,</w:t>
      </w:r>
      <w:r w:rsidR="0065410A">
        <w:rPr>
          <w:rFonts w:eastAsia="Times New Roman"/>
          <w:szCs w:val="28"/>
          <w:lang w:eastAsia="ru-RU"/>
        </w:rPr>
        <w:t xml:space="preserve"> Вінницькій областях (табл.</w:t>
      </w:r>
      <w:r w:rsidR="00947A8E">
        <w:rPr>
          <w:rFonts w:eastAsia="Times New Roman"/>
          <w:szCs w:val="28"/>
          <w:lang w:eastAsia="ru-RU"/>
        </w:rPr>
        <w:t xml:space="preserve"> 7.</w:t>
      </w:r>
      <w:r w:rsidR="00947A8E" w:rsidRPr="00C65B63">
        <w:rPr>
          <w:rFonts w:eastAsia="Times New Roman"/>
          <w:szCs w:val="28"/>
          <w:lang w:eastAsia="ru-RU"/>
        </w:rPr>
        <w:t>9</w:t>
      </w:r>
      <w:r w:rsidRPr="00006A39">
        <w:rPr>
          <w:rFonts w:eastAsia="Times New Roman"/>
          <w:szCs w:val="28"/>
          <w:lang w:eastAsia="ru-RU"/>
        </w:rPr>
        <w:t>).</w:t>
      </w:r>
    </w:p>
    <w:p w:rsidR="003B67F9" w:rsidRPr="00006A39" w:rsidRDefault="003B67F9" w:rsidP="00721203">
      <w:pPr>
        <w:widowControl w:val="0"/>
        <w:ind w:firstLine="709"/>
        <w:rPr>
          <w:rFonts w:eastAsia="Times New Roman"/>
          <w:szCs w:val="28"/>
          <w:lang w:eastAsia="ru-RU"/>
        </w:rPr>
      </w:pPr>
      <w:r w:rsidRPr="00006A39">
        <w:rPr>
          <w:rFonts w:eastAsia="Times New Roman"/>
          <w:szCs w:val="28"/>
          <w:lang w:eastAsia="ru-RU"/>
        </w:rPr>
        <w:t>Недостатнім у більшості регіонів групи є забезпечення нормативного показника акушерських кровотеч з коливанням КДНЗ частоти кровотеч в послідовому і післяродовому періодах – 0,0 у Черкаській, Київській і Луганській, 0,06-0,52 у Вінницькій, Харківській, Кіровоградській при 1,0 у Львівській і Ч</w:t>
      </w:r>
      <w:r w:rsidR="00947A8E">
        <w:rPr>
          <w:rFonts w:eastAsia="Times New Roman"/>
          <w:szCs w:val="28"/>
          <w:lang w:eastAsia="ru-RU"/>
        </w:rPr>
        <w:t>ернівецькій областях (табл. 7.</w:t>
      </w:r>
      <w:r w:rsidR="00947A8E" w:rsidRPr="00C65B63">
        <w:rPr>
          <w:rFonts w:eastAsia="Times New Roman"/>
          <w:szCs w:val="28"/>
          <w:lang w:eastAsia="ru-RU"/>
        </w:rPr>
        <w:t>9</w:t>
      </w:r>
      <w:r w:rsidRPr="00006A39">
        <w:rPr>
          <w:rFonts w:eastAsia="Times New Roman"/>
          <w:szCs w:val="28"/>
          <w:lang w:eastAsia="ru-RU"/>
        </w:rPr>
        <w:t>).</w:t>
      </w:r>
    </w:p>
    <w:p w:rsidR="003B67F9" w:rsidRPr="00006A39" w:rsidRDefault="003B67F9" w:rsidP="00721203">
      <w:pPr>
        <w:widowControl w:val="0"/>
        <w:ind w:firstLine="709"/>
        <w:rPr>
          <w:rFonts w:eastAsia="Times New Roman"/>
          <w:color w:val="5F497A"/>
          <w:szCs w:val="28"/>
          <w:lang w:eastAsia="ru-RU"/>
        </w:rPr>
      </w:pPr>
      <w:r w:rsidRPr="00006A39">
        <w:rPr>
          <w:rFonts w:eastAsia="Times New Roman"/>
          <w:szCs w:val="28"/>
          <w:lang w:eastAsia="ru-RU"/>
        </w:rPr>
        <w:t xml:space="preserve">За нашими розрахунками, за результатами </w:t>
      </w:r>
      <w:r w:rsidR="005F6838">
        <w:rPr>
          <w:rFonts w:eastAsia="Times New Roman"/>
          <w:szCs w:val="28"/>
          <w:lang w:eastAsia="ru-RU"/>
        </w:rPr>
        <w:t>комплексної оцінки у переважній</w:t>
      </w:r>
      <w:r w:rsidRPr="00006A39">
        <w:rPr>
          <w:rFonts w:eastAsia="Times New Roman"/>
          <w:szCs w:val="28"/>
          <w:lang w:eastAsia="ru-RU"/>
        </w:rPr>
        <w:t xml:space="preserve"> більшості регіонів групи, за виключенням Черкаської, Хмельницької і Рівненської областей, досягнуто нормативне значення рівня материнської смертності, КДНЗ рівня перинатальної смертності є високим у Київській (1,0), Луганській (1,0), Рівненській (0,83), Чернівецькій (0,87), Хмельницькій (0,89), Вінницькій (0,85), вище середнього – у Черкаській (0,76) і Харківській (0,70), середнім у Львівській (0,65) і Одеській (0,68), нижче середнього у Дніпропетровській (0,59) і низьким у Кіровоградській (0,11) областях. Більш низькими є КДНЗ рівня неонатальної смертності – високі і вище середніх лише у Київській (1,0) і Вінницькій (0,94), Дніпропетровській (0,83) і Харківській (0,74), середні і нижче середніх у Черкаській (0,63), Хмельницькій (0,59), Луганській (0,58), Рівненській (0,56) і низькі – у Кіровоградській (0,00), Чернівецькій (0,20), Львівській (0,25) та і Одеській областя</w:t>
      </w:r>
      <w:r w:rsidR="00D62185">
        <w:rPr>
          <w:rFonts w:eastAsia="Times New Roman"/>
          <w:szCs w:val="28"/>
          <w:lang w:eastAsia="ru-RU"/>
        </w:rPr>
        <w:t>х (0,47) (табл. 7.</w:t>
      </w:r>
      <w:r w:rsidR="00D62185" w:rsidRPr="00C65B63">
        <w:rPr>
          <w:rFonts w:eastAsia="Times New Roman"/>
          <w:szCs w:val="28"/>
          <w:lang w:eastAsia="ru-RU"/>
        </w:rPr>
        <w:t>9</w:t>
      </w:r>
      <w:r w:rsidRPr="00006A39">
        <w:rPr>
          <w:rFonts w:eastAsia="Times New Roman"/>
          <w:szCs w:val="28"/>
          <w:lang w:eastAsia="ru-RU"/>
        </w:rPr>
        <w:t>).</w:t>
      </w:r>
    </w:p>
    <w:p w:rsidR="003B67F9" w:rsidRPr="00006A39" w:rsidRDefault="003B67F9" w:rsidP="00721203">
      <w:pPr>
        <w:widowControl w:val="0"/>
        <w:ind w:firstLine="709"/>
        <w:rPr>
          <w:rFonts w:eastAsia="Times New Roman"/>
          <w:b/>
          <w:szCs w:val="28"/>
          <w:lang w:eastAsia="ru-RU"/>
        </w:rPr>
      </w:pPr>
      <w:r w:rsidRPr="00006A39">
        <w:rPr>
          <w:rFonts w:eastAsia="Times New Roman"/>
          <w:szCs w:val="28"/>
          <w:lang w:eastAsia="ru-RU"/>
        </w:rPr>
        <w:t xml:space="preserve">У ІІІ групу нами включено регіони з середнім рівнем ККО (0,64-0,69) – Миколаївська, Чернігівська, Херсонська, Донецька, Волинська і </w:t>
      </w:r>
      <w:r w:rsidR="003044E8">
        <w:rPr>
          <w:rFonts w:eastAsia="Times New Roman"/>
          <w:szCs w:val="28"/>
          <w:lang w:eastAsia="ru-RU"/>
        </w:rPr>
        <w:t>Закарпатська області (табл. 7.10</w:t>
      </w:r>
      <w:r w:rsidRPr="00006A39">
        <w:rPr>
          <w:rFonts w:eastAsia="Times New Roman"/>
          <w:szCs w:val="28"/>
          <w:lang w:eastAsia="ru-RU"/>
        </w:rPr>
        <w:t>). Слід відмітити, що в цих регіонах відсутні ПЦ ІІІ рівня, а ЗПД ІІІ рівня функціонують лише у Херсонській і Миколаївській областях</w:t>
      </w:r>
      <w:r w:rsidR="00D62185" w:rsidRPr="00D62185">
        <w:rPr>
          <w:rFonts w:eastAsia="Times New Roman"/>
          <w:szCs w:val="28"/>
          <w:lang w:eastAsia="ru-RU"/>
        </w:rPr>
        <w:t xml:space="preserve"> (табл. </w:t>
      </w:r>
      <w:r w:rsidR="00D62185">
        <w:rPr>
          <w:rFonts w:eastAsia="Times New Roman"/>
          <w:szCs w:val="28"/>
          <w:lang w:val="ru-RU" w:eastAsia="ru-RU"/>
        </w:rPr>
        <w:t>7.10)</w:t>
      </w:r>
      <w:r w:rsidRPr="00006A39">
        <w:rPr>
          <w:rFonts w:eastAsia="Times New Roman"/>
          <w:szCs w:val="28"/>
          <w:lang w:eastAsia="ru-RU"/>
        </w:rPr>
        <w:t>.</w:t>
      </w:r>
    </w:p>
    <w:p w:rsidR="00002C5A" w:rsidRDefault="00002C5A" w:rsidP="00721203">
      <w:pPr>
        <w:widowControl w:val="0"/>
        <w:ind w:firstLine="709"/>
        <w:jc w:val="right"/>
        <w:rPr>
          <w:rFonts w:eastAsia="Times New Roman"/>
          <w:i/>
          <w:szCs w:val="28"/>
          <w:lang w:val="ru-RU" w:eastAsia="ru-RU"/>
        </w:rPr>
      </w:pPr>
    </w:p>
    <w:p w:rsidR="00595829" w:rsidRDefault="00595829" w:rsidP="00721203">
      <w:pPr>
        <w:widowControl w:val="0"/>
        <w:ind w:firstLine="709"/>
        <w:jc w:val="right"/>
        <w:rPr>
          <w:rFonts w:eastAsia="Times New Roman"/>
          <w:i/>
          <w:szCs w:val="28"/>
          <w:lang w:eastAsia="ru-RU"/>
        </w:rPr>
      </w:pPr>
    </w:p>
    <w:p w:rsidR="003B67F9" w:rsidRPr="00006A39" w:rsidRDefault="003044E8" w:rsidP="00843824">
      <w:pPr>
        <w:pageBreakBefore/>
        <w:widowControl w:val="0"/>
        <w:ind w:firstLine="709"/>
        <w:jc w:val="right"/>
        <w:rPr>
          <w:rFonts w:eastAsia="Times New Roman"/>
          <w:i/>
          <w:szCs w:val="28"/>
          <w:lang w:eastAsia="ru-RU"/>
        </w:rPr>
      </w:pPr>
      <w:r>
        <w:rPr>
          <w:rFonts w:eastAsia="Times New Roman"/>
          <w:i/>
          <w:szCs w:val="28"/>
          <w:lang w:eastAsia="ru-RU"/>
        </w:rPr>
        <w:lastRenderedPageBreak/>
        <w:t>Таблиця 7.10</w:t>
      </w:r>
    </w:p>
    <w:p w:rsidR="003B67F9" w:rsidRPr="00006A39" w:rsidRDefault="003B67F9" w:rsidP="00721203">
      <w:pPr>
        <w:widowControl w:val="0"/>
        <w:jc w:val="center"/>
        <w:rPr>
          <w:rFonts w:eastAsia="Times New Roman"/>
          <w:b/>
          <w:color w:val="000000"/>
          <w:szCs w:val="28"/>
          <w:lang w:eastAsia="ru-RU"/>
        </w:rPr>
      </w:pPr>
      <w:r w:rsidRPr="00006A39">
        <w:rPr>
          <w:rFonts w:eastAsia="Times New Roman"/>
          <w:b/>
          <w:color w:val="000000"/>
          <w:szCs w:val="28"/>
          <w:lang w:eastAsia="ru-RU"/>
        </w:rPr>
        <w:t>Коефіцієнти досягнення нормативних показників перинатальної допомоги в регіонах ІІІ групи</w:t>
      </w:r>
    </w:p>
    <w:tbl>
      <w:tblPr>
        <w:tblW w:w="0" w:type="auto"/>
        <w:jc w:val="center"/>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55"/>
        <w:gridCol w:w="636"/>
        <w:gridCol w:w="636"/>
        <w:gridCol w:w="636"/>
        <w:gridCol w:w="636"/>
        <w:gridCol w:w="636"/>
        <w:gridCol w:w="636"/>
      </w:tblGrid>
      <w:tr w:rsidR="003B67F9" w:rsidRPr="000B2804" w:rsidTr="001918FC">
        <w:trPr>
          <w:cantSplit/>
          <w:trHeight w:val="1691"/>
          <w:jc w:val="center"/>
        </w:trPr>
        <w:tc>
          <w:tcPr>
            <w:tcW w:w="6355" w:type="dxa"/>
            <w:vAlign w:val="center"/>
          </w:tcPr>
          <w:p w:rsidR="003B67F9" w:rsidRPr="000B2804" w:rsidRDefault="003B67F9" w:rsidP="00002C5A">
            <w:pPr>
              <w:widowControl w:val="0"/>
              <w:spacing w:line="276" w:lineRule="auto"/>
              <w:jc w:val="center"/>
              <w:rPr>
                <w:rFonts w:eastAsia="Times New Roman"/>
                <w:color w:val="000000"/>
                <w:sz w:val="24"/>
                <w:szCs w:val="24"/>
                <w:lang w:eastAsia="ru-RU"/>
              </w:rPr>
            </w:pPr>
            <w:r w:rsidRPr="000B2804">
              <w:rPr>
                <w:rFonts w:eastAsia="Times New Roman"/>
                <w:color w:val="000000"/>
                <w:sz w:val="24"/>
                <w:szCs w:val="24"/>
                <w:lang w:eastAsia="ru-RU"/>
              </w:rPr>
              <w:t>Нормативний показник</w:t>
            </w:r>
          </w:p>
        </w:tc>
        <w:tc>
          <w:tcPr>
            <w:tcW w:w="0" w:type="auto"/>
            <w:textDirection w:val="btLr"/>
            <w:vAlign w:val="center"/>
          </w:tcPr>
          <w:p w:rsidR="003B67F9" w:rsidRPr="000B2804" w:rsidRDefault="003B67F9" w:rsidP="00002C5A">
            <w:pPr>
              <w:widowControl w:val="0"/>
              <w:spacing w:line="276" w:lineRule="auto"/>
              <w:jc w:val="center"/>
              <w:rPr>
                <w:rFonts w:eastAsia="Times New Roman"/>
                <w:color w:val="000000"/>
                <w:sz w:val="24"/>
                <w:szCs w:val="24"/>
                <w:lang w:eastAsia="ru-RU"/>
              </w:rPr>
            </w:pPr>
            <w:r w:rsidRPr="000B2804">
              <w:rPr>
                <w:rFonts w:eastAsia="Times New Roman"/>
                <w:color w:val="000000"/>
                <w:sz w:val="24"/>
                <w:szCs w:val="24"/>
                <w:lang w:eastAsia="ru-RU"/>
              </w:rPr>
              <w:t>Закарпатська</w:t>
            </w:r>
          </w:p>
        </w:tc>
        <w:tc>
          <w:tcPr>
            <w:tcW w:w="0" w:type="auto"/>
            <w:textDirection w:val="btLr"/>
            <w:vAlign w:val="center"/>
          </w:tcPr>
          <w:p w:rsidR="003B67F9" w:rsidRPr="000B2804" w:rsidRDefault="003B67F9" w:rsidP="00002C5A">
            <w:pPr>
              <w:widowControl w:val="0"/>
              <w:spacing w:line="276" w:lineRule="auto"/>
              <w:jc w:val="center"/>
              <w:rPr>
                <w:rFonts w:eastAsia="Times New Roman"/>
                <w:color w:val="000000"/>
                <w:sz w:val="24"/>
                <w:szCs w:val="24"/>
                <w:lang w:eastAsia="ru-RU"/>
              </w:rPr>
            </w:pPr>
            <w:r w:rsidRPr="000B2804">
              <w:rPr>
                <w:rFonts w:eastAsia="Times New Roman"/>
                <w:color w:val="000000"/>
                <w:sz w:val="24"/>
                <w:szCs w:val="24"/>
                <w:lang w:eastAsia="ru-RU"/>
              </w:rPr>
              <w:t>Волинська</w:t>
            </w:r>
          </w:p>
        </w:tc>
        <w:tc>
          <w:tcPr>
            <w:tcW w:w="0" w:type="auto"/>
            <w:textDirection w:val="btLr"/>
            <w:vAlign w:val="center"/>
          </w:tcPr>
          <w:p w:rsidR="003B67F9" w:rsidRPr="000B2804" w:rsidRDefault="003B67F9" w:rsidP="00002C5A">
            <w:pPr>
              <w:widowControl w:val="0"/>
              <w:spacing w:line="276" w:lineRule="auto"/>
              <w:jc w:val="center"/>
              <w:rPr>
                <w:rFonts w:eastAsia="Times New Roman"/>
                <w:color w:val="000000"/>
                <w:sz w:val="24"/>
                <w:szCs w:val="24"/>
                <w:lang w:eastAsia="ru-RU"/>
              </w:rPr>
            </w:pPr>
            <w:r w:rsidRPr="000B2804">
              <w:rPr>
                <w:rFonts w:eastAsia="Times New Roman"/>
                <w:color w:val="000000"/>
                <w:sz w:val="24"/>
                <w:szCs w:val="24"/>
                <w:lang w:eastAsia="ru-RU"/>
              </w:rPr>
              <w:t>Донецька</w:t>
            </w:r>
          </w:p>
        </w:tc>
        <w:tc>
          <w:tcPr>
            <w:tcW w:w="0" w:type="auto"/>
            <w:textDirection w:val="btLr"/>
            <w:vAlign w:val="center"/>
          </w:tcPr>
          <w:p w:rsidR="003B67F9" w:rsidRPr="000B2804" w:rsidRDefault="003B67F9" w:rsidP="00002C5A">
            <w:pPr>
              <w:widowControl w:val="0"/>
              <w:spacing w:line="276" w:lineRule="auto"/>
              <w:jc w:val="center"/>
              <w:rPr>
                <w:rFonts w:eastAsia="Times New Roman"/>
                <w:color w:val="000000"/>
                <w:sz w:val="24"/>
                <w:szCs w:val="24"/>
                <w:lang w:eastAsia="ru-RU"/>
              </w:rPr>
            </w:pPr>
            <w:r w:rsidRPr="000B2804">
              <w:rPr>
                <w:rFonts w:eastAsia="Times New Roman"/>
                <w:color w:val="000000"/>
                <w:sz w:val="24"/>
                <w:szCs w:val="24"/>
                <w:lang w:eastAsia="ru-RU"/>
              </w:rPr>
              <w:t>Херсонська</w:t>
            </w:r>
          </w:p>
        </w:tc>
        <w:tc>
          <w:tcPr>
            <w:tcW w:w="0" w:type="auto"/>
            <w:textDirection w:val="btLr"/>
            <w:vAlign w:val="center"/>
          </w:tcPr>
          <w:p w:rsidR="003B67F9" w:rsidRPr="000B2804" w:rsidRDefault="003B67F9" w:rsidP="00002C5A">
            <w:pPr>
              <w:widowControl w:val="0"/>
              <w:spacing w:line="276" w:lineRule="auto"/>
              <w:jc w:val="center"/>
              <w:rPr>
                <w:rFonts w:eastAsia="Times New Roman"/>
                <w:color w:val="000000"/>
                <w:sz w:val="24"/>
                <w:szCs w:val="24"/>
                <w:lang w:eastAsia="ru-RU"/>
              </w:rPr>
            </w:pPr>
            <w:r w:rsidRPr="000B2804">
              <w:rPr>
                <w:rFonts w:eastAsia="Times New Roman"/>
                <w:color w:val="000000"/>
                <w:sz w:val="24"/>
                <w:szCs w:val="24"/>
                <w:lang w:eastAsia="ru-RU"/>
              </w:rPr>
              <w:t>Чернігівська</w:t>
            </w:r>
          </w:p>
        </w:tc>
        <w:tc>
          <w:tcPr>
            <w:tcW w:w="0" w:type="auto"/>
            <w:textDirection w:val="btLr"/>
            <w:vAlign w:val="center"/>
          </w:tcPr>
          <w:p w:rsidR="003B67F9" w:rsidRPr="000B2804" w:rsidRDefault="003B67F9" w:rsidP="00002C5A">
            <w:pPr>
              <w:widowControl w:val="0"/>
              <w:spacing w:line="276" w:lineRule="auto"/>
              <w:jc w:val="center"/>
              <w:rPr>
                <w:rFonts w:eastAsia="Times New Roman"/>
                <w:color w:val="000000"/>
                <w:sz w:val="24"/>
                <w:szCs w:val="24"/>
                <w:lang w:eastAsia="ru-RU"/>
              </w:rPr>
            </w:pPr>
            <w:r w:rsidRPr="000B2804">
              <w:rPr>
                <w:rFonts w:eastAsia="Times New Roman"/>
                <w:color w:val="000000"/>
                <w:sz w:val="24"/>
                <w:szCs w:val="24"/>
                <w:lang w:eastAsia="ru-RU"/>
              </w:rPr>
              <w:t>Миколаївська</w:t>
            </w:r>
          </w:p>
        </w:tc>
      </w:tr>
      <w:tr w:rsidR="003B67F9" w:rsidRPr="000B2804" w:rsidTr="001918FC">
        <w:trPr>
          <w:jc w:val="center"/>
        </w:trPr>
        <w:tc>
          <w:tcPr>
            <w:tcW w:w="6355" w:type="dxa"/>
            <w:vAlign w:val="center"/>
          </w:tcPr>
          <w:p w:rsidR="003B67F9" w:rsidRPr="000B2804" w:rsidRDefault="003B67F9" w:rsidP="00002C5A">
            <w:pPr>
              <w:widowControl w:val="0"/>
              <w:spacing w:line="276" w:lineRule="auto"/>
              <w:rPr>
                <w:rFonts w:eastAsia="Times New Roman"/>
                <w:color w:val="000000"/>
                <w:sz w:val="24"/>
                <w:szCs w:val="24"/>
                <w:lang w:eastAsia="uk-UA"/>
              </w:rPr>
            </w:pPr>
            <w:r w:rsidRPr="000B2804">
              <w:rPr>
                <w:rFonts w:eastAsia="Times New Roman"/>
                <w:color w:val="000000"/>
                <w:sz w:val="24"/>
                <w:szCs w:val="24"/>
                <w:lang w:eastAsia="uk-UA"/>
              </w:rPr>
              <w:t>Забезпеченість лікарями акушер-гінекологами</w:t>
            </w:r>
          </w:p>
        </w:tc>
        <w:tc>
          <w:tcPr>
            <w:tcW w:w="0" w:type="auto"/>
            <w:vAlign w:val="center"/>
          </w:tcPr>
          <w:p w:rsidR="003B67F9" w:rsidRPr="000B2804" w:rsidRDefault="003B67F9" w:rsidP="00002C5A">
            <w:pPr>
              <w:widowControl w:val="0"/>
              <w:spacing w:line="276" w:lineRule="auto"/>
              <w:jc w:val="center"/>
              <w:rPr>
                <w:rFonts w:eastAsia="Times New Roman"/>
                <w:color w:val="000000"/>
                <w:sz w:val="24"/>
                <w:szCs w:val="24"/>
                <w:lang w:eastAsia="ru-RU"/>
              </w:rPr>
            </w:pPr>
            <w:r w:rsidRPr="000B2804">
              <w:rPr>
                <w:rFonts w:eastAsia="Times New Roman"/>
                <w:color w:val="000000"/>
                <w:sz w:val="24"/>
                <w:szCs w:val="24"/>
                <w:lang w:eastAsia="ru-RU"/>
              </w:rPr>
              <w:t>0,75</w:t>
            </w:r>
          </w:p>
        </w:tc>
        <w:tc>
          <w:tcPr>
            <w:tcW w:w="0" w:type="auto"/>
            <w:vAlign w:val="center"/>
          </w:tcPr>
          <w:p w:rsidR="003B67F9" w:rsidRPr="000B2804" w:rsidRDefault="003B67F9" w:rsidP="00002C5A">
            <w:pPr>
              <w:widowControl w:val="0"/>
              <w:spacing w:line="276" w:lineRule="auto"/>
              <w:jc w:val="center"/>
              <w:rPr>
                <w:rFonts w:eastAsia="Times New Roman"/>
                <w:color w:val="000000"/>
                <w:sz w:val="24"/>
                <w:szCs w:val="24"/>
                <w:lang w:eastAsia="ru-RU"/>
              </w:rPr>
            </w:pPr>
            <w:r w:rsidRPr="000B2804">
              <w:rPr>
                <w:rFonts w:eastAsia="Times New Roman"/>
                <w:color w:val="000000"/>
                <w:sz w:val="24"/>
                <w:szCs w:val="24"/>
                <w:lang w:eastAsia="ru-RU"/>
              </w:rPr>
              <w:t>0,90</w:t>
            </w:r>
          </w:p>
        </w:tc>
        <w:tc>
          <w:tcPr>
            <w:tcW w:w="0" w:type="auto"/>
            <w:vAlign w:val="center"/>
          </w:tcPr>
          <w:p w:rsidR="003B67F9" w:rsidRPr="000B2804" w:rsidRDefault="003B67F9" w:rsidP="00002C5A">
            <w:pPr>
              <w:widowControl w:val="0"/>
              <w:spacing w:line="276" w:lineRule="auto"/>
              <w:jc w:val="center"/>
              <w:rPr>
                <w:rFonts w:eastAsia="Times New Roman"/>
                <w:color w:val="000000"/>
                <w:sz w:val="24"/>
                <w:szCs w:val="24"/>
                <w:lang w:eastAsia="ru-RU"/>
              </w:rPr>
            </w:pPr>
            <w:r w:rsidRPr="000B2804">
              <w:rPr>
                <w:rFonts w:eastAsia="Times New Roman"/>
                <w:color w:val="000000"/>
                <w:sz w:val="24"/>
                <w:szCs w:val="24"/>
                <w:lang w:eastAsia="ru-RU"/>
              </w:rPr>
              <w:t>0,59</w:t>
            </w:r>
          </w:p>
        </w:tc>
        <w:tc>
          <w:tcPr>
            <w:tcW w:w="0" w:type="auto"/>
            <w:vAlign w:val="center"/>
          </w:tcPr>
          <w:p w:rsidR="003B67F9" w:rsidRPr="000B2804" w:rsidRDefault="003B67F9" w:rsidP="00002C5A">
            <w:pPr>
              <w:widowControl w:val="0"/>
              <w:spacing w:line="276" w:lineRule="auto"/>
              <w:jc w:val="center"/>
              <w:rPr>
                <w:rFonts w:eastAsia="Times New Roman"/>
                <w:color w:val="000000"/>
                <w:sz w:val="24"/>
                <w:szCs w:val="24"/>
                <w:lang w:eastAsia="ru-RU"/>
              </w:rPr>
            </w:pPr>
            <w:r w:rsidRPr="000B2804">
              <w:rPr>
                <w:rFonts w:eastAsia="Times New Roman"/>
                <w:color w:val="000000"/>
                <w:sz w:val="24"/>
                <w:szCs w:val="24"/>
                <w:lang w:eastAsia="ru-RU"/>
              </w:rPr>
              <w:t>0,77</w:t>
            </w:r>
          </w:p>
        </w:tc>
        <w:tc>
          <w:tcPr>
            <w:tcW w:w="0" w:type="auto"/>
            <w:vAlign w:val="center"/>
          </w:tcPr>
          <w:p w:rsidR="003B67F9" w:rsidRPr="000B2804" w:rsidRDefault="003B67F9" w:rsidP="00002C5A">
            <w:pPr>
              <w:widowControl w:val="0"/>
              <w:spacing w:line="276" w:lineRule="auto"/>
              <w:jc w:val="center"/>
              <w:rPr>
                <w:rFonts w:eastAsia="Times New Roman"/>
                <w:color w:val="000000"/>
                <w:sz w:val="24"/>
                <w:szCs w:val="24"/>
                <w:lang w:eastAsia="ru-RU"/>
              </w:rPr>
            </w:pPr>
            <w:r w:rsidRPr="000B2804">
              <w:rPr>
                <w:rFonts w:eastAsia="Times New Roman"/>
                <w:color w:val="000000"/>
                <w:sz w:val="24"/>
                <w:szCs w:val="24"/>
                <w:lang w:eastAsia="ru-RU"/>
              </w:rPr>
              <w:t>0,63</w:t>
            </w:r>
          </w:p>
        </w:tc>
        <w:tc>
          <w:tcPr>
            <w:tcW w:w="0" w:type="auto"/>
            <w:vAlign w:val="center"/>
          </w:tcPr>
          <w:p w:rsidR="003B67F9" w:rsidRPr="000B2804" w:rsidRDefault="003B67F9" w:rsidP="00002C5A">
            <w:pPr>
              <w:widowControl w:val="0"/>
              <w:spacing w:line="276" w:lineRule="auto"/>
              <w:jc w:val="center"/>
              <w:rPr>
                <w:rFonts w:eastAsia="Times New Roman"/>
                <w:color w:val="000000"/>
                <w:sz w:val="24"/>
                <w:szCs w:val="24"/>
                <w:lang w:eastAsia="ru-RU"/>
              </w:rPr>
            </w:pPr>
            <w:r w:rsidRPr="000B2804">
              <w:rPr>
                <w:rFonts w:eastAsia="Times New Roman"/>
                <w:color w:val="000000"/>
                <w:sz w:val="24"/>
                <w:szCs w:val="24"/>
                <w:lang w:eastAsia="ru-RU"/>
              </w:rPr>
              <w:t>0,67</w:t>
            </w:r>
          </w:p>
        </w:tc>
      </w:tr>
      <w:tr w:rsidR="003B67F9" w:rsidRPr="000B2804" w:rsidTr="001918FC">
        <w:trPr>
          <w:jc w:val="center"/>
        </w:trPr>
        <w:tc>
          <w:tcPr>
            <w:tcW w:w="6355" w:type="dxa"/>
            <w:vAlign w:val="bottom"/>
          </w:tcPr>
          <w:p w:rsidR="003B67F9" w:rsidRPr="000B2804" w:rsidRDefault="003B67F9" w:rsidP="00002C5A">
            <w:pPr>
              <w:widowControl w:val="0"/>
              <w:spacing w:line="276" w:lineRule="auto"/>
              <w:rPr>
                <w:rFonts w:eastAsia="Times New Roman"/>
                <w:color w:val="000000"/>
                <w:sz w:val="24"/>
                <w:szCs w:val="24"/>
                <w:lang w:eastAsia="uk-UA"/>
              </w:rPr>
            </w:pPr>
            <w:r w:rsidRPr="000B2804">
              <w:rPr>
                <w:rFonts w:eastAsia="Times New Roman"/>
                <w:color w:val="000000"/>
                <w:sz w:val="24"/>
                <w:szCs w:val="24"/>
                <w:lang w:eastAsia="uk-UA"/>
              </w:rPr>
              <w:t>Забезпеченість лікарями педіатрами-неонатологами</w:t>
            </w:r>
          </w:p>
        </w:tc>
        <w:tc>
          <w:tcPr>
            <w:tcW w:w="0" w:type="auto"/>
            <w:vAlign w:val="center"/>
          </w:tcPr>
          <w:p w:rsidR="003B67F9" w:rsidRPr="000B2804" w:rsidRDefault="003B67F9" w:rsidP="00002C5A">
            <w:pPr>
              <w:widowControl w:val="0"/>
              <w:spacing w:line="276" w:lineRule="auto"/>
              <w:jc w:val="center"/>
              <w:rPr>
                <w:rFonts w:eastAsia="Times New Roman"/>
                <w:color w:val="000000"/>
                <w:sz w:val="24"/>
                <w:szCs w:val="24"/>
                <w:lang w:eastAsia="ru-RU"/>
              </w:rPr>
            </w:pPr>
            <w:r w:rsidRPr="000B2804">
              <w:rPr>
                <w:rFonts w:eastAsia="Times New Roman"/>
                <w:color w:val="000000"/>
                <w:sz w:val="24"/>
                <w:szCs w:val="24"/>
                <w:lang w:eastAsia="ru-RU"/>
              </w:rPr>
              <w:t>0,63</w:t>
            </w:r>
          </w:p>
        </w:tc>
        <w:tc>
          <w:tcPr>
            <w:tcW w:w="0" w:type="auto"/>
            <w:vAlign w:val="center"/>
          </w:tcPr>
          <w:p w:rsidR="003B67F9" w:rsidRPr="000B2804" w:rsidRDefault="003B67F9" w:rsidP="00002C5A">
            <w:pPr>
              <w:widowControl w:val="0"/>
              <w:spacing w:line="276" w:lineRule="auto"/>
              <w:jc w:val="center"/>
              <w:rPr>
                <w:rFonts w:eastAsia="Times New Roman"/>
                <w:color w:val="000000"/>
                <w:sz w:val="24"/>
                <w:szCs w:val="24"/>
                <w:lang w:eastAsia="ru-RU"/>
              </w:rPr>
            </w:pPr>
            <w:r w:rsidRPr="000B2804">
              <w:rPr>
                <w:rFonts w:eastAsia="Times New Roman"/>
                <w:color w:val="000000"/>
                <w:sz w:val="24"/>
                <w:szCs w:val="24"/>
                <w:lang w:eastAsia="ru-RU"/>
              </w:rPr>
              <w:t>0,54</w:t>
            </w:r>
          </w:p>
        </w:tc>
        <w:tc>
          <w:tcPr>
            <w:tcW w:w="0" w:type="auto"/>
            <w:vAlign w:val="center"/>
          </w:tcPr>
          <w:p w:rsidR="003B67F9" w:rsidRPr="000B2804" w:rsidRDefault="003B67F9" w:rsidP="00002C5A">
            <w:pPr>
              <w:widowControl w:val="0"/>
              <w:spacing w:line="276" w:lineRule="auto"/>
              <w:jc w:val="center"/>
              <w:rPr>
                <w:rFonts w:eastAsia="Times New Roman"/>
                <w:color w:val="000000"/>
                <w:sz w:val="24"/>
                <w:szCs w:val="24"/>
                <w:lang w:eastAsia="ru-RU"/>
              </w:rPr>
            </w:pPr>
            <w:r w:rsidRPr="000B2804">
              <w:rPr>
                <w:rFonts w:eastAsia="Times New Roman"/>
                <w:color w:val="000000"/>
                <w:sz w:val="24"/>
                <w:szCs w:val="24"/>
                <w:lang w:eastAsia="ru-RU"/>
              </w:rPr>
              <w:t>0,71</w:t>
            </w:r>
          </w:p>
        </w:tc>
        <w:tc>
          <w:tcPr>
            <w:tcW w:w="0" w:type="auto"/>
            <w:vAlign w:val="center"/>
          </w:tcPr>
          <w:p w:rsidR="003B67F9" w:rsidRPr="000B2804" w:rsidRDefault="003B67F9" w:rsidP="00002C5A">
            <w:pPr>
              <w:widowControl w:val="0"/>
              <w:spacing w:line="276" w:lineRule="auto"/>
              <w:jc w:val="center"/>
              <w:rPr>
                <w:rFonts w:eastAsia="Times New Roman"/>
                <w:color w:val="000000"/>
                <w:sz w:val="24"/>
                <w:szCs w:val="24"/>
                <w:lang w:eastAsia="ru-RU"/>
              </w:rPr>
            </w:pPr>
            <w:r w:rsidRPr="000B2804">
              <w:rPr>
                <w:rFonts w:eastAsia="Times New Roman"/>
                <w:color w:val="000000"/>
                <w:sz w:val="24"/>
                <w:szCs w:val="24"/>
                <w:lang w:eastAsia="ru-RU"/>
              </w:rPr>
              <w:t>0,64</w:t>
            </w:r>
          </w:p>
        </w:tc>
        <w:tc>
          <w:tcPr>
            <w:tcW w:w="0" w:type="auto"/>
            <w:vAlign w:val="center"/>
          </w:tcPr>
          <w:p w:rsidR="003B67F9" w:rsidRPr="000B2804" w:rsidRDefault="003B67F9" w:rsidP="00002C5A">
            <w:pPr>
              <w:widowControl w:val="0"/>
              <w:spacing w:line="276" w:lineRule="auto"/>
              <w:jc w:val="center"/>
              <w:rPr>
                <w:rFonts w:eastAsia="Times New Roman"/>
                <w:color w:val="000000"/>
                <w:sz w:val="24"/>
                <w:szCs w:val="24"/>
                <w:lang w:eastAsia="ru-RU"/>
              </w:rPr>
            </w:pPr>
            <w:r w:rsidRPr="000B2804">
              <w:rPr>
                <w:rFonts w:eastAsia="Times New Roman"/>
                <w:color w:val="000000"/>
                <w:sz w:val="24"/>
                <w:szCs w:val="24"/>
                <w:lang w:eastAsia="ru-RU"/>
              </w:rPr>
              <w:t>0,67</w:t>
            </w:r>
          </w:p>
        </w:tc>
        <w:tc>
          <w:tcPr>
            <w:tcW w:w="0" w:type="auto"/>
            <w:vAlign w:val="center"/>
          </w:tcPr>
          <w:p w:rsidR="003B67F9" w:rsidRPr="000B2804" w:rsidRDefault="003B67F9" w:rsidP="00002C5A">
            <w:pPr>
              <w:widowControl w:val="0"/>
              <w:spacing w:line="276" w:lineRule="auto"/>
              <w:jc w:val="center"/>
              <w:rPr>
                <w:rFonts w:eastAsia="Times New Roman"/>
                <w:color w:val="000000"/>
                <w:sz w:val="24"/>
                <w:szCs w:val="24"/>
                <w:lang w:eastAsia="ru-RU"/>
              </w:rPr>
            </w:pPr>
            <w:r w:rsidRPr="000B2804">
              <w:rPr>
                <w:rFonts w:eastAsia="Times New Roman"/>
                <w:color w:val="000000"/>
                <w:sz w:val="24"/>
                <w:szCs w:val="24"/>
                <w:lang w:eastAsia="ru-RU"/>
              </w:rPr>
              <w:t>0,44</w:t>
            </w:r>
          </w:p>
        </w:tc>
      </w:tr>
      <w:tr w:rsidR="003B67F9" w:rsidRPr="000B2804" w:rsidTr="001918FC">
        <w:trPr>
          <w:jc w:val="center"/>
        </w:trPr>
        <w:tc>
          <w:tcPr>
            <w:tcW w:w="6355" w:type="dxa"/>
            <w:tcBorders>
              <w:top w:val="single" w:sz="4" w:space="0" w:color="auto"/>
              <w:left w:val="single" w:sz="4" w:space="0" w:color="auto"/>
              <w:bottom w:val="single" w:sz="4" w:space="0" w:color="auto"/>
              <w:right w:val="single" w:sz="4" w:space="0" w:color="auto"/>
            </w:tcBorders>
            <w:vAlign w:val="bottom"/>
          </w:tcPr>
          <w:p w:rsidR="003B67F9" w:rsidRPr="000B2804" w:rsidRDefault="003B67F9" w:rsidP="00002C5A">
            <w:pPr>
              <w:widowControl w:val="0"/>
              <w:spacing w:line="276" w:lineRule="auto"/>
              <w:rPr>
                <w:rFonts w:eastAsia="Times New Roman"/>
                <w:color w:val="000000"/>
                <w:sz w:val="24"/>
                <w:szCs w:val="24"/>
                <w:lang w:eastAsia="uk-UA"/>
              </w:rPr>
            </w:pPr>
            <w:r w:rsidRPr="000B2804">
              <w:rPr>
                <w:rFonts w:eastAsia="Times New Roman"/>
                <w:color w:val="000000"/>
                <w:sz w:val="24"/>
                <w:szCs w:val="24"/>
                <w:lang w:eastAsia="uk-UA"/>
              </w:rPr>
              <w:t>Своєчасність постановки на облік вагітних</w:t>
            </w:r>
          </w:p>
        </w:tc>
        <w:tc>
          <w:tcPr>
            <w:tcW w:w="0" w:type="auto"/>
            <w:tcBorders>
              <w:top w:val="single" w:sz="4" w:space="0" w:color="auto"/>
              <w:left w:val="single" w:sz="4" w:space="0" w:color="auto"/>
              <w:bottom w:val="single" w:sz="4" w:space="0" w:color="auto"/>
              <w:right w:val="single" w:sz="4" w:space="0" w:color="auto"/>
            </w:tcBorders>
            <w:vAlign w:val="center"/>
          </w:tcPr>
          <w:p w:rsidR="003B67F9" w:rsidRPr="000B2804" w:rsidRDefault="003B67F9" w:rsidP="00002C5A">
            <w:pPr>
              <w:widowControl w:val="0"/>
              <w:spacing w:line="276" w:lineRule="auto"/>
              <w:jc w:val="center"/>
              <w:rPr>
                <w:rFonts w:eastAsia="Times New Roman"/>
                <w:color w:val="000000"/>
                <w:sz w:val="24"/>
                <w:szCs w:val="24"/>
                <w:lang w:eastAsia="ru-RU"/>
              </w:rPr>
            </w:pPr>
            <w:r w:rsidRPr="000B2804">
              <w:rPr>
                <w:rFonts w:eastAsia="Times New Roman"/>
                <w:color w:val="000000"/>
                <w:sz w:val="24"/>
                <w:szCs w:val="24"/>
                <w:lang w:eastAsia="ru-RU"/>
              </w:rPr>
              <w:t>0,97</w:t>
            </w:r>
          </w:p>
        </w:tc>
        <w:tc>
          <w:tcPr>
            <w:tcW w:w="0" w:type="auto"/>
            <w:tcBorders>
              <w:top w:val="single" w:sz="4" w:space="0" w:color="auto"/>
              <w:left w:val="single" w:sz="4" w:space="0" w:color="auto"/>
              <w:bottom w:val="single" w:sz="4" w:space="0" w:color="auto"/>
              <w:right w:val="single" w:sz="4" w:space="0" w:color="auto"/>
            </w:tcBorders>
            <w:vAlign w:val="center"/>
          </w:tcPr>
          <w:p w:rsidR="003B67F9" w:rsidRPr="000B2804" w:rsidRDefault="003B67F9" w:rsidP="00002C5A">
            <w:pPr>
              <w:widowControl w:val="0"/>
              <w:spacing w:line="276" w:lineRule="auto"/>
              <w:jc w:val="center"/>
              <w:rPr>
                <w:rFonts w:eastAsia="Times New Roman"/>
                <w:color w:val="000000"/>
                <w:sz w:val="24"/>
                <w:szCs w:val="24"/>
                <w:lang w:eastAsia="ru-RU"/>
              </w:rPr>
            </w:pPr>
            <w:r w:rsidRPr="000B2804">
              <w:rPr>
                <w:rFonts w:eastAsia="Times New Roman"/>
                <w:color w:val="000000"/>
                <w:sz w:val="24"/>
                <w:szCs w:val="24"/>
                <w:lang w:eastAsia="ru-RU"/>
              </w:rPr>
              <w:t>0,99</w:t>
            </w:r>
          </w:p>
        </w:tc>
        <w:tc>
          <w:tcPr>
            <w:tcW w:w="0" w:type="auto"/>
            <w:tcBorders>
              <w:top w:val="single" w:sz="4" w:space="0" w:color="auto"/>
              <w:left w:val="single" w:sz="4" w:space="0" w:color="auto"/>
              <w:bottom w:val="single" w:sz="4" w:space="0" w:color="auto"/>
              <w:right w:val="single" w:sz="4" w:space="0" w:color="auto"/>
            </w:tcBorders>
            <w:vAlign w:val="center"/>
          </w:tcPr>
          <w:p w:rsidR="003B67F9" w:rsidRPr="000B2804" w:rsidRDefault="003B67F9" w:rsidP="00002C5A">
            <w:pPr>
              <w:widowControl w:val="0"/>
              <w:spacing w:line="276" w:lineRule="auto"/>
              <w:jc w:val="center"/>
              <w:rPr>
                <w:rFonts w:eastAsia="Times New Roman"/>
                <w:color w:val="000000"/>
                <w:sz w:val="24"/>
                <w:szCs w:val="24"/>
                <w:lang w:eastAsia="ru-RU"/>
              </w:rPr>
            </w:pPr>
            <w:r w:rsidRPr="000B2804">
              <w:rPr>
                <w:rFonts w:eastAsia="Times New Roman"/>
                <w:color w:val="000000"/>
                <w:sz w:val="24"/>
                <w:szCs w:val="24"/>
                <w:lang w:eastAsia="ru-RU"/>
              </w:rPr>
              <w:t>0,97</w:t>
            </w:r>
          </w:p>
        </w:tc>
        <w:tc>
          <w:tcPr>
            <w:tcW w:w="0" w:type="auto"/>
            <w:tcBorders>
              <w:top w:val="single" w:sz="4" w:space="0" w:color="auto"/>
              <w:left w:val="single" w:sz="4" w:space="0" w:color="auto"/>
              <w:bottom w:val="single" w:sz="4" w:space="0" w:color="auto"/>
              <w:right w:val="single" w:sz="4" w:space="0" w:color="auto"/>
            </w:tcBorders>
            <w:vAlign w:val="center"/>
          </w:tcPr>
          <w:p w:rsidR="003B67F9" w:rsidRPr="000B2804" w:rsidRDefault="003B67F9" w:rsidP="00002C5A">
            <w:pPr>
              <w:widowControl w:val="0"/>
              <w:spacing w:line="276" w:lineRule="auto"/>
              <w:jc w:val="center"/>
              <w:rPr>
                <w:rFonts w:eastAsia="Times New Roman"/>
                <w:color w:val="000000"/>
                <w:sz w:val="24"/>
                <w:szCs w:val="24"/>
                <w:lang w:eastAsia="ru-RU"/>
              </w:rPr>
            </w:pPr>
            <w:r w:rsidRPr="000B2804">
              <w:rPr>
                <w:rFonts w:eastAsia="Times New Roman"/>
                <w:color w:val="000000"/>
                <w:sz w:val="24"/>
                <w:szCs w:val="24"/>
                <w:lang w:eastAsia="ru-RU"/>
              </w:rPr>
              <w:t>1,00</w:t>
            </w:r>
          </w:p>
        </w:tc>
        <w:tc>
          <w:tcPr>
            <w:tcW w:w="0" w:type="auto"/>
            <w:tcBorders>
              <w:top w:val="single" w:sz="4" w:space="0" w:color="auto"/>
              <w:left w:val="single" w:sz="4" w:space="0" w:color="auto"/>
              <w:bottom w:val="single" w:sz="4" w:space="0" w:color="auto"/>
              <w:right w:val="single" w:sz="4" w:space="0" w:color="auto"/>
            </w:tcBorders>
            <w:vAlign w:val="center"/>
          </w:tcPr>
          <w:p w:rsidR="003B67F9" w:rsidRPr="000B2804" w:rsidRDefault="003B67F9" w:rsidP="00002C5A">
            <w:pPr>
              <w:widowControl w:val="0"/>
              <w:spacing w:line="276" w:lineRule="auto"/>
              <w:jc w:val="center"/>
              <w:rPr>
                <w:rFonts w:eastAsia="Times New Roman"/>
                <w:color w:val="000000"/>
                <w:sz w:val="24"/>
                <w:szCs w:val="24"/>
                <w:lang w:eastAsia="ru-RU"/>
              </w:rPr>
            </w:pPr>
            <w:r w:rsidRPr="000B2804">
              <w:rPr>
                <w:rFonts w:eastAsia="Times New Roman"/>
                <w:color w:val="000000"/>
                <w:sz w:val="24"/>
                <w:szCs w:val="24"/>
                <w:lang w:eastAsia="ru-RU"/>
              </w:rPr>
              <w:t>1,00</w:t>
            </w:r>
          </w:p>
        </w:tc>
        <w:tc>
          <w:tcPr>
            <w:tcW w:w="0" w:type="auto"/>
            <w:tcBorders>
              <w:top w:val="single" w:sz="4" w:space="0" w:color="auto"/>
              <w:left w:val="single" w:sz="4" w:space="0" w:color="auto"/>
              <w:bottom w:val="single" w:sz="4" w:space="0" w:color="auto"/>
              <w:right w:val="single" w:sz="4" w:space="0" w:color="auto"/>
            </w:tcBorders>
            <w:vAlign w:val="center"/>
          </w:tcPr>
          <w:p w:rsidR="003B67F9" w:rsidRPr="000B2804" w:rsidRDefault="003B67F9" w:rsidP="00002C5A">
            <w:pPr>
              <w:widowControl w:val="0"/>
              <w:spacing w:line="276" w:lineRule="auto"/>
              <w:jc w:val="center"/>
              <w:rPr>
                <w:rFonts w:eastAsia="Times New Roman"/>
                <w:color w:val="000000"/>
                <w:sz w:val="24"/>
                <w:szCs w:val="24"/>
                <w:lang w:eastAsia="ru-RU"/>
              </w:rPr>
            </w:pPr>
            <w:r w:rsidRPr="000B2804">
              <w:rPr>
                <w:rFonts w:eastAsia="Times New Roman"/>
                <w:color w:val="000000"/>
                <w:sz w:val="24"/>
                <w:szCs w:val="24"/>
                <w:lang w:eastAsia="ru-RU"/>
              </w:rPr>
              <w:t>0,92</w:t>
            </w:r>
          </w:p>
        </w:tc>
      </w:tr>
      <w:tr w:rsidR="003B67F9" w:rsidRPr="000B2804" w:rsidTr="001918FC">
        <w:trPr>
          <w:jc w:val="center"/>
        </w:trPr>
        <w:tc>
          <w:tcPr>
            <w:tcW w:w="6355" w:type="dxa"/>
            <w:tcBorders>
              <w:top w:val="single" w:sz="4" w:space="0" w:color="auto"/>
              <w:left w:val="single" w:sz="4" w:space="0" w:color="auto"/>
              <w:bottom w:val="single" w:sz="4" w:space="0" w:color="auto"/>
              <w:right w:val="single" w:sz="4" w:space="0" w:color="auto"/>
            </w:tcBorders>
            <w:vAlign w:val="bottom"/>
          </w:tcPr>
          <w:p w:rsidR="003B67F9" w:rsidRPr="000B2804" w:rsidRDefault="003B67F9" w:rsidP="00002C5A">
            <w:pPr>
              <w:widowControl w:val="0"/>
              <w:spacing w:line="276" w:lineRule="auto"/>
              <w:rPr>
                <w:rFonts w:eastAsia="Times New Roman"/>
                <w:color w:val="000000"/>
                <w:sz w:val="24"/>
                <w:szCs w:val="24"/>
                <w:lang w:eastAsia="uk-UA"/>
              </w:rPr>
            </w:pPr>
            <w:r w:rsidRPr="000B2804">
              <w:rPr>
                <w:rFonts w:eastAsia="Times New Roman"/>
                <w:color w:val="000000"/>
                <w:sz w:val="24"/>
                <w:szCs w:val="24"/>
                <w:lang w:eastAsia="uk-UA"/>
              </w:rPr>
              <w:t>Частота анемій вагітних</w:t>
            </w:r>
          </w:p>
        </w:tc>
        <w:tc>
          <w:tcPr>
            <w:tcW w:w="0" w:type="auto"/>
            <w:tcBorders>
              <w:top w:val="single" w:sz="4" w:space="0" w:color="auto"/>
              <w:left w:val="single" w:sz="4" w:space="0" w:color="auto"/>
              <w:bottom w:val="single" w:sz="4" w:space="0" w:color="auto"/>
              <w:right w:val="single" w:sz="4" w:space="0" w:color="auto"/>
            </w:tcBorders>
            <w:vAlign w:val="center"/>
          </w:tcPr>
          <w:p w:rsidR="003B67F9" w:rsidRPr="000B2804" w:rsidRDefault="003B67F9" w:rsidP="00002C5A">
            <w:pPr>
              <w:widowControl w:val="0"/>
              <w:spacing w:line="276" w:lineRule="auto"/>
              <w:jc w:val="center"/>
              <w:rPr>
                <w:rFonts w:eastAsia="Times New Roman"/>
                <w:color w:val="000000"/>
                <w:sz w:val="24"/>
                <w:szCs w:val="24"/>
                <w:lang w:eastAsia="ru-RU"/>
              </w:rPr>
            </w:pPr>
            <w:r w:rsidRPr="000B2804">
              <w:rPr>
                <w:rFonts w:eastAsia="Times New Roman"/>
                <w:color w:val="000000"/>
                <w:sz w:val="24"/>
                <w:szCs w:val="24"/>
                <w:lang w:eastAsia="ru-RU"/>
              </w:rPr>
              <w:t>1,00</w:t>
            </w:r>
          </w:p>
        </w:tc>
        <w:tc>
          <w:tcPr>
            <w:tcW w:w="0" w:type="auto"/>
            <w:tcBorders>
              <w:top w:val="single" w:sz="4" w:space="0" w:color="auto"/>
              <w:left w:val="single" w:sz="4" w:space="0" w:color="auto"/>
              <w:bottom w:val="single" w:sz="4" w:space="0" w:color="auto"/>
              <w:right w:val="single" w:sz="4" w:space="0" w:color="auto"/>
            </w:tcBorders>
            <w:vAlign w:val="center"/>
          </w:tcPr>
          <w:p w:rsidR="003B67F9" w:rsidRPr="000B2804" w:rsidRDefault="003B67F9" w:rsidP="00002C5A">
            <w:pPr>
              <w:widowControl w:val="0"/>
              <w:spacing w:line="276" w:lineRule="auto"/>
              <w:jc w:val="center"/>
              <w:rPr>
                <w:rFonts w:eastAsia="Times New Roman"/>
                <w:color w:val="000000"/>
                <w:sz w:val="24"/>
                <w:szCs w:val="24"/>
                <w:lang w:eastAsia="ru-RU"/>
              </w:rPr>
            </w:pPr>
            <w:r w:rsidRPr="000B2804">
              <w:rPr>
                <w:rFonts w:eastAsia="Times New Roman"/>
                <w:color w:val="000000"/>
                <w:sz w:val="24"/>
                <w:szCs w:val="24"/>
                <w:lang w:eastAsia="ru-RU"/>
              </w:rPr>
              <w:t>1,00</w:t>
            </w:r>
          </w:p>
        </w:tc>
        <w:tc>
          <w:tcPr>
            <w:tcW w:w="0" w:type="auto"/>
            <w:tcBorders>
              <w:top w:val="single" w:sz="4" w:space="0" w:color="auto"/>
              <w:left w:val="single" w:sz="4" w:space="0" w:color="auto"/>
              <w:bottom w:val="single" w:sz="4" w:space="0" w:color="auto"/>
              <w:right w:val="single" w:sz="4" w:space="0" w:color="auto"/>
            </w:tcBorders>
            <w:vAlign w:val="center"/>
          </w:tcPr>
          <w:p w:rsidR="003B67F9" w:rsidRPr="000B2804" w:rsidRDefault="003B67F9" w:rsidP="00002C5A">
            <w:pPr>
              <w:widowControl w:val="0"/>
              <w:spacing w:line="276" w:lineRule="auto"/>
              <w:jc w:val="center"/>
              <w:rPr>
                <w:rFonts w:eastAsia="Times New Roman"/>
                <w:color w:val="000000"/>
                <w:sz w:val="24"/>
                <w:szCs w:val="24"/>
                <w:lang w:eastAsia="ru-RU"/>
              </w:rPr>
            </w:pPr>
            <w:r w:rsidRPr="000B2804">
              <w:rPr>
                <w:rFonts w:eastAsia="Times New Roman"/>
                <w:color w:val="000000"/>
                <w:sz w:val="24"/>
                <w:szCs w:val="24"/>
                <w:lang w:eastAsia="ru-RU"/>
              </w:rPr>
              <w:t>0,41</w:t>
            </w:r>
          </w:p>
        </w:tc>
        <w:tc>
          <w:tcPr>
            <w:tcW w:w="0" w:type="auto"/>
            <w:tcBorders>
              <w:top w:val="single" w:sz="4" w:space="0" w:color="auto"/>
              <w:left w:val="single" w:sz="4" w:space="0" w:color="auto"/>
              <w:bottom w:val="single" w:sz="4" w:space="0" w:color="auto"/>
              <w:right w:val="single" w:sz="4" w:space="0" w:color="auto"/>
            </w:tcBorders>
            <w:vAlign w:val="center"/>
          </w:tcPr>
          <w:p w:rsidR="003B67F9" w:rsidRPr="000B2804" w:rsidRDefault="003B67F9" w:rsidP="00002C5A">
            <w:pPr>
              <w:widowControl w:val="0"/>
              <w:spacing w:line="276" w:lineRule="auto"/>
              <w:jc w:val="center"/>
              <w:rPr>
                <w:rFonts w:eastAsia="Times New Roman"/>
                <w:color w:val="000000"/>
                <w:sz w:val="24"/>
                <w:szCs w:val="24"/>
                <w:lang w:eastAsia="ru-RU"/>
              </w:rPr>
            </w:pPr>
            <w:r w:rsidRPr="000B2804">
              <w:rPr>
                <w:rFonts w:eastAsia="Times New Roman"/>
                <w:color w:val="000000"/>
                <w:sz w:val="24"/>
                <w:szCs w:val="24"/>
                <w:lang w:eastAsia="ru-RU"/>
              </w:rPr>
              <w:t>0,64</w:t>
            </w:r>
          </w:p>
        </w:tc>
        <w:tc>
          <w:tcPr>
            <w:tcW w:w="0" w:type="auto"/>
            <w:tcBorders>
              <w:top w:val="single" w:sz="4" w:space="0" w:color="auto"/>
              <w:left w:val="single" w:sz="4" w:space="0" w:color="auto"/>
              <w:bottom w:val="single" w:sz="4" w:space="0" w:color="auto"/>
              <w:right w:val="single" w:sz="4" w:space="0" w:color="auto"/>
            </w:tcBorders>
            <w:vAlign w:val="center"/>
          </w:tcPr>
          <w:p w:rsidR="003B67F9" w:rsidRPr="000B2804" w:rsidRDefault="003B67F9" w:rsidP="00002C5A">
            <w:pPr>
              <w:widowControl w:val="0"/>
              <w:spacing w:line="276" w:lineRule="auto"/>
              <w:jc w:val="center"/>
              <w:rPr>
                <w:rFonts w:eastAsia="Times New Roman"/>
                <w:color w:val="000000"/>
                <w:sz w:val="24"/>
                <w:szCs w:val="24"/>
                <w:lang w:eastAsia="ru-RU"/>
              </w:rPr>
            </w:pPr>
            <w:r w:rsidRPr="000B2804">
              <w:rPr>
                <w:rFonts w:eastAsia="Times New Roman"/>
                <w:color w:val="000000"/>
                <w:sz w:val="24"/>
                <w:szCs w:val="24"/>
                <w:lang w:eastAsia="ru-RU"/>
              </w:rPr>
              <w:t>0,91</w:t>
            </w:r>
          </w:p>
        </w:tc>
        <w:tc>
          <w:tcPr>
            <w:tcW w:w="0" w:type="auto"/>
            <w:tcBorders>
              <w:top w:val="single" w:sz="4" w:space="0" w:color="auto"/>
              <w:left w:val="single" w:sz="4" w:space="0" w:color="auto"/>
              <w:bottom w:val="single" w:sz="4" w:space="0" w:color="auto"/>
              <w:right w:val="single" w:sz="4" w:space="0" w:color="auto"/>
            </w:tcBorders>
            <w:vAlign w:val="center"/>
          </w:tcPr>
          <w:p w:rsidR="003B67F9" w:rsidRPr="000B2804" w:rsidRDefault="003B67F9" w:rsidP="00002C5A">
            <w:pPr>
              <w:widowControl w:val="0"/>
              <w:spacing w:line="276" w:lineRule="auto"/>
              <w:jc w:val="center"/>
              <w:rPr>
                <w:rFonts w:eastAsia="Times New Roman"/>
                <w:color w:val="000000"/>
                <w:sz w:val="24"/>
                <w:szCs w:val="24"/>
                <w:lang w:eastAsia="ru-RU"/>
              </w:rPr>
            </w:pPr>
            <w:r w:rsidRPr="000B2804">
              <w:rPr>
                <w:rFonts w:eastAsia="Times New Roman"/>
                <w:color w:val="000000"/>
                <w:sz w:val="24"/>
                <w:szCs w:val="24"/>
                <w:lang w:eastAsia="ru-RU"/>
              </w:rPr>
              <w:t>0,71</w:t>
            </w:r>
          </w:p>
        </w:tc>
      </w:tr>
      <w:tr w:rsidR="003B67F9" w:rsidRPr="000B2804" w:rsidTr="001918FC">
        <w:trPr>
          <w:jc w:val="center"/>
        </w:trPr>
        <w:tc>
          <w:tcPr>
            <w:tcW w:w="6355" w:type="dxa"/>
            <w:tcBorders>
              <w:top w:val="single" w:sz="4" w:space="0" w:color="auto"/>
              <w:left w:val="single" w:sz="4" w:space="0" w:color="auto"/>
              <w:bottom w:val="single" w:sz="4" w:space="0" w:color="auto"/>
              <w:right w:val="single" w:sz="4" w:space="0" w:color="auto"/>
            </w:tcBorders>
            <w:vAlign w:val="bottom"/>
          </w:tcPr>
          <w:p w:rsidR="003B67F9" w:rsidRPr="000B2804" w:rsidRDefault="003B67F9" w:rsidP="00002C5A">
            <w:pPr>
              <w:widowControl w:val="0"/>
              <w:spacing w:line="276" w:lineRule="auto"/>
              <w:rPr>
                <w:rFonts w:eastAsia="Times New Roman"/>
                <w:color w:val="000000"/>
                <w:sz w:val="24"/>
                <w:szCs w:val="24"/>
                <w:lang w:eastAsia="uk-UA"/>
              </w:rPr>
            </w:pPr>
            <w:r w:rsidRPr="000B2804">
              <w:rPr>
                <w:rFonts w:eastAsia="Times New Roman"/>
                <w:color w:val="000000"/>
                <w:sz w:val="24"/>
                <w:szCs w:val="24"/>
                <w:lang w:eastAsia="uk-UA"/>
              </w:rPr>
              <w:t>Частота прееклампсій та еклампсій вагітних</w:t>
            </w:r>
          </w:p>
        </w:tc>
        <w:tc>
          <w:tcPr>
            <w:tcW w:w="0" w:type="auto"/>
            <w:tcBorders>
              <w:top w:val="single" w:sz="4" w:space="0" w:color="auto"/>
              <w:left w:val="single" w:sz="4" w:space="0" w:color="auto"/>
              <w:bottom w:val="single" w:sz="4" w:space="0" w:color="auto"/>
              <w:right w:val="single" w:sz="4" w:space="0" w:color="auto"/>
            </w:tcBorders>
            <w:vAlign w:val="center"/>
          </w:tcPr>
          <w:p w:rsidR="003B67F9" w:rsidRPr="000B2804" w:rsidRDefault="003B67F9" w:rsidP="00002C5A">
            <w:pPr>
              <w:widowControl w:val="0"/>
              <w:spacing w:line="276" w:lineRule="auto"/>
              <w:jc w:val="center"/>
              <w:rPr>
                <w:rFonts w:eastAsia="Times New Roman"/>
                <w:color w:val="000000"/>
                <w:sz w:val="24"/>
                <w:szCs w:val="24"/>
                <w:lang w:eastAsia="ru-RU"/>
              </w:rPr>
            </w:pPr>
            <w:r w:rsidRPr="000B2804">
              <w:rPr>
                <w:rFonts w:eastAsia="Times New Roman"/>
                <w:color w:val="000000"/>
                <w:sz w:val="24"/>
                <w:szCs w:val="24"/>
                <w:lang w:eastAsia="ru-RU"/>
              </w:rPr>
              <w:t>0,95</w:t>
            </w:r>
          </w:p>
        </w:tc>
        <w:tc>
          <w:tcPr>
            <w:tcW w:w="0" w:type="auto"/>
            <w:tcBorders>
              <w:top w:val="single" w:sz="4" w:space="0" w:color="auto"/>
              <w:left w:val="single" w:sz="4" w:space="0" w:color="auto"/>
              <w:bottom w:val="single" w:sz="4" w:space="0" w:color="auto"/>
              <w:right w:val="single" w:sz="4" w:space="0" w:color="auto"/>
            </w:tcBorders>
            <w:vAlign w:val="center"/>
          </w:tcPr>
          <w:p w:rsidR="003B67F9" w:rsidRPr="000B2804" w:rsidRDefault="003B67F9" w:rsidP="00002C5A">
            <w:pPr>
              <w:widowControl w:val="0"/>
              <w:spacing w:line="276" w:lineRule="auto"/>
              <w:jc w:val="center"/>
              <w:rPr>
                <w:rFonts w:eastAsia="Times New Roman"/>
                <w:color w:val="000000"/>
                <w:sz w:val="24"/>
                <w:szCs w:val="24"/>
                <w:lang w:eastAsia="ru-RU"/>
              </w:rPr>
            </w:pPr>
            <w:r w:rsidRPr="000B2804">
              <w:rPr>
                <w:rFonts w:eastAsia="Times New Roman"/>
                <w:color w:val="000000"/>
                <w:sz w:val="24"/>
                <w:szCs w:val="24"/>
                <w:lang w:eastAsia="ru-RU"/>
              </w:rPr>
              <w:t>0,21</w:t>
            </w:r>
          </w:p>
        </w:tc>
        <w:tc>
          <w:tcPr>
            <w:tcW w:w="0" w:type="auto"/>
            <w:tcBorders>
              <w:top w:val="single" w:sz="4" w:space="0" w:color="auto"/>
              <w:left w:val="single" w:sz="4" w:space="0" w:color="auto"/>
              <w:bottom w:val="single" w:sz="4" w:space="0" w:color="auto"/>
              <w:right w:val="single" w:sz="4" w:space="0" w:color="auto"/>
            </w:tcBorders>
            <w:vAlign w:val="center"/>
          </w:tcPr>
          <w:p w:rsidR="003B67F9" w:rsidRPr="000B2804" w:rsidRDefault="003B67F9" w:rsidP="00002C5A">
            <w:pPr>
              <w:widowControl w:val="0"/>
              <w:spacing w:line="276" w:lineRule="auto"/>
              <w:jc w:val="center"/>
              <w:rPr>
                <w:rFonts w:eastAsia="Times New Roman"/>
                <w:color w:val="000000"/>
                <w:sz w:val="24"/>
                <w:szCs w:val="24"/>
                <w:lang w:eastAsia="ru-RU"/>
              </w:rPr>
            </w:pPr>
            <w:r w:rsidRPr="000B2804">
              <w:rPr>
                <w:rFonts w:eastAsia="Times New Roman"/>
                <w:color w:val="000000"/>
                <w:sz w:val="24"/>
                <w:szCs w:val="24"/>
                <w:lang w:eastAsia="ru-RU"/>
              </w:rPr>
              <w:t>0,59</w:t>
            </w:r>
          </w:p>
        </w:tc>
        <w:tc>
          <w:tcPr>
            <w:tcW w:w="0" w:type="auto"/>
            <w:tcBorders>
              <w:top w:val="single" w:sz="4" w:space="0" w:color="auto"/>
              <w:left w:val="single" w:sz="4" w:space="0" w:color="auto"/>
              <w:bottom w:val="single" w:sz="4" w:space="0" w:color="auto"/>
              <w:right w:val="single" w:sz="4" w:space="0" w:color="auto"/>
            </w:tcBorders>
            <w:vAlign w:val="center"/>
          </w:tcPr>
          <w:p w:rsidR="003B67F9" w:rsidRPr="000B2804" w:rsidRDefault="003B67F9" w:rsidP="00002C5A">
            <w:pPr>
              <w:widowControl w:val="0"/>
              <w:spacing w:line="276" w:lineRule="auto"/>
              <w:jc w:val="center"/>
              <w:rPr>
                <w:rFonts w:eastAsia="Times New Roman"/>
                <w:color w:val="000000"/>
                <w:sz w:val="24"/>
                <w:szCs w:val="24"/>
                <w:lang w:eastAsia="ru-RU"/>
              </w:rPr>
            </w:pPr>
            <w:r w:rsidRPr="000B2804">
              <w:rPr>
                <w:rFonts w:eastAsia="Times New Roman"/>
                <w:color w:val="000000"/>
                <w:sz w:val="24"/>
                <w:szCs w:val="24"/>
                <w:lang w:eastAsia="ru-RU"/>
              </w:rPr>
              <w:t>0,44</w:t>
            </w:r>
          </w:p>
        </w:tc>
        <w:tc>
          <w:tcPr>
            <w:tcW w:w="0" w:type="auto"/>
            <w:tcBorders>
              <w:top w:val="single" w:sz="4" w:space="0" w:color="auto"/>
              <w:left w:val="single" w:sz="4" w:space="0" w:color="auto"/>
              <w:bottom w:val="single" w:sz="4" w:space="0" w:color="auto"/>
              <w:right w:val="single" w:sz="4" w:space="0" w:color="auto"/>
            </w:tcBorders>
            <w:vAlign w:val="center"/>
          </w:tcPr>
          <w:p w:rsidR="003B67F9" w:rsidRPr="000B2804" w:rsidRDefault="003B67F9" w:rsidP="00002C5A">
            <w:pPr>
              <w:widowControl w:val="0"/>
              <w:spacing w:line="276" w:lineRule="auto"/>
              <w:jc w:val="center"/>
              <w:rPr>
                <w:rFonts w:eastAsia="Times New Roman"/>
                <w:color w:val="000000"/>
                <w:sz w:val="24"/>
                <w:szCs w:val="24"/>
                <w:lang w:eastAsia="ru-RU"/>
              </w:rPr>
            </w:pPr>
            <w:r w:rsidRPr="000B2804">
              <w:rPr>
                <w:rFonts w:eastAsia="Times New Roman"/>
                <w:color w:val="000000"/>
                <w:sz w:val="24"/>
                <w:szCs w:val="24"/>
                <w:lang w:eastAsia="ru-RU"/>
              </w:rPr>
              <w:t>0,72</w:t>
            </w:r>
          </w:p>
        </w:tc>
        <w:tc>
          <w:tcPr>
            <w:tcW w:w="0" w:type="auto"/>
            <w:tcBorders>
              <w:top w:val="single" w:sz="4" w:space="0" w:color="auto"/>
              <w:left w:val="single" w:sz="4" w:space="0" w:color="auto"/>
              <w:bottom w:val="single" w:sz="4" w:space="0" w:color="auto"/>
              <w:right w:val="single" w:sz="4" w:space="0" w:color="auto"/>
            </w:tcBorders>
            <w:vAlign w:val="center"/>
          </w:tcPr>
          <w:p w:rsidR="003B67F9" w:rsidRPr="000B2804" w:rsidRDefault="003B67F9" w:rsidP="00002C5A">
            <w:pPr>
              <w:widowControl w:val="0"/>
              <w:spacing w:line="276" w:lineRule="auto"/>
              <w:jc w:val="center"/>
              <w:rPr>
                <w:rFonts w:eastAsia="Times New Roman"/>
                <w:color w:val="000000"/>
                <w:sz w:val="24"/>
                <w:szCs w:val="24"/>
                <w:lang w:eastAsia="ru-RU"/>
              </w:rPr>
            </w:pPr>
            <w:r w:rsidRPr="000B2804">
              <w:rPr>
                <w:rFonts w:eastAsia="Times New Roman"/>
                <w:color w:val="000000"/>
                <w:sz w:val="24"/>
                <w:szCs w:val="24"/>
                <w:lang w:eastAsia="ru-RU"/>
              </w:rPr>
              <w:t>0,80</w:t>
            </w:r>
          </w:p>
        </w:tc>
      </w:tr>
      <w:tr w:rsidR="003B67F9" w:rsidRPr="000B2804" w:rsidTr="001918FC">
        <w:trPr>
          <w:jc w:val="center"/>
        </w:trPr>
        <w:tc>
          <w:tcPr>
            <w:tcW w:w="6355" w:type="dxa"/>
            <w:tcBorders>
              <w:top w:val="single" w:sz="4" w:space="0" w:color="auto"/>
              <w:left w:val="single" w:sz="4" w:space="0" w:color="auto"/>
              <w:bottom w:val="single" w:sz="4" w:space="0" w:color="auto"/>
              <w:right w:val="single" w:sz="4" w:space="0" w:color="auto"/>
            </w:tcBorders>
            <w:vAlign w:val="bottom"/>
          </w:tcPr>
          <w:p w:rsidR="003B67F9" w:rsidRPr="000B2804" w:rsidRDefault="003B67F9" w:rsidP="00002C5A">
            <w:pPr>
              <w:widowControl w:val="0"/>
              <w:spacing w:line="276" w:lineRule="auto"/>
              <w:rPr>
                <w:rFonts w:eastAsia="Times New Roman"/>
                <w:color w:val="000000"/>
                <w:sz w:val="24"/>
                <w:szCs w:val="24"/>
                <w:lang w:eastAsia="uk-UA"/>
              </w:rPr>
            </w:pPr>
            <w:r w:rsidRPr="000B2804">
              <w:rPr>
                <w:rFonts w:eastAsia="Times New Roman"/>
                <w:color w:val="000000"/>
                <w:sz w:val="24"/>
                <w:szCs w:val="24"/>
                <w:lang w:eastAsia="uk-UA"/>
              </w:rPr>
              <w:t>Співвідношення безпечних методів абортів до небезпечних</w:t>
            </w:r>
          </w:p>
        </w:tc>
        <w:tc>
          <w:tcPr>
            <w:tcW w:w="0" w:type="auto"/>
            <w:tcBorders>
              <w:top w:val="single" w:sz="4" w:space="0" w:color="auto"/>
              <w:left w:val="single" w:sz="4" w:space="0" w:color="auto"/>
              <w:bottom w:val="single" w:sz="4" w:space="0" w:color="auto"/>
              <w:right w:val="single" w:sz="4" w:space="0" w:color="auto"/>
            </w:tcBorders>
            <w:vAlign w:val="center"/>
          </w:tcPr>
          <w:p w:rsidR="003B67F9" w:rsidRPr="000B2804" w:rsidRDefault="003B67F9" w:rsidP="00002C5A">
            <w:pPr>
              <w:widowControl w:val="0"/>
              <w:spacing w:line="276" w:lineRule="auto"/>
              <w:jc w:val="center"/>
              <w:rPr>
                <w:rFonts w:eastAsia="Times New Roman"/>
                <w:color w:val="000000"/>
                <w:sz w:val="24"/>
                <w:szCs w:val="24"/>
                <w:lang w:eastAsia="ru-RU"/>
              </w:rPr>
            </w:pPr>
            <w:r w:rsidRPr="000B2804">
              <w:rPr>
                <w:rFonts w:eastAsia="Times New Roman"/>
                <w:color w:val="000000"/>
                <w:sz w:val="24"/>
                <w:szCs w:val="24"/>
                <w:lang w:eastAsia="ru-RU"/>
              </w:rPr>
              <w:t>0,53</w:t>
            </w:r>
          </w:p>
        </w:tc>
        <w:tc>
          <w:tcPr>
            <w:tcW w:w="0" w:type="auto"/>
            <w:tcBorders>
              <w:top w:val="single" w:sz="4" w:space="0" w:color="auto"/>
              <w:left w:val="single" w:sz="4" w:space="0" w:color="auto"/>
              <w:bottom w:val="single" w:sz="4" w:space="0" w:color="auto"/>
              <w:right w:val="single" w:sz="4" w:space="0" w:color="auto"/>
            </w:tcBorders>
            <w:vAlign w:val="center"/>
          </w:tcPr>
          <w:p w:rsidR="003B67F9" w:rsidRPr="000B2804" w:rsidRDefault="003B67F9" w:rsidP="00002C5A">
            <w:pPr>
              <w:widowControl w:val="0"/>
              <w:spacing w:line="276" w:lineRule="auto"/>
              <w:jc w:val="center"/>
              <w:rPr>
                <w:rFonts w:eastAsia="Times New Roman"/>
                <w:color w:val="000000"/>
                <w:sz w:val="24"/>
                <w:szCs w:val="24"/>
                <w:lang w:eastAsia="ru-RU"/>
              </w:rPr>
            </w:pPr>
            <w:r w:rsidRPr="000B2804">
              <w:rPr>
                <w:rFonts w:eastAsia="Times New Roman"/>
                <w:color w:val="000000"/>
                <w:sz w:val="24"/>
                <w:szCs w:val="24"/>
                <w:lang w:eastAsia="ru-RU"/>
              </w:rPr>
              <w:t>1,00</w:t>
            </w:r>
          </w:p>
        </w:tc>
        <w:tc>
          <w:tcPr>
            <w:tcW w:w="0" w:type="auto"/>
            <w:tcBorders>
              <w:top w:val="single" w:sz="4" w:space="0" w:color="auto"/>
              <w:left w:val="single" w:sz="4" w:space="0" w:color="auto"/>
              <w:bottom w:val="single" w:sz="4" w:space="0" w:color="auto"/>
              <w:right w:val="single" w:sz="4" w:space="0" w:color="auto"/>
            </w:tcBorders>
            <w:vAlign w:val="center"/>
          </w:tcPr>
          <w:p w:rsidR="003B67F9" w:rsidRPr="000B2804" w:rsidRDefault="003B67F9" w:rsidP="00002C5A">
            <w:pPr>
              <w:widowControl w:val="0"/>
              <w:spacing w:line="276" w:lineRule="auto"/>
              <w:jc w:val="center"/>
              <w:rPr>
                <w:rFonts w:eastAsia="Times New Roman"/>
                <w:color w:val="000000"/>
                <w:sz w:val="24"/>
                <w:szCs w:val="24"/>
                <w:lang w:eastAsia="ru-RU"/>
              </w:rPr>
            </w:pPr>
            <w:r w:rsidRPr="000B2804">
              <w:rPr>
                <w:rFonts w:eastAsia="Times New Roman"/>
                <w:color w:val="000000"/>
                <w:sz w:val="24"/>
                <w:szCs w:val="24"/>
                <w:lang w:eastAsia="ru-RU"/>
              </w:rPr>
              <w:t>1,00</w:t>
            </w:r>
          </w:p>
        </w:tc>
        <w:tc>
          <w:tcPr>
            <w:tcW w:w="0" w:type="auto"/>
            <w:tcBorders>
              <w:top w:val="single" w:sz="4" w:space="0" w:color="auto"/>
              <w:left w:val="single" w:sz="4" w:space="0" w:color="auto"/>
              <w:bottom w:val="single" w:sz="4" w:space="0" w:color="auto"/>
              <w:right w:val="single" w:sz="4" w:space="0" w:color="auto"/>
            </w:tcBorders>
            <w:vAlign w:val="center"/>
          </w:tcPr>
          <w:p w:rsidR="003B67F9" w:rsidRPr="000B2804" w:rsidRDefault="003B67F9" w:rsidP="00002C5A">
            <w:pPr>
              <w:widowControl w:val="0"/>
              <w:spacing w:line="276" w:lineRule="auto"/>
              <w:jc w:val="center"/>
              <w:rPr>
                <w:rFonts w:eastAsia="Times New Roman"/>
                <w:color w:val="000000"/>
                <w:sz w:val="24"/>
                <w:szCs w:val="24"/>
                <w:lang w:eastAsia="ru-RU"/>
              </w:rPr>
            </w:pPr>
            <w:r w:rsidRPr="000B2804">
              <w:rPr>
                <w:rFonts w:eastAsia="Times New Roman"/>
                <w:color w:val="000000"/>
                <w:sz w:val="24"/>
                <w:szCs w:val="24"/>
                <w:lang w:eastAsia="ru-RU"/>
              </w:rPr>
              <w:t>1,00</w:t>
            </w:r>
          </w:p>
        </w:tc>
        <w:tc>
          <w:tcPr>
            <w:tcW w:w="0" w:type="auto"/>
            <w:tcBorders>
              <w:top w:val="single" w:sz="4" w:space="0" w:color="auto"/>
              <w:left w:val="single" w:sz="4" w:space="0" w:color="auto"/>
              <w:bottom w:val="single" w:sz="4" w:space="0" w:color="auto"/>
              <w:right w:val="single" w:sz="4" w:space="0" w:color="auto"/>
            </w:tcBorders>
            <w:vAlign w:val="center"/>
          </w:tcPr>
          <w:p w:rsidR="003B67F9" w:rsidRPr="000B2804" w:rsidRDefault="003B67F9" w:rsidP="00002C5A">
            <w:pPr>
              <w:widowControl w:val="0"/>
              <w:spacing w:line="276" w:lineRule="auto"/>
              <w:jc w:val="center"/>
              <w:rPr>
                <w:rFonts w:eastAsia="Times New Roman"/>
                <w:color w:val="000000"/>
                <w:sz w:val="24"/>
                <w:szCs w:val="24"/>
                <w:lang w:eastAsia="ru-RU"/>
              </w:rPr>
            </w:pPr>
            <w:r w:rsidRPr="000B2804">
              <w:rPr>
                <w:rFonts w:eastAsia="Times New Roman"/>
                <w:color w:val="000000"/>
                <w:sz w:val="24"/>
                <w:szCs w:val="24"/>
                <w:lang w:eastAsia="ru-RU"/>
              </w:rPr>
              <w:t>0,39</w:t>
            </w:r>
          </w:p>
        </w:tc>
        <w:tc>
          <w:tcPr>
            <w:tcW w:w="0" w:type="auto"/>
            <w:tcBorders>
              <w:top w:val="single" w:sz="4" w:space="0" w:color="auto"/>
              <w:left w:val="single" w:sz="4" w:space="0" w:color="auto"/>
              <w:bottom w:val="single" w:sz="4" w:space="0" w:color="auto"/>
              <w:right w:val="single" w:sz="4" w:space="0" w:color="auto"/>
            </w:tcBorders>
            <w:vAlign w:val="center"/>
          </w:tcPr>
          <w:p w:rsidR="003B67F9" w:rsidRPr="000B2804" w:rsidRDefault="003B67F9" w:rsidP="00002C5A">
            <w:pPr>
              <w:widowControl w:val="0"/>
              <w:spacing w:line="276" w:lineRule="auto"/>
              <w:jc w:val="center"/>
              <w:rPr>
                <w:rFonts w:eastAsia="Times New Roman"/>
                <w:color w:val="000000"/>
                <w:sz w:val="24"/>
                <w:szCs w:val="24"/>
                <w:lang w:eastAsia="ru-RU"/>
              </w:rPr>
            </w:pPr>
            <w:r w:rsidRPr="000B2804">
              <w:rPr>
                <w:rFonts w:eastAsia="Times New Roman"/>
                <w:color w:val="000000"/>
                <w:sz w:val="24"/>
                <w:szCs w:val="24"/>
                <w:lang w:eastAsia="ru-RU"/>
              </w:rPr>
              <w:t>0,29</w:t>
            </w:r>
          </w:p>
        </w:tc>
      </w:tr>
      <w:tr w:rsidR="003B67F9" w:rsidRPr="000B2804" w:rsidTr="001918FC">
        <w:trPr>
          <w:jc w:val="center"/>
        </w:trPr>
        <w:tc>
          <w:tcPr>
            <w:tcW w:w="6355" w:type="dxa"/>
            <w:tcBorders>
              <w:top w:val="single" w:sz="4" w:space="0" w:color="auto"/>
              <w:left w:val="single" w:sz="4" w:space="0" w:color="auto"/>
              <w:bottom w:val="single" w:sz="4" w:space="0" w:color="auto"/>
              <w:right w:val="single" w:sz="4" w:space="0" w:color="auto"/>
            </w:tcBorders>
            <w:vAlign w:val="bottom"/>
          </w:tcPr>
          <w:p w:rsidR="003B67F9" w:rsidRPr="000B2804" w:rsidRDefault="003B67F9" w:rsidP="00002C5A">
            <w:pPr>
              <w:widowControl w:val="0"/>
              <w:spacing w:line="276" w:lineRule="auto"/>
              <w:rPr>
                <w:rFonts w:eastAsia="Times New Roman"/>
                <w:color w:val="000000"/>
                <w:sz w:val="24"/>
                <w:szCs w:val="24"/>
                <w:lang w:eastAsia="uk-UA"/>
              </w:rPr>
            </w:pPr>
            <w:r w:rsidRPr="000B2804">
              <w:rPr>
                <w:rFonts w:eastAsia="Times New Roman"/>
                <w:color w:val="000000"/>
                <w:sz w:val="24"/>
                <w:szCs w:val="24"/>
                <w:lang w:eastAsia="uk-UA"/>
              </w:rPr>
              <w:t>Індекс концентрації розродження вагітних з цукровим діабетом у ЗПД ІІІ рівня</w:t>
            </w:r>
          </w:p>
        </w:tc>
        <w:tc>
          <w:tcPr>
            <w:tcW w:w="0" w:type="auto"/>
            <w:tcBorders>
              <w:top w:val="single" w:sz="4" w:space="0" w:color="auto"/>
              <w:left w:val="single" w:sz="4" w:space="0" w:color="auto"/>
              <w:bottom w:val="single" w:sz="4" w:space="0" w:color="auto"/>
              <w:right w:val="single" w:sz="4" w:space="0" w:color="auto"/>
            </w:tcBorders>
            <w:vAlign w:val="center"/>
          </w:tcPr>
          <w:p w:rsidR="003B67F9" w:rsidRPr="000B2804" w:rsidRDefault="003B67F9" w:rsidP="00002C5A">
            <w:pPr>
              <w:widowControl w:val="0"/>
              <w:spacing w:line="276" w:lineRule="auto"/>
              <w:jc w:val="center"/>
              <w:rPr>
                <w:rFonts w:eastAsia="Times New Roman"/>
                <w:color w:val="000000"/>
                <w:sz w:val="24"/>
                <w:szCs w:val="24"/>
                <w:lang w:eastAsia="ru-RU"/>
              </w:rPr>
            </w:pPr>
            <w:r w:rsidRPr="000B2804">
              <w:rPr>
                <w:rFonts w:eastAsia="Times New Roman"/>
                <w:color w:val="000000"/>
                <w:sz w:val="24"/>
                <w:szCs w:val="24"/>
                <w:lang w:eastAsia="ru-RU"/>
              </w:rPr>
              <w:t>0,00</w:t>
            </w:r>
          </w:p>
        </w:tc>
        <w:tc>
          <w:tcPr>
            <w:tcW w:w="0" w:type="auto"/>
            <w:tcBorders>
              <w:top w:val="single" w:sz="4" w:space="0" w:color="auto"/>
              <w:left w:val="single" w:sz="4" w:space="0" w:color="auto"/>
              <w:bottom w:val="single" w:sz="4" w:space="0" w:color="auto"/>
              <w:right w:val="single" w:sz="4" w:space="0" w:color="auto"/>
            </w:tcBorders>
            <w:vAlign w:val="center"/>
          </w:tcPr>
          <w:p w:rsidR="003B67F9" w:rsidRPr="000B2804" w:rsidRDefault="003B67F9" w:rsidP="00002C5A">
            <w:pPr>
              <w:widowControl w:val="0"/>
              <w:spacing w:line="276" w:lineRule="auto"/>
              <w:jc w:val="center"/>
              <w:rPr>
                <w:rFonts w:eastAsia="Times New Roman"/>
                <w:color w:val="000000"/>
                <w:sz w:val="24"/>
                <w:szCs w:val="24"/>
                <w:lang w:eastAsia="ru-RU"/>
              </w:rPr>
            </w:pPr>
            <w:r w:rsidRPr="000B2804">
              <w:rPr>
                <w:rFonts w:eastAsia="Times New Roman"/>
                <w:color w:val="000000"/>
                <w:sz w:val="24"/>
                <w:szCs w:val="24"/>
                <w:lang w:eastAsia="ru-RU"/>
              </w:rPr>
              <w:t>0,00</w:t>
            </w:r>
          </w:p>
        </w:tc>
        <w:tc>
          <w:tcPr>
            <w:tcW w:w="0" w:type="auto"/>
            <w:tcBorders>
              <w:top w:val="single" w:sz="4" w:space="0" w:color="auto"/>
              <w:left w:val="single" w:sz="4" w:space="0" w:color="auto"/>
              <w:bottom w:val="single" w:sz="4" w:space="0" w:color="auto"/>
              <w:right w:val="single" w:sz="4" w:space="0" w:color="auto"/>
            </w:tcBorders>
            <w:vAlign w:val="center"/>
          </w:tcPr>
          <w:p w:rsidR="003B67F9" w:rsidRPr="000B2804" w:rsidRDefault="003B67F9" w:rsidP="00002C5A">
            <w:pPr>
              <w:widowControl w:val="0"/>
              <w:spacing w:line="276" w:lineRule="auto"/>
              <w:jc w:val="center"/>
              <w:rPr>
                <w:rFonts w:eastAsia="Times New Roman"/>
                <w:color w:val="000000"/>
                <w:sz w:val="24"/>
                <w:szCs w:val="24"/>
                <w:lang w:eastAsia="ru-RU"/>
              </w:rPr>
            </w:pPr>
            <w:r w:rsidRPr="000B2804">
              <w:rPr>
                <w:rFonts w:eastAsia="Times New Roman"/>
                <w:color w:val="000000"/>
                <w:sz w:val="24"/>
                <w:szCs w:val="24"/>
                <w:lang w:eastAsia="ru-RU"/>
              </w:rPr>
              <w:t>н/д</w:t>
            </w:r>
          </w:p>
        </w:tc>
        <w:tc>
          <w:tcPr>
            <w:tcW w:w="0" w:type="auto"/>
            <w:tcBorders>
              <w:top w:val="single" w:sz="4" w:space="0" w:color="auto"/>
              <w:left w:val="single" w:sz="4" w:space="0" w:color="auto"/>
              <w:bottom w:val="single" w:sz="4" w:space="0" w:color="auto"/>
              <w:right w:val="single" w:sz="4" w:space="0" w:color="auto"/>
            </w:tcBorders>
            <w:vAlign w:val="center"/>
          </w:tcPr>
          <w:p w:rsidR="003B67F9" w:rsidRPr="000B2804" w:rsidRDefault="003B67F9" w:rsidP="00002C5A">
            <w:pPr>
              <w:widowControl w:val="0"/>
              <w:spacing w:line="276" w:lineRule="auto"/>
              <w:jc w:val="center"/>
              <w:rPr>
                <w:rFonts w:eastAsia="Times New Roman"/>
                <w:color w:val="000000"/>
                <w:sz w:val="24"/>
                <w:szCs w:val="24"/>
                <w:lang w:eastAsia="ru-RU"/>
              </w:rPr>
            </w:pPr>
            <w:r w:rsidRPr="000B2804">
              <w:rPr>
                <w:rFonts w:eastAsia="Times New Roman"/>
                <w:color w:val="000000"/>
                <w:sz w:val="24"/>
                <w:szCs w:val="24"/>
                <w:lang w:eastAsia="ru-RU"/>
              </w:rPr>
              <w:t>0,78</w:t>
            </w:r>
          </w:p>
        </w:tc>
        <w:tc>
          <w:tcPr>
            <w:tcW w:w="0" w:type="auto"/>
            <w:tcBorders>
              <w:top w:val="single" w:sz="4" w:space="0" w:color="auto"/>
              <w:left w:val="single" w:sz="4" w:space="0" w:color="auto"/>
              <w:bottom w:val="single" w:sz="4" w:space="0" w:color="auto"/>
              <w:right w:val="single" w:sz="4" w:space="0" w:color="auto"/>
            </w:tcBorders>
            <w:vAlign w:val="center"/>
          </w:tcPr>
          <w:p w:rsidR="003B67F9" w:rsidRPr="000B2804" w:rsidRDefault="003B67F9" w:rsidP="00002C5A">
            <w:pPr>
              <w:widowControl w:val="0"/>
              <w:spacing w:line="276" w:lineRule="auto"/>
              <w:jc w:val="center"/>
              <w:rPr>
                <w:rFonts w:eastAsia="Times New Roman"/>
                <w:color w:val="000000"/>
                <w:sz w:val="24"/>
                <w:szCs w:val="24"/>
                <w:lang w:eastAsia="ru-RU"/>
              </w:rPr>
            </w:pPr>
            <w:r w:rsidRPr="000B2804">
              <w:rPr>
                <w:rFonts w:eastAsia="Times New Roman"/>
                <w:color w:val="000000"/>
                <w:sz w:val="24"/>
                <w:szCs w:val="24"/>
                <w:lang w:eastAsia="ru-RU"/>
              </w:rPr>
              <w:t>0,00</w:t>
            </w:r>
          </w:p>
        </w:tc>
        <w:tc>
          <w:tcPr>
            <w:tcW w:w="0" w:type="auto"/>
            <w:tcBorders>
              <w:top w:val="single" w:sz="4" w:space="0" w:color="auto"/>
              <w:left w:val="single" w:sz="4" w:space="0" w:color="auto"/>
              <w:bottom w:val="single" w:sz="4" w:space="0" w:color="auto"/>
              <w:right w:val="single" w:sz="4" w:space="0" w:color="auto"/>
            </w:tcBorders>
            <w:vAlign w:val="center"/>
          </w:tcPr>
          <w:p w:rsidR="003B67F9" w:rsidRPr="000B2804" w:rsidRDefault="003B67F9" w:rsidP="00002C5A">
            <w:pPr>
              <w:widowControl w:val="0"/>
              <w:spacing w:line="276" w:lineRule="auto"/>
              <w:jc w:val="center"/>
              <w:rPr>
                <w:rFonts w:eastAsia="Times New Roman"/>
                <w:color w:val="000000"/>
                <w:sz w:val="24"/>
                <w:szCs w:val="24"/>
                <w:lang w:eastAsia="ru-RU"/>
              </w:rPr>
            </w:pPr>
            <w:r w:rsidRPr="000B2804">
              <w:rPr>
                <w:rFonts w:eastAsia="Times New Roman"/>
                <w:color w:val="000000"/>
                <w:sz w:val="24"/>
                <w:szCs w:val="24"/>
                <w:lang w:eastAsia="ru-RU"/>
              </w:rPr>
              <w:t>0,76</w:t>
            </w:r>
          </w:p>
        </w:tc>
      </w:tr>
      <w:tr w:rsidR="003B67F9" w:rsidRPr="000B2804" w:rsidTr="001918FC">
        <w:trPr>
          <w:jc w:val="center"/>
        </w:trPr>
        <w:tc>
          <w:tcPr>
            <w:tcW w:w="6355" w:type="dxa"/>
            <w:tcBorders>
              <w:top w:val="single" w:sz="4" w:space="0" w:color="auto"/>
              <w:left w:val="single" w:sz="4" w:space="0" w:color="auto"/>
              <w:bottom w:val="single" w:sz="4" w:space="0" w:color="auto"/>
              <w:right w:val="single" w:sz="4" w:space="0" w:color="auto"/>
            </w:tcBorders>
            <w:vAlign w:val="bottom"/>
          </w:tcPr>
          <w:p w:rsidR="003B67F9" w:rsidRPr="000B2804" w:rsidRDefault="003B67F9" w:rsidP="00002C5A">
            <w:pPr>
              <w:widowControl w:val="0"/>
              <w:spacing w:line="276" w:lineRule="auto"/>
              <w:rPr>
                <w:rFonts w:eastAsia="Times New Roman"/>
                <w:color w:val="000000"/>
                <w:sz w:val="24"/>
                <w:szCs w:val="24"/>
                <w:lang w:eastAsia="uk-UA"/>
              </w:rPr>
            </w:pPr>
            <w:r w:rsidRPr="000B2804">
              <w:rPr>
                <w:rFonts w:eastAsia="Times New Roman"/>
                <w:color w:val="000000"/>
                <w:sz w:val="24"/>
                <w:szCs w:val="24"/>
                <w:lang w:eastAsia="uk-UA"/>
              </w:rPr>
              <w:t>Індекс концентрації розродження вагітних з пре- еклампсією і еклампсією у ЗПД ІІ-ІІІ рівнів</w:t>
            </w:r>
          </w:p>
        </w:tc>
        <w:tc>
          <w:tcPr>
            <w:tcW w:w="0" w:type="auto"/>
            <w:tcBorders>
              <w:top w:val="single" w:sz="4" w:space="0" w:color="auto"/>
              <w:left w:val="single" w:sz="4" w:space="0" w:color="auto"/>
              <w:bottom w:val="single" w:sz="4" w:space="0" w:color="auto"/>
              <w:right w:val="single" w:sz="4" w:space="0" w:color="auto"/>
            </w:tcBorders>
            <w:vAlign w:val="center"/>
          </w:tcPr>
          <w:p w:rsidR="003B67F9" w:rsidRPr="000B2804" w:rsidRDefault="003B67F9" w:rsidP="00002C5A">
            <w:pPr>
              <w:widowControl w:val="0"/>
              <w:spacing w:line="276" w:lineRule="auto"/>
              <w:jc w:val="center"/>
              <w:rPr>
                <w:rFonts w:eastAsia="Times New Roman"/>
                <w:color w:val="000000"/>
                <w:sz w:val="24"/>
                <w:szCs w:val="24"/>
                <w:lang w:eastAsia="ru-RU"/>
              </w:rPr>
            </w:pPr>
            <w:r w:rsidRPr="000B2804">
              <w:rPr>
                <w:rFonts w:eastAsia="Times New Roman"/>
                <w:color w:val="000000"/>
                <w:sz w:val="24"/>
                <w:szCs w:val="24"/>
                <w:lang w:eastAsia="ru-RU"/>
              </w:rPr>
              <w:t>0,51</w:t>
            </w:r>
          </w:p>
        </w:tc>
        <w:tc>
          <w:tcPr>
            <w:tcW w:w="0" w:type="auto"/>
            <w:tcBorders>
              <w:top w:val="single" w:sz="4" w:space="0" w:color="auto"/>
              <w:left w:val="single" w:sz="4" w:space="0" w:color="auto"/>
              <w:bottom w:val="single" w:sz="4" w:space="0" w:color="auto"/>
              <w:right w:val="single" w:sz="4" w:space="0" w:color="auto"/>
            </w:tcBorders>
            <w:vAlign w:val="center"/>
          </w:tcPr>
          <w:p w:rsidR="003B67F9" w:rsidRPr="000B2804" w:rsidRDefault="003B67F9" w:rsidP="00002C5A">
            <w:pPr>
              <w:widowControl w:val="0"/>
              <w:spacing w:line="276" w:lineRule="auto"/>
              <w:jc w:val="center"/>
              <w:rPr>
                <w:rFonts w:eastAsia="Times New Roman"/>
                <w:color w:val="000000"/>
                <w:sz w:val="24"/>
                <w:szCs w:val="24"/>
                <w:lang w:eastAsia="ru-RU"/>
              </w:rPr>
            </w:pPr>
            <w:r w:rsidRPr="000B2804">
              <w:rPr>
                <w:rFonts w:eastAsia="Times New Roman"/>
                <w:color w:val="000000"/>
                <w:sz w:val="24"/>
                <w:szCs w:val="24"/>
                <w:lang w:eastAsia="ru-RU"/>
              </w:rPr>
              <w:t>0,76</w:t>
            </w:r>
          </w:p>
        </w:tc>
        <w:tc>
          <w:tcPr>
            <w:tcW w:w="0" w:type="auto"/>
            <w:tcBorders>
              <w:top w:val="single" w:sz="4" w:space="0" w:color="auto"/>
              <w:left w:val="single" w:sz="4" w:space="0" w:color="auto"/>
              <w:bottom w:val="single" w:sz="4" w:space="0" w:color="auto"/>
              <w:right w:val="single" w:sz="4" w:space="0" w:color="auto"/>
            </w:tcBorders>
            <w:vAlign w:val="center"/>
          </w:tcPr>
          <w:p w:rsidR="003B67F9" w:rsidRPr="000B2804" w:rsidRDefault="003B67F9" w:rsidP="00002C5A">
            <w:pPr>
              <w:widowControl w:val="0"/>
              <w:spacing w:line="276" w:lineRule="auto"/>
              <w:jc w:val="center"/>
              <w:rPr>
                <w:rFonts w:eastAsia="Times New Roman"/>
                <w:color w:val="000000"/>
                <w:sz w:val="24"/>
                <w:szCs w:val="24"/>
                <w:lang w:eastAsia="ru-RU"/>
              </w:rPr>
            </w:pPr>
            <w:r w:rsidRPr="000B2804">
              <w:rPr>
                <w:rFonts w:eastAsia="Times New Roman"/>
                <w:color w:val="000000"/>
                <w:sz w:val="24"/>
                <w:szCs w:val="24"/>
                <w:lang w:eastAsia="ru-RU"/>
              </w:rPr>
              <w:t>н/д</w:t>
            </w:r>
          </w:p>
        </w:tc>
        <w:tc>
          <w:tcPr>
            <w:tcW w:w="0" w:type="auto"/>
            <w:tcBorders>
              <w:top w:val="single" w:sz="4" w:space="0" w:color="auto"/>
              <w:left w:val="single" w:sz="4" w:space="0" w:color="auto"/>
              <w:bottom w:val="single" w:sz="4" w:space="0" w:color="auto"/>
              <w:right w:val="single" w:sz="4" w:space="0" w:color="auto"/>
            </w:tcBorders>
            <w:vAlign w:val="center"/>
          </w:tcPr>
          <w:p w:rsidR="003B67F9" w:rsidRPr="000B2804" w:rsidRDefault="003B67F9" w:rsidP="00002C5A">
            <w:pPr>
              <w:widowControl w:val="0"/>
              <w:spacing w:line="276" w:lineRule="auto"/>
              <w:jc w:val="center"/>
              <w:rPr>
                <w:rFonts w:eastAsia="Times New Roman"/>
                <w:color w:val="000000"/>
                <w:sz w:val="24"/>
                <w:szCs w:val="24"/>
                <w:lang w:eastAsia="ru-RU"/>
              </w:rPr>
            </w:pPr>
            <w:r w:rsidRPr="000B2804">
              <w:rPr>
                <w:rFonts w:eastAsia="Times New Roman"/>
                <w:color w:val="000000"/>
                <w:sz w:val="24"/>
                <w:szCs w:val="24"/>
                <w:lang w:eastAsia="ru-RU"/>
              </w:rPr>
              <w:t>0,86</w:t>
            </w:r>
          </w:p>
        </w:tc>
        <w:tc>
          <w:tcPr>
            <w:tcW w:w="0" w:type="auto"/>
            <w:tcBorders>
              <w:top w:val="single" w:sz="4" w:space="0" w:color="auto"/>
              <w:left w:val="single" w:sz="4" w:space="0" w:color="auto"/>
              <w:bottom w:val="single" w:sz="4" w:space="0" w:color="auto"/>
              <w:right w:val="single" w:sz="4" w:space="0" w:color="auto"/>
            </w:tcBorders>
            <w:vAlign w:val="center"/>
          </w:tcPr>
          <w:p w:rsidR="003B67F9" w:rsidRPr="000B2804" w:rsidRDefault="003B67F9" w:rsidP="00002C5A">
            <w:pPr>
              <w:widowControl w:val="0"/>
              <w:spacing w:line="276" w:lineRule="auto"/>
              <w:jc w:val="center"/>
              <w:rPr>
                <w:rFonts w:eastAsia="Times New Roman"/>
                <w:color w:val="000000"/>
                <w:sz w:val="24"/>
                <w:szCs w:val="24"/>
                <w:lang w:eastAsia="ru-RU"/>
              </w:rPr>
            </w:pPr>
            <w:r w:rsidRPr="000B2804">
              <w:rPr>
                <w:rFonts w:eastAsia="Times New Roman"/>
                <w:color w:val="000000"/>
                <w:sz w:val="24"/>
                <w:szCs w:val="24"/>
                <w:lang w:eastAsia="ru-RU"/>
              </w:rPr>
              <w:t>0,80</w:t>
            </w:r>
          </w:p>
        </w:tc>
        <w:tc>
          <w:tcPr>
            <w:tcW w:w="0" w:type="auto"/>
            <w:tcBorders>
              <w:top w:val="single" w:sz="4" w:space="0" w:color="auto"/>
              <w:left w:val="single" w:sz="4" w:space="0" w:color="auto"/>
              <w:bottom w:val="single" w:sz="4" w:space="0" w:color="auto"/>
              <w:right w:val="single" w:sz="4" w:space="0" w:color="auto"/>
            </w:tcBorders>
            <w:vAlign w:val="center"/>
          </w:tcPr>
          <w:p w:rsidR="003B67F9" w:rsidRPr="000B2804" w:rsidRDefault="003B67F9" w:rsidP="00002C5A">
            <w:pPr>
              <w:widowControl w:val="0"/>
              <w:spacing w:line="276" w:lineRule="auto"/>
              <w:jc w:val="center"/>
              <w:rPr>
                <w:rFonts w:eastAsia="Times New Roman"/>
                <w:color w:val="000000"/>
                <w:sz w:val="24"/>
                <w:szCs w:val="24"/>
                <w:lang w:eastAsia="ru-RU"/>
              </w:rPr>
            </w:pPr>
            <w:r w:rsidRPr="000B2804">
              <w:rPr>
                <w:rFonts w:eastAsia="Times New Roman"/>
                <w:color w:val="000000"/>
                <w:sz w:val="24"/>
                <w:szCs w:val="24"/>
                <w:lang w:eastAsia="ru-RU"/>
              </w:rPr>
              <w:t>0,93</w:t>
            </w:r>
          </w:p>
        </w:tc>
      </w:tr>
      <w:tr w:rsidR="003B67F9" w:rsidRPr="000B2804" w:rsidTr="001918FC">
        <w:trPr>
          <w:jc w:val="center"/>
        </w:trPr>
        <w:tc>
          <w:tcPr>
            <w:tcW w:w="6355" w:type="dxa"/>
            <w:tcBorders>
              <w:top w:val="single" w:sz="4" w:space="0" w:color="auto"/>
              <w:left w:val="single" w:sz="4" w:space="0" w:color="auto"/>
              <w:bottom w:val="single" w:sz="4" w:space="0" w:color="auto"/>
              <w:right w:val="single" w:sz="4" w:space="0" w:color="auto"/>
            </w:tcBorders>
            <w:vAlign w:val="bottom"/>
          </w:tcPr>
          <w:p w:rsidR="003B67F9" w:rsidRPr="000B2804" w:rsidRDefault="003B67F9" w:rsidP="00002C5A">
            <w:pPr>
              <w:widowControl w:val="0"/>
              <w:spacing w:line="276" w:lineRule="auto"/>
              <w:rPr>
                <w:rFonts w:eastAsia="Times New Roman"/>
                <w:color w:val="000000"/>
                <w:sz w:val="24"/>
                <w:szCs w:val="24"/>
                <w:lang w:eastAsia="uk-UA"/>
              </w:rPr>
            </w:pPr>
            <w:r w:rsidRPr="000B2804">
              <w:rPr>
                <w:rFonts w:eastAsia="Times New Roman"/>
                <w:color w:val="000000"/>
                <w:sz w:val="24"/>
                <w:szCs w:val="24"/>
                <w:lang w:eastAsia="uk-UA"/>
              </w:rPr>
              <w:t>Індекс концентрації новонароджених масою тіла при народженні 500-1499 г у ЗПД ІІІ рівня</w:t>
            </w:r>
          </w:p>
        </w:tc>
        <w:tc>
          <w:tcPr>
            <w:tcW w:w="0" w:type="auto"/>
            <w:tcBorders>
              <w:top w:val="single" w:sz="4" w:space="0" w:color="auto"/>
              <w:left w:val="single" w:sz="4" w:space="0" w:color="auto"/>
              <w:bottom w:val="single" w:sz="4" w:space="0" w:color="auto"/>
              <w:right w:val="single" w:sz="4" w:space="0" w:color="auto"/>
            </w:tcBorders>
            <w:vAlign w:val="center"/>
          </w:tcPr>
          <w:p w:rsidR="003B67F9" w:rsidRPr="000B2804" w:rsidRDefault="003B67F9" w:rsidP="00002C5A">
            <w:pPr>
              <w:widowControl w:val="0"/>
              <w:spacing w:line="276" w:lineRule="auto"/>
              <w:jc w:val="center"/>
              <w:rPr>
                <w:rFonts w:eastAsia="Times New Roman"/>
                <w:color w:val="000000"/>
                <w:sz w:val="24"/>
                <w:szCs w:val="24"/>
                <w:lang w:eastAsia="ru-RU"/>
              </w:rPr>
            </w:pPr>
            <w:r w:rsidRPr="000B2804">
              <w:rPr>
                <w:rFonts w:eastAsia="Times New Roman"/>
                <w:color w:val="000000"/>
                <w:sz w:val="24"/>
                <w:szCs w:val="24"/>
                <w:lang w:eastAsia="ru-RU"/>
              </w:rPr>
              <w:t>0,00</w:t>
            </w:r>
          </w:p>
        </w:tc>
        <w:tc>
          <w:tcPr>
            <w:tcW w:w="0" w:type="auto"/>
            <w:tcBorders>
              <w:top w:val="single" w:sz="4" w:space="0" w:color="auto"/>
              <w:left w:val="single" w:sz="4" w:space="0" w:color="auto"/>
              <w:bottom w:val="single" w:sz="4" w:space="0" w:color="auto"/>
              <w:right w:val="single" w:sz="4" w:space="0" w:color="auto"/>
            </w:tcBorders>
            <w:vAlign w:val="center"/>
          </w:tcPr>
          <w:p w:rsidR="003B67F9" w:rsidRPr="000B2804" w:rsidRDefault="003B67F9" w:rsidP="00002C5A">
            <w:pPr>
              <w:widowControl w:val="0"/>
              <w:spacing w:line="276" w:lineRule="auto"/>
              <w:jc w:val="center"/>
              <w:rPr>
                <w:rFonts w:eastAsia="Times New Roman"/>
                <w:color w:val="000000"/>
                <w:sz w:val="24"/>
                <w:szCs w:val="24"/>
                <w:lang w:eastAsia="ru-RU"/>
              </w:rPr>
            </w:pPr>
            <w:r w:rsidRPr="000B2804">
              <w:rPr>
                <w:rFonts w:eastAsia="Times New Roman"/>
                <w:color w:val="000000"/>
                <w:sz w:val="24"/>
                <w:szCs w:val="24"/>
                <w:lang w:eastAsia="ru-RU"/>
              </w:rPr>
              <w:t>0,00</w:t>
            </w:r>
          </w:p>
        </w:tc>
        <w:tc>
          <w:tcPr>
            <w:tcW w:w="0" w:type="auto"/>
            <w:tcBorders>
              <w:top w:val="single" w:sz="4" w:space="0" w:color="auto"/>
              <w:left w:val="single" w:sz="4" w:space="0" w:color="auto"/>
              <w:bottom w:val="single" w:sz="4" w:space="0" w:color="auto"/>
              <w:right w:val="single" w:sz="4" w:space="0" w:color="auto"/>
            </w:tcBorders>
            <w:vAlign w:val="center"/>
          </w:tcPr>
          <w:p w:rsidR="003B67F9" w:rsidRPr="000B2804" w:rsidRDefault="003B67F9" w:rsidP="00002C5A">
            <w:pPr>
              <w:widowControl w:val="0"/>
              <w:spacing w:line="276" w:lineRule="auto"/>
              <w:jc w:val="center"/>
              <w:rPr>
                <w:rFonts w:eastAsia="Times New Roman"/>
                <w:color w:val="000000"/>
                <w:sz w:val="24"/>
                <w:szCs w:val="24"/>
                <w:lang w:eastAsia="ru-RU"/>
              </w:rPr>
            </w:pPr>
            <w:r w:rsidRPr="000B2804">
              <w:rPr>
                <w:rFonts w:eastAsia="Times New Roman"/>
                <w:color w:val="000000"/>
                <w:sz w:val="24"/>
                <w:szCs w:val="24"/>
                <w:lang w:eastAsia="ru-RU"/>
              </w:rPr>
              <w:t>н/д</w:t>
            </w:r>
          </w:p>
        </w:tc>
        <w:tc>
          <w:tcPr>
            <w:tcW w:w="0" w:type="auto"/>
            <w:tcBorders>
              <w:top w:val="single" w:sz="4" w:space="0" w:color="auto"/>
              <w:left w:val="single" w:sz="4" w:space="0" w:color="auto"/>
              <w:bottom w:val="single" w:sz="4" w:space="0" w:color="auto"/>
              <w:right w:val="single" w:sz="4" w:space="0" w:color="auto"/>
            </w:tcBorders>
            <w:vAlign w:val="center"/>
          </w:tcPr>
          <w:p w:rsidR="003B67F9" w:rsidRPr="000B2804" w:rsidRDefault="003B67F9" w:rsidP="00002C5A">
            <w:pPr>
              <w:widowControl w:val="0"/>
              <w:spacing w:line="276" w:lineRule="auto"/>
              <w:jc w:val="center"/>
              <w:rPr>
                <w:rFonts w:eastAsia="Times New Roman"/>
                <w:color w:val="000000"/>
                <w:sz w:val="24"/>
                <w:szCs w:val="24"/>
                <w:lang w:eastAsia="ru-RU"/>
              </w:rPr>
            </w:pPr>
            <w:r w:rsidRPr="000B2804">
              <w:rPr>
                <w:rFonts w:eastAsia="Times New Roman"/>
                <w:color w:val="000000"/>
                <w:sz w:val="24"/>
                <w:szCs w:val="24"/>
                <w:lang w:eastAsia="ru-RU"/>
              </w:rPr>
              <w:t>0,40</w:t>
            </w:r>
          </w:p>
        </w:tc>
        <w:tc>
          <w:tcPr>
            <w:tcW w:w="0" w:type="auto"/>
            <w:tcBorders>
              <w:top w:val="single" w:sz="4" w:space="0" w:color="auto"/>
              <w:left w:val="single" w:sz="4" w:space="0" w:color="auto"/>
              <w:bottom w:val="single" w:sz="4" w:space="0" w:color="auto"/>
              <w:right w:val="single" w:sz="4" w:space="0" w:color="auto"/>
            </w:tcBorders>
            <w:vAlign w:val="center"/>
          </w:tcPr>
          <w:p w:rsidR="003B67F9" w:rsidRPr="000B2804" w:rsidRDefault="003B67F9" w:rsidP="00002C5A">
            <w:pPr>
              <w:widowControl w:val="0"/>
              <w:spacing w:line="276" w:lineRule="auto"/>
              <w:jc w:val="center"/>
              <w:rPr>
                <w:rFonts w:eastAsia="Times New Roman"/>
                <w:color w:val="000000"/>
                <w:sz w:val="24"/>
                <w:szCs w:val="24"/>
                <w:lang w:eastAsia="ru-RU"/>
              </w:rPr>
            </w:pPr>
            <w:r w:rsidRPr="000B2804">
              <w:rPr>
                <w:rFonts w:eastAsia="Times New Roman"/>
                <w:color w:val="000000"/>
                <w:sz w:val="24"/>
                <w:szCs w:val="24"/>
                <w:lang w:eastAsia="ru-RU"/>
              </w:rPr>
              <w:t>0,00</w:t>
            </w:r>
          </w:p>
        </w:tc>
        <w:tc>
          <w:tcPr>
            <w:tcW w:w="0" w:type="auto"/>
            <w:tcBorders>
              <w:top w:val="single" w:sz="4" w:space="0" w:color="auto"/>
              <w:left w:val="single" w:sz="4" w:space="0" w:color="auto"/>
              <w:bottom w:val="single" w:sz="4" w:space="0" w:color="auto"/>
              <w:right w:val="single" w:sz="4" w:space="0" w:color="auto"/>
            </w:tcBorders>
            <w:vAlign w:val="center"/>
          </w:tcPr>
          <w:p w:rsidR="003B67F9" w:rsidRPr="000B2804" w:rsidRDefault="003B67F9" w:rsidP="00002C5A">
            <w:pPr>
              <w:widowControl w:val="0"/>
              <w:spacing w:line="276" w:lineRule="auto"/>
              <w:jc w:val="center"/>
              <w:rPr>
                <w:rFonts w:eastAsia="Times New Roman"/>
                <w:color w:val="000000"/>
                <w:sz w:val="24"/>
                <w:szCs w:val="24"/>
                <w:lang w:eastAsia="ru-RU"/>
              </w:rPr>
            </w:pPr>
            <w:r w:rsidRPr="000B2804">
              <w:rPr>
                <w:rFonts w:eastAsia="Times New Roman"/>
                <w:color w:val="000000"/>
                <w:sz w:val="24"/>
                <w:szCs w:val="24"/>
                <w:lang w:eastAsia="ru-RU"/>
              </w:rPr>
              <w:t>0,10</w:t>
            </w:r>
          </w:p>
        </w:tc>
      </w:tr>
      <w:tr w:rsidR="003B67F9" w:rsidRPr="000B2804" w:rsidTr="001918FC">
        <w:trPr>
          <w:jc w:val="center"/>
        </w:trPr>
        <w:tc>
          <w:tcPr>
            <w:tcW w:w="6355" w:type="dxa"/>
            <w:tcBorders>
              <w:top w:val="single" w:sz="4" w:space="0" w:color="auto"/>
              <w:left w:val="single" w:sz="4" w:space="0" w:color="auto"/>
              <w:bottom w:val="single" w:sz="4" w:space="0" w:color="auto"/>
              <w:right w:val="single" w:sz="4" w:space="0" w:color="auto"/>
            </w:tcBorders>
            <w:vAlign w:val="bottom"/>
          </w:tcPr>
          <w:p w:rsidR="003B67F9" w:rsidRPr="000B2804" w:rsidRDefault="003B67F9" w:rsidP="00002C5A">
            <w:pPr>
              <w:widowControl w:val="0"/>
              <w:spacing w:line="276" w:lineRule="auto"/>
              <w:rPr>
                <w:rFonts w:eastAsia="Times New Roman"/>
                <w:color w:val="000000"/>
                <w:sz w:val="24"/>
                <w:szCs w:val="24"/>
                <w:lang w:eastAsia="uk-UA"/>
              </w:rPr>
            </w:pPr>
            <w:r w:rsidRPr="000B2804">
              <w:rPr>
                <w:rFonts w:eastAsia="Times New Roman"/>
                <w:color w:val="000000"/>
                <w:sz w:val="24"/>
                <w:szCs w:val="24"/>
                <w:lang w:eastAsia="uk-UA"/>
              </w:rPr>
              <w:t>Індекс неонатального трансферу</w:t>
            </w:r>
          </w:p>
        </w:tc>
        <w:tc>
          <w:tcPr>
            <w:tcW w:w="0" w:type="auto"/>
            <w:tcBorders>
              <w:top w:val="single" w:sz="4" w:space="0" w:color="auto"/>
              <w:left w:val="single" w:sz="4" w:space="0" w:color="auto"/>
              <w:bottom w:val="single" w:sz="4" w:space="0" w:color="auto"/>
              <w:right w:val="single" w:sz="4" w:space="0" w:color="auto"/>
            </w:tcBorders>
            <w:vAlign w:val="center"/>
          </w:tcPr>
          <w:p w:rsidR="003B67F9" w:rsidRPr="000B2804" w:rsidRDefault="003B67F9" w:rsidP="00002C5A">
            <w:pPr>
              <w:widowControl w:val="0"/>
              <w:spacing w:line="276" w:lineRule="auto"/>
              <w:jc w:val="center"/>
              <w:rPr>
                <w:rFonts w:eastAsia="Times New Roman"/>
                <w:color w:val="000000"/>
                <w:sz w:val="24"/>
                <w:szCs w:val="24"/>
                <w:lang w:eastAsia="ru-RU"/>
              </w:rPr>
            </w:pPr>
            <w:r w:rsidRPr="000B2804">
              <w:rPr>
                <w:rFonts w:eastAsia="Times New Roman"/>
                <w:color w:val="000000"/>
                <w:sz w:val="24"/>
                <w:szCs w:val="24"/>
                <w:lang w:eastAsia="ru-RU"/>
              </w:rPr>
              <w:t>1,00</w:t>
            </w:r>
          </w:p>
        </w:tc>
        <w:tc>
          <w:tcPr>
            <w:tcW w:w="0" w:type="auto"/>
            <w:tcBorders>
              <w:top w:val="single" w:sz="4" w:space="0" w:color="auto"/>
              <w:left w:val="single" w:sz="4" w:space="0" w:color="auto"/>
              <w:bottom w:val="single" w:sz="4" w:space="0" w:color="auto"/>
              <w:right w:val="single" w:sz="4" w:space="0" w:color="auto"/>
            </w:tcBorders>
            <w:vAlign w:val="center"/>
          </w:tcPr>
          <w:p w:rsidR="003B67F9" w:rsidRPr="000B2804" w:rsidRDefault="003B67F9" w:rsidP="00002C5A">
            <w:pPr>
              <w:widowControl w:val="0"/>
              <w:spacing w:line="276" w:lineRule="auto"/>
              <w:jc w:val="center"/>
              <w:rPr>
                <w:rFonts w:eastAsia="Times New Roman"/>
                <w:color w:val="000000"/>
                <w:sz w:val="24"/>
                <w:szCs w:val="24"/>
                <w:lang w:eastAsia="ru-RU"/>
              </w:rPr>
            </w:pPr>
            <w:r w:rsidRPr="000B2804">
              <w:rPr>
                <w:rFonts w:eastAsia="Times New Roman"/>
                <w:color w:val="000000"/>
                <w:sz w:val="24"/>
                <w:szCs w:val="24"/>
                <w:lang w:eastAsia="ru-RU"/>
              </w:rPr>
              <w:t>0,00</w:t>
            </w:r>
          </w:p>
        </w:tc>
        <w:tc>
          <w:tcPr>
            <w:tcW w:w="0" w:type="auto"/>
            <w:tcBorders>
              <w:top w:val="single" w:sz="4" w:space="0" w:color="auto"/>
              <w:left w:val="single" w:sz="4" w:space="0" w:color="auto"/>
              <w:bottom w:val="single" w:sz="4" w:space="0" w:color="auto"/>
              <w:right w:val="single" w:sz="4" w:space="0" w:color="auto"/>
            </w:tcBorders>
            <w:vAlign w:val="center"/>
          </w:tcPr>
          <w:p w:rsidR="003B67F9" w:rsidRPr="000B2804" w:rsidRDefault="003B67F9" w:rsidP="00002C5A">
            <w:pPr>
              <w:widowControl w:val="0"/>
              <w:spacing w:line="276" w:lineRule="auto"/>
              <w:jc w:val="center"/>
              <w:rPr>
                <w:rFonts w:eastAsia="Times New Roman"/>
                <w:color w:val="000000"/>
                <w:sz w:val="24"/>
                <w:szCs w:val="24"/>
                <w:lang w:eastAsia="ru-RU"/>
              </w:rPr>
            </w:pPr>
            <w:r w:rsidRPr="000B2804">
              <w:rPr>
                <w:rFonts w:eastAsia="Times New Roman"/>
                <w:color w:val="000000"/>
                <w:sz w:val="24"/>
                <w:szCs w:val="24"/>
                <w:lang w:eastAsia="ru-RU"/>
              </w:rPr>
              <w:t>0,39</w:t>
            </w:r>
          </w:p>
        </w:tc>
        <w:tc>
          <w:tcPr>
            <w:tcW w:w="0" w:type="auto"/>
            <w:tcBorders>
              <w:top w:val="single" w:sz="4" w:space="0" w:color="auto"/>
              <w:left w:val="single" w:sz="4" w:space="0" w:color="auto"/>
              <w:bottom w:val="single" w:sz="4" w:space="0" w:color="auto"/>
              <w:right w:val="single" w:sz="4" w:space="0" w:color="auto"/>
            </w:tcBorders>
            <w:vAlign w:val="center"/>
          </w:tcPr>
          <w:p w:rsidR="003B67F9" w:rsidRPr="000B2804" w:rsidRDefault="003B67F9" w:rsidP="00002C5A">
            <w:pPr>
              <w:widowControl w:val="0"/>
              <w:spacing w:line="276" w:lineRule="auto"/>
              <w:jc w:val="center"/>
              <w:rPr>
                <w:rFonts w:eastAsia="Times New Roman"/>
                <w:color w:val="000000"/>
                <w:sz w:val="24"/>
                <w:szCs w:val="24"/>
                <w:lang w:eastAsia="ru-RU"/>
              </w:rPr>
            </w:pPr>
            <w:r w:rsidRPr="000B2804">
              <w:rPr>
                <w:rFonts w:eastAsia="Times New Roman"/>
                <w:color w:val="000000"/>
                <w:sz w:val="24"/>
                <w:szCs w:val="24"/>
                <w:lang w:eastAsia="ru-RU"/>
              </w:rPr>
              <w:t>0,00</w:t>
            </w:r>
          </w:p>
        </w:tc>
        <w:tc>
          <w:tcPr>
            <w:tcW w:w="0" w:type="auto"/>
            <w:tcBorders>
              <w:top w:val="single" w:sz="4" w:space="0" w:color="auto"/>
              <w:left w:val="single" w:sz="4" w:space="0" w:color="auto"/>
              <w:bottom w:val="single" w:sz="4" w:space="0" w:color="auto"/>
              <w:right w:val="single" w:sz="4" w:space="0" w:color="auto"/>
            </w:tcBorders>
            <w:vAlign w:val="center"/>
          </w:tcPr>
          <w:p w:rsidR="003B67F9" w:rsidRPr="000B2804" w:rsidRDefault="003B67F9" w:rsidP="00002C5A">
            <w:pPr>
              <w:widowControl w:val="0"/>
              <w:spacing w:line="276" w:lineRule="auto"/>
              <w:jc w:val="center"/>
              <w:rPr>
                <w:rFonts w:eastAsia="Times New Roman"/>
                <w:color w:val="000000"/>
                <w:sz w:val="24"/>
                <w:szCs w:val="24"/>
                <w:lang w:eastAsia="ru-RU"/>
              </w:rPr>
            </w:pPr>
            <w:r w:rsidRPr="000B2804">
              <w:rPr>
                <w:rFonts w:eastAsia="Times New Roman"/>
                <w:color w:val="000000"/>
                <w:sz w:val="24"/>
                <w:szCs w:val="24"/>
                <w:lang w:eastAsia="ru-RU"/>
              </w:rPr>
              <w:t>0,79</w:t>
            </w:r>
          </w:p>
        </w:tc>
        <w:tc>
          <w:tcPr>
            <w:tcW w:w="0" w:type="auto"/>
            <w:tcBorders>
              <w:top w:val="single" w:sz="4" w:space="0" w:color="auto"/>
              <w:left w:val="single" w:sz="4" w:space="0" w:color="auto"/>
              <w:bottom w:val="single" w:sz="4" w:space="0" w:color="auto"/>
              <w:right w:val="single" w:sz="4" w:space="0" w:color="auto"/>
            </w:tcBorders>
            <w:vAlign w:val="center"/>
          </w:tcPr>
          <w:p w:rsidR="003B67F9" w:rsidRPr="000B2804" w:rsidRDefault="003B67F9" w:rsidP="00002C5A">
            <w:pPr>
              <w:widowControl w:val="0"/>
              <w:spacing w:line="276" w:lineRule="auto"/>
              <w:jc w:val="center"/>
              <w:rPr>
                <w:rFonts w:eastAsia="Times New Roman"/>
                <w:color w:val="000000"/>
                <w:sz w:val="24"/>
                <w:szCs w:val="24"/>
                <w:lang w:eastAsia="ru-RU"/>
              </w:rPr>
            </w:pPr>
            <w:r w:rsidRPr="000B2804">
              <w:rPr>
                <w:rFonts w:eastAsia="Times New Roman"/>
                <w:color w:val="000000"/>
                <w:sz w:val="24"/>
                <w:szCs w:val="24"/>
                <w:lang w:eastAsia="ru-RU"/>
              </w:rPr>
              <w:t>0,00</w:t>
            </w:r>
          </w:p>
        </w:tc>
      </w:tr>
      <w:tr w:rsidR="003B67F9" w:rsidRPr="000B2804" w:rsidTr="001918FC">
        <w:trPr>
          <w:jc w:val="center"/>
        </w:trPr>
        <w:tc>
          <w:tcPr>
            <w:tcW w:w="6355" w:type="dxa"/>
            <w:tcBorders>
              <w:top w:val="single" w:sz="4" w:space="0" w:color="auto"/>
              <w:left w:val="single" w:sz="4" w:space="0" w:color="auto"/>
              <w:bottom w:val="single" w:sz="4" w:space="0" w:color="auto"/>
              <w:right w:val="single" w:sz="4" w:space="0" w:color="auto"/>
            </w:tcBorders>
            <w:vAlign w:val="bottom"/>
          </w:tcPr>
          <w:p w:rsidR="003B67F9" w:rsidRPr="000B2804" w:rsidRDefault="003B67F9" w:rsidP="00002C5A">
            <w:pPr>
              <w:widowControl w:val="0"/>
              <w:spacing w:line="276" w:lineRule="auto"/>
              <w:rPr>
                <w:rFonts w:eastAsia="Times New Roman"/>
                <w:color w:val="000000"/>
                <w:sz w:val="24"/>
                <w:szCs w:val="24"/>
                <w:lang w:eastAsia="uk-UA"/>
              </w:rPr>
            </w:pPr>
            <w:r w:rsidRPr="000B2804">
              <w:rPr>
                <w:rFonts w:eastAsia="Times New Roman"/>
                <w:color w:val="000000"/>
                <w:sz w:val="24"/>
                <w:szCs w:val="24"/>
                <w:lang w:eastAsia="uk-UA"/>
              </w:rPr>
              <w:t>Частота нормальних пологів</w:t>
            </w:r>
          </w:p>
        </w:tc>
        <w:tc>
          <w:tcPr>
            <w:tcW w:w="0" w:type="auto"/>
            <w:tcBorders>
              <w:top w:val="single" w:sz="4" w:space="0" w:color="auto"/>
              <w:left w:val="single" w:sz="4" w:space="0" w:color="auto"/>
              <w:bottom w:val="single" w:sz="4" w:space="0" w:color="auto"/>
              <w:right w:val="single" w:sz="4" w:space="0" w:color="auto"/>
            </w:tcBorders>
            <w:vAlign w:val="center"/>
          </w:tcPr>
          <w:p w:rsidR="003B67F9" w:rsidRPr="000B2804" w:rsidRDefault="003B67F9" w:rsidP="00002C5A">
            <w:pPr>
              <w:widowControl w:val="0"/>
              <w:spacing w:line="276" w:lineRule="auto"/>
              <w:jc w:val="center"/>
              <w:rPr>
                <w:rFonts w:eastAsia="Times New Roman"/>
                <w:color w:val="000000"/>
                <w:sz w:val="24"/>
                <w:szCs w:val="24"/>
                <w:lang w:eastAsia="ru-RU"/>
              </w:rPr>
            </w:pPr>
            <w:r w:rsidRPr="000B2804">
              <w:rPr>
                <w:rFonts w:eastAsia="Times New Roman"/>
                <w:color w:val="000000"/>
                <w:sz w:val="24"/>
                <w:szCs w:val="24"/>
                <w:lang w:eastAsia="ru-RU"/>
              </w:rPr>
              <w:t>0,96</w:t>
            </w:r>
          </w:p>
        </w:tc>
        <w:tc>
          <w:tcPr>
            <w:tcW w:w="0" w:type="auto"/>
            <w:tcBorders>
              <w:top w:val="single" w:sz="4" w:space="0" w:color="auto"/>
              <w:left w:val="single" w:sz="4" w:space="0" w:color="auto"/>
              <w:bottom w:val="single" w:sz="4" w:space="0" w:color="auto"/>
              <w:right w:val="single" w:sz="4" w:space="0" w:color="auto"/>
            </w:tcBorders>
            <w:vAlign w:val="center"/>
          </w:tcPr>
          <w:p w:rsidR="003B67F9" w:rsidRPr="000B2804" w:rsidRDefault="003B67F9" w:rsidP="00002C5A">
            <w:pPr>
              <w:widowControl w:val="0"/>
              <w:spacing w:line="276" w:lineRule="auto"/>
              <w:jc w:val="center"/>
              <w:rPr>
                <w:rFonts w:eastAsia="Times New Roman"/>
                <w:color w:val="000000"/>
                <w:sz w:val="24"/>
                <w:szCs w:val="24"/>
                <w:lang w:eastAsia="ru-RU"/>
              </w:rPr>
            </w:pPr>
            <w:r w:rsidRPr="000B2804">
              <w:rPr>
                <w:rFonts w:eastAsia="Times New Roman"/>
                <w:color w:val="000000"/>
                <w:sz w:val="24"/>
                <w:szCs w:val="24"/>
                <w:lang w:eastAsia="ru-RU"/>
              </w:rPr>
              <w:t>0,95</w:t>
            </w:r>
          </w:p>
        </w:tc>
        <w:tc>
          <w:tcPr>
            <w:tcW w:w="0" w:type="auto"/>
            <w:tcBorders>
              <w:top w:val="single" w:sz="4" w:space="0" w:color="auto"/>
              <w:left w:val="single" w:sz="4" w:space="0" w:color="auto"/>
              <w:bottom w:val="single" w:sz="4" w:space="0" w:color="auto"/>
              <w:right w:val="single" w:sz="4" w:space="0" w:color="auto"/>
            </w:tcBorders>
            <w:vAlign w:val="center"/>
          </w:tcPr>
          <w:p w:rsidR="003B67F9" w:rsidRPr="000B2804" w:rsidRDefault="003B67F9" w:rsidP="00002C5A">
            <w:pPr>
              <w:widowControl w:val="0"/>
              <w:spacing w:line="276" w:lineRule="auto"/>
              <w:jc w:val="center"/>
              <w:rPr>
                <w:rFonts w:eastAsia="Times New Roman"/>
                <w:color w:val="000000"/>
                <w:sz w:val="24"/>
                <w:szCs w:val="24"/>
                <w:lang w:eastAsia="ru-RU"/>
              </w:rPr>
            </w:pPr>
            <w:r w:rsidRPr="000B2804">
              <w:rPr>
                <w:rFonts w:eastAsia="Times New Roman"/>
                <w:color w:val="000000"/>
                <w:sz w:val="24"/>
                <w:szCs w:val="24"/>
                <w:lang w:eastAsia="ru-RU"/>
              </w:rPr>
              <w:t>0,94</w:t>
            </w:r>
          </w:p>
        </w:tc>
        <w:tc>
          <w:tcPr>
            <w:tcW w:w="0" w:type="auto"/>
            <w:tcBorders>
              <w:top w:val="single" w:sz="4" w:space="0" w:color="auto"/>
              <w:left w:val="single" w:sz="4" w:space="0" w:color="auto"/>
              <w:bottom w:val="single" w:sz="4" w:space="0" w:color="auto"/>
              <w:right w:val="single" w:sz="4" w:space="0" w:color="auto"/>
            </w:tcBorders>
            <w:vAlign w:val="center"/>
          </w:tcPr>
          <w:p w:rsidR="003B67F9" w:rsidRPr="000B2804" w:rsidRDefault="003B67F9" w:rsidP="00002C5A">
            <w:pPr>
              <w:widowControl w:val="0"/>
              <w:spacing w:line="276" w:lineRule="auto"/>
              <w:jc w:val="center"/>
              <w:rPr>
                <w:rFonts w:eastAsia="Times New Roman"/>
                <w:color w:val="000000"/>
                <w:sz w:val="24"/>
                <w:szCs w:val="24"/>
                <w:lang w:eastAsia="ru-RU"/>
              </w:rPr>
            </w:pPr>
            <w:r w:rsidRPr="000B2804">
              <w:rPr>
                <w:rFonts w:eastAsia="Times New Roman"/>
                <w:color w:val="000000"/>
                <w:sz w:val="24"/>
                <w:szCs w:val="24"/>
                <w:lang w:eastAsia="ru-RU"/>
              </w:rPr>
              <w:t>0,91</w:t>
            </w:r>
          </w:p>
        </w:tc>
        <w:tc>
          <w:tcPr>
            <w:tcW w:w="0" w:type="auto"/>
            <w:tcBorders>
              <w:top w:val="single" w:sz="4" w:space="0" w:color="auto"/>
              <w:left w:val="single" w:sz="4" w:space="0" w:color="auto"/>
              <w:bottom w:val="single" w:sz="4" w:space="0" w:color="auto"/>
              <w:right w:val="single" w:sz="4" w:space="0" w:color="auto"/>
            </w:tcBorders>
            <w:vAlign w:val="center"/>
          </w:tcPr>
          <w:p w:rsidR="003B67F9" w:rsidRPr="000B2804" w:rsidRDefault="003B67F9" w:rsidP="00002C5A">
            <w:pPr>
              <w:widowControl w:val="0"/>
              <w:spacing w:line="276" w:lineRule="auto"/>
              <w:jc w:val="center"/>
              <w:rPr>
                <w:rFonts w:eastAsia="Times New Roman"/>
                <w:color w:val="000000"/>
                <w:sz w:val="24"/>
                <w:szCs w:val="24"/>
                <w:lang w:eastAsia="ru-RU"/>
              </w:rPr>
            </w:pPr>
            <w:r w:rsidRPr="000B2804">
              <w:rPr>
                <w:rFonts w:eastAsia="Times New Roman"/>
                <w:color w:val="000000"/>
                <w:sz w:val="24"/>
                <w:szCs w:val="24"/>
                <w:lang w:eastAsia="ru-RU"/>
              </w:rPr>
              <w:t>0,98</w:t>
            </w:r>
          </w:p>
        </w:tc>
        <w:tc>
          <w:tcPr>
            <w:tcW w:w="0" w:type="auto"/>
            <w:tcBorders>
              <w:top w:val="single" w:sz="4" w:space="0" w:color="auto"/>
              <w:left w:val="single" w:sz="4" w:space="0" w:color="auto"/>
              <w:bottom w:val="single" w:sz="4" w:space="0" w:color="auto"/>
              <w:right w:val="single" w:sz="4" w:space="0" w:color="auto"/>
            </w:tcBorders>
            <w:vAlign w:val="center"/>
          </w:tcPr>
          <w:p w:rsidR="003B67F9" w:rsidRPr="000B2804" w:rsidRDefault="003B67F9" w:rsidP="00002C5A">
            <w:pPr>
              <w:widowControl w:val="0"/>
              <w:spacing w:line="276" w:lineRule="auto"/>
              <w:jc w:val="center"/>
              <w:rPr>
                <w:rFonts w:eastAsia="Times New Roman"/>
                <w:color w:val="000000"/>
                <w:sz w:val="24"/>
                <w:szCs w:val="24"/>
                <w:lang w:eastAsia="ru-RU"/>
              </w:rPr>
            </w:pPr>
            <w:r w:rsidRPr="000B2804">
              <w:rPr>
                <w:rFonts w:eastAsia="Times New Roman"/>
                <w:color w:val="000000"/>
                <w:sz w:val="24"/>
                <w:szCs w:val="24"/>
                <w:lang w:eastAsia="ru-RU"/>
              </w:rPr>
              <w:t>1,00</w:t>
            </w:r>
          </w:p>
        </w:tc>
      </w:tr>
      <w:tr w:rsidR="003B67F9" w:rsidRPr="000B2804" w:rsidTr="001918FC">
        <w:trPr>
          <w:jc w:val="center"/>
        </w:trPr>
        <w:tc>
          <w:tcPr>
            <w:tcW w:w="6355" w:type="dxa"/>
            <w:tcBorders>
              <w:top w:val="single" w:sz="4" w:space="0" w:color="auto"/>
              <w:left w:val="single" w:sz="4" w:space="0" w:color="auto"/>
              <w:bottom w:val="single" w:sz="4" w:space="0" w:color="auto"/>
              <w:right w:val="single" w:sz="4" w:space="0" w:color="auto"/>
            </w:tcBorders>
            <w:vAlign w:val="bottom"/>
          </w:tcPr>
          <w:p w:rsidR="003B67F9" w:rsidRPr="000B2804" w:rsidRDefault="003B67F9" w:rsidP="00002C5A">
            <w:pPr>
              <w:widowControl w:val="0"/>
              <w:spacing w:line="276" w:lineRule="auto"/>
              <w:rPr>
                <w:rFonts w:eastAsia="Times New Roman"/>
                <w:color w:val="000000"/>
                <w:sz w:val="24"/>
                <w:szCs w:val="24"/>
                <w:lang w:eastAsia="uk-UA"/>
              </w:rPr>
            </w:pPr>
            <w:r w:rsidRPr="000B2804">
              <w:rPr>
                <w:rFonts w:eastAsia="Times New Roman"/>
                <w:color w:val="000000"/>
                <w:sz w:val="24"/>
                <w:szCs w:val="24"/>
                <w:lang w:eastAsia="uk-UA"/>
              </w:rPr>
              <w:t>Частота розроджень вагітних шляхом кесаревого розтину</w:t>
            </w:r>
          </w:p>
        </w:tc>
        <w:tc>
          <w:tcPr>
            <w:tcW w:w="0" w:type="auto"/>
            <w:tcBorders>
              <w:top w:val="single" w:sz="4" w:space="0" w:color="auto"/>
              <w:left w:val="single" w:sz="4" w:space="0" w:color="auto"/>
              <w:bottom w:val="single" w:sz="4" w:space="0" w:color="auto"/>
              <w:right w:val="single" w:sz="4" w:space="0" w:color="auto"/>
            </w:tcBorders>
            <w:vAlign w:val="center"/>
          </w:tcPr>
          <w:p w:rsidR="003B67F9" w:rsidRPr="000B2804" w:rsidRDefault="003B67F9" w:rsidP="00002C5A">
            <w:pPr>
              <w:widowControl w:val="0"/>
              <w:spacing w:line="276" w:lineRule="auto"/>
              <w:jc w:val="center"/>
              <w:rPr>
                <w:rFonts w:eastAsia="Times New Roman"/>
                <w:color w:val="000000"/>
                <w:sz w:val="24"/>
                <w:szCs w:val="24"/>
                <w:lang w:eastAsia="ru-RU"/>
              </w:rPr>
            </w:pPr>
            <w:r w:rsidRPr="000B2804">
              <w:rPr>
                <w:rFonts w:eastAsia="Times New Roman"/>
                <w:color w:val="000000"/>
                <w:sz w:val="24"/>
                <w:szCs w:val="24"/>
                <w:lang w:eastAsia="ru-RU"/>
              </w:rPr>
              <w:t>0,61</w:t>
            </w:r>
          </w:p>
        </w:tc>
        <w:tc>
          <w:tcPr>
            <w:tcW w:w="0" w:type="auto"/>
            <w:tcBorders>
              <w:top w:val="single" w:sz="4" w:space="0" w:color="auto"/>
              <w:left w:val="single" w:sz="4" w:space="0" w:color="auto"/>
              <w:bottom w:val="single" w:sz="4" w:space="0" w:color="auto"/>
              <w:right w:val="single" w:sz="4" w:space="0" w:color="auto"/>
            </w:tcBorders>
            <w:vAlign w:val="center"/>
          </w:tcPr>
          <w:p w:rsidR="003B67F9" w:rsidRPr="000B2804" w:rsidRDefault="003B67F9" w:rsidP="00002C5A">
            <w:pPr>
              <w:widowControl w:val="0"/>
              <w:spacing w:line="276" w:lineRule="auto"/>
              <w:jc w:val="center"/>
              <w:rPr>
                <w:rFonts w:eastAsia="Times New Roman"/>
                <w:color w:val="000000"/>
                <w:sz w:val="24"/>
                <w:szCs w:val="24"/>
                <w:lang w:eastAsia="ru-RU"/>
              </w:rPr>
            </w:pPr>
            <w:r w:rsidRPr="000B2804">
              <w:rPr>
                <w:rFonts w:eastAsia="Times New Roman"/>
                <w:color w:val="000000"/>
                <w:sz w:val="24"/>
                <w:szCs w:val="24"/>
                <w:lang w:eastAsia="ru-RU"/>
              </w:rPr>
              <w:t>0,62</w:t>
            </w:r>
          </w:p>
        </w:tc>
        <w:tc>
          <w:tcPr>
            <w:tcW w:w="0" w:type="auto"/>
            <w:tcBorders>
              <w:top w:val="single" w:sz="4" w:space="0" w:color="auto"/>
              <w:left w:val="single" w:sz="4" w:space="0" w:color="auto"/>
              <w:bottom w:val="single" w:sz="4" w:space="0" w:color="auto"/>
              <w:right w:val="single" w:sz="4" w:space="0" w:color="auto"/>
            </w:tcBorders>
            <w:vAlign w:val="center"/>
          </w:tcPr>
          <w:p w:rsidR="003B67F9" w:rsidRPr="000B2804" w:rsidRDefault="003B67F9" w:rsidP="00002C5A">
            <w:pPr>
              <w:widowControl w:val="0"/>
              <w:spacing w:line="276" w:lineRule="auto"/>
              <w:jc w:val="center"/>
              <w:rPr>
                <w:rFonts w:eastAsia="Times New Roman"/>
                <w:color w:val="000000"/>
                <w:sz w:val="24"/>
                <w:szCs w:val="24"/>
                <w:lang w:eastAsia="ru-RU"/>
              </w:rPr>
            </w:pPr>
            <w:r w:rsidRPr="000B2804">
              <w:rPr>
                <w:rFonts w:eastAsia="Times New Roman"/>
                <w:color w:val="000000"/>
                <w:sz w:val="24"/>
                <w:szCs w:val="24"/>
                <w:lang w:eastAsia="ru-RU"/>
              </w:rPr>
              <w:t>0,52</w:t>
            </w:r>
          </w:p>
        </w:tc>
        <w:tc>
          <w:tcPr>
            <w:tcW w:w="0" w:type="auto"/>
            <w:tcBorders>
              <w:top w:val="single" w:sz="4" w:space="0" w:color="auto"/>
              <w:left w:val="single" w:sz="4" w:space="0" w:color="auto"/>
              <w:bottom w:val="single" w:sz="4" w:space="0" w:color="auto"/>
              <w:right w:val="single" w:sz="4" w:space="0" w:color="auto"/>
            </w:tcBorders>
            <w:vAlign w:val="center"/>
          </w:tcPr>
          <w:p w:rsidR="003B67F9" w:rsidRPr="000B2804" w:rsidRDefault="003B67F9" w:rsidP="00002C5A">
            <w:pPr>
              <w:widowControl w:val="0"/>
              <w:spacing w:line="276" w:lineRule="auto"/>
              <w:jc w:val="center"/>
              <w:rPr>
                <w:rFonts w:eastAsia="Times New Roman"/>
                <w:color w:val="000000"/>
                <w:sz w:val="24"/>
                <w:szCs w:val="24"/>
                <w:lang w:eastAsia="ru-RU"/>
              </w:rPr>
            </w:pPr>
            <w:r w:rsidRPr="000B2804">
              <w:rPr>
                <w:rFonts w:eastAsia="Times New Roman"/>
                <w:color w:val="000000"/>
                <w:sz w:val="24"/>
                <w:szCs w:val="24"/>
                <w:lang w:eastAsia="ru-RU"/>
              </w:rPr>
              <w:t>0,59</w:t>
            </w:r>
          </w:p>
        </w:tc>
        <w:tc>
          <w:tcPr>
            <w:tcW w:w="0" w:type="auto"/>
            <w:tcBorders>
              <w:top w:val="single" w:sz="4" w:space="0" w:color="auto"/>
              <w:left w:val="single" w:sz="4" w:space="0" w:color="auto"/>
              <w:bottom w:val="single" w:sz="4" w:space="0" w:color="auto"/>
              <w:right w:val="single" w:sz="4" w:space="0" w:color="auto"/>
            </w:tcBorders>
            <w:vAlign w:val="center"/>
          </w:tcPr>
          <w:p w:rsidR="003B67F9" w:rsidRPr="000B2804" w:rsidRDefault="003B67F9" w:rsidP="00002C5A">
            <w:pPr>
              <w:widowControl w:val="0"/>
              <w:spacing w:line="276" w:lineRule="auto"/>
              <w:jc w:val="center"/>
              <w:rPr>
                <w:rFonts w:eastAsia="Times New Roman"/>
                <w:color w:val="000000"/>
                <w:sz w:val="24"/>
                <w:szCs w:val="24"/>
                <w:lang w:eastAsia="ru-RU"/>
              </w:rPr>
            </w:pPr>
            <w:r w:rsidRPr="000B2804">
              <w:rPr>
                <w:rFonts w:eastAsia="Times New Roman"/>
                <w:color w:val="000000"/>
                <w:sz w:val="24"/>
                <w:szCs w:val="24"/>
                <w:lang w:eastAsia="ru-RU"/>
              </w:rPr>
              <w:t>0,60</w:t>
            </w:r>
          </w:p>
        </w:tc>
        <w:tc>
          <w:tcPr>
            <w:tcW w:w="0" w:type="auto"/>
            <w:tcBorders>
              <w:top w:val="single" w:sz="4" w:space="0" w:color="auto"/>
              <w:left w:val="single" w:sz="4" w:space="0" w:color="auto"/>
              <w:bottom w:val="single" w:sz="4" w:space="0" w:color="auto"/>
              <w:right w:val="single" w:sz="4" w:space="0" w:color="auto"/>
            </w:tcBorders>
            <w:vAlign w:val="center"/>
          </w:tcPr>
          <w:p w:rsidR="003B67F9" w:rsidRPr="000B2804" w:rsidRDefault="003B67F9" w:rsidP="00002C5A">
            <w:pPr>
              <w:widowControl w:val="0"/>
              <w:spacing w:line="276" w:lineRule="auto"/>
              <w:jc w:val="center"/>
              <w:rPr>
                <w:rFonts w:eastAsia="Times New Roman"/>
                <w:color w:val="000000"/>
                <w:sz w:val="24"/>
                <w:szCs w:val="24"/>
                <w:lang w:eastAsia="ru-RU"/>
              </w:rPr>
            </w:pPr>
            <w:r w:rsidRPr="000B2804">
              <w:rPr>
                <w:rFonts w:eastAsia="Times New Roman"/>
                <w:color w:val="000000"/>
                <w:sz w:val="24"/>
                <w:szCs w:val="24"/>
                <w:lang w:eastAsia="ru-RU"/>
              </w:rPr>
              <w:t>0,79</w:t>
            </w:r>
          </w:p>
        </w:tc>
      </w:tr>
      <w:tr w:rsidR="003B67F9" w:rsidRPr="000B2804" w:rsidTr="001918FC">
        <w:trPr>
          <w:jc w:val="center"/>
        </w:trPr>
        <w:tc>
          <w:tcPr>
            <w:tcW w:w="6355" w:type="dxa"/>
            <w:tcBorders>
              <w:top w:val="single" w:sz="4" w:space="0" w:color="auto"/>
              <w:left w:val="single" w:sz="4" w:space="0" w:color="auto"/>
              <w:bottom w:val="single" w:sz="4" w:space="0" w:color="auto"/>
              <w:right w:val="single" w:sz="4" w:space="0" w:color="auto"/>
            </w:tcBorders>
            <w:vAlign w:val="bottom"/>
          </w:tcPr>
          <w:p w:rsidR="003B67F9" w:rsidRPr="000B2804" w:rsidRDefault="003B67F9" w:rsidP="00002C5A">
            <w:pPr>
              <w:widowControl w:val="0"/>
              <w:spacing w:line="276" w:lineRule="auto"/>
              <w:rPr>
                <w:rFonts w:eastAsia="Times New Roman"/>
                <w:color w:val="000000"/>
                <w:sz w:val="24"/>
                <w:szCs w:val="24"/>
                <w:lang w:eastAsia="uk-UA"/>
              </w:rPr>
            </w:pPr>
            <w:r w:rsidRPr="000B2804">
              <w:rPr>
                <w:rFonts w:eastAsia="Times New Roman"/>
                <w:color w:val="000000"/>
                <w:sz w:val="24"/>
                <w:szCs w:val="24"/>
                <w:lang w:eastAsia="uk-UA"/>
              </w:rPr>
              <w:t>Частота кровотеч в послідовому і післяродовому періодах</w:t>
            </w:r>
          </w:p>
        </w:tc>
        <w:tc>
          <w:tcPr>
            <w:tcW w:w="0" w:type="auto"/>
            <w:tcBorders>
              <w:top w:val="single" w:sz="4" w:space="0" w:color="auto"/>
              <w:left w:val="single" w:sz="4" w:space="0" w:color="auto"/>
              <w:bottom w:val="single" w:sz="4" w:space="0" w:color="auto"/>
              <w:right w:val="single" w:sz="4" w:space="0" w:color="auto"/>
            </w:tcBorders>
            <w:vAlign w:val="center"/>
          </w:tcPr>
          <w:p w:rsidR="003B67F9" w:rsidRPr="000B2804" w:rsidRDefault="003B67F9" w:rsidP="00002C5A">
            <w:pPr>
              <w:widowControl w:val="0"/>
              <w:spacing w:line="276" w:lineRule="auto"/>
              <w:jc w:val="center"/>
              <w:rPr>
                <w:rFonts w:eastAsia="Times New Roman"/>
                <w:color w:val="000000"/>
                <w:sz w:val="24"/>
                <w:szCs w:val="24"/>
                <w:lang w:eastAsia="ru-RU"/>
              </w:rPr>
            </w:pPr>
            <w:r w:rsidRPr="000B2804">
              <w:rPr>
                <w:rFonts w:eastAsia="Times New Roman"/>
                <w:color w:val="000000"/>
                <w:sz w:val="24"/>
                <w:szCs w:val="24"/>
                <w:lang w:eastAsia="ru-RU"/>
              </w:rPr>
              <w:t>0,00</w:t>
            </w:r>
          </w:p>
        </w:tc>
        <w:tc>
          <w:tcPr>
            <w:tcW w:w="0" w:type="auto"/>
            <w:tcBorders>
              <w:top w:val="single" w:sz="4" w:space="0" w:color="auto"/>
              <w:left w:val="single" w:sz="4" w:space="0" w:color="auto"/>
              <w:bottom w:val="single" w:sz="4" w:space="0" w:color="auto"/>
              <w:right w:val="single" w:sz="4" w:space="0" w:color="auto"/>
            </w:tcBorders>
            <w:vAlign w:val="center"/>
          </w:tcPr>
          <w:p w:rsidR="003B67F9" w:rsidRPr="000B2804" w:rsidRDefault="003B67F9" w:rsidP="00002C5A">
            <w:pPr>
              <w:widowControl w:val="0"/>
              <w:spacing w:line="276" w:lineRule="auto"/>
              <w:jc w:val="center"/>
              <w:rPr>
                <w:rFonts w:eastAsia="Times New Roman"/>
                <w:color w:val="000000"/>
                <w:sz w:val="24"/>
                <w:szCs w:val="24"/>
                <w:lang w:eastAsia="ru-RU"/>
              </w:rPr>
            </w:pPr>
            <w:r w:rsidRPr="000B2804">
              <w:rPr>
                <w:rFonts w:eastAsia="Times New Roman"/>
                <w:color w:val="000000"/>
                <w:sz w:val="24"/>
                <w:szCs w:val="24"/>
                <w:lang w:eastAsia="ru-RU"/>
              </w:rPr>
              <w:t>0,43</w:t>
            </w:r>
          </w:p>
        </w:tc>
        <w:tc>
          <w:tcPr>
            <w:tcW w:w="0" w:type="auto"/>
            <w:tcBorders>
              <w:top w:val="single" w:sz="4" w:space="0" w:color="auto"/>
              <w:left w:val="single" w:sz="4" w:space="0" w:color="auto"/>
              <w:bottom w:val="single" w:sz="4" w:space="0" w:color="auto"/>
              <w:right w:val="single" w:sz="4" w:space="0" w:color="auto"/>
            </w:tcBorders>
            <w:vAlign w:val="center"/>
          </w:tcPr>
          <w:p w:rsidR="003B67F9" w:rsidRPr="000B2804" w:rsidRDefault="003B67F9" w:rsidP="00002C5A">
            <w:pPr>
              <w:widowControl w:val="0"/>
              <w:spacing w:line="276" w:lineRule="auto"/>
              <w:jc w:val="center"/>
              <w:rPr>
                <w:rFonts w:eastAsia="Times New Roman"/>
                <w:color w:val="000000"/>
                <w:sz w:val="24"/>
                <w:szCs w:val="24"/>
                <w:lang w:eastAsia="ru-RU"/>
              </w:rPr>
            </w:pPr>
            <w:r w:rsidRPr="000B2804">
              <w:rPr>
                <w:rFonts w:eastAsia="Times New Roman"/>
                <w:color w:val="000000"/>
                <w:sz w:val="24"/>
                <w:szCs w:val="24"/>
                <w:lang w:eastAsia="ru-RU"/>
              </w:rPr>
              <w:t>0,15</w:t>
            </w:r>
          </w:p>
        </w:tc>
        <w:tc>
          <w:tcPr>
            <w:tcW w:w="0" w:type="auto"/>
            <w:tcBorders>
              <w:top w:val="single" w:sz="4" w:space="0" w:color="auto"/>
              <w:left w:val="single" w:sz="4" w:space="0" w:color="auto"/>
              <w:bottom w:val="single" w:sz="4" w:space="0" w:color="auto"/>
              <w:right w:val="single" w:sz="4" w:space="0" w:color="auto"/>
            </w:tcBorders>
            <w:vAlign w:val="center"/>
          </w:tcPr>
          <w:p w:rsidR="003B67F9" w:rsidRPr="000B2804" w:rsidRDefault="003B67F9" w:rsidP="00002C5A">
            <w:pPr>
              <w:widowControl w:val="0"/>
              <w:spacing w:line="276" w:lineRule="auto"/>
              <w:jc w:val="center"/>
              <w:rPr>
                <w:rFonts w:eastAsia="Times New Roman"/>
                <w:color w:val="000000"/>
                <w:sz w:val="24"/>
                <w:szCs w:val="24"/>
                <w:lang w:eastAsia="ru-RU"/>
              </w:rPr>
            </w:pPr>
            <w:r w:rsidRPr="000B2804">
              <w:rPr>
                <w:rFonts w:eastAsia="Times New Roman"/>
                <w:color w:val="000000"/>
                <w:sz w:val="24"/>
                <w:szCs w:val="24"/>
                <w:lang w:eastAsia="ru-RU"/>
              </w:rPr>
              <w:t>0,00</w:t>
            </w:r>
          </w:p>
        </w:tc>
        <w:tc>
          <w:tcPr>
            <w:tcW w:w="0" w:type="auto"/>
            <w:tcBorders>
              <w:top w:val="single" w:sz="4" w:space="0" w:color="auto"/>
              <w:left w:val="single" w:sz="4" w:space="0" w:color="auto"/>
              <w:bottom w:val="single" w:sz="4" w:space="0" w:color="auto"/>
              <w:right w:val="single" w:sz="4" w:space="0" w:color="auto"/>
            </w:tcBorders>
            <w:vAlign w:val="center"/>
          </w:tcPr>
          <w:p w:rsidR="003B67F9" w:rsidRPr="000B2804" w:rsidRDefault="003B67F9" w:rsidP="00002C5A">
            <w:pPr>
              <w:widowControl w:val="0"/>
              <w:spacing w:line="276" w:lineRule="auto"/>
              <w:jc w:val="center"/>
              <w:rPr>
                <w:rFonts w:eastAsia="Times New Roman"/>
                <w:color w:val="000000"/>
                <w:sz w:val="24"/>
                <w:szCs w:val="24"/>
                <w:lang w:eastAsia="ru-RU"/>
              </w:rPr>
            </w:pPr>
            <w:r w:rsidRPr="000B2804">
              <w:rPr>
                <w:rFonts w:eastAsia="Times New Roman"/>
                <w:color w:val="000000"/>
                <w:sz w:val="24"/>
                <w:szCs w:val="24"/>
                <w:lang w:eastAsia="ru-RU"/>
              </w:rPr>
              <w:t>0,52</w:t>
            </w:r>
          </w:p>
        </w:tc>
        <w:tc>
          <w:tcPr>
            <w:tcW w:w="0" w:type="auto"/>
            <w:tcBorders>
              <w:top w:val="single" w:sz="4" w:space="0" w:color="auto"/>
              <w:left w:val="single" w:sz="4" w:space="0" w:color="auto"/>
              <w:bottom w:val="single" w:sz="4" w:space="0" w:color="auto"/>
              <w:right w:val="single" w:sz="4" w:space="0" w:color="auto"/>
            </w:tcBorders>
            <w:vAlign w:val="center"/>
          </w:tcPr>
          <w:p w:rsidR="003B67F9" w:rsidRPr="000B2804" w:rsidRDefault="003B67F9" w:rsidP="00002C5A">
            <w:pPr>
              <w:widowControl w:val="0"/>
              <w:spacing w:line="276" w:lineRule="auto"/>
              <w:jc w:val="center"/>
              <w:rPr>
                <w:rFonts w:eastAsia="Times New Roman"/>
                <w:color w:val="000000"/>
                <w:sz w:val="24"/>
                <w:szCs w:val="24"/>
                <w:lang w:eastAsia="ru-RU"/>
              </w:rPr>
            </w:pPr>
            <w:r w:rsidRPr="000B2804">
              <w:rPr>
                <w:rFonts w:eastAsia="Times New Roman"/>
                <w:color w:val="000000"/>
                <w:sz w:val="24"/>
                <w:szCs w:val="24"/>
                <w:lang w:eastAsia="ru-RU"/>
              </w:rPr>
              <w:t>0,41</w:t>
            </w:r>
          </w:p>
        </w:tc>
      </w:tr>
      <w:tr w:rsidR="003B67F9" w:rsidRPr="000B2804" w:rsidTr="001918FC">
        <w:trPr>
          <w:jc w:val="center"/>
        </w:trPr>
        <w:tc>
          <w:tcPr>
            <w:tcW w:w="6355" w:type="dxa"/>
            <w:tcBorders>
              <w:top w:val="single" w:sz="4" w:space="0" w:color="auto"/>
              <w:left w:val="single" w:sz="4" w:space="0" w:color="auto"/>
              <w:bottom w:val="single" w:sz="4" w:space="0" w:color="auto"/>
              <w:right w:val="single" w:sz="4" w:space="0" w:color="auto"/>
            </w:tcBorders>
            <w:vAlign w:val="bottom"/>
          </w:tcPr>
          <w:p w:rsidR="003B67F9" w:rsidRPr="000B2804" w:rsidRDefault="003B67F9" w:rsidP="00002C5A">
            <w:pPr>
              <w:widowControl w:val="0"/>
              <w:spacing w:line="276" w:lineRule="auto"/>
              <w:rPr>
                <w:rFonts w:eastAsia="Times New Roman"/>
                <w:color w:val="000000"/>
                <w:sz w:val="24"/>
                <w:szCs w:val="24"/>
                <w:lang w:eastAsia="uk-UA"/>
              </w:rPr>
            </w:pPr>
            <w:r w:rsidRPr="000B2804">
              <w:rPr>
                <w:rFonts w:eastAsia="Times New Roman"/>
                <w:color w:val="000000"/>
                <w:sz w:val="24"/>
                <w:szCs w:val="24"/>
                <w:lang w:eastAsia="uk-UA"/>
              </w:rPr>
              <w:t>Частота мало вагових новонароджених</w:t>
            </w:r>
          </w:p>
        </w:tc>
        <w:tc>
          <w:tcPr>
            <w:tcW w:w="0" w:type="auto"/>
            <w:tcBorders>
              <w:top w:val="single" w:sz="4" w:space="0" w:color="auto"/>
              <w:left w:val="single" w:sz="4" w:space="0" w:color="auto"/>
              <w:bottom w:val="single" w:sz="4" w:space="0" w:color="auto"/>
              <w:right w:val="single" w:sz="4" w:space="0" w:color="auto"/>
            </w:tcBorders>
            <w:vAlign w:val="center"/>
          </w:tcPr>
          <w:p w:rsidR="003B67F9" w:rsidRPr="000B2804" w:rsidRDefault="003B67F9" w:rsidP="00002C5A">
            <w:pPr>
              <w:widowControl w:val="0"/>
              <w:spacing w:line="276" w:lineRule="auto"/>
              <w:jc w:val="center"/>
              <w:rPr>
                <w:rFonts w:eastAsia="Times New Roman"/>
                <w:color w:val="000000"/>
                <w:sz w:val="24"/>
                <w:szCs w:val="24"/>
                <w:lang w:eastAsia="ru-RU"/>
              </w:rPr>
            </w:pPr>
            <w:r w:rsidRPr="000B2804">
              <w:rPr>
                <w:rFonts w:eastAsia="Times New Roman"/>
                <w:color w:val="000000"/>
                <w:sz w:val="24"/>
                <w:szCs w:val="24"/>
                <w:lang w:eastAsia="ru-RU"/>
              </w:rPr>
              <w:t>0,22</w:t>
            </w:r>
          </w:p>
        </w:tc>
        <w:tc>
          <w:tcPr>
            <w:tcW w:w="0" w:type="auto"/>
            <w:tcBorders>
              <w:top w:val="single" w:sz="4" w:space="0" w:color="auto"/>
              <w:left w:val="single" w:sz="4" w:space="0" w:color="auto"/>
              <w:bottom w:val="single" w:sz="4" w:space="0" w:color="auto"/>
              <w:right w:val="single" w:sz="4" w:space="0" w:color="auto"/>
            </w:tcBorders>
            <w:vAlign w:val="center"/>
          </w:tcPr>
          <w:p w:rsidR="003B67F9" w:rsidRPr="000B2804" w:rsidRDefault="003B67F9" w:rsidP="00002C5A">
            <w:pPr>
              <w:widowControl w:val="0"/>
              <w:spacing w:line="276" w:lineRule="auto"/>
              <w:jc w:val="center"/>
              <w:rPr>
                <w:rFonts w:eastAsia="Times New Roman"/>
                <w:color w:val="000000"/>
                <w:sz w:val="24"/>
                <w:szCs w:val="24"/>
                <w:lang w:eastAsia="ru-RU"/>
              </w:rPr>
            </w:pPr>
            <w:r w:rsidRPr="000B2804">
              <w:rPr>
                <w:rFonts w:eastAsia="Times New Roman"/>
                <w:color w:val="000000"/>
                <w:sz w:val="24"/>
                <w:szCs w:val="24"/>
                <w:lang w:eastAsia="ru-RU"/>
              </w:rPr>
              <w:t>0,79</w:t>
            </w:r>
          </w:p>
        </w:tc>
        <w:tc>
          <w:tcPr>
            <w:tcW w:w="0" w:type="auto"/>
            <w:tcBorders>
              <w:top w:val="single" w:sz="4" w:space="0" w:color="auto"/>
              <w:left w:val="single" w:sz="4" w:space="0" w:color="auto"/>
              <w:bottom w:val="single" w:sz="4" w:space="0" w:color="auto"/>
              <w:right w:val="single" w:sz="4" w:space="0" w:color="auto"/>
            </w:tcBorders>
            <w:vAlign w:val="center"/>
          </w:tcPr>
          <w:p w:rsidR="003B67F9" w:rsidRPr="000B2804" w:rsidRDefault="003B67F9" w:rsidP="00002C5A">
            <w:pPr>
              <w:widowControl w:val="0"/>
              <w:spacing w:line="276" w:lineRule="auto"/>
              <w:jc w:val="center"/>
              <w:rPr>
                <w:rFonts w:eastAsia="Times New Roman"/>
                <w:color w:val="000000"/>
                <w:sz w:val="24"/>
                <w:szCs w:val="24"/>
                <w:lang w:eastAsia="ru-RU"/>
              </w:rPr>
            </w:pPr>
            <w:r w:rsidRPr="000B2804">
              <w:rPr>
                <w:rFonts w:eastAsia="Times New Roman"/>
                <w:color w:val="000000"/>
                <w:sz w:val="24"/>
                <w:szCs w:val="24"/>
                <w:lang w:eastAsia="ru-RU"/>
              </w:rPr>
              <w:t>0,56</w:t>
            </w:r>
          </w:p>
        </w:tc>
        <w:tc>
          <w:tcPr>
            <w:tcW w:w="0" w:type="auto"/>
            <w:tcBorders>
              <w:top w:val="single" w:sz="4" w:space="0" w:color="auto"/>
              <w:left w:val="single" w:sz="4" w:space="0" w:color="auto"/>
              <w:bottom w:val="single" w:sz="4" w:space="0" w:color="auto"/>
              <w:right w:val="single" w:sz="4" w:space="0" w:color="auto"/>
            </w:tcBorders>
            <w:vAlign w:val="center"/>
          </w:tcPr>
          <w:p w:rsidR="003B67F9" w:rsidRPr="000B2804" w:rsidRDefault="003B67F9" w:rsidP="00002C5A">
            <w:pPr>
              <w:widowControl w:val="0"/>
              <w:spacing w:line="276" w:lineRule="auto"/>
              <w:jc w:val="center"/>
              <w:rPr>
                <w:rFonts w:eastAsia="Times New Roman"/>
                <w:color w:val="000000"/>
                <w:sz w:val="24"/>
                <w:szCs w:val="24"/>
                <w:lang w:eastAsia="ru-RU"/>
              </w:rPr>
            </w:pPr>
            <w:r w:rsidRPr="000B2804">
              <w:rPr>
                <w:rFonts w:eastAsia="Times New Roman"/>
                <w:color w:val="000000"/>
                <w:sz w:val="24"/>
                <w:szCs w:val="24"/>
                <w:lang w:eastAsia="ru-RU"/>
              </w:rPr>
              <w:t>0,46</w:t>
            </w:r>
          </w:p>
        </w:tc>
        <w:tc>
          <w:tcPr>
            <w:tcW w:w="0" w:type="auto"/>
            <w:tcBorders>
              <w:top w:val="single" w:sz="4" w:space="0" w:color="auto"/>
              <w:left w:val="single" w:sz="4" w:space="0" w:color="auto"/>
              <w:bottom w:val="single" w:sz="4" w:space="0" w:color="auto"/>
              <w:right w:val="single" w:sz="4" w:space="0" w:color="auto"/>
            </w:tcBorders>
            <w:vAlign w:val="center"/>
          </w:tcPr>
          <w:p w:rsidR="003B67F9" w:rsidRPr="000B2804" w:rsidRDefault="003B67F9" w:rsidP="00002C5A">
            <w:pPr>
              <w:widowControl w:val="0"/>
              <w:spacing w:line="276" w:lineRule="auto"/>
              <w:jc w:val="center"/>
              <w:rPr>
                <w:rFonts w:eastAsia="Times New Roman"/>
                <w:color w:val="000000"/>
                <w:sz w:val="24"/>
                <w:szCs w:val="24"/>
                <w:lang w:eastAsia="ru-RU"/>
              </w:rPr>
            </w:pPr>
            <w:r w:rsidRPr="000B2804">
              <w:rPr>
                <w:rFonts w:eastAsia="Times New Roman"/>
                <w:color w:val="000000"/>
                <w:sz w:val="24"/>
                <w:szCs w:val="24"/>
                <w:lang w:eastAsia="ru-RU"/>
              </w:rPr>
              <w:t>0,51</w:t>
            </w:r>
          </w:p>
        </w:tc>
        <w:tc>
          <w:tcPr>
            <w:tcW w:w="0" w:type="auto"/>
            <w:tcBorders>
              <w:top w:val="single" w:sz="4" w:space="0" w:color="auto"/>
              <w:left w:val="single" w:sz="4" w:space="0" w:color="auto"/>
              <w:bottom w:val="single" w:sz="4" w:space="0" w:color="auto"/>
              <w:right w:val="single" w:sz="4" w:space="0" w:color="auto"/>
            </w:tcBorders>
            <w:vAlign w:val="center"/>
          </w:tcPr>
          <w:p w:rsidR="003B67F9" w:rsidRPr="000B2804" w:rsidRDefault="003B67F9" w:rsidP="00002C5A">
            <w:pPr>
              <w:widowControl w:val="0"/>
              <w:spacing w:line="276" w:lineRule="auto"/>
              <w:jc w:val="center"/>
              <w:rPr>
                <w:rFonts w:eastAsia="Times New Roman"/>
                <w:color w:val="000000"/>
                <w:sz w:val="24"/>
                <w:szCs w:val="24"/>
                <w:lang w:eastAsia="ru-RU"/>
              </w:rPr>
            </w:pPr>
            <w:r w:rsidRPr="000B2804">
              <w:rPr>
                <w:rFonts w:eastAsia="Times New Roman"/>
                <w:color w:val="000000"/>
                <w:sz w:val="24"/>
                <w:szCs w:val="24"/>
                <w:lang w:eastAsia="ru-RU"/>
              </w:rPr>
              <w:t>0,62</w:t>
            </w:r>
          </w:p>
        </w:tc>
      </w:tr>
      <w:tr w:rsidR="003B67F9" w:rsidRPr="000B2804" w:rsidTr="001918FC">
        <w:trPr>
          <w:jc w:val="center"/>
        </w:trPr>
        <w:tc>
          <w:tcPr>
            <w:tcW w:w="6355" w:type="dxa"/>
            <w:tcBorders>
              <w:top w:val="single" w:sz="4" w:space="0" w:color="auto"/>
              <w:left w:val="single" w:sz="4" w:space="0" w:color="auto"/>
              <w:bottom w:val="single" w:sz="4" w:space="0" w:color="auto"/>
              <w:right w:val="single" w:sz="4" w:space="0" w:color="auto"/>
            </w:tcBorders>
            <w:vAlign w:val="bottom"/>
          </w:tcPr>
          <w:p w:rsidR="003B67F9" w:rsidRPr="000B2804" w:rsidRDefault="003B67F9" w:rsidP="00002C5A">
            <w:pPr>
              <w:widowControl w:val="0"/>
              <w:spacing w:line="276" w:lineRule="auto"/>
              <w:rPr>
                <w:rFonts w:eastAsia="Times New Roman"/>
                <w:color w:val="000000"/>
                <w:sz w:val="24"/>
                <w:szCs w:val="24"/>
                <w:lang w:eastAsia="uk-UA"/>
              </w:rPr>
            </w:pPr>
            <w:r w:rsidRPr="000B2804">
              <w:rPr>
                <w:rFonts w:eastAsia="Times New Roman"/>
                <w:color w:val="000000"/>
                <w:sz w:val="24"/>
                <w:szCs w:val="24"/>
                <w:lang w:eastAsia="uk-UA"/>
              </w:rPr>
              <w:t>Виживання новонароджених з дуже малою масою тіла при народженні</w:t>
            </w:r>
          </w:p>
        </w:tc>
        <w:tc>
          <w:tcPr>
            <w:tcW w:w="0" w:type="auto"/>
            <w:tcBorders>
              <w:top w:val="single" w:sz="4" w:space="0" w:color="auto"/>
              <w:left w:val="single" w:sz="4" w:space="0" w:color="auto"/>
              <w:bottom w:val="single" w:sz="4" w:space="0" w:color="auto"/>
              <w:right w:val="single" w:sz="4" w:space="0" w:color="auto"/>
            </w:tcBorders>
            <w:vAlign w:val="center"/>
          </w:tcPr>
          <w:p w:rsidR="003B67F9" w:rsidRPr="000B2804" w:rsidRDefault="003B67F9" w:rsidP="00002C5A">
            <w:pPr>
              <w:widowControl w:val="0"/>
              <w:spacing w:line="276" w:lineRule="auto"/>
              <w:jc w:val="center"/>
              <w:rPr>
                <w:rFonts w:eastAsia="Times New Roman"/>
                <w:color w:val="000000"/>
                <w:sz w:val="24"/>
                <w:szCs w:val="24"/>
                <w:lang w:eastAsia="ru-RU"/>
              </w:rPr>
            </w:pPr>
            <w:r w:rsidRPr="000B2804">
              <w:rPr>
                <w:rFonts w:eastAsia="Times New Roman"/>
                <w:color w:val="000000"/>
                <w:sz w:val="24"/>
                <w:szCs w:val="24"/>
                <w:lang w:eastAsia="ru-RU"/>
              </w:rPr>
              <w:t>0,96</w:t>
            </w:r>
          </w:p>
        </w:tc>
        <w:tc>
          <w:tcPr>
            <w:tcW w:w="0" w:type="auto"/>
            <w:tcBorders>
              <w:top w:val="single" w:sz="4" w:space="0" w:color="auto"/>
              <w:left w:val="single" w:sz="4" w:space="0" w:color="auto"/>
              <w:bottom w:val="single" w:sz="4" w:space="0" w:color="auto"/>
              <w:right w:val="single" w:sz="4" w:space="0" w:color="auto"/>
            </w:tcBorders>
            <w:vAlign w:val="center"/>
          </w:tcPr>
          <w:p w:rsidR="003B67F9" w:rsidRPr="000B2804" w:rsidRDefault="003B67F9" w:rsidP="00002C5A">
            <w:pPr>
              <w:widowControl w:val="0"/>
              <w:spacing w:line="276" w:lineRule="auto"/>
              <w:jc w:val="center"/>
              <w:rPr>
                <w:rFonts w:eastAsia="Times New Roman"/>
                <w:color w:val="000000"/>
                <w:sz w:val="24"/>
                <w:szCs w:val="24"/>
                <w:lang w:eastAsia="ru-RU"/>
              </w:rPr>
            </w:pPr>
            <w:r w:rsidRPr="000B2804">
              <w:rPr>
                <w:rFonts w:eastAsia="Times New Roman"/>
                <w:color w:val="000000"/>
                <w:sz w:val="24"/>
                <w:szCs w:val="24"/>
                <w:lang w:eastAsia="ru-RU"/>
              </w:rPr>
              <w:t>0,92</w:t>
            </w:r>
          </w:p>
        </w:tc>
        <w:tc>
          <w:tcPr>
            <w:tcW w:w="0" w:type="auto"/>
            <w:tcBorders>
              <w:top w:val="single" w:sz="4" w:space="0" w:color="auto"/>
              <w:left w:val="single" w:sz="4" w:space="0" w:color="auto"/>
              <w:bottom w:val="single" w:sz="4" w:space="0" w:color="auto"/>
              <w:right w:val="single" w:sz="4" w:space="0" w:color="auto"/>
            </w:tcBorders>
            <w:vAlign w:val="center"/>
          </w:tcPr>
          <w:p w:rsidR="003B67F9" w:rsidRPr="000B2804" w:rsidRDefault="003B67F9" w:rsidP="00002C5A">
            <w:pPr>
              <w:widowControl w:val="0"/>
              <w:spacing w:line="276" w:lineRule="auto"/>
              <w:jc w:val="center"/>
              <w:rPr>
                <w:rFonts w:eastAsia="Times New Roman"/>
                <w:color w:val="000000"/>
                <w:sz w:val="24"/>
                <w:szCs w:val="24"/>
                <w:lang w:eastAsia="ru-RU"/>
              </w:rPr>
            </w:pPr>
            <w:r w:rsidRPr="000B2804">
              <w:rPr>
                <w:rFonts w:eastAsia="Times New Roman"/>
                <w:color w:val="000000"/>
                <w:sz w:val="24"/>
                <w:szCs w:val="24"/>
                <w:lang w:eastAsia="ru-RU"/>
              </w:rPr>
              <w:t>н/д</w:t>
            </w:r>
          </w:p>
        </w:tc>
        <w:tc>
          <w:tcPr>
            <w:tcW w:w="0" w:type="auto"/>
            <w:tcBorders>
              <w:top w:val="single" w:sz="4" w:space="0" w:color="auto"/>
              <w:left w:val="single" w:sz="4" w:space="0" w:color="auto"/>
              <w:bottom w:val="single" w:sz="4" w:space="0" w:color="auto"/>
              <w:right w:val="single" w:sz="4" w:space="0" w:color="auto"/>
            </w:tcBorders>
            <w:vAlign w:val="center"/>
          </w:tcPr>
          <w:p w:rsidR="003B67F9" w:rsidRPr="000B2804" w:rsidRDefault="003B67F9" w:rsidP="00002C5A">
            <w:pPr>
              <w:widowControl w:val="0"/>
              <w:spacing w:line="276" w:lineRule="auto"/>
              <w:jc w:val="center"/>
              <w:rPr>
                <w:rFonts w:eastAsia="Times New Roman"/>
                <w:color w:val="000000"/>
                <w:sz w:val="24"/>
                <w:szCs w:val="24"/>
                <w:lang w:eastAsia="ru-RU"/>
              </w:rPr>
            </w:pPr>
            <w:r w:rsidRPr="000B2804">
              <w:rPr>
                <w:rFonts w:eastAsia="Times New Roman"/>
                <w:color w:val="000000"/>
                <w:sz w:val="24"/>
                <w:szCs w:val="24"/>
                <w:lang w:eastAsia="ru-RU"/>
              </w:rPr>
              <w:t>0,93</w:t>
            </w:r>
          </w:p>
        </w:tc>
        <w:tc>
          <w:tcPr>
            <w:tcW w:w="0" w:type="auto"/>
            <w:tcBorders>
              <w:top w:val="single" w:sz="4" w:space="0" w:color="auto"/>
              <w:left w:val="single" w:sz="4" w:space="0" w:color="auto"/>
              <w:bottom w:val="single" w:sz="4" w:space="0" w:color="auto"/>
              <w:right w:val="single" w:sz="4" w:space="0" w:color="auto"/>
            </w:tcBorders>
            <w:vAlign w:val="center"/>
          </w:tcPr>
          <w:p w:rsidR="003B67F9" w:rsidRPr="000B2804" w:rsidRDefault="003B67F9" w:rsidP="00002C5A">
            <w:pPr>
              <w:widowControl w:val="0"/>
              <w:spacing w:line="276" w:lineRule="auto"/>
              <w:jc w:val="center"/>
              <w:rPr>
                <w:rFonts w:eastAsia="Times New Roman"/>
                <w:color w:val="000000"/>
                <w:sz w:val="24"/>
                <w:szCs w:val="24"/>
                <w:lang w:eastAsia="ru-RU"/>
              </w:rPr>
            </w:pPr>
            <w:r w:rsidRPr="000B2804">
              <w:rPr>
                <w:rFonts w:eastAsia="Times New Roman"/>
                <w:color w:val="000000"/>
                <w:sz w:val="24"/>
                <w:szCs w:val="24"/>
                <w:lang w:eastAsia="ru-RU"/>
              </w:rPr>
              <w:t>0,87</w:t>
            </w:r>
          </w:p>
        </w:tc>
        <w:tc>
          <w:tcPr>
            <w:tcW w:w="0" w:type="auto"/>
            <w:tcBorders>
              <w:top w:val="single" w:sz="4" w:space="0" w:color="auto"/>
              <w:left w:val="single" w:sz="4" w:space="0" w:color="auto"/>
              <w:bottom w:val="single" w:sz="4" w:space="0" w:color="auto"/>
              <w:right w:val="single" w:sz="4" w:space="0" w:color="auto"/>
            </w:tcBorders>
            <w:vAlign w:val="center"/>
          </w:tcPr>
          <w:p w:rsidR="003B67F9" w:rsidRPr="000B2804" w:rsidRDefault="003B67F9" w:rsidP="00002C5A">
            <w:pPr>
              <w:widowControl w:val="0"/>
              <w:spacing w:line="276" w:lineRule="auto"/>
              <w:jc w:val="center"/>
              <w:rPr>
                <w:rFonts w:eastAsia="Times New Roman"/>
                <w:color w:val="000000"/>
                <w:sz w:val="24"/>
                <w:szCs w:val="24"/>
                <w:lang w:eastAsia="ru-RU"/>
              </w:rPr>
            </w:pPr>
            <w:r w:rsidRPr="000B2804">
              <w:rPr>
                <w:rFonts w:eastAsia="Times New Roman"/>
                <w:color w:val="000000"/>
                <w:sz w:val="24"/>
                <w:szCs w:val="24"/>
                <w:lang w:eastAsia="ru-RU"/>
              </w:rPr>
              <w:t>0,90</w:t>
            </w:r>
          </w:p>
        </w:tc>
      </w:tr>
      <w:tr w:rsidR="003B67F9" w:rsidRPr="000B2804" w:rsidTr="001918FC">
        <w:trPr>
          <w:jc w:val="center"/>
        </w:trPr>
        <w:tc>
          <w:tcPr>
            <w:tcW w:w="6355" w:type="dxa"/>
            <w:tcBorders>
              <w:top w:val="single" w:sz="4" w:space="0" w:color="auto"/>
              <w:left w:val="single" w:sz="4" w:space="0" w:color="auto"/>
              <w:bottom w:val="single" w:sz="4" w:space="0" w:color="auto"/>
              <w:right w:val="single" w:sz="4" w:space="0" w:color="auto"/>
            </w:tcBorders>
            <w:vAlign w:val="bottom"/>
          </w:tcPr>
          <w:p w:rsidR="003B67F9" w:rsidRPr="000B2804" w:rsidRDefault="003B67F9" w:rsidP="00002C5A">
            <w:pPr>
              <w:widowControl w:val="0"/>
              <w:spacing w:line="276" w:lineRule="auto"/>
              <w:rPr>
                <w:rFonts w:eastAsia="Times New Roman"/>
                <w:color w:val="000000"/>
                <w:sz w:val="24"/>
                <w:szCs w:val="24"/>
                <w:lang w:eastAsia="uk-UA"/>
              </w:rPr>
            </w:pPr>
            <w:r w:rsidRPr="000B2804">
              <w:rPr>
                <w:rFonts w:eastAsia="Times New Roman"/>
                <w:color w:val="000000"/>
                <w:sz w:val="24"/>
                <w:szCs w:val="24"/>
                <w:lang w:eastAsia="uk-UA"/>
              </w:rPr>
              <w:t>Індекс здоров’я новонароджених</w:t>
            </w:r>
          </w:p>
        </w:tc>
        <w:tc>
          <w:tcPr>
            <w:tcW w:w="0" w:type="auto"/>
            <w:tcBorders>
              <w:top w:val="single" w:sz="4" w:space="0" w:color="auto"/>
              <w:left w:val="single" w:sz="4" w:space="0" w:color="auto"/>
              <w:bottom w:val="single" w:sz="4" w:space="0" w:color="auto"/>
              <w:right w:val="single" w:sz="4" w:space="0" w:color="auto"/>
            </w:tcBorders>
            <w:vAlign w:val="center"/>
          </w:tcPr>
          <w:p w:rsidR="003B67F9" w:rsidRPr="000B2804" w:rsidRDefault="003B67F9" w:rsidP="00002C5A">
            <w:pPr>
              <w:widowControl w:val="0"/>
              <w:spacing w:line="276" w:lineRule="auto"/>
              <w:jc w:val="center"/>
              <w:rPr>
                <w:rFonts w:eastAsia="Times New Roman"/>
                <w:color w:val="000000"/>
                <w:sz w:val="24"/>
                <w:szCs w:val="24"/>
                <w:lang w:eastAsia="ru-RU"/>
              </w:rPr>
            </w:pPr>
            <w:r w:rsidRPr="000B2804">
              <w:rPr>
                <w:rFonts w:eastAsia="Times New Roman"/>
                <w:color w:val="000000"/>
                <w:sz w:val="24"/>
                <w:szCs w:val="24"/>
                <w:lang w:eastAsia="ru-RU"/>
              </w:rPr>
              <w:t>0,94</w:t>
            </w:r>
          </w:p>
        </w:tc>
        <w:tc>
          <w:tcPr>
            <w:tcW w:w="0" w:type="auto"/>
            <w:tcBorders>
              <w:top w:val="single" w:sz="4" w:space="0" w:color="auto"/>
              <w:left w:val="single" w:sz="4" w:space="0" w:color="auto"/>
              <w:bottom w:val="single" w:sz="4" w:space="0" w:color="auto"/>
              <w:right w:val="single" w:sz="4" w:space="0" w:color="auto"/>
            </w:tcBorders>
            <w:vAlign w:val="center"/>
          </w:tcPr>
          <w:p w:rsidR="003B67F9" w:rsidRPr="000B2804" w:rsidRDefault="003B67F9" w:rsidP="00002C5A">
            <w:pPr>
              <w:widowControl w:val="0"/>
              <w:spacing w:line="276" w:lineRule="auto"/>
              <w:jc w:val="center"/>
              <w:rPr>
                <w:rFonts w:eastAsia="Times New Roman"/>
                <w:color w:val="000000"/>
                <w:sz w:val="24"/>
                <w:szCs w:val="24"/>
                <w:lang w:eastAsia="ru-RU"/>
              </w:rPr>
            </w:pPr>
            <w:r w:rsidRPr="000B2804">
              <w:rPr>
                <w:rFonts w:eastAsia="Times New Roman"/>
                <w:color w:val="000000"/>
                <w:sz w:val="24"/>
                <w:szCs w:val="24"/>
                <w:lang w:eastAsia="ru-RU"/>
              </w:rPr>
              <w:t>0,93</w:t>
            </w:r>
          </w:p>
        </w:tc>
        <w:tc>
          <w:tcPr>
            <w:tcW w:w="0" w:type="auto"/>
            <w:tcBorders>
              <w:top w:val="single" w:sz="4" w:space="0" w:color="auto"/>
              <w:left w:val="single" w:sz="4" w:space="0" w:color="auto"/>
              <w:bottom w:val="single" w:sz="4" w:space="0" w:color="auto"/>
              <w:right w:val="single" w:sz="4" w:space="0" w:color="auto"/>
            </w:tcBorders>
            <w:vAlign w:val="center"/>
          </w:tcPr>
          <w:p w:rsidR="003B67F9" w:rsidRPr="000B2804" w:rsidRDefault="003B67F9" w:rsidP="00002C5A">
            <w:pPr>
              <w:widowControl w:val="0"/>
              <w:spacing w:line="276" w:lineRule="auto"/>
              <w:jc w:val="center"/>
              <w:rPr>
                <w:rFonts w:eastAsia="Times New Roman"/>
                <w:color w:val="000000"/>
                <w:sz w:val="24"/>
                <w:szCs w:val="24"/>
                <w:lang w:eastAsia="ru-RU"/>
              </w:rPr>
            </w:pPr>
            <w:r w:rsidRPr="000B2804">
              <w:rPr>
                <w:rFonts w:eastAsia="Times New Roman"/>
                <w:color w:val="000000"/>
                <w:sz w:val="24"/>
                <w:szCs w:val="24"/>
                <w:lang w:eastAsia="ru-RU"/>
              </w:rPr>
              <w:t>0,92</w:t>
            </w:r>
          </w:p>
        </w:tc>
        <w:tc>
          <w:tcPr>
            <w:tcW w:w="0" w:type="auto"/>
            <w:tcBorders>
              <w:top w:val="single" w:sz="4" w:space="0" w:color="auto"/>
              <w:left w:val="single" w:sz="4" w:space="0" w:color="auto"/>
              <w:bottom w:val="single" w:sz="4" w:space="0" w:color="auto"/>
              <w:right w:val="single" w:sz="4" w:space="0" w:color="auto"/>
            </w:tcBorders>
            <w:vAlign w:val="center"/>
          </w:tcPr>
          <w:p w:rsidR="003B67F9" w:rsidRPr="000B2804" w:rsidRDefault="003B67F9" w:rsidP="00002C5A">
            <w:pPr>
              <w:widowControl w:val="0"/>
              <w:spacing w:line="276" w:lineRule="auto"/>
              <w:jc w:val="center"/>
              <w:rPr>
                <w:rFonts w:eastAsia="Times New Roman"/>
                <w:color w:val="000000"/>
                <w:sz w:val="24"/>
                <w:szCs w:val="24"/>
                <w:lang w:eastAsia="ru-RU"/>
              </w:rPr>
            </w:pPr>
            <w:r w:rsidRPr="000B2804">
              <w:rPr>
                <w:rFonts w:eastAsia="Times New Roman"/>
                <w:color w:val="000000"/>
                <w:sz w:val="24"/>
                <w:szCs w:val="24"/>
                <w:lang w:eastAsia="ru-RU"/>
              </w:rPr>
              <w:t>0,92</w:t>
            </w:r>
          </w:p>
        </w:tc>
        <w:tc>
          <w:tcPr>
            <w:tcW w:w="0" w:type="auto"/>
            <w:tcBorders>
              <w:top w:val="single" w:sz="4" w:space="0" w:color="auto"/>
              <w:left w:val="single" w:sz="4" w:space="0" w:color="auto"/>
              <w:bottom w:val="single" w:sz="4" w:space="0" w:color="auto"/>
              <w:right w:val="single" w:sz="4" w:space="0" w:color="auto"/>
            </w:tcBorders>
            <w:vAlign w:val="center"/>
          </w:tcPr>
          <w:p w:rsidR="003B67F9" w:rsidRPr="000B2804" w:rsidRDefault="003B67F9" w:rsidP="00002C5A">
            <w:pPr>
              <w:widowControl w:val="0"/>
              <w:spacing w:line="276" w:lineRule="auto"/>
              <w:jc w:val="center"/>
              <w:rPr>
                <w:rFonts w:eastAsia="Times New Roman"/>
                <w:color w:val="000000"/>
                <w:sz w:val="24"/>
                <w:szCs w:val="24"/>
                <w:lang w:eastAsia="ru-RU"/>
              </w:rPr>
            </w:pPr>
            <w:r w:rsidRPr="000B2804">
              <w:rPr>
                <w:rFonts w:eastAsia="Times New Roman"/>
                <w:color w:val="000000"/>
                <w:sz w:val="24"/>
                <w:szCs w:val="24"/>
                <w:lang w:eastAsia="ru-RU"/>
              </w:rPr>
              <w:t>0,91</w:t>
            </w:r>
          </w:p>
        </w:tc>
        <w:tc>
          <w:tcPr>
            <w:tcW w:w="0" w:type="auto"/>
            <w:tcBorders>
              <w:top w:val="single" w:sz="4" w:space="0" w:color="auto"/>
              <w:left w:val="single" w:sz="4" w:space="0" w:color="auto"/>
              <w:bottom w:val="single" w:sz="4" w:space="0" w:color="auto"/>
              <w:right w:val="single" w:sz="4" w:space="0" w:color="auto"/>
            </w:tcBorders>
            <w:vAlign w:val="center"/>
          </w:tcPr>
          <w:p w:rsidR="003B67F9" w:rsidRPr="000B2804" w:rsidRDefault="003B67F9" w:rsidP="00002C5A">
            <w:pPr>
              <w:widowControl w:val="0"/>
              <w:spacing w:line="276" w:lineRule="auto"/>
              <w:jc w:val="center"/>
              <w:rPr>
                <w:rFonts w:eastAsia="Times New Roman"/>
                <w:color w:val="000000"/>
                <w:sz w:val="24"/>
                <w:szCs w:val="24"/>
                <w:lang w:eastAsia="ru-RU"/>
              </w:rPr>
            </w:pPr>
            <w:r w:rsidRPr="000B2804">
              <w:rPr>
                <w:rFonts w:eastAsia="Times New Roman"/>
                <w:color w:val="000000"/>
                <w:sz w:val="24"/>
                <w:szCs w:val="24"/>
                <w:lang w:eastAsia="ru-RU"/>
              </w:rPr>
              <w:t>0,97</w:t>
            </w:r>
          </w:p>
        </w:tc>
      </w:tr>
      <w:tr w:rsidR="003B67F9" w:rsidRPr="000B2804" w:rsidTr="001918FC">
        <w:trPr>
          <w:jc w:val="center"/>
        </w:trPr>
        <w:tc>
          <w:tcPr>
            <w:tcW w:w="6355" w:type="dxa"/>
            <w:tcBorders>
              <w:top w:val="single" w:sz="4" w:space="0" w:color="auto"/>
              <w:left w:val="single" w:sz="4" w:space="0" w:color="auto"/>
              <w:bottom w:val="single" w:sz="4" w:space="0" w:color="auto"/>
              <w:right w:val="single" w:sz="4" w:space="0" w:color="auto"/>
            </w:tcBorders>
            <w:vAlign w:val="bottom"/>
          </w:tcPr>
          <w:p w:rsidR="003B67F9" w:rsidRPr="000B2804" w:rsidRDefault="003B67F9" w:rsidP="00002C5A">
            <w:pPr>
              <w:widowControl w:val="0"/>
              <w:spacing w:line="276" w:lineRule="auto"/>
              <w:rPr>
                <w:rFonts w:eastAsia="Times New Roman"/>
                <w:color w:val="000000"/>
                <w:sz w:val="24"/>
                <w:szCs w:val="24"/>
                <w:lang w:eastAsia="uk-UA"/>
              </w:rPr>
            </w:pPr>
            <w:r w:rsidRPr="000B2804">
              <w:rPr>
                <w:rFonts w:eastAsia="Times New Roman"/>
                <w:color w:val="000000"/>
                <w:sz w:val="24"/>
                <w:szCs w:val="24"/>
                <w:lang w:eastAsia="uk-UA"/>
              </w:rPr>
              <w:t xml:space="preserve">Рівень перинатальної смертності </w:t>
            </w:r>
          </w:p>
        </w:tc>
        <w:tc>
          <w:tcPr>
            <w:tcW w:w="0" w:type="auto"/>
            <w:tcBorders>
              <w:top w:val="single" w:sz="4" w:space="0" w:color="auto"/>
              <w:left w:val="single" w:sz="4" w:space="0" w:color="auto"/>
              <w:bottom w:val="single" w:sz="4" w:space="0" w:color="auto"/>
              <w:right w:val="single" w:sz="4" w:space="0" w:color="auto"/>
            </w:tcBorders>
            <w:vAlign w:val="center"/>
          </w:tcPr>
          <w:p w:rsidR="003B67F9" w:rsidRPr="000B2804" w:rsidRDefault="003B67F9" w:rsidP="00002C5A">
            <w:pPr>
              <w:widowControl w:val="0"/>
              <w:spacing w:line="276" w:lineRule="auto"/>
              <w:jc w:val="center"/>
              <w:rPr>
                <w:rFonts w:eastAsia="Times New Roman"/>
                <w:color w:val="000000"/>
                <w:sz w:val="24"/>
                <w:szCs w:val="24"/>
                <w:lang w:eastAsia="ru-RU"/>
              </w:rPr>
            </w:pPr>
            <w:r w:rsidRPr="000B2804">
              <w:rPr>
                <w:rFonts w:eastAsia="Times New Roman"/>
                <w:color w:val="000000"/>
                <w:sz w:val="24"/>
                <w:szCs w:val="24"/>
                <w:lang w:eastAsia="ru-RU"/>
              </w:rPr>
              <w:t>0,81</w:t>
            </w:r>
          </w:p>
        </w:tc>
        <w:tc>
          <w:tcPr>
            <w:tcW w:w="0" w:type="auto"/>
            <w:tcBorders>
              <w:top w:val="single" w:sz="4" w:space="0" w:color="auto"/>
              <w:left w:val="single" w:sz="4" w:space="0" w:color="auto"/>
              <w:bottom w:val="single" w:sz="4" w:space="0" w:color="auto"/>
              <w:right w:val="single" w:sz="4" w:space="0" w:color="auto"/>
            </w:tcBorders>
            <w:vAlign w:val="center"/>
          </w:tcPr>
          <w:p w:rsidR="003B67F9" w:rsidRPr="000B2804" w:rsidRDefault="003B67F9" w:rsidP="00002C5A">
            <w:pPr>
              <w:widowControl w:val="0"/>
              <w:spacing w:line="276" w:lineRule="auto"/>
              <w:jc w:val="center"/>
              <w:rPr>
                <w:rFonts w:eastAsia="Times New Roman"/>
                <w:color w:val="000000"/>
                <w:sz w:val="24"/>
                <w:szCs w:val="24"/>
                <w:lang w:eastAsia="ru-RU"/>
              </w:rPr>
            </w:pPr>
            <w:r w:rsidRPr="000B2804">
              <w:rPr>
                <w:rFonts w:eastAsia="Times New Roman"/>
                <w:color w:val="000000"/>
                <w:sz w:val="24"/>
                <w:szCs w:val="24"/>
                <w:lang w:eastAsia="ru-RU"/>
              </w:rPr>
              <w:t>0,99</w:t>
            </w:r>
          </w:p>
        </w:tc>
        <w:tc>
          <w:tcPr>
            <w:tcW w:w="0" w:type="auto"/>
            <w:tcBorders>
              <w:top w:val="single" w:sz="4" w:space="0" w:color="auto"/>
              <w:left w:val="single" w:sz="4" w:space="0" w:color="auto"/>
              <w:bottom w:val="single" w:sz="4" w:space="0" w:color="auto"/>
              <w:right w:val="single" w:sz="4" w:space="0" w:color="auto"/>
            </w:tcBorders>
            <w:vAlign w:val="center"/>
          </w:tcPr>
          <w:p w:rsidR="003B67F9" w:rsidRPr="000B2804" w:rsidRDefault="003B67F9" w:rsidP="00002C5A">
            <w:pPr>
              <w:widowControl w:val="0"/>
              <w:spacing w:line="276" w:lineRule="auto"/>
              <w:jc w:val="center"/>
              <w:rPr>
                <w:rFonts w:eastAsia="Times New Roman"/>
                <w:color w:val="000000"/>
                <w:sz w:val="24"/>
                <w:szCs w:val="24"/>
                <w:lang w:eastAsia="ru-RU"/>
              </w:rPr>
            </w:pPr>
            <w:r w:rsidRPr="000B2804">
              <w:rPr>
                <w:rFonts w:eastAsia="Times New Roman"/>
                <w:color w:val="000000"/>
                <w:sz w:val="24"/>
                <w:szCs w:val="24"/>
                <w:lang w:eastAsia="ru-RU"/>
              </w:rPr>
              <w:t>0,91</w:t>
            </w:r>
          </w:p>
        </w:tc>
        <w:tc>
          <w:tcPr>
            <w:tcW w:w="0" w:type="auto"/>
            <w:tcBorders>
              <w:top w:val="single" w:sz="4" w:space="0" w:color="auto"/>
              <w:left w:val="single" w:sz="4" w:space="0" w:color="auto"/>
              <w:bottom w:val="single" w:sz="4" w:space="0" w:color="auto"/>
              <w:right w:val="single" w:sz="4" w:space="0" w:color="auto"/>
            </w:tcBorders>
            <w:vAlign w:val="center"/>
          </w:tcPr>
          <w:p w:rsidR="003B67F9" w:rsidRPr="000B2804" w:rsidRDefault="003B67F9" w:rsidP="00002C5A">
            <w:pPr>
              <w:widowControl w:val="0"/>
              <w:spacing w:line="276" w:lineRule="auto"/>
              <w:jc w:val="center"/>
              <w:rPr>
                <w:rFonts w:eastAsia="Times New Roman"/>
                <w:color w:val="000000"/>
                <w:sz w:val="24"/>
                <w:szCs w:val="24"/>
                <w:lang w:eastAsia="ru-RU"/>
              </w:rPr>
            </w:pPr>
            <w:r w:rsidRPr="000B2804">
              <w:rPr>
                <w:rFonts w:eastAsia="Times New Roman"/>
                <w:color w:val="000000"/>
                <w:sz w:val="24"/>
                <w:szCs w:val="24"/>
                <w:lang w:eastAsia="ru-RU"/>
              </w:rPr>
              <w:t>0,98</w:t>
            </w:r>
          </w:p>
        </w:tc>
        <w:tc>
          <w:tcPr>
            <w:tcW w:w="0" w:type="auto"/>
            <w:tcBorders>
              <w:top w:val="single" w:sz="4" w:space="0" w:color="auto"/>
              <w:left w:val="single" w:sz="4" w:space="0" w:color="auto"/>
              <w:bottom w:val="single" w:sz="4" w:space="0" w:color="auto"/>
              <w:right w:val="single" w:sz="4" w:space="0" w:color="auto"/>
            </w:tcBorders>
            <w:vAlign w:val="center"/>
          </w:tcPr>
          <w:p w:rsidR="003B67F9" w:rsidRPr="000B2804" w:rsidRDefault="003B67F9" w:rsidP="00002C5A">
            <w:pPr>
              <w:widowControl w:val="0"/>
              <w:spacing w:line="276" w:lineRule="auto"/>
              <w:jc w:val="center"/>
              <w:rPr>
                <w:rFonts w:eastAsia="Times New Roman"/>
                <w:color w:val="000000"/>
                <w:sz w:val="24"/>
                <w:szCs w:val="24"/>
                <w:lang w:eastAsia="ru-RU"/>
              </w:rPr>
            </w:pPr>
            <w:r w:rsidRPr="000B2804">
              <w:rPr>
                <w:rFonts w:eastAsia="Times New Roman"/>
                <w:color w:val="000000"/>
                <w:sz w:val="24"/>
                <w:szCs w:val="24"/>
                <w:lang w:eastAsia="ru-RU"/>
              </w:rPr>
              <w:t>0,82</w:t>
            </w:r>
          </w:p>
        </w:tc>
        <w:tc>
          <w:tcPr>
            <w:tcW w:w="0" w:type="auto"/>
            <w:tcBorders>
              <w:top w:val="single" w:sz="4" w:space="0" w:color="auto"/>
              <w:left w:val="single" w:sz="4" w:space="0" w:color="auto"/>
              <w:bottom w:val="single" w:sz="4" w:space="0" w:color="auto"/>
              <w:right w:val="single" w:sz="4" w:space="0" w:color="auto"/>
            </w:tcBorders>
            <w:vAlign w:val="center"/>
          </w:tcPr>
          <w:p w:rsidR="003B67F9" w:rsidRPr="000B2804" w:rsidRDefault="003B67F9" w:rsidP="00002C5A">
            <w:pPr>
              <w:widowControl w:val="0"/>
              <w:spacing w:line="276" w:lineRule="auto"/>
              <w:jc w:val="center"/>
              <w:rPr>
                <w:rFonts w:eastAsia="Times New Roman"/>
                <w:color w:val="000000"/>
                <w:sz w:val="24"/>
                <w:szCs w:val="24"/>
                <w:lang w:eastAsia="ru-RU"/>
              </w:rPr>
            </w:pPr>
            <w:r w:rsidRPr="000B2804">
              <w:rPr>
                <w:rFonts w:eastAsia="Times New Roman"/>
                <w:color w:val="000000"/>
                <w:sz w:val="24"/>
                <w:szCs w:val="24"/>
                <w:lang w:eastAsia="ru-RU"/>
              </w:rPr>
              <w:t>1,00</w:t>
            </w:r>
          </w:p>
        </w:tc>
      </w:tr>
      <w:tr w:rsidR="003B67F9" w:rsidRPr="000B2804" w:rsidTr="001918FC">
        <w:trPr>
          <w:jc w:val="center"/>
        </w:trPr>
        <w:tc>
          <w:tcPr>
            <w:tcW w:w="6355" w:type="dxa"/>
            <w:tcBorders>
              <w:top w:val="single" w:sz="4" w:space="0" w:color="auto"/>
              <w:left w:val="single" w:sz="4" w:space="0" w:color="auto"/>
              <w:bottom w:val="single" w:sz="4" w:space="0" w:color="auto"/>
              <w:right w:val="single" w:sz="4" w:space="0" w:color="auto"/>
            </w:tcBorders>
            <w:vAlign w:val="bottom"/>
          </w:tcPr>
          <w:p w:rsidR="003B67F9" w:rsidRPr="000B2804" w:rsidRDefault="003B67F9" w:rsidP="00002C5A">
            <w:pPr>
              <w:widowControl w:val="0"/>
              <w:spacing w:line="276" w:lineRule="auto"/>
              <w:rPr>
                <w:rFonts w:eastAsia="Times New Roman"/>
                <w:color w:val="000000"/>
                <w:sz w:val="24"/>
                <w:szCs w:val="24"/>
                <w:lang w:eastAsia="uk-UA"/>
              </w:rPr>
            </w:pPr>
            <w:r w:rsidRPr="000B2804">
              <w:rPr>
                <w:rFonts w:eastAsia="Times New Roman"/>
                <w:color w:val="000000"/>
                <w:sz w:val="24"/>
                <w:szCs w:val="24"/>
                <w:lang w:eastAsia="uk-UA"/>
              </w:rPr>
              <w:t xml:space="preserve">Рівень неонатальної смертності </w:t>
            </w:r>
          </w:p>
        </w:tc>
        <w:tc>
          <w:tcPr>
            <w:tcW w:w="0" w:type="auto"/>
            <w:tcBorders>
              <w:top w:val="single" w:sz="4" w:space="0" w:color="auto"/>
              <w:left w:val="single" w:sz="4" w:space="0" w:color="auto"/>
              <w:bottom w:val="single" w:sz="4" w:space="0" w:color="auto"/>
              <w:right w:val="single" w:sz="4" w:space="0" w:color="auto"/>
            </w:tcBorders>
            <w:vAlign w:val="center"/>
          </w:tcPr>
          <w:p w:rsidR="003B67F9" w:rsidRPr="000B2804" w:rsidRDefault="003B67F9" w:rsidP="00002C5A">
            <w:pPr>
              <w:widowControl w:val="0"/>
              <w:spacing w:line="276" w:lineRule="auto"/>
              <w:jc w:val="center"/>
              <w:rPr>
                <w:rFonts w:eastAsia="Times New Roman"/>
                <w:color w:val="000000"/>
                <w:sz w:val="24"/>
                <w:szCs w:val="24"/>
                <w:lang w:eastAsia="ru-RU"/>
              </w:rPr>
            </w:pPr>
            <w:r w:rsidRPr="000B2804">
              <w:rPr>
                <w:rFonts w:eastAsia="Times New Roman"/>
                <w:color w:val="000000"/>
                <w:sz w:val="24"/>
                <w:szCs w:val="24"/>
                <w:lang w:eastAsia="ru-RU"/>
              </w:rPr>
              <w:t>0,71</w:t>
            </w:r>
          </w:p>
        </w:tc>
        <w:tc>
          <w:tcPr>
            <w:tcW w:w="0" w:type="auto"/>
            <w:tcBorders>
              <w:top w:val="single" w:sz="4" w:space="0" w:color="auto"/>
              <w:left w:val="single" w:sz="4" w:space="0" w:color="auto"/>
              <w:bottom w:val="single" w:sz="4" w:space="0" w:color="auto"/>
              <w:right w:val="single" w:sz="4" w:space="0" w:color="auto"/>
            </w:tcBorders>
            <w:vAlign w:val="center"/>
          </w:tcPr>
          <w:p w:rsidR="003B67F9" w:rsidRPr="000B2804" w:rsidRDefault="003B67F9" w:rsidP="00002C5A">
            <w:pPr>
              <w:widowControl w:val="0"/>
              <w:spacing w:line="276" w:lineRule="auto"/>
              <w:jc w:val="center"/>
              <w:rPr>
                <w:rFonts w:eastAsia="Times New Roman"/>
                <w:color w:val="000000"/>
                <w:sz w:val="24"/>
                <w:szCs w:val="24"/>
                <w:lang w:eastAsia="ru-RU"/>
              </w:rPr>
            </w:pPr>
            <w:r w:rsidRPr="000B2804">
              <w:rPr>
                <w:rFonts w:eastAsia="Times New Roman"/>
                <w:color w:val="000000"/>
                <w:sz w:val="24"/>
                <w:szCs w:val="24"/>
                <w:lang w:eastAsia="ru-RU"/>
              </w:rPr>
              <w:t>0,99</w:t>
            </w:r>
          </w:p>
        </w:tc>
        <w:tc>
          <w:tcPr>
            <w:tcW w:w="0" w:type="auto"/>
            <w:tcBorders>
              <w:top w:val="single" w:sz="4" w:space="0" w:color="auto"/>
              <w:left w:val="single" w:sz="4" w:space="0" w:color="auto"/>
              <w:bottom w:val="single" w:sz="4" w:space="0" w:color="auto"/>
              <w:right w:val="single" w:sz="4" w:space="0" w:color="auto"/>
            </w:tcBorders>
            <w:vAlign w:val="center"/>
          </w:tcPr>
          <w:p w:rsidR="003B67F9" w:rsidRPr="000B2804" w:rsidRDefault="003B67F9" w:rsidP="00002C5A">
            <w:pPr>
              <w:widowControl w:val="0"/>
              <w:spacing w:line="276" w:lineRule="auto"/>
              <w:jc w:val="center"/>
              <w:rPr>
                <w:rFonts w:eastAsia="Times New Roman"/>
                <w:color w:val="000000"/>
                <w:sz w:val="24"/>
                <w:szCs w:val="24"/>
                <w:lang w:eastAsia="ru-RU"/>
              </w:rPr>
            </w:pPr>
            <w:r w:rsidRPr="000B2804">
              <w:rPr>
                <w:rFonts w:eastAsia="Times New Roman"/>
                <w:color w:val="000000"/>
                <w:sz w:val="24"/>
                <w:szCs w:val="24"/>
                <w:lang w:eastAsia="ru-RU"/>
              </w:rPr>
              <w:t>0,66</w:t>
            </w:r>
          </w:p>
        </w:tc>
        <w:tc>
          <w:tcPr>
            <w:tcW w:w="0" w:type="auto"/>
            <w:tcBorders>
              <w:top w:val="single" w:sz="4" w:space="0" w:color="auto"/>
              <w:left w:val="single" w:sz="4" w:space="0" w:color="auto"/>
              <w:bottom w:val="single" w:sz="4" w:space="0" w:color="auto"/>
              <w:right w:val="single" w:sz="4" w:space="0" w:color="auto"/>
            </w:tcBorders>
            <w:vAlign w:val="center"/>
          </w:tcPr>
          <w:p w:rsidR="003B67F9" w:rsidRPr="000B2804" w:rsidRDefault="003B67F9" w:rsidP="00002C5A">
            <w:pPr>
              <w:widowControl w:val="0"/>
              <w:spacing w:line="276" w:lineRule="auto"/>
              <w:jc w:val="center"/>
              <w:rPr>
                <w:rFonts w:eastAsia="Times New Roman"/>
                <w:color w:val="000000"/>
                <w:sz w:val="24"/>
                <w:szCs w:val="24"/>
                <w:lang w:eastAsia="ru-RU"/>
              </w:rPr>
            </w:pPr>
            <w:r w:rsidRPr="000B2804">
              <w:rPr>
                <w:rFonts w:eastAsia="Times New Roman"/>
                <w:color w:val="000000"/>
                <w:sz w:val="24"/>
                <w:szCs w:val="24"/>
                <w:lang w:eastAsia="ru-RU"/>
              </w:rPr>
              <w:t>0,80</w:t>
            </w:r>
          </w:p>
        </w:tc>
        <w:tc>
          <w:tcPr>
            <w:tcW w:w="0" w:type="auto"/>
            <w:tcBorders>
              <w:top w:val="single" w:sz="4" w:space="0" w:color="auto"/>
              <w:left w:val="single" w:sz="4" w:space="0" w:color="auto"/>
              <w:bottom w:val="single" w:sz="4" w:space="0" w:color="auto"/>
              <w:right w:val="single" w:sz="4" w:space="0" w:color="auto"/>
            </w:tcBorders>
            <w:vAlign w:val="center"/>
          </w:tcPr>
          <w:p w:rsidR="003B67F9" w:rsidRPr="000B2804" w:rsidRDefault="003B67F9" w:rsidP="00002C5A">
            <w:pPr>
              <w:widowControl w:val="0"/>
              <w:spacing w:line="276" w:lineRule="auto"/>
              <w:jc w:val="center"/>
              <w:rPr>
                <w:rFonts w:eastAsia="Times New Roman"/>
                <w:color w:val="000000"/>
                <w:sz w:val="24"/>
                <w:szCs w:val="24"/>
                <w:lang w:eastAsia="ru-RU"/>
              </w:rPr>
            </w:pPr>
            <w:r w:rsidRPr="000B2804">
              <w:rPr>
                <w:rFonts w:eastAsia="Times New Roman"/>
                <w:color w:val="000000"/>
                <w:sz w:val="24"/>
                <w:szCs w:val="24"/>
                <w:lang w:eastAsia="ru-RU"/>
              </w:rPr>
              <w:t>1,00</w:t>
            </w:r>
          </w:p>
        </w:tc>
        <w:tc>
          <w:tcPr>
            <w:tcW w:w="0" w:type="auto"/>
            <w:tcBorders>
              <w:top w:val="single" w:sz="4" w:space="0" w:color="auto"/>
              <w:left w:val="single" w:sz="4" w:space="0" w:color="auto"/>
              <w:bottom w:val="single" w:sz="4" w:space="0" w:color="auto"/>
              <w:right w:val="single" w:sz="4" w:space="0" w:color="auto"/>
            </w:tcBorders>
            <w:vAlign w:val="center"/>
          </w:tcPr>
          <w:p w:rsidR="003B67F9" w:rsidRPr="000B2804" w:rsidRDefault="003B67F9" w:rsidP="00002C5A">
            <w:pPr>
              <w:widowControl w:val="0"/>
              <w:spacing w:line="276" w:lineRule="auto"/>
              <w:jc w:val="center"/>
              <w:rPr>
                <w:rFonts w:eastAsia="Times New Roman"/>
                <w:color w:val="000000"/>
                <w:sz w:val="24"/>
                <w:szCs w:val="24"/>
                <w:lang w:eastAsia="ru-RU"/>
              </w:rPr>
            </w:pPr>
            <w:r w:rsidRPr="000B2804">
              <w:rPr>
                <w:rFonts w:eastAsia="Times New Roman"/>
                <w:color w:val="000000"/>
                <w:sz w:val="24"/>
                <w:szCs w:val="24"/>
                <w:lang w:eastAsia="ru-RU"/>
              </w:rPr>
              <w:t>1,00</w:t>
            </w:r>
          </w:p>
        </w:tc>
      </w:tr>
      <w:tr w:rsidR="003B67F9" w:rsidRPr="000B2804" w:rsidTr="001918FC">
        <w:trPr>
          <w:jc w:val="center"/>
        </w:trPr>
        <w:tc>
          <w:tcPr>
            <w:tcW w:w="6355" w:type="dxa"/>
            <w:tcBorders>
              <w:top w:val="single" w:sz="4" w:space="0" w:color="auto"/>
              <w:left w:val="single" w:sz="4" w:space="0" w:color="auto"/>
              <w:bottom w:val="single" w:sz="4" w:space="0" w:color="auto"/>
              <w:right w:val="single" w:sz="4" w:space="0" w:color="auto"/>
            </w:tcBorders>
            <w:vAlign w:val="bottom"/>
          </w:tcPr>
          <w:p w:rsidR="003B67F9" w:rsidRPr="000B2804" w:rsidRDefault="003B67F9" w:rsidP="00002C5A">
            <w:pPr>
              <w:widowControl w:val="0"/>
              <w:spacing w:line="276" w:lineRule="auto"/>
              <w:rPr>
                <w:rFonts w:eastAsia="Times New Roman"/>
                <w:color w:val="000000"/>
                <w:sz w:val="24"/>
                <w:szCs w:val="24"/>
                <w:lang w:eastAsia="uk-UA"/>
              </w:rPr>
            </w:pPr>
            <w:r w:rsidRPr="000B2804">
              <w:rPr>
                <w:rFonts w:eastAsia="Times New Roman"/>
                <w:color w:val="000000"/>
                <w:sz w:val="24"/>
                <w:szCs w:val="24"/>
                <w:lang w:eastAsia="uk-UA"/>
              </w:rPr>
              <w:t xml:space="preserve">Рівень материнської смертності </w:t>
            </w:r>
          </w:p>
        </w:tc>
        <w:tc>
          <w:tcPr>
            <w:tcW w:w="0" w:type="auto"/>
            <w:tcBorders>
              <w:top w:val="single" w:sz="4" w:space="0" w:color="auto"/>
              <w:left w:val="single" w:sz="4" w:space="0" w:color="auto"/>
              <w:bottom w:val="single" w:sz="4" w:space="0" w:color="auto"/>
              <w:right w:val="single" w:sz="4" w:space="0" w:color="auto"/>
            </w:tcBorders>
            <w:vAlign w:val="center"/>
          </w:tcPr>
          <w:p w:rsidR="003B67F9" w:rsidRPr="000B2804" w:rsidRDefault="003B67F9" w:rsidP="00002C5A">
            <w:pPr>
              <w:widowControl w:val="0"/>
              <w:spacing w:line="276" w:lineRule="auto"/>
              <w:jc w:val="center"/>
              <w:rPr>
                <w:rFonts w:eastAsia="Times New Roman"/>
                <w:color w:val="000000"/>
                <w:sz w:val="24"/>
                <w:szCs w:val="24"/>
                <w:lang w:eastAsia="ru-RU"/>
              </w:rPr>
            </w:pPr>
            <w:r w:rsidRPr="000B2804">
              <w:rPr>
                <w:rFonts w:eastAsia="Times New Roman"/>
                <w:color w:val="000000"/>
                <w:sz w:val="24"/>
                <w:szCs w:val="24"/>
                <w:lang w:eastAsia="ru-RU"/>
              </w:rPr>
              <w:t>1,00</w:t>
            </w:r>
          </w:p>
        </w:tc>
        <w:tc>
          <w:tcPr>
            <w:tcW w:w="0" w:type="auto"/>
            <w:tcBorders>
              <w:top w:val="single" w:sz="4" w:space="0" w:color="auto"/>
              <w:left w:val="single" w:sz="4" w:space="0" w:color="auto"/>
              <w:bottom w:val="single" w:sz="4" w:space="0" w:color="auto"/>
              <w:right w:val="single" w:sz="4" w:space="0" w:color="auto"/>
            </w:tcBorders>
            <w:vAlign w:val="center"/>
          </w:tcPr>
          <w:p w:rsidR="003B67F9" w:rsidRPr="000B2804" w:rsidRDefault="003B67F9" w:rsidP="00002C5A">
            <w:pPr>
              <w:widowControl w:val="0"/>
              <w:spacing w:line="276" w:lineRule="auto"/>
              <w:jc w:val="center"/>
              <w:rPr>
                <w:rFonts w:eastAsia="Times New Roman"/>
                <w:color w:val="000000"/>
                <w:sz w:val="24"/>
                <w:szCs w:val="24"/>
                <w:lang w:eastAsia="ru-RU"/>
              </w:rPr>
            </w:pPr>
            <w:r w:rsidRPr="000B2804">
              <w:rPr>
                <w:rFonts w:eastAsia="Times New Roman"/>
                <w:color w:val="000000"/>
                <w:sz w:val="24"/>
                <w:szCs w:val="24"/>
                <w:lang w:eastAsia="ru-RU"/>
              </w:rPr>
              <w:t>1,00</w:t>
            </w:r>
          </w:p>
        </w:tc>
        <w:tc>
          <w:tcPr>
            <w:tcW w:w="0" w:type="auto"/>
            <w:tcBorders>
              <w:top w:val="single" w:sz="4" w:space="0" w:color="auto"/>
              <w:left w:val="single" w:sz="4" w:space="0" w:color="auto"/>
              <w:bottom w:val="single" w:sz="4" w:space="0" w:color="auto"/>
              <w:right w:val="single" w:sz="4" w:space="0" w:color="auto"/>
            </w:tcBorders>
            <w:vAlign w:val="center"/>
          </w:tcPr>
          <w:p w:rsidR="003B67F9" w:rsidRPr="000B2804" w:rsidRDefault="003B67F9" w:rsidP="00002C5A">
            <w:pPr>
              <w:widowControl w:val="0"/>
              <w:spacing w:line="276" w:lineRule="auto"/>
              <w:jc w:val="center"/>
              <w:rPr>
                <w:rFonts w:eastAsia="Times New Roman"/>
                <w:color w:val="000000"/>
                <w:sz w:val="24"/>
                <w:szCs w:val="24"/>
                <w:lang w:eastAsia="ru-RU"/>
              </w:rPr>
            </w:pPr>
            <w:r w:rsidRPr="000B2804">
              <w:rPr>
                <w:rFonts w:eastAsia="Times New Roman"/>
                <w:color w:val="000000"/>
                <w:sz w:val="24"/>
                <w:szCs w:val="24"/>
                <w:lang w:eastAsia="ru-RU"/>
              </w:rPr>
              <w:t>1,00</w:t>
            </w:r>
          </w:p>
        </w:tc>
        <w:tc>
          <w:tcPr>
            <w:tcW w:w="0" w:type="auto"/>
            <w:tcBorders>
              <w:top w:val="single" w:sz="4" w:space="0" w:color="auto"/>
              <w:left w:val="single" w:sz="4" w:space="0" w:color="auto"/>
              <w:bottom w:val="single" w:sz="4" w:space="0" w:color="auto"/>
              <w:right w:val="single" w:sz="4" w:space="0" w:color="auto"/>
            </w:tcBorders>
            <w:vAlign w:val="center"/>
          </w:tcPr>
          <w:p w:rsidR="003B67F9" w:rsidRPr="000B2804" w:rsidRDefault="003B67F9" w:rsidP="00002C5A">
            <w:pPr>
              <w:widowControl w:val="0"/>
              <w:spacing w:line="276" w:lineRule="auto"/>
              <w:jc w:val="center"/>
              <w:rPr>
                <w:rFonts w:eastAsia="Times New Roman"/>
                <w:color w:val="000000"/>
                <w:sz w:val="24"/>
                <w:szCs w:val="24"/>
                <w:lang w:eastAsia="ru-RU"/>
              </w:rPr>
            </w:pPr>
            <w:r w:rsidRPr="000B2804">
              <w:rPr>
                <w:rFonts w:eastAsia="Times New Roman"/>
                <w:color w:val="000000"/>
                <w:sz w:val="24"/>
                <w:szCs w:val="24"/>
                <w:lang w:eastAsia="ru-RU"/>
              </w:rPr>
              <w:t>1,00</w:t>
            </w:r>
          </w:p>
        </w:tc>
        <w:tc>
          <w:tcPr>
            <w:tcW w:w="0" w:type="auto"/>
            <w:tcBorders>
              <w:top w:val="single" w:sz="4" w:space="0" w:color="auto"/>
              <w:left w:val="single" w:sz="4" w:space="0" w:color="auto"/>
              <w:bottom w:val="single" w:sz="4" w:space="0" w:color="auto"/>
              <w:right w:val="single" w:sz="4" w:space="0" w:color="auto"/>
            </w:tcBorders>
            <w:vAlign w:val="center"/>
          </w:tcPr>
          <w:p w:rsidR="003B67F9" w:rsidRPr="000B2804" w:rsidRDefault="003B67F9" w:rsidP="00002C5A">
            <w:pPr>
              <w:widowControl w:val="0"/>
              <w:spacing w:line="276" w:lineRule="auto"/>
              <w:jc w:val="center"/>
              <w:rPr>
                <w:rFonts w:eastAsia="Times New Roman"/>
                <w:color w:val="000000"/>
                <w:sz w:val="24"/>
                <w:szCs w:val="24"/>
                <w:lang w:eastAsia="ru-RU"/>
              </w:rPr>
            </w:pPr>
            <w:r w:rsidRPr="000B2804">
              <w:rPr>
                <w:rFonts w:eastAsia="Times New Roman"/>
                <w:color w:val="000000"/>
                <w:sz w:val="24"/>
                <w:szCs w:val="24"/>
                <w:lang w:eastAsia="ru-RU"/>
              </w:rPr>
              <w:t>1,00</w:t>
            </w:r>
          </w:p>
        </w:tc>
        <w:tc>
          <w:tcPr>
            <w:tcW w:w="0" w:type="auto"/>
            <w:tcBorders>
              <w:top w:val="single" w:sz="4" w:space="0" w:color="auto"/>
              <w:left w:val="single" w:sz="4" w:space="0" w:color="auto"/>
              <w:bottom w:val="single" w:sz="4" w:space="0" w:color="auto"/>
              <w:right w:val="single" w:sz="4" w:space="0" w:color="auto"/>
            </w:tcBorders>
            <w:vAlign w:val="center"/>
          </w:tcPr>
          <w:p w:rsidR="003B67F9" w:rsidRPr="000B2804" w:rsidRDefault="003B67F9" w:rsidP="00002C5A">
            <w:pPr>
              <w:widowControl w:val="0"/>
              <w:spacing w:line="276" w:lineRule="auto"/>
              <w:jc w:val="center"/>
              <w:rPr>
                <w:rFonts w:eastAsia="Times New Roman"/>
                <w:color w:val="000000"/>
                <w:sz w:val="24"/>
                <w:szCs w:val="24"/>
                <w:lang w:eastAsia="ru-RU"/>
              </w:rPr>
            </w:pPr>
            <w:r w:rsidRPr="000B2804">
              <w:rPr>
                <w:rFonts w:eastAsia="Times New Roman"/>
                <w:color w:val="000000"/>
                <w:sz w:val="24"/>
                <w:szCs w:val="24"/>
                <w:lang w:eastAsia="ru-RU"/>
              </w:rPr>
              <w:t>1,00</w:t>
            </w:r>
          </w:p>
        </w:tc>
      </w:tr>
      <w:tr w:rsidR="003B67F9" w:rsidRPr="000B2804" w:rsidTr="001918FC">
        <w:trPr>
          <w:jc w:val="center"/>
        </w:trPr>
        <w:tc>
          <w:tcPr>
            <w:tcW w:w="6355" w:type="dxa"/>
            <w:tcBorders>
              <w:top w:val="single" w:sz="4" w:space="0" w:color="auto"/>
              <w:left w:val="single" w:sz="4" w:space="0" w:color="auto"/>
              <w:bottom w:val="single" w:sz="4" w:space="0" w:color="auto"/>
              <w:right w:val="single" w:sz="4" w:space="0" w:color="auto"/>
            </w:tcBorders>
            <w:vAlign w:val="bottom"/>
          </w:tcPr>
          <w:p w:rsidR="003B67F9" w:rsidRPr="000B2804" w:rsidRDefault="003B67F9" w:rsidP="00002C5A">
            <w:pPr>
              <w:widowControl w:val="0"/>
              <w:spacing w:line="276" w:lineRule="auto"/>
              <w:rPr>
                <w:rFonts w:eastAsia="Times New Roman"/>
                <w:color w:val="000000"/>
                <w:sz w:val="24"/>
                <w:szCs w:val="24"/>
                <w:lang w:eastAsia="uk-UA"/>
              </w:rPr>
            </w:pPr>
            <w:r w:rsidRPr="000B2804">
              <w:rPr>
                <w:rFonts w:eastAsia="Times New Roman"/>
                <w:color w:val="000000"/>
                <w:sz w:val="24"/>
                <w:szCs w:val="24"/>
                <w:lang w:eastAsia="uk-UA"/>
              </w:rPr>
              <w:t>ККО</w:t>
            </w:r>
          </w:p>
        </w:tc>
        <w:tc>
          <w:tcPr>
            <w:tcW w:w="0" w:type="auto"/>
            <w:tcBorders>
              <w:top w:val="single" w:sz="4" w:space="0" w:color="auto"/>
              <w:left w:val="single" w:sz="4" w:space="0" w:color="auto"/>
              <w:bottom w:val="single" w:sz="4" w:space="0" w:color="auto"/>
              <w:right w:val="single" w:sz="4" w:space="0" w:color="auto"/>
            </w:tcBorders>
            <w:vAlign w:val="center"/>
          </w:tcPr>
          <w:p w:rsidR="003B67F9" w:rsidRPr="000B2804" w:rsidRDefault="003B67F9" w:rsidP="00002C5A">
            <w:pPr>
              <w:widowControl w:val="0"/>
              <w:spacing w:line="276" w:lineRule="auto"/>
              <w:jc w:val="center"/>
              <w:rPr>
                <w:rFonts w:eastAsia="Times New Roman"/>
                <w:color w:val="000000"/>
                <w:sz w:val="24"/>
                <w:szCs w:val="24"/>
                <w:lang w:eastAsia="ru-RU"/>
              </w:rPr>
            </w:pPr>
            <w:r w:rsidRPr="000B2804">
              <w:rPr>
                <w:rFonts w:eastAsia="Times New Roman"/>
                <w:color w:val="000000"/>
                <w:sz w:val="24"/>
                <w:szCs w:val="24"/>
                <w:lang w:eastAsia="ru-RU"/>
              </w:rPr>
              <w:t>0,64</w:t>
            </w:r>
          </w:p>
        </w:tc>
        <w:tc>
          <w:tcPr>
            <w:tcW w:w="0" w:type="auto"/>
            <w:tcBorders>
              <w:top w:val="single" w:sz="4" w:space="0" w:color="auto"/>
              <w:left w:val="single" w:sz="4" w:space="0" w:color="auto"/>
              <w:bottom w:val="single" w:sz="4" w:space="0" w:color="auto"/>
              <w:right w:val="single" w:sz="4" w:space="0" w:color="auto"/>
            </w:tcBorders>
            <w:vAlign w:val="center"/>
          </w:tcPr>
          <w:p w:rsidR="003B67F9" w:rsidRPr="000B2804" w:rsidRDefault="003B67F9" w:rsidP="00002C5A">
            <w:pPr>
              <w:widowControl w:val="0"/>
              <w:spacing w:line="276" w:lineRule="auto"/>
              <w:jc w:val="center"/>
              <w:rPr>
                <w:rFonts w:eastAsia="Times New Roman"/>
                <w:color w:val="000000"/>
                <w:sz w:val="24"/>
                <w:szCs w:val="24"/>
                <w:lang w:eastAsia="ru-RU"/>
              </w:rPr>
            </w:pPr>
            <w:r w:rsidRPr="000B2804">
              <w:rPr>
                <w:rFonts w:eastAsia="Times New Roman"/>
                <w:color w:val="000000"/>
                <w:sz w:val="24"/>
                <w:szCs w:val="24"/>
                <w:lang w:eastAsia="ru-RU"/>
              </w:rPr>
              <w:t>0,66</w:t>
            </w:r>
          </w:p>
        </w:tc>
        <w:tc>
          <w:tcPr>
            <w:tcW w:w="0" w:type="auto"/>
            <w:tcBorders>
              <w:top w:val="single" w:sz="4" w:space="0" w:color="auto"/>
              <w:left w:val="single" w:sz="4" w:space="0" w:color="auto"/>
              <w:bottom w:val="single" w:sz="4" w:space="0" w:color="auto"/>
              <w:right w:val="single" w:sz="4" w:space="0" w:color="auto"/>
            </w:tcBorders>
            <w:vAlign w:val="center"/>
          </w:tcPr>
          <w:p w:rsidR="003B67F9" w:rsidRPr="000B2804" w:rsidRDefault="003B67F9" w:rsidP="00002C5A">
            <w:pPr>
              <w:widowControl w:val="0"/>
              <w:spacing w:line="276" w:lineRule="auto"/>
              <w:jc w:val="center"/>
              <w:rPr>
                <w:rFonts w:eastAsia="Times New Roman"/>
                <w:color w:val="000000"/>
                <w:sz w:val="24"/>
                <w:szCs w:val="24"/>
                <w:lang w:eastAsia="ru-RU"/>
              </w:rPr>
            </w:pPr>
            <w:r w:rsidRPr="000B2804">
              <w:rPr>
                <w:rFonts w:eastAsia="Times New Roman"/>
                <w:color w:val="000000"/>
                <w:sz w:val="24"/>
                <w:szCs w:val="24"/>
                <w:lang w:eastAsia="ru-RU"/>
              </w:rPr>
              <w:t>0,67</w:t>
            </w:r>
          </w:p>
        </w:tc>
        <w:tc>
          <w:tcPr>
            <w:tcW w:w="0" w:type="auto"/>
            <w:tcBorders>
              <w:top w:val="single" w:sz="4" w:space="0" w:color="auto"/>
              <w:left w:val="single" w:sz="4" w:space="0" w:color="auto"/>
              <w:bottom w:val="single" w:sz="4" w:space="0" w:color="auto"/>
              <w:right w:val="single" w:sz="4" w:space="0" w:color="auto"/>
            </w:tcBorders>
            <w:vAlign w:val="center"/>
          </w:tcPr>
          <w:p w:rsidR="003B67F9" w:rsidRPr="000B2804" w:rsidRDefault="003B67F9" w:rsidP="00002C5A">
            <w:pPr>
              <w:widowControl w:val="0"/>
              <w:spacing w:line="276" w:lineRule="auto"/>
              <w:jc w:val="center"/>
              <w:rPr>
                <w:rFonts w:eastAsia="Times New Roman"/>
                <w:color w:val="000000"/>
                <w:sz w:val="24"/>
                <w:szCs w:val="24"/>
                <w:lang w:eastAsia="ru-RU"/>
              </w:rPr>
            </w:pPr>
            <w:r w:rsidRPr="000B2804">
              <w:rPr>
                <w:rFonts w:eastAsia="Times New Roman"/>
                <w:color w:val="000000"/>
                <w:sz w:val="24"/>
                <w:szCs w:val="24"/>
                <w:lang w:eastAsia="ru-RU"/>
              </w:rPr>
              <w:t>0,67</w:t>
            </w:r>
          </w:p>
        </w:tc>
        <w:tc>
          <w:tcPr>
            <w:tcW w:w="0" w:type="auto"/>
            <w:tcBorders>
              <w:top w:val="single" w:sz="4" w:space="0" w:color="auto"/>
              <w:left w:val="single" w:sz="4" w:space="0" w:color="auto"/>
              <w:bottom w:val="single" w:sz="4" w:space="0" w:color="auto"/>
              <w:right w:val="single" w:sz="4" w:space="0" w:color="auto"/>
            </w:tcBorders>
            <w:vAlign w:val="center"/>
          </w:tcPr>
          <w:p w:rsidR="003B67F9" w:rsidRPr="000B2804" w:rsidRDefault="003B67F9" w:rsidP="00002C5A">
            <w:pPr>
              <w:widowControl w:val="0"/>
              <w:spacing w:line="276" w:lineRule="auto"/>
              <w:jc w:val="center"/>
              <w:rPr>
                <w:rFonts w:eastAsia="Times New Roman"/>
                <w:color w:val="000000"/>
                <w:sz w:val="24"/>
                <w:szCs w:val="24"/>
                <w:lang w:eastAsia="ru-RU"/>
              </w:rPr>
            </w:pPr>
            <w:r w:rsidRPr="000B2804">
              <w:rPr>
                <w:rFonts w:eastAsia="Times New Roman"/>
                <w:color w:val="000000"/>
                <w:sz w:val="24"/>
                <w:szCs w:val="24"/>
                <w:lang w:eastAsia="ru-RU"/>
              </w:rPr>
              <w:t>0,68</w:t>
            </w:r>
          </w:p>
        </w:tc>
        <w:tc>
          <w:tcPr>
            <w:tcW w:w="0" w:type="auto"/>
            <w:tcBorders>
              <w:top w:val="single" w:sz="4" w:space="0" w:color="auto"/>
              <w:left w:val="single" w:sz="4" w:space="0" w:color="auto"/>
              <w:bottom w:val="single" w:sz="4" w:space="0" w:color="auto"/>
              <w:right w:val="single" w:sz="4" w:space="0" w:color="auto"/>
            </w:tcBorders>
            <w:vAlign w:val="center"/>
          </w:tcPr>
          <w:p w:rsidR="003B67F9" w:rsidRPr="000B2804" w:rsidRDefault="003B67F9" w:rsidP="00002C5A">
            <w:pPr>
              <w:widowControl w:val="0"/>
              <w:spacing w:line="276" w:lineRule="auto"/>
              <w:jc w:val="center"/>
              <w:rPr>
                <w:rFonts w:eastAsia="Times New Roman"/>
                <w:color w:val="000000"/>
                <w:sz w:val="24"/>
                <w:szCs w:val="24"/>
                <w:lang w:eastAsia="ru-RU"/>
              </w:rPr>
            </w:pPr>
            <w:r w:rsidRPr="000B2804">
              <w:rPr>
                <w:rFonts w:eastAsia="Times New Roman"/>
                <w:color w:val="000000"/>
                <w:sz w:val="24"/>
                <w:szCs w:val="24"/>
                <w:lang w:eastAsia="ru-RU"/>
              </w:rPr>
              <w:t>0,69</w:t>
            </w:r>
          </w:p>
        </w:tc>
      </w:tr>
    </w:tbl>
    <w:p w:rsidR="003B67F9" w:rsidRPr="00006A39" w:rsidRDefault="003B67F9" w:rsidP="00721203">
      <w:pPr>
        <w:widowControl w:val="0"/>
        <w:spacing w:line="288" w:lineRule="auto"/>
        <w:rPr>
          <w:rFonts w:eastAsia="Times New Roman"/>
          <w:color w:val="000000"/>
          <w:szCs w:val="28"/>
          <w:lang w:eastAsia="ru-RU"/>
        </w:rPr>
      </w:pPr>
    </w:p>
    <w:p w:rsidR="003B67F9" w:rsidRPr="00DA56D9" w:rsidRDefault="003B67F9" w:rsidP="00721203">
      <w:pPr>
        <w:widowControl w:val="0"/>
        <w:ind w:firstLine="709"/>
        <w:rPr>
          <w:rFonts w:eastAsia="Times New Roman"/>
          <w:szCs w:val="28"/>
          <w:lang w:eastAsia="ru-RU"/>
        </w:rPr>
      </w:pPr>
      <w:r w:rsidRPr="00006A39">
        <w:rPr>
          <w:rFonts w:eastAsia="Times New Roman"/>
          <w:szCs w:val="28"/>
          <w:lang w:eastAsia="ru-RU"/>
        </w:rPr>
        <w:t xml:space="preserve">Незважаючи на те, що в ІІІ групу ввійшли регіони з ККО середнього ступеню, в усіх регіонах групи КДНЗ своєчасності постановки на облік вагітних, частоти нормальних пологів, виживання новонароджених з дуже малою масою тіла при народженні, індексу здоров’я новонароджених, рівнів перинатальної і материнської смертності є високими. Також, спостерігається більші ніж у регіонах ІІ групи і КДНЗ неонатальної смертності – 0,8-1,0 Миколаївській, Чернігівській, Волинській і </w:t>
      </w:r>
      <w:r w:rsidRPr="00006A39">
        <w:rPr>
          <w:rFonts w:eastAsia="Times New Roman"/>
          <w:szCs w:val="28"/>
          <w:lang w:eastAsia="ru-RU"/>
        </w:rPr>
        <w:lastRenderedPageBreak/>
        <w:t xml:space="preserve">Херсонській, 0,71 у Закарпатській і 0,66 </w:t>
      </w:r>
      <w:r w:rsidR="0042308F">
        <w:rPr>
          <w:rFonts w:eastAsia="Times New Roman"/>
          <w:szCs w:val="28"/>
          <w:lang w:eastAsia="ru-RU"/>
        </w:rPr>
        <w:t>у Донецькій областях (табл. 7.1</w:t>
      </w:r>
      <w:r w:rsidR="0042308F" w:rsidRPr="00DA56D9">
        <w:rPr>
          <w:rFonts w:eastAsia="Times New Roman"/>
          <w:szCs w:val="28"/>
          <w:lang w:eastAsia="ru-RU"/>
        </w:rPr>
        <w:t>0</w:t>
      </w:r>
      <w:r w:rsidRPr="00006A39">
        <w:rPr>
          <w:rFonts w:eastAsia="Times New Roman"/>
          <w:szCs w:val="28"/>
          <w:lang w:eastAsia="ru-RU"/>
        </w:rPr>
        <w:t>).</w:t>
      </w:r>
    </w:p>
    <w:p w:rsidR="003B67F9" w:rsidRPr="00006A39" w:rsidRDefault="003B67F9" w:rsidP="00721203">
      <w:pPr>
        <w:widowControl w:val="0"/>
        <w:ind w:firstLine="709"/>
        <w:rPr>
          <w:rFonts w:eastAsia="Times New Roman"/>
          <w:szCs w:val="28"/>
          <w:lang w:eastAsia="ru-RU"/>
        </w:rPr>
      </w:pPr>
      <w:r w:rsidRPr="00006A39">
        <w:rPr>
          <w:rFonts w:eastAsia="Times New Roman"/>
          <w:szCs w:val="28"/>
          <w:lang w:eastAsia="ru-RU"/>
        </w:rPr>
        <w:t>При цьому, в усіх регіонах цієї групи спостерігаються низькі КДНЗ ІК новонароджених з дуже малою масою тіла при народженні у ЗПД ІІІ рівня, низькі і нижче середніх КДНЗ частоти кровотеч в послідовому і післяродовому періоді, частоти маловагових новонароджених. Як і в інших групах, у ІІІ групі наявні значні диспропорції КДНЗ – співвідношення безпечних і небезпечних видів абортів від 0,29 у Миколаївській областях до 1,0 у Волинській, Донецькій і Херсонській, частоти анемій вагітних від 0,41 у Донецькій до 1,0 у Закарпатській і Волинській, частоти прееклампсій і еклампсій вагітних від 0,21 у Волинській областях до 0,8 у Миколаївській, 0,95 у Закарпатській областях, ІК розроджень вагітних з цукровим діабетом у ЗПД ІІІ рівня – 0,0 в регіонах, де відсутні ЗПД ІІІ рівня і 0,76-0,78 у Миколаївській і Херсонській областях. Вище середні і середні КДНЗ частоти розроджень шляхом кесаревого розтину в усіх регіонах</w:t>
      </w:r>
      <w:r w:rsidRPr="00006A39">
        <w:rPr>
          <w:rFonts w:eastAsia="Times New Roman"/>
          <w:color w:val="5F497A"/>
          <w:szCs w:val="28"/>
          <w:lang w:eastAsia="ru-RU"/>
        </w:rPr>
        <w:t xml:space="preserve"> </w:t>
      </w:r>
      <w:r w:rsidR="0042308F">
        <w:rPr>
          <w:rFonts w:eastAsia="Times New Roman"/>
          <w:szCs w:val="28"/>
          <w:lang w:eastAsia="ru-RU"/>
        </w:rPr>
        <w:t>(табл. 7.1</w:t>
      </w:r>
      <w:r w:rsidR="0042308F" w:rsidRPr="00DA56D9">
        <w:rPr>
          <w:rFonts w:eastAsia="Times New Roman"/>
          <w:szCs w:val="28"/>
          <w:lang w:eastAsia="ru-RU"/>
        </w:rPr>
        <w:t>0</w:t>
      </w:r>
      <w:r w:rsidRPr="00006A39">
        <w:rPr>
          <w:rFonts w:eastAsia="Times New Roman"/>
          <w:szCs w:val="28"/>
          <w:lang w:eastAsia="ru-RU"/>
        </w:rPr>
        <w:t>).</w:t>
      </w:r>
    </w:p>
    <w:p w:rsidR="003B67F9" w:rsidRPr="00174A8F" w:rsidRDefault="003B67F9" w:rsidP="00721203">
      <w:pPr>
        <w:widowControl w:val="0"/>
        <w:ind w:firstLine="709"/>
        <w:rPr>
          <w:rFonts w:eastAsia="Times New Roman"/>
          <w:color w:val="000000" w:themeColor="text1"/>
          <w:szCs w:val="28"/>
          <w:lang w:eastAsia="ru-RU"/>
        </w:rPr>
      </w:pPr>
      <w:r w:rsidRPr="00006A39">
        <w:rPr>
          <w:rFonts w:eastAsia="Times New Roman"/>
          <w:szCs w:val="28"/>
          <w:lang w:eastAsia="ru-RU"/>
        </w:rPr>
        <w:t xml:space="preserve">Порівняльна характеристика діяльності перинатальної служби України у 2017–2018 рр. за даними основних показників МКО перинатальної служби засвідчила найбільш вагомі зрушення КДНЗ частоти акушерських кровотеч – 0,56 і 0,74, співвідношення безпечних методів абортів до небезпечних – 0,73 і 0,96, ІНТ – 0,48 і 0,66, виживання новонароджених з дуже малою масою тіла при народженні – 0,91-0,96. ККО у 2018 році підвищився майже в усіх регіонах, за виключенням Житомирської області, де він залишився високим з тенденцією до зменшення – 0,84 у 2017 р. і 0,83 у 2018 р. Найбільш інтенсивними темпами відбулося збільшення ККО діяльності перинатальної служби Закарпатської (0,64 у 2017 р. і 0,8 у 2018 р.), Львівської (0,79 і 0,88), Харківської (0,76 і 0,85) та Херсонської (0,67 і 0,76) областей відповідно. Комплексна оцінка діяльності закладів перинатальної допомоги України за кожним із регіонів України представлено у </w:t>
      </w:r>
      <w:r w:rsidR="00101006">
        <w:rPr>
          <w:rFonts w:eastAsia="Times New Roman"/>
          <w:szCs w:val="28"/>
          <w:lang w:val="ru-RU" w:eastAsia="ru-RU"/>
        </w:rPr>
        <w:t>д</w:t>
      </w:r>
      <w:r w:rsidRPr="00101006">
        <w:rPr>
          <w:rFonts w:eastAsia="Times New Roman"/>
          <w:szCs w:val="28"/>
          <w:lang w:eastAsia="ru-RU"/>
        </w:rPr>
        <w:t>одатках (</w:t>
      </w:r>
      <w:r w:rsidR="00B205B8" w:rsidRPr="00101006">
        <w:rPr>
          <w:rFonts w:eastAsia="Times New Roman"/>
          <w:szCs w:val="28"/>
          <w:lang w:eastAsia="ru-RU"/>
        </w:rPr>
        <w:t>Додаток Е-4 – Е</w:t>
      </w:r>
      <w:r w:rsidR="00905A3C" w:rsidRPr="00101006">
        <w:rPr>
          <w:rFonts w:eastAsia="Times New Roman"/>
          <w:szCs w:val="28"/>
          <w:lang w:eastAsia="ru-RU"/>
        </w:rPr>
        <w:t>-28</w:t>
      </w:r>
      <w:r w:rsidRPr="00101006">
        <w:rPr>
          <w:rFonts w:eastAsia="Times New Roman"/>
          <w:szCs w:val="28"/>
          <w:lang w:eastAsia="ru-RU"/>
        </w:rPr>
        <w:t>).</w:t>
      </w:r>
    </w:p>
    <w:p w:rsidR="001C11B3" w:rsidRDefault="003B67F9" w:rsidP="001C11B3">
      <w:pPr>
        <w:widowControl w:val="0"/>
        <w:ind w:firstLine="709"/>
        <w:rPr>
          <w:rFonts w:eastAsia="Times New Roman"/>
          <w:szCs w:val="28"/>
          <w:lang w:eastAsia="ru-RU"/>
        </w:rPr>
      </w:pPr>
      <w:r w:rsidRPr="00006A39">
        <w:rPr>
          <w:rFonts w:eastAsia="Times New Roman"/>
          <w:szCs w:val="28"/>
          <w:lang w:eastAsia="ru-RU"/>
        </w:rPr>
        <w:t>Враховуючи суттєві позитивні зрушення ефективності діяльності служби перинатальної допомоги у 2018 р. град</w:t>
      </w:r>
      <w:r w:rsidR="00ED2D58">
        <w:rPr>
          <w:rFonts w:eastAsia="Times New Roman"/>
          <w:szCs w:val="28"/>
          <w:lang w:eastAsia="ru-RU"/>
        </w:rPr>
        <w:t>ація регіонів за групами ступеня</w:t>
      </w:r>
      <w:r w:rsidRPr="00006A39">
        <w:rPr>
          <w:rFonts w:eastAsia="Times New Roman"/>
          <w:szCs w:val="28"/>
          <w:lang w:eastAsia="ru-RU"/>
        </w:rPr>
        <w:t xml:space="preserve"> ККО не проводилася. </w:t>
      </w:r>
      <w:r w:rsidRPr="00006A39">
        <w:rPr>
          <w:rFonts w:eastAsia="Times New Roman"/>
          <w:szCs w:val="28"/>
          <w:shd w:val="clear" w:color="auto" w:fill="FFFFFF"/>
          <w:lang w:eastAsia="ru-RU"/>
        </w:rPr>
        <w:t>Розроблена нами МКО діяльності закладів і установ перинатальної служби є пілотною і динамічною, тому надалі по мірі досягнення нормативних значень показників комплексної оцінки передбачається їх перегляд.</w:t>
      </w:r>
      <w:r w:rsidRPr="00006A39">
        <w:rPr>
          <w:rFonts w:eastAsia="Times New Roman"/>
          <w:szCs w:val="28"/>
          <w:lang w:eastAsia="ru-RU"/>
        </w:rPr>
        <w:t xml:space="preserve"> Розроблена </w:t>
      </w:r>
      <w:r w:rsidRPr="00006A39">
        <w:rPr>
          <w:rFonts w:eastAsia="Times New Roman"/>
          <w:szCs w:val="28"/>
          <w:lang w:eastAsia="ru-RU"/>
        </w:rPr>
        <w:lastRenderedPageBreak/>
        <w:t>технологія застосування МКР для створення МКО діяльності перинатально</w:t>
      </w:r>
      <w:r w:rsidR="001D1972">
        <w:rPr>
          <w:rFonts w:eastAsia="Times New Roman"/>
          <w:szCs w:val="28"/>
          <w:lang w:eastAsia="ru-RU"/>
        </w:rPr>
        <w:t>ї</w:t>
      </w:r>
      <w:r w:rsidRPr="00006A39">
        <w:rPr>
          <w:rFonts w:eastAsia="Times New Roman"/>
          <w:szCs w:val="28"/>
          <w:lang w:eastAsia="ru-RU"/>
        </w:rPr>
        <w:t xml:space="preserve"> служби дає можливість оцінювати ефективність управлінських дій в сфері забезпечення доступності і якості перинатальної допомоги, своєчасно реагувати на зміни в макро- і мікросередовищі і може використовуватися для аналізу і оцінки роботи окремих закладів, підрозділів перинатальної допомоги та окремих медичних працівників.</w:t>
      </w:r>
    </w:p>
    <w:p w:rsidR="00DB0B3C" w:rsidRDefault="00DB0B3C" w:rsidP="001C11B3">
      <w:pPr>
        <w:widowControl w:val="0"/>
        <w:ind w:firstLine="709"/>
        <w:rPr>
          <w:rFonts w:eastAsia="Times New Roman"/>
          <w:szCs w:val="28"/>
          <w:lang w:eastAsia="ru-RU"/>
        </w:rPr>
      </w:pPr>
    </w:p>
    <w:p w:rsidR="003B67F9" w:rsidRPr="0069277A" w:rsidRDefault="00A23F75" w:rsidP="0069277A">
      <w:pPr>
        <w:widowControl w:val="0"/>
        <w:ind w:firstLine="709"/>
        <w:rPr>
          <w:rFonts w:eastAsia="Times New Roman"/>
          <w:szCs w:val="28"/>
          <w:lang w:val="ru-RU" w:eastAsia="ru-RU"/>
        </w:rPr>
      </w:pPr>
      <w:r>
        <w:rPr>
          <w:rFonts w:eastAsia="Times New Roman"/>
          <w:b/>
          <w:szCs w:val="28"/>
          <w:lang w:eastAsia="ru-RU"/>
        </w:rPr>
        <w:t>Висновки до розділу</w:t>
      </w:r>
      <w:r w:rsidR="00EC25E9" w:rsidRPr="00006A39">
        <w:rPr>
          <w:rFonts w:eastAsia="Times New Roman"/>
          <w:b/>
          <w:szCs w:val="28"/>
          <w:lang w:eastAsia="ru-RU"/>
        </w:rPr>
        <w:t xml:space="preserve"> 7</w:t>
      </w:r>
    </w:p>
    <w:p w:rsidR="0069277A" w:rsidRPr="0069277A" w:rsidRDefault="00C37AE7" w:rsidP="0074719A">
      <w:pPr>
        <w:pStyle w:val="a5"/>
        <w:numPr>
          <w:ilvl w:val="0"/>
          <w:numId w:val="48"/>
        </w:numPr>
        <w:ind w:left="0" w:firstLine="708"/>
        <w:rPr>
          <w:szCs w:val="28"/>
        </w:rPr>
      </w:pPr>
      <w:r>
        <w:rPr>
          <w:szCs w:val="28"/>
          <w:lang w:val="ru-RU"/>
        </w:rPr>
        <w:t>В</w:t>
      </w:r>
      <w:r w:rsidR="00A77B7B">
        <w:rPr>
          <w:szCs w:val="28"/>
        </w:rPr>
        <w:t>изначено</w:t>
      </w:r>
      <w:r w:rsidR="00A77B7B">
        <w:t xml:space="preserve">  </w:t>
      </w:r>
      <w:r w:rsidR="00A77B7B">
        <w:rPr>
          <w:szCs w:val="28"/>
        </w:rPr>
        <w:t>найбільш значущі показник</w:t>
      </w:r>
      <w:proofErr w:type="gramStart"/>
      <w:r>
        <w:rPr>
          <w:szCs w:val="28"/>
          <w:lang w:val="ru-RU"/>
        </w:rPr>
        <w:t>и</w:t>
      </w:r>
      <w:r w:rsidR="00843824">
        <w:rPr>
          <w:szCs w:val="28"/>
        </w:rPr>
        <w:t>-</w:t>
      </w:r>
      <w:proofErr w:type="gramEnd"/>
      <w:r w:rsidR="00843824">
        <w:rPr>
          <w:szCs w:val="28"/>
        </w:rPr>
        <w:t>і</w:t>
      </w:r>
      <w:r w:rsidR="00A77B7B">
        <w:rPr>
          <w:szCs w:val="28"/>
        </w:rPr>
        <w:t xml:space="preserve">ндикатори, </w:t>
      </w:r>
      <w:r>
        <w:rPr>
          <w:szCs w:val="28"/>
        </w:rPr>
        <w:t>їх нормативні значення та оцінк</w:t>
      </w:r>
      <w:r>
        <w:rPr>
          <w:szCs w:val="28"/>
          <w:lang w:val="ru-RU"/>
        </w:rPr>
        <w:t>а</w:t>
      </w:r>
      <w:r w:rsidR="00A77B7B">
        <w:rPr>
          <w:szCs w:val="28"/>
        </w:rPr>
        <w:t xml:space="preserve"> нормативу в бала</w:t>
      </w:r>
      <w:r>
        <w:rPr>
          <w:szCs w:val="28"/>
        </w:rPr>
        <w:t xml:space="preserve">х, розроблено методологію та </w:t>
      </w:r>
      <w:r w:rsidR="00C40478">
        <w:rPr>
          <w:szCs w:val="28"/>
          <w:lang w:val="ru-RU"/>
        </w:rPr>
        <w:t>МКО</w:t>
      </w:r>
      <w:r w:rsidR="00A77B7B">
        <w:rPr>
          <w:szCs w:val="28"/>
        </w:rPr>
        <w:t xml:space="preserve"> стану перинатальної допомоги, </w:t>
      </w:r>
      <w:r w:rsidR="00D12354">
        <w:rPr>
          <w:szCs w:val="28"/>
        </w:rPr>
        <w:t>що дозволяє проводити</w:t>
      </w:r>
      <w:r w:rsidR="00A77B7B">
        <w:rPr>
          <w:szCs w:val="28"/>
        </w:rPr>
        <w:t xml:space="preserve"> оцінку стану перинатальної допомоги на державному і регіональному рівнях, оцінку стану догоспітальної перинатальної допомоги, оцінку діяльності структурних підрозділів ЗОЗ, що надають базову перинатальну допомогу (І рівень перинатальної допомоги), діяльності ЗПД (структурних підрозділів ЗОЗ), що надають базову і спеціалізовану перинатальну допомогу (ІІ рівень перинатальної допомоги) та діяльності ЗПД, що надають третинну</w:t>
      </w:r>
      <w:r w:rsidR="00D12354">
        <w:rPr>
          <w:szCs w:val="28"/>
        </w:rPr>
        <w:t xml:space="preserve"> </w:t>
      </w:r>
      <w:r w:rsidR="00A77B7B">
        <w:rPr>
          <w:szCs w:val="28"/>
        </w:rPr>
        <w:t>(високоспеціалізовану) перинатальну допомогу. Концептуальною схемою МКО перинатальної служби передбачено вивчення значення кожного показника залежно від бальної оцінки його нормативного</w:t>
      </w:r>
      <w:r w:rsidR="00C40478">
        <w:rPr>
          <w:szCs w:val="28"/>
        </w:rPr>
        <w:t xml:space="preserve"> значення, оцінку КДНЗ</w:t>
      </w:r>
      <w:r w:rsidR="00A77B7B">
        <w:rPr>
          <w:szCs w:val="28"/>
        </w:rPr>
        <w:t xml:space="preserve"> окремо взятого показника та</w:t>
      </w:r>
      <w:r w:rsidR="00521B6B">
        <w:rPr>
          <w:szCs w:val="28"/>
        </w:rPr>
        <w:t xml:space="preserve"> коефіцієнту комплексної оцінки,</w:t>
      </w:r>
      <w:r w:rsidR="00A77B7B">
        <w:t xml:space="preserve"> </w:t>
      </w:r>
      <w:r w:rsidR="00A77B7B">
        <w:rPr>
          <w:szCs w:val="28"/>
        </w:rPr>
        <w:t>по мірі досягнення нормативних значень показників комплексної оцінки передбачається їх перегляд. МКО діяльності перинатальноі служби дає можливість оцінювати ефективність управлінських дій в сфері забезпечення доступності і якості перинатальної допомоги, своєчасно реагувати на зміни в макро- і мікросередовищі і може використовуватися для аналізу і оцінки роботи окремих регіонів, закладів, підрозділів перинатальної допомоги та окремих медичних працівників.</w:t>
      </w:r>
    </w:p>
    <w:p w:rsidR="00FA0C77" w:rsidRPr="00FA0C77" w:rsidRDefault="0069277A" w:rsidP="0074719A">
      <w:pPr>
        <w:pStyle w:val="a5"/>
        <w:numPr>
          <w:ilvl w:val="0"/>
          <w:numId w:val="48"/>
        </w:numPr>
        <w:ind w:left="0" w:firstLine="708"/>
        <w:rPr>
          <w:szCs w:val="28"/>
        </w:rPr>
      </w:pPr>
      <w:r w:rsidRPr="00FA0C77">
        <w:rPr>
          <w:color w:val="000000"/>
          <w:szCs w:val="28"/>
        </w:rPr>
        <w:t xml:space="preserve">За результатами </w:t>
      </w:r>
      <w:r w:rsidRPr="00FA0C77">
        <w:rPr>
          <w:color w:val="000000" w:themeColor="text1"/>
          <w:szCs w:val="28"/>
        </w:rPr>
        <w:t>розрахунку комплексної оцінки діяльності закладів перинатальної допомоги України за 2017-2018 рр. коефіцієнт комплексної оцінки склав</w:t>
      </w:r>
      <w:r w:rsidR="00180A8D">
        <w:rPr>
          <w:color w:val="000000" w:themeColor="text1"/>
          <w:szCs w:val="28"/>
        </w:rPr>
        <w:t xml:space="preserve"> (інтегральна оцінка діяльності) –</w:t>
      </w:r>
      <w:r w:rsidRPr="00FA0C77">
        <w:rPr>
          <w:color w:val="000000" w:themeColor="text1"/>
          <w:szCs w:val="28"/>
        </w:rPr>
        <w:t xml:space="preserve"> 0,77, що оцінюється як вище середнього рівень, а у 2018 р. – 0,86, що оцінюється як високий рівень досягнення результатів. </w:t>
      </w:r>
    </w:p>
    <w:p w:rsidR="00D11386" w:rsidRPr="00D11386" w:rsidRDefault="003B67F9" w:rsidP="0074719A">
      <w:pPr>
        <w:pStyle w:val="a5"/>
        <w:numPr>
          <w:ilvl w:val="0"/>
          <w:numId w:val="48"/>
        </w:numPr>
        <w:ind w:left="0" w:firstLine="708"/>
        <w:rPr>
          <w:szCs w:val="28"/>
        </w:rPr>
      </w:pPr>
      <w:r w:rsidRPr="00FA0C77">
        <w:rPr>
          <w:color w:val="000000" w:themeColor="text1"/>
          <w:szCs w:val="28"/>
        </w:rPr>
        <w:lastRenderedPageBreak/>
        <w:t>Встановлено, що в розрізі компонентів комплексної оцінки перинатальної допомоги за 2017 р. фактичні показники коливаються від 0,82 за результатами забезпеченості перинатальної служби лікарями, до 0,76 за показниками діяльності закладів і установ і 0,79 – за показниками результативності (ефективності), які у 2018 р. становили 0,9, 0,89 і 0,81 відповідно. Порівняльна характеристика діяльності перинатальної служби України у 2017-2018 рр. за даними основних показників МКО перинатальної служби засвідчила найбільш вагомі зрушення КДНЗ частоти акушерських кровотеч – 0,56 і 0,74, співвідношення безпечних методів абортів до небезпечних – 0,73 і 0,96, індексу неонатального трансферу – 0,48 і 0,66, виживання новонароджених з дуже малою масою тіла при народженні – 0,91 і 0,96. Проблемними, потребуючими вирішення, залишаються питання достовірності реєстрації ранньої неонатальної смертності за показником співвідношення її реального і фактичного показників (КДНЗ - 0,49) високої частоти акушерських кровотеч (КДНЗ - 0,74), розроджень вагітних шляхом кесаревого розтину (КДНЗ - 0,75), переведень новонароджених за показником індексу неонатального трансферу (КДНЗ-0,66).</w:t>
      </w:r>
    </w:p>
    <w:p w:rsidR="00D11386" w:rsidRPr="00D11386" w:rsidRDefault="00D11386" w:rsidP="0074719A">
      <w:pPr>
        <w:pStyle w:val="a5"/>
        <w:numPr>
          <w:ilvl w:val="0"/>
          <w:numId w:val="48"/>
        </w:numPr>
        <w:ind w:left="0" w:firstLine="708"/>
        <w:rPr>
          <w:szCs w:val="28"/>
        </w:rPr>
      </w:pPr>
      <w:r w:rsidRPr="00D11386">
        <w:rPr>
          <w:szCs w:val="28"/>
        </w:rPr>
        <w:t>Показано, що застосування запропонованої методології та моделей комплексної оцінки стану перинатальної допомоги дозволило визначити сумарну оцінку фактичних показників за основними компонентами в окремих адміністративних територіях, при цьому якщо в 2017 р. найнижче оцінено за компонентами КДР (Ме =0,74; Q</w:t>
      </w:r>
      <w:r w:rsidRPr="00D11386">
        <w:rPr>
          <w:szCs w:val="28"/>
          <w:vertAlign w:val="subscript"/>
        </w:rPr>
        <w:t>1</w:t>
      </w:r>
      <w:r w:rsidRPr="00D11386">
        <w:rPr>
          <w:szCs w:val="28"/>
        </w:rPr>
        <w:t>=0,7; Q</w:t>
      </w:r>
      <w:r w:rsidRPr="00D11386">
        <w:rPr>
          <w:szCs w:val="28"/>
          <w:vertAlign w:val="subscript"/>
        </w:rPr>
        <w:t>3</w:t>
      </w:r>
      <w:r w:rsidRPr="00D11386">
        <w:rPr>
          <w:szCs w:val="28"/>
        </w:rPr>
        <w:t>=0,8) та діяльності (Ме=0,75; Q</w:t>
      </w:r>
      <w:r w:rsidRPr="00D11386">
        <w:rPr>
          <w:szCs w:val="28"/>
          <w:vertAlign w:val="subscript"/>
        </w:rPr>
        <w:t>1</w:t>
      </w:r>
      <w:r w:rsidRPr="00D11386">
        <w:rPr>
          <w:szCs w:val="28"/>
        </w:rPr>
        <w:t>=0,66; Q</w:t>
      </w:r>
      <w:r w:rsidRPr="00D11386">
        <w:rPr>
          <w:szCs w:val="28"/>
          <w:vertAlign w:val="subscript"/>
        </w:rPr>
        <w:t>3</w:t>
      </w:r>
      <w:r w:rsidRPr="00D11386">
        <w:rPr>
          <w:szCs w:val="28"/>
        </w:rPr>
        <w:t>=0,78), то у 2018 р. – за компонентом результативності, який відносно 2017 р. залишився на тому ж самому рівні (Ме=0,77; Q</w:t>
      </w:r>
      <w:r w:rsidRPr="00D11386">
        <w:rPr>
          <w:szCs w:val="28"/>
          <w:vertAlign w:val="subscript"/>
        </w:rPr>
        <w:t>1</w:t>
      </w:r>
      <w:r w:rsidRPr="00D11386">
        <w:rPr>
          <w:szCs w:val="28"/>
        </w:rPr>
        <w:t>=0,67; Q</w:t>
      </w:r>
      <w:r w:rsidRPr="00D11386">
        <w:rPr>
          <w:szCs w:val="28"/>
          <w:vertAlign w:val="subscript"/>
        </w:rPr>
        <w:t>3</w:t>
      </w:r>
      <w:r w:rsidRPr="00D11386">
        <w:rPr>
          <w:szCs w:val="28"/>
        </w:rPr>
        <w:t xml:space="preserve">=0,85; р=0,6067), у той час як за усіма іншими компонентами відбулося їх достовірне збільшення: КДР (Ме=0,82; р=0,0002); </w:t>
      </w:r>
      <w:r w:rsidRPr="00D11386">
        <w:rPr>
          <w:rFonts w:eastAsia="Times New Roman"/>
          <w:szCs w:val="28"/>
          <w:lang w:eastAsia="ru-RU"/>
        </w:rPr>
        <w:t>компонент забезпеченості кадрами</w:t>
      </w:r>
      <w:r w:rsidRPr="00D11386">
        <w:rPr>
          <w:szCs w:val="28"/>
        </w:rPr>
        <w:t xml:space="preserve"> (Ме=0,9, р=0,008); та компонент діяльності (Ме=0,85; р&lt;0,001). </w:t>
      </w:r>
    </w:p>
    <w:p w:rsidR="00D11386" w:rsidRDefault="00D11386" w:rsidP="0074719A">
      <w:pPr>
        <w:pStyle w:val="a5"/>
        <w:numPr>
          <w:ilvl w:val="0"/>
          <w:numId w:val="48"/>
        </w:numPr>
        <w:ind w:left="0" w:firstLine="708"/>
        <w:rPr>
          <w:szCs w:val="28"/>
        </w:rPr>
      </w:pPr>
      <w:r w:rsidRPr="0069277A">
        <w:rPr>
          <w:szCs w:val="28"/>
        </w:rPr>
        <w:t xml:space="preserve">Визначено 3 групи адміністративних територій з диференційованими заходами впливу: І група з високим рівнем коефіцієнта досягнення результатів (ККО ≥ 0,80), що свідчить про достатньо ефективну діяльність перинатальної служби, ІІ група з вище середнього рівнем (ККО 0,7-0,79), що потребує посилення окремих </w:t>
      </w:r>
      <w:r w:rsidRPr="0069277A">
        <w:rPr>
          <w:szCs w:val="28"/>
        </w:rPr>
        <w:lastRenderedPageBreak/>
        <w:t>компонентів діяльності закладів і установ перинатальної служби і ІІІ група проблемних регіонів з середнім рівнем (ККО 0,6-0,69), що потребують прийняття управлінських рішень з метою забезпечення більш ефективної діяльності закла</w:t>
      </w:r>
      <w:r>
        <w:rPr>
          <w:szCs w:val="28"/>
        </w:rPr>
        <w:t>дів  перинатальної служби.</w:t>
      </w:r>
    </w:p>
    <w:p w:rsidR="007773A1" w:rsidRDefault="007773A1" w:rsidP="007773A1">
      <w:pPr>
        <w:widowControl w:val="0"/>
        <w:rPr>
          <w:b/>
          <w:szCs w:val="28"/>
        </w:rPr>
      </w:pPr>
    </w:p>
    <w:p w:rsidR="003B67F9" w:rsidRPr="007773A1" w:rsidRDefault="00201531" w:rsidP="007773A1">
      <w:pPr>
        <w:widowControl w:val="0"/>
        <w:rPr>
          <w:b/>
          <w:szCs w:val="28"/>
        </w:rPr>
      </w:pPr>
      <w:r w:rsidRPr="00006A39">
        <w:rPr>
          <w:b/>
          <w:szCs w:val="28"/>
        </w:rPr>
        <w:t>Список особист</w:t>
      </w:r>
      <w:r w:rsidR="007773A1">
        <w:rPr>
          <w:b/>
          <w:szCs w:val="28"/>
        </w:rPr>
        <w:t>их робіт за матеріалами розділу</w:t>
      </w:r>
    </w:p>
    <w:p w:rsidR="007773A1" w:rsidRDefault="007773A1" w:rsidP="0074719A">
      <w:pPr>
        <w:widowControl w:val="0"/>
        <w:numPr>
          <w:ilvl w:val="0"/>
          <w:numId w:val="49"/>
        </w:numPr>
        <w:contextualSpacing/>
        <w:rPr>
          <w:rFonts w:eastAsia="Calibri"/>
          <w:szCs w:val="28"/>
        </w:rPr>
      </w:pPr>
      <w:r w:rsidRPr="00231499">
        <w:rPr>
          <w:rFonts w:eastAsia="Calibri"/>
          <w:szCs w:val="28"/>
        </w:rPr>
        <w:t xml:space="preserve">Дудіна О. О., Дудник С. В. Методологічні підходи до визначення показників ефективності діяльності закладів перинатальної допомоги. Економіка і право охорони здоров’я. 2018. № 2 (8). С. 23–31. </w:t>
      </w:r>
    </w:p>
    <w:p w:rsidR="0080283D" w:rsidRPr="0080283D" w:rsidRDefault="00092D5D" w:rsidP="0074719A">
      <w:pPr>
        <w:widowControl w:val="0"/>
        <w:numPr>
          <w:ilvl w:val="0"/>
          <w:numId w:val="49"/>
        </w:numPr>
        <w:contextualSpacing/>
        <w:rPr>
          <w:rFonts w:eastAsia="Calibri"/>
          <w:szCs w:val="28"/>
        </w:rPr>
      </w:pPr>
      <w:r w:rsidRPr="0080283D">
        <w:rPr>
          <w:rFonts w:eastAsia="Calibri"/>
          <w:szCs w:val="28"/>
        </w:rPr>
        <w:t xml:space="preserve">Слабкий Г. О., Дудіна О. О., Дудник С. В. Методологія комплексної оцінки стану перинатальної допомоги. Перинатология и педиатрия. Украина. 2019. № 1 (77). С. 36–41. </w:t>
      </w:r>
    </w:p>
    <w:p w:rsidR="00092D5D" w:rsidRPr="0080283D" w:rsidRDefault="00092D5D" w:rsidP="0074719A">
      <w:pPr>
        <w:widowControl w:val="0"/>
        <w:numPr>
          <w:ilvl w:val="0"/>
          <w:numId w:val="49"/>
        </w:numPr>
        <w:contextualSpacing/>
        <w:rPr>
          <w:rFonts w:eastAsia="Calibri"/>
          <w:szCs w:val="28"/>
        </w:rPr>
      </w:pPr>
      <w:r w:rsidRPr="0080283D">
        <w:rPr>
          <w:rFonts w:eastAsia="Calibri"/>
          <w:szCs w:val="28"/>
        </w:rPr>
        <w:t xml:space="preserve">Слабкий Г. О., Дудіна О. О., Дудник С. В. Комплексна оцінка діяльності закладів перинатальної допомоги України. Україна. Здоров’я нації. 2019. № 1 (54). С. 79–87. </w:t>
      </w:r>
    </w:p>
    <w:p w:rsidR="007773A1" w:rsidRPr="0080283D" w:rsidRDefault="003E0E63" w:rsidP="007773A1">
      <w:pPr>
        <w:widowControl w:val="0"/>
        <w:numPr>
          <w:ilvl w:val="0"/>
          <w:numId w:val="49"/>
        </w:numPr>
        <w:contextualSpacing/>
        <w:rPr>
          <w:rFonts w:eastAsia="Calibri"/>
          <w:szCs w:val="28"/>
        </w:rPr>
      </w:pPr>
      <w:r w:rsidRPr="0080283D">
        <w:rPr>
          <w:rFonts w:eastAsia="Calibri"/>
          <w:szCs w:val="28"/>
        </w:rPr>
        <w:t>Дудіна О. О., Слабкий Г. О., Дудник С. В. Комплексна оцінка діяльності закладів та установ перинатальної допомоги: метод. рекомендації. Київ, 2019. 34</w:t>
      </w:r>
      <w:r w:rsidR="0080283D">
        <w:rPr>
          <w:rFonts w:eastAsia="Calibri"/>
          <w:szCs w:val="28"/>
          <w:lang w:val="ru-RU"/>
        </w:rPr>
        <w:t> </w:t>
      </w:r>
      <w:r w:rsidRPr="0080283D">
        <w:rPr>
          <w:rFonts w:eastAsia="Calibri"/>
          <w:szCs w:val="28"/>
        </w:rPr>
        <w:t xml:space="preserve">с. </w:t>
      </w:r>
    </w:p>
    <w:p w:rsidR="007773A1" w:rsidRPr="007773A1" w:rsidRDefault="007773A1" w:rsidP="007773A1">
      <w:pPr>
        <w:widowControl w:val="0"/>
        <w:contextualSpacing/>
        <w:rPr>
          <w:rFonts w:eastAsia="Calibri"/>
          <w:szCs w:val="28"/>
        </w:rPr>
        <w:sectPr w:rsidR="007773A1" w:rsidRPr="007773A1" w:rsidSect="00E242B0">
          <w:pgSz w:w="11906" w:h="16838"/>
          <w:pgMar w:top="1134" w:right="567" w:bottom="1134" w:left="1134" w:header="708" w:footer="708" w:gutter="0"/>
          <w:cols w:space="708"/>
          <w:docGrid w:linePitch="360"/>
        </w:sectPr>
      </w:pPr>
    </w:p>
    <w:p w:rsidR="00EC25E9" w:rsidRPr="00006A39" w:rsidRDefault="00EC25E9" w:rsidP="00721203">
      <w:pPr>
        <w:widowControl w:val="0"/>
        <w:jc w:val="center"/>
        <w:rPr>
          <w:b/>
          <w:szCs w:val="28"/>
        </w:rPr>
      </w:pPr>
      <w:r w:rsidRPr="00006A39">
        <w:rPr>
          <w:b/>
          <w:szCs w:val="28"/>
        </w:rPr>
        <w:lastRenderedPageBreak/>
        <w:t>РОЗДІЛ 8</w:t>
      </w:r>
    </w:p>
    <w:p w:rsidR="0064639E" w:rsidRPr="0064639E" w:rsidRDefault="0064639E" w:rsidP="0064639E">
      <w:pPr>
        <w:widowControl w:val="0"/>
        <w:jc w:val="center"/>
        <w:rPr>
          <w:rFonts w:eastAsia="Calibri"/>
          <w:b/>
          <w:szCs w:val="28"/>
        </w:rPr>
      </w:pPr>
      <w:r w:rsidRPr="0064639E">
        <w:rPr>
          <w:rFonts w:eastAsia="Calibri"/>
          <w:b/>
          <w:szCs w:val="28"/>
        </w:rPr>
        <w:t xml:space="preserve">НАУКОВЕ ОБГРУНТУВАННЯ </w:t>
      </w:r>
      <w:r w:rsidR="00F159A2">
        <w:rPr>
          <w:rFonts w:eastAsia="Calibri"/>
          <w:b/>
          <w:szCs w:val="28"/>
        </w:rPr>
        <w:t xml:space="preserve">ІННОВАЦІЙНОЇ </w:t>
      </w:r>
      <w:r w:rsidRPr="0064639E">
        <w:rPr>
          <w:rFonts w:eastAsia="Calibri"/>
          <w:b/>
          <w:szCs w:val="28"/>
        </w:rPr>
        <w:t xml:space="preserve">СИСТЕМИ </w:t>
      </w:r>
      <w:r w:rsidR="00F159A2">
        <w:rPr>
          <w:rFonts w:eastAsia="Calibri"/>
          <w:b/>
          <w:szCs w:val="28"/>
        </w:rPr>
        <w:t xml:space="preserve">МЕДИКО-СОЦІАЛЬНОЇ ДОПОМОГИ ДІТЯМ </w:t>
      </w:r>
      <w:r w:rsidRPr="0064639E">
        <w:rPr>
          <w:rFonts w:eastAsia="Calibri"/>
          <w:b/>
          <w:szCs w:val="28"/>
        </w:rPr>
        <w:t xml:space="preserve">ДО 5 РОКІВ </w:t>
      </w:r>
      <w:r w:rsidR="00F159A2">
        <w:rPr>
          <w:rFonts w:eastAsia="Calibri"/>
          <w:b/>
          <w:szCs w:val="28"/>
        </w:rPr>
        <w:t xml:space="preserve">ЖИТТЯ </w:t>
      </w:r>
      <w:r w:rsidRPr="0064639E">
        <w:rPr>
          <w:rFonts w:eastAsia="Calibri"/>
          <w:b/>
          <w:szCs w:val="28"/>
        </w:rPr>
        <w:t>В УКРАЇНІ</w:t>
      </w:r>
    </w:p>
    <w:p w:rsidR="00EC25E9" w:rsidRPr="00006A39" w:rsidRDefault="00EC25E9" w:rsidP="00721203">
      <w:pPr>
        <w:widowControl w:val="0"/>
        <w:jc w:val="center"/>
        <w:rPr>
          <w:b/>
          <w:szCs w:val="28"/>
        </w:rPr>
      </w:pPr>
    </w:p>
    <w:p w:rsidR="00EC25E9" w:rsidRPr="00006A39" w:rsidRDefault="00EC25E9" w:rsidP="00721203">
      <w:pPr>
        <w:widowControl w:val="0"/>
        <w:ind w:firstLine="709"/>
        <w:rPr>
          <w:b/>
          <w:szCs w:val="28"/>
        </w:rPr>
      </w:pPr>
      <w:r w:rsidRPr="00006A39">
        <w:rPr>
          <w:rFonts w:eastAsia="Times New Roman"/>
          <w:szCs w:val="28"/>
        </w:rPr>
        <w:t xml:space="preserve">Основною передумовою забезпечення громадського здоров’я та одним </w:t>
      </w:r>
      <w:r w:rsidR="00A52A71">
        <w:rPr>
          <w:rFonts w:eastAsia="Times New Roman"/>
          <w:szCs w:val="28"/>
        </w:rPr>
        <w:t>і</w:t>
      </w:r>
      <w:r w:rsidRPr="00006A39">
        <w:rPr>
          <w:rFonts w:eastAsia="Times New Roman"/>
          <w:szCs w:val="28"/>
        </w:rPr>
        <w:t>з основних кри</w:t>
      </w:r>
      <w:r w:rsidR="00A52A71">
        <w:rPr>
          <w:rFonts w:eastAsia="Times New Roman"/>
          <w:szCs w:val="28"/>
        </w:rPr>
        <w:t>теріїв ефективності соціальної та</w:t>
      </w:r>
      <w:r w:rsidRPr="00006A39">
        <w:rPr>
          <w:rFonts w:eastAsia="Times New Roman"/>
          <w:szCs w:val="28"/>
        </w:rPr>
        <w:t xml:space="preserve"> економічної політики держави, чинником її національної безпеки є належний рівень здоров’я матерів і дітей. </w:t>
      </w:r>
      <w:r w:rsidRPr="00006A39">
        <w:rPr>
          <w:rFonts w:eastAsia="Times New Roman"/>
          <w:color w:val="000000"/>
          <w:szCs w:val="28"/>
        </w:rPr>
        <w:t xml:space="preserve">В умовах </w:t>
      </w:r>
      <w:r w:rsidRPr="00006A39">
        <w:rPr>
          <w:rFonts w:eastAsia="Times New Roman"/>
          <w:noProof/>
          <w:szCs w:val="28"/>
        </w:rPr>
        <w:t xml:space="preserve">депопуляції, що зберігається, </w:t>
      </w:r>
      <w:r w:rsidRPr="00006A39">
        <w:rPr>
          <w:rFonts w:eastAsia="Times New Roman"/>
          <w:color w:val="000000"/>
          <w:szCs w:val="28"/>
        </w:rPr>
        <w:t xml:space="preserve">прогнозованого подальшого зниження чисельності населення України найважливішою проблемою демографічної політики є відтворення населення, основу якого формує народжуваність, скорочення дитячої смертності, дитячої інвалідності, збереження репродуктивного здоров’я населення, як соціально-біологічного фактору його відтворення, підвищення репродуктивного потенціалу і збереження здоров'я покоління, що </w:t>
      </w:r>
      <w:r w:rsidRPr="00006A39">
        <w:rPr>
          <w:rFonts w:eastAsia="Times New Roman"/>
          <w:szCs w:val="28"/>
        </w:rPr>
        <w:t>народжується [</w:t>
      </w:r>
      <w:r w:rsidR="00F57AD9">
        <w:rPr>
          <w:rFonts w:eastAsia="Times New Roman"/>
          <w:szCs w:val="28"/>
        </w:rPr>
        <w:t xml:space="preserve">19, 20, 29, 34, </w:t>
      </w:r>
      <w:r w:rsidR="0099591E">
        <w:rPr>
          <w:rFonts w:eastAsia="Times New Roman"/>
          <w:szCs w:val="28"/>
        </w:rPr>
        <w:t xml:space="preserve">41, </w:t>
      </w:r>
      <w:r w:rsidR="00BE6A91">
        <w:rPr>
          <w:rFonts w:eastAsia="Times New Roman"/>
          <w:szCs w:val="28"/>
        </w:rPr>
        <w:t>360-</w:t>
      </w:r>
      <w:r w:rsidR="000F2EEF" w:rsidRPr="000F2EEF">
        <w:rPr>
          <w:rFonts w:eastAsia="Times New Roman"/>
          <w:szCs w:val="28"/>
        </w:rPr>
        <w:t>362</w:t>
      </w:r>
      <w:r w:rsidRPr="00006A39">
        <w:rPr>
          <w:rFonts w:eastAsia="Times New Roman"/>
          <w:szCs w:val="28"/>
        </w:rPr>
        <w:t>].</w:t>
      </w:r>
    </w:p>
    <w:p w:rsidR="00EC25E9" w:rsidRPr="00006A39" w:rsidRDefault="00EC25E9" w:rsidP="00721203">
      <w:pPr>
        <w:widowControl w:val="0"/>
        <w:ind w:firstLine="709"/>
        <w:rPr>
          <w:b/>
          <w:szCs w:val="28"/>
        </w:rPr>
      </w:pPr>
      <w:r w:rsidRPr="00006A39">
        <w:rPr>
          <w:rFonts w:eastAsia="Times New Roman"/>
          <w:color w:val="000000"/>
          <w:szCs w:val="28"/>
        </w:rPr>
        <w:t xml:space="preserve">Концептуальні підходи до відтворення здорових поколінь тісно пов'язані з експертизою соціальної політики по зміцненню репродуктивного здоров'я жінок, </w:t>
      </w:r>
      <w:r w:rsidRPr="00006A39">
        <w:rPr>
          <w:rFonts w:eastAsia="Times New Roman"/>
          <w:szCs w:val="28"/>
        </w:rPr>
        <w:t xml:space="preserve">пошуком шляхів збереження репродуктивного потенціалу населення, зниження репродуктивних втрат в сучасних умовах, запобігання випадків дитячої смертності, </w:t>
      </w:r>
      <w:r w:rsidRPr="00006A39">
        <w:rPr>
          <w:rFonts w:eastAsia="Times New Roman"/>
          <w:color w:val="000000"/>
          <w:szCs w:val="28"/>
        </w:rPr>
        <w:t>поліпшенням здоров’я нових народжуваних поколінь та дитячого населення в цілому.</w:t>
      </w:r>
      <w:r w:rsidRPr="00006A39">
        <w:rPr>
          <w:rFonts w:eastAsia="Times New Roman"/>
          <w:sz w:val="24"/>
          <w:szCs w:val="24"/>
        </w:rPr>
        <w:t xml:space="preserve"> </w:t>
      </w:r>
      <w:r w:rsidRPr="00006A39">
        <w:rPr>
          <w:rFonts w:eastAsia="Times New Roman"/>
          <w:szCs w:val="28"/>
        </w:rPr>
        <w:t xml:space="preserve">Саме тому, протягом останніх років держава приділяє велику увагу розвитку і вдосконаленню медичної допомоги матері та дитини. В цілому стратегічні напрямки її розвитку в Україні, включаючи перинатальну допомогу, передбачають удосконалення нормативно-правових засад підвищення якості та доступності, подальший розвиток служб педіатричної допомоги, репродуктивного здоров’я, удосконалення структури родопомічних і дитячих закладів та першочергове оснащення їх лікувально-діагностичною апаратурою, регіоналізацію перинатальної допомоги, впровадження у діяльність закладів служби сучасних медико-організаційних технологій і систем, які сприятимуть зниженню дитячої смертності, збереженню та зміцненню здоров’я дітей, жінок, забезпеченню народження здорових дітей </w:t>
      </w:r>
      <w:r w:rsidRPr="003E01D3">
        <w:rPr>
          <w:rFonts w:eastAsia="Times New Roman"/>
          <w:szCs w:val="28"/>
        </w:rPr>
        <w:t>[</w:t>
      </w:r>
      <w:r w:rsidR="00D56E65">
        <w:rPr>
          <w:rFonts w:eastAsia="Times New Roman"/>
          <w:szCs w:val="28"/>
        </w:rPr>
        <w:t>14, 34</w:t>
      </w:r>
      <w:r w:rsidR="006D019C">
        <w:rPr>
          <w:rFonts w:eastAsia="Times New Roman"/>
          <w:szCs w:val="28"/>
        </w:rPr>
        <w:t xml:space="preserve">, </w:t>
      </w:r>
      <w:r w:rsidR="003E01D3" w:rsidRPr="003E01D3">
        <w:rPr>
          <w:rFonts w:eastAsia="Times New Roman"/>
          <w:szCs w:val="28"/>
        </w:rPr>
        <w:t>291,</w:t>
      </w:r>
      <w:r w:rsidR="00D076A9">
        <w:rPr>
          <w:rFonts w:eastAsia="Times New Roman"/>
          <w:szCs w:val="28"/>
        </w:rPr>
        <w:t xml:space="preserve"> </w:t>
      </w:r>
      <w:r w:rsidR="004B7D9A">
        <w:rPr>
          <w:rFonts w:eastAsia="Times New Roman"/>
          <w:szCs w:val="28"/>
        </w:rPr>
        <w:t xml:space="preserve">318, 319, </w:t>
      </w:r>
      <w:r w:rsidR="00D076A9">
        <w:rPr>
          <w:rFonts w:eastAsia="Times New Roman"/>
          <w:szCs w:val="28"/>
        </w:rPr>
        <w:t xml:space="preserve">344, </w:t>
      </w:r>
      <w:r w:rsidR="004E3E26">
        <w:rPr>
          <w:rFonts w:eastAsia="Times New Roman"/>
          <w:szCs w:val="28"/>
        </w:rPr>
        <w:t xml:space="preserve">348, </w:t>
      </w:r>
      <w:r w:rsidR="006D019C">
        <w:rPr>
          <w:rFonts w:eastAsia="Times New Roman"/>
          <w:szCs w:val="28"/>
        </w:rPr>
        <w:t xml:space="preserve">349, </w:t>
      </w:r>
      <w:r w:rsidR="006D019C" w:rsidRPr="006D019C">
        <w:rPr>
          <w:rFonts w:eastAsia="Times New Roman"/>
          <w:szCs w:val="28"/>
        </w:rPr>
        <w:t>363</w:t>
      </w:r>
      <w:r w:rsidR="004B7D9A">
        <w:rPr>
          <w:rFonts w:eastAsia="Times New Roman"/>
          <w:szCs w:val="28"/>
        </w:rPr>
        <w:t>- 369</w:t>
      </w:r>
      <w:r w:rsidR="009E5E93" w:rsidRPr="009E5E93">
        <w:rPr>
          <w:rFonts w:eastAsia="Times New Roman"/>
          <w:szCs w:val="28"/>
        </w:rPr>
        <w:t>, 370</w:t>
      </w:r>
      <w:r w:rsidRPr="00006A39">
        <w:rPr>
          <w:rFonts w:eastAsia="Times New Roman"/>
          <w:szCs w:val="28"/>
        </w:rPr>
        <w:t>].</w:t>
      </w:r>
    </w:p>
    <w:p w:rsidR="00EC25E9" w:rsidRPr="008845B7" w:rsidRDefault="00EC25E9" w:rsidP="008845B7">
      <w:pPr>
        <w:widowControl w:val="0"/>
        <w:ind w:firstLine="709"/>
        <w:rPr>
          <w:b/>
          <w:color w:val="FF0000"/>
          <w:szCs w:val="28"/>
        </w:rPr>
      </w:pPr>
      <w:r w:rsidRPr="00006A39">
        <w:rPr>
          <w:szCs w:val="28"/>
        </w:rPr>
        <w:lastRenderedPageBreak/>
        <w:t xml:space="preserve">Завданням даного розділу стало обґрунтування </w:t>
      </w:r>
      <w:r w:rsidR="008D5F5E">
        <w:rPr>
          <w:szCs w:val="28"/>
        </w:rPr>
        <w:t xml:space="preserve">та розробка </w:t>
      </w:r>
      <w:r w:rsidR="00AA37A1" w:rsidRPr="008D5F5E">
        <w:rPr>
          <w:szCs w:val="28"/>
        </w:rPr>
        <w:t>інноваційної системи медико-соціальної допомоги дітям до 5 років</w:t>
      </w:r>
      <w:r w:rsidR="008D5F5E">
        <w:rPr>
          <w:szCs w:val="28"/>
        </w:rPr>
        <w:t xml:space="preserve"> життя,</w:t>
      </w:r>
      <w:r w:rsidRPr="008D5F5E">
        <w:rPr>
          <w:szCs w:val="28"/>
        </w:rPr>
        <w:t xml:space="preserve"> </w:t>
      </w:r>
      <w:r w:rsidRPr="00006A39">
        <w:rPr>
          <w:szCs w:val="28"/>
        </w:rPr>
        <w:t xml:space="preserve">основною метою якої є </w:t>
      </w:r>
      <w:r w:rsidR="008D5F5E">
        <w:rPr>
          <w:szCs w:val="28"/>
        </w:rPr>
        <w:t>сприяння зниженню</w:t>
      </w:r>
      <w:r w:rsidRPr="00006A39">
        <w:rPr>
          <w:szCs w:val="28"/>
        </w:rPr>
        <w:t xml:space="preserve"> рівня дитячої смертності, попередженн</w:t>
      </w:r>
      <w:r w:rsidR="008D5F5E">
        <w:rPr>
          <w:szCs w:val="28"/>
        </w:rPr>
        <w:t>я інвалідності, збереження</w:t>
      </w:r>
      <w:r w:rsidRPr="00006A39">
        <w:rPr>
          <w:szCs w:val="28"/>
        </w:rPr>
        <w:t xml:space="preserve"> здоров’я дитячого населення країни через підвищення доступності, якості та координованої роботи служб з надання медичної допомоги матері та дитини на всіх </w:t>
      </w:r>
      <w:r w:rsidR="00BB67E8">
        <w:rPr>
          <w:szCs w:val="28"/>
        </w:rPr>
        <w:t>її рівнях</w:t>
      </w:r>
      <w:r w:rsidRPr="00006A39">
        <w:rPr>
          <w:szCs w:val="28"/>
        </w:rPr>
        <w:t>, впровадження медико-організаційних технологій, раціональне використання ресурсів, а також</w:t>
      </w:r>
      <w:r w:rsidRPr="00006A39">
        <w:t xml:space="preserve"> </w:t>
      </w:r>
      <w:r w:rsidR="00BB67E8">
        <w:rPr>
          <w:szCs w:val="28"/>
        </w:rPr>
        <w:t>комплексної оцінки</w:t>
      </w:r>
      <w:r w:rsidRPr="00006A39">
        <w:rPr>
          <w:szCs w:val="28"/>
        </w:rPr>
        <w:t xml:space="preserve"> стану  перинатальної  допомоги  в  Україні та за її регіонами.</w:t>
      </w:r>
    </w:p>
    <w:p w:rsidR="00EC25E9" w:rsidRPr="00006A39" w:rsidRDefault="00EC25E9" w:rsidP="008845B7">
      <w:pPr>
        <w:widowControl w:val="0"/>
        <w:spacing w:before="240" w:after="240"/>
        <w:ind w:firstLine="708"/>
        <w:rPr>
          <w:b/>
          <w:szCs w:val="28"/>
        </w:rPr>
      </w:pPr>
      <w:r w:rsidRPr="00006A39">
        <w:rPr>
          <w:b/>
          <w:szCs w:val="28"/>
        </w:rPr>
        <w:t xml:space="preserve">8.1. Концептуальні підходи до </w:t>
      </w:r>
      <w:r w:rsidR="001D1972" w:rsidRPr="00006A39">
        <w:rPr>
          <w:b/>
          <w:szCs w:val="28"/>
        </w:rPr>
        <w:t>обґрунтування</w:t>
      </w:r>
      <w:r w:rsidRPr="00006A39">
        <w:rPr>
          <w:b/>
          <w:szCs w:val="28"/>
        </w:rPr>
        <w:t xml:space="preserve"> </w:t>
      </w:r>
      <w:r w:rsidR="0064639E">
        <w:rPr>
          <w:b/>
          <w:szCs w:val="28"/>
        </w:rPr>
        <w:t>інноваційної системи</w:t>
      </w:r>
      <w:r w:rsidR="0064639E" w:rsidRPr="0064639E">
        <w:rPr>
          <w:b/>
          <w:szCs w:val="28"/>
        </w:rPr>
        <w:t xml:space="preserve"> медико-соціальної допомоги дітям до 5 років</w:t>
      </w:r>
      <w:r w:rsidR="00345934">
        <w:rPr>
          <w:b/>
          <w:szCs w:val="28"/>
        </w:rPr>
        <w:t xml:space="preserve"> життя</w:t>
      </w:r>
    </w:p>
    <w:p w:rsidR="00EC25E9" w:rsidRPr="00006A39" w:rsidRDefault="00EC25E9" w:rsidP="00721203">
      <w:pPr>
        <w:widowControl w:val="0"/>
        <w:tabs>
          <w:tab w:val="left" w:pos="523"/>
        </w:tabs>
        <w:ind w:firstLine="709"/>
        <w:rPr>
          <w:szCs w:val="28"/>
        </w:rPr>
      </w:pPr>
      <w:r w:rsidRPr="00006A39">
        <w:rPr>
          <w:szCs w:val="28"/>
        </w:rPr>
        <w:t xml:space="preserve">Науковим підґрунтям для розробки </w:t>
      </w:r>
      <w:r w:rsidR="00A95A17">
        <w:rPr>
          <w:szCs w:val="28"/>
        </w:rPr>
        <w:t>інноваційної системи</w:t>
      </w:r>
      <w:r w:rsidR="00CE6BFD">
        <w:rPr>
          <w:szCs w:val="28"/>
        </w:rPr>
        <w:t xml:space="preserve"> </w:t>
      </w:r>
      <w:r w:rsidR="00A95A17">
        <w:rPr>
          <w:szCs w:val="28"/>
        </w:rPr>
        <w:t>медико-соціальної допомоги дітям до 5 років життя</w:t>
      </w:r>
      <w:r w:rsidRPr="00006A39">
        <w:rPr>
          <w:szCs w:val="28"/>
        </w:rPr>
        <w:t xml:space="preserve"> стали результати проведеного власного дослідження: результати аналізу медико-демографічних показників дитячого населення на державному та регіональному рівнях, смертності дітей поза стаціонару, лікарняної летальності, аналіз результатів соціологічного дослідження (опитування) серед</w:t>
      </w:r>
      <w:r w:rsidR="00E4360F">
        <w:rPr>
          <w:szCs w:val="28"/>
        </w:rPr>
        <w:t xml:space="preserve"> батьків і лікарів </w:t>
      </w:r>
      <w:r w:rsidR="00DE29EB">
        <w:rPr>
          <w:szCs w:val="28"/>
        </w:rPr>
        <w:t>ЗП/С</w:t>
      </w:r>
      <w:r w:rsidR="00D0704C">
        <w:rPr>
          <w:szCs w:val="28"/>
        </w:rPr>
        <w:t>Л</w:t>
      </w:r>
      <w:r w:rsidRPr="00006A39">
        <w:rPr>
          <w:szCs w:val="28"/>
        </w:rPr>
        <w:t xml:space="preserve"> щодо збереження здоров’я дітей та попередження  їх передчасної смерті, результати комплексної оцінки стану перинатальної допомоги в Україні та за її регіонами, організації та стану надання медичної допомоги дитячому населенню на всіх рівнях її надання на державному та регіональному рівнях. </w:t>
      </w:r>
    </w:p>
    <w:p w:rsidR="00EC25E9" w:rsidRPr="004C47B1" w:rsidRDefault="005C10E3" w:rsidP="00721203">
      <w:pPr>
        <w:widowControl w:val="0"/>
        <w:ind w:firstLine="708"/>
        <w:rPr>
          <w:szCs w:val="28"/>
          <w:lang w:val="ru-RU"/>
        </w:rPr>
      </w:pPr>
      <w:r w:rsidRPr="00006A39">
        <w:rPr>
          <w:szCs w:val="28"/>
        </w:rPr>
        <w:t>У</w:t>
      </w:r>
      <w:r w:rsidR="00EC25E9" w:rsidRPr="00006A39">
        <w:rPr>
          <w:szCs w:val="28"/>
        </w:rPr>
        <w:t xml:space="preserve"> ході проведеного дослідження встановлено комплекс проблем в організації медичної допо</w:t>
      </w:r>
      <w:r w:rsidR="003231C8">
        <w:rPr>
          <w:szCs w:val="28"/>
        </w:rPr>
        <w:t>моги дитячому населенню України</w:t>
      </w:r>
      <w:r w:rsidRPr="00006A39">
        <w:rPr>
          <w:szCs w:val="28"/>
        </w:rPr>
        <w:t>, які ми</w:t>
      </w:r>
      <w:r w:rsidR="00EC25E9" w:rsidRPr="00006A39">
        <w:rPr>
          <w:szCs w:val="28"/>
        </w:rPr>
        <w:t xml:space="preserve"> </w:t>
      </w:r>
      <w:r w:rsidRPr="00006A39">
        <w:rPr>
          <w:szCs w:val="28"/>
        </w:rPr>
        <w:t>с</w:t>
      </w:r>
      <w:r w:rsidR="00EC25E9" w:rsidRPr="00006A39">
        <w:rPr>
          <w:szCs w:val="28"/>
        </w:rPr>
        <w:t>труктурно розділ</w:t>
      </w:r>
      <w:r w:rsidRPr="00006A39">
        <w:rPr>
          <w:szCs w:val="28"/>
        </w:rPr>
        <w:t>или</w:t>
      </w:r>
      <w:r w:rsidR="00EC25E9" w:rsidRPr="00006A39">
        <w:rPr>
          <w:szCs w:val="28"/>
        </w:rPr>
        <w:t xml:space="preserve"> на </w:t>
      </w:r>
      <w:r w:rsidRPr="00006A39">
        <w:rPr>
          <w:szCs w:val="28"/>
        </w:rPr>
        <w:t>такі</w:t>
      </w:r>
      <w:r w:rsidR="00EC25E9" w:rsidRPr="00006A39">
        <w:rPr>
          <w:szCs w:val="28"/>
        </w:rPr>
        <w:t xml:space="preserve"> групи.</w:t>
      </w:r>
    </w:p>
    <w:p w:rsidR="0050341B" w:rsidRPr="0050341B" w:rsidRDefault="0050341B" w:rsidP="0050341B">
      <w:pPr>
        <w:widowControl w:val="0"/>
        <w:ind w:firstLine="708"/>
        <w:rPr>
          <w:rFonts w:eastAsia="Calibri"/>
          <w:color w:val="000000"/>
          <w:szCs w:val="28"/>
        </w:rPr>
      </w:pPr>
      <w:r w:rsidRPr="0050341B">
        <w:rPr>
          <w:rFonts w:eastAsia="Calibri"/>
          <w:i/>
          <w:szCs w:val="28"/>
        </w:rPr>
        <w:t>Перша група.</w:t>
      </w:r>
      <w:r w:rsidRPr="0050341B">
        <w:rPr>
          <w:rFonts w:eastAsia="Calibri"/>
          <w:i/>
          <w:color w:val="FF0000"/>
          <w:szCs w:val="28"/>
        </w:rPr>
        <w:t xml:space="preserve"> </w:t>
      </w:r>
      <w:r w:rsidRPr="0050341B">
        <w:rPr>
          <w:rFonts w:eastAsia="Calibri"/>
          <w:szCs w:val="28"/>
        </w:rPr>
        <w:t xml:space="preserve">Дана група проблем пов’язана із негативною динамікою здоров’я дитячого населення, оскільки: залишаються високими рівні </w:t>
      </w:r>
      <w:r w:rsidRPr="0050341B">
        <w:rPr>
          <w:rFonts w:eastAsia="Times New Roman"/>
          <w:color w:val="000000"/>
          <w:szCs w:val="28"/>
        </w:rPr>
        <w:t xml:space="preserve">захворюваності і поширеності хвороб дитячого населення України при нелінійній динаміці </w:t>
      </w:r>
      <w:r w:rsidR="00A55155">
        <w:rPr>
          <w:rFonts w:eastAsia="Times New Roman"/>
          <w:color w:val="000000"/>
          <w:szCs w:val="28"/>
        </w:rPr>
        <w:t xml:space="preserve">їх зниження серед дітей у віці </w:t>
      </w:r>
      <w:r w:rsidRPr="0050341B">
        <w:rPr>
          <w:rFonts w:eastAsia="Times New Roman"/>
          <w:color w:val="000000"/>
          <w:szCs w:val="28"/>
        </w:rPr>
        <w:t xml:space="preserve">0-6 років (протягом  2013-2017 рр. рівень захворюваності дітей достовірно знизився на 5,8% з 1545,44‰ до 1455,94‰ </w:t>
      </w:r>
      <w:r w:rsidRPr="0050341B">
        <w:rPr>
          <w:rFonts w:eastAsia="Times New Roman"/>
          <w:bCs/>
          <w:color w:val="000000"/>
          <w:szCs w:val="28"/>
        </w:rPr>
        <w:t xml:space="preserve">(ВШ 0,942 (95% ДІ 0,940-0,944), р&lt;0,001), поширеності хвороб аналогічно на 5,8% (з </w:t>
      </w:r>
      <w:r w:rsidRPr="0050341B">
        <w:rPr>
          <w:rFonts w:eastAsia="Times New Roman"/>
          <w:bCs/>
          <w:color w:val="000000"/>
          <w:szCs w:val="28"/>
        </w:rPr>
        <w:lastRenderedPageBreak/>
        <w:t>1780,24 до 1677,07 відповідно)</w:t>
      </w:r>
      <w:r w:rsidR="00E4360F">
        <w:rPr>
          <w:rFonts w:eastAsia="Times New Roman"/>
          <w:color w:val="000000"/>
          <w:szCs w:val="28"/>
        </w:rPr>
        <w:t xml:space="preserve">, а також дітей </w:t>
      </w:r>
      <w:r w:rsidRPr="0050341B">
        <w:rPr>
          <w:rFonts w:eastAsia="Times New Roman"/>
          <w:color w:val="000000"/>
          <w:szCs w:val="28"/>
        </w:rPr>
        <w:t>до 1-го року життя (1454,45‰ у 2014р., 1495,37‰ у 2017р і 1414,51‰ у 2018р.);</w:t>
      </w:r>
      <w:r w:rsidRPr="0050341B">
        <w:rPr>
          <w:rFonts w:eastAsia="Times New Roman"/>
          <w:color w:val="FF0000"/>
          <w:szCs w:val="28"/>
        </w:rPr>
        <w:t xml:space="preserve"> </w:t>
      </w:r>
      <w:r w:rsidRPr="0050341B">
        <w:rPr>
          <w:rFonts w:eastAsia="Times New Roman"/>
          <w:color w:val="000000"/>
          <w:szCs w:val="28"/>
        </w:rPr>
        <w:t xml:space="preserve">зростає рівень народження хворими й захворілими новонароджених в Україні </w:t>
      </w:r>
      <w:r w:rsidRPr="0050341B">
        <w:rPr>
          <w:rFonts w:eastAsia="Calibri"/>
          <w:color w:val="000000"/>
          <w:szCs w:val="28"/>
        </w:rPr>
        <w:t>(з 149,84‰ у 2014 р. до 165,59‰ у 2018 р., 95% ДІ 147,58-176,14)</w:t>
      </w:r>
      <w:r w:rsidRPr="0050341B">
        <w:rPr>
          <w:rFonts w:eastAsia="Times New Roman"/>
          <w:color w:val="000000"/>
          <w:szCs w:val="28"/>
        </w:rPr>
        <w:t>, рівень народження хворими і захворілими доношених новонароджених (з 119,4‰ до 129,57‰ відповідно, 95% ДІ 116,38-138,09), а також недоношених новонароджених (з 769,32‰ до 818,27 ‰ відповідно, 95% ДІ 737,96-860,19);</w:t>
      </w:r>
      <w:r w:rsidRPr="0050341B">
        <w:rPr>
          <w:rFonts w:eastAsia="Calibri"/>
          <w:color w:val="000000"/>
          <w:szCs w:val="28"/>
        </w:rPr>
        <w:t xml:space="preserve"> </w:t>
      </w:r>
      <w:r w:rsidRPr="0050341B">
        <w:rPr>
          <w:rFonts w:eastAsia="Times New Roman"/>
          <w:color w:val="000000"/>
          <w:szCs w:val="28"/>
        </w:rPr>
        <w:t>зростає частота виникнення перинатальних станів (сепсису новонароджених у 2,3 рази, інфекцій, специфічних для перинатального періоду на 38,99%, уроджених пневмоній на 21,7%, а також неонатальної жовтяниці у 1,36 рази, гемолітичної хвороби новонароджених на 5,37%, інших порушень церебраль</w:t>
      </w:r>
      <w:r w:rsidR="00E4360F">
        <w:rPr>
          <w:rFonts w:eastAsia="Times New Roman"/>
          <w:color w:val="000000"/>
          <w:szCs w:val="28"/>
        </w:rPr>
        <w:t xml:space="preserve">ного статусу новонародженого на </w:t>
      </w:r>
      <w:r w:rsidRPr="0050341B">
        <w:rPr>
          <w:rFonts w:eastAsia="Times New Roman"/>
          <w:color w:val="000000"/>
          <w:szCs w:val="28"/>
        </w:rPr>
        <w:t>22,23%, внутрішньошлункових і субарахноїдальних крововиливів 29,11%,</w:t>
      </w:r>
      <w:r w:rsidRPr="0050341B">
        <w:rPr>
          <w:rFonts w:ascii="Calibri" w:eastAsia="Calibri" w:hAnsi="Calibri"/>
          <w:color w:val="000000"/>
        </w:rPr>
        <w:t xml:space="preserve"> </w:t>
      </w:r>
      <w:r w:rsidRPr="0050341B">
        <w:rPr>
          <w:rFonts w:eastAsia="Times New Roman"/>
          <w:color w:val="000000"/>
          <w:szCs w:val="28"/>
        </w:rPr>
        <w:t>розладів дихальної системи, що виникають у перинатальному періоді на 26,25%, в т.ч. синдрому респіраторного розладу та інших респіраторних станів на 20,8%);</w:t>
      </w:r>
      <w:r w:rsidRPr="0050341B">
        <w:rPr>
          <w:rFonts w:eastAsia="Calibri"/>
          <w:color w:val="000000"/>
          <w:szCs w:val="28"/>
        </w:rPr>
        <w:t xml:space="preserve"> показник років, втрачених внаслідок порушень здоров’я, без смертельних випадків (інвалідності) (YLDs, Years Lived with Disability)  у дітей віком до 1-го року життя в Укра</w:t>
      </w:r>
      <w:r w:rsidR="00A55155">
        <w:rPr>
          <w:rFonts w:eastAsia="Calibri"/>
          <w:color w:val="000000"/>
          <w:szCs w:val="28"/>
        </w:rPr>
        <w:t xml:space="preserve">їні залишається одним із вищих </w:t>
      </w:r>
      <w:r w:rsidR="00A55155" w:rsidRPr="00A55155">
        <w:rPr>
          <w:rFonts w:eastAsia="Calibri"/>
          <w:color w:val="000000"/>
          <w:szCs w:val="28"/>
        </w:rPr>
        <w:t>у</w:t>
      </w:r>
      <w:r w:rsidRPr="0050341B">
        <w:rPr>
          <w:rFonts w:eastAsia="Calibri"/>
          <w:color w:val="000000"/>
          <w:szCs w:val="28"/>
        </w:rPr>
        <w:t xml:space="preserve"> Європейському регіоні і в порівнянні з іншими країнами.</w:t>
      </w:r>
    </w:p>
    <w:p w:rsidR="0050341B" w:rsidRPr="0050341B" w:rsidRDefault="0050341B" w:rsidP="0050341B">
      <w:pPr>
        <w:widowControl w:val="0"/>
        <w:ind w:firstLine="708"/>
        <w:rPr>
          <w:rFonts w:eastAsia="Calibri"/>
          <w:szCs w:val="28"/>
        </w:rPr>
      </w:pPr>
      <w:r w:rsidRPr="0050341B">
        <w:rPr>
          <w:rFonts w:eastAsia="Calibri"/>
          <w:i/>
          <w:szCs w:val="28"/>
        </w:rPr>
        <w:t>Друга група.</w:t>
      </w:r>
      <w:r w:rsidRPr="0050341B">
        <w:rPr>
          <w:rFonts w:eastAsia="Calibri"/>
          <w:i/>
          <w:color w:val="FF0000"/>
          <w:szCs w:val="28"/>
        </w:rPr>
        <w:t xml:space="preserve"> </w:t>
      </w:r>
      <w:r w:rsidRPr="0050341B">
        <w:rPr>
          <w:rFonts w:eastAsia="Calibri"/>
          <w:szCs w:val="28"/>
        </w:rPr>
        <w:t>Дана група проблем пов’язана із кадровим забезпеченням  системи охорони здоров’я, в тому числі ПМ</w:t>
      </w:r>
      <w:r w:rsidR="009606A7">
        <w:rPr>
          <w:rFonts w:eastAsia="Calibri"/>
          <w:szCs w:val="28"/>
          <w:lang w:val="ru-RU"/>
        </w:rPr>
        <w:t>С</w:t>
      </w:r>
      <w:r w:rsidRPr="0050341B">
        <w:rPr>
          <w:rFonts w:eastAsia="Calibri"/>
          <w:szCs w:val="28"/>
        </w:rPr>
        <w:t>Д,</w:t>
      </w:r>
      <w:r w:rsidR="009606A7">
        <w:rPr>
          <w:rFonts w:eastAsia="Calibri"/>
          <w:szCs w:val="28"/>
        </w:rPr>
        <w:t xml:space="preserve"> </w:t>
      </w:r>
      <w:r w:rsidR="00176674">
        <w:rPr>
          <w:rFonts w:eastAsia="Calibri"/>
          <w:szCs w:val="28"/>
        </w:rPr>
        <w:t xml:space="preserve">та низького рівня готовності лікарів ЗП-СЛ </w:t>
      </w:r>
      <w:r w:rsidRPr="0050341B">
        <w:rPr>
          <w:rFonts w:eastAsia="Calibri"/>
          <w:szCs w:val="28"/>
        </w:rPr>
        <w:t xml:space="preserve">до попередження передчасної смертності дітей. Вона полягає в наступному: </w:t>
      </w:r>
      <w:r w:rsidRPr="0050341B">
        <w:rPr>
          <w:rFonts w:eastAsia="Times New Roman"/>
          <w:szCs w:val="28"/>
        </w:rPr>
        <w:t>зниженні у</w:t>
      </w:r>
      <w:r w:rsidR="00342C82">
        <w:rPr>
          <w:rFonts w:eastAsia="Times New Roman"/>
          <w:szCs w:val="28"/>
        </w:rPr>
        <w:t xml:space="preserve">комплектованості штатних посад лікарів </w:t>
      </w:r>
      <w:r w:rsidR="009606A7">
        <w:rPr>
          <w:rFonts w:eastAsia="Times New Roman"/>
          <w:szCs w:val="28"/>
        </w:rPr>
        <w:t>ЗП/СЛ (з 85,86% у 2014 р.</w:t>
      </w:r>
      <w:r w:rsidRPr="0050341B">
        <w:rPr>
          <w:rFonts w:eastAsia="Times New Roman"/>
          <w:szCs w:val="28"/>
        </w:rPr>
        <w:t xml:space="preserve"> до 82,11% у 2018 р.) </w:t>
      </w:r>
      <w:r w:rsidR="009606A7">
        <w:rPr>
          <w:rFonts w:eastAsia="Times New Roman"/>
          <w:szCs w:val="28"/>
        </w:rPr>
        <w:t>і</w:t>
      </w:r>
      <w:r w:rsidRPr="0050341B">
        <w:rPr>
          <w:rFonts w:eastAsia="Times New Roman"/>
          <w:szCs w:val="28"/>
        </w:rPr>
        <w:t xml:space="preserve">з граничною різницею укомплектованості штатних посад за регіонами 1,38 рази і укомплектованості штатів фізичними особами за регіонами 1,68 </w:t>
      </w:r>
      <w:r w:rsidR="00342C82">
        <w:rPr>
          <w:rFonts w:eastAsia="Times New Roman"/>
          <w:szCs w:val="28"/>
        </w:rPr>
        <w:t xml:space="preserve">рази; зниженні в ЦПМСД </w:t>
      </w:r>
      <w:r w:rsidRPr="0050341B">
        <w:rPr>
          <w:rFonts w:eastAsia="Times New Roman"/>
          <w:szCs w:val="28"/>
        </w:rPr>
        <w:t xml:space="preserve">показника укомплектованості штатних посад середнього медичного персоналу зайнятими з 92,2% до 88,2%; </w:t>
      </w:r>
      <w:r w:rsidRPr="0050341B">
        <w:rPr>
          <w:rFonts w:eastAsia="Times New Roman"/>
          <w:szCs w:val="28"/>
          <w:lang w:val="ru-RU"/>
        </w:rPr>
        <w:t xml:space="preserve">зниження </w:t>
      </w:r>
      <w:r w:rsidRPr="0050341B">
        <w:rPr>
          <w:rFonts w:eastAsia="Times New Roman"/>
          <w:szCs w:val="28"/>
        </w:rPr>
        <w:t>рівня</w:t>
      </w:r>
      <w:r w:rsidRPr="0050341B">
        <w:rPr>
          <w:rFonts w:eastAsia="Times New Roman"/>
          <w:color w:val="FF0000"/>
          <w:szCs w:val="28"/>
        </w:rPr>
        <w:t xml:space="preserve"> </w:t>
      </w:r>
      <w:r w:rsidRPr="0050341B">
        <w:rPr>
          <w:rFonts w:eastAsia="Times New Roman"/>
          <w:szCs w:val="28"/>
        </w:rPr>
        <w:t>забезпечен</w:t>
      </w:r>
      <w:r w:rsidR="00342C82">
        <w:rPr>
          <w:rFonts w:eastAsia="Times New Roman"/>
          <w:szCs w:val="28"/>
        </w:rPr>
        <w:t>ості лікарями-педіатрами</w:t>
      </w:r>
      <w:r w:rsidRPr="0050341B">
        <w:rPr>
          <w:rFonts w:eastAsia="Times New Roman"/>
          <w:szCs w:val="28"/>
        </w:rPr>
        <w:t xml:space="preserve"> на 12,2 % при регіональній диспропорції показника з граничною різницею 3,74 рази;</w:t>
      </w:r>
      <w:r w:rsidRPr="0050341B">
        <w:rPr>
          <w:rFonts w:eastAsia="Times New Roman"/>
          <w:color w:val="FF0000"/>
          <w:szCs w:val="28"/>
        </w:rPr>
        <w:t xml:space="preserve"> </w:t>
      </w:r>
      <w:r w:rsidRPr="0050341B">
        <w:rPr>
          <w:rFonts w:eastAsia="Times New Roman"/>
          <w:szCs w:val="28"/>
        </w:rPr>
        <w:t xml:space="preserve">медіанне значення показника укомплектованості ЗОЗ фізичними особами лікарями-педіатрами в Україні в цілому упродовж 2014-2018 рр. залишалось на тому ж самому рівні і становило відповідно 73,89% та 75,29% (р=0,9304), гранична різниця вказаного показника за регіонами </w:t>
      </w:r>
      <w:r w:rsidRPr="0050341B">
        <w:rPr>
          <w:rFonts w:eastAsia="Times New Roman"/>
          <w:szCs w:val="28"/>
        </w:rPr>
        <w:lastRenderedPageBreak/>
        <w:t>становить 1,8 рази;</w:t>
      </w:r>
      <w:r w:rsidRPr="0050341B">
        <w:rPr>
          <w:rFonts w:eastAsia="Calibri"/>
          <w:color w:val="FF0000"/>
        </w:rPr>
        <w:t xml:space="preserve"> </w:t>
      </w:r>
      <w:r w:rsidRPr="0050341B">
        <w:rPr>
          <w:rFonts w:eastAsia="Times New Roman"/>
          <w:szCs w:val="28"/>
        </w:rPr>
        <w:t>скороченні штатних посад, числа зайнятих штатних посад, числа фізичних осіб основних працівників дитячих лікарський спеціальностей, гранична різниця  укомплектованості ЗОЗ штатними посадами лікарів педіатрів-неонатологів 1,25 рази,  укомплектованість штатних посад лікарів педіатрів-неонатологів фізичними особами основними працівниками 2,01 рази; зниженні</w:t>
      </w:r>
      <w:r w:rsidRPr="0050341B">
        <w:rPr>
          <w:rFonts w:eastAsia="Calibri"/>
        </w:rPr>
        <w:t xml:space="preserve"> </w:t>
      </w:r>
      <w:r w:rsidRPr="0050341B">
        <w:rPr>
          <w:rFonts w:eastAsia="Times New Roman"/>
          <w:szCs w:val="28"/>
        </w:rPr>
        <w:t>укомплектованості  штатних лікарських посад зайнятими, штатних лікарських посад фізичними особами – лікарями та штатних посад середнього медперсоналу зайнятими в міських дитячих лікарнях протяго</w:t>
      </w:r>
      <w:r w:rsidR="00342C82">
        <w:rPr>
          <w:rFonts w:eastAsia="Times New Roman"/>
          <w:szCs w:val="28"/>
        </w:rPr>
        <w:t xml:space="preserve">м періоду дослідження </w:t>
      </w:r>
      <w:r w:rsidRPr="0050341B">
        <w:rPr>
          <w:rFonts w:eastAsia="Times New Roman"/>
          <w:szCs w:val="28"/>
        </w:rPr>
        <w:t xml:space="preserve">на 2,5%, 1,95%, </w:t>
      </w:r>
      <w:r w:rsidR="009606A7">
        <w:rPr>
          <w:rFonts w:eastAsia="Times New Roman"/>
          <w:szCs w:val="28"/>
        </w:rPr>
        <w:t xml:space="preserve"> </w:t>
      </w:r>
      <w:r w:rsidRPr="0050341B">
        <w:rPr>
          <w:rFonts w:eastAsia="Times New Roman"/>
          <w:szCs w:val="28"/>
        </w:rPr>
        <w:t>4,6%</w:t>
      </w:r>
      <w:r w:rsidR="00342C82">
        <w:rPr>
          <w:rFonts w:eastAsia="Times New Roman"/>
          <w:szCs w:val="28"/>
        </w:rPr>
        <w:t xml:space="preserve"> відповідно</w:t>
      </w:r>
      <w:r w:rsidRPr="0050341B">
        <w:rPr>
          <w:rFonts w:eastAsia="Times New Roman"/>
          <w:szCs w:val="28"/>
        </w:rPr>
        <w:t>;</w:t>
      </w:r>
      <w:r w:rsidRPr="0050341B">
        <w:rPr>
          <w:rFonts w:eastAsia="Times New Roman"/>
          <w:color w:val="FF0000"/>
          <w:szCs w:val="28"/>
        </w:rPr>
        <w:t xml:space="preserve"> </w:t>
      </w:r>
      <w:r w:rsidRPr="0050341B">
        <w:rPr>
          <w:rFonts w:eastAsia="Times New Roman"/>
          <w:szCs w:val="28"/>
        </w:rPr>
        <w:t>укомплектованість штатних лікарських посад зайнятими, як в обласних дитячих лікарнях, так і в міських дитячих лікарнях перевищує укомплектованість штатних лікарських посад фізичними особами – лікарями (обласні дитячі лікарні: 94,2% і 77,8%; міські дитячі лікарні: 89,7% і 75,4% відповідно), що свідчить про певний кадровий дефіцит і укомплектованість штатних посад за рахунок сумісництва;</w:t>
      </w:r>
      <w:r w:rsidRPr="0050341B">
        <w:rPr>
          <w:rFonts w:eastAsia="Times New Roman"/>
          <w:color w:val="FF0000"/>
          <w:szCs w:val="28"/>
        </w:rPr>
        <w:t xml:space="preserve"> </w:t>
      </w:r>
      <w:r w:rsidR="00342C82">
        <w:rPr>
          <w:rFonts w:eastAsia="Times New Roman"/>
          <w:szCs w:val="28"/>
        </w:rPr>
        <w:t xml:space="preserve">переважна більшість лікарів </w:t>
      </w:r>
      <w:r w:rsidRPr="0050341B">
        <w:rPr>
          <w:rFonts w:eastAsia="Times New Roman"/>
          <w:szCs w:val="28"/>
        </w:rPr>
        <w:t>ЗП-СЛ вважають свій рівень теоретичної підготовки та практичних навичок недостатнім та вкрай недостатнім з питань попередження дитячої смертності (67,75±2,3% та 70,2</w:t>
      </w:r>
      <w:r w:rsidR="00342C82">
        <w:rPr>
          <w:rFonts w:eastAsia="Times New Roman"/>
          <w:szCs w:val="28"/>
        </w:rPr>
        <w:t>5±2,3% відповідно); незадовільні показники</w:t>
      </w:r>
      <w:r w:rsidRPr="0050341B">
        <w:rPr>
          <w:rFonts w:eastAsia="Times New Roman"/>
          <w:szCs w:val="28"/>
        </w:rPr>
        <w:t xml:space="preserve"> організації школи відповіда</w:t>
      </w:r>
      <w:r w:rsidR="00A10783">
        <w:rPr>
          <w:rFonts w:eastAsia="Times New Roman"/>
          <w:szCs w:val="28"/>
        </w:rPr>
        <w:t xml:space="preserve">льного батьківства опитуваними лікарями </w:t>
      </w:r>
      <w:r w:rsidRPr="0050341B">
        <w:rPr>
          <w:rFonts w:eastAsia="Times New Roman"/>
          <w:szCs w:val="28"/>
        </w:rPr>
        <w:t>ЗП-СЛ (21,25±2,0% ЛЗП-СЛ), а також проведення занять</w:t>
      </w:r>
      <w:r w:rsidRPr="0050341B">
        <w:rPr>
          <w:rFonts w:eastAsia="Calibri"/>
        </w:rPr>
        <w:t xml:space="preserve"> </w:t>
      </w:r>
      <w:r w:rsidR="00A10783">
        <w:rPr>
          <w:rFonts w:eastAsia="Times New Roman"/>
          <w:szCs w:val="28"/>
        </w:rPr>
        <w:t>лікарями ЗП-СЛ з навчання</w:t>
      </w:r>
      <w:r w:rsidR="009606A7">
        <w:rPr>
          <w:rFonts w:eastAsia="Times New Roman"/>
          <w:szCs w:val="28"/>
        </w:rPr>
        <w:t xml:space="preserve"> батьків </w:t>
      </w:r>
      <w:r w:rsidRPr="0050341B">
        <w:rPr>
          <w:rFonts w:eastAsia="Times New Roman"/>
          <w:szCs w:val="28"/>
        </w:rPr>
        <w:t>тактиці дій при загрозливих та критичних життю  дітей станах  (15,75±1,8%).</w:t>
      </w:r>
    </w:p>
    <w:p w:rsidR="0050341B" w:rsidRPr="0050341B" w:rsidRDefault="0050341B" w:rsidP="0050341B">
      <w:pPr>
        <w:widowControl w:val="0"/>
        <w:ind w:firstLine="708"/>
        <w:rPr>
          <w:rFonts w:eastAsia="Calibri"/>
          <w:szCs w:val="28"/>
        </w:rPr>
      </w:pPr>
      <w:r w:rsidRPr="0050341B">
        <w:rPr>
          <w:rFonts w:eastAsia="Calibri"/>
          <w:i/>
          <w:szCs w:val="28"/>
        </w:rPr>
        <w:t>Третя група.</w:t>
      </w:r>
      <w:r w:rsidRPr="0050341B">
        <w:rPr>
          <w:rFonts w:eastAsia="Calibri"/>
          <w:szCs w:val="28"/>
        </w:rPr>
        <w:t xml:space="preserve"> Дана група проблем пов’язана із структурою та  ресурсним забезпеченням системи надання медичної допомоги дітям, а також із недостатньою   раціональністю використання  ресурсів в системі н</w:t>
      </w:r>
      <w:r w:rsidR="006A39F6">
        <w:rPr>
          <w:rFonts w:eastAsia="Calibri"/>
          <w:szCs w:val="28"/>
        </w:rPr>
        <w:t>адання медичної допомоги дітям у</w:t>
      </w:r>
      <w:r w:rsidRPr="0050341B">
        <w:rPr>
          <w:rFonts w:eastAsia="Calibri"/>
          <w:szCs w:val="28"/>
        </w:rPr>
        <w:t xml:space="preserve"> період трансформації медичної галуз</w:t>
      </w:r>
      <w:r w:rsidR="00A10783">
        <w:rPr>
          <w:rFonts w:eastAsia="Calibri"/>
          <w:szCs w:val="28"/>
        </w:rPr>
        <w:t>і. За період дослідження відбула</w:t>
      </w:r>
      <w:r w:rsidRPr="0050341B">
        <w:rPr>
          <w:rFonts w:eastAsia="Calibri"/>
          <w:szCs w:val="28"/>
        </w:rPr>
        <w:t xml:space="preserve">сь </w:t>
      </w:r>
      <w:r w:rsidR="00A10783">
        <w:rPr>
          <w:rFonts w:eastAsia="Calibri"/>
          <w:szCs w:val="28"/>
        </w:rPr>
        <w:t xml:space="preserve">певна оптимізація надання медичної допомоги дітям, а саме спостерігалось </w:t>
      </w:r>
      <w:r w:rsidRPr="0050341B">
        <w:rPr>
          <w:rFonts w:eastAsia="Calibri"/>
          <w:szCs w:val="28"/>
        </w:rPr>
        <w:t xml:space="preserve">скорочення </w:t>
      </w:r>
      <w:r w:rsidRPr="0050341B">
        <w:rPr>
          <w:rFonts w:eastAsia="Times New Roman"/>
          <w:szCs w:val="28"/>
        </w:rPr>
        <w:t>дитячих поліклінік на 15,6%, дитячих лікарень міського підпорядкування на 38,6%, обласних дитячих лікарень на 6,9%, інфекційних дитячих лікарень на 33,3%, туберкульозних дитячих лікарень на 33,3%, будинків дитини на 13,6%, що відбувалось на фоні впровадження ПМСД</w:t>
      </w:r>
      <w:r w:rsidR="00A10783">
        <w:rPr>
          <w:rFonts w:eastAsia="Times New Roman"/>
          <w:szCs w:val="28"/>
        </w:rPr>
        <w:t xml:space="preserve"> та створенням ЦПМСД; скорочення</w:t>
      </w:r>
      <w:r w:rsidRPr="0050341B">
        <w:rPr>
          <w:rFonts w:eastAsia="Times New Roman"/>
          <w:szCs w:val="28"/>
        </w:rPr>
        <w:t xml:space="preserve"> структурних підрозділів  дитячих ЗОЗ (інфекційних кабінетів (на 20,6%), кабінетів </w:t>
      </w:r>
      <w:r w:rsidRPr="0050341B">
        <w:rPr>
          <w:rFonts w:eastAsia="Times New Roman"/>
          <w:szCs w:val="28"/>
        </w:rPr>
        <w:lastRenderedPageBreak/>
        <w:t>лікувальної фізкультури (на 18,2%), ортопедо-травматологічних кабінетів (на 19,1%), дитячих відділень (кабінетів) (на 22,3%); зменшення кількості кабінетів сімейного лікаря, розміщених на базі ЦРЛ (на 69,2%), РЛ (на 35,5%), ДЛ (на 94,1%) та м</w:t>
      </w:r>
      <w:r w:rsidR="00A10783">
        <w:rPr>
          <w:rFonts w:eastAsia="Times New Roman"/>
          <w:szCs w:val="28"/>
        </w:rPr>
        <w:t>іських поліклініках (на 39,6%) при зростанні</w:t>
      </w:r>
      <w:r w:rsidRPr="0050341B">
        <w:rPr>
          <w:rFonts w:eastAsia="Times New Roman"/>
          <w:szCs w:val="28"/>
        </w:rPr>
        <w:t xml:space="preserve"> самостійних ЦПМСД (на 36,7%), в т.ч. в сільських адміністративних районах на 38,8%, а також зростання лікарських амбулаторій в структурі самостійних ЦПМСД на 15,7% і фельдшерсько-акушерських пунктів (ФАПів) на 4,1%; зменшення загальної кількості ФАПів в країні на 5,4%; кількість ліжок денних стаціонарів для дітей на рівні амбу</w:t>
      </w:r>
      <w:r w:rsidR="004F6BB6">
        <w:rPr>
          <w:rFonts w:eastAsia="Times New Roman"/>
          <w:szCs w:val="28"/>
        </w:rPr>
        <w:t xml:space="preserve">латорно-поліклінічної допомоги в </w:t>
      </w:r>
      <w:r w:rsidRPr="0050341B">
        <w:rPr>
          <w:rFonts w:eastAsia="Times New Roman"/>
          <w:szCs w:val="28"/>
        </w:rPr>
        <w:t>Україні зменшилась на 0,16%, а число пролікованих хворих дітей на 12,6%, за виключенням зростання числа ліжок у диспансерах та інших ЗОЗ у 2018 р. відносно 2014 р. (у 2,2 рази і 8,3% відповідно), також частка пролікованих дітей у денних стаціонарах амбулаторно-поліклінічних закладів країни зменшилась з 8,10% до 7,36%; констатовано зниження рівня забезпеченості дитячого населення ліжками денного стаціонару на 15,5%  (з 7,98 на 10 тис. дитячого населення у 2013 р. до 6,74 відповідно у 2017 р.), при незначному зростанні рівня пролікованих дітей на 1000 захворювань  на 1,73% з 16,15 у 2013 р. до 16,43 у 2017 р., а також  показника пролікованих дітей  на одному ліжку денного стаціонару  на 0,66%  з 42,3 у 2013 р. до 42,58 у 2017 р.  з 42,3 у 2013 р. до 42,58 у 2017 р. ВШ 1,59 (95% ДІ 1,52-1,66, р&lt;0,001); спостерігається регіональна диспропорція у рівні забезпеченості дитячого населе</w:t>
      </w:r>
      <w:r w:rsidR="00A10783">
        <w:rPr>
          <w:rFonts w:eastAsia="Times New Roman"/>
          <w:szCs w:val="28"/>
        </w:rPr>
        <w:t>ння ліжками денного стаціонару</w:t>
      </w:r>
      <w:r w:rsidRPr="0050341B">
        <w:rPr>
          <w:rFonts w:eastAsia="Times New Roman"/>
          <w:szCs w:val="28"/>
        </w:rPr>
        <w:t xml:space="preserve"> (гранична різниця показника становила 7,19 рази);</w:t>
      </w:r>
      <w:r w:rsidRPr="0050341B">
        <w:rPr>
          <w:rFonts w:eastAsia="Calibri"/>
          <w:szCs w:val="28"/>
        </w:rPr>
        <w:t xml:space="preserve"> </w:t>
      </w:r>
      <w:r w:rsidRPr="0050341B">
        <w:rPr>
          <w:rFonts w:eastAsia="Times New Roman"/>
          <w:szCs w:val="28"/>
        </w:rPr>
        <w:t>спостерігається зниження інтенсивності роботи</w:t>
      </w:r>
      <w:r w:rsidR="00A10783">
        <w:rPr>
          <w:rFonts w:eastAsia="Times New Roman"/>
          <w:szCs w:val="28"/>
        </w:rPr>
        <w:t xml:space="preserve"> цілодобових</w:t>
      </w:r>
      <w:r w:rsidRPr="0050341B">
        <w:rPr>
          <w:rFonts w:eastAsia="Times New Roman"/>
          <w:szCs w:val="28"/>
        </w:rPr>
        <w:t xml:space="preserve"> дитячих ліжок за показником середнього числа зайнятості ліжка на рік на 3,2% (2014 р. – середньорічна зайнятість ліжка 312,36 днів на рік, 2018р. – 302,5 днів на рік); серед пролікованих та виписаних із стаціонару дітей (1487390 дітей у віці 0-17 років життя), частка дітей до року життя становила 14,4%;</w:t>
      </w:r>
      <w:r w:rsidRPr="0050341B">
        <w:rPr>
          <w:rFonts w:eastAsia="Times New Roman"/>
          <w:szCs w:val="28"/>
          <w:lang w:eastAsia="ru-RU"/>
        </w:rPr>
        <w:t xml:space="preserve"> </w:t>
      </w:r>
      <w:r w:rsidRPr="0050341B">
        <w:rPr>
          <w:rFonts w:eastAsia="Times New Roman"/>
          <w:szCs w:val="28"/>
        </w:rPr>
        <w:t xml:space="preserve">спостерігається регіональна диспропорція у рівні забезпеченості педіатричними соматичними ліжками (гранична різниця показника становить 2,13 рази), рівень забезпеченості дитячого населення інфекційними ліжками (гранична різниця показника 2,5 рази); протягом 2014-2018 рр. медіанний показник забезпеченості ліжками для недоношених та хворих новонароджених в </w:t>
      </w:r>
      <w:r w:rsidRPr="0050341B">
        <w:rPr>
          <w:rFonts w:eastAsia="Times New Roman"/>
          <w:szCs w:val="28"/>
        </w:rPr>
        <w:lastRenderedPageBreak/>
        <w:t>Україні достовірно збільшилась з 4,95‰ до 6,56‰, (р=0,0003), але міжквартильний інтервал залишився однаковим, що свідчить про пролонгацію диспропорцій забезпеченості адміністративних територій країни ліжками для передчасно народжених та хворих новонароджених, при цьому відмічені варіації й у обсягах зростання даного показника;</w:t>
      </w:r>
      <w:r w:rsidRPr="0050341B">
        <w:rPr>
          <w:rFonts w:eastAsia="Calibri"/>
          <w:szCs w:val="28"/>
        </w:rPr>
        <w:t xml:space="preserve"> </w:t>
      </w:r>
      <w:r w:rsidR="004F6BB6">
        <w:rPr>
          <w:rFonts w:eastAsia="Times New Roman"/>
          <w:szCs w:val="28"/>
        </w:rPr>
        <w:t xml:space="preserve">відбулось </w:t>
      </w:r>
      <w:r w:rsidRPr="0050341B">
        <w:rPr>
          <w:rFonts w:eastAsia="Times New Roman"/>
          <w:szCs w:val="28"/>
        </w:rPr>
        <w:t>зниження рівня госпіталізації дітей в цілодобові лікарняні стаціонари на 7,0%  (210,56 на 1000 дитячого населення у 2014</w:t>
      </w:r>
      <w:r w:rsidR="00B06F8F">
        <w:rPr>
          <w:rFonts w:eastAsia="Times New Roman"/>
          <w:szCs w:val="28"/>
          <w:lang w:val="ru-RU"/>
        </w:rPr>
        <w:t> </w:t>
      </w:r>
      <w:r w:rsidRPr="0050341B">
        <w:rPr>
          <w:rFonts w:eastAsia="Times New Roman"/>
          <w:szCs w:val="28"/>
        </w:rPr>
        <w:t>р. і 195,84 у 2018 р.), а також рівня госпіталізації дітей першого року життя на 2,4% (611,4 на 1000 дітей відповідного віку у 2014 р. і 596,55 у 2018 р. відповідно);</w:t>
      </w:r>
      <w:r w:rsidRPr="0050341B">
        <w:rPr>
          <w:rFonts w:eastAsia="Calibri"/>
          <w:szCs w:val="28"/>
        </w:rPr>
        <w:t xml:space="preserve"> </w:t>
      </w:r>
      <w:r w:rsidRPr="0050341B">
        <w:rPr>
          <w:rFonts w:eastAsia="Times New Roman"/>
          <w:szCs w:val="28"/>
        </w:rPr>
        <w:t xml:space="preserve">рівні госпіталізації дітей у цілодобові стаціонари протягом 2014-2018 рр. мають відмінності в залежності від регіону (гранична різниця становила 1,53 рази). </w:t>
      </w:r>
    </w:p>
    <w:p w:rsidR="0050341B" w:rsidRPr="0050341B" w:rsidRDefault="0050341B" w:rsidP="0050341B">
      <w:pPr>
        <w:widowControl w:val="0"/>
        <w:ind w:firstLine="708"/>
        <w:rPr>
          <w:rFonts w:eastAsia="Calibri"/>
          <w:color w:val="000000"/>
          <w:szCs w:val="28"/>
        </w:rPr>
      </w:pPr>
      <w:r w:rsidRPr="0050341B">
        <w:rPr>
          <w:rFonts w:eastAsia="Calibri"/>
          <w:color w:val="FF0000"/>
          <w:szCs w:val="28"/>
        </w:rPr>
        <w:t xml:space="preserve"> </w:t>
      </w:r>
      <w:r w:rsidRPr="0050341B">
        <w:rPr>
          <w:rFonts w:eastAsia="Calibri"/>
          <w:i/>
          <w:szCs w:val="28"/>
        </w:rPr>
        <w:t xml:space="preserve">Четверта група. </w:t>
      </w:r>
      <w:r w:rsidRPr="0050341B">
        <w:rPr>
          <w:rFonts w:eastAsia="Calibri"/>
          <w:szCs w:val="28"/>
        </w:rPr>
        <w:t>Дана група проблем пов’язана із низьким рівнем поінформованості батьків дітей з питань збереження їх здоров’я. Вона полягає в   наступному: економічний стан 20,5% родин за оцінкою респондентів</w:t>
      </w:r>
      <w:r w:rsidRPr="0050341B">
        <w:rPr>
          <w:rFonts w:eastAsia="Calibri"/>
        </w:rPr>
        <w:t xml:space="preserve"> </w:t>
      </w:r>
      <w:r w:rsidRPr="0050341B">
        <w:rPr>
          <w:rFonts w:eastAsia="Calibri"/>
          <w:szCs w:val="28"/>
        </w:rPr>
        <w:t>мають незадовільний матеріальний стан (14,75% родин живе у скрутному становище, 5,75% батьків недостає на необхідне);  повністю здоровою вважає свою дитину 13,25% та практично здоровою 9,75% респондентів, при цьому</w:t>
      </w:r>
      <w:r w:rsidR="00D0704C">
        <w:rPr>
          <w:rFonts w:eastAsia="Calibri"/>
          <w:szCs w:val="28"/>
        </w:rPr>
        <w:t xml:space="preserve"> </w:t>
      </w:r>
      <w:r w:rsidRPr="0050341B">
        <w:rPr>
          <w:rFonts w:eastAsia="Calibri"/>
          <w:szCs w:val="28"/>
        </w:rPr>
        <w:t>10,5%  батьків вказали на наявність проблем перинатального періоду у дітей, 34,75% на проблеми із здоров’ям дітей пов’язаних з їх фізіологічним розвитком, 3,0% дітей мають вроджені вади розвитку, у 22,25% дітей за даними респондентів періодично виникають гострі захворювання та 6,5% дітей мають хронічні захворювання; найчастіше батьки відвідують ЗОЗ з профіл</w:t>
      </w:r>
      <w:r w:rsidR="00DE29EB">
        <w:rPr>
          <w:rFonts w:eastAsia="Calibri"/>
          <w:szCs w:val="28"/>
        </w:rPr>
        <w:t>актичною метою, звертаючись до лікарів</w:t>
      </w:r>
      <w:r w:rsidR="00D0704C">
        <w:rPr>
          <w:rFonts w:eastAsia="Calibri"/>
          <w:szCs w:val="28"/>
        </w:rPr>
        <w:t> </w:t>
      </w:r>
      <w:r w:rsidRPr="0050341B">
        <w:rPr>
          <w:rFonts w:eastAsia="Calibri"/>
          <w:szCs w:val="28"/>
        </w:rPr>
        <w:t>ЗП-СЛ (54,25±2,5%); при ознаках нездоров’я дитини батьки найчастіше звертаються</w:t>
      </w:r>
      <w:r w:rsidRPr="0050341B">
        <w:rPr>
          <w:rFonts w:eastAsia="Calibri"/>
        </w:rPr>
        <w:t xml:space="preserve"> </w:t>
      </w:r>
      <w:r w:rsidR="00DE29EB">
        <w:rPr>
          <w:rFonts w:eastAsia="Calibri"/>
          <w:szCs w:val="28"/>
        </w:rPr>
        <w:t>до ліка</w:t>
      </w:r>
      <w:r w:rsidR="00D0704C">
        <w:rPr>
          <w:rFonts w:eastAsia="Calibri"/>
          <w:szCs w:val="28"/>
        </w:rPr>
        <w:t xml:space="preserve">рів </w:t>
      </w:r>
      <w:r w:rsidRPr="0050341B">
        <w:rPr>
          <w:rFonts w:eastAsia="Calibri"/>
          <w:szCs w:val="28"/>
        </w:rPr>
        <w:t>ЗП-СЛ – 46,25±2,5% та до лікаря-педіатра – 28,0±2,2%, викликають екстрену медичну допомогу при гострому погіршенні стану здоров’я дитини – 16,75±1,9% респ</w:t>
      </w:r>
      <w:r w:rsidR="00D0704C">
        <w:rPr>
          <w:rFonts w:eastAsia="Calibri"/>
          <w:szCs w:val="28"/>
        </w:rPr>
        <w:t xml:space="preserve">ондентів; у 24,0±2,1% випадків лікарів </w:t>
      </w:r>
      <w:r w:rsidRPr="0050341B">
        <w:rPr>
          <w:rFonts w:eastAsia="Calibri"/>
          <w:szCs w:val="28"/>
        </w:rPr>
        <w:t>ЗП-СЛ  або лікар-педіатр відвідували дитину за викликом батьків; 5,25±1,1% респондентів взагалі не звертались до ЗОЗ</w:t>
      </w:r>
      <w:r w:rsidRPr="0050341B">
        <w:rPr>
          <w:rFonts w:eastAsia="Calibri"/>
        </w:rPr>
        <w:t xml:space="preserve"> </w:t>
      </w:r>
      <w:r w:rsidRPr="0050341B">
        <w:rPr>
          <w:rFonts w:eastAsia="Calibri"/>
          <w:szCs w:val="28"/>
        </w:rPr>
        <w:t>з приводу здоров’я дитини; недостатнім є рівень інформованості батьків щодо здоров’яформуючих технологій на рівні сім’ї та загрозливих для життя дітей станів щодо</w:t>
      </w:r>
      <w:r w:rsidRPr="0050341B">
        <w:rPr>
          <w:rFonts w:eastAsia="Calibri"/>
        </w:rPr>
        <w:t xml:space="preserve"> </w:t>
      </w:r>
      <w:r w:rsidRPr="0050341B">
        <w:rPr>
          <w:rFonts w:eastAsia="Calibri"/>
          <w:szCs w:val="28"/>
        </w:rPr>
        <w:t xml:space="preserve">опіків (39,5±2,4%), при падінні з висоти (31,0±2,3%),  при судомах (24,0±2,1%), при враженні електричним струмом і гострій асфіксії (18,0±1,9%), при </w:t>
      </w:r>
      <w:r w:rsidRPr="0050341B">
        <w:rPr>
          <w:rFonts w:eastAsia="Calibri"/>
          <w:szCs w:val="28"/>
        </w:rPr>
        <w:lastRenderedPageBreak/>
        <w:t>травмі грудної клітини, при травмі живота, черепно-мозковій травмі (15,5±1,8%), при вогнепальному пораненні (13,5±1,7%); в переважній більшості основними джерелами отримання інформації респондентами</w:t>
      </w:r>
      <w:r w:rsidRPr="0050341B">
        <w:rPr>
          <w:rFonts w:eastAsia="Calibri"/>
        </w:rPr>
        <w:t xml:space="preserve"> </w:t>
      </w:r>
      <w:r w:rsidRPr="0050341B">
        <w:rPr>
          <w:rFonts w:eastAsia="Calibri"/>
          <w:szCs w:val="28"/>
        </w:rPr>
        <w:t>з питань збереження здоров’я дітей та попередження  їх передчасної смерті стають Інтернет (59,75±2,5%),</w:t>
      </w:r>
      <w:r w:rsidRPr="0050341B">
        <w:rPr>
          <w:rFonts w:eastAsia="Calibri"/>
        </w:rPr>
        <w:t xml:space="preserve"> </w:t>
      </w:r>
      <w:r w:rsidRPr="0050341B">
        <w:rPr>
          <w:rFonts w:eastAsia="Calibri"/>
          <w:szCs w:val="28"/>
        </w:rPr>
        <w:t>телебачення (39,75±2,4%), поряд</w:t>
      </w:r>
      <w:r w:rsidRPr="0050341B">
        <w:rPr>
          <w:rFonts w:eastAsia="Calibri"/>
        </w:rPr>
        <w:t xml:space="preserve"> </w:t>
      </w:r>
      <w:r w:rsidRPr="0050341B">
        <w:rPr>
          <w:rFonts w:eastAsia="Calibri"/>
          <w:szCs w:val="28"/>
        </w:rPr>
        <w:t>з кваліфікованою консультативною інформацією від л</w:t>
      </w:r>
      <w:r w:rsidR="00D0704C">
        <w:rPr>
          <w:rFonts w:eastAsia="Calibri"/>
          <w:szCs w:val="28"/>
        </w:rPr>
        <w:t xml:space="preserve">ікаря-педіатра (44,75±2,5%) та лікаря </w:t>
      </w:r>
      <w:r w:rsidRPr="0050341B">
        <w:rPr>
          <w:rFonts w:eastAsia="Calibri"/>
          <w:szCs w:val="28"/>
        </w:rPr>
        <w:t xml:space="preserve">ЗП-СЛ (38,0±2,4%); взагалі не мають бажання отримувати інформацію з питань збереження здоров’я дітей та попередження  їх передчасної смерті 10,25±1,5% батьків та  8,0±1,4% респондентів  не визначились з цього приводу, при цьому переважна більшість респондентів зацікавлена отримувати професійну інформацію з питань  тактики дій при станах, які загрожують  життю дітей, від  медичних працівників та з офіційних ресурсів </w:t>
      </w:r>
      <w:r w:rsidRPr="0050341B">
        <w:rPr>
          <w:rFonts w:eastAsia="Calibri"/>
          <w:color w:val="000000"/>
          <w:szCs w:val="28"/>
        </w:rPr>
        <w:t>ЗОЗ.</w:t>
      </w:r>
    </w:p>
    <w:p w:rsidR="0050341B" w:rsidRPr="0050341B" w:rsidRDefault="0050341B" w:rsidP="0050341B">
      <w:pPr>
        <w:widowControl w:val="0"/>
        <w:ind w:firstLine="708"/>
        <w:rPr>
          <w:rFonts w:eastAsia="Calibri"/>
        </w:rPr>
      </w:pPr>
      <w:r w:rsidRPr="0050341B">
        <w:rPr>
          <w:rFonts w:eastAsia="Calibri"/>
          <w:i/>
          <w:color w:val="000000"/>
          <w:szCs w:val="28"/>
        </w:rPr>
        <w:t>П’ята група.</w:t>
      </w:r>
      <w:r w:rsidRPr="0050341B">
        <w:rPr>
          <w:rFonts w:eastAsia="Calibri"/>
          <w:color w:val="000000"/>
          <w:szCs w:val="28"/>
        </w:rPr>
        <w:t xml:space="preserve"> Дана група проблем </w:t>
      </w:r>
      <w:r w:rsidRPr="0050341B">
        <w:rPr>
          <w:rFonts w:eastAsia="Calibri"/>
          <w:szCs w:val="28"/>
        </w:rPr>
        <w:t xml:space="preserve">пов’язана із негативними тенденціями смертності дитячого населення: більшість випадків дитячих смертей відбувається у віці до 5-ти років життя;  частка випадків смерті дітей у віці до 1-го року життя становить більше 80,0% в структурі дитячої смертності до 5-ти років; більш ніж </w:t>
      </w:r>
      <w:r w:rsidRPr="00B76D63">
        <w:rPr>
          <w:rFonts w:eastAsia="Calibri"/>
          <w:szCs w:val="28"/>
        </w:rPr>
        <w:t>60%</w:t>
      </w:r>
      <w:r w:rsidRPr="0050341B">
        <w:rPr>
          <w:rFonts w:eastAsia="Calibri"/>
          <w:szCs w:val="28"/>
        </w:rPr>
        <w:t xml:space="preserve"> у віці до 1-го року життя помирає у неонатальному періоді, серед яких переважна більшість смертей відбуваються у ранньому неонатальному періоді  (0-6 днів); показникам смертності дітей у віці до 5-ти років та малюкової смертності, які залишаються одними із найвищих у європейському регіоні, притаманна як регіональна, так і за статтю та місцем мешкання диференціація;</w:t>
      </w:r>
      <w:r w:rsidRPr="0050341B">
        <w:rPr>
          <w:rFonts w:eastAsia="Calibri"/>
        </w:rPr>
        <w:t xml:space="preserve"> спостерігаються сталі статеві диспропорції – шанси хлопчиків померти у віці до 5 років життя залишаються вищими за шанси дівчат (хлопчики за період спостереження: ВШ 1,2, р&lt;0,001 та ВШ 1,27, р&lt;0,001); </w:t>
      </w:r>
      <w:r w:rsidRPr="0050341B">
        <w:rPr>
          <w:rFonts w:eastAsia="Calibri"/>
          <w:szCs w:val="28"/>
        </w:rPr>
        <w:t>незмінна структура показника смертності дітей віком до 5</w:t>
      </w:r>
      <w:r w:rsidRPr="0050341B">
        <w:rPr>
          <w:rFonts w:eastAsia="Calibri"/>
          <w:szCs w:val="28"/>
          <w:lang w:val="en-US"/>
        </w:rPr>
        <w:t> </w:t>
      </w:r>
      <w:r w:rsidRPr="0050341B">
        <w:rPr>
          <w:rFonts w:eastAsia="Calibri"/>
          <w:szCs w:val="28"/>
        </w:rPr>
        <w:t>років життя,  перші три рейтингові місця залишаються сталими: розлади у матері, що пов’язані з вагітністю, та неонатальні розлади 62,03 (95% ДІ 46,88-77,66), інші неінфекційні хвороби 52,32 (95% ДІ 41,53-71,75) та ненавмисні тра</w:t>
      </w:r>
      <w:r w:rsidR="001D74A0">
        <w:rPr>
          <w:rFonts w:eastAsia="Calibri"/>
          <w:szCs w:val="28"/>
        </w:rPr>
        <w:t xml:space="preserve">вми 16,17 (95% ДІ 13,01-19,44) </w:t>
      </w:r>
      <w:r w:rsidR="001D74A0" w:rsidRPr="001D74A0">
        <w:rPr>
          <w:rFonts w:eastAsia="Calibri"/>
          <w:szCs w:val="28"/>
        </w:rPr>
        <w:t>у</w:t>
      </w:r>
      <w:r w:rsidRPr="0050341B">
        <w:rPr>
          <w:rFonts w:eastAsia="Calibri"/>
          <w:szCs w:val="28"/>
        </w:rPr>
        <w:t xml:space="preserve"> розрахунку на 100 тис. відповідного населення; відсутність динаміки у частках дітей віком до 1-го року життя, які помирають поза стаціонару, у загальній кількості померлих дітей, які перебували під наглядом дитячих </w:t>
      </w:r>
      <w:r w:rsidRPr="0050341B">
        <w:rPr>
          <w:rFonts w:eastAsia="Calibri"/>
          <w:szCs w:val="28"/>
        </w:rPr>
        <w:lastRenderedPageBreak/>
        <w:t>поліклінічних закладі</w:t>
      </w:r>
      <w:r w:rsidR="00AE28BA">
        <w:rPr>
          <w:rFonts w:eastAsia="Calibri"/>
          <w:szCs w:val="28"/>
        </w:rPr>
        <w:t xml:space="preserve">в сфери управління МОЗ України </w:t>
      </w:r>
      <w:r w:rsidR="00B56780" w:rsidRPr="00B56780">
        <w:rPr>
          <w:rFonts w:eastAsia="Calibri"/>
          <w:szCs w:val="28"/>
        </w:rPr>
        <w:t>(40,94% та 43,8%, р=0,409)</w:t>
      </w:r>
      <w:r w:rsidR="00AE28BA" w:rsidRPr="00AE28BA">
        <w:rPr>
          <w:rFonts w:eastAsia="Calibri"/>
          <w:szCs w:val="28"/>
        </w:rPr>
        <w:t>,</w:t>
      </w:r>
      <w:r w:rsidRPr="0050341B">
        <w:rPr>
          <w:rFonts w:eastAsia="Calibri"/>
          <w:szCs w:val="28"/>
        </w:rPr>
        <w:t xml:space="preserve"> на тлі достовірного зниження за 2009-2018</w:t>
      </w:r>
      <w:r w:rsidRPr="0050341B">
        <w:rPr>
          <w:rFonts w:eastAsia="Calibri"/>
          <w:szCs w:val="28"/>
          <w:lang w:val="ru-RU"/>
        </w:rPr>
        <w:t> </w:t>
      </w:r>
      <w:r w:rsidRPr="0050341B">
        <w:rPr>
          <w:rFonts w:eastAsia="Calibri"/>
          <w:szCs w:val="28"/>
        </w:rPr>
        <w:t xml:space="preserve">рр. показника смертності поза стаціонару дітей віком до 1-го року життя, з 1,36 до 0,89 з розрахунку на 1000 дітей відповідного віку (ВШ 0,77 [95% ДІ 067-0,89], р&lt;0,001), </w:t>
      </w:r>
      <w:r w:rsidR="00C55586" w:rsidRPr="00C55586">
        <w:rPr>
          <w:rFonts w:eastAsia="Calibri"/>
          <w:szCs w:val="28"/>
        </w:rPr>
        <w:t xml:space="preserve">але </w:t>
      </w:r>
      <w:r w:rsidRPr="0050341B">
        <w:rPr>
          <w:rFonts w:eastAsia="Calibri"/>
          <w:szCs w:val="28"/>
        </w:rPr>
        <w:t xml:space="preserve">сталого зниження </w:t>
      </w:r>
      <w:r w:rsidR="00C55586" w:rsidRPr="00C55586">
        <w:rPr>
          <w:rFonts w:eastAsia="Calibri"/>
          <w:szCs w:val="28"/>
        </w:rPr>
        <w:t xml:space="preserve">показника </w:t>
      </w:r>
      <w:r w:rsidR="00C55586">
        <w:rPr>
          <w:rFonts w:eastAsia="Calibri"/>
          <w:szCs w:val="28"/>
        </w:rPr>
        <w:t>упродовж останніх 6 років не спостеріга</w:t>
      </w:r>
      <w:r w:rsidR="00C55586" w:rsidRPr="00C55586">
        <w:rPr>
          <w:rFonts w:eastAsia="Calibri"/>
          <w:szCs w:val="28"/>
        </w:rPr>
        <w:t>лось</w:t>
      </w:r>
      <w:r w:rsidRPr="0050341B">
        <w:rPr>
          <w:rFonts w:eastAsia="Calibri"/>
          <w:szCs w:val="28"/>
        </w:rPr>
        <w:t>;  причинна структура смертності дітей у віці до 1 року життя залишається сталою (І місце – «травми, отруєння та деякі інші наслідки дії зовнішніх причин» відповідно, 33,0% та 27,96%, р=0,153; «Симптоми, ознаки та відхилення від норми» (ІІ місце, відповідно, 24,0% та 21,38%, р=0,433) та «хвороби органів дихання» (ІІІ місце, відповідно, 13,8% та 18,1%, р=0,127)</w:t>
      </w:r>
      <w:r w:rsidRPr="0050341B">
        <w:rPr>
          <w:rFonts w:eastAsia="Calibri"/>
        </w:rPr>
        <w:t>; найбільший внесок у показник DALYs вносять «розлади у матері, пов’язані з вагітністю та неонатальні розлади» (34,75% [95% ДІ 28,29-39,29]), «інші неінфекційні хвороби» 26,8% [95% ДІ 22,96-35,99]), «ненавмисні травми» (8,46% [95% ДІ 7,14-9,57]), «інші інфекційні захворювання (5,76% [95% ДІ 4,18-8,62]) та «респіраторні інфекції та туберкульоз» (5,68% [95% ДІ 4,75-6,51]).</w:t>
      </w:r>
      <w:r w:rsidRPr="0050341B">
        <w:rPr>
          <w:rFonts w:eastAsia="Calibri"/>
          <w:szCs w:val="28"/>
        </w:rPr>
        <w:t xml:space="preserve"> </w:t>
      </w:r>
      <w:r w:rsidRPr="0050341B">
        <w:rPr>
          <w:rFonts w:eastAsia="Calibri"/>
        </w:rPr>
        <w:t>Все вищенаведене вказує на якість надання медичної допомоги та використання сучасних технологій</w:t>
      </w:r>
      <w:r w:rsidR="00AF5D19">
        <w:rPr>
          <w:rFonts w:eastAsia="Calibri"/>
          <w:lang w:val="ru-RU"/>
        </w:rPr>
        <w:t>, в тому числі технологій</w:t>
      </w:r>
      <w:r w:rsidRPr="0050341B">
        <w:rPr>
          <w:rFonts w:eastAsia="Calibri"/>
        </w:rPr>
        <w:t xml:space="preserve"> з доведеною ефективністю по догляду за новонародженими.</w:t>
      </w:r>
    </w:p>
    <w:p w:rsidR="0050341B" w:rsidRPr="0050341B" w:rsidRDefault="0050341B" w:rsidP="0050341B">
      <w:pPr>
        <w:widowControl w:val="0"/>
        <w:ind w:firstLine="708"/>
        <w:rPr>
          <w:rFonts w:eastAsia="Calibri"/>
          <w:color w:val="000000"/>
          <w:szCs w:val="28"/>
        </w:rPr>
      </w:pPr>
      <w:r w:rsidRPr="0050341B">
        <w:rPr>
          <w:rFonts w:eastAsia="Calibri"/>
          <w:i/>
          <w:szCs w:val="28"/>
        </w:rPr>
        <w:t xml:space="preserve">Шоста група проблем </w:t>
      </w:r>
      <w:r w:rsidRPr="0050341B">
        <w:rPr>
          <w:rFonts w:eastAsia="Calibri"/>
          <w:szCs w:val="28"/>
        </w:rPr>
        <w:t>пов’язана з недосконалою на даний час законодавчою базою в питаннях збереження здоров’я та життя</w:t>
      </w:r>
      <w:r w:rsidRPr="0050341B">
        <w:rPr>
          <w:rFonts w:eastAsia="Calibri"/>
          <w:color w:val="FF0000"/>
          <w:szCs w:val="28"/>
        </w:rPr>
        <w:t xml:space="preserve"> </w:t>
      </w:r>
      <w:r w:rsidRPr="0050341B">
        <w:rPr>
          <w:rFonts w:eastAsia="Calibri"/>
          <w:szCs w:val="28"/>
        </w:rPr>
        <w:t>дітей, зокрема залишається недосконалою законодавча база щодо створення системи надання послуги раннього втручання для забезпечення розвитку дитини, збереження її здоров’я та життя; затверджена Урядом Державна соціальна програма «Національний план дій щодо реалізації Конвенції ООН про права дитини» на період до 2021року не містить чітких механізмів міжсекторальної взаємодії та  реалізації визначених заходів галуззю охорони здоров’я; не імплементовано  стратегії та глобальну</w:t>
      </w:r>
      <w:r w:rsidR="00EE2CC1">
        <w:rPr>
          <w:rFonts w:eastAsia="Calibri"/>
          <w:szCs w:val="28"/>
        </w:rPr>
        <w:t xml:space="preserve"> ініціативу ВООЗ «Кожна жінка, к</w:t>
      </w:r>
      <w:r w:rsidRPr="0050341B">
        <w:rPr>
          <w:rFonts w:eastAsia="Calibri"/>
          <w:szCs w:val="28"/>
        </w:rPr>
        <w:t>ожна дитина»; відсутні державні медичні програми щодо збереження здоров’я дітей та профілактики дитячої смертності; відсутній врегульований на законодавчому рівні</w:t>
      </w:r>
      <w:r w:rsidRPr="0050341B">
        <w:rPr>
          <w:rFonts w:eastAsia="Calibri"/>
        </w:rPr>
        <w:t xml:space="preserve"> </w:t>
      </w:r>
      <w:r w:rsidRPr="0050341B">
        <w:rPr>
          <w:rFonts w:eastAsia="Calibri"/>
          <w:szCs w:val="28"/>
        </w:rPr>
        <w:t xml:space="preserve">єдиний, стандартизований підхід до лікування захворювань та надання медичної допомоги дитячому населенню, незалежно від місця надання медичної допомоги; більшість наявних протоколів є </w:t>
      </w:r>
      <w:r w:rsidRPr="0050341B">
        <w:rPr>
          <w:rFonts w:eastAsia="Calibri"/>
          <w:szCs w:val="28"/>
        </w:rPr>
        <w:lastRenderedPageBreak/>
        <w:t xml:space="preserve">«застарілими» і не базуються на лікуванні з доведеною ефективністю; не врегульовано підвищення професійного рівня на до- та післядипломному рівні лікарів, особливо ЛЗП-СЛ, з питань надання медичної допомоги дитячому населенню та попередження смертності дитячого населення; в декількох областях </w:t>
      </w:r>
      <w:r w:rsidRPr="0050341B">
        <w:rPr>
          <w:rFonts w:eastAsia="Calibri"/>
          <w:color w:val="000000"/>
          <w:szCs w:val="28"/>
        </w:rPr>
        <w:t>країни відсутні регіональні накази про визначення трирівневої системи та розмежування перинатальної медичної допомоги між ЗОЗ відповідно до рівнів перинатальної допомоги.</w:t>
      </w:r>
    </w:p>
    <w:p w:rsidR="0050341B" w:rsidRPr="0050341B" w:rsidRDefault="0050341B" w:rsidP="0050341B">
      <w:pPr>
        <w:widowControl w:val="0"/>
        <w:ind w:firstLine="708"/>
        <w:rPr>
          <w:rFonts w:eastAsia="Calibri"/>
          <w:color w:val="000000"/>
          <w:szCs w:val="28"/>
        </w:rPr>
      </w:pPr>
      <w:r w:rsidRPr="0050341B">
        <w:rPr>
          <w:rFonts w:eastAsia="Calibri"/>
          <w:i/>
          <w:color w:val="000000"/>
          <w:szCs w:val="28"/>
        </w:rPr>
        <w:t xml:space="preserve">Сьома група проблем </w:t>
      </w:r>
      <w:r w:rsidRPr="0050341B">
        <w:rPr>
          <w:rFonts w:eastAsia="Calibri"/>
          <w:color w:val="000000"/>
          <w:szCs w:val="28"/>
        </w:rPr>
        <w:t>пов’язана з  невиконанням або частковим виконанням у системі охорони здоров’я дітей сучасних організаційних та клінічних технологій, з доведеною ефективністю, які рекомендовані ВООЗ та використовуються в провідних країнах світу (сертифікація ЗОЗ на відповідність статусу ЛДД та регіонал</w:t>
      </w:r>
      <w:r w:rsidR="00DF36B7">
        <w:rPr>
          <w:rFonts w:eastAsia="Calibri"/>
          <w:color w:val="000000"/>
          <w:szCs w:val="28"/>
        </w:rPr>
        <w:t>ізація перинатальної допомоги).</w:t>
      </w:r>
    </w:p>
    <w:p w:rsidR="0050341B" w:rsidRPr="0050341B" w:rsidRDefault="0050341B" w:rsidP="0050341B">
      <w:pPr>
        <w:widowControl w:val="0"/>
        <w:ind w:firstLine="708"/>
        <w:rPr>
          <w:rFonts w:eastAsia="Calibri"/>
          <w:color w:val="000000"/>
          <w:szCs w:val="28"/>
        </w:rPr>
      </w:pPr>
      <w:r w:rsidRPr="0050341B">
        <w:rPr>
          <w:rFonts w:eastAsia="Calibri"/>
          <w:i/>
          <w:color w:val="000000"/>
          <w:szCs w:val="28"/>
        </w:rPr>
        <w:t xml:space="preserve">Восьма група проблем </w:t>
      </w:r>
      <w:r w:rsidRPr="0050341B">
        <w:rPr>
          <w:rFonts w:eastAsia="Calibri"/>
          <w:color w:val="000000"/>
          <w:szCs w:val="28"/>
        </w:rPr>
        <w:t>пов’язана з тим, що в Україні система громадського здоров’я не зосереджена на забезпеченні збереження здоров’я та життя дітей, на створення для них відповідн</w:t>
      </w:r>
      <w:r w:rsidRPr="0050341B">
        <w:rPr>
          <w:rFonts w:eastAsia="Calibri"/>
          <w:color w:val="000000"/>
          <w:szCs w:val="28"/>
          <w:lang w:val="ru-RU"/>
        </w:rPr>
        <w:t xml:space="preserve">их </w:t>
      </w:r>
      <w:r w:rsidRPr="0050341B">
        <w:rPr>
          <w:rFonts w:eastAsia="Calibri"/>
          <w:color w:val="000000"/>
          <w:szCs w:val="28"/>
        </w:rPr>
        <w:t xml:space="preserve"> умов </w:t>
      </w:r>
      <w:r w:rsidRPr="0050341B">
        <w:rPr>
          <w:rFonts w:eastAsia="Calibri"/>
          <w:color w:val="000000"/>
          <w:szCs w:val="28"/>
          <w:lang w:val="ru-RU"/>
        </w:rPr>
        <w:t>для збереження здоров</w:t>
      </w:r>
      <w:r w:rsidRPr="0050341B">
        <w:rPr>
          <w:rFonts w:eastAsia="Calibri"/>
          <w:color w:val="000000"/>
          <w:szCs w:val="28"/>
        </w:rPr>
        <w:t>’я та  формування в українському суспільстві відповідального батьківства.</w:t>
      </w:r>
    </w:p>
    <w:p w:rsidR="00EC25E9" w:rsidRPr="00006A39" w:rsidRDefault="00EC25E9" w:rsidP="00721203">
      <w:pPr>
        <w:widowControl w:val="0"/>
        <w:ind w:firstLine="708"/>
        <w:rPr>
          <w:szCs w:val="28"/>
        </w:rPr>
      </w:pPr>
      <w:r w:rsidRPr="00006A39">
        <w:rPr>
          <w:i/>
          <w:szCs w:val="28"/>
        </w:rPr>
        <w:t>Концептуальні підходи</w:t>
      </w:r>
      <w:r w:rsidRPr="00006A39">
        <w:rPr>
          <w:szCs w:val="28"/>
        </w:rPr>
        <w:t xml:space="preserve"> до розробки</w:t>
      </w:r>
      <w:r w:rsidR="00A86766">
        <w:rPr>
          <w:szCs w:val="28"/>
        </w:rPr>
        <w:t xml:space="preserve"> інноваційної</w:t>
      </w:r>
      <w:r w:rsidRPr="00006A39">
        <w:rPr>
          <w:szCs w:val="28"/>
        </w:rPr>
        <w:t xml:space="preserve"> системи</w:t>
      </w:r>
      <w:r w:rsidR="00A86766">
        <w:rPr>
          <w:szCs w:val="28"/>
        </w:rPr>
        <w:t xml:space="preserve"> медико-соціальної допомоги дітям</w:t>
      </w:r>
      <w:r w:rsidRPr="00006A39">
        <w:rPr>
          <w:szCs w:val="28"/>
        </w:rPr>
        <w:t xml:space="preserve"> до 5 років мають базуватися на усуненні  встановлених проблем. </w:t>
      </w:r>
    </w:p>
    <w:p w:rsidR="00EC25E9" w:rsidRPr="00006A39" w:rsidRDefault="00EC25E9" w:rsidP="00721203">
      <w:pPr>
        <w:widowControl w:val="0"/>
        <w:ind w:firstLine="708"/>
        <w:rPr>
          <w:szCs w:val="28"/>
        </w:rPr>
      </w:pPr>
      <w:r w:rsidRPr="00006A39">
        <w:rPr>
          <w:szCs w:val="28"/>
        </w:rPr>
        <w:t>На початку нами виділено основні за</w:t>
      </w:r>
      <w:r w:rsidR="00E47B99">
        <w:rPr>
          <w:szCs w:val="28"/>
        </w:rPr>
        <w:t>дачі для системи, що обґрунтовую</w:t>
      </w:r>
      <w:r w:rsidRPr="00006A39">
        <w:rPr>
          <w:szCs w:val="28"/>
        </w:rPr>
        <w:t>ться, які полягають в наступному:</w:t>
      </w:r>
    </w:p>
    <w:p w:rsidR="00EC25E9" w:rsidRPr="00006A39" w:rsidRDefault="00EC25E9" w:rsidP="0074719A">
      <w:pPr>
        <w:pStyle w:val="a5"/>
        <w:widowControl w:val="0"/>
        <w:numPr>
          <w:ilvl w:val="0"/>
          <w:numId w:val="18"/>
        </w:numPr>
        <w:tabs>
          <w:tab w:val="left" w:pos="523"/>
        </w:tabs>
        <w:ind w:left="993"/>
        <w:rPr>
          <w:szCs w:val="28"/>
        </w:rPr>
      </w:pPr>
      <w:r w:rsidRPr="00006A39">
        <w:rPr>
          <w:szCs w:val="28"/>
        </w:rPr>
        <w:t xml:space="preserve">забезпечення міжсекторального підходу в </w:t>
      </w:r>
      <w:r w:rsidR="00E47B99">
        <w:rPr>
          <w:szCs w:val="28"/>
        </w:rPr>
        <w:t xml:space="preserve">інноваційній </w:t>
      </w:r>
      <w:r w:rsidRPr="00006A39">
        <w:rPr>
          <w:szCs w:val="28"/>
        </w:rPr>
        <w:t xml:space="preserve">системі </w:t>
      </w:r>
      <w:r w:rsidR="00E47B99">
        <w:rPr>
          <w:szCs w:val="28"/>
        </w:rPr>
        <w:t>медико-соціальної допомоги дітям до 5 років життя</w:t>
      </w:r>
      <w:r w:rsidRPr="00006A39">
        <w:rPr>
          <w:szCs w:val="28"/>
        </w:rPr>
        <w:t xml:space="preserve">; </w:t>
      </w:r>
    </w:p>
    <w:p w:rsidR="00EC25E9" w:rsidRPr="00006A39" w:rsidRDefault="00EC25E9" w:rsidP="0074719A">
      <w:pPr>
        <w:pStyle w:val="a5"/>
        <w:widowControl w:val="0"/>
        <w:numPr>
          <w:ilvl w:val="0"/>
          <w:numId w:val="18"/>
        </w:numPr>
        <w:tabs>
          <w:tab w:val="left" w:pos="523"/>
        </w:tabs>
        <w:ind w:left="993"/>
        <w:rPr>
          <w:szCs w:val="28"/>
        </w:rPr>
      </w:pPr>
      <w:r w:rsidRPr="00006A39">
        <w:rPr>
          <w:szCs w:val="28"/>
        </w:rPr>
        <w:t>забезпечення безперервного підвищення кваліфікації мед</w:t>
      </w:r>
      <w:r w:rsidR="00191C0C">
        <w:rPr>
          <w:szCs w:val="28"/>
        </w:rPr>
        <w:t xml:space="preserve">ичних працівників, починаючи з лікарів </w:t>
      </w:r>
      <w:r w:rsidRPr="00006A39">
        <w:rPr>
          <w:szCs w:val="28"/>
        </w:rPr>
        <w:t>ЗП-СЛ</w:t>
      </w:r>
      <w:r w:rsidR="0094481A" w:rsidRPr="00006A39">
        <w:rPr>
          <w:szCs w:val="28"/>
        </w:rPr>
        <w:t>,</w:t>
      </w:r>
      <w:r w:rsidRPr="00006A39">
        <w:rPr>
          <w:szCs w:val="28"/>
        </w:rPr>
        <w:t xml:space="preserve"> </w:t>
      </w:r>
      <w:r w:rsidR="0094481A" w:rsidRPr="00006A39">
        <w:rPr>
          <w:szCs w:val="28"/>
        </w:rPr>
        <w:t>з</w:t>
      </w:r>
      <w:r w:rsidRPr="00006A39">
        <w:rPr>
          <w:szCs w:val="28"/>
        </w:rPr>
        <w:t xml:space="preserve"> питань </w:t>
      </w:r>
      <w:r w:rsidR="002C65A4">
        <w:rPr>
          <w:szCs w:val="28"/>
        </w:rPr>
        <w:t xml:space="preserve">збереження здоров’я дітей, </w:t>
      </w:r>
      <w:r w:rsidR="0094481A" w:rsidRPr="00006A39">
        <w:rPr>
          <w:szCs w:val="28"/>
        </w:rPr>
        <w:t>запобігання</w:t>
      </w:r>
      <w:r w:rsidRPr="00006A39">
        <w:rPr>
          <w:szCs w:val="28"/>
        </w:rPr>
        <w:t xml:space="preserve"> дитячої смертності та </w:t>
      </w:r>
      <w:r w:rsidR="0094481A" w:rsidRPr="00006A39">
        <w:rPr>
          <w:szCs w:val="28"/>
        </w:rPr>
        <w:t xml:space="preserve">підвищення </w:t>
      </w:r>
      <w:r w:rsidRPr="00006A39">
        <w:rPr>
          <w:szCs w:val="28"/>
        </w:rPr>
        <w:t>якості надання медичної допомоги тощо;</w:t>
      </w:r>
    </w:p>
    <w:p w:rsidR="003E2FAC" w:rsidRPr="00006A39" w:rsidRDefault="003E2FAC" w:rsidP="0074719A">
      <w:pPr>
        <w:pStyle w:val="a5"/>
        <w:widowControl w:val="0"/>
        <w:numPr>
          <w:ilvl w:val="1"/>
          <w:numId w:val="18"/>
        </w:numPr>
        <w:tabs>
          <w:tab w:val="left" w:pos="523"/>
        </w:tabs>
        <w:ind w:left="993"/>
        <w:rPr>
          <w:szCs w:val="28"/>
        </w:rPr>
      </w:pPr>
      <w:r w:rsidRPr="00006A39">
        <w:rPr>
          <w:szCs w:val="28"/>
        </w:rPr>
        <w:t>формування розвинутої інфраструктури з популяризаці</w:t>
      </w:r>
      <w:r w:rsidR="0094481A" w:rsidRPr="00006A39">
        <w:rPr>
          <w:szCs w:val="28"/>
        </w:rPr>
        <w:t>єю</w:t>
      </w:r>
      <w:r w:rsidRPr="00006A39">
        <w:rPr>
          <w:szCs w:val="28"/>
        </w:rPr>
        <w:t xml:space="preserve"> пріоритетності здоров’я дитини у суспільстві та формування відповідального батьківства;</w:t>
      </w:r>
    </w:p>
    <w:p w:rsidR="003E2FAC" w:rsidRPr="00006A39" w:rsidRDefault="003E2FAC" w:rsidP="0074719A">
      <w:pPr>
        <w:pStyle w:val="a5"/>
        <w:widowControl w:val="0"/>
        <w:numPr>
          <w:ilvl w:val="1"/>
          <w:numId w:val="18"/>
        </w:numPr>
        <w:tabs>
          <w:tab w:val="left" w:pos="523"/>
        </w:tabs>
        <w:ind w:left="993"/>
        <w:rPr>
          <w:color w:val="000000" w:themeColor="text1"/>
          <w:szCs w:val="28"/>
        </w:rPr>
      </w:pPr>
      <w:r w:rsidRPr="00006A39">
        <w:rPr>
          <w:color w:val="000000" w:themeColor="text1"/>
          <w:szCs w:val="28"/>
        </w:rPr>
        <w:t>запровадження електронної системи охорони здоров’я;</w:t>
      </w:r>
    </w:p>
    <w:p w:rsidR="003E2FAC" w:rsidRPr="00006A39" w:rsidRDefault="003E2FAC" w:rsidP="0074719A">
      <w:pPr>
        <w:pStyle w:val="a5"/>
        <w:widowControl w:val="0"/>
        <w:numPr>
          <w:ilvl w:val="1"/>
          <w:numId w:val="18"/>
        </w:numPr>
        <w:tabs>
          <w:tab w:val="left" w:pos="523"/>
        </w:tabs>
        <w:ind w:left="993"/>
        <w:rPr>
          <w:color w:val="000000" w:themeColor="text1"/>
          <w:szCs w:val="28"/>
        </w:rPr>
      </w:pPr>
      <w:r w:rsidRPr="00006A39">
        <w:rPr>
          <w:color w:val="000000" w:themeColor="text1"/>
          <w:szCs w:val="28"/>
        </w:rPr>
        <w:t xml:space="preserve">реформування </w:t>
      </w:r>
      <w:r w:rsidR="00105639" w:rsidRPr="00006A39">
        <w:rPr>
          <w:color w:val="000000" w:themeColor="text1"/>
          <w:szCs w:val="28"/>
        </w:rPr>
        <w:t xml:space="preserve">фінансування </w:t>
      </w:r>
      <w:r w:rsidRPr="00006A39">
        <w:rPr>
          <w:color w:val="000000" w:themeColor="text1"/>
          <w:szCs w:val="28"/>
        </w:rPr>
        <w:t xml:space="preserve">галузі ОЗ з метою забезпечення якісною </w:t>
      </w:r>
      <w:r w:rsidRPr="00006A39">
        <w:rPr>
          <w:color w:val="000000" w:themeColor="text1"/>
          <w:szCs w:val="28"/>
        </w:rPr>
        <w:lastRenderedPageBreak/>
        <w:t>медичною допомогою дитяч</w:t>
      </w:r>
      <w:r w:rsidR="009C5CF7">
        <w:rPr>
          <w:color w:val="000000" w:themeColor="text1"/>
          <w:szCs w:val="28"/>
        </w:rPr>
        <w:t>ого</w:t>
      </w:r>
      <w:r w:rsidRPr="00006A39">
        <w:rPr>
          <w:color w:val="000000" w:themeColor="text1"/>
          <w:szCs w:val="28"/>
        </w:rPr>
        <w:t xml:space="preserve"> населення усіх соціальних груп</w:t>
      </w:r>
      <w:r w:rsidR="00E47B99">
        <w:rPr>
          <w:color w:val="000000" w:themeColor="text1"/>
          <w:szCs w:val="28"/>
        </w:rPr>
        <w:t xml:space="preserve">, </w:t>
      </w:r>
      <w:r w:rsidR="00166A87">
        <w:rPr>
          <w:color w:val="000000" w:themeColor="text1"/>
          <w:szCs w:val="28"/>
        </w:rPr>
        <w:t xml:space="preserve">інтегроване ведення хвороб дитячого віку, </w:t>
      </w:r>
      <w:r w:rsidR="00E47B99">
        <w:rPr>
          <w:color w:val="000000" w:themeColor="text1"/>
          <w:szCs w:val="28"/>
        </w:rPr>
        <w:t>впровадже</w:t>
      </w:r>
      <w:r w:rsidR="00D13CFF">
        <w:rPr>
          <w:color w:val="000000" w:themeColor="text1"/>
          <w:szCs w:val="28"/>
        </w:rPr>
        <w:t>ння послуг раннього втручання, к</w:t>
      </w:r>
      <w:r w:rsidR="00E47B99">
        <w:rPr>
          <w:color w:val="000000" w:themeColor="text1"/>
          <w:szCs w:val="28"/>
        </w:rPr>
        <w:t>атамнестичного спостереження, реабілітації, паліативної допомоги</w:t>
      </w:r>
      <w:r w:rsidRPr="00006A39">
        <w:rPr>
          <w:color w:val="000000" w:themeColor="text1"/>
          <w:szCs w:val="28"/>
        </w:rPr>
        <w:t>;</w:t>
      </w:r>
    </w:p>
    <w:p w:rsidR="0096581A" w:rsidRPr="00006A39" w:rsidRDefault="0096581A" w:rsidP="0074719A">
      <w:pPr>
        <w:pStyle w:val="a5"/>
        <w:widowControl w:val="0"/>
        <w:numPr>
          <w:ilvl w:val="1"/>
          <w:numId w:val="18"/>
        </w:numPr>
        <w:tabs>
          <w:tab w:val="left" w:pos="523"/>
        </w:tabs>
        <w:ind w:left="993"/>
        <w:rPr>
          <w:color w:val="000000" w:themeColor="text1"/>
          <w:szCs w:val="28"/>
        </w:rPr>
      </w:pPr>
      <w:r w:rsidRPr="00006A39">
        <w:rPr>
          <w:color w:val="000000" w:themeColor="text1"/>
          <w:szCs w:val="28"/>
        </w:rPr>
        <w:t xml:space="preserve">здійснення безперервного моніторингу та </w:t>
      </w:r>
      <w:r w:rsidR="006F2C3E" w:rsidRPr="00006A39">
        <w:rPr>
          <w:color w:val="000000" w:themeColor="text1"/>
          <w:szCs w:val="28"/>
        </w:rPr>
        <w:t>оцінки</w:t>
      </w:r>
      <w:r w:rsidRPr="00006A39">
        <w:rPr>
          <w:color w:val="000000" w:themeColor="text1"/>
          <w:szCs w:val="28"/>
        </w:rPr>
        <w:t xml:space="preserve"> якості надання медичної допомоги дитячому населенню на національному рівні</w:t>
      </w:r>
      <w:r w:rsidR="00166A87">
        <w:rPr>
          <w:color w:val="000000" w:themeColor="text1"/>
          <w:szCs w:val="28"/>
        </w:rPr>
        <w:t xml:space="preserve"> (інтегроване управління якістю медичної допомоги)</w:t>
      </w:r>
      <w:r w:rsidRPr="00006A39">
        <w:rPr>
          <w:color w:val="000000" w:themeColor="text1"/>
          <w:szCs w:val="28"/>
        </w:rPr>
        <w:t>;</w:t>
      </w:r>
    </w:p>
    <w:p w:rsidR="00EC25E9" w:rsidRPr="00006A39" w:rsidRDefault="00EC25E9" w:rsidP="0074719A">
      <w:pPr>
        <w:pStyle w:val="a5"/>
        <w:widowControl w:val="0"/>
        <w:numPr>
          <w:ilvl w:val="1"/>
          <w:numId w:val="18"/>
        </w:numPr>
        <w:tabs>
          <w:tab w:val="left" w:pos="523"/>
        </w:tabs>
        <w:ind w:left="993"/>
        <w:rPr>
          <w:szCs w:val="28"/>
        </w:rPr>
      </w:pPr>
      <w:r w:rsidRPr="00006A39">
        <w:rPr>
          <w:szCs w:val="28"/>
        </w:rPr>
        <w:t xml:space="preserve">підвищення якості, доступності та результативності медичної допомоги дітям та вагітним на </w:t>
      </w:r>
      <w:r w:rsidR="003E2FAC" w:rsidRPr="00006A39">
        <w:rPr>
          <w:szCs w:val="28"/>
        </w:rPr>
        <w:t>госпітальному рівні</w:t>
      </w:r>
      <w:r w:rsidRPr="00006A39">
        <w:rPr>
          <w:szCs w:val="28"/>
        </w:rPr>
        <w:t xml:space="preserve">; </w:t>
      </w:r>
    </w:p>
    <w:p w:rsidR="003E2FAC" w:rsidRPr="00006A39" w:rsidRDefault="003E2FAC" w:rsidP="0074719A">
      <w:pPr>
        <w:pStyle w:val="a5"/>
        <w:widowControl w:val="0"/>
        <w:numPr>
          <w:ilvl w:val="1"/>
          <w:numId w:val="18"/>
        </w:numPr>
        <w:tabs>
          <w:tab w:val="left" w:pos="523"/>
        </w:tabs>
        <w:ind w:left="993"/>
        <w:rPr>
          <w:szCs w:val="28"/>
        </w:rPr>
      </w:pPr>
      <w:r w:rsidRPr="00006A39">
        <w:rPr>
          <w:szCs w:val="28"/>
        </w:rPr>
        <w:t>забезпечення високого рівня медико-гігієнічної освіти дітей;</w:t>
      </w:r>
    </w:p>
    <w:p w:rsidR="00EC25E9" w:rsidRPr="00006A39" w:rsidRDefault="00EC25E9" w:rsidP="0074719A">
      <w:pPr>
        <w:pStyle w:val="a5"/>
        <w:widowControl w:val="0"/>
        <w:numPr>
          <w:ilvl w:val="1"/>
          <w:numId w:val="18"/>
        </w:numPr>
        <w:tabs>
          <w:tab w:val="left" w:pos="523"/>
        </w:tabs>
        <w:ind w:left="993"/>
        <w:rPr>
          <w:szCs w:val="28"/>
        </w:rPr>
      </w:pPr>
      <w:r w:rsidRPr="00006A39">
        <w:rPr>
          <w:szCs w:val="28"/>
        </w:rPr>
        <w:t>активне залучення громадськості до вирішення проблеми попередження дитячої смертності</w:t>
      </w:r>
      <w:r w:rsidR="003E2FAC" w:rsidRPr="00006A39">
        <w:rPr>
          <w:szCs w:val="28"/>
        </w:rPr>
        <w:t>.</w:t>
      </w:r>
    </w:p>
    <w:p w:rsidR="00EC25E9" w:rsidRPr="00006A39" w:rsidRDefault="00EC25E9" w:rsidP="00721203">
      <w:pPr>
        <w:widowControl w:val="0"/>
        <w:ind w:firstLine="708"/>
        <w:rPr>
          <w:szCs w:val="28"/>
        </w:rPr>
      </w:pPr>
      <w:r w:rsidRPr="00006A39">
        <w:rPr>
          <w:szCs w:val="28"/>
        </w:rPr>
        <w:t>Концептуальні підходи є комплексними, носять міжсекторальний характер і розділяються за рівнями управління. В зв’язку з цим нами розроблено задачі та функції для всіх основних учасників процесу</w:t>
      </w:r>
      <w:r w:rsidR="00166A87">
        <w:rPr>
          <w:szCs w:val="28"/>
        </w:rPr>
        <w:t xml:space="preserve"> сприяння</w:t>
      </w:r>
      <w:r w:rsidRPr="00006A39">
        <w:rPr>
          <w:szCs w:val="28"/>
        </w:rPr>
        <w:t xml:space="preserve"> </w:t>
      </w:r>
      <w:r w:rsidR="00166A87">
        <w:rPr>
          <w:szCs w:val="28"/>
        </w:rPr>
        <w:t>зниженню</w:t>
      </w:r>
      <w:r w:rsidRPr="00006A39">
        <w:rPr>
          <w:szCs w:val="28"/>
        </w:rPr>
        <w:t xml:space="preserve"> смертності </w:t>
      </w:r>
      <w:r w:rsidR="006F2C3E" w:rsidRPr="00006A39">
        <w:rPr>
          <w:szCs w:val="28"/>
        </w:rPr>
        <w:t>дітей</w:t>
      </w:r>
      <w:r w:rsidR="0094481A" w:rsidRPr="00006A39">
        <w:rPr>
          <w:szCs w:val="28"/>
        </w:rPr>
        <w:t xml:space="preserve"> віком до 5 років</w:t>
      </w:r>
      <w:r w:rsidR="00166A87">
        <w:rPr>
          <w:szCs w:val="28"/>
        </w:rPr>
        <w:t xml:space="preserve"> життя</w:t>
      </w:r>
      <w:r w:rsidR="0094481A" w:rsidRPr="00006A39">
        <w:rPr>
          <w:szCs w:val="28"/>
        </w:rPr>
        <w:t xml:space="preserve"> </w:t>
      </w:r>
      <w:r w:rsidRPr="00006A39">
        <w:rPr>
          <w:szCs w:val="28"/>
        </w:rPr>
        <w:t>та збереження їх здоров’я.</w:t>
      </w:r>
    </w:p>
    <w:p w:rsidR="00EC25E9" w:rsidRPr="00006A39" w:rsidRDefault="00EC25E9" w:rsidP="00721203">
      <w:pPr>
        <w:widowControl w:val="0"/>
        <w:ind w:firstLine="708"/>
        <w:rPr>
          <w:szCs w:val="28"/>
        </w:rPr>
      </w:pPr>
      <w:r w:rsidRPr="00006A39">
        <w:rPr>
          <w:szCs w:val="28"/>
        </w:rPr>
        <w:t>Задачі та функції центральної влади:</w:t>
      </w:r>
    </w:p>
    <w:p w:rsidR="006B59BC" w:rsidRPr="00020AC8" w:rsidRDefault="003E2FAC" w:rsidP="0074719A">
      <w:pPr>
        <w:pStyle w:val="a5"/>
        <w:widowControl w:val="0"/>
        <w:numPr>
          <w:ilvl w:val="0"/>
          <w:numId w:val="17"/>
        </w:numPr>
        <w:tabs>
          <w:tab w:val="left" w:pos="993"/>
        </w:tabs>
        <w:ind w:left="0" w:firstLine="708"/>
        <w:rPr>
          <w:szCs w:val="28"/>
        </w:rPr>
      </w:pPr>
      <w:r w:rsidRPr="00006A39">
        <w:rPr>
          <w:i/>
          <w:szCs w:val="28"/>
        </w:rPr>
        <w:t>Загальні</w:t>
      </w:r>
      <w:r w:rsidR="00EC25E9" w:rsidRPr="00006A39">
        <w:rPr>
          <w:i/>
          <w:szCs w:val="28"/>
        </w:rPr>
        <w:t xml:space="preserve"> задачі </w:t>
      </w:r>
      <w:r w:rsidRPr="00006A39">
        <w:rPr>
          <w:i/>
          <w:szCs w:val="28"/>
        </w:rPr>
        <w:t>та</w:t>
      </w:r>
      <w:r w:rsidR="00EC25E9" w:rsidRPr="00006A39">
        <w:rPr>
          <w:i/>
          <w:szCs w:val="28"/>
        </w:rPr>
        <w:t xml:space="preserve"> </w:t>
      </w:r>
      <w:r w:rsidRPr="00006A39">
        <w:rPr>
          <w:i/>
          <w:szCs w:val="28"/>
        </w:rPr>
        <w:t>функції</w:t>
      </w:r>
      <w:r w:rsidR="00EC25E9" w:rsidRPr="00006A39">
        <w:rPr>
          <w:i/>
          <w:szCs w:val="28"/>
        </w:rPr>
        <w:t xml:space="preserve"> </w:t>
      </w:r>
      <w:r w:rsidRPr="00006A39">
        <w:rPr>
          <w:i/>
          <w:szCs w:val="28"/>
        </w:rPr>
        <w:t>центральної</w:t>
      </w:r>
      <w:r w:rsidR="00EC25E9" w:rsidRPr="00006A39">
        <w:rPr>
          <w:i/>
          <w:szCs w:val="28"/>
        </w:rPr>
        <w:t xml:space="preserve"> влади</w:t>
      </w:r>
      <w:r w:rsidR="00EC25E9" w:rsidRPr="00006A39">
        <w:rPr>
          <w:szCs w:val="28"/>
        </w:rPr>
        <w:t xml:space="preserve"> полягають у </w:t>
      </w:r>
      <w:r w:rsidR="00EC25E9" w:rsidRPr="00006A39">
        <w:rPr>
          <w:color w:val="000000" w:themeColor="text1"/>
          <w:szCs w:val="28"/>
        </w:rPr>
        <w:t xml:space="preserve">прийнятті </w:t>
      </w:r>
      <w:bookmarkStart w:id="2" w:name="OLE_LINK1"/>
      <w:r w:rsidR="0068323D" w:rsidRPr="00006A39">
        <w:rPr>
          <w:color w:val="000000" w:themeColor="text1"/>
          <w:szCs w:val="28"/>
        </w:rPr>
        <w:t>Закону</w:t>
      </w:r>
      <w:r w:rsidR="008666E4">
        <w:rPr>
          <w:color w:val="000000" w:themeColor="text1"/>
          <w:szCs w:val="28"/>
        </w:rPr>
        <w:t xml:space="preserve"> України</w:t>
      </w:r>
      <w:r w:rsidR="0068323D" w:rsidRPr="00006A39">
        <w:rPr>
          <w:color w:val="000000" w:themeColor="text1"/>
          <w:szCs w:val="28"/>
        </w:rPr>
        <w:t xml:space="preserve"> </w:t>
      </w:r>
      <w:r w:rsidR="008666E4" w:rsidRPr="008666E4">
        <w:rPr>
          <w:color w:val="000000" w:themeColor="text1"/>
          <w:szCs w:val="28"/>
        </w:rPr>
        <w:t>«Про державні фінансові гарантії медичного обслуговування населення» та прийняття інших законів, що стосуються ОЗ матері та дитини</w:t>
      </w:r>
      <w:r w:rsidR="00F42B48" w:rsidRPr="00006A39">
        <w:rPr>
          <w:color w:val="000000" w:themeColor="text1"/>
          <w:szCs w:val="28"/>
        </w:rPr>
        <w:t xml:space="preserve">, </w:t>
      </w:r>
      <w:r w:rsidR="0068323D" w:rsidRPr="00006A39">
        <w:rPr>
          <w:color w:val="000000" w:themeColor="text1"/>
          <w:szCs w:val="28"/>
        </w:rPr>
        <w:t>Порядку функціонування електронної системи охорони здоров’я</w:t>
      </w:r>
      <w:r w:rsidR="008666E4">
        <w:rPr>
          <w:color w:val="000000" w:themeColor="text1"/>
          <w:szCs w:val="28"/>
        </w:rPr>
        <w:t>,</w:t>
      </w:r>
      <w:r w:rsidR="0068323D" w:rsidRPr="00006A39">
        <w:rPr>
          <w:rFonts w:ascii="ProbaPro" w:hAnsi="ProbaPro"/>
          <w:b/>
          <w:bCs/>
          <w:color w:val="000000" w:themeColor="text1"/>
          <w:sz w:val="27"/>
          <w:szCs w:val="27"/>
          <w:shd w:val="clear" w:color="auto" w:fill="FFFFFF"/>
        </w:rPr>
        <w:t xml:space="preserve"> </w:t>
      </w:r>
      <w:r w:rsidR="00EC25E9" w:rsidRPr="00006A39">
        <w:rPr>
          <w:szCs w:val="28"/>
        </w:rPr>
        <w:t>Національної багатосекторальної програми з попередження дитячої смертності з імплементацією заходів глобальної</w:t>
      </w:r>
      <w:r w:rsidR="00B00800">
        <w:rPr>
          <w:szCs w:val="28"/>
        </w:rPr>
        <w:t xml:space="preserve"> ініціативи ВООЗ «Кожна жінка, к</w:t>
      </w:r>
      <w:r w:rsidR="00EC25E9" w:rsidRPr="00006A39">
        <w:rPr>
          <w:szCs w:val="28"/>
        </w:rPr>
        <w:t>ожна дитина»; реалізація законодавства України з соціальної політики щодо охорони здоров’я матері та дитини та проведення ефективної держаної політики по відношенню сімей із соціальними ризиком</w:t>
      </w:r>
      <w:r w:rsidR="00753665">
        <w:rPr>
          <w:szCs w:val="28"/>
        </w:rPr>
        <w:t>, до дітей з особливими потребами</w:t>
      </w:r>
      <w:r w:rsidR="00EC25E9" w:rsidRPr="00006A39">
        <w:rPr>
          <w:szCs w:val="28"/>
        </w:rPr>
        <w:t>.</w:t>
      </w:r>
    </w:p>
    <w:bookmarkEnd w:id="2"/>
    <w:p w:rsidR="00EC25E9" w:rsidRPr="00006A39" w:rsidRDefault="00EC25E9" w:rsidP="00721203">
      <w:pPr>
        <w:widowControl w:val="0"/>
        <w:ind w:firstLine="708"/>
        <w:rPr>
          <w:color w:val="FF0000"/>
          <w:szCs w:val="28"/>
        </w:rPr>
      </w:pPr>
      <w:r w:rsidRPr="00006A39">
        <w:rPr>
          <w:szCs w:val="28"/>
        </w:rPr>
        <w:t>II.</w:t>
      </w:r>
      <w:r w:rsidRPr="00006A39">
        <w:rPr>
          <w:i/>
          <w:szCs w:val="28"/>
        </w:rPr>
        <w:t xml:space="preserve"> Специфічні задачі та функції центральної влади: </w:t>
      </w:r>
      <w:r w:rsidRPr="008666E4">
        <w:rPr>
          <w:szCs w:val="28"/>
        </w:rPr>
        <w:t>МОЗ України</w:t>
      </w:r>
      <w:r w:rsidRPr="00006A39">
        <w:rPr>
          <w:i/>
          <w:color w:val="FF0000"/>
          <w:szCs w:val="28"/>
        </w:rPr>
        <w:t xml:space="preserve"> </w:t>
      </w:r>
      <w:r w:rsidRPr="00006A39">
        <w:rPr>
          <w:szCs w:val="28"/>
        </w:rPr>
        <w:t>координація та контроль за реалізацією іншими Міністерст</w:t>
      </w:r>
      <w:r w:rsidR="004D0376">
        <w:rPr>
          <w:szCs w:val="28"/>
        </w:rPr>
        <w:t>вами та відомствами Державної</w:t>
      </w:r>
      <w:r w:rsidRPr="00006A39">
        <w:rPr>
          <w:szCs w:val="28"/>
        </w:rPr>
        <w:t xml:space="preserve"> багатосекторальної програми з</w:t>
      </w:r>
      <w:r w:rsidR="004D0376">
        <w:rPr>
          <w:szCs w:val="28"/>
        </w:rPr>
        <w:t xml:space="preserve"> охорони матері та дитини</w:t>
      </w:r>
      <w:r w:rsidRPr="00006A39">
        <w:rPr>
          <w:szCs w:val="28"/>
        </w:rPr>
        <w:t xml:space="preserve"> з імплементацією заходів глобальної</w:t>
      </w:r>
      <w:r w:rsidR="00B00800">
        <w:rPr>
          <w:szCs w:val="28"/>
        </w:rPr>
        <w:t xml:space="preserve"> ініціативи ВООЗ «Кожна жінка, к</w:t>
      </w:r>
      <w:r w:rsidRPr="00006A39">
        <w:rPr>
          <w:szCs w:val="28"/>
        </w:rPr>
        <w:t>ожна дитина»</w:t>
      </w:r>
      <w:r w:rsidR="008666E4">
        <w:rPr>
          <w:szCs w:val="28"/>
        </w:rPr>
        <w:t>;</w:t>
      </w:r>
      <w:r w:rsidRPr="00006A39">
        <w:rPr>
          <w:szCs w:val="28"/>
        </w:rPr>
        <w:t xml:space="preserve"> розробка та прийняття нормативно-правових актів щодо охорони дитинства </w:t>
      </w:r>
      <w:r w:rsidRPr="00006A39">
        <w:rPr>
          <w:szCs w:val="28"/>
        </w:rPr>
        <w:lastRenderedPageBreak/>
        <w:t>відповідно до прийнятої програми; моніторинг та оцінка стану здоров’я дитячого населення та випадків дитячої смертності; впровадження</w:t>
      </w:r>
      <w:r w:rsidRPr="00006A39">
        <w:t xml:space="preserve"> </w:t>
      </w:r>
      <w:r w:rsidRPr="00006A39">
        <w:rPr>
          <w:szCs w:val="28"/>
        </w:rPr>
        <w:t>передових сучасних технологій щодо надання медичної допомоги дітям</w:t>
      </w:r>
      <w:r w:rsidR="00020AC8">
        <w:rPr>
          <w:szCs w:val="28"/>
        </w:rPr>
        <w:t xml:space="preserve"> з доведеною ефективністю, медичних послуг</w:t>
      </w:r>
      <w:r w:rsidRPr="00006A39">
        <w:rPr>
          <w:szCs w:val="28"/>
        </w:rPr>
        <w:t>; нормативно-правове забезпечення соціальних гарантій щодо дитячого населення; пріоритетне фінансування медичної допомоги матері та дитини, удосконалення його механізмів, забезпечення доступності медичної допомоги дітям всіх верств населення; сприяння та нормативно-правове регулювання розвитку мережі медичних закладів профілактичної спрямованості; приведен</w:t>
      </w:r>
      <w:r w:rsidR="009C5CF7">
        <w:rPr>
          <w:szCs w:val="28"/>
        </w:rPr>
        <w:t>ня у відповідність складність та</w:t>
      </w:r>
      <w:r w:rsidRPr="00006A39">
        <w:rPr>
          <w:szCs w:val="28"/>
        </w:rPr>
        <w:t xml:space="preserve"> напруженість праці медичних працівників;</w:t>
      </w:r>
      <w:r w:rsidRPr="00006A39">
        <w:t xml:space="preserve"> </w:t>
      </w:r>
      <w:r w:rsidRPr="00006A39">
        <w:rPr>
          <w:szCs w:val="28"/>
        </w:rPr>
        <w:t>єдина державна медична  інформаційна система педіатричної допомоги (реєстр новонароджених, що народились передчасно та/або хворими, електронний медичний документообіг); Інтернет-ресурс державного рівня із попередження дитячої смертності; регу</w:t>
      </w:r>
      <w:r w:rsidR="00E421C4">
        <w:rPr>
          <w:szCs w:val="28"/>
        </w:rPr>
        <w:t>лювання освітньої діяльності ВН</w:t>
      </w:r>
      <w:r w:rsidRPr="00006A39">
        <w:rPr>
          <w:szCs w:val="28"/>
        </w:rPr>
        <w:t>З (до- та післядипломний рівень освіти) в напрямі впровадження програм навчання лікарів відповідному компетенційному та кваліфікаційному рівням знань з надання допомоги дітям, перинатальної допомоги, зокрема навчан</w:t>
      </w:r>
      <w:r w:rsidR="00DE6A46">
        <w:rPr>
          <w:szCs w:val="28"/>
        </w:rPr>
        <w:t xml:space="preserve">ня лікарів </w:t>
      </w:r>
      <w:r w:rsidRPr="00006A39">
        <w:rPr>
          <w:szCs w:val="28"/>
        </w:rPr>
        <w:t>ЗП-СЛ з питань профілактики дитячої смертності, перинатології; підвищення рівня знань лікарів з питань введення дитячого населення.</w:t>
      </w:r>
    </w:p>
    <w:p w:rsidR="00EC25E9" w:rsidRPr="00006A39" w:rsidRDefault="00EC25E9" w:rsidP="00721203">
      <w:pPr>
        <w:widowControl w:val="0"/>
        <w:ind w:firstLine="708"/>
        <w:rPr>
          <w:szCs w:val="28"/>
        </w:rPr>
      </w:pPr>
      <w:r w:rsidRPr="00006A39">
        <w:rPr>
          <w:szCs w:val="28"/>
        </w:rPr>
        <w:t>Задачі та функції регіональної влади:</w:t>
      </w:r>
    </w:p>
    <w:p w:rsidR="00EC25E9" w:rsidRPr="00006A39" w:rsidRDefault="00EC25E9" w:rsidP="008C7874">
      <w:pPr>
        <w:widowControl w:val="0"/>
        <w:ind w:firstLine="708"/>
        <w:rPr>
          <w:szCs w:val="28"/>
        </w:rPr>
      </w:pPr>
      <w:r w:rsidRPr="00006A39">
        <w:rPr>
          <w:szCs w:val="28"/>
        </w:rPr>
        <w:t>I.</w:t>
      </w:r>
      <w:r w:rsidRPr="00006A39">
        <w:rPr>
          <w:i/>
          <w:szCs w:val="28"/>
        </w:rPr>
        <w:t xml:space="preserve"> Загальні задачі та функції регіональної влади</w:t>
      </w:r>
      <w:r w:rsidRPr="00006A39">
        <w:rPr>
          <w:szCs w:val="28"/>
        </w:rPr>
        <w:t xml:space="preserve">: прийняття та реалізація регіональної цільової комплексної програми </w:t>
      </w:r>
      <w:r w:rsidR="008C7874">
        <w:rPr>
          <w:szCs w:val="28"/>
        </w:rPr>
        <w:t xml:space="preserve">з охорони дитинства; </w:t>
      </w:r>
      <w:r w:rsidRPr="00006A39">
        <w:rPr>
          <w:szCs w:val="28"/>
        </w:rPr>
        <w:t>регуляторна політика з виконання нормативно-правових актів</w:t>
      </w:r>
      <w:r w:rsidR="0011521B">
        <w:rPr>
          <w:szCs w:val="28"/>
        </w:rPr>
        <w:t xml:space="preserve"> щодо охорони материнства та дитинства, в тому числі </w:t>
      </w:r>
      <w:r w:rsidRPr="00006A39">
        <w:rPr>
          <w:szCs w:val="28"/>
        </w:rPr>
        <w:t>соціального захисту дитячого населення, підтримка  сімей із соціальними ризиком.</w:t>
      </w:r>
      <w:r w:rsidR="008C7874" w:rsidRPr="008C7874">
        <w:rPr>
          <w:rFonts w:eastAsia="Calibri"/>
          <w:sz w:val="19"/>
          <w:szCs w:val="19"/>
          <w:lang w:eastAsia="uk-UA"/>
        </w:rPr>
        <w:t xml:space="preserve"> </w:t>
      </w:r>
    </w:p>
    <w:p w:rsidR="00EC25E9" w:rsidRPr="00006A39" w:rsidRDefault="00EC25E9" w:rsidP="00721203">
      <w:pPr>
        <w:widowControl w:val="0"/>
        <w:ind w:firstLine="708"/>
        <w:rPr>
          <w:color w:val="FF0000"/>
          <w:szCs w:val="28"/>
        </w:rPr>
      </w:pPr>
      <w:r w:rsidRPr="00006A39">
        <w:rPr>
          <w:szCs w:val="28"/>
        </w:rPr>
        <w:t>II</w:t>
      </w:r>
      <w:r w:rsidRPr="00006A39">
        <w:rPr>
          <w:i/>
          <w:szCs w:val="28"/>
        </w:rPr>
        <w:t xml:space="preserve"> Специфічні задачі та функції регіональної влади: </w:t>
      </w:r>
      <w:r w:rsidRPr="00006A39">
        <w:rPr>
          <w:szCs w:val="28"/>
        </w:rPr>
        <w:t xml:space="preserve">створення та робота </w:t>
      </w:r>
      <w:r w:rsidR="00950BC0">
        <w:rPr>
          <w:szCs w:val="28"/>
        </w:rPr>
        <w:t>обласної міжсекторальної координаційної ради</w:t>
      </w:r>
      <w:r w:rsidR="008C7874" w:rsidRPr="008C7874">
        <w:rPr>
          <w:szCs w:val="28"/>
        </w:rPr>
        <w:t xml:space="preserve"> з ініціації та імплементації скоординованих та узгоджених заходів</w:t>
      </w:r>
      <w:r w:rsidRPr="00174A8F">
        <w:rPr>
          <w:szCs w:val="28"/>
        </w:rPr>
        <w:t>;</w:t>
      </w:r>
      <w:r w:rsidRPr="00174A8F">
        <w:rPr>
          <w:color w:val="FF0000"/>
          <w:szCs w:val="28"/>
        </w:rPr>
        <w:t xml:space="preserve"> </w:t>
      </w:r>
      <w:r w:rsidRPr="00174A8F">
        <w:rPr>
          <w:szCs w:val="28"/>
        </w:rPr>
        <w:t>забезпечення міжсекторальної взаємодії для забезпечення виконання регіональної цільової комплексної</w:t>
      </w:r>
      <w:r w:rsidRPr="00006A39">
        <w:rPr>
          <w:szCs w:val="28"/>
        </w:rPr>
        <w:t xml:space="preserve"> програми </w:t>
      </w:r>
      <w:r w:rsidR="00421983">
        <w:rPr>
          <w:szCs w:val="28"/>
        </w:rPr>
        <w:t>з охорони дитинства</w:t>
      </w:r>
      <w:r w:rsidRPr="00006A39">
        <w:rPr>
          <w:szCs w:val="28"/>
        </w:rPr>
        <w:t>; створення та робота моніторингової групи за станом здоров’я та смертністю дитячого населення, прийняття управлінських рішень;</w:t>
      </w:r>
      <w:r w:rsidRPr="00006A39">
        <w:rPr>
          <w:color w:val="FF0000"/>
          <w:szCs w:val="28"/>
        </w:rPr>
        <w:t xml:space="preserve"> </w:t>
      </w:r>
      <w:r w:rsidRPr="00006A39">
        <w:rPr>
          <w:szCs w:val="28"/>
        </w:rPr>
        <w:t xml:space="preserve">виконання </w:t>
      </w:r>
      <w:r w:rsidRPr="00006A39">
        <w:rPr>
          <w:szCs w:val="28"/>
        </w:rPr>
        <w:lastRenderedPageBreak/>
        <w:t>нормативно-правових актів з регіоналізації перинатальної допомоги із прийняттям регіональних наказів щодо розвитку перинатальної допомоги на рівні регіону;</w:t>
      </w:r>
      <w:r w:rsidRPr="00006A39">
        <w:rPr>
          <w:color w:val="FF0000"/>
          <w:szCs w:val="28"/>
        </w:rPr>
        <w:t xml:space="preserve"> </w:t>
      </w:r>
      <w:r w:rsidRPr="00006A39">
        <w:rPr>
          <w:szCs w:val="28"/>
        </w:rPr>
        <w:t>пріоритетність у фінансовій політиці щодо дитячих ЗОЗ та ЗОЗ, у яких надається перинатальна допомога, а також запровадження відповідальності обласних рад за міжбюджетне фінансування ЗОЗ;</w:t>
      </w:r>
      <w:r w:rsidRPr="00006A39">
        <w:t xml:space="preserve"> </w:t>
      </w:r>
      <w:r w:rsidRPr="00006A39">
        <w:rPr>
          <w:szCs w:val="28"/>
        </w:rPr>
        <w:t xml:space="preserve">аналіз </w:t>
      </w:r>
      <w:r w:rsidR="006F2C3E" w:rsidRPr="00006A39">
        <w:rPr>
          <w:szCs w:val="28"/>
        </w:rPr>
        <w:t>детермінант</w:t>
      </w:r>
      <w:r w:rsidRPr="00006A39">
        <w:rPr>
          <w:szCs w:val="28"/>
        </w:rPr>
        <w:t xml:space="preserve"> дитячої смертності з позиції їх попередження з урахуванням регіональних </w:t>
      </w:r>
      <w:r w:rsidRPr="00174A8F">
        <w:rPr>
          <w:szCs w:val="28"/>
        </w:rPr>
        <w:t>особливостей; дотрима</w:t>
      </w:r>
      <w:r w:rsidR="00514998">
        <w:rPr>
          <w:szCs w:val="28"/>
        </w:rPr>
        <w:t>ння вимог до освітніх програм В</w:t>
      </w:r>
      <w:r w:rsidRPr="00174A8F">
        <w:rPr>
          <w:szCs w:val="28"/>
        </w:rPr>
        <w:t>НЗ,</w:t>
      </w:r>
      <w:r w:rsidRPr="00006A39">
        <w:rPr>
          <w:szCs w:val="28"/>
        </w:rPr>
        <w:t xml:space="preserve"> розробка маршрутів пацієнта дитячого населення на регіональному рівні, а також ведення і маршрутизації </w:t>
      </w:r>
      <w:r w:rsidR="00F42B48" w:rsidRPr="00006A39">
        <w:rPr>
          <w:szCs w:val="28"/>
        </w:rPr>
        <w:t>жінок</w:t>
      </w:r>
      <w:r w:rsidRPr="00006A39">
        <w:rPr>
          <w:szCs w:val="28"/>
        </w:rPr>
        <w:t xml:space="preserve"> з високим і середнім рівнем перинатального ризику Департаментам</w:t>
      </w:r>
      <w:r w:rsidR="00514998">
        <w:rPr>
          <w:szCs w:val="28"/>
        </w:rPr>
        <w:t>и</w:t>
      </w:r>
      <w:r w:rsidRPr="00006A39">
        <w:rPr>
          <w:szCs w:val="28"/>
        </w:rPr>
        <w:t xml:space="preserve"> охорони здоров’я.</w:t>
      </w:r>
    </w:p>
    <w:p w:rsidR="00EC25E9" w:rsidRPr="00174A8F" w:rsidRDefault="00EC25E9" w:rsidP="00721203">
      <w:pPr>
        <w:widowControl w:val="0"/>
        <w:ind w:firstLine="708"/>
        <w:rPr>
          <w:szCs w:val="28"/>
        </w:rPr>
      </w:pPr>
      <w:r w:rsidRPr="00174A8F">
        <w:rPr>
          <w:i/>
          <w:szCs w:val="28"/>
        </w:rPr>
        <w:t>Задачі та функції місцевої влади</w:t>
      </w:r>
      <w:r w:rsidR="00CD67AA">
        <w:rPr>
          <w:i/>
          <w:szCs w:val="28"/>
        </w:rPr>
        <w:t xml:space="preserve"> та об’єднаних територіальних громад</w:t>
      </w:r>
      <w:r w:rsidRPr="00174A8F">
        <w:rPr>
          <w:szCs w:val="28"/>
        </w:rPr>
        <w:t xml:space="preserve">: </w:t>
      </w:r>
    </w:p>
    <w:p w:rsidR="00EC25E9" w:rsidRPr="00174A8F" w:rsidRDefault="00EC25E9" w:rsidP="0074719A">
      <w:pPr>
        <w:pStyle w:val="a3"/>
        <w:widowControl w:val="0"/>
        <w:numPr>
          <w:ilvl w:val="0"/>
          <w:numId w:val="14"/>
        </w:numPr>
        <w:spacing w:before="0" w:beforeAutospacing="0" w:after="0" w:afterAutospacing="0" w:line="360" w:lineRule="auto"/>
        <w:ind w:left="0" w:firstLine="708"/>
        <w:contextualSpacing/>
        <w:rPr>
          <w:sz w:val="28"/>
          <w:szCs w:val="28"/>
          <w:lang w:val="uk-UA"/>
        </w:rPr>
      </w:pPr>
      <w:r w:rsidRPr="00174A8F">
        <w:rPr>
          <w:i/>
          <w:sz w:val="28"/>
          <w:szCs w:val="28"/>
          <w:lang w:val="uk-UA"/>
        </w:rPr>
        <w:t>Загальні задачі та функції місцевої влади:</w:t>
      </w:r>
      <w:r w:rsidR="0011521B">
        <w:rPr>
          <w:sz w:val="28"/>
          <w:szCs w:val="28"/>
          <w:lang w:val="uk-UA"/>
        </w:rPr>
        <w:t xml:space="preserve"> </w:t>
      </w:r>
      <w:r w:rsidRPr="00174A8F">
        <w:rPr>
          <w:sz w:val="28"/>
          <w:szCs w:val="28"/>
          <w:lang w:val="uk-UA"/>
        </w:rPr>
        <w:t>реалізація комплексної  програ</w:t>
      </w:r>
      <w:r w:rsidR="00CD67AA">
        <w:rPr>
          <w:sz w:val="28"/>
          <w:szCs w:val="28"/>
          <w:lang w:val="uk-UA"/>
        </w:rPr>
        <w:t>ми з охорони дитинства</w:t>
      </w:r>
      <w:r w:rsidRPr="00174A8F">
        <w:rPr>
          <w:sz w:val="28"/>
          <w:szCs w:val="28"/>
          <w:lang w:val="uk-UA"/>
        </w:rPr>
        <w:t xml:space="preserve">, виконання нормативно-правових актів </w:t>
      </w:r>
      <w:r w:rsidR="0011521B" w:rsidRPr="0011521B">
        <w:rPr>
          <w:sz w:val="28"/>
          <w:szCs w:val="28"/>
          <w:lang w:val="uk-UA"/>
        </w:rPr>
        <w:t xml:space="preserve">щодо охорони материнства та дитинства, в тому числі </w:t>
      </w:r>
      <w:r w:rsidRPr="00174A8F">
        <w:rPr>
          <w:sz w:val="28"/>
          <w:szCs w:val="28"/>
          <w:lang w:val="uk-UA"/>
        </w:rPr>
        <w:t>з соціального захисту матері та дитини.</w:t>
      </w:r>
    </w:p>
    <w:p w:rsidR="00EC25E9" w:rsidRPr="0082474D" w:rsidRDefault="00EC25E9" w:rsidP="0082474D">
      <w:pPr>
        <w:pStyle w:val="a3"/>
        <w:widowControl w:val="0"/>
        <w:numPr>
          <w:ilvl w:val="0"/>
          <w:numId w:val="14"/>
        </w:numPr>
        <w:spacing w:before="0" w:beforeAutospacing="0" w:after="0" w:afterAutospacing="0" w:line="360" w:lineRule="auto"/>
        <w:ind w:left="0" w:firstLine="709"/>
        <w:rPr>
          <w:sz w:val="28"/>
          <w:szCs w:val="28"/>
          <w:lang w:val="uk-UA"/>
        </w:rPr>
      </w:pPr>
      <w:r w:rsidRPr="00174A8F">
        <w:rPr>
          <w:i/>
          <w:sz w:val="28"/>
          <w:szCs w:val="28"/>
          <w:lang w:val="uk-UA"/>
        </w:rPr>
        <w:t>Специфічні задачі та функції місцевої влади</w:t>
      </w:r>
      <w:r w:rsidR="004D52B6" w:rsidRPr="004D52B6">
        <w:rPr>
          <w:rFonts w:eastAsiaTheme="minorHAnsi"/>
          <w:i/>
          <w:sz w:val="28"/>
          <w:szCs w:val="28"/>
          <w:lang w:val="uk-UA" w:eastAsia="en-US"/>
        </w:rPr>
        <w:t xml:space="preserve"> </w:t>
      </w:r>
      <w:r w:rsidR="004D52B6" w:rsidRPr="004D52B6">
        <w:rPr>
          <w:i/>
          <w:sz w:val="28"/>
          <w:szCs w:val="28"/>
          <w:lang w:val="uk-UA"/>
        </w:rPr>
        <w:t>та об’єднаних територіальних громад</w:t>
      </w:r>
      <w:r w:rsidRPr="00174A8F">
        <w:rPr>
          <w:i/>
          <w:sz w:val="28"/>
          <w:szCs w:val="28"/>
          <w:lang w:val="uk-UA"/>
        </w:rPr>
        <w:t xml:space="preserve">: </w:t>
      </w:r>
      <w:r w:rsidRPr="00174A8F">
        <w:rPr>
          <w:sz w:val="28"/>
          <w:szCs w:val="28"/>
          <w:lang w:val="uk-UA"/>
        </w:rPr>
        <w:t xml:space="preserve">забезпечення міжсекторальної координації щодо виконання цільової комплексної програми </w:t>
      </w:r>
      <w:r w:rsidR="004D52B6">
        <w:rPr>
          <w:sz w:val="28"/>
          <w:szCs w:val="28"/>
          <w:lang w:val="uk-UA"/>
        </w:rPr>
        <w:t xml:space="preserve">з охорони дитинства </w:t>
      </w:r>
      <w:r w:rsidRPr="00174A8F">
        <w:rPr>
          <w:sz w:val="28"/>
          <w:szCs w:val="28"/>
          <w:lang w:val="uk-UA"/>
        </w:rPr>
        <w:t xml:space="preserve">на місцевому рівні; </w:t>
      </w:r>
      <w:r w:rsidR="004523A5">
        <w:rPr>
          <w:sz w:val="28"/>
          <w:szCs w:val="28"/>
          <w:lang w:val="uk-UA"/>
        </w:rPr>
        <w:t>відповідальність з</w:t>
      </w:r>
      <w:r w:rsidR="00C90057">
        <w:rPr>
          <w:sz w:val="28"/>
          <w:szCs w:val="28"/>
          <w:lang w:val="uk-UA"/>
        </w:rPr>
        <w:t>а міжбюджетне</w:t>
      </w:r>
      <w:r w:rsidR="005B2851">
        <w:rPr>
          <w:sz w:val="28"/>
          <w:szCs w:val="28"/>
          <w:lang w:val="uk-UA"/>
        </w:rPr>
        <w:t xml:space="preserve"> фінансування ЗОЗ, затвердження</w:t>
      </w:r>
      <w:r w:rsidRPr="00174A8F">
        <w:rPr>
          <w:sz w:val="28"/>
          <w:szCs w:val="28"/>
          <w:lang w:val="uk-UA"/>
        </w:rPr>
        <w:t xml:space="preserve"> протоколів з надання медичної допомоги матері та дитини;</w:t>
      </w:r>
      <w:r w:rsidRPr="00174A8F">
        <w:rPr>
          <w:color w:val="FF0000"/>
          <w:sz w:val="28"/>
          <w:szCs w:val="28"/>
          <w:lang w:val="uk-UA"/>
        </w:rPr>
        <w:t xml:space="preserve"> </w:t>
      </w:r>
      <w:r w:rsidRPr="00174A8F">
        <w:rPr>
          <w:sz w:val="28"/>
          <w:szCs w:val="28"/>
          <w:lang w:val="uk-UA"/>
        </w:rPr>
        <w:t xml:space="preserve">впровадження на місцевому рівні передових сучасних технологій щодо надання медичної допомоги дітям (реанімація, інтенсивна терапія, виходжування); дотримання маршрутизації пацієнта; моніторинг і оцінка стану здоров’я </w:t>
      </w:r>
      <w:r w:rsidR="006F2C3E" w:rsidRPr="00174A8F">
        <w:rPr>
          <w:sz w:val="28"/>
          <w:szCs w:val="28"/>
          <w:lang w:val="uk-UA"/>
        </w:rPr>
        <w:t>дитячого</w:t>
      </w:r>
      <w:r w:rsidRPr="00174A8F">
        <w:rPr>
          <w:sz w:val="28"/>
          <w:szCs w:val="28"/>
          <w:lang w:val="uk-UA"/>
        </w:rPr>
        <w:t xml:space="preserve"> населення та дитячої смертності та  прийняття управлінських рішень на рівні міста</w:t>
      </w:r>
      <w:r w:rsidR="00F22AC6">
        <w:rPr>
          <w:sz w:val="28"/>
          <w:szCs w:val="28"/>
          <w:lang w:val="uk-UA"/>
        </w:rPr>
        <w:t>/громади</w:t>
      </w:r>
      <w:r w:rsidRPr="00174A8F">
        <w:rPr>
          <w:sz w:val="28"/>
          <w:szCs w:val="28"/>
          <w:lang w:val="uk-UA"/>
        </w:rPr>
        <w:t>.</w:t>
      </w:r>
      <w:r w:rsidR="0082474D" w:rsidRPr="0082474D">
        <w:rPr>
          <w:sz w:val="28"/>
          <w:szCs w:val="28"/>
          <w:lang w:val="uk-UA"/>
        </w:rPr>
        <w:t xml:space="preserve"> Також </w:t>
      </w:r>
      <w:r w:rsidR="0082474D" w:rsidRPr="0082474D">
        <w:rPr>
          <w:i/>
          <w:sz w:val="28"/>
          <w:szCs w:val="28"/>
          <w:lang w:val="uk-UA"/>
        </w:rPr>
        <w:t>з</w:t>
      </w:r>
      <w:r w:rsidR="0082474D" w:rsidRPr="0082474D">
        <w:rPr>
          <w:i/>
          <w:sz w:val="28"/>
          <w:szCs w:val="28"/>
        </w:rPr>
        <w:t>адач</w:t>
      </w:r>
      <w:r w:rsidR="0082474D" w:rsidRPr="0082474D">
        <w:rPr>
          <w:i/>
          <w:sz w:val="28"/>
          <w:szCs w:val="28"/>
          <w:lang w:val="uk-UA"/>
        </w:rPr>
        <w:t>і</w:t>
      </w:r>
      <w:r w:rsidR="0082474D" w:rsidRPr="0082474D">
        <w:rPr>
          <w:i/>
          <w:sz w:val="28"/>
          <w:szCs w:val="28"/>
        </w:rPr>
        <w:t xml:space="preserve"> та функції об’єднаних територіальних громад</w:t>
      </w:r>
      <w:r w:rsidR="0082474D" w:rsidRPr="0082474D">
        <w:rPr>
          <w:sz w:val="28"/>
          <w:szCs w:val="28"/>
        </w:rPr>
        <w:t xml:space="preserve"> полягають у забезпеченні і дотриманні прав дитини у випадках виникнення конфліктів навколо дитини  між її законними представниками, або у випадках їх відсутності; виконанні заходів із популяризації стереотипу сім’ї, що включає збереження дитячого здоров’я батьками за допомогою підвищення їх власних знань та стимуляції активного звернення за медичної допомогою у ЗОЗ, формування здорового способу життя дитини; заходів з профілактики соціального сирітства; розробці навчальних програм по відповідальному батьківству та </w:t>
      </w:r>
      <w:r w:rsidR="0082474D" w:rsidRPr="0082474D">
        <w:rPr>
          <w:sz w:val="28"/>
          <w:szCs w:val="28"/>
        </w:rPr>
        <w:lastRenderedPageBreak/>
        <w:t xml:space="preserve">компетенцій батьків.  </w:t>
      </w:r>
    </w:p>
    <w:p w:rsidR="00EC25E9" w:rsidRPr="00C86048" w:rsidRDefault="00EC25E9" w:rsidP="00C86048">
      <w:pPr>
        <w:pStyle w:val="a3"/>
        <w:spacing w:before="0" w:beforeAutospacing="0" w:after="0" w:afterAutospacing="0" w:line="360" w:lineRule="auto"/>
        <w:ind w:firstLine="709"/>
        <w:rPr>
          <w:sz w:val="28"/>
          <w:szCs w:val="28"/>
          <w:lang w:val="uk-UA"/>
        </w:rPr>
      </w:pPr>
      <w:r w:rsidRPr="00006A39">
        <w:rPr>
          <w:i/>
          <w:sz w:val="28"/>
          <w:szCs w:val="28"/>
          <w:lang w:val="uk-UA"/>
        </w:rPr>
        <w:t>Задачі та функції керівників ЗОЗ</w:t>
      </w:r>
      <w:r w:rsidRPr="00006A39">
        <w:rPr>
          <w:sz w:val="28"/>
          <w:szCs w:val="28"/>
          <w:lang w:val="uk-UA"/>
        </w:rPr>
        <w:t>: співпраця з органами державної влади та місцевого самоврядування; керування закладом із дотриманням чинного законодавства, забезпечення реалізації заходів цільової комплексної програми з урахуванням потреб матерів та дитячого населення;</w:t>
      </w:r>
      <w:r w:rsidRPr="00006A39">
        <w:rPr>
          <w:lang w:val="uk-UA"/>
        </w:rPr>
        <w:t xml:space="preserve"> </w:t>
      </w:r>
      <w:r w:rsidRPr="00006A39">
        <w:rPr>
          <w:sz w:val="28"/>
          <w:szCs w:val="28"/>
          <w:lang w:val="uk-UA"/>
        </w:rPr>
        <w:t>створен</w:t>
      </w:r>
      <w:r w:rsidR="00F42B48" w:rsidRPr="00006A39">
        <w:rPr>
          <w:sz w:val="28"/>
          <w:szCs w:val="28"/>
          <w:lang w:val="uk-UA"/>
        </w:rPr>
        <w:t>н</w:t>
      </w:r>
      <w:r w:rsidRPr="00006A39">
        <w:rPr>
          <w:sz w:val="28"/>
          <w:szCs w:val="28"/>
          <w:lang w:val="uk-UA"/>
        </w:rPr>
        <w:t>я та організація роботи опікунських та наглядових громадських рад при ЗОЗ; організації стратегічного розвитку ЗОЗ з урахуванням потреби дитячого населення та надання допомоги матерям; організація і забезпечення функціонування та взаємодії структурних підрозділів; проведення безперервного моніторингу та оцінки ефективності діяльності закладу, включаючи лікувально-діагностичний процес відповідно до галузевих стандартів, систему якості та безпеки надання медичної допомоги матерям, дитячому населенню та її удосконалення, операційних планів; оцінка стану здоров’я дитячого населення та випадків дитячої смерті; забезпечення укомплектованості ЗОЗ медичними кадрами відповідної кваліфікації; забезпечення матеріально-технічного оснащення згідно стандартам оснащення та фінансово-господарської діяльності; забезпечення відповідного санітарно-гігієнічного та технічного стану; забезпечення умов для створення єдиного реєстру та медичного документообігу; забезпечення дотримання наступності спостереження та маршрутизації пацієнта; впровадження передових сучасних технологій щодо надання медичної допомоги дітям.</w:t>
      </w:r>
      <w:r w:rsidR="006325EE">
        <w:rPr>
          <w:sz w:val="28"/>
          <w:szCs w:val="28"/>
          <w:lang w:val="uk-UA"/>
        </w:rPr>
        <w:t xml:space="preserve"> </w:t>
      </w:r>
    </w:p>
    <w:p w:rsidR="00EC25E9" w:rsidRPr="00006A39" w:rsidRDefault="00EC25E9" w:rsidP="00721203">
      <w:pPr>
        <w:widowControl w:val="0"/>
        <w:ind w:firstLine="708"/>
        <w:rPr>
          <w:szCs w:val="28"/>
        </w:rPr>
      </w:pPr>
      <w:r w:rsidRPr="00174A8F">
        <w:rPr>
          <w:i/>
          <w:szCs w:val="28"/>
        </w:rPr>
        <w:t>Задачі та функції колективів ЗОЗ:</w:t>
      </w:r>
      <w:r w:rsidRPr="00174A8F">
        <w:rPr>
          <w:szCs w:val="28"/>
        </w:rPr>
        <w:t xml:space="preserve"> надання якісної медичної допомоги відповідно до галузевих стандартів та вимог надання медичної допомоги (</w:t>
      </w:r>
      <w:r w:rsidR="00C86048">
        <w:rPr>
          <w:szCs w:val="28"/>
        </w:rPr>
        <w:t xml:space="preserve">медичних </w:t>
      </w:r>
      <w:r w:rsidRPr="00174A8F">
        <w:rPr>
          <w:szCs w:val="28"/>
        </w:rPr>
        <w:t>послуг); забезпечення своєчасності та наступності в наданні медичної допомоги; забезпечення маршрутизації пацієнтів.</w:t>
      </w:r>
    </w:p>
    <w:p w:rsidR="00EC25E9" w:rsidRPr="009962C7" w:rsidRDefault="00EC25E9" w:rsidP="009962C7">
      <w:pPr>
        <w:widowControl w:val="0"/>
        <w:ind w:firstLine="708"/>
        <w:rPr>
          <w:color w:val="000000" w:themeColor="text1"/>
          <w:szCs w:val="28"/>
        </w:rPr>
      </w:pPr>
      <w:r w:rsidRPr="00006A39">
        <w:rPr>
          <w:i/>
          <w:color w:val="000000" w:themeColor="text1"/>
          <w:szCs w:val="28"/>
        </w:rPr>
        <w:t>Задачі та функції системи громадського здоров’я</w:t>
      </w:r>
      <w:r w:rsidRPr="00006A39">
        <w:rPr>
          <w:color w:val="000000" w:themeColor="text1"/>
          <w:szCs w:val="28"/>
        </w:rPr>
        <w:t xml:space="preserve"> полягають у взаємодії з органами влади, місцевими університетами та дослідницькими організаціями на умовах партнерства, орієнтованого на результат;</w:t>
      </w:r>
      <w:r w:rsidRPr="00006A39">
        <w:t xml:space="preserve"> </w:t>
      </w:r>
      <w:r w:rsidRPr="00006A39">
        <w:rPr>
          <w:szCs w:val="28"/>
        </w:rPr>
        <w:t>здійснення</w:t>
      </w:r>
      <w:r w:rsidRPr="00006A39">
        <w:t xml:space="preserve"> </w:t>
      </w:r>
      <w:r w:rsidRPr="00006A39">
        <w:rPr>
          <w:color w:val="000000" w:themeColor="text1"/>
          <w:szCs w:val="28"/>
        </w:rPr>
        <w:t xml:space="preserve">моніторингу та оцінки стану здоров’я дитячого населення та його детермінант;  в розробці регіональних і місцевих програм громадського здоров’я для досягнення справедливості щодо здоров’я; профілактиці інфекційних і неінфекційних захворювань, виявленні </w:t>
      </w:r>
      <w:r w:rsidRPr="00006A39">
        <w:rPr>
          <w:color w:val="000000" w:themeColor="text1"/>
          <w:szCs w:val="28"/>
        </w:rPr>
        <w:lastRenderedPageBreak/>
        <w:t xml:space="preserve">чинників ризику та потенційних проблем із здоров’ям </w:t>
      </w:r>
      <w:r w:rsidR="003A19DA">
        <w:rPr>
          <w:color w:val="000000" w:themeColor="text1"/>
          <w:szCs w:val="28"/>
        </w:rPr>
        <w:t>дітей дошкільного віку</w:t>
      </w:r>
      <w:r w:rsidRPr="00006A39">
        <w:rPr>
          <w:color w:val="000000" w:themeColor="text1"/>
          <w:szCs w:val="28"/>
        </w:rPr>
        <w:t xml:space="preserve">; </w:t>
      </w:r>
      <w:r w:rsidRPr="00006A39">
        <w:rPr>
          <w:szCs w:val="28"/>
        </w:rPr>
        <w:t xml:space="preserve">промоції здоров’я; забезпечення належного рівня вакцинації; попередженні та контролі за поведінковими та біологічними факторами ризику; профілактичних заходів із збереження репродуктивного здоров’я жінок і чоловіків; забезпечення дітям доступу до раннього втручання шляхом тісної співпраці між фахівцями освіти, добровільними організаціями, </w:t>
      </w:r>
      <w:r w:rsidR="006F2C3E" w:rsidRPr="00006A39">
        <w:rPr>
          <w:szCs w:val="28"/>
        </w:rPr>
        <w:t>партнерством</w:t>
      </w:r>
      <w:r w:rsidR="00BE3849">
        <w:rPr>
          <w:szCs w:val="28"/>
        </w:rPr>
        <w:t xml:space="preserve"> сімейних медсестер, лікарів </w:t>
      </w:r>
      <w:r w:rsidRPr="00006A39">
        <w:rPr>
          <w:szCs w:val="28"/>
        </w:rPr>
        <w:t>ЗП-СЛ, медичними працівниками первинної та вторинної ланок; формуванні здоров’я дітей</w:t>
      </w:r>
      <w:r w:rsidR="00C86048">
        <w:rPr>
          <w:szCs w:val="28"/>
        </w:rPr>
        <w:t xml:space="preserve"> та</w:t>
      </w:r>
      <w:r w:rsidRPr="00006A39">
        <w:rPr>
          <w:szCs w:val="28"/>
        </w:rPr>
        <w:t xml:space="preserve"> безпеки в дошкільних закладах (підвищенні рівня фізичної активності, регулюванні навантаження та забезпеченні регулярних медичних оглядів дітей на предмет раннього виявлення захворювань зору, слуху тощо); впровадженні інтегрованого підходу у веденні хвороб дитячого віку; профілактичні інтервенції з доведеною ефективністю (допомога дітям і батькам </w:t>
      </w:r>
      <w:r w:rsidR="003A19DA">
        <w:rPr>
          <w:szCs w:val="28"/>
        </w:rPr>
        <w:t>і</w:t>
      </w:r>
      <w:r w:rsidRPr="00006A39">
        <w:rPr>
          <w:szCs w:val="28"/>
        </w:rPr>
        <w:t xml:space="preserve">з найбідніших сімей через створення комплексної підтримки); втручання спрямовані на поведінку (навчання батьків під час ігрових сесій з дітьми); приділення особливої уваги матерям </w:t>
      </w:r>
      <w:r w:rsidR="003A19DA">
        <w:rPr>
          <w:szCs w:val="28"/>
        </w:rPr>
        <w:t>і</w:t>
      </w:r>
      <w:r w:rsidRPr="00006A39">
        <w:rPr>
          <w:szCs w:val="28"/>
        </w:rPr>
        <w:t xml:space="preserve">з уразливих груп від вагітності до досягнення дитиною </w:t>
      </w:r>
      <w:r w:rsidRPr="00174A8F">
        <w:rPr>
          <w:color w:val="000000" w:themeColor="text1"/>
          <w:szCs w:val="28"/>
        </w:rPr>
        <w:t xml:space="preserve">дворічного віку із відвідуванням її на дому фахівцями з питань здоров’я та </w:t>
      </w:r>
      <w:r w:rsidR="006F2C3E" w:rsidRPr="00174A8F">
        <w:rPr>
          <w:color w:val="000000" w:themeColor="text1"/>
          <w:szCs w:val="28"/>
        </w:rPr>
        <w:t>медсестрами</w:t>
      </w:r>
      <w:r w:rsidR="0055614C">
        <w:rPr>
          <w:color w:val="000000" w:themeColor="text1"/>
          <w:szCs w:val="28"/>
        </w:rPr>
        <w:t xml:space="preserve">.  </w:t>
      </w:r>
      <w:r w:rsidRPr="00174A8F">
        <w:rPr>
          <w:color w:val="000000" w:themeColor="text1"/>
          <w:szCs w:val="28"/>
        </w:rPr>
        <w:t xml:space="preserve">Враховуючи міжсекторальний характер задач та функцій </w:t>
      </w:r>
      <w:r w:rsidRPr="00006A39">
        <w:rPr>
          <w:szCs w:val="28"/>
        </w:rPr>
        <w:t>системи громадського здоров’я</w:t>
      </w:r>
      <w:r w:rsidR="003A19DA">
        <w:rPr>
          <w:szCs w:val="28"/>
        </w:rPr>
        <w:t>,</w:t>
      </w:r>
      <w:r w:rsidRPr="00006A39">
        <w:rPr>
          <w:szCs w:val="28"/>
        </w:rPr>
        <w:t xml:space="preserve"> стратегічною задачею  є налагодження ефективної співпраці  та взаємодії системи громадського здоров’я з первинною медико-санітарною допомогою, регіональною та місцевою владою, правоохоронними органами, реальним та приватним секторами, засобами масовою інформації, недержавними організаціями тощо.</w:t>
      </w:r>
    </w:p>
    <w:p w:rsidR="00EC25E9" w:rsidRPr="00006A39" w:rsidRDefault="00EC25E9" w:rsidP="005C53A0">
      <w:pPr>
        <w:widowControl w:val="0"/>
        <w:spacing w:before="240" w:after="240"/>
        <w:ind w:firstLine="709"/>
        <w:rPr>
          <w:b/>
          <w:szCs w:val="28"/>
        </w:rPr>
      </w:pPr>
      <w:r w:rsidRPr="00006A39">
        <w:rPr>
          <w:b/>
          <w:szCs w:val="28"/>
        </w:rPr>
        <w:t xml:space="preserve">8.2. Теоретичне </w:t>
      </w:r>
      <w:r w:rsidR="006F2C3E" w:rsidRPr="00006A39">
        <w:rPr>
          <w:b/>
          <w:szCs w:val="28"/>
        </w:rPr>
        <w:t>підґрунтя</w:t>
      </w:r>
      <w:r w:rsidRPr="00006A39">
        <w:rPr>
          <w:b/>
          <w:szCs w:val="28"/>
        </w:rPr>
        <w:t xml:space="preserve"> </w:t>
      </w:r>
      <w:r w:rsidR="007D1B62">
        <w:rPr>
          <w:b/>
          <w:szCs w:val="28"/>
        </w:rPr>
        <w:t>інноваційної системи</w:t>
      </w:r>
      <w:r w:rsidR="00697544" w:rsidRPr="00697544">
        <w:rPr>
          <w:b/>
          <w:szCs w:val="28"/>
        </w:rPr>
        <w:t xml:space="preserve"> медико-соціальної допомоги дітям до 5 років</w:t>
      </w:r>
      <w:r w:rsidR="007D1B62">
        <w:rPr>
          <w:b/>
          <w:szCs w:val="28"/>
        </w:rPr>
        <w:t xml:space="preserve"> життя</w:t>
      </w:r>
    </w:p>
    <w:p w:rsidR="00C52913" w:rsidRPr="003F1DF0" w:rsidRDefault="00EC25E9" w:rsidP="00C52913">
      <w:pPr>
        <w:widowControl w:val="0"/>
        <w:ind w:firstLine="709"/>
        <w:rPr>
          <w:szCs w:val="28"/>
        </w:rPr>
      </w:pPr>
      <w:r w:rsidRPr="00006A39">
        <w:rPr>
          <w:szCs w:val="28"/>
        </w:rPr>
        <w:t xml:space="preserve">Сучасним підґрунтям для формування </w:t>
      </w:r>
      <w:r w:rsidR="0094383B">
        <w:rPr>
          <w:szCs w:val="28"/>
        </w:rPr>
        <w:t>інноваційної системи</w:t>
      </w:r>
      <w:r w:rsidR="00697544" w:rsidRPr="00697544">
        <w:rPr>
          <w:szCs w:val="28"/>
        </w:rPr>
        <w:t xml:space="preserve"> медико-соціальної допомоги дітям до 5 років</w:t>
      </w:r>
      <w:r w:rsidR="003210A5">
        <w:rPr>
          <w:szCs w:val="28"/>
        </w:rPr>
        <w:t xml:space="preserve"> життя</w:t>
      </w:r>
      <w:r w:rsidRPr="00006A39">
        <w:rPr>
          <w:szCs w:val="28"/>
        </w:rPr>
        <w:t xml:space="preserve"> є Глобальна стратегія Організації Об'єднаних Націй з охорони здоров'я жінок і дітей і супроводжуюча її ініціатива «Кожна жінка, кожна дитина» [</w:t>
      </w:r>
      <w:r w:rsidR="006835FA">
        <w:rPr>
          <w:szCs w:val="28"/>
        </w:rPr>
        <w:t>12</w:t>
      </w:r>
      <w:r w:rsidR="004D43E1">
        <w:rPr>
          <w:szCs w:val="28"/>
        </w:rPr>
        <w:t xml:space="preserve">, </w:t>
      </w:r>
      <w:r w:rsidR="006B35A8">
        <w:rPr>
          <w:szCs w:val="28"/>
        </w:rPr>
        <w:t>38</w:t>
      </w:r>
      <w:r w:rsidR="004D43E1" w:rsidRPr="004D43E1">
        <w:rPr>
          <w:szCs w:val="28"/>
        </w:rPr>
        <w:t xml:space="preserve">, 46, </w:t>
      </w:r>
      <w:r w:rsidR="0090578D" w:rsidRPr="0090578D">
        <w:rPr>
          <w:szCs w:val="28"/>
        </w:rPr>
        <w:t>260</w:t>
      </w:r>
      <w:r w:rsidRPr="00006A39">
        <w:rPr>
          <w:szCs w:val="28"/>
        </w:rPr>
        <w:t>], Глобальна стратегія охорони здоров’я жінок, дітей та підлітків «Виживати, процвітати, змінювати» (2016–2030</w:t>
      </w:r>
      <w:r w:rsidR="006835FA">
        <w:rPr>
          <w:szCs w:val="28"/>
        </w:rPr>
        <w:t> </w:t>
      </w:r>
      <w:r w:rsidRPr="00006A39">
        <w:rPr>
          <w:szCs w:val="28"/>
        </w:rPr>
        <w:t>рр.) [</w:t>
      </w:r>
      <w:r w:rsidR="004D43E1" w:rsidRPr="004D43E1">
        <w:rPr>
          <w:szCs w:val="28"/>
        </w:rPr>
        <w:t>54</w:t>
      </w:r>
      <w:r w:rsidRPr="00006A39">
        <w:rPr>
          <w:szCs w:val="28"/>
        </w:rPr>
        <w:t xml:space="preserve">], а також Глобальний план дій ВООЗ «Кожен новонароджений» (Every </w:t>
      </w:r>
      <w:r w:rsidRPr="00006A39">
        <w:rPr>
          <w:szCs w:val="28"/>
        </w:rPr>
        <w:lastRenderedPageBreak/>
        <w:t>Newborn Action Plan, ENAP) [</w:t>
      </w:r>
      <w:r w:rsidR="006835FA">
        <w:rPr>
          <w:szCs w:val="28"/>
        </w:rPr>
        <w:t>4</w:t>
      </w:r>
      <w:r w:rsidRPr="0090578D">
        <w:rPr>
          <w:szCs w:val="28"/>
        </w:rPr>
        <w:t>,</w:t>
      </w:r>
      <w:r w:rsidR="0090578D" w:rsidRPr="0090578D">
        <w:rPr>
          <w:szCs w:val="28"/>
        </w:rPr>
        <w:t xml:space="preserve"> 231,</w:t>
      </w:r>
      <w:r w:rsidR="0090578D">
        <w:rPr>
          <w:szCs w:val="28"/>
        </w:rPr>
        <w:t xml:space="preserve"> 347</w:t>
      </w:r>
      <w:r w:rsidRPr="00006A39">
        <w:rPr>
          <w:szCs w:val="28"/>
        </w:rPr>
        <w:t>].</w:t>
      </w:r>
      <w:r w:rsidRPr="00006A39">
        <w:rPr>
          <w:color w:val="FF0000"/>
          <w:szCs w:val="28"/>
        </w:rPr>
        <w:t xml:space="preserve"> </w:t>
      </w:r>
      <w:r w:rsidRPr="00006A39">
        <w:rPr>
          <w:szCs w:val="28"/>
        </w:rPr>
        <w:t>Зазначені документи є «дорожньою картою» і визначають стратегічні напрями дій, що направлені на зниження запобіжної дит</w:t>
      </w:r>
      <w:r w:rsidR="006F2C3E">
        <w:rPr>
          <w:szCs w:val="28"/>
        </w:rPr>
        <w:t>ячої смертності, мертвонародження</w:t>
      </w:r>
      <w:r w:rsidRPr="00006A39">
        <w:rPr>
          <w:szCs w:val="28"/>
        </w:rPr>
        <w:t>, материнської смертності, зниження захворюваності дітей та матерів.  Важливим підходом, що має бути використаним країнами у своїх стратегіях – це підхід «всього життєвого циклу» дитини, при використанні якого можна досягти високих показників стану фізичного, психічного та соціального</w:t>
      </w:r>
      <w:r w:rsidR="003210A5">
        <w:rPr>
          <w:szCs w:val="28"/>
        </w:rPr>
        <w:t xml:space="preserve"> здоров’я</w:t>
      </w:r>
      <w:r w:rsidRPr="00006A39">
        <w:rPr>
          <w:szCs w:val="28"/>
        </w:rPr>
        <w:t xml:space="preserve"> на кожному з вікових етапів. </w:t>
      </w:r>
    </w:p>
    <w:p w:rsidR="005C53A0" w:rsidRDefault="00EC25E9" w:rsidP="00C52913">
      <w:pPr>
        <w:widowControl w:val="0"/>
        <w:ind w:firstLine="709"/>
        <w:rPr>
          <w:szCs w:val="28"/>
          <w:lang w:val="ru-RU"/>
        </w:rPr>
      </w:pPr>
      <w:r w:rsidRPr="00006A39">
        <w:rPr>
          <w:szCs w:val="28"/>
        </w:rPr>
        <w:t>Глобальна ініціатива ВООЗ «Кожна жінка, Кожна дитина» (“Every Woman Every Child) та Кожен Новонароджений (“Every Neonate”) – це глобальний рух, що має мобілізувати уряди країн на прийняття національних заходів для вирішення проблем із здоров’ям дитячого населення та матерів, із залученням до їх виконання різних галузей держави та імплементацією Глобальної стратегії, яка покликана поліпшити допомогу найуразливішим верствам дитячого населення та жінкам, а також підвищити фінансування. Основною метою всіх вищезазначених стратегій та ініціатив є зменшення кількості дитячих смертей, яким можна запобігти, що є досяжним, якщо забезпечити адекватне фінансування медич</w:t>
      </w:r>
      <w:r w:rsidR="006241DC">
        <w:rPr>
          <w:szCs w:val="28"/>
        </w:rPr>
        <w:t>ної допомоги при народженні та у</w:t>
      </w:r>
      <w:r w:rsidRPr="00006A39">
        <w:rPr>
          <w:szCs w:val="28"/>
        </w:rPr>
        <w:t xml:space="preserve"> подальші періоди</w:t>
      </w:r>
      <w:r w:rsidR="006241DC">
        <w:rPr>
          <w:szCs w:val="28"/>
        </w:rPr>
        <w:t xml:space="preserve"> життя</w:t>
      </w:r>
      <w:r w:rsidRPr="00006A39">
        <w:rPr>
          <w:szCs w:val="28"/>
        </w:rPr>
        <w:t>, спрямовувати дії на слабкі ланки системи охорони здоров’я</w:t>
      </w:r>
      <w:r w:rsidR="00F42B48" w:rsidRPr="00006A39">
        <w:rPr>
          <w:szCs w:val="28"/>
        </w:rPr>
        <w:t>,</w:t>
      </w:r>
      <w:r w:rsidRPr="00006A39">
        <w:rPr>
          <w:szCs w:val="28"/>
        </w:rPr>
        <w:t xml:space="preserve"> для чого має бути задіяні наступні принципи: участь  керівництва країни із залученням громадськості і населення, партнерських об’єднань;  інтеграція, що має забезпечити комплексність надання медичних послуг та її </w:t>
      </w:r>
      <w:r w:rsidR="006F2C3E" w:rsidRPr="00006A39">
        <w:rPr>
          <w:szCs w:val="28"/>
        </w:rPr>
        <w:t>безперервність</w:t>
      </w:r>
      <w:r w:rsidRPr="00006A39">
        <w:rPr>
          <w:szCs w:val="28"/>
        </w:rPr>
        <w:t xml:space="preserve"> та наступність, координація програм, планова координація; рівність доступу до медичної допомоги (загальне охоплення); дотримання прав людини (стандарти); відповідальність (контроль та прозорість); впровадження нових технологій, принципів надання медичних послуг, </w:t>
      </w:r>
      <w:r w:rsidR="006F2C3E" w:rsidRPr="00006A39">
        <w:rPr>
          <w:szCs w:val="28"/>
        </w:rPr>
        <w:t>утручань</w:t>
      </w:r>
      <w:r w:rsidRPr="00006A39">
        <w:rPr>
          <w:szCs w:val="28"/>
        </w:rPr>
        <w:t xml:space="preserve"> [</w:t>
      </w:r>
      <w:r w:rsidR="00DD2AC2" w:rsidRPr="00DD2AC2">
        <w:rPr>
          <w:szCs w:val="28"/>
        </w:rPr>
        <w:t>54, 260, 347, 371</w:t>
      </w:r>
      <w:r w:rsidRPr="00006A39">
        <w:rPr>
          <w:szCs w:val="28"/>
        </w:rPr>
        <w:t xml:space="preserve">]. В Україні на даний час не розроблено національного плану дій в рамках стратегій або ініціатив ВООЗ, ЮНІСЕФ та відсутні державні програми щодо </w:t>
      </w:r>
      <w:r w:rsidR="006241DC" w:rsidRPr="006241DC">
        <w:rPr>
          <w:szCs w:val="28"/>
        </w:rPr>
        <w:t xml:space="preserve">збереження здоров’я дитячого населення та сприяння зниженню </w:t>
      </w:r>
      <w:r w:rsidR="006241DC">
        <w:rPr>
          <w:szCs w:val="28"/>
        </w:rPr>
        <w:t xml:space="preserve">або попередження </w:t>
      </w:r>
      <w:r w:rsidR="006241DC" w:rsidRPr="006241DC">
        <w:rPr>
          <w:szCs w:val="28"/>
        </w:rPr>
        <w:t>смертності дітей віком до 5 років життя</w:t>
      </w:r>
      <w:r w:rsidR="006241DC">
        <w:rPr>
          <w:szCs w:val="28"/>
        </w:rPr>
        <w:t>.</w:t>
      </w:r>
    </w:p>
    <w:p w:rsidR="00C52913" w:rsidRDefault="00C52913" w:rsidP="00C52913">
      <w:pPr>
        <w:widowControl w:val="0"/>
        <w:ind w:firstLine="709"/>
        <w:rPr>
          <w:szCs w:val="28"/>
          <w:lang w:val="ru-RU"/>
        </w:rPr>
      </w:pPr>
    </w:p>
    <w:p w:rsidR="00C52913" w:rsidRPr="00C52913" w:rsidRDefault="00C52913" w:rsidP="00C52913">
      <w:pPr>
        <w:widowControl w:val="0"/>
        <w:ind w:firstLine="709"/>
        <w:rPr>
          <w:szCs w:val="28"/>
          <w:lang w:val="ru-RU"/>
        </w:rPr>
      </w:pPr>
    </w:p>
    <w:p w:rsidR="00EC25E9" w:rsidRPr="0047471C" w:rsidRDefault="00EC25E9" w:rsidP="0047471C">
      <w:pPr>
        <w:widowControl w:val="0"/>
        <w:tabs>
          <w:tab w:val="left" w:pos="523"/>
        </w:tabs>
        <w:spacing w:after="240"/>
        <w:ind w:firstLine="709"/>
        <w:rPr>
          <w:b/>
          <w:szCs w:val="28"/>
          <w:lang w:val="ru-RU"/>
        </w:rPr>
      </w:pPr>
      <w:r w:rsidRPr="00006A39">
        <w:rPr>
          <w:b/>
          <w:szCs w:val="28"/>
        </w:rPr>
        <w:lastRenderedPageBreak/>
        <w:t xml:space="preserve">8.3. Характеристика </w:t>
      </w:r>
      <w:r w:rsidR="00DF75AC">
        <w:rPr>
          <w:b/>
          <w:szCs w:val="28"/>
        </w:rPr>
        <w:t>інноваційної системи</w:t>
      </w:r>
      <w:r w:rsidR="00DF75AC" w:rsidRPr="00DF75AC">
        <w:rPr>
          <w:b/>
          <w:szCs w:val="28"/>
        </w:rPr>
        <w:t xml:space="preserve"> медико-соціальної допомоги дітям до 5 років</w:t>
      </w:r>
      <w:r w:rsidR="00A23113">
        <w:rPr>
          <w:b/>
          <w:szCs w:val="28"/>
        </w:rPr>
        <w:t xml:space="preserve"> життя</w:t>
      </w:r>
    </w:p>
    <w:p w:rsidR="003F1AEA" w:rsidRDefault="00EA09FC" w:rsidP="003F1AEA">
      <w:pPr>
        <w:widowControl w:val="0"/>
        <w:ind w:firstLine="708"/>
        <w:rPr>
          <w:szCs w:val="28"/>
        </w:rPr>
      </w:pPr>
      <w:r w:rsidRPr="00990419">
        <w:rPr>
          <w:szCs w:val="28"/>
          <w:lang w:val="ru-RU"/>
        </w:rPr>
        <w:t>Розробці і</w:t>
      </w:r>
      <w:r w:rsidRPr="00990419">
        <w:rPr>
          <w:szCs w:val="28"/>
        </w:rPr>
        <w:t xml:space="preserve">нноваційної системи медико-соціальної допомоги дітям до 5 років </w:t>
      </w:r>
      <w:r w:rsidR="00990419" w:rsidRPr="00990419">
        <w:rPr>
          <w:szCs w:val="28"/>
        </w:rPr>
        <w:t xml:space="preserve">передувала розробка організаційної моделі </w:t>
      </w:r>
      <w:r w:rsidR="00990419" w:rsidRPr="00990419">
        <w:rPr>
          <w:szCs w:val="28"/>
          <w:lang w:val="ru-RU"/>
        </w:rPr>
        <w:t xml:space="preserve">зниження смертності </w:t>
      </w:r>
      <w:r w:rsidR="00990419" w:rsidRPr="00990419">
        <w:rPr>
          <w:szCs w:val="28"/>
        </w:rPr>
        <w:t>дітей до 5</w:t>
      </w:r>
      <w:r w:rsidR="00990419" w:rsidRPr="00990419">
        <w:rPr>
          <w:szCs w:val="28"/>
          <w:lang w:val="ru-RU"/>
        </w:rPr>
        <w:t> </w:t>
      </w:r>
      <w:r w:rsidR="00990419" w:rsidRPr="00990419">
        <w:rPr>
          <w:szCs w:val="28"/>
        </w:rPr>
        <w:t xml:space="preserve">років життя в Україні </w:t>
      </w:r>
      <w:r w:rsidR="003F1AEA">
        <w:rPr>
          <w:szCs w:val="28"/>
        </w:rPr>
        <w:t>та моделі</w:t>
      </w:r>
      <w:r w:rsidR="003F1AEA" w:rsidRPr="003F1AEA">
        <w:rPr>
          <w:szCs w:val="28"/>
        </w:rPr>
        <w:t xml:space="preserve"> </w:t>
      </w:r>
      <w:r w:rsidR="003F1AEA" w:rsidRPr="003F1AEA">
        <w:rPr>
          <w:szCs w:val="28"/>
          <w:lang w:val="ru-RU"/>
        </w:rPr>
        <w:t xml:space="preserve">зниження смертності </w:t>
      </w:r>
      <w:r w:rsidR="003F1AEA" w:rsidRPr="003F1AEA">
        <w:rPr>
          <w:szCs w:val="28"/>
        </w:rPr>
        <w:t>дітей до 5</w:t>
      </w:r>
      <w:r w:rsidR="003F1AEA" w:rsidRPr="003F1AEA">
        <w:rPr>
          <w:szCs w:val="28"/>
          <w:lang w:val="ru-RU"/>
        </w:rPr>
        <w:t> </w:t>
      </w:r>
      <w:r w:rsidR="003F1AEA" w:rsidRPr="003F1AEA">
        <w:rPr>
          <w:szCs w:val="28"/>
        </w:rPr>
        <w:t>років життя в Україні</w:t>
      </w:r>
      <w:r w:rsidR="003F1AEA">
        <w:rPr>
          <w:szCs w:val="28"/>
        </w:rPr>
        <w:t>.</w:t>
      </w:r>
    </w:p>
    <w:p w:rsidR="009F3561" w:rsidRPr="004E357F" w:rsidRDefault="00EC25E9" w:rsidP="005545B5">
      <w:pPr>
        <w:widowControl w:val="0"/>
        <w:ind w:firstLine="708"/>
        <w:rPr>
          <w:szCs w:val="28"/>
        </w:rPr>
      </w:pPr>
      <w:r w:rsidRPr="00006A39">
        <w:rPr>
          <w:szCs w:val="28"/>
        </w:rPr>
        <w:t xml:space="preserve">Організаційна модель </w:t>
      </w:r>
      <w:r w:rsidR="00EA09FC" w:rsidRPr="003F1AEA">
        <w:rPr>
          <w:szCs w:val="28"/>
        </w:rPr>
        <w:t xml:space="preserve">зниження смертності </w:t>
      </w:r>
      <w:r w:rsidR="00EA09FC" w:rsidRPr="00EA09FC">
        <w:rPr>
          <w:szCs w:val="28"/>
        </w:rPr>
        <w:t>дітей до 5</w:t>
      </w:r>
      <w:r w:rsidR="00EA09FC" w:rsidRPr="00EA09FC">
        <w:rPr>
          <w:szCs w:val="28"/>
          <w:lang w:val="ru-RU"/>
        </w:rPr>
        <w:t> </w:t>
      </w:r>
      <w:r w:rsidR="00EA09FC" w:rsidRPr="00EA09FC">
        <w:rPr>
          <w:szCs w:val="28"/>
        </w:rPr>
        <w:t>років життя в Україні</w:t>
      </w:r>
      <w:r w:rsidR="009C37EB">
        <w:rPr>
          <w:szCs w:val="28"/>
        </w:rPr>
        <w:t xml:space="preserve"> </w:t>
      </w:r>
      <w:r w:rsidR="003F1AEA">
        <w:rPr>
          <w:szCs w:val="28"/>
        </w:rPr>
        <w:t xml:space="preserve">визначає учасників </w:t>
      </w:r>
      <w:r w:rsidR="001D1B84">
        <w:rPr>
          <w:szCs w:val="28"/>
        </w:rPr>
        <w:t xml:space="preserve">процесу зі </w:t>
      </w:r>
      <w:r w:rsidR="001D1B84" w:rsidRPr="001D1B84">
        <w:rPr>
          <w:szCs w:val="28"/>
        </w:rPr>
        <w:t>зниження смертності дітей до 5</w:t>
      </w:r>
      <w:r w:rsidR="001D1B84" w:rsidRPr="001D1B84">
        <w:rPr>
          <w:szCs w:val="28"/>
          <w:lang w:val="ru-RU"/>
        </w:rPr>
        <w:t> </w:t>
      </w:r>
      <w:r w:rsidR="001D1B84" w:rsidRPr="001D1B84">
        <w:rPr>
          <w:szCs w:val="28"/>
        </w:rPr>
        <w:t>років життя</w:t>
      </w:r>
      <w:r w:rsidR="003F1AEA">
        <w:rPr>
          <w:szCs w:val="28"/>
        </w:rPr>
        <w:t xml:space="preserve"> і </w:t>
      </w:r>
      <w:r w:rsidR="007663BA">
        <w:rPr>
          <w:szCs w:val="28"/>
        </w:rPr>
        <w:t>включає</w:t>
      </w:r>
      <w:r w:rsidRPr="00006A39">
        <w:rPr>
          <w:szCs w:val="28"/>
        </w:rPr>
        <w:t xml:space="preserve"> прийняття</w:t>
      </w:r>
      <w:r w:rsidR="007663BA">
        <w:rPr>
          <w:szCs w:val="28"/>
        </w:rPr>
        <w:t xml:space="preserve"> та реалізацію</w:t>
      </w:r>
      <w:r w:rsidRPr="00006A39">
        <w:rPr>
          <w:szCs w:val="28"/>
        </w:rPr>
        <w:t xml:space="preserve"> </w:t>
      </w:r>
      <w:r w:rsidR="00DD1206">
        <w:rPr>
          <w:szCs w:val="28"/>
        </w:rPr>
        <w:t>на державному рівні Державної</w:t>
      </w:r>
      <w:r w:rsidRPr="00006A39">
        <w:rPr>
          <w:szCs w:val="28"/>
        </w:rPr>
        <w:t xml:space="preserve"> багатосекторальної програми </w:t>
      </w:r>
      <w:r w:rsidR="003F1AEA">
        <w:rPr>
          <w:szCs w:val="28"/>
        </w:rPr>
        <w:t>з охорони дитинства</w:t>
      </w:r>
      <w:r w:rsidR="0096581A" w:rsidRPr="00006A39">
        <w:rPr>
          <w:szCs w:val="28"/>
        </w:rPr>
        <w:t xml:space="preserve"> </w:t>
      </w:r>
      <w:r w:rsidRPr="00006A39">
        <w:rPr>
          <w:szCs w:val="28"/>
        </w:rPr>
        <w:t xml:space="preserve">з </w:t>
      </w:r>
      <w:r w:rsidR="006F2C3E" w:rsidRPr="00006A39">
        <w:rPr>
          <w:szCs w:val="28"/>
        </w:rPr>
        <w:t>імплементацією</w:t>
      </w:r>
      <w:r w:rsidRPr="00006A39">
        <w:rPr>
          <w:szCs w:val="28"/>
        </w:rPr>
        <w:t xml:space="preserve"> заходів глобальної ініціативи ВООЗ «Кожна жінка, кожна дитина»</w:t>
      </w:r>
      <w:r w:rsidR="003F1AEA">
        <w:rPr>
          <w:szCs w:val="28"/>
        </w:rPr>
        <w:t xml:space="preserve"> (Національний план дій), на підставі якої на рівні</w:t>
      </w:r>
      <w:r w:rsidRPr="00006A39">
        <w:rPr>
          <w:szCs w:val="28"/>
        </w:rPr>
        <w:t xml:space="preserve"> об’єкту системи (обласні державні адміністрації та створені </w:t>
      </w:r>
      <w:r w:rsidR="00C72315" w:rsidRPr="00C72315">
        <w:rPr>
          <w:szCs w:val="28"/>
        </w:rPr>
        <w:t xml:space="preserve">обласні міжсекторальні координаційні ради з ініціації та імплементації скоординованих та узгоджених заходів) </w:t>
      </w:r>
      <w:r w:rsidRPr="00006A39">
        <w:rPr>
          <w:szCs w:val="28"/>
        </w:rPr>
        <w:t>мають бути затверджені</w:t>
      </w:r>
      <w:r w:rsidRPr="00006A39">
        <w:rPr>
          <w:color w:val="FF0000"/>
          <w:szCs w:val="28"/>
        </w:rPr>
        <w:t xml:space="preserve"> </w:t>
      </w:r>
      <w:r w:rsidR="00C72315">
        <w:rPr>
          <w:szCs w:val="28"/>
        </w:rPr>
        <w:t>регіональні комплексні цільові програми</w:t>
      </w:r>
      <w:r w:rsidR="00C72315" w:rsidRPr="00C72315">
        <w:rPr>
          <w:szCs w:val="28"/>
        </w:rPr>
        <w:t xml:space="preserve"> з охорони дитинства</w:t>
      </w:r>
      <w:r w:rsidRPr="00006A39">
        <w:rPr>
          <w:szCs w:val="28"/>
        </w:rPr>
        <w:t>. З урахуванням багатосекторальності програми до роботи щодо скорочення випадків дитячої смертності, якій можна запобігти, крім галузі охорони здоров’я (ЗОЗ всіх рівнів надання допомоги дітям, в т.ч. паліативної, перинатальної допомоги</w:t>
      </w:r>
      <w:r w:rsidR="003F1AEA">
        <w:rPr>
          <w:szCs w:val="28"/>
        </w:rPr>
        <w:t xml:space="preserve"> тощо</w:t>
      </w:r>
      <w:r w:rsidRPr="00006A39">
        <w:rPr>
          <w:szCs w:val="28"/>
        </w:rPr>
        <w:t>), долучаються і інші сфери, такі як: служби праці та соціального захисту,</w:t>
      </w:r>
      <w:r w:rsidRPr="00006A39">
        <w:t xml:space="preserve"> </w:t>
      </w:r>
      <w:r w:rsidRPr="00006A39">
        <w:rPr>
          <w:szCs w:val="28"/>
        </w:rPr>
        <w:t>заклади дошкільної та загальної освіти</w:t>
      </w:r>
      <w:r w:rsidR="000E7B8A">
        <w:rPr>
          <w:szCs w:val="28"/>
        </w:rPr>
        <w:t>, будинки малятка, інтернати, В</w:t>
      </w:r>
      <w:r w:rsidRPr="00006A39">
        <w:rPr>
          <w:szCs w:val="28"/>
        </w:rPr>
        <w:t>НЗ, ЗМІ, громадські організації, місцеві еліти, підприємства всіх форм власності (сприяння здоровому материнству та охороні плода), заклади системи громадського здоров’я,</w:t>
      </w:r>
      <w:r w:rsidRPr="00006A39">
        <w:rPr>
          <w:b/>
          <w:color w:val="FF0000"/>
          <w:szCs w:val="28"/>
        </w:rPr>
        <w:t xml:space="preserve"> </w:t>
      </w:r>
      <w:r w:rsidRPr="00006A39">
        <w:rPr>
          <w:szCs w:val="28"/>
        </w:rPr>
        <w:t>а також створення</w:t>
      </w:r>
      <w:r w:rsidRPr="00006A39">
        <w:t xml:space="preserve"> </w:t>
      </w:r>
      <w:r w:rsidRPr="00006A39">
        <w:rPr>
          <w:szCs w:val="28"/>
        </w:rPr>
        <w:t>Єдиної державної медичної інформаційної системи педіатричної допомоги (реєстр новонароджених, що народились передчасно та/або хворими, електронний медичний документообіг) та Інтернет-ресурсу із попередження дитячої смертності та посилення інформаційної роб</w:t>
      </w:r>
      <w:r w:rsidR="009C37EB">
        <w:rPr>
          <w:szCs w:val="28"/>
        </w:rPr>
        <w:t>оти  (рис. 8</w:t>
      </w:r>
      <w:r w:rsidRPr="00006A39">
        <w:rPr>
          <w:szCs w:val="28"/>
        </w:rPr>
        <w:t xml:space="preserve">.1). </w:t>
      </w:r>
    </w:p>
    <w:p w:rsidR="005545B5" w:rsidRPr="009962C7" w:rsidRDefault="005545B5" w:rsidP="005545B5">
      <w:pPr>
        <w:widowControl w:val="0"/>
        <w:ind w:firstLine="708"/>
        <w:rPr>
          <w:szCs w:val="28"/>
        </w:rPr>
      </w:pPr>
      <w:r w:rsidRPr="009962C7">
        <w:rPr>
          <w:szCs w:val="28"/>
        </w:rPr>
        <w:t xml:space="preserve">Організаційною моделлю передбачено створення моніторингової групи із здійсненням багатонапрямкового моніторингу і оцінки з наступною координацією управління процесом з попередження дитячої смертності. Моніторинг здійснюється в тому числі і </w:t>
      </w:r>
      <w:r w:rsidR="005247FA">
        <w:rPr>
          <w:szCs w:val="28"/>
        </w:rPr>
        <w:t xml:space="preserve">у випадках </w:t>
      </w:r>
      <w:r w:rsidRPr="009962C7">
        <w:rPr>
          <w:szCs w:val="28"/>
        </w:rPr>
        <w:t>надзвичайних ситуацій, які  несуть загрозу життю дітей.</w:t>
      </w:r>
    </w:p>
    <w:p w:rsidR="00EC25E9" w:rsidRPr="005545B5" w:rsidRDefault="00EC25E9" w:rsidP="005545B5">
      <w:pPr>
        <w:rPr>
          <w:szCs w:val="28"/>
          <w:lang w:val="ru-RU"/>
        </w:rPr>
        <w:sectPr w:rsidR="00EC25E9" w:rsidRPr="005545B5" w:rsidSect="00E242B0">
          <w:pgSz w:w="11906" w:h="16838"/>
          <w:pgMar w:top="1134" w:right="567" w:bottom="1134" w:left="1134" w:header="708" w:footer="708" w:gutter="0"/>
          <w:cols w:space="708"/>
          <w:docGrid w:linePitch="360"/>
        </w:sectPr>
      </w:pPr>
    </w:p>
    <w:p w:rsidR="00EC25E9" w:rsidRPr="00006A39" w:rsidRDefault="00EC25E9" w:rsidP="00721203">
      <w:pPr>
        <w:widowControl w:val="0"/>
        <w:ind w:firstLine="708"/>
        <w:rPr>
          <w:szCs w:val="28"/>
        </w:rPr>
      </w:pPr>
      <w:r w:rsidRPr="00006A39">
        <w:rPr>
          <w:rFonts w:eastAsia="Times New Roman"/>
          <w:noProof/>
          <w:color w:val="FFFFFF" w:themeColor="background1"/>
          <w:sz w:val="24"/>
          <w:szCs w:val="24"/>
          <w:u w:val="single"/>
          <w:lang w:val="ru-RU" w:eastAsia="ru-RU"/>
        </w:rPr>
        <w:lastRenderedPageBreak/>
        <mc:AlternateContent>
          <mc:Choice Requires="wpg">
            <w:drawing>
              <wp:anchor distT="0" distB="0" distL="114300" distR="114300" simplePos="0" relativeHeight="251691008" behindDoc="0" locked="0" layoutInCell="1" allowOverlap="1" wp14:anchorId="773B9125" wp14:editId="433C2743">
                <wp:simplePos x="0" y="0"/>
                <wp:positionH relativeFrom="column">
                  <wp:posOffset>402857</wp:posOffset>
                </wp:positionH>
                <wp:positionV relativeFrom="paragraph">
                  <wp:posOffset>15608</wp:posOffset>
                </wp:positionV>
                <wp:extent cx="5866600" cy="8458200"/>
                <wp:effectExtent l="0" t="0" r="20320" b="19050"/>
                <wp:wrapNone/>
                <wp:docPr id="129" name="Группа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66600" cy="8458200"/>
                          <a:chOff x="0" y="0"/>
                          <a:chExt cx="61798" cy="82200"/>
                        </a:xfrm>
                      </wpg:grpSpPr>
                      <wps:wsp>
                        <wps:cNvPr id="130" name="Блок-схема: процесс 69"/>
                        <wps:cNvSpPr>
                          <a:spLocks noChangeArrowheads="1"/>
                        </wps:cNvSpPr>
                        <wps:spPr bwMode="auto">
                          <a:xfrm>
                            <a:off x="3238" y="7302"/>
                            <a:ext cx="58560" cy="5944"/>
                          </a:xfrm>
                          <a:prstGeom prst="flowChartProcess">
                            <a:avLst/>
                          </a:prstGeom>
                          <a:solidFill>
                            <a:srgbClr val="FFFFFF"/>
                          </a:solidFill>
                          <a:ln w="25400">
                            <a:solidFill>
                              <a:srgbClr val="000000"/>
                            </a:solidFill>
                            <a:miter lim="800000"/>
                            <a:headEnd/>
                            <a:tailEnd/>
                          </a:ln>
                        </wps:spPr>
                        <wps:txbx>
                          <w:txbxContent>
                            <w:p w:rsidR="001E1DF5" w:rsidRPr="0096581A" w:rsidRDefault="001E1DF5" w:rsidP="005A6641">
                              <w:pPr>
                                <w:spacing w:line="220" w:lineRule="exact"/>
                                <w:jc w:val="center"/>
                                <w:rPr>
                                  <w:b/>
                                  <w:sz w:val="24"/>
                                  <w:szCs w:val="24"/>
                                </w:rPr>
                              </w:pPr>
                              <w:r w:rsidRPr="0096581A">
                                <w:rPr>
                                  <w:b/>
                                  <w:sz w:val="24"/>
                                  <w:szCs w:val="24"/>
                                </w:rPr>
                                <w:t>ОДА</w:t>
                              </w:r>
                            </w:p>
                            <w:p w:rsidR="001E1DF5" w:rsidRDefault="001E1DF5" w:rsidP="005A6641">
                              <w:pPr>
                                <w:spacing w:line="220" w:lineRule="exact"/>
                                <w:jc w:val="center"/>
                                <w:rPr>
                                  <w:sz w:val="24"/>
                                  <w:szCs w:val="24"/>
                                </w:rPr>
                              </w:pPr>
                              <w:r w:rsidRPr="0096581A">
                                <w:rPr>
                                  <w:sz w:val="24"/>
                                  <w:szCs w:val="24"/>
                                </w:rPr>
                                <w:t xml:space="preserve">(затвердження Регіональної </w:t>
                              </w:r>
                              <w:r>
                                <w:rPr>
                                  <w:sz w:val="24"/>
                                  <w:szCs w:val="24"/>
                                </w:rPr>
                                <w:t>комплексної цільової програми</w:t>
                              </w:r>
                              <w:r w:rsidRPr="003B44BE">
                                <w:rPr>
                                  <w:sz w:val="24"/>
                                  <w:szCs w:val="24"/>
                                </w:rPr>
                                <w:t xml:space="preserve"> </w:t>
                              </w:r>
                              <w:r w:rsidRPr="0096581A">
                                <w:rPr>
                                  <w:sz w:val="24"/>
                                  <w:szCs w:val="24"/>
                                </w:rPr>
                                <w:t xml:space="preserve">з </w:t>
                              </w:r>
                              <w:r>
                                <w:rPr>
                                  <w:sz w:val="24"/>
                                  <w:szCs w:val="24"/>
                                </w:rPr>
                                <w:t>охорони дитинства</w:t>
                              </w:r>
                            </w:p>
                            <w:p w:rsidR="001E1DF5" w:rsidRPr="0096581A" w:rsidRDefault="001E1DF5" w:rsidP="005A6641">
                              <w:pPr>
                                <w:spacing w:line="220" w:lineRule="exact"/>
                                <w:jc w:val="center"/>
                                <w:rPr>
                                  <w:sz w:val="24"/>
                                  <w:szCs w:val="24"/>
                                </w:rPr>
                              </w:pPr>
                              <w:r w:rsidRPr="0096581A">
                                <w:rPr>
                                  <w:sz w:val="24"/>
                                  <w:szCs w:val="24"/>
                                </w:rPr>
                                <w:t xml:space="preserve"> на підставі відповідної Національної програми)</w:t>
                              </w:r>
                            </w:p>
                          </w:txbxContent>
                        </wps:txbx>
                        <wps:bodyPr rot="0" vert="horz" wrap="square" lIns="36000" tIns="36000" rIns="36000" bIns="36000" anchor="ctr" anchorCtr="0" upright="1">
                          <a:noAutofit/>
                        </wps:bodyPr>
                      </wps:wsp>
                      <wps:wsp>
                        <wps:cNvPr id="131" name="Блок-схема: процесс 124"/>
                        <wps:cNvSpPr>
                          <a:spLocks noChangeArrowheads="1"/>
                        </wps:cNvSpPr>
                        <wps:spPr bwMode="auto">
                          <a:xfrm>
                            <a:off x="3238" y="14668"/>
                            <a:ext cx="58474" cy="3446"/>
                          </a:xfrm>
                          <a:prstGeom prst="flowChartProcess">
                            <a:avLst/>
                          </a:prstGeom>
                          <a:solidFill>
                            <a:srgbClr val="FFFFFF"/>
                          </a:solidFill>
                          <a:ln w="25400">
                            <a:solidFill>
                              <a:srgbClr val="000000"/>
                            </a:solidFill>
                            <a:miter lim="800000"/>
                            <a:headEnd/>
                            <a:tailEnd/>
                          </a:ln>
                        </wps:spPr>
                        <wps:txbx>
                          <w:txbxContent>
                            <w:p w:rsidR="001E1DF5" w:rsidRPr="0096581A" w:rsidRDefault="001E1DF5" w:rsidP="0096581A">
                              <w:pPr>
                                <w:spacing w:line="200" w:lineRule="exact"/>
                                <w:jc w:val="center"/>
                                <w:rPr>
                                  <w:b/>
                                  <w:sz w:val="24"/>
                                  <w:szCs w:val="24"/>
                                </w:rPr>
                              </w:pPr>
                              <w:r>
                                <w:rPr>
                                  <w:b/>
                                  <w:sz w:val="24"/>
                                  <w:szCs w:val="24"/>
                                </w:rPr>
                                <w:t>О</w:t>
                              </w:r>
                              <w:r w:rsidRPr="00CD6AB5">
                                <w:rPr>
                                  <w:b/>
                                  <w:sz w:val="24"/>
                                  <w:szCs w:val="24"/>
                                </w:rPr>
                                <w:t>бласні міжсекторальні координаційні ради з ініціації та імплементації скоординованих та узгоджених заходів</w:t>
                              </w:r>
                            </w:p>
                          </w:txbxContent>
                        </wps:txbx>
                        <wps:bodyPr rot="0" vert="horz" wrap="square" lIns="36000" tIns="36000" rIns="36000" bIns="36000" anchor="ctr" anchorCtr="0" upright="1">
                          <a:noAutofit/>
                        </wps:bodyPr>
                      </wps:wsp>
                      <wps:wsp>
                        <wps:cNvPr id="132" name="Блок-схема: процесс 137"/>
                        <wps:cNvSpPr>
                          <a:spLocks noChangeArrowheads="1"/>
                        </wps:cNvSpPr>
                        <wps:spPr bwMode="auto">
                          <a:xfrm>
                            <a:off x="3143" y="18954"/>
                            <a:ext cx="58526" cy="4287"/>
                          </a:xfrm>
                          <a:prstGeom prst="flowChartProcess">
                            <a:avLst/>
                          </a:prstGeom>
                          <a:solidFill>
                            <a:srgbClr val="FFFFFF"/>
                          </a:solidFill>
                          <a:ln w="25400">
                            <a:solidFill>
                              <a:srgbClr val="000000"/>
                            </a:solidFill>
                            <a:miter lim="800000"/>
                            <a:headEnd/>
                            <a:tailEnd/>
                          </a:ln>
                        </wps:spPr>
                        <wps:txbx>
                          <w:txbxContent>
                            <w:p w:rsidR="001E1DF5" w:rsidRPr="00CD6AB5" w:rsidRDefault="001E1DF5" w:rsidP="00CD6AB5">
                              <w:pPr>
                                <w:spacing w:line="200" w:lineRule="exact"/>
                                <w:jc w:val="center"/>
                                <w:rPr>
                                  <w:sz w:val="24"/>
                                  <w:szCs w:val="24"/>
                                </w:rPr>
                              </w:pPr>
                              <w:r w:rsidRPr="00CD6AB5">
                                <w:rPr>
                                  <w:b/>
                                  <w:sz w:val="24"/>
                                  <w:szCs w:val="24"/>
                                </w:rPr>
                                <w:t>Департаменти ОДА</w:t>
                              </w:r>
                              <w:r w:rsidRPr="00CD6AB5">
                                <w:rPr>
                                  <w:sz w:val="24"/>
                                  <w:szCs w:val="24"/>
                                </w:rPr>
                                <w:t>, залучені до виконання Регіональної багатосекторальної</w:t>
                              </w:r>
                            </w:p>
                            <w:p w:rsidR="001E1DF5" w:rsidRPr="00CD6AB5" w:rsidRDefault="001E1DF5" w:rsidP="00EC25E9">
                              <w:pPr>
                                <w:spacing w:line="240" w:lineRule="auto"/>
                                <w:jc w:val="center"/>
                                <w:rPr>
                                  <w:sz w:val="24"/>
                                  <w:szCs w:val="24"/>
                                </w:rPr>
                              </w:pPr>
                              <w:r w:rsidRPr="00CD6AB5">
                                <w:rPr>
                                  <w:sz w:val="24"/>
                                  <w:szCs w:val="24"/>
                                </w:rPr>
                                <w:t>науково-комплексної програми з попередження дитячої смертності</w:t>
                              </w:r>
                            </w:p>
                          </w:txbxContent>
                        </wps:txbx>
                        <wps:bodyPr rot="0" vert="horz" wrap="square" lIns="36000" tIns="36000" rIns="36000" bIns="36000" anchor="ctr" anchorCtr="0" upright="1">
                          <a:noAutofit/>
                        </wps:bodyPr>
                      </wps:wsp>
                      <wps:wsp>
                        <wps:cNvPr id="135" name="Блок-схема: процесс 139"/>
                        <wps:cNvSpPr>
                          <a:spLocks noChangeArrowheads="1"/>
                        </wps:cNvSpPr>
                        <wps:spPr bwMode="auto">
                          <a:xfrm>
                            <a:off x="11334" y="24955"/>
                            <a:ext cx="45685" cy="3113"/>
                          </a:xfrm>
                          <a:prstGeom prst="flowChartProcess">
                            <a:avLst/>
                          </a:prstGeom>
                          <a:solidFill>
                            <a:srgbClr val="FFFFFF"/>
                          </a:solidFill>
                          <a:ln w="25400">
                            <a:solidFill>
                              <a:srgbClr val="000000"/>
                            </a:solidFill>
                            <a:miter lim="800000"/>
                            <a:headEnd/>
                            <a:tailEnd/>
                          </a:ln>
                        </wps:spPr>
                        <wps:txbx>
                          <w:txbxContent>
                            <w:p w:rsidR="001E1DF5" w:rsidRPr="00DE5EB9" w:rsidRDefault="001E1DF5" w:rsidP="00EC25E9">
                              <w:pPr>
                                <w:spacing w:line="240" w:lineRule="auto"/>
                                <w:jc w:val="center"/>
                                <w:rPr>
                                  <w:b/>
                                  <w:sz w:val="24"/>
                                  <w:szCs w:val="24"/>
                                </w:rPr>
                              </w:pPr>
                              <w:r w:rsidRPr="00DE5EB9">
                                <w:rPr>
                                  <w:b/>
                                  <w:sz w:val="24"/>
                                  <w:szCs w:val="24"/>
                                </w:rPr>
                                <w:t>Місцеві органи влади</w:t>
                              </w:r>
                            </w:p>
                          </w:txbxContent>
                        </wps:txbx>
                        <wps:bodyPr rot="0" vert="horz" wrap="square" lIns="36000" tIns="36000" rIns="36000" bIns="36000" anchor="ctr" anchorCtr="0" upright="1">
                          <a:noAutofit/>
                        </wps:bodyPr>
                      </wps:wsp>
                      <wps:wsp>
                        <wps:cNvPr id="136" name="Стрелка вниз 138"/>
                        <wps:cNvSpPr>
                          <a:spLocks noChangeArrowheads="1"/>
                        </wps:cNvSpPr>
                        <wps:spPr bwMode="auto">
                          <a:xfrm>
                            <a:off x="31337" y="23241"/>
                            <a:ext cx="2270" cy="1686"/>
                          </a:xfrm>
                          <a:prstGeom prst="downArrow">
                            <a:avLst>
                              <a:gd name="adj1" fmla="val 50000"/>
                              <a:gd name="adj2" fmla="val 61606"/>
                            </a:avLst>
                          </a:prstGeom>
                          <a:solidFill>
                            <a:srgbClr val="FFFFFF"/>
                          </a:solidFill>
                          <a:ln w="25400">
                            <a:solidFill>
                              <a:srgbClr val="000000"/>
                            </a:solidFill>
                            <a:miter lim="800000"/>
                            <a:headEnd/>
                            <a:tailEnd/>
                          </a:ln>
                        </wps:spPr>
                        <wps:bodyPr rot="0" vert="horz" wrap="square" lIns="91440" tIns="45720" rIns="91440" bIns="45720" anchor="ctr" anchorCtr="0" upright="1">
                          <a:noAutofit/>
                        </wps:bodyPr>
                      </wps:wsp>
                      <wps:wsp>
                        <wps:cNvPr id="137" name="Стрелка вниз 136"/>
                        <wps:cNvSpPr>
                          <a:spLocks noChangeArrowheads="1"/>
                        </wps:cNvSpPr>
                        <wps:spPr bwMode="auto">
                          <a:xfrm>
                            <a:off x="31340" y="17595"/>
                            <a:ext cx="2267" cy="1683"/>
                          </a:xfrm>
                          <a:prstGeom prst="downArrow">
                            <a:avLst>
                              <a:gd name="adj1" fmla="val 50000"/>
                              <a:gd name="adj2" fmla="val 61606"/>
                            </a:avLst>
                          </a:prstGeom>
                          <a:solidFill>
                            <a:srgbClr val="FFFFFF"/>
                          </a:solidFill>
                          <a:ln w="25400">
                            <a:solidFill>
                              <a:srgbClr val="000000"/>
                            </a:solidFill>
                            <a:miter lim="800000"/>
                            <a:headEnd/>
                            <a:tailEnd/>
                          </a:ln>
                        </wps:spPr>
                        <wps:bodyPr rot="0" vert="horz" wrap="square" lIns="91440" tIns="45720" rIns="91440" bIns="45720" anchor="ctr" anchorCtr="0" upright="1">
                          <a:noAutofit/>
                        </wps:bodyPr>
                      </wps:wsp>
                      <wps:wsp>
                        <wps:cNvPr id="138" name="Прямоугольник 141"/>
                        <wps:cNvSpPr>
                          <a:spLocks noChangeArrowheads="1"/>
                        </wps:cNvSpPr>
                        <wps:spPr bwMode="auto">
                          <a:xfrm>
                            <a:off x="39830" y="39350"/>
                            <a:ext cx="19776" cy="7437"/>
                          </a:xfrm>
                          <a:prstGeom prst="rect">
                            <a:avLst/>
                          </a:prstGeom>
                          <a:solidFill>
                            <a:srgbClr val="FFFFFF"/>
                          </a:solidFill>
                          <a:ln w="25400">
                            <a:solidFill>
                              <a:srgbClr val="000000"/>
                            </a:solidFill>
                            <a:miter lim="800000"/>
                            <a:headEnd/>
                            <a:tailEnd/>
                          </a:ln>
                        </wps:spPr>
                        <wps:txbx>
                          <w:txbxContent>
                            <w:p w:rsidR="001E1DF5" w:rsidRPr="00480998" w:rsidRDefault="001E1DF5" w:rsidP="0074719A">
                              <w:pPr>
                                <w:pStyle w:val="a5"/>
                                <w:numPr>
                                  <w:ilvl w:val="0"/>
                                  <w:numId w:val="21"/>
                                </w:numPr>
                                <w:spacing w:line="240" w:lineRule="auto"/>
                                <w:ind w:left="426"/>
                                <w:rPr>
                                  <w:sz w:val="20"/>
                                  <w:szCs w:val="20"/>
                                </w:rPr>
                              </w:pPr>
                              <w:r w:rsidRPr="00480998">
                                <w:rPr>
                                  <w:sz w:val="20"/>
                                  <w:szCs w:val="20"/>
                                </w:rPr>
                                <w:t xml:space="preserve">ЕСОЗ, </w:t>
                              </w:r>
                            </w:p>
                            <w:p w:rsidR="001E1DF5" w:rsidRPr="00480998" w:rsidRDefault="001E1DF5" w:rsidP="0074719A">
                              <w:pPr>
                                <w:pStyle w:val="a5"/>
                                <w:numPr>
                                  <w:ilvl w:val="0"/>
                                  <w:numId w:val="21"/>
                                </w:numPr>
                                <w:spacing w:line="240" w:lineRule="auto"/>
                                <w:ind w:left="426"/>
                                <w:rPr>
                                  <w:sz w:val="20"/>
                                  <w:szCs w:val="20"/>
                                </w:rPr>
                              </w:pPr>
                              <w:r w:rsidRPr="00480998">
                                <w:rPr>
                                  <w:sz w:val="20"/>
                                  <w:szCs w:val="20"/>
                                </w:rPr>
                                <w:t xml:space="preserve">Реєстр новонароджених, що народились передчасно та/або хворими, </w:t>
                              </w:r>
                            </w:p>
                          </w:txbxContent>
                        </wps:txbx>
                        <wps:bodyPr rot="0" vert="horz" wrap="square" lIns="36000" tIns="0" rIns="36000" bIns="36000" anchor="ctr" anchorCtr="0" upright="1">
                          <a:noAutofit/>
                        </wps:bodyPr>
                      </wps:wsp>
                      <wps:wsp>
                        <wps:cNvPr id="139" name="Прямоугольник 144"/>
                        <wps:cNvSpPr>
                          <a:spLocks noChangeArrowheads="1"/>
                        </wps:cNvSpPr>
                        <wps:spPr bwMode="auto">
                          <a:xfrm>
                            <a:off x="21246" y="57646"/>
                            <a:ext cx="16796" cy="7194"/>
                          </a:xfrm>
                          <a:prstGeom prst="rect">
                            <a:avLst/>
                          </a:prstGeom>
                          <a:solidFill>
                            <a:srgbClr val="FFFFFF"/>
                          </a:solidFill>
                          <a:ln w="25400">
                            <a:solidFill>
                              <a:srgbClr val="000000"/>
                            </a:solidFill>
                            <a:miter lim="800000"/>
                            <a:headEnd/>
                            <a:tailEnd/>
                          </a:ln>
                        </wps:spPr>
                        <wps:txbx>
                          <w:txbxContent>
                            <w:p w:rsidR="001E1DF5" w:rsidRPr="005D04C2" w:rsidRDefault="001E1DF5" w:rsidP="00EC25E9">
                              <w:pPr>
                                <w:spacing w:line="240" w:lineRule="auto"/>
                                <w:jc w:val="center"/>
                                <w:rPr>
                                  <w:sz w:val="20"/>
                                  <w:szCs w:val="20"/>
                                </w:rPr>
                              </w:pPr>
                              <w:r w:rsidRPr="001C6569">
                                <w:rPr>
                                  <w:sz w:val="20"/>
                                  <w:szCs w:val="20"/>
                                </w:rPr>
                                <w:t>Інтернет-ресурс із попередження дитячої</w:t>
                              </w:r>
                              <w:r w:rsidRPr="005D04C2">
                                <w:rPr>
                                  <w:sz w:val="20"/>
                                  <w:szCs w:val="20"/>
                                  <w:shd w:val="clear" w:color="auto" w:fill="000000" w:themeFill="text1"/>
                                </w:rPr>
                                <w:t xml:space="preserve"> </w:t>
                              </w:r>
                              <w:r w:rsidRPr="001C6569">
                                <w:rPr>
                                  <w:sz w:val="20"/>
                                  <w:szCs w:val="20"/>
                                </w:rPr>
                                <w:t>смертності та посилення інформаційної роботи</w:t>
                              </w:r>
                            </w:p>
                          </w:txbxContent>
                        </wps:txbx>
                        <wps:bodyPr rot="0" vert="horz" wrap="square" lIns="36000" tIns="36000" rIns="36000" bIns="36000" anchor="ctr" anchorCtr="0" upright="1">
                          <a:noAutofit/>
                        </wps:bodyPr>
                      </wps:wsp>
                      <wps:wsp>
                        <wps:cNvPr id="140" name="Прямоугольник 143"/>
                        <wps:cNvSpPr>
                          <a:spLocks noChangeArrowheads="1"/>
                        </wps:cNvSpPr>
                        <wps:spPr bwMode="auto">
                          <a:xfrm>
                            <a:off x="31904" y="30099"/>
                            <a:ext cx="22111" cy="8466"/>
                          </a:xfrm>
                          <a:prstGeom prst="rect">
                            <a:avLst/>
                          </a:prstGeom>
                          <a:solidFill>
                            <a:srgbClr val="FFFFFF"/>
                          </a:solidFill>
                          <a:ln w="25400">
                            <a:solidFill>
                              <a:srgbClr val="000000"/>
                            </a:solidFill>
                            <a:miter lim="800000"/>
                            <a:headEnd/>
                            <a:tailEnd/>
                          </a:ln>
                        </wps:spPr>
                        <wps:txbx>
                          <w:txbxContent>
                            <w:p w:rsidR="001E1DF5" w:rsidRPr="00480998" w:rsidRDefault="001E1DF5" w:rsidP="0074719A">
                              <w:pPr>
                                <w:pStyle w:val="a5"/>
                                <w:numPr>
                                  <w:ilvl w:val="0"/>
                                  <w:numId w:val="20"/>
                                </w:numPr>
                                <w:spacing w:line="240" w:lineRule="auto"/>
                                <w:ind w:left="426"/>
                                <w:rPr>
                                  <w:sz w:val="20"/>
                                  <w:szCs w:val="20"/>
                                </w:rPr>
                              </w:pPr>
                              <w:r w:rsidRPr="00480998">
                                <w:rPr>
                                  <w:sz w:val="20"/>
                                  <w:szCs w:val="20"/>
                                </w:rPr>
                                <w:t xml:space="preserve">Заклади ОЗ всіх рівнів, які надають медичну допомогу матері та дитини. </w:t>
                              </w:r>
                            </w:p>
                            <w:p w:rsidR="001E1DF5" w:rsidRPr="00AA542E" w:rsidRDefault="001E1DF5" w:rsidP="0074719A">
                              <w:pPr>
                                <w:pStyle w:val="a5"/>
                                <w:numPr>
                                  <w:ilvl w:val="0"/>
                                  <w:numId w:val="20"/>
                                </w:numPr>
                                <w:spacing w:line="240" w:lineRule="auto"/>
                                <w:ind w:left="426"/>
                              </w:pPr>
                              <w:r w:rsidRPr="00480998">
                                <w:rPr>
                                  <w:sz w:val="20"/>
                                  <w:szCs w:val="20"/>
                                </w:rPr>
                                <w:t>Заклади системи громадського здоров’я</w:t>
                              </w:r>
                            </w:p>
                          </w:txbxContent>
                        </wps:txbx>
                        <wps:bodyPr rot="0" vert="horz" wrap="square" lIns="36000" tIns="36000" rIns="36000" bIns="36000" anchor="ctr" anchorCtr="0" upright="1">
                          <a:noAutofit/>
                        </wps:bodyPr>
                      </wps:wsp>
                      <wps:wsp>
                        <wps:cNvPr id="141" name="Прямоугольник 149"/>
                        <wps:cNvSpPr>
                          <a:spLocks noChangeArrowheads="1"/>
                        </wps:cNvSpPr>
                        <wps:spPr bwMode="auto">
                          <a:xfrm>
                            <a:off x="43659" y="47540"/>
                            <a:ext cx="15947" cy="7263"/>
                          </a:xfrm>
                          <a:prstGeom prst="rect">
                            <a:avLst/>
                          </a:prstGeom>
                          <a:solidFill>
                            <a:srgbClr val="FFFFFF"/>
                          </a:solidFill>
                          <a:ln w="25400">
                            <a:solidFill>
                              <a:srgbClr val="000000"/>
                            </a:solidFill>
                            <a:miter lim="800000"/>
                            <a:headEnd/>
                            <a:tailEnd/>
                          </a:ln>
                        </wps:spPr>
                        <wps:txbx>
                          <w:txbxContent>
                            <w:p w:rsidR="001E1DF5" w:rsidRPr="00480998" w:rsidRDefault="001E1DF5" w:rsidP="0074719A">
                              <w:pPr>
                                <w:pStyle w:val="a5"/>
                                <w:numPr>
                                  <w:ilvl w:val="0"/>
                                  <w:numId w:val="22"/>
                                </w:numPr>
                                <w:spacing w:line="200" w:lineRule="exact"/>
                                <w:ind w:left="426" w:hanging="357"/>
                                <w:jc w:val="left"/>
                                <w:rPr>
                                  <w:sz w:val="20"/>
                                  <w:szCs w:val="20"/>
                                </w:rPr>
                              </w:pPr>
                              <w:r>
                                <w:rPr>
                                  <w:sz w:val="20"/>
                                  <w:szCs w:val="20"/>
                                </w:rPr>
                                <w:t>В</w:t>
                              </w:r>
                              <w:r w:rsidRPr="00480998">
                                <w:rPr>
                                  <w:sz w:val="20"/>
                                  <w:szCs w:val="20"/>
                                </w:rPr>
                                <w:t>НЗ.</w:t>
                              </w:r>
                            </w:p>
                            <w:p w:rsidR="001E1DF5" w:rsidRPr="00480998" w:rsidRDefault="001E1DF5" w:rsidP="0074719A">
                              <w:pPr>
                                <w:pStyle w:val="a5"/>
                                <w:numPr>
                                  <w:ilvl w:val="0"/>
                                  <w:numId w:val="22"/>
                                </w:numPr>
                                <w:spacing w:line="200" w:lineRule="exact"/>
                                <w:ind w:left="426" w:hanging="357"/>
                                <w:jc w:val="left"/>
                                <w:rPr>
                                  <w:sz w:val="20"/>
                                  <w:szCs w:val="20"/>
                                </w:rPr>
                              </w:pPr>
                              <w:r w:rsidRPr="00480998">
                                <w:rPr>
                                  <w:sz w:val="20"/>
                                  <w:szCs w:val="20"/>
                                </w:rPr>
                                <w:t>Заклади середньої медичної освіти</w:t>
                              </w:r>
                            </w:p>
                          </w:txbxContent>
                        </wps:txbx>
                        <wps:bodyPr rot="0" vert="horz" wrap="square" lIns="91440" tIns="45720" rIns="91440" bIns="45720" anchor="ctr" anchorCtr="0" upright="1">
                          <a:noAutofit/>
                        </wps:bodyPr>
                      </wps:wsp>
                      <wps:wsp>
                        <wps:cNvPr id="142" name="Прямоугольник 145"/>
                        <wps:cNvSpPr>
                          <a:spLocks noChangeArrowheads="1"/>
                        </wps:cNvSpPr>
                        <wps:spPr bwMode="auto">
                          <a:xfrm>
                            <a:off x="4042" y="47067"/>
                            <a:ext cx="16332" cy="7198"/>
                          </a:xfrm>
                          <a:prstGeom prst="rect">
                            <a:avLst/>
                          </a:prstGeom>
                          <a:solidFill>
                            <a:srgbClr val="FFFFFF"/>
                          </a:solidFill>
                          <a:ln w="25400">
                            <a:solidFill>
                              <a:srgbClr val="000000"/>
                            </a:solidFill>
                            <a:miter lim="800000"/>
                            <a:headEnd/>
                            <a:tailEnd/>
                          </a:ln>
                        </wps:spPr>
                        <wps:txbx>
                          <w:txbxContent>
                            <w:p w:rsidR="001E1DF5" w:rsidRPr="00FD5A5B" w:rsidRDefault="001E1DF5" w:rsidP="00EC25E9">
                              <w:pPr>
                                <w:spacing w:line="240" w:lineRule="auto"/>
                                <w:jc w:val="center"/>
                                <w:rPr>
                                  <w:sz w:val="20"/>
                                  <w:szCs w:val="20"/>
                                </w:rPr>
                              </w:pPr>
                              <w:r w:rsidRPr="00FD5A5B">
                                <w:rPr>
                                  <w:sz w:val="20"/>
                                  <w:szCs w:val="20"/>
                                </w:rPr>
                                <w:t>Підприємства всіх форм власності (</w:t>
                              </w:r>
                              <w:r w:rsidRPr="004E5845">
                                <w:rPr>
                                  <w:sz w:val="20"/>
                                  <w:szCs w:val="20"/>
                                </w:rPr>
                                <w:t>сприяння здоровому материнству та охороні плода)</w:t>
                              </w:r>
                            </w:p>
                          </w:txbxContent>
                        </wps:txbx>
                        <wps:bodyPr rot="0" vert="horz" wrap="square" lIns="36000" tIns="36000" rIns="36000" bIns="36000" anchor="ctr" anchorCtr="0" upright="1">
                          <a:noAutofit/>
                        </wps:bodyPr>
                      </wps:wsp>
                      <wps:wsp>
                        <wps:cNvPr id="143" name="Прямоугольник 152"/>
                        <wps:cNvSpPr>
                          <a:spLocks noChangeArrowheads="1"/>
                        </wps:cNvSpPr>
                        <wps:spPr bwMode="auto">
                          <a:xfrm>
                            <a:off x="5566" y="39875"/>
                            <a:ext cx="15441" cy="5616"/>
                          </a:xfrm>
                          <a:prstGeom prst="rect">
                            <a:avLst/>
                          </a:prstGeom>
                          <a:solidFill>
                            <a:srgbClr val="FFFFFF"/>
                          </a:solidFill>
                          <a:ln w="25400">
                            <a:solidFill>
                              <a:srgbClr val="000000"/>
                            </a:solidFill>
                            <a:miter lim="800000"/>
                            <a:headEnd/>
                            <a:tailEnd/>
                          </a:ln>
                        </wps:spPr>
                        <wps:txbx>
                          <w:txbxContent>
                            <w:p w:rsidR="001E1DF5" w:rsidRPr="0063532D" w:rsidRDefault="001E1DF5" w:rsidP="00EC25E9">
                              <w:pPr>
                                <w:spacing w:line="240" w:lineRule="auto"/>
                                <w:jc w:val="center"/>
                                <w:rPr>
                                  <w:sz w:val="20"/>
                                  <w:szCs w:val="20"/>
                                </w:rPr>
                              </w:pPr>
                              <w:r w:rsidRPr="001C6569">
                                <w:rPr>
                                  <w:sz w:val="20"/>
                                  <w:szCs w:val="20"/>
                                </w:rPr>
                                <w:t>Громадські організації, молодіжні рухи, місцеві</w:t>
                              </w:r>
                              <w:r>
                                <w:rPr>
                                  <w:sz w:val="20"/>
                                  <w:szCs w:val="20"/>
                                </w:rPr>
                                <w:t xml:space="preserve"> еліти</w:t>
                              </w:r>
                            </w:p>
                          </w:txbxContent>
                        </wps:txbx>
                        <wps:bodyPr rot="0" vert="horz" wrap="square" lIns="91440" tIns="45720" rIns="91440" bIns="45720" anchor="ctr" anchorCtr="0" upright="1">
                          <a:noAutofit/>
                        </wps:bodyPr>
                      </wps:wsp>
                      <wps:wsp>
                        <wps:cNvPr id="144" name="Прямоугольник 151"/>
                        <wps:cNvSpPr>
                          <a:spLocks noChangeArrowheads="1"/>
                        </wps:cNvSpPr>
                        <wps:spPr bwMode="auto">
                          <a:xfrm>
                            <a:off x="9325" y="55042"/>
                            <a:ext cx="11271" cy="8439"/>
                          </a:xfrm>
                          <a:prstGeom prst="rect">
                            <a:avLst/>
                          </a:prstGeom>
                          <a:solidFill>
                            <a:srgbClr val="FFFFFF"/>
                          </a:solidFill>
                          <a:ln w="25400">
                            <a:solidFill>
                              <a:srgbClr val="000000"/>
                            </a:solidFill>
                            <a:miter lim="800000"/>
                            <a:headEnd/>
                            <a:tailEnd/>
                          </a:ln>
                        </wps:spPr>
                        <wps:txbx>
                          <w:txbxContent>
                            <w:p w:rsidR="001E1DF5" w:rsidRPr="0084147D" w:rsidRDefault="001E1DF5" w:rsidP="00480998">
                              <w:pPr>
                                <w:spacing w:line="200" w:lineRule="exact"/>
                                <w:ind w:right="-61"/>
                                <w:jc w:val="center"/>
                                <w:rPr>
                                  <w:sz w:val="20"/>
                                  <w:szCs w:val="20"/>
                                </w:rPr>
                              </w:pPr>
                              <w:r w:rsidRPr="001C6569">
                                <w:rPr>
                                  <w:sz w:val="20"/>
                                  <w:szCs w:val="20"/>
                                </w:rPr>
                                <w:t>Заклади дошкільної освіти,</w:t>
                              </w:r>
                              <w:r>
                                <w:rPr>
                                  <w:sz w:val="20"/>
                                  <w:szCs w:val="20"/>
                                </w:rPr>
                                <w:t xml:space="preserve"> </w:t>
                              </w:r>
                              <w:r w:rsidRPr="001C6569">
                                <w:rPr>
                                  <w:sz w:val="20"/>
                                  <w:szCs w:val="20"/>
                                </w:rPr>
                                <w:t>будинки</w:t>
                              </w:r>
                              <w:r w:rsidRPr="00CF4042">
                                <w:rPr>
                                  <w:sz w:val="20"/>
                                  <w:szCs w:val="20"/>
                                  <w:shd w:val="clear" w:color="auto" w:fill="000000" w:themeFill="text1"/>
                                </w:rPr>
                                <w:t xml:space="preserve"> </w:t>
                              </w:r>
                              <w:r>
                                <w:rPr>
                                  <w:sz w:val="20"/>
                                  <w:szCs w:val="20"/>
                                </w:rPr>
                                <w:t>малятка</w:t>
                              </w:r>
                            </w:p>
                          </w:txbxContent>
                        </wps:txbx>
                        <wps:bodyPr rot="0" vert="horz" wrap="square" lIns="91440" tIns="45720" rIns="91440" bIns="45720" anchor="ctr" anchorCtr="0" upright="1">
                          <a:noAutofit/>
                        </wps:bodyPr>
                      </wps:wsp>
                      <wps:wsp>
                        <wps:cNvPr id="145" name="Прямоугольник 150"/>
                        <wps:cNvSpPr>
                          <a:spLocks noChangeArrowheads="1"/>
                        </wps:cNvSpPr>
                        <wps:spPr bwMode="auto">
                          <a:xfrm>
                            <a:off x="38849" y="57646"/>
                            <a:ext cx="9639" cy="7194"/>
                          </a:xfrm>
                          <a:prstGeom prst="rect">
                            <a:avLst/>
                          </a:prstGeom>
                          <a:solidFill>
                            <a:srgbClr val="FFFFFF"/>
                          </a:solidFill>
                          <a:ln w="25400">
                            <a:solidFill>
                              <a:srgbClr val="000000"/>
                            </a:solidFill>
                            <a:miter lim="800000"/>
                            <a:headEnd/>
                            <a:tailEnd/>
                          </a:ln>
                        </wps:spPr>
                        <wps:txbx>
                          <w:txbxContent>
                            <w:p w:rsidR="001E1DF5" w:rsidRPr="00074CA0" w:rsidRDefault="001E1DF5" w:rsidP="00EC25E9">
                              <w:pPr>
                                <w:spacing w:line="240" w:lineRule="auto"/>
                                <w:jc w:val="center"/>
                                <w:rPr>
                                  <w:sz w:val="20"/>
                                  <w:szCs w:val="20"/>
                                </w:rPr>
                              </w:pPr>
                              <w:r>
                                <w:rPr>
                                  <w:sz w:val="20"/>
                                  <w:szCs w:val="20"/>
                                </w:rPr>
                                <w:t>Засоби масової інформації</w:t>
                              </w:r>
                            </w:p>
                          </w:txbxContent>
                        </wps:txbx>
                        <wps:bodyPr rot="0" vert="horz" wrap="square" lIns="91440" tIns="45720" rIns="91440" bIns="45720" anchor="ctr" anchorCtr="0" upright="1">
                          <a:noAutofit/>
                        </wps:bodyPr>
                      </wps:wsp>
                      <wps:wsp>
                        <wps:cNvPr id="146" name="Прямоугольник 148"/>
                        <wps:cNvSpPr>
                          <a:spLocks noChangeArrowheads="1"/>
                        </wps:cNvSpPr>
                        <wps:spPr bwMode="auto">
                          <a:xfrm>
                            <a:off x="49103" y="55761"/>
                            <a:ext cx="9658" cy="7258"/>
                          </a:xfrm>
                          <a:prstGeom prst="rect">
                            <a:avLst/>
                          </a:prstGeom>
                          <a:solidFill>
                            <a:srgbClr val="FFFFFF"/>
                          </a:solidFill>
                          <a:ln w="25400">
                            <a:solidFill>
                              <a:srgbClr val="000000"/>
                            </a:solidFill>
                            <a:miter lim="800000"/>
                            <a:headEnd/>
                            <a:tailEnd/>
                          </a:ln>
                        </wps:spPr>
                        <wps:txbx>
                          <w:txbxContent>
                            <w:p w:rsidR="001E1DF5" w:rsidRPr="00074CA0" w:rsidRDefault="001E1DF5" w:rsidP="00EC25E9">
                              <w:pPr>
                                <w:spacing w:line="240" w:lineRule="auto"/>
                                <w:jc w:val="center"/>
                                <w:rPr>
                                  <w:sz w:val="20"/>
                                  <w:szCs w:val="20"/>
                                </w:rPr>
                              </w:pPr>
                              <w:r w:rsidRPr="00074CA0">
                                <w:rPr>
                                  <w:sz w:val="20"/>
                                  <w:szCs w:val="20"/>
                                </w:rPr>
                                <w:t>Сім’я (батьки)</w:t>
                              </w:r>
                            </w:p>
                          </w:txbxContent>
                        </wps:txbx>
                        <wps:bodyPr rot="0" vert="horz" wrap="square" lIns="91440" tIns="45720" rIns="91440" bIns="45720" anchor="ctr" anchorCtr="0" upright="1">
                          <a:noAutofit/>
                        </wps:bodyPr>
                      </wps:wsp>
                      <wps:wsp>
                        <wps:cNvPr id="147" name="Прямоугольник 146"/>
                        <wps:cNvSpPr>
                          <a:spLocks noChangeArrowheads="1"/>
                        </wps:cNvSpPr>
                        <wps:spPr bwMode="auto">
                          <a:xfrm>
                            <a:off x="8010" y="34795"/>
                            <a:ext cx="15951" cy="4356"/>
                          </a:xfrm>
                          <a:prstGeom prst="rect">
                            <a:avLst/>
                          </a:prstGeom>
                          <a:solidFill>
                            <a:srgbClr val="FFFFFF"/>
                          </a:solidFill>
                          <a:ln w="25400">
                            <a:solidFill>
                              <a:srgbClr val="000000"/>
                            </a:solidFill>
                            <a:miter lim="800000"/>
                            <a:headEnd/>
                            <a:tailEnd/>
                          </a:ln>
                        </wps:spPr>
                        <wps:txbx>
                          <w:txbxContent>
                            <w:p w:rsidR="001E1DF5" w:rsidRPr="00074CA0" w:rsidRDefault="001E1DF5" w:rsidP="00EC25E9">
                              <w:pPr>
                                <w:spacing w:line="240" w:lineRule="auto"/>
                                <w:jc w:val="center"/>
                                <w:rPr>
                                  <w:sz w:val="20"/>
                                  <w:szCs w:val="20"/>
                                </w:rPr>
                              </w:pPr>
                              <w:r w:rsidRPr="001C6569">
                                <w:rPr>
                                  <w:sz w:val="20"/>
                                  <w:szCs w:val="20"/>
                                </w:rPr>
                                <w:t>Служби праці та соціального захисту</w:t>
                              </w:r>
                            </w:p>
                          </w:txbxContent>
                        </wps:txbx>
                        <wps:bodyPr rot="0" vert="horz" wrap="square" lIns="91440" tIns="45720" rIns="91440" bIns="45720" anchor="ctr" anchorCtr="0" upright="1">
                          <a:noAutofit/>
                        </wps:bodyPr>
                      </wps:wsp>
                      <wps:wsp>
                        <wps:cNvPr id="148" name="Прямоугольник 147"/>
                        <wps:cNvSpPr>
                          <a:spLocks noChangeArrowheads="1"/>
                        </wps:cNvSpPr>
                        <wps:spPr bwMode="auto">
                          <a:xfrm>
                            <a:off x="14542" y="30117"/>
                            <a:ext cx="16795" cy="4150"/>
                          </a:xfrm>
                          <a:prstGeom prst="rect">
                            <a:avLst/>
                          </a:prstGeom>
                          <a:solidFill>
                            <a:srgbClr val="FFFFFF"/>
                          </a:solidFill>
                          <a:ln w="25400">
                            <a:solidFill>
                              <a:srgbClr val="000000"/>
                            </a:solidFill>
                            <a:miter lim="800000"/>
                            <a:headEnd/>
                            <a:tailEnd/>
                          </a:ln>
                        </wps:spPr>
                        <wps:txbx>
                          <w:txbxContent>
                            <w:p w:rsidR="001E1DF5" w:rsidRPr="00133082" w:rsidRDefault="001E1DF5" w:rsidP="00EC25E9">
                              <w:pPr>
                                <w:spacing w:line="240" w:lineRule="auto"/>
                                <w:jc w:val="center"/>
                                <w:rPr>
                                  <w:sz w:val="20"/>
                                  <w:szCs w:val="20"/>
                                </w:rPr>
                              </w:pPr>
                              <w:r>
                                <w:rPr>
                                  <w:sz w:val="20"/>
                                  <w:szCs w:val="20"/>
                                </w:rPr>
                                <w:t>Об’єднані територіальні громади</w:t>
                              </w:r>
                            </w:p>
                          </w:txbxContent>
                        </wps:txbx>
                        <wps:bodyPr rot="0" vert="horz" wrap="square" lIns="91440" tIns="45720" rIns="91440" bIns="45720" anchor="ctr" anchorCtr="0" upright="1">
                          <a:noAutofit/>
                        </wps:bodyPr>
                      </wps:wsp>
                      <wps:wsp>
                        <wps:cNvPr id="149" name="Блок-схема: процесс 153"/>
                        <wps:cNvSpPr>
                          <a:spLocks noChangeArrowheads="1"/>
                        </wps:cNvSpPr>
                        <wps:spPr bwMode="auto">
                          <a:xfrm>
                            <a:off x="13811" y="65817"/>
                            <a:ext cx="40913" cy="3112"/>
                          </a:xfrm>
                          <a:prstGeom prst="flowChartProcess">
                            <a:avLst/>
                          </a:prstGeom>
                          <a:solidFill>
                            <a:srgbClr val="FFFFFF"/>
                          </a:solidFill>
                          <a:ln w="25400">
                            <a:solidFill>
                              <a:srgbClr val="000000"/>
                            </a:solidFill>
                            <a:miter lim="800000"/>
                            <a:headEnd/>
                            <a:tailEnd/>
                          </a:ln>
                        </wps:spPr>
                        <wps:txbx>
                          <w:txbxContent>
                            <w:p w:rsidR="001E1DF5" w:rsidRPr="00A63B31" w:rsidRDefault="001E1DF5" w:rsidP="00EC25E9">
                              <w:pPr>
                                <w:spacing w:line="240" w:lineRule="auto"/>
                                <w:jc w:val="center"/>
                                <w:rPr>
                                  <w:b/>
                                  <w:sz w:val="24"/>
                                  <w:szCs w:val="24"/>
                                </w:rPr>
                              </w:pPr>
                              <w:r w:rsidRPr="00A63B31">
                                <w:rPr>
                                  <w:b/>
                                  <w:sz w:val="24"/>
                                  <w:szCs w:val="24"/>
                                </w:rPr>
                                <w:t>Зниження дитячої смертності</w:t>
                              </w:r>
                            </w:p>
                          </w:txbxContent>
                        </wps:txbx>
                        <wps:bodyPr rot="0" vert="horz" wrap="square" lIns="36000" tIns="36000" rIns="36000" bIns="36000" anchor="ctr" anchorCtr="0" upright="1">
                          <a:noAutofit/>
                        </wps:bodyPr>
                      </wps:wsp>
                      <wps:wsp>
                        <wps:cNvPr id="150" name="Блок-схема: процесс 155"/>
                        <wps:cNvSpPr>
                          <a:spLocks noChangeArrowheads="1"/>
                        </wps:cNvSpPr>
                        <wps:spPr bwMode="auto">
                          <a:xfrm>
                            <a:off x="13811" y="70770"/>
                            <a:ext cx="40913" cy="5909"/>
                          </a:xfrm>
                          <a:prstGeom prst="flowChartProcess">
                            <a:avLst/>
                          </a:prstGeom>
                          <a:solidFill>
                            <a:srgbClr val="FFFFFF"/>
                          </a:solidFill>
                          <a:ln w="25400">
                            <a:solidFill>
                              <a:srgbClr val="000000"/>
                            </a:solidFill>
                            <a:miter lim="800000"/>
                            <a:headEnd/>
                            <a:tailEnd/>
                          </a:ln>
                        </wps:spPr>
                        <wps:txbx>
                          <w:txbxContent>
                            <w:p w:rsidR="001E1DF5" w:rsidRPr="00A63B31" w:rsidRDefault="001E1DF5" w:rsidP="00EC25E9">
                              <w:pPr>
                                <w:spacing w:line="240" w:lineRule="auto"/>
                                <w:jc w:val="center"/>
                                <w:rPr>
                                  <w:b/>
                                  <w:sz w:val="24"/>
                                  <w:szCs w:val="24"/>
                                </w:rPr>
                              </w:pPr>
                              <w:r w:rsidRPr="00A63B31">
                                <w:rPr>
                                  <w:b/>
                                  <w:sz w:val="24"/>
                                  <w:szCs w:val="24"/>
                                </w:rPr>
                                <w:t>Моніторинг</w:t>
                              </w:r>
                            </w:p>
                            <w:p w:rsidR="001E1DF5" w:rsidRPr="00957D1E" w:rsidRDefault="001E1DF5" w:rsidP="00EC25E9">
                              <w:pPr>
                                <w:spacing w:line="240" w:lineRule="auto"/>
                                <w:jc w:val="center"/>
                              </w:pPr>
                              <w:r w:rsidRPr="005729E6">
                                <w:rPr>
                                  <w:sz w:val="24"/>
                                  <w:szCs w:val="24"/>
                                </w:rPr>
                                <w:t>(Моніторингова група: багатонапрямковий</w:t>
                              </w:r>
                              <w:r w:rsidRPr="00957D1E">
                                <w:t xml:space="preserve"> </w:t>
                              </w:r>
                              <w:r w:rsidRPr="005729E6">
                                <w:rPr>
                                  <w:sz w:val="24"/>
                                  <w:szCs w:val="24"/>
                                </w:rPr>
                                <w:t>моніторинг та оцінка)</w:t>
                              </w:r>
                            </w:p>
                          </w:txbxContent>
                        </wps:txbx>
                        <wps:bodyPr rot="0" vert="horz" wrap="square" lIns="36000" tIns="36000" rIns="36000" bIns="36000" anchor="ctr" anchorCtr="0" upright="1">
                          <a:noAutofit/>
                        </wps:bodyPr>
                      </wps:wsp>
                      <wps:wsp>
                        <wps:cNvPr id="153" name="Стрелка вниз 125"/>
                        <wps:cNvSpPr>
                          <a:spLocks noChangeArrowheads="1"/>
                        </wps:cNvSpPr>
                        <wps:spPr bwMode="auto">
                          <a:xfrm>
                            <a:off x="31337" y="13063"/>
                            <a:ext cx="2267" cy="1683"/>
                          </a:xfrm>
                          <a:prstGeom prst="downArrow">
                            <a:avLst>
                              <a:gd name="adj1" fmla="val 50000"/>
                              <a:gd name="adj2" fmla="val 61606"/>
                            </a:avLst>
                          </a:prstGeom>
                          <a:solidFill>
                            <a:srgbClr val="FFFFFF"/>
                          </a:solidFill>
                          <a:ln w="25400">
                            <a:solidFill>
                              <a:srgbClr val="000000"/>
                            </a:solidFill>
                            <a:miter lim="800000"/>
                            <a:headEnd/>
                            <a:tailEnd/>
                          </a:ln>
                        </wps:spPr>
                        <wps:bodyPr rot="0" vert="horz" wrap="square" lIns="91440" tIns="45720" rIns="91440" bIns="45720" anchor="ctr" anchorCtr="0" upright="1">
                          <a:noAutofit/>
                        </wps:bodyPr>
                      </wps:wsp>
                      <wps:wsp>
                        <wps:cNvPr id="154" name="Стрелка вниз 68"/>
                        <wps:cNvSpPr>
                          <a:spLocks noChangeArrowheads="1"/>
                        </wps:cNvSpPr>
                        <wps:spPr bwMode="auto">
                          <a:xfrm>
                            <a:off x="31432" y="5619"/>
                            <a:ext cx="2267" cy="1683"/>
                          </a:xfrm>
                          <a:prstGeom prst="downArrow">
                            <a:avLst>
                              <a:gd name="adj1" fmla="val 50000"/>
                              <a:gd name="adj2" fmla="val 61606"/>
                            </a:avLst>
                          </a:prstGeom>
                          <a:solidFill>
                            <a:srgbClr val="FFFFFF"/>
                          </a:solidFill>
                          <a:ln w="25400">
                            <a:solidFill>
                              <a:srgbClr val="000000"/>
                            </a:solidFill>
                            <a:miter lim="800000"/>
                            <a:headEnd/>
                            <a:tailEnd/>
                          </a:ln>
                        </wps:spPr>
                        <wps:bodyPr rot="0" vert="horz" wrap="square" lIns="91440" tIns="45720" rIns="91440" bIns="45720" anchor="ctr" anchorCtr="0" upright="1">
                          <a:noAutofit/>
                        </wps:bodyPr>
                      </wps:wsp>
                      <wps:wsp>
                        <wps:cNvPr id="155" name="Стрелка вниз 154"/>
                        <wps:cNvSpPr>
                          <a:spLocks noChangeArrowheads="1"/>
                        </wps:cNvSpPr>
                        <wps:spPr bwMode="auto">
                          <a:xfrm>
                            <a:off x="33147" y="68961"/>
                            <a:ext cx="2266" cy="1682"/>
                          </a:xfrm>
                          <a:prstGeom prst="downArrow">
                            <a:avLst>
                              <a:gd name="adj1" fmla="val 50000"/>
                              <a:gd name="adj2" fmla="val 61606"/>
                            </a:avLst>
                          </a:prstGeom>
                          <a:solidFill>
                            <a:srgbClr val="FFFFFF"/>
                          </a:solidFill>
                          <a:ln w="25400">
                            <a:solidFill>
                              <a:srgbClr val="000000"/>
                            </a:solidFill>
                            <a:miter lim="800000"/>
                            <a:headEnd/>
                            <a:tailEnd/>
                          </a:ln>
                        </wps:spPr>
                        <wps:bodyPr rot="0" vert="horz" wrap="square" lIns="91440" tIns="45720" rIns="91440" bIns="45720" anchor="ctr" anchorCtr="0" upright="1">
                          <a:noAutofit/>
                        </wps:bodyPr>
                      </wps:wsp>
                      <wps:wsp>
                        <wps:cNvPr id="156" name="Прямая соединительная линия 3"/>
                        <wps:cNvCnPr>
                          <a:cxnSpLocks noChangeShapeType="1"/>
                        </wps:cNvCnPr>
                        <wps:spPr bwMode="auto">
                          <a:xfrm>
                            <a:off x="0" y="2476"/>
                            <a:ext cx="95" cy="78048"/>
                          </a:xfrm>
                          <a:prstGeom prst="line">
                            <a:avLst/>
                          </a:prstGeom>
                          <a:noFill/>
                          <a:ln w="22225">
                            <a:solidFill>
                              <a:srgbClr val="000000"/>
                            </a:solidFill>
                            <a:round/>
                            <a:headEnd/>
                            <a:tailEnd/>
                          </a:ln>
                          <a:extLst>
                            <a:ext uri="{909E8E84-426E-40DD-AFC4-6F175D3DCCD1}">
                              <a14:hiddenFill xmlns:a14="http://schemas.microsoft.com/office/drawing/2010/main">
                                <a:noFill/>
                              </a14:hiddenFill>
                            </a:ext>
                          </a:extLst>
                        </wps:spPr>
                        <wps:bodyPr/>
                      </wps:wsp>
                      <wps:wsp>
                        <wps:cNvPr id="157" name="Прямая со стрелкой 66"/>
                        <wps:cNvCnPr>
                          <a:cxnSpLocks noChangeShapeType="1"/>
                        </wps:cNvCnPr>
                        <wps:spPr bwMode="auto">
                          <a:xfrm>
                            <a:off x="0" y="2476"/>
                            <a:ext cx="3138" cy="0"/>
                          </a:xfrm>
                          <a:prstGeom prst="straightConnector1">
                            <a:avLst/>
                          </a:prstGeom>
                          <a:noFill/>
                          <a:ln w="222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158" name="Прямая со стрелкой 73"/>
                        <wps:cNvCnPr>
                          <a:cxnSpLocks noChangeShapeType="1"/>
                        </wps:cNvCnPr>
                        <wps:spPr bwMode="auto">
                          <a:xfrm>
                            <a:off x="0" y="10096"/>
                            <a:ext cx="3067" cy="0"/>
                          </a:xfrm>
                          <a:prstGeom prst="straightConnector1">
                            <a:avLst/>
                          </a:prstGeom>
                          <a:noFill/>
                          <a:ln w="222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159" name="Прямая со стрелкой 135"/>
                        <wps:cNvCnPr>
                          <a:cxnSpLocks noChangeShapeType="1"/>
                        </wps:cNvCnPr>
                        <wps:spPr bwMode="auto">
                          <a:xfrm>
                            <a:off x="95" y="16192"/>
                            <a:ext cx="3067" cy="0"/>
                          </a:xfrm>
                          <a:prstGeom prst="straightConnector1">
                            <a:avLst/>
                          </a:prstGeom>
                          <a:noFill/>
                          <a:ln w="222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192" name="Стрелка вниз 156"/>
                        <wps:cNvSpPr>
                          <a:spLocks noChangeArrowheads="1"/>
                        </wps:cNvSpPr>
                        <wps:spPr bwMode="auto">
                          <a:xfrm>
                            <a:off x="33623" y="76679"/>
                            <a:ext cx="2267" cy="1683"/>
                          </a:xfrm>
                          <a:prstGeom prst="downArrow">
                            <a:avLst>
                              <a:gd name="adj1" fmla="val 50000"/>
                              <a:gd name="adj2" fmla="val 61606"/>
                            </a:avLst>
                          </a:prstGeom>
                          <a:solidFill>
                            <a:srgbClr val="FFFFFF"/>
                          </a:solidFill>
                          <a:ln w="25400">
                            <a:solidFill>
                              <a:srgbClr val="000000"/>
                            </a:solidFill>
                            <a:miter lim="800000"/>
                            <a:headEnd/>
                            <a:tailEnd/>
                          </a:ln>
                        </wps:spPr>
                        <wps:bodyPr rot="0" vert="horz" wrap="square" lIns="91440" tIns="45720" rIns="91440" bIns="45720" anchor="ctr" anchorCtr="0" upright="1">
                          <a:noAutofit/>
                        </wps:bodyPr>
                      </wps:wsp>
                      <wps:wsp>
                        <wps:cNvPr id="193" name="Блок-схема: процесс 157"/>
                        <wps:cNvSpPr>
                          <a:spLocks noChangeArrowheads="1"/>
                        </wps:cNvSpPr>
                        <wps:spPr bwMode="auto">
                          <a:xfrm>
                            <a:off x="13811" y="77914"/>
                            <a:ext cx="40913" cy="4286"/>
                          </a:xfrm>
                          <a:prstGeom prst="flowChartProcess">
                            <a:avLst/>
                          </a:prstGeom>
                          <a:solidFill>
                            <a:srgbClr val="FFFFFF"/>
                          </a:solidFill>
                          <a:ln w="25400">
                            <a:solidFill>
                              <a:srgbClr val="000000"/>
                            </a:solidFill>
                            <a:miter lim="800000"/>
                            <a:headEnd/>
                            <a:tailEnd/>
                          </a:ln>
                        </wps:spPr>
                        <wps:txbx>
                          <w:txbxContent>
                            <w:p w:rsidR="001E1DF5" w:rsidRPr="00A63B31" w:rsidRDefault="001E1DF5" w:rsidP="004D753B">
                              <w:pPr>
                                <w:spacing w:line="200" w:lineRule="exact"/>
                                <w:jc w:val="center"/>
                                <w:rPr>
                                  <w:b/>
                                  <w:sz w:val="24"/>
                                  <w:szCs w:val="24"/>
                                </w:rPr>
                              </w:pPr>
                              <w:r w:rsidRPr="00A63B31">
                                <w:rPr>
                                  <w:b/>
                                  <w:sz w:val="24"/>
                                  <w:szCs w:val="24"/>
                                </w:rPr>
                                <w:t>Координація управління процесом  із попередження дитячої смертності</w:t>
                              </w:r>
                            </w:p>
                          </w:txbxContent>
                        </wps:txbx>
                        <wps:bodyPr rot="0" vert="horz" wrap="square" lIns="36000" tIns="36000" rIns="36000" bIns="36000" anchor="ctr" anchorCtr="0" upright="1">
                          <a:noAutofit/>
                        </wps:bodyPr>
                      </wps:wsp>
                      <wps:wsp>
                        <wps:cNvPr id="194" name="Блок-схема: процесс 2"/>
                        <wps:cNvSpPr>
                          <a:spLocks noChangeArrowheads="1"/>
                        </wps:cNvSpPr>
                        <wps:spPr bwMode="auto">
                          <a:xfrm>
                            <a:off x="3238" y="0"/>
                            <a:ext cx="58560" cy="5638"/>
                          </a:xfrm>
                          <a:prstGeom prst="flowChartProcess">
                            <a:avLst/>
                          </a:prstGeom>
                          <a:solidFill>
                            <a:schemeClr val="bg1">
                              <a:lumMod val="100000"/>
                              <a:lumOff val="0"/>
                            </a:schemeClr>
                          </a:solidFill>
                          <a:ln w="25400">
                            <a:solidFill>
                              <a:srgbClr val="000000"/>
                            </a:solidFill>
                            <a:miter lim="800000"/>
                            <a:headEnd/>
                            <a:tailEnd/>
                          </a:ln>
                        </wps:spPr>
                        <wps:txbx>
                          <w:txbxContent>
                            <w:p w:rsidR="001E1DF5" w:rsidRPr="0096581A" w:rsidRDefault="001E1DF5" w:rsidP="008D4E15">
                              <w:pPr>
                                <w:spacing w:line="220" w:lineRule="exact"/>
                                <w:jc w:val="center"/>
                                <w:rPr>
                                  <w:b/>
                                  <w:sz w:val="24"/>
                                  <w:szCs w:val="24"/>
                                </w:rPr>
                              </w:pPr>
                              <w:r w:rsidRPr="0096581A">
                                <w:rPr>
                                  <w:b/>
                                  <w:sz w:val="24"/>
                                  <w:szCs w:val="24"/>
                                </w:rPr>
                                <w:t>Суб’єкт управління – Державний рівень</w:t>
                              </w:r>
                            </w:p>
                            <w:p w:rsidR="001E1DF5" w:rsidRPr="0096581A" w:rsidRDefault="001E1DF5" w:rsidP="008D4E15">
                              <w:pPr>
                                <w:spacing w:line="220" w:lineRule="exact"/>
                                <w:jc w:val="center"/>
                                <w:rPr>
                                  <w:sz w:val="24"/>
                                  <w:szCs w:val="24"/>
                                </w:rPr>
                              </w:pPr>
                              <w:r>
                                <w:rPr>
                                  <w:sz w:val="24"/>
                                  <w:szCs w:val="24"/>
                                </w:rPr>
                                <w:t>Державна</w:t>
                              </w:r>
                              <w:r w:rsidRPr="0096581A">
                                <w:rPr>
                                  <w:sz w:val="24"/>
                                  <w:szCs w:val="24"/>
                                </w:rPr>
                                <w:t xml:space="preserve"> багатосекторальна програма </w:t>
                              </w:r>
                              <w:r>
                                <w:rPr>
                                  <w:sz w:val="24"/>
                                  <w:szCs w:val="24"/>
                                </w:rPr>
                                <w:t>з охорони матері та дитини</w:t>
                              </w:r>
                              <w:r w:rsidRPr="0096581A">
                                <w:rPr>
                                  <w:sz w:val="24"/>
                                  <w:szCs w:val="24"/>
                                </w:rPr>
                                <w:t xml:space="preserve"> з імплементацією заходів глобальної ініціативи ВООЗ</w:t>
                              </w:r>
                              <w:r>
                                <w:t xml:space="preserve"> </w:t>
                              </w:r>
                              <w:r>
                                <w:rPr>
                                  <w:sz w:val="24"/>
                                  <w:szCs w:val="24"/>
                                </w:rPr>
                                <w:t>«Кожна жінка, к</w:t>
                              </w:r>
                              <w:r w:rsidRPr="0096581A">
                                <w:rPr>
                                  <w:sz w:val="24"/>
                                  <w:szCs w:val="24"/>
                                </w:rPr>
                                <w:t xml:space="preserve">ожна дитина» </w:t>
                              </w:r>
                            </w:p>
                            <w:p w:rsidR="001E1DF5" w:rsidRPr="00F23D24" w:rsidRDefault="001E1DF5" w:rsidP="00EC25E9">
                              <w:pPr>
                                <w:spacing w:line="240" w:lineRule="auto"/>
                                <w:jc w:val="center"/>
                              </w:pPr>
                            </w:p>
                          </w:txbxContent>
                        </wps:txbx>
                        <wps:bodyPr rot="0" vert="horz" wrap="square" lIns="36000" tIns="36000" rIns="36000" bIns="3600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5" o:spid="_x0000_s1118" style="position:absolute;left:0;text-align:left;margin-left:31.7pt;margin-top:1.25pt;width:461.95pt;height:666pt;z-index:251691008;mso-position-horizontal-relative:text;mso-position-vertical-relative:text" coordsize="61798,82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">
                <v:shapetype id="_x0000_t109" coordsize="21600,21600" o:spt="109" path="m,l,21600r21600,l21600,xe">
                  <v:stroke joinstyle="miter"/>
                  <v:path gradientshapeok="t" o:connecttype="rect"/>
                </v:shapetype>
                <v:shape id="Блок-схема: процесс 69" o:spid="_x0000_s1119" type="#_x0000_t109" style="position:absolute;left:3238;top:7302;width:58560;height:594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w9RMcA&#10;AADcAAAADwAAAGRycy9kb3ducmV2LnhtbESPQWsCMRCF74X+hzAFL0WTKi1lNUoRCi2FgloFb8Nm&#10;uruaTLabVNd/7xwKvc3w3rz3zWzRB69O1KUmsoWHkQFFXEbXcGXha/M6fAaVMrJDH5ksXCjBYn57&#10;M8PCxTOv6LTOlZIQTgVaqHNuC61TWVPANIotsWjfsQuYZe0q7To8S3jwemzMkw7YsDTU2NKypvK4&#10;/g0WHs2PP35ulpP33fZg9h+Hi9/eN9YO7vqXKahMff43/12/OcGfCL48IxPo+R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o8PUTHAAAA3AAAAA8AAAAAAAAAAAAAAAAAmAIAAGRy&#10;cy9kb3ducmV2LnhtbFBLBQYAAAAABAAEAPUAAACMAwAAAAA=&#10;" strokeweight="2pt">
                  <v:textbox inset="1mm,1mm,1mm,1mm">
                    <w:txbxContent>
                      <w:p w:rsidR="0057431A" w:rsidRPr="0096581A" w:rsidRDefault="0057431A" w:rsidP="005A6641">
                        <w:pPr>
                          <w:spacing w:line="220" w:lineRule="exact"/>
                          <w:jc w:val="center"/>
                          <w:rPr>
                            <w:b/>
                            <w:sz w:val="24"/>
                            <w:szCs w:val="24"/>
                          </w:rPr>
                        </w:pPr>
                        <w:r w:rsidRPr="0096581A">
                          <w:rPr>
                            <w:b/>
                            <w:sz w:val="24"/>
                            <w:szCs w:val="24"/>
                          </w:rPr>
                          <w:t>ОДА</w:t>
                        </w:r>
                      </w:p>
                      <w:p w:rsidR="0057431A" w:rsidRDefault="0057431A" w:rsidP="005A6641">
                        <w:pPr>
                          <w:spacing w:line="220" w:lineRule="exact"/>
                          <w:jc w:val="center"/>
                          <w:rPr>
                            <w:sz w:val="24"/>
                            <w:szCs w:val="24"/>
                          </w:rPr>
                        </w:pPr>
                        <w:r w:rsidRPr="0096581A">
                          <w:rPr>
                            <w:sz w:val="24"/>
                            <w:szCs w:val="24"/>
                          </w:rPr>
                          <w:t xml:space="preserve">(затвердження Регіональної </w:t>
                        </w:r>
                        <w:r>
                          <w:rPr>
                            <w:sz w:val="24"/>
                            <w:szCs w:val="24"/>
                          </w:rPr>
                          <w:t>комплексної цільової програми</w:t>
                        </w:r>
                        <w:r w:rsidRPr="003B44BE">
                          <w:rPr>
                            <w:sz w:val="24"/>
                            <w:szCs w:val="24"/>
                          </w:rPr>
                          <w:t xml:space="preserve"> </w:t>
                        </w:r>
                        <w:r w:rsidRPr="0096581A">
                          <w:rPr>
                            <w:sz w:val="24"/>
                            <w:szCs w:val="24"/>
                          </w:rPr>
                          <w:t xml:space="preserve">з </w:t>
                        </w:r>
                        <w:r>
                          <w:rPr>
                            <w:sz w:val="24"/>
                            <w:szCs w:val="24"/>
                          </w:rPr>
                          <w:t>охорони дитинства</w:t>
                        </w:r>
                      </w:p>
                      <w:p w:rsidR="0057431A" w:rsidRPr="0096581A" w:rsidRDefault="0057431A" w:rsidP="005A6641">
                        <w:pPr>
                          <w:spacing w:line="220" w:lineRule="exact"/>
                          <w:jc w:val="center"/>
                          <w:rPr>
                            <w:sz w:val="24"/>
                            <w:szCs w:val="24"/>
                          </w:rPr>
                        </w:pPr>
                        <w:r w:rsidRPr="0096581A">
                          <w:rPr>
                            <w:sz w:val="24"/>
                            <w:szCs w:val="24"/>
                          </w:rPr>
                          <w:t xml:space="preserve"> на підставі відповідної Національної програми)</w:t>
                        </w:r>
                      </w:p>
                    </w:txbxContent>
                  </v:textbox>
                </v:shape>
                <v:shape id="Блок-схема: процесс 124" o:spid="_x0000_s1120" type="#_x0000_t109" style="position:absolute;left:3238;top:14668;width:58474;height:344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XCY38QA&#10;AADcAAAADwAAAGRycy9kb3ducmV2LnhtbERP22oCMRB9L/QfwhT6UjSxUpHVKCIUWgSh3sC3YTPu&#10;riaTdZPq+vdGKPRtDuc642nrrLhQEyrPGnpdBYI496biQsNm/dkZgggR2aD1TBpuFGA6eX4aY2b8&#10;lX/osoqFSCEcMtRQxlhnUoa8JIeh62vixB184zAm2BTSNHhN4c7Kd6UG0mHFqaHEmuYl5afVr9Pw&#10;oc72tFzP+9+77VHtF8eb3b5VWr++tLMRiEht/Bf/ub9Mmt/vweOZdIGc3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VwmN/EAAAA3AAAAA8AAAAAAAAAAAAAAAAAmAIAAGRycy9k&#10;b3ducmV2LnhtbFBLBQYAAAAABAAEAPUAAACJAwAAAAA=&#10;" strokeweight="2pt">
                  <v:textbox inset="1mm,1mm,1mm,1mm">
                    <w:txbxContent>
                      <w:p w:rsidR="0057431A" w:rsidRPr="0096581A" w:rsidRDefault="0057431A" w:rsidP="0096581A">
                        <w:pPr>
                          <w:spacing w:line="200" w:lineRule="exact"/>
                          <w:jc w:val="center"/>
                          <w:rPr>
                            <w:b/>
                            <w:sz w:val="24"/>
                            <w:szCs w:val="24"/>
                          </w:rPr>
                        </w:pPr>
                        <w:r>
                          <w:rPr>
                            <w:b/>
                            <w:sz w:val="24"/>
                            <w:szCs w:val="24"/>
                          </w:rPr>
                          <w:t>О</w:t>
                        </w:r>
                        <w:r w:rsidRPr="00CD6AB5">
                          <w:rPr>
                            <w:b/>
                            <w:sz w:val="24"/>
                            <w:szCs w:val="24"/>
                          </w:rPr>
                          <w:t>бласні міжсекторальні координаційні ради з ініціації та імплементації скоординованих та узгоджених заходів</w:t>
                        </w:r>
                      </w:p>
                    </w:txbxContent>
                  </v:textbox>
                </v:shape>
                <v:shape id="Блок-схема: процесс 137" o:spid="_x0000_s1121" type="#_x0000_t109" style="position:absolute;left:3143;top:18954;width:58526;height:428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aIGqMQA&#10;AADcAAAADwAAAGRycy9kb3ducmV2LnhtbERPTWsCMRC9F/ofwhR6KTVRqZStUUQotAhC1RW8DZvp&#10;7moy2W5SXf+9EQRv83ifM552zoojtaH2rKHfUyCIC29qLjVs1p+v7yBCRDZoPZOGMwWYTh4fxpgZ&#10;f+IfOq5iKVIIhww1VDE2mZShqMhh6PmGOHG/vnUYE2xLaVo8pXBn5UCpkXRYc2qosKF5RcVh9e80&#10;vKk/e1iu58Pvbb5Xu8X+bPOXWuvnp272ASJSF+/im/vLpPnDAVyfSRfIy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WiBqjEAAAA3AAAAA8AAAAAAAAAAAAAAAAAmAIAAGRycy9k&#10;b3ducmV2LnhtbFBLBQYAAAAABAAEAPUAAACJAwAAAAA=&#10;" strokeweight="2pt">
                  <v:textbox inset="1mm,1mm,1mm,1mm">
                    <w:txbxContent>
                      <w:p w:rsidR="0057431A" w:rsidRPr="00CD6AB5" w:rsidRDefault="0057431A" w:rsidP="00CD6AB5">
                        <w:pPr>
                          <w:spacing w:line="200" w:lineRule="exact"/>
                          <w:jc w:val="center"/>
                          <w:rPr>
                            <w:sz w:val="24"/>
                            <w:szCs w:val="24"/>
                          </w:rPr>
                        </w:pPr>
                        <w:r w:rsidRPr="00CD6AB5">
                          <w:rPr>
                            <w:b/>
                            <w:sz w:val="24"/>
                            <w:szCs w:val="24"/>
                          </w:rPr>
                          <w:t>Департаменти ОДА</w:t>
                        </w:r>
                        <w:r w:rsidRPr="00CD6AB5">
                          <w:rPr>
                            <w:sz w:val="24"/>
                            <w:szCs w:val="24"/>
                          </w:rPr>
                          <w:t>, залучені до виконання Регіональної багатосекторальної</w:t>
                        </w:r>
                      </w:p>
                      <w:p w:rsidR="0057431A" w:rsidRPr="00CD6AB5" w:rsidRDefault="0057431A" w:rsidP="00EC25E9">
                        <w:pPr>
                          <w:spacing w:line="240" w:lineRule="auto"/>
                          <w:jc w:val="center"/>
                          <w:rPr>
                            <w:sz w:val="24"/>
                            <w:szCs w:val="24"/>
                          </w:rPr>
                        </w:pPr>
                        <w:r w:rsidRPr="00CD6AB5">
                          <w:rPr>
                            <w:sz w:val="24"/>
                            <w:szCs w:val="24"/>
                          </w:rPr>
                          <w:t>науково-комплексної програми з попередження дитячої смертності</w:t>
                        </w:r>
                      </w:p>
                    </w:txbxContent>
                  </v:textbox>
                </v:shape>
                <v:shape id="Блок-схема: процесс 139" o:spid="_x0000_s1122" type="#_x0000_t109" style="position:absolute;left:11334;top:24955;width:45685;height:311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kue3MQA&#10;AADcAAAADwAAAGRycy9kb3ducmV2LnhtbERPTWsCMRC9F/ofwhS8lJpYUcrWKCIUKkKh6grehs10&#10;dzWZbDdR13/fFARv83ifM5l1zooztaH2rGHQVyCIC29qLjVsNx8vbyBCRDZoPZOGKwWYTR8fJpgZ&#10;f+FvOq9jKVIIhww1VDE2mZShqMhh6PuGOHE/vnUYE2xLaVq8pHBn5atSY+mw5tRQYUOLiorj+uQ0&#10;jNSvPX5tFsPlLj+o/epwtflzrXXvqZu/g4jUxbv45v40af5wBP/PpAvk9A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pLntzEAAAA3AAAAA8AAAAAAAAAAAAAAAAAmAIAAGRycy9k&#10;b3ducmV2LnhtbFBLBQYAAAAABAAEAPUAAACJAwAAAAA=&#10;" strokeweight="2pt">
                  <v:textbox inset="1mm,1mm,1mm,1mm">
                    <w:txbxContent>
                      <w:p w:rsidR="0057431A" w:rsidRPr="00DE5EB9" w:rsidRDefault="0057431A" w:rsidP="00EC25E9">
                        <w:pPr>
                          <w:spacing w:line="240" w:lineRule="auto"/>
                          <w:jc w:val="center"/>
                          <w:rPr>
                            <w:b/>
                            <w:sz w:val="24"/>
                            <w:szCs w:val="24"/>
                          </w:rPr>
                        </w:pPr>
                        <w:r w:rsidRPr="00DE5EB9">
                          <w:rPr>
                            <w:b/>
                            <w:sz w:val="24"/>
                            <w:szCs w:val="24"/>
                          </w:rPr>
                          <w:t>Місцеві органи влади</w:t>
                        </w:r>
                      </w:p>
                    </w:txbxContent>
                  </v:textbox>
                </v:shape>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138" o:spid="_x0000_s1123" type="#_x0000_t67" style="position:absolute;left:31337;top:23241;width:2270;height:168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K34u8MA&#10;AADcAAAADwAAAGRycy9kb3ducmV2LnhtbERPTWvCQBC9F/oflil4Ed1YS5DoKlIoVPSiKdTjkB2T&#10;aHY2ZDcm+utdodDbPN7nLFa9qcSVGldaVjAZRyCIM6tLzhX8pF+jGQjnkTVWlknBjRyslq8vC0y0&#10;7XhP14PPRQhhl6CCwvs6kdJlBRl0Y1sTB+5kG4M+wCaXusEuhJtKvkdRLA2WHBoKrOmzoOxyaI2C&#10;9r6ZHA2l693HsOvb7fl3eI5ZqcFbv56D8NT7f/Gf+1uH+dMYns+EC+Ty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K34u8MAAADcAAAADwAAAAAAAAAAAAAAAACYAgAAZHJzL2Rv&#10;d25yZXYueG1sUEsFBgAAAAAEAAQA9QAAAIgDAAAAAA==&#10;" adj="8293" strokeweight="2pt"/>
                <v:shape id="Стрелка вниз 136" o:spid="_x0000_s1124" type="#_x0000_t67" style="position:absolute;left:31340;top:17595;width:2267;height:168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FdIMMA&#10;AADcAAAADwAAAGRycy9kb3ducmV2LnhtbERPS2vCQBC+C/6HZQQvUjc+sCV1FSkUFL2oBT0O2TGJ&#10;ZmdDdmOiv75bEHqbj+8582VrCnGnyuWWFYyGEQjixOqcUwU/x++3DxDOI2ssLJOCBzlYLrqdOcba&#10;Nryn+8GnIoSwi1FB5n0ZS+mSjAy6oS2JA3exlUEfYJVKXWETwk0hx1E0kwZzDg0ZlvSVUXI71EZB&#10;/dyMzoaOq9100LT19noaXGesVL/Xrj5BeGr9v/jlXuswf/IOf8+EC+Ti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FdIMMAAADcAAAADwAAAAAAAAAAAAAAAACYAgAAZHJzL2Rv&#10;d25yZXYueG1sUEsFBgAAAAAEAAQA9QAAAIgDAAAAAA==&#10;" adj="8293" strokeweight="2pt"/>
                <v:rect id="Прямоугольник 141" o:spid="_x0000_s1125" style="position:absolute;left:39830;top:39350;width:19776;height:743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xunXMUA&#10;AADcAAAADwAAAGRycy9kb3ducmV2LnhtbESPTWvCQBCG7wX/wzKCt7pphaKpq7QFwQpFjAr2NmSn&#10;SdrsbMhuTPz3nUOhtxnm/XhmuR5cra7UhsqzgYdpAoo497biwsDpuLmfgwoR2WLtmQzcKMB6Nbpb&#10;Ymp9zwe6ZrFQEsIhRQNljE2qdchLchimviGW25dvHUZZ20LbFnsJd7V+TJIn7bBiaSixobeS8p+s&#10;c1Ly+tHfbLfPznb32V3ev/u4WxTGTMbDyzOoSEP8F/+5t1bwZ0Irz8gEevU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HG6dcxQAAANwAAAAPAAAAAAAAAAAAAAAAAJgCAABkcnMv&#10;ZG93bnJldi54bWxQSwUGAAAAAAQABAD1AAAAigMAAAAA&#10;" strokeweight="2pt">
                  <v:textbox inset="1mm,0,1mm,1mm">
                    <w:txbxContent>
                      <w:p w:rsidR="0057431A" w:rsidRPr="00480998" w:rsidRDefault="0057431A" w:rsidP="0074719A">
                        <w:pPr>
                          <w:pStyle w:val="a5"/>
                          <w:numPr>
                            <w:ilvl w:val="0"/>
                            <w:numId w:val="21"/>
                          </w:numPr>
                          <w:spacing w:line="240" w:lineRule="auto"/>
                          <w:ind w:left="426"/>
                          <w:rPr>
                            <w:sz w:val="20"/>
                            <w:szCs w:val="20"/>
                          </w:rPr>
                        </w:pPr>
                        <w:r w:rsidRPr="00480998">
                          <w:rPr>
                            <w:sz w:val="20"/>
                            <w:szCs w:val="20"/>
                          </w:rPr>
                          <w:t xml:space="preserve">ЕСОЗ, </w:t>
                        </w:r>
                      </w:p>
                      <w:p w:rsidR="0057431A" w:rsidRPr="00480998" w:rsidRDefault="0057431A" w:rsidP="0074719A">
                        <w:pPr>
                          <w:pStyle w:val="a5"/>
                          <w:numPr>
                            <w:ilvl w:val="0"/>
                            <w:numId w:val="21"/>
                          </w:numPr>
                          <w:spacing w:line="240" w:lineRule="auto"/>
                          <w:ind w:left="426"/>
                          <w:rPr>
                            <w:sz w:val="20"/>
                            <w:szCs w:val="20"/>
                          </w:rPr>
                        </w:pPr>
                        <w:r w:rsidRPr="00480998">
                          <w:rPr>
                            <w:sz w:val="20"/>
                            <w:szCs w:val="20"/>
                          </w:rPr>
                          <w:t xml:space="preserve">Реєстр новонароджених, що народились передчасно та/або хворими, </w:t>
                        </w:r>
                      </w:p>
                    </w:txbxContent>
                  </v:textbox>
                </v:rect>
                <v:rect id="Прямоугольник 144" o:spid="_x0000_s1126" style="position:absolute;left:21246;top:57646;width:16796;height:719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v25HMMA&#10;AADcAAAADwAAAGRycy9kb3ducmV2LnhtbERPzWrCQBC+F/oOyxS81Y0WtI2uUlIqHkQw7QMMu2MS&#10;k51Ns9uYvL0rFHqbj+931tvBNqKnzleOFcymCQhi7UzFhYLvr8/nVxA+IBtsHJOCkTxsN48Pa0yN&#10;u/KJ+jwUIoawT1FBGUKbSul1SRb91LXEkTu7zmKIsCuk6fAaw20j50mykBYrjg0ltpSVpOv81yqo&#10;j+PlB2WmiyMdxo9lvVvq+U6pydPwvgIRaAj/4j/33sT5L29wfyZeIDc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v25HMMAAADcAAAADwAAAAAAAAAAAAAAAACYAgAAZHJzL2Rv&#10;d25yZXYueG1sUEsFBgAAAAAEAAQA9QAAAIgDAAAAAA==&#10;" strokeweight="2pt">
                  <v:textbox inset="1mm,1mm,1mm,1mm">
                    <w:txbxContent>
                      <w:p w:rsidR="0057431A" w:rsidRPr="005D04C2" w:rsidRDefault="0057431A" w:rsidP="00EC25E9">
                        <w:pPr>
                          <w:spacing w:line="240" w:lineRule="auto"/>
                          <w:jc w:val="center"/>
                          <w:rPr>
                            <w:sz w:val="20"/>
                            <w:szCs w:val="20"/>
                          </w:rPr>
                        </w:pPr>
                        <w:r w:rsidRPr="001C6569">
                          <w:rPr>
                            <w:sz w:val="20"/>
                            <w:szCs w:val="20"/>
                          </w:rPr>
                          <w:t>Інтернет-ресурс із попередження дитячої</w:t>
                        </w:r>
                        <w:r w:rsidRPr="005D04C2">
                          <w:rPr>
                            <w:sz w:val="20"/>
                            <w:szCs w:val="20"/>
                            <w:shd w:val="clear" w:color="auto" w:fill="000000" w:themeFill="text1"/>
                          </w:rPr>
                          <w:t xml:space="preserve"> </w:t>
                        </w:r>
                        <w:r w:rsidRPr="001C6569">
                          <w:rPr>
                            <w:sz w:val="20"/>
                            <w:szCs w:val="20"/>
                          </w:rPr>
                          <w:t>смертності та посилення інформаційної роботи</w:t>
                        </w:r>
                      </w:p>
                    </w:txbxContent>
                  </v:textbox>
                </v:rect>
                <v:rect id="Прямоугольник 143" o:spid="_x0000_s1127" style="position:absolute;left:31904;top:30099;width:22111;height:846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8Fj/MUA&#10;AADcAAAADwAAAGRycy9kb3ducmV2LnhtbESPQWvCQBCF70L/wzIFb7qplFqiq4il4qEIan/AsDsm&#10;MdnZNLvV5N93DgVvM7w3732zXPe+UTfqYhXYwMs0A0Vsg6u4MPB9/py8g4oJ2WETmAwMFGG9ehot&#10;MXfhzke6nVKhJIRjjgbKlNpc62hL8hinoSUW7RI6j0nWrtCuw7uE+0bPsuxNe6xYGkpsaVuSrU+/&#10;3kB9GK4/qLe2ONDX8DGvd3M72xkzfu43C1CJ+vQw/1/vneC/Cr48IxPo1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fwWP8xQAAANwAAAAPAAAAAAAAAAAAAAAAAJgCAABkcnMv&#10;ZG93bnJldi54bWxQSwUGAAAAAAQABAD1AAAAigMAAAAA&#10;" strokeweight="2pt">
                  <v:textbox inset="1mm,1mm,1mm,1mm">
                    <w:txbxContent>
                      <w:p w:rsidR="0057431A" w:rsidRPr="00480998" w:rsidRDefault="0057431A" w:rsidP="0074719A">
                        <w:pPr>
                          <w:pStyle w:val="a5"/>
                          <w:numPr>
                            <w:ilvl w:val="0"/>
                            <w:numId w:val="20"/>
                          </w:numPr>
                          <w:spacing w:line="240" w:lineRule="auto"/>
                          <w:ind w:left="426"/>
                          <w:rPr>
                            <w:sz w:val="20"/>
                            <w:szCs w:val="20"/>
                          </w:rPr>
                        </w:pPr>
                        <w:r w:rsidRPr="00480998">
                          <w:rPr>
                            <w:sz w:val="20"/>
                            <w:szCs w:val="20"/>
                          </w:rPr>
                          <w:t xml:space="preserve">Заклади ОЗ всіх рівнів, які надають медичну допомогу матері та дитини. </w:t>
                        </w:r>
                      </w:p>
                      <w:p w:rsidR="0057431A" w:rsidRPr="00AA542E" w:rsidRDefault="0057431A" w:rsidP="0074719A">
                        <w:pPr>
                          <w:pStyle w:val="a5"/>
                          <w:numPr>
                            <w:ilvl w:val="0"/>
                            <w:numId w:val="20"/>
                          </w:numPr>
                          <w:spacing w:line="240" w:lineRule="auto"/>
                          <w:ind w:left="426"/>
                        </w:pPr>
                        <w:r w:rsidRPr="00480998">
                          <w:rPr>
                            <w:sz w:val="20"/>
                            <w:szCs w:val="20"/>
                          </w:rPr>
                          <w:t>Заклади системи громадського здоров’я</w:t>
                        </w:r>
                      </w:p>
                    </w:txbxContent>
                  </v:textbox>
                </v:rect>
                <v:rect id="Прямоугольник 149" o:spid="_x0000_s1128" style="position:absolute;left:43659;top:47540;width:15947;height:726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5NrFMIA&#10;AADcAAAADwAAAGRycy9kb3ducmV2LnhtbERP32vCMBB+F/Y/hBvsTRPLGFqNMpSxwZjQ1hffjuZs&#10;y5pLSTKt/70ZDPZ2H9/PW29H24sL+dA51jCfKRDEtTMdNxqO1dt0ASJEZIO9Y9JwowDbzcNkjblx&#10;Vy7oUsZGpBAOOWpoYxxyKUPdksUwcwNx4s7OW4wJ+kYaj9cUbnuZKfUiLXacGlocaNdS/V3+WA0u&#10;q999Ucnsq9p3y+LkVH/4VFo/PY6vKxCRxvgv/nN/mDT/eQ6/z6QL5OYO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jk2sUwgAAANwAAAAPAAAAAAAAAAAAAAAAAJgCAABkcnMvZG93&#10;bnJldi54bWxQSwUGAAAAAAQABAD1AAAAhwMAAAAA&#10;" strokeweight="2pt">
                  <v:textbox>
                    <w:txbxContent>
                      <w:p w:rsidR="0057431A" w:rsidRPr="00480998" w:rsidRDefault="0057431A" w:rsidP="0074719A">
                        <w:pPr>
                          <w:pStyle w:val="a5"/>
                          <w:numPr>
                            <w:ilvl w:val="0"/>
                            <w:numId w:val="22"/>
                          </w:numPr>
                          <w:spacing w:line="200" w:lineRule="exact"/>
                          <w:ind w:left="426" w:hanging="357"/>
                          <w:jc w:val="left"/>
                          <w:rPr>
                            <w:sz w:val="20"/>
                            <w:szCs w:val="20"/>
                          </w:rPr>
                        </w:pPr>
                        <w:r>
                          <w:rPr>
                            <w:sz w:val="20"/>
                            <w:szCs w:val="20"/>
                          </w:rPr>
                          <w:t>В</w:t>
                        </w:r>
                        <w:r w:rsidRPr="00480998">
                          <w:rPr>
                            <w:sz w:val="20"/>
                            <w:szCs w:val="20"/>
                          </w:rPr>
                          <w:t>НЗ.</w:t>
                        </w:r>
                      </w:p>
                      <w:p w:rsidR="0057431A" w:rsidRPr="00480998" w:rsidRDefault="0057431A" w:rsidP="0074719A">
                        <w:pPr>
                          <w:pStyle w:val="a5"/>
                          <w:numPr>
                            <w:ilvl w:val="0"/>
                            <w:numId w:val="22"/>
                          </w:numPr>
                          <w:spacing w:line="200" w:lineRule="exact"/>
                          <w:ind w:left="426" w:hanging="357"/>
                          <w:jc w:val="left"/>
                          <w:rPr>
                            <w:sz w:val="20"/>
                            <w:szCs w:val="20"/>
                          </w:rPr>
                        </w:pPr>
                        <w:r w:rsidRPr="00480998">
                          <w:rPr>
                            <w:sz w:val="20"/>
                            <w:szCs w:val="20"/>
                          </w:rPr>
                          <w:t>Заклади середньої медичної освіти</w:t>
                        </w:r>
                      </w:p>
                    </w:txbxContent>
                  </v:textbox>
                </v:rect>
                <v:rect id="Прямоугольник 145" o:spid="_x0000_s1129" style="position:absolute;left:4042;top:47067;width:16332;height:719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F9YEMIA&#10;AADcAAAADwAAAGRycy9kb3ducmV2LnhtbERPzWrCQBC+C77DMkJvumkoKtFVilLpQQSjDzDsTpM0&#10;2dmY3Wry9t1Cwdt8fL+z3va2EXfqfOVYwessAUGsnam4UHC9fEyXIHxANtg4JgUDedhuxqM1ZsY9&#10;+Ez3PBQihrDPUEEZQptJ6XVJFv3MtcSR+3KdxRBhV0jT4SOG20amSTKXFiuODSW2tCtJ1/mPVVCf&#10;hu8byp0uTnQc9ov6sNDpQamXSf++AhGoD0/xv/vTxPlvKfw9Ey+Qm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AX1gQwgAAANwAAAAPAAAAAAAAAAAAAAAAAJgCAABkcnMvZG93&#10;bnJldi54bWxQSwUGAAAAAAQABAD1AAAAhwMAAAAA&#10;" strokeweight="2pt">
                  <v:textbox inset="1mm,1mm,1mm,1mm">
                    <w:txbxContent>
                      <w:p w:rsidR="0057431A" w:rsidRPr="00FD5A5B" w:rsidRDefault="0057431A" w:rsidP="00EC25E9">
                        <w:pPr>
                          <w:spacing w:line="240" w:lineRule="auto"/>
                          <w:jc w:val="center"/>
                          <w:rPr>
                            <w:sz w:val="20"/>
                            <w:szCs w:val="20"/>
                          </w:rPr>
                        </w:pPr>
                        <w:r w:rsidRPr="00FD5A5B">
                          <w:rPr>
                            <w:sz w:val="20"/>
                            <w:szCs w:val="20"/>
                          </w:rPr>
                          <w:t>Підприємства всіх форм власності (</w:t>
                        </w:r>
                        <w:r w:rsidRPr="004E5845">
                          <w:rPr>
                            <w:sz w:val="20"/>
                            <w:szCs w:val="20"/>
                          </w:rPr>
                          <w:t>сприяння здоровому материнству та охороні плода)</w:t>
                        </w:r>
                      </w:p>
                    </w:txbxContent>
                  </v:textbox>
                </v:rect>
                <v:rect id="Прямоугольник 152" o:spid="_x0000_s1130" style="position:absolute;left:5566;top:39875;width:15441;height:561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1Q+MIA&#10;AADcAAAADwAAAGRycy9kb3ducmV2LnhtbERP32vCMBB+H/g/hBP2NhPrGFqNIg7ZYEyo9cW3oznb&#10;YnMpSabdf78MBnu7j+/nrTaD7cSNfGgda5hOFAjiypmWaw2ncv80BxEissHOMWn4pgCb9ehhhblx&#10;dy7odoy1SCEcctTQxNjnUoaqIYth4nrixF2ctxgT9LU0Hu8p3HYyU+pFWmw5NTTY066h6nr8shpc&#10;Vr35opTZZ/naLoqzU93hQ2n9OB62SxCRhvgv/nO/mzT/eQa/z6QL5Po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8DVD4wgAAANwAAAAPAAAAAAAAAAAAAAAAAJgCAABkcnMvZG93&#10;bnJldi54bWxQSwUGAAAAAAQABAD1AAAAhwMAAAAA&#10;" strokeweight="2pt">
                  <v:textbox>
                    <w:txbxContent>
                      <w:p w:rsidR="0057431A" w:rsidRPr="0063532D" w:rsidRDefault="0057431A" w:rsidP="00EC25E9">
                        <w:pPr>
                          <w:spacing w:line="240" w:lineRule="auto"/>
                          <w:jc w:val="center"/>
                          <w:rPr>
                            <w:sz w:val="20"/>
                            <w:szCs w:val="20"/>
                          </w:rPr>
                        </w:pPr>
                        <w:r w:rsidRPr="001C6569">
                          <w:rPr>
                            <w:sz w:val="20"/>
                            <w:szCs w:val="20"/>
                          </w:rPr>
                          <w:t>Громадські організації, молодіжні рухи, місцеві</w:t>
                        </w:r>
                        <w:r>
                          <w:rPr>
                            <w:sz w:val="20"/>
                            <w:szCs w:val="20"/>
                          </w:rPr>
                          <w:t xml:space="preserve"> еліти</w:t>
                        </w:r>
                      </w:p>
                    </w:txbxContent>
                  </v:textbox>
                </v:rect>
                <v:rect id="Прямоугольник 151" o:spid="_x0000_s1131" style="position:absolute;left:9325;top:55042;width:11271;height:843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TIjMIA&#10;AADcAAAADwAAAGRycy9kb3ducmV2LnhtbERP32vCMBB+H+x/CCf4NhOLyKxGkY0xQRzU7mVvR3O2&#10;xeZSkky7/34RBN/u4/t5q81gO3EhH1rHGqYTBYK4cqblWsN3+fHyCiJEZIOdY9LwRwE26+enFebG&#10;XbmgyzHWIoVwyFFDE2OfSxmqhiyGieuJE3dy3mJM0NfSeLymcNvJTKm5tNhyamiwp7eGqvPx12pw&#10;WfXpi1Jmh/K9XRQ/TnVfe6X1eDRslyAiDfEhvrt3Js2fzeD2TLpArv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z5MiMwgAAANwAAAAPAAAAAAAAAAAAAAAAAJgCAABkcnMvZG93&#10;bnJldi54bWxQSwUGAAAAAAQABAD1AAAAhwMAAAAA&#10;" strokeweight="2pt">
                  <v:textbox>
                    <w:txbxContent>
                      <w:p w:rsidR="0057431A" w:rsidRPr="0084147D" w:rsidRDefault="0057431A" w:rsidP="00480998">
                        <w:pPr>
                          <w:spacing w:line="200" w:lineRule="exact"/>
                          <w:ind w:right="-61"/>
                          <w:jc w:val="center"/>
                          <w:rPr>
                            <w:sz w:val="20"/>
                            <w:szCs w:val="20"/>
                          </w:rPr>
                        </w:pPr>
                        <w:r w:rsidRPr="001C6569">
                          <w:rPr>
                            <w:sz w:val="20"/>
                            <w:szCs w:val="20"/>
                          </w:rPr>
                          <w:t>Заклади дошкільної освіти,</w:t>
                        </w:r>
                        <w:r>
                          <w:rPr>
                            <w:sz w:val="20"/>
                            <w:szCs w:val="20"/>
                          </w:rPr>
                          <w:t xml:space="preserve"> </w:t>
                        </w:r>
                        <w:r w:rsidRPr="001C6569">
                          <w:rPr>
                            <w:sz w:val="20"/>
                            <w:szCs w:val="20"/>
                          </w:rPr>
                          <w:t>будинки</w:t>
                        </w:r>
                        <w:r w:rsidRPr="00CF4042">
                          <w:rPr>
                            <w:sz w:val="20"/>
                            <w:szCs w:val="20"/>
                            <w:shd w:val="clear" w:color="auto" w:fill="000000" w:themeFill="text1"/>
                          </w:rPr>
                          <w:t xml:space="preserve"> </w:t>
                        </w:r>
                        <w:r>
                          <w:rPr>
                            <w:sz w:val="20"/>
                            <w:szCs w:val="20"/>
                          </w:rPr>
                          <w:t>малятка</w:t>
                        </w:r>
                      </w:p>
                    </w:txbxContent>
                  </v:textbox>
                </v:rect>
                <v:rect id="Прямоугольник 150" o:spid="_x0000_s1132" style="position:absolute;left:38849;top:57646;width:9639;height:719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KhtF8IA&#10;AADcAAAADwAAAGRycy9kb3ducmV2LnhtbERP32vCMBB+H/g/hBP2NhOLG1qNIg7ZYEyo9cW3oznb&#10;YnMpSabdf78MBnu7j+/nrTaD7cSNfGgda5hOFAjiypmWaw2ncv80BxEissHOMWn4pgCb9ehhhblx&#10;dy7odoy1SCEcctTQxNjnUoaqIYth4nrixF2ctxgT9LU0Hu8p3HYyU+pFWmw5NTTY066h6nr8shpc&#10;Vr35opTZZ/naLoqzU93hQ2n9OB62SxCRhvgv/nO/mzR/9gy/z6QL5Po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cqG0XwgAAANwAAAAPAAAAAAAAAAAAAAAAAJgCAABkcnMvZG93&#10;bnJldi54bWxQSwUGAAAAAAQABAD1AAAAhwMAAAAA&#10;" strokeweight="2pt">
                  <v:textbox>
                    <w:txbxContent>
                      <w:p w:rsidR="0057431A" w:rsidRPr="00074CA0" w:rsidRDefault="0057431A" w:rsidP="00EC25E9">
                        <w:pPr>
                          <w:spacing w:line="240" w:lineRule="auto"/>
                          <w:jc w:val="center"/>
                          <w:rPr>
                            <w:sz w:val="20"/>
                            <w:szCs w:val="20"/>
                          </w:rPr>
                        </w:pPr>
                        <w:r>
                          <w:rPr>
                            <w:sz w:val="20"/>
                            <w:szCs w:val="20"/>
                          </w:rPr>
                          <w:t>Засоби масової інформації</w:t>
                        </w:r>
                      </w:p>
                    </w:txbxContent>
                  </v:textbox>
                </v:rect>
                <v:rect id="Прямоугольник 148" o:spid="_x0000_s1133" style="position:absolute;left:49103;top:55761;width:9658;height:725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HrzYMIA&#10;AADcAAAADwAAAGRycy9kb3ducmV2LnhtbERP32vCMBB+F/wfwg32psnKEK1GGYpsMCa09cW3oznb&#10;suZSkky7/34ZDPZ2H9/P2+xG24sb+dA51vA0VyCIa2c6bjScq+NsCSJEZIO9Y9LwTQF22+lkg7lx&#10;dy7oVsZGpBAOOWpoYxxyKUPdksUwdwNx4q7OW4wJ+kYaj/cUbnuZKbWQFjtODS0OtG+p/iy/rAaX&#10;1a++qGT2UR26VXFxqj+9K60fH8aXNYhIY/wX/7nfTJr/vIDfZ9IFcvs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sevNgwgAAANwAAAAPAAAAAAAAAAAAAAAAAJgCAABkcnMvZG93&#10;bnJldi54bWxQSwUGAAAAAAQABAD1AAAAhwMAAAAA&#10;" strokeweight="2pt">
                  <v:textbox>
                    <w:txbxContent>
                      <w:p w:rsidR="0057431A" w:rsidRPr="00074CA0" w:rsidRDefault="0057431A" w:rsidP="00EC25E9">
                        <w:pPr>
                          <w:spacing w:line="240" w:lineRule="auto"/>
                          <w:jc w:val="center"/>
                          <w:rPr>
                            <w:sz w:val="20"/>
                            <w:szCs w:val="20"/>
                          </w:rPr>
                        </w:pPr>
                        <w:r w:rsidRPr="00074CA0">
                          <w:rPr>
                            <w:sz w:val="20"/>
                            <w:szCs w:val="20"/>
                          </w:rPr>
                          <w:t>Сім’я (батьки)</w:t>
                        </w:r>
                      </w:p>
                    </w:txbxContent>
                  </v:textbox>
                </v:rect>
                <v:rect id="Прямоугольник 146" o:spid="_x0000_s1134" style="position:absolute;left:8010;top:34795;width:15951;height:435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zZW+8IA&#10;AADcAAAADwAAAGRycy9kb3ducmV2LnhtbERP32vCMBB+H/g/hBP2NhOLbFqNIg7ZYEyo9cW3oznb&#10;YnMpSabdf78MBnu7j+/nrTaD7cSNfGgda5hOFAjiypmWaw2ncv80BxEissHOMWn4pgCb9ehhhblx&#10;dy7odoy1SCEcctTQxNjnUoaqIYth4nrixF2ctxgT9LU0Hu8p3HYyU+pZWmw5NTTY066h6nr8shpc&#10;Vr35opTZZ/naLoqzU93hQ2n9OB62SxCRhvgv/nO/mzR/9gK/z6QL5Po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DNlb7wgAAANwAAAAPAAAAAAAAAAAAAAAAAJgCAABkcnMvZG93&#10;bnJldi54bWxQSwUGAAAAAAQABAD1AAAAhwMAAAAA&#10;" strokeweight="2pt">
                  <v:textbox>
                    <w:txbxContent>
                      <w:p w:rsidR="0057431A" w:rsidRPr="00074CA0" w:rsidRDefault="0057431A" w:rsidP="00EC25E9">
                        <w:pPr>
                          <w:spacing w:line="240" w:lineRule="auto"/>
                          <w:jc w:val="center"/>
                          <w:rPr>
                            <w:sz w:val="20"/>
                            <w:szCs w:val="20"/>
                          </w:rPr>
                        </w:pPr>
                        <w:r w:rsidRPr="001C6569">
                          <w:rPr>
                            <w:sz w:val="20"/>
                            <w:szCs w:val="20"/>
                          </w:rPr>
                          <w:t>Служби праці та соціального захисту</w:t>
                        </w:r>
                      </w:p>
                    </w:txbxContent>
                  </v:textbox>
                </v:rect>
                <v:rect id="Прямоугольник 147" o:spid="_x0000_s1135" style="position:absolute;left:14542;top:30117;width:16795;height:415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qnCicUA&#10;AADcAAAADwAAAGRycy9kb3ducmV2LnhtbESPQUvDQBCF74L/YRmhN7trKMXGbosoUkEqpPHibciO&#10;STA7G3a3bfz3zqHQ2wzvzXvfrLeTH9SJYuoDW3iYG1DETXA9txa+6rf7R1ApIzscApOFP0qw3dze&#10;rLF04cwVnQ65VRLCqUQLXc5jqXVqOvKY5mEkFu0nRI9Z1thqF/Es4X7QhTFL7bFnaehwpJeOmt/D&#10;0VsIRbOLVa2Lff3ar6rvYIbPD2Pt7G56fgKVacpX8+X63Qn+QmjlGZlAb/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yqcKJxQAAANwAAAAPAAAAAAAAAAAAAAAAAJgCAABkcnMv&#10;ZG93bnJldi54bWxQSwUGAAAAAAQABAD1AAAAigMAAAAA&#10;" strokeweight="2pt">
                  <v:textbox>
                    <w:txbxContent>
                      <w:p w:rsidR="0057431A" w:rsidRPr="00133082" w:rsidRDefault="0057431A" w:rsidP="00EC25E9">
                        <w:pPr>
                          <w:spacing w:line="240" w:lineRule="auto"/>
                          <w:jc w:val="center"/>
                          <w:rPr>
                            <w:sz w:val="20"/>
                            <w:szCs w:val="20"/>
                          </w:rPr>
                        </w:pPr>
                        <w:r>
                          <w:rPr>
                            <w:sz w:val="20"/>
                            <w:szCs w:val="20"/>
                          </w:rPr>
                          <w:t>Об’єднані територіальні громади</w:t>
                        </w:r>
                      </w:p>
                    </w:txbxContent>
                  </v:textbox>
                </v:rect>
                <v:shape id="Блок-схема: процесс 153" o:spid="_x0000_s1136" type="#_x0000_t109" style="position:absolute;left:13811;top:65817;width:40913;height:311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wDnpMUA&#10;AADcAAAADwAAAGRycy9kb3ducmV2LnhtbERP22oCMRB9L/gPYQRfiibaVuzWKEUQWgqFegPfhs24&#10;u5pMtpuo6983hULf5nCuM523zooLNaHyrGE4UCCIc28qLjRs1sv+BESIyAatZ9JwowDzWeduipnx&#10;V/6iyyoWIoVwyFBDGWOdSRnykhyGga+JE3fwjcOYYFNI0+A1hTsrR0qNpcOKU0OJNS1Kyk+rs9Pw&#10;pL7t6XO9eHjfbY9q/3G82e19pXWv276+gIjUxn/xn/vNpPmPz/D7TLpAzn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zAOekxQAAANwAAAAPAAAAAAAAAAAAAAAAAJgCAABkcnMv&#10;ZG93bnJldi54bWxQSwUGAAAAAAQABAD1AAAAigMAAAAA&#10;" strokeweight="2pt">
                  <v:textbox inset="1mm,1mm,1mm,1mm">
                    <w:txbxContent>
                      <w:p w:rsidR="0057431A" w:rsidRPr="00A63B31" w:rsidRDefault="0057431A" w:rsidP="00EC25E9">
                        <w:pPr>
                          <w:spacing w:line="240" w:lineRule="auto"/>
                          <w:jc w:val="center"/>
                          <w:rPr>
                            <w:b/>
                            <w:sz w:val="24"/>
                            <w:szCs w:val="24"/>
                          </w:rPr>
                        </w:pPr>
                        <w:r w:rsidRPr="00A63B31">
                          <w:rPr>
                            <w:b/>
                            <w:sz w:val="24"/>
                            <w:szCs w:val="24"/>
                          </w:rPr>
                          <w:t>Зниження дитячої смертності</w:t>
                        </w:r>
                      </w:p>
                    </w:txbxContent>
                  </v:textbox>
                </v:shape>
                <v:shape id="Блок-схема: процесс 155" o:spid="_x0000_s1137" type="#_x0000_t109" style="position:absolute;left:13811;top:70770;width:40913;height:590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PY5McA&#10;AADcAAAADwAAAGRycy9kb3ducmV2LnhtbESPQWsCMRCF74X+hzAFL0WTKpayGqUIhRahUK2Ct2Ez&#10;3V1NJttNquu/7xwKvc3w3rz3zXzZB6/O1KUmsoWHkQFFXEbXcGXhc/syfAKVMrJDH5ksXCnBcnF7&#10;M8fCxQt/0HmTKyUhnAq0UOfcFlqnsqaAaRRbYtG+Yhcwy9pV2nV4kfDg9diYRx2wYWmosaVVTeVp&#10;8xMsTM23P71vV5O3/e5oDuvj1e/uG2sHd/3zDFSmPv+b/65fneBPBV+ekQn04h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fj2OTHAAAA3AAAAA8AAAAAAAAAAAAAAAAAmAIAAGRy&#10;cy9kb3ducmV2LnhtbFBLBQYAAAAABAAEAPUAAACMAwAAAAA=&#10;" strokeweight="2pt">
                  <v:textbox inset="1mm,1mm,1mm,1mm">
                    <w:txbxContent>
                      <w:p w:rsidR="0057431A" w:rsidRPr="00A63B31" w:rsidRDefault="0057431A" w:rsidP="00EC25E9">
                        <w:pPr>
                          <w:spacing w:line="240" w:lineRule="auto"/>
                          <w:jc w:val="center"/>
                          <w:rPr>
                            <w:b/>
                            <w:sz w:val="24"/>
                            <w:szCs w:val="24"/>
                          </w:rPr>
                        </w:pPr>
                        <w:r w:rsidRPr="00A63B31">
                          <w:rPr>
                            <w:b/>
                            <w:sz w:val="24"/>
                            <w:szCs w:val="24"/>
                          </w:rPr>
                          <w:t>Моніторинг</w:t>
                        </w:r>
                      </w:p>
                      <w:p w:rsidR="0057431A" w:rsidRPr="00957D1E" w:rsidRDefault="0057431A" w:rsidP="00EC25E9">
                        <w:pPr>
                          <w:spacing w:line="240" w:lineRule="auto"/>
                          <w:jc w:val="center"/>
                        </w:pPr>
                        <w:r w:rsidRPr="005729E6">
                          <w:rPr>
                            <w:sz w:val="24"/>
                            <w:szCs w:val="24"/>
                          </w:rPr>
                          <w:t>(Моніторингова група: багатонапрямковий</w:t>
                        </w:r>
                        <w:r w:rsidRPr="00957D1E">
                          <w:t xml:space="preserve"> </w:t>
                        </w:r>
                        <w:r w:rsidRPr="005729E6">
                          <w:rPr>
                            <w:sz w:val="24"/>
                            <w:szCs w:val="24"/>
                          </w:rPr>
                          <w:t>моніторинг та оцінка)</w:t>
                        </w:r>
                      </w:p>
                    </w:txbxContent>
                  </v:textbox>
                </v:shape>
                <v:shape id="Стрелка вниз 125" o:spid="_x0000_s1138" type="#_x0000_t67" style="position:absolute;left:31337;top:13063;width:2267;height:168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QW+g8MA&#10;AADcAAAADwAAAGRycy9kb3ducmV2LnhtbERPTWvCQBC9F/wPywhepG7UKiV1FREExV7Ugh6H7JhE&#10;s7MhuzHRX98tFLzN433ObNGaQtypcrllBcNBBII4sTrnVMHPcf3+CcJ5ZI2FZVLwIAeLeedthrG2&#10;De/pfvCpCCHsYlSQeV/GUrokI4NuYEviwF1sZdAHWKVSV9iEcFPIURRNpcGcQ0OGJa0ySm6H2iio&#10;n9vh2dBx+f3Rb9p6dz31r1NWqtdtl18gPLX+Jf53b3SYPxnD3zPhAjn/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QW+g8MAAADcAAAADwAAAAAAAAAAAAAAAACYAgAAZHJzL2Rv&#10;d25yZXYueG1sUEsFBgAAAAAEAAQA9QAAAIgDAAAAAA==&#10;" adj="8293" strokeweight="2pt"/>
                <v:shape id="Стрелка вниз 68" o:spid="_x0000_s1139" type="#_x0000_t67" style="position:absolute;left:31432;top:5619;width:2267;height:168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uwm98QA&#10;AADcAAAADwAAAGRycy9kb3ducmV2LnhtbERPTWvCQBC9F/wPywi9iG4sNpTUTRCh0FIvjUI9Dtlp&#10;Es3OhuzGpP31bkHwNo/3OetsNI24UOdqywqWiwgEcWF1zaWCw/5t/gLCeWSNjWVS8EsOsnTysMZE&#10;24G/6JL7UoQQdgkqqLxvEyldUZFBt7AtceB+bGfQB9iVUnc4hHDTyKcoiqXBmkNDhS1tKyrOeW8U&#10;9H8fy6Oh/Wa3mg1j/3n6np1iVupxOm5eQXga/V18c7/rMP95Bf/PhAtkeg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bsJvfEAAAA3AAAAA8AAAAAAAAAAAAAAAAAmAIAAGRycy9k&#10;b3ducmV2LnhtbFBLBQYAAAAABAAEAPUAAACJAwAAAAA=&#10;" adj="8293" strokeweight="2pt"/>
                <v:shape id="Стрелка вниз 154" o:spid="_x0000_s1140" type="#_x0000_t67" style="position:absolute;left:33147;top:68961;width:2266;height:168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aCDbMQA&#10;AADcAAAADwAAAGRycy9kb3ducmV2LnhtbERPTWvCQBC9F/wPywi9iNmkVCmpqwSh0NJeaoR6HLLT&#10;JJqdDdmNSf31bkHwNo/3OavNaBpxps7VlhUkUQyCuLC65lLBPn+bv4BwHlljY5kU/JGDzXrysMJU&#10;24G/6bzzpQgh7FJUUHnfplK6oiKDLrItceB+bWfQB9iVUnc4hHDTyKc4XkqDNYeGClvaVlScdr1R&#10;0F8+koOhPPt6ng1j/3n8mR2XrNTjdMxeQXga/V18c7/rMH+xgP9nwgVyf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mgg2zEAAAA3AAAAA8AAAAAAAAAAAAAAAAAmAIAAGRycy9k&#10;b3ducmV2LnhtbFBLBQYAAAAABAAEAPUAAACJAwAAAAA=&#10;" adj="8293" strokeweight="2pt"/>
                <v:line id="Прямая соединительная линия 3" o:spid="_x0000_s1141" style="position:absolute;visibility:visible;mso-wrap-style:square" from="0,2476" to="95,805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gSpE8MAAADcAAAADwAAAGRycy9kb3ducmV2LnhtbERPS4vCMBC+L/gfwgje1lRhRapRRJQV&#10;dmV9HrwNzdhWm0lpolZ/vREWvM3H95zhuDaFuFLlcssKOu0IBHFidc6pgt12/tkH4TyyxsIyKbiT&#10;g/Go8THEWNsbr+m68akIIexiVJB5X8ZSuiQjg65tS+LAHW1l0AdYpVJXeAvhppDdKOpJgzmHhgxL&#10;mmaUnDcXo2C5SH7tz6G/krb7N3ucpvuH+54r1WrWkwEIT7V/i//dCx3mf/Xg9Uy4QI6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4EqRPDAAAA3AAAAA8AAAAAAAAAAAAA&#10;AAAAoQIAAGRycy9kb3ducmV2LnhtbFBLBQYAAAAABAAEAPkAAACRAwAAAAA=&#10;" strokeweight="1.75pt"/>
                <v:shapetype id="_x0000_t32" coordsize="21600,21600" o:spt="32" o:oned="t" path="m,l21600,21600e" filled="f">
                  <v:path arrowok="t" fillok="f" o:connecttype="none"/>
                  <o:lock v:ext="edit" shapetype="t"/>
                </v:shapetype>
                <v:shape id="Прямая со стрелкой 66" o:spid="_x0000_s1142" type="#_x0000_t32" style="position:absolute;top:2476;width:3138;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TmAWsQAAADcAAAADwAAAGRycy9kb3ducmV2LnhtbERPTWvCQBC9C/6HZYTedGNLa4yuIoWW&#10;gvRQDYq3ITsmsdnZsLvV+O9doeBtHu9z5svONOJMzteWFYxHCQjiwuqaSwX59mOYgvABWWNjmRRc&#10;ycNy0e/NMdP2wj903oRSxBD2GSqoQmgzKX1RkUE/si1x5I7WGQwRulJqh5cYbhr5nCRv0mDNsaHC&#10;lt4rKn43f0bB9vs6PqTp53qyK6f5S35ar5K9U+pp0K1mIAJ14SH+d3/pOP91Avdn4gVycQ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ZOYBaxAAAANwAAAAPAAAAAAAAAAAA&#10;AAAAAKECAABkcnMvZG93bnJldi54bWxQSwUGAAAAAAQABAD5AAAAkgMAAAAA&#10;" strokeweight="1.75pt">
                  <v:stroke endarrow="open"/>
                </v:shape>
                <v:shape id="Прямая со стрелкой 73" o:spid="_x0000_s1143" type="#_x0000_t32" style="position:absolute;top:10096;width:3067;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KYUKMgAAADcAAAADwAAAGRycy9kb3ducmV2LnhtbESPQWvCQBCF74X+h2UKvdWNFts0dRUR&#10;LIJ4qIaW3obsNEnNzobdrcZ/7xwKvc3w3rz3zWwxuE6dKMTWs4HxKANFXHnbcm2gPKwfclAxIVvs&#10;PJOBC0VYzG9vZlhYf+Z3Ou1TrSSEY4EGmpT6QutYNeQwjnxPLNq3Dw6TrKHWNuBZwl2nJ1n2pB22&#10;LA0N9rRqqDruf52Bw+4y/srzt+3zR/1SPpY/22X2GYy5vxuWr6ASDenf/He9sYI/FVp5RibQ8ys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aKYUKMgAAADcAAAADwAAAAAA&#10;AAAAAAAAAAChAgAAZHJzL2Rvd25yZXYueG1sUEsFBgAAAAAEAAQA+QAAAJYDAAAAAA==&#10;" strokeweight="1.75pt">
                  <v:stroke endarrow="open"/>
                </v:shape>
                <v:shape id="Прямая со стрелкой 135" o:spid="_x0000_s1144" type="#_x0000_t32" style="position:absolute;left:95;top:16192;width:3067;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qxs8QAAADcAAAADwAAAGRycy9kb3ducmV2LnhtbERPTWvCQBC9F/wPywi91Y0taoyuIoWW&#10;gvRQDYq3ITsm0exs2N1q/PduQehtHu9z5svONOJCzteWFQwHCQjiwuqaSwX59uMlBeEDssbGMim4&#10;kYflovc0x0zbK//QZRNKEUPYZ6igCqHNpPRFRQb9wLbEkTtaZzBE6EqpHV5juGnka5KMpcGaY0OF&#10;Lb1XVJw3v0bB9vs2PKTp53qyK6f5W35ar5K9U+q5361mIAJ14V/8cH/pOH80hb9n4gVyc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H6rGzxAAAANwAAAAPAAAAAAAAAAAA&#10;AAAAAKECAABkcnMvZG93bnJldi54bWxQSwUGAAAAAAQABAD5AAAAkgMAAAAA&#10;" strokeweight="1.75pt">
                  <v:stroke endarrow="open"/>
                </v:shape>
                <v:shape id="Стрелка вниз 156" o:spid="_x0000_s1145" type="#_x0000_t67" style="position:absolute;left:33623;top:76679;width:2267;height:168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fChgsMA&#10;AADcAAAADwAAAGRycy9kb3ducmV2LnhtbERPTYvCMBC9L/gfwgheRFNFRKtRRFhY2b2sCnocmrGt&#10;NpPSpLbrr98Igrd5vM9ZrltTiDtVLresYDSMQBAnVuecKjgePgczEM4jaywsk4I/crBedT6WGGvb&#10;8C/d9z4VIYRdjAoy78tYSpdkZNANbUkcuIutDPoAq1TqCpsQbgo5jqKpNJhzaMiwpG1GyW1fGwX1&#10;Yzc6Gzpsfib9pq2/r6f+dcpK9brtZgHCU+vf4pf7S4f58zE8nwkXyN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fChgsMAAADcAAAADwAAAAAAAAAAAAAAAACYAgAAZHJzL2Rv&#10;d25yZXYueG1sUEsFBgAAAAAEAAQA9QAAAIgDAAAAAA==&#10;" adj="8293" strokeweight="2pt"/>
                <v:shape id="Блок-схема: процесс 157" o:spid="_x0000_s1146" type="#_x0000_t109" style="position:absolute;left:13811;top:77914;width:40913;height:428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Ij8CcQA&#10;AADcAAAADwAAAGRycy9kb3ducmV2LnhtbERPTWsCMRC9C/6HMIVeRBMrLboaRYRCS0GoVsHbsJnu&#10;riaTdZPq+u8bodDbPN7nzBats+JCTag8axgOFAji3JuKCw1f29f+GESIyAatZ9JwowCLebczw8z4&#10;K3/SZRMLkUI4ZKihjLHOpAx5SQ7DwNfEifv2jcOYYFNI0+A1hTsrn5R6kQ4rTg0l1rQqKT9tfpyG&#10;Z3W2p/V2NXrf747q8HG82V2v0vrxoV1OQURq47/4z/1m0vzJCO7PpAvk/B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yI/AnEAAAA3AAAAA8AAAAAAAAAAAAAAAAAmAIAAGRycy9k&#10;b3ducmV2LnhtbFBLBQYAAAAABAAEAPUAAACJAwAAAAA=&#10;" strokeweight="2pt">
                  <v:textbox inset="1mm,1mm,1mm,1mm">
                    <w:txbxContent>
                      <w:p w:rsidR="0057431A" w:rsidRPr="00A63B31" w:rsidRDefault="0057431A" w:rsidP="004D753B">
                        <w:pPr>
                          <w:spacing w:line="200" w:lineRule="exact"/>
                          <w:jc w:val="center"/>
                          <w:rPr>
                            <w:b/>
                            <w:sz w:val="24"/>
                            <w:szCs w:val="24"/>
                          </w:rPr>
                        </w:pPr>
                        <w:r w:rsidRPr="00A63B31">
                          <w:rPr>
                            <w:b/>
                            <w:sz w:val="24"/>
                            <w:szCs w:val="24"/>
                          </w:rPr>
                          <w:t>Координація управління процесом  із попередження дитячої смертності</w:t>
                        </w:r>
                      </w:p>
                    </w:txbxContent>
                  </v:textbox>
                </v:shape>
                <v:shape id="Блок-схема: процесс 2" o:spid="_x0000_s1147" type="#_x0000_t109" style="position:absolute;left:3238;width:58560;height:563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W9KtsEA&#10;AADcAAAADwAAAGRycy9kb3ducmV2LnhtbERPTWvCQBC9F/oflhF6qxulSJu6ihQEDz3UVO/T7DQJ&#10;ycyG3TWm/fWuIHibx/uc5XrkTg3kQ+PEwGyagSIpnW2kMnD43j6/ggoRxWLnhAz8UYD16vFhibl1&#10;Z9nTUMRKpRAJORqoY+xzrUNZE2OYup4kcb/OM8YEfaWtx3MK507Ps2yhGRtJDTX29FFT2RYnNiD6&#10;WLT+53SYDUNs2s85//MXG/M0GTfvoCKN8S6+uXc2zX97gesz6QK9u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VvSrbBAAAA3AAAAA8AAAAAAAAAAAAAAAAAmAIAAGRycy9kb3du&#10;cmV2LnhtbFBLBQYAAAAABAAEAPUAAACGAwAAAAA=&#10;" fillcolor="white [3212]" strokeweight="2pt">
                  <v:textbox inset="1mm,1mm,1mm,1mm">
                    <w:txbxContent>
                      <w:p w:rsidR="0057431A" w:rsidRPr="0096581A" w:rsidRDefault="0057431A" w:rsidP="008D4E15">
                        <w:pPr>
                          <w:spacing w:line="220" w:lineRule="exact"/>
                          <w:jc w:val="center"/>
                          <w:rPr>
                            <w:b/>
                            <w:sz w:val="24"/>
                            <w:szCs w:val="24"/>
                          </w:rPr>
                        </w:pPr>
                        <w:r w:rsidRPr="0096581A">
                          <w:rPr>
                            <w:b/>
                            <w:sz w:val="24"/>
                            <w:szCs w:val="24"/>
                          </w:rPr>
                          <w:t>Суб’єкт управління – Державний рівень</w:t>
                        </w:r>
                      </w:p>
                      <w:p w:rsidR="0057431A" w:rsidRPr="0096581A" w:rsidRDefault="0057431A" w:rsidP="008D4E15">
                        <w:pPr>
                          <w:spacing w:line="220" w:lineRule="exact"/>
                          <w:jc w:val="center"/>
                          <w:rPr>
                            <w:sz w:val="24"/>
                            <w:szCs w:val="24"/>
                          </w:rPr>
                        </w:pPr>
                        <w:r>
                          <w:rPr>
                            <w:sz w:val="24"/>
                            <w:szCs w:val="24"/>
                          </w:rPr>
                          <w:t>Державна</w:t>
                        </w:r>
                        <w:r w:rsidRPr="0096581A">
                          <w:rPr>
                            <w:sz w:val="24"/>
                            <w:szCs w:val="24"/>
                          </w:rPr>
                          <w:t xml:space="preserve"> багатосекторальна програма </w:t>
                        </w:r>
                        <w:r>
                          <w:rPr>
                            <w:sz w:val="24"/>
                            <w:szCs w:val="24"/>
                          </w:rPr>
                          <w:t>з охорони матері та дитини</w:t>
                        </w:r>
                        <w:r w:rsidRPr="0096581A">
                          <w:rPr>
                            <w:sz w:val="24"/>
                            <w:szCs w:val="24"/>
                          </w:rPr>
                          <w:t xml:space="preserve"> з імплементацією заходів глобальної ініціативи ВООЗ</w:t>
                        </w:r>
                        <w:r>
                          <w:t xml:space="preserve"> </w:t>
                        </w:r>
                        <w:r>
                          <w:rPr>
                            <w:sz w:val="24"/>
                            <w:szCs w:val="24"/>
                          </w:rPr>
                          <w:t>«Кожна жінка, к</w:t>
                        </w:r>
                        <w:r w:rsidRPr="0096581A">
                          <w:rPr>
                            <w:sz w:val="24"/>
                            <w:szCs w:val="24"/>
                          </w:rPr>
                          <w:t xml:space="preserve">ожна дитина» </w:t>
                        </w:r>
                      </w:p>
                      <w:p w:rsidR="0057431A" w:rsidRPr="00F23D24" w:rsidRDefault="0057431A" w:rsidP="00EC25E9">
                        <w:pPr>
                          <w:spacing w:line="240" w:lineRule="auto"/>
                          <w:jc w:val="center"/>
                        </w:pPr>
                      </w:p>
                    </w:txbxContent>
                  </v:textbox>
                </v:shape>
              </v:group>
            </w:pict>
          </mc:Fallback>
        </mc:AlternateContent>
      </w:r>
    </w:p>
    <w:p w:rsidR="00EC25E9" w:rsidRPr="00006A39" w:rsidRDefault="00EC25E9" w:rsidP="00721203">
      <w:pPr>
        <w:widowControl w:val="0"/>
        <w:rPr>
          <w:szCs w:val="28"/>
        </w:rPr>
      </w:pPr>
    </w:p>
    <w:p w:rsidR="00EC25E9" w:rsidRPr="00006A39" w:rsidRDefault="00EC25E9" w:rsidP="00721203">
      <w:pPr>
        <w:widowControl w:val="0"/>
        <w:ind w:firstLine="708"/>
        <w:jc w:val="center"/>
        <w:rPr>
          <w:rFonts w:eastAsia="Times New Roman"/>
          <w:sz w:val="24"/>
          <w:szCs w:val="24"/>
        </w:rPr>
      </w:pPr>
    </w:p>
    <w:p w:rsidR="00EC25E9" w:rsidRPr="00006A39" w:rsidRDefault="00EC25E9" w:rsidP="00721203">
      <w:pPr>
        <w:widowControl w:val="0"/>
        <w:ind w:firstLine="708"/>
        <w:jc w:val="center"/>
        <w:rPr>
          <w:rFonts w:eastAsia="Times New Roman"/>
          <w:sz w:val="24"/>
          <w:szCs w:val="24"/>
        </w:rPr>
      </w:pPr>
    </w:p>
    <w:p w:rsidR="00EC25E9" w:rsidRPr="00006A39" w:rsidRDefault="00EC25E9" w:rsidP="00721203">
      <w:pPr>
        <w:widowControl w:val="0"/>
        <w:rPr>
          <w:rFonts w:eastAsia="Times New Roman"/>
          <w:sz w:val="24"/>
          <w:szCs w:val="24"/>
        </w:rPr>
      </w:pPr>
    </w:p>
    <w:p w:rsidR="00EC25E9" w:rsidRPr="00006A39" w:rsidRDefault="00EC25E9" w:rsidP="00721203">
      <w:pPr>
        <w:widowControl w:val="0"/>
        <w:rPr>
          <w:rFonts w:eastAsia="Times New Roman"/>
          <w:sz w:val="24"/>
          <w:szCs w:val="24"/>
        </w:rPr>
      </w:pPr>
    </w:p>
    <w:p w:rsidR="00EC25E9" w:rsidRPr="00006A39" w:rsidRDefault="00EC25E9" w:rsidP="00721203">
      <w:pPr>
        <w:widowControl w:val="0"/>
        <w:rPr>
          <w:rFonts w:eastAsia="Times New Roman"/>
          <w:sz w:val="24"/>
          <w:szCs w:val="24"/>
        </w:rPr>
      </w:pPr>
    </w:p>
    <w:p w:rsidR="00EC25E9" w:rsidRPr="00006A39" w:rsidRDefault="00EC25E9" w:rsidP="00721203">
      <w:pPr>
        <w:widowControl w:val="0"/>
        <w:rPr>
          <w:rFonts w:eastAsia="Times New Roman"/>
          <w:sz w:val="24"/>
          <w:szCs w:val="24"/>
        </w:rPr>
      </w:pPr>
    </w:p>
    <w:p w:rsidR="00EC25E9" w:rsidRPr="00006A39" w:rsidRDefault="00EC25E9" w:rsidP="00721203">
      <w:pPr>
        <w:widowControl w:val="0"/>
        <w:rPr>
          <w:rFonts w:eastAsia="Times New Roman"/>
          <w:sz w:val="24"/>
          <w:szCs w:val="24"/>
        </w:rPr>
      </w:pPr>
    </w:p>
    <w:p w:rsidR="00EC25E9" w:rsidRPr="00006A39" w:rsidRDefault="00EC25E9" w:rsidP="00721203">
      <w:pPr>
        <w:widowControl w:val="0"/>
        <w:rPr>
          <w:rFonts w:eastAsia="Times New Roman"/>
          <w:sz w:val="24"/>
          <w:szCs w:val="24"/>
        </w:rPr>
      </w:pPr>
    </w:p>
    <w:p w:rsidR="00EC25E9" w:rsidRPr="00006A39" w:rsidRDefault="00EC25E9" w:rsidP="00721203">
      <w:pPr>
        <w:widowControl w:val="0"/>
        <w:rPr>
          <w:rFonts w:eastAsia="Times New Roman"/>
          <w:sz w:val="24"/>
          <w:szCs w:val="24"/>
        </w:rPr>
      </w:pPr>
    </w:p>
    <w:p w:rsidR="00EC25E9" w:rsidRPr="00006A39" w:rsidRDefault="00DD2BBD" w:rsidP="00721203">
      <w:pPr>
        <w:widowControl w:val="0"/>
        <w:rPr>
          <w:rFonts w:eastAsia="Times New Roman"/>
          <w:sz w:val="24"/>
          <w:szCs w:val="24"/>
        </w:rPr>
      </w:pPr>
      <w:r>
        <w:rPr>
          <w:rFonts w:eastAsia="Times New Roman"/>
          <w:noProof/>
          <w:sz w:val="24"/>
          <w:szCs w:val="24"/>
          <w:lang w:val="ru-RU" w:eastAsia="ru-RU"/>
        </w:rPr>
        <mc:AlternateContent>
          <mc:Choice Requires="wps">
            <w:drawing>
              <wp:anchor distT="0" distB="0" distL="114300" distR="114300" simplePos="0" relativeHeight="252042240" behindDoc="0" locked="0" layoutInCell="1" allowOverlap="1" wp14:anchorId="75BB01B0" wp14:editId="223CC0AA">
                <wp:simplePos x="0" y="0"/>
                <wp:positionH relativeFrom="column">
                  <wp:posOffset>5630978</wp:posOffset>
                </wp:positionH>
                <wp:positionV relativeFrom="paragraph">
                  <wp:posOffset>207890</wp:posOffset>
                </wp:positionV>
                <wp:extent cx="986589" cy="3943663"/>
                <wp:effectExtent l="19050" t="0" r="23495" b="0"/>
                <wp:wrapNone/>
                <wp:docPr id="93" name="Выгнутая вправо стрелка 93"/>
                <wp:cNvGraphicFramePr/>
                <a:graphic xmlns:a="http://schemas.openxmlformats.org/drawingml/2006/main">
                  <a:graphicData uri="http://schemas.microsoft.com/office/word/2010/wordprocessingShape">
                    <wps:wsp>
                      <wps:cNvSpPr/>
                      <wps:spPr>
                        <a:xfrm>
                          <a:off x="0" y="0"/>
                          <a:ext cx="986589" cy="3943663"/>
                        </a:xfrm>
                        <a:prstGeom prst="curvedLef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103" coordsize="21600,21600" o:spt="103" adj="12960,19440,7200" path="wr@22,0@21@3,,0@21@4@22@14@21@1@21@7@2@12l@2@13,0@8@2@11at@22,0@21@3@2@10@24@16@22@14@21@1@24@16,0@14xear@22@14@21@1@21@7@24@16nfe">
                <v:stroke joinstyle="miter"/>
                <v:formulas>
                  <v:f eqn="val #0"/>
                  <v:f eqn="val #1"/>
                  <v:f eqn="val #2"/>
                  <v:f eqn="sum #0 width #1"/>
                  <v:f eqn="prod @3 1 2"/>
                  <v:f eqn="sum #1 #1 width"/>
                  <v:f eqn="sum @5 #1 #0"/>
                  <v:f eqn="prod @6 1 2"/>
                  <v:f eqn="mid width #0"/>
                  <v:f eqn="ellipse #2 height @4"/>
                  <v:f eqn="sum @4 @9 0"/>
                  <v:f eqn="sum @10 #1 width"/>
                  <v:f eqn="sum @7 @9 0"/>
                  <v:f eqn="sum @11 width #0"/>
                  <v:f eqn="sum @5 0 #0"/>
                  <v:f eqn="prod @14 1 2"/>
                  <v:f eqn="mid @4 @7"/>
                  <v:f eqn="sum #0 #1 width"/>
                  <v:f eqn="prod @17 1 2"/>
                  <v:f eqn="sum @16 0 @18"/>
                  <v:f eqn="val width"/>
                  <v:f eqn="val height"/>
                  <v:f eqn="sum 0 0 height"/>
                  <v:f eqn="sum @16 0 @4"/>
                  <v:f eqn="ellipse @23 @4 height"/>
                  <v:f eqn="sum @8 128 0"/>
                  <v:f eqn="prod @5 1 2"/>
                  <v:f eqn="sum @5 0 128"/>
                  <v:f eqn="sum #0 @16 @11"/>
                  <v:f eqn="sum width 0 #0"/>
                  <v:f eqn="prod @29 1 2"/>
                  <v:f eqn="prod height height 1"/>
                  <v:f eqn="prod #2 #2 1"/>
                  <v:f eqn="sum @31 0 @32"/>
                  <v:f eqn="sqrt @33"/>
                  <v:f eqn="sum @34 height 0"/>
                  <v:f eqn="prod width height @35"/>
                  <v:f eqn="sum @36 64 0"/>
                  <v:f eqn="prod #0 1 2"/>
                  <v:f eqn="ellipse @30 @38 height"/>
                  <v:f eqn="sum @39 0 64"/>
                  <v:f eqn="prod @4 1 2"/>
                  <v:f eqn="sum #1 0 @41"/>
                  <v:f eqn="prod height 4390 32768"/>
                  <v:f eqn="prod height 28378 32768"/>
                </v:formulas>
                <v:path o:extrusionok="f" o:connecttype="custom" o:connectlocs="0,@15;@2,@11;0,@8;@2,@13;@21,@16" o:connectangles="180,180,180,90,0" textboxrect="@43,@41,@44,@42"/>
                <v:handles>
                  <v:h position="topLeft,#0" yrange="@37,@27"/>
                  <v:h position="topLeft,#1" yrange="@25,@20"/>
                  <v:h position="#2,bottomRight" xrange="0,@40"/>
                </v:handles>
                <o:complex v:ext="view"/>
              </v:shapetype>
              <v:shape id="Выгнутая вправо стрелка 93" o:spid="_x0000_s1026" type="#_x0000_t103" style="position:absolute;margin-left:443.4pt;margin-top:16.35pt;width:77.7pt;height:310.5pt;z-index:252042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" adj="18898,20924,5400" fillcolor="#5b9bd5 [3204]" strokecolor="#1f4d78 [1604]" strokeweight="1pt"/>
            </w:pict>
          </mc:Fallback>
        </mc:AlternateContent>
      </w:r>
      <w:r>
        <w:rPr>
          <w:rFonts w:eastAsia="Times New Roman"/>
          <w:noProof/>
          <w:sz w:val="24"/>
          <w:szCs w:val="24"/>
          <w:lang w:val="ru-RU" w:eastAsia="ru-RU"/>
        </w:rPr>
        <mc:AlternateContent>
          <mc:Choice Requires="wps">
            <w:drawing>
              <wp:anchor distT="0" distB="0" distL="114300" distR="114300" simplePos="0" relativeHeight="252041216" behindDoc="0" locked="0" layoutInCell="1" allowOverlap="1" wp14:anchorId="0FB7F9AD" wp14:editId="1FF21301">
                <wp:simplePos x="0" y="0"/>
                <wp:positionH relativeFrom="column">
                  <wp:posOffset>555257</wp:posOffset>
                </wp:positionH>
                <wp:positionV relativeFrom="paragraph">
                  <wp:posOffset>189096</wp:posOffset>
                </wp:positionV>
                <wp:extent cx="1158704" cy="3999810"/>
                <wp:effectExtent l="0" t="0" r="41910" b="0"/>
                <wp:wrapNone/>
                <wp:docPr id="92" name="Выгнутая влево стрелка 92"/>
                <wp:cNvGraphicFramePr/>
                <a:graphic xmlns:a="http://schemas.openxmlformats.org/drawingml/2006/main">
                  <a:graphicData uri="http://schemas.microsoft.com/office/word/2010/wordprocessingShape">
                    <wps:wsp>
                      <wps:cNvSpPr/>
                      <wps:spPr>
                        <a:xfrm>
                          <a:off x="0" y="0"/>
                          <a:ext cx="1158704" cy="3999810"/>
                        </a:xfrm>
                        <a:prstGeom prst="curved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102" coordsize="21600,21600" o:spt="102" adj="12960,19440,14400" path="ar,0@23@3@22,,0@4,0@15@23@1,0@7@2@13l@2@14@22@8@2@12wa,0@23@3@2@11@26@17,0@15@23@1@26@17@22@15xear,0@23@3,0@4@26@17nfe">
                <v:stroke joinstyle="miter"/>
                <v:formulas>
                  <v:f eqn="val #0"/>
                  <v:f eqn="val #1"/>
                  <v:f eqn="val #2"/>
                  <v:f eqn="sum #0 width #1"/>
                  <v:f eqn="prod @3 1 2"/>
                  <v:f eqn="sum #1 #1 width"/>
                  <v:f eqn="sum @5 #1 #0"/>
                  <v:f eqn="prod @6 1 2"/>
                  <v:f eqn="mid width #0"/>
                  <v:f eqn="sum height 0 #2"/>
                  <v:f eqn="ellipse @9 height @4"/>
                  <v:f eqn="sum @4 @10 0"/>
                  <v:f eqn="sum @11 #1 width"/>
                  <v:f eqn="sum @7 @10 0"/>
                  <v:f eqn="sum @12 width #0"/>
                  <v:f eqn="sum @5 0 #0"/>
                  <v:f eqn="prod @15 1 2"/>
                  <v:f eqn="mid @4 @7"/>
                  <v:f eqn="sum #0 #1 width"/>
                  <v:f eqn="prod @18 1 2"/>
                  <v:f eqn="sum @17 0 @19"/>
                  <v:f eqn="val width"/>
                  <v:f eqn="val height"/>
                  <v:f eqn="prod height 2 1"/>
                  <v:f eqn="sum @17 0 @4"/>
                  <v:f eqn="ellipse @24 @4 height"/>
                  <v:f eqn="sum height 0 @25"/>
                  <v:f eqn="sum @8 128 0"/>
                  <v:f eqn="prod @5 1 2"/>
                  <v:f eqn="sum @5 0 128"/>
                  <v:f eqn="sum #0 @17 @12"/>
                  <v:f eqn="ellipse @20 @4 height"/>
                  <v:f eqn="sum width 0 #0"/>
                  <v:f eqn="prod @32 1 2"/>
                  <v:f eqn="prod height height 1"/>
                  <v:f eqn="prod @9 @9 1"/>
                  <v:f eqn="sum @34 0 @35"/>
                  <v:f eqn="sqrt @36"/>
                  <v:f eqn="sum @37 height 0"/>
                  <v:f eqn="prod width height @38"/>
                  <v:f eqn="sum @39 64 0"/>
                  <v:f eqn="prod #0 1 2"/>
                  <v:f eqn="ellipse @33 @41 height"/>
                  <v:f eqn="sum height 0 @42"/>
                  <v:f eqn="sum @43 64 0"/>
                  <v:f eqn="prod @4 1 2"/>
                  <v:f eqn="sum #1 0 @45"/>
                  <v:f eqn="prod height 4390 32768"/>
                  <v:f eqn="prod height 28378 32768"/>
                </v:formulas>
                <v:path o:extrusionok="f" o:connecttype="custom" o:connectlocs="0,@17;@2,@14;@22,@8;@2,@12;@22,@16" o:connectangles="180,90,0,0,0" textboxrect="@47,@45,@48,@46"/>
                <v:handles>
                  <v:h position="bottomRight,#0" yrange="@40,@29"/>
                  <v:h position="bottomRight,#1" yrange="@27,@21"/>
                  <v:h position="#2,bottomRight" xrange="@44,@22"/>
                </v:handles>
                <o:complex v:ext="view"/>
              </v:shapetype>
              <v:shape id="Выгнутая влево стрелка 92" o:spid="_x0000_s1026" type="#_x0000_t102" style="position:absolute;margin-left:43.7pt;margin-top:14.9pt;width:91.25pt;height:314.95pt;z-index:252041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" adj="18471,20818,16200" fillcolor="#5b9bd5 [3204]" strokecolor="#1f4d78 [1604]" strokeweight="1pt"/>
            </w:pict>
          </mc:Fallback>
        </mc:AlternateContent>
      </w:r>
    </w:p>
    <w:p w:rsidR="00EC25E9" w:rsidRPr="00006A39" w:rsidRDefault="00EC25E9" w:rsidP="00721203">
      <w:pPr>
        <w:widowControl w:val="0"/>
        <w:rPr>
          <w:rFonts w:eastAsia="Times New Roman"/>
          <w:sz w:val="24"/>
          <w:szCs w:val="24"/>
        </w:rPr>
      </w:pPr>
    </w:p>
    <w:p w:rsidR="00EC25E9" w:rsidRPr="00006A39" w:rsidRDefault="00EC25E9" w:rsidP="00721203">
      <w:pPr>
        <w:widowControl w:val="0"/>
        <w:rPr>
          <w:rFonts w:eastAsia="Times New Roman"/>
          <w:sz w:val="24"/>
          <w:szCs w:val="24"/>
        </w:rPr>
      </w:pPr>
    </w:p>
    <w:p w:rsidR="00EC25E9" w:rsidRPr="00006A39" w:rsidRDefault="00EC25E9" w:rsidP="00721203">
      <w:pPr>
        <w:widowControl w:val="0"/>
        <w:rPr>
          <w:rFonts w:eastAsia="Times New Roman"/>
          <w:sz w:val="24"/>
          <w:szCs w:val="24"/>
        </w:rPr>
      </w:pPr>
    </w:p>
    <w:p w:rsidR="00EC25E9" w:rsidRPr="00006A39" w:rsidRDefault="00EC25E9" w:rsidP="00721203">
      <w:pPr>
        <w:widowControl w:val="0"/>
        <w:rPr>
          <w:rFonts w:eastAsia="Times New Roman"/>
          <w:sz w:val="24"/>
          <w:szCs w:val="24"/>
        </w:rPr>
      </w:pPr>
    </w:p>
    <w:p w:rsidR="00EC25E9" w:rsidRPr="00006A39" w:rsidRDefault="00EC25E9" w:rsidP="00721203">
      <w:pPr>
        <w:widowControl w:val="0"/>
        <w:rPr>
          <w:rFonts w:eastAsia="Times New Roman"/>
          <w:sz w:val="24"/>
          <w:szCs w:val="24"/>
        </w:rPr>
      </w:pPr>
    </w:p>
    <w:p w:rsidR="00EC25E9" w:rsidRPr="00006A39" w:rsidRDefault="00EC25E9" w:rsidP="00721203">
      <w:pPr>
        <w:widowControl w:val="0"/>
        <w:rPr>
          <w:rFonts w:eastAsia="Times New Roman"/>
          <w:sz w:val="24"/>
          <w:szCs w:val="24"/>
        </w:rPr>
      </w:pPr>
    </w:p>
    <w:p w:rsidR="00EC25E9" w:rsidRPr="00006A39" w:rsidRDefault="00EC25E9" w:rsidP="00721203">
      <w:pPr>
        <w:widowControl w:val="0"/>
        <w:rPr>
          <w:rFonts w:eastAsia="Times New Roman"/>
          <w:sz w:val="24"/>
          <w:szCs w:val="24"/>
        </w:rPr>
      </w:pPr>
    </w:p>
    <w:p w:rsidR="00EC25E9" w:rsidRPr="00006A39" w:rsidRDefault="00EC25E9" w:rsidP="00721203">
      <w:pPr>
        <w:widowControl w:val="0"/>
        <w:rPr>
          <w:rFonts w:eastAsia="Times New Roman"/>
          <w:sz w:val="24"/>
          <w:szCs w:val="24"/>
        </w:rPr>
      </w:pPr>
    </w:p>
    <w:p w:rsidR="00EC25E9" w:rsidRPr="00006A39" w:rsidRDefault="00EC25E9" w:rsidP="00721203">
      <w:pPr>
        <w:widowControl w:val="0"/>
        <w:rPr>
          <w:rFonts w:eastAsia="Times New Roman"/>
          <w:sz w:val="24"/>
          <w:szCs w:val="24"/>
        </w:rPr>
      </w:pPr>
    </w:p>
    <w:p w:rsidR="00EC25E9" w:rsidRPr="00006A39" w:rsidRDefault="00EC25E9" w:rsidP="00721203">
      <w:pPr>
        <w:widowControl w:val="0"/>
        <w:rPr>
          <w:rFonts w:eastAsia="Times New Roman"/>
          <w:sz w:val="24"/>
          <w:szCs w:val="24"/>
        </w:rPr>
      </w:pPr>
    </w:p>
    <w:p w:rsidR="00EC25E9" w:rsidRPr="00006A39" w:rsidRDefault="00EC25E9" w:rsidP="00721203">
      <w:pPr>
        <w:widowControl w:val="0"/>
        <w:rPr>
          <w:rFonts w:eastAsia="Times New Roman"/>
          <w:sz w:val="24"/>
          <w:szCs w:val="24"/>
        </w:rPr>
      </w:pPr>
    </w:p>
    <w:p w:rsidR="00EC25E9" w:rsidRPr="00006A39" w:rsidRDefault="00EC25E9" w:rsidP="00721203">
      <w:pPr>
        <w:widowControl w:val="0"/>
        <w:rPr>
          <w:rFonts w:eastAsia="Times New Roman"/>
          <w:sz w:val="24"/>
          <w:szCs w:val="24"/>
        </w:rPr>
      </w:pPr>
    </w:p>
    <w:p w:rsidR="00EC25E9" w:rsidRPr="00006A39" w:rsidRDefault="00EC25E9" w:rsidP="00721203">
      <w:pPr>
        <w:widowControl w:val="0"/>
        <w:rPr>
          <w:rFonts w:eastAsia="Times New Roman"/>
          <w:sz w:val="24"/>
          <w:szCs w:val="24"/>
        </w:rPr>
      </w:pPr>
    </w:p>
    <w:p w:rsidR="00EC25E9" w:rsidRPr="00006A39" w:rsidRDefault="00EC25E9" w:rsidP="00721203">
      <w:pPr>
        <w:widowControl w:val="0"/>
        <w:rPr>
          <w:rFonts w:eastAsia="Times New Roman"/>
          <w:szCs w:val="28"/>
        </w:rPr>
      </w:pPr>
    </w:p>
    <w:p w:rsidR="00EC25E9" w:rsidRPr="00006A39" w:rsidRDefault="00EC25E9" w:rsidP="00721203">
      <w:pPr>
        <w:widowControl w:val="0"/>
        <w:rPr>
          <w:rFonts w:eastAsia="Times New Roman"/>
          <w:szCs w:val="28"/>
        </w:rPr>
      </w:pPr>
    </w:p>
    <w:p w:rsidR="00EC25E9" w:rsidRPr="00006A39" w:rsidRDefault="00EC25E9" w:rsidP="00721203">
      <w:pPr>
        <w:widowControl w:val="0"/>
        <w:rPr>
          <w:rFonts w:eastAsia="Times New Roman"/>
          <w:szCs w:val="28"/>
        </w:rPr>
      </w:pPr>
    </w:p>
    <w:p w:rsidR="00EC25E9" w:rsidRPr="00006A39" w:rsidRDefault="00EC25E9" w:rsidP="00721203">
      <w:pPr>
        <w:widowControl w:val="0"/>
        <w:rPr>
          <w:rFonts w:eastAsia="Times New Roman"/>
          <w:szCs w:val="28"/>
        </w:rPr>
      </w:pPr>
    </w:p>
    <w:p w:rsidR="00EC25E9" w:rsidRPr="00006A39" w:rsidRDefault="00EC25E9" w:rsidP="00721203">
      <w:pPr>
        <w:widowControl w:val="0"/>
        <w:rPr>
          <w:rFonts w:eastAsia="Times New Roman"/>
          <w:szCs w:val="28"/>
        </w:rPr>
      </w:pPr>
    </w:p>
    <w:p w:rsidR="00DF75AC" w:rsidRDefault="00190B74" w:rsidP="00DF75AC">
      <w:pPr>
        <w:widowControl w:val="0"/>
        <w:rPr>
          <w:rFonts w:eastAsia="Times New Roman"/>
          <w:szCs w:val="28"/>
        </w:rPr>
      </w:pPr>
      <w:r w:rsidRPr="00006A39">
        <w:rPr>
          <w:rFonts w:eastAsia="Times New Roman"/>
          <w:noProof/>
          <w:sz w:val="24"/>
          <w:szCs w:val="24"/>
          <w:lang w:val="ru-RU" w:eastAsia="ru-RU"/>
        </w:rPr>
        <mc:AlternateContent>
          <mc:Choice Requires="wps">
            <w:drawing>
              <wp:anchor distT="0" distB="0" distL="114300" distR="114300" simplePos="0" relativeHeight="251693056" behindDoc="0" locked="0" layoutInCell="1" allowOverlap="1" wp14:anchorId="24CFC6D6" wp14:editId="520BBF6E">
                <wp:simplePos x="0" y="0"/>
                <wp:positionH relativeFrom="column">
                  <wp:posOffset>424815</wp:posOffset>
                </wp:positionH>
                <wp:positionV relativeFrom="paragraph">
                  <wp:posOffset>107315</wp:posOffset>
                </wp:positionV>
                <wp:extent cx="1318895" cy="0"/>
                <wp:effectExtent l="0" t="0" r="33655" b="19050"/>
                <wp:wrapNone/>
                <wp:docPr id="128" name="Прямая соединительная линия 4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1318895" cy="0"/>
                        </a:xfrm>
                        <a:prstGeom prst="line">
                          <a:avLst/>
                        </a:prstGeom>
                        <a:ln w="127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41" o:spid="_x0000_s1026" style="position:absolute;flip:y;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3.45pt,8.45pt" to="137.3pt,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" strokecolor="black [3213]" strokeweight="1pt">
                <v:stroke joinstyle="miter"/>
                <o:lock v:ext="edit" shapetype="f"/>
              </v:line>
            </w:pict>
          </mc:Fallback>
        </mc:AlternateContent>
      </w:r>
    </w:p>
    <w:p w:rsidR="00AA0766" w:rsidRDefault="00AA0766" w:rsidP="00DF75AC">
      <w:pPr>
        <w:widowControl w:val="0"/>
        <w:jc w:val="left"/>
        <w:rPr>
          <w:rFonts w:eastAsia="Times New Roman"/>
          <w:szCs w:val="28"/>
        </w:rPr>
      </w:pPr>
    </w:p>
    <w:p w:rsidR="00EC25E9" w:rsidRDefault="00EC25E9" w:rsidP="00754D1D">
      <w:pPr>
        <w:widowControl w:val="0"/>
        <w:jc w:val="left"/>
        <w:rPr>
          <w:rFonts w:eastAsia="Times New Roman"/>
          <w:szCs w:val="28"/>
        </w:rPr>
      </w:pPr>
      <w:r w:rsidRPr="00006A39">
        <w:rPr>
          <w:rFonts w:eastAsia="Times New Roman"/>
          <w:szCs w:val="28"/>
        </w:rPr>
        <w:t xml:space="preserve">Рис. 8.1. Організаційна модель </w:t>
      </w:r>
      <w:r w:rsidR="00AA0766" w:rsidRPr="00AA0766">
        <w:rPr>
          <w:rFonts w:eastAsia="Times New Roman"/>
          <w:szCs w:val="28"/>
          <w:lang w:val="ru-RU"/>
        </w:rPr>
        <w:t xml:space="preserve">зниження смертності </w:t>
      </w:r>
      <w:r w:rsidR="00AA0766" w:rsidRPr="00AA0766">
        <w:rPr>
          <w:rFonts w:eastAsia="Times New Roman"/>
          <w:szCs w:val="28"/>
        </w:rPr>
        <w:t>дітей до 5</w:t>
      </w:r>
      <w:r w:rsidR="00AA0766" w:rsidRPr="00AA0766">
        <w:rPr>
          <w:rFonts w:eastAsia="Times New Roman"/>
          <w:szCs w:val="28"/>
          <w:lang w:val="ru-RU"/>
        </w:rPr>
        <w:t> </w:t>
      </w:r>
      <w:r w:rsidR="00AA0766" w:rsidRPr="00AA0766">
        <w:rPr>
          <w:rFonts w:eastAsia="Times New Roman"/>
          <w:szCs w:val="28"/>
        </w:rPr>
        <w:t>років життя в Україні</w:t>
      </w:r>
    </w:p>
    <w:p w:rsidR="009962C7" w:rsidRPr="009962C7" w:rsidRDefault="009962C7" w:rsidP="009962C7">
      <w:pPr>
        <w:widowControl w:val="0"/>
        <w:ind w:firstLine="708"/>
        <w:rPr>
          <w:szCs w:val="28"/>
        </w:rPr>
      </w:pPr>
      <w:r w:rsidRPr="009962C7">
        <w:rPr>
          <w:szCs w:val="28"/>
        </w:rPr>
        <w:lastRenderedPageBreak/>
        <w:t>Розробка модел</w:t>
      </w:r>
      <w:r w:rsidRPr="009962C7">
        <w:rPr>
          <w:szCs w:val="28"/>
          <w:lang w:val="ru-RU"/>
        </w:rPr>
        <w:t>і</w:t>
      </w:r>
      <w:r w:rsidRPr="009962C7">
        <w:rPr>
          <w:szCs w:val="28"/>
        </w:rPr>
        <w:t xml:space="preserve"> </w:t>
      </w:r>
      <w:r w:rsidRPr="009962C7">
        <w:rPr>
          <w:szCs w:val="28"/>
          <w:lang w:val="ru-RU"/>
        </w:rPr>
        <w:t xml:space="preserve">зниження смертності </w:t>
      </w:r>
      <w:r w:rsidRPr="009962C7">
        <w:rPr>
          <w:szCs w:val="28"/>
        </w:rPr>
        <w:t>дітей до 5</w:t>
      </w:r>
      <w:r w:rsidRPr="009962C7">
        <w:rPr>
          <w:szCs w:val="28"/>
          <w:lang w:val="ru-RU"/>
        </w:rPr>
        <w:t> </w:t>
      </w:r>
      <w:r w:rsidRPr="009962C7">
        <w:rPr>
          <w:szCs w:val="28"/>
        </w:rPr>
        <w:t>років життя в Україні</w:t>
      </w:r>
      <w:r w:rsidRPr="009962C7">
        <w:rPr>
          <w:szCs w:val="28"/>
          <w:lang w:val="ru-RU"/>
        </w:rPr>
        <w:t xml:space="preserve"> </w:t>
      </w:r>
      <w:r w:rsidRPr="009962C7">
        <w:rPr>
          <w:szCs w:val="28"/>
        </w:rPr>
        <w:t xml:space="preserve">проводилась </w:t>
      </w:r>
      <w:r w:rsidR="00516BC5">
        <w:rPr>
          <w:szCs w:val="28"/>
        </w:rPr>
        <w:t>і</w:t>
      </w:r>
      <w:r w:rsidRPr="009962C7">
        <w:rPr>
          <w:szCs w:val="28"/>
        </w:rPr>
        <w:t xml:space="preserve">з використанням методу системного підходу, що включає наступні складові: </w:t>
      </w:r>
    </w:p>
    <w:p w:rsidR="009962C7" w:rsidRPr="009962C7" w:rsidRDefault="009962C7" w:rsidP="009962C7">
      <w:pPr>
        <w:widowControl w:val="0"/>
        <w:ind w:firstLine="708"/>
        <w:rPr>
          <w:szCs w:val="28"/>
        </w:rPr>
      </w:pPr>
      <w:r w:rsidRPr="009962C7">
        <w:rPr>
          <w:szCs w:val="28"/>
        </w:rPr>
        <w:t xml:space="preserve">1 – структуру (включаючи ресурси, а саме: організаційна структура, кадри, матеріально-технічна база, фінансування (джерела та обсяги  фінансування), інформаційна база (інформаційне забезпечення), технології, стандарти); </w:t>
      </w:r>
    </w:p>
    <w:p w:rsidR="00754D1D" w:rsidRPr="00006A39" w:rsidRDefault="00754D1D" w:rsidP="00754D1D">
      <w:pPr>
        <w:widowControl w:val="0"/>
        <w:ind w:firstLine="708"/>
        <w:rPr>
          <w:szCs w:val="28"/>
        </w:rPr>
      </w:pPr>
      <w:r w:rsidRPr="00006A39">
        <w:rPr>
          <w:szCs w:val="28"/>
        </w:rPr>
        <w:t>2 – процес;</w:t>
      </w:r>
    </w:p>
    <w:p w:rsidR="00754D1D" w:rsidRPr="00006A39" w:rsidRDefault="00754D1D" w:rsidP="00DC1385">
      <w:pPr>
        <w:widowControl w:val="0"/>
        <w:ind w:firstLine="708"/>
        <w:rPr>
          <w:szCs w:val="28"/>
        </w:rPr>
      </w:pPr>
      <w:r>
        <w:rPr>
          <w:szCs w:val="28"/>
        </w:rPr>
        <w:t>3 – результати.</w:t>
      </w:r>
    </w:p>
    <w:p w:rsidR="00754D1D" w:rsidRPr="00F55B87" w:rsidRDefault="00754D1D" w:rsidP="00754D1D">
      <w:pPr>
        <w:ind w:firstLine="708"/>
        <w:rPr>
          <w:szCs w:val="28"/>
        </w:rPr>
      </w:pPr>
      <w:r>
        <w:rPr>
          <w:szCs w:val="28"/>
        </w:rPr>
        <w:t xml:space="preserve">Очікуваними результатами </w:t>
      </w:r>
      <w:r w:rsidRPr="00253FCE">
        <w:rPr>
          <w:szCs w:val="28"/>
        </w:rPr>
        <w:t>модел</w:t>
      </w:r>
      <w:r w:rsidRPr="00865527">
        <w:rPr>
          <w:szCs w:val="28"/>
        </w:rPr>
        <w:t>і</w:t>
      </w:r>
      <w:r w:rsidRPr="00253FCE">
        <w:rPr>
          <w:szCs w:val="28"/>
        </w:rPr>
        <w:t xml:space="preserve"> </w:t>
      </w:r>
      <w:r w:rsidRPr="00865527">
        <w:rPr>
          <w:szCs w:val="28"/>
        </w:rPr>
        <w:t xml:space="preserve">зниження смертності </w:t>
      </w:r>
      <w:r w:rsidRPr="00253FCE">
        <w:rPr>
          <w:szCs w:val="28"/>
        </w:rPr>
        <w:t>дітей до 5</w:t>
      </w:r>
      <w:r w:rsidRPr="00253FCE">
        <w:rPr>
          <w:szCs w:val="28"/>
          <w:lang w:val="ru-RU"/>
        </w:rPr>
        <w:t> </w:t>
      </w:r>
      <w:r w:rsidRPr="00253FCE">
        <w:rPr>
          <w:szCs w:val="28"/>
        </w:rPr>
        <w:t>років життя</w:t>
      </w:r>
      <w:r>
        <w:rPr>
          <w:szCs w:val="28"/>
        </w:rPr>
        <w:t xml:space="preserve"> є</w:t>
      </w:r>
      <w:r w:rsidRPr="00253FCE">
        <w:rPr>
          <w:sz w:val="24"/>
          <w:szCs w:val="24"/>
        </w:rPr>
        <w:t xml:space="preserve"> </w:t>
      </w:r>
      <w:r>
        <w:rPr>
          <w:sz w:val="24"/>
          <w:szCs w:val="24"/>
        </w:rPr>
        <w:t xml:space="preserve"> </w:t>
      </w:r>
      <w:r w:rsidRPr="00865527">
        <w:rPr>
          <w:szCs w:val="28"/>
        </w:rPr>
        <w:t>позитивна с</w:t>
      </w:r>
      <w:r>
        <w:rPr>
          <w:szCs w:val="28"/>
        </w:rPr>
        <w:t>уб’єктивна оцінка пацієнтами доступності, своєчасності</w:t>
      </w:r>
      <w:r w:rsidRPr="00253FCE">
        <w:rPr>
          <w:szCs w:val="28"/>
        </w:rPr>
        <w:t xml:space="preserve"> медичної допомоги, задоволеність</w:t>
      </w:r>
      <w:r>
        <w:rPr>
          <w:szCs w:val="28"/>
        </w:rPr>
        <w:t xml:space="preserve"> пацієнтів</w:t>
      </w:r>
      <w:r w:rsidRPr="00253FCE">
        <w:rPr>
          <w:szCs w:val="28"/>
        </w:rPr>
        <w:t xml:space="preserve"> якістю</w:t>
      </w:r>
      <w:r>
        <w:rPr>
          <w:szCs w:val="28"/>
        </w:rPr>
        <w:t xml:space="preserve"> її надання</w:t>
      </w:r>
      <w:r w:rsidRPr="00253FCE">
        <w:rPr>
          <w:szCs w:val="28"/>
        </w:rPr>
        <w:t>, покращення соціальної ситуації</w:t>
      </w:r>
      <w:r>
        <w:rPr>
          <w:szCs w:val="28"/>
        </w:rPr>
        <w:t>, п</w:t>
      </w:r>
      <w:r w:rsidRPr="00A95F74">
        <w:rPr>
          <w:szCs w:val="28"/>
        </w:rPr>
        <w:t>ідвищення якості та результативності медичної допомоги дітям та майбутнім матерям</w:t>
      </w:r>
      <w:r>
        <w:rPr>
          <w:szCs w:val="28"/>
        </w:rPr>
        <w:t>, з</w:t>
      </w:r>
      <w:r w:rsidRPr="00F55B87">
        <w:rPr>
          <w:szCs w:val="28"/>
        </w:rPr>
        <w:t>ниження рівня дитячої смертності, інвалідності, покращення демографічної ситуації</w:t>
      </w:r>
      <w:r w:rsidR="00DC1385">
        <w:rPr>
          <w:szCs w:val="28"/>
        </w:rPr>
        <w:t xml:space="preserve"> </w:t>
      </w:r>
      <w:r w:rsidR="00DC1385" w:rsidRPr="00DC1385">
        <w:rPr>
          <w:szCs w:val="28"/>
        </w:rPr>
        <w:t>(рис. 8.2.).</w:t>
      </w:r>
    </w:p>
    <w:p w:rsidR="005545B5" w:rsidRPr="008D1F9F" w:rsidRDefault="00754D1D" w:rsidP="00AF637F">
      <w:pPr>
        <w:ind w:firstLine="709"/>
        <w:rPr>
          <w:rFonts w:eastAsia="Calibri"/>
          <w:szCs w:val="28"/>
        </w:rPr>
      </w:pPr>
      <w:r>
        <w:rPr>
          <w:szCs w:val="28"/>
        </w:rPr>
        <w:t>Інноваційна система</w:t>
      </w:r>
      <w:r w:rsidRPr="00231499">
        <w:rPr>
          <w:szCs w:val="28"/>
        </w:rPr>
        <w:t xml:space="preserve"> медико-</w:t>
      </w:r>
      <w:r>
        <w:rPr>
          <w:szCs w:val="28"/>
        </w:rPr>
        <w:t xml:space="preserve">соціальної допомоги дітям </w:t>
      </w:r>
      <w:r w:rsidRPr="00231499">
        <w:rPr>
          <w:szCs w:val="28"/>
        </w:rPr>
        <w:t>віком до 5 років життя</w:t>
      </w:r>
      <w:r w:rsidRPr="00231499">
        <w:rPr>
          <w:b/>
          <w:sz w:val="22"/>
        </w:rPr>
        <w:t xml:space="preserve"> </w:t>
      </w:r>
      <w:r>
        <w:rPr>
          <w:szCs w:val="28"/>
        </w:rPr>
        <w:t>в Україні, скерована</w:t>
      </w:r>
      <w:r w:rsidRPr="00231499">
        <w:rPr>
          <w:szCs w:val="28"/>
        </w:rPr>
        <w:t xml:space="preserve"> на </w:t>
      </w:r>
      <w:r w:rsidR="00110A7C">
        <w:rPr>
          <w:szCs w:val="28"/>
        </w:rPr>
        <w:t xml:space="preserve">сприяння збереження здоров’я дітей та </w:t>
      </w:r>
      <w:r w:rsidRPr="00231499">
        <w:rPr>
          <w:szCs w:val="28"/>
        </w:rPr>
        <w:t xml:space="preserve">зниження </w:t>
      </w:r>
      <w:r w:rsidR="00110A7C">
        <w:rPr>
          <w:szCs w:val="28"/>
        </w:rPr>
        <w:t xml:space="preserve"> </w:t>
      </w:r>
      <w:r w:rsidRPr="00231499">
        <w:rPr>
          <w:szCs w:val="28"/>
        </w:rPr>
        <w:t>смертності дітей даної вікової категорії, з визначенням її нових структурних елементів, організаційно-функціональних технологій та ін</w:t>
      </w:r>
      <w:r>
        <w:rPr>
          <w:szCs w:val="28"/>
        </w:rPr>
        <w:t>теграційно</w:t>
      </w:r>
      <w:r w:rsidR="007C7680">
        <w:rPr>
          <w:szCs w:val="28"/>
        </w:rPr>
        <w:t>-логістичних зв’язків</w:t>
      </w:r>
      <w:r w:rsidR="004E3273">
        <w:rPr>
          <w:szCs w:val="28"/>
        </w:rPr>
        <w:t xml:space="preserve"> (рис.</w:t>
      </w:r>
      <w:r w:rsidR="00C52913">
        <w:rPr>
          <w:szCs w:val="28"/>
          <w:lang w:val="ru-RU"/>
        </w:rPr>
        <w:t> </w:t>
      </w:r>
      <w:r w:rsidR="004E3273">
        <w:rPr>
          <w:szCs w:val="28"/>
        </w:rPr>
        <w:t>8.3)</w:t>
      </w:r>
      <w:r w:rsidRPr="00231499">
        <w:rPr>
          <w:szCs w:val="28"/>
        </w:rPr>
        <w:t>.</w:t>
      </w:r>
      <w:r w:rsidR="007C7680">
        <w:rPr>
          <w:szCs w:val="28"/>
        </w:rPr>
        <w:t xml:space="preserve"> </w:t>
      </w:r>
      <w:r>
        <w:rPr>
          <w:rFonts w:eastAsia="Calibri"/>
          <w:szCs w:val="28"/>
        </w:rPr>
        <w:t>П</w:t>
      </w:r>
      <w:r w:rsidRPr="00A20D70">
        <w:rPr>
          <w:rFonts w:eastAsia="Calibri"/>
          <w:szCs w:val="28"/>
        </w:rPr>
        <w:t xml:space="preserve">ідґрунтям </w:t>
      </w:r>
      <w:r>
        <w:rPr>
          <w:rFonts w:eastAsia="Calibri"/>
          <w:szCs w:val="28"/>
        </w:rPr>
        <w:t xml:space="preserve">системи </w:t>
      </w:r>
      <w:r w:rsidRPr="00A20D70">
        <w:rPr>
          <w:rFonts w:eastAsia="Calibri"/>
          <w:szCs w:val="28"/>
        </w:rPr>
        <w:t>стали глобальні (ВООЗ, ООН), європейські (ЄС, Рада Європи, Європейська комісія), міжнародні і вітчизняні рекомендації та ініціативі,</w:t>
      </w:r>
      <w:r w:rsidR="00571583">
        <w:rPr>
          <w:rFonts w:eastAsia="Calibri"/>
          <w:szCs w:val="28"/>
        </w:rPr>
        <w:t xml:space="preserve"> позитивний закордонний досвід в</w:t>
      </w:r>
      <w:r w:rsidRPr="00A20D70">
        <w:rPr>
          <w:rFonts w:eastAsia="Calibri"/>
          <w:szCs w:val="28"/>
        </w:rPr>
        <w:t>провадження глобальних ініціатив ВООЗ щодо підвищення ефективності надання медичної допомоги дитячому населенню, запобігання відворотних випадків смерті дітей у повсякденну медичну практику; результати власних досліджень щодо особливостей вікової, статевої, причинної та регіональної структури показника смертності в</w:t>
      </w:r>
      <w:r>
        <w:rPr>
          <w:rFonts w:eastAsia="Calibri"/>
          <w:szCs w:val="28"/>
        </w:rPr>
        <w:t xml:space="preserve"> </w:t>
      </w:r>
      <w:r w:rsidR="00915BD8">
        <w:rPr>
          <w:rFonts w:eastAsia="Calibri"/>
          <w:szCs w:val="28"/>
        </w:rPr>
        <w:t>Україні,</w:t>
      </w:r>
      <w:r>
        <w:rPr>
          <w:rFonts w:eastAsia="Calibri"/>
          <w:szCs w:val="28"/>
        </w:rPr>
        <w:t xml:space="preserve"> </w:t>
      </w:r>
      <w:r w:rsidRPr="00A20D70">
        <w:rPr>
          <w:rFonts w:eastAsia="Calibri"/>
          <w:szCs w:val="28"/>
        </w:rPr>
        <w:t xml:space="preserve">а </w:t>
      </w:r>
      <w:r w:rsidR="00915BD8">
        <w:rPr>
          <w:rFonts w:eastAsia="Calibri"/>
          <w:szCs w:val="28"/>
        </w:rPr>
        <w:t>також</w:t>
      </w:r>
      <w:r>
        <w:rPr>
          <w:rFonts w:eastAsia="Calibri"/>
          <w:szCs w:val="28"/>
        </w:rPr>
        <w:t xml:space="preserve"> </w:t>
      </w:r>
      <w:r w:rsidRPr="00A20D70">
        <w:rPr>
          <w:rFonts w:eastAsia="Calibri"/>
          <w:szCs w:val="28"/>
        </w:rPr>
        <w:t>існуючих</w:t>
      </w:r>
      <w:r>
        <w:rPr>
          <w:rFonts w:eastAsia="Calibri"/>
          <w:szCs w:val="28"/>
        </w:rPr>
        <w:t xml:space="preserve"> </w:t>
      </w:r>
      <w:r w:rsidR="005545B5">
        <w:rPr>
          <w:rFonts w:eastAsia="Calibri"/>
          <w:szCs w:val="28"/>
        </w:rPr>
        <w:t xml:space="preserve">прихованих ризиків організації надання медичної допомоги дітям, недостатнього рівня теоретичних знань та практичних </w:t>
      </w:r>
      <w:r w:rsidR="005545B5" w:rsidRPr="008D1F9F">
        <w:rPr>
          <w:rFonts w:eastAsia="Calibri"/>
          <w:szCs w:val="28"/>
        </w:rPr>
        <w:t>навич</w:t>
      </w:r>
      <w:r w:rsidR="00594740">
        <w:rPr>
          <w:rFonts w:eastAsia="Calibri"/>
          <w:szCs w:val="28"/>
        </w:rPr>
        <w:t>ок лікарів ЗП-СЛ</w:t>
      </w:r>
      <w:r w:rsidR="005545B5">
        <w:rPr>
          <w:rFonts w:eastAsia="Calibri"/>
          <w:szCs w:val="28"/>
        </w:rPr>
        <w:t xml:space="preserve"> з невідкладної </w:t>
      </w:r>
      <w:r w:rsidR="00571583">
        <w:rPr>
          <w:rFonts w:eastAsia="Calibri"/>
          <w:szCs w:val="28"/>
        </w:rPr>
        <w:t>допомоги при життє</w:t>
      </w:r>
      <w:r w:rsidR="005545B5" w:rsidRPr="008D1F9F">
        <w:rPr>
          <w:rFonts w:eastAsia="Calibri"/>
          <w:szCs w:val="28"/>
        </w:rPr>
        <w:t xml:space="preserve">загрозливих станів у дітей. </w:t>
      </w:r>
    </w:p>
    <w:p w:rsidR="00754D1D" w:rsidRPr="00F3456E" w:rsidRDefault="00754D1D" w:rsidP="00F3456E">
      <w:pPr>
        <w:ind w:firstLine="708"/>
        <w:rPr>
          <w:rFonts w:eastAsia="Calibri"/>
          <w:szCs w:val="28"/>
        </w:rPr>
        <w:sectPr w:rsidR="00754D1D" w:rsidRPr="00F3456E" w:rsidSect="00E242B0">
          <w:pgSz w:w="11906" w:h="16838"/>
          <w:pgMar w:top="1134" w:right="567" w:bottom="1134" w:left="1134" w:header="709" w:footer="709" w:gutter="0"/>
          <w:cols w:space="708"/>
          <w:docGrid w:linePitch="360"/>
        </w:sectPr>
      </w:pPr>
      <w:r w:rsidRPr="00A20D70">
        <w:rPr>
          <w:rFonts w:eastAsia="Calibri"/>
          <w:szCs w:val="28"/>
        </w:rPr>
        <w:t xml:space="preserve"> </w:t>
      </w:r>
    </w:p>
    <w:p w:rsidR="0014646B" w:rsidRPr="0014646B" w:rsidRDefault="00390676" w:rsidP="0014646B">
      <w:pPr>
        <w:widowControl w:val="0"/>
        <w:spacing w:line="240" w:lineRule="auto"/>
        <w:ind w:firstLine="709"/>
        <w:rPr>
          <w:rFonts w:eastAsia="Calibri"/>
          <w:szCs w:val="28"/>
          <w:lang w:eastAsia="uk-UA"/>
        </w:rPr>
      </w:pPr>
      <w:r w:rsidRPr="0014646B">
        <w:rPr>
          <w:rFonts w:eastAsia="Times New Roman"/>
          <w:noProof/>
          <w:szCs w:val="28"/>
          <w:lang w:val="ru-RU" w:eastAsia="ru-RU"/>
        </w:rPr>
        <w:lastRenderedPageBreak/>
        <mc:AlternateContent>
          <mc:Choice Requires="wps">
            <w:drawing>
              <wp:anchor distT="0" distB="0" distL="114300" distR="114300" simplePos="0" relativeHeight="251997184" behindDoc="0" locked="0" layoutInCell="1" allowOverlap="1" wp14:anchorId="27BBC7F0" wp14:editId="69F20805">
                <wp:simplePos x="0" y="0"/>
                <wp:positionH relativeFrom="column">
                  <wp:posOffset>990376</wp:posOffset>
                </wp:positionH>
                <wp:positionV relativeFrom="paragraph">
                  <wp:posOffset>28724</wp:posOffset>
                </wp:positionV>
                <wp:extent cx="5499100" cy="336550"/>
                <wp:effectExtent l="0" t="0" r="63500" b="63500"/>
                <wp:wrapNone/>
                <wp:docPr id="1108" name="Скругленный прямоугольник 110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99100" cy="336550"/>
                        </a:xfrm>
                        <a:prstGeom prst="roundRect">
                          <a:avLst>
                            <a:gd name="adj" fmla="val 16667"/>
                          </a:avLst>
                        </a:prstGeom>
                        <a:gradFill rotWithShape="1">
                          <a:gsLst>
                            <a:gs pos="0">
                              <a:srgbClr val="C0C0C0"/>
                            </a:gs>
                            <a:gs pos="50000">
                              <a:srgbClr val="C0C0C0">
                                <a:gamma/>
                                <a:tint val="0"/>
                                <a:invGamma/>
                              </a:srgbClr>
                            </a:gs>
                            <a:gs pos="100000">
                              <a:srgbClr val="C0C0C0"/>
                            </a:gs>
                          </a:gsLst>
                          <a:lin ang="5400000" scaled="1"/>
                        </a:gradFill>
                        <a:ln w="25400">
                          <a:solidFill>
                            <a:srgbClr val="000000"/>
                          </a:solidFill>
                          <a:round/>
                          <a:headEnd/>
                          <a:tailEnd/>
                        </a:ln>
                        <a:effectLst>
                          <a:outerShdw dist="35921" dir="2700000" algn="ctr" rotWithShape="0">
                            <a:srgbClr val="808080"/>
                          </a:outerShdw>
                        </a:effectLst>
                      </wps:spPr>
                      <wps:txbx>
                        <w:txbxContent>
                          <w:p w:rsidR="001E1DF5" w:rsidRPr="00670AAA" w:rsidRDefault="001E1DF5" w:rsidP="0014646B">
                            <w:pPr>
                              <w:jc w:val="center"/>
                              <w:rPr>
                                <w:b/>
                              </w:rPr>
                            </w:pPr>
                            <w:r w:rsidRPr="00794917">
                              <w:rPr>
                                <w:b/>
                                <w:sz w:val="22"/>
                              </w:rPr>
                              <w:t>ВИСОКИЙ РІВЕНЬ ДИТЯЧОЇ СМЕРТНОСТІ</w:t>
                            </w:r>
                            <w:r w:rsidRPr="00670AAA">
                              <w:rPr>
                                <w:b/>
                              </w:rPr>
                              <w:t xml:space="preserve"> </w:t>
                            </w:r>
                          </w:p>
                          <w:p w:rsidR="001E1DF5" w:rsidRPr="006A2E50" w:rsidRDefault="001E1DF5" w:rsidP="0014646B">
                            <w:pPr>
                              <w:spacing w:line="216" w:lineRule="auto"/>
                              <w:jc w:val="center"/>
                              <w:rPr>
                                <w:sz w:val="22"/>
                              </w:rPr>
                            </w:pPr>
                          </w:p>
                        </w:txbxContent>
                      </wps:txbx>
                      <wps:bodyPr rot="0" vert="horz" wrap="square" lIns="0" tIns="36000" rIns="0" bIns="36000" anchor="ctr"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1108" o:spid="_x0000_s1148" style="position:absolute;left:0;text-align:left;margin-left:78pt;margin-top:2.25pt;width:433pt;height:26.5pt;z-index:251997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" fillcolor="silver" strokeweight="2pt">
                <v:fill rotate="t" focus="50%" type="gradient"/>
                <v:shadow on="t"/>
                <v:textbox inset="0,1mm,0,1mm">
                  <w:txbxContent>
                    <w:p w:rsidR="0057431A" w:rsidRPr="00670AAA" w:rsidRDefault="0057431A" w:rsidP="0014646B">
                      <w:pPr>
                        <w:jc w:val="center"/>
                        <w:rPr>
                          <w:b/>
                        </w:rPr>
                      </w:pPr>
                      <w:r w:rsidRPr="00794917">
                        <w:rPr>
                          <w:b/>
                          <w:sz w:val="22"/>
                        </w:rPr>
                        <w:t>ВИСОКИЙ РІВЕНЬ ДИТЯЧОЇ СМЕРТНОСТІ</w:t>
                      </w:r>
                      <w:r w:rsidRPr="00670AAA">
                        <w:rPr>
                          <w:b/>
                        </w:rPr>
                        <w:t xml:space="preserve"> </w:t>
                      </w:r>
                    </w:p>
                    <w:p w:rsidR="0057431A" w:rsidRPr="006A2E50" w:rsidRDefault="0057431A" w:rsidP="0014646B">
                      <w:pPr>
                        <w:spacing w:line="216" w:lineRule="auto"/>
                        <w:jc w:val="center"/>
                        <w:rPr>
                          <w:sz w:val="22"/>
                        </w:rPr>
                      </w:pPr>
                    </w:p>
                  </w:txbxContent>
                </v:textbox>
              </v:roundrect>
            </w:pict>
          </mc:Fallback>
        </mc:AlternateContent>
      </w:r>
      <w:r w:rsidR="0014646B" w:rsidRPr="0014646B">
        <w:rPr>
          <w:rFonts w:eastAsia="Times New Roman"/>
          <w:noProof/>
          <w:szCs w:val="28"/>
          <w:lang w:val="ru-RU" w:eastAsia="ru-RU"/>
        </w:rPr>
        <mc:AlternateContent>
          <mc:Choice Requires="wps">
            <w:drawing>
              <wp:anchor distT="0" distB="0" distL="114300" distR="114300" simplePos="0" relativeHeight="251995136" behindDoc="0" locked="0" layoutInCell="1" allowOverlap="1" wp14:anchorId="052A8CC0" wp14:editId="4C664890">
                <wp:simplePos x="0" y="0"/>
                <wp:positionH relativeFrom="column">
                  <wp:posOffset>-203835</wp:posOffset>
                </wp:positionH>
                <wp:positionV relativeFrom="paragraph">
                  <wp:posOffset>28575</wp:posOffset>
                </wp:positionV>
                <wp:extent cx="1172210" cy="336550"/>
                <wp:effectExtent l="0" t="0" r="66040" b="63500"/>
                <wp:wrapNone/>
                <wp:docPr id="1107" name="Прямоугольник 110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72210" cy="336550"/>
                        </a:xfrm>
                        <a:prstGeom prst="rect">
                          <a:avLst/>
                        </a:prstGeom>
                        <a:gradFill rotWithShape="1">
                          <a:gsLst>
                            <a:gs pos="0">
                              <a:srgbClr val="C0C0C0"/>
                            </a:gs>
                            <a:gs pos="50000">
                              <a:srgbClr val="FBFBFB"/>
                            </a:gs>
                            <a:gs pos="100000">
                              <a:srgbClr val="C0C0C0"/>
                            </a:gs>
                          </a:gsLst>
                          <a:lin ang="5400000" scaled="1"/>
                        </a:gradFill>
                        <a:ln w="25400">
                          <a:solidFill>
                            <a:srgbClr val="000000"/>
                          </a:solidFill>
                          <a:miter lim="800000"/>
                          <a:headEnd/>
                          <a:tailEnd/>
                        </a:ln>
                        <a:effectLst>
                          <a:outerShdw dist="53882" dir="2700000" algn="ctr" rotWithShape="0">
                            <a:srgbClr val="808080"/>
                          </a:outerShdw>
                        </a:effectLst>
                      </wps:spPr>
                      <wps:txbx>
                        <w:txbxContent>
                          <w:p w:rsidR="001E1DF5" w:rsidRPr="00754003" w:rsidRDefault="001E1DF5" w:rsidP="0014646B">
                            <w:pPr>
                              <w:rPr>
                                <w:b/>
                                <w:szCs w:val="28"/>
                              </w:rPr>
                            </w:pPr>
                            <w:r w:rsidRPr="00737D09">
                              <w:rPr>
                                <w:b/>
                              </w:rPr>
                              <w:t>ПРОБЛЕМ</w:t>
                            </w:r>
                            <w:r>
                              <w:rPr>
                                <w:b/>
                              </w:rPr>
                              <w:t>А</w:t>
                            </w:r>
                            <w:r w:rsidRPr="00737D09">
                              <w:rPr>
                                <w:b/>
                              </w:rPr>
                              <w:t>А</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107" o:spid="_x0000_s1149" style="position:absolute;left:0;text-align:left;margin-left:-16.05pt;margin-top:2.25pt;width:92.3pt;height:26.5pt;z-index:25199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" fillcolor="silver" strokeweight="2pt">
                <v:fill color2="#fbfbfb" rotate="t" focus="50%" type="gradient"/>
                <v:shadow on="t" offset="3pt,3pt"/>
                <v:textbox inset="0,0,0,0">
                  <w:txbxContent>
                    <w:p w:rsidR="0057431A" w:rsidRPr="00754003" w:rsidRDefault="0057431A" w:rsidP="0014646B">
                      <w:pPr>
                        <w:rPr>
                          <w:b/>
                          <w:szCs w:val="28"/>
                        </w:rPr>
                      </w:pPr>
                      <w:r w:rsidRPr="00737D09">
                        <w:rPr>
                          <w:b/>
                        </w:rPr>
                        <w:t>ПРОБЛЕМ</w:t>
                      </w:r>
                      <w:r>
                        <w:rPr>
                          <w:b/>
                        </w:rPr>
                        <w:t>А</w:t>
                      </w:r>
                      <w:r w:rsidRPr="00737D09">
                        <w:rPr>
                          <w:b/>
                        </w:rPr>
                        <w:t>А</w:t>
                      </w:r>
                    </w:p>
                  </w:txbxContent>
                </v:textbox>
              </v:rect>
            </w:pict>
          </mc:Fallback>
        </mc:AlternateContent>
      </w:r>
    </w:p>
    <w:p w:rsidR="0014646B" w:rsidRPr="0014646B" w:rsidRDefault="0014646B" w:rsidP="0014646B">
      <w:pPr>
        <w:spacing w:line="240" w:lineRule="auto"/>
        <w:jc w:val="left"/>
        <w:rPr>
          <w:rFonts w:eastAsia="Times New Roman"/>
          <w:sz w:val="24"/>
          <w:szCs w:val="24"/>
          <w:lang w:eastAsia="uk-UA"/>
        </w:rPr>
      </w:pPr>
    </w:p>
    <w:p w:rsidR="0014646B" w:rsidRPr="0014646B" w:rsidRDefault="008E6715" w:rsidP="0014646B">
      <w:pPr>
        <w:spacing w:line="240" w:lineRule="auto"/>
        <w:jc w:val="left"/>
        <w:rPr>
          <w:rFonts w:eastAsia="Times New Roman"/>
          <w:sz w:val="24"/>
          <w:szCs w:val="24"/>
          <w:lang w:eastAsia="uk-UA"/>
        </w:rPr>
      </w:pPr>
      <w:r w:rsidRPr="0014646B">
        <w:rPr>
          <w:rFonts w:eastAsia="Times New Roman"/>
          <w:noProof/>
          <w:sz w:val="24"/>
          <w:szCs w:val="24"/>
          <w:lang w:val="ru-RU" w:eastAsia="ru-RU"/>
        </w:rPr>
        <mc:AlternateContent>
          <mc:Choice Requires="wps">
            <w:drawing>
              <wp:anchor distT="0" distB="0" distL="114300" distR="114300" simplePos="0" relativeHeight="252001280" behindDoc="0" locked="0" layoutInCell="1" allowOverlap="1" wp14:anchorId="0AFA999A" wp14:editId="4AE361E4">
                <wp:simplePos x="0" y="0"/>
                <wp:positionH relativeFrom="column">
                  <wp:posOffset>1510030</wp:posOffset>
                </wp:positionH>
                <wp:positionV relativeFrom="paragraph">
                  <wp:posOffset>62230</wp:posOffset>
                </wp:positionV>
                <wp:extent cx="160655" cy="154305"/>
                <wp:effectExtent l="0" t="19050" r="29845" b="36195"/>
                <wp:wrapNone/>
                <wp:docPr id="84" name="Стрелка вправо 28"/>
                <wp:cNvGraphicFramePr/>
                <a:graphic xmlns:a="http://schemas.openxmlformats.org/drawingml/2006/main">
                  <a:graphicData uri="http://schemas.microsoft.com/office/word/2010/wordprocessingShape">
                    <wps:wsp>
                      <wps:cNvSpPr/>
                      <wps:spPr>
                        <a:xfrm>
                          <a:off x="0" y="0"/>
                          <a:ext cx="160655" cy="154305"/>
                        </a:xfrm>
                        <a:prstGeom prst="rightArrow">
                          <a:avLst/>
                        </a:prstGeom>
                        <a:solidFill>
                          <a:sysClr val="window" lastClr="FFFFFF"/>
                        </a:solidFill>
                        <a:ln w="15875" cap="flat" cmpd="sng" algn="ctr">
                          <a:solidFill>
                            <a:sysClr val="windowText" lastClr="000000"/>
                          </a:solidFill>
                          <a:prstDash val="solid"/>
                        </a:ln>
                        <a:effectLst/>
                      </wps:spPr>
                      <wps:bodyPr rot="0" spcFirstLastPara="0" vertOverflow="overflow" horzOverflow="overflow" vert="horz" wrap="square" lIns="36000" tIns="45720" rIns="36000" bIns="45720" numCol="1" spcCol="0" rtlCol="0" fromWordArt="0" anchor="ctr" anchorCtr="0" forceAA="0" compatLnSpc="1">
                        <a:prstTxWarp prst="textNoShape">
                          <a:avLst/>
                        </a:prstTxWarp>
                        <a:noAutofit/>
                      </wps:bodyPr>
                    </wps:wsp>
                  </a:graphicData>
                </a:graphic>
              </wp:anchor>
            </w:drawing>
          </mc:Choice>
          <mc:Fallback>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елка вправо 28" o:spid="_x0000_s1026" type="#_x0000_t13" style="position:absolute;margin-left:118.9pt;margin-top:4.9pt;width:12.65pt;height:12.15pt;z-index:2520012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" adj="11227" fillcolor="window" strokecolor="windowText" strokeweight="1.25pt">
                <v:textbox inset="1mm,,1mm"/>
              </v:shape>
            </w:pict>
          </mc:Fallback>
        </mc:AlternateContent>
      </w:r>
      <w:r w:rsidRPr="0014646B">
        <w:rPr>
          <w:rFonts w:eastAsia="Times New Roman"/>
          <w:noProof/>
          <w:szCs w:val="28"/>
          <w:lang w:val="ru-RU" w:eastAsia="ru-RU"/>
        </w:rPr>
        <mc:AlternateContent>
          <mc:Choice Requires="wps">
            <w:drawing>
              <wp:anchor distT="0" distB="0" distL="114300" distR="114300" simplePos="0" relativeHeight="251999232" behindDoc="0" locked="0" layoutInCell="1" allowOverlap="1" wp14:anchorId="102F4378" wp14:editId="003C0BB1">
                <wp:simplePos x="0" y="0"/>
                <wp:positionH relativeFrom="column">
                  <wp:posOffset>250190</wp:posOffset>
                </wp:positionH>
                <wp:positionV relativeFrom="paragraph">
                  <wp:posOffset>42545</wp:posOffset>
                </wp:positionV>
                <wp:extent cx="1259205" cy="365760"/>
                <wp:effectExtent l="0" t="0" r="55245" b="53340"/>
                <wp:wrapNone/>
                <wp:docPr id="1235" name="Прямоугольник 12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9205" cy="365760"/>
                        </a:xfrm>
                        <a:prstGeom prst="rect">
                          <a:avLst/>
                        </a:prstGeom>
                        <a:gradFill rotWithShape="1">
                          <a:gsLst>
                            <a:gs pos="0">
                              <a:srgbClr val="C0C0C0"/>
                            </a:gs>
                            <a:gs pos="50000">
                              <a:srgbClr val="FBFBFB"/>
                            </a:gs>
                            <a:gs pos="100000">
                              <a:srgbClr val="C0C0C0"/>
                            </a:gs>
                          </a:gsLst>
                          <a:lin ang="5400000" scaled="1"/>
                        </a:gradFill>
                        <a:ln w="25400">
                          <a:solidFill>
                            <a:srgbClr val="000000"/>
                          </a:solidFill>
                          <a:miter lim="800000"/>
                          <a:headEnd/>
                          <a:tailEnd/>
                        </a:ln>
                        <a:effectLst>
                          <a:outerShdw dist="53882" dir="2700000" algn="ctr" rotWithShape="0">
                            <a:srgbClr val="808080"/>
                          </a:outerShdw>
                        </a:effectLst>
                      </wps:spPr>
                      <wps:txbx>
                        <w:txbxContent>
                          <w:p w:rsidR="001E1DF5" w:rsidRPr="00794917" w:rsidRDefault="001E1DF5" w:rsidP="0014646B">
                            <w:pPr>
                              <w:spacing w:line="240" w:lineRule="exact"/>
                              <w:jc w:val="center"/>
                              <w:rPr>
                                <w:b/>
                                <w:sz w:val="24"/>
                                <w:szCs w:val="24"/>
                              </w:rPr>
                            </w:pPr>
                            <w:r w:rsidRPr="00794917">
                              <w:rPr>
                                <w:b/>
                                <w:sz w:val="24"/>
                                <w:szCs w:val="24"/>
                              </w:rPr>
                              <w:t>І Організаційна</w:t>
                            </w:r>
                          </w:p>
                          <w:p w:rsidR="001E1DF5" w:rsidRPr="00794917" w:rsidRDefault="001E1DF5" w:rsidP="0014646B">
                            <w:pPr>
                              <w:spacing w:line="240" w:lineRule="exact"/>
                              <w:jc w:val="center"/>
                              <w:rPr>
                                <w:b/>
                                <w:sz w:val="24"/>
                                <w:szCs w:val="24"/>
                              </w:rPr>
                            </w:pPr>
                            <w:r w:rsidRPr="00794917">
                              <w:rPr>
                                <w:b/>
                                <w:sz w:val="24"/>
                                <w:szCs w:val="24"/>
                              </w:rPr>
                              <w:t>структура</w:t>
                            </w:r>
                          </w:p>
                        </w:txbxContent>
                      </wps:txbx>
                      <wps:bodyPr rot="0" vert="horz" wrap="square" lIns="36000" tIns="0" rIns="36000" bIns="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235" o:spid="_x0000_s1150" style="position:absolute;margin-left:19.7pt;margin-top:3.35pt;width:99.15pt;height:28.8pt;z-index:251999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" fillcolor="silver" strokeweight="2pt">
                <v:fill color2="#fbfbfb" rotate="t" focus="50%" type="gradient"/>
                <v:shadow on="t" offset="3pt,3pt"/>
                <v:textbox inset="1mm,0,1mm,0">
                  <w:txbxContent>
                    <w:p w:rsidR="0057431A" w:rsidRPr="00794917" w:rsidRDefault="0057431A" w:rsidP="0014646B">
                      <w:pPr>
                        <w:spacing w:line="240" w:lineRule="exact"/>
                        <w:jc w:val="center"/>
                        <w:rPr>
                          <w:b/>
                          <w:sz w:val="24"/>
                          <w:szCs w:val="24"/>
                        </w:rPr>
                      </w:pPr>
                      <w:r w:rsidRPr="00794917">
                        <w:rPr>
                          <w:b/>
                          <w:sz w:val="24"/>
                          <w:szCs w:val="24"/>
                        </w:rPr>
                        <w:t>І Організаційна</w:t>
                      </w:r>
                    </w:p>
                    <w:p w:rsidR="0057431A" w:rsidRPr="00794917" w:rsidRDefault="0057431A" w:rsidP="0014646B">
                      <w:pPr>
                        <w:spacing w:line="240" w:lineRule="exact"/>
                        <w:jc w:val="center"/>
                        <w:rPr>
                          <w:b/>
                          <w:sz w:val="24"/>
                          <w:szCs w:val="24"/>
                        </w:rPr>
                      </w:pPr>
                      <w:r w:rsidRPr="00794917">
                        <w:rPr>
                          <w:b/>
                          <w:sz w:val="24"/>
                          <w:szCs w:val="24"/>
                        </w:rPr>
                        <w:t>структура</w:t>
                      </w:r>
                    </w:p>
                  </w:txbxContent>
                </v:textbox>
              </v:rect>
            </w:pict>
          </mc:Fallback>
        </mc:AlternateContent>
      </w:r>
      <w:r w:rsidRPr="0014646B">
        <w:rPr>
          <w:rFonts w:eastAsia="Times New Roman"/>
          <w:noProof/>
          <w:szCs w:val="28"/>
          <w:lang w:val="ru-RU" w:eastAsia="ru-RU"/>
        </w:rPr>
        <mc:AlternateContent>
          <mc:Choice Requires="wps">
            <w:drawing>
              <wp:anchor distT="0" distB="0" distL="114300" distR="114300" simplePos="0" relativeHeight="251998208" behindDoc="0" locked="0" layoutInCell="1" allowOverlap="1" wp14:anchorId="1A994884" wp14:editId="057FA0D0">
                <wp:simplePos x="0" y="0"/>
                <wp:positionH relativeFrom="column">
                  <wp:posOffset>1573530</wp:posOffset>
                </wp:positionH>
                <wp:positionV relativeFrom="paragraph">
                  <wp:posOffset>50800</wp:posOffset>
                </wp:positionV>
                <wp:extent cx="4897755" cy="365760"/>
                <wp:effectExtent l="0" t="0" r="17145" b="15240"/>
                <wp:wrapNone/>
                <wp:docPr id="1110" name="Скругленный прямоугольник 11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97755" cy="365760"/>
                        </a:xfrm>
                        <a:prstGeom prst="roundRect">
                          <a:avLst>
                            <a:gd name="adj" fmla="val 16667"/>
                          </a:avLst>
                        </a:prstGeom>
                        <a:solidFill>
                          <a:srgbClr val="FFFFFF"/>
                        </a:solidFill>
                        <a:ln w="12700">
                          <a:solidFill>
                            <a:srgbClr val="000000"/>
                          </a:solidFill>
                          <a:round/>
                          <a:headEnd/>
                          <a:tailEnd/>
                        </a:ln>
                      </wps:spPr>
                      <wps:txbx>
                        <w:txbxContent>
                          <w:p w:rsidR="001E1DF5" w:rsidRPr="00A94E3F" w:rsidRDefault="001E1DF5" w:rsidP="00A94E3F">
                            <w:pPr>
                              <w:spacing w:line="220" w:lineRule="exact"/>
                              <w:jc w:val="center"/>
                              <w:rPr>
                                <w:b/>
                                <w:sz w:val="24"/>
                                <w:szCs w:val="24"/>
                              </w:rPr>
                            </w:pPr>
                            <w:r w:rsidRPr="00A94E3F">
                              <w:rPr>
                                <w:b/>
                                <w:sz w:val="24"/>
                                <w:szCs w:val="24"/>
                              </w:rPr>
                              <w:t xml:space="preserve">Суб’єкт: державний рівень, </w:t>
                            </w:r>
                            <w:r w:rsidRPr="00A94E3F">
                              <w:rPr>
                                <w:sz w:val="24"/>
                                <w:szCs w:val="24"/>
                              </w:rPr>
                              <w:t>МОЗ – координація з іншим</w:t>
                            </w:r>
                            <w:r>
                              <w:rPr>
                                <w:sz w:val="24"/>
                                <w:szCs w:val="24"/>
                              </w:rPr>
                              <w:t>и Міністерствами та відомствами,</w:t>
                            </w:r>
                            <w:r w:rsidRPr="00A94E3F">
                              <w:rPr>
                                <w:b/>
                                <w:sz w:val="24"/>
                                <w:szCs w:val="24"/>
                              </w:rPr>
                              <w:t xml:space="preserve"> </w:t>
                            </w:r>
                            <w:r w:rsidRPr="00A94E3F">
                              <w:rPr>
                                <w:sz w:val="24"/>
                                <w:szCs w:val="24"/>
                              </w:rPr>
                              <w:t>НСЗУ – розробка та фінансування ПМГ</w:t>
                            </w:r>
                          </w:p>
                          <w:p w:rsidR="001E1DF5" w:rsidRPr="0004018C" w:rsidRDefault="001E1DF5" w:rsidP="0014646B">
                            <w:pPr>
                              <w:spacing w:line="216" w:lineRule="auto"/>
                              <w:jc w:val="center"/>
                              <w:rPr>
                                <w:sz w:val="22"/>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1110" o:spid="_x0000_s1151" style="position:absolute;margin-left:123.9pt;margin-top:4pt;width:385.65pt;height:28.8pt;z-index:251998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" strokeweight="1pt">
                <v:textbox inset="0,0,0,0">
                  <w:txbxContent>
                    <w:p w:rsidR="0057431A" w:rsidRPr="00A94E3F" w:rsidRDefault="0057431A" w:rsidP="00A94E3F">
                      <w:pPr>
                        <w:spacing w:line="220" w:lineRule="exact"/>
                        <w:jc w:val="center"/>
                        <w:rPr>
                          <w:b/>
                          <w:sz w:val="24"/>
                          <w:szCs w:val="24"/>
                        </w:rPr>
                      </w:pPr>
                      <w:r w:rsidRPr="00A94E3F">
                        <w:rPr>
                          <w:b/>
                          <w:sz w:val="24"/>
                          <w:szCs w:val="24"/>
                        </w:rPr>
                        <w:t xml:space="preserve">Суб’єкт: державний рівень, </w:t>
                      </w:r>
                      <w:r w:rsidRPr="00A94E3F">
                        <w:rPr>
                          <w:sz w:val="24"/>
                          <w:szCs w:val="24"/>
                        </w:rPr>
                        <w:t>МОЗ – координація з іншим</w:t>
                      </w:r>
                      <w:r>
                        <w:rPr>
                          <w:sz w:val="24"/>
                          <w:szCs w:val="24"/>
                        </w:rPr>
                        <w:t>и Міністерствами та відомствами,</w:t>
                      </w:r>
                      <w:r w:rsidRPr="00A94E3F">
                        <w:rPr>
                          <w:b/>
                          <w:sz w:val="24"/>
                          <w:szCs w:val="24"/>
                        </w:rPr>
                        <w:t xml:space="preserve"> </w:t>
                      </w:r>
                      <w:r w:rsidRPr="00A94E3F">
                        <w:rPr>
                          <w:sz w:val="24"/>
                          <w:szCs w:val="24"/>
                        </w:rPr>
                        <w:t>НСЗУ – розробка та фінансування ПМГ</w:t>
                      </w:r>
                    </w:p>
                    <w:p w:rsidR="0057431A" w:rsidRPr="0004018C" w:rsidRDefault="0057431A" w:rsidP="0014646B">
                      <w:pPr>
                        <w:spacing w:line="216" w:lineRule="auto"/>
                        <w:jc w:val="center"/>
                        <w:rPr>
                          <w:sz w:val="22"/>
                        </w:rPr>
                      </w:pPr>
                    </w:p>
                  </w:txbxContent>
                </v:textbox>
              </v:roundrect>
            </w:pict>
          </mc:Fallback>
        </mc:AlternateContent>
      </w:r>
      <w:r w:rsidR="00E70575" w:rsidRPr="0014646B">
        <w:rPr>
          <w:rFonts w:eastAsia="Times New Roman"/>
          <w:noProof/>
          <w:szCs w:val="28"/>
          <w:lang w:val="ru-RU" w:eastAsia="ru-RU"/>
        </w:rPr>
        <mc:AlternateContent>
          <mc:Choice Requires="wps">
            <w:drawing>
              <wp:anchor distT="0" distB="0" distL="114300" distR="114300" simplePos="0" relativeHeight="251996160" behindDoc="0" locked="0" layoutInCell="1" allowOverlap="1" wp14:anchorId="0C48F788" wp14:editId="664CC944">
                <wp:simplePos x="0" y="0"/>
                <wp:positionH relativeFrom="column">
                  <wp:posOffset>-203723</wp:posOffset>
                </wp:positionH>
                <wp:positionV relativeFrom="paragraph">
                  <wp:posOffset>47027</wp:posOffset>
                </wp:positionV>
                <wp:extent cx="381000" cy="8315400"/>
                <wp:effectExtent l="0" t="0" r="57150" b="66675"/>
                <wp:wrapNone/>
                <wp:docPr id="1109" name="Прямоугольник 110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81000" cy="8315400"/>
                        </a:xfrm>
                        <a:prstGeom prst="rect">
                          <a:avLst/>
                        </a:prstGeom>
                        <a:gradFill rotWithShape="1">
                          <a:gsLst>
                            <a:gs pos="0">
                              <a:srgbClr val="C0C0C0"/>
                            </a:gs>
                            <a:gs pos="50000">
                              <a:srgbClr val="FBFBFB"/>
                            </a:gs>
                            <a:gs pos="100000">
                              <a:srgbClr val="C0C0C0"/>
                            </a:gs>
                          </a:gsLst>
                          <a:lin ang="5400000" scaled="1"/>
                        </a:gradFill>
                        <a:ln w="25400">
                          <a:solidFill>
                            <a:srgbClr val="000000"/>
                          </a:solidFill>
                          <a:miter lim="800000"/>
                          <a:headEnd/>
                          <a:tailEnd/>
                        </a:ln>
                        <a:effectLst>
                          <a:outerShdw dist="53882" dir="2700000" algn="ctr" rotWithShape="0">
                            <a:srgbClr val="808080"/>
                          </a:outerShdw>
                        </a:effectLst>
                      </wps:spPr>
                      <wps:txbx>
                        <w:txbxContent>
                          <w:p w:rsidR="001E1DF5" w:rsidRDefault="001E1DF5" w:rsidP="0014646B">
                            <w:pPr>
                              <w:spacing w:before="120"/>
                              <w:jc w:val="center"/>
                              <w:rPr>
                                <w:b/>
                                <w:szCs w:val="28"/>
                              </w:rPr>
                            </w:pPr>
                          </w:p>
                          <w:p w:rsidR="001E1DF5" w:rsidRDefault="001E1DF5" w:rsidP="0014646B">
                            <w:pPr>
                              <w:spacing w:before="120"/>
                              <w:jc w:val="center"/>
                              <w:rPr>
                                <w:b/>
                                <w:szCs w:val="28"/>
                              </w:rPr>
                            </w:pPr>
                          </w:p>
                          <w:p w:rsidR="001E1DF5" w:rsidRDefault="001E1DF5" w:rsidP="0014646B">
                            <w:pPr>
                              <w:spacing w:before="120"/>
                              <w:jc w:val="center"/>
                              <w:rPr>
                                <w:b/>
                                <w:szCs w:val="28"/>
                              </w:rPr>
                            </w:pPr>
                          </w:p>
                          <w:p w:rsidR="001E1DF5" w:rsidRPr="006A2E50" w:rsidRDefault="001E1DF5" w:rsidP="0014646B">
                            <w:pPr>
                              <w:spacing w:before="120"/>
                              <w:rPr>
                                <w:b/>
                                <w:szCs w:val="28"/>
                              </w:rPr>
                            </w:pPr>
                          </w:p>
                          <w:p w:rsidR="001E1DF5" w:rsidRPr="00737D09" w:rsidRDefault="001E1DF5" w:rsidP="0014646B">
                            <w:pPr>
                              <w:spacing w:before="120"/>
                              <w:jc w:val="center"/>
                              <w:rPr>
                                <w:b/>
                                <w:sz w:val="32"/>
                                <w:szCs w:val="32"/>
                              </w:rPr>
                            </w:pPr>
                            <w:r w:rsidRPr="00737D09">
                              <w:rPr>
                                <w:b/>
                                <w:sz w:val="32"/>
                                <w:szCs w:val="32"/>
                              </w:rPr>
                              <w:t>С</w:t>
                            </w:r>
                          </w:p>
                          <w:p w:rsidR="001E1DF5" w:rsidRPr="00737D09" w:rsidRDefault="001E1DF5" w:rsidP="0014646B">
                            <w:pPr>
                              <w:spacing w:before="120"/>
                              <w:jc w:val="center"/>
                              <w:rPr>
                                <w:b/>
                                <w:sz w:val="32"/>
                                <w:szCs w:val="32"/>
                              </w:rPr>
                            </w:pPr>
                          </w:p>
                          <w:p w:rsidR="001E1DF5" w:rsidRPr="00737D09" w:rsidRDefault="001E1DF5" w:rsidP="0014646B">
                            <w:pPr>
                              <w:spacing w:before="120"/>
                              <w:jc w:val="center"/>
                              <w:rPr>
                                <w:b/>
                                <w:sz w:val="32"/>
                                <w:szCs w:val="32"/>
                              </w:rPr>
                            </w:pPr>
                            <w:r w:rsidRPr="00737D09">
                              <w:rPr>
                                <w:b/>
                                <w:sz w:val="32"/>
                                <w:szCs w:val="32"/>
                              </w:rPr>
                              <w:t>Т</w:t>
                            </w:r>
                          </w:p>
                          <w:p w:rsidR="001E1DF5" w:rsidRPr="00737D09" w:rsidRDefault="001E1DF5" w:rsidP="0014646B">
                            <w:pPr>
                              <w:spacing w:before="120"/>
                              <w:jc w:val="center"/>
                              <w:rPr>
                                <w:b/>
                                <w:sz w:val="32"/>
                                <w:szCs w:val="32"/>
                              </w:rPr>
                            </w:pPr>
                          </w:p>
                          <w:p w:rsidR="001E1DF5" w:rsidRDefault="001E1DF5" w:rsidP="0014646B">
                            <w:pPr>
                              <w:spacing w:before="120"/>
                              <w:jc w:val="center"/>
                              <w:rPr>
                                <w:b/>
                                <w:sz w:val="32"/>
                                <w:szCs w:val="32"/>
                              </w:rPr>
                            </w:pPr>
                            <w:r w:rsidRPr="00737D09">
                              <w:rPr>
                                <w:b/>
                                <w:sz w:val="32"/>
                                <w:szCs w:val="32"/>
                              </w:rPr>
                              <w:t>Р</w:t>
                            </w:r>
                          </w:p>
                          <w:p w:rsidR="001E1DF5" w:rsidRDefault="001E1DF5" w:rsidP="0014646B">
                            <w:pPr>
                              <w:spacing w:before="120"/>
                              <w:jc w:val="center"/>
                              <w:rPr>
                                <w:b/>
                                <w:sz w:val="32"/>
                                <w:szCs w:val="32"/>
                              </w:rPr>
                            </w:pPr>
                          </w:p>
                          <w:p w:rsidR="001E1DF5" w:rsidRPr="00737D09" w:rsidRDefault="001E1DF5" w:rsidP="0014646B">
                            <w:pPr>
                              <w:spacing w:before="120"/>
                              <w:jc w:val="center"/>
                              <w:rPr>
                                <w:b/>
                                <w:sz w:val="32"/>
                                <w:szCs w:val="32"/>
                              </w:rPr>
                            </w:pPr>
                            <w:r>
                              <w:rPr>
                                <w:b/>
                                <w:sz w:val="32"/>
                                <w:szCs w:val="32"/>
                              </w:rPr>
                              <w:t>У</w:t>
                            </w:r>
                          </w:p>
                          <w:p w:rsidR="001E1DF5" w:rsidRPr="00737D09" w:rsidRDefault="001E1DF5" w:rsidP="0014646B">
                            <w:pPr>
                              <w:spacing w:before="120"/>
                              <w:jc w:val="center"/>
                              <w:rPr>
                                <w:b/>
                                <w:sz w:val="32"/>
                                <w:szCs w:val="32"/>
                              </w:rPr>
                            </w:pPr>
                          </w:p>
                          <w:p w:rsidR="001E1DF5" w:rsidRPr="00737D09" w:rsidRDefault="001E1DF5" w:rsidP="0014646B">
                            <w:pPr>
                              <w:spacing w:before="120"/>
                              <w:jc w:val="center"/>
                              <w:rPr>
                                <w:b/>
                                <w:sz w:val="32"/>
                                <w:szCs w:val="32"/>
                              </w:rPr>
                            </w:pPr>
                            <w:r w:rsidRPr="00737D09">
                              <w:rPr>
                                <w:b/>
                                <w:sz w:val="32"/>
                                <w:szCs w:val="32"/>
                              </w:rPr>
                              <w:t>К</w:t>
                            </w:r>
                          </w:p>
                          <w:p w:rsidR="001E1DF5" w:rsidRPr="00737D09" w:rsidRDefault="001E1DF5" w:rsidP="0014646B">
                            <w:pPr>
                              <w:spacing w:before="120"/>
                              <w:jc w:val="center"/>
                              <w:rPr>
                                <w:b/>
                                <w:sz w:val="32"/>
                                <w:szCs w:val="32"/>
                              </w:rPr>
                            </w:pPr>
                          </w:p>
                          <w:p w:rsidR="001E1DF5" w:rsidRPr="00737D09" w:rsidRDefault="001E1DF5" w:rsidP="0014646B">
                            <w:pPr>
                              <w:spacing w:before="120"/>
                              <w:jc w:val="center"/>
                              <w:rPr>
                                <w:b/>
                                <w:sz w:val="32"/>
                                <w:szCs w:val="32"/>
                              </w:rPr>
                            </w:pPr>
                            <w:r w:rsidRPr="00737D09">
                              <w:rPr>
                                <w:b/>
                                <w:sz w:val="32"/>
                                <w:szCs w:val="32"/>
                              </w:rPr>
                              <w:t>Т</w:t>
                            </w:r>
                          </w:p>
                          <w:p w:rsidR="001E1DF5" w:rsidRPr="00737D09" w:rsidRDefault="001E1DF5" w:rsidP="0014646B">
                            <w:pPr>
                              <w:spacing w:before="120"/>
                              <w:jc w:val="center"/>
                              <w:rPr>
                                <w:b/>
                                <w:sz w:val="32"/>
                                <w:szCs w:val="32"/>
                              </w:rPr>
                            </w:pPr>
                          </w:p>
                          <w:p w:rsidR="001E1DF5" w:rsidRPr="00737D09" w:rsidRDefault="001E1DF5" w:rsidP="0014646B">
                            <w:pPr>
                              <w:spacing w:before="120"/>
                              <w:jc w:val="center"/>
                              <w:rPr>
                                <w:b/>
                                <w:sz w:val="32"/>
                                <w:szCs w:val="32"/>
                              </w:rPr>
                            </w:pPr>
                            <w:r w:rsidRPr="00737D09">
                              <w:rPr>
                                <w:b/>
                                <w:sz w:val="32"/>
                                <w:szCs w:val="32"/>
                              </w:rPr>
                              <w:t>У</w:t>
                            </w:r>
                          </w:p>
                          <w:p w:rsidR="001E1DF5" w:rsidRPr="00737D09" w:rsidRDefault="001E1DF5" w:rsidP="0014646B">
                            <w:pPr>
                              <w:spacing w:before="120"/>
                              <w:jc w:val="center"/>
                              <w:rPr>
                                <w:b/>
                                <w:sz w:val="32"/>
                                <w:szCs w:val="32"/>
                              </w:rPr>
                            </w:pPr>
                          </w:p>
                          <w:p w:rsidR="001E1DF5" w:rsidRPr="00737D09" w:rsidRDefault="001E1DF5" w:rsidP="0014646B">
                            <w:pPr>
                              <w:spacing w:before="120"/>
                              <w:jc w:val="center"/>
                              <w:rPr>
                                <w:b/>
                                <w:sz w:val="32"/>
                                <w:szCs w:val="32"/>
                              </w:rPr>
                            </w:pPr>
                            <w:r w:rsidRPr="00737D09">
                              <w:rPr>
                                <w:b/>
                                <w:sz w:val="32"/>
                                <w:szCs w:val="32"/>
                              </w:rPr>
                              <w:t>Р</w:t>
                            </w:r>
                          </w:p>
                          <w:p w:rsidR="001E1DF5" w:rsidRPr="00737D09" w:rsidRDefault="001E1DF5" w:rsidP="0014646B">
                            <w:pPr>
                              <w:spacing w:before="120"/>
                              <w:jc w:val="center"/>
                              <w:rPr>
                                <w:b/>
                                <w:sz w:val="32"/>
                                <w:szCs w:val="32"/>
                              </w:rPr>
                            </w:pPr>
                          </w:p>
                          <w:p w:rsidR="001E1DF5" w:rsidRPr="00737D09" w:rsidRDefault="001E1DF5" w:rsidP="0014646B">
                            <w:pPr>
                              <w:spacing w:before="120"/>
                              <w:jc w:val="center"/>
                              <w:rPr>
                                <w:b/>
                                <w:sz w:val="32"/>
                                <w:szCs w:val="32"/>
                              </w:rPr>
                            </w:pPr>
                            <w:r w:rsidRPr="00737D09">
                              <w:rPr>
                                <w:b/>
                                <w:sz w:val="32"/>
                                <w:szCs w:val="32"/>
                              </w:rPr>
                              <w:t>А</w:t>
                            </w:r>
                          </w:p>
                        </w:txbxContent>
                      </wps:txbx>
                      <wps:bodyPr rot="0" vert="horz" wrap="square" lIns="72000" tIns="0" rIns="72000" bIns="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109" o:spid="_x0000_s1152" style="position:absolute;margin-left:-16.05pt;margin-top:3.7pt;width:30pt;height:654.75pt;z-index:251996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" fillcolor="silver" strokeweight="2pt">
                <v:fill color2="#fbfbfb" rotate="t" focus="50%" type="gradient"/>
                <v:shadow on="t" offset="3pt,3pt"/>
                <v:textbox inset="2mm,0,2mm,0">
                  <w:txbxContent>
                    <w:p w:rsidR="0057431A" w:rsidRDefault="0057431A" w:rsidP="0014646B">
                      <w:pPr>
                        <w:spacing w:before="120"/>
                        <w:jc w:val="center"/>
                        <w:rPr>
                          <w:b/>
                          <w:szCs w:val="28"/>
                        </w:rPr>
                      </w:pPr>
                    </w:p>
                    <w:p w:rsidR="0057431A" w:rsidRDefault="0057431A" w:rsidP="0014646B">
                      <w:pPr>
                        <w:spacing w:before="120"/>
                        <w:jc w:val="center"/>
                        <w:rPr>
                          <w:b/>
                          <w:szCs w:val="28"/>
                        </w:rPr>
                      </w:pPr>
                    </w:p>
                    <w:p w:rsidR="0057431A" w:rsidRDefault="0057431A" w:rsidP="0014646B">
                      <w:pPr>
                        <w:spacing w:before="120"/>
                        <w:jc w:val="center"/>
                        <w:rPr>
                          <w:b/>
                          <w:szCs w:val="28"/>
                        </w:rPr>
                      </w:pPr>
                    </w:p>
                    <w:p w:rsidR="0057431A" w:rsidRPr="006A2E50" w:rsidRDefault="0057431A" w:rsidP="0014646B">
                      <w:pPr>
                        <w:spacing w:before="120"/>
                        <w:rPr>
                          <w:b/>
                          <w:szCs w:val="28"/>
                        </w:rPr>
                      </w:pPr>
                    </w:p>
                    <w:p w:rsidR="0057431A" w:rsidRPr="00737D09" w:rsidRDefault="0057431A" w:rsidP="0014646B">
                      <w:pPr>
                        <w:spacing w:before="120"/>
                        <w:jc w:val="center"/>
                        <w:rPr>
                          <w:b/>
                          <w:sz w:val="32"/>
                          <w:szCs w:val="32"/>
                        </w:rPr>
                      </w:pPr>
                      <w:r w:rsidRPr="00737D09">
                        <w:rPr>
                          <w:b/>
                          <w:sz w:val="32"/>
                          <w:szCs w:val="32"/>
                        </w:rPr>
                        <w:t>С</w:t>
                      </w:r>
                    </w:p>
                    <w:p w:rsidR="0057431A" w:rsidRPr="00737D09" w:rsidRDefault="0057431A" w:rsidP="0014646B">
                      <w:pPr>
                        <w:spacing w:before="120"/>
                        <w:jc w:val="center"/>
                        <w:rPr>
                          <w:b/>
                          <w:sz w:val="32"/>
                          <w:szCs w:val="32"/>
                        </w:rPr>
                      </w:pPr>
                    </w:p>
                    <w:p w:rsidR="0057431A" w:rsidRPr="00737D09" w:rsidRDefault="0057431A" w:rsidP="0014646B">
                      <w:pPr>
                        <w:spacing w:before="120"/>
                        <w:jc w:val="center"/>
                        <w:rPr>
                          <w:b/>
                          <w:sz w:val="32"/>
                          <w:szCs w:val="32"/>
                        </w:rPr>
                      </w:pPr>
                      <w:r w:rsidRPr="00737D09">
                        <w:rPr>
                          <w:b/>
                          <w:sz w:val="32"/>
                          <w:szCs w:val="32"/>
                        </w:rPr>
                        <w:t>Т</w:t>
                      </w:r>
                    </w:p>
                    <w:p w:rsidR="0057431A" w:rsidRPr="00737D09" w:rsidRDefault="0057431A" w:rsidP="0014646B">
                      <w:pPr>
                        <w:spacing w:before="120"/>
                        <w:jc w:val="center"/>
                        <w:rPr>
                          <w:b/>
                          <w:sz w:val="32"/>
                          <w:szCs w:val="32"/>
                        </w:rPr>
                      </w:pPr>
                    </w:p>
                    <w:p w:rsidR="0057431A" w:rsidRDefault="0057431A" w:rsidP="0014646B">
                      <w:pPr>
                        <w:spacing w:before="120"/>
                        <w:jc w:val="center"/>
                        <w:rPr>
                          <w:b/>
                          <w:sz w:val="32"/>
                          <w:szCs w:val="32"/>
                        </w:rPr>
                      </w:pPr>
                      <w:r w:rsidRPr="00737D09">
                        <w:rPr>
                          <w:b/>
                          <w:sz w:val="32"/>
                          <w:szCs w:val="32"/>
                        </w:rPr>
                        <w:t>Р</w:t>
                      </w:r>
                    </w:p>
                    <w:p w:rsidR="0057431A" w:rsidRDefault="0057431A" w:rsidP="0014646B">
                      <w:pPr>
                        <w:spacing w:before="120"/>
                        <w:jc w:val="center"/>
                        <w:rPr>
                          <w:b/>
                          <w:sz w:val="32"/>
                          <w:szCs w:val="32"/>
                        </w:rPr>
                      </w:pPr>
                    </w:p>
                    <w:p w:rsidR="0057431A" w:rsidRPr="00737D09" w:rsidRDefault="0057431A" w:rsidP="0014646B">
                      <w:pPr>
                        <w:spacing w:before="120"/>
                        <w:jc w:val="center"/>
                        <w:rPr>
                          <w:b/>
                          <w:sz w:val="32"/>
                          <w:szCs w:val="32"/>
                        </w:rPr>
                      </w:pPr>
                      <w:r>
                        <w:rPr>
                          <w:b/>
                          <w:sz w:val="32"/>
                          <w:szCs w:val="32"/>
                        </w:rPr>
                        <w:t>У</w:t>
                      </w:r>
                    </w:p>
                    <w:p w:rsidR="0057431A" w:rsidRPr="00737D09" w:rsidRDefault="0057431A" w:rsidP="0014646B">
                      <w:pPr>
                        <w:spacing w:before="120"/>
                        <w:jc w:val="center"/>
                        <w:rPr>
                          <w:b/>
                          <w:sz w:val="32"/>
                          <w:szCs w:val="32"/>
                        </w:rPr>
                      </w:pPr>
                    </w:p>
                    <w:p w:rsidR="0057431A" w:rsidRPr="00737D09" w:rsidRDefault="0057431A" w:rsidP="0014646B">
                      <w:pPr>
                        <w:spacing w:before="120"/>
                        <w:jc w:val="center"/>
                        <w:rPr>
                          <w:b/>
                          <w:sz w:val="32"/>
                          <w:szCs w:val="32"/>
                        </w:rPr>
                      </w:pPr>
                      <w:r w:rsidRPr="00737D09">
                        <w:rPr>
                          <w:b/>
                          <w:sz w:val="32"/>
                          <w:szCs w:val="32"/>
                        </w:rPr>
                        <w:t>К</w:t>
                      </w:r>
                    </w:p>
                    <w:p w:rsidR="0057431A" w:rsidRPr="00737D09" w:rsidRDefault="0057431A" w:rsidP="0014646B">
                      <w:pPr>
                        <w:spacing w:before="120"/>
                        <w:jc w:val="center"/>
                        <w:rPr>
                          <w:b/>
                          <w:sz w:val="32"/>
                          <w:szCs w:val="32"/>
                        </w:rPr>
                      </w:pPr>
                    </w:p>
                    <w:p w:rsidR="0057431A" w:rsidRPr="00737D09" w:rsidRDefault="0057431A" w:rsidP="0014646B">
                      <w:pPr>
                        <w:spacing w:before="120"/>
                        <w:jc w:val="center"/>
                        <w:rPr>
                          <w:b/>
                          <w:sz w:val="32"/>
                          <w:szCs w:val="32"/>
                        </w:rPr>
                      </w:pPr>
                      <w:r w:rsidRPr="00737D09">
                        <w:rPr>
                          <w:b/>
                          <w:sz w:val="32"/>
                          <w:szCs w:val="32"/>
                        </w:rPr>
                        <w:t>Т</w:t>
                      </w:r>
                    </w:p>
                    <w:p w:rsidR="0057431A" w:rsidRPr="00737D09" w:rsidRDefault="0057431A" w:rsidP="0014646B">
                      <w:pPr>
                        <w:spacing w:before="120"/>
                        <w:jc w:val="center"/>
                        <w:rPr>
                          <w:b/>
                          <w:sz w:val="32"/>
                          <w:szCs w:val="32"/>
                        </w:rPr>
                      </w:pPr>
                    </w:p>
                    <w:p w:rsidR="0057431A" w:rsidRPr="00737D09" w:rsidRDefault="0057431A" w:rsidP="0014646B">
                      <w:pPr>
                        <w:spacing w:before="120"/>
                        <w:jc w:val="center"/>
                        <w:rPr>
                          <w:b/>
                          <w:sz w:val="32"/>
                          <w:szCs w:val="32"/>
                        </w:rPr>
                      </w:pPr>
                      <w:r w:rsidRPr="00737D09">
                        <w:rPr>
                          <w:b/>
                          <w:sz w:val="32"/>
                          <w:szCs w:val="32"/>
                        </w:rPr>
                        <w:t>У</w:t>
                      </w:r>
                    </w:p>
                    <w:p w:rsidR="0057431A" w:rsidRPr="00737D09" w:rsidRDefault="0057431A" w:rsidP="0014646B">
                      <w:pPr>
                        <w:spacing w:before="120"/>
                        <w:jc w:val="center"/>
                        <w:rPr>
                          <w:b/>
                          <w:sz w:val="32"/>
                          <w:szCs w:val="32"/>
                        </w:rPr>
                      </w:pPr>
                    </w:p>
                    <w:p w:rsidR="0057431A" w:rsidRPr="00737D09" w:rsidRDefault="0057431A" w:rsidP="0014646B">
                      <w:pPr>
                        <w:spacing w:before="120"/>
                        <w:jc w:val="center"/>
                        <w:rPr>
                          <w:b/>
                          <w:sz w:val="32"/>
                          <w:szCs w:val="32"/>
                        </w:rPr>
                      </w:pPr>
                      <w:r w:rsidRPr="00737D09">
                        <w:rPr>
                          <w:b/>
                          <w:sz w:val="32"/>
                          <w:szCs w:val="32"/>
                        </w:rPr>
                        <w:t>Р</w:t>
                      </w:r>
                    </w:p>
                    <w:p w:rsidR="0057431A" w:rsidRPr="00737D09" w:rsidRDefault="0057431A" w:rsidP="0014646B">
                      <w:pPr>
                        <w:spacing w:before="120"/>
                        <w:jc w:val="center"/>
                        <w:rPr>
                          <w:b/>
                          <w:sz w:val="32"/>
                          <w:szCs w:val="32"/>
                        </w:rPr>
                      </w:pPr>
                    </w:p>
                    <w:p w:rsidR="0057431A" w:rsidRPr="00737D09" w:rsidRDefault="0057431A" w:rsidP="0014646B">
                      <w:pPr>
                        <w:spacing w:before="120"/>
                        <w:jc w:val="center"/>
                        <w:rPr>
                          <w:b/>
                          <w:sz w:val="32"/>
                          <w:szCs w:val="32"/>
                        </w:rPr>
                      </w:pPr>
                      <w:r w:rsidRPr="00737D09">
                        <w:rPr>
                          <w:b/>
                          <w:sz w:val="32"/>
                          <w:szCs w:val="32"/>
                        </w:rPr>
                        <w:t>А</w:t>
                      </w:r>
                    </w:p>
                  </w:txbxContent>
                </v:textbox>
              </v:rect>
            </w:pict>
          </mc:Fallback>
        </mc:AlternateContent>
      </w:r>
    </w:p>
    <w:p w:rsidR="0014646B" w:rsidRPr="0014646B" w:rsidRDefault="0014646B" w:rsidP="0014646B">
      <w:pPr>
        <w:spacing w:line="240" w:lineRule="auto"/>
        <w:jc w:val="left"/>
        <w:rPr>
          <w:rFonts w:eastAsia="Times New Roman"/>
          <w:sz w:val="24"/>
          <w:szCs w:val="24"/>
          <w:lang w:eastAsia="uk-UA"/>
        </w:rPr>
      </w:pPr>
    </w:p>
    <w:p w:rsidR="0014646B" w:rsidRPr="0014646B" w:rsidRDefault="00BE21FB" w:rsidP="0014646B">
      <w:pPr>
        <w:spacing w:line="240" w:lineRule="auto"/>
        <w:jc w:val="left"/>
        <w:rPr>
          <w:rFonts w:eastAsia="Times New Roman"/>
          <w:sz w:val="24"/>
          <w:szCs w:val="24"/>
          <w:lang w:eastAsia="uk-UA"/>
        </w:rPr>
      </w:pPr>
      <w:r w:rsidRPr="0014646B">
        <w:rPr>
          <w:rFonts w:eastAsia="Times New Roman"/>
          <w:noProof/>
          <w:sz w:val="24"/>
          <w:szCs w:val="24"/>
          <w:lang w:val="ru-RU" w:eastAsia="ru-RU"/>
        </w:rPr>
        <mc:AlternateContent>
          <mc:Choice Requires="wps">
            <w:drawing>
              <wp:anchor distT="0" distB="0" distL="114300" distR="114300" simplePos="0" relativeHeight="252002304" behindDoc="0" locked="0" layoutInCell="1" allowOverlap="1" wp14:anchorId="2AD23630" wp14:editId="5D759E7C">
                <wp:simplePos x="0" y="0"/>
                <wp:positionH relativeFrom="column">
                  <wp:posOffset>3602154</wp:posOffset>
                </wp:positionH>
                <wp:positionV relativeFrom="paragraph">
                  <wp:posOffset>11697</wp:posOffset>
                </wp:positionV>
                <wp:extent cx="230505" cy="100965"/>
                <wp:effectExtent l="38100" t="0" r="17145" b="32385"/>
                <wp:wrapNone/>
                <wp:docPr id="91" name="Стрелка вниз 35"/>
                <wp:cNvGraphicFramePr/>
                <a:graphic xmlns:a="http://schemas.openxmlformats.org/drawingml/2006/main">
                  <a:graphicData uri="http://schemas.microsoft.com/office/word/2010/wordprocessingShape">
                    <wps:wsp>
                      <wps:cNvSpPr/>
                      <wps:spPr>
                        <a:xfrm>
                          <a:off x="0" y="0"/>
                          <a:ext cx="230505" cy="100965"/>
                        </a:xfrm>
                        <a:prstGeom prst="downArrow">
                          <a:avLst/>
                        </a:prstGeom>
                        <a:solidFill>
                          <a:sysClr val="window" lastClr="FFFFFF"/>
                        </a:solidFill>
                        <a:ln w="15875" cap="flat" cmpd="sng" algn="ctr">
                          <a:solidFill>
                            <a:sysClr val="windowText" lastClr="000000"/>
                          </a:solidFill>
                          <a:prstDash val="solid"/>
                        </a:ln>
                        <a:effectLst/>
                      </wps:spPr>
                      <wps:bodyPr rot="0" spcFirstLastPara="0" vertOverflow="overflow" horzOverflow="overflow" vert="horz" wrap="square" lIns="36000" tIns="45720" rIns="3600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id="Стрелка вниз 35" o:spid="_x0000_s1026" type="#_x0000_t67" style="position:absolute;margin-left:283.65pt;margin-top:.9pt;width:18.15pt;height:7.95pt;z-index:25200230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" adj="10800" fillcolor="window" strokecolor="windowText" strokeweight="1.25pt">
                <v:textbox inset="1mm,,1mm"/>
              </v:shape>
            </w:pict>
          </mc:Fallback>
        </mc:AlternateContent>
      </w:r>
      <w:r w:rsidR="0014646B" w:rsidRPr="0014646B">
        <w:rPr>
          <w:rFonts w:eastAsia="Times New Roman"/>
          <w:noProof/>
          <w:szCs w:val="28"/>
          <w:lang w:val="ru-RU" w:eastAsia="ru-RU"/>
        </w:rPr>
        <mc:AlternateContent>
          <mc:Choice Requires="wps">
            <w:drawing>
              <wp:anchor distT="0" distB="0" distL="114300" distR="114300" simplePos="0" relativeHeight="252000256" behindDoc="0" locked="0" layoutInCell="1" allowOverlap="1" wp14:anchorId="044DED17" wp14:editId="3C8D505D">
                <wp:simplePos x="0" y="0"/>
                <wp:positionH relativeFrom="column">
                  <wp:posOffset>247650</wp:posOffset>
                </wp:positionH>
                <wp:positionV relativeFrom="paragraph">
                  <wp:posOffset>113665</wp:posOffset>
                </wp:positionV>
                <wp:extent cx="6224905" cy="325755"/>
                <wp:effectExtent l="0" t="0" r="23495" b="17145"/>
                <wp:wrapNone/>
                <wp:docPr id="1236" name="Скругленный прямоугольник 12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24905" cy="325755"/>
                        </a:xfrm>
                        <a:prstGeom prst="roundRect">
                          <a:avLst>
                            <a:gd name="adj" fmla="val 16667"/>
                          </a:avLst>
                        </a:prstGeom>
                        <a:solidFill>
                          <a:srgbClr val="FFFFFF"/>
                        </a:solidFill>
                        <a:ln w="12700">
                          <a:solidFill>
                            <a:srgbClr val="000000"/>
                          </a:solidFill>
                          <a:round/>
                          <a:headEnd/>
                          <a:tailEnd/>
                        </a:ln>
                      </wps:spPr>
                      <wps:txbx>
                        <w:txbxContent>
                          <w:p w:rsidR="001E1DF5" w:rsidRPr="00675516" w:rsidRDefault="001E1DF5" w:rsidP="0014646B">
                            <w:pPr>
                              <w:spacing w:line="220" w:lineRule="exact"/>
                              <w:jc w:val="center"/>
                              <w:rPr>
                                <w:b/>
                              </w:rPr>
                            </w:pPr>
                            <w:r w:rsidRPr="00794917">
                              <w:rPr>
                                <w:b/>
                                <w:sz w:val="24"/>
                                <w:szCs w:val="24"/>
                              </w:rPr>
                              <w:t>ОДА, Обласна міжсекторальна координаційна рада з ініціації та імплементації скоординованих та узгоджених заходів, місцеві органи влади,</w:t>
                            </w:r>
                            <w:r w:rsidRPr="00675516">
                              <w:rPr>
                                <w:b/>
                              </w:rPr>
                              <w:t xml:space="preserve"> </w:t>
                            </w:r>
                            <w:r w:rsidRPr="00794917">
                              <w:rPr>
                                <w:b/>
                                <w:sz w:val="24"/>
                                <w:szCs w:val="24"/>
                              </w:rPr>
                              <w:t>об’єднані громади</w:t>
                            </w:r>
                            <w:r w:rsidRPr="00675516">
                              <w:rPr>
                                <w:b/>
                              </w:rPr>
                              <w:t xml:space="preserve"> </w:t>
                            </w:r>
                          </w:p>
                          <w:p w:rsidR="001E1DF5" w:rsidRPr="00675516" w:rsidRDefault="001E1DF5" w:rsidP="0014646B">
                            <w:pPr>
                              <w:spacing w:line="240" w:lineRule="exact"/>
                              <w:jc w:val="center"/>
                              <w:rPr>
                                <w:b/>
                                <w:sz w:val="22"/>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1236" o:spid="_x0000_s1153" style="position:absolute;margin-left:19.5pt;margin-top:8.95pt;width:490.15pt;height:25.65pt;z-index:252000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" strokeweight="1pt">
                <v:textbox inset="0,0,0,0">
                  <w:txbxContent>
                    <w:p w:rsidR="0057431A" w:rsidRPr="00675516" w:rsidRDefault="0057431A" w:rsidP="0014646B">
                      <w:pPr>
                        <w:spacing w:line="220" w:lineRule="exact"/>
                        <w:jc w:val="center"/>
                        <w:rPr>
                          <w:b/>
                        </w:rPr>
                      </w:pPr>
                      <w:r w:rsidRPr="00794917">
                        <w:rPr>
                          <w:b/>
                          <w:sz w:val="24"/>
                          <w:szCs w:val="24"/>
                        </w:rPr>
                        <w:t>ОДА, Обласна міжсекторальна координаційна рада з ініціації та імплементації скоординованих та узгоджених заходів, місцеві органи влади,</w:t>
                      </w:r>
                      <w:r w:rsidRPr="00675516">
                        <w:rPr>
                          <w:b/>
                        </w:rPr>
                        <w:t xml:space="preserve"> </w:t>
                      </w:r>
                      <w:r w:rsidRPr="00794917">
                        <w:rPr>
                          <w:b/>
                          <w:sz w:val="24"/>
                          <w:szCs w:val="24"/>
                        </w:rPr>
                        <w:t>об’єднані громади</w:t>
                      </w:r>
                      <w:r w:rsidRPr="00675516">
                        <w:rPr>
                          <w:b/>
                        </w:rPr>
                        <w:t xml:space="preserve"> </w:t>
                      </w:r>
                    </w:p>
                    <w:p w:rsidR="0057431A" w:rsidRPr="00675516" w:rsidRDefault="0057431A" w:rsidP="0014646B">
                      <w:pPr>
                        <w:spacing w:line="240" w:lineRule="exact"/>
                        <w:jc w:val="center"/>
                        <w:rPr>
                          <w:b/>
                          <w:sz w:val="22"/>
                        </w:rPr>
                      </w:pPr>
                    </w:p>
                  </w:txbxContent>
                </v:textbox>
              </v:roundrect>
            </w:pict>
          </mc:Fallback>
        </mc:AlternateContent>
      </w:r>
    </w:p>
    <w:p w:rsidR="0014646B" w:rsidRPr="0014646B" w:rsidRDefault="0014646B" w:rsidP="0014646B">
      <w:pPr>
        <w:spacing w:line="240" w:lineRule="auto"/>
        <w:jc w:val="left"/>
        <w:rPr>
          <w:rFonts w:eastAsia="Times New Roman"/>
          <w:sz w:val="24"/>
          <w:szCs w:val="24"/>
          <w:lang w:eastAsia="uk-UA"/>
        </w:rPr>
      </w:pPr>
    </w:p>
    <w:p w:rsidR="0014646B" w:rsidRPr="0014646B" w:rsidRDefault="00BE21FB" w:rsidP="0014646B">
      <w:pPr>
        <w:spacing w:line="240" w:lineRule="auto"/>
        <w:jc w:val="left"/>
        <w:rPr>
          <w:rFonts w:eastAsia="Times New Roman"/>
          <w:sz w:val="24"/>
          <w:szCs w:val="24"/>
          <w:lang w:eastAsia="uk-UA"/>
        </w:rPr>
      </w:pPr>
      <w:r w:rsidRPr="0014646B">
        <w:rPr>
          <w:rFonts w:eastAsia="Times New Roman"/>
          <w:noProof/>
          <w:sz w:val="24"/>
          <w:szCs w:val="24"/>
          <w:lang w:val="ru-RU" w:eastAsia="ru-RU"/>
        </w:rPr>
        <mc:AlternateContent>
          <mc:Choice Requires="wps">
            <w:drawing>
              <wp:anchor distT="0" distB="0" distL="114300" distR="114300" simplePos="0" relativeHeight="252007424" behindDoc="0" locked="0" layoutInCell="1" allowOverlap="1" wp14:anchorId="1450E4CB" wp14:editId="7E65ED86">
                <wp:simplePos x="0" y="0"/>
                <wp:positionH relativeFrom="column">
                  <wp:posOffset>3641725</wp:posOffset>
                </wp:positionH>
                <wp:positionV relativeFrom="paragraph">
                  <wp:posOffset>88900</wp:posOffset>
                </wp:positionV>
                <wp:extent cx="230505" cy="100965"/>
                <wp:effectExtent l="38100" t="0" r="17145" b="32385"/>
                <wp:wrapNone/>
                <wp:docPr id="1237" name="Стрелка вниз 35"/>
                <wp:cNvGraphicFramePr/>
                <a:graphic xmlns:a="http://schemas.openxmlformats.org/drawingml/2006/main">
                  <a:graphicData uri="http://schemas.microsoft.com/office/word/2010/wordprocessingShape">
                    <wps:wsp>
                      <wps:cNvSpPr/>
                      <wps:spPr>
                        <a:xfrm>
                          <a:off x="0" y="0"/>
                          <a:ext cx="230505" cy="100965"/>
                        </a:xfrm>
                        <a:prstGeom prst="downArrow">
                          <a:avLst/>
                        </a:prstGeom>
                        <a:solidFill>
                          <a:sysClr val="window" lastClr="FFFFFF"/>
                        </a:solidFill>
                        <a:ln w="15875" cap="flat" cmpd="sng" algn="ctr">
                          <a:solidFill>
                            <a:sysClr val="windowText" lastClr="000000"/>
                          </a:solidFill>
                          <a:prstDash val="solid"/>
                        </a:ln>
                        <a:effectLst/>
                      </wps:spPr>
                      <wps:bodyPr rot="0" spcFirstLastPara="0" vertOverflow="overflow" horzOverflow="overflow" vert="horz" wrap="square" lIns="36000" tIns="45720" rIns="3600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id="Стрелка вниз 35" o:spid="_x0000_s1026" type="#_x0000_t67" style="position:absolute;margin-left:286.75pt;margin-top:7pt;width:18.15pt;height:7.95pt;z-index:25200742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" adj="10800" fillcolor="window" strokecolor="windowText" strokeweight="1.25pt">
                <v:textbox inset="1mm,,1mm"/>
              </v:shape>
            </w:pict>
          </mc:Fallback>
        </mc:AlternateContent>
      </w:r>
      <w:r w:rsidRPr="0014646B">
        <w:rPr>
          <w:rFonts w:eastAsia="Times New Roman"/>
          <w:noProof/>
          <w:szCs w:val="28"/>
          <w:lang w:val="ru-RU" w:eastAsia="ru-RU"/>
        </w:rPr>
        <mc:AlternateContent>
          <mc:Choice Requires="wps">
            <w:drawing>
              <wp:anchor distT="0" distB="0" distL="114300" distR="114300" simplePos="0" relativeHeight="252004352" behindDoc="0" locked="0" layoutInCell="1" allowOverlap="1" wp14:anchorId="27562D36" wp14:editId="301129F0">
                <wp:simplePos x="0" y="0"/>
                <wp:positionH relativeFrom="column">
                  <wp:posOffset>250190</wp:posOffset>
                </wp:positionH>
                <wp:positionV relativeFrom="paragraph">
                  <wp:posOffset>165100</wp:posOffset>
                </wp:positionV>
                <wp:extent cx="6224905" cy="392430"/>
                <wp:effectExtent l="0" t="0" r="23495" b="26670"/>
                <wp:wrapNone/>
                <wp:docPr id="1238" name="Скругленный прямоугольник 12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24905" cy="392430"/>
                        </a:xfrm>
                        <a:prstGeom prst="roundRect">
                          <a:avLst>
                            <a:gd name="adj" fmla="val 16667"/>
                          </a:avLst>
                        </a:prstGeom>
                        <a:solidFill>
                          <a:srgbClr val="FFFFFF"/>
                        </a:solidFill>
                        <a:ln w="12700">
                          <a:solidFill>
                            <a:srgbClr val="000000"/>
                          </a:solidFill>
                          <a:round/>
                          <a:headEnd/>
                          <a:tailEnd/>
                        </a:ln>
                      </wps:spPr>
                      <wps:txbx>
                        <w:txbxContent>
                          <w:p w:rsidR="001E1DF5" w:rsidRPr="00794917" w:rsidRDefault="001E1DF5" w:rsidP="0014646B">
                            <w:pPr>
                              <w:spacing w:line="200" w:lineRule="exact"/>
                              <w:jc w:val="center"/>
                              <w:rPr>
                                <w:sz w:val="24"/>
                                <w:szCs w:val="24"/>
                              </w:rPr>
                            </w:pPr>
                            <w:r w:rsidRPr="00794917">
                              <w:rPr>
                                <w:b/>
                                <w:sz w:val="24"/>
                                <w:szCs w:val="24"/>
                              </w:rPr>
                              <w:t xml:space="preserve">Об’єктивний аспект </w:t>
                            </w:r>
                            <w:r w:rsidRPr="004E0BDA">
                              <w:rPr>
                                <w:b/>
                                <w:sz w:val="24"/>
                                <w:szCs w:val="24"/>
                                <w:lang w:val="ru-RU"/>
                              </w:rPr>
                              <w:t xml:space="preserve">зниження смертності </w:t>
                            </w:r>
                            <w:r w:rsidRPr="004E0BDA">
                              <w:rPr>
                                <w:b/>
                                <w:sz w:val="24"/>
                                <w:szCs w:val="24"/>
                              </w:rPr>
                              <w:t>дітей до 5</w:t>
                            </w:r>
                            <w:r w:rsidRPr="004E0BDA">
                              <w:rPr>
                                <w:b/>
                                <w:sz w:val="24"/>
                                <w:szCs w:val="24"/>
                                <w:lang w:val="ru-RU"/>
                              </w:rPr>
                              <w:t> </w:t>
                            </w:r>
                            <w:r w:rsidRPr="004E0BDA">
                              <w:rPr>
                                <w:b/>
                                <w:sz w:val="24"/>
                                <w:szCs w:val="24"/>
                              </w:rPr>
                              <w:t xml:space="preserve">років життя </w:t>
                            </w:r>
                            <w:r w:rsidRPr="00794917">
                              <w:rPr>
                                <w:b/>
                                <w:sz w:val="24"/>
                                <w:szCs w:val="24"/>
                              </w:rPr>
                              <w:t xml:space="preserve">(медичний): </w:t>
                            </w:r>
                            <w:r w:rsidRPr="00794917">
                              <w:rPr>
                                <w:sz w:val="24"/>
                                <w:szCs w:val="24"/>
                              </w:rPr>
                              <w:t>перинатальна, педіатрична допомога (всі напрями та рівні надання), екстрена допомога</w:t>
                            </w:r>
                          </w:p>
                          <w:p w:rsidR="001E1DF5" w:rsidRPr="00675516" w:rsidRDefault="001E1DF5" w:rsidP="0014646B">
                            <w:pPr>
                              <w:spacing w:line="220" w:lineRule="exact"/>
                              <w:jc w:val="center"/>
                              <w:rPr>
                                <w:b/>
                                <w:sz w:val="22"/>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1238" o:spid="_x0000_s1154" style="position:absolute;margin-left:19.7pt;margin-top:13pt;width:490.15pt;height:30.9pt;z-index:252004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" strokeweight="1pt">
                <v:textbox inset="0,0,0,0">
                  <w:txbxContent>
                    <w:p w:rsidR="0057431A" w:rsidRPr="00794917" w:rsidRDefault="0057431A" w:rsidP="0014646B">
                      <w:pPr>
                        <w:spacing w:line="200" w:lineRule="exact"/>
                        <w:jc w:val="center"/>
                        <w:rPr>
                          <w:sz w:val="24"/>
                          <w:szCs w:val="24"/>
                        </w:rPr>
                      </w:pPr>
                      <w:r w:rsidRPr="00794917">
                        <w:rPr>
                          <w:b/>
                          <w:sz w:val="24"/>
                          <w:szCs w:val="24"/>
                        </w:rPr>
                        <w:t xml:space="preserve">Об’єктивний аспект </w:t>
                      </w:r>
                      <w:r w:rsidRPr="004E0BDA">
                        <w:rPr>
                          <w:b/>
                          <w:sz w:val="24"/>
                          <w:szCs w:val="24"/>
                          <w:lang w:val="ru-RU"/>
                        </w:rPr>
                        <w:t xml:space="preserve">зниження смертності </w:t>
                      </w:r>
                      <w:r w:rsidRPr="004E0BDA">
                        <w:rPr>
                          <w:b/>
                          <w:sz w:val="24"/>
                          <w:szCs w:val="24"/>
                        </w:rPr>
                        <w:t>дітей до 5</w:t>
                      </w:r>
                      <w:r w:rsidRPr="004E0BDA">
                        <w:rPr>
                          <w:b/>
                          <w:sz w:val="24"/>
                          <w:szCs w:val="24"/>
                          <w:lang w:val="ru-RU"/>
                        </w:rPr>
                        <w:t> </w:t>
                      </w:r>
                      <w:r w:rsidRPr="004E0BDA">
                        <w:rPr>
                          <w:b/>
                          <w:sz w:val="24"/>
                          <w:szCs w:val="24"/>
                        </w:rPr>
                        <w:t xml:space="preserve">років життя </w:t>
                      </w:r>
                      <w:r w:rsidRPr="00794917">
                        <w:rPr>
                          <w:b/>
                          <w:sz w:val="24"/>
                          <w:szCs w:val="24"/>
                        </w:rPr>
                        <w:t xml:space="preserve">(медичний): </w:t>
                      </w:r>
                      <w:r w:rsidRPr="00794917">
                        <w:rPr>
                          <w:sz w:val="24"/>
                          <w:szCs w:val="24"/>
                        </w:rPr>
                        <w:t>перинатальна, педіатрична допомога (всі напрями та рівні надання), екстрена допомога</w:t>
                      </w:r>
                    </w:p>
                    <w:p w:rsidR="0057431A" w:rsidRPr="00675516" w:rsidRDefault="0057431A" w:rsidP="0014646B">
                      <w:pPr>
                        <w:spacing w:line="220" w:lineRule="exact"/>
                        <w:jc w:val="center"/>
                        <w:rPr>
                          <w:b/>
                          <w:sz w:val="22"/>
                        </w:rPr>
                      </w:pPr>
                    </w:p>
                  </w:txbxContent>
                </v:textbox>
              </v:roundrect>
            </w:pict>
          </mc:Fallback>
        </mc:AlternateContent>
      </w:r>
    </w:p>
    <w:p w:rsidR="0014646B" w:rsidRPr="0014646B" w:rsidRDefault="0014646B" w:rsidP="0014646B">
      <w:pPr>
        <w:spacing w:line="240" w:lineRule="auto"/>
        <w:jc w:val="left"/>
        <w:rPr>
          <w:rFonts w:eastAsia="Times New Roman"/>
          <w:sz w:val="24"/>
          <w:szCs w:val="24"/>
          <w:lang w:eastAsia="uk-UA"/>
        </w:rPr>
      </w:pPr>
    </w:p>
    <w:p w:rsidR="0014646B" w:rsidRPr="0014646B" w:rsidRDefault="0014646B" w:rsidP="0014646B">
      <w:pPr>
        <w:spacing w:line="240" w:lineRule="auto"/>
        <w:jc w:val="left"/>
        <w:rPr>
          <w:rFonts w:eastAsia="Times New Roman"/>
          <w:sz w:val="24"/>
          <w:szCs w:val="24"/>
          <w:lang w:eastAsia="uk-UA"/>
        </w:rPr>
      </w:pPr>
    </w:p>
    <w:p w:rsidR="0014646B" w:rsidRPr="0014646B" w:rsidRDefault="0014646B" w:rsidP="0014646B">
      <w:pPr>
        <w:spacing w:line="240" w:lineRule="auto"/>
        <w:jc w:val="center"/>
        <w:rPr>
          <w:rFonts w:eastAsia="Times New Roman"/>
          <w:sz w:val="24"/>
          <w:szCs w:val="24"/>
          <w:lang w:eastAsia="uk-UA"/>
        </w:rPr>
      </w:pPr>
      <w:r w:rsidRPr="0014646B">
        <w:rPr>
          <w:rFonts w:eastAsia="Times New Roman"/>
          <w:noProof/>
          <w:sz w:val="24"/>
          <w:szCs w:val="24"/>
          <w:lang w:val="ru-RU" w:eastAsia="ru-RU"/>
        </w:rPr>
        <mc:AlternateContent>
          <mc:Choice Requires="wps">
            <w:drawing>
              <wp:anchor distT="0" distB="0" distL="114300" distR="114300" simplePos="0" relativeHeight="252003328" behindDoc="0" locked="0" layoutInCell="1" allowOverlap="1" wp14:anchorId="1D82B44E" wp14:editId="3A4BDF31">
                <wp:simplePos x="0" y="0"/>
                <wp:positionH relativeFrom="column">
                  <wp:posOffset>248098</wp:posOffset>
                </wp:positionH>
                <wp:positionV relativeFrom="paragraph">
                  <wp:posOffset>57337</wp:posOffset>
                </wp:positionV>
                <wp:extent cx="6224684" cy="849854"/>
                <wp:effectExtent l="0" t="0" r="24130" b="26670"/>
                <wp:wrapNone/>
                <wp:docPr id="1111" name="Прямоугольник 11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24684" cy="849854"/>
                        </a:xfrm>
                        <a:prstGeom prst="rect">
                          <a:avLst/>
                        </a:prstGeom>
                        <a:solidFill>
                          <a:srgbClr val="FFFFFF"/>
                        </a:solidFill>
                        <a:ln w="9525">
                          <a:solidFill>
                            <a:sysClr val="windowText" lastClr="000000"/>
                          </a:solidFill>
                          <a:miter lim="800000"/>
                          <a:headEnd/>
                          <a:tailEnd/>
                        </a:ln>
                      </wps:spPr>
                      <wps:txbx>
                        <w:txbxContent>
                          <w:p w:rsidR="001E1DF5" w:rsidRPr="009169D8" w:rsidRDefault="001E1DF5" w:rsidP="00D35F0B">
                            <w:pPr>
                              <w:spacing w:line="200" w:lineRule="exact"/>
                              <w:rPr>
                                <w:sz w:val="24"/>
                                <w:szCs w:val="24"/>
                              </w:rPr>
                            </w:pPr>
                            <w:r w:rsidRPr="009169D8">
                              <w:rPr>
                                <w:b/>
                                <w:sz w:val="24"/>
                                <w:szCs w:val="24"/>
                              </w:rPr>
                              <w:t xml:space="preserve">Первинний рівень надання медичної допомоги дітям та І (базовий) рівень перинатальної допомоги: </w:t>
                            </w:r>
                            <w:r w:rsidRPr="009169D8">
                              <w:rPr>
                                <w:sz w:val="24"/>
                                <w:szCs w:val="24"/>
                              </w:rPr>
                              <w:t>ФАП, центрів ПМСД, АЗП/СМ, центри-кабінети планування сім</w:t>
                            </w:r>
                            <w:r w:rsidRPr="009169D8">
                              <w:rPr>
                                <w:sz w:val="24"/>
                                <w:szCs w:val="24"/>
                                <w:lang w:val="en-US"/>
                              </w:rPr>
                              <w:t>`</w:t>
                            </w:r>
                            <w:r w:rsidRPr="009169D8">
                              <w:rPr>
                                <w:sz w:val="24"/>
                                <w:szCs w:val="24"/>
                              </w:rPr>
                              <w:t>ї, жіночі консультації, багатопрофільні лікарні інтенсивного лікування І рівня з кількістю пологів 400 і більше на рік, пологові відділення</w:t>
                            </w:r>
                            <w:r w:rsidRPr="009169D8">
                              <w:rPr>
                                <w:sz w:val="24"/>
                                <w:szCs w:val="24"/>
                                <w:lang w:val="en-US"/>
                              </w:rPr>
                              <w:t xml:space="preserve"> </w:t>
                            </w:r>
                            <w:r w:rsidRPr="009169D8">
                              <w:rPr>
                                <w:sz w:val="24"/>
                                <w:szCs w:val="24"/>
                              </w:rPr>
                              <w:t xml:space="preserve">районних лікарень, пологові відділення ЦРЛ, пологові відділення міських лікарень. </w:t>
                            </w:r>
                          </w:p>
                          <w:p w:rsidR="001E1DF5" w:rsidRPr="009D5EA4" w:rsidRDefault="001E1DF5" w:rsidP="00D35F0B">
                            <w:pPr>
                              <w:spacing w:line="220" w:lineRule="exact"/>
                              <w:rPr>
                                <w:b/>
                              </w:rPr>
                            </w:pPr>
                            <w:r w:rsidRPr="009169D8">
                              <w:rPr>
                                <w:b/>
                                <w:i/>
                                <w:sz w:val="24"/>
                                <w:szCs w:val="24"/>
                              </w:rPr>
                              <w:t xml:space="preserve">Необхідно: </w:t>
                            </w:r>
                            <w:r w:rsidRPr="009169D8">
                              <w:rPr>
                                <w:i/>
                                <w:sz w:val="24"/>
                                <w:szCs w:val="24"/>
                              </w:rPr>
                              <w:t>забезпечення умов для проведення інтенсивної терапії починаючи з</w:t>
                            </w:r>
                            <w:r w:rsidRPr="00F72367">
                              <w:rPr>
                                <w:i/>
                              </w:rPr>
                              <w:t xml:space="preserve"> Ф</w:t>
                            </w:r>
                            <w:r w:rsidRPr="009169D8">
                              <w:rPr>
                                <w:i/>
                                <w:sz w:val="24"/>
                                <w:szCs w:val="24"/>
                              </w:rPr>
                              <w:t>АП</w:t>
                            </w:r>
                          </w:p>
                          <w:p w:rsidR="001E1DF5" w:rsidRPr="00F971CF" w:rsidRDefault="001E1DF5" w:rsidP="00D35F0B">
                            <w:pPr>
                              <w:spacing w:line="220" w:lineRule="exact"/>
                              <w:jc w:val="center"/>
                            </w:pPr>
                          </w:p>
                        </w:txbxContent>
                      </wps:txbx>
                      <wps:bodyPr rot="0" vert="horz" wrap="square" lIns="18000" tIns="10800" rIns="18000" bIns="1080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111" o:spid="_x0000_s1155" style="position:absolute;left:0;text-align:left;margin-left:19.55pt;margin-top:4.5pt;width:490.15pt;height:66.9pt;z-index:252003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" strokecolor="windowText">
                <v:textbox inset=".5mm,.3mm,.5mm,.3mm">
                  <w:txbxContent>
                    <w:p w:rsidR="0057431A" w:rsidRPr="009169D8" w:rsidRDefault="0057431A" w:rsidP="00D35F0B">
                      <w:pPr>
                        <w:spacing w:line="200" w:lineRule="exact"/>
                        <w:rPr>
                          <w:sz w:val="24"/>
                          <w:szCs w:val="24"/>
                        </w:rPr>
                      </w:pPr>
                      <w:r w:rsidRPr="009169D8">
                        <w:rPr>
                          <w:b/>
                          <w:sz w:val="24"/>
                          <w:szCs w:val="24"/>
                        </w:rPr>
                        <w:t xml:space="preserve">Первинний рівень надання медичної допомоги дітям та І (базовий) рівень перинатальної допомоги: </w:t>
                      </w:r>
                      <w:r w:rsidRPr="009169D8">
                        <w:rPr>
                          <w:sz w:val="24"/>
                          <w:szCs w:val="24"/>
                        </w:rPr>
                        <w:t>ФАП, центрів ПМСД, АЗП/СМ, центри-кабінети планування сім</w:t>
                      </w:r>
                      <w:r w:rsidRPr="009169D8">
                        <w:rPr>
                          <w:sz w:val="24"/>
                          <w:szCs w:val="24"/>
                          <w:lang w:val="en-US"/>
                        </w:rPr>
                        <w:t>`</w:t>
                      </w:r>
                      <w:r w:rsidRPr="009169D8">
                        <w:rPr>
                          <w:sz w:val="24"/>
                          <w:szCs w:val="24"/>
                        </w:rPr>
                        <w:t>ї, жіночі консультації, багатопрофільні лікарні інтенсивного лікування І рівня з кількістю пологів 400 і більше на рік, пологові відділення</w:t>
                      </w:r>
                      <w:r w:rsidRPr="009169D8">
                        <w:rPr>
                          <w:sz w:val="24"/>
                          <w:szCs w:val="24"/>
                          <w:lang w:val="en-US"/>
                        </w:rPr>
                        <w:t xml:space="preserve"> </w:t>
                      </w:r>
                      <w:r w:rsidRPr="009169D8">
                        <w:rPr>
                          <w:sz w:val="24"/>
                          <w:szCs w:val="24"/>
                        </w:rPr>
                        <w:t xml:space="preserve">районних лікарень, пологові відділення ЦРЛ, пологові відділення міських лікарень. </w:t>
                      </w:r>
                    </w:p>
                    <w:p w:rsidR="0057431A" w:rsidRPr="009D5EA4" w:rsidRDefault="0057431A" w:rsidP="00D35F0B">
                      <w:pPr>
                        <w:spacing w:line="220" w:lineRule="exact"/>
                        <w:rPr>
                          <w:b/>
                        </w:rPr>
                      </w:pPr>
                      <w:r w:rsidRPr="009169D8">
                        <w:rPr>
                          <w:b/>
                          <w:i/>
                          <w:sz w:val="24"/>
                          <w:szCs w:val="24"/>
                        </w:rPr>
                        <w:t xml:space="preserve">Необхідно: </w:t>
                      </w:r>
                      <w:r w:rsidRPr="009169D8">
                        <w:rPr>
                          <w:i/>
                          <w:sz w:val="24"/>
                          <w:szCs w:val="24"/>
                        </w:rPr>
                        <w:t>забезпечення умов для проведення інтенсивної терапії починаючи з</w:t>
                      </w:r>
                      <w:r w:rsidRPr="00F72367">
                        <w:rPr>
                          <w:i/>
                        </w:rPr>
                        <w:t xml:space="preserve"> Ф</w:t>
                      </w:r>
                      <w:r w:rsidRPr="009169D8">
                        <w:rPr>
                          <w:i/>
                          <w:sz w:val="24"/>
                          <w:szCs w:val="24"/>
                        </w:rPr>
                        <w:t>АП</w:t>
                      </w:r>
                    </w:p>
                    <w:p w:rsidR="0057431A" w:rsidRPr="00F971CF" w:rsidRDefault="0057431A" w:rsidP="00D35F0B">
                      <w:pPr>
                        <w:spacing w:line="220" w:lineRule="exact"/>
                        <w:jc w:val="center"/>
                      </w:pPr>
                    </w:p>
                  </w:txbxContent>
                </v:textbox>
              </v:rect>
            </w:pict>
          </mc:Fallback>
        </mc:AlternateContent>
      </w:r>
    </w:p>
    <w:p w:rsidR="0014646B" w:rsidRPr="0014646B" w:rsidRDefault="0014646B" w:rsidP="0014646B">
      <w:pPr>
        <w:spacing w:line="240" w:lineRule="auto"/>
        <w:jc w:val="left"/>
        <w:rPr>
          <w:rFonts w:eastAsia="Times New Roman"/>
          <w:sz w:val="24"/>
          <w:szCs w:val="24"/>
          <w:lang w:eastAsia="uk-UA"/>
        </w:rPr>
      </w:pPr>
    </w:p>
    <w:p w:rsidR="0014646B" w:rsidRPr="0014646B" w:rsidRDefault="0014646B" w:rsidP="0014646B">
      <w:pPr>
        <w:spacing w:line="240" w:lineRule="auto"/>
        <w:jc w:val="left"/>
        <w:rPr>
          <w:rFonts w:eastAsia="Times New Roman"/>
          <w:sz w:val="24"/>
          <w:szCs w:val="24"/>
          <w:lang w:eastAsia="uk-UA"/>
        </w:rPr>
      </w:pPr>
    </w:p>
    <w:p w:rsidR="0014646B" w:rsidRPr="0014646B" w:rsidRDefault="0014646B" w:rsidP="0014646B">
      <w:pPr>
        <w:spacing w:line="240" w:lineRule="auto"/>
        <w:jc w:val="left"/>
        <w:rPr>
          <w:rFonts w:eastAsia="Times New Roman"/>
          <w:sz w:val="24"/>
          <w:szCs w:val="24"/>
          <w:lang w:eastAsia="uk-UA"/>
        </w:rPr>
      </w:pPr>
    </w:p>
    <w:p w:rsidR="0014646B" w:rsidRPr="0014646B" w:rsidRDefault="0014646B" w:rsidP="0014646B">
      <w:pPr>
        <w:spacing w:line="240" w:lineRule="auto"/>
        <w:jc w:val="left"/>
        <w:rPr>
          <w:rFonts w:eastAsia="Times New Roman"/>
          <w:sz w:val="24"/>
          <w:szCs w:val="24"/>
          <w:lang w:eastAsia="uk-UA"/>
        </w:rPr>
      </w:pPr>
    </w:p>
    <w:p w:rsidR="0014646B" w:rsidRPr="0014646B" w:rsidRDefault="0014646B" w:rsidP="0014646B">
      <w:pPr>
        <w:spacing w:line="240" w:lineRule="auto"/>
        <w:jc w:val="left"/>
        <w:rPr>
          <w:rFonts w:eastAsia="Times New Roman"/>
          <w:sz w:val="24"/>
          <w:szCs w:val="24"/>
          <w:lang w:eastAsia="uk-UA"/>
        </w:rPr>
      </w:pPr>
      <w:r w:rsidRPr="0014646B">
        <w:rPr>
          <w:rFonts w:eastAsia="Times New Roman"/>
          <w:noProof/>
          <w:sz w:val="24"/>
          <w:szCs w:val="24"/>
          <w:lang w:val="ru-RU" w:eastAsia="ru-RU"/>
        </w:rPr>
        <mc:AlternateContent>
          <mc:Choice Requires="wps">
            <w:drawing>
              <wp:anchor distT="0" distB="0" distL="114300" distR="114300" simplePos="0" relativeHeight="252005376" behindDoc="0" locked="0" layoutInCell="1" allowOverlap="1" wp14:anchorId="0BBE1FE3" wp14:editId="17DA0D13">
                <wp:simplePos x="0" y="0"/>
                <wp:positionH relativeFrom="column">
                  <wp:posOffset>247733</wp:posOffset>
                </wp:positionH>
                <wp:positionV relativeFrom="paragraph">
                  <wp:posOffset>30977</wp:posOffset>
                </wp:positionV>
                <wp:extent cx="6224270" cy="1280160"/>
                <wp:effectExtent l="0" t="0" r="24130" b="15240"/>
                <wp:wrapNone/>
                <wp:docPr id="1239" name="Прямоугольник 12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24270" cy="1280160"/>
                        </a:xfrm>
                        <a:prstGeom prst="rect">
                          <a:avLst/>
                        </a:prstGeom>
                        <a:solidFill>
                          <a:srgbClr val="FFFFFF"/>
                        </a:solidFill>
                        <a:ln w="9525">
                          <a:solidFill>
                            <a:sysClr val="windowText" lastClr="000000"/>
                          </a:solidFill>
                          <a:miter lim="800000"/>
                          <a:headEnd/>
                          <a:tailEnd/>
                        </a:ln>
                      </wps:spPr>
                      <wps:txbx>
                        <w:txbxContent>
                          <w:p w:rsidR="001E1DF5" w:rsidRPr="009169D8" w:rsidRDefault="001E1DF5" w:rsidP="0014646B">
                            <w:pPr>
                              <w:spacing w:line="200" w:lineRule="exact"/>
                              <w:rPr>
                                <w:sz w:val="24"/>
                                <w:szCs w:val="24"/>
                              </w:rPr>
                            </w:pPr>
                            <w:r w:rsidRPr="009169D8">
                              <w:rPr>
                                <w:b/>
                                <w:sz w:val="24"/>
                                <w:szCs w:val="24"/>
                              </w:rPr>
                              <w:t xml:space="preserve">Вторинна спеціалізована медична допомога: </w:t>
                            </w:r>
                            <w:r w:rsidRPr="009169D8">
                              <w:rPr>
                                <w:sz w:val="24"/>
                                <w:szCs w:val="24"/>
                              </w:rPr>
                              <w:t xml:space="preserve">ЦРЛ, міські ДЛ, консультативно-діагностичні центри, жіночі консультації як юридичні особи, жіночі консультації у складі міських пологових будинків, жіночі консультації у складі міських багатопрофільних лікарень, багатопрофільні лікарні інтенсивного лікування ІІ рівня перинатальної допомоги(кількість пологів 800 і більше на рік), міські пологові будинки, ПЦ ІІ рівня в т.ч. створені на базі міських пологових будинків або багатопрофільних лікарень (ЦРЛ), що виконують функції міжрайонних ПЦ з кількістю пологів 1500 і більше на рік та радіусом обслуговування не більше 60 км. </w:t>
                            </w:r>
                          </w:p>
                          <w:p w:rsidR="001E1DF5" w:rsidRPr="009169D8" w:rsidRDefault="001E1DF5" w:rsidP="0014646B">
                            <w:pPr>
                              <w:spacing w:line="200" w:lineRule="exact"/>
                              <w:rPr>
                                <w:i/>
                                <w:sz w:val="24"/>
                                <w:szCs w:val="24"/>
                              </w:rPr>
                            </w:pPr>
                            <w:r w:rsidRPr="009169D8">
                              <w:rPr>
                                <w:b/>
                                <w:i/>
                                <w:sz w:val="24"/>
                                <w:szCs w:val="24"/>
                              </w:rPr>
                              <w:t xml:space="preserve">Необхідно: </w:t>
                            </w:r>
                            <w:r w:rsidRPr="009169D8">
                              <w:rPr>
                                <w:i/>
                                <w:sz w:val="24"/>
                                <w:szCs w:val="24"/>
                              </w:rPr>
                              <w:t>створення центрів дитячої реанімації та інтенсивної терапії, виїзні бригади реанімації та інтенсивної терапії</w:t>
                            </w:r>
                          </w:p>
                          <w:p w:rsidR="001E1DF5" w:rsidRPr="00F971CF" w:rsidRDefault="001E1DF5" w:rsidP="0014646B">
                            <w:pPr>
                              <w:jc w:val="center"/>
                            </w:pPr>
                          </w:p>
                        </w:txbxContent>
                      </wps:txbx>
                      <wps:bodyPr rot="0" vert="horz" wrap="square" lIns="36000" tIns="10800" rIns="36000" bIns="1080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239" o:spid="_x0000_s1156" style="position:absolute;margin-left:19.5pt;margin-top:2.45pt;width:490.1pt;height:100.8pt;z-index:252005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" strokecolor="windowText">
                <v:textbox inset="1mm,.3mm,1mm,.3mm">
                  <w:txbxContent>
                    <w:p w:rsidR="0057431A" w:rsidRPr="009169D8" w:rsidRDefault="0057431A" w:rsidP="0014646B">
                      <w:pPr>
                        <w:spacing w:line="200" w:lineRule="exact"/>
                        <w:rPr>
                          <w:sz w:val="24"/>
                          <w:szCs w:val="24"/>
                        </w:rPr>
                      </w:pPr>
                      <w:r w:rsidRPr="009169D8">
                        <w:rPr>
                          <w:b/>
                          <w:sz w:val="24"/>
                          <w:szCs w:val="24"/>
                        </w:rPr>
                        <w:t xml:space="preserve">Вторинна спеціалізована медична допомога: </w:t>
                      </w:r>
                      <w:r w:rsidRPr="009169D8">
                        <w:rPr>
                          <w:sz w:val="24"/>
                          <w:szCs w:val="24"/>
                        </w:rPr>
                        <w:t xml:space="preserve">ЦРЛ, міські ДЛ, консультативно-діагностичні центри, жіночі консультації як юридичні особи, жіночі консультації у складі міських пологових будинків, жіночі консультації у складі міських багатопрофільних лікарень, багатопрофільні лікарні інтенсивного лікування ІІ рівня перинатальної допомоги(кількість пологів 800 і більше на рік), міські пологові будинки, ПЦ ІІ рівня в т.ч. створені на базі міських пологових будинків або багатопрофільних лікарень (ЦРЛ), що виконують функції міжрайонних ПЦ з кількістю пологів 1500 і більше на рік та радіусом обслуговування не більше 60 км. </w:t>
                      </w:r>
                    </w:p>
                    <w:p w:rsidR="0057431A" w:rsidRPr="009169D8" w:rsidRDefault="0057431A" w:rsidP="0014646B">
                      <w:pPr>
                        <w:spacing w:line="200" w:lineRule="exact"/>
                        <w:rPr>
                          <w:i/>
                          <w:sz w:val="24"/>
                          <w:szCs w:val="24"/>
                        </w:rPr>
                      </w:pPr>
                      <w:r w:rsidRPr="009169D8">
                        <w:rPr>
                          <w:b/>
                          <w:i/>
                          <w:sz w:val="24"/>
                          <w:szCs w:val="24"/>
                        </w:rPr>
                        <w:t xml:space="preserve">Необхідно: </w:t>
                      </w:r>
                      <w:r w:rsidRPr="009169D8">
                        <w:rPr>
                          <w:i/>
                          <w:sz w:val="24"/>
                          <w:szCs w:val="24"/>
                        </w:rPr>
                        <w:t>створення центрів дитячої реанімації та інтенсивної терапії, виїзні бригади реанімації та інтенсивної терапії</w:t>
                      </w:r>
                    </w:p>
                    <w:p w:rsidR="0057431A" w:rsidRPr="00F971CF" w:rsidRDefault="0057431A" w:rsidP="0014646B">
                      <w:pPr>
                        <w:jc w:val="center"/>
                      </w:pPr>
                    </w:p>
                  </w:txbxContent>
                </v:textbox>
              </v:rect>
            </w:pict>
          </mc:Fallback>
        </mc:AlternateContent>
      </w:r>
    </w:p>
    <w:p w:rsidR="0014646B" w:rsidRPr="0014646B" w:rsidRDefault="0014646B" w:rsidP="0014646B">
      <w:pPr>
        <w:spacing w:line="240" w:lineRule="auto"/>
        <w:jc w:val="left"/>
        <w:rPr>
          <w:rFonts w:eastAsia="Times New Roman"/>
          <w:sz w:val="24"/>
          <w:szCs w:val="24"/>
          <w:lang w:eastAsia="uk-UA"/>
        </w:rPr>
      </w:pPr>
    </w:p>
    <w:p w:rsidR="0014646B" w:rsidRPr="0014646B" w:rsidRDefault="0014646B" w:rsidP="0014646B">
      <w:pPr>
        <w:spacing w:line="240" w:lineRule="auto"/>
        <w:jc w:val="left"/>
        <w:rPr>
          <w:rFonts w:eastAsia="Times New Roman"/>
          <w:sz w:val="24"/>
          <w:szCs w:val="24"/>
          <w:lang w:eastAsia="uk-UA"/>
        </w:rPr>
      </w:pPr>
    </w:p>
    <w:p w:rsidR="0014646B" w:rsidRPr="0014646B" w:rsidRDefault="0014646B" w:rsidP="0014646B">
      <w:pPr>
        <w:tabs>
          <w:tab w:val="left" w:pos="2392"/>
        </w:tabs>
        <w:spacing w:line="240" w:lineRule="auto"/>
        <w:jc w:val="left"/>
        <w:rPr>
          <w:rFonts w:eastAsia="Times New Roman"/>
          <w:sz w:val="24"/>
          <w:szCs w:val="24"/>
          <w:lang w:eastAsia="uk-UA"/>
        </w:rPr>
      </w:pPr>
      <w:r w:rsidRPr="0014646B">
        <w:rPr>
          <w:rFonts w:eastAsia="Times New Roman"/>
          <w:sz w:val="24"/>
          <w:szCs w:val="24"/>
          <w:lang w:eastAsia="uk-UA"/>
        </w:rPr>
        <w:tab/>
      </w:r>
    </w:p>
    <w:p w:rsidR="0014646B" w:rsidRPr="0014646B" w:rsidRDefault="0014646B" w:rsidP="0014646B">
      <w:pPr>
        <w:spacing w:line="240" w:lineRule="auto"/>
        <w:jc w:val="left"/>
        <w:rPr>
          <w:rFonts w:eastAsia="Times New Roman"/>
          <w:sz w:val="24"/>
          <w:szCs w:val="24"/>
          <w:lang w:eastAsia="uk-UA"/>
        </w:rPr>
      </w:pPr>
    </w:p>
    <w:p w:rsidR="0014646B" w:rsidRPr="0014646B" w:rsidRDefault="0014646B" w:rsidP="0014646B">
      <w:pPr>
        <w:spacing w:line="240" w:lineRule="auto"/>
        <w:jc w:val="left"/>
        <w:rPr>
          <w:rFonts w:eastAsia="Times New Roman"/>
          <w:sz w:val="24"/>
          <w:szCs w:val="24"/>
          <w:lang w:eastAsia="uk-UA"/>
        </w:rPr>
      </w:pPr>
    </w:p>
    <w:p w:rsidR="0014646B" w:rsidRPr="0014646B" w:rsidRDefault="0014646B" w:rsidP="0014646B">
      <w:pPr>
        <w:spacing w:line="240" w:lineRule="auto"/>
        <w:jc w:val="left"/>
        <w:rPr>
          <w:rFonts w:eastAsia="Times New Roman"/>
          <w:sz w:val="24"/>
          <w:szCs w:val="24"/>
          <w:lang w:eastAsia="uk-UA"/>
        </w:rPr>
      </w:pPr>
    </w:p>
    <w:p w:rsidR="0014646B" w:rsidRPr="0014646B" w:rsidRDefault="0014646B" w:rsidP="0014646B">
      <w:pPr>
        <w:spacing w:line="240" w:lineRule="auto"/>
        <w:jc w:val="left"/>
        <w:rPr>
          <w:rFonts w:eastAsia="Times New Roman"/>
          <w:sz w:val="24"/>
          <w:szCs w:val="24"/>
          <w:lang w:eastAsia="uk-UA"/>
        </w:rPr>
      </w:pPr>
      <w:r w:rsidRPr="0014646B">
        <w:rPr>
          <w:rFonts w:eastAsia="Times New Roman"/>
          <w:noProof/>
          <w:sz w:val="24"/>
          <w:szCs w:val="24"/>
          <w:lang w:val="ru-RU" w:eastAsia="ru-RU"/>
        </w:rPr>
        <mc:AlternateContent>
          <mc:Choice Requires="wps">
            <w:drawing>
              <wp:anchor distT="0" distB="0" distL="114300" distR="114300" simplePos="0" relativeHeight="252006400" behindDoc="0" locked="0" layoutInCell="1" allowOverlap="1" wp14:anchorId="233461EE" wp14:editId="2B9D9AA3">
                <wp:simplePos x="0" y="0"/>
                <wp:positionH relativeFrom="column">
                  <wp:posOffset>247733</wp:posOffset>
                </wp:positionH>
                <wp:positionV relativeFrom="paragraph">
                  <wp:posOffset>132025</wp:posOffset>
                </wp:positionV>
                <wp:extent cx="6224270" cy="787179"/>
                <wp:effectExtent l="0" t="0" r="24130" b="13335"/>
                <wp:wrapNone/>
                <wp:docPr id="1112" name="Прямоугольник 11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24270" cy="787179"/>
                        </a:xfrm>
                        <a:prstGeom prst="rect">
                          <a:avLst/>
                        </a:prstGeom>
                        <a:solidFill>
                          <a:srgbClr val="FFFFFF"/>
                        </a:solidFill>
                        <a:ln w="9525">
                          <a:solidFill>
                            <a:sysClr val="windowText" lastClr="000000"/>
                          </a:solidFill>
                          <a:miter lim="800000"/>
                          <a:headEnd/>
                          <a:tailEnd/>
                        </a:ln>
                      </wps:spPr>
                      <wps:txbx>
                        <w:txbxContent>
                          <w:p w:rsidR="001E1DF5" w:rsidRPr="00FD1D6D" w:rsidRDefault="001E1DF5" w:rsidP="0014646B">
                            <w:pPr>
                              <w:spacing w:line="200" w:lineRule="exact"/>
                              <w:rPr>
                                <w:b/>
                                <w:i/>
                                <w:sz w:val="24"/>
                                <w:szCs w:val="24"/>
                              </w:rPr>
                            </w:pPr>
                            <w:r w:rsidRPr="00FD1D6D">
                              <w:rPr>
                                <w:b/>
                                <w:sz w:val="24"/>
                                <w:szCs w:val="24"/>
                              </w:rPr>
                              <w:t>Третинна спеціалізована медична допомога:</w:t>
                            </w:r>
                            <w:r w:rsidRPr="00FD1D6D">
                              <w:rPr>
                                <w:sz w:val="24"/>
                                <w:szCs w:val="24"/>
                              </w:rPr>
                              <w:t xml:space="preserve"> обласна дитяча лікарня, обласний дитячий консультативний центр, спеціалізовані дитячі центри, регіональні ПЦ (1 центр в розрахунку на 7-10 тис. пологів): обласний ПЦ ІІІ або міський ПЦ,  Державний ПЦ на базі ДУ «Інститут педіатрії, акушерства НАМН України».</w:t>
                            </w:r>
                            <w:r w:rsidRPr="00FD1D6D">
                              <w:rPr>
                                <w:b/>
                                <w:i/>
                                <w:sz w:val="24"/>
                                <w:szCs w:val="24"/>
                              </w:rPr>
                              <w:t xml:space="preserve"> </w:t>
                            </w:r>
                          </w:p>
                          <w:p w:rsidR="001E1DF5" w:rsidRPr="00FD1D6D" w:rsidRDefault="001E1DF5" w:rsidP="0014646B">
                            <w:pPr>
                              <w:spacing w:line="200" w:lineRule="exact"/>
                              <w:rPr>
                                <w:sz w:val="24"/>
                                <w:szCs w:val="24"/>
                              </w:rPr>
                            </w:pPr>
                            <w:r w:rsidRPr="00FD1D6D">
                              <w:rPr>
                                <w:b/>
                                <w:i/>
                                <w:sz w:val="24"/>
                                <w:szCs w:val="24"/>
                              </w:rPr>
                              <w:t xml:space="preserve">Необхідно: </w:t>
                            </w:r>
                            <w:r w:rsidRPr="00FD1D6D">
                              <w:rPr>
                                <w:i/>
                                <w:sz w:val="24"/>
                                <w:szCs w:val="24"/>
                              </w:rPr>
                              <w:t>створення</w:t>
                            </w:r>
                            <w:r w:rsidRPr="00FD1D6D">
                              <w:rPr>
                                <w:b/>
                                <w:i/>
                                <w:sz w:val="24"/>
                                <w:szCs w:val="24"/>
                              </w:rPr>
                              <w:t xml:space="preserve"> </w:t>
                            </w:r>
                            <w:r w:rsidRPr="00FD1D6D">
                              <w:rPr>
                                <w:i/>
                                <w:sz w:val="24"/>
                                <w:szCs w:val="24"/>
                              </w:rPr>
                              <w:t>відділень планової та екстреної консультативної допомоги, спеціалізовані педіатричні бригади</w:t>
                            </w:r>
                            <w:r>
                              <w:rPr>
                                <w:i/>
                                <w:sz w:val="24"/>
                                <w:szCs w:val="24"/>
                              </w:rPr>
                              <w:t>, неонатологічні бригади</w:t>
                            </w:r>
                          </w:p>
                          <w:p w:rsidR="001E1DF5" w:rsidRPr="00F971CF" w:rsidRDefault="001E1DF5" w:rsidP="0014646B">
                            <w:pPr>
                              <w:spacing w:line="200" w:lineRule="exact"/>
                              <w:jc w:val="center"/>
                            </w:pPr>
                          </w:p>
                        </w:txbxContent>
                      </wps:txbx>
                      <wps:bodyPr rot="0" vert="horz" wrap="square" lIns="18000" tIns="10800" rIns="18000" bIns="1080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112" o:spid="_x0000_s1157" style="position:absolute;margin-left:19.5pt;margin-top:10.4pt;width:490.1pt;height:62pt;z-index:252006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" strokecolor="windowText">
                <v:textbox inset=".5mm,.3mm,.5mm,.3mm">
                  <w:txbxContent>
                    <w:p w:rsidR="0057431A" w:rsidRPr="00FD1D6D" w:rsidRDefault="0057431A" w:rsidP="0014646B">
                      <w:pPr>
                        <w:spacing w:line="200" w:lineRule="exact"/>
                        <w:rPr>
                          <w:b/>
                          <w:i/>
                          <w:sz w:val="24"/>
                          <w:szCs w:val="24"/>
                        </w:rPr>
                      </w:pPr>
                      <w:r w:rsidRPr="00FD1D6D">
                        <w:rPr>
                          <w:b/>
                          <w:sz w:val="24"/>
                          <w:szCs w:val="24"/>
                        </w:rPr>
                        <w:t>Третинна спеціалізована медична допомога:</w:t>
                      </w:r>
                      <w:r w:rsidRPr="00FD1D6D">
                        <w:rPr>
                          <w:sz w:val="24"/>
                          <w:szCs w:val="24"/>
                        </w:rPr>
                        <w:t xml:space="preserve"> обласна дитяча лікарня, обласний дитячий консультативний центр, спеціалізовані дитячі центри, регіональні ПЦ (1 центр в розрахунку на 7-10 тис. пологів): обласний ПЦ ІІІ або міський ПЦ,  Державний ПЦ на базі ДУ «Інститут педіатрії, акушерства НАМН України».</w:t>
                      </w:r>
                      <w:r w:rsidRPr="00FD1D6D">
                        <w:rPr>
                          <w:b/>
                          <w:i/>
                          <w:sz w:val="24"/>
                          <w:szCs w:val="24"/>
                        </w:rPr>
                        <w:t xml:space="preserve"> </w:t>
                      </w:r>
                    </w:p>
                    <w:p w:rsidR="0057431A" w:rsidRPr="00FD1D6D" w:rsidRDefault="0057431A" w:rsidP="0014646B">
                      <w:pPr>
                        <w:spacing w:line="200" w:lineRule="exact"/>
                        <w:rPr>
                          <w:sz w:val="24"/>
                          <w:szCs w:val="24"/>
                        </w:rPr>
                      </w:pPr>
                      <w:r w:rsidRPr="00FD1D6D">
                        <w:rPr>
                          <w:b/>
                          <w:i/>
                          <w:sz w:val="24"/>
                          <w:szCs w:val="24"/>
                        </w:rPr>
                        <w:t xml:space="preserve">Необхідно: </w:t>
                      </w:r>
                      <w:r w:rsidRPr="00FD1D6D">
                        <w:rPr>
                          <w:i/>
                          <w:sz w:val="24"/>
                          <w:szCs w:val="24"/>
                        </w:rPr>
                        <w:t>створення</w:t>
                      </w:r>
                      <w:r w:rsidRPr="00FD1D6D">
                        <w:rPr>
                          <w:b/>
                          <w:i/>
                          <w:sz w:val="24"/>
                          <w:szCs w:val="24"/>
                        </w:rPr>
                        <w:t xml:space="preserve"> </w:t>
                      </w:r>
                      <w:r w:rsidRPr="00FD1D6D">
                        <w:rPr>
                          <w:i/>
                          <w:sz w:val="24"/>
                          <w:szCs w:val="24"/>
                        </w:rPr>
                        <w:t>відділень планової та екстреної консультативної допомоги, спеціалізовані педіатричні бригади</w:t>
                      </w:r>
                      <w:r>
                        <w:rPr>
                          <w:i/>
                          <w:sz w:val="24"/>
                          <w:szCs w:val="24"/>
                        </w:rPr>
                        <w:t>, неонатологічні бригади</w:t>
                      </w:r>
                    </w:p>
                    <w:p w:rsidR="0057431A" w:rsidRPr="00F971CF" w:rsidRDefault="0057431A" w:rsidP="0014646B">
                      <w:pPr>
                        <w:spacing w:line="200" w:lineRule="exact"/>
                        <w:jc w:val="center"/>
                      </w:pPr>
                    </w:p>
                  </w:txbxContent>
                </v:textbox>
              </v:rect>
            </w:pict>
          </mc:Fallback>
        </mc:AlternateContent>
      </w:r>
    </w:p>
    <w:p w:rsidR="0014646B" w:rsidRPr="0014646B" w:rsidRDefault="0014646B" w:rsidP="0014646B">
      <w:pPr>
        <w:tabs>
          <w:tab w:val="left" w:pos="1941"/>
        </w:tabs>
        <w:spacing w:line="240" w:lineRule="auto"/>
        <w:jc w:val="left"/>
        <w:rPr>
          <w:rFonts w:eastAsia="Times New Roman"/>
          <w:sz w:val="24"/>
          <w:szCs w:val="24"/>
          <w:lang w:eastAsia="uk-UA"/>
        </w:rPr>
      </w:pPr>
      <w:r w:rsidRPr="0014646B">
        <w:rPr>
          <w:rFonts w:eastAsia="Times New Roman"/>
          <w:sz w:val="24"/>
          <w:szCs w:val="24"/>
          <w:lang w:eastAsia="uk-UA"/>
        </w:rPr>
        <w:tab/>
      </w:r>
    </w:p>
    <w:p w:rsidR="0014646B" w:rsidRPr="0014646B" w:rsidRDefault="0014646B" w:rsidP="0014646B">
      <w:pPr>
        <w:tabs>
          <w:tab w:val="left" w:pos="3443"/>
        </w:tabs>
        <w:spacing w:line="240" w:lineRule="auto"/>
        <w:jc w:val="left"/>
        <w:rPr>
          <w:rFonts w:eastAsia="Times New Roman"/>
          <w:sz w:val="24"/>
          <w:szCs w:val="24"/>
          <w:lang w:eastAsia="uk-UA"/>
        </w:rPr>
      </w:pPr>
      <w:r w:rsidRPr="0014646B">
        <w:rPr>
          <w:rFonts w:eastAsia="Times New Roman"/>
          <w:sz w:val="24"/>
          <w:szCs w:val="24"/>
          <w:lang w:eastAsia="uk-UA"/>
        </w:rPr>
        <w:tab/>
      </w:r>
    </w:p>
    <w:p w:rsidR="0014646B" w:rsidRPr="0014646B" w:rsidRDefault="0014646B" w:rsidP="0014646B">
      <w:pPr>
        <w:spacing w:line="240" w:lineRule="auto"/>
        <w:jc w:val="left"/>
        <w:rPr>
          <w:rFonts w:eastAsia="Times New Roman"/>
          <w:sz w:val="24"/>
          <w:szCs w:val="24"/>
          <w:lang w:eastAsia="uk-UA"/>
        </w:rPr>
      </w:pPr>
    </w:p>
    <w:p w:rsidR="0014646B" w:rsidRPr="0014646B" w:rsidRDefault="0014646B" w:rsidP="0014646B">
      <w:pPr>
        <w:spacing w:line="240" w:lineRule="auto"/>
        <w:jc w:val="left"/>
        <w:rPr>
          <w:rFonts w:eastAsia="Times New Roman"/>
          <w:sz w:val="24"/>
          <w:szCs w:val="24"/>
          <w:lang w:eastAsia="uk-UA"/>
        </w:rPr>
      </w:pPr>
    </w:p>
    <w:p w:rsidR="0014646B" w:rsidRPr="0014646B" w:rsidRDefault="0014646B" w:rsidP="0014646B">
      <w:pPr>
        <w:spacing w:line="240" w:lineRule="auto"/>
        <w:jc w:val="left"/>
        <w:rPr>
          <w:rFonts w:eastAsia="Times New Roman"/>
          <w:sz w:val="24"/>
          <w:szCs w:val="24"/>
          <w:lang w:eastAsia="uk-UA"/>
        </w:rPr>
      </w:pPr>
      <w:r w:rsidRPr="0014646B">
        <w:rPr>
          <w:rFonts w:eastAsia="Times New Roman"/>
          <w:noProof/>
          <w:sz w:val="24"/>
          <w:szCs w:val="24"/>
          <w:lang w:val="ru-RU" w:eastAsia="ru-RU"/>
        </w:rPr>
        <mc:AlternateContent>
          <mc:Choice Requires="wps">
            <w:drawing>
              <wp:anchor distT="0" distB="0" distL="114300" distR="114300" simplePos="0" relativeHeight="252008448" behindDoc="0" locked="0" layoutInCell="1" allowOverlap="1" wp14:anchorId="58423B60" wp14:editId="7FECBBBF">
                <wp:simplePos x="0" y="0"/>
                <wp:positionH relativeFrom="column">
                  <wp:posOffset>247733</wp:posOffset>
                </wp:positionH>
                <wp:positionV relativeFrom="paragraph">
                  <wp:posOffset>99199</wp:posOffset>
                </wp:positionV>
                <wp:extent cx="6224270" cy="389614"/>
                <wp:effectExtent l="0" t="0" r="24130" b="10795"/>
                <wp:wrapNone/>
                <wp:docPr id="1240" name="Прямоугольник 12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24270" cy="389614"/>
                        </a:xfrm>
                        <a:prstGeom prst="rect">
                          <a:avLst/>
                        </a:prstGeom>
                        <a:solidFill>
                          <a:srgbClr val="FFFFFF"/>
                        </a:solidFill>
                        <a:ln w="9525">
                          <a:solidFill>
                            <a:sysClr val="windowText" lastClr="000000"/>
                          </a:solidFill>
                          <a:miter lim="800000"/>
                          <a:headEnd/>
                          <a:tailEnd/>
                        </a:ln>
                      </wps:spPr>
                      <wps:txbx>
                        <w:txbxContent>
                          <w:p w:rsidR="001E1DF5" w:rsidRPr="00B43250" w:rsidRDefault="001E1DF5" w:rsidP="0014646B">
                            <w:pPr>
                              <w:spacing w:line="200" w:lineRule="exact"/>
                              <w:rPr>
                                <w:b/>
                                <w:i/>
                                <w:sz w:val="24"/>
                                <w:szCs w:val="24"/>
                              </w:rPr>
                            </w:pPr>
                            <w:r w:rsidRPr="00B43250">
                              <w:rPr>
                                <w:b/>
                                <w:sz w:val="24"/>
                                <w:szCs w:val="24"/>
                              </w:rPr>
                              <w:t xml:space="preserve">Екстрена допомога: </w:t>
                            </w:r>
                            <w:r w:rsidRPr="00B43250">
                              <w:rPr>
                                <w:b/>
                                <w:i/>
                                <w:sz w:val="24"/>
                                <w:szCs w:val="24"/>
                              </w:rPr>
                              <w:t>Необхідно:</w:t>
                            </w:r>
                            <w:r w:rsidRPr="00B43250">
                              <w:rPr>
                                <w:b/>
                                <w:sz w:val="24"/>
                                <w:szCs w:val="24"/>
                              </w:rPr>
                              <w:t xml:space="preserve"> </w:t>
                            </w:r>
                            <w:r w:rsidRPr="00B43250">
                              <w:rPr>
                                <w:i/>
                                <w:sz w:val="24"/>
                                <w:szCs w:val="24"/>
                              </w:rPr>
                              <w:t>гарантоване забезпечення</w:t>
                            </w:r>
                            <w:r w:rsidRPr="00B43250">
                              <w:rPr>
                                <w:b/>
                                <w:sz w:val="24"/>
                                <w:szCs w:val="24"/>
                              </w:rPr>
                              <w:t xml:space="preserve"> </w:t>
                            </w:r>
                            <w:r w:rsidRPr="00B43250">
                              <w:rPr>
                                <w:i/>
                                <w:sz w:val="24"/>
                                <w:szCs w:val="24"/>
                              </w:rPr>
                              <w:t>надання допомоги (евакуації) дітям при типових загрозливих станах і синдромах та транспортування у найближчі відділення (лікарні)</w:t>
                            </w:r>
                          </w:p>
                          <w:p w:rsidR="001E1DF5" w:rsidRPr="00F971CF" w:rsidRDefault="001E1DF5" w:rsidP="0014646B">
                            <w:pPr>
                              <w:spacing w:line="200" w:lineRule="exact"/>
                              <w:jc w:val="center"/>
                            </w:pPr>
                          </w:p>
                        </w:txbxContent>
                      </wps:txbx>
                      <wps:bodyPr rot="0" vert="horz" wrap="square" lIns="18000" tIns="10800" rIns="18000" bIns="1080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240" o:spid="_x0000_s1158" style="position:absolute;margin-left:19.5pt;margin-top:7.8pt;width:490.1pt;height:30.7pt;z-index:252008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" strokecolor="windowText">
                <v:textbox inset=".5mm,.3mm,.5mm,.3mm">
                  <w:txbxContent>
                    <w:p w:rsidR="0057431A" w:rsidRPr="00B43250" w:rsidRDefault="0057431A" w:rsidP="0014646B">
                      <w:pPr>
                        <w:spacing w:line="200" w:lineRule="exact"/>
                        <w:rPr>
                          <w:b/>
                          <w:i/>
                          <w:sz w:val="24"/>
                          <w:szCs w:val="24"/>
                        </w:rPr>
                      </w:pPr>
                      <w:r w:rsidRPr="00B43250">
                        <w:rPr>
                          <w:b/>
                          <w:sz w:val="24"/>
                          <w:szCs w:val="24"/>
                        </w:rPr>
                        <w:t xml:space="preserve">Екстрена допомога: </w:t>
                      </w:r>
                      <w:r w:rsidRPr="00B43250">
                        <w:rPr>
                          <w:b/>
                          <w:i/>
                          <w:sz w:val="24"/>
                          <w:szCs w:val="24"/>
                        </w:rPr>
                        <w:t>Необхідно:</w:t>
                      </w:r>
                      <w:r w:rsidRPr="00B43250">
                        <w:rPr>
                          <w:b/>
                          <w:sz w:val="24"/>
                          <w:szCs w:val="24"/>
                        </w:rPr>
                        <w:t xml:space="preserve"> </w:t>
                      </w:r>
                      <w:r w:rsidRPr="00B43250">
                        <w:rPr>
                          <w:i/>
                          <w:sz w:val="24"/>
                          <w:szCs w:val="24"/>
                        </w:rPr>
                        <w:t>гарантоване забезпечення</w:t>
                      </w:r>
                      <w:r w:rsidRPr="00B43250">
                        <w:rPr>
                          <w:b/>
                          <w:sz w:val="24"/>
                          <w:szCs w:val="24"/>
                        </w:rPr>
                        <w:t xml:space="preserve"> </w:t>
                      </w:r>
                      <w:r w:rsidRPr="00B43250">
                        <w:rPr>
                          <w:i/>
                          <w:sz w:val="24"/>
                          <w:szCs w:val="24"/>
                        </w:rPr>
                        <w:t>надання допомоги (евакуації) дітям при типових загрозливих станах і синдромах та транспортування у найближчі відділення (лікарні)</w:t>
                      </w:r>
                    </w:p>
                    <w:p w:rsidR="0057431A" w:rsidRPr="00F971CF" w:rsidRDefault="0057431A" w:rsidP="0014646B">
                      <w:pPr>
                        <w:spacing w:line="200" w:lineRule="exact"/>
                        <w:jc w:val="center"/>
                      </w:pPr>
                    </w:p>
                  </w:txbxContent>
                </v:textbox>
              </v:rect>
            </w:pict>
          </mc:Fallback>
        </mc:AlternateContent>
      </w:r>
    </w:p>
    <w:p w:rsidR="0014646B" w:rsidRPr="0014646B" w:rsidRDefault="0014646B" w:rsidP="0014646B">
      <w:pPr>
        <w:spacing w:line="240" w:lineRule="auto"/>
        <w:jc w:val="left"/>
        <w:rPr>
          <w:rFonts w:eastAsia="Times New Roman"/>
          <w:sz w:val="24"/>
          <w:szCs w:val="24"/>
          <w:lang w:eastAsia="uk-UA"/>
        </w:rPr>
      </w:pPr>
    </w:p>
    <w:p w:rsidR="0014646B" w:rsidRPr="0014646B" w:rsidRDefault="0014646B" w:rsidP="0014646B">
      <w:pPr>
        <w:spacing w:line="240" w:lineRule="auto"/>
        <w:jc w:val="left"/>
        <w:rPr>
          <w:rFonts w:eastAsia="Times New Roman"/>
          <w:sz w:val="24"/>
          <w:szCs w:val="24"/>
          <w:lang w:eastAsia="uk-UA"/>
        </w:rPr>
      </w:pPr>
    </w:p>
    <w:p w:rsidR="0014646B" w:rsidRPr="0014646B" w:rsidRDefault="0014646B" w:rsidP="0014646B">
      <w:pPr>
        <w:tabs>
          <w:tab w:val="left" w:pos="2605"/>
        </w:tabs>
        <w:spacing w:line="240" w:lineRule="auto"/>
        <w:jc w:val="left"/>
        <w:rPr>
          <w:rFonts w:eastAsia="Times New Roman"/>
          <w:sz w:val="24"/>
          <w:szCs w:val="24"/>
          <w:lang w:eastAsia="uk-UA"/>
        </w:rPr>
      </w:pPr>
      <w:r w:rsidRPr="0014646B">
        <w:rPr>
          <w:rFonts w:eastAsia="Times New Roman"/>
          <w:noProof/>
          <w:sz w:val="24"/>
          <w:szCs w:val="24"/>
          <w:lang w:val="ru-RU" w:eastAsia="ru-RU"/>
        </w:rPr>
        <mc:AlternateContent>
          <mc:Choice Requires="wps">
            <w:drawing>
              <wp:anchor distT="0" distB="0" distL="114300" distR="114300" simplePos="0" relativeHeight="252009472" behindDoc="0" locked="0" layoutInCell="1" allowOverlap="1" wp14:anchorId="37EB817A" wp14:editId="60D2FF28">
                <wp:simplePos x="0" y="0"/>
                <wp:positionH relativeFrom="column">
                  <wp:posOffset>247650</wp:posOffset>
                </wp:positionH>
                <wp:positionV relativeFrom="paragraph">
                  <wp:posOffset>2346</wp:posOffset>
                </wp:positionV>
                <wp:extent cx="6224270" cy="198782"/>
                <wp:effectExtent l="0" t="0" r="24130" b="10795"/>
                <wp:wrapNone/>
                <wp:docPr id="1241" name="Прямоугольник 12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24270" cy="198782"/>
                        </a:xfrm>
                        <a:prstGeom prst="rect">
                          <a:avLst/>
                        </a:prstGeom>
                        <a:solidFill>
                          <a:srgbClr val="FFFFFF"/>
                        </a:solidFill>
                        <a:ln w="9525">
                          <a:solidFill>
                            <a:sysClr val="windowText" lastClr="000000"/>
                          </a:solidFill>
                          <a:miter lim="800000"/>
                          <a:headEnd/>
                          <a:tailEnd/>
                        </a:ln>
                      </wps:spPr>
                      <wps:txbx>
                        <w:txbxContent>
                          <w:p w:rsidR="001E1DF5" w:rsidRPr="00724FAC" w:rsidRDefault="001E1DF5" w:rsidP="0014646B">
                            <w:pPr>
                              <w:spacing w:line="200" w:lineRule="exact"/>
                              <w:rPr>
                                <w:b/>
                                <w:sz w:val="24"/>
                                <w:szCs w:val="24"/>
                              </w:rPr>
                            </w:pPr>
                            <w:r w:rsidRPr="00724FAC">
                              <w:rPr>
                                <w:b/>
                                <w:sz w:val="24"/>
                                <w:szCs w:val="24"/>
                              </w:rPr>
                              <w:t>Медична реабілітація та система раннього втручання</w:t>
                            </w:r>
                          </w:p>
                          <w:p w:rsidR="001E1DF5" w:rsidRPr="00F971CF" w:rsidRDefault="001E1DF5" w:rsidP="0014646B">
                            <w:pPr>
                              <w:spacing w:line="200" w:lineRule="exact"/>
                              <w:jc w:val="center"/>
                            </w:pPr>
                          </w:p>
                        </w:txbxContent>
                      </wps:txbx>
                      <wps:bodyPr rot="0" vert="horz" wrap="square" lIns="18000" tIns="10800" rIns="18000" bIns="1080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241" o:spid="_x0000_s1159" style="position:absolute;margin-left:19.5pt;margin-top:.2pt;width:490.1pt;height:15.65pt;z-index:252009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" strokecolor="windowText">
                <v:textbox inset=".5mm,.3mm,.5mm,.3mm">
                  <w:txbxContent>
                    <w:p w:rsidR="0057431A" w:rsidRPr="00724FAC" w:rsidRDefault="0057431A" w:rsidP="0014646B">
                      <w:pPr>
                        <w:spacing w:line="200" w:lineRule="exact"/>
                        <w:rPr>
                          <w:b/>
                          <w:sz w:val="24"/>
                          <w:szCs w:val="24"/>
                        </w:rPr>
                      </w:pPr>
                      <w:r w:rsidRPr="00724FAC">
                        <w:rPr>
                          <w:b/>
                          <w:sz w:val="24"/>
                          <w:szCs w:val="24"/>
                        </w:rPr>
                        <w:t>Медична реабілітація та система раннього втручання</w:t>
                      </w:r>
                    </w:p>
                    <w:p w:rsidR="0057431A" w:rsidRPr="00F971CF" w:rsidRDefault="0057431A" w:rsidP="0014646B">
                      <w:pPr>
                        <w:spacing w:line="200" w:lineRule="exact"/>
                        <w:jc w:val="center"/>
                      </w:pPr>
                    </w:p>
                  </w:txbxContent>
                </v:textbox>
              </v:rect>
            </w:pict>
          </mc:Fallback>
        </mc:AlternateContent>
      </w:r>
      <w:r w:rsidRPr="0014646B">
        <w:rPr>
          <w:rFonts w:eastAsia="Times New Roman"/>
          <w:sz w:val="24"/>
          <w:szCs w:val="24"/>
          <w:lang w:eastAsia="uk-UA"/>
        </w:rPr>
        <w:tab/>
      </w:r>
    </w:p>
    <w:p w:rsidR="0014646B" w:rsidRPr="0014646B" w:rsidRDefault="0014646B" w:rsidP="0014646B">
      <w:pPr>
        <w:spacing w:line="240" w:lineRule="auto"/>
        <w:jc w:val="left"/>
        <w:rPr>
          <w:rFonts w:eastAsia="Times New Roman"/>
          <w:sz w:val="24"/>
          <w:szCs w:val="24"/>
          <w:lang w:eastAsia="uk-UA"/>
        </w:rPr>
      </w:pPr>
      <w:r w:rsidRPr="0014646B">
        <w:rPr>
          <w:rFonts w:eastAsia="Times New Roman"/>
          <w:noProof/>
          <w:sz w:val="24"/>
          <w:szCs w:val="24"/>
          <w:lang w:val="ru-RU" w:eastAsia="ru-RU"/>
        </w:rPr>
        <mc:AlternateContent>
          <mc:Choice Requires="wps">
            <w:drawing>
              <wp:anchor distT="0" distB="0" distL="114300" distR="114300" simplePos="0" relativeHeight="252010496" behindDoc="0" locked="0" layoutInCell="1" allowOverlap="1" wp14:anchorId="19939992" wp14:editId="4E772911">
                <wp:simplePos x="0" y="0"/>
                <wp:positionH relativeFrom="column">
                  <wp:posOffset>249555</wp:posOffset>
                </wp:positionH>
                <wp:positionV relativeFrom="paragraph">
                  <wp:posOffset>74295</wp:posOffset>
                </wp:positionV>
                <wp:extent cx="6224270" cy="198755"/>
                <wp:effectExtent l="0" t="0" r="24130" b="10795"/>
                <wp:wrapNone/>
                <wp:docPr id="1242" name="Прямоугольник 12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24270" cy="198755"/>
                        </a:xfrm>
                        <a:prstGeom prst="rect">
                          <a:avLst/>
                        </a:prstGeom>
                        <a:solidFill>
                          <a:srgbClr val="FFFFFF"/>
                        </a:solidFill>
                        <a:ln w="9525">
                          <a:solidFill>
                            <a:sysClr val="windowText" lastClr="000000"/>
                          </a:solidFill>
                          <a:miter lim="800000"/>
                          <a:headEnd/>
                          <a:tailEnd/>
                        </a:ln>
                      </wps:spPr>
                      <wps:txbx>
                        <w:txbxContent>
                          <w:p w:rsidR="001E1DF5" w:rsidRPr="00724FAC" w:rsidRDefault="001E1DF5" w:rsidP="0014646B">
                            <w:pPr>
                              <w:spacing w:line="200" w:lineRule="exact"/>
                              <w:rPr>
                                <w:b/>
                                <w:sz w:val="24"/>
                                <w:szCs w:val="24"/>
                                <w:lang w:val="ru-RU"/>
                              </w:rPr>
                            </w:pPr>
                            <w:r w:rsidRPr="00724FAC">
                              <w:rPr>
                                <w:b/>
                                <w:sz w:val="24"/>
                                <w:szCs w:val="24"/>
                              </w:rPr>
                              <w:t>Система громадського здоров’я</w:t>
                            </w:r>
                          </w:p>
                          <w:p w:rsidR="001E1DF5" w:rsidRPr="00F971CF" w:rsidRDefault="001E1DF5" w:rsidP="0014646B">
                            <w:pPr>
                              <w:spacing w:line="200" w:lineRule="exact"/>
                              <w:jc w:val="center"/>
                            </w:pPr>
                          </w:p>
                        </w:txbxContent>
                      </wps:txbx>
                      <wps:bodyPr rot="0" vert="horz" wrap="square" lIns="18000" tIns="10800" rIns="18000" bIns="1080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242" o:spid="_x0000_s1160" style="position:absolute;margin-left:19.65pt;margin-top:5.85pt;width:490.1pt;height:15.65pt;z-index:252010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" strokecolor="windowText">
                <v:textbox inset=".5mm,.3mm,.5mm,.3mm">
                  <w:txbxContent>
                    <w:p w:rsidR="0057431A" w:rsidRPr="00724FAC" w:rsidRDefault="0057431A" w:rsidP="0014646B">
                      <w:pPr>
                        <w:spacing w:line="200" w:lineRule="exact"/>
                        <w:rPr>
                          <w:b/>
                          <w:sz w:val="24"/>
                          <w:szCs w:val="24"/>
                          <w:lang w:val="ru-RU"/>
                        </w:rPr>
                      </w:pPr>
                      <w:r w:rsidRPr="00724FAC">
                        <w:rPr>
                          <w:b/>
                          <w:sz w:val="24"/>
                          <w:szCs w:val="24"/>
                        </w:rPr>
                        <w:t>Система громадського здоров’я</w:t>
                      </w:r>
                    </w:p>
                    <w:p w:rsidR="0057431A" w:rsidRPr="00F971CF" w:rsidRDefault="0057431A" w:rsidP="0014646B">
                      <w:pPr>
                        <w:spacing w:line="200" w:lineRule="exact"/>
                        <w:jc w:val="center"/>
                      </w:pPr>
                    </w:p>
                  </w:txbxContent>
                </v:textbox>
              </v:rect>
            </w:pict>
          </mc:Fallback>
        </mc:AlternateContent>
      </w:r>
    </w:p>
    <w:p w:rsidR="0014646B" w:rsidRPr="0014646B" w:rsidRDefault="0014646B" w:rsidP="0014646B">
      <w:pPr>
        <w:spacing w:line="240" w:lineRule="auto"/>
        <w:jc w:val="left"/>
        <w:rPr>
          <w:rFonts w:eastAsia="Times New Roman"/>
          <w:sz w:val="24"/>
          <w:szCs w:val="24"/>
          <w:lang w:eastAsia="uk-UA"/>
        </w:rPr>
      </w:pPr>
      <w:r w:rsidRPr="0014646B">
        <w:rPr>
          <w:rFonts w:eastAsia="Times New Roman"/>
          <w:noProof/>
          <w:szCs w:val="28"/>
          <w:lang w:val="ru-RU" w:eastAsia="ru-RU"/>
        </w:rPr>
        <mc:AlternateContent>
          <mc:Choice Requires="wps">
            <w:drawing>
              <wp:anchor distT="0" distB="0" distL="114300" distR="114300" simplePos="0" relativeHeight="252011520" behindDoc="0" locked="0" layoutInCell="1" allowOverlap="1" wp14:anchorId="4C6F3F67" wp14:editId="62E01E2B">
                <wp:simplePos x="0" y="0"/>
                <wp:positionH relativeFrom="column">
                  <wp:posOffset>247650</wp:posOffset>
                </wp:positionH>
                <wp:positionV relativeFrom="paragraph">
                  <wp:posOffset>144780</wp:posOffset>
                </wp:positionV>
                <wp:extent cx="6224270" cy="277495"/>
                <wp:effectExtent l="0" t="0" r="62230" b="65405"/>
                <wp:wrapNone/>
                <wp:docPr id="1113" name="Прямоугольник 11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24270" cy="277495"/>
                        </a:xfrm>
                        <a:prstGeom prst="rect">
                          <a:avLst/>
                        </a:prstGeom>
                        <a:gradFill rotWithShape="1">
                          <a:gsLst>
                            <a:gs pos="0">
                              <a:srgbClr val="C0C0C0"/>
                            </a:gs>
                            <a:gs pos="50000">
                              <a:srgbClr val="FBFBFB"/>
                            </a:gs>
                            <a:gs pos="100000">
                              <a:srgbClr val="C0C0C0"/>
                            </a:gs>
                          </a:gsLst>
                          <a:lin ang="5400000" scaled="1"/>
                        </a:gradFill>
                        <a:ln w="25400">
                          <a:solidFill>
                            <a:srgbClr val="000000"/>
                          </a:solidFill>
                          <a:miter lim="800000"/>
                          <a:headEnd/>
                          <a:tailEnd/>
                        </a:ln>
                        <a:effectLst>
                          <a:outerShdw dist="53882" dir="2700000" algn="ctr" rotWithShape="0">
                            <a:srgbClr val="808080"/>
                          </a:outerShdw>
                        </a:effectLst>
                      </wps:spPr>
                      <wps:txbx>
                        <w:txbxContent>
                          <w:p w:rsidR="001E1DF5" w:rsidRPr="00737D09" w:rsidRDefault="001E1DF5" w:rsidP="0014646B">
                            <w:pPr>
                              <w:jc w:val="center"/>
                              <w:rPr>
                                <w:b/>
                              </w:rPr>
                            </w:pPr>
                            <w:r>
                              <w:rPr>
                                <w:b/>
                              </w:rPr>
                              <w:t>ІІ Кадри</w:t>
                            </w:r>
                          </w:p>
                        </w:txbxContent>
                      </wps:txbx>
                      <wps:bodyPr rot="0" vert="horz" wrap="square" lIns="0" tIns="3600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113" o:spid="_x0000_s1161" style="position:absolute;margin-left:19.5pt;margin-top:11.4pt;width:490.1pt;height:21.85pt;z-index:252011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" fillcolor="silver" strokeweight="2pt">
                <v:fill color2="#fbfbfb" rotate="t" focus="50%" type="gradient"/>
                <v:shadow on="t" offset="3pt,3pt"/>
                <v:textbox inset="0,1mm,0,0">
                  <w:txbxContent>
                    <w:p w:rsidR="0057431A" w:rsidRPr="00737D09" w:rsidRDefault="0057431A" w:rsidP="0014646B">
                      <w:pPr>
                        <w:jc w:val="center"/>
                        <w:rPr>
                          <w:b/>
                        </w:rPr>
                      </w:pPr>
                      <w:r>
                        <w:rPr>
                          <w:b/>
                        </w:rPr>
                        <w:t>ІІ Кадри</w:t>
                      </w:r>
                    </w:p>
                  </w:txbxContent>
                </v:textbox>
              </v:rect>
            </w:pict>
          </mc:Fallback>
        </mc:AlternateContent>
      </w:r>
    </w:p>
    <w:p w:rsidR="0014646B" w:rsidRPr="0014646B" w:rsidRDefault="0014646B" w:rsidP="0014646B">
      <w:pPr>
        <w:tabs>
          <w:tab w:val="left" w:pos="5485"/>
        </w:tabs>
        <w:spacing w:line="240" w:lineRule="auto"/>
        <w:jc w:val="left"/>
        <w:rPr>
          <w:rFonts w:eastAsia="Times New Roman"/>
          <w:sz w:val="24"/>
          <w:szCs w:val="24"/>
          <w:lang w:eastAsia="uk-UA"/>
        </w:rPr>
      </w:pPr>
      <w:r w:rsidRPr="0014646B">
        <w:rPr>
          <w:rFonts w:eastAsia="Times New Roman"/>
          <w:sz w:val="24"/>
          <w:szCs w:val="24"/>
          <w:lang w:eastAsia="uk-UA"/>
        </w:rPr>
        <w:tab/>
      </w:r>
    </w:p>
    <w:p w:rsidR="0014646B" w:rsidRPr="0014646B" w:rsidRDefault="0014646B" w:rsidP="0014646B">
      <w:pPr>
        <w:spacing w:line="240" w:lineRule="auto"/>
        <w:jc w:val="left"/>
        <w:rPr>
          <w:rFonts w:eastAsia="Times New Roman"/>
          <w:sz w:val="24"/>
          <w:szCs w:val="24"/>
          <w:lang w:eastAsia="uk-UA"/>
        </w:rPr>
      </w:pPr>
      <w:r w:rsidRPr="0014646B">
        <w:rPr>
          <w:rFonts w:eastAsia="Times New Roman"/>
          <w:noProof/>
          <w:sz w:val="24"/>
          <w:szCs w:val="24"/>
          <w:lang w:val="ru-RU" w:eastAsia="ru-RU"/>
        </w:rPr>
        <mc:AlternateContent>
          <mc:Choice Requires="wps">
            <w:drawing>
              <wp:anchor distT="0" distB="0" distL="114300" distR="114300" simplePos="0" relativeHeight="252012544" behindDoc="0" locked="0" layoutInCell="1" allowOverlap="1" wp14:anchorId="4AF249F6" wp14:editId="4C0C4340">
                <wp:simplePos x="0" y="0"/>
                <wp:positionH relativeFrom="column">
                  <wp:posOffset>250457</wp:posOffset>
                </wp:positionH>
                <wp:positionV relativeFrom="paragraph">
                  <wp:posOffset>139032</wp:posOffset>
                </wp:positionV>
                <wp:extent cx="6224270" cy="1187115"/>
                <wp:effectExtent l="0" t="0" r="24130" b="13335"/>
                <wp:wrapNone/>
                <wp:docPr id="1243" name="Прямоугольник 12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24270" cy="1187115"/>
                        </a:xfrm>
                        <a:prstGeom prst="rect">
                          <a:avLst/>
                        </a:prstGeom>
                        <a:solidFill>
                          <a:srgbClr val="FFFFFF"/>
                        </a:solidFill>
                        <a:ln w="9525">
                          <a:solidFill>
                            <a:sysClr val="windowText" lastClr="000000"/>
                          </a:solidFill>
                          <a:miter lim="800000"/>
                          <a:headEnd/>
                          <a:tailEnd/>
                        </a:ln>
                      </wps:spPr>
                      <wps:txbx>
                        <w:txbxContent>
                          <w:p w:rsidR="001E1DF5" w:rsidRPr="00B43250" w:rsidRDefault="001E1DF5" w:rsidP="0014646B">
                            <w:pPr>
                              <w:spacing w:line="200" w:lineRule="exact"/>
                              <w:rPr>
                                <w:sz w:val="24"/>
                                <w:szCs w:val="24"/>
                              </w:rPr>
                            </w:pPr>
                            <w:r w:rsidRPr="00B43250">
                              <w:rPr>
                                <w:sz w:val="24"/>
                                <w:szCs w:val="24"/>
                              </w:rPr>
                              <w:t>Лікарі всіх спеціальностей та рівнів надання медичної допомоги дитячому населенню та вагітним жінкам</w:t>
                            </w:r>
                          </w:p>
                          <w:p w:rsidR="001E1DF5" w:rsidRPr="00B43250" w:rsidRDefault="001E1DF5" w:rsidP="0014646B">
                            <w:pPr>
                              <w:spacing w:line="200" w:lineRule="exact"/>
                              <w:rPr>
                                <w:sz w:val="24"/>
                                <w:szCs w:val="24"/>
                              </w:rPr>
                            </w:pPr>
                            <w:r w:rsidRPr="00B43250">
                              <w:rPr>
                                <w:sz w:val="24"/>
                                <w:szCs w:val="24"/>
                              </w:rPr>
                              <w:t xml:space="preserve">Викладачі ВНЗ ІІ-ІV рівнів акредитації </w:t>
                            </w:r>
                          </w:p>
                          <w:p w:rsidR="001E1DF5" w:rsidRPr="00B43250" w:rsidRDefault="001E1DF5" w:rsidP="0014646B">
                            <w:pPr>
                              <w:spacing w:line="200" w:lineRule="exact"/>
                              <w:rPr>
                                <w:sz w:val="24"/>
                                <w:szCs w:val="24"/>
                              </w:rPr>
                            </w:pPr>
                            <w:r w:rsidRPr="00B43250">
                              <w:rPr>
                                <w:sz w:val="24"/>
                                <w:szCs w:val="24"/>
                              </w:rPr>
                              <w:t>Керівники, відповідальні педагоги, викладачі</w:t>
                            </w:r>
                            <w:r>
                              <w:rPr>
                                <w:sz w:val="24"/>
                                <w:szCs w:val="24"/>
                              </w:rPr>
                              <w:t xml:space="preserve"> дошкільних закладів </w:t>
                            </w:r>
                            <w:r w:rsidRPr="00B43250">
                              <w:rPr>
                                <w:sz w:val="24"/>
                                <w:szCs w:val="24"/>
                              </w:rPr>
                              <w:t>тощо</w:t>
                            </w:r>
                          </w:p>
                          <w:p w:rsidR="001E1DF5" w:rsidRPr="00B43250" w:rsidRDefault="001E1DF5" w:rsidP="0014646B">
                            <w:pPr>
                              <w:spacing w:line="200" w:lineRule="exact"/>
                              <w:rPr>
                                <w:sz w:val="24"/>
                                <w:szCs w:val="24"/>
                              </w:rPr>
                            </w:pPr>
                            <w:r w:rsidRPr="00B43250">
                              <w:rPr>
                                <w:sz w:val="24"/>
                                <w:szCs w:val="24"/>
                              </w:rPr>
                              <w:t>Голови та члени громадських організацій, молодіжних рухів</w:t>
                            </w:r>
                          </w:p>
                          <w:p w:rsidR="001E1DF5" w:rsidRPr="00B43250" w:rsidRDefault="001E1DF5" w:rsidP="0014646B">
                            <w:pPr>
                              <w:spacing w:line="200" w:lineRule="exact"/>
                              <w:rPr>
                                <w:sz w:val="24"/>
                                <w:szCs w:val="24"/>
                              </w:rPr>
                            </w:pPr>
                            <w:r w:rsidRPr="00B43250">
                              <w:rPr>
                                <w:sz w:val="24"/>
                                <w:szCs w:val="24"/>
                              </w:rPr>
                              <w:t>Керівних підприємств всіх форм власності</w:t>
                            </w:r>
                          </w:p>
                          <w:p w:rsidR="001E1DF5" w:rsidRPr="00B43250" w:rsidRDefault="001E1DF5" w:rsidP="0014646B">
                            <w:pPr>
                              <w:spacing w:line="200" w:lineRule="exact"/>
                              <w:rPr>
                                <w:sz w:val="24"/>
                                <w:szCs w:val="24"/>
                              </w:rPr>
                            </w:pPr>
                            <w:r w:rsidRPr="00B43250">
                              <w:rPr>
                                <w:sz w:val="24"/>
                                <w:szCs w:val="24"/>
                              </w:rPr>
                              <w:t>Керівники та працівники служб соціального захисту</w:t>
                            </w:r>
                          </w:p>
                          <w:p w:rsidR="001E1DF5" w:rsidRPr="00B43250" w:rsidRDefault="001E1DF5" w:rsidP="0014646B">
                            <w:pPr>
                              <w:spacing w:line="200" w:lineRule="exact"/>
                              <w:rPr>
                                <w:sz w:val="24"/>
                                <w:szCs w:val="24"/>
                              </w:rPr>
                            </w:pPr>
                            <w:r w:rsidRPr="00B43250">
                              <w:rPr>
                                <w:sz w:val="24"/>
                                <w:szCs w:val="24"/>
                              </w:rPr>
                              <w:t>Керівники та відповідальні особи органів місцевого самоврядування</w:t>
                            </w:r>
                          </w:p>
                          <w:p w:rsidR="001E1DF5" w:rsidRPr="00B43250" w:rsidRDefault="001E1DF5" w:rsidP="0014646B">
                            <w:pPr>
                              <w:spacing w:line="200" w:lineRule="exact"/>
                              <w:rPr>
                                <w:sz w:val="24"/>
                                <w:szCs w:val="24"/>
                              </w:rPr>
                            </w:pPr>
                            <w:r w:rsidRPr="00B43250">
                              <w:rPr>
                                <w:sz w:val="24"/>
                                <w:szCs w:val="24"/>
                              </w:rPr>
                              <w:t>Керівники, працівники засобів масової інформації та комунікацій</w:t>
                            </w:r>
                          </w:p>
                        </w:txbxContent>
                      </wps:txbx>
                      <wps:bodyPr rot="0" vert="horz" wrap="square" lIns="36000" tIns="36000" rIns="36000" bIns="1080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243" o:spid="_x0000_s1162" style="position:absolute;margin-left:19.7pt;margin-top:10.95pt;width:490.1pt;height:93.45pt;z-index:252012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" strokecolor="windowText">
                <v:textbox inset="1mm,1mm,1mm,.3mm">
                  <w:txbxContent>
                    <w:p w:rsidR="0057431A" w:rsidRPr="00B43250" w:rsidRDefault="0057431A" w:rsidP="0014646B">
                      <w:pPr>
                        <w:spacing w:line="200" w:lineRule="exact"/>
                        <w:rPr>
                          <w:sz w:val="24"/>
                          <w:szCs w:val="24"/>
                        </w:rPr>
                      </w:pPr>
                      <w:r w:rsidRPr="00B43250">
                        <w:rPr>
                          <w:sz w:val="24"/>
                          <w:szCs w:val="24"/>
                        </w:rPr>
                        <w:t>Лікарі всіх спеціальностей та рівнів надання медичної допомоги дитячому населенню та вагітним жінкам</w:t>
                      </w:r>
                    </w:p>
                    <w:p w:rsidR="0057431A" w:rsidRPr="00B43250" w:rsidRDefault="0057431A" w:rsidP="0014646B">
                      <w:pPr>
                        <w:spacing w:line="200" w:lineRule="exact"/>
                        <w:rPr>
                          <w:sz w:val="24"/>
                          <w:szCs w:val="24"/>
                        </w:rPr>
                      </w:pPr>
                      <w:r w:rsidRPr="00B43250">
                        <w:rPr>
                          <w:sz w:val="24"/>
                          <w:szCs w:val="24"/>
                        </w:rPr>
                        <w:t xml:space="preserve">Викладачі ВНЗ ІІ-ІV рівнів акредитації </w:t>
                      </w:r>
                    </w:p>
                    <w:p w:rsidR="0057431A" w:rsidRPr="00B43250" w:rsidRDefault="0057431A" w:rsidP="0014646B">
                      <w:pPr>
                        <w:spacing w:line="200" w:lineRule="exact"/>
                        <w:rPr>
                          <w:sz w:val="24"/>
                          <w:szCs w:val="24"/>
                        </w:rPr>
                      </w:pPr>
                      <w:r w:rsidRPr="00B43250">
                        <w:rPr>
                          <w:sz w:val="24"/>
                          <w:szCs w:val="24"/>
                        </w:rPr>
                        <w:t>Керівники, відповідальні педагоги, викладачі</w:t>
                      </w:r>
                      <w:r>
                        <w:rPr>
                          <w:sz w:val="24"/>
                          <w:szCs w:val="24"/>
                        </w:rPr>
                        <w:t xml:space="preserve"> дошкільних закладів </w:t>
                      </w:r>
                      <w:r w:rsidRPr="00B43250">
                        <w:rPr>
                          <w:sz w:val="24"/>
                          <w:szCs w:val="24"/>
                        </w:rPr>
                        <w:t>тощо</w:t>
                      </w:r>
                    </w:p>
                    <w:p w:rsidR="0057431A" w:rsidRPr="00B43250" w:rsidRDefault="0057431A" w:rsidP="0014646B">
                      <w:pPr>
                        <w:spacing w:line="200" w:lineRule="exact"/>
                        <w:rPr>
                          <w:sz w:val="24"/>
                          <w:szCs w:val="24"/>
                        </w:rPr>
                      </w:pPr>
                      <w:r w:rsidRPr="00B43250">
                        <w:rPr>
                          <w:sz w:val="24"/>
                          <w:szCs w:val="24"/>
                        </w:rPr>
                        <w:t>Голови та члени громадських організацій, молодіжних рухів</w:t>
                      </w:r>
                    </w:p>
                    <w:p w:rsidR="0057431A" w:rsidRPr="00B43250" w:rsidRDefault="0057431A" w:rsidP="0014646B">
                      <w:pPr>
                        <w:spacing w:line="200" w:lineRule="exact"/>
                        <w:rPr>
                          <w:sz w:val="24"/>
                          <w:szCs w:val="24"/>
                        </w:rPr>
                      </w:pPr>
                      <w:r w:rsidRPr="00B43250">
                        <w:rPr>
                          <w:sz w:val="24"/>
                          <w:szCs w:val="24"/>
                        </w:rPr>
                        <w:t>Керівних підприємств всіх форм власності</w:t>
                      </w:r>
                    </w:p>
                    <w:p w:rsidR="0057431A" w:rsidRPr="00B43250" w:rsidRDefault="0057431A" w:rsidP="0014646B">
                      <w:pPr>
                        <w:spacing w:line="200" w:lineRule="exact"/>
                        <w:rPr>
                          <w:sz w:val="24"/>
                          <w:szCs w:val="24"/>
                        </w:rPr>
                      </w:pPr>
                      <w:r w:rsidRPr="00B43250">
                        <w:rPr>
                          <w:sz w:val="24"/>
                          <w:szCs w:val="24"/>
                        </w:rPr>
                        <w:t>Керівники та працівники служб соціального захисту</w:t>
                      </w:r>
                    </w:p>
                    <w:p w:rsidR="0057431A" w:rsidRPr="00B43250" w:rsidRDefault="0057431A" w:rsidP="0014646B">
                      <w:pPr>
                        <w:spacing w:line="200" w:lineRule="exact"/>
                        <w:rPr>
                          <w:sz w:val="24"/>
                          <w:szCs w:val="24"/>
                        </w:rPr>
                      </w:pPr>
                      <w:r w:rsidRPr="00B43250">
                        <w:rPr>
                          <w:sz w:val="24"/>
                          <w:szCs w:val="24"/>
                        </w:rPr>
                        <w:t>Керівники та відповідальні особи органів місцевого самоврядування</w:t>
                      </w:r>
                    </w:p>
                    <w:p w:rsidR="0057431A" w:rsidRPr="00B43250" w:rsidRDefault="0057431A" w:rsidP="0014646B">
                      <w:pPr>
                        <w:spacing w:line="200" w:lineRule="exact"/>
                        <w:rPr>
                          <w:sz w:val="24"/>
                          <w:szCs w:val="24"/>
                        </w:rPr>
                      </w:pPr>
                      <w:r w:rsidRPr="00B43250">
                        <w:rPr>
                          <w:sz w:val="24"/>
                          <w:szCs w:val="24"/>
                        </w:rPr>
                        <w:t>Керівники, працівники засобів масової інформації та комунікацій</w:t>
                      </w:r>
                    </w:p>
                  </w:txbxContent>
                </v:textbox>
              </v:rect>
            </w:pict>
          </mc:Fallback>
        </mc:AlternateContent>
      </w:r>
    </w:p>
    <w:p w:rsidR="0014646B" w:rsidRPr="0014646B" w:rsidRDefault="0014646B" w:rsidP="0014646B">
      <w:pPr>
        <w:tabs>
          <w:tab w:val="left" w:pos="1966"/>
        </w:tabs>
        <w:spacing w:line="240" w:lineRule="auto"/>
        <w:jc w:val="left"/>
        <w:rPr>
          <w:rFonts w:eastAsia="Times New Roman"/>
          <w:sz w:val="24"/>
          <w:szCs w:val="24"/>
          <w:lang w:eastAsia="uk-UA"/>
        </w:rPr>
      </w:pPr>
      <w:r w:rsidRPr="0014646B">
        <w:rPr>
          <w:rFonts w:eastAsia="Times New Roman"/>
          <w:sz w:val="24"/>
          <w:szCs w:val="24"/>
          <w:lang w:eastAsia="uk-UA"/>
        </w:rPr>
        <w:tab/>
      </w:r>
    </w:p>
    <w:p w:rsidR="0014646B" w:rsidRPr="0014646B" w:rsidRDefault="0014646B" w:rsidP="0014646B">
      <w:pPr>
        <w:spacing w:line="240" w:lineRule="auto"/>
        <w:jc w:val="left"/>
        <w:rPr>
          <w:rFonts w:eastAsia="Times New Roman"/>
          <w:sz w:val="24"/>
          <w:szCs w:val="24"/>
          <w:lang w:eastAsia="uk-UA"/>
        </w:rPr>
      </w:pPr>
    </w:p>
    <w:p w:rsidR="0014646B" w:rsidRPr="0014646B" w:rsidRDefault="0014646B" w:rsidP="0014646B">
      <w:pPr>
        <w:spacing w:line="240" w:lineRule="auto"/>
        <w:jc w:val="left"/>
        <w:rPr>
          <w:rFonts w:eastAsia="Times New Roman"/>
          <w:sz w:val="24"/>
          <w:szCs w:val="24"/>
          <w:lang w:eastAsia="uk-UA"/>
        </w:rPr>
      </w:pPr>
    </w:p>
    <w:p w:rsidR="0014646B" w:rsidRPr="0014646B" w:rsidRDefault="0014646B" w:rsidP="0014646B">
      <w:pPr>
        <w:spacing w:line="240" w:lineRule="auto"/>
        <w:jc w:val="left"/>
        <w:rPr>
          <w:rFonts w:eastAsia="Times New Roman"/>
          <w:sz w:val="24"/>
          <w:szCs w:val="24"/>
          <w:lang w:eastAsia="uk-UA"/>
        </w:rPr>
      </w:pPr>
    </w:p>
    <w:p w:rsidR="0014646B" w:rsidRPr="0014646B" w:rsidRDefault="0014646B" w:rsidP="0014646B">
      <w:pPr>
        <w:tabs>
          <w:tab w:val="left" w:pos="3506"/>
        </w:tabs>
        <w:spacing w:line="240" w:lineRule="auto"/>
        <w:jc w:val="left"/>
        <w:rPr>
          <w:rFonts w:eastAsia="Times New Roman"/>
          <w:sz w:val="24"/>
          <w:szCs w:val="24"/>
          <w:lang w:eastAsia="uk-UA"/>
        </w:rPr>
      </w:pPr>
      <w:r w:rsidRPr="0014646B">
        <w:rPr>
          <w:rFonts w:eastAsia="Times New Roman"/>
          <w:sz w:val="24"/>
          <w:szCs w:val="24"/>
          <w:lang w:eastAsia="uk-UA"/>
        </w:rPr>
        <w:tab/>
      </w:r>
    </w:p>
    <w:p w:rsidR="0014646B" w:rsidRPr="0014646B" w:rsidRDefault="0014646B" w:rsidP="0014646B">
      <w:pPr>
        <w:spacing w:line="240" w:lineRule="auto"/>
        <w:jc w:val="left"/>
        <w:rPr>
          <w:rFonts w:eastAsia="Times New Roman"/>
          <w:sz w:val="24"/>
          <w:szCs w:val="24"/>
          <w:lang w:eastAsia="uk-UA"/>
        </w:rPr>
      </w:pPr>
    </w:p>
    <w:p w:rsidR="0014646B" w:rsidRPr="0014646B" w:rsidRDefault="0014646B" w:rsidP="0014646B">
      <w:pPr>
        <w:spacing w:line="240" w:lineRule="auto"/>
        <w:jc w:val="left"/>
        <w:rPr>
          <w:rFonts w:eastAsia="Times New Roman"/>
          <w:sz w:val="24"/>
          <w:szCs w:val="24"/>
          <w:lang w:eastAsia="uk-UA"/>
        </w:rPr>
      </w:pPr>
      <w:r w:rsidRPr="0014646B">
        <w:rPr>
          <w:rFonts w:eastAsia="Times New Roman"/>
          <w:noProof/>
          <w:szCs w:val="28"/>
          <w:lang w:val="ru-RU" w:eastAsia="ru-RU"/>
        </w:rPr>
        <mc:AlternateContent>
          <mc:Choice Requires="wps">
            <w:drawing>
              <wp:anchor distT="0" distB="0" distL="114300" distR="114300" simplePos="0" relativeHeight="252013568" behindDoc="0" locked="0" layoutInCell="1" allowOverlap="1" wp14:anchorId="0D7CC2C6" wp14:editId="0648D537">
                <wp:simplePos x="0" y="0"/>
                <wp:positionH relativeFrom="column">
                  <wp:posOffset>248920</wp:posOffset>
                </wp:positionH>
                <wp:positionV relativeFrom="paragraph">
                  <wp:posOffset>150495</wp:posOffset>
                </wp:positionV>
                <wp:extent cx="6224270" cy="277495"/>
                <wp:effectExtent l="0" t="0" r="62230" b="65405"/>
                <wp:wrapNone/>
                <wp:docPr id="1114" name="Прямоугольник 11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24270" cy="277495"/>
                        </a:xfrm>
                        <a:prstGeom prst="rect">
                          <a:avLst/>
                        </a:prstGeom>
                        <a:gradFill rotWithShape="1">
                          <a:gsLst>
                            <a:gs pos="0">
                              <a:srgbClr val="C0C0C0"/>
                            </a:gs>
                            <a:gs pos="50000">
                              <a:srgbClr val="FBFBFB"/>
                            </a:gs>
                            <a:gs pos="100000">
                              <a:srgbClr val="C0C0C0"/>
                            </a:gs>
                          </a:gsLst>
                          <a:lin ang="5400000" scaled="1"/>
                        </a:gradFill>
                        <a:ln w="25400">
                          <a:solidFill>
                            <a:srgbClr val="000000"/>
                          </a:solidFill>
                          <a:miter lim="800000"/>
                          <a:headEnd/>
                          <a:tailEnd/>
                        </a:ln>
                        <a:effectLst>
                          <a:outerShdw dist="53882" dir="2700000" algn="ctr" rotWithShape="0">
                            <a:srgbClr val="808080"/>
                          </a:outerShdw>
                        </a:effectLst>
                      </wps:spPr>
                      <wps:txbx>
                        <w:txbxContent>
                          <w:p w:rsidR="001E1DF5" w:rsidRPr="00737D09" w:rsidRDefault="001E1DF5" w:rsidP="0014646B">
                            <w:pPr>
                              <w:jc w:val="center"/>
                              <w:rPr>
                                <w:b/>
                              </w:rPr>
                            </w:pPr>
                            <w:r>
                              <w:rPr>
                                <w:b/>
                              </w:rPr>
                              <w:t xml:space="preserve">ІІІ </w:t>
                            </w:r>
                            <w:r w:rsidRPr="00731FA4">
                              <w:rPr>
                                <w:b/>
                              </w:rPr>
                              <w:t>Матеріально-технічна база</w:t>
                            </w:r>
                          </w:p>
                        </w:txbxContent>
                      </wps:txbx>
                      <wps:bodyPr rot="0" vert="horz" wrap="square" lIns="0" tIns="3600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114" o:spid="_x0000_s1163" style="position:absolute;margin-left:19.6pt;margin-top:11.85pt;width:490.1pt;height:21.85pt;z-index:252013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" fillcolor="silver" strokeweight="2pt">
                <v:fill color2="#fbfbfb" rotate="t" focus="50%" type="gradient"/>
                <v:shadow on="t" offset="3pt,3pt"/>
                <v:textbox inset="0,1mm,0,0">
                  <w:txbxContent>
                    <w:p w:rsidR="0057431A" w:rsidRPr="00737D09" w:rsidRDefault="0057431A" w:rsidP="0014646B">
                      <w:pPr>
                        <w:jc w:val="center"/>
                        <w:rPr>
                          <w:b/>
                        </w:rPr>
                      </w:pPr>
                      <w:r>
                        <w:rPr>
                          <w:b/>
                        </w:rPr>
                        <w:t xml:space="preserve">ІІІ </w:t>
                      </w:r>
                      <w:r w:rsidRPr="00731FA4">
                        <w:rPr>
                          <w:b/>
                        </w:rPr>
                        <w:t>Матеріально-технічна база</w:t>
                      </w:r>
                    </w:p>
                  </w:txbxContent>
                </v:textbox>
              </v:rect>
            </w:pict>
          </mc:Fallback>
        </mc:AlternateContent>
      </w:r>
    </w:p>
    <w:p w:rsidR="0014646B" w:rsidRPr="0014646B" w:rsidRDefault="0014646B" w:rsidP="0014646B">
      <w:pPr>
        <w:spacing w:line="240" w:lineRule="auto"/>
        <w:jc w:val="left"/>
        <w:rPr>
          <w:rFonts w:eastAsia="Times New Roman"/>
          <w:sz w:val="24"/>
          <w:szCs w:val="24"/>
          <w:lang w:eastAsia="uk-UA"/>
        </w:rPr>
      </w:pPr>
    </w:p>
    <w:p w:rsidR="0014646B" w:rsidRPr="0014646B" w:rsidRDefault="0014646B" w:rsidP="0014646B">
      <w:pPr>
        <w:spacing w:line="240" w:lineRule="auto"/>
        <w:jc w:val="left"/>
        <w:rPr>
          <w:rFonts w:eastAsia="Times New Roman"/>
          <w:sz w:val="24"/>
          <w:szCs w:val="24"/>
          <w:lang w:eastAsia="uk-UA"/>
        </w:rPr>
      </w:pPr>
      <w:r w:rsidRPr="0014646B">
        <w:rPr>
          <w:rFonts w:eastAsia="Times New Roman"/>
          <w:noProof/>
          <w:sz w:val="24"/>
          <w:szCs w:val="24"/>
          <w:lang w:val="ru-RU" w:eastAsia="ru-RU"/>
        </w:rPr>
        <mc:AlternateContent>
          <mc:Choice Requires="wps">
            <w:drawing>
              <wp:anchor distT="0" distB="0" distL="114300" distR="114300" simplePos="0" relativeHeight="252014592" behindDoc="0" locked="0" layoutInCell="1" allowOverlap="1" wp14:anchorId="332843B2" wp14:editId="2AB9DDA8">
                <wp:simplePos x="0" y="0"/>
                <wp:positionH relativeFrom="column">
                  <wp:posOffset>250457</wp:posOffset>
                </wp:positionH>
                <wp:positionV relativeFrom="paragraph">
                  <wp:posOffset>149860</wp:posOffset>
                </wp:positionV>
                <wp:extent cx="6224270" cy="1200651"/>
                <wp:effectExtent l="0" t="0" r="24130" b="19050"/>
                <wp:wrapNone/>
                <wp:docPr id="1115" name="Прямоугольник 11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24270" cy="1200651"/>
                        </a:xfrm>
                        <a:prstGeom prst="rect">
                          <a:avLst/>
                        </a:prstGeom>
                        <a:solidFill>
                          <a:srgbClr val="FFFFFF"/>
                        </a:solidFill>
                        <a:ln w="9525">
                          <a:solidFill>
                            <a:sysClr val="windowText" lastClr="000000"/>
                          </a:solidFill>
                          <a:miter lim="800000"/>
                          <a:headEnd/>
                          <a:tailEnd/>
                        </a:ln>
                      </wps:spPr>
                      <wps:txbx>
                        <w:txbxContent>
                          <w:p w:rsidR="001E1DF5" w:rsidRPr="00E70575" w:rsidRDefault="001E1DF5" w:rsidP="0014646B">
                            <w:pPr>
                              <w:tabs>
                                <w:tab w:val="left" w:pos="426"/>
                              </w:tabs>
                              <w:spacing w:line="200" w:lineRule="exact"/>
                              <w:rPr>
                                <w:sz w:val="24"/>
                                <w:szCs w:val="24"/>
                              </w:rPr>
                            </w:pPr>
                            <w:r w:rsidRPr="00E70575">
                              <w:rPr>
                                <w:sz w:val="24"/>
                                <w:szCs w:val="24"/>
                              </w:rPr>
                              <w:t>1. Заклади ОЗ всіх рівнів надання медичної допомоги дітям та перинатальної допомоги: умови для здійснення профілактики, забезпечення відповідності стандартам надання та якості медичної допомоги, стандартам оснащення, належний санітарно-гігієнічний та технічний стан, умови для створення єдиного реєстру та медичного документообігу, система безпечного перебування в ЗОЗ</w:t>
                            </w:r>
                          </w:p>
                          <w:p w:rsidR="001E1DF5" w:rsidRPr="008B3465" w:rsidRDefault="001E1DF5" w:rsidP="0014646B">
                            <w:pPr>
                              <w:tabs>
                                <w:tab w:val="left" w:pos="426"/>
                              </w:tabs>
                              <w:spacing w:line="200" w:lineRule="exact"/>
                              <w:rPr>
                                <w:sz w:val="24"/>
                                <w:szCs w:val="24"/>
                              </w:rPr>
                            </w:pPr>
                            <w:r w:rsidRPr="00E70575">
                              <w:rPr>
                                <w:sz w:val="24"/>
                                <w:szCs w:val="24"/>
                              </w:rPr>
                              <w:t>2</w:t>
                            </w:r>
                            <w:r w:rsidRPr="008B3465">
                              <w:rPr>
                                <w:sz w:val="24"/>
                                <w:szCs w:val="24"/>
                              </w:rPr>
                              <w:t>. Служби соціального захисту: відповідне технічне обладнання, засоби комунікації.</w:t>
                            </w:r>
                          </w:p>
                          <w:p w:rsidR="001E1DF5" w:rsidRPr="008B3465" w:rsidRDefault="001E1DF5" w:rsidP="0014646B">
                            <w:pPr>
                              <w:tabs>
                                <w:tab w:val="left" w:pos="426"/>
                              </w:tabs>
                              <w:spacing w:line="200" w:lineRule="exact"/>
                              <w:rPr>
                                <w:sz w:val="24"/>
                                <w:szCs w:val="24"/>
                              </w:rPr>
                            </w:pPr>
                            <w:r w:rsidRPr="008B3465">
                              <w:rPr>
                                <w:sz w:val="24"/>
                                <w:szCs w:val="24"/>
                              </w:rPr>
                              <w:t>3. Рівень громади: база для створення умов для здорового способу життя, формування стереотипу сім`ї орієнтованого на збереження здоров’я дітей, профілактика насильства в сім’ї</w:t>
                            </w:r>
                          </w:p>
                          <w:p w:rsidR="001E1DF5" w:rsidRPr="008B3465" w:rsidRDefault="001E1DF5" w:rsidP="0014646B">
                            <w:pPr>
                              <w:tabs>
                                <w:tab w:val="left" w:pos="426"/>
                              </w:tabs>
                              <w:spacing w:line="200" w:lineRule="exact"/>
                              <w:rPr>
                                <w:sz w:val="24"/>
                                <w:szCs w:val="24"/>
                              </w:rPr>
                            </w:pPr>
                            <w:r w:rsidRPr="008B3465">
                              <w:rPr>
                                <w:sz w:val="24"/>
                                <w:szCs w:val="24"/>
                              </w:rPr>
                              <w:t xml:space="preserve">4. Громадські професійні та непрофесійні організації, партнерські об’єднання тощо </w:t>
                            </w:r>
                          </w:p>
                          <w:p w:rsidR="001E1DF5" w:rsidRPr="00F971CF" w:rsidRDefault="001E1DF5" w:rsidP="0014646B">
                            <w:pPr>
                              <w:spacing w:line="220" w:lineRule="exact"/>
                            </w:pPr>
                          </w:p>
                        </w:txbxContent>
                      </wps:txbx>
                      <wps:bodyPr rot="0" vert="horz" wrap="square" lIns="36000" tIns="36000" rIns="36000" bIns="1080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115" o:spid="_x0000_s1164" style="position:absolute;margin-left:19.7pt;margin-top:11.8pt;width:490.1pt;height:94.55pt;z-index:252014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" strokecolor="windowText">
                <v:textbox inset="1mm,1mm,1mm,.3mm">
                  <w:txbxContent>
                    <w:p w:rsidR="0057431A" w:rsidRPr="00E70575" w:rsidRDefault="0057431A" w:rsidP="0014646B">
                      <w:pPr>
                        <w:tabs>
                          <w:tab w:val="left" w:pos="426"/>
                        </w:tabs>
                        <w:spacing w:line="200" w:lineRule="exact"/>
                        <w:rPr>
                          <w:sz w:val="24"/>
                          <w:szCs w:val="24"/>
                        </w:rPr>
                      </w:pPr>
                      <w:r w:rsidRPr="00E70575">
                        <w:rPr>
                          <w:sz w:val="24"/>
                          <w:szCs w:val="24"/>
                        </w:rPr>
                        <w:t>1. Заклади ОЗ всіх рівнів надання медичної допомоги дітям та перинатальної допомоги: умови для здійснення профілактики, забезпечення відповідності стандартам надання та якості медичної допомоги, стандартам оснащення, належний санітарно-гігієнічний та технічний стан, умови для створення єдиного реєстру та медичного документообігу, система безпечного перебування в ЗОЗ</w:t>
                      </w:r>
                    </w:p>
                    <w:p w:rsidR="0057431A" w:rsidRPr="008B3465" w:rsidRDefault="0057431A" w:rsidP="0014646B">
                      <w:pPr>
                        <w:tabs>
                          <w:tab w:val="left" w:pos="426"/>
                        </w:tabs>
                        <w:spacing w:line="200" w:lineRule="exact"/>
                        <w:rPr>
                          <w:sz w:val="24"/>
                          <w:szCs w:val="24"/>
                        </w:rPr>
                      </w:pPr>
                      <w:r w:rsidRPr="00E70575">
                        <w:rPr>
                          <w:sz w:val="24"/>
                          <w:szCs w:val="24"/>
                        </w:rPr>
                        <w:t>2</w:t>
                      </w:r>
                      <w:r w:rsidRPr="008B3465">
                        <w:rPr>
                          <w:sz w:val="24"/>
                          <w:szCs w:val="24"/>
                        </w:rPr>
                        <w:t>. Служби соціального захисту: відповідне технічне обладнання, засоби комунікації.</w:t>
                      </w:r>
                    </w:p>
                    <w:p w:rsidR="0057431A" w:rsidRPr="008B3465" w:rsidRDefault="0057431A" w:rsidP="0014646B">
                      <w:pPr>
                        <w:tabs>
                          <w:tab w:val="left" w:pos="426"/>
                        </w:tabs>
                        <w:spacing w:line="200" w:lineRule="exact"/>
                        <w:rPr>
                          <w:sz w:val="24"/>
                          <w:szCs w:val="24"/>
                        </w:rPr>
                      </w:pPr>
                      <w:r w:rsidRPr="008B3465">
                        <w:rPr>
                          <w:sz w:val="24"/>
                          <w:szCs w:val="24"/>
                        </w:rPr>
                        <w:t>3. Рівень громади: база для створення умов для здорового способу життя, формування стереотипу сім`ї орієнтованого на збереження здоров’я дітей, профілактика насильства в сім’ї</w:t>
                      </w:r>
                    </w:p>
                    <w:p w:rsidR="0057431A" w:rsidRPr="008B3465" w:rsidRDefault="0057431A" w:rsidP="0014646B">
                      <w:pPr>
                        <w:tabs>
                          <w:tab w:val="left" w:pos="426"/>
                        </w:tabs>
                        <w:spacing w:line="200" w:lineRule="exact"/>
                        <w:rPr>
                          <w:sz w:val="24"/>
                          <w:szCs w:val="24"/>
                        </w:rPr>
                      </w:pPr>
                      <w:r w:rsidRPr="008B3465">
                        <w:rPr>
                          <w:sz w:val="24"/>
                          <w:szCs w:val="24"/>
                        </w:rPr>
                        <w:t xml:space="preserve">4. Громадські професійні та непрофесійні організації, партнерські об’єднання тощо </w:t>
                      </w:r>
                    </w:p>
                    <w:p w:rsidR="0057431A" w:rsidRPr="00F971CF" w:rsidRDefault="0057431A" w:rsidP="0014646B">
                      <w:pPr>
                        <w:spacing w:line="220" w:lineRule="exact"/>
                      </w:pPr>
                    </w:p>
                  </w:txbxContent>
                </v:textbox>
              </v:rect>
            </w:pict>
          </mc:Fallback>
        </mc:AlternateContent>
      </w:r>
    </w:p>
    <w:p w:rsidR="0014646B" w:rsidRPr="0014646B" w:rsidRDefault="0014646B" w:rsidP="0014646B">
      <w:pPr>
        <w:spacing w:line="240" w:lineRule="auto"/>
        <w:jc w:val="left"/>
        <w:rPr>
          <w:rFonts w:eastAsia="Times New Roman"/>
          <w:sz w:val="24"/>
          <w:szCs w:val="24"/>
          <w:lang w:eastAsia="uk-UA"/>
        </w:rPr>
      </w:pPr>
    </w:p>
    <w:p w:rsidR="0014646B" w:rsidRPr="0014646B" w:rsidRDefault="0014646B" w:rsidP="0014646B">
      <w:pPr>
        <w:tabs>
          <w:tab w:val="left" w:pos="4558"/>
        </w:tabs>
        <w:spacing w:line="240" w:lineRule="auto"/>
        <w:jc w:val="left"/>
        <w:rPr>
          <w:rFonts w:eastAsia="Times New Roman"/>
          <w:sz w:val="24"/>
          <w:szCs w:val="24"/>
          <w:lang w:eastAsia="uk-UA"/>
        </w:rPr>
      </w:pPr>
      <w:r w:rsidRPr="0014646B">
        <w:rPr>
          <w:rFonts w:eastAsia="Times New Roman"/>
          <w:sz w:val="24"/>
          <w:szCs w:val="24"/>
          <w:lang w:eastAsia="uk-UA"/>
        </w:rPr>
        <w:tab/>
      </w:r>
    </w:p>
    <w:p w:rsidR="0014646B" w:rsidRPr="0014646B" w:rsidRDefault="0014646B" w:rsidP="0014646B">
      <w:pPr>
        <w:spacing w:line="240" w:lineRule="auto"/>
        <w:jc w:val="left"/>
        <w:rPr>
          <w:rFonts w:eastAsia="Times New Roman"/>
          <w:sz w:val="24"/>
          <w:szCs w:val="24"/>
          <w:lang w:eastAsia="uk-UA"/>
        </w:rPr>
      </w:pPr>
    </w:p>
    <w:p w:rsidR="0014646B" w:rsidRPr="0014646B" w:rsidRDefault="0014646B" w:rsidP="0014646B">
      <w:pPr>
        <w:tabs>
          <w:tab w:val="left" w:pos="4295"/>
        </w:tabs>
        <w:spacing w:line="240" w:lineRule="auto"/>
        <w:jc w:val="left"/>
        <w:rPr>
          <w:rFonts w:eastAsia="Times New Roman"/>
          <w:sz w:val="24"/>
          <w:szCs w:val="24"/>
          <w:lang w:eastAsia="uk-UA"/>
        </w:rPr>
      </w:pPr>
      <w:r w:rsidRPr="0014646B">
        <w:rPr>
          <w:rFonts w:eastAsia="Times New Roman"/>
          <w:sz w:val="24"/>
          <w:szCs w:val="24"/>
          <w:lang w:eastAsia="uk-UA"/>
        </w:rPr>
        <w:tab/>
      </w:r>
    </w:p>
    <w:p w:rsidR="0014646B" w:rsidRPr="0014646B" w:rsidRDefault="0014646B" w:rsidP="0014646B">
      <w:pPr>
        <w:tabs>
          <w:tab w:val="left" w:pos="1215"/>
        </w:tabs>
        <w:spacing w:line="240" w:lineRule="auto"/>
        <w:jc w:val="left"/>
        <w:rPr>
          <w:rFonts w:eastAsia="Times New Roman"/>
          <w:sz w:val="24"/>
          <w:szCs w:val="24"/>
          <w:lang w:eastAsia="uk-UA"/>
        </w:rPr>
      </w:pPr>
      <w:r w:rsidRPr="0014646B">
        <w:rPr>
          <w:rFonts w:eastAsia="Times New Roman"/>
          <w:sz w:val="24"/>
          <w:szCs w:val="24"/>
          <w:lang w:eastAsia="uk-UA"/>
        </w:rPr>
        <w:tab/>
      </w:r>
    </w:p>
    <w:p w:rsidR="0014646B" w:rsidRPr="0014646B" w:rsidRDefault="0014646B" w:rsidP="0014646B">
      <w:pPr>
        <w:tabs>
          <w:tab w:val="left" w:pos="1215"/>
        </w:tabs>
        <w:spacing w:line="240" w:lineRule="auto"/>
        <w:jc w:val="left"/>
        <w:rPr>
          <w:rFonts w:eastAsia="Times New Roman"/>
          <w:sz w:val="24"/>
          <w:szCs w:val="24"/>
          <w:lang w:eastAsia="uk-UA"/>
        </w:rPr>
      </w:pPr>
    </w:p>
    <w:p w:rsidR="0014646B" w:rsidRPr="009169D8" w:rsidRDefault="0014646B" w:rsidP="0014646B">
      <w:pPr>
        <w:spacing w:line="240" w:lineRule="auto"/>
        <w:ind w:firstLine="708"/>
        <w:jc w:val="left"/>
        <w:rPr>
          <w:rFonts w:eastAsia="Times New Roman"/>
          <w:szCs w:val="28"/>
          <w:lang w:eastAsia="uk-UA"/>
        </w:rPr>
      </w:pPr>
    </w:p>
    <w:p w:rsidR="0014646B" w:rsidRDefault="0014646B" w:rsidP="0014646B">
      <w:pPr>
        <w:spacing w:line="240" w:lineRule="auto"/>
        <w:jc w:val="left"/>
        <w:rPr>
          <w:rFonts w:eastAsia="Times New Roman"/>
          <w:szCs w:val="28"/>
          <w:lang w:val="ru-RU" w:eastAsia="uk-UA"/>
        </w:rPr>
      </w:pPr>
      <w:r w:rsidRPr="0014646B">
        <w:rPr>
          <w:rFonts w:eastAsia="Times New Roman"/>
          <w:szCs w:val="28"/>
          <w:lang w:val="ru-RU" w:eastAsia="uk-UA"/>
        </w:rPr>
        <w:t xml:space="preserve">Рис. </w:t>
      </w:r>
      <w:r w:rsidR="005F3754">
        <w:rPr>
          <w:rFonts w:eastAsia="Times New Roman"/>
          <w:szCs w:val="28"/>
          <w:lang w:eastAsia="uk-UA"/>
        </w:rPr>
        <w:t>8</w:t>
      </w:r>
      <w:r w:rsidRPr="0014646B">
        <w:rPr>
          <w:rFonts w:eastAsia="Times New Roman"/>
          <w:szCs w:val="28"/>
          <w:lang w:eastAsia="uk-UA"/>
        </w:rPr>
        <w:t>.</w:t>
      </w:r>
      <w:r w:rsidR="005F3754">
        <w:rPr>
          <w:rFonts w:eastAsia="Times New Roman"/>
          <w:szCs w:val="28"/>
          <w:lang w:eastAsia="uk-UA"/>
        </w:rPr>
        <w:t>2.</w:t>
      </w:r>
      <w:r w:rsidRPr="0014646B">
        <w:rPr>
          <w:rFonts w:eastAsia="Times New Roman"/>
          <w:szCs w:val="28"/>
          <w:lang w:eastAsia="uk-UA"/>
        </w:rPr>
        <w:t xml:space="preserve"> Модель </w:t>
      </w:r>
      <w:r w:rsidRPr="0014646B">
        <w:rPr>
          <w:rFonts w:eastAsia="Times New Roman"/>
          <w:szCs w:val="28"/>
          <w:lang w:val="ru-RU" w:eastAsia="uk-UA"/>
        </w:rPr>
        <w:t xml:space="preserve">зниження смертності </w:t>
      </w:r>
      <w:r w:rsidRPr="0014646B">
        <w:rPr>
          <w:rFonts w:eastAsia="Times New Roman"/>
          <w:szCs w:val="28"/>
          <w:lang w:eastAsia="uk-UA"/>
        </w:rPr>
        <w:t>дітей до 5</w:t>
      </w:r>
      <w:r w:rsidRPr="0014646B">
        <w:rPr>
          <w:rFonts w:eastAsia="Times New Roman"/>
          <w:szCs w:val="28"/>
          <w:lang w:val="ru-RU" w:eastAsia="uk-UA"/>
        </w:rPr>
        <w:t> </w:t>
      </w:r>
      <w:r w:rsidRPr="0014646B">
        <w:rPr>
          <w:rFonts w:eastAsia="Times New Roman"/>
          <w:szCs w:val="28"/>
          <w:lang w:eastAsia="uk-UA"/>
        </w:rPr>
        <w:t>років життя в Укр</w:t>
      </w:r>
      <w:r w:rsidRPr="0014646B">
        <w:rPr>
          <w:rFonts w:eastAsia="Times New Roman"/>
          <w:szCs w:val="28"/>
          <w:lang w:val="ru-RU" w:eastAsia="uk-UA"/>
        </w:rPr>
        <w:t xml:space="preserve">аїні </w:t>
      </w:r>
    </w:p>
    <w:p w:rsidR="001455E0" w:rsidRDefault="001455E0" w:rsidP="00D32FDB">
      <w:pPr>
        <w:widowControl w:val="0"/>
        <w:tabs>
          <w:tab w:val="left" w:pos="5309"/>
        </w:tabs>
        <w:spacing w:line="240" w:lineRule="auto"/>
        <w:jc w:val="left"/>
        <w:rPr>
          <w:rFonts w:eastAsia="Times New Roman"/>
          <w:szCs w:val="28"/>
          <w:lang w:val="ru-RU" w:eastAsia="uk-UA"/>
        </w:rPr>
      </w:pPr>
    </w:p>
    <w:p w:rsidR="00D32FDB" w:rsidRPr="00D32FDB" w:rsidRDefault="00D32FDB" w:rsidP="00D32FDB">
      <w:pPr>
        <w:widowControl w:val="0"/>
        <w:tabs>
          <w:tab w:val="left" w:pos="5309"/>
        </w:tabs>
        <w:spacing w:line="240" w:lineRule="auto"/>
        <w:jc w:val="left"/>
        <w:rPr>
          <w:rFonts w:eastAsia="Times New Roman"/>
          <w:sz w:val="24"/>
          <w:szCs w:val="28"/>
          <w:lang w:eastAsia="uk-UA"/>
        </w:rPr>
      </w:pPr>
      <w:r w:rsidRPr="00D32FDB">
        <w:rPr>
          <w:rFonts w:eastAsia="Times New Roman"/>
          <w:noProof/>
          <w:szCs w:val="28"/>
          <w:lang w:val="ru-RU" w:eastAsia="ru-RU"/>
        </w:rPr>
        <w:lastRenderedPageBreak/>
        <mc:AlternateContent>
          <mc:Choice Requires="wps">
            <w:drawing>
              <wp:anchor distT="0" distB="0" distL="114300" distR="114300" simplePos="0" relativeHeight="252028928" behindDoc="0" locked="0" layoutInCell="1" allowOverlap="1" wp14:anchorId="37792F47" wp14:editId="3F1787F1">
                <wp:simplePos x="0" y="0"/>
                <wp:positionH relativeFrom="column">
                  <wp:posOffset>288215</wp:posOffset>
                </wp:positionH>
                <wp:positionV relativeFrom="paragraph">
                  <wp:posOffset>155127</wp:posOffset>
                </wp:positionV>
                <wp:extent cx="6224270" cy="277495"/>
                <wp:effectExtent l="0" t="0" r="62230" b="65405"/>
                <wp:wrapNone/>
                <wp:docPr id="88" name="Прямоугольник 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24270" cy="277495"/>
                        </a:xfrm>
                        <a:prstGeom prst="rect">
                          <a:avLst/>
                        </a:prstGeom>
                        <a:gradFill rotWithShape="1">
                          <a:gsLst>
                            <a:gs pos="0">
                              <a:srgbClr val="C0C0C0"/>
                            </a:gs>
                            <a:gs pos="50000">
                              <a:srgbClr val="FBFBFB"/>
                            </a:gs>
                            <a:gs pos="100000">
                              <a:srgbClr val="C0C0C0"/>
                            </a:gs>
                          </a:gsLst>
                          <a:lin ang="5400000" scaled="1"/>
                        </a:gradFill>
                        <a:ln w="25400">
                          <a:solidFill>
                            <a:srgbClr val="000000"/>
                          </a:solidFill>
                          <a:miter lim="800000"/>
                          <a:headEnd/>
                          <a:tailEnd/>
                        </a:ln>
                        <a:effectLst>
                          <a:outerShdw dist="53882" dir="2700000" algn="ctr" rotWithShape="0">
                            <a:srgbClr val="808080"/>
                          </a:outerShdw>
                        </a:effectLst>
                      </wps:spPr>
                      <wps:txbx>
                        <w:txbxContent>
                          <w:p w:rsidR="001E1DF5" w:rsidRPr="00737D09" w:rsidRDefault="001E1DF5" w:rsidP="00D32FDB">
                            <w:pPr>
                              <w:jc w:val="center"/>
                              <w:rPr>
                                <w:b/>
                              </w:rPr>
                            </w:pPr>
                            <w:r>
                              <w:rPr>
                                <w:b/>
                              </w:rPr>
                              <w:t>ІІІ Матеріально-технічна база</w:t>
                            </w:r>
                          </w:p>
                        </w:txbxContent>
                      </wps:txbx>
                      <wps:bodyPr rot="0" vert="horz" wrap="square" lIns="0" tIns="3600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88" o:spid="_x0000_s1165" style="position:absolute;margin-left:22.7pt;margin-top:12.2pt;width:490.1pt;height:21.85pt;z-index:252028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" fillcolor="silver" strokeweight="2pt">
                <v:fill color2="#fbfbfb" rotate="t" focus="50%" type="gradient"/>
                <v:shadow on="t" offset="3pt,3pt"/>
                <v:textbox inset="0,1mm,0,0">
                  <w:txbxContent>
                    <w:p w:rsidR="0057431A" w:rsidRPr="00737D09" w:rsidRDefault="0057431A" w:rsidP="00D32FDB">
                      <w:pPr>
                        <w:jc w:val="center"/>
                        <w:rPr>
                          <w:b/>
                        </w:rPr>
                      </w:pPr>
                      <w:r>
                        <w:rPr>
                          <w:b/>
                        </w:rPr>
                        <w:t>ІІІ Матеріально-технічна база</w:t>
                      </w:r>
                    </w:p>
                  </w:txbxContent>
                </v:textbox>
              </v:rect>
            </w:pict>
          </mc:Fallback>
        </mc:AlternateContent>
      </w:r>
      <w:r w:rsidRPr="00231499">
        <w:rPr>
          <w:noProof/>
          <w:szCs w:val="28"/>
          <w:lang w:val="ru-RU" w:eastAsia="ru-RU"/>
        </w:rPr>
        <mc:AlternateContent>
          <mc:Choice Requires="wps">
            <w:drawing>
              <wp:anchor distT="0" distB="0" distL="114300" distR="114300" simplePos="0" relativeHeight="252026880" behindDoc="0" locked="0" layoutInCell="1" allowOverlap="1" wp14:anchorId="04C6F787" wp14:editId="6012BAC0">
                <wp:simplePos x="0" y="0"/>
                <wp:positionH relativeFrom="column">
                  <wp:posOffset>-121920</wp:posOffset>
                </wp:positionH>
                <wp:positionV relativeFrom="paragraph">
                  <wp:posOffset>153670</wp:posOffset>
                </wp:positionV>
                <wp:extent cx="381000" cy="8412480"/>
                <wp:effectExtent l="0" t="0" r="57150" b="64770"/>
                <wp:wrapNone/>
                <wp:docPr id="1116" name="Прямоугольник 11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81000" cy="8412480"/>
                        </a:xfrm>
                        <a:prstGeom prst="rect">
                          <a:avLst/>
                        </a:prstGeom>
                        <a:gradFill rotWithShape="1">
                          <a:gsLst>
                            <a:gs pos="0">
                              <a:srgbClr val="C0C0C0"/>
                            </a:gs>
                            <a:gs pos="50000">
                              <a:srgbClr val="FBFBFB"/>
                            </a:gs>
                            <a:gs pos="100000">
                              <a:srgbClr val="C0C0C0"/>
                            </a:gs>
                          </a:gsLst>
                          <a:lin ang="5400000" scaled="1"/>
                        </a:gradFill>
                        <a:ln w="25400">
                          <a:solidFill>
                            <a:srgbClr val="000000"/>
                          </a:solidFill>
                          <a:miter lim="800000"/>
                          <a:headEnd/>
                          <a:tailEnd/>
                        </a:ln>
                        <a:effectLst>
                          <a:outerShdw dist="53882" dir="2700000" algn="ctr" rotWithShape="0">
                            <a:srgbClr val="808080"/>
                          </a:outerShdw>
                        </a:effectLst>
                      </wps:spPr>
                      <wps:txbx>
                        <w:txbxContent>
                          <w:p w:rsidR="001E1DF5" w:rsidRDefault="001E1DF5" w:rsidP="00D32FDB">
                            <w:pPr>
                              <w:spacing w:before="120"/>
                              <w:jc w:val="center"/>
                              <w:rPr>
                                <w:b/>
                                <w:szCs w:val="28"/>
                              </w:rPr>
                            </w:pPr>
                          </w:p>
                          <w:p w:rsidR="001E1DF5" w:rsidRDefault="001E1DF5" w:rsidP="00D32FDB">
                            <w:pPr>
                              <w:spacing w:before="120"/>
                              <w:jc w:val="center"/>
                              <w:rPr>
                                <w:b/>
                                <w:szCs w:val="28"/>
                              </w:rPr>
                            </w:pPr>
                          </w:p>
                          <w:p w:rsidR="001E1DF5" w:rsidRDefault="001E1DF5" w:rsidP="00D32FDB">
                            <w:pPr>
                              <w:spacing w:before="120"/>
                              <w:jc w:val="center"/>
                              <w:rPr>
                                <w:b/>
                                <w:szCs w:val="28"/>
                              </w:rPr>
                            </w:pPr>
                          </w:p>
                          <w:p w:rsidR="001E1DF5" w:rsidRPr="006A2E50" w:rsidRDefault="001E1DF5" w:rsidP="00D32FDB">
                            <w:pPr>
                              <w:spacing w:before="120"/>
                              <w:rPr>
                                <w:b/>
                                <w:szCs w:val="28"/>
                              </w:rPr>
                            </w:pPr>
                          </w:p>
                          <w:p w:rsidR="001E1DF5" w:rsidRPr="00737D09" w:rsidRDefault="001E1DF5" w:rsidP="00D32FDB">
                            <w:pPr>
                              <w:spacing w:before="120"/>
                              <w:jc w:val="center"/>
                              <w:rPr>
                                <w:b/>
                                <w:sz w:val="32"/>
                                <w:szCs w:val="32"/>
                              </w:rPr>
                            </w:pPr>
                            <w:r w:rsidRPr="00737D09">
                              <w:rPr>
                                <w:b/>
                                <w:sz w:val="32"/>
                                <w:szCs w:val="32"/>
                              </w:rPr>
                              <w:t>С</w:t>
                            </w:r>
                          </w:p>
                          <w:p w:rsidR="001E1DF5" w:rsidRPr="00737D09" w:rsidRDefault="001E1DF5" w:rsidP="00D32FDB">
                            <w:pPr>
                              <w:spacing w:before="120"/>
                              <w:jc w:val="center"/>
                              <w:rPr>
                                <w:b/>
                                <w:sz w:val="32"/>
                                <w:szCs w:val="32"/>
                              </w:rPr>
                            </w:pPr>
                          </w:p>
                          <w:p w:rsidR="001E1DF5" w:rsidRPr="00737D09" w:rsidRDefault="001E1DF5" w:rsidP="00D32FDB">
                            <w:pPr>
                              <w:spacing w:before="120"/>
                              <w:jc w:val="center"/>
                              <w:rPr>
                                <w:b/>
                                <w:sz w:val="32"/>
                                <w:szCs w:val="32"/>
                              </w:rPr>
                            </w:pPr>
                            <w:r w:rsidRPr="00737D09">
                              <w:rPr>
                                <w:b/>
                                <w:sz w:val="32"/>
                                <w:szCs w:val="32"/>
                              </w:rPr>
                              <w:t>Т</w:t>
                            </w:r>
                          </w:p>
                          <w:p w:rsidR="001E1DF5" w:rsidRPr="00737D09" w:rsidRDefault="001E1DF5" w:rsidP="00D32FDB">
                            <w:pPr>
                              <w:spacing w:before="120"/>
                              <w:jc w:val="center"/>
                              <w:rPr>
                                <w:b/>
                                <w:sz w:val="32"/>
                                <w:szCs w:val="32"/>
                              </w:rPr>
                            </w:pPr>
                          </w:p>
                          <w:p w:rsidR="001E1DF5" w:rsidRDefault="001E1DF5" w:rsidP="00D32FDB">
                            <w:pPr>
                              <w:spacing w:before="120"/>
                              <w:jc w:val="center"/>
                              <w:rPr>
                                <w:b/>
                                <w:sz w:val="32"/>
                                <w:szCs w:val="32"/>
                              </w:rPr>
                            </w:pPr>
                            <w:r w:rsidRPr="00737D09">
                              <w:rPr>
                                <w:b/>
                                <w:sz w:val="32"/>
                                <w:szCs w:val="32"/>
                              </w:rPr>
                              <w:t>Р</w:t>
                            </w:r>
                          </w:p>
                          <w:p w:rsidR="001E1DF5" w:rsidRDefault="001E1DF5" w:rsidP="00D32FDB">
                            <w:pPr>
                              <w:spacing w:before="120"/>
                              <w:jc w:val="center"/>
                              <w:rPr>
                                <w:b/>
                                <w:sz w:val="32"/>
                                <w:szCs w:val="32"/>
                              </w:rPr>
                            </w:pPr>
                          </w:p>
                          <w:p w:rsidR="001E1DF5" w:rsidRPr="00737D09" w:rsidRDefault="001E1DF5" w:rsidP="00D32FDB">
                            <w:pPr>
                              <w:spacing w:before="120"/>
                              <w:jc w:val="center"/>
                              <w:rPr>
                                <w:b/>
                                <w:sz w:val="32"/>
                                <w:szCs w:val="32"/>
                              </w:rPr>
                            </w:pPr>
                            <w:r>
                              <w:rPr>
                                <w:b/>
                                <w:sz w:val="32"/>
                                <w:szCs w:val="32"/>
                              </w:rPr>
                              <w:t>У</w:t>
                            </w:r>
                          </w:p>
                          <w:p w:rsidR="001E1DF5" w:rsidRPr="00737D09" w:rsidRDefault="001E1DF5" w:rsidP="00D32FDB">
                            <w:pPr>
                              <w:spacing w:before="120"/>
                              <w:jc w:val="center"/>
                              <w:rPr>
                                <w:b/>
                                <w:sz w:val="32"/>
                                <w:szCs w:val="32"/>
                              </w:rPr>
                            </w:pPr>
                          </w:p>
                          <w:p w:rsidR="001E1DF5" w:rsidRPr="00737D09" w:rsidRDefault="001E1DF5" w:rsidP="00D32FDB">
                            <w:pPr>
                              <w:spacing w:before="120"/>
                              <w:jc w:val="center"/>
                              <w:rPr>
                                <w:b/>
                                <w:sz w:val="32"/>
                                <w:szCs w:val="32"/>
                              </w:rPr>
                            </w:pPr>
                            <w:r w:rsidRPr="00737D09">
                              <w:rPr>
                                <w:b/>
                                <w:sz w:val="32"/>
                                <w:szCs w:val="32"/>
                              </w:rPr>
                              <w:t>К</w:t>
                            </w:r>
                          </w:p>
                          <w:p w:rsidR="001E1DF5" w:rsidRPr="00737D09" w:rsidRDefault="001E1DF5" w:rsidP="00D32FDB">
                            <w:pPr>
                              <w:spacing w:before="120"/>
                              <w:jc w:val="center"/>
                              <w:rPr>
                                <w:b/>
                                <w:sz w:val="32"/>
                                <w:szCs w:val="32"/>
                              </w:rPr>
                            </w:pPr>
                          </w:p>
                          <w:p w:rsidR="001E1DF5" w:rsidRPr="00737D09" w:rsidRDefault="001E1DF5" w:rsidP="00D32FDB">
                            <w:pPr>
                              <w:spacing w:before="120"/>
                              <w:jc w:val="center"/>
                              <w:rPr>
                                <w:b/>
                                <w:sz w:val="32"/>
                                <w:szCs w:val="32"/>
                              </w:rPr>
                            </w:pPr>
                            <w:r w:rsidRPr="00737D09">
                              <w:rPr>
                                <w:b/>
                                <w:sz w:val="32"/>
                                <w:szCs w:val="32"/>
                              </w:rPr>
                              <w:t>Т</w:t>
                            </w:r>
                          </w:p>
                          <w:p w:rsidR="001E1DF5" w:rsidRPr="00737D09" w:rsidRDefault="001E1DF5" w:rsidP="00D32FDB">
                            <w:pPr>
                              <w:spacing w:before="120"/>
                              <w:jc w:val="center"/>
                              <w:rPr>
                                <w:b/>
                                <w:sz w:val="32"/>
                                <w:szCs w:val="32"/>
                              </w:rPr>
                            </w:pPr>
                          </w:p>
                          <w:p w:rsidR="001E1DF5" w:rsidRPr="00737D09" w:rsidRDefault="001E1DF5" w:rsidP="00D32FDB">
                            <w:pPr>
                              <w:spacing w:before="120"/>
                              <w:jc w:val="center"/>
                              <w:rPr>
                                <w:b/>
                                <w:sz w:val="32"/>
                                <w:szCs w:val="32"/>
                              </w:rPr>
                            </w:pPr>
                            <w:r w:rsidRPr="00737D09">
                              <w:rPr>
                                <w:b/>
                                <w:sz w:val="32"/>
                                <w:szCs w:val="32"/>
                              </w:rPr>
                              <w:t>У</w:t>
                            </w:r>
                          </w:p>
                          <w:p w:rsidR="001E1DF5" w:rsidRPr="00737D09" w:rsidRDefault="001E1DF5" w:rsidP="00D32FDB">
                            <w:pPr>
                              <w:spacing w:before="120"/>
                              <w:jc w:val="center"/>
                              <w:rPr>
                                <w:b/>
                                <w:sz w:val="32"/>
                                <w:szCs w:val="32"/>
                              </w:rPr>
                            </w:pPr>
                          </w:p>
                          <w:p w:rsidR="001E1DF5" w:rsidRPr="00737D09" w:rsidRDefault="001E1DF5" w:rsidP="00D32FDB">
                            <w:pPr>
                              <w:spacing w:before="120"/>
                              <w:jc w:val="center"/>
                              <w:rPr>
                                <w:b/>
                                <w:sz w:val="32"/>
                                <w:szCs w:val="32"/>
                              </w:rPr>
                            </w:pPr>
                            <w:r w:rsidRPr="00737D09">
                              <w:rPr>
                                <w:b/>
                                <w:sz w:val="32"/>
                                <w:szCs w:val="32"/>
                              </w:rPr>
                              <w:t>Р</w:t>
                            </w:r>
                          </w:p>
                          <w:p w:rsidR="001E1DF5" w:rsidRPr="00737D09" w:rsidRDefault="001E1DF5" w:rsidP="00D32FDB">
                            <w:pPr>
                              <w:spacing w:before="120"/>
                              <w:jc w:val="center"/>
                              <w:rPr>
                                <w:b/>
                                <w:sz w:val="32"/>
                                <w:szCs w:val="32"/>
                              </w:rPr>
                            </w:pPr>
                          </w:p>
                          <w:p w:rsidR="001E1DF5" w:rsidRPr="00737D09" w:rsidRDefault="001E1DF5" w:rsidP="00D32FDB">
                            <w:pPr>
                              <w:spacing w:before="120"/>
                              <w:jc w:val="center"/>
                              <w:rPr>
                                <w:b/>
                                <w:sz w:val="32"/>
                                <w:szCs w:val="32"/>
                              </w:rPr>
                            </w:pPr>
                            <w:r w:rsidRPr="00737D09">
                              <w:rPr>
                                <w:b/>
                                <w:sz w:val="32"/>
                                <w:szCs w:val="32"/>
                              </w:rPr>
                              <w:t>А</w:t>
                            </w:r>
                          </w:p>
                        </w:txbxContent>
                      </wps:txbx>
                      <wps:bodyPr rot="0" vert="horz" wrap="square" lIns="72000" tIns="0" rIns="72000" bIns="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116" o:spid="_x0000_s1166" style="position:absolute;margin-left:-9.6pt;margin-top:12.1pt;width:30pt;height:662.4pt;z-index:252026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" fillcolor="silver" strokeweight="2pt">
                <v:fill color2="#fbfbfb" rotate="t" focus="50%" type="gradient"/>
                <v:shadow on="t" offset="3pt,3pt"/>
                <v:textbox inset="2mm,0,2mm,0">
                  <w:txbxContent>
                    <w:p w:rsidR="0057431A" w:rsidRDefault="0057431A" w:rsidP="00D32FDB">
                      <w:pPr>
                        <w:spacing w:before="120"/>
                        <w:jc w:val="center"/>
                        <w:rPr>
                          <w:b/>
                          <w:szCs w:val="28"/>
                        </w:rPr>
                      </w:pPr>
                    </w:p>
                    <w:p w:rsidR="0057431A" w:rsidRDefault="0057431A" w:rsidP="00D32FDB">
                      <w:pPr>
                        <w:spacing w:before="120"/>
                        <w:jc w:val="center"/>
                        <w:rPr>
                          <w:b/>
                          <w:szCs w:val="28"/>
                        </w:rPr>
                      </w:pPr>
                    </w:p>
                    <w:p w:rsidR="0057431A" w:rsidRDefault="0057431A" w:rsidP="00D32FDB">
                      <w:pPr>
                        <w:spacing w:before="120"/>
                        <w:jc w:val="center"/>
                        <w:rPr>
                          <w:b/>
                          <w:szCs w:val="28"/>
                        </w:rPr>
                      </w:pPr>
                    </w:p>
                    <w:p w:rsidR="0057431A" w:rsidRPr="006A2E50" w:rsidRDefault="0057431A" w:rsidP="00D32FDB">
                      <w:pPr>
                        <w:spacing w:before="120"/>
                        <w:rPr>
                          <w:b/>
                          <w:szCs w:val="28"/>
                        </w:rPr>
                      </w:pPr>
                    </w:p>
                    <w:p w:rsidR="0057431A" w:rsidRPr="00737D09" w:rsidRDefault="0057431A" w:rsidP="00D32FDB">
                      <w:pPr>
                        <w:spacing w:before="120"/>
                        <w:jc w:val="center"/>
                        <w:rPr>
                          <w:b/>
                          <w:sz w:val="32"/>
                          <w:szCs w:val="32"/>
                        </w:rPr>
                      </w:pPr>
                      <w:r w:rsidRPr="00737D09">
                        <w:rPr>
                          <w:b/>
                          <w:sz w:val="32"/>
                          <w:szCs w:val="32"/>
                        </w:rPr>
                        <w:t>С</w:t>
                      </w:r>
                    </w:p>
                    <w:p w:rsidR="0057431A" w:rsidRPr="00737D09" w:rsidRDefault="0057431A" w:rsidP="00D32FDB">
                      <w:pPr>
                        <w:spacing w:before="120"/>
                        <w:jc w:val="center"/>
                        <w:rPr>
                          <w:b/>
                          <w:sz w:val="32"/>
                          <w:szCs w:val="32"/>
                        </w:rPr>
                      </w:pPr>
                    </w:p>
                    <w:p w:rsidR="0057431A" w:rsidRPr="00737D09" w:rsidRDefault="0057431A" w:rsidP="00D32FDB">
                      <w:pPr>
                        <w:spacing w:before="120"/>
                        <w:jc w:val="center"/>
                        <w:rPr>
                          <w:b/>
                          <w:sz w:val="32"/>
                          <w:szCs w:val="32"/>
                        </w:rPr>
                      </w:pPr>
                      <w:r w:rsidRPr="00737D09">
                        <w:rPr>
                          <w:b/>
                          <w:sz w:val="32"/>
                          <w:szCs w:val="32"/>
                        </w:rPr>
                        <w:t>Т</w:t>
                      </w:r>
                    </w:p>
                    <w:p w:rsidR="0057431A" w:rsidRPr="00737D09" w:rsidRDefault="0057431A" w:rsidP="00D32FDB">
                      <w:pPr>
                        <w:spacing w:before="120"/>
                        <w:jc w:val="center"/>
                        <w:rPr>
                          <w:b/>
                          <w:sz w:val="32"/>
                          <w:szCs w:val="32"/>
                        </w:rPr>
                      </w:pPr>
                    </w:p>
                    <w:p w:rsidR="0057431A" w:rsidRDefault="0057431A" w:rsidP="00D32FDB">
                      <w:pPr>
                        <w:spacing w:before="120"/>
                        <w:jc w:val="center"/>
                        <w:rPr>
                          <w:b/>
                          <w:sz w:val="32"/>
                          <w:szCs w:val="32"/>
                        </w:rPr>
                      </w:pPr>
                      <w:r w:rsidRPr="00737D09">
                        <w:rPr>
                          <w:b/>
                          <w:sz w:val="32"/>
                          <w:szCs w:val="32"/>
                        </w:rPr>
                        <w:t>Р</w:t>
                      </w:r>
                    </w:p>
                    <w:p w:rsidR="0057431A" w:rsidRDefault="0057431A" w:rsidP="00D32FDB">
                      <w:pPr>
                        <w:spacing w:before="120"/>
                        <w:jc w:val="center"/>
                        <w:rPr>
                          <w:b/>
                          <w:sz w:val="32"/>
                          <w:szCs w:val="32"/>
                        </w:rPr>
                      </w:pPr>
                    </w:p>
                    <w:p w:rsidR="0057431A" w:rsidRPr="00737D09" w:rsidRDefault="0057431A" w:rsidP="00D32FDB">
                      <w:pPr>
                        <w:spacing w:before="120"/>
                        <w:jc w:val="center"/>
                        <w:rPr>
                          <w:b/>
                          <w:sz w:val="32"/>
                          <w:szCs w:val="32"/>
                        </w:rPr>
                      </w:pPr>
                      <w:r>
                        <w:rPr>
                          <w:b/>
                          <w:sz w:val="32"/>
                          <w:szCs w:val="32"/>
                        </w:rPr>
                        <w:t>У</w:t>
                      </w:r>
                    </w:p>
                    <w:p w:rsidR="0057431A" w:rsidRPr="00737D09" w:rsidRDefault="0057431A" w:rsidP="00D32FDB">
                      <w:pPr>
                        <w:spacing w:before="120"/>
                        <w:jc w:val="center"/>
                        <w:rPr>
                          <w:b/>
                          <w:sz w:val="32"/>
                          <w:szCs w:val="32"/>
                        </w:rPr>
                      </w:pPr>
                    </w:p>
                    <w:p w:rsidR="0057431A" w:rsidRPr="00737D09" w:rsidRDefault="0057431A" w:rsidP="00D32FDB">
                      <w:pPr>
                        <w:spacing w:before="120"/>
                        <w:jc w:val="center"/>
                        <w:rPr>
                          <w:b/>
                          <w:sz w:val="32"/>
                          <w:szCs w:val="32"/>
                        </w:rPr>
                      </w:pPr>
                      <w:r w:rsidRPr="00737D09">
                        <w:rPr>
                          <w:b/>
                          <w:sz w:val="32"/>
                          <w:szCs w:val="32"/>
                        </w:rPr>
                        <w:t>К</w:t>
                      </w:r>
                    </w:p>
                    <w:p w:rsidR="0057431A" w:rsidRPr="00737D09" w:rsidRDefault="0057431A" w:rsidP="00D32FDB">
                      <w:pPr>
                        <w:spacing w:before="120"/>
                        <w:jc w:val="center"/>
                        <w:rPr>
                          <w:b/>
                          <w:sz w:val="32"/>
                          <w:szCs w:val="32"/>
                        </w:rPr>
                      </w:pPr>
                    </w:p>
                    <w:p w:rsidR="0057431A" w:rsidRPr="00737D09" w:rsidRDefault="0057431A" w:rsidP="00D32FDB">
                      <w:pPr>
                        <w:spacing w:before="120"/>
                        <w:jc w:val="center"/>
                        <w:rPr>
                          <w:b/>
                          <w:sz w:val="32"/>
                          <w:szCs w:val="32"/>
                        </w:rPr>
                      </w:pPr>
                      <w:r w:rsidRPr="00737D09">
                        <w:rPr>
                          <w:b/>
                          <w:sz w:val="32"/>
                          <w:szCs w:val="32"/>
                        </w:rPr>
                        <w:t>Т</w:t>
                      </w:r>
                    </w:p>
                    <w:p w:rsidR="0057431A" w:rsidRPr="00737D09" w:rsidRDefault="0057431A" w:rsidP="00D32FDB">
                      <w:pPr>
                        <w:spacing w:before="120"/>
                        <w:jc w:val="center"/>
                        <w:rPr>
                          <w:b/>
                          <w:sz w:val="32"/>
                          <w:szCs w:val="32"/>
                        </w:rPr>
                      </w:pPr>
                    </w:p>
                    <w:p w:rsidR="0057431A" w:rsidRPr="00737D09" w:rsidRDefault="0057431A" w:rsidP="00D32FDB">
                      <w:pPr>
                        <w:spacing w:before="120"/>
                        <w:jc w:val="center"/>
                        <w:rPr>
                          <w:b/>
                          <w:sz w:val="32"/>
                          <w:szCs w:val="32"/>
                        </w:rPr>
                      </w:pPr>
                      <w:r w:rsidRPr="00737D09">
                        <w:rPr>
                          <w:b/>
                          <w:sz w:val="32"/>
                          <w:szCs w:val="32"/>
                        </w:rPr>
                        <w:t>У</w:t>
                      </w:r>
                    </w:p>
                    <w:p w:rsidR="0057431A" w:rsidRPr="00737D09" w:rsidRDefault="0057431A" w:rsidP="00D32FDB">
                      <w:pPr>
                        <w:spacing w:before="120"/>
                        <w:jc w:val="center"/>
                        <w:rPr>
                          <w:b/>
                          <w:sz w:val="32"/>
                          <w:szCs w:val="32"/>
                        </w:rPr>
                      </w:pPr>
                    </w:p>
                    <w:p w:rsidR="0057431A" w:rsidRPr="00737D09" w:rsidRDefault="0057431A" w:rsidP="00D32FDB">
                      <w:pPr>
                        <w:spacing w:before="120"/>
                        <w:jc w:val="center"/>
                        <w:rPr>
                          <w:b/>
                          <w:sz w:val="32"/>
                          <w:szCs w:val="32"/>
                        </w:rPr>
                      </w:pPr>
                      <w:r w:rsidRPr="00737D09">
                        <w:rPr>
                          <w:b/>
                          <w:sz w:val="32"/>
                          <w:szCs w:val="32"/>
                        </w:rPr>
                        <w:t>Р</w:t>
                      </w:r>
                    </w:p>
                    <w:p w:rsidR="0057431A" w:rsidRPr="00737D09" w:rsidRDefault="0057431A" w:rsidP="00D32FDB">
                      <w:pPr>
                        <w:spacing w:before="120"/>
                        <w:jc w:val="center"/>
                        <w:rPr>
                          <w:b/>
                          <w:sz w:val="32"/>
                          <w:szCs w:val="32"/>
                        </w:rPr>
                      </w:pPr>
                    </w:p>
                    <w:p w:rsidR="0057431A" w:rsidRPr="00737D09" w:rsidRDefault="0057431A" w:rsidP="00D32FDB">
                      <w:pPr>
                        <w:spacing w:before="120"/>
                        <w:jc w:val="center"/>
                        <w:rPr>
                          <w:b/>
                          <w:sz w:val="32"/>
                          <w:szCs w:val="32"/>
                        </w:rPr>
                      </w:pPr>
                      <w:r w:rsidRPr="00737D09">
                        <w:rPr>
                          <w:b/>
                          <w:sz w:val="32"/>
                          <w:szCs w:val="32"/>
                        </w:rPr>
                        <w:t>А</w:t>
                      </w:r>
                    </w:p>
                  </w:txbxContent>
                </v:textbox>
              </v:rect>
            </w:pict>
          </mc:Fallback>
        </mc:AlternateContent>
      </w:r>
    </w:p>
    <w:p w:rsidR="00D32FDB" w:rsidRPr="00D32FDB" w:rsidRDefault="00D32FDB" w:rsidP="00D32FDB">
      <w:pPr>
        <w:tabs>
          <w:tab w:val="left" w:pos="1215"/>
        </w:tabs>
        <w:spacing w:line="240" w:lineRule="auto"/>
        <w:jc w:val="left"/>
        <w:rPr>
          <w:rFonts w:eastAsia="Times New Roman"/>
          <w:szCs w:val="28"/>
          <w:lang w:eastAsia="uk-UA"/>
        </w:rPr>
      </w:pPr>
    </w:p>
    <w:p w:rsidR="00D32FDB" w:rsidRPr="00D32FDB" w:rsidRDefault="00D32FDB" w:rsidP="00D32FDB">
      <w:pPr>
        <w:tabs>
          <w:tab w:val="left" w:pos="1215"/>
        </w:tabs>
        <w:spacing w:line="240" w:lineRule="auto"/>
        <w:jc w:val="center"/>
        <w:rPr>
          <w:rFonts w:eastAsia="Times New Roman"/>
          <w:sz w:val="24"/>
          <w:szCs w:val="24"/>
          <w:lang w:eastAsia="uk-UA"/>
        </w:rPr>
      </w:pPr>
      <w:r w:rsidRPr="00D32FDB">
        <w:rPr>
          <w:rFonts w:eastAsia="Times New Roman"/>
          <w:noProof/>
          <w:sz w:val="24"/>
          <w:szCs w:val="24"/>
          <w:lang w:val="ru-RU" w:eastAsia="ru-RU"/>
        </w:rPr>
        <mc:AlternateContent>
          <mc:Choice Requires="wps">
            <w:drawing>
              <wp:anchor distT="0" distB="0" distL="114300" distR="114300" simplePos="0" relativeHeight="252016640" behindDoc="0" locked="0" layoutInCell="1" allowOverlap="1" wp14:anchorId="4993473E" wp14:editId="3220FA27">
                <wp:simplePos x="0" y="0"/>
                <wp:positionH relativeFrom="column">
                  <wp:posOffset>290563</wp:posOffset>
                </wp:positionH>
                <wp:positionV relativeFrom="paragraph">
                  <wp:posOffset>117141</wp:posOffset>
                </wp:positionV>
                <wp:extent cx="6224270" cy="2326105"/>
                <wp:effectExtent l="0" t="0" r="24130" b="17145"/>
                <wp:wrapNone/>
                <wp:docPr id="78" name="Прямоугольник 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24270" cy="2326105"/>
                        </a:xfrm>
                        <a:prstGeom prst="rect">
                          <a:avLst/>
                        </a:prstGeom>
                        <a:solidFill>
                          <a:srgbClr val="FFFFFF"/>
                        </a:solidFill>
                        <a:ln w="9525">
                          <a:solidFill>
                            <a:sysClr val="windowText" lastClr="000000"/>
                          </a:solidFill>
                          <a:miter lim="800000"/>
                          <a:headEnd/>
                          <a:tailEnd/>
                        </a:ln>
                      </wps:spPr>
                      <wps:txbx>
                        <w:txbxContent>
                          <w:p w:rsidR="001E1DF5" w:rsidRPr="00392F62" w:rsidRDefault="001E1DF5" w:rsidP="00D32FDB">
                            <w:pPr>
                              <w:tabs>
                                <w:tab w:val="left" w:pos="426"/>
                              </w:tabs>
                              <w:spacing w:line="220" w:lineRule="exact"/>
                              <w:contextualSpacing/>
                              <w:rPr>
                                <w:rFonts w:eastAsia="Calibri"/>
                                <w:sz w:val="24"/>
                                <w:szCs w:val="24"/>
                              </w:rPr>
                            </w:pPr>
                            <w:r w:rsidRPr="00392F62">
                              <w:rPr>
                                <w:rFonts w:eastAsia="Calibri"/>
                                <w:sz w:val="24"/>
                                <w:szCs w:val="24"/>
                              </w:rPr>
                              <w:t>5. ВНЗ та заклади середньої медичної освіти: навчальні бази, умови для впровадження та використання сучасних наукових розробок щодо підходів попередження передчасної дитячої смертності в освітню діяльність, забезпечення методичною літературою, учбовими посібниками з навчання компетенційному та кваліфікаційному рівням знань з надання медичної допомоги дітям, перинатальної практики, лікарів всіх рівнів надання допомоги, включаючи лікарів ЗП/СМ, сімуляційні центрі</w:t>
                            </w:r>
                          </w:p>
                          <w:p w:rsidR="001E1DF5" w:rsidRPr="00392F62" w:rsidRDefault="001E1DF5" w:rsidP="00D32FDB">
                            <w:pPr>
                              <w:tabs>
                                <w:tab w:val="left" w:pos="426"/>
                              </w:tabs>
                              <w:spacing w:line="220" w:lineRule="exact"/>
                              <w:contextualSpacing/>
                              <w:rPr>
                                <w:rFonts w:eastAsia="Calibri"/>
                                <w:sz w:val="24"/>
                                <w:szCs w:val="24"/>
                              </w:rPr>
                            </w:pPr>
                            <w:r w:rsidRPr="00392F62">
                              <w:rPr>
                                <w:rFonts w:eastAsia="Calibri"/>
                                <w:sz w:val="24"/>
                                <w:szCs w:val="24"/>
                              </w:rPr>
                              <w:t>6. </w:t>
                            </w:r>
                            <w:r w:rsidRPr="00392F62">
                              <w:rPr>
                                <w:sz w:val="24"/>
                                <w:szCs w:val="24"/>
                              </w:rPr>
                              <w:t xml:space="preserve">Підприємства: відповідні умови та справний стан устаткування, дотримання техніки безпеки, профілактика професійних захворювань у матерів </w:t>
                            </w:r>
                          </w:p>
                          <w:p w:rsidR="001E1DF5" w:rsidRPr="00392F62" w:rsidRDefault="001E1DF5" w:rsidP="00D32FDB">
                            <w:pPr>
                              <w:tabs>
                                <w:tab w:val="left" w:pos="426"/>
                              </w:tabs>
                              <w:spacing w:line="220" w:lineRule="exact"/>
                              <w:rPr>
                                <w:sz w:val="24"/>
                                <w:szCs w:val="24"/>
                              </w:rPr>
                            </w:pPr>
                            <w:r w:rsidRPr="00392F62">
                              <w:rPr>
                                <w:sz w:val="24"/>
                                <w:szCs w:val="24"/>
                              </w:rPr>
                              <w:t>7. Заклади дошкільної освіти: відповідний санітарно-технічний стан споруд, умови для дотримання безпеки життєдіяльності та безпечного перебування дітей, навчання персоналу  спостереженню за станом здоров’я дітей та надання первинної допомоги і тактиці дій при загрозливих станах</w:t>
                            </w:r>
                          </w:p>
                          <w:p w:rsidR="001E1DF5" w:rsidRPr="00392F62" w:rsidRDefault="001E1DF5" w:rsidP="00D32FDB">
                            <w:pPr>
                              <w:tabs>
                                <w:tab w:val="left" w:pos="426"/>
                              </w:tabs>
                              <w:spacing w:line="220" w:lineRule="exact"/>
                              <w:rPr>
                                <w:sz w:val="24"/>
                                <w:szCs w:val="24"/>
                              </w:rPr>
                            </w:pPr>
                            <w:r>
                              <w:rPr>
                                <w:sz w:val="24"/>
                                <w:szCs w:val="24"/>
                              </w:rPr>
                              <w:t>8. Будинки-малятка</w:t>
                            </w:r>
                            <w:r w:rsidRPr="00392F62">
                              <w:rPr>
                                <w:sz w:val="24"/>
                                <w:szCs w:val="24"/>
                              </w:rPr>
                              <w:t xml:space="preserve">: відповідний санітарно-гігієнічний стан, технічні споруди (відповідність ДБН), вимоги  оснащення та умови для медичного спостереження та доступності медичної допомоги, умови для ефективного розвитку та якісного проживання  </w:t>
                            </w:r>
                          </w:p>
                          <w:p w:rsidR="001E1DF5" w:rsidRPr="00392F62" w:rsidRDefault="001E1DF5" w:rsidP="00D32FDB">
                            <w:pPr>
                              <w:tabs>
                                <w:tab w:val="left" w:pos="426"/>
                              </w:tabs>
                              <w:spacing w:line="220" w:lineRule="exact"/>
                              <w:rPr>
                                <w:sz w:val="24"/>
                                <w:szCs w:val="24"/>
                              </w:rPr>
                            </w:pPr>
                            <w:r w:rsidRPr="00392F62">
                              <w:rPr>
                                <w:sz w:val="24"/>
                                <w:szCs w:val="24"/>
                              </w:rPr>
                              <w:t>9. Засоби масової інформації: відповідне технічне обладнання, засоби комунікації.</w:t>
                            </w:r>
                          </w:p>
                          <w:p w:rsidR="001E1DF5" w:rsidRPr="00F971CF" w:rsidRDefault="001E1DF5" w:rsidP="00D32FDB">
                            <w:pPr>
                              <w:spacing w:line="220" w:lineRule="exact"/>
                            </w:pPr>
                          </w:p>
                        </w:txbxContent>
                      </wps:txbx>
                      <wps:bodyPr rot="0" vert="horz" wrap="square" lIns="36000" tIns="36000" rIns="36000" bIns="1080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78" o:spid="_x0000_s1167" style="position:absolute;left:0;text-align:left;margin-left:22.9pt;margin-top:9.2pt;width:490.1pt;height:183.15pt;z-index:252016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" strokecolor="windowText">
                <v:textbox inset="1mm,1mm,1mm,.3mm">
                  <w:txbxContent>
                    <w:p w:rsidR="0057431A" w:rsidRPr="00392F62" w:rsidRDefault="0057431A" w:rsidP="00D32FDB">
                      <w:pPr>
                        <w:tabs>
                          <w:tab w:val="left" w:pos="426"/>
                        </w:tabs>
                        <w:spacing w:line="220" w:lineRule="exact"/>
                        <w:contextualSpacing/>
                        <w:rPr>
                          <w:rFonts w:eastAsia="Calibri"/>
                          <w:sz w:val="24"/>
                          <w:szCs w:val="24"/>
                        </w:rPr>
                      </w:pPr>
                      <w:r w:rsidRPr="00392F62">
                        <w:rPr>
                          <w:rFonts w:eastAsia="Calibri"/>
                          <w:sz w:val="24"/>
                          <w:szCs w:val="24"/>
                        </w:rPr>
                        <w:t>5. ВНЗ та заклади середньої медичної освіти: навчальні бази, умови для впровадження та використання сучасних наукових розробок щодо підходів попередження передчасної дитячої смертності в освітню діяльність, забезпечення методичною літературою, учбовими посібниками з навчання компетенційному та кваліфікаційному рівням знань з надання медичної допомоги дітям, перинатальної практики, лікарів всіх рівнів надання допомоги, включаючи лікарів ЗП/СМ, сімуляційні центрі</w:t>
                      </w:r>
                    </w:p>
                    <w:p w:rsidR="0057431A" w:rsidRPr="00392F62" w:rsidRDefault="0057431A" w:rsidP="00D32FDB">
                      <w:pPr>
                        <w:tabs>
                          <w:tab w:val="left" w:pos="426"/>
                        </w:tabs>
                        <w:spacing w:line="220" w:lineRule="exact"/>
                        <w:contextualSpacing/>
                        <w:rPr>
                          <w:rFonts w:eastAsia="Calibri"/>
                          <w:sz w:val="24"/>
                          <w:szCs w:val="24"/>
                        </w:rPr>
                      </w:pPr>
                      <w:r w:rsidRPr="00392F62">
                        <w:rPr>
                          <w:rFonts w:eastAsia="Calibri"/>
                          <w:sz w:val="24"/>
                          <w:szCs w:val="24"/>
                        </w:rPr>
                        <w:t>6. </w:t>
                      </w:r>
                      <w:r w:rsidRPr="00392F62">
                        <w:rPr>
                          <w:sz w:val="24"/>
                          <w:szCs w:val="24"/>
                        </w:rPr>
                        <w:t xml:space="preserve">Підприємства: відповідні умови та справний стан устаткування, дотримання техніки безпеки, профілактика професійних захворювань у матерів </w:t>
                      </w:r>
                    </w:p>
                    <w:p w:rsidR="0057431A" w:rsidRPr="00392F62" w:rsidRDefault="0057431A" w:rsidP="00D32FDB">
                      <w:pPr>
                        <w:tabs>
                          <w:tab w:val="left" w:pos="426"/>
                        </w:tabs>
                        <w:spacing w:line="220" w:lineRule="exact"/>
                        <w:rPr>
                          <w:sz w:val="24"/>
                          <w:szCs w:val="24"/>
                        </w:rPr>
                      </w:pPr>
                      <w:r w:rsidRPr="00392F62">
                        <w:rPr>
                          <w:sz w:val="24"/>
                          <w:szCs w:val="24"/>
                        </w:rPr>
                        <w:t>7. Заклади дошкільної освіти: відповідний санітарно-технічний стан споруд, умови для дотримання безпеки життєдіяльності та безпечного перебування дітей, навчання персоналу  спостереженню за станом здоров’я дітей та надання первинної допомоги і тактиці дій при загрозливих станах</w:t>
                      </w:r>
                    </w:p>
                    <w:p w:rsidR="0057431A" w:rsidRPr="00392F62" w:rsidRDefault="0057431A" w:rsidP="00D32FDB">
                      <w:pPr>
                        <w:tabs>
                          <w:tab w:val="left" w:pos="426"/>
                        </w:tabs>
                        <w:spacing w:line="220" w:lineRule="exact"/>
                        <w:rPr>
                          <w:sz w:val="24"/>
                          <w:szCs w:val="24"/>
                        </w:rPr>
                      </w:pPr>
                      <w:r>
                        <w:rPr>
                          <w:sz w:val="24"/>
                          <w:szCs w:val="24"/>
                        </w:rPr>
                        <w:t>8. Будинки-малятка</w:t>
                      </w:r>
                      <w:r w:rsidRPr="00392F62">
                        <w:rPr>
                          <w:sz w:val="24"/>
                          <w:szCs w:val="24"/>
                        </w:rPr>
                        <w:t xml:space="preserve">: відповідний санітарно-гігієнічний стан, технічні споруди (відповідність ДБН), вимоги  оснащення та умови для медичного спостереження та доступності медичної допомоги, умови для ефективного розвитку та якісного проживання  </w:t>
                      </w:r>
                    </w:p>
                    <w:p w:rsidR="0057431A" w:rsidRPr="00392F62" w:rsidRDefault="0057431A" w:rsidP="00D32FDB">
                      <w:pPr>
                        <w:tabs>
                          <w:tab w:val="left" w:pos="426"/>
                        </w:tabs>
                        <w:spacing w:line="220" w:lineRule="exact"/>
                        <w:rPr>
                          <w:sz w:val="24"/>
                          <w:szCs w:val="24"/>
                        </w:rPr>
                      </w:pPr>
                      <w:r w:rsidRPr="00392F62">
                        <w:rPr>
                          <w:sz w:val="24"/>
                          <w:szCs w:val="24"/>
                        </w:rPr>
                        <w:t>9. Засоби масової інформації: відповідне технічне обладнання, засоби комунікації.</w:t>
                      </w:r>
                    </w:p>
                    <w:p w:rsidR="0057431A" w:rsidRPr="00F971CF" w:rsidRDefault="0057431A" w:rsidP="00D32FDB">
                      <w:pPr>
                        <w:spacing w:line="220" w:lineRule="exact"/>
                      </w:pPr>
                    </w:p>
                  </w:txbxContent>
                </v:textbox>
              </v:rect>
            </w:pict>
          </mc:Fallback>
        </mc:AlternateContent>
      </w:r>
    </w:p>
    <w:p w:rsidR="00D32FDB" w:rsidRPr="00D32FDB" w:rsidRDefault="00D32FDB" w:rsidP="00D32FDB">
      <w:pPr>
        <w:spacing w:line="240" w:lineRule="auto"/>
        <w:jc w:val="left"/>
        <w:rPr>
          <w:rFonts w:eastAsia="Times New Roman"/>
          <w:sz w:val="24"/>
          <w:szCs w:val="24"/>
          <w:lang w:eastAsia="uk-UA"/>
        </w:rPr>
      </w:pPr>
    </w:p>
    <w:p w:rsidR="00D32FDB" w:rsidRPr="00D32FDB" w:rsidRDefault="00D32FDB" w:rsidP="00D32FDB">
      <w:pPr>
        <w:tabs>
          <w:tab w:val="left" w:pos="977"/>
        </w:tabs>
        <w:spacing w:line="240" w:lineRule="auto"/>
        <w:jc w:val="left"/>
        <w:rPr>
          <w:rFonts w:eastAsia="Times New Roman"/>
          <w:sz w:val="24"/>
          <w:szCs w:val="24"/>
          <w:lang w:eastAsia="uk-UA"/>
        </w:rPr>
      </w:pPr>
      <w:r w:rsidRPr="00D32FDB">
        <w:rPr>
          <w:rFonts w:eastAsia="Times New Roman"/>
          <w:sz w:val="24"/>
          <w:szCs w:val="24"/>
          <w:lang w:eastAsia="uk-UA"/>
        </w:rPr>
        <w:tab/>
      </w:r>
    </w:p>
    <w:p w:rsidR="00D32FDB" w:rsidRPr="00D32FDB" w:rsidRDefault="00D32FDB" w:rsidP="00D32FDB">
      <w:pPr>
        <w:spacing w:line="240" w:lineRule="auto"/>
        <w:jc w:val="left"/>
        <w:rPr>
          <w:rFonts w:eastAsia="Times New Roman"/>
          <w:sz w:val="24"/>
          <w:szCs w:val="24"/>
          <w:lang w:eastAsia="uk-UA"/>
        </w:rPr>
      </w:pPr>
    </w:p>
    <w:p w:rsidR="00D32FDB" w:rsidRPr="00D32FDB" w:rsidRDefault="00D32FDB" w:rsidP="00D32FDB">
      <w:pPr>
        <w:spacing w:line="240" w:lineRule="auto"/>
        <w:jc w:val="left"/>
        <w:rPr>
          <w:rFonts w:eastAsia="Times New Roman"/>
          <w:sz w:val="24"/>
          <w:szCs w:val="24"/>
          <w:lang w:eastAsia="uk-UA"/>
        </w:rPr>
      </w:pPr>
    </w:p>
    <w:p w:rsidR="00D32FDB" w:rsidRPr="00D32FDB" w:rsidRDefault="00D32FDB" w:rsidP="00D32FDB">
      <w:pPr>
        <w:spacing w:line="240" w:lineRule="auto"/>
        <w:jc w:val="left"/>
        <w:rPr>
          <w:rFonts w:eastAsia="Times New Roman"/>
          <w:sz w:val="24"/>
          <w:szCs w:val="24"/>
          <w:lang w:eastAsia="uk-UA"/>
        </w:rPr>
      </w:pPr>
    </w:p>
    <w:p w:rsidR="00D32FDB" w:rsidRPr="00D32FDB" w:rsidRDefault="00D32FDB" w:rsidP="00D32FDB">
      <w:pPr>
        <w:spacing w:line="240" w:lineRule="auto"/>
        <w:jc w:val="left"/>
        <w:rPr>
          <w:rFonts w:eastAsia="Times New Roman"/>
          <w:sz w:val="24"/>
          <w:szCs w:val="24"/>
          <w:lang w:eastAsia="uk-UA"/>
        </w:rPr>
      </w:pPr>
    </w:p>
    <w:p w:rsidR="00D32FDB" w:rsidRPr="00D32FDB" w:rsidRDefault="00D32FDB" w:rsidP="00D32FDB">
      <w:pPr>
        <w:spacing w:line="240" w:lineRule="auto"/>
        <w:jc w:val="left"/>
        <w:rPr>
          <w:rFonts w:eastAsia="Times New Roman"/>
          <w:sz w:val="24"/>
          <w:szCs w:val="24"/>
          <w:lang w:eastAsia="uk-UA"/>
        </w:rPr>
      </w:pPr>
    </w:p>
    <w:p w:rsidR="00D32FDB" w:rsidRPr="00D32FDB" w:rsidRDefault="00D32FDB" w:rsidP="00D32FDB">
      <w:pPr>
        <w:spacing w:line="240" w:lineRule="auto"/>
        <w:jc w:val="left"/>
        <w:rPr>
          <w:rFonts w:eastAsia="Times New Roman"/>
          <w:sz w:val="24"/>
          <w:szCs w:val="24"/>
          <w:lang w:eastAsia="uk-UA"/>
        </w:rPr>
      </w:pPr>
    </w:p>
    <w:p w:rsidR="00D32FDB" w:rsidRPr="00D32FDB" w:rsidRDefault="00D32FDB" w:rsidP="00D32FDB">
      <w:pPr>
        <w:spacing w:line="240" w:lineRule="auto"/>
        <w:jc w:val="left"/>
        <w:rPr>
          <w:rFonts w:eastAsia="Times New Roman"/>
          <w:sz w:val="24"/>
          <w:szCs w:val="24"/>
          <w:lang w:eastAsia="uk-UA"/>
        </w:rPr>
      </w:pPr>
    </w:p>
    <w:p w:rsidR="00D32FDB" w:rsidRPr="00D32FDB" w:rsidRDefault="00D32FDB" w:rsidP="00D32FDB">
      <w:pPr>
        <w:spacing w:line="240" w:lineRule="auto"/>
        <w:jc w:val="left"/>
        <w:rPr>
          <w:rFonts w:eastAsia="Times New Roman"/>
          <w:sz w:val="24"/>
          <w:szCs w:val="24"/>
          <w:lang w:eastAsia="uk-UA"/>
        </w:rPr>
      </w:pPr>
    </w:p>
    <w:p w:rsidR="00D32FDB" w:rsidRPr="00D32FDB" w:rsidRDefault="00D32FDB" w:rsidP="00D32FDB">
      <w:pPr>
        <w:spacing w:line="240" w:lineRule="auto"/>
        <w:jc w:val="left"/>
        <w:rPr>
          <w:rFonts w:eastAsia="Times New Roman"/>
          <w:sz w:val="24"/>
          <w:szCs w:val="24"/>
          <w:lang w:eastAsia="uk-UA"/>
        </w:rPr>
      </w:pPr>
    </w:p>
    <w:p w:rsidR="00D32FDB" w:rsidRPr="00D32FDB" w:rsidRDefault="00D32FDB" w:rsidP="00D32FDB">
      <w:pPr>
        <w:spacing w:line="240" w:lineRule="auto"/>
        <w:jc w:val="left"/>
        <w:rPr>
          <w:rFonts w:eastAsia="Times New Roman"/>
          <w:sz w:val="24"/>
          <w:szCs w:val="24"/>
          <w:lang w:eastAsia="uk-UA"/>
        </w:rPr>
      </w:pPr>
    </w:p>
    <w:p w:rsidR="00D32FDB" w:rsidRPr="00D32FDB" w:rsidRDefault="00D32FDB" w:rsidP="00D32FDB">
      <w:pPr>
        <w:spacing w:line="240" w:lineRule="auto"/>
        <w:jc w:val="left"/>
        <w:rPr>
          <w:rFonts w:eastAsia="Times New Roman"/>
          <w:sz w:val="24"/>
          <w:szCs w:val="24"/>
          <w:lang w:eastAsia="uk-UA"/>
        </w:rPr>
      </w:pPr>
    </w:p>
    <w:p w:rsidR="00D32FDB" w:rsidRPr="00D32FDB" w:rsidRDefault="00D32FDB" w:rsidP="00D32FDB">
      <w:pPr>
        <w:spacing w:line="240" w:lineRule="auto"/>
        <w:jc w:val="left"/>
        <w:rPr>
          <w:rFonts w:eastAsia="Times New Roman"/>
          <w:sz w:val="24"/>
          <w:szCs w:val="24"/>
          <w:lang w:eastAsia="uk-UA"/>
        </w:rPr>
      </w:pPr>
      <w:r w:rsidRPr="00D32FDB">
        <w:rPr>
          <w:rFonts w:eastAsia="Times New Roman"/>
          <w:noProof/>
          <w:szCs w:val="28"/>
          <w:lang w:val="ru-RU" w:eastAsia="ru-RU"/>
        </w:rPr>
        <mc:AlternateContent>
          <mc:Choice Requires="wps">
            <w:drawing>
              <wp:anchor distT="0" distB="0" distL="114300" distR="114300" simplePos="0" relativeHeight="252017664" behindDoc="0" locked="0" layoutInCell="1" allowOverlap="1" wp14:anchorId="362981D6" wp14:editId="7166B625">
                <wp:simplePos x="0" y="0"/>
                <wp:positionH relativeFrom="column">
                  <wp:posOffset>291465</wp:posOffset>
                </wp:positionH>
                <wp:positionV relativeFrom="paragraph">
                  <wp:posOffset>34925</wp:posOffset>
                </wp:positionV>
                <wp:extent cx="6224270" cy="277495"/>
                <wp:effectExtent l="0" t="0" r="62230" b="65405"/>
                <wp:wrapNone/>
                <wp:docPr id="79" name="Прямоугольник 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24270" cy="277495"/>
                        </a:xfrm>
                        <a:prstGeom prst="rect">
                          <a:avLst/>
                        </a:prstGeom>
                        <a:gradFill rotWithShape="1">
                          <a:gsLst>
                            <a:gs pos="0">
                              <a:srgbClr val="C0C0C0"/>
                            </a:gs>
                            <a:gs pos="50000">
                              <a:srgbClr val="FBFBFB"/>
                            </a:gs>
                            <a:gs pos="100000">
                              <a:srgbClr val="C0C0C0"/>
                            </a:gs>
                          </a:gsLst>
                          <a:lin ang="5400000" scaled="1"/>
                        </a:gradFill>
                        <a:ln w="25400">
                          <a:solidFill>
                            <a:srgbClr val="000000"/>
                          </a:solidFill>
                          <a:miter lim="800000"/>
                          <a:headEnd/>
                          <a:tailEnd/>
                        </a:ln>
                        <a:effectLst>
                          <a:outerShdw dist="53882" dir="2700000" algn="ctr" rotWithShape="0">
                            <a:srgbClr val="808080"/>
                          </a:outerShdw>
                        </a:effectLst>
                      </wps:spPr>
                      <wps:txbx>
                        <w:txbxContent>
                          <w:p w:rsidR="001E1DF5" w:rsidRPr="00737D09" w:rsidRDefault="001E1DF5" w:rsidP="00D32FDB">
                            <w:pPr>
                              <w:jc w:val="center"/>
                              <w:rPr>
                                <w:b/>
                              </w:rPr>
                            </w:pPr>
                            <w:r>
                              <w:rPr>
                                <w:b/>
                              </w:rPr>
                              <w:t>І</w:t>
                            </w:r>
                            <w:r>
                              <w:rPr>
                                <w:b/>
                                <w:lang w:val="en-US"/>
                              </w:rPr>
                              <w:t>V</w:t>
                            </w:r>
                            <w:r>
                              <w:rPr>
                                <w:b/>
                              </w:rPr>
                              <w:t xml:space="preserve"> Фінансування (джерела фінансування)</w:t>
                            </w:r>
                          </w:p>
                        </w:txbxContent>
                      </wps:txbx>
                      <wps:bodyPr rot="0" vert="horz" wrap="square" lIns="0" tIns="3600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79" o:spid="_x0000_s1168" style="position:absolute;margin-left:22.95pt;margin-top:2.75pt;width:490.1pt;height:21.85pt;z-index:252017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" fillcolor="silver" strokeweight="2pt">
                <v:fill color2="#fbfbfb" rotate="t" focus="50%" type="gradient"/>
                <v:shadow on="t" offset="3pt,3pt"/>
                <v:textbox inset="0,1mm,0,0">
                  <w:txbxContent>
                    <w:p w:rsidR="0057431A" w:rsidRPr="00737D09" w:rsidRDefault="0057431A" w:rsidP="00D32FDB">
                      <w:pPr>
                        <w:jc w:val="center"/>
                        <w:rPr>
                          <w:b/>
                        </w:rPr>
                      </w:pPr>
                      <w:r>
                        <w:rPr>
                          <w:b/>
                        </w:rPr>
                        <w:t>І</w:t>
                      </w:r>
                      <w:r>
                        <w:rPr>
                          <w:b/>
                          <w:lang w:val="en-US"/>
                        </w:rPr>
                        <w:t>V</w:t>
                      </w:r>
                      <w:r>
                        <w:rPr>
                          <w:b/>
                        </w:rPr>
                        <w:t xml:space="preserve"> Фінансування (джерела фінансування)</w:t>
                      </w:r>
                    </w:p>
                  </w:txbxContent>
                </v:textbox>
              </v:rect>
            </w:pict>
          </mc:Fallback>
        </mc:AlternateContent>
      </w:r>
    </w:p>
    <w:p w:rsidR="00D32FDB" w:rsidRPr="00D32FDB" w:rsidRDefault="00D32FDB" w:rsidP="00D32FDB">
      <w:pPr>
        <w:spacing w:line="240" w:lineRule="auto"/>
        <w:jc w:val="center"/>
        <w:rPr>
          <w:rFonts w:eastAsia="Times New Roman"/>
          <w:sz w:val="24"/>
          <w:szCs w:val="24"/>
          <w:lang w:eastAsia="uk-UA"/>
        </w:rPr>
      </w:pPr>
    </w:p>
    <w:p w:rsidR="00D32FDB" w:rsidRPr="00D32FDB" w:rsidRDefault="00D32FDB" w:rsidP="00D32FDB">
      <w:pPr>
        <w:spacing w:line="240" w:lineRule="auto"/>
        <w:jc w:val="left"/>
        <w:rPr>
          <w:rFonts w:eastAsia="Times New Roman"/>
          <w:sz w:val="24"/>
          <w:szCs w:val="24"/>
          <w:lang w:eastAsia="uk-UA"/>
        </w:rPr>
      </w:pPr>
      <w:r w:rsidRPr="00D32FDB">
        <w:rPr>
          <w:rFonts w:eastAsia="Times New Roman"/>
          <w:noProof/>
          <w:sz w:val="24"/>
          <w:szCs w:val="24"/>
          <w:lang w:val="ru-RU" w:eastAsia="ru-RU"/>
        </w:rPr>
        <mc:AlternateContent>
          <mc:Choice Requires="wps">
            <w:drawing>
              <wp:anchor distT="0" distB="0" distL="114300" distR="114300" simplePos="0" relativeHeight="252018688" behindDoc="0" locked="0" layoutInCell="1" allowOverlap="1" wp14:anchorId="0C66AD9E" wp14:editId="5A1F49C2">
                <wp:simplePos x="0" y="0"/>
                <wp:positionH relativeFrom="column">
                  <wp:posOffset>289726</wp:posOffset>
                </wp:positionH>
                <wp:positionV relativeFrom="paragraph">
                  <wp:posOffset>8393</wp:posOffset>
                </wp:positionV>
                <wp:extent cx="6224270" cy="699715"/>
                <wp:effectExtent l="0" t="0" r="24130" b="24765"/>
                <wp:wrapNone/>
                <wp:docPr id="80" name="Прямоугольник 8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24270" cy="699715"/>
                        </a:xfrm>
                        <a:prstGeom prst="rect">
                          <a:avLst/>
                        </a:prstGeom>
                        <a:solidFill>
                          <a:srgbClr val="FFFFFF"/>
                        </a:solidFill>
                        <a:ln w="9525">
                          <a:solidFill>
                            <a:sysClr val="windowText" lastClr="000000"/>
                          </a:solidFill>
                          <a:miter lim="800000"/>
                          <a:headEnd/>
                          <a:tailEnd/>
                        </a:ln>
                      </wps:spPr>
                      <wps:txbx>
                        <w:txbxContent>
                          <w:p w:rsidR="001E1DF5" w:rsidRPr="00392F62" w:rsidRDefault="001E1DF5" w:rsidP="00D32FDB">
                            <w:pPr>
                              <w:spacing w:line="240" w:lineRule="exact"/>
                              <w:rPr>
                                <w:sz w:val="24"/>
                                <w:szCs w:val="24"/>
                              </w:rPr>
                            </w:pPr>
                            <w:r w:rsidRPr="00392F62">
                              <w:rPr>
                                <w:sz w:val="24"/>
                                <w:szCs w:val="24"/>
                              </w:rPr>
                              <w:t xml:space="preserve">Державне фінансування (державні гарантії щодо охоплення медичною допомогою </w:t>
                            </w:r>
                            <w:r>
                              <w:rPr>
                                <w:sz w:val="24"/>
                                <w:szCs w:val="24"/>
                              </w:rPr>
                              <w:t>дітей та вагітних жінок,</w:t>
                            </w:r>
                            <w:r w:rsidRPr="00392F62">
                              <w:rPr>
                                <w:sz w:val="24"/>
                                <w:szCs w:val="24"/>
                              </w:rPr>
                              <w:t xml:space="preserve"> державні, регіональні та місцеві програми), приватні інвестиції, інвестиції місцевих еліт, громадських організацій, міжнародних фондів, бізнес-кампаній, соціальна допомога дітям з особливими можливостями.</w:t>
                            </w:r>
                          </w:p>
                          <w:p w:rsidR="001E1DF5" w:rsidRPr="00F971CF" w:rsidRDefault="001E1DF5" w:rsidP="00D32FDB">
                            <w:pPr>
                              <w:spacing w:line="220" w:lineRule="exact"/>
                            </w:pPr>
                          </w:p>
                        </w:txbxContent>
                      </wps:txbx>
                      <wps:bodyPr rot="0" vert="horz" wrap="square" lIns="36000" tIns="36000" rIns="36000" bIns="1080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80" o:spid="_x0000_s1169" style="position:absolute;margin-left:22.8pt;margin-top:.65pt;width:490.1pt;height:55.1pt;z-index:252018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" strokecolor="windowText">
                <v:textbox inset="1mm,1mm,1mm,.3mm">
                  <w:txbxContent>
                    <w:p w:rsidR="00FD59BE" w:rsidRPr="00392F62" w:rsidRDefault="00FD59BE" w:rsidP="00D32FDB">
                      <w:pPr>
                        <w:spacing w:line="240" w:lineRule="exact"/>
                        <w:rPr>
                          <w:sz w:val="24"/>
                          <w:szCs w:val="24"/>
                        </w:rPr>
                      </w:pPr>
                      <w:r w:rsidRPr="00392F62">
                        <w:rPr>
                          <w:sz w:val="24"/>
                          <w:szCs w:val="24"/>
                        </w:rPr>
                        <w:t xml:space="preserve">Державне фінансування (державні гарантії щодо охоплення медичною допомогою </w:t>
                      </w:r>
                      <w:r w:rsidR="00236627">
                        <w:rPr>
                          <w:sz w:val="24"/>
                          <w:szCs w:val="24"/>
                        </w:rPr>
                        <w:t>дітей та вагітних жінок,</w:t>
                      </w:r>
                      <w:bookmarkStart w:id="3" w:name="_GoBack"/>
                      <w:bookmarkEnd w:id="3"/>
                      <w:r w:rsidRPr="00392F62">
                        <w:rPr>
                          <w:sz w:val="24"/>
                          <w:szCs w:val="24"/>
                        </w:rPr>
                        <w:t xml:space="preserve"> державні, регіональні та місцеві програми), приватні інвестиції, інвестиції місцевих еліт, громадських організацій, міжнародних фондів, бізнес-кампаній, соціальна допомога дітям з особливими можливостями.</w:t>
                      </w:r>
                    </w:p>
                    <w:p w:rsidR="00FD59BE" w:rsidRPr="00F971CF" w:rsidRDefault="00FD59BE" w:rsidP="00D32FDB">
                      <w:pPr>
                        <w:spacing w:line="220" w:lineRule="exact"/>
                      </w:pPr>
                    </w:p>
                  </w:txbxContent>
                </v:textbox>
              </v:rect>
            </w:pict>
          </mc:Fallback>
        </mc:AlternateContent>
      </w:r>
    </w:p>
    <w:p w:rsidR="00D32FDB" w:rsidRPr="00D32FDB" w:rsidRDefault="00D32FDB" w:rsidP="00D32FDB">
      <w:pPr>
        <w:spacing w:line="240" w:lineRule="auto"/>
        <w:jc w:val="left"/>
        <w:rPr>
          <w:rFonts w:eastAsia="Times New Roman"/>
          <w:sz w:val="24"/>
          <w:szCs w:val="24"/>
          <w:lang w:eastAsia="uk-UA"/>
        </w:rPr>
      </w:pPr>
    </w:p>
    <w:p w:rsidR="00D32FDB" w:rsidRPr="00D32FDB" w:rsidRDefault="00D32FDB" w:rsidP="00D32FDB">
      <w:pPr>
        <w:tabs>
          <w:tab w:val="left" w:pos="1503"/>
        </w:tabs>
        <w:spacing w:line="240" w:lineRule="auto"/>
        <w:jc w:val="left"/>
        <w:rPr>
          <w:rFonts w:eastAsia="Times New Roman"/>
          <w:sz w:val="24"/>
          <w:szCs w:val="24"/>
          <w:lang w:eastAsia="uk-UA"/>
        </w:rPr>
      </w:pPr>
      <w:r w:rsidRPr="00D32FDB">
        <w:rPr>
          <w:rFonts w:eastAsia="Times New Roman"/>
          <w:sz w:val="24"/>
          <w:szCs w:val="24"/>
          <w:lang w:eastAsia="uk-UA"/>
        </w:rPr>
        <w:tab/>
      </w:r>
    </w:p>
    <w:p w:rsidR="00D32FDB" w:rsidRPr="00D32FDB" w:rsidRDefault="00D32FDB" w:rsidP="00D32FDB">
      <w:pPr>
        <w:spacing w:line="240" w:lineRule="auto"/>
        <w:jc w:val="left"/>
        <w:rPr>
          <w:rFonts w:eastAsia="Times New Roman"/>
          <w:sz w:val="24"/>
          <w:szCs w:val="24"/>
          <w:lang w:eastAsia="uk-UA"/>
        </w:rPr>
      </w:pPr>
    </w:p>
    <w:p w:rsidR="00D32FDB" w:rsidRPr="00D32FDB" w:rsidRDefault="00D32FDB" w:rsidP="00D32FDB">
      <w:pPr>
        <w:spacing w:line="240" w:lineRule="auto"/>
        <w:jc w:val="left"/>
        <w:rPr>
          <w:rFonts w:eastAsia="Times New Roman"/>
          <w:sz w:val="24"/>
          <w:szCs w:val="24"/>
          <w:lang w:eastAsia="uk-UA"/>
        </w:rPr>
      </w:pPr>
      <w:r w:rsidRPr="00D32FDB">
        <w:rPr>
          <w:rFonts w:eastAsia="Times New Roman"/>
          <w:noProof/>
          <w:szCs w:val="28"/>
          <w:lang w:val="ru-RU" w:eastAsia="ru-RU"/>
        </w:rPr>
        <mc:AlternateContent>
          <mc:Choice Requires="wps">
            <w:drawing>
              <wp:anchor distT="0" distB="0" distL="114300" distR="114300" simplePos="0" relativeHeight="252019712" behindDoc="0" locked="0" layoutInCell="1" allowOverlap="1" wp14:anchorId="7D5D7CA0" wp14:editId="06830E93">
                <wp:simplePos x="0" y="0"/>
                <wp:positionH relativeFrom="column">
                  <wp:posOffset>284783</wp:posOffset>
                </wp:positionH>
                <wp:positionV relativeFrom="paragraph">
                  <wp:posOffset>57619</wp:posOffset>
                </wp:positionV>
                <wp:extent cx="6224270" cy="277495"/>
                <wp:effectExtent l="0" t="0" r="62230" b="65405"/>
                <wp:wrapNone/>
                <wp:docPr id="81" name="Прямоугольник 8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24270" cy="277495"/>
                        </a:xfrm>
                        <a:prstGeom prst="rect">
                          <a:avLst/>
                        </a:prstGeom>
                        <a:gradFill rotWithShape="1">
                          <a:gsLst>
                            <a:gs pos="0">
                              <a:srgbClr val="C0C0C0"/>
                            </a:gs>
                            <a:gs pos="50000">
                              <a:srgbClr val="FBFBFB"/>
                            </a:gs>
                            <a:gs pos="100000">
                              <a:srgbClr val="C0C0C0"/>
                            </a:gs>
                          </a:gsLst>
                          <a:lin ang="5400000" scaled="1"/>
                        </a:gradFill>
                        <a:ln w="25400">
                          <a:solidFill>
                            <a:srgbClr val="000000"/>
                          </a:solidFill>
                          <a:miter lim="800000"/>
                          <a:headEnd/>
                          <a:tailEnd/>
                        </a:ln>
                        <a:effectLst>
                          <a:outerShdw dist="53882" dir="2700000" algn="ctr" rotWithShape="0">
                            <a:srgbClr val="808080"/>
                          </a:outerShdw>
                        </a:effectLst>
                      </wps:spPr>
                      <wps:txbx>
                        <w:txbxContent>
                          <w:p w:rsidR="001E1DF5" w:rsidRPr="006279B2" w:rsidRDefault="001E1DF5" w:rsidP="00D32FDB">
                            <w:pPr>
                              <w:jc w:val="center"/>
                            </w:pPr>
                            <w:r>
                              <w:rPr>
                                <w:b/>
                                <w:lang w:val="en-US"/>
                              </w:rPr>
                              <w:t>V</w:t>
                            </w:r>
                            <w:r>
                              <w:rPr>
                                <w:b/>
                              </w:rPr>
                              <w:t xml:space="preserve"> Інформаційна база </w:t>
                            </w:r>
                            <w:r w:rsidRPr="006279B2">
                              <w:t xml:space="preserve">(інформаційний </w:t>
                            </w:r>
                            <w:r>
                              <w:t>компонент системи</w:t>
                            </w:r>
                            <w:r w:rsidRPr="006279B2">
                              <w:t>)</w:t>
                            </w:r>
                          </w:p>
                          <w:p w:rsidR="001E1DF5" w:rsidRPr="00737D09" w:rsidRDefault="001E1DF5" w:rsidP="00D32FDB">
                            <w:pPr>
                              <w:jc w:val="center"/>
                              <w:rPr>
                                <w:b/>
                              </w:rPr>
                            </w:pPr>
                          </w:p>
                        </w:txbxContent>
                      </wps:txbx>
                      <wps:bodyPr rot="0" vert="horz" wrap="square" lIns="0" tIns="3600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81" o:spid="_x0000_s1170" style="position:absolute;margin-left:22.4pt;margin-top:4.55pt;width:490.1pt;height:21.85pt;z-index:252019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" fillcolor="silver" strokeweight="2pt">
                <v:fill color2="#fbfbfb" rotate="t" focus="50%" type="gradient"/>
                <v:shadow on="t" offset="3pt,3pt"/>
                <v:textbox inset="0,1mm,0,0">
                  <w:txbxContent>
                    <w:p w:rsidR="0057431A" w:rsidRPr="006279B2" w:rsidRDefault="0057431A" w:rsidP="00D32FDB">
                      <w:pPr>
                        <w:jc w:val="center"/>
                      </w:pPr>
                      <w:r>
                        <w:rPr>
                          <w:b/>
                          <w:lang w:val="en-US"/>
                        </w:rPr>
                        <w:t>V</w:t>
                      </w:r>
                      <w:r>
                        <w:rPr>
                          <w:b/>
                        </w:rPr>
                        <w:t xml:space="preserve"> Інформаційна база </w:t>
                      </w:r>
                      <w:r w:rsidRPr="006279B2">
                        <w:t xml:space="preserve">(інформаційний </w:t>
                      </w:r>
                      <w:r>
                        <w:t>компонент системи</w:t>
                      </w:r>
                      <w:r w:rsidRPr="006279B2">
                        <w:t>)</w:t>
                      </w:r>
                    </w:p>
                    <w:p w:rsidR="0057431A" w:rsidRPr="00737D09" w:rsidRDefault="0057431A" w:rsidP="00D32FDB">
                      <w:pPr>
                        <w:jc w:val="center"/>
                        <w:rPr>
                          <w:b/>
                        </w:rPr>
                      </w:pPr>
                    </w:p>
                  </w:txbxContent>
                </v:textbox>
              </v:rect>
            </w:pict>
          </mc:Fallback>
        </mc:AlternateContent>
      </w:r>
    </w:p>
    <w:p w:rsidR="00D32FDB" w:rsidRPr="00D32FDB" w:rsidRDefault="00D32FDB" w:rsidP="00D32FDB">
      <w:pPr>
        <w:spacing w:line="240" w:lineRule="auto"/>
        <w:jc w:val="left"/>
        <w:rPr>
          <w:rFonts w:eastAsia="Times New Roman"/>
          <w:sz w:val="24"/>
          <w:szCs w:val="24"/>
          <w:lang w:eastAsia="uk-UA"/>
        </w:rPr>
      </w:pPr>
    </w:p>
    <w:p w:rsidR="00D32FDB" w:rsidRPr="00D32FDB" w:rsidRDefault="00D32FDB" w:rsidP="00D32FDB">
      <w:pPr>
        <w:spacing w:line="240" w:lineRule="auto"/>
        <w:jc w:val="left"/>
        <w:rPr>
          <w:rFonts w:eastAsia="Times New Roman"/>
          <w:sz w:val="24"/>
          <w:szCs w:val="24"/>
          <w:lang w:eastAsia="uk-UA"/>
        </w:rPr>
      </w:pPr>
      <w:r w:rsidRPr="00D32FDB">
        <w:rPr>
          <w:rFonts w:eastAsia="Times New Roman"/>
          <w:noProof/>
          <w:sz w:val="24"/>
          <w:szCs w:val="24"/>
          <w:lang w:val="ru-RU" w:eastAsia="ru-RU"/>
        </w:rPr>
        <mc:AlternateContent>
          <mc:Choice Requires="wps">
            <w:drawing>
              <wp:anchor distT="0" distB="0" distL="114300" distR="114300" simplePos="0" relativeHeight="252021760" behindDoc="0" locked="0" layoutInCell="1" allowOverlap="1" wp14:anchorId="6CD2C809" wp14:editId="6D50E8AB">
                <wp:simplePos x="0" y="0"/>
                <wp:positionH relativeFrom="column">
                  <wp:posOffset>282542</wp:posOffset>
                </wp:positionH>
                <wp:positionV relativeFrom="paragraph">
                  <wp:posOffset>80078</wp:posOffset>
                </wp:positionV>
                <wp:extent cx="6224270" cy="1588168"/>
                <wp:effectExtent l="0" t="0" r="24130" b="12065"/>
                <wp:wrapNone/>
                <wp:docPr id="82" name="Прямоугольник 8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24270" cy="1588168"/>
                        </a:xfrm>
                        <a:prstGeom prst="rect">
                          <a:avLst/>
                        </a:prstGeom>
                        <a:solidFill>
                          <a:srgbClr val="FFFFFF"/>
                        </a:solidFill>
                        <a:ln w="9525">
                          <a:solidFill>
                            <a:sysClr val="windowText" lastClr="000000"/>
                          </a:solidFill>
                          <a:miter lim="800000"/>
                          <a:headEnd/>
                          <a:tailEnd/>
                        </a:ln>
                      </wps:spPr>
                      <wps:txbx>
                        <w:txbxContent>
                          <w:p w:rsidR="001E1DF5" w:rsidRPr="00392F62" w:rsidRDefault="001E1DF5" w:rsidP="00D32FDB">
                            <w:pPr>
                              <w:spacing w:line="220" w:lineRule="exact"/>
                              <w:rPr>
                                <w:sz w:val="24"/>
                                <w:szCs w:val="24"/>
                              </w:rPr>
                            </w:pPr>
                            <w:r w:rsidRPr="00392F62">
                              <w:rPr>
                                <w:sz w:val="24"/>
                                <w:szCs w:val="24"/>
                              </w:rPr>
                              <w:t>1. Електронний медичний документообіг (ЕСОЗ)</w:t>
                            </w:r>
                          </w:p>
                          <w:p w:rsidR="001E1DF5" w:rsidRPr="00392F62" w:rsidRDefault="001E1DF5" w:rsidP="00D32FDB">
                            <w:pPr>
                              <w:spacing w:line="220" w:lineRule="exact"/>
                              <w:rPr>
                                <w:sz w:val="24"/>
                                <w:szCs w:val="24"/>
                              </w:rPr>
                            </w:pPr>
                            <w:r w:rsidRPr="00392F62">
                              <w:rPr>
                                <w:sz w:val="24"/>
                                <w:szCs w:val="24"/>
                              </w:rPr>
                              <w:t>2. Єдина державна медична інформаційна система педіатричної допомоги, включно реєстр новонароджених, що народились передчасно та/або хворими</w:t>
                            </w:r>
                          </w:p>
                          <w:p w:rsidR="001E1DF5" w:rsidRPr="00392F62" w:rsidRDefault="001E1DF5" w:rsidP="00D32FDB">
                            <w:pPr>
                              <w:spacing w:line="220" w:lineRule="exact"/>
                              <w:rPr>
                                <w:sz w:val="24"/>
                                <w:szCs w:val="24"/>
                              </w:rPr>
                            </w:pPr>
                            <w:r w:rsidRPr="00392F62">
                              <w:rPr>
                                <w:sz w:val="24"/>
                                <w:szCs w:val="24"/>
                              </w:rPr>
                              <w:t>3. Інтернет-ресурс з попередження дитячої смертності та збереження здоров’я дітей</w:t>
                            </w:r>
                          </w:p>
                          <w:p w:rsidR="001E1DF5" w:rsidRPr="00392F62" w:rsidRDefault="001E1DF5" w:rsidP="00D32FDB">
                            <w:pPr>
                              <w:spacing w:line="220" w:lineRule="exact"/>
                              <w:rPr>
                                <w:sz w:val="24"/>
                                <w:szCs w:val="24"/>
                              </w:rPr>
                            </w:pPr>
                            <w:r w:rsidRPr="00392F62">
                              <w:rPr>
                                <w:sz w:val="24"/>
                                <w:szCs w:val="24"/>
                              </w:rPr>
                              <w:t>4. ЗМІ: програми, соціальна реклама з пропагування профілактики дитячої смертності, своєчасного звернення за медичною допомогою при загрозливих станах, здорового способу життя, орієнтації сім`ї на збереження здоров’я дітей, тощо</w:t>
                            </w:r>
                          </w:p>
                          <w:p w:rsidR="001E1DF5" w:rsidRPr="00392F62" w:rsidRDefault="001E1DF5" w:rsidP="00D32FDB">
                            <w:pPr>
                              <w:spacing w:line="220" w:lineRule="exact"/>
                              <w:rPr>
                                <w:sz w:val="24"/>
                                <w:szCs w:val="24"/>
                              </w:rPr>
                            </w:pPr>
                            <w:r w:rsidRPr="00392F62">
                              <w:rPr>
                                <w:sz w:val="24"/>
                                <w:szCs w:val="24"/>
                              </w:rPr>
                              <w:t>5. Інструктажі з безпеки життєдіяльності та праці</w:t>
                            </w:r>
                          </w:p>
                          <w:p w:rsidR="001E1DF5" w:rsidRPr="00392F62" w:rsidRDefault="001E1DF5" w:rsidP="00D32FDB">
                            <w:pPr>
                              <w:spacing w:line="220" w:lineRule="exact"/>
                              <w:rPr>
                                <w:sz w:val="24"/>
                                <w:szCs w:val="24"/>
                              </w:rPr>
                            </w:pPr>
                            <w:r w:rsidRPr="00392F62">
                              <w:rPr>
                                <w:sz w:val="24"/>
                                <w:szCs w:val="24"/>
                              </w:rPr>
                              <w:t>6. Акції громадських організацій та молодіжних рухів щодо збереження здоров’я дітей та пропагуванні здоров’я дитини  у сімейному</w:t>
                            </w:r>
                            <w:r>
                              <w:t xml:space="preserve"> </w:t>
                            </w:r>
                            <w:r w:rsidRPr="00392F62">
                              <w:rPr>
                                <w:sz w:val="24"/>
                                <w:szCs w:val="24"/>
                              </w:rPr>
                              <w:t xml:space="preserve">колі як найвищої цінності </w:t>
                            </w:r>
                          </w:p>
                          <w:p w:rsidR="001E1DF5" w:rsidRPr="00392F62" w:rsidRDefault="001E1DF5" w:rsidP="00D32FDB">
                            <w:pPr>
                              <w:spacing w:line="220" w:lineRule="exact"/>
                              <w:rPr>
                                <w:sz w:val="24"/>
                                <w:szCs w:val="24"/>
                              </w:rPr>
                            </w:pPr>
                            <w:r w:rsidRPr="00392F62">
                              <w:rPr>
                                <w:sz w:val="24"/>
                                <w:szCs w:val="24"/>
                              </w:rPr>
                              <w:t>7. Учбові матеріали, листівки для батьків; школи відповідального батьківства</w:t>
                            </w:r>
                          </w:p>
                          <w:p w:rsidR="001E1DF5" w:rsidRPr="00392F62" w:rsidRDefault="001E1DF5" w:rsidP="00D32FDB">
                            <w:pPr>
                              <w:spacing w:line="220" w:lineRule="exact"/>
                              <w:rPr>
                                <w:sz w:val="24"/>
                                <w:szCs w:val="24"/>
                                <w:lang w:val="ru-RU"/>
                              </w:rPr>
                            </w:pPr>
                          </w:p>
                        </w:txbxContent>
                      </wps:txbx>
                      <wps:bodyPr rot="0" vert="horz" wrap="square" lIns="36000" tIns="36000" rIns="36000" bIns="1080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82" o:spid="_x0000_s1171" style="position:absolute;margin-left:22.25pt;margin-top:6.3pt;width:490.1pt;height:125.05pt;z-index:252021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" strokecolor="windowText">
                <v:textbox inset="1mm,1mm,1mm,.3mm">
                  <w:txbxContent>
                    <w:p w:rsidR="0057431A" w:rsidRPr="00392F62" w:rsidRDefault="0057431A" w:rsidP="00D32FDB">
                      <w:pPr>
                        <w:spacing w:line="220" w:lineRule="exact"/>
                        <w:rPr>
                          <w:sz w:val="24"/>
                          <w:szCs w:val="24"/>
                        </w:rPr>
                      </w:pPr>
                      <w:r w:rsidRPr="00392F62">
                        <w:rPr>
                          <w:sz w:val="24"/>
                          <w:szCs w:val="24"/>
                        </w:rPr>
                        <w:t>1. Електронний медичний документообіг (ЕСОЗ)</w:t>
                      </w:r>
                    </w:p>
                    <w:p w:rsidR="0057431A" w:rsidRPr="00392F62" w:rsidRDefault="0057431A" w:rsidP="00D32FDB">
                      <w:pPr>
                        <w:spacing w:line="220" w:lineRule="exact"/>
                        <w:rPr>
                          <w:sz w:val="24"/>
                          <w:szCs w:val="24"/>
                        </w:rPr>
                      </w:pPr>
                      <w:r w:rsidRPr="00392F62">
                        <w:rPr>
                          <w:sz w:val="24"/>
                          <w:szCs w:val="24"/>
                        </w:rPr>
                        <w:t>2. Єдина державна медична інформаційна система педіатричної допомоги, включно реєстр новонароджених, що народились передчасно та/або хворими</w:t>
                      </w:r>
                    </w:p>
                    <w:p w:rsidR="0057431A" w:rsidRPr="00392F62" w:rsidRDefault="0057431A" w:rsidP="00D32FDB">
                      <w:pPr>
                        <w:spacing w:line="220" w:lineRule="exact"/>
                        <w:rPr>
                          <w:sz w:val="24"/>
                          <w:szCs w:val="24"/>
                        </w:rPr>
                      </w:pPr>
                      <w:r w:rsidRPr="00392F62">
                        <w:rPr>
                          <w:sz w:val="24"/>
                          <w:szCs w:val="24"/>
                        </w:rPr>
                        <w:t>3. Інтернет-ресурс з попередження дитячої смертності та збереження здоров’я дітей</w:t>
                      </w:r>
                    </w:p>
                    <w:p w:rsidR="0057431A" w:rsidRPr="00392F62" w:rsidRDefault="0057431A" w:rsidP="00D32FDB">
                      <w:pPr>
                        <w:spacing w:line="220" w:lineRule="exact"/>
                        <w:rPr>
                          <w:sz w:val="24"/>
                          <w:szCs w:val="24"/>
                        </w:rPr>
                      </w:pPr>
                      <w:r w:rsidRPr="00392F62">
                        <w:rPr>
                          <w:sz w:val="24"/>
                          <w:szCs w:val="24"/>
                        </w:rPr>
                        <w:t>4. ЗМІ: програми, соціальна реклама з пропагування профілактики дитячої смертності, своєчасного звернення за медичною допомогою при загрозливих станах, здорового способу життя, орієнтації сім`ї на збереження здоров’я дітей, тощо</w:t>
                      </w:r>
                    </w:p>
                    <w:p w:rsidR="0057431A" w:rsidRPr="00392F62" w:rsidRDefault="0057431A" w:rsidP="00D32FDB">
                      <w:pPr>
                        <w:spacing w:line="220" w:lineRule="exact"/>
                        <w:rPr>
                          <w:sz w:val="24"/>
                          <w:szCs w:val="24"/>
                        </w:rPr>
                      </w:pPr>
                      <w:r w:rsidRPr="00392F62">
                        <w:rPr>
                          <w:sz w:val="24"/>
                          <w:szCs w:val="24"/>
                        </w:rPr>
                        <w:t>5. Інструктажі з безпеки життєдіяльності та праці</w:t>
                      </w:r>
                    </w:p>
                    <w:p w:rsidR="0057431A" w:rsidRPr="00392F62" w:rsidRDefault="0057431A" w:rsidP="00D32FDB">
                      <w:pPr>
                        <w:spacing w:line="220" w:lineRule="exact"/>
                        <w:rPr>
                          <w:sz w:val="24"/>
                          <w:szCs w:val="24"/>
                        </w:rPr>
                      </w:pPr>
                      <w:r w:rsidRPr="00392F62">
                        <w:rPr>
                          <w:sz w:val="24"/>
                          <w:szCs w:val="24"/>
                        </w:rPr>
                        <w:t>6. Акції громадських організацій та молодіжних рухів щодо збереження здоров’я дітей та пропагуванні здоров’я дитини  у сімейному</w:t>
                      </w:r>
                      <w:r>
                        <w:t xml:space="preserve"> </w:t>
                      </w:r>
                      <w:r w:rsidRPr="00392F62">
                        <w:rPr>
                          <w:sz w:val="24"/>
                          <w:szCs w:val="24"/>
                        </w:rPr>
                        <w:t xml:space="preserve">колі як найвищої цінності </w:t>
                      </w:r>
                    </w:p>
                    <w:p w:rsidR="0057431A" w:rsidRPr="00392F62" w:rsidRDefault="0057431A" w:rsidP="00D32FDB">
                      <w:pPr>
                        <w:spacing w:line="220" w:lineRule="exact"/>
                        <w:rPr>
                          <w:sz w:val="24"/>
                          <w:szCs w:val="24"/>
                        </w:rPr>
                      </w:pPr>
                      <w:r w:rsidRPr="00392F62">
                        <w:rPr>
                          <w:sz w:val="24"/>
                          <w:szCs w:val="24"/>
                        </w:rPr>
                        <w:t>7. Учбові матеріали, листівки для батьків; школи відповідального батьківства</w:t>
                      </w:r>
                    </w:p>
                    <w:p w:rsidR="0057431A" w:rsidRPr="00392F62" w:rsidRDefault="0057431A" w:rsidP="00D32FDB">
                      <w:pPr>
                        <w:spacing w:line="220" w:lineRule="exact"/>
                        <w:rPr>
                          <w:sz w:val="24"/>
                          <w:szCs w:val="24"/>
                          <w:lang w:val="ru-RU"/>
                        </w:rPr>
                      </w:pPr>
                    </w:p>
                  </w:txbxContent>
                </v:textbox>
              </v:rect>
            </w:pict>
          </mc:Fallback>
        </mc:AlternateContent>
      </w:r>
    </w:p>
    <w:p w:rsidR="00D32FDB" w:rsidRPr="00D32FDB" w:rsidRDefault="00D32FDB" w:rsidP="00D32FDB">
      <w:pPr>
        <w:spacing w:line="240" w:lineRule="auto"/>
        <w:jc w:val="left"/>
        <w:rPr>
          <w:rFonts w:eastAsia="Times New Roman"/>
          <w:sz w:val="24"/>
          <w:szCs w:val="24"/>
          <w:lang w:eastAsia="uk-UA"/>
        </w:rPr>
      </w:pPr>
    </w:p>
    <w:p w:rsidR="00D32FDB" w:rsidRPr="00D32FDB" w:rsidRDefault="00D32FDB" w:rsidP="00D32FDB">
      <w:pPr>
        <w:tabs>
          <w:tab w:val="left" w:pos="3381"/>
          <w:tab w:val="left" w:pos="6023"/>
        </w:tabs>
        <w:spacing w:line="240" w:lineRule="auto"/>
        <w:jc w:val="left"/>
        <w:rPr>
          <w:rFonts w:eastAsia="Times New Roman"/>
          <w:sz w:val="24"/>
          <w:szCs w:val="24"/>
          <w:lang w:eastAsia="uk-UA"/>
        </w:rPr>
      </w:pPr>
      <w:r w:rsidRPr="00D32FDB">
        <w:rPr>
          <w:rFonts w:eastAsia="Times New Roman"/>
          <w:sz w:val="24"/>
          <w:szCs w:val="24"/>
          <w:lang w:eastAsia="uk-UA"/>
        </w:rPr>
        <w:tab/>
      </w:r>
      <w:r w:rsidRPr="00D32FDB">
        <w:rPr>
          <w:rFonts w:eastAsia="Times New Roman"/>
          <w:sz w:val="24"/>
          <w:szCs w:val="24"/>
          <w:lang w:eastAsia="uk-UA"/>
        </w:rPr>
        <w:tab/>
      </w:r>
    </w:p>
    <w:p w:rsidR="00D32FDB" w:rsidRPr="00D32FDB" w:rsidRDefault="00D32FDB" w:rsidP="00D32FDB">
      <w:pPr>
        <w:spacing w:line="240" w:lineRule="auto"/>
        <w:jc w:val="left"/>
        <w:rPr>
          <w:rFonts w:eastAsia="Times New Roman"/>
          <w:sz w:val="24"/>
          <w:szCs w:val="24"/>
          <w:lang w:eastAsia="uk-UA"/>
        </w:rPr>
      </w:pPr>
    </w:p>
    <w:p w:rsidR="00D32FDB" w:rsidRPr="00D32FDB" w:rsidRDefault="00D32FDB" w:rsidP="00D32FDB">
      <w:pPr>
        <w:spacing w:line="240" w:lineRule="auto"/>
        <w:jc w:val="left"/>
        <w:rPr>
          <w:rFonts w:eastAsia="Times New Roman"/>
          <w:sz w:val="24"/>
          <w:szCs w:val="24"/>
          <w:lang w:eastAsia="uk-UA"/>
        </w:rPr>
      </w:pPr>
    </w:p>
    <w:p w:rsidR="00D32FDB" w:rsidRPr="00D32FDB" w:rsidRDefault="00D32FDB" w:rsidP="00D32FDB">
      <w:pPr>
        <w:spacing w:line="240" w:lineRule="auto"/>
        <w:jc w:val="left"/>
        <w:rPr>
          <w:rFonts w:eastAsia="Times New Roman"/>
          <w:sz w:val="24"/>
          <w:szCs w:val="24"/>
          <w:lang w:eastAsia="uk-UA"/>
        </w:rPr>
      </w:pPr>
    </w:p>
    <w:p w:rsidR="00D32FDB" w:rsidRPr="00D32FDB" w:rsidRDefault="00D32FDB" w:rsidP="00D32FDB">
      <w:pPr>
        <w:spacing w:line="240" w:lineRule="auto"/>
        <w:jc w:val="left"/>
        <w:rPr>
          <w:rFonts w:eastAsia="Times New Roman"/>
          <w:sz w:val="24"/>
          <w:szCs w:val="24"/>
          <w:lang w:eastAsia="uk-UA"/>
        </w:rPr>
      </w:pPr>
    </w:p>
    <w:p w:rsidR="00D32FDB" w:rsidRPr="00D32FDB" w:rsidRDefault="00D32FDB" w:rsidP="00D32FDB">
      <w:pPr>
        <w:spacing w:line="240" w:lineRule="auto"/>
        <w:jc w:val="left"/>
        <w:rPr>
          <w:rFonts w:eastAsia="Times New Roman"/>
          <w:sz w:val="24"/>
          <w:szCs w:val="24"/>
          <w:lang w:eastAsia="uk-UA"/>
        </w:rPr>
      </w:pPr>
    </w:p>
    <w:p w:rsidR="00D32FDB" w:rsidRPr="00D32FDB" w:rsidRDefault="00D32FDB" w:rsidP="00D32FDB">
      <w:pPr>
        <w:spacing w:line="240" w:lineRule="auto"/>
        <w:jc w:val="left"/>
        <w:rPr>
          <w:rFonts w:eastAsia="Times New Roman"/>
          <w:sz w:val="24"/>
          <w:szCs w:val="24"/>
          <w:lang w:eastAsia="uk-UA"/>
        </w:rPr>
      </w:pPr>
    </w:p>
    <w:p w:rsidR="00D32FDB" w:rsidRPr="00D32FDB" w:rsidRDefault="00D32FDB" w:rsidP="00D32FDB">
      <w:pPr>
        <w:spacing w:line="240" w:lineRule="auto"/>
        <w:jc w:val="left"/>
        <w:rPr>
          <w:rFonts w:eastAsia="Times New Roman"/>
          <w:sz w:val="24"/>
          <w:szCs w:val="24"/>
          <w:lang w:eastAsia="uk-UA"/>
        </w:rPr>
      </w:pPr>
      <w:r w:rsidRPr="00D32FDB">
        <w:rPr>
          <w:rFonts w:eastAsia="Times New Roman"/>
          <w:noProof/>
          <w:szCs w:val="28"/>
          <w:lang w:val="ru-RU" w:eastAsia="ru-RU"/>
        </w:rPr>
        <mc:AlternateContent>
          <mc:Choice Requires="wps">
            <w:drawing>
              <wp:anchor distT="0" distB="0" distL="114300" distR="114300" simplePos="0" relativeHeight="252020736" behindDoc="0" locked="0" layoutInCell="1" allowOverlap="1" wp14:anchorId="53FADB6F" wp14:editId="59C12024">
                <wp:simplePos x="0" y="0"/>
                <wp:positionH relativeFrom="column">
                  <wp:posOffset>293370</wp:posOffset>
                </wp:positionH>
                <wp:positionV relativeFrom="paragraph">
                  <wp:posOffset>149225</wp:posOffset>
                </wp:positionV>
                <wp:extent cx="6224270" cy="277495"/>
                <wp:effectExtent l="0" t="0" r="62230" b="65405"/>
                <wp:wrapNone/>
                <wp:docPr id="83" name="Прямоугольник 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24270" cy="277495"/>
                        </a:xfrm>
                        <a:prstGeom prst="rect">
                          <a:avLst/>
                        </a:prstGeom>
                        <a:gradFill rotWithShape="1">
                          <a:gsLst>
                            <a:gs pos="0">
                              <a:srgbClr val="C0C0C0"/>
                            </a:gs>
                            <a:gs pos="50000">
                              <a:srgbClr val="FBFBFB"/>
                            </a:gs>
                            <a:gs pos="100000">
                              <a:srgbClr val="C0C0C0"/>
                            </a:gs>
                          </a:gsLst>
                          <a:lin ang="5400000" scaled="1"/>
                        </a:gradFill>
                        <a:ln w="25400">
                          <a:solidFill>
                            <a:srgbClr val="000000"/>
                          </a:solidFill>
                          <a:miter lim="800000"/>
                          <a:headEnd/>
                          <a:tailEnd/>
                        </a:ln>
                        <a:effectLst>
                          <a:outerShdw dist="53882" dir="2700000" algn="ctr" rotWithShape="0">
                            <a:srgbClr val="808080"/>
                          </a:outerShdw>
                        </a:effectLst>
                      </wps:spPr>
                      <wps:txbx>
                        <w:txbxContent>
                          <w:p w:rsidR="001E1DF5" w:rsidRPr="00FD7B39" w:rsidRDefault="001E1DF5" w:rsidP="00D32FDB">
                            <w:pPr>
                              <w:jc w:val="center"/>
                              <w:rPr>
                                <w:b/>
                              </w:rPr>
                            </w:pPr>
                            <w:r>
                              <w:rPr>
                                <w:b/>
                                <w:lang w:val="en-US"/>
                              </w:rPr>
                              <w:t>V</w:t>
                            </w:r>
                            <w:r>
                              <w:rPr>
                                <w:b/>
                              </w:rPr>
                              <w:t>І Технології</w:t>
                            </w:r>
                          </w:p>
                          <w:p w:rsidR="001E1DF5" w:rsidRPr="00737D09" w:rsidRDefault="001E1DF5" w:rsidP="00D32FDB">
                            <w:pPr>
                              <w:jc w:val="center"/>
                              <w:rPr>
                                <w:b/>
                              </w:rPr>
                            </w:pPr>
                          </w:p>
                        </w:txbxContent>
                      </wps:txbx>
                      <wps:bodyPr rot="0" vert="horz" wrap="square" lIns="0" tIns="3600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83" o:spid="_x0000_s1172" style="position:absolute;margin-left:23.1pt;margin-top:11.75pt;width:490.1pt;height:21.85pt;z-index:252020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" fillcolor="silver" strokeweight="2pt">
                <v:fill color2="#fbfbfb" rotate="t" focus="50%" type="gradient"/>
                <v:shadow on="t" offset="3pt,3pt"/>
                <v:textbox inset="0,1mm,0,0">
                  <w:txbxContent>
                    <w:p w:rsidR="0057431A" w:rsidRPr="00FD7B39" w:rsidRDefault="0057431A" w:rsidP="00D32FDB">
                      <w:pPr>
                        <w:jc w:val="center"/>
                        <w:rPr>
                          <w:b/>
                        </w:rPr>
                      </w:pPr>
                      <w:r>
                        <w:rPr>
                          <w:b/>
                          <w:lang w:val="en-US"/>
                        </w:rPr>
                        <w:t>V</w:t>
                      </w:r>
                      <w:r>
                        <w:rPr>
                          <w:b/>
                        </w:rPr>
                        <w:t>І Технології</w:t>
                      </w:r>
                    </w:p>
                    <w:p w:rsidR="0057431A" w:rsidRPr="00737D09" w:rsidRDefault="0057431A" w:rsidP="00D32FDB">
                      <w:pPr>
                        <w:jc w:val="center"/>
                        <w:rPr>
                          <w:b/>
                        </w:rPr>
                      </w:pPr>
                    </w:p>
                  </w:txbxContent>
                </v:textbox>
              </v:rect>
            </w:pict>
          </mc:Fallback>
        </mc:AlternateContent>
      </w:r>
    </w:p>
    <w:p w:rsidR="00D32FDB" w:rsidRPr="00D32FDB" w:rsidRDefault="00D32FDB" w:rsidP="00D32FDB">
      <w:pPr>
        <w:spacing w:line="240" w:lineRule="auto"/>
        <w:jc w:val="left"/>
        <w:rPr>
          <w:rFonts w:eastAsia="Times New Roman"/>
          <w:sz w:val="24"/>
          <w:szCs w:val="24"/>
          <w:lang w:eastAsia="uk-UA"/>
        </w:rPr>
      </w:pPr>
    </w:p>
    <w:p w:rsidR="00D32FDB" w:rsidRPr="00D32FDB" w:rsidRDefault="00D32FDB" w:rsidP="00D32FDB">
      <w:pPr>
        <w:spacing w:line="240" w:lineRule="auto"/>
        <w:jc w:val="left"/>
        <w:rPr>
          <w:rFonts w:eastAsia="Times New Roman"/>
          <w:sz w:val="24"/>
          <w:szCs w:val="24"/>
          <w:lang w:eastAsia="uk-UA"/>
        </w:rPr>
      </w:pPr>
      <w:r w:rsidRPr="00D32FDB">
        <w:rPr>
          <w:rFonts w:eastAsia="Times New Roman"/>
          <w:noProof/>
          <w:sz w:val="24"/>
          <w:szCs w:val="24"/>
          <w:lang w:val="ru-RU" w:eastAsia="ru-RU"/>
        </w:rPr>
        <mc:AlternateContent>
          <mc:Choice Requires="wps">
            <w:drawing>
              <wp:anchor distT="0" distB="0" distL="114300" distR="114300" simplePos="0" relativeHeight="252023808" behindDoc="0" locked="0" layoutInCell="1" allowOverlap="1" wp14:anchorId="60FAF7B7" wp14:editId="16FE243D">
                <wp:simplePos x="0" y="0"/>
                <wp:positionH relativeFrom="column">
                  <wp:posOffset>280670</wp:posOffset>
                </wp:positionH>
                <wp:positionV relativeFrom="paragraph">
                  <wp:posOffset>153670</wp:posOffset>
                </wp:positionV>
                <wp:extent cx="6224270" cy="1470660"/>
                <wp:effectExtent l="0" t="0" r="24130" b="15240"/>
                <wp:wrapNone/>
                <wp:docPr id="85" name="Прямоугольник 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24270" cy="1470660"/>
                        </a:xfrm>
                        <a:prstGeom prst="rect">
                          <a:avLst/>
                        </a:prstGeom>
                        <a:solidFill>
                          <a:srgbClr val="FFFFFF"/>
                        </a:solidFill>
                        <a:ln w="9525">
                          <a:solidFill>
                            <a:sysClr val="windowText" lastClr="000000"/>
                          </a:solidFill>
                          <a:miter lim="800000"/>
                          <a:headEnd/>
                          <a:tailEnd/>
                        </a:ln>
                      </wps:spPr>
                      <wps:txbx>
                        <w:txbxContent>
                          <w:p w:rsidR="001E1DF5" w:rsidRPr="00392F62" w:rsidRDefault="001E1DF5" w:rsidP="00D32FDB">
                            <w:pPr>
                              <w:spacing w:line="220" w:lineRule="exact"/>
                              <w:rPr>
                                <w:sz w:val="24"/>
                                <w:szCs w:val="24"/>
                              </w:rPr>
                            </w:pPr>
                            <w:r>
                              <w:t>1</w:t>
                            </w:r>
                            <w:r w:rsidRPr="00392F62">
                              <w:rPr>
                                <w:sz w:val="24"/>
                                <w:szCs w:val="24"/>
                              </w:rPr>
                              <w:t>. Передові сучасні технології медичної допомоги дітям (реанімаційні, інтенсивної терапії,   виходження, раннє втручання)</w:t>
                            </w:r>
                          </w:p>
                          <w:p w:rsidR="001E1DF5" w:rsidRPr="00392F62" w:rsidRDefault="001E1DF5" w:rsidP="00D32FDB">
                            <w:pPr>
                              <w:spacing w:line="220" w:lineRule="exact"/>
                              <w:rPr>
                                <w:sz w:val="24"/>
                                <w:szCs w:val="24"/>
                              </w:rPr>
                            </w:pPr>
                            <w:r w:rsidRPr="00392F62">
                              <w:rPr>
                                <w:sz w:val="24"/>
                                <w:szCs w:val="24"/>
                              </w:rPr>
                              <w:t>2. Регіоналізація перинатальної допомоги</w:t>
                            </w:r>
                          </w:p>
                          <w:p w:rsidR="001E1DF5" w:rsidRPr="00392F62" w:rsidRDefault="001E1DF5" w:rsidP="00D32FDB">
                            <w:pPr>
                              <w:spacing w:line="220" w:lineRule="exact"/>
                              <w:rPr>
                                <w:sz w:val="24"/>
                                <w:szCs w:val="24"/>
                              </w:rPr>
                            </w:pPr>
                            <w:r w:rsidRPr="00392F62">
                              <w:rPr>
                                <w:sz w:val="24"/>
                                <w:szCs w:val="24"/>
                              </w:rPr>
                              <w:t>3. Медична реабілітація та раннє втручання</w:t>
                            </w:r>
                          </w:p>
                          <w:p w:rsidR="001E1DF5" w:rsidRPr="00392F62" w:rsidRDefault="001E1DF5" w:rsidP="00D32FDB">
                            <w:pPr>
                              <w:spacing w:line="220" w:lineRule="exact"/>
                              <w:rPr>
                                <w:sz w:val="24"/>
                                <w:szCs w:val="24"/>
                              </w:rPr>
                            </w:pPr>
                            <w:r w:rsidRPr="00392F62">
                              <w:rPr>
                                <w:sz w:val="24"/>
                                <w:szCs w:val="24"/>
                              </w:rPr>
                              <w:t>4. Катамнестичне спостереження за передчасно народженими дітьми та хворими дітьми</w:t>
                            </w:r>
                          </w:p>
                          <w:p w:rsidR="001E1DF5" w:rsidRPr="00392F62" w:rsidRDefault="001E1DF5" w:rsidP="00D32FDB">
                            <w:pPr>
                              <w:spacing w:line="220" w:lineRule="exact"/>
                              <w:rPr>
                                <w:sz w:val="24"/>
                                <w:szCs w:val="24"/>
                              </w:rPr>
                            </w:pPr>
                            <w:r w:rsidRPr="00392F62">
                              <w:rPr>
                                <w:sz w:val="24"/>
                                <w:szCs w:val="24"/>
                              </w:rPr>
                              <w:t>5. Хірургічна корекція вроджених вад розвитку</w:t>
                            </w:r>
                          </w:p>
                          <w:p w:rsidR="001E1DF5" w:rsidRPr="00392F62" w:rsidRDefault="001E1DF5" w:rsidP="00D32FDB">
                            <w:pPr>
                              <w:spacing w:line="220" w:lineRule="exact"/>
                              <w:rPr>
                                <w:sz w:val="24"/>
                                <w:szCs w:val="24"/>
                              </w:rPr>
                            </w:pPr>
                            <w:r w:rsidRPr="00392F62">
                              <w:rPr>
                                <w:sz w:val="24"/>
                                <w:szCs w:val="24"/>
                              </w:rPr>
                              <w:t>6. Телемедичні технології діагностики та лікування</w:t>
                            </w:r>
                          </w:p>
                          <w:p w:rsidR="001E1DF5" w:rsidRPr="00392F62" w:rsidRDefault="001E1DF5" w:rsidP="00D32FDB">
                            <w:pPr>
                              <w:spacing w:line="220" w:lineRule="exact"/>
                              <w:rPr>
                                <w:sz w:val="24"/>
                                <w:szCs w:val="24"/>
                              </w:rPr>
                            </w:pPr>
                            <w:r w:rsidRPr="00392F62">
                              <w:rPr>
                                <w:sz w:val="24"/>
                                <w:szCs w:val="24"/>
                              </w:rPr>
                              <w:t>7. Розробка науково-комплексних програм з попередження дитячої смертності</w:t>
                            </w:r>
                          </w:p>
                          <w:p w:rsidR="001E1DF5" w:rsidRPr="00392F62" w:rsidRDefault="001E1DF5" w:rsidP="00D32FDB">
                            <w:pPr>
                              <w:spacing w:line="220" w:lineRule="exact"/>
                              <w:rPr>
                                <w:sz w:val="24"/>
                                <w:szCs w:val="24"/>
                              </w:rPr>
                            </w:pPr>
                            <w:r w:rsidRPr="00392F62">
                              <w:rPr>
                                <w:sz w:val="24"/>
                                <w:szCs w:val="24"/>
                              </w:rPr>
                              <w:t>8. Дотримання медичних та соціальних стандартів</w:t>
                            </w:r>
                          </w:p>
                          <w:p w:rsidR="001E1DF5" w:rsidRPr="00323F2D" w:rsidRDefault="001E1DF5" w:rsidP="00D32FDB">
                            <w:pPr>
                              <w:spacing w:line="220" w:lineRule="exact"/>
                            </w:pPr>
                            <w:r w:rsidRPr="00392F62">
                              <w:rPr>
                                <w:sz w:val="24"/>
                                <w:szCs w:val="24"/>
                              </w:rPr>
                              <w:t xml:space="preserve">9. Дотримання умов </w:t>
                            </w:r>
                            <w:r w:rsidRPr="00392F62">
                              <w:rPr>
                                <w:sz w:val="24"/>
                                <w:szCs w:val="24"/>
                                <w:lang w:val="ru-RU"/>
                              </w:rPr>
                              <w:t>здорового способу життя</w:t>
                            </w:r>
                            <w:r w:rsidRPr="00392F62">
                              <w:rPr>
                                <w:sz w:val="24"/>
                                <w:szCs w:val="24"/>
                              </w:rPr>
                              <w:t>,</w:t>
                            </w:r>
                            <w:r w:rsidRPr="00392F62">
                              <w:rPr>
                                <w:sz w:val="24"/>
                                <w:szCs w:val="24"/>
                                <w:lang w:val="ru-RU"/>
                              </w:rPr>
                              <w:t xml:space="preserve"> безпеки життєдіяльності</w:t>
                            </w:r>
                            <w:r w:rsidRPr="00323F2D">
                              <w:t xml:space="preserve">, </w:t>
                            </w:r>
                            <w:r w:rsidRPr="00392F62">
                              <w:rPr>
                                <w:sz w:val="24"/>
                                <w:szCs w:val="24"/>
                              </w:rPr>
                              <w:t>тощо</w:t>
                            </w:r>
                          </w:p>
                          <w:p w:rsidR="001E1DF5" w:rsidRPr="00904DAB" w:rsidRDefault="001E1DF5" w:rsidP="00D32FDB">
                            <w:pPr>
                              <w:spacing w:line="220" w:lineRule="exact"/>
                            </w:pPr>
                          </w:p>
                        </w:txbxContent>
                      </wps:txbx>
                      <wps:bodyPr rot="0" vert="horz" wrap="square" lIns="36000" tIns="36000" rIns="36000" bIns="1080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85" o:spid="_x0000_s1173" style="position:absolute;margin-left:22.1pt;margin-top:12.1pt;width:490.1pt;height:115.8pt;z-index:252023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" strokecolor="windowText">
                <v:textbox inset="1mm,1mm,1mm,.3mm">
                  <w:txbxContent>
                    <w:p w:rsidR="0057431A" w:rsidRPr="00392F62" w:rsidRDefault="0057431A" w:rsidP="00D32FDB">
                      <w:pPr>
                        <w:spacing w:line="220" w:lineRule="exact"/>
                        <w:rPr>
                          <w:sz w:val="24"/>
                          <w:szCs w:val="24"/>
                        </w:rPr>
                      </w:pPr>
                      <w:r>
                        <w:t>1</w:t>
                      </w:r>
                      <w:r w:rsidRPr="00392F62">
                        <w:rPr>
                          <w:sz w:val="24"/>
                          <w:szCs w:val="24"/>
                        </w:rPr>
                        <w:t>. Передові сучасні технології медичної допомоги дітям (реанімаційні, інтенсивної терапії,   виходження, раннє втручання)</w:t>
                      </w:r>
                    </w:p>
                    <w:p w:rsidR="0057431A" w:rsidRPr="00392F62" w:rsidRDefault="0057431A" w:rsidP="00D32FDB">
                      <w:pPr>
                        <w:spacing w:line="220" w:lineRule="exact"/>
                        <w:rPr>
                          <w:sz w:val="24"/>
                          <w:szCs w:val="24"/>
                        </w:rPr>
                      </w:pPr>
                      <w:r w:rsidRPr="00392F62">
                        <w:rPr>
                          <w:sz w:val="24"/>
                          <w:szCs w:val="24"/>
                        </w:rPr>
                        <w:t>2. Регіоналізація перинатальної допомоги</w:t>
                      </w:r>
                    </w:p>
                    <w:p w:rsidR="0057431A" w:rsidRPr="00392F62" w:rsidRDefault="0057431A" w:rsidP="00D32FDB">
                      <w:pPr>
                        <w:spacing w:line="220" w:lineRule="exact"/>
                        <w:rPr>
                          <w:sz w:val="24"/>
                          <w:szCs w:val="24"/>
                        </w:rPr>
                      </w:pPr>
                      <w:r w:rsidRPr="00392F62">
                        <w:rPr>
                          <w:sz w:val="24"/>
                          <w:szCs w:val="24"/>
                        </w:rPr>
                        <w:t>3. Медична реабілітація та раннє втручання</w:t>
                      </w:r>
                    </w:p>
                    <w:p w:rsidR="0057431A" w:rsidRPr="00392F62" w:rsidRDefault="0057431A" w:rsidP="00D32FDB">
                      <w:pPr>
                        <w:spacing w:line="220" w:lineRule="exact"/>
                        <w:rPr>
                          <w:sz w:val="24"/>
                          <w:szCs w:val="24"/>
                        </w:rPr>
                      </w:pPr>
                      <w:r w:rsidRPr="00392F62">
                        <w:rPr>
                          <w:sz w:val="24"/>
                          <w:szCs w:val="24"/>
                        </w:rPr>
                        <w:t>4. Катамнестичне спостереження за передчасно народженими дітьми та хворими дітьми</w:t>
                      </w:r>
                    </w:p>
                    <w:p w:rsidR="0057431A" w:rsidRPr="00392F62" w:rsidRDefault="0057431A" w:rsidP="00D32FDB">
                      <w:pPr>
                        <w:spacing w:line="220" w:lineRule="exact"/>
                        <w:rPr>
                          <w:sz w:val="24"/>
                          <w:szCs w:val="24"/>
                        </w:rPr>
                      </w:pPr>
                      <w:r w:rsidRPr="00392F62">
                        <w:rPr>
                          <w:sz w:val="24"/>
                          <w:szCs w:val="24"/>
                        </w:rPr>
                        <w:t>5. Хірургічна корекція вроджених вад розвитку</w:t>
                      </w:r>
                    </w:p>
                    <w:p w:rsidR="0057431A" w:rsidRPr="00392F62" w:rsidRDefault="0057431A" w:rsidP="00D32FDB">
                      <w:pPr>
                        <w:spacing w:line="220" w:lineRule="exact"/>
                        <w:rPr>
                          <w:sz w:val="24"/>
                          <w:szCs w:val="24"/>
                        </w:rPr>
                      </w:pPr>
                      <w:r w:rsidRPr="00392F62">
                        <w:rPr>
                          <w:sz w:val="24"/>
                          <w:szCs w:val="24"/>
                        </w:rPr>
                        <w:t>6. Телемедичні технології діагностики та лікування</w:t>
                      </w:r>
                    </w:p>
                    <w:p w:rsidR="0057431A" w:rsidRPr="00392F62" w:rsidRDefault="0057431A" w:rsidP="00D32FDB">
                      <w:pPr>
                        <w:spacing w:line="220" w:lineRule="exact"/>
                        <w:rPr>
                          <w:sz w:val="24"/>
                          <w:szCs w:val="24"/>
                        </w:rPr>
                      </w:pPr>
                      <w:r w:rsidRPr="00392F62">
                        <w:rPr>
                          <w:sz w:val="24"/>
                          <w:szCs w:val="24"/>
                        </w:rPr>
                        <w:t>7. Розробка науково-комплексних програм з попередження дитячої смертності</w:t>
                      </w:r>
                    </w:p>
                    <w:p w:rsidR="0057431A" w:rsidRPr="00392F62" w:rsidRDefault="0057431A" w:rsidP="00D32FDB">
                      <w:pPr>
                        <w:spacing w:line="220" w:lineRule="exact"/>
                        <w:rPr>
                          <w:sz w:val="24"/>
                          <w:szCs w:val="24"/>
                        </w:rPr>
                      </w:pPr>
                      <w:r w:rsidRPr="00392F62">
                        <w:rPr>
                          <w:sz w:val="24"/>
                          <w:szCs w:val="24"/>
                        </w:rPr>
                        <w:t>8. Дотримання медичних та соціальних стандартів</w:t>
                      </w:r>
                    </w:p>
                    <w:p w:rsidR="0057431A" w:rsidRPr="00323F2D" w:rsidRDefault="0057431A" w:rsidP="00D32FDB">
                      <w:pPr>
                        <w:spacing w:line="220" w:lineRule="exact"/>
                      </w:pPr>
                      <w:r w:rsidRPr="00392F62">
                        <w:rPr>
                          <w:sz w:val="24"/>
                          <w:szCs w:val="24"/>
                        </w:rPr>
                        <w:t xml:space="preserve">9. Дотримання умов </w:t>
                      </w:r>
                      <w:r w:rsidRPr="00392F62">
                        <w:rPr>
                          <w:sz w:val="24"/>
                          <w:szCs w:val="24"/>
                          <w:lang w:val="ru-RU"/>
                        </w:rPr>
                        <w:t>здорового способу життя</w:t>
                      </w:r>
                      <w:r w:rsidRPr="00392F62">
                        <w:rPr>
                          <w:sz w:val="24"/>
                          <w:szCs w:val="24"/>
                        </w:rPr>
                        <w:t>,</w:t>
                      </w:r>
                      <w:r w:rsidRPr="00392F62">
                        <w:rPr>
                          <w:sz w:val="24"/>
                          <w:szCs w:val="24"/>
                          <w:lang w:val="ru-RU"/>
                        </w:rPr>
                        <w:t xml:space="preserve"> безпеки життєдіяльності</w:t>
                      </w:r>
                      <w:r w:rsidRPr="00323F2D">
                        <w:t xml:space="preserve">, </w:t>
                      </w:r>
                      <w:r w:rsidRPr="00392F62">
                        <w:rPr>
                          <w:sz w:val="24"/>
                          <w:szCs w:val="24"/>
                        </w:rPr>
                        <w:t>тощо</w:t>
                      </w:r>
                    </w:p>
                    <w:p w:rsidR="0057431A" w:rsidRPr="00904DAB" w:rsidRDefault="0057431A" w:rsidP="00D32FDB">
                      <w:pPr>
                        <w:spacing w:line="220" w:lineRule="exact"/>
                      </w:pPr>
                    </w:p>
                  </w:txbxContent>
                </v:textbox>
              </v:rect>
            </w:pict>
          </mc:Fallback>
        </mc:AlternateContent>
      </w:r>
    </w:p>
    <w:p w:rsidR="00D32FDB" w:rsidRPr="00D32FDB" w:rsidRDefault="00D32FDB" w:rsidP="00D32FDB">
      <w:pPr>
        <w:tabs>
          <w:tab w:val="left" w:pos="4207"/>
        </w:tabs>
        <w:spacing w:line="240" w:lineRule="auto"/>
        <w:jc w:val="left"/>
        <w:rPr>
          <w:rFonts w:eastAsia="Times New Roman"/>
          <w:sz w:val="24"/>
          <w:szCs w:val="24"/>
          <w:lang w:eastAsia="uk-UA"/>
        </w:rPr>
      </w:pPr>
      <w:r w:rsidRPr="00D32FDB">
        <w:rPr>
          <w:rFonts w:eastAsia="Times New Roman"/>
          <w:sz w:val="24"/>
          <w:szCs w:val="24"/>
          <w:lang w:eastAsia="uk-UA"/>
        </w:rPr>
        <w:tab/>
      </w:r>
    </w:p>
    <w:p w:rsidR="00D32FDB" w:rsidRPr="00D32FDB" w:rsidRDefault="00D32FDB" w:rsidP="00D32FDB">
      <w:pPr>
        <w:spacing w:line="240" w:lineRule="auto"/>
        <w:jc w:val="left"/>
        <w:rPr>
          <w:rFonts w:eastAsia="Times New Roman"/>
          <w:sz w:val="24"/>
          <w:szCs w:val="24"/>
          <w:lang w:eastAsia="uk-UA"/>
        </w:rPr>
      </w:pPr>
    </w:p>
    <w:p w:rsidR="00D32FDB" w:rsidRPr="00D32FDB" w:rsidRDefault="00D32FDB" w:rsidP="00D32FDB">
      <w:pPr>
        <w:spacing w:line="240" w:lineRule="auto"/>
        <w:jc w:val="left"/>
        <w:rPr>
          <w:rFonts w:eastAsia="Times New Roman"/>
          <w:sz w:val="24"/>
          <w:szCs w:val="24"/>
          <w:lang w:eastAsia="uk-UA"/>
        </w:rPr>
      </w:pPr>
    </w:p>
    <w:p w:rsidR="00D32FDB" w:rsidRPr="00D32FDB" w:rsidRDefault="00D32FDB" w:rsidP="00D32FDB">
      <w:pPr>
        <w:tabs>
          <w:tab w:val="left" w:pos="5760"/>
        </w:tabs>
        <w:spacing w:line="240" w:lineRule="auto"/>
        <w:jc w:val="left"/>
        <w:rPr>
          <w:rFonts w:eastAsia="Times New Roman"/>
          <w:sz w:val="24"/>
          <w:szCs w:val="24"/>
          <w:lang w:eastAsia="uk-UA"/>
        </w:rPr>
      </w:pPr>
      <w:r w:rsidRPr="00D32FDB">
        <w:rPr>
          <w:rFonts w:eastAsia="Times New Roman"/>
          <w:sz w:val="24"/>
          <w:szCs w:val="24"/>
          <w:lang w:eastAsia="uk-UA"/>
        </w:rPr>
        <w:tab/>
      </w:r>
    </w:p>
    <w:p w:rsidR="00D32FDB" w:rsidRPr="00D32FDB" w:rsidRDefault="00D32FDB" w:rsidP="00D32FDB">
      <w:pPr>
        <w:spacing w:line="240" w:lineRule="auto"/>
        <w:jc w:val="left"/>
        <w:rPr>
          <w:rFonts w:eastAsia="Times New Roman"/>
          <w:sz w:val="24"/>
          <w:szCs w:val="24"/>
          <w:lang w:eastAsia="uk-UA"/>
        </w:rPr>
      </w:pPr>
    </w:p>
    <w:p w:rsidR="00D32FDB" w:rsidRPr="00D32FDB" w:rsidRDefault="00D32FDB" w:rsidP="00D32FDB">
      <w:pPr>
        <w:spacing w:line="240" w:lineRule="auto"/>
        <w:jc w:val="left"/>
        <w:rPr>
          <w:rFonts w:eastAsia="Times New Roman"/>
          <w:sz w:val="24"/>
          <w:szCs w:val="24"/>
          <w:lang w:eastAsia="uk-UA"/>
        </w:rPr>
      </w:pPr>
    </w:p>
    <w:p w:rsidR="00D32FDB" w:rsidRPr="00D32FDB" w:rsidRDefault="00D32FDB" w:rsidP="00D32FDB">
      <w:pPr>
        <w:spacing w:line="240" w:lineRule="auto"/>
        <w:jc w:val="left"/>
        <w:rPr>
          <w:rFonts w:eastAsia="Times New Roman"/>
          <w:sz w:val="24"/>
          <w:szCs w:val="24"/>
          <w:lang w:eastAsia="uk-UA"/>
        </w:rPr>
      </w:pPr>
    </w:p>
    <w:p w:rsidR="00D32FDB" w:rsidRPr="00D32FDB" w:rsidRDefault="00D32FDB" w:rsidP="00D32FDB">
      <w:pPr>
        <w:spacing w:line="240" w:lineRule="auto"/>
        <w:jc w:val="left"/>
        <w:rPr>
          <w:rFonts w:eastAsia="Times New Roman"/>
          <w:sz w:val="24"/>
          <w:szCs w:val="24"/>
          <w:lang w:eastAsia="uk-UA"/>
        </w:rPr>
      </w:pPr>
    </w:p>
    <w:p w:rsidR="00D32FDB" w:rsidRPr="00D32FDB" w:rsidRDefault="00D32FDB" w:rsidP="00D32FDB">
      <w:pPr>
        <w:spacing w:line="240" w:lineRule="auto"/>
        <w:jc w:val="left"/>
        <w:rPr>
          <w:rFonts w:eastAsia="Times New Roman"/>
          <w:sz w:val="24"/>
          <w:szCs w:val="24"/>
          <w:lang w:eastAsia="uk-UA"/>
        </w:rPr>
      </w:pPr>
      <w:r w:rsidRPr="00D32FDB">
        <w:rPr>
          <w:rFonts w:eastAsia="Times New Roman"/>
          <w:noProof/>
          <w:szCs w:val="28"/>
          <w:lang w:val="ru-RU" w:eastAsia="ru-RU"/>
        </w:rPr>
        <mc:AlternateContent>
          <mc:Choice Requires="wps">
            <w:drawing>
              <wp:anchor distT="0" distB="0" distL="114300" distR="114300" simplePos="0" relativeHeight="252022784" behindDoc="0" locked="0" layoutInCell="1" allowOverlap="1" wp14:anchorId="2EC0FC32" wp14:editId="3C97E14E">
                <wp:simplePos x="0" y="0"/>
                <wp:positionH relativeFrom="column">
                  <wp:posOffset>287020</wp:posOffset>
                </wp:positionH>
                <wp:positionV relativeFrom="paragraph">
                  <wp:posOffset>92268</wp:posOffset>
                </wp:positionV>
                <wp:extent cx="6224270" cy="277495"/>
                <wp:effectExtent l="0" t="0" r="62230" b="65405"/>
                <wp:wrapNone/>
                <wp:docPr id="86" name="Прямоугольник 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24270" cy="277495"/>
                        </a:xfrm>
                        <a:prstGeom prst="rect">
                          <a:avLst/>
                        </a:prstGeom>
                        <a:gradFill rotWithShape="1">
                          <a:gsLst>
                            <a:gs pos="0">
                              <a:srgbClr val="C0C0C0"/>
                            </a:gs>
                            <a:gs pos="50000">
                              <a:srgbClr val="FBFBFB"/>
                            </a:gs>
                            <a:gs pos="100000">
                              <a:srgbClr val="C0C0C0"/>
                            </a:gs>
                          </a:gsLst>
                          <a:lin ang="5400000" scaled="1"/>
                        </a:gradFill>
                        <a:ln w="25400">
                          <a:solidFill>
                            <a:srgbClr val="000000"/>
                          </a:solidFill>
                          <a:miter lim="800000"/>
                          <a:headEnd/>
                          <a:tailEnd/>
                        </a:ln>
                        <a:effectLst>
                          <a:outerShdw dist="53882" dir="2700000" algn="ctr" rotWithShape="0">
                            <a:srgbClr val="808080"/>
                          </a:outerShdw>
                        </a:effectLst>
                      </wps:spPr>
                      <wps:txbx>
                        <w:txbxContent>
                          <w:p w:rsidR="001E1DF5" w:rsidRPr="00FD7B39" w:rsidRDefault="001E1DF5" w:rsidP="00D32FDB">
                            <w:pPr>
                              <w:jc w:val="center"/>
                              <w:rPr>
                                <w:b/>
                              </w:rPr>
                            </w:pPr>
                            <w:r>
                              <w:rPr>
                                <w:b/>
                                <w:lang w:val="en-US"/>
                              </w:rPr>
                              <w:t>V</w:t>
                            </w:r>
                            <w:r>
                              <w:rPr>
                                <w:b/>
                              </w:rPr>
                              <w:t>ІІ Стандарти</w:t>
                            </w:r>
                          </w:p>
                          <w:p w:rsidR="001E1DF5" w:rsidRPr="00FD7B39" w:rsidRDefault="001E1DF5" w:rsidP="00D32FDB">
                            <w:pPr>
                              <w:jc w:val="center"/>
                              <w:rPr>
                                <w:b/>
                              </w:rPr>
                            </w:pPr>
                          </w:p>
                          <w:p w:rsidR="001E1DF5" w:rsidRPr="00737D09" w:rsidRDefault="001E1DF5" w:rsidP="00D32FDB">
                            <w:pPr>
                              <w:jc w:val="center"/>
                              <w:rPr>
                                <w:b/>
                              </w:rPr>
                            </w:pPr>
                          </w:p>
                        </w:txbxContent>
                      </wps:txbx>
                      <wps:bodyPr rot="0" vert="horz" wrap="square" lIns="0" tIns="3600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86" o:spid="_x0000_s1174" style="position:absolute;margin-left:22.6pt;margin-top:7.25pt;width:490.1pt;height:21.85pt;z-index:252022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" fillcolor="silver" strokeweight="2pt">
                <v:fill color2="#fbfbfb" rotate="t" focus="50%" type="gradient"/>
                <v:shadow on="t" offset="3pt,3pt"/>
                <v:textbox inset="0,1mm,0,0">
                  <w:txbxContent>
                    <w:p w:rsidR="0057431A" w:rsidRPr="00FD7B39" w:rsidRDefault="0057431A" w:rsidP="00D32FDB">
                      <w:pPr>
                        <w:jc w:val="center"/>
                        <w:rPr>
                          <w:b/>
                        </w:rPr>
                      </w:pPr>
                      <w:r>
                        <w:rPr>
                          <w:b/>
                          <w:lang w:val="en-US"/>
                        </w:rPr>
                        <w:t>V</w:t>
                      </w:r>
                      <w:r>
                        <w:rPr>
                          <w:b/>
                        </w:rPr>
                        <w:t>ІІ Стандарти</w:t>
                      </w:r>
                    </w:p>
                    <w:p w:rsidR="0057431A" w:rsidRPr="00FD7B39" w:rsidRDefault="0057431A" w:rsidP="00D32FDB">
                      <w:pPr>
                        <w:jc w:val="center"/>
                        <w:rPr>
                          <w:b/>
                        </w:rPr>
                      </w:pPr>
                    </w:p>
                    <w:p w:rsidR="0057431A" w:rsidRPr="00737D09" w:rsidRDefault="0057431A" w:rsidP="00D32FDB">
                      <w:pPr>
                        <w:jc w:val="center"/>
                        <w:rPr>
                          <w:b/>
                        </w:rPr>
                      </w:pPr>
                    </w:p>
                  </w:txbxContent>
                </v:textbox>
              </v:rect>
            </w:pict>
          </mc:Fallback>
        </mc:AlternateContent>
      </w:r>
    </w:p>
    <w:p w:rsidR="00D32FDB" w:rsidRPr="00D32FDB" w:rsidRDefault="00D32FDB" w:rsidP="00D32FDB">
      <w:pPr>
        <w:spacing w:line="240" w:lineRule="auto"/>
        <w:jc w:val="left"/>
        <w:rPr>
          <w:rFonts w:eastAsia="Times New Roman"/>
          <w:sz w:val="24"/>
          <w:szCs w:val="24"/>
          <w:lang w:eastAsia="uk-UA"/>
        </w:rPr>
      </w:pPr>
    </w:p>
    <w:p w:rsidR="00D32FDB" w:rsidRPr="00D32FDB" w:rsidRDefault="00D32FDB" w:rsidP="00D32FDB">
      <w:pPr>
        <w:tabs>
          <w:tab w:val="left" w:pos="3406"/>
        </w:tabs>
        <w:spacing w:line="240" w:lineRule="auto"/>
        <w:jc w:val="left"/>
        <w:rPr>
          <w:rFonts w:eastAsia="Times New Roman"/>
          <w:sz w:val="24"/>
          <w:szCs w:val="24"/>
          <w:lang w:eastAsia="uk-UA"/>
        </w:rPr>
      </w:pPr>
      <w:r w:rsidRPr="00D32FDB">
        <w:rPr>
          <w:rFonts w:eastAsia="Times New Roman"/>
          <w:noProof/>
          <w:sz w:val="24"/>
          <w:szCs w:val="24"/>
          <w:lang w:val="ru-RU" w:eastAsia="ru-RU"/>
        </w:rPr>
        <mc:AlternateContent>
          <mc:Choice Requires="wps">
            <w:drawing>
              <wp:anchor distT="0" distB="0" distL="114300" distR="114300" simplePos="0" relativeHeight="252024832" behindDoc="0" locked="0" layoutInCell="1" allowOverlap="1" wp14:anchorId="29AB50B1" wp14:editId="2C436A99">
                <wp:simplePos x="0" y="0"/>
                <wp:positionH relativeFrom="column">
                  <wp:posOffset>289726</wp:posOffset>
                </wp:positionH>
                <wp:positionV relativeFrom="paragraph">
                  <wp:posOffset>109828</wp:posOffset>
                </wp:positionV>
                <wp:extent cx="6224270" cy="365760"/>
                <wp:effectExtent l="0" t="0" r="24130" b="15240"/>
                <wp:wrapNone/>
                <wp:docPr id="87" name="Прямоугольник 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24270" cy="365760"/>
                        </a:xfrm>
                        <a:prstGeom prst="rect">
                          <a:avLst/>
                        </a:prstGeom>
                        <a:solidFill>
                          <a:srgbClr val="FFFFFF"/>
                        </a:solidFill>
                        <a:ln w="9525">
                          <a:solidFill>
                            <a:sysClr val="windowText" lastClr="000000"/>
                          </a:solidFill>
                          <a:miter lim="800000"/>
                          <a:headEnd/>
                          <a:tailEnd/>
                        </a:ln>
                      </wps:spPr>
                      <wps:txbx>
                        <w:txbxContent>
                          <w:p w:rsidR="001E1DF5" w:rsidRPr="00392F62" w:rsidRDefault="001E1DF5" w:rsidP="00D32FDB">
                            <w:pPr>
                              <w:spacing w:line="220" w:lineRule="exact"/>
                              <w:rPr>
                                <w:sz w:val="24"/>
                                <w:szCs w:val="24"/>
                              </w:rPr>
                            </w:pPr>
                            <w:r w:rsidRPr="00392F62">
                              <w:rPr>
                                <w:sz w:val="24"/>
                                <w:szCs w:val="24"/>
                              </w:rPr>
                              <w:t>Розробка і впровадження сучасних стандартів педіатричної, перинатальної, екстреної медичної допомоги</w:t>
                            </w:r>
                          </w:p>
                          <w:p w:rsidR="001E1DF5" w:rsidRPr="00E34337" w:rsidRDefault="001E1DF5" w:rsidP="00D32FDB">
                            <w:pPr>
                              <w:spacing w:line="220" w:lineRule="exact"/>
                            </w:pPr>
                          </w:p>
                        </w:txbxContent>
                      </wps:txbx>
                      <wps:bodyPr rot="0" vert="horz" wrap="square" lIns="36000" tIns="36000" rIns="36000" bIns="1080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87" o:spid="_x0000_s1175" style="position:absolute;margin-left:22.8pt;margin-top:8.65pt;width:490.1pt;height:28.8pt;z-index:252024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" strokecolor="windowText">
                <v:textbox inset="1mm,1mm,1mm,.3mm">
                  <w:txbxContent>
                    <w:p w:rsidR="0057431A" w:rsidRPr="00392F62" w:rsidRDefault="0057431A" w:rsidP="00D32FDB">
                      <w:pPr>
                        <w:spacing w:line="220" w:lineRule="exact"/>
                        <w:rPr>
                          <w:sz w:val="24"/>
                          <w:szCs w:val="24"/>
                        </w:rPr>
                      </w:pPr>
                      <w:r w:rsidRPr="00392F62">
                        <w:rPr>
                          <w:sz w:val="24"/>
                          <w:szCs w:val="24"/>
                        </w:rPr>
                        <w:t>Розробка і впровадження сучасних стандартів педіатричної, перинатальної, екстреної медичної допомоги</w:t>
                      </w:r>
                    </w:p>
                    <w:p w:rsidR="0057431A" w:rsidRPr="00E34337" w:rsidRDefault="0057431A" w:rsidP="00D32FDB">
                      <w:pPr>
                        <w:spacing w:line="220" w:lineRule="exact"/>
                      </w:pPr>
                    </w:p>
                  </w:txbxContent>
                </v:textbox>
              </v:rect>
            </w:pict>
          </mc:Fallback>
        </mc:AlternateContent>
      </w:r>
      <w:r w:rsidRPr="00D32FDB">
        <w:rPr>
          <w:rFonts w:eastAsia="Times New Roman"/>
          <w:sz w:val="24"/>
          <w:szCs w:val="24"/>
          <w:lang w:eastAsia="uk-UA"/>
        </w:rPr>
        <w:tab/>
      </w:r>
    </w:p>
    <w:p w:rsidR="00D32FDB" w:rsidRPr="00D32FDB" w:rsidRDefault="00D32FDB" w:rsidP="00D32FDB">
      <w:pPr>
        <w:spacing w:line="240" w:lineRule="auto"/>
        <w:jc w:val="left"/>
        <w:rPr>
          <w:rFonts w:eastAsia="Times New Roman"/>
          <w:sz w:val="24"/>
          <w:szCs w:val="24"/>
          <w:lang w:eastAsia="uk-UA"/>
        </w:rPr>
      </w:pPr>
    </w:p>
    <w:p w:rsidR="005F3754" w:rsidRDefault="005F3754" w:rsidP="005F3754">
      <w:pPr>
        <w:tabs>
          <w:tab w:val="left" w:pos="1014"/>
          <w:tab w:val="left" w:pos="2943"/>
        </w:tabs>
        <w:spacing w:line="240" w:lineRule="auto"/>
        <w:jc w:val="left"/>
        <w:rPr>
          <w:rFonts w:eastAsia="Times New Roman"/>
          <w:sz w:val="24"/>
          <w:szCs w:val="24"/>
          <w:lang w:eastAsia="uk-UA"/>
        </w:rPr>
      </w:pPr>
      <w:r>
        <w:rPr>
          <w:rFonts w:eastAsia="Times New Roman"/>
          <w:sz w:val="24"/>
          <w:szCs w:val="24"/>
          <w:lang w:eastAsia="uk-UA"/>
        </w:rPr>
        <w:tab/>
      </w:r>
      <w:r>
        <w:rPr>
          <w:rFonts w:eastAsia="Times New Roman"/>
          <w:sz w:val="24"/>
          <w:szCs w:val="24"/>
          <w:lang w:eastAsia="uk-UA"/>
        </w:rPr>
        <w:tab/>
      </w:r>
    </w:p>
    <w:p w:rsidR="001455E0" w:rsidRDefault="001455E0" w:rsidP="005F3754">
      <w:pPr>
        <w:tabs>
          <w:tab w:val="left" w:pos="1014"/>
          <w:tab w:val="left" w:pos="2943"/>
        </w:tabs>
        <w:spacing w:line="240" w:lineRule="auto"/>
        <w:rPr>
          <w:rFonts w:eastAsia="Times New Roman"/>
          <w:szCs w:val="28"/>
          <w:lang w:val="ru-RU" w:eastAsia="uk-UA"/>
        </w:rPr>
      </w:pPr>
    </w:p>
    <w:p w:rsidR="00474299" w:rsidRPr="005F3754" w:rsidRDefault="00D32FDB" w:rsidP="005F3754">
      <w:pPr>
        <w:tabs>
          <w:tab w:val="left" w:pos="1014"/>
          <w:tab w:val="left" w:pos="2943"/>
        </w:tabs>
        <w:spacing w:line="240" w:lineRule="auto"/>
        <w:rPr>
          <w:rFonts w:eastAsia="Times New Roman"/>
          <w:sz w:val="24"/>
          <w:szCs w:val="24"/>
          <w:lang w:eastAsia="uk-UA"/>
        </w:rPr>
      </w:pPr>
      <w:r w:rsidRPr="00D32FDB">
        <w:rPr>
          <w:rFonts w:eastAsia="Times New Roman"/>
          <w:szCs w:val="28"/>
          <w:lang w:val="ru-RU" w:eastAsia="uk-UA"/>
        </w:rPr>
        <w:t xml:space="preserve">Рис. </w:t>
      </w:r>
      <w:r w:rsidR="005F3754">
        <w:rPr>
          <w:rFonts w:eastAsia="Times New Roman"/>
          <w:szCs w:val="28"/>
          <w:lang w:eastAsia="uk-UA"/>
        </w:rPr>
        <w:t>8</w:t>
      </w:r>
      <w:r w:rsidRPr="00D32FDB">
        <w:rPr>
          <w:rFonts w:eastAsia="Times New Roman"/>
          <w:szCs w:val="28"/>
          <w:lang w:eastAsia="uk-UA"/>
        </w:rPr>
        <w:t>.</w:t>
      </w:r>
      <w:r w:rsidR="005F3754">
        <w:rPr>
          <w:rFonts w:eastAsia="Times New Roman"/>
          <w:szCs w:val="28"/>
          <w:lang w:eastAsia="uk-UA"/>
        </w:rPr>
        <w:t xml:space="preserve">2. </w:t>
      </w:r>
      <w:r w:rsidRPr="00D32FDB">
        <w:rPr>
          <w:rFonts w:eastAsia="Times New Roman"/>
          <w:szCs w:val="28"/>
          <w:lang w:eastAsia="uk-UA"/>
        </w:rPr>
        <w:t xml:space="preserve"> Модель </w:t>
      </w:r>
      <w:r w:rsidRPr="00D32FDB">
        <w:rPr>
          <w:rFonts w:eastAsia="Times New Roman"/>
          <w:szCs w:val="28"/>
          <w:lang w:val="ru-RU" w:eastAsia="uk-UA"/>
        </w:rPr>
        <w:t xml:space="preserve">зниження смертності </w:t>
      </w:r>
      <w:r w:rsidRPr="00D32FDB">
        <w:rPr>
          <w:rFonts w:eastAsia="Times New Roman"/>
          <w:szCs w:val="28"/>
          <w:lang w:eastAsia="uk-UA"/>
        </w:rPr>
        <w:t>дітей до 5</w:t>
      </w:r>
      <w:r w:rsidRPr="00D32FDB">
        <w:rPr>
          <w:rFonts w:eastAsia="Times New Roman"/>
          <w:szCs w:val="28"/>
          <w:lang w:val="ru-RU" w:eastAsia="uk-UA"/>
        </w:rPr>
        <w:t> </w:t>
      </w:r>
      <w:r w:rsidRPr="00D32FDB">
        <w:rPr>
          <w:rFonts w:eastAsia="Times New Roman"/>
          <w:szCs w:val="28"/>
          <w:lang w:eastAsia="uk-UA"/>
        </w:rPr>
        <w:t>років життя в Україні</w:t>
      </w:r>
      <w:r w:rsidRPr="00D32FDB">
        <w:rPr>
          <w:rFonts w:eastAsia="Times New Roman"/>
          <w:szCs w:val="28"/>
          <w:lang w:val="ru-RU" w:eastAsia="uk-UA"/>
        </w:rPr>
        <w:t xml:space="preserve"> </w:t>
      </w:r>
      <w:r w:rsidR="00474299">
        <w:rPr>
          <w:rFonts w:eastAsia="Times New Roman"/>
          <w:szCs w:val="28"/>
          <w:lang w:val="ru-RU" w:eastAsia="uk-UA"/>
        </w:rPr>
        <w:t>(продовження)</w:t>
      </w:r>
    </w:p>
    <w:p w:rsidR="00474299" w:rsidRPr="00474299" w:rsidRDefault="00474299" w:rsidP="00474299">
      <w:pPr>
        <w:widowControl w:val="0"/>
        <w:spacing w:line="240" w:lineRule="auto"/>
        <w:jc w:val="left"/>
        <w:rPr>
          <w:rFonts w:eastAsia="Times New Roman"/>
          <w:sz w:val="24"/>
          <w:szCs w:val="28"/>
          <w:lang w:eastAsia="uk-UA"/>
        </w:rPr>
      </w:pPr>
      <w:r w:rsidRPr="00474299">
        <w:rPr>
          <w:rFonts w:eastAsia="Times New Roman"/>
          <w:noProof/>
          <w:szCs w:val="28"/>
          <w:lang w:val="ru-RU" w:eastAsia="ru-RU"/>
        </w:rPr>
        <w:lastRenderedPageBreak/>
        <mc:AlternateContent>
          <mc:Choice Requires="wps">
            <w:drawing>
              <wp:anchor distT="0" distB="0" distL="114300" distR="114300" simplePos="0" relativeHeight="252030976" behindDoc="0" locked="0" layoutInCell="1" allowOverlap="1" wp14:anchorId="315D3052" wp14:editId="5F13913B">
                <wp:simplePos x="0" y="0"/>
                <wp:positionH relativeFrom="column">
                  <wp:posOffset>-28575</wp:posOffset>
                </wp:positionH>
                <wp:positionV relativeFrom="paragraph">
                  <wp:posOffset>122555</wp:posOffset>
                </wp:positionV>
                <wp:extent cx="381000" cy="7306310"/>
                <wp:effectExtent l="0" t="0" r="57150" b="66040"/>
                <wp:wrapNone/>
                <wp:docPr id="89" name="Прямоугольник 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81000" cy="7306310"/>
                        </a:xfrm>
                        <a:prstGeom prst="rect">
                          <a:avLst/>
                        </a:prstGeom>
                        <a:gradFill rotWithShape="1">
                          <a:gsLst>
                            <a:gs pos="0">
                              <a:srgbClr val="C0C0C0"/>
                            </a:gs>
                            <a:gs pos="50000">
                              <a:srgbClr val="FBFBFB"/>
                            </a:gs>
                            <a:gs pos="100000">
                              <a:srgbClr val="C0C0C0"/>
                            </a:gs>
                          </a:gsLst>
                          <a:lin ang="5400000" scaled="1"/>
                        </a:gradFill>
                        <a:ln w="25400">
                          <a:solidFill>
                            <a:srgbClr val="000000"/>
                          </a:solidFill>
                          <a:miter lim="800000"/>
                          <a:headEnd/>
                          <a:tailEnd/>
                        </a:ln>
                        <a:effectLst>
                          <a:outerShdw dist="53882" dir="2700000" algn="ctr" rotWithShape="0">
                            <a:srgbClr val="808080"/>
                          </a:outerShdw>
                        </a:effectLst>
                      </wps:spPr>
                      <wps:txbx>
                        <w:txbxContent>
                          <w:p w:rsidR="001E1DF5" w:rsidRDefault="001E1DF5" w:rsidP="00474299">
                            <w:pPr>
                              <w:spacing w:before="120"/>
                              <w:jc w:val="center"/>
                              <w:rPr>
                                <w:b/>
                                <w:szCs w:val="28"/>
                              </w:rPr>
                            </w:pPr>
                          </w:p>
                          <w:p w:rsidR="001E1DF5" w:rsidRDefault="001E1DF5" w:rsidP="00474299">
                            <w:pPr>
                              <w:spacing w:before="120"/>
                              <w:jc w:val="center"/>
                              <w:rPr>
                                <w:b/>
                                <w:szCs w:val="28"/>
                              </w:rPr>
                            </w:pPr>
                          </w:p>
                          <w:p w:rsidR="001E1DF5" w:rsidRDefault="001E1DF5" w:rsidP="00474299">
                            <w:pPr>
                              <w:spacing w:before="120"/>
                              <w:jc w:val="center"/>
                              <w:rPr>
                                <w:b/>
                                <w:szCs w:val="28"/>
                              </w:rPr>
                            </w:pPr>
                          </w:p>
                          <w:p w:rsidR="001E1DF5" w:rsidRDefault="001E1DF5" w:rsidP="00474299">
                            <w:pPr>
                              <w:spacing w:before="120"/>
                              <w:jc w:val="center"/>
                              <w:rPr>
                                <w:b/>
                                <w:sz w:val="32"/>
                                <w:szCs w:val="32"/>
                              </w:rPr>
                            </w:pPr>
                            <w:r>
                              <w:rPr>
                                <w:b/>
                                <w:sz w:val="32"/>
                                <w:szCs w:val="32"/>
                              </w:rPr>
                              <w:t>П</w:t>
                            </w:r>
                          </w:p>
                          <w:p w:rsidR="001E1DF5" w:rsidRDefault="001E1DF5" w:rsidP="00474299">
                            <w:pPr>
                              <w:spacing w:before="120"/>
                              <w:jc w:val="center"/>
                              <w:rPr>
                                <w:b/>
                                <w:sz w:val="32"/>
                                <w:szCs w:val="32"/>
                              </w:rPr>
                            </w:pPr>
                          </w:p>
                          <w:p w:rsidR="001E1DF5" w:rsidRDefault="001E1DF5" w:rsidP="00474299">
                            <w:pPr>
                              <w:spacing w:before="120"/>
                              <w:jc w:val="center"/>
                              <w:rPr>
                                <w:b/>
                                <w:sz w:val="32"/>
                                <w:szCs w:val="32"/>
                              </w:rPr>
                            </w:pPr>
                          </w:p>
                          <w:p w:rsidR="001E1DF5" w:rsidRDefault="001E1DF5" w:rsidP="00474299">
                            <w:pPr>
                              <w:spacing w:before="120"/>
                              <w:jc w:val="center"/>
                              <w:rPr>
                                <w:b/>
                                <w:sz w:val="32"/>
                                <w:szCs w:val="32"/>
                              </w:rPr>
                            </w:pPr>
                            <w:r>
                              <w:rPr>
                                <w:b/>
                                <w:sz w:val="32"/>
                                <w:szCs w:val="32"/>
                              </w:rPr>
                              <w:t>Р</w:t>
                            </w:r>
                          </w:p>
                          <w:p w:rsidR="001E1DF5" w:rsidRDefault="001E1DF5" w:rsidP="00474299">
                            <w:pPr>
                              <w:spacing w:before="120"/>
                              <w:jc w:val="center"/>
                              <w:rPr>
                                <w:b/>
                                <w:sz w:val="32"/>
                                <w:szCs w:val="32"/>
                              </w:rPr>
                            </w:pPr>
                          </w:p>
                          <w:p w:rsidR="001E1DF5" w:rsidRDefault="001E1DF5" w:rsidP="00474299">
                            <w:pPr>
                              <w:spacing w:before="120"/>
                              <w:jc w:val="center"/>
                              <w:rPr>
                                <w:b/>
                                <w:sz w:val="32"/>
                                <w:szCs w:val="32"/>
                              </w:rPr>
                            </w:pPr>
                          </w:p>
                          <w:p w:rsidR="001E1DF5" w:rsidRDefault="001E1DF5" w:rsidP="00474299">
                            <w:pPr>
                              <w:spacing w:before="120"/>
                              <w:jc w:val="center"/>
                              <w:rPr>
                                <w:b/>
                                <w:sz w:val="32"/>
                                <w:szCs w:val="32"/>
                              </w:rPr>
                            </w:pPr>
                            <w:r>
                              <w:rPr>
                                <w:b/>
                                <w:sz w:val="32"/>
                                <w:szCs w:val="32"/>
                              </w:rPr>
                              <w:t>О</w:t>
                            </w:r>
                          </w:p>
                          <w:p w:rsidR="001E1DF5" w:rsidRDefault="001E1DF5" w:rsidP="00474299">
                            <w:pPr>
                              <w:spacing w:before="120"/>
                              <w:jc w:val="center"/>
                              <w:rPr>
                                <w:b/>
                                <w:sz w:val="32"/>
                                <w:szCs w:val="32"/>
                              </w:rPr>
                            </w:pPr>
                          </w:p>
                          <w:p w:rsidR="001E1DF5" w:rsidRDefault="001E1DF5" w:rsidP="00474299">
                            <w:pPr>
                              <w:spacing w:before="120"/>
                              <w:jc w:val="center"/>
                              <w:rPr>
                                <w:b/>
                                <w:sz w:val="32"/>
                                <w:szCs w:val="32"/>
                              </w:rPr>
                            </w:pPr>
                          </w:p>
                          <w:p w:rsidR="001E1DF5" w:rsidRDefault="001E1DF5" w:rsidP="00474299">
                            <w:pPr>
                              <w:spacing w:before="120"/>
                              <w:jc w:val="center"/>
                              <w:rPr>
                                <w:b/>
                                <w:sz w:val="32"/>
                                <w:szCs w:val="32"/>
                              </w:rPr>
                            </w:pPr>
                            <w:r>
                              <w:rPr>
                                <w:b/>
                                <w:sz w:val="32"/>
                                <w:szCs w:val="32"/>
                              </w:rPr>
                              <w:t>Ц</w:t>
                            </w:r>
                          </w:p>
                          <w:p w:rsidR="001E1DF5" w:rsidRDefault="001E1DF5" w:rsidP="00474299">
                            <w:pPr>
                              <w:spacing w:before="120"/>
                              <w:jc w:val="center"/>
                              <w:rPr>
                                <w:b/>
                                <w:sz w:val="32"/>
                                <w:szCs w:val="32"/>
                              </w:rPr>
                            </w:pPr>
                          </w:p>
                          <w:p w:rsidR="001E1DF5" w:rsidRDefault="001E1DF5" w:rsidP="00474299">
                            <w:pPr>
                              <w:spacing w:before="120"/>
                              <w:jc w:val="center"/>
                              <w:rPr>
                                <w:b/>
                                <w:sz w:val="32"/>
                                <w:szCs w:val="32"/>
                              </w:rPr>
                            </w:pPr>
                          </w:p>
                          <w:p w:rsidR="001E1DF5" w:rsidRDefault="001E1DF5" w:rsidP="00474299">
                            <w:pPr>
                              <w:spacing w:before="120"/>
                              <w:jc w:val="center"/>
                              <w:rPr>
                                <w:b/>
                                <w:sz w:val="32"/>
                                <w:szCs w:val="32"/>
                              </w:rPr>
                            </w:pPr>
                            <w:r>
                              <w:rPr>
                                <w:b/>
                                <w:sz w:val="32"/>
                                <w:szCs w:val="32"/>
                              </w:rPr>
                              <w:t>Е</w:t>
                            </w:r>
                          </w:p>
                          <w:p w:rsidR="001E1DF5" w:rsidRDefault="001E1DF5" w:rsidP="00474299">
                            <w:pPr>
                              <w:spacing w:before="120"/>
                              <w:jc w:val="center"/>
                              <w:rPr>
                                <w:b/>
                                <w:sz w:val="32"/>
                                <w:szCs w:val="32"/>
                              </w:rPr>
                            </w:pPr>
                          </w:p>
                          <w:p w:rsidR="001E1DF5" w:rsidRDefault="001E1DF5" w:rsidP="00474299">
                            <w:pPr>
                              <w:spacing w:before="120"/>
                              <w:jc w:val="center"/>
                              <w:rPr>
                                <w:b/>
                                <w:sz w:val="32"/>
                                <w:szCs w:val="32"/>
                              </w:rPr>
                            </w:pPr>
                          </w:p>
                          <w:p w:rsidR="001E1DF5" w:rsidRPr="00737D09" w:rsidRDefault="001E1DF5" w:rsidP="00474299">
                            <w:pPr>
                              <w:spacing w:before="120"/>
                              <w:jc w:val="center"/>
                              <w:rPr>
                                <w:b/>
                                <w:sz w:val="32"/>
                                <w:szCs w:val="32"/>
                              </w:rPr>
                            </w:pPr>
                            <w:r>
                              <w:rPr>
                                <w:b/>
                                <w:sz w:val="32"/>
                                <w:szCs w:val="32"/>
                              </w:rPr>
                              <w:t>С</w:t>
                            </w:r>
                          </w:p>
                        </w:txbxContent>
                      </wps:txbx>
                      <wps:bodyPr rot="0" vert="horz" wrap="square" lIns="72000" tIns="0" rIns="72000" bIns="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89" o:spid="_x0000_s1176" style="position:absolute;margin-left:-2.25pt;margin-top:9.65pt;width:30pt;height:575.3pt;z-index:252030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" fillcolor="silver" strokeweight="2pt">
                <v:fill color2="#fbfbfb" rotate="t" focus="50%" type="gradient"/>
                <v:shadow on="t" offset="3pt,3pt"/>
                <v:textbox inset="2mm,0,2mm,0">
                  <w:txbxContent>
                    <w:p w:rsidR="0057431A" w:rsidRDefault="0057431A" w:rsidP="00474299">
                      <w:pPr>
                        <w:spacing w:before="120"/>
                        <w:jc w:val="center"/>
                        <w:rPr>
                          <w:b/>
                          <w:szCs w:val="28"/>
                        </w:rPr>
                      </w:pPr>
                    </w:p>
                    <w:p w:rsidR="0057431A" w:rsidRDefault="0057431A" w:rsidP="00474299">
                      <w:pPr>
                        <w:spacing w:before="120"/>
                        <w:jc w:val="center"/>
                        <w:rPr>
                          <w:b/>
                          <w:szCs w:val="28"/>
                        </w:rPr>
                      </w:pPr>
                    </w:p>
                    <w:p w:rsidR="0057431A" w:rsidRDefault="0057431A" w:rsidP="00474299">
                      <w:pPr>
                        <w:spacing w:before="120"/>
                        <w:jc w:val="center"/>
                        <w:rPr>
                          <w:b/>
                          <w:szCs w:val="28"/>
                        </w:rPr>
                      </w:pPr>
                    </w:p>
                    <w:p w:rsidR="0057431A" w:rsidRDefault="0057431A" w:rsidP="00474299">
                      <w:pPr>
                        <w:spacing w:before="120"/>
                        <w:jc w:val="center"/>
                        <w:rPr>
                          <w:b/>
                          <w:sz w:val="32"/>
                          <w:szCs w:val="32"/>
                        </w:rPr>
                      </w:pPr>
                      <w:r>
                        <w:rPr>
                          <w:b/>
                          <w:sz w:val="32"/>
                          <w:szCs w:val="32"/>
                        </w:rPr>
                        <w:t>П</w:t>
                      </w:r>
                    </w:p>
                    <w:p w:rsidR="0057431A" w:rsidRDefault="0057431A" w:rsidP="00474299">
                      <w:pPr>
                        <w:spacing w:before="120"/>
                        <w:jc w:val="center"/>
                        <w:rPr>
                          <w:b/>
                          <w:sz w:val="32"/>
                          <w:szCs w:val="32"/>
                        </w:rPr>
                      </w:pPr>
                    </w:p>
                    <w:p w:rsidR="0057431A" w:rsidRDefault="0057431A" w:rsidP="00474299">
                      <w:pPr>
                        <w:spacing w:before="120"/>
                        <w:jc w:val="center"/>
                        <w:rPr>
                          <w:b/>
                          <w:sz w:val="32"/>
                          <w:szCs w:val="32"/>
                        </w:rPr>
                      </w:pPr>
                    </w:p>
                    <w:p w:rsidR="0057431A" w:rsidRDefault="0057431A" w:rsidP="00474299">
                      <w:pPr>
                        <w:spacing w:before="120"/>
                        <w:jc w:val="center"/>
                        <w:rPr>
                          <w:b/>
                          <w:sz w:val="32"/>
                          <w:szCs w:val="32"/>
                        </w:rPr>
                      </w:pPr>
                      <w:r>
                        <w:rPr>
                          <w:b/>
                          <w:sz w:val="32"/>
                          <w:szCs w:val="32"/>
                        </w:rPr>
                        <w:t>Р</w:t>
                      </w:r>
                    </w:p>
                    <w:p w:rsidR="0057431A" w:rsidRDefault="0057431A" w:rsidP="00474299">
                      <w:pPr>
                        <w:spacing w:before="120"/>
                        <w:jc w:val="center"/>
                        <w:rPr>
                          <w:b/>
                          <w:sz w:val="32"/>
                          <w:szCs w:val="32"/>
                        </w:rPr>
                      </w:pPr>
                    </w:p>
                    <w:p w:rsidR="0057431A" w:rsidRDefault="0057431A" w:rsidP="00474299">
                      <w:pPr>
                        <w:spacing w:before="120"/>
                        <w:jc w:val="center"/>
                        <w:rPr>
                          <w:b/>
                          <w:sz w:val="32"/>
                          <w:szCs w:val="32"/>
                        </w:rPr>
                      </w:pPr>
                    </w:p>
                    <w:p w:rsidR="0057431A" w:rsidRDefault="0057431A" w:rsidP="00474299">
                      <w:pPr>
                        <w:spacing w:before="120"/>
                        <w:jc w:val="center"/>
                        <w:rPr>
                          <w:b/>
                          <w:sz w:val="32"/>
                          <w:szCs w:val="32"/>
                        </w:rPr>
                      </w:pPr>
                      <w:r>
                        <w:rPr>
                          <w:b/>
                          <w:sz w:val="32"/>
                          <w:szCs w:val="32"/>
                        </w:rPr>
                        <w:t>О</w:t>
                      </w:r>
                    </w:p>
                    <w:p w:rsidR="0057431A" w:rsidRDefault="0057431A" w:rsidP="00474299">
                      <w:pPr>
                        <w:spacing w:before="120"/>
                        <w:jc w:val="center"/>
                        <w:rPr>
                          <w:b/>
                          <w:sz w:val="32"/>
                          <w:szCs w:val="32"/>
                        </w:rPr>
                      </w:pPr>
                    </w:p>
                    <w:p w:rsidR="0057431A" w:rsidRDefault="0057431A" w:rsidP="00474299">
                      <w:pPr>
                        <w:spacing w:before="120"/>
                        <w:jc w:val="center"/>
                        <w:rPr>
                          <w:b/>
                          <w:sz w:val="32"/>
                          <w:szCs w:val="32"/>
                        </w:rPr>
                      </w:pPr>
                    </w:p>
                    <w:p w:rsidR="0057431A" w:rsidRDefault="0057431A" w:rsidP="00474299">
                      <w:pPr>
                        <w:spacing w:before="120"/>
                        <w:jc w:val="center"/>
                        <w:rPr>
                          <w:b/>
                          <w:sz w:val="32"/>
                          <w:szCs w:val="32"/>
                        </w:rPr>
                      </w:pPr>
                      <w:r>
                        <w:rPr>
                          <w:b/>
                          <w:sz w:val="32"/>
                          <w:szCs w:val="32"/>
                        </w:rPr>
                        <w:t>Ц</w:t>
                      </w:r>
                    </w:p>
                    <w:p w:rsidR="0057431A" w:rsidRDefault="0057431A" w:rsidP="00474299">
                      <w:pPr>
                        <w:spacing w:before="120"/>
                        <w:jc w:val="center"/>
                        <w:rPr>
                          <w:b/>
                          <w:sz w:val="32"/>
                          <w:szCs w:val="32"/>
                        </w:rPr>
                      </w:pPr>
                    </w:p>
                    <w:p w:rsidR="0057431A" w:rsidRDefault="0057431A" w:rsidP="00474299">
                      <w:pPr>
                        <w:spacing w:before="120"/>
                        <w:jc w:val="center"/>
                        <w:rPr>
                          <w:b/>
                          <w:sz w:val="32"/>
                          <w:szCs w:val="32"/>
                        </w:rPr>
                      </w:pPr>
                    </w:p>
                    <w:p w:rsidR="0057431A" w:rsidRDefault="0057431A" w:rsidP="00474299">
                      <w:pPr>
                        <w:spacing w:before="120"/>
                        <w:jc w:val="center"/>
                        <w:rPr>
                          <w:b/>
                          <w:sz w:val="32"/>
                          <w:szCs w:val="32"/>
                        </w:rPr>
                      </w:pPr>
                      <w:r>
                        <w:rPr>
                          <w:b/>
                          <w:sz w:val="32"/>
                          <w:szCs w:val="32"/>
                        </w:rPr>
                        <w:t>Е</w:t>
                      </w:r>
                    </w:p>
                    <w:p w:rsidR="0057431A" w:rsidRDefault="0057431A" w:rsidP="00474299">
                      <w:pPr>
                        <w:spacing w:before="120"/>
                        <w:jc w:val="center"/>
                        <w:rPr>
                          <w:b/>
                          <w:sz w:val="32"/>
                          <w:szCs w:val="32"/>
                        </w:rPr>
                      </w:pPr>
                    </w:p>
                    <w:p w:rsidR="0057431A" w:rsidRDefault="0057431A" w:rsidP="00474299">
                      <w:pPr>
                        <w:spacing w:before="120"/>
                        <w:jc w:val="center"/>
                        <w:rPr>
                          <w:b/>
                          <w:sz w:val="32"/>
                          <w:szCs w:val="32"/>
                        </w:rPr>
                      </w:pPr>
                    </w:p>
                    <w:p w:rsidR="0057431A" w:rsidRPr="00737D09" w:rsidRDefault="0057431A" w:rsidP="00474299">
                      <w:pPr>
                        <w:spacing w:before="120"/>
                        <w:jc w:val="center"/>
                        <w:rPr>
                          <w:b/>
                          <w:sz w:val="32"/>
                          <w:szCs w:val="32"/>
                        </w:rPr>
                      </w:pPr>
                      <w:r>
                        <w:rPr>
                          <w:b/>
                          <w:sz w:val="32"/>
                          <w:szCs w:val="32"/>
                        </w:rPr>
                        <w:t>С</w:t>
                      </w:r>
                    </w:p>
                  </w:txbxContent>
                </v:textbox>
              </v:rect>
            </w:pict>
          </mc:Fallback>
        </mc:AlternateContent>
      </w:r>
      <w:r w:rsidRPr="00474299">
        <w:rPr>
          <w:rFonts w:eastAsia="Times New Roman"/>
          <w:noProof/>
          <w:sz w:val="24"/>
          <w:szCs w:val="24"/>
          <w:lang w:val="ru-RU" w:eastAsia="ru-RU"/>
        </w:rPr>
        <mc:AlternateContent>
          <mc:Choice Requires="wps">
            <w:drawing>
              <wp:anchor distT="0" distB="0" distL="114300" distR="114300" simplePos="0" relativeHeight="252032000" behindDoc="0" locked="0" layoutInCell="1" allowOverlap="1" wp14:anchorId="0CB75D4D" wp14:editId="718316C8">
                <wp:simplePos x="0" y="0"/>
                <wp:positionH relativeFrom="column">
                  <wp:posOffset>424898</wp:posOffset>
                </wp:positionH>
                <wp:positionV relativeFrom="paragraph">
                  <wp:posOffset>130700</wp:posOffset>
                </wp:positionV>
                <wp:extent cx="6082665" cy="7299297"/>
                <wp:effectExtent l="0" t="0" r="13335" b="16510"/>
                <wp:wrapNone/>
                <wp:docPr id="1117" name="Прямоугольник 11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82665" cy="7299297"/>
                        </a:xfrm>
                        <a:prstGeom prst="rect">
                          <a:avLst/>
                        </a:prstGeom>
                        <a:solidFill>
                          <a:srgbClr val="FFFFFF"/>
                        </a:solidFill>
                        <a:ln w="9525">
                          <a:solidFill>
                            <a:sysClr val="windowText" lastClr="000000"/>
                          </a:solidFill>
                          <a:miter lim="800000"/>
                          <a:headEnd/>
                          <a:tailEnd/>
                        </a:ln>
                      </wps:spPr>
                      <wps:txbx>
                        <w:txbxContent>
                          <w:p w:rsidR="001E1DF5" w:rsidRPr="00885DD3" w:rsidRDefault="001E1DF5" w:rsidP="00474299">
                            <w:pPr>
                              <w:spacing w:line="210" w:lineRule="exact"/>
                              <w:rPr>
                                <w:sz w:val="24"/>
                                <w:szCs w:val="24"/>
                              </w:rPr>
                            </w:pPr>
                            <w:r>
                              <w:rPr>
                                <w:lang w:val="ru-RU"/>
                              </w:rPr>
                              <w:t>1</w:t>
                            </w:r>
                            <w:r w:rsidRPr="00885DD3">
                              <w:rPr>
                                <w:sz w:val="24"/>
                                <w:szCs w:val="24"/>
                              </w:rPr>
                              <w:t>.</w:t>
                            </w:r>
                            <w:r w:rsidRPr="00885DD3">
                              <w:rPr>
                                <w:sz w:val="24"/>
                                <w:szCs w:val="24"/>
                                <w:lang w:val="ru-RU"/>
                              </w:rPr>
                              <w:t> </w:t>
                            </w:r>
                            <w:r w:rsidRPr="00885DD3">
                              <w:rPr>
                                <w:sz w:val="24"/>
                                <w:szCs w:val="24"/>
                              </w:rPr>
                              <w:t xml:space="preserve">Виконання </w:t>
                            </w:r>
                            <w:r w:rsidRPr="00885DD3">
                              <w:rPr>
                                <w:bCs/>
                                <w:sz w:val="24"/>
                                <w:szCs w:val="24"/>
                              </w:rPr>
                              <w:t>Національного плану дій глобальної</w:t>
                            </w:r>
                            <w:r>
                              <w:rPr>
                                <w:bCs/>
                                <w:sz w:val="24"/>
                                <w:szCs w:val="24"/>
                              </w:rPr>
                              <w:t xml:space="preserve"> ініціативи ВООЗ «Кожна жінка, к</w:t>
                            </w:r>
                            <w:r w:rsidRPr="00885DD3">
                              <w:rPr>
                                <w:bCs/>
                                <w:sz w:val="24"/>
                                <w:szCs w:val="24"/>
                              </w:rPr>
                              <w:t>ожна дитина», Державної програми</w:t>
                            </w:r>
                            <w:r w:rsidRPr="00885DD3">
                              <w:rPr>
                                <w:sz w:val="24"/>
                                <w:szCs w:val="24"/>
                              </w:rPr>
                              <w:t>, регіональних програм, прийнятих на підставі державної програми. Оцінка, координація. управління, контроль за процесом зниження дитячої смертності.</w:t>
                            </w:r>
                          </w:p>
                          <w:p w:rsidR="001E1DF5" w:rsidRPr="00885DD3" w:rsidRDefault="001E1DF5" w:rsidP="00474299">
                            <w:pPr>
                              <w:spacing w:line="210" w:lineRule="exact"/>
                              <w:rPr>
                                <w:sz w:val="24"/>
                                <w:szCs w:val="24"/>
                              </w:rPr>
                            </w:pPr>
                            <w:r w:rsidRPr="00885DD3">
                              <w:rPr>
                                <w:sz w:val="24"/>
                                <w:szCs w:val="24"/>
                              </w:rPr>
                              <w:t>2. Надання невідкладної допомоги дитячому населенню на рівні ПМСД  тощо.</w:t>
                            </w:r>
                          </w:p>
                          <w:p w:rsidR="001E1DF5" w:rsidRPr="00885DD3" w:rsidRDefault="001E1DF5" w:rsidP="00474299">
                            <w:pPr>
                              <w:spacing w:line="210" w:lineRule="exact"/>
                              <w:rPr>
                                <w:sz w:val="24"/>
                                <w:szCs w:val="24"/>
                              </w:rPr>
                            </w:pPr>
                            <w:r w:rsidRPr="00885DD3">
                              <w:rPr>
                                <w:sz w:val="24"/>
                                <w:szCs w:val="24"/>
                              </w:rPr>
                              <w:t>3. Надання допомоги (евакуації) при типових загрозливих станах та синдромах (транспортування у найближчий заклад).</w:t>
                            </w:r>
                          </w:p>
                          <w:p w:rsidR="001E1DF5" w:rsidRPr="00885DD3" w:rsidRDefault="001E1DF5" w:rsidP="00474299">
                            <w:pPr>
                              <w:spacing w:line="210" w:lineRule="exact"/>
                              <w:rPr>
                                <w:sz w:val="24"/>
                                <w:szCs w:val="24"/>
                              </w:rPr>
                            </w:pPr>
                            <w:r w:rsidRPr="00885DD3">
                              <w:rPr>
                                <w:sz w:val="24"/>
                                <w:szCs w:val="24"/>
                              </w:rPr>
                              <w:t>4. Координація Державним перинатальним центром всіх перинатальних служб.</w:t>
                            </w:r>
                          </w:p>
                          <w:p w:rsidR="001E1DF5" w:rsidRPr="00885DD3" w:rsidRDefault="001E1DF5" w:rsidP="00474299">
                            <w:pPr>
                              <w:spacing w:line="210" w:lineRule="exact"/>
                              <w:rPr>
                                <w:sz w:val="24"/>
                                <w:szCs w:val="24"/>
                              </w:rPr>
                            </w:pPr>
                            <w:r w:rsidRPr="00885DD3">
                              <w:rPr>
                                <w:sz w:val="24"/>
                                <w:szCs w:val="24"/>
                              </w:rPr>
                              <w:t>5. Застосування передових сучасних технологій щодо надання медичної допомоги дітям (принципів надання послуг). Проведення телемедичного консультування.</w:t>
                            </w:r>
                          </w:p>
                          <w:p w:rsidR="001E1DF5" w:rsidRPr="00885DD3" w:rsidRDefault="001E1DF5" w:rsidP="00474299">
                            <w:pPr>
                              <w:spacing w:line="210" w:lineRule="exact"/>
                              <w:rPr>
                                <w:sz w:val="24"/>
                                <w:szCs w:val="24"/>
                              </w:rPr>
                            </w:pPr>
                            <w:r w:rsidRPr="00885DD3">
                              <w:rPr>
                                <w:sz w:val="24"/>
                                <w:szCs w:val="24"/>
                              </w:rPr>
                              <w:t>6. Дотримання санітарно-гігієнічних стандартів в місцях перебування дитини</w:t>
                            </w:r>
                            <w:r w:rsidRPr="00885DD3">
                              <w:rPr>
                                <w:sz w:val="24"/>
                                <w:szCs w:val="24"/>
                                <w:lang w:val="ru-RU"/>
                              </w:rPr>
                              <w:t xml:space="preserve"> (</w:t>
                            </w:r>
                            <w:r w:rsidRPr="00885DD3">
                              <w:rPr>
                                <w:sz w:val="24"/>
                                <w:szCs w:val="24"/>
                              </w:rPr>
                              <w:t xml:space="preserve">ЗОЗ, дошкільних навчальних закладів,тощо), визначених нормативно-правовими актами МОЗ України (Накази щодо </w:t>
                            </w:r>
                            <w:r w:rsidRPr="00885DD3">
                              <w:rPr>
                                <w:bCs/>
                                <w:sz w:val="24"/>
                                <w:szCs w:val="24"/>
                              </w:rPr>
                              <w:t>Державних санітарних норм і правил до ЗОЗ, санітарного регламенту для дошкільних навчальних закладів, тощо).</w:t>
                            </w:r>
                          </w:p>
                          <w:p w:rsidR="001E1DF5" w:rsidRPr="00885DD3" w:rsidRDefault="001E1DF5" w:rsidP="00474299">
                            <w:pPr>
                              <w:spacing w:line="210" w:lineRule="exact"/>
                              <w:rPr>
                                <w:sz w:val="24"/>
                                <w:szCs w:val="24"/>
                              </w:rPr>
                            </w:pPr>
                            <w:r w:rsidRPr="00885DD3">
                              <w:rPr>
                                <w:sz w:val="24"/>
                                <w:szCs w:val="24"/>
                              </w:rPr>
                              <w:t>7. Здійснення психологічної та/або соціальної підтримки та/або допомоги матерям (сім’ям з дітьми) в кризових станах.</w:t>
                            </w:r>
                          </w:p>
                          <w:p w:rsidR="001E1DF5" w:rsidRPr="00885DD3" w:rsidRDefault="001E1DF5" w:rsidP="00474299">
                            <w:pPr>
                              <w:spacing w:line="210" w:lineRule="exact"/>
                              <w:rPr>
                                <w:sz w:val="24"/>
                                <w:szCs w:val="24"/>
                              </w:rPr>
                            </w:pPr>
                            <w:r w:rsidRPr="00885DD3">
                              <w:rPr>
                                <w:sz w:val="24"/>
                                <w:szCs w:val="24"/>
                              </w:rPr>
                              <w:t>8. Удосконалення та дотримання державних стандартів діагностики, лікування, реабілітації, паліативної допомоги дитячому населенню.</w:t>
                            </w:r>
                          </w:p>
                          <w:p w:rsidR="001E1DF5" w:rsidRPr="00885DD3" w:rsidRDefault="001E1DF5" w:rsidP="00474299">
                            <w:pPr>
                              <w:spacing w:line="210" w:lineRule="exact"/>
                              <w:rPr>
                                <w:sz w:val="24"/>
                                <w:szCs w:val="24"/>
                              </w:rPr>
                            </w:pPr>
                            <w:r w:rsidRPr="00885DD3">
                              <w:rPr>
                                <w:sz w:val="24"/>
                                <w:szCs w:val="24"/>
                              </w:rPr>
                              <w:t xml:space="preserve">9. Впровадження та використання гарантованого пакету медичних послуг дитячому населенню в рамках всебічного охоплення послугами охорони здоров’я, забезпечення наступності спостереження та медичної допомоги дитячому населенню, доступності, комплексності надання, безперервності. </w:t>
                            </w:r>
                          </w:p>
                          <w:p w:rsidR="001E1DF5" w:rsidRPr="00885DD3" w:rsidRDefault="001E1DF5" w:rsidP="00474299">
                            <w:pPr>
                              <w:spacing w:line="210" w:lineRule="exact"/>
                              <w:rPr>
                                <w:sz w:val="24"/>
                                <w:szCs w:val="24"/>
                              </w:rPr>
                            </w:pPr>
                            <w:r w:rsidRPr="00885DD3">
                              <w:rPr>
                                <w:sz w:val="24"/>
                                <w:szCs w:val="24"/>
                              </w:rPr>
                              <w:t>10. Дотримання прав пацієнта та етико-деонтологічних норм медико-профілактичної діяльності.</w:t>
                            </w:r>
                          </w:p>
                          <w:p w:rsidR="001E1DF5" w:rsidRPr="00885DD3" w:rsidRDefault="001E1DF5" w:rsidP="00474299">
                            <w:pPr>
                              <w:spacing w:line="210" w:lineRule="exact"/>
                              <w:rPr>
                                <w:sz w:val="24"/>
                                <w:szCs w:val="24"/>
                              </w:rPr>
                            </w:pPr>
                            <w:r w:rsidRPr="00885DD3">
                              <w:rPr>
                                <w:sz w:val="24"/>
                                <w:szCs w:val="24"/>
                              </w:rPr>
                              <w:t>11. Виконання законодавства України щодо охорони здоров’я матері та дитини.</w:t>
                            </w:r>
                          </w:p>
                          <w:p w:rsidR="001E1DF5" w:rsidRPr="00885DD3" w:rsidRDefault="001E1DF5" w:rsidP="00474299">
                            <w:pPr>
                              <w:spacing w:line="210" w:lineRule="exact"/>
                              <w:rPr>
                                <w:sz w:val="24"/>
                                <w:szCs w:val="24"/>
                              </w:rPr>
                            </w:pPr>
                            <w:r w:rsidRPr="00885DD3">
                              <w:rPr>
                                <w:sz w:val="24"/>
                                <w:szCs w:val="24"/>
                              </w:rPr>
                              <w:t>12. Розробка та впровадження нормативно-правових актів (удосконалення) щодо охорони дитинства та організаційно-методичне забезпечення тактики зниження дитячої смертності.</w:t>
                            </w:r>
                          </w:p>
                          <w:p w:rsidR="001E1DF5" w:rsidRPr="00885DD3" w:rsidRDefault="001E1DF5" w:rsidP="00474299">
                            <w:pPr>
                              <w:spacing w:line="210" w:lineRule="exact"/>
                              <w:rPr>
                                <w:sz w:val="24"/>
                                <w:szCs w:val="24"/>
                              </w:rPr>
                            </w:pPr>
                            <w:r w:rsidRPr="00885DD3">
                              <w:rPr>
                                <w:sz w:val="24"/>
                                <w:szCs w:val="24"/>
                              </w:rPr>
                              <w:t>13. Впровадження нового стандарту підготовки лікарів з питання попередження дитячої смертності, забезпечення безперервної освіти лікарів на післядипломному рівні, підготовка викладачів з блоку питань попередження дитячої смертності.</w:t>
                            </w:r>
                          </w:p>
                          <w:p w:rsidR="001E1DF5" w:rsidRPr="00885DD3" w:rsidRDefault="001E1DF5" w:rsidP="00474299">
                            <w:pPr>
                              <w:spacing w:line="210" w:lineRule="exact"/>
                              <w:rPr>
                                <w:sz w:val="24"/>
                                <w:szCs w:val="24"/>
                              </w:rPr>
                            </w:pPr>
                            <w:r w:rsidRPr="00885DD3">
                              <w:rPr>
                                <w:sz w:val="24"/>
                                <w:szCs w:val="24"/>
                              </w:rPr>
                              <w:t>14. Діяльність та контроль ЛЗП/СЛ за орієнтацією сімей на ЗСЖ, здоров’я дітей.</w:t>
                            </w:r>
                          </w:p>
                          <w:p w:rsidR="001E1DF5" w:rsidRPr="00885DD3" w:rsidRDefault="001E1DF5" w:rsidP="00474299">
                            <w:pPr>
                              <w:spacing w:line="210" w:lineRule="exact"/>
                              <w:rPr>
                                <w:sz w:val="24"/>
                                <w:szCs w:val="24"/>
                              </w:rPr>
                            </w:pPr>
                            <w:r w:rsidRPr="00885DD3">
                              <w:rPr>
                                <w:sz w:val="24"/>
                                <w:szCs w:val="24"/>
                              </w:rPr>
                              <w:t>15. Запровадження механізмів відповідальності обласних рад, об’єднаних громад за міжбюджетне фінансування ЗОЗ. Забезпечення пріоритетного фінансування материнства та дитинства в країні.</w:t>
                            </w:r>
                          </w:p>
                          <w:p w:rsidR="001E1DF5" w:rsidRPr="00885DD3" w:rsidRDefault="001E1DF5" w:rsidP="00474299">
                            <w:pPr>
                              <w:spacing w:line="210" w:lineRule="exact"/>
                              <w:rPr>
                                <w:sz w:val="24"/>
                                <w:szCs w:val="24"/>
                              </w:rPr>
                            </w:pPr>
                            <w:r w:rsidRPr="00885DD3">
                              <w:rPr>
                                <w:sz w:val="24"/>
                                <w:szCs w:val="24"/>
                              </w:rPr>
                              <w:t>16. Моніторинг та постійний аналіз усіх випадків смерті дітей з позиції їх відворотності з урахуванням регіональних особливостей. Відстеження процесу скорочення показників дитячої смертності.</w:t>
                            </w:r>
                          </w:p>
                          <w:p w:rsidR="001E1DF5" w:rsidRPr="00885DD3" w:rsidRDefault="001E1DF5" w:rsidP="00474299">
                            <w:pPr>
                              <w:spacing w:line="210" w:lineRule="exact"/>
                              <w:rPr>
                                <w:sz w:val="24"/>
                                <w:szCs w:val="24"/>
                              </w:rPr>
                            </w:pPr>
                            <w:r w:rsidRPr="00885DD3">
                              <w:rPr>
                                <w:sz w:val="24"/>
                                <w:szCs w:val="24"/>
                              </w:rPr>
                              <w:t xml:space="preserve">17. Моніторинг за якістю надання медичної допомоги за стандартними індикаторами. </w:t>
                            </w:r>
                          </w:p>
                          <w:p w:rsidR="001E1DF5" w:rsidRPr="00885DD3" w:rsidRDefault="001E1DF5" w:rsidP="00474299">
                            <w:pPr>
                              <w:spacing w:line="210" w:lineRule="exact"/>
                              <w:rPr>
                                <w:sz w:val="24"/>
                                <w:szCs w:val="24"/>
                              </w:rPr>
                            </w:pPr>
                            <w:r w:rsidRPr="00885DD3">
                              <w:rPr>
                                <w:sz w:val="24"/>
                                <w:szCs w:val="24"/>
                              </w:rPr>
                              <w:t xml:space="preserve">18. Моніторинг і оцінка перинатальної допомоги. Комплексна оцінка діяльності закладів перинатальної допомоги. </w:t>
                            </w:r>
                          </w:p>
                          <w:p w:rsidR="001E1DF5" w:rsidRPr="00885DD3" w:rsidRDefault="001E1DF5" w:rsidP="00474299">
                            <w:pPr>
                              <w:spacing w:line="210" w:lineRule="exact"/>
                              <w:rPr>
                                <w:sz w:val="24"/>
                                <w:szCs w:val="24"/>
                              </w:rPr>
                            </w:pPr>
                            <w:r w:rsidRPr="00885DD3">
                              <w:rPr>
                                <w:sz w:val="24"/>
                                <w:szCs w:val="24"/>
                              </w:rPr>
                              <w:t>19. Приведення у відповідність та впровадження нормативів складності та напруженості медичних працівників, що надають допомогу дітям.</w:t>
                            </w:r>
                          </w:p>
                          <w:p w:rsidR="001E1DF5" w:rsidRPr="00885DD3" w:rsidRDefault="001E1DF5" w:rsidP="00474299">
                            <w:pPr>
                              <w:spacing w:line="210" w:lineRule="exact"/>
                              <w:rPr>
                                <w:sz w:val="24"/>
                                <w:szCs w:val="24"/>
                              </w:rPr>
                            </w:pPr>
                            <w:r w:rsidRPr="00885DD3">
                              <w:rPr>
                                <w:sz w:val="24"/>
                                <w:szCs w:val="24"/>
                              </w:rPr>
                              <w:t>20. Впровадження Єдиної державної медичної інформаційної системи педіатричної допомоги, включно реєстр новонароджених, що народились передчасно та/або хворими.</w:t>
                            </w:r>
                          </w:p>
                          <w:p w:rsidR="001E1DF5" w:rsidRPr="00885DD3" w:rsidRDefault="001E1DF5" w:rsidP="00474299">
                            <w:pPr>
                              <w:spacing w:line="210" w:lineRule="exact"/>
                              <w:rPr>
                                <w:sz w:val="24"/>
                                <w:szCs w:val="24"/>
                              </w:rPr>
                            </w:pPr>
                            <w:r w:rsidRPr="00885DD3">
                              <w:rPr>
                                <w:sz w:val="24"/>
                                <w:szCs w:val="24"/>
                              </w:rPr>
                              <w:t>21. Розширення скринінгу на вроджені вади розвитку, орфанні хвороби, тощо.</w:t>
                            </w:r>
                          </w:p>
                          <w:p w:rsidR="001E1DF5" w:rsidRPr="006657D6" w:rsidRDefault="001E1DF5" w:rsidP="00474299">
                            <w:pPr>
                              <w:spacing w:line="210" w:lineRule="exact"/>
                            </w:pPr>
                            <w:r w:rsidRPr="00885DD3">
                              <w:rPr>
                                <w:sz w:val="24"/>
                                <w:szCs w:val="24"/>
                              </w:rPr>
                              <w:t>22. Впровадження пересувних дитячих</w:t>
                            </w:r>
                            <w:r w:rsidRPr="006657D6">
                              <w:t xml:space="preserve"> </w:t>
                            </w:r>
                            <w:r w:rsidRPr="00874984">
                              <w:rPr>
                                <w:sz w:val="24"/>
                                <w:szCs w:val="24"/>
                              </w:rPr>
                              <w:t>поліклінік і консультативних бригад.</w:t>
                            </w:r>
                          </w:p>
                          <w:p w:rsidR="001E1DF5" w:rsidRPr="00885DD3" w:rsidRDefault="001E1DF5" w:rsidP="00474299">
                            <w:pPr>
                              <w:spacing w:line="210" w:lineRule="exact"/>
                              <w:rPr>
                                <w:sz w:val="24"/>
                                <w:szCs w:val="24"/>
                              </w:rPr>
                            </w:pPr>
                            <w:r w:rsidRPr="00885DD3">
                              <w:rPr>
                                <w:sz w:val="24"/>
                                <w:szCs w:val="24"/>
                              </w:rPr>
                              <w:t>23. Створення мережі денних дитячих стаціонарів.</w:t>
                            </w:r>
                          </w:p>
                          <w:p w:rsidR="001E1DF5" w:rsidRPr="00885DD3" w:rsidRDefault="001E1DF5" w:rsidP="00474299">
                            <w:pPr>
                              <w:spacing w:line="210" w:lineRule="exact"/>
                              <w:rPr>
                                <w:sz w:val="24"/>
                                <w:szCs w:val="24"/>
                              </w:rPr>
                            </w:pPr>
                            <w:r w:rsidRPr="00885DD3">
                              <w:rPr>
                                <w:sz w:val="24"/>
                                <w:szCs w:val="24"/>
                              </w:rPr>
                              <w:t>24. Забезпечення продовження регіоналізації перинатальної допомоги. Завершення створення ПЦ ІІ та ІІІ рівнів.</w:t>
                            </w:r>
                          </w:p>
                          <w:p w:rsidR="001E1DF5" w:rsidRPr="00885DD3" w:rsidRDefault="001E1DF5" w:rsidP="00474299">
                            <w:pPr>
                              <w:spacing w:line="210" w:lineRule="exact"/>
                              <w:rPr>
                                <w:sz w:val="24"/>
                                <w:szCs w:val="24"/>
                              </w:rPr>
                            </w:pPr>
                            <w:r w:rsidRPr="00885DD3">
                              <w:rPr>
                                <w:sz w:val="24"/>
                                <w:szCs w:val="24"/>
                              </w:rPr>
                              <w:t>25. Впровадження системи катамнестичного спостереження, медичної реа</w:t>
                            </w:r>
                            <w:r>
                              <w:rPr>
                                <w:sz w:val="24"/>
                                <w:szCs w:val="24"/>
                              </w:rPr>
                              <w:t>білітації та  раннього втручання.</w:t>
                            </w:r>
                          </w:p>
                          <w:p w:rsidR="001E1DF5" w:rsidRPr="00885DD3" w:rsidRDefault="001E1DF5" w:rsidP="00474299">
                            <w:pPr>
                              <w:spacing w:line="210" w:lineRule="exact"/>
                              <w:rPr>
                                <w:sz w:val="24"/>
                                <w:szCs w:val="24"/>
                              </w:rPr>
                            </w:pPr>
                            <w:r w:rsidRPr="00885DD3">
                              <w:rPr>
                                <w:sz w:val="24"/>
                                <w:szCs w:val="24"/>
                              </w:rPr>
                              <w:t>26. Впровадження комплексної інтеграції послуг, комплексного ведення дитячого населення.</w:t>
                            </w:r>
                          </w:p>
                          <w:p w:rsidR="001E1DF5" w:rsidRPr="00885DD3" w:rsidRDefault="001E1DF5" w:rsidP="00474299">
                            <w:pPr>
                              <w:spacing w:line="210" w:lineRule="exact"/>
                              <w:rPr>
                                <w:sz w:val="24"/>
                                <w:szCs w:val="24"/>
                                <w:lang w:val="ru-RU"/>
                              </w:rPr>
                            </w:pPr>
                            <w:r w:rsidRPr="00885DD3">
                              <w:rPr>
                                <w:sz w:val="24"/>
                                <w:szCs w:val="24"/>
                              </w:rPr>
                              <w:t>27. Дотримання заходів з охорони репродуктивного здоров’я на підприємствах.</w:t>
                            </w:r>
                          </w:p>
                        </w:txbxContent>
                      </wps:txbx>
                      <wps:bodyPr rot="0" vert="horz" wrap="square" lIns="36000" tIns="36000" rIns="36000" bIns="1080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117" o:spid="_x0000_s1177" style="position:absolute;margin-left:33.45pt;margin-top:10.3pt;width:478.95pt;height:574.75pt;z-index:252032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" strokecolor="windowText">
                <v:textbox inset="1mm,1mm,1mm,.3mm">
                  <w:txbxContent>
                    <w:p w:rsidR="00682872" w:rsidRPr="00885DD3" w:rsidRDefault="00682872" w:rsidP="00474299">
                      <w:pPr>
                        <w:spacing w:line="210" w:lineRule="exact"/>
                        <w:rPr>
                          <w:sz w:val="24"/>
                          <w:szCs w:val="24"/>
                        </w:rPr>
                      </w:pPr>
                      <w:r>
                        <w:rPr>
                          <w:lang w:val="ru-RU"/>
                        </w:rPr>
                        <w:t>1</w:t>
                      </w:r>
                      <w:r w:rsidRPr="00885DD3">
                        <w:rPr>
                          <w:sz w:val="24"/>
                          <w:szCs w:val="24"/>
                        </w:rPr>
                        <w:t>.</w:t>
                      </w:r>
                      <w:r w:rsidRPr="00885DD3">
                        <w:rPr>
                          <w:sz w:val="24"/>
                          <w:szCs w:val="24"/>
                          <w:lang w:val="ru-RU"/>
                        </w:rPr>
                        <w:t> </w:t>
                      </w:r>
                      <w:r w:rsidRPr="00885DD3">
                        <w:rPr>
                          <w:sz w:val="24"/>
                          <w:szCs w:val="24"/>
                        </w:rPr>
                        <w:t xml:space="preserve">Виконання </w:t>
                      </w:r>
                      <w:r w:rsidRPr="00885DD3">
                        <w:rPr>
                          <w:bCs/>
                          <w:sz w:val="24"/>
                          <w:szCs w:val="24"/>
                        </w:rPr>
                        <w:t>Національного плану дій глобальної</w:t>
                      </w:r>
                      <w:r>
                        <w:rPr>
                          <w:bCs/>
                          <w:sz w:val="24"/>
                          <w:szCs w:val="24"/>
                        </w:rPr>
                        <w:t xml:space="preserve"> ініціативи ВООЗ «Кожна жінка, к</w:t>
                      </w:r>
                      <w:r w:rsidRPr="00885DD3">
                        <w:rPr>
                          <w:bCs/>
                          <w:sz w:val="24"/>
                          <w:szCs w:val="24"/>
                        </w:rPr>
                        <w:t>ожна дитина», Державної програми</w:t>
                      </w:r>
                      <w:r w:rsidRPr="00885DD3">
                        <w:rPr>
                          <w:sz w:val="24"/>
                          <w:szCs w:val="24"/>
                        </w:rPr>
                        <w:t>, регіональних програм, прийнятих на підставі державної програми. Оцінка, координація. управління, контроль за процесом зниження дитячої смертності.</w:t>
                      </w:r>
                    </w:p>
                    <w:p w:rsidR="00682872" w:rsidRPr="00885DD3" w:rsidRDefault="00682872" w:rsidP="00474299">
                      <w:pPr>
                        <w:spacing w:line="210" w:lineRule="exact"/>
                        <w:rPr>
                          <w:sz w:val="24"/>
                          <w:szCs w:val="24"/>
                        </w:rPr>
                      </w:pPr>
                      <w:r w:rsidRPr="00885DD3">
                        <w:rPr>
                          <w:sz w:val="24"/>
                          <w:szCs w:val="24"/>
                        </w:rPr>
                        <w:t>2. Надання невідкладної допомоги дитячому населенню на рівні ПМСД  тощо.</w:t>
                      </w:r>
                    </w:p>
                    <w:p w:rsidR="00682872" w:rsidRPr="00885DD3" w:rsidRDefault="00682872" w:rsidP="00474299">
                      <w:pPr>
                        <w:spacing w:line="210" w:lineRule="exact"/>
                        <w:rPr>
                          <w:sz w:val="24"/>
                          <w:szCs w:val="24"/>
                        </w:rPr>
                      </w:pPr>
                      <w:r w:rsidRPr="00885DD3">
                        <w:rPr>
                          <w:sz w:val="24"/>
                          <w:szCs w:val="24"/>
                        </w:rPr>
                        <w:t>3. Надання допомоги (евакуації) при типових загрозливих станах та синдромах (транспортування у найближчий заклад).</w:t>
                      </w:r>
                    </w:p>
                    <w:p w:rsidR="00682872" w:rsidRPr="00885DD3" w:rsidRDefault="00682872" w:rsidP="00474299">
                      <w:pPr>
                        <w:spacing w:line="210" w:lineRule="exact"/>
                        <w:rPr>
                          <w:sz w:val="24"/>
                          <w:szCs w:val="24"/>
                        </w:rPr>
                      </w:pPr>
                      <w:r w:rsidRPr="00885DD3">
                        <w:rPr>
                          <w:sz w:val="24"/>
                          <w:szCs w:val="24"/>
                        </w:rPr>
                        <w:t>4. Координація Державним перинатальним центром всіх перинатальних служб.</w:t>
                      </w:r>
                    </w:p>
                    <w:p w:rsidR="00682872" w:rsidRPr="00885DD3" w:rsidRDefault="00682872" w:rsidP="00474299">
                      <w:pPr>
                        <w:spacing w:line="210" w:lineRule="exact"/>
                        <w:rPr>
                          <w:sz w:val="24"/>
                          <w:szCs w:val="24"/>
                        </w:rPr>
                      </w:pPr>
                      <w:r w:rsidRPr="00885DD3">
                        <w:rPr>
                          <w:sz w:val="24"/>
                          <w:szCs w:val="24"/>
                        </w:rPr>
                        <w:t>5. Застосування передових сучасних технологій щодо надання медичної допомоги дітям (принципів надання послуг). Проведення телемедичного консультування.</w:t>
                      </w:r>
                    </w:p>
                    <w:p w:rsidR="00682872" w:rsidRPr="00885DD3" w:rsidRDefault="00682872" w:rsidP="00474299">
                      <w:pPr>
                        <w:spacing w:line="210" w:lineRule="exact"/>
                        <w:rPr>
                          <w:sz w:val="24"/>
                          <w:szCs w:val="24"/>
                        </w:rPr>
                      </w:pPr>
                      <w:r w:rsidRPr="00885DD3">
                        <w:rPr>
                          <w:sz w:val="24"/>
                          <w:szCs w:val="24"/>
                        </w:rPr>
                        <w:t>6. Дотримання санітарно-гігієнічних стандартів в місцях перебування дитини</w:t>
                      </w:r>
                      <w:r w:rsidRPr="00885DD3">
                        <w:rPr>
                          <w:sz w:val="24"/>
                          <w:szCs w:val="24"/>
                          <w:lang w:val="ru-RU"/>
                        </w:rPr>
                        <w:t xml:space="preserve"> (</w:t>
                      </w:r>
                      <w:r w:rsidRPr="00885DD3">
                        <w:rPr>
                          <w:sz w:val="24"/>
                          <w:szCs w:val="24"/>
                        </w:rPr>
                        <w:t xml:space="preserve">ЗОЗ, дошкільних навчальних закладів,тощо), визначених нормативно-правовими актами МОЗ України (Накази щодо </w:t>
                      </w:r>
                      <w:r w:rsidRPr="00885DD3">
                        <w:rPr>
                          <w:bCs/>
                          <w:sz w:val="24"/>
                          <w:szCs w:val="24"/>
                        </w:rPr>
                        <w:t>Державних санітарних норм і правил до ЗОЗ, санітарного регламенту для дошкільних навчальних закладів, тощо).</w:t>
                      </w:r>
                    </w:p>
                    <w:p w:rsidR="00682872" w:rsidRPr="00885DD3" w:rsidRDefault="00682872" w:rsidP="00474299">
                      <w:pPr>
                        <w:spacing w:line="210" w:lineRule="exact"/>
                        <w:rPr>
                          <w:sz w:val="24"/>
                          <w:szCs w:val="24"/>
                        </w:rPr>
                      </w:pPr>
                      <w:r w:rsidRPr="00885DD3">
                        <w:rPr>
                          <w:sz w:val="24"/>
                          <w:szCs w:val="24"/>
                        </w:rPr>
                        <w:t>7. Здійснення психологічної та/або соціальної підтримки та/або допомоги матерям (сім’ям з дітьми) в кризових станах.</w:t>
                      </w:r>
                    </w:p>
                    <w:p w:rsidR="00682872" w:rsidRPr="00885DD3" w:rsidRDefault="00682872" w:rsidP="00474299">
                      <w:pPr>
                        <w:spacing w:line="210" w:lineRule="exact"/>
                        <w:rPr>
                          <w:sz w:val="24"/>
                          <w:szCs w:val="24"/>
                        </w:rPr>
                      </w:pPr>
                      <w:r w:rsidRPr="00885DD3">
                        <w:rPr>
                          <w:sz w:val="24"/>
                          <w:szCs w:val="24"/>
                        </w:rPr>
                        <w:t>8. Удосконалення та дотримання державних стандартів діагностики, лікування, реабілітації, паліативної допомоги дитячому населенню.</w:t>
                      </w:r>
                    </w:p>
                    <w:p w:rsidR="00682872" w:rsidRPr="00885DD3" w:rsidRDefault="00682872" w:rsidP="00474299">
                      <w:pPr>
                        <w:spacing w:line="210" w:lineRule="exact"/>
                        <w:rPr>
                          <w:sz w:val="24"/>
                          <w:szCs w:val="24"/>
                        </w:rPr>
                      </w:pPr>
                      <w:r w:rsidRPr="00885DD3">
                        <w:rPr>
                          <w:sz w:val="24"/>
                          <w:szCs w:val="24"/>
                        </w:rPr>
                        <w:t xml:space="preserve">9. Впровадження та використання гарантованого пакету медичних послуг дитячому населенню в рамках всебічного охоплення послугами охорони здоров’я, забезпечення наступності спостереження та медичної допомоги дитячому населенню, доступності, комплексності надання, безперервності. </w:t>
                      </w:r>
                    </w:p>
                    <w:p w:rsidR="00682872" w:rsidRPr="00885DD3" w:rsidRDefault="00682872" w:rsidP="00474299">
                      <w:pPr>
                        <w:spacing w:line="210" w:lineRule="exact"/>
                        <w:rPr>
                          <w:sz w:val="24"/>
                          <w:szCs w:val="24"/>
                        </w:rPr>
                      </w:pPr>
                      <w:r w:rsidRPr="00885DD3">
                        <w:rPr>
                          <w:sz w:val="24"/>
                          <w:szCs w:val="24"/>
                        </w:rPr>
                        <w:t>10. Дотримання прав пацієнта та етико-деонтологічних норм медико-профілактичної діяльності.</w:t>
                      </w:r>
                    </w:p>
                    <w:p w:rsidR="00682872" w:rsidRPr="00885DD3" w:rsidRDefault="00682872" w:rsidP="00474299">
                      <w:pPr>
                        <w:spacing w:line="210" w:lineRule="exact"/>
                        <w:rPr>
                          <w:sz w:val="24"/>
                          <w:szCs w:val="24"/>
                        </w:rPr>
                      </w:pPr>
                      <w:r w:rsidRPr="00885DD3">
                        <w:rPr>
                          <w:sz w:val="24"/>
                          <w:szCs w:val="24"/>
                        </w:rPr>
                        <w:t>11. Виконання законодавства України щодо охорони здоров’я матері та дитини.</w:t>
                      </w:r>
                    </w:p>
                    <w:p w:rsidR="00682872" w:rsidRPr="00885DD3" w:rsidRDefault="00682872" w:rsidP="00474299">
                      <w:pPr>
                        <w:spacing w:line="210" w:lineRule="exact"/>
                        <w:rPr>
                          <w:sz w:val="24"/>
                          <w:szCs w:val="24"/>
                        </w:rPr>
                      </w:pPr>
                      <w:r w:rsidRPr="00885DD3">
                        <w:rPr>
                          <w:sz w:val="24"/>
                          <w:szCs w:val="24"/>
                        </w:rPr>
                        <w:t>12. Розробка та впровадження нормативно-правових актів (удосконалення) щодо охорони дитинства та організаційно-методичне забезпечення тактики зниження дитячої смертності.</w:t>
                      </w:r>
                    </w:p>
                    <w:p w:rsidR="00682872" w:rsidRPr="00885DD3" w:rsidRDefault="00682872" w:rsidP="00474299">
                      <w:pPr>
                        <w:spacing w:line="210" w:lineRule="exact"/>
                        <w:rPr>
                          <w:sz w:val="24"/>
                          <w:szCs w:val="24"/>
                        </w:rPr>
                      </w:pPr>
                      <w:r w:rsidRPr="00885DD3">
                        <w:rPr>
                          <w:sz w:val="24"/>
                          <w:szCs w:val="24"/>
                        </w:rPr>
                        <w:t>13. Впровадження нового стандарту підготовки лікарів з питання попередження дитячої смертності, забезпечення безперервної освіти лікарів на післядипломному рівні, підготовка викладачів з блоку питань попередження дитячої смертності.</w:t>
                      </w:r>
                    </w:p>
                    <w:p w:rsidR="00682872" w:rsidRPr="00885DD3" w:rsidRDefault="00682872" w:rsidP="00474299">
                      <w:pPr>
                        <w:spacing w:line="210" w:lineRule="exact"/>
                        <w:rPr>
                          <w:sz w:val="24"/>
                          <w:szCs w:val="24"/>
                        </w:rPr>
                      </w:pPr>
                      <w:r w:rsidRPr="00885DD3">
                        <w:rPr>
                          <w:sz w:val="24"/>
                          <w:szCs w:val="24"/>
                        </w:rPr>
                        <w:t>14. Діяльність та контроль ЛЗП/СЛ за орієнтацією сімей на ЗСЖ, здоров’я дітей.</w:t>
                      </w:r>
                    </w:p>
                    <w:p w:rsidR="00682872" w:rsidRPr="00885DD3" w:rsidRDefault="00682872" w:rsidP="00474299">
                      <w:pPr>
                        <w:spacing w:line="210" w:lineRule="exact"/>
                        <w:rPr>
                          <w:sz w:val="24"/>
                          <w:szCs w:val="24"/>
                        </w:rPr>
                      </w:pPr>
                      <w:r w:rsidRPr="00885DD3">
                        <w:rPr>
                          <w:sz w:val="24"/>
                          <w:szCs w:val="24"/>
                        </w:rPr>
                        <w:t>15. Запровадження механізмів відповідальності обласних рад, об’єднаних громад за міжбюджетне фінансування ЗОЗ. Забезпечення пріоритетного фінансування материнства та дитинства в країні.</w:t>
                      </w:r>
                    </w:p>
                    <w:p w:rsidR="00682872" w:rsidRPr="00885DD3" w:rsidRDefault="00682872" w:rsidP="00474299">
                      <w:pPr>
                        <w:spacing w:line="210" w:lineRule="exact"/>
                        <w:rPr>
                          <w:sz w:val="24"/>
                          <w:szCs w:val="24"/>
                        </w:rPr>
                      </w:pPr>
                      <w:r w:rsidRPr="00885DD3">
                        <w:rPr>
                          <w:sz w:val="24"/>
                          <w:szCs w:val="24"/>
                        </w:rPr>
                        <w:t>16. Моніторинг та постійний аналіз усіх випадків смерті дітей з позиції їх відворотності з урахуванням регіональних особливостей. Відстеження процесу скорочення показників дитячої смертності.</w:t>
                      </w:r>
                    </w:p>
                    <w:p w:rsidR="00682872" w:rsidRPr="00885DD3" w:rsidRDefault="00682872" w:rsidP="00474299">
                      <w:pPr>
                        <w:spacing w:line="210" w:lineRule="exact"/>
                        <w:rPr>
                          <w:sz w:val="24"/>
                          <w:szCs w:val="24"/>
                        </w:rPr>
                      </w:pPr>
                      <w:r w:rsidRPr="00885DD3">
                        <w:rPr>
                          <w:sz w:val="24"/>
                          <w:szCs w:val="24"/>
                        </w:rPr>
                        <w:t xml:space="preserve">17. Моніторинг за якістю надання медичної допомоги за стандартними індикаторами. </w:t>
                      </w:r>
                    </w:p>
                    <w:p w:rsidR="00682872" w:rsidRPr="00885DD3" w:rsidRDefault="00682872" w:rsidP="00474299">
                      <w:pPr>
                        <w:spacing w:line="210" w:lineRule="exact"/>
                        <w:rPr>
                          <w:sz w:val="24"/>
                          <w:szCs w:val="24"/>
                        </w:rPr>
                      </w:pPr>
                      <w:r w:rsidRPr="00885DD3">
                        <w:rPr>
                          <w:sz w:val="24"/>
                          <w:szCs w:val="24"/>
                        </w:rPr>
                        <w:t xml:space="preserve">18. Моніторинг і оцінка перинатальної допомоги. Комплексна оцінка діяльності закладів перинатальної допомоги. </w:t>
                      </w:r>
                    </w:p>
                    <w:p w:rsidR="00682872" w:rsidRPr="00885DD3" w:rsidRDefault="00682872" w:rsidP="00474299">
                      <w:pPr>
                        <w:spacing w:line="210" w:lineRule="exact"/>
                        <w:rPr>
                          <w:sz w:val="24"/>
                          <w:szCs w:val="24"/>
                        </w:rPr>
                      </w:pPr>
                      <w:r w:rsidRPr="00885DD3">
                        <w:rPr>
                          <w:sz w:val="24"/>
                          <w:szCs w:val="24"/>
                        </w:rPr>
                        <w:t>19. Приведення у відповідність та впровадження нормативів складності та напруженості медичних працівників, що надають допомогу дітям.</w:t>
                      </w:r>
                    </w:p>
                    <w:p w:rsidR="00682872" w:rsidRPr="00885DD3" w:rsidRDefault="00682872" w:rsidP="00474299">
                      <w:pPr>
                        <w:spacing w:line="210" w:lineRule="exact"/>
                        <w:rPr>
                          <w:sz w:val="24"/>
                          <w:szCs w:val="24"/>
                        </w:rPr>
                      </w:pPr>
                      <w:r w:rsidRPr="00885DD3">
                        <w:rPr>
                          <w:sz w:val="24"/>
                          <w:szCs w:val="24"/>
                        </w:rPr>
                        <w:t>20. Впровадження Єдиної державної медичної інформаційної системи педіатричної допомоги, включно реєстр новонароджених, що народились передчасно та/або хворими.</w:t>
                      </w:r>
                    </w:p>
                    <w:p w:rsidR="00682872" w:rsidRPr="00885DD3" w:rsidRDefault="00682872" w:rsidP="00474299">
                      <w:pPr>
                        <w:spacing w:line="210" w:lineRule="exact"/>
                        <w:rPr>
                          <w:sz w:val="24"/>
                          <w:szCs w:val="24"/>
                        </w:rPr>
                      </w:pPr>
                      <w:r w:rsidRPr="00885DD3">
                        <w:rPr>
                          <w:sz w:val="24"/>
                          <w:szCs w:val="24"/>
                        </w:rPr>
                        <w:t>21. Розширення скринінгу на вроджені вади розвитку, орфанні хвороби, тощо.</w:t>
                      </w:r>
                    </w:p>
                    <w:p w:rsidR="00682872" w:rsidRPr="006657D6" w:rsidRDefault="00682872" w:rsidP="00474299">
                      <w:pPr>
                        <w:spacing w:line="210" w:lineRule="exact"/>
                      </w:pPr>
                      <w:r w:rsidRPr="00885DD3">
                        <w:rPr>
                          <w:sz w:val="24"/>
                          <w:szCs w:val="24"/>
                        </w:rPr>
                        <w:t>22. </w:t>
                      </w:r>
                      <w:r w:rsidRPr="00885DD3">
                        <w:rPr>
                          <w:sz w:val="24"/>
                          <w:szCs w:val="24"/>
                        </w:rPr>
                        <w:t>Впровадження пересувних дитячих</w:t>
                      </w:r>
                      <w:r w:rsidRPr="006657D6">
                        <w:t xml:space="preserve"> </w:t>
                      </w:r>
                      <w:r w:rsidRPr="00874984">
                        <w:rPr>
                          <w:sz w:val="24"/>
                          <w:szCs w:val="24"/>
                        </w:rPr>
                        <w:t>поліклінік і консультативних бригад.</w:t>
                      </w:r>
                    </w:p>
                    <w:p w:rsidR="00682872" w:rsidRPr="00885DD3" w:rsidRDefault="00682872" w:rsidP="00474299">
                      <w:pPr>
                        <w:spacing w:line="210" w:lineRule="exact"/>
                        <w:rPr>
                          <w:sz w:val="24"/>
                          <w:szCs w:val="24"/>
                        </w:rPr>
                      </w:pPr>
                      <w:r w:rsidRPr="00885DD3">
                        <w:rPr>
                          <w:sz w:val="24"/>
                          <w:szCs w:val="24"/>
                        </w:rPr>
                        <w:t>23. Створення мережі денних дитячих стаціонарів.</w:t>
                      </w:r>
                    </w:p>
                    <w:p w:rsidR="00682872" w:rsidRPr="00885DD3" w:rsidRDefault="00682872" w:rsidP="00474299">
                      <w:pPr>
                        <w:spacing w:line="210" w:lineRule="exact"/>
                        <w:rPr>
                          <w:sz w:val="24"/>
                          <w:szCs w:val="24"/>
                        </w:rPr>
                      </w:pPr>
                      <w:r w:rsidRPr="00885DD3">
                        <w:rPr>
                          <w:sz w:val="24"/>
                          <w:szCs w:val="24"/>
                        </w:rPr>
                        <w:t>24. Забезпечення продовження регіоналізації перинатальної допомоги. Завершення створення ПЦ ІІ та ІІІ рівнів.</w:t>
                      </w:r>
                    </w:p>
                    <w:p w:rsidR="00682872" w:rsidRPr="00885DD3" w:rsidRDefault="00682872" w:rsidP="00474299">
                      <w:pPr>
                        <w:spacing w:line="210" w:lineRule="exact"/>
                        <w:rPr>
                          <w:sz w:val="24"/>
                          <w:szCs w:val="24"/>
                        </w:rPr>
                      </w:pPr>
                      <w:r w:rsidRPr="00885DD3">
                        <w:rPr>
                          <w:sz w:val="24"/>
                          <w:szCs w:val="24"/>
                        </w:rPr>
                        <w:t>25. Впровадження системи</w:t>
                      </w:r>
                      <w:bookmarkStart w:id="3" w:name="_GoBack"/>
                      <w:bookmarkEnd w:id="3"/>
                      <w:r w:rsidRPr="00885DD3">
                        <w:rPr>
                          <w:sz w:val="24"/>
                          <w:szCs w:val="24"/>
                        </w:rPr>
                        <w:t xml:space="preserve"> катамнестичного спостереження, медичної реа</w:t>
                      </w:r>
                      <w:r w:rsidR="00272702">
                        <w:rPr>
                          <w:sz w:val="24"/>
                          <w:szCs w:val="24"/>
                        </w:rPr>
                        <w:t xml:space="preserve">білітації та </w:t>
                      </w:r>
                      <w:r w:rsidR="00F74D0E">
                        <w:rPr>
                          <w:sz w:val="24"/>
                          <w:szCs w:val="24"/>
                        </w:rPr>
                        <w:t xml:space="preserve"> раннього втручання</w:t>
                      </w:r>
                      <w:r w:rsidR="00272702">
                        <w:rPr>
                          <w:sz w:val="24"/>
                          <w:szCs w:val="24"/>
                        </w:rPr>
                        <w:t>.</w:t>
                      </w:r>
                    </w:p>
                    <w:p w:rsidR="00682872" w:rsidRPr="00885DD3" w:rsidRDefault="00682872" w:rsidP="00474299">
                      <w:pPr>
                        <w:spacing w:line="210" w:lineRule="exact"/>
                        <w:rPr>
                          <w:sz w:val="24"/>
                          <w:szCs w:val="24"/>
                        </w:rPr>
                      </w:pPr>
                      <w:r w:rsidRPr="00885DD3">
                        <w:rPr>
                          <w:sz w:val="24"/>
                          <w:szCs w:val="24"/>
                        </w:rPr>
                        <w:t>26. Впровадження комплексної інтеграції послуг, комплексного ведення дитячого населення.</w:t>
                      </w:r>
                    </w:p>
                    <w:p w:rsidR="00682872" w:rsidRPr="00885DD3" w:rsidRDefault="00682872" w:rsidP="00474299">
                      <w:pPr>
                        <w:spacing w:line="210" w:lineRule="exact"/>
                        <w:rPr>
                          <w:sz w:val="24"/>
                          <w:szCs w:val="24"/>
                          <w:lang w:val="ru-RU"/>
                        </w:rPr>
                      </w:pPr>
                      <w:r w:rsidRPr="00885DD3">
                        <w:rPr>
                          <w:sz w:val="24"/>
                          <w:szCs w:val="24"/>
                        </w:rPr>
                        <w:t>27. Дотримання заходів з охорони репродуктивного здоров’я на підприємствах.</w:t>
                      </w:r>
                    </w:p>
                  </w:txbxContent>
                </v:textbox>
              </v:rect>
            </w:pict>
          </mc:Fallback>
        </mc:AlternateContent>
      </w:r>
    </w:p>
    <w:p w:rsidR="00474299" w:rsidRPr="00474299" w:rsidRDefault="00474299" w:rsidP="00474299">
      <w:pPr>
        <w:tabs>
          <w:tab w:val="left" w:pos="1252"/>
        </w:tabs>
        <w:spacing w:line="240" w:lineRule="auto"/>
        <w:jc w:val="left"/>
        <w:rPr>
          <w:rFonts w:eastAsia="Times New Roman"/>
          <w:szCs w:val="28"/>
          <w:lang w:eastAsia="uk-UA"/>
        </w:rPr>
      </w:pPr>
      <w:r w:rsidRPr="00474299">
        <w:rPr>
          <w:rFonts w:eastAsia="Times New Roman"/>
          <w:szCs w:val="28"/>
          <w:lang w:eastAsia="uk-UA"/>
        </w:rPr>
        <w:tab/>
      </w:r>
    </w:p>
    <w:p w:rsidR="00474299" w:rsidRPr="00474299" w:rsidRDefault="00474299" w:rsidP="00474299">
      <w:pPr>
        <w:tabs>
          <w:tab w:val="left" w:pos="1252"/>
        </w:tabs>
        <w:spacing w:line="240" w:lineRule="auto"/>
        <w:jc w:val="left"/>
        <w:rPr>
          <w:rFonts w:eastAsia="Times New Roman"/>
          <w:szCs w:val="28"/>
          <w:lang w:eastAsia="uk-UA"/>
        </w:rPr>
      </w:pPr>
      <w:r w:rsidRPr="00474299">
        <w:rPr>
          <w:rFonts w:eastAsia="Times New Roman"/>
          <w:szCs w:val="28"/>
          <w:lang w:eastAsia="uk-UA"/>
        </w:rPr>
        <w:tab/>
      </w:r>
    </w:p>
    <w:p w:rsidR="00474299" w:rsidRPr="00474299" w:rsidRDefault="00474299" w:rsidP="00474299">
      <w:pPr>
        <w:spacing w:line="240" w:lineRule="auto"/>
        <w:jc w:val="left"/>
        <w:rPr>
          <w:rFonts w:eastAsia="Times New Roman"/>
          <w:szCs w:val="28"/>
          <w:lang w:eastAsia="uk-UA"/>
        </w:rPr>
      </w:pPr>
    </w:p>
    <w:p w:rsidR="00474299" w:rsidRPr="00474299" w:rsidRDefault="00474299" w:rsidP="00474299">
      <w:pPr>
        <w:spacing w:line="240" w:lineRule="auto"/>
        <w:jc w:val="left"/>
        <w:rPr>
          <w:rFonts w:eastAsia="Times New Roman"/>
          <w:szCs w:val="28"/>
          <w:lang w:eastAsia="uk-UA"/>
        </w:rPr>
      </w:pPr>
    </w:p>
    <w:p w:rsidR="00474299" w:rsidRPr="00474299" w:rsidRDefault="00474299" w:rsidP="00474299">
      <w:pPr>
        <w:spacing w:line="240" w:lineRule="auto"/>
        <w:jc w:val="left"/>
        <w:rPr>
          <w:rFonts w:eastAsia="Times New Roman"/>
          <w:szCs w:val="28"/>
          <w:lang w:eastAsia="uk-UA"/>
        </w:rPr>
      </w:pPr>
    </w:p>
    <w:p w:rsidR="00474299" w:rsidRPr="00474299" w:rsidRDefault="00474299" w:rsidP="00474299">
      <w:pPr>
        <w:spacing w:line="240" w:lineRule="auto"/>
        <w:jc w:val="left"/>
        <w:rPr>
          <w:rFonts w:eastAsia="Times New Roman"/>
          <w:szCs w:val="28"/>
          <w:lang w:eastAsia="uk-UA"/>
        </w:rPr>
      </w:pPr>
    </w:p>
    <w:p w:rsidR="00474299" w:rsidRPr="00474299" w:rsidRDefault="00474299" w:rsidP="00474299">
      <w:pPr>
        <w:spacing w:line="240" w:lineRule="auto"/>
        <w:jc w:val="left"/>
        <w:rPr>
          <w:rFonts w:eastAsia="Times New Roman"/>
          <w:szCs w:val="28"/>
          <w:lang w:eastAsia="uk-UA"/>
        </w:rPr>
      </w:pPr>
    </w:p>
    <w:p w:rsidR="00474299" w:rsidRPr="00474299" w:rsidRDefault="00474299" w:rsidP="00474299">
      <w:pPr>
        <w:spacing w:line="240" w:lineRule="auto"/>
        <w:jc w:val="left"/>
        <w:rPr>
          <w:rFonts w:eastAsia="Times New Roman"/>
          <w:szCs w:val="28"/>
          <w:lang w:eastAsia="uk-UA"/>
        </w:rPr>
      </w:pPr>
    </w:p>
    <w:p w:rsidR="00474299" w:rsidRPr="00474299" w:rsidRDefault="00474299" w:rsidP="00474299">
      <w:pPr>
        <w:spacing w:line="240" w:lineRule="auto"/>
        <w:jc w:val="left"/>
        <w:rPr>
          <w:rFonts w:eastAsia="Times New Roman"/>
          <w:szCs w:val="28"/>
          <w:lang w:eastAsia="uk-UA"/>
        </w:rPr>
      </w:pPr>
    </w:p>
    <w:p w:rsidR="00474299" w:rsidRPr="00474299" w:rsidRDefault="00474299" w:rsidP="00474299">
      <w:pPr>
        <w:spacing w:line="240" w:lineRule="auto"/>
        <w:jc w:val="left"/>
        <w:rPr>
          <w:rFonts w:eastAsia="Times New Roman"/>
          <w:szCs w:val="28"/>
          <w:lang w:eastAsia="uk-UA"/>
        </w:rPr>
      </w:pPr>
    </w:p>
    <w:p w:rsidR="00474299" w:rsidRPr="00474299" w:rsidRDefault="00474299" w:rsidP="00474299">
      <w:pPr>
        <w:spacing w:line="240" w:lineRule="auto"/>
        <w:jc w:val="left"/>
        <w:rPr>
          <w:rFonts w:eastAsia="Times New Roman"/>
          <w:szCs w:val="28"/>
          <w:lang w:eastAsia="uk-UA"/>
        </w:rPr>
      </w:pPr>
    </w:p>
    <w:p w:rsidR="00474299" w:rsidRPr="00474299" w:rsidRDefault="00474299" w:rsidP="00474299">
      <w:pPr>
        <w:spacing w:line="240" w:lineRule="auto"/>
        <w:jc w:val="left"/>
        <w:rPr>
          <w:rFonts w:eastAsia="Times New Roman"/>
          <w:szCs w:val="28"/>
          <w:lang w:eastAsia="uk-UA"/>
        </w:rPr>
      </w:pPr>
    </w:p>
    <w:p w:rsidR="00474299" w:rsidRPr="00474299" w:rsidRDefault="00474299" w:rsidP="00474299">
      <w:pPr>
        <w:spacing w:line="240" w:lineRule="auto"/>
        <w:jc w:val="left"/>
        <w:rPr>
          <w:rFonts w:eastAsia="Times New Roman"/>
          <w:szCs w:val="28"/>
          <w:lang w:eastAsia="uk-UA"/>
        </w:rPr>
      </w:pPr>
    </w:p>
    <w:p w:rsidR="00474299" w:rsidRPr="00474299" w:rsidRDefault="00474299" w:rsidP="00474299">
      <w:pPr>
        <w:spacing w:line="240" w:lineRule="auto"/>
        <w:jc w:val="left"/>
        <w:rPr>
          <w:rFonts w:eastAsia="Times New Roman"/>
          <w:szCs w:val="28"/>
          <w:lang w:eastAsia="uk-UA"/>
        </w:rPr>
      </w:pPr>
    </w:p>
    <w:p w:rsidR="00474299" w:rsidRPr="00474299" w:rsidRDefault="00474299" w:rsidP="00474299">
      <w:pPr>
        <w:spacing w:line="240" w:lineRule="auto"/>
        <w:jc w:val="left"/>
        <w:rPr>
          <w:rFonts w:eastAsia="Times New Roman"/>
          <w:szCs w:val="28"/>
          <w:lang w:eastAsia="uk-UA"/>
        </w:rPr>
      </w:pPr>
    </w:p>
    <w:p w:rsidR="00474299" w:rsidRPr="00474299" w:rsidRDefault="00474299" w:rsidP="00474299">
      <w:pPr>
        <w:spacing w:line="240" w:lineRule="auto"/>
        <w:jc w:val="left"/>
        <w:rPr>
          <w:rFonts w:eastAsia="Times New Roman"/>
          <w:szCs w:val="28"/>
          <w:lang w:eastAsia="uk-UA"/>
        </w:rPr>
      </w:pPr>
    </w:p>
    <w:p w:rsidR="00474299" w:rsidRPr="00474299" w:rsidRDefault="00474299" w:rsidP="00474299">
      <w:pPr>
        <w:spacing w:line="240" w:lineRule="auto"/>
        <w:jc w:val="left"/>
        <w:rPr>
          <w:rFonts w:eastAsia="Times New Roman"/>
          <w:szCs w:val="28"/>
          <w:lang w:eastAsia="uk-UA"/>
        </w:rPr>
      </w:pPr>
    </w:p>
    <w:p w:rsidR="00474299" w:rsidRPr="00474299" w:rsidRDefault="00474299" w:rsidP="00474299">
      <w:pPr>
        <w:spacing w:line="240" w:lineRule="auto"/>
        <w:jc w:val="left"/>
        <w:rPr>
          <w:rFonts w:eastAsia="Times New Roman"/>
          <w:szCs w:val="28"/>
          <w:lang w:eastAsia="uk-UA"/>
        </w:rPr>
      </w:pPr>
    </w:p>
    <w:p w:rsidR="00474299" w:rsidRPr="00474299" w:rsidRDefault="00474299" w:rsidP="00474299">
      <w:pPr>
        <w:spacing w:line="240" w:lineRule="auto"/>
        <w:jc w:val="left"/>
        <w:rPr>
          <w:rFonts w:eastAsia="Times New Roman"/>
          <w:szCs w:val="28"/>
          <w:lang w:eastAsia="uk-UA"/>
        </w:rPr>
      </w:pPr>
    </w:p>
    <w:p w:rsidR="00474299" w:rsidRPr="00474299" w:rsidRDefault="00474299" w:rsidP="00474299">
      <w:pPr>
        <w:spacing w:line="240" w:lineRule="auto"/>
        <w:jc w:val="left"/>
        <w:rPr>
          <w:rFonts w:eastAsia="Times New Roman"/>
          <w:szCs w:val="28"/>
          <w:lang w:eastAsia="uk-UA"/>
        </w:rPr>
      </w:pPr>
    </w:p>
    <w:p w:rsidR="00474299" w:rsidRPr="00474299" w:rsidRDefault="00474299" w:rsidP="00474299">
      <w:pPr>
        <w:spacing w:line="240" w:lineRule="auto"/>
        <w:jc w:val="left"/>
        <w:rPr>
          <w:rFonts w:eastAsia="Times New Roman"/>
          <w:szCs w:val="28"/>
          <w:lang w:eastAsia="uk-UA"/>
        </w:rPr>
      </w:pPr>
    </w:p>
    <w:p w:rsidR="00474299" w:rsidRPr="00474299" w:rsidRDefault="00474299" w:rsidP="00474299">
      <w:pPr>
        <w:spacing w:line="240" w:lineRule="auto"/>
        <w:jc w:val="left"/>
        <w:rPr>
          <w:rFonts w:eastAsia="Times New Roman"/>
          <w:szCs w:val="28"/>
          <w:lang w:eastAsia="uk-UA"/>
        </w:rPr>
      </w:pPr>
    </w:p>
    <w:p w:rsidR="00474299" w:rsidRPr="00474299" w:rsidRDefault="00474299" w:rsidP="00474299">
      <w:pPr>
        <w:spacing w:line="240" w:lineRule="auto"/>
        <w:jc w:val="left"/>
        <w:rPr>
          <w:rFonts w:eastAsia="Times New Roman"/>
          <w:szCs w:val="28"/>
          <w:lang w:eastAsia="uk-UA"/>
        </w:rPr>
      </w:pPr>
    </w:p>
    <w:p w:rsidR="00474299" w:rsidRPr="00474299" w:rsidRDefault="00474299" w:rsidP="00474299">
      <w:pPr>
        <w:spacing w:line="240" w:lineRule="auto"/>
        <w:jc w:val="left"/>
        <w:rPr>
          <w:rFonts w:eastAsia="Times New Roman"/>
          <w:szCs w:val="28"/>
          <w:lang w:eastAsia="uk-UA"/>
        </w:rPr>
      </w:pPr>
    </w:p>
    <w:p w:rsidR="00474299" w:rsidRPr="00474299" w:rsidRDefault="00474299" w:rsidP="00474299">
      <w:pPr>
        <w:spacing w:line="240" w:lineRule="auto"/>
        <w:jc w:val="left"/>
        <w:rPr>
          <w:rFonts w:eastAsia="Times New Roman"/>
          <w:szCs w:val="28"/>
          <w:lang w:eastAsia="uk-UA"/>
        </w:rPr>
      </w:pPr>
    </w:p>
    <w:p w:rsidR="00474299" w:rsidRPr="00474299" w:rsidRDefault="00474299" w:rsidP="00474299">
      <w:pPr>
        <w:spacing w:line="240" w:lineRule="auto"/>
        <w:jc w:val="left"/>
        <w:rPr>
          <w:rFonts w:eastAsia="Times New Roman"/>
          <w:szCs w:val="28"/>
          <w:lang w:eastAsia="uk-UA"/>
        </w:rPr>
      </w:pPr>
    </w:p>
    <w:p w:rsidR="00474299" w:rsidRPr="00474299" w:rsidRDefault="00474299" w:rsidP="00474299">
      <w:pPr>
        <w:spacing w:line="240" w:lineRule="auto"/>
        <w:jc w:val="left"/>
        <w:rPr>
          <w:rFonts w:eastAsia="Times New Roman"/>
          <w:szCs w:val="28"/>
          <w:lang w:eastAsia="uk-UA"/>
        </w:rPr>
      </w:pPr>
    </w:p>
    <w:p w:rsidR="00474299" w:rsidRPr="00474299" w:rsidRDefault="00474299" w:rsidP="00474299">
      <w:pPr>
        <w:spacing w:line="240" w:lineRule="auto"/>
        <w:jc w:val="left"/>
        <w:rPr>
          <w:rFonts w:eastAsia="Times New Roman"/>
          <w:szCs w:val="28"/>
          <w:lang w:eastAsia="uk-UA"/>
        </w:rPr>
      </w:pPr>
    </w:p>
    <w:p w:rsidR="00474299" w:rsidRPr="00474299" w:rsidRDefault="00474299" w:rsidP="00474299">
      <w:pPr>
        <w:spacing w:line="240" w:lineRule="auto"/>
        <w:jc w:val="left"/>
        <w:rPr>
          <w:rFonts w:eastAsia="Times New Roman"/>
          <w:szCs w:val="28"/>
          <w:lang w:eastAsia="uk-UA"/>
        </w:rPr>
      </w:pPr>
    </w:p>
    <w:p w:rsidR="00474299" w:rsidRPr="00474299" w:rsidRDefault="00474299" w:rsidP="00474299">
      <w:pPr>
        <w:spacing w:line="240" w:lineRule="auto"/>
        <w:jc w:val="left"/>
        <w:rPr>
          <w:rFonts w:eastAsia="Times New Roman"/>
          <w:szCs w:val="28"/>
          <w:lang w:eastAsia="uk-UA"/>
        </w:rPr>
      </w:pPr>
    </w:p>
    <w:p w:rsidR="00474299" w:rsidRPr="00474299" w:rsidRDefault="00474299" w:rsidP="00474299">
      <w:pPr>
        <w:spacing w:line="240" w:lineRule="auto"/>
        <w:jc w:val="left"/>
        <w:rPr>
          <w:rFonts w:eastAsia="Times New Roman"/>
          <w:szCs w:val="28"/>
          <w:lang w:eastAsia="uk-UA"/>
        </w:rPr>
      </w:pPr>
    </w:p>
    <w:p w:rsidR="00474299" w:rsidRPr="00474299" w:rsidRDefault="00474299" w:rsidP="00474299">
      <w:pPr>
        <w:spacing w:line="240" w:lineRule="auto"/>
        <w:jc w:val="left"/>
        <w:rPr>
          <w:rFonts w:eastAsia="Times New Roman"/>
          <w:szCs w:val="28"/>
          <w:lang w:eastAsia="uk-UA"/>
        </w:rPr>
      </w:pPr>
    </w:p>
    <w:p w:rsidR="00474299" w:rsidRPr="00474299" w:rsidRDefault="00474299" w:rsidP="00474299">
      <w:pPr>
        <w:spacing w:line="240" w:lineRule="auto"/>
        <w:jc w:val="left"/>
        <w:rPr>
          <w:rFonts w:eastAsia="Times New Roman"/>
          <w:szCs w:val="28"/>
          <w:lang w:eastAsia="uk-UA"/>
        </w:rPr>
      </w:pPr>
    </w:p>
    <w:p w:rsidR="00474299" w:rsidRPr="00474299" w:rsidRDefault="00474299" w:rsidP="00474299">
      <w:pPr>
        <w:spacing w:line="240" w:lineRule="auto"/>
        <w:jc w:val="left"/>
        <w:rPr>
          <w:rFonts w:eastAsia="Times New Roman"/>
          <w:szCs w:val="28"/>
          <w:lang w:eastAsia="uk-UA"/>
        </w:rPr>
      </w:pPr>
    </w:p>
    <w:p w:rsidR="00474299" w:rsidRPr="00474299" w:rsidRDefault="00474299" w:rsidP="00474299">
      <w:pPr>
        <w:spacing w:line="240" w:lineRule="auto"/>
        <w:jc w:val="left"/>
        <w:rPr>
          <w:rFonts w:eastAsia="Times New Roman"/>
          <w:szCs w:val="28"/>
          <w:lang w:eastAsia="uk-UA"/>
        </w:rPr>
      </w:pPr>
    </w:p>
    <w:p w:rsidR="00474299" w:rsidRPr="00474299" w:rsidRDefault="00474299" w:rsidP="00474299">
      <w:pPr>
        <w:spacing w:line="240" w:lineRule="auto"/>
        <w:jc w:val="left"/>
        <w:rPr>
          <w:rFonts w:eastAsia="Times New Roman"/>
          <w:szCs w:val="28"/>
          <w:lang w:eastAsia="uk-UA"/>
        </w:rPr>
      </w:pPr>
      <w:r w:rsidRPr="00474299">
        <w:rPr>
          <w:rFonts w:eastAsia="Times New Roman"/>
          <w:noProof/>
          <w:sz w:val="24"/>
          <w:szCs w:val="24"/>
          <w:lang w:val="ru-RU" w:eastAsia="ru-RU"/>
        </w:rPr>
        <mc:AlternateContent>
          <mc:Choice Requires="wps">
            <w:drawing>
              <wp:anchor distT="0" distB="0" distL="114300" distR="114300" simplePos="0" relativeHeight="252036096" behindDoc="0" locked="0" layoutInCell="1" allowOverlap="1" wp14:anchorId="4D0DDF41" wp14:editId="283AB055">
                <wp:simplePos x="0" y="0"/>
                <wp:positionH relativeFrom="column">
                  <wp:posOffset>3236043</wp:posOffset>
                </wp:positionH>
                <wp:positionV relativeFrom="paragraph">
                  <wp:posOffset>16179</wp:posOffset>
                </wp:positionV>
                <wp:extent cx="160020" cy="135255"/>
                <wp:effectExtent l="19050" t="0" r="11430" b="36195"/>
                <wp:wrapNone/>
                <wp:docPr id="1118" name="Стрелка вниз 1118"/>
                <wp:cNvGraphicFramePr/>
                <a:graphic xmlns:a="http://schemas.openxmlformats.org/drawingml/2006/main">
                  <a:graphicData uri="http://schemas.microsoft.com/office/word/2010/wordprocessingShape">
                    <wps:wsp>
                      <wps:cNvSpPr/>
                      <wps:spPr>
                        <a:xfrm>
                          <a:off x="0" y="0"/>
                          <a:ext cx="160020" cy="135255"/>
                        </a:xfrm>
                        <a:prstGeom prst="downArrow">
                          <a:avLst/>
                        </a:prstGeom>
                        <a:solidFill>
                          <a:sysClr val="window" lastClr="FFFFFF"/>
                        </a:solidFill>
                        <a:ln w="15875" cap="flat" cmpd="sng" algn="ctr">
                          <a:solidFill>
                            <a:sysClr val="windowText" lastClr="000000"/>
                          </a:solidFill>
                          <a:prstDash val="solid"/>
                        </a:ln>
                        <a:effectLst/>
                      </wps:spPr>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w:pict>
              <v:shape id="Стрелка вниз 1118" o:spid="_x0000_s1026" type="#_x0000_t67" style="position:absolute;margin-left:254.8pt;margin-top:1.25pt;width:12.6pt;height:10.65pt;z-index:2520360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" adj="10800" fillcolor="window" strokecolor="windowText" strokeweight="1.25pt">
                <v:textbox inset="0,0,0,0"/>
              </v:shape>
            </w:pict>
          </mc:Fallback>
        </mc:AlternateContent>
      </w:r>
      <w:r w:rsidRPr="00474299">
        <w:rPr>
          <w:rFonts w:eastAsia="Times New Roman"/>
          <w:noProof/>
          <w:szCs w:val="28"/>
          <w:lang w:val="ru-RU" w:eastAsia="ru-RU"/>
        </w:rPr>
        <mc:AlternateContent>
          <mc:Choice Requires="wps">
            <w:drawing>
              <wp:anchor distT="0" distB="0" distL="114300" distR="114300" simplePos="0" relativeHeight="252033024" behindDoc="0" locked="0" layoutInCell="1" allowOverlap="1" wp14:anchorId="6E8B800C" wp14:editId="78BC3E06">
                <wp:simplePos x="0" y="0"/>
                <wp:positionH relativeFrom="column">
                  <wp:posOffset>-27305</wp:posOffset>
                </wp:positionH>
                <wp:positionV relativeFrom="paragraph">
                  <wp:posOffset>124460</wp:posOffset>
                </wp:positionV>
                <wp:extent cx="6535420" cy="277495"/>
                <wp:effectExtent l="0" t="0" r="55880" b="65405"/>
                <wp:wrapNone/>
                <wp:docPr id="1119" name="Прямоугольник 11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35420" cy="277495"/>
                        </a:xfrm>
                        <a:prstGeom prst="rect">
                          <a:avLst/>
                        </a:prstGeom>
                        <a:gradFill rotWithShape="1">
                          <a:gsLst>
                            <a:gs pos="0">
                              <a:srgbClr val="C0C0C0"/>
                            </a:gs>
                            <a:gs pos="50000">
                              <a:srgbClr val="FBFBFB"/>
                            </a:gs>
                            <a:gs pos="100000">
                              <a:srgbClr val="C0C0C0"/>
                            </a:gs>
                          </a:gsLst>
                          <a:lin ang="5400000" scaled="1"/>
                        </a:gradFill>
                        <a:ln w="25400">
                          <a:solidFill>
                            <a:srgbClr val="000000"/>
                          </a:solidFill>
                          <a:miter lim="800000"/>
                          <a:headEnd/>
                          <a:tailEnd/>
                        </a:ln>
                        <a:effectLst>
                          <a:outerShdw dist="53882" dir="2700000" algn="ctr" rotWithShape="0">
                            <a:srgbClr val="808080"/>
                          </a:outerShdw>
                        </a:effectLst>
                      </wps:spPr>
                      <wps:txbx>
                        <w:txbxContent>
                          <w:p w:rsidR="001E1DF5" w:rsidRPr="00385ADD" w:rsidRDefault="001E1DF5" w:rsidP="00474299">
                            <w:pPr>
                              <w:jc w:val="center"/>
                              <w:rPr>
                                <w:b/>
                              </w:rPr>
                            </w:pPr>
                            <w:r>
                              <w:rPr>
                                <w:b/>
                              </w:rPr>
                              <w:t>Р Е З У Л Ь Т А Т</w:t>
                            </w:r>
                          </w:p>
                          <w:p w:rsidR="001E1DF5" w:rsidRPr="00737D09" w:rsidRDefault="001E1DF5" w:rsidP="00474299">
                            <w:pPr>
                              <w:jc w:val="center"/>
                              <w:rPr>
                                <w:b/>
                              </w:rPr>
                            </w:pPr>
                          </w:p>
                        </w:txbxContent>
                      </wps:txbx>
                      <wps:bodyPr rot="0" vert="horz" wrap="square" lIns="0" tIns="3600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119" o:spid="_x0000_s1178" style="position:absolute;margin-left:-2.15pt;margin-top:9.8pt;width:514.6pt;height:21.85pt;z-index:252033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" fillcolor="silver" strokeweight="2pt">
                <v:fill color2="#fbfbfb" rotate="t" focus="50%" type="gradient"/>
                <v:shadow on="t" offset="3pt,3pt"/>
                <v:textbox inset="0,1mm,0,0">
                  <w:txbxContent>
                    <w:p w:rsidR="0057431A" w:rsidRPr="00385ADD" w:rsidRDefault="0057431A" w:rsidP="00474299">
                      <w:pPr>
                        <w:jc w:val="center"/>
                        <w:rPr>
                          <w:b/>
                        </w:rPr>
                      </w:pPr>
                      <w:r>
                        <w:rPr>
                          <w:b/>
                        </w:rPr>
                        <w:t>Р Е З У Л Ь Т А Т</w:t>
                      </w:r>
                    </w:p>
                    <w:p w:rsidR="0057431A" w:rsidRPr="00737D09" w:rsidRDefault="0057431A" w:rsidP="00474299">
                      <w:pPr>
                        <w:jc w:val="center"/>
                        <w:rPr>
                          <w:b/>
                        </w:rPr>
                      </w:pPr>
                    </w:p>
                  </w:txbxContent>
                </v:textbox>
              </v:rect>
            </w:pict>
          </mc:Fallback>
        </mc:AlternateContent>
      </w:r>
    </w:p>
    <w:p w:rsidR="00474299" w:rsidRPr="00474299" w:rsidRDefault="00474299" w:rsidP="00474299">
      <w:pPr>
        <w:spacing w:line="240" w:lineRule="auto"/>
        <w:jc w:val="left"/>
        <w:rPr>
          <w:rFonts w:eastAsia="Times New Roman"/>
          <w:szCs w:val="28"/>
          <w:lang w:eastAsia="uk-UA"/>
        </w:rPr>
      </w:pPr>
      <w:r w:rsidRPr="00474299">
        <w:rPr>
          <w:rFonts w:eastAsia="Times New Roman"/>
          <w:noProof/>
          <w:sz w:val="24"/>
          <w:szCs w:val="24"/>
          <w:lang w:val="ru-RU" w:eastAsia="ru-RU"/>
        </w:rPr>
        <mc:AlternateContent>
          <mc:Choice Requires="wps">
            <w:drawing>
              <wp:anchor distT="0" distB="0" distL="114300" distR="114300" simplePos="0" relativeHeight="252035072" behindDoc="0" locked="0" layoutInCell="1" allowOverlap="1" wp14:anchorId="68A45B25" wp14:editId="04499B19">
                <wp:simplePos x="0" y="0"/>
                <wp:positionH relativeFrom="column">
                  <wp:posOffset>1099185</wp:posOffset>
                </wp:positionH>
                <wp:positionV relativeFrom="paragraph">
                  <wp:posOffset>156486</wp:posOffset>
                </wp:positionV>
                <wp:extent cx="160020" cy="135255"/>
                <wp:effectExtent l="19050" t="0" r="11430" b="36195"/>
                <wp:wrapNone/>
                <wp:docPr id="1120" name="Стрелка вниз 1120"/>
                <wp:cNvGraphicFramePr/>
                <a:graphic xmlns:a="http://schemas.openxmlformats.org/drawingml/2006/main">
                  <a:graphicData uri="http://schemas.microsoft.com/office/word/2010/wordprocessingShape">
                    <wps:wsp>
                      <wps:cNvSpPr/>
                      <wps:spPr>
                        <a:xfrm>
                          <a:off x="0" y="0"/>
                          <a:ext cx="160020" cy="135255"/>
                        </a:xfrm>
                        <a:prstGeom prst="downArrow">
                          <a:avLst/>
                        </a:prstGeom>
                        <a:solidFill>
                          <a:sysClr val="window" lastClr="FFFFFF"/>
                        </a:solidFill>
                        <a:ln w="15875" cap="flat" cmpd="sng" algn="ctr">
                          <a:solidFill>
                            <a:sysClr val="windowText" lastClr="000000"/>
                          </a:solidFill>
                          <a:prstDash val="solid"/>
                        </a:ln>
                        <a:effectLst/>
                      </wps:spPr>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w:pict>
              <v:shape id="Стрелка вниз 1120" o:spid="_x0000_s1026" type="#_x0000_t67" style="position:absolute;margin-left:86.55pt;margin-top:12.3pt;width:12.6pt;height:10.65pt;z-index:2520350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" adj="10800" fillcolor="window" strokecolor="windowText" strokeweight="1.25pt">
                <v:textbox inset="0,0,0,0"/>
              </v:shape>
            </w:pict>
          </mc:Fallback>
        </mc:AlternateContent>
      </w:r>
      <w:r w:rsidRPr="00474299">
        <w:rPr>
          <w:rFonts w:eastAsia="Times New Roman"/>
          <w:noProof/>
          <w:sz w:val="24"/>
          <w:szCs w:val="24"/>
          <w:lang w:val="ru-RU" w:eastAsia="ru-RU"/>
        </w:rPr>
        <mc:AlternateContent>
          <mc:Choice Requires="wps">
            <w:drawing>
              <wp:anchor distT="0" distB="0" distL="114300" distR="114300" simplePos="0" relativeHeight="252034048" behindDoc="0" locked="0" layoutInCell="1" allowOverlap="1" wp14:anchorId="16CFBCD7" wp14:editId="3A8C44C5">
                <wp:simplePos x="0" y="0"/>
                <wp:positionH relativeFrom="column">
                  <wp:posOffset>3236595</wp:posOffset>
                </wp:positionH>
                <wp:positionV relativeFrom="paragraph">
                  <wp:posOffset>157480</wp:posOffset>
                </wp:positionV>
                <wp:extent cx="160020" cy="135255"/>
                <wp:effectExtent l="19050" t="0" r="11430" b="36195"/>
                <wp:wrapNone/>
                <wp:docPr id="1121" name="Стрелка вниз 1121"/>
                <wp:cNvGraphicFramePr/>
                <a:graphic xmlns:a="http://schemas.openxmlformats.org/drawingml/2006/main">
                  <a:graphicData uri="http://schemas.microsoft.com/office/word/2010/wordprocessingShape">
                    <wps:wsp>
                      <wps:cNvSpPr/>
                      <wps:spPr>
                        <a:xfrm>
                          <a:off x="0" y="0"/>
                          <a:ext cx="160020" cy="135255"/>
                        </a:xfrm>
                        <a:prstGeom prst="downArrow">
                          <a:avLst/>
                        </a:prstGeom>
                        <a:solidFill>
                          <a:sysClr val="window" lastClr="FFFFFF"/>
                        </a:solidFill>
                        <a:ln w="15875" cap="flat" cmpd="sng" algn="ctr">
                          <a:solidFill>
                            <a:sysClr val="windowText" lastClr="000000"/>
                          </a:solidFill>
                          <a:prstDash val="solid"/>
                        </a:ln>
                        <a:effectLst/>
                      </wps:spPr>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w:pict>
              <v:shape id="Стрелка вниз 1121" o:spid="_x0000_s1026" type="#_x0000_t67" style="position:absolute;margin-left:254.85pt;margin-top:12.4pt;width:12.6pt;height:10.65pt;z-index:2520340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" adj="10800" fillcolor="window" strokecolor="windowText" strokeweight="1.25pt">
                <v:textbox inset="0,0,0,0"/>
              </v:shape>
            </w:pict>
          </mc:Fallback>
        </mc:AlternateContent>
      </w:r>
      <w:r w:rsidRPr="00474299">
        <w:rPr>
          <w:rFonts w:eastAsia="Times New Roman"/>
          <w:noProof/>
          <w:sz w:val="24"/>
          <w:szCs w:val="24"/>
          <w:lang w:val="ru-RU" w:eastAsia="ru-RU"/>
        </w:rPr>
        <mc:AlternateContent>
          <mc:Choice Requires="wps">
            <w:drawing>
              <wp:anchor distT="0" distB="0" distL="114300" distR="114300" simplePos="0" relativeHeight="252037120" behindDoc="0" locked="0" layoutInCell="1" allowOverlap="1" wp14:anchorId="32370A0A" wp14:editId="0488FE9F">
                <wp:simplePos x="0" y="0"/>
                <wp:positionH relativeFrom="column">
                  <wp:posOffset>5400040</wp:posOffset>
                </wp:positionH>
                <wp:positionV relativeFrom="paragraph">
                  <wp:posOffset>134620</wp:posOffset>
                </wp:positionV>
                <wp:extent cx="160020" cy="135255"/>
                <wp:effectExtent l="19050" t="0" r="11430" b="36195"/>
                <wp:wrapNone/>
                <wp:docPr id="1122" name="Стрелка вниз 1122"/>
                <wp:cNvGraphicFramePr/>
                <a:graphic xmlns:a="http://schemas.openxmlformats.org/drawingml/2006/main">
                  <a:graphicData uri="http://schemas.microsoft.com/office/word/2010/wordprocessingShape">
                    <wps:wsp>
                      <wps:cNvSpPr/>
                      <wps:spPr>
                        <a:xfrm>
                          <a:off x="0" y="0"/>
                          <a:ext cx="160020" cy="135255"/>
                        </a:xfrm>
                        <a:prstGeom prst="downArrow">
                          <a:avLst/>
                        </a:prstGeom>
                        <a:solidFill>
                          <a:sysClr val="window" lastClr="FFFFFF"/>
                        </a:solidFill>
                        <a:ln w="15875" cap="flat" cmpd="sng" algn="ctr">
                          <a:solidFill>
                            <a:sysClr val="windowText" lastClr="000000"/>
                          </a:solidFill>
                          <a:prstDash val="solid"/>
                        </a:ln>
                        <a:effectLst/>
                      </wps:spPr>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w:pict>
              <v:shape id="Стрелка вниз 1122" o:spid="_x0000_s1026" type="#_x0000_t67" style="position:absolute;margin-left:425.2pt;margin-top:10.6pt;width:12.6pt;height:10.65pt;z-index:2520371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" adj="10800" fillcolor="window" strokecolor="windowText" strokeweight="1.25pt">
                <v:textbox inset="0,0,0,0"/>
              </v:shape>
            </w:pict>
          </mc:Fallback>
        </mc:AlternateContent>
      </w:r>
    </w:p>
    <w:p w:rsidR="00474299" w:rsidRPr="00474299" w:rsidRDefault="005F3754" w:rsidP="00474299">
      <w:pPr>
        <w:spacing w:line="240" w:lineRule="auto"/>
        <w:jc w:val="left"/>
        <w:rPr>
          <w:rFonts w:eastAsia="Times New Roman"/>
          <w:szCs w:val="28"/>
          <w:lang w:eastAsia="uk-UA"/>
        </w:rPr>
      </w:pPr>
      <w:r w:rsidRPr="00474299">
        <w:rPr>
          <w:rFonts w:eastAsia="Times New Roman"/>
          <w:noProof/>
          <w:szCs w:val="28"/>
          <w:lang w:val="ru-RU" w:eastAsia="ru-RU"/>
        </w:rPr>
        <mc:AlternateContent>
          <mc:Choice Requires="wps">
            <w:drawing>
              <wp:anchor distT="0" distB="0" distL="114300" distR="114300" simplePos="0" relativeHeight="252040192" behindDoc="0" locked="0" layoutInCell="1" allowOverlap="1" wp14:anchorId="169CDD33" wp14:editId="1ADEB34A">
                <wp:simplePos x="0" y="0"/>
                <wp:positionH relativeFrom="column">
                  <wp:posOffset>4541520</wp:posOffset>
                </wp:positionH>
                <wp:positionV relativeFrom="paragraph">
                  <wp:posOffset>87630</wp:posOffset>
                </wp:positionV>
                <wp:extent cx="1963420" cy="617220"/>
                <wp:effectExtent l="0" t="0" r="17780" b="11430"/>
                <wp:wrapNone/>
                <wp:docPr id="1123" name="Скругленный прямоугольник 11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63420" cy="617220"/>
                        </a:xfrm>
                        <a:prstGeom prst="roundRect">
                          <a:avLst>
                            <a:gd name="adj" fmla="val 16667"/>
                          </a:avLst>
                        </a:prstGeom>
                        <a:solidFill>
                          <a:srgbClr val="FFFFFF"/>
                        </a:solidFill>
                        <a:ln w="12700">
                          <a:solidFill>
                            <a:srgbClr val="000000"/>
                          </a:solidFill>
                          <a:round/>
                          <a:headEnd/>
                          <a:tailEnd/>
                        </a:ln>
                      </wps:spPr>
                      <wps:txbx>
                        <w:txbxContent>
                          <w:p w:rsidR="001E1DF5" w:rsidRPr="00AB3274" w:rsidRDefault="001E1DF5" w:rsidP="00474299">
                            <w:pPr>
                              <w:spacing w:line="200" w:lineRule="exact"/>
                              <w:jc w:val="center"/>
                              <w:rPr>
                                <w:sz w:val="24"/>
                                <w:szCs w:val="24"/>
                              </w:rPr>
                            </w:pPr>
                            <w:r w:rsidRPr="00AB3274">
                              <w:rPr>
                                <w:sz w:val="24"/>
                                <w:szCs w:val="24"/>
                              </w:rPr>
                              <w:t>Зниження рівня дитячої смертності, інвалідності, покращення демографічної ситуації</w:t>
                            </w:r>
                          </w:p>
                          <w:p w:rsidR="001E1DF5" w:rsidRPr="0004018C" w:rsidRDefault="001E1DF5" w:rsidP="00474299">
                            <w:pPr>
                              <w:spacing w:line="216" w:lineRule="auto"/>
                              <w:jc w:val="center"/>
                              <w:rPr>
                                <w:sz w:val="22"/>
                              </w:rPr>
                            </w:pPr>
                          </w:p>
                        </w:txbxContent>
                      </wps:txbx>
                      <wps:bodyPr rot="0" vert="horz" wrap="square" lIns="0" tIns="36000" rIns="0" bIns="3600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1123" o:spid="_x0000_s1179" style="position:absolute;margin-left:357.6pt;margin-top:6.9pt;width:154.6pt;height:48.6pt;z-index:252040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" strokeweight="1pt">
                <v:textbox inset="0,1mm,0,1mm">
                  <w:txbxContent>
                    <w:p w:rsidR="0057431A" w:rsidRPr="00AB3274" w:rsidRDefault="0057431A" w:rsidP="00474299">
                      <w:pPr>
                        <w:spacing w:line="200" w:lineRule="exact"/>
                        <w:jc w:val="center"/>
                        <w:rPr>
                          <w:sz w:val="24"/>
                          <w:szCs w:val="24"/>
                        </w:rPr>
                      </w:pPr>
                      <w:r w:rsidRPr="00AB3274">
                        <w:rPr>
                          <w:sz w:val="24"/>
                          <w:szCs w:val="24"/>
                        </w:rPr>
                        <w:t>Зниження рівня дитячої смертності, інвалідності, покращення демографічної ситуації</w:t>
                      </w:r>
                    </w:p>
                    <w:p w:rsidR="0057431A" w:rsidRPr="0004018C" w:rsidRDefault="0057431A" w:rsidP="00474299">
                      <w:pPr>
                        <w:spacing w:line="216" w:lineRule="auto"/>
                        <w:jc w:val="center"/>
                        <w:rPr>
                          <w:sz w:val="22"/>
                        </w:rPr>
                      </w:pPr>
                    </w:p>
                  </w:txbxContent>
                </v:textbox>
              </v:roundrect>
            </w:pict>
          </mc:Fallback>
        </mc:AlternateContent>
      </w:r>
      <w:r w:rsidRPr="00474299">
        <w:rPr>
          <w:rFonts w:eastAsia="Times New Roman"/>
          <w:noProof/>
          <w:szCs w:val="28"/>
          <w:lang w:val="ru-RU" w:eastAsia="ru-RU"/>
        </w:rPr>
        <mc:AlternateContent>
          <mc:Choice Requires="wps">
            <w:drawing>
              <wp:anchor distT="0" distB="0" distL="114300" distR="114300" simplePos="0" relativeHeight="252039168" behindDoc="0" locked="0" layoutInCell="1" allowOverlap="1" wp14:anchorId="6C90D57A" wp14:editId="0B5AA0FC">
                <wp:simplePos x="0" y="0"/>
                <wp:positionH relativeFrom="column">
                  <wp:posOffset>2439670</wp:posOffset>
                </wp:positionH>
                <wp:positionV relativeFrom="paragraph">
                  <wp:posOffset>87630</wp:posOffset>
                </wp:positionV>
                <wp:extent cx="2035175" cy="617220"/>
                <wp:effectExtent l="0" t="0" r="22225" b="11430"/>
                <wp:wrapNone/>
                <wp:docPr id="1124" name="Скругленный прямоугольник 11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35175" cy="617220"/>
                        </a:xfrm>
                        <a:prstGeom prst="roundRect">
                          <a:avLst>
                            <a:gd name="adj" fmla="val 16667"/>
                          </a:avLst>
                        </a:prstGeom>
                        <a:solidFill>
                          <a:srgbClr val="FFFFFF"/>
                        </a:solidFill>
                        <a:ln w="12700">
                          <a:solidFill>
                            <a:srgbClr val="000000"/>
                          </a:solidFill>
                          <a:round/>
                          <a:headEnd/>
                          <a:tailEnd/>
                        </a:ln>
                      </wps:spPr>
                      <wps:txbx>
                        <w:txbxContent>
                          <w:p w:rsidR="001E1DF5" w:rsidRPr="00AB3274" w:rsidRDefault="001E1DF5" w:rsidP="00474299">
                            <w:pPr>
                              <w:spacing w:line="200" w:lineRule="exact"/>
                              <w:jc w:val="center"/>
                              <w:rPr>
                                <w:sz w:val="24"/>
                                <w:szCs w:val="24"/>
                              </w:rPr>
                            </w:pPr>
                            <w:r w:rsidRPr="00AB3274">
                              <w:rPr>
                                <w:sz w:val="24"/>
                                <w:szCs w:val="24"/>
                              </w:rPr>
                              <w:t>Підвищення якості та результативності медичної допомоги дітям та майбутнім матерям</w:t>
                            </w:r>
                          </w:p>
                          <w:p w:rsidR="001E1DF5" w:rsidRPr="0004018C" w:rsidRDefault="001E1DF5" w:rsidP="00474299">
                            <w:pPr>
                              <w:spacing w:line="216" w:lineRule="auto"/>
                              <w:jc w:val="center"/>
                              <w:rPr>
                                <w:sz w:val="22"/>
                              </w:rPr>
                            </w:pPr>
                          </w:p>
                        </w:txbxContent>
                      </wps:txbx>
                      <wps:bodyPr rot="0" vert="horz" wrap="square" lIns="0" tIns="36000" rIns="0" bIns="3600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1124" o:spid="_x0000_s1180" style="position:absolute;margin-left:192.1pt;margin-top:6.9pt;width:160.25pt;height:48.6pt;z-index:252039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" strokeweight="1pt">
                <v:textbox inset="0,1mm,0,1mm">
                  <w:txbxContent>
                    <w:p w:rsidR="0057431A" w:rsidRPr="00AB3274" w:rsidRDefault="0057431A" w:rsidP="00474299">
                      <w:pPr>
                        <w:spacing w:line="200" w:lineRule="exact"/>
                        <w:jc w:val="center"/>
                        <w:rPr>
                          <w:sz w:val="24"/>
                          <w:szCs w:val="24"/>
                        </w:rPr>
                      </w:pPr>
                      <w:r w:rsidRPr="00AB3274">
                        <w:rPr>
                          <w:sz w:val="24"/>
                          <w:szCs w:val="24"/>
                        </w:rPr>
                        <w:t>Підвищення якості та результативності медичної допомоги дітям та майбутнім матерям</w:t>
                      </w:r>
                    </w:p>
                    <w:p w:rsidR="0057431A" w:rsidRPr="0004018C" w:rsidRDefault="0057431A" w:rsidP="00474299">
                      <w:pPr>
                        <w:spacing w:line="216" w:lineRule="auto"/>
                        <w:jc w:val="center"/>
                        <w:rPr>
                          <w:sz w:val="22"/>
                        </w:rPr>
                      </w:pPr>
                    </w:p>
                  </w:txbxContent>
                </v:textbox>
              </v:roundrect>
            </w:pict>
          </mc:Fallback>
        </mc:AlternateContent>
      </w:r>
      <w:r w:rsidRPr="00474299">
        <w:rPr>
          <w:rFonts w:eastAsia="Times New Roman"/>
          <w:noProof/>
          <w:szCs w:val="28"/>
          <w:lang w:val="ru-RU" w:eastAsia="ru-RU"/>
        </w:rPr>
        <mc:AlternateContent>
          <mc:Choice Requires="wps">
            <w:drawing>
              <wp:anchor distT="0" distB="0" distL="114300" distR="114300" simplePos="0" relativeHeight="252038144" behindDoc="0" locked="0" layoutInCell="1" allowOverlap="1" wp14:anchorId="2EDE9A2C" wp14:editId="2CCD4D6C">
                <wp:simplePos x="0" y="0"/>
                <wp:positionH relativeFrom="column">
                  <wp:posOffset>-30480</wp:posOffset>
                </wp:positionH>
                <wp:positionV relativeFrom="paragraph">
                  <wp:posOffset>87630</wp:posOffset>
                </wp:positionV>
                <wp:extent cx="2416810" cy="617220"/>
                <wp:effectExtent l="0" t="0" r="21590" b="11430"/>
                <wp:wrapNone/>
                <wp:docPr id="1125" name="Скругленный прямоугольник 11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16810" cy="617220"/>
                        </a:xfrm>
                        <a:prstGeom prst="roundRect">
                          <a:avLst>
                            <a:gd name="adj" fmla="val 16667"/>
                          </a:avLst>
                        </a:prstGeom>
                        <a:solidFill>
                          <a:srgbClr val="FFFFFF"/>
                        </a:solidFill>
                        <a:ln w="12700">
                          <a:solidFill>
                            <a:srgbClr val="000000"/>
                          </a:solidFill>
                          <a:round/>
                          <a:headEnd/>
                          <a:tailEnd/>
                        </a:ln>
                      </wps:spPr>
                      <wps:txbx>
                        <w:txbxContent>
                          <w:p w:rsidR="001E1DF5" w:rsidRPr="00AB3274" w:rsidRDefault="001E1DF5" w:rsidP="00474299">
                            <w:pPr>
                              <w:spacing w:line="200" w:lineRule="exact"/>
                              <w:jc w:val="center"/>
                              <w:rPr>
                                <w:sz w:val="24"/>
                                <w:szCs w:val="24"/>
                              </w:rPr>
                            </w:pPr>
                            <w:r w:rsidRPr="00AB3274">
                              <w:rPr>
                                <w:sz w:val="24"/>
                                <w:szCs w:val="24"/>
                              </w:rPr>
                              <w:t>Суб’єктивна оцінка:</w:t>
                            </w:r>
                          </w:p>
                          <w:p w:rsidR="001E1DF5" w:rsidRPr="00AB3274" w:rsidRDefault="001E1DF5" w:rsidP="00474299">
                            <w:pPr>
                              <w:spacing w:line="200" w:lineRule="exact"/>
                              <w:jc w:val="center"/>
                              <w:rPr>
                                <w:sz w:val="24"/>
                                <w:szCs w:val="24"/>
                              </w:rPr>
                            </w:pPr>
                            <w:r w:rsidRPr="00AB3274">
                              <w:rPr>
                                <w:sz w:val="24"/>
                                <w:szCs w:val="24"/>
                              </w:rPr>
                              <w:t>доступність, своєчасність медичної допомоги,</w:t>
                            </w:r>
                            <w:r w:rsidRPr="00B456B6">
                              <w:t xml:space="preserve"> </w:t>
                            </w:r>
                            <w:r w:rsidRPr="00AB3274">
                              <w:rPr>
                                <w:sz w:val="24"/>
                                <w:szCs w:val="24"/>
                              </w:rPr>
                              <w:t>задоволеність якістю, покращення соціальної ситуації</w:t>
                            </w:r>
                          </w:p>
                          <w:p w:rsidR="001E1DF5" w:rsidRPr="0004018C" w:rsidRDefault="001E1DF5" w:rsidP="00474299">
                            <w:pPr>
                              <w:spacing w:line="216" w:lineRule="auto"/>
                              <w:jc w:val="center"/>
                              <w:rPr>
                                <w:sz w:val="22"/>
                              </w:rPr>
                            </w:pPr>
                          </w:p>
                        </w:txbxContent>
                      </wps:txbx>
                      <wps:bodyPr rot="0" vert="horz" wrap="square" lIns="0" tIns="36000" rIns="0" bIns="3600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1125" o:spid="_x0000_s1181" style="position:absolute;margin-left:-2.4pt;margin-top:6.9pt;width:190.3pt;height:48.6pt;z-index:252038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" strokeweight="1pt">
                <v:textbox inset="0,1mm,0,1mm">
                  <w:txbxContent>
                    <w:p w:rsidR="0057431A" w:rsidRPr="00AB3274" w:rsidRDefault="0057431A" w:rsidP="00474299">
                      <w:pPr>
                        <w:spacing w:line="200" w:lineRule="exact"/>
                        <w:jc w:val="center"/>
                        <w:rPr>
                          <w:sz w:val="24"/>
                          <w:szCs w:val="24"/>
                        </w:rPr>
                      </w:pPr>
                      <w:r w:rsidRPr="00AB3274">
                        <w:rPr>
                          <w:sz w:val="24"/>
                          <w:szCs w:val="24"/>
                        </w:rPr>
                        <w:t>Суб’єктивна оцінка:</w:t>
                      </w:r>
                    </w:p>
                    <w:p w:rsidR="0057431A" w:rsidRPr="00AB3274" w:rsidRDefault="0057431A" w:rsidP="00474299">
                      <w:pPr>
                        <w:spacing w:line="200" w:lineRule="exact"/>
                        <w:jc w:val="center"/>
                        <w:rPr>
                          <w:sz w:val="24"/>
                          <w:szCs w:val="24"/>
                        </w:rPr>
                      </w:pPr>
                      <w:r w:rsidRPr="00AB3274">
                        <w:rPr>
                          <w:sz w:val="24"/>
                          <w:szCs w:val="24"/>
                        </w:rPr>
                        <w:t>доступність, своєчасність медичної допомоги,</w:t>
                      </w:r>
                      <w:r w:rsidRPr="00B456B6">
                        <w:t xml:space="preserve"> </w:t>
                      </w:r>
                      <w:r w:rsidRPr="00AB3274">
                        <w:rPr>
                          <w:sz w:val="24"/>
                          <w:szCs w:val="24"/>
                        </w:rPr>
                        <w:t>задоволеність якістю, покращення соціальної ситуації</w:t>
                      </w:r>
                    </w:p>
                    <w:p w:rsidR="0057431A" w:rsidRPr="0004018C" w:rsidRDefault="0057431A" w:rsidP="00474299">
                      <w:pPr>
                        <w:spacing w:line="216" w:lineRule="auto"/>
                        <w:jc w:val="center"/>
                        <w:rPr>
                          <w:sz w:val="22"/>
                        </w:rPr>
                      </w:pPr>
                    </w:p>
                  </w:txbxContent>
                </v:textbox>
              </v:roundrect>
            </w:pict>
          </mc:Fallback>
        </mc:AlternateContent>
      </w:r>
    </w:p>
    <w:p w:rsidR="00474299" w:rsidRPr="00474299" w:rsidRDefault="00474299" w:rsidP="00474299">
      <w:pPr>
        <w:spacing w:line="240" w:lineRule="auto"/>
        <w:jc w:val="left"/>
        <w:rPr>
          <w:rFonts w:eastAsia="Times New Roman"/>
          <w:szCs w:val="28"/>
          <w:lang w:eastAsia="uk-UA"/>
        </w:rPr>
      </w:pPr>
    </w:p>
    <w:p w:rsidR="00474299" w:rsidRPr="00474299" w:rsidRDefault="00474299" w:rsidP="00474299">
      <w:pPr>
        <w:spacing w:line="240" w:lineRule="auto"/>
        <w:jc w:val="left"/>
        <w:rPr>
          <w:rFonts w:eastAsia="Times New Roman"/>
          <w:szCs w:val="28"/>
          <w:lang w:eastAsia="uk-UA"/>
        </w:rPr>
      </w:pPr>
    </w:p>
    <w:p w:rsidR="00474299" w:rsidRPr="00474299" w:rsidRDefault="00474299" w:rsidP="00474299">
      <w:pPr>
        <w:spacing w:line="240" w:lineRule="auto"/>
        <w:jc w:val="left"/>
        <w:rPr>
          <w:rFonts w:eastAsia="Times New Roman"/>
          <w:szCs w:val="28"/>
          <w:lang w:eastAsia="uk-UA"/>
        </w:rPr>
      </w:pPr>
    </w:p>
    <w:p w:rsidR="00634B90" w:rsidRPr="007873EF" w:rsidRDefault="00CD2648" w:rsidP="001A5B85">
      <w:pPr>
        <w:rPr>
          <w:szCs w:val="28"/>
          <w:lang w:val="ru-RU"/>
        </w:rPr>
        <w:sectPr w:rsidR="00634B90" w:rsidRPr="007873EF" w:rsidSect="00E242B0">
          <w:pgSz w:w="11906" w:h="16838"/>
          <w:pgMar w:top="1134" w:right="567" w:bottom="1134" w:left="1134" w:header="709" w:footer="709" w:gutter="0"/>
          <w:cols w:space="708"/>
          <w:docGrid w:linePitch="381"/>
        </w:sectPr>
      </w:pPr>
      <w:r w:rsidRPr="00285E6C">
        <w:rPr>
          <w:szCs w:val="28"/>
          <w:lang w:val="ru-RU"/>
        </w:rPr>
        <w:t xml:space="preserve">Рис. </w:t>
      </w:r>
      <w:r w:rsidR="005F3754">
        <w:rPr>
          <w:szCs w:val="28"/>
        </w:rPr>
        <w:t>8</w:t>
      </w:r>
      <w:r w:rsidRPr="00285E6C">
        <w:rPr>
          <w:szCs w:val="28"/>
        </w:rPr>
        <w:t>.</w:t>
      </w:r>
      <w:r w:rsidR="005F3754">
        <w:rPr>
          <w:szCs w:val="28"/>
        </w:rPr>
        <w:t>2.</w:t>
      </w:r>
      <w:r w:rsidRPr="00285E6C">
        <w:rPr>
          <w:szCs w:val="28"/>
        </w:rPr>
        <w:t xml:space="preserve"> Модель </w:t>
      </w:r>
      <w:r w:rsidRPr="00285E6C">
        <w:rPr>
          <w:szCs w:val="28"/>
          <w:lang w:val="ru-RU"/>
        </w:rPr>
        <w:t xml:space="preserve">зниження смертності </w:t>
      </w:r>
      <w:r w:rsidRPr="00285E6C">
        <w:rPr>
          <w:szCs w:val="28"/>
        </w:rPr>
        <w:t>дітей до 5</w:t>
      </w:r>
      <w:r w:rsidRPr="00285E6C">
        <w:rPr>
          <w:szCs w:val="28"/>
          <w:lang w:val="ru-RU"/>
        </w:rPr>
        <w:t> </w:t>
      </w:r>
      <w:r>
        <w:rPr>
          <w:szCs w:val="28"/>
        </w:rPr>
        <w:t>років життя в Україні</w:t>
      </w:r>
      <w:r w:rsidRPr="00285E6C">
        <w:rPr>
          <w:szCs w:val="28"/>
          <w:lang w:val="ru-RU"/>
        </w:rPr>
        <w:t xml:space="preserve"> </w:t>
      </w:r>
      <w:r>
        <w:rPr>
          <w:szCs w:val="28"/>
          <w:lang w:val="ru-RU"/>
        </w:rPr>
        <w:t>(продовження)</w:t>
      </w:r>
    </w:p>
    <w:p w:rsidR="00634B90" w:rsidRDefault="00F87883" w:rsidP="00A20D70">
      <w:pPr>
        <w:rPr>
          <w:szCs w:val="28"/>
          <w:lang w:val="ru-RU"/>
        </w:rPr>
        <w:sectPr w:rsidR="00634B90" w:rsidSect="00E242B0">
          <w:pgSz w:w="16838" w:h="11906" w:orient="landscape"/>
          <w:pgMar w:top="1134" w:right="567" w:bottom="1134" w:left="1134" w:header="709" w:footer="709" w:gutter="0"/>
          <w:cols w:space="708"/>
          <w:docGrid w:linePitch="381"/>
        </w:sectPr>
      </w:pPr>
      <w:r w:rsidRPr="00E56976">
        <w:rPr>
          <w:rFonts w:ascii="Calibri" w:eastAsia="Calibri" w:hAnsi="Calibri"/>
          <w:noProof/>
          <w:sz w:val="22"/>
          <w:lang w:val="ru-RU" w:eastAsia="ru-RU"/>
        </w:rPr>
        <w:lastRenderedPageBreak/>
        <mc:AlternateContent>
          <mc:Choice Requires="wpg">
            <w:drawing>
              <wp:anchor distT="0" distB="0" distL="114300" distR="114300" simplePos="0" relativeHeight="252044288" behindDoc="0" locked="0" layoutInCell="1" allowOverlap="1" wp14:anchorId="5B1FEDFE" wp14:editId="72FA073B">
                <wp:simplePos x="0" y="0"/>
                <wp:positionH relativeFrom="column">
                  <wp:posOffset>-69161</wp:posOffset>
                </wp:positionH>
                <wp:positionV relativeFrom="paragraph">
                  <wp:posOffset>-247392</wp:posOffset>
                </wp:positionV>
                <wp:extent cx="9568180" cy="6717665"/>
                <wp:effectExtent l="0" t="0" r="13970" b="6985"/>
                <wp:wrapNone/>
                <wp:docPr id="19" name="Группа 19"/>
                <wp:cNvGraphicFramePr/>
                <a:graphic xmlns:a="http://schemas.openxmlformats.org/drawingml/2006/main">
                  <a:graphicData uri="http://schemas.microsoft.com/office/word/2010/wordprocessingGroup">
                    <wpg:wgp>
                      <wpg:cNvGrpSpPr/>
                      <wpg:grpSpPr>
                        <a:xfrm>
                          <a:off x="0" y="0"/>
                          <a:ext cx="9568180" cy="6717665"/>
                          <a:chOff x="0" y="-67565"/>
                          <a:chExt cx="9331608" cy="6989971"/>
                        </a:xfrm>
                      </wpg:grpSpPr>
                      <wps:wsp>
                        <wps:cNvPr id="23" name="Прямоугольник 23"/>
                        <wps:cNvSpPr/>
                        <wps:spPr>
                          <a:xfrm>
                            <a:off x="2959100" y="5740400"/>
                            <a:ext cx="4355729" cy="443967"/>
                          </a:xfrm>
                          <a:prstGeom prst="rect">
                            <a:avLst/>
                          </a:prstGeom>
                          <a:solidFill>
                            <a:srgbClr val="FFC000">
                              <a:lumMod val="20000"/>
                              <a:lumOff val="80000"/>
                            </a:srgbClr>
                          </a:solidFill>
                          <a:ln w="19050" cap="flat" cmpd="sng" algn="ctr">
                            <a:solidFill>
                              <a:srgbClr val="FFC000">
                                <a:lumMod val="75000"/>
                              </a:srgbClr>
                            </a:solidFill>
                            <a:prstDash val="sysDash"/>
                            <a:miter lim="800000"/>
                          </a:ln>
                          <a:effectLst/>
                        </wps:spPr>
                        <wps:txbx>
                          <w:txbxContent>
                            <w:p w:rsidR="001E1DF5" w:rsidRPr="00804897" w:rsidRDefault="001E1DF5" w:rsidP="00E56976">
                              <w:pPr>
                                <w:spacing w:line="180" w:lineRule="exact"/>
                                <w:rPr>
                                  <w:sz w:val="18"/>
                                  <w:szCs w:val="18"/>
                                </w:rPr>
                              </w:pPr>
                              <w:r w:rsidRPr="00804897">
                                <w:rPr>
                                  <w:sz w:val="18"/>
                                  <w:szCs w:val="18"/>
                                </w:rPr>
                                <w:t>Заклади дошкільної ос</w:t>
                              </w:r>
                              <w:r>
                                <w:rPr>
                                  <w:sz w:val="18"/>
                                  <w:szCs w:val="18"/>
                                </w:rPr>
                                <w:t>віти, будинки малятка</w:t>
                              </w:r>
                              <w:r w:rsidRPr="00804897">
                                <w:rPr>
                                  <w:sz w:val="18"/>
                                  <w:szCs w:val="18"/>
                                </w:rPr>
                                <w:t>;</w:t>
                              </w:r>
                            </w:p>
                            <w:p w:rsidR="001E1DF5" w:rsidRPr="00804897" w:rsidRDefault="001E1DF5" w:rsidP="00E56976">
                              <w:pPr>
                                <w:spacing w:line="180" w:lineRule="exact"/>
                                <w:rPr>
                                  <w:sz w:val="18"/>
                                  <w:szCs w:val="18"/>
                                </w:rPr>
                              </w:pPr>
                              <w:r w:rsidRPr="00804897">
                                <w:rPr>
                                  <w:sz w:val="18"/>
                                  <w:szCs w:val="18"/>
                                </w:rPr>
                                <w:t>Підприємства всіх форм власності (сприяння здоровому материнству та дитинству)</w:t>
                              </w:r>
                            </w:p>
                            <w:p w:rsidR="001E1DF5" w:rsidRPr="00804897" w:rsidRDefault="001E1DF5" w:rsidP="00E56976">
                              <w:pPr>
                                <w:spacing w:line="180" w:lineRule="exact"/>
                                <w:rPr>
                                  <w:sz w:val="18"/>
                                  <w:szCs w:val="18"/>
                                </w:rPr>
                              </w:pPr>
                              <w:r w:rsidRPr="00804897">
                                <w:rPr>
                                  <w:sz w:val="18"/>
                                  <w:szCs w:val="18"/>
                                </w:rPr>
                                <w:t>Інтернет-ресурс на безоплатному хостінгу</w:t>
                              </w:r>
                            </w:p>
                            <w:p w:rsidR="001E1DF5" w:rsidRPr="00804897" w:rsidRDefault="001E1DF5" w:rsidP="00E56976">
                              <w:pPr>
                                <w:spacing w:line="160" w:lineRule="exact"/>
                                <w:rPr>
                                  <w:sz w:val="18"/>
                                  <w:szCs w:val="18"/>
                                </w:rPr>
                              </w:pP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g:grpSp>
                        <wpg:cNvPr id="34" name="Группа 34"/>
                        <wpg:cNvGrpSpPr/>
                        <wpg:grpSpPr>
                          <a:xfrm>
                            <a:off x="0" y="-67565"/>
                            <a:ext cx="9331608" cy="6989971"/>
                            <a:chOff x="0" y="-67565"/>
                            <a:chExt cx="9331608" cy="6989971"/>
                          </a:xfrm>
                        </wpg:grpSpPr>
                        <wpg:grpSp>
                          <wpg:cNvPr id="47" name="Группа 47"/>
                          <wpg:cNvGrpSpPr/>
                          <wpg:grpSpPr>
                            <a:xfrm>
                              <a:off x="0" y="-67565"/>
                              <a:ext cx="9331608" cy="6989971"/>
                              <a:chOff x="0" y="-67565"/>
                              <a:chExt cx="9331608" cy="6989971"/>
                            </a:xfrm>
                          </wpg:grpSpPr>
                          <wps:wsp>
                            <wps:cNvPr id="52" name="Прямоугольник 52"/>
                            <wps:cNvSpPr/>
                            <wps:spPr>
                              <a:xfrm>
                                <a:off x="2957491" y="4161254"/>
                                <a:ext cx="4382770" cy="1018990"/>
                              </a:xfrm>
                              <a:prstGeom prst="rect">
                                <a:avLst/>
                              </a:prstGeom>
                              <a:solidFill>
                                <a:srgbClr val="ED7D31">
                                  <a:lumMod val="20000"/>
                                  <a:lumOff val="80000"/>
                                </a:srgbClr>
                              </a:solidFill>
                              <a:ln w="19050" cap="flat" cmpd="sng" algn="ctr">
                                <a:solidFill>
                                  <a:srgbClr val="ED7D31">
                                    <a:lumMod val="75000"/>
                                  </a:srgbClr>
                                </a:solidFill>
                                <a:prstDash val="dash"/>
                                <a:miter lim="800000"/>
                              </a:ln>
                              <a:effectLst/>
                            </wps:spPr>
                            <wps:txbx>
                              <w:txbxContent>
                                <w:p w:rsidR="001E1DF5" w:rsidRPr="00225A2F" w:rsidRDefault="001E1DF5" w:rsidP="00E56976">
                                  <w:pPr>
                                    <w:spacing w:line="180" w:lineRule="exact"/>
                                    <w:rPr>
                                      <w:b/>
                                      <w:sz w:val="19"/>
                                      <w:szCs w:val="19"/>
                                    </w:rPr>
                                  </w:pPr>
                                  <w:r w:rsidRPr="00225A2F">
                                    <w:rPr>
                                      <w:b/>
                                      <w:sz w:val="19"/>
                                      <w:szCs w:val="19"/>
                                    </w:rPr>
                                    <w:t>ДОЗ та госпітальний округ:</w:t>
                                  </w:r>
                                </w:p>
                                <w:p w:rsidR="001E1DF5" w:rsidRPr="00225A2F" w:rsidRDefault="001E1DF5" w:rsidP="00E56976">
                                  <w:pPr>
                                    <w:spacing w:line="180" w:lineRule="exact"/>
                                    <w:rPr>
                                      <w:sz w:val="19"/>
                                      <w:szCs w:val="19"/>
                                    </w:rPr>
                                  </w:pPr>
                                  <w:r w:rsidRPr="00225A2F">
                                    <w:rPr>
                                      <w:sz w:val="19"/>
                                      <w:szCs w:val="19"/>
                                    </w:rPr>
                                    <w:t>Подальше впровадження регіоналізація перинатальної допомоги та її оцінювання; застосування телемедичних технологій; реєстри пацієнтів, маршрути пацієнтів</w:t>
                                  </w:r>
                                  <w:r w:rsidRPr="00225A2F">
                                    <w:rPr>
                                      <w:bCs/>
                                      <w:noProof/>
                                      <w:sz w:val="19"/>
                                      <w:szCs w:val="19"/>
                                      <w:lang w:eastAsia="ru-RU"/>
                                    </w:rPr>
                                    <w:t xml:space="preserve"> </w:t>
                                  </w:r>
                                </w:p>
                                <w:p w:rsidR="001E1DF5" w:rsidRPr="00225A2F" w:rsidRDefault="001E1DF5" w:rsidP="00E56976">
                                  <w:pPr>
                                    <w:spacing w:line="180" w:lineRule="exact"/>
                                    <w:rPr>
                                      <w:b/>
                                      <w:sz w:val="19"/>
                                      <w:szCs w:val="19"/>
                                    </w:rPr>
                                  </w:pPr>
                                  <w:r w:rsidRPr="00225A2F">
                                    <w:rPr>
                                      <w:b/>
                                      <w:sz w:val="19"/>
                                      <w:szCs w:val="19"/>
                                    </w:rPr>
                                    <w:t>Заклади ОЗ:</w:t>
                                  </w:r>
                                </w:p>
                                <w:p w:rsidR="001E1DF5" w:rsidRPr="00225A2F" w:rsidRDefault="001E1DF5" w:rsidP="00E56976">
                                  <w:pPr>
                                    <w:spacing w:line="180" w:lineRule="exact"/>
                                    <w:rPr>
                                      <w:sz w:val="19"/>
                                      <w:szCs w:val="19"/>
                                    </w:rPr>
                                  </w:pPr>
                                  <w:r w:rsidRPr="00225A2F">
                                    <w:rPr>
                                      <w:sz w:val="19"/>
                                      <w:szCs w:val="19"/>
                                    </w:rPr>
                                    <w:t>Перинатальні центри ІІ та ІІІ рівня надання медичної допомоги,</w:t>
                                  </w:r>
                                </w:p>
                                <w:p w:rsidR="001E1DF5" w:rsidRPr="00225A2F" w:rsidRDefault="001E1DF5" w:rsidP="00E56976">
                                  <w:pPr>
                                    <w:spacing w:line="180" w:lineRule="exact"/>
                                    <w:rPr>
                                      <w:sz w:val="19"/>
                                      <w:szCs w:val="19"/>
                                    </w:rPr>
                                  </w:pPr>
                                  <w:r w:rsidRPr="00225A2F">
                                    <w:rPr>
                                      <w:sz w:val="19"/>
                                      <w:szCs w:val="19"/>
                                    </w:rPr>
                                    <w:t>Кабінет катамнезу та послуга катамнестичного спостереження</w:t>
                                  </w:r>
                                </w:p>
                                <w:p w:rsidR="001E1DF5" w:rsidRPr="00225A2F" w:rsidRDefault="001E1DF5" w:rsidP="00E56976">
                                  <w:pPr>
                                    <w:spacing w:line="180" w:lineRule="exact"/>
                                    <w:rPr>
                                      <w:sz w:val="19"/>
                                      <w:szCs w:val="19"/>
                                    </w:rPr>
                                  </w:pPr>
                                  <w:r>
                                    <w:rPr>
                                      <w:sz w:val="19"/>
                                      <w:szCs w:val="19"/>
                                    </w:rPr>
                                    <w:t>Заклади первинного рівня</w:t>
                                  </w:r>
                                  <w:r w:rsidRPr="00225A2F">
                                    <w:rPr>
                                      <w:sz w:val="19"/>
                                      <w:szCs w:val="19"/>
                                    </w:rPr>
                                    <w:t>: координуюча рол</w:t>
                                  </w:r>
                                  <w:r>
                                    <w:rPr>
                                      <w:sz w:val="19"/>
                                      <w:szCs w:val="19"/>
                                    </w:rPr>
                                    <w:t xml:space="preserve">ь лікарів </w:t>
                                  </w:r>
                                  <w:r w:rsidRPr="00225A2F">
                                    <w:rPr>
                                      <w:sz w:val="19"/>
                                      <w:szCs w:val="19"/>
                                    </w:rPr>
                                    <w:t>ЗП-СЛ у наданні</w:t>
                                  </w:r>
                                  <w:r>
                                    <w:rPr>
                                      <w:sz w:val="19"/>
                                      <w:szCs w:val="19"/>
                                    </w:rPr>
                                    <w:t xml:space="preserve"> меддопомо</w:t>
                                  </w:r>
                                  <w:r>
                                    <w:rPr>
                                      <w:sz w:val="19"/>
                                      <w:szCs w:val="19"/>
                                    </w:rPr>
                                    <w:softHyphen/>
                                    <w:t>ги</w:t>
                                  </w:r>
                                  <w:r w:rsidRPr="00225A2F">
                                    <w:rPr>
                                      <w:sz w:val="19"/>
                                      <w:szCs w:val="19"/>
                                    </w:rPr>
                                    <w:t>, у т.ч. реабілітаційної, паліативної допомоги та катамнестичного спостереження</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s:wsp>
                            <wps:cNvPr id="54" name="Прямоугольник 54"/>
                            <wps:cNvSpPr/>
                            <wps:spPr>
                              <a:xfrm>
                                <a:off x="659266" y="6571945"/>
                                <a:ext cx="8253125" cy="350461"/>
                              </a:xfrm>
                              <a:prstGeom prst="rect">
                                <a:avLst/>
                              </a:prstGeom>
                              <a:solidFill>
                                <a:sysClr val="window" lastClr="FFFFFF"/>
                              </a:solidFill>
                              <a:ln w="12700" cap="flat" cmpd="sng" algn="ctr">
                                <a:noFill/>
                                <a:prstDash val="solid"/>
                                <a:miter lim="800000"/>
                              </a:ln>
                              <a:effectLst/>
                            </wps:spPr>
                            <wps:txbx>
                              <w:txbxContent>
                                <w:p w:rsidR="001E1DF5" w:rsidRPr="003A5A68" w:rsidRDefault="001E1DF5" w:rsidP="00E56976">
                                  <w:pPr>
                                    <w:jc w:val="center"/>
                                    <w:rPr>
                                      <w:szCs w:val="28"/>
                                    </w:rPr>
                                  </w:pPr>
                                  <w:r>
                                    <w:rPr>
                                      <w:szCs w:val="28"/>
                                      <w:lang w:val="ru-RU"/>
                                    </w:rPr>
                                    <w:t>Рис.8.3.</w:t>
                                  </w:r>
                                  <w:r w:rsidRPr="003A5A68">
                                    <w:rPr>
                                      <w:szCs w:val="28"/>
                                      <w:lang w:val="ru-RU"/>
                                    </w:rPr>
                                    <w:t xml:space="preserve"> Інноваційна </w:t>
                                  </w:r>
                                  <w:r w:rsidRPr="003A5A68">
                                    <w:rPr>
                                      <w:szCs w:val="28"/>
                                    </w:rPr>
                                    <w:t>система медико-соціальної</w:t>
                                  </w:r>
                                  <w:r>
                                    <w:rPr>
                                      <w:szCs w:val="28"/>
                                    </w:rPr>
                                    <w:t xml:space="preserve"> допомоги дітям до 5 років</w:t>
                                  </w:r>
                                  <w:r w:rsidRPr="003A5A68">
                                    <w:rPr>
                                      <w:szCs w:val="28"/>
                                    </w:rPr>
                                    <w:t xml:space="preserve"> </w:t>
                                  </w:r>
                                  <w:proofErr w:type="gramStart"/>
                                  <w:r w:rsidRPr="003A5A68">
                                    <w:rPr>
                                      <w:szCs w:val="28"/>
                                    </w:rPr>
                                    <w:t>в</w:t>
                                  </w:r>
                                  <w:proofErr w:type="gramEnd"/>
                                  <w:r w:rsidRPr="003A5A68">
                                    <w:rPr>
                                      <w:szCs w:val="28"/>
                                    </w:rPr>
                                    <w:t xml:space="preserve"> Україні</w:t>
                                  </w:r>
                                </w:p>
                                <w:p w:rsidR="001E1DF5" w:rsidRDefault="001E1DF5" w:rsidP="00E56976"/>
                                <w:p w:rsidR="001E1DF5" w:rsidRDefault="001E1DF5" w:rsidP="00E56976"/>
                                <w:p w:rsidR="001E1DF5" w:rsidRPr="00FF33E4" w:rsidRDefault="001E1DF5" w:rsidP="00E56976">
                                  <w:pPr>
                                    <w:rPr>
                                      <w:lang w:val="ru-RU"/>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5" name="Овал 55"/>
                            <wps:cNvSpPr/>
                            <wps:spPr>
                              <a:xfrm>
                                <a:off x="1074902" y="1721224"/>
                                <a:ext cx="1043940" cy="977900"/>
                              </a:xfrm>
                              <a:prstGeom prst="ellipse">
                                <a:avLst/>
                              </a:prstGeom>
                              <a:solidFill>
                                <a:sysClr val="window" lastClr="FFFFFF"/>
                              </a:solidFill>
                              <a:ln w="12700" cap="flat" cmpd="sng" algn="ctr">
                                <a:solidFill>
                                  <a:sysClr val="windowText" lastClr="000000"/>
                                </a:solidFill>
                                <a:prstDash val="solid"/>
                                <a:miter lim="800000"/>
                              </a:ln>
                              <a:effectLst/>
                            </wps:spPr>
                            <wps:txbx>
                              <w:txbxContent>
                                <w:p w:rsidR="001E1DF5" w:rsidRPr="00A07DEB" w:rsidRDefault="001E1DF5" w:rsidP="00E56976">
                                  <w:pPr>
                                    <w:jc w:val="center"/>
                                    <w:rPr>
                                      <w:b/>
                                      <w:sz w:val="18"/>
                                      <w:szCs w:val="18"/>
                                      <w:lang w:val="ru-RU"/>
                                    </w:rPr>
                                  </w:pPr>
                                  <w:r w:rsidRPr="00A07DEB">
                                    <w:rPr>
                                      <w:b/>
                                      <w:sz w:val="18"/>
                                      <w:szCs w:val="18"/>
                                      <w:lang w:val="ru-RU"/>
                                    </w:rPr>
                                    <w:t>ДИТИНА</w:t>
                                  </w:r>
                                </w:p>
                                <w:p w:rsidR="001E1DF5" w:rsidRPr="00A07DEB" w:rsidRDefault="001E1DF5" w:rsidP="00E56976">
                                  <w:pPr>
                                    <w:jc w:val="center"/>
                                    <w:rPr>
                                      <w:b/>
                                      <w:sz w:val="18"/>
                                      <w:szCs w:val="18"/>
                                      <w:lang w:val="ru-RU"/>
                                    </w:rPr>
                                  </w:pPr>
                                  <w:r w:rsidRPr="00A07DEB">
                                    <w:rPr>
                                      <w:b/>
                                      <w:sz w:val="18"/>
                                      <w:szCs w:val="18"/>
                                      <w:lang w:val="ru-RU"/>
                                    </w:rPr>
                                    <w:t>РОДИНА</w:t>
                                  </w:r>
                                </w:p>
                                <w:p w:rsidR="001E1DF5" w:rsidRPr="008200DD" w:rsidRDefault="001E1DF5" w:rsidP="00E56976">
                                  <w:pPr>
                                    <w:jc w:val="center"/>
                                    <w:rPr>
                                      <w:b/>
                                      <w:lang w:val="ru-RU"/>
                                    </w:rPr>
                                  </w:pPr>
                                  <w:r w:rsidRPr="00D24FC3">
                                    <w:rPr>
                                      <w:noProof/>
                                      <w:lang w:val="ru-RU" w:eastAsia="ru-RU"/>
                                    </w:rPr>
                                    <w:drawing>
                                      <wp:inline distT="0" distB="0" distL="0" distR="0" wp14:anchorId="0043A6FE" wp14:editId="3E6A09A8">
                                        <wp:extent cx="349250" cy="247650"/>
                                        <wp:effectExtent l="0" t="0" r="0" b="0"/>
                                        <wp:docPr id="1172" name="Рисунок 1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349250" cy="247650"/>
                                                </a:xfrm>
                                                <a:prstGeom prst="rect">
                                                  <a:avLst/>
                                                </a:prstGeom>
                                                <a:noFill/>
                                                <a:ln>
                                                  <a:noFill/>
                                                </a:ln>
                                              </pic:spPr>
                                            </pic:pic>
                                          </a:graphicData>
                                        </a:graphic>
                                      </wp:inline>
                                    </w:drawing>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s:wsp>
                            <wps:cNvPr id="97" name="Овал 97"/>
                            <wps:cNvSpPr/>
                            <wps:spPr>
                              <a:xfrm>
                                <a:off x="1192259" y="1320257"/>
                                <a:ext cx="827405" cy="503555"/>
                              </a:xfrm>
                              <a:prstGeom prst="ellipse">
                                <a:avLst/>
                              </a:prstGeom>
                              <a:solidFill>
                                <a:srgbClr val="70AD47">
                                  <a:lumMod val="20000"/>
                                  <a:lumOff val="80000"/>
                                </a:srgbClr>
                              </a:solidFill>
                              <a:ln w="19050" cap="flat" cmpd="sng" algn="ctr">
                                <a:solidFill>
                                  <a:srgbClr val="00B050"/>
                                </a:solidFill>
                                <a:prstDash val="solid"/>
                                <a:miter lim="800000"/>
                              </a:ln>
                              <a:effectLst/>
                            </wps:spPr>
                            <wps:txbx>
                              <w:txbxContent>
                                <w:p w:rsidR="001E1DF5" w:rsidRPr="00F87883" w:rsidRDefault="001E1DF5" w:rsidP="00F87883">
                                  <w:pPr>
                                    <w:spacing w:line="200" w:lineRule="exact"/>
                                    <w:jc w:val="center"/>
                                    <w:rPr>
                                      <w:b/>
                                      <w:spacing w:val="-22"/>
                                      <w:sz w:val="22"/>
                                    </w:rPr>
                                  </w:pPr>
                                  <w:r w:rsidRPr="00F87883">
                                    <w:rPr>
                                      <w:b/>
                                      <w:spacing w:val="-22"/>
                                      <w:sz w:val="22"/>
                                    </w:rPr>
                                    <w:t>Владний рівень</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113" name="Овал 113"/>
                            <wps:cNvSpPr/>
                            <wps:spPr>
                              <a:xfrm>
                                <a:off x="457529" y="2058623"/>
                                <a:ext cx="917272" cy="562610"/>
                              </a:xfrm>
                              <a:prstGeom prst="ellipse">
                                <a:avLst/>
                              </a:prstGeom>
                              <a:solidFill>
                                <a:srgbClr val="4472C4">
                                  <a:lumMod val="20000"/>
                                  <a:lumOff val="80000"/>
                                </a:srgbClr>
                              </a:solidFill>
                              <a:ln w="19050" cap="flat" cmpd="sng" algn="ctr">
                                <a:solidFill>
                                  <a:srgbClr val="5B9BD5">
                                    <a:lumMod val="75000"/>
                                  </a:srgbClr>
                                </a:solidFill>
                                <a:prstDash val="solid"/>
                                <a:miter lim="800000"/>
                              </a:ln>
                              <a:effectLst/>
                            </wps:spPr>
                            <wps:txbx>
                              <w:txbxContent>
                                <w:p w:rsidR="001E1DF5" w:rsidRPr="00F87883" w:rsidRDefault="001E1DF5" w:rsidP="00E56976">
                                  <w:pPr>
                                    <w:spacing w:line="180" w:lineRule="exact"/>
                                    <w:jc w:val="center"/>
                                    <w:rPr>
                                      <w:b/>
                                      <w:sz w:val="22"/>
                                    </w:rPr>
                                  </w:pPr>
                                  <w:r w:rsidRPr="00F87883">
                                    <w:rPr>
                                      <w:b/>
                                      <w:spacing w:val="-18"/>
                                      <w:sz w:val="22"/>
                                    </w:rPr>
                                    <w:t>Локальний рівен</w:t>
                                  </w:r>
                                  <w:r w:rsidRPr="00F87883">
                                    <w:rPr>
                                      <w:b/>
                                      <w:sz w:val="22"/>
                                    </w:rPr>
                                    <w:t>ь: громада</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114" name="Овал 114"/>
                            <wps:cNvSpPr/>
                            <wps:spPr>
                              <a:xfrm>
                                <a:off x="1153140" y="2523157"/>
                                <a:ext cx="827405" cy="581892"/>
                              </a:xfrm>
                              <a:prstGeom prst="ellipse">
                                <a:avLst/>
                              </a:prstGeom>
                              <a:solidFill>
                                <a:srgbClr val="FFC000">
                                  <a:lumMod val="20000"/>
                                  <a:lumOff val="80000"/>
                                </a:srgbClr>
                              </a:solidFill>
                              <a:ln w="19050" cap="flat" cmpd="sng" algn="ctr">
                                <a:solidFill>
                                  <a:srgbClr val="FFC000">
                                    <a:lumMod val="75000"/>
                                  </a:srgbClr>
                                </a:solidFill>
                                <a:prstDash val="solid"/>
                                <a:miter lim="800000"/>
                              </a:ln>
                              <a:effectLst/>
                            </wps:spPr>
                            <wps:txbx>
                              <w:txbxContent>
                                <w:p w:rsidR="001E1DF5" w:rsidRPr="00A07DEB" w:rsidRDefault="001E1DF5" w:rsidP="00E56976">
                                  <w:pPr>
                                    <w:spacing w:line="180" w:lineRule="exact"/>
                                    <w:jc w:val="center"/>
                                    <w:rPr>
                                      <w:b/>
                                      <w:spacing w:val="-18"/>
                                      <w:sz w:val="20"/>
                                      <w:szCs w:val="20"/>
                                    </w:rPr>
                                  </w:pPr>
                                  <w:r w:rsidRPr="00F87883">
                                    <w:rPr>
                                      <w:b/>
                                      <w:spacing w:val="-18"/>
                                      <w:sz w:val="22"/>
                                    </w:rPr>
                                    <w:t>Міжсекто-ральний</w:t>
                                  </w:r>
                                  <w:r w:rsidRPr="00A07DEB">
                                    <w:rPr>
                                      <w:b/>
                                      <w:spacing w:val="-18"/>
                                      <w:sz w:val="20"/>
                                      <w:szCs w:val="20"/>
                                    </w:rPr>
                                    <w:t xml:space="preserve"> </w:t>
                                  </w:r>
                                  <w:r w:rsidRPr="00F87883">
                                    <w:rPr>
                                      <w:b/>
                                      <w:spacing w:val="-18"/>
                                      <w:sz w:val="22"/>
                                    </w:rPr>
                                    <w:t>рівень</w:t>
                                  </w:r>
                                  <w:r>
                                    <w:rPr>
                                      <w:b/>
                                      <w:spacing w:val="-18"/>
                                      <w:sz w:val="20"/>
                                      <w:szCs w:val="20"/>
                                    </w:rPr>
                                    <w:t xml:space="preserve"> </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115" name="Овал 115"/>
                            <wps:cNvSpPr/>
                            <wps:spPr>
                              <a:xfrm>
                                <a:off x="1774149" y="2087962"/>
                                <a:ext cx="828000" cy="562610"/>
                              </a:xfrm>
                              <a:prstGeom prst="ellipse">
                                <a:avLst/>
                              </a:prstGeom>
                              <a:solidFill>
                                <a:srgbClr val="ED7D31">
                                  <a:lumMod val="20000"/>
                                  <a:lumOff val="80000"/>
                                </a:srgbClr>
                              </a:solidFill>
                              <a:ln w="19050" cap="flat" cmpd="sng" algn="ctr">
                                <a:solidFill>
                                  <a:srgbClr val="ED7D31">
                                    <a:lumMod val="75000"/>
                                  </a:srgbClr>
                                </a:solidFill>
                                <a:prstDash val="dash"/>
                                <a:miter lim="800000"/>
                              </a:ln>
                              <a:effectLst/>
                            </wps:spPr>
                            <wps:txbx>
                              <w:txbxContent>
                                <w:p w:rsidR="001E1DF5" w:rsidRPr="00A07DEB" w:rsidRDefault="001E1DF5" w:rsidP="00E56976">
                                  <w:pPr>
                                    <w:spacing w:line="180" w:lineRule="exact"/>
                                    <w:jc w:val="center"/>
                                    <w:rPr>
                                      <w:b/>
                                      <w:spacing w:val="-18"/>
                                      <w:sz w:val="20"/>
                                      <w:szCs w:val="20"/>
                                    </w:rPr>
                                  </w:pPr>
                                  <w:r w:rsidRPr="00F87883">
                                    <w:rPr>
                                      <w:b/>
                                      <w:spacing w:val="-18"/>
                                      <w:sz w:val="22"/>
                                    </w:rPr>
                                    <w:t>Галузевий</w:t>
                                  </w:r>
                                  <w:r w:rsidRPr="00A07DEB">
                                    <w:rPr>
                                      <w:b/>
                                      <w:spacing w:val="-18"/>
                                      <w:sz w:val="20"/>
                                      <w:szCs w:val="20"/>
                                    </w:rPr>
                                    <w:t xml:space="preserve"> </w:t>
                                  </w:r>
                                  <w:r w:rsidRPr="00F87883">
                                    <w:rPr>
                                      <w:b/>
                                      <w:spacing w:val="-18"/>
                                      <w:sz w:val="22"/>
                                    </w:rPr>
                                    <w:t>рівень</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116" name="Прямоугольник 116"/>
                            <wps:cNvSpPr/>
                            <wps:spPr>
                              <a:xfrm>
                                <a:off x="622807" y="-67565"/>
                                <a:ext cx="8152765" cy="287583"/>
                              </a:xfrm>
                              <a:prstGeom prst="rect">
                                <a:avLst/>
                              </a:prstGeom>
                              <a:solidFill>
                                <a:srgbClr val="E7E6E6"/>
                              </a:solidFill>
                              <a:ln w="12700" cap="flat" cmpd="sng" algn="ctr">
                                <a:solidFill>
                                  <a:sysClr val="windowText" lastClr="000000"/>
                                </a:solidFill>
                                <a:prstDash val="solid"/>
                                <a:miter lim="800000"/>
                              </a:ln>
                              <a:effectLst/>
                            </wps:spPr>
                            <wps:txbx>
                              <w:txbxContent>
                                <w:p w:rsidR="001E1DF5" w:rsidRPr="008F2693" w:rsidRDefault="001E1DF5" w:rsidP="00E56976">
                                  <w:pPr>
                                    <w:jc w:val="center"/>
                                    <w:rPr>
                                      <w:b/>
                                      <w:spacing w:val="-16"/>
                                      <w:lang w:val="ru-RU"/>
                                    </w:rPr>
                                  </w:pPr>
                                  <w:r w:rsidRPr="008F2693">
                                    <w:rPr>
                                      <w:b/>
                                      <w:spacing w:val="-16"/>
                                      <w:lang w:val="ru-RU"/>
                                    </w:rPr>
                                    <w:t xml:space="preserve">ЕФЕКТИВНЕ </w:t>
                                  </w:r>
                                  <w:r>
                                    <w:rPr>
                                      <w:b/>
                                      <w:spacing w:val="-16"/>
                                      <w:lang w:val="ru-RU"/>
                                    </w:rPr>
                                    <w:t>УПРАВЛІННЯ ПРОЦЕС</w:t>
                                  </w:r>
                                  <w:r w:rsidRPr="008F2693">
                                    <w:rPr>
                                      <w:b/>
                                      <w:spacing w:val="-16"/>
                                      <w:lang w:val="ru-RU"/>
                                    </w:rPr>
                                    <w:t>ОМ</w:t>
                                  </w:r>
                                  <w:r w:rsidRPr="008F2693">
                                    <w:rPr>
                                      <w:b/>
                                      <w:spacing w:val="-16"/>
                                    </w:rPr>
                                    <w:t xml:space="preserve">, </w:t>
                                  </w:r>
                                  <w:r>
                                    <w:rPr>
                                      <w:b/>
                                      <w:spacing w:val="-16"/>
                                    </w:rPr>
                                    <w:t xml:space="preserve"> </w:t>
                                  </w:r>
                                  <w:r w:rsidRPr="008F2693">
                                    <w:rPr>
                                      <w:b/>
                                      <w:spacing w:val="-16"/>
                                    </w:rPr>
                                    <w:t xml:space="preserve">ІНТЕГРАЦІЯ, </w:t>
                                  </w:r>
                                  <w:r w:rsidRPr="008F2693">
                                    <w:rPr>
                                      <w:b/>
                                      <w:spacing w:val="-16"/>
                                      <w:lang w:val="ru-RU"/>
                                    </w:rPr>
                                    <w:t>ПЛАНУВАННЯ</w:t>
                                  </w:r>
                                  <w:r>
                                    <w:rPr>
                                      <w:b/>
                                      <w:spacing w:val="-16"/>
                                    </w:rPr>
                                    <w:t xml:space="preserve">, </w:t>
                                  </w:r>
                                  <w:r w:rsidRPr="008F2693">
                                    <w:rPr>
                                      <w:b/>
                                      <w:spacing w:val="-16"/>
                                    </w:rPr>
                                    <w:t>РЕСУРСНЕ ЗАБЕЗПЕЧЕННЯ ФІНАНСУВАННЯ</w:t>
                                  </w:r>
                                  <w:r w:rsidRPr="008F2693">
                                    <w:rPr>
                                      <w:b/>
                                      <w:spacing w:val="-16"/>
                                      <w:lang w:val="ru-RU"/>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7" name="Прямоугольник 117"/>
                            <wps:cNvSpPr/>
                            <wps:spPr>
                              <a:xfrm rot="16200000">
                                <a:off x="-3054567" y="3229740"/>
                                <a:ext cx="6396790" cy="287655"/>
                              </a:xfrm>
                              <a:prstGeom prst="rect">
                                <a:avLst/>
                              </a:prstGeom>
                              <a:solidFill>
                                <a:srgbClr val="FFC000">
                                  <a:lumMod val="40000"/>
                                  <a:lumOff val="60000"/>
                                </a:srgbClr>
                              </a:solidFill>
                              <a:ln w="12700" cap="flat" cmpd="sng" algn="ctr">
                                <a:solidFill>
                                  <a:sysClr val="windowText" lastClr="000000"/>
                                </a:solidFill>
                                <a:prstDash val="solid"/>
                                <a:miter lim="800000"/>
                              </a:ln>
                              <a:effectLst/>
                            </wps:spPr>
                            <wps:txbx>
                              <w:txbxContent>
                                <w:p w:rsidR="001E1DF5" w:rsidRPr="00253220" w:rsidRDefault="001E1DF5" w:rsidP="00E56976">
                                  <w:pPr>
                                    <w:jc w:val="center"/>
                                    <w:rPr>
                                      <w:b/>
                                      <w:spacing w:val="-16"/>
                                      <w:sz w:val="22"/>
                                    </w:rPr>
                                  </w:pPr>
                                  <w:r w:rsidRPr="00253220">
                                    <w:rPr>
                                      <w:b/>
                                      <w:spacing w:val="-16"/>
                                      <w:sz w:val="22"/>
                                    </w:rPr>
                                    <w:t xml:space="preserve">ДОТРИМАННЯ ПРАВ ЛЮДИНИ </w:t>
                                  </w:r>
                                  <w:r w:rsidRPr="00253220">
                                    <w:rPr>
                                      <w:b/>
                                      <w:spacing w:val="-16"/>
                                      <w:sz w:val="22"/>
                                      <w:lang w:val="ru-RU"/>
                                    </w:rPr>
                                    <w:t xml:space="preserve">ТА </w:t>
                                  </w:r>
                                  <w:r w:rsidRPr="00253220">
                                    <w:rPr>
                                      <w:b/>
                                      <w:spacing w:val="-16"/>
                                      <w:sz w:val="22"/>
                                    </w:rPr>
                                    <w:t>ВИМОГ ЗАКОНОДАВСТВА В СФЕРІ ПРОТИДІЇ НАСИЛЬСТВУ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8" name="Прямоугольник 118"/>
                            <wps:cNvSpPr/>
                            <wps:spPr>
                              <a:xfrm>
                                <a:off x="581029" y="288501"/>
                                <a:ext cx="2103120" cy="467995"/>
                              </a:xfrm>
                              <a:prstGeom prst="rect">
                                <a:avLst/>
                              </a:prstGeom>
                              <a:solidFill>
                                <a:sysClr val="window" lastClr="FFFFFF">
                                  <a:lumMod val="85000"/>
                                </a:sysClr>
                              </a:solidFill>
                              <a:ln w="12700" cap="flat" cmpd="sng" algn="ctr">
                                <a:solidFill>
                                  <a:sysClr val="windowText" lastClr="000000"/>
                                </a:solidFill>
                                <a:prstDash val="solid"/>
                                <a:miter lim="800000"/>
                              </a:ln>
                              <a:effectLst/>
                            </wps:spPr>
                            <wps:txbx>
                              <w:txbxContent>
                                <w:p w:rsidR="001E1DF5" w:rsidRPr="0003454D" w:rsidRDefault="001E1DF5" w:rsidP="00E56976">
                                  <w:pPr>
                                    <w:jc w:val="center"/>
                                    <w:rPr>
                                      <w:b/>
                                      <w:sz w:val="20"/>
                                      <w:szCs w:val="20"/>
                                    </w:rPr>
                                  </w:pPr>
                                  <w:r w:rsidRPr="0003454D">
                                    <w:rPr>
                                      <w:b/>
                                      <w:sz w:val="20"/>
                                      <w:szCs w:val="20"/>
                                    </w:rPr>
                                    <w:t>ІННОВАЦІЙНІ СТРУКТУРНІ ТА ОРГАНІЗАЦІЙНІ ЕЛЕМЕНТИ</w:t>
                                  </w:r>
                                  <w:r>
                                    <w:rPr>
                                      <w:b/>
                                      <w:sz w:val="20"/>
                                      <w:szCs w:val="20"/>
                                    </w:rPr>
                                    <w:t xml:space="preserve"> СИСТЕМИ</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s:wsp>
                            <wps:cNvPr id="119" name="Прямоугольник 119"/>
                            <wps:cNvSpPr/>
                            <wps:spPr>
                              <a:xfrm>
                                <a:off x="2947711" y="288501"/>
                                <a:ext cx="4464000" cy="251460"/>
                              </a:xfrm>
                              <a:prstGeom prst="rect">
                                <a:avLst/>
                              </a:prstGeom>
                              <a:solidFill>
                                <a:srgbClr val="70AD47">
                                  <a:lumMod val="20000"/>
                                  <a:lumOff val="80000"/>
                                </a:srgbClr>
                              </a:solidFill>
                              <a:ln w="19050" cap="flat" cmpd="sng" algn="ctr">
                                <a:solidFill>
                                  <a:srgbClr val="00B050"/>
                                </a:solidFill>
                                <a:prstDash val="solid"/>
                                <a:miter lim="800000"/>
                              </a:ln>
                              <a:effectLst/>
                            </wps:spPr>
                            <wps:txbx>
                              <w:txbxContent>
                                <w:p w:rsidR="001E1DF5" w:rsidRPr="00225A2F" w:rsidRDefault="001E1DF5" w:rsidP="00E56976">
                                  <w:pPr>
                                    <w:spacing w:line="180" w:lineRule="exact"/>
                                    <w:ind w:left="57" w:right="57"/>
                                    <w:rPr>
                                      <w:noProof/>
                                      <w:sz w:val="19"/>
                                      <w:szCs w:val="19"/>
                                      <w:lang w:val="ru-RU" w:eastAsia="ru-RU"/>
                                    </w:rPr>
                                  </w:pPr>
                                  <w:r w:rsidRPr="00225A2F">
                                    <w:rPr>
                                      <w:b/>
                                      <w:noProof/>
                                      <w:sz w:val="19"/>
                                      <w:szCs w:val="19"/>
                                      <w:lang w:val="ru-RU" w:eastAsia="ru-RU"/>
                                    </w:rPr>
                                    <w:t xml:space="preserve">ВР України ЗУ: </w:t>
                                  </w:r>
                                  <w:r w:rsidRPr="00225A2F">
                                    <w:rPr>
                                      <w:noProof/>
                                      <w:sz w:val="19"/>
                                      <w:szCs w:val="19"/>
                                      <w:lang w:val="ru-RU" w:eastAsia="ru-RU"/>
                                    </w:rPr>
                                    <w:t>«</w:t>
                                  </w:r>
                                  <w:r w:rsidRPr="00225A2F">
                                    <w:rPr>
                                      <w:bCs/>
                                      <w:noProof/>
                                      <w:sz w:val="19"/>
                                      <w:szCs w:val="19"/>
                                      <w:lang w:val="ru-RU" w:eastAsia="ru-RU"/>
                                    </w:rPr>
                                    <w:t>Про державні фінансові гарантії медичного обслуговування населення» та прийняття інших законів, що стосуються ОЗ матері та дитини</w:t>
                                  </w:r>
                                </w:p>
                                <w:p w:rsidR="001E1DF5" w:rsidRPr="00BB16D3" w:rsidRDefault="001E1DF5" w:rsidP="00E56976">
                                  <w:pPr>
                                    <w:spacing w:line="180" w:lineRule="exact"/>
                                    <w:ind w:left="57" w:right="57"/>
                                    <w:rPr>
                                      <w:b/>
                                      <w:noProof/>
                                      <w:sz w:val="18"/>
                                      <w:szCs w:val="18"/>
                                      <w:u w:val="single"/>
                                      <w:lang w:val="ru-RU" w:eastAsia="ru-RU"/>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s:wsp>
                            <wps:cNvPr id="120" name="Прямоугольник 120"/>
                            <wps:cNvSpPr/>
                            <wps:spPr>
                              <a:xfrm>
                                <a:off x="2957491" y="1892368"/>
                                <a:ext cx="4463415" cy="550545"/>
                              </a:xfrm>
                              <a:prstGeom prst="rect">
                                <a:avLst/>
                              </a:prstGeom>
                              <a:solidFill>
                                <a:srgbClr val="70AD47">
                                  <a:lumMod val="20000"/>
                                  <a:lumOff val="80000"/>
                                </a:srgbClr>
                              </a:solidFill>
                              <a:ln w="19050" cap="flat" cmpd="sng" algn="ctr">
                                <a:solidFill>
                                  <a:srgbClr val="00B050"/>
                                </a:solidFill>
                                <a:prstDash val="solid"/>
                                <a:miter lim="800000"/>
                              </a:ln>
                              <a:effectLst/>
                            </wps:spPr>
                            <wps:txbx>
                              <w:txbxContent>
                                <w:p w:rsidR="001E1DF5" w:rsidRPr="00225A2F" w:rsidRDefault="001E1DF5" w:rsidP="00E56976">
                                  <w:pPr>
                                    <w:tabs>
                                      <w:tab w:val="left" w:pos="142"/>
                                    </w:tabs>
                                    <w:spacing w:line="180" w:lineRule="exact"/>
                                    <w:ind w:right="57"/>
                                    <w:rPr>
                                      <w:b/>
                                      <w:bCs/>
                                      <w:noProof/>
                                      <w:sz w:val="19"/>
                                      <w:szCs w:val="19"/>
                                      <w:lang w:val="ru-RU" w:eastAsia="ru-RU"/>
                                    </w:rPr>
                                  </w:pPr>
                                  <w:r w:rsidRPr="00225A2F">
                                    <w:rPr>
                                      <w:b/>
                                      <w:bCs/>
                                      <w:noProof/>
                                      <w:sz w:val="19"/>
                                      <w:szCs w:val="19"/>
                                      <w:lang w:val="ru-RU" w:eastAsia="ru-RU"/>
                                    </w:rPr>
                                    <w:t xml:space="preserve">НСЗУ: </w:t>
                                  </w:r>
                                  <w:r w:rsidRPr="00225A2F">
                                    <w:rPr>
                                      <w:bCs/>
                                      <w:noProof/>
                                      <w:sz w:val="19"/>
                                      <w:szCs w:val="19"/>
                                      <w:lang w:val="ru-RU" w:eastAsia="ru-RU"/>
                                    </w:rPr>
                                    <w:t>Нова система фінансування; Программа медичних гарантій; ЕСОЗ, Єдина державна медична інформаційна система педіатричної допомоги,</w:t>
                                  </w:r>
                                  <w:r w:rsidRPr="00225A2F">
                                    <w:rPr>
                                      <w:rFonts w:eastAsia="Calibri"/>
                                      <w:sz w:val="19"/>
                                      <w:szCs w:val="19"/>
                                    </w:rPr>
                                    <w:t xml:space="preserve"> </w:t>
                                  </w:r>
                                  <w:r w:rsidRPr="00225A2F">
                                    <w:rPr>
                                      <w:bCs/>
                                      <w:noProof/>
                                      <w:sz w:val="19"/>
                                      <w:szCs w:val="19"/>
                                      <w:lang w:eastAsia="ru-RU"/>
                                    </w:rPr>
                                    <w:t>реєстри дітей за визначеними захворюваннями, у т.ч. новонароджених, які народились передчасно та/або хворими;</w:t>
                                  </w:r>
                                  <w:r w:rsidRPr="00225A2F">
                                    <w:rPr>
                                      <w:bCs/>
                                      <w:noProof/>
                                      <w:sz w:val="19"/>
                                      <w:szCs w:val="19"/>
                                      <w:lang w:val="ru-RU" w:eastAsia="ru-RU"/>
                                    </w:rPr>
                                    <w:t xml:space="preserve"> клінічний аудит та аналіз</w:t>
                                  </w:r>
                                </w:p>
                                <w:p w:rsidR="001E1DF5" w:rsidRPr="002801C6" w:rsidRDefault="001E1DF5" w:rsidP="00E56976">
                                  <w:pPr>
                                    <w:tabs>
                                      <w:tab w:val="left" w:pos="142"/>
                                    </w:tabs>
                                    <w:spacing w:line="180" w:lineRule="exact"/>
                                    <w:ind w:left="57" w:right="57"/>
                                    <w:rPr>
                                      <w:bCs/>
                                      <w:noProof/>
                                      <w:sz w:val="18"/>
                                      <w:szCs w:val="18"/>
                                      <w:lang w:val="ru-RU" w:eastAsia="ru-RU"/>
                                    </w:rPr>
                                  </w:pPr>
                                </w:p>
                                <w:p w:rsidR="001E1DF5" w:rsidRPr="002801C6" w:rsidRDefault="001E1DF5" w:rsidP="00E56976">
                                  <w:pPr>
                                    <w:tabs>
                                      <w:tab w:val="left" w:pos="142"/>
                                    </w:tabs>
                                    <w:spacing w:line="180" w:lineRule="exact"/>
                                    <w:ind w:left="57" w:right="57"/>
                                    <w:rPr>
                                      <w:bCs/>
                                      <w:noProof/>
                                      <w:sz w:val="18"/>
                                      <w:szCs w:val="18"/>
                                      <w:lang w:val="ru-RU" w:eastAsia="ru-RU"/>
                                    </w:rPr>
                                  </w:pPr>
                                </w:p>
                              </w:txbxContent>
                            </wps:txbx>
                            <wps:bodyPr rot="0" spcFirstLastPara="0" vertOverflow="overflow" horzOverflow="overflow" vert="horz" wrap="square" lIns="36000" tIns="36000" rIns="36000" bIns="36000" numCol="1" spcCol="0" rtlCol="0" fromWordArt="0" anchor="t" anchorCtr="0" forceAA="0" compatLnSpc="1">
                              <a:prstTxWarp prst="textNoShape">
                                <a:avLst/>
                              </a:prstTxWarp>
                              <a:noAutofit/>
                            </wps:bodyPr>
                          </wps:wsp>
                          <wps:wsp>
                            <wps:cNvPr id="121" name="Прямоугольник 121"/>
                            <wps:cNvSpPr/>
                            <wps:spPr>
                              <a:xfrm>
                                <a:off x="2947527" y="2483330"/>
                                <a:ext cx="4247515" cy="543827"/>
                              </a:xfrm>
                              <a:prstGeom prst="rect">
                                <a:avLst/>
                              </a:prstGeom>
                              <a:solidFill>
                                <a:srgbClr val="70AD47">
                                  <a:lumMod val="20000"/>
                                  <a:lumOff val="80000"/>
                                </a:srgbClr>
                              </a:solidFill>
                              <a:ln w="19050" cap="flat" cmpd="sng" algn="ctr">
                                <a:solidFill>
                                  <a:srgbClr val="00B050"/>
                                </a:solidFill>
                                <a:prstDash val="solid"/>
                                <a:miter lim="800000"/>
                              </a:ln>
                              <a:effectLst/>
                            </wps:spPr>
                            <wps:txbx>
                              <w:txbxContent>
                                <w:p w:rsidR="001E1DF5" w:rsidRPr="00225A2F" w:rsidRDefault="001E1DF5" w:rsidP="00F43A11">
                                  <w:pPr>
                                    <w:spacing w:line="180" w:lineRule="exact"/>
                                    <w:ind w:right="57"/>
                                    <w:rPr>
                                      <w:rFonts w:eastAsia="Calibri"/>
                                      <w:sz w:val="19"/>
                                      <w:szCs w:val="19"/>
                                    </w:rPr>
                                  </w:pPr>
                                  <w:r>
                                    <w:rPr>
                                      <w:rFonts w:eastAsia="Calibri"/>
                                      <w:b/>
                                      <w:sz w:val="19"/>
                                      <w:szCs w:val="19"/>
                                    </w:rPr>
                                    <w:t>Регіональні та місцеві органи влади</w:t>
                                  </w:r>
                                  <w:r w:rsidRPr="00225A2F">
                                    <w:rPr>
                                      <w:rFonts w:eastAsia="Calibri"/>
                                      <w:b/>
                                      <w:sz w:val="19"/>
                                      <w:szCs w:val="19"/>
                                    </w:rPr>
                                    <w:t>:</w:t>
                                  </w:r>
                                  <w:r w:rsidRPr="00225A2F">
                                    <w:rPr>
                                      <w:rFonts w:eastAsia="Calibri"/>
                                      <w:sz w:val="19"/>
                                      <w:szCs w:val="19"/>
                                    </w:rPr>
                                    <w:t xml:space="preserve"> Регіональна комплексна цільова програма з охорони дитинства, Обласна міжсекторальна координаційна рада з ініціації та імплементації скоординованих та узгоджених заходів. Відповідальність обласних</w:t>
                                  </w:r>
                                  <w:r>
                                    <w:rPr>
                                      <w:rFonts w:eastAsia="Calibri"/>
                                      <w:sz w:val="19"/>
                                      <w:szCs w:val="19"/>
                                    </w:rPr>
                                    <w:t xml:space="preserve"> адміністрацій</w:t>
                                  </w:r>
                                  <w:r w:rsidRPr="00225A2F">
                                    <w:rPr>
                                      <w:rFonts w:eastAsia="Calibri"/>
                                      <w:sz w:val="19"/>
                                      <w:szCs w:val="19"/>
                                    </w:rPr>
                                    <w:t>, об’єднаних громад за міжбюджетне фінансування ЗОЗ</w:t>
                                  </w:r>
                                </w:p>
                                <w:p w:rsidR="001E1DF5" w:rsidRPr="002801C6" w:rsidRDefault="001E1DF5" w:rsidP="00F43A11">
                                  <w:pPr>
                                    <w:spacing w:line="180" w:lineRule="exact"/>
                                    <w:ind w:left="57" w:right="57"/>
                                    <w:jc w:val="center"/>
                                    <w:rPr>
                                      <w:sz w:val="18"/>
                                      <w:szCs w:val="18"/>
                                      <w:lang w:val="ru-RU"/>
                                    </w:rPr>
                                  </w:pPr>
                                </w:p>
                              </w:txbxContent>
                            </wps:txbx>
                            <wps:bodyPr rot="0" spcFirstLastPara="0" vertOverflow="overflow" horzOverflow="overflow" vert="horz" wrap="square" lIns="0" tIns="0" rIns="36000" bIns="36000" numCol="1" spcCol="0" rtlCol="0" fromWordArt="0" anchor="ctr" anchorCtr="0" forceAA="0" compatLnSpc="1">
                              <a:prstTxWarp prst="textNoShape">
                                <a:avLst/>
                              </a:prstTxWarp>
                              <a:noAutofit/>
                            </wps:bodyPr>
                          </wps:wsp>
                          <wps:wsp>
                            <wps:cNvPr id="122" name="Прямоугольник 122"/>
                            <wps:cNvSpPr/>
                            <wps:spPr>
                              <a:xfrm>
                                <a:off x="2958684" y="5258262"/>
                                <a:ext cx="4373245" cy="435610"/>
                              </a:xfrm>
                              <a:prstGeom prst="rect">
                                <a:avLst/>
                              </a:prstGeom>
                              <a:solidFill>
                                <a:srgbClr val="FFC000">
                                  <a:lumMod val="20000"/>
                                  <a:lumOff val="80000"/>
                                </a:srgbClr>
                              </a:solidFill>
                              <a:ln w="19050" cap="flat" cmpd="sng" algn="ctr">
                                <a:solidFill>
                                  <a:srgbClr val="FFC000">
                                    <a:lumMod val="75000"/>
                                  </a:srgbClr>
                                </a:solidFill>
                                <a:prstDash val="sysDash"/>
                                <a:miter lim="800000"/>
                              </a:ln>
                              <a:effectLst/>
                            </wps:spPr>
                            <wps:txbx>
                              <w:txbxContent>
                                <w:p w:rsidR="001E1DF5" w:rsidRPr="00225A2F" w:rsidRDefault="001E1DF5" w:rsidP="00E56976">
                                  <w:pPr>
                                    <w:spacing w:line="180" w:lineRule="exact"/>
                                    <w:rPr>
                                      <w:sz w:val="19"/>
                                      <w:szCs w:val="19"/>
                                    </w:rPr>
                                  </w:pPr>
                                  <w:r w:rsidRPr="00225A2F">
                                    <w:rPr>
                                      <w:sz w:val="19"/>
                                      <w:szCs w:val="19"/>
                                    </w:rPr>
                                    <w:t xml:space="preserve">Заклади, що надають послуги з раннього втручання; </w:t>
                                  </w:r>
                                </w:p>
                                <w:p w:rsidR="001E1DF5" w:rsidRPr="00225A2F" w:rsidRDefault="001E1DF5" w:rsidP="00E56976">
                                  <w:pPr>
                                    <w:spacing w:line="180" w:lineRule="exact"/>
                                    <w:rPr>
                                      <w:sz w:val="19"/>
                                      <w:szCs w:val="19"/>
                                    </w:rPr>
                                  </w:pPr>
                                  <w:r w:rsidRPr="00225A2F">
                                    <w:rPr>
                                      <w:sz w:val="19"/>
                                      <w:szCs w:val="19"/>
                                    </w:rPr>
                                    <w:t>Заклади, що надають послуги з реабілітації;</w:t>
                                  </w:r>
                                </w:p>
                                <w:p w:rsidR="001E1DF5" w:rsidRPr="00225A2F" w:rsidRDefault="001E1DF5" w:rsidP="00E56976">
                                  <w:pPr>
                                    <w:spacing w:line="180" w:lineRule="exact"/>
                                    <w:rPr>
                                      <w:sz w:val="19"/>
                                      <w:szCs w:val="19"/>
                                      <w:lang w:val="ru-RU"/>
                                    </w:rPr>
                                  </w:pPr>
                                  <w:r w:rsidRPr="00225A2F">
                                    <w:rPr>
                                      <w:sz w:val="19"/>
                                      <w:szCs w:val="19"/>
                                    </w:rPr>
                                    <w:t xml:space="preserve">Заклади, що надають послуги з паліативної допомоги </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s:wsp>
                            <wps:cNvPr id="123" name="Прямоугольник 123"/>
                            <wps:cNvSpPr/>
                            <wps:spPr>
                              <a:xfrm>
                                <a:off x="7465923" y="806824"/>
                                <a:ext cx="1411605" cy="1327785"/>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1E1DF5" w:rsidRPr="00225A2F" w:rsidRDefault="001E1DF5" w:rsidP="00E56976">
                                  <w:pPr>
                                    <w:spacing w:line="180" w:lineRule="exact"/>
                                    <w:ind w:left="57" w:right="57"/>
                                    <w:jc w:val="center"/>
                                    <w:rPr>
                                      <w:sz w:val="19"/>
                                      <w:szCs w:val="19"/>
                                    </w:rPr>
                                  </w:pPr>
                                  <w:r w:rsidRPr="00225A2F">
                                    <w:rPr>
                                      <w:b/>
                                      <w:sz w:val="19"/>
                                      <w:szCs w:val="19"/>
                                    </w:rPr>
                                    <w:t>Медичні:</w:t>
                                  </w:r>
                                  <w:r w:rsidRPr="00225A2F">
                                    <w:rPr>
                                      <w:sz w:val="19"/>
                                      <w:szCs w:val="19"/>
                                    </w:rPr>
                                    <w:t xml:space="preserve"> </w:t>
                                  </w:r>
                                </w:p>
                                <w:p w:rsidR="001E1DF5" w:rsidRPr="00225A2F" w:rsidRDefault="001E1DF5" w:rsidP="00E56976">
                                  <w:pPr>
                                    <w:spacing w:after="120" w:line="180" w:lineRule="exact"/>
                                    <w:ind w:left="57" w:right="57"/>
                                    <w:jc w:val="center"/>
                                    <w:rPr>
                                      <w:sz w:val="19"/>
                                      <w:szCs w:val="19"/>
                                    </w:rPr>
                                  </w:pPr>
                                  <w:r w:rsidRPr="00225A2F">
                                    <w:rPr>
                                      <w:sz w:val="19"/>
                                      <w:szCs w:val="19"/>
                                    </w:rPr>
                                    <w:t>Володіння достовірною інформацією в сфері ОЗ материнства та дитинства в режимі реального часу</w:t>
                                  </w:r>
                                </w:p>
                                <w:p w:rsidR="001E1DF5" w:rsidRPr="00225A2F" w:rsidRDefault="001E1DF5" w:rsidP="00E56976">
                                  <w:pPr>
                                    <w:spacing w:line="180" w:lineRule="exact"/>
                                    <w:ind w:left="57" w:right="57"/>
                                    <w:jc w:val="center"/>
                                    <w:rPr>
                                      <w:sz w:val="19"/>
                                      <w:szCs w:val="19"/>
                                    </w:rPr>
                                  </w:pPr>
                                  <w:r w:rsidRPr="00225A2F">
                                    <w:rPr>
                                      <w:sz w:val="19"/>
                                      <w:szCs w:val="19"/>
                                    </w:rPr>
                                    <w:t>Позитивні зміни інтегральних показників, що стосуються здоров’я дитячого населення</w:t>
                                  </w:r>
                                </w:p>
                              </w:txbxContent>
                            </wps:txbx>
                            <wps:bodyPr rot="0" spcFirstLastPara="0" vertOverflow="overflow" horzOverflow="overflow" vert="horz" wrap="square" lIns="0" tIns="36000" rIns="0" bIns="36000" numCol="1" spcCol="0" rtlCol="0" fromWordArt="0" anchor="t" anchorCtr="0" forceAA="0" compatLnSpc="1">
                              <a:prstTxWarp prst="textNoShape">
                                <a:avLst/>
                              </a:prstTxWarp>
                              <a:noAutofit/>
                            </wps:bodyPr>
                          </wps:wsp>
                          <wps:wsp>
                            <wps:cNvPr id="124" name="Прямоугольник 124"/>
                            <wps:cNvSpPr/>
                            <wps:spPr>
                              <a:xfrm>
                                <a:off x="7465923" y="2219988"/>
                                <a:ext cx="1411605" cy="1718297"/>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1E1DF5" w:rsidRPr="00225A2F" w:rsidRDefault="001E1DF5" w:rsidP="00E56976">
                                  <w:pPr>
                                    <w:spacing w:line="180" w:lineRule="exact"/>
                                    <w:ind w:left="57" w:right="57"/>
                                    <w:jc w:val="center"/>
                                    <w:rPr>
                                      <w:rFonts w:eastAsia="Calibri"/>
                                      <w:sz w:val="19"/>
                                      <w:szCs w:val="19"/>
                                    </w:rPr>
                                  </w:pPr>
                                  <w:r w:rsidRPr="00225A2F">
                                    <w:rPr>
                                      <w:rFonts w:eastAsia="Calibri"/>
                                      <w:b/>
                                      <w:sz w:val="19"/>
                                      <w:szCs w:val="19"/>
                                    </w:rPr>
                                    <w:t>Соціальні:</w:t>
                                  </w:r>
                                  <w:r w:rsidRPr="00225A2F">
                                    <w:rPr>
                                      <w:rFonts w:eastAsia="Calibri"/>
                                      <w:sz w:val="19"/>
                                      <w:szCs w:val="19"/>
                                    </w:rPr>
                                    <w:t xml:space="preserve"> </w:t>
                                  </w:r>
                                </w:p>
                                <w:p w:rsidR="001E1DF5" w:rsidRPr="00225A2F" w:rsidRDefault="001E1DF5" w:rsidP="00E56976">
                                  <w:pPr>
                                    <w:spacing w:line="180" w:lineRule="exact"/>
                                    <w:ind w:left="57" w:right="57"/>
                                    <w:jc w:val="center"/>
                                    <w:rPr>
                                      <w:rFonts w:eastAsia="Calibri"/>
                                      <w:sz w:val="19"/>
                                      <w:szCs w:val="19"/>
                                    </w:rPr>
                                  </w:pPr>
                                  <w:r w:rsidRPr="00225A2F">
                                    <w:rPr>
                                      <w:rFonts w:eastAsia="Calibri"/>
                                      <w:sz w:val="19"/>
                                      <w:szCs w:val="19"/>
                                    </w:rPr>
                                    <w:t>Зменшення витрат родини при отриманні медичних послуг</w:t>
                                  </w:r>
                                </w:p>
                                <w:p w:rsidR="001E1DF5" w:rsidRPr="00225A2F" w:rsidRDefault="001E1DF5" w:rsidP="00E56976">
                                  <w:pPr>
                                    <w:spacing w:line="180" w:lineRule="exact"/>
                                    <w:ind w:left="57" w:right="57"/>
                                    <w:jc w:val="center"/>
                                    <w:rPr>
                                      <w:rFonts w:eastAsia="Calibri"/>
                                      <w:sz w:val="19"/>
                                      <w:szCs w:val="19"/>
                                    </w:rPr>
                                  </w:pPr>
                                </w:p>
                                <w:p w:rsidR="001E1DF5" w:rsidRPr="00225A2F" w:rsidRDefault="001E1DF5" w:rsidP="00E56976">
                                  <w:pPr>
                                    <w:spacing w:after="120" w:line="180" w:lineRule="exact"/>
                                    <w:ind w:left="57" w:right="57"/>
                                    <w:jc w:val="center"/>
                                    <w:rPr>
                                      <w:rFonts w:eastAsia="Calibri"/>
                                      <w:sz w:val="19"/>
                                      <w:szCs w:val="19"/>
                                    </w:rPr>
                                  </w:pPr>
                                  <w:r w:rsidRPr="00225A2F">
                                    <w:rPr>
                                      <w:rFonts w:eastAsia="Calibri"/>
                                      <w:sz w:val="19"/>
                                      <w:szCs w:val="19"/>
                                    </w:rPr>
                                    <w:t>Задоволеність родини якістю надання медичної допомоги</w:t>
                                  </w:r>
                                </w:p>
                                <w:p w:rsidR="001E1DF5" w:rsidRDefault="001E1DF5" w:rsidP="00E56976">
                                  <w:pPr>
                                    <w:spacing w:after="120" w:line="180" w:lineRule="exact"/>
                                    <w:ind w:left="57" w:right="57"/>
                                    <w:jc w:val="center"/>
                                    <w:rPr>
                                      <w:rFonts w:eastAsia="Calibri"/>
                                      <w:sz w:val="19"/>
                                      <w:szCs w:val="19"/>
                                      <w:lang w:val="ru-RU"/>
                                    </w:rPr>
                                  </w:pPr>
                                  <w:r>
                                    <w:rPr>
                                      <w:rFonts w:eastAsia="Calibri"/>
                                      <w:sz w:val="19"/>
                                      <w:szCs w:val="19"/>
                                      <w:lang w:val="ru-RU"/>
                                    </w:rPr>
                                    <w:t>Допомога</w:t>
                                  </w:r>
                                  <w:r w:rsidRPr="00225A2F">
                                    <w:rPr>
                                      <w:rFonts w:eastAsia="Calibri"/>
                                      <w:sz w:val="19"/>
                                      <w:szCs w:val="19"/>
                                    </w:rPr>
                                    <w:t xml:space="preserve"> дітям з особливим</w:t>
                                  </w:r>
                                  <w:r w:rsidRPr="00225A2F">
                                    <w:rPr>
                                      <w:rFonts w:eastAsia="Calibri"/>
                                      <w:sz w:val="19"/>
                                      <w:szCs w:val="19"/>
                                      <w:lang w:val="ru-RU"/>
                                    </w:rPr>
                                    <w:t>и</w:t>
                                  </w:r>
                                  <w:r w:rsidRPr="00225A2F">
                                    <w:rPr>
                                      <w:rFonts w:eastAsia="Calibri"/>
                                      <w:sz w:val="19"/>
                                      <w:szCs w:val="19"/>
                                    </w:rPr>
                                    <w:t xml:space="preserve"> потребами</w:t>
                                  </w:r>
                                </w:p>
                                <w:p w:rsidR="001E1DF5" w:rsidRPr="00225A2F" w:rsidRDefault="001E1DF5" w:rsidP="00E56976">
                                  <w:pPr>
                                    <w:spacing w:after="120" w:line="180" w:lineRule="exact"/>
                                    <w:ind w:left="57" w:right="57"/>
                                    <w:jc w:val="center"/>
                                    <w:rPr>
                                      <w:rFonts w:eastAsia="Calibri"/>
                                      <w:sz w:val="19"/>
                                      <w:szCs w:val="19"/>
                                    </w:rPr>
                                  </w:pPr>
                                  <w:r w:rsidRPr="00225A2F">
                                    <w:rPr>
                                      <w:rFonts w:eastAsia="Calibri"/>
                                      <w:sz w:val="19"/>
                                      <w:szCs w:val="19"/>
                                    </w:rPr>
                                    <w:t xml:space="preserve">Покращення демографічної ситуації </w:t>
                                  </w:r>
                                </w:p>
                                <w:p w:rsidR="001E1DF5" w:rsidRPr="00B62FF1" w:rsidRDefault="001E1DF5" w:rsidP="00E56976">
                                  <w:pPr>
                                    <w:rPr>
                                      <w:lang w:val="ru-RU"/>
                                    </w:rPr>
                                  </w:pPr>
                                </w:p>
                              </w:txbxContent>
                            </wps:txbx>
                            <wps:bodyPr rot="0" spcFirstLastPara="0" vertOverflow="overflow" horzOverflow="overflow" vert="horz" wrap="square" lIns="0" tIns="36000" rIns="0" bIns="36000" numCol="1" spcCol="0" rtlCol="0" fromWordArt="0" anchor="t" anchorCtr="0" forceAA="0" compatLnSpc="1">
                              <a:prstTxWarp prst="textNoShape">
                                <a:avLst/>
                              </a:prstTxWarp>
                              <a:noAutofit/>
                            </wps:bodyPr>
                          </wps:wsp>
                          <wps:wsp>
                            <wps:cNvPr id="125" name="Прямоугольник 125"/>
                            <wps:cNvSpPr/>
                            <wps:spPr>
                              <a:xfrm>
                                <a:off x="7475236" y="4075539"/>
                                <a:ext cx="1431925" cy="1800894"/>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1E1DF5" w:rsidRPr="002B4100" w:rsidRDefault="001E1DF5" w:rsidP="00E56976">
                                  <w:pPr>
                                    <w:spacing w:line="180" w:lineRule="exact"/>
                                    <w:ind w:left="57" w:right="57"/>
                                    <w:jc w:val="center"/>
                                    <w:rPr>
                                      <w:rFonts w:eastAsia="Calibri"/>
                                      <w:sz w:val="19"/>
                                      <w:szCs w:val="19"/>
                                    </w:rPr>
                                  </w:pPr>
                                  <w:r w:rsidRPr="002B4100">
                                    <w:rPr>
                                      <w:rFonts w:eastAsia="Calibri"/>
                                      <w:b/>
                                      <w:sz w:val="19"/>
                                      <w:szCs w:val="19"/>
                                    </w:rPr>
                                    <w:t>Економічні:</w:t>
                                  </w:r>
                                </w:p>
                                <w:p w:rsidR="001E1DF5" w:rsidRPr="002B4100" w:rsidRDefault="001E1DF5" w:rsidP="00E56976">
                                  <w:pPr>
                                    <w:spacing w:after="120" w:line="180" w:lineRule="exact"/>
                                    <w:ind w:left="57" w:right="57"/>
                                    <w:jc w:val="center"/>
                                    <w:rPr>
                                      <w:rFonts w:eastAsia="Calibri"/>
                                      <w:sz w:val="19"/>
                                      <w:szCs w:val="19"/>
                                    </w:rPr>
                                  </w:pPr>
                                  <w:r w:rsidRPr="002B4100">
                                    <w:rPr>
                                      <w:rFonts w:eastAsia="Calibri"/>
                                      <w:sz w:val="19"/>
                                      <w:szCs w:val="19"/>
                                    </w:rPr>
                                    <w:t>Інформація щодо реальної вартості та кількості наданих медичних послуг дитячому населенню</w:t>
                                  </w:r>
                                </w:p>
                                <w:p w:rsidR="001E1DF5" w:rsidRPr="002B4100" w:rsidRDefault="001E1DF5" w:rsidP="00E56976">
                                  <w:pPr>
                                    <w:spacing w:after="120" w:line="180" w:lineRule="exact"/>
                                    <w:ind w:left="57" w:right="57"/>
                                    <w:jc w:val="center"/>
                                    <w:rPr>
                                      <w:rFonts w:eastAsia="Calibri"/>
                                      <w:sz w:val="19"/>
                                      <w:szCs w:val="19"/>
                                    </w:rPr>
                                  </w:pPr>
                                  <w:r w:rsidRPr="002B4100">
                                    <w:rPr>
                                      <w:rFonts w:eastAsia="Calibri"/>
                                      <w:sz w:val="19"/>
                                      <w:szCs w:val="19"/>
                                    </w:rPr>
                                    <w:t xml:space="preserve">Наближення до повного фінансового забезпечення реальної вартості послуг </w:t>
                                  </w:r>
                                </w:p>
                                <w:p w:rsidR="001E1DF5" w:rsidRPr="002B4100" w:rsidRDefault="001E1DF5" w:rsidP="00E56976">
                                  <w:pPr>
                                    <w:spacing w:after="120" w:line="180" w:lineRule="exact"/>
                                    <w:ind w:left="57" w:right="57"/>
                                    <w:jc w:val="center"/>
                                    <w:rPr>
                                      <w:rFonts w:eastAsia="Calibri"/>
                                      <w:sz w:val="19"/>
                                      <w:szCs w:val="19"/>
                                    </w:rPr>
                                  </w:pPr>
                                  <w:r w:rsidRPr="002B4100">
                                    <w:rPr>
                                      <w:rFonts w:eastAsia="Calibri"/>
                                      <w:sz w:val="19"/>
                                      <w:szCs w:val="19"/>
                                    </w:rPr>
                                    <w:t xml:space="preserve">Скорочення фінансування недоцільних та невідповідних галузевим стандартам медичних послуг  </w:t>
                                  </w:r>
                                </w:p>
                                <w:p w:rsidR="001E1DF5" w:rsidRPr="00B97F53" w:rsidRDefault="001E1DF5" w:rsidP="00E56976">
                                  <w:pPr>
                                    <w:spacing w:line="180" w:lineRule="exact"/>
                                    <w:ind w:left="57" w:right="57"/>
                                    <w:jc w:val="center"/>
                                    <w:rPr>
                                      <w:sz w:val="18"/>
                                      <w:szCs w:val="18"/>
                                    </w:rPr>
                                  </w:pPr>
                                </w:p>
                              </w:txbxContent>
                            </wps:txbx>
                            <wps:bodyPr rot="0" spcFirstLastPara="0" vertOverflow="overflow" horzOverflow="overflow" vert="horz" wrap="square" lIns="0" tIns="36000" rIns="0" bIns="36000" numCol="1" spcCol="0" rtlCol="0" fromWordArt="0" anchor="t" anchorCtr="0" forceAA="0" compatLnSpc="1">
                              <a:prstTxWarp prst="textNoShape">
                                <a:avLst/>
                              </a:prstTxWarp>
                              <a:noAutofit/>
                            </wps:bodyPr>
                          </wps:wsp>
                          <wps:wsp>
                            <wps:cNvPr id="1026" name="Левая фигурная скобка 1026"/>
                            <wps:cNvSpPr/>
                            <wps:spPr>
                              <a:xfrm>
                                <a:off x="282748" y="220043"/>
                                <a:ext cx="297180" cy="5952490"/>
                              </a:xfrm>
                              <a:prstGeom prst="leftBrace">
                                <a:avLst/>
                              </a:prstGeom>
                              <a:noFill/>
                              <a:ln w="1905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41" name="Правая фигурная скобка 1041"/>
                            <wps:cNvSpPr/>
                            <wps:spPr>
                              <a:xfrm>
                                <a:off x="8776400" y="220043"/>
                                <a:ext cx="359410" cy="5948045"/>
                              </a:xfrm>
                              <a:prstGeom prst="rightBrace">
                                <a:avLst>
                                  <a:gd name="adj1" fmla="val 0"/>
                                  <a:gd name="adj2" fmla="val 50000"/>
                                </a:avLst>
                              </a:prstGeom>
                              <a:noFill/>
                              <a:ln w="1905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57" name="Прямоугольник 1057"/>
                            <wps:cNvSpPr/>
                            <wps:spPr>
                              <a:xfrm>
                                <a:off x="546800" y="3921652"/>
                                <a:ext cx="1082675" cy="1807845"/>
                              </a:xfrm>
                              <a:prstGeom prst="rect">
                                <a:avLst/>
                              </a:prstGeom>
                              <a:solidFill>
                                <a:srgbClr val="4472C4">
                                  <a:lumMod val="20000"/>
                                  <a:lumOff val="80000"/>
                                </a:srgbClr>
                              </a:solidFill>
                              <a:ln w="12700" cap="flat" cmpd="sng" algn="ctr">
                                <a:solidFill>
                                  <a:sysClr val="windowText" lastClr="000000"/>
                                </a:solidFill>
                                <a:prstDash val="solid"/>
                                <a:miter lim="800000"/>
                              </a:ln>
                              <a:effectLst/>
                            </wps:spPr>
                            <wps:txbx>
                              <w:txbxContent>
                                <w:p w:rsidR="001E1DF5" w:rsidRPr="002B4100" w:rsidRDefault="001E1DF5" w:rsidP="00E56976">
                                  <w:pPr>
                                    <w:spacing w:line="180" w:lineRule="exact"/>
                                    <w:ind w:left="57" w:right="57"/>
                                    <w:jc w:val="center"/>
                                    <w:rPr>
                                      <w:sz w:val="19"/>
                                      <w:szCs w:val="19"/>
                                    </w:rPr>
                                  </w:pPr>
                                  <w:r w:rsidRPr="002B4100">
                                    <w:rPr>
                                      <w:sz w:val="19"/>
                                      <w:szCs w:val="19"/>
                                    </w:rPr>
                                    <w:t>Формуванням здорового способу життя, соціально-ефективного стереотипу сім’ї,</w:t>
                                  </w:r>
                                </w:p>
                                <w:p w:rsidR="001E1DF5" w:rsidRPr="002B4100" w:rsidRDefault="001E1DF5" w:rsidP="00E56976">
                                  <w:pPr>
                                    <w:spacing w:line="180" w:lineRule="exact"/>
                                    <w:ind w:left="57" w:right="57"/>
                                    <w:jc w:val="center"/>
                                    <w:rPr>
                                      <w:sz w:val="19"/>
                                      <w:szCs w:val="19"/>
                                    </w:rPr>
                                  </w:pPr>
                                  <w:r w:rsidRPr="002B4100">
                                    <w:rPr>
                                      <w:sz w:val="19"/>
                                      <w:szCs w:val="19"/>
                                    </w:rPr>
                                    <w:t>підвищення медичної активності сім’ї;</w:t>
                                  </w:r>
                                </w:p>
                                <w:p w:rsidR="001E1DF5" w:rsidRPr="002B4100" w:rsidRDefault="001E1DF5" w:rsidP="00E56976">
                                  <w:pPr>
                                    <w:spacing w:line="180" w:lineRule="exact"/>
                                    <w:ind w:left="57" w:right="57"/>
                                    <w:jc w:val="center"/>
                                    <w:rPr>
                                      <w:sz w:val="19"/>
                                      <w:szCs w:val="19"/>
                                      <w:lang w:val="ru-RU"/>
                                    </w:rPr>
                                  </w:pPr>
                                  <w:r w:rsidRPr="002B4100">
                                    <w:rPr>
                                      <w:sz w:val="19"/>
                                      <w:szCs w:val="19"/>
                                    </w:rPr>
                                    <w:t>профілактика соціального сирітства; навчальні програми по відповідальному батьківству</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s:wsp>
                            <wps:cNvPr id="1058" name="Прямоугольник 1058"/>
                            <wps:cNvSpPr/>
                            <wps:spPr>
                              <a:xfrm>
                                <a:off x="7475702" y="283611"/>
                                <a:ext cx="1403985" cy="431800"/>
                              </a:xfrm>
                              <a:prstGeom prst="rect">
                                <a:avLst/>
                              </a:prstGeom>
                              <a:solidFill>
                                <a:sysClr val="window" lastClr="FFFFFF">
                                  <a:lumMod val="85000"/>
                                </a:sysClr>
                              </a:solidFill>
                              <a:ln w="12700" cap="flat" cmpd="sng" algn="ctr">
                                <a:solidFill>
                                  <a:sysClr val="windowText" lastClr="000000"/>
                                </a:solidFill>
                                <a:prstDash val="solid"/>
                                <a:miter lim="800000"/>
                              </a:ln>
                              <a:effectLst/>
                            </wps:spPr>
                            <wps:txbx>
                              <w:txbxContent>
                                <w:p w:rsidR="001E1DF5" w:rsidRPr="00826711" w:rsidRDefault="001E1DF5" w:rsidP="00E56976">
                                  <w:pPr>
                                    <w:jc w:val="center"/>
                                    <w:rPr>
                                      <w:b/>
                                      <w:sz w:val="20"/>
                                      <w:szCs w:val="20"/>
                                    </w:rPr>
                                  </w:pPr>
                                  <w:r w:rsidRPr="00826711">
                                    <w:rPr>
                                      <w:b/>
                                      <w:sz w:val="20"/>
                                      <w:szCs w:val="20"/>
                                    </w:rPr>
                                    <w:t>ОЧІКУВАНІ РЕЗУЛЬТАТИ</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s:wsp>
                            <wps:cNvPr id="1059" name="Прямоугольник 1059"/>
                            <wps:cNvSpPr/>
                            <wps:spPr>
                              <a:xfrm>
                                <a:off x="2967270" y="3105049"/>
                                <a:ext cx="4239895" cy="988060"/>
                              </a:xfrm>
                              <a:prstGeom prst="rect">
                                <a:avLst/>
                              </a:prstGeom>
                              <a:solidFill>
                                <a:srgbClr val="ED7D31">
                                  <a:lumMod val="20000"/>
                                  <a:lumOff val="80000"/>
                                </a:srgbClr>
                              </a:solidFill>
                              <a:ln w="19050" cap="flat" cmpd="sng" algn="ctr">
                                <a:solidFill>
                                  <a:srgbClr val="ED7D31">
                                    <a:lumMod val="75000"/>
                                  </a:srgbClr>
                                </a:solidFill>
                                <a:prstDash val="dash"/>
                                <a:miter lim="800000"/>
                              </a:ln>
                              <a:effectLst/>
                            </wps:spPr>
                            <wps:txbx>
                              <w:txbxContent>
                                <w:p w:rsidR="001E1DF5" w:rsidRPr="00CC2FBF" w:rsidRDefault="001E1DF5" w:rsidP="00E56976">
                                  <w:pPr>
                                    <w:spacing w:line="180" w:lineRule="exact"/>
                                    <w:ind w:right="57"/>
                                    <w:rPr>
                                      <w:rFonts w:eastAsia="Calibri"/>
                                      <w:sz w:val="19"/>
                                      <w:szCs w:val="19"/>
                                    </w:rPr>
                                  </w:pPr>
                                  <w:r w:rsidRPr="00CC2FBF">
                                    <w:rPr>
                                      <w:b/>
                                      <w:sz w:val="19"/>
                                      <w:szCs w:val="19"/>
                                      <w:lang w:val="ru-RU"/>
                                    </w:rPr>
                                    <w:t>ДЕЦ</w:t>
                                  </w:r>
                                  <w:r w:rsidRPr="00CC2FBF">
                                    <w:rPr>
                                      <w:sz w:val="19"/>
                                      <w:szCs w:val="19"/>
                                      <w:lang w:val="ru-RU"/>
                                    </w:rPr>
                                    <w:t xml:space="preserve">: </w:t>
                                  </w:r>
                                  <w:r w:rsidRPr="00CC2FBF">
                                    <w:rPr>
                                      <w:sz w:val="19"/>
                                      <w:szCs w:val="19"/>
                                    </w:rPr>
                                    <w:t>О</w:t>
                                  </w:r>
                                  <w:r w:rsidRPr="00CC2FBF">
                                    <w:rPr>
                                      <w:rFonts w:eastAsia="Calibri"/>
                                      <w:sz w:val="19"/>
                                      <w:szCs w:val="19"/>
                                    </w:rPr>
                                    <w:t xml:space="preserve">цінка медичних технологій, галузеві стандарти </w:t>
                                  </w:r>
                                  <w:proofErr w:type="gramStart"/>
                                  <w:r w:rsidRPr="00CC2FBF">
                                    <w:rPr>
                                      <w:rFonts w:eastAsia="Calibri"/>
                                      <w:sz w:val="19"/>
                                      <w:szCs w:val="19"/>
                                    </w:rPr>
                                    <w:t>в</w:t>
                                  </w:r>
                                  <w:proofErr w:type="gramEnd"/>
                                  <w:r w:rsidRPr="00CC2FBF">
                                    <w:rPr>
                                      <w:rFonts w:eastAsia="Calibri"/>
                                      <w:sz w:val="19"/>
                                      <w:szCs w:val="19"/>
                                    </w:rPr>
                                    <w:t xml:space="preserve"> </w:t>
                                  </w:r>
                                  <w:proofErr w:type="gramStart"/>
                                  <w:r w:rsidRPr="00CC2FBF">
                                    <w:rPr>
                                      <w:rFonts w:eastAsia="Calibri"/>
                                      <w:sz w:val="19"/>
                                      <w:szCs w:val="19"/>
                                    </w:rPr>
                                    <w:t>сфер</w:t>
                                  </w:r>
                                  <w:proofErr w:type="gramEnd"/>
                                  <w:r w:rsidRPr="00CC2FBF">
                                    <w:rPr>
                                      <w:rFonts w:eastAsia="Calibri"/>
                                      <w:sz w:val="19"/>
                                      <w:szCs w:val="19"/>
                                    </w:rPr>
                                    <w:t xml:space="preserve">і ОЗ щодо охорони материнства та дитинства.  </w:t>
                                  </w:r>
                                </w:p>
                                <w:p w:rsidR="001E1DF5" w:rsidRPr="00CC2FBF" w:rsidRDefault="001E1DF5" w:rsidP="00E56976">
                                  <w:pPr>
                                    <w:spacing w:line="180" w:lineRule="exact"/>
                                    <w:ind w:right="57"/>
                                    <w:rPr>
                                      <w:sz w:val="19"/>
                                      <w:szCs w:val="19"/>
                                    </w:rPr>
                                  </w:pPr>
                                  <w:r w:rsidRPr="00CC2FBF">
                                    <w:rPr>
                                      <w:b/>
                                      <w:sz w:val="19"/>
                                      <w:szCs w:val="19"/>
                                    </w:rPr>
                                    <w:t xml:space="preserve">Центр громадського здоров’я та регіональні центри: </w:t>
                                  </w:r>
                                  <w:r w:rsidRPr="00CC2FBF">
                                    <w:rPr>
                                      <w:sz w:val="19"/>
                                      <w:szCs w:val="19"/>
                                    </w:rPr>
                                    <w:t>епідеміологічні, аналітичні, профілактичні, просвітницькі заходи з охорони материнства та дитинства.</w:t>
                                  </w:r>
                                </w:p>
                                <w:p w:rsidR="001E1DF5" w:rsidRPr="00CC2FBF" w:rsidRDefault="001E1DF5" w:rsidP="00E56976">
                                  <w:pPr>
                                    <w:spacing w:line="180" w:lineRule="exact"/>
                                    <w:ind w:right="57"/>
                                    <w:rPr>
                                      <w:rFonts w:eastAsia="Calibri"/>
                                      <w:sz w:val="19"/>
                                      <w:szCs w:val="19"/>
                                    </w:rPr>
                                  </w:pPr>
                                  <w:r w:rsidRPr="00CC2FBF">
                                    <w:rPr>
                                      <w:b/>
                                      <w:sz w:val="19"/>
                                      <w:szCs w:val="19"/>
                                    </w:rPr>
                                    <w:t>ВНЗ</w:t>
                                  </w:r>
                                  <w:r w:rsidRPr="00CC2FBF">
                                    <w:rPr>
                                      <w:sz w:val="19"/>
                                      <w:szCs w:val="19"/>
                                    </w:rPr>
                                    <w:t xml:space="preserve"> </w:t>
                                  </w:r>
                                  <w:r w:rsidRPr="00357DEC">
                                    <w:rPr>
                                      <w:b/>
                                      <w:sz w:val="19"/>
                                      <w:szCs w:val="19"/>
                                    </w:rPr>
                                    <w:t>ІІ-</w:t>
                                  </w:r>
                                  <w:r w:rsidRPr="00CC2FBF">
                                    <w:rPr>
                                      <w:sz w:val="19"/>
                                      <w:szCs w:val="19"/>
                                    </w:rPr>
                                    <w:t>І</w:t>
                                  </w:r>
                                  <w:r w:rsidRPr="00CC2FBF">
                                    <w:rPr>
                                      <w:b/>
                                      <w:sz w:val="19"/>
                                      <w:szCs w:val="19"/>
                                    </w:rPr>
                                    <w:t>V</w:t>
                                  </w:r>
                                  <w:r w:rsidRPr="00CC2FBF">
                                    <w:rPr>
                                      <w:sz w:val="19"/>
                                      <w:szCs w:val="19"/>
                                    </w:rPr>
                                    <w:t xml:space="preserve"> рівня: підготовка спеціалістів та фахівців з психологічної, реабілітаційної </w:t>
                                  </w:r>
                                  <w:r>
                                    <w:rPr>
                                      <w:sz w:val="19"/>
                                      <w:szCs w:val="19"/>
                                    </w:rPr>
                                    <w:t>та паліативної допомог</w:t>
                                  </w:r>
                                  <w:r w:rsidRPr="00CC2FBF">
                                    <w:rPr>
                                      <w:sz w:val="19"/>
                                      <w:szCs w:val="19"/>
                                    </w:rPr>
                                    <w:t>; підвищення компетенційного та кваліфікаційного рівнів лікарів, які надають допомогу матерям та дітям</w:t>
                                  </w:r>
                                </w:p>
                                <w:p w:rsidR="001E1DF5" w:rsidRPr="002801C6" w:rsidRDefault="001E1DF5" w:rsidP="00E56976">
                                  <w:pPr>
                                    <w:spacing w:line="180" w:lineRule="exact"/>
                                    <w:ind w:left="142" w:right="57"/>
                                    <w:rPr>
                                      <w:rFonts w:eastAsia="Calibri"/>
                                      <w:sz w:val="18"/>
                                      <w:szCs w:val="18"/>
                                    </w:rPr>
                                  </w:pPr>
                                </w:p>
                                <w:p w:rsidR="001E1DF5" w:rsidRPr="002801C6" w:rsidRDefault="001E1DF5" w:rsidP="00E56976">
                                  <w:pPr>
                                    <w:spacing w:line="180" w:lineRule="exact"/>
                                    <w:ind w:left="142" w:right="57"/>
                                    <w:rPr>
                                      <w:rFonts w:eastAsia="Calibri"/>
                                      <w:sz w:val="18"/>
                                      <w:szCs w:val="18"/>
                                    </w:rPr>
                                  </w:pPr>
                                </w:p>
                                <w:p w:rsidR="001E1DF5" w:rsidRPr="002801C6" w:rsidRDefault="001E1DF5" w:rsidP="00E56976">
                                  <w:pPr>
                                    <w:spacing w:line="180" w:lineRule="exact"/>
                                    <w:ind w:left="142" w:right="57"/>
                                    <w:jc w:val="center"/>
                                    <w:rPr>
                                      <w:sz w:val="18"/>
                                      <w:szCs w:val="18"/>
                                    </w:rPr>
                                  </w:pP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1070" name="Левая фигурная скобка 1070"/>
                            <wps:cNvSpPr/>
                            <wps:spPr>
                              <a:xfrm rot="16200000">
                                <a:off x="4617592" y="2217542"/>
                                <a:ext cx="163195" cy="8152765"/>
                              </a:xfrm>
                              <a:prstGeom prst="leftBrace">
                                <a:avLst/>
                              </a:prstGeom>
                              <a:noFill/>
                              <a:ln w="1905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11" name="Прямая со стрелкой 211"/>
                            <wps:cNvCnPr/>
                            <wps:spPr>
                              <a:xfrm flipH="1">
                                <a:off x="986885" y="2606285"/>
                                <a:ext cx="0" cy="1332000"/>
                              </a:xfrm>
                              <a:prstGeom prst="straightConnector1">
                                <a:avLst/>
                              </a:prstGeom>
                              <a:noFill/>
                              <a:ln w="19050" cap="flat" cmpd="sng" algn="ctr">
                                <a:solidFill>
                                  <a:srgbClr val="5B9BD5">
                                    <a:lumMod val="75000"/>
                                  </a:srgbClr>
                                </a:solidFill>
                                <a:prstDash val="lgDashDotDot"/>
                                <a:miter lim="800000"/>
                                <a:tailEnd type="triangle"/>
                              </a:ln>
                              <a:effectLst/>
                            </wps:spPr>
                            <wps:bodyPr/>
                          </wps:wsp>
                          <wps:wsp>
                            <wps:cNvPr id="212" name="Прямоугольник 212"/>
                            <wps:cNvSpPr/>
                            <wps:spPr>
                              <a:xfrm rot="5400000">
                                <a:off x="5986746" y="3224850"/>
                                <a:ext cx="6402070" cy="287655"/>
                              </a:xfrm>
                              <a:prstGeom prst="rect">
                                <a:avLst/>
                              </a:prstGeom>
                              <a:solidFill>
                                <a:srgbClr val="4472C4">
                                  <a:lumMod val="20000"/>
                                  <a:lumOff val="80000"/>
                                </a:srgbClr>
                              </a:solidFill>
                              <a:ln w="12700" cap="flat" cmpd="sng" algn="ctr">
                                <a:solidFill>
                                  <a:sysClr val="windowText" lastClr="000000"/>
                                </a:solidFill>
                                <a:prstDash val="solid"/>
                                <a:miter lim="800000"/>
                              </a:ln>
                              <a:effectLst/>
                            </wps:spPr>
                            <wps:txbx>
                              <w:txbxContent>
                                <w:p w:rsidR="001E1DF5" w:rsidRPr="00972A27" w:rsidRDefault="001E1DF5" w:rsidP="00E56976">
                                  <w:pPr>
                                    <w:jc w:val="center"/>
                                    <w:rPr>
                                      <w:b/>
                                      <w:sz w:val="18"/>
                                      <w:szCs w:val="18"/>
                                      <w:lang w:val="ru-RU"/>
                                    </w:rPr>
                                  </w:pPr>
                                  <w:r>
                                    <w:rPr>
                                      <w:b/>
                                      <w:sz w:val="18"/>
                                      <w:szCs w:val="18"/>
                                    </w:rPr>
                                    <w:t xml:space="preserve">ІНТЕГРОВАНЕ </w:t>
                                  </w:r>
                                  <w:r w:rsidRPr="00972A27">
                                    <w:rPr>
                                      <w:b/>
                                      <w:sz w:val="18"/>
                                      <w:szCs w:val="18"/>
                                    </w:rPr>
                                    <w:t>УПР</w:t>
                                  </w:r>
                                  <w:r>
                                    <w:rPr>
                                      <w:b/>
                                      <w:sz w:val="18"/>
                                      <w:szCs w:val="18"/>
                                    </w:rPr>
                                    <w:t xml:space="preserve">АВЛІННЯ </w:t>
                                  </w:r>
                                  <w:r w:rsidRPr="00972A27">
                                    <w:rPr>
                                      <w:b/>
                                      <w:sz w:val="18"/>
                                      <w:szCs w:val="18"/>
                                    </w:rPr>
                                    <w:t>ЯК</w:t>
                                  </w:r>
                                  <w:r>
                                    <w:rPr>
                                      <w:b/>
                                      <w:sz w:val="18"/>
                                      <w:szCs w:val="18"/>
                                    </w:rPr>
                                    <w:t>І</w:t>
                                  </w:r>
                                  <w:r w:rsidRPr="00972A27">
                                    <w:rPr>
                                      <w:b/>
                                      <w:sz w:val="18"/>
                                      <w:szCs w:val="18"/>
                                    </w:rPr>
                                    <w:t>СТ</w:t>
                                  </w:r>
                                  <w:r>
                                    <w:rPr>
                                      <w:b/>
                                      <w:sz w:val="18"/>
                                      <w:szCs w:val="18"/>
                                    </w:rPr>
                                    <w:t xml:space="preserve">Ю </w:t>
                                  </w:r>
                                  <w:r w:rsidRPr="00972A27">
                                    <w:rPr>
                                      <w:b/>
                                      <w:sz w:val="18"/>
                                      <w:szCs w:val="18"/>
                                    </w:rPr>
                                    <w:t>МЕДИЧНОЇ ДОПОМОГИ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13" name="Прямая соединительная линия 213"/>
                            <wps:cNvCnPr/>
                            <wps:spPr>
                              <a:xfrm flipV="1">
                                <a:off x="1598115" y="1085545"/>
                                <a:ext cx="0" cy="252000"/>
                              </a:xfrm>
                              <a:prstGeom prst="line">
                                <a:avLst/>
                              </a:prstGeom>
                              <a:noFill/>
                              <a:ln w="12700" cap="flat" cmpd="sng" algn="ctr">
                                <a:solidFill>
                                  <a:srgbClr val="70AD47"/>
                                </a:solidFill>
                                <a:prstDash val="solid"/>
                                <a:miter lim="800000"/>
                              </a:ln>
                              <a:effectLst/>
                            </wps:spPr>
                            <wps:bodyPr/>
                          </wps:wsp>
                          <wps:wsp>
                            <wps:cNvPr id="214" name="Прямая соединительная линия 214"/>
                            <wps:cNvCnPr/>
                            <wps:spPr>
                              <a:xfrm>
                                <a:off x="1598115" y="1085545"/>
                                <a:ext cx="1188720" cy="0"/>
                              </a:xfrm>
                              <a:prstGeom prst="line">
                                <a:avLst/>
                              </a:prstGeom>
                              <a:noFill/>
                              <a:ln w="12700" cap="flat" cmpd="sng" algn="ctr">
                                <a:solidFill>
                                  <a:srgbClr val="70AD47"/>
                                </a:solidFill>
                                <a:prstDash val="solid"/>
                                <a:miter lim="800000"/>
                              </a:ln>
                              <a:effectLst/>
                            </wps:spPr>
                            <wps:bodyPr/>
                          </wps:wsp>
                          <wps:wsp>
                            <wps:cNvPr id="215" name="Прямая соединительная линия 215"/>
                            <wps:cNvCnPr/>
                            <wps:spPr>
                              <a:xfrm flipH="1">
                                <a:off x="2786346" y="435196"/>
                                <a:ext cx="0" cy="2232000"/>
                              </a:xfrm>
                              <a:prstGeom prst="line">
                                <a:avLst/>
                              </a:prstGeom>
                              <a:noFill/>
                              <a:ln w="12700" cap="flat" cmpd="sng" algn="ctr">
                                <a:solidFill>
                                  <a:srgbClr val="70AD47"/>
                                </a:solidFill>
                                <a:prstDash val="solid"/>
                                <a:miter lim="800000"/>
                              </a:ln>
                              <a:effectLst/>
                            </wps:spPr>
                            <wps:bodyPr/>
                          </wps:wsp>
                          <wps:wsp>
                            <wps:cNvPr id="216" name="Прямая со стрелкой 216"/>
                            <wps:cNvCnPr/>
                            <wps:spPr>
                              <a:xfrm>
                                <a:off x="2781456" y="430306"/>
                                <a:ext cx="143510" cy="0"/>
                              </a:xfrm>
                              <a:prstGeom prst="straightConnector1">
                                <a:avLst/>
                              </a:prstGeom>
                              <a:noFill/>
                              <a:ln w="6350" cap="flat" cmpd="sng" algn="ctr">
                                <a:solidFill>
                                  <a:srgbClr val="70AD47"/>
                                </a:solidFill>
                                <a:prstDash val="solid"/>
                                <a:miter lim="800000"/>
                                <a:tailEnd type="triangle"/>
                              </a:ln>
                              <a:effectLst/>
                            </wps:spPr>
                            <wps:bodyPr/>
                          </wps:wsp>
                          <wps:wsp>
                            <wps:cNvPr id="217" name="Прямая со стрелкой 217"/>
                            <wps:cNvCnPr/>
                            <wps:spPr>
                              <a:xfrm>
                                <a:off x="2796126" y="2660073"/>
                                <a:ext cx="143510" cy="0"/>
                              </a:xfrm>
                              <a:prstGeom prst="straightConnector1">
                                <a:avLst/>
                              </a:prstGeom>
                              <a:noFill/>
                              <a:ln w="6350" cap="flat" cmpd="sng" algn="ctr">
                                <a:solidFill>
                                  <a:srgbClr val="70AD47"/>
                                </a:solidFill>
                                <a:prstDash val="solid"/>
                                <a:miter lim="800000"/>
                                <a:tailEnd type="triangle"/>
                              </a:ln>
                              <a:effectLst/>
                            </wps:spPr>
                            <wps:bodyPr/>
                          </wps:wsp>
                          <wps:wsp>
                            <wps:cNvPr id="218" name="Прямоугольник 218"/>
                            <wps:cNvSpPr/>
                            <wps:spPr>
                              <a:xfrm>
                                <a:off x="2962381" y="1383825"/>
                                <a:ext cx="4463415" cy="440464"/>
                              </a:xfrm>
                              <a:prstGeom prst="rect">
                                <a:avLst/>
                              </a:prstGeom>
                              <a:solidFill>
                                <a:srgbClr val="70AD47">
                                  <a:lumMod val="20000"/>
                                  <a:lumOff val="80000"/>
                                </a:srgbClr>
                              </a:solidFill>
                              <a:ln w="19050" cap="flat" cmpd="sng" algn="ctr">
                                <a:solidFill>
                                  <a:srgbClr val="00B050"/>
                                </a:solidFill>
                                <a:prstDash val="solid"/>
                                <a:miter lim="800000"/>
                              </a:ln>
                              <a:effectLst/>
                            </wps:spPr>
                            <wps:txbx>
                              <w:txbxContent>
                                <w:p w:rsidR="001E1DF5" w:rsidRPr="004D4FA4" w:rsidRDefault="001E1DF5" w:rsidP="00E56976">
                                  <w:pPr>
                                    <w:tabs>
                                      <w:tab w:val="left" w:pos="142"/>
                                    </w:tabs>
                                    <w:spacing w:line="180" w:lineRule="exact"/>
                                    <w:ind w:right="57"/>
                                    <w:rPr>
                                      <w:bCs/>
                                      <w:noProof/>
                                      <w:sz w:val="19"/>
                                      <w:szCs w:val="19"/>
                                      <w:lang w:eastAsia="ru-RU"/>
                                    </w:rPr>
                                  </w:pPr>
                                  <w:r w:rsidRPr="003857F5">
                                    <w:rPr>
                                      <w:b/>
                                      <w:bCs/>
                                      <w:noProof/>
                                      <w:sz w:val="19"/>
                                      <w:szCs w:val="19"/>
                                      <w:lang w:val="ru-RU" w:eastAsia="ru-RU"/>
                                    </w:rPr>
                                    <w:t>МОЗ України</w:t>
                                  </w:r>
                                  <w:r>
                                    <w:rPr>
                                      <w:b/>
                                      <w:bCs/>
                                      <w:noProof/>
                                      <w:sz w:val="19"/>
                                      <w:szCs w:val="19"/>
                                      <w:lang w:val="ru-RU" w:eastAsia="ru-RU"/>
                                    </w:rPr>
                                    <w:t>:</w:t>
                                  </w:r>
                                  <w:r w:rsidRPr="003857F5">
                                    <w:rPr>
                                      <w:b/>
                                      <w:bCs/>
                                      <w:noProof/>
                                      <w:sz w:val="19"/>
                                      <w:szCs w:val="19"/>
                                      <w:lang w:val="ru-RU" w:eastAsia="ru-RU"/>
                                    </w:rPr>
                                    <w:t xml:space="preserve"> </w:t>
                                  </w:r>
                                  <w:r>
                                    <w:rPr>
                                      <w:rFonts w:eastAsia="Calibri"/>
                                      <w:sz w:val="19"/>
                                      <w:szCs w:val="19"/>
                                    </w:rPr>
                                    <w:t xml:space="preserve">НПА щодо охорони здоров’я матері та дитини,  </w:t>
                                  </w:r>
                                  <w:r w:rsidRPr="003857F5">
                                    <w:rPr>
                                      <w:bCs/>
                                      <w:noProof/>
                                      <w:sz w:val="19"/>
                                      <w:szCs w:val="19"/>
                                      <w:lang w:eastAsia="ru-RU"/>
                                    </w:rPr>
                                    <w:t>Національн</w:t>
                                  </w:r>
                                  <w:r>
                                    <w:rPr>
                                      <w:bCs/>
                                      <w:noProof/>
                                      <w:sz w:val="19"/>
                                      <w:szCs w:val="19"/>
                                      <w:lang w:eastAsia="ru-RU"/>
                                    </w:rPr>
                                    <w:t>ий</w:t>
                                  </w:r>
                                  <w:r w:rsidRPr="003857F5">
                                    <w:rPr>
                                      <w:bCs/>
                                      <w:noProof/>
                                      <w:sz w:val="19"/>
                                      <w:szCs w:val="19"/>
                                      <w:lang w:eastAsia="ru-RU"/>
                                    </w:rPr>
                                    <w:t xml:space="preserve"> план </w:t>
                                  </w:r>
                                  <w:r>
                                    <w:rPr>
                                      <w:bCs/>
                                      <w:noProof/>
                                      <w:sz w:val="19"/>
                                      <w:szCs w:val="19"/>
                                      <w:lang w:val="ru-RU" w:eastAsia="ru-RU"/>
                                    </w:rPr>
                                    <w:t xml:space="preserve">    </w:t>
                                  </w:r>
                                  <w:r w:rsidRPr="003857F5">
                                    <w:rPr>
                                      <w:bCs/>
                                      <w:noProof/>
                                      <w:sz w:val="19"/>
                                      <w:szCs w:val="19"/>
                                      <w:lang w:eastAsia="ru-RU"/>
                                    </w:rPr>
                                    <w:t xml:space="preserve">дій глобальної ініціативи ВООЗ </w:t>
                                  </w:r>
                                  <w:r>
                                    <w:rPr>
                                      <w:bCs/>
                                      <w:noProof/>
                                      <w:color w:val="000000" w:themeColor="text1"/>
                                      <w:sz w:val="19"/>
                                      <w:szCs w:val="19"/>
                                      <w:lang w:eastAsia="ru-RU"/>
                                    </w:rPr>
                                    <w:t>«Кожна жінка, к</w:t>
                                  </w:r>
                                  <w:r w:rsidRPr="00D20B79">
                                    <w:rPr>
                                      <w:bCs/>
                                      <w:noProof/>
                                      <w:color w:val="000000" w:themeColor="text1"/>
                                      <w:sz w:val="19"/>
                                      <w:szCs w:val="19"/>
                                      <w:lang w:eastAsia="ru-RU"/>
                                    </w:rPr>
                                    <w:t>ожна дитина», Державна</w:t>
                                  </w:r>
                                  <w:r>
                                    <w:rPr>
                                      <w:bCs/>
                                      <w:noProof/>
                                      <w:color w:val="000000" w:themeColor="text1"/>
                                      <w:sz w:val="19"/>
                                      <w:szCs w:val="19"/>
                                      <w:lang w:eastAsia="ru-RU"/>
                                    </w:rPr>
                                    <w:t xml:space="preserve"> багатосекторальна</w:t>
                                  </w:r>
                                  <w:r w:rsidRPr="00D20B79">
                                    <w:rPr>
                                      <w:bCs/>
                                      <w:noProof/>
                                      <w:color w:val="000000" w:themeColor="text1"/>
                                      <w:sz w:val="19"/>
                                      <w:szCs w:val="19"/>
                                      <w:lang w:eastAsia="ru-RU"/>
                                    </w:rPr>
                                    <w:t xml:space="preserve"> програма,</w:t>
                                  </w:r>
                                  <w:r w:rsidRPr="00D20B79">
                                    <w:rPr>
                                      <w:rFonts w:eastAsia="Calibri"/>
                                      <w:color w:val="000000" w:themeColor="text1"/>
                                      <w:sz w:val="19"/>
                                      <w:szCs w:val="19"/>
                                    </w:rPr>
                                    <w:t xml:space="preserve"> комплексна оцінка стану перинатальної допомоги</w:t>
                                  </w:r>
                                </w:p>
                              </w:txbxContent>
                            </wps:txbx>
                            <wps:bodyPr rot="0" spcFirstLastPara="0" vertOverflow="overflow" horzOverflow="overflow" vert="horz" wrap="square" lIns="36000" tIns="0" rIns="36000" bIns="0" numCol="1" spcCol="0" rtlCol="0" fromWordArt="0" anchor="t" anchorCtr="0" forceAA="0" compatLnSpc="1">
                              <a:prstTxWarp prst="textNoShape">
                                <a:avLst/>
                              </a:prstTxWarp>
                              <a:noAutofit/>
                            </wps:bodyPr>
                          </wps:wsp>
                          <wps:wsp>
                            <wps:cNvPr id="219" name="Прямоугольник 219"/>
                            <wps:cNvSpPr/>
                            <wps:spPr>
                              <a:xfrm>
                                <a:off x="2942821" y="1021977"/>
                                <a:ext cx="4463415" cy="302260"/>
                              </a:xfrm>
                              <a:prstGeom prst="rect">
                                <a:avLst/>
                              </a:prstGeom>
                              <a:solidFill>
                                <a:srgbClr val="70AD47">
                                  <a:lumMod val="20000"/>
                                  <a:lumOff val="80000"/>
                                </a:srgbClr>
                              </a:solidFill>
                              <a:ln w="19050" cap="flat" cmpd="sng" algn="ctr">
                                <a:solidFill>
                                  <a:srgbClr val="00B050"/>
                                </a:solidFill>
                                <a:prstDash val="solid"/>
                                <a:miter lim="800000"/>
                              </a:ln>
                              <a:effectLst/>
                            </wps:spPr>
                            <wps:txbx>
                              <w:txbxContent>
                                <w:p w:rsidR="001E1DF5" w:rsidRPr="00166727" w:rsidRDefault="001E1DF5" w:rsidP="00E56976">
                                  <w:pPr>
                                    <w:tabs>
                                      <w:tab w:val="left" w:pos="142"/>
                                    </w:tabs>
                                    <w:spacing w:line="180" w:lineRule="exact"/>
                                    <w:ind w:right="57"/>
                                    <w:rPr>
                                      <w:bCs/>
                                      <w:noProof/>
                                      <w:sz w:val="19"/>
                                      <w:szCs w:val="19"/>
                                      <w:lang w:val="ru-RU" w:eastAsia="ru-RU"/>
                                    </w:rPr>
                                  </w:pPr>
                                  <w:r w:rsidRPr="00166727">
                                    <w:rPr>
                                      <w:b/>
                                      <w:bCs/>
                                      <w:noProof/>
                                      <w:sz w:val="19"/>
                                      <w:szCs w:val="19"/>
                                      <w:lang w:val="ru-RU" w:eastAsia="ru-RU"/>
                                    </w:rPr>
                                    <w:t xml:space="preserve">Мінсоцполітики України: </w:t>
                                  </w:r>
                                  <w:r w:rsidRPr="00166727">
                                    <w:rPr>
                                      <w:bCs/>
                                      <w:noProof/>
                                      <w:sz w:val="19"/>
                                      <w:szCs w:val="19"/>
                                      <w:lang w:val="ru-RU" w:eastAsia="ru-RU"/>
                                    </w:rPr>
                                    <w:t>НПА</w:t>
                                  </w:r>
                                  <w:r w:rsidRPr="00166727">
                                    <w:rPr>
                                      <w:b/>
                                      <w:bCs/>
                                      <w:noProof/>
                                      <w:sz w:val="19"/>
                                      <w:szCs w:val="19"/>
                                      <w:lang w:val="ru-RU" w:eastAsia="ru-RU"/>
                                    </w:rPr>
                                    <w:t xml:space="preserve"> </w:t>
                                  </w:r>
                                  <w:r w:rsidRPr="00166727">
                                    <w:rPr>
                                      <w:bCs/>
                                      <w:noProof/>
                                      <w:sz w:val="19"/>
                                      <w:szCs w:val="19"/>
                                      <w:lang w:val="ru-RU" w:eastAsia="ru-RU"/>
                                    </w:rPr>
                                    <w:t>з</w:t>
                                  </w:r>
                                  <w:r w:rsidRPr="00166727">
                                    <w:rPr>
                                      <w:b/>
                                      <w:bCs/>
                                      <w:noProof/>
                                      <w:sz w:val="19"/>
                                      <w:szCs w:val="19"/>
                                      <w:lang w:val="ru-RU" w:eastAsia="ru-RU"/>
                                    </w:rPr>
                                    <w:t xml:space="preserve"> </w:t>
                                  </w:r>
                                  <w:r w:rsidRPr="00166727">
                                    <w:rPr>
                                      <w:bCs/>
                                      <w:noProof/>
                                      <w:sz w:val="19"/>
                                      <w:szCs w:val="19"/>
                                      <w:lang w:val="ru-RU" w:eastAsia="ru-RU"/>
                                    </w:rPr>
                                    <w:t xml:space="preserve">охорони </w:t>
                                  </w:r>
                                  <w:r>
                                    <w:rPr>
                                      <w:bCs/>
                                      <w:noProof/>
                                      <w:sz w:val="19"/>
                                      <w:szCs w:val="19"/>
                                      <w:lang w:val="ru-RU" w:eastAsia="ru-RU"/>
                                    </w:rPr>
                                    <w:t xml:space="preserve">материнства та </w:t>
                                  </w:r>
                                  <w:r w:rsidRPr="00166727">
                                    <w:rPr>
                                      <w:bCs/>
                                      <w:noProof/>
                                      <w:sz w:val="19"/>
                                      <w:szCs w:val="19"/>
                                      <w:lang w:val="ru-RU" w:eastAsia="ru-RU"/>
                                    </w:rPr>
                                    <w:t>дитинства,</w:t>
                                  </w:r>
                                  <w:r w:rsidRPr="00166727">
                                    <w:rPr>
                                      <w:b/>
                                      <w:bCs/>
                                      <w:noProof/>
                                      <w:sz w:val="19"/>
                                      <w:szCs w:val="19"/>
                                      <w:lang w:val="ru-RU" w:eastAsia="ru-RU"/>
                                    </w:rPr>
                                    <w:t xml:space="preserve"> </w:t>
                                  </w:r>
                                  <w:r w:rsidRPr="00166727">
                                    <w:rPr>
                                      <w:bCs/>
                                      <w:noProof/>
                                      <w:sz w:val="19"/>
                                      <w:szCs w:val="19"/>
                                      <w:lang w:val="ru-RU" w:eastAsia="ru-RU"/>
                                    </w:rPr>
                                    <w:t xml:space="preserve">соціальних </w:t>
                                  </w:r>
                                  <w:r>
                                    <w:rPr>
                                      <w:bCs/>
                                      <w:noProof/>
                                      <w:sz w:val="19"/>
                                      <w:szCs w:val="19"/>
                                      <w:lang w:val="ru-RU" w:eastAsia="ru-RU"/>
                                    </w:rPr>
                                    <w:t xml:space="preserve">    </w:t>
                                  </w:r>
                                  <w:r w:rsidRPr="00166727">
                                    <w:rPr>
                                      <w:bCs/>
                                      <w:noProof/>
                                      <w:sz w:val="19"/>
                                      <w:szCs w:val="19"/>
                                      <w:lang w:val="ru-RU" w:eastAsia="ru-RU"/>
                                    </w:rPr>
                                    <w:t>гарантій; ефективна державна політика до сімей із соціальними ризиком</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s:wsp>
                            <wps:cNvPr id="220" name="Прямоугольник 220"/>
                            <wps:cNvSpPr/>
                            <wps:spPr>
                              <a:xfrm>
                                <a:off x="2947711" y="581891"/>
                                <a:ext cx="4463415" cy="371475"/>
                              </a:xfrm>
                              <a:prstGeom prst="rect">
                                <a:avLst/>
                              </a:prstGeom>
                              <a:solidFill>
                                <a:srgbClr val="70AD47">
                                  <a:lumMod val="20000"/>
                                  <a:lumOff val="80000"/>
                                </a:srgbClr>
                              </a:solidFill>
                              <a:ln w="19050" cap="flat" cmpd="sng" algn="ctr">
                                <a:solidFill>
                                  <a:srgbClr val="00B050"/>
                                </a:solidFill>
                                <a:prstDash val="solid"/>
                                <a:miter lim="800000"/>
                              </a:ln>
                              <a:effectLst/>
                            </wps:spPr>
                            <wps:txbx>
                              <w:txbxContent>
                                <w:p w:rsidR="001E1DF5" w:rsidRPr="00225A2F" w:rsidRDefault="001E1DF5" w:rsidP="00E56976">
                                  <w:pPr>
                                    <w:spacing w:line="180" w:lineRule="exact"/>
                                    <w:ind w:right="57"/>
                                    <w:rPr>
                                      <w:b/>
                                      <w:noProof/>
                                      <w:sz w:val="19"/>
                                      <w:szCs w:val="19"/>
                                      <w:u w:val="single"/>
                                      <w:lang w:val="ru-RU" w:eastAsia="ru-RU"/>
                                    </w:rPr>
                                  </w:pPr>
                                  <w:r w:rsidRPr="00225A2F">
                                    <w:rPr>
                                      <w:b/>
                                      <w:bCs/>
                                      <w:noProof/>
                                      <w:sz w:val="19"/>
                                      <w:szCs w:val="19"/>
                                      <w:lang w:val="ru-RU" w:eastAsia="ru-RU"/>
                                    </w:rPr>
                                    <w:t>КМУ</w:t>
                                  </w:r>
                                  <w:r w:rsidRPr="00225A2F">
                                    <w:rPr>
                                      <w:bCs/>
                                      <w:noProof/>
                                      <w:sz w:val="19"/>
                                      <w:szCs w:val="19"/>
                                      <w:lang w:val="ru-RU" w:eastAsia="ru-RU"/>
                                    </w:rPr>
                                    <w:t>: Постанова від 05.02.2020 р. № 65 «Деякі питання реалізації програми державних гарантій медичного обслуговування населення у 2020 р.» та інші постанови в цьому напрямі</w:t>
                                  </w:r>
                                  <w:r>
                                    <w:rPr>
                                      <w:bCs/>
                                      <w:noProof/>
                                      <w:sz w:val="19"/>
                                      <w:szCs w:val="19"/>
                                      <w:lang w:val="ru-RU" w:eastAsia="ru-RU"/>
                                    </w:rPr>
                                    <w:t xml:space="preserve"> та напрямі ОЗ матері та дитини</w:t>
                                  </w:r>
                                </w:p>
                                <w:p w:rsidR="001E1DF5" w:rsidRPr="00BB16D3" w:rsidRDefault="001E1DF5" w:rsidP="00E56976">
                                  <w:pPr>
                                    <w:tabs>
                                      <w:tab w:val="left" w:pos="142"/>
                                    </w:tabs>
                                    <w:spacing w:line="180" w:lineRule="exact"/>
                                    <w:ind w:left="142"/>
                                    <w:rPr>
                                      <w:bCs/>
                                      <w:noProof/>
                                      <w:lang w:val="ru-RU" w:eastAsia="ru-RU"/>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s:wsp>
                            <wps:cNvPr id="221" name="Прямая со стрелкой 221"/>
                            <wps:cNvCnPr/>
                            <wps:spPr>
                              <a:xfrm>
                                <a:off x="2781456" y="709027"/>
                                <a:ext cx="144000" cy="0"/>
                              </a:xfrm>
                              <a:prstGeom prst="straightConnector1">
                                <a:avLst/>
                              </a:prstGeom>
                              <a:noFill/>
                              <a:ln w="6350" cap="flat" cmpd="sng" algn="ctr">
                                <a:solidFill>
                                  <a:srgbClr val="70AD47"/>
                                </a:solidFill>
                                <a:prstDash val="solid"/>
                                <a:miter lim="800000"/>
                                <a:tailEnd type="triangle"/>
                              </a:ln>
                              <a:effectLst/>
                            </wps:spPr>
                            <wps:bodyPr/>
                          </wps:wsp>
                          <wps:wsp>
                            <wps:cNvPr id="222" name="Прямая со стрелкой 222"/>
                            <wps:cNvCnPr/>
                            <wps:spPr>
                              <a:xfrm>
                                <a:off x="2781456" y="1222460"/>
                                <a:ext cx="143510" cy="0"/>
                              </a:xfrm>
                              <a:prstGeom prst="straightConnector1">
                                <a:avLst/>
                              </a:prstGeom>
                              <a:noFill/>
                              <a:ln w="6350" cap="flat" cmpd="sng" algn="ctr">
                                <a:solidFill>
                                  <a:srgbClr val="70AD47"/>
                                </a:solidFill>
                                <a:prstDash val="solid"/>
                                <a:miter lim="800000"/>
                                <a:tailEnd type="triangle"/>
                              </a:ln>
                              <a:effectLst/>
                            </wps:spPr>
                            <wps:bodyPr/>
                          </wps:wsp>
                          <wps:wsp>
                            <wps:cNvPr id="223" name="Прямая со стрелкой 223"/>
                            <wps:cNvCnPr/>
                            <wps:spPr>
                              <a:xfrm>
                                <a:off x="2791236" y="2175979"/>
                                <a:ext cx="143510" cy="0"/>
                              </a:xfrm>
                              <a:prstGeom prst="straightConnector1">
                                <a:avLst/>
                              </a:prstGeom>
                              <a:noFill/>
                              <a:ln w="6350" cap="flat" cmpd="sng" algn="ctr">
                                <a:solidFill>
                                  <a:srgbClr val="70AD47"/>
                                </a:solidFill>
                                <a:prstDash val="solid"/>
                                <a:miter lim="800000"/>
                                <a:tailEnd type="triangle"/>
                              </a:ln>
                              <a:effectLst/>
                            </wps:spPr>
                            <wps:bodyPr/>
                          </wps:wsp>
                          <wps:wsp>
                            <wps:cNvPr id="1126" name="Прямая со стрелкой 1126"/>
                            <wps:cNvCnPr/>
                            <wps:spPr>
                              <a:xfrm>
                                <a:off x="2781456" y="1594088"/>
                                <a:ext cx="143510" cy="0"/>
                              </a:xfrm>
                              <a:prstGeom prst="straightConnector1">
                                <a:avLst/>
                              </a:prstGeom>
                              <a:noFill/>
                              <a:ln w="6350" cap="flat" cmpd="sng" algn="ctr">
                                <a:solidFill>
                                  <a:srgbClr val="70AD47"/>
                                </a:solidFill>
                                <a:prstDash val="solid"/>
                                <a:miter lim="800000"/>
                                <a:tailEnd type="triangle"/>
                              </a:ln>
                              <a:effectLst/>
                            </wps:spPr>
                            <wps:bodyPr/>
                          </wps:wsp>
                          <wps:wsp>
                            <wps:cNvPr id="1127" name="Прямая соединительная линия 1127"/>
                            <wps:cNvCnPr/>
                            <wps:spPr>
                              <a:xfrm>
                                <a:off x="2238684" y="3364210"/>
                                <a:ext cx="720000" cy="0"/>
                              </a:xfrm>
                              <a:prstGeom prst="line">
                                <a:avLst/>
                              </a:prstGeom>
                              <a:noFill/>
                              <a:ln w="19050" cap="flat" cmpd="sng" algn="ctr">
                                <a:solidFill>
                                  <a:srgbClr val="ED7D31">
                                    <a:lumMod val="75000"/>
                                  </a:srgbClr>
                                </a:solidFill>
                                <a:prstDash val="dash"/>
                                <a:miter lim="800000"/>
                                <a:tailEnd type="triangle"/>
                              </a:ln>
                              <a:effectLst/>
                            </wps:spPr>
                            <wps:bodyPr/>
                          </wps:wsp>
                          <wps:wsp>
                            <wps:cNvPr id="1128" name="Прямая соединительная линия 1128"/>
                            <wps:cNvCnPr/>
                            <wps:spPr>
                              <a:xfrm>
                                <a:off x="2810795" y="3447337"/>
                                <a:ext cx="3175" cy="2016000"/>
                              </a:xfrm>
                              <a:prstGeom prst="line">
                                <a:avLst/>
                              </a:prstGeom>
                              <a:noFill/>
                              <a:ln w="19050" cap="flat" cmpd="sng" algn="ctr">
                                <a:solidFill>
                                  <a:srgbClr val="ED7D31">
                                    <a:lumMod val="75000"/>
                                  </a:srgbClr>
                                </a:solidFill>
                                <a:prstDash val="dash"/>
                                <a:miter lim="800000"/>
                              </a:ln>
                              <a:effectLst/>
                            </wps:spPr>
                            <wps:bodyPr/>
                          </wps:wsp>
                          <wps:wsp>
                            <wps:cNvPr id="1129" name="Прямая со стрелкой 1129"/>
                            <wps:cNvCnPr/>
                            <wps:spPr>
                              <a:xfrm>
                                <a:off x="2801016" y="5452172"/>
                                <a:ext cx="143510" cy="0"/>
                              </a:xfrm>
                              <a:prstGeom prst="straightConnector1">
                                <a:avLst/>
                              </a:prstGeom>
                              <a:noFill/>
                              <a:ln w="6350" cap="flat" cmpd="sng" algn="ctr">
                                <a:solidFill>
                                  <a:srgbClr val="ED7D31">
                                    <a:lumMod val="75000"/>
                                  </a:srgbClr>
                                </a:solidFill>
                                <a:prstDash val="solid"/>
                                <a:miter lim="800000"/>
                                <a:tailEnd type="triangle"/>
                              </a:ln>
                              <a:effectLst/>
                            </wps:spPr>
                            <wps:bodyPr/>
                          </wps:wsp>
                          <wps:wsp>
                            <wps:cNvPr id="1130" name="Прямая со стрелкой 1130"/>
                            <wps:cNvCnPr/>
                            <wps:spPr>
                              <a:xfrm>
                                <a:off x="2820575" y="4567111"/>
                                <a:ext cx="143510" cy="0"/>
                              </a:xfrm>
                              <a:prstGeom prst="straightConnector1">
                                <a:avLst/>
                              </a:prstGeom>
                              <a:noFill/>
                              <a:ln w="6350" cap="flat" cmpd="sng" algn="ctr">
                                <a:solidFill>
                                  <a:srgbClr val="ED7D31">
                                    <a:lumMod val="75000"/>
                                  </a:srgbClr>
                                </a:solidFill>
                                <a:prstDash val="solid"/>
                                <a:miter lim="800000"/>
                                <a:tailEnd type="triangle"/>
                              </a:ln>
                              <a:effectLst/>
                            </wps:spPr>
                            <wps:bodyPr/>
                          </wps:wsp>
                          <wps:wsp>
                            <wps:cNvPr id="1131" name="Прямая соединительная линия 1131"/>
                            <wps:cNvCnPr/>
                            <wps:spPr>
                              <a:xfrm>
                                <a:off x="1754590" y="3041481"/>
                                <a:ext cx="0" cy="2700000"/>
                              </a:xfrm>
                              <a:prstGeom prst="line">
                                <a:avLst/>
                              </a:prstGeom>
                              <a:noFill/>
                              <a:ln w="19050" cap="flat" cmpd="sng" algn="ctr">
                                <a:solidFill>
                                  <a:srgbClr val="FFC000">
                                    <a:lumMod val="75000"/>
                                  </a:srgbClr>
                                </a:solidFill>
                                <a:prstDash val="sysDash"/>
                                <a:miter lim="800000"/>
                              </a:ln>
                              <a:effectLst/>
                            </wps:spPr>
                            <wps:bodyPr/>
                          </wps:wsp>
                          <wps:wsp>
                            <wps:cNvPr id="1132" name="Прямая соединительная линия 1132"/>
                            <wps:cNvCnPr/>
                            <wps:spPr>
                              <a:xfrm>
                                <a:off x="1764370" y="5755342"/>
                                <a:ext cx="1043940" cy="0"/>
                              </a:xfrm>
                              <a:prstGeom prst="line">
                                <a:avLst/>
                              </a:prstGeom>
                              <a:noFill/>
                              <a:ln w="19050" cap="flat" cmpd="sng" algn="ctr">
                                <a:solidFill>
                                  <a:srgbClr val="FFC000">
                                    <a:lumMod val="75000"/>
                                  </a:srgbClr>
                                </a:solidFill>
                                <a:prstDash val="sysDash"/>
                                <a:miter lim="800000"/>
                              </a:ln>
                              <a:effectLst/>
                            </wps:spPr>
                            <wps:bodyPr/>
                          </wps:wsp>
                          <wps:wsp>
                            <wps:cNvPr id="1133" name="Прямая соединительная линия 1133"/>
                            <wps:cNvCnPr/>
                            <wps:spPr>
                              <a:xfrm>
                                <a:off x="2820575" y="5618426"/>
                                <a:ext cx="0" cy="359410"/>
                              </a:xfrm>
                              <a:prstGeom prst="line">
                                <a:avLst/>
                              </a:prstGeom>
                              <a:noFill/>
                              <a:ln w="19050" cap="flat" cmpd="sng" algn="ctr">
                                <a:solidFill>
                                  <a:srgbClr val="FFC000">
                                    <a:lumMod val="75000"/>
                                  </a:srgbClr>
                                </a:solidFill>
                                <a:prstDash val="sysDash"/>
                                <a:miter lim="800000"/>
                              </a:ln>
                              <a:effectLst/>
                            </wps:spPr>
                            <wps:bodyPr/>
                          </wps:wsp>
                          <wps:wsp>
                            <wps:cNvPr id="1134" name="Прямая со стрелкой 1134"/>
                            <wps:cNvCnPr/>
                            <wps:spPr>
                              <a:xfrm>
                                <a:off x="2810795" y="5623316"/>
                                <a:ext cx="143510" cy="0"/>
                              </a:xfrm>
                              <a:prstGeom prst="straightConnector1">
                                <a:avLst/>
                              </a:prstGeom>
                              <a:noFill/>
                              <a:ln w="6350" cap="flat" cmpd="sng" algn="ctr">
                                <a:solidFill>
                                  <a:srgbClr val="FFC000">
                                    <a:lumMod val="75000"/>
                                  </a:srgbClr>
                                </a:solidFill>
                                <a:prstDash val="solid"/>
                                <a:miter lim="800000"/>
                                <a:tailEnd type="triangle"/>
                              </a:ln>
                              <a:effectLst/>
                            </wps:spPr>
                            <wps:bodyPr/>
                          </wps:wsp>
                          <wps:wsp>
                            <wps:cNvPr id="1135" name="Прямая со стрелкой 1135"/>
                            <wps:cNvCnPr/>
                            <wps:spPr>
                              <a:xfrm>
                                <a:off x="2810795" y="5985164"/>
                                <a:ext cx="143510" cy="0"/>
                              </a:xfrm>
                              <a:prstGeom prst="straightConnector1">
                                <a:avLst/>
                              </a:prstGeom>
                              <a:noFill/>
                              <a:ln w="6350" cap="flat" cmpd="sng" algn="ctr">
                                <a:solidFill>
                                  <a:srgbClr val="FFC000">
                                    <a:lumMod val="75000"/>
                                  </a:srgbClr>
                                </a:solidFill>
                                <a:prstDash val="solid"/>
                                <a:miter lim="800000"/>
                                <a:tailEnd type="triangle"/>
                              </a:ln>
                              <a:effectLst/>
                            </wps:spPr>
                            <wps:bodyPr/>
                          </wps:wsp>
                          <wps:wsp>
                            <wps:cNvPr id="1136" name="Прямая соединительная линия 1136"/>
                            <wps:cNvCnPr/>
                            <wps:spPr>
                              <a:xfrm>
                                <a:off x="1001555" y="3735838"/>
                                <a:ext cx="1276350" cy="0"/>
                              </a:xfrm>
                              <a:prstGeom prst="line">
                                <a:avLst/>
                              </a:prstGeom>
                              <a:noFill/>
                              <a:ln w="19050" cap="flat" cmpd="sng" algn="ctr">
                                <a:solidFill>
                                  <a:srgbClr val="5B9BD5"/>
                                </a:solidFill>
                                <a:prstDash val="lgDashDotDot"/>
                                <a:miter lim="800000"/>
                              </a:ln>
                              <a:effectLst/>
                            </wps:spPr>
                            <wps:bodyPr/>
                          </wps:wsp>
                          <wps:wsp>
                            <wps:cNvPr id="1137" name="Прямая соединительная линия 1137"/>
                            <wps:cNvCnPr/>
                            <wps:spPr>
                              <a:xfrm>
                                <a:off x="2277803" y="3735838"/>
                                <a:ext cx="9525" cy="2123440"/>
                              </a:xfrm>
                              <a:prstGeom prst="line">
                                <a:avLst/>
                              </a:prstGeom>
                              <a:noFill/>
                              <a:ln w="19050" cap="flat" cmpd="sng" algn="ctr">
                                <a:solidFill>
                                  <a:srgbClr val="5B9BD5"/>
                                </a:solidFill>
                                <a:prstDash val="lgDashDotDot"/>
                                <a:miter lim="800000"/>
                              </a:ln>
                              <a:effectLst/>
                            </wps:spPr>
                            <wps:bodyPr/>
                          </wps:wsp>
                          <wps:wsp>
                            <wps:cNvPr id="1138" name="Прямая со стрелкой 1138"/>
                            <wps:cNvCnPr/>
                            <wps:spPr>
                              <a:xfrm>
                                <a:off x="2297362" y="5535299"/>
                                <a:ext cx="647700" cy="0"/>
                              </a:xfrm>
                              <a:prstGeom prst="straightConnector1">
                                <a:avLst/>
                              </a:prstGeom>
                              <a:noFill/>
                              <a:ln w="19050" cap="flat" cmpd="sng" algn="ctr">
                                <a:solidFill>
                                  <a:srgbClr val="5B9BD5"/>
                                </a:solidFill>
                                <a:prstDash val="lgDashDotDot"/>
                                <a:miter lim="800000"/>
                                <a:tailEnd type="triangle"/>
                              </a:ln>
                              <a:effectLst/>
                            </wps:spPr>
                            <wps:bodyPr/>
                          </wps:wsp>
                          <wps:wsp>
                            <wps:cNvPr id="1139" name="Стрелка вверх 1139"/>
                            <wps:cNvSpPr/>
                            <wps:spPr>
                              <a:xfrm>
                                <a:off x="7343677" y="2528047"/>
                                <a:ext cx="107950" cy="1547495"/>
                              </a:xfrm>
                              <a:prstGeom prst="upArrow">
                                <a:avLst/>
                              </a:prstGeom>
                              <a:solidFill>
                                <a:srgbClr val="ED7D31">
                                  <a:lumMod val="20000"/>
                                  <a:lumOff val="80000"/>
                                </a:srgbClr>
                              </a:solidFill>
                              <a:ln w="12700" cap="flat" cmpd="sng" algn="ctr">
                                <a:solidFill>
                                  <a:sysClr val="windowText" lastClr="000000"/>
                                </a:solidFill>
                                <a:prstDash val="solid"/>
                                <a:miter lim="800000"/>
                              </a:ln>
                              <a:effectLst/>
                            </wps:spPr>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1140" name="Стрелка вниз 1140"/>
                            <wps:cNvSpPr/>
                            <wps:spPr>
                              <a:xfrm>
                                <a:off x="7231210" y="2528047"/>
                                <a:ext cx="107950" cy="1547495"/>
                              </a:xfrm>
                              <a:prstGeom prst="downArrow">
                                <a:avLst/>
                              </a:prstGeom>
                              <a:solidFill>
                                <a:srgbClr val="70AD47">
                                  <a:lumMod val="20000"/>
                                  <a:lumOff val="80000"/>
                                </a:srgbClr>
                              </a:solidFill>
                              <a:ln w="12700" cap="flat" cmpd="sng" algn="ctr">
                                <a:solidFill>
                                  <a:sysClr val="windowText" lastClr="000000"/>
                                </a:solidFill>
                                <a:prstDash val="solid"/>
                                <a:miter lim="800000"/>
                              </a:ln>
                              <a:effectLst/>
                            </wps:spPr>
                            <wps:bodyPr rot="0" spcFirstLastPara="0" vertOverflow="overflow" horzOverflow="overflow" vert="horz" wrap="square" lIns="0" tIns="0" rIns="0" bIns="0" numCol="1" spcCol="0" rtlCol="0" fromWordArt="0" anchor="t" anchorCtr="0" forceAA="0" compatLnSpc="1">
                              <a:prstTxWarp prst="textNoShape">
                                <a:avLst/>
                              </a:prstTxWarp>
                              <a:noAutofit/>
                            </wps:bodyPr>
                          </wps:wsp>
                          <wps:wsp>
                            <wps:cNvPr id="1141" name="Прямая со стрелкой 1141"/>
                            <wps:cNvCnPr/>
                            <wps:spPr>
                              <a:xfrm>
                                <a:off x="2297362" y="5877588"/>
                                <a:ext cx="647700" cy="0"/>
                              </a:xfrm>
                              <a:prstGeom prst="straightConnector1">
                                <a:avLst/>
                              </a:prstGeom>
                              <a:noFill/>
                              <a:ln w="19050" cap="flat" cmpd="sng" algn="ctr">
                                <a:solidFill>
                                  <a:srgbClr val="5B9BD5"/>
                                </a:solidFill>
                                <a:prstDash val="lgDashDotDot"/>
                                <a:miter lim="800000"/>
                                <a:tailEnd type="triangle"/>
                              </a:ln>
                              <a:effectLst/>
                            </wps:spPr>
                            <wps:bodyPr/>
                          </wps:wsp>
                          <wps:wsp>
                            <wps:cNvPr id="1142" name="Прямая соединительная линия 1142"/>
                            <wps:cNvCnPr/>
                            <wps:spPr>
                              <a:xfrm>
                                <a:off x="2018641" y="2625844"/>
                                <a:ext cx="0" cy="3586038"/>
                              </a:xfrm>
                              <a:prstGeom prst="line">
                                <a:avLst/>
                              </a:prstGeom>
                              <a:noFill/>
                              <a:ln w="12700" cap="flat" cmpd="sng" algn="ctr">
                                <a:solidFill>
                                  <a:sysClr val="windowText" lastClr="000000"/>
                                </a:solidFill>
                                <a:prstDash val="solid"/>
                                <a:miter lim="800000"/>
                              </a:ln>
                              <a:effectLst/>
                            </wps:spPr>
                            <wps:bodyPr/>
                          </wps:wsp>
                          <wps:wsp>
                            <wps:cNvPr id="1143" name="Прямая соединительная линия 1143"/>
                            <wps:cNvCnPr/>
                            <wps:spPr>
                              <a:xfrm>
                                <a:off x="2018641" y="6210097"/>
                                <a:ext cx="6169660" cy="0"/>
                              </a:xfrm>
                              <a:prstGeom prst="line">
                                <a:avLst/>
                              </a:prstGeom>
                              <a:noFill/>
                              <a:ln w="12700" cap="flat" cmpd="sng" algn="ctr">
                                <a:solidFill>
                                  <a:sysClr val="windowText" lastClr="000000"/>
                                </a:solidFill>
                                <a:prstDash val="solid"/>
                                <a:miter lim="800000"/>
                              </a:ln>
                              <a:effectLst/>
                            </wps:spPr>
                            <wps:bodyPr/>
                          </wps:wsp>
                          <wps:wsp>
                            <wps:cNvPr id="1144" name="Прямая со стрелкой 1144"/>
                            <wps:cNvCnPr/>
                            <wps:spPr>
                              <a:xfrm flipV="1">
                                <a:off x="8184729" y="6048732"/>
                                <a:ext cx="0" cy="166977"/>
                              </a:xfrm>
                              <a:prstGeom prst="straightConnector1">
                                <a:avLst/>
                              </a:prstGeom>
                              <a:noFill/>
                              <a:ln w="12700" cap="flat" cmpd="sng" algn="ctr">
                                <a:solidFill>
                                  <a:sysClr val="windowText" lastClr="000000"/>
                                </a:solidFill>
                                <a:prstDash val="solid"/>
                                <a:miter lim="800000"/>
                                <a:tailEnd type="triangle"/>
                              </a:ln>
                              <a:effectLst/>
                            </wps:spPr>
                            <wps:bodyPr/>
                          </wps:wsp>
                          <wps:wsp>
                            <wps:cNvPr id="1145" name="Правая фигурная скобка 1145"/>
                            <wps:cNvSpPr/>
                            <wps:spPr>
                              <a:xfrm rot="5400000">
                                <a:off x="8091822" y="5227239"/>
                                <a:ext cx="140336" cy="1490059"/>
                              </a:xfrm>
                              <a:prstGeom prst="rightBrace">
                                <a:avLst>
                                  <a:gd name="adj1" fmla="val 0"/>
                                  <a:gd name="adj2" fmla="val 50193"/>
                                </a:avLst>
                              </a:prstGeom>
                              <a:noFill/>
                              <a:ln w="1905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46" name="Прямая соединительная линия 1146"/>
                            <wps:cNvCnPr/>
                            <wps:spPr>
                              <a:xfrm>
                                <a:off x="2228905" y="1672326"/>
                                <a:ext cx="684000" cy="0"/>
                              </a:xfrm>
                              <a:prstGeom prst="line">
                                <a:avLst/>
                              </a:prstGeom>
                              <a:noFill/>
                              <a:ln w="19050" cap="flat" cmpd="sng" algn="ctr">
                                <a:solidFill>
                                  <a:srgbClr val="ED7D31">
                                    <a:lumMod val="75000"/>
                                  </a:srgbClr>
                                </a:solidFill>
                                <a:prstDash val="dash"/>
                                <a:miter lim="800000"/>
                                <a:tailEnd type="triangle"/>
                              </a:ln>
                              <a:effectLst/>
                            </wps:spPr>
                            <wps:bodyPr/>
                          </wps:wsp>
                          <wps:wsp>
                            <wps:cNvPr id="1147" name="Прямая соединительная линия 1147"/>
                            <wps:cNvCnPr/>
                            <wps:spPr>
                              <a:xfrm>
                                <a:off x="2605422" y="2278666"/>
                                <a:ext cx="323850" cy="0"/>
                              </a:xfrm>
                              <a:prstGeom prst="line">
                                <a:avLst/>
                              </a:prstGeom>
                              <a:noFill/>
                              <a:ln w="19050" cap="flat" cmpd="sng" algn="ctr">
                                <a:solidFill>
                                  <a:srgbClr val="ED7D31">
                                    <a:lumMod val="75000"/>
                                  </a:srgbClr>
                                </a:solidFill>
                                <a:prstDash val="dash"/>
                                <a:miter lim="800000"/>
                                <a:tailEnd type="triangle"/>
                              </a:ln>
                              <a:effectLst/>
                            </wps:spPr>
                            <wps:bodyPr/>
                          </wps:wsp>
                          <wps:wsp>
                            <wps:cNvPr id="1148" name="Прямая со стрелкой 1148"/>
                            <wps:cNvCnPr/>
                            <wps:spPr>
                              <a:xfrm>
                                <a:off x="2307142" y="4738255"/>
                                <a:ext cx="648000" cy="0"/>
                              </a:xfrm>
                              <a:prstGeom prst="straightConnector1">
                                <a:avLst/>
                              </a:prstGeom>
                              <a:noFill/>
                              <a:ln w="19050" cap="flat" cmpd="sng" algn="ctr">
                                <a:solidFill>
                                  <a:srgbClr val="5B9BD5"/>
                                </a:solidFill>
                                <a:prstDash val="lgDashDotDot"/>
                                <a:miter lim="800000"/>
                                <a:tailEnd type="triangle"/>
                              </a:ln>
                              <a:effectLst/>
                            </wps:spPr>
                            <wps:bodyPr/>
                          </wps:wsp>
                          <wps:wsp>
                            <wps:cNvPr id="1149" name="Прямая со стрелкой 1149"/>
                            <wps:cNvCnPr/>
                            <wps:spPr>
                              <a:xfrm flipV="1">
                                <a:off x="2253354" y="2669853"/>
                                <a:ext cx="0" cy="684000"/>
                              </a:xfrm>
                              <a:prstGeom prst="straightConnector1">
                                <a:avLst/>
                              </a:prstGeom>
                              <a:noFill/>
                              <a:ln w="19050" cap="flat" cmpd="sng" algn="ctr">
                                <a:solidFill>
                                  <a:srgbClr val="ED7D31">
                                    <a:lumMod val="75000"/>
                                  </a:srgbClr>
                                </a:solidFill>
                                <a:prstDash val="dash"/>
                                <a:miter lim="800000"/>
                                <a:tailEnd type="triangle"/>
                              </a:ln>
                              <a:effectLst/>
                            </wps:spPr>
                            <wps:bodyPr/>
                          </wps:wsp>
                          <wps:wsp>
                            <wps:cNvPr id="1150" name="Прямоугольник 1150"/>
                            <wps:cNvSpPr/>
                            <wps:spPr>
                              <a:xfrm>
                                <a:off x="502791" y="6381241"/>
                                <a:ext cx="8380730" cy="239948"/>
                              </a:xfrm>
                              <a:prstGeom prst="rect">
                                <a:avLst/>
                              </a:prstGeom>
                              <a:solidFill>
                                <a:srgbClr val="4472C4">
                                  <a:lumMod val="40000"/>
                                  <a:lumOff val="60000"/>
                                </a:srgbClr>
                              </a:solidFill>
                              <a:ln w="6350" cap="flat" cmpd="sng" algn="ctr">
                                <a:solidFill>
                                  <a:srgbClr val="4472C4"/>
                                </a:solidFill>
                                <a:prstDash val="solid"/>
                                <a:miter lim="800000"/>
                              </a:ln>
                              <a:effectLst/>
                            </wps:spPr>
                            <wps:txbx>
                              <w:txbxContent>
                                <w:p w:rsidR="001E1DF5" w:rsidRPr="00CF0F95" w:rsidRDefault="001E1DF5" w:rsidP="00E56976">
                                  <w:pPr>
                                    <w:pStyle w:val="1f2"/>
                                    <w:spacing w:after="0" w:line="240" w:lineRule="auto"/>
                                    <w:jc w:val="center"/>
                                    <w:rPr>
                                      <w:b/>
                                      <w:lang w:val="ru-RU"/>
                                    </w:rPr>
                                  </w:pPr>
                                  <w:r>
                                    <w:rPr>
                                      <w:b/>
                                      <w:sz w:val="20"/>
                                      <w:szCs w:val="20"/>
                                      <w:lang w:val="ru-RU"/>
                                    </w:rPr>
                                    <w:t>ПЕРЕДБАЧЕННЯ</w:t>
                                  </w:r>
                                  <w:r w:rsidRPr="00734415">
                                    <w:rPr>
                                      <w:b/>
                                      <w:sz w:val="20"/>
                                      <w:szCs w:val="20"/>
                                      <w:lang w:val="ru-RU"/>
                                    </w:rPr>
                                    <w:t xml:space="preserve"> ТА МІНІМІЗАЦІЯ</w:t>
                                  </w:r>
                                  <w:r>
                                    <w:rPr>
                                      <w:b/>
                                      <w:sz w:val="20"/>
                                      <w:szCs w:val="20"/>
                                      <w:lang w:val="ru-RU"/>
                                    </w:rPr>
                                    <w:t xml:space="preserve"> </w:t>
                                  </w:r>
                                  <w:r w:rsidRPr="00734415">
                                    <w:rPr>
                                      <w:b/>
                                      <w:sz w:val="20"/>
                                      <w:szCs w:val="20"/>
                                      <w:lang w:val="ru-RU"/>
                                    </w:rPr>
                                    <w:t>РИЗИКІ</w:t>
                                  </w:r>
                                  <w:proofErr w:type="gramStart"/>
                                  <w:r w:rsidRPr="00734415">
                                    <w:rPr>
                                      <w:b/>
                                      <w:sz w:val="20"/>
                                      <w:szCs w:val="20"/>
                                      <w:lang w:val="ru-RU"/>
                                    </w:rPr>
                                    <w:t>В</w:t>
                                  </w:r>
                                  <w:proofErr w:type="gramEnd"/>
                                  <w:r w:rsidRPr="00734415">
                                    <w:rPr>
                                      <w:b/>
                                      <w:sz w:val="20"/>
                                      <w:szCs w:val="20"/>
                                      <w:lang w:val="ru-RU"/>
                                    </w:rPr>
                                    <w:t xml:space="preserve"> ПРИ ІМПЛЕМЕНТАЦІЇ СИСТЕМИ</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g:grpSp>
                        <wpg:grpSp>
                          <wpg:cNvPr id="1151" name="Группа 1151"/>
                          <wpg:cNvGrpSpPr/>
                          <wpg:grpSpPr>
                            <a:xfrm>
                              <a:off x="4661854" y="940966"/>
                              <a:ext cx="363767" cy="4311033"/>
                              <a:chOff x="0" y="-21004"/>
                              <a:chExt cx="363767" cy="4311033"/>
                            </a:xfrm>
                          </wpg:grpSpPr>
                          <wps:wsp>
                            <wps:cNvPr id="1164" name="Стрелка вниз 1164"/>
                            <wps:cNvSpPr/>
                            <wps:spPr>
                              <a:xfrm>
                                <a:off x="60070" y="-21003"/>
                                <a:ext cx="143510" cy="73660"/>
                              </a:xfrm>
                              <a:prstGeom prst="downArrow">
                                <a:avLst/>
                              </a:prstGeom>
                              <a:solidFill>
                                <a:srgbClr val="70AD47">
                                  <a:lumMod val="60000"/>
                                  <a:lumOff val="40000"/>
                                </a:srgbClr>
                              </a:solidFill>
                              <a:ln w="12700" cap="flat" cmpd="sng" algn="ctr">
                                <a:solidFill>
                                  <a:srgbClr val="70AD47">
                                    <a:lumMod val="75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65" name="Стрелка вверх 1165"/>
                            <wps:cNvSpPr/>
                            <wps:spPr>
                              <a:xfrm>
                                <a:off x="220257" y="-21004"/>
                                <a:ext cx="143510" cy="74295"/>
                              </a:xfrm>
                              <a:prstGeom prst="upArrow">
                                <a:avLst/>
                              </a:prstGeom>
                              <a:solidFill>
                                <a:srgbClr val="70AD47">
                                  <a:lumMod val="60000"/>
                                  <a:lumOff val="40000"/>
                                </a:srgbClr>
                              </a:solidFill>
                              <a:ln w="12700" cap="flat" cmpd="sng" algn="ctr">
                                <a:solidFill>
                                  <a:srgbClr val="70AD47">
                                    <a:lumMod val="75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66" name="Стрелка вниз 1166"/>
                            <wps:cNvSpPr/>
                            <wps:spPr>
                              <a:xfrm>
                                <a:off x="0" y="858645"/>
                                <a:ext cx="143510" cy="71755"/>
                              </a:xfrm>
                              <a:prstGeom prst="downArrow">
                                <a:avLst/>
                              </a:prstGeom>
                              <a:solidFill>
                                <a:srgbClr val="70AD47">
                                  <a:lumMod val="60000"/>
                                  <a:lumOff val="40000"/>
                                </a:srgbClr>
                              </a:solidFill>
                              <a:ln w="12700" cap="flat" cmpd="sng" algn="ctr">
                                <a:solidFill>
                                  <a:srgbClr val="70AD47">
                                    <a:lumMod val="75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67" name="Стрелка вверх 1167"/>
                            <wps:cNvSpPr/>
                            <wps:spPr>
                              <a:xfrm>
                                <a:off x="190222" y="858644"/>
                                <a:ext cx="143510" cy="71755"/>
                              </a:xfrm>
                              <a:prstGeom prst="upArrow">
                                <a:avLst/>
                              </a:prstGeom>
                              <a:solidFill>
                                <a:srgbClr val="70AD47">
                                  <a:lumMod val="60000"/>
                                  <a:lumOff val="40000"/>
                                </a:srgbClr>
                              </a:solidFill>
                              <a:ln w="12700" cap="flat" cmpd="sng" algn="ctr">
                                <a:solidFill>
                                  <a:srgbClr val="70AD47">
                                    <a:lumMod val="75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68" name="Стрелка вверх 1168"/>
                            <wps:cNvSpPr/>
                            <wps:spPr>
                              <a:xfrm>
                                <a:off x="206715" y="3127529"/>
                                <a:ext cx="143510" cy="71755"/>
                              </a:xfrm>
                              <a:prstGeom prst="upArrow">
                                <a:avLst/>
                              </a:prstGeom>
                              <a:solidFill>
                                <a:srgbClr val="ED7D31">
                                  <a:lumMod val="20000"/>
                                  <a:lumOff val="80000"/>
                                </a:srgbClr>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69" name="Стрелка вниз 1169"/>
                            <wps:cNvSpPr/>
                            <wps:spPr>
                              <a:xfrm>
                                <a:off x="16686" y="3127530"/>
                                <a:ext cx="143510" cy="71755"/>
                              </a:xfrm>
                              <a:prstGeom prst="downArrow">
                                <a:avLst/>
                              </a:prstGeom>
                              <a:solidFill>
                                <a:srgbClr val="ED7D31">
                                  <a:lumMod val="20000"/>
                                  <a:lumOff val="80000"/>
                                </a:srgbClr>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70" name="Стрелка вниз 1170"/>
                            <wps:cNvSpPr/>
                            <wps:spPr>
                              <a:xfrm>
                                <a:off x="16544" y="4210226"/>
                                <a:ext cx="143510" cy="71755"/>
                              </a:xfrm>
                              <a:prstGeom prst="downArrow">
                                <a:avLst/>
                              </a:prstGeom>
                              <a:solidFill>
                                <a:srgbClr val="ED7D31">
                                  <a:lumMod val="20000"/>
                                  <a:lumOff val="80000"/>
                                </a:srgbClr>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71" name="Стрелка вверх 1171"/>
                            <wps:cNvSpPr/>
                            <wps:spPr>
                              <a:xfrm>
                                <a:off x="163524" y="4218274"/>
                                <a:ext cx="143510" cy="71755"/>
                              </a:xfrm>
                              <a:prstGeom prst="upArrow">
                                <a:avLst/>
                              </a:prstGeom>
                              <a:solidFill>
                                <a:srgbClr val="FFC000">
                                  <a:lumMod val="20000"/>
                                  <a:lumOff val="80000"/>
                                </a:srgbClr>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wgp>
                  </a:graphicData>
                </a:graphic>
                <wp14:sizeRelH relativeFrom="margin">
                  <wp14:pctWidth>0</wp14:pctWidth>
                </wp14:sizeRelH>
                <wp14:sizeRelV relativeFrom="margin">
                  <wp14:pctHeight>0</wp14:pctHeight>
                </wp14:sizeRelV>
              </wp:anchor>
            </w:drawing>
          </mc:Choice>
          <mc:Fallback>
            <w:pict>
              <v:group id="Группа 19" o:spid="_x0000_s1182" style="position:absolute;left:0;text-align:left;margin-left:-5.45pt;margin-top:-19.5pt;width:753.4pt;height:528.95pt;z-index:252044288;mso-position-horizontal-relative:text;mso-position-vertical-relative:text;mso-width-relative:margin;mso-height-relative:margin" coordorigin=",-675" coordsize="93316,6989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">
                <v:rect id="Прямоугольник 23" o:spid="_x0000_s1183" style="position:absolute;left:29591;top:57404;width:43557;height:443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C/AEcAA&#10;AADbAAAADwAAAGRycy9kb3ducmV2LnhtbESPT4vCMBTE74LfITzBi6zpKujaNYorFPTm3/ujebZd&#10;m5fSRFu/vREEj8PM/IaZL1tTijvVrrCs4HsYgSBOrS44U3A6Jl8/IJxH1lhaJgUPcrBcdDtzjLVt&#10;eE/3g89EgLCLUUHufRVL6dKcDLqhrYiDd7G1QR9knUldYxPgppSjKJpIgwWHhRwrWueUXg83o8BN&#10;zykls2RAmdme139mx/q/Uarfa1e/IDy1/hN+tzdawWgMry/hB8jFE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C/AEcAAAADbAAAADwAAAAAAAAAAAAAAAACYAgAAZHJzL2Rvd25y&#10;ZXYueG1sUEsFBgAAAAAEAAQA9QAAAIUDAAAAAA==&#10;" fillcolor="#fff2cc" strokecolor="#bf9000" strokeweight="1.5pt">
                  <v:stroke dashstyle="3 1"/>
                  <v:textbox inset="1mm,1mm,1mm,1mm">
                    <w:txbxContent>
                      <w:p w:rsidR="00682872" w:rsidRPr="00804897" w:rsidRDefault="00682872" w:rsidP="00E56976">
                        <w:pPr>
                          <w:spacing w:line="180" w:lineRule="exact"/>
                          <w:rPr>
                            <w:sz w:val="18"/>
                            <w:szCs w:val="18"/>
                          </w:rPr>
                        </w:pPr>
                        <w:r w:rsidRPr="00804897">
                          <w:rPr>
                            <w:sz w:val="18"/>
                            <w:szCs w:val="18"/>
                          </w:rPr>
                          <w:t>Заклади дошкільної ос</w:t>
                        </w:r>
                        <w:r>
                          <w:rPr>
                            <w:sz w:val="18"/>
                            <w:szCs w:val="18"/>
                          </w:rPr>
                          <w:t>віти, будинки малятка</w:t>
                        </w:r>
                        <w:r w:rsidRPr="00804897">
                          <w:rPr>
                            <w:sz w:val="18"/>
                            <w:szCs w:val="18"/>
                          </w:rPr>
                          <w:t>;</w:t>
                        </w:r>
                      </w:p>
                      <w:p w:rsidR="00682872" w:rsidRPr="00804897" w:rsidRDefault="00682872" w:rsidP="00E56976">
                        <w:pPr>
                          <w:spacing w:line="180" w:lineRule="exact"/>
                          <w:rPr>
                            <w:sz w:val="18"/>
                            <w:szCs w:val="18"/>
                          </w:rPr>
                        </w:pPr>
                        <w:r w:rsidRPr="00804897">
                          <w:rPr>
                            <w:sz w:val="18"/>
                            <w:szCs w:val="18"/>
                          </w:rPr>
                          <w:t>Підприємства всіх форм власності (сприяння здоровому материнству та дитинству)</w:t>
                        </w:r>
                      </w:p>
                      <w:p w:rsidR="00682872" w:rsidRPr="00804897" w:rsidRDefault="00682872" w:rsidP="00E56976">
                        <w:pPr>
                          <w:spacing w:line="180" w:lineRule="exact"/>
                          <w:rPr>
                            <w:sz w:val="18"/>
                            <w:szCs w:val="18"/>
                          </w:rPr>
                        </w:pPr>
                        <w:r w:rsidRPr="00804897">
                          <w:rPr>
                            <w:sz w:val="18"/>
                            <w:szCs w:val="18"/>
                          </w:rPr>
                          <w:t>Інтернет-ресурс на безоплатному хостінгу</w:t>
                        </w:r>
                      </w:p>
                      <w:p w:rsidR="00682872" w:rsidRPr="00804897" w:rsidRDefault="00682872" w:rsidP="00E56976">
                        <w:pPr>
                          <w:spacing w:line="160" w:lineRule="exact"/>
                          <w:rPr>
                            <w:sz w:val="18"/>
                            <w:szCs w:val="18"/>
                          </w:rPr>
                        </w:pPr>
                      </w:p>
                    </w:txbxContent>
                  </v:textbox>
                </v:rect>
                <v:group id="Группа 34" o:spid="_x0000_s1184" style="position:absolute;top:-675;width:93316;height:69899" coordorigin=",-675" coordsize="93316,6989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2bOYecQAAADbAAAA&#10;DwAAAAAAAAAAAAAAAACqAgAAZHJzL2Rvd25yZXYueG1sUEsFBgAAAAAEAAQA+gAAAJsDAAAAAA==&#10;">
                  <v:group id="Группа 47" o:spid="_x0000_s1185" style="position:absolute;top:-675;width:93316;height:69899" coordorigin=",-675" coordsize="93316,6989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xZ3VzxgAAANsA&#10;AAAPAAAAAAAAAAAAAAAAAKoCAABkcnMvZG93bnJldi54bWxQSwUGAAAAAAQABAD6AAAAnQMAAAAA&#10;">
                    <v:rect id="Прямоугольник 52" o:spid="_x0000_s1186" style="position:absolute;left:29574;top:41612;width:43828;height:101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hBd1cIA&#10;AADbAAAADwAAAGRycy9kb3ducmV2LnhtbESP3YrCMBSE7wXfIRxh72yqrO5SjbIIwq53/jzAoTn9&#10;sc1JN4la394IgpfDzHzDLNe9acWVnK8tK5gkKQji3OqaSwWn43b8DcIHZI2tZVJwJw/r1XCwxEzb&#10;G+/pegiliBD2GSqoQugyKX1ekUGf2I44eoV1BkOUrpTa4S3CTSunaTqXBmuOCxV2tKkobw4Xo6Cf&#10;Nxf/VTT3fRH+Ps874/4npVPqY9T/LEAE6sM7/Gr/agWzKTy/xB8gV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eEF3VwgAAANsAAAAPAAAAAAAAAAAAAAAAAJgCAABkcnMvZG93&#10;bnJldi54bWxQSwUGAAAAAAQABAD1AAAAhwMAAAAA&#10;" fillcolor="#fbe5d6" strokecolor="#c55a11" strokeweight="1.5pt">
                      <v:stroke dashstyle="dash"/>
                      <v:textbox inset="1mm,1mm,1mm,1mm">
                        <w:txbxContent>
                          <w:p w:rsidR="00682872" w:rsidRPr="00225A2F" w:rsidRDefault="00682872" w:rsidP="00E56976">
                            <w:pPr>
                              <w:spacing w:line="180" w:lineRule="exact"/>
                              <w:rPr>
                                <w:b/>
                                <w:sz w:val="19"/>
                                <w:szCs w:val="19"/>
                              </w:rPr>
                            </w:pPr>
                            <w:r w:rsidRPr="00225A2F">
                              <w:rPr>
                                <w:b/>
                                <w:sz w:val="19"/>
                                <w:szCs w:val="19"/>
                              </w:rPr>
                              <w:t>ДОЗ та госпітальний округ:</w:t>
                            </w:r>
                          </w:p>
                          <w:p w:rsidR="00682872" w:rsidRPr="00225A2F" w:rsidRDefault="00682872" w:rsidP="00E56976">
                            <w:pPr>
                              <w:spacing w:line="180" w:lineRule="exact"/>
                              <w:rPr>
                                <w:sz w:val="19"/>
                                <w:szCs w:val="19"/>
                              </w:rPr>
                            </w:pPr>
                            <w:r w:rsidRPr="00225A2F">
                              <w:rPr>
                                <w:sz w:val="19"/>
                                <w:szCs w:val="19"/>
                              </w:rPr>
                              <w:t>Подальше впровадження регіоналізація перинатальної допомоги та її оцінювання; застосування телемедичних технологій; реєстри пацієнтів, маршрути пацієнтів</w:t>
                            </w:r>
                            <w:r w:rsidRPr="00225A2F">
                              <w:rPr>
                                <w:bCs/>
                                <w:noProof/>
                                <w:sz w:val="19"/>
                                <w:szCs w:val="19"/>
                                <w:lang w:eastAsia="ru-RU"/>
                              </w:rPr>
                              <w:t xml:space="preserve"> </w:t>
                            </w:r>
                          </w:p>
                          <w:p w:rsidR="00682872" w:rsidRPr="00225A2F" w:rsidRDefault="00682872" w:rsidP="00E56976">
                            <w:pPr>
                              <w:spacing w:line="180" w:lineRule="exact"/>
                              <w:rPr>
                                <w:b/>
                                <w:sz w:val="19"/>
                                <w:szCs w:val="19"/>
                              </w:rPr>
                            </w:pPr>
                            <w:r w:rsidRPr="00225A2F">
                              <w:rPr>
                                <w:b/>
                                <w:sz w:val="19"/>
                                <w:szCs w:val="19"/>
                              </w:rPr>
                              <w:t>Заклади ОЗ:</w:t>
                            </w:r>
                          </w:p>
                          <w:p w:rsidR="00682872" w:rsidRPr="00225A2F" w:rsidRDefault="00682872" w:rsidP="00E56976">
                            <w:pPr>
                              <w:spacing w:line="180" w:lineRule="exact"/>
                              <w:rPr>
                                <w:sz w:val="19"/>
                                <w:szCs w:val="19"/>
                              </w:rPr>
                            </w:pPr>
                            <w:r w:rsidRPr="00225A2F">
                              <w:rPr>
                                <w:sz w:val="19"/>
                                <w:szCs w:val="19"/>
                              </w:rPr>
                              <w:t>Перинатальні центри ІІ та ІІІ рівня надання медичної допомоги,</w:t>
                            </w:r>
                          </w:p>
                          <w:p w:rsidR="00682872" w:rsidRPr="00225A2F" w:rsidRDefault="00682872" w:rsidP="00E56976">
                            <w:pPr>
                              <w:spacing w:line="180" w:lineRule="exact"/>
                              <w:rPr>
                                <w:sz w:val="19"/>
                                <w:szCs w:val="19"/>
                              </w:rPr>
                            </w:pPr>
                            <w:r w:rsidRPr="00225A2F">
                              <w:rPr>
                                <w:sz w:val="19"/>
                                <w:szCs w:val="19"/>
                              </w:rPr>
                              <w:t>Кабінет катамнезу та послуга катамнестичного спостереження</w:t>
                            </w:r>
                          </w:p>
                          <w:p w:rsidR="00682872" w:rsidRPr="00225A2F" w:rsidRDefault="00682872" w:rsidP="00E56976">
                            <w:pPr>
                              <w:spacing w:line="180" w:lineRule="exact"/>
                              <w:rPr>
                                <w:sz w:val="19"/>
                                <w:szCs w:val="19"/>
                              </w:rPr>
                            </w:pPr>
                            <w:r>
                              <w:rPr>
                                <w:sz w:val="19"/>
                                <w:szCs w:val="19"/>
                              </w:rPr>
                              <w:t>Заклади первинного рівня</w:t>
                            </w:r>
                            <w:r w:rsidRPr="00225A2F">
                              <w:rPr>
                                <w:sz w:val="19"/>
                                <w:szCs w:val="19"/>
                              </w:rPr>
                              <w:t>: координуюча рол</w:t>
                            </w:r>
                            <w:r>
                              <w:rPr>
                                <w:sz w:val="19"/>
                                <w:szCs w:val="19"/>
                              </w:rPr>
                              <w:t xml:space="preserve">ь лікарів </w:t>
                            </w:r>
                            <w:r w:rsidRPr="00225A2F">
                              <w:rPr>
                                <w:sz w:val="19"/>
                                <w:szCs w:val="19"/>
                              </w:rPr>
                              <w:t>ЗП-СЛ у наданні</w:t>
                            </w:r>
                            <w:r>
                              <w:rPr>
                                <w:sz w:val="19"/>
                                <w:szCs w:val="19"/>
                              </w:rPr>
                              <w:t xml:space="preserve"> меддопомо</w:t>
                            </w:r>
                            <w:r>
                              <w:rPr>
                                <w:sz w:val="19"/>
                                <w:szCs w:val="19"/>
                              </w:rPr>
                              <w:softHyphen/>
                              <w:t>ги</w:t>
                            </w:r>
                            <w:r w:rsidRPr="00225A2F">
                              <w:rPr>
                                <w:sz w:val="19"/>
                                <w:szCs w:val="19"/>
                              </w:rPr>
                              <w:t>, у т.ч. реабілітаційної, паліативної допомоги та катамнестичного спостереження</w:t>
                            </w:r>
                          </w:p>
                        </w:txbxContent>
                      </v:textbox>
                    </v:rect>
                    <v:rect id="Прямоугольник 54" o:spid="_x0000_s1187" style="position:absolute;left:6592;top:65719;width:82531;height:350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1HCjcQA&#10;AADbAAAADwAAAGRycy9kb3ducmV2LnhtbESPX2vCMBTF3wd+h3CFvYyZOqaUziiiTKcvsupgj5fm&#10;ri02N1kTtfv2iyD4eDh/fpzJrDONOFPra8sKhoMEBHFhdc2lgsP+/TkF4QOyxsYyKfgjD7Np72GC&#10;mbYX/qRzHkoRR9hnqKAKwWVS+qIig35gHXH0fmxrMETZllK3eInjppEvSTKWBmuOhAodLSoqjvnJ&#10;REi6W7r1cpOudlunT19Pv/SdolKP/W7+BiJQF+7hW/tDKxi9wvVL/AFy+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9Rwo3EAAAA2wAAAA8AAAAAAAAAAAAAAAAAmAIAAGRycy9k&#10;b3ducmV2LnhtbFBLBQYAAAAABAAEAPUAAACJAwAAAAA=&#10;" fillcolor="window" stroked="f" strokeweight="1pt">
                      <v:textbox>
                        <w:txbxContent>
                          <w:p w:rsidR="00682872" w:rsidRPr="003A5A68" w:rsidRDefault="00682872" w:rsidP="00E56976">
                            <w:pPr>
                              <w:jc w:val="center"/>
                              <w:rPr>
                                <w:szCs w:val="28"/>
                              </w:rPr>
                            </w:pPr>
                            <w:r>
                              <w:rPr>
                                <w:szCs w:val="28"/>
                                <w:lang w:val="ru-RU"/>
                              </w:rPr>
                              <w:t>Рис.8.3.</w:t>
                            </w:r>
                            <w:r w:rsidRPr="003A5A68">
                              <w:rPr>
                                <w:szCs w:val="28"/>
                                <w:lang w:val="ru-RU"/>
                              </w:rPr>
                              <w:t xml:space="preserve"> Інноваційна </w:t>
                            </w:r>
                            <w:r w:rsidRPr="003A5A68">
                              <w:rPr>
                                <w:szCs w:val="28"/>
                              </w:rPr>
                              <w:t>система медико-соціальної</w:t>
                            </w:r>
                            <w:r>
                              <w:rPr>
                                <w:szCs w:val="28"/>
                              </w:rPr>
                              <w:t xml:space="preserve"> допомоги дітям до 5 років</w:t>
                            </w:r>
                            <w:r w:rsidRPr="003A5A68">
                              <w:rPr>
                                <w:szCs w:val="28"/>
                              </w:rPr>
                              <w:t xml:space="preserve"> </w:t>
                            </w:r>
                            <w:proofErr w:type="gramStart"/>
                            <w:r w:rsidRPr="003A5A68">
                              <w:rPr>
                                <w:szCs w:val="28"/>
                              </w:rPr>
                              <w:t>в</w:t>
                            </w:r>
                            <w:proofErr w:type="gramEnd"/>
                            <w:r w:rsidRPr="003A5A68">
                              <w:rPr>
                                <w:szCs w:val="28"/>
                              </w:rPr>
                              <w:t xml:space="preserve"> Україні</w:t>
                            </w:r>
                          </w:p>
                          <w:p w:rsidR="00682872" w:rsidRDefault="00682872" w:rsidP="00E56976"/>
                          <w:p w:rsidR="00682872" w:rsidRDefault="00682872" w:rsidP="00E56976"/>
                          <w:p w:rsidR="00682872" w:rsidRPr="00FF33E4" w:rsidRDefault="00682872" w:rsidP="00E56976">
                            <w:pPr>
                              <w:rPr>
                                <w:lang w:val="ru-RU"/>
                              </w:rPr>
                            </w:pPr>
                          </w:p>
                        </w:txbxContent>
                      </v:textbox>
                    </v:rect>
                    <v:oval id="Овал 55" o:spid="_x0000_s1188" style="position:absolute;left:10749;top:17212;width:10439;height:97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fRgfMQA&#10;AADbAAAADwAAAGRycy9kb3ducmV2LnhtbESPQWsCMRSE7wX/Q3iCt5q1sqWsRlGhRZAeqj14fGye&#10;m8XkZdmkbuyvbwqFHoeZ+YZZrpOz4kZ9aD0rmE0LEMS11y03Cj5Pr48vIEJE1mg9k4I7BVivRg9L&#10;rLQf+INux9iIDOFQoQITY1dJGWpDDsPUd8TZu/jeYcyyb6TucchwZ+VTUTxLhy3nBYMd7QzV1+OX&#10;U+De7dt3MdhdOJWHMD+ct7OUjFKTcdosQERK8T/8195rBWUJv1/yD5Cr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H0YHzEAAAA2wAAAA8AAAAAAAAAAAAAAAAAmAIAAGRycy9k&#10;b3ducmV2LnhtbFBLBQYAAAAABAAEAPUAAACJAwAAAAA=&#10;" fillcolor="window" strokecolor="windowText" strokeweight="1pt">
                      <v:stroke joinstyle="miter"/>
                      <v:textbox inset="0,0,0,0">
                        <w:txbxContent>
                          <w:p w:rsidR="00682872" w:rsidRPr="00A07DEB" w:rsidRDefault="00682872" w:rsidP="00E56976">
                            <w:pPr>
                              <w:jc w:val="center"/>
                              <w:rPr>
                                <w:b/>
                                <w:sz w:val="18"/>
                                <w:szCs w:val="18"/>
                                <w:lang w:val="ru-RU"/>
                              </w:rPr>
                            </w:pPr>
                            <w:r w:rsidRPr="00A07DEB">
                              <w:rPr>
                                <w:b/>
                                <w:sz w:val="18"/>
                                <w:szCs w:val="18"/>
                                <w:lang w:val="ru-RU"/>
                              </w:rPr>
                              <w:t>ДИТИНА</w:t>
                            </w:r>
                          </w:p>
                          <w:p w:rsidR="00682872" w:rsidRPr="00A07DEB" w:rsidRDefault="00682872" w:rsidP="00E56976">
                            <w:pPr>
                              <w:jc w:val="center"/>
                              <w:rPr>
                                <w:b/>
                                <w:sz w:val="18"/>
                                <w:szCs w:val="18"/>
                                <w:lang w:val="ru-RU"/>
                              </w:rPr>
                            </w:pPr>
                            <w:r w:rsidRPr="00A07DEB">
                              <w:rPr>
                                <w:b/>
                                <w:sz w:val="18"/>
                                <w:szCs w:val="18"/>
                                <w:lang w:val="ru-RU"/>
                              </w:rPr>
                              <w:t>РОДИНА</w:t>
                            </w:r>
                          </w:p>
                          <w:p w:rsidR="00682872" w:rsidRPr="008200DD" w:rsidRDefault="00682872" w:rsidP="00E56976">
                            <w:pPr>
                              <w:jc w:val="center"/>
                              <w:rPr>
                                <w:b/>
                                <w:lang w:val="ru-RU"/>
                              </w:rPr>
                            </w:pPr>
                            <w:r w:rsidRPr="00D24FC3">
                              <w:rPr>
                                <w:noProof/>
                                <w:lang w:val="ru-RU" w:eastAsia="ru-RU"/>
                              </w:rPr>
                              <w:drawing>
                                <wp:inline distT="0" distB="0" distL="0" distR="0" wp14:anchorId="0043A6FE" wp14:editId="3E6A09A8">
                                  <wp:extent cx="349250" cy="247650"/>
                                  <wp:effectExtent l="0" t="0" r="0" b="0"/>
                                  <wp:docPr id="1172" name="Рисунок 1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349250" cy="247650"/>
                                          </a:xfrm>
                                          <a:prstGeom prst="rect">
                                            <a:avLst/>
                                          </a:prstGeom>
                                          <a:noFill/>
                                          <a:ln>
                                            <a:noFill/>
                                          </a:ln>
                                        </pic:spPr>
                                      </pic:pic>
                                    </a:graphicData>
                                  </a:graphic>
                                </wp:inline>
                              </w:drawing>
                            </w:r>
                          </w:p>
                        </w:txbxContent>
                      </v:textbox>
                    </v:oval>
                    <v:oval id="Овал 97" o:spid="_x0000_s1189" style="position:absolute;left:11922;top:13202;width:8274;height:503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IlkNcUA&#10;AADbAAAADwAAAGRycy9kb3ducmV2LnhtbESPT2sCMRTE7wW/Q3iCt5q1B1tXo2hpaS+Fqovg7bl5&#10;+wc3L0uS6uqnbwTB4zAzv2Fmi8404kTO15YVjIYJCOLc6ppLBdn28/kNhA/IGhvLpOBCHhbz3tMM&#10;U23PvKbTJpQiQtinqKAKoU2l9HlFBv3QtsTRK6wzGKJ0pdQOzxFuGvmSJGNpsOa4UGFL7xXlx82f&#10;UbB3xWF7zYpjk2S7n9/VV/hYridKDfrdcgoiUBce4Xv7WyuYvMLtS/wBcv4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YiWQ1xQAAANsAAAAPAAAAAAAAAAAAAAAAAJgCAABkcnMv&#10;ZG93bnJldi54bWxQSwUGAAAAAAQABAD1AAAAigMAAAAA&#10;" fillcolor="#e2f0d9" strokecolor="#00b050" strokeweight="1.5pt">
                      <v:stroke joinstyle="miter"/>
                      <v:textbox inset="0,0,0,0">
                        <w:txbxContent>
                          <w:p w:rsidR="00682872" w:rsidRPr="00F87883" w:rsidRDefault="00682872" w:rsidP="00F87883">
                            <w:pPr>
                              <w:spacing w:line="200" w:lineRule="exact"/>
                              <w:jc w:val="center"/>
                              <w:rPr>
                                <w:b/>
                                <w:spacing w:val="-22"/>
                                <w:sz w:val="22"/>
                              </w:rPr>
                            </w:pPr>
                            <w:r w:rsidRPr="00F87883">
                              <w:rPr>
                                <w:b/>
                                <w:spacing w:val="-22"/>
                                <w:sz w:val="22"/>
                              </w:rPr>
                              <w:t>Владний рівень</w:t>
                            </w:r>
                          </w:p>
                        </w:txbxContent>
                      </v:textbox>
                    </v:oval>
                    <v:oval id="Овал 113" o:spid="_x0000_s1190" style="position:absolute;left:4575;top:20586;width:9173;height:562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8WVDMIA&#10;AADcAAAADwAAAGRycy9kb3ducmV2LnhtbERPTWsCMRC9C/6HMEJvmlWpla1RimBb9OTqxduwGTdL&#10;N5NtEnX7740g9DaP9zmLVWcbcSUfascKxqMMBHHpdM2VguNhM5yDCBFZY+OYFPxRgNWy31tgrt2N&#10;93QtYiVSCIccFZgY21zKUBqyGEauJU7c2XmLMUFfSe3xlsJtIydZNpMWa04NBltaGyp/iotVsNue&#10;it+1Pb96M9Nf0/2b3baXT6VeBt3HO4hIXfwXP93fOs0fT+HxTLpALu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LxZUMwgAAANwAAAAPAAAAAAAAAAAAAAAAAJgCAABkcnMvZG93&#10;bnJldi54bWxQSwUGAAAAAAQABAD1AAAAhwMAAAAA&#10;" fillcolor="#dae3f3" strokecolor="#2e75b6" strokeweight="1.5pt">
                      <v:stroke joinstyle="miter"/>
                      <v:textbox inset="0,0,0,0">
                        <w:txbxContent>
                          <w:p w:rsidR="00682872" w:rsidRPr="00F87883" w:rsidRDefault="00682872" w:rsidP="00E56976">
                            <w:pPr>
                              <w:spacing w:line="180" w:lineRule="exact"/>
                              <w:jc w:val="center"/>
                              <w:rPr>
                                <w:b/>
                                <w:sz w:val="22"/>
                              </w:rPr>
                            </w:pPr>
                            <w:r w:rsidRPr="00F87883">
                              <w:rPr>
                                <w:b/>
                                <w:spacing w:val="-18"/>
                                <w:sz w:val="22"/>
                              </w:rPr>
                              <w:t>Локальний рівен</w:t>
                            </w:r>
                            <w:r w:rsidRPr="00F87883">
                              <w:rPr>
                                <w:b/>
                                <w:sz w:val="22"/>
                              </w:rPr>
                              <w:t>ь: громада</w:t>
                            </w:r>
                          </w:p>
                        </w:txbxContent>
                      </v:textbox>
                    </v:oval>
                    <v:oval id="Овал 114" o:spid="_x0000_s1191" style="position:absolute;left:11531;top:25231;width:8274;height:581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XEA0sAA&#10;AADcAAAADwAAAGRycy9kb3ducmV2LnhtbERPTYvCMBC9L/gfwgh7W9OKiHSNsrgsiBcxCl6HZrYt&#10;m0xqE2333xtB8DaP9znL9eCsuFEXGs8K8kkGgrj0puFKwen487EAESKyQeuZFPxTgPVq9LbEwvie&#10;D3TTsRIphEOBCuoY20LKUNbkMEx8S5y4X985jAl2lTQd9incWTnNsrl02HBqqLGlTU3ln746BYej&#10;3tlwMRl/n/tmJvf5XGur1Pt4+PoEEWmIL/HTvTVpfj6DxzPpArm6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dXEA0sAAAADcAAAADwAAAAAAAAAAAAAAAACYAgAAZHJzL2Rvd25y&#10;ZXYueG1sUEsFBgAAAAAEAAQA9QAAAIUDAAAAAA==&#10;" fillcolor="#fff2cc" strokecolor="#bf9000" strokeweight="1.5pt">
                      <v:stroke joinstyle="miter"/>
                      <v:textbox inset="0,0,0,0">
                        <w:txbxContent>
                          <w:p w:rsidR="00682872" w:rsidRPr="00A07DEB" w:rsidRDefault="00682872" w:rsidP="00E56976">
                            <w:pPr>
                              <w:spacing w:line="180" w:lineRule="exact"/>
                              <w:jc w:val="center"/>
                              <w:rPr>
                                <w:b/>
                                <w:spacing w:val="-18"/>
                                <w:sz w:val="20"/>
                                <w:szCs w:val="20"/>
                              </w:rPr>
                            </w:pPr>
                            <w:r w:rsidRPr="00F87883">
                              <w:rPr>
                                <w:b/>
                                <w:spacing w:val="-18"/>
                                <w:sz w:val="22"/>
                              </w:rPr>
                              <w:t>Міжсекто-ральний</w:t>
                            </w:r>
                            <w:r w:rsidRPr="00A07DEB">
                              <w:rPr>
                                <w:b/>
                                <w:spacing w:val="-18"/>
                                <w:sz w:val="20"/>
                                <w:szCs w:val="20"/>
                              </w:rPr>
                              <w:t xml:space="preserve"> </w:t>
                            </w:r>
                            <w:r w:rsidRPr="00F87883">
                              <w:rPr>
                                <w:b/>
                                <w:spacing w:val="-18"/>
                                <w:sz w:val="22"/>
                              </w:rPr>
                              <w:t>рівень</w:t>
                            </w:r>
                            <w:r>
                              <w:rPr>
                                <w:b/>
                                <w:spacing w:val="-18"/>
                                <w:sz w:val="20"/>
                                <w:szCs w:val="20"/>
                              </w:rPr>
                              <w:t xml:space="preserve"> </w:t>
                            </w:r>
                          </w:p>
                        </w:txbxContent>
                      </v:textbox>
                    </v:oval>
                    <v:oval id="Овал 115" o:spid="_x0000_s1192" style="position:absolute;left:17741;top:20879;width:8280;height:562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lDfcMA&#10;AADcAAAADwAAAGRycy9kb3ducmV2LnhtbERPTWvCQBC9C/0PyxR6kbpri1JSVxGhtBQvaqn0NmSn&#10;SWp2NmTHmP57VxC8zeN9zmzR+1p11MYqsIXxyIAizoOruLDwtXt7fAEVBdlhHZgs/FOExfxuMMPM&#10;hRNvqNtKoVIIxwwtlCJNpnXMS/IYR6EhTtxvaD1Kgm2hXYunFO5r/WTMVHusODWU2NCqpPywPXoL&#10;nbjvdf1phj9/ssdjdWCzf3+29uG+X76CEurlJr66P1yaP57A5Zl0gZ6f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lDfcMAAADcAAAADwAAAAAAAAAAAAAAAACYAgAAZHJzL2Rv&#10;d25yZXYueG1sUEsFBgAAAAAEAAQA9QAAAIgDAAAAAA==&#10;" fillcolor="#fbe5d6" strokecolor="#c55a11" strokeweight="1.5pt">
                      <v:stroke dashstyle="dash" joinstyle="miter"/>
                      <v:textbox inset="0,0,0,0">
                        <w:txbxContent>
                          <w:p w:rsidR="00682872" w:rsidRPr="00A07DEB" w:rsidRDefault="00682872" w:rsidP="00E56976">
                            <w:pPr>
                              <w:spacing w:line="180" w:lineRule="exact"/>
                              <w:jc w:val="center"/>
                              <w:rPr>
                                <w:b/>
                                <w:spacing w:val="-18"/>
                                <w:sz w:val="20"/>
                                <w:szCs w:val="20"/>
                              </w:rPr>
                            </w:pPr>
                            <w:r w:rsidRPr="00F87883">
                              <w:rPr>
                                <w:b/>
                                <w:spacing w:val="-18"/>
                                <w:sz w:val="22"/>
                              </w:rPr>
                              <w:t>Галузевий</w:t>
                            </w:r>
                            <w:r w:rsidRPr="00A07DEB">
                              <w:rPr>
                                <w:b/>
                                <w:spacing w:val="-18"/>
                                <w:sz w:val="20"/>
                                <w:szCs w:val="20"/>
                              </w:rPr>
                              <w:t xml:space="preserve"> </w:t>
                            </w:r>
                            <w:r w:rsidRPr="00F87883">
                              <w:rPr>
                                <w:b/>
                                <w:spacing w:val="-18"/>
                                <w:sz w:val="22"/>
                              </w:rPr>
                              <w:t>рівень</w:t>
                            </w:r>
                          </w:p>
                        </w:txbxContent>
                      </v:textbox>
                    </v:oval>
                    <v:rect id="Прямоугольник 116" o:spid="_x0000_s1193" style="position:absolute;left:6228;top:-675;width:81527;height:287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6Vo6MEA&#10;AADcAAAADwAAAGRycy9kb3ducmV2LnhtbERPTWvCQBC9F/wPywje6iYeQomuIkJQg5Q26n3Ijkkw&#10;Oxuyq4n/vlso9DaP9zmrzWha8aTeNZYVxPMIBHFpdcOVgss5e/8A4TyyxtYyKXiRg8168rbCVNuB&#10;v+lZ+EqEEHYpKqi971IpXVmTQTe3HXHgbrY36APsK6l7HEK4aeUiihJpsOHQUGNHu5rKe/EwCvbR&#10;4ZRd40y28efXYyjy/Jicc6Vm03G7BOFp9P/iP/dBh/lxAr/PhAvk+g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laOjBAAAA3AAAAA8AAAAAAAAAAAAAAAAAmAIAAGRycy9kb3du&#10;cmV2LnhtbFBLBQYAAAAABAAEAPUAAACGAwAAAAA=&#10;" fillcolor="#e7e6e6" strokecolor="windowText" strokeweight="1pt">
                      <v:textbox>
                        <w:txbxContent>
                          <w:p w:rsidR="00682872" w:rsidRPr="008F2693" w:rsidRDefault="00682872" w:rsidP="00E56976">
                            <w:pPr>
                              <w:jc w:val="center"/>
                              <w:rPr>
                                <w:b/>
                                <w:spacing w:val="-16"/>
                                <w:lang w:val="ru-RU"/>
                              </w:rPr>
                            </w:pPr>
                            <w:r w:rsidRPr="008F2693">
                              <w:rPr>
                                <w:b/>
                                <w:spacing w:val="-16"/>
                                <w:lang w:val="ru-RU"/>
                              </w:rPr>
                              <w:t xml:space="preserve">ЕФЕКТИВНЕ </w:t>
                            </w:r>
                            <w:r>
                              <w:rPr>
                                <w:b/>
                                <w:spacing w:val="-16"/>
                                <w:lang w:val="ru-RU"/>
                              </w:rPr>
                              <w:t>УПРАВЛІННЯ ПРОЦЕС</w:t>
                            </w:r>
                            <w:r w:rsidRPr="008F2693">
                              <w:rPr>
                                <w:b/>
                                <w:spacing w:val="-16"/>
                                <w:lang w:val="ru-RU"/>
                              </w:rPr>
                              <w:t>ОМ</w:t>
                            </w:r>
                            <w:r w:rsidRPr="008F2693">
                              <w:rPr>
                                <w:b/>
                                <w:spacing w:val="-16"/>
                              </w:rPr>
                              <w:t xml:space="preserve">, </w:t>
                            </w:r>
                            <w:r>
                              <w:rPr>
                                <w:b/>
                                <w:spacing w:val="-16"/>
                              </w:rPr>
                              <w:t xml:space="preserve"> </w:t>
                            </w:r>
                            <w:r w:rsidRPr="008F2693">
                              <w:rPr>
                                <w:b/>
                                <w:spacing w:val="-16"/>
                              </w:rPr>
                              <w:t xml:space="preserve">ІНТЕГРАЦІЯ, </w:t>
                            </w:r>
                            <w:r w:rsidRPr="008F2693">
                              <w:rPr>
                                <w:b/>
                                <w:spacing w:val="-16"/>
                                <w:lang w:val="ru-RU"/>
                              </w:rPr>
                              <w:t>ПЛАНУВАННЯ</w:t>
                            </w:r>
                            <w:r>
                              <w:rPr>
                                <w:b/>
                                <w:spacing w:val="-16"/>
                              </w:rPr>
                              <w:t xml:space="preserve">, </w:t>
                            </w:r>
                            <w:r w:rsidRPr="008F2693">
                              <w:rPr>
                                <w:b/>
                                <w:spacing w:val="-16"/>
                              </w:rPr>
                              <w:t>РЕСУРСНЕ ЗАБЕЗПЕЧЕННЯ ФІНАНСУВАННЯ</w:t>
                            </w:r>
                            <w:r w:rsidRPr="008F2693">
                              <w:rPr>
                                <w:b/>
                                <w:spacing w:val="-16"/>
                                <w:lang w:val="ru-RU"/>
                              </w:rPr>
                              <w:t xml:space="preserve"> </w:t>
                            </w:r>
                          </w:p>
                        </w:txbxContent>
                      </v:textbox>
                    </v:rect>
                    <v:rect id="Прямоугольник 117" o:spid="_x0000_s1194" style="position:absolute;left:-30546;top:32297;width:63968;height:2876;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3HeAb8A&#10;AADcAAAADwAAAGRycy9kb3ducmV2LnhtbERPy6rCMBDdC/5DGOFuRFMv+KAaRQTBhS5sxfXQjG2x&#10;mZQmtr1/fyMI7uZwnrPZ9aYSLTWutKxgNo1AEGdWl5wruKXHyQqE88gaK8uk4I8c7LbDwQZjbTu+&#10;Upv4XIQQdjEqKLyvYyldVpBBN7U1ceAetjHoA2xyqRvsQrip5G8ULaTBkkNDgTUdCsqeycsoSHWn&#10;DzSet+Wd3DLZV+eLfzqlfkb9fg3CU++/4o/7pMP82RLez4QL5PYf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rcd4BvwAAANwAAAAPAAAAAAAAAAAAAAAAAJgCAABkcnMvZG93bnJl&#10;di54bWxQSwUGAAAAAAQABAD1AAAAhAMAAAAA&#10;" fillcolor="#ffe699" strokecolor="windowText" strokeweight="1pt">
                      <v:textbox>
                        <w:txbxContent>
                          <w:p w:rsidR="00682872" w:rsidRPr="00253220" w:rsidRDefault="00682872" w:rsidP="00E56976">
                            <w:pPr>
                              <w:jc w:val="center"/>
                              <w:rPr>
                                <w:b/>
                                <w:spacing w:val="-16"/>
                                <w:sz w:val="22"/>
                              </w:rPr>
                            </w:pPr>
                            <w:r w:rsidRPr="00253220">
                              <w:rPr>
                                <w:b/>
                                <w:spacing w:val="-16"/>
                                <w:sz w:val="22"/>
                              </w:rPr>
                              <w:t xml:space="preserve">ДОТРИМАННЯ ПРАВ ЛЮДИНИ </w:t>
                            </w:r>
                            <w:r w:rsidRPr="00253220">
                              <w:rPr>
                                <w:b/>
                                <w:spacing w:val="-16"/>
                                <w:sz w:val="22"/>
                                <w:lang w:val="ru-RU"/>
                              </w:rPr>
                              <w:t xml:space="preserve">ТА </w:t>
                            </w:r>
                            <w:r w:rsidRPr="00253220">
                              <w:rPr>
                                <w:b/>
                                <w:spacing w:val="-16"/>
                                <w:sz w:val="22"/>
                              </w:rPr>
                              <w:t>ВИМОГ ЗАКОНОДАВСТВА В СФЕРІ ПРОТИДІЇ НАСИЛЬСТВУ</w:t>
                            </w:r>
                          </w:p>
                        </w:txbxContent>
                      </v:textbox>
                    </v:rect>
                    <v:rect id="Прямоугольник 118" o:spid="_x0000_s1195" style="position:absolute;left:5810;top:2885;width:21031;height:46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cbocUA&#10;AADcAAAADwAAAGRycy9kb3ducmV2LnhtbESPT2vCQBDF74V+h2UKvYhutKISXaUUpL3Gv3gbstNs&#10;anY2ZLeafvvOodDbDO/Ne79ZbXrfqBt1sQ5sYDzKQBGXwdZcGTjst8MFqJiQLTaBycAPRdisHx9W&#10;mNtw54Juu1QpCeGYowGXUptrHUtHHuMotMSifYbOY5K1q7Tt8C7hvtGTLJtpjzVLg8OW3hyV1923&#10;NxDng+P0dP16mV7mRcuDxbvj4mzM81P/ugSVqE//5r/rDyv4Y6GVZ2QCvf4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z9xuhxQAAANwAAAAPAAAAAAAAAAAAAAAAAJgCAABkcnMv&#10;ZG93bnJldi54bWxQSwUGAAAAAAQABAD1AAAAigMAAAAA&#10;" fillcolor="#d9d9d9" strokecolor="windowText" strokeweight="1pt">
                      <v:textbox inset="0,0,0,0">
                        <w:txbxContent>
                          <w:p w:rsidR="00682872" w:rsidRPr="0003454D" w:rsidRDefault="00682872" w:rsidP="00E56976">
                            <w:pPr>
                              <w:jc w:val="center"/>
                              <w:rPr>
                                <w:b/>
                                <w:sz w:val="20"/>
                                <w:szCs w:val="20"/>
                              </w:rPr>
                            </w:pPr>
                            <w:r w:rsidRPr="0003454D">
                              <w:rPr>
                                <w:b/>
                                <w:sz w:val="20"/>
                                <w:szCs w:val="20"/>
                              </w:rPr>
                              <w:t>ІННОВАЦІЙНІ СТРУКТУРНІ ТА ОРГАНІЗАЦІЙНІ ЕЛЕМЕНТИ</w:t>
                            </w:r>
                            <w:r>
                              <w:rPr>
                                <w:b/>
                                <w:sz w:val="20"/>
                                <w:szCs w:val="20"/>
                              </w:rPr>
                              <w:t xml:space="preserve"> СИСТЕМИ</w:t>
                            </w:r>
                          </w:p>
                        </w:txbxContent>
                      </v:textbox>
                    </v:rect>
                    <v:rect id="Прямоугольник 119" o:spid="_x0000_s1196" style="position:absolute;left:29477;top:2885;width:44640;height:25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0BMGcQA&#10;AADcAAAADwAAAGRycy9kb3ducmV2LnhtbERP22rCQBB9F/oPyxR8kbqJBWlSV/HSWkEKNfoBQ3aa&#10;BLOzYXer8e+7hYJvczjXmS1604oLOd9YVpCOExDEpdUNVwpOx/enFxA+IGtsLZOCG3lYzB8GM8y1&#10;vfKBLkWoRAxhn6OCOoQul9KXNRn0Y9sRR+7bOoMhQldJ7fAaw00rJ0kylQYbjg01drSuqTwXP0bB&#10;/iNk2+fTfrr6GrkyzTbr6u2zUGr42C9fQQTqw138797pOD/N4O+ZeIGc/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tATBnEAAAA3AAAAA8AAAAAAAAAAAAAAAAAmAIAAGRycy9k&#10;b3ducmV2LnhtbFBLBQYAAAAABAAEAPUAAACJAwAAAAA=&#10;" fillcolor="#e2f0d9" strokecolor="#00b050" strokeweight="1.5pt">
                      <v:textbox inset="0,0,0,0">
                        <w:txbxContent>
                          <w:p w:rsidR="00682872" w:rsidRPr="00225A2F" w:rsidRDefault="00682872" w:rsidP="00E56976">
                            <w:pPr>
                              <w:spacing w:line="180" w:lineRule="exact"/>
                              <w:ind w:left="57" w:right="57"/>
                              <w:rPr>
                                <w:noProof/>
                                <w:sz w:val="19"/>
                                <w:szCs w:val="19"/>
                                <w:lang w:val="ru-RU" w:eastAsia="ru-RU"/>
                              </w:rPr>
                            </w:pPr>
                            <w:r w:rsidRPr="00225A2F">
                              <w:rPr>
                                <w:b/>
                                <w:noProof/>
                                <w:sz w:val="19"/>
                                <w:szCs w:val="19"/>
                                <w:lang w:val="ru-RU" w:eastAsia="ru-RU"/>
                              </w:rPr>
                              <w:t xml:space="preserve">ВР України ЗУ: </w:t>
                            </w:r>
                            <w:r w:rsidRPr="00225A2F">
                              <w:rPr>
                                <w:noProof/>
                                <w:sz w:val="19"/>
                                <w:szCs w:val="19"/>
                                <w:lang w:val="ru-RU" w:eastAsia="ru-RU"/>
                              </w:rPr>
                              <w:t>«</w:t>
                            </w:r>
                            <w:r w:rsidRPr="00225A2F">
                              <w:rPr>
                                <w:bCs/>
                                <w:noProof/>
                                <w:sz w:val="19"/>
                                <w:szCs w:val="19"/>
                                <w:lang w:val="ru-RU" w:eastAsia="ru-RU"/>
                              </w:rPr>
                              <w:t>Про державні фінансові гарантії медичного обслуговування населення» та прийняття інших законів, що стосуються ОЗ матері та дитини</w:t>
                            </w:r>
                          </w:p>
                          <w:p w:rsidR="00682872" w:rsidRPr="00BB16D3" w:rsidRDefault="00682872" w:rsidP="00E56976">
                            <w:pPr>
                              <w:spacing w:line="180" w:lineRule="exact"/>
                              <w:ind w:left="57" w:right="57"/>
                              <w:rPr>
                                <w:b/>
                                <w:noProof/>
                                <w:sz w:val="18"/>
                                <w:szCs w:val="18"/>
                                <w:u w:val="single"/>
                                <w:lang w:val="ru-RU" w:eastAsia="ru-RU"/>
                              </w:rPr>
                            </w:pPr>
                          </w:p>
                        </w:txbxContent>
                      </v:textbox>
                    </v:rect>
                    <v:rect id="Прямоугольник 120" o:spid="_x0000_s1197" style="position:absolute;left:29574;top:18923;width:44635;height:55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J4IUMMA&#10;AADcAAAADwAAAGRycy9kb3ducmV2LnhtbESPQW/CMAyF75P2HyJP4jbSMQmhjoAQZRsHLkB/gNV4&#10;bUXjVEko5d/PByRutt7ze5+X69F1aqAQW88GPqYZKOLK25ZrA+X5+30BKiZki51nMnCnCOvV68sS&#10;c+tvfKThlGolIRxzNNCk1Odax6ohh3Hqe2LR/nxwmGQNtbYBbxLuOj3Lsrl22LI0NNjTtqHqcro6&#10;A8XhJxRluaPdEEO6hOLzush+jZm8jZsvUInG9DQ/rvdW8GeCL8/IBHr1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J4IUMMAAADcAAAADwAAAAAAAAAAAAAAAACYAgAAZHJzL2Rv&#10;d25yZXYueG1sUEsFBgAAAAAEAAQA9QAAAIgDAAAAAA==&#10;" fillcolor="#e2f0d9" strokecolor="#00b050" strokeweight="1.5pt">
                      <v:textbox inset="1mm,1mm,1mm,1mm">
                        <w:txbxContent>
                          <w:p w:rsidR="00682872" w:rsidRPr="00225A2F" w:rsidRDefault="00682872" w:rsidP="00E56976">
                            <w:pPr>
                              <w:tabs>
                                <w:tab w:val="left" w:pos="142"/>
                              </w:tabs>
                              <w:spacing w:line="180" w:lineRule="exact"/>
                              <w:ind w:right="57"/>
                              <w:rPr>
                                <w:b/>
                                <w:bCs/>
                                <w:noProof/>
                                <w:sz w:val="19"/>
                                <w:szCs w:val="19"/>
                                <w:lang w:val="ru-RU" w:eastAsia="ru-RU"/>
                              </w:rPr>
                            </w:pPr>
                            <w:r w:rsidRPr="00225A2F">
                              <w:rPr>
                                <w:b/>
                                <w:bCs/>
                                <w:noProof/>
                                <w:sz w:val="19"/>
                                <w:szCs w:val="19"/>
                                <w:lang w:val="ru-RU" w:eastAsia="ru-RU"/>
                              </w:rPr>
                              <w:t xml:space="preserve">НСЗУ: </w:t>
                            </w:r>
                            <w:r w:rsidRPr="00225A2F">
                              <w:rPr>
                                <w:bCs/>
                                <w:noProof/>
                                <w:sz w:val="19"/>
                                <w:szCs w:val="19"/>
                                <w:lang w:val="ru-RU" w:eastAsia="ru-RU"/>
                              </w:rPr>
                              <w:t>Нова система фінансування; Программа медичних гарантій; ЕСОЗ, Єдина державна медична інформаційна система педіатричної допомоги,</w:t>
                            </w:r>
                            <w:r w:rsidRPr="00225A2F">
                              <w:rPr>
                                <w:rFonts w:eastAsia="Calibri"/>
                                <w:sz w:val="19"/>
                                <w:szCs w:val="19"/>
                              </w:rPr>
                              <w:t xml:space="preserve"> </w:t>
                            </w:r>
                            <w:r w:rsidRPr="00225A2F">
                              <w:rPr>
                                <w:bCs/>
                                <w:noProof/>
                                <w:sz w:val="19"/>
                                <w:szCs w:val="19"/>
                                <w:lang w:eastAsia="ru-RU"/>
                              </w:rPr>
                              <w:t>реєстри дітей за визначеними захворюваннями, у т.ч. новонароджених, які народились передчасно та/або хворими;</w:t>
                            </w:r>
                            <w:r w:rsidRPr="00225A2F">
                              <w:rPr>
                                <w:bCs/>
                                <w:noProof/>
                                <w:sz w:val="19"/>
                                <w:szCs w:val="19"/>
                                <w:lang w:val="ru-RU" w:eastAsia="ru-RU"/>
                              </w:rPr>
                              <w:t xml:space="preserve"> клінічний аудит та аналіз</w:t>
                            </w:r>
                          </w:p>
                          <w:p w:rsidR="00682872" w:rsidRPr="002801C6" w:rsidRDefault="00682872" w:rsidP="00E56976">
                            <w:pPr>
                              <w:tabs>
                                <w:tab w:val="left" w:pos="142"/>
                              </w:tabs>
                              <w:spacing w:line="180" w:lineRule="exact"/>
                              <w:ind w:left="57" w:right="57"/>
                              <w:rPr>
                                <w:bCs/>
                                <w:noProof/>
                                <w:sz w:val="18"/>
                                <w:szCs w:val="18"/>
                                <w:lang w:val="ru-RU" w:eastAsia="ru-RU"/>
                              </w:rPr>
                            </w:pPr>
                          </w:p>
                          <w:p w:rsidR="00682872" w:rsidRPr="002801C6" w:rsidRDefault="00682872" w:rsidP="00E56976">
                            <w:pPr>
                              <w:tabs>
                                <w:tab w:val="left" w:pos="142"/>
                              </w:tabs>
                              <w:spacing w:line="180" w:lineRule="exact"/>
                              <w:ind w:left="57" w:right="57"/>
                              <w:rPr>
                                <w:bCs/>
                                <w:noProof/>
                                <w:sz w:val="18"/>
                                <w:szCs w:val="18"/>
                                <w:lang w:val="ru-RU" w:eastAsia="ru-RU"/>
                              </w:rPr>
                            </w:pPr>
                          </w:p>
                        </w:txbxContent>
                      </v:textbox>
                    </v:rect>
                    <v:rect id="Прямоугольник 121" o:spid="_x0000_s1198" style="position:absolute;left:29475;top:24833;width:42475;height:543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c9H38MA&#10;AADcAAAADwAAAGRycy9kb3ducmV2LnhtbERPS2sCMRC+F/wPYYReimb1UGQ1iqgFbSnU53lIxs3i&#10;ZrJs4rr9902h0Nt8fM+ZLTpXiZaaUHpWMBpmIIi1NyUXCk7Ht8EERIjIBivPpOCbAizmvacZ5sY/&#10;eE/tIRYihXDIUYGNsc6lDNqSwzD0NXHirr5xGBNsCmkafKRwV8lxlr1KhyWnBos1rSzp2+HuFNRf&#10;75f1Xtt2s7t9ns8fWz158UGp5363nIKI1MV/8Z97a9L88Qh+n0kXyPk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c9H38MAAADcAAAADwAAAAAAAAAAAAAAAACYAgAAZHJzL2Rv&#10;d25yZXYueG1sUEsFBgAAAAAEAAQA9QAAAIgDAAAAAA==&#10;" fillcolor="#e2f0d9" strokecolor="#00b050" strokeweight="1.5pt">
                      <v:textbox inset="0,0,1mm,1mm">
                        <w:txbxContent>
                          <w:p w:rsidR="00682872" w:rsidRPr="00225A2F" w:rsidRDefault="00682872" w:rsidP="00F43A11">
                            <w:pPr>
                              <w:spacing w:line="180" w:lineRule="exact"/>
                              <w:ind w:right="57"/>
                              <w:rPr>
                                <w:rFonts w:eastAsia="Calibri"/>
                                <w:sz w:val="19"/>
                                <w:szCs w:val="19"/>
                              </w:rPr>
                            </w:pPr>
                            <w:r>
                              <w:rPr>
                                <w:rFonts w:eastAsia="Calibri"/>
                                <w:b/>
                                <w:sz w:val="19"/>
                                <w:szCs w:val="19"/>
                              </w:rPr>
                              <w:t>Регіональні та місцеві органи влади</w:t>
                            </w:r>
                            <w:r w:rsidRPr="00225A2F">
                              <w:rPr>
                                <w:rFonts w:eastAsia="Calibri"/>
                                <w:b/>
                                <w:sz w:val="19"/>
                                <w:szCs w:val="19"/>
                              </w:rPr>
                              <w:t>:</w:t>
                            </w:r>
                            <w:r w:rsidRPr="00225A2F">
                              <w:rPr>
                                <w:rFonts w:eastAsia="Calibri"/>
                                <w:sz w:val="19"/>
                                <w:szCs w:val="19"/>
                              </w:rPr>
                              <w:t xml:space="preserve"> Регіональна комплексна цільова програма з охорони дитинства, Обласна міжсекторальна координаційна рада з ініціації та імплементації скоординованих та узгоджених заходів. Відповідальність обласних</w:t>
                            </w:r>
                            <w:r>
                              <w:rPr>
                                <w:rFonts w:eastAsia="Calibri"/>
                                <w:sz w:val="19"/>
                                <w:szCs w:val="19"/>
                              </w:rPr>
                              <w:t xml:space="preserve"> адміністрацій</w:t>
                            </w:r>
                            <w:r w:rsidRPr="00225A2F">
                              <w:rPr>
                                <w:rFonts w:eastAsia="Calibri"/>
                                <w:sz w:val="19"/>
                                <w:szCs w:val="19"/>
                              </w:rPr>
                              <w:t>, об’єднаних громад за міжбюджетне фінансування ЗОЗ</w:t>
                            </w:r>
                          </w:p>
                          <w:p w:rsidR="00682872" w:rsidRPr="002801C6" w:rsidRDefault="00682872" w:rsidP="00F43A11">
                            <w:pPr>
                              <w:spacing w:line="180" w:lineRule="exact"/>
                              <w:ind w:left="57" w:right="57"/>
                              <w:jc w:val="center"/>
                              <w:rPr>
                                <w:sz w:val="18"/>
                                <w:szCs w:val="18"/>
                                <w:lang w:val="ru-RU"/>
                              </w:rPr>
                            </w:pPr>
                          </w:p>
                        </w:txbxContent>
                      </v:textbox>
                    </v:rect>
                    <v:rect id="Прямоугольник 122" o:spid="_x0000_s1199" style="position:absolute;left:29586;top:52582;width:43733;height:435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Uvjn8EA&#10;AADcAAAADwAAAGRycy9kb3ducmV2LnhtbERPTWvCQBC9C/0PyxS8SN00B7XRNbSBgN5q1PuQHZO0&#10;2dmwuzXpv+8WCr3N433OLp9ML+7kfGdZwfMyAUFcW91xo+ByLp82IHxA1thbJgXf5CHfP8x2mGk7&#10;8onuVWhEDGGfoYI2hCGT0tctGfRLOxBH7madwRCha6R2OMZw08s0SVbSYMexocWBipbqz+rLKPDr&#10;a03lS7mgxhyvxZt5Z/0xKjV/nF63IAJN4V/85z7oOD9N4feZeIHc/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FL45/BAAAA3AAAAA8AAAAAAAAAAAAAAAAAmAIAAGRycy9kb3du&#10;cmV2LnhtbFBLBQYAAAAABAAEAPUAAACGAwAAAAA=&#10;" fillcolor="#fff2cc" strokecolor="#bf9000" strokeweight="1.5pt">
                      <v:stroke dashstyle="3 1"/>
                      <v:textbox inset="1mm,1mm,1mm,1mm">
                        <w:txbxContent>
                          <w:p w:rsidR="00682872" w:rsidRPr="00225A2F" w:rsidRDefault="00682872" w:rsidP="00E56976">
                            <w:pPr>
                              <w:spacing w:line="180" w:lineRule="exact"/>
                              <w:rPr>
                                <w:sz w:val="19"/>
                                <w:szCs w:val="19"/>
                              </w:rPr>
                            </w:pPr>
                            <w:r w:rsidRPr="00225A2F">
                              <w:rPr>
                                <w:sz w:val="19"/>
                                <w:szCs w:val="19"/>
                              </w:rPr>
                              <w:t xml:space="preserve">Заклади, що надають послуги з раннього втручання; </w:t>
                            </w:r>
                          </w:p>
                          <w:p w:rsidR="00682872" w:rsidRPr="00225A2F" w:rsidRDefault="00682872" w:rsidP="00E56976">
                            <w:pPr>
                              <w:spacing w:line="180" w:lineRule="exact"/>
                              <w:rPr>
                                <w:sz w:val="19"/>
                                <w:szCs w:val="19"/>
                              </w:rPr>
                            </w:pPr>
                            <w:r w:rsidRPr="00225A2F">
                              <w:rPr>
                                <w:sz w:val="19"/>
                                <w:szCs w:val="19"/>
                              </w:rPr>
                              <w:t>Заклади, що надають послуги з реабілітації;</w:t>
                            </w:r>
                          </w:p>
                          <w:p w:rsidR="00682872" w:rsidRPr="00225A2F" w:rsidRDefault="00682872" w:rsidP="00E56976">
                            <w:pPr>
                              <w:spacing w:line="180" w:lineRule="exact"/>
                              <w:rPr>
                                <w:sz w:val="19"/>
                                <w:szCs w:val="19"/>
                                <w:lang w:val="ru-RU"/>
                              </w:rPr>
                            </w:pPr>
                            <w:r w:rsidRPr="00225A2F">
                              <w:rPr>
                                <w:sz w:val="19"/>
                                <w:szCs w:val="19"/>
                              </w:rPr>
                              <w:t xml:space="preserve">Заклади, що надають послуги з паліативної допомоги </w:t>
                            </w:r>
                          </w:p>
                        </w:txbxContent>
                      </v:textbox>
                    </v:rect>
                    <v:rect id="Прямоугольник 123" o:spid="_x0000_s1200" style="position:absolute;left:74659;top:8068;width:14116;height:132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IiW78A&#10;AADcAAAADwAAAGRycy9kb3ducmV2LnhtbERPTWsCMRC9F/wPYQQvRbO1ILIaRSyCFw9a8Twk42Z1&#10;M1mSqOu/N0Kht3m8z5kvO9eIO4VYe1bwNSpAEGtvaq4UHH83wymImJANNp5JwZMiLBe9jzmWxj94&#10;T/dDqkQO4ViiAptSW0oZtSWHceRb4sydfXCYMgyVNAEfOdw1clwUE+mw5txgsaW1JX093JwCX91i&#10;+Kk/7am9pP1ka7X0O63UoN+tZiASdelf/Ofemjx//A3vZ/IFcvE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r8iJbvwAAANwAAAAPAAAAAAAAAAAAAAAAAJgCAABkcnMvZG93bnJl&#10;di54bWxQSwUGAAAAAAQABAD1AAAAhAMAAAAA&#10;" fillcolor="window" strokecolor="windowText" strokeweight="1pt">
                      <v:textbox inset="0,1mm,0,1mm">
                        <w:txbxContent>
                          <w:p w:rsidR="00682872" w:rsidRPr="00225A2F" w:rsidRDefault="00682872" w:rsidP="00E56976">
                            <w:pPr>
                              <w:spacing w:line="180" w:lineRule="exact"/>
                              <w:ind w:left="57" w:right="57"/>
                              <w:jc w:val="center"/>
                              <w:rPr>
                                <w:sz w:val="19"/>
                                <w:szCs w:val="19"/>
                              </w:rPr>
                            </w:pPr>
                            <w:r w:rsidRPr="00225A2F">
                              <w:rPr>
                                <w:b/>
                                <w:sz w:val="19"/>
                                <w:szCs w:val="19"/>
                              </w:rPr>
                              <w:t>Медичні:</w:t>
                            </w:r>
                            <w:r w:rsidRPr="00225A2F">
                              <w:rPr>
                                <w:sz w:val="19"/>
                                <w:szCs w:val="19"/>
                              </w:rPr>
                              <w:t xml:space="preserve"> </w:t>
                            </w:r>
                          </w:p>
                          <w:p w:rsidR="00682872" w:rsidRPr="00225A2F" w:rsidRDefault="00682872" w:rsidP="00E56976">
                            <w:pPr>
                              <w:spacing w:after="120" w:line="180" w:lineRule="exact"/>
                              <w:ind w:left="57" w:right="57"/>
                              <w:jc w:val="center"/>
                              <w:rPr>
                                <w:sz w:val="19"/>
                                <w:szCs w:val="19"/>
                              </w:rPr>
                            </w:pPr>
                            <w:r w:rsidRPr="00225A2F">
                              <w:rPr>
                                <w:sz w:val="19"/>
                                <w:szCs w:val="19"/>
                              </w:rPr>
                              <w:t>Володіння достовірною інформацією в сфері ОЗ материнства та дитинства в режимі реального часу</w:t>
                            </w:r>
                          </w:p>
                          <w:p w:rsidR="00682872" w:rsidRPr="00225A2F" w:rsidRDefault="00682872" w:rsidP="00E56976">
                            <w:pPr>
                              <w:spacing w:line="180" w:lineRule="exact"/>
                              <w:ind w:left="57" w:right="57"/>
                              <w:jc w:val="center"/>
                              <w:rPr>
                                <w:sz w:val="19"/>
                                <w:szCs w:val="19"/>
                              </w:rPr>
                            </w:pPr>
                            <w:r w:rsidRPr="00225A2F">
                              <w:rPr>
                                <w:sz w:val="19"/>
                                <w:szCs w:val="19"/>
                              </w:rPr>
                              <w:t>Позитивні зміни інтегральних показників, що стосуються здоров’я дитячого населення</w:t>
                            </w:r>
                          </w:p>
                        </w:txbxContent>
                      </v:textbox>
                    </v:rect>
                    <v:rect id="Прямоугольник 124" o:spid="_x0000_s1201" style="position:absolute;left:74659;top:22199;width:14116;height:171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Bu6L78A&#10;AADcAAAADwAAAGRycy9kb3ducmV2LnhtbERPTWsCMRC9F/wPYQQvRbOVIrIaRSyCFw9a8Twk42Z1&#10;M1mSqOu/N0Kht3m8z5kvO9eIO4VYe1bwNSpAEGtvaq4UHH83wymImJANNp5JwZMiLBe9jzmWxj94&#10;T/dDqkQO4ViiAptSW0oZtSWHceRb4sydfXCYMgyVNAEfOdw1clwUE+mw5txgsaW1JX093JwCX91i&#10;+Kk/7am9pP1ka7X0O63UoN+tZiASdelf/Ofemjx//A3vZ/IFcvE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kG7ovvwAAANwAAAAPAAAAAAAAAAAAAAAAAJgCAABkcnMvZG93bnJl&#10;di54bWxQSwUGAAAAAAQABAD1AAAAhAMAAAAA&#10;" fillcolor="window" strokecolor="windowText" strokeweight="1pt">
                      <v:textbox inset="0,1mm,0,1mm">
                        <w:txbxContent>
                          <w:p w:rsidR="00682872" w:rsidRPr="00225A2F" w:rsidRDefault="00682872" w:rsidP="00E56976">
                            <w:pPr>
                              <w:spacing w:line="180" w:lineRule="exact"/>
                              <w:ind w:left="57" w:right="57"/>
                              <w:jc w:val="center"/>
                              <w:rPr>
                                <w:rFonts w:eastAsia="Calibri"/>
                                <w:sz w:val="19"/>
                                <w:szCs w:val="19"/>
                              </w:rPr>
                            </w:pPr>
                            <w:r w:rsidRPr="00225A2F">
                              <w:rPr>
                                <w:rFonts w:eastAsia="Calibri"/>
                                <w:b/>
                                <w:sz w:val="19"/>
                                <w:szCs w:val="19"/>
                              </w:rPr>
                              <w:t>Соціальні:</w:t>
                            </w:r>
                            <w:r w:rsidRPr="00225A2F">
                              <w:rPr>
                                <w:rFonts w:eastAsia="Calibri"/>
                                <w:sz w:val="19"/>
                                <w:szCs w:val="19"/>
                              </w:rPr>
                              <w:t xml:space="preserve"> </w:t>
                            </w:r>
                          </w:p>
                          <w:p w:rsidR="00682872" w:rsidRPr="00225A2F" w:rsidRDefault="00682872" w:rsidP="00E56976">
                            <w:pPr>
                              <w:spacing w:line="180" w:lineRule="exact"/>
                              <w:ind w:left="57" w:right="57"/>
                              <w:jc w:val="center"/>
                              <w:rPr>
                                <w:rFonts w:eastAsia="Calibri"/>
                                <w:sz w:val="19"/>
                                <w:szCs w:val="19"/>
                              </w:rPr>
                            </w:pPr>
                            <w:r w:rsidRPr="00225A2F">
                              <w:rPr>
                                <w:rFonts w:eastAsia="Calibri"/>
                                <w:sz w:val="19"/>
                                <w:szCs w:val="19"/>
                              </w:rPr>
                              <w:t>Зменшення витрат родини при отриманні медичних послуг</w:t>
                            </w:r>
                          </w:p>
                          <w:p w:rsidR="00682872" w:rsidRPr="00225A2F" w:rsidRDefault="00682872" w:rsidP="00E56976">
                            <w:pPr>
                              <w:spacing w:line="180" w:lineRule="exact"/>
                              <w:ind w:left="57" w:right="57"/>
                              <w:jc w:val="center"/>
                              <w:rPr>
                                <w:rFonts w:eastAsia="Calibri"/>
                                <w:sz w:val="19"/>
                                <w:szCs w:val="19"/>
                              </w:rPr>
                            </w:pPr>
                          </w:p>
                          <w:p w:rsidR="00682872" w:rsidRPr="00225A2F" w:rsidRDefault="00682872" w:rsidP="00E56976">
                            <w:pPr>
                              <w:spacing w:after="120" w:line="180" w:lineRule="exact"/>
                              <w:ind w:left="57" w:right="57"/>
                              <w:jc w:val="center"/>
                              <w:rPr>
                                <w:rFonts w:eastAsia="Calibri"/>
                                <w:sz w:val="19"/>
                                <w:szCs w:val="19"/>
                              </w:rPr>
                            </w:pPr>
                            <w:r w:rsidRPr="00225A2F">
                              <w:rPr>
                                <w:rFonts w:eastAsia="Calibri"/>
                                <w:sz w:val="19"/>
                                <w:szCs w:val="19"/>
                              </w:rPr>
                              <w:t>Задоволеність родини якістю надання медичної допомоги</w:t>
                            </w:r>
                          </w:p>
                          <w:p w:rsidR="00682872" w:rsidRDefault="00682872" w:rsidP="00E56976">
                            <w:pPr>
                              <w:spacing w:after="120" w:line="180" w:lineRule="exact"/>
                              <w:ind w:left="57" w:right="57"/>
                              <w:jc w:val="center"/>
                              <w:rPr>
                                <w:rFonts w:eastAsia="Calibri"/>
                                <w:sz w:val="19"/>
                                <w:szCs w:val="19"/>
                                <w:lang w:val="ru-RU"/>
                              </w:rPr>
                            </w:pPr>
                            <w:r>
                              <w:rPr>
                                <w:rFonts w:eastAsia="Calibri"/>
                                <w:sz w:val="19"/>
                                <w:szCs w:val="19"/>
                                <w:lang w:val="ru-RU"/>
                              </w:rPr>
                              <w:t>Допомога</w:t>
                            </w:r>
                            <w:r w:rsidRPr="00225A2F">
                              <w:rPr>
                                <w:rFonts w:eastAsia="Calibri"/>
                                <w:sz w:val="19"/>
                                <w:szCs w:val="19"/>
                              </w:rPr>
                              <w:t xml:space="preserve"> дітям з особливим</w:t>
                            </w:r>
                            <w:r w:rsidRPr="00225A2F">
                              <w:rPr>
                                <w:rFonts w:eastAsia="Calibri"/>
                                <w:sz w:val="19"/>
                                <w:szCs w:val="19"/>
                                <w:lang w:val="ru-RU"/>
                              </w:rPr>
                              <w:t>и</w:t>
                            </w:r>
                            <w:r w:rsidRPr="00225A2F">
                              <w:rPr>
                                <w:rFonts w:eastAsia="Calibri"/>
                                <w:sz w:val="19"/>
                                <w:szCs w:val="19"/>
                              </w:rPr>
                              <w:t xml:space="preserve"> потребами</w:t>
                            </w:r>
                          </w:p>
                          <w:p w:rsidR="00682872" w:rsidRPr="00225A2F" w:rsidRDefault="00682872" w:rsidP="00E56976">
                            <w:pPr>
                              <w:spacing w:after="120" w:line="180" w:lineRule="exact"/>
                              <w:ind w:left="57" w:right="57"/>
                              <w:jc w:val="center"/>
                              <w:rPr>
                                <w:rFonts w:eastAsia="Calibri"/>
                                <w:sz w:val="19"/>
                                <w:szCs w:val="19"/>
                              </w:rPr>
                            </w:pPr>
                            <w:r w:rsidRPr="00225A2F">
                              <w:rPr>
                                <w:rFonts w:eastAsia="Calibri"/>
                                <w:sz w:val="19"/>
                                <w:szCs w:val="19"/>
                              </w:rPr>
                              <w:t xml:space="preserve">Покращення демографічної ситуації </w:t>
                            </w:r>
                          </w:p>
                          <w:p w:rsidR="00682872" w:rsidRPr="00B62FF1" w:rsidRDefault="00682872" w:rsidP="00E56976">
                            <w:pPr>
                              <w:rPr>
                                <w:lang w:val="ru-RU"/>
                              </w:rPr>
                            </w:pPr>
                          </w:p>
                        </w:txbxContent>
                      </v:textbox>
                    </v:rect>
                    <v:rect id="Прямоугольник 125" o:spid="_x0000_s1202" style="position:absolute;left:74752;top:40755;width:14319;height:180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1cftL8A&#10;AADcAAAADwAAAGRycy9kb3ducmV2LnhtbERPTWsCMRC9F/wPYQQvRbMVKrIaRSyCFw9a8Twk42Z1&#10;M1mSqOu/N0Kht3m8z5kvO9eIO4VYe1bwNSpAEGtvaq4UHH83wymImJANNp5JwZMiLBe9jzmWxj94&#10;T/dDqkQO4ViiAptSW0oZtSWHceRb4sydfXCYMgyVNAEfOdw1clwUE+mw5txgsaW1JX093JwCX91i&#10;+Kk/7am9pP1ka7X0O63UoN+tZiASdelf/Ofemjx//A3vZ/IFcvE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LVx+0vwAAANwAAAAPAAAAAAAAAAAAAAAAAJgCAABkcnMvZG93bnJl&#10;di54bWxQSwUGAAAAAAQABAD1AAAAhAMAAAAA&#10;" fillcolor="window" strokecolor="windowText" strokeweight="1pt">
                      <v:textbox inset="0,1mm,0,1mm">
                        <w:txbxContent>
                          <w:p w:rsidR="00682872" w:rsidRPr="002B4100" w:rsidRDefault="00682872" w:rsidP="00E56976">
                            <w:pPr>
                              <w:spacing w:line="180" w:lineRule="exact"/>
                              <w:ind w:left="57" w:right="57"/>
                              <w:jc w:val="center"/>
                              <w:rPr>
                                <w:rFonts w:eastAsia="Calibri"/>
                                <w:sz w:val="19"/>
                                <w:szCs w:val="19"/>
                              </w:rPr>
                            </w:pPr>
                            <w:r w:rsidRPr="002B4100">
                              <w:rPr>
                                <w:rFonts w:eastAsia="Calibri"/>
                                <w:b/>
                                <w:sz w:val="19"/>
                                <w:szCs w:val="19"/>
                              </w:rPr>
                              <w:t>Економічні:</w:t>
                            </w:r>
                          </w:p>
                          <w:p w:rsidR="00682872" w:rsidRPr="002B4100" w:rsidRDefault="00682872" w:rsidP="00E56976">
                            <w:pPr>
                              <w:spacing w:after="120" w:line="180" w:lineRule="exact"/>
                              <w:ind w:left="57" w:right="57"/>
                              <w:jc w:val="center"/>
                              <w:rPr>
                                <w:rFonts w:eastAsia="Calibri"/>
                                <w:sz w:val="19"/>
                                <w:szCs w:val="19"/>
                              </w:rPr>
                            </w:pPr>
                            <w:r w:rsidRPr="002B4100">
                              <w:rPr>
                                <w:rFonts w:eastAsia="Calibri"/>
                                <w:sz w:val="19"/>
                                <w:szCs w:val="19"/>
                              </w:rPr>
                              <w:t>Інформація щодо реальної вартості та кількості наданих медичних послуг дитячому населенню</w:t>
                            </w:r>
                          </w:p>
                          <w:p w:rsidR="00682872" w:rsidRPr="002B4100" w:rsidRDefault="00682872" w:rsidP="00E56976">
                            <w:pPr>
                              <w:spacing w:after="120" w:line="180" w:lineRule="exact"/>
                              <w:ind w:left="57" w:right="57"/>
                              <w:jc w:val="center"/>
                              <w:rPr>
                                <w:rFonts w:eastAsia="Calibri"/>
                                <w:sz w:val="19"/>
                                <w:szCs w:val="19"/>
                              </w:rPr>
                            </w:pPr>
                            <w:r w:rsidRPr="002B4100">
                              <w:rPr>
                                <w:rFonts w:eastAsia="Calibri"/>
                                <w:sz w:val="19"/>
                                <w:szCs w:val="19"/>
                              </w:rPr>
                              <w:t xml:space="preserve">Наближення до повного фінансового забезпечення реальної вартості послуг </w:t>
                            </w:r>
                          </w:p>
                          <w:p w:rsidR="00682872" w:rsidRPr="002B4100" w:rsidRDefault="00682872" w:rsidP="00E56976">
                            <w:pPr>
                              <w:spacing w:after="120" w:line="180" w:lineRule="exact"/>
                              <w:ind w:left="57" w:right="57"/>
                              <w:jc w:val="center"/>
                              <w:rPr>
                                <w:rFonts w:eastAsia="Calibri"/>
                                <w:sz w:val="19"/>
                                <w:szCs w:val="19"/>
                              </w:rPr>
                            </w:pPr>
                            <w:r w:rsidRPr="002B4100">
                              <w:rPr>
                                <w:rFonts w:eastAsia="Calibri"/>
                                <w:sz w:val="19"/>
                                <w:szCs w:val="19"/>
                              </w:rPr>
                              <w:t xml:space="preserve">Скорочення фінансування недоцільних та невідповідних галузевим стандартам медичних послуг  </w:t>
                            </w:r>
                          </w:p>
                          <w:p w:rsidR="00682872" w:rsidRPr="00B97F53" w:rsidRDefault="00682872" w:rsidP="00E56976">
                            <w:pPr>
                              <w:spacing w:line="180" w:lineRule="exact"/>
                              <w:ind w:left="57" w:right="57"/>
                              <w:jc w:val="center"/>
                              <w:rPr>
                                <w:sz w:val="18"/>
                                <w:szCs w:val="18"/>
                              </w:rPr>
                            </w:pPr>
                          </w:p>
                        </w:txbxContent>
                      </v:textbox>
                    </v:rect>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Левая фигурная скобка 1026" o:spid="_x0000_s1203" type="#_x0000_t87" style="position:absolute;left:2827;top:2200;width:2972;height:5952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fb60sIA&#10;AADdAAAADwAAAGRycy9kb3ducmV2LnhtbERPS4vCMBC+L/gfwgje1tQe6lqNIoIgiLLr8zo0Y1ts&#10;JqWJWv/9RhC8zcf3nMmsNZW4U+NKywoG/QgEcWZ1ybmCw375/QPCeWSNlWVS8CQHs2nna4Kptg/+&#10;o/vO5yKEsEtRQeF9nUrpsoIMur6tiQN3sY1BH2CTS93gI4SbSsZRlEiDJYeGAmtaFJRddzejYNGO&#10;4mO2OR2T4e95c6gSu10/V0r1uu18DMJT6z/it3ulw/woTuD1TThBTv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N9vrSwgAAAN0AAAAPAAAAAAAAAAAAAAAAAJgCAABkcnMvZG93&#10;bnJldi54bWxQSwUGAAAAAAQABAD1AAAAhwMAAAAA&#10;" adj="90" strokecolor="windowText" strokeweight="1.5pt">
                      <v:stroke joinstyle="miter"/>
                    </v:shape>
                    <v:shapetyp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Правая фигурная скобка 1041" o:spid="_x0000_s1204" type="#_x0000_t88" style="position:absolute;left:87764;top:2200;width:3594;height:5948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Z5GJsQA&#10;AADdAAAADwAAAGRycy9kb3ducmV2LnhtbERPS2sCMRC+C/6HMEJvml3bWtkaRaSlXnrwUfA4bKa7&#10;q5vJkqRm++9NoeBtPr7nLFa9acWVnG8sK8gnGQji0uqGKwXHw/t4DsIHZI2tZVLwSx5Wy+FggYW2&#10;kXd03YdKpBD2BSqoQ+gKKX1Zk0E/sR1x4r6tMxgSdJXUDmMKN62cZtlMGmw4NdTY0aam8rL/MQpe&#10;GpO7yyE+VzR7/Dx/xPbtFL+Uehj161cQgfpwF/+7tzrNz55y+PsmnSCX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GeRibEAAAA3QAAAA8AAAAAAAAAAAAAAAAAmAIAAGRycy9k&#10;b3ducmV2LnhtbFBLBQYAAAAABAAEAPUAAACJAwAAAAA=&#10;" adj="0" strokecolor="windowText" strokeweight="1.5pt">
                      <v:stroke joinstyle="miter"/>
                    </v:shape>
                    <v:rect id="Прямоугольник 1057" o:spid="_x0000_s1205" style="position:absolute;left:5468;top:39216;width:10826;height:180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5HArMMA&#10;AADdAAAADwAAAGRycy9kb3ducmV2LnhtbERPS2sCMRC+C/6HMII3zSpoZTVKUaqCh+ID8Thupvtw&#10;M9luoq7/vikUepuP7zmzRWNK8aDa5ZYVDPoRCOLE6pxTBafjR28CwnlkjaVlUvAiB4t5uzXDWNsn&#10;7+lx8KkIIexiVJB5X8VSuiQjg65vK+LAfdnaoA+wTqWu8RnCTSmHUTSWBnMODRlWtMwouR3uRoH9&#10;3uZXnpx3uFkPzaWQxWeyKpTqdpr3KQhPjf8X/7m3OsyPRm/w+004Qc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5HArMMAAADdAAAADwAAAAAAAAAAAAAAAACYAgAAZHJzL2Rv&#10;d25yZXYueG1sUEsFBgAAAAAEAAQA9QAAAIgDAAAAAA==&#10;" fillcolor="#dae3f3" strokecolor="windowText" strokeweight="1pt">
                      <v:textbox inset="0,0,0,0">
                        <w:txbxContent>
                          <w:p w:rsidR="00682872" w:rsidRPr="002B4100" w:rsidRDefault="00682872" w:rsidP="00E56976">
                            <w:pPr>
                              <w:spacing w:line="180" w:lineRule="exact"/>
                              <w:ind w:left="57" w:right="57"/>
                              <w:jc w:val="center"/>
                              <w:rPr>
                                <w:sz w:val="19"/>
                                <w:szCs w:val="19"/>
                              </w:rPr>
                            </w:pPr>
                            <w:r w:rsidRPr="002B4100">
                              <w:rPr>
                                <w:sz w:val="19"/>
                                <w:szCs w:val="19"/>
                              </w:rPr>
                              <w:t>Формуванням здорового способу життя, соціально-ефективного стереотипу сім’ї,</w:t>
                            </w:r>
                          </w:p>
                          <w:p w:rsidR="00682872" w:rsidRPr="002B4100" w:rsidRDefault="00682872" w:rsidP="00E56976">
                            <w:pPr>
                              <w:spacing w:line="180" w:lineRule="exact"/>
                              <w:ind w:left="57" w:right="57"/>
                              <w:jc w:val="center"/>
                              <w:rPr>
                                <w:sz w:val="19"/>
                                <w:szCs w:val="19"/>
                              </w:rPr>
                            </w:pPr>
                            <w:r w:rsidRPr="002B4100">
                              <w:rPr>
                                <w:sz w:val="19"/>
                                <w:szCs w:val="19"/>
                              </w:rPr>
                              <w:t>підвищення медичної активності сім’ї;</w:t>
                            </w:r>
                          </w:p>
                          <w:p w:rsidR="00682872" w:rsidRPr="002B4100" w:rsidRDefault="00682872" w:rsidP="00E56976">
                            <w:pPr>
                              <w:spacing w:line="180" w:lineRule="exact"/>
                              <w:ind w:left="57" w:right="57"/>
                              <w:jc w:val="center"/>
                              <w:rPr>
                                <w:sz w:val="19"/>
                                <w:szCs w:val="19"/>
                                <w:lang w:val="ru-RU"/>
                              </w:rPr>
                            </w:pPr>
                            <w:r w:rsidRPr="002B4100">
                              <w:rPr>
                                <w:sz w:val="19"/>
                                <w:szCs w:val="19"/>
                              </w:rPr>
                              <w:t>профілактика соціального сирітства; навчальні програми по відповідальному батьківству</w:t>
                            </w:r>
                          </w:p>
                        </w:txbxContent>
                      </v:textbox>
                    </v:rect>
                    <v:rect id="Прямоугольник 1058" o:spid="_x0000_s1206" style="position:absolute;left:74757;top:2836;width:14039;height:431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FS5l8cA&#10;AADdAAAADwAAAGRycy9kb3ducmV2LnhtbESPT0/DMAzF75P4DpGRuExbCox1Ks0mhITg2vFP3KzG&#10;NKWNUzVhK99+PiDtZus9v/dzuZt8rw40xjawgetlBoq4DrblxsDb69NiAyomZIt9YDLwRxF224tZ&#10;iYUNR67osE+NkhCOBRpwKQ2F1rF25DEuw0As2ncYPSZZx0bbEY8S7nt9k2Vr7bFlaXA40KOjutv/&#10;egMxn7+vPrqf29VXXg083zw7rj6NubqcHu5BJZrS2fx//WIFP7sTXPlGRtDbE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RUuZfHAAAA3QAAAA8AAAAAAAAAAAAAAAAAmAIAAGRy&#10;cy9kb3ducmV2LnhtbFBLBQYAAAAABAAEAPUAAACMAwAAAAA=&#10;" fillcolor="#d9d9d9" strokecolor="windowText" strokeweight="1pt">
                      <v:textbox inset="0,0,0,0">
                        <w:txbxContent>
                          <w:p w:rsidR="00682872" w:rsidRPr="00826711" w:rsidRDefault="00682872" w:rsidP="00E56976">
                            <w:pPr>
                              <w:jc w:val="center"/>
                              <w:rPr>
                                <w:b/>
                                <w:sz w:val="20"/>
                                <w:szCs w:val="20"/>
                              </w:rPr>
                            </w:pPr>
                            <w:r w:rsidRPr="00826711">
                              <w:rPr>
                                <w:b/>
                                <w:sz w:val="20"/>
                                <w:szCs w:val="20"/>
                              </w:rPr>
                              <w:t>ОЧІКУВАНІ РЕЗУЛЬТАТИ</w:t>
                            </w:r>
                          </w:p>
                        </w:txbxContent>
                      </v:textbox>
                    </v:rect>
                    <v:rect id="Прямоугольник 1059" o:spid="_x0000_s1207" style="position:absolute;left:29672;top:31050;width:42399;height:988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hrtUcIA&#10;AADdAAAADwAAAGRycy9kb3ducmV2LnhtbERP24rCMBB9F/yHMIJvmiq4aDWKFESXXRdW/YChGdti&#10;M6lNbOvfbxYE3+ZwrrPadKYUDdWusKxgMo5AEKdWF5wpuJx3ozkI55E1lpZJwZMcbNb93gpjbVv+&#10;pebkMxFC2MWoIPe+iqV0aU4G3dhWxIG72tqgD7DOpK6xDeGmlNMo+pAGCw4NOVaU5JTeTg+j4Ptu&#10;dZLorzb9tOVx3zUPc37+KDUcdNslCE+df4tf7oMO86PZAv6/CSfI9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2Gu1RwgAAAN0AAAAPAAAAAAAAAAAAAAAAAJgCAABkcnMvZG93&#10;bnJldi54bWxQSwUGAAAAAAQABAD1AAAAhwMAAAAA&#10;" fillcolor="#fbe5d6" strokecolor="#c55a11" strokeweight="1.5pt">
                      <v:stroke dashstyle="dash"/>
                      <v:textbox inset="0,0,0,0">
                        <w:txbxContent>
                          <w:p w:rsidR="00682872" w:rsidRPr="00CC2FBF" w:rsidRDefault="00682872" w:rsidP="00E56976">
                            <w:pPr>
                              <w:spacing w:line="180" w:lineRule="exact"/>
                              <w:ind w:right="57"/>
                              <w:rPr>
                                <w:rFonts w:eastAsia="Calibri"/>
                                <w:sz w:val="19"/>
                                <w:szCs w:val="19"/>
                              </w:rPr>
                            </w:pPr>
                            <w:r w:rsidRPr="00CC2FBF">
                              <w:rPr>
                                <w:b/>
                                <w:sz w:val="19"/>
                                <w:szCs w:val="19"/>
                                <w:lang w:val="ru-RU"/>
                              </w:rPr>
                              <w:t>ДЕЦ</w:t>
                            </w:r>
                            <w:r w:rsidRPr="00CC2FBF">
                              <w:rPr>
                                <w:sz w:val="19"/>
                                <w:szCs w:val="19"/>
                                <w:lang w:val="ru-RU"/>
                              </w:rPr>
                              <w:t xml:space="preserve">: </w:t>
                            </w:r>
                            <w:r w:rsidRPr="00CC2FBF">
                              <w:rPr>
                                <w:sz w:val="19"/>
                                <w:szCs w:val="19"/>
                              </w:rPr>
                              <w:t>О</w:t>
                            </w:r>
                            <w:r w:rsidRPr="00CC2FBF">
                              <w:rPr>
                                <w:rFonts w:eastAsia="Calibri"/>
                                <w:sz w:val="19"/>
                                <w:szCs w:val="19"/>
                              </w:rPr>
                              <w:t xml:space="preserve">цінка медичних технологій, галузеві стандарти </w:t>
                            </w:r>
                            <w:proofErr w:type="gramStart"/>
                            <w:r w:rsidRPr="00CC2FBF">
                              <w:rPr>
                                <w:rFonts w:eastAsia="Calibri"/>
                                <w:sz w:val="19"/>
                                <w:szCs w:val="19"/>
                              </w:rPr>
                              <w:t>в</w:t>
                            </w:r>
                            <w:proofErr w:type="gramEnd"/>
                            <w:r w:rsidRPr="00CC2FBF">
                              <w:rPr>
                                <w:rFonts w:eastAsia="Calibri"/>
                                <w:sz w:val="19"/>
                                <w:szCs w:val="19"/>
                              </w:rPr>
                              <w:t xml:space="preserve"> </w:t>
                            </w:r>
                            <w:proofErr w:type="gramStart"/>
                            <w:r w:rsidRPr="00CC2FBF">
                              <w:rPr>
                                <w:rFonts w:eastAsia="Calibri"/>
                                <w:sz w:val="19"/>
                                <w:szCs w:val="19"/>
                              </w:rPr>
                              <w:t>сфер</w:t>
                            </w:r>
                            <w:proofErr w:type="gramEnd"/>
                            <w:r w:rsidRPr="00CC2FBF">
                              <w:rPr>
                                <w:rFonts w:eastAsia="Calibri"/>
                                <w:sz w:val="19"/>
                                <w:szCs w:val="19"/>
                              </w:rPr>
                              <w:t xml:space="preserve">і ОЗ щодо охорони материнства та дитинства.  </w:t>
                            </w:r>
                          </w:p>
                          <w:p w:rsidR="00682872" w:rsidRPr="00CC2FBF" w:rsidRDefault="00682872" w:rsidP="00E56976">
                            <w:pPr>
                              <w:spacing w:line="180" w:lineRule="exact"/>
                              <w:ind w:right="57"/>
                              <w:rPr>
                                <w:sz w:val="19"/>
                                <w:szCs w:val="19"/>
                              </w:rPr>
                            </w:pPr>
                            <w:r w:rsidRPr="00CC2FBF">
                              <w:rPr>
                                <w:b/>
                                <w:sz w:val="19"/>
                                <w:szCs w:val="19"/>
                              </w:rPr>
                              <w:t xml:space="preserve">Центр громадського здоров’я та регіональні центри: </w:t>
                            </w:r>
                            <w:r w:rsidRPr="00CC2FBF">
                              <w:rPr>
                                <w:sz w:val="19"/>
                                <w:szCs w:val="19"/>
                              </w:rPr>
                              <w:t>епідеміологічні, аналітичні, профілактичні, просвітницькі заходи з охорони материнства та дитинства.</w:t>
                            </w:r>
                          </w:p>
                          <w:p w:rsidR="00682872" w:rsidRPr="00CC2FBF" w:rsidRDefault="00682872" w:rsidP="00E56976">
                            <w:pPr>
                              <w:spacing w:line="180" w:lineRule="exact"/>
                              <w:ind w:right="57"/>
                              <w:rPr>
                                <w:rFonts w:eastAsia="Calibri"/>
                                <w:sz w:val="19"/>
                                <w:szCs w:val="19"/>
                              </w:rPr>
                            </w:pPr>
                            <w:r w:rsidRPr="00CC2FBF">
                              <w:rPr>
                                <w:b/>
                                <w:sz w:val="19"/>
                                <w:szCs w:val="19"/>
                              </w:rPr>
                              <w:t>ВНЗ</w:t>
                            </w:r>
                            <w:r w:rsidRPr="00CC2FBF">
                              <w:rPr>
                                <w:sz w:val="19"/>
                                <w:szCs w:val="19"/>
                              </w:rPr>
                              <w:t xml:space="preserve"> </w:t>
                            </w:r>
                            <w:r w:rsidRPr="00357DEC">
                              <w:rPr>
                                <w:b/>
                                <w:sz w:val="19"/>
                                <w:szCs w:val="19"/>
                              </w:rPr>
                              <w:t>ІІ-</w:t>
                            </w:r>
                            <w:r w:rsidRPr="00CC2FBF">
                              <w:rPr>
                                <w:sz w:val="19"/>
                                <w:szCs w:val="19"/>
                              </w:rPr>
                              <w:t>І</w:t>
                            </w:r>
                            <w:r w:rsidRPr="00CC2FBF">
                              <w:rPr>
                                <w:b/>
                                <w:sz w:val="19"/>
                                <w:szCs w:val="19"/>
                              </w:rPr>
                              <w:t>V</w:t>
                            </w:r>
                            <w:r w:rsidRPr="00CC2FBF">
                              <w:rPr>
                                <w:sz w:val="19"/>
                                <w:szCs w:val="19"/>
                              </w:rPr>
                              <w:t xml:space="preserve"> рівня: підготовка спеціалістів та фахівців з психологічної, реабілітаційної </w:t>
                            </w:r>
                            <w:r>
                              <w:rPr>
                                <w:sz w:val="19"/>
                                <w:szCs w:val="19"/>
                              </w:rPr>
                              <w:t>та паліативної допомог</w:t>
                            </w:r>
                            <w:r w:rsidRPr="00CC2FBF">
                              <w:rPr>
                                <w:sz w:val="19"/>
                                <w:szCs w:val="19"/>
                              </w:rPr>
                              <w:t>; підвищення компетенційного та кваліфікаційного рівнів лікарів, які надають допомогу матерям та дітям</w:t>
                            </w:r>
                          </w:p>
                          <w:p w:rsidR="00682872" w:rsidRPr="002801C6" w:rsidRDefault="00682872" w:rsidP="00E56976">
                            <w:pPr>
                              <w:spacing w:line="180" w:lineRule="exact"/>
                              <w:ind w:left="142" w:right="57"/>
                              <w:rPr>
                                <w:rFonts w:eastAsia="Calibri"/>
                                <w:sz w:val="18"/>
                                <w:szCs w:val="18"/>
                              </w:rPr>
                            </w:pPr>
                          </w:p>
                          <w:p w:rsidR="00682872" w:rsidRPr="002801C6" w:rsidRDefault="00682872" w:rsidP="00E56976">
                            <w:pPr>
                              <w:spacing w:line="180" w:lineRule="exact"/>
                              <w:ind w:left="142" w:right="57"/>
                              <w:rPr>
                                <w:rFonts w:eastAsia="Calibri"/>
                                <w:sz w:val="18"/>
                                <w:szCs w:val="18"/>
                              </w:rPr>
                            </w:pPr>
                          </w:p>
                          <w:p w:rsidR="00682872" w:rsidRPr="002801C6" w:rsidRDefault="00682872" w:rsidP="00E56976">
                            <w:pPr>
                              <w:spacing w:line="180" w:lineRule="exact"/>
                              <w:ind w:left="142" w:right="57"/>
                              <w:jc w:val="center"/>
                              <w:rPr>
                                <w:sz w:val="18"/>
                                <w:szCs w:val="18"/>
                              </w:rPr>
                            </w:pPr>
                          </w:p>
                        </w:txbxContent>
                      </v:textbox>
                    </v:rect>
                    <v:shape id="Левая фигурная скобка 1070" o:spid="_x0000_s1208" type="#_x0000_t87" style="position:absolute;left:46176;top:22175;width:1632;height:81527;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tsRcsQA&#10;AADdAAAADwAAAGRycy9kb3ducmV2LnhtbESPQWvCQBCF74L/YRmhN90oYjV1FVEEKV4aC/U4ZKdJ&#10;MDsbstsY/71zKHib4b1575v1tne16qgNlWcD00kCijj3tuLCwPflOF6CChHZYu2ZDDwowHYzHKwx&#10;tf7OX9RlsVASwiFFA2WMTap1yEtyGCa+IRbt17cOo6xtoW2Ldwl3tZ4lyUI7rFgaSmxoX1J+y/6c&#10;gdXJ5XXmF8dzN2/6n8jzQ/F5NeZt1O8+QEXq48v8f32ygp+8C798IyPozR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rbEXLEAAAA3QAAAA8AAAAAAAAAAAAAAAAAmAIAAGRycy9k&#10;b3ducmV2LnhtbFBLBQYAAAAABAAEAPUAAACJAwAAAAA=&#10;" adj="36" strokecolor="windowText" strokeweight="1.5pt">
                      <v:stroke joinstyle="miter"/>
                    </v:shape>
                    <v:shapetype id="_x0000_t32" coordsize="21600,21600" o:spt="32" o:oned="t" path="m,l21600,21600e" filled="f">
                      <v:path arrowok="t" fillok="f" o:connecttype="none"/>
                      <o:lock v:ext="edit" shapetype="t"/>
                    </v:shapetype>
                    <v:shape id="Прямая со стрелкой 211" o:spid="_x0000_s1209" type="#_x0000_t32" style="position:absolute;left:9868;top:26062;width:0;height:1332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3gXJsYAAADcAAAADwAAAGRycy9kb3ducmV2LnhtbESPS2vCQBSF9wX/w3AFN6KTBCwhdRRb&#10;qIhd1EdBurtkbpNg5k46M2r67zuFgsvDeXyc+bI3rbiS841lBek0AUFcWt1wpeDj+DrJQfiArLG1&#10;TAp+yMNyMXiYY6Htjfd0PYRKxBH2BSqoQ+gKKX1Zk0E/tR1x9L6sMxiidJXUDm9x3LQyS5JHabDh&#10;SKixo5eayvPhYiJ3ln9u9el99z0bG/c2fs7y7Wmt1GjYr55ABOrDPfzf3mgFWZrC35l4BOTiF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t4FybGAAAA3AAAAA8AAAAAAAAA&#10;AAAAAAAAoQIAAGRycy9kb3ducmV2LnhtbFBLBQYAAAAABAAEAPkAAACUAwAAAAA=&#10;" strokecolor="#2e75b6" strokeweight="1.5pt">
                      <v:stroke dashstyle="longDashDotDot" endarrow="block" joinstyle="miter"/>
                    </v:shape>
                    <v:rect id="Прямоугольник 212" o:spid="_x0000_s1210" style="position:absolute;left:59867;top:32248;width:64021;height:2877;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CRD1cQA&#10;AADcAAAADwAAAGRycy9kb3ducmV2LnhtbESPUWvCMBSF3wf+h3AHvs3ECjI60zIGjqkgmxuCb5fm&#10;2pY1NyWJWv+9GQx8PJxzvsNZlIPtxJl8aB1rmE4UCOLKmZZrDT/fy6dnECEiG+wck4YrBSiL0cMC&#10;c+Mu/EXnXaxFgnDIUUMTY59LGaqGLIaJ64mTd3TeYkzS19J4vCS47WSm1FxabDktNNjTW0PV7+5k&#10;NRhvOjNTm/Wnej/wauvsvpZ7rcePw+sLiEhDvIf/2x9GQzbN4O9MOgKyu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gkQ9XEAAAA3AAAAA8AAAAAAAAAAAAAAAAAmAIAAGRycy9k&#10;b3ducmV2LnhtbFBLBQYAAAAABAAEAPUAAACJAwAAAAA=&#10;" fillcolor="#dae3f3" strokecolor="windowText" strokeweight="1pt">
                      <v:textbox>
                        <w:txbxContent>
                          <w:p w:rsidR="00682872" w:rsidRPr="00972A27" w:rsidRDefault="00682872" w:rsidP="00E56976">
                            <w:pPr>
                              <w:jc w:val="center"/>
                              <w:rPr>
                                <w:b/>
                                <w:sz w:val="18"/>
                                <w:szCs w:val="18"/>
                                <w:lang w:val="ru-RU"/>
                              </w:rPr>
                            </w:pPr>
                            <w:r>
                              <w:rPr>
                                <w:b/>
                                <w:sz w:val="18"/>
                                <w:szCs w:val="18"/>
                              </w:rPr>
                              <w:t xml:space="preserve">ІНТЕГРОВАНЕ </w:t>
                            </w:r>
                            <w:r w:rsidRPr="00972A27">
                              <w:rPr>
                                <w:b/>
                                <w:sz w:val="18"/>
                                <w:szCs w:val="18"/>
                              </w:rPr>
                              <w:t>УПР</w:t>
                            </w:r>
                            <w:r>
                              <w:rPr>
                                <w:b/>
                                <w:sz w:val="18"/>
                                <w:szCs w:val="18"/>
                              </w:rPr>
                              <w:t xml:space="preserve">АВЛІННЯ </w:t>
                            </w:r>
                            <w:r w:rsidRPr="00972A27">
                              <w:rPr>
                                <w:b/>
                                <w:sz w:val="18"/>
                                <w:szCs w:val="18"/>
                              </w:rPr>
                              <w:t>ЯК</w:t>
                            </w:r>
                            <w:r>
                              <w:rPr>
                                <w:b/>
                                <w:sz w:val="18"/>
                                <w:szCs w:val="18"/>
                              </w:rPr>
                              <w:t>І</w:t>
                            </w:r>
                            <w:r w:rsidRPr="00972A27">
                              <w:rPr>
                                <w:b/>
                                <w:sz w:val="18"/>
                                <w:szCs w:val="18"/>
                              </w:rPr>
                              <w:t>СТ</w:t>
                            </w:r>
                            <w:r>
                              <w:rPr>
                                <w:b/>
                                <w:sz w:val="18"/>
                                <w:szCs w:val="18"/>
                              </w:rPr>
                              <w:t xml:space="preserve">Ю </w:t>
                            </w:r>
                            <w:r w:rsidRPr="00972A27">
                              <w:rPr>
                                <w:b/>
                                <w:sz w:val="18"/>
                                <w:szCs w:val="18"/>
                              </w:rPr>
                              <w:t>МЕДИЧНОЇ ДОПОМОГИ</w:t>
                            </w:r>
                          </w:p>
                        </w:txbxContent>
                      </v:textbox>
                    </v:rect>
                    <v:line id="Прямая соединительная линия 213" o:spid="_x0000_s1211" style="position:absolute;flip:y;visibility:visible;mso-wrap-style:square" from="15981,10855" to="15981,133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e1kQcMAAADcAAAADwAAAGRycy9kb3ducmV2LnhtbESPQYvCMBSE78L+h/CEvWlqFZFqLF1R&#10;8LAHV/0Bj+bZFpuX0sSa/fdmQdjjMDPfMJs8mFYM1LvGsoLZNAFBXFrdcKXgejlMViCcR9bYWiYF&#10;v+Qg336MNphp++QfGs6+EhHCLkMFtfddJqUrazLoprYjjt7N9gZ9lH0ldY/PCDetTJNkKQ02HBdq&#10;7GhXU3k/P4wC+b04FfJaNcMpdGnYLfdfq8deqc9xKNYgPAX/H363j1pBOpvD35l4BOT2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HtZEHDAAAA3AAAAA8AAAAAAAAAAAAA&#10;AAAAoQIAAGRycy9kb3ducmV2LnhtbFBLBQYAAAAABAAEAPkAAACRAwAAAAA=&#10;" strokecolor="#70ad47" strokeweight="1pt">
                      <v:stroke joinstyle="miter"/>
                    </v:line>
                    <v:line id="Прямая соединительная линия 214" o:spid="_x0000_s1212" style="position:absolute;visibility:visible;mso-wrap-style:square" from="15981,10855" to="27868,1085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X5uVMUAAADcAAAADwAAAGRycy9kb3ducmV2LnhtbESPQWsCMRSE7wX/Q3hCbzWriLZbo4go&#10;9FRRC9Lba/LcXd28rEmq6783QqHHYWa+YSaz1tbiQj5UjhX0exkIYu1MxYWCr93q5RVEiMgGa8ek&#10;4EYBZtPO0wRz4668ocs2FiJBOOSooIyxyaUMuiSLoeca4uQdnLcYk/SFNB6vCW5rOciykbRYcVoo&#10;saFFSfq0/bUKvDbm7fatq/H5Z/m53x1PYb3PlHrutvN3EJHa+B/+a38YBYP+EB5n0hGQ0z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yX5uVMUAAADcAAAADwAAAAAAAAAA&#10;AAAAAAChAgAAZHJzL2Rvd25yZXYueG1sUEsFBgAAAAAEAAQA+QAAAJMDAAAAAA==&#10;" strokecolor="#70ad47" strokeweight="1pt">
                      <v:stroke joinstyle="miter"/>
                    </v:line>
                    <v:line id="Прямая соединительная линия 215" o:spid="_x0000_s1213" style="position:absolute;flip:x;visibility:visible;mso-wrap-style:square" from="27863,4351" to="27863,2667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UhZrsMAAADcAAAADwAAAGRycy9kb3ducmV2LnhtbESPQYvCMBSE78L+h/CEvWlqUZFqLF1R&#10;8LAHV/0Bj+bZFpuX0sSa/fdmQdjjMDPfMJs8mFYM1LvGsoLZNAFBXFrdcKXgejlMViCcR9bYWiYF&#10;v+Qg336MNphp++QfGs6+EhHCLkMFtfddJqUrazLoprYjjt7N9gZ9lH0ldY/PCDetTJNkKQ02HBdq&#10;7GhXU3k/P4wC+T0/FfJaNcMpdGnYLfdfq8deqc9xKNYgPAX/H363j1pBOlvA35l4BOT2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FIWa7DAAAA3AAAAA8AAAAAAAAAAAAA&#10;AAAAoQIAAGRycy9kb3ducmV2LnhtbFBLBQYAAAAABAAEAPkAAACRAwAAAAA=&#10;" strokecolor="#70ad47" strokeweight="1pt">
                      <v:stroke joinstyle="miter"/>
                    </v:line>
                    <v:shape id="Прямая со стрелкой 216" o:spid="_x0000_s1214" type="#_x0000_t32" style="position:absolute;left:27814;top:4303;width:143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n4k3MUAAADcAAAADwAAAGRycy9kb3ducmV2LnhtbESPwW7CMBBE75X6D9YicanAJgdaAgZV&#10;CKpeqCjwAat4SQLxOsSGhL/HSJV6HM3MG81s0dlK3KjxpWMNo6ECQZw5U3Ku4bBfDz5A+IBssHJM&#10;Gu7kYTF/fZlhalzLv3TbhVxECPsUNRQh1KmUPivIoh+6mjh6R9dYDFE2uTQNthFuK5koNZYWS44L&#10;Bda0LCg7765Ww+RyUu8/b3K7ac+rpFofVpPyS2nd73WfUxCBuvAf/mt/Gw3JaAzPM/EIyPk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n4k3MUAAADcAAAADwAAAAAAAAAA&#10;AAAAAAChAgAAZHJzL2Rvd25yZXYueG1sUEsFBgAAAAAEAAQA+QAAAJMDAAAAAA==&#10;" strokecolor="#70ad47" strokeweight=".5pt">
                      <v:stroke endarrow="block" joinstyle="miter"/>
                    </v:shape>
                    <v:shape id="Прямая со стрелкой 217" o:spid="_x0000_s1215" type="#_x0000_t32" style="position:absolute;left:27961;top:26600;width:143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TKBR8UAAADcAAAADwAAAGRycy9kb3ducmV2LnhtbESPwW7CMBBE70j9B2uRuFRgk0MpAYMq&#10;BFUvVBT4gFW8JIF4HWJD0r/HlSpxHM3MG8182dlK3KnxpWMN45ECQZw5U3Ku4XjYDN9B+IBssHJM&#10;Gn7Jw3Lx0ptjalzLP3Tfh1xECPsUNRQh1KmUPivIoh+5mjh6J9dYDFE2uTQNthFuK5ko9SYtlhwX&#10;CqxpVVB22d+shun1rCbfr3K3bS/rpNoc19PyU2k96HcfMxCBuvAM/7e/jIZkPIG/M/EIyMU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TKBR8UAAADcAAAADwAAAAAAAAAA&#10;AAAAAAChAgAAZHJzL2Rvd25yZXYueG1sUEsFBgAAAAAEAAQA+QAAAJMDAAAAAA==&#10;" strokecolor="#70ad47" strokeweight=".5pt">
                      <v:stroke endarrow="block" joinstyle="miter"/>
                    </v:shape>
                    <v:rect id="Прямоугольник 218" o:spid="_x0000_s1216" style="position:absolute;left:29623;top:13838;width:44634;height:44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9aSzsIA&#10;AADcAAAADwAAAGRycy9kb3ducmV2LnhtbERPy4rCMBTdC/5DuII7TduFDNUoPkYdcDUq6PLSXNti&#10;c9NpYu3M15vFgMvDec8WnalES40rLSuIxxEI4szqknMF59N29AHCeWSNlWVS8EsOFvN+b4aptk/+&#10;pvbocxFC2KWooPC+TqV0WUEG3djWxIG72cagD7DJpW7wGcJNJZMomkiDJYeGAmtaF5Tdjw+jgH+6&#10;Ntldk9XfYbe5xtvT/vOSXZQaDrrlFISnzr/F/+4vrSCJw9pwJhwBOX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71pLOwgAAANwAAAAPAAAAAAAAAAAAAAAAAJgCAABkcnMvZG93&#10;bnJldi54bWxQSwUGAAAAAAQABAD1AAAAhwMAAAAA&#10;" fillcolor="#e2f0d9" strokecolor="#00b050" strokeweight="1.5pt">
                      <v:textbox inset="1mm,0,1mm,0">
                        <w:txbxContent>
                          <w:p w:rsidR="00682872" w:rsidRPr="004D4FA4" w:rsidRDefault="00682872" w:rsidP="00E56976">
                            <w:pPr>
                              <w:tabs>
                                <w:tab w:val="left" w:pos="142"/>
                              </w:tabs>
                              <w:spacing w:line="180" w:lineRule="exact"/>
                              <w:ind w:right="57"/>
                              <w:rPr>
                                <w:bCs/>
                                <w:noProof/>
                                <w:sz w:val="19"/>
                                <w:szCs w:val="19"/>
                                <w:lang w:eastAsia="ru-RU"/>
                              </w:rPr>
                            </w:pPr>
                            <w:r w:rsidRPr="003857F5">
                              <w:rPr>
                                <w:b/>
                                <w:bCs/>
                                <w:noProof/>
                                <w:sz w:val="19"/>
                                <w:szCs w:val="19"/>
                                <w:lang w:val="ru-RU" w:eastAsia="ru-RU"/>
                              </w:rPr>
                              <w:t>МОЗ Укр</w:t>
                            </w:r>
                            <w:bookmarkStart w:id="3" w:name="_GoBack"/>
                            <w:bookmarkEnd w:id="3"/>
                            <w:r w:rsidRPr="003857F5">
                              <w:rPr>
                                <w:b/>
                                <w:bCs/>
                                <w:noProof/>
                                <w:sz w:val="19"/>
                                <w:szCs w:val="19"/>
                                <w:lang w:val="ru-RU" w:eastAsia="ru-RU"/>
                              </w:rPr>
                              <w:t>аїни</w:t>
                            </w:r>
                            <w:r>
                              <w:rPr>
                                <w:b/>
                                <w:bCs/>
                                <w:noProof/>
                                <w:sz w:val="19"/>
                                <w:szCs w:val="19"/>
                                <w:lang w:val="ru-RU" w:eastAsia="ru-RU"/>
                              </w:rPr>
                              <w:t>:</w:t>
                            </w:r>
                            <w:r w:rsidRPr="003857F5">
                              <w:rPr>
                                <w:b/>
                                <w:bCs/>
                                <w:noProof/>
                                <w:sz w:val="19"/>
                                <w:szCs w:val="19"/>
                                <w:lang w:val="ru-RU" w:eastAsia="ru-RU"/>
                              </w:rPr>
                              <w:t xml:space="preserve"> </w:t>
                            </w:r>
                            <w:r>
                              <w:rPr>
                                <w:rFonts w:eastAsia="Calibri"/>
                                <w:sz w:val="19"/>
                                <w:szCs w:val="19"/>
                              </w:rPr>
                              <w:t xml:space="preserve">НПА щодо охорони здоров’я матері та дитини,  </w:t>
                            </w:r>
                            <w:r w:rsidRPr="003857F5">
                              <w:rPr>
                                <w:bCs/>
                                <w:noProof/>
                                <w:sz w:val="19"/>
                                <w:szCs w:val="19"/>
                                <w:lang w:eastAsia="ru-RU"/>
                              </w:rPr>
                              <w:t>Національн</w:t>
                            </w:r>
                            <w:r>
                              <w:rPr>
                                <w:bCs/>
                                <w:noProof/>
                                <w:sz w:val="19"/>
                                <w:szCs w:val="19"/>
                                <w:lang w:eastAsia="ru-RU"/>
                              </w:rPr>
                              <w:t>ий</w:t>
                            </w:r>
                            <w:r w:rsidRPr="003857F5">
                              <w:rPr>
                                <w:bCs/>
                                <w:noProof/>
                                <w:sz w:val="19"/>
                                <w:szCs w:val="19"/>
                                <w:lang w:eastAsia="ru-RU"/>
                              </w:rPr>
                              <w:t xml:space="preserve"> план </w:t>
                            </w:r>
                            <w:r>
                              <w:rPr>
                                <w:bCs/>
                                <w:noProof/>
                                <w:sz w:val="19"/>
                                <w:szCs w:val="19"/>
                                <w:lang w:val="ru-RU" w:eastAsia="ru-RU"/>
                              </w:rPr>
                              <w:t xml:space="preserve">    </w:t>
                            </w:r>
                            <w:r w:rsidRPr="003857F5">
                              <w:rPr>
                                <w:bCs/>
                                <w:noProof/>
                                <w:sz w:val="19"/>
                                <w:szCs w:val="19"/>
                                <w:lang w:eastAsia="ru-RU"/>
                              </w:rPr>
                              <w:t xml:space="preserve">дій глобальної ініціативи ВООЗ </w:t>
                            </w:r>
                            <w:r>
                              <w:rPr>
                                <w:bCs/>
                                <w:noProof/>
                                <w:color w:val="000000" w:themeColor="text1"/>
                                <w:sz w:val="19"/>
                                <w:szCs w:val="19"/>
                                <w:lang w:eastAsia="ru-RU"/>
                              </w:rPr>
                              <w:t>«Кожна жінка, к</w:t>
                            </w:r>
                            <w:r w:rsidRPr="00D20B79">
                              <w:rPr>
                                <w:bCs/>
                                <w:noProof/>
                                <w:color w:val="000000" w:themeColor="text1"/>
                                <w:sz w:val="19"/>
                                <w:szCs w:val="19"/>
                                <w:lang w:eastAsia="ru-RU"/>
                              </w:rPr>
                              <w:t>ожна дитина», Державна</w:t>
                            </w:r>
                            <w:r w:rsidR="00C1633A">
                              <w:rPr>
                                <w:bCs/>
                                <w:noProof/>
                                <w:color w:val="000000" w:themeColor="text1"/>
                                <w:sz w:val="19"/>
                                <w:szCs w:val="19"/>
                                <w:lang w:eastAsia="ru-RU"/>
                              </w:rPr>
                              <w:t xml:space="preserve"> багатосекторальна</w:t>
                            </w:r>
                            <w:r w:rsidRPr="00D20B79">
                              <w:rPr>
                                <w:bCs/>
                                <w:noProof/>
                                <w:color w:val="000000" w:themeColor="text1"/>
                                <w:sz w:val="19"/>
                                <w:szCs w:val="19"/>
                                <w:lang w:eastAsia="ru-RU"/>
                              </w:rPr>
                              <w:t xml:space="preserve"> програма,</w:t>
                            </w:r>
                            <w:r w:rsidRPr="00D20B79">
                              <w:rPr>
                                <w:rFonts w:eastAsia="Calibri"/>
                                <w:color w:val="000000" w:themeColor="text1"/>
                                <w:sz w:val="19"/>
                                <w:szCs w:val="19"/>
                              </w:rPr>
                              <w:t xml:space="preserve"> комплексна оцінка стану перинатальної допомоги</w:t>
                            </w:r>
                          </w:p>
                        </w:txbxContent>
                      </v:textbox>
                    </v:rect>
                    <v:rect id="Прямоугольник 219" o:spid="_x0000_s1217" style="position:absolute;left:29428;top:10219;width:44634;height:30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GUtZcYA&#10;AADcAAAADwAAAGRycy9kb3ducmV2LnhtbESP0WrCQBRE3wX/YbmFvkjdREFM6iqtrVaQQpv6AZfs&#10;bRLM3g27W41/7woFH4eZOcMsVr1pxYmcbywrSMcJCOLS6oYrBYefzdMchA/IGlvLpOBCHlbL4WCB&#10;ubZn/qZTESoRIexzVFCH0OVS+rImg35sO+Lo/VpnMETpKqkdniPctHKSJDNpsOG4UGNH65rKY/Fn&#10;FOw/QradHvaz16+RK9PsbV29fxZKPT70L88gAvXhHv5v77SCSZrB7Uw8AnJ5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GUtZcYAAADcAAAADwAAAAAAAAAAAAAAAACYAgAAZHJz&#10;L2Rvd25yZXYueG1sUEsFBgAAAAAEAAQA9QAAAIsDAAAAAA==&#10;" fillcolor="#e2f0d9" strokecolor="#00b050" strokeweight="1.5pt">
                      <v:textbox inset="0,0,0,0">
                        <w:txbxContent>
                          <w:p w:rsidR="00682872" w:rsidRPr="00166727" w:rsidRDefault="00682872" w:rsidP="00E56976">
                            <w:pPr>
                              <w:tabs>
                                <w:tab w:val="left" w:pos="142"/>
                              </w:tabs>
                              <w:spacing w:line="180" w:lineRule="exact"/>
                              <w:ind w:right="57"/>
                              <w:rPr>
                                <w:bCs/>
                                <w:noProof/>
                                <w:sz w:val="19"/>
                                <w:szCs w:val="19"/>
                                <w:lang w:val="ru-RU" w:eastAsia="ru-RU"/>
                              </w:rPr>
                            </w:pPr>
                            <w:r w:rsidRPr="00166727">
                              <w:rPr>
                                <w:b/>
                                <w:bCs/>
                                <w:noProof/>
                                <w:sz w:val="19"/>
                                <w:szCs w:val="19"/>
                                <w:lang w:val="ru-RU" w:eastAsia="ru-RU"/>
                              </w:rPr>
                              <w:t xml:space="preserve">Мінсоцполітики України: </w:t>
                            </w:r>
                            <w:r w:rsidRPr="00166727">
                              <w:rPr>
                                <w:bCs/>
                                <w:noProof/>
                                <w:sz w:val="19"/>
                                <w:szCs w:val="19"/>
                                <w:lang w:val="ru-RU" w:eastAsia="ru-RU"/>
                              </w:rPr>
                              <w:t>НПА</w:t>
                            </w:r>
                            <w:r w:rsidRPr="00166727">
                              <w:rPr>
                                <w:b/>
                                <w:bCs/>
                                <w:noProof/>
                                <w:sz w:val="19"/>
                                <w:szCs w:val="19"/>
                                <w:lang w:val="ru-RU" w:eastAsia="ru-RU"/>
                              </w:rPr>
                              <w:t xml:space="preserve"> </w:t>
                            </w:r>
                            <w:r w:rsidRPr="00166727">
                              <w:rPr>
                                <w:bCs/>
                                <w:noProof/>
                                <w:sz w:val="19"/>
                                <w:szCs w:val="19"/>
                                <w:lang w:val="ru-RU" w:eastAsia="ru-RU"/>
                              </w:rPr>
                              <w:t>з</w:t>
                            </w:r>
                            <w:r w:rsidRPr="00166727">
                              <w:rPr>
                                <w:b/>
                                <w:bCs/>
                                <w:noProof/>
                                <w:sz w:val="19"/>
                                <w:szCs w:val="19"/>
                                <w:lang w:val="ru-RU" w:eastAsia="ru-RU"/>
                              </w:rPr>
                              <w:t xml:space="preserve"> </w:t>
                            </w:r>
                            <w:r w:rsidRPr="00166727">
                              <w:rPr>
                                <w:bCs/>
                                <w:noProof/>
                                <w:sz w:val="19"/>
                                <w:szCs w:val="19"/>
                                <w:lang w:val="ru-RU" w:eastAsia="ru-RU"/>
                              </w:rPr>
                              <w:t xml:space="preserve">охорони </w:t>
                            </w:r>
                            <w:r>
                              <w:rPr>
                                <w:bCs/>
                                <w:noProof/>
                                <w:sz w:val="19"/>
                                <w:szCs w:val="19"/>
                                <w:lang w:val="ru-RU" w:eastAsia="ru-RU"/>
                              </w:rPr>
                              <w:t xml:space="preserve">материнства та </w:t>
                            </w:r>
                            <w:r w:rsidRPr="00166727">
                              <w:rPr>
                                <w:bCs/>
                                <w:noProof/>
                                <w:sz w:val="19"/>
                                <w:szCs w:val="19"/>
                                <w:lang w:val="ru-RU" w:eastAsia="ru-RU"/>
                              </w:rPr>
                              <w:t>дитинства,</w:t>
                            </w:r>
                            <w:r w:rsidRPr="00166727">
                              <w:rPr>
                                <w:b/>
                                <w:bCs/>
                                <w:noProof/>
                                <w:sz w:val="19"/>
                                <w:szCs w:val="19"/>
                                <w:lang w:val="ru-RU" w:eastAsia="ru-RU"/>
                              </w:rPr>
                              <w:t xml:space="preserve"> </w:t>
                            </w:r>
                            <w:r w:rsidRPr="00166727">
                              <w:rPr>
                                <w:bCs/>
                                <w:noProof/>
                                <w:sz w:val="19"/>
                                <w:szCs w:val="19"/>
                                <w:lang w:val="ru-RU" w:eastAsia="ru-RU"/>
                              </w:rPr>
                              <w:t xml:space="preserve">соціальних </w:t>
                            </w:r>
                            <w:r>
                              <w:rPr>
                                <w:bCs/>
                                <w:noProof/>
                                <w:sz w:val="19"/>
                                <w:szCs w:val="19"/>
                                <w:lang w:val="ru-RU" w:eastAsia="ru-RU"/>
                              </w:rPr>
                              <w:t xml:space="preserve">    </w:t>
                            </w:r>
                            <w:r w:rsidRPr="00166727">
                              <w:rPr>
                                <w:bCs/>
                                <w:noProof/>
                                <w:sz w:val="19"/>
                                <w:szCs w:val="19"/>
                                <w:lang w:val="ru-RU" w:eastAsia="ru-RU"/>
                              </w:rPr>
                              <w:t>гарантій; ефективна державна політика до сімей із соціальними ризиком</w:t>
                            </w:r>
                          </w:p>
                        </w:txbxContent>
                      </v:textbox>
                    </v:rect>
                    <v:rect id="Прямоугольник 220" o:spid="_x0000_s1218" style="position:absolute;left:29477;top:5818;width:44634;height:37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zNORcMA&#10;AADcAAAADwAAAGRycy9kb3ducmV2LnhtbERP3WrCMBS+H/gO4Qi7kZlaQWbXVDan20AE1/kAh+bY&#10;FpuTkkTt3n65EHb58f3nq8F04krOt5YVzKYJCOLK6pZrBcef7dMzCB+QNXaWScEveVgVo4ccM21v&#10;/E3XMtQihrDPUEETQp9J6auGDPqp7Ykjd7LOYIjQ1VI7vMVw08k0SRbSYMuxocGe1g1V5/JiFOw+&#10;w/Jjftwt3g4TV82W7+t6sy+VehwPry8gAg3hX3x3f2kFaRrnxzPxCMji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zNORcMAAADcAAAADwAAAAAAAAAAAAAAAACYAgAAZHJzL2Rv&#10;d25yZXYueG1sUEsFBgAAAAAEAAQA9QAAAIgDAAAAAA==&#10;" fillcolor="#e2f0d9" strokecolor="#00b050" strokeweight="1.5pt">
                      <v:textbox inset="0,0,0,0">
                        <w:txbxContent>
                          <w:p w:rsidR="00682872" w:rsidRPr="00225A2F" w:rsidRDefault="00682872" w:rsidP="00E56976">
                            <w:pPr>
                              <w:spacing w:line="180" w:lineRule="exact"/>
                              <w:ind w:right="57"/>
                              <w:rPr>
                                <w:b/>
                                <w:noProof/>
                                <w:sz w:val="19"/>
                                <w:szCs w:val="19"/>
                                <w:u w:val="single"/>
                                <w:lang w:val="ru-RU" w:eastAsia="ru-RU"/>
                              </w:rPr>
                            </w:pPr>
                            <w:r w:rsidRPr="00225A2F">
                              <w:rPr>
                                <w:b/>
                                <w:bCs/>
                                <w:noProof/>
                                <w:sz w:val="19"/>
                                <w:szCs w:val="19"/>
                                <w:lang w:val="ru-RU" w:eastAsia="ru-RU"/>
                              </w:rPr>
                              <w:t>КМУ</w:t>
                            </w:r>
                            <w:r w:rsidRPr="00225A2F">
                              <w:rPr>
                                <w:bCs/>
                                <w:noProof/>
                                <w:sz w:val="19"/>
                                <w:szCs w:val="19"/>
                                <w:lang w:val="ru-RU" w:eastAsia="ru-RU"/>
                              </w:rPr>
                              <w:t>: Постанова від 05.02.2020 р. № 65 «Деякі питання реалізації програми державних гарантій медичного обслуговування населення у 2020 р.» та інші постанови в цьому напрямі</w:t>
                            </w:r>
                            <w:r>
                              <w:rPr>
                                <w:bCs/>
                                <w:noProof/>
                                <w:sz w:val="19"/>
                                <w:szCs w:val="19"/>
                                <w:lang w:val="ru-RU" w:eastAsia="ru-RU"/>
                              </w:rPr>
                              <w:t xml:space="preserve"> та напрямі ОЗ матері та дитини</w:t>
                            </w:r>
                          </w:p>
                          <w:p w:rsidR="00682872" w:rsidRPr="00BB16D3" w:rsidRDefault="00682872" w:rsidP="00E56976">
                            <w:pPr>
                              <w:tabs>
                                <w:tab w:val="left" w:pos="142"/>
                              </w:tabs>
                              <w:spacing w:line="180" w:lineRule="exact"/>
                              <w:ind w:left="142"/>
                              <w:rPr>
                                <w:bCs/>
                                <w:noProof/>
                                <w:lang w:val="ru-RU" w:eastAsia="ru-RU"/>
                              </w:rPr>
                            </w:pPr>
                          </w:p>
                        </w:txbxContent>
                      </v:textbox>
                    </v:rect>
                    <v:shape id="Прямая со стрелкой 221" o:spid="_x0000_s1219" type="#_x0000_t32" style="position:absolute;left:27814;top:7090;width:144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t2FcUAAADcAAAADwAAAGRycy9kb3ducmV2LnhtbESPwW7CMBBE75X4B2uReqnAJgdaAgYh&#10;BBUXKqB8wCpekkC8TmOXhL/HSJV6HM3MG81s0dlK3KjxpWMNo6ECQZw5U3Ku4fS9GXyA8AHZYOWY&#10;NNzJw2Lee5lhalzLB7odQy4ihH2KGooQ6lRKnxVk0Q9dTRy9s2sshiibXJoG2wi3lUyUGkuLJceF&#10;AmtaFZRdj79Ww+Tnot6/3uR+117XSbU5rSflp9L6td8tpyACdeE//NfeGg1JMoLnmXgE5P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t2FcUAAADcAAAADwAAAAAAAAAA&#10;AAAAAAChAgAAZHJzL2Rvd25yZXYueG1sUEsFBgAAAAAEAAQA+QAAAJMDAAAAAA==&#10;" strokecolor="#70ad47" strokeweight=".5pt">
                      <v:stroke endarrow="block" joinstyle="miter"/>
                    </v:shape>
                    <v:shape id="Прямая со стрелкой 222" o:spid="_x0000_s1220" type="#_x0000_t32" style="position:absolute;left:27814;top:12224;width:143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ynoYsYAAADcAAAADwAAAGRycy9kb3ducmV2LnhtbESPzW7CMBCE75X6DtZW6gWBXR9aCBhU&#10;VVD1QsXfA6ziJUmJ12nskvD2GAmpx9HMfKOZLXpXizO1ofJs4GWkQBDn3lZcGDjsV8MxiBCRLdae&#10;ycCFAizmjw8zzKzveEvnXSxEgnDI0EAZY5NJGfKSHIaRb4iTd/Stw5hkW0jbYpfgrpZaqVfpsOK0&#10;UGJDHyXlp92fMzD5/VFv3wO5WXenpa5Xh+Wk+lTGPD/171MQkfr4H763v6wBrTXczqQjIOdX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cp6GLGAAAA3AAAAA8AAAAAAAAA&#10;AAAAAAAAoQIAAGRycy9kb3ducmV2LnhtbFBLBQYAAAAABAAEAPkAAACUAwAAAAA=&#10;" strokecolor="#70ad47" strokeweight=".5pt">
                      <v:stroke endarrow="block" joinstyle="miter"/>
                    </v:shape>
                    <v:shape id="Прямая со стрелкой 223" o:spid="_x0000_s1221" type="#_x0000_t32" style="position:absolute;left:27912;top:21759;width:143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VN+cYAAADcAAAADwAAAGRycy9kb3ducmV2LnhtbESP0WrCQBRE3wv9h+UWfBHdbYRWo6sU&#10;UfHF0qofcMneJqnZuzG7mvj3bkHo4zAzZ5jZorOVuFLjS8caXocKBHHmTMm5huNhPRiD8AHZYOWY&#10;NNzIw2L+/DTD1LiWv+m6D7mIEPYpaihCqFMpfVaQRT90NXH0flxjMUTZ5NI02Ea4rWSi1Ju0WHJc&#10;KLCmZUHZaX+xGibnX/X+2Zdfu/a0Sqr1cTUpN0rr3kv3MQURqAv/4Ud7azQkyQj+zsQjIOd3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hlTfnGAAAA3AAAAA8AAAAAAAAA&#10;AAAAAAAAoQIAAGRycy9kb3ducmV2LnhtbFBLBQYAAAAABAAEAPkAAACUAwAAAAA=&#10;" strokecolor="#70ad47" strokeweight=".5pt">
                      <v:stroke endarrow="block" joinstyle="miter"/>
                    </v:shape>
                    <v:shape id="Прямая со стрелкой 1126" o:spid="_x0000_s1222" type="#_x0000_t32" style="position:absolute;left:27814;top:15940;width:143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5wTbsUAAADdAAAADwAAAGRycy9kb3ducmV2LnhtbERPzWrCQBC+F/oOyxS8SN01B1tjNlKK&#10;iheLtT7AkB2T1Oxsml1N+vZdQehtPr7fyZaDbcSVOl871jCdKBDEhTM1lxqOX+vnVxA+IBtsHJOG&#10;X/KwzB8fMkyN6/mTrodQihjCPkUNVQhtKqUvKrLoJ64ljtzJdRZDhF0pTYd9DLeNTJSaSYs1x4YK&#10;W3qvqDgfLlbD/OdbvXyM5X7Xn1dJsz6u5vVGaT16Gt4WIAIN4V98d29NnD9NZnD7Jp4g8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5wTbsUAAADdAAAADwAAAAAAAAAA&#10;AAAAAAChAgAAZHJzL2Rvd25yZXYueG1sUEsFBgAAAAAEAAQA+QAAAJMDAAAAAA==&#10;" strokecolor="#70ad47" strokeweight=".5pt">
                      <v:stroke endarrow="block" joinstyle="miter"/>
                    </v:shape>
                    <v:line id="Прямая соединительная линия 1127" o:spid="_x0000_s1223" style="position:absolute;visibility:visible;mso-wrap-style:square" from="22386,33642" to="29586,336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YY338QAAADdAAAADwAAAGRycy9kb3ducmV2LnhtbERPS2vCQBC+C/0PyxR6Ed3EQyupm9BW&#10;pF6jgdbbNDt50OxszG41/nu3IHibj+85q2w0nTjR4FrLCuJ5BIK4tLrlWkGx38yWIJxH1thZJgUX&#10;cpClD5MVJtqeOafTztcihLBLUEHjfZ9I6cqGDLq57YkDV9nBoA9wqKUe8BzCTScXUfQsDbYcGhrs&#10;6aOh8nf3ZxR8V/kx/qqq6ab8id8/D8Xot+tcqafH8e0VhKfR38U391aH+fHiBf6/CSfI9Ao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FhjffxAAAAN0AAAAPAAAAAAAAAAAA&#10;AAAAAKECAABkcnMvZG93bnJldi54bWxQSwUGAAAAAAQABAD5AAAAkgMAAAAA&#10;" strokecolor="#c55a11" strokeweight="1.5pt">
                      <v:stroke dashstyle="dash" endarrow="block" joinstyle="miter"/>
                    </v:line>
                    <v:line id="Прямая соединительная линия 1128" o:spid="_x0000_s1224" style="position:absolute;visibility:visible;mso-wrap-style:square" from="28107,34473" to="28139,546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H6LbsQAAADdAAAADwAAAGRycy9kb3ducmV2LnhtbESPQWvDMAyF74P9B6PBbqvdFEbJ6pa1&#10;MCg9bKzrDxCxloTEsrHdJvv302Gwm8R7eu/TZjf7Ud0o5T6wheXCgCJuguu5tXD5entag8oF2eEY&#10;mCz8UIbd9v5ug7ULE3/S7VxaJSGca7TQlRJrrXPTkce8CJFYtO+QPBZZU6tdwknC/agrY561x56l&#10;ocNIh46a4Xz1FtwQh2mf9uZk3tdVXLkLfxwHax8f5tcXUIXm8m/+uz46wV9WgivfyAh6+ws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sfotuxAAAAN0AAAAPAAAAAAAAAAAA&#10;AAAAAKECAABkcnMvZG93bnJldi54bWxQSwUGAAAAAAQABAD5AAAAkgMAAAAA&#10;" strokecolor="#c55a11" strokeweight="1.5pt">
                      <v:stroke dashstyle="dash" joinstyle="miter"/>
                    </v:line>
                    <v:shape id="Прямая со стрелкой 1129" o:spid="_x0000_s1225" type="#_x0000_t32" style="position:absolute;left:28010;top:54521;width:143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Ta3bMMAAADdAAAADwAAAGRycy9kb3ducmV2LnhtbERPTWvCQBC9F/wPyxS81U08iE1dpRQL&#10;CoVi6qW3ITsmwexs2NnG2F/fFYTe5vE+Z7UZXacGCtJ6NpDPMlDElbct1waOX+9PS1ASkS12nsnA&#10;lQQ268nDCgvrL3ygoYy1SiEsBRpoYuwLraVqyKHMfE+cuJMPDmOCodY24CWFu07Ps2yhHbacGhrs&#10;6a2h6lz+OAO/13y//T7m8rnXUoYFDXL+OBkzfRxfX0BFGuO/+O7e2TQ/nz/D7Zt0gl7/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E2t2zDAAAA3QAAAA8AAAAAAAAAAAAA&#10;AAAAoQIAAGRycy9kb3ducmV2LnhtbFBLBQYAAAAABAAEAPkAAACRAwAAAAA=&#10;" strokecolor="#c55a11" strokeweight=".5pt">
                      <v:stroke endarrow="block" joinstyle="miter"/>
                    </v:shape>
                    <v:shape id="Прямая со стрелкой 1130" o:spid="_x0000_s1226" type="#_x0000_t32" style="position:absolute;left:28205;top:45671;width:143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dWILMUAAADdAAAADwAAAGRycy9kb3ducmV2LnhtbESPQUvDQBCF74L/YZmCN7uJQpHYbZGi&#10;YEEQYy/ehuw0Cc3Ohp01Tf31zkHwNsN789436+0cBjNRkj6yg3JZgCFuou+5dXD4fLl9ACMZ2eMQ&#10;mRxcSGC7ub5aY+XjmT9oqnNrNISlQgddzmNlrTQdBZRlHIlVO8YUMOuaWusTnjU8DPauKFY2YM/a&#10;0OFIu46aU/0dHPxcyv3z16GU972VOq1oktPb0bmbxfz0CCbTnP/Nf9evXvHLe+XXb3QEu/k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dWILMUAAADdAAAADwAAAAAAAAAA&#10;AAAAAAChAgAAZHJzL2Rvd25yZXYueG1sUEsFBgAAAAAEAAQA+QAAAJMDAAAAAA==&#10;" strokecolor="#c55a11" strokeweight=".5pt">
                      <v:stroke endarrow="block" joinstyle="miter"/>
                    </v:shape>
                    <v:line id="Прямая соединительная линия 1131" o:spid="_x0000_s1227" style="position:absolute;visibility:visible;mso-wrap-style:square" from="17545,30414" to="17545,574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4Z6/8IAAADdAAAADwAAAGRycy9kb3ducmV2LnhtbERPTWvCQBC9C/6HZQRvuolCtWk2IkJq&#10;oXgwbe9DdpoEs7Nhd6vx37uFQm/zeJ+T70bTiys531lWkC4TEMS11R03Cj4/ysUWhA/IGnvLpOBO&#10;HnbFdJJjpu2Nz3StQiNiCPsMFbQhDJmUvm7JoF/agThy39YZDBG6RmqHtxhuerlKkidpsOPY0OJA&#10;h5bqS/VjFBy257JLyy9N7+tjtXHm9LoPz0rNZ+P+BUSgMfyL/9xvOs5P1yn8fhNPkMU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G4Z6/8IAAADdAAAADwAAAAAAAAAAAAAA&#10;AAChAgAAZHJzL2Rvd25yZXYueG1sUEsFBgAAAAAEAAQA+QAAAJADAAAAAA==&#10;" strokecolor="#bf9000" strokeweight="1.5pt">
                      <v:stroke dashstyle="3 1" joinstyle="miter"/>
                    </v:line>
                    <v:line id="Прямая соединительная линия 1132" o:spid="_x0000_s1228" style="position:absolute;visibility:visible;mso-wrap-style:square" from="17643,57553" to="28083,575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1TkiMIAAADdAAAADwAAAGRycy9kb3ducmV2LnhtbERPTWvCQBC9F/wPywi91U0UrE1dRYRY&#10;QXpIbO9DdkyC2dmwu2r677uC4G0e73OW68F04krOt5YVpJMEBHFldcu1gp9j/rYA4QOyxs4yKfgj&#10;D+vV6GWJmbY3LuhahlrEEPYZKmhC6DMpfdWQQT+xPXHkTtYZDBG6WmqHtxhuOjlNkrk02HJsaLCn&#10;bUPVubwYBdtFkbdp/qvpMPsq35353m3Ch1Kv42HzCSLQEJ7ih3uv4/x0NoX7N/EEufo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61TkiMIAAADdAAAADwAAAAAAAAAAAAAA&#10;AAChAgAAZHJzL2Rvd25yZXYueG1sUEsFBgAAAAAEAAQA+QAAAJADAAAAAA==&#10;" strokecolor="#bf9000" strokeweight="1.5pt">
                      <v:stroke dashstyle="3 1" joinstyle="miter"/>
                    </v:line>
                    <v:line id="Прямая соединительная линия 1133" o:spid="_x0000_s1229" style="position:absolute;visibility:visible;mso-wrap-style:square" from="28205,56184" to="28205,597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BhBE8IAAADdAAAADwAAAGRycy9kb3ducmV2LnhtbERPTWvCQBC9F/wPywi91U0MWI2uIkJa&#10;ofRg1PuQHZNgdjbsbjX9992C4G0e73NWm8F04kbOt5YVpJMEBHFldcu1gtOxeJuD8AFZY2eZFPyS&#10;h8169LLCXNs7H+hWhlrEEPY5KmhC6HMpfdWQQT+xPXHkLtYZDBG6WmqH9xhuOjlNkpk02HJsaLCn&#10;XUPVtfwxCnbzQ9GmxVnTV/ZZvjvz/bENC6Vex8N2CSLQEJ7ih3uv4/w0y+D/m3iCXP8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hBhBE8IAAADdAAAADwAAAAAAAAAAAAAA&#10;AAChAgAAZHJzL2Rvd25yZXYueG1sUEsFBgAAAAAEAAQA+QAAAJADAAAAAA==&#10;" strokecolor="#bf9000" strokeweight="1.5pt">
                      <v:stroke dashstyle="3 1" joinstyle="miter"/>
                    </v:line>
                    <v:shape id="Прямая со стрелкой 1134" o:spid="_x0000_s1230" type="#_x0000_t32" style="position:absolute;left:28107;top:56233;width:1436;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ivrtsUAAADdAAAADwAAAGRycy9kb3ducmV2LnhtbERPTWvCQBC9C/6HZQpepG6iUkJ0FVtQ&#10;BOmhtgePY3aapM3OhuzGRH+9KxR6m8f7nOW6N5W4UONKywriSQSCOLO65FzB1+f2OQHhPLLGyjIp&#10;uJKD9Wo4WGKqbccfdDn6XIQQdikqKLyvUyldVpBBN7E1ceC+bWPQB9jkUjfYhXBTyWkUvUiDJYeG&#10;Amt6Kyj7PbZGwSy5nV7H8y6JzWnX8vvu3F5/DkqNnvrNAoSn3v+L/9x7HebHszk8vgknyNU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ivrtsUAAADdAAAADwAAAAAAAAAA&#10;AAAAAAChAgAAZHJzL2Rvd25yZXYueG1sUEsFBgAAAAAEAAQA+QAAAJMDAAAAAA==&#10;" strokecolor="#bf9000" strokeweight=".5pt">
                      <v:stroke endarrow="block" joinstyle="miter"/>
                    </v:shape>
                    <v:shape id="Прямая со стрелкой 1135" o:spid="_x0000_s1231" type="#_x0000_t32" style="position:absolute;left:28107;top:59851;width:1436;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WdOLcYAAADdAAAADwAAAGRycy9kb3ducmV2LnhtbERPTWvCQBC9F/oflhF6KbpJtRKiq2ih&#10;UpAeaj14HLNjEpudDdmNif31rlDobR7vc+bL3lTiQo0rLSuIRxEI4szqknMF++/3YQLCeWSNlWVS&#10;cCUHy8XjwxxTbTv+osvO5yKEsEtRQeF9nUrpsoIMupGtiQN3so1BH2CTS91gF8JNJV+iaCoNlhwa&#10;CqzpraDsZ9caBePk97B+nnRJbA6blj83x/Z63ir1NOhXMxCeev8v/nN/6DA/Hr/C/Ztwglzc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lnTi3GAAAA3QAAAA8AAAAAAAAA&#10;AAAAAAAAoQIAAGRycy9kb3ducmV2LnhtbFBLBQYAAAAABAAEAPkAAACUAwAAAAA=&#10;" strokecolor="#bf9000" strokeweight=".5pt">
                      <v:stroke endarrow="block" joinstyle="miter"/>
                    </v:shape>
                    <v:line id="Прямая соединительная линия 1136" o:spid="_x0000_s1232" style="position:absolute;visibility:visible;mso-wrap-style:square" from="10015,37358" to="22779,373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gtLIcAAAADdAAAADwAAAGRycy9kb3ducmV2LnhtbESPzarCMBCF94LvEEZwp6lXFKlGES+i&#10;S/8eYGjGpthM2iZqfXsjCO5mOGfOd2axam0pHtT4wrGC0TABQZw5XXCu4HLeDmYgfEDWWDomBS/y&#10;sFp2OwtMtXvykR6nkIsYwj5FBSaEKpXSZ4Ys+qGriKN2dY3FENcml7rBZwy3pfxLkqm0WHAkGKxo&#10;Yyi7ne42QnQt/bEINZa7anLY1Tcy/4lS/V67noMI1Iaf+Xu917H+aDyFzzdxBLl8A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JoLSyHAAAAA3QAAAA8AAAAAAAAAAAAAAAAA&#10;oQIAAGRycy9kb3ducmV2LnhtbFBLBQYAAAAABAAEAPkAAACOAwAAAAA=&#10;" strokecolor="#5b9bd5" strokeweight="1.5pt">
                      <v:stroke dashstyle="longDashDotDot" joinstyle="miter"/>
                    </v:line>
                    <v:line id="Прямая соединительная линия 1137" o:spid="_x0000_s1233" style="position:absolute;visibility:visible;mso-wrap-style:square" from="22778,37358" to="22873,5859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UfuusMAAADdAAAADwAAAGRycy9kb3ducmV2LnhtbESPwW7CMBBE70j9B2uRuBGHVkAVMKhq&#10;VYVjCXzAKt7GEfE6iV0S/h4jVeK2q5mdN7vdj7YRV+p97VjBIklBEJdO11wpOJ++5+8gfEDW2Dgm&#10;BTfysN+9TLaYaTfwka5FqEQMYZ+hAhNCm0npS0MWfeJa4qj9ut5iiGtfSd3jEMNtI1/TdCUt1hwJ&#10;Blv6NFReij8bIbqT/liHDpu8Xf7k3YXMV6rUbDp+bEAEGsPT/H990LH+4m0Nj2/iCHJ3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VH7rrDAAAA3QAAAA8AAAAAAAAAAAAA&#10;AAAAoQIAAGRycy9kb3ducmV2LnhtbFBLBQYAAAAABAAEAPkAAACRAwAAAAA=&#10;" strokecolor="#5b9bd5" strokeweight="1.5pt">
                      <v:stroke dashstyle="longDashDotDot" joinstyle="miter"/>
                    </v:line>
                    <v:shape id="Прямая со стрелкой 1138" o:spid="_x0000_s1234" type="#_x0000_t32" style="position:absolute;left:22973;top:55352;width:6477;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N0zh8cAAADdAAAADwAAAGRycy9kb3ducmV2LnhtbESPQWvCQBCF7wX/wzKFXkrdREU0dQ22&#10;RcihOaj9AUN2moRmZ0N2G+O/7xyE3mZ4b977ZpdPrlMjDaH1bCCdJ6CIK29brg18XY4vG1AhIlvs&#10;PJOBGwXI97OHHWbWX/lE4znWSkI4ZGigibHPtA5VQw7D3PfEon37wWGUdai1HfAq4a7TiyRZa4ct&#10;S0ODPb03VP2cf52B4uOmL+VzW4xvK1p9bhdRH7elMU+P0+EVVKQp/pvv14UV/HQpuPKNjKD3f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83TOHxwAAAN0AAAAPAAAAAAAA&#10;AAAAAAAAAKECAABkcnMvZG93bnJldi54bWxQSwUGAAAAAAQABAD5AAAAlQMAAAAA&#10;" strokecolor="#5b9bd5" strokeweight="1.5pt">
                      <v:stroke dashstyle="longDashDotDot" endarrow="block" joinstyle="miter"/>
                    </v:shape>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Стрелка вверх 1139" o:spid="_x0000_s1235" type="#_x0000_t68" style="position:absolute;left:73436;top:25280;width:1080;height:1547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YQoSMMA&#10;AADdAAAADwAAAGRycy9kb3ducmV2LnhtbERP22oCMRB9L/QfwhT6UjRrhUVXoyxSoT5IvX3AsBk3&#10;SzeTJYm6/n0jCH2bw7nOfNnbVlzJh8axgtEwA0FcOd1wreB0XA8mIEJE1tg6JgV3CrBcvL7MsdDu&#10;xnu6HmItUgiHAhWYGLtCylAZshiGriNO3Nl5izFBX0vt8ZbCbSs/syyXFhtODQY7Whmqfg8Xq6Ds&#10;87E3p/sm/1gdv7Y7LbNS/ij1/taXMxCR+vgvfrq/dZo/Gk/h8U06QS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YQoSMMAAADdAAAADwAAAAAAAAAAAAAAAACYAgAAZHJzL2Rv&#10;d25yZXYueG1sUEsFBgAAAAAEAAQA9QAAAIgDAAAAAA==&#10;" adj="753" fillcolor="#fbe5d6" strokecolor="windowText" strokeweight="1pt">
                      <v:textbox inset="0,0,0,0"/>
                    </v:shape>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1140" o:spid="_x0000_s1236" type="#_x0000_t67" style="position:absolute;left:72312;top:25280;width:1079;height:154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RYziscA&#10;AADdAAAADwAAAGRycy9kb3ducmV2LnhtbESPQU8CMRCF7yb+h2ZMvEEXYsCsFIKCwQMXVmM8TrZj&#10;d+N2umkLrPx650DibSbvzXvfLFaD79SJYmoDG5iMC1DEdbAtOwMf76+jR1ApI1vsApOBX0qwWt7e&#10;LLC04cwHOlXZKQnhVKKBJue+1DrVDXlM49ATi/Ydoscsa3TaRjxLuO/0tChm2mPL0tBgTy8N1T/V&#10;0Rtoq6/ZfLMdeB13n3vXucvzrroYc383rJ9AZRryv/l6/WYFf/Ig/PKNjKCX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EWM4rHAAAA3QAAAA8AAAAAAAAAAAAAAAAAmAIAAGRy&#10;cy9kb3ducmV2LnhtbFBLBQYAAAAABAAEAPUAAACMAwAAAAA=&#10;" adj="20847" fillcolor="#e2f0d9" strokecolor="windowText" strokeweight="1pt">
                      <v:textbox inset="0,0,0,0"/>
                    </v:shape>
                    <v:shape id="Прямая со стрелкой 1141" o:spid="_x0000_s1237" type="#_x0000_t32" style="position:absolute;left:22973;top:58775;width:6477;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eHpZ8IAAADdAAAADwAAAGRycy9kb3ducmV2LnhtbERPzYrCMBC+C/sOYRb2IppWiqzVKLsu&#10;Qg96sO4DDM3YFptJaWKtb28Ewdt8fL+z2gymET11rrasIJ5GIIgLq2suFfyfdpNvEM4ja2wsk4I7&#10;OdisP0YrTLW98ZH63JcihLBLUUHlfZtK6YqKDLqpbYkDd7adQR9gV0rd4S2Em0bOomguDdYcGips&#10;aVtRccmvRkH2d5enw7jO+t+Ekv1i5uVucVDq63P4WYLwNPi3+OXOdJgfJzE8vwknyPU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deHpZ8IAAADdAAAADwAAAAAAAAAAAAAA&#10;AAChAgAAZHJzL2Rvd25yZXYueG1sUEsFBgAAAAAEAAQA+QAAAJADAAAAAA==&#10;" strokecolor="#5b9bd5" strokeweight="1.5pt">
                      <v:stroke dashstyle="longDashDotDot" endarrow="block" joinstyle="miter"/>
                    </v:shape>
                    <v:line id="Прямая соединительная линия 1142" o:spid="_x0000_s1238" style="position:absolute;visibility:visible;mso-wrap-style:square" from="20186,26258" to="20186,6211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05r5sIAAADdAAAADwAAAGRycy9kb3ducmV2LnhtbERPS2vCQBC+F/wPywi91U2kiKauIlLB&#10;Sw+Nj/OQnSZps7PL7jZJ/31XELzNx/ec9XY0nejJh9aygnyWgSCurG65VnA+HV6WIEJE1thZJgV/&#10;FGC7mTytsdB24E/qy1iLFMKhQAVNjK6QMlQNGQwz64gT92W9wZigr6X2OKRw08l5li2kwZZTQ4OO&#10;9g1VP+WvUVCy/Fjlrl5ePfVDGN3pcn3/Vup5Ou7eQEQa40N8dx91mp+/zuH2TTpBbv4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s05r5sIAAADdAAAADwAAAAAAAAAAAAAA&#10;AAChAgAAZHJzL2Rvd25yZXYueG1sUEsFBgAAAAAEAAQA+QAAAJADAAAAAA==&#10;" strokecolor="windowText" strokeweight="1pt">
                      <v:stroke joinstyle="miter"/>
                    </v:line>
                    <v:line id="Прямая соединительная линия 1143" o:spid="_x0000_s1239" style="position:absolute;visibility:visible;mso-wrap-style:square" from="20186,62100" to="81883,621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ALOfcIAAADdAAAADwAAAGRycy9kb3ducmV2LnhtbERPyWrDMBC9F/IPYgK9NbLbUhInSgih&#10;gV56qLOcB2tiO7FGQlJs9++rQqG3ebx1VpvRdKInH1rLCvJZBoK4srrlWsHxsH+agwgRWWNnmRR8&#10;U4DNevKwwkLbgb+oL2MtUgiHAhU0MbpCylA1ZDDMrCNO3MV6gzFBX0vtcUjhppPPWfYmDbacGhp0&#10;tGuoupV3o6Bk+bnIXT0/e+qHMLrD6fx+VepxOm6XICKN8V/85/7QaX7++gK/36QT5Po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3ALOfcIAAADdAAAADwAAAAAAAAAAAAAA&#10;AAChAgAAZHJzL2Rvd25yZXYueG1sUEsFBgAAAAAEAAQA+QAAAJADAAAAAA==&#10;" strokecolor="windowText" strokeweight="1pt">
                      <v:stroke joinstyle="miter"/>
                    </v:line>
                    <v:shape id="Прямая со стрелкой 1144" o:spid="_x0000_s1240" type="#_x0000_t32" style="position:absolute;left:81847;top:60487;width:0;height:167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Tr9JMUAAADdAAAADwAAAGRycy9kb3ducmV2LnhtbESPQWuDQBCF74X8h2UCvTWrJQ3FuIYS&#10;CBQ9aUp7HdyJmrqz4q6J/vtuodDbDO/N+96kh9n04kaj6ywriDcRCOLa6o4bBR/n09MrCOeRNfaW&#10;ScFCDg7Z6iHFRNs7l3SrfCNCCLsEFbTeD4mUrm7JoNvYgThoFzsa9GEdG6lHvIdw08vnKNpJgx0H&#10;QosDHVuqv6vJBEjxcv2curop8y9Nli5FvsSFUo/r+W0PwtPs/81/1+861I+3W/j9Jowgsx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Tr9JMUAAADdAAAADwAAAAAAAAAA&#10;AAAAAAChAgAAZHJzL2Rvd25yZXYueG1sUEsFBgAAAAAEAAQA+QAAAJMDAAAAAA==&#10;" strokecolor="windowText" strokeweight="1pt">
                      <v:stroke endarrow="block" joinstyle="miter"/>
                    </v:shape>
                    <v:shape id="Правая фигурная скобка 1145" o:spid="_x0000_s1241" type="#_x0000_t88" style="position:absolute;left:80918;top:52272;width:1403;height:14901;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QuiKsQA&#10;AADdAAAADwAAAGRycy9kb3ducmV2LnhtbERPTWvCQBC9C/0PyxR6043SRptmlaKIgvTQKDkP2WmS&#10;NjsbsqtJ/70rCN7m8T4nXQ2mERfqXG1ZwXQSgSAurK65VHA6bscLEM4ja2wsk4J/crBaPo1STLTt&#10;+ZsumS9FCGGXoILK+zaR0hUVGXQT2xIH7sd2Bn2AXSl1h30IN42cRVEsDdYcGipsaV1R8ZedjYJ8&#10;N4/rQ3xcb/uM309fv5t81m+UenkePj9AeBr8Q3x373WYP319g9s34QS5v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ULoirEAAAA3QAAAA8AAAAAAAAAAAAAAAAAmAIAAGRycy9k&#10;b3ducmV2LnhtbFBLBQYAAAAABAAEAPUAAACJAwAAAAA=&#10;" adj="0,10842" strokecolor="windowText" strokeweight="1.5pt">
                      <v:stroke joinstyle="miter"/>
                    </v:shape>
                    <v:line id="Прямая соединительная линия 1146" o:spid="_x0000_s1242" style="position:absolute;visibility:visible;mso-wrap-style:square" from="22289,16723" to="29129,167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xV35MMAAADdAAAADwAAAGRycy9kb3ducmV2LnhtbERPS2vCQBC+F/wPywheRDcRkRJdxbZI&#10;vcYG1NuYnTwwO5tmtxr/fbcg9DYf33NWm9404kadqy0riKcRCOLc6ppLBdnXbvIKwnlkjY1lUvAg&#10;B5v14GWFibZ3Tul28KUIIewSVFB53yZSurwig25qW+LAFbYz6APsSqk7vIdw08hZFC2kwZpDQ4Ut&#10;vVeUXw8/RsGpSL/jY1GMd/klfvs8Z73ff6RKjYb9dgnCU+//xU/3Xof58XwBf9+EE+T6F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cVd+TDAAAA3QAAAA8AAAAAAAAAAAAA&#10;AAAAoQIAAGRycy9kb3ducmV2LnhtbFBLBQYAAAAABAAEAPkAAACRAwAAAAA=&#10;" strokecolor="#c55a11" strokeweight="1.5pt">
                      <v:stroke dashstyle="dash" endarrow="block" joinstyle="miter"/>
                    </v:line>
                    <v:line id="Прямая соединительная линия 1147" o:spid="_x0000_s1243" style="position:absolute;visibility:visible;mso-wrap-style:square" from="26054,22786" to="29292,227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FnSf8QAAADdAAAADwAAAGRycy9kb3ducmV2LnhtbERPS2vCQBC+F/wPyxR6Ed2kiJXoKj6Q&#10;eo0K1duYnTxodjZmtxr/fbcg9DYf33Nmi87U4katqywriIcRCOLM6ooLBcfDdjAB4TyyxtoyKXiQ&#10;g8W89zLDRNs7p3Tb+0KEEHYJKii9bxIpXVaSQTe0DXHgctsa9AG2hdQt3kO4qeV7FI2lwYpDQ4kN&#10;rUvKvvc/RsEpT6/xV573t9klXn2ej53fbVKl3l675RSEp87/i5/unQ7z49EH/H0TTpDz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YWdJ/xAAAAN0AAAAPAAAAAAAAAAAA&#10;AAAAAKECAABkcnMvZG93bnJldi54bWxQSwUGAAAAAAQABAD5AAAAkgMAAAAA&#10;" strokecolor="#c55a11" strokeweight="1.5pt">
                      <v:stroke dashstyle="dash" endarrow="block" joinstyle="miter"/>
                    </v:line>
                    <v:shape id="Прямая со стрелкой 1148" o:spid="_x0000_s1244" type="#_x0000_t32" style="position:absolute;left:23071;top:47382;width:648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NtA+sYAAADdAAAADwAAAGRycy9kb3ducmV2LnhtbESPzW7CQAyE75V4h5Ur9VLBBhQhSFkQ&#10;P0LKAQ78PICVdZOoWW+UXUJ4+/pQqTdbM575vNoMrlE9daH2bGA6SUARF97WXBq4347jBagQkS02&#10;nsnAiwJs1qO3FWbWP/lC/TWWSkI4ZGigirHNtA5FRQ7DxLfEon37zmGUtSu17fAp4a7RsySZa4c1&#10;S0OFLe0rKn6uD2cgP7z07fxZ5/0upfS0nEV9XJ6N+Xgftl+gIg3x3/x3nVvBn6aCK9/ICHr9C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TbQPrGAAAA3QAAAA8AAAAAAAAA&#10;AAAAAAAAoQIAAGRycy9kb3ducmV2LnhtbFBLBQYAAAAABAAEAPkAAACUAwAAAAA=&#10;" strokecolor="#5b9bd5" strokeweight="1.5pt">
                      <v:stroke dashstyle="longDashDotDot" endarrow="block" joinstyle="miter"/>
                    </v:shape>
                    <v:shape id="Прямая со стрелкой 1149" o:spid="_x0000_s1245" type="#_x0000_t32" style="position:absolute;left:22533;top:26698;width:0;height:684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oJPC8AAAADdAAAADwAAAGRycy9kb3ducmV2LnhtbERPzYrCMBC+C75DGMGbpoq4azWKuyDo&#10;RVbXBxiasSk2k9JEbd7eCAt7m4/vd1abztbiQa2vHCuYjDMQxIXTFZcKLr+70ScIH5A11o5JQSQP&#10;m3W/t8Jcuyef6HEOpUgh7HNUYEJocil9YciiH7uGOHFX11oMCbal1C0+U7it5TTL5tJixanBYEPf&#10;horb+W4VhCjNseF7PE6/9h+Hn3n0dIpKDQfddgkiUBf+xX/uvU7zJ7MFvL9JJ8j1C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FqCTwvAAAAA3QAAAA8AAAAAAAAAAAAAAAAA&#10;oQIAAGRycy9kb3ducmV2LnhtbFBLBQYAAAAABAAEAPkAAACOAwAAAAA=&#10;" strokecolor="#c55a11" strokeweight="1.5pt">
                      <v:stroke dashstyle="dash" endarrow="block" joinstyle="miter"/>
                    </v:shape>
                    <v:rect id="Прямоугольник 1150" o:spid="_x0000_s1246" style="position:absolute;left:5027;top:63812;width:83808;height:239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lVuoMUA&#10;AADdAAAADwAAAGRycy9kb3ducmV2LnhtbESPQWvDMAyF74P9B6PCLmN1Otgoad1SwgYr7JK0sKuI&#10;VSc0loPttem/nw6F3STe03uf1tvJD+pCMfWBDSzmBSjiNtienYHj4fNlCSplZItDYDJwowTbzePD&#10;GksbrlzTpclOSQinEg10OY+l1qntyGOah5FYtFOIHrOs0Wkb8SrhftCvRfGuPfYsDR2OVHXUnptf&#10;bwA/mufqXNXs4uGn9rd9So37NuZpNu1WoDJN+d98v/6ygr94E375RkbQm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mVW6gxQAAAN0AAAAPAAAAAAAAAAAAAAAAAJgCAABkcnMv&#10;ZG93bnJldi54bWxQSwUGAAAAAAQABAD1AAAAigMAAAAA&#10;" fillcolor="#b4c7e7" strokecolor="#4472c4" strokeweight=".5pt">
                      <v:textbox inset="1mm,1mm,1mm,1mm">
                        <w:txbxContent>
                          <w:p w:rsidR="00682872" w:rsidRPr="00CF0F95" w:rsidRDefault="00682872" w:rsidP="00E56976">
                            <w:pPr>
                              <w:pStyle w:val="1f2"/>
                              <w:spacing w:after="0" w:line="240" w:lineRule="auto"/>
                              <w:jc w:val="center"/>
                              <w:rPr>
                                <w:b/>
                                <w:lang w:val="ru-RU"/>
                              </w:rPr>
                            </w:pPr>
                            <w:r>
                              <w:rPr>
                                <w:b/>
                                <w:sz w:val="20"/>
                                <w:szCs w:val="20"/>
                                <w:lang w:val="ru-RU"/>
                              </w:rPr>
                              <w:t>ПЕРЕДБАЧЕННЯ</w:t>
                            </w:r>
                            <w:r w:rsidRPr="00734415">
                              <w:rPr>
                                <w:b/>
                                <w:sz w:val="20"/>
                                <w:szCs w:val="20"/>
                                <w:lang w:val="ru-RU"/>
                              </w:rPr>
                              <w:t xml:space="preserve"> ТА МІНІМІЗАЦІЯ</w:t>
                            </w:r>
                            <w:r>
                              <w:rPr>
                                <w:b/>
                                <w:sz w:val="20"/>
                                <w:szCs w:val="20"/>
                                <w:lang w:val="ru-RU"/>
                              </w:rPr>
                              <w:t xml:space="preserve"> </w:t>
                            </w:r>
                            <w:r w:rsidRPr="00734415">
                              <w:rPr>
                                <w:b/>
                                <w:sz w:val="20"/>
                                <w:szCs w:val="20"/>
                                <w:lang w:val="ru-RU"/>
                              </w:rPr>
                              <w:t>РИЗИКІ</w:t>
                            </w:r>
                            <w:proofErr w:type="gramStart"/>
                            <w:r w:rsidRPr="00734415">
                              <w:rPr>
                                <w:b/>
                                <w:sz w:val="20"/>
                                <w:szCs w:val="20"/>
                                <w:lang w:val="ru-RU"/>
                              </w:rPr>
                              <w:t>В</w:t>
                            </w:r>
                            <w:proofErr w:type="gramEnd"/>
                            <w:r w:rsidRPr="00734415">
                              <w:rPr>
                                <w:b/>
                                <w:sz w:val="20"/>
                                <w:szCs w:val="20"/>
                                <w:lang w:val="ru-RU"/>
                              </w:rPr>
                              <w:t xml:space="preserve"> ПРИ ІМПЛЕМЕНТАЦІЇ СИСТЕМИ</w:t>
                            </w:r>
                          </w:p>
                        </w:txbxContent>
                      </v:textbox>
                    </v:rect>
                  </v:group>
                  <v:group id="Группа 1151" o:spid="_x0000_s1247" style="position:absolute;left:46618;top:9409;width:3638;height:43110" coordorigin=",-210" coordsize="3637,4311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ZYTseMQAAADdAAAA&#10;DwAAAAAAAAAAAAAAAACqAgAAZHJzL2Rvd25yZXYueG1sUEsFBgAAAAAEAAQA+gAAAJsDAAAAAA==&#10;">
                    <v:shape id="Стрелка вниз 1164" o:spid="_x0000_s1248" type="#_x0000_t67" style="position:absolute;left:600;top:-210;width:1435;height:73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gfb3sQA&#10;AADdAAAADwAAAGRycy9kb3ducmV2LnhtbERP30vDMBB+F/wfwgm+2XRDqnTLxhhOhnsYq8Jez+Zs&#10;is2lJHGt++uXgeDbfXw/b74cbSdO5EPrWMEky0EQ10633Cj4eN88PIMIEVlj55gU/FKA5eL2Zo6l&#10;dgMf6FTFRqQQDiUqMDH2pZShNmQxZK4nTtyX8xZjgr6R2uOQwm0np3leSIstpwaDPa0N1d/Vj1Xw&#10;Scf9y9Mhrs4747dv+rXaFcNaqfu7cTUDEWmM/+I/91an+ZPiEa7fpBPk4g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YH297EAAAA3QAAAA8AAAAAAAAAAAAAAAAAmAIAAGRycy9k&#10;b3ducmV2LnhtbFBLBQYAAAAABAAEAPUAAACJAwAAAAA=&#10;" adj="10800" fillcolor="#a9d18e" strokecolor="#548235" strokeweight="1pt"/>
                    <v:shape id="Стрелка вверх 1165" o:spid="_x0000_s1249" type="#_x0000_t68" style="position:absolute;left:2202;top:-210;width:1435;height:74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XEi5cAA&#10;AADdAAAADwAAAGRycy9kb3ducmV2LnhtbERPS4vCMBC+C/6HMMLeNFWqLF3TosKCR1+XvQ3NbNPd&#10;ZlKaaOu/N4LgbT6+56yLwTbiRp2vHSuYzxIQxKXTNVcKLufv6ScIH5A1No5JwZ08FPl4tMZMu56P&#10;dDuFSsQQ9hkqMCG0mZS+NGTRz1xLHLlf11kMEXaV1B32Mdw2cpEkK2mx5thgsKWdofL/dLUKfqrF&#10;YfmX9H4rA+9bl6amTJ1SH5Nh8wUi0BDe4pd7r+P8+WoJz2/iCTJ/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GXEi5cAAAADdAAAADwAAAAAAAAAAAAAAAACYAgAAZHJzL2Rvd25y&#10;ZXYueG1sUEsFBgAAAAAEAAQA9QAAAIUDAAAAAA==&#10;" adj="10800" fillcolor="#a9d18e" strokecolor="#548235" strokeweight="1pt"/>
                    <v:shape id="Стрелка вниз 1166" o:spid="_x0000_s1250" type="#_x0000_t67" style="position:absolute;top:8586;width:1435;height:71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ZngMsQA&#10;AADdAAAADwAAAGRycy9kb3ducmV2LnhtbERPTWsCMRC9F/wPYYTeatYetmU1iogtUg/FVfA6bsbN&#10;4mayJKm77a9vCgVv83ifM18OthU38qFxrGA6yUAQV043XCs4Ht6eXkGEiKyxdUwKvinAcjF6mGOh&#10;Xc97upWxFimEQ4EKTIxdIWWoDFkME9cRJ+7ivMWYoK+l9tincNvK5yzLpcWGU4PBjtaGqmv5ZRWc&#10;6fS5ednH1c/O+O2Hfi93eb9W6nE8rGYgIg3xLv53b3WaP81z+PsmnSA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mZ4DLEAAAA3QAAAA8AAAAAAAAAAAAAAAAAmAIAAGRycy9k&#10;b3ducmV2LnhtbFBLBQYAAAAABAAEAPUAAACJAwAAAAA=&#10;" adj="10800" fillcolor="#a9d18e" strokecolor="#548235" strokeweight="1pt"/>
                    <v:shape id="Стрелка вверх 1167" o:spid="_x0000_s1251" type="#_x0000_t68" style="position:absolute;left:1902;top:8586;width:1435;height:71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u8ZCcAA&#10;AADdAAAADwAAAGRycy9kb3ducmV2LnhtbERPTYvCMBC9C/6HMMLebKpUXapRdoUFj6562dvQjE21&#10;mZQm2vrvjSDsbR7vc1ab3tbiTq2vHCuYJCkI4sLpiksFp+PP+BOED8gaa8ek4EEeNuvhYIW5dh3/&#10;0v0QShFD2OeowITQ5FL6wpBFn7iGOHJn11oMEbal1C12MdzWcpqmc2mx4thgsKGtoeJ6uFkFf+V0&#10;P7uknf+WgXeNyzJTZE6pj1H/tQQRqA//4rd7p+P8yXwBr2/iCXL9B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u8ZCcAAAADdAAAADwAAAAAAAAAAAAAAAACYAgAAZHJzL2Rvd25y&#10;ZXYueG1sUEsFBgAAAAAEAAQA9QAAAIUDAAAAAA==&#10;" adj="10800" fillcolor="#a9d18e" strokecolor="#548235" strokeweight="1pt"/>
                    <v:shape id="Стрелка вверх 1168" o:spid="_x0000_s1252" type="#_x0000_t68" style="position:absolute;left:2067;top:31275;width:1435;height:71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aImm8YA&#10;AADdAAAADwAAAGRycy9kb3ducmV2LnhtbESPQWsCQQyF74X+hyGFXkRnVZC6dZRSKAjaQ60/IOzE&#10;3cWdzHQn6vrvm0Oht4T38t6X1WYInblSn9vIDqaTAgxxFX3LtYPj98f4BUwWZI9dZHJwpwyb9ePD&#10;Cksfb/xF14PURkM4l+igEUmltblqKGCexESs2in2AUXXvra+x5uGh87OimJhA7asDQ0mem+oOh8u&#10;wcFPNbrMJI0kbef2c3lO+3a+2zv3/DS8vYIRGuTf/He99Yo/XSiufqMj2P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aImm8YAAADdAAAADwAAAAAAAAAAAAAAAACYAgAAZHJz&#10;L2Rvd25yZXYueG1sUEsFBgAAAAAEAAQA9QAAAIsDAAAAAA==&#10;" adj="10800" fillcolor="#fbe5d6" strokecolor="windowText" strokeweight="1pt"/>
                    <v:shape id="Стрелка вниз 1169" o:spid="_x0000_s1253" type="#_x0000_t67" style="position:absolute;left:166;top:31275;width:1435;height:71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TfmGcIA&#10;AADdAAAADwAAAGRycy9kb3ducmV2LnhtbERPTWvCQBC9F/wPywi91U16CDF1FYlYvNaIehyy0yQm&#10;O7tkt5r++26h0Ns83uesNpMZxJ1G31lWkC4SEMS11R03Ck7V/iUH4QOyxsEyKfgmD5v17GmFhbYP&#10;/qD7MTQihrAvUEEbgiuk9HVLBv3COuLIfdrRYIhwbKQe8RHDzSBfkySTBjuODS06Kluq++OXUeC8&#10;2V3LS9IP53NXvec364I7KPU8n7ZvIAJN4V/85z7oOD/NlvD7TTxBrn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NN+YZwgAAAN0AAAAPAAAAAAAAAAAAAAAAAJgCAABkcnMvZG93&#10;bnJldi54bWxQSwUGAAAAAAQABAD1AAAAhwMAAAAA&#10;" adj="10800" fillcolor="#fbe5d6" strokecolor="windowText" strokeweight="1pt"/>
                    <v:shape id="Стрелка вниз 1170" o:spid="_x0000_s1254" type="#_x0000_t67" style="position:absolute;left:165;top:42102;width:1435;height:71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dTZWcMA&#10;AADdAAAADwAAAGRycy9kb3ducmV2LnhtbESPzY7CMAyE70j7DpFX2hukcFhQISDEaldc+RFwtBrT&#10;FhonagJ03x4fkLjZmvHM59mic426UxtrzwaGgwwUceFtzaWB/e63PwEVE7LFxjMZ+KcIi/lHb4a5&#10;9Q/e0H2bSiUhHHM0UKUUcq1jUZHDOPCBWLSzbx0mWdtS2xYfEu4aPcqyb+2wZmmoMNCqouK6vTkD&#10;Ibqf0+qYXZvDod79TS4+pLA25uuzW05BJerS2/y6XlvBH46FX76REfT8C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dTZWcMAAADdAAAADwAAAAAAAAAAAAAAAACYAgAAZHJzL2Rv&#10;d25yZXYueG1sUEsFBgAAAAAEAAQA9QAAAIgDAAAAAA==&#10;" adj="10800" fillcolor="#fbe5d6" strokecolor="windowText" strokeweight="1pt"/>
                    <v:shape id="Стрелка вверх 1171" o:spid="_x0000_s1255" type="#_x0000_t68" style="position:absolute;left:1635;top:42182;width:1435;height:71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FUh+sMA&#10;AADdAAAADwAAAGRycy9kb3ducmV2LnhtbERPTWsCMRC9F/wPYYTeanY9VNkapQqCPYmr0Ou4GXe3&#10;TSZrEnXtr28KQm/zeJ8zW/TWiCv50DpWkI8yEMSV0y3XCg779csURIjIGo1jUnCnAIv54GmGhXY3&#10;3tG1jLVIIRwKVNDE2BVShqohi2HkOuLEnZy3GBP0tdQebyncGjnOsldpseXU0GBHq4aq7/JiFfQ+&#10;lOdT2Jrp/efzsPpYHrdf5qjU87B/fwMRqY//4od7o9P8fJLD3zfpBDn/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FUh+sMAAADdAAAADwAAAAAAAAAAAAAAAACYAgAAZHJzL2Rv&#10;d25yZXYueG1sUEsFBgAAAAAEAAQA9QAAAIgDAAAAAA==&#10;" adj="10800" fillcolor="#fff2cc" strokecolor="windowText" strokeweight="1pt"/>
                  </v:group>
                </v:group>
              </v:group>
            </w:pict>
          </mc:Fallback>
        </mc:AlternateContent>
      </w:r>
      <w:r w:rsidR="00273B99" w:rsidRPr="00FF33E4">
        <w:rPr>
          <w:rFonts w:asciiTheme="minorHAnsi" w:hAnsiTheme="minorHAnsi" w:cstheme="minorBidi"/>
          <w:noProof/>
          <w:sz w:val="22"/>
          <w:lang w:val="ru-RU" w:eastAsia="ru-RU"/>
        </w:rPr>
        <mc:AlternateContent>
          <mc:Choice Requires="wps">
            <w:drawing>
              <wp:anchor distT="0" distB="0" distL="114300" distR="114300" simplePos="0" relativeHeight="251993088" behindDoc="0" locked="0" layoutInCell="1" allowOverlap="1" wp14:anchorId="7CF45A17" wp14:editId="453127B4">
                <wp:simplePos x="0" y="0"/>
                <wp:positionH relativeFrom="column">
                  <wp:posOffset>2233295</wp:posOffset>
                </wp:positionH>
                <wp:positionV relativeFrom="paragraph">
                  <wp:posOffset>1450340</wp:posOffset>
                </wp:positionV>
                <wp:extent cx="0" cy="395605"/>
                <wp:effectExtent l="76200" t="0" r="57150" b="61595"/>
                <wp:wrapNone/>
                <wp:docPr id="1225" name="Прямая соединительная линия 1225"/>
                <wp:cNvGraphicFramePr/>
                <a:graphic xmlns:a="http://schemas.openxmlformats.org/drawingml/2006/main">
                  <a:graphicData uri="http://schemas.microsoft.com/office/word/2010/wordprocessingShape">
                    <wps:wsp>
                      <wps:cNvCnPr/>
                      <wps:spPr>
                        <a:xfrm>
                          <a:off x="0" y="0"/>
                          <a:ext cx="0" cy="395605"/>
                        </a:xfrm>
                        <a:prstGeom prst="line">
                          <a:avLst/>
                        </a:prstGeom>
                        <a:noFill/>
                        <a:ln w="19050" cap="flat" cmpd="sng" algn="ctr">
                          <a:solidFill>
                            <a:srgbClr val="ED7D31">
                              <a:lumMod val="75000"/>
                            </a:srgbClr>
                          </a:solidFill>
                          <a:prstDash val="dash"/>
                          <a:miter lim="800000"/>
                          <a:tailEnd type="triangle"/>
                        </a:ln>
                        <a:effectLst/>
                      </wps:spPr>
                      <wps:bodyPr/>
                    </wps:wsp>
                  </a:graphicData>
                </a:graphic>
                <wp14:sizeRelV relativeFrom="margin">
                  <wp14:pctHeight>0</wp14:pctHeight>
                </wp14:sizeRelV>
              </wp:anchor>
            </w:drawing>
          </mc:Choice>
          <mc:Fallback>
            <w:pict>
              <v:line id="Прямая соединительная линия 1225" o:spid="_x0000_s1026" style="position:absolute;z-index:2519930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175.85pt,114.2pt" to="175.85pt,14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" strokecolor="#c55a11" strokeweight="1.5pt">
                <v:stroke dashstyle="dash" endarrow="block" joinstyle="miter"/>
              </v:line>
            </w:pict>
          </mc:Fallback>
        </mc:AlternateContent>
      </w:r>
    </w:p>
    <w:p w:rsidR="00901506" w:rsidRPr="008D1F9F" w:rsidRDefault="00901506" w:rsidP="00901506">
      <w:pPr>
        <w:ind w:firstLine="708"/>
        <w:rPr>
          <w:rFonts w:eastAsia="Calibri"/>
          <w:szCs w:val="28"/>
        </w:rPr>
      </w:pPr>
      <w:r w:rsidRPr="008D1F9F">
        <w:rPr>
          <w:rFonts w:eastAsia="Calibri"/>
          <w:i/>
          <w:szCs w:val="28"/>
        </w:rPr>
        <w:lastRenderedPageBreak/>
        <w:t xml:space="preserve">Центральним елементом системи </w:t>
      </w:r>
      <w:r w:rsidRPr="008D1F9F">
        <w:rPr>
          <w:rFonts w:eastAsia="Calibri"/>
          <w:szCs w:val="28"/>
        </w:rPr>
        <w:t xml:space="preserve">виступає </w:t>
      </w:r>
      <w:r w:rsidR="000B42EB">
        <w:rPr>
          <w:rFonts w:eastAsia="Calibri"/>
          <w:szCs w:val="28"/>
        </w:rPr>
        <w:t>дитина віком до 5</w:t>
      </w:r>
      <w:r w:rsidRPr="008D1F9F">
        <w:rPr>
          <w:rFonts w:eastAsia="Calibri"/>
          <w:szCs w:val="28"/>
        </w:rPr>
        <w:t xml:space="preserve"> років життя та її родина, що визначає пацієнтоорієнтованість та пацієнтоцентричність системи.</w:t>
      </w:r>
    </w:p>
    <w:p w:rsidR="009962C7" w:rsidRPr="00901506" w:rsidRDefault="00901506" w:rsidP="00901506">
      <w:pPr>
        <w:ind w:firstLine="708"/>
        <w:rPr>
          <w:rFonts w:eastAsia="Calibri"/>
          <w:szCs w:val="28"/>
        </w:rPr>
      </w:pPr>
      <w:r w:rsidRPr="008D1F9F">
        <w:rPr>
          <w:rFonts w:eastAsia="Calibri"/>
          <w:i/>
          <w:szCs w:val="28"/>
        </w:rPr>
        <w:t>Стратегічним</w:t>
      </w:r>
      <w:r w:rsidRPr="008D1F9F">
        <w:rPr>
          <w:rFonts w:eastAsia="Calibri"/>
          <w:szCs w:val="28"/>
        </w:rPr>
        <w:t xml:space="preserve"> напрямком системи є збереження та зміцнення здоров’я і життя дітей на сучасному етапі розвитку суспільства та реформування системи охорони здоров’я з виконання Конституції України, Конвенція про права дитини (Конвенція ратифікована Постановою ВР № 789-XII від 27.02.91</w:t>
      </w:r>
      <w:r>
        <w:rPr>
          <w:rFonts w:eastAsia="Calibri"/>
          <w:szCs w:val="28"/>
        </w:rPr>
        <w:t>) та законодавчої бази України.</w:t>
      </w:r>
    </w:p>
    <w:p w:rsidR="0066107B" w:rsidRPr="008D1F9F" w:rsidRDefault="0066107B" w:rsidP="0066107B">
      <w:pPr>
        <w:widowControl w:val="0"/>
        <w:ind w:firstLine="709"/>
        <w:rPr>
          <w:szCs w:val="28"/>
        </w:rPr>
      </w:pPr>
      <w:r w:rsidRPr="008D1F9F">
        <w:rPr>
          <w:i/>
          <w:szCs w:val="28"/>
        </w:rPr>
        <w:t>Тактичним</w:t>
      </w:r>
      <w:r w:rsidRPr="008D1F9F">
        <w:rPr>
          <w:szCs w:val="28"/>
        </w:rPr>
        <w:t xml:space="preserve"> напрямком системи є суттєве оновлення існуючої галузі охорони здоров’я за рахунок запровадження інноваційних багаторівневих структурно-організаційних технологій в межах галузі та налагодження як вертикальних, так і горизонтальних інтеграційних зв’язків з іншими держаними та недержавними секторами.</w:t>
      </w:r>
    </w:p>
    <w:p w:rsidR="0066107B" w:rsidRPr="00CD4E61" w:rsidRDefault="0066107B" w:rsidP="0066107B">
      <w:pPr>
        <w:widowControl w:val="0"/>
        <w:ind w:firstLine="709"/>
        <w:rPr>
          <w:szCs w:val="28"/>
        </w:rPr>
      </w:pPr>
      <w:r w:rsidRPr="00CD4E61">
        <w:rPr>
          <w:szCs w:val="28"/>
        </w:rPr>
        <w:t xml:space="preserve">Для досягнення мети – </w:t>
      </w:r>
      <w:r w:rsidR="0003332D">
        <w:rPr>
          <w:szCs w:val="28"/>
        </w:rPr>
        <w:t xml:space="preserve">збереження здоров’я </w:t>
      </w:r>
      <w:r w:rsidR="005E2CEC">
        <w:rPr>
          <w:szCs w:val="28"/>
        </w:rPr>
        <w:t xml:space="preserve">дітей </w:t>
      </w:r>
      <w:r w:rsidR="0003332D">
        <w:rPr>
          <w:szCs w:val="28"/>
        </w:rPr>
        <w:t xml:space="preserve">та </w:t>
      </w:r>
      <w:r>
        <w:rPr>
          <w:szCs w:val="28"/>
        </w:rPr>
        <w:t>сприяння зменшенню</w:t>
      </w:r>
      <w:r w:rsidRPr="00CD4E61">
        <w:rPr>
          <w:szCs w:val="28"/>
        </w:rPr>
        <w:t xml:space="preserve"> смертності дітей</w:t>
      </w:r>
      <w:r w:rsidR="0003332D">
        <w:rPr>
          <w:szCs w:val="28"/>
        </w:rPr>
        <w:t xml:space="preserve"> віком до 5 років</w:t>
      </w:r>
      <w:r w:rsidRPr="00CD4E61">
        <w:rPr>
          <w:szCs w:val="28"/>
        </w:rPr>
        <w:t xml:space="preserve">, як показника, що комплексно характеризує рівень медико-соціальної допомоги дитячому населенню в країні, </w:t>
      </w:r>
      <w:r>
        <w:rPr>
          <w:szCs w:val="28"/>
        </w:rPr>
        <w:t>впроваджуються загальні принципи</w:t>
      </w:r>
      <w:r w:rsidRPr="00CD4E61">
        <w:rPr>
          <w:szCs w:val="28"/>
        </w:rPr>
        <w:t xml:space="preserve"> сучасного медичного менеджменту за всіма напрямами, зокрема: а)</w:t>
      </w:r>
      <w:r w:rsidR="0003332D">
        <w:rPr>
          <w:szCs w:val="28"/>
        </w:rPr>
        <w:t> </w:t>
      </w:r>
      <w:r w:rsidRPr="00CD4E61">
        <w:rPr>
          <w:szCs w:val="28"/>
        </w:rPr>
        <w:t>ефективне управління процесом, інтеграція, пл</w:t>
      </w:r>
      <w:r w:rsidR="00535094">
        <w:rPr>
          <w:szCs w:val="28"/>
        </w:rPr>
        <w:t>анування, ресурсне забезпечення;</w:t>
      </w:r>
      <w:r w:rsidRPr="00CD4E61">
        <w:rPr>
          <w:szCs w:val="28"/>
        </w:rPr>
        <w:t xml:space="preserve"> б) інтегроване упра</w:t>
      </w:r>
      <w:r w:rsidR="00535094">
        <w:rPr>
          <w:szCs w:val="28"/>
        </w:rPr>
        <w:t>вління якістю медичної допомоги;</w:t>
      </w:r>
      <w:r w:rsidRPr="00CD4E61">
        <w:rPr>
          <w:szCs w:val="28"/>
        </w:rPr>
        <w:t xml:space="preserve"> в) передбачення та мінімізація ризиків; г) дотримання прав людини та вимог законодавства в сфері протидії насильству.</w:t>
      </w:r>
    </w:p>
    <w:p w:rsidR="00E633A6" w:rsidRPr="00E633A6" w:rsidRDefault="000F3DB5" w:rsidP="00E633A6">
      <w:pPr>
        <w:widowControl w:val="0"/>
        <w:ind w:firstLine="709"/>
        <w:rPr>
          <w:szCs w:val="28"/>
        </w:rPr>
      </w:pPr>
      <w:r>
        <w:rPr>
          <w:szCs w:val="28"/>
        </w:rPr>
        <w:t>Система має 5 рівнів</w:t>
      </w:r>
      <w:r w:rsidR="00E633A6" w:rsidRPr="00E633A6">
        <w:rPr>
          <w:szCs w:val="28"/>
        </w:rPr>
        <w:t xml:space="preserve"> (владний, галузевий, міжсекторальний, локальний/громада, сімейний), що забезпечує доступність, комплексність, етапність, наступність, якість медичної допомоги, та має низку інноваційних структурно-організаційних елем</w:t>
      </w:r>
      <w:r w:rsidR="009746A3">
        <w:rPr>
          <w:szCs w:val="28"/>
        </w:rPr>
        <w:t>ентів</w:t>
      </w:r>
      <w:r w:rsidR="009746A3" w:rsidRPr="009746A3">
        <w:rPr>
          <w:szCs w:val="28"/>
        </w:rPr>
        <w:t xml:space="preserve"> (</w:t>
      </w:r>
      <w:r w:rsidR="00E633A6" w:rsidRPr="00E633A6">
        <w:rPr>
          <w:szCs w:val="28"/>
        </w:rPr>
        <w:t>рис. 8.3</w:t>
      </w:r>
      <w:r w:rsidR="009746A3" w:rsidRPr="00FD6BF7">
        <w:rPr>
          <w:szCs w:val="28"/>
        </w:rPr>
        <w:t>)</w:t>
      </w:r>
      <w:r w:rsidR="00E633A6" w:rsidRPr="00E633A6">
        <w:rPr>
          <w:szCs w:val="28"/>
        </w:rPr>
        <w:t xml:space="preserve">. </w:t>
      </w:r>
    </w:p>
    <w:p w:rsidR="00FD6BF7" w:rsidRPr="00FD6BF7" w:rsidRDefault="000F3DB5" w:rsidP="00FD6BF7">
      <w:pPr>
        <w:widowControl w:val="0"/>
        <w:ind w:firstLine="709"/>
        <w:rPr>
          <w:szCs w:val="28"/>
        </w:rPr>
      </w:pPr>
      <w:r>
        <w:rPr>
          <w:szCs w:val="28"/>
        </w:rPr>
        <w:t>На владному рівні</w:t>
      </w:r>
      <w:r w:rsidR="00FD6BF7" w:rsidRPr="00FD6BF7">
        <w:rPr>
          <w:szCs w:val="28"/>
        </w:rPr>
        <w:t xml:space="preserve"> пропонується розроблення низки законів та нормативно-правових документів, що стосуються фінансових, медичних, соціальних гарантій охорони материнства та дитинства. </w:t>
      </w:r>
    </w:p>
    <w:p w:rsidR="00DE74F1" w:rsidRPr="001A1291" w:rsidRDefault="005745AC" w:rsidP="005E2CEC">
      <w:pPr>
        <w:widowControl w:val="0"/>
        <w:ind w:firstLine="709"/>
        <w:rPr>
          <w:szCs w:val="28"/>
        </w:rPr>
      </w:pPr>
      <w:r>
        <w:rPr>
          <w:szCs w:val="28"/>
        </w:rPr>
        <w:t>Оскільки неонатальна смертність</w:t>
      </w:r>
      <w:r w:rsidR="00FD6BF7" w:rsidRPr="00FD6BF7">
        <w:rPr>
          <w:szCs w:val="28"/>
        </w:rPr>
        <w:t xml:space="preserve"> має найбільший внесок в загальний показник смертності дітей віком до 5 років</w:t>
      </w:r>
      <w:r>
        <w:rPr>
          <w:szCs w:val="28"/>
        </w:rPr>
        <w:t>,</w:t>
      </w:r>
      <w:r w:rsidR="00FD6BF7" w:rsidRPr="00FD6BF7">
        <w:rPr>
          <w:szCs w:val="28"/>
        </w:rPr>
        <w:t xml:space="preserve"> передбачається розроблення МОЗ України </w:t>
      </w:r>
      <w:r w:rsidR="005E2CEC">
        <w:rPr>
          <w:bCs/>
          <w:szCs w:val="28"/>
        </w:rPr>
        <w:t>Державної багатосекторальної програми</w:t>
      </w:r>
      <w:r w:rsidR="005E2CEC" w:rsidRPr="005E2CEC">
        <w:rPr>
          <w:bCs/>
          <w:szCs w:val="28"/>
        </w:rPr>
        <w:t xml:space="preserve"> з охорони матері та дитини, спрямовану на зниження смертності та збереження здоров’я дітей</w:t>
      </w:r>
      <w:r w:rsidR="005E2CEC">
        <w:rPr>
          <w:szCs w:val="28"/>
        </w:rPr>
        <w:t xml:space="preserve"> </w:t>
      </w:r>
      <w:r w:rsidR="00792CE1" w:rsidRPr="00792CE1">
        <w:rPr>
          <w:szCs w:val="28"/>
        </w:rPr>
        <w:t xml:space="preserve">з імплементацією заходів </w:t>
      </w:r>
      <w:r w:rsidR="00792CE1" w:rsidRPr="00792CE1">
        <w:rPr>
          <w:szCs w:val="28"/>
        </w:rPr>
        <w:lastRenderedPageBreak/>
        <w:t xml:space="preserve">глобальної ініціативи ВООЗ </w:t>
      </w:r>
      <w:r w:rsidR="009F58AC">
        <w:rPr>
          <w:szCs w:val="28"/>
        </w:rPr>
        <w:t>«Кожна жінка, к</w:t>
      </w:r>
      <w:r w:rsidR="00792CE1">
        <w:rPr>
          <w:szCs w:val="28"/>
        </w:rPr>
        <w:t>ожна дитина»</w:t>
      </w:r>
      <w:r w:rsidR="00FD6BF7" w:rsidRPr="00FD6BF7">
        <w:rPr>
          <w:szCs w:val="28"/>
        </w:rPr>
        <w:t xml:space="preserve">, на підставі якої на рівні об’єкту системи на регіональних рівнях мають бути затверджені відповідні регіональні </w:t>
      </w:r>
      <w:r w:rsidR="00792CE1">
        <w:rPr>
          <w:szCs w:val="28"/>
        </w:rPr>
        <w:t>комплексні цільові програми</w:t>
      </w:r>
      <w:r w:rsidR="00792CE1" w:rsidRPr="00792CE1">
        <w:rPr>
          <w:szCs w:val="28"/>
        </w:rPr>
        <w:t xml:space="preserve"> з охорони дитинства </w:t>
      </w:r>
      <w:r w:rsidR="00792CE1">
        <w:rPr>
          <w:szCs w:val="28"/>
        </w:rPr>
        <w:t>та мають функці</w:t>
      </w:r>
      <w:r w:rsidR="00792CE1" w:rsidRPr="00792CE1">
        <w:rPr>
          <w:szCs w:val="28"/>
        </w:rPr>
        <w:t>онувати о</w:t>
      </w:r>
      <w:r w:rsidR="00792CE1">
        <w:rPr>
          <w:szCs w:val="28"/>
        </w:rPr>
        <w:t>бласні міжсекторальні координаційні ради</w:t>
      </w:r>
      <w:r w:rsidR="00792CE1" w:rsidRPr="00792CE1">
        <w:rPr>
          <w:szCs w:val="28"/>
        </w:rPr>
        <w:t xml:space="preserve"> з ініціації та імплементації скоординованих та узгоджених заходів</w:t>
      </w:r>
      <w:r w:rsidR="004A4F14">
        <w:rPr>
          <w:szCs w:val="28"/>
        </w:rPr>
        <w:t>. З</w:t>
      </w:r>
      <w:r w:rsidR="001A1291" w:rsidRPr="001A1291">
        <w:rPr>
          <w:szCs w:val="28"/>
        </w:rPr>
        <w:t xml:space="preserve"> урахуванням процесів децентралізації система передбачає: вдосконалення системи фінансування та об’єм фінансування служби  охорони  матері та  дитини,  та їх </w:t>
      </w:r>
      <w:r w:rsidR="001A1291" w:rsidRPr="00D71DCB">
        <w:rPr>
          <w:szCs w:val="28"/>
        </w:rPr>
        <w:t xml:space="preserve">пріоритетність.  Інноваційною системою передбачається подальша реалізація </w:t>
      </w:r>
      <w:r w:rsidR="001A1291" w:rsidRPr="00D71DCB">
        <w:rPr>
          <w:rFonts w:eastAsia="Times New Roman"/>
          <w:bCs/>
          <w:szCs w:val="28"/>
        </w:rPr>
        <w:t>нової системи фінансування</w:t>
      </w:r>
      <w:r w:rsidR="00B47F3C">
        <w:rPr>
          <w:rFonts w:eastAsia="Times New Roman"/>
          <w:bCs/>
          <w:szCs w:val="28"/>
        </w:rPr>
        <w:t xml:space="preserve"> медичної допомоги через Програ</w:t>
      </w:r>
      <w:r w:rsidR="001A1291" w:rsidRPr="00D71DCB">
        <w:rPr>
          <w:rFonts w:eastAsia="Times New Roman"/>
          <w:bCs/>
          <w:szCs w:val="28"/>
        </w:rPr>
        <w:t>му</w:t>
      </w:r>
      <w:r w:rsidR="00DE74F1" w:rsidRPr="00D71DCB">
        <w:rPr>
          <w:rFonts w:eastAsia="Times New Roman"/>
          <w:bCs/>
          <w:szCs w:val="28"/>
        </w:rPr>
        <w:t xml:space="preserve"> медичних гаран</w:t>
      </w:r>
      <w:r w:rsidR="001A1291" w:rsidRPr="00D71DCB">
        <w:rPr>
          <w:rFonts w:eastAsia="Times New Roman"/>
          <w:bCs/>
          <w:szCs w:val="28"/>
        </w:rPr>
        <w:t xml:space="preserve">тій, впровадження, ведення ЕСОЗ, </w:t>
      </w:r>
      <w:r w:rsidR="00D71DCB" w:rsidRPr="00D71DCB">
        <w:rPr>
          <w:rFonts w:eastAsia="Times New Roman"/>
          <w:bCs/>
          <w:szCs w:val="28"/>
        </w:rPr>
        <w:t>реєстрів</w:t>
      </w:r>
      <w:r w:rsidR="00DE74F1" w:rsidRPr="00D71DCB">
        <w:rPr>
          <w:rFonts w:eastAsia="Times New Roman"/>
          <w:bCs/>
          <w:szCs w:val="28"/>
        </w:rPr>
        <w:t xml:space="preserve"> дітей за визначеними захворюваннями, у т.ч. новонароджених, які народились передчасно та/або хворими; клінічний аудит та аналіз</w:t>
      </w:r>
      <w:r w:rsidR="00D71DCB" w:rsidRPr="00D71DCB">
        <w:rPr>
          <w:rFonts w:eastAsia="Times New Roman"/>
          <w:bCs/>
          <w:szCs w:val="28"/>
        </w:rPr>
        <w:t>.</w:t>
      </w:r>
    </w:p>
    <w:p w:rsidR="00714DFA" w:rsidRPr="00A20D70" w:rsidRDefault="00714DFA" w:rsidP="00714DFA">
      <w:pPr>
        <w:widowControl w:val="0"/>
        <w:ind w:firstLine="567"/>
        <w:rPr>
          <w:rFonts w:eastAsia="Calibri"/>
          <w:szCs w:val="28"/>
        </w:rPr>
      </w:pPr>
      <w:r w:rsidRPr="00A20D70">
        <w:rPr>
          <w:rFonts w:eastAsia="Calibri"/>
          <w:szCs w:val="28"/>
        </w:rPr>
        <w:t>При розроб</w:t>
      </w:r>
      <w:r w:rsidR="005E2CEC">
        <w:rPr>
          <w:rFonts w:eastAsia="Calibri"/>
          <w:szCs w:val="28"/>
        </w:rPr>
        <w:t>ці програми медичних гарантій</w:t>
      </w:r>
      <w:r w:rsidRPr="00A20D70">
        <w:rPr>
          <w:rFonts w:eastAsia="Calibri"/>
          <w:szCs w:val="28"/>
        </w:rPr>
        <w:t xml:space="preserve"> на НСЗУ покладаються функції врахування усіх аспектів надання медичної допомоги дитячому населенню та їх фінансове покриття, зокрема:</w:t>
      </w:r>
    </w:p>
    <w:p w:rsidR="00714DFA" w:rsidRPr="00A20D70" w:rsidRDefault="00714DFA" w:rsidP="00714DFA">
      <w:pPr>
        <w:widowControl w:val="0"/>
        <w:numPr>
          <w:ilvl w:val="0"/>
          <w:numId w:val="39"/>
        </w:numPr>
        <w:tabs>
          <w:tab w:val="left" w:pos="426"/>
        </w:tabs>
        <w:ind w:left="0" w:firstLine="142"/>
        <w:contextualSpacing/>
        <w:rPr>
          <w:rFonts w:eastAsia="Calibri"/>
          <w:szCs w:val="28"/>
        </w:rPr>
      </w:pPr>
      <w:r w:rsidRPr="00A20D70">
        <w:rPr>
          <w:rFonts w:eastAsia="Calibri"/>
          <w:szCs w:val="28"/>
        </w:rPr>
        <w:t>забезпечення здорового початку життя (пакети «медична допомога при</w:t>
      </w:r>
      <w:r w:rsidR="00D1028D">
        <w:rPr>
          <w:rFonts w:eastAsia="Calibri"/>
          <w:szCs w:val="28"/>
        </w:rPr>
        <w:t xml:space="preserve"> пологах», «медична допомога у</w:t>
      </w:r>
      <w:r w:rsidRPr="00A20D70">
        <w:rPr>
          <w:rFonts w:eastAsia="Calibri"/>
          <w:szCs w:val="28"/>
        </w:rPr>
        <w:t xml:space="preserve"> складних неонатальних випадках»</w:t>
      </w:r>
      <w:r>
        <w:rPr>
          <w:rFonts w:eastAsia="Calibri"/>
          <w:szCs w:val="28"/>
        </w:rPr>
        <w:t>, «в</w:t>
      </w:r>
      <w:r w:rsidRPr="00EC7467">
        <w:rPr>
          <w:rFonts w:eastAsia="Calibri"/>
          <w:szCs w:val="28"/>
        </w:rPr>
        <w:t>едення вагітності в амбулаторних умовах</w:t>
      </w:r>
      <w:r>
        <w:rPr>
          <w:rFonts w:eastAsia="Calibri"/>
          <w:szCs w:val="28"/>
        </w:rPr>
        <w:t>»</w:t>
      </w:r>
      <w:r w:rsidRPr="00A20D70">
        <w:rPr>
          <w:rFonts w:eastAsia="Calibri"/>
          <w:szCs w:val="28"/>
        </w:rPr>
        <w:t>);</w:t>
      </w:r>
    </w:p>
    <w:p w:rsidR="00714DFA" w:rsidRPr="00A20D70" w:rsidRDefault="00714DFA" w:rsidP="00714DFA">
      <w:pPr>
        <w:widowControl w:val="0"/>
        <w:numPr>
          <w:ilvl w:val="0"/>
          <w:numId w:val="39"/>
        </w:numPr>
        <w:tabs>
          <w:tab w:val="left" w:pos="426"/>
        </w:tabs>
        <w:ind w:left="0" w:firstLine="142"/>
        <w:contextualSpacing/>
        <w:rPr>
          <w:rFonts w:eastAsia="Calibri"/>
          <w:szCs w:val="28"/>
        </w:rPr>
      </w:pPr>
      <w:r w:rsidRPr="00A20D70">
        <w:rPr>
          <w:rFonts w:eastAsia="Calibri"/>
          <w:szCs w:val="28"/>
        </w:rPr>
        <w:t>покращання медичної допомоги на первинному</w:t>
      </w:r>
      <w:r w:rsidR="00D05284">
        <w:rPr>
          <w:rFonts w:eastAsia="Calibri"/>
          <w:szCs w:val="28"/>
        </w:rPr>
        <w:t xml:space="preserve"> рівні, лікарі якої</w:t>
      </w:r>
      <w:r w:rsidRPr="00A20D70">
        <w:rPr>
          <w:rFonts w:eastAsia="Calibri"/>
          <w:szCs w:val="28"/>
        </w:rPr>
        <w:t xml:space="preserve"> повинні забезпечувати як медичні послуги, так і координуючі функції налагодження співпраці з усіма залученими до охорони материнства та дитинства учасниками процесу (</w:t>
      </w:r>
      <w:r>
        <w:rPr>
          <w:rFonts w:eastAsia="Calibri"/>
          <w:szCs w:val="28"/>
        </w:rPr>
        <w:t>«п</w:t>
      </w:r>
      <w:r w:rsidRPr="00D21FC1">
        <w:rPr>
          <w:rFonts w:eastAsia="Calibri"/>
          <w:szCs w:val="28"/>
        </w:rPr>
        <w:t>ервинна медична допомога</w:t>
      </w:r>
      <w:r>
        <w:rPr>
          <w:rFonts w:eastAsia="Calibri"/>
          <w:szCs w:val="28"/>
        </w:rPr>
        <w:t>»</w:t>
      </w:r>
      <w:r w:rsidRPr="00A20D70">
        <w:rPr>
          <w:rFonts w:eastAsia="Calibri"/>
          <w:szCs w:val="28"/>
        </w:rPr>
        <w:t>);</w:t>
      </w:r>
    </w:p>
    <w:p w:rsidR="00714DFA" w:rsidRPr="001C75EC" w:rsidRDefault="00714DFA" w:rsidP="00714DFA">
      <w:pPr>
        <w:widowControl w:val="0"/>
        <w:numPr>
          <w:ilvl w:val="0"/>
          <w:numId w:val="39"/>
        </w:numPr>
        <w:tabs>
          <w:tab w:val="left" w:pos="426"/>
        </w:tabs>
        <w:ind w:left="0" w:firstLine="142"/>
        <w:contextualSpacing/>
        <w:rPr>
          <w:rFonts w:eastAsia="Calibri"/>
          <w:bCs/>
          <w:szCs w:val="28"/>
        </w:rPr>
      </w:pPr>
      <w:r w:rsidRPr="00A20D70">
        <w:rPr>
          <w:rFonts w:eastAsia="Calibri"/>
          <w:szCs w:val="28"/>
        </w:rPr>
        <w:t xml:space="preserve">запровадження на сучасному рівні нових для країни напрямів надання медичної допомоги, зокрема катамнестичного спостереження за хворими та передчасно народженими дітьми упродовж перших 3 років життя, послуг </w:t>
      </w:r>
      <w:r w:rsidR="00682872">
        <w:rPr>
          <w:rFonts w:eastAsia="Calibri"/>
          <w:szCs w:val="28"/>
        </w:rPr>
        <w:t>і</w:t>
      </w:r>
      <w:r w:rsidRPr="00A20D70">
        <w:rPr>
          <w:rFonts w:eastAsia="Calibri"/>
          <w:szCs w:val="28"/>
        </w:rPr>
        <w:t>з реабілітації, раннього втручання та паліативної допомоги (</w:t>
      </w:r>
      <w:r>
        <w:rPr>
          <w:rFonts w:eastAsia="Calibri"/>
          <w:szCs w:val="28"/>
        </w:rPr>
        <w:t>«м</w:t>
      </w:r>
      <w:r w:rsidRPr="001C75EC">
        <w:rPr>
          <w:rFonts w:eastAsia="Calibri"/>
          <w:szCs w:val="28"/>
        </w:rPr>
        <w:t>едична реабілітація немовлят, які народились передчасно та/або хворими, упродовж перших трьох років життя</w:t>
      </w:r>
      <w:r>
        <w:rPr>
          <w:rFonts w:eastAsia="Calibri"/>
          <w:szCs w:val="28"/>
        </w:rPr>
        <w:t>», «м</w:t>
      </w:r>
      <w:r w:rsidRPr="002B54BB">
        <w:rPr>
          <w:rFonts w:eastAsia="Calibri"/>
          <w:szCs w:val="28"/>
        </w:rPr>
        <w:t>едична допомога дорослим та дітям в амбулаторних умовах (профілактика, спостереження, діагностика, лікування та медична реабілітація</w:t>
      </w:r>
      <w:r>
        <w:rPr>
          <w:rFonts w:eastAsia="Calibri"/>
          <w:szCs w:val="28"/>
        </w:rPr>
        <w:t>»,</w:t>
      </w:r>
      <w:r w:rsidRPr="002B54BB">
        <w:rPr>
          <w:rFonts w:eastAsia="Calibri"/>
          <w:szCs w:val="28"/>
        </w:rPr>
        <w:t xml:space="preserve"> </w:t>
      </w:r>
      <w:r>
        <w:rPr>
          <w:rFonts w:eastAsia="Calibri"/>
          <w:szCs w:val="28"/>
        </w:rPr>
        <w:t>«м</w:t>
      </w:r>
      <w:r w:rsidRPr="001C75EC">
        <w:rPr>
          <w:rFonts w:eastAsia="Calibri"/>
          <w:szCs w:val="28"/>
        </w:rPr>
        <w:t xml:space="preserve">едична реабілітація дорослих та дітей від трьох років з ураженнями опорно-рухового </w:t>
      </w:r>
      <w:r w:rsidRPr="001C75EC">
        <w:rPr>
          <w:rFonts w:eastAsia="Calibri"/>
          <w:szCs w:val="28"/>
        </w:rPr>
        <w:lastRenderedPageBreak/>
        <w:t>апарату</w:t>
      </w:r>
      <w:r>
        <w:rPr>
          <w:rFonts w:eastAsia="Calibri"/>
          <w:bCs/>
          <w:szCs w:val="28"/>
        </w:rPr>
        <w:t>»,</w:t>
      </w:r>
      <w:r w:rsidRPr="001C75EC">
        <w:rPr>
          <w:rFonts w:eastAsia="Calibri"/>
          <w:bCs/>
          <w:szCs w:val="28"/>
        </w:rPr>
        <w:t xml:space="preserve"> </w:t>
      </w:r>
      <w:r>
        <w:rPr>
          <w:rFonts w:eastAsia="Calibri"/>
          <w:bCs/>
          <w:szCs w:val="28"/>
        </w:rPr>
        <w:t>«м</w:t>
      </w:r>
      <w:r w:rsidRPr="001C75EC">
        <w:rPr>
          <w:rFonts w:eastAsia="Calibri"/>
          <w:szCs w:val="28"/>
        </w:rPr>
        <w:t>едична реабілітація дорослих та дітей від трьох років з ураженнями нервової системи</w:t>
      </w:r>
      <w:r>
        <w:rPr>
          <w:rFonts w:eastAsia="Calibri"/>
          <w:szCs w:val="28"/>
        </w:rPr>
        <w:t>»</w:t>
      </w:r>
      <w:r>
        <w:rPr>
          <w:rFonts w:eastAsia="Calibri"/>
          <w:bCs/>
          <w:szCs w:val="28"/>
        </w:rPr>
        <w:t xml:space="preserve">, </w:t>
      </w:r>
      <w:r w:rsidRPr="001C75EC">
        <w:rPr>
          <w:rFonts w:eastAsia="Calibri"/>
          <w:szCs w:val="28"/>
        </w:rPr>
        <w:t>«стаціонарна паліативна медична допомога дорослим та дітям</w:t>
      </w:r>
      <w:r>
        <w:rPr>
          <w:rFonts w:eastAsia="Calibri"/>
          <w:szCs w:val="28"/>
        </w:rPr>
        <w:t>», «м</w:t>
      </w:r>
      <w:r w:rsidRPr="00B30336">
        <w:rPr>
          <w:rFonts w:eastAsia="Calibri"/>
          <w:szCs w:val="28"/>
        </w:rPr>
        <w:t>обільна паліативна медична допомога дорослим і дітям</w:t>
      </w:r>
      <w:r>
        <w:rPr>
          <w:rFonts w:eastAsia="Calibri"/>
          <w:szCs w:val="28"/>
        </w:rPr>
        <w:t>»</w:t>
      </w:r>
      <w:r w:rsidRPr="001C75EC">
        <w:rPr>
          <w:rFonts w:eastAsia="Calibri"/>
          <w:szCs w:val="28"/>
        </w:rPr>
        <w:t xml:space="preserve">). </w:t>
      </w:r>
    </w:p>
    <w:p w:rsidR="0066107B" w:rsidRPr="001A1291" w:rsidRDefault="00884A42" w:rsidP="0066107B">
      <w:pPr>
        <w:widowControl w:val="0"/>
        <w:ind w:firstLine="709"/>
        <w:rPr>
          <w:szCs w:val="28"/>
        </w:rPr>
      </w:pPr>
      <w:r w:rsidRPr="00884A42">
        <w:rPr>
          <w:szCs w:val="28"/>
        </w:rPr>
        <w:t>На всіх рівнях н</w:t>
      </w:r>
      <w:r w:rsidR="00C73914">
        <w:rPr>
          <w:szCs w:val="28"/>
        </w:rPr>
        <w:t>адання медичної допомоги внесено</w:t>
      </w:r>
      <w:r w:rsidRPr="00884A42">
        <w:rPr>
          <w:szCs w:val="28"/>
        </w:rPr>
        <w:t xml:space="preserve"> пропозиції щодо її удосконалення з метою сприяння скороченню дитячої смертності: на первинному рівні – забезпечення умов для інтенсивної терапії починаючи з ФАП, на спеціалізованому (вторинному)</w:t>
      </w:r>
      <w:r w:rsidR="007F2C12">
        <w:rPr>
          <w:szCs w:val="28"/>
        </w:rPr>
        <w:t xml:space="preserve"> та </w:t>
      </w:r>
      <w:r w:rsidR="007F2C12" w:rsidRPr="007F2C12">
        <w:rPr>
          <w:szCs w:val="28"/>
        </w:rPr>
        <w:t>високосп</w:t>
      </w:r>
      <w:r w:rsidR="007F2C12">
        <w:rPr>
          <w:szCs w:val="28"/>
        </w:rPr>
        <w:t>еціалізованому (третинному</w:t>
      </w:r>
      <w:r w:rsidR="007F2C12" w:rsidRPr="007F2C12">
        <w:rPr>
          <w:szCs w:val="28"/>
        </w:rPr>
        <w:t xml:space="preserve">) </w:t>
      </w:r>
      <w:r w:rsidRPr="00884A42">
        <w:rPr>
          <w:szCs w:val="28"/>
        </w:rPr>
        <w:t xml:space="preserve"> </w:t>
      </w:r>
      <w:r w:rsidR="007F2C12">
        <w:rPr>
          <w:szCs w:val="28"/>
        </w:rPr>
        <w:t xml:space="preserve">рівні </w:t>
      </w:r>
      <w:r w:rsidR="001C3E77" w:rsidRPr="001C3E77">
        <w:rPr>
          <w:szCs w:val="28"/>
        </w:rPr>
        <w:t>вдосконалення ефективності надання невідкладної та реанімаційної допомоги</w:t>
      </w:r>
      <w:r w:rsidRPr="00884A42">
        <w:rPr>
          <w:szCs w:val="28"/>
        </w:rPr>
        <w:t>,</w:t>
      </w:r>
      <w:r w:rsidR="007F2C12">
        <w:rPr>
          <w:szCs w:val="28"/>
        </w:rPr>
        <w:t xml:space="preserve"> запровадження неонатальних бригад на базі ЗОЗ високоспеціалізованої медичної допомоги,</w:t>
      </w:r>
      <w:r w:rsidRPr="00884A42">
        <w:rPr>
          <w:szCs w:val="28"/>
        </w:rPr>
        <w:t xml:space="preserve"> в службі екстреної невідкладної допомоги – гарантоване забезпечення надання допомоги (евакуації) при типових загрозливих станах і синдромах дитини та транспортування у найближчі відділення (лікарні). Надання послуг </w:t>
      </w:r>
      <w:r w:rsidR="00892AA0">
        <w:rPr>
          <w:szCs w:val="28"/>
        </w:rPr>
        <w:t>і</w:t>
      </w:r>
      <w:r w:rsidRPr="00884A42">
        <w:rPr>
          <w:szCs w:val="28"/>
        </w:rPr>
        <w:t xml:space="preserve">з медичної реабілітації дітям до 3-х років із впровадженням технології раннього втручання. Обов’язковою складовою і вимогою для надання якісної медичної допомоги є навчання на до- та післядипломному рівнях компетенційним та кваліфікаційним рівням знань лікарів, що надають допомогу дітям, перинатальна допомогу із забезпеченням їх  безперервного навчання з названих питань,  навчання лікарів загальної практики сімейної медицини з питань профілактики дитячої смертності, перинатології для ведення вагітних; підвищення рівня знань лікарів </w:t>
      </w:r>
      <w:r w:rsidR="00892AA0">
        <w:rPr>
          <w:szCs w:val="28"/>
        </w:rPr>
        <w:t>і</w:t>
      </w:r>
      <w:r w:rsidRPr="00884A42">
        <w:rPr>
          <w:szCs w:val="28"/>
        </w:rPr>
        <w:t>з питань введення дитячого населення, маршрутів пацієнта, а також ведення і маршрутизації пацієнтів з високим і середнім рівнем перинатального ризику.</w:t>
      </w:r>
    </w:p>
    <w:p w:rsidR="007F2C12" w:rsidRPr="007F2C12" w:rsidRDefault="007F2C12" w:rsidP="007F2C12">
      <w:pPr>
        <w:widowControl w:val="0"/>
        <w:ind w:firstLine="709"/>
        <w:rPr>
          <w:szCs w:val="28"/>
        </w:rPr>
      </w:pPr>
      <w:r w:rsidRPr="007F2C12">
        <w:rPr>
          <w:szCs w:val="28"/>
        </w:rPr>
        <w:t>На Державний експертний центр покладається розроблення стандартів щодо застосування сучасних лікувально-діагностичних, профілактичних, реабілітаційних та інших послуг після проведення оцінювання з точки зору їх ефективності та доказовості.</w:t>
      </w:r>
    </w:p>
    <w:p w:rsidR="0066107B" w:rsidRPr="00E550E0" w:rsidRDefault="00FC2624" w:rsidP="00E550E0">
      <w:pPr>
        <w:widowControl w:val="0"/>
        <w:ind w:firstLine="709"/>
        <w:rPr>
          <w:szCs w:val="28"/>
          <w:lang w:val="ru-RU"/>
        </w:rPr>
      </w:pPr>
      <w:r>
        <w:rPr>
          <w:szCs w:val="28"/>
        </w:rPr>
        <w:t>Но локальному рівні необхідно здійснювати</w:t>
      </w:r>
      <w:r w:rsidR="00CC4C3A" w:rsidRPr="00CC4C3A">
        <w:rPr>
          <w:szCs w:val="28"/>
        </w:rPr>
        <w:t xml:space="preserve"> формування відповідального батьківства, підвищення медичної обізнаності батьків щодо загрозливих для життя дітей станів і тактиці дій при них, формування здорового способу життя, медичної активності щодо здоров’я дитини та власного здоров’я профілактичної спрямованості, формування стереотипу сім’ї на збереження здоров’я дитини, </w:t>
      </w:r>
      <w:r w:rsidR="00CC4C3A" w:rsidRPr="00CC4C3A">
        <w:rPr>
          <w:szCs w:val="28"/>
        </w:rPr>
        <w:lastRenderedPageBreak/>
        <w:t>профілактика соціального сирітства. ВООЗ наголошує про необхідність та ефективності формування на ранніх етапах міцного фундаменту для здоров'я, сталого розвитку та справедливості, при цьому підкреслює необхідність звернути увагу на ранні роки життя та високої віддачі  інвестицій у ранньому віці в підтримку батьків, і навчання їх догляду за дітьми, попередженню детермінант смертності, правильному реагуванню на зміни стану здоров'я дитини</w:t>
      </w:r>
      <w:r w:rsidR="008A6EFE">
        <w:rPr>
          <w:szCs w:val="28"/>
        </w:rPr>
        <w:t xml:space="preserve">. </w:t>
      </w:r>
      <w:r w:rsidR="008A6EFE" w:rsidRPr="008A6EFE">
        <w:rPr>
          <w:szCs w:val="28"/>
        </w:rPr>
        <w:t xml:space="preserve">Діяльність об’єднаних територіальних громад передбачає </w:t>
      </w:r>
      <w:r w:rsidR="008A6EFE">
        <w:rPr>
          <w:szCs w:val="28"/>
        </w:rPr>
        <w:t>особливу увагу</w:t>
      </w:r>
      <w:r w:rsidR="008A6EFE" w:rsidRPr="008A6EFE">
        <w:rPr>
          <w:szCs w:val="28"/>
        </w:rPr>
        <w:t xml:space="preserve"> соціально неадаптованим та ек</w:t>
      </w:r>
      <w:r w:rsidR="00802081">
        <w:rPr>
          <w:szCs w:val="28"/>
        </w:rPr>
        <w:t>ономічно незабезпеченим сім’ям</w:t>
      </w:r>
      <w:r w:rsidR="00802081">
        <w:rPr>
          <w:szCs w:val="28"/>
          <w:lang w:val="ru-RU"/>
        </w:rPr>
        <w:t xml:space="preserve"> </w:t>
      </w:r>
      <w:r w:rsidR="00CC4C3A" w:rsidRPr="00CC4C3A">
        <w:rPr>
          <w:szCs w:val="28"/>
        </w:rPr>
        <w:t>[372].</w:t>
      </w:r>
    </w:p>
    <w:p w:rsidR="0066107B" w:rsidRPr="00A20D70" w:rsidRDefault="0066107B" w:rsidP="0066107B">
      <w:pPr>
        <w:widowControl w:val="0"/>
        <w:ind w:firstLine="708"/>
        <w:rPr>
          <w:rFonts w:eastAsia="Calibri"/>
          <w:szCs w:val="28"/>
        </w:rPr>
      </w:pPr>
      <w:r w:rsidRPr="00A20D70">
        <w:rPr>
          <w:rFonts w:eastAsia="Calibri"/>
          <w:szCs w:val="28"/>
        </w:rPr>
        <w:t xml:space="preserve">Для зниження смертності дітей, у т.ч. позалікарняної, важливим є надання інтегрованих послуг, що передбачає не тільки спільне фінансування закладів, які надають послуги, насамперед, </w:t>
      </w:r>
      <w:r w:rsidR="00307CAC">
        <w:rPr>
          <w:rFonts w:eastAsia="Calibri"/>
          <w:szCs w:val="28"/>
        </w:rPr>
        <w:t>і</w:t>
      </w:r>
      <w:r w:rsidRPr="00A20D70">
        <w:rPr>
          <w:rFonts w:eastAsia="Calibri"/>
          <w:szCs w:val="28"/>
        </w:rPr>
        <w:t>з катамнестичного спостереження, раннього втручання, реабілітаційно</w:t>
      </w:r>
      <w:r>
        <w:rPr>
          <w:rFonts w:eastAsia="Calibri"/>
          <w:szCs w:val="28"/>
        </w:rPr>
        <w:t>ї та паліативної допомоги МОЗ, М</w:t>
      </w:r>
      <w:r w:rsidRPr="00A20D70">
        <w:rPr>
          <w:rFonts w:eastAsia="Calibri"/>
          <w:szCs w:val="28"/>
        </w:rPr>
        <w:t xml:space="preserve">іністерством соціальної політики, органами місцевого самоврядування та меценатами, але й залучення вказаних структур до організації та надання таких послуг на регіональному/місцевому рівнях. </w:t>
      </w:r>
    </w:p>
    <w:p w:rsidR="0066107B" w:rsidRPr="00A20D70" w:rsidRDefault="0066107B" w:rsidP="0066107B">
      <w:pPr>
        <w:widowControl w:val="0"/>
        <w:ind w:firstLine="708"/>
        <w:rPr>
          <w:rFonts w:eastAsia="Calibri"/>
          <w:szCs w:val="28"/>
        </w:rPr>
      </w:pPr>
      <w:r w:rsidRPr="00A20D70">
        <w:rPr>
          <w:rFonts w:eastAsia="Calibri"/>
          <w:szCs w:val="28"/>
        </w:rPr>
        <w:t>Значима роль відводиться просвітницькій роботі з родиною дитини, зокрема, формуванню здорового способу життя, соціально-ефективного стереотипу сім’ї, підвищенню медичної активності сім’ї; профілактиці соціального сирітства шляхом залучення до цього процесу</w:t>
      </w:r>
      <w:r w:rsidR="00A82D14">
        <w:rPr>
          <w:rFonts w:eastAsia="Calibri"/>
          <w:szCs w:val="28"/>
        </w:rPr>
        <w:t>,</w:t>
      </w:r>
      <w:r w:rsidRPr="00A20D70">
        <w:rPr>
          <w:rFonts w:eastAsia="Calibri"/>
          <w:szCs w:val="28"/>
        </w:rPr>
        <w:t xml:space="preserve"> перш за все</w:t>
      </w:r>
      <w:r w:rsidR="00A82D14">
        <w:rPr>
          <w:rFonts w:eastAsia="Calibri"/>
          <w:szCs w:val="28"/>
        </w:rPr>
        <w:t>,</w:t>
      </w:r>
      <w:r w:rsidRPr="00A20D70">
        <w:rPr>
          <w:rFonts w:eastAsia="Calibri"/>
          <w:szCs w:val="28"/>
        </w:rPr>
        <w:t xml:space="preserve"> громади та інтернет ресурсів, оскільки це також буде сприятиме зниженню смертності дітей.</w:t>
      </w:r>
    </w:p>
    <w:p w:rsidR="0066107B" w:rsidRPr="00A20D70" w:rsidRDefault="0066107B" w:rsidP="0066107B">
      <w:pPr>
        <w:widowControl w:val="0"/>
        <w:ind w:firstLine="709"/>
        <w:rPr>
          <w:rFonts w:eastAsia="Calibri"/>
          <w:szCs w:val="28"/>
        </w:rPr>
      </w:pPr>
      <w:r w:rsidRPr="00A20D70">
        <w:rPr>
          <w:rFonts w:eastAsia="Calibri"/>
          <w:szCs w:val="28"/>
        </w:rPr>
        <w:t xml:space="preserve">Обґрунтована, розроблена та запропонована </w:t>
      </w:r>
      <w:r w:rsidR="00C73914">
        <w:rPr>
          <w:rFonts w:eastAsia="Calibri"/>
          <w:szCs w:val="28"/>
        </w:rPr>
        <w:t xml:space="preserve">інноваційна </w:t>
      </w:r>
      <w:r w:rsidRPr="00A20D70">
        <w:rPr>
          <w:rFonts w:eastAsia="Times New Roman"/>
          <w:szCs w:val="28"/>
        </w:rPr>
        <w:t xml:space="preserve">система </w:t>
      </w:r>
      <w:r w:rsidR="00C73914">
        <w:rPr>
          <w:rFonts w:eastAsia="Times New Roman"/>
          <w:szCs w:val="28"/>
        </w:rPr>
        <w:t xml:space="preserve">медико-соціальної допомоги дітям </w:t>
      </w:r>
      <w:r w:rsidRPr="00A20D70">
        <w:rPr>
          <w:rFonts w:eastAsia="Times New Roman"/>
          <w:szCs w:val="28"/>
        </w:rPr>
        <w:t xml:space="preserve">до 5 років </w:t>
      </w:r>
      <w:r w:rsidRPr="00A20D70">
        <w:rPr>
          <w:rFonts w:eastAsia="Calibri"/>
          <w:szCs w:val="28"/>
        </w:rPr>
        <w:t>на сучасному етапі розвитку сус</w:t>
      </w:r>
      <w:r w:rsidR="00C73914">
        <w:rPr>
          <w:rFonts w:eastAsia="Calibri"/>
          <w:szCs w:val="28"/>
        </w:rPr>
        <w:t xml:space="preserve">пільства базується на існуючий </w:t>
      </w:r>
      <w:r w:rsidRPr="00A20D70">
        <w:rPr>
          <w:rFonts w:eastAsia="Calibri"/>
          <w:szCs w:val="28"/>
        </w:rPr>
        <w:t>системі медичного забезпечення дитячого населення, яка удосконалена за рахунок функціонально-організаційної  оптимізації:</w:t>
      </w:r>
    </w:p>
    <w:p w:rsidR="0066107B" w:rsidRPr="00A20D70" w:rsidRDefault="0066107B" w:rsidP="0066107B">
      <w:pPr>
        <w:widowControl w:val="0"/>
        <w:numPr>
          <w:ilvl w:val="0"/>
          <w:numId w:val="15"/>
        </w:numPr>
        <w:ind w:left="0" w:firstLine="851"/>
        <w:contextualSpacing/>
        <w:rPr>
          <w:rFonts w:eastAsia="Times New Roman"/>
          <w:i/>
          <w:color w:val="000000"/>
          <w:szCs w:val="28"/>
          <w:lang w:eastAsia="ru-RU"/>
        </w:rPr>
      </w:pPr>
      <w:r w:rsidRPr="00A20D70">
        <w:rPr>
          <w:rFonts w:eastAsia="Times New Roman"/>
          <w:i/>
          <w:szCs w:val="28"/>
          <w:lang w:eastAsia="ru-RU"/>
        </w:rPr>
        <w:t xml:space="preserve">Існуючі елементи, діяльність яких удосконалена, </w:t>
      </w:r>
      <w:r w:rsidRPr="00A20D70">
        <w:rPr>
          <w:rFonts w:eastAsia="Times New Roman"/>
          <w:szCs w:val="28"/>
          <w:lang w:eastAsia="ru-RU"/>
        </w:rPr>
        <w:t xml:space="preserve">це заклади охорони здоров’я первинної, спеціалізованої, високоспеціалізованої та екстреної медичної допомоги, що надають допомогу дітям а також перинатальну допомогу, які проходять автономізацію та підключаються до </w:t>
      </w:r>
      <w:r w:rsidRPr="00A20D70">
        <w:rPr>
          <w:rFonts w:eastAsia="Times New Roman"/>
          <w:color w:val="000000"/>
          <w:szCs w:val="28"/>
          <w:lang w:eastAsia="ru-RU"/>
        </w:rPr>
        <w:t xml:space="preserve">електронної системи охорони здоров’я, укладають договори на фінансування з Національною службою охорони здоров’я в рамках </w:t>
      </w:r>
      <w:r w:rsidRPr="00A20D70">
        <w:rPr>
          <w:rFonts w:eastAsia="Times New Roman"/>
          <w:color w:val="000000"/>
          <w:szCs w:val="28"/>
          <w:shd w:val="clear" w:color="auto" w:fill="FFFFFF"/>
          <w:lang w:eastAsia="ru-RU"/>
        </w:rPr>
        <w:t>Програми медичних гарантій</w:t>
      </w:r>
    </w:p>
    <w:p w:rsidR="0066107B" w:rsidRPr="00A20D70" w:rsidRDefault="00B16544" w:rsidP="0066107B">
      <w:pPr>
        <w:widowControl w:val="0"/>
        <w:numPr>
          <w:ilvl w:val="0"/>
          <w:numId w:val="15"/>
        </w:numPr>
        <w:ind w:left="0" w:firstLine="851"/>
        <w:contextualSpacing/>
        <w:rPr>
          <w:rFonts w:eastAsia="Times New Roman"/>
          <w:i/>
          <w:color w:val="000000"/>
          <w:szCs w:val="28"/>
          <w:lang w:eastAsia="ru-RU"/>
        </w:rPr>
      </w:pPr>
      <w:r>
        <w:rPr>
          <w:rFonts w:eastAsia="Times New Roman"/>
          <w:i/>
          <w:color w:val="000000"/>
          <w:szCs w:val="28"/>
          <w:lang w:eastAsia="ru-RU"/>
        </w:rPr>
        <w:lastRenderedPageBreak/>
        <w:t>Нові елементи системи</w:t>
      </w:r>
      <w:r w:rsidR="0066107B" w:rsidRPr="00A20D70">
        <w:rPr>
          <w:rFonts w:eastAsia="Times New Roman"/>
          <w:i/>
          <w:color w:val="000000"/>
          <w:szCs w:val="28"/>
          <w:lang w:eastAsia="ru-RU"/>
        </w:rPr>
        <w:t xml:space="preserve"> є наступні:</w:t>
      </w:r>
    </w:p>
    <w:p w:rsidR="0066107B" w:rsidRPr="00A20D70" w:rsidRDefault="00B16544" w:rsidP="0066107B">
      <w:pPr>
        <w:widowControl w:val="0"/>
        <w:numPr>
          <w:ilvl w:val="0"/>
          <w:numId w:val="16"/>
        </w:numPr>
        <w:ind w:left="0" w:firstLine="851"/>
        <w:contextualSpacing/>
        <w:rPr>
          <w:rFonts w:eastAsia="Times New Roman"/>
          <w:szCs w:val="28"/>
          <w:lang w:eastAsia="ru-RU"/>
        </w:rPr>
      </w:pPr>
      <w:r>
        <w:rPr>
          <w:rFonts w:eastAsia="Times New Roman"/>
          <w:color w:val="000000"/>
          <w:szCs w:val="28"/>
          <w:lang w:eastAsia="ru-RU"/>
        </w:rPr>
        <w:t>Включення до системи</w:t>
      </w:r>
      <w:r w:rsidR="0066107B" w:rsidRPr="00A20D70">
        <w:rPr>
          <w:rFonts w:eastAsia="Times New Roman"/>
          <w:color w:val="000000"/>
          <w:szCs w:val="28"/>
          <w:lang w:eastAsia="ru-RU"/>
        </w:rPr>
        <w:t xml:space="preserve"> регіональної та місцевої влади з визначенням для них цільових задач та функцій </w:t>
      </w:r>
      <w:r w:rsidR="00A22205">
        <w:rPr>
          <w:rFonts w:eastAsia="Times New Roman"/>
          <w:szCs w:val="28"/>
          <w:lang w:eastAsia="ru-RU"/>
        </w:rPr>
        <w:t>в тому числі прийняття регіональних комплексних цільових програм</w:t>
      </w:r>
      <w:r w:rsidR="00A22205" w:rsidRPr="00A22205">
        <w:rPr>
          <w:rFonts w:eastAsia="Times New Roman"/>
          <w:szCs w:val="28"/>
          <w:lang w:eastAsia="ru-RU"/>
        </w:rPr>
        <w:t xml:space="preserve"> з охорони дитинства</w:t>
      </w:r>
      <w:r w:rsidR="0066107B" w:rsidRPr="00A20D70">
        <w:rPr>
          <w:rFonts w:eastAsia="Times New Roman"/>
          <w:szCs w:val="28"/>
          <w:lang w:eastAsia="ru-RU"/>
        </w:rPr>
        <w:t xml:space="preserve"> з визначенням обсягів та джерел її фінансування</w:t>
      </w:r>
      <w:r w:rsidR="002E2FBB">
        <w:rPr>
          <w:rFonts w:eastAsia="Times New Roman"/>
          <w:szCs w:val="28"/>
          <w:lang w:eastAsia="ru-RU"/>
        </w:rPr>
        <w:t>, а також створення обласних міжсекторальних координаційних рад</w:t>
      </w:r>
      <w:r w:rsidR="002E2FBB" w:rsidRPr="002E2FBB">
        <w:rPr>
          <w:rFonts w:eastAsia="Times New Roman"/>
          <w:szCs w:val="28"/>
          <w:lang w:eastAsia="ru-RU"/>
        </w:rPr>
        <w:t xml:space="preserve"> з ініціації та імплементації скоординованих та узгоджених заходів</w:t>
      </w:r>
      <w:r w:rsidR="0066107B" w:rsidRPr="00A20D70">
        <w:rPr>
          <w:rFonts w:eastAsia="Times New Roman"/>
          <w:szCs w:val="28"/>
          <w:lang w:eastAsia="ru-RU"/>
        </w:rPr>
        <w:t>;</w:t>
      </w:r>
    </w:p>
    <w:p w:rsidR="0066107B" w:rsidRPr="00A20D70" w:rsidRDefault="00B16544" w:rsidP="0066107B">
      <w:pPr>
        <w:widowControl w:val="0"/>
        <w:numPr>
          <w:ilvl w:val="0"/>
          <w:numId w:val="16"/>
        </w:numPr>
        <w:ind w:left="0" w:firstLine="851"/>
        <w:contextualSpacing/>
        <w:rPr>
          <w:rFonts w:eastAsia="Times New Roman"/>
          <w:szCs w:val="28"/>
          <w:lang w:eastAsia="ru-RU"/>
        </w:rPr>
      </w:pPr>
      <w:r>
        <w:rPr>
          <w:rFonts w:eastAsia="Times New Roman"/>
          <w:szCs w:val="28"/>
          <w:lang w:eastAsia="ru-RU"/>
        </w:rPr>
        <w:t>Включення в систему</w:t>
      </w:r>
      <w:r w:rsidR="0066107B" w:rsidRPr="00A20D70">
        <w:rPr>
          <w:rFonts w:eastAsia="Times New Roman"/>
          <w:szCs w:val="28"/>
          <w:lang w:eastAsia="ru-RU"/>
        </w:rPr>
        <w:t xml:space="preserve"> об’єднаних територіальних громад з покладання на них  функцій активної участі у</w:t>
      </w:r>
      <w:r w:rsidR="0066107B" w:rsidRPr="00A20D70">
        <w:rPr>
          <w:rFonts w:eastAsia="Times New Roman"/>
          <w:color w:val="00B0F0"/>
          <w:szCs w:val="28"/>
          <w:lang w:eastAsia="ru-RU"/>
        </w:rPr>
        <w:t xml:space="preserve"> </w:t>
      </w:r>
      <w:r w:rsidR="0066107B" w:rsidRPr="00A20D70">
        <w:rPr>
          <w:rFonts w:eastAsia="Times New Roman"/>
          <w:szCs w:val="28"/>
          <w:lang w:eastAsia="ru-RU"/>
        </w:rPr>
        <w:t>формуванні здорового та соціально-ефективного способу життя; формування стереотипу сім’ї, спрямованого на формування і збереження здоров’я дітей; підвищення медичної активності сім’ї; профілактика соціального сирітства; навчальні програми по відповідальному батьківству; захисту права дитини та недопущення насильства та грубого поводження з дитиною;</w:t>
      </w:r>
    </w:p>
    <w:p w:rsidR="0066107B" w:rsidRPr="00A20D70" w:rsidRDefault="0066107B" w:rsidP="0066107B">
      <w:pPr>
        <w:widowControl w:val="0"/>
        <w:numPr>
          <w:ilvl w:val="0"/>
          <w:numId w:val="16"/>
        </w:numPr>
        <w:ind w:left="0" w:firstLine="851"/>
        <w:contextualSpacing/>
        <w:rPr>
          <w:rFonts w:eastAsia="Times New Roman"/>
          <w:szCs w:val="28"/>
          <w:lang w:eastAsia="ru-RU"/>
        </w:rPr>
      </w:pPr>
      <w:r w:rsidRPr="00A20D70">
        <w:rPr>
          <w:rFonts w:eastAsia="Times New Roman"/>
          <w:szCs w:val="28"/>
          <w:lang w:eastAsia="ru-RU"/>
        </w:rPr>
        <w:t xml:space="preserve"> В напрямку структурної перебудови системи медичної допомоги дитячому населенню новим є створення відділень планової та екстреної консультативної допомоги;</w:t>
      </w:r>
      <w:r w:rsidRPr="00A20D70">
        <w:rPr>
          <w:rFonts w:eastAsia="Times New Roman"/>
          <w:sz w:val="24"/>
          <w:szCs w:val="24"/>
          <w:lang w:eastAsia="ru-RU"/>
        </w:rPr>
        <w:t xml:space="preserve"> </w:t>
      </w:r>
      <w:r w:rsidRPr="00A20D70">
        <w:rPr>
          <w:rFonts w:eastAsia="Times New Roman"/>
          <w:szCs w:val="28"/>
          <w:lang w:eastAsia="ru-RU"/>
        </w:rPr>
        <w:t>спеціалізованих педіатричних бригад; спеціалізовані центри дитячої реанімації та інтенсивної терапії;</w:t>
      </w:r>
      <w:r w:rsidRPr="00A20D70">
        <w:rPr>
          <w:rFonts w:eastAsia="Times New Roman"/>
          <w:sz w:val="24"/>
          <w:szCs w:val="24"/>
          <w:lang w:eastAsia="ru-RU"/>
        </w:rPr>
        <w:t xml:space="preserve"> </w:t>
      </w:r>
      <w:r w:rsidRPr="00A20D70">
        <w:rPr>
          <w:rFonts w:eastAsia="Times New Roman"/>
          <w:szCs w:val="28"/>
          <w:lang w:eastAsia="ru-RU"/>
        </w:rPr>
        <w:t>виїзні бригади реанімації та інтенсивної терапії;  надання етапної допомоги (евакуації) при  загрозливих станах та синдромах екстреною медичною допомогою</w:t>
      </w:r>
      <w:r w:rsidR="00A22205">
        <w:rPr>
          <w:rFonts w:eastAsia="Times New Roman"/>
          <w:szCs w:val="28"/>
          <w:lang w:eastAsia="ru-RU"/>
        </w:rPr>
        <w:t xml:space="preserve">, а також  надання послуг катамнезу, реабілітаційної, паллітативної допомоги, раннього </w:t>
      </w:r>
      <w:r w:rsidR="00B47F3C" w:rsidRPr="00B47F3C">
        <w:rPr>
          <w:rFonts w:eastAsia="Times New Roman"/>
          <w:szCs w:val="28"/>
          <w:lang w:eastAsia="ru-RU"/>
        </w:rPr>
        <w:t>в</w:t>
      </w:r>
      <w:r w:rsidR="00A22205">
        <w:rPr>
          <w:rFonts w:eastAsia="Times New Roman"/>
          <w:szCs w:val="28"/>
          <w:lang w:eastAsia="ru-RU"/>
        </w:rPr>
        <w:t>тручання</w:t>
      </w:r>
      <w:r w:rsidRPr="00A20D70">
        <w:rPr>
          <w:rFonts w:eastAsia="Times New Roman"/>
          <w:szCs w:val="28"/>
          <w:lang w:eastAsia="ru-RU"/>
        </w:rPr>
        <w:t>;</w:t>
      </w:r>
    </w:p>
    <w:p w:rsidR="0066107B" w:rsidRPr="00A20D70" w:rsidRDefault="0066107B" w:rsidP="0066107B">
      <w:pPr>
        <w:widowControl w:val="0"/>
        <w:numPr>
          <w:ilvl w:val="0"/>
          <w:numId w:val="16"/>
        </w:numPr>
        <w:spacing w:before="100" w:beforeAutospacing="1" w:after="100" w:afterAutospacing="1"/>
        <w:ind w:left="0" w:firstLine="851"/>
        <w:contextualSpacing/>
        <w:rPr>
          <w:rFonts w:eastAsia="Times New Roman"/>
          <w:szCs w:val="28"/>
          <w:lang w:eastAsia="ru-RU"/>
        </w:rPr>
      </w:pPr>
      <w:r w:rsidRPr="00A20D70">
        <w:rPr>
          <w:rFonts w:eastAsia="Times New Roman"/>
          <w:szCs w:val="28"/>
          <w:lang w:eastAsia="ru-RU"/>
        </w:rPr>
        <w:t>В напрямку безперервного підвищення  професійного рівня  медичного персоналу новими напрямками діяльності є навчання компетенційним та кваліфікаційним рівням знань лікарів, що надають допомогу дітям, п</w:t>
      </w:r>
      <w:r w:rsidR="00B57F34">
        <w:rPr>
          <w:rFonts w:eastAsia="Times New Roman"/>
          <w:szCs w:val="28"/>
          <w:lang w:eastAsia="ru-RU"/>
        </w:rPr>
        <w:t xml:space="preserve">еринатальну допомогу; навчання лікарів </w:t>
      </w:r>
      <w:r w:rsidRPr="00A20D70">
        <w:rPr>
          <w:rFonts w:eastAsia="Times New Roman"/>
          <w:szCs w:val="28"/>
          <w:lang w:eastAsia="ru-RU"/>
        </w:rPr>
        <w:t xml:space="preserve">ЗП-СЛ з питань профілактики дитячої смертності, перинатології; підвищення рівня знань лікарів з питань введення дитячого населення, маршрутів пацієнта, а також ведення і маршрутизації  пацієнтів з високим і середнім рівнем перинатального ризику, а також впровадження вимоги щодо наявності сертифікатів </w:t>
      </w:r>
      <w:r w:rsidR="00820C7F">
        <w:rPr>
          <w:rFonts w:eastAsia="Times New Roman"/>
          <w:szCs w:val="28"/>
          <w:lang w:eastAsia="ru-RU"/>
        </w:rPr>
        <w:t>і</w:t>
      </w:r>
      <w:r w:rsidRPr="00A20D70">
        <w:rPr>
          <w:rFonts w:eastAsia="Times New Roman"/>
          <w:szCs w:val="28"/>
          <w:lang w:eastAsia="ru-RU"/>
        </w:rPr>
        <w:t xml:space="preserve">з відповідної підготовки лікарів в пакетах медичних гарантій; </w:t>
      </w:r>
    </w:p>
    <w:p w:rsidR="0066107B" w:rsidRPr="00A20D70" w:rsidRDefault="0066107B" w:rsidP="0066107B">
      <w:pPr>
        <w:widowControl w:val="0"/>
        <w:numPr>
          <w:ilvl w:val="0"/>
          <w:numId w:val="16"/>
        </w:numPr>
        <w:ind w:left="0" w:firstLine="851"/>
        <w:contextualSpacing/>
        <w:rPr>
          <w:rFonts w:eastAsia="Calibri"/>
          <w:szCs w:val="28"/>
        </w:rPr>
      </w:pPr>
      <w:r w:rsidRPr="00A20D70">
        <w:rPr>
          <w:rFonts w:eastAsia="Calibri"/>
          <w:szCs w:val="28"/>
        </w:rPr>
        <w:t xml:space="preserve">В розділі системи «Інформаційна база»  представлено  комплекс  заходів, які мають забезпечити діяльність як на рівні країни так і в регіоні </w:t>
      </w:r>
      <w:r w:rsidRPr="00A20D70">
        <w:rPr>
          <w:rFonts w:eastAsia="Calibri"/>
          <w:szCs w:val="28"/>
        </w:rPr>
        <w:lastRenderedPageBreak/>
        <w:t xml:space="preserve">електронної системи </w:t>
      </w:r>
      <w:r w:rsidR="00462CBB">
        <w:rPr>
          <w:rFonts w:eastAsia="Calibri"/>
          <w:szCs w:val="28"/>
        </w:rPr>
        <w:t>охорони здоров’я та  можливість</w:t>
      </w:r>
      <w:r w:rsidRPr="00A20D70">
        <w:rPr>
          <w:rFonts w:eastAsia="Calibri"/>
          <w:szCs w:val="28"/>
        </w:rPr>
        <w:t xml:space="preserve"> отримання телемеди</w:t>
      </w:r>
      <w:r w:rsidR="00C73914">
        <w:rPr>
          <w:rFonts w:eastAsia="Calibri"/>
          <w:szCs w:val="28"/>
        </w:rPr>
        <w:t xml:space="preserve">чних консультацій в тому числі лікарів </w:t>
      </w:r>
      <w:r w:rsidRPr="00A20D70">
        <w:rPr>
          <w:rFonts w:eastAsia="Calibri"/>
          <w:szCs w:val="28"/>
        </w:rPr>
        <w:t>ЗП-СЛ,  забезпечити  перехід  на повний електронний документообіг (ЕСОЗ) та збі</w:t>
      </w:r>
      <w:r w:rsidR="00462CBB">
        <w:rPr>
          <w:rFonts w:eastAsia="Calibri"/>
          <w:szCs w:val="28"/>
        </w:rPr>
        <w:t>р і обробку статистичних даних у</w:t>
      </w:r>
      <w:r w:rsidRPr="00A20D70">
        <w:rPr>
          <w:rFonts w:eastAsia="Calibri"/>
          <w:szCs w:val="28"/>
        </w:rPr>
        <w:t xml:space="preserve"> ЗОЗ;  єдиної державної медичної інформаційної системи педіатричної допомоги, включно реєстр новонароджених, що народились передчасно та/або хворими; Інтернет-ресурс з попередження дитячої смертності та збереження здоров’я дітей;</w:t>
      </w:r>
    </w:p>
    <w:p w:rsidR="0066107B" w:rsidRPr="00A20D70" w:rsidRDefault="0066107B" w:rsidP="0066107B">
      <w:pPr>
        <w:widowControl w:val="0"/>
        <w:numPr>
          <w:ilvl w:val="0"/>
          <w:numId w:val="16"/>
        </w:numPr>
        <w:ind w:left="0" w:firstLine="851"/>
        <w:contextualSpacing/>
        <w:rPr>
          <w:rFonts w:eastAsia="Times New Roman"/>
          <w:szCs w:val="28"/>
          <w:lang w:eastAsia="ru-RU"/>
        </w:rPr>
      </w:pPr>
      <w:r w:rsidRPr="00A20D70">
        <w:rPr>
          <w:rFonts w:eastAsia="Times New Roman"/>
          <w:szCs w:val="28"/>
          <w:lang w:eastAsia="ru-RU"/>
        </w:rPr>
        <w:t>На відміну від традиційного формування у населення навичок здорового способу життя нами запропоновано</w:t>
      </w:r>
      <w:r w:rsidRPr="00A20D70">
        <w:rPr>
          <w:rFonts w:eastAsia="Times New Roman"/>
          <w:color w:val="00B0F0"/>
          <w:szCs w:val="28"/>
          <w:lang w:eastAsia="ru-RU"/>
        </w:rPr>
        <w:t xml:space="preserve"> </w:t>
      </w:r>
      <w:r w:rsidRPr="00A20D70">
        <w:rPr>
          <w:rFonts w:eastAsia="Times New Roman"/>
          <w:szCs w:val="28"/>
          <w:lang w:eastAsia="ru-RU"/>
        </w:rPr>
        <w:t>включення системи громадського</w:t>
      </w:r>
      <w:r w:rsidRPr="00A20D70">
        <w:rPr>
          <w:rFonts w:eastAsia="Times New Roman"/>
          <w:color w:val="FF0000"/>
          <w:szCs w:val="28"/>
          <w:lang w:eastAsia="ru-RU"/>
        </w:rPr>
        <w:t xml:space="preserve"> </w:t>
      </w:r>
      <w:r w:rsidRPr="00A20D70">
        <w:rPr>
          <w:rFonts w:eastAsia="Times New Roman"/>
          <w:szCs w:val="28"/>
          <w:lang w:eastAsia="ru-RU"/>
        </w:rPr>
        <w:t>здоров’я, навчання батьків, створення умов для розвитку дитини;</w:t>
      </w:r>
    </w:p>
    <w:p w:rsidR="0066107B" w:rsidRPr="00A20D70" w:rsidRDefault="0066107B" w:rsidP="0066107B">
      <w:pPr>
        <w:widowControl w:val="0"/>
        <w:numPr>
          <w:ilvl w:val="0"/>
          <w:numId w:val="16"/>
        </w:numPr>
        <w:ind w:left="0" w:firstLine="851"/>
        <w:contextualSpacing/>
        <w:rPr>
          <w:rFonts w:eastAsia="Times New Roman"/>
          <w:szCs w:val="28"/>
          <w:lang w:eastAsia="ru-RU"/>
        </w:rPr>
      </w:pPr>
      <w:r w:rsidRPr="00A20D70">
        <w:rPr>
          <w:rFonts w:eastAsia="Times New Roman"/>
          <w:szCs w:val="28"/>
          <w:lang w:eastAsia="ru-RU"/>
        </w:rPr>
        <w:t>Прийняттю управлінських рішень передує моніторинг (в т.ч. за медико-соціальними детермінантами), оцінка, контроль, координація, управління процесом профілактики дитячої смертності, оцінка якості надання медичної допомоги та комплексна оцінка педіатричної допомоги (в тому числі і закладів перинатальної допомоги).</w:t>
      </w:r>
    </w:p>
    <w:p w:rsidR="0066107B" w:rsidRPr="00A20D70" w:rsidRDefault="0066107B" w:rsidP="0066107B">
      <w:pPr>
        <w:widowControl w:val="0"/>
        <w:ind w:firstLine="851"/>
        <w:rPr>
          <w:rFonts w:eastAsia="Times New Roman"/>
          <w:szCs w:val="28"/>
          <w:lang w:eastAsia="ru-RU"/>
        </w:rPr>
      </w:pPr>
      <w:r w:rsidRPr="00A20D70">
        <w:rPr>
          <w:rFonts w:eastAsia="Times New Roman"/>
          <w:szCs w:val="28"/>
          <w:lang w:eastAsia="ru-RU"/>
        </w:rPr>
        <w:t xml:space="preserve">Таким чином, враховуючи, що збереження та зміцнення здоров'я дітей є державною функцією запропонована система носить не виключно галузевий характер, а </w:t>
      </w:r>
      <w:r w:rsidR="00C1253C">
        <w:rPr>
          <w:rFonts w:eastAsia="Times New Roman"/>
          <w:szCs w:val="28"/>
          <w:lang w:eastAsia="ru-RU"/>
        </w:rPr>
        <w:t>багато</w:t>
      </w:r>
      <w:r w:rsidR="001218AF">
        <w:rPr>
          <w:rFonts w:eastAsia="Times New Roman"/>
          <w:szCs w:val="28"/>
          <w:lang w:eastAsia="ru-RU"/>
        </w:rPr>
        <w:t>секторальний</w:t>
      </w:r>
      <w:r w:rsidR="00C1253C">
        <w:rPr>
          <w:rFonts w:eastAsia="Times New Roman"/>
          <w:szCs w:val="28"/>
          <w:lang w:eastAsia="ru-RU"/>
        </w:rPr>
        <w:t xml:space="preserve"> характер</w:t>
      </w:r>
      <w:r w:rsidR="001218AF">
        <w:rPr>
          <w:rFonts w:eastAsia="Times New Roman"/>
          <w:szCs w:val="28"/>
          <w:lang w:eastAsia="ru-RU"/>
        </w:rPr>
        <w:t xml:space="preserve"> і </w:t>
      </w:r>
      <w:r w:rsidRPr="00A20D70">
        <w:rPr>
          <w:rFonts w:eastAsia="Times New Roman"/>
          <w:szCs w:val="28"/>
          <w:lang w:eastAsia="ru-RU"/>
        </w:rPr>
        <w:t xml:space="preserve">включає для рішення поставлених завдань органи </w:t>
      </w:r>
      <w:r w:rsidR="001218AF">
        <w:rPr>
          <w:rFonts w:eastAsia="Times New Roman"/>
          <w:szCs w:val="28"/>
          <w:lang w:eastAsia="ru-RU"/>
        </w:rPr>
        <w:t>центральної</w:t>
      </w:r>
      <w:r w:rsidRPr="00A20D70">
        <w:rPr>
          <w:rFonts w:eastAsia="Times New Roman"/>
          <w:szCs w:val="28"/>
          <w:lang w:eastAsia="ru-RU"/>
        </w:rPr>
        <w:t xml:space="preserve"> влади</w:t>
      </w:r>
      <w:r w:rsidR="001218AF">
        <w:rPr>
          <w:rFonts w:eastAsia="Times New Roman"/>
          <w:szCs w:val="28"/>
          <w:lang w:eastAsia="ru-RU"/>
        </w:rPr>
        <w:t>, регіональної влади</w:t>
      </w:r>
      <w:r w:rsidRPr="00A20D70">
        <w:rPr>
          <w:rFonts w:eastAsia="Times New Roman"/>
          <w:szCs w:val="28"/>
          <w:lang w:eastAsia="ru-RU"/>
        </w:rPr>
        <w:t xml:space="preserve">, </w:t>
      </w:r>
      <w:r w:rsidR="001218AF">
        <w:rPr>
          <w:rFonts w:eastAsia="Times New Roman"/>
          <w:szCs w:val="28"/>
          <w:lang w:eastAsia="ru-RU"/>
        </w:rPr>
        <w:t xml:space="preserve">місцевої (об’єднані </w:t>
      </w:r>
      <w:r w:rsidR="00574D1D" w:rsidRPr="00574D1D">
        <w:rPr>
          <w:rFonts w:eastAsia="Times New Roman"/>
          <w:szCs w:val="28"/>
          <w:lang w:eastAsia="ru-RU"/>
        </w:rPr>
        <w:t xml:space="preserve">територіальні </w:t>
      </w:r>
      <w:r w:rsidR="001218AF">
        <w:rPr>
          <w:rFonts w:eastAsia="Times New Roman"/>
          <w:szCs w:val="28"/>
          <w:lang w:eastAsia="ru-RU"/>
        </w:rPr>
        <w:t>громади)</w:t>
      </w:r>
      <w:r w:rsidRPr="00A20D70">
        <w:rPr>
          <w:rFonts w:eastAsia="Times New Roman"/>
          <w:szCs w:val="28"/>
          <w:lang w:eastAsia="ru-RU"/>
        </w:rPr>
        <w:t>. Відповідно до рівнів управління влади кожна із них виконує свої функції по забезпеченню здоров’я і життя дітей.</w:t>
      </w:r>
    </w:p>
    <w:p w:rsidR="0066107B" w:rsidRPr="00A20D70" w:rsidRDefault="00730C14" w:rsidP="0066107B">
      <w:pPr>
        <w:widowControl w:val="0"/>
        <w:ind w:firstLine="851"/>
        <w:rPr>
          <w:rFonts w:eastAsia="Times New Roman"/>
          <w:szCs w:val="28"/>
          <w:lang w:eastAsia="ru-RU"/>
        </w:rPr>
      </w:pPr>
      <w:r>
        <w:rPr>
          <w:rFonts w:eastAsia="Times New Roman"/>
          <w:szCs w:val="28"/>
          <w:lang w:eastAsia="ru-RU"/>
        </w:rPr>
        <w:t>З метою збереження</w:t>
      </w:r>
      <w:r w:rsidR="0066107B" w:rsidRPr="00A20D70">
        <w:rPr>
          <w:rFonts w:eastAsia="Times New Roman"/>
          <w:szCs w:val="28"/>
          <w:lang w:eastAsia="ru-RU"/>
        </w:rPr>
        <w:t xml:space="preserve"> здоров’я і життя дітей Департаментами охорони здоров’я ОДА розробляються відповідні плани дій. Такі ж плани розробляються на адміністративних територіях області.</w:t>
      </w:r>
    </w:p>
    <w:p w:rsidR="00BB723C" w:rsidRPr="00BB723C" w:rsidRDefault="00241991" w:rsidP="00BB723C">
      <w:pPr>
        <w:widowControl w:val="0"/>
        <w:rPr>
          <w:rFonts w:eastAsia="Times New Roman"/>
          <w:szCs w:val="28"/>
        </w:rPr>
      </w:pPr>
      <w:r>
        <w:rPr>
          <w:szCs w:val="28"/>
          <w:lang w:val="ru-RU"/>
        </w:rPr>
        <w:tab/>
      </w:r>
      <w:r w:rsidRPr="00006A39">
        <w:rPr>
          <w:rFonts w:eastAsia="Times New Roman"/>
          <w:szCs w:val="28"/>
        </w:rPr>
        <w:t xml:space="preserve">Паралельно із новими елементами системи, що сприяють в цілому структурній перебудові в наданні медичної допомоги дитячому населенню України, до нашої оптимізованої системи, яка є комплексною, у зв’язку з важливістю перинатального періоду в житті дитини і кількістю смертей, що відбуваються саме в цей період включено регіоналізацію перинатальної допомоги, як одну з найефективніших організаційних моделей оптимізації медичної допомоги, що </w:t>
      </w:r>
      <w:r w:rsidR="00BB723C">
        <w:rPr>
          <w:rFonts w:eastAsia="Times New Roman"/>
          <w:szCs w:val="28"/>
        </w:rPr>
        <w:t>продовжує впроваджуватись</w:t>
      </w:r>
      <w:r w:rsidRPr="00006A39">
        <w:rPr>
          <w:rFonts w:eastAsia="Times New Roman"/>
          <w:szCs w:val="28"/>
        </w:rPr>
        <w:t xml:space="preserve"> в Україні і враховує регіональні особливості, має три етапи </w:t>
      </w:r>
      <w:r w:rsidRPr="00006A39">
        <w:rPr>
          <w:rFonts w:eastAsia="Times New Roman"/>
          <w:szCs w:val="28"/>
        </w:rPr>
        <w:lastRenderedPageBreak/>
        <w:t>надання перинатальної допомоги, і забезпечує  своєчасність, якість і доступність медичної допомо</w:t>
      </w:r>
      <w:r w:rsidR="006123F6">
        <w:rPr>
          <w:rFonts w:eastAsia="Times New Roman"/>
          <w:szCs w:val="28"/>
        </w:rPr>
        <w:t xml:space="preserve">ги при  оптимальних  витратах, а також </w:t>
      </w:r>
      <w:r w:rsidRPr="00006A39">
        <w:rPr>
          <w:rFonts w:eastAsia="Times New Roman"/>
          <w:szCs w:val="28"/>
        </w:rPr>
        <w:t>сприяє зниженню материнської і перинатальної смертності, інвалідно</w:t>
      </w:r>
      <w:r w:rsidR="00BB723C">
        <w:rPr>
          <w:rFonts w:eastAsia="Times New Roman"/>
          <w:szCs w:val="28"/>
        </w:rPr>
        <w:t xml:space="preserve">сті дітей та їх захворюваності, тому потребує запровадження комплексної оцінки з наступним прийняттям. </w:t>
      </w:r>
    </w:p>
    <w:p w:rsidR="00471153" w:rsidRDefault="00BB723C" w:rsidP="00A502EF">
      <w:pPr>
        <w:widowControl w:val="0"/>
        <w:ind w:firstLine="708"/>
        <w:rPr>
          <w:rFonts w:eastAsia="Times New Roman"/>
          <w:szCs w:val="28"/>
        </w:rPr>
      </w:pPr>
      <w:r>
        <w:rPr>
          <w:rFonts w:eastAsia="Times New Roman"/>
          <w:szCs w:val="28"/>
        </w:rPr>
        <w:t>Очікувані результати впровадження інноваційної системи медико-соціальної допомоги дітям віком до</w:t>
      </w:r>
      <w:r w:rsidR="006A6BF7">
        <w:rPr>
          <w:rFonts w:eastAsia="Times New Roman"/>
          <w:szCs w:val="28"/>
        </w:rPr>
        <w:t xml:space="preserve"> 5 років життя: </w:t>
      </w:r>
    </w:p>
    <w:p w:rsidR="00471153" w:rsidRDefault="00471153" w:rsidP="00A502EF">
      <w:pPr>
        <w:widowControl w:val="0"/>
        <w:ind w:firstLine="708"/>
        <w:rPr>
          <w:szCs w:val="28"/>
        </w:rPr>
      </w:pPr>
      <w:r>
        <w:rPr>
          <w:rFonts w:eastAsia="Times New Roman"/>
          <w:szCs w:val="28"/>
        </w:rPr>
        <w:t xml:space="preserve">- </w:t>
      </w:r>
      <w:r w:rsidR="006A6BF7" w:rsidRPr="006A6BF7">
        <w:rPr>
          <w:rFonts w:eastAsia="Times New Roman"/>
          <w:i/>
          <w:szCs w:val="28"/>
        </w:rPr>
        <w:t>медичні</w:t>
      </w:r>
      <w:r w:rsidR="006A6BF7">
        <w:rPr>
          <w:rFonts w:eastAsia="Times New Roman"/>
          <w:szCs w:val="28"/>
        </w:rPr>
        <w:t xml:space="preserve"> (</w:t>
      </w:r>
      <w:r w:rsidR="006A6BF7">
        <w:rPr>
          <w:szCs w:val="28"/>
        </w:rPr>
        <w:t>в</w:t>
      </w:r>
      <w:r w:rsidR="0066107B" w:rsidRPr="001A5B85">
        <w:rPr>
          <w:szCs w:val="28"/>
        </w:rPr>
        <w:t>олодіння достовірною інформацією в сфері ОЗ материнства та дитинства в режимі реального часу</w:t>
      </w:r>
      <w:r w:rsidR="006A6BF7">
        <w:rPr>
          <w:szCs w:val="28"/>
        </w:rPr>
        <w:t>,</w:t>
      </w:r>
      <w:r w:rsidR="006A6BF7">
        <w:rPr>
          <w:rFonts w:eastAsia="Times New Roman"/>
          <w:szCs w:val="28"/>
        </w:rPr>
        <w:t xml:space="preserve"> </w:t>
      </w:r>
      <w:r w:rsidR="006A6BF7">
        <w:rPr>
          <w:szCs w:val="28"/>
        </w:rPr>
        <w:t>п</w:t>
      </w:r>
      <w:r w:rsidR="0066107B" w:rsidRPr="001A5B85">
        <w:rPr>
          <w:szCs w:val="28"/>
        </w:rPr>
        <w:t>озитивні зміни інтегральних показників, що стосуються здоров’я дитячого населення</w:t>
      </w:r>
      <w:r w:rsidR="006A6BF7">
        <w:rPr>
          <w:szCs w:val="28"/>
        </w:rPr>
        <w:t>)</w:t>
      </w:r>
      <w:r>
        <w:rPr>
          <w:szCs w:val="28"/>
        </w:rPr>
        <w:t>;</w:t>
      </w:r>
    </w:p>
    <w:p w:rsidR="00471153" w:rsidRDefault="00471153" w:rsidP="00A502EF">
      <w:pPr>
        <w:widowControl w:val="0"/>
        <w:ind w:firstLine="708"/>
        <w:rPr>
          <w:szCs w:val="28"/>
        </w:rPr>
      </w:pPr>
      <w:r>
        <w:rPr>
          <w:szCs w:val="28"/>
        </w:rPr>
        <w:t>-</w:t>
      </w:r>
      <w:r w:rsidR="006A6BF7">
        <w:rPr>
          <w:szCs w:val="28"/>
        </w:rPr>
        <w:t xml:space="preserve"> </w:t>
      </w:r>
      <w:r w:rsidR="006A6BF7" w:rsidRPr="006A6BF7">
        <w:rPr>
          <w:i/>
          <w:szCs w:val="28"/>
        </w:rPr>
        <w:t>с</w:t>
      </w:r>
      <w:r w:rsidR="0066107B" w:rsidRPr="006A6BF7">
        <w:rPr>
          <w:i/>
          <w:szCs w:val="28"/>
        </w:rPr>
        <w:t>оціальні:</w:t>
      </w:r>
      <w:r w:rsidR="0066107B" w:rsidRPr="001A5B85">
        <w:rPr>
          <w:szCs w:val="28"/>
        </w:rPr>
        <w:t xml:space="preserve"> </w:t>
      </w:r>
      <w:r w:rsidR="006A6BF7">
        <w:rPr>
          <w:rFonts w:eastAsia="Times New Roman"/>
          <w:szCs w:val="28"/>
        </w:rPr>
        <w:t>(з</w:t>
      </w:r>
      <w:r w:rsidR="0066107B" w:rsidRPr="001A5B85">
        <w:rPr>
          <w:szCs w:val="28"/>
        </w:rPr>
        <w:t>меншення витрат родини при отриманні медичних послуг</w:t>
      </w:r>
      <w:r w:rsidR="006A6BF7">
        <w:rPr>
          <w:szCs w:val="28"/>
        </w:rPr>
        <w:t>,</w:t>
      </w:r>
      <w:r w:rsidR="006A6BF7">
        <w:rPr>
          <w:rFonts w:eastAsia="Times New Roman"/>
          <w:szCs w:val="28"/>
        </w:rPr>
        <w:t xml:space="preserve"> </w:t>
      </w:r>
      <w:r w:rsidR="006A6BF7">
        <w:rPr>
          <w:szCs w:val="28"/>
        </w:rPr>
        <w:t>з</w:t>
      </w:r>
      <w:r w:rsidR="0066107B" w:rsidRPr="001A5B85">
        <w:rPr>
          <w:szCs w:val="28"/>
        </w:rPr>
        <w:t>адоволеність родини якістю надання медичної допомоги</w:t>
      </w:r>
      <w:r w:rsidR="006A6BF7">
        <w:rPr>
          <w:rFonts w:eastAsia="Times New Roman"/>
          <w:szCs w:val="28"/>
        </w:rPr>
        <w:t>, д</w:t>
      </w:r>
      <w:r w:rsidR="0066107B" w:rsidRPr="006A6BF7">
        <w:rPr>
          <w:szCs w:val="28"/>
        </w:rPr>
        <w:t>опомога</w:t>
      </w:r>
      <w:r w:rsidR="0066107B" w:rsidRPr="001A5B85">
        <w:rPr>
          <w:szCs w:val="28"/>
        </w:rPr>
        <w:t xml:space="preserve"> дітям з особливим</w:t>
      </w:r>
      <w:r w:rsidR="0066107B" w:rsidRPr="006A6BF7">
        <w:rPr>
          <w:szCs w:val="28"/>
        </w:rPr>
        <w:t>и</w:t>
      </w:r>
      <w:r w:rsidR="0066107B" w:rsidRPr="001A5B85">
        <w:rPr>
          <w:szCs w:val="28"/>
        </w:rPr>
        <w:t xml:space="preserve"> потребами</w:t>
      </w:r>
      <w:r w:rsidR="006A6BF7">
        <w:rPr>
          <w:rFonts w:eastAsia="Times New Roman"/>
          <w:szCs w:val="28"/>
        </w:rPr>
        <w:t xml:space="preserve">, </w:t>
      </w:r>
      <w:r w:rsidR="006A6BF7">
        <w:rPr>
          <w:szCs w:val="28"/>
        </w:rPr>
        <w:t>п</w:t>
      </w:r>
      <w:r w:rsidR="0066107B" w:rsidRPr="001A5B85">
        <w:rPr>
          <w:szCs w:val="28"/>
        </w:rPr>
        <w:t>о</w:t>
      </w:r>
      <w:r w:rsidR="006A6BF7">
        <w:rPr>
          <w:szCs w:val="28"/>
        </w:rPr>
        <w:t>кращення демографічної ситуації)</w:t>
      </w:r>
      <w:r>
        <w:rPr>
          <w:szCs w:val="28"/>
        </w:rPr>
        <w:t>;</w:t>
      </w:r>
      <w:r w:rsidR="006A6BF7">
        <w:rPr>
          <w:szCs w:val="28"/>
        </w:rPr>
        <w:t xml:space="preserve"> </w:t>
      </w:r>
    </w:p>
    <w:p w:rsidR="00EC25E9" w:rsidRPr="000C7594" w:rsidRDefault="00471153" w:rsidP="000C7594">
      <w:pPr>
        <w:widowControl w:val="0"/>
        <w:ind w:firstLine="708"/>
        <w:rPr>
          <w:rFonts w:eastAsia="Times New Roman"/>
          <w:szCs w:val="28"/>
        </w:rPr>
      </w:pPr>
      <w:r>
        <w:rPr>
          <w:szCs w:val="28"/>
        </w:rPr>
        <w:t xml:space="preserve">- </w:t>
      </w:r>
      <w:r w:rsidR="0029718D" w:rsidRPr="00471153">
        <w:rPr>
          <w:i/>
          <w:szCs w:val="28"/>
        </w:rPr>
        <w:t>е</w:t>
      </w:r>
      <w:r w:rsidR="00A502EF" w:rsidRPr="00471153">
        <w:rPr>
          <w:i/>
          <w:szCs w:val="28"/>
        </w:rPr>
        <w:t>кономічні</w:t>
      </w:r>
      <w:r w:rsidR="00A502EF">
        <w:rPr>
          <w:rFonts w:eastAsia="Times New Roman"/>
          <w:szCs w:val="28"/>
        </w:rPr>
        <w:t xml:space="preserve"> (наявність </w:t>
      </w:r>
      <w:r w:rsidR="00A502EF">
        <w:rPr>
          <w:szCs w:val="28"/>
        </w:rPr>
        <w:t>інформації</w:t>
      </w:r>
      <w:r w:rsidR="0066107B" w:rsidRPr="001A5B85">
        <w:rPr>
          <w:szCs w:val="28"/>
        </w:rPr>
        <w:t xml:space="preserve"> щодо реальної вартості та кількості наданих медичних послуг дитячому населенню</w:t>
      </w:r>
      <w:r w:rsidR="00A502EF">
        <w:rPr>
          <w:rFonts w:eastAsia="Times New Roman"/>
          <w:szCs w:val="28"/>
        </w:rPr>
        <w:t xml:space="preserve">, </w:t>
      </w:r>
      <w:r w:rsidR="00A502EF">
        <w:rPr>
          <w:szCs w:val="28"/>
        </w:rPr>
        <w:t>н</w:t>
      </w:r>
      <w:r w:rsidR="0066107B" w:rsidRPr="001A5B85">
        <w:rPr>
          <w:szCs w:val="28"/>
        </w:rPr>
        <w:t>аближення до повного фінансового забезпечення реальної в</w:t>
      </w:r>
      <w:r w:rsidR="00A502EF">
        <w:rPr>
          <w:szCs w:val="28"/>
        </w:rPr>
        <w:t>артості послуг, с</w:t>
      </w:r>
      <w:r w:rsidR="0066107B" w:rsidRPr="001A5B85">
        <w:rPr>
          <w:szCs w:val="28"/>
        </w:rPr>
        <w:t>корочення фінансування недоцільних та невідповідних галузевим стандартам медичних послуг</w:t>
      </w:r>
      <w:r w:rsidR="00A502EF">
        <w:rPr>
          <w:szCs w:val="28"/>
        </w:rPr>
        <w:t>).</w:t>
      </w:r>
      <w:r w:rsidR="0066107B" w:rsidRPr="001A5B85">
        <w:rPr>
          <w:szCs w:val="28"/>
        </w:rPr>
        <w:t xml:space="preserve">  </w:t>
      </w:r>
    </w:p>
    <w:p w:rsidR="001E56A0" w:rsidRPr="000C7594" w:rsidRDefault="00A23113" w:rsidP="000C7594">
      <w:pPr>
        <w:widowControl w:val="0"/>
        <w:spacing w:before="240" w:after="240"/>
        <w:ind w:left="709"/>
        <w:rPr>
          <w:rFonts w:eastAsia="Times New Roman"/>
          <w:b/>
          <w:szCs w:val="28"/>
          <w:lang w:val="ru-RU"/>
        </w:rPr>
      </w:pPr>
      <w:r>
        <w:rPr>
          <w:rFonts w:eastAsia="Times New Roman"/>
          <w:b/>
          <w:szCs w:val="28"/>
        </w:rPr>
        <w:t xml:space="preserve">8.4. </w:t>
      </w:r>
      <w:r w:rsidR="002A30C8" w:rsidRPr="00A23113">
        <w:rPr>
          <w:rFonts w:eastAsia="Times New Roman"/>
          <w:b/>
          <w:szCs w:val="28"/>
        </w:rPr>
        <w:t xml:space="preserve">Ефективність впровадження інноваційних елементів системи на </w:t>
      </w:r>
      <w:r w:rsidR="001E56A0" w:rsidRPr="00A23113">
        <w:rPr>
          <w:rFonts w:eastAsia="Times New Roman"/>
          <w:b/>
          <w:szCs w:val="28"/>
        </w:rPr>
        <w:t>національному рівні</w:t>
      </w:r>
    </w:p>
    <w:p w:rsidR="002A30C8" w:rsidRPr="00006A39" w:rsidRDefault="002A30C8" w:rsidP="00721203">
      <w:pPr>
        <w:widowControl w:val="0"/>
        <w:ind w:firstLine="709"/>
        <w:rPr>
          <w:rFonts w:eastAsia="Times New Roman"/>
          <w:szCs w:val="28"/>
        </w:rPr>
      </w:pPr>
      <w:r w:rsidRPr="00006A39">
        <w:rPr>
          <w:rFonts w:eastAsia="Times New Roman"/>
          <w:szCs w:val="28"/>
        </w:rPr>
        <w:t xml:space="preserve">Одним із інноваційних елементів запропонованої системи є запровадження електронної системи </w:t>
      </w:r>
      <w:r w:rsidR="00BF2706">
        <w:rPr>
          <w:rFonts w:eastAsia="Times New Roman"/>
          <w:szCs w:val="28"/>
        </w:rPr>
        <w:t xml:space="preserve">охорони </w:t>
      </w:r>
      <w:r w:rsidRPr="00006A39">
        <w:rPr>
          <w:rFonts w:eastAsia="Times New Roman"/>
          <w:szCs w:val="28"/>
        </w:rPr>
        <w:t>здоров’я</w:t>
      </w:r>
      <w:r w:rsidR="00BF2706">
        <w:rPr>
          <w:rFonts w:eastAsia="Times New Roman"/>
          <w:szCs w:val="28"/>
        </w:rPr>
        <w:t xml:space="preserve"> (ЕСОЗ)</w:t>
      </w:r>
      <w:r w:rsidRPr="00006A39">
        <w:rPr>
          <w:rFonts w:eastAsia="Times New Roman"/>
          <w:szCs w:val="28"/>
        </w:rPr>
        <w:t xml:space="preserve">, яка розширює можливості оцінювання дійсної ситуації </w:t>
      </w:r>
      <w:r w:rsidR="001E56A0" w:rsidRPr="00006A39">
        <w:rPr>
          <w:rFonts w:eastAsia="Times New Roman"/>
          <w:szCs w:val="28"/>
        </w:rPr>
        <w:t xml:space="preserve">в </w:t>
      </w:r>
      <w:r w:rsidR="006F2C3E" w:rsidRPr="00006A39">
        <w:rPr>
          <w:rFonts w:eastAsia="Times New Roman"/>
          <w:szCs w:val="28"/>
        </w:rPr>
        <w:t>Україні</w:t>
      </w:r>
      <w:r w:rsidR="001E56A0" w:rsidRPr="00006A39">
        <w:rPr>
          <w:rFonts w:eastAsia="Times New Roman"/>
          <w:szCs w:val="28"/>
        </w:rPr>
        <w:t xml:space="preserve"> </w:t>
      </w:r>
      <w:r w:rsidRPr="00006A39">
        <w:rPr>
          <w:rFonts w:eastAsia="Times New Roman"/>
          <w:szCs w:val="28"/>
        </w:rPr>
        <w:t>за показниками захворюваності та смертності за усіма кодами МКХ-10, у тому числі й дітей віком до 5 років, аналізу якості надання медичної допомоги, а також ефективного використання ресурсів.</w:t>
      </w:r>
    </w:p>
    <w:p w:rsidR="001E56A0" w:rsidRPr="00006A39" w:rsidRDefault="001E56A0" w:rsidP="00721203">
      <w:pPr>
        <w:widowControl w:val="0"/>
        <w:ind w:firstLine="709"/>
      </w:pPr>
      <w:r w:rsidRPr="007C045D">
        <w:t>Якість</w:t>
      </w:r>
      <w:r w:rsidRPr="00006A39">
        <w:t xml:space="preserve"> надання медичної допомоги – це обслуговування, при якому ресурси організ</w:t>
      </w:r>
      <w:r w:rsidR="006F2C3E">
        <w:t>ов</w:t>
      </w:r>
      <w:r w:rsidRPr="00006A39">
        <w:t xml:space="preserve">уються таким чином, щоб </w:t>
      </w:r>
      <w:r w:rsidR="00D5180E">
        <w:t>і</w:t>
      </w:r>
      <w:r w:rsidRPr="00006A39">
        <w:t>з максимальною ефективністю і безпечністю задовольняти медико-санітарні потреби тих, хто найбільш</w:t>
      </w:r>
      <w:r w:rsidR="005A05F2">
        <w:t>е</w:t>
      </w:r>
      <w:r w:rsidRPr="00006A39">
        <w:t xml:space="preserve"> потребує допомоги, проводити профілак</w:t>
      </w:r>
      <w:r w:rsidR="005A05F2">
        <w:t>тику і лікування без непотрібних</w:t>
      </w:r>
      <w:r w:rsidRPr="00006A39">
        <w:t xml:space="preserve"> витрат і відповідно до вимог найвищого рівня.</w:t>
      </w:r>
    </w:p>
    <w:p w:rsidR="002A30C8" w:rsidRPr="00006A39" w:rsidRDefault="002A30C8" w:rsidP="00721203">
      <w:pPr>
        <w:widowControl w:val="0"/>
        <w:ind w:firstLine="709"/>
        <w:rPr>
          <w:rFonts w:eastAsia="Times New Roman"/>
          <w:szCs w:val="28"/>
        </w:rPr>
      </w:pPr>
      <w:r w:rsidRPr="00006A39">
        <w:rPr>
          <w:rFonts w:eastAsia="Times New Roman"/>
          <w:szCs w:val="28"/>
        </w:rPr>
        <w:t xml:space="preserve">Нами розроблено методологію та матрицю оцінювання якості на </w:t>
      </w:r>
      <w:r w:rsidRPr="00006A39">
        <w:rPr>
          <w:rFonts w:eastAsia="Times New Roman"/>
          <w:szCs w:val="28"/>
        </w:rPr>
        <w:lastRenderedPageBreak/>
        <w:t>національному рівні.</w:t>
      </w:r>
    </w:p>
    <w:p w:rsidR="0052072E" w:rsidRPr="00006A39" w:rsidRDefault="0052072E" w:rsidP="00721203">
      <w:pPr>
        <w:widowControl w:val="0"/>
        <w:ind w:firstLine="708"/>
      </w:pPr>
      <w:r w:rsidRPr="00006A39">
        <w:t xml:space="preserve">За час існування науки – якості надання медичної допомоги – відбулися зміни в деяких </w:t>
      </w:r>
      <w:r w:rsidR="001E56A0" w:rsidRPr="00006A39">
        <w:t xml:space="preserve">її </w:t>
      </w:r>
      <w:r w:rsidRPr="00006A39">
        <w:t>парадигмах, зокрема оцінювання якості змінилося на управління якістю</w:t>
      </w:r>
      <w:r w:rsidR="001E56A0" w:rsidRPr="00006A39">
        <w:t xml:space="preserve"> надання медичної допомоги, а</w:t>
      </w:r>
      <w:r w:rsidRPr="00006A39">
        <w:t xml:space="preserve"> оцінювання якості на рівні окремого закладу змінилось на інтегроване управління якістю надання медичної допомоги</w:t>
      </w:r>
      <w:r w:rsidR="001E56A0" w:rsidRPr="00006A39">
        <w:t>, акцентуючи тим самим на важливості саме мультиагенційного підходу до управління якістю.</w:t>
      </w:r>
    </w:p>
    <w:p w:rsidR="0052072E" w:rsidRPr="00006A39" w:rsidRDefault="0052072E" w:rsidP="00721203">
      <w:pPr>
        <w:pStyle w:val="a5"/>
        <w:widowControl w:val="0"/>
        <w:ind w:left="0" w:firstLine="720"/>
      </w:pPr>
      <w:r w:rsidRPr="00006A39">
        <w:t xml:space="preserve">На основі сучасних наукових досліджень щодо інтегрованого підходу </w:t>
      </w:r>
      <w:r w:rsidR="001E56A0" w:rsidRPr="00006A39">
        <w:t>нами</w:t>
      </w:r>
      <w:r w:rsidRPr="00006A39">
        <w:t xml:space="preserve"> запропоновано матрицю інтегрованого управління якістю надання медичної допомоги на національному рівні (табл.</w:t>
      </w:r>
      <w:r w:rsidR="00336F89">
        <w:t xml:space="preserve"> </w:t>
      </w:r>
      <w:r w:rsidR="00A27F15">
        <w:t>8.1</w:t>
      </w:r>
      <w:r w:rsidRPr="00006A39">
        <w:t>). Дані, що представлені в цій таблиці, свідчать, що оцінювання відповідності наданих медичних послуг існуючим протоколам є досить малою складовою у загальній парадигмі управління якістю надання медичної допомоги.</w:t>
      </w:r>
    </w:p>
    <w:p w:rsidR="0052072E" w:rsidRPr="00006A39" w:rsidRDefault="001E56A0" w:rsidP="00721203">
      <w:pPr>
        <w:pStyle w:val="a5"/>
        <w:widowControl w:val="0"/>
        <w:ind w:left="0" w:firstLine="720"/>
      </w:pPr>
      <w:r w:rsidRPr="00006A39">
        <w:t>Проте, в</w:t>
      </w:r>
      <w:r w:rsidR="0052072E" w:rsidRPr="00006A39">
        <w:t xml:space="preserve"> Україні для проведення такого оцінювання існують певні ризики:</w:t>
      </w:r>
    </w:p>
    <w:p w:rsidR="0052072E" w:rsidRPr="00006A39" w:rsidRDefault="00431E3A" w:rsidP="0074719A">
      <w:pPr>
        <w:pStyle w:val="a5"/>
        <w:widowControl w:val="0"/>
        <w:numPr>
          <w:ilvl w:val="0"/>
          <w:numId w:val="23"/>
        </w:numPr>
        <w:spacing w:after="160"/>
      </w:pPr>
      <w:r>
        <w:rPr>
          <w:i/>
        </w:rPr>
        <w:t>і</w:t>
      </w:r>
      <w:r w:rsidR="0052072E" w:rsidRPr="00006A39">
        <w:rPr>
          <w:i/>
        </w:rPr>
        <w:t>нфраструктурного</w:t>
      </w:r>
      <w:r w:rsidR="0052072E" w:rsidRPr="00006A39">
        <w:t xml:space="preserve"> характеру, оскільки саме зараз відбувається оптимізація мережі закладів;</w:t>
      </w:r>
    </w:p>
    <w:p w:rsidR="0052072E" w:rsidRPr="00006A39" w:rsidRDefault="0052072E" w:rsidP="0074719A">
      <w:pPr>
        <w:pStyle w:val="a5"/>
        <w:widowControl w:val="0"/>
        <w:numPr>
          <w:ilvl w:val="0"/>
          <w:numId w:val="23"/>
        </w:numPr>
        <w:spacing w:after="160"/>
      </w:pPr>
      <w:r w:rsidRPr="00006A39">
        <w:rPr>
          <w:i/>
        </w:rPr>
        <w:t>ресурсного характеру</w:t>
      </w:r>
      <w:r w:rsidRPr="00006A39">
        <w:t xml:space="preserve">, оскільки, по-перше, в країні не проводився технічний аудит, тому кількість та спектр наявного обладнання невідомий і сучасні лікувально-діагностичні технології не впроваджені внаслідок відсутності відповідного обладнання. По-друге, в країні відмічене значний дефіцит кадрів, особливо середнього медичного персоналу. Багатьма науковими дослідженнями доведено зв’язок між кадровим забезпеченням та низькою якістю надання медичної </w:t>
      </w:r>
      <w:r w:rsidRPr="00FA680C">
        <w:t>допомоги</w:t>
      </w:r>
      <w:r w:rsidR="001E56A0" w:rsidRPr="00FA680C">
        <w:t xml:space="preserve"> </w:t>
      </w:r>
      <w:r w:rsidR="001E56A0" w:rsidRPr="00FA680C">
        <w:rPr>
          <w:color w:val="000000" w:themeColor="text1"/>
        </w:rPr>
        <w:t>[</w:t>
      </w:r>
      <w:r w:rsidR="00147534">
        <w:t>18</w:t>
      </w:r>
      <w:r w:rsidR="00677B51" w:rsidRPr="0047471C">
        <w:t>, 28,</w:t>
      </w:r>
      <w:r w:rsidR="00147534">
        <w:t xml:space="preserve"> 40,</w:t>
      </w:r>
      <w:r w:rsidR="00677B51" w:rsidRPr="0047471C">
        <w:t xml:space="preserve"> 320</w:t>
      </w:r>
      <w:r w:rsidR="001E56A0" w:rsidRPr="00FA680C">
        <w:rPr>
          <w:color w:val="000000" w:themeColor="text1"/>
        </w:rPr>
        <w:t>]</w:t>
      </w:r>
      <w:r w:rsidRPr="00FA680C">
        <w:t>. По-третє</w:t>
      </w:r>
      <w:r w:rsidRPr="00006A39">
        <w:t xml:space="preserve">, в країні тільки запроваджується ЕСОЗ, </w:t>
      </w:r>
      <w:r w:rsidR="00D9724A" w:rsidRPr="00006A39">
        <w:t xml:space="preserve">і не всі робочі місця медичного персоналу забезпечені </w:t>
      </w:r>
      <w:r w:rsidR="006F2C3E" w:rsidRPr="00006A39">
        <w:t>комп’ютерами</w:t>
      </w:r>
      <w:r w:rsidR="00D9724A" w:rsidRPr="00006A39">
        <w:t xml:space="preserve"> та доступом до Інтернет</w:t>
      </w:r>
      <w:r w:rsidR="00667738">
        <w:t>;</w:t>
      </w:r>
    </w:p>
    <w:p w:rsidR="0052072E" w:rsidRPr="00006A39" w:rsidRDefault="0052072E" w:rsidP="0074719A">
      <w:pPr>
        <w:pStyle w:val="a5"/>
        <w:widowControl w:val="0"/>
        <w:numPr>
          <w:ilvl w:val="0"/>
          <w:numId w:val="23"/>
        </w:numPr>
        <w:spacing w:after="160"/>
      </w:pPr>
      <w:r w:rsidRPr="00006A39">
        <w:rPr>
          <w:i/>
        </w:rPr>
        <w:t>процесного характеру</w:t>
      </w:r>
      <w:r w:rsidRPr="00006A39">
        <w:t xml:space="preserve">, оскільки наявні протоколи, стандарти за більшістю нозологій є застарілими і не відповідають сучасним доказовим технологіям. Розробка та запровадження нових буде вимагати певного часу. На сьогодні відсутні алгоритми оцінювання відповідності наданих медичних послуг наявним протоколам, зокрема в скількох історіях хвороб і за якими </w:t>
      </w:r>
      <w:r w:rsidRPr="00006A39">
        <w:lastRenderedPageBreak/>
        <w:t xml:space="preserve">нозологіями потрібно винайти порушення, в яких аспектах надання медичної допомоги (лікувальних, діагностичних, часових, кадрових тощо), скількома спеціалістами приймається рішення щодо невідповідності наданих медичних послуг. Протоколи та стандарти розробляє МОЗ, тому саме </w:t>
      </w:r>
      <w:r w:rsidR="00D9724A" w:rsidRPr="00006A39">
        <w:t xml:space="preserve">оцінювання якості надання медичної допомоги з точки зору відповідності наданих послуг діючим стандартом повинно стати опцією </w:t>
      </w:r>
      <w:r w:rsidR="00507675">
        <w:t>МОЗ;</w:t>
      </w:r>
      <w:r w:rsidRPr="00006A39">
        <w:t xml:space="preserve"> </w:t>
      </w:r>
    </w:p>
    <w:p w:rsidR="0052072E" w:rsidRPr="00006A39" w:rsidRDefault="0052072E" w:rsidP="0074719A">
      <w:pPr>
        <w:pStyle w:val="a5"/>
        <w:widowControl w:val="0"/>
        <w:numPr>
          <w:ilvl w:val="0"/>
          <w:numId w:val="23"/>
        </w:numPr>
        <w:spacing w:after="160"/>
      </w:pPr>
      <w:r w:rsidRPr="00006A39">
        <w:rPr>
          <w:i/>
        </w:rPr>
        <w:t>ризики, що пов’язані з наслідками</w:t>
      </w:r>
      <w:r w:rsidRPr="00006A39">
        <w:t>, оскільки система кодування діагнозів та інтервенцій тільки запроваджується в Україні, тому існують ризики щодо достовірності введених даних, що зумовлено ймовірними помилками клінічного характеру (недостатнє володіння принципами кодування), технічного характеру (низький рівень забезпечення робочих місць комп’ютерами та недостатні навички роботи на комп’ютерах) та психологічного характеру (небажання лікарів вводить правильні коректні дані про пацієнта).</w:t>
      </w:r>
    </w:p>
    <w:p w:rsidR="00D9724A" w:rsidRPr="00006A39" w:rsidRDefault="00D9724A" w:rsidP="00721203">
      <w:pPr>
        <w:widowControl w:val="0"/>
        <w:ind w:firstLine="708"/>
      </w:pPr>
      <w:r w:rsidRPr="00006A39">
        <w:t>Отже функції НСЗУ та МОЗ щодо оцінювання якості надання медичної допомоги є різними, але мета та завдання повинні бути спільними, спрямовані у т.ч. на зниження смертності дітей.</w:t>
      </w:r>
    </w:p>
    <w:p w:rsidR="009E490D" w:rsidRDefault="00D9724A" w:rsidP="009E490D">
      <w:pPr>
        <w:widowControl w:val="0"/>
        <w:ind w:firstLine="708"/>
      </w:pPr>
      <w:r w:rsidRPr="00006A39">
        <w:t xml:space="preserve">Важливим кроком у зниженні смертності </w:t>
      </w:r>
      <w:r w:rsidR="00DC161C" w:rsidRPr="00006A39">
        <w:t>дітей віком</w:t>
      </w:r>
      <w:r w:rsidR="003C3C3A">
        <w:rPr>
          <w:lang w:val="ru-RU"/>
        </w:rPr>
        <w:t xml:space="preserve"> до 5 років життя</w:t>
      </w:r>
      <w:r w:rsidR="00DC161C" w:rsidRPr="00006A39">
        <w:t xml:space="preserve"> </w:t>
      </w:r>
      <w:r w:rsidRPr="00006A39">
        <w:t xml:space="preserve">є визначення пріоритетними саме пакетів </w:t>
      </w:r>
      <w:r w:rsidR="009E490D">
        <w:t xml:space="preserve">медичних послуг </w:t>
      </w:r>
      <w:r w:rsidRPr="00006A39">
        <w:t>«Медична допомога при</w:t>
      </w:r>
      <w:r w:rsidR="007617A7">
        <w:t xml:space="preserve"> пологах» та «Медична допомога у</w:t>
      </w:r>
      <w:r w:rsidRPr="00006A39">
        <w:t xml:space="preserve"> складних неонатальних</w:t>
      </w:r>
      <w:r w:rsidR="009E490D">
        <w:t xml:space="preserve"> випадках», оплата в рамках вищезазначених пакетів</w:t>
      </w:r>
      <w:r w:rsidRPr="00006A39">
        <w:t xml:space="preserve"> відбув</w:t>
      </w:r>
      <w:r w:rsidR="00F531E6">
        <w:t>ається за пролікований випадок.</w:t>
      </w:r>
      <w:r w:rsidR="00F531E6">
        <w:rPr>
          <w:lang w:val="ru-RU"/>
        </w:rPr>
        <w:t xml:space="preserve"> </w:t>
      </w:r>
      <w:r w:rsidR="00DC161C" w:rsidRPr="00006A39">
        <w:t xml:space="preserve">Також важливим, з точки зору кращого спостереження за передчасно народженими дітьми та дітьми, які </w:t>
      </w:r>
      <w:r w:rsidR="009F0BF0">
        <w:t xml:space="preserve"> </w:t>
      </w:r>
      <w:r w:rsidR="00DC161C" w:rsidRPr="00006A39">
        <w:t>народ</w:t>
      </w:r>
      <w:r w:rsidR="009E490D">
        <w:t>ились хворими,</w:t>
      </w:r>
      <w:r w:rsidR="009F0BF0">
        <w:t xml:space="preserve"> </w:t>
      </w:r>
      <w:r w:rsidR="009E490D">
        <w:t xml:space="preserve"> є</w:t>
      </w:r>
      <w:r w:rsidR="009F0BF0">
        <w:t xml:space="preserve"> </w:t>
      </w:r>
      <w:r w:rsidR="009E490D">
        <w:t xml:space="preserve"> включення </w:t>
      </w:r>
      <w:r w:rsidR="009F0BF0">
        <w:t xml:space="preserve"> </w:t>
      </w:r>
      <w:r w:rsidR="009E490D">
        <w:t xml:space="preserve">у </w:t>
      </w:r>
      <w:r w:rsidR="009F0BF0">
        <w:t xml:space="preserve"> </w:t>
      </w:r>
      <w:r w:rsidR="009E490D">
        <w:t xml:space="preserve">програму </w:t>
      </w:r>
      <w:r w:rsidR="009F0BF0">
        <w:t xml:space="preserve"> </w:t>
      </w:r>
      <w:r w:rsidR="009E490D">
        <w:t>медичних</w:t>
      </w:r>
      <w:r w:rsidR="009F0BF0">
        <w:t xml:space="preserve"> </w:t>
      </w:r>
      <w:r w:rsidR="009E490D">
        <w:t xml:space="preserve"> гарантій</w:t>
      </w:r>
      <w:r w:rsidR="00DC161C" w:rsidRPr="00006A39">
        <w:t xml:space="preserve"> </w:t>
      </w:r>
    </w:p>
    <w:p w:rsidR="00B03A3A" w:rsidRDefault="00B03A3A" w:rsidP="00B03A3A">
      <w:pPr>
        <w:widowControl w:val="0"/>
      </w:pPr>
      <w:r w:rsidRPr="00006A39">
        <w:t>пакету «Медична реабілітація дітям, які народились передчасно або хворими» та включення в неонатальний пакет опції щодо катамнестичного спостереження за дітьми.</w:t>
      </w:r>
      <w:r>
        <w:t xml:space="preserve"> </w:t>
      </w:r>
      <w:r>
        <w:rPr>
          <w:lang w:val="ru-RU"/>
        </w:rPr>
        <w:t xml:space="preserve"> </w:t>
      </w:r>
      <w:r w:rsidR="00B47F3C">
        <w:t>Нам</w:t>
      </w:r>
      <w:r w:rsidR="00B47F3C">
        <w:rPr>
          <w:lang w:val="ru-RU"/>
        </w:rPr>
        <w:t>и</w:t>
      </w:r>
      <w:r>
        <w:t xml:space="preserve"> </w:t>
      </w:r>
      <w:r>
        <w:rPr>
          <w:lang w:val="ru-RU"/>
        </w:rPr>
        <w:t xml:space="preserve"> </w:t>
      </w:r>
      <w:r>
        <w:t xml:space="preserve">досліджено </w:t>
      </w:r>
      <w:r>
        <w:rPr>
          <w:lang w:val="ru-RU"/>
        </w:rPr>
        <w:t xml:space="preserve"> </w:t>
      </w:r>
      <w:r w:rsidRPr="00544280">
        <w:t xml:space="preserve">дані </w:t>
      </w:r>
      <w:r>
        <w:rPr>
          <w:lang w:val="ru-RU"/>
        </w:rPr>
        <w:t xml:space="preserve"> </w:t>
      </w:r>
      <w:r w:rsidRPr="00544280">
        <w:t>ЕСОЗ</w:t>
      </w:r>
      <w:r>
        <w:rPr>
          <w:lang w:val="ru-RU"/>
        </w:rPr>
        <w:t xml:space="preserve"> </w:t>
      </w:r>
      <w:r w:rsidRPr="00544280">
        <w:t xml:space="preserve"> щодо</w:t>
      </w:r>
      <w:r>
        <w:rPr>
          <w:lang w:val="ru-RU"/>
        </w:rPr>
        <w:t xml:space="preserve"> </w:t>
      </w:r>
      <w:r w:rsidRPr="00544280">
        <w:t xml:space="preserve"> медичних </w:t>
      </w:r>
      <w:r>
        <w:rPr>
          <w:lang w:val="ru-RU"/>
        </w:rPr>
        <w:t xml:space="preserve"> </w:t>
      </w:r>
      <w:r w:rsidRPr="00544280">
        <w:t>епізодів</w:t>
      </w:r>
      <w:r>
        <w:rPr>
          <w:lang w:val="ru-RU"/>
        </w:rPr>
        <w:t xml:space="preserve"> </w:t>
      </w:r>
      <w:r w:rsidRPr="00544280">
        <w:t xml:space="preserve"> в </w:t>
      </w:r>
      <w:r>
        <w:rPr>
          <w:lang w:val="ru-RU"/>
        </w:rPr>
        <w:t xml:space="preserve"> </w:t>
      </w:r>
      <w:r w:rsidRPr="00544280">
        <w:t xml:space="preserve">рамках </w:t>
      </w:r>
      <w:r>
        <w:rPr>
          <w:lang w:val="ru-RU"/>
        </w:rPr>
        <w:t xml:space="preserve">    </w:t>
      </w:r>
      <w:r w:rsidRPr="00544280">
        <w:t>пакетів</w:t>
      </w:r>
      <w:r>
        <w:rPr>
          <w:lang w:val="ru-RU"/>
        </w:rPr>
        <w:t xml:space="preserve">  </w:t>
      </w:r>
      <w:r w:rsidRPr="00544280">
        <w:t xml:space="preserve"> «Медична</w:t>
      </w:r>
      <w:r>
        <w:rPr>
          <w:lang w:val="ru-RU"/>
        </w:rPr>
        <w:t xml:space="preserve"> </w:t>
      </w:r>
      <w:r w:rsidRPr="00544280">
        <w:t xml:space="preserve"> </w:t>
      </w:r>
      <w:r>
        <w:rPr>
          <w:lang w:val="ru-RU"/>
        </w:rPr>
        <w:t xml:space="preserve"> </w:t>
      </w:r>
      <w:r w:rsidRPr="00544280">
        <w:t>допомога</w:t>
      </w:r>
      <w:r>
        <w:rPr>
          <w:lang w:val="ru-RU"/>
        </w:rPr>
        <w:t xml:space="preserve">  </w:t>
      </w:r>
      <w:r w:rsidRPr="00544280">
        <w:t xml:space="preserve"> при</w:t>
      </w:r>
      <w:r>
        <w:rPr>
          <w:lang w:val="ru-RU"/>
        </w:rPr>
        <w:t xml:space="preserve">  </w:t>
      </w:r>
      <w:r w:rsidRPr="00544280">
        <w:t xml:space="preserve"> пологах» </w:t>
      </w:r>
      <w:r>
        <w:rPr>
          <w:lang w:val="ru-RU"/>
        </w:rPr>
        <w:t xml:space="preserve"> </w:t>
      </w:r>
      <w:r w:rsidRPr="00544280">
        <w:t xml:space="preserve">(n=150 001) </w:t>
      </w:r>
      <w:r>
        <w:rPr>
          <w:lang w:val="ru-RU"/>
        </w:rPr>
        <w:t xml:space="preserve"> </w:t>
      </w:r>
      <w:r w:rsidRPr="00544280">
        <w:t xml:space="preserve">та </w:t>
      </w:r>
      <w:r>
        <w:rPr>
          <w:lang w:val="ru-RU"/>
        </w:rPr>
        <w:t xml:space="preserve"> </w:t>
      </w:r>
      <w:r w:rsidRPr="00544280">
        <w:t>«Медична</w:t>
      </w:r>
      <w:r>
        <w:rPr>
          <w:lang w:val="ru-RU"/>
        </w:rPr>
        <w:t xml:space="preserve"> </w:t>
      </w:r>
      <w:r w:rsidRPr="00544280">
        <w:t xml:space="preserve"> </w:t>
      </w:r>
      <w:r>
        <w:rPr>
          <w:lang w:val="ru-RU"/>
        </w:rPr>
        <w:t xml:space="preserve"> </w:t>
      </w:r>
      <w:r w:rsidRPr="00544280">
        <w:t xml:space="preserve">допомога </w:t>
      </w:r>
    </w:p>
    <w:p w:rsidR="00316313" w:rsidRPr="00316313" w:rsidRDefault="00316313" w:rsidP="00B03A3A">
      <w:pPr>
        <w:widowControl w:val="0"/>
      </w:pPr>
    </w:p>
    <w:p w:rsidR="009E490D" w:rsidRPr="00006A39" w:rsidRDefault="009E490D" w:rsidP="00721203">
      <w:pPr>
        <w:widowControl w:val="0"/>
        <w:ind w:firstLine="708"/>
        <w:sectPr w:rsidR="009E490D" w:rsidRPr="00006A39" w:rsidSect="00E242B0">
          <w:pgSz w:w="11906" w:h="16838"/>
          <w:pgMar w:top="1134" w:right="567" w:bottom="1134" w:left="1134" w:header="709" w:footer="709" w:gutter="0"/>
          <w:cols w:space="708"/>
          <w:docGrid w:linePitch="360"/>
        </w:sectPr>
      </w:pPr>
    </w:p>
    <w:p w:rsidR="00185C32" w:rsidRPr="00185C32" w:rsidRDefault="00185C32" w:rsidP="00E17B62">
      <w:pPr>
        <w:pageBreakBefore/>
        <w:widowControl w:val="0"/>
        <w:tabs>
          <w:tab w:val="left" w:pos="13214"/>
        </w:tabs>
        <w:jc w:val="left"/>
        <w:rPr>
          <w:i/>
          <w:lang w:val="ru-RU"/>
        </w:rPr>
      </w:pPr>
      <w:r w:rsidRPr="009E490D">
        <w:rPr>
          <w:b/>
        </w:rPr>
        <w:lastRenderedPageBreak/>
        <w:tab/>
      </w:r>
      <w:r w:rsidR="005545B5">
        <w:rPr>
          <w:b/>
          <w:lang w:val="ru-RU"/>
        </w:rPr>
        <w:t xml:space="preserve">       </w:t>
      </w:r>
      <w:r w:rsidRPr="00185C32">
        <w:rPr>
          <w:i/>
          <w:lang w:val="ru-RU"/>
        </w:rPr>
        <w:t>Таблиця 8.1</w:t>
      </w:r>
    </w:p>
    <w:p w:rsidR="0052072E" w:rsidRPr="00006A39" w:rsidRDefault="0052072E" w:rsidP="00721203">
      <w:pPr>
        <w:widowControl w:val="0"/>
        <w:jc w:val="center"/>
        <w:rPr>
          <w:b/>
        </w:rPr>
      </w:pPr>
      <w:r w:rsidRPr="00006A39">
        <w:rPr>
          <w:b/>
        </w:rPr>
        <w:t>Матриця інтегрованого управління якістю надання медичних послуг</w:t>
      </w:r>
    </w:p>
    <w:tbl>
      <w:tblPr>
        <w:tblStyle w:val="a6"/>
        <w:tblW w:w="0" w:type="auto"/>
        <w:tblLook w:val="04A0" w:firstRow="1" w:lastRow="0" w:firstColumn="1" w:lastColumn="0" w:noHBand="0" w:noVBand="1"/>
      </w:tblPr>
      <w:tblGrid>
        <w:gridCol w:w="2492"/>
        <w:gridCol w:w="1426"/>
        <w:gridCol w:w="3826"/>
        <w:gridCol w:w="3095"/>
        <w:gridCol w:w="4514"/>
      </w:tblGrid>
      <w:tr w:rsidR="0052072E" w:rsidRPr="00332C31" w:rsidTr="00C51B33">
        <w:tc>
          <w:tcPr>
            <w:tcW w:w="2492" w:type="dxa"/>
            <w:vMerge w:val="restart"/>
          </w:tcPr>
          <w:p w:rsidR="0052072E" w:rsidRPr="00332C31" w:rsidRDefault="0052072E" w:rsidP="00721203">
            <w:pPr>
              <w:widowControl w:val="0"/>
              <w:rPr>
                <w:rFonts w:ascii="Times New Roman" w:hAnsi="Times New Roman"/>
                <w:sz w:val="24"/>
                <w:szCs w:val="24"/>
                <w:lang w:val="uk-UA"/>
              </w:rPr>
            </w:pPr>
            <w:r w:rsidRPr="00332C31">
              <w:rPr>
                <w:rFonts w:ascii="Times New Roman" w:hAnsi="Times New Roman"/>
                <w:sz w:val="24"/>
                <w:szCs w:val="24"/>
                <w:lang w:val="uk-UA"/>
              </w:rPr>
              <w:t xml:space="preserve">Домени якості </w:t>
            </w:r>
          </w:p>
        </w:tc>
        <w:tc>
          <w:tcPr>
            <w:tcW w:w="1426" w:type="dxa"/>
            <w:vMerge w:val="restart"/>
          </w:tcPr>
          <w:p w:rsidR="0052072E" w:rsidRPr="00332C31" w:rsidRDefault="0052072E" w:rsidP="00721203">
            <w:pPr>
              <w:widowControl w:val="0"/>
              <w:rPr>
                <w:rFonts w:ascii="Times New Roman" w:hAnsi="Times New Roman"/>
                <w:sz w:val="24"/>
                <w:szCs w:val="24"/>
                <w:lang w:val="uk-UA"/>
              </w:rPr>
            </w:pPr>
            <w:r w:rsidRPr="00332C31">
              <w:rPr>
                <w:rFonts w:ascii="Times New Roman" w:hAnsi="Times New Roman"/>
                <w:sz w:val="24"/>
                <w:szCs w:val="24"/>
                <w:lang w:val="uk-UA"/>
              </w:rPr>
              <w:t>Складові оцінювання</w:t>
            </w:r>
          </w:p>
        </w:tc>
        <w:tc>
          <w:tcPr>
            <w:tcW w:w="11435" w:type="dxa"/>
            <w:gridSpan w:val="3"/>
          </w:tcPr>
          <w:p w:rsidR="0052072E" w:rsidRPr="00332C31" w:rsidRDefault="0052072E" w:rsidP="00721203">
            <w:pPr>
              <w:widowControl w:val="0"/>
              <w:jc w:val="center"/>
              <w:rPr>
                <w:rFonts w:ascii="Times New Roman" w:hAnsi="Times New Roman"/>
                <w:sz w:val="24"/>
                <w:szCs w:val="24"/>
                <w:lang w:val="uk-UA"/>
              </w:rPr>
            </w:pPr>
            <w:r w:rsidRPr="00332C31">
              <w:rPr>
                <w:rFonts w:ascii="Times New Roman" w:hAnsi="Times New Roman"/>
                <w:sz w:val="24"/>
                <w:szCs w:val="24"/>
                <w:lang w:val="uk-UA"/>
              </w:rPr>
              <w:t>Інструменти для різних структур</w:t>
            </w:r>
          </w:p>
        </w:tc>
      </w:tr>
      <w:tr w:rsidR="0052072E" w:rsidRPr="00332C31" w:rsidTr="00C51B33">
        <w:tc>
          <w:tcPr>
            <w:tcW w:w="2492" w:type="dxa"/>
            <w:vMerge/>
          </w:tcPr>
          <w:p w:rsidR="0052072E" w:rsidRPr="00332C31" w:rsidRDefault="0052072E" w:rsidP="00721203">
            <w:pPr>
              <w:widowControl w:val="0"/>
              <w:rPr>
                <w:rFonts w:ascii="Times New Roman" w:hAnsi="Times New Roman"/>
                <w:sz w:val="24"/>
                <w:szCs w:val="24"/>
                <w:lang w:val="uk-UA"/>
              </w:rPr>
            </w:pPr>
          </w:p>
        </w:tc>
        <w:tc>
          <w:tcPr>
            <w:tcW w:w="1426" w:type="dxa"/>
            <w:vMerge/>
          </w:tcPr>
          <w:p w:rsidR="0052072E" w:rsidRPr="00332C31" w:rsidRDefault="0052072E" w:rsidP="00721203">
            <w:pPr>
              <w:widowControl w:val="0"/>
              <w:rPr>
                <w:rFonts w:ascii="Times New Roman" w:hAnsi="Times New Roman"/>
                <w:sz w:val="24"/>
                <w:szCs w:val="24"/>
                <w:lang w:val="uk-UA"/>
              </w:rPr>
            </w:pPr>
          </w:p>
        </w:tc>
        <w:tc>
          <w:tcPr>
            <w:tcW w:w="3826" w:type="dxa"/>
          </w:tcPr>
          <w:p w:rsidR="0052072E" w:rsidRPr="00332C31" w:rsidRDefault="0052072E" w:rsidP="00721203">
            <w:pPr>
              <w:widowControl w:val="0"/>
              <w:rPr>
                <w:rFonts w:ascii="Times New Roman" w:hAnsi="Times New Roman"/>
                <w:sz w:val="24"/>
                <w:szCs w:val="24"/>
                <w:lang w:val="uk-UA"/>
              </w:rPr>
            </w:pPr>
            <w:r w:rsidRPr="00332C31">
              <w:rPr>
                <w:rFonts w:ascii="Times New Roman" w:hAnsi="Times New Roman"/>
                <w:sz w:val="24"/>
                <w:szCs w:val="24"/>
                <w:lang w:val="uk-UA"/>
              </w:rPr>
              <w:t>Заклад ОЗ</w:t>
            </w:r>
          </w:p>
        </w:tc>
        <w:tc>
          <w:tcPr>
            <w:tcW w:w="3095" w:type="dxa"/>
          </w:tcPr>
          <w:p w:rsidR="0052072E" w:rsidRPr="00332C31" w:rsidRDefault="0052072E" w:rsidP="00721203">
            <w:pPr>
              <w:widowControl w:val="0"/>
              <w:jc w:val="center"/>
              <w:rPr>
                <w:rFonts w:ascii="Times New Roman" w:hAnsi="Times New Roman"/>
                <w:sz w:val="24"/>
                <w:szCs w:val="24"/>
                <w:lang w:val="uk-UA"/>
              </w:rPr>
            </w:pPr>
            <w:r w:rsidRPr="00332C31">
              <w:rPr>
                <w:rFonts w:ascii="Times New Roman" w:hAnsi="Times New Roman"/>
                <w:sz w:val="24"/>
                <w:szCs w:val="24"/>
                <w:lang w:val="uk-UA"/>
              </w:rPr>
              <w:t>МОЗ</w:t>
            </w:r>
          </w:p>
        </w:tc>
        <w:tc>
          <w:tcPr>
            <w:tcW w:w="4514" w:type="dxa"/>
          </w:tcPr>
          <w:p w:rsidR="0052072E" w:rsidRPr="00332C31" w:rsidRDefault="0052072E" w:rsidP="00721203">
            <w:pPr>
              <w:widowControl w:val="0"/>
              <w:jc w:val="center"/>
              <w:rPr>
                <w:rFonts w:ascii="Times New Roman" w:hAnsi="Times New Roman"/>
                <w:sz w:val="24"/>
                <w:szCs w:val="24"/>
                <w:lang w:val="uk-UA"/>
              </w:rPr>
            </w:pPr>
            <w:r w:rsidRPr="00332C31">
              <w:rPr>
                <w:rFonts w:ascii="Times New Roman" w:hAnsi="Times New Roman"/>
                <w:sz w:val="24"/>
                <w:szCs w:val="24"/>
                <w:lang w:val="uk-UA"/>
              </w:rPr>
              <w:t>НСЗУ</w:t>
            </w:r>
          </w:p>
        </w:tc>
      </w:tr>
      <w:tr w:rsidR="0052072E" w:rsidRPr="00332C31" w:rsidTr="00C51B33">
        <w:tc>
          <w:tcPr>
            <w:tcW w:w="2492" w:type="dxa"/>
            <w:vMerge w:val="restart"/>
          </w:tcPr>
          <w:p w:rsidR="0052072E" w:rsidRPr="00332C31" w:rsidRDefault="0052072E" w:rsidP="00721203">
            <w:pPr>
              <w:widowControl w:val="0"/>
              <w:rPr>
                <w:rFonts w:ascii="Times New Roman" w:hAnsi="Times New Roman"/>
                <w:sz w:val="24"/>
                <w:szCs w:val="24"/>
                <w:lang w:val="uk-UA"/>
              </w:rPr>
            </w:pPr>
            <w:r w:rsidRPr="00332C31">
              <w:rPr>
                <w:rFonts w:ascii="Times New Roman" w:hAnsi="Times New Roman"/>
                <w:b/>
                <w:sz w:val="24"/>
                <w:szCs w:val="24"/>
                <w:lang w:val="uk-UA"/>
              </w:rPr>
              <w:t>Безпека</w:t>
            </w:r>
            <w:r w:rsidRPr="00332C31">
              <w:rPr>
                <w:rFonts w:ascii="Times New Roman" w:hAnsi="Times New Roman"/>
                <w:sz w:val="24"/>
                <w:szCs w:val="24"/>
                <w:lang w:val="uk-UA"/>
              </w:rPr>
              <w:t xml:space="preserve"> - уникнення шкоди, що може бути завдана пацієнтам у процесі надання допомоги, з самого початку спрямованої на допомогу</w:t>
            </w:r>
          </w:p>
        </w:tc>
        <w:tc>
          <w:tcPr>
            <w:tcW w:w="1426" w:type="dxa"/>
          </w:tcPr>
          <w:p w:rsidR="0052072E" w:rsidRPr="00332C31" w:rsidRDefault="0052072E" w:rsidP="00721203">
            <w:pPr>
              <w:widowControl w:val="0"/>
              <w:rPr>
                <w:rFonts w:ascii="Times New Roman" w:hAnsi="Times New Roman"/>
                <w:sz w:val="24"/>
                <w:szCs w:val="24"/>
                <w:lang w:val="uk-UA"/>
              </w:rPr>
            </w:pPr>
            <w:r w:rsidRPr="00332C31">
              <w:rPr>
                <w:rFonts w:ascii="Times New Roman" w:hAnsi="Times New Roman"/>
                <w:sz w:val="24"/>
                <w:szCs w:val="24"/>
                <w:lang w:val="uk-UA"/>
              </w:rPr>
              <w:t>Структура</w:t>
            </w:r>
          </w:p>
        </w:tc>
        <w:tc>
          <w:tcPr>
            <w:tcW w:w="3826" w:type="dxa"/>
          </w:tcPr>
          <w:p w:rsidR="0052072E" w:rsidRPr="00332C31" w:rsidRDefault="0052072E" w:rsidP="00721203">
            <w:pPr>
              <w:widowControl w:val="0"/>
              <w:rPr>
                <w:rFonts w:ascii="Times New Roman" w:hAnsi="Times New Roman"/>
                <w:sz w:val="24"/>
                <w:szCs w:val="24"/>
                <w:lang w:val="uk-UA"/>
              </w:rPr>
            </w:pPr>
            <w:r w:rsidRPr="00332C31">
              <w:rPr>
                <w:rFonts w:ascii="Times New Roman" w:hAnsi="Times New Roman"/>
                <w:sz w:val="24"/>
                <w:szCs w:val="24"/>
                <w:lang w:val="uk-UA"/>
              </w:rPr>
              <w:t xml:space="preserve">Наявність навченої особи, яка звільнена від своїх основних функціональних обов’язків не менше на 0,5 ставки </w:t>
            </w:r>
          </w:p>
        </w:tc>
        <w:tc>
          <w:tcPr>
            <w:tcW w:w="3095" w:type="dxa"/>
          </w:tcPr>
          <w:p w:rsidR="0052072E" w:rsidRPr="00332C31" w:rsidRDefault="0052072E" w:rsidP="00721203">
            <w:pPr>
              <w:widowControl w:val="0"/>
              <w:rPr>
                <w:rFonts w:ascii="Times New Roman" w:hAnsi="Times New Roman"/>
                <w:sz w:val="24"/>
                <w:szCs w:val="24"/>
                <w:lang w:val="uk-UA"/>
              </w:rPr>
            </w:pPr>
          </w:p>
        </w:tc>
        <w:tc>
          <w:tcPr>
            <w:tcW w:w="4514" w:type="dxa"/>
          </w:tcPr>
          <w:p w:rsidR="0052072E" w:rsidRPr="00332C31" w:rsidRDefault="0052072E" w:rsidP="00721203">
            <w:pPr>
              <w:widowControl w:val="0"/>
              <w:rPr>
                <w:rFonts w:ascii="Times New Roman" w:hAnsi="Times New Roman"/>
                <w:sz w:val="24"/>
                <w:szCs w:val="24"/>
                <w:lang w:val="uk-UA"/>
              </w:rPr>
            </w:pPr>
            <w:r w:rsidRPr="00332C31">
              <w:rPr>
                <w:rFonts w:ascii="Times New Roman" w:hAnsi="Times New Roman"/>
                <w:sz w:val="24"/>
                <w:szCs w:val="24"/>
                <w:lang w:val="uk-UA"/>
              </w:rPr>
              <w:t>Додати у вимоги пункт щодо особи, яка моніторує якість та безпеку надання медичної допомоги</w:t>
            </w:r>
          </w:p>
        </w:tc>
      </w:tr>
      <w:tr w:rsidR="0052072E" w:rsidRPr="00332C31" w:rsidTr="00C51B33">
        <w:tc>
          <w:tcPr>
            <w:tcW w:w="2492" w:type="dxa"/>
            <w:vMerge/>
          </w:tcPr>
          <w:p w:rsidR="0052072E" w:rsidRPr="00332C31" w:rsidRDefault="0052072E" w:rsidP="00721203">
            <w:pPr>
              <w:widowControl w:val="0"/>
              <w:rPr>
                <w:rFonts w:ascii="Times New Roman" w:hAnsi="Times New Roman"/>
                <w:sz w:val="24"/>
                <w:szCs w:val="24"/>
                <w:lang w:val="uk-UA"/>
              </w:rPr>
            </w:pPr>
          </w:p>
        </w:tc>
        <w:tc>
          <w:tcPr>
            <w:tcW w:w="1426" w:type="dxa"/>
          </w:tcPr>
          <w:p w:rsidR="0052072E" w:rsidRPr="00332C31" w:rsidRDefault="0052072E" w:rsidP="00721203">
            <w:pPr>
              <w:widowControl w:val="0"/>
              <w:rPr>
                <w:rFonts w:ascii="Times New Roman" w:hAnsi="Times New Roman"/>
                <w:sz w:val="24"/>
                <w:szCs w:val="24"/>
                <w:lang w:val="uk-UA"/>
              </w:rPr>
            </w:pPr>
            <w:r w:rsidRPr="00332C31">
              <w:rPr>
                <w:rFonts w:ascii="Times New Roman" w:hAnsi="Times New Roman"/>
                <w:sz w:val="24"/>
                <w:szCs w:val="24"/>
                <w:lang w:val="uk-UA"/>
              </w:rPr>
              <w:t>Процес</w:t>
            </w:r>
          </w:p>
        </w:tc>
        <w:tc>
          <w:tcPr>
            <w:tcW w:w="3826" w:type="dxa"/>
          </w:tcPr>
          <w:p w:rsidR="0052072E" w:rsidRPr="00332C31" w:rsidRDefault="0052072E" w:rsidP="00721203">
            <w:pPr>
              <w:widowControl w:val="0"/>
              <w:rPr>
                <w:rFonts w:ascii="Times New Roman" w:hAnsi="Times New Roman"/>
                <w:sz w:val="24"/>
                <w:szCs w:val="24"/>
                <w:lang w:val="uk-UA"/>
              </w:rPr>
            </w:pPr>
            <w:r w:rsidRPr="00332C31">
              <w:rPr>
                <w:rFonts w:ascii="Times New Roman" w:hAnsi="Times New Roman"/>
                <w:sz w:val="24"/>
                <w:szCs w:val="24"/>
                <w:lang w:val="uk-UA"/>
              </w:rPr>
              <w:t xml:space="preserve">Культура безпеки пацієнта </w:t>
            </w:r>
          </w:p>
          <w:p w:rsidR="0052072E" w:rsidRPr="00332C31" w:rsidRDefault="0052072E" w:rsidP="00721203">
            <w:pPr>
              <w:widowControl w:val="0"/>
              <w:rPr>
                <w:rFonts w:ascii="Times New Roman" w:hAnsi="Times New Roman"/>
                <w:sz w:val="24"/>
                <w:szCs w:val="24"/>
                <w:lang w:val="uk-UA"/>
              </w:rPr>
            </w:pPr>
            <w:r w:rsidRPr="00332C31">
              <w:rPr>
                <w:rFonts w:ascii="Times New Roman" w:hAnsi="Times New Roman"/>
                <w:sz w:val="24"/>
                <w:szCs w:val="24"/>
                <w:lang w:val="uk-UA"/>
              </w:rPr>
              <w:t>Клінічні та технологічні стандарти</w:t>
            </w:r>
          </w:p>
          <w:p w:rsidR="0052072E" w:rsidRPr="00332C31" w:rsidRDefault="0052072E" w:rsidP="00721203">
            <w:pPr>
              <w:widowControl w:val="0"/>
              <w:rPr>
                <w:rFonts w:ascii="Times New Roman" w:hAnsi="Times New Roman"/>
                <w:sz w:val="24"/>
                <w:szCs w:val="24"/>
                <w:lang w:val="uk-UA"/>
              </w:rPr>
            </w:pPr>
            <w:r w:rsidRPr="00332C31">
              <w:rPr>
                <w:rFonts w:ascii="Times New Roman" w:hAnsi="Times New Roman"/>
                <w:sz w:val="24"/>
                <w:szCs w:val="24"/>
                <w:lang w:val="uk-UA"/>
              </w:rPr>
              <w:t>Програма з покращення безпеки надання медичної допомоги</w:t>
            </w:r>
          </w:p>
        </w:tc>
        <w:tc>
          <w:tcPr>
            <w:tcW w:w="3095" w:type="dxa"/>
          </w:tcPr>
          <w:p w:rsidR="0052072E" w:rsidRPr="00332C31" w:rsidRDefault="0052072E" w:rsidP="00721203">
            <w:pPr>
              <w:widowControl w:val="0"/>
              <w:rPr>
                <w:rFonts w:ascii="Times New Roman" w:hAnsi="Times New Roman"/>
                <w:sz w:val="24"/>
                <w:szCs w:val="24"/>
                <w:lang w:val="uk-UA"/>
              </w:rPr>
            </w:pPr>
            <w:r w:rsidRPr="00332C31">
              <w:rPr>
                <w:rFonts w:ascii="Times New Roman" w:hAnsi="Times New Roman"/>
                <w:sz w:val="24"/>
                <w:szCs w:val="24"/>
                <w:lang w:val="uk-UA"/>
              </w:rPr>
              <w:t>Розроблення протоколів та стандартів</w:t>
            </w:r>
          </w:p>
          <w:p w:rsidR="0052072E" w:rsidRPr="00332C31" w:rsidRDefault="0052072E" w:rsidP="00721203">
            <w:pPr>
              <w:widowControl w:val="0"/>
              <w:rPr>
                <w:rFonts w:ascii="Times New Roman" w:hAnsi="Times New Roman"/>
                <w:sz w:val="24"/>
                <w:szCs w:val="24"/>
                <w:lang w:val="uk-UA"/>
              </w:rPr>
            </w:pPr>
            <w:r w:rsidRPr="00332C31">
              <w:rPr>
                <w:rFonts w:ascii="Times New Roman" w:hAnsi="Times New Roman"/>
                <w:sz w:val="24"/>
                <w:szCs w:val="24"/>
                <w:lang w:val="uk-UA"/>
              </w:rPr>
              <w:t>Наявність клінічних та технологічних стандартів під час акредитації</w:t>
            </w:r>
          </w:p>
        </w:tc>
        <w:tc>
          <w:tcPr>
            <w:tcW w:w="4514" w:type="dxa"/>
          </w:tcPr>
          <w:p w:rsidR="0052072E" w:rsidRPr="00332C31" w:rsidRDefault="0052072E" w:rsidP="00721203">
            <w:pPr>
              <w:widowControl w:val="0"/>
              <w:rPr>
                <w:rFonts w:ascii="Times New Roman" w:hAnsi="Times New Roman"/>
                <w:sz w:val="24"/>
                <w:szCs w:val="24"/>
                <w:lang w:val="uk-UA"/>
              </w:rPr>
            </w:pPr>
            <w:r w:rsidRPr="00332C31">
              <w:rPr>
                <w:rFonts w:ascii="Times New Roman" w:hAnsi="Times New Roman"/>
                <w:sz w:val="24"/>
                <w:szCs w:val="24"/>
                <w:lang w:val="uk-UA"/>
              </w:rPr>
              <w:t>Під час моніторингового візиту</w:t>
            </w:r>
          </w:p>
          <w:p w:rsidR="0052072E" w:rsidRPr="00332C31" w:rsidRDefault="0052072E" w:rsidP="00721203">
            <w:pPr>
              <w:widowControl w:val="0"/>
              <w:rPr>
                <w:rFonts w:ascii="Times New Roman" w:hAnsi="Times New Roman"/>
                <w:sz w:val="24"/>
                <w:szCs w:val="24"/>
                <w:lang w:val="uk-UA"/>
              </w:rPr>
            </w:pPr>
            <w:r w:rsidRPr="00332C31">
              <w:rPr>
                <w:rFonts w:ascii="Times New Roman" w:hAnsi="Times New Roman"/>
                <w:sz w:val="24"/>
                <w:szCs w:val="24"/>
                <w:lang w:val="uk-UA"/>
              </w:rPr>
              <w:t>Опитування медичного персоналу щодо наявної культури безпеки (можна розробити онлайн-інструмент)</w:t>
            </w:r>
          </w:p>
        </w:tc>
      </w:tr>
      <w:tr w:rsidR="0052072E" w:rsidRPr="00332C31" w:rsidTr="00C51B33">
        <w:tc>
          <w:tcPr>
            <w:tcW w:w="2492" w:type="dxa"/>
            <w:vMerge/>
          </w:tcPr>
          <w:p w:rsidR="0052072E" w:rsidRPr="00332C31" w:rsidRDefault="0052072E" w:rsidP="00721203">
            <w:pPr>
              <w:widowControl w:val="0"/>
              <w:rPr>
                <w:rFonts w:ascii="Times New Roman" w:hAnsi="Times New Roman"/>
                <w:sz w:val="24"/>
                <w:szCs w:val="24"/>
                <w:lang w:val="uk-UA"/>
              </w:rPr>
            </w:pPr>
          </w:p>
        </w:tc>
        <w:tc>
          <w:tcPr>
            <w:tcW w:w="1426" w:type="dxa"/>
          </w:tcPr>
          <w:p w:rsidR="0052072E" w:rsidRPr="00332C31" w:rsidRDefault="0052072E" w:rsidP="00721203">
            <w:pPr>
              <w:widowControl w:val="0"/>
              <w:rPr>
                <w:rFonts w:ascii="Times New Roman" w:hAnsi="Times New Roman"/>
                <w:sz w:val="24"/>
                <w:szCs w:val="24"/>
                <w:lang w:val="uk-UA"/>
              </w:rPr>
            </w:pPr>
            <w:r w:rsidRPr="00332C31">
              <w:rPr>
                <w:rFonts w:ascii="Times New Roman" w:hAnsi="Times New Roman"/>
                <w:sz w:val="24"/>
                <w:szCs w:val="24"/>
                <w:lang w:val="uk-UA"/>
              </w:rPr>
              <w:t>Наслідки</w:t>
            </w:r>
          </w:p>
        </w:tc>
        <w:tc>
          <w:tcPr>
            <w:tcW w:w="3826" w:type="dxa"/>
          </w:tcPr>
          <w:p w:rsidR="0052072E" w:rsidRPr="00332C31" w:rsidRDefault="0052072E" w:rsidP="00721203">
            <w:pPr>
              <w:widowControl w:val="0"/>
              <w:rPr>
                <w:rFonts w:ascii="Times New Roman" w:hAnsi="Times New Roman"/>
                <w:sz w:val="24"/>
                <w:szCs w:val="24"/>
                <w:lang w:val="uk-UA"/>
              </w:rPr>
            </w:pPr>
            <w:r w:rsidRPr="00332C31">
              <w:rPr>
                <w:rFonts w:ascii="Times New Roman" w:hAnsi="Times New Roman"/>
                <w:sz w:val="24"/>
                <w:szCs w:val="24"/>
                <w:lang w:val="uk-UA"/>
              </w:rPr>
              <w:t>Інцидент-звітність та розгляд критичних інцидентів з визначенням першопричини їх виникнення та розробленням плану дій із запобігання в майбутньому</w:t>
            </w:r>
          </w:p>
        </w:tc>
        <w:tc>
          <w:tcPr>
            <w:tcW w:w="3095" w:type="dxa"/>
          </w:tcPr>
          <w:p w:rsidR="0052072E" w:rsidRPr="00332C31" w:rsidRDefault="0052072E" w:rsidP="00721203">
            <w:pPr>
              <w:widowControl w:val="0"/>
              <w:rPr>
                <w:rFonts w:ascii="Times New Roman" w:hAnsi="Times New Roman"/>
                <w:sz w:val="24"/>
                <w:szCs w:val="24"/>
                <w:lang w:val="uk-UA"/>
              </w:rPr>
            </w:pPr>
            <w:r w:rsidRPr="00332C31">
              <w:rPr>
                <w:rFonts w:ascii="Times New Roman" w:hAnsi="Times New Roman"/>
                <w:sz w:val="24"/>
                <w:szCs w:val="24"/>
                <w:lang w:val="uk-UA"/>
              </w:rPr>
              <w:t>Розгляд критичних інцидентів, що закінчились смертю пацієнта на КЕК</w:t>
            </w:r>
          </w:p>
        </w:tc>
        <w:tc>
          <w:tcPr>
            <w:tcW w:w="4514" w:type="dxa"/>
          </w:tcPr>
          <w:p w:rsidR="0052072E" w:rsidRPr="00332C31" w:rsidRDefault="0052072E" w:rsidP="00721203">
            <w:pPr>
              <w:widowControl w:val="0"/>
              <w:rPr>
                <w:rFonts w:ascii="Times New Roman" w:hAnsi="Times New Roman"/>
                <w:sz w:val="24"/>
                <w:szCs w:val="24"/>
                <w:lang w:val="uk-UA"/>
              </w:rPr>
            </w:pPr>
            <w:r w:rsidRPr="00332C31">
              <w:rPr>
                <w:rFonts w:ascii="Times New Roman" w:hAnsi="Times New Roman"/>
                <w:sz w:val="24"/>
                <w:szCs w:val="24"/>
                <w:lang w:val="uk-UA"/>
              </w:rPr>
              <w:t>Додаток №3 до Договору</w:t>
            </w:r>
          </w:p>
          <w:p w:rsidR="0052072E" w:rsidRPr="00332C31" w:rsidRDefault="0052072E" w:rsidP="00721203">
            <w:pPr>
              <w:widowControl w:val="0"/>
              <w:rPr>
                <w:rFonts w:ascii="Times New Roman" w:hAnsi="Times New Roman"/>
                <w:sz w:val="24"/>
                <w:szCs w:val="24"/>
                <w:lang w:val="uk-UA"/>
              </w:rPr>
            </w:pPr>
            <w:r w:rsidRPr="00332C31">
              <w:rPr>
                <w:rFonts w:ascii="Times New Roman" w:hAnsi="Times New Roman"/>
                <w:sz w:val="24"/>
                <w:szCs w:val="24"/>
                <w:lang w:val="uk-UA"/>
              </w:rPr>
              <w:t>Аналіз МЕ щодо кількості критичних інцидентів, що мають відповідні коди в МКХ-10</w:t>
            </w:r>
          </w:p>
        </w:tc>
      </w:tr>
      <w:tr w:rsidR="0052072E" w:rsidRPr="00332C31" w:rsidTr="00C51B33">
        <w:tc>
          <w:tcPr>
            <w:tcW w:w="2492" w:type="dxa"/>
            <w:vMerge w:val="restart"/>
          </w:tcPr>
          <w:p w:rsidR="0052072E" w:rsidRPr="00332C31" w:rsidRDefault="0052072E" w:rsidP="00721203">
            <w:pPr>
              <w:widowControl w:val="0"/>
              <w:rPr>
                <w:rFonts w:ascii="Times New Roman" w:hAnsi="Times New Roman"/>
                <w:sz w:val="24"/>
                <w:szCs w:val="24"/>
                <w:lang w:val="uk-UA"/>
              </w:rPr>
            </w:pPr>
            <w:r w:rsidRPr="00332C31">
              <w:rPr>
                <w:rFonts w:ascii="Times New Roman" w:hAnsi="Times New Roman"/>
                <w:b/>
                <w:sz w:val="24"/>
                <w:szCs w:val="24"/>
                <w:lang w:val="uk-UA"/>
              </w:rPr>
              <w:t>Медична ефективність</w:t>
            </w:r>
            <w:r w:rsidRPr="00332C31">
              <w:rPr>
                <w:rFonts w:ascii="Times New Roman" w:hAnsi="Times New Roman"/>
                <w:sz w:val="24"/>
                <w:szCs w:val="24"/>
                <w:lang w:val="uk-UA"/>
              </w:rPr>
              <w:t>: забезпечення науково обґрунтованими послугами усіх тих, кому вони можуть допомогти, та утримання від надання таких послуг тим, кому вони не принесуть користі</w:t>
            </w:r>
          </w:p>
        </w:tc>
        <w:tc>
          <w:tcPr>
            <w:tcW w:w="1426" w:type="dxa"/>
          </w:tcPr>
          <w:p w:rsidR="0052072E" w:rsidRPr="00332C31" w:rsidRDefault="0052072E" w:rsidP="00721203">
            <w:pPr>
              <w:widowControl w:val="0"/>
              <w:rPr>
                <w:rFonts w:ascii="Times New Roman" w:hAnsi="Times New Roman"/>
                <w:sz w:val="24"/>
                <w:szCs w:val="24"/>
                <w:lang w:val="uk-UA"/>
              </w:rPr>
            </w:pPr>
            <w:r w:rsidRPr="00332C31">
              <w:rPr>
                <w:rFonts w:ascii="Times New Roman" w:hAnsi="Times New Roman"/>
                <w:sz w:val="24"/>
                <w:szCs w:val="24"/>
                <w:lang w:val="uk-UA"/>
              </w:rPr>
              <w:t>Структура</w:t>
            </w:r>
          </w:p>
        </w:tc>
        <w:tc>
          <w:tcPr>
            <w:tcW w:w="3826" w:type="dxa"/>
          </w:tcPr>
          <w:p w:rsidR="0052072E" w:rsidRPr="00332C31" w:rsidRDefault="0052072E" w:rsidP="00721203">
            <w:pPr>
              <w:widowControl w:val="0"/>
              <w:rPr>
                <w:rFonts w:ascii="Times New Roman" w:hAnsi="Times New Roman"/>
                <w:sz w:val="24"/>
                <w:szCs w:val="24"/>
                <w:lang w:val="uk-UA"/>
              </w:rPr>
            </w:pPr>
            <w:r w:rsidRPr="00332C31">
              <w:rPr>
                <w:rFonts w:ascii="Times New Roman" w:hAnsi="Times New Roman"/>
                <w:sz w:val="24"/>
                <w:szCs w:val="24"/>
                <w:lang w:val="uk-UA"/>
              </w:rPr>
              <w:t>Відповідне інфраструктурне та ресурсне забезпечення</w:t>
            </w:r>
          </w:p>
          <w:p w:rsidR="0052072E" w:rsidRPr="00332C31" w:rsidRDefault="0052072E" w:rsidP="00721203">
            <w:pPr>
              <w:widowControl w:val="0"/>
              <w:rPr>
                <w:rFonts w:ascii="Times New Roman" w:hAnsi="Times New Roman"/>
                <w:sz w:val="24"/>
                <w:szCs w:val="24"/>
                <w:lang w:val="uk-UA"/>
              </w:rPr>
            </w:pPr>
          </w:p>
        </w:tc>
        <w:tc>
          <w:tcPr>
            <w:tcW w:w="3095" w:type="dxa"/>
          </w:tcPr>
          <w:p w:rsidR="0052072E" w:rsidRPr="00332C31" w:rsidRDefault="0052072E" w:rsidP="00721203">
            <w:pPr>
              <w:widowControl w:val="0"/>
              <w:rPr>
                <w:rFonts w:ascii="Times New Roman" w:hAnsi="Times New Roman"/>
                <w:sz w:val="24"/>
                <w:szCs w:val="24"/>
                <w:lang w:val="uk-UA"/>
              </w:rPr>
            </w:pPr>
            <w:r w:rsidRPr="00332C31">
              <w:rPr>
                <w:rFonts w:ascii="Times New Roman" w:hAnsi="Times New Roman"/>
                <w:sz w:val="24"/>
                <w:szCs w:val="24"/>
                <w:lang w:val="uk-UA"/>
              </w:rPr>
              <w:t xml:space="preserve">Держзакупівлі </w:t>
            </w:r>
          </w:p>
        </w:tc>
        <w:tc>
          <w:tcPr>
            <w:tcW w:w="4514" w:type="dxa"/>
          </w:tcPr>
          <w:p w:rsidR="0052072E" w:rsidRPr="00332C31" w:rsidRDefault="0052072E" w:rsidP="00721203">
            <w:pPr>
              <w:widowControl w:val="0"/>
              <w:rPr>
                <w:rFonts w:ascii="Times New Roman" w:hAnsi="Times New Roman"/>
                <w:sz w:val="24"/>
                <w:szCs w:val="24"/>
                <w:lang w:val="uk-UA"/>
              </w:rPr>
            </w:pPr>
            <w:r w:rsidRPr="00332C31">
              <w:rPr>
                <w:rFonts w:ascii="Times New Roman" w:hAnsi="Times New Roman"/>
                <w:sz w:val="24"/>
                <w:szCs w:val="24"/>
                <w:lang w:val="uk-UA"/>
              </w:rPr>
              <w:t>Вимоги щодо інфраструктурного та ресурсного забезпечення</w:t>
            </w:r>
          </w:p>
          <w:p w:rsidR="0052072E" w:rsidRPr="00332C31" w:rsidRDefault="0052072E" w:rsidP="00721203">
            <w:pPr>
              <w:widowControl w:val="0"/>
              <w:rPr>
                <w:rFonts w:ascii="Times New Roman" w:hAnsi="Times New Roman"/>
                <w:sz w:val="24"/>
                <w:szCs w:val="24"/>
                <w:lang w:val="uk-UA"/>
              </w:rPr>
            </w:pPr>
            <w:r w:rsidRPr="00332C31">
              <w:rPr>
                <w:rFonts w:ascii="Times New Roman" w:hAnsi="Times New Roman"/>
                <w:sz w:val="24"/>
                <w:szCs w:val="24"/>
                <w:lang w:val="uk-UA"/>
              </w:rPr>
              <w:t>Чек-лист технічного аудиту</w:t>
            </w:r>
          </w:p>
        </w:tc>
      </w:tr>
      <w:tr w:rsidR="0052072E" w:rsidRPr="00332C31" w:rsidTr="00C51B33">
        <w:tc>
          <w:tcPr>
            <w:tcW w:w="2492" w:type="dxa"/>
            <w:vMerge/>
          </w:tcPr>
          <w:p w:rsidR="0052072E" w:rsidRPr="00332C31" w:rsidRDefault="0052072E" w:rsidP="00721203">
            <w:pPr>
              <w:widowControl w:val="0"/>
              <w:rPr>
                <w:rFonts w:ascii="Times New Roman" w:hAnsi="Times New Roman"/>
                <w:sz w:val="24"/>
                <w:szCs w:val="24"/>
                <w:lang w:val="uk-UA"/>
              </w:rPr>
            </w:pPr>
          </w:p>
        </w:tc>
        <w:tc>
          <w:tcPr>
            <w:tcW w:w="1426" w:type="dxa"/>
          </w:tcPr>
          <w:p w:rsidR="0052072E" w:rsidRPr="00332C31" w:rsidRDefault="0052072E" w:rsidP="00721203">
            <w:pPr>
              <w:widowControl w:val="0"/>
              <w:rPr>
                <w:rFonts w:ascii="Times New Roman" w:hAnsi="Times New Roman"/>
                <w:sz w:val="24"/>
                <w:szCs w:val="24"/>
                <w:lang w:val="uk-UA"/>
              </w:rPr>
            </w:pPr>
            <w:r w:rsidRPr="00332C31">
              <w:rPr>
                <w:rFonts w:ascii="Times New Roman" w:hAnsi="Times New Roman"/>
                <w:sz w:val="24"/>
                <w:szCs w:val="24"/>
                <w:lang w:val="uk-UA"/>
              </w:rPr>
              <w:t>Процес</w:t>
            </w:r>
          </w:p>
        </w:tc>
        <w:tc>
          <w:tcPr>
            <w:tcW w:w="3826" w:type="dxa"/>
          </w:tcPr>
          <w:p w:rsidR="0052072E" w:rsidRPr="00332C31" w:rsidRDefault="0052072E" w:rsidP="00721203">
            <w:pPr>
              <w:widowControl w:val="0"/>
              <w:rPr>
                <w:rFonts w:ascii="Times New Roman" w:hAnsi="Times New Roman"/>
                <w:sz w:val="24"/>
                <w:szCs w:val="24"/>
                <w:lang w:val="uk-UA"/>
              </w:rPr>
            </w:pPr>
            <w:r w:rsidRPr="00332C31">
              <w:rPr>
                <w:rFonts w:ascii="Times New Roman" w:hAnsi="Times New Roman"/>
                <w:sz w:val="24"/>
                <w:szCs w:val="24"/>
                <w:lang w:val="uk-UA"/>
              </w:rPr>
              <w:t>Наявні протоколи та стандарти</w:t>
            </w:r>
          </w:p>
          <w:p w:rsidR="0052072E" w:rsidRPr="00332C31" w:rsidRDefault="0052072E" w:rsidP="00721203">
            <w:pPr>
              <w:widowControl w:val="0"/>
              <w:rPr>
                <w:rFonts w:ascii="Times New Roman" w:hAnsi="Times New Roman"/>
                <w:sz w:val="24"/>
                <w:szCs w:val="24"/>
                <w:lang w:val="uk-UA"/>
              </w:rPr>
            </w:pPr>
            <w:r w:rsidRPr="00332C31">
              <w:rPr>
                <w:rFonts w:ascii="Times New Roman" w:hAnsi="Times New Roman"/>
                <w:sz w:val="24"/>
                <w:szCs w:val="24"/>
                <w:lang w:val="uk-UA"/>
              </w:rPr>
              <w:t>Процесні мапи</w:t>
            </w:r>
          </w:p>
          <w:p w:rsidR="0052072E" w:rsidRPr="00332C31" w:rsidRDefault="0052072E" w:rsidP="00721203">
            <w:pPr>
              <w:widowControl w:val="0"/>
              <w:rPr>
                <w:rFonts w:ascii="Times New Roman" w:hAnsi="Times New Roman"/>
                <w:sz w:val="24"/>
                <w:szCs w:val="24"/>
                <w:lang w:val="uk-UA"/>
              </w:rPr>
            </w:pPr>
            <w:r w:rsidRPr="00332C31">
              <w:rPr>
                <w:rFonts w:ascii="Times New Roman" w:hAnsi="Times New Roman"/>
                <w:sz w:val="24"/>
                <w:szCs w:val="24"/>
                <w:lang w:val="uk-UA"/>
              </w:rPr>
              <w:t>Індикатори якості</w:t>
            </w:r>
          </w:p>
          <w:p w:rsidR="0052072E" w:rsidRPr="00332C31" w:rsidRDefault="0052072E" w:rsidP="00721203">
            <w:pPr>
              <w:widowControl w:val="0"/>
              <w:rPr>
                <w:rFonts w:ascii="Times New Roman" w:hAnsi="Times New Roman"/>
                <w:sz w:val="24"/>
                <w:szCs w:val="24"/>
                <w:lang w:val="uk-UA"/>
              </w:rPr>
            </w:pPr>
            <w:r w:rsidRPr="00332C31">
              <w:rPr>
                <w:rFonts w:ascii="Times New Roman" w:hAnsi="Times New Roman"/>
                <w:sz w:val="24"/>
                <w:szCs w:val="24"/>
                <w:lang w:val="uk-UA"/>
              </w:rPr>
              <w:t>Внутрішній аудит якості надання медичних послуг</w:t>
            </w:r>
          </w:p>
        </w:tc>
        <w:tc>
          <w:tcPr>
            <w:tcW w:w="3095" w:type="dxa"/>
          </w:tcPr>
          <w:p w:rsidR="0052072E" w:rsidRPr="00332C31" w:rsidRDefault="0052072E" w:rsidP="00721203">
            <w:pPr>
              <w:widowControl w:val="0"/>
              <w:rPr>
                <w:rFonts w:ascii="Times New Roman" w:hAnsi="Times New Roman"/>
                <w:sz w:val="24"/>
                <w:szCs w:val="24"/>
                <w:lang w:val="uk-UA"/>
              </w:rPr>
            </w:pPr>
            <w:r w:rsidRPr="00332C31">
              <w:rPr>
                <w:rFonts w:ascii="Times New Roman" w:hAnsi="Times New Roman"/>
                <w:sz w:val="24"/>
                <w:szCs w:val="24"/>
                <w:lang w:val="uk-UA"/>
              </w:rPr>
              <w:t>Зовнішній аудит якості надання медичної допомоги</w:t>
            </w:r>
          </w:p>
        </w:tc>
        <w:tc>
          <w:tcPr>
            <w:tcW w:w="4514" w:type="dxa"/>
          </w:tcPr>
          <w:p w:rsidR="0052072E" w:rsidRPr="00332C31" w:rsidRDefault="0052072E" w:rsidP="00721203">
            <w:pPr>
              <w:widowControl w:val="0"/>
              <w:rPr>
                <w:rFonts w:ascii="Times New Roman" w:hAnsi="Times New Roman"/>
                <w:sz w:val="24"/>
                <w:szCs w:val="24"/>
                <w:lang w:val="uk-UA"/>
              </w:rPr>
            </w:pPr>
            <w:r w:rsidRPr="00332C31">
              <w:rPr>
                <w:rFonts w:ascii="Times New Roman" w:hAnsi="Times New Roman"/>
                <w:sz w:val="24"/>
                <w:szCs w:val="24"/>
                <w:lang w:val="uk-UA"/>
              </w:rPr>
              <w:t>Скринінг МЕ щодо виявлення визначених тригерів, які можуть свідчити про низьку якість надання медичної допомоги в певних закладах</w:t>
            </w:r>
          </w:p>
        </w:tc>
      </w:tr>
      <w:tr w:rsidR="0052072E" w:rsidRPr="00332C31" w:rsidTr="00C51B33">
        <w:tc>
          <w:tcPr>
            <w:tcW w:w="2492" w:type="dxa"/>
            <w:vMerge/>
          </w:tcPr>
          <w:p w:rsidR="0052072E" w:rsidRPr="00332C31" w:rsidRDefault="0052072E" w:rsidP="00721203">
            <w:pPr>
              <w:widowControl w:val="0"/>
              <w:rPr>
                <w:rFonts w:ascii="Times New Roman" w:hAnsi="Times New Roman"/>
                <w:sz w:val="24"/>
                <w:szCs w:val="24"/>
                <w:lang w:val="uk-UA"/>
              </w:rPr>
            </w:pPr>
          </w:p>
        </w:tc>
        <w:tc>
          <w:tcPr>
            <w:tcW w:w="1426" w:type="dxa"/>
          </w:tcPr>
          <w:p w:rsidR="0052072E" w:rsidRPr="00332C31" w:rsidRDefault="0052072E" w:rsidP="00721203">
            <w:pPr>
              <w:widowControl w:val="0"/>
              <w:rPr>
                <w:rFonts w:ascii="Times New Roman" w:hAnsi="Times New Roman"/>
                <w:sz w:val="24"/>
                <w:szCs w:val="24"/>
                <w:lang w:val="uk-UA"/>
              </w:rPr>
            </w:pPr>
            <w:r w:rsidRPr="00332C31">
              <w:rPr>
                <w:rFonts w:ascii="Times New Roman" w:hAnsi="Times New Roman"/>
                <w:sz w:val="24"/>
                <w:szCs w:val="24"/>
                <w:lang w:val="uk-UA"/>
              </w:rPr>
              <w:t>Наслідки</w:t>
            </w:r>
          </w:p>
        </w:tc>
        <w:tc>
          <w:tcPr>
            <w:tcW w:w="3826" w:type="dxa"/>
          </w:tcPr>
          <w:p w:rsidR="0052072E" w:rsidRPr="00332C31" w:rsidRDefault="0052072E" w:rsidP="00721203">
            <w:pPr>
              <w:widowControl w:val="0"/>
              <w:rPr>
                <w:rFonts w:ascii="Times New Roman" w:hAnsi="Times New Roman"/>
                <w:sz w:val="24"/>
                <w:szCs w:val="24"/>
                <w:lang w:val="uk-UA"/>
              </w:rPr>
            </w:pPr>
            <w:r w:rsidRPr="00332C31">
              <w:rPr>
                <w:rFonts w:ascii="Times New Roman" w:hAnsi="Times New Roman"/>
                <w:sz w:val="24"/>
                <w:szCs w:val="24"/>
                <w:lang w:val="uk-UA"/>
              </w:rPr>
              <w:t>Аналіз усіх наслідків лікування</w:t>
            </w:r>
          </w:p>
          <w:p w:rsidR="0052072E" w:rsidRPr="00332C31" w:rsidRDefault="0052072E" w:rsidP="00721203">
            <w:pPr>
              <w:widowControl w:val="0"/>
              <w:rPr>
                <w:rFonts w:ascii="Times New Roman" w:hAnsi="Times New Roman"/>
                <w:sz w:val="24"/>
                <w:szCs w:val="24"/>
                <w:lang w:val="uk-UA"/>
              </w:rPr>
            </w:pPr>
            <w:r w:rsidRPr="00332C31">
              <w:rPr>
                <w:rFonts w:ascii="Times New Roman" w:hAnsi="Times New Roman"/>
                <w:sz w:val="24"/>
                <w:szCs w:val="24"/>
                <w:lang w:val="uk-UA"/>
              </w:rPr>
              <w:t xml:space="preserve"> </w:t>
            </w:r>
          </w:p>
        </w:tc>
        <w:tc>
          <w:tcPr>
            <w:tcW w:w="3095" w:type="dxa"/>
          </w:tcPr>
          <w:p w:rsidR="0052072E" w:rsidRPr="00332C31" w:rsidRDefault="0052072E" w:rsidP="00721203">
            <w:pPr>
              <w:widowControl w:val="0"/>
              <w:rPr>
                <w:rFonts w:ascii="Times New Roman" w:hAnsi="Times New Roman"/>
                <w:sz w:val="24"/>
                <w:szCs w:val="24"/>
                <w:lang w:val="uk-UA"/>
              </w:rPr>
            </w:pPr>
            <w:r w:rsidRPr="00332C31">
              <w:rPr>
                <w:rFonts w:ascii="Times New Roman" w:hAnsi="Times New Roman"/>
                <w:sz w:val="24"/>
                <w:szCs w:val="24"/>
                <w:lang w:val="uk-UA"/>
              </w:rPr>
              <w:t>Збір статистичних показників та їх подальший аналіз</w:t>
            </w:r>
          </w:p>
        </w:tc>
        <w:tc>
          <w:tcPr>
            <w:tcW w:w="4514" w:type="dxa"/>
          </w:tcPr>
          <w:p w:rsidR="0052072E" w:rsidRPr="00332C31" w:rsidRDefault="0052072E" w:rsidP="00721203">
            <w:pPr>
              <w:widowControl w:val="0"/>
              <w:rPr>
                <w:rFonts w:ascii="Times New Roman" w:hAnsi="Times New Roman"/>
                <w:sz w:val="24"/>
                <w:szCs w:val="24"/>
                <w:lang w:val="uk-UA"/>
              </w:rPr>
            </w:pPr>
            <w:r w:rsidRPr="00332C31">
              <w:rPr>
                <w:rFonts w:ascii="Times New Roman" w:hAnsi="Times New Roman"/>
                <w:sz w:val="24"/>
                <w:szCs w:val="24"/>
                <w:lang w:val="uk-UA"/>
              </w:rPr>
              <w:t>Аналіз МЕ щодо визначення кількості ключових наслідків за окремими напрямами (пакетами) в окремих закладах</w:t>
            </w:r>
          </w:p>
          <w:p w:rsidR="0052072E" w:rsidRPr="00332C31" w:rsidRDefault="0052072E" w:rsidP="00721203">
            <w:pPr>
              <w:widowControl w:val="0"/>
              <w:rPr>
                <w:rFonts w:ascii="Times New Roman" w:hAnsi="Times New Roman"/>
                <w:sz w:val="24"/>
                <w:szCs w:val="24"/>
                <w:lang w:val="uk-UA"/>
              </w:rPr>
            </w:pPr>
            <w:r w:rsidRPr="00332C31">
              <w:rPr>
                <w:rFonts w:ascii="Times New Roman" w:hAnsi="Times New Roman"/>
                <w:sz w:val="24"/>
                <w:szCs w:val="24"/>
                <w:lang w:val="uk-UA"/>
              </w:rPr>
              <w:t>Коригуючі коефіцієнти за кращі наслідки</w:t>
            </w:r>
          </w:p>
        </w:tc>
      </w:tr>
    </w:tbl>
    <w:p w:rsidR="00C51B33" w:rsidRPr="00C51B33" w:rsidRDefault="00C51B33" w:rsidP="00E17B62">
      <w:pPr>
        <w:pageBreakBefore/>
        <w:jc w:val="right"/>
        <w:rPr>
          <w:i/>
        </w:rPr>
      </w:pPr>
      <w:r w:rsidRPr="00C51B33">
        <w:rPr>
          <w:i/>
        </w:rPr>
        <w:lastRenderedPageBreak/>
        <w:t>Продовження табл.. 8.1</w:t>
      </w:r>
    </w:p>
    <w:tbl>
      <w:tblPr>
        <w:tblStyle w:val="a6"/>
        <w:tblW w:w="0" w:type="auto"/>
        <w:tblLook w:val="04A0" w:firstRow="1" w:lastRow="0" w:firstColumn="1" w:lastColumn="0" w:noHBand="0" w:noVBand="1"/>
      </w:tblPr>
      <w:tblGrid>
        <w:gridCol w:w="2492"/>
        <w:gridCol w:w="1426"/>
        <w:gridCol w:w="3826"/>
        <w:gridCol w:w="3095"/>
        <w:gridCol w:w="4514"/>
      </w:tblGrid>
      <w:tr w:rsidR="0052072E" w:rsidRPr="00332C31" w:rsidTr="00C51B33">
        <w:tc>
          <w:tcPr>
            <w:tcW w:w="2492" w:type="dxa"/>
            <w:vMerge w:val="restart"/>
          </w:tcPr>
          <w:p w:rsidR="0052072E" w:rsidRPr="00332C31" w:rsidRDefault="0052072E" w:rsidP="00721203">
            <w:pPr>
              <w:widowControl w:val="0"/>
              <w:rPr>
                <w:rFonts w:ascii="Times New Roman" w:hAnsi="Times New Roman"/>
                <w:sz w:val="24"/>
                <w:szCs w:val="24"/>
                <w:lang w:val="uk-UA"/>
              </w:rPr>
            </w:pPr>
            <w:r w:rsidRPr="00332C31">
              <w:rPr>
                <w:rFonts w:ascii="Times New Roman" w:hAnsi="Times New Roman"/>
                <w:b/>
                <w:sz w:val="24"/>
                <w:szCs w:val="24"/>
                <w:lang w:val="uk-UA"/>
              </w:rPr>
              <w:t>Пацієнто-центричність</w:t>
            </w:r>
            <w:r w:rsidRPr="00332C31">
              <w:rPr>
                <w:rFonts w:ascii="Times New Roman" w:hAnsi="Times New Roman"/>
                <w:sz w:val="24"/>
                <w:szCs w:val="24"/>
                <w:lang w:val="uk-UA"/>
              </w:rPr>
              <w:t xml:space="preserve"> забезпечення пацієнтів такою допомогою, яка поважає й задовольняє їх індивідуальні вподобання, потреби і цінності та гарантує, що особисті цінності пацієнта є визначальними в прийнятті усіх клінічних рішень.</w:t>
            </w:r>
          </w:p>
        </w:tc>
        <w:tc>
          <w:tcPr>
            <w:tcW w:w="1426" w:type="dxa"/>
          </w:tcPr>
          <w:p w:rsidR="0052072E" w:rsidRPr="00332C31" w:rsidRDefault="0052072E" w:rsidP="00721203">
            <w:pPr>
              <w:widowControl w:val="0"/>
              <w:rPr>
                <w:rFonts w:ascii="Times New Roman" w:hAnsi="Times New Roman"/>
                <w:sz w:val="24"/>
                <w:szCs w:val="24"/>
                <w:lang w:val="uk-UA"/>
              </w:rPr>
            </w:pPr>
            <w:r w:rsidRPr="00332C31">
              <w:rPr>
                <w:rFonts w:ascii="Times New Roman" w:hAnsi="Times New Roman"/>
                <w:sz w:val="24"/>
                <w:szCs w:val="24"/>
                <w:lang w:val="uk-UA"/>
              </w:rPr>
              <w:t>Структура</w:t>
            </w:r>
          </w:p>
        </w:tc>
        <w:tc>
          <w:tcPr>
            <w:tcW w:w="3826" w:type="dxa"/>
          </w:tcPr>
          <w:p w:rsidR="0052072E" w:rsidRPr="00332C31" w:rsidRDefault="0052072E" w:rsidP="00721203">
            <w:pPr>
              <w:widowControl w:val="0"/>
              <w:rPr>
                <w:rFonts w:ascii="Times New Roman" w:hAnsi="Times New Roman"/>
                <w:sz w:val="24"/>
                <w:szCs w:val="24"/>
                <w:lang w:val="uk-UA"/>
              </w:rPr>
            </w:pPr>
            <w:r w:rsidRPr="00332C31">
              <w:rPr>
                <w:rFonts w:ascii="Times New Roman" w:hAnsi="Times New Roman"/>
                <w:sz w:val="24"/>
                <w:szCs w:val="24"/>
                <w:lang w:val="uk-UA"/>
              </w:rPr>
              <w:t>Сайт з наявною інформацією щодо структури закладу, графіку роботи, пакетів за якими вони надають медичну допомогу,</w:t>
            </w:r>
          </w:p>
        </w:tc>
        <w:tc>
          <w:tcPr>
            <w:tcW w:w="3095" w:type="dxa"/>
          </w:tcPr>
          <w:p w:rsidR="0052072E" w:rsidRPr="00332C31" w:rsidRDefault="0052072E" w:rsidP="00721203">
            <w:pPr>
              <w:widowControl w:val="0"/>
              <w:rPr>
                <w:rFonts w:ascii="Times New Roman" w:hAnsi="Times New Roman"/>
                <w:sz w:val="24"/>
                <w:szCs w:val="24"/>
                <w:lang w:val="uk-UA"/>
              </w:rPr>
            </w:pPr>
          </w:p>
        </w:tc>
        <w:tc>
          <w:tcPr>
            <w:tcW w:w="4514" w:type="dxa"/>
          </w:tcPr>
          <w:p w:rsidR="0052072E" w:rsidRPr="00332C31" w:rsidRDefault="0052072E" w:rsidP="00721203">
            <w:pPr>
              <w:widowControl w:val="0"/>
              <w:rPr>
                <w:rFonts w:ascii="Times New Roman" w:hAnsi="Times New Roman"/>
                <w:sz w:val="24"/>
                <w:szCs w:val="24"/>
                <w:lang w:val="uk-UA"/>
              </w:rPr>
            </w:pPr>
            <w:r w:rsidRPr="00332C31">
              <w:rPr>
                <w:rFonts w:ascii="Times New Roman" w:hAnsi="Times New Roman"/>
                <w:sz w:val="24"/>
                <w:szCs w:val="24"/>
                <w:lang w:val="uk-UA"/>
              </w:rPr>
              <w:t>Пункт у Вимогах щодо наявності інструменту з оцінювання рівня задоволеності пацієнтів наданою медичною послугою з подальшою перевіркою наявності цієї опції</w:t>
            </w:r>
          </w:p>
        </w:tc>
      </w:tr>
      <w:tr w:rsidR="0052072E" w:rsidRPr="00332C31" w:rsidTr="00C51B33">
        <w:tc>
          <w:tcPr>
            <w:tcW w:w="2492" w:type="dxa"/>
            <w:vMerge/>
          </w:tcPr>
          <w:p w:rsidR="0052072E" w:rsidRPr="00332C31" w:rsidRDefault="0052072E" w:rsidP="00721203">
            <w:pPr>
              <w:widowControl w:val="0"/>
              <w:rPr>
                <w:rFonts w:ascii="Times New Roman" w:hAnsi="Times New Roman"/>
                <w:sz w:val="24"/>
                <w:szCs w:val="24"/>
                <w:lang w:val="uk-UA"/>
              </w:rPr>
            </w:pPr>
          </w:p>
        </w:tc>
        <w:tc>
          <w:tcPr>
            <w:tcW w:w="1426" w:type="dxa"/>
          </w:tcPr>
          <w:p w:rsidR="0052072E" w:rsidRPr="00332C31" w:rsidRDefault="0052072E" w:rsidP="00721203">
            <w:pPr>
              <w:widowControl w:val="0"/>
              <w:rPr>
                <w:rFonts w:ascii="Times New Roman" w:hAnsi="Times New Roman"/>
                <w:sz w:val="24"/>
                <w:szCs w:val="24"/>
                <w:lang w:val="uk-UA"/>
              </w:rPr>
            </w:pPr>
            <w:r w:rsidRPr="00332C31">
              <w:rPr>
                <w:rFonts w:ascii="Times New Roman" w:hAnsi="Times New Roman"/>
                <w:sz w:val="24"/>
                <w:szCs w:val="24"/>
                <w:lang w:val="uk-UA"/>
              </w:rPr>
              <w:t>Процес</w:t>
            </w:r>
          </w:p>
        </w:tc>
        <w:tc>
          <w:tcPr>
            <w:tcW w:w="3826" w:type="dxa"/>
          </w:tcPr>
          <w:p w:rsidR="0052072E" w:rsidRPr="00332C31" w:rsidRDefault="0052072E" w:rsidP="00721203">
            <w:pPr>
              <w:widowControl w:val="0"/>
              <w:rPr>
                <w:rFonts w:ascii="Times New Roman" w:hAnsi="Times New Roman"/>
                <w:sz w:val="24"/>
                <w:szCs w:val="24"/>
                <w:lang w:val="uk-UA"/>
              </w:rPr>
            </w:pPr>
            <w:r w:rsidRPr="00332C31">
              <w:rPr>
                <w:rFonts w:ascii="Times New Roman" w:hAnsi="Times New Roman"/>
                <w:sz w:val="24"/>
                <w:szCs w:val="24"/>
                <w:lang w:val="uk-UA"/>
              </w:rPr>
              <w:t>Інформована згода</w:t>
            </w:r>
          </w:p>
          <w:p w:rsidR="0052072E" w:rsidRPr="00332C31" w:rsidRDefault="0052072E" w:rsidP="00721203">
            <w:pPr>
              <w:widowControl w:val="0"/>
              <w:rPr>
                <w:rFonts w:ascii="Times New Roman" w:hAnsi="Times New Roman"/>
                <w:sz w:val="24"/>
                <w:szCs w:val="24"/>
                <w:lang w:val="uk-UA"/>
              </w:rPr>
            </w:pPr>
            <w:r w:rsidRPr="00332C31">
              <w:rPr>
                <w:rFonts w:ascii="Times New Roman" w:hAnsi="Times New Roman"/>
                <w:sz w:val="24"/>
                <w:szCs w:val="24"/>
                <w:lang w:val="uk-UA"/>
              </w:rPr>
              <w:t>Освітня інформація на сайті, друкована у вигляді листівок, стенди</w:t>
            </w:r>
          </w:p>
        </w:tc>
        <w:tc>
          <w:tcPr>
            <w:tcW w:w="3095" w:type="dxa"/>
          </w:tcPr>
          <w:p w:rsidR="0052072E" w:rsidRPr="00332C31" w:rsidRDefault="0052072E" w:rsidP="00721203">
            <w:pPr>
              <w:widowControl w:val="0"/>
              <w:rPr>
                <w:rFonts w:ascii="Times New Roman" w:hAnsi="Times New Roman"/>
                <w:sz w:val="24"/>
                <w:szCs w:val="24"/>
                <w:lang w:val="uk-UA"/>
              </w:rPr>
            </w:pPr>
            <w:r w:rsidRPr="00332C31">
              <w:rPr>
                <w:rFonts w:ascii="Times New Roman" w:hAnsi="Times New Roman"/>
                <w:sz w:val="24"/>
                <w:szCs w:val="24"/>
                <w:lang w:val="uk-UA"/>
              </w:rPr>
              <w:t>Підготовка освітніх матеріалів Центром громадського здоров’я</w:t>
            </w:r>
          </w:p>
        </w:tc>
        <w:tc>
          <w:tcPr>
            <w:tcW w:w="4514" w:type="dxa"/>
          </w:tcPr>
          <w:p w:rsidR="0052072E" w:rsidRPr="00332C31" w:rsidRDefault="0052072E" w:rsidP="00721203">
            <w:pPr>
              <w:widowControl w:val="0"/>
              <w:rPr>
                <w:rFonts w:ascii="Times New Roman" w:hAnsi="Times New Roman"/>
                <w:sz w:val="24"/>
                <w:szCs w:val="24"/>
                <w:lang w:val="uk-UA"/>
              </w:rPr>
            </w:pPr>
            <w:r w:rsidRPr="00332C31">
              <w:rPr>
                <w:rFonts w:ascii="Times New Roman" w:hAnsi="Times New Roman"/>
                <w:sz w:val="24"/>
                <w:szCs w:val="24"/>
                <w:lang w:val="uk-UA"/>
              </w:rPr>
              <w:t>Гаряча лінія для пацієнтів</w:t>
            </w:r>
          </w:p>
        </w:tc>
      </w:tr>
      <w:tr w:rsidR="0052072E" w:rsidRPr="00332C31" w:rsidTr="00C51B33">
        <w:tc>
          <w:tcPr>
            <w:tcW w:w="2492" w:type="dxa"/>
            <w:vMerge/>
          </w:tcPr>
          <w:p w:rsidR="0052072E" w:rsidRPr="00332C31" w:rsidRDefault="0052072E" w:rsidP="00721203">
            <w:pPr>
              <w:widowControl w:val="0"/>
              <w:rPr>
                <w:rFonts w:ascii="Times New Roman" w:hAnsi="Times New Roman"/>
                <w:sz w:val="24"/>
                <w:szCs w:val="24"/>
                <w:lang w:val="uk-UA"/>
              </w:rPr>
            </w:pPr>
          </w:p>
        </w:tc>
        <w:tc>
          <w:tcPr>
            <w:tcW w:w="1426" w:type="dxa"/>
          </w:tcPr>
          <w:p w:rsidR="0052072E" w:rsidRPr="00332C31" w:rsidRDefault="0052072E" w:rsidP="00721203">
            <w:pPr>
              <w:widowControl w:val="0"/>
              <w:rPr>
                <w:rFonts w:ascii="Times New Roman" w:hAnsi="Times New Roman"/>
                <w:sz w:val="24"/>
                <w:szCs w:val="24"/>
                <w:lang w:val="uk-UA"/>
              </w:rPr>
            </w:pPr>
            <w:r w:rsidRPr="00332C31">
              <w:rPr>
                <w:rFonts w:ascii="Times New Roman" w:hAnsi="Times New Roman"/>
                <w:sz w:val="24"/>
                <w:szCs w:val="24"/>
                <w:lang w:val="uk-UA"/>
              </w:rPr>
              <w:t>Наслідки</w:t>
            </w:r>
          </w:p>
        </w:tc>
        <w:tc>
          <w:tcPr>
            <w:tcW w:w="3826" w:type="dxa"/>
          </w:tcPr>
          <w:p w:rsidR="0052072E" w:rsidRPr="00332C31" w:rsidRDefault="0052072E" w:rsidP="00721203">
            <w:pPr>
              <w:widowControl w:val="0"/>
              <w:rPr>
                <w:rFonts w:ascii="Times New Roman" w:hAnsi="Times New Roman"/>
                <w:sz w:val="24"/>
                <w:szCs w:val="24"/>
                <w:lang w:val="uk-UA"/>
              </w:rPr>
            </w:pPr>
            <w:r w:rsidRPr="00332C31">
              <w:rPr>
                <w:rFonts w:ascii="Times New Roman" w:hAnsi="Times New Roman"/>
                <w:sz w:val="24"/>
                <w:szCs w:val="24"/>
                <w:lang w:val="uk-UA"/>
              </w:rPr>
              <w:t>Анкетування пацієнта щодо рівня їх задоволеності наданої медичною послугою</w:t>
            </w:r>
          </w:p>
          <w:p w:rsidR="0052072E" w:rsidRPr="00332C31" w:rsidRDefault="0052072E" w:rsidP="00721203">
            <w:pPr>
              <w:widowControl w:val="0"/>
              <w:rPr>
                <w:rFonts w:ascii="Times New Roman" w:hAnsi="Times New Roman"/>
                <w:sz w:val="24"/>
                <w:szCs w:val="24"/>
                <w:lang w:val="uk-UA"/>
              </w:rPr>
            </w:pPr>
            <w:r w:rsidRPr="00332C31">
              <w:rPr>
                <w:rFonts w:ascii="Times New Roman" w:hAnsi="Times New Roman"/>
                <w:sz w:val="24"/>
                <w:szCs w:val="24"/>
                <w:lang w:val="uk-UA"/>
              </w:rPr>
              <w:t>Окрема сторінка на сайті для відгуків</w:t>
            </w:r>
          </w:p>
        </w:tc>
        <w:tc>
          <w:tcPr>
            <w:tcW w:w="3095" w:type="dxa"/>
          </w:tcPr>
          <w:p w:rsidR="0052072E" w:rsidRPr="00332C31" w:rsidRDefault="0052072E" w:rsidP="00721203">
            <w:pPr>
              <w:widowControl w:val="0"/>
              <w:rPr>
                <w:rFonts w:ascii="Times New Roman" w:hAnsi="Times New Roman"/>
                <w:sz w:val="24"/>
                <w:szCs w:val="24"/>
                <w:lang w:val="uk-UA"/>
              </w:rPr>
            </w:pPr>
            <w:r w:rsidRPr="00332C31">
              <w:rPr>
                <w:rFonts w:ascii="Times New Roman" w:hAnsi="Times New Roman"/>
                <w:sz w:val="24"/>
                <w:szCs w:val="24"/>
                <w:lang w:val="uk-UA"/>
              </w:rPr>
              <w:t>Аналіз скарг</w:t>
            </w:r>
          </w:p>
        </w:tc>
        <w:tc>
          <w:tcPr>
            <w:tcW w:w="4514" w:type="dxa"/>
          </w:tcPr>
          <w:p w:rsidR="0052072E" w:rsidRPr="00332C31" w:rsidRDefault="0052072E" w:rsidP="00721203">
            <w:pPr>
              <w:widowControl w:val="0"/>
              <w:rPr>
                <w:rFonts w:ascii="Times New Roman" w:hAnsi="Times New Roman"/>
                <w:sz w:val="24"/>
                <w:szCs w:val="24"/>
                <w:lang w:val="uk-UA"/>
              </w:rPr>
            </w:pPr>
            <w:r w:rsidRPr="00332C31">
              <w:rPr>
                <w:rFonts w:ascii="Times New Roman" w:hAnsi="Times New Roman"/>
                <w:sz w:val="24"/>
                <w:szCs w:val="24"/>
                <w:lang w:val="uk-UA"/>
              </w:rPr>
              <w:t>База даних/реєстр скарг за закладами:</w:t>
            </w:r>
          </w:p>
          <w:p w:rsidR="0052072E" w:rsidRPr="00332C31" w:rsidRDefault="0052072E" w:rsidP="00721203">
            <w:pPr>
              <w:widowControl w:val="0"/>
              <w:ind w:left="228"/>
              <w:rPr>
                <w:rFonts w:ascii="Times New Roman" w:hAnsi="Times New Roman"/>
                <w:sz w:val="24"/>
                <w:szCs w:val="24"/>
                <w:lang w:val="uk-UA"/>
              </w:rPr>
            </w:pPr>
            <w:r w:rsidRPr="00332C31">
              <w:rPr>
                <w:rFonts w:ascii="Times New Roman" w:hAnsi="Times New Roman"/>
                <w:sz w:val="24"/>
                <w:szCs w:val="24"/>
                <w:lang w:val="uk-UA"/>
              </w:rPr>
              <w:t>-вимагання грошей</w:t>
            </w:r>
          </w:p>
          <w:p w:rsidR="0052072E" w:rsidRPr="00332C31" w:rsidRDefault="0052072E" w:rsidP="00721203">
            <w:pPr>
              <w:widowControl w:val="0"/>
              <w:ind w:left="228"/>
              <w:rPr>
                <w:rFonts w:ascii="Times New Roman" w:hAnsi="Times New Roman"/>
                <w:sz w:val="24"/>
                <w:szCs w:val="24"/>
                <w:lang w:val="uk-UA"/>
              </w:rPr>
            </w:pPr>
            <w:r w:rsidRPr="00332C31">
              <w:rPr>
                <w:rFonts w:ascii="Times New Roman" w:hAnsi="Times New Roman"/>
                <w:sz w:val="24"/>
                <w:szCs w:val="24"/>
                <w:lang w:val="uk-UA"/>
              </w:rPr>
              <w:t>-незадоволеність медичною послугою</w:t>
            </w:r>
          </w:p>
          <w:p w:rsidR="0052072E" w:rsidRPr="00332C31" w:rsidRDefault="0052072E" w:rsidP="00721203">
            <w:pPr>
              <w:widowControl w:val="0"/>
              <w:rPr>
                <w:rFonts w:ascii="Times New Roman" w:hAnsi="Times New Roman"/>
                <w:sz w:val="24"/>
                <w:szCs w:val="24"/>
                <w:lang w:val="uk-UA"/>
              </w:rPr>
            </w:pPr>
            <w:r w:rsidRPr="00332C31">
              <w:rPr>
                <w:rFonts w:ascii="Times New Roman" w:hAnsi="Times New Roman"/>
                <w:sz w:val="24"/>
                <w:szCs w:val="24"/>
                <w:lang w:val="uk-UA"/>
              </w:rPr>
              <w:t xml:space="preserve">Анкетування пацієнтів під час моніторингових візитів </w:t>
            </w:r>
          </w:p>
        </w:tc>
      </w:tr>
      <w:tr w:rsidR="0052072E" w:rsidRPr="00332C31" w:rsidTr="007629A4">
        <w:trPr>
          <w:trHeight w:val="964"/>
        </w:trPr>
        <w:tc>
          <w:tcPr>
            <w:tcW w:w="2492" w:type="dxa"/>
            <w:vMerge w:val="restart"/>
          </w:tcPr>
          <w:p w:rsidR="0052072E" w:rsidRPr="00332C31" w:rsidRDefault="0052072E" w:rsidP="00721203">
            <w:pPr>
              <w:widowControl w:val="0"/>
              <w:rPr>
                <w:rFonts w:ascii="Times New Roman" w:hAnsi="Times New Roman"/>
                <w:sz w:val="24"/>
                <w:szCs w:val="24"/>
                <w:lang w:val="uk-UA"/>
              </w:rPr>
            </w:pPr>
            <w:r w:rsidRPr="00332C31">
              <w:rPr>
                <w:rFonts w:ascii="Times New Roman" w:hAnsi="Times New Roman"/>
                <w:b/>
                <w:sz w:val="24"/>
                <w:szCs w:val="24"/>
                <w:lang w:val="uk-UA"/>
              </w:rPr>
              <w:t>Своєчасність:</w:t>
            </w:r>
            <w:r w:rsidRPr="00332C31">
              <w:rPr>
                <w:rFonts w:ascii="Times New Roman" w:hAnsi="Times New Roman"/>
                <w:sz w:val="24"/>
                <w:szCs w:val="24"/>
                <w:lang w:val="uk-UA"/>
              </w:rPr>
              <w:t xml:space="preserve"> скорочення невиправданих очікувань, а іноді шкідливих затримок як для тих, хто отримує допомогу, так і для тих, хто її надає.</w:t>
            </w:r>
          </w:p>
        </w:tc>
        <w:tc>
          <w:tcPr>
            <w:tcW w:w="1426" w:type="dxa"/>
          </w:tcPr>
          <w:p w:rsidR="0052072E" w:rsidRPr="00332C31" w:rsidRDefault="0052072E" w:rsidP="00721203">
            <w:pPr>
              <w:widowControl w:val="0"/>
              <w:rPr>
                <w:rFonts w:ascii="Times New Roman" w:hAnsi="Times New Roman"/>
                <w:sz w:val="24"/>
                <w:szCs w:val="24"/>
                <w:lang w:val="uk-UA"/>
              </w:rPr>
            </w:pPr>
            <w:r w:rsidRPr="00332C31">
              <w:rPr>
                <w:rFonts w:ascii="Times New Roman" w:hAnsi="Times New Roman"/>
                <w:sz w:val="24"/>
                <w:szCs w:val="24"/>
                <w:lang w:val="uk-UA"/>
              </w:rPr>
              <w:t>Структура</w:t>
            </w:r>
          </w:p>
        </w:tc>
        <w:tc>
          <w:tcPr>
            <w:tcW w:w="3826" w:type="dxa"/>
          </w:tcPr>
          <w:p w:rsidR="0052072E" w:rsidRPr="00332C31" w:rsidRDefault="0052072E" w:rsidP="00721203">
            <w:pPr>
              <w:widowControl w:val="0"/>
              <w:rPr>
                <w:rFonts w:ascii="Times New Roman" w:hAnsi="Times New Roman"/>
                <w:sz w:val="24"/>
                <w:szCs w:val="24"/>
                <w:lang w:val="uk-UA"/>
              </w:rPr>
            </w:pPr>
            <w:r w:rsidRPr="00332C31">
              <w:rPr>
                <w:rFonts w:ascii="Times New Roman" w:hAnsi="Times New Roman"/>
                <w:sz w:val="24"/>
                <w:szCs w:val="24"/>
                <w:lang w:val="uk-UA"/>
              </w:rPr>
              <w:t>Відповідне інфраструктурне, ресурсне, у т.ч. інформаційне забезпечення</w:t>
            </w:r>
          </w:p>
        </w:tc>
        <w:tc>
          <w:tcPr>
            <w:tcW w:w="3095" w:type="dxa"/>
          </w:tcPr>
          <w:p w:rsidR="0052072E" w:rsidRPr="00332C31" w:rsidRDefault="0052072E" w:rsidP="00721203">
            <w:pPr>
              <w:widowControl w:val="0"/>
              <w:rPr>
                <w:rFonts w:ascii="Times New Roman" w:hAnsi="Times New Roman"/>
                <w:sz w:val="24"/>
                <w:szCs w:val="24"/>
                <w:lang w:val="uk-UA"/>
              </w:rPr>
            </w:pPr>
          </w:p>
        </w:tc>
        <w:tc>
          <w:tcPr>
            <w:tcW w:w="4514" w:type="dxa"/>
          </w:tcPr>
          <w:p w:rsidR="0052072E" w:rsidRPr="00332C31" w:rsidRDefault="0052072E" w:rsidP="00721203">
            <w:pPr>
              <w:widowControl w:val="0"/>
              <w:rPr>
                <w:rFonts w:ascii="Times New Roman" w:hAnsi="Times New Roman"/>
                <w:sz w:val="24"/>
                <w:szCs w:val="24"/>
                <w:lang w:val="uk-UA"/>
              </w:rPr>
            </w:pPr>
          </w:p>
        </w:tc>
      </w:tr>
      <w:tr w:rsidR="0052072E" w:rsidRPr="00332C31" w:rsidTr="00C51B33">
        <w:tc>
          <w:tcPr>
            <w:tcW w:w="2492" w:type="dxa"/>
            <w:vMerge/>
          </w:tcPr>
          <w:p w:rsidR="0052072E" w:rsidRPr="00332C31" w:rsidRDefault="0052072E" w:rsidP="00721203">
            <w:pPr>
              <w:widowControl w:val="0"/>
              <w:rPr>
                <w:rFonts w:ascii="Times New Roman" w:hAnsi="Times New Roman"/>
                <w:sz w:val="24"/>
                <w:szCs w:val="24"/>
                <w:lang w:val="uk-UA"/>
              </w:rPr>
            </w:pPr>
          </w:p>
        </w:tc>
        <w:tc>
          <w:tcPr>
            <w:tcW w:w="1426" w:type="dxa"/>
          </w:tcPr>
          <w:p w:rsidR="0052072E" w:rsidRPr="00332C31" w:rsidRDefault="0052072E" w:rsidP="00721203">
            <w:pPr>
              <w:widowControl w:val="0"/>
              <w:rPr>
                <w:rFonts w:ascii="Times New Roman" w:hAnsi="Times New Roman"/>
                <w:sz w:val="24"/>
                <w:szCs w:val="24"/>
                <w:lang w:val="uk-UA"/>
              </w:rPr>
            </w:pPr>
            <w:r w:rsidRPr="00332C31">
              <w:rPr>
                <w:rFonts w:ascii="Times New Roman" w:hAnsi="Times New Roman"/>
                <w:sz w:val="24"/>
                <w:szCs w:val="24"/>
                <w:lang w:val="uk-UA"/>
              </w:rPr>
              <w:t>Процес</w:t>
            </w:r>
          </w:p>
        </w:tc>
        <w:tc>
          <w:tcPr>
            <w:tcW w:w="3826" w:type="dxa"/>
          </w:tcPr>
          <w:p w:rsidR="0052072E" w:rsidRPr="00332C31" w:rsidRDefault="0052072E" w:rsidP="00721203">
            <w:pPr>
              <w:widowControl w:val="0"/>
              <w:rPr>
                <w:rFonts w:ascii="Times New Roman" w:hAnsi="Times New Roman"/>
                <w:sz w:val="24"/>
                <w:szCs w:val="24"/>
                <w:lang w:val="uk-UA"/>
              </w:rPr>
            </w:pPr>
            <w:r w:rsidRPr="00332C31">
              <w:rPr>
                <w:rFonts w:ascii="Times New Roman" w:hAnsi="Times New Roman"/>
                <w:sz w:val="24"/>
                <w:szCs w:val="24"/>
                <w:lang w:val="uk-UA"/>
              </w:rPr>
              <w:t>Розроблення маршрутів пацієнтів як на рівні лікарні, так і на рівні області</w:t>
            </w:r>
          </w:p>
          <w:p w:rsidR="0052072E" w:rsidRPr="00332C31" w:rsidRDefault="0052072E" w:rsidP="00721203">
            <w:pPr>
              <w:widowControl w:val="0"/>
              <w:rPr>
                <w:rFonts w:ascii="Times New Roman" w:hAnsi="Times New Roman"/>
                <w:sz w:val="24"/>
                <w:szCs w:val="24"/>
                <w:lang w:val="uk-UA"/>
              </w:rPr>
            </w:pPr>
            <w:r w:rsidRPr="00332C31">
              <w:rPr>
                <w:rFonts w:ascii="Times New Roman" w:hAnsi="Times New Roman"/>
                <w:sz w:val="24"/>
                <w:szCs w:val="24"/>
                <w:lang w:val="uk-UA"/>
              </w:rPr>
              <w:t>Моніторинг часу очікування пацієнтів у приймальному відділенні, проведення ключових важливих інтервенцій тощо</w:t>
            </w:r>
          </w:p>
          <w:p w:rsidR="0052072E" w:rsidRPr="00332C31" w:rsidRDefault="0052072E" w:rsidP="00721203">
            <w:pPr>
              <w:widowControl w:val="0"/>
              <w:rPr>
                <w:rFonts w:ascii="Times New Roman" w:hAnsi="Times New Roman"/>
                <w:sz w:val="24"/>
                <w:szCs w:val="24"/>
                <w:lang w:val="uk-UA"/>
              </w:rPr>
            </w:pPr>
            <w:r w:rsidRPr="00332C31">
              <w:rPr>
                <w:rFonts w:ascii="Times New Roman" w:hAnsi="Times New Roman"/>
                <w:sz w:val="24"/>
                <w:szCs w:val="24"/>
                <w:lang w:val="uk-UA"/>
              </w:rPr>
              <w:t>Онлайн-черги для планових пацієнтів</w:t>
            </w:r>
          </w:p>
        </w:tc>
        <w:tc>
          <w:tcPr>
            <w:tcW w:w="3095" w:type="dxa"/>
          </w:tcPr>
          <w:p w:rsidR="0052072E" w:rsidRPr="00332C31" w:rsidRDefault="0052072E" w:rsidP="00721203">
            <w:pPr>
              <w:widowControl w:val="0"/>
              <w:rPr>
                <w:rFonts w:ascii="Times New Roman" w:hAnsi="Times New Roman"/>
                <w:sz w:val="24"/>
                <w:szCs w:val="24"/>
                <w:lang w:val="uk-UA"/>
              </w:rPr>
            </w:pPr>
            <w:r w:rsidRPr="00332C31">
              <w:rPr>
                <w:rFonts w:ascii="Times New Roman" w:hAnsi="Times New Roman"/>
                <w:sz w:val="24"/>
                <w:szCs w:val="24"/>
                <w:lang w:val="uk-UA"/>
              </w:rPr>
              <w:t>Зовнішній аудит щодо дотримання протоколів та стандартів</w:t>
            </w:r>
          </w:p>
          <w:p w:rsidR="0052072E" w:rsidRPr="00332C31" w:rsidRDefault="0052072E" w:rsidP="00721203">
            <w:pPr>
              <w:widowControl w:val="0"/>
              <w:rPr>
                <w:rFonts w:ascii="Times New Roman" w:hAnsi="Times New Roman"/>
                <w:sz w:val="24"/>
                <w:szCs w:val="24"/>
                <w:lang w:val="uk-UA"/>
              </w:rPr>
            </w:pPr>
            <w:r w:rsidRPr="00332C31">
              <w:rPr>
                <w:rFonts w:ascii="Times New Roman" w:hAnsi="Times New Roman"/>
                <w:sz w:val="24"/>
                <w:szCs w:val="24"/>
                <w:lang w:val="uk-UA"/>
              </w:rPr>
              <w:t>Скарги пацієнтів</w:t>
            </w:r>
          </w:p>
        </w:tc>
        <w:tc>
          <w:tcPr>
            <w:tcW w:w="4514" w:type="dxa"/>
          </w:tcPr>
          <w:p w:rsidR="0052072E" w:rsidRPr="00332C31" w:rsidRDefault="0052072E" w:rsidP="00721203">
            <w:pPr>
              <w:widowControl w:val="0"/>
              <w:rPr>
                <w:rFonts w:ascii="Times New Roman" w:hAnsi="Times New Roman"/>
                <w:sz w:val="24"/>
                <w:szCs w:val="24"/>
                <w:lang w:val="uk-UA"/>
              </w:rPr>
            </w:pPr>
            <w:r w:rsidRPr="00332C31">
              <w:rPr>
                <w:rFonts w:ascii="Times New Roman" w:hAnsi="Times New Roman"/>
                <w:sz w:val="24"/>
                <w:szCs w:val="24"/>
                <w:lang w:val="uk-UA"/>
              </w:rPr>
              <w:t>На перспективу – моніторинг індикаторів, які свідчать про затримку надання медичної допомоги</w:t>
            </w:r>
          </w:p>
          <w:p w:rsidR="0052072E" w:rsidRPr="00332C31" w:rsidRDefault="0052072E" w:rsidP="00721203">
            <w:pPr>
              <w:widowControl w:val="0"/>
              <w:rPr>
                <w:rFonts w:ascii="Times New Roman" w:hAnsi="Times New Roman"/>
                <w:sz w:val="24"/>
                <w:szCs w:val="24"/>
                <w:lang w:val="uk-UA"/>
              </w:rPr>
            </w:pPr>
            <w:r w:rsidRPr="00332C31">
              <w:rPr>
                <w:rFonts w:ascii="Times New Roman" w:hAnsi="Times New Roman"/>
                <w:sz w:val="24"/>
                <w:szCs w:val="24"/>
                <w:lang w:val="uk-UA"/>
              </w:rPr>
              <w:t xml:space="preserve">Скарги пацієнтів </w:t>
            </w:r>
          </w:p>
          <w:p w:rsidR="0052072E" w:rsidRPr="00332C31" w:rsidRDefault="0052072E" w:rsidP="00721203">
            <w:pPr>
              <w:widowControl w:val="0"/>
              <w:rPr>
                <w:rFonts w:ascii="Times New Roman" w:hAnsi="Times New Roman"/>
                <w:sz w:val="24"/>
                <w:szCs w:val="24"/>
                <w:lang w:val="uk-UA"/>
              </w:rPr>
            </w:pPr>
          </w:p>
        </w:tc>
      </w:tr>
      <w:tr w:rsidR="0052072E" w:rsidRPr="00332C31" w:rsidTr="007629A4">
        <w:trPr>
          <w:trHeight w:val="1026"/>
        </w:trPr>
        <w:tc>
          <w:tcPr>
            <w:tcW w:w="2492" w:type="dxa"/>
            <w:vMerge/>
          </w:tcPr>
          <w:p w:rsidR="0052072E" w:rsidRPr="00332C31" w:rsidRDefault="0052072E" w:rsidP="00721203">
            <w:pPr>
              <w:widowControl w:val="0"/>
              <w:rPr>
                <w:rFonts w:ascii="Times New Roman" w:hAnsi="Times New Roman"/>
                <w:sz w:val="24"/>
                <w:szCs w:val="24"/>
                <w:lang w:val="uk-UA"/>
              </w:rPr>
            </w:pPr>
          </w:p>
        </w:tc>
        <w:tc>
          <w:tcPr>
            <w:tcW w:w="1426" w:type="dxa"/>
          </w:tcPr>
          <w:p w:rsidR="0052072E" w:rsidRPr="00332C31" w:rsidRDefault="0052072E" w:rsidP="00721203">
            <w:pPr>
              <w:widowControl w:val="0"/>
              <w:rPr>
                <w:rFonts w:ascii="Times New Roman" w:hAnsi="Times New Roman"/>
                <w:sz w:val="24"/>
                <w:szCs w:val="24"/>
                <w:lang w:val="uk-UA"/>
              </w:rPr>
            </w:pPr>
            <w:r w:rsidRPr="00332C31">
              <w:rPr>
                <w:rFonts w:ascii="Times New Roman" w:hAnsi="Times New Roman"/>
                <w:sz w:val="24"/>
                <w:szCs w:val="24"/>
                <w:lang w:val="uk-UA"/>
              </w:rPr>
              <w:t>Наслідки</w:t>
            </w:r>
          </w:p>
        </w:tc>
        <w:tc>
          <w:tcPr>
            <w:tcW w:w="3826" w:type="dxa"/>
          </w:tcPr>
          <w:p w:rsidR="0052072E" w:rsidRPr="00332C31" w:rsidRDefault="0052072E" w:rsidP="00721203">
            <w:pPr>
              <w:widowControl w:val="0"/>
              <w:rPr>
                <w:rFonts w:ascii="Times New Roman" w:hAnsi="Times New Roman"/>
                <w:sz w:val="24"/>
                <w:szCs w:val="24"/>
                <w:lang w:val="uk-UA"/>
              </w:rPr>
            </w:pPr>
            <w:r w:rsidRPr="00332C31">
              <w:rPr>
                <w:rFonts w:ascii="Times New Roman" w:hAnsi="Times New Roman"/>
                <w:sz w:val="24"/>
                <w:szCs w:val="24"/>
                <w:lang w:val="uk-UA"/>
              </w:rPr>
              <w:t>Моніторинг індикаторів, які свідчать про несвоєчасну медичну допомогу</w:t>
            </w:r>
          </w:p>
        </w:tc>
        <w:tc>
          <w:tcPr>
            <w:tcW w:w="3095" w:type="dxa"/>
          </w:tcPr>
          <w:p w:rsidR="0052072E" w:rsidRPr="00332C31" w:rsidRDefault="0052072E" w:rsidP="00721203">
            <w:pPr>
              <w:widowControl w:val="0"/>
              <w:rPr>
                <w:rFonts w:ascii="Times New Roman" w:hAnsi="Times New Roman"/>
                <w:sz w:val="24"/>
                <w:szCs w:val="24"/>
                <w:lang w:val="uk-UA"/>
              </w:rPr>
            </w:pPr>
          </w:p>
        </w:tc>
        <w:tc>
          <w:tcPr>
            <w:tcW w:w="4514" w:type="dxa"/>
          </w:tcPr>
          <w:p w:rsidR="0052072E" w:rsidRPr="00332C31" w:rsidRDefault="0052072E" w:rsidP="00721203">
            <w:pPr>
              <w:widowControl w:val="0"/>
              <w:rPr>
                <w:rFonts w:ascii="Times New Roman" w:hAnsi="Times New Roman"/>
                <w:sz w:val="24"/>
                <w:szCs w:val="24"/>
                <w:lang w:val="uk-UA"/>
              </w:rPr>
            </w:pPr>
            <w:r w:rsidRPr="00332C31">
              <w:rPr>
                <w:rFonts w:ascii="Times New Roman" w:hAnsi="Times New Roman"/>
                <w:sz w:val="24"/>
                <w:szCs w:val="24"/>
                <w:lang w:val="uk-UA"/>
              </w:rPr>
              <w:t>Коригуючі коефіцієнти за кращі наслідки (своєчасне скеровування пацієнта з Інсультом у потрібний заклад)</w:t>
            </w:r>
          </w:p>
        </w:tc>
      </w:tr>
    </w:tbl>
    <w:p w:rsidR="00316313" w:rsidRDefault="00316313" w:rsidP="007629A4">
      <w:pPr>
        <w:jc w:val="right"/>
        <w:rPr>
          <w:i/>
        </w:rPr>
      </w:pPr>
    </w:p>
    <w:p w:rsidR="007629A4" w:rsidRPr="007629A4" w:rsidRDefault="007629A4" w:rsidP="007629A4">
      <w:pPr>
        <w:jc w:val="right"/>
        <w:rPr>
          <w:i/>
        </w:rPr>
      </w:pPr>
      <w:r w:rsidRPr="007629A4">
        <w:rPr>
          <w:i/>
        </w:rPr>
        <w:lastRenderedPageBreak/>
        <w:t>Продовження табл.. 8.1</w:t>
      </w:r>
    </w:p>
    <w:tbl>
      <w:tblPr>
        <w:tblStyle w:val="a6"/>
        <w:tblW w:w="0" w:type="auto"/>
        <w:tblLook w:val="04A0" w:firstRow="1" w:lastRow="0" w:firstColumn="1" w:lastColumn="0" w:noHBand="0" w:noVBand="1"/>
      </w:tblPr>
      <w:tblGrid>
        <w:gridCol w:w="2492"/>
        <w:gridCol w:w="1426"/>
        <w:gridCol w:w="3826"/>
        <w:gridCol w:w="3095"/>
        <w:gridCol w:w="4514"/>
      </w:tblGrid>
      <w:tr w:rsidR="0052072E" w:rsidRPr="00332C31" w:rsidTr="00C51B33">
        <w:trPr>
          <w:trHeight w:val="1069"/>
        </w:trPr>
        <w:tc>
          <w:tcPr>
            <w:tcW w:w="2492" w:type="dxa"/>
            <w:vMerge w:val="restart"/>
          </w:tcPr>
          <w:p w:rsidR="0052072E" w:rsidRPr="00332C31" w:rsidRDefault="0052072E" w:rsidP="00721203">
            <w:pPr>
              <w:widowControl w:val="0"/>
              <w:rPr>
                <w:rFonts w:ascii="Times New Roman" w:hAnsi="Times New Roman"/>
                <w:sz w:val="24"/>
                <w:szCs w:val="24"/>
                <w:lang w:val="uk-UA"/>
              </w:rPr>
            </w:pPr>
            <w:r w:rsidRPr="00332C31">
              <w:rPr>
                <w:rFonts w:ascii="Times New Roman" w:hAnsi="Times New Roman"/>
                <w:b/>
                <w:bCs/>
                <w:sz w:val="24"/>
                <w:szCs w:val="24"/>
                <w:lang w:val="uk-UA"/>
              </w:rPr>
              <w:t>Економічна ефективність -</w:t>
            </w:r>
            <w:r w:rsidRPr="00332C31">
              <w:rPr>
                <w:rFonts w:ascii="Times New Roman" w:hAnsi="Times New Roman"/>
                <w:sz w:val="24"/>
                <w:szCs w:val="24"/>
                <w:lang w:val="uk-UA"/>
              </w:rPr>
              <w:t>уникнення марнувань ресурсів, у тому числі нераціонального використання обладнання, витратних матеріалів, ідей та енергії.</w:t>
            </w:r>
          </w:p>
        </w:tc>
        <w:tc>
          <w:tcPr>
            <w:tcW w:w="1426" w:type="dxa"/>
          </w:tcPr>
          <w:p w:rsidR="0052072E" w:rsidRPr="00332C31" w:rsidRDefault="0052072E" w:rsidP="00721203">
            <w:pPr>
              <w:widowControl w:val="0"/>
              <w:rPr>
                <w:rFonts w:ascii="Times New Roman" w:hAnsi="Times New Roman"/>
                <w:sz w:val="24"/>
                <w:szCs w:val="24"/>
                <w:lang w:val="uk-UA"/>
              </w:rPr>
            </w:pPr>
            <w:r w:rsidRPr="00332C31">
              <w:rPr>
                <w:rFonts w:ascii="Times New Roman" w:hAnsi="Times New Roman"/>
                <w:sz w:val="24"/>
                <w:szCs w:val="24"/>
                <w:lang w:val="uk-UA"/>
              </w:rPr>
              <w:t>Структура</w:t>
            </w:r>
          </w:p>
        </w:tc>
        <w:tc>
          <w:tcPr>
            <w:tcW w:w="3826" w:type="dxa"/>
          </w:tcPr>
          <w:p w:rsidR="0052072E" w:rsidRPr="00332C31" w:rsidRDefault="0052072E" w:rsidP="00721203">
            <w:pPr>
              <w:widowControl w:val="0"/>
              <w:rPr>
                <w:rFonts w:ascii="Times New Roman" w:hAnsi="Times New Roman"/>
                <w:sz w:val="24"/>
                <w:szCs w:val="24"/>
                <w:lang w:val="uk-UA"/>
              </w:rPr>
            </w:pPr>
          </w:p>
        </w:tc>
        <w:tc>
          <w:tcPr>
            <w:tcW w:w="3095" w:type="dxa"/>
          </w:tcPr>
          <w:p w:rsidR="0052072E" w:rsidRPr="00332C31" w:rsidRDefault="0052072E" w:rsidP="00721203">
            <w:pPr>
              <w:widowControl w:val="0"/>
              <w:rPr>
                <w:rFonts w:ascii="Times New Roman" w:hAnsi="Times New Roman"/>
                <w:sz w:val="24"/>
                <w:szCs w:val="24"/>
                <w:lang w:val="uk-UA"/>
              </w:rPr>
            </w:pPr>
          </w:p>
        </w:tc>
        <w:tc>
          <w:tcPr>
            <w:tcW w:w="4514" w:type="dxa"/>
          </w:tcPr>
          <w:p w:rsidR="0052072E" w:rsidRPr="00332C31" w:rsidRDefault="0052072E" w:rsidP="00721203">
            <w:pPr>
              <w:widowControl w:val="0"/>
              <w:rPr>
                <w:rFonts w:ascii="Times New Roman" w:hAnsi="Times New Roman"/>
                <w:sz w:val="24"/>
                <w:szCs w:val="24"/>
                <w:lang w:val="uk-UA"/>
              </w:rPr>
            </w:pPr>
            <w:r w:rsidRPr="00332C31">
              <w:rPr>
                <w:rFonts w:ascii="Times New Roman" w:hAnsi="Times New Roman"/>
                <w:sz w:val="24"/>
                <w:szCs w:val="24"/>
                <w:lang w:val="uk-UA"/>
              </w:rPr>
              <w:t>Розрахунки тарифів на основі власних даних щодо кількості та спектру наданих медичних послуг</w:t>
            </w:r>
          </w:p>
        </w:tc>
      </w:tr>
      <w:tr w:rsidR="0052072E" w:rsidRPr="00332C31" w:rsidTr="00C51B33">
        <w:tc>
          <w:tcPr>
            <w:tcW w:w="2492" w:type="dxa"/>
            <w:vMerge/>
          </w:tcPr>
          <w:p w:rsidR="0052072E" w:rsidRPr="00332C31" w:rsidRDefault="0052072E" w:rsidP="00721203">
            <w:pPr>
              <w:widowControl w:val="0"/>
              <w:rPr>
                <w:rFonts w:ascii="Times New Roman" w:hAnsi="Times New Roman"/>
                <w:sz w:val="24"/>
                <w:szCs w:val="24"/>
                <w:lang w:val="uk-UA"/>
              </w:rPr>
            </w:pPr>
          </w:p>
        </w:tc>
        <w:tc>
          <w:tcPr>
            <w:tcW w:w="1426" w:type="dxa"/>
          </w:tcPr>
          <w:p w:rsidR="0052072E" w:rsidRPr="00332C31" w:rsidRDefault="0052072E" w:rsidP="00721203">
            <w:pPr>
              <w:widowControl w:val="0"/>
              <w:rPr>
                <w:rFonts w:ascii="Times New Roman" w:hAnsi="Times New Roman"/>
                <w:sz w:val="24"/>
                <w:szCs w:val="24"/>
                <w:lang w:val="uk-UA"/>
              </w:rPr>
            </w:pPr>
            <w:r w:rsidRPr="00332C31">
              <w:rPr>
                <w:rFonts w:ascii="Times New Roman" w:hAnsi="Times New Roman"/>
                <w:sz w:val="24"/>
                <w:szCs w:val="24"/>
                <w:lang w:val="uk-UA"/>
              </w:rPr>
              <w:t>Процес</w:t>
            </w:r>
          </w:p>
        </w:tc>
        <w:tc>
          <w:tcPr>
            <w:tcW w:w="3826" w:type="dxa"/>
          </w:tcPr>
          <w:p w:rsidR="0052072E" w:rsidRDefault="0052072E" w:rsidP="00721203">
            <w:pPr>
              <w:widowControl w:val="0"/>
              <w:rPr>
                <w:rFonts w:ascii="Times New Roman" w:hAnsi="Times New Roman"/>
                <w:sz w:val="24"/>
                <w:szCs w:val="24"/>
                <w:lang w:val="uk-UA"/>
              </w:rPr>
            </w:pPr>
            <w:r w:rsidRPr="00332C31">
              <w:rPr>
                <w:rFonts w:ascii="Times New Roman" w:hAnsi="Times New Roman"/>
                <w:sz w:val="24"/>
                <w:szCs w:val="24"/>
                <w:lang w:val="uk-UA"/>
              </w:rPr>
              <w:t>Запровадження виробничого менеджменту</w:t>
            </w:r>
          </w:p>
          <w:p w:rsidR="00E56976" w:rsidRPr="00332C31" w:rsidRDefault="00E56976" w:rsidP="00721203">
            <w:pPr>
              <w:widowControl w:val="0"/>
              <w:rPr>
                <w:rFonts w:ascii="Times New Roman" w:hAnsi="Times New Roman"/>
                <w:sz w:val="24"/>
                <w:szCs w:val="24"/>
                <w:lang w:val="uk-UA"/>
              </w:rPr>
            </w:pPr>
          </w:p>
        </w:tc>
        <w:tc>
          <w:tcPr>
            <w:tcW w:w="3095" w:type="dxa"/>
          </w:tcPr>
          <w:p w:rsidR="0052072E" w:rsidRPr="00332C31" w:rsidRDefault="0052072E" w:rsidP="00721203">
            <w:pPr>
              <w:widowControl w:val="0"/>
              <w:rPr>
                <w:rFonts w:ascii="Times New Roman" w:hAnsi="Times New Roman"/>
                <w:sz w:val="24"/>
                <w:szCs w:val="24"/>
                <w:lang w:val="uk-UA"/>
              </w:rPr>
            </w:pPr>
          </w:p>
        </w:tc>
        <w:tc>
          <w:tcPr>
            <w:tcW w:w="4514" w:type="dxa"/>
          </w:tcPr>
          <w:p w:rsidR="0052072E" w:rsidRPr="00332C31" w:rsidRDefault="0052072E" w:rsidP="00721203">
            <w:pPr>
              <w:widowControl w:val="0"/>
              <w:rPr>
                <w:rFonts w:ascii="Times New Roman" w:hAnsi="Times New Roman"/>
                <w:sz w:val="24"/>
                <w:szCs w:val="24"/>
                <w:lang w:val="uk-UA"/>
              </w:rPr>
            </w:pPr>
          </w:p>
        </w:tc>
      </w:tr>
      <w:tr w:rsidR="0052072E" w:rsidRPr="00332C31" w:rsidTr="007629A4">
        <w:trPr>
          <w:trHeight w:val="1230"/>
        </w:trPr>
        <w:tc>
          <w:tcPr>
            <w:tcW w:w="2492" w:type="dxa"/>
            <w:vMerge/>
          </w:tcPr>
          <w:p w:rsidR="0052072E" w:rsidRPr="00332C31" w:rsidRDefault="0052072E" w:rsidP="00721203">
            <w:pPr>
              <w:widowControl w:val="0"/>
              <w:rPr>
                <w:rFonts w:ascii="Times New Roman" w:hAnsi="Times New Roman"/>
                <w:sz w:val="24"/>
                <w:szCs w:val="24"/>
                <w:lang w:val="uk-UA"/>
              </w:rPr>
            </w:pPr>
          </w:p>
        </w:tc>
        <w:tc>
          <w:tcPr>
            <w:tcW w:w="1426" w:type="dxa"/>
          </w:tcPr>
          <w:p w:rsidR="0052072E" w:rsidRPr="00332C31" w:rsidRDefault="0052072E" w:rsidP="00721203">
            <w:pPr>
              <w:widowControl w:val="0"/>
              <w:rPr>
                <w:rFonts w:ascii="Times New Roman" w:hAnsi="Times New Roman"/>
                <w:sz w:val="24"/>
                <w:szCs w:val="24"/>
                <w:lang w:val="uk-UA"/>
              </w:rPr>
            </w:pPr>
            <w:r w:rsidRPr="00332C31">
              <w:rPr>
                <w:rFonts w:ascii="Times New Roman" w:hAnsi="Times New Roman"/>
                <w:sz w:val="24"/>
                <w:szCs w:val="24"/>
                <w:lang w:val="uk-UA"/>
              </w:rPr>
              <w:t>Наслідки</w:t>
            </w:r>
          </w:p>
        </w:tc>
        <w:tc>
          <w:tcPr>
            <w:tcW w:w="3826" w:type="dxa"/>
          </w:tcPr>
          <w:p w:rsidR="0052072E" w:rsidRPr="00332C31" w:rsidRDefault="0052072E" w:rsidP="00721203">
            <w:pPr>
              <w:widowControl w:val="0"/>
              <w:rPr>
                <w:rFonts w:ascii="Times New Roman" w:hAnsi="Times New Roman"/>
                <w:sz w:val="24"/>
                <w:szCs w:val="24"/>
                <w:lang w:val="uk-UA"/>
              </w:rPr>
            </w:pPr>
            <w:r w:rsidRPr="00332C31">
              <w:rPr>
                <w:rFonts w:ascii="Times New Roman" w:hAnsi="Times New Roman"/>
                <w:sz w:val="24"/>
                <w:szCs w:val="24"/>
                <w:lang w:val="uk-UA"/>
              </w:rPr>
              <w:t>Розрахунки вартості послуг, які надає заклад</w:t>
            </w:r>
          </w:p>
        </w:tc>
        <w:tc>
          <w:tcPr>
            <w:tcW w:w="3095" w:type="dxa"/>
          </w:tcPr>
          <w:p w:rsidR="0052072E" w:rsidRPr="00332C31" w:rsidRDefault="0052072E" w:rsidP="00721203">
            <w:pPr>
              <w:widowControl w:val="0"/>
              <w:rPr>
                <w:rFonts w:ascii="Times New Roman" w:hAnsi="Times New Roman"/>
                <w:sz w:val="24"/>
                <w:szCs w:val="24"/>
                <w:lang w:val="uk-UA"/>
              </w:rPr>
            </w:pPr>
          </w:p>
        </w:tc>
        <w:tc>
          <w:tcPr>
            <w:tcW w:w="4514" w:type="dxa"/>
          </w:tcPr>
          <w:p w:rsidR="0052072E" w:rsidRPr="00332C31" w:rsidRDefault="0052072E" w:rsidP="00721203">
            <w:pPr>
              <w:widowControl w:val="0"/>
              <w:rPr>
                <w:rFonts w:ascii="Times New Roman" w:hAnsi="Times New Roman"/>
                <w:sz w:val="24"/>
                <w:szCs w:val="24"/>
                <w:lang w:val="uk-UA"/>
              </w:rPr>
            </w:pPr>
            <w:r w:rsidRPr="00332C31">
              <w:rPr>
                <w:rFonts w:ascii="Times New Roman" w:hAnsi="Times New Roman"/>
                <w:sz w:val="24"/>
                <w:szCs w:val="24"/>
                <w:lang w:val="uk-UA"/>
              </w:rPr>
              <w:t xml:space="preserve">Передбачення ризиків та дофінансування </w:t>
            </w:r>
          </w:p>
          <w:p w:rsidR="0052072E" w:rsidRPr="00332C31" w:rsidRDefault="0052072E" w:rsidP="00721203">
            <w:pPr>
              <w:widowControl w:val="0"/>
              <w:rPr>
                <w:rFonts w:ascii="Times New Roman" w:hAnsi="Times New Roman"/>
                <w:sz w:val="24"/>
                <w:szCs w:val="24"/>
                <w:lang w:val="uk-UA"/>
              </w:rPr>
            </w:pPr>
            <w:r w:rsidRPr="00332C31">
              <w:rPr>
                <w:rFonts w:ascii="Times New Roman" w:hAnsi="Times New Roman"/>
                <w:sz w:val="24"/>
                <w:szCs w:val="24"/>
                <w:lang w:val="uk-UA"/>
              </w:rPr>
              <w:t>Звітність про фінансові витрати</w:t>
            </w:r>
          </w:p>
        </w:tc>
      </w:tr>
      <w:tr w:rsidR="0052072E" w:rsidRPr="00332C31" w:rsidTr="00C51B33">
        <w:tc>
          <w:tcPr>
            <w:tcW w:w="2492" w:type="dxa"/>
            <w:vMerge w:val="restart"/>
          </w:tcPr>
          <w:p w:rsidR="0052072E" w:rsidRPr="00332C31" w:rsidRDefault="0052072E" w:rsidP="00721203">
            <w:pPr>
              <w:widowControl w:val="0"/>
              <w:rPr>
                <w:rFonts w:ascii="Times New Roman" w:hAnsi="Times New Roman"/>
                <w:sz w:val="24"/>
                <w:szCs w:val="24"/>
                <w:lang w:val="uk-UA"/>
              </w:rPr>
            </w:pPr>
            <w:r w:rsidRPr="00332C31">
              <w:rPr>
                <w:rFonts w:ascii="Times New Roman" w:hAnsi="Times New Roman"/>
                <w:b/>
                <w:bCs/>
                <w:sz w:val="24"/>
                <w:szCs w:val="24"/>
                <w:lang w:val="uk-UA"/>
              </w:rPr>
              <w:t>Загальнодоступність</w:t>
            </w:r>
            <w:r w:rsidRPr="00332C31">
              <w:rPr>
                <w:rFonts w:ascii="Times New Roman" w:hAnsi="Times New Roman"/>
                <w:i/>
                <w:iCs/>
                <w:sz w:val="24"/>
                <w:szCs w:val="24"/>
                <w:lang w:val="uk-UA"/>
              </w:rPr>
              <w:t xml:space="preserve"> </w:t>
            </w:r>
            <w:r w:rsidRPr="00332C31">
              <w:rPr>
                <w:rFonts w:ascii="Times New Roman" w:hAnsi="Times New Roman"/>
                <w:sz w:val="24"/>
                <w:szCs w:val="24"/>
                <w:lang w:val="uk-UA"/>
              </w:rPr>
              <w:t>забезпечення пацієнтів справедливою допомогою, що не відрізняється за якістю через їх особисті характеристики, такі як стать, етнічна приналежність, географічне походження та соціально-економічний статус.</w:t>
            </w:r>
          </w:p>
        </w:tc>
        <w:tc>
          <w:tcPr>
            <w:tcW w:w="1426" w:type="dxa"/>
          </w:tcPr>
          <w:p w:rsidR="0052072E" w:rsidRPr="00332C31" w:rsidRDefault="0052072E" w:rsidP="00721203">
            <w:pPr>
              <w:widowControl w:val="0"/>
              <w:rPr>
                <w:rFonts w:ascii="Times New Roman" w:hAnsi="Times New Roman"/>
                <w:sz w:val="24"/>
                <w:szCs w:val="24"/>
                <w:lang w:val="uk-UA"/>
              </w:rPr>
            </w:pPr>
            <w:r w:rsidRPr="00332C31">
              <w:rPr>
                <w:rFonts w:ascii="Times New Roman" w:hAnsi="Times New Roman"/>
                <w:sz w:val="24"/>
                <w:szCs w:val="24"/>
                <w:lang w:val="uk-UA"/>
              </w:rPr>
              <w:t>Структура</w:t>
            </w:r>
          </w:p>
        </w:tc>
        <w:tc>
          <w:tcPr>
            <w:tcW w:w="3826" w:type="dxa"/>
          </w:tcPr>
          <w:p w:rsidR="0052072E" w:rsidRPr="00332C31" w:rsidRDefault="0052072E" w:rsidP="00721203">
            <w:pPr>
              <w:widowControl w:val="0"/>
              <w:rPr>
                <w:rFonts w:ascii="Times New Roman" w:hAnsi="Times New Roman"/>
                <w:sz w:val="24"/>
                <w:szCs w:val="24"/>
                <w:lang w:val="uk-UA"/>
              </w:rPr>
            </w:pPr>
            <w:r w:rsidRPr="00332C31">
              <w:rPr>
                <w:rFonts w:ascii="Times New Roman" w:hAnsi="Times New Roman"/>
                <w:sz w:val="24"/>
                <w:szCs w:val="24"/>
                <w:lang w:val="uk-UA"/>
              </w:rPr>
              <w:t>Умови для осіб з обмеженими можливостями</w:t>
            </w:r>
          </w:p>
        </w:tc>
        <w:tc>
          <w:tcPr>
            <w:tcW w:w="3095" w:type="dxa"/>
          </w:tcPr>
          <w:p w:rsidR="0052072E" w:rsidRPr="00332C31" w:rsidRDefault="0052072E" w:rsidP="00721203">
            <w:pPr>
              <w:widowControl w:val="0"/>
              <w:rPr>
                <w:rFonts w:ascii="Times New Roman" w:hAnsi="Times New Roman"/>
                <w:sz w:val="24"/>
                <w:szCs w:val="24"/>
                <w:lang w:val="uk-UA"/>
              </w:rPr>
            </w:pPr>
          </w:p>
        </w:tc>
        <w:tc>
          <w:tcPr>
            <w:tcW w:w="4514" w:type="dxa"/>
          </w:tcPr>
          <w:p w:rsidR="0052072E" w:rsidRPr="00332C31" w:rsidRDefault="0052072E" w:rsidP="00721203">
            <w:pPr>
              <w:widowControl w:val="0"/>
              <w:rPr>
                <w:rFonts w:ascii="Times New Roman" w:hAnsi="Times New Roman"/>
                <w:sz w:val="24"/>
                <w:szCs w:val="24"/>
                <w:lang w:val="uk-UA"/>
              </w:rPr>
            </w:pPr>
            <w:r w:rsidRPr="00332C31">
              <w:rPr>
                <w:rFonts w:ascii="Times New Roman" w:hAnsi="Times New Roman"/>
                <w:sz w:val="24"/>
                <w:szCs w:val="24"/>
                <w:lang w:val="uk-UA"/>
              </w:rPr>
              <w:t>Мапа закладів за різними напрямами на сайті НСЗУ</w:t>
            </w:r>
          </w:p>
          <w:p w:rsidR="0052072E" w:rsidRPr="00332C31" w:rsidRDefault="0052072E" w:rsidP="00721203">
            <w:pPr>
              <w:widowControl w:val="0"/>
              <w:rPr>
                <w:rFonts w:ascii="Times New Roman" w:hAnsi="Times New Roman"/>
                <w:sz w:val="24"/>
                <w:szCs w:val="24"/>
                <w:lang w:val="uk-UA"/>
              </w:rPr>
            </w:pPr>
            <w:r w:rsidRPr="00332C31">
              <w:rPr>
                <w:rFonts w:ascii="Times New Roman" w:hAnsi="Times New Roman"/>
                <w:sz w:val="24"/>
                <w:szCs w:val="24"/>
                <w:lang w:val="uk-UA"/>
              </w:rPr>
              <w:t>Вимоги щодо пандусу</w:t>
            </w:r>
          </w:p>
        </w:tc>
      </w:tr>
      <w:tr w:rsidR="0052072E" w:rsidRPr="00332C31" w:rsidTr="00C51B33">
        <w:tc>
          <w:tcPr>
            <w:tcW w:w="2492" w:type="dxa"/>
            <w:vMerge/>
          </w:tcPr>
          <w:p w:rsidR="0052072E" w:rsidRPr="00332C31" w:rsidRDefault="0052072E" w:rsidP="00721203">
            <w:pPr>
              <w:widowControl w:val="0"/>
              <w:rPr>
                <w:rFonts w:ascii="Times New Roman" w:hAnsi="Times New Roman"/>
                <w:sz w:val="24"/>
                <w:szCs w:val="24"/>
                <w:lang w:val="uk-UA"/>
              </w:rPr>
            </w:pPr>
          </w:p>
        </w:tc>
        <w:tc>
          <w:tcPr>
            <w:tcW w:w="1426" w:type="dxa"/>
          </w:tcPr>
          <w:p w:rsidR="0052072E" w:rsidRPr="00332C31" w:rsidRDefault="0052072E" w:rsidP="00721203">
            <w:pPr>
              <w:widowControl w:val="0"/>
              <w:rPr>
                <w:rFonts w:ascii="Times New Roman" w:hAnsi="Times New Roman"/>
                <w:sz w:val="24"/>
                <w:szCs w:val="24"/>
                <w:lang w:val="uk-UA"/>
              </w:rPr>
            </w:pPr>
            <w:r w:rsidRPr="00332C31">
              <w:rPr>
                <w:rFonts w:ascii="Times New Roman" w:hAnsi="Times New Roman"/>
                <w:sz w:val="24"/>
                <w:szCs w:val="24"/>
                <w:lang w:val="uk-UA"/>
              </w:rPr>
              <w:t>Процес</w:t>
            </w:r>
          </w:p>
        </w:tc>
        <w:tc>
          <w:tcPr>
            <w:tcW w:w="3826" w:type="dxa"/>
          </w:tcPr>
          <w:p w:rsidR="0052072E" w:rsidRDefault="0052072E" w:rsidP="00721203">
            <w:pPr>
              <w:widowControl w:val="0"/>
              <w:rPr>
                <w:rFonts w:ascii="Times New Roman" w:hAnsi="Times New Roman"/>
                <w:sz w:val="24"/>
                <w:szCs w:val="24"/>
                <w:lang w:val="uk-UA"/>
              </w:rPr>
            </w:pPr>
          </w:p>
          <w:p w:rsidR="00E56976" w:rsidRPr="00332C31" w:rsidRDefault="00E56976" w:rsidP="00721203">
            <w:pPr>
              <w:widowControl w:val="0"/>
              <w:rPr>
                <w:rFonts w:ascii="Times New Roman" w:hAnsi="Times New Roman"/>
                <w:sz w:val="24"/>
                <w:szCs w:val="24"/>
                <w:lang w:val="uk-UA"/>
              </w:rPr>
            </w:pPr>
          </w:p>
        </w:tc>
        <w:tc>
          <w:tcPr>
            <w:tcW w:w="3095" w:type="dxa"/>
          </w:tcPr>
          <w:p w:rsidR="0052072E" w:rsidRPr="00332C31" w:rsidRDefault="0052072E" w:rsidP="00721203">
            <w:pPr>
              <w:widowControl w:val="0"/>
              <w:rPr>
                <w:rFonts w:ascii="Times New Roman" w:hAnsi="Times New Roman"/>
                <w:sz w:val="24"/>
                <w:szCs w:val="24"/>
                <w:lang w:val="uk-UA"/>
              </w:rPr>
            </w:pPr>
          </w:p>
        </w:tc>
        <w:tc>
          <w:tcPr>
            <w:tcW w:w="4514" w:type="dxa"/>
          </w:tcPr>
          <w:p w:rsidR="0052072E" w:rsidRPr="00332C31" w:rsidRDefault="0052072E" w:rsidP="00721203">
            <w:pPr>
              <w:widowControl w:val="0"/>
              <w:rPr>
                <w:rFonts w:ascii="Times New Roman" w:hAnsi="Times New Roman"/>
                <w:sz w:val="24"/>
                <w:szCs w:val="24"/>
                <w:lang w:val="uk-UA"/>
              </w:rPr>
            </w:pPr>
            <w:r w:rsidRPr="00332C31">
              <w:rPr>
                <w:rFonts w:ascii="Times New Roman" w:hAnsi="Times New Roman"/>
                <w:sz w:val="24"/>
                <w:szCs w:val="24"/>
                <w:lang w:val="uk-UA"/>
              </w:rPr>
              <w:t>Скарги пацієнтів</w:t>
            </w:r>
          </w:p>
        </w:tc>
      </w:tr>
      <w:tr w:rsidR="0052072E" w:rsidRPr="00332C31" w:rsidTr="007629A4">
        <w:trPr>
          <w:trHeight w:val="3402"/>
        </w:trPr>
        <w:tc>
          <w:tcPr>
            <w:tcW w:w="2492" w:type="dxa"/>
            <w:vMerge/>
          </w:tcPr>
          <w:p w:rsidR="0052072E" w:rsidRPr="00332C31" w:rsidRDefault="0052072E" w:rsidP="00721203">
            <w:pPr>
              <w:widowControl w:val="0"/>
              <w:rPr>
                <w:rFonts w:ascii="Times New Roman" w:hAnsi="Times New Roman"/>
                <w:sz w:val="24"/>
                <w:szCs w:val="24"/>
                <w:lang w:val="uk-UA"/>
              </w:rPr>
            </w:pPr>
          </w:p>
        </w:tc>
        <w:tc>
          <w:tcPr>
            <w:tcW w:w="1426" w:type="dxa"/>
          </w:tcPr>
          <w:p w:rsidR="0052072E" w:rsidRPr="00332C31" w:rsidRDefault="0052072E" w:rsidP="00721203">
            <w:pPr>
              <w:widowControl w:val="0"/>
              <w:rPr>
                <w:rFonts w:ascii="Times New Roman" w:hAnsi="Times New Roman"/>
                <w:sz w:val="24"/>
                <w:szCs w:val="24"/>
                <w:lang w:val="uk-UA"/>
              </w:rPr>
            </w:pPr>
            <w:r w:rsidRPr="00332C31">
              <w:rPr>
                <w:rFonts w:ascii="Times New Roman" w:hAnsi="Times New Roman"/>
                <w:sz w:val="24"/>
                <w:szCs w:val="24"/>
                <w:lang w:val="uk-UA"/>
              </w:rPr>
              <w:t>Наслідки</w:t>
            </w:r>
          </w:p>
        </w:tc>
        <w:tc>
          <w:tcPr>
            <w:tcW w:w="3826" w:type="dxa"/>
          </w:tcPr>
          <w:p w:rsidR="0052072E" w:rsidRPr="00332C31" w:rsidRDefault="0052072E" w:rsidP="00721203">
            <w:pPr>
              <w:widowControl w:val="0"/>
              <w:rPr>
                <w:rFonts w:ascii="Times New Roman" w:hAnsi="Times New Roman"/>
                <w:sz w:val="24"/>
                <w:szCs w:val="24"/>
                <w:lang w:val="uk-UA"/>
              </w:rPr>
            </w:pPr>
          </w:p>
        </w:tc>
        <w:tc>
          <w:tcPr>
            <w:tcW w:w="3095" w:type="dxa"/>
          </w:tcPr>
          <w:p w:rsidR="0052072E" w:rsidRPr="00332C31" w:rsidRDefault="0052072E" w:rsidP="00721203">
            <w:pPr>
              <w:widowControl w:val="0"/>
              <w:rPr>
                <w:rFonts w:ascii="Times New Roman" w:hAnsi="Times New Roman"/>
                <w:sz w:val="24"/>
                <w:szCs w:val="24"/>
                <w:lang w:val="uk-UA"/>
              </w:rPr>
            </w:pPr>
          </w:p>
        </w:tc>
        <w:tc>
          <w:tcPr>
            <w:tcW w:w="4514" w:type="dxa"/>
          </w:tcPr>
          <w:p w:rsidR="0052072E" w:rsidRPr="00332C31" w:rsidRDefault="0052072E" w:rsidP="00721203">
            <w:pPr>
              <w:widowControl w:val="0"/>
              <w:rPr>
                <w:rFonts w:ascii="Times New Roman" w:hAnsi="Times New Roman"/>
                <w:sz w:val="24"/>
                <w:szCs w:val="24"/>
                <w:lang w:val="uk-UA"/>
              </w:rPr>
            </w:pPr>
            <w:r w:rsidRPr="00332C31">
              <w:rPr>
                <w:rFonts w:ascii="Times New Roman" w:hAnsi="Times New Roman"/>
                <w:sz w:val="24"/>
                <w:szCs w:val="24"/>
                <w:lang w:val="uk-UA"/>
              </w:rPr>
              <w:t>Аналіз МЕ щодо виявлення індикаторів, які асоціюються з низькою доступністю пацієнтів до медичних послуг</w:t>
            </w:r>
          </w:p>
        </w:tc>
      </w:tr>
    </w:tbl>
    <w:p w:rsidR="0052072E" w:rsidRPr="00006A39" w:rsidRDefault="0052072E" w:rsidP="00721203">
      <w:pPr>
        <w:widowControl w:val="0"/>
        <w:rPr>
          <w:szCs w:val="28"/>
        </w:rPr>
      </w:pPr>
    </w:p>
    <w:p w:rsidR="0052072E" w:rsidRDefault="0052072E" w:rsidP="009E490D">
      <w:pPr>
        <w:widowControl w:val="0"/>
        <w:rPr>
          <w:rFonts w:eastAsia="Times New Roman"/>
          <w:szCs w:val="28"/>
        </w:rPr>
      </w:pPr>
    </w:p>
    <w:p w:rsidR="00BC0EDB" w:rsidRPr="00006A39" w:rsidRDefault="00BC0EDB" w:rsidP="009E490D">
      <w:pPr>
        <w:widowControl w:val="0"/>
        <w:rPr>
          <w:rFonts w:eastAsia="Times New Roman"/>
          <w:szCs w:val="28"/>
        </w:rPr>
        <w:sectPr w:rsidR="00BC0EDB" w:rsidRPr="00006A39" w:rsidSect="00E242B0">
          <w:pgSz w:w="16838" w:h="11906" w:orient="landscape"/>
          <w:pgMar w:top="1134" w:right="567" w:bottom="1134" w:left="1134" w:header="708" w:footer="708" w:gutter="0"/>
          <w:cols w:space="708"/>
          <w:docGrid w:linePitch="381"/>
        </w:sectPr>
      </w:pPr>
    </w:p>
    <w:p w:rsidR="009F0BF0" w:rsidRDefault="00D71AA7" w:rsidP="009F0BF0">
      <w:pPr>
        <w:widowControl w:val="0"/>
      </w:pPr>
      <w:r>
        <w:lastRenderedPageBreak/>
        <w:t>новонародженим у</w:t>
      </w:r>
      <w:r w:rsidR="009F0BF0" w:rsidRPr="00544280">
        <w:t xml:space="preserve"> складних неонатальних випадках» (n=21 931) за квітень-жовтень 2020 р.</w:t>
      </w:r>
    </w:p>
    <w:p w:rsidR="00AD0349" w:rsidRPr="00AD0349" w:rsidRDefault="00AD0349" w:rsidP="00AD0349">
      <w:pPr>
        <w:widowControl w:val="0"/>
        <w:ind w:firstLine="709"/>
        <w:rPr>
          <w:rFonts w:eastAsia="Times New Roman"/>
          <w:szCs w:val="28"/>
        </w:rPr>
      </w:pPr>
      <w:r w:rsidRPr="00AD0349">
        <w:rPr>
          <w:rFonts w:eastAsia="Times New Roman"/>
          <w:szCs w:val="28"/>
        </w:rPr>
        <w:t xml:space="preserve">Зважаючи на результати дослідження, представлені у розділі 3, щодо значної </w:t>
      </w:r>
      <w:r w:rsidR="00BF5FDA">
        <w:rPr>
          <w:rFonts w:eastAsia="Times New Roman"/>
          <w:szCs w:val="28"/>
        </w:rPr>
        <w:t>частки немовлят, які помирають у</w:t>
      </w:r>
      <w:r w:rsidRPr="00AD0349">
        <w:rPr>
          <w:rFonts w:eastAsia="Times New Roman"/>
          <w:szCs w:val="28"/>
        </w:rPr>
        <w:t xml:space="preserve"> неонатальний та постнеонатальний періоди, ми проаналізували розподіл часу смерті дітей в акушерських стаціонарах та дитячих лікарнях, куди переводяться діти. Як представлено на рис.</w:t>
      </w:r>
      <w:r w:rsidR="00F531E6">
        <w:rPr>
          <w:rFonts w:eastAsia="Times New Roman"/>
          <w:szCs w:val="28"/>
          <w:lang w:val="ru-RU"/>
        </w:rPr>
        <w:t xml:space="preserve"> </w:t>
      </w:r>
      <w:r w:rsidRPr="00AD0349">
        <w:rPr>
          <w:rFonts w:eastAsia="Times New Roman"/>
          <w:szCs w:val="28"/>
        </w:rPr>
        <w:t xml:space="preserve">8.4., переважна більшість </w:t>
      </w:r>
    </w:p>
    <w:p w:rsidR="009F0BF0" w:rsidRDefault="000B1A3B" w:rsidP="009E490D">
      <w:pPr>
        <w:widowControl w:val="0"/>
        <w:rPr>
          <w:rFonts w:eastAsia="Times New Roman"/>
          <w:szCs w:val="28"/>
        </w:rPr>
      </w:pPr>
      <w:r w:rsidRPr="000B1A3B">
        <w:rPr>
          <w:rFonts w:eastAsia="Times New Roman"/>
          <w:szCs w:val="28"/>
        </w:rPr>
        <w:t>немовлят помирає упродовж раннього неонатального періоду, що свідчить</w:t>
      </w:r>
      <w:r>
        <w:rPr>
          <w:rFonts w:eastAsia="Times New Roman"/>
          <w:szCs w:val="28"/>
        </w:rPr>
        <w:t xml:space="preserve"> про</w:t>
      </w:r>
      <w:r w:rsidRPr="000B1A3B">
        <w:rPr>
          <w:rFonts w:eastAsia="Times New Roman"/>
          <w:szCs w:val="28"/>
        </w:rPr>
        <w:t xml:space="preserve"> наявність ймов</w:t>
      </w:r>
      <w:r w:rsidR="005B0BD0">
        <w:rPr>
          <w:rFonts w:eastAsia="Times New Roman"/>
          <w:szCs w:val="28"/>
        </w:rPr>
        <w:t xml:space="preserve">ірних ризиків з боку не тільки </w:t>
      </w:r>
      <w:r w:rsidRPr="000B1A3B">
        <w:rPr>
          <w:rFonts w:eastAsia="Times New Roman"/>
          <w:szCs w:val="28"/>
        </w:rPr>
        <w:t xml:space="preserve">неонатальної служби, але й акушерської. </w:t>
      </w:r>
      <w:r w:rsidR="00BC0EDB" w:rsidRPr="00BC0EDB">
        <w:rPr>
          <w:rFonts w:eastAsia="Times New Roman"/>
          <w:szCs w:val="28"/>
        </w:rPr>
        <w:t>Аналіз медичних епізодів ЕСОЗ в рамках пакету «М</w:t>
      </w:r>
      <w:r w:rsidR="00D71AA7">
        <w:rPr>
          <w:rFonts w:eastAsia="Times New Roman"/>
          <w:szCs w:val="28"/>
        </w:rPr>
        <w:t>едична допомога новонародженим у</w:t>
      </w:r>
      <w:r w:rsidR="00BC0EDB" w:rsidRPr="00BC0EDB">
        <w:rPr>
          <w:rFonts w:eastAsia="Times New Roman"/>
          <w:szCs w:val="28"/>
        </w:rPr>
        <w:t xml:space="preserve"> складних неонатальних випадках» за квітень-жовтень 2020 року засвідчив вагому частку дітей, які помирають у ранньому неонатальному періоді, при цьому упродовж першої доби – 41,42% (125 з 303) немовлят у загальній кількості померлих в акушерських стаціонарах та 14,34% (35 з 244) немовлят у загальній кількості новонароджених, померлих упродовж першої доби у ДЛ після переведення з акушерських стаціонарів</w:t>
      </w:r>
      <w:r w:rsidR="0054337C">
        <w:rPr>
          <w:rFonts w:eastAsia="Times New Roman"/>
          <w:szCs w:val="28"/>
        </w:rPr>
        <w:t xml:space="preserve"> (рис.</w:t>
      </w:r>
      <w:r w:rsidR="00BE2262" w:rsidRPr="00BE2262">
        <w:rPr>
          <w:rFonts w:eastAsia="Times New Roman"/>
          <w:szCs w:val="28"/>
        </w:rPr>
        <w:t xml:space="preserve"> </w:t>
      </w:r>
      <w:r w:rsidR="0054337C">
        <w:rPr>
          <w:rFonts w:eastAsia="Times New Roman"/>
          <w:szCs w:val="28"/>
        </w:rPr>
        <w:t>8.4).</w:t>
      </w:r>
    </w:p>
    <w:p w:rsidR="009F0BF0" w:rsidRPr="00006A39" w:rsidRDefault="009F0BF0" w:rsidP="009F0BF0">
      <w:pPr>
        <w:widowControl w:val="0"/>
        <w:ind w:firstLine="709"/>
        <w:rPr>
          <w:rFonts w:eastAsia="Times New Roman"/>
          <w:szCs w:val="28"/>
        </w:rPr>
      </w:pPr>
      <w:r w:rsidRPr="00006A39">
        <w:rPr>
          <w:rFonts w:eastAsia="Times New Roman"/>
          <w:szCs w:val="28"/>
        </w:rPr>
        <w:t>Тому, в подальшому, ми проаналізували індикатори якості надання медичної допомоги, які можуть впливати й на смертність немовлят у неонатальному періоді.</w:t>
      </w:r>
    </w:p>
    <w:p w:rsidR="005633DD" w:rsidRDefault="009F0BF0" w:rsidP="005633DD">
      <w:pPr>
        <w:widowControl w:val="0"/>
        <w:ind w:firstLine="709"/>
        <w:rPr>
          <w:rFonts w:eastAsia="Times New Roman"/>
          <w:szCs w:val="28"/>
          <w:lang w:val="ru-RU"/>
        </w:rPr>
      </w:pPr>
      <w:r>
        <w:rPr>
          <w:rFonts w:eastAsia="Times New Roman"/>
          <w:szCs w:val="28"/>
        </w:rPr>
        <w:t>К</w:t>
      </w:r>
      <w:r w:rsidRPr="00FA680C">
        <w:rPr>
          <w:rFonts w:eastAsia="Times New Roman"/>
          <w:szCs w:val="28"/>
        </w:rPr>
        <w:t xml:space="preserve">ількість пологів менше за 300 на рік достовірно асоціюється з несприятливими акушерськими та неонатальними наслідками, які можуть </w:t>
      </w:r>
      <w:r>
        <w:rPr>
          <w:rFonts w:eastAsia="Times New Roman"/>
          <w:szCs w:val="28"/>
        </w:rPr>
        <w:t xml:space="preserve">призвести до летальних випадків. </w:t>
      </w:r>
      <w:r w:rsidRPr="00FA680C">
        <w:rPr>
          <w:rFonts w:eastAsia="Times New Roman"/>
          <w:szCs w:val="28"/>
        </w:rPr>
        <w:t xml:space="preserve">Показник «щомісячна кількість пологів в одному закладі» аналізує декілька аспектів якості надання перинатальної допомоги: по-перше, це рівень безпеки пацієнтів, оскільки мінімальна кількість пологів підвищує ризики збільшення персоналом критичних інцидентів </w:t>
      </w:r>
      <w:r w:rsidRPr="00C333AB">
        <w:rPr>
          <w:rFonts w:eastAsia="Times New Roman"/>
          <w:szCs w:val="28"/>
        </w:rPr>
        <w:t xml:space="preserve">[346, 349, 363], </w:t>
      </w:r>
      <w:r w:rsidRPr="00FA680C">
        <w:rPr>
          <w:rFonts w:eastAsia="Times New Roman"/>
          <w:szCs w:val="28"/>
        </w:rPr>
        <w:t>а по</w:t>
      </w:r>
      <w:r w:rsidR="006D4CC6">
        <w:rPr>
          <w:rFonts w:eastAsia="Times New Roman"/>
          <w:szCs w:val="28"/>
        </w:rPr>
        <w:t xml:space="preserve"> друге – це економічн</w:t>
      </w:r>
      <w:r w:rsidR="006D4CC6" w:rsidRPr="006D4CC6">
        <w:rPr>
          <w:rFonts w:eastAsia="Times New Roman"/>
          <w:szCs w:val="28"/>
        </w:rPr>
        <w:t>а</w:t>
      </w:r>
      <w:r w:rsidRPr="00006A39">
        <w:rPr>
          <w:rFonts w:eastAsia="Times New Roman"/>
          <w:szCs w:val="28"/>
        </w:rPr>
        <w:t xml:space="preserve"> ефективність, оскільки мала кількість пологів у закладі збільшує їх вартість.</w:t>
      </w:r>
      <w:r w:rsidR="00196EFD" w:rsidRPr="00196EFD">
        <w:rPr>
          <w:rFonts w:eastAsia="Times New Roman"/>
          <w:szCs w:val="28"/>
        </w:rPr>
        <w:t xml:space="preserve"> </w:t>
      </w:r>
      <w:r w:rsidR="00196EFD" w:rsidRPr="00006A39">
        <w:rPr>
          <w:rFonts w:eastAsia="Times New Roman"/>
          <w:szCs w:val="28"/>
        </w:rPr>
        <w:t>Результати аналізу, що представлені на гістограмі свідчать, що медіанне значення кількості пологів на 1 заклад становить 59,42 (Q</w:t>
      </w:r>
      <w:r w:rsidR="00196EFD" w:rsidRPr="00006A39">
        <w:rPr>
          <w:rFonts w:eastAsia="Times New Roman"/>
          <w:szCs w:val="28"/>
          <w:vertAlign w:val="subscript"/>
        </w:rPr>
        <w:t>1</w:t>
      </w:r>
      <w:r w:rsidR="00196EFD" w:rsidRPr="00006A39">
        <w:rPr>
          <w:rFonts w:eastAsia="Times New Roman"/>
          <w:szCs w:val="28"/>
        </w:rPr>
        <w:t>=15; Q</w:t>
      </w:r>
      <w:r w:rsidR="00196EFD" w:rsidRPr="00006A39">
        <w:rPr>
          <w:rFonts w:eastAsia="Times New Roman"/>
          <w:szCs w:val="28"/>
          <w:vertAlign w:val="subscript"/>
        </w:rPr>
        <w:t>3</w:t>
      </w:r>
      <w:r w:rsidR="00196EFD" w:rsidRPr="00006A39">
        <w:rPr>
          <w:rFonts w:eastAsia="Times New Roman"/>
          <w:szCs w:val="28"/>
        </w:rPr>
        <w:t>=69), при цьому у 145 закладах цей показник становить менше 20 на місяць</w:t>
      </w:r>
      <w:r w:rsidR="00196EFD">
        <w:rPr>
          <w:rFonts w:eastAsia="Times New Roman"/>
          <w:szCs w:val="28"/>
        </w:rPr>
        <w:t xml:space="preserve"> (рис.</w:t>
      </w:r>
      <w:r w:rsidR="00BE2262">
        <w:rPr>
          <w:rFonts w:eastAsia="Times New Roman"/>
          <w:szCs w:val="28"/>
          <w:lang w:val="ru-RU"/>
        </w:rPr>
        <w:t xml:space="preserve"> </w:t>
      </w:r>
      <w:r w:rsidR="00196EFD">
        <w:rPr>
          <w:rFonts w:eastAsia="Times New Roman"/>
          <w:szCs w:val="28"/>
        </w:rPr>
        <w:t>8.</w:t>
      </w:r>
      <w:r w:rsidR="00196EFD">
        <w:rPr>
          <w:rFonts w:eastAsia="Times New Roman"/>
          <w:szCs w:val="28"/>
          <w:lang w:val="ru-RU"/>
        </w:rPr>
        <w:t>5</w:t>
      </w:r>
      <w:r w:rsidR="00196EFD" w:rsidRPr="00006A39">
        <w:rPr>
          <w:rFonts w:eastAsia="Times New Roman"/>
          <w:szCs w:val="28"/>
        </w:rPr>
        <w:t>).</w:t>
      </w:r>
      <w:r w:rsidR="005633DD" w:rsidRPr="005633DD">
        <w:rPr>
          <w:rFonts w:eastAsia="Times New Roman"/>
          <w:szCs w:val="28"/>
        </w:rPr>
        <w:t xml:space="preserve"> </w:t>
      </w:r>
    </w:p>
    <w:p w:rsidR="00BC0EDB" w:rsidRPr="005633DD" w:rsidRDefault="005633DD" w:rsidP="005633DD">
      <w:pPr>
        <w:widowControl w:val="0"/>
        <w:ind w:firstLine="709"/>
        <w:rPr>
          <w:rFonts w:eastAsia="Times New Roman"/>
          <w:szCs w:val="28"/>
        </w:rPr>
      </w:pPr>
      <w:r w:rsidRPr="00006A39">
        <w:rPr>
          <w:rFonts w:eastAsia="Times New Roman"/>
          <w:szCs w:val="28"/>
        </w:rPr>
        <w:t>Отже, для підвищення якості надання медичної допомоги потрібно оптимізувати кількість закладів з обов’язковим урахування доступності перинатальної допомоги.</w:t>
      </w:r>
    </w:p>
    <w:tbl>
      <w:tblPr>
        <w:tblStyle w:val="a6"/>
        <w:tblW w:w="0" w:type="auto"/>
        <w:tblLook w:val="04A0" w:firstRow="1" w:lastRow="0" w:firstColumn="1" w:lastColumn="0" w:noHBand="0" w:noVBand="1"/>
      </w:tblPr>
      <w:tblGrid>
        <w:gridCol w:w="5046"/>
        <w:gridCol w:w="5046"/>
      </w:tblGrid>
      <w:tr w:rsidR="000F6D17" w:rsidTr="00F57B9F">
        <w:trPr>
          <w:trHeight w:val="5194"/>
        </w:trPr>
        <w:tc>
          <w:tcPr>
            <w:tcW w:w="4813" w:type="dxa"/>
          </w:tcPr>
          <w:p w:rsidR="000F6D17" w:rsidRDefault="000F6D17" w:rsidP="00D41097">
            <w:pPr>
              <w:widowControl w:val="0"/>
              <w:rPr>
                <w:sz w:val="28"/>
                <w:szCs w:val="28"/>
              </w:rPr>
            </w:pPr>
            <w:r w:rsidRPr="0059710E">
              <w:rPr>
                <w:noProof/>
                <w:szCs w:val="28"/>
              </w:rPr>
              <w:lastRenderedPageBreak/>
              <w:drawing>
                <wp:inline distT="0" distB="0" distL="0" distR="0" wp14:anchorId="09CD0E45" wp14:editId="1AA9136F">
                  <wp:extent cx="3065591" cy="3341914"/>
                  <wp:effectExtent l="0" t="0" r="1905" b="0"/>
                  <wp:docPr id="1042" name="Рисунок 10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3080188" cy="3357826"/>
                          </a:xfrm>
                          <a:prstGeom prst="rect">
                            <a:avLst/>
                          </a:prstGeom>
                          <a:noFill/>
                          <a:ln>
                            <a:noFill/>
                          </a:ln>
                        </pic:spPr>
                      </pic:pic>
                    </a:graphicData>
                  </a:graphic>
                </wp:inline>
              </w:drawing>
            </w:r>
          </w:p>
        </w:tc>
        <w:tc>
          <w:tcPr>
            <w:tcW w:w="4814" w:type="dxa"/>
          </w:tcPr>
          <w:p w:rsidR="000F6D17" w:rsidRDefault="000F6D17" w:rsidP="00D41097">
            <w:pPr>
              <w:widowControl w:val="0"/>
              <w:rPr>
                <w:sz w:val="28"/>
                <w:szCs w:val="28"/>
              </w:rPr>
            </w:pPr>
            <w:r w:rsidRPr="0059710E">
              <w:rPr>
                <w:noProof/>
                <w:szCs w:val="28"/>
              </w:rPr>
              <w:drawing>
                <wp:inline distT="0" distB="0" distL="0" distR="0" wp14:anchorId="635B3CCC" wp14:editId="3E385625">
                  <wp:extent cx="3065591" cy="3341914"/>
                  <wp:effectExtent l="0" t="0" r="1905" b="0"/>
                  <wp:docPr id="1043" name="Рисунок 10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3117618" cy="3398630"/>
                          </a:xfrm>
                          <a:prstGeom prst="rect">
                            <a:avLst/>
                          </a:prstGeom>
                          <a:noFill/>
                          <a:ln>
                            <a:noFill/>
                          </a:ln>
                        </pic:spPr>
                      </pic:pic>
                    </a:graphicData>
                  </a:graphic>
                </wp:inline>
              </w:drawing>
            </w:r>
          </w:p>
        </w:tc>
      </w:tr>
      <w:tr w:rsidR="000F6D17" w:rsidTr="00F57B9F">
        <w:trPr>
          <w:trHeight w:val="421"/>
        </w:trPr>
        <w:tc>
          <w:tcPr>
            <w:tcW w:w="4813" w:type="dxa"/>
          </w:tcPr>
          <w:p w:rsidR="000F6D17" w:rsidRPr="0059710E" w:rsidRDefault="000F6D17" w:rsidP="00D41097">
            <w:pPr>
              <w:widowControl w:val="0"/>
              <w:jc w:val="center"/>
              <w:rPr>
                <w:rFonts w:ascii="Times New Roman" w:hAnsi="Times New Roman"/>
                <w:sz w:val="24"/>
                <w:lang w:val="uk-UA"/>
              </w:rPr>
            </w:pPr>
            <w:r w:rsidRPr="0059710E">
              <w:rPr>
                <w:rFonts w:ascii="Times New Roman" w:hAnsi="Times New Roman"/>
                <w:sz w:val="24"/>
                <w:lang w:val="uk-UA"/>
              </w:rPr>
              <w:t>Акушерські стаціонари</w:t>
            </w:r>
          </w:p>
        </w:tc>
        <w:tc>
          <w:tcPr>
            <w:tcW w:w="4814" w:type="dxa"/>
          </w:tcPr>
          <w:p w:rsidR="000F6D17" w:rsidRPr="0059710E" w:rsidRDefault="000F6D17" w:rsidP="00D41097">
            <w:pPr>
              <w:widowControl w:val="0"/>
              <w:jc w:val="center"/>
              <w:rPr>
                <w:rFonts w:ascii="Times New Roman" w:hAnsi="Times New Roman"/>
                <w:sz w:val="24"/>
                <w:lang w:val="uk-UA"/>
              </w:rPr>
            </w:pPr>
            <w:r w:rsidRPr="0059710E">
              <w:rPr>
                <w:rFonts w:ascii="Times New Roman" w:hAnsi="Times New Roman"/>
                <w:sz w:val="24"/>
                <w:lang w:val="uk-UA"/>
              </w:rPr>
              <w:t>Дитячі лікарні</w:t>
            </w:r>
          </w:p>
        </w:tc>
      </w:tr>
    </w:tbl>
    <w:p w:rsidR="000F6D17" w:rsidRPr="0059710E" w:rsidRDefault="000F6D17" w:rsidP="000F6D17">
      <w:pPr>
        <w:widowControl w:val="0"/>
        <w:spacing w:before="120" w:after="120"/>
        <w:ind w:firstLine="709"/>
        <w:rPr>
          <w:rFonts w:eastAsia="Calibri"/>
          <w:szCs w:val="28"/>
        </w:rPr>
      </w:pPr>
      <w:r w:rsidRPr="0059710E">
        <w:rPr>
          <w:rFonts w:eastAsia="Calibri"/>
          <w:szCs w:val="28"/>
        </w:rPr>
        <w:t xml:space="preserve">Рис. </w:t>
      </w:r>
      <w:r w:rsidR="00185C32">
        <w:rPr>
          <w:rFonts w:eastAsia="Calibri"/>
          <w:szCs w:val="28"/>
        </w:rPr>
        <w:t>8.</w:t>
      </w:r>
      <w:r w:rsidR="00185C32">
        <w:rPr>
          <w:rFonts w:eastAsia="Calibri"/>
          <w:szCs w:val="28"/>
          <w:lang w:val="ru-RU"/>
        </w:rPr>
        <w:t>4</w:t>
      </w:r>
      <w:r w:rsidRPr="0059710E">
        <w:rPr>
          <w:rFonts w:eastAsia="Calibri"/>
          <w:szCs w:val="28"/>
        </w:rPr>
        <w:t xml:space="preserve">. </w:t>
      </w:r>
      <w:r w:rsidR="00A42C40" w:rsidRPr="00A42C40">
        <w:rPr>
          <w:rFonts w:eastAsia="Calibri"/>
          <w:szCs w:val="28"/>
        </w:rPr>
        <w:t>Розподіл дітей за часом смерті в акушерських стаціонарах та дитячих лікарнях (квітень-жовтень 2020 р., показник кількість дітей-доба)</w:t>
      </w:r>
    </w:p>
    <w:p w:rsidR="0052072E" w:rsidRPr="00006A39" w:rsidRDefault="0052072E" w:rsidP="002C0B8F">
      <w:pPr>
        <w:widowControl w:val="0"/>
        <w:jc w:val="center"/>
        <w:rPr>
          <w:rFonts w:eastAsia="Times New Roman"/>
          <w:szCs w:val="28"/>
        </w:rPr>
      </w:pPr>
      <w:r w:rsidRPr="00006A39">
        <w:rPr>
          <w:rFonts w:eastAsia="Times New Roman"/>
          <w:noProof/>
          <w:szCs w:val="28"/>
          <w:lang w:val="ru-RU" w:eastAsia="ru-RU"/>
        </w:rPr>
        <w:drawing>
          <wp:inline distT="0" distB="0" distL="0" distR="0" wp14:anchorId="124DA2D5" wp14:editId="476C939B">
            <wp:extent cx="6085114" cy="4014311"/>
            <wp:effectExtent l="0" t="0" r="0" b="5715"/>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6102498" cy="4025779"/>
                    </a:xfrm>
                    <a:prstGeom prst="rect">
                      <a:avLst/>
                    </a:prstGeom>
                  </pic:spPr>
                </pic:pic>
              </a:graphicData>
            </a:graphic>
          </wp:inline>
        </w:drawing>
      </w:r>
    </w:p>
    <w:p w:rsidR="0052072E" w:rsidRPr="00006A39" w:rsidRDefault="0052072E" w:rsidP="00721203">
      <w:pPr>
        <w:widowControl w:val="0"/>
        <w:ind w:firstLine="709"/>
        <w:rPr>
          <w:rFonts w:eastAsia="Times New Roman"/>
          <w:szCs w:val="28"/>
        </w:rPr>
      </w:pPr>
      <w:r w:rsidRPr="00006A39">
        <w:rPr>
          <w:rFonts w:eastAsia="Times New Roman"/>
          <w:szCs w:val="28"/>
        </w:rPr>
        <w:t xml:space="preserve">Рис. </w:t>
      </w:r>
      <w:r w:rsidR="00185C32">
        <w:rPr>
          <w:rFonts w:eastAsia="Times New Roman"/>
          <w:szCs w:val="28"/>
        </w:rPr>
        <w:t>8.</w:t>
      </w:r>
      <w:r w:rsidR="00185C32" w:rsidRPr="00FA4E96">
        <w:rPr>
          <w:rFonts w:eastAsia="Times New Roman"/>
          <w:szCs w:val="28"/>
        </w:rPr>
        <w:t>5</w:t>
      </w:r>
      <w:r w:rsidR="0087066F" w:rsidRPr="00006A39">
        <w:rPr>
          <w:rFonts w:eastAsia="Times New Roman"/>
          <w:szCs w:val="28"/>
        </w:rPr>
        <w:t xml:space="preserve">. </w:t>
      </w:r>
      <w:r w:rsidRPr="00006A39">
        <w:rPr>
          <w:rFonts w:eastAsia="Times New Roman"/>
          <w:szCs w:val="28"/>
        </w:rPr>
        <w:t>Гістограма розподілу закладів залежно від середньомісячної кількості пологів (квітень-жовтень 2020 р.)</w:t>
      </w:r>
    </w:p>
    <w:p w:rsidR="0097796C" w:rsidRDefault="0087066F" w:rsidP="00715370">
      <w:pPr>
        <w:widowControl w:val="0"/>
        <w:ind w:firstLine="709"/>
        <w:rPr>
          <w:rFonts w:eastAsia="Times New Roman"/>
          <w:szCs w:val="28"/>
        </w:rPr>
      </w:pPr>
      <w:r w:rsidRPr="00006A39">
        <w:rPr>
          <w:rFonts w:eastAsia="Times New Roman"/>
          <w:szCs w:val="28"/>
        </w:rPr>
        <w:lastRenderedPageBreak/>
        <w:t xml:space="preserve">Про рівень запровадження регіоналізації перинатальної допомоги в певній області свідчить показник, що </w:t>
      </w:r>
      <w:r w:rsidR="006F2C3E" w:rsidRPr="00006A39">
        <w:rPr>
          <w:rFonts w:eastAsia="Times New Roman"/>
          <w:szCs w:val="28"/>
        </w:rPr>
        <w:t>характеризує</w:t>
      </w:r>
      <w:r w:rsidR="00BB3F0F" w:rsidRPr="00006A39">
        <w:rPr>
          <w:rFonts w:eastAsia="Times New Roman"/>
          <w:szCs w:val="28"/>
        </w:rPr>
        <w:t xml:space="preserve"> частку новонароджених, які переводяться в інший заклад. Я</w:t>
      </w:r>
      <w:r w:rsidRPr="00006A39">
        <w:rPr>
          <w:rFonts w:eastAsia="Times New Roman"/>
          <w:szCs w:val="28"/>
        </w:rPr>
        <w:t>к</w:t>
      </w:r>
      <w:r w:rsidR="00BB3F0F" w:rsidRPr="00006A39">
        <w:rPr>
          <w:rFonts w:eastAsia="Times New Roman"/>
          <w:szCs w:val="28"/>
        </w:rPr>
        <w:t xml:space="preserve"> представлено на </w:t>
      </w:r>
      <w:r w:rsidR="006F2C3E" w:rsidRPr="00006A39">
        <w:rPr>
          <w:rFonts w:eastAsia="Times New Roman"/>
          <w:szCs w:val="28"/>
        </w:rPr>
        <w:t>гістограмі</w:t>
      </w:r>
      <w:r w:rsidR="00BB3F0F" w:rsidRPr="00006A39">
        <w:rPr>
          <w:rFonts w:eastAsia="Times New Roman"/>
          <w:szCs w:val="28"/>
        </w:rPr>
        <w:t xml:space="preserve"> (рис.</w:t>
      </w:r>
      <w:r w:rsidR="00BE2262">
        <w:rPr>
          <w:rFonts w:eastAsia="Times New Roman"/>
          <w:szCs w:val="28"/>
          <w:lang w:val="ru-RU"/>
        </w:rPr>
        <w:t xml:space="preserve"> </w:t>
      </w:r>
      <w:r w:rsidR="00185C32">
        <w:rPr>
          <w:rFonts w:eastAsia="Times New Roman"/>
          <w:szCs w:val="28"/>
        </w:rPr>
        <w:t>8.</w:t>
      </w:r>
      <w:r w:rsidR="00185C32">
        <w:rPr>
          <w:rFonts w:eastAsia="Times New Roman"/>
          <w:szCs w:val="28"/>
          <w:lang w:val="ru-RU"/>
        </w:rPr>
        <w:t>6</w:t>
      </w:r>
      <w:r w:rsidR="006F453A">
        <w:rPr>
          <w:rFonts w:eastAsia="Times New Roman"/>
          <w:szCs w:val="28"/>
        </w:rPr>
        <w:t xml:space="preserve">), є 20 акушерських закладів, </w:t>
      </w:r>
      <w:r w:rsidR="006F453A">
        <w:rPr>
          <w:rFonts w:eastAsia="Times New Roman"/>
          <w:szCs w:val="28"/>
          <w:lang w:val="ru-RU"/>
        </w:rPr>
        <w:t>у</w:t>
      </w:r>
      <w:r w:rsidR="00BB3F0F" w:rsidRPr="00006A39">
        <w:rPr>
          <w:rFonts w:eastAsia="Times New Roman"/>
          <w:szCs w:val="28"/>
        </w:rPr>
        <w:t xml:space="preserve"> яких більше за 50% немовлят, на які заведено МЕ, переводяться в інший заклад.</w:t>
      </w:r>
      <w:r w:rsidR="00B46057" w:rsidRPr="00006A39">
        <w:rPr>
          <w:rFonts w:eastAsia="Times New Roman"/>
          <w:szCs w:val="28"/>
        </w:rPr>
        <w:t xml:space="preserve"> </w:t>
      </w:r>
      <w:r w:rsidR="00715370">
        <w:rPr>
          <w:rFonts w:eastAsia="Times New Roman"/>
          <w:szCs w:val="28"/>
        </w:rPr>
        <w:t>Ідентифіковано прихований ризик</w:t>
      </w:r>
      <w:r w:rsidR="00715370" w:rsidRPr="00715370">
        <w:rPr>
          <w:rFonts w:eastAsia="Times New Roman"/>
          <w:szCs w:val="28"/>
        </w:rPr>
        <w:t xml:space="preserve"> збільшення смертності у значній частці дітей, переведених з одного закладу в інший (</w:t>
      </w:r>
      <w:r w:rsidR="00393ACD" w:rsidRPr="00393ACD">
        <w:rPr>
          <w:rFonts w:eastAsia="Times New Roman"/>
          <w:szCs w:val="28"/>
          <w:lang w:val="en-US"/>
        </w:rPr>
        <w:t>Coef</w:t>
      </w:r>
      <w:r w:rsidR="00393ACD" w:rsidRPr="00393ACD">
        <w:rPr>
          <w:rFonts w:eastAsia="Times New Roman"/>
          <w:szCs w:val="28"/>
        </w:rPr>
        <w:t>.</w:t>
      </w:r>
      <w:r w:rsidR="00393ACD">
        <w:rPr>
          <w:rFonts w:eastAsia="Times New Roman"/>
          <w:szCs w:val="28"/>
          <w:lang w:val="en-US"/>
        </w:rPr>
        <w:t> </w:t>
      </w:r>
      <w:r w:rsidR="00715370" w:rsidRPr="00715370">
        <w:rPr>
          <w:rFonts w:eastAsia="Times New Roman"/>
          <w:szCs w:val="28"/>
        </w:rPr>
        <w:t xml:space="preserve">1,004; р&lt;0,001); </w:t>
      </w:r>
    </w:p>
    <w:p w:rsidR="00BB3F0F" w:rsidRPr="00006A39" w:rsidRDefault="00BB3F0F" w:rsidP="0079377F">
      <w:pPr>
        <w:widowControl w:val="0"/>
        <w:jc w:val="center"/>
        <w:rPr>
          <w:rFonts w:eastAsia="Times New Roman"/>
          <w:szCs w:val="28"/>
        </w:rPr>
      </w:pPr>
      <w:r w:rsidRPr="00006A39">
        <w:rPr>
          <w:rFonts w:eastAsia="Times New Roman"/>
          <w:noProof/>
          <w:szCs w:val="28"/>
          <w:lang w:val="ru-RU" w:eastAsia="ru-RU"/>
        </w:rPr>
        <w:drawing>
          <wp:inline distT="0" distB="0" distL="0" distR="0" wp14:anchorId="2B676D10" wp14:editId="39CFCACA">
            <wp:extent cx="5703683" cy="4200808"/>
            <wp:effectExtent l="0" t="0" r="0" b="9525"/>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5720271" cy="4213025"/>
                    </a:xfrm>
                    <a:prstGeom prst="rect">
                      <a:avLst/>
                    </a:prstGeom>
                  </pic:spPr>
                </pic:pic>
              </a:graphicData>
            </a:graphic>
          </wp:inline>
        </w:drawing>
      </w:r>
    </w:p>
    <w:p w:rsidR="00D91F92" w:rsidRDefault="00185C32" w:rsidP="00721203">
      <w:pPr>
        <w:widowControl w:val="0"/>
        <w:spacing w:after="120"/>
        <w:rPr>
          <w:rFonts w:eastAsia="Times New Roman"/>
          <w:szCs w:val="28"/>
        </w:rPr>
      </w:pPr>
      <w:r>
        <w:rPr>
          <w:rFonts w:eastAsia="Times New Roman"/>
          <w:szCs w:val="28"/>
        </w:rPr>
        <w:tab/>
        <w:t>Рис. 8.</w:t>
      </w:r>
      <w:r w:rsidRPr="00393ACD">
        <w:rPr>
          <w:rFonts w:eastAsia="Times New Roman"/>
          <w:szCs w:val="28"/>
        </w:rPr>
        <w:t>6</w:t>
      </w:r>
      <w:r w:rsidR="0087066F" w:rsidRPr="00006A39">
        <w:rPr>
          <w:rFonts w:eastAsia="Times New Roman"/>
          <w:szCs w:val="28"/>
        </w:rPr>
        <w:t>.</w:t>
      </w:r>
      <w:r w:rsidR="00BB3F0F" w:rsidRPr="00006A39">
        <w:rPr>
          <w:rFonts w:eastAsia="Times New Roman"/>
          <w:szCs w:val="28"/>
        </w:rPr>
        <w:tab/>
      </w:r>
      <w:r w:rsidR="0087066F" w:rsidRPr="00006A39">
        <w:rPr>
          <w:rFonts w:eastAsia="Times New Roman"/>
          <w:szCs w:val="28"/>
        </w:rPr>
        <w:t xml:space="preserve">Гістограма розподілу </w:t>
      </w:r>
      <w:r w:rsidR="00834463" w:rsidRPr="00006A39">
        <w:rPr>
          <w:rFonts w:eastAsia="Times New Roman"/>
          <w:szCs w:val="28"/>
        </w:rPr>
        <w:t xml:space="preserve">акушерських </w:t>
      </w:r>
      <w:r w:rsidR="0087066F" w:rsidRPr="00006A39">
        <w:rPr>
          <w:rFonts w:eastAsia="Times New Roman"/>
          <w:szCs w:val="28"/>
        </w:rPr>
        <w:t>закладів залежно від частки переведених дітей (квітень-жовтень 2020 р.)</w:t>
      </w:r>
    </w:p>
    <w:p w:rsidR="005B0BD0" w:rsidRPr="0003792D" w:rsidRDefault="005B0BD0" w:rsidP="005B0BD0">
      <w:pPr>
        <w:widowControl w:val="0"/>
        <w:spacing w:after="120"/>
        <w:ind w:firstLine="709"/>
        <w:rPr>
          <w:rFonts w:eastAsia="Times New Roman"/>
          <w:szCs w:val="28"/>
        </w:rPr>
      </w:pPr>
      <w:r w:rsidRPr="005B0BD0">
        <w:rPr>
          <w:rFonts w:eastAsia="Times New Roman"/>
          <w:szCs w:val="28"/>
        </w:rPr>
        <w:t>Якщо проаналізувати у групі дітей, які народились з вагою до 1500 г, то я</w:t>
      </w:r>
      <w:r w:rsidR="00715370">
        <w:rPr>
          <w:rFonts w:eastAsia="Times New Roman"/>
          <w:szCs w:val="28"/>
        </w:rPr>
        <w:t>к представлено на рис. 8.7, існує</w:t>
      </w:r>
      <w:r w:rsidRPr="005B0BD0">
        <w:rPr>
          <w:rFonts w:eastAsia="Times New Roman"/>
          <w:szCs w:val="28"/>
        </w:rPr>
        <w:t xml:space="preserve"> 19 закладів, які всіх таких дітей переводять в інший заклад, що впливає не тільки на ранні та віддалені наслідки у таких дітей, але й вдвічі збільшує витрати</w:t>
      </w:r>
      <w:r w:rsidR="00433AE3">
        <w:rPr>
          <w:rFonts w:eastAsia="Times New Roman"/>
          <w:szCs w:val="28"/>
        </w:rPr>
        <w:t xml:space="preserve"> бюджетних коштів (фінансування</w:t>
      </w:r>
      <w:r w:rsidRPr="005B0BD0">
        <w:rPr>
          <w:rFonts w:eastAsia="Times New Roman"/>
          <w:szCs w:val="28"/>
        </w:rPr>
        <w:t xml:space="preserve"> НСЗУ</w:t>
      </w:r>
      <w:r w:rsidR="00433AE3">
        <w:rPr>
          <w:rFonts w:eastAsia="Times New Roman"/>
          <w:szCs w:val="28"/>
        </w:rPr>
        <w:t>)</w:t>
      </w:r>
      <w:r w:rsidRPr="005B0BD0">
        <w:rPr>
          <w:rFonts w:eastAsia="Times New Roman"/>
          <w:szCs w:val="28"/>
        </w:rPr>
        <w:t xml:space="preserve"> на лікування дітей, які переводяться в інший заклад</w:t>
      </w:r>
      <w:r w:rsidR="0003792D" w:rsidRPr="0003792D">
        <w:rPr>
          <w:rFonts w:eastAsia="Times New Roman"/>
          <w:szCs w:val="28"/>
        </w:rPr>
        <w:t xml:space="preserve"> (рис. 8</w:t>
      </w:r>
      <w:r w:rsidRPr="005B0BD0">
        <w:rPr>
          <w:rFonts w:eastAsia="Times New Roman"/>
          <w:szCs w:val="28"/>
        </w:rPr>
        <w:t>.</w:t>
      </w:r>
      <w:r w:rsidR="0003792D" w:rsidRPr="0003792D">
        <w:rPr>
          <w:rFonts w:eastAsia="Times New Roman"/>
          <w:szCs w:val="28"/>
        </w:rPr>
        <w:t>8).</w:t>
      </w:r>
    </w:p>
    <w:p w:rsidR="00097E32" w:rsidRDefault="00097E32" w:rsidP="00097E32">
      <w:pPr>
        <w:widowControl w:val="0"/>
        <w:spacing w:after="120"/>
        <w:ind w:firstLine="708"/>
        <w:rPr>
          <w:rFonts w:eastAsia="Times New Roman"/>
          <w:szCs w:val="28"/>
        </w:rPr>
      </w:pPr>
      <w:r>
        <w:rPr>
          <w:rFonts w:eastAsia="Times New Roman"/>
          <w:szCs w:val="28"/>
        </w:rPr>
        <w:lastRenderedPageBreak/>
        <w:t xml:space="preserve">   </w:t>
      </w:r>
      <w:r w:rsidRPr="00006A39">
        <w:rPr>
          <w:rFonts w:eastAsia="Times New Roman"/>
          <w:noProof/>
          <w:szCs w:val="28"/>
          <w:lang w:val="ru-RU" w:eastAsia="ru-RU"/>
        </w:rPr>
        <w:drawing>
          <wp:inline distT="0" distB="0" distL="0" distR="0" wp14:anchorId="73A38843" wp14:editId="63AF6D38">
            <wp:extent cx="5439369" cy="3614057"/>
            <wp:effectExtent l="0" t="0" r="9525" b="5715"/>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5451981" cy="3622437"/>
                    </a:xfrm>
                    <a:prstGeom prst="rect">
                      <a:avLst/>
                    </a:prstGeom>
                  </pic:spPr>
                </pic:pic>
              </a:graphicData>
            </a:graphic>
          </wp:inline>
        </w:drawing>
      </w:r>
    </w:p>
    <w:p w:rsidR="00B46057" w:rsidRPr="00006A39" w:rsidRDefault="00185C32" w:rsidP="00097E32">
      <w:pPr>
        <w:widowControl w:val="0"/>
        <w:spacing w:after="120"/>
        <w:ind w:firstLine="708"/>
        <w:rPr>
          <w:rFonts w:eastAsia="Times New Roman"/>
          <w:szCs w:val="28"/>
        </w:rPr>
      </w:pPr>
      <w:r>
        <w:rPr>
          <w:rFonts w:eastAsia="Times New Roman"/>
          <w:szCs w:val="28"/>
        </w:rPr>
        <w:t>Рис.8.</w:t>
      </w:r>
      <w:r>
        <w:rPr>
          <w:rFonts w:eastAsia="Times New Roman"/>
          <w:szCs w:val="28"/>
          <w:lang w:val="ru-RU"/>
        </w:rPr>
        <w:t>7</w:t>
      </w:r>
      <w:r w:rsidR="00B46057" w:rsidRPr="00006A39">
        <w:rPr>
          <w:rFonts w:eastAsia="Times New Roman"/>
          <w:szCs w:val="28"/>
        </w:rPr>
        <w:t xml:space="preserve">. </w:t>
      </w:r>
      <w:r w:rsidR="006F2C3E" w:rsidRPr="00006A39">
        <w:rPr>
          <w:rFonts w:eastAsia="Times New Roman"/>
          <w:szCs w:val="28"/>
        </w:rPr>
        <w:t>Гістограма</w:t>
      </w:r>
      <w:r w:rsidR="00B46057" w:rsidRPr="00006A39">
        <w:rPr>
          <w:rFonts w:eastAsia="Times New Roman"/>
          <w:szCs w:val="28"/>
        </w:rPr>
        <w:t xml:space="preserve"> розподілу акушерських стаціонарів відносно частки дітей з вагою до 1500 г при народженні, які переводяться в інший заклад</w:t>
      </w:r>
    </w:p>
    <w:p w:rsidR="00BB3F0F" w:rsidRPr="00006A39" w:rsidRDefault="00BB3F0F" w:rsidP="002D13EF">
      <w:pPr>
        <w:widowControl w:val="0"/>
        <w:jc w:val="center"/>
        <w:rPr>
          <w:rFonts w:eastAsia="Times New Roman"/>
          <w:szCs w:val="28"/>
        </w:rPr>
      </w:pPr>
      <w:r w:rsidRPr="00006A39">
        <w:rPr>
          <w:rFonts w:eastAsia="Times New Roman"/>
          <w:noProof/>
          <w:szCs w:val="28"/>
          <w:lang w:val="ru-RU" w:eastAsia="ru-RU"/>
        </w:rPr>
        <w:drawing>
          <wp:inline distT="0" distB="0" distL="0" distR="0" wp14:anchorId="5BFDF959" wp14:editId="3953BCC6">
            <wp:extent cx="5736771" cy="3799114"/>
            <wp:effectExtent l="0" t="0" r="0"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5743092" cy="3803300"/>
                    </a:xfrm>
                    <a:prstGeom prst="rect">
                      <a:avLst/>
                    </a:prstGeom>
                  </pic:spPr>
                </pic:pic>
              </a:graphicData>
            </a:graphic>
          </wp:inline>
        </w:drawing>
      </w:r>
    </w:p>
    <w:p w:rsidR="00D52319" w:rsidRPr="00006A39" w:rsidRDefault="00185C32" w:rsidP="00721203">
      <w:pPr>
        <w:widowControl w:val="0"/>
        <w:ind w:firstLine="708"/>
        <w:rPr>
          <w:rFonts w:eastAsia="Times New Roman"/>
          <w:szCs w:val="28"/>
        </w:rPr>
      </w:pPr>
      <w:r>
        <w:rPr>
          <w:rFonts w:eastAsia="Times New Roman"/>
          <w:szCs w:val="28"/>
        </w:rPr>
        <w:t>Рис.8.</w:t>
      </w:r>
      <w:r w:rsidRPr="00FA4E96">
        <w:rPr>
          <w:rFonts w:eastAsia="Times New Roman"/>
          <w:szCs w:val="28"/>
        </w:rPr>
        <w:t>8</w:t>
      </w:r>
      <w:r w:rsidR="00A12AD7" w:rsidRPr="00006A39">
        <w:rPr>
          <w:rFonts w:eastAsia="Times New Roman"/>
          <w:szCs w:val="28"/>
        </w:rPr>
        <w:t>. Гістограма розподілу дітей, які були переведені в інший заклад, залежно від тривалості їх лікування (квітень-жовтень 2020 р.)</w:t>
      </w:r>
    </w:p>
    <w:p w:rsidR="00316313" w:rsidRDefault="00316313" w:rsidP="002D13EF">
      <w:pPr>
        <w:widowControl w:val="0"/>
        <w:ind w:firstLine="708"/>
        <w:rPr>
          <w:rFonts w:eastAsia="Calibri"/>
          <w:szCs w:val="28"/>
        </w:rPr>
      </w:pPr>
    </w:p>
    <w:p w:rsidR="002D13EF" w:rsidRPr="002D13EF" w:rsidRDefault="000F6D17" w:rsidP="002D13EF">
      <w:pPr>
        <w:widowControl w:val="0"/>
        <w:ind w:firstLine="708"/>
        <w:rPr>
          <w:rFonts w:eastAsia="Calibri"/>
          <w:szCs w:val="28"/>
        </w:rPr>
      </w:pPr>
      <w:r>
        <w:rPr>
          <w:rFonts w:eastAsia="Calibri"/>
          <w:szCs w:val="28"/>
        </w:rPr>
        <w:lastRenderedPageBreak/>
        <w:t>Більш детальний аналіз структури показника смертності новонароджених упродовж 0-1 діб життя за типом заклад</w:t>
      </w:r>
      <w:r w:rsidR="000300D3">
        <w:rPr>
          <w:rFonts w:eastAsia="Calibri"/>
          <w:szCs w:val="28"/>
        </w:rPr>
        <w:t>у виявив значні його коливання</w:t>
      </w:r>
      <w:r w:rsidR="002D13EF" w:rsidRPr="002D13EF">
        <w:rPr>
          <w:rFonts w:eastAsia="Calibri"/>
          <w:szCs w:val="28"/>
        </w:rPr>
        <w:t xml:space="preserve">, а саме </w:t>
      </w:r>
      <w:r w:rsidR="002D13EF">
        <w:rPr>
          <w:rFonts w:eastAsia="Calibri"/>
          <w:szCs w:val="28"/>
        </w:rPr>
        <w:t>наведені дані</w:t>
      </w:r>
      <w:r w:rsidR="002D13EF" w:rsidRPr="002D13EF">
        <w:rPr>
          <w:rFonts w:eastAsia="Calibri"/>
          <w:szCs w:val="28"/>
        </w:rPr>
        <w:t>, демонструють щомісячні коливання частки дітей, які помирають упродовж першої доби життя, із загальної кількості померлих новонароджених в усіх закладах упродовж виходжування та лікування – з 23,21% до 37,18%. Більш детальний аналіз місця смерті новонароджених упродовж першої доби життя показав, що значна кількість дітей помирає в акушерських стаціонарах І-ІІ рівня та ДЛ, що свідчить про недостатню регіоналізацію перинатальної допомоги, зокрема про недостатню концентрацію жінок високого ризику в перинатальних центрах ІІІ рівня, що призводить до збільшення кількості дітей, які транспортуються у ДЛ упродовж першої доби життя</w:t>
      </w:r>
      <w:r w:rsidR="002D13EF">
        <w:rPr>
          <w:rFonts w:eastAsia="Calibri"/>
          <w:szCs w:val="28"/>
        </w:rPr>
        <w:t xml:space="preserve"> (рис. 8.9)</w:t>
      </w:r>
      <w:r w:rsidR="002D13EF" w:rsidRPr="002D13EF">
        <w:rPr>
          <w:rFonts w:eastAsia="Calibri"/>
          <w:szCs w:val="28"/>
        </w:rPr>
        <w:t xml:space="preserve">. </w:t>
      </w:r>
    </w:p>
    <w:p w:rsidR="000F6D17" w:rsidRPr="002E392E" w:rsidRDefault="0035478E" w:rsidP="0035478E">
      <w:pPr>
        <w:widowControl w:val="0"/>
        <w:rPr>
          <w:szCs w:val="28"/>
          <w:lang w:val="ru-RU"/>
        </w:rPr>
      </w:pPr>
      <w:r w:rsidRPr="00E53E7C">
        <w:rPr>
          <w:szCs w:val="28"/>
        </w:rPr>
        <w:t xml:space="preserve">           </w:t>
      </w:r>
      <w:r w:rsidR="002E392E" w:rsidRPr="00E90D0D">
        <w:rPr>
          <w:noProof/>
          <w:szCs w:val="28"/>
          <w:lang w:val="ru-RU" w:eastAsia="ru-RU"/>
        </w:rPr>
        <w:drawing>
          <wp:inline distT="0" distB="0" distL="0" distR="0" wp14:anchorId="5C7DD1EB" wp14:editId="61EB03FA">
            <wp:extent cx="5709600" cy="3873600"/>
            <wp:effectExtent l="0" t="0" r="5715" b="0"/>
            <wp:docPr id="90" name="Диаграмма 90"/>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p w:rsidR="002E392E" w:rsidRPr="002E392E" w:rsidRDefault="00185C32" w:rsidP="002E392E">
      <w:pPr>
        <w:widowControl w:val="0"/>
        <w:spacing w:before="120" w:after="120"/>
        <w:ind w:firstLine="709"/>
        <w:rPr>
          <w:szCs w:val="28"/>
        </w:rPr>
      </w:pPr>
      <w:r>
        <w:rPr>
          <w:szCs w:val="28"/>
        </w:rPr>
        <w:t>Рис. 8.</w:t>
      </w:r>
      <w:r>
        <w:rPr>
          <w:szCs w:val="28"/>
          <w:lang w:val="ru-RU"/>
        </w:rPr>
        <w:t>9</w:t>
      </w:r>
      <w:r w:rsidR="000F6D17">
        <w:rPr>
          <w:szCs w:val="28"/>
        </w:rPr>
        <w:t xml:space="preserve">. </w:t>
      </w:r>
      <w:r w:rsidR="002E392E" w:rsidRPr="002E392E">
        <w:rPr>
          <w:szCs w:val="28"/>
        </w:rPr>
        <w:t>Частка померлих дітей протягом першої доби життя, залежно від типу закладу (ліва вертикальна вісь) та частки дітей, які помирають упродовж першої доби життя, із загальної кількості померлих новонароджених в усіх закладах упродовж виходжування та лікування (права вертикальна вісь) за 7 місяців 2020 р.)</w:t>
      </w:r>
    </w:p>
    <w:p w:rsidR="002E392E" w:rsidRPr="002E392E" w:rsidRDefault="002E392E" w:rsidP="002E392E">
      <w:pPr>
        <w:widowControl w:val="0"/>
        <w:spacing w:line="276" w:lineRule="auto"/>
        <w:ind w:firstLine="709"/>
        <w:rPr>
          <w:sz w:val="20"/>
          <w:szCs w:val="20"/>
        </w:rPr>
      </w:pPr>
      <w:r w:rsidRPr="002E392E">
        <w:rPr>
          <w:sz w:val="20"/>
          <w:szCs w:val="20"/>
        </w:rPr>
        <w:t>Примітка. * за усіма закладами – частки дітей, які помирають упродовж першої доби життя, із загальної кількості померлих новонароджених в усіх закладах упродовж виходжування та лікування</w:t>
      </w:r>
    </w:p>
    <w:p w:rsidR="009D1CFB" w:rsidRPr="000B5CF4" w:rsidRDefault="000B5CF4" w:rsidP="000B5CF4">
      <w:pPr>
        <w:widowControl w:val="0"/>
        <w:ind w:firstLine="708"/>
        <w:rPr>
          <w:rFonts w:eastAsia="Calibri"/>
          <w:szCs w:val="28"/>
        </w:rPr>
      </w:pPr>
      <w:r w:rsidRPr="00E53E7C">
        <w:rPr>
          <w:rFonts w:eastAsia="Calibri"/>
          <w:szCs w:val="28"/>
        </w:rPr>
        <w:lastRenderedPageBreak/>
        <w:t>Аналіз структури добової летальності дітей за вагою засвідчив, що в акушерських стаціонарах помирають в переважній кількості недоношені діти, оскільки медіанне значення ваги дітей, які померли упродовж 0-1 доби життя в акушерських стаціонарах становило 1100 (650-2450) г, а в дитячих лікарнях – доношені діти (медіанне значення 2680 (1450-3470) г, р&lt;0,001 (рис.8.10).</w:t>
      </w:r>
    </w:p>
    <w:tbl>
      <w:tblPr>
        <w:tblStyle w:val="a6"/>
        <w:tblW w:w="0" w:type="auto"/>
        <w:tblLook w:val="04A0" w:firstRow="1" w:lastRow="0" w:firstColumn="1" w:lastColumn="0" w:noHBand="0" w:noVBand="1"/>
      </w:tblPr>
      <w:tblGrid>
        <w:gridCol w:w="5231"/>
        <w:gridCol w:w="5190"/>
      </w:tblGrid>
      <w:tr w:rsidR="000F6D17" w:rsidTr="000B5CF4">
        <w:trPr>
          <w:trHeight w:val="5468"/>
        </w:trPr>
        <w:tc>
          <w:tcPr>
            <w:tcW w:w="5203" w:type="dxa"/>
          </w:tcPr>
          <w:p w:rsidR="000F6D17" w:rsidRDefault="000F6D17" w:rsidP="00D41097">
            <w:pPr>
              <w:widowControl w:val="0"/>
              <w:rPr>
                <w:sz w:val="28"/>
                <w:szCs w:val="28"/>
              </w:rPr>
            </w:pPr>
            <w:r w:rsidRPr="0059710E">
              <w:rPr>
                <w:noProof/>
                <w:szCs w:val="28"/>
              </w:rPr>
              <w:drawing>
                <wp:inline distT="0" distB="0" distL="0" distR="0" wp14:anchorId="10048556" wp14:editId="187BDCDB">
                  <wp:extent cx="3286202" cy="3476531"/>
                  <wp:effectExtent l="0" t="0" r="0" b="0"/>
                  <wp:docPr id="1045" name="Рисунок 10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3298193" cy="3489216"/>
                          </a:xfrm>
                          <a:prstGeom prst="rect">
                            <a:avLst/>
                          </a:prstGeom>
                          <a:noFill/>
                          <a:ln>
                            <a:noFill/>
                          </a:ln>
                        </pic:spPr>
                      </pic:pic>
                    </a:graphicData>
                  </a:graphic>
                </wp:inline>
              </w:drawing>
            </w:r>
          </w:p>
        </w:tc>
        <w:tc>
          <w:tcPr>
            <w:tcW w:w="5218" w:type="dxa"/>
          </w:tcPr>
          <w:p w:rsidR="000F6D17" w:rsidRDefault="000F6D17" w:rsidP="00D41097">
            <w:pPr>
              <w:widowControl w:val="0"/>
              <w:rPr>
                <w:sz w:val="28"/>
                <w:szCs w:val="28"/>
              </w:rPr>
            </w:pPr>
            <w:r w:rsidRPr="0059710E">
              <w:rPr>
                <w:noProof/>
                <w:szCs w:val="28"/>
              </w:rPr>
              <w:drawing>
                <wp:inline distT="0" distB="0" distL="0" distR="0" wp14:anchorId="62D48244" wp14:editId="0D965A33">
                  <wp:extent cx="3259247" cy="3476531"/>
                  <wp:effectExtent l="0" t="0" r="0" b="0"/>
                  <wp:docPr id="1046" name="Рисунок 10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3288456" cy="3507687"/>
                          </a:xfrm>
                          <a:prstGeom prst="rect">
                            <a:avLst/>
                          </a:prstGeom>
                          <a:noFill/>
                          <a:ln>
                            <a:noFill/>
                          </a:ln>
                        </pic:spPr>
                      </pic:pic>
                    </a:graphicData>
                  </a:graphic>
                </wp:inline>
              </w:drawing>
            </w:r>
          </w:p>
        </w:tc>
      </w:tr>
      <w:tr w:rsidR="000F6D17" w:rsidTr="000B5CF4">
        <w:trPr>
          <w:trHeight w:val="416"/>
        </w:trPr>
        <w:tc>
          <w:tcPr>
            <w:tcW w:w="5203" w:type="dxa"/>
          </w:tcPr>
          <w:p w:rsidR="000F6D17" w:rsidRPr="0059710E" w:rsidRDefault="000F6D17" w:rsidP="00D41097">
            <w:pPr>
              <w:widowControl w:val="0"/>
              <w:jc w:val="center"/>
              <w:rPr>
                <w:noProof/>
                <w:sz w:val="28"/>
                <w:szCs w:val="28"/>
              </w:rPr>
            </w:pPr>
            <w:r w:rsidRPr="0059710E">
              <w:rPr>
                <w:rFonts w:ascii="Times New Roman" w:hAnsi="Times New Roman"/>
                <w:sz w:val="24"/>
                <w:lang w:val="uk-UA"/>
              </w:rPr>
              <w:t>Акушерські стаціонари</w:t>
            </w:r>
          </w:p>
        </w:tc>
        <w:tc>
          <w:tcPr>
            <w:tcW w:w="5218" w:type="dxa"/>
          </w:tcPr>
          <w:p w:rsidR="000F6D17" w:rsidRPr="0059710E" w:rsidRDefault="000F6D17" w:rsidP="00D41097">
            <w:pPr>
              <w:widowControl w:val="0"/>
              <w:jc w:val="center"/>
              <w:rPr>
                <w:noProof/>
                <w:sz w:val="28"/>
                <w:szCs w:val="28"/>
              </w:rPr>
            </w:pPr>
            <w:r w:rsidRPr="0059710E">
              <w:rPr>
                <w:rFonts w:ascii="Times New Roman" w:hAnsi="Times New Roman"/>
                <w:sz w:val="24"/>
                <w:lang w:val="uk-UA"/>
              </w:rPr>
              <w:t>Дитячі лікарні</w:t>
            </w:r>
          </w:p>
        </w:tc>
      </w:tr>
    </w:tbl>
    <w:p w:rsidR="000F6D17" w:rsidRPr="00555200" w:rsidRDefault="00185C32" w:rsidP="00555200">
      <w:pPr>
        <w:widowControl w:val="0"/>
        <w:spacing w:before="120" w:after="120"/>
        <w:ind w:firstLine="709"/>
        <w:rPr>
          <w:szCs w:val="28"/>
          <w:lang w:val="ru-RU"/>
        </w:rPr>
      </w:pPr>
      <w:r>
        <w:rPr>
          <w:szCs w:val="28"/>
        </w:rPr>
        <w:t>Рис. 8.1</w:t>
      </w:r>
      <w:r>
        <w:rPr>
          <w:szCs w:val="28"/>
          <w:lang w:val="ru-RU"/>
        </w:rPr>
        <w:t>0</w:t>
      </w:r>
      <w:r w:rsidR="000F6D17">
        <w:rPr>
          <w:szCs w:val="28"/>
        </w:rPr>
        <w:t>. Структура смертності дітей, які помирають у віці 0-1 доби, залежно від маси тіла при народженні (7 місяців 2020 р.)</w:t>
      </w:r>
    </w:p>
    <w:p w:rsidR="000B5CF4" w:rsidRDefault="00F06E17" w:rsidP="000F6D17">
      <w:pPr>
        <w:widowControl w:val="0"/>
        <w:ind w:firstLine="708"/>
        <w:rPr>
          <w:rFonts w:eastAsia="Times New Roman"/>
          <w:szCs w:val="28"/>
          <w:lang w:val="ru-RU"/>
        </w:rPr>
      </w:pPr>
      <w:r w:rsidRPr="00006A39">
        <w:rPr>
          <w:rFonts w:eastAsia="Times New Roman"/>
          <w:szCs w:val="28"/>
        </w:rPr>
        <w:t>Операція кесаревого розтину</w:t>
      </w:r>
      <w:r w:rsidR="004057A7">
        <w:rPr>
          <w:rFonts w:eastAsia="Times New Roman"/>
          <w:szCs w:val="28"/>
        </w:rPr>
        <w:t xml:space="preserve"> (КР)</w:t>
      </w:r>
      <w:r w:rsidRPr="00006A39">
        <w:rPr>
          <w:rFonts w:eastAsia="Times New Roman"/>
          <w:szCs w:val="28"/>
        </w:rPr>
        <w:t xml:space="preserve"> є інтервенцією, яка значно збільшує ризики виникнення у жінки життєзагрозливих станів. Розподіл закладів відносно частки таких </w:t>
      </w:r>
      <w:r w:rsidR="006F2C3E" w:rsidRPr="00006A39">
        <w:rPr>
          <w:rFonts w:eastAsia="Times New Roman"/>
          <w:szCs w:val="28"/>
        </w:rPr>
        <w:t>утручань</w:t>
      </w:r>
      <w:r w:rsidRPr="00006A39">
        <w:rPr>
          <w:rFonts w:eastAsia="Times New Roman"/>
          <w:szCs w:val="28"/>
        </w:rPr>
        <w:t xml:space="preserve"> свідчить, що досить вагомою є кількість закладів, в яких частка КР становить більше за 30% </w:t>
      </w:r>
      <w:r w:rsidR="00555200">
        <w:rPr>
          <w:rFonts w:eastAsia="Times New Roman"/>
          <w:szCs w:val="28"/>
          <w:lang w:val="ru-RU"/>
        </w:rPr>
        <w:t>(рис.</w:t>
      </w:r>
      <w:r w:rsidR="00A97502">
        <w:rPr>
          <w:rFonts w:eastAsia="Times New Roman"/>
          <w:szCs w:val="28"/>
          <w:lang w:val="ru-RU"/>
        </w:rPr>
        <w:t xml:space="preserve"> </w:t>
      </w:r>
      <w:proofErr w:type="gramStart"/>
      <w:r w:rsidR="00555200">
        <w:rPr>
          <w:rFonts w:eastAsia="Times New Roman"/>
          <w:szCs w:val="28"/>
          <w:lang w:val="ru-RU"/>
        </w:rPr>
        <w:t>8.11</w:t>
      </w:r>
      <w:r w:rsidR="00A35632">
        <w:rPr>
          <w:rFonts w:eastAsia="Times New Roman"/>
          <w:szCs w:val="28"/>
          <w:lang w:val="ru-RU"/>
        </w:rPr>
        <w:t>, 8.12</w:t>
      </w:r>
      <w:r w:rsidR="00555200">
        <w:rPr>
          <w:rFonts w:eastAsia="Times New Roman"/>
          <w:szCs w:val="28"/>
          <w:lang w:val="ru-RU"/>
        </w:rPr>
        <w:t>).</w:t>
      </w:r>
      <w:proofErr w:type="gramEnd"/>
    </w:p>
    <w:p w:rsidR="000B5CF4" w:rsidRDefault="000B5CF4" w:rsidP="000B5CF4">
      <w:pPr>
        <w:widowControl w:val="0"/>
        <w:ind w:firstLine="709"/>
        <w:rPr>
          <w:szCs w:val="28"/>
        </w:rPr>
      </w:pPr>
      <w:r w:rsidRPr="006F65CC">
        <w:rPr>
          <w:szCs w:val="28"/>
        </w:rPr>
        <w:t>У причинній стр</w:t>
      </w:r>
      <w:r>
        <w:rPr>
          <w:szCs w:val="28"/>
        </w:rPr>
        <w:t>уктурі добової летальності І</w:t>
      </w:r>
      <w:r w:rsidRPr="006F65CC">
        <w:rPr>
          <w:szCs w:val="28"/>
        </w:rPr>
        <w:t xml:space="preserve"> місце посідають: внутрішньоутробна гіпоксія і асфіксія у родах (Р20-Р21</w:t>
      </w:r>
      <w:r>
        <w:rPr>
          <w:szCs w:val="28"/>
        </w:rPr>
        <w:t>) – 22,28%; ІІ</w:t>
      </w:r>
      <w:r w:rsidRPr="006F65CC">
        <w:rPr>
          <w:szCs w:val="28"/>
        </w:rPr>
        <w:t xml:space="preserve"> місце – синдром респіраторного розладу (Р22.0,8,9</w:t>
      </w:r>
      <w:r>
        <w:rPr>
          <w:szCs w:val="28"/>
        </w:rPr>
        <w:t>) – 21,20%; ІІІ</w:t>
      </w:r>
      <w:r w:rsidRPr="006F65CC">
        <w:rPr>
          <w:szCs w:val="28"/>
        </w:rPr>
        <w:t xml:space="preserve"> місце – уроджені аномалії, деформації та хромосомні порушення (Q00-Q99</w:t>
      </w:r>
      <w:r>
        <w:rPr>
          <w:szCs w:val="28"/>
        </w:rPr>
        <w:t>) – 17,93%; І</w:t>
      </w:r>
      <w:r>
        <w:rPr>
          <w:szCs w:val="28"/>
          <w:lang w:val="en-US"/>
        </w:rPr>
        <w:t>V</w:t>
      </w:r>
      <w:r w:rsidRPr="006F65CC">
        <w:rPr>
          <w:szCs w:val="28"/>
        </w:rPr>
        <w:t xml:space="preserve"> місце – надзвичайно низька маса тіла при народженні (P07.01.02.03) </w:t>
      </w:r>
      <w:r>
        <w:rPr>
          <w:szCs w:val="28"/>
        </w:rPr>
        <w:t xml:space="preserve">– 14,67%; </w:t>
      </w:r>
      <w:r>
        <w:rPr>
          <w:szCs w:val="28"/>
          <w:lang w:val="en-US"/>
        </w:rPr>
        <w:t>V</w:t>
      </w:r>
      <w:r w:rsidRPr="006F65CC">
        <w:rPr>
          <w:szCs w:val="28"/>
        </w:rPr>
        <w:t xml:space="preserve"> місце – інфекції, специфічні для перинатального періоду (P35,P37-P39</w:t>
      </w:r>
      <w:r>
        <w:rPr>
          <w:szCs w:val="28"/>
        </w:rPr>
        <w:t xml:space="preserve">) –11,96%; </w:t>
      </w:r>
      <w:r>
        <w:rPr>
          <w:szCs w:val="28"/>
          <w:lang w:val="en-US"/>
        </w:rPr>
        <w:t>VI</w:t>
      </w:r>
      <w:r w:rsidRPr="006F65CC">
        <w:rPr>
          <w:szCs w:val="28"/>
        </w:rPr>
        <w:t xml:space="preserve"> місце – уроджені </w:t>
      </w:r>
      <w:r w:rsidRPr="006F65CC">
        <w:rPr>
          <w:szCs w:val="28"/>
        </w:rPr>
        <w:lastRenderedPageBreak/>
        <w:t>пневмонії (Р23) – 3,26%. Інші стани перинатального періоду займають 8,7%.</w:t>
      </w:r>
    </w:p>
    <w:p w:rsidR="00A12AD7" w:rsidRPr="009B2673" w:rsidRDefault="000B5CF4" w:rsidP="009B2673">
      <w:pPr>
        <w:widowControl w:val="0"/>
        <w:ind w:firstLine="709"/>
        <w:rPr>
          <w:szCs w:val="28"/>
        </w:rPr>
      </w:pPr>
      <w:r w:rsidRPr="00006A39">
        <w:rPr>
          <w:rFonts w:eastAsia="Times New Roman"/>
          <w:szCs w:val="28"/>
        </w:rPr>
        <w:t>В інструменті ВООЗ «Near-miss» визначено індикатори якості, які потрібно моніторувати як на рівні окремого закладі, так і на рівні країні [</w:t>
      </w:r>
      <w:r>
        <w:rPr>
          <w:rFonts w:eastAsia="Times New Roman"/>
          <w:szCs w:val="28"/>
        </w:rPr>
        <w:t>360</w:t>
      </w:r>
      <w:r w:rsidRPr="00006A39">
        <w:rPr>
          <w:rFonts w:eastAsia="Times New Roman"/>
          <w:szCs w:val="28"/>
        </w:rPr>
        <w:t>] з метою оцінки якості надання медичної допомоги жінкам під час пологів.</w:t>
      </w:r>
    </w:p>
    <w:p w:rsidR="00D52319" w:rsidRPr="00006A39" w:rsidRDefault="00D52319" w:rsidP="00D45B4B">
      <w:pPr>
        <w:widowControl w:val="0"/>
        <w:jc w:val="center"/>
        <w:rPr>
          <w:rFonts w:eastAsia="Times New Roman"/>
          <w:szCs w:val="28"/>
        </w:rPr>
      </w:pPr>
      <w:r w:rsidRPr="00006A39">
        <w:rPr>
          <w:rFonts w:eastAsia="Times New Roman"/>
          <w:noProof/>
          <w:szCs w:val="28"/>
          <w:lang w:val="ru-RU" w:eastAsia="ru-RU"/>
        </w:rPr>
        <w:drawing>
          <wp:inline distT="0" distB="0" distL="0" distR="0" wp14:anchorId="5C0F14CB" wp14:editId="499D8769">
            <wp:extent cx="5730844" cy="3466286"/>
            <wp:effectExtent l="0" t="0" r="3810" b="127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5732606" cy="3467352"/>
                    </a:xfrm>
                    <a:prstGeom prst="rect">
                      <a:avLst/>
                    </a:prstGeom>
                  </pic:spPr>
                </pic:pic>
              </a:graphicData>
            </a:graphic>
          </wp:inline>
        </w:drawing>
      </w:r>
    </w:p>
    <w:p w:rsidR="00366F45" w:rsidRDefault="00920950" w:rsidP="00721203">
      <w:pPr>
        <w:widowControl w:val="0"/>
        <w:rPr>
          <w:rFonts w:eastAsia="Times New Roman"/>
          <w:szCs w:val="28"/>
        </w:rPr>
      </w:pPr>
      <w:r w:rsidRPr="00006A39">
        <w:rPr>
          <w:rFonts w:eastAsia="Times New Roman"/>
          <w:szCs w:val="28"/>
        </w:rPr>
        <w:t>Рис.</w:t>
      </w:r>
      <w:r w:rsidRPr="00006A39">
        <w:t xml:space="preserve"> </w:t>
      </w:r>
      <w:r w:rsidR="00555200">
        <w:t>8.1</w:t>
      </w:r>
      <w:r w:rsidR="00555200">
        <w:rPr>
          <w:lang w:val="ru-RU"/>
        </w:rPr>
        <w:t>1</w:t>
      </w:r>
      <w:r w:rsidR="000F6D17">
        <w:t xml:space="preserve">. </w:t>
      </w:r>
      <w:r w:rsidRPr="00006A39">
        <w:rPr>
          <w:rFonts w:eastAsia="Times New Roman"/>
          <w:szCs w:val="28"/>
        </w:rPr>
        <w:t>Гістограма розподілу закладів залежно від частки операці</w:t>
      </w:r>
      <w:r w:rsidR="00AF4F09">
        <w:rPr>
          <w:rFonts w:eastAsia="Times New Roman"/>
          <w:szCs w:val="28"/>
        </w:rPr>
        <w:t>й кесаревого розтину в Україні з</w:t>
      </w:r>
      <w:r w:rsidR="00D52319" w:rsidRPr="00006A39">
        <w:rPr>
          <w:rFonts w:eastAsia="Times New Roman"/>
          <w:szCs w:val="28"/>
        </w:rPr>
        <w:t>а окремими адміністративними територіями КР</w:t>
      </w:r>
    </w:p>
    <w:p w:rsidR="00316313" w:rsidRDefault="00316313" w:rsidP="00366F45">
      <w:pPr>
        <w:widowControl w:val="0"/>
        <w:ind w:firstLine="709"/>
        <w:rPr>
          <w:rFonts w:eastAsia="Times New Roman"/>
          <w:szCs w:val="28"/>
        </w:rPr>
      </w:pPr>
    </w:p>
    <w:p w:rsidR="00366F45" w:rsidRPr="00366F45" w:rsidRDefault="00366F45" w:rsidP="00366F45">
      <w:pPr>
        <w:widowControl w:val="0"/>
        <w:ind w:firstLine="709"/>
        <w:rPr>
          <w:szCs w:val="28"/>
        </w:rPr>
      </w:pPr>
      <w:r w:rsidRPr="00006A39">
        <w:rPr>
          <w:rFonts w:eastAsia="Times New Roman"/>
          <w:szCs w:val="28"/>
        </w:rPr>
        <w:t>В інструменті ВООЗ «Near-miss» визначено індикатори якості, які потрібно моніторувати як на рівні окремого закладі, так і на рівні країні [</w:t>
      </w:r>
      <w:r>
        <w:rPr>
          <w:rFonts w:eastAsia="Times New Roman"/>
          <w:szCs w:val="28"/>
        </w:rPr>
        <w:t>360</w:t>
      </w:r>
      <w:r w:rsidRPr="00006A39">
        <w:rPr>
          <w:rFonts w:eastAsia="Times New Roman"/>
          <w:szCs w:val="28"/>
        </w:rPr>
        <w:t>] з метою оцінки якості надання медичної допомоги жінкам під час пологів.</w:t>
      </w:r>
    </w:p>
    <w:p w:rsidR="00366F45" w:rsidRDefault="00366F45" w:rsidP="00366F45">
      <w:pPr>
        <w:widowControl w:val="0"/>
        <w:ind w:firstLine="709"/>
        <w:rPr>
          <w:rFonts w:eastAsia="Times New Roman"/>
          <w:szCs w:val="28"/>
        </w:rPr>
      </w:pPr>
      <w:r>
        <w:rPr>
          <w:rFonts w:eastAsia="Times New Roman"/>
          <w:szCs w:val="28"/>
        </w:rPr>
        <w:t>Вищенаведені</w:t>
      </w:r>
      <w:r w:rsidRPr="003F0EE8">
        <w:rPr>
          <w:rFonts w:eastAsia="Times New Roman"/>
          <w:szCs w:val="28"/>
        </w:rPr>
        <w:t xml:space="preserve"> дані, поряд з </w:t>
      </w:r>
      <w:r>
        <w:rPr>
          <w:rFonts w:eastAsia="Times New Roman"/>
          <w:szCs w:val="28"/>
        </w:rPr>
        <w:t>нашими результатами, висвітлені</w:t>
      </w:r>
      <w:r w:rsidRPr="003F0EE8">
        <w:rPr>
          <w:rFonts w:eastAsia="Times New Roman"/>
          <w:szCs w:val="28"/>
        </w:rPr>
        <w:t xml:space="preserve"> в інших розділах, свідчать про наявність комплексних проблем, що стосуються як репродуктивного здоров’я жінок, так і рівня організації перинатальної допомоги в Україні. </w:t>
      </w:r>
    </w:p>
    <w:p w:rsidR="00D52319" w:rsidRPr="00366F45" w:rsidRDefault="00366F45" w:rsidP="00366F45">
      <w:pPr>
        <w:widowControl w:val="0"/>
        <w:ind w:firstLine="709"/>
        <w:rPr>
          <w:rFonts w:eastAsia="Times New Roman"/>
          <w:szCs w:val="28"/>
        </w:rPr>
      </w:pPr>
      <w:r w:rsidRPr="00006A39">
        <w:rPr>
          <w:rFonts w:eastAsia="Times New Roman"/>
          <w:szCs w:val="28"/>
        </w:rPr>
        <w:t xml:space="preserve">При використанні нових медичних технологій, функціонально-організаційних перебудов особливого значення в сучасних умовах набуває досягнення максимального результату з оптимізацією витрат на їх реалізацію при отриманні медичного, соціального та економічного ефектів в контексті збереження та </w:t>
      </w:r>
      <w:r w:rsidRPr="00006A39">
        <w:rPr>
          <w:rFonts w:eastAsia="Times New Roman"/>
          <w:szCs w:val="28"/>
        </w:rPr>
        <w:lastRenderedPageBreak/>
        <w:t>підвищення якості життя дитячого населення, та примноження у майбутньому</w:t>
      </w:r>
      <w:r w:rsidRPr="00366F45">
        <w:rPr>
          <w:rFonts w:eastAsia="Times New Roman"/>
          <w:szCs w:val="28"/>
        </w:rPr>
        <w:t xml:space="preserve"> </w:t>
      </w:r>
      <w:r>
        <w:rPr>
          <w:rFonts w:eastAsia="Times New Roman"/>
          <w:szCs w:val="28"/>
        </w:rPr>
        <w:t>потенціалу нашої держави. У</w:t>
      </w:r>
      <w:r w:rsidRPr="00006A39">
        <w:rPr>
          <w:rFonts w:eastAsia="Times New Roman"/>
          <w:szCs w:val="28"/>
        </w:rPr>
        <w:t xml:space="preserve"> ефективності відображається взаємозв’язок та взаємообумовленість численних медичних, соціальних та економічних аспектів нововведень обґрунтованої системи. </w:t>
      </w:r>
    </w:p>
    <w:p w:rsidR="00D52319" w:rsidRPr="00006A39" w:rsidRDefault="00D52319" w:rsidP="00721203">
      <w:pPr>
        <w:widowControl w:val="0"/>
        <w:rPr>
          <w:rFonts w:eastAsia="Times New Roman"/>
          <w:szCs w:val="28"/>
        </w:rPr>
      </w:pPr>
      <w:r w:rsidRPr="00006A39">
        <w:rPr>
          <w:rFonts w:eastAsia="Times New Roman"/>
          <w:noProof/>
          <w:szCs w:val="28"/>
          <w:lang w:val="ru-RU" w:eastAsia="ru-RU"/>
        </w:rPr>
        <w:drawing>
          <wp:inline distT="0" distB="0" distL="0" distR="0" wp14:anchorId="3B60B4EA" wp14:editId="080952D2">
            <wp:extent cx="6120063" cy="4580021"/>
            <wp:effectExtent l="0" t="0" r="14605" b="11430"/>
            <wp:docPr id="49" name="Диаграмма 49"/>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p>
    <w:p w:rsidR="000F6D17" w:rsidRPr="00D45B4B" w:rsidRDefault="00920950" w:rsidP="00D45B4B">
      <w:pPr>
        <w:widowControl w:val="0"/>
        <w:ind w:firstLine="708"/>
        <w:rPr>
          <w:rFonts w:eastAsia="Times New Roman"/>
          <w:szCs w:val="28"/>
          <w:lang w:val="ru-RU"/>
        </w:rPr>
      </w:pPr>
      <w:r w:rsidRPr="00006A39">
        <w:rPr>
          <w:rFonts w:eastAsia="Times New Roman"/>
          <w:szCs w:val="28"/>
        </w:rPr>
        <w:t xml:space="preserve">Рис. </w:t>
      </w:r>
      <w:r w:rsidR="00A35632">
        <w:rPr>
          <w:rFonts w:eastAsia="Times New Roman"/>
          <w:szCs w:val="28"/>
        </w:rPr>
        <w:t>8.1</w:t>
      </w:r>
      <w:r w:rsidR="00A35632">
        <w:rPr>
          <w:rFonts w:eastAsia="Times New Roman"/>
          <w:szCs w:val="28"/>
          <w:lang w:val="ru-RU"/>
        </w:rPr>
        <w:t>2</w:t>
      </w:r>
      <w:r w:rsidR="000F6D17">
        <w:rPr>
          <w:rFonts w:eastAsia="Times New Roman"/>
          <w:szCs w:val="28"/>
        </w:rPr>
        <w:t xml:space="preserve">. </w:t>
      </w:r>
      <w:r w:rsidRPr="00006A39">
        <w:rPr>
          <w:rFonts w:eastAsia="Times New Roman"/>
          <w:szCs w:val="28"/>
        </w:rPr>
        <w:t>Частка кесарських розтинів</w:t>
      </w:r>
      <w:r w:rsidR="000F6D17">
        <w:rPr>
          <w:rFonts w:eastAsia="Times New Roman"/>
          <w:szCs w:val="28"/>
        </w:rPr>
        <w:t xml:space="preserve"> за окремими адміністративними територіями</w:t>
      </w:r>
    </w:p>
    <w:p w:rsidR="00EC25E9" w:rsidRPr="00006A39" w:rsidRDefault="00EC25E9" w:rsidP="00721203">
      <w:pPr>
        <w:widowControl w:val="0"/>
        <w:ind w:firstLine="540"/>
        <w:rPr>
          <w:rFonts w:eastAsia="Times New Roman"/>
          <w:szCs w:val="28"/>
        </w:rPr>
      </w:pPr>
      <w:r w:rsidRPr="00DA5D16">
        <w:rPr>
          <w:rFonts w:eastAsia="Times New Roman"/>
          <w:szCs w:val="28"/>
        </w:rPr>
        <w:t xml:space="preserve">Впровадження </w:t>
      </w:r>
      <w:r w:rsidR="00D45B4B" w:rsidRPr="00DA5D16">
        <w:rPr>
          <w:rFonts w:eastAsia="Times New Roman"/>
          <w:szCs w:val="28"/>
        </w:rPr>
        <w:t xml:space="preserve">інноваційної системи медико-соціальної допомоги дітям </w:t>
      </w:r>
      <w:r w:rsidRPr="00006A39">
        <w:rPr>
          <w:rFonts w:eastAsia="Times New Roman"/>
          <w:szCs w:val="28"/>
        </w:rPr>
        <w:t>до 5</w:t>
      </w:r>
      <w:r w:rsidR="00DA5D16">
        <w:rPr>
          <w:rFonts w:eastAsia="Times New Roman"/>
          <w:szCs w:val="28"/>
          <w:lang w:val="ru-RU"/>
        </w:rPr>
        <w:t> </w:t>
      </w:r>
      <w:r w:rsidRPr="00006A39">
        <w:rPr>
          <w:rFonts w:eastAsia="Times New Roman"/>
          <w:szCs w:val="28"/>
        </w:rPr>
        <w:t>років разом із запропонованими моделя</w:t>
      </w:r>
      <w:r w:rsidR="00140110">
        <w:rPr>
          <w:rFonts w:eastAsia="Times New Roman"/>
          <w:szCs w:val="28"/>
        </w:rPr>
        <w:t>ми (організаційна модель</w:t>
      </w:r>
      <w:r w:rsidRPr="00006A39">
        <w:rPr>
          <w:rFonts w:eastAsia="Times New Roman"/>
          <w:szCs w:val="28"/>
        </w:rPr>
        <w:t xml:space="preserve"> зниження смертності дітей віком до 5 років</w:t>
      </w:r>
      <w:r w:rsidR="00140110">
        <w:rPr>
          <w:rFonts w:eastAsia="Times New Roman"/>
          <w:szCs w:val="28"/>
        </w:rPr>
        <w:t xml:space="preserve"> та моделі</w:t>
      </w:r>
      <w:r w:rsidR="00140110" w:rsidRPr="00140110">
        <w:rPr>
          <w:rFonts w:eastAsia="Times New Roman"/>
          <w:szCs w:val="28"/>
        </w:rPr>
        <w:t xml:space="preserve"> </w:t>
      </w:r>
      <w:r w:rsidR="00140110" w:rsidRPr="00140110">
        <w:rPr>
          <w:rFonts w:eastAsia="Times New Roman"/>
          <w:szCs w:val="28"/>
          <w:lang w:val="ru-RU"/>
        </w:rPr>
        <w:t xml:space="preserve">зниження смертності </w:t>
      </w:r>
      <w:r w:rsidR="00140110" w:rsidRPr="00140110">
        <w:rPr>
          <w:rFonts w:eastAsia="Times New Roman"/>
          <w:szCs w:val="28"/>
        </w:rPr>
        <w:t>дітей до 5</w:t>
      </w:r>
      <w:r w:rsidR="00140110" w:rsidRPr="00140110">
        <w:rPr>
          <w:rFonts w:eastAsia="Times New Roman"/>
          <w:szCs w:val="28"/>
          <w:lang w:val="ru-RU"/>
        </w:rPr>
        <w:t> </w:t>
      </w:r>
      <w:r w:rsidR="00140110" w:rsidRPr="00140110">
        <w:rPr>
          <w:rFonts w:eastAsia="Times New Roman"/>
          <w:szCs w:val="28"/>
        </w:rPr>
        <w:t>років життя в Україні</w:t>
      </w:r>
      <w:r w:rsidRPr="00006A39">
        <w:rPr>
          <w:rFonts w:eastAsia="Times New Roman"/>
          <w:szCs w:val="28"/>
        </w:rPr>
        <w:t xml:space="preserve">) в комплексі матиме медичний, соціальний та економічний ефекти, реалізація якої дозволить отримати наступні результати: </w:t>
      </w:r>
    </w:p>
    <w:p w:rsidR="00EC25E9" w:rsidRPr="00006A39" w:rsidRDefault="00EC25E9" w:rsidP="00721203">
      <w:pPr>
        <w:widowControl w:val="0"/>
        <w:numPr>
          <w:ilvl w:val="0"/>
          <w:numId w:val="10"/>
        </w:numPr>
        <w:rPr>
          <w:rFonts w:eastAsia="Times New Roman"/>
          <w:szCs w:val="28"/>
        </w:rPr>
      </w:pPr>
      <w:r w:rsidRPr="00006A39">
        <w:rPr>
          <w:rFonts w:eastAsia="Times New Roman"/>
          <w:szCs w:val="28"/>
        </w:rPr>
        <w:t xml:space="preserve">очікуваний медичний ефект: зниження показників захворюваності, поширеності хвороб та інвалідності (первинної) дитячого населення; оптимізація госпіталізацій та зниження рівня госпіталізацій дитячого населення;  зниження госпітальної летальності дитячого населення; зниження </w:t>
      </w:r>
      <w:r w:rsidRPr="00006A39">
        <w:rPr>
          <w:rFonts w:eastAsia="Times New Roman"/>
          <w:szCs w:val="28"/>
        </w:rPr>
        <w:lastRenderedPageBreak/>
        <w:t>рівнів дитячої смертності, що відбувається поза стаціонаром; підвищення  охоплення  дітей</w:t>
      </w:r>
      <w:r w:rsidR="00325D95">
        <w:rPr>
          <w:rFonts w:eastAsia="Times New Roman"/>
          <w:szCs w:val="28"/>
        </w:rPr>
        <w:t xml:space="preserve">  профілактичними оглядами</w:t>
      </w:r>
      <w:r w:rsidRPr="00006A39">
        <w:rPr>
          <w:rFonts w:eastAsia="Times New Roman"/>
          <w:szCs w:val="28"/>
        </w:rPr>
        <w:t>; скорочення термінів лікування; підвищення якос</w:t>
      </w:r>
      <w:r w:rsidR="00325D95">
        <w:rPr>
          <w:rFonts w:eastAsia="Times New Roman"/>
          <w:szCs w:val="28"/>
        </w:rPr>
        <w:t xml:space="preserve">ті медичних послуг, а також </w:t>
      </w:r>
      <w:r w:rsidR="00325D95" w:rsidRPr="00325D95">
        <w:rPr>
          <w:rFonts w:eastAsia="Times New Roman"/>
          <w:szCs w:val="28"/>
        </w:rPr>
        <w:t>володіння достовірною інформацією в сфері ОЗ материнства та дитинства в режимі реального часу</w:t>
      </w:r>
    </w:p>
    <w:p w:rsidR="00EC25E9" w:rsidRPr="00006A39" w:rsidRDefault="00EC25E9" w:rsidP="00721203">
      <w:pPr>
        <w:widowControl w:val="0"/>
        <w:numPr>
          <w:ilvl w:val="0"/>
          <w:numId w:val="11"/>
        </w:numPr>
        <w:rPr>
          <w:rFonts w:eastAsia="Times New Roman"/>
          <w:szCs w:val="28"/>
        </w:rPr>
      </w:pPr>
      <w:r w:rsidRPr="00006A39">
        <w:rPr>
          <w:rFonts w:eastAsia="Times New Roman"/>
          <w:szCs w:val="28"/>
        </w:rPr>
        <w:t>очікуваний соціальний ефект: збільшення тривалості життя; зниження рівня поширеності факторів ризику</w:t>
      </w:r>
      <w:r w:rsidR="0091503D">
        <w:rPr>
          <w:rFonts w:eastAsia="Times New Roman"/>
          <w:szCs w:val="28"/>
        </w:rPr>
        <w:t>; доступність медичної допомоги</w:t>
      </w:r>
      <w:r w:rsidRPr="00006A39">
        <w:rPr>
          <w:rFonts w:eastAsia="Times New Roman"/>
          <w:szCs w:val="28"/>
        </w:rPr>
        <w:t>;  зниження інвалідності; зниження випадк</w:t>
      </w:r>
      <w:r w:rsidR="00325D95">
        <w:rPr>
          <w:rFonts w:eastAsia="Times New Roman"/>
          <w:szCs w:val="28"/>
        </w:rPr>
        <w:t xml:space="preserve">ів смерті, яким можна запобігти, а також </w:t>
      </w:r>
      <w:r w:rsidR="00325D95" w:rsidRPr="00325D95">
        <w:rPr>
          <w:rFonts w:eastAsia="Times New Roman"/>
          <w:szCs w:val="28"/>
        </w:rPr>
        <w:t>зменшення витрат родини при отриманні медичних послуг, задоволеність родини якістю надання медичної допомоги, допомога дітям з особливими потребами</w:t>
      </w:r>
      <w:r w:rsidR="005C480B">
        <w:rPr>
          <w:rFonts w:eastAsia="Times New Roman"/>
          <w:szCs w:val="28"/>
        </w:rPr>
        <w:t>;</w:t>
      </w:r>
    </w:p>
    <w:p w:rsidR="00325D95" w:rsidRPr="002F5AAF" w:rsidRDefault="00EC25E9" w:rsidP="002F5AAF">
      <w:pPr>
        <w:widowControl w:val="0"/>
        <w:numPr>
          <w:ilvl w:val="0"/>
          <w:numId w:val="12"/>
        </w:numPr>
        <w:rPr>
          <w:rFonts w:eastAsia="Times New Roman"/>
          <w:szCs w:val="28"/>
        </w:rPr>
      </w:pPr>
      <w:r w:rsidRPr="00006A39">
        <w:rPr>
          <w:rFonts w:eastAsia="Times New Roman"/>
          <w:szCs w:val="28"/>
        </w:rPr>
        <w:t xml:space="preserve">очікуваний економічний ефект: приріст ВВП; скорочення виплат за тимчасовою та стійкою непрацездатністю батькам; </w:t>
      </w:r>
      <w:r w:rsidR="002F5AAF">
        <w:rPr>
          <w:rFonts w:eastAsia="Times New Roman"/>
          <w:szCs w:val="28"/>
        </w:rPr>
        <w:t xml:space="preserve"> </w:t>
      </w:r>
      <w:r w:rsidR="002F5AAF" w:rsidRPr="002F5AAF">
        <w:rPr>
          <w:rFonts w:eastAsia="Times New Roman"/>
          <w:szCs w:val="28"/>
        </w:rPr>
        <w:t>наявність інформації щодо реальної вартості та кількості наданих медичних послуг дитячому населенню, наближення до повного фінансового забезпечення реальної вартості послуг, скорочення фінансування недоцільних та невідповідних галузевим стандартам медичних послуг</w:t>
      </w:r>
      <w:r w:rsidR="002F5AAF">
        <w:rPr>
          <w:rFonts w:eastAsia="Times New Roman"/>
          <w:szCs w:val="28"/>
        </w:rPr>
        <w:t>.</w:t>
      </w:r>
    </w:p>
    <w:p w:rsidR="00EC25E9" w:rsidRPr="00006A39" w:rsidRDefault="00EC25E9" w:rsidP="00721203">
      <w:pPr>
        <w:widowControl w:val="0"/>
        <w:ind w:firstLine="709"/>
        <w:rPr>
          <w:rFonts w:eastAsia="Times New Roman"/>
          <w:szCs w:val="28"/>
        </w:rPr>
      </w:pPr>
      <w:r w:rsidRPr="00006A39">
        <w:rPr>
          <w:rFonts w:eastAsia="Times New Roman"/>
          <w:szCs w:val="28"/>
        </w:rPr>
        <w:t>Результати дослідження, що спрямовані на удосконалення, оптимізацію та підвищення якості  надання медичної допомоги дитячому населенню були використані при:</w:t>
      </w:r>
    </w:p>
    <w:p w:rsidR="00EC25E9" w:rsidRPr="00006A39" w:rsidRDefault="00EC25E9" w:rsidP="0074719A">
      <w:pPr>
        <w:pStyle w:val="a5"/>
        <w:widowControl w:val="0"/>
        <w:numPr>
          <w:ilvl w:val="0"/>
          <w:numId w:val="13"/>
        </w:numPr>
        <w:rPr>
          <w:szCs w:val="28"/>
        </w:rPr>
      </w:pPr>
      <w:r w:rsidRPr="00006A39">
        <w:rPr>
          <w:szCs w:val="28"/>
        </w:rPr>
        <w:t xml:space="preserve"> підготовці проєктів стандартів медичної допомоги за напрямом «Педіатрія та неонатологія» в складі мультидисциплінарної робочої групи з розробки галузевих стандартів медичної допомоги за напрямом «Педіатрія та неонатологія» (Наказ МОЗ України від 18.08.2020 р. №1908 «Про утворення та затвердження персональних складів мультидисциплінарних робочих груп з розробки галузеви</w:t>
      </w:r>
      <w:r w:rsidR="00017610">
        <w:rPr>
          <w:szCs w:val="28"/>
        </w:rPr>
        <w:t>х стандартів медичної допомоги»</w:t>
      </w:r>
      <w:r w:rsidR="00017610" w:rsidRPr="00017610">
        <w:rPr>
          <w:szCs w:val="28"/>
        </w:rPr>
        <w:t>: 1) уніфікований клінічний протокол первинної, вторинної (спеціалізованої) та третинної (високоспеціалізованої) медичної допомоги «Гострий середній отит»  2) уніфікований клінічний протокол первинної, вторинної (спеціалізованої) та третинної (високоспеціалізованої) медичної допомоги «Тонзиліт»; 3)</w:t>
      </w:r>
      <w:r w:rsidR="00017610" w:rsidRPr="00017610">
        <w:rPr>
          <w:b/>
          <w:szCs w:val="28"/>
        </w:rPr>
        <w:t xml:space="preserve"> </w:t>
      </w:r>
      <w:r w:rsidR="00017610" w:rsidRPr="00017610">
        <w:rPr>
          <w:szCs w:val="28"/>
        </w:rPr>
        <w:lastRenderedPageBreak/>
        <w:t>уніфікований клінічний протокол первинної медичної допомоги «Інтегроване ведення хвороб дитячого віку»; 4) клінічна настанова «Ведення найбільш поширених станів у дітей віком до 5-ти років у контексті інтегрованого ведення хвороб дитячого вік</w:t>
      </w:r>
      <w:r w:rsidR="00017610">
        <w:rPr>
          <w:szCs w:val="28"/>
        </w:rPr>
        <w:t>у»</w:t>
      </w:r>
      <w:r w:rsidR="00017610" w:rsidRPr="00017610">
        <w:rPr>
          <w:szCs w:val="28"/>
        </w:rPr>
        <w:t>;</w:t>
      </w:r>
    </w:p>
    <w:p w:rsidR="00EC25E9" w:rsidRPr="00006A39" w:rsidRDefault="00EC25E9" w:rsidP="0074719A">
      <w:pPr>
        <w:pStyle w:val="a5"/>
        <w:widowControl w:val="0"/>
        <w:numPr>
          <w:ilvl w:val="0"/>
          <w:numId w:val="13"/>
        </w:numPr>
        <w:rPr>
          <w:szCs w:val="28"/>
        </w:rPr>
      </w:pPr>
      <w:r w:rsidRPr="00006A39">
        <w:rPr>
          <w:szCs w:val="28"/>
        </w:rPr>
        <w:t xml:space="preserve"> розробки Проєктів специфікацій та умов закупівля медичних послуг за всіма напрямами Програми медичних гарантій-2021 р. (Наказ НСЗУ від 16.09.2020 р. №234 «Деякі питання роботи робочих груп експертів в Національній службі здоров’я України), в тому числі за напрямом стаціонарна допомога дорослим та дітям з нехірургічними (соматичними) захворюваннями, за напрямом хірургічні операції дорослим та дітям у стаціонарних умовах,</w:t>
      </w:r>
      <w:r w:rsidRPr="00006A39">
        <w:t xml:space="preserve"> </w:t>
      </w:r>
      <w:r w:rsidRPr="00006A39">
        <w:rPr>
          <w:szCs w:val="28"/>
        </w:rPr>
        <w:t>вагітність та пологи,  медична допомога новонародженим та медична реабілітація немовлят та ін.;</w:t>
      </w:r>
    </w:p>
    <w:p w:rsidR="00EC25E9" w:rsidRPr="000F6D17" w:rsidRDefault="00EC25E9" w:rsidP="0074719A">
      <w:pPr>
        <w:pStyle w:val="a5"/>
        <w:widowControl w:val="0"/>
        <w:numPr>
          <w:ilvl w:val="0"/>
          <w:numId w:val="13"/>
        </w:numPr>
        <w:rPr>
          <w:color w:val="000000" w:themeColor="text1"/>
          <w:szCs w:val="28"/>
        </w:rPr>
      </w:pPr>
      <w:r w:rsidRPr="00006A39">
        <w:rPr>
          <w:szCs w:val="28"/>
        </w:rPr>
        <w:t>специфікацій та  умов закупівлі щодо стаціонарної допомоги дорослим та дітям з нехірургічними (соматичними) захворюваннями в складі робочої групи (Наказ НСЗУ від 20.12.2019 р. №540), що погоджені МОЗ України листом від 21.01.2020 № 25-04/1614/2-20 відповідно до Порядку укладення, зміни та припинення договору про медичне обслуговування населення за програмою медичних гарантій</w:t>
      </w:r>
      <w:r w:rsidR="00A97502" w:rsidRPr="00A97502">
        <w:rPr>
          <w:szCs w:val="28"/>
        </w:rPr>
        <w:t xml:space="preserve"> 2020 р.</w:t>
      </w:r>
      <w:r w:rsidRPr="00006A39">
        <w:rPr>
          <w:szCs w:val="28"/>
        </w:rPr>
        <w:t>, затвердженого постановою Кабінету Міністрів України від 25.04.2018 № 410 «Про договори про медичне обслуговування населення за програмою медичних гарантій», містять чіткий перелік та опис медичних послуг, які надавач зобов’язаний надати відповідно до укладеного договору із НСЗУ</w:t>
      </w:r>
      <w:r w:rsidR="00966DCF">
        <w:rPr>
          <w:color w:val="000000" w:themeColor="text1"/>
          <w:szCs w:val="28"/>
        </w:rPr>
        <w:t xml:space="preserve">. </w:t>
      </w:r>
    </w:p>
    <w:p w:rsidR="00EC25E9" w:rsidRPr="000F6D17" w:rsidRDefault="00EC25E9" w:rsidP="00721203">
      <w:pPr>
        <w:widowControl w:val="0"/>
        <w:ind w:firstLine="709"/>
        <w:rPr>
          <w:rFonts w:eastAsia="Times New Roman"/>
          <w:color w:val="000000" w:themeColor="text1"/>
          <w:szCs w:val="28"/>
        </w:rPr>
      </w:pPr>
      <w:r w:rsidRPr="00006A39">
        <w:rPr>
          <w:rFonts w:eastAsia="Times New Roman"/>
          <w:szCs w:val="28"/>
        </w:rPr>
        <w:t>Згідно висновків експертів з числа організаторів охорони здоров’я, науковців, практичних лікарів і батьків запропоновані</w:t>
      </w:r>
      <w:r w:rsidR="00C016A8">
        <w:rPr>
          <w:rFonts w:eastAsia="Times New Roman"/>
          <w:szCs w:val="28"/>
        </w:rPr>
        <w:t xml:space="preserve"> нововведення </w:t>
      </w:r>
      <w:r w:rsidRPr="00006A39">
        <w:rPr>
          <w:rFonts w:eastAsia="Times New Roman"/>
          <w:szCs w:val="28"/>
        </w:rPr>
        <w:t xml:space="preserve"> позитивно оцінені 98% експертів, вказано на відповідності запропонованої системи провідним європейським докум</w:t>
      </w:r>
      <w:r w:rsidR="00140110">
        <w:rPr>
          <w:rFonts w:eastAsia="Times New Roman"/>
          <w:szCs w:val="28"/>
        </w:rPr>
        <w:t>ентам та політиці ВООЗ з питань збереження здоров’я та</w:t>
      </w:r>
      <w:r w:rsidRPr="00006A39">
        <w:rPr>
          <w:rFonts w:eastAsia="Times New Roman"/>
          <w:szCs w:val="28"/>
        </w:rPr>
        <w:t xml:space="preserve"> попередження дитячої смертності.</w:t>
      </w:r>
      <w:r w:rsidRPr="00006A39">
        <w:rPr>
          <w:rFonts w:eastAsia="Times New Roman"/>
          <w:color w:val="FF0000"/>
          <w:szCs w:val="28"/>
        </w:rPr>
        <w:t xml:space="preserve"> </w:t>
      </w:r>
      <w:r w:rsidRPr="00006A39">
        <w:rPr>
          <w:rFonts w:eastAsia="Times New Roman"/>
          <w:szCs w:val="28"/>
        </w:rPr>
        <w:t xml:space="preserve">Впровадження запропонованої системи, на думку </w:t>
      </w:r>
      <w:r w:rsidRPr="000F6D17">
        <w:rPr>
          <w:rFonts w:eastAsia="Times New Roman"/>
          <w:color w:val="000000" w:themeColor="text1"/>
          <w:szCs w:val="28"/>
        </w:rPr>
        <w:t xml:space="preserve">експертів, матиме медичний, соціальний та економічний ефект за рахунок зниження </w:t>
      </w:r>
      <w:r w:rsidRPr="000F6D17">
        <w:rPr>
          <w:rFonts w:eastAsia="Times New Roman"/>
          <w:color w:val="000000" w:themeColor="text1"/>
          <w:szCs w:val="28"/>
        </w:rPr>
        <w:lastRenderedPageBreak/>
        <w:t>показників дитячої смертності, захворюваності, поширеності хвороб, інвалідності.</w:t>
      </w:r>
    </w:p>
    <w:p w:rsidR="00EC25E9" w:rsidRPr="004F549F" w:rsidRDefault="00EC25E9" w:rsidP="004F549F">
      <w:pPr>
        <w:widowControl w:val="0"/>
        <w:ind w:firstLine="709"/>
        <w:rPr>
          <w:rFonts w:eastAsia="Times New Roman"/>
          <w:sz w:val="20"/>
          <w:szCs w:val="20"/>
        </w:rPr>
      </w:pPr>
      <w:r w:rsidRPr="00006A39">
        <w:rPr>
          <w:rFonts w:eastAsia="Times New Roman"/>
          <w:szCs w:val="28"/>
        </w:rPr>
        <w:t xml:space="preserve">Таким чином отримані результати свідчать про досягнення мети та виконання завдань дослідження і </w:t>
      </w:r>
      <w:r w:rsidR="00C56D40">
        <w:rPr>
          <w:rFonts w:eastAsia="Times New Roman"/>
          <w:szCs w:val="28"/>
        </w:rPr>
        <w:t>інноваційна</w:t>
      </w:r>
      <w:r w:rsidRPr="00006A39">
        <w:rPr>
          <w:rFonts w:eastAsia="Times New Roman"/>
          <w:szCs w:val="28"/>
        </w:rPr>
        <w:t xml:space="preserve"> система </w:t>
      </w:r>
      <w:r w:rsidR="00C56D40">
        <w:rPr>
          <w:rFonts w:eastAsia="Times New Roman"/>
          <w:szCs w:val="28"/>
        </w:rPr>
        <w:t>медико-соціальної допомоги дітям до 5 років в Україні</w:t>
      </w:r>
      <w:r w:rsidRPr="00006A39">
        <w:rPr>
          <w:rFonts w:eastAsia="Times New Roman"/>
          <w:szCs w:val="28"/>
        </w:rPr>
        <w:t xml:space="preserve"> може бути рекомендованою для впровадження в Україні.</w:t>
      </w:r>
      <w:r w:rsidRPr="00006A39">
        <w:rPr>
          <w:rFonts w:eastAsia="Times New Roman"/>
          <w:sz w:val="20"/>
          <w:szCs w:val="20"/>
        </w:rPr>
        <w:t xml:space="preserve"> </w:t>
      </w:r>
    </w:p>
    <w:p w:rsidR="00A20D70" w:rsidRPr="00A20D70" w:rsidRDefault="00A20D70" w:rsidP="004F549F">
      <w:pPr>
        <w:widowControl w:val="0"/>
        <w:tabs>
          <w:tab w:val="left" w:pos="523"/>
        </w:tabs>
        <w:spacing w:before="240" w:after="240"/>
        <w:ind w:firstLine="709"/>
        <w:rPr>
          <w:rFonts w:eastAsia="Calibri"/>
          <w:b/>
          <w:szCs w:val="28"/>
        </w:rPr>
      </w:pPr>
      <w:r w:rsidRPr="00A20D70">
        <w:rPr>
          <w:rFonts w:eastAsia="Calibri"/>
          <w:b/>
          <w:color w:val="000000"/>
          <w:szCs w:val="28"/>
        </w:rPr>
        <w:t xml:space="preserve">8.5. Експертна </w:t>
      </w:r>
      <w:r w:rsidRPr="00A20D70">
        <w:rPr>
          <w:rFonts w:eastAsia="Calibri"/>
          <w:b/>
          <w:szCs w:val="28"/>
        </w:rPr>
        <w:t xml:space="preserve">оцінка обґрунтованої </w:t>
      </w:r>
      <w:r w:rsidRPr="00A20D70">
        <w:rPr>
          <w:rFonts w:eastAsia="Calibri"/>
          <w:b/>
          <w:szCs w:val="28"/>
          <w:lang w:val="ru-RU"/>
        </w:rPr>
        <w:t xml:space="preserve">інноваційної </w:t>
      </w:r>
      <w:r w:rsidRPr="00A20D70">
        <w:rPr>
          <w:rFonts w:eastAsia="Calibri"/>
          <w:b/>
          <w:szCs w:val="28"/>
        </w:rPr>
        <w:t>системи медико-соціальної допомоги дітям до 5 років в Україні</w:t>
      </w:r>
    </w:p>
    <w:p w:rsidR="00A20D70" w:rsidRPr="00A20D70" w:rsidRDefault="00A20D70" w:rsidP="00A20D70">
      <w:pPr>
        <w:widowControl w:val="0"/>
        <w:ind w:firstLine="709"/>
        <w:rPr>
          <w:rFonts w:eastAsia="Times New Roman"/>
          <w:szCs w:val="28"/>
        </w:rPr>
      </w:pPr>
      <w:r w:rsidRPr="00A20D70">
        <w:rPr>
          <w:rFonts w:eastAsia="Times New Roman"/>
          <w:szCs w:val="28"/>
        </w:rPr>
        <w:t xml:space="preserve"> Ставлення організаторів охорони здоров’я, науковців та практичних лікарів і бат</w:t>
      </w:r>
      <w:r w:rsidR="00E71218">
        <w:rPr>
          <w:rFonts w:eastAsia="Times New Roman"/>
          <w:szCs w:val="28"/>
        </w:rPr>
        <w:t xml:space="preserve">ьків </w:t>
      </w:r>
      <w:r w:rsidR="008D5F79" w:rsidRPr="008D5F79">
        <w:rPr>
          <w:rFonts w:eastAsia="Times New Roman"/>
          <w:szCs w:val="28"/>
        </w:rPr>
        <w:t xml:space="preserve">до обґрунтованої та розробленої системи </w:t>
      </w:r>
      <w:r w:rsidR="00E71218">
        <w:rPr>
          <w:rFonts w:eastAsia="Times New Roman"/>
          <w:szCs w:val="28"/>
        </w:rPr>
        <w:t>(50 експертів</w:t>
      </w:r>
      <w:r w:rsidRPr="00A20D70">
        <w:rPr>
          <w:rFonts w:eastAsia="Times New Roman"/>
          <w:szCs w:val="28"/>
        </w:rPr>
        <w:t>),</w:t>
      </w:r>
      <w:r w:rsidRPr="00A20D70">
        <w:rPr>
          <w:rFonts w:eastAsia="Calibri"/>
        </w:rPr>
        <w:t xml:space="preserve"> </w:t>
      </w:r>
      <w:r w:rsidR="008D5F79">
        <w:rPr>
          <w:rFonts w:eastAsia="Times New Roman"/>
          <w:szCs w:val="28"/>
        </w:rPr>
        <w:t>які виступили в ролі експертів</w:t>
      </w:r>
      <w:r w:rsidRPr="00A20D70">
        <w:rPr>
          <w:rFonts w:eastAsia="Times New Roman"/>
          <w:szCs w:val="28"/>
        </w:rPr>
        <w:t>, вивчалось за допомогою медико-соціологічного дослідження після докладного знайомства</w:t>
      </w:r>
      <w:r w:rsidRPr="00A20D70">
        <w:rPr>
          <w:rFonts w:eastAsia="Calibri"/>
        </w:rPr>
        <w:t xml:space="preserve"> </w:t>
      </w:r>
      <w:r w:rsidRPr="00A20D70">
        <w:rPr>
          <w:rFonts w:eastAsia="Times New Roman"/>
          <w:szCs w:val="28"/>
        </w:rPr>
        <w:t>експертів з матеріалами наукового дослідження з дискусією, що проводились напередодні. Оцінка медико-соціологічного дослідження проводилася шляхом заповнення е</w:t>
      </w:r>
      <w:r w:rsidR="00E71218">
        <w:rPr>
          <w:rFonts w:eastAsia="Times New Roman"/>
          <w:szCs w:val="28"/>
        </w:rPr>
        <w:t xml:space="preserve">кспертами спеціальної анкети, з наступним використанням загальноприйнятих методів для проведення розрахунків отриманих даних </w:t>
      </w:r>
      <w:r w:rsidRPr="00A20D70">
        <w:rPr>
          <w:rFonts w:eastAsia="Times New Roman"/>
          <w:color w:val="000000"/>
          <w:szCs w:val="28"/>
        </w:rPr>
        <w:t>(</w:t>
      </w:r>
      <w:r w:rsidR="002F4C03">
        <w:rPr>
          <w:rFonts w:eastAsia="Times New Roman"/>
          <w:color w:val="000000"/>
          <w:szCs w:val="28"/>
        </w:rPr>
        <w:t>наведено у РОЗДІЛІ 2</w:t>
      </w:r>
      <w:r w:rsidR="00ED2B24">
        <w:rPr>
          <w:rFonts w:eastAsia="Times New Roman"/>
          <w:color w:val="000000"/>
          <w:szCs w:val="28"/>
        </w:rPr>
        <w:t>), р</w:t>
      </w:r>
      <w:r w:rsidRPr="00A20D70">
        <w:rPr>
          <w:rFonts w:eastAsia="Times New Roman"/>
          <w:color w:val="000000"/>
          <w:szCs w:val="28"/>
        </w:rPr>
        <w:t xml:space="preserve">езультати </w:t>
      </w:r>
      <w:r w:rsidRPr="00A20D70">
        <w:rPr>
          <w:rFonts w:eastAsia="Times New Roman"/>
          <w:szCs w:val="28"/>
        </w:rPr>
        <w:t>медико-соціологічного д</w:t>
      </w:r>
      <w:r w:rsidR="00E71218">
        <w:rPr>
          <w:rFonts w:eastAsia="Times New Roman"/>
          <w:szCs w:val="28"/>
        </w:rPr>
        <w:t>ослідження представлено</w:t>
      </w:r>
      <w:r w:rsidR="00BD5582">
        <w:rPr>
          <w:rFonts w:eastAsia="Times New Roman"/>
          <w:szCs w:val="28"/>
        </w:rPr>
        <w:t xml:space="preserve"> в табл. 8</w:t>
      </w:r>
      <w:r w:rsidRPr="00A20D70">
        <w:rPr>
          <w:rFonts w:eastAsia="Times New Roman"/>
          <w:szCs w:val="28"/>
        </w:rPr>
        <w:t>.</w:t>
      </w:r>
      <w:r w:rsidR="00BD5582">
        <w:rPr>
          <w:rFonts w:eastAsia="Times New Roman"/>
          <w:szCs w:val="28"/>
        </w:rPr>
        <w:t>2</w:t>
      </w:r>
      <w:r w:rsidR="00ED2B24">
        <w:rPr>
          <w:rFonts w:eastAsia="Times New Roman"/>
          <w:szCs w:val="28"/>
        </w:rPr>
        <w:t>.</w:t>
      </w:r>
      <w:r w:rsidR="00FB0353">
        <w:rPr>
          <w:rFonts w:eastAsia="Times New Roman"/>
          <w:szCs w:val="28"/>
        </w:rPr>
        <w:t xml:space="preserve"> (Додаток Ж</w:t>
      </w:r>
      <w:r w:rsidR="001E6563">
        <w:rPr>
          <w:rFonts w:eastAsia="Times New Roman"/>
          <w:szCs w:val="28"/>
        </w:rPr>
        <w:t>-1).</w:t>
      </w:r>
    </w:p>
    <w:p w:rsidR="008C421C" w:rsidRDefault="00A20D70" w:rsidP="008C421C">
      <w:pPr>
        <w:widowControl w:val="0"/>
        <w:ind w:firstLine="709"/>
        <w:rPr>
          <w:rFonts w:eastAsia="Times New Roman"/>
          <w:i/>
          <w:szCs w:val="28"/>
        </w:rPr>
      </w:pPr>
      <w:r w:rsidRPr="00A20D70">
        <w:rPr>
          <w:rFonts w:eastAsia="Times New Roman"/>
          <w:szCs w:val="28"/>
        </w:rPr>
        <w:t>За результатами проведених розрахунків 98% експертів позитивно оцінили запропоновану систему в цілому, коефіцієнт варіації відношення експертів до запропонованої системи склав менше 10%, що свідч</w:t>
      </w:r>
      <w:r w:rsidR="003E7C84">
        <w:rPr>
          <w:rFonts w:eastAsia="Times New Roman"/>
          <w:szCs w:val="28"/>
        </w:rPr>
        <w:t xml:space="preserve">ить про високу їх узгодженість </w:t>
      </w:r>
      <w:r w:rsidR="003E7C84" w:rsidRPr="003E7C84">
        <w:rPr>
          <w:rFonts w:eastAsia="Times New Roman"/>
          <w:szCs w:val="28"/>
        </w:rPr>
        <w:t>у</w:t>
      </w:r>
      <w:r w:rsidRPr="00A20D70">
        <w:rPr>
          <w:rFonts w:eastAsia="Times New Roman"/>
          <w:szCs w:val="28"/>
        </w:rPr>
        <w:t xml:space="preserve"> своєму рішенні щодо позитивної оцінки запропонованої </w:t>
      </w:r>
      <w:r w:rsidR="000A614C">
        <w:rPr>
          <w:rFonts w:eastAsia="Times New Roman"/>
          <w:szCs w:val="28"/>
        </w:rPr>
        <w:t xml:space="preserve">інноваційної </w:t>
      </w:r>
      <w:r w:rsidRPr="00A20D70">
        <w:rPr>
          <w:rFonts w:eastAsia="Times New Roman"/>
          <w:szCs w:val="28"/>
        </w:rPr>
        <w:t>системи</w:t>
      </w:r>
      <w:r w:rsidR="000A614C">
        <w:rPr>
          <w:rFonts w:eastAsia="Times New Roman"/>
          <w:szCs w:val="28"/>
        </w:rPr>
        <w:t xml:space="preserve"> медико-соціальної допомоги дітям до 5 років </w:t>
      </w:r>
      <w:r w:rsidRPr="00A20D70">
        <w:rPr>
          <w:rFonts w:eastAsia="Times New Roman"/>
          <w:szCs w:val="28"/>
        </w:rPr>
        <w:t xml:space="preserve"> в Україні.</w:t>
      </w:r>
      <w:r w:rsidRPr="00A20D70">
        <w:rPr>
          <w:rFonts w:eastAsia="Times New Roman"/>
          <w:i/>
          <w:color w:val="FF0000"/>
          <w:szCs w:val="28"/>
        </w:rPr>
        <w:t xml:space="preserve"> </w:t>
      </w:r>
    </w:p>
    <w:p w:rsidR="00A20D70" w:rsidRPr="008C421C" w:rsidRDefault="00A20D70" w:rsidP="008C421C">
      <w:pPr>
        <w:widowControl w:val="0"/>
        <w:ind w:firstLine="709"/>
        <w:rPr>
          <w:rFonts w:eastAsia="Times New Roman"/>
          <w:i/>
          <w:szCs w:val="28"/>
        </w:rPr>
      </w:pPr>
      <w:r w:rsidRPr="00A20D70">
        <w:rPr>
          <w:rFonts w:eastAsia="Times New Roman"/>
          <w:szCs w:val="28"/>
        </w:rPr>
        <w:t xml:space="preserve">При позитивній, в цілому, оцінці експертами системи  (98,0%), також 2% з них </w:t>
      </w:r>
      <w:r w:rsidRPr="0017319B">
        <w:rPr>
          <w:rFonts w:eastAsia="Times New Roman"/>
          <w:szCs w:val="28"/>
        </w:rPr>
        <w:t>мали за</w:t>
      </w:r>
      <w:r w:rsidRPr="00A81866">
        <w:rPr>
          <w:rFonts w:eastAsia="Times New Roman"/>
          <w:color w:val="000000" w:themeColor="text1"/>
          <w:szCs w:val="28"/>
        </w:rPr>
        <w:t xml:space="preserve">уваження до багатосекторальності </w:t>
      </w:r>
      <w:r w:rsidR="0017319B" w:rsidRPr="00A81866">
        <w:rPr>
          <w:rFonts w:eastAsia="Times New Roman"/>
          <w:color w:val="000000" w:themeColor="text1"/>
          <w:szCs w:val="28"/>
        </w:rPr>
        <w:t>системи та задіяності 5 рівнів</w:t>
      </w:r>
      <w:r w:rsidRPr="00A81866">
        <w:rPr>
          <w:rFonts w:eastAsia="Times New Roman"/>
          <w:color w:val="000000" w:themeColor="text1"/>
          <w:szCs w:val="28"/>
        </w:rPr>
        <w:t xml:space="preserve">; </w:t>
      </w:r>
      <w:r w:rsidR="00A81866" w:rsidRPr="00A81866">
        <w:rPr>
          <w:rFonts w:eastAsia="Times New Roman"/>
          <w:color w:val="000000" w:themeColor="text1"/>
          <w:szCs w:val="28"/>
        </w:rPr>
        <w:t>включення</w:t>
      </w:r>
      <w:r w:rsidR="008C421C" w:rsidRPr="008C421C">
        <w:rPr>
          <w:rFonts w:eastAsia="Times New Roman"/>
          <w:szCs w:val="28"/>
        </w:rPr>
        <w:t xml:space="preserve"> </w:t>
      </w:r>
      <w:r w:rsidR="008C421C" w:rsidRPr="002D604C">
        <w:rPr>
          <w:rFonts w:eastAsia="Times New Roman"/>
          <w:szCs w:val="28"/>
        </w:rPr>
        <w:t xml:space="preserve">в систему принципів сучасного медичного менеджменту за всіма напрямами (ефективне управління процесом, інтеграція, планування, ресурсне забезпечення;  інтегроване управління якістю медичної допомоги; передбачення та мінімізація ризиків; дотримання прав людини та вимог законодавства в сфері протидії насильству); впровадження послуг катамнестичного спостереження, раннього втручання, паліативної допомоги та реабілітації із застосуванням міжсекторального підходу; створення умов для надання етапної допомоги при загрозливих станах та </w:t>
      </w:r>
      <w:r w:rsidR="008C421C" w:rsidRPr="002D604C">
        <w:rPr>
          <w:rFonts w:eastAsia="Times New Roman"/>
          <w:szCs w:val="28"/>
        </w:rPr>
        <w:lastRenderedPageBreak/>
        <w:t>синдромах): спеціалізовані педіатричні (в.т.ч. неонатальні) бригади реанімації та інтенсивної терапії, відділення планової та екстреної консультативної допомоги, спеціалізовані центри дитячої реанімації та інтенсивної терапії.</w:t>
      </w:r>
    </w:p>
    <w:p w:rsidR="00A20D70" w:rsidRPr="00A20D70" w:rsidRDefault="00A20D70" w:rsidP="00A20D70">
      <w:pPr>
        <w:widowControl w:val="0"/>
        <w:jc w:val="right"/>
        <w:rPr>
          <w:rFonts w:eastAsia="Times New Roman"/>
          <w:i/>
          <w:szCs w:val="28"/>
        </w:rPr>
      </w:pPr>
      <w:r w:rsidRPr="00A20D70">
        <w:rPr>
          <w:rFonts w:eastAsia="Times New Roman"/>
          <w:i/>
          <w:szCs w:val="28"/>
        </w:rPr>
        <w:t>Таблиця 8.2</w:t>
      </w:r>
    </w:p>
    <w:p w:rsidR="00A20D70" w:rsidRPr="00A20D70" w:rsidRDefault="00A20D70" w:rsidP="00A20D70">
      <w:pPr>
        <w:widowControl w:val="0"/>
        <w:tabs>
          <w:tab w:val="left" w:pos="0"/>
        </w:tabs>
        <w:ind w:left="435"/>
        <w:jc w:val="center"/>
        <w:rPr>
          <w:rFonts w:eastAsia="Times New Roman"/>
          <w:b/>
          <w:szCs w:val="28"/>
        </w:rPr>
      </w:pPr>
      <w:r w:rsidRPr="00A20D70">
        <w:rPr>
          <w:rFonts w:eastAsia="Times New Roman"/>
          <w:b/>
          <w:szCs w:val="28"/>
        </w:rPr>
        <w:t>Результати ставлення експертів</w:t>
      </w:r>
      <w:r w:rsidR="000512B2">
        <w:rPr>
          <w:rFonts w:eastAsia="Times New Roman"/>
          <w:b/>
          <w:szCs w:val="28"/>
        </w:rPr>
        <w:t xml:space="preserve"> до</w:t>
      </w:r>
      <w:r w:rsidRPr="00A20D70">
        <w:rPr>
          <w:rFonts w:eastAsia="Times New Roman"/>
          <w:b/>
          <w:szCs w:val="28"/>
        </w:rPr>
        <w:t xml:space="preserve"> </w:t>
      </w:r>
      <w:r w:rsidRPr="00A20D70">
        <w:rPr>
          <w:rFonts w:eastAsia="Times New Roman"/>
          <w:b/>
          <w:szCs w:val="28"/>
          <w:lang w:val="ru-RU"/>
        </w:rPr>
        <w:t xml:space="preserve">інноваційної </w:t>
      </w:r>
      <w:r w:rsidRPr="00A20D70">
        <w:rPr>
          <w:rFonts w:eastAsia="Times New Roman"/>
          <w:b/>
          <w:szCs w:val="28"/>
        </w:rPr>
        <w:t>системи медико-соціальної допомоги дітям до 5 років в Україні</w:t>
      </w:r>
    </w:p>
    <w:tbl>
      <w:tblPr>
        <w:tblW w:w="10066" w:type="dxa"/>
        <w:jc w:val="center"/>
        <w:tblInd w:w="-411" w:type="dxa"/>
        <w:tblLayout w:type="fixed"/>
        <w:tblLook w:val="01E0" w:firstRow="1" w:lastRow="1" w:firstColumn="1" w:lastColumn="1" w:noHBand="0" w:noVBand="0"/>
      </w:tblPr>
      <w:tblGrid>
        <w:gridCol w:w="8011"/>
        <w:gridCol w:w="1061"/>
        <w:gridCol w:w="994"/>
      </w:tblGrid>
      <w:tr w:rsidR="003431F2" w:rsidRPr="003431F2" w:rsidTr="00BF010F">
        <w:trPr>
          <w:trHeight w:val="512"/>
          <w:jc w:val="center"/>
        </w:trPr>
        <w:tc>
          <w:tcPr>
            <w:tcW w:w="8011" w:type="dxa"/>
            <w:vMerge w:val="restart"/>
            <w:tcBorders>
              <w:top w:val="single" w:sz="4" w:space="0" w:color="auto"/>
              <w:left w:val="single" w:sz="4" w:space="0" w:color="auto"/>
              <w:bottom w:val="single" w:sz="4" w:space="0" w:color="auto"/>
              <w:right w:val="single" w:sz="4" w:space="0" w:color="auto"/>
            </w:tcBorders>
          </w:tcPr>
          <w:p w:rsidR="00A20D70" w:rsidRPr="003431F2" w:rsidRDefault="00A20D70" w:rsidP="008C421C">
            <w:pPr>
              <w:widowControl w:val="0"/>
              <w:tabs>
                <w:tab w:val="left" w:pos="0"/>
              </w:tabs>
              <w:spacing w:line="276" w:lineRule="auto"/>
              <w:jc w:val="center"/>
              <w:rPr>
                <w:rFonts w:eastAsia="Times New Roman"/>
                <w:sz w:val="24"/>
                <w:szCs w:val="24"/>
              </w:rPr>
            </w:pPr>
          </w:p>
          <w:p w:rsidR="00A20D70" w:rsidRPr="003431F2" w:rsidRDefault="00A20D70" w:rsidP="008C421C">
            <w:pPr>
              <w:widowControl w:val="0"/>
              <w:tabs>
                <w:tab w:val="left" w:pos="0"/>
              </w:tabs>
              <w:spacing w:line="276" w:lineRule="auto"/>
              <w:jc w:val="center"/>
              <w:rPr>
                <w:rFonts w:eastAsia="Times New Roman"/>
                <w:sz w:val="24"/>
                <w:szCs w:val="24"/>
              </w:rPr>
            </w:pPr>
            <w:r w:rsidRPr="003431F2">
              <w:rPr>
                <w:rFonts w:eastAsia="Times New Roman"/>
                <w:sz w:val="24"/>
                <w:szCs w:val="24"/>
              </w:rPr>
              <w:t xml:space="preserve">Елемент системи </w:t>
            </w:r>
          </w:p>
        </w:tc>
        <w:tc>
          <w:tcPr>
            <w:tcW w:w="2055" w:type="dxa"/>
            <w:gridSpan w:val="2"/>
            <w:tcBorders>
              <w:top w:val="single" w:sz="4" w:space="0" w:color="auto"/>
              <w:left w:val="single" w:sz="4" w:space="0" w:color="auto"/>
              <w:bottom w:val="single" w:sz="4" w:space="0" w:color="auto"/>
              <w:right w:val="single" w:sz="4" w:space="0" w:color="auto"/>
            </w:tcBorders>
          </w:tcPr>
          <w:p w:rsidR="00A20D70" w:rsidRPr="003431F2" w:rsidRDefault="00A20D70" w:rsidP="008C421C">
            <w:pPr>
              <w:widowControl w:val="0"/>
              <w:tabs>
                <w:tab w:val="left" w:pos="0"/>
              </w:tabs>
              <w:spacing w:line="276" w:lineRule="auto"/>
              <w:jc w:val="center"/>
              <w:rPr>
                <w:rFonts w:eastAsia="Times New Roman"/>
                <w:sz w:val="24"/>
                <w:szCs w:val="24"/>
              </w:rPr>
            </w:pPr>
            <w:r w:rsidRPr="003431F2">
              <w:rPr>
                <w:rFonts w:eastAsia="Times New Roman"/>
                <w:sz w:val="24"/>
                <w:szCs w:val="24"/>
              </w:rPr>
              <w:t>Позитивна оцінка</w:t>
            </w:r>
          </w:p>
        </w:tc>
      </w:tr>
      <w:tr w:rsidR="003431F2" w:rsidRPr="003431F2" w:rsidTr="00BF010F">
        <w:trPr>
          <w:trHeight w:val="349"/>
          <w:jc w:val="center"/>
        </w:trPr>
        <w:tc>
          <w:tcPr>
            <w:tcW w:w="8011" w:type="dxa"/>
            <w:vMerge/>
            <w:tcBorders>
              <w:top w:val="single" w:sz="4" w:space="0" w:color="auto"/>
              <w:left w:val="single" w:sz="4" w:space="0" w:color="auto"/>
              <w:bottom w:val="single" w:sz="4" w:space="0" w:color="auto"/>
              <w:right w:val="single" w:sz="4" w:space="0" w:color="auto"/>
            </w:tcBorders>
            <w:vAlign w:val="center"/>
          </w:tcPr>
          <w:p w:rsidR="00A20D70" w:rsidRPr="003431F2" w:rsidRDefault="00A20D70" w:rsidP="008C421C">
            <w:pPr>
              <w:widowControl w:val="0"/>
              <w:spacing w:line="276" w:lineRule="auto"/>
              <w:rPr>
                <w:rFonts w:eastAsia="Times New Roman"/>
                <w:sz w:val="24"/>
                <w:szCs w:val="24"/>
              </w:rPr>
            </w:pPr>
          </w:p>
        </w:tc>
        <w:tc>
          <w:tcPr>
            <w:tcW w:w="1061" w:type="dxa"/>
            <w:tcBorders>
              <w:top w:val="single" w:sz="4" w:space="0" w:color="auto"/>
              <w:left w:val="single" w:sz="4" w:space="0" w:color="auto"/>
              <w:bottom w:val="single" w:sz="4" w:space="0" w:color="auto"/>
              <w:right w:val="single" w:sz="4" w:space="0" w:color="auto"/>
            </w:tcBorders>
          </w:tcPr>
          <w:p w:rsidR="00A20D70" w:rsidRPr="003431F2" w:rsidRDefault="00A20D70" w:rsidP="008C421C">
            <w:pPr>
              <w:widowControl w:val="0"/>
              <w:tabs>
                <w:tab w:val="left" w:pos="0"/>
              </w:tabs>
              <w:spacing w:line="276" w:lineRule="auto"/>
              <w:jc w:val="center"/>
              <w:rPr>
                <w:rFonts w:eastAsia="Times New Roman"/>
                <w:sz w:val="24"/>
                <w:szCs w:val="24"/>
              </w:rPr>
            </w:pPr>
            <w:r w:rsidRPr="003431F2">
              <w:rPr>
                <w:rFonts w:eastAsia="Times New Roman"/>
                <w:sz w:val="24"/>
                <w:szCs w:val="24"/>
              </w:rPr>
              <w:t>Абс.</w:t>
            </w:r>
          </w:p>
        </w:tc>
        <w:tc>
          <w:tcPr>
            <w:tcW w:w="994" w:type="dxa"/>
            <w:tcBorders>
              <w:top w:val="single" w:sz="4" w:space="0" w:color="auto"/>
              <w:left w:val="single" w:sz="4" w:space="0" w:color="auto"/>
              <w:bottom w:val="single" w:sz="4" w:space="0" w:color="auto"/>
              <w:right w:val="single" w:sz="4" w:space="0" w:color="auto"/>
            </w:tcBorders>
          </w:tcPr>
          <w:p w:rsidR="00A20D70" w:rsidRPr="003431F2" w:rsidRDefault="00A20D70" w:rsidP="008C421C">
            <w:pPr>
              <w:widowControl w:val="0"/>
              <w:tabs>
                <w:tab w:val="left" w:pos="0"/>
              </w:tabs>
              <w:spacing w:line="276" w:lineRule="auto"/>
              <w:jc w:val="center"/>
              <w:rPr>
                <w:rFonts w:eastAsia="Times New Roman"/>
                <w:sz w:val="24"/>
                <w:szCs w:val="24"/>
              </w:rPr>
            </w:pPr>
            <w:r w:rsidRPr="003431F2">
              <w:rPr>
                <w:rFonts w:eastAsia="Times New Roman"/>
                <w:sz w:val="24"/>
                <w:szCs w:val="24"/>
              </w:rPr>
              <w:t>%</w:t>
            </w:r>
          </w:p>
        </w:tc>
      </w:tr>
      <w:tr w:rsidR="003431F2" w:rsidRPr="003431F2" w:rsidTr="00BF010F">
        <w:trPr>
          <w:jc w:val="center"/>
        </w:trPr>
        <w:tc>
          <w:tcPr>
            <w:tcW w:w="8011" w:type="dxa"/>
            <w:tcBorders>
              <w:top w:val="single" w:sz="4" w:space="0" w:color="auto"/>
              <w:left w:val="single" w:sz="4" w:space="0" w:color="auto"/>
              <w:bottom w:val="single" w:sz="4" w:space="0" w:color="auto"/>
              <w:right w:val="single" w:sz="4" w:space="0" w:color="auto"/>
            </w:tcBorders>
          </w:tcPr>
          <w:p w:rsidR="00A20D70" w:rsidRPr="003431F2" w:rsidRDefault="00A20D70" w:rsidP="008C421C">
            <w:pPr>
              <w:widowControl w:val="0"/>
              <w:tabs>
                <w:tab w:val="left" w:pos="0"/>
              </w:tabs>
              <w:spacing w:line="276" w:lineRule="auto"/>
              <w:rPr>
                <w:rFonts w:eastAsia="Times New Roman"/>
                <w:sz w:val="24"/>
                <w:szCs w:val="24"/>
              </w:rPr>
            </w:pPr>
            <w:r w:rsidRPr="003431F2">
              <w:rPr>
                <w:rFonts w:eastAsia="Times New Roman"/>
                <w:sz w:val="24"/>
                <w:szCs w:val="24"/>
              </w:rPr>
              <w:t>Імплементація</w:t>
            </w:r>
            <w:r w:rsidRPr="003431F2">
              <w:rPr>
                <w:rFonts w:eastAsia="Calibri"/>
              </w:rPr>
              <w:t xml:space="preserve"> </w:t>
            </w:r>
            <w:r w:rsidRPr="003431F2">
              <w:rPr>
                <w:rFonts w:eastAsia="Times New Roman"/>
                <w:sz w:val="24"/>
                <w:szCs w:val="24"/>
              </w:rPr>
              <w:t>Національного плану дій</w:t>
            </w:r>
            <w:r w:rsidRPr="003431F2">
              <w:rPr>
                <w:rFonts w:eastAsia="Calibri"/>
              </w:rPr>
              <w:t xml:space="preserve"> </w:t>
            </w:r>
            <w:r w:rsidRPr="003431F2">
              <w:rPr>
                <w:rFonts w:eastAsia="Times New Roman"/>
                <w:sz w:val="24"/>
                <w:szCs w:val="24"/>
              </w:rPr>
              <w:t>глобальної ініціативи ВООЗ «Кожна Жінка, кожна Дитина» на державному та регіональному рівнях</w:t>
            </w:r>
          </w:p>
        </w:tc>
        <w:tc>
          <w:tcPr>
            <w:tcW w:w="1061" w:type="dxa"/>
            <w:tcBorders>
              <w:top w:val="single" w:sz="4" w:space="0" w:color="auto"/>
              <w:left w:val="single" w:sz="4" w:space="0" w:color="auto"/>
              <w:bottom w:val="single" w:sz="4" w:space="0" w:color="auto"/>
              <w:right w:val="single" w:sz="4" w:space="0" w:color="auto"/>
            </w:tcBorders>
            <w:vAlign w:val="center"/>
          </w:tcPr>
          <w:p w:rsidR="00A20D70" w:rsidRPr="003431F2" w:rsidRDefault="00A20D70" w:rsidP="008C421C">
            <w:pPr>
              <w:widowControl w:val="0"/>
              <w:tabs>
                <w:tab w:val="left" w:pos="0"/>
              </w:tabs>
              <w:spacing w:line="276" w:lineRule="auto"/>
              <w:jc w:val="center"/>
              <w:rPr>
                <w:rFonts w:eastAsia="Times New Roman"/>
                <w:sz w:val="24"/>
                <w:szCs w:val="24"/>
              </w:rPr>
            </w:pPr>
            <w:r w:rsidRPr="003431F2">
              <w:rPr>
                <w:rFonts w:eastAsia="Times New Roman"/>
                <w:sz w:val="24"/>
                <w:szCs w:val="24"/>
              </w:rPr>
              <w:t>48</w:t>
            </w:r>
          </w:p>
        </w:tc>
        <w:tc>
          <w:tcPr>
            <w:tcW w:w="994" w:type="dxa"/>
            <w:tcBorders>
              <w:top w:val="single" w:sz="4" w:space="0" w:color="auto"/>
              <w:left w:val="single" w:sz="4" w:space="0" w:color="auto"/>
              <w:bottom w:val="single" w:sz="4" w:space="0" w:color="auto"/>
              <w:right w:val="single" w:sz="4" w:space="0" w:color="auto"/>
            </w:tcBorders>
            <w:vAlign w:val="center"/>
          </w:tcPr>
          <w:p w:rsidR="00A20D70" w:rsidRPr="003431F2" w:rsidRDefault="00A20D70" w:rsidP="008C421C">
            <w:pPr>
              <w:widowControl w:val="0"/>
              <w:tabs>
                <w:tab w:val="left" w:pos="0"/>
              </w:tabs>
              <w:spacing w:line="276" w:lineRule="auto"/>
              <w:jc w:val="center"/>
              <w:rPr>
                <w:rFonts w:eastAsia="Times New Roman"/>
                <w:sz w:val="24"/>
                <w:szCs w:val="24"/>
              </w:rPr>
            </w:pPr>
            <w:r w:rsidRPr="003431F2">
              <w:rPr>
                <w:rFonts w:eastAsia="Times New Roman"/>
                <w:sz w:val="24"/>
                <w:szCs w:val="24"/>
              </w:rPr>
              <w:t>96,0</w:t>
            </w:r>
          </w:p>
        </w:tc>
      </w:tr>
      <w:tr w:rsidR="003431F2" w:rsidRPr="003431F2" w:rsidTr="00BF010F">
        <w:trPr>
          <w:jc w:val="center"/>
        </w:trPr>
        <w:tc>
          <w:tcPr>
            <w:tcW w:w="8011" w:type="dxa"/>
            <w:tcBorders>
              <w:top w:val="single" w:sz="4" w:space="0" w:color="auto"/>
              <w:left w:val="single" w:sz="4" w:space="0" w:color="auto"/>
              <w:bottom w:val="single" w:sz="4" w:space="0" w:color="auto"/>
              <w:right w:val="single" w:sz="4" w:space="0" w:color="auto"/>
            </w:tcBorders>
          </w:tcPr>
          <w:p w:rsidR="00A20D70" w:rsidRPr="003431F2" w:rsidRDefault="00A20D70" w:rsidP="008C421C">
            <w:pPr>
              <w:widowControl w:val="0"/>
              <w:tabs>
                <w:tab w:val="left" w:pos="0"/>
              </w:tabs>
              <w:spacing w:line="276" w:lineRule="auto"/>
              <w:rPr>
                <w:rFonts w:eastAsia="Times New Roman"/>
                <w:sz w:val="24"/>
                <w:szCs w:val="24"/>
              </w:rPr>
            </w:pPr>
            <w:r w:rsidRPr="003431F2">
              <w:rPr>
                <w:rFonts w:eastAsia="Times New Roman"/>
                <w:sz w:val="24"/>
                <w:szCs w:val="24"/>
              </w:rPr>
              <w:t>Багатосекторальність системи та за</w:t>
            </w:r>
            <w:r w:rsidR="008F7F0C" w:rsidRPr="003431F2">
              <w:rPr>
                <w:rFonts w:eastAsia="Times New Roman"/>
                <w:sz w:val="24"/>
                <w:szCs w:val="24"/>
              </w:rPr>
              <w:t>діяність 5 рівнів (владний, між</w:t>
            </w:r>
            <w:r w:rsidRPr="003431F2">
              <w:rPr>
                <w:rFonts w:eastAsia="Times New Roman"/>
                <w:sz w:val="24"/>
                <w:szCs w:val="24"/>
              </w:rPr>
              <w:t xml:space="preserve">секторальний, галузевий, сімейний, </w:t>
            </w:r>
            <w:r w:rsidR="002834B6">
              <w:rPr>
                <w:rFonts w:eastAsia="Times New Roman"/>
                <w:sz w:val="24"/>
                <w:szCs w:val="24"/>
              </w:rPr>
              <w:t>локальний/громада</w:t>
            </w:r>
            <w:r w:rsidRPr="003431F2">
              <w:rPr>
                <w:rFonts w:eastAsia="Times New Roman"/>
                <w:sz w:val="24"/>
                <w:szCs w:val="24"/>
              </w:rPr>
              <w:t>)</w:t>
            </w:r>
          </w:p>
        </w:tc>
        <w:tc>
          <w:tcPr>
            <w:tcW w:w="1061" w:type="dxa"/>
            <w:tcBorders>
              <w:top w:val="single" w:sz="4" w:space="0" w:color="auto"/>
              <w:left w:val="single" w:sz="4" w:space="0" w:color="auto"/>
              <w:bottom w:val="single" w:sz="4" w:space="0" w:color="auto"/>
              <w:right w:val="single" w:sz="4" w:space="0" w:color="auto"/>
            </w:tcBorders>
            <w:vAlign w:val="center"/>
          </w:tcPr>
          <w:p w:rsidR="00A20D70" w:rsidRPr="003431F2" w:rsidRDefault="00A20D70" w:rsidP="008C421C">
            <w:pPr>
              <w:widowControl w:val="0"/>
              <w:tabs>
                <w:tab w:val="left" w:pos="0"/>
              </w:tabs>
              <w:spacing w:line="276" w:lineRule="auto"/>
              <w:jc w:val="center"/>
              <w:rPr>
                <w:rFonts w:eastAsia="Times New Roman"/>
                <w:sz w:val="24"/>
                <w:szCs w:val="24"/>
              </w:rPr>
            </w:pPr>
            <w:r w:rsidRPr="003431F2">
              <w:rPr>
                <w:rFonts w:eastAsia="Times New Roman"/>
                <w:sz w:val="24"/>
                <w:szCs w:val="24"/>
              </w:rPr>
              <w:t>49</w:t>
            </w:r>
          </w:p>
        </w:tc>
        <w:tc>
          <w:tcPr>
            <w:tcW w:w="994" w:type="dxa"/>
            <w:tcBorders>
              <w:top w:val="single" w:sz="4" w:space="0" w:color="auto"/>
              <w:left w:val="single" w:sz="4" w:space="0" w:color="auto"/>
              <w:bottom w:val="single" w:sz="4" w:space="0" w:color="auto"/>
              <w:right w:val="single" w:sz="4" w:space="0" w:color="auto"/>
            </w:tcBorders>
            <w:vAlign w:val="center"/>
          </w:tcPr>
          <w:p w:rsidR="00A20D70" w:rsidRPr="003431F2" w:rsidRDefault="00A20D70" w:rsidP="008C421C">
            <w:pPr>
              <w:widowControl w:val="0"/>
              <w:tabs>
                <w:tab w:val="left" w:pos="0"/>
              </w:tabs>
              <w:spacing w:line="276" w:lineRule="auto"/>
              <w:jc w:val="center"/>
              <w:rPr>
                <w:rFonts w:eastAsia="Times New Roman"/>
                <w:sz w:val="24"/>
                <w:szCs w:val="24"/>
              </w:rPr>
            </w:pPr>
            <w:r w:rsidRPr="003431F2">
              <w:rPr>
                <w:rFonts w:eastAsia="Times New Roman"/>
                <w:sz w:val="24"/>
                <w:szCs w:val="24"/>
              </w:rPr>
              <w:t>98,0</w:t>
            </w:r>
          </w:p>
        </w:tc>
      </w:tr>
      <w:tr w:rsidR="003431F2" w:rsidRPr="003431F2" w:rsidTr="00BF010F">
        <w:trPr>
          <w:jc w:val="center"/>
        </w:trPr>
        <w:tc>
          <w:tcPr>
            <w:tcW w:w="8011" w:type="dxa"/>
            <w:tcBorders>
              <w:top w:val="single" w:sz="4" w:space="0" w:color="auto"/>
              <w:left w:val="single" w:sz="4" w:space="0" w:color="auto"/>
              <w:bottom w:val="single" w:sz="4" w:space="0" w:color="auto"/>
              <w:right w:val="single" w:sz="4" w:space="0" w:color="auto"/>
            </w:tcBorders>
          </w:tcPr>
          <w:p w:rsidR="00A20D70" w:rsidRPr="003431F2" w:rsidRDefault="00A20D70" w:rsidP="008C421C">
            <w:pPr>
              <w:widowControl w:val="0"/>
              <w:tabs>
                <w:tab w:val="left" w:pos="0"/>
              </w:tabs>
              <w:spacing w:line="276" w:lineRule="auto"/>
              <w:rPr>
                <w:rFonts w:eastAsia="Times New Roman"/>
                <w:sz w:val="24"/>
                <w:szCs w:val="24"/>
              </w:rPr>
            </w:pPr>
            <w:r w:rsidRPr="003431F2">
              <w:rPr>
                <w:rFonts w:eastAsia="Times New Roman"/>
                <w:sz w:val="24"/>
                <w:szCs w:val="24"/>
              </w:rPr>
              <w:t>Обласна міжсекторальної координаційної ради з ініціації та імплементації скоординованих та узгоджених заходів</w:t>
            </w:r>
          </w:p>
        </w:tc>
        <w:tc>
          <w:tcPr>
            <w:tcW w:w="1061" w:type="dxa"/>
            <w:tcBorders>
              <w:top w:val="single" w:sz="4" w:space="0" w:color="auto"/>
              <w:left w:val="single" w:sz="4" w:space="0" w:color="auto"/>
              <w:bottom w:val="single" w:sz="4" w:space="0" w:color="auto"/>
              <w:right w:val="single" w:sz="4" w:space="0" w:color="auto"/>
            </w:tcBorders>
            <w:vAlign w:val="center"/>
          </w:tcPr>
          <w:p w:rsidR="00A20D70" w:rsidRPr="003431F2" w:rsidRDefault="00A20D70" w:rsidP="008C421C">
            <w:pPr>
              <w:widowControl w:val="0"/>
              <w:tabs>
                <w:tab w:val="left" w:pos="0"/>
              </w:tabs>
              <w:spacing w:line="276" w:lineRule="auto"/>
              <w:jc w:val="center"/>
              <w:rPr>
                <w:rFonts w:eastAsia="Times New Roman"/>
                <w:sz w:val="24"/>
                <w:szCs w:val="24"/>
              </w:rPr>
            </w:pPr>
            <w:r w:rsidRPr="003431F2">
              <w:rPr>
                <w:rFonts w:eastAsia="Times New Roman"/>
                <w:sz w:val="24"/>
                <w:szCs w:val="24"/>
              </w:rPr>
              <w:t>48</w:t>
            </w:r>
          </w:p>
        </w:tc>
        <w:tc>
          <w:tcPr>
            <w:tcW w:w="994" w:type="dxa"/>
            <w:tcBorders>
              <w:top w:val="single" w:sz="4" w:space="0" w:color="auto"/>
              <w:left w:val="single" w:sz="4" w:space="0" w:color="auto"/>
              <w:bottom w:val="single" w:sz="4" w:space="0" w:color="auto"/>
              <w:right w:val="single" w:sz="4" w:space="0" w:color="auto"/>
            </w:tcBorders>
            <w:vAlign w:val="center"/>
          </w:tcPr>
          <w:p w:rsidR="00A20D70" w:rsidRPr="003431F2" w:rsidRDefault="00A20D70" w:rsidP="008C421C">
            <w:pPr>
              <w:widowControl w:val="0"/>
              <w:tabs>
                <w:tab w:val="left" w:pos="0"/>
              </w:tabs>
              <w:spacing w:line="276" w:lineRule="auto"/>
              <w:jc w:val="center"/>
              <w:rPr>
                <w:rFonts w:eastAsia="Times New Roman"/>
                <w:sz w:val="24"/>
                <w:szCs w:val="24"/>
              </w:rPr>
            </w:pPr>
            <w:r w:rsidRPr="003431F2">
              <w:rPr>
                <w:rFonts w:eastAsia="Times New Roman"/>
                <w:sz w:val="24"/>
                <w:szCs w:val="24"/>
              </w:rPr>
              <w:t>96,0</w:t>
            </w:r>
          </w:p>
        </w:tc>
      </w:tr>
      <w:tr w:rsidR="003431F2" w:rsidRPr="003431F2" w:rsidTr="00BF010F">
        <w:trPr>
          <w:jc w:val="center"/>
        </w:trPr>
        <w:tc>
          <w:tcPr>
            <w:tcW w:w="8011" w:type="dxa"/>
            <w:tcBorders>
              <w:top w:val="single" w:sz="4" w:space="0" w:color="auto"/>
              <w:left w:val="single" w:sz="4" w:space="0" w:color="auto"/>
              <w:bottom w:val="single" w:sz="4" w:space="0" w:color="auto"/>
              <w:right w:val="single" w:sz="4" w:space="0" w:color="auto"/>
            </w:tcBorders>
          </w:tcPr>
          <w:p w:rsidR="00A20D70" w:rsidRPr="003431F2" w:rsidRDefault="00A20D70" w:rsidP="008C421C">
            <w:pPr>
              <w:widowControl w:val="0"/>
              <w:tabs>
                <w:tab w:val="left" w:pos="0"/>
              </w:tabs>
              <w:spacing w:line="276" w:lineRule="auto"/>
              <w:rPr>
                <w:rFonts w:eastAsia="Times New Roman"/>
                <w:sz w:val="24"/>
                <w:szCs w:val="24"/>
              </w:rPr>
            </w:pPr>
            <w:r w:rsidRPr="003431F2">
              <w:rPr>
                <w:rFonts w:eastAsia="Times New Roman"/>
                <w:sz w:val="24"/>
                <w:szCs w:val="24"/>
              </w:rPr>
              <w:t xml:space="preserve">Єдина державна медична інформаційна система педіатричної допомоги (реєстр новонароджених, що народились передчасно та/або хворими, електронний медичний документообіг) та ЕСОЗ </w:t>
            </w:r>
          </w:p>
        </w:tc>
        <w:tc>
          <w:tcPr>
            <w:tcW w:w="1061" w:type="dxa"/>
            <w:tcBorders>
              <w:top w:val="single" w:sz="4" w:space="0" w:color="auto"/>
              <w:left w:val="single" w:sz="4" w:space="0" w:color="auto"/>
              <w:bottom w:val="single" w:sz="4" w:space="0" w:color="auto"/>
              <w:right w:val="single" w:sz="4" w:space="0" w:color="auto"/>
            </w:tcBorders>
            <w:vAlign w:val="center"/>
          </w:tcPr>
          <w:p w:rsidR="00A20D70" w:rsidRPr="003431F2" w:rsidRDefault="00A20D70" w:rsidP="008C421C">
            <w:pPr>
              <w:widowControl w:val="0"/>
              <w:tabs>
                <w:tab w:val="left" w:pos="0"/>
              </w:tabs>
              <w:spacing w:line="276" w:lineRule="auto"/>
              <w:jc w:val="center"/>
              <w:rPr>
                <w:rFonts w:eastAsia="Times New Roman"/>
                <w:sz w:val="24"/>
                <w:szCs w:val="24"/>
              </w:rPr>
            </w:pPr>
            <w:r w:rsidRPr="003431F2">
              <w:rPr>
                <w:rFonts w:eastAsia="Times New Roman"/>
                <w:sz w:val="24"/>
                <w:szCs w:val="24"/>
              </w:rPr>
              <w:t>48</w:t>
            </w:r>
          </w:p>
        </w:tc>
        <w:tc>
          <w:tcPr>
            <w:tcW w:w="994" w:type="dxa"/>
            <w:tcBorders>
              <w:top w:val="single" w:sz="4" w:space="0" w:color="auto"/>
              <w:left w:val="single" w:sz="4" w:space="0" w:color="auto"/>
              <w:bottom w:val="single" w:sz="4" w:space="0" w:color="auto"/>
              <w:right w:val="single" w:sz="4" w:space="0" w:color="auto"/>
            </w:tcBorders>
            <w:vAlign w:val="center"/>
          </w:tcPr>
          <w:p w:rsidR="00A20D70" w:rsidRPr="003431F2" w:rsidRDefault="00A20D70" w:rsidP="008C421C">
            <w:pPr>
              <w:widowControl w:val="0"/>
              <w:tabs>
                <w:tab w:val="left" w:pos="0"/>
              </w:tabs>
              <w:spacing w:line="276" w:lineRule="auto"/>
              <w:jc w:val="center"/>
              <w:rPr>
                <w:rFonts w:eastAsia="Times New Roman"/>
                <w:sz w:val="24"/>
                <w:szCs w:val="24"/>
              </w:rPr>
            </w:pPr>
            <w:r w:rsidRPr="003431F2">
              <w:rPr>
                <w:rFonts w:eastAsia="Times New Roman"/>
                <w:sz w:val="24"/>
                <w:szCs w:val="24"/>
              </w:rPr>
              <w:t>96,0</w:t>
            </w:r>
          </w:p>
        </w:tc>
      </w:tr>
      <w:tr w:rsidR="003431F2" w:rsidRPr="003431F2" w:rsidTr="00BF010F">
        <w:trPr>
          <w:jc w:val="center"/>
        </w:trPr>
        <w:tc>
          <w:tcPr>
            <w:tcW w:w="8011" w:type="dxa"/>
            <w:tcBorders>
              <w:top w:val="single" w:sz="4" w:space="0" w:color="auto"/>
              <w:left w:val="single" w:sz="4" w:space="0" w:color="auto"/>
              <w:bottom w:val="single" w:sz="4" w:space="0" w:color="auto"/>
              <w:right w:val="single" w:sz="4" w:space="0" w:color="auto"/>
            </w:tcBorders>
          </w:tcPr>
          <w:p w:rsidR="00A20D70" w:rsidRPr="003431F2" w:rsidRDefault="00A81866" w:rsidP="008C421C">
            <w:pPr>
              <w:widowControl w:val="0"/>
              <w:tabs>
                <w:tab w:val="left" w:pos="0"/>
              </w:tabs>
              <w:spacing w:line="276" w:lineRule="auto"/>
              <w:rPr>
                <w:rFonts w:eastAsia="Times New Roman"/>
                <w:sz w:val="24"/>
                <w:szCs w:val="24"/>
              </w:rPr>
            </w:pPr>
            <w:r w:rsidRPr="003431F2">
              <w:rPr>
                <w:rFonts w:eastAsia="Times New Roman"/>
                <w:sz w:val="24"/>
                <w:szCs w:val="24"/>
              </w:rPr>
              <w:t>Включення в систему принципів сучасного медичного менеджменту за всіма напрямами (ефективне управління процесом, інтеграція, планування, ресурсне забезпечення;  інтегроване управління якістю медичної допомоги; передбачення та мінімізація ризиків; дотримання прав людини та вимог законодавства в сфері протидії насильству)</w:t>
            </w:r>
          </w:p>
        </w:tc>
        <w:tc>
          <w:tcPr>
            <w:tcW w:w="1061" w:type="dxa"/>
            <w:tcBorders>
              <w:top w:val="single" w:sz="4" w:space="0" w:color="auto"/>
              <w:left w:val="single" w:sz="4" w:space="0" w:color="auto"/>
              <w:bottom w:val="single" w:sz="4" w:space="0" w:color="auto"/>
              <w:right w:val="single" w:sz="4" w:space="0" w:color="auto"/>
            </w:tcBorders>
            <w:vAlign w:val="center"/>
          </w:tcPr>
          <w:p w:rsidR="00A20D70" w:rsidRPr="003431F2" w:rsidRDefault="00A20D70" w:rsidP="008C421C">
            <w:pPr>
              <w:widowControl w:val="0"/>
              <w:tabs>
                <w:tab w:val="left" w:pos="0"/>
              </w:tabs>
              <w:spacing w:line="276" w:lineRule="auto"/>
              <w:jc w:val="center"/>
              <w:rPr>
                <w:rFonts w:eastAsia="Times New Roman"/>
                <w:sz w:val="24"/>
                <w:szCs w:val="24"/>
              </w:rPr>
            </w:pPr>
            <w:r w:rsidRPr="003431F2">
              <w:rPr>
                <w:rFonts w:eastAsia="Times New Roman"/>
                <w:sz w:val="24"/>
                <w:szCs w:val="24"/>
              </w:rPr>
              <w:t>49</w:t>
            </w:r>
          </w:p>
        </w:tc>
        <w:tc>
          <w:tcPr>
            <w:tcW w:w="994" w:type="dxa"/>
            <w:tcBorders>
              <w:top w:val="single" w:sz="4" w:space="0" w:color="auto"/>
              <w:left w:val="single" w:sz="4" w:space="0" w:color="auto"/>
              <w:bottom w:val="single" w:sz="4" w:space="0" w:color="auto"/>
              <w:right w:val="single" w:sz="4" w:space="0" w:color="auto"/>
            </w:tcBorders>
            <w:vAlign w:val="center"/>
          </w:tcPr>
          <w:p w:rsidR="00A20D70" w:rsidRPr="003431F2" w:rsidRDefault="00A20D70" w:rsidP="008C421C">
            <w:pPr>
              <w:widowControl w:val="0"/>
              <w:tabs>
                <w:tab w:val="left" w:pos="0"/>
              </w:tabs>
              <w:spacing w:line="276" w:lineRule="auto"/>
              <w:jc w:val="center"/>
              <w:rPr>
                <w:rFonts w:eastAsia="Times New Roman"/>
                <w:sz w:val="24"/>
                <w:szCs w:val="24"/>
              </w:rPr>
            </w:pPr>
            <w:r w:rsidRPr="003431F2">
              <w:rPr>
                <w:rFonts w:eastAsia="Times New Roman"/>
                <w:sz w:val="24"/>
                <w:szCs w:val="24"/>
              </w:rPr>
              <w:t>98,0</w:t>
            </w:r>
          </w:p>
        </w:tc>
      </w:tr>
      <w:tr w:rsidR="003431F2" w:rsidRPr="003431F2" w:rsidTr="00BF010F">
        <w:trPr>
          <w:jc w:val="center"/>
        </w:trPr>
        <w:tc>
          <w:tcPr>
            <w:tcW w:w="8011" w:type="dxa"/>
            <w:tcBorders>
              <w:top w:val="single" w:sz="4" w:space="0" w:color="auto"/>
              <w:left w:val="single" w:sz="4" w:space="0" w:color="auto"/>
              <w:bottom w:val="single" w:sz="4" w:space="0" w:color="auto"/>
              <w:right w:val="single" w:sz="4" w:space="0" w:color="auto"/>
            </w:tcBorders>
          </w:tcPr>
          <w:p w:rsidR="00502738" w:rsidRPr="003431F2" w:rsidRDefault="00502738" w:rsidP="008C421C">
            <w:pPr>
              <w:widowControl w:val="0"/>
              <w:tabs>
                <w:tab w:val="left" w:pos="0"/>
              </w:tabs>
              <w:spacing w:line="276" w:lineRule="auto"/>
              <w:rPr>
                <w:rFonts w:eastAsia="Times New Roman"/>
                <w:sz w:val="24"/>
                <w:szCs w:val="24"/>
              </w:rPr>
            </w:pPr>
            <w:r w:rsidRPr="003431F2">
              <w:rPr>
                <w:rFonts w:eastAsia="Times New Roman"/>
                <w:sz w:val="24"/>
                <w:szCs w:val="24"/>
              </w:rPr>
              <w:t>Впровадження послуг катамнестичного спостереження, раннього втручання, паліативної допомоги та реабілітації із застосуванням міжсекторального підходу</w:t>
            </w:r>
          </w:p>
        </w:tc>
        <w:tc>
          <w:tcPr>
            <w:tcW w:w="1061" w:type="dxa"/>
            <w:tcBorders>
              <w:top w:val="single" w:sz="4" w:space="0" w:color="auto"/>
              <w:left w:val="single" w:sz="4" w:space="0" w:color="auto"/>
              <w:bottom w:val="single" w:sz="4" w:space="0" w:color="auto"/>
              <w:right w:val="single" w:sz="4" w:space="0" w:color="auto"/>
            </w:tcBorders>
            <w:vAlign w:val="center"/>
          </w:tcPr>
          <w:p w:rsidR="00502738" w:rsidRPr="003431F2" w:rsidRDefault="00502738" w:rsidP="008C421C">
            <w:pPr>
              <w:widowControl w:val="0"/>
              <w:tabs>
                <w:tab w:val="left" w:pos="0"/>
              </w:tabs>
              <w:spacing w:line="276" w:lineRule="auto"/>
              <w:jc w:val="center"/>
              <w:rPr>
                <w:rFonts w:eastAsia="Times New Roman"/>
                <w:sz w:val="24"/>
                <w:szCs w:val="24"/>
              </w:rPr>
            </w:pPr>
            <w:r w:rsidRPr="003431F2">
              <w:rPr>
                <w:rFonts w:eastAsia="Times New Roman"/>
                <w:sz w:val="24"/>
                <w:szCs w:val="24"/>
              </w:rPr>
              <w:t>50</w:t>
            </w:r>
          </w:p>
        </w:tc>
        <w:tc>
          <w:tcPr>
            <w:tcW w:w="994" w:type="dxa"/>
            <w:tcBorders>
              <w:top w:val="single" w:sz="4" w:space="0" w:color="auto"/>
              <w:left w:val="single" w:sz="4" w:space="0" w:color="auto"/>
              <w:bottom w:val="single" w:sz="4" w:space="0" w:color="auto"/>
              <w:right w:val="single" w:sz="4" w:space="0" w:color="auto"/>
            </w:tcBorders>
            <w:vAlign w:val="center"/>
          </w:tcPr>
          <w:p w:rsidR="00502738" w:rsidRPr="003431F2" w:rsidRDefault="00502738" w:rsidP="008C421C">
            <w:pPr>
              <w:widowControl w:val="0"/>
              <w:tabs>
                <w:tab w:val="left" w:pos="0"/>
              </w:tabs>
              <w:spacing w:line="276" w:lineRule="auto"/>
              <w:jc w:val="center"/>
              <w:rPr>
                <w:rFonts w:eastAsia="Times New Roman"/>
                <w:sz w:val="24"/>
                <w:szCs w:val="24"/>
              </w:rPr>
            </w:pPr>
            <w:r w:rsidRPr="003431F2">
              <w:rPr>
                <w:rFonts w:eastAsia="Times New Roman"/>
                <w:sz w:val="24"/>
                <w:szCs w:val="24"/>
              </w:rPr>
              <w:t>100,0</w:t>
            </w:r>
          </w:p>
        </w:tc>
      </w:tr>
      <w:tr w:rsidR="003431F2" w:rsidRPr="003431F2" w:rsidTr="00BF010F">
        <w:trPr>
          <w:jc w:val="center"/>
        </w:trPr>
        <w:tc>
          <w:tcPr>
            <w:tcW w:w="8011" w:type="dxa"/>
            <w:tcBorders>
              <w:top w:val="single" w:sz="4" w:space="0" w:color="auto"/>
              <w:left w:val="single" w:sz="4" w:space="0" w:color="auto"/>
              <w:bottom w:val="single" w:sz="4" w:space="0" w:color="auto"/>
              <w:right w:val="single" w:sz="4" w:space="0" w:color="auto"/>
            </w:tcBorders>
          </w:tcPr>
          <w:p w:rsidR="00502738" w:rsidRPr="003431F2" w:rsidRDefault="00502738" w:rsidP="008C421C">
            <w:pPr>
              <w:widowControl w:val="0"/>
              <w:tabs>
                <w:tab w:val="left" w:pos="0"/>
              </w:tabs>
              <w:spacing w:line="276" w:lineRule="auto"/>
              <w:rPr>
                <w:rFonts w:eastAsia="Times New Roman"/>
                <w:sz w:val="24"/>
                <w:szCs w:val="24"/>
              </w:rPr>
            </w:pPr>
            <w:r w:rsidRPr="003431F2">
              <w:rPr>
                <w:rFonts w:eastAsia="Times New Roman"/>
                <w:sz w:val="24"/>
                <w:szCs w:val="24"/>
              </w:rPr>
              <w:t>Створення умов для надання етапної допомоги при загрозливих станах та синдромах): спеціалізовані педіатричні (в.т.ч. неонатальні) бригади</w:t>
            </w:r>
            <w:r w:rsidR="006F43D6" w:rsidRPr="003431F2">
              <w:rPr>
                <w:rFonts w:eastAsia="Times New Roman"/>
                <w:sz w:val="24"/>
                <w:szCs w:val="24"/>
              </w:rPr>
              <w:t xml:space="preserve"> реанімації та інтенсивної терапії</w:t>
            </w:r>
            <w:r w:rsidRPr="003431F2">
              <w:rPr>
                <w:rFonts w:eastAsia="Times New Roman"/>
                <w:sz w:val="24"/>
                <w:szCs w:val="24"/>
              </w:rPr>
              <w:t>, відділення планової та екстреної консультативної до</w:t>
            </w:r>
            <w:r w:rsidR="006F43D6" w:rsidRPr="003431F2">
              <w:rPr>
                <w:rFonts w:eastAsia="Times New Roman"/>
                <w:sz w:val="24"/>
                <w:szCs w:val="24"/>
              </w:rPr>
              <w:t>помоги</w:t>
            </w:r>
          </w:p>
        </w:tc>
        <w:tc>
          <w:tcPr>
            <w:tcW w:w="1061" w:type="dxa"/>
            <w:tcBorders>
              <w:top w:val="single" w:sz="4" w:space="0" w:color="auto"/>
              <w:left w:val="single" w:sz="4" w:space="0" w:color="auto"/>
              <w:bottom w:val="single" w:sz="4" w:space="0" w:color="auto"/>
              <w:right w:val="single" w:sz="4" w:space="0" w:color="auto"/>
            </w:tcBorders>
            <w:vAlign w:val="center"/>
          </w:tcPr>
          <w:p w:rsidR="00502738" w:rsidRPr="003431F2" w:rsidRDefault="00502738" w:rsidP="008C421C">
            <w:pPr>
              <w:widowControl w:val="0"/>
              <w:tabs>
                <w:tab w:val="left" w:pos="0"/>
              </w:tabs>
              <w:spacing w:line="276" w:lineRule="auto"/>
              <w:jc w:val="center"/>
              <w:rPr>
                <w:rFonts w:eastAsia="Times New Roman"/>
                <w:sz w:val="24"/>
                <w:szCs w:val="24"/>
              </w:rPr>
            </w:pPr>
            <w:r w:rsidRPr="003431F2">
              <w:rPr>
                <w:rFonts w:eastAsia="Times New Roman"/>
                <w:sz w:val="24"/>
                <w:szCs w:val="24"/>
              </w:rPr>
              <w:t>49</w:t>
            </w:r>
          </w:p>
        </w:tc>
        <w:tc>
          <w:tcPr>
            <w:tcW w:w="994" w:type="dxa"/>
            <w:tcBorders>
              <w:top w:val="single" w:sz="4" w:space="0" w:color="auto"/>
              <w:left w:val="single" w:sz="4" w:space="0" w:color="auto"/>
              <w:bottom w:val="single" w:sz="4" w:space="0" w:color="auto"/>
              <w:right w:val="single" w:sz="4" w:space="0" w:color="auto"/>
            </w:tcBorders>
            <w:vAlign w:val="center"/>
          </w:tcPr>
          <w:p w:rsidR="00502738" w:rsidRPr="003431F2" w:rsidRDefault="00502738" w:rsidP="008C421C">
            <w:pPr>
              <w:widowControl w:val="0"/>
              <w:tabs>
                <w:tab w:val="left" w:pos="0"/>
              </w:tabs>
              <w:spacing w:line="276" w:lineRule="auto"/>
              <w:jc w:val="center"/>
              <w:rPr>
                <w:rFonts w:eastAsia="Times New Roman"/>
                <w:sz w:val="24"/>
                <w:szCs w:val="24"/>
              </w:rPr>
            </w:pPr>
            <w:r w:rsidRPr="003431F2">
              <w:rPr>
                <w:rFonts w:eastAsia="Times New Roman"/>
                <w:sz w:val="24"/>
                <w:szCs w:val="24"/>
              </w:rPr>
              <w:t>98,0</w:t>
            </w:r>
          </w:p>
        </w:tc>
      </w:tr>
      <w:tr w:rsidR="003431F2" w:rsidRPr="003431F2" w:rsidTr="00BF010F">
        <w:trPr>
          <w:jc w:val="center"/>
        </w:trPr>
        <w:tc>
          <w:tcPr>
            <w:tcW w:w="8011" w:type="dxa"/>
            <w:tcBorders>
              <w:top w:val="single" w:sz="4" w:space="0" w:color="auto"/>
              <w:left w:val="single" w:sz="4" w:space="0" w:color="auto"/>
              <w:bottom w:val="single" w:sz="4" w:space="0" w:color="auto"/>
              <w:right w:val="single" w:sz="4" w:space="0" w:color="auto"/>
            </w:tcBorders>
          </w:tcPr>
          <w:p w:rsidR="00A20D70" w:rsidRPr="003431F2" w:rsidRDefault="00A20D70" w:rsidP="008C421C">
            <w:pPr>
              <w:widowControl w:val="0"/>
              <w:tabs>
                <w:tab w:val="left" w:pos="0"/>
              </w:tabs>
              <w:spacing w:line="276" w:lineRule="auto"/>
              <w:rPr>
                <w:rFonts w:eastAsia="Times New Roman"/>
                <w:sz w:val="24"/>
                <w:szCs w:val="24"/>
              </w:rPr>
            </w:pPr>
            <w:r w:rsidRPr="003431F2">
              <w:rPr>
                <w:rFonts w:eastAsia="Times New Roman"/>
                <w:sz w:val="24"/>
                <w:szCs w:val="24"/>
              </w:rPr>
              <w:t>Модель комплексної оц</w:t>
            </w:r>
            <w:r w:rsidR="00420113">
              <w:rPr>
                <w:rFonts w:eastAsia="Times New Roman"/>
                <w:sz w:val="24"/>
                <w:szCs w:val="24"/>
              </w:rPr>
              <w:t>інки перинатальної допомоги та к</w:t>
            </w:r>
            <w:r w:rsidRPr="003431F2">
              <w:rPr>
                <w:rFonts w:eastAsia="Times New Roman"/>
                <w:sz w:val="24"/>
                <w:szCs w:val="24"/>
              </w:rPr>
              <w:t>омплексна оцінки діяльності закладів і уста</w:t>
            </w:r>
            <w:r w:rsidR="00420113">
              <w:rPr>
                <w:rFonts w:eastAsia="Times New Roman"/>
                <w:sz w:val="24"/>
                <w:szCs w:val="24"/>
              </w:rPr>
              <w:t>нов перинатальної служби на національному рівні</w:t>
            </w:r>
            <w:r w:rsidRPr="003431F2">
              <w:rPr>
                <w:rFonts w:eastAsia="Times New Roman"/>
                <w:sz w:val="24"/>
                <w:szCs w:val="24"/>
              </w:rPr>
              <w:t xml:space="preserve"> та за її регіонами</w:t>
            </w:r>
          </w:p>
        </w:tc>
        <w:tc>
          <w:tcPr>
            <w:tcW w:w="1061" w:type="dxa"/>
            <w:tcBorders>
              <w:top w:val="single" w:sz="4" w:space="0" w:color="auto"/>
              <w:left w:val="single" w:sz="4" w:space="0" w:color="auto"/>
              <w:bottom w:val="single" w:sz="4" w:space="0" w:color="auto"/>
              <w:right w:val="single" w:sz="4" w:space="0" w:color="auto"/>
            </w:tcBorders>
            <w:vAlign w:val="center"/>
          </w:tcPr>
          <w:p w:rsidR="00A20D70" w:rsidRPr="003431F2" w:rsidRDefault="00A20D70" w:rsidP="008C421C">
            <w:pPr>
              <w:widowControl w:val="0"/>
              <w:tabs>
                <w:tab w:val="left" w:pos="0"/>
              </w:tabs>
              <w:spacing w:line="276" w:lineRule="auto"/>
              <w:jc w:val="center"/>
              <w:rPr>
                <w:rFonts w:eastAsia="Times New Roman"/>
                <w:sz w:val="24"/>
                <w:szCs w:val="24"/>
              </w:rPr>
            </w:pPr>
            <w:r w:rsidRPr="003431F2">
              <w:rPr>
                <w:rFonts w:eastAsia="Times New Roman"/>
                <w:sz w:val="24"/>
                <w:szCs w:val="24"/>
              </w:rPr>
              <w:t>50</w:t>
            </w:r>
          </w:p>
        </w:tc>
        <w:tc>
          <w:tcPr>
            <w:tcW w:w="994" w:type="dxa"/>
            <w:tcBorders>
              <w:top w:val="single" w:sz="4" w:space="0" w:color="auto"/>
              <w:left w:val="single" w:sz="4" w:space="0" w:color="auto"/>
              <w:bottom w:val="single" w:sz="4" w:space="0" w:color="auto"/>
              <w:right w:val="single" w:sz="4" w:space="0" w:color="auto"/>
            </w:tcBorders>
            <w:vAlign w:val="center"/>
          </w:tcPr>
          <w:p w:rsidR="00A20D70" w:rsidRPr="003431F2" w:rsidRDefault="00A20D70" w:rsidP="008C421C">
            <w:pPr>
              <w:widowControl w:val="0"/>
              <w:tabs>
                <w:tab w:val="left" w:pos="0"/>
              </w:tabs>
              <w:spacing w:line="276" w:lineRule="auto"/>
              <w:jc w:val="center"/>
              <w:rPr>
                <w:rFonts w:eastAsia="Times New Roman"/>
                <w:sz w:val="24"/>
                <w:szCs w:val="24"/>
              </w:rPr>
            </w:pPr>
            <w:r w:rsidRPr="003431F2">
              <w:rPr>
                <w:rFonts w:eastAsia="Times New Roman"/>
                <w:sz w:val="24"/>
                <w:szCs w:val="24"/>
              </w:rPr>
              <w:t>100,0</w:t>
            </w:r>
          </w:p>
        </w:tc>
      </w:tr>
      <w:tr w:rsidR="003431F2" w:rsidRPr="003431F2" w:rsidTr="00BF010F">
        <w:trPr>
          <w:jc w:val="center"/>
        </w:trPr>
        <w:tc>
          <w:tcPr>
            <w:tcW w:w="8011" w:type="dxa"/>
            <w:tcBorders>
              <w:top w:val="single" w:sz="4" w:space="0" w:color="auto"/>
              <w:left w:val="single" w:sz="4" w:space="0" w:color="auto"/>
              <w:bottom w:val="single" w:sz="4" w:space="0" w:color="auto"/>
              <w:right w:val="single" w:sz="4" w:space="0" w:color="auto"/>
            </w:tcBorders>
          </w:tcPr>
          <w:p w:rsidR="00A20D70" w:rsidRPr="003431F2" w:rsidRDefault="00A20D70" w:rsidP="008C421C">
            <w:pPr>
              <w:widowControl w:val="0"/>
              <w:tabs>
                <w:tab w:val="left" w:pos="0"/>
              </w:tabs>
              <w:spacing w:line="276" w:lineRule="auto"/>
              <w:rPr>
                <w:rFonts w:eastAsia="Times New Roman"/>
                <w:sz w:val="24"/>
                <w:szCs w:val="24"/>
              </w:rPr>
            </w:pPr>
            <w:r w:rsidRPr="003431F2">
              <w:rPr>
                <w:rFonts w:eastAsia="Times New Roman"/>
                <w:sz w:val="24"/>
                <w:szCs w:val="24"/>
              </w:rPr>
              <w:t xml:space="preserve">Включення системи громадського здоров’я та </w:t>
            </w:r>
            <w:r w:rsidR="002D662F" w:rsidRPr="003431F2">
              <w:rPr>
                <w:rFonts w:eastAsia="Times New Roman"/>
                <w:sz w:val="24"/>
                <w:szCs w:val="24"/>
              </w:rPr>
              <w:t xml:space="preserve">участі </w:t>
            </w:r>
            <w:r w:rsidRPr="003431F2">
              <w:rPr>
                <w:rFonts w:eastAsia="Times New Roman"/>
                <w:sz w:val="24"/>
                <w:szCs w:val="24"/>
              </w:rPr>
              <w:t>об</w:t>
            </w:r>
            <w:r w:rsidR="002D662F" w:rsidRPr="003431F2">
              <w:rPr>
                <w:rFonts w:eastAsia="Times New Roman"/>
                <w:sz w:val="24"/>
                <w:szCs w:val="24"/>
              </w:rPr>
              <w:t>’єднаних територіальних громад в навчанні</w:t>
            </w:r>
            <w:r w:rsidRPr="003431F2">
              <w:rPr>
                <w:rFonts w:eastAsia="Times New Roman"/>
                <w:sz w:val="24"/>
                <w:szCs w:val="24"/>
              </w:rPr>
              <w:t xml:space="preserve"> батьків (відповідальне батьківство)</w:t>
            </w:r>
          </w:p>
        </w:tc>
        <w:tc>
          <w:tcPr>
            <w:tcW w:w="1061" w:type="dxa"/>
            <w:tcBorders>
              <w:top w:val="single" w:sz="4" w:space="0" w:color="auto"/>
              <w:left w:val="single" w:sz="4" w:space="0" w:color="auto"/>
              <w:bottom w:val="single" w:sz="4" w:space="0" w:color="auto"/>
              <w:right w:val="single" w:sz="4" w:space="0" w:color="auto"/>
            </w:tcBorders>
            <w:vAlign w:val="center"/>
          </w:tcPr>
          <w:p w:rsidR="00A20D70" w:rsidRPr="003431F2" w:rsidRDefault="00A20D70" w:rsidP="008C421C">
            <w:pPr>
              <w:widowControl w:val="0"/>
              <w:tabs>
                <w:tab w:val="left" w:pos="0"/>
              </w:tabs>
              <w:spacing w:line="276" w:lineRule="auto"/>
              <w:jc w:val="center"/>
              <w:rPr>
                <w:rFonts w:eastAsia="Times New Roman"/>
                <w:sz w:val="24"/>
                <w:szCs w:val="24"/>
              </w:rPr>
            </w:pPr>
            <w:r w:rsidRPr="003431F2">
              <w:rPr>
                <w:rFonts w:eastAsia="Times New Roman"/>
                <w:sz w:val="24"/>
                <w:szCs w:val="24"/>
              </w:rPr>
              <w:t>48</w:t>
            </w:r>
          </w:p>
        </w:tc>
        <w:tc>
          <w:tcPr>
            <w:tcW w:w="994" w:type="dxa"/>
            <w:tcBorders>
              <w:top w:val="single" w:sz="4" w:space="0" w:color="auto"/>
              <w:left w:val="single" w:sz="4" w:space="0" w:color="auto"/>
              <w:bottom w:val="single" w:sz="4" w:space="0" w:color="auto"/>
              <w:right w:val="single" w:sz="4" w:space="0" w:color="auto"/>
            </w:tcBorders>
            <w:vAlign w:val="center"/>
          </w:tcPr>
          <w:p w:rsidR="00A20D70" w:rsidRPr="003431F2" w:rsidRDefault="00A20D70" w:rsidP="008C421C">
            <w:pPr>
              <w:widowControl w:val="0"/>
              <w:tabs>
                <w:tab w:val="left" w:pos="0"/>
              </w:tabs>
              <w:spacing w:line="276" w:lineRule="auto"/>
              <w:jc w:val="center"/>
              <w:rPr>
                <w:rFonts w:eastAsia="Times New Roman"/>
                <w:sz w:val="24"/>
                <w:szCs w:val="24"/>
              </w:rPr>
            </w:pPr>
            <w:r w:rsidRPr="003431F2">
              <w:rPr>
                <w:rFonts w:eastAsia="Times New Roman"/>
                <w:sz w:val="24"/>
                <w:szCs w:val="24"/>
              </w:rPr>
              <w:t>96,0</w:t>
            </w:r>
          </w:p>
        </w:tc>
      </w:tr>
      <w:tr w:rsidR="003431F2" w:rsidRPr="003431F2" w:rsidTr="00BF010F">
        <w:trPr>
          <w:jc w:val="center"/>
        </w:trPr>
        <w:tc>
          <w:tcPr>
            <w:tcW w:w="8011" w:type="dxa"/>
            <w:tcBorders>
              <w:top w:val="single" w:sz="4" w:space="0" w:color="auto"/>
              <w:left w:val="single" w:sz="4" w:space="0" w:color="auto"/>
              <w:bottom w:val="single" w:sz="4" w:space="0" w:color="auto"/>
              <w:right w:val="single" w:sz="4" w:space="0" w:color="auto"/>
            </w:tcBorders>
          </w:tcPr>
          <w:p w:rsidR="00A20D70" w:rsidRPr="003431F2" w:rsidRDefault="00A20D70" w:rsidP="008C421C">
            <w:pPr>
              <w:widowControl w:val="0"/>
              <w:tabs>
                <w:tab w:val="left" w:pos="0"/>
              </w:tabs>
              <w:spacing w:line="276" w:lineRule="auto"/>
              <w:rPr>
                <w:rFonts w:eastAsia="Times New Roman"/>
                <w:sz w:val="24"/>
                <w:szCs w:val="24"/>
              </w:rPr>
            </w:pPr>
            <w:r w:rsidRPr="003431F2">
              <w:rPr>
                <w:rFonts w:eastAsia="Times New Roman"/>
                <w:sz w:val="24"/>
                <w:szCs w:val="24"/>
              </w:rPr>
              <w:t>Система в цілому</w:t>
            </w:r>
          </w:p>
        </w:tc>
        <w:tc>
          <w:tcPr>
            <w:tcW w:w="1061" w:type="dxa"/>
            <w:tcBorders>
              <w:top w:val="single" w:sz="4" w:space="0" w:color="auto"/>
              <w:left w:val="single" w:sz="4" w:space="0" w:color="auto"/>
              <w:bottom w:val="single" w:sz="4" w:space="0" w:color="auto"/>
              <w:right w:val="single" w:sz="4" w:space="0" w:color="auto"/>
            </w:tcBorders>
            <w:vAlign w:val="center"/>
          </w:tcPr>
          <w:p w:rsidR="00A20D70" w:rsidRPr="003431F2" w:rsidRDefault="00A20D70" w:rsidP="008C421C">
            <w:pPr>
              <w:widowControl w:val="0"/>
              <w:tabs>
                <w:tab w:val="left" w:pos="0"/>
              </w:tabs>
              <w:spacing w:line="276" w:lineRule="auto"/>
              <w:jc w:val="center"/>
              <w:rPr>
                <w:rFonts w:eastAsia="Times New Roman"/>
                <w:sz w:val="24"/>
                <w:szCs w:val="24"/>
              </w:rPr>
            </w:pPr>
            <w:r w:rsidRPr="003431F2">
              <w:rPr>
                <w:rFonts w:eastAsia="Times New Roman"/>
                <w:sz w:val="24"/>
                <w:szCs w:val="24"/>
              </w:rPr>
              <w:t>49</w:t>
            </w:r>
          </w:p>
        </w:tc>
        <w:tc>
          <w:tcPr>
            <w:tcW w:w="994" w:type="dxa"/>
            <w:tcBorders>
              <w:top w:val="single" w:sz="4" w:space="0" w:color="auto"/>
              <w:left w:val="single" w:sz="4" w:space="0" w:color="auto"/>
              <w:bottom w:val="single" w:sz="4" w:space="0" w:color="auto"/>
              <w:right w:val="single" w:sz="4" w:space="0" w:color="auto"/>
            </w:tcBorders>
            <w:vAlign w:val="center"/>
          </w:tcPr>
          <w:p w:rsidR="00A20D70" w:rsidRPr="003431F2" w:rsidRDefault="00A20D70" w:rsidP="008C421C">
            <w:pPr>
              <w:widowControl w:val="0"/>
              <w:tabs>
                <w:tab w:val="left" w:pos="0"/>
              </w:tabs>
              <w:spacing w:line="276" w:lineRule="auto"/>
              <w:jc w:val="center"/>
              <w:rPr>
                <w:rFonts w:eastAsia="Times New Roman"/>
                <w:sz w:val="24"/>
                <w:szCs w:val="24"/>
              </w:rPr>
            </w:pPr>
            <w:r w:rsidRPr="003431F2">
              <w:rPr>
                <w:rFonts w:eastAsia="Times New Roman"/>
                <w:sz w:val="24"/>
                <w:szCs w:val="24"/>
              </w:rPr>
              <w:t>98,0</w:t>
            </w:r>
          </w:p>
        </w:tc>
      </w:tr>
    </w:tbl>
    <w:p w:rsidR="000612DF" w:rsidRDefault="000612DF" w:rsidP="00F57B9F">
      <w:pPr>
        <w:widowControl w:val="0"/>
        <w:tabs>
          <w:tab w:val="left" w:pos="735"/>
          <w:tab w:val="left" w:pos="8077"/>
        </w:tabs>
        <w:rPr>
          <w:rFonts w:eastAsia="Times New Roman"/>
          <w:szCs w:val="28"/>
          <w:lang w:val="ru-RU"/>
        </w:rPr>
      </w:pPr>
    </w:p>
    <w:p w:rsidR="00A20D70" w:rsidRPr="00A20D70" w:rsidRDefault="00A20D70" w:rsidP="002D604C">
      <w:pPr>
        <w:widowControl w:val="0"/>
        <w:tabs>
          <w:tab w:val="left" w:pos="735"/>
          <w:tab w:val="left" w:pos="8077"/>
        </w:tabs>
        <w:ind w:firstLine="709"/>
        <w:rPr>
          <w:rFonts w:eastAsia="Times New Roman"/>
          <w:szCs w:val="28"/>
        </w:rPr>
      </w:pPr>
      <w:r w:rsidRPr="00A20D70">
        <w:rPr>
          <w:rFonts w:eastAsia="Times New Roman"/>
          <w:szCs w:val="28"/>
        </w:rPr>
        <w:t xml:space="preserve">4,0% експертів мали зауваження до Імплементації Національного плану дій глобальної ініціативи ВООЗ «Кожна Жінка, кожна Дитина» на державному </w:t>
      </w:r>
      <w:r w:rsidR="0017319B">
        <w:rPr>
          <w:rFonts w:eastAsia="Times New Roman"/>
          <w:szCs w:val="28"/>
        </w:rPr>
        <w:t>та регіональному рівнях, обласної</w:t>
      </w:r>
      <w:r w:rsidRPr="00A20D70">
        <w:rPr>
          <w:rFonts w:eastAsia="Times New Roman"/>
          <w:szCs w:val="28"/>
        </w:rPr>
        <w:t xml:space="preserve"> міжсекторальної координаційної ради з ініціації та </w:t>
      </w:r>
      <w:r w:rsidRPr="00A20D70">
        <w:rPr>
          <w:rFonts w:eastAsia="Times New Roman"/>
          <w:szCs w:val="28"/>
        </w:rPr>
        <w:lastRenderedPageBreak/>
        <w:t xml:space="preserve">імплементації скоординованих та узгоджених заходів, єдиної державної медичної інформаційної системи педіатричної допомоги (реєстр новонароджених, що народились передчасно та/або хворими, електронний медичний документообіг) та ЕСОЗ, включенням системи громадського здоров’я та </w:t>
      </w:r>
      <w:r w:rsidR="002D662F">
        <w:rPr>
          <w:rFonts w:eastAsia="Times New Roman"/>
          <w:szCs w:val="28"/>
        </w:rPr>
        <w:t xml:space="preserve">участі </w:t>
      </w:r>
      <w:r w:rsidRPr="00A20D70">
        <w:rPr>
          <w:rFonts w:eastAsia="Times New Roman"/>
          <w:szCs w:val="28"/>
        </w:rPr>
        <w:t xml:space="preserve">об’єднаних </w:t>
      </w:r>
      <w:r w:rsidR="002D662F">
        <w:rPr>
          <w:rFonts w:eastAsia="Times New Roman"/>
          <w:szCs w:val="28"/>
        </w:rPr>
        <w:t>територіальних громад в навчанні</w:t>
      </w:r>
      <w:r w:rsidRPr="00A20D70">
        <w:rPr>
          <w:rFonts w:eastAsia="Times New Roman"/>
          <w:szCs w:val="28"/>
        </w:rPr>
        <w:t xml:space="preserve"> батьків (відповідальне батьківство).</w:t>
      </w:r>
      <w:r w:rsidRPr="00A20D70">
        <w:rPr>
          <w:rFonts w:eastAsia="Times New Roman"/>
          <w:szCs w:val="28"/>
        </w:rPr>
        <w:tab/>
      </w:r>
    </w:p>
    <w:p w:rsidR="00EC25E9" w:rsidRPr="000E6192" w:rsidRDefault="00A20D70" w:rsidP="000E6192">
      <w:pPr>
        <w:widowControl w:val="0"/>
        <w:ind w:firstLine="709"/>
        <w:rPr>
          <w:rFonts w:eastAsia="Times New Roman"/>
          <w:szCs w:val="28"/>
        </w:rPr>
      </w:pPr>
      <w:r w:rsidRPr="00A20D70">
        <w:rPr>
          <w:rFonts w:eastAsia="Times New Roman"/>
          <w:color w:val="000000"/>
          <w:szCs w:val="28"/>
        </w:rPr>
        <w:t>Враховуючи, що обґрунтована інноваційна система медико-соціальної допомоги дітям до 5 років в Україні є комплексною, відповідає ос</w:t>
      </w:r>
      <w:r w:rsidR="00E64FF5">
        <w:rPr>
          <w:rFonts w:eastAsia="Times New Roman"/>
          <w:color w:val="000000"/>
          <w:szCs w:val="28"/>
        </w:rPr>
        <w:t xml:space="preserve">новним міжнародним підходам та </w:t>
      </w:r>
      <w:r w:rsidRPr="00A20D70">
        <w:rPr>
          <w:rFonts w:eastAsia="Times New Roman"/>
          <w:color w:val="000000"/>
          <w:szCs w:val="28"/>
        </w:rPr>
        <w:t>сучасному етапу розвитку суспільства у країні та стратегії реформування</w:t>
      </w:r>
      <w:r w:rsidRPr="00A20D70">
        <w:rPr>
          <w:rFonts w:eastAsia="Times New Roman"/>
          <w:szCs w:val="28"/>
        </w:rPr>
        <w:t xml:space="preserve"> системи охорони здоров’я, впровадження  окремих запропонованих  елементі</w:t>
      </w:r>
      <w:r w:rsidR="00E64FF5">
        <w:rPr>
          <w:rFonts w:eastAsia="Times New Roman"/>
          <w:szCs w:val="28"/>
        </w:rPr>
        <w:t>в якої має медичну, економічну та соціальну ефективність</w:t>
      </w:r>
      <w:r w:rsidR="00E64FF5" w:rsidRPr="00E64FF5">
        <w:rPr>
          <w:rFonts w:eastAsia="Times New Roman"/>
          <w:szCs w:val="28"/>
        </w:rPr>
        <w:t>,</w:t>
      </w:r>
      <w:r w:rsidRPr="00A20D70">
        <w:rPr>
          <w:rFonts w:eastAsia="Times New Roman"/>
          <w:szCs w:val="28"/>
        </w:rPr>
        <w:t xml:space="preserve"> позитивно оцінена незалежними експертами – система рекомендується для  впровадження в Україні.</w:t>
      </w:r>
    </w:p>
    <w:p w:rsidR="00D17A34" w:rsidRDefault="00A87E34" w:rsidP="000E6192">
      <w:pPr>
        <w:widowControl w:val="0"/>
        <w:spacing w:before="240" w:after="240"/>
        <w:ind w:firstLine="708"/>
        <w:rPr>
          <w:rFonts w:eastAsia="Times New Roman"/>
          <w:szCs w:val="28"/>
          <w:lang w:val="ru-RU" w:eastAsia="uk-UA"/>
        </w:rPr>
      </w:pPr>
      <w:r>
        <w:rPr>
          <w:b/>
          <w:szCs w:val="28"/>
        </w:rPr>
        <w:t>Висновки до розділу</w:t>
      </w:r>
      <w:r w:rsidR="00EC25E9" w:rsidRPr="00006A39">
        <w:rPr>
          <w:b/>
          <w:szCs w:val="28"/>
        </w:rPr>
        <w:t xml:space="preserve"> </w:t>
      </w:r>
      <w:r w:rsidR="00B44C3F" w:rsidRPr="00006A39">
        <w:rPr>
          <w:b/>
          <w:szCs w:val="28"/>
        </w:rPr>
        <w:t>8</w:t>
      </w:r>
      <w:r w:rsidR="00D17A34" w:rsidRPr="00D17A34">
        <w:rPr>
          <w:rFonts w:eastAsia="Times New Roman"/>
          <w:szCs w:val="28"/>
          <w:lang w:eastAsia="uk-UA"/>
        </w:rPr>
        <w:t xml:space="preserve"> </w:t>
      </w:r>
      <w:r>
        <w:rPr>
          <w:rFonts w:eastAsia="Times New Roman"/>
          <w:szCs w:val="28"/>
          <w:lang w:eastAsia="uk-UA"/>
        </w:rPr>
        <w:t xml:space="preserve"> </w:t>
      </w:r>
    </w:p>
    <w:p w:rsidR="001E20F7" w:rsidRDefault="00EC25E9" w:rsidP="001E20F7">
      <w:pPr>
        <w:pStyle w:val="a5"/>
        <w:widowControl w:val="0"/>
        <w:numPr>
          <w:ilvl w:val="0"/>
          <w:numId w:val="41"/>
        </w:numPr>
        <w:ind w:left="142" w:firstLine="566"/>
        <w:rPr>
          <w:szCs w:val="28"/>
        </w:rPr>
      </w:pPr>
      <w:r w:rsidRPr="00C77EEB">
        <w:rPr>
          <w:szCs w:val="28"/>
        </w:rPr>
        <w:t>За результатами проведеного дослідження</w:t>
      </w:r>
      <w:r w:rsidR="00C77EEB" w:rsidRPr="00C77EEB">
        <w:rPr>
          <w:szCs w:val="28"/>
        </w:rPr>
        <w:t xml:space="preserve"> обґрунтовано,</w:t>
      </w:r>
      <w:r w:rsidRPr="00C77EEB">
        <w:rPr>
          <w:szCs w:val="28"/>
        </w:rPr>
        <w:t xml:space="preserve"> розроблено та частково впроваджено </w:t>
      </w:r>
      <w:r w:rsidR="004F75D5" w:rsidRPr="00C77EEB">
        <w:rPr>
          <w:szCs w:val="28"/>
        </w:rPr>
        <w:t xml:space="preserve">інноваційну </w:t>
      </w:r>
      <w:r w:rsidRPr="00C77EEB">
        <w:rPr>
          <w:szCs w:val="28"/>
        </w:rPr>
        <w:t xml:space="preserve">систему </w:t>
      </w:r>
      <w:r w:rsidR="004F75D5" w:rsidRPr="00C77EEB">
        <w:rPr>
          <w:szCs w:val="28"/>
        </w:rPr>
        <w:t>медико-соціальної допомоги дітям</w:t>
      </w:r>
      <w:r w:rsidRPr="00C77EEB">
        <w:rPr>
          <w:szCs w:val="28"/>
        </w:rPr>
        <w:t xml:space="preserve"> до 5 років в У</w:t>
      </w:r>
      <w:r w:rsidR="00C77EEB" w:rsidRPr="00C77EEB">
        <w:rPr>
          <w:szCs w:val="28"/>
        </w:rPr>
        <w:t>країні,</w:t>
      </w:r>
      <w:r w:rsidR="00BB7CE9">
        <w:rPr>
          <w:szCs w:val="28"/>
        </w:rPr>
        <w:t xml:space="preserve"> скерован</w:t>
      </w:r>
      <w:r w:rsidR="005209A8">
        <w:rPr>
          <w:szCs w:val="28"/>
          <w:lang w:val="ru-RU"/>
        </w:rPr>
        <w:t>у</w:t>
      </w:r>
      <w:r w:rsidR="00BB7CE9" w:rsidRPr="00BB7CE9">
        <w:rPr>
          <w:szCs w:val="28"/>
        </w:rPr>
        <w:t xml:space="preserve"> на </w:t>
      </w:r>
      <w:r w:rsidR="005209A8">
        <w:rPr>
          <w:szCs w:val="28"/>
          <w:lang w:val="ru-RU"/>
        </w:rPr>
        <w:t>сприяння</w:t>
      </w:r>
      <w:r w:rsidR="005E1587">
        <w:rPr>
          <w:szCs w:val="28"/>
          <w:lang w:val="ru-RU"/>
        </w:rPr>
        <w:t xml:space="preserve"> збереженню здоров'я та</w:t>
      </w:r>
      <w:r w:rsidR="005209A8">
        <w:rPr>
          <w:szCs w:val="28"/>
          <w:lang w:val="ru-RU"/>
        </w:rPr>
        <w:t xml:space="preserve"> </w:t>
      </w:r>
      <w:r w:rsidR="005209A8">
        <w:rPr>
          <w:szCs w:val="28"/>
        </w:rPr>
        <w:t>зниженн</w:t>
      </w:r>
      <w:r w:rsidR="005209A8">
        <w:rPr>
          <w:szCs w:val="28"/>
          <w:lang w:val="ru-RU"/>
        </w:rPr>
        <w:t>ю</w:t>
      </w:r>
      <w:r w:rsidR="00BB7CE9" w:rsidRPr="00BB7CE9">
        <w:rPr>
          <w:szCs w:val="28"/>
        </w:rPr>
        <w:t xml:space="preserve"> смертності дітей віком до 5 років життя, запобігання відворотним випадкам смерті дітей у повсякденну медичну практику</w:t>
      </w:r>
      <w:r w:rsidR="005209A8">
        <w:rPr>
          <w:szCs w:val="28"/>
          <w:lang w:val="ru-RU"/>
        </w:rPr>
        <w:t xml:space="preserve">, яка </w:t>
      </w:r>
      <w:r w:rsidR="00C77EEB" w:rsidRPr="005209A8">
        <w:rPr>
          <w:szCs w:val="28"/>
        </w:rPr>
        <w:t xml:space="preserve">разом із запропонованими моделями (модель </w:t>
      </w:r>
      <w:r w:rsidR="00C77EEB" w:rsidRPr="005209A8">
        <w:rPr>
          <w:szCs w:val="28"/>
          <w:lang w:val="ru-RU"/>
        </w:rPr>
        <w:t xml:space="preserve">зниження смертності </w:t>
      </w:r>
      <w:r w:rsidR="00C77EEB" w:rsidRPr="005209A8">
        <w:rPr>
          <w:szCs w:val="28"/>
        </w:rPr>
        <w:t>дітей до 5</w:t>
      </w:r>
      <w:r w:rsidR="00C77EEB" w:rsidRPr="005209A8">
        <w:rPr>
          <w:szCs w:val="28"/>
          <w:lang w:val="ru-RU"/>
        </w:rPr>
        <w:t> </w:t>
      </w:r>
      <w:r w:rsidR="00C77EEB" w:rsidRPr="005209A8">
        <w:rPr>
          <w:szCs w:val="28"/>
        </w:rPr>
        <w:t>років життя в Україні</w:t>
      </w:r>
      <w:r w:rsidR="00C77EEB" w:rsidRPr="005209A8">
        <w:rPr>
          <w:szCs w:val="28"/>
          <w:lang w:val="ru-RU"/>
        </w:rPr>
        <w:t xml:space="preserve"> </w:t>
      </w:r>
      <w:r w:rsidR="00C77EEB" w:rsidRPr="005209A8">
        <w:rPr>
          <w:szCs w:val="28"/>
        </w:rPr>
        <w:t xml:space="preserve">та організаційна модель </w:t>
      </w:r>
      <w:r w:rsidR="00C77EEB" w:rsidRPr="005209A8">
        <w:rPr>
          <w:szCs w:val="28"/>
          <w:lang w:val="ru-RU"/>
        </w:rPr>
        <w:t xml:space="preserve">зниження смертності </w:t>
      </w:r>
      <w:r w:rsidR="00C77EEB" w:rsidRPr="005209A8">
        <w:rPr>
          <w:szCs w:val="28"/>
        </w:rPr>
        <w:t>дітей до 5</w:t>
      </w:r>
      <w:r w:rsidR="00C77EEB" w:rsidRPr="005209A8">
        <w:rPr>
          <w:szCs w:val="28"/>
          <w:lang w:val="ru-RU"/>
        </w:rPr>
        <w:t> </w:t>
      </w:r>
      <w:r w:rsidR="00C77EEB" w:rsidRPr="005209A8">
        <w:rPr>
          <w:szCs w:val="28"/>
        </w:rPr>
        <w:t>років життя в Україні)</w:t>
      </w:r>
      <w:r w:rsidR="00C77EEB" w:rsidRPr="005209A8">
        <w:rPr>
          <w:rFonts w:eastAsia="Times New Roman"/>
          <w:szCs w:val="28"/>
          <w:lang w:eastAsia="uk-UA"/>
        </w:rPr>
        <w:t xml:space="preserve"> </w:t>
      </w:r>
      <w:r w:rsidR="00C77EEB" w:rsidRPr="005209A8">
        <w:rPr>
          <w:szCs w:val="28"/>
        </w:rPr>
        <w:t>прогностично матиме медичний, соціальний та економічний ефекти.</w:t>
      </w:r>
      <w:r w:rsidR="00E83084" w:rsidRPr="00E83084">
        <w:rPr>
          <w:szCs w:val="28"/>
        </w:rPr>
        <w:t xml:space="preserve"> </w:t>
      </w:r>
      <w:r w:rsidR="00E83084">
        <w:rPr>
          <w:szCs w:val="28"/>
        </w:rPr>
        <w:t>Центральним елементом системи</w:t>
      </w:r>
      <w:r w:rsidR="00E83084" w:rsidRPr="00E83084">
        <w:rPr>
          <w:szCs w:val="28"/>
        </w:rPr>
        <w:t xml:space="preserve"> є дитина віком до 5-ти років життя та її родина, стратегічним напрямом – збереження здоро</w:t>
      </w:r>
      <w:r w:rsidR="000E6192">
        <w:rPr>
          <w:szCs w:val="28"/>
        </w:rPr>
        <w:t>в’я та життя дітей, а тактичним</w:t>
      </w:r>
      <w:r w:rsidR="000E6192">
        <w:rPr>
          <w:szCs w:val="28"/>
          <w:lang w:val="ru-RU"/>
        </w:rPr>
        <w:t xml:space="preserve"> </w:t>
      </w:r>
      <w:r w:rsidR="00E83084" w:rsidRPr="00E83084">
        <w:rPr>
          <w:szCs w:val="28"/>
        </w:rPr>
        <w:t xml:space="preserve">– суттєве оновлення </w:t>
      </w:r>
      <w:r w:rsidR="000E6192">
        <w:rPr>
          <w:szCs w:val="28"/>
        </w:rPr>
        <w:t xml:space="preserve">існуючої галузі </w:t>
      </w:r>
      <w:r w:rsidR="000E6192">
        <w:rPr>
          <w:szCs w:val="28"/>
          <w:lang w:val="ru-RU"/>
        </w:rPr>
        <w:t>ОЗ</w:t>
      </w:r>
      <w:r w:rsidR="00E83084" w:rsidRPr="00E83084">
        <w:rPr>
          <w:szCs w:val="28"/>
        </w:rPr>
        <w:t xml:space="preserve"> за рахунок запровадження нових або удосконалених багаторівневих структурно-організаційних технологій в межах галузі та налагодження вертикальних і горизонтальних інтеграційних зв’язків з іншими державними та недержавними секторами</w:t>
      </w:r>
      <w:r w:rsidR="00E83084">
        <w:rPr>
          <w:szCs w:val="28"/>
        </w:rPr>
        <w:t>.</w:t>
      </w:r>
    </w:p>
    <w:p w:rsidR="00EF2D48" w:rsidRDefault="001E20F7" w:rsidP="00EF2D48">
      <w:pPr>
        <w:pStyle w:val="a5"/>
        <w:widowControl w:val="0"/>
        <w:numPr>
          <w:ilvl w:val="0"/>
          <w:numId w:val="41"/>
        </w:numPr>
        <w:ind w:left="142" w:firstLine="566"/>
        <w:rPr>
          <w:szCs w:val="28"/>
        </w:rPr>
      </w:pPr>
      <w:r>
        <w:rPr>
          <w:szCs w:val="28"/>
        </w:rPr>
        <w:t>Інноваційна система</w:t>
      </w:r>
      <w:r w:rsidRPr="001E20F7">
        <w:rPr>
          <w:szCs w:val="28"/>
        </w:rPr>
        <w:t xml:space="preserve"> медико-соціальної допомоги дітям до 5 років життя має 5 напрямів (владний, галузевий, міжсекторальний, </w:t>
      </w:r>
      <w:r>
        <w:rPr>
          <w:szCs w:val="28"/>
        </w:rPr>
        <w:t xml:space="preserve">локальний/громада, </w:t>
      </w:r>
      <w:r>
        <w:rPr>
          <w:szCs w:val="28"/>
        </w:rPr>
        <w:lastRenderedPageBreak/>
        <w:t xml:space="preserve">сімейний), </w:t>
      </w:r>
      <w:r w:rsidRPr="001E20F7">
        <w:rPr>
          <w:szCs w:val="28"/>
        </w:rPr>
        <w:t>забезпечує доступність, комплексність, етапність, наступніст</w:t>
      </w:r>
      <w:r>
        <w:rPr>
          <w:szCs w:val="28"/>
        </w:rPr>
        <w:t>ь, якість медичної допомоги,</w:t>
      </w:r>
      <w:r w:rsidR="006D6183" w:rsidRPr="006D6183">
        <w:rPr>
          <w:szCs w:val="28"/>
        </w:rPr>
        <w:t xml:space="preserve"> </w:t>
      </w:r>
      <w:r w:rsidRPr="006D6183">
        <w:rPr>
          <w:szCs w:val="28"/>
        </w:rPr>
        <w:t>запроваджує загальні принципи сучасного медичного менеджменту за всіма напрямами (ефективне управління процесом організації медичної допомоги, інтеграція, планування, ресурсне забезпечення, інтегроване управління якістю медичної допомоги</w:t>
      </w:r>
      <w:r w:rsidR="00715D90">
        <w:rPr>
          <w:szCs w:val="28"/>
        </w:rPr>
        <w:t xml:space="preserve"> на національному рівні</w:t>
      </w:r>
      <w:r w:rsidRPr="006D6183">
        <w:rPr>
          <w:szCs w:val="28"/>
        </w:rPr>
        <w:t>, передбачення та мінімізація ризиків, дотримання прав людини та вимог законодавства в сфері протидії насильству)</w:t>
      </w:r>
      <w:r w:rsidR="00715D90">
        <w:rPr>
          <w:szCs w:val="28"/>
        </w:rPr>
        <w:t>,</w:t>
      </w:r>
      <w:r>
        <w:rPr>
          <w:szCs w:val="28"/>
        </w:rPr>
        <w:t xml:space="preserve"> та включає </w:t>
      </w:r>
      <w:r w:rsidRPr="001E20F7">
        <w:rPr>
          <w:szCs w:val="28"/>
        </w:rPr>
        <w:t>низку інноваційних структурно-організаційних елементів</w:t>
      </w:r>
      <w:r w:rsidR="004568D2">
        <w:rPr>
          <w:szCs w:val="28"/>
        </w:rPr>
        <w:t>, серед яких:</w:t>
      </w:r>
      <w:r w:rsidR="0074099C">
        <w:rPr>
          <w:szCs w:val="28"/>
        </w:rPr>
        <w:t xml:space="preserve"> </w:t>
      </w:r>
      <w:r w:rsidR="004568D2" w:rsidRPr="004568D2">
        <w:rPr>
          <w:szCs w:val="28"/>
        </w:rPr>
        <w:t>запровадження ЕСОЗ,</w:t>
      </w:r>
      <w:r w:rsidR="004568D2" w:rsidRPr="004568D2">
        <w:rPr>
          <w:bCs/>
          <w:szCs w:val="28"/>
        </w:rPr>
        <w:t xml:space="preserve"> єдиної державної медичної інформаційної системи педіатричної допомоги,</w:t>
      </w:r>
      <w:r w:rsidR="004568D2" w:rsidRPr="004568D2">
        <w:rPr>
          <w:szCs w:val="28"/>
        </w:rPr>
        <w:t xml:space="preserve"> </w:t>
      </w:r>
      <w:r w:rsidR="004568D2" w:rsidRPr="004568D2">
        <w:rPr>
          <w:bCs/>
          <w:szCs w:val="28"/>
        </w:rPr>
        <w:t>реєстру новонароджених, що народились передчасно та/або хворими,</w:t>
      </w:r>
      <w:r w:rsidR="004568D2" w:rsidRPr="004568D2">
        <w:rPr>
          <w:szCs w:val="28"/>
        </w:rPr>
        <w:t xml:space="preserve"> нової системи фінансування галузі ОЗ, спільного фінансування окремих послуг разом з Міністерством соціальної політики України, відповідальності обласних</w:t>
      </w:r>
      <w:r w:rsidR="008D4751">
        <w:rPr>
          <w:szCs w:val="28"/>
        </w:rPr>
        <w:t xml:space="preserve"> рад</w:t>
      </w:r>
      <w:r w:rsidR="004568D2" w:rsidRPr="004568D2">
        <w:rPr>
          <w:szCs w:val="28"/>
        </w:rPr>
        <w:t xml:space="preserve">, об’єднаних територіальних громад за міжбюджетне фінансування ЗОЗ, прийняття </w:t>
      </w:r>
      <w:r w:rsidR="008D4751">
        <w:rPr>
          <w:szCs w:val="28"/>
        </w:rPr>
        <w:t>на державному рівні Державної</w:t>
      </w:r>
      <w:r w:rsidR="004568D2" w:rsidRPr="004568D2">
        <w:rPr>
          <w:szCs w:val="28"/>
        </w:rPr>
        <w:t xml:space="preserve"> багатосекторальної програми </w:t>
      </w:r>
      <w:r w:rsidR="008D4751">
        <w:rPr>
          <w:szCs w:val="28"/>
        </w:rPr>
        <w:t>з охорони матері та дитини</w:t>
      </w:r>
      <w:r w:rsidR="004568D2" w:rsidRPr="004568D2">
        <w:rPr>
          <w:szCs w:val="28"/>
        </w:rPr>
        <w:t xml:space="preserve"> з імплементацією заходів глобальної ініціативи ВООЗ «Кожна жінка, кожна дитина», впровадження ком</w:t>
      </w:r>
      <w:r w:rsidR="008D2091">
        <w:rPr>
          <w:szCs w:val="28"/>
        </w:rPr>
        <w:t>плексної оцінки</w:t>
      </w:r>
      <w:r w:rsidR="004568D2" w:rsidRPr="004568D2">
        <w:rPr>
          <w:szCs w:val="28"/>
        </w:rPr>
        <w:t xml:space="preserve"> стану перинатальної доп</w:t>
      </w:r>
      <w:r w:rsidR="008D2091">
        <w:rPr>
          <w:szCs w:val="28"/>
        </w:rPr>
        <w:t>омоги на всіх рівнях її надання</w:t>
      </w:r>
      <w:r w:rsidR="004568D2" w:rsidRPr="004568D2">
        <w:rPr>
          <w:szCs w:val="28"/>
        </w:rPr>
        <w:t>, обласна міжсекторальної координаційної ради з ініціації та імплементації скоординованих та узгоджених заходів,  кабінет катамнезу та послуга катамнестичного спостереження, виїзних неонатальних бригад, клінічного моніторингу, послуг з реабілітації, паліативу, системи раннього втручання, включення системи громадського здоров’я та об’єднаних територіальних громад з навчанням батьків (відповідальне батьківство).</w:t>
      </w:r>
    </w:p>
    <w:p w:rsidR="00EF2D48" w:rsidRDefault="00903FEA" w:rsidP="00EF2D48">
      <w:pPr>
        <w:pStyle w:val="a5"/>
        <w:widowControl w:val="0"/>
        <w:numPr>
          <w:ilvl w:val="0"/>
          <w:numId w:val="41"/>
        </w:numPr>
        <w:ind w:left="142" w:firstLine="566"/>
        <w:rPr>
          <w:szCs w:val="28"/>
        </w:rPr>
      </w:pPr>
      <w:r w:rsidRPr="00EF2D48">
        <w:rPr>
          <w:szCs w:val="28"/>
        </w:rPr>
        <w:t xml:space="preserve">Впровадження окремих інноваційних елементів системи, </w:t>
      </w:r>
      <w:r w:rsidR="00F501A5" w:rsidRPr="00EF2D48">
        <w:rPr>
          <w:szCs w:val="28"/>
        </w:rPr>
        <w:t>зокрема</w:t>
      </w:r>
      <w:r w:rsidR="0006283F">
        <w:rPr>
          <w:szCs w:val="28"/>
        </w:rPr>
        <w:t xml:space="preserve"> ЕСОЗ, дозволяє</w:t>
      </w:r>
      <w:r w:rsidR="00EF2D48">
        <w:rPr>
          <w:szCs w:val="28"/>
        </w:rPr>
        <w:t xml:space="preserve"> в режимі реального часу</w:t>
      </w:r>
      <w:r w:rsidR="0089563D" w:rsidRPr="00EF2D48">
        <w:rPr>
          <w:szCs w:val="28"/>
        </w:rPr>
        <w:t xml:space="preserve"> моніторувати та </w:t>
      </w:r>
      <w:r w:rsidRPr="00EF2D48">
        <w:rPr>
          <w:szCs w:val="28"/>
        </w:rPr>
        <w:t>ана</w:t>
      </w:r>
      <w:r w:rsidR="0089563D" w:rsidRPr="00EF2D48">
        <w:rPr>
          <w:szCs w:val="28"/>
        </w:rPr>
        <w:t>лізувати важливі індикаторні</w:t>
      </w:r>
      <w:r w:rsidRPr="00EF2D48">
        <w:rPr>
          <w:szCs w:val="28"/>
        </w:rPr>
        <w:t xml:space="preserve"> показн</w:t>
      </w:r>
      <w:r w:rsidR="0089563D" w:rsidRPr="00EF2D48">
        <w:rPr>
          <w:szCs w:val="28"/>
        </w:rPr>
        <w:t>ики</w:t>
      </w:r>
      <w:r w:rsidRPr="00EF2D48">
        <w:rPr>
          <w:szCs w:val="28"/>
        </w:rPr>
        <w:t>, які не входять в офіційні статистичні форми звітності, що продемонстровано на прикладі аналізу показника добової летальності новонароджених</w:t>
      </w:r>
      <w:r w:rsidR="00F501A5" w:rsidRPr="00EF2D48">
        <w:rPr>
          <w:szCs w:val="28"/>
        </w:rPr>
        <w:t xml:space="preserve"> в акушерських стаціонарах та дитячих лікарнях</w:t>
      </w:r>
      <w:r w:rsidRPr="00EF2D48">
        <w:rPr>
          <w:szCs w:val="28"/>
        </w:rPr>
        <w:t>.</w:t>
      </w:r>
      <w:r w:rsidR="00F501A5" w:rsidRPr="00EF2D48">
        <w:rPr>
          <w:szCs w:val="28"/>
        </w:rPr>
        <w:t xml:space="preserve"> Протягом</w:t>
      </w:r>
      <w:r w:rsidRPr="00EF2D48">
        <w:rPr>
          <w:szCs w:val="28"/>
        </w:rPr>
        <w:t xml:space="preserve"> 7</w:t>
      </w:r>
      <w:r w:rsidR="00F501A5" w:rsidRPr="00EF2D48">
        <w:rPr>
          <w:szCs w:val="28"/>
        </w:rPr>
        <w:t> </w:t>
      </w:r>
      <w:r w:rsidRPr="00EF2D48">
        <w:rPr>
          <w:szCs w:val="28"/>
        </w:rPr>
        <w:t xml:space="preserve">місяців 2020 р. частка дітей, які помирають упродовж першої доби життя, становила 41,42% </w:t>
      </w:r>
      <w:r w:rsidR="00C13221">
        <w:rPr>
          <w:szCs w:val="28"/>
        </w:rPr>
        <w:t>у</w:t>
      </w:r>
      <w:r w:rsidR="00F501A5" w:rsidRPr="00EF2D48">
        <w:rPr>
          <w:szCs w:val="28"/>
        </w:rPr>
        <w:t xml:space="preserve"> </w:t>
      </w:r>
      <w:r w:rsidRPr="00EF2D48">
        <w:rPr>
          <w:szCs w:val="28"/>
        </w:rPr>
        <w:t>загальній кількості померлих в акушерських стаціонарах та 14,34% немовлят у загальній кількості новонароджених, п</w:t>
      </w:r>
      <w:r w:rsidR="00F501A5" w:rsidRPr="00EF2D48">
        <w:rPr>
          <w:szCs w:val="28"/>
        </w:rPr>
        <w:t xml:space="preserve">омерлих упродовж </w:t>
      </w:r>
      <w:r w:rsidR="00F501A5" w:rsidRPr="00EF2D48">
        <w:rPr>
          <w:szCs w:val="28"/>
        </w:rPr>
        <w:lastRenderedPageBreak/>
        <w:t>першої доби у дитячих лікарнях</w:t>
      </w:r>
      <w:r w:rsidRPr="00EF2D48">
        <w:rPr>
          <w:szCs w:val="28"/>
        </w:rPr>
        <w:t xml:space="preserve"> після переведення з акушерських стаціонарів, </w:t>
      </w:r>
      <w:r w:rsidR="00C13221">
        <w:rPr>
          <w:szCs w:val="28"/>
        </w:rPr>
        <w:t>при цьому в останніх помирають у</w:t>
      </w:r>
      <w:r w:rsidRPr="00EF2D48">
        <w:rPr>
          <w:szCs w:val="28"/>
        </w:rPr>
        <w:t xml:space="preserve"> переважній кількості недоношені діти (медіанне значення ваги дітей 1100 г (650-2450), в ДЛ – доношені діти (медіанне значення 2680 г (1450-3470), р&lt;0,001); у причинній структурі добової летальності І місце посідають: внутрішньоутробна гіпоксія і асфіксія у пологах (</w:t>
      </w:r>
      <w:r w:rsidRPr="00EF2D48">
        <w:rPr>
          <w:i/>
          <w:szCs w:val="28"/>
        </w:rPr>
        <w:t>Р20-Р21</w:t>
      </w:r>
      <w:r w:rsidRPr="00EF2D48">
        <w:rPr>
          <w:szCs w:val="28"/>
        </w:rPr>
        <w:t>) – 22,28%; ІІ місце – синдром респіраторного розладу (</w:t>
      </w:r>
      <w:r w:rsidRPr="00EF2D48">
        <w:rPr>
          <w:i/>
          <w:szCs w:val="28"/>
        </w:rPr>
        <w:t>Р22.0,8,9</w:t>
      </w:r>
      <w:r w:rsidRPr="00EF2D48">
        <w:rPr>
          <w:szCs w:val="28"/>
        </w:rPr>
        <w:t>) – 21,20%; ІІІ місце – уроджені аномалії, деформації та хромосомні порушення (</w:t>
      </w:r>
      <w:r w:rsidRPr="00EF2D48">
        <w:rPr>
          <w:i/>
          <w:szCs w:val="28"/>
        </w:rPr>
        <w:t>Q00-Q99</w:t>
      </w:r>
      <w:r w:rsidR="0006283F">
        <w:rPr>
          <w:szCs w:val="28"/>
        </w:rPr>
        <w:t xml:space="preserve">) – 17,93%, також спостерігається </w:t>
      </w:r>
      <w:r w:rsidRPr="00EF2D48">
        <w:rPr>
          <w:szCs w:val="28"/>
        </w:rPr>
        <w:t>недостатній рівень регіоналізації п</w:t>
      </w:r>
      <w:r w:rsidR="0006283F">
        <w:rPr>
          <w:szCs w:val="28"/>
        </w:rPr>
        <w:t xml:space="preserve">еринатальної допомоги (переважна частка </w:t>
      </w:r>
      <w:r w:rsidRPr="00EF2D48">
        <w:rPr>
          <w:szCs w:val="28"/>
        </w:rPr>
        <w:t>дітей, помирає упродовж перш</w:t>
      </w:r>
      <w:r w:rsidR="0006283F">
        <w:rPr>
          <w:szCs w:val="28"/>
        </w:rPr>
        <w:t xml:space="preserve">ої доби життя </w:t>
      </w:r>
      <w:r w:rsidRPr="00EF2D48">
        <w:rPr>
          <w:szCs w:val="28"/>
        </w:rPr>
        <w:t>в акушерських стаціонарах І-ІІ рівня</w:t>
      </w:r>
      <w:r w:rsidR="00AD059C">
        <w:rPr>
          <w:szCs w:val="28"/>
        </w:rPr>
        <w:t xml:space="preserve"> надання медичної допомоги – </w:t>
      </w:r>
      <w:r w:rsidR="00C13221">
        <w:rPr>
          <w:szCs w:val="28"/>
        </w:rPr>
        <w:t xml:space="preserve">34,4% та ДЛ </w:t>
      </w:r>
      <w:r w:rsidR="00AD059C">
        <w:rPr>
          <w:szCs w:val="28"/>
        </w:rPr>
        <w:t>–  21,9%</w:t>
      </w:r>
      <w:r w:rsidR="00C13221">
        <w:rPr>
          <w:szCs w:val="28"/>
        </w:rPr>
        <w:t xml:space="preserve">, </w:t>
      </w:r>
      <w:r w:rsidRPr="00EF2D48">
        <w:rPr>
          <w:szCs w:val="28"/>
        </w:rPr>
        <w:t>у той час як в акушерських</w:t>
      </w:r>
      <w:r w:rsidR="0006283F">
        <w:rPr>
          <w:szCs w:val="28"/>
        </w:rPr>
        <w:t xml:space="preserve"> стаціонарах ІІІ рівня – 35,35%).</w:t>
      </w:r>
      <w:r w:rsidRPr="00EF2D48">
        <w:rPr>
          <w:szCs w:val="28"/>
        </w:rPr>
        <w:t xml:space="preserve"> </w:t>
      </w:r>
    </w:p>
    <w:p w:rsidR="000E2BBF" w:rsidRPr="003F1DF0" w:rsidRDefault="00903FEA" w:rsidP="000E2BBF">
      <w:pPr>
        <w:pStyle w:val="a5"/>
        <w:widowControl w:val="0"/>
        <w:numPr>
          <w:ilvl w:val="0"/>
          <w:numId w:val="41"/>
        </w:numPr>
        <w:ind w:left="142" w:firstLine="566"/>
        <w:rPr>
          <w:szCs w:val="28"/>
        </w:rPr>
      </w:pPr>
      <w:r w:rsidRPr="00EF2D48">
        <w:rPr>
          <w:bCs/>
          <w:szCs w:val="28"/>
        </w:rPr>
        <w:t>Інноваційна система медико-соціальної допомоги дітям до 5 років життя в Україні в цілому позитивно оцінена експертами (98%),</w:t>
      </w:r>
      <w:r w:rsidRPr="00EF2D48">
        <w:rPr>
          <w:szCs w:val="28"/>
        </w:rPr>
        <w:t xml:space="preserve"> відповідає напрямам</w:t>
      </w:r>
      <w:r w:rsidRPr="00EF2D48">
        <w:rPr>
          <w:rFonts w:eastAsia="Times New Roman"/>
          <w:szCs w:val="28"/>
          <w:lang w:eastAsia="uk-UA"/>
        </w:rPr>
        <w:t xml:space="preserve"> </w:t>
      </w:r>
      <w:r w:rsidRPr="00EF2D48">
        <w:rPr>
          <w:szCs w:val="28"/>
        </w:rPr>
        <w:t>реформування вітчизняної медичної галузі</w:t>
      </w:r>
      <w:r w:rsidRPr="00EF2D48">
        <w:rPr>
          <w:rFonts w:eastAsia="Times New Roman"/>
          <w:szCs w:val="28"/>
          <w:lang w:eastAsia="uk-UA"/>
        </w:rPr>
        <w:t xml:space="preserve"> </w:t>
      </w:r>
      <w:r w:rsidRPr="00EF2D48">
        <w:rPr>
          <w:szCs w:val="28"/>
        </w:rPr>
        <w:t xml:space="preserve">та сучасним міжнародним підходам, що дозволяє рекомендувати її для впровадження в практику охорони здоров’я України. </w:t>
      </w:r>
    </w:p>
    <w:p w:rsidR="00EC25E9" w:rsidRPr="00006A39" w:rsidRDefault="0085077A" w:rsidP="003F1DF0">
      <w:pPr>
        <w:widowControl w:val="0"/>
        <w:spacing w:before="240"/>
        <w:rPr>
          <w:rFonts w:eastAsia="Calibri"/>
          <w:b/>
          <w:bCs/>
          <w:szCs w:val="28"/>
        </w:rPr>
      </w:pPr>
      <w:r>
        <w:rPr>
          <w:rFonts w:eastAsia="Calibri"/>
          <w:b/>
          <w:bCs/>
          <w:szCs w:val="28"/>
        </w:rPr>
        <w:t xml:space="preserve"> </w:t>
      </w:r>
      <w:r w:rsidR="00EC25E9" w:rsidRPr="00006A39">
        <w:rPr>
          <w:rFonts w:eastAsia="Calibri"/>
          <w:b/>
          <w:bCs/>
          <w:szCs w:val="28"/>
        </w:rPr>
        <w:t>Список особистих робіт за матеріалами розділу:</w:t>
      </w:r>
    </w:p>
    <w:p w:rsidR="00CF04FC" w:rsidRPr="006172B6" w:rsidRDefault="00CF04FC" w:rsidP="006172B6">
      <w:pPr>
        <w:widowControl w:val="0"/>
        <w:numPr>
          <w:ilvl w:val="0"/>
          <w:numId w:val="50"/>
        </w:numPr>
        <w:contextualSpacing/>
        <w:rPr>
          <w:rFonts w:eastAsia="Calibri"/>
          <w:szCs w:val="28"/>
        </w:rPr>
      </w:pPr>
      <w:r w:rsidRPr="00231499">
        <w:rPr>
          <w:rFonts w:eastAsia="Calibri"/>
          <w:szCs w:val="28"/>
        </w:rPr>
        <w:t xml:space="preserve">Дудник С. В. Характеристика системи попередження дитячої смертності. Україна. Здоров’я нації. 2019. № 2 (55). С. 41–50. </w:t>
      </w:r>
    </w:p>
    <w:p w:rsidR="006172B6" w:rsidRPr="006172B6" w:rsidRDefault="006172B6" w:rsidP="006172B6">
      <w:pPr>
        <w:widowControl w:val="0"/>
        <w:numPr>
          <w:ilvl w:val="0"/>
          <w:numId w:val="50"/>
        </w:numPr>
        <w:contextualSpacing/>
        <w:rPr>
          <w:rFonts w:eastAsia="Calibri"/>
          <w:szCs w:val="28"/>
        </w:rPr>
      </w:pPr>
      <w:r w:rsidRPr="00231499">
        <w:rPr>
          <w:rFonts w:eastAsia="Calibri"/>
          <w:szCs w:val="28"/>
        </w:rPr>
        <w:t xml:space="preserve">Дудник С. В. Перспективні напрями досягнення ефективної державної політики у сфері охорони здоров’я та попередження дитячої смертності. Україна. Здоров’я нації. 2017. № 4/1 (46). С. 46–53. </w:t>
      </w:r>
    </w:p>
    <w:p w:rsidR="005A3BCE" w:rsidRPr="005A3BCE" w:rsidRDefault="005A3BCE" w:rsidP="006172B6">
      <w:pPr>
        <w:widowControl w:val="0"/>
        <w:numPr>
          <w:ilvl w:val="0"/>
          <w:numId w:val="50"/>
        </w:numPr>
      </w:pPr>
      <w:r w:rsidRPr="005A3BCE">
        <w:t xml:space="preserve">Слабкий Г. О., Дудник С. В. Правове забезпечення медичної допомоги дитячому населенню в Україні. Intermedical Jornal (Slovenská republika) 2018. № І (11). С. 19–23. </w:t>
      </w:r>
    </w:p>
    <w:p w:rsidR="00FF63AD" w:rsidRPr="00231499" w:rsidRDefault="00FF63AD" w:rsidP="00B36FC6">
      <w:pPr>
        <w:pStyle w:val="a5"/>
        <w:widowControl w:val="0"/>
        <w:numPr>
          <w:ilvl w:val="0"/>
          <w:numId w:val="50"/>
        </w:numPr>
        <w:shd w:val="clear" w:color="auto" w:fill="FFFFFF"/>
        <w:spacing w:after="200"/>
        <w:rPr>
          <w:szCs w:val="28"/>
          <w:lang w:eastAsia="ru-RU"/>
        </w:rPr>
      </w:pPr>
      <w:r w:rsidRPr="00305950">
        <w:rPr>
          <w:szCs w:val="28"/>
          <w:lang w:eastAsia="ru-RU"/>
        </w:rPr>
        <w:t xml:space="preserve">Слабкий Г. О., Дудник С. В. Методичні підходи до обґрунтування сучасної функціонально-організаційної системи попередження дитячої смертності в Україні. Економіка і право охорони здоров'я України. 2018. № 2(8). С. 138. (Маркери оцінки якості життя через призму громадського здоров’я: матеріали учасників конф. (Ужгород, 8-9 лист. 2018 р.). </w:t>
      </w:r>
    </w:p>
    <w:p w:rsidR="00B36FC6" w:rsidRPr="00231499" w:rsidRDefault="00B36FC6" w:rsidP="00B36FC6">
      <w:pPr>
        <w:pStyle w:val="a5"/>
        <w:widowControl w:val="0"/>
        <w:numPr>
          <w:ilvl w:val="0"/>
          <w:numId w:val="50"/>
        </w:numPr>
        <w:shd w:val="clear" w:color="auto" w:fill="FFFFFF"/>
        <w:spacing w:after="200"/>
        <w:rPr>
          <w:szCs w:val="28"/>
          <w:lang w:eastAsia="ru-RU"/>
        </w:rPr>
      </w:pPr>
      <w:r w:rsidRPr="00231499">
        <w:rPr>
          <w:szCs w:val="28"/>
          <w:lang w:eastAsia="ru-RU"/>
        </w:rPr>
        <w:lastRenderedPageBreak/>
        <w:t xml:space="preserve">Слабкий Г. О., Дудник С. В. Щодо функціонально-організаційної системи попередження дитячої смертності. Впровадження сучасних досягнень медичної науки у практику охорони здоров'я України: матеріали VIII Міжнародного Медичного Конгресу (Київ, 17–19 квіт. 2019 р.). Київ, 2019. С. 6.  </w:t>
      </w:r>
    </w:p>
    <w:p w:rsidR="001607E7" w:rsidRPr="001607E7" w:rsidRDefault="001607E7" w:rsidP="001607E7">
      <w:pPr>
        <w:pStyle w:val="a5"/>
        <w:numPr>
          <w:ilvl w:val="0"/>
          <w:numId w:val="50"/>
        </w:numPr>
      </w:pPr>
      <w:r w:rsidRPr="001607E7">
        <w:t xml:space="preserve">Слабкий Г. О., Габорець Ю. Ю., Дудіна О. О., Дудник С. В., Рогач І. М., Качала Л. О. До питання ефективності медичної допомоги новонародженим недоношеним дітям в Україні. Матеріали 71-ї наук. конф. професорського-викладац.cкладу УЖНУ (Ужгород,  27–28 лют. 2017 р.) / Факультет післядипломної освіти та доуніверситетської підготовки. Ужгород: РІК-У, 2017. С. 50–51. </w:t>
      </w:r>
    </w:p>
    <w:p w:rsidR="00911B16" w:rsidRPr="00323132" w:rsidRDefault="00281E1C" w:rsidP="00323132">
      <w:pPr>
        <w:widowControl w:val="0"/>
        <w:numPr>
          <w:ilvl w:val="0"/>
          <w:numId w:val="50"/>
        </w:numPr>
      </w:pPr>
      <w:r w:rsidRPr="00A941C4">
        <w:rPr>
          <w:rFonts w:eastAsia="Times New Roman"/>
          <w:szCs w:val="28"/>
          <w:lang w:val="ru-RU" w:eastAsia="ru-RU"/>
        </w:rPr>
        <w:t xml:space="preserve">Слабкий Г. О., Дудник С. В. До питання сучасного стану деяких соціально-економічних детермінант дитячої смертності в Україні. Перинатология и педиатрия. Украина. 2018. № 4 (76). С. 78–86. </w:t>
      </w:r>
    </w:p>
    <w:p w:rsidR="00323132" w:rsidRPr="00231499" w:rsidRDefault="00323132" w:rsidP="00323132">
      <w:pPr>
        <w:pStyle w:val="a5"/>
        <w:widowControl w:val="0"/>
        <w:numPr>
          <w:ilvl w:val="0"/>
          <w:numId w:val="50"/>
        </w:numPr>
        <w:shd w:val="clear" w:color="auto" w:fill="FFFFFF"/>
        <w:spacing w:after="200"/>
        <w:rPr>
          <w:szCs w:val="28"/>
          <w:lang w:eastAsia="ru-RU"/>
        </w:rPr>
      </w:pPr>
      <w:r w:rsidRPr="00231499">
        <w:rPr>
          <w:szCs w:val="28"/>
          <w:lang w:eastAsia="ru-RU"/>
        </w:rPr>
        <w:t xml:space="preserve">Слабкий Г. О., Дудник С. В. Щодо детермінант дитячої смертності за даними соціологічного опитування. </w:t>
      </w:r>
      <w:r w:rsidRPr="00231499">
        <w:rPr>
          <w:szCs w:val="28"/>
          <w:lang w:val="en-US" w:eastAsia="ru-RU"/>
        </w:rPr>
        <w:t>Advances of science: Proceedings of articles the international scientific conference (Czech Republic, Karlovy Vary, Ukraine, Kyiv, 27 June 2019) / Ed. Prof. L. N. Katjuhin, I. A. Salov, I. S. Danilova, N. S. Burina. Czech Republic, Karlovy Vary, Ukraine, Kyiv. 2019. P. 99–103. [</w:t>
      </w:r>
      <w:r w:rsidRPr="00231499">
        <w:rPr>
          <w:szCs w:val="28"/>
          <w:lang w:eastAsia="ru-RU"/>
        </w:rPr>
        <w:t>Електронний</w:t>
      </w:r>
      <w:r w:rsidRPr="00231499">
        <w:rPr>
          <w:szCs w:val="28"/>
          <w:lang w:val="en-US" w:eastAsia="ru-RU"/>
        </w:rPr>
        <w:t xml:space="preserve"> </w:t>
      </w:r>
      <w:r w:rsidRPr="00231499">
        <w:rPr>
          <w:szCs w:val="28"/>
          <w:lang w:eastAsia="ru-RU"/>
        </w:rPr>
        <w:t>ресурс</w:t>
      </w:r>
      <w:r w:rsidRPr="00231499">
        <w:rPr>
          <w:szCs w:val="28"/>
          <w:lang w:val="en-US" w:eastAsia="ru-RU"/>
        </w:rPr>
        <w:t xml:space="preserve">] Electron. Txt. D. (1 </w:t>
      </w:r>
      <w:r w:rsidRPr="00231499">
        <w:rPr>
          <w:szCs w:val="28"/>
          <w:lang w:eastAsia="ru-RU"/>
        </w:rPr>
        <w:t>файл</w:t>
      </w:r>
      <w:r w:rsidRPr="00231499">
        <w:rPr>
          <w:szCs w:val="28"/>
          <w:lang w:val="en-US" w:eastAsia="ru-RU"/>
        </w:rPr>
        <w:t xml:space="preserve"> 6 MB). Czech Republic, Karlovy Vary: Skleněný Můstek, Ukraine, Kyiv: MCNIP, 2019. </w:t>
      </w:r>
    </w:p>
    <w:p w:rsidR="00323132" w:rsidRPr="005A3BCE" w:rsidRDefault="00323132" w:rsidP="00323132">
      <w:pPr>
        <w:widowControl w:val="0"/>
        <w:ind w:left="502"/>
      </w:pPr>
    </w:p>
    <w:p w:rsidR="00017E84" w:rsidRPr="00911B16" w:rsidRDefault="00017E84" w:rsidP="00911B16">
      <w:pPr>
        <w:sectPr w:rsidR="00017E84" w:rsidRPr="00911B16" w:rsidSect="00E242B0">
          <w:pgSz w:w="11906" w:h="16838"/>
          <w:pgMar w:top="1134" w:right="567" w:bottom="1134" w:left="1134" w:header="708" w:footer="708" w:gutter="0"/>
          <w:cols w:space="708"/>
          <w:docGrid w:linePitch="360"/>
        </w:sectPr>
      </w:pPr>
    </w:p>
    <w:p w:rsidR="000771F6" w:rsidRPr="005545B5" w:rsidRDefault="00017E84" w:rsidP="00252C51">
      <w:pPr>
        <w:pageBreakBefore/>
        <w:widowControl w:val="0"/>
        <w:spacing w:after="240"/>
        <w:jc w:val="center"/>
        <w:rPr>
          <w:b/>
        </w:rPr>
      </w:pPr>
      <w:r w:rsidRPr="00006A39">
        <w:rPr>
          <w:b/>
        </w:rPr>
        <w:lastRenderedPageBreak/>
        <w:t>ВИСНОВКИ</w:t>
      </w:r>
    </w:p>
    <w:p w:rsidR="00B02CF2" w:rsidRPr="00B02CF2" w:rsidRDefault="00B02CF2" w:rsidP="00B02CF2">
      <w:pPr>
        <w:widowControl w:val="0"/>
        <w:ind w:firstLine="709"/>
        <w:rPr>
          <w:rFonts w:eastAsia="Calibri"/>
          <w:szCs w:val="28"/>
        </w:rPr>
      </w:pPr>
      <w:r w:rsidRPr="00B02CF2">
        <w:rPr>
          <w:rFonts w:eastAsia="Calibri"/>
          <w:szCs w:val="28"/>
        </w:rPr>
        <w:t>У роботі вирішено актуальну науково-практичну проблему – обґрунтування, розробка та апробація окремих нових елементів інноваційної системи медико-соціальної допомоги дітям до 5 років життя в Україні, скерованої на зниження смертності дітей з визначенням основних змін в існуючий організації надання медичної допомоги дитячому населенню України, зокрема в її організаційній структурі, ресурсному забезпеченні, системі фінансування, інформаційній базі, технологіях та стандартах. Систему розроблено на підставі отриманих даних щодо встановлення причин відмінностей у показниках смертності та захворюваності дітей віком до 5 років життя, а також показника DALYs у порівнянні з країнами Європи, встановлення потенційних ризиків закладених у структурно-функціональній організації медичної допомоги дитячому населенню в Україні. Імплементація системи на національному, регіональному та локальному рівнях сприятиме збереженню здоров’я дитячого населення та зменшенню смертності дітей віком до 5 років життя, у тому числі й кількості відворотних випадків, і, як наслідок, підвищенню медичної, соціальної та економічної ефективності існуючої системи охорони здоров’я в цілому.</w:t>
      </w:r>
    </w:p>
    <w:p w:rsidR="00B02CF2" w:rsidRPr="00B02CF2" w:rsidRDefault="00B02CF2" w:rsidP="00B02CF2">
      <w:pPr>
        <w:widowControl w:val="0"/>
        <w:ind w:firstLine="709"/>
        <w:rPr>
          <w:rFonts w:eastAsia="Calibri"/>
          <w:szCs w:val="28"/>
        </w:rPr>
      </w:pPr>
      <w:r w:rsidRPr="00B02CF2">
        <w:rPr>
          <w:rFonts w:eastAsia="Calibri"/>
          <w:szCs w:val="28"/>
        </w:rPr>
        <w:t xml:space="preserve">1. Аналіз та узагальнення сучасних підходів до зниження показника смертності дітей віком до 5 років життя показали, що дане питання є одним із основних пріоритетів у розвитку національних систем охорони здоров’я розвинених країн світу та Цілей сталого розвитку, де розробляються та запроваджуються Національні плани дій </w:t>
      </w:r>
      <w:r w:rsidR="003728B0">
        <w:rPr>
          <w:rFonts w:eastAsia="Calibri"/>
          <w:szCs w:val="28"/>
        </w:rPr>
        <w:t>і</w:t>
      </w:r>
      <w:r w:rsidRPr="00B02CF2">
        <w:rPr>
          <w:rFonts w:eastAsia="Calibri"/>
          <w:szCs w:val="28"/>
        </w:rPr>
        <w:t>з попе</w:t>
      </w:r>
      <w:r w:rsidR="00FB7FCC">
        <w:rPr>
          <w:rFonts w:eastAsia="Calibri"/>
          <w:szCs w:val="28"/>
        </w:rPr>
        <w:t>редження випадків смерті дітей у</w:t>
      </w:r>
      <w:r w:rsidRPr="00B02CF2">
        <w:rPr>
          <w:rFonts w:eastAsia="Calibri"/>
          <w:szCs w:val="28"/>
        </w:rPr>
        <w:t xml:space="preserve"> рамках ініціативи ВООЗ «Кожна жінка, кожна дитина», у той час, як в Україні зниженню смертності та запобіганню відворотних випадків смерті приділено недостатню увагу, що потребує обґрунтування, розробки та реалізації інноваційної системи медико-соціальної допомоги дітям до 5</w:t>
      </w:r>
      <w:r w:rsidR="00EC1CEE">
        <w:rPr>
          <w:rFonts w:eastAsia="Calibri"/>
          <w:szCs w:val="28"/>
        </w:rPr>
        <w:t> </w:t>
      </w:r>
      <w:r w:rsidRPr="00B02CF2">
        <w:rPr>
          <w:rFonts w:eastAsia="Calibri"/>
          <w:szCs w:val="28"/>
        </w:rPr>
        <w:t>років життя.</w:t>
      </w:r>
    </w:p>
    <w:p w:rsidR="00B02CF2" w:rsidRPr="00B02CF2" w:rsidRDefault="00B02CF2" w:rsidP="00B02CF2">
      <w:pPr>
        <w:widowControl w:val="0"/>
        <w:ind w:firstLine="709"/>
        <w:rPr>
          <w:rFonts w:eastAsia="Calibri"/>
          <w:szCs w:val="28"/>
        </w:rPr>
      </w:pPr>
      <w:r w:rsidRPr="00B02CF2">
        <w:rPr>
          <w:rFonts w:eastAsia="Calibri"/>
          <w:szCs w:val="28"/>
        </w:rPr>
        <w:t>2. Виявлено достовірне зниження за час спостереження рівн</w:t>
      </w:r>
      <w:r w:rsidR="00A91049">
        <w:rPr>
          <w:rFonts w:eastAsia="Calibri"/>
          <w:szCs w:val="28"/>
        </w:rPr>
        <w:t>я смертності дітей віком до 5</w:t>
      </w:r>
      <w:r w:rsidR="00CD3713">
        <w:rPr>
          <w:rFonts w:eastAsia="Calibri"/>
          <w:szCs w:val="28"/>
        </w:rPr>
        <w:t xml:space="preserve"> років життя з 9,3 до 8,3 </w:t>
      </w:r>
      <w:r w:rsidR="00CD3713" w:rsidRPr="00CD3713">
        <w:rPr>
          <w:rFonts w:eastAsia="Calibri"/>
          <w:szCs w:val="28"/>
        </w:rPr>
        <w:t>у</w:t>
      </w:r>
      <w:r w:rsidRPr="00B02CF2">
        <w:rPr>
          <w:rFonts w:eastAsia="Calibri"/>
          <w:szCs w:val="28"/>
        </w:rPr>
        <w:t xml:space="preserve"> розрахунку на 1000 дітей відповідного віку </w:t>
      </w:r>
      <w:r w:rsidRPr="00B02CF2">
        <w:rPr>
          <w:rFonts w:eastAsia="Calibri"/>
          <w:szCs w:val="28"/>
        </w:rPr>
        <w:lastRenderedPageBreak/>
        <w:t>(ВШ</w:t>
      </w:r>
      <w:r w:rsidR="00590FDD">
        <w:rPr>
          <w:rFonts w:eastAsia="Calibri"/>
          <w:szCs w:val="28"/>
        </w:rPr>
        <w:t> </w:t>
      </w:r>
      <w:r w:rsidRPr="00B02CF2">
        <w:rPr>
          <w:rFonts w:eastAsia="Calibri"/>
          <w:szCs w:val="28"/>
        </w:rPr>
        <w:t>0,79; р&lt;0,001), її деяких складових, зокрема малюкової смертності з 7,8 до 7,0 (ВШ</w:t>
      </w:r>
      <w:r w:rsidR="00590FDD">
        <w:rPr>
          <w:rFonts w:eastAsia="Calibri"/>
          <w:szCs w:val="28"/>
        </w:rPr>
        <w:t> </w:t>
      </w:r>
      <w:r w:rsidRPr="00B02CF2">
        <w:rPr>
          <w:rFonts w:eastAsia="Calibri"/>
          <w:szCs w:val="28"/>
        </w:rPr>
        <w:t>0,97, р=0</w:t>
      </w:r>
      <w:r w:rsidR="00530617">
        <w:rPr>
          <w:rFonts w:eastAsia="Calibri"/>
          <w:szCs w:val="28"/>
        </w:rPr>
        <w:t>,0002) у</w:t>
      </w:r>
      <w:r w:rsidRPr="00B02CF2">
        <w:rPr>
          <w:rFonts w:eastAsia="Calibri"/>
          <w:szCs w:val="28"/>
        </w:rPr>
        <w:t xml:space="preserve"> розрахунку на 1000 осіб відповідного віку, а також показника DALYs у випа</w:t>
      </w:r>
      <w:r w:rsidR="00530617">
        <w:rPr>
          <w:rFonts w:eastAsia="Calibri"/>
          <w:szCs w:val="28"/>
        </w:rPr>
        <w:t>дку смертності дітей віком до 5</w:t>
      </w:r>
      <w:r w:rsidRPr="00B02CF2">
        <w:rPr>
          <w:rFonts w:eastAsia="Calibri"/>
          <w:szCs w:val="28"/>
        </w:rPr>
        <w:t xml:space="preserve"> років життя в Україні за всіма причинами з 21</w:t>
      </w:r>
      <w:r w:rsidRPr="00B02CF2">
        <w:rPr>
          <w:rFonts w:eastAsia="Calibri"/>
          <w:szCs w:val="28"/>
          <w:lang w:val="en-US"/>
        </w:rPr>
        <w:t> </w:t>
      </w:r>
      <w:r w:rsidRPr="00B02CF2">
        <w:rPr>
          <w:rFonts w:eastAsia="Calibri"/>
          <w:szCs w:val="28"/>
        </w:rPr>
        <w:t>673,59 до 17 185,91 втрачених років життя в розрахунку на 100 тис. осіб (р&lt;0,001) на тлі значного переважання вказаних показників над аналогічними референтних країн: Польщі, Іспанії, Німеччині, Англії, Естонії, Латвії та Литви. Встановлено сталі статеві диспропорції показника смертності, відмінності в структурі за місцем проживання та статтю, сталі регіональні диспропорції, оскільки міжквартильні інтервали вказаних показників не зменшуються (для показника смертності дітей віком до 5 років – Ме=186,7; МКІ=40,6 у</w:t>
      </w:r>
      <w:r w:rsidR="004C5556">
        <w:rPr>
          <w:rFonts w:eastAsia="Calibri"/>
          <w:szCs w:val="28"/>
        </w:rPr>
        <w:t xml:space="preserve"> 2014 р. та Ме=151,5; МКІ=40,4 </w:t>
      </w:r>
      <w:r w:rsidR="004C5556" w:rsidRPr="004C5556">
        <w:rPr>
          <w:rFonts w:eastAsia="Calibri"/>
          <w:szCs w:val="28"/>
        </w:rPr>
        <w:t>у</w:t>
      </w:r>
      <w:r w:rsidRPr="00B02CF2">
        <w:rPr>
          <w:rFonts w:eastAsia="Calibri"/>
          <w:szCs w:val="28"/>
        </w:rPr>
        <w:t xml:space="preserve"> розрахунку на 100 тис. дітей відповідного віку у 2018 р. і для малюкової смертності – Ме=7,5</w:t>
      </w:r>
      <w:r w:rsidR="004C5556">
        <w:rPr>
          <w:rFonts w:eastAsia="Calibri"/>
          <w:szCs w:val="28"/>
        </w:rPr>
        <w:t xml:space="preserve">9; МКІ=1,47 та Ме=7,0; МКІ=1,7 </w:t>
      </w:r>
      <w:r w:rsidR="004C5556" w:rsidRPr="004C5556">
        <w:rPr>
          <w:rFonts w:eastAsia="Calibri"/>
          <w:szCs w:val="28"/>
        </w:rPr>
        <w:t>у</w:t>
      </w:r>
      <w:r w:rsidRPr="00B02CF2">
        <w:rPr>
          <w:rFonts w:eastAsia="Calibri"/>
          <w:szCs w:val="28"/>
        </w:rPr>
        <w:t xml:space="preserve"> розрахунку на 1000 дітей народжених живими); незмінна причинна структура як показника смертності дітей віком до 5 років життя, так і показника малюкової смертності, при цьому перші три рейтингові місця залишаються сталими: для показника смертності </w:t>
      </w:r>
      <w:r w:rsidR="00992BED">
        <w:rPr>
          <w:rFonts w:eastAsia="Calibri"/>
          <w:szCs w:val="28"/>
        </w:rPr>
        <w:t xml:space="preserve">дітей віком до 5 років життя: </w:t>
      </w:r>
      <w:r w:rsidRPr="00B02CF2">
        <w:rPr>
          <w:rFonts w:eastAsia="Calibri"/>
          <w:szCs w:val="28"/>
        </w:rPr>
        <w:t>розлади у матері, що пов’язані з вагітністю та неонатальні розлади, інші неінфекційні хвороби та ненавмисні травми.</w:t>
      </w:r>
    </w:p>
    <w:p w:rsidR="00B02CF2" w:rsidRPr="00B02CF2" w:rsidRDefault="00B02CF2" w:rsidP="00B02CF2">
      <w:pPr>
        <w:widowControl w:val="0"/>
        <w:ind w:firstLine="709"/>
        <w:rPr>
          <w:rFonts w:eastAsia="Calibri"/>
          <w:szCs w:val="28"/>
        </w:rPr>
      </w:pPr>
      <w:r w:rsidRPr="00B02CF2">
        <w:rPr>
          <w:rFonts w:eastAsia="Calibri"/>
          <w:szCs w:val="28"/>
        </w:rPr>
        <w:t>3. Показано, що не зважаючи на достовірне зниження показника смертності поза стаціонаром дітей віком до 1-го року життя, які перебували під наглядом дитячих поліклінічних закладів сфери управління МОЗ України, з 1,36 до 0,89 з розрахунку на 1000 дітей відповідного віку (ВШ 0,77 (95% ДІ 0,67-0,89, р&lt;0,001), зберігаються: суттєві варіації даного показника за окремими адміністративними територіями (відповідні МКІ=0,7 та 0,74), стала причинна структура (перші рейтингові місця: травми, отруєння та деякі інші наслідки дії зовнішніх причин (І місце), симптоми, ознаки та відхилення від норми (ІІ місце), хвороби органів дихання (ІІІ місце), а також частки дітей, які помирають поза стаціонару, у загальній кількості померлих дітей, які перебували під наглядом дитячих поліклінічних закладів сфери управління МОЗ України (40,94% та 43,8%, р=0,409).</w:t>
      </w:r>
    </w:p>
    <w:p w:rsidR="00B02CF2" w:rsidRPr="00B02CF2" w:rsidRDefault="00B02CF2" w:rsidP="00B02CF2">
      <w:pPr>
        <w:widowControl w:val="0"/>
        <w:ind w:firstLine="709"/>
        <w:rPr>
          <w:rFonts w:eastAsia="Calibri"/>
          <w:szCs w:val="28"/>
        </w:rPr>
      </w:pPr>
      <w:r w:rsidRPr="00B02CF2">
        <w:rPr>
          <w:rFonts w:eastAsia="Calibri"/>
          <w:szCs w:val="28"/>
        </w:rPr>
        <w:lastRenderedPageBreak/>
        <w:t>4. Доведено достовірне зниження за період дослідження показника захворюваності дітей віком до 6 років життя з 1545,44 до 1455,94 в розрахунку на 1000 дітей відповідного віку (р&lt;0,001) поряд зі зростанням рівня народження хворими і захворілими новонароджених на 10,5% (з 149,4‰ до 165,59‰); збільшення показника захворюваності за класом «симптоми, ознаки та відхилення від норми, що виявлені при клінічних та лабораторних дослідженнях, не класифіковані в інших рубриках» (ВШ</w:t>
      </w:r>
      <w:r w:rsidR="00CA08BB">
        <w:rPr>
          <w:rFonts w:eastAsia="Calibri"/>
          <w:szCs w:val="28"/>
          <w:lang w:val="ru-RU"/>
        </w:rPr>
        <w:t> </w:t>
      </w:r>
      <w:r w:rsidRPr="00B02CF2">
        <w:rPr>
          <w:rFonts w:eastAsia="Calibri"/>
          <w:szCs w:val="28"/>
        </w:rPr>
        <w:t>1,055 [95% ДІ 1,023-1,088], р=0005) та зменшення за класами: розлади психіки та поведінки (ВШ 0,774, р&lt;0,001), хвороби систему кровообігу (ВШ 0,736, р&lt;0,001]) та деякі інфекційні та паразитарні хвороби (ВШ 0,818, р&lt;0,001); негативний достовірний зв’язок між показником захворюваності та показником смертності дітей відповідного віку за регресією Пуасона (</w:t>
      </w:r>
      <w:r w:rsidRPr="00B02CF2">
        <w:rPr>
          <w:rFonts w:eastAsia="Calibri"/>
          <w:szCs w:val="28"/>
          <w:lang w:val="en-US"/>
        </w:rPr>
        <w:t>Coef</w:t>
      </w:r>
      <w:r w:rsidRPr="00B02CF2">
        <w:rPr>
          <w:rFonts w:eastAsia="Calibri"/>
          <w:szCs w:val="28"/>
        </w:rPr>
        <w:t>. -0,000438, р&lt;0,001) та нижчі рівні показника захворюваності порівняно з розвиненими країнами світу, що, у свою чергу, дає підстави вважати, що в Україні дійсний рівень захворюваності дітей віком до 6 років життя є вищим за офіційні статистичні дані, внаслідок низького виявлення захворювань, у т.ч. через недостатні діагностичні можливості лікаря встановлювати основний діагноз, та недосконалої системи звітування на галузевому</w:t>
      </w:r>
      <w:r>
        <w:rPr>
          <w:rFonts w:eastAsia="Calibri"/>
          <w:szCs w:val="28"/>
        </w:rPr>
        <w:t xml:space="preserve"> рівні.</w:t>
      </w:r>
    </w:p>
    <w:p w:rsidR="0008180F" w:rsidRPr="0008180F" w:rsidRDefault="00B02CF2" w:rsidP="0008180F">
      <w:pPr>
        <w:widowControl w:val="0"/>
        <w:ind w:firstLine="709"/>
        <w:rPr>
          <w:rFonts w:eastAsia="Calibri"/>
          <w:szCs w:val="28"/>
        </w:rPr>
      </w:pPr>
      <w:r w:rsidRPr="00B02CF2">
        <w:rPr>
          <w:rFonts w:eastAsia="Calibri"/>
          <w:szCs w:val="28"/>
        </w:rPr>
        <w:t>5. Встановлено, що на тлі зростання кількості закладів ПМСД, які надають допомогу дитячому населенню, зменшились обсяги застосування сучасних фінансово-незатра</w:t>
      </w:r>
      <w:r w:rsidR="00C55E28">
        <w:rPr>
          <w:rFonts w:eastAsia="Calibri"/>
          <w:szCs w:val="28"/>
        </w:rPr>
        <w:t>тних організаційних технологій (</w:t>
      </w:r>
      <w:r w:rsidRPr="00B02CF2">
        <w:rPr>
          <w:rFonts w:eastAsia="Calibri"/>
          <w:szCs w:val="28"/>
        </w:rPr>
        <w:t>денних стаціонарів</w:t>
      </w:r>
      <w:r w:rsidR="00C55E28">
        <w:rPr>
          <w:rFonts w:eastAsia="Calibri"/>
          <w:szCs w:val="28"/>
        </w:rPr>
        <w:t>)</w:t>
      </w:r>
      <w:r w:rsidRPr="00B02CF2">
        <w:rPr>
          <w:rFonts w:eastAsia="Calibri"/>
          <w:szCs w:val="28"/>
        </w:rPr>
        <w:t>, що підтверджується зниженням рівня забезпеченості дитячого населення ліжками денного стаціонару на 15,5% (з 7,98 на 10 тис. дитячого населення у 2013 р. до 6,74 відповідно у 2017 р.) при тенденції до зростання рівня пролікованих дітей на 1000 захворювань на 1,73% з 16,15 до 16,43 відповідно та</w:t>
      </w:r>
      <w:r w:rsidRPr="00B02CF2">
        <w:rPr>
          <w:rFonts w:eastAsia="Calibri"/>
          <w:b/>
          <w:szCs w:val="28"/>
        </w:rPr>
        <w:t xml:space="preserve"> </w:t>
      </w:r>
      <w:r w:rsidRPr="00B02CF2">
        <w:rPr>
          <w:rFonts w:eastAsia="Calibri"/>
          <w:szCs w:val="28"/>
        </w:rPr>
        <w:t>показника пролікованих дітей на одному ліжку денного стаціонару  на 0,66% з 42,3 до 42,58, на тлі скорочення кількості дитячих стаціонарних ліжок цілодобового спостереження на 21,5% (з 51382 ліжка у 2013 р. до 40312 у 201</w:t>
      </w:r>
      <w:r w:rsidR="003815C1">
        <w:rPr>
          <w:rFonts w:eastAsia="Calibri"/>
          <w:szCs w:val="28"/>
        </w:rPr>
        <w:t xml:space="preserve">8 р.) за більшістю профілями </w:t>
      </w:r>
      <w:r w:rsidRPr="00B02CF2">
        <w:rPr>
          <w:rFonts w:eastAsia="Calibri"/>
          <w:szCs w:val="28"/>
        </w:rPr>
        <w:t>надання</w:t>
      </w:r>
      <w:r w:rsidR="003815C1">
        <w:rPr>
          <w:rFonts w:eastAsia="Calibri"/>
          <w:szCs w:val="28"/>
        </w:rPr>
        <w:t xml:space="preserve"> медичної допомоги</w:t>
      </w:r>
      <w:r w:rsidRPr="00B02CF2">
        <w:rPr>
          <w:rFonts w:eastAsia="Calibri"/>
          <w:szCs w:val="28"/>
        </w:rPr>
        <w:t xml:space="preserve">; сталої інтенсивності роботи дитячих ліжок (середньорічна зайнятість ліжка 312,36 днів на рік у 2013 р. та 302,5 у 2018 р. – відповідно), при цьому встановлені достовірні зв’язки між смертністю </w:t>
      </w:r>
      <w:r w:rsidRPr="00B02CF2">
        <w:rPr>
          <w:rFonts w:eastAsia="Calibri"/>
          <w:szCs w:val="28"/>
        </w:rPr>
        <w:lastRenderedPageBreak/>
        <w:t>дітей віком до 5</w:t>
      </w:r>
      <w:r w:rsidR="00181AA5">
        <w:rPr>
          <w:lang w:val="ru-RU"/>
        </w:rPr>
        <w:t> </w:t>
      </w:r>
      <w:r w:rsidRPr="00B02CF2">
        <w:rPr>
          <w:rFonts w:eastAsia="Calibri"/>
          <w:szCs w:val="28"/>
        </w:rPr>
        <w:t>років життя та такими показниками як кількість пролікованих дітей у розрахунку на 1000 захворювань (</w:t>
      </w:r>
      <w:r w:rsidRPr="00B02CF2">
        <w:rPr>
          <w:rFonts w:eastAsia="Calibri"/>
          <w:szCs w:val="28"/>
          <w:lang w:val="en-US"/>
        </w:rPr>
        <w:t>Coef</w:t>
      </w:r>
      <w:r w:rsidRPr="00B02CF2">
        <w:rPr>
          <w:rFonts w:eastAsia="Calibri"/>
          <w:szCs w:val="28"/>
        </w:rPr>
        <w:t>. 0,0092, &lt;0,001), кількість пролікованих дітей у розрахунку на одне ліжко денного стаціонару (</w:t>
      </w:r>
      <w:r w:rsidRPr="00B02CF2">
        <w:rPr>
          <w:rFonts w:eastAsia="Calibri"/>
          <w:szCs w:val="28"/>
          <w:lang w:val="en-US"/>
        </w:rPr>
        <w:t>Coef</w:t>
      </w:r>
      <w:r w:rsidRPr="00B02CF2">
        <w:rPr>
          <w:rFonts w:eastAsia="Calibri"/>
          <w:szCs w:val="28"/>
        </w:rPr>
        <w:t>. 0,001, р=0,038) та часткою дітей переведених з одного закладу в інший (</w:t>
      </w:r>
      <w:r w:rsidRPr="00B02CF2">
        <w:rPr>
          <w:rFonts w:eastAsia="Calibri"/>
          <w:szCs w:val="28"/>
          <w:lang w:val="en-US"/>
        </w:rPr>
        <w:t>Coef</w:t>
      </w:r>
      <w:r w:rsidRPr="00B02CF2">
        <w:rPr>
          <w:rFonts w:eastAsia="Calibri"/>
          <w:szCs w:val="28"/>
        </w:rPr>
        <w:t>. 1,004; р&lt;0,001). Виявлено відсутність динаміки медіанного значення показника забезпеченості лікарями-педіатрами (Ме=1,3 та Ме=1,14 з розрахунку на 1000 дітей, р=0,256), показника укомплектованості ЗОЗ фізичними особами лікарями-педіатрами 73,89% та 75,29% (р=0,9304), при цьому зі зниженням смертності дітей віком до 5 років життя достовірно асоціюється такий показник як забезпеченість лікарями-педіатрами (</w:t>
      </w:r>
      <w:r w:rsidRPr="00B02CF2">
        <w:rPr>
          <w:rFonts w:eastAsia="Calibri"/>
          <w:szCs w:val="28"/>
          <w:lang w:val="en-US"/>
        </w:rPr>
        <w:t>Coef</w:t>
      </w:r>
      <w:r w:rsidRPr="00B02CF2">
        <w:rPr>
          <w:rFonts w:eastAsia="Calibri"/>
          <w:szCs w:val="28"/>
        </w:rPr>
        <w:t>. 0,739; р&lt;0,001), укомплектованість середнім медичним персоналом неонатальних відділень (</w:t>
      </w:r>
      <w:r w:rsidRPr="00B02CF2">
        <w:rPr>
          <w:rFonts w:eastAsia="Calibri"/>
          <w:szCs w:val="28"/>
          <w:lang w:val="en-US"/>
        </w:rPr>
        <w:t>Coef</w:t>
      </w:r>
      <w:r w:rsidRPr="00B02CF2">
        <w:rPr>
          <w:rFonts w:eastAsia="Calibri"/>
          <w:szCs w:val="28"/>
        </w:rPr>
        <w:t xml:space="preserve">. 0,997; р=0,032), проте не асоціюються укомплектованість ВІТН як лікарями, так і медсестрами (відповідні </w:t>
      </w:r>
      <w:r w:rsidRPr="00B02CF2">
        <w:rPr>
          <w:rFonts w:eastAsia="Calibri"/>
          <w:szCs w:val="28"/>
          <w:lang w:val="en-US"/>
        </w:rPr>
        <w:t>Coef</w:t>
      </w:r>
      <w:r w:rsidRPr="00B02CF2">
        <w:rPr>
          <w:rFonts w:eastAsia="Calibri"/>
          <w:szCs w:val="28"/>
        </w:rPr>
        <w:t xml:space="preserve">. 0,998; р=0,178 та </w:t>
      </w:r>
      <w:r w:rsidRPr="00B02CF2">
        <w:rPr>
          <w:rFonts w:eastAsia="Calibri"/>
          <w:szCs w:val="28"/>
          <w:lang w:val="en-US"/>
        </w:rPr>
        <w:t>Coef</w:t>
      </w:r>
      <w:r w:rsidR="0008180F">
        <w:rPr>
          <w:rFonts w:eastAsia="Calibri"/>
          <w:szCs w:val="28"/>
        </w:rPr>
        <w:t xml:space="preserve">. 0,999; р=0,267). </w:t>
      </w:r>
    </w:p>
    <w:p w:rsidR="0008180F" w:rsidRPr="0008180F" w:rsidRDefault="0008180F" w:rsidP="0008180F">
      <w:pPr>
        <w:widowControl w:val="0"/>
        <w:ind w:firstLine="709"/>
        <w:rPr>
          <w:rFonts w:eastAsia="Calibri"/>
          <w:szCs w:val="28"/>
        </w:rPr>
      </w:pPr>
      <w:r w:rsidRPr="0008180F">
        <w:rPr>
          <w:rFonts w:eastAsia="Calibri"/>
          <w:szCs w:val="28"/>
        </w:rPr>
        <w:t xml:space="preserve">6. </w:t>
      </w:r>
      <w:r w:rsidR="00B02CF2" w:rsidRPr="00B02CF2">
        <w:rPr>
          <w:rFonts w:eastAsia="Calibri"/>
          <w:szCs w:val="28"/>
        </w:rPr>
        <w:t xml:space="preserve">Встановлено недостатній рівень теоретичних знань та практичних навичок лікарів загальної практики-сімейних лікарів </w:t>
      </w:r>
      <w:r w:rsidR="00D858DD">
        <w:rPr>
          <w:rFonts w:eastAsia="Calibri"/>
          <w:szCs w:val="28"/>
        </w:rPr>
        <w:t>і</w:t>
      </w:r>
      <w:r w:rsidR="00B02CF2" w:rsidRPr="00B02CF2">
        <w:rPr>
          <w:rFonts w:eastAsia="Calibri"/>
          <w:szCs w:val="28"/>
        </w:rPr>
        <w:t>з питань запобіг</w:t>
      </w:r>
      <w:r w:rsidR="00347281">
        <w:rPr>
          <w:rFonts w:eastAsia="Calibri"/>
          <w:szCs w:val="28"/>
        </w:rPr>
        <w:t xml:space="preserve">ання смерті дітей віком до </w:t>
      </w:r>
      <w:r w:rsidR="00347281" w:rsidRPr="00347281">
        <w:rPr>
          <w:rFonts w:eastAsia="Calibri"/>
          <w:szCs w:val="28"/>
        </w:rPr>
        <w:t>5</w:t>
      </w:r>
      <w:r w:rsidR="00B02CF2" w:rsidRPr="00B02CF2">
        <w:rPr>
          <w:rFonts w:eastAsia="Calibri"/>
          <w:szCs w:val="28"/>
        </w:rPr>
        <w:t xml:space="preserve"> років життя, оскільки 67,75±2,3% з них вказали на недостатню теоретичну підготовку та 70,25±2,3% лікарів – на недостатню практичну підготовку з надання допомоги при виникненні станів, що загрожують життю дітей (при опіку дихальних шляхів 79,75±2,0% та 77,25±2,1% відповідно, при крупі – 78,0±2,1% та 84,0±1,8% відповідно, падінні з висоти – 56,0±2,5%, черепно-мозковій травмі – 59,0±2,5% та 56,5±2,5% відповідно, враженні електричним струмом 48,0±2,5% та 52,0±2,5% відповідно), на тлі низької обізнаності респондентів</w:t>
      </w:r>
      <w:r w:rsidR="000D7D4D">
        <w:rPr>
          <w:rFonts w:eastAsia="Calibri"/>
          <w:szCs w:val="28"/>
        </w:rPr>
        <w:t>-батьків (менше 39,5%) з такти</w:t>
      </w:r>
      <w:r w:rsidR="000D7D4D" w:rsidRPr="000D7D4D">
        <w:rPr>
          <w:rFonts w:eastAsia="Calibri"/>
          <w:szCs w:val="28"/>
        </w:rPr>
        <w:t>ки</w:t>
      </w:r>
      <w:r w:rsidR="00B02CF2" w:rsidRPr="00B02CF2">
        <w:rPr>
          <w:rFonts w:eastAsia="Calibri"/>
          <w:szCs w:val="28"/>
        </w:rPr>
        <w:t xml:space="preserve"> дій при переважній більшості загрозливих для життя дітей станів. Якщо для лікарів загальної практики-сімейних лікарів основними шляхами отримання інформації є курси тематичного вдосконалення (67,25±2,3%), спеціальні короткотривалі тренінги (66,0±2,4%), стажування на робочому місці (51,75±2,5%), то для батьків – інтернет-ресурс, телебачення, інші батьки та колеги, при цьому лише 21,25±2,0% ЛЗП-СЛ організовували школу відповідального батьківства і 15,75±1,8% респондентів проводили навчання батьків тактиці дій при </w:t>
      </w:r>
      <w:r>
        <w:rPr>
          <w:rFonts w:eastAsia="Calibri"/>
          <w:szCs w:val="28"/>
        </w:rPr>
        <w:t>загрозливих життю дітей станах.</w:t>
      </w:r>
    </w:p>
    <w:p w:rsidR="0008180F" w:rsidRPr="0008180F" w:rsidRDefault="0008180F" w:rsidP="0008180F">
      <w:pPr>
        <w:widowControl w:val="0"/>
        <w:ind w:firstLine="709"/>
        <w:rPr>
          <w:rFonts w:eastAsia="Calibri"/>
          <w:szCs w:val="28"/>
        </w:rPr>
      </w:pPr>
      <w:r>
        <w:rPr>
          <w:rFonts w:eastAsia="Calibri"/>
          <w:szCs w:val="28"/>
        </w:rPr>
        <w:lastRenderedPageBreak/>
        <w:t>7.</w:t>
      </w:r>
      <w:r w:rsidRPr="0008180F">
        <w:rPr>
          <w:rFonts w:eastAsia="Calibri"/>
          <w:szCs w:val="28"/>
        </w:rPr>
        <w:t xml:space="preserve"> </w:t>
      </w:r>
      <w:r w:rsidR="00B02CF2" w:rsidRPr="00B02CF2">
        <w:rPr>
          <w:rFonts w:eastAsia="Calibri"/>
          <w:szCs w:val="28"/>
        </w:rPr>
        <w:t>Обґрунтовано та розроблено методологію комплексної оцінки стану перинатальної допомоги в Україні – інструменту, який дозволяє своєчасно отримувати і комплексно аналізувати дані щодо стану регіоналізації перинатальної допомоги для</w:t>
      </w:r>
      <w:r w:rsidR="005D70C1">
        <w:rPr>
          <w:rFonts w:eastAsia="Calibri"/>
          <w:szCs w:val="28"/>
        </w:rPr>
        <w:t xml:space="preserve"> наступного прийняття або кориг</w:t>
      </w:r>
      <w:r w:rsidR="00B02CF2" w:rsidRPr="00B02CF2">
        <w:rPr>
          <w:rFonts w:eastAsia="Calibri"/>
          <w:szCs w:val="28"/>
        </w:rPr>
        <w:t>ування управлінських рішень, який включає індикатори якості з високим рівнем доказовості, систему моніторингу та методику оцінки, в основу якої покладено сумарне визначення результатів діяльності, яка виражається коефіцієнтом комплексної оцінки (ККО) та передбачає аналіз динамічних індикаторів якості (19 показників), нормативних значень даних показників та шкалу для чисельної оцінки результатів діяльності в балах з визначенням</w:t>
      </w:r>
      <w:r>
        <w:rPr>
          <w:rFonts w:eastAsia="Calibri"/>
          <w:szCs w:val="28"/>
        </w:rPr>
        <w:t xml:space="preserve"> відхилення на одиницю виміру.</w:t>
      </w:r>
    </w:p>
    <w:p w:rsidR="0008180F" w:rsidRPr="0008180F" w:rsidRDefault="0008180F" w:rsidP="0008180F">
      <w:pPr>
        <w:widowControl w:val="0"/>
        <w:ind w:firstLine="709"/>
        <w:rPr>
          <w:rFonts w:eastAsia="Calibri"/>
          <w:szCs w:val="28"/>
        </w:rPr>
      </w:pPr>
      <w:r>
        <w:rPr>
          <w:rFonts w:eastAsia="Calibri"/>
          <w:szCs w:val="28"/>
          <w:lang w:val="ru-RU"/>
        </w:rPr>
        <w:t xml:space="preserve">8. </w:t>
      </w:r>
      <w:r w:rsidR="00B02CF2" w:rsidRPr="00B02CF2">
        <w:rPr>
          <w:rFonts w:eastAsia="Calibri"/>
          <w:szCs w:val="28"/>
        </w:rPr>
        <w:t>Показано, що застосування запропонованої методології та моделей комплексної оцінки стану перинатальної допомоги дозволило визначити сумарну оцінку фактичних показників за основними компонентами в окремих адміністративних територіях, при цьому якщо в 2017 р. найнижче оцінено за компонентами КДР (Ме=0,74; Q</w:t>
      </w:r>
      <w:r w:rsidR="00B02CF2" w:rsidRPr="00B02CF2">
        <w:rPr>
          <w:rFonts w:eastAsia="Calibri"/>
          <w:szCs w:val="28"/>
          <w:vertAlign w:val="subscript"/>
        </w:rPr>
        <w:t>1</w:t>
      </w:r>
      <w:r w:rsidR="00B02CF2" w:rsidRPr="00B02CF2">
        <w:rPr>
          <w:rFonts w:eastAsia="Calibri"/>
          <w:szCs w:val="28"/>
        </w:rPr>
        <w:t>=0,7; Q</w:t>
      </w:r>
      <w:r w:rsidR="00B02CF2" w:rsidRPr="00B02CF2">
        <w:rPr>
          <w:rFonts w:eastAsia="Calibri"/>
          <w:szCs w:val="28"/>
          <w:vertAlign w:val="subscript"/>
        </w:rPr>
        <w:t>3</w:t>
      </w:r>
      <w:r w:rsidR="00B02CF2" w:rsidRPr="00B02CF2">
        <w:rPr>
          <w:rFonts w:eastAsia="Calibri"/>
          <w:szCs w:val="28"/>
        </w:rPr>
        <w:t>=0,8) та діяльності (Ме=0,75; Q</w:t>
      </w:r>
      <w:r w:rsidR="00B02CF2" w:rsidRPr="00B02CF2">
        <w:rPr>
          <w:rFonts w:eastAsia="Calibri"/>
          <w:szCs w:val="28"/>
          <w:vertAlign w:val="subscript"/>
        </w:rPr>
        <w:t>1</w:t>
      </w:r>
      <w:r w:rsidR="00B02CF2" w:rsidRPr="00B02CF2">
        <w:rPr>
          <w:rFonts w:eastAsia="Calibri"/>
          <w:szCs w:val="28"/>
        </w:rPr>
        <w:t>=0,66; Q</w:t>
      </w:r>
      <w:r w:rsidR="00B02CF2" w:rsidRPr="00B02CF2">
        <w:rPr>
          <w:rFonts w:eastAsia="Calibri"/>
          <w:szCs w:val="28"/>
          <w:vertAlign w:val="subscript"/>
        </w:rPr>
        <w:t>3</w:t>
      </w:r>
      <w:r w:rsidR="00B02CF2" w:rsidRPr="00B02CF2">
        <w:rPr>
          <w:rFonts w:eastAsia="Calibri"/>
          <w:szCs w:val="28"/>
        </w:rPr>
        <w:t>=0,78), то у 2018 р. – за компонентом результативності, який відносно 2017 р. залишився на тому ж самому рівні (Ме=0,77; Q</w:t>
      </w:r>
      <w:r w:rsidR="00B02CF2" w:rsidRPr="00B02CF2">
        <w:rPr>
          <w:rFonts w:eastAsia="Calibri"/>
          <w:szCs w:val="28"/>
          <w:vertAlign w:val="subscript"/>
        </w:rPr>
        <w:t>1</w:t>
      </w:r>
      <w:r w:rsidR="00B02CF2" w:rsidRPr="00B02CF2">
        <w:rPr>
          <w:rFonts w:eastAsia="Calibri"/>
          <w:szCs w:val="28"/>
        </w:rPr>
        <w:t>=0,67; Q</w:t>
      </w:r>
      <w:r w:rsidR="00B02CF2" w:rsidRPr="00B02CF2">
        <w:rPr>
          <w:rFonts w:eastAsia="Calibri"/>
          <w:szCs w:val="28"/>
          <w:vertAlign w:val="subscript"/>
        </w:rPr>
        <w:t>3</w:t>
      </w:r>
      <w:r w:rsidR="00B02CF2" w:rsidRPr="00B02CF2">
        <w:rPr>
          <w:rFonts w:eastAsia="Calibri"/>
          <w:szCs w:val="28"/>
        </w:rPr>
        <w:t>=0,85; р=0,6067), у той час як за усіма іншими компонентами відбулося їх достовірне збільшення: КДР (Ме=0,82; р=0,0002); компонент</w:t>
      </w:r>
      <w:r w:rsidR="00C155DF">
        <w:rPr>
          <w:rFonts w:eastAsia="Calibri"/>
          <w:szCs w:val="28"/>
        </w:rPr>
        <w:t xml:space="preserve"> забезпеченості кадрами (Ме=0,9</w:t>
      </w:r>
      <w:r w:rsidR="00C155DF">
        <w:rPr>
          <w:rFonts w:eastAsia="Calibri"/>
          <w:szCs w:val="28"/>
          <w:lang w:val="ru-RU"/>
        </w:rPr>
        <w:t>;</w:t>
      </w:r>
      <w:r w:rsidR="00C150B2">
        <w:rPr>
          <w:rFonts w:eastAsia="Calibri"/>
          <w:szCs w:val="28"/>
          <w:lang w:val="ru-RU"/>
        </w:rPr>
        <w:t xml:space="preserve"> </w:t>
      </w:r>
      <w:r w:rsidR="00677EA8">
        <w:rPr>
          <w:rFonts w:eastAsia="Calibri"/>
          <w:szCs w:val="28"/>
        </w:rPr>
        <w:t>р=0,008)</w:t>
      </w:r>
      <w:r w:rsidR="00B02CF2" w:rsidRPr="00B02CF2">
        <w:rPr>
          <w:rFonts w:eastAsia="Calibri"/>
          <w:szCs w:val="28"/>
        </w:rPr>
        <w:t xml:space="preserve"> та компонент діяльності (Ме=0,85; р&lt;0,001). На основі отриманих даних визначено 3 групи адміністративних територій з диференційованими заходами впливу: І група з високим рівнем коефіцієнта досягнення результатів (ККО ≥ 0,80), що свідчить про достатньо ефективну діяльність перинатальної служби, ІІ група</w:t>
      </w:r>
      <w:r w:rsidR="002B303D">
        <w:rPr>
          <w:rFonts w:eastAsia="Calibri"/>
          <w:szCs w:val="28"/>
        </w:rPr>
        <w:t xml:space="preserve"> –</w:t>
      </w:r>
      <w:r w:rsidR="00B02CF2" w:rsidRPr="00B02CF2">
        <w:rPr>
          <w:rFonts w:eastAsia="Calibri"/>
          <w:szCs w:val="28"/>
        </w:rPr>
        <w:t xml:space="preserve"> з вище середнього рівнем (ККО 0,7-0,79), що потребує посилення окремих компонентів діяльності закладів і установ перинатальної служби</w:t>
      </w:r>
      <w:r w:rsidR="00E06BF7" w:rsidRPr="00E06BF7">
        <w:rPr>
          <w:rFonts w:eastAsia="Calibri"/>
          <w:szCs w:val="28"/>
        </w:rPr>
        <w:t>,</w:t>
      </w:r>
      <w:r w:rsidR="00B02CF2" w:rsidRPr="00B02CF2">
        <w:rPr>
          <w:rFonts w:eastAsia="Calibri"/>
          <w:szCs w:val="28"/>
        </w:rPr>
        <w:t xml:space="preserve"> і ІІІ група проблемних регіонів </w:t>
      </w:r>
      <w:r w:rsidR="0007075F">
        <w:rPr>
          <w:rFonts w:eastAsia="Calibri"/>
          <w:szCs w:val="28"/>
        </w:rPr>
        <w:t>і</w:t>
      </w:r>
      <w:r w:rsidR="00B02CF2" w:rsidRPr="00B02CF2">
        <w:rPr>
          <w:rFonts w:eastAsia="Calibri"/>
          <w:szCs w:val="28"/>
        </w:rPr>
        <w:t>з середнім рівн</w:t>
      </w:r>
      <w:r w:rsidR="00C8672B">
        <w:rPr>
          <w:rFonts w:eastAsia="Calibri"/>
          <w:szCs w:val="28"/>
        </w:rPr>
        <w:t>ем (ККО 0,6-0,69), що потребує</w:t>
      </w:r>
      <w:r w:rsidR="00B02CF2" w:rsidRPr="00B02CF2">
        <w:rPr>
          <w:rFonts w:eastAsia="Calibri"/>
          <w:szCs w:val="28"/>
        </w:rPr>
        <w:t xml:space="preserve"> прийняття управлінських рішень з метою забезпечення більш ефективної діяльності закладів  перинатальної служби, при цьому найнижчу оцінку отримано за індикатором «коефіцієнт індексу неонат</w:t>
      </w:r>
      <w:r>
        <w:rPr>
          <w:rFonts w:eastAsia="Calibri"/>
          <w:szCs w:val="28"/>
        </w:rPr>
        <w:t>ального трансферу» (0,48-0,66).</w:t>
      </w:r>
    </w:p>
    <w:p w:rsidR="0008180F" w:rsidRPr="0008180F" w:rsidRDefault="0008180F" w:rsidP="0008180F">
      <w:pPr>
        <w:widowControl w:val="0"/>
        <w:ind w:firstLine="709"/>
        <w:rPr>
          <w:rFonts w:eastAsia="Calibri"/>
          <w:szCs w:val="28"/>
        </w:rPr>
      </w:pPr>
      <w:r w:rsidRPr="0008180F">
        <w:rPr>
          <w:rFonts w:eastAsia="Calibri"/>
          <w:szCs w:val="28"/>
        </w:rPr>
        <w:lastRenderedPageBreak/>
        <w:t xml:space="preserve">9. </w:t>
      </w:r>
      <w:r w:rsidR="00B02CF2" w:rsidRPr="00B02CF2">
        <w:rPr>
          <w:rFonts w:eastAsia="Calibri"/>
          <w:szCs w:val="28"/>
        </w:rPr>
        <w:t>За результатами дисертаційного дослідження обґрунтовано та розроблено інноваційну систему медико-соціальної допомоги дітям до 5 років життя в Україні, яка має 5 рівнів (владний, галузевий, міжсекторальни</w:t>
      </w:r>
      <w:r w:rsidR="00161FD9">
        <w:rPr>
          <w:rFonts w:eastAsia="Calibri"/>
          <w:szCs w:val="28"/>
        </w:rPr>
        <w:t>й, локальний/громада, сімейний),</w:t>
      </w:r>
      <w:r w:rsidR="00B02CF2" w:rsidRPr="00B02CF2">
        <w:rPr>
          <w:rFonts w:eastAsia="Calibri"/>
          <w:szCs w:val="28"/>
        </w:rPr>
        <w:t xml:space="preserve"> низку інноваційних структурно-організаційних елементів. Центральним елементом системи виступає дитина</w:t>
      </w:r>
      <w:r w:rsidR="00E95EAC">
        <w:rPr>
          <w:rFonts w:eastAsia="Calibri"/>
          <w:szCs w:val="28"/>
        </w:rPr>
        <w:t xml:space="preserve"> віком до 5</w:t>
      </w:r>
      <w:r w:rsidR="00B02CF2" w:rsidRPr="00B02CF2">
        <w:rPr>
          <w:rFonts w:eastAsia="Calibri"/>
          <w:szCs w:val="28"/>
        </w:rPr>
        <w:t xml:space="preserve"> років життя та її родина, що визначає пацієнтоорієнтованість та пацієнтоцентричність системи, </w:t>
      </w:r>
      <w:r w:rsidR="00B02CF2" w:rsidRPr="00B02CF2">
        <w:rPr>
          <w:rFonts w:eastAsia="Calibri"/>
          <w:i/>
          <w:szCs w:val="28"/>
        </w:rPr>
        <w:t>стратегічним</w:t>
      </w:r>
      <w:r w:rsidR="00B02CF2" w:rsidRPr="00B02CF2">
        <w:rPr>
          <w:rFonts w:eastAsia="Calibri"/>
          <w:szCs w:val="28"/>
        </w:rPr>
        <w:t xml:space="preserve"> напрямом системи є збереження здоров’я та життя дітей на сучасному етапі розвитку суспільства та реформування галузі ОЗ, </w:t>
      </w:r>
      <w:r w:rsidR="00B02CF2" w:rsidRPr="00B02CF2">
        <w:rPr>
          <w:rFonts w:eastAsia="Calibri"/>
          <w:i/>
          <w:szCs w:val="28"/>
        </w:rPr>
        <w:t xml:space="preserve">тактичним </w:t>
      </w:r>
      <w:r w:rsidR="00B02CF2" w:rsidRPr="00B02CF2">
        <w:rPr>
          <w:rFonts w:eastAsia="Calibri"/>
          <w:szCs w:val="28"/>
        </w:rPr>
        <w:t xml:space="preserve">– запровадження інноваційних багаторівневих структурно-організаційних технологій в межах галузі ОЗ із забезпеченням міжсекторальних інтеграційних підходів з державними та недержавними секторами (структурами, інституціями), серед яких найбільш вагомими є: нова система фінансування галузі ОЗ із спільним фінансуванням окремих послуг разом з Міністерством соціальної політики України; </w:t>
      </w:r>
      <w:r w:rsidR="00B02CF2" w:rsidRPr="00B02CF2">
        <w:rPr>
          <w:rFonts w:eastAsia="Calibri"/>
          <w:bCs/>
          <w:szCs w:val="28"/>
        </w:rPr>
        <w:t>відповідальність обласних адміністрацій, об’єднаних територіальних громад за міжбюджетне фінансування ЗОЗ;</w:t>
      </w:r>
      <w:r w:rsidR="00B02CF2" w:rsidRPr="00B02CF2">
        <w:rPr>
          <w:rFonts w:eastAsia="Calibri"/>
          <w:szCs w:val="28"/>
        </w:rPr>
        <w:t xml:space="preserve"> </w:t>
      </w:r>
      <w:r w:rsidR="00B02CF2" w:rsidRPr="00B02CF2">
        <w:rPr>
          <w:rFonts w:eastAsia="Calibri"/>
          <w:bCs/>
          <w:szCs w:val="28"/>
        </w:rPr>
        <w:t xml:space="preserve">інтегроване управління якістю надання медичних послуг на національному рівні; </w:t>
      </w:r>
      <w:r w:rsidR="00B02CF2" w:rsidRPr="00B02CF2">
        <w:rPr>
          <w:rFonts w:eastAsia="Calibri"/>
          <w:szCs w:val="28"/>
        </w:rPr>
        <w:t xml:space="preserve">запровадження ЕСОЗ </w:t>
      </w:r>
      <w:r w:rsidR="00AA61EA">
        <w:rPr>
          <w:rFonts w:eastAsia="Calibri"/>
          <w:szCs w:val="28"/>
        </w:rPr>
        <w:t>і</w:t>
      </w:r>
      <w:r w:rsidR="00B02CF2" w:rsidRPr="00B02CF2">
        <w:rPr>
          <w:rFonts w:eastAsia="Calibri"/>
          <w:szCs w:val="28"/>
        </w:rPr>
        <w:t xml:space="preserve">з реєстрами </w:t>
      </w:r>
      <w:r w:rsidR="00B02CF2" w:rsidRPr="00B02CF2">
        <w:rPr>
          <w:rFonts w:eastAsia="Calibri"/>
          <w:bCs/>
          <w:szCs w:val="28"/>
        </w:rPr>
        <w:t xml:space="preserve">дітей з відповідними захворюваннями; прийняття на державному рівні Державної багатосекторальної програми з охорони матері та дитини з імплементацією заходів глобальної ініціативи ВООЗ «Кожна жінка, кожна дитина»; впровадження інтегрованої міжсекторальної послуги, що включає </w:t>
      </w:r>
      <w:r w:rsidR="00B02CF2" w:rsidRPr="00B02CF2">
        <w:rPr>
          <w:rFonts w:eastAsia="Calibri"/>
          <w:szCs w:val="28"/>
        </w:rPr>
        <w:t>катамнестичне спостереження, послуги з реабілітації, паліативної допомоги та раннього втручання;</w:t>
      </w:r>
      <w:r w:rsidR="00B02CF2" w:rsidRPr="00B02CF2">
        <w:rPr>
          <w:rFonts w:eastAsia="Calibri"/>
          <w:bCs/>
          <w:szCs w:val="28"/>
        </w:rPr>
        <w:t xml:space="preserve"> дотримання прав людини та вимог законодавства в сфері протидії насильству,</w:t>
      </w:r>
      <w:r w:rsidR="00B02CF2" w:rsidRPr="00B02CF2">
        <w:rPr>
          <w:rFonts w:eastAsia="Calibri"/>
          <w:szCs w:val="28"/>
        </w:rPr>
        <w:t xml:space="preserve"> впровадження яких в комплексі матиме медичний, со</w:t>
      </w:r>
      <w:r>
        <w:rPr>
          <w:rFonts w:eastAsia="Calibri"/>
          <w:szCs w:val="28"/>
        </w:rPr>
        <w:t>ціальний та економічний ефекти.</w:t>
      </w:r>
    </w:p>
    <w:p w:rsidR="00B02CF2" w:rsidRPr="00B02CF2" w:rsidRDefault="0008180F" w:rsidP="0008180F">
      <w:pPr>
        <w:widowControl w:val="0"/>
        <w:ind w:firstLine="709"/>
        <w:rPr>
          <w:rFonts w:eastAsia="Calibri"/>
          <w:szCs w:val="28"/>
        </w:rPr>
      </w:pPr>
      <w:r>
        <w:rPr>
          <w:rFonts w:eastAsia="Calibri"/>
          <w:szCs w:val="28"/>
          <w:lang w:val="ru-RU"/>
        </w:rPr>
        <w:t xml:space="preserve">10. </w:t>
      </w:r>
      <w:r w:rsidR="00B02CF2" w:rsidRPr="00B02CF2">
        <w:rPr>
          <w:rFonts w:eastAsia="Calibri"/>
          <w:szCs w:val="28"/>
        </w:rPr>
        <w:t>Впровадження окремих інноваційних елементів системи, насамп</w:t>
      </w:r>
      <w:r w:rsidR="00C1541A">
        <w:rPr>
          <w:rFonts w:eastAsia="Calibri"/>
          <w:szCs w:val="28"/>
        </w:rPr>
        <w:t xml:space="preserve">еред ЕСОЗ, показало можливість </w:t>
      </w:r>
      <w:r w:rsidR="00C1541A">
        <w:rPr>
          <w:rFonts w:eastAsia="Calibri"/>
          <w:szCs w:val="28"/>
          <w:lang w:val="ru-RU"/>
        </w:rPr>
        <w:t>у</w:t>
      </w:r>
      <w:r w:rsidR="00B02CF2" w:rsidRPr="00B02CF2">
        <w:rPr>
          <w:rFonts w:eastAsia="Calibri"/>
          <w:szCs w:val="28"/>
        </w:rPr>
        <w:t xml:space="preserve"> режимі реального часу аналізувати значний спектр важливих індикатор</w:t>
      </w:r>
      <w:r w:rsidR="00F20EFA">
        <w:rPr>
          <w:rFonts w:eastAsia="Calibri"/>
          <w:szCs w:val="28"/>
        </w:rPr>
        <w:t>них показників, які не входять у</w:t>
      </w:r>
      <w:r w:rsidR="00B02CF2" w:rsidRPr="00B02CF2">
        <w:rPr>
          <w:rFonts w:eastAsia="Calibri"/>
          <w:szCs w:val="28"/>
        </w:rPr>
        <w:t xml:space="preserve"> офіційні статистичні форми звітності, що продемонстровано на прикладі аналізу показника добової летальності новонароджених в акушерських стаціонарах та ДЛ. За 7 місяців 2020 р. частка дітей, які помирають упродовж першої доби життя, становила 41,42% (125 з 303) немовлят у загальній </w:t>
      </w:r>
      <w:r w:rsidR="00B02CF2" w:rsidRPr="00B02CF2">
        <w:rPr>
          <w:rFonts w:eastAsia="Calibri"/>
          <w:szCs w:val="28"/>
        </w:rPr>
        <w:lastRenderedPageBreak/>
        <w:t xml:space="preserve">кількості померлих в акушерських стаціонарах та 14,34% (35 з 244) немовлят у загальній кількості новонароджених, померлих упродовж першої доби у ДЛ після переведення з акушерських стаціонарів, </w:t>
      </w:r>
      <w:r w:rsidR="00092935">
        <w:rPr>
          <w:rFonts w:eastAsia="Calibri"/>
          <w:szCs w:val="28"/>
        </w:rPr>
        <w:t xml:space="preserve">при цьому в останніх помирають </w:t>
      </w:r>
      <w:r w:rsidR="00092935" w:rsidRPr="00092935">
        <w:rPr>
          <w:rFonts w:eastAsia="Calibri"/>
          <w:szCs w:val="28"/>
        </w:rPr>
        <w:t>у</w:t>
      </w:r>
      <w:r w:rsidR="00B02CF2" w:rsidRPr="00B02CF2">
        <w:rPr>
          <w:rFonts w:eastAsia="Calibri"/>
          <w:szCs w:val="28"/>
        </w:rPr>
        <w:t xml:space="preserve"> переважній кількості недоношені діти (медіанне значення ваги дітей 1100 г (650-2450), в ДЛ – доношені діти (медіанне значення 2680 г (1450-3470), р&lt;0,001); у причинній структурі добово</w:t>
      </w:r>
      <w:r w:rsidR="00F97337">
        <w:rPr>
          <w:rFonts w:eastAsia="Calibri"/>
          <w:szCs w:val="28"/>
        </w:rPr>
        <w:t>ї летальності І місце посідають</w:t>
      </w:r>
      <w:r w:rsidR="00B02CF2" w:rsidRPr="00B02CF2">
        <w:rPr>
          <w:rFonts w:eastAsia="Calibri"/>
          <w:szCs w:val="28"/>
        </w:rPr>
        <w:t xml:space="preserve"> внутрішньоутробна гіпоксія і асфіксія у пологах (</w:t>
      </w:r>
      <w:r w:rsidR="00B02CF2" w:rsidRPr="00B02CF2">
        <w:rPr>
          <w:rFonts w:eastAsia="Calibri"/>
          <w:i/>
          <w:szCs w:val="28"/>
        </w:rPr>
        <w:t>Р20-Р21</w:t>
      </w:r>
      <w:r w:rsidR="00B02CF2" w:rsidRPr="00B02CF2">
        <w:rPr>
          <w:rFonts w:eastAsia="Calibri"/>
          <w:szCs w:val="28"/>
        </w:rPr>
        <w:t>) – 22,28%; ІІ місце – синдром респіраторного розладу (</w:t>
      </w:r>
      <w:r w:rsidR="00B02CF2" w:rsidRPr="00B02CF2">
        <w:rPr>
          <w:rFonts w:eastAsia="Calibri"/>
          <w:i/>
          <w:szCs w:val="28"/>
        </w:rPr>
        <w:t>Р22.0,8,9</w:t>
      </w:r>
      <w:r w:rsidR="00B02CF2" w:rsidRPr="00B02CF2">
        <w:rPr>
          <w:rFonts w:eastAsia="Calibri"/>
          <w:szCs w:val="28"/>
        </w:rPr>
        <w:t>) – 21,20%; ІІІ місце – уроджені аномалії, деформації та хромосомні порушення (</w:t>
      </w:r>
      <w:r w:rsidR="00B02CF2" w:rsidRPr="00B02CF2">
        <w:rPr>
          <w:rFonts w:eastAsia="Calibri"/>
          <w:i/>
          <w:szCs w:val="28"/>
        </w:rPr>
        <w:t>Q00-Q99</w:t>
      </w:r>
      <w:r w:rsidR="00B02CF2" w:rsidRPr="00B02CF2">
        <w:rPr>
          <w:rFonts w:eastAsia="Calibri"/>
          <w:szCs w:val="28"/>
        </w:rPr>
        <w:t xml:space="preserve">) – 17,93%, також виявлено недостатній рівень регіоналізації перинатальної допомоги, оскільки значна кількість дітей, помирає упродовж першої доби життя саме в акушерських стаціонарах І-ІІ рівня надання медичної допомоги та ДЛ (відповідно, 34,4% та 21,9%), у той час як в акушерських стаціонарах ІІІ рівня – 35,35%. </w:t>
      </w:r>
      <w:r w:rsidR="00B02CF2" w:rsidRPr="00B02CF2">
        <w:rPr>
          <w:rFonts w:eastAsia="Calibri"/>
          <w:bCs/>
          <w:szCs w:val="28"/>
        </w:rPr>
        <w:t>Інноваційна система медико-соціальної допомоги дітям до 5 років життя в Україні в цілому позитивно оцінена експертами (98%),</w:t>
      </w:r>
      <w:r w:rsidR="00B02CF2" w:rsidRPr="00B02CF2">
        <w:rPr>
          <w:rFonts w:eastAsia="Calibri"/>
          <w:szCs w:val="28"/>
        </w:rPr>
        <w:t xml:space="preserve"> відповідає напрямам реформування вітчизняної медичної галузі та сучасним міжнародним підходам, що дозволяє рекомендувати її для впровадження в практику охорони здоров’я України. </w:t>
      </w:r>
    </w:p>
    <w:p w:rsidR="000F6D17" w:rsidRPr="00953B61" w:rsidRDefault="000F6D17" w:rsidP="00D70C1B">
      <w:pPr>
        <w:widowControl w:val="0"/>
        <w:rPr>
          <w:rFonts w:asciiTheme="majorHAnsi" w:hAnsiTheme="majorHAnsi" w:cstheme="majorHAnsi"/>
          <w:szCs w:val="28"/>
        </w:rPr>
      </w:pPr>
    </w:p>
    <w:p w:rsidR="00065AC0" w:rsidRDefault="00065AC0" w:rsidP="00D70C1B">
      <w:pPr>
        <w:pStyle w:val="a5"/>
        <w:widowControl w:val="0"/>
        <w:ind w:left="709"/>
        <w:rPr>
          <w:szCs w:val="28"/>
        </w:rPr>
      </w:pPr>
    </w:p>
    <w:p w:rsidR="00065AC0" w:rsidRPr="00065AC0" w:rsidRDefault="00065AC0" w:rsidP="00D70C1B"/>
    <w:p w:rsidR="00065AC0" w:rsidRPr="00065AC0" w:rsidRDefault="00065AC0" w:rsidP="000F6D17"/>
    <w:p w:rsidR="00065AC0" w:rsidRPr="00065AC0" w:rsidRDefault="00065AC0" w:rsidP="00065AC0"/>
    <w:p w:rsidR="004A3FDB" w:rsidRPr="002D6CC2" w:rsidRDefault="004A3FDB"/>
    <w:p w:rsidR="00D70C1B" w:rsidRDefault="00D70C1B"/>
    <w:p w:rsidR="00222221" w:rsidRDefault="00222221"/>
    <w:p w:rsidR="00222221" w:rsidRPr="00555FC0" w:rsidRDefault="00222221"/>
    <w:p w:rsidR="00A2459B" w:rsidRPr="00555FC0" w:rsidRDefault="00A2459B"/>
    <w:p w:rsidR="00A2459B" w:rsidRPr="00555FC0" w:rsidRDefault="00A2459B"/>
    <w:p w:rsidR="0008180F" w:rsidRPr="00432EF0" w:rsidRDefault="0008180F" w:rsidP="003C3630">
      <w:pPr>
        <w:tabs>
          <w:tab w:val="left" w:pos="1170"/>
        </w:tabs>
        <w:rPr>
          <w:b/>
        </w:rPr>
      </w:pPr>
    </w:p>
    <w:p w:rsidR="00454EBD" w:rsidRPr="00454EBD" w:rsidRDefault="00454EBD" w:rsidP="00454EBD">
      <w:pPr>
        <w:jc w:val="center"/>
        <w:rPr>
          <w:rFonts w:eastAsia="Calibri"/>
          <w:b/>
        </w:rPr>
      </w:pPr>
      <w:r w:rsidRPr="00454EBD">
        <w:rPr>
          <w:rFonts w:eastAsia="Calibri"/>
          <w:b/>
        </w:rPr>
        <w:lastRenderedPageBreak/>
        <w:t>ПРАКТИЧНІ РЕКОМЕНДАЦІЇ</w:t>
      </w:r>
    </w:p>
    <w:p w:rsidR="00454EBD" w:rsidRPr="00454EBD" w:rsidRDefault="00454EBD" w:rsidP="00454EBD">
      <w:pPr>
        <w:widowControl w:val="0"/>
        <w:shd w:val="clear" w:color="auto" w:fill="FFFFFF"/>
        <w:jc w:val="center"/>
        <w:rPr>
          <w:rFonts w:eastAsia="Times New Roman"/>
          <w:szCs w:val="28"/>
          <w:lang w:eastAsia="ru-RU"/>
        </w:rPr>
      </w:pPr>
      <w:r w:rsidRPr="00454EBD">
        <w:rPr>
          <w:rFonts w:eastAsia="Times New Roman"/>
          <w:szCs w:val="28"/>
          <w:lang w:eastAsia="ru-RU"/>
        </w:rPr>
        <w:t>Отримані результати наукового дослідження дозволяють рекомендувати:</w:t>
      </w:r>
    </w:p>
    <w:p w:rsidR="006D6BAA" w:rsidRPr="006D6BAA" w:rsidRDefault="006D6BAA" w:rsidP="006D6BAA">
      <w:pPr>
        <w:widowControl w:val="0"/>
        <w:shd w:val="clear" w:color="auto" w:fill="FFFFFF"/>
        <w:rPr>
          <w:rFonts w:eastAsia="Times New Roman"/>
          <w:szCs w:val="28"/>
          <w:lang w:eastAsia="ru-RU"/>
        </w:rPr>
      </w:pPr>
      <w:r w:rsidRPr="006D6BAA">
        <w:rPr>
          <w:rFonts w:eastAsia="Times New Roman"/>
          <w:szCs w:val="28"/>
          <w:lang w:eastAsia="ru-RU"/>
        </w:rPr>
        <w:t xml:space="preserve">       1. Кабінету Міністрів України :</w:t>
      </w:r>
    </w:p>
    <w:p w:rsidR="006D6BAA" w:rsidRPr="006D6BAA" w:rsidRDefault="003A4B4B" w:rsidP="006D6BAA">
      <w:pPr>
        <w:tabs>
          <w:tab w:val="left" w:pos="1675"/>
        </w:tabs>
        <w:rPr>
          <w:rFonts w:eastAsia="Calibri"/>
          <w:szCs w:val="28"/>
        </w:rPr>
      </w:pPr>
      <w:r>
        <w:rPr>
          <w:rFonts w:eastAsia="Calibri"/>
          <w:bCs/>
          <w:szCs w:val="28"/>
        </w:rPr>
        <w:t xml:space="preserve">– продовжити реалізацію </w:t>
      </w:r>
      <w:r>
        <w:rPr>
          <w:rFonts w:eastAsia="Calibri"/>
          <w:bCs/>
          <w:szCs w:val="28"/>
          <w:lang w:val="ru-RU"/>
        </w:rPr>
        <w:t>П</w:t>
      </w:r>
      <w:r w:rsidR="006D6BAA" w:rsidRPr="006D6BAA">
        <w:rPr>
          <w:rFonts w:eastAsia="Calibri"/>
          <w:bCs/>
          <w:szCs w:val="28"/>
        </w:rPr>
        <w:t xml:space="preserve">рограми </w:t>
      </w:r>
      <w:r w:rsidR="006D6BAA" w:rsidRPr="006D6BAA">
        <w:rPr>
          <w:rFonts w:eastAsia="Calibri"/>
          <w:bCs/>
          <w:szCs w:val="28"/>
          <w:lang w:val="ru-RU"/>
        </w:rPr>
        <w:t xml:space="preserve">державних гарантій медичного обслуговування населення із затвердженням відповідних Постанов за цим напрямом, а також інших нормативно-правових актів </w:t>
      </w:r>
      <w:r w:rsidR="006D6BAA" w:rsidRPr="006D6BAA">
        <w:rPr>
          <w:rFonts w:eastAsia="Calibri"/>
          <w:bCs/>
          <w:szCs w:val="28"/>
        </w:rPr>
        <w:t>щодо охорони материнства та дитинства.</w:t>
      </w:r>
    </w:p>
    <w:p w:rsidR="006D6BAA" w:rsidRPr="006D6BAA" w:rsidRDefault="006D6BAA" w:rsidP="006D6BAA">
      <w:pPr>
        <w:ind w:firstLine="720"/>
        <w:rPr>
          <w:rFonts w:eastAsia="Times New Roman"/>
          <w:szCs w:val="28"/>
          <w:lang w:eastAsia="ru-RU"/>
        </w:rPr>
      </w:pPr>
      <w:r w:rsidRPr="006D6BAA">
        <w:rPr>
          <w:rFonts w:eastAsia="Times New Roman"/>
          <w:szCs w:val="28"/>
          <w:lang w:eastAsia="ru-RU"/>
        </w:rPr>
        <w:t>2. Міністерству охорони здоров'я України:</w:t>
      </w:r>
    </w:p>
    <w:p w:rsidR="003A4B4B" w:rsidRPr="003A4B4B" w:rsidRDefault="006D6BAA" w:rsidP="006D6BAA">
      <w:pPr>
        <w:rPr>
          <w:rFonts w:eastAsia="Times New Roman"/>
          <w:bCs/>
          <w:szCs w:val="28"/>
          <w:lang w:val="ru-RU" w:eastAsia="ru-RU"/>
        </w:rPr>
      </w:pPr>
      <w:r w:rsidRPr="006D6BAA">
        <w:rPr>
          <w:rFonts w:eastAsia="Times New Roman"/>
          <w:szCs w:val="28"/>
          <w:lang w:eastAsia="ru-RU"/>
        </w:rPr>
        <w:t xml:space="preserve">– розробити та представити до затвердження КМУ </w:t>
      </w:r>
      <w:r w:rsidRPr="006D6BAA">
        <w:rPr>
          <w:rFonts w:eastAsia="Times New Roman"/>
          <w:bCs/>
          <w:szCs w:val="28"/>
          <w:lang w:eastAsia="ru-RU"/>
        </w:rPr>
        <w:t>Національний план</w:t>
      </w:r>
      <w:r w:rsidRPr="006D6BAA">
        <w:rPr>
          <w:rFonts w:eastAsia="Times New Roman"/>
          <w:bCs/>
          <w:szCs w:val="28"/>
          <w:lang w:val="ru-RU" w:eastAsia="ru-RU"/>
        </w:rPr>
        <w:t xml:space="preserve"> </w:t>
      </w:r>
      <w:r w:rsidRPr="006D6BAA">
        <w:rPr>
          <w:rFonts w:eastAsia="Times New Roman"/>
          <w:bCs/>
          <w:szCs w:val="28"/>
          <w:lang w:eastAsia="ru-RU"/>
        </w:rPr>
        <w:t>дій глобальної ініціативи В</w:t>
      </w:r>
      <w:r w:rsidR="00C55709">
        <w:rPr>
          <w:rFonts w:eastAsia="Times New Roman"/>
          <w:bCs/>
          <w:szCs w:val="28"/>
          <w:lang w:eastAsia="ru-RU"/>
        </w:rPr>
        <w:t>ООЗ «Кожна жінка, к</w:t>
      </w:r>
      <w:r w:rsidR="003A4B4B">
        <w:rPr>
          <w:rFonts w:eastAsia="Times New Roman"/>
          <w:bCs/>
          <w:szCs w:val="28"/>
          <w:lang w:eastAsia="ru-RU"/>
        </w:rPr>
        <w:t>ожна дитина»</w:t>
      </w:r>
      <w:r w:rsidR="003A4B4B">
        <w:rPr>
          <w:rFonts w:eastAsia="Times New Roman"/>
          <w:bCs/>
          <w:szCs w:val="28"/>
          <w:lang w:val="ru-RU" w:eastAsia="ru-RU"/>
        </w:rPr>
        <w:t>;</w:t>
      </w:r>
    </w:p>
    <w:p w:rsidR="006D6BAA" w:rsidRPr="006D6BAA" w:rsidRDefault="006D6BAA" w:rsidP="006D6BAA">
      <w:pPr>
        <w:rPr>
          <w:rFonts w:eastAsia="Times New Roman"/>
          <w:szCs w:val="28"/>
          <w:lang w:eastAsia="ru-RU"/>
        </w:rPr>
      </w:pPr>
      <w:r w:rsidRPr="006D6BAA">
        <w:rPr>
          <w:rFonts w:eastAsia="Times New Roman"/>
          <w:szCs w:val="28"/>
          <w:lang w:eastAsia="ru-RU"/>
        </w:rPr>
        <w:t>– забезпечити впровадження</w:t>
      </w:r>
      <w:r w:rsidRPr="006D6BAA">
        <w:rPr>
          <w:rFonts w:ascii="Calibri" w:eastAsia="Calibri" w:hAnsi="Calibri"/>
          <w:sz w:val="22"/>
        </w:rPr>
        <w:t xml:space="preserve"> </w:t>
      </w:r>
      <w:r w:rsidRPr="006D6BAA">
        <w:rPr>
          <w:rFonts w:eastAsia="Times New Roman"/>
          <w:szCs w:val="28"/>
          <w:lang w:eastAsia="ru-RU"/>
        </w:rPr>
        <w:t xml:space="preserve">інтегрованого управління якістю надання медичних послуг;  </w:t>
      </w:r>
    </w:p>
    <w:p w:rsidR="006D6BAA" w:rsidRPr="006D6BAA" w:rsidRDefault="006D6BAA" w:rsidP="006D6BAA">
      <w:pPr>
        <w:rPr>
          <w:rFonts w:eastAsia="Times New Roman"/>
          <w:szCs w:val="28"/>
          <w:lang w:eastAsia="ru-RU"/>
        </w:rPr>
      </w:pPr>
      <w:r w:rsidRPr="006D6BAA">
        <w:rPr>
          <w:rFonts w:eastAsia="Times New Roman"/>
          <w:szCs w:val="28"/>
          <w:lang w:eastAsia="ru-RU"/>
        </w:rPr>
        <w:t>– впровадити комплексну оцінку стану перинатальної допомоги</w:t>
      </w:r>
      <w:r w:rsidRPr="006D6BAA">
        <w:rPr>
          <w:rFonts w:eastAsia="Times New Roman"/>
          <w:szCs w:val="28"/>
          <w:lang w:val="ru-RU" w:eastAsia="ru-RU"/>
        </w:rPr>
        <w:t>.</w:t>
      </w:r>
    </w:p>
    <w:p w:rsidR="006D6BAA" w:rsidRPr="006D6BAA" w:rsidRDefault="006D6BAA" w:rsidP="006D6BAA">
      <w:pPr>
        <w:rPr>
          <w:rFonts w:eastAsia="Times New Roman"/>
          <w:szCs w:val="28"/>
          <w:lang w:eastAsia="ru-RU"/>
        </w:rPr>
      </w:pPr>
      <w:r w:rsidRPr="006D6BAA">
        <w:rPr>
          <w:rFonts w:eastAsia="Times New Roman"/>
          <w:szCs w:val="28"/>
          <w:lang w:eastAsia="ru-RU"/>
        </w:rPr>
        <w:t xml:space="preserve">          4. Національній службі здоров’я України:</w:t>
      </w:r>
    </w:p>
    <w:p w:rsidR="006D6BAA" w:rsidRPr="003A4B4B" w:rsidRDefault="006D6BAA" w:rsidP="006D6BAA">
      <w:pPr>
        <w:rPr>
          <w:rFonts w:eastAsia="Times New Roman"/>
          <w:szCs w:val="28"/>
          <w:lang w:eastAsia="ru-RU"/>
        </w:rPr>
      </w:pPr>
      <w:r w:rsidRPr="006D6BAA">
        <w:rPr>
          <w:rFonts w:eastAsia="Times New Roman"/>
          <w:szCs w:val="28"/>
          <w:lang w:eastAsia="ru-RU"/>
        </w:rPr>
        <w:t xml:space="preserve"> – продовжити впровадження нової системи фінансування галузі охорони здоров’я в рамках Програми </w:t>
      </w:r>
      <w:r w:rsidR="003A4B4B" w:rsidRPr="003A4B4B">
        <w:rPr>
          <w:rFonts w:eastAsia="Times New Roman"/>
          <w:szCs w:val="28"/>
          <w:lang w:eastAsia="ru-RU"/>
        </w:rPr>
        <w:t xml:space="preserve">державних гарантій медичного обслуговування населення </w:t>
      </w:r>
      <w:r w:rsidRPr="006D6BAA">
        <w:rPr>
          <w:rFonts w:eastAsia="Times New Roman"/>
          <w:szCs w:val="28"/>
          <w:lang w:eastAsia="ru-RU"/>
        </w:rPr>
        <w:t>та забезпечити розробку та подальше удосконалення вимог до надання медичних послуг матері та дитині;</w:t>
      </w:r>
    </w:p>
    <w:p w:rsidR="006D6BAA" w:rsidRPr="006D6BAA" w:rsidRDefault="006D6BAA" w:rsidP="006D6BAA">
      <w:pPr>
        <w:rPr>
          <w:rFonts w:eastAsia="Times New Roman"/>
          <w:bCs/>
          <w:szCs w:val="28"/>
          <w:lang w:eastAsia="ru-RU"/>
        </w:rPr>
      </w:pPr>
      <w:r w:rsidRPr="006D6BAA">
        <w:rPr>
          <w:rFonts w:eastAsia="Times New Roman"/>
          <w:szCs w:val="28"/>
          <w:lang w:eastAsia="ru-RU"/>
        </w:rPr>
        <w:t xml:space="preserve">– розширювати функціональні можливості </w:t>
      </w:r>
      <w:r w:rsidRPr="006D6BAA">
        <w:rPr>
          <w:rFonts w:eastAsia="Times New Roman"/>
          <w:bCs/>
          <w:szCs w:val="28"/>
          <w:lang w:eastAsia="ru-RU"/>
        </w:rPr>
        <w:t>ЕСОЗ із включенням блоку  інформаційної системи педіатричної допомоги,</w:t>
      </w:r>
      <w:r w:rsidRPr="006D6BAA">
        <w:rPr>
          <w:rFonts w:eastAsia="Times New Roman"/>
          <w:szCs w:val="28"/>
          <w:lang w:eastAsia="ru-RU"/>
        </w:rPr>
        <w:t xml:space="preserve"> </w:t>
      </w:r>
      <w:r w:rsidRPr="006D6BAA">
        <w:rPr>
          <w:rFonts w:eastAsia="Times New Roman"/>
          <w:bCs/>
          <w:szCs w:val="28"/>
          <w:lang w:eastAsia="ru-RU"/>
        </w:rPr>
        <w:t>реєстрів дітей за визначеними захворюваннями, у т.ч. новонароджених, які народились передчасно та/або хворими, а також проводити аналіз їх впровадження та функціонування;</w:t>
      </w:r>
    </w:p>
    <w:p w:rsidR="006D6BAA" w:rsidRPr="006D6BAA" w:rsidRDefault="006D6BAA" w:rsidP="006D6BAA">
      <w:pPr>
        <w:rPr>
          <w:rFonts w:ascii="Calibri" w:eastAsia="Calibri" w:hAnsi="Calibri"/>
          <w:sz w:val="22"/>
        </w:rPr>
      </w:pPr>
      <w:r w:rsidRPr="006D6BAA">
        <w:rPr>
          <w:rFonts w:eastAsia="Times New Roman"/>
          <w:bCs/>
          <w:szCs w:val="28"/>
          <w:lang w:eastAsia="ru-RU"/>
        </w:rPr>
        <w:t xml:space="preserve"> – проводити моніторинг, клінічний аудит медичних послуг матері та дитині за відповідними пакетами Програми медичних гарантій.</w:t>
      </w:r>
    </w:p>
    <w:p w:rsidR="006D6BAA" w:rsidRPr="006D6BAA" w:rsidRDefault="006D6BAA" w:rsidP="006D6BAA">
      <w:pPr>
        <w:ind w:firstLine="720"/>
        <w:rPr>
          <w:rFonts w:eastAsia="Calibri"/>
          <w:szCs w:val="28"/>
        </w:rPr>
      </w:pPr>
      <w:r w:rsidRPr="006D6BAA">
        <w:rPr>
          <w:rFonts w:eastAsia="Calibri"/>
          <w:szCs w:val="28"/>
        </w:rPr>
        <w:t>3. Міністерству соціальної політики України:</w:t>
      </w:r>
    </w:p>
    <w:p w:rsidR="006D6BAA" w:rsidRPr="006D6BAA" w:rsidRDefault="006D6BAA" w:rsidP="006D6BAA">
      <w:pPr>
        <w:rPr>
          <w:rFonts w:eastAsia="Calibri"/>
          <w:bCs/>
          <w:szCs w:val="28"/>
        </w:rPr>
      </w:pPr>
      <w:r w:rsidRPr="006D6BAA">
        <w:rPr>
          <w:rFonts w:eastAsia="Calibri"/>
          <w:szCs w:val="28"/>
        </w:rPr>
        <w:t xml:space="preserve">– забезпечити виконання соціальних гарантій </w:t>
      </w:r>
      <w:r w:rsidRPr="006D6BAA">
        <w:rPr>
          <w:rFonts w:eastAsia="Calibri"/>
          <w:bCs/>
          <w:szCs w:val="28"/>
        </w:rPr>
        <w:t xml:space="preserve">з охорони материнства та дитинства, зокрема допомоги дітям з особливими потребами, сімей із соціальними ризиком, а також співфінансування інтегрованих міжсекторальних медичних послуг. </w:t>
      </w:r>
    </w:p>
    <w:p w:rsidR="006D6BAA" w:rsidRPr="006D6BAA" w:rsidRDefault="006D6BAA" w:rsidP="006D6BAA">
      <w:pPr>
        <w:ind w:firstLine="720"/>
        <w:rPr>
          <w:rFonts w:eastAsia="Calibri"/>
          <w:szCs w:val="28"/>
        </w:rPr>
      </w:pPr>
      <w:r w:rsidRPr="006D6BAA">
        <w:rPr>
          <w:rFonts w:eastAsia="Calibri"/>
          <w:szCs w:val="28"/>
        </w:rPr>
        <w:t>4. Обласним державним адміністраціям:</w:t>
      </w:r>
    </w:p>
    <w:p w:rsidR="006D6BAA" w:rsidRPr="006D6BAA" w:rsidRDefault="006D6BAA" w:rsidP="006D6BAA">
      <w:pPr>
        <w:rPr>
          <w:rFonts w:eastAsia="Calibri"/>
          <w:szCs w:val="28"/>
        </w:rPr>
      </w:pPr>
      <w:r w:rsidRPr="006D6BAA">
        <w:rPr>
          <w:rFonts w:eastAsia="Calibri"/>
          <w:szCs w:val="28"/>
        </w:rPr>
        <w:lastRenderedPageBreak/>
        <w:t>– розробити, затвердити та забезпечити виконання регіональної комплексної цільової програми з охорони дитинства;</w:t>
      </w:r>
    </w:p>
    <w:p w:rsidR="006D6BAA" w:rsidRPr="00087FB0" w:rsidRDefault="006D6BAA" w:rsidP="006D6BAA">
      <w:pPr>
        <w:rPr>
          <w:rFonts w:eastAsia="Calibri"/>
          <w:szCs w:val="28"/>
        </w:rPr>
      </w:pPr>
      <w:r w:rsidRPr="006D6BAA">
        <w:rPr>
          <w:rFonts w:eastAsia="Calibri"/>
          <w:szCs w:val="28"/>
        </w:rPr>
        <w:t>– створити обласну міжсекторальну координаційну раду з ініціації та імплементації скоординованих та узгоджених заходів з ох</w:t>
      </w:r>
      <w:r w:rsidR="00707656">
        <w:rPr>
          <w:rFonts w:eastAsia="Calibri"/>
          <w:szCs w:val="28"/>
        </w:rPr>
        <w:t>орони здоров’я матері та дитини</w:t>
      </w:r>
      <w:r w:rsidR="00707656">
        <w:rPr>
          <w:rFonts w:eastAsia="Calibri"/>
          <w:szCs w:val="28"/>
          <w:lang w:val="ru-RU"/>
        </w:rPr>
        <w:t>.</w:t>
      </w:r>
    </w:p>
    <w:p w:rsidR="006D6BAA" w:rsidRPr="006D6BAA" w:rsidRDefault="006D6BAA" w:rsidP="006D6BAA">
      <w:pPr>
        <w:ind w:firstLine="720"/>
        <w:rPr>
          <w:rFonts w:eastAsia="Calibri"/>
          <w:szCs w:val="28"/>
        </w:rPr>
      </w:pPr>
      <w:r w:rsidRPr="006D6BAA">
        <w:rPr>
          <w:rFonts w:eastAsia="Calibri"/>
          <w:szCs w:val="28"/>
        </w:rPr>
        <w:t>6. Об’єднаним територіальним громадам:</w:t>
      </w:r>
    </w:p>
    <w:p w:rsidR="006D6BAA" w:rsidRPr="006D6BAA" w:rsidRDefault="006D6BAA" w:rsidP="006D6BAA">
      <w:pPr>
        <w:rPr>
          <w:rFonts w:eastAsia="Calibri"/>
          <w:szCs w:val="28"/>
        </w:rPr>
      </w:pPr>
      <w:r w:rsidRPr="006D6BAA">
        <w:rPr>
          <w:rFonts w:eastAsia="Calibri"/>
          <w:szCs w:val="28"/>
        </w:rPr>
        <w:t>– запровадити формування здорового способу життя та стереотипу сім’ї, спрямованого на збереження здоров’я дітей і підвищення медичної активності, сприяння найкращому розвитку та зростанню дитини;</w:t>
      </w:r>
    </w:p>
    <w:p w:rsidR="006D6BAA" w:rsidRPr="006D6BAA" w:rsidRDefault="006D6BAA" w:rsidP="006D6BAA">
      <w:pPr>
        <w:rPr>
          <w:rFonts w:eastAsia="Calibri"/>
          <w:szCs w:val="28"/>
        </w:rPr>
      </w:pPr>
      <w:r w:rsidRPr="006D6BAA">
        <w:rPr>
          <w:rFonts w:eastAsia="Calibri"/>
          <w:szCs w:val="28"/>
        </w:rPr>
        <w:t xml:space="preserve">– здійснювати профілактику соціального сирітства, розробити та впровадити навчальні програми по відповідальному батьківству. </w:t>
      </w:r>
    </w:p>
    <w:p w:rsidR="006D6BAA" w:rsidRPr="006D6BAA" w:rsidRDefault="006D6BAA" w:rsidP="006D6BAA">
      <w:pPr>
        <w:ind w:firstLine="720"/>
        <w:rPr>
          <w:rFonts w:eastAsia="Calibri"/>
          <w:szCs w:val="28"/>
        </w:rPr>
      </w:pPr>
      <w:r w:rsidRPr="006D6BAA">
        <w:rPr>
          <w:rFonts w:eastAsia="Calibri"/>
          <w:szCs w:val="28"/>
        </w:rPr>
        <w:t>7. Департаментам охорони здоров'я обласних державних адміністрацій, головним лікарям закладів охорони здоров’я:</w:t>
      </w:r>
    </w:p>
    <w:p w:rsidR="006D6BAA" w:rsidRPr="006D6BAA" w:rsidRDefault="006D6BAA" w:rsidP="006D6BAA">
      <w:pPr>
        <w:rPr>
          <w:rFonts w:eastAsia="Calibri"/>
          <w:szCs w:val="28"/>
        </w:rPr>
      </w:pPr>
      <w:r w:rsidRPr="006D6BAA">
        <w:rPr>
          <w:rFonts w:eastAsia="Calibri"/>
          <w:szCs w:val="28"/>
        </w:rPr>
        <w:t>– впровадити інтегровані послуги з катамнестичного спостереження, раннього втручання, реабілітаційної та паліативної допомоги із залученням до їх організації та надання  органів соціального захисту, місцевого самоврядування, а також забезпечити умови для надання інтенсивної терапії;</w:t>
      </w:r>
    </w:p>
    <w:p w:rsidR="006D6BAA" w:rsidRPr="006D6BAA" w:rsidRDefault="006D6BAA" w:rsidP="006D6BAA">
      <w:pPr>
        <w:rPr>
          <w:rFonts w:eastAsia="Calibri"/>
          <w:szCs w:val="28"/>
        </w:rPr>
      </w:pPr>
      <w:r w:rsidRPr="006D6BAA">
        <w:rPr>
          <w:rFonts w:eastAsia="Calibri"/>
          <w:szCs w:val="28"/>
        </w:rPr>
        <w:t>–</w:t>
      </w:r>
      <w:r w:rsidRPr="006D6BAA">
        <w:rPr>
          <w:rFonts w:eastAsia="Times New Roman"/>
          <w:szCs w:val="28"/>
          <w:lang w:eastAsia="ru-RU"/>
        </w:rPr>
        <w:t xml:space="preserve"> </w:t>
      </w:r>
      <w:r w:rsidRPr="006D6BAA">
        <w:rPr>
          <w:rFonts w:eastAsia="Calibri"/>
          <w:szCs w:val="28"/>
        </w:rPr>
        <w:t>розробити/оновити та затвердити чіткі маршрути дітей та вагітних, виходячи зі ступеню їх акушерського та перинатального ризику.</w:t>
      </w:r>
    </w:p>
    <w:p w:rsidR="006D6BAA" w:rsidRPr="006D6BAA" w:rsidRDefault="006D6BAA" w:rsidP="006D6BAA">
      <w:pPr>
        <w:ind w:firstLine="720"/>
        <w:rPr>
          <w:rFonts w:eastAsia="Calibri"/>
          <w:szCs w:val="28"/>
        </w:rPr>
      </w:pPr>
      <w:r w:rsidRPr="006D6BAA">
        <w:rPr>
          <w:rFonts w:eastAsia="Calibri"/>
          <w:szCs w:val="28"/>
        </w:rPr>
        <w:t>8. Вищим медичним навчальним закладам і закладам післядипломної медичної освіти:</w:t>
      </w:r>
    </w:p>
    <w:p w:rsidR="006D6BAA" w:rsidRPr="006D6BAA" w:rsidRDefault="006D6BAA" w:rsidP="006D6BAA">
      <w:pPr>
        <w:rPr>
          <w:rFonts w:eastAsia="Calibri"/>
          <w:szCs w:val="28"/>
        </w:rPr>
      </w:pPr>
      <w:r w:rsidRPr="006D6BAA">
        <w:rPr>
          <w:rFonts w:eastAsia="Calibri"/>
          <w:szCs w:val="28"/>
        </w:rPr>
        <w:t xml:space="preserve"> –  доповнити програми навчання студентів з курсу «Соціальна медицина» питаннями щодо інноваційних підходів до надання медико-соціальної допомоги дітям до 5 років;</w:t>
      </w:r>
    </w:p>
    <w:p w:rsidR="00A90C9A" w:rsidRDefault="006D6BAA" w:rsidP="006D6BAA">
      <w:pPr>
        <w:rPr>
          <w:rFonts w:eastAsia="Calibri"/>
          <w:szCs w:val="28"/>
        </w:rPr>
      </w:pPr>
      <w:r w:rsidRPr="006D6BAA">
        <w:rPr>
          <w:rFonts w:eastAsia="Calibri"/>
          <w:szCs w:val="28"/>
        </w:rPr>
        <w:t xml:space="preserve"> – розробити навчальні програми та організувати для керівників органів і закладів охорони здоров'я та їх заступників, навчання  на циклах тематичного удосконалення з питань проведення комплексної оцінки стану перинатальної допомоги (профільні ЗОЗ) та інноваційної системи медико-соціальної допомоги дітям до 5 років в Україні;</w:t>
      </w:r>
    </w:p>
    <w:p w:rsidR="006D6BAA" w:rsidRPr="006D6BAA" w:rsidRDefault="006D6BAA" w:rsidP="006D6BAA">
      <w:pPr>
        <w:rPr>
          <w:rFonts w:eastAsia="Calibri"/>
          <w:szCs w:val="28"/>
        </w:rPr>
      </w:pPr>
      <w:r w:rsidRPr="006D6BAA">
        <w:rPr>
          <w:rFonts w:eastAsia="Calibri"/>
          <w:szCs w:val="28"/>
        </w:rPr>
        <w:t xml:space="preserve">– удосконалити програми лікарів-спеціалістів, які надають допомогу матерям та дітям, в напрямі підвищення їх компетенційного та кваліфікаційного рівнів знань, в тому </w:t>
      </w:r>
      <w:r w:rsidRPr="006D6BAA">
        <w:rPr>
          <w:rFonts w:eastAsia="Calibri"/>
          <w:szCs w:val="28"/>
        </w:rPr>
        <w:lastRenderedPageBreak/>
        <w:t>числі підготовки з надання медичної допомог</w:t>
      </w:r>
      <w:r w:rsidR="00A90C9A">
        <w:rPr>
          <w:rFonts w:eastAsia="Calibri"/>
          <w:szCs w:val="28"/>
        </w:rPr>
        <w:t>и дітям, перинатальної допомоги;</w:t>
      </w:r>
      <w:r w:rsidRPr="006D6BAA">
        <w:rPr>
          <w:rFonts w:eastAsia="Calibri"/>
          <w:szCs w:val="28"/>
        </w:rPr>
        <w:t xml:space="preserve"> включити до навчальних програм лікарів зага</w:t>
      </w:r>
      <w:r w:rsidR="00087FB0">
        <w:rPr>
          <w:rFonts w:eastAsia="Calibri"/>
          <w:szCs w:val="28"/>
        </w:rPr>
        <w:t>льної практики-сімейних лікарів</w:t>
      </w:r>
      <w:r w:rsidRPr="006D6BAA">
        <w:rPr>
          <w:rFonts w:eastAsia="Calibri"/>
          <w:szCs w:val="28"/>
        </w:rPr>
        <w:t xml:space="preserve"> підготовку з питань збереження здоров’я дітей та попередження дитячої смертності, надання медичної допомоги при невідкладних станах, перинатології;</w:t>
      </w:r>
    </w:p>
    <w:p w:rsidR="006D6BAA" w:rsidRPr="006D6BAA" w:rsidRDefault="006D6BAA" w:rsidP="006D6BAA">
      <w:pPr>
        <w:rPr>
          <w:rFonts w:eastAsia="Calibri"/>
          <w:szCs w:val="28"/>
        </w:rPr>
      </w:pPr>
      <w:r w:rsidRPr="006D6BAA">
        <w:rPr>
          <w:rFonts w:eastAsia="Calibri"/>
          <w:szCs w:val="28"/>
        </w:rPr>
        <w:t xml:space="preserve"> – забезпечити підготовку спеціалістів та фахівців з психологічної, реабілітаційної та паліативної допомоги дитячому населенню.</w:t>
      </w:r>
    </w:p>
    <w:p w:rsidR="00454EBD" w:rsidRDefault="00454EBD" w:rsidP="00454EBD">
      <w:pPr>
        <w:widowControl w:val="0"/>
        <w:tabs>
          <w:tab w:val="left" w:pos="1170"/>
        </w:tabs>
        <w:jc w:val="center"/>
        <w:rPr>
          <w:b/>
        </w:rPr>
      </w:pPr>
    </w:p>
    <w:p w:rsidR="004617DA" w:rsidRDefault="00A77B5F" w:rsidP="00454EBD">
      <w:pPr>
        <w:pageBreakBefore/>
        <w:widowControl w:val="0"/>
        <w:tabs>
          <w:tab w:val="left" w:pos="1170"/>
        </w:tabs>
        <w:jc w:val="center"/>
        <w:rPr>
          <w:b/>
        </w:rPr>
      </w:pPr>
      <w:r w:rsidRPr="00A77B5F">
        <w:rPr>
          <w:b/>
        </w:rPr>
        <w:lastRenderedPageBreak/>
        <w:t>СПИСОК ВИКОРИСТАНИХ ДЖЕРЕЛ ЛІТЕРАТУРИ</w:t>
      </w:r>
    </w:p>
    <w:p w:rsidR="007C52C7" w:rsidRDefault="007C52C7" w:rsidP="007C52C7">
      <w:pPr>
        <w:ind w:firstLine="709"/>
        <w:rPr>
          <w:szCs w:val="28"/>
        </w:rPr>
      </w:pPr>
      <w:r>
        <w:rPr>
          <w:szCs w:val="28"/>
        </w:rPr>
        <w:t xml:space="preserve">1. </w:t>
      </w:r>
      <w:r w:rsidRPr="007C52C7">
        <w:rPr>
          <w:szCs w:val="28"/>
        </w:rPr>
        <w:t xml:space="preserve"> </w:t>
      </w:r>
      <w:r w:rsidR="00A607AD" w:rsidRPr="007C52C7">
        <w:rPr>
          <w:szCs w:val="28"/>
        </w:rPr>
        <w:t>Strategy for Health 2016-2030: Programme Division. New York: UNICEF, 2016. 5</w:t>
      </w:r>
      <w:r w:rsidRPr="007C52C7">
        <w:rPr>
          <w:szCs w:val="28"/>
        </w:rPr>
        <w:t xml:space="preserve">6 </w:t>
      </w:r>
      <w:r w:rsidR="00A607AD" w:rsidRPr="007C52C7">
        <w:rPr>
          <w:szCs w:val="28"/>
        </w:rPr>
        <w:t xml:space="preserve">p. URL: https://www.unicef.org/media/58166/file (Last accessed: 05.10.2020). </w:t>
      </w:r>
    </w:p>
    <w:p w:rsidR="00F71E89" w:rsidRDefault="007C52C7" w:rsidP="00F71E89">
      <w:pPr>
        <w:ind w:firstLine="709"/>
        <w:rPr>
          <w:szCs w:val="28"/>
          <w:lang w:val="ru-RU"/>
        </w:rPr>
      </w:pPr>
      <w:r w:rsidRPr="007C52C7">
        <w:rPr>
          <w:szCs w:val="28"/>
        </w:rPr>
        <w:t xml:space="preserve">2. </w:t>
      </w:r>
      <w:r w:rsidR="00A607AD" w:rsidRPr="007C52C7">
        <w:rPr>
          <w:szCs w:val="28"/>
          <w:lang w:val="ru-RU"/>
        </w:rPr>
        <w:t>Глобальная стратегия охраны здоровья женщин, детей и подростков (2016–2030 гг.): выживать,</w:t>
      </w:r>
      <w:r w:rsidR="00A607AD">
        <w:t> </w:t>
      </w:r>
      <w:r w:rsidR="00A607AD" w:rsidRPr="007C52C7">
        <w:rPr>
          <w:szCs w:val="28"/>
          <w:lang w:val="ru-RU"/>
        </w:rPr>
        <w:t>процветать,</w:t>
      </w:r>
      <w:r w:rsidR="00A607AD">
        <w:t> </w:t>
      </w:r>
      <w:r w:rsidR="00A607AD" w:rsidRPr="007C52C7">
        <w:rPr>
          <w:szCs w:val="28"/>
          <w:lang w:val="ru-RU"/>
        </w:rPr>
        <w:t>менять</w:t>
      </w:r>
      <w:r w:rsidR="00A607AD" w:rsidRPr="007C52C7">
        <w:rPr>
          <w:szCs w:val="28"/>
        </w:rPr>
        <w:t> </w:t>
      </w:r>
      <w:r w:rsidR="00A607AD" w:rsidRPr="007C52C7">
        <w:rPr>
          <w:szCs w:val="28"/>
          <w:lang w:val="ru-RU"/>
        </w:rPr>
        <w:t>/ </w:t>
      </w:r>
      <w:r w:rsidR="00A607AD" w:rsidRPr="007C52C7">
        <w:rPr>
          <w:szCs w:val="28"/>
        </w:rPr>
        <w:t>EWEC</w:t>
      </w:r>
      <w:r w:rsidR="00A607AD" w:rsidRPr="007C52C7">
        <w:rPr>
          <w:szCs w:val="28"/>
          <w:lang w:val="ru-RU"/>
        </w:rPr>
        <w:t>,</w:t>
      </w:r>
      <w:r w:rsidR="00A607AD" w:rsidRPr="007C52C7">
        <w:rPr>
          <w:szCs w:val="28"/>
        </w:rPr>
        <w:t> </w:t>
      </w:r>
      <w:r w:rsidR="00A607AD" w:rsidRPr="007C52C7">
        <w:rPr>
          <w:szCs w:val="28"/>
          <w:lang w:val="ru-RU"/>
        </w:rPr>
        <w:t>2015. 108</w:t>
      </w:r>
      <w:r w:rsidR="00A607AD" w:rsidRPr="007C52C7">
        <w:rPr>
          <w:szCs w:val="28"/>
        </w:rPr>
        <w:t> c</w:t>
      </w:r>
      <w:r w:rsidR="00A607AD" w:rsidRPr="007C52C7">
        <w:rPr>
          <w:szCs w:val="28"/>
          <w:lang w:val="ru-RU"/>
        </w:rPr>
        <w:t>.</w:t>
      </w:r>
      <w:r w:rsidR="00A607AD">
        <w:t> </w:t>
      </w:r>
      <w:r w:rsidR="00A607AD" w:rsidRPr="007C52C7">
        <w:rPr>
          <w:szCs w:val="28"/>
          <w:lang w:val="ru-RU"/>
        </w:rPr>
        <w:t xml:space="preserve"> </w:t>
      </w:r>
      <w:r w:rsidR="00A607AD" w:rsidRPr="007C52C7">
        <w:rPr>
          <w:szCs w:val="28"/>
        </w:rPr>
        <w:t>http</w:t>
      </w:r>
      <w:r w:rsidR="00A607AD" w:rsidRPr="007C52C7">
        <w:rPr>
          <w:szCs w:val="28"/>
          <w:lang w:val="ru-RU"/>
        </w:rPr>
        <w:t>://</w:t>
      </w:r>
      <w:r w:rsidR="00A607AD" w:rsidRPr="007C52C7">
        <w:rPr>
          <w:szCs w:val="28"/>
        </w:rPr>
        <w:t>globalstrategy</w:t>
      </w:r>
      <w:r w:rsidR="00A607AD" w:rsidRPr="007C52C7">
        <w:rPr>
          <w:szCs w:val="28"/>
          <w:lang w:val="ru-RU"/>
        </w:rPr>
        <w:t>.</w:t>
      </w:r>
      <w:r w:rsidR="00A607AD" w:rsidRPr="007C52C7">
        <w:rPr>
          <w:szCs w:val="28"/>
        </w:rPr>
        <w:t>everywomaneverychild</w:t>
      </w:r>
      <w:r w:rsidR="00A607AD" w:rsidRPr="007C52C7">
        <w:rPr>
          <w:szCs w:val="28"/>
          <w:lang w:val="ru-RU"/>
        </w:rPr>
        <w:t>.</w:t>
      </w:r>
      <w:r w:rsidR="00A607AD" w:rsidRPr="007C52C7">
        <w:rPr>
          <w:szCs w:val="28"/>
        </w:rPr>
        <w:t>org</w:t>
      </w:r>
      <w:r w:rsidR="00A607AD" w:rsidRPr="007C52C7">
        <w:rPr>
          <w:szCs w:val="28"/>
          <w:lang w:val="ru-RU"/>
        </w:rPr>
        <w:t>/</w:t>
      </w:r>
      <w:r w:rsidR="00A607AD" w:rsidRPr="007C52C7">
        <w:rPr>
          <w:szCs w:val="28"/>
        </w:rPr>
        <w:t>pdf</w:t>
      </w:r>
      <w:r w:rsidR="00A607AD" w:rsidRPr="007C52C7">
        <w:rPr>
          <w:szCs w:val="28"/>
          <w:lang w:val="ru-RU"/>
        </w:rPr>
        <w:t>/</w:t>
      </w:r>
      <w:r w:rsidR="00A607AD" w:rsidRPr="007C52C7">
        <w:rPr>
          <w:szCs w:val="28"/>
        </w:rPr>
        <w:t>EWEC</w:t>
      </w:r>
      <w:r w:rsidR="00A607AD" w:rsidRPr="007C52C7">
        <w:rPr>
          <w:szCs w:val="28"/>
          <w:lang w:val="ru-RU"/>
        </w:rPr>
        <w:t>_</w:t>
      </w:r>
      <w:r w:rsidR="00A607AD" w:rsidRPr="007C52C7">
        <w:rPr>
          <w:szCs w:val="28"/>
        </w:rPr>
        <w:t>Global</w:t>
      </w:r>
      <w:r w:rsidR="00A607AD" w:rsidRPr="007C52C7">
        <w:rPr>
          <w:szCs w:val="28"/>
          <w:lang w:val="ru-RU"/>
        </w:rPr>
        <w:t>_</w:t>
      </w:r>
      <w:r w:rsidR="00A607AD" w:rsidRPr="007C52C7">
        <w:rPr>
          <w:szCs w:val="28"/>
        </w:rPr>
        <w:t>Strategy</w:t>
      </w:r>
      <w:r w:rsidR="00A607AD" w:rsidRPr="007C52C7">
        <w:rPr>
          <w:szCs w:val="28"/>
          <w:lang w:val="ru-RU"/>
        </w:rPr>
        <w:t>_</w:t>
      </w:r>
      <w:r w:rsidR="00A607AD" w:rsidRPr="007C52C7">
        <w:rPr>
          <w:szCs w:val="28"/>
        </w:rPr>
        <w:t>RU</w:t>
      </w:r>
      <w:r w:rsidR="00A607AD" w:rsidRPr="007C52C7">
        <w:rPr>
          <w:szCs w:val="28"/>
          <w:lang w:val="ru-RU"/>
        </w:rPr>
        <w:t>_</w:t>
      </w:r>
      <w:r w:rsidR="00A607AD" w:rsidRPr="007C52C7">
        <w:rPr>
          <w:szCs w:val="28"/>
        </w:rPr>
        <w:t>inside</w:t>
      </w:r>
      <w:r w:rsidR="00A607AD" w:rsidRPr="007C52C7">
        <w:rPr>
          <w:szCs w:val="28"/>
          <w:lang w:val="ru-RU"/>
        </w:rPr>
        <w:t>_</w:t>
      </w:r>
      <w:r w:rsidR="00A607AD" w:rsidRPr="007C52C7">
        <w:rPr>
          <w:szCs w:val="28"/>
        </w:rPr>
        <w:t>web</w:t>
      </w:r>
      <w:r w:rsidR="00A607AD" w:rsidRPr="007C52C7">
        <w:rPr>
          <w:szCs w:val="28"/>
          <w:lang w:val="ru-RU"/>
        </w:rPr>
        <w:t>.</w:t>
      </w:r>
      <w:r w:rsidR="00A607AD" w:rsidRPr="007C52C7">
        <w:rPr>
          <w:szCs w:val="28"/>
        </w:rPr>
        <w:t>pdf</w:t>
      </w:r>
      <w:r w:rsidR="00A607AD" w:rsidRPr="007C52C7">
        <w:rPr>
          <w:szCs w:val="28"/>
          <w:lang w:val="ru-RU"/>
        </w:rPr>
        <w:t xml:space="preserve"> (дата звернення: 25.10.2020). </w:t>
      </w:r>
    </w:p>
    <w:p w:rsidR="007C52C7" w:rsidRDefault="007C52C7" w:rsidP="00F71E89">
      <w:pPr>
        <w:ind w:firstLine="709"/>
        <w:rPr>
          <w:szCs w:val="28"/>
        </w:rPr>
      </w:pPr>
      <w:r w:rsidRPr="007C52C7">
        <w:rPr>
          <w:szCs w:val="28"/>
        </w:rPr>
        <w:t>3.</w:t>
      </w:r>
      <w:r w:rsidR="009F261E">
        <w:rPr>
          <w:szCs w:val="28"/>
        </w:rPr>
        <w:t xml:space="preserve"> </w:t>
      </w:r>
      <w:r w:rsidR="00A607AD" w:rsidRPr="007C52C7">
        <w:rPr>
          <w:szCs w:val="28"/>
        </w:rPr>
        <w:t>Health in Europe 4. Health services for children in western Europe / Ingrid</w:t>
      </w:r>
      <w:r w:rsidR="005E6BC5">
        <w:t> </w:t>
      </w:r>
      <w:r w:rsidR="00A607AD" w:rsidRPr="007C52C7">
        <w:rPr>
          <w:szCs w:val="28"/>
        </w:rPr>
        <w:t>Wolfe</w:t>
      </w:r>
      <w:r w:rsidR="005E6BC5" w:rsidRPr="005E6BC5">
        <w:rPr>
          <w:szCs w:val="28"/>
          <w:lang w:val="en-US"/>
        </w:rPr>
        <w:t> </w:t>
      </w:r>
      <w:r w:rsidR="00A607AD" w:rsidRPr="007C52C7">
        <w:rPr>
          <w:szCs w:val="28"/>
        </w:rPr>
        <w:t>et.</w:t>
      </w:r>
      <w:r w:rsidR="005E6BC5" w:rsidRPr="005E6BC5">
        <w:rPr>
          <w:lang w:val="en-US"/>
        </w:rPr>
        <w:t> </w:t>
      </w:r>
      <w:r w:rsidR="005E6BC5">
        <w:rPr>
          <w:szCs w:val="28"/>
        </w:rPr>
        <w:t>al.</w:t>
      </w:r>
      <w:r w:rsidR="005E6BC5">
        <w:rPr>
          <w:szCs w:val="28"/>
          <w:lang w:val="en-US"/>
        </w:rPr>
        <w:t xml:space="preserve"> </w:t>
      </w:r>
      <w:r w:rsidR="00A607AD" w:rsidRPr="007C52C7">
        <w:rPr>
          <w:szCs w:val="28"/>
        </w:rPr>
        <w:t>Lancet. 2013. Vol.</w:t>
      </w:r>
      <w:r w:rsidR="00A607AD">
        <w:t> </w:t>
      </w:r>
      <w:r w:rsidR="00A607AD" w:rsidRPr="007C52C7">
        <w:rPr>
          <w:szCs w:val="28"/>
        </w:rPr>
        <w:t xml:space="preserve">381. P. 1224–1234. URL: https://www.adolescenciasema.org/usuario/documentos/Lancet%20Health%20services%20for%20children%20in%20Europe%20March%202013.pdf (Last accessed: 05.10.2020). </w:t>
      </w:r>
    </w:p>
    <w:p w:rsidR="007C52C7" w:rsidRDefault="007C52C7" w:rsidP="007C52C7">
      <w:pPr>
        <w:ind w:firstLine="709"/>
        <w:rPr>
          <w:szCs w:val="28"/>
        </w:rPr>
      </w:pPr>
      <w:r w:rsidRPr="007C52C7">
        <w:rPr>
          <w:szCs w:val="28"/>
        </w:rPr>
        <w:t>4.</w:t>
      </w:r>
      <w:r>
        <w:rPr>
          <w:szCs w:val="28"/>
        </w:rPr>
        <w:t xml:space="preserve"> </w:t>
      </w:r>
      <w:r w:rsidR="00A607AD" w:rsidRPr="007C52C7">
        <w:rPr>
          <w:szCs w:val="28"/>
        </w:rPr>
        <w:t xml:space="preserve">Every Newborn: an action plan to end preventable deaths / World Health Organization, UNICEF. Geneva, 2014. 58 p. URL: http://www.healthynewbornnetwork.org/hnn-content/uploads/Every_Newborn_Action_Plan-ENGLISH_updated_July2014.pdf (Last accessed: 11.10.2020). </w:t>
      </w:r>
    </w:p>
    <w:p w:rsidR="007C52C7" w:rsidRDefault="007C52C7" w:rsidP="009F261E">
      <w:pPr>
        <w:ind w:firstLine="709"/>
        <w:rPr>
          <w:szCs w:val="28"/>
        </w:rPr>
      </w:pPr>
      <w:r>
        <w:rPr>
          <w:szCs w:val="28"/>
        </w:rPr>
        <w:t xml:space="preserve">5. </w:t>
      </w:r>
      <w:r w:rsidR="00A607AD" w:rsidRPr="007C52C7">
        <w:rPr>
          <w:szCs w:val="28"/>
        </w:rPr>
        <w:t>Developing global indicators for quality of maternal and newborn care: a feasibility assessment:</w:t>
      </w:r>
      <w:r w:rsidR="00AA4C5F">
        <w:rPr>
          <w:szCs w:val="28"/>
        </w:rPr>
        <w:t> </w:t>
      </w:r>
      <w:r w:rsidR="00A607AD" w:rsidRPr="007C52C7">
        <w:rPr>
          <w:szCs w:val="28"/>
        </w:rPr>
        <w:t>bulletin</w:t>
      </w:r>
      <w:r w:rsidR="00AA4C5F">
        <w:rPr>
          <w:szCs w:val="28"/>
        </w:rPr>
        <w:t> </w:t>
      </w:r>
      <w:r w:rsidR="00A607AD" w:rsidRPr="007C52C7">
        <w:rPr>
          <w:szCs w:val="28"/>
        </w:rPr>
        <w:t>/</w:t>
      </w:r>
      <w:r w:rsidR="00AA4C5F">
        <w:rPr>
          <w:szCs w:val="28"/>
        </w:rPr>
        <w:t> </w:t>
      </w:r>
      <w:r w:rsidR="00A607AD" w:rsidRPr="007C52C7">
        <w:rPr>
          <w:szCs w:val="28"/>
        </w:rPr>
        <w:t>B.</w:t>
      </w:r>
      <w:r w:rsidR="00AA4C5F">
        <w:rPr>
          <w:lang w:val="en-US"/>
        </w:rPr>
        <w:t> </w:t>
      </w:r>
      <w:r w:rsidR="00A607AD" w:rsidRPr="007C52C7">
        <w:rPr>
          <w:szCs w:val="28"/>
        </w:rPr>
        <w:t>Madaj</w:t>
      </w:r>
      <w:r w:rsidR="00AA4C5F">
        <w:t> </w:t>
      </w:r>
      <w:r w:rsidR="00A607AD" w:rsidRPr="007C52C7">
        <w:rPr>
          <w:szCs w:val="28"/>
        </w:rPr>
        <w:t>et</w:t>
      </w:r>
      <w:r w:rsidR="00AA4C5F">
        <w:rPr>
          <w:szCs w:val="28"/>
        </w:rPr>
        <w:t> </w:t>
      </w:r>
      <w:r w:rsidR="00A607AD" w:rsidRPr="007C52C7">
        <w:rPr>
          <w:szCs w:val="28"/>
        </w:rPr>
        <w:t>al.,</w:t>
      </w:r>
      <w:r w:rsidR="00AA4C5F">
        <w:rPr>
          <w:szCs w:val="28"/>
        </w:rPr>
        <w:t> </w:t>
      </w:r>
      <w:r w:rsidR="00A607AD" w:rsidRPr="007C52C7">
        <w:rPr>
          <w:szCs w:val="28"/>
        </w:rPr>
        <w:t>WHO.</w:t>
      </w:r>
      <w:r w:rsidR="00AA4C5F">
        <w:rPr>
          <w:szCs w:val="28"/>
        </w:rPr>
        <w:t> </w:t>
      </w:r>
      <w:r w:rsidR="00A607AD" w:rsidRPr="007C52C7">
        <w:rPr>
          <w:szCs w:val="28"/>
        </w:rPr>
        <w:t>URL:</w:t>
      </w:r>
      <w:r w:rsidR="00AA4C5F">
        <w:rPr>
          <w:szCs w:val="28"/>
        </w:rPr>
        <w:t> </w:t>
      </w:r>
      <w:r w:rsidR="00A607AD" w:rsidRPr="007C52C7">
        <w:rPr>
          <w:szCs w:val="28"/>
        </w:rPr>
        <w:t xml:space="preserve"> https://www.who.int/bulletin/volumes/95/6/16-179531/en/ (Last accessed: 05.10.2020).</w:t>
      </w:r>
    </w:p>
    <w:p w:rsidR="007C52C7" w:rsidRDefault="007C52C7" w:rsidP="007C52C7">
      <w:pPr>
        <w:ind w:firstLine="709"/>
        <w:rPr>
          <w:szCs w:val="28"/>
        </w:rPr>
      </w:pPr>
      <w:r>
        <w:rPr>
          <w:szCs w:val="28"/>
        </w:rPr>
        <w:t xml:space="preserve">6. </w:t>
      </w:r>
      <w:r w:rsidR="00A607AD" w:rsidRPr="007C52C7">
        <w:rPr>
          <w:szCs w:val="28"/>
        </w:rPr>
        <w:t xml:space="preserve">Levels &amp; Trends in Child Mortality: Report 2019. Estimates developed by the UN Inter-agency Group for Child Mortality Estimation / UNICEF, WHO. New York, Geneva, </w:t>
      </w:r>
      <w:r w:rsidR="00AA4C5F">
        <w:rPr>
          <w:szCs w:val="28"/>
        </w:rPr>
        <w:t>2019.</w:t>
      </w:r>
      <w:r w:rsidR="00A607AD" w:rsidRPr="007C52C7">
        <w:rPr>
          <w:szCs w:val="28"/>
        </w:rPr>
        <w:t xml:space="preserve"> 52 p. URL: https://www.unicef.org/reports/levels-and-trends-child-mortality-report-2019 (Last accessed: 05.10.2020). </w:t>
      </w:r>
    </w:p>
    <w:p w:rsidR="007C52C7" w:rsidRDefault="007C52C7" w:rsidP="007C52C7">
      <w:pPr>
        <w:ind w:firstLine="709"/>
        <w:rPr>
          <w:szCs w:val="28"/>
        </w:rPr>
      </w:pPr>
      <w:r>
        <w:rPr>
          <w:szCs w:val="28"/>
        </w:rPr>
        <w:t xml:space="preserve">7. </w:t>
      </w:r>
      <w:r w:rsidR="00A607AD" w:rsidRPr="007C52C7">
        <w:rPr>
          <w:szCs w:val="28"/>
        </w:rPr>
        <w:t>The State of the World's Children 2016. A fair chance for every child United Nations Children’s Fund / Yoka Brandt et al. New York: UNICEF, 2016. 184</w:t>
      </w:r>
      <w:r w:rsidR="00AA4C5F">
        <w:rPr>
          <w:lang w:val="en-US"/>
        </w:rPr>
        <w:t> </w:t>
      </w:r>
      <w:r w:rsidR="00A607AD" w:rsidRPr="007C52C7">
        <w:rPr>
          <w:szCs w:val="28"/>
        </w:rPr>
        <w:t xml:space="preserve">p. URL: https://www.unicef.org/media/50076/file/UNICEF_SOWC_2016-ENG.pdf  (Last accessed: 05.10.2020). </w:t>
      </w:r>
    </w:p>
    <w:p w:rsidR="007C52C7" w:rsidRDefault="007C52C7" w:rsidP="007C52C7">
      <w:pPr>
        <w:ind w:firstLine="709"/>
        <w:rPr>
          <w:szCs w:val="28"/>
        </w:rPr>
      </w:pPr>
      <w:r>
        <w:rPr>
          <w:szCs w:val="28"/>
        </w:rPr>
        <w:t xml:space="preserve">8. </w:t>
      </w:r>
      <w:r w:rsidR="00A607AD" w:rsidRPr="007C52C7">
        <w:rPr>
          <w:szCs w:val="28"/>
        </w:rPr>
        <w:t xml:space="preserve">Levels &amp; Trends in Child Mortality: Report 2018. Estimates developed by the UN Inter-agency Group for Child Mortality Estimation / UNICEF, WHO. New York, Geneva, </w:t>
      </w:r>
      <w:r w:rsidR="00A607AD" w:rsidRPr="007C52C7">
        <w:rPr>
          <w:szCs w:val="28"/>
        </w:rPr>
        <w:lastRenderedPageBreak/>
        <w:t xml:space="preserve">2018. 44 p. URL: https://www.unicef.org/publications/index_103264.html (Last accessed: 05.10.2020). </w:t>
      </w:r>
    </w:p>
    <w:p w:rsidR="007C52C7" w:rsidRDefault="007C52C7" w:rsidP="007C52C7">
      <w:pPr>
        <w:ind w:firstLine="709"/>
        <w:rPr>
          <w:szCs w:val="28"/>
        </w:rPr>
      </w:pPr>
      <w:r>
        <w:rPr>
          <w:szCs w:val="28"/>
        </w:rPr>
        <w:t xml:space="preserve">9. </w:t>
      </w:r>
      <w:r w:rsidR="00A607AD" w:rsidRPr="007C52C7">
        <w:rPr>
          <w:szCs w:val="28"/>
        </w:rPr>
        <w:t xml:space="preserve">Transforming our world: the 2030 agenda for Sustainable Development / United Nations. 2015. 41 p. URL: https://sustainabledevelopment.un.org/content/documents/21252030%20Agenda%20for%20Sustainable%20Development%20web.pdf (Last accessed: 08.10.2020). </w:t>
      </w:r>
    </w:p>
    <w:p w:rsidR="007C52C7" w:rsidRDefault="00C14D56" w:rsidP="007C52C7">
      <w:pPr>
        <w:ind w:firstLine="709"/>
        <w:rPr>
          <w:szCs w:val="28"/>
        </w:rPr>
      </w:pPr>
      <w:r>
        <w:rPr>
          <w:szCs w:val="28"/>
          <w:lang w:val="ru-RU"/>
        </w:rPr>
        <w:t>10. </w:t>
      </w:r>
      <w:r w:rsidR="00A607AD" w:rsidRPr="007C52C7">
        <w:rPr>
          <w:szCs w:val="28"/>
          <w:lang w:val="ru-RU"/>
        </w:rPr>
        <w:t xml:space="preserve">Населення України за 2018 рік: Демографічний щорічник. </w:t>
      </w:r>
      <w:r w:rsidR="00A607AD" w:rsidRPr="007C52C7">
        <w:rPr>
          <w:szCs w:val="28"/>
        </w:rPr>
        <w:t>URL</w:t>
      </w:r>
      <w:r w:rsidR="00A607AD" w:rsidRPr="007C52C7">
        <w:rPr>
          <w:szCs w:val="28"/>
          <w:lang w:val="ru-RU"/>
        </w:rPr>
        <w:t xml:space="preserve">: </w:t>
      </w:r>
      <w:r w:rsidR="00A607AD" w:rsidRPr="007C52C7">
        <w:rPr>
          <w:szCs w:val="28"/>
        </w:rPr>
        <w:t>http</w:t>
      </w:r>
      <w:r w:rsidR="00A607AD" w:rsidRPr="007C52C7">
        <w:rPr>
          <w:szCs w:val="28"/>
          <w:lang w:val="ru-RU"/>
        </w:rPr>
        <w:t>://</w:t>
      </w:r>
      <w:r w:rsidR="00A607AD" w:rsidRPr="007C52C7">
        <w:rPr>
          <w:szCs w:val="28"/>
        </w:rPr>
        <w:t>www</w:t>
      </w:r>
      <w:r w:rsidR="00A607AD" w:rsidRPr="007C52C7">
        <w:rPr>
          <w:szCs w:val="28"/>
          <w:lang w:val="ru-RU"/>
        </w:rPr>
        <w:t>.</w:t>
      </w:r>
      <w:r w:rsidR="00A607AD" w:rsidRPr="007C52C7">
        <w:rPr>
          <w:szCs w:val="28"/>
        </w:rPr>
        <w:t>ukrstat</w:t>
      </w:r>
      <w:r w:rsidR="00A607AD" w:rsidRPr="007C52C7">
        <w:rPr>
          <w:szCs w:val="28"/>
          <w:lang w:val="ru-RU"/>
        </w:rPr>
        <w:t>.</w:t>
      </w:r>
      <w:r w:rsidR="00A607AD" w:rsidRPr="007C52C7">
        <w:rPr>
          <w:szCs w:val="28"/>
        </w:rPr>
        <w:t>gov</w:t>
      </w:r>
      <w:r w:rsidR="00A607AD" w:rsidRPr="007C52C7">
        <w:rPr>
          <w:szCs w:val="28"/>
          <w:lang w:val="ru-RU"/>
        </w:rPr>
        <w:t>.</w:t>
      </w:r>
      <w:r w:rsidR="00A607AD" w:rsidRPr="007C52C7">
        <w:rPr>
          <w:szCs w:val="28"/>
        </w:rPr>
        <w:t>ua</w:t>
      </w:r>
      <w:r w:rsidR="00A607AD" w:rsidRPr="007C52C7">
        <w:rPr>
          <w:szCs w:val="28"/>
          <w:lang w:val="ru-RU"/>
        </w:rPr>
        <w:t>/</w:t>
      </w:r>
      <w:r w:rsidR="00A607AD" w:rsidRPr="007C52C7">
        <w:rPr>
          <w:szCs w:val="28"/>
        </w:rPr>
        <w:t>druk</w:t>
      </w:r>
      <w:r w:rsidR="00A607AD" w:rsidRPr="007C52C7">
        <w:rPr>
          <w:szCs w:val="28"/>
          <w:lang w:val="ru-RU"/>
        </w:rPr>
        <w:t>/</w:t>
      </w:r>
      <w:r w:rsidR="00A607AD" w:rsidRPr="007C52C7">
        <w:rPr>
          <w:szCs w:val="28"/>
        </w:rPr>
        <w:t>publicat</w:t>
      </w:r>
      <w:r w:rsidR="00A607AD" w:rsidRPr="007C52C7">
        <w:rPr>
          <w:szCs w:val="28"/>
          <w:lang w:val="ru-RU"/>
        </w:rPr>
        <w:t>/</w:t>
      </w:r>
      <w:r w:rsidR="00A607AD" w:rsidRPr="007C52C7">
        <w:rPr>
          <w:szCs w:val="28"/>
        </w:rPr>
        <w:t>kat</w:t>
      </w:r>
      <w:r w:rsidR="00A607AD" w:rsidRPr="007C52C7">
        <w:rPr>
          <w:szCs w:val="28"/>
          <w:lang w:val="ru-RU"/>
        </w:rPr>
        <w:t>_</w:t>
      </w:r>
      <w:r w:rsidR="00A607AD" w:rsidRPr="007C52C7">
        <w:rPr>
          <w:szCs w:val="28"/>
        </w:rPr>
        <w:t>u</w:t>
      </w:r>
      <w:r w:rsidR="00A607AD" w:rsidRPr="007C52C7">
        <w:rPr>
          <w:szCs w:val="28"/>
          <w:lang w:val="ru-RU"/>
        </w:rPr>
        <w:t>/2019/</w:t>
      </w:r>
      <w:r w:rsidR="00A607AD" w:rsidRPr="007C52C7">
        <w:rPr>
          <w:szCs w:val="28"/>
        </w:rPr>
        <w:t>zb</w:t>
      </w:r>
      <w:r w:rsidR="00A607AD" w:rsidRPr="007C52C7">
        <w:rPr>
          <w:szCs w:val="28"/>
          <w:lang w:val="ru-RU"/>
        </w:rPr>
        <w:t>/12/</w:t>
      </w:r>
      <w:r w:rsidR="00A607AD" w:rsidRPr="007C52C7">
        <w:rPr>
          <w:szCs w:val="28"/>
        </w:rPr>
        <w:t>zb</w:t>
      </w:r>
      <w:r w:rsidR="00A607AD" w:rsidRPr="007C52C7">
        <w:rPr>
          <w:szCs w:val="28"/>
          <w:lang w:val="ru-RU"/>
        </w:rPr>
        <w:t>_</w:t>
      </w:r>
      <w:r w:rsidR="00A607AD" w:rsidRPr="007C52C7">
        <w:rPr>
          <w:szCs w:val="28"/>
        </w:rPr>
        <w:t>ukr</w:t>
      </w:r>
      <w:r w:rsidR="00A607AD" w:rsidRPr="007C52C7">
        <w:rPr>
          <w:szCs w:val="28"/>
          <w:lang w:val="ru-RU"/>
        </w:rPr>
        <w:t>_2018.</w:t>
      </w:r>
      <w:r w:rsidR="00A607AD" w:rsidRPr="007C52C7">
        <w:rPr>
          <w:szCs w:val="28"/>
        </w:rPr>
        <w:t>pdf</w:t>
      </w:r>
      <w:r>
        <w:rPr>
          <w:szCs w:val="28"/>
          <w:lang w:val="ru-RU"/>
        </w:rPr>
        <w:t xml:space="preserve"> </w:t>
      </w:r>
      <w:r w:rsidR="00A607AD" w:rsidRPr="007C52C7">
        <w:rPr>
          <w:szCs w:val="28"/>
          <w:lang w:val="ru-RU"/>
        </w:rPr>
        <w:t xml:space="preserve">(дата звернення: 12.10.2020). </w:t>
      </w:r>
    </w:p>
    <w:p w:rsidR="007C52C7" w:rsidRDefault="007C52C7" w:rsidP="007C52C7">
      <w:pPr>
        <w:ind w:firstLine="709"/>
        <w:rPr>
          <w:szCs w:val="28"/>
          <w:lang w:val="ru-RU"/>
        </w:rPr>
      </w:pPr>
      <w:r>
        <w:rPr>
          <w:szCs w:val="28"/>
        </w:rPr>
        <w:t xml:space="preserve">11. </w:t>
      </w:r>
      <w:r w:rsidR="00A607AD" w:rsidRPr="007C52C7">
        <w:rPr>
          <w:szCs w:val="28"/>
        </w:rPr>
        <w:t xml:space="preserve">Рогач І. М., Керецман А. О., Гаджега І. І. Огляд динаміки демографічної ситуації в Україні та її регіонах на фоні країн ЄС та світу: проблеми та перспективи / ДВНЗ «Ужгородський національний університет», медичний факультет, кафедра соціальної медицини та гігієни з курсом історії медицини м. Ужгород. </w:t>
      </w:r>
      <w:r w:rsidR="00A607AD" w:rsidRPr="007C52C7">
        <w:rPr>
          <w:szCs w:val="28"/>
          <w:lang w:val="ru-RU"/>
        </w:rPr>
        <w:t xml:space="preserve">Проблеми клінічної педіатрії: науково-практичний журнал для педіатрів та лікарів загальної практики − сімейної медицини. 2019. № 2 (44). </w:t>
      </w:r>
      <w:r w:rsidR="00A607AD" w:rsidRPr="007C52C7">
        <w:rPr>
          <w:szCs w:val="28"/>
        </w:rPr>
        <w:t>DOI</w:t>
      </w:r>
      <w:r w:rsidR="00A607AD" w:rsidRPr="007C52C7">
        <w:rPr>
          <w:szCs w:val="28"/>
          <w:lang w:val="ru-RU"/>
        </w:rPr>
        <w:t xml:space="preserve"> 10.24144/1998-</w:t>
      </w:r>
      <w:r>
        <w:rPr>
          <w:szCs w:val="28"/>
          <w:lang w:val="ru-RU"/>
        </w:rPr>
        <w:t>6475.2019.44.49-56.</w:t>
      </w:r>
    </w:p>
    <w:p w:rsidR="00E86C04" w:rsidRDefault="00C14D56" w:rsidP="00E86C04">
      <w:pPr>
        <w:ind w:firstLine="709"/>
        <w:rPr>
          <w:szCs w:val="28"/>
        </w:rPr>
      </w:pPr>
      <w:r>
        <w:rPr>
          <w:szCs w:val="28"/>
          <w:lang w:val="ru-RU"/>
        </w:rPr>
        <w:t xml:space="preserve">12. </w:t>
      </w:r>
      <w:r w:rsidR="00A607AD" w:rsidRPr="007C52C7">
        <w:rPr>
          <w:szCs w:val="28"/>
          <w:lang w:val="ru-RU"/>
        </w:rPr>
        <w:t>Каждая женщина, каждый ребенок: больше справедливости и достоинства через здравоохранение 2013: краткий обзор. Второй доклад Группы независимых экспертов (</w:t>
      </w:r>
      <w:r w:rsidR="00A607AD" w:rsidRPr="007C52C7">
        <w:rPr>
          <w:szCs w:val="28"/>
        </w:rPr>
        <w:t>iERG</w:t>
      </w:r>
      <w:r w:rsidR="00A607AD" w:rsidRPr="007C52C7">
        <w:rPr>
          <w:szCs w:val="28"/>
          <w:lang w:val="ru-RU"/>
        </w:rPr>
        <w:t xml:space="preserve">) по оценке информации и подотчетности в отношении здоровья женщин и детей / </w:t>
      </w:r>
      <w:r w:rsidR="00A607AD" w:rsidRPr="007C52C7">
        <w:rPr>
          <w:szCs w:val="28"/>
        </w:rPr>
        <w:t>World</w:t>
      </w:r>
      <w:r w:rsidR="00A607AD" w:rsidRPr="007C52C7">
        <w:rPr>
          <w:szCs w:val="28"/>
          <w:lang w:val="ru-RU"/>
        </w:rPr>
        <w:t xml:space="preserve"> </w:t>
      </w:r>
      <w:r w:rsidR="00A607AD" w:rsidRPr="007C52C7">
        <w:rPr>
          <w:szCs w:val="28"/>
        </w:rPr>
        <w:t>Health</w:t>
      </w:r>
      <w:r w:rsidR="00A607AD" w:rsidRPr="007C52C7">
        <w:rPr>
          <w:szCs w:val="28"/>
          <w:lang w:val="ru-RU"/>
        </w:rPr>
        <w:t xml:space="preserve"> </w:t>
      </w:r>
      <w:r w:rsidR="00A607AD" w:rsidRPr="007C52C7">
        <w:rPr>
          <w:szCs w:val="28"/>
        </w:rPr>
        <w:t>Organization</w:t>
      </w:r>
      <w:r w:rsidR="00A607AD" w:rsidRPr="007C52C7">
        <w:rPr>
          <w:szCs w:val="28"/>
          <w:lang w:val="ru-RU"/>
        </w:rPr>
        <w:t xml:space="preserve">, </w:t>
      </w:r>
      <w:r w:rsidR="00A607AD" w:rsidRPr="007C52C7">
        <w:rPr>
          <w:szCs w:val="28"/>
        </w:rPr>
        <w:t>iERG</w:t>
      </w:r>
      <w:r w:rsidR="00A607AD" w:rsidRPr="007C52C7">
        <w:rPr>
          <w:szCs w:val="28"/>
          <w:lang w:val="ru-RU"/>
        </w:rPr>
        <w:t>. Женева, 2014. 20</w:t>
      </w:r>
      <w:r w:rsidR="00AA4C5F">
        <w:rPr>
          <w:lang w:val="ru-RU"/>
        </w:rPr>
        <w:t> </w:t>
      </w:r>
      <w:r w:rsidR="00A607AD" w:rsidRPr="007C52C7">
        <w:rPr>
          <w:szCs w:val="28"/>
        </w:rPr>
        <w:t>p</w:t>
      </w:r>
      <w:r w:rsidR="00A607AD" w:rsidRPr="007C52C7">
        <w:rPr>
          <w:szCs w:val="28"/>
          <w:lang w:val="ru-RU"/>
        </w:rPr>
        <w:t xml:space="preserve">. </w:t>
      </w:r>
      <w:r w:rsidR="00A607AD" w:rsidRPr="007C52C7">
        <w:rPr>
          <w:szCs w:val="28"/>
        </w:rPr>
        <w:t>URL</w:t>
      </w:r>
      <w:r w:rsidR="00A607AD" w:rsidRPr="007C52C7">
        <w:rPr>
          <w:szCs w:val="28"/>
          <w:lang w:val="ru-RU"/>
        </w:rPr>
        <w:t xml:space="preserve">: </w:t>
      </w:r>
      <w:r w:rsidR="00A607AD" w:rsidRPr="007C52C7">
        <w:rPr>
          <w:szCs w:val="28"/>
        </w:rPr>
        <w:t>https</w:t>
      </w:r>
      <w:r w:rsidR="00A607AD" w:rsidRPr="007C52C7">
        <w:rPr>
          <w:szCs w:val="28"/>
          <w:lang w:val="ru-RU"/>
        </w:rPr>
        <w:t>://</w:t>
      </w:r>
      <w:r w:rsidR="00A607AD" w:rsidRPr="007C52C7">
        <w:rPr>
          <w:szCs w:val="28"/>
        </w:rPr>
        <w:t>www</w:t>
      </w:r>
      <w:r w:rsidR="00A607AD" w:rsidRPr="007C52C7">
        <w:rPr>
          <w:szCs w:val="28"/>
          <w:lang w:val="ru-RU"/>
        </w:rPr>
        <w:t>.</w:t>
      </w:r>
      <w:r w:rsidR="00A607AD" w:rsidRPr="007C52C7">
        <w:rPr>
          <w:szCs w:val="28"/>
        </w:rPr>
        <w:t>who</w:t>
      </w:r>
      <w:r w:rsidR="00A607AD" w:rsidRPr="007C52C7">
        <w:rPr>
          <w:szCs w:val="28"/>
          <w:lang w:val="ru-RU"/>
        </w:rPr>
        <w:t>.</w:t>
      </w:r>
      <w:r w:rsidR="00A607AD" w:rsidRPr="007C52C7">
        <w:rPr>
          <w:szCs w:val="28"/>
        </w:rPr>
        <w:t>int</w:t>
      </w:r>
      <w:r w:rsidR="00A607AD" w:rsidRPr="007C52C7">
        <w:rPr>
          <w:szCs w:val="28"/>
          <w:lang w:val="ru-RU"/>
        </w:rPr>
        <w:t>/</w:t>
      </w:r>
      <w:r w:rsidR="00A607AD" w:rsidRPr="007C52C7">
        <w:rPr>
          <w:szCs w:val="28"/>
        </w:rPr>
        <w:t>woman</w:t>
      </w:r>
      <w:r w:rsidR="00A607AD" w:rsidRPr="007C52C7">
        <w:rPr>
          <w:szCs w:val="28"/>
          <w:lang w:val="ru-RU"/>
        </w:rPr>
        <w:t>_</w:t>
      </w:r>
      <w:r w:rsidR="00A607AD" w:rsidRPr="007C52C7">
        <w:rPr>
          <w:szCs w:val="28"/>
        </w:rPr>
        <w:t>child</w:t>
      </w:r>
      <w:r w:rsidR="00A607AD" w:rsidRPr="007C52C7">
        <w:rPr>
          <w:szCs w:val="28"/>
          <w:lang w:val="ru-RU"/>
        </w:rPr>
        <w:t>_</w:t>
      </w:r>
      <w:r w:rsidR="00A607AD" w:rsidRPr="007C52C7">
        <w:rPr>
          <w:szCs w:val="28"/>
        </w:rPr>
        <w:t>accountability</w:t>
      </w:r>
      <w:r w:rsidR="00A607AD" w:rsidRPr="007C52C7">
        <w:rPr>
          <w:szCs w:val="28"/>
          <w:lang w:val="ru-RU"/>
        </w:rPr>
        <w:t>/</w:t>
      </w:r>
      <w:r w:rsidR="00A607AD" w:rsidRPr="007C52C7">
        <w:rPr>
          <w:szCs w:val="28"/>
        </w:rPr>
        <w:t>ierg</w:t>
      </w:r>
      <w:r w:rsidR="00A607AD" w:rsidRPr="007C52C7">
        <w:rPr>
          <w:szCs w:val="28"/>
          <w:lang w:val="ru-RU"/>
        </w:rPr>
        <w:t>/</w:t>
      </w:r>
      <w:r w:rsidR="00A607AD" w:rsidRPr="007C52C7">
        <w:rPr>
          <w:szCs w:val="28"/>
        </w:rPr>
        <w:t>reports</w:t>
      </w:r>
      <w:r w:rsidR="00A607AD" w:rsidRPr="007C52C7">
        <w:rPr>
          <w:szCs w:val="28"/>
          <w:lang w:val="ru-RU"/>
        </w:rPr>
        <w:t>/2013/</w:t>
      </w:r>
      <w:r w:rsidR="00A607AD" w:rsidRPr="007C52C7">
        <w:rPr>
          <w:szCs w:val="28"/>
        </w:rPr>
        <w:t>iERG</w:t>
      </w:r>
      <w:r w:rsidR="00A607AD" w:rsidRPr="007C52C7">
        <w:rPr>
          <w:szCs w:val="28"/>
          <w:lang w:val="ru-RU"/>
        </w:rPr>
        <w:t>2013-</w:t>
      </w:r>
      <w:r w:rsidR="00A607AD" w:rsidRPr="007C52C7">
        <w:rPr>
          <w:szCs w:val="28"/>
        </w:rPr>
        <w:t>ExecutiveSummary</w:t>
      </w:r>
      <w:r w:rsidR="00A607AD" w:rsidRPr="007C52C7">
        <w:rPr>
          <w:szCs w:val="28"/>
          <w:lang w:val="ru-RU"/>
        </w:rPr>
        <w:t>-</w:t>
      </w:r>
      <w:r w:rsidR="00A607AD" w:rsidRPr="007C52C7">
        <w:rPr>
          <w:szCs w:val="28"/>
        </w:rPr>
        <w:t>RU</w:t>
      </w:r>
      <w:r w:rsidR="00A607AD" w:rsidRPr="007C52C7">
        <w:rPr>
          <w:szCs w:val="28"/>
          <w:lang w:val="ru-RU"/>
        </w:rPr>
        <w:t>.</w:t>
      </w:r>
      <w:r w:rsidR="00A607AD" w:rsidRPr="007C52C7">
        <w:rPr>
          <w:szCs w:val="28"/>
        </w:rPr>
        <w:t>pdf</w:t>
      </w:r>
      <w:r w:rsidR="00A607AD" w:rsidRPr="007C52C7">
        <w:rPr>
          <w:szCs w:val="28"/>
          <w:lang w:val="ru-RU"/>
        </w:rPr>
        <w:t xml:space="preserve"> (дата звернення: 10.10.2020). </w:t>
      </w:r>
    </w:p>
    <w:p w:rsidR="001353E5" w:rsidRDefault="00C14D56" w:rsidP="001353E5">
      <w:pPr>
        <w:ind w:firstLine="709"/>
        <w:rPr>
          <w:szCs w:val="28"/>
        </w:rPr>
      </w:pPr>
      <w:r>
        <w:rPr>
          <w:szCs w:val="28"/>
          <w:lang w:val="ru-RU"/>
        </w:rPr>
        <w:t xml:space="preserve">13. </w:t>
      </w:r>
      <w:r w:rsidR="00A607AD" w:rsidRPr="00E86C04">
        <w:rPr>
          <w:szCs w:val="28"/>
          <w:lang w:val="ru-RU"/>
        </w:rPr>
        <w:t>Шунько Є. Є. Впровадження Концепції подальшого розвитку перинатальної допомоги в Україні. Досвід країн зарубіжжя. Неонатологія, хірургія та перинатальна медицина. 2011. Т. 1, № 1. С.</w:t>
      </w:r>
      <w:r w:rsidR="009F261E">
        <w:rPr>
          <w:szCs w:val="28"/>
          <w:lang w:val="ru-RU"/>
        </w:rPr>
        <w:t> </w:t>
      </w:r>
      <w:r w:rsidR="00A607AD" w:rsidRPr="00E86C04">
        <w:rPr>
          <w:szCs w:val="28"/>
          <w:lang w:val="ru-RU"/>
        </w:rPr>
        <w:t xml:space="preserve">10–16. </w:t>
      </w:r>
    </w:p>
    <w:p w:rsidR="001353E5" w:rsidRDefault="001353E5" w:rsidP="001353E5">
      <w:pPr>
        <w:ind w:firstLine="709"/>
        <w:rPr>
          <w:szCs w:val="28"/>
        </w:rPr>
      </w:pPr>
      <w:r>
        <w:rPr>
          <w:szCs w:val="28"/>
        </w:rPr>
        <w:t xml:space="preserve">14. </w:t>
      </w:r>
      <w:r w:rsidR="00A607AD" w:rsidRPr="001353E5">
        <w:rPr>
          <w:szCs w:val="28"/>
        </w:rPr>
        <w:t>Шунько Є. Є. Стратегічні напрямки медичної допомоги новонародженим в Україні. Неонатологія, хірургія та перинатальна медицина. 2014. Т. 4, № 3. С.</w:t>
      </w:r>
      <w:r w:rsidR="009F261E">
        <w:rPr>
          <w:szCs w:val="28"/>
        </w:rPr>
        <w:t> </w:t>
      </w:r>
      <w:r w:rsidR="00A607AD" w:rsidRPr="001353E5">
        <w:rPr>
          <w:szCs w:val="28"/>
        </w:rPr>
        <w:t>11–14. URL: http://nbuv.gov.ua/UJRN/Nkhpm_2014_4_3_</w:t>
      </w:r>
      <w:r>
        <w:rPr>
          <w:szCs w:val="28"/>
        </w:rPr>
        <w:t>5 (дата звернення: 25.10.2020).</w:t>
      </w:r>
    </w:p>
    <w:p w:rsidR="00AA3A9D" w:rsidRPr="00AA3A9D" w:rsidRDefault="001353E5" w:rsidP="00AA3A9D">
      <w:pPr>
        <w:ind w:firstLine="709"/>
        <w:rPr>
          <w:szCs w:val="28"/>
          <w:lang w:val="ru-RU"/>
        </w:rPr>
      </w:pPr>
      <w:r>
        <w:rPr>
          <w:szCs w:val="28"/>
        </w:rPr>
        <w:lastRenderedPageBreak/>
        <w:t>15.</w:t>
      </w:r>
      <w:r>
        <w:rPr>
          <w:lang w:val="en-US"/>
        </w:rPr>
        <w:t> </w:t>
      </w:r>
      <w:r w:rsidR="00A607AD" w:rsidRPr="001353E5">
        <w:rPr>
          <w:szCs w:val="28"/>
        </w:rPr>
        <w:t>Голованова І. А. Особливості організації груп підтримки грудного вигодовування та їх правове забезпечення. Вісник проблем біології і медицини. 2012. Вип. 2 (2). С.</w:t>
      </w:r>
      <w:r w:rsidR="00AA4C5F">
        <w:rPr>
          <w:szCs w:val="28"/>
          <w:lang w:val="ru-RU"/>
        </w:rPr>
        <w:t> </w:t>
      </w:r>
      <w:r w:rsidR="00A607AD" w:rsidRPr="001353E5">
        <w:rPr>
          <w:szCs w:val="28"/>
        </w:rPr>
        <w:t>232–234. URL: http://nbuv.gov.ua/UJRN/Vpbm_2012_2(2)__54 (дата зверн</w:t>
      </w:r>
      <w:r w:rsidR="00A607AD" w:rsidRPr="001353E5">
        <w:rPr>
          <w:szCs w:val="28"/>
          <w:lang w:val="ru-RU"/>
        </w:rPr>
        <w:t xml:space="preserve">ення: 28.02.2021). </w:t>
      </w:r>
    </w:p>
    <w:p w:rsidR="00AA3A9D" w:rsidRDefault="00AA3A9D" w:rsidP="00AA3A9D">
      <w:pPr>
        <w:ind w:firstLine="709"/>
        <w:rPr>
          <w:szCs w:val="28"/>
        </w:rPr>
      </w:pPr>
      <w:r w:rsidRPr="00AA3A9D">
        <w:rPr>
          <w:szCs w:val="28"/>
          <w:lang w:val="ru-RU"/>
        </w:rPr>
        <w:t>16.</w:t>
      </w:r>
      <w:r>
        <w:t> </w:t>
      </w:r>
      <w:r w:rsidR="00A607AD" w:rsidRPr="00AA3A9D">
        <w:rPr>
          <w:szCs w:val="28"/>
          <w:lang w:val="ru-RU"/>
        </w:rPr>
        <w:t>Дудіна</w:t>
      </w:r>
      <w:r>
        <w:rPr>
          <w:szCs w:val="28"/>
          <w:lang w:val="ru-RU"/>
        </w:rPr>
        <w:t> </w:t>
      </w:r>
      <w:r w:rsidR="00A607AD" w:rsidRPr="00AA3A9D">
        <w:rPr>
          <w:szCs w:val="28"/>
          <w:lang w:val="ru-RU"/>
        </w:rPr>
        <w:t>О.</w:t>
      </w:r>
      <w:r>
        <w:rPr>
          <w:lang w:val="ru-RU"/>
        </w:rPr>
        <w:t> </w:t>
      </w:r>
      <w:r w:rsidR="00A607AD" w:rsidRPr="00AA3A9D">
        <w:rPr>
          <w:szCs w:val="28"/>
          <w:lang w:val="ru-RU"/>
        </w:rPr>
        <w:t>О., Волошина</w:t>
      </w:r>
      <w:r>
        <w:rPr>
          <w:szCs w:val="28"/>
          <w:lang w:val="ru-RU"/>
        </w:rPr>
        <w:t> </w:t>
      </w:r>
      <w:r w:rsidR="00A607AD" w:rsidRPr="00AA3A9D">
        <w:rPr>
          <w:szCs w:val="28"/>
          <w:lang w:val="ru-RU"/>
        </w:rPr>
        <w:t>У.</w:t>
      </w:r>
      <w:r>
        <w:rPr>
          <w:szCs w:val="28"/>
          <w:lang w:val="ru-RU"/>
        </w:rPr>
        <w:t> </w:t>
      </w:r>
      <w:r w:rsidR="00A607AD" w:rsidRPr="00AA3A9D">
        <w:rPr>
          <w:szCs w:val="28"/>
          <w:lang w:val="ru-RU"/>
        </w:rPr>
        <w:t>В. Нормативно-правове забезпечення регіоналізації перинатальної допомоги в Україні. Економіка</w:t>
      </w:r>
      <w:r w:rsidR="00A607AD" w:rsidRPr="00B958D8">
        <w:rPr>
          <w:szCs w:val="28"/>
          <w:lang w:val="ru-RU"/>
        </w:rPr>
        <w:t xml:space="preserve"> </w:t>
      </w:r>
      <w:r w:rsidR="00A607AD" w:rsidRPr="00AA3A9D">
        <w:rPr>
          <w:szCs w:val="28"/>
          <w:lang w:val="ru-RU"/>
        </w:rPr>
        <w:t>і</w:t>
      </w:r>
      <w:r w:rsidR="00A607AD" w:rsidRPr="00B958D8">
        <w:rPr>
          <w:szCs w:val="28"/>
          <w:lang w:val="ru-RU"/>
        </w:rPr>
        <w:t xml:space="preserve"> </w:t>
      </w:r>
      <w:r w:rsidR="00A607AD" w:rsidRPr="00AA3A9D">
        <w:rPr>
          <w:szCs w:val="28"/>
          <w:lang w:val="ru-RU"/>
        </w:rPr>
        <w:t>право</w:t>
      </w:r>
      <w:r w:rsidR="00A607AD" w:rsidRPr="00B958D8">
        <w:rPr>
          <w:szCs w:val="28"/>
          <w:lang w:val="ru-RU"/>
        </w:rPr>
        <w:t xml:space="preserve"> </w:t>
      </w:r>
      <w:r w:rsidR="00A607AD" w:rsidRPr="00AA3A9D">
        <w:rPr>
          <w:szCs w:val="28"/>
          <w:lang w:val="ru-RU"/>
        </w:rPr>
        <w:t>охорони</w:t>
      </w:r>
      <w:r w:rsidR="00A607AD" w:rsidRPr="00B958D8">
        <w:rPr>
          <w:szCs w:val="28"/>
          <w:lang w:val="ru-RU"/>
        </w:rPr>
        <w:t xml:space="preserve"> </w:t>
      </w:r>
      <w:r w:rsidR="00A607AD" w:rsidRPr="00AA3A9D">
        <w:rPr>
          <w:szCs w:val="28"/>
          <w:lang w:val="ru-RU"/>
        </w:rPr>
        <w:t>здоров</w:t>
      </w:r>
      <w:r w:rsidR="00A607AD" w:rsidRPr="00B958D8">
        <w:rPr>
          <w:szCs w:val="28"/>
          <w:lang w:val="ru-RU"/>
        </w:rPr>
        <w:t>’</w:t>
      </w:r>
      <w:r w:rsidR="00A607AD" w:rsidRPr="00AA3A9D">
        <w:rPr>
          <w:szCs w:val="28"/>
          <w:lang w:val="ru-RU"/>
        </w:rPr>
        <w:t>я</w:t>
      </w:r>
      <w:r w:rsidR="00A607AD" w:rsidRPr="00B958D8">
        <w:rPr>
          <w:szCs w:val="28"/>
          <w:lang w:val="ru-RU"/>
        </w:rPr>
        <w:t xml:space="preserve">. 2015. № 1 (1). </w:t>
      </w:r>
      <w:r w:rsidR="00A607AD" w:rsidRPr="00AA3A9D">
        <w:rPr>
          <w:szCs w:val="28"/>
          <w:lang w:val="ru-RU"/>
        </w:rPr>
        <w:t xml:space="preserve">С. 64–69. </w:t>
      </w:r>
    </w:p>
    <w:p w:rsidR="00AA3A9D" w:rsidRDefault="00AA3A9D" w:rsidP="00AA3A9D">
      <w:pPr>
        <w:ind w:firstLine="709"/>
        <w:rPr>
          <w:szCs w:val="28"/>
        </w:rPr>
      </w:pPr>
      <w:r>
        <w:rPr>
          <w:szCs w:val="28"/>
          <w:lang w:val="ru-RU"/>
        </w:rPr>
        <w:t xml:space="preserve">17. </w:t>
      </w:r>
      <w:r w:rsidR="00A607AD" w:rsidRPr="00AA3A9D">
        <w:rPr>
          <w:szCs w:val="28"/>
          <w:lang w:val="ru-RU"/>
        </w:rPr>
        <w:t>Дудіна О. О., Терещенко А. В. Стан регіоналізації перинатальної допомоги в Україні. Перинатология и педиатрия. 2015. № 3(63). С.</w:t>
      </w:r>
      <w:r w:rsidR="00AA4C5F">
        <w:rPr>
          <w:lang w:val="ru-RU"/>
        </w:rPr>
        <w:t> </w:t>
      </w:r>
      <w:r w:rsidR="00A607AD" w:rsidRPr="00AA3A9D">
        <w:rPr>
          <w:szCs w:val="28"/>
          <w:lang w:val="ru-RU"/>
        </w:rPr>
        <w:t xml:space="preserve">10–17. </w:t>
      </w:r>
      <w:r w:rsidR="00A607AD" w:rsidRPr="00AA3A9D">
        <w:rPr>
          <w:szCs w:val="28"/>
        </w:rPr>
        <w:t>URL</w:t>
      </w:r>
      <w:r w:rsidR="00A607AD" w:rsidRPr="00AA3A9D">
        <w:rPr>
          <w:szCs w:val="28"/>
          <w:lang w:val="ru-RU"/>
        </w:rPr>
        <w:t xml:space="preserve">: </w:t>
      </w:r>
      <w:r w:rsidR="00A607AD" w:rsidRPr="00AA3A9D">
        <w:rPr>
          <w:szCs w:val="28"/>
        </w:rPr>
        <w:t>http</w:t>
      </w:r>
      <w:r w:rsidR="00A607AD" w:rsidRPr="00AA3A9D">
        <w:rPr>
          <w:szCs w:val="28"/>
          <w:lang w:val="ru-RU"/>
        </w:rPr>
        <w:t>://</w:t>
      </w:r>
      <w:r w:rsidR="00A607AD" w:rsidRPr="00AA3A9D">
        <w:rPr>
          <w:szCs w:val="28"/>
        </w:rPr>
        <w:t>nbuv</w:t>
      </w:r>
      <w:r w:rsidR="00A607AD" w:rsidRPr="00AA3A9D">
        <w:rPr>
          <w:szCs w:val="28"/>
          <w:lang w:val="ru-RU"/>
        </w:rPr>
        <w:t>.</w:t>
      </w:r>
      <w:r w:rsidR="00A607AD" w:rsidRPr="00AA3A9D">
        <w:rPr>
          <w:szCs w:val="28"/>
        </w:rPr>
        <w:t>gov</w:t>
      </w:r>
      <w:r w:rsidR="00A607AD" w:rsidRPr="00AA3A9D">
        <w:rPr>
          <w:szCs w:val="28"/>
          <w:lang w:val="ru-RU"/>
        </w:rPr>
        <w:t>.</w:t>
      </w:r>
      <w:r w:rsidR="00A607AD" w:rsidRPr="00AA3A9D">
        <w:rPr>
          <w:szCs w:val="28"/>
        </w:rPr>
        <w:t>ua</w:t>
      </w:r>
      <w:r w:rsidR="00A607AD" w:rsidRPr="00AA3A9D">
        <w:rPr>
          <w:szCs w:val="28"/>
          <w:lang w:val="ru-RU"/>
        </w:rPr>
        <w:t>/</w:t>
      </w:r>
      <w:r w:rsidR="00A607AD" w:rsidRPr="00AA3A9D">
        <w:rPr>
          <w:szCs w:val="28"/>
        </w:rPr>
        <w:t>UJRN</w:t>
      </w:r>
      <w:r w:rsidR="00A607AD" w:rsidRPr="00AA3A9D">
        <w:rPr>
          <w:szCs w:val="28"/>
          <w:lang w:val="ru-RU"/>
        </w:rPr>
        <w:t>/</w:t>
      </w:r>
      <w:r w:rsidR="00A607AD" w:rsidRPr="00AA3A9D">
        <w:rPr>
          <w:szCs w:val="28"/>
        </w:rPr>
        <w:t>perynatology</w:t>
      </w:r>
      <w:r w:rsidR="00A607AD" w:rsidRPr="00AA3A9D">
        <w:rPr>
          <w:szCs w:val="28"/>
          <w:lang w:val="ru-RU"/>
        </w:rPr>
        <w:t>_2015_3_4 (дата звернення: 25.10.2019).</w:t>
      </w:r>
    </w:p>
    <w:p w:rsidR="00FE0EDC" w:rsidRDefault="00AA3A9D" w:rsidP="00FE0EDC">
      <w:pPr>
        <w:ind w:firstLine="709"/>
        <w:rPr>
          <w:szCs w:val="28"/>
        </w:rPr>
      </w:pPr>
      <w:r>
        <w:rPr>
          <w:szCs w:val="28"/>
        </w:rPr>
        <w:t>18. </w:t>
      </w:r>
      <w:r w:rsidR="00A607AD" w:rsidRPr="00AA3A9D">
        <w:rPr>
          <w:szCs w:val="28"/>
        </w:rPr>
        <w:t>Дудіна О.</w:t>
      </w:r>
      <w:r w:rsidR="00F71E89">
        <w:rPr>
          <w:szCs w:val="28"/>
          <w:lang w:val="ru-RU"/>
        </w:rPr>
        <w:t> </w:t>
      </w:r>
      <w:r w:rsidR="00A607AD" w:rsidRPr="00AA3A9D">
        <w:rPr>
          <w:szCs w:val="28"/>
        </w:rPr>
        <w:t>О., Габорець Ю</w:t>
      </w:r>
      <w:r w:rsidR="00F71E89">
        <w:rPr>
          <w:lang w:val="ru-RU"/>
        </w:rPr>
        <w:t> </w:t>
      </w:r>
      <w:r w:rsidR="00A607AD" w:rsidRPr="00AA3A9D">
        <w:rPr>
          <w:szCs w:val="28"/>
        </w:rPr>
        <w:t>Ю. Деякі питання доступності високоспеціалізованої перинатальної допомоги в Україні. Україна. Здоров'я нації. 2016. № 4. С.</w:t>
      </w:r>
      <w:r w:rsidR="00AA4C5F">
        <w:rPr>
          <w:lang w:val="en-US"/>
        </w:rPr>
        <w:t> </w:t>
      </w:r>
      <w:r w:rsidR="00A607AD" w:rsidRPr="00AA3A9D">
        <w:rPr>
          <w:szCs w:val="28"/>
        </w:rPr>
        <w:t>100–105. URL: http://nbuv.gov.ua/UJRN/Uzn_2016_4_17 (дата звернення: 25.10.2019).</w:t>
      </w:r>
    </w:p>
    <w:p w:rsidR="00FE0EDC" w:rsidRDefault="00FE0EDC" w:rsidP="00FE0EDC">
      <w:pPr>
        <w:ind w:firstLine="709"/>
        <w:rPr>
          <w:szCs w:val="28"/>
        </w:rPr>
      </w:pPr>
      <w:r>
        <w:rPr>
          <w:szCs w:val="28"/>
        </w:rPr>
        <w:t>19. </w:t>
      </w:r>
      <w:r w:rsidR="00A607AD" w:rsidRPr="00FE0EDC">
        <w:rPr>
          <w:szCs w:val="28"/>
        </w:rPr>
        <w:t>Дудіна О.</w:t>
      </w:r>
      <w:r w:rsidR="00F71E89">
        <w:rPr>
          <w:szCs w:val="28"/>
          <w:lang w:val="ru-RU"/>
        </w:rPr>
        <w:t> </w:t>
      </w:r>
      <w:r w:rsidR="00A607AD" w:rsidRPr="00FE0EDC">
        <w:rPr>
          <w:szCs w:val="28"/>
        </w:rPr>
        <w:t>О., Габорець Ю.</w:t>
      </w:r>
      <w:r w:rsidR="00F71E89">
        <w:rPr>
          <w:szCs w:val="28"/>
          <w:lang w:val="ru-RU"/>
        </w:rPr>
        <w:t> </w:t>
      </w:r>
      <w:r w:rsidR="00A607AD" w:rsidRPr="00FE0EDC">
        <w:rPr>
          <w:szCs w:val="28"/>
        </w:rPr>
        <w:t xml:space="preserve">Ю. Репродуктивне здоров’я як чинник фертильності жінок і якості здоров’я народжуваних поколінь. Економіка і право охорони здоров'я. 2017. № 2. С. 28–35. URL: http://nbuv.gov.ua/UJRN/eprozd_2017_2_6 (дата звернення: 05.10.2020). </w:t>
      </w:r>
    </w:p>
    <w:p w:rsidR="00365907" w:rsidRDefault="00386341" w:rsidP="00365907">
      <w:pPr>
        <w:ind w:firstLine="709"/>
        <w:rPr>
          <w:szCs w:val="28"/>
        </w:rPr>
      </w:pPr>
      <w:r>
        <w:rPr>
          <w:szCs w:val="28"/>
        </w:rPr>
        <w:t>20.</w:t>
      </w:r>
      <w:r w:rsidR="00A607AD" w:rsidRPr="00FE0EDC">
        <w:rPr>
          <w:szCs w:val="28"/>
        </w:rPr>
        <w:t xml:space="preserve"> Слабкий Г. О., Дудіна О. О., </w:t>
      </w:r>
      <w:r w:rsidR="00A607AD" w:rsidRPr="00386341">
        <w:rPr>
          <w:szCs w:val="28"/>
        </w:rPr>
        <w:t>Габорець Ю. Ю. Регіоналізація перинатальної допомоги – важливий чинник забезпечення національної безпеки країни. Україна. Здоров'я нації. 2016. №</w:t>
      </w:r>
      <w:r>
        <w:rPr>
          <w:lang w:val="en-US"/>
        </w:rPr>
        <w:t> </w:t>
      </w:r>
      <w:r w:rsidR="00A607AD" w:rsidRPr="00386341">
        <w:rPr>
          <w:szCs w:val="28"/>
        </w:rPr>
        <w:t>4</w:t>
      </w:r>
      <w:r w:rsidR="00365907">
        <w:rPr>
          <w:szCs w:val="28"/>
        </w:rPr>
        <w:t> </w:t>
      </w:r>
      <w:r w:rsidR="00A607AD" w:rsidRPr="00386341">
        <w:rPr>
          <w:szCs w:val="28"/>
        </w:rPr>
        <w:t>(1). С.</w:t>
      </w:r>
      <w:r>
        <w:t> </w:t>
      </w:r>
      <w:r w:rsidR="00A607AD" w:rsidRPr="00386341">
        <w:rPr>
          <w:szCs w:val="28"/>
        </w:rPr>
        <w:t xml:space="preserve">196–204. </w:t>
      </w:r>
      <w:r w:rsidR="00A607AD" w:rsidRPr="00FE0EDC">
        <w:rPr>
          <w:szCs w:val="28"/>
        </w:rPr>
        <w:t>URL</w:t>
      </w:r>
      <w:r w:rsidR="00A607AD" w:rsidRPr="00386341">
        <w:rPr>
          <w:szCs w:val="28"/>
        </w:rPr>
        <w:t xml:space="preserve">: </w:t>
      </w:r>
      <w:r w:rsidR="00A607AD" w:rsidRPr="00FE0EDC">
        <w:rPr>
          <w:szCs w:val="28"/>
        </w:rPr>
        <w:t>http</w:t>
      </w:r>
      <w:r w:rsidR="00A607AD" w:rsidRPr="00386341">
        <w:rPr>
          <w:szCs w:val="28"/>
        </w:rPr>
        <w:t>://</w:t>
      </w:r>
      <w:r w:rsidR="00A607AD" w:rsidRPr="00FE0EDC">
        <w:rPr>
          <w:szCs w:val="28"/>
        </w:rPr>
        <w:t>nbuv</w:t>
      </w:r>
      <w:r w:rsidR="00A607AD" w:rsidRPr="00386341">
        <w:rPr>
          <w:szCs w:val="28"/>
        </w:rPr>
        <w:t>.</w:t>
      </w:r>
      <w:r w:rsidR="00A607AD" w:rsidRPr="00FE0EDC">
        <w:rPr>
          <w:szCs w:val="28"/>
        </w:rPr>
        <w:t>gov</w:t>
      </w:r>
      <w:r w:rsidR="00A607AD" w:rsidRPr="00386341">
        <w:rPr>
          <w:szCs w:val="28"/>
        </w:rPr>
        <w:t>.</w:t>
      </w:r>
      <w:r w:rsidR="00A607AD" w:rsidRPr="00FE0EDC">
        <w:rPr>
          <w:szCs w:val="28"/>
        </w:rPr>
        <w:t>ua</w:t>
      </w:r>
      <w:r w:rsidR="00A607AD" w:rsidRPr="00386341">
        <w:rPr>
          <w:szCs w:val="28"/>
        </w:rPr>
        <w:t>/</w:t>
      </w:r>
      <w:r w:rsidR="00A607AD" w:rsidRPr="00FE0EDC">
        <w:rPr>
          <w:szCs w:val="28"/>
        </w:rPr>
        <w:t>UJRN</w:t>
      </w:r>
      <w:r w:rsidR="00A607AD" w:rsidRPr="00386341">
        <w:rPr>
          <w:szCs w:val="28"/>
        </w:rPr>
        <w:t>/</w:t>
      </w:r>
      <w:r w:rsidR="00A607AD" w:rsidRPr="00FE0EDC">
        <w:rPr>
          <w:szCs w:val="28"/>
        </w:rPr>
        <w:t>Uzn</w:t>
      </w:r>
      <w:r w:rsidR="00A607AD" w:rsidRPr="00386341">
        <w:rPr>
          <w:szCs w:val="28"/>
        </w:rPr>
        <w:t xml:space="preserve">_2016_4(1)__36 (дата звернення: 25.10.2019). </w:t>
      </w:r>
    </w:p>
    <w:p w:rsidR="00365907" w:rsidRDefault="00365907" w:rsidP="00365907">
      <w:pPr>
        <w:ind w:firstLine="709"/>
        <w:rPr>
          <w:szCs w:val="28"/>
        </w:rPr>
      </w:pPr>
      <w:r>
        <w:rPr>
          <w:szCs w:val="28"/>
        </w:rPr>
        <w:t>21.</w:t>
      </w:r>
      <w:r w:rsidR="00A607AD" w:rsidRPr="00365907">
        <w:rPr>
          <w:szCs w:val="28"/>
        </w:rPr>
        <w:t xml:space="preserve"> Слабкий Г.</w:t>
      </w:r>
      <w:r w:rsidR="00F71E89">
        <w:t> </w:t>
      </w:r>
      <w:r w:rsidR="00A607AD" w:rsidRPr="00365907">
        <w:rPr>
          <w:szCs w:val="28"/>
        </w:rPr>
        <w:t>О., Габорець Ю.</w:t>
      </w:r>
      <w:r w:rsidR="00F71E89">
        <w:rPr>
          <w:szCs w:val="28"/>
        </w:rPr>
        <w:t> </w:t>
      </w:r>
      <w:r w:rsidR="00A607AD" w:rsidRPr="00365907">
        <w:rPr>
          <w:szCs w:val="28"/>
        </w:rPr>
        <w:t>Ю., Дудіна О.</w:t>
      </w:r>
      <w:r w:rsidR="00F71E89">
        <w:rPr>
          <w:szCs w:val="28"/>
        </w:rPr>
        <w:t> </w:t>
      </w:r>
      <w:r w:rsidR="00A607AD" w:rsidRPr="00365907">
        <w:rPr>
          <w:szCs w:val="28"/>
        </w:rPr>
        <w:t>О. Аналіз результативності регіоналізації перинатальної допомоги жінкам в Україні. Вісник соціальної гігієни та організації охорони здоров'я України. 2016. №</w:t>
      </w:r>
      <w:r w:rsidR="009F261E">
        <w:rPr>
          <w:szCs w:val="28"/>
        </w:rPr>
        <w:t> </w:t>
      </w:r>
      <w:r w:rsidR="00A607AD" w:rsidRPr="00365907">
        <w:rPr>
          <w:szCs w:val="28"/>
        </w:rPr>
        <w:t>4. С.</w:t>
      </w:r>
      <w:r w:rsidR="00AA4C5F">
        <w:rPr>
          <w:lang w:val="en-US"/>
        </w:rPr>
        <w:t> </w:t>
      </w:r>
      <w:r w:rsidR="00A607AD" w:rsidRPr="00365907">
        <w:rPr>
          <w:szCs w:val="28"/>
        </w:rPr>
        <w:t xml:space="preserve">4–11. URL: http://nbuv.gov.ua/UJRN/VSG_2016_4_3 (дата звернення: 05.10.2020). </w:t>
      </w:r>
    </w:p>
    <w:p w:rsidR="00365907" w:rsidRDefault="00365907" w:rsidP="00365907">
      <w:pPr>
        <w:ind w:firstLine="709"/>
        <w:rPr>
          <w:szCs w:val="28"/>
        </w:rPr>
      </w:pPr>
      <w:r>
        <w:rPr>
          <w:szCs w:val="28"/>
        </w:rPr>
        <w:lastRenderedPageBreak/>
        <w:t>22.</w:t>
      </w:r>
      <w:r w:rsidR="00A607AD" w:rsidRPr="00365907">
        <w:rPr>
          <w:szCs w:val="28"/>
        </w:rPr>
        <w:t xml:space="preserve"> Стан регіоналізації перинатальної допомоги в Україні / Г. О. Слабкий та ін. Вісник соціальної гігієни та організації охорони здоров'я України. 2016. № 2. С.</w:t>
      </w:r>
      <w:r w:rsidR="009F261E">
        <w:rPr>
          <w:szCs w:val="28"/>
        </w:rPr>
        <w:t> </w:t>
      </w:r>
      <w:r w:rsidR="00A607AD" w:rsidRPr="00365907">
        <w:rPr>
          <w:szCs w:val="28"/>
        </w:rPr>
        <w:t>12–19. URL: http://nbuv.gov.ua/UJRN/VSG_2016</w:t>
      </w:r>
      <w:r w:rsidR="00A607AD" w:rsidRPr="00B958D8">
        <w:rPr>
          <w:szCs w:val="28"/>
        </w:rPr>
        <w:t>_2_4 (дата звернення: 25.10.2019).</w:t>
      </w:r>
    </w:p>
    <w:p w:rsidR="00365907" w:rsidRDefault="00365907" w:rsidP="00365907">
      <w:pPr>
        <w:ind w:firstLine="709"/>
        <w:rPr>
          <w:szCs w:val="28"/>
        </w:rPr>
      </w:pPr>
      <w:r w:rsidRPr="00365907">
        <w:rPr>
          <w:szCs w:val="28"/>
        </w:rPr>
        <w:t>23.</w:t>
      </w:r>
      <w:r w:rsidR="00A607AD" w:rsidRPr="00365907">
        <w:rPr>
          <w:szCs w:val="28"/>
        </w:rPr>
        <w:t xml:space="preserve"> Лехан В. М., Гінзбург В. Г. Перинатальна смертність в Україні: досягнення та проблеми (Дніпропетровськ) / Дніпропетровська державна медична академія, Головне управління охорони здоров’я Дніпропетровської обласної державної адміністрації. Україна. Здоров’я нації. 2012. № 1 (21). С. 15–25. </w:t>
      </w:r>
    </w:p>
    <w:p w:rsidR="00365907" w:rsidRDefault="00365907" w:rsidP="00365907">
      <w:pPr>
        <w:ind w:firstLine="709"/>
        <w:rPr>
          <w:szCs w:val="28"/>
        </w:rPr>
      </w:pPr>
      <w:r>
        <w:rPr>
          <w:szCs w:val="28"/>
        </w:rPr>
        <w:t xml:space="preserve">24. </w:t>
      </w:r>
      <w:r w:rsidR="00A607AD" w:rsidRPr="00365907">
        <w:rPr>
          <w:szCs w:val="28"/>
        </w:rPr>
        <w:t>Слабкий Г. О., Дудіна О. О., Габорець Ю. Ю. Динаміка перинатальної  смертності в період реформування системи охорони здор</w:t>
      </w:r>
      <w:r w:rsidR="00A607AD" w:rsidRPr="00365907">
        <w:rPr>
          <w:szCs w:val="28"/>
          <w:lang w:val="ru-RU"/>
        </w:rPr>
        <w:t xml:space="preserve">ов’я в Україні. Україна. Здоров'я нації. 2018. № 2. С. 63–69. </w:t>
      </w:r>
      <w:r w:rsidR="00A607AD" w:rsidRPr="00365907">
        <w:rPr>
          <w:szCs w:val="28"/>
        </w:rPr>
        <w:t>URL</w:t>
      </w:r>
      <w:r w:rsidR="00A607AD" w:rsidRPr="00365907">
        <w:rPr>
          <w:szCs w:val="28"/>
          <w:lang w:val="ru-RU"/>
        </w:rPr>
        <w:t xml:space="preserve">: </w:t>
      </w:r>
      <w:r w:rsidR="00A607AD" w:rsidRPr="00365907">
        <w:rPr>
          <w:szCs w:val="28"/>
        </w:rPr>
        <w:t>http</w:t>
      </w:r>
      <w:r w:rsidR="00A607AD" w:rsidRPr="00365907">
        <w:rPr>
          <w:szCs w:val="28"/>
          <w:lang w:val="ru-RU"/>
        </w:rPr>
        <w:t>://</w:t>
      </w:r>
      <w:r w:rsidR="00A607AD" w:rsidRPr="00365907">
        <w:rPr>
          <w:szCs w:val="28"/>
        </w:rPr>
        <w:t>nbuv</w:t>
      </w:r>
      <w:r w:rsidR="00A607AD" w:rsidRPr="00365907">
        <w:rPr>
          <w:szCs w:val="28"/>
          <w:lang w:val="ru-RU"/>
        </w:rPr>
        <w:t>.</w:t>
      </w:r>
      <w:r w:rsidR="00A607AD" w:rsidRPr="00365907">
        <w:rPr>
          <w:szCs w:val="28"/>
        </w:rPr>
        <w:t>gov</w:t>
      </w:r>
      <w:r w:rsidR="00A607AD" w:rsidRPr="00365907">
        <w:rPr>
          <w:szCs w:val="28"/>
          <w:lang w:val="ru-RU"/>
        </w:rPr>
        <w:t>.</w:t>
      </w:r>
      <w:r w:rsidR="00A607AD" w:rsidRPr="00365907">
        <w:rPr>
          <w:szCs w:val="28"/>
        </w:rPr>
        <w:t>ua</w:t>
      </w:r>
      <w:r w:rsidR="00A607AD" w:rsidRPr="00365907">
        <w:rPr>
          <w:szCs w:val="28"/>
          <w:lang w:val="ru-RU"/>
        </w:rPr>
        <w:t>/</w:t>
      </w:r>
      <w:r w:rsidR="00A607AD" w:rsidRPr="00365907">
        <w:rPr>
          <w:szCs w:val="28"/>
        </w:rPr>
        <w:t>UJRN</w:t>
      </w:r>
      <w:r w:rsidR="00A607AD" w:rsidRPr="00365907">
        <w:rPr>
          <w:szCs w:val="28"/>
          <w:lang w:val="ru-RU"/>
        </w:rPr>
        <w:t>/</w:t>
      </w:r>
      <w:r w:rsidR="00A607AD" w:rsidRPr="00365907">
        <w:rPr>
          <w:szCs w:val="28"/>
        </w:rPr>
        <w:t>Uzn</w:t>
      </w:r>
      <w:r w:rsidR="00A607AD" w:rsidRPr="00365907">
        <w:rPr>
          <w:szCs w:val="28"/>
          <w:lang w:val="ru-RU"/>
        </w:rPr>
        <w:t xml:space="preserve">_2018_2_15 (дата звернення: 05.10.2020). </w:t>
      </w:r>
    </w:p>
    <w:p w:rsidR="00365907" w:rsidRDefault="00365907" w:rsidP="00365907">
      <w:pPr>
        <w:ind w:firstLine="709"/>
        <w:rPr>
          <w:szCs w:val="28"/>
        </w:rPr>
      </w:pPr>
      <w:r>
        <w:rPr>
          <w:szCs w:val="28"/>
          <w:lang w:val="ru-RU"/>
        </w:rPr>
        <w:t>25. </w:t>
      </w:r>
      <w:r w:rsidR="00A607AD" w:rsidRPr="00365907">
        <w:rPr>
          <w:szCs w:val="28"/>
          <w:lang w:val="ru-RU"/>
        </w:rPr>
        <w:t xml:space="preserve">Обзор социальных детерминант и разрыва по показателям здоровья в Европейском регионе ВОЗ: заключительный доклад. Копенгаген, 2014. 274 </w:t>
      </w:r>
      <w:r w:rsidR="00A607AD" w:rsidRPr="00365907">
        <w:rPr>
          <w:szCs w:val="28"/>
        </w:rPr>
        <w:t>c</w:t>
      </w:r>
      <w:r w:rsidR="00A607AD" w:rsidRPr="00365907">
        <w:rPr>
          <w:szCs w:val="28"/>
          <w:lang w:val="ru-RU"/>
        </w:rPr>
        <w:t xml:space="preserve">. </w:t>
      </w:r>
      <w:r w:rsidR="00A607AD" w:rsidRPr="00365907">
        <w:rPr>
          <w:szCs w:val="28"/>
        </w:rPr>
        <w:t>URL</w:t>
      </w:r>
      <w:r w:rsidR="00A607AD" w:rsidRPr="00365907">
        <w:rPr>
          <w:szCs w:val="28"/>
          <w:lang w:val="ru-RU"/>
        </w:rPr>
        <w:t xml:space="preserve">: </w:t>
      </w:r>
      <w:r w:rsidR="00A607AD" w:rsidRPr="00365907">
        <w:rPr>
          <w:szCs w:val="28"/>
        </w:rPr>
        <w:t>https</w:t>
      </w:r>
      <w:r w:rsidR="00A607AD" w:rsidRPr="00365907">
        <w:rPr>
          <w:szCs w:val="28"/>
          <w:lang w:val="ru-RU"/>
        </w:rPr>
        <w:t>://</w:t>
      </w:r>
      <w:r w:rsidR="00A607AD" w:rsidRPr="00365907">
        <w:rPr>
          <w:szCs w:val="28"/>
        </w:rPr>
        <w:t>www</w:t>
      </w:r>
      <w:r w:rsidR="00A607AD" w:rsidRPr="00365907">
        <w:rPr>
          <w:szCs w:val="28"/>
          <w:lang w:val="ru-RU"/>
        </w:rPr>
        <w:t>.</w:t>
      </w:r>
      <w:r w:rsidR="00A607AD" w:rsidRPr="00365907">
        <w:rPr>
          <w:szCs w:val="28"/>
        </w:rPr>
        <w:t>euro</w:t>
      </w:r>
      <w:r w:rsidR="00A607AD" w:rsidRPr="00365907">
        <w:rPr>
          <w:szCs w:val="28"/>
          <w:lang w:val="ru-RU"/>
        </w:rPr>
        <w:t>.</w:t>
      </w:r>
      <w:r w:rsidR="00A607AD" w:rsidRPr="00365907">
        <w:rPr>
          <w:szCs w:val="28"/>
        </w:rPr>
        <w:t>who</w:t>
      </w:r>
      <w:r w:rsidR="00A607AD" w:rsidRPr="00365907">
        <w:rPr>
          <w:szCs w:val="28"/>
          <w:lang w:val="ru-RU"/>
        </w:rPr>
        <w:t>.</w:t>
      </w:r>
      <w:r w:rsidR="00A607AD" w:rsidRPr="00365907">
        <w:rPr>
          <w:szCs w:val="28"/>
        </w:rPr>
        <w:t>int</w:t>
      </w:r>
      <w:r w:rsidR="00A607AD" w:rsidRPr="00365907">
        <w:rPr>
          <w:szCs w:val="28"/>
          <w:lang w:val="ru-RU"/>
        </w:rPr>
        <w:t>/__</w:t>
      </w:r>
      <w:r w:rsidR="00A607AD" w:rsidRPr="00365907">
        <w:rPr>
          <w:szCs w:val="28"/>
        </w:rPr>
        <w:t>data</w:t>
      </w:r>
      <w:r w:rsidR="00A607AD" w:rsidRPr="00365907">
        <w:rPr>
          <w:szCs w:val="28"/>
          <w:lang w:val="ru-RU"/>
        </w:rPr>
        <w:t>/</w:t>
      </w:r>
      <w:r w:rsidR="00A607AD" w:rsidRPr="00365907">
        <w:rPr>
          <w:szCs w:val="28"/>
        </w:rPr>
        <w:t>assets</w:t>
      </w:r>
      <w:r w:rsidR="00A607AD" w:rsidRPr="00365907">
        <w:rPr>
          <w:szCs w:val="28"/>
          <w:lang w:val="ru-RU"/>
        </w:rPr>
        <w:t>/</w:t>
      </w:r>
      <w:r w:rsidR="00A607AD" w:rsidRPr="00365907">
        <w:rPr>
          <w:szCs w:val="28"/>
        </w:rPr>
        <w:t>pdf</w:t>
      </w:r>
      <w:r w:rsidR="00A607AD" w:rsidRPr="00365907">
        <w:rPr>
          <w:szCs w:val="28"/>
          <w:lang w:val="ru-RU"/>
        </w:rPr>
        <w:t>_</w:t>
      </w:r>
      <w:r w:rsidR="00A607AD" w:rsidRPr="00365907">
        <w:rPr>
          <w:szCs w:val="28"/>
        </w:rPr>
        <w:t>file</w:t>
      </w:r>
      <w:r w:rsidR="00A607AD" w:rsidRPr="00365907">
        <w:rPr>
          <w:szCs w:val="28"/>
          <w:lang w:val="ru-RU"/>
        </w:rPr>
        <w:t>/0004/251959/</w:t>
      </w:r>
      <w:r w:rsidR="00A607AD" w:rsidRPr="00365907">
        <w:rPr>
          <w:szCs w:val="28"/>
        </w:rPr>
        <w:t>Review</w:t>
      </w:r>
      <w:r w:rsidR="00A607AD" w:rsidRPr="00365907">
        <w:rPr>
          <w:szCs w:val="28"/>
          <w:lang w:val="ru-RU"/>
        </w:rPr>
        <w:t>-</w:t>
      </w:r>
      <w:r w:rsidR="00A607AD" w:rsidRPr="00365907">
        <w:rPr>
          <w:szCs w:val="28"/>
        </w:rPr>
        <w:t>of</w:t>
      </w:r>
      <w:r w:rsidR="00A607AD" w:rsidRPr="00365907">
        <w:rPr>
          <w:szCs w:val="28"/>
          <w:lang w:val="ru-RU"/>
        </w:rPr>
        <w:t>-</w:t>
      </w:r>
      <w:r w:rsidR="00A607AD" w:rsidRPr="00365907">
        <w:rPr>
          <w:szCs w:val="28"/>
        </w:rPr>
        <w:t>social</w:t>
      </w:r>
      <w:r w:rsidR="00A607AD" w:rsidRPr="00365907">
        <w:rPr>
          <w:szCs w:val="28"/>
          <w:lang w:val="ru-RU"/>
        </w:rPr>
        <w:t>-</w:t>
      </w:r>
      <w:r w:rsidR="00A607AD" w:rsidRPr="00365907">
        <w:rPr>
          <w:szCs w:val="28"/>
        </w:rPr>
        <w:t>determinants</w:t>
      </w:r>
      <w:r w:rsidR="00A607AD" w:rsidRPr="00365907">
        <w:rPr>
          <w:szCs w:val="28"/>
          <w:lang w:val="ru-RU"/>
        </w:rPr>
        <w:t>-</w:t>
      </w:r>
      <w:r w:rsidR="00A607AD" w:rsidRPr="00365907">
        <w:rPr>
          <w:szCs w:val="28"/>
        </w:rPr>
        <w:t>and</w:t>
      </w:r>
      <w:r w:rsidR="00A607AD" w:rsidRPr="00365907">
        <w:rPr>
          <w:szCs w:val="28"/>
          <w:lang w:val="ru-RU"/>
        </w:rPr>
        <w:t>-</w:t>
      </w:r>
      <w:r w:rsidR="00A607AD" w:rsidRPr="00365907">
        <w:rPr>
          <w:szCs w:val="28"/>
        </w:rPr>
        <w:t>the</w:t>
      </w:r>
      <w:r w:rsidR="00A607AD" w:rsidRPr="00365907">
        <w:rPr>
          <w:szCs w:val="28"/>
          <w:lang w:val="ru-RU"/>
        </w:rPr>
        <w:t>-</w:t>
      </w:r>
      <w:r w:rsidR="00A607AD" w:rsidRPr="00365907">
        <w:rPr>
          <w:szCs w:val="28"/>
        </w:rPr>
        <w:t>health</w:t>
      </w:r>
      <w:r w:rsidR="00A607AD" w:rsidRPr="00365907">
        <w:rPr>
          <w:szCs w:val="28"/>
          <w:lang w:val="ru-RU"/>
        </w:rPr>
        <w:t>-</w:t>
      </w:r>
      <w:r w:rsidR="00A607AD" w:rsidRPr="00365907">
        <w:rPr>
          <w:szCs w:val="28"/>
        </w:rPr>
        <w:t>divide</w:t>
      </w:r>
      <w:r w:rsidR="00A607AD" w:rsidRPr="00365907">
        <w:rPr>
          <w:szCs w:val="28"/>
          <w:lang w:val="ru-RU"/>
        </w:rPr>
        <w:t>-</w:t>
      </w:r>
      <w:r w:rsidR="00A607AD" w:rsidRPr="00365907">
        <w:rPr>
          <w:szCs w:val="28"/>
        </w:rPr>
        <w:t>in</w:t>
      </w:r>
      <w:r w:rsidR="00A607AD" w:rsidRPr="00365907">
        <w:rPr>
          <w:szCs w:val="28"/>
          <w:lang w:val="ru-RU"/>
        </w:rPr>
        <w:t>-</w:t>
      </w:r>
      <w:r w:rsidR="00A607AD" w:rsidRPr="00365907">
        <w:rPr>
          <w:szCs w:val="28"/>
        </w:rPr>
        <w:t>the</w:t>
      </w:r>
      <w:r w:rsidR="00A607AD" w:rsidRPr="00365907">
        <w:rPr>
          <w:szCs w:val="28"/>
          <w:lang w:val="ru-RU"/>
        </w:rPr>
        <w:t>-</w:t>
      </w:r>
      <w:r w:rsidR="00A607AD" w:rsidRPr="00365907">
        <w:rPr>
          <w:szCs w:val="28"/>
        </w:rPr>
        <w:t>WHO</w:t>
      </w:r>
      <w:r w:rsidR="00A607AD" w:rsidRPr="00365907">
        <w:rPr>
          <w:szCs w:val="28"/>
          <w:lang w:val="ru-RU"/>
        </w:rPr>
        <w:t>-</w:t>
      </w:r>
      <w:r w:rsidR="00A607AD" w:rsidRPr="00365907">
        <w:rPr>
          <w:szCs w:val="28"/>
        </w:rPr>
        <w:t>European</w:t>
      </w:r>
      <w:r w:rsidR="00A607AD" w:rsidRPr="00365907">
        <w:rPr>
          <w:szCs w:val="28"/>
          <w:lang w:val="ru-RU"/>
        </w:rPr>
        <w:t>-</w:t>
      </w:r>
      <w:r w:rsidR="00A607AD" w:rsidRPr="00365907">
        <w:rPr>
          <w:szCs w:val="28"/>
        </w:rPr>
        <w:t>Region</w:t>
      </w:r>
      <w:r w:rsidR="00A607AD" w:rsidRPr="00365907">
        <w:rPr>
          <w:szCs w:val="28"/>
          <w:lang w:val="ru-RU"/>
        </w:rPr>
        <w:t>-</w:t>
      </w:r>
      <w:r w:rsidR="00A607AD" w:rsidRPr="00365907">
        <w:rPr>
          <w:szCs w:val="28"/>
        </w:rPr>
        <w:t>FINAL</w:t>
      </w:r>
      <w:r w:rsidR="00A607AD" w:rsidRPr="00365907">
        <w:rPr>
          <w:szCs w:val="28"/>
          <w:lang w:val="ru-RU"/>
        </w:rPr>
        <w:t>-</w:t>
      </w:r>
      <w:r w:rsidR="00A607AD" w:rsidRPr="00365907">
        <w:rPr>
          <w:szCs w:val="28"/>
        </w:rPr>
        <w:t>REPORT</w:t>
      </w:r>
      <w:r w:rsidR="00A607AD" w:rsidRPr="00365907">
        <w:rPr>
          <w:szCs w:val="28"/>
          <w:lang w:val="ru-RU"/>
        </w:rPr>
        <w:t>-</w:t>
      </w:r>
      <w:r w:rsidR="00A607AD" w:rsidRPr="00365907">
        <w:rPr>
          <w:szCs w:val="28"/>
        </w:rPr>
        <w:t>Rus</w:t>
      </w:r>
      <w:r w:rsidR="00A607AD" w:rsidRPr="00365907">
        <w:rPr>
          <w:szCs w:val="28"/>
          <w:lang w:val="ru-RU"/>
        </w:rPr>
        <w:t>.</w:t>
      </w:r>
      <w:r w:rsidR="00A607AD" w:rsidRPr="00365907">
        <w:rPr>
          <w:szCs w:val="28"/>
        </w:rPr>
        <w:t>pdf</w:t>
      </w:r>
      <w:r>
        <w:rPr>
          <w:szCs w:val="28"/>
          <w:lang w:val="ru-RU"/>
        </w:rPr>
        <w:t xml:space="preserve"> (дата звернення: 15.11.2019).</w:t>
      </w:r>
    </w:p>
    <w:p w:rsidR="00365907" w:rsidRDefault="00365907" w:rsidP="00365907">
      <w:pPr>
        <w:ind w:firstLine="709"/>
        <w:rPr>
          <w:szCs w:val="28"/>
        </w:rPr>
      </w:pPr>
      <w:r>
        <w:rPr>
          <w:szCs w:val="28"/>
        </w:rPr>
        <w:t>26.</w:t>
      </w:r>
      <w:r>
        <w:rPr>
          <w:lang w:val="en-US"/>
        </w:rPr>
        <w:t> </w:t>
      </w:r>
      <w:r w:rsidR="00A607AD" w:rsidRPr="00365907">
        <w:rPr>
          <w:szCs w:val="28"/>
        </w:rPr>
        <w:t>Гржибовський Я. Л., Любінець О. В. Медико-соціальні детермінанти здоров’я. Український медичний часопис. 2020. № 2 (2) (136). С.</w:t>
      </w:r>
      <w:r w:rsidR="00AA4C5F">
        <w:rPr>
          <w:lang w:val="en-US"/>
        </w:rPr>
        <w:t> </w:t>
      </w:r>
      <w:r w:rsidR="00A607AD" w:rsidRPr="00365907">
        <w:rPr>
          <w:szCs w:val="28"/>
        </w:rPr>
        <w:t>29–34. DOI: 10.32471/umj.1680-3051.136.175646 (Last accessed: 28.10.2020).</w:t>
      </w:r>
    </w:p>
    <w:p w:rsidR="00365907" w:rsidRDefault="00BE6DE3" w:rsidP="00365907">
      <w:pPr>
        <w:ind w:firstLine="709"/>
        <w:rPr>
          <w:szCs w:val="28"/>
        </w:rPr>
      </w:pPr>
      <w:r>
        <w:rPr>
          <w:szCs w:val="28"/>
        </w:rPr>
        <w:t>27.</w:t>
      </w:r>
      <w:r w:rsidR="00A607AD" w:rsidRPr="00365907">
        <w:rPr>
          <w:szCs w:val="28"/>
        </w:rPr>
        <w:t xml:space="preserve"> Staebler S. Regionalized systems of perinatal care: health policy considerations. Advances in Neonatal Care. 2011. Vol. 11 (1). </w:t>
      </w:r>
      <w:r w:rsidR="00A607AD" w:rsidRPr="00BE6DE3">
        <w:rPr>
          <w:szCs w:val="28"/>
        </w:rPr>
        <w:t xml:space="preserve">Р. 37–42. </w:t>
      </w:r>
    </w:p>
    <w:p w:rsidR="00365907" w:rsidRDefault="00BE6DE3" w:rsidP="00365907">
      <w:pPr>
        <w:ind w:firstLine="709"/>
        <w:rPr>
          <w:szCs w:val="28"/>
        </w:rPr>
      </w:pPr>
      <w:r w:rsidRPr="00BE6DE3">
        <w:rPr>
          <w:szCs w:val="28"/>
        </w:rPr>
        <w:t>28.</w:t>
      </w:r>
      <w:r w:rsidR="00A607AD" w:rsidRPr="00BE6DE3">
        <w:rPr>
          <w:szCs w:val="28"/>
        </w:rPr>
        <w:t xml:space="preserve"> Моісеєнко Р. О. Національні підходи до впровадження системи регіоналізації перинатальної допомоги в Україні / за ред. Р. О. Мойсеєнко; Мін-во охорони здоров’я України. Київ, 2012. 136 с. </w:t>
      </w:r>
    </w:p>
    <w:p w:rsidR="00365907" w:rsidRDefault="00BE6DE3" w:rsidP="00365907">
      <w:pPr>
        <w:ind w:firstLine="709"/>
        <w:rPr>
          <w:szCs w:val="28"/>
        </w:rPr>
      </w:pPr>
      <w:r>
        <w:rPr>
          <w:szCs w:val="28"/>
        </w:rPr>
        <w:t>29.</w:t>
      </w:r>
      <w:r>
        <w:t> </w:t>
      </w:r>
      <w:r w:rsidR="00A607AD" w:rsidRPr="00BE6DE3">
        <w:rPr>
          <w:szCs w:val="28"/>
        </w:rPr>
        <w:t xml:space="preserve">Репродуктивне здоров’я населення України як основний критерій ефективності соціально-економічної політики держави / Р. О. Моісеєнко та ін. Україна. Здоров’я нації. 2012. № 2 (22). С. 86–91. </w:t>
      </w:r>
    </w:p>
    <w:p w:rsidR="00365907" w:rsidRDefault="00BE6DE3" w:rsidP="00365907">
      <w:pPr>
        <w:ind w:firstLine="709"/>
        <w:rPr>
          <w:szCs w:val="28"/>
        </w:rPr>
      </w:pPr>
      <w:r>
        <w:rPr>
          <w:szCs w:val="28"/>
        </w:rPr>
        <w:lastRenderedPageBreak/>
        <w:t>30.</w:t>
      </w:r>
      <w:r w:rsidR="00A607AD" w:rsidRPr="00BE6DE3">
        <w:rPr>
          <w:szCs w:val="28"/>
        </w:rPr>
        <w:t xml:space="preserve"> Знаменська Т. К., Воробйова О. В., Дубініна Т. Ю. Стратегічні напрямки реконструкції системи охорони здоров'я новонародж</w:t>
      </w:r>
      <w:r w:rsidR="00A607AD" w:rsidRPr="00365907">
        <w:rPr>
          <w:szCs w:val="28"/>
          <w:lang w:val="ru-RU"/>
        </w:rPr>
        <w:t>ених та дітей. Неонатологія, хірургія та перин</w:t>
      </w:r>
      <w:r w:rsidR="00A82DA0">
        <w:rPr>
          <w:szCs w:val="28"/>
          <w:lang w:val="ru-RU"/>
        </w:rPr>
        <w:t>атальна медицина. 2017. Т. 7, №</w:t>
      </w:r>
      <w:r w:rsidR="00A82DA0">
        <w:t> </w:t>
      </w:r>
      <w:r w:rsidR="00A607AD" w:rsidRPr="00365907">
        <w:rPr>
          <w:szCs w:val="28"/>
          <w:lang w:val="ru-RU"/>
        </w:rPr>
        <w:t>4. С.</w:t>
      </w:r>
      <w:r w:rsidR="00AA4C5F">
        <w:rPr>
          <w:lang w:val="ru-RU"/>
        </w:rPr>
        <w:t> </w:t>
      </w:r>
      <w:r w:rsidR="00A607AD" w:rsidRPr="00365907">
        <w:rPr>
          <w:szCs w:val="28"/>
          <w:lang w:val="ru-RU"/>
        </w:rPr>
        <w:t xml:space="preserve">5–12. </w:t>
      </w:r>
      <w:r w:rsidR="00A607AD" w:rsidRPr="00365907">
        <w:rPr>
          <w:szCs w:val="28"/>
        </w:rPr>
        <w:t>URL</w:t>
      </w:r>
      <w:r w:rsidR="00A607AD" w:rsidRPr="00365907">
        <w:rPr>
          <w:szCs w:val="28"/>
          <w:lang w:val="ru-RU"/>
        </w:rPr>
        <w:t xml:space="preserve">: </w:t>
      </w:r>
      <w:r w:rsidR="00A607AD" w:rsidRPr="00365907">
        <w:rPr>
          <w:szCs w:val="28"/>
        </w:rPr>
        <w:t>http</w:t>
      </w:r>
      <w:r w:rsidR="00A607AD" w:rsidRPr="00365907">
        <w:rPr>
          <w:szCs w:val="28"/>
          <w:lang w:val="ru-RU"/>
        </w:rPr>
        <w:t>://</w:t>
      </w:r>
      <w:r w:rsidR="00A607AD" w:rsidRPr="00365907">
        <w:rPr>
          <w:szCs w:val="28"/>
        </w:rPr>
        <w:t>nbuv</w:t>
      </w:r>
      <w:r w:rsidR="00A607AD" w:rsidRPr="00365907">
        <w:rPr>
          <w:szCs w:val="28"/>
          <w:lang w:val="ru-RU"/>
        </w:rPr>
        <w:t>.</w:t>
      </w:r>
      <w:r w:rsidR="00A607AD" w:rsidRPr="00365907">
        <w:rPr>
          <w:szCs w:val="28"/>
        </w:rPr>
        <w:t>gov</w:t>
      </w:r>
      <w:r w:rsidR="00A607AD" w:rsidRPr="00365907">
        <w:rPr>
          <w:szCs w:val="28"/>
          <w:lang w:val="ru-RU"/>
        </w:rPr>
        <w:t>.</w:t>
      </w:r>
      <w:r w:rsidR="00A607AD" w:rsidRPr="00365907">
        <w:rPr>
          <w:szCs w:val="28"/>
        </w:rPr>
        <w:t>ua</w:t>
      </w:r>
      <w:r w:rsidR="00A607AD" w:rsidRPr="00365907">
        <w:rPr>
          <w:szCs w:val="28"/>
          <w:lang w:val="ru-RU"/>
        </w:rPr>
        <w:t>/</w:t>
      </w:r>
      <w:r w:rsidR="00A607AD" w:rsidRPr="00365907">
        <w:rPr>
          <w:szCs w:val="28"/>
        </w:rPr>
        <w:t>UJRN</w:t>
      </w:r>
      <w:r w:rsidR="00A607AD" w:rsidRPr="00365907">
        <w:rPr>
          <w:szCs w:val="28"/>
          <w:lang w:val="ru-RU"/>
        </w:rPr>
        <w:t>/</w:t>
      </w:r>
      <w:r w:rsidR="00A607AD" w:rsidRPr="00365907">
        <w:rPr>
          <w:szCs w:val="28"/>
        </w:rPr>
        <w:t>Nkhpm</w:t>
      </w:r>
      <w:r w:rsidR="00A607AD" w:rsidRPr="00365907">
        <w:rPr>
          <w:szCs w:val="28"/>
          <w:lang w:val="ru-RU"/>
        </w:rPr>
        <w:t xml:space="preserve">_2017_7_4_3 (дата звернення: 15.10.2020). </w:t>
      </w:r>
    </w:p>
    <w:p w:rsidR="00365907" w:rsidRDefault="00BE6DE3" w:rsidP="00365907">
      <w:pPr>
        <w:ind w:firstLine="709"/>
        <w:rPr>
          <w:szCs w:val="28"/>
        </w:rPr>
      </w:pPr>
      <w:r>
        <w:rPr>
          <w:szCs w:val="28"/>
          <w:lang w:val="ru-RU"/>
        </w:rPr>
        <w:t>31.</w:t>
      </w:r>
      <w:r w:rsidR="00A607AD" w:rsidRPr="00365907">
        <w:rPr>
          <w:szCs w:val="28"/>
          <w:lang w:val="ru-RU"/>
        </w:rPr>
        <w:t xml:space="preserve"> Вдовиченко Ю. П., Жилка Н. Я. Стан та перспективи перинатальної допомоги в Україні. Здоровье женщины. 2012. № 3. С.</w:t>
      </w:r>
      <w:r w:rsidR="00AA4C5F">
        <w:rPr>
          <w:lang w:val="ru-RU"/>
        </w:rPr>
        <w:t> </w:t>
      </w:r>
      <w:r w:rsidR="00A607AD" w:rsidRPr="00365907">
        <w:rPr>
          <w:szCs w:val="28"/>
          <w:lang w:val="ru-RU"/>
        </w:rPr>
        <w:t xml:space="preserve">172–173. </w:t>
      </w:r>
      <w:r w:rsidR="00A607AD" w:rsidRPr="00365907">
        <w:rPr>
          <w:szCs w:val="28"/>
        </w:rPr>
        <w:t>URL</w:t>
      </w:r>
      <w:r w:rsidR="00A607AD" w:rsidRPr="00365907">
        <w:rPr>
          <w:szCs w:val="28"/>
          <w:lang w:val="ru-RU"/>
        </w:rPr>
        <w:t xml:space="preserve">: </w:t>
      </w:r>
      <w:r w:rsidR="00A607AD" w:rsidRPr="00365907">
        <w:rPr>
          <w:szCs w:val="28"/>
        </w:rPr>
        <w:t>http</w:t>
      </w:r>
      <w:r w:rsidR="00A607AD" w:rsidRPr="00365907">
        <w:rPr>
          <w:szCs w:val="28"/>
          <w:lang w:val="ru-RU"/>
        </w:rPr>
        <w:t>://</w:t>
      </w:r>
      <w:r w:rsidR="00A607AD" w:rsidRPr="00365907">
        <w:rPr>
          <w:szCs w:val="28"/>
        </w:rPr>
        <w:t>nbuv</w:t>
      </w:r>
      <w:r w:rsidR="00A607AD" w:rsidRPr="00365907">
        <w:rPr>
          <w:szCs w:val="28"/>
          <w:lang w:val="ru-RU"/>
        </w:rPr>
        <w:t>.</w:t>
      </w:r>
      <w:r w:rsidR="00A607AD" w:rsidRPr="00365907">
        <w:rPr>
          <w:szCs w:val="28"/>
        </w:rPr>
        <w:t>gov</w:t>
      </w:r>
      <w:r w:rsidR="00A607AD" w:rsidRPr="00365907">
        <w:rPr>
          <w:szCs w:val="28"/>
          <w:lang w:val="ru-RU"/>
        </w:rPr>
        <w:t>.</w:t>
      </w:r>
      <w:r w:rsidR="00A607AD" w:rsidRPr="00365907">
        <w:rPr>
          <w:szCs w:val="28"/>
        </w:rPr>
        <w:t>ua</w:t>
      </w:r>
      <w:r w:rsidR="00A607AD" w:rsidRPr="00365907">
        <w:rPr>
          <w:szCs w:val="28"/>
          <w:lang w:val="ru-RU"/>
        </w:rPr>
        <w:t>/</w:t>
      </w:r>
      <w:r w:rsidR="00A607AD" w:rsidRPr="00365907">
        <w:rPr>
          <w:szCs w:val="28"/>
        </w:rPr>
        <w:t>UJRN</w:t>
      </w:r>
      <w:r w:rsidR="00A607AD" w:rsidRPr="00365907">
        <w:rPr>
          <w:szCs w:val="28"/>
          <w:lang w:val="ru-RU"/>
        </w:rPr>
        <w:t>/</w:t>
      </w:r>
      <w:r w:rsidR="00A607AD" w:rsidRPr="00365907">
        <w:rPr>
          <w:szCs w:val="28"/>
        </w:rPr>
        <w:t>Zdzh</w:t>
      </w:r>
      <w:r w:rsidR="00A607AD" w:rsidRPr="00365907">
        <w:rPr>
          <w:szCs w:val="28"/>
          <w:lang w:val="ru-RU"/>
        </w:rPr>
        <w:t xml:space="preserve">_2012_3_51 (дата звернення: 05.02.2018). </w:t>
      </w:r>
    </w:p>
    <w:p w:rsidR="00365907" w:rsidRDefault="00BE6DE3" w:rsidP="00365907">
      <w:pPr>
        <w:ind w:firstLine="709"/>
        <w:rPr>
          <w:szCs w:val="28"/>
        </w:rPr>
      </w:pPr>
      <w:r>
        <w:rPr>
          <w:szCs w:val="28"/>
          <w:lang w:val="ru-RU"/>
        </w:rPr>
        <w:t>32.</w:t>
      </w:r>
      <w:r>
        <w:rPr>
          <w:lang w:val="en-US"/>
        </w:rPr>
        <w:t> </w:t>
      </w:r>
      <w:r w:rsidR="00A607AD" w:rsidRPr="00365907">
        <w:rPr>
          <w:szCs w:val="28"/>
          <w:lang w:val="ru-RU"/>
        </w:rPr>
        <w:t>Рой І. Державні пріоритети у сфері демографічної безпеки України / Національна академія державного при Президентові України. Державне управління та місцеве самоврядування. 2013. Вип.</w:t>
      </w:r>
      <w:r w:rsidR="00AA4C5F">
        <w:t> </w:t>
      </w:r>
      <w:r w:rsidR="00A607AD" w:rsidRPr="00365907">
        <w:rPr>
          <w:szCs w:val="28"/>
          <w:lang w:val="ru-RU"/>
        </w:rPr>
        <w:t>1</w:t>
      </w:r>
      <w:r w:rsidR="00AA4C5F">
        <w:rPr>
          <w:lang w:val="en-US"/>
        </w:rPr>
        <w:t> </w:t>
      </w:r>
      <w:r w:rsidR="00A607AD" w:rsidRPr="00365907">
        <w:rPr>
          <w:szCs w:val="28"/>
          <w:lang w:val="ru-RU"/>
        </w:rPr>
        <w:t xml:space="preserve">(16). </w:t>
      </w:r>
      <w:r w:rsidR="00A607AD" w:rsidRPr="00365907">
        <w:rPr>
          <w:szCs w:val="28"/>
        </w:rPr>
        <w:t>URL</w:t>
      </w:r>
      <w:r w:rsidR="00A607AD" w:rsidRPr="00365907">
        <w:rPr>
          <w:szCs w:val="28"/>
          <w:lang w:val="ru-RU"/>
        </w:rPr>
        <w:t xml:space="preserve">: </w:t>
      </w:r>
      <w:r w:rsidR="00A607AD" w:rsidRPr="00365907">
        <w:rPr>
          <w:szCs w:val="28"/>
        </w:rPr>
        <w:t>http</w:t>
      </w:r>
      <w:r w:rsidR="00A607AD" w:rsidRPr="00365907">
        <w:rPr>
          <w:szCs w:val="28"/>
          <w:lang w:val="ru-RU"/>
        </w:rPr>
        <w:t>://</w:t>
      </w:r>
      <w:r w:rsidR="00A607AD" w:rsidRPr="00365907">
        <w:rPr>
          <w:szCs w:val="28"/>
        </w:rPr>
        <w:t>www</w:t>
      </w:r>
      <w:r w:rsidR="00A607AD" w:rsidRPr="00365907">
        <w:rPr>
          <w:szCs w:val="28"/>
          <w:lang w:val="ru-RU"/>
        </w:rPr>
        <w:t>.</w:t>
      </w:r>
      <w:r w:rsidR="00A607AD" w:rsidRPr="00365907">
        <w:rPr>
          <w:szCs w:val="28"/>
        </w:rPr>
        <w:t>dridu</w:t>
      </w:r>
      <w:r w:rsidR="00A607AD" w:rsidRPr="00365907">
        <w:rPr>
          <w:szCs w:val="28"/>
          <w:lang w:val="ru-RU"/>
        </w:rPr>
        <w:t>.</w:t>
      </w:r>
      <w:r w:rsidR="00A607AD" w:rsidRPr="00365907">
        <w:rPr>
          <w:szCs w:val="28"/>
        </w:rPr>
        <w:t>dp</w:t>
      </w:r>
      <w:r w:rsidR="00A607AD" w:rsidRPr="00365907">
        <w:rPr>
          <w:szCs w:val="28"/>
          <w:lang w:val="ru-RU"/>
        </w:rPr>
        <w:t>.</w:t>
      </w:r>
      <w:r w:rsidR="00A607AD" w:rsidRPr="00365907">
        <w:rPr>
          <w:szCs w:val="28"/>
        </w:rPr>
        <w:t>ua</w:t>
      </w:r>
      <w:r w:rsidR="00A607AD" w:rsidRPr="00365907">
        <w:rPr>
          <w:szCs w:val="28"/>
          <w:lang w:val="ru-RU"/>
        </w:rPr>
        <w:t>/</w:t>
      </w:r>
      <w:r w:rsidR="00A607AD" w:rsidRPr="00365907">
        <w:rPr>
          <w:szCs w:val="28"/>
        </w:rPr>
        <w:t>vidavnictvo</w:t>
      </w:r>
      <w:r w:rsidR="00A607AD" w:rsidRPr="00365907">
        <w:rPr>
          <w:szCs w:val="28"/>
          <w:lang w:val="ru-RU"/>
        </w:rPr>
        <w:t>/2013/2013_01(16)/15.</w:t>
      </w:r>
      <w:r w:rsidR="00A607AD" w:rsidRPr="00365907">
        <w:rPr>
          <w:szCs w:val="28"/>
        </w:rPr>
        <w:t>pdf</w:t>
      </w:r>
      <w:r w:rsidR="00A607AD" w:rsidRPr="00365907">
        <w:rPr>
          <w:szCs w:val="28"/>
          <w:lang w:val="ru-RU"/>
        </w:rPr>
        <w:t xml:space="preserve"> (дата звернення: 12.10.2020).</w:t>
      </w:r>
    </w:p>
    <w:p w:rsidR="00365907" w:rsidRDefault="00BE6DE3" w:rsidP="00365907">
      <w:pPr>
        <w:ind w:firstLine="709"/>
        <w:rPr>
          <w:szCs w:val="28"/>
        </w:rPr>
      </w:pPr>
      <w:r>
        <w:rPr>
          <w:szCs w:val="28"/>
          <w:lang w:val="ru-RU"/>
        </w:rPr>
        <w:t>33.</w:t>
      </w:r>
      <w:r w:rsidR="00A607AD" w:rsidRPr="00365907">
        <w:rPr>
          <w:szCs w:val="28"/>
          <w:lang w:val="ru-RU"/>
        </w:rPr>
        <w:t xml:space="preserve"> Концептуальні підходи до забезпечення якості та безпеки медичної допомоги новонародженим (оглядова стаття) / Т.</w:t>
      </w:r>
      <w:r w:rsidR="009F261E">
        <w:rPr>
          <w:szCs w:val="28"/>
          <w:lang w:val="ru-RU"/>
        </w:rPr>
        <w:t> </w:t>
      </w:r>
      <w:r w:rsidR="00A607AD" w:rsidRPr="00365907">
        <w:rPr>
          <w:szCs w:val="28"/>
          <w:lang w:val="ru-RU"/>
        </w:rPr>
        <w:t>К.</w:t>
      </w:r>
      <w:r w:rsidR="009F261E">
        <w:rPr>
          <w:szCs w:val="28"/>
          <w:lang w:val="ru-RU"/>
        </w:rPr>
        <w:t> </w:t>
      </w:r>
      <w:r w:rsidR="00A607AD" w:rsidRPr="00365907">
        <w:rPr>
          <w:szCs w:val="28"/>
          <w:lang w:val="ru-RU"/>
        </w:rPr>
        <w:t>Знаменська та ін. Перинатология и педиатрия. 2013. № 4. С.</w:t>
      </w:r>
      <w:r w:rsidR="00AA4C5F">
        <w:rPr>
          <w:lang w:val="ru-RU"/>
        </w:rPr>
        <w:t> </w:t>
      </w:r>
      <w:r w:rsidR="00A607AD" w:rsidRPr="00365907">
        <w:rPr>
          <w:szCs w:val="28"/>
          <w:lang w:val="ru-RU"/>
        </w:rPr>
        <w:t xml:space="preserve">6–10. </w:t>
      </w:r>
      <w:r w:rsidR="00A607AD" w:rsidRPr="00365907">
        <w:rPr>
          <w:szCs w:val="28"/>
        </w:rPr>
        <w:t>URL</w:t>
      </w:r>
      <w:r w:rsidR="00A607AD" w:rsidRPr="00365907">
        <w:rPr>
          <w:szCs w:val="28"/>
          <w:lang w:val="ru-RU"/>
        </w:rPr>
        <w:t xml:space="preserve">: </w:t>
      </w:r>
      <w:r w:rsidR="00A607AD" w:rsidRPr="00365907">
        <w:rPr>
          <w:szCs w:val="28"/>
        </w:rPr>
        <w:t>http</w:t>
      </w:r>
      <w:r w:rsidR="00A607AD" w:rsidRPr="00365907">
        <w:rPr>
          <w:szCs w:val="28"/>
          <w:lang w:val="ru-RU"/>
        </w:rPr>
        <w:t>://</w:t>
      </w:r>
      <w:r w:rsidR="00A607AD" w:rsidRPr="00365907">
        <w:rPr>
          <w:szCs w:val="28"/>
        </w:rPr>
        <w:t>nbuv</w:t>
      </w:r>
      <w:r w:rsidR="00A607AD" w:rsidRPr="00365907">
        <w:rPr>
          <w:szCs w:val="28"/>
          <w:lang w:val="ru-RU"/>
        </w:rPr>
        <w:t>.</w:t>
      </w:r>
      <w:r w:rsidR="00A607AD" w:rsidRPr="00365907">
        <w:rPr>
          <w:szCs w:val="28"/>
        </w:rPr>
        <w:t>gov</w:t>
      </w:r>
      <w:r w:rsidR="00A607AD" w:rsidRPr="00365907">
        <w:rPr>
          <w:szCs w:val="28"/>
          <w:lang w:val="ru-RU"/>
        </w:rPr>
        <w:t>.</w:t>
      </w:r>
      <w:r w:rsidR="00A607AD" w:rsidRPr="00365907">
        <w:rPr>
          <w:szCs w:val="28"/>
        </w:rPr>
        <w:t>ua</w:t>
      </w:r>
      <w:r w:rsidR="00A607AD" w:rsidRPr="00365907">
        <w:rPr>
          <w:szCs w:val="28"/>
          <w:lang w:val="ru-RU"/>
        </w:rPr>
        <w:t>/</w:t>
      </w:r>
      <w:r w:rsidR="00A607AD" w:rsidRPr="00365907">
        <w:rPr>
          <w:szCs w:val="28"/>
        </w:rPr>
        <w:t>UJRN</w:t>
      </w:r>
      <w:r w:rsidR="00A607AD" w:rsidRPr="00365907">
        <w:rPr>
          <w:szCs w:val="28"/>
          <w:lang w:val="ru-RU"/>
        </w:rPr>
        <w:t>/</w:t>
      </w:r>
      <w:r w:rsidR="00A607AD" w:rsidRPr="00365907">
        <w:rPr>
          <w:szCs w:val="28"/>
        </w:rPr>
        <w:t>perynatology</w:t>
      </w:r>
      <w:r w:rsidR="00A607AD" w:rsidRPr="00365907">
        <w:rPr>
          <w:szCs w:val="28"/>
          <w:lang w:val="ru-RU"/>
        </w:rPr>
        <w:t xml:space="preserve">_2013_4_3 (дата звернення: 25.10.2020). </w:t>
      </w:r>
    </w:p>
    <w:p w:rsidR="00365907" w:rsidRDefault="00BE6DE3" w:rsidP="00365907">
      <w:pPr>
        <w:ind w:firstLine="709"/>
        <w:rPr>
          <w:szCs w:val="28"/>
        </w:rPr>
      </w:pPr>
      <w:r>
        <w:rPr>
          <w:szCs w:val="28"/>
          <w:lang w:val="ru-RU"/>
        </w:rPr>
        <w:t>34.</w:t>
      </w:r>
      <w:r w:rsidR="00A607AD" w:rsidRPr="00365907">
        <w:rPr>
          <w:szCs w:val="28"/>
          <w:lang w:val="ru-RU"/>
        </w:rPr>
        <w:t xml:space="preserve"> Пріоритети національного плану дій з припинення смертей новонароджених, які можна попередити, в рамках глобальної стратегії ООН "Кожна жінка, кожна дитина" / Т. К. Знаменська та ін. Неонатологія,  хірургія та перинатальна медицина. 2016. Т. 6, № 1. С.</w:t>
      </w:r>
      <w:r w:rsidR="00AA4C5F">
        <w:rPr>
          <w:szCs w:val="28"/>
          <w:lang w:val="en-US"/>
        </w:rPr>
        <w:t> </w:t>
      </w:r>
      <w:r w:rsidR="00A607AD" w:rsidRPr="00365907">
        <w:rPr>
          <w:szCs w:val="28"/>
          <w:lang w:val="ru-RU"/>
        </w:rPr>
        <w:t xml:space="preserve">5–11.  </w:t>
      </w:r>
      <w:r w:rsidR="00A607AD" w:rsidRPr="00365907">
        <w:rPr>
          <w:szCs w:val="28"/>
        </w:rPr>
        <w:t>URL</w:t>
      </w:r>
      <w:r w:rsidR="00A607AD" w:rsidRPr="00365907">
        <w:rPr>
          <w:szCs w:val="28"/>
          <w:lang w:val="ru-RU"/>
        </w:rPr>
        <w:t xml:space="preserve">: </w:t>
      </w:r>
      <w:r w:rsidR="00A607AD" w:rsidRPr="00365907">
        <w:rPr>
          <w:szCs w:val="28"/>
        </w:rPr>
        <w:t>http</w:t>
      </w:r>
      <w:r w:rsidR="00A607AD" w:rsidRPr="00365907">
        <w:rPr>
          <w:szCs w:val="28"/>
          <w:lang w:val="ru-RU"/>
        </w:rPr>
        <w:t>://</w:t>
      </w:r>
      <w:r w:rsidR="00A607AD" w:rsidRPr="00365907">
        <w:rPr>
          <w:szCs w:val="28"/>
        </w:rPr>
        <w:t>nbuv</w:t>
      </w:r>
      <w:r w:rsidR="00A607AD" w:rsidRPr="00365907">
        <w:rPr>
          <w:szCs w:val="28"/>
          <w:lang w:val="ru-RU"/>
        </w:rPr>
        <w:t>.</w:t>
      </w:r>
      <w:r w:rsidR="00A607AD" w:rsidRPr="00365907">
        <w:rPr>
          <w:szCs w:val="28"/>
        </w:rPr>
        <w:t>gov</w:t>
      </w:r>
      <w:r w:rsidR="00A607AD" w:rsidRPr="00365907">
        <w:rPr>
          <w:szCs w:val="28"/>
          <w:lang w:val="ru-RU"/>
        </w:rPr>
        <w:t>.</w:t>
      </w:r>
      <w:r w:rsidR="00A607AD" w:rsidRPr="00365907">
        <w:rPr>
          <w:szCs w:val="28"/>
        </w:rPr>
        <w:t>ua</w:t>
      </w:r>
      <w:r w:rsidR="00A607AD" w:rsidRPr="00365907">
        <w:rPr>
          <w:szCs w:val="28"/>
          <w:lang w:val="ru-RU"/>
        </w:rPr>
        <w:t>/</w:t>
      </w:r>
      <w:r w:rsidR="00A607AD" w:rsidRPr="00365907">
        <w:rPr>
          <w:szCs w:val="28"/>
        </w:rPr>
        <w:t>UJRN</w:t>
      </w:r>
      <w:r w:rsidR="00A607AD" w:rsidRPr="00365907">
        <w:rPr>
          <w:szCs w:val="28"/>
          <w:lang w:val="ru-RU"/>
        </w:rPr>
        <w:t>/</w:t>
      </w:r>
      <w:r w:rsidR="00A607AD" w:rsidRPr="00365907">
        <w:rPr>
          <w:szCs w:val="28"/>
        </w:rPr>
        <w:t>Nkhpm</w:t>
      </w:r>
      <w:r w:rsidR="00A607AD" w:rsidRPr="00365907">
        <w:rPr>
          <w:szCs w:val="28"/>
          <w:lang w:val="ru-RU"/>
        </w:rPr>
        <w:t xml:space="preserve">_2016_6_1_3 (дата звернення: 25.10.2020). </w:t>
      </w:r>
    </w:p>
    <w:p w:rsidR="00365907" w:rsidRDefault="00BE6DE3" w:rsidP="00365907">
      <w:pPr>
        <w:ind w:firstLine="709"/>
        <w:rPr>
          <w:szCs w:val="28"/>
        </w:rPr>
      </w:pPr>
      <w:r>
        <w:rPr>
          <w:szCs w:val="28"/>
        </w:rPr>
        <w:t>35.</w:t>
      </w:r>
      <w:r w:rsidR="00A607AD" w:rsidRPr="00044303">
        <w:rPr>
          <w:szCs w:val="28"/>
        </w:rPr>
        <w:t xml:space="preserve"> Огнєв В. А. Медико-соціальне обґрунтування моделі управління якістю життя дітей з ожирінням / В. А. Огнєв, К. Г. Помогайбо. </w:t>
      </w:r>
      <w:r w:rsidR="00A607AD" w:rsidRPr="00B958D8">
        <w:rPr>
          <w:szCs w:val="28"/>
        </w:rPr>
        <w:t>Вісник соціальної гігієни та організації охорони здоров'я України. 2018. № 1. С.</w:t>
      </w:r>
      <w:r w:rsidR="00AA4C5F">
        <w:rPr>
          <w:lang w:val="en-US"/>
        </w:rPr>
        <w:t> </w:t>
      </w:r>
      <w:r w:rsidR="00A607AD" w:rsidRPr="00B958D8">
        <w:rPr>
          <w:szCs w:val="28"/>
        </w:rPr>
        <w:t xml:space="preserve">52-59. </w:t>
      </w:r>
      <w:r w:rsidR="00A607AD" w:rsidRPr="00365907">
        <w:rPr>
          <w:szCs w:val="28"/>
        </w:rPr>
        <w:t>URL</w:t>
      </w:r>
      <w:r w:rsidR="00A607AD" w:rsidRPr="00B958D8">
        <w:rPr>
          <w:szCs w:val="28"/>
        </w:rPr>
        <w:t xml:space="preserve">: </w:t>
      </w:r>
      <w:r w:rsidR="00A607AD" w:rsidRPr="00365907">
        <w:rPr>
          <w:szCs w:val="28"/>
        </w:rPr>
        <w:t>http</w:t>
      </w:r>
      <w:r w:rsidR="00A607AD" w:rsidRPr="00B958D8">
        <w:rPr>
          <w:szCs w:val="28"/>
        </w:rPr>
        <w:t>://</w:t>
      </w:r>
      <w:r w:rsidR="00A607AD" w:rsidRPr="00365907">
        <w:rPr>
          <w:szCs w:val="28"/>
        </w:rPr>
        <w:t>nbuv</w:t>
      </w:r>
      <w:r w:rsidR="00A607AD" w:rsidRPr="00B958D8">
        <w:rPr>
          <w:szCs w:val="28"/>
        </w:rPr>
        <w:t>.</w:t>
      </w:r>
      <w:r w:rsidR="00A607AD" w:rsidRPr="00365907">
        <w:rPr>
          <w:szCs w:val="28"/>
        </w:rPr>
        <w:t>gov</w:t>
      </w:r>
      <w:r w:rsidR="00A607AD" w:rsidRPr="00B958D8">
        <w:rPr>
          <w:szCs w:val="28"/>
        </w:rPr>
        <w:t>.</w:t>
      </w:r>
      <w:r w:rsidR="00A607AD" w:rsidRPr="00365907">
        <w:rPr>
          <w:szCs w:val="28"/>
        </w:rPr>
        <w:t>ua</w:t>
      </w:r>
      <w:r w:rsidR="00A607AD" w:rsidRPr="00B958D8">
        <w:rPr>
          <w:szCs w:val="28"/>
        </w:rPr>
        <w:t>/</w:t>
      </w:r>
      <w:r w:rsidR="00A607AD" w:rsidRPr="00365907">
        <w:rPr>
          <w:szCs w:val="28"/>
        </w:rPr>
        <w:t>UJRN</w:t>
      </w:r>
      <w:r w:rsidR="00A607AD" w:rsidRPr="00B958D8">
        <w:rPr>
          <w:szCs w:val="28"/>
        </w:rPr>
        <w:t>/</w:t>
      </w:r>
      <w:r w:rsidR="00A607AD" w:rsidRPr="00365907">
        <w:rPr>
          <w:szCs w:val="28"/>
        </w:rPr>
        <w:t>VSG</w:t>
      </w:r>
      <w:r w:rsidR="00A607AD" w:rsidRPr="00B958D8">
        <w:rPr>
          <w:szCs w:val="28"/>
        </w:rPr>
        <w:t xml:space="preserve">_2018_1_10 (дата звернення: 12.10.2020). </w:t>
      </w:r>
    </w:p>
    <w:p w:rsidR="00365907" w:rsidRDefault="00BE6DE3" w:rsidP="00365907">
      <w:pPr>
        <w:ind w:firstLine="709"/>
        <w:rPr>
          <w:szCs w:val="28"/>
        </w:rPr>
      </w:pPr>
      <w:r w:rsidRPr="00BE6DE3">
        <w:rPr>
          <w:szCs w:val="28"/>
        </w:rPr>
        <w:t>36.</w:t>
      </w:r>
      <w:r w:rsidR="00A607AD" w:rsidRPr="00BE6DE3">
        <w:rPr>
          <w:szCs w:val="28"/>
        </w:rPr>
        <w:t xml:space="preserve"> Жилка Н. Я., Кудря А. В. Тенденції материнської смертності в Україні та її основні чинники. Лікарська справа. 2018. № 3/4. С.</w:t>
      </w:r>
      <w:r w:rsidR="00AA4C5F">
        <w:rPr>
          <w:szCs w:val="28"/>
          <w:lang w:val="en-US"/>
        </w:rPr>
        <w:t> </w:t>
      </w:r>
      <w:r w:rsidR="00A607AD" w:rsidRPr="00BE6DE3">
        <w:rPr>
          <w:szCs w:val="28"/>
        </w:rPr>
        <w:t xml:space="preserve">161–168. </w:t>
      </w:r>
      <w:r w:rsidR="00A607AD" w:rsidRPr="00365907">
        <w:rPr>
          <w:szCs w:val="28"/>
        </w:rPr>
        <w:t>URL</w:t>
      </w:r>
      <w:r w:rsidR="00A607AD" w:rsidRPr="00BE6DE3">
        <w:rPr>
          <w:szCs w:val="28"/>
        </w:rPr>
        <w:t xml:space="preserve">: </w:t>
      </w:r>
      <w:r w:rsidR="00A607AD" w:rsidRPr="00365907">
        <w:rPr>
          <w:szCs w:val="28"/>
        </w:rPr>
        <w:t>http</w:t>
      </w:r>
      <w:r w:rsidR="00A607AD" w:rsidRPr="00BE6DE3">
        <w:rPr>
          <w:szCs w:val="28"/>
        </w:rPr>
        <w:t>://</w:t>
      </w:r>
      <w:r w:rsidR="00A607AD" w:rsidRPr="00365907">
        <w:rPr>
          <w:szCs w:val="28"/>
        </w:rPr>
        <w:t>nbuv</w:t>
      </w:r>
      <w:r w:rsidR="00A607AD" w:rsidRPr="00BE6DE3">
        <w:rPr>
          <w:szCs w:val="28"/>
        </w:rPr>
        <w:t>.</w:t>
      </w:r>
      <w:r w:rsidR="00A607AD" w:rsidRPr="00365907">
        <w:rPr>
          <w:szCs w:val="28"/>
        </w:rPr>
        <w:t>gov</w:t>
      </w:r>
      <w:r w:rsidR="00A607AD" w:rsidRPr="00BE6DE3">
        <w:rPr>
          <w:szCs w:val="28"/>
        </w:rPr>
        <w:t>.</w:t>
      </w:r>
      <w:r w:rsidR="00A607AD" w:rsidRPr="00365907">
        <w:rPr>
          <w:szCs w:val="28"/>
        </w:rPr>
        <w:t>ua</w:t>
      </w:r>
      <w:r w:rsidR="00A607AD" w:rsidRPr="00BE6DE3">
        <w:rPr>
          <w:szCs w:val="28"/>
        </w:rPr>
        <w:t>/</w:t>
      </w:r>
      <w:r w:rsidR="00A607AD" w:rsidRPr="00365907">
        <w:rPr>
          <w:szCs w:val="28"/>
        </w:rPr>
        <w:t>UJRN</w:t>
      </w:r>
      <w:r w:rsidR="00A607AD" w:rsidRPr="00BE6DE3">
        <w:rPr>
          <w:szCs w:val="28"/>
        </w:rPr>
        <w:t>/</w:t>
      </w:r>
      <w:r w:rsidR="00A607AD" w:rsidRPr="00365907">
        <w:rPr>
          <w:szCs w:val="28"/>
        </w:rPr>
        <w:t>LiSp</w:t>
      </w:r>
      <w:r w:rsidR="00A607AD" w:rsidRPr="00BE6DE3">
        <w:rPr>
          <w:szCs w:val="28"/>
        </w:rPr>
        <w:t xml:space="preserve">_2018_3-4_29 (дата звернення: 16.05.2020). </w:t>
      </w:r>
    </w:p>
    <w:p w:rsidR="00365907" w:rsidRDefault="00BE6DE3" w:rsidP="00365907">
      <w:pPr>
        <w:ind w:firstLine="709"/>
        <w:rPr>
          <w:szCs w:val="28"/>
        </w:rPr>
      </w:pPr>
      <w:r>
        <w:rPr>
          <w:szCs w:val="28"/>
        </w:rPr>
        <w:lastRenderedPageBreak/>
        <w:t>37.</w:t>
      </w:r>
      <w:r w:rsidR="00A607AD" w:rsidRPr="00365907">
        <w:rPr>
          <w:szCs w:val="28"/>
        </w:rPr>
        <w:t xml:space="preserve"> Vaccination coverage rates and the incidence of vaccine preventable diseases among children in Sumy region of Ukraine / V. A. Smiianov et al. // Wiadomości Lekarskie. </w:t>
      </w:r>
      <w:r w:rsidR="00A607AD" w:rsidRPr="00B958D8">
        <w:rPr>
          <w:szCs w:val="28"/>
          <w:lang w:val="en-US"/>
        </w:rPr>
        <w:t xml:space="preserve">2019. </w:t>
      </w:r>
      <w:r w:rsidR="00A607AD" w:rsidRPr="00365907">
        <w:rPr>
          <w:szCs w:val="28"/>
        </w:rPr>
        <w:t>Vol</w:t>
      </w:r>
      <w:r w:rsidR="00A607AD" w:rsidRPr="00B958D8">
        <w:rPr>
          <w:szCs w:val="28"/>
          <w:lang w:val="en-US"/>
        </w:rPr>
        <w:t xml:space="preserve">. </w:t>
      </w:r>
      <w:r w:rsidR="00A607AD" w:rsidRPr="00365907">
        <w:rPr>
          <w:szCs w:val="28"/>
        </w:rPr>
        <w:t>LXXII</w:t>
      </w:r>
      <w:r w:rsidR="00A607AD" w:rsidRPr="00B958D8">
        <w:rPr>
          <w:szCs w:val="28"/>
          <w:lang w:val="en-US"/>
        </w:rPr>
        <w:t xml:space="preserve">, </w:t>
      </w:r>
      <w:r w:rsidR="00A607AD" w:rsidRPr="00365907">
        <w:rPr>
          <w:szCs w:val="28"/>
        </w:rPr>
        <w:t>Vol</w:t>
      </w:r>
      <w:r w:rsidR="00A607AD" w:rsidRPr="00B958D8">
        <w:rPr>
          <w:szCs w:val="28"/>
          <w:lang w:val="en-US"/>
        </w:rPr>
        <w:t xml:space="preserve">. 2. </w:t>
      </w:r>
      <w:r w:rsidR="00A607AD" w:rsidRPr="00365907">
        <w:rPr>
          <w:szCs w:val="28"/>
        </w:rPr>
        <w:t>P</w:t>
      </w:r>
      <w:r w:rsidR="00A607AD" w:rsidRPr="00B958D8">
        <w:rPr>
          <w:szCs w:val="28"/>
          <w:lang w:val="en-US"/>
        </w:rPr>
        <w:t xml:space="preserve">. 255–260. </w:t>
      </w:r>
    </w:p>
    <w:p w:rsidR="00365907" w:rsidRDefault="00BE6DE3" w:rsidP="00365907">
      <w:pPr>
        <w:ind w:firstLine="709"/>
        <w:rPr>
          <w:szCs w:val="28"/>
        </w:rPr>
      </w:pPr>
      <w:r>
        <w:rPr>
          <w:szCs w:val="28"/>
        </w:rPr>
        <w:t>38.</w:t>
      </w:r>
      <w:r w:rsidR="00A607AD" w:rsidRPr="00365907">
        <w:rPr>
          <w:szCs w:val="28"/>
        </w:rPr>
        <w:t xml:space="preserve"> Commitments To The Every Woman. Every Child Global Strategy For Women's Children's And Adolescents' Health (2016-2030): Report / The Partnership For Maternal, Newborn Child Healthm, World Health Organization. Geneva, 2018. 79</w:t>
      </w:r>
      <w:r w:rsidR="00AA4C5F">
        <w:rPr>
          <w:szCs w:val="28"/>
          <w:lang w:val="en-US"/>
        </w:rPr>
        <w:t> </w:t>
      </w:r>
      <w:r w:rsidR="00A607AD" w:rsidRPr="00365907">
        <w:rPr>
          <w:szCs w:val="28"/>
        </w:rPr>
        <w:t xml:space="preserve">p. URL: https://www.everywomaneverychild.org/wp-content/uploads/2018/09/commitments-report-2015-2017.pdf (Last accessed: 05.10.2020). </w:t>
      </w:r>
    </w:p>
    <w:p w:rsidR="00CE32BC" w:rsidRDefault="00BE6DE3" w:rsidP="00CE32BC">
      <w:pPr>
        <w:ind w:firstLine="709"/>
        <w:rPr>
          <w:szCs w:val="28"/>
        </w:rPr>
      </w:pPr>
      <w:r>
        <w:rPr>
          <w:szCs w:val="28"/>
        </w:rPr>
        <w:t>39.</w:t>
      </w:r>
      <w:r w:rsidR="00A607AD" w:rsidRPr="00365907">
        <w:rPr>
          <w:szCs w:val="28"/>
        </w:rPr>
        <w:t xml:space="preserve"> Survive, Thrive, Transform. Global Strategy for Women’s, Children’s and Adolescents’ Health (2016–2030) 2018 monitoring report: current status and strategic priorities / World Health Organization. Geneva, 2018. 68</w:t>
      </w:r>
      <w:r w:rsidR="00AA4C5F">
        <w:rPr>
          <w:szCs w:val="28"/>
        </w:rPr>
        <w:t> </w:t>
      </w:r>
      <w:r w:rsidR="00A607AD" w:rsidRPr="00365907">
        <w:rPr>
          <w:szCs w:val="28"/>
        </w:rPr>
        <w:t>p. URL: https://www.everywomaneverychild.org/wp-content/uploads/2018/05/EWECGSMonitoringReport2018.p</w:t>
      </w:r>
      <w:r w:rsidR="00CE32BC">
        <w:rPr>
          <w:szCs w:val="28"/>
        </w:rPr>
        <w:t>df (Last accessed: 05.10.2020).</w:t>
      </w:r>
    </w:p>
    <w:p w:rsidR="00CE32BC" w:rsidRDefault="00BE6DE3" w:rsidP="00CE32BC">
      <w:pPr>
        <w:ind w:firstLine="709"/>
        <w:rPr>
          <w:szCs w:val="28"/>
        </w:rPr>
      </w:pPr>
      <w:r>
        <w:rPr>
          <w:szCs w:val="28"/>
        </w:rPr>
        <w:t>40.</w:t>
      </w:r>
      <w:r w:rsidR="00A607AD" w:rsidRPr="00CE32BC">
        <w:rPr>
          <w:szCs w:val="28"/>
        </w:rPr>
        <w:t xml:space="preserve"> Гінзбург В. Г., Лехан В. М. Обґрунтування нормативів навантаження лікарів-неонатологів в акушерських стаціонарах різних рівнів. Вісник соціальної гігієни та організації охорони здоров'я України. 2014. №</w:t>
      </w:r>
      <w:r w:rsidR="009F261E">
        <w:rPr>
          <w:szCs w:val="28"/>
        </w:rPr>
        <w:t> </w:t>
      </w:r>
      <w:r w:rsidR="00A607AD" w:rsidRPr="00CE32BC">
        <w:rPr>
          <w:szCs w:val="28"/>
        </w:rPr>
        <w:t>2. С.</w:t>
      </w:r>
      <w:r w:rsidR="00AA4C5F">
        <w:rPr>
          <w:lang w:val="ru-RU"/>
        </w:rPr>
        <w:t> </w:t>
      </w:r>
      <w:r w:rsidR="00A607AD" w:rsidRPr="00CE32BC">
        <w:rPr>
          <w:szCs w:val="28"/>
        </w:rPr>
        <w:t xml:space="preserve">10–14. URL: http://nbuv.gov.ua/UJRN/VSG_2014_2_4 (дата звернення: 15.10.2018). </w:t>
      </w:r>
    </w:p>
    <w:p w:rsidR="00CE32BC" w:rsidRDefault="00BE6DE3" w:rsidP="00CE32BC">
      <w:pPr>
        <w:ind w:firstLine="709"/>
        <w:rPr>
          <w:szCs w:val="28"/>
        </w:rPr>
      </w:pPr>
      <w:r>
        <w:rPr>
          <w:szCs w:val="28"/>
          <w:lang w:val="ru-RU"/>
        </w:rPr>
        <w:t>41.</w:t>
      </w:r>
      <w:r w:rsidR="00430EB0">
        <w:t> </w:t>
      </w:r>
      <w:r w:rsidR="00A607AD" w:rsidRPr="00CE32BC">
        <w:rPr>
          <w:szCs w:val="28"/>
          <w:lang w:val="ru-RU"/>
        </w:rPr>
        <w:t>Шунько Є. Є., Ковальова О. М. Обґрунтування пріоритетів Національного плану дій з припинення попереджувальних смертей новонароджених у рамках глобальної стратегії ООН "Кожна Жінка, Кожна Дитина". Економіка і право охорони здоров'я. 2015. № 2. С.</w:t>
      </w:r>
      <w:r w:rsidR="00AA4C5F">
        <w:t> </w:t>
      </w:r>
      <w:r w:rsidR="00A607AD" w:rsidRPr="00CE32BC">
        <w:rPr>
          <w:szCs w:val="28"/>
          <w:lang w:val="ru-RU"/>
        </w:rPr>
        <w:t xml:space="preserve">72–78. </w:t>
      </w:r>
      <w:r w:rsidR="00A607AD" w:rsidRPr="00CE32BC">
        <w:rPr>
          <w:szCs w:val="28"/>
        </w:rPr>
        <w:t>URL</w:t>
      </w:r>
      <w:r w:rsidR="00A607AD" w:rsidRPr="00CE32BC">
        <w:rPr>
          <w:szCs w:val="28"/>
          <w:lang w:val="ru-RU"/>
        </w:rPr>
        <w:t xml:space="preserve">: </w:t>
      </w:r>
      <w:r w:rsidR="00A607AD" w:rsidRPr="00CE32BC">
        <w:rPr>
          <w:szCs w:val="28"/>
        </w:rPr>
        <w:t>http</w:t>
      </w:r>
      <w:r w:rsidR="00A607AD" w:rsidRPr="00CE32BC">
        <w:rPr>
          <w:szCs w:val="28"/>
          <w:lang w:val="ru-RU"/>
        </w:rPr>
        <w:t>://</w:t>
      </w:r>
      <w:r w:rsidR="00A607AD" w:rsidRPr="00CE32BC">
        <w:rPr>
          <w:szCs w:val="28"/>
        </w:rPr>
        <w:t>nbuv</w:t>
      </w:r>
      <w:r w:rsidR="00A607AD" w:rsidRPr="00CE32BC">
        <w:rPr>
          <w:szCs w:val="28"/>
          <w:lang w:val="ru-RU"/>
        </w:rPr>
        <w:t>.</w:t>
      </w:r>
      <w:r w:rsidR="00A607AD" w:rsidRPr="00CE32BC">
        <w:rPr>
          <w:szCs w:val="28"/>
        </w:rPr>
        <w:t>gov</w:t>
      </w:r>
      <w:r w:rsidR="00A607AD" w:rsidRPr="00CE32BC">
        <w:rPr>
          <w:szCs w:val="28"/>
          <w:lang w:val="ru-RU"/>
        </w:rPr>
        <w:t>.</w:t>
      </w:r>
      <w:r w:rsidR="00A607AD" w:rsidRPr="00CE32BC">
        <w:rPr>
          <w:szCs w:val="28"/>
        </w:rPr>
        <w:t>ua</w:t>
      </w:r>
      <w:r w:rsidR="00A607AD" w:rsidRPr="00CE32BC">
        <w:rPr>
          <w:szCs w:val="28"/>
          <w:lang w:val="ru-RU"/>
        </w:rPr>
        <w:t>/</w:t>
      </w:r>
      <w:r w:rsidR="00A607AD" w:rsidRPr="00CE32BC">
        <w:rPr>
          <w:szCs w:val="28"/>
        </w:rPr>
        <w:t>UJRN</w:t>
      </w:r>
      <w:r w:rsidR="00A607AD" w:rsidRPr="00CE32BC">
        <w:rPr>
          <w:szCs w:val="28"/>
          <w:lang w:val="ru-RU"/>
        </w:rPr>
        <w:t>/</w:t>
      </w:r>
      <w:r w:rsidR="00A607AD" w:rsidRPr="00CE32BC">
        <w:rPr>
          <w:szCs w:val="28"/>
        </w:rPr>
        <w:t>eprozd</w:t>
      </w:r>
      <w:r w:rsidR="00A607AD" w:rsidRPr="00CE32BC">
        <w:rPr>
          <w:szCs w:val="28"/>
          <w:lang w:val="ru-RU"/>
        </w:rPr>
        <w:t xml:space="preserve">_2015_2_15 (дата звернення: 25.10.2020). </w:t>
      </w:r>
    </w:p>
    <w:p w:rsidR="00CE32BC" w:rsidRDefault="00BE6DE3" w:rsidP="00CE32BC">
      <w:pPr>
        <w:ind w:firstLine="709"/>
        <w:rPr>
          <w:szCs w:val="28"/>
        </w:rPr>
      </w:pPr>
      <w:r>
        <w:rPr>
          <w:szCs w:val="28"/>
        </w:rPr>
        <w:t>42.</w:t>
      </w:r>
      <w:r w:rsidRPr="00BE6DE3">
        <w:rPr>
          <w:szCs w:val="28"/>
        </w:rPr>
        <w:t xml:space="preserve"> </w:t>
      </w:r>
      <w:r w:rsidR="00A607AD" w:rsidRPr="00CE32BC">
        <w:rPr>
          <w:szCs w:val="28"/>
        </w:rPr>
        <w:t>Вимірювання якості життя в Україні: Аналітична доповідь / Е. М. Лібанова та ін. Київ, 2013. 48 с.</w:t>
      </w:r>
    </w:p>
    <w:p w:rsidR="00CE32BC" w:rsidRDefault="00BE6DE3" w:rsidP="00CE32BC">
      <w:pPr>
        <w:ind w:firstLine="709"/>
        <w:rPr>
          <w:szCs w:val="28"/>
        </w:rPr>
      </w:pPr>
      <w:r>
        <w:rPr>
          <w:szCs w:val="28"/>
          <w:lang w:val="ru-RU"/>
        </w:rPr>
        <w:t>43.</w:t>
      </w:r>
      <w:r w:rsidR="00A607AD" w:rsidRPr="00CE32BC">
        <w:rPr>
          <w:szCs w:val="28"/>
          <w:lang w:val="ru-RU"/>
        </w:rPr>
        <w:t xml:space="preserve"> Дети: сокращение смертности. ВОЗ веб-сайт. Центр СМИ. 08 сент. 2020. </w:t>
      </w:r>
      <w:r w:rsidR="00A607AD" w:rsidRPr="00CE32BC">
        <w:rPr>
          <w:szCs w:val="28"/>
        </w:rPr>
        <w:t>URL</w:t>
      </w:r>
      <w:r w:rsidR="00A607AD" w:rsidRPr="00CE32BC">
        <w:rPr>
          <w:szCs w:val="28"/>
          <w:lang w:val="ru-RU"/>
        </w:rPr>
        <w:t xml:space="preserve">: </w:t>
      </w:r>
      <w:r w:rsidR="00A607AD" w:rsidRPr="00CE32BC">
        <w:rPr>
          <w:szCs w:val="28"/>
        </w:rPr>
        <w:t>https</w:t>
      </w:r>
      <w:r w:rsidR="00A607AD" w:rsidRPr="00CE32BC">
        <w:rPr>
          <w:szCs w:val="28"/>
          <w:lang w:val="ru-RU"/>
        </w:rPr>
        <w:t>://</w:t>
      </w:r>
      <w:r w:rsidR="00A607AD" w:rsidRPr="00CE32BC">
        <w:rPr>
          <w:szCs w:val="28"/>
        </w:rPr>
        <w:t>www</w:t>
      </w:r>
      <w:r w:rsidR="00A607AD" w:rsidRPr="00CE32BC">
        <w:rPr>
          <w:szCs w:val="28"/>
          <w:lang w:val="ru-RU"/>
        </w:rPr>
        <w:t>.</w:t>
      </w:r>
      <w:r w:rsidR="00A607AD" w:rsidRPr="00CE32BC">
        <w:rPr>
          <w:szCs w:val="28"/>
        </w:rPr>
        <w:t>who</w:t>
      </w:r>
      <w:r w:rsidR="00A607AD" w:rsidRPr="00CE32BC">
        <w:rPr>
          <w:szCs w:val="28"/>
          <w:lang w:val="ru-RU"/>
        </w:rPr>
        <w:t>.</w:t>
      </w:r>
      <w:r w:rsidR="00A607AD" w:rsidRPr="00CE32BC">
        <w:rPr>
          <w:szCs w:val="28"/>
        </w:rPr>
        <w:t>int</w:t>
      </w:r>
      <w:r w:rsidR="00A607AD" w:rsidRPr="00CE32BC">
        <w:rPr>
          <w:szCs w:val="28"/>
          <w:lang w:val="ru-RU"/>
        </w:rPr>
        <w:t>/</w:t>
      </w:r>
      <w:r w:rsidR="00A607AD" w:rsidRPr="00CE32BC">
        <w:rPr>
          <w:szCs w:val="28"/>
        </w:rPr>
        <w:t>ru</w:t>
      </w:r>
      <w:r w:rsidR="00A607AD" w:rsidRPr="00CE32BC">
        <w:rPr>
          <w:szCs w:val="28"/>
          <w:lang w:val="ru-RU"/>
        </w:rPr>
        <w:t>/</w:t>
      </w:r>
      <w:r w:rsidR="00A607AD" w:rsidRPr="00CE32BC">
        <w:rPr>
          <w:szCs w:val="28"/>
        </w:rPr>
        <w:t>news</w:t>
      </w:r>
      <w:r w:rsidR="00A607AD" w:rsidRPr="00CE32BC">
        <w:rPr>
          <w:szCs w:val="28"/>
          <w:lang w:val="ru-RU"/>
        </w:rPr>
        <w:t>-</w:t>
      </w:r>
      <w:r w:rsidR="00A607AD" w:rsidRPr="00CE32BC">
        <w:rPr>
          <w:szCs w:val="28"/>
        </w:rPr>
        <w:t>room</w:t>
      </w:r>
      <w:r w:rsidR="00A607AD" w:rsidRPr="00CE32BC">
        <w:rPr>
          <w:szCs w:val="28"/>
          <w:lang w:val="ru-RU"/>
        </w:rPr>
        <w:t>/</w:t>
      </w:r>
      <w:r w:rsidR="00A607AD" w:rsidRPr="00CE32BC">
        <w:rPr>
          <w:szCs w:val="28"/>
        </w:rPr>
        <w:t>fact</w:t>
      </w:r>
      <w:r w:rsidR="00A607AD" w:rsidRPr="00CE32BC">
        <w:rPr>
          <w:szCs w:val="28"/>
          <w:lang w:val="ru-RU"/>
        </w:rPr>
        <w:t>-</w:t>
      </w:r>
      <w:r w:rsidR="00A607AD" w:rsidRPr="00CE32BC">
        <w:rPr>
          <w:szCs w:val="28"/>
        </w:rPr>
        <w:t>sheets</w:t>
      </w:r>
      <w:r w:rsidR="00A607AD" w:rsidRPr="00CE32BC">
        <w:rPr>
          <w:szCs w:val="28"/>
          <w:lang w:val="ru-RU"/>
        </w:rPr>
        <w:t>/</w:t>
      </w:r>
      <w:r w:rsidR="00A607AD" w:rsidRPr="00CE32BC">
        <w:rPr>
          <w:szCs w:val="28"/>
        </w:rPr>
        <w:t>detail</w:t>
      </w:r>
      <w:r w:rsidR="00A607AD" w:rsidRPr="00CE32BC">
        <w:rPr>
          <w:szCs w:val="28"/>
          <w:lang w:val="ru-RU"/>
        </w:rPr>
        <w:t>/</w:t>
      </w:r>
      <w:r w:rsidR="00A607AD" w:rsidRPr="00CE32BC">
        <w:rPr>
          <w:szCs w:val="28"/>
        </w:rPr>
        <w:t>children</w:t>
      </w:r>
      <w:r w:rsidR="00A607AD" w:rsidRPr="00CE32BC">
        <w:rPr>
          <w:szCs w:val="28"/>
          <w:lang w:val="ru-RU"/>
        </w:rPr>
        <w:t>-</w:t>
      </w:r>
      <w:r w:rsidR="00A607AD" w:rsidRPr="00CE32BC">
        <w:rPr>
          <w:szCs w:val="28"/>
        </w:rPr>
        <w:t>reducing</w:t>
      </w:r>
      <w:r w:rsidR="00A607AD" w:rsidRPr="00CE32BC">
        <w:rPr>
          <w:szCs w:val="28"/>
          <w:lang w:val="ru-RU"/>
        </w:rPr>
        <w:t>-</w:t>
      </w:r>
      <w:r w:rsidR="00A607AD" w:rsidRPr="00CE32BC">
        <w:rPr>
          <w:szCs w:val="28"/>
        </w:rPr>
        <w:t>mortality</w:t>
      </w:r>
      <w:r w:rsidR="00A607AD" w:rsidRPr="00CE32BC">
        <w:rPr>
          <w:szCs w:val="28"/>
          <w:lang w:val="ru-RU"/>
        </w:rPr>
        <w:t xml:space="preserve"> (дата звернення: 05.10.2020).</w:t>
      </w:r>
    </w:p>
    <w:p w:rsidR="00CE32BC" w:rsidRDefault="00BE6DE3" w:rsidP="00CE32BC">
      <w:pPr>
        <w:ind w:firstLine="709"/>
        <w:rPr>
          <w:szCs w:val="28"/>
        </w:rPr>
      </w:pPr>
      <w:r>
        <w:rPr>
          <w:szCs w:val="28"/>
        </w:rPr>
        <w:lastRenderedPageBreak/>
        <w:t>44.</w:t>
      </w:r>
      <w:r w:rsidR="00A607AD" w:rsidRPr="00CE32BC">
        <w:rPr>
          <w:szCs w:val="28"/>
        </w:rPr>
        <w:t xml:space="preserve"> Indicator and monitoring framework for the Global Strategy for womans, childrens and Adolescents health (2016-2030) / ed. Richard Cheeseman, Robert Taylor Communications, WHO, 2016. 38</w:t>
      </w:r>
      <w:r w:rsidR="009F261E">
        <w:rPr>
          <w:szCs w:val="28"/>
        </w:rPr>
        <w:t> </w:t>
      </w:r>
      <w:r w:rsidR="00A607AD" w:rsidRPr="00CE32BC">
        <w:rPr>
          <w:szCs w:val="28"/>
        </w:rPr>
        <w:t>p. URL: http://www.who.int/life-course/publications/gs-Indicator-and-monitoring-framework.pdf (Last accessed: 11.10.2019).</w:t>
      </w:r>
    </w:p>
    <w:p w:rsidR="00CE32BC" w:rsidRDefault="00BE6DE3" w:rsidP="00CE32BC">
      <w:pPr>
        <w:ind w:firstLine="709"/>
        <w:rPr>
          <w:szCs w:val="28"/>
        </w:rPr>
      </w:pPr>
      <w:r>
        <w:rPr>
          <w:szCs w:val="28"/>
          <w:lang w:val="ru-RU"/>
        </w:rPr>
        <w:t>45.</w:t>
      </w:r>
      <w:r w:rsidR="00A607AD" w:rsidRPr="00CE32BC">
        <w:rPr>
          <w:szCs w:val="28"/>
          <w:lang w:val="ru-RU"/>
        </w:rPr>
        <w:t xml:space="preserve"> Цілі Сталого Розвитку: Україна: Національна доповідь 2017 / Міністерство економічного розвитку і торгівлі України. 176</w:t>
      </w:r>
      <w:r w:rsidR="00AA4C5F">
        <w:rPr>
          <w:szCs w:val="28"/>
          <w:lang w:val="en-US"/>
        </w:rPr>
        <w:t> </w:t>
      </w:r>
      <w:r w:rsidR="00A607AD" w:rsidRPr="00CE32BC">
        <w:rPr>
          <w:szCs w:val="28"/>
        </w:rPr>
        <w:t>c</w:t>
      </w:r>
      <w:r w:rsidR="00A607AD" w:rsidRPr="00CE32BC">
        <w:rPr>
          <w:szCs w:val="28"/>
          <w:lang w:val="ru-RU"/>
        </w:rPr>
        <w:t xml:space="preserve">. </w:t>
      </w:r>
      <w:r w:rsidR="00A607AD" w:rsidRPr="00CE32BC">
        <w:rPr>
          <w:szCs w:val="28"/>
        </w:rPr>
        <w:t>URL</w:t>
      </w:r>
      <w:r w:rsidR="00A607AD" w:rsidRPr="00CE32BC">
        <w:rPr>
          <w:szCs w:val="28"/>
          <w:lang w:val="ru-RU"/>
        </w:rPr>
        <w:t xml:space="preserve">: </w:t>
      </w:r>
      <w:r w:rsidR="00A607AD" w:rsidRPr="00CE32BC">
        <w:rPr>
          <w:szCs w:val="28"/>
        </w:rPr>
        <w:t>http</w:t>
      </w:r>
      <w:r w:rsidR="00A607AD" w:rsidRPr="00CE32BC">
        <w:rPr>
          <w:szCs w:val="28"/>
          <w:lang w:val="ru-RU"/>
        </w:rPr>
        <w:t>://</w:t>
      </w:r>
      <w:r w:rsidR="00A607AD" w:rsidRPr="00CE32BC">
        <w:rPr>
          <w:szCs w:val="28"/>
        </w:rPr>
        <w:t>www</w:t>
      </w:r>
      <w:r w:rsidR="00A607AD" w:rsidRPr="00CE32BC">
        <w:rPr>
          <w:szCs w:val="28"/>
          <w:lang w:val="ru-RU"/>
        </w:rPr>
        <w:t>.</w:t>
      </w:r>
      <w:r w:rsidR="00A607AD" w:rsidRPr="00CE32BC">
        <w:rPr>
          <w:szCs w:val="28"/>
        </w:rPr>
        <w:t>un</w:t>
      </w:r>
      <w:r w:rsidR="00A607AD" w:rsidRPr="00CE32BC">
        <w:rPr>
          <w:szCs w:val="28"/>
          <w:lang w:val="ru-RU"/>
        </w:rPr>
        <w:t>.</w:t>
      </w:r>
      <w:r w:rsidR="00A607AD" w:rsidRPr="00CE32BC">
        <w:rPr>
          <w:szCs w:val="28"/>
        </w:rPr>
        <w:t>org</w:t>
      </w:r>
      <w:r w:rsidR="00A607AD" w:rsidRPr="00CE32BC">
        <w:rPr>
          <w:szCs w:val="28"/>
          <w:lang w:val="ru-RU"/>
        </w:rPr>
        <w:t>.</w:t>
      </w:r>
      <w:r w:rsidR="00A607AD" w:rsidRPr="00CE32BC">
        <w:rPr>
          <w:szCs w:val="28"/>
        </w:rPr>
        <w:t>ua</w:t>
      </w:r>
      <w:r w:rsidR="00A607AD" w:rsidRPr="00CE32BC">
        <w:rPr>
          <w:szCs w:val="28"/>
          <w:lang w:val="ru-RU"/>
        </w:rPr>
        <w:t>/</w:t>
      </w:r>
      <w:r w:rsidR="00A607AD" w:rsidRPr="00CE32BC">
        <w:rPr>
          <w:szCs w:val="28"/>
        </w:rPr>
        <w:t>images</w:t>
      </w:r>
      <w:r w:rsidR="00A607AD" w:rsidRPr="00CE32BC">
        <w:rPr>
          <w:szCs w:val="28"/>
          <w:lang w:val="ru-RU"/>
        </w:rPr>
        <w:t>/</w:t>
      </w:r>
      <w:r w:rsidR="00A607AD" w:rsidRPr="00CE32BC">
        <w:rPr>
          <w:szCs w:val="28"/>
        </w:rPr>
        <w:t>SDGs</w:t>
      </w:r>
      <w:r w:rsidR="00A607AD" w:rsidRPr="00CE32BC">
        <w:rPr>
          <w:szCs w:val="28"/>
          <w:lang w:val="ru-RU"/>
        </w:rPr>
        <w:t>_</w:t>
      </w:r>
      <w:r w:rsidR="00A607AD" w:rsidRPr="00CE32BC">
        <w:rPr>
          <w:szCs w:val="28"/>
        </w:rPr>
        <w:t>NationalReportUA</w:t>
      </w:r>
      <w:r w:rsidR="00A607AD" w:rsidRPr="00CE32BC">
        <w:rPr>
          <w:szCs w:val="28"/>
          <w:lang w:val="ru-RU"/>
        </w:rPr>
        <w:t>_</w:t>
      </w:r>
      <w:r w:rsidR="00A607AD" w:rsidRPr="00CE32BC">
        <w:rPr>
          <w:szCs w:val="28"/>
        </w:rPr>
        <w:t>Web</w:t>
      </w:r>
      <w:r w:rsidR="00A607AD" w:rsidRPr="00CE32BC">
        <w:rPr>
          <w:szCs w:val="28"/>
          <w:lang w:val="ru-RU"/>
        </w:rPr>
        <w:t>_1.</w:t>
      </w:r>
      <w:r w:rsidR="00A607AD" w:rsidRPr="00CE32BC">
        <w:rPr>
          <w:szCs w:val="28"/>
        </w:rPr>
        <w:t>pdf</w:t>
      </w:r>
      <w:r w:rsidR="00A607AD" w:rsidRPr="00CE32BC">
        <w:rPr>
          <w:szCs w:val="28"/>
          <w:lang w:val="ru-RU"/>
        </w:rPr>
        <w:t xml:space="preserve"> (дата звернення: 05.10.2020).</w:t>
      </w:r>
    </w:p>
    <w:p w:rsidR="00CE32BC" w:rsidRDefault="00BE6DE3" w:rsidP="00CE32BC">
      <w:pPr>
        <w:ind w:firstLine="709"/>
        <w:rPr>
          <w:szCs w:val="28"/>
        </w:rPr>
      </w:pPr>
      <w:r>
        <w:rPr>
          <w:szCs w:val="28"/>
        </w:rPr>
        <w:t>46.</w:t>
      </w:r>
      <w:r w:rsidR="00A607AD" w:rsidRPr="00CE32BC">
        <w:rPr>
          <w:szCs w:val="28"/>
        </w:rPr>
        <w:t xml:space="preserve"> Every Woman Every Child. Saving lives, protecting futures: Progress report on the Global Strategy for Women’s and Children’s Health. New York: United Nations, 2015. 112</w:t>
      </w:r>
      <w:r>
        <w:rPr>
          <w:szCs w:val="28"/>
          <w:lang w:val="en-US"/>
        </w:rPr>
        <w:t> </w:t>
      </w:r>
      <w:r w:rsidR="00A607AD" w:rsidRPr="00CE32BC">
        <w:rPr>
          <w:szCs w:val="28"/>
        </w:rPr>
        <w:t>p. URL: https://www.who.int/life-course/news/ewec-progress-report-2015.pdf (Last accessed: 10.09.2017).</w:t>
      </w:r>
    </w:p>
    <w:p w:rsidR="00CE32BC" w:rsidRDefault="00BE6DE3" w:rsidP="00CE32BC">
      <w:pPr>
        <w:ind w:firstLine="709"/>
        <w:rPr>
          <w:szCs w:val="28"/>
        </w:rPr>
      </w:pPr>
      <w:r>
        <w:rPr>
          <w:szCs w:val="28"/>
          <w:lang w:val="ru-RU"/>
        </w:rPr>
        <w:t>47.</w:t>
      </w:r>
      <w:r>
        <w:rPr>
          <w:szCs w:val="28"/>
          <w:lang w:val="en-US"/>
        </w:rPr>
        <w:t> </w:t>
      </w:r>
      <w:r w:rsidR="00A607AD" w:rsidRPr="00CE32BC">
        <w:rPr>
          <w:szCs w:val="28"/>
          <w:lang w:val="ru-RU"/>
        </w:rPr>
        <w:t>Новорожденные: снижение смертности. ВОЗ веб-сайт. Центр СМИ. 19</w:t>
      </w:r>
      <w:r>
        <w:rPr>
          <w:szCs w:val="28"/>
          <w:lang w:val="en-US"/>
        </w:rPr>
        <w:t> </w:t>
      </w:r>
      <w:r w:rsidR="00A607AD" w:rsidRPr="00CE32BC">
        <w:rPr>
          <w:szCs w:val="28"/>
          <w:lang w:val="ru-RU"/>
        </w:rPr>
        <w:t>сент.</w:t>
      </w:r>
      <w:r>
        <w:rPr>
          <w:lang w:val="en-US"/>
        </w:rPr>
        <w:t> </w:t>
      </w:r>
      <w:r w:rsidR="00A607AD" w:rsidRPr="00CE32BC">
        <w:rPr>
          <w:szCs w:val="28"/>
          <w:lang w:val="ru-RU"/>
        </w:rPr>
        <w:t xml:space="preserve">2020. </w:t>
      </w:r>
      <w:r w:rsidR="00A607AD" w:rsidRPr="00CE32BC">
        <w:rPr>
          <w:szCs w:val="28"/>
        </w:rPr>
        <w:t>URL</w:t>
      </w:r>
      <w:r w:rsidR="00A607AD" w:rsidRPr="00CE32BC">
        <w:rPr>
          <w:szCs w:val="28"/>
          <w:lang w:val="ru-RU"/>
        </w:rPr>
        <w:t xml:space="preserve">: </w:t>
      </w:r>
      <w:r w:rsidR="00A607AD" w:rsidRPr="00CE32BC">
        <w:rPr>
          <w:szCs w:val="28"/>
        </w:rPr>
        <w:t>https</w:t>
      </w:r>
      <w:r w:rsidR="00A607AD" w:rsidRPr="00CE32BC">
        <w:rPr>
          <w:szCs w:val="28"/>
          <w:lang w:val="ru-RU"/>
        </w:rPr>
        <w:t>://</w:t>
      </w:r>
      <w:r w:rsidR="00A607AD" w:rsidRPr="00CE32BC">
        <w:rPr>
          <w:szCs w:val="28"/>
        </w:rPr>
        <w:t>www</w:t>
      </w:r>
      <w:r w:rsidR="00A607AD" w:rsidRPr="00CE32BC">
        <w:rPr>
          <w:szCs w:val="28"/>
          <w:lang w:val="ru-RU"/>
        </w:rPr>
        <w:t>.</w:t>
      </w:r>
      <w:r w:rsidR="00A607AD" w:rsidRPr="00CE32BC">
        <w:rPr>
          <w:szCs w:val="28"/>
        </w:rPr>
        <w:t>who</w:t>
      </w:r>
      <w:r w:rsidR="00A607AD" w:rsidRPr="00CE32BC">
        <w:rPr>
          <w:szCs w:val="28"/>
          <w:lang w:val="ru-RU"/>
        </w:rPr>
        <w:t>.</w:t>
      </w:r>
      <w:r w:rsidR="00A607AD" w:rsidRPr="00CE32BC">
        <w:rPr>
          <w:szCs w:val="28"/>
        </w:rPr>
        <w:t>int</w:t>
      </w:r>
      <w:r w:rsidR="00A607AD" w:rsidRPr="00CE32BC">
        <w:rPr>
          <w:szCs w:val="28"/>
          <w:lang w:val="ru-RU"/>
        </w:rPr>
        <w:t>/</w:t>
      </w:r>
      <w:r w:rsidR="00A607AD" w:rsidRPr="00CE32BC">
        <w:rPr>
          <w:szCs w:val="28"/>
        </w:rPr>
        <w:t>ru</w:t>
      </w:r>
      <w:r w:rsidR="00A607AD" w:rsidRPr="00CE32BC">
        <w:rPr>
          <w:szCs w:val="28"/>
          <w:lang w:val="ru-RU"/>
        </w:rPr>
        <w:t>/</w:t>
      </w:r>
      <w:r w:rsidR="00A607AD" w:rsidRPr="00CE32BC">
        <w:rPr>
          <w:szCs w:val="28"/>
        </w:rPr>
        <w:t>news</w:t>
      </w:r>
      <w:r w:rsidR="00A607AD" w:rsidRPr="00CE32BC">
        <w:rPr>
          <w:szCs w:val="28"/>
          <w:lang w:val="ru-RU"/>
        </w:rPr>
        <w:t>-</w:t>
      </w:r>
      <w:r w:rsidR="00A607AD" w:rsidRPr="00CE32BC">
        <w:rPr>
          <w:szCs w:val="28"/>
        </w:rPr>
        <w:t>room</w:t>
      </w:r>
      <w:r w:rsidR="00A607AD" w:rsidRPr="00CE32BC">
        <w:rPr>
          <w:szCs w:val="28"/>
          <w:lang w:val="ru-RU"/>
        </w:rPr>
        <w:t>/</w:t>
      </w:r>
      <w:r w:rsidR="00A607AD" w:rsidRPr="00CE32BC">
        <w:rPr>
          <w:szCs w:val="28"/>
        </w:rPr>
        <w:t>fact</w:t>
      </w:r>
      <w:r w:rsidR="00A607AD" w:rsidRPr="00CE32BC">
        <w:rPr>
          <w:szCs w:val="28"/>
          <w:lang w:val="ru-RU"/>
        </w:rPr>
        <w:t>-</w:t>
      </w:r>
      <w:r w:rsidR="00A607AD" w:rsidRPr="00CE32BC">
        <w:rPr>
          <w:szCs w:val="28"/>
        </w:rPr>
        <w:t>sheets</w:t>
      </w:r>
      <w:r w:rsidR="00A607AD" w:rsidRPr="00CE32BC">
        <w:rPr>
          <w:szCs w:val="28"/>
          <w:lang w:val="ru-RU"/>
        </w:rPr>
        <w:t>/</w:t>
      </w:r>
      <w:r w:rsidR="00A607AD" w:rsidRPr="00CE32BC">
        <w:rPr>
          <w:szCs w:val="28"/>
        </w:rPr>
        <w:t>detail</w:t>
      </w:r>
      <w:r w:rsidR="00A607AD" w:rsidRPr="00CE32BC">
        <w:rPr>
          <w:szCs w:val="28"/>
          <w:lang w:val="ru-RU"/>
        </w:rPr>
        <w:t>/</w:t>
      </w:r>
      <w:r w:rsidR="00A607AD" w:rsidRPr="00CE32BC">
        <w:rPr>
          <w:szCs w:val="28"/>
        </w:rPr>
        <w:t>newborns</w:t>
      </w:r>
      <w:r w:rsidR="00A607AD" w:rsidRPr="00CE32BC">
        <w:rPr>
          <w:szCs w:val="28"/>
          <w:lang w:val="ru-RU"/>
        </w:rPr>
        <w:t>-</w:t>
      </w:r>
      <w:r w:rsidR="00A607AD" w:rsidRPr="00CE32BC">
        <w:rPr>
          <w:szCs w:val="28"/>
        </w:rPr>
        <w:t>reducing</w:t>
      </w:r>
      <w:r w:rsidR="00A607AD" w:rsidRPr="00CE32BC">
        <w:rPr>
          <w:szCs w:val="28"/>
          <w:lang w:val="ru-RU"/>
        </w:rPr>
        <w:t>-</w:t>
      </w:r>
      <w:r w:rsidR="00A607AD" w:rsidRPr="00CE32BC">
        <w:rPr>
          <w:szCs w:val="28"/>
        </w:rPr>
        <w:t>mortality</w:t>
      </w:r>
      <w:r w:rsidR="00A607AD" w:rsidRPr="00CE32BC">
        <w:rPr>
          <w:szCs w:val="28"/>
          <w:lang w:val="ru-RU"/>
        </w:rPr>
        <w:t xml:space="preserve"> (дата звернення: 05.10.2020).</w:t>
      </w:r>
    </w:p>
    <w:p w:rsidR="00CE32BC" w:rsidRDefault="00116CBA" w:rsidP="00CE32BC">
      <w:pPr>
        <w:ind w:firstLine="709"/>
        <w:rPr>
          <w:szCs w:val="28"/>
        </w:rPr>
      </w:pPr>
      <w:r>
        <w:rPr>
          <w:szCs w:val="28"/>
        </w:rPr>
        <w:t>48.</w:t>
      </w:r>
      <w:r w:rsidR="00A607AD" w:rsidRPr="00CE32BC">
        <w:rPr>
          <w:szCs w:val="28"/>
        </w:rPr>
        <w:t xml:space="preserve"> Towards a new Global Strategy for Women’s, Children’s and Adolescents’ Health. The British Medical Journal. 2015. Vol. 351, Suppl. 3. P. 1–3.</w:t>
      </w:r>
    </w:p>
    <w:p w:rsidR="00CE32BC" w:rsidRDefault="00116CBA" w:rsidP="00CE32BC">
      <w:pPr>
        <w:ind w:firstLine="709"/>
        <w:rPr>
          <w:szCs w:val="28"/>
        </w:rPr>
      </w:pPr>
      <w:r>
        <w:rPr>
          <w:szCs w:val="28"/>
        </w:rPr>
        <w:t>49.</w:t>
      </w:r>
      <w:r>
        <w:rPr>
          <w:lang w:val="en-US"/>
        </w:rPr>
        <w:t> </w:t>
      </w:r>
      <w:r w:rsidR="00A607AD" w:rsidRPr="00CE32BC">
        <w:rPr>
          <w:szCs w:val="28"/>
        </w:rPr>
        <w:t>Patient and public involvement in healthcare quality improvement: how organizations can help patients and professionals to collabrate / A. Renedo et al. Public Management Review. 2014. Vol. 17. P. 17–34.</w:t>
      </w:r>
    </w:p>
    <w:p w:rsidR="00CE32BC" w:rsidRDefault="006F190E" w:rsidP="00CE32BC">
      <w:pPr>
        <w:ind w:firstLine="709"/>
        <w:rPr>
          <w:szCs w:val="28"/>
        </w:rPr>
      </w:pPr>
      <w:r>
        <w:rPr>
          <w:szCs w:val="28"/>
        </w:rPr>
        <w:t>50.</w:t>
      </w:r>
      <w:r w:rsidR="00A607AD" w:rsidRPr="00CE32BC">
        <w:rPr>
          <w:szCs w:val="28"/>
        </w:rPr>
        <w:t xml:space="preserve"> Standards for improving quality of maternal and newborn care in facilities / World Health</w:t>
      </w:r>
      <w:r w:rsidR="005E6BC5">
        <w:t> </w:t>
      </w:r>
      <w:r w:rsidR="00A607AD" w:rsidRPr="00CE32BC">
        <w:rPr>
          <w:szCs w:val="28"/>
        </w:rPr>
        <w:t>Organization.</w:t>
      </w:r>
      <w:r w:rsidR="005E6BC5">
        <w:rPr>
          <w:szCs w:val="28"/>
        </w:rPr>
        <w:t> </w:t>
      </w:r>
      <w:r w:rsidR="00A607AD" w:rsidRPr="00CE32BC">
        <w:rPr>
          <w:szCs w:val="28"/>
        </w:rPr>
        <w:t>Geneva, 2016.</w:t>
      </w:r>
      <w:r w:rsidR="005E6BC5">
        <w:rPr>
          <w:szCs w:val="28"/>
        </w:rPr>
        <w:t> </w:t>
      </w:r>
      <w:r w:rsidR="00A607AD" w:rsidRPr="00CE32BC">
        <w:rPr>
          <w:szCs w:val="28"/>
        </w:rPr>
        <w:t>84 p.</w:t>
      </w:r>
      <w:r w:rsidR="005E6BC5">
        <w:rPr>
          <w:szCs w:val="28"/>
        </w:rPr>
        <w:t> </w:t>
      </w:r>
      <w:r w:rsidR="00A607AD" w:rsidRPr="00CE32BC">
        <w:rPr>
          <w:szCs w:val="28"/>
        </w:rPr>
        <w:t>URL:</w:t>
      </w:r>
      <w:r w:rsidR="005E6BC5">
        <w:rPr>
          <w:lang w:val="en-US"/>
        </w:rPr>
        <w:t> </w:t>
      </w:r>
      <w:r w:rsidR="00A607AD" w:rsidRPr="00CE32BC">
        <w:rPr>
          <w:szCs w:val="28"/>
        </w:rPr>
        <w:t>http://www.who.int/maternal_child_adolescent/documents/improving-maternal-newborn-care-quality/en/ (Last accessed: 15.11.2019).</w:t>
      </w:r>
    </w:p>
    <w:p w:rsidR="00CE32BC" w:rsidRDefault="006F190E" w:rsidP="00CE32BC">
      <w:pPr>
        <w:ind w:firstLine="709"/>
        <w:rPr>
          <w:szCs w:val="28"/>
        </w:rPr>
      </w:pPr>
      <w:r>
        <w:rPr>
          <w:szCs w:val="28"/>
        </w:rPr>
        <w:t>51.</w:t>
      </w:r>
      <w:r w:rsidR="00A607AD" w:rsidRPr="00CE32BC">
        <w:rPr>
          <w:szCs w:val="28"/>
        </w:rPr>
        <w:t xml:space="preserve"> A policy guide for implementing essential interventions for reproductive, maternal, newborn and child health (RMNCH): a multisecаtoral policy compendium / World Health Organization. Geneva, 2014. 56 p.</w:t>
      </w:r>
    </w:p>
    <w:p w:rsidR="00CE32BC" w:rsidRDefault="00CE32BC" w:rsidP="00CE32BC">
      <w:pPr>
        <w:ind w:firstLine="709"/>
        <w:rPr>
          <w:szCs w:val="28"/>
        </w:rPr>
      </w:pPr>
      <w:r>
        <w:rPr>
          <w:szCs w:val="28"/>
        </w:rPr>
        <w:t>52.</w:t>
      </w:r>
      <w:r w:rsidR="006F190E">
        <w:rPr>
          <w:szCs w:val="28"/>
          <w:lang w:val="en-US"/>
        </w:rPr>
        <w:t> </w:t>
      </w:r>
      <w:r w:rsidR="00A607AD" w:rsidRPr="00CE32BC">
        <w:rPr>
          <w:szCs w:val="28"/>
        </w:rPr>
        <w:t>Advancing social and economic development by investing in women’s and children’s health: a new Global Investment Framework /</w:t>
      </w:r>
      <w:r w:rsidR="005416F9">
        <w:rPr>
          <w:szCs w:val="28"/>
        </w:rPr>
        <w:t xml:space="preserve"> K. Stenberg et al. Lancet. 201</w:t>
      </w:r>
      <w:r w:rsidR="005416F9" w:rsidRPr="00DB4D0E">
        <w:rPr>
          <w:szCs w:val="28"/>
          <w:lang w:val="en-US"/>
        </w:rPr>
        <w:t>4</w:t>
      </w:r>
      <w:r w:rsidR="005416F9">
        <w:rPr>
          <w:szCs w:val="28"/>
        </w:rPr>
        <w:t xml:space="preserve">. Vol. </w:t>
      </w:r>
      <w:r w:rsidR="005416F9">
        <w:rPr>
          <w:szCs w:val="28"/>
        </w:rPr>
        <w:lastRenderedPageBreak/>
        <w:t xml:space="preserve">383 (9925). </w:t>
      </w:r>
      <w:r w:rsidR="005416F9">
        <w:rPr>
          <w:szCs w:val="28"/>
          <w:lang w:val="ru-RU"/>
        </w:rPr>
        <w:t>Р</w:t>
      </w:r>
      <w:r w:rsidR="00A607AD" w:rsidRPr="00CE32BC">
        <w:rPr>
          <w:szCs w:val="28"/>
        </w:rPr>
        <w:t>. 1333–1354. DOI: 10.1016/S0140-6736(13)62231-X (Last accessed: 28.10.2020).</w:t>
      </w:r>
    </w:p>
    <w:p w:rsidR="00CE32BC" w:rsidRDefault="00CE32BC" w:rsidP="00CE32BC">
      <w:pPr>
        <w:ind w:firstLine="709"/>
        <w:rPr>
          <w:szCs w:val="28"/>
        </w:rPr>
      </w:pPr>
      <w:r>
        <w:rPr>
          <w:szCs w:val="28"/>
        </w:rPr>
        <w:t>53.</w:t>
      </w:r>
      <w:r w:rsidR="00A607AD" w:rsidRPr="00CE32BC">
        <w:rPr>
          <w:szCs w:val="28"/>
        </w:rPr>
        <w:t xml:space="preserve"> Leading the realization of human rights to health and through health: Report of the High-Level Working Group on the Health and Human Rights of Women, Children and Adolescents / World Health Organization. Geneva, 2017. 72</w:t>
      </w:r>
      <w:r w:rsidR="006F190E">
        <w:rPr>
          <w:szCs w:val="28"/>
          <w:lang w:val="en-US"/>
        </w:rPr>
        <w:t> </w:t>
      </w:r>
      <w:r w:rsidR="00A607AD" w:rsidRPr="00CE32BC">
        <w:rPr>
          <w:szCs w:val="28"/>
        </w:rPr>
        <w:t>р. URL: http://apps.who.int/iris/bitstream/10665/2555</w:t>
      </w:r>
      <w:r w:rsidR="006F190E">
        <w:rPr>
          <w:szCs w:val="28"/>
        </w:rPr>
        <w:t>40/1/9789241512459-eng.pdf?ua=1</w:t>
      </w:r>
      <w:r w:rsidR="00A607AD" w:rsidRPr="00CE32BC">
        <w:rPr>
          <w:szCs w:val="28"/>
        </w:rPr>
        <w:t xml:space="preserve"> (Last accessed: 05.12.2019).</w:t>
      </w:r>
    </w:p>
    <w:p w:rsidR="00CE32BC" w:rsidRDefault="00CE32BC" w:rsidP="00CE32BC">
      <w:pPr>
        <w:ind w:firstLine="709"/>
        <w:rPr>
          <w:szCs w:val="28"/>
        </w:rPr>
      </w:pPr>
      <w:r>
        <w:rPr>
          <w:szCs w:val="28"/>
        </w:rPr>
        <w:t xml:space="preserve">54. </w:t>
      </w:r>
      <w:r w:rsidR="00A607AD" w:rsidRPr="00CE32BC">
        <w:rPr>
          <w:szCs w:val="28"/>
        </w:rPr>
        <w:t>The Global Strategy on Women’s, Children’s and Adolescents’ Health (2016–2030).</w:t>
      </w:r>
      <w:r w:rsidR="006F190E">
        <w:rPr>
          <w:szCs w:val="28"/>
          <w:lang w:val="en-US"/>
        </w:rPr>
        <w:t> </w:t>
      </w:r>
      <w:r w:rsidR="00A607AD" w:rsidRPr="00CE32BC">
        <w:rPr>
          <w:szCs w:val="28"/>
        </w:rPr>
        <w:t>New</w:t>
      </w:r>
      <w:r w:rsidR="006F190E">
        <w:rPr>
          <w:szCs w:val="28"/>
          <w:lang w:val="en-US"/>
        </w:rPr>
        <w:t> </w:t>
      </w:r>
      <w:r w:rsidR="00A607AD" w:rsidRPr="00CE32BC">
        <w:rPr>
          <w:szCs w:val="28"/>
        </w:rPr>
        <w:t>York:</w:t>
      </w:r>
      <w:r w:rsidR="006F190E">
        <w:rPr>
          <w:szCs w:val="28"/>
          <w:lang w:val="en-US"/>
        </w:rPr>
        <w:t> </w:t>
      </w:r>
      <w:r w:rsidR="00A607AD" w:rsidRPr="00CE32BC">
        <w:rPr>
          <w:szCs w:val="28"/>
        </w:rPr>
        <w:t>United</w:t>
      </w:r>
      <w:r w:rsidR="006F190E">
        <w:rPr>
          <w:szCs w:val="28"/>
          <w:lang w:val="en-US"/>
        </w:rPr>
        <w:t> </w:t>
      </w:r>
      <w:r w:rsidR="00A607AD" w:rsidRPr="00CE32BC">
        <w:rPr>
          <w:szCs w:val="28"/>
        </w:rPr>
        <w:t>Nation,</w:t>
      </w:r>
      <w:r w:rsidR="006F190E">
        <w:rPr>
          <w:szCs w:val="28"/>
          <w:lang w:val="en-US"/>
        </w:rPr>
        <w:t> </w:t>
      </w:r>
      <w:r w:rsidR="00A607AD" w:rsidRPr="00CE32BC">
        <w:rPr>
          <w:szCs w:val="28"/>
        </w:rPr>
        <w:t>2015.</w:t>
      </w:r>
      <w:r w:rsidR="006F190E">
        <w:rPr>
          <w:szCs w:val="28"/>
          <w:lang w:val="en-US"/>
        </w:rPr>
        <w:t> </w:t>
      </w:r>
      <w:r w:rsidR="006F190E">
        <w:rPr>
          <w:szCs w:val="28"/>
        </w:rPr>
        <w:t>108</w:t>
      </w:r>
      <w:r w:rsidR="006F190E">
        <w:rPr>
          <w:lang w:val="en-US"/>
        </w:rPr>
        <w:t> </w:t>
      </w:r>
      <w:r w:rsidR="006F190E">
        <w:rPr>
          <w:szCs w:val="28"/>
        </w:rPr>
        <w:t>p.</w:t>
      </w:r>
      <w:r w:rsidR="006F190E">
        <w:rPr>
          <w:szCs w:val="28"/>
          <w:lang w:val="en-US"/>
        </w:rPr>
        <w:t> </w:t>
      </w:r>
      <w:r w:rsidR="006F190E">
        <w:rPr>
          <w:szCs w:val="28"/>
        </w:rPr>
        <w:t>URL:</w:t>
      </w:r>
      <w:r w:rsidR="006F190E">
        <w:rPr>
          <w:szCs w:val="28"/>
          <w:lang w:val="en-US"/>
        </w:rPr>
        <w:t> </w:t>
      </w:r>
      <w:r w:rsidR="00A607AD" w:rsidRPr="00CE32BC">
        <w:rPr>
          <w:szCs w:val="28"/>
        </w:rPr>
        <w:t>https://</w:t>
      </w:r>
      <w:r w:rsidR="006F190E">
        <w:rPr>
          <w:szCs w:val="28"/>
        </w:rPr>
        <w:t>www.everywomaneverychild.org/wp</w:t>
      </w:r>
      <w:r w:rsidR="006F190E">
        <w:rPr>
          <w:szCs w:val="28"/>
          <w:lang w:val="en-US"/>
        </w:rPr>
        <w:t>-</w:t>
      </w:r>
      <w:r w:rsidR="00A607AD" w:rsidRPr="00CE32BC">
        <w:rPr>
          <w:szCs w:val="28"/>
        </w:rPr>
        <w:t>content/uploads/2016/12/EWEC_Global_St</w:t>
      </w:r>
      <w:r w:rsidR="006F190E">
        <w:rPr>
          <w:szCs w:val="28"/>
        </w:rPr>
        <w:t>rategy_EN_inside_LogoOK_web.pdf</w:t>
      </w:r>
      <w:r w:rsidR="006F190E">
        <w:rPr>
          <w:szCs w:val="28"/>
          <w:lang w:val="en-US"/>
        </w:rPr>
        <w:t xml:space="preserve"> </w:t>
      </w:r>
      <w:r w:rsidR="00A607AD" w:rsidRPr="00CE32BC">
        <w:rPr>
          <w:szCs w:val="28"/>
        </w:rPr>
        <w:t>(Last accessed: 05.12.2019).</w:t>
      </w:r>
    </w:p>
    <w:p w:rsidR="00A64B83" w:rsidRDefault="00CE32BC" w:rsidP="00A64B83">
      <w:pPr>
        <w:ind w:firstLine="709"/>
        <w:rPr>
          <w:szCs w:val="28"/>
        </w:rPr>
      </w:pPr>
      <w:r>
        <w:rPr>
          <w:szCs w:val="28"/>
        </w:rPr>
        <w:t>55.</w:t>
      </w:r>
      <w:r w:rsidR="00A607AD" w:rsidRPr="00CE32BC">
        <w:rPr>
          <w:szCs w:val="28"/>
        </w:rPr>
        <w:t xml:space="preserve"> Definitions of indicators. Data sources and methodology. UNICEF website: monitoring the situation of children and women. URL: https://data.unicef.org/topic/child-survival/under-five-mortality/#methodology (Last accessed: 05.10.2020).</w:t>
      </w:r>
    </w:p>
    <w:p w:rsidR="00A64B83" w:rsidRDefault="00BD3E99" w:rsidP="00A64B83">
      <w:pPr>
        <w:ind w:firstLine="709"/>
        <w:rPr>
          <w:szCs w:val="28"/>
        </w:rPr>
      </w:pPr>
      <w:r>
        <w:rPr>
          <w:szCs w:val="28"/>
        </w:rPr>
        <w:t>56.</w:t>
      </w:r>
      <w:r w:rsidR="00A607AD" w:rsidRPr="00A64B83">
        <w:rPr>
          <w:szCs w:val="28"/>
        </w:rPr>
        <w:t xml:space="preserve"> Child and youth mortality trend series to 2019: Explanatory Notes / UNIGME, UNICEF, WHO. 2020. 16</w:t>
      </w:r>
      <w:r w:rsidR="009F261E">
        <w:rPr>
          <w:szCs w:val="28"/>
        </w:rPr>
        <w:t> </w:t>
      </w:r>
      <w:r w:rsidR="00A607AD" w:rsidRPr="00A64B83">
        <w:rPr>
          <w:szCs w:val="28"/>
        </w:rPr>
        <w:t>p. URL:</w:t>
      </w:r>
      <w:r w:rsidR="009F261E">
        <w:rPr>
          <w:szCs w:val="28"/>
        </w:rPr>
        <w:t> </w:t>
      </w:r>
      <w:r w:rsidR="00A607AD" w:rsidRPr="00A64B83">
        <w:rPr>
          <w:szCs w:val="28"/>
        </w:rPr>
        <w:t xml:space="preserve"> https://childmortality.org/wp-content/uploads/2019/09/UNIGME_explanatory_notes_EN_2020.pdf (Last accessed: 05.10.</w:t>
      </w:r>
      <w:r w:rsidR="00A64B83">
        <w:rPr>
          <w:szCs w:val="28"/>
        </w:rPr>
        <w:t>2020).</w:t>
      </w:r>
    </w:p>
    <w:p w:rsidR="00A64B83" w:rsidRDefault="00BD3E99" w:rsidP="00A64B83">
      <w:pPr>
        <w:ind w:firstLine="709"/>
        <w:rPr>
          <w:szCs w:val="28"/>
        </w:rPr>
      </w:pPr>
      <w:r>
        <w:rPr>
          <w:szCs w:val="28"/>
        </w:rPr>
        <w:t>57. </w:t>
      </w:r>
      <w:r w:rsidR="00A607AD" w:rsidRPr="00A64B83">
        <w:rPr>
          <w:szCs w:val="28"/>
        </w:rPr>
        <w:t>Nicaragua Demographics. Wordometer website. URL: https://www.worldometers.info/demographics/nicaragua-demographics/ (Last accessed: 08.10.2020).</w:t>
      </w:r>
    </w:p>
    <w:p w:rsidR="00A64B83" w:rsidRDefault="005B2E8E" w:rsidP="00A64B83">
      <w:pPr>
        <w:ind w:firstLine="709"/>
        <w:rPr>
          <w:szCs w:val="28"/>
        </w:rPr>
      </w:pPr>
      <w:r>
        <w:rPr>
          <w:szCs w:val="28"/>
        </w:rPr>
        <w:t>58.</w:t>
      </w:r>
      <w:r w:rsidR="00A607AD" w:rsidRPr="00A64B83">
        <w:rPr>
          <w:szCs w:val="28"/>
        </w:rPr>
        <w:t xml:space="preserve"> Global, regional, and national levels and trends in under-5 mortality between 1990 and 2015, with scenario-based projections to 2030: a systematic analysis by the UN Inter-agency Group for Child Mortality Estimation / Danzhen You et al. Lancet.</w:t>
      </w:r>
      <w:r w:rsidR="00A64B83">
        <w:rPr>
          <w:szCs w:val="28"/>
        </w:rPr>
        <w:t xml:space="preserve"> 2015. Vol. 386. P.</w:t>
      </w:r>
      <w:r>
        <w:t> </w:t>
      </w:r>
      <w:r w:rsidR="00A64B83">
        <w:rPr>
          <w:szCs w:val="28"/>
        </w:rPr>
        <w:t xml:space="preserve">2275–2286. </w:t>
      </w:r>
    </w:p>
    <w:p w:rsidR="009A5442" w:rsidRPr="00AF53B9" w:rsidRDefault="005B2E8E" w:rsidP="00A64B83">
      <w:pPr>
        <w:ind w:firstLine="709"/>
        <w:rPr>
          <w:rFonts w:eastAsia="Calibri"/>
          <w:szCs w:val="28"/>
          <w:lang w:val="en-US"/>
        </w:rPr>
      </w:pPr>
      <w:r>
        <w:rPr>
          <w:szCs w:val="28"/>
        </w:rPr>
        <w:t>59.</w:t>
      </w:r>
      <w:r w:rsidR="00A607AD" w:rsidRPr="00A64B83">
        <w:rPr>
          <w:color w:val="FF0000"/>
          <w:szCs w:val="28"/>
        </w:rPr>
        <w:t xml:space="preserve"> </w:t>
      </w:r>
      <w:r w:rsidR="005C53A0" w:rsidRPr="005C53A0">
        <w:rPr>
          <w:rFonts w:eastAsia="Calibri"/>
          <w:szCs w:val="28"/>
          <w:lang w:val="en-US"/>
        </w:rPr>
        <w:t>Mulholland E.</w:t>
      </w:r>
      <w:r w:rsidR="005C53A0" w:rsidRPr="005C53A0">
        <w:rPr>
          <w:rFonts w:eastAsia="Calibri"/>
          <w:szCs w:val="28"/>
        </w:rPr>
        <w:t xml:space="preserve"> </w:t>
      </w:r>
      <w:r w:rsidR="005C53A0" w:rsidRPr="005C53A0">
        <w:rPr>
          <w:rFonts w:eastAsia="Calibri"/>
          <w:szCs w:val="28"/>
          <w:lang w:val="en-US"/>
        </w:rPr>
        <w:t>The Role of European Parliaments in the Implementation of the 2030 Agenda and the SDGs: ESDN Quarterly Report 2017</w:t>
      </w:r>
      <w:r w:rsidR="005C53A0" w:rsidRPr="005C53A0">
        <w:rPr>
          <w:rFonts w:eastAsia="Calibri"/>
          <w:szCs w:val="28"/>
        </w:rPr>
        <w:t>.</w:t>
      </w:r>
      <w:r w:rsidR="005C53A0" w:rsidRPr="005C53A0">
        <w:rPr>
          <w:rFonts w:eastAsia="Calibri"/>
          <w:szCs w:val="28"/>
          <w:lang w:val="en-US"/>
        </w:rPr>
        <w:t xml:space="preserve"> Vienna, 2017. 89 p. URL: </w:t>
      </w:r>
      <w:hyperlink r:id="rId58" w:history="1">
        <w:r w:rsidR="005C53A0" w:rsidRPr="005C53A0">
          <w:rPr>
            <w:rFonts w:eastAsia="Calibri"/>
            <w:szCs w:val="28"/>
            <w:lang w:val="en-US"/>
          </w:rPr>
          <w:t>https://www.sd-network.eu/quarterly%20reports/report%20files/pdf/2017-July-</w:t>
        </w:r>
        <w:r w:rsidR="005C53A0" w:rsidRPr="005C53A0">
          <w:rPr>
            <w:rFonts w:eastAsia="Calibri"/>
            <w:szCs w:val="28"/>
            <w:lang w:val="en-US"/>
          </w:rPr>
          <w:lastRenderedPageBreak/>
          <w:t>The_Role_of_European_Parliaments_in_the_Implementation_of_the_2030_Agenda_and_the_SDGs.pdf</w:t>
        </w:r>
      </w:hyperlink>
      <w:r w:rsidR="005C53A0" w:rsidRPr="005C53A0">
        <w:rPr>
          <w:rFonts w:eastAsia="Calibri"/>
          <w:szCs w:val="28"/>
          <w:lang w:val="en-US"/>
        </w:rPr>
        <w:t xml:space="preserve"> </w:t>
      </w:r>
      <w:r w:rsidR="005C53A0" w:rsidRPr="005C53A0">
        <w:rPr>
          <w:rFonts w:eastAsia="Calibri"/>
          <w:szCs w:val="28"/>
        </w:rPr>
        <w:t>(</w:t>
      </w:r>
      <w:r w:rsidR="005C53A0" w:rsidRPr="005C53A0">
        <w:rPr>
          <w:rFonts w:eastAsia="TimesNewRomanPSMT"/>
          <w:szCs w:val="28"/>
          <w:lang w:val="en-US"/>
        </w:rPr>
        <w:t>Last accessed</w:t>
      </w:r>
      <w:r w:rsidR="005C53A0" w:rsidRPr="005C53A0">
        <w:rPr>
          <w:rFonts w:eastAsia="Calibri"/>
          <w:szCs w:val="28"/>
        </w:rPr>
        <w:t>: 0</w:t>
      </w:r>
      <w:r w:rsidR="005C53A0" w:rsidRPr="005C53A0">
        <w:rPr>
          <w:rFonts w:eastAsia="Calibri"/>
          <w:szCs w:val="28"/>
          <w:lang w:val="en-US"/>
        </w:rPr>
        <w:t>3</w:t>
      </w:r>
      <w:r w:rsidR="005C53A0" w:rsidRPr="005C53A0">
        <w:rPr>
          <w:rFonts w:eastAsia="Calibri"/>
          <w:szCs w:val="28"/>
        </w:rPr>
        <w:t>.0</w:t>
      </w:r>
      <w:r w:rsidR="005C53A0" w:rsidRPr="005C53A0">
        <w:rPr>
          <w:rFonts w:eastAsia="Calibri"/>
          <w:szCs w:val="28"/>
          <w:lang w:val="en-US"/>
        </w:rPr>
        <w:t>4</w:t>
      </w:r>
      <w:r w:rsidR="005C53A0" w:rsidRPr="005C53A0">
        <w:rPr>
          <w:rFonts w:eastAsia="Calibri"/>
          <w:szCs w:val="28"/>
        </w:rPr>
        <w:t>.202</w:t>
      </w:r>
      <w:r w:rsidR="005C53A0" w:rsidRPr="005C53A0">
        <w:rPr>
          <w:rFonts w:eastAsia="Calibri"/>
          <w:szCs w:val="28"/>
          <w:lang w:val="en-US"/>
        </w:rPr>
        <w:t>0</w:t>
      </w:r>
      <w:r w:rsidR="005C53A0" w:rsidRPr="005C53A0">
        <w:rPr>
          <w:rFonts w:eastAsia="Calibri"/>
          <w:szCs w:val="28"/>
        </w:rPr>
        <w:t>).</w:t>
      </w:r>
      <w:r w:rsidR="005C53A0" w:rsidRPr="005C53A0">
        <w:rPr>
          <w:rFonts w:eastAsia="Calibri"/>
          <w:szCs w:val="28"/>
          <w:lang w:val="en-US"/>
        </w:rPr>
        <w:t xml:space="preserve"> </w:t>
      </w:r>
    </w:p>
    <w:p w:rsidR="00A64B83" w:rsidRDefault="005B2E8E" w:rsidP="00A64B83">
      <w:pPr>
        <w:ind w:firstLine="709"/>
        <w:rPr>
          <w:szCs w:val="28"/>
        </w:rPr>
      </w:pPr>
      <w:r>
        <w:rPr>
          <w:szCs w:val="28"/>
        </w:rPr>
        <w:t>60. </w:t>
      </w:r>
      <w:r w:rsidR="00A607AD" w:rsidRPr="00A64B83">
        <w:rPr>
          <w:szCs w:val="28"/>
        </w:rPr>
        <w:t>The Sustainable Development Goals Report 2020. New York: United Nations, 2020. 68</w:t>
      </w:r>
      <w:r>
        <w:rPr>
          <w:szCs w:val="28"/>
        </w:rPr>
        <w:t> </w:t>
      </w:r>
      <w:r w:rsidR="00A607AD" w:rsidRPr="00A64B83">
        <w:rPr>
          <w:szCs w:val="28"/>
        </w:rPr>
        <w:t>p. URL: https://unstats.un.org/sdgs/report/2020/The-Sustainable-Development-Goals-Report-2020.pdf (Last accessed: 05.10.2020).</w:t>
      </w:r>
    </w:p>
    <w:p w:rsidR="00A64B83" w:rsidRDefault="005B2E8E" w:rsidP="00A64B83">
      <w:pPr>
        <w:ind w:firstLine="709"/>
        <w:rPr>
          <w:szCs w:val="28"/>
        </w:rPr>
      </w:pPr>
      <w:r>
        <w:rPr>
          <w:szCs w:val="28"/>
        </w:rPr>
        <w:t>61.</w:t>
      </w:r>
      <w:r w:rsidR="00A607AD" w:rsidRPr="00A64B83">
        <w:rPr>
          <w:szCs w:val="28"/>
        </w:rPr>
        <w:t xml:space="preserve"> Neonatal-perinatal database and birth defects surveillance: Report of the regional review meeting (New Delhi, India, 19–21 August 2014) / WHO, Regional Office of South-East</w:t>
      </w:r>
      <w:r w:rsidR="005E6BC5">
        <w:rPr>
          <w:lang w:val="en-US"/>
        </w:rPr>
        <w:t> </w:t>
      </w:r>
      <w:r w:rsidR="00A607AD" w:rsidRPr="00A64B83">
        <w:rPr>
          <w:szCs w:val="28"/>
        </w:rPr>
        <w:t>Asia.</w:t>
      </w:r>
      <w:r w:rsidR="005E6BC5">
        <w:rPr>
          <w:szCs w:val="28"/>
          <w:lang w:val="en-US"/>
        </w:rPr>
        <w:t> </w:t>
      </w:r>
      <w:r w:rsidR="00A607AD" w:rsidRPr="00A64B83">
        <w:rPr>
          <w:szCs w:val="28"/>
        </w:rPr>
        <w:t xml:space="preserve"> 98</w:t>
      </w:r>
      <w:r>
        <w:t> </w:t>
      </w:r>
      <w:r w:rsidR="00A607AD" w:rsidRPr="00A64B83">
        <w:rPr>
          <w:szCs w:val="28"/>
        </w:rPr>
        <w:t>p. URL:</w:t>
      </w:r>
      <w:r>
        <w:rPr>
          <w:szCs w:val="28"/>
        </w:rPr>
        <w:t> </w:t>
      </w:r>
      <w:r w:rsidR="00A607AD" w:rsidRPr="00A64B83">
        <w:rPr>
          <w:szCs w:val="28"/>
        </w:rPr>
        <w:t>https://www.who.int/docs/default-source/searo/cah/cah-24.pdf?sfvrsn=7d839fab_2 (Last accessed: 15.11.2019).</w:t>
      </w:r>
    </w:p>
    <w:p w:rsidR="00A64B83" w:rsidRDefault="006B7233" w:rsidP="00A64B83">
      <w:pPr>
        <w:ind w:firstLine="709"/>
        <w:rPr>
          <w:szCs w:val="28"/>
        </w:rPr>
      </w:pPr>
      <w:r>
        <w:rPr>
          <w:szCs w:val="28"/>
        </w:rPr>
        <w:t>62.</w:t>
      </w:r>
      <w:r w:rsidR="00A607AD" w:rsidRPr="00A64B83">
        <w:rPr>
          <w:szCs w:val="28"/>
        </w:rPr>
        <w:t xml:space="preserve"> Old challenges, new hopes. Accountability for the Global Strategy for Women’s, Children’s and Adolescent’s Health. Independent Accountability Panel / World Health Organization. Geneva, 2016. 68 p. URL: http://www.iapreport.org/ (Last accessed: 05.12.2019).</w:t>
      </w:r>
    </w:p>
    <w:p w:rsidR="00A64B83" w:rsidRDefault="006B7233" w:rsidP="00A64B83">
      <w:pPr>
        <w:ind w:firstLine="709"/>
        <w:rPr>
          <w:szCs w:val="28"/>
        </w:rPr>
      </w:pPr>
      <w:r>
        <w:rPr>
          <w:szCs w:val="28"/>
        </w:rPr>
        <w:t>63.</w:t>
      </w:r>
      <w:r w:rsidR="00A607AD" w:rsidRPr="00A64B83">
        <w:rPr>
          <w:szCs w:val="28"/>
        </w:rPr>
        <w:t xml:space="preserve"> UNICEF Data: Monitoring the situation of childrenand women. UNICEF website. URL: https://data.unicef.org/dv_index/ UNICEF Data Warehouse website. URL: https://data.unicef.org/dv_index/ (Last accessed: 11.05.2020).</w:t>
      </w:r>
    </w:p>
    <w:p w:rsidR="00A64B83" w:rsidRDefault="006B7233" w:rsidP="00A64B83">
      <w:pPr>
        <w:ind w:firstLine="709"/>
        <w:rPr>
          <w:szCs w:val="28"/>
        </w:rPr>
      </w:pPr>
      <w:r>
        <w:rPr>
          <w:szCs w:val="28"/>
        </w:rPr>
        <w:t>64.</w:t>
      </w:r>
      <w:r w:rsidR="00A607AD" w:rsidRPr="00A64B83">
        <w:rPr>
          <w:szCs w:val="28"/>
        </w:rPr>
        <w:t xml:space="preserve"> Stillbirth and child mortality estimate. UN Inter-agency Group for Child Mortality Estimation. URL: https://childmortality.org (Last accessed: 28.02.2021).</w:t>
      </w:r>
    </w:p>
    <w:p w:rsidR="00A64B83" w:rsidRDefault="006B7233" w:rsidP="00A64B83">
      <w:pPr>
        <w:ind w:firstLine="709"/>
        <w:rPr>
          <w:szCs w:val="28"/>
        </w:rPr>
      </w:pPr>
      <w:r>
        <w:rPr>
          <w:szCs w:val="28"/>
        </w:rPr>
        <w:t>65.</w:t>
      </w:r>
      <w:r w:rsidR="00A607AD" w:rsidRPr="00A64B83">
        <w:rPr>
          <w:szCs w:val="28"/>
        </w:rPr>
        <w:t xml:space="preserve"> Kim D., Saad A. The Social Determinants of Infant Mortality and Birth Outcomes in Western Developed Nations: A Cross-Country Systematic Review. International Journal of Environmental Research and Public Health. 2013. Vol. 10 (6). P.</w:t>
      </w:r>
      <w:r>
        <w:t> </w:t>
      </w:r>
      <w:r w:rsidR="00A607AD" w:rsidRPr="00A64B83">
        <w:rPr>
          <w:szCs w:val="28"/>
        </w:rPr>
        <w:t>2296–2335. DOI: 10.3390/ijerph10062296. (Last accessed: 28.02.2021).</w:t>
      </w:r>
    </w:p>
    <w:p w:rsidR="00A64B83" w:rsidRDefault="006B7233" w:rsidP="00A64B83">
      <w:pPr>
        <w:ind w:firstLine="709"/>
        <w:rPr>
          <w:szCs w:val="28"/>
        </w:rPr>
      </w:pPr>
      <w:r>
        <w:rPr>
          <w:szCs w:val="28"/>
        </w:rPr>
        <w:t>66.</w:t>
      </w:r>
      <w:r w:rsidR="00A607AD" w:rsidRPr="00A64B83">
        <w:rPr>
          <w:szCs w:val="28"/>
        </w:rPr>
        <w:t xml:space="preserve"> Determinants of infant and early childhood mortality levels and their decline in The Netherlands in the late nineteenth century / J.</w:t>
      </w:r>
      <w:r>
        <w:rPr>
          <w:szCs w:val="28"/>
        </w:rPr>
        <w:t> </w:t>
      </w:r>
      <w:r w:rsidR="00A607AD" w:rsidRPr="00A64B83">
        <w:rPr>
          <w:szCs w:val="28"/>
        </w:rPr>
        <w:t>H.</w:t>
      </w:r>
      <w:r>
        <w:rPr>
          <w:szCs w:val="28"/>
        </w:rPr>
        <w:t> </w:t>
      </w:r>
      <w:r w:rsidR="00A607AD" w:rsidRPr="00A64B83">
        <w:rPr>
          <w:szCs w:val="28"/>
        </w:rPr>
        <w:t>Wolleswinkel-van den Bosch et al. International Journal of Epidemiology. Vol.</w:t>
      </w:r>
      <w:r>
        <w:rPr>
          <w:szCs w:val="28"/>
          <w:lang w:val="en-US"/>
        </w:rPr>
        <w:t> </w:t>
      </w:r>
      <w:r w:rsidR="00A607AD" w:rsidRPr="00A64B83">
        <w:rPr>
          <w:szCs w:val="28"/>
        </w:rPr>
        <w:t>29, Is.</w:t>
      </w:r>
      <w:r>
        <w:rPr>
          <w:szCs w:val="28"/>
          <w:lang w:val="en-US"/>
        </w:rPr>
        <w:t> </w:t>
      </w:r>
      <w:r w:rsidR="00A607AD" w:rsidRPr="00A64B83">
        <w:rPr>
          <w:szCs w:val="28"/>
        </w:rPr>
        <w:t>6. P.</w:t>
      </w:r>
      <w:r>
        <w:rPr>
          <w:lang w:val="en-US"/>
        </w:rPr>
        <w:t> </w:t>
      </w:r>
      <w:r w:rsidR="00A607AD" w:rsidRPr="00A64B83">
        <w:rPr>
          <w:szCs w:val="28"/>
        </w:rPr>
        <w:t xml:space="preserve">1031–1040. DOI: https://doi.org/10.1093/ije/29.6.1031 (Last accessed: 28.02.2021). </w:t>
      </w:r>
    </w:p>
    <w:p w:rsidR="00A64B83" w:rsidRDefault="006B7233" w:rsidP="00A64B83">
      <w:pPr>
        <w:ind w:firstLine="709"/>
        <w:rPr>
          <w:szCs w:val="28"/>
        </w:rPr>
      </w:pPr>
      <w:r>
        <w:rPr>
          <w:szCs w:val="28"/>
        </w:rPr>
        <w:t>67.</w:t>
      </w:r>
      <w:r w:rsidR="00A607AD" w:rsidRPr="00A64B83">
        <w:rPr>
          <w:szCs w:val="28"/>
        </w:rPr>
        <w:t xml:space="preserve"> Roser M., Ritchie H., Dadonaite B. Child and Infant Mortality. Our Worid in Data. 2019. Published online 2013, updated in Novem. 2019. URL: </w:t>
      </w:r>
      <w:r w:rsidR="00A607AD" w:rsidRPr="00A64B83">
        <w:rPr>
          <w:szCs w:val="28"/>
        </w:rPr>
        <w:lastRenderedPageBreak/>
        <w:t>https://ourworldindata.org/child-mortality#45-of-deaths-infectious-diseases (Last accessed: 05.10.2020).</w:t>
      </w:r>
    </w:p>
    <w:p w:rsidR="00A64B83" w:rsidRDefault="006B7233" w:rsidP="00A64B83">
      <w:pPr>
        <w:ind w:firstLine="709"/>
        <w:rPr>
          <w:szCs w:val="28"/>
        </w:rPr>
      </w:pPr>
      <w:r>
        <w:rPr>
          <w:szCs w:val="28"/>
        </w:rPr>
        <w:t>68.</w:t>
      </w:r>
      <w:r>
        <w:rPr>
          <w:szCs w:val="28"/>
          <w:lang w:val="en-US"/>
        </w:rPr>
        <w:t xml:space="preserve"> </w:t>
      </w:r>
      <w:r w:rsidR="00C92BC8" w:rsidRPr="00C92BC8">
        <w:rPr>
          <w:szCs w:val="28"/>
        </w:rPr>
        <w:t>Can available interventions end preventable deaths in mothers, newborn babies, and stillbirths, and at what cost? / Z. A. Bhutta et al. The Lancet. 2014. Vol. 384 (9940). P. 347–370. URL: https://www.thelancet.com/journals/lancet/article/PIIS0140-6736(14)60792-3/fullte</w:t>
      </w:r>
      <w:r w:rsidR="00C92BC8">
        <w:rPr>
          <w:szCs w:val="28"/>
        </w:rPr>
        <w:t>xt (Last accessed:</w:t>
      </w:r>
      <w:r w:rsidR="00C92BC8" w:rsidRPr="00C92BC8">
        <w:rPr>
          <w:szCs w:val="28"/>
          <w:lang w:val="en-US"/>
        </w:rPr>
        <w:t xml:space="preserve"> </w:t>
      </w:r>
      <w:r w:rsidR="00A607AD" w:rsidRPr="00A64B83">
        <w:rPr>
          <w:szCs w:val="28"/>
        </w:rPr>
        <w:t xml:space="preserve">15.09.2020). </w:t>
      </w:r>
    </w:p>
    <w:p w:rsidR="00A64B83" w:rsidRDefault="006B7233" w:rsidP="00A64B83">
      <w:pPr>
        <w:ind w:firstLine="709"/>
        <w:rPr>
          <w:szCs w:val="28"/>
        </w:rPr>
      </w:pPr>
      <w:r>
        <w:rPr>
          <w:szCs w:val="28"/>
        </w:rPr>
        <w:t>69.</w:t>
      </w:r>
      <w:r>
        <w:rPr>
          <w:szCs w:val="28"/>
          <w:lang w:val="en-US"/>
        </w:rPr>
        <w:t xml:space="preserve"> </w:t>
      </w:r>
      <w:r w:rsidR="00A607AD" w:rsidRPr="00A64B83">
        <w:rPr>
          <w:szCs w:val="28"/>
        </w:rPr>
        <w:t>Estimates of the global, regional, and national morbidity, mortality, and aetiologies of lower respiratory infections in 195 countries, 1990–2016: a systematic analysis for the Global Burden of Disease Study 2016 / C. Troeger et al. The Lancet Infectious Diseases. 2018. Vol. 18 (11). P. 1191–1210.</w:t>
      </w:r>
    </w:p>
    <w:p w:rsidR="00A64B83" w:rsidRDefault="006B7233" w:rsidP="00A64B83">
      <w:pPr>
        <w:ind w:firstLine="709"/>
        <w:rPr>
          <w:szCs w:val="28"/>
        </w:rPr>
      </w:pPr>
      <w:r>
        <w:rPr>
          <w:szCs w:val="28"/>
        </w:rPr>
        <w:t>70.</w:t>
      </w:r>
      <w:r>
        <w:rPr>
          <w:szCs w:val="28"/>
          <w:lang w:val="en-US"/>
        </w:rPr>
        <w:t xml:space="preserve"> </w:t>
      </w:r>
      <w:r w:rsidR="00A607AD" w:rsidRPr="00A64B83">
        <w:rPr>
          <w:szCs w:val="28"/>
        </w:rPr>
        <w:t>Ending Preventable Child Deaths from Pneumonia and Diarrhoea by 2025: The integrated Global Action Plan for Pneumonia and Diarrhoea (GAPPD) / World Health Organization, The United Nations Children’s Fund (UNICEF). 2013. 64 p.</w:t>
      </w:r>
    </w:p>
    <w:p w:rsidR="00A64B83" w:rsidRDefault="006B7233" w:rsidP="00A64B83">
      <w:pPr>
        <w:ind w:firstLine="709"/>
        <w:rPr>
          <w:szCs w:val="28"/>
        </w:rPr>
      </w:pPr>
      <w:r>
        <w:rPr>
          <w:szCs w:val="28"/>
        </w:rPr>
        <w:t>71.</w:t>
      </w:r>
      <w:r>
        <w:rPr>
          <w:szCs w:val="28"/>
          <w:lang w:val="en-US"/>
        </w:rPr>
        <w:t xml:space="preserve"> </w:t>
      </w:r>
      <w:r w:rsidR="00A607AD" w:rsidRPr="00A64B83">
        <w:rPr>
          <w:szCs w:val="28"/>
        </w:rPr>
        <w:t>Pneumonia. World Health Organization website. News room. 02 Aug. 2020. URL: https://www.who.int/en/news-room/fact-sheets/detail/pneumonia (Last accessed: 10.02.2020).</w:t>
      </w:r>
    </w:p>
    <w:p w:rsidR="00A64B83" w:rsidRDefault="006B7233" w:rsidP="00A64B83">
      <w:pPr>
        <w:ind w:firstLine="709"/>
        <w:rPr>
          <w:szCs w:val="28"/>
        </w:rPr>
      </w:pPr>
      <w:r>
        <w:rPr>
          <w:szCs w:val="28"/>
        </w:rPr>
        <w:t>72.</w:t>
      </w:r>
      <w:r>
        <w:rPr>
          <w:szCs w:val="28"/>
          <w:lang w:val="en-US"/>
        </w:rPr>
        <w:t xml:space="preserve"> </w:t>
      </w:r>
      <w:r w:rsidR="00A607AD" w:rsidRPr="00A64B83">
        <w:rPr>
          <w:szCs w:val="28"/>
        </w:rPr>
        <w:t>Monitoring Visualization Tool for the Global Action Plan for Pneumonia and Diarrhoea (GAPPD). World Health Organization website.</w:t>
      </w:r>
      <w:r w:rsidR="00CA3A50" w:rsidRPr="00DA6779">
        <w:rPr>
          <w:szCs w:val="28"/>
          <w:lang w:val="en-US"/>
        </w:rPr>
        <w:t> </w:t>
      </w:r>
      <w:r w:rsidR="00A607AD" w:rsidRPr="00A64B83">
        <w:rPr>
          <w:szCs w:val="28"/>
        </w:rPr>
        <w:t>2015. 4</w:t>
      </w:r>
      <w:r w:rsidR="00CA3A50" w:rsidRPr="00CA3A50">
        <w:rPr>
          <w:lang w:val="en-US"/>
        </w:rPr>
        <w:t> </w:t>
      </w:r>
      <w:r w:rsidR="00A607AD" w:rsidRPr="00A64B83">
        <w:rPr>
          <w:szCs w:val="28"/>
        </w:rPr>
        <w:t>p. URL: https://www.who.int/maternal_child_adolescent/epidemiology/gappd-monitoring/en/ (Last accessed: 10.02.2020).</w:t>
      </w:r>
    </w:p>
    <w:p w:rsidR="00A64B83" w:rsidRDefault="00CA3A50" w:rsidP="00A64B83">
      <w:pPr>
        <w:ind w:firstLine="709"/>
        <w:rPr>
          <w:szCs w:val="28"/>
        </w:rPr>
      </w:pPr>
      <w:r>
        <w:rPr>
          <w:szCs w:val="28"/>
        </w:rPr>
        <w:t>73.</w:t>
      </w:r>
      <w:r w:rsidRPr="00CA3A50">
        <w:rPr>
          <w:szCs w:val="28"/>
          <w:lang w:val="en-US"/>
        </w:rPr>
        <w:t xml:space="preserve"> </w:t>
      </w:r>
      <w:r w:rsidR="00A607AD" w:rsidRPr="00A64B83">
        <w:rPr>
          <w:szCs w:val="28"/>
        </w:rPr>
        <w:t>Revised WHO classification and treatment of childhood pneumonia at health facilities: evidence summaries / World Health Organization. Geneva, 2014. 34 p. URL: https://apps.who.int/iris/bitstream/handle/10665/137319/9789241507813_eng.pdf?sequence=1 (Last accessed: 10.02.2020).</w:t>
      </w:r>
    </w:p>
    <w:p w:rsidR="00A64B83" w:rsidRDefault="00CA3A50" w:rsidP="00A64B83">
      <w:pPr>
        <w:ind w:firstLine="709"/>
        <w:rPr>
          <w:szCs w:val="28"/>
        </w:rPr>
      </w:pPr>
      <w:r>
        <w:rPr>
          <w:szCs w:val="28"/>
        </w:rPr>
        <w:t>74.</w:t>
      </w:r>
      <w:r w:rsidRPr="00CA3A50">
        <w:rPr>
          <w:szCs w:val="28"/>
          <w:lang w:val="en-US"/>
        </w:rPr>
        <w:t xml:space="preserve"> </w:t>
      </w:r>
      <w:r w:rsidR="00A607AD" w:rsidRPr="00A64B83">
        <w:rPr>
          <w:szCs w:val="28"/>
        </w:rPr>
        <w:t>The integrated Global Action Plan for Prevention and Control of Pneumonia and Diarrhoea (GAPPD) / World Health Organization. Geneva, 2013. 61</w:t>
      </w:r>
      <w:r w:rsidRPr="00CA3A50">
        <w:rPr>
          <w:szCs w:val="28"/>
          <w:lang w:val="en-US"/>
        </w:rPr>
        <w:t> </w:t>
      </w:r>
      <w:r w:rsidR="00A607AD" w:rsidRPr="00A64B83">
        <w:rPr>
          <w:szCs w:val="28"/>
        </w:rPr>
        <w:t>p. URL: https://www.who.int/publications/i/item/the-integrated-global-action-plan-for-prevention-and-control-of-pneumonia-and-diarrhoea-(gappd) (Last accessed: 11.12.2019).</w:t>
      </w:r>
    </w:p>
    <w:p w:rsidR="00A64B83" w:rsidRDefault="00CA3A50" w:rsidP="00A64B83">
      <w:pPr>
        <w:ind w:firstLine="709"/>
        <w:rPr>
          <w:szCs w:val="28"/>
        </w:rPr>
      </w:pPr>
      <w:r>
        <w:rPr>
          <w:szCs w:val="28"/>
        </w:rPr>
        <w:lastRenderedPageBreak/>
        <w:t>75.</w:t>
      </w:r>
      <w:r w:rsidRPr="00CA3A50">
        <w:rPr>
          <w:szCs w:val="28"/>
          <w:lang w:val="en-US"/>
        </w:rPr>
        <w:t xml:space="preserve"> </w:t>
      </w:r>
      <w:r w:rsidR="00A607AD" w:rsidRPr="00A64B83">
        <w:rPr>
          <w:szCs w:val="28"/>
        </w:rPr>
        <w:t>Global, regional, and national causes of under-5 mortality in 2000-15: an updated systematic analysis with implications for the Sustainable Development Goals / Liu Li et al. The Lancet. 2016. Vol. 388 (10063). P. 3027–3035.</w:t>
      </w:r>
    </w:p>
    <w:p w:rsidR="00A64B83" w:rsidRDefault="00CA3A50" w:rsidP="00A64B83">
      <w:pPr>
        <w:ind w:firstLine="709"/>
        <w:rPr>
          <w:szCs w:val="28"/>
        </w:rPr>
      </w:pPr>
      <w:r>
        <w:rPr>
          <w:szCs w:val="28"/>
        </w:rPr>
        <w:t>76.</w:t>
      </w:r>
      <w:r w:rsidR="00A607AD" w:rsidRPr="00A64B83">
        <w:rPr>
          <w:szCs w:val="28"/>
        </w:rPr>
        <w:t xml:space="preserve"> Measuring the Burden of Disease Due to Preterm Birth Complications in Korea Using Disability-Adjusted Life Years (DALY) / Hyun Joo Kim et al. International journal of environmental research and public health. 2019. Vol. 16 (3). P. 519.</w:t>
      </w:r>
    </w:p>
    <w:p w:rsidR="00A64B83" w:rsidRDefault="00CA3A50" w:rsidP="00A64B83">
      <w:pPr>
        <w:ind w:firstLine="709"/>
        <w:rPr>
          <w:szCs w:val="28"/>
        </w:rPr>
      </w:pPr>
      <w:r>
        <w:rPr>
          <w:szCs w:val="28"/>
        </w:rPr>
        <w:t>77.</w:t>
      </w:r>
      <w:r w:rsidR="00A607AD" w:rsidRPr="00A64B83">
        <w:rPr>
          <w:szCs w:val="28"/>
        </w:rPr>
        <w:t xml:space="preserve"> </w:t>
      </w:r>
      <w:r w:rsidR="003153F4" w:rsidRPr="003153F4">
        <w:rPr>
          <w:szCs w:val="28"/>
        </w:rPr>
        <w:t>Born too soon: The global action report on preterm birth / World Health Organization. Geneva, 2012. 126 p. URL: http://apps.who.int/iris/bitstream/handle/10665/44864/9789241503433_eng.pdf?sequence=1. (Last accessed: 11.12.2019).</w:t>
      </w:r>
    </w:p>
    <w:p w:rsidR="00A64B83" w:rsidRDefault="00CE4213" w:rsidP="00A64B83">
      <w:pPr>
        <w:ind w:firstLine="709"/>
        <w:rPr>
          <w:szCs w:val="28"/>
        </w:rPr>
      </w:pPr>
      <w:r>
        <w:rPr>
          <w:szCs w:val="28"/>
        </w:rPr>
        <w:t>78.</w:t>
      </w:r>
      <w:r w:rsidRPr="00CE4213">
        <w:rPr>
          <w:szCs w:val="28"/>
          <w:lang w:val="en-US"/>
        </w:rPr>
        <w:t xml:space="preserve"> </w:t>
      </w:r>
      <w:r w:rsidR="00A607AD" w:rsidRPr="00A64B83">
        <w:rPr>
          <w:szCs w:val="28"/>
        </w:rPr>
        <w:t>WHO recommendations on interventions to improve</w:t>
      </w:r>
      <w:r w:rsidR="00A64B83">
        <w:rPr>
          <w:szCs w:val="28"/>
        </w:rPr>
        <w:t xml:space="preserve"> preterm birth outcomes / World</w:t>
      </w:r>
      <w:r w:rsidR="00A64B83">
        <w:rPr>
          <w:lang w:val="en-US"/>
        </w:rPr>
        <w:t> </w:t>
      </w:r>
      <w:r w:rsidR="00A64B83">
        <w:rPr>
          <w:szCs w:val="28"/>
        </w:rPr>
        <w:t xml:space="preserve"> </w:t>
      </w:r>
      <w:r w:rsidR="00A607AD" w:rsidRPr="00A64B83">
        <w:rPr>
          <w:szCs w:val="28"/>
        </w:rPr>
        <w:t>Health Organization. Geneva, 2015. 108 p. URL: https://apps.who.int/iris/bitstream/handle/10665/183037/9789241508988_eng.pdf?sequence=1 (Last accessed: 12.11.2019).</w:t>
      </w:r>
    </w:p>
    <w:p w:rsidR="00520FC7" w:rsidRDefault="00CE4213" w:rsidP="00520FC7">
      <w:pPr>
        <w:ind w:firstLine="709"/>
        <w:rPr>
          <w:szCs w:val="28"/>
          <w:lang w:val="en-US"/>
        </w:rPr>
      </w:pPr>
      <w:r>
        <w:rPr>
          <w:szCs w:val="28"/>
        </w:rPr>
        <w:t>79.</w:t>
      </w:r>
      <w:r w:rsidRPr="00DA6779">
        <w:rPr>
          <w:szCs w:val="28"/>
          <w:lang w:val="en-US"/>
        </w:rPr>
        <w:t xml:space="preserve"> </w:t>
      </w:r>
      <w:r w:rsidR="00A607AD" w:rsidRPr="00A64B83">
        <w:rPr>
          <w:szCs w:val="28"/>
        </w:rPr>
        <w:t>Preterm birth. World Health Organization website. News room. 19 Febr. 2019. URL: https://www.who.int/news-room/fact-sheets/detail/preterm-birth (Last accessed: 06.10.2020).</w:t>
      </w:r>
    </w:p>
    <w:p w:rsidR="00520FC7" w:rsidRDefault="00CE4213" w:rsidP="00520FC7">
      <w:pPr>
        <w:ind w:firstLine="709"/>
        <w:rPr>
          <w:szCs w:val="28"/>
          <w:lang w:val="en-US"/>
        </w:rPr>
      </w:pPr>
      <w:r>
        <w:rPr>
          <w:szCs w:val="28"/>
        </w:rPr>
        <w:t>80.</w:t>
      </w:r>
      <w:r w:rsidRPr="00CE4213">
        <w:rPr>
          <w:szCs w:val="28"/>
          <w:lang w:val="en-US"/>
        </w:rPr>
        <w:t xml:space="preserve"> </w:t>
      </w:r>
      <w:r w:rsidR="00A607AD" w:rsidRPr="00520FC7">
        <w:rPr>
          <w:szCs w:val="28"/>
        </w:rPr>
        <w:t>Survive and thrive: transforming care for every small and sick / World Health Organization. Geneva, 2019. 162 p. URL:  https://apps.who.int/iris/bitstream/handle/10665/326495/9789241515887-eng.pdf?ua=1 (Last accessed: 06.10.2020).</w:t>
      </w:r>
    </w:p>
    <w:p w:rsidR="00520FC7" w:rsidRDefault="00CE4213" w:rsidP="00520FC7">
      <w:pPr>
        <w:ind w:firstLine="709"/>
        <w:rPr>
          <w:szCs w:val="28"/>
          <w:lang w:val="en-US"/>
        </w:rPr>
      </w:pPr>
      <w:r>
        <w:rPr>
          <w:szCs w:val="28"/>
        </w:rPr>
        <w:t>81.</w:t>
      </w:r>
      <w:r w:rsidRPr="00CE4213">
        <w:rPr>
          <w:szCs w:val="28"/>
          <w:lang w:val="en-US"/>
        </w:rPr>
        <w:t xml:space="preserve"> </w:t>
      </w:r>
      <w:r w:rsidR="00A607AD" w:rsidRPr="00520FC7">
        <w:rPr>
          <w:szCs w:val="28"/>
        </w:rPr>
        <w:t>Global, regional, and national estimates of levels of preterm birth in 2014: a systematic review and modelling analysis / Saifon Chawanpaiboon et al. The Lancet Global Health. 2019. Vol. 7, Is. 1. P. e37–e46. DOI: https://doi.org/10.1016/S2214-109X(18)30451-0 (Last accessed: 28.02.2021).</w:t>
      </w:r>
    </w:p>
    <w:p w:rsidR="00BC4BDD" w:rsidRDefault="00455032" w:rsidP="00BC4BDD">
      <w:pPr>
        <w:ind w:firstLine="709"/>
        <w:rPr>
          <w:szCs w:val="28"/>
          <w:lang w:val="en-US"/>
        </w:rPr>
      </w:pPr>
      <w:r>
        <w:rPr>
          <w:szCs w:val="28"/>
        </w:rPr>
        <w:t>82.</w:t>
      </w:r>
      <w:r w:rsidRPr="00DA6779">
        <w:rPr>
          <w:szCs w:val="28"/>
          <w:lang w:val="en-US"/>
        </w:rPr>
        <w:t> </w:t>
      </w:r>
      <w:r w:rsidR="00A607AD" w:rsidRPr="00520FC7">
        <w:rPr>
          <w:szCs w:val="28"/>
        </w:rPr>
        <w:t>Diarrhoeal disease. World Health Organization website. News room. 02 May.</w:t>
      </w:r>
      <w:r w:rsidRPr="00DA6779">
        <w:rPr>
          <w:lang w:val="en-US"/>
        </w:rPr>
        <w:t> </w:t>
      </w:r>
      <w:r w:rsidR="00A607AD" w:rsidRPr="00520FC7">
        <w:rPr>
          <w:szCs w:val="28"/>
        </w:rPr>
        <w:t>2017. URL: https://www.who.int/en/news-room/fact-sheets/detail/diarrhoeal-disease  (Last accessed: 06.10.2020).</w:t>
      </w:r>
    </w:p>
    <w:p w:rsidR="00BC4BDD" w:rsidRDefault="00455032" w:rsidP="00BC4BDD">
      <w:pPr>
        <w:ind w:firstLine="709"/>
        <w:rPr>
          <w:szCs w:val="28"/>
          <w:lang w:val="en-US"/>
        </w:rPr>
      </w:pPr>
      <w:r>
        <w:rPr>
          <w:szCs w:val="28"/>
        </w:rPr>
        <w:t>83.</w:t>
      </w:r>
      <w:r w:rsidRPr="00455032">
        <w:rPr>
          <w:szCs w:val="28"/>
          <w:lang w:val="en-US"/>
        </w:rPr>
        <w:t> </w:t>
      </w:r>
      <w:r w:rsidR="00A607AD" w:rsidRPr="00BC4BDD">
        <w:rPr>
          <w:szCs w:val="28"/>
        </w:rPr>
        <w:t>Acute diarrhoeal diseases in complex emergencies: critical steps: Health Emergencies Preparedness and Response / World Health Organization. Geneva, 2018. 8</w:t>
      </w:r>
      <w:r w:rsidRPr="00455032">
        <w:rPr>
          <w:szCs w:val="28"/>
          <w:lang w:val="en-US"/>
        </w:rPr>
        <w:t> </w:t>
      </w:r>
      <w:r w:rsidR="00A607AD" w:rsidRPr="00BC4BDD">
        <w:rPr>
          <w:szCs w:val="28"/>
        </w:rPr>
        <w:t xml:space="preserve">p. </w:t>
      </w:r>
      <w:r w:rsidR="00A607AD" w:rsidRPr="00BC4BDD">
        <w:rPr>
          <w:szCs w:val="28"/>
        </w:rPr>
        <w:lastRenderedPageBreak/>
        <w:t>URL:</w:t>
      </w:r>
      <w:r w:rsidR="00766B98">
        <w:rPr>
          <w:szCs w:val="28"/>
        </w:rPr>
        <w:t> </w:t>
      </w:r>
      <w:r w:rsidR="00511BC8" w:rsidRPr="00511BC8">
        <w:rPr>
          <w:szCs w:val="28"/>
          <w:lang w:val="en-US"/>
        </w:rPr>
        <w:t xml:space="preserve"> </w:t>
      </w:r>
      <w:r w:rsidR="00A607AD" w:rsidRPr="00BC4BDD">
        <w:rPr>
          <w:szCs w:val="28"/>
        </w:rPr>
        <w:t>https://www.who.int/publications/i/item/acute-diarrhoeal-diseases-in-complex-emergencies-critical-steps (Last accessed: 06.10.2020).</w:t>
      </w:r>
    </w:p>
    <w:p w:rsidR="00BC4BDD" w:rsidRDefault="00455032" w:rsidP="00BC4BDD">
      <w:pPr>
        <w:ind w:firstLine="709"/>
        <w:rPr>
          <w:szCs w:val="28"/>
          <w:lang w:val="en-US"/>
        </w:rPr>
      </w:pPr>
      <w:r>
        <w:rPr>
          <w:szCs w:val="28"/>
        </w:rPr>
        <w:t>84.</w:t>
      </w:r>
      <w:r w:rsidRPr="00455032">
        <w:rPr>
          <w:szCs w:val="28"/>
          <w:lang w:val="en-US"/>
        </w:rPr>
        <w:t xml:space="preserve"> </w:t>
      </w:r>
      <w:r w:rsidR="00A607AD" w:rsidRPr="00BC4BDD">
        <w:rPr>
          <w:szCs w:val="28"/>
        </w:rPr>
        <w:t>Preventing diarrhoea through better water, sanitation and hygiene. Exposures and impacts in low- and middle-income / World Health Organization. Geneva, 2014. 48 p. URL: https://www.who.int/publications/i/item/9789241564823 (Last accessed: 11.10.2020).</w:t>
      </w:r>
    </w:p>
    <w:p w:rsidR="00BC4BDD" w:rsidRDefault="00455032" w:rsidP="00BC4BDD">
      <w:pPr>
        <w:ind w:firstLine="709"/>
        <w:rPr>
          <w:szCs w:val="28"/>
          <w:lang w:val="en-US"/>
        </w:rPr>
      </w:pPr>
      <w:r>
        <w:rPr>
          <w:szCs w:val="28"/>
        </w:rPr>
        <w:t>85.</w:t>
      </w:r>
      <w:r w:rsidRPr="00455032">
        <w:rPr>
          <w:szCs w:val="28"/>
          <w:lang w:val="en-US"/>
        </w:rPr>
        <w:t xml:space="preserve"> </w:t>
      </w:r>
      <w:r w:rsidR="00A607AD" w:rsidRPr="00BC4BDD">
        <w:rPr>
          <w:szCs w:val="28"/>
        </w:rPr>
        <w:t xml:space="preserve">Burden of disease from inadequate water, sanitation and hygiene in low‐ and middle‐income settings: a retrospective analysis of data from 145 countries / Annette Prüss‐Ustün et al. Tropical Medicine and International healse. 2014. Vol. 19, Is. 8. P. 894–905. DOI: org/10.1111/tmi.12329 https://onlinelibrary.wiley.com/doi/full/10.1111/tmi.12329 (Last accessed: 28.02.2021). </w:t>
      </w:r>
    </w:p>
    <w:p w:rsidR="00BC4BDD" w:rsidRDefault="00455032" w:rsidP="00BC4BDD">
      <w:pPr>
        <w:ind w:firstLine="709"/>
        <w:rPr>
          <w:szCs w:val="28"/>
          <w:lang w:val="en-US"/>
        </w:rPr>
      </w:pPr>
      <w:r>
        <w:rPr>
          <w:szCs w:val="28"/>
        </w:rPr>
        <w:t>86.</w:t>
      </w:r>
      <w:r w:rsidRPr="00DA6779">
        <w:rPr>
          <w:szCs w:val="28"/>
          <w:lang w:val="en-US"/>
        </w:rPr>
        <w:t xml:space="preserve"> </w:t>
      </w:r>
      <w:r w:rsidR="00A607AD" w:rsidRPr="00BC4BDD">
        <w:rPr>
          <w:szCs w:val="28"/>
        </w:rPr>
        <w:t>Congenital anomalies. World Health Organization website. News room. 07 Septem. 2016. URL: https://www.who.int/news-room/fact-sheets/detail/congenital-anomalies (Last accessed: 05.10.2020).</w:t>
      </w:r>
    </w:p>
    <w:p w:rsidR="00BC4BDD" w:rsidRDefault="00455032" w:rsidP="00BC4BDD">
      <w:pPr>
        <w:ind w:firstLine="709"/>
        <w:rPr>
          <w:szCs w:val="28"/>
          <w:lang w:val="en-US"/>
        </w:rPr>
      </w:pPr>
      <w:r>
        <w:rPr>
          <w:szCs w:val="28"/>
        </w:rPr>
        <w:t>87.</w:t>
      </w:r>
      <w:r w:rsidRPr="00455032">
        <w:rPr>
          <w:szCs w:val="28"/>
          <w:lang w:val="en-US"/>
        </w:rPr>
        <w:t xml:space="preserve"> </w:t>
      </w:r>
      <w:r w:rsidR="00A607AD" w:rsidRPr="00BC4BDD">
        <w:rPr>
          <w:szCs w:val="28"/>
        </w:rPr>
        <w:t>Birth defects surveillance: atlas of selected congenital anomalies / WHO, CDC, ICBDSR.</w:t>
      </w:r>
      <w:r w:rsidRPr="00455032">
        <w:rPr>
          <w:szCs w:val="28"/>
          <w:lang w:val="en-US"/>
        </w:rPr>
        <w:t> </w:t>
      </w:r>
      <w:r w:rsidR="00A607AD" w:rsidRPr="00BC4BDD">
        <w:rPr>
          <w:szCs w:val="28"/>
        </w:rPr>
        <w:t>Geneva,</w:t>
      </w:r>
      <w:r>
        <w:t> </w:t>
      </w:r>
      <w:r w:rsidR="00A607AD" w:rsidRPr="00BC4BDD">
        <w:rPr>
          <w:szCs w:val="28"/>
        </w:rPr>
        <w:t>2014.</w:t>
      </w:r>
      <w:r>
        <w:rPr>
          <w:szCs w:val="28"/>
        </w:rPr>
        <w:t> </w:t>
      </w:r>
      <w:r w:rsidR="00A607AD" w:rsidRPr="00BC4BDD">
        <w:rPr>
          <w:szCs w:val="28"/>
        </w:rPr>
        <w:t>38</w:t>
      </w:r>
      <w:r w:rsidRPr="00455032">
        <w:rPr>
          <w:szCs w:val="28"/>
          <w:lang w:val="en-US"/>
        </w:rPr>
        <w:t> </w:t>
      </w:r>
      <w:r w:rsidR="00A607AD" w:rsidRPr="00BC4BDD">
        <w:rPr>
          <w:szCs w:val="28"/>
        </w:rPr>
        <w:t>р.</w:t>
      </w:r>
      <w:r>
        <w:rPr>
          <w:szCs w:val="28"/>
        </w:rPr>
        <w:t> </w:t>
      </w:r>
      <w:r w:rsidR="00A607AD" w:rsidRPr="00BC4BDD">
        <w:rPr>
          <w:szCs w:val="28"/>
        </w:rPr>
        <w:t>URL:</w:t>
      </w:r>
      <w:r>
        <w:rPr>
          <w:szCs w:val="28"/>
        </w:rPr>
        <w:t> </w:t>
      </w:r>
      <w:r w:rsidR="00A607AD" w:rsidRPr="00BC4BDD">
        <w:rPr>
          <w:szCs w:val="28"/>
        </w:rPr>
        <w:t>https://www.who.int/publications/i/item/9789241564762 (Last accessed: 05.10.2020).</w:t>
      </w:r>
    </w:p>
    <w:p w:rsidR="00BC4BDD" w:rsidRDefault="00455032" w:rsidP="00BC4BDD">
      <w:pPr>
        <w:ind w:firstLine="709"/>
        <w:rPr>
          <w:szCs w:val="28"/>
          <w:lang w:val="en-US"/>
        </w:rPr>
      </w:pPr>
      <w:r>
        <w:rPr>
          <w:szCs w:val="28"/>
        </w:rPr>
        <w:t xml:space="preserve">88. </w:t>
      </w:r>
      <w:r w:rsidR="00A607AD" w:rsidRPr="00BC4BDD">
        <w:rPr>
          <w:szCs w:val="28"/>
        </w:rPr>
        <w:t>Birth defects surveillance: a manual for programme managers / WHO, CDC, ICBDSR.</w:t>
      </w:r>
      <w:r>
        <w:t> </w:t>
      </w:r>
      <w:r w:rsidR="00A607AD" w:rsidRPr="00BC4BDD">
        <w:rPr>
          <w:szCs w:val="28"/>
        </w:rPr>
        <w:t>Geneva,</w:t>
      </w:r>
      <w:r>
        <w:rPr>
          <w:szCs w:val="28"/>
        </w:rPr>
        <w:t> </w:t>
      </w:r>
      <w:r w:rsidR="00A607AD" w:rsidRPr="00BC4BDD">
        <w:rPr>
          <w:szCs w:val="28"/>
        </w:rPr>
        <w:t>2014.</w:t>
      </w:r>
      <w:r>
        <w:t> </w:t>
      </w:r>
      <w:r w:rsidR="00A607AD" w:rsidRPr="00BC4BDD">
        <w:rPr>
          <w:szCs w:val="28"/>
        </w:rPr>
        <w:t>115</w:t>
      </w:r>
      <w:r>
        <w:t> </w:t>
      </w:r>
      <w:r w:rsidR="00A607AD" w:rsidRPr="00BC4BDD">
        <w:rPr>
          <w:szCs w:val="28"/>
        </w:rPr>
        <w:t>p.</w:t>
      </w:r>
      <w:r>
        <w:rPr>
          <w:szCs w:val="28"/>
        </w:rPr>
        <w:t> </w:t>
      </w:r>
      <w:r w:rsidR="00A607AD" w:rsidRPr="00BC4BDD">
        <w:rPr>
          <w:szCs w:val="28"/>
        </w:rPr>
        <w:t>URL:</w:t>
      </w:r>
      <w:r>
        <w:rPr>
          <w:szCs w:val="28"/>
        </w:rPr>
        <w:t> </w:t>
      </w:r>
      <w:r w:rsidR="00A607AD" w:rsidRPr="00BC4BDD">
        <w:rPr>
          <w:szCs w:val="28"/>
        </w:rPr>
        <w:t>https://www.who.int/publications/i/item/9789241548724 (Last accessed: 05.10.2020).</w:t>
      </w:r>
    </w:p>
    <w:p w:rsidR="00BC4BDD" w:rsidRDefault="00455032" w:rsidP="00BC4BDD">
      <w:pPr>
        <w:ind w:firstLine="709"/>
        <w:rPr>
          <w:szCs w:val="28"/>
          <w:lang w:val="en-US"/>
        </w:rPr>
      </w:pPr>
      <w:r>
        <w:rPr>
          <w:szCs w:val="28"/>
        </w:rPr>
        <w:t xml:space="preserve">89. </w:t>
      </w:r>
      <w:r w:rsidR="00A607AD" w:rsidRPr="00BC4BDD">
        <w:rPr>
          <w:szCs w:val="28"/>
        </w:rPr>
        <w:t>Children: improving survival and well-being. World Health Organization website. News room. 08 Sept. 2020. URL: https://www.who.int/news-room/fact-sheets/detail/children-reducing-mortality (Last accessed: 05.10.2020).</w:t>
      </w:r>
    </w:p>
    <w:p w:rsidR="00BC4BDD" w:rsidRDefault="00455032" w:rsidP="00BC4BDD">
      <w:pPr>
        <w:ind w:firstLine="709"/>
        <w:rPr>
          <w:szCs w:val="28"/>
          <w:lang w:val="en-US"/>
        </w:rPr>
      </w:pPr>
      <w:r>
        <w:rPr>
          <w:szCs w:val="28"/>
        </w:rPr>
        <w:t xml:space="preserve">90. </w:t>
      </w:r>
      <w:r w:rsidR="00A607AD" w:rsidRPr="00BC4BDD">
        <w:rPr>
          <w:szCs w:val="28"/>
        </w:rPr>
        <w:t>Measles. Official website World Health Organization. News room. 05 Desemb. 2019. URL: https://www.who.int/news-room/fact-sheets/detail/measles (Last accessed: 11.10.2020).</w:t>
      </w:r>
    </w:p>
    <w:p w:rsidR="00BC4BDD" w:rsidRPr="00B958D8" w:rsidRDefault="00455032" w:rsidP="00BC4BDD">
      <w:pPr>
        <w:ind w:firstLine="709"/>
        <w:rPr>
          <w:szCs w:val="28"/>
          <w:lang w:val="ru-RU"/>
        </w:rPr>
      </w:pPr>
      <w:r>
        <w:rPr>
          <w:szCs w:val="28"/>
        </w:rPr>
        <w:t xml:space="preserve">91. </w:t>
      </w:r>
      <w:r w:rsidR="00A607AD" w:rsidRPr="00BC4BDD">
        <w:rPr>
          <w:szCs w:val="28"/>
        </w:rPr>
        <w:t>Global measles and rubella strategic plan: 2012-2020 / World Health Organization. Geneva</w:t>
      </w:r>
      <w:r w:rsidR="00A607AD" w:rsidRPr="00B958D8">
        <w:rPr>
          <w:szCs w:val="28"/>
          <w:lang w:val="ru-RU"/>
        </w:rPr>
        <w:t>,</w:t>
      </w:r>
      <w:r w:rsidR="00A607AD" w:rsidRPr="00BC4BDD">
        <w:rPr>
          <w:szCs w:val="28"/>
        </w:rPr>
        <w:t> </w:t>
      </w:r>
      <w:r w:rsidR="00A607AD" w:rsidRPr="00B958D8">
        <w:rPr>
          <w:szCs w:val="28"/>
          <w:lang w:val="ru-RU"/>
        </w:rPr>
        <w:t>2012</w:t>
      </w:r>
      <w:r w:rsidR="00A607AD" w:rsidRPr="00BC4BDD">
        <w:rPr>
          <w:szCs w:val="28"/>
        </w:rPr>
        <w:t> </w:t>
      </w:r>
      <w:r w:rsidR="00A607AD" w:rsidRPr="00B958D8">
        <w:rPr>
          <w:szCs w:val="28"/>
          <w:lang w:val="ru-RU"/>
        </w:rPr>
        <w:t>44</w:t>
      </w:r>
      <w:r w:rsidR="00A607AD">
        <w:t> </w:t>
      </w:r>
      <w:r w:rsidR="00A607AD" w:rsidRPr="00BC4BDD">
        <w:rPr>
          <w:szCs w:val="28"/>
        </w:rPr>
        <w:t>p</w:t>
      </w:r>
      <w:r w:rsidR="00A607AD" w:rsidRPr="00B958D8">
        <w:rPr>
          <w:szCs w:val="28"/>
          <w:lang w:val="ru-RU"/>
        </w:rPr>
        <w:t>.</w:t>
      </w:r>
      <w:r w:rsidR="00A607AD" w:rsidRPr="00BC4BDD">
        <w:rPr>
          <w:szCs w:val="28"/>
        </w:rPr>
        <w:t> URL</w:t>
      </w:r>
      <w:r w:rsidR="00A607AD" w:rsidRPr="00B958D8">
        <w:rPr>
          <w:szCs w:val="28"/>
          <w:lang w:val="ru-RU"/>
        </w:rPr>
        <w:t>:</w:t>
      </w:r>
      <w:r w:rsidR="00A607AD" w:rsidRPr="00BC4BDD">
        <w:rPr>
          <w:szCs w:val="28"/>
        </w:rPr>
        <w:t> </w:t>
      </w:r>
      <w:r w:rsidR="00A607AD" w:rsidRPr="00B958D8">
        <w:rPr>
          <w:szCs w:val="28"/>
          <w:lang w:val="ru-RU"/>
        </w:rPr>
        <w:t xml:space="preserve"> </w:t>
      </w:r>
      <w:r w:rsidR="00A607AD" w:rsidRPr="00BC4BDD">
        <w:rPr>
          <w:szCs w:val="28"/>
        </w:rPr>
        <w:t>https</w:t>
      </w:r>
      <w:r w:rsidR="00A607AD" w:rsidRPr="00B958D8">
        <w:rPr>
          <w:szCs w:val="28"/>
          <w:lang w:val="ru-RU"/>
        </w:rPr>
        <w:t>://</w:t>
      </w:r>
      <w:r w:rsidR="00A607AD" w:rsidRPr="00BC4BDD">
        <w:rPr>
          <w:szCs w:val="28"/>
        </w:rPr>
        <w:t>apps</w:t>
      </w:r>
      <w:r w:rsidR="00A607AD" w:rsidRPr="00B958D8">
        <w:rPr>
          <w:szCs w:val="28"/>
          <w:lang w:val="ru-RU"/>
        </w:rPr>
        <w:t>.</w:t>
      </w:r>
      <w:r w:rsidR="00A607AD" w:rsidRPr="00BC4BDD">
        <w:rPr>
          <w:szCs w:val="28"/>
        </w:rPr>
        <w:t>who</w:t>
      </w:r>
      <w:r w:rsidR="00A607AD" w:rsidRPr="00B958D8">
        <w:rPr>
          <w:szCs w:val="28"/>
          <w:lang w:val="ru-RU"/>
        </w:rPr>
        <w:t>.</w:t>
      </w:r>
      <w:r w:rsidR="00A607AD" w:rsidRPr="00BC4BDD">
        <w:rPr>
          <w:szCs w:val="28"/>
        </w:rPr>
        <w:t>int</w:t>
      </w:r>
      <w:r w:rsidR="00A607AD" w:rsidRPr="00B958D8">
        <w:rPr>
          <w:szCs w:val="28"/>
          <w:lang w:val="ru-RU"/>
        </w:rPr>
        <w:t>/</w:t>
      </w:r>
      <w:r w:rsidR="00A607AD" w:rsidRPr="00BC4BDD">
        <w:rPr>
          <w:szCs w:val="28"/>
        </w:rPr>
        <w:t>iris</w:t>
      </w:r>
      <w:r w:rsidR="00A607AD" w:rsidRPr="00B958D8">
        <w:rPr>
          <w:szCs w:val="28"/>
          <w:lang w:val="ru-RU"/>
        </w:rPr>
        <w:t>/</w:t>
      </w:r>
      <w:r w:rsidR="00A607AD" w:rsidRPr="00BC4BDD">
        <w:rPr>
          <w:szCs w:val="28"/>
        </w:rPr>
        <w:t>bitstream</w:t>
      </w:r>
      <w:r w:rsidR="00A607AD" w:rsidRPr="00B958D8">
        <w:rPr>
          <w:szCs w:val="28"/>
          <w:lang w:val="ru-RU"/>
        </w:rPr>
        <w:t>/</w:t>
      </w:r>
      <w:r w:rsidR="00A607AD" w:rsidRPr="00BC4BDD">
        <w:rPr>
          <w:szCs w:val="28"/>
        </w:rPr>
        <w:t>handle</w:t>
      </w:r>
      <w:r w:rsidR="00A607AD" w:rsidRPr="00B958D8">
        <w:rPr>
          <w:szCs w:val="28"/>
          <w:lang w:val="ru-RU"/>
        </w:rPr>
        <w:t>/10665/44855/9789241503396_</w:t>
      </w:r>
      <w:r w:rsidR="00A607AD" w:rsidRPr="00BC4BDD">
        <w:rPr>
          <w:szCs w:val="28"/>
        </w:rPr>
        <w:t>eng</w:t>
      </w:r>
      <w:r w:rsidR="00A607AD" w:rsidRPr="00B958D8">
        <w:rPr>
          <w:szCs w:val="28"/>
          <w:lang w:val="ru-RU"/>
        </w:rPr>
        <w:t>.</w:t>
      </w:r>
      <w:r w:rsidR="00A607AD" w:rsidRPr="00BC4BDD">
        <w:rPr>
          <w:szCs w:val="28"/>
        </w:rPr>
        <w:t>pdf</w:t>
      </w:r>
      <w:r w:rsidR="00A607AD" w:rsidRPr="00B958D8">
        <w:rPr>
          <w:szCs w:val="28"/>
          <w:lang w:val="ru-RU"/>
        </w:rPr>
        <w:t>?</w:t>
      </w:r>
      <w:r w:rsidR="00A607AD" w:rsidRPr="00BC4BDD">
        <w:rPr>
          <w:szCs w:val="28"/>
        </w:rPr>
        <w:t>sequence</w:t>
      </w:r>
      <w:r w:rsidR="00A607AD" w:rsidRPr="00B958D8">
        <w:rPr>
          <w:szCs w:val="28"/>
          <w:lang w:val="ru-RU"/>
        </w:rPr>
        <w:t>=1&amp;</w:t>
      </w:r>
      <w:r w:rsidR="00A607AD" w:rsidRPr="00BC4BDD">
        <w:rPr>
          <w:szCs w:val="28"/>
        </w:rPr>
        <w:t>isAllowed</w:t>
      </w:r>
      <w:r w:rsidR="00A607AD" w:rsidRPr="00B958D8">
        <w:rPr>
          <w:szCs w:val="28"/>
          <w:lang w:val="ru-RU"/>
        </w:rPr>
        <w:t>=</w:t>
      </w:r>
      <w:r w:rsidR="00A607AD" w:rsidRPr="00BC4BDD">
        <w:rPr>
          <w:szCs w:val="28"/>
        </w:rPr>
        <w:t>y</w:t>
      </w:r>
      <w:r w:rsidR="00A607AD" w:rsidRPr="00B958D8">
        <w:rPr>
          <w:szCs w:val="28"/>
          <w:lang w:val="ru-RU"/>
        </w:rPr>
        <w:t xml:space="preserve"> (</w:t>
      </w:r>
      <w:r w:rsidR="00A607AD" w:rsidRPr="00BC4BDD">
        <w:rPr>
          <w:szCs w:val="28"/>
          <w:lang w:val="ru-RU"/>
        </w:rPr>
        <w:t>дата</w:t>
      </w:r>
      <w:r w:rsidR="00A607AD" w:rsidRPr="00B958D8">
        <w:rPr>
          <w:szCs w:val="28"/>
          <w:lang w:val="ru-RU"/>
        </w:rPr>
        <w:t xml:space="preserve"> </w:t>
      </w:r>
      <w:r w:rsidR="00A607AD" w:rsidRPr="00BC4BDD">
        <w:rPr>
          <w:szCs w:val="28"/>
          <w:lang w:val="ru-RU"/>
        </w:rPr>
        <w:t>звернення</w:t>
      </w:r>
      <w:r w:rsidR="00A607AD" w:rsidRPr="00B958D8">
        <w:rPr>
          <w:szCs w:val="28"/>
          <w:lang w:val="ru-RU"/>
        </w:rPr>
        <w:t>: 25.11.2018).</w:t>
      </w:r>
    </w:p>
    <w:p w:rsidR="00BC4BDD" w:rsidRDefault="00774A03" w:rsidP="00BC4BDD">
      <w:pPr>
        <w:ind w:firstLine="709"/>
        <w:rPr>
          <w:szCs w:val="28"/>
          <w:lang w:val="en-US"/>
        </w:rPr>
      </w:pPr>
      <w:r>
        <w:rPr>
          <w:szCs w:val="28"/>
        </w:rPr>
        <w:lastRenderedPageBreak/>
        <w:t xml:space="preserve">92. </w:t>
      </w:r>
      <w:r w:rsidR="00A607AD" w:rsidRPr="00BC4BDD">
        <w:rPr>
          <w:szCs w:val="28"/>
        </w:rPr>
        <w:t>2018 Assessment Report of the Global Vaccine Action Plan: strategic advisory group of experts on immunization / World Health Organization. Geneva, 2018. 36 р. URL: https://apps.who.int/iris/bitstream/handle/10665/276967/WHO-IVB-18.11-eng.pdf?sequence=1&amp;isAllowed=y (Last accessed: 25.11.2018).</w:t>
      </w:r>
    </w:p>
    <w:p w:rsidR="00BC4BDD" w:rsidRDefault="00774A03" w:rsidP="00BC4BDD">
      <w:pPr>
        <w:ind w:firstLine="709"/>
        <w:rPr>
          <w:szCs w:val="28"/>
          <w:lang w:val="en-US"/>
        </w:rPr>
      </w:pPr>
      <w:r>
        <w:rPr>
          <w:szCs w:val="28"/>
        </w:rPr>
        <w:t xml:space="preserve">93. </w:t>
      </w:r>
      <w:r w:rsidR="00A607AD" w:rsidRPr="00BC4BDD">
        <w:rPr>
          <w:szCs w:val="28"/>
        </w:rPr>
        <w:t>Short overview of the malaria vaccine implementation programme. World Health Organization website. URL: https://www.who.int/malaria/media/malaria-vaccine-overview/en/ (Last accessed: 11.05.2020).</w:t>
      </w:r>
    </w:p>
    <w:p w:rsidR="00BC4BDD" w:rsidRDefault="00774A03" w:rsidP="00BC4BDD">
      <w:pPr>
        <w:ind w:firstLine="709"/>
        <w:rPr>
          <w:szCs w:val="28"/>
          <w:lang w:val="en-US"/>
        </w:rPr>
      </w:pPr>
      <w:r>
        <w:rPr>
          <w:szCs w:val="28"/>
        </w:rPr>
        <w:t xml:space="preserve">94. </w:t>
      </w:r>
      <w:r w:rsidR="00A607AD" w:rsidRPr="00BC4BDD">
        <w:rPr>
          <w:szCs w:val="28"/>
        </w:rPr>
        <w:t>Watkins K., Sridhar D. Pneumonia: a global cause without champions Lancet. 2018. Vol. 392 (10149). P. 718–719. DOI:</w:t>
      </w:r>
      <w:r w:rsidR="00BC4BDD">
        <w:rPr>
          <w:szCs w:val="28"/>
        </w:rPr>
        <w:t xml:space="preserve"> 10.1016/S0140-6736(18)31666-0.</w:t>
      </w:r>
    </w:p>
    <w:p w:rsidR="00BC4BDD" w:rsidRDefault="00774A03" w:rsidP="001C2E78">
      <w:pPr>
        <w:ind w:firstLine="709"/>
        <w:rPr>
          <w:szCs w:val="28"/>
          <w:lang w:val="en-US"/>
        </w:rPr>
      </w:pPr>
      <w:r>
        <w:rPr>
          <w:szCs w:val="28"/>
        </w:rPr>
        <w:t xml:space="preserve">95. </w:t>
      </w:r>
      <w:r w:rsidR="00A607AD" w:rsidRPr="00BC4BDD">
        <w:rPr>
          <w:szCs w:val="28"/>
        </w:rPr>
        <w:t xml:space="preserve">The disgraceful neglect of childhood pneumonia. The Lancet. Global Health. 2018. Vol. 6 (12). P. e1253. DOI: </w:t>
      </w:r>
      <w:hyperlink r:id="rId59" w:history="1">
        <w:r w:rsidR="00BC4BDD" w:rsidRPr="00774A03">
          <w:rPr>
            <w:rStyle w:val="af7"/>
            <w:color w:val="auto"/>
            <w:szCs w:val="28"/>
            <w:u w:val="none"/>
          </w:rPr>
          <w:t>https://doi.org/10.1016/S2214-109X(18)30495-9</w:t>
        </w:r>
      </w:hyperlink>
      <w:r w:rsidR="001C2E78" w:rsidRPr="001C2E78">
        <w:rPr>
          <w:szCs w:val="28"/>
        </w:rPr>
        <w:t xml:space="preserve"> </w:t>
      </w:r>
      <w:r w:rsidR="001C2E78">
        <w:rPr>
          <w:szCs w:val="28"/>
        </w:rPr>
        <w:t>(Last accessed: 18.06.202</w:t>
      </w:r>
      <w:r w:rsidR="001C2E78">
        <w:rPr>
          <w:szCs w:val="28"/>
          <w:lang w:val="en-US"/>
        </w:rPr>
        <w:t>0</w:t>
      </w:r>
      <w:r w:rsidR="001C2E78" w:rsidRPr="001C2E78">
        <w:rPr>
          <w:szCs w:val="28"/>
        </w:rPr>
        <w:t>).</w:t>
      </w:r>
    </w:p>
    <w:p w:rsidR="008237D9" w:rsidRPr="008237D9" w:rsidRDefault="008237D9" w:rsidP="008237D9">
      <w:pPr>
        <w:ind w:firstLine="709"/>
        <w:rPr>
          <w:szCs w:val="28"/>
          <w:lang w:val="en-US"/>
        </w:rPr>
      </w:pPr>
      <w:r w:rsidRPr="008237D9">
        <w:rPr>
          <w:szCs w:val="28"/>
        </w:rPr>
        <w:t>96.</w:t>
      </w:r>
      <w:r w:rsidRPr="008237D9">
        <w:rPr>
          <w:szCs w:val="28"/>
          <w:lang w:val="en-US"/>
        </w:rPr>
        <w:t xml:space="preserve"> </w:t>
      </w:r>
      <w:r w:rsidRPr="008237D9">
        <w:rPr>
          <w:bCs/>
          <w:szCs w:val="28"/>
          <w:lang w:val="en-US"/>
        </w:rPr>
        <w:t>Global, regional, and national under-5 mortality, adult mortality, age-specific mortality, and life expectancy, 1970-2016: a systematic analysis for the Global Burden of Disease Study 2016.</w:t>
      </w:r>
      <w:r w:rsidRPr="008237D9">
        <w:rPr>
          <w:szCs w:val="28"/>
          <w:lang w:val="en-US"/>
        </w:rPr>
        <w:t xml:space="preserve"> Lancet. 2017. Vol. 390 (10100). P. 1084-1150. DOI: </w:t>
      </w:r>
      <w:r w:rsidR="00C929EF">
        <w:rPr>
          <w:szCs w:val="28"/>
          <w:lang w:val="en-US"/>
        </w:rPr>
        <w:t>10.1016/S0140-6736(17)31833-0</w:t>
      </w:r>
      <w:r w:rsidRPr="008237D9">
        <w:rPr>
          <w:szCs w:val="28"/>
          <w:lang w:val="en-US"/>
        </w:rPr>
        <w:t xml:space="preserve"> </w:t>
      </w:r>
      <w:r w:rsidR="00C929EF" w:rsidRPr="00C929EF">
        <w:rPr>
          <w:szCs w:val="28"/>
        </w:rPr>
        <w:t>(Last accessed: 15.02.2020).</w:t>
      </w:r>
    </w:p>
    <w:p w:rsidR="00BC4BDD" w:rsidRDefault="008237D9" w:rsidP="00BC4BDD">
      <w:pPr>
        <w:ind w:firstLine="709"/>
        <w:rPr>
          <w:szCs w:val="28"/>
          <w:lang w:val="en-US"/>
        </w:rPr>
      </w:pPr>
      <w:r>
        <w:rPr>
          <w:szCs w:val="28"/>
        </w:rPr>
        <w:t>97.</w:t>
      </w:r>
      <w:r>
        <w:rPr>
          <w:szCs w:val="28"/>
          <w:lang w:val="en-US"/>
        </w:rPr>
        <w:t xml:space="preserve"> </w:t>
      </w:r>
      <w:r w:rsidR="00A607AD" w:rsidRPr="00BC4BDD">
        <w:rPr>
          <w:szCs w:val="28"/>
        </w:rPr>
        <w:t>Worldwide burden of disease from exposure to second-hand smoke: a retrospective analysis of data from 192 countries / M. Öberg et al. The Lancet. 2011. Vol. 377 (9760). P</w:t>
      </w:r>
      <w:r>
        <w:rPr>
          <w:szCs w:val="28"/>
          <w:lang w:val="en-US"/>
        </w:rPr>
        <w:t> </w:t>
      </w:r>
      <w:r w:rsidR="00A607AD" w:rsidRPr="00BC4BDD">
        <w:rPr>
          <w:szCs w:val="28"/>
        </w:rPr>
        <w:t>139–146. DOI:</w:t>
      </w:r>
      <w:r w:rsidR="00354E19">
        <w:rPr>
          <w:szCs w:val="28"/>
          <w:lang w:val="en-US"/>
        </w:rPr>
        <w:t> </w:t>
      </w:r>
      <w:r w:rsidR="00A607AD" w:rsidRPr="00BC4BDD">
        <w:rPr>
          <w:szCs w:val="28"/>
        </w:rPr>
        <w:t>https://doi.org/10.1016/S0140-6736(10)61</w:t>
      </w:r>
      <w:r w:rsidR="001C2E78">
        <w:rPr>
          <w:szCs w:val="28"/>
        </w:rPr>
        <w:t>388-8 (Last accessed: 18.06.202</w:t>
      </w:r>
      <w:r w:rsidR="001C2E78">
        <w:rPr>
          <w:szCs w:val="28"/>
          <w:lang w:val="en-US"/>
        </w:rPr>
        <w:t>0</w:t>
      </w:r>
      <w:r w:rsidR="00A607AD" w:rsidRPr="00BC4BDD">
        <w:rPr>
          <w:szCs w:val="28"/>
        </w:rPr>
        <w:t>).</w:t>
      </w:r>
    </w:p>
    <w:p w:rsidR="00BC4BDD" w:rsidRPr="00A948E1" w:rsidRDefault="00BD4640" w:rsidP="00BC4BDD">
      <w:pPr>
        <w:ind w:firstLine="709"/>
        <w:rPr>
          <w:szCs w:val="28"/>
          <w:lang w:val="en-US"/>
        </w:rPr>
      </w:pPr>
      <w:r>
        <w:rPr>
          <w:szCs w:val="28"/>
        </w:rPr>
        <w:t>98.</w:t>
      </w:r>
      <w:r>
        <w:rPr>
          <w:szCs w:val="28"/>
          <w:lang w:val="en-US"/>
        </w:rPr>
        <w:t xml:space="preserve"> </w:t>
      </w:r>
      <w:r w:rsidR="00A607AD" w:rsidRPr="00BC4BDD">
        <w:rPr>
          <w:szCs w:val="28"/>
        </w:rPr>
        <w:t>Understanding the effect of indoor air pollution on pneumonia in children under 5 in low- and middle-income countries: a systematic review of evidence / Enemona</w:t>
      </w:r>
      <w:r w:rsidR="00354E19">
        <w:rPr>
          <w:szCs w:val="28"/>
          <w:lang w:val="en-US"/>
        </w:rPr>
        <w:t> </w:t>
      </w:r>
      <w:r w:rsidR="00A607AD" w:rsidRPr="00BC4BDD">
        <w:rPr>
          <w:szCs w:val="28"/>
        </w:rPr>
        <w:t>Emmanuel</w:t>
      </w:r>
      <w:r w:rsidR="00354E19">
        <w:rPr>
          <w:szCs w:val="28"/>
          <w:lang w:val="en-US"/>
        </w:rPr>
        <w:t> </w:t>
      </w:r>
      <w:r w:rsidR="00A607AD" w:rsidRPr="00BC4BDD">
        <w:rPr>
          <w:szCs w:val="28"/>
        </w:rPr>
        <w:t>Adaji et al. Environmental Science and Pollution Research International. 2019. Vol. 26 (4). P</w:t>
      </w:r>
      <w:r>
        <w:rPr>
          <w:szCs w:val="28"/>
          <w:lang w:val="en-US"/>
        </w:rPr>
        <w:t> </w:t>
      </w:r>
      <w:r w:rsidR="00A948E1">
        <w:rPr>
          <w:szCs w:val="28"/>
        </w:rPr>
        <w:t>3208–3225. DOI: 10.1007/</w:t>
      </w:r>
      <w:r w:rsidR="00A607AD" w:rsidRPr="00BC4BDD">
        <w:rPr>
          <w:szCs w:val="28"/>
        </w:rPr>
        <w:t>s11356-018-3769-1 (Last accessed: 15.02.2020).</w:t>
      </w:r>
    </w:p>
    <w:p w:rsidR="00BC4BDD" w:rsidRDefault="00C929EF" w:rsidP="00BC4BDD">
      <w:pPr>
        <w:ind w:firstLine="709"/>
        <w:rPr>
          <w:szCs w:val="28"/>
          <w:lang w:val="en-US"/>
        </w:rPr>
      </w:pPr>
      <w:r>
        <w:rPr>
          <w:szCs w:val="28"/>
        </w:rPr>
        <w:t>99.</w:t>
      </w:r>
      <w:r>
        <w:rPr>
          <w:szCs w:val="28"/>
          <w:lang w:val="en-US"/>
        </w:rPr>
        <w:t> </w:t>
      </w:r>
      <w:r w:rsidR="00A607AD" w:rsidRPr="00BC4BDD">
        <w:rPr>
          <w:szCs w:val="28"/>
        </w:rPr>
        <w:t>Indoor air quality guidelines: household fuel combustion: Methods used for evidence assessment / Nigel Bruce et al. 2017. 28 p.</w:t>
      </w:r>
    </w:p>
    <w:p w:rsidR="00BC4BDD" w:rsidRDefault="00C929EF" w:rsidP="00BC4BDD">
      <w:pPr>
        <w:ind w:firstLine="709"/>
        <w:rPr>
          <w:szCs w:val="28"/>
          <w:lang w:val="en-US"/>
        </w:rPr>
      </w:pPr>
      <w:r>
        <w:rPr>
          <w:szCs w:val="28"/>
        </w:rPr>
        <w:lastRenderedPageBreak/>
        <w:t>100.</w:t>
      </w:r>
      <w:r>
        <w:rPr>
          <w:szCs w:val="28"/>
          <w:lang w:val="en-US"/>
        </w:rPr>
        <w:t xml:space="preserve"> </w:t>
      </w:r>
      <w:r w:rsidR="00A607AD" w:rsidRPr="00BC4BDD">
        <w:rPr>
          <w:szCs w:val="28"/>
        </w:rPr>
        <w:t>Exhaled carbon monoxide and its associations with smoking, indoor household air pollution and chronic respiratory diseases among 512 000 Chinese adults. / Q. Zhang et al. International Journal of Epidemiology. 2013. Vol.</w:t>
      </w:r>
      <w:r w:rsidR="00A607AD">
        <w:t> </w:t>
      </w:r>
      <w:r w:rsidR="00A607AD" w:rsidRPr="00BC4BDD">
        <w:rPr>
          <w:szCs w:val="28"/>
        </w:rPr>
        <w:t>42. P. 1464–1475. DOI:</w:t>
      </w:r>
      <w:r>
        <w:rPr>
          <w:szCs w:val="28"/>
          <w:lang w:val="en-US"/>
        </w:rPr>
        <w:t> </w:t>
      </w:r>
      <w:r w:rsidR="00A607AD" w:rsidRPr="00BC4BDD">
        <w:rPr>
          <w:szCs w:val="28"/>
        </w:rPr>
        <w:t>10.1093/ije/dyt158 (Last accessed: 28.02.2020).</w:t>
      </w:r>
    </w:p>
    <w:p w:rsidR="00BC4BDD" w:rsidRDefault="00C929EF" w:rsidP="00BC4BDD">
      <w:pPr>
        <w:ind w:firstLine="709"/>
        <w:rPr>
          <w:szCs w:val="28"/>
          <w:lang w:val="en-US"/>
        </w:rPr>
      </w:pPr>
      <w:r>
        <w:rPr>
          <w:szCs w:val="28"/>
        </w:rPr>
        <w:t>101.</w:t>
      </w:r>
      <w:r>
        <w:rPr>
          <w:szCs w:val="28"/>
          <w:lang w:val="en-US"/>
        </w:rPr>
        <w:t xml:space="preserve"> </w:t>
      </w:r>
      <w:r w:rsidR="00A607AD" w:rsidRPr="00BC4BDD">
        <w:rPr>
          <w:szCs w:val="28"/>
        </w:rPr>
        <w:t>Risk factors for mortality from acute lower respiratory infections (ALRI) in children under five years of age in low and middle-income countries: a systematic review and meta-analysis of observational studies / M. Sonego et al. PLoS One. 2015. Vol.</w:t>
      </w:r>
      <w:r>
        <w:rPr>
          <w:szCs w:val="28"/>
          <w:lang w:val="en-US"/>
        </w:rPr>
        <w:t> </w:t>
      </w:r>
      <w:r w:rsidR="00A607AD" w:rsidRPr="00BC4BDD">
        <w:rPr>
          <w:szCs w:val="28"/>
        </w:rPr>
        <w:t>10. P.</w:t>
      </w:r>
      <w:r>
        <w:rPr>
          <w:szCs w:val="28"/>
          <w:lang w:val="en-US"/>
        </w:rPr>
        <w:t> </w:t>
      </w:r>
      <w:r w:rsidR="00A607AD" w:rsidRPr="00BC4BDD">
        <w:rPr>
          <w:szCs w:val="28"/>
        </w:rPr>
        <w:t>e0116380. Published online 2015. DOI:</w:t>
      </w:r>
      <w:r>
        <w:rPr>
          <w:szCs w:val="28"/>
          <w:lang w:val="en-US"/>
        </w:rPr>
        <w:t> </w:t>
      </w:r>
      <w:r w:rsidR="00A607AD" w:rsidRPr="00BC4BDD">
        <w:rPr>
          <w:szCs w:val="28"/>
        </w:rPr>
        <w:t>10.1371/journal.pone.0116380 (Last accessed: 28.02.2020).</w:t>
      </w:r>
    </w:p>
    <w:p w:rsidR="00BC4BDD" w:rsidRDefault="0044231D" w:rsidP="00BC4BDD">
      <w:pPr>
        <w:ind w:firstLine="709"/>
        <w:rPr>
          <w:szCs w:val="28"/>
          <w:lang w:val="en-US"/>
        </w:rPr>
      </w:pPr>
      <w:r>
        <w:rPr>
          <w:szCs w:val="28"/>
        </w:rPr>
        <w:t>102.</w:t>
      </w:r>
      <w:r>
        <w:rPr>
          <w:szCs w:val="28"/>
          <w:lang w:val="en-US"/>
        </w:rPr>
        <w:t xml:space="preserve"> </w:t>
      </w:r>
      <w:r w:rsidR="00A607AD" w:rsidRPr="00BC4BDD">
        <w:rPr>
          <w:szCs w:val="28"/>
        </w:rPr>
        <w:t>Indoor air pollution and delayed measles vaccination increase the risk of severe pneumonia in children: results from a case-control study in Mwanza, Tanzania / G. PrayGod et al. PLoS One.</w:t>
      </w:r>
      <w:r w:rsidR="00C929EF">
        <w:rPr>
          <w:szCs w:val="28"/>
          <w:lang w:val="en-US"/>
        </w:rPr>
        <w:t> </w:t>
      </w:r>
      <w:r w:rsidR="00A607AD" w:rsidRPr="00BC4BDD">
        <w:rPr>
          <w:szCs w:val="28"/>
        </w:rPr>
        <w:t>2016. Vol.</w:t>
      </w:r>
      <w:r w:rsidR="00C929EF">
        <w:rPr>
          <w:szCs w:val="28"/>
          <w:lang w:val="en-US"/>
        </w:rPr>
        <w:t> </w:t>
      </w:r>
      <w:r w:rsidR="00A607AD" w:rsidRPr="00BC4BDD">
        <w:rPr>
          <w:szCs w:val="28"/>
        </w:rPr>
        <w:t>11. P.</w:t>
      </w:r>
      <w:r w:rsidR="00C929EF">
        <w:rPr>
          <w:szCs w:val="28"/>
          <w:lang w:val="en-US"/>
        </w:rPr>
        <w:t> </w:t>
      </w:r>
      <w:r w:rsidR="00A607AD" w:rsidRPr="00BC4BDD">
        <w:rPr>
          <w:szCs w:val="28"/>
        </w:rPr>
        <w:t>e0160804. Published online 2016. DOI: 10.1371/journal.pone.0160804 (Last accessed: 18.09.2020).</w:t>
      </w:r>
    </w:p>
    <w:p w:rsidR="00BC4BDD" w:rsidRDefault="0044231D" w:rsidP="00BC4BDD">
      <w:pPr>
        <w:ind w:firstLine="709"/>
        <w:rPr>
          <w:szCs w:val="28"/>
          <w:lang w:val="en-US"/>
        </w:rPr>
      </w:pPr>
      <w:r>
        <w:rPr>
          <w:szCs w:val="28"/>
        </w:rPr>
        <w:t>103.</w:t>
      </w:r>
      <w:r>
        <w:rPr>
          <w:szCs w:val="28"/>
          <w:lang w:val="en-US"/>
        </w:rPr>
        <w:t xml:space="preserve"> </w:t>
      </w:r>
      <w:r w:rsidR="00A607AD" w:rsidRPr="00BC4BDD">
        <w:rPr>
          <w:szCs w:val="28"/>
        </w:rPr>
        <w:t>The effect of exposure to wood smoke on outcomes of childhood pneumonia in Botswana / M. S. Kelly et al. International Journal of Tuberculosis and Lung Disease. 2015. Vol. 19. P. 349–355. DOI: 10.5588/ijtld.14.0557 (Last accessed: 28.02.2020).</w:t>
      </w:r>
    </w:p>
    <w:p w:rsidR="00BC4BDD" w:rsidRDefault="0044231D" w:rsidP="00BC4BDD">
      <w:pPr>
        <w:ind w:firstLine="709"/>
        <w:rPr>
          <w:szCs w:val="28"/>
          <w:lang w:val="en-US"/>
        </w:rPr>
      </w:pPr>
      <w:r>
        <w:rPr>
          <w:szCs w:val="28"/>
        </w:rPr>
        <w:t>104.</w:t>
      </w:r>
      <w:r>
        <w:rPr>
          <w:szCs w:val="28"/>
          <w:lang w:val="en-US"/>
        </w:rPr>
        <w:t xml:space="preserve"> </w:t>
      </w:r>
      <w:r w:rsidR="00A607AD" w:rsidRPr="00BC4BDD">
        <w:rPr>
          <w:szCs w:val="28"/>
        </w:rPr>
        <w:t>Air pollution alters Staphylococcus aureus and Streptococcus pneumoniae biofilms, antibiotic tolerance and colonisation / S. J. K. Hussey et al. Environmental Microbiology. 2017. Vol. 19. P. 1868–1880. DOI: 10.1111/1462-2920.13686 (Last accessed: 28.02.2021).</w:t>
      </w:r>
    </w:p>
    <w:p w:rsidR="00BC4BDD" w:rsidRDefault="0044231D" w:rsidP="00BC4BDD">
      <w:pPr>
        <w:ind w:firstLine="709"/>
        <w:rPr>
          <w:szCs w:val="28"/>
          <w:lang w:val="en-US"/>
        </w:rPr>
      </w:pPr>
      <w:r>
        <w:rPr>
          <w:szCs w:val="28"/>
        </w:rPr>
        <w:t>105.</w:t>
      </w:r>
      <w:r>
        <w:rPr>
          <w:szCs w:val="28"/>
          <w:lang w:val="en-US"/>
        </w:rPr>
        <w:t xml:space="preserve"> </w:t>
      </w:r>
      <w:r w:rsidR="00A607AD" w:rsidRPr="00BC4BDD">
        <w:rPr>
          <w:szCs w:val="28"/>
        </w:rPr>
        <w:t>Hulin M., Caillaud D., Annesi-Maesano I. Indoor air pollution and childhood asthma: variations between urban and rural areas. Indoor Air. 2010. Vol. 20. P. 502–514. DOI: 10.1111/j.1600-0668.2010.00673.x (Last accessed: 28.02.2021).</w:t>
      </w:r>
    </w:p>
    <w:p w:rsidR="00BC4BDD" w:rsidRDefault="0044231D" w:rsidP="00BC4BDD">
      <w:pPr>
        <w:ind w:firstLine="709"/>
        <w:rPr>
          <w:szCs w:val="28"/>
          <w:lang w:val="en-US"/>
        </w:rPr>
      </w:pPr>
      <w:r>
        <w:rPr>
          <w:szCs w:val="28"/>
        </w:rPr>
        <w:t>106.</w:t>
      </w:r>
      <w:r>
        <w:rPr>
          <w:szCs w:val="28"/>
          <w:lang w:val="en-US"/>
        </w:rPr>
        <w:t xml:space="preserve"> </w:t>
      </w:r>
      <w:r w:rsidR="00A607AD" w:rsidRPr="00BC4BDD">
        <w:rPr>
          <w:szCs w:val="28"/>
        </w:rPr>
        <w:t>Environmental burden of acute respiratory infection and pneumonia due to indoor smoke in Dhading / M. Dhimal et al. Journal Nepal Health Research Council. 2010. Vol. 8. P  1–4.</w:t>
      </w:r>
    </w:p>
    <w:p w:rsidR="00BC4BDD" w:rsidRDefault="0044231D" w:rsidP="00BC4BDD">
      <w:pPr>
        <w:ind w:firstLine="709"/>
        <w:rPr>
          <w:szCs w:val="28"/>
          <w:lang w:val="en-US"/>
        </w:rPr>
      </w:pPr>
      <w:r>
        <w:rPr>
          <w:szCs w:val="28"/>
        </w:rPr>
        <w:t>107.</w:t>
      </w:r>
      <w:r>
        <w:rPr>
          <w:szCs w:val="28"/>
          <w:lang w:val="en-US"/>
        </w:rPr>
        <w:t xml:space="preserve"> </w:t>
      </w:r>
      <w:r w:rsidR="00A607AD" w:rsidRPr="00BC4BDD">
        <w:rPr>
          <w:szCs w:val="28"/>
        </w:rPr>
        <w:t>Control of household air pollution for child survival: estimates for intervention impacts / Bruce NG et al. BMC Public Health. 2013. Vol. 13, Suppl. 3. P. S8.</w:t>
      </w:r>
    </w:p>
    <w:p w:rsidR="00BC4BDD" w:rsidRDefault="0044231D" w:rsidP="00BC4BDD">
      <w:pPr>
        <w:ind w:firstLine="709"/>
        <w:rPr>
          <w:szCs w:val="28"/>
          <w:lang w:val="en-US"/>
        </w:rPr>
      </w:pPr>
      <w:r>
        <w:rPr>
          <w:szCs w:val="28"/>
        </w:rPr>
        <w:lastRenderedPageBreak/>
        <w:t>108.</w:t>
      </w:r>
      <w:r>
        <w:rPr>
          <w:szCs w:val="28"/>
          <w:lang w:val="en-US"/>
        </w:rPr>
        <w:t xml:space="preserve"> </w:t>
      </w:r>
      <w:r w:rsidR="00A607AD" w:rsidRPr="00BC4BDD">
        <w:rPr>
          <w:szCs w:val="28"/>
        </w:rPr>
        <w:t>Global, regional, and national estimates of pneumonia burden in HIV-infected children in 2010: a meta-analysis and modelling study / E. Theodoratou et al. The Lancet Infectious Diseases. 2014. Vol. 14 (12). P. 1250–1258.</w:t>
      </w:r>
    </w:p>
    <w:p w:rsidR="00BC4BDD" w:rsidRPr="00BC4BDD" w:rsidRDefault="0044231D" w:rsidP="00BC4BDD">
      <w:pPr>
        <w:ind w:firstLine="709"/>
        <w:rPr>
          <w:szCs w:val="28"/>
          <w:lang w:val="en-US"/>
        </w:rPr>
      </w:pPr>
      <w:r>
        <w:rPr>
          <w:szCs w:val="28"/>
        </w:rPr>
        <w:t>109.</w:t>
      </w:r>
      <w:r>
        <w:rPr>
          <w:szCs w:val="28"/>
          <w:lang w:val="en-US"/>
        </w:rPr>
        <w:t xml:space="preserve"> </w:t>
      </w:r>
      <w:r w:rsidR="00A607AD" w:rsidRPr="00BC4BDD">
        <w:rPr>
          <w:szCs w:val="28"/>
        </w:rPr>
        <w:t>Global, regional, and national estimates of pneumonia morbidity and mortality in children younger than 5 years between 2000 and 2015: a systematic analysis / D.</w:t>
      </w:r>
      <w:r>
        <w:t> </w:t>
      </w:r>
      <w:r w:rsidR="00A607AD" w:rsidRPr="00BC4BDD">
        <w:rPr>
          <w:szCs w:val="28"/>
        </w:rPr>
        <w:t>A.</w:t>
      </w:r>
      <w:r>
        <w:t> </w:t>
      </w:r>
      <w:r w:rsidR="00A607AD" w:rsidRPr="00BC4BDD">
        <w:rPr>
          <w:szCs w:val="28"/>
        </w:rPr>
        <w:t>McAllister et al. Lancet Global Health. 2018. Vol. 7 (1). P.</w:t>
      </w:r>
      <w:r w:rsidRPr="00DA6779">
        <w:rPr>
          <w:szCs w:val="28"/>
          <w:lang w:val="en-US"/>
        </w:rPr>
        <w:t> </w:t>
      </w:r>
      <w:r w:rsidR="00A607AD" w:rsidRPr="00BC4BDD">
        <w:rPr>
          <w:szCs w:val="28"/>
        </w:rPr>
        <w:t>e47–e57. URL: https://pubmed.ncbi.nlm.nih.gov/30497986/ (Las</w:t>
      </w:r>
      <w:r w:rsidR="00BC4BDD">
        <w:rPr>
          <w:szCs w:val="28"/>
        </w:rPr>
        <w:t xml:space="preserve">t accessed: 11.10.2020). </w:t>
      </w:r>
    </w:p>
    <w:p w:rsidR="00BC4BDD" w:rsidRDefault="00D12F5C" w:rsidP="00BC4BDD">
      <w:pPr>
        <w:ind w:firstLine="709"/>
        <w:rPr>
          <w:szCs w:val="28"/>
          <w:lang w:val="en-US"/>
        </w:rPr>
      </w:pPr>
      <w:r>
        <w:rPr>
          <w:szCs w:val="28"/>
        </w:rPr>
        <w:t xml:space="preserve">110. </w:t>
      </w:r>
      <w:r w:rsidR="00A607AD" w:rsidRPr="00BC4BDD">
        <w:rPr>
          <w:szCs w:val="28"/>
        </w:rPr>
        <w:t>Global and regional burden of hospital admissions for severe acute lower respiratory infections in young children in 2010: a systematic analysis / H. Nair et al. Lancet. 2013. Vol. 381. P. 1380–1390.</w:t>
      </w:r>
    </w:p>
    <w:p w:rsidR="00BC4BDD" w:rsidRDefault="00D12F5C" w:rsidP="00BC4BDD">
      <w:pPr>
        <w:ind w:firstLine="709"/>
        <w:rPr>
          <w:szCs w:val="28"/>
          <w:lang w:val="en-US"/>
        </w:rPr>
      </w:pPr>
      <w:r>
        <w:rPr>
          <w:szCs w:val="28"/>
        </w:rPr>
        <w:t xml:space="preserve">111. </w:t>
      </w:r>
      <w:r w:rsidR="00A607AD" w:rsidRPr="00BC4BDD">
        <w:rPr>
          <w:szCs w:val="28"/>
        </w:rPr>
        <w:t>One is too many: ending child deaths from pneumonia and diarrhoea. UNICEF website. 2016. URL: https://data.unicef.org/topic/childhealth/pneumonia/ (Last accessed: 11.05.2020).</w:t>
      </w:r>
    </w:p>
    <w:p w:rsidR="00BC4BDD" w:rsidRDefault="00D12F5C" w:rsidP="00BC4BDD">
      <w:pPr>
        <w:ind w:firstLine="709"/>
        <w:rPr>
          <w:szCs w:val="28"/>
          <w:lang w:val="en-US"/>
        </w:rPr>
      </w:pPr>
      <w:r>
        <w:rPr>
          <w:szCs w:val="28"/>
        </w:rPr>
        <w:t>112.</w:t>
      </w:r>
      <w:r>
        <w:rPr>
          <w:lang w:val="en-US"/>
        </w:rPr>
        <w:t> </w:t>
      </w:r>
      <w:r w:rsidR="00A607AD" w:rsidRPr="00BC4BDD">
        <w:rPr>
          <w:szCs w:val="28"/>
        </w:rPr>
        <w:t>Every Breath Counts: a public-private partnership to support national governments to end child pneumonia deaths by 2030. Just Actions Workgood website. 2018. URL:</w:t>
      </w:r>
      <w:r>
        <w:rPr>
          <w:szCs w:val="28"/>
        </w:rPr>
        <w:t> </w:t>
      </w:r>
      <w:r w:rsidR="00A607AD" w:rsidRPr="00BC4BDD">
        <w:rPr>
          <w:szCs w:val="28"/>
        </w:rPr>
        <w:t>http://justactions.org/campaign/every-breath-counts-coalition/ (Last accessed: 11.05.2020).</w:t>
      </w:r>
    </w:p>
    <w:p w:rsidR="00BC4BDD" w:rsidRDefault="00134806" w:rsidP="00BC4BDD">
      <w:pPr>
        <w:ind w:firstLine="709"/>
        <w:rPr>
          <w:szCs w:val="28"/>
          <w:lang w:val="en-US"/>
        </w:rPr>
      </w:pPr>
      <w:r>
        <w:rPr>
          <w:szCs w:val="28"/>
        </w:rPr>
        <w:t>113.</w:t>
      </w:r>
      <w:r>
        <w:rPr>
          <w:szCs w:val="28"/>
          <w:lang w:val="en-US"/>
        </w:rPr>
        <w:t xml:space="preserve"> </w:t>
      </w:r>
      <w:r w:rsidR="00A607AD" w:rsidRPr="00BC4BDD">
        <w:rPr>
          <w:szCs w:val="28"/>
        </w:rPr>
        <w:t>Mulholland K., Weber M. W. Pneumonia in children: epidemiology, prevention and treatment. London: Pinter &amp; Martin, 2016. 336 p.</w:t>
      </w:r>
    </w:p>
    <w:p w:rsidR="00BC4BDD" w:rsidRDefault="00134806" w:rsidP="00BC4BDD">
      <w:pPr>
        <w:ind w:firstLine="709"/>
        <w:rPr>
          <w:szCs w:val="28"/>
          <w:lang w:val="en-US"/>
        </w:rPr>
      </w:pPr>
      <w:r>
        <w:rPr>
          <w:szCs w:val="28"/>
        </w:rPr>
        <w:t>114.</w:t>
      </w:r>
      <w:r>
        <w:rPr>
          <w:szCs w:val="28"/>
          <w:lang w:val="en-US"/>
        </w:rPr>
        <w:t xml:space="preserve"> </w:t>
      </w:r>
      <w:r w:rsidR="00A607AD" w:rsidRPr="00BC4BDD">
        <w:rPr>
          <w:szCs w:val="28"/>
        </w:rPr>
        <w:t>Campbell H., Nair H. Child pneumonia at a time of epidemiological transition. The Lancet. Global Health. 2015. Vol. 2. P. e65–e66.</w:t>
      </w:r>
    </w:p>
    <w:p w:rsidR="00BC4BDD" w:rsidRDefault="00134806" w:rsidP="00BC4BDD">
      <w:pPr>
        <w:ind w:firstLine="709"/>
        <w:rPr>
          <w:szCs w:val="28"/>
          <w:lang w:val="en-US"/>
        </w:rPr>
      </w:pPr>
      <w:r>
        <w:rPr>
          <w:szCs w:val="28"/>
        </w:rPr>
        <w:t>115.</w:t>
      </w:r>
      <w:r w:rsidR="00A607AD" w:rsidRPr="00BC4BDD">
        <w:rPr>
          <w:szCs w:val="28"/>
        </w:rPr>
        <w:t xml:space="preserve"> Ginsburg A. S., Izadnegahdar R., Klugman K. P. World Pneumonia Day 2016: pulse oximetry and oxygen. The Lancet. Global Health. 2016. Vol. 12. P. e893–e894.</w:t>
      </w:r>
    </w:p>
    <w:p w:rsidR="00BC4BDD" w:rsidRDefault="00134806" w:rsidP="00BC4BDD">
      <w:pPr>
        <w:ind w:firstLine="709"/>
        <w:rPr>
          <w:szCs w:val="28"/>
          <w:lang w:val="en-US"/>
        </w:rPr>
      </w:pPr>
      <w:r>
        <w:rPr>
          <w:szCs w:val="28"/>
        </w:rPr>
        <w:t>116.</w:t>
      </w:r>
      <w:r>
        <w:rPr>
          <w:szCs w:val="28"/>
          <w:lang w:val="en-US"/>
        </w:rPr>
        <w:t xml:space="preserve"> </w:t>
      </w:r>
      <w:r w:rsidR="00A607AD" w:rsidRPr="00BC4BDD">
        <w:rPr>
          <w:szCs w:val="28"/>
        </w:rPr>
        <w:t>Effectiveness of the 13-valent pneumococcal conjugate vaccine against invasive pneumococcal disease in South African children: a case-control study / C. Cohen et al. The Lancet Global Health. 2017. Vol. 5 (3). P. e359–e369.</w:t>
      </w:r>
    </w:p>
    <w:p w:rsidR="00BC4BDD" w:rsidRDefault="00134806" w:rsidP="00BC4BDD">
      <w:pPr>
        <w:ind w:firstLine="709"/>
        <w:rPr>
          <w:szCs w:val="28"/>
          <w:lang w:val="en-US"/>
        </w:rPr>
      </w:pPr>
      <w:r>
        <w:rPr>
          <w:szCs w:val="28"/>
        </w:rPr>
        <w:t>117.</w:t>
      </w:r>
      <w:r w:rsidRPr="00134806">
        <w:rPr>
          <w:lang w:val="en-US"/>
        </w:rPr>
        <w:t> </w:t>
      </w:r>
      <w:r w:rsidR="00A607AD" w:rsidRPr="00BC4BDD">
        <w:rPr>
          <w:szCs w:val="28"/>
        </w:rPr>
        <w:t xml:space="preserve">Pneumococcal conjugate vaccines for preventing vaccine‐type invasive pneumococcal disease and X‐ray defined pneumonia in children less than two years of age / </w:t>
      </w:r>
      <w:r w:rsidR="00A607AD" w:rsidRPr="00BC4BDD">
        <w:rPr>
          <w:szCs w:val="28"/>
        </w:rPr>
        <w:lastRenderedPageBreak/>
        <w:t>M. G. Lucero et al. Cochrane Database Systematic Reviews. 2009. Vol. 4. DOI: 10.1002/14651858.CD004977 (Last ac</w:t>
      </w:r>
      <w:r w:rsidR="00C01EA1">
        <w:rPr>
          <w:szCs w:val="28"/>
        </w:rPr>
        <w:t>cessed: 28.02.202</w:t>
      </w:r>
      <w:r w:rsidR="00C01EA1" w:rsidRPr="005630AF">
        <w:rPr>
          <w:szCs w:val="28"/>
          <w:lang w:val="en-US"/>
        </w:rPr>
        <w:t>0</w:t>
      </w:r>
      <w:r w:rsidR="00A607AD" w:rsidRPr="00BC4BDD">
        <w:rPr>
          <w:szCs w:val="28"/>
        </w:rPr>
        <w:t>).</w:t>
      </w:r>
    </w:p>
    <w:p w:rsidR="00BC4BDD" w:rsidRDefault="005630AF" w:rsidP="00BC4BDD">
      <w:pPr>
        <w:ind w:firstLine="709"/>
        <w:rPr>
          <w:szCs w:val="28"/>
          <w:lang w:val="en-US"/>
        </w:rPr>
      </w:pPr>
      <w:r>
        <w:rPr>
          <w:szCs w:val="28"/>
        </w:rPr>
        <w:t>118.</w:t>
      </w:r>
      <w:r w:rsidRPr="005630AF">
        <w:rPr>
          <w:szCs w:val="28"/>
          <w:lang w:val="en-US"/>
        </w:rPr>
        <w:t xml:space="preserve"> </w:t>
      </w:r>
      <w:r w:rsidR="00A607AD" w:rsidRPr="00BC4BDD">
        <w:rPr>
          <w:szCs w:val="28"/>
        </w:rPr>
        <w:t>Effectiveness of 13-valent pneumococcal conjugate vaccine for prevention of invasive pneumococcal disease in children in the USA: a matched case-control study / M. R. Moore et al. The Lancet Respiratory Medicine. 2016. Vol. 4 (5). P. 399–406.</w:t>
      </w:r>
    </w:p>
    <w:p w:rsidR="00BC4BDD" w:rsidRDefault="005630AF" w:rsidP="00BC4BDD">
      <w:pPr>
        <w:ind w:firstLine="709"/>
        <w:rPr>
          <w:szCs w:val="28"/>
          <w:lang w:val="en-US"/>
        </w:rPr>
      </w:pPr>
      <w:r>
        <w:rPr>
          <w:szCs w:val="28"/>
        </w:rPr>
        <w:t>119.</w:t>
      </w:r>
      <w:r w:rsidRPr="005630AF">
        <w:rPr>
          <w:szCs w:val="28"/>
          <w:lang w:val="en-US"/>
        </w:rPr>
        <w:t xml:space="preserve"> </w:t>
      </w:r>
      <w:r w:rsidR="00A607AD" w:rsidRPr="00BC4BDD">
        <w:rPr>
          <w:szCs w:val="28"/>
        </w:rPr>
        <w:t>Effect and cost-effectiveness of pneumococcal conjugate vaccination: a global modelling analysis / C. Chen et al. The Lancet Global Health. 2019. Vol. 7 (1). P. e58–e67.</w:t>
      </w:r>
    </w:p>
    <w:p w:rsidR="009F228D" w:rsidRPr="00201917" w:rsidRDefault="00A607AD" w:rsidP="00201917">
      <w:pPr>
        <w:ind w:firstLine="709"/>
        <w:rPr>
          <w:szCs w:val="28"/>
          <w:lang w:val="en-US"/>
        </w:rPr>
      </w:pPr>
      <w:r w:rsidRPr="00201917">
        <w:rPr>
          <w:szCs w:val="28"/>
        </w:rPr>
        <w:t>120.</w:t>
      </w:r>
      <w:r w:rsidRPr="00201917">
        <w:rPr>
          <w:szCs w:val="28"/>
        </w:rPr>
        <w:tab/>
      </w:r>
      <w:r w:rsidR="00201917" w:rsidRPr="00201917">
        <w:rPr>
          <w:szCs w:val="28"/>
          <w:lang w:val="en-US"/>
        </w:rPr>
        <w:t xml:space="preserve">Risk Factors for Invasive Pneumococcal Disease Among Children Less Than 5 Years of Age in a High HIV Prevalence Setting, South Africa, 2010 to 2012. </w:t>
      </w:r>
      <w:r w:rsidR="00201917" w:rsidRPr="00201917">
        <w:rPr>
          <w:i/>
          <w:szCs w:val="28"/>
          <w:lang w:val="en-US"/>
        </w:rPr>
        <w:t>The Pediatric Infectious Disease Journal</w:t>
      </w:r>
      <w:r w:rsidR="00201917" w:rsidRPr="00201917">
        <w:rPr>
          <w:szCs w:val="28"/>
          <w:lang w:val="en-US"/>
        </w:rPr>
        <w:t> </w:t>
      </w:r>
      <w:r w:rsidR="00201917" w:rsidRPr="00201917">
        <w:rPr>
          <w:szCs w:val="28"/>
          <w:lang w:val="en-US"/>
        </w:rPr>
        <w:t xml:space="preserve"> 2015. Vol.</w:t>
      </w:r>
      <w:r w:rsidR="008004D1">
        <w:rPr>
          <w:szCs w:val="28"/>
        </w:rPr>
        <w:t> </w:t>
      </w:r>
      <w:r w:rsidR="00201917" w:rsidRPr="00201917">
        <w:rPr>
          <w:szCs w:val="28"/>
          <w:lang w:val="en-US"/>
        </w:rPr>
        <w:t>34, Is.</w:t>
      </w:r>
      <w:r w:rsidR="008004D1">
        <w:t> </w:t>
      </w:r>
      <w:r w:rsidR="00201917" w:rsidRPr="00201917">
        <w:rPr>
          <w:szCs w:val="28"/>
          <w:lang w:val="en-US"/>
        </w:rPr>
        <w:t>1. P.</w:t>
      </w:r>
      <w:r w:rsidR="008004D1" w:rsidRPr="00AF53B9">
        <w:rPr>
          <w:szCs w:val="28"/>
          <w:lang w:val="en-US"/>
        </w:rPr>
        <w:t> </w:t>
      </w:r>
      <w:r w:rsidR="00201917" w:rsidRPr="00201917">
        <w:rPr>
          <w:szCs w:val="28"/>
          <w:lang w:val="en-US"/>
        </w:rPr>
        <w:t xml:space="preserve">27–34. URL: </w:t>
      </w:r>
      <w:hyperlink r:id="rId60" w:history="1">
        <w:r w:rsidR="00201917" w:rsidRPr="00201917">
          <w:rPr>
            <w:rStyle w:val="af7"/>
            <w:color w:val="auto"/>
            <w:szCs w:val="28"/>
            <w:u w:val="none"/>
            <w:lang w:val="en-US"/>
          </w:rPr>
          <w:t>https://journals.lww.com/pidj/Abstract/2015/01000/Risk_Factors_for_Invasive_Pneumococcal_Disease.7.aspx</w:t>
        </w:r>
      </w:hyperlink>
      <w:r w:rsidR="00201917" w:rsidRPr="00201917">
        <w:rPr>
          <w:szCs w:val="28"/>
          <w:lang w:val="en-US"/>
        </w:rPr>
        <w:t xml:space="preserve"> </w:t>
      </w:r>
      <w:r w:rsidR="00201917" w:rsidRPr="00201917">
        <w:rPr>
          <w:szCs w:val="28"/>
        </w:rPr>
        <w:t>(</w:t>
      </w:r>
      <w:r w:rsidR="00201917" w:rsidRPr="00201917">
        <w:rPr>
          <w:szCs w:val="28"/>
          <w:lang w:val="en-US"/>
        </w:rPr>
        <w:t>Last accessed</w:t>
      </w:r>
      <w:r w:rsidR="00201917" w:rsidRPr="00201917">
        <w:rPr>
          <w:szCs w:val="28"/>
        </w:rPr>
        <w:t>: 0</w:t>
      </w:r>
      <w:r w:rsidR="00201917" w:rsidRPr="00201917">
        <w:rPr>
          <w:szCs w:val="28"/>
          <w:lang w:val="en-US"/>
        </w:rPr>
        <w:t>3</w:t>
      </w:r>
      <w:r w:rsidR="00201917" w:rsidRPr="00201917">
        <w:rPr>
          <w:szCs w:val="28"/>
        </w:rPr>
        <w:t>.0</w:t>
      </w:r>
      <w:r w:rsidR="00201917" w:rsidRPr="00201917">
        <w:rPr>
          <w:szCs w:val="28"/>
          <w:lang w:val="en-US"/>
        </w:rPr>
        <w:t>4</w:t>
      </w:r>
      <w:r w:rsidR="00201917" w:rsidRPr="00201917">
        <w:rPr>
          <w:szCs w:val="28"/>
        </w:rPr>
        <w:t>.202</w:t>
      </w:r>
      <w:r w:rsidR="00201917" w:rsidRPr="00201917">
        <w:rPr>
          <w:szCs w:val="28"/>
          <w:lang w:val="en-US"/>
        </w:rPr>
        <w:t>0</w:t>
      </w:r>
      <w:r w:rsidR="00201917" w:rsidRPr="00201917">
        <w:rPr>
          <w:szCs w:val="28"/>
        </w:rPr>
        <w:t>).</w:t>
      </w:r>
    </w:p>
    <w:p w:rsidR="009F228D" w:rsidRPr="00E17667" w:rsidRDefault="005B7B42" w:rsidP="009F228D">
      <w:pPr>
        <w:ind w:firstLine="709"/>
        <w:rPr>
          <w:szCs w:val="28"/>
          <w:lang w:val="en-US"/>
        </w:rPr>
      </w:pPr>
      <w:r w:rsidRPr="005B7B42">
        <w:rPr>
          <w:szCs w:val="28"/>
        </w:rPr>
        <w:t>121.</w:t>
      </w:r>
      <w:r w:rsidRPr="005B7B42">
        <w:rPr>
          <w:szCs w:val="28"/>
          <w:lang w:val="en-US"/>
        </w:rPr>
        <w:t> </w:t>
      </w:r>
      <w:r w:rsidR="00E17667" w:rsidRPr="005B7B42">
        <w:rPr>
          <w:bCs/>
          <w:szCs w:val="28"/>
          <w:lang w:val="en-US"/>
        </w:rPr>
        <w:t xml:space="preserve">Global, </w:t>
      </w:r>
      <w:r w:rsidR="00E17667" w:rsidRPr="00E17667">
        <w:rPr>
          <w:bCs/>
          <w:szCs w:val="28"/>
          <w:lang w:val="en-US"/>
        </w:rPr>
        <w:t xml:space="preserve">regional, and national incidence, prevalence, and years lived with disability for 328 diseases and injuries for 195 countries, 1990-2016: a systematic analysis for the Global Burden of Disease Study 2016. </w:t>
      </w:r>
      <w:r w:rsidR="00E17667" w:rsidRPr="00E17667">
        <w:rPr>
          <w:iCs/>
          <w:szCs w:val="28"/>
          <w:lang w:val="en-US"/>
        </w:rPr>
        <w:t>Lancet.</w:t>
      </w:r>
      <w:r w:rsidR="00E17667" w:rsidRPr="00E17667">
        <w:rPr>
          <w:szCs w:val="28"/>
          <w:lang w:val="en-US"/>
        </w:rPr>
        <w:t> 2017. Vol.390 (10100). P.1211-1259. DOI: 10.1016/S0140-6736(17)32154-2 (Last accessed: 18.09.2020).</w:t>
      </w:r>
    </w:p>
    <w:p w:rsidR="009F228D" w:rsidRDefault="0095282A" w:rsidP="009F228D">
      <w:pPr>
        <w:ind w:firstLine="709"/>
        <w:rPr>
          <w:szCs w:val="28"/>
          <w:lang w:val="en-US"/>
        </w:rPr>
      </w:pPr>
      <w:r>
        <w:rPr>
          <w:szCs w:val="28"/>
        </w:rPr>
        <w:t>122.</w:t>
      </w:r>
      <w:r>
        <w:rPr>
          <w:szCs w:val="28"/>
          <w:lang w:val="en-US"/>
        </w:rPr>
        <w:t xml:space="preserve"> </w:t>
      </w:r>
      <w:r w:rsidR="00A607AD" w:rsidRPr="009F228D">
        <w:rPr>
          <w:szCs w:val="28"/>
        </w:rPr>
        <w:t>Breastfeeding for reducing the risk of pneumonia morbidity and mortality in children under two: a systematic literature review and meta-analysis / L. M. Lamberti et al. BMC Public Health. 2013. Vol. 13 (3). P. S18.</w:t>
      </w:r>
    </w:p>
    <w:p w:rsidR="009F228D" w:rsidRDefault="00A607AD" w:rsidP="009F228D">
      <w:pPr>
        <w:ind w:firstLine="709"/>
        <w:rPr>
          <w:szCs w:val="28"/>
          <w:lang w:val="en-US"/>
        </w:rPr>
      </w:pPr>
      <w:r w:rsidRPr="009F228D">
        <w:rPr>
          <w:szCs w:val="28"/>
        </w:rPr>
        <w:t>123.</w:t>
      </w:r>
      <w:r w:rsidRPr="009F228D">
        <w:rPr>
          <w:szCs w:val="28"/>
        </w:rPr>
        <w:tab/>
        <w:t>Infant and young child feeding. Adopting optimal feeding practices is fundamental to a child’s survival, growth and development, but too few children benefit UNICEF data website. 2019. URL: https://data.unicef.org/topic/nutrition/infant-and-young-child-feeding/ (Last accessed: 11.10.2020).</w:t>
      </w:r>
    </w:p>
    <w:p w:rsidR="009F228D" w:rsidRDefault="00A607AD" w:rsidP="009F228D">
      <w:pPr>
        <w:ind w:firstLine="709"/>
        <w:rPr>
          <w:szCs w:val="28"/>
          <w:lang w:val="en-US"/>
        </w:rPr>
      </w:pPr>
      <w:r w:rsidRPr="009F228D">
        <w:rPr>
          <w:szCs w:val="28"/>
        </w:rPr>
        <w:t>124.</w:t>
      </w:r>
      <w:r w:rsidRPr="009F228D">
        <w:rPr>
          <w:szCs w:val="28"/>
        </w:rPr>
        <w:tab/>
        <w:t>Pneumonia mortality and healthcare utilization in young children in rural Bangladesh: a prospective verbal autopsy study / F. Ferdous et al. Tropical medicine and health. 2018. Vol. 46 (1). P. 17.</w:t>
      </w:r>
    </w:p>
    <w:p w:rsidR="009F228D" w:rsidRDefault="00E465EF" w:rsidP="009F228D">
      <w:pPr>
        <w:ind w:firstLine="709"/>
        <w:rPr>
          <w:szCs w:val="28"/>
          <w:lang w:val="en-US"/>
        </w:rPr>
      </w:pPr>
      <w:r>
        <w:rPr>
          <w:szCs w:val="28"/>
        </w:rPr>
        <w:t>125.</w:t>
      </w:r>
      <w:r>
        <w:rPr>
          <w:szCs w:val="28"/>
          <w:lang w:val="en-US"/>
        </w:rPr>
        <w:t xml:space="preserve"> </w:t>
      </w:r>
      <w:r w:rsidR="00A607AD" w:rsidRPr="009F228D">
        <w:rPr>
          <w:szCs w:val="28"/>
        </w:rPr>
        <w:t xml:space="preserve">Revised WHO classification and treatment of pneumonia in children at health facilities: quick reference guide / WHO/FWC/MCA/14.9. / World Health Organization. </w:t>
      </w:r>
      <w:r w:rsidR="00A607AD" w:rsidRPr="009F228D">
        <w:rPr>
          <w:szCs w:val="28"/>
        </w:rPr>
        <w:lastRenderedPageBreak/>
        <w:t>Geneva, 2014. 34 p. https://apps.who.int/iris/bitstream/handle/10665/137319/9789241507813_eng.pdf?sequence=1 (Last accessed: 11.10.2020).</w:t>
      </w:r>
    </w:p>
    <w:p w:rsidR="009F228D" w:rsidRPr="00D175C2" w:rsidRDefault="00A607AD" w:rsidP="00D175C2">
      <w:pPr>
        <w:ind w:firstLine="709"/>
        <w:rPr>
          <w:color w:val="FF0000"/>
          <w:szCs w:val="28"/>
        </w:rPr>
      </w:pPr>
      <w:r w:rsidRPr="009F228D">
        <w:rPr>
          <w:szCs w:val="28"/>
        </w:rPr>
        <w:t>126</w:t>
      </w:r>
      <w:r w:rsidR="00E465EF" w:rsidRPr="00D175C2">
        <w:rPr>
          <w:szCs w:val="28"/>
        </w:rPr>
        <w:t>.</w:t>
      </w:r>
      <w:r w:rsidR="00E465EF" w:rsidRPr="00D175C2">
        <w:rPr>
          <w:szCs w:val="28"/>
          <w:lang w:val="en-US"/>
        </w:rPr>
        <w:t xml:space="preserve"> </w:t>
      </w:r>
      <w:r w:rsidR="00D175C2" w:rsidRPr="00D175C2">
        <w:rPr>
          <w:szCs w:val="28"/>
          <w:lang w:val="en-US"/>
        </w:rPr>
        <w:t xml:space="preserve">United Nations Children’s Fund, Committing to Child Survival: A Promise Renewed: Progress report 2015 / UNICEF. New York, 2015. 100 p. URL: </w:t>
      </w:r>
      <w:hyperlink r:id="rId61" w:history="1">
        <w:r w:rsidR="00D175C2" w:rsidRPr="00D175C2">
          <w:rPr>
            <w:rStyle w:val="af7"/>
            <w:color w:val="auto"/>
            <w:szCs w:val="28"/>
            <w:u w:val="none"/>
            <w:lang w:val="en-US"/>
          </w:rPr>
          <w:t>https</w:t>
        </w:r>
        <w:r w:rsidR="00D175C2" w:rsidRPr="00D175C2">
          <w:rPr>
            <w:rStyle w:val="af7"/>
            <w:color w:val="auto"/>
            <w:szCs w:val="28"/>
            <w:u w:val="none"/>
          </w:rPr>
          <w:t>://</w:t>
        </w:r>
        <w:r w:rsidR="00D175C2" w:rsidRPr="00D175C2">
          <w:rPr>
            <w:rStyle w:val="af7"/>
            <w:color w:val="auto"/>
            <w:szCs w:val="28"/>
            <w:u w:val="none"/>
            <w:lang w:val="en-US"/>
          </w:rPr>
          <w:t>www</w:t>
        </w:r>
        <w:r w:rsidR="00D175C2" w:rsidRPr="00D175C2">
          <w:rPr>
            <w:rStyle w:val="af7"/>
            <w:color w:val="auto"/>
            <w:szCs w:val="28"/>
            <w:u w:val="none"/>
          </w:rPr>
          <w:t>.</w:t>
        </w:r>
        <w:r w:rsidR="00D175C2" w:rsidRPr="00D175C2">
          <w:rPr>
            <w:rStyle w:val="af7"/>
            <w:color w:val="auto"/>
            <w:szCs w:val="28"/>
            <w:u w:val="none"/>
            <w:lang w:val="en-US"/>
          </w:rPr>
          <w:t>unicef</w:t>
        </w:r>
        <w:r w:rsidR="00D175C2" w:rsidRPr="00D175C2">
          <w:rPr>
            <w:rStyle w:val="af7"/>
            <w:color w:val="auto"/>
            <w:szCs w:val="28"/>
            <w:u w:val="none"/>
          </w:rPr>
          <w:t>.</w:t>
        </w:r>
        <w:r w:rsidR="00D175C2" w:rsidRPr="00D175C2">
          <w:rPr>
            <w:rStyle w:val="af7"/>
            <w:color w:val="auto"/>
            <w:szCs w:val="28"/>
            <w:u w:val="none"/>
            <w:lang w:val="en-US"/>
          </w:rPr>
          <w:t>org</w:t>
        </w:r>
        <w:r w:rsidR="00D175C2" w:rsidRPr="00D175C2">
          <w:rPr>
            <w:rStyle w:val="af7"/>
            <w:color w:val="auto"/>
            <w:szCs w:val="28"/>
            <w:u w:val="none"/>
          </w:rPr>
          <w:t>/</w:t>
        </w:r>
        <w:r w:rsidR="00D175C2" w:rsidRPr="00D175C2">
          <w:rPr>
            <w:rStyle w:val="af7"/>
            <w:color w:val="auto"/>
            <w:szCs w:val="28"/>
            <w:u w:val="none"/>
            <w:lang w:val="en-US"/>
          </w:rPr>
          <w:t>media</w:t>
        </w:r>
        <w:r w:rsidR="00D175C2" w:rsidRPr="00D175C2">
          <w:rPr>
            <w:rStyle w:val="af7"/>
            <w:color w:val="auto"/>
            <w:szCs w:val="28"/>
            <w:u w:val="none"/>
          </w:rPr>
          <w:t>/50721/</w:t>
        </w:r>
        <w:r w:rsidR="00D175C2" w:rsidRPr="00D175C2">
          <w:rPr>
            <w:rStyle w:val="af7"/>
            <w:color w:val="auto"/>
            <w:szCs w:val="28"/>
            <w:u w:val="none"/>
            <w:lang w:val="en-US"/>
          </w:rPr>
          <w:t>file</w:t>
        </w:r>
        <w:r w:rsidR="00D175C2" w:rsidRPr="00D175C2">
          <w:rPr>
            <w:rStyle w:val="af7"/>
            <w:color w:val="auto"/>
            <w:szCs w:val="28"/>
            <w:u w:val="none"/>
          </w:rPr>
          <w:t>/</w:t>
        </w:r>
        <w:r w:rsidR="00D175C2" w:rsidRPr="00D175C2">
          <w:rPr>
            <w:rStyle w:val="af7"/>
            <w:color w:val="auto"/>
            <w:szCs w:val="28"/>
            <w:u w:val="none"/>
            <w:lang w:val="en-US"/>
          </w:rPr>
          <w:t>APR</w:t>
        </w:r>
        <w:r w:rsidR="00D175C2" w:rsidRPr="00D175C2">
          <w:rPr>
            <w:rStyle w:val="af7"/>
            <w:color w:val="auto"/>
            <w:szCs w:val="28"/>
            <w:u w:val="none"/>
          </w:rPr>
          <w:t>_2015_9_</w:t>
        </w:r>
        <w:r w:rsidR="00D175C2" w:rsidRPr="00D175C2">
          <w:rPr>
            <w:rStyle w:val="af7"/>
            <w:color w:val="auto"/>
            <w:szCs w:val="28"/>
            <w:u w:val="none"/>
            <w:lang w:val="en-US"/>
          </w:rPr>
          <w:t>Sep</w:t>
        </w:r>
        <w:r w:rsidR="00D175C2" w:rsidRPr="00D175C2">
          <w:rPr>
            <w:rStyle w:val="af7"/>
            <w:color w:val="auto"/>
            <w:szCs w:val="28"/>
            <w:u w:val="none"/>
          </w:rPr>
          <w:t>_15.</w:t>
        </w:r>
        <w:r w:rsidR="00D175C2" w:rsidRPr="00D175C2">
          <w:rPr>
            <w:rStyle w:val="af7"/>
            <w:color w:val="auto"/>
            <w:szCs w:val="28"/>
            <w:u w:val="none"/>
            <w:lang w:val="en-US"/>
          </w:rPr>
          <w:t>pdf</w:t>
        </w:r>
      </w:hyperlink>
      <w:r w:rsidR="00D175C2" w:rsidRPr="00D175C2">
        <w:rPr>
          <w:szCs w:val="28"/>
          <w:lang w:val="en-US"/>
        </w:rPr>
        <w:t xml:space="preserve"> </w:t>
      </w:r>
      <w:r w:rsidR="00D175C2" w:rsidRPr="00D175C2">
        <w:rPr>
          <w:szCs w:val="28"/>
        </w:rPr>
        <w:t>(</w:t>
      </w:r>
      <w:r w:rsidR="00D175C2" w:rsidRPr="00D175C2">
        <w:rPr>
          <w:szCs w:val="28"/>
          <w:lang w:val="en-US"/>
        </w:rPr>
        <w:t>Last accessed</w:t>
      </w:r>
      <w:r w:rsidR="00D175C2" w:rsidRPr="00D175C2">
        <w:rPr>
          <w:szCs w:val="28"/>
        </w:rPr>
        <w:t>: 0</w:t>
      </w:r>
      <w:r w:rsidR="00D175C2" w:rsidRPr="00D175C2">
        <w:rPr>
          <w:szCs w:val="28"/>
          <w:lang w:val="en-US"/>
        </w:rPr>
        <w:t>3</w:t>
      </w:r>
      <w:r w:rsidR="00D175C2" w:rsidRPr="00D175C2">
        <w:rPr>
          <w:szCs w:val="28"/>
        </w:rPr>
        <w:t>.0</w:t>
      </w:r>
      <w:r w:rsidR="00D175C2" w:rsidRPr="00D175C2">
        <w:rPr>
          <w:szCs w:val="28"/>
          <w:lang w:val="en-US"/>
        </w:rPr>
        <w:t>4</w:t>
      </w:r>
      <w:r w:rsidR="00D175C2" w:rsidRPr="00D175C2">
        <w:rPr>
          <w:szCs w:val="28"/>
        </w:rPr>
        <w:t>.202</w:t>
      </w:r>
      <w:r w:rsidR="00D175C2" w:rsidRPr="00D175C2">
        <w:rPr>
          <w:szCs w:val="28"/>
          <w:lang w:val="en-US"/>
        </w:rPr>
        <w:t>0</w:t>
      </w:r>
      <w:r w:rsidR="00D175C2" w:rsidRPr="00D175C2">
        <w:rPr>
          <w:szCs w:val="28"/>
        </w:rPr>
        <w:t>).</w:t>
      </w:r>
    </w:p>
    <w:p w:rsidR="009F228D" w:rsidRDefault="00F20D62" w:rsidP="009F228D">
      <w:pPr>
        <w:ind w:firstLine="709"/>
        <w:rPr>
          <w:szCs w:val="28"/>
          <w:lang w:val="en-US"/>
        </w:rPr>
      </w:pPr>
      <w:r>
        <w:rPr>
          <w:szCs w:val="28"/>
        </w:rPr>
        <w:t>127.</w:t>
      </w:r>
      <w:r>
        <w:rPr>
          <w:szCs w:val="28"/>
          <w:lang w:val="en-US"/>
        </w:rPr>
        <w:t xml:space="preserve"> </w:t>
      </w:r>
      <w:r w:rsidR="00A607AD" w:rsidRPr="009F228D">
        <w:rPr>
          <w:szCs w:val="28"/>
        </w:rPr>
        <w:t>Lazzerini M., Sonego M., Pellegrin M. C. Hypoxaemia as a mortality risk factor in acute lower respiratory infections in children in low and middle-income countries: systematic review and meta-analysis. PLoS One. 2015. Vol. 10 (9). P. e0136166. Published online 2015. URL: https://www.ncbi.nlm.nih.gov/pmc/articles/PMC4570717/ (Last accessed: 11.10.2020).</w:t>
      </w:r>
    </w:p>
    <w:p w:rsidR="009F228D" w:rsidRDefault="00F20D62" w:rsidP="009F228D">
      <w:pPr>
        <w:ind w:firstLine="709"/>
        <w:rPr>
          <w:szCs w:val="28"/>
          <w:lang w:val="en-US"/>
        </w:rPr>
      </w:pPr>
      <w:r>
        <w:rPr>
          <w:szCs w:val="28"/>
        </w:rPr>
        <w:t>128.</w:t>
      </w:r>
      <w:r>
        <w:rPr>
          <w:szCs w:val="28"/>
          <w:lang w:val="en-US"/>
        </w:rPr>
        <w:t xml:space="preserve"> </w:t>
      </w:r>
      <w:r w:rsidR="00A607AD" w:rsidRPr="009F228D">
        <w:rPr>
          <w:szCs w:val="28"/>
        </w:rPr>
        <w:t>Oxygen therapy for children: a manual for health workers. Geneva : World Health</w:t>
      </w:r>
      <w:r>
        <w:rPr>
          <w:szCs w:val="28"/>
          <w:lang w:val="en-US"/>
        </w:rPr>
        <w:t> </w:t>
      </w:r>
      <w:r w:rsidR="00A607AD" w:rsidRPr="009F228D">
        <w:rPr>
          <w:szCs w:val="28"/>
        </w:rPr>
        <w:t>Organization, 2016. 66 p. URL: https://apps.who.int/iris/bitstream/handle/10665/204584/9789241549554_eng.pdf?sequence=1 (Last accessed: 10. 11.2020).</w:t>
      </w:r>
    </w:p>
    <w:p w:rsidR="009F228D" w:rsidRDefault="00F20D62" w:rsidP="009F228D">
      <w:pPr>
        <w:ind w:firstLine="709"/>
        <w:rPr>
          <w:szCs w:val="28"/>
          <w:lang w:val="en-US"/>
        </w:rPr>
      </w:pPr>
      <w:r>
        <w:rPr>
          <w:szCs w:val="28"/>
        </w:rPr>
        <w:t>129.</w:t>
      </w:r>
      <w:r>
        <w:rPr>
          <w:szCs w:val="28"/>
          <w:lang w:val="en-US"/>
        </w:rPr>
        <w:t xml:space="preserve"> </w:t>
      </w:r>
      <w:r w:rsidR="00A607AD" w:rsidRPr="009F228D">
        <w:rPr>
          <w:szCs w:val="28"/>
        </w:rPr>
        <w:t>WHO model list of essential medicines 7-th list / World Health Organization. Geneva, 2019. 65 p.</w:t>
      </w:r>
    </w:p>
    <w:p w:rsidR="00C07A01" w:rsidRDefault="00F20D62" w:rsidP="00C07A01">
      <w:pPr>
        <w:ind w:firstLine="709"/>
        <w:rPr>
          <w:szCs w:val="28"/>
          <w:lang w:val="en-US"/>
        </w:rPr>
      </w:pPr>
      <w:r>
        <w:rPr>
          <w:szCs w:val="28"/>
        </w:rPr>
        <w:t>130.</w:t>
      </w:r>
      <w:r>
        <w:rPr>
          <w:szCs w:val="28"/>
          <w:lang w:val="en-US"/>
        </w:rPr>
        <w:t xml:space="preserve"> </w:t>
      </w:r>
      <w:r w:rsidR="00A607AD" w:rsidRPr="009F228D">
        <w:rPr>
          <w:szCs w:val="28"/>
        </w:rPr>
        <w:t>Oxygen Is Essential: A Policy and Advocacy Primer / J. Delarosa et al., PATH Collaboration With International And National Maternal, Newborn, And Child Health Partners,</w:t>
      </w:r>
      <w:r w:rsidR="009F228D">
        <w:rPr>
          <w:szCs w:val="28"/>
          <w:lang w:val="en-US"/>
        </w:rPr>
        <w:t> </w:t>
      </w:r>
      <w:r w:rsidR="00A607AD" w:rsidRPr="009F228D">
        <w:rPr>
          <w:szCs w:val="28"/>
        </w:rPr>
        <w:t>2017.</w:t>
      </w:r>
      <w:r w:rsidR="009F228D">
        <w:rPr>
          <w:szCs w:val="28"/>
          <w:lang w:val="en-US"/>
        </w:rPr>
        <w:t> </w:t>
      </w:r>
      <w:r w:rsidR="00A607AD" w:rsidRPr="009F228D">
        <w:rPr>
          <w:szCs w:val="28"/>
        </w:rPr>
        <w:t>36</w:t>
      </w:r>
      <w:r w:rsidR="009F228D">
        <w:rPr>
          <w:szCs w:val="28"/>
          <w:lang w:val="en-US"/>
        </w:rPr>
        <w:t> </w:t>
      </w:r>
      <w:r w:rsidR="00A607AD" w:rsidRPr="009F228D">
        <w:rPr>
          <w:szCs w:val="28"/>
        </w:rPr>
        <w:t>p.</w:t>
      </w:r>
      <w:r w:rsidR="009F228D">
        <w:rPr>
          <w:szCs w:val="28"/>
          <w:lang w:val="en-US"/>
        </w:rPr>
        <w:t> </w:t>
      </w:r>
      <w:r w:rsidR="00A607AD" w:rsidRPr="009F228D">
        <w:rPr>
          <w:szCs w:val="28"/>
        </w:rPr>
        <w:t>URL:</w:t>
      </w:r>
      <w:r w:rsidR="009F228D">
        <w:rPr>
          <w:szCs w:val="28"/>
          <w:lang w:val="en-US"/>
        </w:rPr>
        <w:t> </w:t>
      </w:r>
      <w:r w:rsidR="00A607AD" w:rsidRPr="009F228D">
        <w:rPr>
          <w:szCs w:val="28"/>
        </w:rPr>
        <w:t xml:space="preserve"> https://path.azureedge.net/media/documents/DRG_Oxygen_Primer.pdf (Last accessed: 10. 11.2020).</w:t>
      </w:r>
    </w:p>
    <w:p w:rsidR="00C07A01" w:rsidRDefault="006B3860" w:rsidP="00C07A01">
      <w:pPr>
        <w:ind w:firstLine="709"/>
        <w:rPr>
          <w:szCs w:val="28"/>
          <w:lang w:val="en-US"/>
        </w:rPr>
      </w:pPr>
      <w:r>
        <w:rPr>
          <w:szCs w:val="28"/>
        </w:rPr>
        <w:t>131.</w:t>
      </w:r>
      <w:r>
        <w:rPr>
          <w:szCs w:val="28"/>
          <w:lang w:val="en-US"/>
        </w:rPr>
        <w:t xml:space="preserve"> </w:t>
      </w:r>
      <w:r w:rsidR="00A607AD" w:rsidRPr="00C07A01">
        <w:rPr>
          <w:szCs w:val="28"/>
        </w:rPr>
        <w:t>Das J. K., Salam R. A., Bhutta Z. A. Global burden of childhood diarrhea and interventions. Current Opinion in Infectious Diseases. 2014. Vol. 27 (5). P. 451–458.</w:t>
      </w:r>
    </w:p>
    <w:p w:rsidR="00C07A01" w:rsidRDefault="006B3860" w:rsidP="00C07A01">
      <w:pPr>
        <w:ind w:firstLine="709"/>
        <w:rPr>
          <w:szCs w:val="28"/>
          <w:lang w:val="en-US"/>
        </w:rPr>
      </w:pPr>
      <w:r>
        <w:rPr>
          <w:szCs w:val="28"/>
        </w:rPr>
        <w:t>132.</w:t>
      </w:r>
      <w:r>
        <w:rPr>
          <w:szCs w:val="28"/>
          <w:lang w:val="en-US"/>
        </w:rPr>
        <w:t xml:space="preserve"> </w:t>
      </w:r>
      <w:r w:rsidR="00A607AD" w:rsidRPr="00C07A01">
        <w:rPr>
          <w:szCs w:val="28"/>
        </w:rPr>
        <w:t>Water, sanitation and hygiene for the prevention of diarrhoea / S. Cairncross et al.  International Journal of Epidemiology. 2010. Vol. 39, Suppl. 1. P. i193–i205.</w:t>
      </w:r>
    </w:p>
    <w:p w:rsidR="00C07A01" w:rsidRDefault="006B3860" w:rsidP="00C07A01">
      <w:pPr>
        <w:ind w:firstLine="709"/>
        <w:rPr>
          <w:szCs w:val="28"/>
          <w:lang w:val="en-US"/>
        </w:rPr>
      </w:pPr>
      <w:r>
        <w:rPr>
          <w:szCs w:val="28"/>
        </w:rPr>
        <w:t>133.</w:t>
      </w:r>
      <w:r>
        <w:rPr>
          <w:szCs w:val="28"/>
          <w:lang w:val="en-US"/>
        </w:rPr>
        <w:t xml:space="preserve"> </w:t>
      </w:r>
      <w:r w:rsidR="00A607AD" w:rsidRPr="00C07A01">
        <w:rPr>
          <w:szCs w:val="28"/>
        </w:rPr>
        <w:t>Victoria C. G. Effect of breastfeeding on infant and child mortality due to infectious diseases in less developed countries: a pooled analysis. Lancet (British edition). 2000. Vol. 355 (9202). P. 451–455.</w:t>
      </w:r>
    </w:p>
    <w:p w:rsidR="00C07A01" w:rsidRDefault="00CB16D7" w:rsidP="00C07A01">
      <w:pPr>
        <w:ind w:firstLine="709"/>
        <w:rPr>
          <w:szCs w:val="28"/>
          <w:lang w:val="en-US"/>
        </w:rPr>
      </w:pPr>
      <w:r>
        <w:rPr>
          <w:szCs w:val="28"/>
        </w:rPr>
        <w:lastRenderedPageBreak/>
        <w:t>134.</w:t>
      </w:r>
      <w:r w:rsidRPr="00DA6779">
        <w:rPr>
          <w:szCs w:val="28"/>
          <w:lang w:val="en-US"/>
        </w:rPr>
        <w:t> </w:t>
      </w:r>
      <w:r w:rsidR="00A607AD" w:rsidRPr="00C07A01">
        <w:rPr>
          <w:szCs w:val="28"/>
        </w:rPr>
        <w:t>Weekly Epidemiological Record. 2017. Vol.</w:t>
      </w:r>
      <w:r w:rsidRPr="00DA6779">
        <w:rPr>
          <w:szCs w:val="28"/>
          <w:lang w:val="en-US"/>
        </w:rPr>
        <w:t> </w:t>
      </w:r>
      <w:r w:rsidR="00A607AD" w:rsidRPr="00C07A01">
        <w:rPr>
          <w:szCs w:val="28"/>
        </w:rPr>
        <w:t>34. 24</w:t>
      </w:r>
      <w:r w:rsidRPr="00CB16D7">
        <w:rPr>
          <w:szCs w:val="28"/>
          <w:lang w:val="en-US"/>
        </w:rPr>
        <w:t> </w:t>
      </w:r>
      <w:r w:rsidR="00A607AD" w:rsidRPr="00C07A01">
        <w:rPr>
          <w:szCs w:val="28"/>
        </w:rPr>
        <w:t>p. URL: https://apps.who.int/iris/bitstream/handle/10665/258763/WER9234.pdf?sequence=1 (Last accessed: 10. 11.2020).</w:t>
      </w:r>
    </w:p>
    <w:p w:rsidR="00C07A01" w:rsidRDefault="00CB16D7" w:rsidP="00C07A01">
      <w:pPr>
        <w:ind w:firstLine="709"/>
        <w:rPr>
          <w:szCs w:val="28"/>
          <w:lang w:val="en-US"/>
        </w:rPr>
      </w:pPr>
      <w:r>
        <w:rPr>
          <w:szCs w:val="28"/>
        </w:rPr>
        <w:t>135.</w:t>
      </w:r>
      <w:r w:rsidRPr="00CB16D7">
        <w:rPr>
          <w:szCs w:val="28"/>
          <w:lang w:val="en-US"/>
        </w:rPr>
        <w:t xml:space="preserve"> </w:t>
      </w:r>
      <w:r w:rsidR="00A607AD" w:rsidRPr="00C07A01">
        <w:rPr>
          <w:szCs w:val="28"/>
        </w:rPr>
        <w:t>Oral vaccines for preventing cholera / D. Sinclair et al. Cochrane Database of Systematic</w:t>
      </w:r>
      <w:r>
        <w:t> </w:t>
      </w:r>
      <w:r w:rsidR="00A607AD" w:rsidRPr="00C07A01">
        <w:rPr>
          <w:szCs w:val="28"/>
        </w:rPr>
        <w:t>Reviews.</w:t>
      </w:r>
      <w:r>
        <w:t> </w:t>
      </w:r>
      <w:r w:rsidR="00A607AD" w:rsidRPr="00C07A01">
        <w:rPr>
          <w:szCs w:val="28"/>
        </w:rPr>
        <w:t>2011.</w:t>
      </w:r>
      <w:r>
        <w:rPr>
          <w:szCs w:val="28"/>
        </w:rPr>
        <w:t> </w:t>
      </w:r>
      <w:r w:rsidR="00A607AD" w:rsidRPr="00C07A01">
        <w:rPr>
          <w:szCs w:val="28"/>
        </w:rPr>
        <w:t>Vol</w:t>
      </w:r>
      <w:r w:rsidRPr="00CB16D7">
        <w:rPr>
          <w:szCs w:val="28"/>
          <w:lang w:val="en-US"/>
        </w:rPr>
        <w:t> </w:t>
      </w:r>
      <w:r w:rsidR="00A607AD" w:rsidRPr="00C07A01">
        <w:rPr>
          <w:szCs w:val="28"/>
        </w:rPr>
        <w:t>3.</w:t>
      </w:r>
      <w:r>
        <w:rPr>
          <w:szCs w:val="28"/>
        </w:rPr>
        <w:t> </w:t>
      </w:r>
      <w:r w:rsidR="00A607AD" w:rsidRPr="00C07A01">
        <w:rPr>
          <w:szCs w:val="28"/>
        </w:rPr>
        <w:t>URL:</w:t>
      </w:r>
      <w:r>
        <w:t> </w:t>
      </w:r>
      <w:r w:rsidR="00A607AD" w:rsidRPr="00C07A01">
        <w:rPr>
          <w:szCs w:val="28"/>
        </w:rPr>
        <w:t>https://www.cochrane.org/CD008603/INFECTN_oral-vaccines-preventing-cholera (Last accessed: 10. 11.2020).</w:t>
      </w:r>
    </w:p>
    <w:p w:rsidR="00C07A01" w:rsidRDefault="00A607AD" w:rsidP="00C07A01">
      <w:pPr>
        <w:ind w:firstLine="709"/>
        <w:rPr>
          <w:szCs w:val="28"/>
          <w:lang w:val="en-US"/>
        </w:rPr>
      </w:pPr>
      <w:r w:rsidRPr="00C07A01">
        <w:rPr>
          <w:szCs w:val="28"/>
        </w:rPr>
        <w:t>136.</w:t>
      </w:r>
      <w:r w:rsidRPr="00C07A01">
        <w:rPr>
          <w:szCs w:val="28"/>
        </w:rPr>
        <w:tab/>
        <w:t>Effectiveness of rotavirus vaccination: a systematic review of the first decade of global postlicensure data, 2006–2016 / C. L. Jonesteller et al. Clinical Infectious Diseases. 2017.</w:t>
      </w:r>
      <w:r w:rsidR="00CB16D7">
        <w:rPr>
          <w:szCs w:val="28"/>
        </w:rPr>
        <w:t xml:space="preserve"> </w:t>
      </w:r>
      <w:r w:rsidRPr="00C07A01">
        <w:rPr>
          <w:szCs w:val="28"/>
        </w:rPr>
        <w:t>Vol.</w:t>
      </w:r>
      <w:r w:rsidR="00CB16D7">
        <w:rPr>
          <w:szCs w:val="28"/>
        </w:rPr>
        <w:t> </w:t>
      </w:r>
      <w:r w:rsidRPr="00C07A01">
        <w:rPr>
          <w:szCs w:val="28"/>
        </w:rPr>
        <w:t>65,</w:t>
      </w:r>
      <w:r w:rsidR="00CB16D7">
        <w:rPr>
          <w:szCs w:val="28"/>
        </w:rPr>
        <w:t xml:space="preserve"> </w:t>
      </w:r>
      <w:r w:rsidRPr="00C07A01">
        <w:rPr>
          <w:szCs w:val="28"/>
        </w:rPr>
        <w:t>Is.</w:t>
      </w:r>
      <w:r w:rsidR="00CB16D7">
        <w:rPr>
          <w:szCs w:val="28"/>
        </w:rPr>
        <w:t> </w:t>
      </w:r>
      <w:r w:rsidRPr="00C07A01">
        <w:rPr>
          <w:szCs w:val="28"/>
        </w:rPr>
        <w:t>1.</w:t>
      </w:r>
      <w:r w:rsidR="00CB16D7">
        <w:rPr>
          <w:szCs w:val="28"/>
        </w:rPr>
        <w:t xml:space="preserve"> </w:t>
      </w:r>
      <w:r w:rsidRPr="00C07A01">
        <w:rPr>
          <w:szCs w:val="28"/>
        </w:rPr>
        <w:t>P.</w:t>
      </w:r>
      <w:r w:rsidR="00CB16D7">
        <w:t> </w:t>
      </w:r>
      <w:r w:rsidRPr="00C07A01">
        <w:rPr>
          <w:szCs w:val="28"/>
        </w:rPr>
        <w:t>840–850.</w:t>
      </w:r>
      <w:r w:rsidR="00CB16D7">
        <w:rPr>
          <w:szCs w:val="28"/>
        </w:rPr>
        <w:t xml:space="preserve"> </w:t>
      </w:r>
      <w:r w:rsidRPr="00C07A01">
        <w:rPr>
          <w:szCs w:val="28"/>
        </w:rPr>
        <w:t>URL:</w:t>
      </w:r>
      <w:r w:rsidR="00CB16D7">
        <w:rPr>
          <w:szCs w:val="28"/>
        </w:rPr>
        <w:t xml:space="preserve"> </w:t>
      </w:r>
      <w:r w:rsidRPr="00C07A01">
        <w:rPr>
          <w:szCs w:val="28"/>
        </w:rPr>
        <w:t>https://academic.oup.com/cid/article/65/5/840/3746914 (Last accessed: 10. 11.2020).</w:t>
      </w:r>
    </w:p>
    <w:p w:rsidR="00C07A01" w:rsidRDefault="00CB16D7" w:rsidP="00C07A01">
      <w:pPr>
        <w:ind w:firstLine="709"/>
        <w:rPr>
          <w:szCs w:val="28"/>
          <w:lang w:val="en-US"/>
        </w:rPr>
      </w:pPr>
      <w:r>
        <w:rPr>
          <w:szCs w:val="28"/>
        </w:rPr>
        <w:t xml:space="preserve">137. </w:t>
      </w:r>
      <w:r w:rsidR="00A607AD" w:rsidRPr="00C07A01">
        <w:rPr>
          <w:szCs w:val="28"/>
        </w:rPr>
        <w:t>Global impact of rotavirus vaccine introduction on rotavirus hospitalisations among children under 5 years of age, 2008–16: findings from the Global Rotavirus Surveillance Network / Aliabadi Negar et al. The Lancet Global Health. 2019. Vol. 7. P.</w:t>
      </w:r>
      <w:r>
        <w:rPr>
          <w:szCs w:val="28"/>
        </w:rPr>
        <w:t> </w:t>
      </w:r>
      <w:r w:rsidR="00A607AD" w:rsidRPr="00C07A01">
        <w:rPr>
          <w:szCs w:val="28"/>
        </w:rPr>
        <w:t>e893–e903. URL: https://www.thelancet.com/journals/langlo/article/PIIS2214-109X(19)30207-4/fulltext (Last accessed: 11.10. 2020).</w:t>
      </w:r>
    </w:p>
    <w:p w:rsidR="00C07A01" w:rsidRDefault="00CB16D7" w:rsidP="00C07A01">
      <w:pPr>
        <w:ind w:firstLine="709"/>
        <w:rPr>
          <w:szCs w:val="28"/>
          <w:lang w:val="en-US"/>
        </w:rPr>
      </w:pPr>
      <w:r>
        <w:rPr>
          <w:szCs w:val="28"/>
        </w:rPr>
        <w:t xml:space="preserve">138. </w:t>
      </w:r>
      <w:r w:rsidR="00A607AD" w:rsidRPr="00C07A01">
        <w:rPr>
          <w:szCs w:val="28"/>
        </w:rPr>
        <w:t>Munos M. K., Walker C. L. F., Black R. E. The effect of oral rehydration solution and recommended home fluids on diarrhoea mortality. International Journal of Epidemiology.</w:t>
      </w:r>
      <w:r>
        <w:rPr>
          <w:szCs w:val="28"/>
        </w:rPr>
        <w:t xml:space="preserve"> </w:t>
      </w:r>
      <w:r w:rsidR="00A607AD" w:rsidRPr="00C07A01">
        <w:rPr>
          <w:szCs w:val="28"/>
        </w:rPr>
        <w:t>2010. Vol.</w:t>
      </w:r>
      <w:r>
        <w:rPr>
          <w:szCs w:val="28"/>
        </w:rPr>
        <w:t> </w:t>
      </w:r>
      <w:r w:rsidR="00A607AD" w:rsidRPr="00C07A01">
        <w:rPr>
          <w:szCs w:val="28"/>
        </w:rPr>
        <w:t>39, Suppl.</w:t>
      </w:r>
      <w:r>
        <w:t> </w:t>
      </w:r>
      <w:r w:rsidR="00A607AD" w:rsidRPr="00C07A01">
        <w:rPr>
          <w:szCs w:val="28"/>
        </w:rPr>
        <w:t>1. P.</w:t>
      </w:r>
      <w:r>
        <w:t> </w:t>
      </w:r>
      <w:r w:rsidR="00A607AD" w:rsidRPr="00C07A01">
        <w:rPr>
          <w:szCs w:val="28"/>
        </w:rPr>
        <w:t>i75-i87. URL: https://academic.oup.com/ije/article/39/suppl_1/i75/700641 (Last accessed: 10. 11.2019).</w:t>
      </w:r>
    </w:p>
    <w:p w:rsidR="000B42F0" w:rsidRPr="000B42F0" w:rsidRDefault="00A607AD" w:rsidP="000B42F0">
      <w:pPr>
        <w:ind w:firstLine="709"/>
        <w:rPr>
          <w:color w:val="FF0000"/>
          <w:szCs w:val="28"/>
        </w:rPr>
      </w:pPr>
      <w:r w:rsidRPr="00C07A01">
        <w:rPr>
          <w:szCs w:val="28"/>
        </w:rPr>
        <w:t>1</w:t>
      </w:r>
      <w:r w:rsidR="00CB16D7">
        <w:rPr>
          <w:szCs w:val="28"/>
        </w:rPr>
        <w:t xml:space="preserve">39. </w:t>
      </w:r>
      <w:r w:rsidR="000B42F0" w:rsidRPr="000B42F0">
        <w:rPr>
          <w:szCs w:val="28"/>
          <w:lang w:val="en-US"/>
        </w:rPr>
        <w:t xml:space="preserve">A comparative risk assessment of burden of disease and injury attributable to 67 risk factors and risk factor clusters in 21 regions, 1990–2010: a systematic analysis for the Global Burden of Disease Study 2010 / S. S. Lim et al. </w:t>
      </w:r>
      <w:r w:rsidR="000B42F0" w:rsidRPr="000B42F0">
        <w:rPr>
          <w:i/>
          <w:szCs w:val="28"/>
          <w:lang w:val="en-US"/>
        </w:rPr>
        <w:t>The Lancet</w:t>
      </w:r>
      <w:r w:rsidR="000B42F0" w:rsidRPr="000B42F0">
        <w:rPr>
          <w:szCs w:val="28"/>
          <w:lang w:val="en-US"/>
        </w:rPr>
        <w:t>. 2012. Vol. 380 (9859). P.</w:t>
      </w:r>
      <w:r w:rsidR="009E6429" w:rsidRPr="00AF53B9">
        <w:rPr>
          <w:lang w:val="en-US"/>
        </w:rPr>
        <w:t> </w:t>
      </w:r>
      <w:r w:rsidR="000B42F0" w:rsidRPr="000B42F0">
        <w:rPr>
          <w:szCs w:val="28"/>
          <w:lang w:val="en-US"/>
        </w:rPr>
        <w:t xml:space="preserve">2224–2260. DOI: </w:t>
      </w:r>
      <w:hyperlink r:id="rId62" w:history="1">
        <w:r w:rsidR="000B42F0" w:rsidRPr="000B42F0">
          <w:rPr>
            <w:rStyle w:val="af7"/>
            <w:color w:val="auto"/>
            <w:szCs w:val="28"/>
            <w:u w:val="none"/>
            <w:lang w:val="en-US"/>
          </w:rPr>
          <w:t>https://www.thelancet.com/journals/lancet/article/PIIS0140-6736(12)61766-8/fulltext</w:t>
        </w:r>
      </w:hyperlink>
      <w:r w:rsidR="000B42F0" w:rsidRPr="000B42F0">
        <w:rPr>
          <w:szCs w:val="28"/>
          <w:lang w:val="en-US"/>
        </w:rPr>
        <w:t xml:space="preserve"> </w:t>
      </w:r>
      <w:r w:rsidR="000B42F0" w:rsidRPr="000B42F0">
        <w:rPr>
          <w:szCs w:val="28"/>
        </w:rPr>
        <w:t>(</w:t>
      </w:r>
      <w:r w:rsidR="000B42F0" w:rsidRPr="000B42F0">
        <w:rPr>
          <w:szCs w:val="28"/>
          <w:lang w:val="en-US"/>
        </w:rPr>
        <w:t>Last accessed</w:t>
      </w:r>
      <w:r w:rsidR="000B42F0" w:rsidRPr="000B42F0">
        <w:rPr>
          <w:szCs w:val="28"/>
        </w:rPr>
        <w:t>: 0</w:t>
      </w:r>
      <w:r w:rsidR="000B42F0" w:rsidRPr="000B42F0">
        <w:rPr>
          <w:szCs w:val="28"/>
          <w:lang w:val="en-US"/>
        </w:rPr>
        <w:t>3</w:t>
      </w:r>
      <w:r w:rsidR="000B42F0" w:rsidRPr="000B42F0">
        <w:rPr>
          <w:szCs w:val="28"/>
        </w:rPr>
        <w:t>.0</w:t>
      </w:r>
      <w:r w:rsidR="000B42F0" w:rsidRPr="000B42F0">
        <w:rPr>
          <w:szCs w:val="28"/>
          <w:lang w:val="en-US"/>
        </w:rPr>
        <w:t>4</w:t>
      </w:r>
      <w:r w:rsidR="000B42F0" w:rsidRPr="000B42F0">
        <w:rPr>
          <w:szCs w:val="28"/>
        </w:rPr>
        <w:t>.202</w:t>
      </w:r>
      <w:r w:rsidR="000B42F0" w:rsidRPr="000B42F0">
        <w:rPr>
          <w:szCs w:val="28"/>
          <w:lang w:val="en-US"/>
        </w:rPr>
        <w:t>0</w:t>
      </w:r>
      <w:r w:rsidR="000B42F0" w:rsidRPr="000B42F0">
        <w:rPr>
          <w:szCs w:val="28"/>
        </w:rPr>
        <w:t>).</w:t>
      </w:r>
    </w:p>
    <w:p w:rsidR="00C07A01" w:rsidRDefault="00CB16D7" w:rsidP="00C07A01">
      <w:pPr>
        <w:ind w:firstLine="709"/>
        <w:rPr>
          <w:szCs w:val="28"/>
          <w:lang w:val="en-US"/>
        </w:rPr>
      </w:pPr>
      <w:r>
        <w:rPr>
          <w:szCs w:val="28"/>
        </w:rPr>
        <w:t xml:space="preserve">140. </w:t>
      </w:r>
      <w:r w:rsidR="00A607AD" w:rsidRPr="00C07A01">
        <w:rPr>
          <w:szCs w:val="28"/>
        </w:rPr>
        <w:t>Malaria. World Health Organization website. News room. 14 Januar. 2020. URL: https://www.who.int/news-room/fact-sheets/detail/malaria (Last accessed: 11.10. 2020).</w:t>
      </w:r>
    </w:p>
    <w:p w:rsidR="00C07A01" w:rsidRDefault="00CB16D7" w:rsidP="00C07A01">
      <w:pPr>
        <w:ind w:firstLine="709"/>
        <w:rPr>
          <w:szCs w:val="28"/>
          <w:lang w:val="en-US"/>
        </w:rPr>
      </w:pPr>
      <w:r>
        <w:rPr>
          <w:szCs w:val="28"/>
        </w:rPr>
        <w:lastRenderedPageBreak/>
        <w:t xml:space="preserve">141. </w:t>
      </w:r>
      <w:r w:rsidR="00A607AD" w:rsidRPr="00C07A01">
        <w:rPr>
          <w:szCs w:val="28"/>
        </w:rPr>
        <w:t>World malaria report 2019/ World Health Organization. Geneva, 2019. 232 p. URL: https://www.who.int/publications/i/item/world-malaria-report-2019 (Last accessed: 11.10.2020).</w:t>
      </w:r>
    </w:p>
    <w:p w:rsidR="00C07A01" w:rsidRDefault="00823519" w:rsidP="00C07A01">
      <w:pPr>
        <w:ind w:firstLine="709"/>
        <w:rPr>
          <w:szCs w:val="28"/>
          <w:lang w:val="en-US"/>
        </w:rPr>
      </w:pPr>
      <w:r>
        <w:rPr>
          <w:szCs w:val="28"/>
        </w:rPr>
        <w:t>142.</w:t>
      </w:r>
      <w:r w:rsidRPr="00823519">
        <w:rPr>
          <w:szCs w:val="28"/>
          <w:lang w:val="en-US"/>
        </w:rPr>
        <w:t xml:space="preserve"> </w:t>
      </w:r>
      <w:r w:rsidR="00A607AD" w:rsidRPr="00C07A01">
        <w:rPr>
          <w:szCs w:val="28"/>
        </w:rPr>
        <w:t>Global Technical Strategy for Malaria 2016–2030 / World Health Organization. Geneva,</w:t>
      </w:r>
      <w:r>
        <w:t> </w:t>
      </w:r>
      <w:r w:rsidR="00A607AD" w:rsidRPr="00C07A01">
        <w:rPr>
          <w:szCs w:val="28"/>
        </w:rPr>
        <w:t>2015.</w:t>
      </w:r>
      <w:r w:rsidRPr="00823519">
        <w:rPr>
          <w:szCs w:val="28"/>
          <w:lang w:val="en-US"/>
        </w:rPr>
        <w:t> </w:t>
      </w:r>
      <w:r w:rsidR="00A607AD" w:rsidRPr="00C07A01">
        <w:rPr>
          <w:szCs w:val="28"/>
        </w:rPr>
        <w:t>35</w:t>
      </w:r>
      <w:r w:rsidRPr="00823519">
        <w:rPr>
          <w:szCs w:val="28"/>
          <w:lang w:val="en-US"/>
        </w:rPr>
        <w:t> </w:t>
      </w:r>
      <w:r w:rsidR="00A607AD" w:rsidRPr="00C07A01">
        <w:rPr>
          <w:szCs w:val="28"/>
        </w:rPr>
        <w:t>p.</w:t>
      </w:r>
      <w:r w:rsidRPr="00823519">
        <w:rPr>
          <w:szCs w:val="28"/>
          <w:lang w:val="en-US"/>
        </w:rPr>
        <w:t> </w:t>
      </w:r>
      <w:r w:rsidR="00A607AD" w:rsidRPr="00C07A01">
        <w:rPr>
          <w:szCs w:val="28"/>
        </w:rPr>
        <w:t>URL:</w:t>
      </w:r>
      <w:r>
        <w:rPr>
          <w:lang w:val="en-US"/>
        </w:rPr>
        <w:t> </w:t>
      </w:r>
      <w:r w:rsidR="00A607AD" w:rsidRPr="00C07A01">
        <w:rPr>
          <w:szCs w:val="28"/>
        </w:rPr>
        <w:t>https://apps.who.int/iris/bitstream/handle/10665/176712/9789241564991_eng.pdf?sequence=1 (Last accessed: 15.10.2019).</w:t>
      </w:r>
    </w:p>
    <w:p w:rsidR="00C07A01" w:rsidRDefault="00791561" w:rsidP="00C07A01">
      <w:pPr>
        <w:ind w:firstLine="709"/>
        <w:rPr>
          <w:szCs w:val="28"/>
          <w:lang w:val="en-US"/>
        </w:rPr>
      </w:pPr>
      <w:r>
        <w:rPr>
          <w:szCs w:val="28"/>
        </w:rPr>
        <w:t>143.</w:t>
      </w:r>
      <w:r>
        <w:rPr>
          <w:szCs w:val="28"/>
          <w:lang w:val="en-US"/>
        </w:rPr>
        <w:t xml:space="preserve"> </w:t>
      </w:r>
      <w:r w:rsidR="00A607AD" w:rsidRPr="00C07A01">
        <w:rPr>
          <w:szCs w:val="28"/>
        </w:rPr>
        <w:t>A framework for malaria elimination / World Health Organization. Geneva, 2017. 100 p.</w:t>
      </w:r>
      <w:r>
        <w:rPr>
          <w:szCs w:val="28"/>
          <w:lang w:val="en-US"/>
        </w:rPr>
        <w:t xml:space="preserve"> </w:t>
      </w:r>
      <w:r w:rsidR="00A607AD" w:rsidRPr="00C07A01">
        <w:rPr>
          <w:szCs w:val="28"/>
        </w:rPr>
        <w:t>URL: https://apps.who.int/iris/bitstream/handle/10665/254761/9789241511988-eng.pdf?sequence=1 (Last accessed: 11.11.2019).</w:t>
      </w:r>
    </w:p>
    <w:p w:rsidR="00C07A01" w:rsidRDefault="00DA6779" w:rsidP="00C07A01">
      <w:pPr>
        <w:ind w:firstLine="709"/>
        <w:rPr>
          <w:szCs w:val="28"/>
          <w:lang w:val="en-US"/>
        </w:rPr>
      </w:pPr>
      <w:r>
        <w:rPr>
          <w:szCs w:val="28"/>
        </w:rPr>
        <w:t>144.</w:t>
      </w:r>
      <w:r>
        <w:rPr>
          <w:szCs w:val="28"/>
          <w:lang w:val="en-US"/>
        </w:rPr>
        <w:t xml:space="preserve"> </w:t>
      </w:r>
      <w:r w:rsidR="00A607AD" w:rsidRPr="00C07A01">
        <w:rPr>
          <w:szCs w:val="28"/>
        </w:rPr>
        <w:t>Guidelines for the treatment of malaria / World Health Organ</w:t>
      </w:r>
      <w:r>
        <w:rPr>
          <w:szCs w:val="28"/>
        </w:rPr>
        <w:t>ization. 3-rd ed. Geneva,</w:t>
      </w:r>
      <w:r w:rsidR="00A401E2" w:rsidRPr="00A401E2">
        <w:rPr>
          <w:szCs w:val="28"/>
          <w:lang w:val="en-US"/>
        </w:rPr>
        <w:t> </w:t>
      </w:r>
      <w:r>
        <w:rPr>
          <w:szCs w:val="28"/>
        </w:rPr>
        <w:t>2015.</w:t>
      </w:r>
      <w:r w:rsidR="00A401E2" w:rsidRPr="00A401E2">
        <w:rPr>
          <w:szCs w:val="28"/>
          <w:lang w:val="en-US"/>
        </w:rPr>
        <w:t> </w:t>
      </w:r>
      <w:r w:rsidR="00A607AD" w:rsidRPr="00C07A01">
        <w:rPr>
          <w:szCs w:val="28"/>
        </w:rPr>
        <w:t>317</w:t>
      </w:r>
      <w:r w:rsidR="00A607AD" w:rsidRPr="000C7DE2">
        <w:t> </w:t>
      </w:r>
      <w:r>
        <w:rPr>
          <w:szCs w:val="28"/>
        </w:rPr>
        <w:t>p.</w:t>
      </w:r>
      <w:r w:rsidR="00A401E2" w:rsidRPr="00A401E2">
        <w:rPr>
          <w:szCs w:val="28"/>
          <w:lang w:val="en-US"/>
        </w:rPr>
        <w:t> </w:t>
      </w:r>
      <w:r w:rsidR="00A401E2">
        <w:rPr>
          <w:szCs w:val="28"/>
        </w:rPr>
        <w:t>URL </w:t>
      </w:r>
      <w:r w:rsidR="00A607AD" w:rsidRPr="00C07A01">
        <w:rPr>
          <w:szCs w:val="28"/>
        </w:rPr>
        <w:t xml:space="preserve"> https://apps.who.int/iris/bitstream/handle/10665/162441/9789241549127_eng.pdf?sequence=1 (Last accessed: 05.10.2020).</w:t>
      </w:r>
    </w:p>
    <w:p w:rsidR="00C07A01" w:rsidRDefault="00DA6779" w:rsidP="00C07A01">
      <w:pPr>
        <w:ind w:firstLine="709"/>
        <w:rPr>
          <w:szCs w:val="28"/>
          <w:lang w:val="en-US"/>
        </w:rPr>
      </w:pPr>
      <w:r>
        <w:rPr>
          <w:szCs w:val="28"/>
        </w:rPr>
        <w:t>145.</w:t>
      </w:r>
      <w:r>
        <w:rPr>
          <w:szCs w:val="28"/>
          <w:lang w:val="en-US"/>
        </w:rPr>
        <w:t xml:space="preserve"> </w:t>
      </w:r>
      <w:r w:rsidR="00A607AD" w:rsidRPr="00C07A01">
        <w:rPr>
          <w:szCs w:val="28"/>
        </w:rPr>
        <w:t>Global Health Observatory (GHO) data. Malaria. The World Health Organization  website. URL: https://www.who.int/gho/malaria/en/ (Last accessed: 11.10. 2020).</w:t>
      </w:r>
    </w:p>
    <w:p w:rsidR="00C07A01" w:rsidRDefault="00DA6779" w:rsidP="00C07A01">
      <w:pPr>
        <w:ind w:firstLine="709"/>
        <w:rPr>
          <w:szCs w:val="28"/>
          <w:lang w:val="en-US"/>
        </w:rPr>
      </w:pPr>
      <w:r>
        <w:rPr>
          <w:szCs w:val="28"/>
        </w:rPr>
        <w:t>146.</w:t>
      </w:r>
      <w:r>
        <w:rPr>
          <w:szCs w:val="28"/>
          <w:lang w:val="en-US"/>
        </w:rPr>
        <w:t xml:space="preserve"> </w:t>
      </w:r>
      <w:r w:rsidR="00A607AD" w:rsidRPr="00C07A01">
        <w:rPr>
          <w:szCs w:val="28"/>
        </w:rPr>
        <w:t>HIV/AIDS. Mother-to-child transmission of HIV. The World Health Organization  website. URL: https://www.who.int/hiv/topics/mtct/about/en/ (Last accessed: 11.10. 2019).</w:t>
      </w:r>
    </w:p>
    <w:p w:rsidR="00C07A01" w:rsidRDefault="00DA6779" w:rsidP="00C07A01">
      <w:pPr>
        <w:ind w:firstLine="709"/>
        <w:rPr>
          <w:szCs w:val="28"/>
          <w:lang w:val="en-US"/>
        </w:rPr>
      </w:pPr>
      <w:r>
        <w:rPr>
          <w:szCs w:val="28"/>
        </w:rPr>
        <w:t>147.</w:t>
      </w:r>
      <w:r>
        <w:rPr>
          <w:szCs w:val="28"/>
          <w:lang w:val="en-US"/>
        </w:rPr>
        <w:t xml:space="preserve"> </w:t>
      </w:r>
      <w:r w:rsidR="00A607AD" w:rsidRPr="00C07A01">
        <w:rPr>
          <w:szCs w:val="28"/>
        </w:rPr>
        <w:t>Global guidance on criteria and processes for validation: Elimination of Mother-to-Child Transmission of HIV and Syphilis. 2nd edition / World Health Organization. Geneva, 2017. 39 p. URL: https://www.who.int/publications/i/item/global-guidance-on-criteria-and-processes-for-validation-elimination-of-mother-to-child-transmission-of-hiv-and-syphilis (Last accessed: 11.10. 2020).</w:t>
      </w:r>
    </w:p>
    <w:p w:rsidR="00C07A01" w:rsidRDefault="00DA6779" w:rsidP="00C07A01">
      <w:pPr>
        <w:ind w:firstLine="709"/>
        <w:rPr>
          <w:szCs w:val="28"/>
          <w:lang w:val="en-US"/>
        </w:rPr>
      </w:pPr>
      <w:r>
        <w:rPr>
          <w:szCs w:val="28"/>
        </w:rPr>
        <w:t>148.</w:t>
      </w:r>
      <w:r w:rsidR="00EB45BD">
        <w:t> </w:t>
      </w:r>
      <w:r w:rsidR="00A607AD" w:rsidRPr="00C07A01">
        <w:rPr>
          <w:szCs w:val="28"/>
        </w:rPr>
        <w:t>Governance guidance for the validation of elimination of mother-to-child transmission of HIV and syphilis: an overview of validation structures and responsibilities at national, regional and global levels / Global HIV, Hepatitis and Sexually Transmitted Infections Programmes, Sexual and Reproductive: Health and Research / World Health Organization.</w:t>
      </w:r>
      <w:r>
        <w:rPr>
          <w:szCs w:val="28"/>
        </w:rPr>
        <w:t> </w:t>
      </w:r>
      <w:r w:rsidR="00A607AD" w:rsidRPr="00C07A01">
        <w:rPr>
          <w:szCs w:val="28"/>
        </w:rPr>
        <w:t>Geneva,</w:t>
      </w:r>
      <w:r>
        <w:rPr>
          <w:szCs w:val="28"/>
          <w:lang w:val="en-US"/>
        </w:rPr>
        <w:t> </w:t>
      </w:r>
      <w:r w:rsidR="00A607AD" w:rsidRPr="00C07A01">
        <w:rPr>
          <w:szCs w:val="28"/>
        </w:rPr>
        <w:t>2020.</w:t>
      </w:r>
      <w:r w:rsidRPr="00DA6779">
        <w:rPr>
          <w:szCs w:val="28"/>
          <w:lang w:val="en-US"/>
        </w:rPr>
        <w:t> </w:t>
      </w:r>
      <w:r w:rsidR="00A607AD" w:rsidRPr="00C07A01">
        <w:rPr>
          <w:szCs w:val="28"/>
        </w:rPr>
        <w:t>37</w:t>
      </w:r>
      <w:r>
        <w:t> </w:t>
      </w:r>
      <w:r w:rsidR="00A607AD" w:rsidRPr="00C07A01">
        <w:rPr>
          <w:szCs w:val="28"/>
        </w:rPr>
        <w:t>p.</w:t>
      </w:r>
      <w:r w:rsidRPr="00DA6779">
        <w:rPr>
          <w:szCs w:val="28"/>
          <w:lang w:val="en-US"/>
        </w:rPr>
        <w:t> </w:t>
      </w:r>
      <w:r w:rsidR="00A607AD" w:rsidRPr="00C07A01">
        <w:rPr>
          <w:szCs w:val="28"/>
        </w:rPr>
        <w:t>URL:</w:t>
      </w:r>
      <w:r w:rsidRPr="00DA6779">
        <w:rPr>
          <w:szCs w:val="28"/>
          <w:lang w:val="en-US"/>
        </w:rPr>
        <w:t> </w:t>
      </w:r>
      <w:r w:rsidR="00A607AD" w:rsidRPr="00C07A01">
        <w:rPr>
          <w:szCs w:val="28"/>
        </w:rPr>
        <w:t>https://www.who.int/publications/i/item/governance-guidance-for-validation-of-emtct-syphilis-hiv (Last accessed: 11.10. 2020).</w:t>
      </w:r>
    </w:p>
    <w:p w:rsidR="00C07A01" w:rsidRDefault="00EB45BD" w:rsidP="00C07A01">
      <w:pPr>
        <w:ind w:firstLine="709"/>
        <w:rPr>
          <w:szCs w:val="28"/>
          <w:lang w:val="en-US"/>
        </w:rPr>
      </w:pPr>
      <w:r>
        <w:rPr>
          <w:szCs w:val="28"/>
        </w:rPr>
        <w:lastRenderedPageBreak/>
        <w:t>149.</w:t>
      </w:r>
      <w:r w:rsidRPr="00EB45BD">
        <w:rPr>
          <w:szCs w:val="28"/>
          <w:lang w:val="en-US"/>
        </w:rPr>
        <w:t xml:space="preserve"> </w:t>
      </w:r>
      <w:r w:rsidR="00A607AD" w:rsidRPr="00C07A01">
        <w:rPr>
          <w:szCs w:val="28"/>
        </w:rPr>
        <w:t>2015 progress report on the global plan towards the elimination of new HIV infections among children and keeping their mothers alive: documents / UNAIDS, World Health</w:t>
      </w:r>
      <w:r>
        <w:rPr>
          <w:lang w:val="en-US"/>
        </w:rPr>
        <w:t> </w:t>
      </w:r>
      <w:r w:rsidR="00A607AD" w:rsidRPr="00C07A01">
        <w:rPr>
          <w:szCs w:val="28"/>
        </w:rPr>
        <w:t>Organization. Geneva,</w:t>
      </w:r>
      <w:r w:rsidR="00A607AD">
        <w:t> </w:t>
      </w:r>
      <w:r w:rsidR="00A607AD" w:rsidRPr="00C07A01">
        <w:rPr>
          <w:szCs w:val="28"/>
        </w:rPr>
        <w:t>2015. 88 p. URL:  https://www.unaids.org/en/resources/documents/2015/JC2774_2015ProgressReport_GlobalPlan (Last accessed: 05.10. 2020).</w:t>
      </w:r>
    </w:p>
    <w:p w:rsidR="00B44FF8" w:rsidRDefault="009F5E2D" w:rsidP="00B44FF8">
      <w:pPr>
        <w:ind w:firstLine="709"/>
        <w:rPr>
          <w:szCs w:val="28"/>
          <w:lang w:val="en-US"/>
        </w:rPr>
      </w:pPr>
      <w:r>
        <w:rPr>
          <w:szCs w:val="28"/>
        </w:rPr>
        <w:t>150.</w:t>
      </w:r>
      <w:r>
        <w:rPr>
          <w:szCs w:val="28"/>
          <w:lang w:val="en-US"/>
        </w:rPr>
        <w:t> </w:t>
      </w:r>
      <w:r w:rsidR="00A607AD" w:rsidRPr="00C07A01">
        <w:rPr>
          <w:szCs w:val="28"/>
        </w:rPr>
        <w:t>Retest and treat: a review of national HIV retesting guidelines to inform elimination of mother‐to‐child HIV transmission (EMTCT) efforts / A. L. Drake et al. Journal of the international AIDS Society. 2019. Vol. 2. P. e25271. Published online Januar. 2019. URL: https://onlinelibrary.wiley.com/doi/epdf/10.1002/jia2.25271 (Last accessed: 11.10. 2020).</w:t>
      </w:r>
    </w:p>
    <w:p w:rsidR="00B44FF8" w:rsidRDefault="00274EB2" w:rsidP="00B44FF8">
      <w:pPr>
        <w:ind w:firstLine="709"/>
        <w:rPr>
          <w:szCs w:val="28"/>
          <w:lang w:val="en-US"/>
        </w:rPr>
      </w:pPr>
      <w:r>
        <w:rPr>
          <w:szCs w:val="28"/>
        </w:rPr>
        <w:t>151.</w:t>
      </w:r>
      <w:r>
        <w:rPr>
          <w:szCs w:val="28"/>
          <w:lang w:val="en-US"/>
        </w:rPr>
        <w:t xml:space="preserve"> </w:t>
      </w:r>
      <w:r w:rsidR="00A607AD" w:rsidRPr="00B44FF8">
        <w:rPr>
          <w:szCs w:val="28"/>
        </w:rPr>
        <w:t>Oza S., Cousens S. N., Lawn J. E. Estimation of daily risk of neonatal death, including the day of birth, in 186 countries in 2013: a vital-registration and modelling-based study.The Lancet Global health.</w:t>
      </w:r>
      <w:r>
        <w:rPr>
          <w:szCs w:val="28"/>
          <w:lang w:val="en-US"/>
        </w:rPr>
        <w:t xml:space="preserve"> </w:t>
      </w:r>
      <w:r w:rsidR="00A607AD" w:rsidRPr="00B44FF8">
        <w:rPr>
          <w:szCs w:val="28"/>
        </w:rPr>
        <w:t>2014. Vol.</w:t>
      </w:r>
      <w:r>
        <w:rPr>
          <w:szCs w:val="28"/>
          <w:lang w:val="en-US"/>
        </w:rPr>
        <w:t> </w:t>
      </w:r>
      <w:r w:rsidR="00A607AD" w:rsidRPr="00B44FF8">
        <w:rPr>
          <w:szCs w:val="28"/>
        </w:rPr>
        <w:t>2</w:t>
      </w:r>
      <w:r>
        <w:rPr>
          <w:szCs w:val="28"/>
          <w:lang w:val="en-US"/>
        </w:rPr>
        <w:t> </w:t>
      </w:r>
      <w:r w:rsidR="00A607AD" w:rsidRPr="00B44FF8">
        <w:rPr>
          <w:szCs w:val="28"/>
        </w:rPr>
        <w:t>(11). P.</w:t>
      </w:r>
      <w:r>
        <w:rPr>
          <w:lang w:val="en-US"/>
        </w:rPr>
        <w:t> </w:t>
      </w:r>
      <w:r w:rsidR="00A607AD" w:rsidRPr="00B44FF8">
        <w:rPr>
          <w:szCs w:val="28"/>
        </w:rPr>
        <w:t>e635–e644. URL: https://www.thelancet.com/journals/langlo/article/PIIS2214-109X(14)70309-2/fulltext#seccestitle140 (Last accessed: 11.10. 2020).</w:t>
      </w:r>
    </w:p>
    <w:p w:rsidR="00B44FF8" w:rsidRDefault="00C879CC" w:rsidP="00B44FF8">
      <w:pPr>
        <w:ind w:firstLine="709"/>
        <w:rPr>
          <w:szCs w:val="28"/>
          <w:lang w:val="en-US"/>
        </w:rPr>
      </w:pPr>
      <w:r>
        <w:rPr>
          <w:szCs w:val="28"/>
        </w:rPr>
        <w:t>152.</w:t>
      </w:r>
      <w:r>
        <w:rPr>
          <w:szCs w:val="28"/>
          <w:lang w:val="en-US"/>
        </w:rPr>
        <w:t xml:space="preserve"> </w:t>
      </w:r>
      <w:r w:rsidR="008B041B" w:rsidRPr="008B041B">
        <w:rPr>
          <w:szCs w:val="28"/>
        </w:rPr>
        <w:t>Reproductive, maternal, newborn and child health: key messages from Disease Control Priorities 3-rd Edition / R. E. Black et al. Lancet. 2016. Vol. 388. P. 2811–2824. URL: https://www.thelancet.com/journals/lancet/article/PIIS0140-6736(16)00738-8/ful</w:t>
      </w:r>
      <w:r w:rsidR="008B041B">
        <w:rPr>
          <w:szCs w:val="28"/>
        </w:rPr>
        <w:t>ltext (Last accessed: 28.04.202</w:t>
      </w:r>
      <w:r w:rsidR="008B041B" w:rsidRPr="008B041B">
        <w:rPr>
          <w:szCs w:val="28"/>
          <w:lang w:val="en-US"/>
        </w:rPr>
        <w:t>0</w:t>
      </w:r>
      <w:r w:rsidR="008B041B" w:rsidRPr="008B041B">
        <w:rPr>
          <w:szCs w:val="28"/>
        </w:rPr>
        <w:t>).</w:t>
      </w:r>
    </w:p>
    <w:p w:rsidR="00B44FF8" w:rsidRDefault="00C879CC" w:rsidP="00B44FF8">
      <w:pPr>
        <w:ind w:firstLine="709"/>
        <w:rPr>
          <w:szCs w:val="28"/>
          <w:lang w:val="en-US"/>
        </w:rPr>
      </w:pPr>
      <w:r>
        <w:rPr>
          <w:szCs w:val="28"/>
        </w:rPr>
        <w:t>153.</w:t>
      </w:r>
      <w:r>
        <w:rPr>
          <w:szCs w:val="28"/>
          <w:lang w:val="en-US"/>
        </w:rPr>
        <w:t xml:space="preserve"> </w:t>
      </w:r>
      <w:r w:rsidR="00A607AD" w:rsidRPr="00B44FF8">
        <w:rPr>
          <w:szCs w:val="28"/>
        </w:rPr>
        <w:t>Collins K. A., Popek E. Birth Injury: Birth Asphyxia and Birth Trauma Academic Forensic Pathology. 2018. Vol. 8 (4). P. 788–864. DOI: 10.1177/192</w:t>
      </w:r>
      <w:r>
        <w:rPr>
          <w:szCs w:val="28"/>
        </w:rPr>
        <w:t xml:space="preserve">5362118821468 (Last accessed: </w:t>
      </w:r>
      <w:r>
        <w:rPr>
          <w:szCs w:val="28"/>
          <w:lang w:val="en-US"/>
        </w:rPr>
        <w:t>07</w:t>
      </w:r>
      <w:r>
        <w:rPr>
          <w:szCs w:val="28"/>
        </w:rPr>
        <w:t>.02.202</w:t>
      </w:r>
      <w:r>
        <w:rPr>
          <w:szCs w:val="28"/>
          <w:lang w:val="en-US"/>
        </w:rPr>
        <w:t>0</w:t>
      </w:r>
      <w:r w:rsidR="00A607AD" w:rsidRPr="00B44FF8">
        <w:rPr>
          <w:szCs w:val="28"/>
        </w:rPr>
        <w:t>).</w:t>
      </w:r>
    </w:p>
    <w:p w:rsidR="00B44FF8" w:rsidRDefault="00B42E06" w:rsidP="00B44FF8">
      <w:pPr>
        <w:ind w:firstLine="709"/>
        <w:rPr>
          <w:szCs w:val="28"/>
          <w:lang w:val="en-US"/>
        </w:rPr>
      </w:pPr>
      <w:r>
        <w:rPr>
          <w:szCs w:val="28"/>
        </w:rPr>
        <w:t>154.</w:t>
      </w:r>
      <w:r>
        <w:rPr>
          <w:szCs w:val="28"/>
          <w:lang w:val="en-US"/>
        </w:rPr>
        <w:t xml:space="preserve"> </w:t>
      </w:r>
      <w:r w:rsidR="00A607AD" w:rsidRPr="00B44FF8">
        <w:rPr>
          <w:szCs w:val="28"/>
        </w:rPr>
        <w:t>Management and investigation of neonatal encephalopathy: 2017 update / K. Martinello et al. Archives of Disease in Childhood. Fetal and Neonatal Edition. 2017 Vol. 102 (4). P. F346–F358. DOI: 10.1136/archdischild-2015-309639 (Last accessed: 28.02.20</w:t>
      </w:r>
      <w:r w:rsidR="00E92598">
        <w:rPr>
          <w:szCs w:val="28"/>
        </w:rPr>
        <w:t>2</w:t>
      </w:r>
      <w:r w:rsidR="00E92598">
        <w:rPr>
          <w:szCs w:val="28"/>
          <w:lang w:val="en-US"/>
        </w:rPr>
        <w:t>0</w:t>
      </w:r>
      <w:r w:rsidR="00B44FF8">
        <w:rPr>
          <w:szCs w:val="28"/>
        </w:rPr>
        <w:t>).</w:t>
      </w:r>
    </w:p>
    <w:p w:rsidR="00B44FF8" w:rsidRDefault="00B42E06" w:rsidP="00B44FF8">
      <w:pPr>
        <w:ind w:firstLine="709"/>
        <w:rPr>
          <w:szCs w:val="28"/>
          <w:lang w:val="en-US"/>
        </w:rPr>
      </w:pPr>
      <w:r>
        <w:rPr>
          <w:szCs w:val="28"/>
        </w:rPr>
        <w:t>155.</w:t>
      </w:r>
      <w:r>
        <w:rPr>
          <w:szCs w:val="28"/>
          <w:lang w:val="en-US"/>
        </w:rPr>
        <w:t> </w:t>
      </w:r>
      <w:r w:rsidR="00A607AD" w:rsidRPr="00B44FF8">
        <w:rPr>
          <w:szCs w:val="28"/>
        </w:rPr>
        <w:t>Yvonne Wu Clinical features, diagnosis, and treatment of neonatal encephalopathy / ed.</w:t>
      </w:r>
      <w:r w:rsidR="002D219E">
        <w:rPr>
          <w:szCs w:val="28"/>
        </w:rPr>
        <w:t> </w:t>
      </w:r>
      <w:r w:rsidR="00A607AD" w:rsidRPr="00B44FF8">
        <w:rPr>
          <w:szCs w:val="28"/>
        </w:rPr>
        <w:t>D.</w:t>
      </w:r>
      <w:r w:rsidR="002D219E">
        <w:rPr>
          <w:szCs w:val="28"/>
        </w:rPr>
        <w:t> </w:t>
      </w:r>
      <w:r w:rsidR="00A607AD" w:rsidRPr="00B44FF8">
        <w:rPr>
          <w:szCs w:val="28"/>
        </w:rPr>
        <w:t>R.</w:t>
      </w:r>
      <w:r w:rsidR="002D219E">
        <w:rPr>
          <w:szCs w:val="28"/>
        </w:rPr>
        <w:t> </w:t>
      </w:r>
      <w:r w:rsidR="00A607AD" w:rsidRPr="00B44FF8">
        <w:rPr>
          <w:szCs w:val="28"/>
        </w:rPr>
        <w:t>Nordli</w:t>
      </w:r>
      <w:r w:rsidR="002D219E">
        <w:rPr>
          <w:szCs w:val="28"/>
        </w:rPr>
        <w:t> </w:t>
      </w:r>
      <w:r w:rsidR="00A607AD" w:rsidRPr="00B44FF8">
        <w:rPr>
          <w:szCs w:val="28"/>
        </w:rPr>
        <w:t>et</w:t>
      </w:r>
      <w:r w:rsidR="002D219E">
        <w:rPr>
          <w:szCs w:val="28"/>
        </w:rPr>
        <w:t> </w:t>
      </w:r>
      <w:r w:rsidR="00A607AD" w:rsidRPr="00B44FF8">
        <w:rPr>
          <w:szCs w:val="28"/>
        </w:rPr>
        <w:t>al. UpToDate: website. URL: https://www.uptodate.com/contents/clinical-features-diagnosis-and-treatment-of-neonatal-encephalopathy (Last accessed: 11.10. 2020).</w:t>
      </w:r>
    </w:p>
    <w:p w:rsidR="00B44FF8" w:rsidRPr="00E41BC5" w:rsidRDefault="00B42E06" w:rsidP="00B44FF8">
      <w:pPr>
        <w:ind w:firstLine="709"/>
        <w:rPr>
          <w:szCs w:val="28"/>
          <w:lang w:val="en-US"/>
        </w:rPr>
      </w:pPr>
      <w:r>
        <w:rPr>
          <w:szCs w:val="28"/>
        </w:rPr>
        <w:lastRenderedPageBreak/>
        <w:t>156.</w:t>
      </w:r>
      <w:r>
        <w:rPr>
          <w:szCs w:val="28"/>
          <w:lang w:val="en-US"/>
        </w:rPr>
        <w:t xml:space="preserve"> </w:t>
      </w:r>
      <w:r w:rsidR="00D838F0" w:rsidRPr="00D838F0">
        <w:rPr>
          <w:szCs w:val="28"/>
        </w:rPr>
        <w:t>Born Too Soon: The global epidemiology of 15 million preterm births / H. Blencowe et al. Reproductive Health. 2013. Vol. 10, Suppl. 1. P. S2. URL: https://reproductive-health-journal.biomedcentral.com/articles/10.1186/1742-4755-10-</w:t>
      </w:r>
      <w:r w:rsidR="00D838F0">
        <w:rPr>
          <w:szCs w:val="28"/>
        </w:rPr>
        <w:t xml:space="preserve">S1-S2 </w:t>
      </w:r>
      <w:r w:rsidR="00A607AD" w:rsidRPr="00D838F0">
        <w:rPr>
          <w:szCs w:val="28"/>
        </w:rPr>
        <w:t>(Last accessed: 11.10. 2019).</w:t>
      </w:r>
    </w:p>
    <w:p w:rsidR="00B44FF8" w:rsidRDefault="00B42E06" w:rsidP="003B22B2">
      <w:pPr>
        <w:ind w:firstLine="709"/>
        <w:rPr>
          <w:szCs w:val="28"/>
          <w:lang w:val="en-US"/>
        </w:rPr>
      </w:pPr>
      <w:r>
        <w:rPr>
          <w:szCs w:val="28"/>
        </w:rPr>
        <w:t>157.</w:t>
      </w:r>
      <w:r>
        <w:rPr>
          <w:szCs w:val="28"/>
          <w:lang w:val="en-US"/>
        </w:rPr>
        <w:t xml:space="preserve"> </w:t>
      </w:r>
      <w:r w:rsidR="00A607AD" w:rsidRPr="00B44FF8">
        <w:rPr>
          <w:szCs w:val="28"/>
        </w:rPr>
        <w:t>Epidemiology and causes of preterm birth / R. L. Goldenberg et al. The</w:t>
      </w:r>
      <w:r w:rsidR="005E6BC5">
        <w:rPr>
          <w:lang w:val="en-US"/>
        </w:rPr>
        <w:t> </w:t>
      </w:r>
      <w:r w:rsidR="00A607AD" w:rsidRPr="00B44FF8">
        <w:rPr>
          <w:szCs w:val="28"/>
        </w:rPr>
        <w:t>Lancet.</w:t>
      </w:r>
      <w:r w:rsidR="005E6BC5">
        <w:t> </w:t>
      </w:r>
      <w:r w:rsidR="00A607AD" w:rsidRPr="00B44FF8">
        <w:rPr>
          <w:szCs w:val="28"/>
        </w:rPr>
        <w:t>2008.</w:t>
      </w:r>
      <w:r>
        <w:rPr>
          <w:szCs w:val="28"/>
          <w:lang w:val="en-US"/>
        </w:rPr>
        <w:t xml:space="preserve"> </w:t>
      </w:r>
      <w:r w:rsidR="00A607AD" w:rsidRPr="00B44FF8">
        <w:rPr>
          <w:szCs w:val="28"/>
        </w:rPr>
        <w:t>Vol.</w:t>
      </w:r>
      <w:r>
        <w:rPr>
          <w:szCs w:val="28"/>
          <w:lang w:val="en-US"/>
        </w:rPr>
        <w:t> </w:t>
      </w:r>
      <w:r w:rsidR="00A607AD" w:rsidRPr="00B44FF8">
        <w:rPr>
          <w:szCs w:val="28"/>
        </w:rPr>
        <w:t>371</w:t>
      </w:r>
      <w:r>
        <w:rPr>
          <w:szCs w:val="28"/>
          <w:lang w:val="en-US"/>
        </w:rPr>
        <w:t> </w:t>
      </w:r>
      <w:r w:rsidR="00A607AD" w:rsidRPr="00B44FF8">
        <w:rPr>
          <w:szCs w:val="28"/>
        </w:rPr>
        <w:t>(9606).</w:t>
      </w:r>
      <w:r>
        <w:rPr>
          <w:szCs w:val="28"/>
          <w:lang w:val="en-US"/>
        </w:rPr>
        <w:t xml:space="preserve"> </w:t>
      </w:r>
      <w:r w:rsidR="00A607AD" w:rsidRPr="00B44FF8">
        <w:rPr>
          <w:szCs w:val="28"/>
        </w:rPr>
        <w:t>P. 75–84.</w:t>
      </w:r>
      <w:r w:rsidR="005E6BC5" w:rsidRPr="005E6BC5">
        <w:rPr>
          <w:szCs w:val="28"/>
          <w:lang w:val="en-US"/>
        </w:rPr>
        <w:t xml:space="preserve"> </w:t>
      </w:r>
      <w:r w:rsidR="00A607AD" w:rsidRPr="00B44FF8">
        <w:rPr>
          <w:szCs w:val="28"/>
        </w:rPr>
        <w:t>URL:</w:t>
      </w:r>
      <w:r>
        <w:rPr>
          <w:szCs w:val="28"/>
          <w:lang w:val="en-US"/>
        </w:rPr>
        <w:t xml:space="preserve"> </w:t>
      </w:r>
      <w:r w:rsidR="00A607AD" w:rsidRPr="00B44FF8">
        <w:rPr>
          <w:szCs w:val="28"/>
        </w:rPr>
        <w:t>https://www.sciencedirect.com/science/article/abs/pii/S0140673608600744 (Last accessed: 11.08. 2019).</w:t>
      </w:r>
    </w:p>
    <w:p w:rsidR="00B44FF8" w:rsidRDefault="00386B59" w:rsidP="00B44FF8">
      <w:pPr>
        <w:ind w:firstLine="709"/>
        <w:rPr>
          <w:szCs w:val="28"/>
          <w:lang w:val="en-US"/>
        </w:rPr>
      </w:pPr>
      <w:r>
        <w:rPr>
          <w:szCs w:val="28"/>
        </w:rPr>
        <w:t>158.</w:t>
      </w:r>
      <w:r>
        <w:rPr>
          <w:szCs w:val="28"/>
          <w:lang w:val="en-US"/>
        </w:rPr>
        <w:t xml:space="preserve"> </w:t>
      </w:r>
      <w:r w:rsidR="00A607AD" w:rsidRPr="00B44FF8">
        <w:rPr>
          <w:szCs w:val="28"/>
        </w:rPr>
        <w:t>Interventions during pregnancy to prevent preterm birth: an overview of Cochrane systematic reviews / N. Medley et al. Cochrane Database of Systematic Reviews. 2018.</w:t>
      </w:r>
      <w:r>
        <w:rPr>
          <w:szCs w:val="28"/>
        </w:rPr>
        <w:t xml:space="preserve"> Is. 11. Art. No CD012505. DOI:</w:t>
      </w:r>
      <w:r w:rsidRPr="002D2C06">
        <w:rPr>
          <w:lang w:val="en-US"/>
        </w:rPr>
        <w:t> </w:t>
      </w:r>
      <w:r w:rsidR="00A607AD" w:rsidRPr="00B44FF8">
        <w:rPr>
          <w:szCs w:val="28"/>
        </w:rPr>
        <w:t>10.1002/14651858.CD012505.pub2 (Last accessed: 28.02.2020).</w:t>
      </w:r>
    </w:p>
    <w:p w:rsidR="00B44FF8" w:rsidRDefault="002D2C06" w:rsidP="00B44FF8">
      <w:pPr>
        <w:ind w:firstLine="709"/>
        <w:rPr>
          <w:szCs w:val="28"/>
          <w:lang w:val="en-US"/>
        </w:rPr>
      </w:pPr>
      <w:r>
        <w:rPr>
          <w:szCs w:val="28"/>
        </w:rPr>
        <w:t>159.</w:t>
      </w:r>
      <w:r w:rsidRPr="002D2C06">
        <w:rPr>
          <w:szCs w:val="28"/>
          <w:lang w:val="en-US"/>
        </w:rPr>
        <w:t xml:space="preserve"> </w:t>
      </w:r>
      <w:r w:rsidR="00A607AD" w:rsidRPr="00B44FF8">
        <w:rPr>
          <w:szCs w:val="28"/>
        </w:rPr>
        <w:t>Delnord M., Zeitlin J. Epidemiology of late preterm and early term births–An international perspective. Seminars in Fetal and Neonatal Medicine. 2019. Vol. 24, Is. 1. P.</w:t>
      </w:r>
      <w:r w:rsidRPr="00F71E89">
        <w:rPr>
          <w:szCs w:val="28"/>
          <w:lang w:val="en-US"/>
        </w:rPr>
        <w:t> </w:t>
      </w:r>
      <w:r w:rsidR="00A607AD" w:rsidRPr="00B44FF8">
        <w:rPr>
          <w:szCs w:val="28"/>
        </w:rPr>
        <w:t>3–10. URL: https://www.sciencedirect.com/science/article/pii/S1744165X18301069#sec4 (Last accessed: 11.10. 2020).</w:t>
      </w:r>
    </w:p>
    <w:p w:rsidR="00B44FF8" w:rsidRDefault="002D2C06" w:rsidP="00B44FF8">
      <w:pPr>
        <w:ind w:firstLine="709"/>
        <w:rPr>
          <w:szCs w:val="28"/>
          <w:lang w:val="en-US"/>
        </w:rPr>
      </w:pPr>
      <w:r>
        <w:rPr>
          <w:szCs w:val="28"/>
        </w:rPr>
        <w:t>160.</w:t>
      </w:r>
      <w:r w:rsidRPr="002D2C06">
        <w:rPr>
          <w:szCs w:val="28"/>
          <w:lang w:val="en-US"/>
        </w:rPr>
        <w:t xml:space="preserve"> </w:t>
      </w:r>
      <w:r w:rsidR="00A607AD" w:rsidRPr="00B44FF8">
        <w:rPr>
          <w:szCs w:val="28"/>
        </w:rPr>
        <w:t>Rates of and factors associated with recurrence of preterm delivery / M. M Adams et al. Journal of the American Medical Association. 2000. Vol. 283 (12). P. 1591–1596. URL: https://jamanetwork.com/journals/jama/fullarticle/192523 (Last accessed: 11.10. 2020).</w:t>
      </w:r>
    </w:p>
    <w:p w:rsidR="00B44FF8" w:rsidRDefault="002D2C06" w:rsidP="00B44FF8">
      <w:pPr>
        <w:ind w:firstLine="709"/>
        <w:rPr>
          <w:szCs w:val="28"/>
          <w:lang w:val="en-US"/>
        </w:rPr>
      </w:pPr>
      <w:r>
        <w:rPr>
          <w:szCs w:val="28"/>
        </w:rPr>
        <w:t>161.</w:t>
      </w:r>
      <w:r w:rsidRPr="002D2C06">
        <w:rPr>
          <w:szCs w:val="28"/>
          <w:lang w:val="en-US"/>
        </w:rPr>
        <w:t xml:space="preserve"> </w:t>
      </w:r>
      <w:r w:rsidR="00A607AD" w:rsidRPr="00B44FF8">
        <w:rPr>
          <w:szCs w:val="28"/>
        </w:rPr>
        <w:t>Midwife‐led continuity models versus other models of care for childbearing women / J. Sandall et al. Cochrane Database of Systematic Reviews. 2016, Is. 4. Art. No: CD004667. DOI: 10.1002/146518</w:t>
      </w:r>
      <w:r>
        <w:rPr>
          <w:szCs w:val="28"/>
        </w:rPr>
        <w:t>58.CD004667(Last accessed: 28.0</w:t>
      </w:r>
      <w:r w:rsidRPr="00A464BB">
        <w:rPr>
          <w:szCs w:val="28"/>
          <w:lang w:val="en-US"/>
        </w:rPr>
        <w:t>4</w:t>
      </w:r>
      <w:r>
        <w:rPr>
          <w:szCs w:val="28"/>
        </w:rPr>
        <w:t>.202</w:t>
      </w:r>
      <w:r w:rsidRPr="00A464BB">
        <w:rPr>
          <w:szCs w:val="28"/>
          <w:lang w:val="en-US"/>
        </w:rPr>
        <w:t>0</w:t>
      </w:r>
      <w:r w:rsidR="00A607AD" w:rsidRPr="00B44FF8">
        <w:rPr>
          <w:szCs w:val="28"/>
        </w:rPr>
        <w:t>).</w:t>
      </w:r>
    </w:p>
    <w:p w:rsidR="00CF7751" w:rsidRDefault="00A464BB" w:rsidP="00CF7751">
      <w:pPr>
        <w:ind w:firstLine="709"/>
        <w:rPr>
          <w:szCs w:val="28"/>
          <w:lang w:val="en-US"/>
        </w:rPr>
      </w:pPr>
      <w:r>
        <w:rPr>
          <w:szCs w:val="28"/>
        </w:rPr>
        <w:t>162.</w:t>
      </w:r>
      <w:r w:rsidRPr="00A464BB">
        <w:rPr>
          <w:szCs w:val="28"/>
          <w:lang w:val="en-US"/>
        </w:rPr>
        <w:t xml:space="preserve"> </w:t>
      </w:r>
      <w:r w:rsidR="00A607AD" w:rsidRPr="00B44FF8">
        <w:rPr>
          <w:szCs w:val="28"/>
        </w:rPr>
        <w:t>Antenatal lower genital tract infection screening and treatment programs for preventing preterm delivery / U. S. Sangkomkamhang et al. Cochrane Database of Systematic Reviews. 2015. Is. 2. Art. No. CD006178. DOI: 10.1002/14651858.CD0</w:t>
      </w:r>
      <w:r>
        <w:rPr>
          <w:szCs w:val="28"/>
        </w:rPr>
        <w:t>06178 (Last accessed: 28.02.202</w:t>
      </w:r>
      <w:r w:rsidRPr="00917260">
        <w:rPr>
          <w:szCs w:val="28"/>
          <w:lang w:val="en-US"/>
        </w:rPr>
        <w:t>0</w:t>
      </w:r>
      <w:r w:rsidR="00A607AD" w:rsidRPr="00B44FF8">
        <w:rPr>
          <w:szCs w:val="28"/>
        </w:rPr>
        <w:t>).</w:t>
      </w:r>
    </w:p>
    <w:p w:rsidR="00CF7751" w:rsidRDefault="00917260" w:rsidP="00CF7751">
      <w:pPr>
        <w:ind w:firstLine="709"/>
        <w:rPr>
          <w:szCs w:val="28"/>
          <w:lang w:val="en-US"/>
        </w:rPr>
      </w:pPr>
      <w:r>
        <w:rPr>
          <w:szCs w:val="28"/>
        </w:rPr>
        <w:lastRenderedPageBreak/>
        <w:t>163.</w:t>
      </w:r>
      <w:r w:rsidRPr="00917260">
        <w:rPr>
          <w:szCs w:val="28"/>
          <w:lang w:val="en-US"/>
        </w:rPr>
        <w:t xml:space="preserve"> </w:t>
      </w:r>
      <w:r w:rsidR="00A607AD" w:rsidRPr="00CF7751">
        <w:rPr>
          <w:szCs w:val="28"/>
        </w:rPr>
        <w:t>Zinc supplementation for improving pregnancy and infant outcome / E. Ota et al. Cochrane Database of Systematic Reviews. 2015. Is. 2. Art. No CD000230. DOI: 10.1002/14651858.CD0</w:t>
      </w:r>
      <w:r>
        <w:rPr>
          <w:szCs w:val="28"/>
        </w:rPr>
        <w:t>00230 (Last accessed: 28.02.202</w:t>
      </w:r>
      <w:r w:rsidRPr="00F71E89">
        <w:rPr>
          <w:szCs w:val="28"/>
          <w:lang w:val="en-US"/>
        </w:rPr>
        <w:t>0</w:t>
      </w:r>
      <w:r w:rsidR="00A607AD" w:rsidRPr="00CF7751">
        <w:rPr>
          <w:szCs w:val="28"/>
        </w:rPr>
        <w:t>).</w:t>
      </w:r>
    </w:p>
    <w:p w:rsidR="00CF7751" w:rsidRDefault="00917260" w:rsidP="00CF7751">
      <w:pPr>
        <w:ind w:firstLine="709"/>
        <w:rPr>
          <w:szCs w:val="28"/>
          <w:lang w:val="en-US"/>
        </w:rPr>
      </w:pPr>
      <w:r>
        <w:rPr>
          <w:szCs w:val="28"/>
        </w:rPr>
        <w:t>164.</w:t>
      </w:r>
      <w:r w:rsidRPr="00917260">
        <w:rPr>
          <w:szCs w:val="28"/>
          <w:lang w:val="en-US"/>
        </w:rPr>
        <w:t xml:space="preserve"> </w:t>
      </w:r>
      <w:r w:rsidR="00A607AD" w:rsidRPr="00CF7751">
        <w:rPr>
          <w:szCs w:val="28"/>
        </w:rPr>
        <w:t>Alfirevic Z., Stampalija T., Medley N. Cervical stitch (cerclage) for preventing preterm birth in singleton pregnancy. Cochrane Database of Systematic Reviews. 2017. Is. 6. Art. No CD008991. DOI: 10.1002/14651858.CD008991 (Last accessed: 25.09.2020).</w:t>
      </w:r>
    </w:p>
    <w:p w:rsidR="00CF7751" w:rsidRDefault="00D1477A" w:rsidP="00CF7751">
      <w:pPr>
        <w:ind w:firstLine="709"/>
        <w:rPr>
          <w:szCs w:val="28"/>
          <w:lang w:val="en-US"/>
        </w:rPr>
      </w:pPr>
      <w:r>
        <w:rPr>
          <w:szCs w:val="28"/>
        </w:rPr>
        <w:t>165.</w:t>
      </w:r>
      <w:r w:rsidRPr="00D1477A">
        <w:rPr>
          <w:szCs w:val="28"/>
          <w:lang w:val="en-US"/>
        </w:rPr>
        <w:t xml:space="preserve"> </w:t>
      </w:r>
      <w:r w:rsidR="00A607AD" w:rsidRPr="00CF7751">
        <w:rPr>
          <w:szCs w:val="28"/>
        </w:rPr>
        <w:t>Bloomfield F. H. How is maternal nutrition related to preterm birth? Annual review of nutrition. 2011. Vol. 31. P. 235–261.</w:t>
      </w:r>
    </w:p>
    <w:p w:rsidR="00CF7751" w:rsidRDefault="00D1477A" w:rsidP="00CF7751">
      <w:pPr>
        <w:ind w:firstLine="709"/>
        <w:rPr>
          <w:szCs w:val="28"/>
          <w:lang w:val="en-US"/>
        </w:rPr>
      </w:pPr>
      <w:r>
        <w:rPr>
          <w:szCs w:val="28"/>
        </w:rPr>
        <w:t>166.</w:t>
      </w:r>
      <w:r w:rsidRPr="00D1477A">
        <w:rPr>
          <w:szCs w:val="28"/>
          <w:lang w:val="en-US"/>
        </w:rPr>
        <w:t xml:space="preserve"> </w:t>
      </w:r>
      <w:r w:rsidR="00A607AD" w:rsidRPr="00CF7751">
        <w:rPr>
          <w:szCs w:val="28"/>
        </w:rPr>
        <w:t>Conde‐Agudelo A., Díaz‐Rossello J. L. Kangaroo mother care to reduce morbidity and mortality in low birthweight infants. Cochrane Database of Systematic Reviews. 2016. Is. 8. Art. No CD002771. DOI: 10.1002/14651858.CD002771 (Last accessed: 28.02.2021).</w:t>
      </w:r>
    </w:p>
    <w:p w:rsidR="00CF7751" w:rsidRDefault="00D1477A" w:rsidP="00CF7751">
      <w:pPr>
        <w:ind w:firstLine="709"/>
        <w:rPr>
          <w:szCs w:val="28"/>
          <w:lang w:val="en-US"/>
        </w:rPr>
      </w:pPr>
      <w:r>
        <w:rPr>
          <w:szCs w:val="28"/>
        </w:rPr>
        <w:t>167.</w:t>
      </w:r>
      <w:r w:rsidRPr="00D1477A">
        <w:rPr>
          <w:szCs w:val="28"/>
          <w:lang w:val="en-US"/>
        </w:rPr>
        <w:t xml:space="preserve"> </w:t>
      </w:r>
      <w:r w:rsidR="00A607AD" w:rsidRPr="00CF7751">
        <w:rPr>
          <w:szCs w:val="28"/>
        </w:rPr>
        <w:t>‘Kangaroo mother care’ to prevent neonatal deaths due to preterm birth complications / J. E. Lawn et al. International Journal of Epidemiology. 2010. Vol. 39, Suppl.</w:t>
      </w:r>
      <w:r w:rsidRPr="00D1477A">
        <w:rPr>
          <w:szCs w:val="28"/>
          <w:lang w:val="en-US"/>
        </w:rPr>
        <w:t> </w:t>
      </w:r>
      <w:r w:rsidR="00A607AD" w:rsidRPr="00CF7751">
        <w:rPr>
          <w:szCs w:val="28"/>
        </w:rPr>
        <w:t>1. P. i144–i154.</w:t>
      </w:r>
    </w:p>
    <w:p w:rsidR="00CF7751" w:rsidRDefault="00D1477A" w:rsidP="00CF7751">
      <w:pPr>
        <w:ind w:firstLine="709"/>
        <w:rPr>
          <w:szCs w:val="28"/>
          <w:lang w:val="en-US"/>
        </w:rPr>
      </w:pPr>
      <w:r>
        <w:rPr>
          <w:szCs w:val="28"/>
        </w:rPr>
        <w:t>168.</w:t>
      </w:r>
      <w:r w:rsidRPr="00D1477A">
        <w:rPr>
          <w:szCs w:val="28"/>
          <w:lang w:val="en-US"/>
        </w:rPr>
        <w:t xml:space="preserve"> </w:t>
      </w:r>
      <w:r w:rsidR="00A607AD" w:rsidRPr="00CF7751">
        <w:rPr>
          <w:szCs w:val="28"/>
        </w:rPr>
        <w:t>Sawyer C. C. Child mortality estimation: estimating sex differences in childhood mortality since the 1970s. PLoS Medicine. 2012. Vol. 9 (8). P. e1001287. Published online. 2012. URL: https://doi.org/10.1371/journal.pmed.1001287 (Last accessed: 11.10. 2020).</w:t>
      </w:r>
    </w:p>
    <w:p w:rsidR="00CF7751" w:rsidRDefault="00D1477A" w:rsidP="00CF7751">
      <w:pPr>
        <w:ind w:firstLine="709"/>
        <w:rPr>
          <w:szCs w:val="28"/>
          <w:lang w:val="en-US"/>
        </w:rPr>
      </w:pPr>
      <w:r>
        <w:rPr>
          <w:szCs w:val="28"/>
        </w:rPr>
        <w:t>169.</w:t>
      </w:r>
      <w:r w:rsidRPr="00D1477A">
        <w:rPr>
          <w:szCs w:val="28"/>
          <w:lang w:val="en-US"/>
        </w:rPr>
        <w:t xml:space="preserve"> </w:t>
      </w:r>
      <w:r w:rsidR="00A607AD" w:rsidRPr="00CF7751">
        <w:rPr>
          <w:szCs w:val="28"/>
        </w:rPr>
        <w:t>Health situation and trend assessment. Sex differentials in Infant mortality. Infant mortality by sex. World Health organization. South-East Asia website. URL: http://origin.searo.who.int/entity/health_situation_trends/data/chi/sex-diff-imr/en/ (Last accessed: 11.10. 2020).</w:t>
      </w:r>
    </w:p>
    <w:p w:rsidR="00CF7751" w:rsidRDefault="00D1477A" w:rsidP="00CF7751">
      <w:pPr>
        <w:ind w:firstLine="709"/>
        <w:rPr>
          <w:szCs w:val="28"/>
          <w:lang w:val="en-US"/>
        </w:rPr>
      </w:pPr>
      <w:r>
        <w:rPr>
          <w:szCs w:val="28"/>
        </w:rPr>
        <w:t>170.</w:t>
      </w:r>
      <w:r w:rsidRPr="00D1477A">
        <w:rPr>
          <w:szCs w:val="28"/>
          <w:lang w:val="en-US"/>
        </w:rPr>
        <w:t xml:space="preserve"> </w:t>
      </w:r>
      <w:r w:rsidR="00A607AD" w:rsidRPr="00CF7751">
        <w:rPr>
          <w:szCs w:val="28"/>
        </w:rPr>
        <w:t>Impact of fetal gender on the risk of preterm birth, a national cohort study / M. J. Peelen et al. Acta obstetricia et gynecologica Scandinavica. 2016. Vol. 95 (9). P. 1034–1041.</w:t>
      </w:r>
    </w:p>
    <w:p w:rsidR="00CF7751" w:rsidRDefault="00D1477A" w:rsidP="00CF7751">
      <w:pPr>
        <w:ind w:firstLine="709"/>
        <w:rPr>
          <w:szCs w:val="28"/>
          <w:lang w:val="en-US"/>
        </w:rPr>
      </w:pPr>
      <w:r>
        <w:rPr>
          <w:szCs w:val="28"/>
        </w:rPr>
        <w:t>171.</w:t>
      </w:r>
      <w:r w:rsidRPr="00D1477A">
        <w:rPr>
          <w:szCs w:val="28"/>
          <w:lang w:val="en-US"/>
        </w:rPr>
        <w:t xml:space="preserve"> </w:t>
      </w:r>
      <w:r w:rsidR="00A607AD" w:rsidRPr="00CF7751">
        <w:rPr>
          <w:szCs w:val="28"/>
        </w:rPr>
        <w:t>Neonatal and infant outcome in boys and girls born very prematurely / J. L. Peacock et al. Pediatric Research. 2012. Vol. 71 (3). P. 305–310.</w:t>
      </w:r>
    </w:p>
    <w:p w:rsidR="00CF7751" w:rsidRDefault="00D1477A" w:rsidP="00CF7751">
      <w:pPr>
        <w:ind w:firstLine="709"/>
        <w:rPr>
          <w:szCs w:val="28"/>
          <w:lang w:val="en-US"/>
        </w:rPr>
      </w:pPr>
      <w:r>
        <w:rPr>
          <w:szCs w:val="28"/>
        </w:rPr>
        <w:t>172.</w:t>
      </w:r>
      <w:r w:rsidRPr="00D1477A">
        <w:rPr>
          <w:szCs w:val="28"/>
          <w:lang w:val="en-US"/>
        </w:rPr>
        <w:t xml:space="preserve"> </w:t>
      </w:r>
      <w:r w:rsidR="00A607AD" w:rsidRPr="00CF7751">
        <w:rPr>
          <w:szCs w:val="28"/>
        </w:rPr>
        <w:t>Forced expiratory flows and volumes in infants: normative data and lung growth / M. Jones et al. American Journal of Respiratory and Critical Care Medicine. 2000. Vol.</w:t>
      </w:r>
      <w:r>
        <w:t> </w:t>
      </w:r>
      <w:r w:rsidR="00A607AD" w:rsidRPr="00CF7751">
        <w:rPr>
          <w:szCs w:val="28"/>
        </w:rPr>
        <w:t>161</w:t>
      </w:r>
      <w:r>
        <w:t> </w:t>
      </w:r>
      <w:r w:rsidR="00A607AD" w:rsidRPr="00CF7751">
        <w:rPr>
          <w:szCs w:val="28"/>
        </w:rPr>
        <w:t>(2). P. 353–359.</w:t>
      </w:r>
    </w:p>
    <w:p w:rsidR="00CF7751" w:rsidRDefault="00D1477A" w:rsidP="00CF7751">
      <w:pPr>
        <w:ind w:firstLine="709"/>
        <w:rPr>
          <w:szCs w:val="28"/>
          <w:lang w:val="en-US"/>
        </w:rPr>
      </w:pPr>
      <w:r>
        <w:rPr>
          <w:szCs w:val="28"/>
        </w:rPr>
        <w:lastRenderedPageBreak/>
        <w:t xml:space="preserve">173. </w:t>
      </w:r>
      <w:r w:rsidR="00A607AD" w:rsidRPr="00CF7751">
        <w:rPr>
          <w:szCs w:val="28"/>
        </w:rPr>
        <w:t xml:space="preserve">Gallacher D. J., Hart K., Kotecha S. Common respiratory conditions of the newborn. Breathe (Sheff). 2016. Vol. 12 (1). P. 30–42. DOI: 10.1183/20734735.000716 (Last accessed: 28.02.2021). </w:t>
      </w:r>
    </w:p>
    <w:p w:rsidR="00CF7751" w:rsidRDefault="002C31D7" w:rsidP="00CF7751">
      <w:pPr>
        <w:ind w:firstLine="709"/>
        <w:rPr>
          <w:szCs w:val="28"/>
          <w:lang w:val="en-US"/>
        </w:rPr>
      </w:pPr>
      <w:r>
        <w:rPr>
          <w:szCs w:val="28"/>
        </w:rPr>
        <w:t xml:space="preserve">174. </w:t>
      </w:r>
      <w:r w:rsidR="00A607AD" w:rsidRPr="00CF7751">
        <w:rPr>
          <w:szCs w:val="28"/>
        </w:rPr>
        <w:t xml:space="preserve">Reuter S., Moser C., Baack M. Respiratory Distress in the Newborn. Pediatric Rev. 2014. Vol. 35 (10). P. 417–429. DOI: 10.1542 / pir.35-10-417. </w:t>
      </w:r>
    </w:p>
    <w:p w:rsidR="003978C4" w:rsidRPr="003978C4" w:rsidRDefault="002C31D7" w:rsidP="003978C4">
      <w:pPr>
        <w:ind w:firstLine="709"/>
        <w:rPr>
          <w:b/>
          <w:szCs w:val="28"/>
        </w:rPr>
      </w:pPr>
      <w:r w:rsidRPr="003978C4">
        <w:rPr>
          <w:szCs w:val="28"/>
        </w:rPr>
        <w:t xml:space="preserve">175. </w:t>
      </w:r>
      <w:r w:rsidR="003978C4" w:rsidRPr="003978C4">
        <w:rPr>
          <w:szCs w:val="28"/>
          <w:lang w:val="en-US"/>
        </w:rPr>
        <w:t xml:space="preserve">DeFranco E. A., Ehrlich S., Muglia L. J. Influence of interpregnancy interval on birth timing. </w:t>
      </w:r>
      <w:r w:rsidR="003978C4" w:rsidRPr="003978C4">
        <w:rPr>
          <w:i/>
          <w:szCs w:val="28"/>
          <w:lang w:val="en-US"/>
        </w:rPr>
        <w:t>British Journal of Obstetrics &amp; Gynaecology</w:t>
      </w:r>
      <w:r w:rsidR="003978C4" w:rsidRPr="003978C4">
        <w:rPr>
          <w:szCs w:val="28"/>
          <w:lang w:val="en-US"/>
        </w:rPr>
        <w:t xml:space="preserve">. 2014. Vol. 121, No 13. P. 1633–1641. URL: </w:t>
      </w:r>
      <w:hyperlink r:id="rId63" w:history="1">
        <w:r w:rsidR="003978C4" w:rsidRPr="003978C4">
          <w:rPr>
            <w:rStyle w:val="af7"/>
            <w:color w:val="auto"/>
            <w:szCs w:val="28"/>
            <w:u w:val="none"/>
            <w:lang w:val="en-US"/>
          </w:rPr>
          <w:t>https</w:t>
        </w:r>
        <w:r w:rsidR="003978C4" w:rsidRPr="003978C4">
          <w:rPr>
            <w:rStyle w:val="af7"/>
            <w:color w:val="auto"/>
            <w:szCs w:val="28"/>
            <w:u w:val="none"/>
          </w:rPr>
          <w:t>://</w:t>
        </w:r>
        <w:r w:rsidR="003978C4" w:rsidRPr="003978C4">
          <w:rPr>
            <w:rStyle w:val="af7"/>
            <w:color w:val="auto"/>
            <w:szCs w:val="28"/>
            <w:u w:val="none"/>
            <w:lang w:val="en-US"/>
          </w:rPr>
          <w:t>pubmed</w:t>
        </w:r>
        <w:r w:rsidR="003978C4" w:rsidRPr="003978C4">
          <w:rPr>
            <w:rStyle w:val="af7"/>
            <w:color w:val="auto"/>
            <w:szCs w:val="28"/>
            <w:u w:val="none"/>
          </w:rPr>
          <w:t>.</w:t>
        </w:r>
        <w:r w:rsidR="003978C4" w:rsidRPr="003978C4">
          <w:rPr>
            <w:rStyle w:val="af7"/>
            <w:color w:val="auto"/>
            <w:szCs w:val="28"/>
            <w:u w:val="none"/>
            <w:lang w:val="en-US"/>
          </w:rPr>
          <w:t>ncbi</w:t>
        </w:r>
        <w:r w:rsidR="003978C4" w:rsidRPr="003978C4">
          <w:rPr>
            <w:rStyle w:val="af7"/>
            <w:color w:val="auto"/>
            <w:szCs w:val="28"/>
            <w:u w:val="none"/>
          </w:rPr>
          <w:t>.</w:t>
        </w:r>
        <w:r w:rsidR="003978C4" w:rsidRPr="003978C4">
          <w:rPr>
            <w:rStyle w:val="af7"/>
            <w:color w:val="auto"/>
            <w:szCs w:val="28"/>
            <w:u w:val="none"/>
            <w:lang w:val="en-US"/>
          </w:rPr>
          <w:t>nlm</w:t>
        </w:r>
        <w:r w:rsidR="003978C4" w:rsidRPr="003978C4">
          <w:rPr>
            <w:rStyle w:val="af7"/>
            <w:color w:val="auto"/>
            <w:szCs w:val="28"/>
            <w:u w:val="none"/>
          </w:rPr>
          <w:t>.</w:t>
        </w:r>
        <w:r w:rsidR="003978C4" w:rsidRPr="003978C4">
          <w:rPr>
            <w:rStyle w:val="af7"/>
            <w:color w:val="auto"/>
            <w:szCs w:val="28"/>
            <w:u w:val="none"/>
            <w:lang w:val="en-US"/>
          </w:rPr>
          <w:t>nih</w:t>
        </w:r>
        <w:r w:rsidR="003978C4" w:rsidRPr="003978C4">
          <w:rPr>
            <w:rStyle w:val="af7"/>
            <w:color w:val="auto"/>
            <w:szCs w:val="28"/>
            <w:u w:val="none"/>
          </w:rPr>
          <w:t>.</w:t>
        </w:r>
        <w:r w:rsidR="003978C4" w:rsidRPr="003978C4">
          <w:rPr>
            <w:rStyle w:val="af7"/>
            <w:color w:val="auto"/>
            <w:szCs w:val="28"/>
            <w:u w:val="none"/>
            <w:lang w:val="en-US"/>
          </w:rPr>
          <w:t>gov</w:t>
        </w:r>
        <w:r w:rsidR="003978C4" w:rsidRPr="003978C4">
          <w:rPr>
            <w:rStyle w:val="af7"/>
            <w:color w:val="auto"/>
            <w:szCs w:val="28"/>
            <w:u w:val="none"/>
          </w:rPr>
          <w:t>/24893887</w:t>
        </w:r>
      </w:hyperlink>
      <w:r w:rsidR="003978C4" w:rsidRPr="003978C4">
        <w:rPr>
          <w:szCs w:val="28"/>
          <w:lang w:val="en-US"/>
        </w:rPr>
        <w:t xml:space="preserve"> </w:t>
      </w:r>
      <w:r w:rsidR="003978C4" w:rsidRPr="003978C4">
        <w:rPr>
          <w:szCs w:val="28"/>
        </w:rPr>
        <w:t>(</w:t>
      </w:r>
      <w:r w:rsidR="003978C4" w:rsidRPr="003978C4">
        <w:rPr>
          <w:szCs w:val="28"/>
          <w:lang w:val="en-US"/>
        </w:rPr>
        <w:t>Last accessed</w:t>
      </w:r>
      <w:r w:rsidR="003978C4" w:rsidRPr="003978C4">
        <w:rPr>
          <w:szCs w:val="28"/>
        </w:rPr>
        <w:t>: 0</w:t>
      </w:r>
      <w:r w:rsidR="003978C4" w:rsidRPr="003978C4">
        <w:rPr>
          <w:szCs w:val="28"/>
          <w:lang w:val="en-US"/>
        </w:rPr>
        <w:t>3</w:t>
      </w:r>
      <w:r w:rsidR="003978C4" w:rsidRPr="003978C4">
        <w:rPr>
          <w:szCs w:val="28"/>
        </w:rPr>
        <w:t>.0</w:t>
      </w:r>
      <w:r w:rsidR="003978C4" w:rsidRPr="003978C4">
        <w:rPr>
          <w:szCs w:val="28"/>
          <w:lang w:val="en-US"/>
        </w:rPr>
        <w:t>4</w:t>
      </w:r>
      <w:r w:rsidR="003978C4" w:rsidRPr="003978C4">
        <w:rPr>
          <w:szCs w:val="28"/>
        </w:rPr>
        <w:t>.202</w:t>
      </w:r>
      <w:r w:rsidR="003978C4" w:rsidRPr="003978C4">
        <w:rPr>
          <w:szCs w:val="28"/>
          <w:lang w:val="en-US"/>
        </w:rPr>
        <w:t>0</w:t>
      </w:r>
      <w:r w:rsidR="003978C4" w:rsidRPr="003978C4">
        <w:rPr>
          <w:szCs w:val="28"/>
        </w:rPr>
        <w:t>).</w:t>
      </w:r>
    </w:p>
    <w:p w:rsidR="00CF7751" w:rsidRDefault="002C31D7" w:rsidP="00CF7751">
      <w:pPr>
        <w:ind w:firstLine="709"/>
        <w:rPr>
          <w:szCs w:val="28"/>
          <w:lang w:val="en-US"/>
        </w:rPr>
      </w:pPr>
      <w:r>
        <w:rPr>
          <w:szCs w:val="28"/>
        </w:rPr>
        <w:t xml:space="preserve">176. </w:t>
      </w:r>
      <w:r w:rsidR="00A607AD" w:rsidRPr="00CF7751">
        <w:rPr>
          <w:szCs w:val="28"/>
        </w:rPr>
        <w:t xml:space="preserve">Preterm birth impairs postnatal lung development in the neonatal rabbit model / T. Salaets et al. Respiratory Research. 2020. Vol. 21 (59). 13 p. DOI: 10.1186/s12931-020-1321-6 (Last accessed: 28.02.2021). </w:t>
      </w:r>
    </w:p>
    <w:p w:rsidR="00CF7751" w:rsidRDefault="002C31D7" w:rsidP="00CF7751">
      <w:pPr>
        <w:ind w:firstLine="709"/>
        <w:rPr>
          <w:szCs w:val="28"/>
          <w:lang w:val="en-US"/>
        </w:rPr>
      </w:pPr>
      <w:r>
        <w:rPr>
          <w:szCs w:val="28"/>
        </w:rPr>
        <w:t xml:space="preserve">177. </w:t>
      </w:r>
      <w:r w:rsidR="00A607AD" w:rsidRPr="00CF7751">
        <w:rPr>
          <w:szCs w:val="28"/>
        </w:rPr>
        <w:t>DiPietro J. A., Voegtline K. M. The gestational foundation of sex differences in development and vulnerability. Neuroscience. 2017. Vol. 342. P. 4–20.</w:t>
      </w:r>
    </w:p>
    <w:p w:rsidR="00CF7751" w:rsidRDefault="002C31D7" w:rsidP="00CF7751">
      <w:pPr>
        <w:ind w:firstLine="709"/>
        <w:rPr>
          <w:szCs w:val="28"/>
          <w:lang w:val="en-US"/>
        </w:rPr>
      </w:pPr>
      <w:r>
        <w:rPr>
          <w:szCs w:val="28"/>
        </w:rPr>
        <w:t xml:space="preserve">178. </w:t>
      </w:r>
      <w:r w:rsidR="00A607AD" w:rsidRPr="00CF7751">
        <w:rPr>
          <w:szCs w:val="28"/>
        </w:rPr>
        <w:t>Gender differences in respiratory morbidity and mortality of preterm neonates / C. D. Townsel et al. Frontiers in Pediatrics. 2017. Vol. 5. P. 6.</w:t>
      </w:r>
    </w:p>
    <w:p w:rsidR="00CF7751" w:rsidRDefault="002C31D7" w:rsidP="00CF7751">
      <w:pPr>
        <w:ind w:firstLine="709"/>
        <w:rPr>
          <w:szCs w:val="28"/>
          <w:lang w:val="en-US"/>
        </w:rPr>
      </w:pPr>
      <w:r>
        <w:rPr>
          <w:szCs w:val="28"/>
        </w:rPr>
        <w:t xml:space="preserve">179. </w:t>
      </w:r>
      <w:r w:rsidR="00A607AD" w:rsidRPr="00CF7751">
        <w:rPr>
          <w:szCs w:val="28"/>
        </w:rPr>
        <w:t>How sex and age affect immune responses, susceptibility to infections, and response to vaccination / C. Giefing‐Kröll et al. Aging Cell. 2015. Vol. 14 (3). P. 309–321.</w:t>
      </w:r>
    </w:p>
    <w:p w:rsidR="00CF7751" w:rsidRDefault="002C31D7" w:rsidP="00CF7751">
      <w:pPr>
        <w:ind w:firstLine="709"/>
        <w:rPr>
          <w:szCs w:val="28"/>
          <w:lang w:val="en-US"/>
        </w:rPr>
      </w:pPr>
      <w:r>
        <w:rPr>
          <w:szCs w:val="28"/>
        </w:rPr>
        <w:t xml:space="preserve">180. </w:t>
      </w:r>
      <w:r w:rsidR="00A607AD" w:rsidRPr="00CF7751">
        <w:rPr>
          <w:szCs w:val="28"/>
        </w:rPr>
        <w:t>Markle J. G., Fish E. N. SeXX matters in immunity. Trends in Immunology. 2014.</w:t>
      </w:r>
      <w:r w:rsidR="00CF7751">
        <w:rPr>
          <w:szCs w:val="28"/>
        </w:rPr>
        <w:t xml:space="preserve"> Vol. 35 (3). P. 97–104.</w:t>
      </w:r>
    </w:p>
    <w:p w:rsidR="00CF7751" w:rsidRDefault="002C31D7" w:rsidP="00CF7751">
      <w:pPr>
        <w:ind w:firstLine="709"/>
        <w:rPr>
          <w:szCs w:val="28"/>
          <w:lang w:val="en-US"/>
        </w:rPr>
      </w:pPr>
      <w:r>
        <w:rPr>
          <w:szCs w:val="28"/>
        </w:rPr>
        <w:t xml:space="preserve">181. </w:t>
      </w:r>
      <w:r w:rsidR="00A607AD" w:rsidRPr="00CF7751">
        <w:rPr>
          <w:szCs w:val="28"/>
        </w:rPr>
        <w:t>Libert C., Dejager L., Pinheiro I. The X chromosome in immune functions: when a chromosome makes the difference. Nature Reviews Immunology. 2010. Vol. 10 (8). P. 594.</w:t>
      </w:r>
    </w:p>
    <w:p w:rsidR="00CF7751" w:rsidRPr="00480FD7" w:rsidRDefault="00A607AD" w:rsidP="00480FD7">
      <w:pPr>
        <w:ind w:firstLine="709"/>
        <w:rPr>
          <w:szCs w:val="28"/>
        </w:rPr>
      </w:pPr>
      <w:r w:rsidRPr="00493292">
        <w:rPr>
          <w:szCs w:val="28"/>
        </w:rPr>
        <w:t>182.</w:t>
      </w:r>
      <w:r w:rsidRPr="00493292">
        <w:rPr>
          <w:szCs w:val="28"/>
        </w:rPr>
        <w:tab/>
      </w:r>
      <w:r w:rsidR="00493292" w:rsidRPr="00493292">
        <w:rPr>
          <w:szCs w:val="28"/>
          <w:lang w:val="en-US"/>
        </w:rPr>
        <w:t xml:space="preserve">Selmi C., Raimondo M. G., Meroni P. L. The X chromosome and the sex ratio of autoimmunity. </w:t>
      </w:r>
      <w:r w:rsidR="00493292" w:rsidRPr="00493292">
        <w:rPr>
          <w:i/>
          <w:szCs w:val="28"/>
          <w:lang w:val="en-US"/>
        </w:rPr>
        <w:t>Autoimmunity Reviews</w:t>
      </w:r>
      <w:r w:rsidR="00493292" w:rsidRPr="00493292">
        <w:rPr>
          <w:szCs w:val="28"/>
          <w:lang w:val="en-US"/>
        </w:rPr>
        <w:t xml:space="preserve">. 2012. Vol. 11 (6/7). P. A531–A537. DOI: </w:t>
      </w:r>
      <w:hyperlink r:id="rId64" w:history="1">
        <w:r w:rsidR="00493292" w:rsidRPr="00493292">
          <w:rPr>
            <w:rStyle w:val="af7"/>
            <w:color w:val="auto"/>
            <w:szCs w:val="28"/>
            <w:u w:val="none"/>
            <w:lang w:val="en-US"/>
          </w:rPr>
          <w:t>https://pubmed.ncbi.nlm.nih.gov/22155196/</w:t>
        </w:r>
      </w:hyperlink>
      <w:r w:rsidR="00493292" w:rsidRPr="00493292">
        <w:rPr>
          <w:szCs w:val="28"/>
          <w:lang w:val="en-US"/>
        </w:rPr>
        <w:t xml:space="preserve"> </w:t>
      </w:r>
      <w:r w:rsidR="00493292" w:rsidRPr="00493292">
        <w:rPr>
          <w:szCs w:val="28"/>
        </w:rPr>
        <w:t>(</w:t>
      </w:r>
      <w:r w:rsidR="00493292" w:rsidRPr="00493292">
        <w:rPr>
          <w:szCs w:val="28"/>
          <w:lang w:val="en-US"/>
        </w:rPr>
        <w:t>Last accessed</w:t>
      </w:r>
      <w:r w:rsidR="00493292" w:rsidRPr="00493292">
        <w:rPr>
          <w:szCs w:val="28"/>
        </w:rPr>
        <w:t>: 0</w:t>
      </w:r>
      <w:r w:rsidR="00493292" w:rsidRPr="00493292">
        <w:rPr>
          <w:szCs w:val="28"/>
          <w:lang w:val="en-US"/>
        </w:rPr>
        <w:t>3</w:t>
      </w:r>
      <w:r w:rsidR="00493292" w:rsidRPr="00493292">
        <w:rPr>
          <w:szCs w:val="28"/>
        </w:rPr>
        <w:t>.0</w:t>
      </w:r>
      <w:r w:rsidR="00493292" w:rsidRPr="00493292">
        <w:rPr>
          <w:szCs w:val="28"/>
          <w:lang w:val="en-US"/>
        </w:rPr>
        <w:t>4</w:t>
      </w:r>
      <w:r w:rsidR="00493292" w:rsidRPr="00493292">
        <w:rPr>
          <w:szCs w:val="28"/>
        </w:rPr>
        <w:t>.202</w:t>
      </w:r>
      <w:r w:rsidR="00493292" w:rsidRPr="00493292">
        <w:rPr>
          <w:szCs w:val="28"/>
          <w:lang w:val="en-US"/>
        </w:rPr>
        <w:t>0</w:t>
      </w:r>
      <w:r w:rsidR="00493292" w:rsidRPr="00493292">
        <w:rPr>
          <w:szCs w:val="28"/>
        </w:rPr>
        <w:t>).</w:t>
      </w:r>
    </w:p>
    <w:p w:rsidR="00CF7751" w:rsidRDefault="002C31D7" w:rsidP="00CF7751">
      <w:pPr>
        <w:ind w:firstLine="709"/>
        <w:rPr>
          <w:szCs w:val="28"/>
          <w:lang w:val="en-US"/>
        </w:rPr>
      </w:pPr>
      <w:r>
        <w:rPr>
          <w:szCs w:val="28"/>
        </w:rPr>
        <w:t xml:space="preserve">183. </w:t>
      </w:r>
      <w:r w:rsidR="00A607AD" w:rsidRPr="00CF7751">
        <w:rPr>
          <w:szCs w:val="28"/>
        </w:rPr>
        <w:t>Sex differences in immune responses to infectious diseases / J. Fischer et al. Infection. 2015. Vol. 43 (4). P. 399–403.</w:t>
      </w:r>
    </w:p>
    <w:p w:rsidR="00FC0172" w:rsidRDefault="00A607AD" w:rsidP="00FC0172">
      <w:pPr>
        <w:ind w:firstLine="709"/>
        <w:rPr>
          <w:szCs w:val="28"/>
          <w:lang w:val="en-US"/>
        </w:rPr>
      </w:pPr>
      <w:r w:rsidRPr="00CF7751">
        <w:rPr>
          <w:szCs w:val="28"/>
        </w:rPr>
        <w:lastRenderedPageBreak/>
        <w:t>18</w:t>
      </w:r>
      <w:r w:rsidR="002C31D7">
        <w:rPr>
          <w:szCs w:val="28"/>
        </w:rPr>
        <w:t xml:space="preserve">4. </w:t>
      </w:r>
      <w:r w:rsidRPr="00CF7751">
        <w:rPr>
          <w:szCs w:val="28"/>
        </w:rPr>
        <w:t>Income and child mortality in developing countries: a systematic review and meta-analysis / B. O'Hare et al. Journal of the Royal Society of Medicine. 2013. Vol. 106 (10). P. 408–414. DOI: 10.1177/01410768134896</w:t>
      </w:r>
      <w:r w:rsidR="00FC0172">
        <w:rPr>
          <w:szCs w:val="28"/>
        </w:rPr>
        <w:t>80 (Last accessed: 28.02.2021).</w:t>
      </w:r>
    </w:p>
    <w:p w:rsidR="00FC0172" w:rsidRDefault="002C31D7" w:rsidP="00FC0172">
      <w:pPr>
        <w:ind w:firstLine="709"/>
        <w:rPr>
          <w:szCs w:val="28"/>
          <w:lang w:val="en-US"/>
        </w:rPr>
      </w:pPr>
      <w:r>
        <w:rPr>
          <w:szCs w:val="28"/>
        </w:rPr>
        <w:t xml:space="preserve">185. </w:t>
      </w:r>
      <w:r w:rsidR="00A607AD" w:rsidRPr="00FC0172">
        <w:rPr>
          <w:szCs w:val="28"/>
        </w:rPr>
        <w:t>World Mortality Report 2015 Highlights / Department of Economic and Social Affairs. New York: United Nations, 2017. 40</w:t>
      </w:r>
      <w:r>
        <w:t> </w:t>
      </w:r>
      <w:r w:rsidR="00A607AD" w:rsidRPr="00FC0172">
        <w:rPr>
          <w:szCs w:val="28"/>
        </w:rPr>
        <w:t>p. URL: https://www.un.org/en/development/desa/population/publications/pdf/mortality/WMR2015/WMR2015_Highlights (Last accessed: 11.10. 2020).</w:t>
      </w:r>
    </w:p>
    <w:p w:rsidR="00FC0172" w:rsidRDefault="002C31D7" w:rsidP="00FC0172">
      <w:pPr>
        <w:ind w:firstLine="709"/>
        <w:rPr>
          <w:szCs w:val="28"/>
          <w:lang w:val="en-US"/>
        </w:rPr>
      </w:pPr>
      <w:r>
        <w:rPr>
          <w:szCs w:val="28"/>
        </w:rPr>
        <w:t xml:space="preserve">186. </w:t>
      </w:r>
      <w:r w:rsidR="00A607AD" w:rsidRPr="00FC0172">
        <w:rPr>
          <w:szCs w:val="28"/>
        </w:rPr>
        <w:t>Socioeconomic factors contributing to under-five mortality in sub-Saharan Africa: a decomposition analysis / C. Van Malderen et al. BMC Public Health. 2019. Vol. 19, Art. No 760. URL: https://bmcpublichealth.biomedcentral.com/articles/10.1186/s12889-019-7111-8 (Last accessed: 11.10. 2020).</w:t>
      </w:r>
    </w:p>
    <w:p w:rsidR="00FC0172" w:rsidRDefault="002C31D7" w:rsidP="00FC0172">
      <w:pPr>
        <w:ind w:firstLine="709"/>
        <w:rPr>
          <w:szCs w:val="28"/>
          <w:lang w:val="en-US"/>
        </w:rPr>
      </w:pPr>
      <w:r>
        <w:rPr>
          <w:szCs w:val="28"/>
        </w:rPr>
        <w:t xml:space="preserve">187. </w:t>
      </w:r>
      <w:r w:rsidR="00A607AD" w:rsidRPr="00FC0172">
        <w:rPr>
          <w:szCs w:val="28"/>
        </w:rPr>
        <w:t>Trends in socioeconomic disparities in a rapid under-five mortality transition: a longitudinal study in the United Republic of Tanzania / Almamy Malick Kanté et al. Bulletin of the World Health Organization. 2016. Vol.</w:t>
      </w:r>
      <w:r>
        <w:t> </w:t>
      </w:r>
      <w:r w:rsidR="00A607AD" w:rsidRPr="00FC0172">
        <w:rPr>
          <w:szCs w:val="28"/>
        </w:rPr>
        <w:t>94. P.</w:t>
      </w:r>
      <w:r>
        <w:rPr>
          <w:szCs w:val="28"/>
        </w:rPr>
        <w:t> </w:t>
      </w:r>
      <w:r w:rsidR="00A607AD" w:rsidRPr="00FC0172">
        <w:rPr>
          <w:szCs w:val="28"/>
        </w:rPr>
        <w:t xml:space="preserve">258–262. URL: https://www.who.int/bulletin/volumes/94/4/15-154658/en/ (Last accessed: 11.10. </w:t>
      </w:r>
      <w:r w:rsidR="00FC0172">
        <w:rPr>
          <w:szCs w:val="28"/>
        </w:rPr>
        <w:t>2019)</w:t>
      </w:r>
      <w:r w:rsidR="00FC0172">
        <w:rPr>
          <w:szCs w:val="28"/>
          <w:lang w:val="en-US"/>
        </w:rPr>
        <w:t>.</w:t>
      </w:r>
    </w:p>
    <w:p w:rsidR="00FC0172" w:rsidRDefault="00E510A5" w:rsidP="00FC0172">
      <w:pPr>
        <w:ind w:firstLine="709"/>
        <w:rPr>
          <w:szCs w:val="28"/>
          <w:lang w:val="en-US"/>
        </w:rPr>
      </w:pPr>
      <w:r>
        <w:rPr>
          <w:szCs w:val="28"/>
        </w:rPr>
        <w:t xml:space="preserve">188. </w:t>
      </w:r>
      <w:r w:rsidR="00A607AD" w:rsidRPr="00FC0172">
        <w:rPr>
          <w:szCs w:val="28"/>
        </w:rPr>
        <w:t>Wagstaff A. Socioeconomic inequalities in child mortality: comparisons across nine developing countries. Bulletin of the World Health Organization. 2000. Vol. 78 (1). P.</w:t>
      </w:r>
      <w:r>
        <w:rPr>
          <w:szCs w:val="28"/>
        </w:rPr>
        <w:t> </w:t>
      </w:r>
      <w:r w:rsidR="00A607AD" w:rsidRPr="00FC0172">
        <w:rPr>
          <w:szCs w:val="28"/>
        </w:rPr>
        <w:t xml:space="preserve">19–29. </w:t>
      </w:r>
    </w:p>
    <w:p w:rsidR="00FC0172" w:rsidRDefault="00E510A5" w:rsidP="00FC0172">
      <w:pPr>
        <w:ind w:firstLine="709"/>
        <w:rPr>
          <w:szCs w:val="28"/>
          <w:lang w:val="en-US"/>
        </w:rPr>
      </w:pPr>
      <w:r>
        <w:rPr>
          <w:szCs w:val="28"/>
        </w:rPr>
        <w:t xml:space="preserve">189. </w:t>
      </w:r>
      <w:r w:rsidR="00A607AD" w:rsidRPr="00FC0172">
        <w:rPr>
          <w:szCs w:val="28"/>
        </w:rPr>
        <w:t>Houweling T. A., Kunst A. E. Socio-economic inequalities in childhood mortality in low- and middle-income countries: a review of the international evidence. British Medical Buletinl. 2010. Vol. 93 (1). P.</w:t>
      </w:r>
      <w:r>
        <w:rPr>
          <w:szCs w:val="28"/>
        </w:rPr>
        <w:t> </w:t>
      </w:r>
      <w:r w:rsidR="00A607AD" w:rsidRPr="00FC0172">
        <w:rPr>
          <w:szCs w:val="28"/>
        </w:rPr>
        <w:t>7–26. DOI: http://dx.doi.org/10.1093/bmb/ldp048 pmid: 200</w:t>
      </w:r>
      <w:r w:rsidR="002C41E4">
        <w:rPr>
          <w:szCs w:val="28"/>
        </w:rPr>
        <w:t>07188 (Last accessed: 28.02.2020</w:t>
      </w:r>
      <w:r w:rsidR="00A607AD" w:rsidRPr="00FC0172">
        <w:rPr>
          <w:szCs w:val="28"/>
        </w:rPr>
        <w:t>).</w:t>
      </w:r>
    </w:p>
    <w:p w:rsidR="00FC0172" w:rsidRDefault="002C41E4" w:rsidP="00FC0172">
      <w:pPr>
        <w:ind w:firstLine="709"/>
        <w:rPr>
          <w:szCs w:val="28"/>
          <w:lang w:val="en-US"/>
        </w:rPr>
      </w:pPr>
      <w:r>
        <w:rPr>
          <w:szCs w:val="28"/>
        </w:rPr>
        <w:t xml:space="preserve">190. </w:t>
      </w:r>
      <w:r w:rsidR="00A607AD" w:rsidRPr="00FC0172">
        <w:rPr>
          <w:szCs w:val="28"/>
        </w:rPr>
        <w:t>Mondal M. N. I., Hossain M. K., Ali M. K. Factors influencing infant and child mortality: A case study of Rajshahi District, Bangladesh. Journal of Human Ecology. 2009. Vol. 26 (1). P. 31–39.</w:t>
      </w:r>
    </w:p>
    <w:p w:rsidR="00FC0172" w:rsidRDefault="002C41E4" w:rsidP="00FC0172">
      <w:pPr>
        <w:ind w:firstLine="709"/>
        <w:rPr>
          <w:szCs w:val="28"/>
          <w:lang w:val="en-US"/>
        </w:rPr>
      </w:pPr>
      <w:r>
        <w:rPr>
          <w:szCs w:val="28"/>
        </w:rPr>
        <w:t xml:space="preserve">191. </w:t>
      </w:r>
      <w:r w:rsidR="00A607AD" w:rsidRPr="00FC0172">
        <w:rPr>
          <w:szCs w:val="28"/>
        </w:rPr>
        <w:t xml:space="preserve">Fuchs R., Pamuk E., Lutz W. Education or wealth: which matters more for reducing child mortality in developing countries? Vienna Yearbook of Population Research. </w:t>
      </w:r>
      <w:r w:rsidR="00A607AD" w:rsidRPr="00FC0172">
        <w:rPr>
          <w:szCs w:val="28"/>
        </w:rPr>
        <w:lastRenderedPageBreak/>
        <w:t>2010. Vol. 8. P.</w:t>
      </w:r>
      <w:r>
        <w:rPr>
          <w:szCs w:val="28"/>
        </w:rPr>
        <w:t> </w:t>
      </w:r>
      <w:r w:rsidR="00A607AD" w:rsidRPr="00FC0172">
        <w:rPr>
          <w:szCs w:val="28"/>
        </w:rPr>
        <w:t>175–199. URL: https://www.jstor.org/stable/23025514?seq=1 (Last accessed: 11.10. 2020).</w:t>
      </w:r>
    </w:p>
    <w:p w:rsidR="00FC0172" w:rsidRDefault="002C41E4" w:rsidP="00FC0172">
      <w:pPr>
        <w:ind w:firstLine="709"/>
        <w:rPr>
          <w:szCs w:val="28"/>
          <w:lang w:val="en-US"/>
        </w:rPr>
      </w:pPr>
      <w:r>
        <w:rPr>
          <w:szCs w:val="28"/>
        </w:rPr>
        <w:t xml:space="preserve">192. </w:t>
      </w:r>
      <w:r w:rsidR="00A607AD" w:rsidRPr="00FC0172">
        <w:rPr>
          <w:szCs w:val="28"/>
        </w:rPr>
        <w:t>Do Mothers with Lower Socioeconomic Status Contribute to the Rate of All-Cause Child Mortality in Kazakhstan? / Fei Yu et al. Biomed Research International. 2018. Vol. 14. DOI: 10.1155/2018/3629109 (Last ac</w:t>
      </w:r>
      <w:r>
        <w:rPr>
          <w:szCs w:val="28"/>
        </w:rPr>
        <w:t>cessed: 18.02.2020</w:t>
      </w:r>
      <w:r w:rsidR="00A607AD" w:rsidRPr="00FC0172">
        <w:rPr>
          <w:szCs w:val="28"/>
        </w:rPr>
        <w:t>).</w:t>
      </w:r>
    </w:p>
    <w:p w:rsidR="00FC0172" w:rsidRDefault="001A5864" w:rsidP="00FC0172">
      <w:pPr>
        <w:ind w:firstLine="709"/>
        <w:rPr>
          <w:szCs w:val="28"/>
          <w:lang w:val="en-US"/>
        </w:rPr>
      </w:pPr>
      <w:r>
        <w:rPr>
          <w:szCs w:val="28"/>
        </w:rPr>
        <w:t xml:space="preserve">193. </w:t>
      </w:r>
      <w:r w:rsidR="00A607AD" w:rsidRPr="00FC0172">
        <w:rPr>
          <w:szCs w:val="28"/>
        </w:rPr>
        <w:t>Finlay J. E., Özaltin E., Canning D. The association of maternal age with infant mortality, child anthropometric failure, diarrhoea and anaemia for first births: evidence from 55 low-and middle-income countries. The British Medical Journal Open. 2011. Vol. 1 (2). P. e000226. Published online 2011. DOI: 10.1136/bmjopen-2011-000226 (Last accessed: 28.10.2020).</w:t>
      </w:r>
    </w:p>
    <w:p w:rsidR="00FC0172" w:rsidRDefault="001A5864" w:rsidP="00FC0172">
      <w:pPr>
        <w:ind w:firstLine="709"/>
        <w:rPr>
          <w:szCs w:val="28"/>
          <w:lang w:val="en-US"/>
        </w:rPr>
      </w:pPr>
      <w:r>
        <w:rPr>
          <w:szCs w:val="28"/>
        </w:rPr>
        <w:t xml:space="preserve">194. </w:t>
      </w:r>
      <w:r w:rsidR="00A607AD" w:rsidRPr="00FC0172">
        <w:rPr>
          <w:szCs w:val="28"/>
        </w:rPr>
        <w:t>The hidden crisis: Armed conflict and education. Global Monitoring Report Paris, France: UNESCO, 2011. 416 p. URL: https://unesdoc.unesco.org/ark:/48223/pf0000190743 (Last accessed: 11.10. 2020).</w:t>
      </w:r>
    </w:p>
    <w:p w:rsidR="00FC0172" w:rsidRDefault="001A5864" w:rsidP="00FC0172">
      <w:pPr>
        <w:ind w:firstLine="709"/>
        <w:rPr>
          <w:szCs w:val="28"/>
          <w:lang w:val="en-US"/>
        </w:rPr>
      </w:pPr>
      <w:r>
        <w:rPr>
          <w:szCs w:val="28"/>
        </w:rPr>
        <w:t xml:space="preserve">195. </w:t>
      </w:r>
      <w:r w:rsidR="00A607AD" w:rsidRPr="00FC0172">
        <w:rPr>
          <w:szCs w:val="28"/>
        </w:rPr>
        <w:t>Jonathan G., Hendren N., Townsend R. M. The Great Equalizer: Health Care Access and Infant Mortality in Thailand. American Economic Journal: Applied Economics. 2014. Vol. 6 (1). P. 91–107.</w:t>
      </w:r>
    </w:p>
    <w:p w:rsidR="00FC0172" w:rsidRDefault="001A5864" w:rsidP="00FC0172">
      <w:pPr>
        <w:ind w:firstLine="709"/>
        <w:rPr>
          <w:szCs w:val="28"/>
          <w:lang w:val="en-US"/>
        </w:rPr>
      </w:pPr>
      <w:r>
        <w:rPr>
          <w:szCs w:val="28"/>
        </w:rPr>
        <w:t xml:space="preserve">196. </w:t>
      </w:r>
      <w:r w:rsidR="00A607AD" w:rsidRPr="00FC0172">
        <w:rPr>
          <w:szCs w:val="28"/>
        </w:rPr>
        <w:t>Cylus J., Permanand G., Smith P. C. Making the economic case for investing in health systems What is the evidence that health systems advance economic and fiscal objectives? Copenhagen, Denmark: World Health Organization, 2018. 32</w:t>
      </w:r>
      <w:r>
        <w:t> </w:t>
      </w:r>
      <w:r w:rsidR="00A607AD" w:rsidRPr="00FC0172">
        <w:rPr>
          <w:szCs w:val="28"/>
        </w:rPr>
        <w:t>p. URL: https://www.euro.who.int/__data/assets/pdf_file/0010/380728/pb-tallinn-01-eng.pdf?ua=1 (Last accessed: 11.10. 2020).</w:t>
      </w:r>
    </w:p>
    <w:p w:rsidR="00FC0172" w:rsidRDefault="001A5864" w:rsidP="00FC0172">
      <w:pPr>
        <w:ind w:firstLine="709"/>
        <w:rPr>
          <w:szCs w:val="28"/>
          <w:lang w:val="en-US"/>
        </w:rPr>
      </w:pPr>
      <w:r w:rsidRPr="00A708F2">
        <w:rPr>
          <w:szCs w:val="28"/>
        </w:rPr>
        <w:t xml:space="preserve">197. </w:t>
      </w:r>
      <w:r w:rsidR="00EC54AD" w:rsidRPr="00A708F2">
        <w:rPr>
          <w:szCs w:val="28"/>
        </w:rPr>
        <w:t>Nurturing</w:t>
      </w:r>
      <w:r w:rsidR="00EC54AD" w:rsidRPr="00EC54AD">
        <w:rPr>
          <w:szCs w:val="28"/>
        </w:rPr>
        <w:t xml:space="preserve"> care: promoting early childhood development / P. R. Britto et al. Lancet. 2017. Vol. 389, Is. 10064. P.</w:t>
      </w:r>
      <w:r w:rsidR="0006530C" w:rsidRPr="005A189C">
        <w:rPr>
          <w:szCs w:val="28"/>
          <w:lang w:val="en-US"/>
        </w:rPr>
        <w:t> </w:t>
      </w:r>
      <w:r w:rsidR="00EC54AD" w:rsidRPr="00EC54AD">
        <w:rPr>
          <w:szCs w:val="28"/>
        </w:rPr>
        <w:t>91–102. URL:  https://www.thelancet.com/journals/lancet/article/PIIS0140-6736(16)31390-3/ful</w:t>
      </w:r>
      <w:r w:rsidR="00EC54AD">
        <w:rPr>
          <w:szCs w:val="28"/>
        </w:rPr>
        <w:t>ltext (Last accessed: 28.</w:t>
      </w:r>
      <w:r w:rsidR="00EC54AD" w:rsidRPr="00EC54AD">
        <w:rPr>
          <w:szCs w:val="28"/>
          <w:lang w:val="en-US"/>
        </w:rPr>
        <w:t>10</w:t>
      </w:r>
      <w:r w:rsidR="00EC54AD">
        <w:rPr>
          <w:szCs w:val="28"/>
        </w:rPr>
        <w:t>.20</w:t>
      </w:r>
      <w:r w:rsidR="00EC54AD" w:rsidRPr="00EC54AD">
        <w:rPr>
          <w:szCs w:val="28"/>
          <w:lang w:val="en-US"/>
        </w:rPr>
        <w:t>19</w:t>
      </w:r>
      <w:r w:rsidR="00EC54AD" w:rsidRPr="00EC54AD">
        <w:rPr>
          <w:szCs w:val="28"/>
        </w:rPr>
        <w:t>).</w:t>
      </w:r>
    </w:p>
    <w:p w:rsidR="00FC0172" w:rsidRDefault="001A5864" w:rsidP="00FC0172">
      <w:pPr>
        <w:ind w:firstLine="709"/>
        <w:rPr>
          <w:szCs w:val="28"/>
          <w:lang w:val="en-US"/>
        </w:rPr>
      </w:pPr>
      <w:r>
        <w:rPr>
          <w:szCs w:val="28"/>
        </w:rPr>
        <w:t xml:space="preserve">198. </w:t>
      </w:r>
      <w:r w:rsidR="00A607AD" w:rsidRPr="00FC0172">
        <w:rPr>
          <w:szCs w:val="28"/>
        </w:rPr>
        <w:t xml:space="preserve">Effective coverage measurement in maternal, newborn, child, and adolescent health and nutrition: progress, future prospects, and implications for quality health systems / </w:t>
      </w:r>
      <w:r w:rsidR="00A607AD" w:rsidRPr="00FC0172">
        <w:rPr>
          <w:szCs w:val="28"/>
        </w:rPr>
        <w:lastRenderedPageBreak/>
        <w:t>A. Marsh et al. Lancet Global Health. 2020. Vol. 8. P.</w:t>
      </w:r>
      <w:r>
        <w:rPr>
          <w:szCs w:val="28"/>
        </w:rPr>
        <w:t> </w:t>
      </w:r>
      <w:r w:rsidR="00A607AD" w:rsidRPr="00FC0172">
        <w:rPr>
          <w:szCs w:val="28"/>
        </w:rPr>
        <w:t>e730–e736. DOI: https://doi. org/10.1016/S2214-109X(20)30104-2 (Last accessed: 28.02.2021).</w:t>
      </w:r>
    </w:p>
    <w:p w:rsidR="00FC0172" w:rsidRDefault="001A5864" w:rsidP="00FC0172">
      <w:pPr>
        <w:ind w:firstLine="709"/>
        <w:rPr>
          <w:szCs w:val="28"/>
          <w:lang w:val="en-US"/>
        </w:rPr>
      </w:pPr>
      <w:r>
        <w:rPr>
          <w:szCs w:val="28"/>
        </w:rPr>
        <w:t xml:space="preserve">199. </w:t>
      </w:r>
      <w:r w:rsidR="00A607AD" w:rsidRPr="00FC0172">
        <w:rPr>
          <w:szCs w:val="28"/>
        </w:rPr>
        <w:t>Implementation guidelines: Protecting, promoting and supporting breastfeeding in facilities providing maternity and newborn services – the revised Baby-friendly Hospital Initiative / World Health Organization. Geneva, 2018. 56 p.</w:t>
      </w:r>
    </w:p>
    <w:p w:rsidR="00FC0172" w:rsidRDefault="001A5864" w:rsidP="00FC0172">
      <w:pPr>
        <w:ind w:firstLine="709"/>
        <w:rPr>
          <w:szCs w:val="28"/>
          <w:lang w:val="en-US"/>
        </w:rPr>
      </w:pPr>
      <w:r>
        <w:rPr>
          <w:szCs w:val="28"/>
        </w:rPr>
        <w:t xml:space="preserve">200. </w:t>
      </w:r>
      <w:r w:rsidR="00A607AD" w:rsidRPr="00FC0172">
        <w:rPr>
          <w:szCs w:val="28"/>
        </w:rPr>
        <w:t>Prevention and management of procedural pain in the neonate: an update: committee on fetus and newborn and section on anesthesiology and pain medicine / American Academy of Pediatrics. Pediatrics. 2016. Vol. 137 (2). 15 p.</w:t>
      </w:r>
    </w:p>
    <w:p w:rsidR="00FC0172" w:rsidRDefault="001A5864" w:rsidP="00FC0172">
      <w:pPr>
        <w:ind w:firstLine="709"/>
        <w:rPr>
          <w:szCs w:val="28"/>
          <w:lang w:val="en-US"/>
        </w:rPr>
      </w:pPr>
      <w:r>
        <w:rPr>
          <w:szCs w:val="28"/>
        </w:rPr>
        <w:t xml:space="preserve">201. </w:t>
      </w:r>
      <w:r w:rsidR="00A607AD" w:rsidRPr="00FC0172">
        <w:rPr>
          <w:szCs w:val="28"/>
        </w:rPr>
        <w:t>Leininger L., Levy H. Child Health and Access to Medical Care, senior health researcher and research associate professor. Future of Children. Spring. 2015. Vol. 25 (1). P. 65–90. URL: https://www.ncbi.nlm.nih.gov/pmc/articles/PMC4978135/ (Last accessed: 11.10. 2020).</w:t>
      </w:r>
    </w:p>
    <w:p w:rsidR="00FC0172" w:rsidRDefault="001A5864" w:rsidP="00FC0172">
      <w:pPr>
        <w:ind w:firstLine="709"/>
        <w:rPr>
          <w:szCs w:val="28"/>
          <w:lang w:val="en-US"/>
        </w:rPr>
      </w:pPr>
      <w:r>
        <w:rPr>
          <w:szCs w:val="28"/>
        </w:rPr>
        <w:t xml:space="preserve">202. </w:t>
      </w:r>
      <w:r w:rsidR="00A607AD" w:rsidRPr="00FC0172">
        <w:rPr>
          <w:szCs w:val="28"/>
        </w:rPr>
        <w:t>Disease control priorities. Reproductive, Maternal, Newborn, and Child Health / ed. R.</w:t>
      </w:r>
      <w:r w:rsidR="00766B98">
        <w:rPr>
          <w:szCs w:val="28"/>
        </w:rPr>
        <w:t> </w:t>
      </w:r>
      <w:r w:rsidR="00A607AD" w:rsidRPr="00FC0172">
        <w:rPr>
          <w:szCs w:val="28"/>
        </w:rPr>
        <w:t>E.</w:t>
      </w:r>
      <w:r w:rsidR="00766B98" w:rsidRPr="00B16D28">
        <w:rPr>
          <w:lang w:val="en-US"/>
        </w:rPr>
        <w:t> </w:t>
      </w:r>
      <w:r w:rsidR="00A607AD" w:rsidRPr="00FC0172">
        <w:rPr>
          <w:szCs w:val="28"/>
        </w:rPr>
        <w:t>Black</w:t>
      </w:r>
      <w:r w:rsidR="00766B98" w:rsidRPr="00B16D28">
        <w:rPr>
          <w:szCs w:val="28"/>
          <w:lang w:val="en-US"/>
        </w:rPr>
        <w:t> </w:t>
      </w:r>
      <w:r w:rsidR="00A607AD" w:rsidRPr="00FC0172">
        <w:rPr>
          <w:szCs w:val="28"/>
        </w:rPr>
        <w:t>et</w:t>
      </w:r>
      <w:r w:rsidR="00766B98" w:rsidRPr="00B16D28">
        <w:rPr>
          <w:szCs w:val="28"/>
          <w:lang w:val="en-US"/>
        </w:rPr>
        <w:t> </w:t>
      </w:r>
      <w:r w:rsidR="00A607AD" w:rsidRPr="00FC0172">
        <w:rPr>
          <w:szCs w:val="28"/>
        </w:rPr>
        <w:t>al. 3-rd.</w:t>
      </w:r>
      <w:r w:rsidR="00766B98">
        <w:rPr>
          <w:szCs w:val="28"/>
          <w:lang w:val="en-US"/>
        </w:rPr>
        <w:t> </w:t>
      </w:r>
      <w:r w:rsidR="00A607AD" w:rsidRPr="00FC0172">
        <w:rPr>
          <w:szCs w:val="28"/>
        </w:rPr>
        <w:t>ed. Washington, 2016. 419</w:t>
      </w:r>
      <w:r w:rsidR="00766B98">
        <w:rPr>
          <w:lang w:val="en-US"/>
        </w:rPr>
        <w:t> </w:t>
      </w:r>
      <w:r w:rsidR="00A607AD" w:rsidRPr="00FC0172">
        <w:rPr>
          <w:szCs w:val="28"/>
        </w:rPr>
        <w:t>p. URL: https://openknowledge.worldbank.org/bitstream/handle/10986/23833/9781464803482.pdf?sequence=3 (Last accessed: 17.10. 2019).</w:t>
      </w:r>
    </w:p>
    <w:p w:rsidR="00FC0172" w:rsidRPr="00B958D8" w:rsidRDefault="001A5864" w:rsidP="00FC0172">
      <w:pPr>
        <w:ind w:firstLine="709"/>
        <w:rPr>
          <w:szCs w:val="28"/>
          <w:lang w:val="ru-RU"/>
        </w:rPr>
      </w:pPr>
      <w:r>
        <w:rPr>
          <w:szCs w:val="28"/>
        </w:rPr>
        <w:t xml:space="preserve">203. </w:t>
      </w:r>
      <w:r w:rsidR="00A607AD" w:rsidRPr="00FC0172">
        <w:rPr>
          <w:szCs w:val="28"/>
        </w:rPr>
        <w:t>Investing in the foundation of sustainable development: pathways to scale up for early childhood development / L. M. Richter et al. Lancet</w:t>
      </w:r>
      <w:r w:rsidR="00A607AD" w:rsidRPr="00B958D8">
        <w:rPr>
          <w:szCs w:val="28"/>
          <w:lang w:val="ru-RU"/>
        </w:rPr>
        <w:t xml:space="preserve">. 2016. </w:t>
      </w:r>
      <w:r w:rsidR="00A607AD" w:rsidRPr="00FC0172">
        <w:rPr>
          <w:szCs w:val="28"/>
        </w:rPr>
        <w:t>Published</w:t>
      </w:r>
      <w:r w:rsidR="00A607AD" w:rsidRPr="00B958D8">
        <w:rPr>
          <w:szCs w:val="28"/>
          <w:lang w:val="ru-RU"/>
        </w:rPr>
        <w:t xml:space="preserve"> </w:t>
      </w:r>
      <w:r w:rsidR="00A607AD" w:rsidRPr="00FC0172">
        <w:rPr>
          <w:szCs w:val="28"/>
        </w:rPr>
        <w:t>online</w:t>
      </w:r>
      <w:r w:rsidR="00A607AD" w:rsidRPr="00B958D8">
        <w:rPr>
          <w:szCs w:val="28"/>
          <w:lang w:val="ru-RU"/>
        </w:rPr>
        <w:t xml:space="preserve"> 2016. </w:t>
      </w:r>
      <w:r w:rsidR="00A607AD" w:rsidRPr="00FC0172">
        <w:rPr>
          <w:szCs w:val="28"/>
        </w:rPr>
        <w:t>DOI</w:t>
      </w:r>
      <w:r w:rsidR="00A607AD" w:rsidRPr="00B958D8">
        <w:rPr>
          <w:szCs w:val="28"/>
          <w:lang w:val="ru-RU"/>
        </w:rPr>
        <w:t xml:space="preserve">: </w:t>
      </w:r>
      <w:hyperlink r:id="rId65" w:history="1">
        <w:r w:rsidR="00FC0172" w:rsidRPr="00FC0172">
          <w:rPr>
            <w:rStyle w:val="af7"/>
            <w:color w:val="auto"/>
            <w:szCs w:val="28"/>
            <w:u w:val="none"/>
          </w:rPr>
          <w:t>http</w:t>
        </w:r>
        <w:r w:rsidR="00FC0172" w:rsidRPr="00B958D8">
          <w:rPr>
            <w:rStyle w:val="af7"/>
            <w:color w:val="auto"/>
            <w:szCs w:val="28"/>
            <w:u w:val="none"/>
            <w:lang w:val="ru-RU"/>
          </w:rPr>
          <w:t>://</w:t>
        </w:r>
        <w:r w:rsidR="00FC0172" w:rsidRPr="00FC0172">
          <w:rPr>
            <w:rStyle w:val="af7"/>
            <w:color w:val="auto"/>
            <w:szCs w:val="28"/>
            <w:u w:val="none"/>
          </w:rPr>
          <w:t>dx</w:t>
        </w:r>
        <w:r w:rsidR="00FC0172" w:rsidRPr="00B958D8">
          <w:rPr>
            <w:rStyle w:val="af7"/>
            <w:color w:val="auto"/>
            <w:szCs w:val="28"/>
            <w:u w:val="none"/>
            <w:lang w:val="ru-RU"/>
          </w:rPr>
          <w:t>.</w:t>
        </w:r>
        <w:r w:rsidR="00FC0172" w:rsidRPr="00FC0172">
          <w:rPr>
            <w:rStyle w:val="af7"/>
            <w:color w:val="auto"/>
            <w:szCs w:val="28"/>
            <w:u w:val="none"/>
          </w:rPr>
          <w:t>doi</w:t>
        </w:r>
        <w:r w:rsidR="00FC0172" w:rsidRPr="00B958D8">
          <w:rPr>
            <w:rStyle w:val="af7"/>
            <w:color w:val="auto"/>
            <w:szCs w:val="28"/>
            <w:u w:val="none"/>
            <w:lang w:val="ru-RU"/>
          </w:rPr>
          <w:t>.</w:t>
        </w:r>
        <w:r w:rsidR="00FC0172" w:rsidRPr="00FC0172">
          <w:rPr>
            <w:rStyle w:val="af7"/>
            <w:color w:val="auto"/>
            <w:szCs w:val="28"/>
            <w:u w:val="none"/>
          </w:rPr>
          <w:t>org</w:t>
        </w:r>
        <w:r w:rsidR="00FC0172" w:rsidRPr="00B958D8">
          <w:rPr>
            <w:rStyle w:val="af7"/>
            <w:color w:val="auto"/>
            <w:szCs w:val="28"/>
            <w:u w:val="none"/>
            <w:lang w:val="ru-RU"/>
          </w:rPr>
          <w:t>/10.1016/</w:t>
        </w:r>
        <w:r w:rsidR="00FC0172" w:rsidRPr="00FC0172">
          <w:rPr>
            <w:rStyle w:val="af7"/>
            <w:color w:val="auto"/>
            <w:szCs w:val="28"/>
            <w:u w:val="none"/>
          </w:rPr>
          <w:t>S</w:t>
        </w:r>
        <w:r w:rsidR="00FC0172" w:rsidRPr="00B958D8">
          <w:rPr>
            <w:rStyle w:val="af7"/>
            <w:color w:val="auto"/>
            <w:szCs w:val="28"/>
            <w:u w:val="none"/>
            <w:lang w:val="ru-RU"/>
          </w:rPr>
          <w:t>0140-6736(16)31698-1</w:t>
        </w:r>
      </w:hyperlink>
      <w:r w:rsidR="00FC0172" w:rsidRPr="00B958D8">
        <w:rPr>
          <w:szCs w:val="28"/>
          <w:lang w:val="ru-RU"/>
        </w:rPr>
        <w:t>.</w:t>
      </w:r>
    </w:p>
    <w:p w:rsidR="00ED4DD8" w:rsidRDefault="00A607AD" w:rsidP="00ED4DD8">
      <w:pPr>
        <w:ind w:firstLine="709"/>
        <w:rPr>
          <w:szCs w:val="28"/>
          <w:lang w:val="en-US"/>
        </w:rPr>
      </w:pPr>
      <w:r w:rsidRPr="00FC0172">
        <w:rPr>
          <w:szCs w:val="28"/>
          <w:lang w:val="ru-RU"/>
        </w:rPr>
        <w:t>204.</w:t>
      </w:r>
      <w:r w:rsidRPr="00FC0172">
        <w:rPr>
          <w:szCs w:val="28"/>
          <w:lang w:val="ru-RU"/>
        </w:rPr>
        <w:tab/>
        <w:t xml:space="preserve">Внедрение цикла Анализа Критических Случаев в акушерской практике на уровне стационара. Европейское региональное бюро ВОЗ. Копенгаген. </w:t>
      </w:r>
      <w:r w:rsidRPr="00B16D28">
        <w:rPr>
          <w:szCs w:val="28"/>
          <w:lang w:val="ru-RU"/>
        </w:rPr>
        <w:t xml:space="preserve">2017 </w:t>
      </w:r>
      <w:r w:rsidRPr="00FC0172">
        <w:rPr>
          <w:szCs w:val="28"/>
          <w:lang w:val="ru-RU"/>
        </w:rPr>
        <w:t>г</w:t>
      </w:r>
      <w:r w:rsidRPr="00B16D28">
        <w:rPr>
          <w:szCs w:val="28"/>
          <w:lang w:val="ru-RU"/>
        </w:rPr>
        <w:t xml:space="preserve">. </w:t>
      </w:r>
      <w:r w:rsidRPr="00FC0172">
        <w:rPr>
          <w:szCs w:val="28"/>
          <w:lang w:val="ru-RU"/>
        </w:rPr>
        <w:t>Копенгаген</w:t>
      </w:r>
      <w:r w:rsidRPr="00B16D28">
        <w:rPr>
          <w:szCs w:val="28"/>
          <w:lang w:val="ru-RU"/>
        </w:rPr>
        <w:t>,</w:t>
      </w:r>
      <w:r w:rsidR="00766B98">
        <w:rPr>
          <w:szCs w:val="28"/>
          <w:lang w:val="en-US"/>
        </w:rPr>
        <w:t> </w:t>
      </w:r>
      <w:r w:rsidRPr="00B16D28">
        <w:rPr>
          <w:szCs w:val="28"/>
          <w:lang w:val="ru-RU"/>
        </w:rPr>
        <w:t>2016.</w:t>
      </w:r>
      <w:r w:rsidR="00766B98">
        <w:rPr>
          <w:szCs w:val="28"/>
          <w:lang w:val="en-US"/>
        </w:rPr>
        <w:t> </w:t>
      </w:r>
      <w:r w:rsidRPr="00B16D28">
        <w:rPr>
          <w:szCs w:val="28"/>
          <w:lang w:val="ru-RU"/>
        </w:rPr>
        <w:t>104</w:t>
      </w:r>
      <w:r>
        <w:t> </w:t>
      </w:r>
      <w:r w:rsidRPr="00FC0172">
        <w:rPr>
          <w:szCs w:val="28"/>
          <w:lang w:val="ru-RU"/>
        </w:rPr>
        <w:t>с</w:t>
      </w:r>
      <w:r w:rsidRPr="00B16D28">
        <w:rPr>
          <w:szCs w:val="28"/>
          <w:lang w:val="ru-RU"/>
        </w:rPr>
        <w:t>.</w:t>
      </w:r>
      <w:r w:rsidR="00766B98">
        <w:rPr>
          <w:szCs w:val="28"/>
          <w:lang w:val="en-US"/>
        </w:rPr>
        <w:t> </w:t>
      </w:r>
      <w:r w:rsidRPr="00FC0172">
        <w:rPr>
          <w:szCs w:val="28"/>
        </w:rPr>
        <w:t>URL</w:t>
      </w:r>
      <w:r w:rsidRPr="00B16D28">
        <w:rPr>
          <w:szCs w:val="28"/>
          <w:lang w:val="ru-RU"/>
        </w:rPr>
        <w:t>:</w:t>
      </w:r>
      <w:r w:rsidR="00766B98">
        <w:rPr>
          <w:szCs w:val="28"/>
          <w:lang w:val="en-US"/>
        </w:rPr>
        <w:t> </w:t>
      </w:r>
      <w:r w:rsidRPr="00B16D28">
        <w:rPr>
          <w:szCs w:val="28"/>
          <w:lang w:val="ru-RU"/>
        </w:rPr>
        <w:t xml:space="preserve"> </w:t>
      </w:r>
      <w:r w:rsidRPr="00FC0172">
        <w:rPr>
          <w:szCs w:val="28"/>
        </w:rPr>
        <w:t>https</w:t>
      </w:r>
      <w:r w:rsidRPr="00B16D28">
        <w:rPr>
          <w:szCs w:val="28"/>
          <w:lang w:val="ru-RU"/>
        </w:rPr>
        <w:t>://</w:t>
      </w:r>
      <w:r w:rsidRPr="00FC0172">
        <w:rPr>
          <w:szCs w:val="28"/>
        </w:rPr>
        <w:t>www</w:t>
      </w:r>
      <w:r w:rsidRPr="00B16D28">
        <w:rPr>
          <w:szCs w:val="28"/>
          <w:lang w:val="ru-RU"/>
        </w:rPr>
        <w:t>.</w:t>
      </w:r>
      <w:r w:rsidRPr="00FC0172">
        <w:rPr>
          <w:szCs w:val="28"/>
        </w:rPr>
        <w:t>euro</w:t>
      </w:r>
      <w:r w:rsidRPr="00B16D28">
        <w:rPr>
          <w:szCs w:val="28"/>
          <w:lang w:val="ru-RU"/>
        </w:rPr>
        <w:t>.</w:t>
      </w:r>
      <w:r w:rsidRPr="00FC0172">
        <w:rPr>
          <w:szCs w:val="28"/>
        </w:rPr>
        <w:t>who</w:t>
      </w:r>
      <w:r w:rsidRPr="00B16D28">
        <w:rPr>
          <w:szCs w:val="28"/>
          <w:lang w:val="ru-RU"/>
        </w:rPr>
        <w:t>.</w:t>
      </w:r>
      <w:r w:rsidRPr="00FC0172">
        <w:rPr>
          <w:szCs w:val="28"/>
        </w:rPr>
        <w:t>int</w:t>
      </w:r>
      <w:r w:rsidRPr="00B16D28">
        <w:rPr>
          <w:szCs w:val="28"/>
          <w:lang w:val="ru-RU"/>
        </w:rPr>
        <w:t>/__</w:t>
      </w:r>
      <w:r w:rsidRPr="00FC0172">
        <w:rPr>
          <w:szCs w:val="28"/>
        </w:rPr>
        <w:t>data</w:t>
      </w:r>
      <w:r w:rsidRPr="00B16D28">
        <w:rPr>
          <w:szCs w:val="28"/>
          <w:lang w:val="ru-RU"/>
        </w:rPr>
        <w:t>/</w:t>
      </w:r>
      <w:r w:rsidRPr="00FC0172">
        <w:rPr>
          <w:szCs w:val="28"/>
        </w:rPr>
        <w:t>assets</w:t>
      </w:r>
      <w:r w:rsidRPr="00B16D28">
        <w:rPr>
          <w:szCs w:val="28"/>
          <w:lang w:val="ru-RU"/>
        </w:rPr>
        <w:t>/</w:t>
      </w:r>
      <w:r w:rsidRPr="00FC0172">
        <w:rPr>
          <w:szCs w:val="28"/>
        </w:rPr>
        <w:t>pdf</w:t>
      </w:r>
      <w:r w:rsidRPr="00B16D28">
        <w:rPr>
          <w:szCs w:val="28"/>
          <w:lang w:val="ru-RU"/>
        </w:rPr>
        <w:t>_</w:t>
      </w:r>
      <w:r w:rsidRPr="00FC0172">
        <w:rPr>
          <w:szCs w:val="28"/>
        </w:rPr>
        <w:t>file</w:t>
      </w:r>
      <w:r w:rsidRPr="00B16D28">
        <w:rPr>
          <w:szCs w:val="28"/>
          <w:lang w:val="ru-RU"/>
        </w:rPr>
        <w:t>/0004/324391/</w:t>
      </w:r>
      <w:r w:rsidRPr="00FC0172">
        <w:rPr>
          <w:szCs w:val="28"/>
        </w:rPr>
        <w:t>NMCR</w:t>
      </w:r>
      <w:r w:rsidRPr="00B16D28">
        <w:rPr>
          <w:szCs w:val="28"/>
          <w:lang w:val="ru-RU"/>
        </w:rPr>
        <w:t>-</w:t>
      </w:r>
      <w:r w:rsidRPr="00FC0172">
        <w:rPr>
          <w:szCs w:val="28"/>
        </w:rPr>
        <w:t>manual</w:t>
      </w:r>
      <w:r w:rsidRPr="00B16D28">
        <w:rPr>
          <w:szCs w:val="28"/>
          <w:lang w:val="ru-RU"/>
        </w:rPr>
        <w:t>-</w:t>
      </w:r>
      <w:r w:rsidRPr="00FC0172">
        <w:rPr>
          <w:szCs w:val="28"/>
        </w:rPr>
        <w:t>ru</w:t>
      </w:r>
      <w:r w:rsidRPr="00B16D28">
        <w:rPr>
          <w:szCs w:val="28"/>
          <w:lang w:val="ru-RU"/>
        </w:rPr>
        <w:t>.</w:t>
      </w:r>
      <w:r w:rsidRPr="00FC0172">
        <w:rPr>
          <w:szCs w:val="28"/>
        </w:rPr>
        <w:t>pdf</w:t>
      </w:r>
      <w:r w:rsidRPr="00B16D28">
        <w:rPr>
          <w:szCs w:val="28"/>
          <w:lang w:val="ru-RU"/>
        </w:rPr>
        <w:t xml:space="preserve"> (</w:t>
      </w:r>
      <w:r w:rsidRPr="00FC0172">
        <w:rPr>
          <w:szCs w:val="28"/>
        </w:rPr>
        <w:t>Last</w:t>
      </w:r>
      <w:r w:rsidRPr="00B16D28">
        <w:rPr>
          <w:szCs w:val="28"/>
          <w:lang w:val="ru-RU"/>
        </w:rPr>
        <w:t xml:space="preserve"> </w:t>
      </w:r>
      <w:r w:rsidRPr="00FC0172">
        <w:rPr>
          <w:szCs w:val="28"/>
        </w:rPr>
        <w:t>accessed</w:t>
      </w:r>
      <w:r w:rsidRPr="00B16D28">
        <w:rPr>
          <w:szCs w:val="28"/>
          <w:lang w:val="ru-RU"/>
        </w:rPr>
        <w:t xml:space="preserve">: 11.10. </w:t>
      </w:r>
      <w:r w:rsidRPr="00FC0172">
        <w:rPr>
          <w:szCs w:val="28"/>
        </w:rPr>
        <w:t>2020).</w:t>
      </w:r>
    </w:p>
    <w:p w:rsidR="00ED4DD8" w:rsidRDefault="001A5864" w:rsidP="00ED4DD8">
      <w:pPr>
        <w:ind w:firstLine="709"/>
        <w:rPr>
          <w:szCs w:val="28"/>
          <w:lang w:val="en-US"/>
        </w:rPr>
      </w:pPr>
      <w:r>
        <w:rPr>
          <w:szCs w:val="28"/>
        </w:rPr>
        <w:t xml:space="preserve">205. </w:t>
      </w:r>
      <w:r w:rsidR="00A607AD" w:rsidRPr="00ED4DD8">
        <w:rPr>
          <w:szCs w:val="28"/>
        </w:rPr>
        <w:t>Shelton J. D. Taking Exception. Reduced mortality leads to population growth: an inconvenient truth. Global Health: Science andPractice. 2014. Vol. 2 (2). P.</w:t>
      </w:r>
      <w:r>
        <w:rPr>
          <w:szCs w:val="28"/>
          <w:lang w:val="en-US"/>
        </w:rPr>
        <w:t> </w:t>
      </w:r>
      <w:r w:rsidR="00A607AD" w:rsidRPr="00ED4DD8">
        <w:rPr>
          <w:szCs w:val="28"/>
        </w:rPr>
        <w:t>135–138. DOI: 10.9745/GHSP-D-14-</w:t>
      </w:r>
      <w:r>
        <w:rPr>
          <w:szCs w:val="28"/>
        </w:rPr>
        <w:t>00062 (Last accessed: 28.02.2020</w:t>
      </w:r>
      <w:r w:rsidR="00A607AD" w:rsidRPr="00ED4DD8">
        <w:rPr>
          <w:szCs w:val="28"/>
        </w:rPr>
        <w:t xml:space="preserve">). </w:t>
      </w:r>
    </w:p>
    <w:p w:rsidR="00ED4DD8" w:rsidRDefault="00B73E27" w:rsidP="005C4907">
      <w:pPr>
        <w:ind w:firstLine="709"/>
        <w:rPr>
          <w:szCs w:val="28"/>
          <w:lang w:val="en-US"/>
        </w:rPr>
      </w:pPr>
      <w:r>
        <w:rPr>
          <w:szCs w:val="28"/>
        </w:rPr>
        <w:t>206.</w:t>
      </w:r>
      <w:r>
        <w:rPr>
          <w:szCs w:val="28"/>
          <w:lang w:val="en-US"/>
        </w:rPr>
        <w:t xml:space="preserve"> </w:t>
      </w:r>
      <w:r w:rsidR="00A607AD" w:rsidRPr="00ED4DD8">
        <w:rPr>
          <w:szCs w:val="28"/>
        </w:rPr>
        <w:t xml:space="preserve">Health Equity Report 2016: Analysis of reproductive, maternal, newborn, child and adolescent health inequities in Latin America and the Caribbean to inform policymaking. </w:t>
      </w:r>
      <w:r w:rsidR="00A607AD" w:rsidRPr="00ED4DD8">
        <w:rPr>
          <w:szCs w:val="28"/>
        </w:rPr>
        <w:lastRenderedPageBreak/>
        <w:t>Summary Report. Panama, Republic of Panama: UNICEF, 2016. 48</w:t>
      </w:r>
      <w:r w:rsidR="005C4907">
        <w:rPr>
          <w:lang w:val="en-US"/>
        </w:rPr>
        <w:t> </w:t>
      </w:r>
      <w:r w:rsidR="00A607AD" w:rsidRPr="00ED4DD8">
        <w:rPr>
          <w:szCs w:val="28"/>
        </w:rPr>
        <w:t>p. URL:</w:t>
      </w:r>
      <w:r w:rsidR="005C4907">
        <w:rPr>
          <w:szCs w:val="28"/>
          <w:lang w:val="en-US"/>
        </w:rPr>
        <w:t> </w:t>
      </w:r>
      <w:r w:rsidR="00A607AD" w:rsidRPr="00ED4DD8">
        <w:rPr>
          <w:szCs w:val="28"/>
        </w:rPr>
        <w:t>https://www.unicef.org/lac/</w:t>
      </w:r>
      <w:r w:rsidR="005C4907">
        <w:rPr>
          <w:szCs w:val="28"/>
        </w:rPr>
        <w:t>sites/unicef.org.lac/files/2018</w:t>
      </w:r>
      <w:r w:rsidR="005C4907">
        <w:rPr>
          <w:szCs w:val="28"/>
          <w:lang w:val="en-US"/>
        </w:rPr>
        <w:t>-</w:t>
      </w:r>
      <w:r w:rsidR="00A607AD" w:rsidRPr="00ED4DD8">
        <w:rPr>
          <w:szCs w:val="28"/>
        </w:rPr>
        <w:t>03/20160906_UNICEF_APR_HealthEquityReport_SUMMARY.pdf (Last accessed: 11.10. 2020).</w:t>
      </w:r>
    </w:p>
    <w:p w:rsidR="00ED4DD8" w:rsidRDefault="005C4907" w:rsidP="00ED4DD8">
      <w:pPr>
        <w:ind w:firstLine="709"/>
        <w:rPr>
          <w:szCs w:val="28"/>
          <w:lang w:val="en-US"/>
        </w:rPr>
      </w:pPr>
      <w:r>
        <w:rPr>
          <w:szCs w:val="28"/>
        </w:rPr>
        <w:t>207.</w:t>
      </w:r>
      <w:r>
        <w:rPr>
          <w:szCs w:val="28"/>
          <w:lang w:val="en-US"/>
        </w:rPr>
        <w:t xml:space="preserve"> </w:t>
      </w:r>
      <w:r w:rsidR="00A607AD" w:rsidRPr="00976576">
        <w:rPr>
          <w:szCs w:val="28"/>
        </w:rPr>
        <w:t>Rutstein S. O.</w:t>
      </w:r>
      <w:r w:rsidR="00A607AD" w:rsidRPr="00ED4DD8">
        <w:rPr>
          <w:szCs w:val="28"/>
        </w:rPr>
        <w:t xml:space="preserve"> Factors associated with trends in infant and child mortality in developing countries during the 1990s. Bulletin of the World Health Organization. 2000. Vol. 78 (10). P.</w:t>
      </w:r>
      <w:r>
        <w:rPr>
          <w:lang w:val="en-US"/>
        </w:rPr>
        <w:t> </w:t>
      </w:r>
      <w:r w:rsidR="00A607AD" w:rsidRPr="00ED4DD8">
        <w:rPr>
          <w:szCs w:val="28"/>
        </w:rPr>
        <w:t>1256–1270. URL: https://www.scielosp.org/pdf/bwho/2000.v78n10/1256-1270 (Last accessed: 18.10. 2010).</w:t>
      </w:r>
    </w:p>
    <w:p w:rsidR="00ED4DD8" w:rsidRDefault="005C4907" w:rsidP="00ED4DD8">
      <w:pPr>
        <w:ind w:firstLine="709"/>
        <w:rPr>
          <w:szCs w:val="28"/>
          <w:lang w:val="en-US"/>
        </w:rPr>
      </w:pPr>
      <w:r>
        <w:rPr>
          <w:szCs w:val="28"/>
        </w:rPr>
        <w:t>208.</w:t>
      </w:r>
      <w:r>
        <w:rPr>
          <w:szCs w:val="28"/>
          <w:lang w:val="en-US"/>
        </w:rPr>
        <w:t xml:space="preserve"> </w:t>
      </w:r>
      <w:r w:rsidR="00A607AD" w:rsidRPr="00ED4DD8">
        <w:rPr>
          <w:szCs w:val="28"/>
        </w:rPr>
        <w:t>Risk factors for under-5 mortality: evidence from Bangladesh Demographic and Health Survey, 2004–2011. The British Medical Journal Open. 2015. Vol. 5 (8). P. e006722. Published online 2015 Aug 21. DOI: 10.1136/bmjopen-2014-0</w:t>
      </w:r>
      <w:r>
        <w:rPr>
          <w:szCs w:val="28"/>
        </w:rPr>
        <w:t>06722 (Last accessed: 28.02.202</w:t>
      </w:r>
      <w:r>
        <w:rPr>
          <w:szCs w:val="28"/>
          <w:lang w:val="en-US"/>
        </w:rPr>
        <w:t>0</w:t>
      </w:r>
      <w:r w:rsidR="00A607AD" w:rsidRPr="00ED4DD8">
        <w:rPr>
          <w:szCs w:val="28"/>
        </w:rPr>
        <w:t xml:space="preserve">). </w:t>
      </w:r>
    </w:p>
    <w:p w:rsidR="00ED4DD8" w:rsidRDefault="005C4907" w:rsidP="00ED4DD8">
      <w:pPr>
        <w:ind w:firstLine="709"/>
        <w:rPr>
          <w:szCs w:val="28"/>
          <w:lang w:val="en-US"/>
        </w:rPr>
      </w:pPr>
      <w:r>
        <w:rPr>
          <w:szCs w:val="28"/>
        </w:rPr>
        <w:t>209.</w:t>
      </w:r>
      <w:r>
        <w:rPr>
          <w:szCs w:val="28"/>
          <w:lang w:val="en-US"/>
        </w:rPr>
        <w:t xml:space="preserve"> </w:t>
      </w:r>
      <w:r w:rsidR="00A607AD" w:rsidRPr="00ED4DD8">
        <w:rPr>
          <w:szCs w:val="28"/>
        </w:rPr>
        <w:t>Braveman P., Gottlieb L. The social determinants of health: it's time to consider the causes of the causes. Public Health Report. 2014. Vol. 129, Suppl. 2. P.</w:t>
      </w:r>
      <w:r>
        <w:rPr>
          <w:lang w:val="en-US"/>
        </w:rPr>
        <w:t> </w:t>
      </w:r>
      <w:r w:rsidR="00A607AD" w:rsidRPr="00ED4DD8">
        <w:rPr>
          <w:szCs w:val="28"/>
        </w:rPr>
        <w:t>19–31. DOI: 10.1177/00333549141291S206 (Last accessed: 26.09.2020).</w:t>
      </w:r>
    </w:p>
    <w:p w:rsidR="00ED4DD8" w:rsidRDefault="005C4907" w:rsidP="00ED4DD8">
      <w:pPr>
        <w:ind w:firstLine="709"/>
        <w:rPr>
          <w:szCs w:val="28"/>
          <w:lang w:val="en-US"/>
        </w:rPr>
      </w:pPr>
      <w:r>
        <w:rPr>
          <w:szCs w:val="28"/>
        </w:rPr>
        <w:t>210.</w:t>
      </w:r>
      <w:r>
        <w:rPr>
          <w:szCs w:val="28"/>
          <w:lang w:val="en-US"/>
        </w:rPr>
        <w:t xml:space="preserve"> </w:t>
      </w:r>
      <w:r w:rsidR="00A607AD" w:rsidRPr="00ED4DD8">
        <w:rPr>
          <w:szCs w:val="28"/>
        </w:rPr>
        <w:t>Solar O., Irwin A. A. Conceptual Framework for Action on the Social Determinants of Health Social Determinants of Health Discussion. Paper 2. Debates (Policy and Practice) / World Health Organization. Geneva, 2010. 79</w:t>
      </w:r>
      <w:r w:rsidR="00A607AD" w:rsidRPr="00C06822">
        <w:t> </w:t>
      </w:r>
      <w:r w:rsidR="00A607AD" w:rsidRPr="00ED4DD8">
        <w:rPr>
          <w:szCs w:val="28"/>
        </w:rPr>
        <w:t>p. URL: https://www.who.int/sdhconference/resources/ConceptualframeworkforactiononSDH_eng.pdf  (Last accessed: 11.10. 2020).</w:t>
      </w:r>
    </w:p>
    <w:p w:rsidR="00ED4DD8" w:rsidRPr="00AF53B9" w:rsidRDefault="00710522" w:rsidP="00E92080">
      <w:pPr>
        <w:ind w:firstLine="709"/>
        <w:rPr>
          <w:szCs w:val="28"/>
          <w:lang w:val="en-US"/>
        </w:rPr>
      </w:pPr>
      <w:r w:rsidRPr="00E92080">
        <w:rPr>
          <w:szCs w:val="28"/>
        </w:rPr>
        <w:t>211.</w:t>
      </w:r>
      <w:r w:rsidRPr="00E92080">
        <w:rPr>
          <w:szCs w:val="28"/>
          <w:lang w:val="en-US"/>
        </w:rPr>
        <w:t xml:space="preserve"> </w:t>
      </w:r>
      <w:r w:rsidR="00E92080" w:rsidRPr="00E92080">
        <w:rPr>
          <w:szCs w:val="28"/>
          <w:lang w:val="en-US"/>
        </w:rPr>
        <w:t xml:space="preserve">Lu C., Black M. M., Richter L. M. Risk of Poor development in Young Children in Low-Income and Middle-Income Countries: An Estimation and Analysis at the Global, Regional, and Country Level. </w:t>
      </w:r>
      <w:r w:rsidR="00E92080" w:rsidRPr="00E92080">
        <w:rPr>
          <w:i/>
          <w:szCs w:val="28"/>
          <w:lang w:val="en-US"/>
        </w:rPr>
        <w:t>Lancet Global</w:t>
      </w:r>
      <w:r w:rsidR="00E92080" w:rsidRPr="00E92080">
        <w:rPr>
          <w:szCs w:val="28"/>
          <w:lang w:val="en-US"/>
        </w:rPr>
        <w:t xml:space="preserve"> </w:t>
      </w:r>
      <w:r w:rsidR="00E92080" w:rsidRPr="00E92080">
        <w:rPr>
          <w:i/>
          <w:szCs w:val="28"/>
          <w:lang w:val="en-US"/>
        </w:rPr>
        <w:t>Health</w:t>
      </w:r>
      <w:r w:rsidR="00E92080" w:rsidRPr="00E92080">
        <w:rPr>
          <w:szCs w:val="28"/>
          <w:lang w:val="en-US"/>
        </w:rPr>
        <w:t xml:space="preserve">. 2016. </w:t>
      </w:r>
      <w:hyperlink r:id="rId66" w:history="1">
        <w:r w:rsidR="00E92080" w:rsidRPr="00E92080">
          <w:rPr>
            <w:rStyle w:val="af7"/>
            <w:color w:val="auto"/>
            <w:szCs w:val="28"/>
            <w:u w:val="none"/>
            <w:lang w:val="en-US"/>
          </w:rPr>
          <w:t>Vol. 4, Is. 12</w:t>
        </w:r>
      </w:hyperlink>
      <w:r w:rsidR="00E92080" w:rsidRPr="00E92080">
        <w:rPr>
          <w:szCs w:val="28"/>
          <w:lang w:val="en-US"/>
        </w:rPr>
        <w:t xml:space="preserve">. P.  E916–E922. DOI: </w:t>
      </w:r>
      <w:hyperlink r:id="rId67" w:history="1">
        <w:r w:rsidR="00E92080" w:rsidRPr="00E92080">
          <w:rPr>
            <w:rStyle w:val="af7"/>
            <w:color w:val="auto"/>
            <w:szCs w:val="28"/>
            <w:u w:val="none"/>
            <w:lang w:val="en-US"/>
          </w:rPr>
          <w:t>https://pubmed.ncbi.nlm.nih.gov/27717632/</w:t>
        </w:r>
      </w:hyperlink>
      <w:r w:rsidR="00E92080" w:rsidRPr="00E92080">
        <w:rPr>
          <w:szCs w:val="28"/>
          <w:lang w:val="en-US"/>
        </w:rPr>
        <w:t xml:space="preserve"> </w:t>
      </w:r>
      <w:r w:rsidR="00E92080" w:rsidRPr="00E92080">
        <w:rPr>
          <w:szCs w:val="28"/>
        </w:rPr>
        <w:t>(</w:t>
      </w:r>
      <w:r w:rsidR="00E92080" w:rsidRPr="00E92080">
        <w:rPr>
          <w:szCs w:val="28"/>
          <w:lang w:val="en-US"/>
        </w:rPr>
        <w:t>Last accessed</w:t>
      </w:r>
      <w:r w:rsidR="00E92080" w:rsidRPr="00E92080">
        <w:rPr>
          <w:szCs w:val="28"/>
        </w:rPr>
        <w:t>: 0</w:t>
      </w:r>
      <w:r w:rsidR="00E92080" w:rsidRPr="00E92080">
        <w:rPr>
          <w:szCs w:val="28"/>
          <w:lang w:val="en-US"/>
        </w:rPr>
        <w:t>3</w:t>
      </w:r>
      <w:r w:rsidR="00E92080" w:rsidRPr="00E92080">
        <w:rPr>
          <w:szCs w:val="28"/>
        </w:rPr>
        <w:t>.0</w:t>
      </w:r>
      <w:r w:rsidR="00E92080" w:rsidRPr="00E92080">
        <w:rPr>
          <w:szCs w:val="28"/>
          <w:lang w:val="en-US"/>
        </w:rPr>
        <w:t>4</w:t>
      </w:r>
      <w:r w:rsidR="00E92080" w:rsidRPr="00E92080">
        <w:rPr>
          <w:szCs w:val="28"/>
        </w:rPr>
        <w:t>.202</w:t>
      </w:r>
      <w:r w:rsidR="00E92080" w:rsidRPr="00E92080">
        <w:rPr>
          <w:szCs w:val="28"/>
          <w:lang w:val="en-US"/>
        </w:rPr>
        <w:t>0</w:t>
      </w:r>
      <w:r w:rsidR="00E92080" w:rsidRPr="00E92080">
        <w:rPr>
          <w:szCs w:val="28"/>
        </w:rPr>
        <w:t>).</w:t>
      </w:r>
    </w:p>
    <w:p w:rsidR="00ED4DD8" w:rsidRDefault="005C4907" w:rsidP="00ED4DD8">
      <w:pPr>
        <w:ind w:firstLine="709"/>
        <w:rPr>
          <w:szCs w:val="28"/>
          <w:lang w:val="en-US"/>
        </w:rPr>
      </w:pPr>
      <w:r>
        <w:rPr>
          <w:szCs w:val="28"/>
        </w:rPr>
        <w:t>212.</w:t>
      </w:r>
      <w:r>
        <w:rPr>
          <w:szCs w:val="28"/>
          <w:lang w:val="en-US"/>
        </w:rPr>
        <w:t xml:space="preserve"> </w:t>
      </w:r>
      <w:r w:rsidR="00A607AD" w:rsidRPr="00ED4DD8">
        <w:rPr>
          <w:szCs w:val="28"/>
        </w:rPr>
        <w:t>Inheriting a sustainable world? Atlas on children’s hea</w:t>
      </w:r>
      <w:r>
        <w:rPr>
          <w:szCs w:val="28"/>
        </w:rPr>
        <w:t>lth and the environment / World</w:t>
      </w:r>
      <w:r w:rsidR="00EC7827">
        <w:rPr>
          <w:szCs w:val="28"/>
          <w:lang w:val="en-US"/>
        </w:rPr>
        <w:t> </w:t>
      </w:r>
      <w:r>
        <w:rPr>
          <w:szCs w:val="28"/>
        </w:rPr>
        <w:t>Health</w:t>
      </w:r>
      <w:r w:rsidR="00EC7827">
        <w:rPr>
          <w:szCs w:val="28"/>
          <w:lang w:val="en-US"/>
        </w:rPr>
        <w:t> </w:t>
      </w:r>
      <w:r>
        <w:rPr>
          <w:szCs w:val="28"/>
        </w:rPr>
        <w:t>Organization.</w:t>
      </w:r>
      <w:r w:rsidR="00EC7827">
        <w:rPr>
          <w:szCs w:val="28"/>
          <w:lang w:val="en-US"/>
        </w:rPr>
        <w:t> </w:t>
      </w:r>
      <w:r w:rsidR="00A607AD" w:rsidRPr="00ED4DD8">
        <w:rPr>
          <w:szCs w:val="28"/>
        </w:rPr>
        <w:t>Geneva,</w:t>
      </w:r>
      <w:r w:rsidR="00A607AD">
        <w:t> </w:t>
      </w:r>
      <w:r>
        <w:rPr>
          <w:szCs w:val="28"/>
        </w:rPr>
        <w:t>2017.</w:t>
      </w:r>
      <w:r w:rsidR="00EC7827">
        <w:rPr>
          <w:szCs w:val="28"/>
          <w:lang w:val="en-US"/>
        </w:rPr>
        <w:t> </w:t>
      </w:r>
      <w:r w:rsidR="00A607AD" w:rsidRPr="00ED4DD8">
        <w:rPr>
          <w:szCs w:val="28"/>
        </w:rPr>
        <w:t>164</w:t>
      </w:r>
      <w:r w:rsidR="00A607AD">
        <w:t> </w:t>
      </w:r>
      <w:r>
        <w:rPr>
          <w:szCs w:val="28"/>
        </w:rPr>
        <w:t>p.</w:t>
      </w:r>
      <w:r w:rsidR="00EC7827">
        <w:rPr>
          <w:szCs w:val="28"/>
          <w:lang w:val="en-US"/>
        </w:rPr>
        <w:t> </w:t>
      </w:r>
      <w:r>
        <w:rPr>
          <w:szCs w:val="28"/>
          <w:lang w:val="en-US"/>
        </w:rPr>
        <w:t xml:space="preserve"> </w:t>
      </w:r>
      <w:r w:rsidR="00A607AD" w:rsidRPr="00ED4DD8">
        <w:rPr>
          <w:szCs w:val="28"/>
        </w:rPr>
        <w:t>URL:  https://www.who.int/publications/i/item/9789241511773  (Last accessed: 11.10.2020).</w:t>
      </w:r>
    </w:p>
    <w:p w:rsidR="00ED4DD8" w:rsidRDefault="00710522" w:rsidP="00ED4DD8">
      <w:pPr>
        <w:ind w:firstLine="709"/>
        <w:rPr>
          <w:szCs w:val="28"/>
          <w:lang w:val="en-US"/>
        </w:rPr>
      </w:pPr>
      <w:r>
        <w:rPr>
          <w:szCs w:val="28"/>
        </w:rPr>
        <w:lastRenderedPageBreak/>
        <w:t>213.</w:t>
      </w:r>
      <w:r w:rsidRPr="00F71E89">
        <w:rPr>
          <w:szCs w:val="28"/>
          <w:lang w:val="en-US"/>
        </w:rPr>
        <w:t xml:space="preserve"> </w:t>
      </w:r>
      <w:r w:rsidR="00A607AD" w:rsidRPr="00ED4DD8">
        <w:rPr>
          <w:szCs w:val="28"/>
        </w:rPr>
        <w:t>Don’t pollute my future! The impact of the environment on children’s health / World</w:t>
      </w:r>
      <w:r w:rsidR="00480FD7">
        <w:rPr>
          <w:lang w:val="en-US"/>
        </w:rPr>
        <w:t> </w:t>
      </w:r>
      <w:r w:rsidR="00A607AD" w:rsidRPr="00ED4DD8">
        <w:rPr>
          <w:szCs w:val="28"/>
        </w:rPr>
        <w:t>Health</w:t>
      </w:r>
      <w:r w:rsidR="00480FD7">
        <w:rPr>
          <w:szCs w:val="28"/>
          <w:lang w:val="en-US"/>
        </w:rPr>
        <w:t> </w:t>
      </w:r>
      <w:r w:rsidR="00A607AD" w:rsidRPr="00ED4DD8">
        <w:rPr>
          <w:szCs w:val="28"/>
        </w:rPr>
        <w:t>Organization.</w:t>
      </w:r>
      <w:r w:rsidR="00480FD7">
        <w:rPr>
          <w:szCs w:val="28"/>
          <w:lang w:val="en-US"/>
        </w:rPr>
        <w:t> </w:t>
      </w:r>
      <w:r w:rsidR="00A607AD" w:rsidRPr="00ED4DD8">
        <w:rPr>
          <w:szCs w:val="28"/>
        </w:rPr>
        <w:t>Geneva, 2017.</w:t>
      </w:r>
      <w:r w:rsidR="00480FD7" w:rsidRPr="00480FD7">
        <w:rPr>
          <w:lang w:val="en-US"/>
        </w:rPr>
        <w:t> </w:t>
      </w:r>
      <w:r w:rsidR="00A607AD" w:rsidRPr="00ED4DD8">
        <w:rPr>
          <w:szCs w:val="28"/>
        </w:rPr>
        <w:t>33</w:t>
      </w:r>
      <w:r w:rsidR="00A607AD">
        <w:t> </w:t>
      </w:r>
      <w:r w:rsidR="00A607AD" w:rsidRPr="00ED4DD8">
        <w:rPr>
          <w:szCs w:val="28"/>
        </w:rPr>
        <w:t>p.</w:t>
      </w:r>
      <w:r w:rsidR="00480FD7" w:rsidRPr="00480FD7">
        <w:rPr>
          <w:szCs w:val="28"/>
          <w:lang w:val="en-US"/>
        </w:rPr>
        <w:t> </w:t>
      </w:r>
      <w:r w:rsidR="00A607AD" w:rsidRPr="00ED4DD8">
        <w:rPr>
          <w:szCs w:val="28"/>
        </w:rPr>
        <w:t>URL:</w:t>
      </w:r>
      <w:r w:rsidR="00480FD7" w:rsidRPr="00480FD7">
        <w:rPr>
          <w:lang w:val="en-US"/>
        </w:rPr>
        <w:t> </w:t>
      </w:r>
      <w:r w:rsidR="00A607AD" w:rsidRPr="00ED4DD8">
        <w:rPr>
          <w:szCs w:val="28"/>
        </w:rPr>
        <w:t>https://apps.who.int/iris/bitstream/handle/10665/254678/WHO-FWC-IHE-17.01-eng.pdf?sequence=1 (Last accessed: 11.10. 2018).</w:t>
      </w:r>
    </w:p>
    <w:p w:rsidR="000C0445" w:rsidRDefault="00D225B4" w:rsidP="000C0445">
      <w:pPr>
        <w:ind w:firstLine="709"/>
        <w:rPr>
          <w:szCs w:val="28"/>
          <w:lang w:val="en-US"/>
        </w:rPr>
      </w:pPr>
      <w:r>
        <w:rPr>
          <w:szCs w:val="28"/>
        </w:rPr>
        <w:t>214.</w:t>
      </w:r>
      <w:r w:rsidRPr="00D225B4">
        <w:rPr>
          <w:szCs w:val="28"/>
          <w:lang w:val="en-US"/>
        </w:rPr>
        <w:t xml:space="preserve"> </w:t>
      </w:r>
      <w:r w:rsidR="00A607AD" w:rsidRPr="00ED4DD8">
        <w:rPr>
          <w:szCs w:val="28"/>
        </w:rPr>
        <w:t>Ensuring multisectoral action on the determinants of reproductive, maternal, newborn, child, and adolescent health in the post-2015 era / R. Kumanan et al. The British Medical Journal. 2015. Vol. 351. P. h4213. DOI: 10.1136/bmj.</w:t>
      </w:r>
      <w:r>
        <w:rPr>
          <w:szCs w:val="28"/>
        </w:rPr>
        <w:t>h4213 (Last accessed: 28.02.202</w:t>
      </w:r>
      <w:r w:rsidRPr="00D225B4">
        <w:rPr>
          <w:szCs w:val="28"/>
          <w:lang w:val="en-US"/>
        </w:rPr>
        <w:t>0</w:t>
      </w:r>
      <w:r w:rsidR="00A607AD" w:rsidRPr="00ED4DD8">
        <w:rPr>
          <w:szCs w:val="28"/>
        </w:rPr>
        <w:t>).</w:t>
      </w:r>
    </w:p>
    <w:p w:rsidR="000C0445" w:rsidRDefault="00D225B4" w:rsidP="000C0445">
      <w:pPr>
        <w:ind w:firstLine="709"/>
        <w:rPr>
          <w:szCs w:val="28"/>
          <w:lang w:val="en-US"/>
        </w:rPr>
      </w:pPr>
      <w:r>
        <w:rPr>
          <w:szCs w:val="28"/>
        </w:rPr>
        <w:t>215.</w:t>
      </w:r>
      <w:r w:rsidRPr="00D225B4">
        <w:rPr>
          <w:szCs w:val="28"/>
          <w:lang w:val="en-US"/>
        </w:rPr>
        <w:t xml:space="preserve"> </w:t>
      </w:r>
      <w:r w:rsidR="00A607AD" w:rsidRPr="000C0445">
        <w:rPr>
          <w:szCs w:val="28"/>
        </w:rPr>
        <w:t>Preventing disease through healthy environments: A global assessment of the burden of disease from environmental risks / A. Prüss-Ustün et al., World Health Organization.</w:t>
      </w:r>
      <w:r w:rsidR="0035522C">
        <w:rPr>
          <w:szCs w:val="28"/>
          <w:lang w:val="en-US"/>
        </w:rPr>
        <w:t> </w:t>
      </w:r>
      <w:r w:rsidR="00A607AD" w:rsidRPr="000C0445">
        <w:rPr>
          <w:szCs w:val="28"/>
        </w:rPr>
        <w:t>Geneva,</w:t>
      </w:r>
      <w:r w:rsidR="0035522C">
        <w:rPr>
          <w:szCs w:val="28"/>
          <w:lang w:val="en-US"/>
        </w:rPr>
        <w:t> </w:t>
      </w:r>
      <w:r w:rsidR="00A607AD" w:rsidRPr="000C0445">
        <w:rPr>
          <w:szCs w:val="28"/>
        </w:rPr>
        <w:t>2016.</w:t>
      </w:r>
      <w:r w:rsidR="0035522C">
        <w:rPr>
          <w:szCs w:val="28"/>
          <w:lang w:val="en-US"/>
        </w:rPr>
        <w:t> </w:t>
      </w:r>
      <w:r w:rsidR="00A607AD" w:rsidRPr="000C0445">
        <w:rPr>
          <w:szCs w:val="28"/>
        </w:rPr>
        <w:t>176 p.</w:t>
      </w:r>
      <w:r w:rsidR="0035522C">
        <w:rPr>
          <w:szCs w:val="28"/>
          <w:lang w:val="en-US"/>
        </w:rPr>
        <w:t> </w:t>
      </w:r>
      <w:r w:rsidR="00A607AD" w:rsidRPr="000C0445">
        <w:rPr>
          <w:szCs w:val="28"/>
        </w:rPr>
        <w:t>URL:</w:t>
      </w:r>
      <w:r w:rsidR="0035522C">
        <w:rPr>
          <w:szCs w:val="28"/>
          <w:lang w:val="en-US"/>
        </w:rPr>
        <w:t> </w:t>
      </w:r>
      <w:r w:rsidR="00A607AD" w:rsidRPr="000C0445">
        <w:rPr>
          <w:szCs w:val="28"/>
        </w:rPr>
        <w:t xml:space="preserve"> http://apps.who.int/iris/bitstream/10665/204585/1/9789241565196_eng.pdf?ua=1 (Last accessed: 18.10. 2019).</w:t>
      </w:r>
    </w:p>
    <w:p w:rsidR="000C0445" w:rsidRDefault="00A607AD" w:rsidP="000C0445">
      <w:pPr>
        <w:ind w:firstLine="709"/>
        <w:rPr>
          <w:szCs w:val="28"/>
          <w:lang w:val="en-US"/>
        </w:rPr>
      </w:pPr>
      <w:r w:rsidRPr="000C0445">
        <w:rPr>
          <w:szCs w:val="28"/>
        </w:rPr>
        <w:t>21</w:t>
      </w:r>
      <w:r w:rsidR="00D225B4">
        <w:rPr>
          <w:szCs w:val="28"/>
        </w:rPr>
        <w:t>6.</w:t>
      </w:r>
      <w:r w:rsidR="00D225B4" w:rsidRPr="00D225B4">
        <w:rPr>
          <w:szCs w:val="28"/>
          <w:lang w:val="en-US"/>
        </w:rPr>
        <w:t xml:space="preserve"> </w:t>
      </w:r>
      <w:r w:rsidRPr="000C0445">
        <w:rPr>
          <w:szCs w:val="28"/>
        </w:rPr>
        <w:t>Bartlett E. S., Trasande L. Economic impacts of environmentally attributable childhood health outcomes in the European Union. European journal of public health. 2014. Vol. 24 (1). P. 21–26.</w:t>
      </w:r>
    </w:p>
    <w:p w:rsidR="000C0445" w:rsidRDefault="00690739" w:rsidP="000C0445">
      <w:pPr>
        <w:ind w:firstLine="709"/>
        <w:rPr>
          <w:szCs w:val="28"/>
          <w:lang w:val="en-US"/>
        </w:rPr>
      </w:pPr>
      <w:r>
        <w:rPr>
          <w:szCs w:val="28"/>
        </w:rPr>
        <w:t>217.</w:t>
      </w:r>
      <w:r w:rsidRPr="00690739">
        <w:rPr>
          <w:szCs w:val="28"/>
          <w:lang w:val="en-US"/>
        </w:rPr>
        <w:t xml:space="preserve"> </w:t>
      </w:r>
      <w:r w:rsidR="00A607AD" w:rsidRPr="000C0445">
        <w:rPr>
          <w:szCs w:val="28"/>
        </w:rPr>
        <w:t>Healthy Environments for Healthy Children, key messages for action. World Health Organization, United Nations Environment Progamme, 2010. 71</w:t>
      </w:r>
      <w:r w:rsidR="00F72370" w:rsidRPr="00F72370">
        <w:rPr>
          <w:szCs w:val="28"/>
          <w:lang w:val="en-US"/>
        </w:rPr>
        <w:t> </w:t>
      </w:r>
      <w:r w:rsidR="00A607AD" w:rsidRPr="000C0445">
        <w:rPr>
          <w:szCs w:val="28"/>
        </w:rPr>
        <w:t>p. URL: https://www.who.int/ceh/publications/hehc_booklet/en/ (Last accessed: 11.12. 2010).</w:t>
      </w:r>
    </w:p>
    <w:p w:rsidR="000C0445" w:rsidRDefault="00F72370" w:rsidP="000C0445">
      <w:pPr>
        <w:ind w:firstLine="709"/>
        <w:rPr>
          <w:szCs w:val="28"/>
          <w:lang w:val="en-US"/>
        </w:rPr>
      </w:pPr>
      <w:r>
        <w:rPr>
          <w:szCs w:val="28"/>
        </w:rPr>
        <w:t>218.</w:t>
      </w:r>
      <w:r w:rsidRPr="00F72370">
        <w:rPr>
          <w:szCs w:val="28"/>
          <w:lang w:val="en-US"/>
        </w:rPr>
        <w:t xml:space="preserve"> </w:t>
      </w:r>
      <w:r w:rsidR="00A607AD" w:rsidRPr="000C0445">
        <w:rPr>
          <w:szCs w:val="28"/>
        </w:rPr>
        <w:t>Air pollution and acute respiratory infections among children 0-4 years of age: an 18-year time-series study / L. A. Darrow et al. American Journal of Epidemiology. 2014. Vol.</w:t>
      </w:r>
      <w:r>
        <w:t> </w:t>
      </w:r>
      <w:r w:rsidR="00A607AD" w:rsidRPr="000C0445">
        <w:rPr>
          <w:szCs w:val="28"/>
        </w:rPr>
        <w:t>180 (10). P. 968–977.</w:t>
      </w:r>
    </w:p>
    <w:p w:rsidR="000C0445" w:rsidRDefault="00F72370" w:rsidP="000C0445">
      <w:pPr>
        <w:ind w:firstLine="709"/>
        <w:rPr>
          <w:szCs w:val="28"/>
          <w:lang w:val="en-US"/>
        </w:rPr>
      </w:pPr>
      <w:r>
        <w:rPr>
          <w:szCs w:val="28"/>
        </w:rPr>
        <w:t xml:space="preserve">219. </w:t>
      </w:r>
      <w:r w:rsidR="00A607AD" w:rsidRPr="000C0445">
        <w:rPr>
          <w:szCs w:val="28"/>
        </w:rPr>
        <w:t>Hygiene and health: systematic review of handwashing practices worldwide and update of health effects / M. C. Freeman et al. Tropical Medicine and International Health. 2014. Vol. 19 (8). P. 906–916.</w:t>
      </w:r>
    </w:p>
    <w:p w:rsidR="000C0445" w:rsidRDefault="00F72370" w:rsidP="000C0445">
      <w:pPr>
        <w:ind w:firstLine="709"/>
        <w:rPr>
          <w:szCs w:val="28"/>
          <w:lang w:val="en-US"/>
        </w:rPr>
      </w:pPr>
      <w:r>
        <w:rPr>
          <w:szCs w:val="28"/>
        </w:rPr>
        <w:t xml:space="preserve">220. </w:t>
      </w:r>
      <w:r w:rsidR="00A607AD" w:rsidRPr="000C0445">
        <w:rPr>
          <w:szCs w:val="28"/>
        </w:rPr>
        <w:t>Assessing the impact of drinking-water and sanitation on diarrhoeal disease in low-and middle-income settings: A systematic review and meta-regression / J. Wolf et al. Tropical Medicine and International Health. 2014. Vol. 19 (8). P. 928–942.</w:t>
      </w:r>
    </w:p>
    <w:p w:rsidR="000C0445" w:rsidRDefault="00F72370" w:rsidP="000C0445">
      <w:pPr>
        <w:ind w:firstLine="709"/>
        <w:rPr>
          <w:szCs w:val="28"/>
          <w:lang w:val="en-US"/>
        </w:rPr>
      </w:pPr>
      <w:r>
        <w:rPr>
          <w:szCs w:val="28"/>
        </w:rPr>
        <w:lastRenderedPageBreak/>
        <w:t xml:space="preserve">221. </w:t>
      </w:r>
      <w:r w:rsidR="00A607AD" w:rsidRPr="000C0445">
        <w:rPr>
          <w:szCs w:val="28"/>
        </w:rPr>
        <w:t>Water, sanitation, and hygiene (WASH), environmental enteropathy, nutrition, and early child development: making the links / F. M. Ngure et al. Annals of the New York Academy of Sciences. 2014. Vol. 1308 (1). P. 118–128.</w:t>
      </w:r>
    </w:p>
    <w:p w:rsidR="000C0445" w:rsidRDefault="00F72370" w:rsidP="000C0445">
      <w:pPr>
        <w:ind w:firstLine="709"/>
        <w:rPr>
          <w:szCs w:val="28"/>
          <w:lang w:val="en-US"/>
        </w:rPr>
      </w:pPr>
      <w:r>
        <w:rPr>
          <w:szCs w:val="28"/>
        </w:rPr>
        <w:t xml:space="preserve">222. </w:t>
      </w:r>
      <w:r w:rsidR="00A607AD" w:rsidRPr="000C0445">
        <w:rPr>
          <w:szCs w:val="28"/>
        </w:rPr>
        <w:t>Polanska K, Jurewicz J, Hanke W. Review of current evidence on the impact of pesticides, polychlorinated biphenyls and selected metals on attention deficit / hyperactivity disorder in children. International journal of occupational medicine and environmental health. 2013. Vol. 26 (1). P. 16–38.</w:t>
      </w:r>
    </w:p>
    <w:p w:rsidR="000C0445" w:rsidRPr="003116BD" w:rsidRDefault="00F72370" w:rsidP="000C0445">
      <w:pPr>
        <w:ind w:firstLine="709"/>
        <w:rPr>
          <w:szCs w:val="28"/>
        </w:rPr>
      </w:pPr>
      <w:r>
        <w:rPr>
          <w:szCs w:val="28"/>
        </w:rPr>
        <w:t>223.</w:t>
      </w:r>
      <w:r>
        <w:t> </w:t>
      </w:r>
      <w:r w:rsidR="00A607AD" w:rsidRPr="000C0445">
        <w:rPr>
          <w:szCs w:val="28"/>
        </w:rPr>
        <w:t>Associations between environmental exposures and asthma control and exacerbations in young children: a systematic review / Dick Smita et al. The British Medical Journal Open. 2014. Vol. 4 (2). P. e003827. Published online. DOI: 10.1136/bmjopen-2013-0038</w:t>
      </w:r>
      <w:r w:rsidR="003116BD">
        <w:rPr>
          <w:szCs w:val="28"/>
        </w:rPr>
        <w:t>27 (Last accessed: 28.02.202</w:t>
      </w:r>
      <w:r w:rsidR="003116BD" w:rsidRPr="00F71E89">
        <w:rPr>
          <w:szCs w:val="28"/>
          <w:lang w:val="ru-RU"/>
        </w:rPr>
        <w:t>0</w:t>
      </w:r>
      <w:r w:rsidR="000C0445">
        <w:rPr>
          <w:szCs w:val="28"/>
        </w:rPr>
        <w:t>).</w:t>
      </w:r>
    </w:p>
    <w:p w:rsidR="000C0445" w:rsidRPr="000C0445" w:rsidRDefault="003116BD" w:rsidP="000C0445">
      <w:pPr>
        <w:ind w:firstLine="709"/>
        <w:rPr>
          <w:szCs w:val="28"/>
          <w:lang w:val="ru-RU"/>
        </w:rPr>
      </w:pPr>
      <w:r>
        <w:rPr>
          <w:szCs w:val="28"/>
        </w:rPr>
        <w:t>224.</w:t>
      </w:r>
      <w:r>
        <w:rPr>
          <w:lang w:val="en-US"/>
        </w:rPr>
        <w:t> </w:t>
      </w:r>
      <w:r w:rsidR="00A607AD" w:rsidRPr="003116BD">
        <w:rPr>
          <w:szCs w:val="28"/>
        </w:rPr>
        <w:t>Державна</w:t>
      </w:r>
      <w:r w:rsidR="00A607AD" w:rsidRPr="000C0445">
        <w:rPr>
          <w:szCs w:val="28"/>
        </w:rPr>
        <w:t xml:space="preserve"> </w:t>
      </w:r>
      <w:r w:rsidR="00A607AD" w:rsidRPr="003116BD">
        <w:rPr>
          <w:szCs w:val="28"/>
        </w:rPr>
        <w:t>політика</w:t>
      </w:r>
      <w:r w:rsidR="00A607AD" w:rsidRPr="000C0445">
        <w:rPr>
          <w:szCs w:val="28"/>
        </w:rPr>
        <w:t xml:space="preserve"> </w:t>
      </w:r>
      <w:r w:rsidR="00A607AD" w:rsidRPr="003116BD">
        <w:rPr>
          <w:szCs w:val="28"/>
        </w:rPr>
        <w:t>у</w:t>
      </w:r>
      <w:r w:rsidR="00A607AD" w:rsidRPr="000C0445">
        <w:rPr>
          <w:szCs w:val="28"/>
        </w:rPr>
        <w:t xml:space="preserve"> </w:t>
      </w:r>
      <w:r w:rsidR="00A607AD" w:rsidRPr="003116BD">
        <w:rPr>
          <w:szCs w:val="28"/>
        </w:rPr>
        <w:t>сфері</w:t>
      </w:r>
      <w:r w:rsidR="00A607AD" w:rsidRPr="000C0445">
        <w:rPr>
          <w:szCs w:val="28"/>
        </w:rPr>
        <w:t xml:space="preserve"> </w:t>
      </w:r>
      <w:r w:rsidR="00A607AD" w:rsidRPr="003116BD">
        <w:rPr>
          <w:szCs w:val="28"/>
        </w:rPr>
        <w:t>охорони</w:t>
      </w:r>
      <w:r w:rsidR="00A607AD" w:rsidRPr="000C0445">
        <w:rPr>
          <w:szCs w:val="28"/>
        </w:rPr>
        <w:t xml:space="preserve"> </w:t>
      </w:r>
      <w:r w:rsidR="00A607AD" w:rsidRPr="003116BD">
        <w:rPr>
          <w:szCs w:val="28"/>
        </w:rPr>
        <w:t>здоров</w:t>
      </w:r>
      <w:r w:rsidR="00A607AD" w:rsidRPr="000C0445">
        <w:rPr>
          <w:szCs w:val="28"/>
        </w:rPr>
        <w:t>’</w:t>
      </w:r>
      <w:r w:rsidR="00A607AD" w:rsidRPr="003116BD">
        <w:rPr>
          <w:szCs w:val="28"/>
        </w:rPr>
        <w:t>я</w:t>
      </w:r>
      <w:r w:rsidR="00A607AD" w:rsidRPr="000C0445">
        <w:rPr>
          <w:szCs w:val="28"/>
        </w:rPr>
        <w:t xml:space="preserve">: </w:t>
      </w:r>
      <w:r w:rsidR="00A607AD" w:rsidRPr="003116BD">
        <w:rPr>
          <w:szCs w:val="28"/>
        </w:rPr>
        <w:t>колект</w:t>
      </w:r>
      <w:r w:rsidR="00A607AD" w:rsidRPr="000C0445">
        <w:rPr>
          <w:szCs w:val="28"/>
        </w:rPr>
        <w:t xml:space="preserve">. </w:t>
      </w:r>
      <w:r w:rsidR="00A607AD" w:rsidRPr="003116BD">
        <w:rPr>
          <w:szCs w:val="28"/>
        </w:rPr>
        <w:t>моногр</w:t>
      </w:r>
      <w:r w:rsidR="00A607AD" w:rsidRPr="000C0445">
        <w:rPr>
          <w:szCs w:val="28"/>
        </w:rPr>
        <w:t xml:space="preserve">.: </w:t>
      </w:r>
      <w:r w:rsidR="00A607AD" w:rsidRPr="003116BD">
        <w:rPr>
          <w:szCs w:val="28"/>
        </w:rPr>
        <w:t>у</w:t>
      </w:r>
      <w:r w:rsidR="00A607AD" w:rsidRPr="000C0445">
        <w:rPr>
          <w:szCs w:val="28"/>
        </w:rPr>
        <w:t xml:space="preserve"> 2 </w:t>
      </w:r>
      <w:r w:rsidR="00A607AD" w:rsidRPr="003116BD">
        <w:rPr>
          <w:szCs w:val="28"/>
        </w:rPr>
        <w:t>ч</w:t>
      </w:r>
      <w:r w:rsidR="00A607AD" w:rsidRPr="000C0445">
        <w:rPr>
          <w:szCs w:val="28"/>
        </w:rPr>
        <w:t xml:space="preserve">. / </w:t>
      </w:r>
      <w:r w:rsidR="00A607AD" w:rsidRPr="003116BD">
        <w:rPr>
          <w:szCs w:val="28"/>
        </w:rPr>
        <w:t>упоряд</w:t>
      </w:r>
      <w:r w:rsidR="00A607AD" w:rsidRPr="000C0445">
        <w:rPr>
          <w:szCs w:val="28"/>
        </w:rPr>
        <w:t xml:space="preserve">. </w:t>
      </w:r>
      <w:r w:rsidR="00A607AD" w:rsidRPr="003116BD">
        <w:rPr>
          <w:szCs w:val="28"/>
        </w:rPr>
        <w:t xml:space="preserve">Я. Ф. Радиш; передм. та заг. ред. М. М. Білинської, Я. Ф. Радиша. Київ: НАДУ, 2013. Ч. 1. 396 с. </w:t>
      </w:r>
      <w:r w:rsidR="00A607AD" w:rsidRPr="000C0445">
        <w:rPr>
          <w:szCs w:val="28"/>
        </w:rPr>
        <w:t>http</w:t>
      </w:r>
      <w:r w:rsidR="00A607AD" w:rsidRPr="003116BD">
        <w:rPr>
          <w:szCs w:val="28"/>
        </w:rPr>
        <w:t>://</w:t>
      </w:r>
      <w:r w:rsidR="00A607AD" w:rsidRPr="000C0445">
        <w:rPr>
          <w:szCs w:val="28"/>
        </w:rPr>
        <w:t>academy</w:t>
      </w:r>
      <w:r w:rsidR="00A607AD" w:rsidRPr="003116BD">
        <w:rPr>
          <w:szCs w:val="28"/>
        </w:rPr>
        <w:t>.</w:t>
      </w:r>
      <w:r w:rsidR="00A607AD" w:rsidRPr="000C0445">
        <w:rPr>
          <w:szCs w:val="28"/>
        </w:rPr>
        <w:t>gov</w:t>
      </w:r>
      <w:r w:rsidR="00A607AD" w:rsidRPr="003116BD">
        <w:rPr>
          <w:szCs w:val="28"/>
        </w:rPr>
        <w:t>.</w:t>
      </w:r>
      <w:r w:rsidR="00A607AD" w:rsidRPr="000C0445">
        <w:rPr>
          <w:szCs w:val="28"/>
        </w:rPr>
        <w:t>ua</w:t>
      </w:r>
      <w:r w:rsidR="00A607AD" w:rsidRPr="003116BD">
        <w:rPr>
          <w:szCs w:val="28"/>
        </w:rPr>
        <w:t>/</w:t>
      </w:r>
      <w:r w:rsidR="00A607AD" w:rsidRPr="000C0445">
        <w:rPr>
          <w:szCs w:val="28"/>
        </w:rPr>
        <w:t>NMKD</w:t>
      </w:r>
      <w:r w:rsidR="00A607AD" w:rsidRPr="003116BD">
        <w:rPr>
          <w:szCs w:val="28"/>
        </w:rPr>
        <w:t>/</w:t>
      </w:r>
      <w:r w:rsidR="00A607AD" w:rsidRPr="000C0445">
        <w:rPr>
          <w:szCs w:val="28"/>
        </w:rPr>
        <w:t>library</w:t>
      </w:r>
      <w:r w:rsidR="00A607AD" w:rsidRPr="000C0445">
        <w:rPr>
          <w:szCs w:val="28"/>
          <w:lang w:val="ru-RU"/>
        </w:rPr>
        <w:t>_</w:t>
      </w:r>
      <w:r w:rsidR="00A607AD" w:rsidRPr="000C0445">
        <w:rPr>
          <w:szCs w:val="28"/>
        </w:rPr>
        <w:t>nadu</w:t>
      </w:r>
      <w:r w:rsidR="00A607AD" w:rsidRPr="000C0445">
        <w:rPr>
          <w:szCs w:val="28"/>
          <w:lang w:val="ru-RU"/>
        </w:rPr>
        <w:t>/</w:t>
      </w:r>
      <w:r w:rsidR="00A607AD" w:rsidRPr="000C0445">
        <w:rPr>
          <w:szCs w:val="28"/>
        </w:rPr>
        <w:t>Monogr</w:t>
      </w:r>
      <w:r w:rsidR="00A607AD" w:rsidRPr="000C0445">
        <w:rPr>
          <w:szCs w:val="28"/>
          <w:lang w:val="ru-RU"/>
        </w:rPr>
        <w:t>/457</w:t>
      </w:r>
      <w:r w:rsidR="00A607AD" w:rsidRPr="000C0445">
        <w:rPr>
          <w:szCs w:val="28"/>
        </w:rPr>
        <w:t>d</w:t>
      </w:r>
      <w:r w:rsidR="00A607AD" w:rsidRPr="000C0445">
        <w:rPr>
          <w:szCs w:val="28"/>
          <w:lang w:val="ru-RU"/>
        </w:rPr>
        <w:t>99</w:t>
      </w:r>
      <w:r w:rsidR="00A607AD" w:rsidRPr="000C0445">
        <w:rPr>
          <w:szCs w:val="28"/>
        </w:rPr>
        <w:t>ff</w:t>
      </w:r>
      <w:r w:rsidR="00A607AD" w:rsidRPr="000C0445">
        <w:rPr>
          <w:szCs w:val="28"/>
          <w:lang w:val="ru-RU"/>
        </w:rPr>
        <w:t>-</w:t>
      </w:r>
      <w:r w:rsidR="00A607AD" w:rsidRPr="000C0445">
        <w:rPr>
          <w:szCs w:val="28"/>
        </w:rPr>
        <w:t>a</w:t>
      </w:r>
      <w:r w:rsidR="00A607AD" w:rsidRPr="000C0445">
        <w:rPr>
          <w:szCs w:val="28"/>
          <w:lang w:val="ru-RU"/>
        </w:rPr>
        <w:t>477-4205-</w:t>
      </w:r>
      <w:r w:rsidR="00A607AD" w:rsidRPr="000C0445">
        <w:rPr>
          <w:szCs w:val="28"/>
        </w:rPr>
        <w:t>baaf</w:t>
      </w:r>
      <w:r w:rsidR="00A607AD" w:rsidRPr="000C0445">
        <w:rPr>
          <w:szCs w:val="28"/>
          <w:lang w:val="ru-RU"/>
        </w:rPr>
        <w:t>-2</w:t>
      </w:r>
      <w:r w:rsidR="00A607AD" w:rsidRPr="000C0445">
        <w:rPr>
          <w:szCs w:val="28"/>
        </w:rPr>
        <w:t>cee</w:t>
      </w:r>
      <w:r w:rsidR="00A607AD" w:rsidRPr="000C0445">
        <w:rPr>
          <w:szCs w:val="28"/>
          <w:lang w:val="ru-RU"/>
        </w:rPr>
        <w:t>246</w:t>
      </w:r>
      <w:r w:rsidR="00A607AD" w:rsidRPr="000C0445">
        <w:rPr>
          <w:szCs w:val="28"/>
        </w:rPr>
        <w:t>fe</w:t>
      </w:r>
      <w:r w:rsidR="00A607AD" w:rsidRPr="000C0445">
        <w:rPr>
          <w:szCs w:val="28"/>
          <w:lang w:val="ru-RU"/>
        </w:rPr>
        <w:t>3</w:t>
      </w:r>
      <w:r w:rsidR="00A607AD" w:rsidRPr="000C0445">
        <w:rPr>
          <w:szCs w:val="28"/>
        </w:rPr>
        <w:t>da</w:t>
      </w:r>
      <w:r w:rsidR="00A607AD" w:rsidRPr="000C0445">
        <w:rPr>
          <w:szCs w:val="28"/>
          <w:lang w:val="ru-RU"/>
        </w:rPr>
        <w:t>.</w:t>
      </w:r>
      <w:r w:rsidR="00A607AD" w:rsidRPr="000C0445">
        <w:rPr>
          <w:szCs w:val="28"/>
        </w:rPr>
        <w:t>pdf</w:t>
      </w:r>
      <w:r w:rsidR="00A607AD" w:rsidRPr="000C0445">
        <w:rPr>
          <w:szCs w:val="28"/>
          <w:lang w:val="ru-RU"/>
        </w:rPr>
        <w:t xml:space="preserve"> (дата звернення: 25.10.2019).</w:t>
      </w:r>
    </w:p>
    <w:p w:rsidR="000C0445" w:rsidRPr="00726A49" w:rsidRDefault="003116BD" w:rsidP="00726A49">
      <w:pPr>
        <w:ind w:firstLine="709"/>
        <w:rPr>
          <w:szCs w:val="28"/>
          <w:lang w:val="en-US"/>
        </w:rPr>
      </w:pPr>
      <w:r w:rsidRPr="00726A49">
        <w:rPr>
          <w:szCs w:val="28"/>
        </w:rPr>
        <w:t>225.</w:t>
      </w:r>
      <w:r w:rsidRPr="00726A49">
        <w:rPr>
          <w:szCs w:val="28"/>
          <w:lang w:val="en-US"/>
        </w:rPr>
        <w:t xml:space="preserve"> </w:t>
      </w:r>
      <w:r w:rsidR="00726A49" w:rsidRPr="00726A49">
        <w:rPr>
          <w:bCs/>
          <w:szCs w:val="28"/>
          <w:lang w:val="en-US"/>
        </w:rPr>
        <w:t>Global Financing Facility in support of Every Woman Every Child: business plan.</w:t>
      </w:r>
      <w:r w:rsidR="00726A49" w:rsidRPr="00726A49">
        <w:rPr>
          <w:szCs w:val="28"/>
          <w:lang w:val="en-US"/>
        </w:rPr>
        <w:t xml:space="preserve"> June 2015. URL: </w:t>
      </w:r>
      <w:hyperlink r:id="rId68" w:history="1">
        <w:r w:rsidR="00726A49" w:rsidRPr="00726A49">
          <w:rPr>
            <w:rStyle w:val="af7"/>
            <w:color w:val="auto"/>
            <w:szCs w:val="28"/>
            <w:u w:val="none"/>
            <w:lang w:val="en-US"/>
          </w:rPr>
          <w:t>https://www.globalfinancingfacility.org/sites/gff_new/files/documents/GFF_Business_Planpdf</w:t>
        </w:r>
      </w:hyperlink>
      <w:r w:rsidR="00726A49" w:rsidRPr="00726A49">
        <w:rPr>
          <w:szCs w:val="28"/>
          <w:lang w:val="en-US"/>
        </w:rPr>
        <w:t xml:space="preserve"> </w:t>
      </w:r>
      <w:r w:rsidR="00726A49" w:rsidRPr="00726A49">
        <w:rPr>
          <w:szCs w:val="28"/>
        </w:rPr>
        <w:t>(</w:t>
      </w:r>
      <w:r w:rsidR="00726A49" w:rsidRPr="00726A49">
        <w:rPr>
          <w:szCs w:val="28"/>
          <w:lang w:val="en-US"/>
        </w:rPr>
        <w:t>Last accessed</w:t>
      </w:r>
      <w:r w:rsidR="00726A49" w:rsidRPr="00726A49">
        <w:rPr>
          <w:szCs w:val="28"/>
        </w:rPr>
        <w:t>: 0</w:t>
      </w:r>
      <w:r w:rsidR="00726A49" w:rsidRPr="00726A49">
        <w:rPr>
          <w:szCs w:val="28"/>
          <w:lang w:val="en-US"/>
        </w:rPr>
        <w:t>3</w:t>
      </w:r>
      <w:r w:rsidR="00726A49" w:rsidRPr="00726A49">
        <w:rPr>
          <w:szCs w:val="28"/>
        </w:rPr>
        <w:t>.0</w:t>
      </w:r>
      <w:r w:rsidR="00726A49" w:rsidRPr="00726A49">
        <w:rPr>
          <w:szCs w:val="28"/>
          <w:lang w:val="en-US"/>
        </w:rPr>
        <w:t>4</w:t>
      </w:r>
      <w:r w:rsidR="00726A49" w:rsidRPr="00726A49">
        <w:rPr>
          <w:szCs w:val="28"/>
        </w:rPr>
        <w:t>.202</w:t>
      </w:r>
      <w:r w:rsidR="00726A49" w:rsidRPr="00726A49">
        <w:rPr>
          <w:szCs w:val="28"/>
          <w:lang w:val="en-US"/>
        </w:rPr>
        <w:t>0</w:t>
      </w:r>
      <w:r w:rsidR="00726A49" w:rsidRPr="00726A49">
        <w:rPr>
          <w:szCs w:val="28"/>
        </w:rPr>
        <w:t>).</w:t>
      </w:r>
    </w:p>
    <w:p w:rsidR="00F96B3B" w:rsidRDefault="003116BD" w:rsidP="00F96B3B">
      <w:pPr>
        <w:ind w:firstLine="709"/>
        <w:rPr>
          <w:szCs w:val="28"/>
          <w:lang w:val="en-US"/>
        </w:rPr>
      </w:pPr>
      <w:r>
        <w:rPr>
          <w:szCs w:val="28"/>
        </w:rPr>
        <w:t>226.</w:t>
      </w:r>
      <w:r>
        <w:rPr>
          <w:szCs w:val="28"/>
          <w:lang w:val="en-US"/>
        </w:rPr>
        <w:t xml:space="preserve"> </w:t>
      </w:r>
      <w:r w:rsidR="00A607AD" w:rsidRPr="000C0445">
        <w:rPr>
          <w:szCs w:val="28"/>
        </w:rPr>
        <w:t>Improving the quality of paediatric care: an operational guide for facility-based audit and review of paediatric mortality / World Health Organization. Geneva, 2018. 68 p. URL: https://apps.who.int/iris/bitstream/handle/10665/279755/9789241515184-eng.pd</w:t>
      </w:r>
      <w:r w:rsidR="00B07A6C">
        <w:rPr>
          <w:szCs w:val="28"/>
        </w:rPr>
        <w:t>f?ua=1 (Last accessed: 11.</w:t>
      </w:r>
      <w:r w:rsidR="00B07A6C">
        <w:rPr>
          <w:szCs w:val="28"/>
          <w:lang w:val="en-US"/>
        </w:rPr>
        <w:t>09</w:t>
      </w:r>
      <w:r w:rsidR="00A607AD" w:rsidRPr="000C0445">
        <w:rPr>
          <w:szCs w:val="28"/>
        </w:rPr>
        <w:t>. 2020).</w:t>
      </w:r>
    </w:p>
    <w:p w:rsidR="00F96B3B" w:rsidRDefault="003116BD" w:rsidP="00F96B3B">
      <w:pPr>
        <w:ind w:firstLine="709"/>
        <w:rPr>
          <w:szCs w:val="28"/>
          <w:lang w:val="en-US"/>
        </w:rPr>
      </w:pPr>
      <w:r>
        <w:rPr>
          <w:szCs w:val="28"/>
        </w:rPr>
        <w:t>227.</w:t>
      </w:r>
      <w:r>
        <w:rPr>
          <w:szCs w:val="28"/>
          <w:lang w:val="en-US"/>
        </w:rPr>
        <w:t xml:space="preserve"> </w:t>
      </w:r>
      <w:r w:rsidR="00A607AD" w:rsidRPr="00F96B3B">
        <w:rPr>
          <w:szCs w:val="28"/>
        </w:rPr>
        <w:t>Mortality due to low-quality health systems in the universal health coverage era: a systematic analysis of amenable deaths in 137 countries / M. Kruk et al. Lancet. 2018. Vol. 392. P. 2203–2212.</w:t>
      </w:r>
    </w:p>
    <w:p w:rsidR="00F96B3B" w:rsidRPr="00B958D8" w:rsidRDefault="003116BD" w:rsidP="00F96B3B">
      <w:pPr>
        <w:ind w:firstLine="709"/>
        <w:rPr>
          <w:szCs w:val="28"/>
          <w:lang w:val="ru-RU"/>
        </w:rPr>
      </w:pPr>
      <w:r>
        <w:rPr>
          <w:szCs w:val="28"/>
        </w:rPr>
        <w:t>228.</w:t>
      </w:r>
      <w:r>
        <w:rPr>
          <w:szCs w:val="28"/>
          <w:lang w:val="en-US"/>
        </w:rPr>
        <w:t xml:space="preserve"> </w:t>
      </w:r>
      <w:r w:rsidR="00A607AD" w:rsidRPr="00F96B3B">
        <w:rPr>
          <w:szCs w:val="28"/>
        </w:rPr>
        <w:t>Understanding why children die in high-income countries / P. Sidebotham et al. Lancet</w:t>
      </w:r>
      <w:r w:rsidR="00A607AD" w:rsidRPr="00B958D8">
        <w:rPr>
          <w:szCs w:val="28"/>
          <w:lang w:val="ru-RU"/>
        </w:rPr>
        <w:t xml:space="preserve">. 2014. </w:t>
      </w:r>
      <w:r w:rsidR="00A607AD" w:rsidRPr="00F96B3B">
        <w:rPr>
          <w:szCs w:val="28"/>
        </w:rPr>
        <w:t>Vol</w:t>
      </w:r>
      <w:r w:rsidR="00A607AD" w:rsidRPr="00B958D8">
        <w:rPr>
          <w:szCs w:val="28"/>
          <w:lang w:val="ru-RU"/>
        </w:rPr>
        <w:t xml:space="preserve">. 384 (9946). </w:t>
      </w:r>
      <w:r w:rsidR="00A607AD" w:rsidRPr="00F96B3B">
        <w:rPr>
          <w:szCs w:val="28"/>
        </w:rPr>
        <w:t>P</w:t>
      </w:r>
      <w:r w:rsidR="00A607AD" w:rsidRPr="00B958D8">
        <w:rPr>
          <w:szCs w:val="28"/>
          <w:lang w:val="ru-RU"/>
        </w:rPr>
        <w:t>. 915–927.</w:t>
      </w:r>
    </w:p>
    <w:p w:rsidR="00F96B3B" w:rsidRPr="00F96B3B" w:rsidRDefault="003116BD" w:rsidP="00F96B3B">
      <w:pPr>
        <w:ind w:firstLine="709"/>
        <w:rPr>
          <w:szCs w:val="28"/>
          <w:lang w:val="ru-RU"/>
        </w:rPr>
      </w:pPr>
      <w:r>
        <w:rPr>
          <w:szCs w:val="28"/>
          <w:lang w:val="ru-RU"/>
        </w:rPr>
        <w:lastRenderedPageBreak/>
        <w:t>229.</w:t>
      </w:r>
      <w:r w:rsidRPr="003116BD">
        <w:rPr>
          <w:szCs w:val="28"/>
          <w:lang w:val="ru-RU"/>
        </w:rPr>
        <w:t xml:space="preserve"> </w:t>
      </w:r>
      <w:r w:rsidR="00A607AD" w:rsidRPr="00F96B3B">
        <w:rPr>
          <w:szCs w:val="28"/>
          <w:lang w:val="ru-RU"/>
        </w:rPr>
        <w:t>Европейский Инструмент обеспечения справедливости в отношении здоров’я: Проект концептуальной основы и показателей. Женева: Всемирная организация</w:t>
      </w:r>
      <w:r w:rsidR="00E01CDB">
        <w:rPr>
          <w:szCs w:val="28"/>
          <w:lang w:val="en-US"/>
        </w:rPr>
        <w:t> </w:t>
      </w:r>
      <w:r w:rsidR="00A607AD" w:rsidRPr="00F96B3B">
        <w:rPr>
          <w:szCs w:val="28"/>
          <w:lang w:val="ru-RU"/>
        </w:rPr>
        <w:t>здравоохранения,</w:t>
      </w:r>
      <w:r w:rsidR="00E01CDB">
        <w:rPr>
          <w:szCs w:val="28"/>
          <w:lang w:val="en-US"/>
        </w:rPr>
        <w:t> </w:t>
      </w:r>
      <w:r w:rsidR="00A607AD" w:rsidRPr="00F96B3B">
        <w:rPr>
          <w:szCs w:val="28"/>
          <w:lang w:val="ru-RU"/>
        </w:rPr>
        <w:t>2019.</w:t>
      </w:r>
      <w:r w:rsidR="00E01CDB">
        <w:rPr>
          <w:szCs w:val="28"/>
          <w:lang w:val="en-US"/>
        </w:rPr>
        <w:t> </w:t>
      </w:r>
      <w:r w:rsidR="00A607AD" w:rsidRPr="00F96B3B">
        <w:rPr>
          <w:szCs w:val="28"/>
          <w:lang w:val="ru-RU"/>
        </w:rPr>
        <w:t>66</w:t>
      </w:r>
      <w:r w:rsidR="00E01CDB">
        <w:rPr>
          <w:lang w:val="en-US"/>
        </w:rPr>
        <w:t> </w:t>
      </w:r>
      <w:r w:rsidR="00A607AD" w:rsidRPr="00F96B3B">
        <w:rPr>
          <w:szCs w:val="28"/>
        </w:rPr>
        <w:t>c</w:t>
      </w:r>
      <w:r w:rsidR="00A607AD" w:rsidRPr="00F96B3B">
        <w:rPr>
          <w:szCs w:val="28"/>
          <w:lang w:val="ru-RU"/>
        </w:rPr>
        <w:t>.</w:t>
      </w:r>
      <w:r w:rsidR="00E01CDB">
        <w:rPr>
          <w:szCs w:val="28"/>
          <w:lang w:val="en-US"/>
        </w:rPr>
        <w:t> </w:t>
      </w:r>
      <w:r w:rsidR="00A607AD" w:rsidRPr="00F96B3B">
        <w:rPr>
          <w:szCs w:val="28"/>
        </w:rPr>
        <w:t>URL</w:t>
      </w:r>
      <w:r w:rsidR="00A607AD" w:rsidRPr="00F96B3B">
        <w:rPr>
          <w:szCs w:val="28"/>
          <w:lang w:val="ru-RU"/>
        </w:rPr>
        <w:t>:</w:t>
      </w:r>
      <w:r w:rsidR="00E01CDB">
        <w:rPr>
          <w:szCs w:val="28"/>
          <w:lang w:val="en-US"/>
        </w:rPr>
        <w:t> </w:t>
      </w:r>
      <w:r w:rsidR="00A607AD" w:rsidRPr="00F96B3B">
        <w:rPr>
          <w:szCs w:val="28"/>
          <w:lang w:val="ru-RU"/>
        </w:rPr>
        <w:t xml:space="preserve"> </w:t>
      </w:r>
      <w:r w:rsidR="00A607AD" w:rsidRPr="00F96B3B">
        <w:rPr>
          <w:szCs w:val="28"/>
        </w:rPr>
        <w:t>https</w:t>
      </w:r>
      <w:r w:rsidR="00A607AD" w:rsidRPr="00F96B3B">
        <w:rPr>
          <w:szCs w:val="28"/>
          <w:lang w:val="ru-RU"/>
        </w:rPr>
        <w:t>://</w:t>
      </w:r>
      <w:r w:rsidR="00A607AD" w:rsidRPr="00F96B3B">
        <w:rPr>
          <w:szCs w:val="28"/>
        </w:rPr>
        <w:t>www</w:t>
      </w:r>
      <w:r w:rsidR="00A607AD" w:rsidRPr="00F96B3B">
        <w:rPr>
          <w:szCs w:val="28"/>
          <w:lang w:val="ru-RU"/>
        </w:rPr>
        <w:t>.</w:t>
      </w:r>
      <w:r w:rsidR="00A607AD" w:rsidRPr="00F96B3B">
        <w:rPr>
          <w:szCs w:val="28"/>
        </w:rPr>
        <w:t>euro</w:t>
      </w:r>
      <w:r w:rsidR="00A607AD" w:rsidRPr="00F96B3B">
        <w:rPr>
          <w:szCs w:val="28"/>
          <w:lang w:val="ru-RU"/>
        </w:rPr>
        <w:t>.</w:t>
      </w:r>
      <w:r w:rsidR="00A607AD" w:rsidRPr="00F96B3B">
        <w:rPr>
          <w:szCs w:val="28"/>
        </w:rPr>
        <w:t>who</w:t>
      </w:r>
      <w:r w:rsidR="00A607AD" w:rsidRPr="00F96B3B">
        <w:rPr>
          <w:szCs w:val="28"/>
          <w:lang w:val="ru-RU"/>
        </w:rPr>
        <w:t>.</w:t>
      </w:r>
      <w:r w:rsidR="00A607AD" w:rsidRPr="00F96B3B">
        <w:rPr>
          <w:szCs w:val="28"/>
        </w:rPr>
        <w:t>int</w:t>
      </w:r>
      <w:r w:rsidR="00A607AD" w:rsidRPr="00F96B3B">
        <w:rPr>
          <w:szCs w:val="28"/>
          <w:lang w:val="ru-RU"/>
        </w:rPr>
        <w:t>/__</w:t>
      </w:r>
      <w:r w:rsidR="00A607AD" w:rsidRPr="00F96B3B">
        <w:rPr>
          <w:szCs w:val="28"/>
        </w:rPr>
        <w:t>data</w:t>
      </w:r>
      <w:r w:rsidR="00A607AD" w:rsidRPr="00F96B3B">
        <w:rPr>
          <w:szCs w:val="28"/>
          <w:lang w:val="ru-RU"/>
        </w:rPr>
        <w:t>/</w:t>
      </w:r>
      <w:r w:rsidR="00A607AD" w:rsidRPr="00F96B3B">
        <w:rPr>
          <w:szCs w:val="28"/>
        </w:rPr>
        <w:t>assets</w:t>
      </w:r>
      <w:r w:rsidR="00A607AD" w:rsidRPr="00F96B3B">
        <w:rPr>
          <w:szCs w:val="28"/>
          <w:lang w:val="ru-RU"/>
        </w:rPr>
        <w:t>/</w:t>
      </w:r>
      <w:r w:rsidR="00A607AD" w:rsidRPr="00F96B3B">
        <w:rPr>
          <w:szCs w:val="28"/>
        </w:rPr>
        <w:t>pdf</w:t>
      </w:r>
      <w:r w:rsidR="00A607AD" w:rsidRPr="00F96B3B">
        <w:rPr>
          <w:szCs w:val="28"/>
          <w:lang w:val="ru-RU"/>
        </w:rPr>
        <w:t>_</w:t>
      </w:r>
      <w:r w:rsidR="00A607AD" w:rsidRPr="00F96B3B">
        <w:rPr>
          <w:szCs w:val="28"/>
        </w:rPr>
        <w:t>file</w:t>
      </w:r>
      <w:r w:rsidR="00A607AD" w:rsidRPr="00F96B3B">
        <w:rPr>
          <w:szCs w:val="28"/>
          <w:lang w:val="ru-RU"/>
        </w:rPr>
        <w:t>/0017/404306/20190605-</w:t>
      </w:r>
      <w:r w:rsidR="00A607AD" w:rsidRPr="00F96B3B">
        <w:rPr>
          <w:szCs w:val="28"/>
        </w:rPr>
        <w:t>h</w:t>
      </w:r>
      <w:r w:rsidR="00A607AD" w:rsidRPr="00F96B3B">
        <w:rPr>
          <w:szCs w:val="28"/>
          <w:lang w:val="ru-RU"/>
        </w:rPr>
        <w:t>1050-</w:t>
      </w:r>
      <w:r w:rsidR="00A607AD" w:rsidRPr="00F96B3B">
        <w:rPr>
          <w:szCs w:val="28"/>
        </w:rPr>
        <w:t>policy</w:t>
      </w:r>
      <w:r w:rsidR="00A607AD" w:rsidRPr="00F96B3B">
        <w:rPr>
          <w:szCs w:val="28"/>
          <w:lang w:val="ru-RU"/>
        </w:rPr>
        <w:t>-</w:t>
      </w:r>
      <w:r w:rsidR="00A607AD" w:rsidRPr="00F96B3B">
        <w:rPr>
          <w:szCs w:val="28"/>
        </w:rPr>
        <w:t>tool</w:t>
      </w:r>
      <w:r w:rsidR="00A607AD" w:rsidRPr="00F96B3B">
        <w:rPr>
          <w:szCs w:val="28"/>
          <w:lang w:val="ru-RU"/>
        </w:rPr>
        <w:t>-</w:t>
      </w:r>
      <w:r w:rsidR="00A607AD" w:rsidRPr="00F96B3B">
        <w:rPr>
          <w:szCs w:val="28"/>
        </w:rPr>
        <w:t>ru</w:t>
      </w:r>
      <w:r w:rsidR="00A607AD" w:rsidRPr="00F96B3B">
        <w:rPr>
          <w:szCs w:val="28"/>
          <w:lang w:val="ru-RU"/>
        </w:rPr>
        <w:t>.</w:t>
      </w:r>
      <w:r w:rsidR="00A607AD" w:rsidRPr="00F96B3B">
        <w:rPr>
          <w:szCs w:val="28"/>
        </w:rPr>
        <w:t>pdf</w:t>
      </w:r>
      <w:r w:rsidR="00A607AD" w:rsidRPr="00F96B3B">
        <w:rPr>
          <w:szCs w:val="28"/>
          <w:lang w:val="ru-RU"/>
        </w:rPr>
        <w:t xml:space="preserve"> (дата звернення: 25.10.2020).</w:t>
      </w:r>
    </w:p>
    <w:p w:rsidR="00F96B3B" w:rsidRPr="00F96B3B" w:rsidRDefault="003116BD" w:rsidP="00F96B3B">
      <w:pPr>
        <w:ind w:firstLine="709"/>
        <w:rPr>
          <w:szCs w:val="28"/>
          <w:lang w:val="ru-RU"/>
        </w:rPr>
      </w:pPr>
      <w:r>
        <w:rPr>
          <w:szCs w:val="28"/>
          <w:lang w:val="ru-RU"/>
        </w:rPr>
        <w:t>230.</w:t>
      </w:r>
      <w:r w:rsidRPr="003116BD">
        <w:rPr>
          <w:szCs w:val="28"/>
          <w:lang w:val="ru-RU"/>
        </w:rPr>
        <w:t xml:space="preserve"> </w:t>
      </w:r>
      <w:r w:rsidR="00A607AD" w:rsidRPr="00F96B3B">
        <w:rPr>
          <w:szCs w:val="28"/>
          <w:lang w:val="ru-RU"/>
        </w:rPr>
        <w:t xml:space="preserve">Каждая женщина, каждый ребенок: видение на период после 2015 г.: краткий обзор. Третий доклад Группы независимых экспертов по оценке информации и подотчетности в отношении здоровья женщин и детей / </w:t>
      </w:r>
      <w:r w:rsidR="00A607AD" w:rsidRPr="00F96B3B">
        <w:rPr>
          <w:szCs w:val="28"/>
        </w:rPr>
        <w:t>World</w:t>
      </w:r>
      <w:r w:rsidR="00A607AD" w:rsidRPr="00F96B3B">
        <w:rPr>
          <w:szCs w:val="28"/>
          <w:lang w:val="ru-RU"/>
        </w:rPr>
        <w:t xml:space="preserve"> </w:t>
      </w:r>
      <w:r w:rsidR="00A607AD" w:rsidRPr="00F96B3B">
        <w:rPr>
          <w:szCs w:val="28"/>
        </w:rPr>
        <w:t>Health</w:t>
      </w:r>
      <w:r w:rsidR="00A607AD" w:rsidRPr="00F96B3B">
        <w:rPr>
          <w:szCs w:val="28"/>
          <w:lang w:val="ru-RU"/>
        </w:rPr>
        <w:t xml:space="preserve"> </w:t>
      </w:r>
      <w:r w:rsidR="00A607AD" w:rsidRPr="00F96B3B">
        <w:rPr>
          <w:szCs w:val="28"/>
        </w:rPr>
        <w:t>Organization</w:t>
      </w:r>
      <w:r w:rsidR="00A607AD" w:rsidRPr="00F96B3B">
        <w:rPr>
          <w:szCs w:val="28"/>
          <w:lang w:val="ru-RU"/>
        </w:rPr>
        <w:t xml:space="preserve">, </w:t>
      </w:r>
      <w:r w:rsidR="00A607AD" w:rsidRPr="00F96B3B">
        <w:rPr>
          <w:szCs w:val="28"/>
        </w:rPr>
        <w:t>iERG</w:t>
      </w:r>
      <w:r w:rsidR="00A607AD" w:rsidRPr="00F96B3B">
        <w:rPr>
          <w:szCs w:val="28"/>
          <w:lang w:val="ru-RU"/>
        </w:rPr>
        <w:t>.</w:t>
      </w:r>
      <w:r w:rsidR="00E01CDB">
        <w:rPr>
          <w:lang w:val="ru-RU"/>
        </w:rPr>
        <w:t> </w:t>
      </w:r>
      <w:r w:rsidR="00A607AD" w:rsidRPr="00F96B3B">
        <w:rPr>
          <w:szCs w:val="28"/>
          <w:lang w:val="ru-RU"/>
        </w:rPr>
        <w:t>Женева,</w:t>
      </w:r>
      <w:r w:rsidR="00E01CDB">
        <w:rPr>
          <w:szCs w:val="28"/>
          <w:lang w:val="ru-RU"/>
        </w:rPr>
        <w:t> </w:t>
      </w:r>
      <w:r w:rsidR="00A607AD" w:rsidRPr="00F96B3B">
        <w:rPr>
          <w:szCs w:val="28"/>
          <w:lang w:val="ru-RU"/>
        </w:rPr>
        <w:t>2014.</w:t>
      </w:r>
      <w:r w:rsidR="00E01CDB">
        <w:rPr>
          <w:szCs w:val="28"/>
          <w:lang w:val="ru-RU"/>
        </w:rPr>
        <w:t> </w:t>
      </w:r>
      <w:r w:rsidR="00A607AD" w:rsidRPr="00F96B3B">
        <w:rPr>
          <w:szCs w:val="28"/>
          <w:lang w:val="ru-RU"/>
        </w:rPr>
        <w:t>16</w:t>
      </w:r>
      <w:r w:rsidR="00E01CDB">
        <w:rPr>
          <w:szCs w:val="28"/>
          <w:lang w:val="ru-RU"/>
        </w:rPr>
        <w:t> </w:t>
      </w:r>
      <w:r w:rsidR="00A607AD" w:rsidRPr="00F96B3B">
        <w:rPr>
          <w:szCs w:val="28"/>
        </w:rPr>
        <w:t>p</w:t>
      </w:r>
      <w:r w:rsidR="00A607AD" w:rsidRPr="00F96B3B">
        <w:rPr>
          <w:szCs w:val="28"/>
          <w:lang w:val="ru-RU"/>
        </w:rPr>
        <w:t>.</w:t>
      </w:r>
      <w:r w:rsidR="00E01CDB">
        <w:rPr>
          <w:szCs w:val="28"/>
          <w:lang w:val="ru-RU"/>
        </w:rPr>
        <w:t> </w:t>
      </w:r>
      <w:r w:rsidR="00A607AD" w:rsidRPr="00F96B3B">
        <w:rPr>
          <w:szCs w:val="28"/>
        </w:rPr>
        <w:t>URL</w:t>
      </w:r>
      <w:r w:rsidR="00A607AD" w:rsidRPr="00F96B3B">
        <w:rPr>
          <w:szCs w:val="28"/>
          <w:lang w:val="ru-RU"/>
        </w:rPr>
        <w:t>:</w:t>
      </w:r>
      <w:r w:rsidR="00E01CDB">
        <w:rPr>
          <w:szCs w:val="28"/>
          <w:lang w:val="en-US"/>
        </w:rPr>
        <w:t> </w:t>
      </w:r>
      <w:r w:rsidR="00A607AD" w:rsidRPr="00F96B3B">
        <w:rPr>
          <w:szCs w:val="28"/>
          <w:lang w:val="ru-RU"/>
        </w:rPr>
        <w:t xml:space="preserve"> </w:t>
      </w:r>
      <w:r w:rsidR="00A607AD" w:rsidRPr="00F96B3B">
        <w:rPr>
          <w:szCs w:val="28"/>
        </w:rPr>
        <w:t>https</w:t>
      </w:r>
      <w:r w:rsidR="00A607AD" w:rsidRPr="00F96B3B">
        <w:rPr>
          <w:szCs w:val="28"/>
          <w:lang w:val="ru-RU"/>
        </w:rPr>
        <w:t>://</w:t>
      </w:r>
      <w:r w:rsidR="00A607AD" w:rsidRPr="00F96B3B">
        <w:rPr>
          <w:szCs w:val="28"/>
        </w:rPr>
        <w:t>www</w:t>
      </w:r>
      <w:r w:rsidR="00A607AD" w:rsidRPr="00F96B3B">
        <w:rPr>
          <w:szCs w:val="28"/>
          <w:lang w:val="ru-RU"/>
        </w:rPr>
        <w:t>.</w:t>
      </w:r>
      <w:r w:rsidR="00A607AD" w:rsidRPr="00F96B3B">
        <w:rPr>
          <w:szCs w:val="28"/>
        </w:rPr>
        <w:t>who</w:t>
      </w:r>
      <w:r w:rsidR="00A607AD" w:rsidRPr="00F96B3B">
        <w:rPr>
          <w:szCs w:val="28"/>
          <w:lang w:val="ru-RU"/>
        </w:rPr>
        <w:t>.</w:t>
      </w:r>
      <w:r w:rsidR="00A607AD" w:rsidRPr="00F96B3B">
        <w:rPr>
          <w:szCs w:val="28"/>
        </w:rPr>
        <w:t>int</w:t>
      </w:r>
      <w:r w:rsidR="00A607AD" w:rsidRPr="00F96B3B">
        <w:rPr>
          <w:szCs w:val="28"/>
          <w:lang w:val="ru-RU"/>
        </w:rPr>
        <w:t>/</w:t>
      </w:r>
      <w:r w:rsidR="00A607AD" w:rsidRPr="00F96B3B">
        <w:rPr>
          <w:szCs w:val="28"/>
        </w:rPr>
        <w:t>woman</w:t>
      </w:r>
      <w:r w:rsidR="00A607AD" w:rsidRPr="00F96B3B">
        <w:rPr>
          <w:szCs w:val="28"/>
          <w:lang w:val="ru-RU"/>
        </w:rPr>
        <w:t>_</w:t>
      </w:r>
      <w:r w:rsidR="00A607AD" w:rsidRPr="00F96B3B">
        <w:rPr>
          <w:szCs w:val="28"/>
        </w:rPr>
        <w:t>child</w:t>
      </w:r>
      <w:r w:rsidR="00A607AD" w:rsidRPr="00F96B3B">
        <w:rPr>
          <w:szCs w:val="28"/>
          <w:lang w:val="ru-RU"/>
        </w:rPr>
        <w:t>_</w:t>
      </w:r>
      <w:r w:rsidR="00A607AD" w:rsidRPr="00F96B3B">
        <w:rPr>
          <w:szCs w:val="28"/>
        </w:rPr>
        <w:t>accountability</w:t>
      </w:r>
      <w:r w:rsidR="00A607AD" w:rsidRPr="00F96B3B">
        <w:rPr>
          <w:szCs w:val="28"/>
          <w:lang w:val="ru-RU"/>
        </w:rPr>
        <w:t>/</w:t>
      </w:r>
      <w:r w:rsidR="00A607AD" w:rsidRPr="00F96B3B">
        <w:rPr>
          <w:szCs w:val="28"/>
        </w:rPr>
        <w:t>ierg</w:t>
      </w:r>
      <w:r w:rsidR="00A607AD" w:rsidRPr="00F96B3B">
        <w:rPr>
          <w:szCs w:val="28"/>
          <w:lang w:val="ru-RU"/>
        </w:rPr>
        <w:t>/</w:t>
      </w:r>
      <w:r w:rsidR="00A607AD" w:rsidRPr="00F96B3B">
        <w:rPr>
          <w:szCs w:val="28"/>
        </w:rPr>
        <w:t>reports</w:t>
      </w:r>
      <w:r w:rsidR="00A607AD" w:rsidRPr="00F96B3B">
        <w:rPr>
          <w:szCs w:val="28"/>
          <w:lang w:val="ru-RU"/>
        </w:rPr>
        <w:t>/</w:t>
      </w:r>
      <w:r w:rsidR="00A607AD" w:rsidRPr="00F96B3B">
        <w:rPr>
          <w:szCs w:val="28"/>
        </w:rPr>
        <w:t>iERG</w:t>
      </w:r>
      <w:r w:rsidR="00A607AD" w:rsidRPr="00F96B3B">
        <w:rPr>
          <w:szCs w:val="28"/>
          <w:lang w:val="ru-RU"/>
        </w:rPr>
        <w:t>2014-</w:t>
      </w:r>
      <w:r w:rsidR="00A607AD" w:rsidRPr="00F96B3B">
        <w:rPr>
          <w:szCs w:val="28"/>
        </w:rPr>
        <w:t>ExecutiveSummary</w:t>
      </w:r>
      <w:r w:rsidR="00A607AD" w:rsidRPr="00F96B3B">
        <w:rPr>
          <w:szCs w:val="28"/>
          <w:lang w:val="ru-RU"/>
        </w:rPr>
        <w:t>-</w:t>
      </w:r>
      <w:r w:rsidR="00A607AD" w:rsidRPr="00F96B3B">
        <w:rPr>
          <w:szCs w:val="28"/>
        </w:rPr>
        <w:t>RU</w:t>
      </w:r>
      <w:r w:rsidR="00A607AD" w:rsidRPr="00F96B3B">
        <w:rPr>
          <w:szCs w:val="28"/>
          <w:lang w:val="ru-RU"/>
        </w:rPr>
        <w:t>.</w:t>
      </w:r>
      <w:r w:rsidR="00A607AD" w:rsidRPr="00F96B3B">
        <w:rPr>
          <w:szCs w:val="28"/>
        </w:rPr>
        <w:t>pdf</w:t>
      </w:r>
      <w:r w:rsidR="00A607AD" w:rsidRPr="00F96B3B">
        <w:rPr>
          <w:szCs w:val="28"/>
          <w:lang w:val="ru-RU"/>
        </w:rPr>
        <w:t>?</w:t>
      </w:r>
      <w:r w:rsidR="00A607AD" w:rsidRPr="00F96B3B">
        <w:rPr>
          <w:szCs w:val="28"/>
        </w:rPr>
        <w:t>ua</w:t>
      </w:r>
      <w:r w:rsidR="00A607AD" w:rsidRPr="00F96B3B">
        <w:rPr>
          <w:szCs w:val="28"/>
          <w:lang w:val="ru-RU"/>
        </w:rPr>
        <w:t>=1 (дата звернення: 25.10.2020).</w:t>
      </w:r>
    </w:p>
    <w:p w:rsidR="00F96B3B" w:rsidRDefault="003116BD" w:rsidP="00F96B3B">
      <w:pPr>
        <w:ind w:firstLine="709"/>
        <w:rPr>
          <w:szCs w:val="28"/>
          <w:lang w:val="en-US"/>
        </w:rPr>
      </w:pPr>
      <w:r>
        <w:rPr>
          <w:szCs w:val="28"/>
        </w:rPr>
        <w:t>231.</w:t>
      </w:r>
      <w:r>
        <w:rPr>
          <w:szCs w:val="28"/>
          <w:lang w:val="en-US"/>
        </w:rPr>
        <w:t xml:space="preserve"> </w:t>
      </w:r>
      <w:r w:rsidR="00A607AD" w:rsidRPr="00F96B3B">
        <w:rPr>
          <w:szCs w:val="28"/>
        </w:rPr>
        <w:t>Every newborn action plan: Country Progress Tracking Report / World Health Organization, iERG. Geneva, 2015. 48 p. URL: http://www.healthynewbornnetwork.org/hnn-content/uploads/160525-ENAP-country-progress-tracking-report-2015-v2.pdf (Last accessed: 11.10.2020).</w:t>
      </w:r>
    </w:p>
    <w:p w:rsidR="00F96B3B" w:rsidRDefault="003116BD" w:rsidP="00F96B3B">
      <w:pPr>
        <w:ind w:firstLine="709"/>
        <w:rPr>
          <w:szCs w:val="28"/>
          <w:lang w:val="en-US"/>
        </w:rPr>
      </w:pPr>
      <w:r>
        <w:rPr>
          <w:szCs w:val="28"/>
        </w:rPr>
        <w:t>232.</w:t>
      </w:r>
      <w:r>
        <w:rPr>
          <w:szCs w:val="28"/>
          <w:lang w:val="en-US"/>
        </w:rPr>
        <w:t xml:space="preserve"> </w:t>
      </w:r>
      <w:r w:rsidR="00A607AD" w:rsidRPr="00F96B3B">
        <w:rPr>
          <w:szCs w:val="28"/>
        </w:rPr>
        <w:t>International Covenant on Economic, Social and Cultural Rights Adopted and opened for signature, ratification and accession by General Assembly resolution 2200A (XXI) of 16 December 1966 entry into force 3 January 1976, in accordance with article 27. United Nations human Right office of the high commissioner: website. 8 p. URL: https://www.ohchr.org/en/professionalinterest/pages/cescr.aspx (Last accessed: 11.10.2020).</w:t>
      </w:r>
    </w:p>
    <w:p w:rsidR="00F96B3B" w:rsidRDefault="003116BD" w:rsidP="00F96B3B">
      <w:pPr>
        <w:ind w:firstLine="709"/>
        <w:rPr>
          <w:szCs w:val="28"/>
          <w:lang w:val="en-US"/>
        </w:rPr>
      </w:pPr>
      <w:r>
        <w:rPr>
          <w:szCs w:val="28"/>
        </w:rPr>
        <w:t>233.</w:t>
      </w:r>
      <w:r>
        <w:rPr>
          <w:szCs w:val="28"/>
          <w:lang w:val="en-US"/>
        </w:rPr>
        <w:t xml:space="preserve"> </w:t>
      </w:r>
      <w:r w:rsidR="00A607AD" w:rsidRPr="00F96B3B">
        <w:rPr>
          <w:szCs w:val="28"/>
        </w:rPr>
        <w:t>The Convention on the Elimination of All Forms of Discrimination against Women (CEDAW) / The United Nations Department of Public Information. 1981. 21 p. United Nations Entity for Gender Equality and the Empowerment of Women website. URL: https://www.un.org/womenwatch/daw/cedaw/ (Last accessed: 11.10.2020).</w:t>
      </w:r>
    </w:p>
    <w:p w:rsidR="00F96B3B" w:rsidRDefault="003116BD" w:rsidP="00F96B3B">
      <w:pPr>
        <w:ind w:firstLine="709"/>
        <w:rPr>
          <w:szCs w:val="28"/>
          <w:lang w:val="en-US"/>
        </w:rPr>
      </w:pPr>
      <w:r>
        <w:rPr>
          <w:szCs w:val="28"/>
        </w:rPr>
        <w:t>234.</w:t>
      </w:r>
      <w:r>
        <w:rPr>
          <w:szCs w:val="28"/>
          <w:lang w:val="en-US"/>
        </w:rPr>
        <w:t xml:space="preserve"> </w:t>
      </w:r>
      <w:r w:rsidR="00A607AD" w:rsidRPr="00F96B3B">
        <w:rPr>
          <w:szCs w:val="28"/>
        </w:rPr>
        <w:t>What is the Convention on the Rights of the Child? The world’s most widely ratified human rights treaty in history. UNICEF website. URL: https://www.unicef.org/child-rights-convention/what-is-the-convention (Last accessed: 11.10.2020).</w:t>
      </w:r>
    </w:p>
    <w:p w:rsidR="00F96B3B" w:rsidRDefault="003116BD" w:rsidP="00F96B3B">
      <w:pPr>
        <w:ind w:firstLine="709"/>
        <w:rPr>
          <w:szCs w:val="28"/>
          <w:lang w:val="en-US"/>
        </w:rPr>
      </w:pPr>
      <w:r>
        <w:rPr>
          <w:szCs w:val="28"/>
        </w:rPr>
        <w:t>235.</w:t>
      </w:r>
      <w:r>
        <w:rPr>
          <w:szCs w:val="28"/>
          <w:lang w:val="en-US"/>
        </w:rPr>
        <w:t xml:space="preserve"> </w:t>
      </w:r>
      <w:r w:rsidR="00A607AD" w:rsidRPr="00DD244A">
        <w:rPr>
          <w:szCs w:val="28"/>
        </w:rPr>
        <w:t>Convention on the</w:t>
      </w:r>
      <w:r w:rsidR="00A607AD" w:rsidRPr="00F96B3B">
        <w:rPr>
          <w:szCs w:val="28"/>
        </w:rPr>
        <w:t xml:space="preserve"> Rights of the Child. UNICEF website. URL: https://www.unicef-irc.org/portfolios/general_comments/GC5_en.doc.html (Last accessed: 11.10.2020).</w:t>
      </w:r>
    </w:p>
    <w:p w:rsidR="00F96B3B" w:rsidRDefault="003116BD" w:rsidP="00F96B3B">
      <w:pPr>
        <w:ind w:firstLine="709"/>
        <w:rPr>
          <w:szCs w:val="28"/>
          <w:lang w:val="en-US"/>
        </w:rPr>
      </w:pPr>
      <w:r>
        <w:rPr>
          <w:szCs w:val="28"/>
        </w:rPr>
        <w:lastRenderedPageBreak/>
        <w:t>236.</w:t>
      </w:r>
      <w:r>
        <w:rPr>
          <w:szCs w:val="28"/>
          <w:lang w:val="en-US"/>
        </w:rPr>
        <w:t xml:space="preserve"> </w:t>
      </w:r>
      <w:r w:rsidR="00A607AD" w:rsidRPr="00F96B3B">
        <w:rPr>
          <w:szCs w:val="28"/>
        </w:rPr>
        <w:t>Effective interventions and strategies for improving early child development. The British Medical Journal. 2015. Vol. 351. DOI: https://doi.org/10.1136/bmj.h402</w:t>
      </w:r>
      <w:r w:rsidR="00F96B3B">
        <w:rPr>
          <w:szCs w:val="28"/>
        </w:rPr>
        <w:t>9 (L</w:t>
      </w:r>
      <w:r>
        <w:rPr>
          <w:szCs w:val="28"/>
        </w:rPr>
        <w:t>ast accessed: 28.02.202</w:t>
      </w:r>
      <w:r>
        <w:rPr>
          <w:szCs w:val="28"/>
          <w:lang w:val="en-US"/>
        </w:rPr>
        <w:t>0</w:t>
      </w:r>
      <w:r w:rsidR="00F96B3B">
        <w:rPr>
          <w:szCs w:val="28"/>
        </w:rPr>
        <w:t xml:space="preserve">). </w:t>
      </w:r>
    </w:p>
    <w:p w:rsidR="00F96B3B" w:rsidRDefault="003116BD" w:rsidP="00F96B3B">
      <w:pPr>
        <w:ind w:firstLine="709"/>
        <w:rPr>
          <w:szCs w:val="28"/>
          <w:lang w:val="en-US"/>
        </w:rPr>
      </w:pPr>
      <w:r>
        <w:rPr>
          <w:szCs w:val="28"/>
        </w:rPr>
        <w:t>237.</w:t>
      </w:r>
      <w:r>
        <w:rPr>
          <w:szCs w:val="28"/>
          <w:lang w:val="en-US"/>
        </w:rPr>
        <w:t xml:space="preserve"> </w:t>
      </w:r>
      <w:r w:rsidR="00A607AD" w:rsidRPr="00F96B3B">
        <w:rPr>
          <w:szCs w:val="28"/>
        </w:rPr>
        <w:t>Accountability for Women’s and Children’s Health: Commission on Information and Accountability for Women's and Children's Health. 2011. World health organization website. URL: https://www.who.int/woman_child_accountability/about/coia/en/ (Last accessed: 11.10.2020).</w:t>
      </w:r>
    </w:p>
    <w:p w:rsidR="00F96B3B" w:rsidRDefault="003116BD" w:rsidP="00F96B3B">
      <w:pPr>
        <w:ind w:firstLine="709"/>
        <w:rPr>
          <w:szCs w:val="28"/>
          <w:lang w:val="en-US"/>
        </w:rPr>
      </w:pPr>
      <w:r>
        <w:rPr>
          <w:szCs w:val="28"/>
        </w:rPr>
        <w:t>238.</w:t>
      </w:r>
      <w:r>
        <w:rPr>
          <w:szCs w:val="28"/>
          <w:lang w:val="en-US"/>
        </w:rPr>
        <w:t xml:space="preserve"> </w:t>
      </w:r>
      <w:r w:rsidR="00A607AD" w:rsidRPr="00F96B3B">
        <w:rPr>
          <w:szCs w:val="28"/>
        </w:rPr>
        <w:t>Every Woman Every Child‘s: Global Strategy for Women’s, Children’s and Adolescents’ Health. Every Woman Every Child website. URL: https://www.everywomaneverychild.org/global-strategy/unified-accountability-framework/ (Last accessed: 05.10.2020).</w:t>
      </w:r>
    </w:p>
    <w:p w:rsidR="00F96B3B" w:rsidRDefault="003116BD" w:rsidP="00F96B3B">
      <w:pPr>
        <w:ind w:firstLine="709"/>
        <w:rPr>
          <w:szCs w:val="28"/>
          <w:lang w:val="en-US"/>
        </w:rPr>
      </w:pPr>
      <w:r>
        <w:rPr>
          <w:szCs w:val="28"/>
        </w:rPr>
        <w:t>239.</w:t>
      </w:r>
      <w:r>
        <w:rPr>
          <w:szCs w:val="28"/>
          <w:lang w:val="en-US"/>
        </w:rPr>
        <w:t xml:space="preserve"> </w:t>
      </w:r>
      <w:r w:rsidR="00A607AD" w:rsidRPr="00F96B3B">
        <w:rPr>
          <w:szCs w:val="28"/>
        </w:rPr>
        <w:t>Promoting health in the SDGs: Report on the 9th Global Conference for Health Promotion: All for Health, Health for All (Shanghai, China, 21-24 November 2016) / World Health</w:t>
      </w:r>
      <w:r w:rsidR="00347F3D">
        <w:rPr>
          <w:lang w:val="en-US"/>
        </w:rPr>
        <w:t> </w:t>
      </w:r>
      <w:r w:rsidR="00A607AD" w:rsidRPr="00F96B3B">
        <w:rPr>
          <w:szCs w:val="28"/>
        </w:rPr>
        <w:t>Organization.</w:t>
      </w:r>
      <w:r w:rsidR="00347F3D">
        <w:rPr>
          <w:szCs w:val="28"/>
          <w:lang w:val="en-US"/>
        </w:rPr>
        <w:t> </w:t>
      </w:r>
      <w:r w:rsidR="00A607AD" w:rsidRPr="00F96B3B">
        <w:rPr>
          <w:szCs w:val="28"/>
        </w:rPr>
        <w:t>Geneva,</w:t>
      </w:r>
      <w:r w:rsidR="00347F3D">
        <w:rPr>
          <w:szCs w:val="28"/>
          <w:lang w:val="en-US"/>
        </w:rPr>
        <w:t> </w:t>
      </w:r>
      <w:r w:rsidR="00A607AD" w:rsidRPr="00F96B3B">
        <w:rPr>
          <w:szCs w:val="28"/>
        </w:rPr>
        <w:t>2017.</w:t>
      </w:r>
      <w:r w:rsidR="00347F3D">
        <w:rPr>
          <w:szCs w:val="28"/>
          <w:lang w:val="en-US"/>
        </w:rPr>
        <w:t> </w:t>
      </w:r>
      <w:r w:rsidR="00A607AD" w:rsidRPr="00F96B3B">
        <w:rPr>
          <w:szCs w:val="28"/>
        </w:rPr>
        <w:t>44</w:t>
      </w:r>
      <w:r>
        <w:rPr>
          <w:szCs w:val="28"/>
          <w:lang w:val="en-US"/>
        </w:rPr>
        <w:t> </w:t>
      </w:r>
      <w:r w:rsidR="00A607AD" w:rsidRPr="00F96B3B">
        <w:rPr>
          <w:szCs w:val="28"/>
        </w:rPr>
        <w:t>p.</w:t>
      </w:r>
      <w:r w:rsidR="00347F3D">
        <w:rPr>
          <w:szCs w:val="28"/>
          <w:lang w:val="en-US"/>
        </w:rPr>
        <w:t> </w:t>
      </w:r>
      <w:r w:rsidR="00A607AD" w:rsidRPr="00F96B3B">
        <w:rPr>
          <w:szCs w:val="28"/>
        </w:rPr>
        <w:t>URL:</w:t>
      </w:r>
      <w:r w:rsidR="00347F3D">
        <w:rPr>
          <w:szCs w:val="28"/>
          <w:lang w:val="en-US"/>
        </w:rPr>
        <w:t> </w:t>
      </w:r>
      <w:r w:rsidR="00A607AD" w:rsidRPr="00F96B3B">
        <w:rPr>
          <w:szCs w:val="28"/>
        </w:rPr>
        <w:t>https://www.who.int/healthpromotion/conferences/9gchp/shanghai-conference-report/en/ (Last accessed: 05.10.2020).</w:t>
      </w:r>
    </w:p>
    <w:p w:rsidR="00F96B3B" w:rsidRDefault="00AA3487" w:rsidP="00F96B3B">
      <w:pPr>
        <w:ind w:firstLine="709"/>
        <w:rPr>
          <w:szCs w:val="28"/>
          <w:lang w:val="en-US"/>
        </w:rPr>
      </w:pPr>
      <w:r>
        <w:rPr>
          <w:szCs w:val="28"/>
        </w:rPr>
        <w:t>240.</w:t>
      </w:r>
      <w:r w:rsidRPr="00AA3487">
        <w:rPr>
          <w:szCs w:val="28"/>
          <w:lang w:val="en-US"/>
        </w:rPr>
        <w:t xml:space="preserve"> </w:t>
      </w:r>
      <w:r w:rsidR="00A607AD" w:rsidRPr="00F96B3B">
        <w:rPr>
          <w:szCs w:val="28"/>
        </w:rPr>
        <w:t>UNICEF Strategic Plan 2018–2021: Executive Summary / UNICEF. New York, 2018. 36 p. URL: https://www.unicef.org/media/48126/file/UNICEF_Strategic_Plan_2018-2021-ENG.pdf (Last accessed: 05.10.2020).</w:t>
      </w:r>
    </w:p>
    <w:p w:rsidR="00F96B3B" w:rsidRDefault="00AA3487" w:rsidP="00F96B3B">
      <w:pPr>
        <w:ind w:firstLine="709"/>
        <w:rPr>
          <w:szCs w:val="28"/>
          <w:lang w:val="en-US"/>
        </w:rPr>
      </w:pPr>
      <w:r>
        <w:rPr>
          <w:szCs w:val="28"/>
        </w:rPr>
        <w:t>241.</w:t>
      </w:r>
      <w:r w:rsidRPr="00AA3487">
        <w:rPr>
          <w:szCs w:val="28"/>
          <w:lang w:val="en-US"/>
        </w:rPr>
        <w:t xml:space="preserve"> </w:t>
      </w:r>
      <w:r w:rsidR="00A607AD" w:rsidRPr="00F96B3B">
        <w:rPr>
          <w:szCs w:val="28"/>
        </w:rPr>
        <w:t>Health promotion and the agenda for sustainable development, WHO Region of the Americas / K. Fortune et al. Bulletin of the World Health Organization. 2018. Vol. 96. P.</w:t>
      </w:r>
      <w:r w:rsidR="003116BD">
        <w:rPr>
          <w:szCs w:val="28"/>
          <w:lang w:val="en-US"/>
        </w:rPr>
        <w:t> </w:t>
      </w:r>
      <w:r w:rsidR="00A607AD" w:rsidRPr="00F96B3B">
        <w:rPr>
          <w:szCs w:val="28"/>
        </w:rPr>
        <w:t xml:space="preserve">621–626. DOI: </w:t>
      </w:r>
      <w:hyperlink r:id="rId69" w:history="1">
        <w:r w:rsidR="00F96B3B" w:rsidRPr="00A12B36">
          <w:rPr>
            <w:rStyle w:val="af7"/>
            <w:color w:val="auto"/>
            <w:szCs w:val="28"/>
            <w:u w:val="none"/>
          </w:rPr>
          <w:t>http://dx.doi.org/10.2471/BLT.17.204404</w:t>
        </w:r>
      </w:hyperlink>
      <w:r w:rsidR="00F96B3B" w:rsidRPr="00A12B36">
        <w:rPr>
          <w:szCs w:val="28"/>
        </w:rPr>
        <w:t>.</w:t>
      </w:r>
    </w:p>
    <w:p w:rsidR="00F96B3B" w:rsidRDefault="00AA3487" w:rsidP="00F96B3B">
      <w:pPr>
        <w:ind w:firstLine="709"/>
        <w:rPr>
          <w:szCs w:val="28"/>
          <w:lang w:val="en-US"/>
        </w:rPr>
      </w:pPr>
      <w:r>
        <w:rPr>
          <w:szCs w:val="28"/>
        </w:rPr>
        <w:t>242.</w:t>
      </w:r>
      <w:r w:rsidRPr="00F71E89">
        <w:rPr>
          <w:szCs w:val="28"/>
          <w:lang w:val="en-US"/>
        </w:rPr>
        <w:t xml:space="preserve"> </w:t>
      </w:r>
      <w:r w:rsidR="00A607AD" w:rsidRPr="00F96B3B">
        <w:rPr>
          <w:szCs w:val="28"/>
        </w:rPr>
        <w:t>Resolution A/RES/70/1. Transforming our world: the 2030 agenda for sustainable development. Seventieth United Nations General Assembly. New York: United Nations,</w:t>
      </w:r>
      <w:r w:rsidR="00890815" w:rsidRPr="00890815">
        <w:rPr>
          <w:lang w:val="en-US"/>
        </w:rPr>
        <w:t> </w:t>
      </w:r>
      <w:r w:rsidR="00A607AD" w:rsidRPr="00F96B3B">
        <w:rPr>
          <w:szCs w:val="28"/>
        </w:rPr>
        <w:t>2015.</w:t>
      </w:r>
      <w:r w:rsidR="00890815" w:rsidRPr="00890815">
        <w:rPr>
          <w:szCs w:val="28"/>
          <w:lang w:val="en-US"/>
        </w:rPr>
        <w:t> </w:t>
      </w:r>
      <w:r w:rsidR="00A607AD" w:rsidRPr="00F96B3B">
        <w:rPr>
          <w:szCs w:val="28"/>
        </w:rPr>
        <w:t>35</w:t>
      </w:r>
      <w:r w:rsidR="00890815">
        <w:rPr>
          <w:szCs w:val="28"/>
          <w:lang w:val="en-US"/>
        </w:rPr>
        <w:t> </w:t>
      </w:r>
      <w:r w:rsidR="00A607AD" w:rsidRPr="00F96B3B">
        <w:rPr>
          <w:szCs w:val="28"/>
        </w:rPr>
        <w:t>p.</w:t>
      </w:r>
      <w:r w:rsidR="00890815" w:rsidRPr="00890815">
        <w:rPr>
          <w:szCs w:val="28"/>
          <w:lang w:val="en-US"/>
        </w:rPr>
        <w:t> </w:t>
      </w:r>
      <w:r w:rsidR="00A607AD" w:rsidRPr="00F96B3B">
        <w:rPr>
          <w:szCs w:val="28"/>
        </w:rPr>
        <w:t>URL:</w:t>
      </w:r>
      <w:r w:rsidR="00890815" w:rsidRPr="00AA3487">
        <w:rPr>
          <w:szCs w:val="28"/>
          <w:lang w:val="en-US"/>
        </w:rPr>
        <w:t> </w:t>
      </w:r>
      <w:r w:rsidR="00A607AD" w:rsidRPr="00F96B3B">
        <w:rPr>
          <w:szCs w:val="28"/>
        </w:rPr>
        <w:t xml:space="preserve"> http://www.un.org/ga/search/view_doc.asp?symbol=A/RES/70/1&amp;Lang=E (Last accessed: 05.10.2020).</w:t>
      </w:r>
    </w:p>
    <w:p w:rsidR="00F96B3B" w:rsidRDefault="00AA3487" w:rsidP="00F96B3B">
      <w:pPr>
        <w:ind w:firstLine="709"/>
        <w:rPr>
          <w:szCs w:val="28"/>
          <w:lang w:val="en-US"/>
        </w:rPr>
      </w:pPr>
      <w:r>
        <w:rPr>
          <w:szCs w:val="28"/>
        </w:rPr>
        <w:t>243.</w:t>
      </w:r>
      <w:r w:rsidRPr="00AA3487">
        <w:rPr>
          <w:szCs w:val="28"/>
          <w:lang w:val="en-US"/>
        </w:rPr>
        <w:t> </w:t>
      </w:r>
      <w:r w:rsidR="00A607AD" w:rsidRPr="00F96B3B">
        <w:rPr>
          <w:szCs w:val="28"/>
        </w:rPr>
        <w:t>Every Woman Every Child 2019: Donor Report. An initiative of the UN Secretary-General / UNICEF, 2019. 28 p. URL: https://www.everywomaneverychild.org/wp-</w:t>
      </w:r>
      <w:r w:rsidR="00A607AD" w:rsidRPr="00F96B3B">
        <w:rPr>
          <w:szCs w:val="28"/>
        </w:rPr>
        <w:lastRenderedPageBreak/>
        <w:t>content/uploads/2020/04/EWEC-Donor-Report-4_15-low-res.pdf (Last accessed: 05.10.2020).</w:t>
      </w:r>
    </w:p>
    <w:p w:rsidR="00F96B3B" w:rsidRDefault="00AA3487" w:rsidP="00F96B3B">
      <w:pPr>
        <w:ind w:firstLine="709"/>
        <w:rPr>
          <w:szCs w:val="28"/>
          <w:lang w:val="en-US"/>
        </w:rPr>
      </w:pPr>
      <w:r>
        <w:rPr>
          <w:szCs w:val="28"/>
        </w:rPr>
        <w:t>244.</w:t>
      </w:r>
      <w:r w:rsidRPr="00AA3487">
        <w:rPr>
          <w:szCs w:val="28"/>
          <w:lang w:val="en-US"/>
        </w:rPr>
        <w:t xml:space="preserve"> </w:t>
      </w:r>
      <w:r w:rsidR="00A607AD" w:rsidRPr="00F96B3B">
        <w:rPr>
          <w:szCs w:val="28"/>
        </w:rPr>
        <w:t>Protect the progress: rise, refocus and recover. 2020 progress report on the Every Woman Every Child Global Strategy for Women’s, Children’s and Adolescents’ Health (2016–2030) / World Health Organization, United Nations Children’s Fund. Geneva, 2020. 92</w:t>
      </w:r>
      <w:r w:rsidRPr="00AA3487">
        <w:rPr>
          <w:szCs w:val="28"/>
          <w:lang w:val="en-US"/>
        </w:rPr>
        <w:t> </w:t>
      </w:r>
      <w:r w:rsidR="00A607AD" w:rsidRPr="00F96B3B">
        <w:rPr>
          <w:szCs w:val="28"/>
        </w:rPr>
        <w:t>p. URL: https://www.unicef.org/reports/protect-progress-rise-refocus-recover-every-woman-every-child-2020 (Last accessed: 05.10.2020).</w:t>
      </w:r>
    </w:p>
    <w:p w:rsidR="00F96B3B" w:rsidRDefault="00022B86" w:rsidP="00F96B3B">
      <w:pPr>
        <w:ind w:firstLine="709"/>
        <w:rPr>
          <w:szCs w:val="28"/>
          <w:lang w:val="en-US"/>
        </w:rPr>
      </w:pPr>
      <w:r>
        <w:rPr>
          <w:szCs w:val="28"/>
        </w:rPr>
        <w:t>245.</w:t>
      </w:r>
      <w:r w:rsidRPr="00022B86">
        <w:rPr>
          <w:szCs w:val="28"/>
          <w:lang w:val="en-US"/>
        </w:rPr>
        <w:t xml:space="preserve"> </w:t>
      </w:r>
      <w:r w:rsidR="00A607AD" w:rsidRPr="00F96B3B">
        <w:rPr>
          <w:szCs w:val="28"/>
        </w:rPr>
        <w:t>Global Spending on Health: A World in Transition / Ke Xu et al., World Health Organization</w:t>
      </w:r>
      <w:r w:rsidR="00391038" w:rsidRPr="00391038">
        <w:rPr>
          <w:szCs w:val="28"/>
          <w:lang w:val="en-US"/>
        </w:rPr>
        <w:t> </w:t>
      </w:r>
      <w:r w:rsidR="00A607AD" w:rsidRPr="00F96B3B">
        <w:rPr>
          <w:szCs w:val="28"/>
        </w:rPr>
        <w:t>Geneva,</w:t>
      </w:r>
      <w:r w:rsidR="00391038" w:rsidRPr="00391038">
        <w:rPr>
          <w:szCs w:val="28"/>
          <w:lang w:val="en-US"/>
        </w:rPr>
        <w:t> </w:t>
      </w:r>
      <w:r w:rsidR="00A607AD" w:rsidRPr="00F96B3B">
        <w:rPr>
          <w:szCs w:val="28"/>
        </w:rPr>
        <w:t>2019.</w:t>
      </w:r>
      <w:r w:rsidR="00391038" w:rsidRPr="00391038">
        <w:rPr>
          <w:szCs w:val="28"/>
          <w:lang w:val="en-US"/>
        </w:rPr>
        <w:t> </w:t>
      </w:r>
      <w:r w:rsidR="00A607AD" w:rsidRPr="00F96B3B">
        <w:rPr>
          <w:szCs w:val="28"/>
        </w:rPr>
        <w:t>68</w:t>
      </w:r>
      <w:r w:rsidR="00391038" w:rsidRPr="00391038">
        <w:rPr>
          <w:szCs w:val="28"/>
          <w:lang w:val="en-US"/>
        </w:rPr>
        <w:t> </w:t>
      </w:r>
      <w:r w:rsidR="00A607AD" w:rsidRPr="00F96B3B">
        <w:rPr>
          <w:szCs w:val="28"/>
        </w:rPr>
        <w:t>p.</w:t>
      </w:r>
      <w:r w:rsidR="00391038" w:rsidRPr="00391038">
        <w:rPr>
          <w:szCs w:val="28"/>
          <w:lang w:val="en-US"/>
        </w:rPr>
        <w:t> </w:t>
      </w:r>
      <w:r w:rsidR="00A607AD" w:rsidRPr="00F96B3B">
        <w:rPr>
          <w:szCs w:val="28"/>
        </w:rPr>
        <w:t>URL:</w:t>
      </w:r>
      <w:r w:rsidR="00391038" w:rsidRPr="00391038">
        <w:rPr>
          <w:lang w:val="en-US"/>
        </w:rPr>
        <w:t> </w:t>
      </w:r>
      <w:r w:rsidR="00A607AD" w:rsidRPr="00F96B3B">
        <w:rPr>
          <w:szCs w:val="28"/>
        </w:rPr>
        <w:t>https://www.whoint/health_financing/documents/health-expenditure-report-2019/en/ (Last accessed: 05.10.2020).</w:t>
      </w:r>
    </w:p>
    <w:p w:rsidR="00F96B3B" w:rsidRDefault="00022B86" w:rsidP="00F96B3B">
      <w:pPr>
        <w:ind w:firstLine="709"/>
        <w:rPr>
          <w:szCs w:val="28"/>
          <w:lang w:val="en-US"/>
        </w:rPr>
      </w:pPr>
      <w:r>
        <w:rPr>
          <w:szCs w:val="28"/>
        </w:rPr>
        <w:t>246.</w:t>
      </w:r>
      <w:r w:rsidRPr="00022B86">
        <w:rPr>
          <w:szCs w:val="28"/>
          <w:lang w:val="en-US"/>
        </w:rPr>
        <w:t xml:space="preserve"> </w:t>
      </w:r>
      <w:r w:rsidR="00A607AD" w:rsidRPr="00F96B3B">
        <w:rPr>
          <w:szCs w:val="28"/>
        </w:rPr>
        <w:t>Executive Summary: The World Health Report. Health Systems Financing. The path to universal coverage / World Health Organization. Geneva, 2010. 20</w:t>
      </w:r>
      <w:r w:rsidRPr="00022B86">
        <w:rPr>
          <w:szCs w:val="28"/>
          <w:lang w:val="en-US"/>
        </w:rPr>
        <w:t> </w:t>
      </w:r>
      <w:r w:rsidR="00A607AD" w:rsidRPr="00F96B3B">
        <w:rPr>
          <w:szCs w:val="28"/>
        </w:rPr>
        <w:t>p. URL: https://www.who.int/whr/2010/10_summary_en.pdf?ua=1#:~:text=At%20a%20conservative%20estimate%2C%2020,quality%20services%20and%20improve%20health (Last accessed: 05.10.2020).</w:t>
      </w:r>
    </w:p>
    <w:p w:rsidR="00F96B3B" w:rsidRDefault="00022B86" w:rsidP="00F96B3B">
      <w:pPr>
        <w:ind w:firstLine="709"/>
        <w:rPr>
          <w:szCs w:val="28"/>
          <w:lang w:val="en-US"/>
        </w:rPr>
      </w:pPr>
      <w:r>
        <w:rPr>
          <w:szCs w:val="28"/>
        </w:rPr>
        <w:t xml:space="preserve">247. </w:t>
      </w:r>
      <w:r w:rsidR="00A607AD" w:rsidRPr="00F96B3B">
        <w:rPr>
          <w:szCs w:val="28"/>
        </w:rPr>
        <w:t>Nurturing Care Framework: Why nurturing care? World Health Organization website. URL: https://www.who.int/maternal_child_adolescent/child/nurturing-care-framework-rationale/en/#:~:text=Nurturing%20care%20refers%20to%20a,are%20emotionally%20supportive%20and%20responsive (Last accessed: 05.10.2020).</w:t>
      </w:r>
    </w:p>
    <w:p w:rsidR="00F96B3B" w:rsidRDefault="00022B86" w:rsidP="00F96B3B">
      <w:pPr>
        <w:ind w:firstLine="709"/>
        <w:rPr>
          <w:szCs w:val="28"/>
          <w:lang w:val="en-US"/>
        </w:rPr>
      </w:pPr>
      <w:r>
        <w:rPr>
          <w:szCs w:val="28"/>
        </w:rPr>
        <w:t>248.</w:t>
      </w:r>
      <w:r>
        <w:rPr>
          <w:szCs w:val="28"/>
          <w:lang w:val="en-US"/>
        </w:rPr>
        <w:t xml:space="preserve"> </w:t>
      </w:r>
      <w:r w:rsidR="00A607AD" w:rsidRPr="00F96B3B">
        <w:rPr>
          <w:szCs w:val="28"/>
        </w:rPr>
        <w:t>Advancing early childhood development: from science to scale An executive summary for The Lancet’s Series / WHO, UNICEF, World Bank Group. Geneva, 2016. 8 p. URL: https://www.who.int/maternal_child_adolescent/documents/early-child-development-lancet-series/en/ (Last accessed: 05.10.2020).</w:t>
      </w:r>
    </w:p>
    <w:p w:rsidR="00F96B3B" w:rsidRDefault="00022B86" w:rsidP="00F96B3B">
      <w:pPr>
        <w:ind w:firstLine="709"/>
        <w:rPr>
          <w:szCs w:val="28"/>
          <w:lang w:val="en-US"/>
        </w:rPr>
      </w:pPr>
      <w:r>
        <w:rPr>
          <w:szCs w:val="28"/>
        </w:rPr>
        <w:t>249.</w:t>
      </w:r>
      <w:r>
        <w:rPr>
          <w:szCs w:val="28"/>
          <w:lang w:val="en-US"/>
        </w:rPr>
        <w:t xml:space="preserve"> </w:t>
      </w:r>
      <w:r w:rsidR="00A607AD" w:rsidRPr="000A257C">
        <w:rPr>
          <w:szCs w:val="28"/>
        </w:rPr>
        <w:t>Nurturing care for early</w:t>
      </w:r>
      <w:r w:rsidR="00A607AD" w:rsidRPr="00F96B3B">
        <w:rPr>
          <w:szCs w:val="28"/>
        </w:rPr>
        <w:t xml:space="preserve"> childhood development a framework for helping children survive and thrive to transform health and human potential / WHO, UNICEF, World Bank. Geneva,</w:t>
      </w:r>
      <w:r>
        <w:rPr>
          <w:szCs w:val="28"/>
          <w:lang w:val="en-US"/>
        </w:rPr>
        <w:t> </w:t>
      </w:r>
      <w:r w:rsidR="00A607AD" w:rsidRPr="00F96B3B">
        <w:rPr>
          <w:szCs w:val="28"/>
        </w:rPr>
        <w:t>2018.</w:t>
      </w:r>
      <w:r>
        <w:rPr>
          <w:szCs w:val="28"/>
          <w:lang w:val="en-US"/>
        </w:rPr>
        <w:t> </w:t>
      </w:r>
      <w:r w:rsidR="00A607AD" w:rsidRPr="00F96B3B">
        <w:rPr>
          <w:szCs w:val="28"/>
        </w:rPr>
        <w:t>64</w:t>
      </w:r>
      <w:r w:rsidR="00A607AD">
        <w:t> </w:t>
      </w:r>
      <w:r w:rsidR="00A607AD" w:rsidRPr="00F96B3B">
        <w:rPr>
          <w:szCs w:val="28"/>
        </w:rPr>
        <w:t>p.</w:t>
      </w:r>
      <w:r>
        <w:rPr>
          <w:szCs w:val="28"/>
          <w:lang w:val="en-US"/>
        </w:rPr>
        <w:t> </w:t>
      </w:r>
      <w:r w:rsidR="00A607AD" w:rsidRPr="00F96B3B">
        <w:rPr>
          <w:szCs w:val="28"/>
        </w:rPr>
        <w:t>URL:</w:t>
      </w:r>
      <w:r w:rsidRPr="00022B86">
        <w:rPr>
          <w:lang w:val="en-US"/>
        </w:rPr>
        <w:t> </w:t>
      </w:r>
      <w:r w:rsidR="006D2B7A" w:rsidRPr="006D2B7A">
        <w:rPr>
          <w:szCs w:val="28"/>
        </w:rPr>
        <w:t xml:space="preserve">https://apps.who.int/iris/bitstream/handle/10665/272603/9789241514064-eng.pdf </w:t>
      </w:r>
      <w:r w:rsidR="00A607AD" w:rsidRPr="00F96B3B">
        <w:rPr>
          <w:szCs w:val="28"/>
        </w:rPr>
        <w:t>(Last accessed: 05.10.2020).</w:t>
      </w:r>
    </w:p>
    <w:p w:rsidR="00F96B3B" w:rsidRDefault="00B142FA" w:rsidP="00F96B3B">
      <w:pPr>
        <w:ind w:firstLine="709"/>
        <w:rPr>
          <w:szCs w:val="28"/>
          <w:lang w:val="en-US"/>
        </w:rPr>
      </w:pPr>
      <w:r>
        <w:rPr>
          <w:szCs w:val="28"/>
        </w:rPr>
        <w:lastRenderedPageBreak/>
        <w:t>250.</w:t>
      </w:r>
      <w:r w:rsidRPr="00B142FA">
        <w:rPr>
          <w:szCs w:val="28"/>
          <w:lang w:val="en-US"/>
        </w:rPr>
        <w:t xml:space="preserve"> </w:t>
      </w:r>
      <w:r w:rsidR="00A607AD" w:rsidRPr="00F96B3B">
        <w:rPr>
          <w:szCs w:val="28"/>
        </w:rPr>
        <w:t>WHO community engagement framework for quality, people-centred and resilient health services / World Health Organization. Geneva, 2017. 56</w:t>
      </w:r>
      <w:r w:rsidRPr="00B142FA">
        <w:rPr>
          <w:szCs w:val="28"/>
          <w:lang w:val="en-US"/>
        </w:rPr>
        <w:t> </w:t>
      </w:r>
      <w:r w:rsidR="00A607AD" w:rsidRPr="00F96B3B">
        <w:rPr>
          <w:szCs w:val="28"/>
        </w:rPr>
        <w:t>p. URL: https://apps.who.int/iris/bitstream/handle/10665/259280/WHO-HIS-SDS-2017.15-eng.pdf (Last accessed: 05.10.2020).</w:t>
      </w:r>
    </w:p>
    <w:p w:rsidR="00F96B3B" w:rsidRDefault="00B142FA" w:rsidP="00F96B3B">
      <w:pPr>
        <w:ind w:firstLine="709"/>
        <w:rPr>
          <w:szCs w:val="28"/>
          <w:lang w:val="en-US"/>
        </w:rPr>
      </w:pPr>
      <w:r>
        <w:rPr>
          <w:szCs w:val="28"/>
        </w:rPr>
        <w:t>251.</w:t>
      </w:r>
      <w:r w:rsidRPr="00B142FA">
        <w:rPr>
          <w:szCs w:val="28"/>
          <w:lang w:val="en-US"/>
        </w:rPr>
        <w:t xml:space="preserve"> </w:t>
      </w:r>
      <w:r w:rsidR="00A607AD" w:rsidRPr="00F96B3B">
        <w:rPr>
          <w:szCs w:val="28"/>
        </w:rPr>
        <w:t>WHO recommendations on newborn health: guidelines approved by the WHO Guidelines Review Committee / World Health Organization. Geneva, 2017. 26 p. URL: https://apps.who.int/iris/bitstream/handle/10665/259269/WHO-MCA-17.07-eng.pdf?sequence=1&amp;isAllowed=y (Last accessed: 05.10.2020).</w:t>
      </w:r>
    </w:p>
    <w:p w:rsidR="00F96B3B" w:rsidRDefault="00B142FA" w:rsidP="00F96B3B">
      <w:pPr>
        <w:ind w:firstLine="709"/>
        <w:rPr>
          <w:szCs w:val="28"/>
          <w:lang w:val="en-US"/>
        </w:rPr>
      </w:pPr>
      <w:r>
        <w:rPr>
          <w:szCs w:val="28"/>
        </w:rPr>
        <w:t>252.</w:t>
      </w:r>
      <w:r w:rsidRPr="00B142FA">
        <w:rPr>
          <w:szCs w:val="28"/>
          <w:lang w:val="en-US"/>
        </w:rPr>
        <w:t xml:space="preserve"> </w:t>
      </w:r>
      <w:r w:rsidR="00A607AD" w:rsidRPr="00F96B3B">
        <w:rPr>
          <w:szCs w:val="28"/>
        </w:rPr>
        <w:t>Action Plan for Healthy Newborn Infants in the Wes</w:t>
      </w:r>
      <w:r>
        <w:rPr>
          <w:szCs w:val="28"/>
        </w:rPr>
        <w:t>tern Pacific Region (2014–2020)</w:t>
      </w:r>
      <w:r w:rsidRPr="00B142FA">
        <w:rPr>
          <w:szCs w:val="28"/>
          <w:lang w:val="en-US"/>
        </w:rPr>
        <w:t> </w:t>
      </w:r>
      <w:r w:rsidR="00A607AD" w:rsidRPr="00F96B3B">
        <w:rPr>
          <w:szCs w:val="28"/>
        </w:rPr>
        <w:t>/</w:t>
      </w:r>
      <w:r w:rsidRPr="00B142FA">
        <w:rPr>
          <w:szCs w:val="28"/>
          <w:lang w:val="en-US"/>
        </w:rPr>
        <w:t> </w:t>
      </w:r>
      <w:r w:rsidR="00A607AD" w:rsidRPr="00F96B3B">
        <w:rPr>
          <w:szCs w:val="28"/>
        </w:rPr>
        <w:t>World Health Organization. Geneva, 2014. 48</w:t>
      </w:r>
      <w:r w:rsidRPr="00B142FA">
        <w:rPr>
          <w:szCs w:val="28"/>
          <w:lang w:val="en-US"/>
        </w:rPr>
        <w:t> </w:t>
      </w:r>
      <w:r w:rsidR="00A607AD" w:rsidRPr="00F96B3B">
        <w:rPr>
          <w:szCs w:val="28"/>
        </w:rPr>
        <w:t>p. URL: https://www.unicef.org/regional_action_plan_new_born_infants.pdf (Last accessed: 05.10.2020).</w:t>
      </w:r>
    </w:p>
    <w:p w:rsidR="00F96B3B" w:rsidRDefault="00B142FA" w:rsidP="00F96B3B">
      <w:pPr>
        <w:ind w:firstLine="709"/>
        <w:rPr>
          <w:szCs w:val="28"/>
          <w:lang w:val="en-US"/>
        </w:rPr>
      </w:pPr>
      <w:r>
        <w:rPr>
          <w:szCs w:val="28"/>
        </w:rPr>
        <w:t>253.</w:t>
      </w:r>
      <w:r w:rsidRPr="00B142FA">
        <w:rPr>
          <w:szCs w:val="28"/>
          <w:lang w:val="en-US"/>
        </w:rPr>
        <w:t xml:space="preserve"> </w:t>
      </w:r>
      <w:r w:rsidR="00A607AD" w:rsidRPr="00F96B3B">
        <w:rPr>
          <w:szCs w:val="28"/>
        </w:rPr>
        <w:t>Scaling Up Family Planning to Reduce Maternal and Child Mortality: The Potential Costs and Benefits of Modern Contraceptive Use in South Africa / Lumbwe Chola et al. PLoS One. 2015. Vol. 10 (6). P.</w:t>
      </w:r>
      <w:r>
        <w:rPr>
          <w:lang w:val="en-US"/>
        </w:rPr>
        <w:t> </w:t>
      </w:r>
      <w:r w:rsidR="00A607AD" w:rsidRPr="00F96B3B">
        <w:rPr>
          <w:szCs w:val="28"/>
        </w:rPr>
        <w:t xml:space="preserve">e0130077. Published online 2015 Jun. DOI: 10.1371/journal.pone.0130077 (дата звернення: 25.02.2021). </w:t>
      </w:r>
    </w:p>
    <w:p w:rsidR="00F96B3B" w:rsidRPr="00F96B3B" w:rsidRDefault="00B142FA" w:rsidP="00F96B3B">
      <w:pPr>
        <w:ind w:firstLine="709"/>
        <w:rPr>
          <w:szCs w:val="28"/>
          <w:lang w:val="ru-RU"/>
        </w:rPr>
      </w:pPr>
      <w:r>
        <w:rPr>
          <w:szCs w:val="28"/>
          <w:lang w:val="ru-RU"/>
        </w:rPr>
        <w:t>254.</w:t>
      </w:r>
      <w:r w:rsidRPr="00B142FA">
        <w:rPr>
          <w:szCs w:val="28"/>
          <w:lang w:val="ru-RU"/>
        </w:rPr>
        <w:t xml:space="preserve"> </w:t>
      </w:r>
      <w:r w:rsidR="00A607AD" w:rsidRPr="00F96B3B">
        <w:rPr>
          <w:szCs w:val="28"/>
          <w:lang w:val="ru-RU"/>
        </w:rPr>
        <w:t>Про ратифікацію Конвенції про права дитини: Постанова Верховної Ради Української РСР від 27 лют. 1991 р. № 789-</w:t>
      </w:r>
      <w:r w:rsidR="00A607AD" w:rsidRPr="00F96B3B">
        <w:rPr>
          <w:szCs w:val="28"/>
        </w:rPr>
        <w:t>XII</w:t>
      </w:r>
      <w:r w:rsidR="00A607AD" w:rsidRPr="00F96B3B">
        <w:rPr>
          <w:szCs w:val="28"/>
          <w:lang w:val="ru-RU"/>
        </w:rPr>
        <w:t xml:space="preserve">. Відомості Верховної Ради УРСР (ВВР). 1991. № 13, ст. 145. </w:t>
      </w:r>
      <w:r w:rsidR="00A607AD" w:rsidRPr="00F96B3B">
        <w:rPr>
          <w:szCs w:val="28"/>
        </w:rPr>
        <w:t>URL</w:t>
      </w:r>
      <w:r w:rsidR="00A607AD" w:rsidRPr="00F96B3B">
        <w:rPr>
          <w:szCs w:val="28"/>
          <w:lang w:val="ru-RU"/>
        </w:rPr>
        <w:t xml:space="preserve">: </w:t>
      </w:r>
      <w:r w:rsidR="00A607AD" w:rsidRPr="00F96B3B">
        <w:rPr>
          <w:szCs w:val="28"/>
        </w:rPr>
        <w:t>https</w:t>
      </w:r>
      <w:r w:rsidR="00A607AD" w:rsidRPr="00F96B3B">
        <w:rPr>
          <w:szCs w:val="28"/>
          <w:lang w:val="ru-RU"/>
        </w:rPr>
        <w:t>://</w:t>
      </w:r>
      <w:r w:rsidR="00A607AD" w:rsidRPr="00F96B3B">
        <w:rPr>
          <w:szCs w:val="28"/>
        </w:rPr>
        <w:t>zakon</w:t>
      </w:r>
      <w:r w:rsidR="00A607AD" w:rsidRPr="00F96B3B">
        <w:rPr>
          <w:szCs w:val="28"/>
          <w:lang w:val="ru-RU"/>
        </w:rPr>
        <w:t>.</w:t>
      </w:r>
      <w:r w:rsidR="00A607AD" w:rsidRPr="00F96B3B">
        <w:rPr>
          <w:szCs w:val="28"/>
        </w:rPr>
        <w:t>rada</w:t>
      </w:r>
      <w:r w:rsidR="00A607AD" w:rsidRPr="00F96B3B">
        <w:rPr>
          <w:szCs w:val="28"/>
          <w:lang w:val="ru-RU"/>
        </w:rPr>
        <w:t>.</w:t>
      </w:r>
      <w:r w:rsidR="00A607AD" w:rsidRPr="00F96B3B">
        <w:rPr>
          <w:szCs w:val="28"/>
        </w:rPr>
        <w:t>gov</w:t>
      </w:r>
      <w:r w:rsidR="00A607AD" w:rsidRPr="00F96B3B">
        <w:rPr>
          <w:szCs w:val="28"/>
          <w:lang w:val="ru-RU"/>
        </w:rPr>
        <w:t>.</w:t>
      </w:r>
      <w:r w:rsidR="00A607AD" w:rsidRPr="00F96B3B">
        <w:rPr>
          <w:szCs w:val="28"/>
        </w:rPr>
        <w:t>ua</w:t>
      </w:r>
      <w:r w:rsidR="00A607AD" w:rsidRPr="00F96B3B">
        <w:rPr>
          <w:szCs w:val="28"/>
          <w:lang w:val="ru-RU"/>
        </w:rPr>
        <w:t>/</w:t>
      </w:r>
      <w:r w:rsidR="00A607AD" w:rsidRPr="00F96B3B">
        <w:rPr>
          <w:szCs w:val="28"/>
        </w:rPr>
        <w:t>laws</w:t>
      </w:r>
      <w:r w:rsidR="00A607AD" w:rsidRPr="00F96B3B">
        <w:rPr>
          <w:szCs w:val="28"/>
          <w:lang w:val="ru-RU"/>
        </w:rPr>
        <w:t>/</w:t>
      </w:r>
      <w:r w:rsidR="00A607AD" w:rsidRPr="00F96B3B">
        <w:rPr>
          <w:szCs w:val="28"/>
        </w:rPr>
        <w:t>show</w:t>
      </w:r>
      <w:r w:rsidR="00A607AD" w:rsidRPr="00F96B3B">
        <w:rPr>
          <w:szCs w:val="28"/>
          <w:lang w:val="ru-RU"/>
        </w:rPr>
        <w:t>/789-12#</w:t>
      </w:r>
      <w:r w:rsidR="00A607AD" w:rsidRPr="00F96B3B">
        <w:rPr>
          <w:szCs w:val="28"/>
        </w:rPr>
        <w:t>Text</w:t>
      </w:r>
      <w:r w:rsidR="00A607AD" w:rsidRPr="00F96B3B">
        <w:rPr>
          <w:szCs w:val="28"/>
          <w:lang w:val="ru-RU"/>
        </w:rPr>
        <w:t xml:space="preserve"> (дата звернення: 25.10.2020).</w:t>
      </w:r>
    </w:p>
    <w:p w:rsidR="00F96B3B" w:rsidRDefault="00B142FA" w:rsidP="00F96B3B">
      <w:pPr>
        <w:ind w:firstLine="709"/>
        <w:rPr>
          <w:szCs w:val="28"/>
          <w:lang w:val="en-US"/>
        </w:rPr>
      </w:pPr>
      <w:r>
        <w:rPr>
          <w:szCs w:val="28"/>
        </w:rPr>
        <w:t>255.</w:t>
      </w:r>
      <w:r>
        <w:rPr>
          <w:szCs w:val="28"/>
          <w:lang w:val="en-US"/>
        </w:rPr>
        <w:t xml:space="preserve"> </w:t>
      </w:r>
      <w:r w:rsidR="00A607AD" w:rsidRPr="00F96B3B">
        <w:rPr>
          <w:szCs w:val="28"/>
        </w:rPr>
        <w:t>Investing in children: the European child and adolescent health strategy 2015-2020: Regional Committee for Europe. 64-th session (Copenhagen, Denmark, 15-18 Septem. 2014).</w:t>
      </w:r>
      <w:r w:rsidR="00F43138" w:rsidRPr="00F43138">
        <w:rPr>
          <w:lang w:val="en-US"/>
        </w:rPr>
        <w:t> </w:t>
      </w:r>
      <w:r w:rsidR="00A607AD" w:rsidRPr="00F96B3B">
        <w:rPr>
          <w:szCs w:val="28"/>
        </w:rPr>
        <w:t>Copenhagen,</w:t>
      </w:r>
      <w:r w:rsidR="00F43138" w:rsidRPr="00F43138">
        <w:rPr>
          <w:szCs w:val="28"/>
          <w:lang w:val="en-US"/>
        </w:rPr>
        <w:t> </w:t>
      </w:r>
      <w:r w:rsidR="00A607AD" w:rsidRPr="00F96B3B">
        <w:rPr>
          <w:szCs w:val="28"/>
        </w:rPr>
        <w:t>Denmark,</w:t>
      </w:r>
      <w:r w:rsidR="00F43138" w:rsidRPr="00F43138">
        <w:rPr>
          <w:szCs w:val="28"/>
          <w:lang w:val="en-US"/>
        </w:rPr>
        <w:t> </w:t>
      </w:r>
      <w:r w:rsidR="00A607AD" w:rsidRPr="00F96B3B">
        <w:rPr>
          <w:szCs w:val="28"/>
        </w:rPr>
        <w:t>2014.</w:t>
      </w:r>
      <w:r w:rsidR="00F43138" w:rsidRPr="00F43138">
        <w:rPr>
          <w:szCs w:val="28"/>
          <w:lang w:val="en-US"/>
        </w:rPr>
        <w:t> </w:t>
      </w:r>
      <w:r w:rsidR="00A607AD" w:rsidRPr="00F96B3B">
        <w:rPr>
          <w:szCs w:val="28"/>
        </w:rPr>
        <w:t>24</w:t>
      </w:r>
      <w:r w:rsidRPr="00B142FA">
        <w:rPr>
          <w:szCs w:val="28"/>
          <w:lang w:val="en-US"/>
        </w:rPr>
        <w:t> </w:t>
      </w:r>
      <w:r w:rsidR="00A607AD" w:rsidRPr="00F96B3B">
        <w:rPr>
          <w:szCs w:val="28"/>
        </w:rPr>
        <w:t>p.</w:t>
      </w:r>
      <w:r w:rsidR="00F43138" w:rsidRPr="00F43138">
        <w:rPr>
          <w:szCs w:val="28"/>
          <w:lang w:val="en-US"/>
        </w:rPr>
        <w:t> </w:t>
      </w:r>
      <w:r w:rsidR="00A607AD" w:rsidRPr="00F96B3B">
        <w:rPr>
          <w:szCs w:val="28"/>
        </w:rPr>
        <w:t>URL:</w:t>
      </w:r>
      <w:r w:rsidR="00F43138" w:rsidRPr="00F43138">
        <w:rPr>
          <w:szCs w:val="28"/>
          <w:lang w:val="en-US"/>
        </w:rPr>
        <w:t> </w:t>
      </w:r>
      <w:r w:rsidR="00A607AD" w:rsidRPr="00F96B3B">
        <w:rPr>
          <w:szCs w:val="28"/>
        </w:rPr>
        <w:t>https://www.euro.who.int/__data/assets/pdf_file/0010/253729/64wd12e_InvestCAHstrategy_140440.pdf?ua= (Last accessed: 05.10.2020).</w:t>
      </w:r>
    </w:p>
    <w:p w:rsidR="00F96B3B" w:rsidRDefault="00B142FA" w:rsidP="00F96B3B">
      <w:pPr>
        <w:ind w:firstLine="709"/>
        <w:rPr>
          <w:szCs w:val="28"/>
          <w:lang w:val="en-US"/>
        </w:rPr>
      </w:pPr>
      <w:r>
        <w:rPr>
          <w:szCs w:val="28"/>
        </w:rPr>
        <w:t>256.</w:t>
      </w:r>
      <w:r w:rsidRPr="00B142FA">
        <w:rPr>
          <w:szCs w:val="28"/>
          <w:lang w:val="en-US"/>
        </w:rPr>
        <w:t xml:space="preserve"> </w:t>
      </w:r>
      <w:r w:rsidR="00A607AD" w:rsidRPr="00F96B3B">
        <w:rPr>
          <w:szCs w:val="28"/>
        </w:rPr>
        <w:t xml:space="preserve">Health 2020 Leadership for health and well-being in 21st century Europe. Health And Well-Being – A Common Purpose, A Shared Responsibility. Copenhagen, Denmark: </w:t>
      </w:r>
      <w:r w:rsidR="00A607AD" w:rsidRPr="00F96B3B">
        <w:rPr>
          <w:szCs w:val="28"/>
        </w:rPr>
        <w:lastRenderedPageBreak/>
        <w:t>World</w:t>
      </w:r>
      <w:r w:rsidR="00DF0EE6">
        <w:rPr>
          <w:lang w:val="en-US"/>
        </w:rPr>
        <w:t> </w:t>
      </w:r>
      <w:r w:rsidR="00A607AD" w:rsidRPr="00F96B3B">
        <w:rPr>
          <w:szCs w:val="28"/>
        </w:rPr>
        <w:t>Health</w:t>
      </w:r>
      <w:r w:rsidR="00DF0EE6" w:rsidRPr="00DF0EE6">
        <w:rPr>
          <w:lang w:val="en-US"/>
        </w:rPr>
        <w:t> </w:t>
      </w:r>
      <w:r w:rsidR="00A607AD" w:rsidRPr="00F96B3B">
        <w:rPr>
          <w:szCs w:val="28"/>
        </w:rPr>
        <w:t>Organization,</w:t>
      </w:r>
      <w:r w:rsidR="00DF0EE6" w:rsidRPr="00DF0EE6">
        <w:rPr>
          <w:szCs w:val="28"/>
          <w:lang w:val="en-US"/>
        </w:rPr>
        <w:t> </w:t>
      </w:r>
      <w:r w:rsidR="00A607AD" w:rsidRPr="00F96B3B">
        <w:rPr>
          <w:szCs w:val="28"/>
        </w:rPr>
        <w:t>2012.</w:t>
      </w:r>
      <w:r w:rsidR="00DF0EE6" w:rsidRPr="00DF0EE6">
        <w:rPr>
          <w:szCs w:val="28"/>
          <w:lang w:val="en-US"/>
        </w:rPr>
        <w:t> </w:t>
      </w:r>
      <w:r w:rsidR="00A607AD" w:rsidRPr="00F96B3B">
        <w:rPr>
          <w:szCs w:val="28"/>
        </w:rPr>
        <w:t>189</w:t>
      </w:r>
      <w:r w:rsidRPr="00B142FA">
        <w:rPr>
          <w:szCs w:val="28"/>
          <w:lang w:val="en-US"/>
        </w:rPr>
        <w:t> </w:t>
      </w:r>
      <w:r w:rsidR="00A607AD" w:rsidRPr="00F96B3B">
        <w:rPr>
          <w:szCs w:val="28"/>
        </w:rPr>
        <w:t>p.</w:t>
      </w:r>
      <w:r w:rsidR="00DF0EE6" w:rsidRPr="00DF0EE6">
        <w:rPr>
          <w:szCs w:val="28"/>
          <w:lang w:val="en-US"/>
        </w:rPr>
        <w:t> </w:t>
      </w:r>
      <w:r w:rsidR="00A607AD" w:rsidRPr="00F96B3B">
        <w:rPr>
          <w:szCs w:val="28"/>
        </w:rPr>
        <w:t>URL:</w:t>
      </w:r>
      <w:r w:rsidR="00DF0EE6">
        <w:rPr>
          <w:szCs w:val="28"/>
        </w:rPr>
        <w:t> </w:t>
      </w:r>
      <w:r w:rsidR="00A607AD" w:rsidRPr="00F96B3B">
        <w:rPr>
          <w:szCs w:val="28"/>
        </w:rPr>
        <w:t>https://www.who.int/workforcealliance/knowledge/resources/health2020_ngocall/en/ (Last accessed: 05.10.2020).</w:t>
      </w:r>
    </w:p>
    <w:p w:rsidR="00F96B3B" w:rsidRDefault="00B142FA" w:rsidP="00F96B3B">
      <w:pPr>
        <w:ind w:firstLine="709"/>
        <w:rPr>
          <w:szCs w:val="28"/>
          <w:lang w:val="en-US"/>
        </w:rPr>
      </w:pPr>
      <w:r>
        <w:rPr>
          <w:szCs w:val="28"/>
        </w:rPr>
        <w:t>257.</w:t>
      </w:r>
      <w:r w:rsidRPr="00B142FA">
        <w:rPr>
          <w:szCs w:val="28"/>
          <w:lang w:val="en-US"/>
        </w:rPr>
        <w:t xml:space="preserve"> </w:t>
      </w:r>
      <w:r w:rsidR="00A607AD" w:rsidRPr="00F96B3B">
        <w:rPr>
          <w:szCs w:val="28"/>
        </w:rPr>
        <w:t>Health 2020: a European policy framework supporting action across government and society for health and well-being / World Health Organization. Copenhagen, Denmark, 2013. 22</w:t>
      </w:r>
      <w:r w:rsidR="00A607AD">
        <w:t> </w:t>
      </w:r>
      <w:r w:rsidR="00A607AD" w:rsidRPr="00F96B3B">
        <w:rPr>
          <w:szCs w:val="28"/>
        </w:rPr>
        <w:t>p. URL: https://www.euro.who.int/en/publications/abstracts/health-2020-a-european-policy-framework-supporting-action-across-government-and-society-for-health-and-well-being (Last accessed: 05.10.2020).</w:t>
      </w:r>
    </w:p>
    <w:p w:rsidR="00F96B3B" w:rsidRDefault="00B142FA" w:rsidP="00F96B3B">
      <w:pPr>
        <w:ind w:firstLine="709"/>
        <w:rPr>
          <w:szCs w:val="28"/>
          <w:lang w:val="en-US"/>
        </w:rPr>
      </w:pPr>
      <w:r>
        <w:rPr>
          <w:szCs w:val="28"/>
        </w:rPr>
        <w:t>258.</w:t>
      </w:r>
      <w:r w:rsidRPr="00B142FA">
        <w:rPr>
          <w:szCs w:val="28"/>
          <w:lang w:val="en-US"/>
        </w:rPr>
        <w:t xml:space="preserve"> </w:t>
      </w:r>
      <w:r w:rsidR="00A607AD" w:rsidRPr="00F96B3B">
        <w:rPr>
          <w:szCs w:val="28"/>
        </w:rPr>
        <w:t>Reproductive health strategy to accelerate progress towards the attainment of international development goals and targets. Global strategy adopted by the 57-th World Health Assembly / World Health Organization, Department of Reproductive Health and Research.</w:t>
      </w:r>
      <w:r w:rsidR="00170D56">
        <w:rPr>
          <w:lang w:val="en-US"/>
        </w:rPr>
        <w:t> </w:t>
      </w:r>
      <w:r w:rsidR="00A607AD" w:rsidRPr="00F96B3B">
        <w:rPr>
          <w:szCs w:val="28"/>
        </w:rPr>
        <w:t>Geneva,</w:t>
      </w:r>
      <w:r w:rsidR="00170D56">
        <w:rPr>
          <w:lang w:val="en-US"/>
        </w:rPr>
        <w:t> </w:t>
      </w:r>
      <w:r w:rsidR="00A607AD" w:rsidRPr="00F96B3B">
        <w:rPr>
          <w:szCs w:val="28"/>
        </w:rPr>
        <w:t>2004.</w:t>
      </w:r>
      <w:r w:rsidR="00170D56">
        <w:rPr>
          <w:szCs w:val="28"/>
          <w:lang w:val="en-US"/>
        </w:rPr>
        <w:t> </w:t>
      </w:r>
      <w:r w:rsidR="00A607AD" w:rsidRPr="00F96B3B">
        <w:rPr>
          <w:szCs w:val="28"/>
        </w:rPr>
        <w:t>36</w:t>
      </w:r>
      <w:r w:rsidRPr="00B142FA">
        <w:rPr>
          <w:szCs w:val="28"/>
          <w:lang w:val="en-US"/>
        </w:rPr>
        <w:t> </w:t>
      </w:r>
      <w:r w:rsidR="00A607AD" w:rsidRPr="00F96B3B">
        <w:rPr>
          <w:szCs w:val="28"/>
        </w:rPr>
        <w:t>p.</w:t>
      </w:r>
      <w:r w:rsidR="00170D56">
        <w:rPr>
          <w:szCs w:val="28"/>
          <w:lang w:val="en-US"/>
        </w:rPr>
        <w:t> </w:t>
      </w:r>
      <w:r w:rsidR="00A607AD" w:rsidRPr="00F96B3B">
        <w:rPr>
          <w:szCs w:val="28"/>
        </w:rPr>
        <w:t>URL:</w:t>
      </w:r>
      <w:r w:rsidR="00170D56">
        <w:rPr>
          <w:lang w:val="en-US"/>
        </w:rPr>
        <w:t> </w:t>
      </w:r>
      <w:r w:rsidR="00A607AD" w:rsidRPr="00F96B3B">
        <w:rPr>
          <w:szCs w:val="28"/>
        </w:rPr>
        <w:t>https://www.who.int/reproductivehealth/publications/general/RHR_04_8/en/ (Last accessed: 05.10.2020).</w:t>
      </w:r>
    </w:p>
    <w:p w:rsidR="00F96B3B" w:rsidRDefault="00B142FA" w:rsidP="00F96B3B">
      <w:pPr>
        <w:ind w:firstLine="709"/>
        <w:rPr>
          <w:szCs w:val="28"/>
          <w:lang w:val="en-US"/>
        </w:rPr>
      </w:pPr>
      <w:r>
        <w:rPr>
          <w:szCs w:val="28"/>
        </w:rPr>
        <w:t>259.</w:t>
      </w:r>
      <w:r w:rsidRPr="00B142FA">
        <w:rPr>
          <w:szCs w:val="28"/>
          <w:lang w:val="en-US"/>
        </w:rPr>
        <w:t xml:space="preserve"> </w:t>
      </w:r>
      <w:r w:rsidR="00A607AD" w:rsidRPr="00F96B3B">
        <w:rPr>
          <w:szCs w:val="28"/>
        </w:rPr>
        <w:t>European strategy for child and adolescent health and development / World Health</w:t>
      </w:r>
      <w:r w:rsidR="00D420E2">
        <w:t> </w:t>
      </w:r>
      <w:r w:rsidR="00A607AD" w:rsidRPr="00F96B3B">
        <w:rPr>
          <w:szCs w:val="28"/>
        </w:rPr>
        <w:t>Organization.</w:t>
      </w:r>
      <w:r w:rsidR="00D420E2">
        <w:rPr>
          <w:szCs w:val="28"/>
        </w:rPr>
        <w:t> </w:t>
      </w:r>
      <w:r w:rsidR="00A607AD" w:rsidRPr="00F96B3B">
        <w:rPr>
          <w:szCs w:val="28"/>
        </w:rPr>
        <w:t>Copenhagen,</w:t>
      </w:r>
      <w:r w:rsidR="00D420E2">
        <w:rPr>
          <w:szCs w:val="28"/>
        </w:rPr>
        <w:t> </w:t>
      </w:r>
      <w:r w:rsidR="00A607AD" w:rsidRPr="00F96B3B">
        <w:rPr>
          <w:szCs w:val="28"/>
        </w:rPr>
        <w:t>Denmark,</w:t>
      </w:r>
      <w:r w:rsidR="00D420E2">
        <w:rPr>
          <w:szCs w:val="28"/>
        </w:rPr>
        <w:t> </w:t>
      </w:r>
      <w:r w:rsidR="00A607AD" w:rsidRPr="00F96B3B">
        <w:rPr>
          <w:szCs w:val="28"/>
        </w:rPr>
        <w:t>2005.</w:t>
      </w:r>
      <w:r w:rsidR="00D420E2">
        <w:rPr>
          <w:szCs w:val="28"/>
        </w:rPr>
        <w:t> </w:t>
      </w:r>
      <w:r w:rsidR="00A607AD" w:rsidRPr="00F96B3B">
        <w:rPr>
          <w:szCs w:val="28"/>
        </w:rPr>
        <w:t>25</w:t>
      </w:r>
      <w:r>
        <w:t> </w:t>
      </w:r>
      <w:r w:rsidR="00A607AD" w:rsidRPr="00F96B3B">
        <w:rPr>
          <w:szCs w:val="28"/>
        </w:rPr>
        <w:t>p.</w:t>
      </w:r>
      <w:r w:rsidR="00D420E2">
        <w:rPr>
          <w:lang w:val="en-US"/>
        </w:rPr>
        <w:t> </w:t>
      </w:r>
      <w:r w:rsidR="00A607AD" w:rsidRPr="00F96B3B">
        <w:rPr>
          <w:szCs w:val="28"/>
        </w:rPr>
        <w:t>URL:</w:t>
      </w:r>
      <w:r w:rsidR="00D420E2">
        <w:rPr>
          <w:szCs w:val="28"/>
          <w:lang w:val="en-US"/>
        </w:rPr>
        <w:t> </w:t>
      </w:r>
      <w:r w:rsidR="00A607AD" w:rsidRPr="00F96B3B">
        <w:rPr>
          <w:szCs w:val="28"/>
        </w:rPr>
        <w:t>https://www.euro.who.int/en/health-topics/Life-stages/child-and-adolescent-health/publications/2005/european-strategy-for-child-and-adolescent-health-and-development (Last accessed: 05.10.2020).</w:t>
      </w:r>
    </w:p>
    <w:p w:rsidR="00F96B3B" w:rsidRPr="00F96B3B" w:rsidRDefault="00A607AD" w:rsidP="00F96B3B">
      <w:pPr>
        <w:ind w:firstLine="709"/>
        <w:rPr>
          <w:szCs w:val="28"/>
          <w:lang w:val="ru-RU"/>
        </w:rPr>
      </w:pPr>
      <w:r w:rsidRPr="00F96B3B">
        <w:rPr>
          <w:szCs w:val="28"/>
          <w:lang w:val="ru-RU"/>
        </w:rPr>
        <w:t>260.</w:t>
      </w:r>
      <w:r w:rsidR="00B142FA" w:rsidRPr="00F71E89">
        <w:rPr>
          <w:szCs w:val="28"/>
          <w:lang w:val="ru-RU"/>
        </w:rPr>
        <w:t xml:space="preserve"> </w:t>
      </w:r>
      <w:r w:rsidRPr="00F96B3B">
        <w:rPr>
          <w:szCs w:val="28"/>
          <w:lang w:val="ru-RU"/>
        </w:rPr>
        <w:t>Пан Ги Мун. Глобальная стратегия охраны здоровья женщин и детей / Организации</w:t>
      </w:r>
      <w:r w:rsidR="00F43138">
        <w:rPr>
          <w:szCs w:val="28"/>
          <w:lang w:val="ru-RU"/>
        </w:rPr>
        <w:t> </w:t>
      </w:r>
      <w:r w:rsidRPr="00F96B3B">
        <w:rPr>
          <w:szCs w:val="28"/>
          <w:lang w:val="ru-RU"/>
        </w:rPr>
        <w:t>Объединенных</w:t>
      </w:r>
      <w:r w:rsidR="00F43138">
        <w:rPr>
          <w:szCs w:val="28"/>
          <w:lang w:val="ru-RU"/>
        </w:rPr>
        <w:t> </w:t>
      </w:r>
      <w:r w:rsidRPr="00F96B3B">
        <w:rPr>
          <w:szCs w:val="28"/>
          <w:lang w:val="ru-RU"/>
        </w:rPr>
        <w:t>Наций.</w:t>
      </w:r>
      <w:r w:rsidR="00F43138">
        <w:rPr>
          <w:szCs w:val="28"/>
          <w:lang w:val="ru-RU"/>
        </w:rPr>
        <w:t> </w:t>
      </w:r>
      <w:r w:rsidRPr="00F96B3B">
        <w:rPr>
          <w:szCs w:val="28"/>
          <w:lang w:val="ru-RU"/>
        </w:rPr>
        <w:t>2016.</w:t>
      </w:r>
      <w:r w:rsidR="00F43138">
        <w:rPr>
          <w:szCs w:val="28"/>
          <w:lang w:val="ru-RU"/>
        </w:rPr>
        <w:t> </w:t>
      </w:r>
      <w:r w:rsidRPr="00F96B3B">
        <w:rPr>
          <w:szCs w:val="28"/>
          <w:lang w:val="ru-RU"/>
        </w:rPr>
        <w:t>4</w:t>
      </w:r>
      <w:r w:rsidR="00B142FA">
        <w:rPr>
          <w:szCs w:val="28"/>
          <w:lang w:val="ru-RU"/>
        </w:rPr>
        <w:t> </w:t>
      </w:r>
      <w:r w:rsidRPr="00F96B3B">
        <w:rPr>
          <w:szCs w:val="28"/>
          <w:lang w:val="ru-RU"/>
        </w:rPr>
        <w:t>с.</w:t>
      </w:r>
      <w:r w:rsidR="00F43138">
        <w:rPr>
          <w:szCs w:val="28"/>
          <w:lang w:val="ru-RU"/>
        </w:rPr>
        <w:t> </w:t>
      </w:r>
      <w:r w:rsidRPr="00F96B3B">
        <w:rPr>
          <w:szCs w:val="28"/>
        </w:rPr>
        <w:t>URL</w:t>
      </w:r>
      <w:r w:rsidRPr="00F96B3B">
        <w:rPr>
          <w:szCs w:val="28"/>
          <w:lang w:val="ru-RU"/>
        </w:rPr>
        <w:t>:</w:t>
      </w:r>
      <w:r w:rsidR="00F43138">
        <w:rPr>
          <w:szCs w:val="28"/>
          <w:lang w:val="ru-RU"/>
        </w:rPr>
        <w:t> </w:t>
      </w:r>
      <w:r w:rsidRPr="00F96B3B">
        <w:rPr>
          <w:szCs w:val="28"/>
        </w:rPr>
        <w:t>https</w:t>
      </w:r>
      <w:r w:rsidRPr="00F96B3B">
        <w:rPr>
          <w:szCs w:val="28"/>
          <w:lang w:val="ru-RU"/>
        </w:rPr>
        <w:t>://</w:t>
      </w:r>
      <w:r w:rsidRPr="00F96B3B">
        <w:rPr>
          <w:szCs w:val="28"/>
        </w:rPr>
        <w:t>www</w:t>
      </w:r>
      <w:r w:rsidRPr="00F96B3B">
        <w:rPr>
          <w:szCs w:val="28"/>
          <w:lang w:val="ru-RU"/>
        </w:rPr>
        <w:t>.</w:t>
      </w:r>
      <w:r w:rsidRPr="00F96B3B">
        <w:rPr>
          <w:szCs w:val="28"/>
        </w:rPr>
        <w:t>everywomaneverychild</w:t>
      </w:r>
      <w:r w:rsidRPr="00F96B3B">
        <w:rPr>
          <w:szCs w:val="28"/>
          <w:lang w:val="ru-RU"/>
        </w:rPr>
        <w:t>.</w:t>
      </w:r>
      <w:r w:rsidRPr="00F96B3B">
        <w:rPr>
          <w:szCs w:val="28"/>
        </w:rPr>
        <w:t>org</w:t>
      </w:r>
      <w:r w:rsidRPr="00F96B3B">
        <w:rPr>
          <w:szCs w:val="28"/>
          <w:lang w:val="ru-RU"/>
        </w:rPr>
        <w:t>/</w:t>
      </w:r>
      <w:r w:rsidRPr="00F96B3B">
        <w:rPr>
          <w:szCs w:val="28"/>
        </w:rPr>
        <w:t>wp</w:t>
      </w:r>
      <w:r w:rsidRPr="00F96B3B">
        <w:rPr>
          <w:szCs w:val="28"/>
          <w:lang w:val="ru-RU"/>
        </w:rPr>
        <w:t>-</w:t>
      </w:r>
      <w:r w:rsidRPr="00F96B3B">
        <w:rPr>
          <w:szCs w:val="28"/>
        </w:rPr>
        <w:t>content</w:t>
      </w:r>
      <w:r w:rsidRPr="00F96B3B">
        <w:rPr>
          <w:szCs w:val="28"/>
          <w:lang w:val="ru-RU"/>
        </w:rPr>
        <w:t>/</w:t>
      </w:r>
      <w:r w:rsidRPr="00F96B3B">
        <w:rPr>
          <w:szCs w:val="28"/>
        </w:rPr>
        <w:t>uploads</w:t>
      </w:r>
      <w:r w:rsidRPr="00F96B3B">
        <w:rPr>
          <w:szCs w:val="28"/>
          <w:lang w:val="ru-RU"/>
        </w:rPr>
        <w:t>/2016/11/201009_</w:t>
      </w:r>
      <w:r w:rsidRPr="00F96B3B">
        <w:rPr>
          <w:szCs w:val="28"/>
        </w:rPr>
        <w:t>gswch</w:t>
      </w:r>
      <w:r w:rsidRPr="00F96B3B">
        <w:rPr>
          <w:szCs w:val="28"/>
          <w:lang w:val="ru-RU"/>
        </w:rPr>
        <w:t>_</w:t>
      </w:r>
      <w:r w:rsidRPr="00F96B3B">
        <w:rPr>
          <w:szCs w:val="28"/>
        </w:rPr>
        <w:t>execsum</w:t>
      </w:r>
      <w:r w:rsidRPr="00F96B3B">
        <w:rPr>
          <w:szCs w:val="28"/>
          <w:lang w:val="ru-RU"/>
        </w:rPr>
        <w:t>_</w:t>
      </w:r>
      <w:r w:rsidRPr="00F96B3B">
        <w:rPr>
          <w:szCs w:val="28"/>
        </w:rPr>
        <w:t>ru</w:t>
      </w:r>
      <w:r w:rsidRPr="00F96B3B">
        <w:rPr>
          <w:szCs w:val="28"/>
          <w:lang w:val="ru-RU"/>
        </w:rPr>
        <w:t>.</w:t>
      </w:r>
      <w:r w:rsidRPr="00F96B3B">
        <w:rPr>
          <w:szCs w:val="28"/>
        </w:rPr>
        <w:t>pdf</w:t>
      </w:r>
      <w:r w:rsidRPr="00F96B3B">
        <w:rPr>
          <w:szCs w:val="28"/>
          <w:lang w:val="ru-RU"/>
        </w:rPr>
        <w:t xml:space="preserve"> (дата звернення: 12.11.2018).</w:t>
      </w:r>
    </w:p>
    <w:p w:rsidR="00EB734D" w:rsidRDefault="00B142FA" w:rsidP="00EB734D">
      <w:pPr>
        <w:ind w:firstLine="709"/>
        <w:rPr>
          <w:szCs w:val="28"/>
          <w:lang w:val="en-US"/>
        </w:rPr>
      </w:pPr>
      <w:r>
        <w:rPr>
          <w:szCs w:val="28"/>
        </w:rPr>
        <w:t>261.</w:t>
      </w:r>
      <w:r w:rsidRPr="00B142FA">
        <w:rPr>
          <w:lang w:val="en-US"/>
        </w:rPr>
        <w:t> </w:t>
      </w:r>
      <w:r w:rsidR="00A607AD" w:rsidRPr="00F96B3B">
        <w:rPr>
          <w:szCs w:val="28"/>
        </w:rPr>
        <w:t>Global Strategy for Women’s and Children’s Health, The Partnership for Maternal, Newborn &amp; Child Health / United Nations Secretary-General. New York, 2010. 20</w:t>
      </w:r>
      <w:r>
        <w:rPr>
          <w:lang w:val="en-US"/>
        </w:rPr>
        <w:t> </w:t>
      </w:r>
      <w:r w:rsidR="00A607AD" w:rsidRPr="00F96B3B">
        <w:rPr>
          <w:szCs w:val="28"/>
        </w:rPr>
        <w:t>p. URL: https://www.who.int/pmnch/topics/maternal/20100914_gswch_en.pdf?ua=1 (L</w:t>
      </w:r>
      <w:r w:rsidR="00EB734D">
        <w:rPr>
          <w:szCs w:val="28"/>
        </w:rPr>
        <w:t>ast accessed: 05.10.2020).</w:t>
      </w:r>
    </w:p>
    <w:p w:rsidR="00EB734D" w:rsidRPr="00EB734D" w:rsidRDefault="00B142FA" w:rsidP="00EB734D">
      <w:pPr>
        <w:ind w:firstLine="709"/>
        <w:rPr>
          <w:szCs w:val="28"/>
          <w:lang w:val="ru-RU"/>
        </w:rPr>
      </w:pPr>
      <w:r>
        <w:rPr>
          <w:szCs w:val="28"/>
          <w:lang w:val="ru-RU"/>
        </w:rPr>
        <w:t>262.</w:t>
      </w:r>
      <w:r w:rsidRPr="00B142FA">
        <w:rPr>
          <w:szCs w:val="28"/>
          <w:lang w:val="ru-RU"/>
        </w:rPr>
        <w:t xml:space="preserve"> </w:t>
      </w:r>
      <w:r w:rsidR="00A607AD" w:rsidRPr="00EB734D">
        <w:rPr>
          <w:szCs w:val="28"/>
          <w:lang w:val="ru-RU"/>
        </w:rPr>
        <w:t>Про</w:t>
      </w:r>
      <w:r w:rsidR="00A607AD" w:rsidRPr="00044303">
        <w:rPr>
          <w:szCs w:val="28"/>
          <w:lang w:val="ru-RU"/>
        </w:rPr>
        <w:t xml:space="preserve"> </w:t>
      </w:r>
      <w:r w:rsidR="00A607AD" w:rsidRPr="00EB734D">
        <w:rPr>
          <w:szCs w:val="28"/>
          <w:lang w:val="ru-RU"/>
        </w:rPr>
        <w:t>прийняття</w:t>
      </w:r>
      <w:r w:rsidR="00A607AD" w:rsidRPr="00044303">
        <w:rPr>
          <w:szCs w:val="28"/>
          <w:lang w:val="ru-RU"/>
        </w:rPr>
        <w:t xml:space="preserve"> </w:t>
      </w:r>
      <w:r w:rsidR="00A607AD" w:rsidRPr="00EB734D">
        <w:rPr>
          <w:szCs w:val="28"/>
          <w:lang w:val="ru-RU"/>
        </w:rPr>
        <w:t>Конституції</w:t>
      </w:r>
      <w:r w:rsidR="00A607AD" w:rsidRPr="00044303">
        <w:rPr>
          <w:szCs w:val="28"/>
          <w:lang w:val="ru-RU"/>
        </w:rPr>
        <w:t xml:space="preserve"> </w:t>
      </w:r>
      <w:r w:rsidR="00A607AD" w:rsidRPr="00EB734D">
        <w:rPr>
          <w:szCs w:val="28"/>
          <w:lang w:val="ru-RU"/>
        </w:rPr>
        <w:t>України</w:t>
      </w:r>
      <w:r w:rsidR="00A607AD" w:rsidRPr="00044303">
        <w:rPr>
          <w:szCs w:val="28"/>
          <w:lang w:val="ru-RU"/>
        </w:rPr>
        <w:t xml:space="preserve"> </w:t>
      </w:r>
      <w:r w:rsidR="00A607AD" w:rsidRPr="00EB734D">
        <w:rPr>
          <w:szCs w:val="28"/>
          <w:lang w:val="ru-RU"/>
        </w:rPr>
        <w:t>і</w:t>
      </w:r>
      <w:r w:rsidR="00A607AD" w:rsidRPr="00044303">
        <w:rPr>
          <w:szCs w:val="28"/>
          <w:lang w:val="ru-RU"/>
        </w:rPr>
        <w:t xml:space="preserve"> </w:t>
      </w:r>
      <w:r w:rsidR="00A607AD" w:rsidRPr="00EB734D">
        <w:rPr>
          <w:szCs w:val="28"/>
          <w:lang w:val="ru-RU"/>
        </w:rPr>
        <w:t>введення</w:t>
      </w:r>
      <w:r w:rsidR="00A607AD" w:rsidRPr="00044303">
        <w:rPr>
          <w:szCs w:val="28"/>
          <w:lang w:val="ru-RU"/>
        </w:rPr>
        <w:t xml:space="preserve"> </w:t>
      </w:r>
      <w:r w:rsidR="00A607AD" w:rsidRPr="00EB734D">
        <w:rPr>
          <w:szCs w:val="28"/>
          <w:lang w:val="ru-RU"/>
        </w:rPr>
        <w:t>її</w:t>
      </w:r>
      <w:r w:rsidR="00A607AD" w:rsidRPr="00044303">
        <w:rPr>
          <w:szCs w:val="28"/>
          <w:lang w:val="ru-RU"/>
        </w:rPr>
        <w:t xml:space="preserve"> </w:t>
      </w:r>
      <w:r w:rsidR="00A607AD" w:rsidRPr="00EB734D">
        <w:rPr>
          <w:szCs w:val="28"/>
          <w:lang w:val="ru-RU"/>
        </w:rPr>
        <w:t>в</w:t>
      </w:r>
      <w:r w:rsidR="00A607AD" w:rsidRPr="00044303">
        <w:rPr>
          <w:szCs w:val="28"/>
          <w:lang w:val="ru-RU"/>
        </w:rPr>
        <w:t xml:space="preserve"> </w:t>
      </w:r>
      <w:r w:rsidR="00A607AD" w:rsidRPr="00EB734D">
        <w:rPr>
          <w:szCs w:val="28"/>
          <w:lang w:val="ru-RU"/>
        </w:rPr>
        <w:t>дію</w:t>
      </w:r>
      <w:r w:rsidR="00A607AD" w:rsidRPr="00044303">
        <w:rPr>
          <w:szCs w:val="28"/>
          <w:lang w:val="ru-RU"/>
        </w:rPr>
        <w:t xml:space="preserve">: </w:t>
      </w:r>
      <w:r w:rsidR="00A607AD" w:rsidRPr="00EB734D">
        <w:rPr>
          <w:szCs w:val="28"/>
          <w:lang w:val="ru-RU"/>
        </w:rPr>
        <w:t>Закон</w:t>
      </w:r>
      <w:r w:rsidR="00A607AD" w:rsidRPr="00044303">
        <w:rPr>
          <w:szCs w:val="28"/>
          <w:lang w:val="ru-RU"/>
        </w:rPr>
        <w:t xml:space="preserve"> </w:t>
      </w:r>
      <w:r w:rsidR="00A607AD" w:rsidRPr="00EB734D">
        <w:rPr>
          <w:szCs w:val="28"/>
          <w:lang w:val="ru-RU"/>
        </w:rPr>
        <w:t>України</w:t>
      </w:r>
      <w:r w:rsidR="00A607AD" w:rsidRPr="00044303">
        <w:rPr>
          <w:szCs w:val="28"/>
          <w:lang w:val="ru-RU"/>
        </w:rPr>
        <w:t xml:space="preserve"> </w:t>
      </w:r>
      <w:r w:rsidR="00A607AD" w:rsidRPr="00EB734D">
        <w:rPr>
          <w:szCs w:val="28"/>
          <w:lang w:val="ru-RU"/>
        </w:rPr>
        <w:t>від</w:t>
      </w:r>
      <w:r w:rsidR="00A607AD" w:rsidRPr="00044303">
        <w:rPr>
          <w:szCs w:val="28"/>
          <w:lang w:val="ru-RU"/>
        </w:rPr>
        <w:t xml:space="preserve"> 08.12.2004 </w:t>
      </w:r>
      <w:r w:rsidR="00A607AD" w:rsidRPr="00EB734D">
        <w:rPr>
          <w:szCs w:val="28"/>
          <w:lang w:val="ru-RU"/>
        </w:rPr>
        <w:t>р</w:t>
      </w:r>
      <w:r w:rsidR="00A607AD" w:rsidRPr="00044303">
        <w:rPr>
          <w:szCs w:val="28"/>
          <w:lang w:val="ru-RU"/>
        </w:rPr>
        <w:t xml:space="preserve">.  </w:t>
      </w:r>
      <w:r w:rsidR="00A607AD" w:rsidRPr="00B958D8">
        <w:rPr>
          <w:szCs w:val="28"/>
          <w:lang w:val="ru-RU"/>
        </w:rPr>
        <w:t>№ 2222-</w:t>
      </w:r>
      <w:r w:rsidR="00A607AD" w:rsidRPr="00EB734D">
        <w:rPr>
          <w:szCs w:val="28"/>
        </w:rPr>
        <w:t>IV</w:t>
      </w:r>
      <w:r w:rsidR="00A607AD" w:rsidRPr="00B958D8">
        <w:rPr>
          <w:szCs w:val="28"/>
          <w:lang w:val="ru-RU"/>
        </w:rPr>
        <w:t xml:space="preserve">. </w:t>
      </w:r>
      <w:r w:rsidR="00A607AD" w:rsidRPr="00EB734D">
        <w:rPr>
          <w:szCs w:val="28"/>
          <w:lang w:val="ru-RU"/>
        </w:rPr>
        <w:t>Відомості</w:t>
      </w:r>
      <w:r w:rsidR="00A607AD" w:rsidRPr="00B958D8">
        <w:rPr>
          <w:szCs w:val="28"/>
          <w:lang w:val="ru-RU"/>
        </w:rPr>
        <w:t xml:space="preserve"> </w:t>
      </w:r>
      <w:r w:rsidR="00A607AD" w:rsidRPr="00EB734D">
        <w:rPr>
          <w:szCs w:val="28"/>
          <w:lang w:val="ru-RU"/>
        </w:rPr>
        <w:t>Верховної</w:t>
      </w:r>
      <w:r w:rsidR="00A607AD" w:rsidRPr="00B958D8">
        <w:rPr>
          <w:szCs w:val="28"/>
          <w:lang w:val="ru-RU"/>
        </w:rPr>
        <w:t xml:space="preserve"> </w:t>
      </w:r>
      <w:r w:rsidR="00A607AD" w:rsidRPr="00EB734D">
        <w:rPr>
          <w:szCs w:val="28"/>
          <w:lang w:val="ru-RU"/>
        </w:rPr>
        <w:t>Ради</w:t>
      </w:r>
      <w:r w:rsidR="00A607AD" w:rsidRPr="00B958D8">
        <w:rPr>
          <w:szCs w:val="28"/>
          <w:lang w:val="ru-RU"/>
        </w:rPr>
        <w:t xml:space="preserve"> </w:t>
      </w:r>
      <w:r w:rsidR="00A607AD" w:rsidRPr="00EB734D">
        <w:rPr>
          <w:szCs w:val="28"/>
          <w:lang w:val="ru-RU"/>
        </w:rPr>
        <w:t>України</w:t>
      </w:r>
      <w:r w:rsidR="00A607AD" w:rsidRPr="00B958D8">
        <w:rPr>
          <w:szCs w:val="28"/>
          <w:lang w:val="ru-RU"/>
        </w:rPr>
        <w:t xml:space="preserve"> (</w:t>
      </w:r>
      <w:r w:rsidR="00A607AD" w:rsidRPr="00EB734D">
        <w:rPr>
          <w:szCs w:val="28"/>
          <w:lang w:val="ru-RU"/>
        </w:rPr>
        <w:t>ВВР</w:t>
      </w:r>
      <w:r w:rsidR="00A607AD" w:rsidRPr="00B958D8">
        <w:rPr>
          <w:szCs w:val="28"/>
          <w:lang w:val="ru-RU"/>
        </w:rPr>
        <w:t xml:space="preserve">). 1996. № 30, </w:t>
      </w:r>
      <w:r w:rsidR="00A607AD" w:rsidRPr="00EB734D">
        <w:rPr>
          <w:szCs w:val="28"/>
          <w:lang w:val="ru-RU"/>
        </w:rPr>
        <w:t>ст</w:t>
      </w:r>
      <w:r w:rsidR="00A607AD" w:rsidRPr="00B958D8">
        <w:rPr>
          <w:szCs w:val="28"/>
          <w:lang w:val="ru-RU"/>
        </w:rPr>
        <w:t>.</w:t>
      </w:r>
      <w:r>
        <w:rPr>
          <w:szCs w:val="28"/>
          <w:lang w:val="en-US"/>
        </w:rPr>
        <w:t> </w:t>
      </w:r>
      <w:r w:rsidR="00A607AD" w:rsidRPr="00B958D8">
        <w:rPr>
          <w:szCs w:val="28"/>
          <w:lang w:val="ru-RU"/>
        </w:rPr>
        <w:t xml:space="preserve">141. </w:t>
      </w:r>
      <w:r w:rsidR="00A607AD" w:rsidRPr="00EB734D">
        <w:rPr>
          <w:szCs w:val="28"/>
        </w:rPr>
        <w:t>URL</w:t>
      </w:r>
      <w:r w:rsidR="00A607AD" w:rsidRPr="00EB734D">
        <w:rPr>
          <w:szCs w:val="28"/>
          <w:lang w:val="ru-RU"/>
        </w:rPr>
        <w:t xml:space="preserve">: </w:t>
      </w:r>
      <w:r w:rsidR="00A607AD" w:rsidRPr="00EB734D">
        <w:rPr>
          <w:szCs w:val="28"/>
        </w:rPr>
        <w:t>https</w:t>
      </w:r>
      <w:r w:rsidR="00A607AD" w:rsidRPr="00EB734D">
        <w:rPr>
          <w:szCs w:val="28"/>
          <w:lang w:val="ru-RU"/>
        </w:rPr>
        <w:t>://</w:t>
      </w:r>
      <w:r w:rsidR="00A607AD" w:rsidRPr="00EB734D">
        <w:rPr>
          <w:szCs w:val="28"/>
        </w:rPr>
        <w:t>zakon</w:t>
      </w:r>
      <w:r w:rsidR="00A607AD" w:rsidRPr="00EB734D">
        <w:rPr>
          <w:szCs w:val="28"/>
          <w:lang w:val="ru-RU"/>
        </w:rPr>
        <w:t>.</w:t>
      </w:r>
      <w:r w:rsidR="00A607AD" w:rsidRPr="00EB734D">
        <w:rPr>
          <w:szCs w:val="28"/>
        </w:rPr>
        <w:t>rada</w:t>
      </w:r>
      <w:r w:rsidR="00A607AD" w:rsidRPr="00EB734D">
        <w:rPr>
          <w:szCs w:val="28"/>
          <w:lang w:val="ru-RU"/>
        </w:rPr>
        <w:t>.</w:t>
      </w:r>
      <w:r w:rsidR="00A607AD" w:rsidRPr="00EB734D">
        <w:rPr>
          <w:szCs w:val="28"/>
        </w:rPr>
        <w:t>gov</w:t>
      </w:r>
      <w:r w:rsidR="00A607AD" w:rsidRPr="00EB734D">
        <w:rPr>
          <w:szCs w:val="28"/>
          <w:lang w:val="ru-RU"/>
        </w:rPr>
        <w:t>.</w:t>
      </w:r>
      <w:r w:rsidR="00A607AD" w:rsidRPr="00EB734D">
        <w:rPr>
          <w:szCs w:val="28"/>
        </w:rPr>
        <w:t>ua</w:t>
      </w:r>
      <w:r w:rsidR="00A607AD" w:rsidRPr="00EB734D">
        <w:rPr>
          <w:szCs w:val="28"/>
          <w:lang w:val="ru-RU"/>
        </w:rPr>
        <w:t>/</w:t>
      </w:r>
      <w:r w:rsidR="00A607AD" w:rsidRPr="00EB734D">
        <w:rPr>
          <w:szCs w:val="28"/>
        </w:rPr>
        <w:t>laws</w:t>
      </w:r>
      <w:r w:rsidR="00A607AD" w:rsidRPr="00EB734D">
        <w:rPr>
          <w:szCs w:val="28"/>
          <w:lang w:val="ru-RU"/>
        </w:rPr>
        <w:t>/</w:t>
      </w:r>
      <w:r w:rsidR="00A607AD" w:rsidRPr="00EB734D">
        <w:rPr>
          <w:szCs w:val="28"/>
        </w:rPr>
        <w:t>show</w:t>
      </w:r>
      <w:r w:rsidR="00A607AD" w:rsidRPr="00EB734D">
        <w:rPr>
          <w:szCs w:val="28"/>
          <w:lang w:val="ru-RU"/>
        </w:rPr>
        <w:t>/254к/96-вр#</w:t>
      </w:r>
      <w:r w:rsidR="00A607AD" w:rsidRPr="00EB734D">
        <w:rPr>
          <w:szCs w:val="28"/>
        </w:rPr>
        <w:t>Text</w:t>
      </w:r>
      <w:r w:rsidR="00A607AD" w:rsidRPr="00EB734D">
        <w:rPr>
          <w:szCs w:val="28"/>
          <w:lang w:val="ru-RU"/>
        </w:rPr>
        <w:t xml:space="preserve"> (дата звернення: 25.10.2020).</w:t>
      </w:r>
    </w:p>
    <w:p w:rsidR="00EB734D" w:rsidRPr="00EB734D" w:rsidRDefault="00B142FA" w:rsidP="00EB734D">
      <w:pPr>
        <w:ind w:firstLine="709"/>
        <w:rPr>
          <w:szCs w:val="28"/>
          <w:lang w:val="ru-RU"/>
        </w:rPr>
      </w:pPr>
      <w:r>
        <w:rPr>
          <w:szCs w:val="28"/>
          <w:lang w:val="ru-RU"/>
        </w:rPr>
        <w:lastRenderedPageBreak/>
        <w:t xml:space="preserve">263. </w:t>
      </w:r>
      <w:r w:rsidR="00A607AD" w:rsidRPr="00EB734D">
        <w:rPr>
          <w:szCs w:val="28"/>
          <w:lang w:val="ru-RU"/>
        </w:rPr>
        <w:t>Про</w:t>
      </w:r>
      <w:r w:rsidR="00A607AD" w:rsidRPr="00044303">
        <w:rPr>
          <w:szCs w:val="28"/>
          <w:lang w:val="ru-RU"/>
        </w:rPr>
        <w:t xml:space="preserve"> </w:t>
      </w:r>
      <w:r w:rsidR="00A607AD" w:rsidRPr="00EB734D">
        <w:rPr>
          <w:szCs w:val="28"/>
          <w:lang w:val="ru-RU"/>
        </w:rPr>
        <w:t>внесення</w:t>
      </w:r>
      <w:r w:rsidR="00A607AD" w:rsidRPr="00044303">
        <w:rPr>
          <w:szCs w:val="28"/>
          <w:lang w:val="ru-RU"/>
        </w:rPr>
        <w:t xml:space="preserve"> </w:t>
      </w:r>
      <w:r w:rsidR="00A607AD" w:rsidRPr="00EB734D">
        <w:rPr>
          <w:szCs w:val="28"/>
          <w:lang w:val="ru-RU"/>
        </w:rPr>
        <w:t>змін</w:t>
      </w:r>
      <w:r w:rsidR="00A607AD" w:rsidRPr="00044303">
        <w:rPr>
          <w:szCs w:val="28"/>
          <w:lang w:val="ru-RU"/>
        </w:rPr>
        <w:t xml:space="preserve"> </w:t>
      </w:r>
      <w:r w:rsidR="00A607AD" w:rsidRPr="00EB734D">
        <w:rPr>
          <w:szCs w:val="28"/>
          <w:lang w:val="ru-RU"/>
        </w:rPr>
        <w:t>до</w:t>
      </w:r>
      <w:r w:rsidR="00A607AD" w:rsidRPr="00044303">
        <w:rPr>
          <w:szCs w:val="28"/>
          <w:lang w:val="ru-RU"/>
        </w:rPr>
        <w:t xml:space="preserve"> </w:t>
      </w:r>
      <w:r w:rsidR="00A607AD" w:rsidRPr="00EB734D">
        <w:rPr>
          <w:szCs w:val="28"/>
          <w:lang w:val="ru-RU"/>
        </w:rPr>
        <w:t>Основ</w:t>
      </w:r>
      <w:r w:rsidR="00A607AD" w:rsidRPr="00044303">
        <w:rPr>
          <w:szCs w:val="28"/>
          <w:lang w:val="ru-RU"/>
        </w:rPr>
        <w:t xml:space="preserve"> </w:t>
      </w:r>
      <w:r w:rsidR="00A607AD" w:rsidRPr="00EB734D">
        <w:rPr>
          <w:szCs w:val="28"/>
          <w:lang w:val="ru-RU"/>
        </w:rPr>
        <w:t>законодавства</w:t>
      </w:r>
      <w:r w:rsidR="00A607AD" w:rsidRPr="00044303">
        <w:rPr>
          <w:szCs w:val="28"/>
          <w:lang w:val="ru-RU"/>
        </w:rPr>
        <w:t xml:space="preserve"> </w:t>
      </w:r>
      <w:r w:rsidR="00A607AD" w:rsidRPr="00EB734D">
        <w:rPr>
          <w:szCs w:val="28"/>
          <w:lang w:val="ru-RU"/>
        </w:rPr>
        <w:t>України</w:t>
      </w:r>
      <w:r w:rsidR="00A607AD" w:rsidRPr="00044303">
        <w:rPr>
          <w:szCs w:val="28"/>
          <w:lang w:val="ru-RU"/>
        </w:rPr>
        <w:t xml:space="preserve"> </w:t>
      </w:r>
      <w:r w:rsidR="00A607AD" w:rsidRPr="00EB734D">
        <w:rPr>
          <w:szCs w:val="28"/>
          <w:lang w:val="ru-RU"/>
        </w:rPr>
        <w:t>про</w:t>
      </w:r>
      <w:r w:rsidR="00A607AD" w:rsidRPr="00044303">
        <w:rPr>
          <w:szCs w:val="28"/>
          <w:lang w:val="ru-RU"/>
        </w:rPr>
        <w:t xml:space="preserve"> </w:t>
      </w:r>
      <w:r w:rsidR="00A607AD" w:rsidRPr="00EB734D">
        <w:rPr>
          <w:szCs w:val="28"/>
          <w:lang w:val="ru-RU"/>
        </w:rPr>
        <w:t>охорону</w:t>
      </w:r>
      <w:r w:rsidR="00A607AD" w:rsidRPr="00044303">
        <w:rPr>
          <w:szCs w:val="28"/>
          <w:lang w:val="ru-RU"/>
        </w:rPr>
        <w:t xml:space="preserve"> </w:t>
      </w:r>
      <w:r w:rsidR="00A607AD" w:rsidRPr="00EB734D">
        <w:rPr>
          <w:szCs w:val="28"/>
          <w:lang w:val="ru-RU"/>
        </w:rPr>
        <w:t>здоров</w:t>
      </w:r>
      <w:r w:rsidR="00A607AD" w:rsidRPr="00044303">
        <w:rPr>
          <w:szCs w:val="28"/>
          <w:lang w:val="ru-RU"/>
        </w:rPr>
        <w:t>'</w:t>
      </w:r>
      <w:r w:rsidR="00A607AD" w:rsidRPr="00EB734D">
        <w:rPr>
          <w:szCs w:val="28"/>
          <w:lang w:val="ru-RU"/>
        </w:rPr>
        <w:t>я</w:t>
      </w:r>
      <w:r w:rsidR="00A607AD" w:rsidRPr="00044303">
        <w:rPr>
          <w:szCs w:val="28"/>
          <w:lang w:val="ru-RU"/>
        </w:rPr>
        <w:t xml:space="preserve"> </w:t>
      </w:r>
      <w:r w:rsidR="00A607AD" w:rsidRPr="00EB734D">
        <w:rPr>
          <w:szCs w:val="28"/>
          <w:lang w:val="ru-RU"/>
        </w:rPr>
        <w:t>щодо</w:t>
      </w:r>
      <w:r w:rsidR="00A607AD" w:rsidRPr="00044303">
        <w:rPr>
          <w:szCs w:val="28"/>
          <w:lang w:val="ru-RU"/>
        </w:rPr>
        <w:t xml:space="preserve"> </w:t>
      </w:r>
      <w:r w:rsidR="00A607AD" w:rsidRPr="00EB734D">
        <w:rPr>
          <w:szCs w:val="28"/>
          <w:lang w:val="ru-RU"/>
        </w:rPr>
        <w:t>удосконалення</w:t>
      </w:r>
      <w:r w:rsidR="00A607AD" w:rsidRPr="00044303">
        <w:rPr>
          <w:szCs w:val="28"/>
          <w:lang w:val="ru-RU"/>
        </w:rPr>
        <w:t xml:space="preserve"> </w:t>
      </w:r>
      <w:r w:rsidR="00A607AD" w:rsidRPr="00EB734D">
        <w:rPr>
          <w:szCs w:val="28"/>
          <w:lang w:val="ru-RU"/>
        </w:rPr>
        <w:t>надання</w:t>
      </w:r>
      <w:r w:rsidR="00A607AD" w:rsidRPr="00044303">
        <w:rPr>
          <w:szCs w:val="28"/>
          <w:lang w:val="ru-RU"/>
        </w:rPr>
        <w:t xml:space="preserve"> </w:t>
      </w:r>
      <w:r w:rsidR="00A607AD" w:rsidRPr="00EB734D">
        <w:rPr>
          <w:szCs w:val="28"/>
          <w:lang w:val="ru-RU"/>
        </w:rPr>
        <w:t>медичної</w:t>
      </w:r>
      <w:r w:rsidR="00A607AD" w:rsidRPr="00044303">
        <w:rPr>
          <w:szCs w:val="28"/>
          <w:lang w:val="ru-RU"/>
        </w:rPr>
        <w:t xml:space="preserve"> </w:t>
      </w:r>
      <w:r w:rsidR="00A607AD" w:rsidRPr="00EB734D">
        <w:rPr>
          <w:szCs w:val="28"/>
          <w:lang w:val="ru-RU"/>
        </w:rPr>
        <w:t>допомоги</w:t>
      </w:r>
      <w:r w:rsidR="00A607AD" w:rsidRPr="00044303">
        <w:rPr>
          <w:szCs w:val="28"/>
          <w:lang w:val="ru-RU"/>
        </w:rPr>
        <w:t xml:space="preserve">: </w:t>
      </w:r>
      <w:r w:rsidR="00A607AD" w:rsidRPr="00EB734D">
        <w:rPr>
          <w:szCs w:val="28"/>
          <w:lang w:val="ru-RU"/>
        </w:rPr>
        <w:t>Закон</w:t>
      </w:r>
      <w:r w:rsidR="00A607AD" w:rsidRPr="00044303">
        <w:rPr>
          <w:szCs w:val="28"/>
          <w:lang w:val="ru-RU"/>
        </w:rPr>
        <w:t xml:space="preserve"> </w:t>
      </w:r>
      <w:r w:rsidR="00A607AD" w:rsidRPr="00EB734D">
        <w:rPr>
          <w:szCs w:val="28"/>
          <w:lang w:val="ru-RU"/>
        </w:rPr>
        <w:t>України</w:t>
      </w:r>
      <w:r w:rsidR="00A607AD" w:rsidRPr="00044303">
        <w:rPr>
          <w:szCs w:val="28"/>
          <w:lang w:val="ru-RU"/>
        </w:rPr>
        <w:t xml:space="preserve"> </w:t>
      </w:r>
      <w:r w:rsidR="00A607AD" w:rsidRPr="00EB734D">
        <w:rPr>
          <w:szCs w:val="28"/>
          <w:lang w:val="ru-RU"/>
        </w:rPr>
        <w:t>від</w:t>
      </w:r>
      <w:r w:rsidR="00A607AD" w:rsidRPr="00044303">
        <w:rPr>
          <w:szCs w:val="28"/>
          <w:lang w:val="ru-RU"/>
        </w:rPr>
        <w:t xml:space="preserve"> 7 </w:t>
      </w:r>
      <w:r w:rsidR="00A607AD" w:rsidRPr="00EB734D">
        <w:rPr>
          <w:szCs w:val="28"/>
          <w:lang w:val="ru-RU"/>
        </w:rPr>
        <w:t>липня</w:t>
      </w:r>
      <w:r w:rsidR="00A607AD" w:rsidRPr="00044303">
        <w:rPr>
          <w:szCs w:val="28"/>
          <w:lang w:val="ru-RU"/>
        </w:rPr>
        <w:t xml:space="preserve"> 2011 </w:t>
      </w:r>
      <w:r w:rsidR="00A607AD" w:rsidRPr="00EB734D">
        <w:rPr>
          <w:szCs w:val="28"/>
          <w:lang w:val="ru-RU"/>
        </w:rPr>
        <w:t>р</w:t>
      </w:r>
      <w:r w:rsidR="00A607AD" w:rsidRPr="00044303">
        <w:rPr>
          <w:szCs w:val="28"/>
          <w:lang w:val="ru-RU"/>
        </w:rPr>
        <w:t>. № 3611-</w:t>
      </w:r>
      <w:r w:rsidR="00A607AD" w:rsidRPr="00EB734D">
        <w:rPr>
          <w:szCs w:val="28"/>
        </w:rPr>
        <w:t>VI</w:t>
      </w:r>
      <w:r w:rsidR="00A607AD" w:rsidRPr="00044303">
        <w:rPr>
          <w:szCs w:val="28"/>
          <w:lang w:val="ru-RU"/>
        </w:rPr>
        <w:t xml:space="preserve">. </w:t>
      </w:r>
      <w:r w:rsidR="00A607AD" w:rsidRPr="00EB734D">
        <w:rPr>
          <w:szCs w:val="28"/>
          <w:lang w:val="ru-RU"/>
        </w:rPr>
        <w:t>Відомості</w:t>
      </w:r>
      <w:r w:rsidR="00A607AD" w:rsidRPr="00B958D8">
        <w:rPr>
          <w:szCs w:val="28"/>
          <w:lang w:val="ru-RU"/>
        </w:rPr>
        <w:t xml:space="preserve"> </w:t>
      </w:r>
      <w:r w:rsidR="00A607AD" w:rsidRPr="00EB734D">
        <w:rPr>
          <w:szCs w:val="28"/>
          <w:lang w:val="ru-RU"/>
        </w:rPr>
        <w:t>Верховної</w:t>
      </w:r>
      <w:r w:rsidR="00A607AD" w:rsidRPr="00B958D8">
        <w:rPr>
          <w:szCs w:val="28"/>
          <w:lang w:val="ru-RU"/>
        </w:rPr>
        <w:t xml:space="preserve"> </w:t>
      </w:r>
      <w:r w:rsidR="00A607AD" w:rsidRPr="00EB734D">
        <w:rPr>
          <w:szCs w:val="28"/>
          <w:lang w:val="ru-RU"/>
        </w:rPr>
        <w:t>Ради</w:t>
      </w:r>
      <w:r w:rsidR="00A607AD" w:rsidRPr="00B958D8">
        <w:rPr>
          <w:szCs w:val="28"/>
          <w:lang w:val="ru-RU"/>
        </w:rPr>
        <w:t xml:space="preserve"> </w:t>
      </w:r>
      <w:r w:rsidR="00A607AD" w:rsidRPr="00EB734D">
        <w:rPr>
          <w:szCs w:val="28"/>
          <w:lang w:val="ru-RU"/>
        </w:rPr>
        <w:t>України</w:t>
      </w:r>
      <w:r w:rsidR="00A607AD" w:rsidRPr="00B958D8">
        <w:rPr>
          <w:szCs w:val="28"/>
          <w:lang w:val="ru-RU"/>
        </w:rPr>
        <w:t xml:space="preserve"> (</w:t>
      </w:r>
      <w:r w:rsidR="00A607AD" w:rsidRPr="00EB734D">
        <w:rPr>
          <w:szCs w:val="28"/>
          <w:lang w:val="ru-RU"/>
        </w:rPr>
        <w:t>ВВР</w:t>
      </w:r>
      <w:r w:rsidR="00A607AD" w:rsidRPr="00B958D8">
        <w:rPr>
          <w:szCs w:val="28"/>
          <w:lang w:val="ru-RU"/>
        </w:rPr>
        <w:t xml:space="preserve">). 2012. № 14, </w:t>
      </w:r>
      <w:r w:rsidR="00A607AD" w:rsidRPr="00EB734D">
        <w:rPr>
          <w:szCs w:val="28"/>
          <w:lang w:val="ru-RU"/>
        </w:rPr>
        <w:t>ст</w:t>
      </w:r>
      <w:r w:rsidR="00A607AD" w:rsidRPr="00B958D8">
        <w:rPr>
          <w:szCs w:val="28"/>
          <w:lang w:val="ru-RU"/>
        </w:rPr>
        <w:t xml:space="preserve">. 8. </w:t>
      </w:r>
      <w:r w:rsidR="00A607AD" w:rsidRPr="00EB734D">
        <w:rPr>
          <w:szCs w:val="28"/>
        </w:rPr>
        <w:t>URL</w:t>
      </w:r>
      <w:r w:rsidR="00A607AD" w:rsidRPr="00EB734D">
        <w:rPr>
          <w:szCs w:val="28"/>
          <w:lang w:val="ru-RU"/>
        </w:rPr>
        <w:t xml:space="preserve">: </w:t>
      </w:r>
      <w:r w:rsidR="00A607AD" w:rsidRPr="00EB734D">
        <w:rPr>
          <w:szCs w:val="28"/>
        </w:rPr>
        <w:t>https</w:t>
      </w:r>
      <w:r w:rsidR="00A607AD" w:rsidRPr="00EB734D">
        <w:rPr>
          <w:szCs w:val="28"/>
          <w:lang w:val="ru-RU"/>
        </w:rPr>
        <w:t>://</w:t>
      </w:r>
      <w:r w:rsidR="00A607AD" w:rsidRPr="00EB734D">
        <w:rPr>
          <w:szCs w:val="28"/>
        </w:rPr>
        <w:t>zakon</w:t>
      </w:r>
      <w:r w:rsidR="00A607AD" w:rsidRPr="00EB734D">
        <w:rPr>
          <w:szCs w:val="28"/>
          <w:lang w:val="ru-RU"/>
        </w:rPr>
        <w:t>.</w:t>
      </w:r>
      <w:r w:rsidR="00A607AD" w:rsidRPr="00EB734D">
        <w:rPr>
          <w:szCs w:val="28"/>
        </w:rPr>
        <w:t>rada</w:t>
      </w:r>
      <w:r w:rsidR="00A607AD" w:rsidRPr="00EB734D">
        <w:rPr>
          <w:szCs w:val="28"/>
          <w:lang w:val="ru-RU"/>
        </w:rPr>
        <w:t>.</w:t>
      </w:r>
      <w:r w:rsidR="00A607AD" w:rsidRPr="00EB734D">
        <w:rPr>
          <w:szCs w:val="28"/>
        </w:rPr>
        <w:t>gov</w:t>
      </w:r>
      <w:r w:rsidR="00A607AD" w:rsidRPr="00EB734D">
        <w:rPr>
          <w:szCs w:val="28"/>
          <w:lang w:val="ru-RU"/>
        </w:rPr>
        <w:t>.</w:t>
      </w:r>
      <w:r w:rsidR="00A607AD" w:rsidRPr="00EB734D">
        <w:rPr>
          <w:szCs w:val="28"/>
        </w:rPr>
        <w:t>ua</w:t>
      </w:r>
      <w:r w:rsidR="00A607AD" w:rsidRPr="00EB734D">
        <w:rPr>
          <w:szCs w:val="28"/>
          <w:lang w:val="ru-RU"/>
        </w:rPr>
        <w:t>/</w:t>
      </w:r>
      <w:r w:rsidR="00A607AD" w:rsidRPr="00EB734D">
        <w:rPr>
          <w:szCs w:val="28"/>
        </w:rPr>
        <w:t>laws</w:t>
      </w:r>
      <w:r w:rsidR="00A607AD" w:rsidRPr="00EB734D">
        <w:rPr>
          <w:szCs w:val="28"/>
          <w:lang w:val="ru-RU"/>
        </w:rPr>
        <w:t>/</w:t>
      </w:r>
      <w:r w:rsidR="00A607AD" w:rsidRPr="00EB734D">
        <w:rPr>
          <w:szCs w:val="28"/>
        </w:rPr>
        <w:t>show</w:t>
      </w:r>
      <w:r w:rsidR="00A607AD" w:rsidRPr="00EB734D">
        <w:rPr>
          <w:szCs w:val="28"/>
          <w:lang w:val="ru-RU"/>
        </w:rPr>
        <w:t>/3611-17#</w:t>
      </w:r>
      <w:r w:rsidR="00A607AD" w:rsidRPr="00EB734D">
        <w:rPr>
          <w:szCs w:val="28"/>
        </w:rPr>
        <w:t>Text</w:t>
      </w:r>
      <w:r w:rsidR="00A607AD" w:rsidRPr="00EB734D">
        <w:rPr>
          <w:szCs w:val="28"/>
          <w:lang w:val="ru-RU"/>
        </w:rPr>
        <w:t xml:space="preserve"> (дата звернення: 25.10.2020).</w:t>
      </w:r>
    </w:p>
    <w:p w:rsidR="00EB734D" w:rsidRPr="00EB734D" w:rsidRDefault="00B142FA" w:rsidP="00EB734D">
      <w:pPr>
        <w:ind w:firstLine="709"/>
        <w:rPr>
          <w:szCs w:val="28"/>
          <w:lang w:val="ru-RU"/>
        </w:rPr>
      </w:pPr>
      <w:r>
        <w:rPr>
          <w:szCs w:val="28"/>
          <w:lang w:val="ru-RU"/>
        </w:rPr>
        <w:t xml:space="preserve">264. </w:t>
      </w:r>
      <w:r w:rsidR="00A607AD" w:rsidRPr="00EB734D">
        <w:rPr>
          <w:szCs w:val="28"/>
          <w:lang w:val="ru-RU"/>
        </w:rPr>
        <w:t>Про</w:t>
      </w:r>
      <w:r w:rsidR="00A607AD" w:rsidRPr="00044303">
        <w:rPr>
          <w:szCs w:val="28"/>
          <w:lang w:val="ru-RU"/>
        </w:rPr>
        <w:t xml:space="preserve"> </w:t>
      </w:r>
      <w:r w:rsidR="00A607AD" w:rsidRPr="00EB734D">
        <w:rPr>
          <w:szCs w:val="28"/>
          <w:lang w:val="ru-RU"/>
        </w:rPr>
        <w:t>охорону</w:t>
      </w:r>
      <w:r w:rsidR="00A607AD" w:rsidRPr="00044303">
        <w:rPr>
          <w:szCs w:val="28"/>
          <w:lang w:val="ru-RU"/>
        </w:rPr>
        <w:t xml:space="preserve"> </w:t>
      </w:r>
      <w:r w:rsidR="00A607AD" w:rsidRPr="00EB734D">
        <w:rPr>
          <w:szCs w:val="28"/>
          <w:lang w:val="ru-RU"/>
        </w:rPr>
        <w:t>дитинства</w:t>
      </w:r>
      <w:r w:rsidR="00A607AD" w:rsidRPr="00044303">
        <w:rPr>
          <w:szCs w:val="28"/>
          <w:lang w:val="ru-RU"/>
        </w:rPr>
        <w:t xml:space="preserve">: </w:t>
      </w:r>
      <w:r w:rsidR="00A607AD" w:rsidRPr="00EB734D">
        <w:rPr>
          <w:szCs w:val="28"/>
          <w:lang w:val="ru-RU"/>
        </w:rPr>
        <w:t>Закон</w:t>
      </w:r>
      <w:r w:rsidR="00A607AD" w:rsidRPr="00044303">
        <w:rPr>
          <w:szCs w:val="28"/>
          <w:lang w:val="ru-RU"/>
        </w:rPr>
        <w:t xml:space="preserve"> </w:t>
      </w:r>
      <w:r w:rsidR="00A607AD" w:rsidRPr="00EB734D">
        <w:rPr>
          <w:szCs w:val="28"/>
          <w:lang w:val="ru-RU"/>
        </w:rPr>
        <w:t>України</w:t>
      </w:r>
      <w:r w:rsidR="00A607AD" w:rsidRPr="00044303">
        <w:rPr>
          <w:szCs w:val="28"/>
          <w:lang w:val="ru-RU"/>
        </w:rPr>
        <w:t xml:space="preserve"> </w:t>
      </w:r>
      <w:r w:rsidR="00A607AD" w:rsidRPr="00EB734D">
        <w:rPr>
          <w:szCs w:val="28"/>
          <w:lang w:val="ru-RU"/>
        </w:rPr>
        <w:t>від</w:t>
      </w:r>
      <w:r w:rsidR="00A607AD" w:rsidRPr="00044303">
        <w:rPr>
          <w:szCs w:val="28"/>
          <w:lang w:val="ru-RU"/>
        </w:rPr>
        <w:t xml:space="preserve"> 26 </w:t>
      </w:r>
      <w:r w:rsidR="00A607AD" w:rsidRPr="00EB734D">
        <w:rPr>
          <w:szCs w:val="28"/>
          <w:lang w:val="ru-RU"/>
        </w:rPr>
        <w:t>квітня</w:t>
      </w:r>
      <w:r w:rsidR="00A607AD" w:rsidRPr="00044303">
        <w:rPr>
          <w:szCs w:val="28"/>
          <w:lang w:val="ru-RU"/>
        </w:rPr>
        <w:t xml:space="preserve"> 2001 </w:t>
      </w:r>
      <w:r w:rsidR="00A607AD" w:rsidRPr="00EB734D">
        <w:rPr>
          <w:szCs w:val="28"/>
          <w:lang w:val="ru-RU"/>
        </w:rPr>
        <w:t>р</w:t>
      </w:r>
      <w:r w:rsidR="00A607AD" w:rsidRPr="00044303">
        <w:rPr>
          <w:szCs w:val="28"/>
          <w:lang w:val="ru-RU"/>
        </w:rPr>
        <w:t>. № 2402-</w:t>
      </w:r>
      <w:r w:rsidR="00A607AD" w:rsidRPr="00EB734D">
        <w:rPr>
          <w:szCs w:val="28"/>
        </w:rPr>
        <w:t>III</w:t>
      </w:r>
      <w:r w:rsidR="00A607AD" w:rsidRPr="00044303">
        <w:rPr>
          <w:szCs w:val="28"/>
          <w:lang w:val="ru-RU"/>
        </w:rPr>
        <w:t xml:space="preserve">. </w:t>
      </w:r>
      <w:r w:rsidR="00A607AD" w:rsidRPr="00EB734D">
        <w:rPr>
          <w:szCs w:val="28"/>
          <w:lang w:val="ru-RU"/>
        </w:rPr>
        <w:t>Відомості</w:t>
      </w:r>
      <w:r w:rsidR="00A607AD" w:rsidRPr="00B958D8">
        <w:rPr>
          <w:szCs w:val="28"/>
          <w:lang w:val="ru-RU"/>
        </w:rPr>
        <w:t xml:space="preserve"> </w:t>
      </w:r>
      <w:r w:rsidR="00A607AD" w:rsidRPr="00EB734D">
        <w:rPr>
          <w:szCs w:val="28"/>
          <w:lang w:val="ru-RU"/>
        </w:rPr>
        <w:t>Верховної</w:t>
      </w:r>
      <w:r w:rsidR="00A607AD" w:rsidRPr="00B958D8">
        <w:rPr>
          <w:szCs w:val="28"/>
          <w:lang w:val="ru-RU"/>
        </w:rPr>
        <w:t xml:space="preserve"> </w:t>
      </w:r>
      <w:r w:rsidR="00A607AD" w:rsidRPr="00EB734D">
        <w:rPr>
          <w:szCs w:val="28"/>
          <w:lang w:val="ru-RU"/>
        </w:rPr>
        <w:t>Ради</w:t>
      </w:r>
      <w:r w:rsidR="00A607AD" w:rsidRPr="00B958D8">
        <w:rPr>
          <w:szCs w:val="28"/>
          <w:lang w:val="ru-RU"/>
        </w:rPr>
        <w:t xml:space="preserve"> </w:t>
      </w:r>
      <w:r w:rsidR="00A607AD" w:rsidRPr="00EB734D">
        <w:rPr>
          <w:szCs w:val="28"/>
          <w:lang w:val="ru-RU"/>
        </w:rPr>
        <w:t>України</w:t>
      </w:r>
      <w:r w:rsidR="00A607AD" w:rsidRPr="00B958D8">
        <w:rPr>
          <w:szCs w:val="28"/>
          <w:lang w:val="ru-RU"/>
        </w:rPr>
        <w:t xml:space="preserve"> (</w:t>
      </w:r>
      <w:r w:rsidR="00A607AD" w:rsidRPr="00EB734D">
        <w:rPr>
          <w:szCs w:val="28"/>
          <w:lang w:val="ru-RU"/>
        </w:rPr>
        <w:t>ВВР</w:t>
      </w:r>
      <w:r w:rsidR="00A607AD" w:rsidRPr="00B958D8">
        <w:rPr>
          <w:szCs w:val="28"/>
          <w:lang w:val="ru-RU"/>
        </w:rPr>
        <w:t>). 2001. №</w:t>
      </w:r>
      <w:r>
        <w:rPr>
          <w:szCs w:val="28"/>
          <w:lang w:val="ru-RU"/>
        </w:rPr>
        <w:t> </w:t>
      </w:r>
      <w:r w:rsidR="00A607AD" w:rsidRPr="00B958D8">
        <w:rPr>
          <w:szCs w:val="28"/>
          <w:lang w:val="ru-RU"/>
        </w:rPr>
        <w:t xml:space="preserve">30, </w:t>
      </w:r>
      <w:r w:rsidR="00A607AD" w:rsidRPr="00EB734D">
        <w:rPr>
          <w:szCs w:val="28"/>
          <w:lang w:val="ru-RU"/>
        </w:rPr>
        <w:t>ст</w:t>
      </w:r>
      <w:r w:rsidR="00A607AD" w:rsidRPr="00B958D8">
        <w:rPr>
          <w:szCs w:val="28"/>
          <w:lang w:val="ru-RU"/>
        </w:rPr>
        <w:t>.</w:t>
      </w:r>
      <w:r>
        <w:rPr>
          <w:szCs w:val="28"/>
          <w:lang w:val="ru-RU"/>
        </w:rPr>
        <w:t> </w:t>
      </w:r>
      <w:r w:rsidR="00A607AD" w:rsidRPr="00B958D8">
        <w:rPr>
          <w:szCs w:val="28"/>
          <w:lang w:val="ru-RU"/>
        </w:rPr>
        <w:t xml:space="preserve">142. </w:t>
      </w:r>
      <w:r w:rsidR="00A607AD" w:rsidRPr="00EB734D">
        <w:rPr>
          <w:szCs w:val="28"/>
        </w:rPr>
        <w:t>URL</w:t>
      </w:r>
      <w:r w:rsidR="00A607AD" w:rsidRPr="00EB734D">
        <w:rPr>
          <w:szCs w:val="28"/>
          <w:lang w:val="ru-RU"/>
        </w:rPr>
        <w:t xml:space="preserve">: </w:t>
      </w:r>
      <w:r w:rsidR="00A607AD" w:rsidRPr="00EB734D">
        <w:rPr>
          <w:szCs w:val="28"/>
        </w:rPr>
        <w:t>https</w:t>
      </w:r>
      <w:r w:rsidR="00A607AD" w:rsidRPr="00EB734D">
        <w:rPr>
          <w:szCs w:val="28"/>
          <w:lang w:val="ru-RU"/>
        </w:rPr>
        <w:t>://</w:t>
      </w:r>
      <w:r w:rsidR="00A607AD" w:rsidRPr="00EB734D">
        <w:rPr>
          <w:szCs w:val="28"/>
        </w:rPr>
        <w:t>zakon</w:t>
      </w:r>
      <w:r w:rsidR="00A607AD" w:rsidRPr="00EB734D">
        <w:rPr>
          <w:szCs w:val="28"/>
          <w:lang w:val="ru-RU"/>
        </w:rPr>
        <w:t>.</w:t>
      </w:r>
      <w:r w:rsidR="00A607AD" w:rsidRPr="00EB734D">
        <w:rPr>
          <w:szCs w:val="28"/>
        </w:rPr>
        <w:t>rada</w:t>
      </w:r>
      <w:r w:rsidR="00A607AD" w:rsidRPr="00EB734D">
        <w:rPr>
          <w:szCs w:val="28"/>
          <w:lang w:val="ru-RU"/>
        </w:rPr>
        <w:t>.</w:t>
      </w:r>
      <w:r w:rsidR="00A607AD" w:rsidRPr="00EB734D">
        <w:rPr>
          <w:szCs w:val="28"/>
        </w:rPr>
        <w:t>gov</w:t>
      </w:r>
      <w:r w:rsidR="00A607AD" w:rsidRPr="00EB734D">
        <w:rPr>
          <w:szCs w:val="28"/>
          <w:lang w:val="ru-RU"/>
        </w:rPr>
        <w:t>.</w:t>
      </w:r>
      <w:r w:rsidR="00A607AD" w:rsidRPr="00EB734D">
        <w:rPr>
          <w:szCs w:val="28"/>
        </w:rPr>
        <w:t>ua</w:t>
      </w:r>
      <w:r w:rsidR="00A607AD" w:rsidRPr="00EB734D">
        <w:rPr>
          <w:szCs w:val="28"/>
          <w:lang w:val="ru-RU"/>
        </w:rPr>
        <w:t>/</w:t>
      </w:r>
      <w:r w:rsidR="00A607AD" w:rsidRPr="00EB734D">
        <w:rPr>
          <w:szCs w:val="28"/>
        </w:rPr>
        <w:t>laws</w:t>
      </w:r>
      <w:r w:rsidR="00A607AD" w:rsidRPr="00EB734D">
        <w:rPr>
          <w:szCs w:val="28"/>
          <w:lang w:val="ru-RU"/>
        </w:rPr>
        <w:t>/</w:t>
      </w:r>
      <w:r w:rsidR="00A607AD" w:rsidRPr="00EB734D">
        <w:rPr>
          <w:szCs w:val="28"/>
        </w:rPr>
        <w:t>show</w:t>
      </w:r>
      <w:r w:rsidR="00A607AD" w:rsidRPr="00EB734D">
        <w:rPr>
          <w:szCs w:val="28"/>
          <w:lang w:val="ru-RU"/>
        </w:rPr>
        <w:t>/2402-14#</w:t>
      </w:r>
      <w:r w:rsidR="00A607AD" w:rsidRPr="00EB734D">
        <w:rPr>
          <w:szCs w:val="28"/>
        </w:rPr>
        <w:t>Text</w:t>
      </w:r>
      <w:r w:rsidR="00A607AD" w:rsidRPr="00EB734D">
        <w:rPr>
          <w:szCs w:val="28"/>
          <w:lang w:val="ru-RU"/>
        </w:rPr>
        <w:t xml:space="preserve"> (дата звернення: 25.10.2020).</w:t>
      </w:r>
    </w:p>
    <w:p w:rsidR="00EB734D" w:rsidRPr="00EB734D" w:rsidRDefault="00B142FA" w:rsidP="00EB734D">
      <w:pPr>
        <w:ind w:firstLine="709"/>
        <w:rPr>
          <w:szCs w:val="28"/>
          <w:lang w:val="ru-RU"/>
        </w:rPr>
      </w:pPr>
      <w:r>
        <w:rPr>
          <w:szCs w:val="28"/>
          <w:lang w:val="ru-RU"/>
        </w:rPr>
        <w:t xml:space="preserve">265. </w:t>
      </w:r>
      <w:r w:rsidR="00A607AD" w:rsidRPr="00EB734D">
        <w:rPr>
          <w:szCs w:val="28"/>
          <w:lang w:val="ru-RU"/>
        </w:rPr>
        <w:t>Основи законодавства України про охорону здоров'я: Закон України від 19 листоп. 1992 р. № 2801-</w:t>
      </w:r>
      <w:r w:rsidR="00A607AD" w:rsidRPr="00EB734D">
        <w:rPr>
          <w:szCs w:val="28"/>
        </w:rPr>
        <w:t>XII</w:t>
      </w:r>
      <w:r w:rsidR="00A607AD" w:rsidRPr="00EB734D">
        <w:rPr>
          <w:szCs w:val="28"/>
          <w:lang w:val="ru-RU"/>
        </w:rPr>
        <w:t>. Відомості Верховної Ради України (ВВР). 1993. № 4, ст.</w:t>
      </w:r>
      <w:r>
        <w:rPr>
          <w:szCs w:val="28"/>
          <w:lang w:val="ru-RU"/>
        </w:rPr>
        <w:t> </w:t>
      </w:r>
      <w:r w:rsidR="00A607AD" w:rsidRPr="00EB734D">
        <w:rPr>
          <w:szCs w:val="28"/>
          <w:lang w:val="ru-RU"/>
        </w:rPr>
        <w:t xml:space="preserve">19. </w:t>
      </w:r>
      <w:r w:rsidR="00A607AD" w:rsidRPr="00EB734D">
        <w:rPr>
          <w:szCs w:val="28"/>
        </w:rPr>
        <w:t>URL</w:t>
      </w:r>
      <w:r w:rsidR="00A607AD" w:rsidRPr="00EB734D">
        <w:rPr>
          <w:szCs w:val="28"/>
          <w:lang w:val="ru-RU"/>
        </w:rPr>
        <w:t xml:space="preserve">: </w:t>
      </w:r>
      <w:r w:rsidR="00A607AD" w:rsidRPr="00EB734D">
        <w:rPr>
          <w:szCs w:val="28"/>
        </w:rPr>
        <w:t>https</w:t>
      </w:r>
      <w:r w:rsidR="00A607AD" w:rsidRPr="00EB734D">
        <w:rPr>
          <w:szCs w:val="28"/>
          <w:lang w:val="ru-RU"/>
        </w:rPr>
        <w:t>://</w:t>
      </w:r>
      <w:r w:rsidR="00A607AD" w:rsidRPr="00EB734D">
        <w:rPr>
          <w:szCs w:val="28"/>
        </w:rPr>
        <w:t>zakon</w:t>
      </w:r>
      <w:r w:rsidR="00A607AD" w:rsidRPr="00EB734D">
        <w:rPr>
          <w:szCs w:val="28"/>
          <w:lang w:val="ru-RU"/>
        </w:rPr>
        <w:t>.</w:t>
      </w:r>
      <w:r w:rsidR="00A607AD" w:rsidRPr="00EB734D">
        <w:rPr>
          <w:szCs w:val="28"/>
        </w:rPr>
        <w:t>rada</w:t>
      </w:r>
      <w:r w:rsidR="00A607AD" w:rsidRPr="00EB734D">
        <w:rPr>
          <w:szCs w:val="28"/>
          <w:lang w:val="ru-RU"/>
        </w:rPr>
        <w:t>.</w:t>
      </w:r>
      <w:r w:rsidR="00A607AD" w:rsidRPr="00EB734D">
        <w:rPr>
          <w:szCs w:val="28"/>
        </w:rPr>
        <w:t>gov</w:t>
      </w:r>
      <w:r w:rsidR="00A607AD" w:rsidRPr="00EB734D">
        <w:rPr>
          <w:szCs w:val="28"/>
          <w:lang w:val="ru-RU"/>
        </w:rPr>
        <w:t>.</w:t>
      </w:r>
      <w:r w:rsidR="00A607AD" w:rsidRPr="00EB734D">
        <w:rPr>
          <w:szCs w:val="28"/>
        </w:rPr>
        <w:t>ua</w:t>
      </w:r>
      <w:r w:rsidR="00A607AD" w:rsidRPr="00EB734D">
        <w:rPr>
          <w:szCs w:val="28"/>
          <w:lang w:val="ru-RU"/>
        </w:rPr>
        <w:t>/</w:t>
      </w:r>
      <w:r w:rsidR="00A607AD" w:rsidRPr="00EB734D">
        <w:rPr>
          <w:szCs w:val="28"/>
        </w:rPr>
        <w:t>laws</w:t>
      </w:r>
      <w:r w:rsidR="00A607AD" w:rsidRPr="00EB734D">
        <w:rPr>
          <w:szCs w:val="28"/>
          <w:lang w:val="ru-RU"/>
        </w:rPr>
        <w:t>/</w:t>
      </w:r>
      <w:r w:rsidR="00A607AD" w:rsidRPr="00EB734D">
        <w:rPr>
          <w:szCs w:val="28"/>
        </w:rPr>
        <w:t>show</w:t>
      </w:r>
      <w:r w:rsidR="00A607AD" w:rsidRPr="00EB734D">
        <w:rPr>
          <w:szCs w:val="28"/>
          <w:lang w:val="ru-RU"/>
        </w:rPr>
        <w:t>/2801-12#</w:t>
      </w:r>
      <w:r w:rsidR="00A607AD" w:rsidRPr="00EB734D">
        <w:rPr>
          <w:szCs w:val="28"/>
        </w:rPr>
        <w:t>Text</w:t>
      </w:r>
      <w:r w:rsidR="00A607AD" w:rsidRPr="00EB734D">
        <w:rPr>
          <w:szCs w:val="28"/>
          <w:lang w:val="ru-RU"/>
        </w:rPr>
        <w:t xml:space="preserve"> (дата звернення: 25.10.2020).</w:t>
      </w:r>
    </w:p>
    <w:p w:rsidR="00EB734D" w:rsidRPr="00EB734D" w:rsidRDefault="00CE68BD" w:rsidP="00EB734D">
      <w:pPr>
        <w:ind w:firstLine="709"/>
        <w:rPr>
          <w:szCs w:val="28"/>
          <w:lang w:val="ru-RU"/>
        </w:rPr>
      </w:pPr>
      <w:r>
        <w:rPr>
          <w:szCs w:val="28"/>
          <w:lang w:val="ru-RU"/>
        </w:rPr>
        <w:t xml:space="preserve">266. </w:t>
      </w:r>
      <w:r w:rsidR="00A607AD" w:rsidRPr="00EB734D">
        <w:rPr>
          <w:szCs w:val="28"/>
          <w:lang w:val="ru-RU"/>
        </w:rPr>
        <w:t xml:space="preserve">Про Загальнодержавну програму "Національний план дій щодо реалізації Конвенції ООН про права дитини" на період до 2016 року: Закон України від 05.03.2009 </w:t>
      </w:r>
      <w:r w:rsidR="00A607AD" w:rsidRPr="00EB734D">
        <w:rPr>
          <w:szCs w:val="28"/>
        </w:rPr>
        <w:t>p</w:t>
      </w:r>
      <w:r w:rsidR="00A607AD" w:rsidRPr="00EB734D">
        <w:rPr>
          <w:szCs w:val="28"/>
          <w:lang w:val="ru-RU"/>
        </w:rPr>
        <w:t>. № 1065-</w:t>
      </w:r>
      <w:r w:rsidR="00A607AD" w:rsidRPr="00EB734D">
        <w:rPr>
          <w:szCs w:val="28"/>
        </w:rPr>
        <w:t>VI</w:t>
      </w:r>
      <w:r w:rsidR="00A607AD" w:rsidRPr="00EB734D">
        <w:rPr>
          <w:szCs w:val="28"/>
          <w:lang w:val="ru-RU"/>
        </w:rPr>
        <w:t xml:space="preserve">. </w:t>
      </w:r>
      <w:r w:rsidR="00A607AD" w:rsidRPr="00EB734D">
        <w:rPr>
          <w:szCs w:val="28"/>
        </w:rPr>
        <w:t>URL</w:t>
      </w:r>
      <w:r w:rsidR="00A607AD" w:rsidRPr="00EB734D">
        <w:rPr>
          <w:szCs w:val="28"/>
          <w:lang w:val="ru-RU"/>
        </w:rPr>
        <w:t xml:space="preserve">: </w:t>
      </w:r>
      <w:r w:rsidR="00A607AD" w:rsidRPr="00EB734D">
        <w:rPr>
          <w:szCs w:val="28"/>
        </w:rPr>
        <w:t>https</w:t>
      </w:r>
      <w:r w:rsidR="00A607AD" w:rsidRPr="00EB734D">
        <w:rPr>
          <w:szCs w:val="28"/>
          <w:lang w:val="ru-RU"/>
        </w:rPr>
        <w:t>://</w:t>
      </w:r>
      <w:r w:rsidR="00A607AD" w:rsidRPr="00EB734D">
        <w:rPr>
          <w:szCs w:val="28"/>
        </w:rPr>
        <w:t>zakon</w:t>
      </w:r>
      <w:r w:rsidR="00A607AD" w:rsidRPr="00EB734D">
        <w:rPr>
          <w:szCs w:val="28"/>
          <w:lang w:val="ru-RU"/>
        </w:rPr>
        <w:t>.</w:t>
      </w:r>
      <w:r w:rsidR="00A607AD" w:rsidRPr="00EB734D">
        <w:rPr>
          <w:szCs w:val="28"/>
        </w:rPr>
        <w:t>rada</w:t>
      </w:r>
      <w:r w:rsidR="00A607AD" w:rsidRPr="00EB734D">
        <w:rPr>
          <w:szCs w:val="28"/>
          <w:lang w:val="ru-RU"/>
        </w:rPr>
        <w:t>.</w:t>
      </w:r>
      <w:r w:rsidR="00A607AD" w:rsidRPr="00EB734D">
        <w:rPr>
          <w:szCs w:val="28"/>
        </w:rPr>
        <w:t>gov</w:t>
      </w:r>
      <w:r w:rsidR="00A607AD" w:rsidRPr="00EB734D">
        <w:rPr>
          <w:szCs w:val="28"/>
          <w:lang w:val="ru-RU"/>
        </w:rPr>
        <w:t>.</w:t>
      </w:r>
      <w:r w:rsidR="00A607AD" w:rsidRPr="00EB734D">
        <w:rPr>
          <w:szCs w:val="28"/>
        </w:rPr>
        <w:t>ua</w:t>
      </w:r>
      <w:r w:rsidR="00A607AD" w:rsidRPr="00EB734D">
        <w:rPr>
          <w:szCs w:val="28"/>
          <w:lang w:val="ru-RU"/>
        </w:rPr>
        <w:t>/</w:t>
      </w:r>
      <w:r w:rsidR="00A607AD" w:rsidRPr="00EB734D">
        <w:rPr>
          <w:szCs w:val="28"/>
        </w:rPr>
        <w:t>laws</w:t>
      </w:r>
      <w:r w:rsidR="00A607AD" w:rsidRPr="00EB734D">
        <w:rPr>
          <w:szCs w:val="28"/>
          <w:lang w:val="ru-RU"/>
        </w:rPr>
        <w:t>/</w:t>
      </w:r>
      <w:r w:rsidR="00A607AD" w:rsidRPr="00EB734D">
        <w:rPr>
          <w:szCs w:val="28"/>
        </w:rPr>
        <w:t>show</w:t>
      </w:r>
      <w:r w:rsidR="00A607AD" w:rsidRPr="00EB734D">
        <w:rPr>
          <w:szCs w:val="28"/>
          <w:lang w:val="ru-RU"/>
        </w:rPr>
        <w:t>/1065-17#</w:t>
      </w:r>
      <w:r w:rsidR="00A607AD" w:rsidRPr="00EB734D">
        <w:rPr>
          <w:szCs w:val="28"/>
        </w:rPr>
        <w:t>Text</w:t>
      </w:r>
      <w:r w:rsidR="00A607AD" w:rsidRPr="00EB734D">
        <w:rPr>
          <w:szCs w:val="28"/>
          <w:lang w:val="ru-RU"/>
        </w:rPr>
        <w:t xml:space="preserve"> (дата звернення: 25.10.2020).</w:t>
      </w:r>
    </w:p>
    <w:p w:rsidR="00EB734D" w:rsidRPr="00EB734D" w:rsidRDefault="00CE68BD" w:rsidP="00EB734D">
      <w:pPr>
        <w:ind w:firstLine="709"/>
        <w:rPr>
          <w:szCs w:val="28"/>
          <w:lang w:val="ru-RU"/>
        </w:rPr>
      </w:pPr>
      <w:r>
        <w:rPr>
          <w:szCs w:val="28"/>
          <w:lang w:val="ru-RU"/>
        </w:rPr>
        <w:t xml:space="preserve">267. </w:t>
      </w:r>
      <w:r w:rsidR="00A607AD" w:rsidRPr="00EB734D">
        <w:rPr>
          <w:szCs w:val="28"/>
          <w:lang w:val="ru-RU"/>
        </w:rPr>
        <w:t>Про затвердження Державної програми "Репродуктивне здоров'я нації" на період до 2015 року: Постанова Кабінету Міністрів України від 27 груд. 2006 р. №</w:t>
      </w:r>
      <w:r w:rsidR="0074169B">
        <w:t> </w:t>
      </w:r>
      <w:r w:rsidR="00A607AD" w:rsidRPr="00EB734D">
        <w:rPr>
          <w:szCs w:val="28"/>
          <w:lang w:val="ru-RU"/>
        </w:rPr>
        <w:t xml:space="preserve">1849. </w:t>
      </w:r>
      <w:r w:rsidR="00A607AD" w:rsidRPr="00EB734D">
        <w:rPr>
          <w:szCs w:val="28"/>
        </w:rPr>
        <w:t>URL</w:t>
      </w:r>
      <w:r w:rsidR="00A607AD" w:rsidRPr="00EB734D">
        <w:rPr>
          <w:szCs w:val="28"/>
          <w:lang w:val="ru-RU"/>
        </w:rPr>
        <w:t xml:space="preserve">: </w:t>
      </w:r>
      <w:r w:rsidR="00A607AD" w:rsidRPr="00EB734D">
        <w:rPr>
          <w:szCs w:val="28"/>
        </w:rPr>
        <w:t>https</w:t>
      </w:r>
      <w:r w:rsidR="00A607AD" w:rsidRPr="00EB734D">
        <w:rPr>
          <w:szCs w:val="28"/>
          <w:lang w:val="ru-RU"/>
        </w:rPr>
        <w:t>://</w:t>
      </w:r>
      <w:r w:rsidR="00A607AD" w:rsidRPr="00EB734D">
        <w:rPr>
          <w:szCs w:val="28"/>
        </w:rPr>
        <w:t>zakon</w:t>
      </w:r>
      <w:r w:rsidR="00A607AD" w:rsidRPr="00EB734D">
        <w:rPr>
          <w:szCs w:val="28"/>
          <w:lang w:val="ru-RU"/>
        </w:rPr>
        <w:t>.</w:t>
      </w:r>
      <w:r w:rsidR="00A607AD" w:rsidRPr="00EB734D">
        <w:rPr>
          <w:szCs w:val="28"/>
        </w:rPr>
        <w:t>rada</w:t>
      </w:r>
      <w:r w:rsidR="00A607AD" w:rsidRPr="00EB734D">
        <w:rPr>
          <w:szCs w:val="28"/>
          <w:lang w:val="ru-RU"/>
        </w:rPr>
        <w:t>.</w:t>
      </w:r>
      <w:r w:rsidR="00A607AD" w:rsidRPr="00EB734D">
        <w:rPr>
          <w:szCs w:val="28"/>
        </w:rPr>
        <w:t>gov</w:t>
      </w:r>
      <w:r w:rsidR="00A607AD" w:rsidRPr="00EB734D">
        <w:rPr>
          <w:szCs w:val="28"/>
          <w:lang w:val="ru-RU"/>
        </w:rPr>
        <w:t>.</w:t>
      </w:r>
      <w:r w:rsidR="00A607AD" w:rsidRPr="00EB734D">
        <w:rPr>
          <w:szCs w:val="28"/>
        </w:rPr>
        <w:t>ua</w:t>
      </w:r>
      <w:r w:rsidR="00A607AD" w:rsidRPr="00EB734D">
        <w:rPr>
          <w:szCs w:val="28"/>
          <w:lang w:val="ru-RU"/>
        </w:rPr>
        <w:t>/</w:t>
      </w:r>
      <w:r w:rsidR="00A607AD" w:rsidRPr="00EB734D">
        <w:rPr>
          <w:szCs w:val="28"/>
        </w:rPr>
        <w:t>laws</w:t>
      </w:r>
      <w:r w:rsidR="00A607AD" w:rsidRPr="00EB734D">
        <w:rPr>
          <w:szCs w:val="28"/>
          <w:lang w:val="ru-RU"/>
        </w:rPr>
        <w:t>/</w:t>
      </w:r>
      <w:r w:rsidR="00A607AD" w:rsidRPr="00EB734D">
        <w:rPr>
          <w:szCs w:val="28"/>
        </w:rPr>
        <w:t>show</w:t>
      </w:r>
      <w:r w:rsidR="00A607AD" w:rsidRPr="00EB734D">
        <w:rPr>
          <w:szCs w:val="28"/>
          <w:lang w:val="ru-RU"/>
        </w:rPr>
        <w:t>/1849-2006-п#</w:t>
      </w:r>
      <w:r w:rsidR="00A607AD" w:rsidRPr="00EB734D">
        <w:rPr>
          <w:szCs w:val="28"/>
        </w:rPr>
        <w:t>Text</w:t>
      </w:r>
      <w:r w:rsidR="00A607AD" w:rsidRPr="00EB734D">
        <w:rPr>
          <w:szCs w:val="28"/>
          <w:lang w:val="ru-RU"/>
        </w:rPr>
        <w:t xml:space="preserve"> (дата звернення: 25.10.2020).</w:t>
      </w:r>
    </w:p>
    <w:p w:rsidR="00EB734D" w:rsidRPr="00EB734D" w:rsidRDefault="00A607AD" w:rsidP="00EB734D">
      <w:pPr>
        <w:ind w:firstLine="709"/>
        <w:rPr>
          <w:szCs w:val="28"/>
          <w:lang w:val="ru-RU"/>
        </w:rPr>
      </w:pPr>
      <w:r w:rsidRPr="00044303">
        <w:rPr>
          <w:szCs w:val="28"/>
          <w:lang w:val="ru-RU"/>
        </w:rPr>
        <w:t>268.</w:t>
      </w:r>
      <w:r w:rsidR="00CE68BD">
        <w:rPr>
          <w:szCs w:val="28"/>
          <w:lang w:val="ru-RU"/>
        </w:rPr>
        <w:t xml:space="preserve"> </w:t>
      </w:r>
      <w:r w:rsidRPr="00EB734D">
        <w:rPr>
          <w:szCs w:val="28"/>
          <w:lang w:val="ru-RU"/>
        </w:rPr>
        <w:t>Про</w:t>
      </w:r>
      <w:r w:rsidRPr="00044303">
        <w:rPr>
          <w:szCs w:val="28"/>
          <w:lang w:val="ru-RU"/>
        </w:rPr>
        <w:t xml:space="preserve"> </w:t>
      </w:r>
      <w:r w:rsidRPr="00EB734D">
        <w:rPr>
          <w:szCs w:val="28"/>
          <w:lang w:val="ru-RU"/>
        </w:rPr>
        <w:t>затвердження</w:t>
      </w:r>
      <w:r w:rsidRPr="00044303">
        <w:rPr>
          <w:szCs w:val="28"/>
          <w:lang w:val="ru-RU"/>
        </w:rPr>
        <w:t xml:space="preserve"> </w:t>
      </w:r>
      <w:r w:rsidRPr="00EB734D">
        <w:rPr>
          <w:szCs w:val="28"/>
          <w:lang w:val="ru-RU"/>
        </w:rPr>
        <w:t>Загальнодержавної</w:t>
      </w:r>
      <w:r w:rsidRPr="00044303">
        <w:rPr>
          <w:szCs w:val="28"/>
          <w:lang w:val="ru-RU"/>
        </w:rPr>
        <w:t xml:space="preserve"> </w:t>
      </w:r>
      <w:r w:rsidRPr="00EB734D">
        <w:rPr>
          <w:szCs w:val="28"/>
          <w:lang w:val="ru-RU"/>
        </w:rPr>
        <w:t>програми</w:t>
      </w:r>
      <w:r w:rsidRPr="00044303">
        <w:rPr>
          <w:szCs w:val="28"/>
          <w:lang w:val="ru-RU"/>
        </w:rPr>
        <w:t xml:space="preserve"> </w:t>
      </w:r>
      <w:r w:rsidRPr="00EB734D">
        <w:rPr>
          <w:szCs w:val="28"/>
          <w:lang w:val="ru-RU"/>
        </w:rPr>
        <w:t>імунопрофілактики</w:t>
      </w:r>
      <w:r w:rsidRPr="00044303">
        <w:rPr>
          <w:szCs w:val="28"/>
          <w:lang w:val="ru-RU"/>
        </w:rPr>
        <w:t xml:space="preserve"> </w:t>
      </w:r>
      <w:r w:rsidRPr="00EB734D">
        <w:rPr>
          <w:szCs w:val="28"/>
          <w:lang w:val="ru-RU"/>
        </w:rPr>
        <w:t>та</w:t>
      </w:r>
      <w:r w:rsidRPr="00044303">
        <w:rPr>
          <w:szCs w:val="28"/>
          <w:lang w:val="ru-RU"/>
        </w:rPr>
        <w:t xml:space="preserve"> </w:t>
      </w:r>
      <w:r w:rsidRPr="00EB734D">
        <w:rPr>
          <w:szCs w:val="28"/>
          <w:lang w:val="ru-RU"/>
        </w:rPr>
        <w:t>захисту</w:t>
      </w:r>
      <w:r w:rsidRPr="00044303">
        <w:rPr>
          <w:szCs w:val="28"/>
          <w:lang w:val="ru-RU"/>
        </w:rPr>
        <w:t xml:space="preserve"> </w:t>
      </w:r>
      <w:r w:rsidRPr="00EB734D">
        <w:rPr>
          <w:szCs w:val="28"/>
          <w:lang w:val="ru-RU"/>
        </w:rPr>
        <w:t>населення</w:t>
      </w:r>
      <w:r w:rsidRPr="00044303">
        <w:rPr>
          <w:szCs w:val="28"/>
          <w:lang w:val="ru-RU"/>
        </w:rPr>
        <w:t xml:space="preserve"> </w:t>
      </w:r>
      <w:r w:rsidRPr="00EB734D">
        <w:rPr>
          <w:szCs w:val="28"/>
          <w:lang w:val="ru-RU"/>
        </w:rPr>
        <w:t>від</w:t>
      </w:r>
      <w:r w:rsidRPr="00044303">
        <w:rPr>
          <w:szCs w:val="28"/>
          <w:lang w:val="ru-RU"/>
        </w:rPr>
        <w:t xml:space="preserve"> </w:t>
      </w:r>
      <w:r w:rsidRPr="00EB734D">
        <w:rPr>
          <w:szCs w:val="28"/>
          <w:lang w:val="ru-RU"/>
        </w:rPr>
        <w:t>інфекційних</w:t>
      </w:r>
      <w:r w:rsidRPr="00044303">
        <w:rPr>
          <w:szCs w:val="28"/>
          <w:lang w:val="ru-RU"/>
        </w:rPr>
        <w:t xml:space="preserve"> </w:t>
      </w:r>
      <w:r w:rsidRPr="00EB734D">
        <w:rPr>
          <w:szCs w:val="28"/>
          <w:lang w:val="ru-RU"/>
        </w:rPr>
        <w:t>хвороб</w:t>
      </w:r>
      <w:r w:rsidRPr="00044303">
        <w:rPr>
          <w:szCs w:val="28"/>
          <w:lang w:val="ru-RU"/>
        </w:rPr>
        <w:t xml:space="preserve"> </w:t>
      </w:r>
      <w:r w:rsidRPr="00EB734D">
        <w:rPr>
          <w:szCs w:val="28"/>
          <w:lang w:val="ru-RU"/>
        </w:rPr>
        <w:t>на</w:t>
      </w:r>
      <w:r w:rsidRPr="00044303">
        <w:rPr>
          <w:szCs w:val="28"/>
          <w:lang w:val="ru-RU"/>
        </w:rPr>
        <w:t xml:space="preserve"> 2009-2015 </w:t>
      </w:r>
      <w:r w:rsidRPr="00EB734D">
        <w:rPr>
          <w:szCs w:val="28"/>
          <w:lang w:val="ru-RU"/>
        </w:rPr>
        <w:t>роки</w:t>
      </w:r>
      <w:r w:rsidRPr="00044303">
        <w:rPr>
          <w:szCs w:val="28"/>
          <w:lang w:val="ru-RU"/>
        </w:rPr>
        <w:t xml:space="preserve">: </w:t>
      </w:r>
      <w:r w:rsidRPr="00EB734D">
        <w:rPr>
          <w:szCs w:val="28"/>
          <w:lang w:val="ru-RU"/>
        </w:rPr>
        <w:t>Закон</w:t>
      </w:r>
      <w:r w:rsidRPr="00044303">
        <w:rPr>
          <w:szCs w:val="28"/>
          <w:lang w:val="ru-RU"/>
        </w:rPr>
        <w:t xml:space="preserve"> </w:t>
      </w:r>
      <w:r w:rsidRPr="00EB734D">
        <w:rPr>
          <w:szCs w:val="28"/>
          <w:lang w:val="ru-RU"/>
        </w:rPr>
        <w:t>України</w:t>
      </w:r>
      <w:r w:rsidRPr="00044303">
        <w:rPr>
          <w:szCs w:val="28"/>
          <w:lang w:val="ru-RU"/>
        </w:rPr>
        <w:t xml:space="preserve"> </w:t>
      </w:r>
      <w:r w:rsidRPr="00EB734D">
        <w:rPr>
          <w:szCs w:val="28"/>
          <w:lang w:val="ru-RU"/>
        </w:rPr>
        <w:t>від</w:t>
      </w:r>
      <w:r w:rsidRPr="00044303">
        <w:rPr>
          <w:szCs w:val="28"/>
          <w:lang w:val="ru-RU"/>
        </w:rPr>
        <w:t xml:space="preserve"> 21</w:t>
      </w:r>
      <w:r w:rsidR="0074169B">
        <w:rPr>
          <w:szCs w:val="28"/>
          <w:lang w:val="ru-RU"/>
        </w:rPr>
        <w:t> </w:t>
      </w:r>
      <w:r w:rsidRPr="00EB734D">
        <w:rPr>
          <w:szCs w:val="28"/>
          <w:lang w:val="ru-RU"/>
        </w:rPr>
        <w:t>жовт</w:t>
      </w:r>
      <w:r w:rsidRPr="00044303">
        <w:rPr>
          <w:szCs w:val="28"/>
          <w:lang w:val="ru-RU"/>
        </w:rPr>
        <w:t xml:space="preserve">. </w:t>
      </w:r>
      <w:r w:rsidRPr="00B958D8">
        <w:rPr>
          <w:szCs w:val="28"/>
          <w:lang w:val="ru-RU"/>
        </w:rPr>
        <w:t xml:space="preserve">2009 </w:t>
      </w:r>
      <w:r w:rsidRPr="00EB734D">
        <w:rPr>
          <w:szCs w:val="28"/>
          <w:lang w:val="ru-RU"/>
        </w:rPr>
        <w:t>р</w:t>
      </w:r>
      <w:r w:rsidRPr="00B958D8">
        <w:rPr>
          <w:szCs w:val="28"/>
          <w:lang w:val="ru-RU"/>
        </w:rPr>
        <w:t>. № 1658-</w:t>
      </w:r>
      <w:r w:rsidRPr="00EB734D">
        <w:rPr>
          <w:szCs w:val="28"/>
        </w:rPr>
        <w:t>VI</w:t>
      </w:r>
      <w:r w:rsidRPr="00B958D8">
        <w:rPr>
          <w:szCs w:val="28"/>
          <w:lang w:val="ru-RU"/>
        </w:rPr>
        <w:t xml:space="preserve">. </w:t>
      </w:r>
      <w:r w:rsidRPr="00EB734D">
        <w:rPr>
          <w:szCs w:val="28"/>
          <w:lang w:val="ru-RU"/>
        </w:rPr>
        <w:t>Відомості</w:t>
      </w:r>
      <w:r w:rsidRPr="00B958D8">
        <w:rPr>
          <w:szCs w:val="28"/>
          <w:lang w:val="ru-RU"/>
        </w:rPr>
        <w:t xml:space="preserve"> </w:t>
      </w:r>
      <w:r w:rsidRPr="00EB734D">
        <w:rPr>
          <w:szCs w:val="28"/>
          <w:lang w:val="ru-RU"/>
        </w:rPr>
        <w:t>Верховної</w:t>
      </w:r>
      <w:r w:rsidRPr="00B958D8">
        <w:rPr>
          <w:szCs w:val="28"/>
          <w:lang w:val="ru-RU"/>
        </w:rPr>
        <w:t xml:space="preserve"> </w:t>
      </w:r>
      <w:r w:rsidRPr="00EB734D">
        <w:rPr>
          <w:szCs w:val="28"/>
          <w:lang w:val="ru-RU"/>
        </w:rPr>
        <w:t>Ради</w:t>
      </w:r>
      <w:r w:rsidRPr="00B958D8">
        <w:rPr>
          <w:szCs w:val="28"/>
          <w:lang w:val="ru-RU"/>
        </w:rPr>
        <w:t xml:space="preserve"> </w:t>
      </w:r>
      <w:r w:rsidRPr="00EB734D">
        <w:rPr>
          <w:szCs w:val="28"/>
          <w:lang w:val="ru-RU"/>
        </w:rPr>
        <w:t>України</w:t>
      </w:r>
      <w:r w:rsidRPr="00B958D8">
        <w:rPr>
          <w:szCs w:val="28"/>
          <w:lang w:val="ru-RU"/>
        </w:rPr>
        <w:t xml:space="preserve"> (</w:t>
      </w:r>
      <w:r w:rsidRPr="00EB734D">
        <w:rPr>
          <w:szCs w:val="28"/>
          <w:lang w:val="ru-RU"/>
        </w:rPr>
        <w:t>ВВР</w:t>
      </w:r>
      <w:r w:rsidRPr="00B958D8">
        <w:rPr>
          <w:szCs w:val="28"/>
          <w:lang w:val="ru-RU"/>
        </w:rPr>
        <w:t xml:space="preserve">). 2010. № 2/3, </w:t>
      </w:r>
      <w:r w:rsidRPr="00EB734D">
        <w:rPr>
          <w:szCs w:val="28"/>
          <w:lang w:val="ru-RU"/>
        </w:rPr>
        <w:t>ст</w:t>
      </w:r>
      <w:r w:rsidRPr="00B958D8">
        <w:rPr>
          <w:szCs w:val="28"/>
          <w:lang w:val="ru-RU"/>
        </w:rPr>
        <w:t xml:space="preserve">. 12. </w:t>
      </w:r>
      <w:r w:rsidRPr="00EB734D">
        <w:rPr>
          <w:szCs w:val="28"/>
        </w:rPr>
        <w:t>URL</w:t>
      </w:r>
      <w:r w:rsidRPr="00EB734D">
        <w:rPr>
          <w:szCs w:val="28"/>
          <w:lang w:val="ru-RU"/>
        </w:rPr>
        <w:t xml:space="preserve">: </w:t>
      </w:r>
      <w:r w:rsidRPr="00EB734D">
        <w:rPr>
          <w:szCs w:val="28"/>
        </w:rPr>
        <w:t>https</w:t>
      </w:r>
      <w:r w:rsidRPr="00EB734D">
        <w:rPr>
          <w:szCs w:val="28"/>
          <w:lang w:val="ru-RU"/>
        </w:rPr>
        <w:t>://</w:t>
      </w:r>
      <w:r w:rsidRPr="00EB734D">
        <w:rPr>
          <w:szCs w:val="28"/>
        </w:rPr>
        <w:t>zakon</w:t>
      </w:r>
      <w:r w:rsidRPr="00EB734D">
        <w:rPr>
          <w:szCs w:val="28"/>
          <w:lang w:val="ru-RU"/>
        </w:rPr>
        <w:t>.</w:t>
      </w:r>
      <w:r w:rsidRPr="00EB734D">
        <w:rPr>
          <w:szCs w:val="28"/>
        </w:rPr>
        <w:t>rada</w:t>
      </w:r>
      <w:r w:rsidRPr="00EB734D">
        <w:rPr>
          <w:szCs w:val="28"/>
          <w:lang w:val="ru-RU"/>
        </w:rPr>
        <w:t>.</w:t>
      </w:r>
      <w:r w:rsidRPr="00EB734D">
        <w:rPr>
          <w:szCs w:val="28"/>
        </w:rPr>
        <w:t>gov</w:t>
      </w:r>
      <w:r w:rsidRPr="00EB734D">
        <w:rPr>
          <w:szCs w:val="28"/>
          <w:lang w:val="ru-RU"/>
        </w:rPr>
        <w:t>.</w:t>
      </w:r>
      <w:r w:rsidRPr="00EB734D">
        <w:rPr>
          <w:szCs w:val="28"/>
        </w:rPr>
        <w:t>ua</w:t>
      </w:r>
      <w:r w:rsidRPr="00EB734D">
        <w:rPr>
          <w:szCs w:val="28"/>
          <w:lang w:val="ru-RU"/>
        </w:rPr>
        <w:t>/</w:t>
      </w:r>
      <w:r w:rsidRPr="00EB734D">
        <w:rPr>
          <w:szCs w:val="28"/>
        </w:rPr>
        <w:t>laws</w:t>
      </w:r>
      <w:r w:rsidRPr="00EB734D">
        <w:rPr>
          <w:szCs w:val="28"/>
          <w:lang w:val="ru-RU"/>
        </w:rPr>
        <w:t>/</w:t>
      </w:r>
      <w:r w:rsidRPr="00EB734D">
        <w:rPr>
          <w:szCs w:val="28"/>
        </w:rPr>
        <w:t>show</w:t>
      </w:r>
      <w:r w:rsidRPr="00EB734D">
        <w:rPr>
          <w:szCs w:val="28"/>
          <w:lang w:val="ru-RU"/>
        </w:rPr>
        <w:t>/1658-17#</w:t>
      </w:r>
      <w:r w:rsidRPr="00EB734D">
        <w:rPr>
          <w:szCs w:val="28"/>
        </w:rPr>
        <w:t>Text</w:t>
      </w:r>
      <w:r w:rsidRPr="00EB734D">
        <w:rPr>
          <w:szCs w:val="28"/>
          <w:lang w:val="ru-RU"/>
        </w:rPr>
        <w:t xml:space="preserve"> (дата звернення: 25.10.2020).</w:t>
      </w:r>
    </w:p>
    <w:p w:rsidR="00EB734D" w:rsidRPr="00EB734D" w:rsidRDefault="00CE68BD" w:rsidP="00EB734D">
      <w:pPr>
        <w:ind w:firstLine="709"/>
        <w:rPr>
          <w:szCs w:val="28"/>
          <w:lang w:val="ru-RU"/>
        </w:rPr>
      </w:pPr>
      <w:r>
        <w:rPr>
          <w:szCs w:val="28"/>
          <w:lang w:val="ru-RU"/>
        </w:rPr>
        <w:t xml:space="preserve">269. </w:t>
      </w:r>
      <w:r w:rsidR="00A607AD" w:rsidRPr="00EB734D">
        <w:rPr>
          <w:szCs w:val="28"/>
          <w:lang w:val="ru-RU"/>
        </w:rPr>
        <w:t xml:space="preserve">Про затвердження Концепції подальшого розвитку перинатальної допомоги та плану реалізації заходів Концепції: Наказ МОЗ України від 2 лют. 2011 р. № 52 </w:t>
      </w:r>
      <w:r w:rsidR="00A607AD" w:rsidRPr="00EB734D">
        <w:rPr>
          <w:szCs w:val="28"/>
        </w:rPr>
        <w:t>https</w:t>
      </w:r>
      <w:r w:rsidR="00A607AD" w:rsidRPr="00EB734D">
        <w:rPr>
          <w:szCs w:val="28"/>
          <w:lang w:val="ru-RU"/>
        </w:rPr>
        <w:t>://</w:t>
      </w:r>
      <w:r w:rsidR="00A607AD" w:rsidRPr="00EB734D">
        <w:rPr>
          <w:szCs w:val="28"/>
        </w:rPr>
        <w:t>ips</w:t>
      </w:r>
      <w:r w:rsidR="00A607AD" w:rsidRPr="00EB734D">
        <w:rPr>
          <w:szCs w:val="28"/>
          <w:lang w:val="ru-RU"/>
        </w:rPr>
        <w:t>.</w:t>
      </w:r>
      <w:r w:rsidR="00A607AD" w:rsidRPr="00EB734D">
        <w:rPr>
          <w:szCs w:val="28"/>
        </w:rPr>
        <w:t>ligazakon</w:t>
      </w:r>
      <w:r w:rsidR="00A607AD" w:rsidRPr="00EB734D">
        <w:rPr>
          <w:szCs w:val="28"/>
          <w:lang w:val="ru-RU"/>
        </w:rPr>
        <w:t>.</w:t>
      </w:r>
      <w:r w:rsidR="00A607AD" w:rsidRPr="00EB734D">
        <w:rPr>
          <w:szCs w:val="28"/>
        </w:rPr>
        <w:t>net</w:t>
      </w:r>
      <w:r w:rsidR="00A607AD" w:rsidRPr="00EB734D">
        <w:rPr>
          <w:szCs w:val="28"/>
          <w:lang w:val="ru-RU"/>
        </w:rPr>
        <w:t>/</w:t>
      </w:r>
      <w:r w:rsidR="00A607AD" w:rsidRPr="00EB734D">
        <w:rPr>
          <w:szCs w:val="28"/>
        </w:rPr>
        <w:t>document</w:t>
      </w:r>
      <w:r w:rsidR="00A607AD" w:rsidRPr="00EB734D">
        <w:rPr>
          <w:szCs w:val="28"/>
          <w:lang w:val="ru-RU"/>
        </w:rPr>
        <w:t>/</w:t>
      </w:r>
      <w:r w:rsidR="00A607AD" w:rsidRPr="00EB734D">
        <w:rPr>
          <w:szCs w:val="28"/>
        </w:rPr>
        <w:t>MOZ</w:t>
      </w:r>
      <w:r w:rsidR="00A607AD" w:rsidRPr="00EB734D">
        <w:rPr>
          <w:szCs w:val="28"/>
          <w:lang w:val="ru-RU"/>
        </w:rPr>
        <w:t>12892 (дата звернення: 25.10.2020).</w:t>
      </w:r>
    </w:p>
    <w:p w:rsidR="00EB734D" w:rsidRPr="00EB734D" w:rsidRDefault="00B73593" w:rsidP="00EB734D">
      <w:pPr>
        <w:ind w:firstLine="709"/>
        <w:rPr>
          <w:szCs w:val="28"/>
          <w:lang w:val="ru-RU"/>
        </w:rPr>
      </w:pPr>
      <w:r>
        <w:rPr>
          <w:szCs w:val="28"/>
          <w:lang w:val="ru-RU"/>
        </w:rPr>
        <w:t xml:space="preserve">270. </w:t>
      </w:r>
      <w:r w:rsidR="00A607AD" w:rsidRPr="00EB734D">
        <w:rPr>
          <w:szCs w:val="28"/>
          <w:lang w:val="ru-RU"/>
        </w:rPr>
        <w:t xml:space="preserve">Про затвердження плану заходів з реалізації у 2013 році національного проекту “Нове життя” – нова якість охорони материнства та дитинства”: Розпордження </w:t>
      </w:r>
      <w:r w:rsidR="00A607AD" w:rsidRPr="00EB734D">
        <w:rPr>
          <w:szCs w:val="28"/>
          <w:lang w:val="ru-RU"/>
        </w:rPr>
        <w:lastRenderedPageBreak/>
        <w:t>Кабінету Міністрів України від 27</w:t>
      </w:r>
      <w:r>
        <w:rPr>
          <w:szCs w:val="28"/>
          <w:lang w:val="ru-RU"/>
        </w:rPr>
        <w:t> </w:t>
      </w:r>
      <w:r w:rsidR="00A607AD" w:rsidRPr="00EB734D">
        <w:rPr>
          <w:szCs w:val="28"/>
          <w:lang w:val="ru-RU"/>
        </w:rPr>
        <w:t>трав. 2013</w:t>
      </w:r>
      <w:r>
        <w:rPr>
          <w:szCs w:val="28"/>
          <w:lang w:val="ru-RU"/>
        </w:rPr>
        <w:t> </w:t>
      </w:r>
      <w:r w:rsidR="00A607AD" w:rsidRPr="00EB734D">
        <w:rPr>
          <w:szCs w:val="28"/>
          <w:lang w:val="ru-RU"/>
        </w:rPr>
        <w:t>р. №</w:t>
      </w:r>
      <w:r>
        <w:rPr>
          <w:szCs w:val="28"/>
          <w:lang w:val="ru-RU"/>
        </w:rPr>
        <w:t> </w:t>
      </w:r>
      <w:r w:rsidR="00A607AD" w:rsidRPr="00EB734D">
        <w:rPr>
          <w:szCs w:val="28"/>
          <w:lang w:val="ru-RU"/>
        </w:rPr>
        <w:t xml:space="preserve">334-р. </w:t>
      </w:r>
      <w:r w:rsidR="00A607AD" w:rsidRPr="00EB734D">
        <w:rPr>
          <w:szCs w:val="28"/>
        </w:rPr>
        <w:t>URL</w:t>
      </w:r>
      <w:r w:rsidR="00A607AD" w:rsidRPr="00EB734D">
        <w:rPr>
          <w:szCs w:val="28"/>
          <w:lang w:val="ru-RU"/>
        </w:rPr>
        <w:t xml:space="preserve">: </w:t>
      </w:r>
      <w:r w:rsidR="00A607AD" w:rsidRPr="00EB734D">
        <w:rPr>
          <w:szCs w:val="28"/>
        </w:rPr>
        <w:t>https</w:t>
      </w:r>
      <w:r w:rsidR="00A607AD" w:rsidRPr="00EB734D">
        <w:rPr>
          <w:szCs w:val="28"/>
          <w:lang w:val="ru-RU"/>
        </w:rPr>
        <w:t>://</w:t>
      </w:r>
      <w:r w:rsidR="00A607AD" w:rsidRPr="00EB734D">
        <w:rPr>
          <w:szCs w:val="28"/>
        </w:rPr>
        <w:t>zakon</w:t>
      </w:r>
      <w:r w:rsidR="00A607AD" w:rsidRPr="00EB734D">
        <w:rPr>
          <w:szCs w:val="28"/>
          <w:lang w:val="ru-RU"/>
        </w:rPr>
        <w:t>.</w:t>
      </w:r>
      <w:r w:rsidR="00A607AD" w:rsidRPr="00EB734D">
        <w:rPr>
          <w:szCs w:val="28"/>
        </w:rPr>
        <w:t>rada</w:t>
      </w:r>
      <w:r w:rsidR="00A607AD" w:rsidRPr="00EB734D">
        <w:rPr>
          <w:szCs w:val="28"/>
          <w:lang w:val="ru-RU"/>
        </w:rPr>
        <w:t>.</w:t>
      </w:r>
      <w:r w:rsidR="00A607AD" w:rsidRPr="00EB734D">
        <w:rPr>
          <w:szCs w:val="28"/>
        </w:rPr>
        <w:t>gov</w:t>
      </w:r>
      <w:r w:rsidR="00A607AD" w:rsidRPr="00EB734D">
        <w:rPr>
          <w:szCs w:val="28"/>
          <w:lang w:val="ru-RU"/>
        </w:rPr>
        <w:t>.</w:t>
      </w:r>
      <w:r w:rsidR="00A607AD" w:rsidRPr="00EB734D">
        <w:rPr>
          <w:szCs w:val="28"/>
        </w:rPr>
        <w:t>ua</w:t>
      </w:r>
      <w:r w:rsidR="00A607AD" w:rsidRPr="00EB734D">
        <w:rPr>
          <w:szCs w:val="28"/>
          <w:lang w:val="ru-RU"/>
        </w:rPr>
        <w:t>/</w:t>
      </w:r>
      <w:r w:rsidR="00A607AD" w:rsidRPr="00EB734D">
        <w:rPr>
          <w:szCs w:val="28"/>
        </w:rPr>
        <w:t>laws</w:t>
      </w:r>
      <w:r w:rsidR="00A607AD" w:rsidRPr="00EB734D">
        <w:rPr>
          <w:szCs w:val="28"/>
          <w:lang w:val="ru-RU"/>
        </w:rPr>
        <w:t>/</w:t>
      </w:r>
      <w:r w:rsidR="00A607AD" w:rsidRPr="00EB734D">
        <w:rPr>
          <w:szCs w:val="28"/>
        </w:rPr>
        <w:t>show</w:t>
      </w:r>
      <w:r w:rsidR="00A607AD" w:rsidRPr="00EB734D">
        <w:rPr>
          <w:szCs w:val="28"/>
          <w:lang w:val="ru-RU"/>
        </w:rPr>
        <w:t>/334-2013-р#</w:t>
      </w:r>
      <w:r w:rsidR="00A607AD" w:rsidRPr="00EB734D">
        <w:rPr>
          <w:szCs w:val="28"/>
        </w:rPr>
        <w:t>Text</w:t>
      </w:r>
      <w:r w:rsidR="00A607AD" w:rsidRPr="00EB734D">
        <w:rPr>
          <w:szCs w:val="28"/>
          <w:lang w:val="ru-RU"/>
        </w:rPr>
        <w:t xml:space="preserve"> (дата звернення: 25.10.2020).</w:t>
      </w:r>
    </w:p>
    <w:p w:rsidR="00EB734D" w:rsidRPr="00EB734D" w:rsidRDefault="00B73593" w:rsidP="00EB734D">
      <w:pPr>
        <w:ind w:firstLine="709"/>
        <w:rPr>
          <w:szCs w:val="28"/>
          <w:lang w:val="ru-RU"/>
        </w:rPr>
      </w:pPr>
      <w:r>
        <w:rPr>
          <w:szCs w:val="28"/>
          <w:lang w:val="ru-RU"/>
        </w:rPr>
        <w:t>271. </w:t>
      </w:r>
      <w:r w:rsidR="00A607AD" w:rsidRPr="00EB734D">
        <w:rPr>
          <w:szCs w:val="28"/>
          <w:lang w:val="ru-RU"/>
        </w:rPr>
        <w:t>Деякі</w:t>
      </w:r>
      <w:r w:rsidR="00A607AD" w:rsidRPr="00B958D8">
        <w:rPr>
          <w:szCs w:val="28"/>
          <w:lang w:val="ru-RU"/>
        </w:rPr>
        <w:t xml:space="preserve"> </w:t>
      </w:r>
      <w:r w:rsidR="00A607AD" w:rsidRPr="00EB734D">
        <w:rPr>
          <w:szCs w:val="28"/>
          <w:lang w:val="ru-RU"/>
        </w:rPr>
        <w:t>питання</w:t>
      </w:r>
      <w:r w:rsidR="00A607AD" w:rsidRPr="00B958D8">
        <w:rPr>
          <w:szCs w:val="28"/>
          <w:lang w:val="ru-RU"/>
        </w:rPr>
        <w:t xml:space="preserve"> </w:t>
      </w:r>
      <w:r w:rsidR="00A607AD" w:rsidRPr="00EB734D">
        <w:rPr>
          <w:szCs w:val="28"/>
          <w:lang w:val="ru-RU"/>
        </w:rPr>
        <w:t>оптимізації</w:t>
      </w:r>
      <w:r w:rsidR="00A607AD" w:rsidRPr="00B958D8">
        <w:rPr>
          <w:szCs w:val="28"/>
          <w:lang w:val="ru-RU"/>
        </w:rPr>
        <w:t xml:space="preserve"> </w:t>
      </w:r>
      <w:r w:rsidR="00A607AD" w:rsidRPr="00EB734D">
        <w:rPr>
          <w:szCs w:val="28"/>
          <w:lang w:val="ru-RU"/>
        </w:rPr>
        <w:t>державних</w:t>
      </w:r>
      <w:r w:rsidR="00A607AD" w:rsidRPr="00B958D8">
        <w:rPr>
          <w:szCs w:val="28"/>
          <w:lang w:val="ru-RU"/>
        </w:rPr>
        <w:t xml:space="preserve"> </w:t>
      </w:r>
      <w:r w:rsidR="00A607AD" w:rsidRPr="00EB734D">
        <w:rPr>
          <w:szCs w:val="28"/>
          <w:lang w:val="ru-RU"/>
        </w:rPr>
        <w:t>цільових</w:t>
      </w:r>
      <w:r w:rsidR="00A607AD" w:rsidRPr="00B958D8">
        <w:rPr>
          <w:szCs w:val="28"/>
          <w:lang w:val="ru-RU"/>
        </w:rPr>
        <w:t xml:space="preserve"> </w:t>
      </w:r>
      <w:r w:rsidR="00A607AD" w:rsidRPr="00EB734D">
        <w:rPr>
          <w:szCs w:val="28"/>
          <w:lang w:val="ru-RU"/>
        </w:rPr>
        <w:t>програм</w:t>
      </w:r>
      <w:r w:rsidR="00A607AD" w:rsidRPr="00B958D8">
        <w:rPr>
          <w:szCs w:val="28"/>
          <w:lang w:val="ru-RU"/>
        </w:rPr>
        <w:t xml:space="preserve"> </w:t>
      </w:r>
      <w:r w:rsidR="00A607AD" w:rsidRPr="00EB734D">
        <w:rPr>
          <w:szCs w:val="28"/>
          <w:lang w:val="ru-RU"/>
        </w:rPr>
        <w:t>і</w:t>
      </w:r>
      <w:r w:rsidR="00A607AD" w:rsidRPr="00B958D8">
        <w:rPr>
          <w:szCs w:val="28"/>
          <w:lang w:val="ru-RU"/>
        </w:rPr>
        <w:t xml:space="preserve"> </w:t>
      </w:r>
      <w:r w:rsidR="00A607AD" w:rsidRPr="00EB734D">
        <w:rPr>
          <w:szCs w:val="28"/>
          <w:lang w:val="ru-RU"/>
        </w:rPr>
        <w:t>національних</w:t>
      </w:r>
      <w:r w:rsidR="00A607AD" w:rsidRPr="00B958D8">
        <w:rPr>
          <w:szCs w:val="28"/>
          <w:lang w:val="ru-RU"/>
        </w:rPr>
        <w:t xml:space="preserve"> </w:t>
      </w:r>
      <w:r w:rsidR="00A607AD" w:rsidRPr="00EB734D">
        <w:rPr>
          <w:szCs w:val="28"/>
          <w:lang w:val="ru-RU"/>
        </w:rPr>
        <w:t>проектів</w:t>
      </w:r>
      <w:r w:rsidR="00A607AD" w:rsidRPr="00B958D8">
        <w:rPr>
          <w:szCs w:val="28"/>
          <w:lang w:val="ru-RU"/>
        </w:rPr>
        <w:t xml:space="preserve">, </w:t>
      </w:r>
      <w:r w:rsidR="00A607AD" w:rsidRPr="00EB734D">
        <w:rPr>
          <w:szCs w:val="28"/>
          <w:lang w:val="ru-RU"/>
        </w:rPr>
        <w:t>економії</w:t>
      </w:r>
      <w:r w:rsidR="00A607AD" w:rsidRPr="00B958D8">
        <w:rPr>
          <w:szCs w:val="28"/>
          <w:lang w:val="ru-RU"/>
        </w:rPr>
        <w:t xml:space="preserve"> </w:t>
      </w:r>
      <w:r w:rsidR="00A607AD" w:rsidRPr="00EB734D">
        <w:rPr>
          <w:szCs w:val="28"/>
          <w:lang w:val="ru-RU"/>
        </w:rPr>
        <w:t>бюджетних</w:t>
      </w:r>
      <w:r w:rsidR="00A607AD" w:rsidRPr="00B958D8">
        <w:rPr>
          <w:szCs w:val="28"/>
          <w:lang w:val="ru-RU"/>
        </w:rPr>
        <w:t xml:space="preserve"> </w:t>
      </w:r>
      <w:r w:rsidR="00A607AD" w:rsidRPr="00EB734D">
        <w:rPr>
          <w:szCs w:val="28"/>
          <w:lang w:val="ru-RU"/>
        </w:rPr>
        <w:t>коштів</w:t>
      </w:r>
      <w:r w:rsidR="00A607AD" w:rsidRPr="00B958D8">
        <w:rPr>
          <w:szCs w:val="28"/>
          <w:lang w:val="ru-RU"/>
        </w:rPr>
        <w:t xml:space="preserve"> </w:t>
      </w:r>
      <w:r w:rsidR="00A607AD" w:rsidRPr="00EB734D">
        <w:rPr>
          <w:szCs w:val="28"/>
          <w:lang w:val="ru-RU"/>
        </w:rPr>
        <w:t>та</w:t>
      </w:r>
      <w:r w:rsidR="00A607AD" w:rsidRPr="00B958D8">
        <w:rPr>
          <w:szCs w:val="28"/>
          <w:lang w:val="ru-RU"/>
        </w:rPr>
        <w:t xml:space="preserve"> </w:t>
      </w:r>
      <w:r w:rsidR="00A607AD" w:rsidRPr="00EB734D">
        <w:rPr>
          <w:szCs w:val="28"/>
          <w:lang w:val="ru-RU"/>
        </w:rPr>
        <w:t>визнання</w:t>
      </w:r>
      <w:r w:rsidR="00A607AD" w:rsidRPr="00B958D8">
        <w:rPr>
          <w:szCs w:val="28"/>
          <w:lang w:val="ru-RU"/>
        </w:rPr>
        <w:t xml:space="preserve"> </w:t>
      </w:r>
      <w:r w:rsidR="00A607AD" w:rsidRPr="00EB734D">
        <w:rPr>
          <w:szCs w:val="28"/>
          <w:lang w:val="ru-RU"/>
        </w:rPr>
        <w:t>такими</w:t>
      </w:r>
      <w:r w:rsidR="00A607AD" w:rsidRPr="00B958D8">
        <w:rPr>
          <w:szCs w:val="28"/>
          <w:lang w:val="ru-RU"/>
        </w:rPr>
        <w:t xml:space="preserve">, </w:t>
      </w:r>
      <w:r w:rsidR="00A607AD" w:rsidRPr="00EB734D">
        <w:rPr>
          <w:szCs w:val="28"/>
          <w:lang w:val="ru-RU"/>
        </w:rPr>
        <w:t>що</w:t>
      </w:r>
      <w:r w:rsidR="00A607AD" w:rsidRPr="00B958D8">
        <w:rPr>
          <w:szCs w:val="28"/>
          <w:lang w:val="ru-RU"/>
        </w:rPr>
        <w:t xml:space="preserve"> </w:t>
      </w:r>
      <w:r w:rsidR="00A607AD" w:rsidRPr="00EB734D">
        <w:rPr>
          <w:szCs w:val="28"/>
          <w:lang w:val="ru-RU"/>
        </w:rPr>
        <w:t>втратили</w:t>
      </w:r>
      <w:r w:rsidR="00A607AD" w:rsidRPr="00B958D8">
        <w:rPr>
          <w:szCs w:val="28"/>
          <w:lang w:val="ru-RU"/>
        </w:rPr>
        <w:t xml:space="preserve"> </w:t>
      </w:r>
      <w:r w:rsidR="00A607AD" w:rsidRPr="00EB734D">
        <w:rPr>
          <w:szCs w:val="28"/>
          <w:lang w:val="ru-RU"/>
        </w:rPr>
        <w:t>чинність</w:t>
      </w:r>
      <w:r w:rsidR="00A607AD" w:rsidRPr="00B958D8">
        <w:rPr>
          <w:szCs w:val="28"/>
          <w:lang w:val="ru-RU"/>
        </w:rPr>
        <w:t xml:space="preserve">, </w:t>
      </w:r>
      <w:r w:rsidR="00A607AD" w:rsidRPr="00EB734D">
        <w:rPr>
          <w:szCs w:val="28"/>
          <w:lang w:val="ru-RU"/>
        </w:rPr>
        <w:t>деяких</w:t>
      </w:r>
      <w:r w:rsidR="00A607AD" w:rsidRPr="00B958D8">
        <w:rPr>
          <w:szCs w:val="28"/>
          <w:lang w:val="ru-RU"/>
        </w:rPr>
        <w:t xml:space="preserve"> </w:t>
      </w:r>
      <w:r w:rsidR="00A607AD" w:rsidRPr="00EB734D">
        <w:rPr>
          <w:szCs w:val="28"/>
          <w:lang w:val="ru-RU"/>
        </w:rPr>
        <w:t>актів</w:t>
      </w:r>
      <w:r w:rsidR="00A607AD" w:rsidRPr="00B958D8">
        <w:rPr>
          <w:szCs w:val="28"/>
          <w:lang w:val="ru-RU"/>
        </w:rPr>
        <w:t xml:space="preserve"> </w:t>
      </w:r>
      <w:r w:rsidR="00A607AD" w:rsidRPr="00EB734D">
        <w:rPr>
          <w:szCs w:val="28"/>
          <w:lang w:val="ru-RU"/>
        </w:rPr>
        <w:t>Кабінету</w:t>
      </w:r>
      <w:r w:rsidR="00A607AD" w:rsidRPr="00B958D8">
        <w:rPr>
          <w:szCs w:val="28"/>
          <w:lang w:val="ru-RU"/>
        </w:rPr>
        <w:t xml:space="preserve"> </w:t>
      </w:r>
      <w:r w:rsidR="00A607AD" w:rsidRPr="00EB734D">
        <w:rPr>
          <w:szCs w:val="28"/>
          <w:lang w:val="ru-RU"/>
        </w:rPr>
        <w:t>Міністрів</w:t>
      </w:r>
      <w:r w:rsidR="00A607AD" w:rsidRPr="00B958D8">
        <w:rPr>
          <w:szCs w:val="28"/>
          <w:lang w:val="ru-RU"/>
        </w:rPr>
        <w:t xml:space="preserve"> </w:t>
      </w:r>
      <w:r w:rsidR="00A607AD" w:rsidRPr="00EB734D">
        <w:rPr>
          <w:szCs w:val="28"/>
          <w:lang w:val="ru-RU"/>
        </w:rPr>
        <w:t>України</w:t>
      </w:r>
      <w:r w:rsidR="00A607AD" w:rsidRPr="00B958D8">
        <w:rPr>
          <w:szCs w:val="28"/>
          <w:lang w:val="ru-RU"/>
        </w:rPr>
        <w:t xml:space="preserve">: </w:t>
      </w:r>
      <w:r w:rsidR="00A607AD" w:rsidRPr="00EB734D">
        <w:rPr>
          <w:szCs w:val="28"/>
          <w:lang w:val="ru-RU"/>
        </w:rPr>
        <w:t>Постанова</w:t>
      </w:r>
      <w:r w:rsidR="00A607AD" w:rsidRPr="00B958D8">
        <w:rPr>
          <w:szCs w:val="28"/>
          <w:lang w:val="ru-RU"/>
        </w:rPr>
        <w:t xml:space="preserve"> </w:t>
      </w:r>
      <w:r w:rsidR="00A607AD" w:rsidRPr="00EB734D">
        <w:rPr>
          <w:szCs w:val="28"/>
          <w:lang w:val="ru-RU"/>
        </w:rPr>
        <w:t>Кабінету</w:t>
      </w:r>
      <w:r w:rsidR="00A607AD" w:rsidRPr="00B958D8">
        <w:rPr>
          <w:szCs w:val="28"/>
          <w:lang w:val="ru-RU"/>
        </w:rPr>
        <w:t xml:space="preserve"> </w:t>
      </w:r>
      <w:r w:rsidR="00A607AD" w:rsidRPr="00EB734D">
        <w:rPr>
          <w:szCs w:val="28"/>
          <w:lang w:val="ru-RU"/>
        </w:rPr>
        <w:t>Міністрів</w:t>
      </w:r>
      <w:r w:rsidR="00A607AD" w:rsidRPr="00B958D8">
        <w:rPr>
          <w:szCs w:val="28"/>
          <w:lang w:val="ru-RU"/>
        </w:rPr>
        <w:t xml:space="preserve"> </w:t>
      </w:r>
      <w:r w:rsidR="00A607AD" w:rsidRPr="00EB734D">
        <w:rPr>
          <w:szCs w:val="28"/>
          <w:lang w:val="ru-RU"/>
        </w:rPr>
        <w:t>України</w:t>
      </w:r>
      <w:r w:rsidR="00A607AD" w:rsidRPr="00B958D8">
        <w:rPr>
          <w:szCs w:val="28"/>
          <w:lang w:val="ru-RU"/>
        </w:rPr>
        <w:t xml:space="preserve"> </w:t>
      </w:r>
      <w:r w:rsidR="00A607AD" w:rsidRPr="00EB734D">
        <w:rPr>
          <w:szCs w:val="28"/>
          <w:lang w:val="ru-RU"/>
        </w:rPr>
        <w:t>від</w:t>
      </w:r>
      <w:r w:rsidR="00A607AD" w:rsidRPr="00B958D8">
        <w:rPr>
          <w:szCs w:val="28"/>
          <w:lang w:val="ru-RU"/>
        </w:rPr>
        <w:t xml:space="preserve"> 05.03.2014 №</w:t>
      </w:r>
      <w:r>
        <w:rPr>
          <w:lang w:val="en-US"/>
        </w:rPr>
        <w:t> </w:t>
      </w:r>
      <w:r w:rsidR="00A607AD" w:rsidRPr="00B958D8">
        <w:rPr>
          <w:szCs w:val="28"/>
          <w:lang w:val="ru-RU"/>
        </w:rPr>
        <w:t xml:space="preserve">71. </w:t>
      </w:r>
      <w:r w:rsidR="00A607AD" w:rsidRPr="00EB734D">
        <w:rPr>
          <w:szCs w:val="28"/>
        </w:rPr>
        <w:t>URL</w:t>
      </w:r>
      <w:r w:rsidR="00A607AD" w:rsidRPr="00EB734D">
        <w:rPr>
          <w:szCs w:val="28"/>
          <w:lang w:val="ru-RU"/>
        </w:rPr>
        <w:t xml:space="preserve">: </w:t>
      </w:r>
      <w:r w:rsidR="00A607AD" w:rsidRPr="00EB734D">
        <w:rPr>
          <w:szCs w:val="28"/>
        </w:rPr>
        <w:t>https</w:t>
      </w:r>
      <w:r w:rsidR="00A607AD" w:rsidRPr="00EB734D">
        <w:rPr>
          <w:szCs w:val="28"/>
          <w:lang w:val="ru-RU"/>
        </w:rPr>
        <w:t>://</w:t>
      </w:r>
      <w:r w:rsidR="00A607AD" w:rsidRPr="00EB734D">
        <w:rPr>
          <w:szCs w:val="28"/>
        </w:rPr>
        <w:t>zakon</w:t>
      </w:r>
      <w:r w:rsidR="00A607AD" w:rsidRPr="00EB734D">
        <w:rPr>
          <w:szCs w:val="28"/>
          <w:lang w:val="ru-RU"/>
        </w:rPr>
        <w:t>.</w:t>
      </w:r>
      <w:r w:rsidR="00A607AD" w:rsidRPr="00EB734D">
        <w:rPr>
          <w:szCs w:val="28"/>
        </w:rPr>
        <w:t>rada</w:t>
      </w:r>
      <w:r w:rsidR="00A607AD" w:rsidRPr="00EB734D">
        <w:rPr>
          <w:szCs w:val="28"/>
          <w:lang w:val="ru-RU"/>
        </w:rPr>
        <w:t>.</w:t>
      </w:r>
      <w:r w:rsidR="00A607AD" w:rsidRPr="00EB734D">
        <w:rPr>
          <w:szCs w:val="28"/>
        </w:rPr>
        <w:t>gov</w:t>
      </w:r>
      <w:r w:rsidR="00A607AD" w:rsidRPr="00EB734D">
        <w:rPr>
          <w:szCs w:val="28"/>
          <w:lang w:val="ru-RU"/>
        </w:rPr>
        <w:t>.</w:t>
      </w:r>
      <w:r w:rsidR="00A607AD" w:rsidRPr="00EB734D">
        <w:rPr>
          <w:szCs w:val="28"/>
        </w:rPr>
        <w:t>ua</w:t>
      </w:r>
      <w:r w:rsidR="00A607AD" w:rsidRPr="00EB734D">
        <w:rPr>
          <w:szCs w:val="28"/>
          <w:lang w:val="ru-RU"/>
        </w:rPr>
        <w:t>/</w:t>
      </w:r>
      <w:r w:rsidR="00A607AD" w:rsidRPr="00EB734D">
        <w:rPr>
          <w:szCs w:val="28"/>
        </w:rPr>
        <w:t>laws</w:t>
      </w:r>
      <w:r w:rsidR="00A607AD" w:rsidRPr="00EB734D">
        <w:rPr>
          <w:szCs w:val="28"/>
          <w:lang w:val="ru-RU"/>
        </w:rPr>
        <w:t>/</w:t>
      </w:r>
      <w:r w:rsidR="00A607AD" w:rsidRPr="00EB734D">
        <w:rPr>
          <w:szCs w:val="28"/>
        </w:rPr>
        <w:t>show</w:t>
      </w:r>
      <w:r w:rsidR="00A607AD" w:rsidRPr="00EB734D">
        <w:rPr>
          <w:szCs w:val="28"/>
          <w:lang w:val="ru-RU"/>
        </w:rPr>
        <w:t>/71-2014-п#</w:t>
      </w:r>
      <w:r w:rsidR="00A607AD" w:rsidRPr="00EB734D">
        <w:rPr>
          <w:szCs w:val="28"/>
        </w:rPr>
        <w:t>Text</w:t>
      </w:r>
      <w:r w:rsidR="00A607AD" w:rsidRPr="00EB734D">
        <w:rPr>
          <w:szCs w:val="28"/>
          <w:lang w:val="ru-RU"/>
        </w:rPr>
        <w:t xml:space="preserve"> (дата звернення: 25.10.2020).</w:t>
      </w:r>
    </w:p>
    <w:p w:rsidR="00EB734D" w:rsidRPr="00EB734D" w:rsidRDefault="00B73593" w:rsidP="00EB734D">
      <w:pPr>
        <w:ind w:firstLine="709"/>
        <w:rPr>
          <w:szCs w:val="28"/>
          <w:lang w:val="ru-RU"/>
        </w:rPr>
      </w:pPr>
      <w:r>
        <w:rPr>
          <w:szCs w:val="28"/>
          <w:lang w:val="ru-RU"/>
        </w:rPr>
        <w:t>272.</w:t>
      </w:r>
      <w:r w:rsidRPr="00B73593">
        <w:rPr>
          <w:szCs w:val="28"/>
          <w:lang w:val="ru-RU"/>
        </w:rPr>
        <w:t xml:space="preserve"> </w:t>
      </w:r>
      <w:r w:rsidR="00A607AD" w:rsidRPr="00EB734D">
        <w:rPr>
          <w:szCs w:val="28"/>
          <w:lang w:val="ru-RU"/>
        </w:rPr>
        <w:t>Про Національну програму "Діти України": Указ Президента України від 18.01.1996 р. №</w:t>
      </w:r>
      <w:r>
        <w:rPr>
          <w:szCs w:val="28"/>
          <w:lang w:val="ru-RU"/>
        </w:rPr>
        <w:t> </w:t>
      </w:r>
      <w:r w:rsidR="00A607AD" w:rsidRPr="00EB734D">
        <w:rPr>
          <w:szCs w:val="28"/>
          <w:lang w:val="ru-RU"/>
        </w:rPr>
        <w:t xml:space="preserve">63/96. </w:t>
      </w:r>
      <w:r w:rsidR="00A607AD" w:rsidRPr="00EB734D">
        <w:rPr>
          <w:szCs w:val="28"/>
        </w:rPr>
        <w:t>URL</w:t>
      </w:r>
      <w:r w:rsidR="00A607AD" w:rsidRPr="00EB734D">
        <w:rPr>
          <w:szCs w:val="28"/>
          <w:lang w:val="ru-RU"/>
        </w:rPr>
        <w:t xml:space="preserve">: </w:t>
      </w:r>
      <w:r w:rsidR="00A607AD" w:rsidRPr="00EB734D">
        <w:rPr>
          <w:szCs w:val="28"/>
        </w:rPr>
        <w:t>https</w:t>
      </w:r>
      <w:r w:rsidR="00A607AD" w:rsidRPr="00EB734D">
        <w:rPr>
          <w:szCs w:val="28"/>
          <w:lang w:val="ru-RU"/>
        </w:rPr>
        <w:t>://</w:t>
      </w:r>
      <w:r w:rsidR="00A607AD" w:rsidRPr="00EB734D">
        <w:rPr>
          <w:szCs w:val="28"/>
        </w:rPr>
        <w:t>zakon</w:t>
      </w:r>
      <w:r w:rsidR="00A607AD" w:rsidRPr="00EB734D">
        <w:rPr>
          <w:szCs w:val="28"/>
          <w:lang w:val="ru-RU"/>
        </w:rPr>
        <w:t>.</w:t>
      </w:r>
      <w:r w:rsidR="00A607AD" w:rsidRPr="00EB734D">
        <w:rPr>
          <w:szCs w:val="28"/>
        </w:rPr>
        <w:t>rada</w:t>
      </w:r>
      <w:r w:rsidR="00A607AD" w:rsidRPr="00EB734D">
        <w:rPr>
          <w:szCs w:val="28"/>
          <w:lang w:val="ru-RU"/>
        </w:rPr>
        <w:t>.</w:t>
      </w:r>
      <w:r w:rsidR="00A607AD" w:rsidRPr="00EB734D">
        <w:rPr>
          <w:szCs w:val="28"/>
        </w:rPr>
        <w:t>gov</w:t>
      </w:r>
      <w:r w:rsidR="00A607AD" w:rsidRPr="00EB734D">
        <w:rPr>
          <w:szCs w:val="28"/>
          <w:lang w:val="ru-RU"/>
        </w:rPr>
        <w:t>.</w:t>
      </w:r>
      <w:r w:rsidR="00A607AD" w:rsidRPr="00EB734D">
        <w:rPr>
          <w:szCs w:val="28"/>
        </w:rPr>
        <w:t>ua</w:t>
      </w:r>
      <w:r w:rsidR="00A607AD" w:rsidRPr="00EB734D">
        <w:rPr>
          <w:szCs w:val="28"/>
          <w:lang w:val="ru-RU"/>
        </w:rPr>
        <w:t>/</w:t>
      </w:r>
      <w:r w:rsidR="00A607AD" w:rsidRPr="00EB734D">
        <w:rPr>
          <w:szCs w:val="28"/>
        </w:rPr>
        <w:t>laws</w:t>
      </w:r>
      <w:r w:rsidR="00A607AD" w:rsidRPr="00EB734D">
        <w:rPr>
          <w:szCs w:val="28"/>
          <w:lang w:val="ru-RU"/>
        </w:rPr>
        <w:t>/</w:t>
      </w:r>
      <w:r w:rsidR="00A607AD" w:rsidRPr="00EB734D">
        <w:rPr>
          <w:szCs w:val="28"/>
        </w:rPr>
        <w:t>show</w:t>
      </w:r>
      <w:r w:rsidR="00A607AD" w:rsidRPr="00EB734D">
        <w:rPr>
          <w:szCs w:val="28"/>
          <w:lang w:val="ru-RU"/>
        </w:rPr>
        <w:t>/63/96#</w:t>
      </w:r>
      <w:r w:rsidR="00A607AD" w:rsidRPr="00EB734D">
        <w:rPr>
          <w:szCs w:val="28"/>
        </w:rPr>
        <w:t>Text</w:t>
      </w:r>
      <w:r w:rsidR="00A607AD" w:rsidRPr="00EB734D">
        <w:rPr>
          <w:szCs w:val="28"/>
          <w:lang w:val="ru-RU"/>
        </w:rPr>
        <w:t xml:space="preserve"> </w:t>
      </w:r>
      <w:r>
        <w:rPr>
          <w:szCs w:val="28"/>
          <w:lang w:val="ru-RU"/>
        </w:rPr>
        <w:t>(</w:t>
      </w:r>
      <w:r w:rsidR="00A607AD" w:rsidRPr="00EB734D">
        <w:rPr>
          <w:szCs w:val="28"/>
          <w:lang w:val="ru-RU"/>
        </w:rPr>
        <w:t>дата звернення: 25.10.2020).</w:t>
      </w:r>
    </w:p>
    <w:p w:rsidR="00EB734D" w:rsidRPr="00EB734D" w:rsidRDefault="00B73593" w:rsidP="00EB734D">
      <w:pPr>
        <w:ind w:firstLine="709"/>
        <w:rPr>
          <w:szCs w:val="28"/>
          <w:lang w:val="ru-RU"/>
        </w:rPr>
      </w:pPr>
      <w:r>
        <w:rPr>
          <w:szCs w:val="28"/>
          <w:lang w:val="ru-RU"/>
        </w:rPr>
        <w:t xml:space="preserve">273. </w:t>
      </w:r>
      <w:r w:rsidR="00A607AD" w:rsidRPr="00EB734D">
        <w:rPr>
          <w:szCs w:val="28"/>
          <w:lang w:val="ru-RU"/>
        </w:rPr>
        <w:t xml:space="preserve">Про додаткові заходи щодо забезпечення виконання Національної програми "Діти України" на період до 2005 року : Указ Президента України № 42/2001. </w:t>
      </w:r>
      <w:r w:rsidR="00A607AD" w:rsidRPr="00EB734D">
        <w:rPr>
          <w:szCs w:val="28"/>
        </w:rPr>
        <w:t>URL</w:t>
      </w:r>
      <w:r w:rsidR="00A607AD" w:rsidRPr="00EB734D">
        <w:rPr>
          <w:szCs w:val="28"/>
          <w:lang w:val="ru-RU"/>
        </w:rPr>
        <w:t xml:space="preserve">: </w:t>
      </w:r>
      <w:r w:rsidR="00A607AD" w:rsidRPr="00EB734D">
        <w:rPr>
          <w:szCs w:val="28"/>
        </w:rPr>
        <w:t>https</w:t>
      </w:r>
      <w:r w:rsidR="00A607AD" w:rsidRPr="00EB734D">
        <w:rPr>
          <w:szCs w:val="28"/>
          <w:lang w:val="ru-RU"/>
        </w:rPr>
        <w:t>://</w:t>
      </w:r>
      <w:r w:rsidR="00A607AD" w:rsidRPr="00EB734D">
        <w:rPr>
          <w:szCs w:val="28"/>
        </w:rPr>
        <w:t>www</w:t>
      </w:r>
      <w:r w:rsidR="00A607AD" w:rsidRPr="00EB734D">
        <w:rPr>
          <w:szCs w:val="28"/>
          <w:lang w:val="ru-RU"/>
        </w:rPr>
        <w:t>.</w:t>
      </w:r>
      <w:r w:rsidR="00A607AD" w:rsidRPr="00EB734D">
        <w:rPr>
          <w:szCs w:val="28"/>
        </w:rPr>
        <w:t>president</w:t>
      </w:r>
      <w:r w:rsidR="00A607AD" w:rsidRPr="00EB734D">
        <w:rPr>
          <w:szCs w:val="28"/>
          <w:lang w:val="ru-RU"/>
        </w:rPr>
        <w:t>.</w:t>
      </w:r>
      <w:r w:rsidR="00A607AD" w:rsidRPr="00EB734D">
        <w:rPr>
          <w:szCs w:val="28"/>
        </w:rPr>
        <w:t>gov</w:t>
      </w:r>
      <w:r w:rsidR="00A607AD" w:rsidRPr="00EB734D">
        <w:rPr>
          <w:szCs w:val="28"/>
          <w:lang w:val="ru-RU"/>
        </w:rPr>
        <w:t>.</w:t>
      </w:r>
      <w:r w:rsidR="00A607AD" w:rsidRPr="00EB734D">
        <w:rPr>
          <w:szCs w:val="28"/>
        </w:rPr>
        <w:t>ua</w:t>
      </w:r>
      <w:r w:rsidR="00A607AD" w:rsidRPr="00EB734D">
        <w:rPr>
          <w:szCs w:val="28"/>
          <w:lang w:val="ru-RU"/>
        </w:rPr>
        <w:t>/</w:t>
      </w:r>
      <w:r w:rsidR="00A607AD" w:rsidRPr="00EB734D">
        <w:rPr>
          <w:szCs w:val="28"/>
        </w:rPr>
        <w:t>documents</w:t>
      </w:r>
      <w:r w:rsidR="00A607AD" w:rsidRPr="00EB734D">
        <w:rPr>
          <w:szCs w:val="28"/>
          <w:lang w:val="ru-RU"/>
        </w:rPr>
        <w:t>/422001-613а (дата звернення: 25.10.2020).</w:t>
      </w:r>
    </w:p>
    <w:p w:rsidR="00EB734D" w:rsidRPr="00EB734D" w:rsidRDefault="00B73593" w:rsidP="00EB734D">
      <w:pPr>
        <w:ind w:firstLine="709"/>
        <w:rPr>
          <w:szCs w:val="28"/>
          <w:lang w:val="ru-RU"/>
        </w:rPr>
      </w:pPr>
      <w:r>
        <w:rPr>
          <w:szCs w:val="28"/>
          <w:lang w:val="ru-RU"/>
        </w:rPr>
        <w:t xml:space="preserve">274. </w:t>
      </w:r>
      <w:r w:rsidR="00A607AD" w:rsidRPr="00EB734D">
        <w:rPr>
          <w:szCs w:val="28"/>
          <w:lang w:val="ru-RU"/>
        </w:rPr>
        <w:t>Про</w:t>
      </w:r>
      <w:r w:rsidR="00A607AD" w:rsidRPr="00B958D8">
        <w:rPr>
          <w:szCs w:val="28"/>
          <w:lang w:val="ru-RU"/>
        </w:rPr>
        <w:t xml:space="preserve"> </w:t>
      </w:r>
      <w:r w:rsidR="00A607AD" w:rsidRPr="00EB734D">
        <w:rPr>
          <w:szCs w:val="28"/>
          <w:lang w:val="ru-RU"/>
        </w:rPr>
        <w:t>схвалення</w:t>
      </w:r>
      <w:r w:rsidR="00A607AD" w:rsidRPr="00B958D8">
        <w:rPr>
          <w:szCs w:val="28"/>
          <w:lang w:val="ru-RU"/>
        </w:rPr>
        <w:t xml:space="preserve"> </w:t>
      </w:r>
      <w:r w:rsidR="00A607AD" w:rsidRPr="00EB734D">
        <w:rPr>
          <w:szCs w:val="28"/>
          <w:lang w:val="ru-RU"/>
        </w:rPr>
        <w:t>Концепції</w:t>
      </w:r>
      <w:r w:rsidR="00A607AD" w:rsidRPr="00B958D8">
        <w:rPr>
          <w:szCs w:val="28"/>
          <w:lang w:val="ru-RU"/>
        </w:rPr>
        <w:t xml:space="preserve"> </w:t>
      </w:r>
      <w:r w:rsidR="00A607AD" w:rsidRPr="00EB734D">
        <w:rPr>
          <w:szCs w:val="28"/>
          <w:lang w:val="ru-RU"/>
        </w:rPr>
        <w:t>Загальнодержавної</w:t>
      </w:r>
      <w:r w:rsidR="00A607AD" w:rsidRPr="00B958D8">
        <w:rPr>
          <w:szCs w:val="28"/>
          <w:lang w:val="ru-RU"/>
        </w:rPr>
        <w:t xml:space="preserve"> </w:t>
      </w:r>
      <w:r w:rsidR="00A607AD" w:rsidRPr="00EB734D">
        <w:rPr>
          <w:szCs w:val="28"/>
          <w:lang w:val="ru-RU"/>
        </w:rPr>
        <w:t>програми</w:t>
      </w:r>
      <w:r w:rsidR="00A607AD" w:rsidRPr="00B958D8">
        <w:rPr>
          <w:szCs w:val="28"/>
          <w:lang w:val="ru-RU"/>
        </w:rPr>
        <w:t xml:space="preserve"> "</w:t>
      </w:r>
      <w:r w:rsidR="00A607AD" w:rsidRPr="00EB734D">
        <w:rPr>
          <w:szCs w:val="28"/>
          <w:lang w:val="ru-RU"/>
        </w:rPr>
        <w:t>Здоров</w:t>
      </w:r>
      <w:r w:rsidR="00A607AD" w:rsidRPr="00B958D8">
        <w:rPr>
          <w:szCs w:val="28"/>
          <w:lang w:val="ru-RU"/>
        </w:rPr>
        <w:t>'</w:t>
      </w:r>
      <w:r w:rsidR="00A607AD" w:rsidRPr="00EB734D">
        <w:rPr>
          <w:szCs w:val="28"/>
          <w:lang w:val="ru-RU"/>
        </w:rPr>
        <w:t>я</w:t>
      </w:r>
      <w:r w:rsidR="00A607AD" w:rsidRPr="00B958D8">
        <w:rPr>
          <w:szCs w:val="28"/>
          <w:lang w:val="ru-RU"/>
        </w:rPr>
        <w:t xml:space="preserve"> 2020: </w:t>
      </w:r>
      <w:r w:rsidR="00A607AD" w:rsidRPr="00EB734D">
        <w:rPr>
          <w:szCs w:val="28"/>
          <w:lang w:val="ru-RU"/>
        </w:rPr>
        <w:t>український</w:t>
      </w:r>
      <w:r w:rsidR="00A607AD" w:rsidRPr="00B958D8">
        <w:rPr>
          <w:szCs w:val="28"/>
          <w:lang w:val="ru-RU"/>
        </w:rPr>
        <w:t xml:space="preserve"> </w:t>
      </w:r>
      <w:r w:rsidR="00A607AD" w:rsidRPr="00EB734D">
        <w:rPr>
          <w:szCs w:val="28"/>
          <w:lang w:val="ru-RU"/>
        </w:rPr>
        <w:t>вимір</w:t>
      </w:r>
      <w:r w:rsidR="00A607AD" w:rsidRPr="00B958D8">
        <w:rPr>
          <w:szCs w:val="28"/>
          <w:lang w:val="ru-RU"/>
        </w:rPr>
        <w:t xml:space="preserve">": </w:t>
      </w:r>
      <w:r w:rsidR="00A607AD" w:rsidRPr="00EB734D">
        <w:rPr>
          <w:szCs w:val="28"/>
          <w:lang w:val="ru-RU"/>
        </w:rPr>
        <w:t>Розпордження</w:t>
      </w:r>
      <w:r w:rsidR="00A607AD" w:rsidRPr="00B958D8">
        <w:rPr>
          <w:szCs w:val="28"/>
          <w:lang w:val="ru-RU"/>
        </w:rPr>
        <w:t xml:space="preserve"> </w:t>
      </w:r>
      <w:r w:rsidR="00A607AD" w:rsidRPr="00EB734D">
        <w:rPr>
          <w:szCs w:val="28"/>
          <w:lang w:val="ru-RU"/>
        </w:rPr>
        <w:t>Кабінету</w:t>
      </w:r>
      <w:r w:rsidR="00A607AD" w:rsidRPr="00B958D8">
        <w:rPr>
          <w:szCs w:val="28"/>
          <w:lang w:val="ru-RU"/>
        </w:rPr>
        <w:t xml:space="preserve"> </w:t>
      </w:r>
      <w:r w:rsidR="00A607AD" w:rsidRPr="00EB734D">
        <w:rPr>
          <w:szCs w:val="28"/>
          <w:lang w:val="ru-RU"/>
        </w:rPr>
        <w:t>Міністрів</w:t>
      </w:r>
      <w:r w:rsidR="00A607AD" w:rsidRPr="00B958D8">
        <w:rPr>
          <w:szCs w:val="28"/>
          <w:lang w:val="ru-RU"/>
        </w:rPr>
        <w:t xml:space="preserve"> </w:t>
      </w:r>
      <w:r w:rsidR="00A607AD" w:rsidRPr="00EB734D">
        <w:rPr>
          <w:szCs w:val="28"/>
          <w:lang w:val="ru-RU"/>
        </w:rPr>
        <w:t>України</w:t>
      </w:r>
      <w:r w:rsidR="00A607AD" w:rsidRPr="00B958D8">
        <w:rPr>
          <w:szCs w:val="28"/>
          <w:lang w:val="ru-RU"/>
        </w:rPr>
        <w:t xml:space="preserve"> </w:t>
      </w:r>
      <w:r w:rsidR="00A607AD" w:rsidRPr="00EB734D">
        <w:rPr>
          <w:szCs w:val="28"/>
          <w:lang w:val="ru-RU"/>
        </w:rPr>
        <w:t>від</w:t>
      </w:r>
      <w:r w:rsidR="00A607AD" w:rsidRPr="00B958D8">
        <w:rPr>
          <w:szCs w:val="28"/>
          <w:lang w:val="ru-RU"/>
        </w:rPr>
        <w:t xml:space="preserve"> 31 </w:t>
      </w:r>
      <w:r w:rsidR="00A607AD" w:rsidRPr="00EB734D">
        <w:rPr>
          <w:szCs w:val="28"/>
          <w:lang w:val="ru-RU"/>
        </w:rPr>
        <w:t>жовт</w:t>
      </w:r>
      <w:r w:rsidR="00A607AD" w:rsidRPr="00B958D8">
        <w:rPr>
          <w:szCs w:val="28"/>
          <w:lang w:val="ru-RU"/>
        </w:rPr>
        <w:t xml:space="preserve">. 2011 </w:t>
      </w:r>
      <w:r w:rsidR="00A607AD" w:rsidRPr="00EB734D">
        <w:rPr>
          <w:szCs w:val="28"/>
          <w:lang w:val="ru-RU"/>
        </w:rPr>
        <w:t>р</w:t>
      </w:r>
      <w:r w:rsidR="00A607AD" w:rsidRPr="00B958D8">
        <w:rPr>
          <w:szCs w:val="28"/>
          <w:lang w:val="ru-RU"/>
        </w:rPr>
        <w:t>. № 1164-</w:t>
      </w:r>
      <w:r w:rsidR="00A607AD" w:rsidRPr="00EB734D">
        <w:rPr>
          <w:szCs w:val="28"/>
          <w:lang w:val="ru-RU"/>
        </w:rPr>
        <w:t>р</w:t>
      </w:r>
      <w:r w:rsidR="00A607AD" w:rsidRPr="00B958D8">
        <w:rPr>
          <w:szCs w:val="28"/>
          <w:lang w:val="ru-RU"/>
        </w:rPr>
        <w:t xml:space="preserve">. </w:t>
      </w:r>
      <w:r w:rsidR="00A607AD" w:rsidRPr="00EB734D">
        <w:rPr>
          <w:szCs w:val="28"/>
        </w:rPr>
        <w:t>URL</w:t>
      </w:r>
      <w:r w:rsidR="00A607AD" w:rsidRPr="00EB734D">
        <w:rPr>
          <w:szCs w:val="28"/>
          <w:lang w:val="ru-RU"/>
        </w:rPr>
        <w:t xml:space="preserve">: </w:t>
      </w:r>
      <w:r w:rsidR="00A607AD" w:rsidRPr="00EB734D">
        <w:rPr>
          <w:szCs w:val="28"/>
        </w:rPr>
        <w:t>https</w:t>
      </w:r>
      <w:r w:rsidR="00A607AD" w:rsidRPr="00EB734D">
        <w:rPr>
          <w:szCs w:val="28"/>
          <w:lang w:val="ru-RU"/>
        </w:rPr>
        <w:t>://</w:t>
      </w:r>
      <w:r w:rsidR="00A607AD" w:rsidRPr="00EB734D">
        <w:rPr>
          <w:szCs w:val="28"/>
        </w:rPr>
        <w:t>zakon</w:t>
      </w:r>
      <w:r w:rsidR="00A607AD" w:rsidRPr="00EB734D">
        <w:rPr>
          <w:szCs w:val="28"/>
          <w:lang w:val="ru-RU"/>
        </w:rPr>
        <w:t>.</w:t>
      </w:r>
      <w:r w:rsidR="00A607AD" w:rsidRPr="00EB734D">
        <w:rPr>
          <w:szCs w:val="28"/>
        </w:rPr>
        <w:t>rada</w:t>
      </w:r>
      <w:r w:rsidR="00A607AD" w:rsidRPr="00EB734D">
        <w:rPr>
          <w:szCs w:val="28"/>
          <w:lang w:val="ru-RU"/>
        </w:rPr>
        <w:t>.</w:t>
      </w:r>
      <w:r w:rsidR="00A607AD" w:rsidRPr="00EB734D">
        <w:rPr>
          <w:szCs w:val="28"/>
        </w:rPr>
        <w:t>gov</w:t>
      </w:r>
      <w:r w:rsidR="00A607AD" w:rsidRPr="00EB734D">
        <w:rPr>
          <w:szCs w:val="28"/>
          <w:lang w:val="ru-RU"/>
        </w:rPr>
        <w:t>.</w:t>
      </w:r>
      <w:r w:rsidR="00A607AD" w:rsidRPr="00EB734D">
        <w:rPr>
          <w:szCs w:val="28"/>
        </w:rPr>
        <w:t>ua</w:t>
      </w:r>
      <w:r w:rsidR="00A607AD" w:rsidRPr="00EB734D">
        <w:rPr>
          <w:szCs w:val="28"/>
          <w:lang w:val="ru-RU"/>
        </w:rPr>
        <w:t>/</w:t>
      </w:r>
      <w:r w:rsidR="00A607AD" w:rsidRPr="00EB734D">
        <w:rPr>
          <w:szCs w:val="28"/>
        </w:rPr>
        <w:t>laws</w:t>
      </w:r>
      <w:r w:rsidR="00A607AD" w:rsidRPr="00EB734D">
        <w:rPr>
          <w:szCs w:val="28"/>
          <w:lang w:val="ru-RU"/>
        </w:rPr>
        <w:t>/</w:t>
      </w:r>
      <w:r w:rsidR="00A607AD" w:rsidRPr="00EB734D">
        <w:rPr>
          <w:szCs w:val="28"/>
        </w:rPr>
        <w:t>show</w:t>
      </w:r>
      <w:r w:rsidR="00A607AD" w:rsidRPr="00EB734D">
        <w:rPr>
          <w:szCs w:val="28"/>
          <w:lang w:val="ru-RU"/>
        </w:rPr>
        <w:t>/1164-2011-р#</w:t>
      </w:r>
      <w:r w:rsidR="00A607AD" w:rsidRPr="00EB734D">
        <w:rPr>
          <w:szCs w:val="28"/>
        </w:rPr>
        <w:t>Text</w:t>
      </w:r>
      <w:r w:rsidR="00A607AD" w:rsidRPr="00EB734D">
        <w:rPr>
          <w:szCs w:val="28"/>
          <w:lang w:val="ru-RU"/>
        </w:rPr>
        <w:t xml:space="preserve"> (дата звернення: 25.10.2020).</w:t>
      </w:r>
    </w:p>
    <w:p w:rsidR="00EB734D" w:rsidRDefault="00B73593" w:rsidP="00EB734D">
      <w:pPr>
        <w:ind w:firstLine="709"/>
        <w:rPr>
          <w:szCs w:val="28"/>
          <w:lang w:val="en-US"/>
        </w:rPr>
      </w:pPr>
      <w:r>
        <w:rPr>
          <w:szCs w:val="28"/>
        </w:rPr>
        <w:t>275.</w:t>
      </w:r>
      <w:r w:rsidRPr="00B73593">
        <w:rPr>
          <w:szCs w:val="28"/>
          <w:lang w:val="en-US"/>
        </w:rPr>
        <w:t xml:space="preserve"> </w:t>
      </w:r>
      <w:r w:rsidR="00A607AD" w:rsidRPr="00EB734D">
        <w:rPr>
          <w:szCs w:val="28"/>
        </w:rPr>
        <w:t>The effectiveness of regionalization of perinatal care services: a systematic review</w:t>
      </w:r>
      <w:r w:rsidRPr="00B73593">
        <w:rPr>
          <w:szCs w:val="28"/>
          <w:lang w:val="en-US"/>
        </w:rPr>
        <w:t> </w:t>
      </w:r>
      <w:r w:rsidR="00A607AD" w:rsidRPr="00EB734D">
        <w:rPr>
          <w:szCs w:val="28"/>
        </w:rPr>
        <w:t>/ A. Rashidian et al. Public Health. 2014. Vol. 128, Is. 10. P.</w:t>
      </w:r>
      <w:r w:rsidRPr="00F71E89">
        <w:rPr>
          <w:szCs w:val="28"/>
          <w:lang w:val="en-US"/>
        </w:rPr>
        <w:t> </w:t>
      </w:r>
      <w:r w:rsidR="00A607AD" w:rsidRPr="00EB734D">
        <w:rPr>
          <w:szCs w:val="28"/>
        </w:rPr>
        <w:t>872–885. URL: https://pubmed.ncbi.nlm.nih.gov/25369352/ (Last accessed: 05.10.2020).</w:t>
      </w:r>
    </w:p>
    <w:p w:rsidR="00EB734D" w:rsidRDefault="00B73593" w:rsidP="00EB734D">
      <w:pPr>
        <w:ind w:firstLine="709"/>
        <w:rPr>
          <w:szCs w:val="28"/>
          <w:lang w:val="en-US"/>
        </w:rPr>
      </w:pPr>
      <w:r>
        <w:rPr>
          <w:szCs w:val="28"/>
        </w:rPr>
        <w:t>276.</w:t>
      </w:r>
      <w:r w:rsidRPr="00F71E89">
        <w:rPr>
          <w:szCs w:val="28"/>
          <w:lang w:val="en-US"/>
        </w:rPr>
        <w:t xml:space="preserve"> </w:t>
      </w:r>
      <w:r w:rsidR="00A607AD" w:rsidRPr="00EB734D">
        <w:rPr>
          <w:szCs w:val="28"/>
        </w:rPr>
        <w:t>Perinatal Regionalization. Association of State and Territorial Health Officials. 2014. 3 p. URL: https://www.astho.org/Programs/ASTHO-Perinatal-Regionalization-Fact-Sheet/ (Last accessed: 05.10.2020).</w:t>
      </w:r>
    </w:p>
    <w:p w:rsidR="00EB734D" w:rsidRDefault="00B73593" w:rsidP="00EB734D">
      <w:pPr>
        <w:ind w:firstLine="709"/>
        <w:rPr>
          <w:szCs w:val="28"/>
          <w:lang w:val="en-US"/>
        </w:rPr>
      </w:pPr>
      <w:r>
        <w:rPr>
          <w:szCs w:val="28"/>
        </w:rPr>
        <w:t>277.</w:t>
      </w:r>
      <w:r w:rsidRPr="00B73593">
        <w:rPr>
          <w:szCs w:val="28"/>
          <w:lang w:val="en-US"/>
        </w:rPr>
        <w:t xml:space="preserve"> </w:t>
      </w:r>
      <w:r w:rsidR="00A607AD" w:rsidRPr="00EB734D">
        <w:rPr>
          <w:szCs w:val="28"/>
        </w:rPr>
        <w:t>Guidelines for Perinatal Care / American Academy of Pediatrics, Committee on Fetus and Newborns. 7-th edition. Washintong, 2013. 712 p. URL: https://reader.aappublications.org/guidelines-for-perinatal-care-8th-edition/2 (Last accessed: 05.10.2020).</w:t>
      </w:r>
    </w:p>
    <w:p w:rsidR="00EB734D" w:rsidRPr="00B958D8" w:rsidRDefault="00B73593" w:rsidP="00EB734D">
      <w:pPr>
        <w:ind w:firstLine="709"/>
        <w:rPr>
          <w:szCs w:val="28"/>
          <w:lang w:val="ru-RU"/>
        </w:rPr>
      </w:pPr>
      <w:r>
        <w:rPr>
          <w:szCs w:val="28"/>
          <w:lang w:val="ru-RU"/>
        </w:rPr>
        <w:lastRenderedPageBreak/>
        <w:t xml:space="preserve">278. </w:t>
      </w:r>
      <w:r w:rsidR="00A607AD" w:rsidRPr="00EB734D">
        <w:rPr>
          <w:szCs w:val="28"/>
          <w:lang w:val="ru-RU"/>
        </w:rPr>
        <w:t>Регіоналізація перинатальної допомоги в Україні – сучасний стан проблеми / Ю. Г. Антипкін та ін. Неонатологія, хірургія та перинатальна медицина. 2015. Т. 5, №</w:t>
      </w:r>
      <w:r>
        <w:rPr>
          <w:szCs w:val="28"/>
          <w:lang w:val="ru-RU"/>
        </w:rPr>
        <w:t> </w:t>
      </w:r>
      <w:r w:rsidR="00A607AD" w:rsidRPr="00EB734D">
        <w:rPr>
          <w:szCs w:val="28"/>
          <w:lang w:val="ru-RU"/>
        </w:rPr>
        <w:t>3. С.</w:t>
      </w:r>
      <w:r w:rsidR="00F112B6">
        <w:rPr>
          <w:lang w:val="ru-RU"/>
        </w:rPr>
        <w:t> </w:t>
      </w:r>
      <w:r w:rsidR="00A607AD" w:rsidRPr="00EB734D">
        <w:rPr>
          <w:szCs w:val="28"/>
          <w:lang w:val="ru-RU"/>
        </w:rPr>
        <w:t xml:space="preserve">5–16. </w:t>
      </w:r>
      <w:r w:rsidR="00A607AD" w:rsidRPr="00EB734D">
        <w:rPr>
          <w:szCs w:val="28"/>
        </w:rPr>
        <w:t>URL</w:t>
      </w:r>
      <w:r w:rsidR="00A607AD" w:rsidRPr="00EB734D">
        <w:rPr>
          <w:szCs w:val="28"/>
          <w:lang w:val="ru-RU"/>
        </w:rPr>
        <w:t xml:space="preserve">: </w:t>
      </w:r>
      <w:r w:rsidR="00A607AD" w:rsidRPr="00EB734D">
        <w:rPr>
          <w:szCs w:val="28"/>
        </w:rPr>
        <w:t>http</w:t>
      </w:r>
      <w:r w:rsidR="00A607AD" w:rsidRPr="00EB734D">
        <w:rPr>
          <w:szCs w:val="28"/>
          <w:lang w:val="ru-RU"/>
        </w:rPr>
        <w:t>://</w:t>
      </w:r>
      <w:r w:rsidR="00A607AD" w:rsidRPr="00EB734D">
        <w:rPr>
          <w:szCs w:val="28"/>
        </w:rPr>
        <w:t>nbuv</w:t>
      </w:r>
      <w:r w:rsidR="00A607AD" w:rsidRPr="00EB734D">
        <w:rPr>
          <w:szCs w:val="28"/>
          <w:lang w:val="ru-RU"/>
        </w:rPr>
        <w:t>.</w:t>
      </w:r>
      <w:r w:rsidR="00A607AD" w:rsidRPr="00EB734D">
        <w:rPr>
          <w:szCs w:val="28"/>
        </w:rPr>
        <w:t>gov</w:t>
      </w:r>
      <w:r w:rsidR="00A607AD" w:rsidRPr="00EB734D">
        <w:rPr>
          <w:szCs w:val="28"/>
          <w:lang w:val="ru-RU"/>
        </w:rPr>
        <w:t>.</w:t>
      </w:r>
      <w:r w:rsidR="00A607AD" w:rsidRPr="00EB734D">
        <w:rPr>
          <w:szCs w:val="28"/>
        </w:rPr>
        <w:t>ua</w:t>
      </w:r>
      <w:r w:rsidR="00A607AD" w:rsidRPr="00EB734D">
        <w:rPr>
          <w:szCs w:val="28"/>
          <w:lang w:val="ru-RU"/>
        </w:rPr>
        <w:t>/</w:t>
      </w:r>
      <w:r w:rsidR="00A607AD" w:rsidRPr="00EB734D">
        <w:rPr>
          <w:szCs w:val="28"/>
        </w:rPr>
        <w:t>UJRN</w:t>
      </w:r>
      <w:r w:rsidR="00A607AD" w:rsidRPr="00EB734D">
        <w:rPr>
          <w:szCs w:val="28"/>
          <w:lang w:val="ru-RU"/>
        </w:rPr>
        <w:t>/</w:t>
      </w:r>
      <w:r w:rsidR="00A607AD" w:rsidRPr="00EB734D">
        <w:rPr>
          <w:szCs w:val="28"/>
        </w:rPr>
        <w:t>Nkhpm</w:t>
      </w:r>
      <w:r w:rsidR="00A607AD" w:rsidRPr="00EB734D">
        <w:rPr>
          <w:szCs w:val="28"/>
          <w:lang w:val="ru-RU"/>
        </w:rPr>
        <w:t>_2015_5_3_3 (дата звернення: 25.10.2020).</w:t>
      </w:r>
    </w:p>
    <w:p w:rsidR="00EB734D" w:rsidRDefault="00B73593" w:rsidP="00EB734D">
      <w:pPr>
        <w:ind w:firstLine="709"/>
        <w:rPr>
          <w:szCs w:val="28"/>
          <w:lang w:val="en-US"/>
        </w:rPr>
      </w:pPr>
      <w:r>
        <w:rPr>
          <w:szCs w:val="28"/>
        </w:rPr>
        <w:t>279.</w:t>
      </w:r>
      <w:r w:rsidRPr="00B73593">
        <w:rPr>
          <w:szCs w:val="28"/>
          <w:lang w:val="en-US"/>
        </w:rPr>
        <w:t xml:space="preserve"> </w:t>
      </w:r>
      <w:r w:rsidR="00A607AD" w:rsidRPr="00EB734D">
        <w:rPr>
          <w:szCs w:val="28"/>
        </w:rPr>
        <w:t>Trends in maternal mortality 1990 to 2015 / Estimates WHO, UNICEF, UNFPA, World Bank Group and the United Nations Population Division. Geneva, 2015. 92 p. URL: http://www.who.int/reproductivehealth/publications/monitoring/maternal-mortality-2015/en/ (Last accessed: 05.10.2020).</w:t>
      </w:r>
    </w:p>
    <w:p w:rsidR="00EB734D" w:rsidRDefault="00B73593" w:rsidP="00EB734D">
      <w:pPr>
        <w:ind w:firstLine="709"/>
        <w:rPr>
          <w:szCs w:val="28"/>
          <w:lang w:val="en-US"/>
        </w:rPr>
      </w:pPr>
      <w:r>
        <w:rPr>
          <w:szCs w:val="28"/>
        </w:rPr>
        <w:t>280.</w:t>
      </w:r>
      <w:r w:rsidRPr="00B73593">
        <w:rPr>
          <w:szCs w:val="28"/>
          <w:lang w:val="en-US"/>
        </w:rPr>
        <w:t xml:space="preserve"> </w:t>
      </w:r>
      <w:r w:rsidR="00A607AD" w:rsidRPr="00EB734D">
        <w:rPr>
          <w:szCs w:val="28"/>
        </w:rPr>
        <w:t>Samarasekera U., Horton R. The world we want for every newborn child. Lancet. 2014. Vol. 384 (9938). P. 107–109. DOI: http://dx.doi.org/10.1016/S0140-6736(14)60837-0 pmid: 2485</w:t>
      </w:r>
      <w:r w:rsidR="00C82F86">
        <w:rPr>
          <w:szCs w:val="28"/>
        </w:rPr>
        <w:t>3598. (Last accessed: 28.02.202</w:t>
      </w:r>
      <w:r w:rsidR="00C82F86" w:rsidRPr="00F71E89">
        <w:rPr>
          <w:szCs w:val="28"/>
          <w:lang w:val="en-US"/>
        </w:rPr>
        <w:t>0</w:t>
      </w:r>
      <w:r w:rsidR="00A607AD" w:rsidRPr="00EB734D">
        <w:rPr>
          <w:szCs w:val="28"/>
        </w:rPr>
        <w:t>).</w:t>
      </w:r>
    </w:p>
    <w:p w:rsidR="00EB734D" w:rsidRDefault="00C82F86" w:rsidP="00EB734D">
      <w:pPr>
        <w:ind w:firstLine="709"/>
        <w:rPr>
          <w:szCs w:val="28"/>
          <w:lang w:val="en-US"/>
        </w:rPr>
      </w:pPr>
      <w:r>
        <w:rPr>
          <w:szCs w:val="28"/>
        </w:rPr>
        <w:t>281.</w:t>
      </w:r>
      <w:r w:rsidRPr="00C82F86">
        <w:rPr>
          <w:szCs w:val="28"/>
          <w:lang w:val="en-US"/>
        </w:rPr>
        <w:t xml:space="preserve"> </w:t>
      </w:r>
      <w:r w:rsidR="00A607AD" w:rsidRPr="00EB734D">
        <w:rPr>
          <w:szCs w:val="28"/>
        </w:rPr>
        <w:t>Countdown to 2015: a decade of tracking progress for maternal, newborn, and child survival / C. G. Victora et al. Lancet. 2016. Vol. 387 (10032). P. 2049–2059. URL: https://pubmed.ncbi.nlm.nih.gov/26477328/ (Last accessed: 05.10.2020).</w:t>
      </w:r>
    </w:p>
    <w:p w:rsidR="00EB734D" w:rsidRDefault="00C82F86" w:rsidP="00EB734D">
      <w:pPr>
        <w:ind w:firstLine="709"/>
        <w:rPr>
          <w:szCs w:val="28"/>
          <w:lang w:val="en-US"/>
        </w:rPr>
      </w:pPr>
      <w:r>
        <w:rPr>
          <w:szCs w:val="28"/>
        </w:rPr>
        <w:t>282.</w:t>
      </w:r>
      <w:r w:rsidRPr="00C82F86">
        <w:rPr>
          <w:szCs w:val="28"/>
          <w:lang w:val="en-US"/>
        </w:rPr>
        <w:t xml:space="preserve"> </w:t>
      </w:r>
      <w:r w:rsidR="00A607AD" w:rsidRPr="00EB734D">
        <w:rPr>
          <w:szCs w:val="28"/>
        </w:rPr>
        <w:t>Monitoring intervention coverage in the context of universal health coverage / T. Boerma et al. PLoS Medicine. 2014. Vol. 11 (9). P. e1001728. Published online 2014. DOI: 10.1371/journal.pmed.10</w:t>
      </w:r>
      <w:r>
        <w:rPr>
          <w:szCs w:val="28"/>
        </w:rPr>
        <w:t>01728 (Last accessed: 28.02.202</w:t>
      </w:r>
      <w:r w:rsidRPr="00F71E89">
        <w:rPr>
          <w:szCs w:val="28"/>
          <w:lang w:val="en-US"/>
        </w:rPr>
        <w:t>0</w:t>
      </w:r>
      <w:r w:rsidR="00A607AD" w:rsidRPr="00EB734D">
        <w:rPr>
          <w:szCs w:val="28"/>
        </w:rPr>
        <w:t>).</w:t>
      </w:r>
    </w:p>
    <w:p w:rsidR="00EB734D" w:rsidRDefault="00C82F86" w:rsidP="00EB734D">
      <w:pPr>
        <w:ind w:firstLine="709"/>
        <w:rPr>
          <w:szCs w:val="28"/>
          <w:lang w:val="en-US"/>
        </w:rPr>
      </w:pPr>
      <w:r>
        <w:rPr>
          <w:szCs w:val="28"/>
        </w:rPr>
        <w:t>283.</w:t>
      </w:r>
      <w:r w:rsidRPr="00C82F86">
        <w:rPr>
          <w:szCs w:val="28"/>
          <w:lang w:val="en-US"/>
        </w:rPr>
        <w:t xml:space="preserve"> </w:t>
      </w:r>
      <w:r w:rsidR="00A607AD" w:rsidRPr="00EB734D">
        <w:rPr>
          <w:szCs w:val="28"/>
        </w:rPr>
        <w:t>Scaling up quality care for mothers and newborns around the time of birth: an overview of methods and analyses of intervention-specific bottlenecks and solutions / K. E. Dickson et al. BMC Pregnancy Childbirth. 2015. Vol.</w:t>
      </w:r>
      <w:r w:rsidR="00504856">
        <w:rPr>
          <w:lang w:val="en-US"/>
        </w:rPr>
        <w:t> </w:t>
      </w:r>
      <w:r w:rsidR="00A607AD" w:rsidRPr="00EB734D">
        <w:rPr>
          <w:szCs w:val="28"/>
        </w:rPr>
        <w:t>15, Suppl. 2. P.</w:t>
      </w:r>
      <w:r w:rsidR="00504856" w:rsidRPr="00504856">
        <w:rPr>
          <w:szCs w:val="28"/>
          <w:lang w:val="en-US"/>
        </w:rPr>
        <w:t> </w:t>
      </w:r>
      <w:r w:rsidR="00A607AD" w:rsidRPr="00EB734D">
        <w:rPr>
          <w:szCs w:val="28"/>
        </w:rPr>
        <w:t>S1. DOI: http://dx.doi.org/10.1186/1471-2393-15-S2-S1 pmid: 26390820 (Las</w:t>
      </w:r>
      <w:r>
        <w:rPr>
          <w:szCs w:val="28"/>
        </w:rPr>
        <w:t>t accessed: 28.02.202</w:t>
      </w:r>
      <w:r w:rsidRPr="00C82F86">
        <w:rPr>
          <w:szCs w:val="28"/>
          <w:lang w:val="en-US"/>
        </w:rPr>
        <w:t>0</w:t>
      </w:r>
      <w:r w:rsidR="00A607AD" w:rsidRPr="00EB734D">
        <w:rPr>
          <w:szCs w:val="28"/>
        </w:rPr>
        <w:t>).</w:t>
      </w:r>
    </w:p>
    <w:p w:rsidR="00EB734D" w:rsidRDefault="00C82F86" w:rsidP="00EB734D">
      <w:pPr>
        <w:ind w:firstLine="709"/>
        <w:rPr>
          <w:szCs w:val="28"/>
          <w:lang w:val="en-US"/>
        </w:rPr>
      </w:pPr>
      <w:r>
        <w:rPr>
          <w:szCs w:val="28"/>
        </w:rPr>
        <w:t>284.</w:t>
      </w:r>
      <w:r w:rsidR="00A607AD" w:rsidRPr="00EB734D">
        <w:rPr>
          <w:szCs w:val="28"/>
        </w:rPr>
        <w:t xml:space="preserve"> Hulton L. A., Matthews Z., Stones R. W. A framework for the evaluation of quality of care in maternity services. Southampton: University of Southampton, 2000. 40 p. URL: http://eprints.soton.ac.uk/40965/1/12757_Matthews.pdf (Last accessed: 05.10.2020).</w:t>
      </w:r>
    </w:p>
    <w:p w:rsidR="00EB734D" w:rsidRDefault="008A0F29" w:rsidP="00EB734D">
      <w:pPr>
        <w:ind w:firstLine="709"/>
        <w:rPr>
          <w:szCs w:val="28"/>
          <w:lang w:val="en-US"/>
        </w:rPr>
      </w:pPr>
      <w:r>
        <w:rPr>
          <w:szCs w:val="28"/>
        </w:rPr>
        <w:t>285.</w:t>
      </w:r>
      <w:r w:rsidR="00A607AD" w:rsidRPr="00EB734D">
        <w:rPr>
          <w:szCs w:val="28"/>
        </w:rPr>
        <w:t xml:space="preserve"> What is quality in maternal and neonatal health care? / J. H. Raven et al. Midwifery. 2012. Vol.</w:t>
      </w:r>
      <w:r>
        <w:t> </w:t>
      </w:r>
      <w:r w:rsidR="00A607AD" w:rsidRPr="00EB734D">
        <w:rPr>
          <w:szCs w:val="28"/>
        </w:rPr>
        <w:t>28</w:t>
      </w:r>
      <w:r w:rsidRPr="00245598">
        <w:rPr>
          <w:szCs w:val="28"/>
          <w:lang w:val="en-US"/>
        </w:rPr>
        <w:t> </w:t>
      </w:r>
      <w:r w:rsidR="00A607AD" w:rsidRPr="00EB734D">
        <w:rPr>
          <w:szCs w:val="28"/>
        </w:rPr>
        <w:t>(5). P.</w:t>
      </w:r>
      <w:r w:rsidRPr="00245598">
        <w:rPr>
          <w:szCs w:val="28"/>
          <w:lang w:val="en-US"/>
        </w:rPr>
        <w:t> </w:t>
      </w:r>
      <w:r w:rsidR="00A607AD" w:rsidRPr="00EB734D">
        <w:rPr>
          <w:szCs w:val="28"/>
        </w:rPr>
        <w:t xml:space="preserve">e676–e683. DOI. http://dx.doi.org/10.1016/j.midw.2011.09.003 pmid: 22018395 (Last accessed: 28.02.2021). </w:t>
      </w:r>
    </w:p>
    <w:p w:rsidR="00EB734D" w:rsidRPr="008A0F29" w:rsidRDefault="008A0F29" w:rsidP="00EB734D">
      <w:pPr>
        <w:ind w:firstLine="709"/>
        <w:rPr>
          <w:szCs w:val="28"/>
          <w:lang w:val="ru-RU"/>
        </w:rPr>
      </w:pPr>
      <w:r>
        <w:rPr>
          <w:szCs w:val="28"/>
        </w:rPr>
        <w:lastRenderedPageBreak/>
        <w:t>286.</w:t>
      </w:r>
      <w:r w:rsidRPr="008A0F29">
        <w:rPr>
          <w:szCs w:val="28"/>
          <w:lang w:val="en-US"/>
        </w:rPr>
        <w:t xml:space="preserve"> </w:t>
      </w:r>
      <w:r w:rsidR="00A607AD" w:rsidRPr="00EB734D">
        <w:rPr>
          <w:szCs w:val="28"/>
        </w:rPr>
        <w:t xml:space="preserve">Моісеєнко Р. О. Оптимізація системи надання медичної допомоги дітям і матерям в Україні:реалії і перспективи: монографія. </w:t>
      </w:r>
      <w:r w:rsidR="00A607AD" w:rsidRPr="00EB734D">
        <w:rPr>
          <w:szCs w:val="28"/>
          <w:lang w:val="ru-RU"/>
        </w:rPr>
        <w:t>Київ</w:t>
      </w:r>
      <w:r w:rsidR="00A607AD" w:rsidRPr="008A0F29">
        <w:rPr>
          <w:szCs w:val="28"/>
          <w:lang w:val="ru-RU"/>
        </w:rPr>
        <w:t xml:space="preserve">: </w:t>
      </w:r>
      <w:r w:rsidR="00A607AD" w:rsidRPr="00EB734D">
        <w:rPr>
          <w:szCs w:val="28"/>
          <w:lang w:val="ru-RU"/>
        </w:rPr>
        <w:t>Логос</w:t>
      </w:r>
      <w:r w:rsidR="00A607AD" w:rsidRPr="008A0F29">
        <w:rPr>
          <w:szCs w:val="28"/>
          <w:lang w:val="ru-RU"/>
        </w:rPr>
        <w:t xml:space="preserve">, 2013. 232 </w:t>
      </w:r>
      <w:r w:rsidR="00A607AD" w:rsidRPr="00EB734D">
        <w:rPr>
          <w:szCs w:val="28"/>
          <w:lang w:val="ru-RU"/>
        </w:rPr>
        <w:t>с</w:t>
      </w:r>
      <w:r w:rsidR="00A607AD" w:rsidRPr="008A0F29">
        <w:rPr>
          <w:szCs w:val="28"/>
          <w:lang w:val="ru-RU"/>
        </w:rPr>
        <w:t>.</w:t>
      </w:r>
    </w:p>
    <w:p w:rsidR="00EB734D" w:rsidRPr="008A0F29" w:rsidRDefault="008A0F29" w:rsidP="00EB734D">
      <w:pPr>
        <w:ind w:firstLine="709"/>
        <w:rPr>
          <w:szCs w:val="28"/>
          <w:lang w:val="ru-RU"/>
        </w:rPr>
      </w:pPr>
      <w:r>
        <w:rPr>
          <w:szCs w:val="28"/>
          <w:lang w:val="ru-RU"/>
        </w:rPr>
        <w:t xml:space="preserve">287. </w:t>
      </w:r>
      <w:r w:rsidR="00A607AD" w:rsidRPr="00EB734D">
        <w:rPr>
          <w:szCs w:val="28"/>
          <w:lang w:val="ru-RU"/>
        </w:rPr>
        <w:t>Стратулат П. М. Куртяну А. М., Карауш Т. Н. Региональная система оказания перинатальных и неонатальных медицинских услуг в республике Молдова. Современная медицина: тенденции развития: материалы Междунар. заочной науч.-практ. конф (Новосибирск, 30 янв. 2012 г.). Новосибирск: ЭКОР-КНИГА, 2012. С. 109–117.</w:t>
      </w:r>
    </w:p>
    <w:p w:rsidR="00EB734D" w:rsidRPr="008A0F29" w:rsidRDefault="008A0F29" w:rsidP="00EB734D">
      <w:pPr>
        <w:ind w:firstLine="709"/>
        <w:rPr>
          <w:szCs w:val="28"/>
          <w:lang w:val="ru-RU"/>
        </w:rPr>
      </w:pPr>
      <w:r w:rsidRPr="008A0F29">
        <w:rPr>
          <w:szCs w:val="28"/>
          <w:lang w:val="ru-RU"/>
        </w:rPr>
        <w:t>288.</w:t>
      </w:r>
      <w:r>
        <w:rPr>
          <w:szCs w:val="28"/>
          <w:lang w:val="ru-RU"/>
        </w:rPr>
        <w:t xml:space="preserve"> </w:t>
      </w:r>
      <w:r w:rsidR="00A607AD" w:rsidRPr="00EB734D">
        <w:rPr>
          <w:szCs w:val="28"/>
          <w:lang w:val="ru-RU"/>
        </w:rPr>
        <w:t>Терещенко</w:t>
      </w:r>
      <w:r w:rsidR="00A607AD" w:rsidRPr="008A0F29">
        <w:rPr>
          <w:szCs w:val="28"/>
          <w:lang w:val="ru-RU"/>
        </w:rPr>
        <w:t xml:space="preserve"> </w:t>
      </w:r>
      <w:r w:rsidR="00A607AD" w:rsidRPr="00EB734D">
        <w:rPr>
          <w:szCs w:val="28"/>
          <w:lang w:val="ru-RU"/>
        </w:rPr>
        <w:t>А</w:t>
      </w:r>
      <w:r w:rsidR="00A607AD" w:rsidRPr="008A0F29">
        <w:rPr>
          <w:szCs w:val="28"/>
          <w:lang w:val="ru-RU"/>
        </w:rPr>
        <w:t xml:space="preserve">. </w:t>
      </w:r>
      <w:r w:rsidR="00A607AD" w:rsidRPr="00EB734D">
        <w:rPr>
          <w:szCs w:val="28"/>
          <w:lang w:val="ru-RU"/>
        </w:rPr>
        <w:t>В</w:t>
      </w:r>
      <w:r w:rsidR="00A607AD" w:rsidRPr="008A0F29">
        <w:rPr>
          <w:szCs w:val="28"/>
          <w:lang w:val="ru-RU"/>
        </w:rPr>
        <w:t xml:space="preserve">., </w:t>
      </w:r>
      <w:r w:rsidR="00A607AD" w:rsidRPr="00EB734D">
        <w:rPr>
          <w:szCs w:val="28"/>
          <w:lang w:val="ru-RU"/>
        </w:rPr>
        <w:t>Дудіна</w:t>
      </w:r>
      <w:r w:rsidR="00A607AD" w:rsidRPr="008A0F29">
        <w:rPr>
          <w:szCs w:val="28"/>
          <w:lang w:val="ru-RU"/>
        </w:rPr>
        <w:t xml:space="preserve"> </w:t>
      </w:r>
      <w:r w:rsidR="00A607AD" w:rsidRPr="00EB734D">
        <w:rPr>
          <w:szCs w:val="28"/>
          <w:lang w:val="ru-RU"/>
        </w:rPr>
        <w:t>О</w:t>
      </w:r>
      <w:r w:rsidR="00A607AD" w:rsidRPr="008A0F29">
        <w:rPr>
          <w:szCs w:val="28"/>
          <w:lang w:val="ru-RU"/>
        </w:rPr>
        <w:t xml:space="preserve">. </w:t>
      </w:r>
      <w:r w:rsidR="00A607AD" w:rsidRPr="00EB734D">
        <w:rPr>
          <w:szCs w:val="28"/>
          <w:lang w:val="ru-RU"/>
        </w:rPr>
        <w:t>О</w:t>
      </w:r>
      <w:r w:rsidR="00A607AD" w:rsidRPr="008A0F29">
        <w:rPr>
          <w:szCs w:val="28"/>
          <w:lang w:val="ru-RU"/>
        </w:rPr>
        <w:t xml:space="preserve">., </w:t>
      </w:r>
      <w:r w:rsidR="00A607AD" w:rsidRPr="00EB734D">
        <w:rPr>
          <w:szCs w:val="28"/>
          <w:lang w:val="ru-RU"/>
        </w:rPr>
        <w:t>Моісеєнко</w:t>
      </w:r>
      <w:r w:rsidR="00A607AD" w:rsidRPr="008A0F29">
        <w:rPr>
          <w:szCs w:val="28"/>
          <w:lang w:val="ru-RU"/>
        </w:rPr>
        <w:t xml:space="preserve"> </w:t>
      </w:r>
      <w:r w:rsidR="00A607AD" w:rsidRPr="00EB734D">
        <w:rPr>
          <w:szCs w:val="28"/>
          <w:lang w:val="ru-RU"/>
        </w:rPr>
        <w:t>Р</w:t>
      </w:r>
      <w:r w:rsidR="00A607AD" w:rsidRPr="008A0F29">
        <w:rPr>
          <w:szCs w:val="28"/>
          <w:lang w:val="ru-RU"/>
        </w:rPr>
        <w:t xml:space="preserve">. </w:t>
      </w:r>
      <w:r w:rsidR="00A607AD" w:rsidRPr="00EB734D">
        <w:rPr>
          <w:szCs w:val="28"/>
          <w:lang w:val="ru-RU"/>
        </w:rPr>
        <w:t>О</w:t>
      </w:r>
      <w:r w:rsidR="00A607AD" w:rsidRPr="008A0F29">
        <w:rPr>
          <w:szCs w:val="28"/>
          <w:lang w:val="ru-RU"/>
        </w:rPr>
        <w:t xml:space="preserve">. </w:t>
      </w:r>
      <w:r w:rsidR="00A607AD" w:rsidRPr="00EB734D">
        <w:rPr>
          <w:szCs w:val="28"/>
          <w:lang w:val="ru-RU"/>
        </w:rPr>
        <w:t>Аналіз</w:t>
      </w:r>
      <w:r w:rsidR="00A607AD" w:rsidRPr="008A0F29">
        <w:rPr>
          <w:szCs w:val="28"/>
          <w:lang w:val="ru-RU"/>
        </w:rPr>
        <w:t xml:space="preserve"> </w:t>
      </w:r>
      <w:r w:rsidR="00A607AD" w:rsidRPr="00EB734D">
        <w:rPr>
          <w:szCs w:val="28"/>
          <w:lang w:val="ru-RU"/>
        </w:rPr>
        <w:t>міжнародного</w:t>
      </w:r>
      <w:r w:rsidR="00A607AD" w:rsidRPr="008A0F29">
        <w:rPr>
          <w:szCs w:val="28"/>
          <w:lang w:val="ru-RU"/>
        </w:rPr>
        <w:t xml:space="preserve"> </w:t>
      </w:r>
      <w:r w:rsidR="00A607AD" w:rsidRPr="00EB734D">
        <w:rPr>
          <w:szCs w:val="28"/>
          <w:lang w:val="ru-RU"/>
        </w:rPr>
        <w:t>і</w:t>
      </w:r>
      <w:r w:rsidR="00A607AD" w:rsidRPr="008A0F29">
        <w:rPr>
          <w:szCs w:val="28"/>
          <w:lang w:val="ru-RU"/>
        </w:rPr>
        <w:t xml:space="preserve"> </w:t>
      </w:r>
      <w:r w:rsidR="00A607AD" w:rsidRPr="00EB734D">
        <w:rPr>
          <w:szCs w:val="28"/>
          <w:lang w:val="ru-RU"/>
        </w:rPr>
        <w:t>вітчизняного</w:t>
      </w:r>
      <w:r w:rsidR="00A607AD" w:rsidRPr="008A0F29">
        <w:rPr>
          <w:szCs w:val="28"/>
          <w:lang w:val="ru-RU"/>
        </w:rPr>
        <w:t xml:space="preserve"> </w:t>
      </w:r>
      <w:r w:rsidR="00A607AD" w:rsidRPr="00EB734D">
        <w:rPr>
          <w:szCs w:val="28"/>
          <w:lang w:val="ru-RU"/>
        </w:rPr>
        <w:t>досвіду</w:t>
      </w:r>
      <w:r w:rsidR="00A607AD" w:rsidRPr="008A0F29">
        <w:rPr>
          <w:szCs w:val="28"/>
          <w:lang w:val="ru-RU"/>
        </w:rPr>
        <w:t xml:space="preserve"> </w:t>
      </w:r>
      <w:r w:rsidR="00A607AD" w:rsidRPr="00EB734D">
        <w:rPr>
          <w:szCs w:val="28"/>
          <w:lang w:val="ru-RU"/>
        </w:rPr>
        <w:t>регіоналізації</w:t>
      </w:r>
      <w:r w:rsidR="00A607AD" w:rsidRPr="008A0F29">
        <w:rPr>
          <w:szCs w:val="28"/>
          <w:lang w:val="ru-RU"/>
        </w:rPr>
        <w:t xml:space="preserve"> </w:t>
      </w:r>
      <w:r w:rsidR="00A607AD" w:rsidRPr="00EB734D">
        <w:rPr>
          <w:szCs w:val="28"/>
          <w:lang w:val="ru-RU"/>
        </w:rPr>
        <w:t>перинатальної</w:t>
      </w:r>
      <w:r w:rsidR="00A607AD" w:rsidRPr="008A0F29">
        <w:rPr>
          <w:szCs w:val="28"/>
          <w:lang w:val="ru-RU"/>
        </w:rPr>
        <w:t xml:space="preserve"> </w:t>
      </w:r>
      <w:r w:rsidR="00A607AD" w:rsidRPr="00EB734D">
        <w:rPr>
          <w:szCs w:val="28"/>
          <w:lang w:val="ru-RU"/>
        </w:rPr>
        <w:t>допомоги</w:t>
      </w:r>
      <w:r w:rsidR="00A607AD" w:rsidRPr="008A0F29">
        <w:rPr>
          <w:szCs w:val="28"/>
          <w:lang w:val="ru-RU"/>
        </w:rPr>
        <w:t xml:space="preserve">: </w:t>
      </w:r>
      <w:r w:rsidR="00A607AD" w:rsidRPr="00EB734D">
        <w:rPr>
          <w:szCs w:val="28"/>
          <w:lang w:val="ru-RU"/>
        </w:rPr>
        <w:t>огляд</w:t>
      </w:r>
      <w:r w:rsidR="00A607AD" w:rsidRPr="008A0F29">
        <w:rPr>
          <w:szCs w:val="28"/>
          <w:lang w:val="ru-RU"/>
        </w:rPr>
        <w:t xml:space="preserve"> </w:t>
      </w:r>
      <w:r w:rsidR="00A607AD" w:rsidRPr="00EB734D">
        <w:rPr>
          <w:szCs w:val="28"/>
          <w:lang w:val="ru-RU"/>
        </w:rPr>
        <w:t>літератури</w:t>
      </w:r>
      <w:r w:rsidR="00A607AD" w:rsidRPr="008A0F29">
        <w:rPr>
          <w:szCs w:val="28"/>
          <w:lang w:val="ru-RU"/>
        </w:rPr>
        <w:t xml:space="preserve">. </w:t>
      </w:r>
      <w:r w:rsidR="00A607AD" w:rsidRPr="00EB734D">
        <w:rPr>
          <w:szCs w:val="28"/>
          <w:lang w:val="ru-RU"/>
        </w:rPr>
        <w:t>Здоровье</w:t>
      </w:r>
      <w:r w:rsidR="00A607AD" w:rsidRPr="008A0F29">
        <w:rPr>
          <w:szCs w:val="28"/>
          <w:lang w:val="ru-RU"/>
        </w:rPr>
        <w:t xml:space="preserve"> </w:t>
      </w:r>
      <w:r w:rsidR="00A607AD" w:rsidRPr="00EB734D">
        <w:rPr>
          <w:szCs w:val="28"/>
          <w:lang w:val="ru-RU"/>
        </w:rPr>
        <w:t>женщины</w:t>
      </w:r>
      <w:r w:rsidR="00A607AD" w:rsidRPr="008A0F29">
        <w:rPr>
          <w:szCs w:val="28"/>
          <w:lang w:val="ru-RU"/>
        </w:rPr>
        <w:t xml:space="preserve">. 2014. № 7 (93). </w:t>
      </w:r>
      <w:r w:rsidR="00A607AD" w:rsidRPr="00EB734D">
        <w:rPr>
          <w:szCs w:val="28"/>
          <w:lang w:val="ru-RU"/>
        </w:rPr>
        <w:t>С</w:t>
      </w:r>
      <w:r w:rsidR="00A607AD" w:rsidRPr="008A0F29">
        <w:rPr>
          <w:szCs w:val="28"/>
          <w:lang w:val="ru-RU"/>
        </w:rPr>
        <w:t>. 37–45.</w:t>
      </w:r>
    </w:p>
    <w:p w:rsidR="00673101" w:rsidRPr="00673101" w:rsidRDefault="008A0F29" w:rsidP="00673101">
      <w:pPr>
        <w:ind w:firstLine="709"/>
        <w:rPr>
          <w:szCs w:val="28"/>
          <w:lang w:val="ru-RU"/>
        </w:rPr>
      </w:pPr>
      <w:r w:rsidRPr="00673101">
        <w:rPr>
          <w:szCs w:val="28"/>
          <w:lang w:val="ru-RU"/>
        </w:rPr>
        <w:t xml:space="preserve">289. </w:t>
      </w:r>
      <w:r w:rsidR="00673101" w:rsidRPr="00673101">
        <w:rPr>
          <w:szCs w:val="28"/>
          <w:lang w:val="ru-RU"/>
        </w:rPr>
        <w:t xml:space="preserve">Габорець Ю. Ю., Дудіна О. О. До забезпечення права на життя новонароджених недоношених дітей в Україні. </w:t>
      </w:r>
      <w:r w:rsidR="00673101" w:rsidRPr="00673101">
        <w:rPr>
          <w:i/>
          <w:szCs w:val="28"/>
          <w:lang w:val="ru-RU"/>
        </w:rPr>
        <w:t>Україна. Здоров'я нації</w:t>
      </w:r>
      <w:r w:rsidR="00673101" w:rsidRPr="00673101">
        <w:rPr>
          <w:szCs w:val="28"/>
          <w:lang w:val="ru-RU"/>
        </w:rPr>
        <w:t xml:space="preserve">. 2017. № 1. С. 103–110. </w:t>
      </w:r>
      <w:r w:rsidR="00673101" w:rsidRPr="00673101">
        <w:rPr>
          <w:szCs w:val="28"/>
          <w:lang w:val="en-US"/>
        </w:rPr>
        <w:t>URL</w:t>
      </w:r>
      <w:r w:rsidR="00673101" w:rsidRPr="00673101">
        <w:rPr>
          <w:szCs w:val="28"/>
          <w:lang w:val="ru-RU"/>
        </w:rPr>
        <w:t xml:space="preserve">: </w:t>
      </w:r>
      <w:hyperlink r:id="rId70" w:history="1">
        <w:r w:rsidR="00673101" w:rsidRPr="00673101">
          <w:rPr>
            <w:rStyle w:val="af7"/>
            <w:color w:val="auto"/>
            <w:szCs w:val="28"/>
            <w:u w:val="none"/>
            <w:lang w:val="en-US"/>
          </w:rPr>
          <w:t>http</w:t>
        </w:r>
        <w:r w:rsidR="00673101" w:rsidRPr="00673101">
          <w:rPr>
            <w:rStyle w:val="af7"/>
            <w:color w:val="auto"/>
            <w:szCs w:val="28"/>
            <w:u w:val="none"/>
            <w:lang w:val="ru-RU"/>
          </w:rPr>
          <w:t>://</w:t>
        </w:r>
        <w:r w:rsidR="00673101" w:rsidRPr="00673101">
          <w:rPr>
            <w:rStyle w:val="af7"/>
            <w:color w:val="auto"/>
            <w:szCs w:val="28"/>
            <w:u w:val="none"/>
            <w:lang w:val="en-US"/>
          </w:rPr>
          <w:t>nbuv</w:t>
        </w:r>
        <w:r w:rsidR="00673101" w:rsidRPr="00673101">
          <w:rPr>
            <w:rStyle w:val="af7"/>
            <w:color w:val="auto"/>
            <w:szCs w:val="28"/>
            <w:u w:val="none"/>
            <w:lang w:val="ru-RU"/>
          </w:rPr>
          <w:t>.</w:t>
        </w:r>
        <w:r w:rsidR="00673101" w:rsidRPr="00673101">
          <w:rPr>
            <w:rStyle w:val="af7"/>
            <w:color w:val="auto"/>
            <w:szCs w:val="28"/>
            <w:u w:val="none"/>
            <w:lang w:val="en-US"/>
          </w:rPr>
          <w:t>gov</w:t>
        </w:r>
        <w:r w:rsidR="00673101" w:rsidRPr="00673101">
          <w:rPr>
            <w:rStyle w:val="af7"/>
            <w:color w:val="auto"/>
            <w:szCs w:val="28"/>
            <w:u w:val="none"/>
            <w:lang w:val="ru-RU"/>
          </w:rPr>
          <w:t>.</w:t>
        </w:r>
        <w:r w:rsidR="00673101" w:rsidRPr="00673101">
          <w:rPr>
            <w:rStyle w:val="af7"/>
            <w:color w:val="auto"/>
            <w:szCs w:val="28"/>
            <w:u w:val="none"/>
            <w:lang w:val="en-US"/>
          </w:rPr>
          <w:t>ua</w:t>
        </w:r>
        <w:r w:rsidR="00673101" w:rsidRPr="00673101">
          <w:rPr>
            <w:rStyle w:val="af7"/>
            <w:color w:val="auto"/>
            <w:szCs w:val="28"/>
            <w:u w:val="none"/>
            <w:lang w:val="ru-RU"/>
          </w:rPr>
          <w:t>/</w:t>
        </w:r>
        <w:r w:rsidR="00673101" w:rsidRPr="00673101">
          <w:rPr>
            <w:rStyle w:val="af7"/>
            <w:color w:val="auto"/>
            <w:szCs w:val="28"/>
            <w:u w:val="none"/>
            <w:lang w:val="en-US"/>
          </w:rPr>
          <w:t>UJRN</w:t>
        </w:r>
        <w:r w:rsidR="00673101" w:rsidRPr="00673101">
          <w:rPr>
            <w:rStyle w:val="af7"/>
            <w:color w:val="auto"/>
            <w:szCs w:val="28"/>
            <w:u w:val="none"/>
            <w:lang w:val="ru-RU"/>
          </w:rPr>
          <w:t>/</w:t>
        </w:r>
        <w:r w:rsidR="00673101" w:rsidRPr="00673101">
          <w:rPr>
            <w:rStyle w:val="af7"/>
            <w:color w:val="auto"/>
            <w:szCs w:val="28"/>
            <w:u w:val="none"/>
            <w:lang w:val="en-US"/>
          </w:rPr>
          <w:t>Uzn</w:t>
        </w:r>
        <w:r w:rsidR="00673101" w:rsidRPr="00673101">
          <w:rPr>
            <w:rStyle w:val="af7"/>
            <w:color w:val="auto"/>
            <w:szCs w:val="28"/>
            <w:u w:val="none"/>
            <w:lang w:val="ru-RU"/>
          </w:rPr>
          <w:t>_2017_1_18</w:t>
        </w:r>
      </w:hyperlink>
      <w:r w:rsidR="00673101" w:rsidRPr="00673101">
        <w:rPr>
          <w:szCs w:val="28"/>
          <w:lang w:val="ru-RU"/>
        </w:rPr>
        <w:t xml:space="preserve"> </w:t>
      </w:r>
      <w:r w:rsidR="00673101" w:rsidRPr="00673101">
        <w:rPr>
          <w:szCs w:val="28"/>
        </w:rPr>
        <w:t>(дата звернення: 0</w:t>
      </w:r>
      <w:r w:rsidR="00673101" w:rsidRPr="00673101">
        <w:rPr>
          <w:szCs w:val="28"/>
          <w:lang w:val="ru-RU"/>
        </w:rPr>
        <w:t>3</w:t>
      </w:r>
      <w:r w:rsidR="00673101" w:rsidRPr="00673101">
        <w:rPr>
          <w:szCs w:val="28"/>
        </w:rPr>
        <w:t>.0</w:t>
      </w:r>
      <w:r w:rsidR="00673101" w:rsidRPr="00673101">
        <w:rPr>
          <w:szCs w:val="28"/>
          <w:lang w:val="ru-RU"/>
        </w:rPr>
        <w:t>4</w:t>
      </w:r>
      <w:r w:rsidR="00673101" w:rsidRPr="00673101">
        <w:rPr>
          <w:szCs w:val="28"/>
        </w:rPr>
        <w:t>.202</w:t>
      </w:r>
      <w:r w:rsidR="00673101" w:rsidRPr="00673101">
        <w:rPr>
          <w:szCs w:val="28"/>
          <w:lang w:val="ru-RU"/>
        </w:rPr>
        <w:t>0</w:t>
      </w:r>
      <w:r w:rsidR="00673101" w:rsidRPr="00673101">
        <w:rPr>
          <w:szCs w:val="28"/>
        </w:rPr>
        <w:t>).</w:t>
      </w:r>
    </w:p>
    <w:p w:rsidR="00FC2E5F" w:rsidRPr="00B958D8" w:rsidRDefault="00E32C48" w:rsidP="00FC2E5F">
      <w:pPr>
        <w:ind w:firstLine="709"/>
        <w:rPr>
          <w:szCs w:val="28"/>
          <w:lang w:val="ru-RU"/>
        </w:rPr>
      </w:pPr>
      <w:r>
        <w:rPr>
          <w:szCs w:val="28"/>
          <w:lang w:val="ru-RU"/>
        </w:rPr>
        <w:t xml:space="preserve">290. </w:t>
      </w:r>
      <w:r w:rsidR="00A607AD" w:rsidRPr="00EB734D">
        <w:rPr>
          <w:szCs w:val="28"/>
          <w:lang w:val="ru-RU"/>
        </w:rPr>
        <w:t xml:space="preserve">Марушко Р. В., Дудіна О. О. Сучасні аспекти перинатальної смертності в Україні. Український журнал Перинатологія і Педіатрія. 2020. № 2 (82). С. 76–85. </w:t>
      </w:r>
      <w:r w:rsidR="00A607AD" w:rsidRPr="00EB734D">
        <w:rPr>
          <w:szCs w:val="28"/>
        </w:rPr>
        <w:t>DOI</w:t>
      </w:r>
      <w:r w:rsidR="00A607AD" w:rsidRPr="00EB734D">
        <w:rPr>
          <w:szCs w:val="28"/>
          <w:lang w:val="ru-RU"/>
        </w:rPr>
        <w:t xml:space="preserve"> 10.15574/</w:t>
      </w:r>
      <w:r w:rsidR="00A607AD" w:rsidRPr="00EB734D">
        <w:rPr>
          <w:szCs w:val="28"/>
        </w:rPr>
        <w:t>PP</w:t>
      </w:r>
      <w:r>
        <w:rPr>
          <w:szCs w:val="28"/>
          <w:lang w:val="ru-RU"/>
        </w:rPr>
        <w:t>.2020.82.76. (дата звернення: 12.10.2020</w:t>
      </w:r>
      <w:r w:rsidR="00A607AD" w:rsidRPr="00EB734D">
        <w:rPr>
          <w:szCs w:val="28"/>
          <w:lang w:val="ru-RU"/>
        </w:rPr>
        <w:t>).</w:t>
      </w:r>
    </w:p>
    <w:p w:rsidR="00FC2E5F" w:rsidRPr="007D1BCD" w:rsidRDefault="00E32C48" w:rsidP="007D1BCD">
      <w:pPr>
        <w:ind w:firstLine="709"/>
        <w:rPr>
          <w:color w:val="FF0000"/>
          <w:szCs w:val="28"/>
          <w:lang w:val="ru-RU"/>
        </w:rPr>
      </w:pPr>
      <w:r>
        <w:rPr>
          <w:szCs w:val="28"/>
          <w:lang w:val="ru-RU"/>
        </w:rPr>
        <w:t xml:space="preserve">291. </w:t>
      </w:r>
      <w:r w:rsidR="007D1BCD" w:rsidRPr="007D1BCD">
        <w:rPr>
          <w:szCs w:val="28"/>
          <w:lang w:val="ru-RU"/>
        </w:rPr>
        <w:t xml:space="preserve">Ковальова О. М. Якість надання медичної допомоги новонародженим та її моніторинг у перинатальних центрах України третього рівня. </w:t>
      </w:r>
      <w:r w:rsidR="007D1BCD" w:rsidRPr="007D1BCD">
        <w:rPr>
          <w:i/>
          <w:szCs w:val="28"/>
          <w:lang w:val="ru-RU"/>
        </w:rPr>
        <w:t>Вісник проблем біології і медицини</w:t>
      </w:r>
      <w:r w:rsidR="007D1BCD" w:rsidRPr="007D1BCD">
        <w:rPr>
          <w:szCs w:val="28"/>
          <w:lang w:val="ru-RU"/>
        </w:rPr>
        <w:t>.</w:t>
      </w:r>
      <w:r w:rsidR="00F112B6">
        <w:rPr>
          <w:szCs w:val="28"/>
          <w:lang w:val="ru-RU"/>
        </w:rPr>
        <w:t xml:space="preserve"> </w:t>
      </w:r>
      <w:r w:rsidR="007D1BCD" w:rsidRPr="007D1BCD">
        <w:rPr>
          <w:szCs w:val="28"/>
          <w:lang w:val="ru-RU"/>
        </w:rPr>
        <w:t>2012 Вип.</w:t>
      </w:r>
      <w:r w:rsidR="00F112B6">
        <w:rPr>
          <w:lang w:val="ru-RU"/>
        </w:rPr>
        <w:t> </w:t>
      </w:r>
      <w:r w:rsidR="007D1BCD" w:rsidRPr="007D1BCD">
        <w:rPr>
          <w:szCs w:val="28"/>
          <w:lang w:val="ru-RU"/>
        </w:rPr>
        <w:t>3, т.</w:t>
      </w:r>
      <w:r w:rsidR="00F112B6">
        <w:rPr>
          <w:szCs w:val="28"/>
          <w:lang w:val="ru-RU"/>
        </w:rPr>
        <w:t> </w:t>
      </w:r>
      <w:r w:rsidR="007D1BCD" w:rsidRPr="007D1BCD">
        <w:rPr>
          <w:szCs w:val="28"/>
          <w:lang w:val="ru-RU"/>
        </w:rPr>
        <w:t>2</w:t>
      </w:r>
      <w:r w:rsidR="00F112B6">
        <w:rPr>
          <w:lang w:val="ru-RU"/>
        </w:rPr>
        <w:t> </w:t>
      </w:r>
      <w:r w:rsidR="007D1BCD" w:rsidRPr="007D1BCD">
        <w:rPr>
          <w:szCs w:val="28"/>
          <w:lang w:val="ru-RU"/>
        </w:rPr>
        <w:t>(95). С.</w:t>
      </w:r>
      <w:r w:rsidR="00F112B6">
        <w:rPr>
          <w:szCs w:val="28"/>
          <w:lang w:val="ru-RU"/>
        </w:rPr>
        <w:t> </w:t>
      </w:r>
      <w:r w:rsidR="007D1BCD" w:rsidRPr="007D1BCD">
        <w:rPr>
          <w:szCs w:val="28"/>
          <w:lang w:val="ru-RU"/>
        </w:rPr>
        <w:t xml:space="preserve">16–20. </w:t>
      </w:r>
      <w:r w:rsidR="007D1BCD" w:rsidRPr="007D1BCD">
        <w:rPr>
          <w:szCs w:val="28"/>
          <w:lang w:val="en-US"/>
        </w:rPr>
        <w:t>URL</w:t>
      </w:r>
      <w:r w:rsidR="007D1BCD" w:rsidRPr="007D1BCD">
        <w:rPr>
          <w:szCs w:val="28"/>
          <w:lang w:val="ru-RU"/>
        </w:rPr>
        <w:t xml:space="preserve">: </w:t>
      </w:r>
      <w:hyperlink r:id="rId71" w:history="1">
        <w:r w:rsidR="007D1BCD" w:rsidRPr="007D1BCD">
          <w:rPr>
            <w:rStyle w:val="af7"/>
            <w:color w:val="auto"/>
            <w:szCs w:val="28"/>
            <w:u w:val="none"/>
            <w:lang w:val="en-US"/>
          </w:rPr>
          <w:t>http</w:t>
        </w:r>
        <w:r w:rsidR="007D1BCD" w:rsidRPr="007D1BCD">
          <w:rPr>
            <w:rStyle w:val="af7"/>
            <w:color w:val="auto"/>
            <w:szCs w:val="28"/>
            <w:u w:val="none"/>
            <w:lang w:val="ru-RU"/>
          </w:rPr>
          <w:t>://</w:t>
        </w:r>
        <w:r w:rsidR="007D1BCD" w:rsidRPr="007D1BCD">
          <w:rPr>
            <w:rStyle w:val="af7"/>
            <w:color w:val="auto"/>
            <w:szCs w:val="28"/>
            <w:u w:val="none"/>
            <w:lang w:val="en-US"/>
          </w:rPr>
          <w:t>elib</w:t>
        </w:r>
        <w:r w:rsidR="007D1BCD" w:rsidRPr="007D1BCD">
          <w:rPr>
            <w:rStyle w:val="af7"/>
            <w:color w:val="auto"/>
            <w:szCs w:val="28"/>
            <w:u w:val="none"/>
            <w:lang w:val="ru-RU"/>
          </w:rPr>
          <w:t>.</w:t>
        </w:r>
        <w:r w:rsidR="007D1BCD" w:rsidRPr="007D1BCD">
          <w:rPr>
            <w:rStyle w:val="af7"/>
            <w:color w:val="auto"/>
            <w:szCs w:val="28"/>
            <w:u w:val="none"/>
            <w:lang w:val="en-US"/>
          </w:rPr>
          <w:t>umsa</w:t>
        </w:r>
        <w:r w:rsidR="007D1BCD" w:rsidRPr="007D1BCD">
          <w:rPr>
            <w:rStyle w:val="af7"/>
            <w:color w:val="auto"/>
            <w:szCs w:val="28"/>
            <w:u w:val="none"/>
            <w:lang w:val="ru-RU"/>
          </w:rPr>
          <w:t>.</w:t>
        </w:r>
        <w:r w:rsidR="007D1BCD" w:rsidRPr="007D1BCD">
          <w:rPr>
            <w:rStyle w:val="af7"/>
            <w:color w:val="auto"/>
            <w:szCs w:val="28"/>
            <w:u w:val="none"/>
            <w:lang w:val="en-US"/>
          </w:rPr>
          <w:t>edu</w:t>
        </w:r>
        <w:r w:rsidR="007D1BCD" w:rsidRPr="007D1BCD">
          <w:rPr>
            <w:rStyle w:val="af7"/>
            <w:color w:val="auto"/>
            <w:szCs w:val="28"/>
            <w:u w:val="none"/>
            <w:lang w:val="ru-RU"/>
          </w:rPr>
          <w:t>.</w:t>
        </w:r>
        <w:r w:rsidR="007D1BCD" w:rsidRPr="007D1BCD">
          <w:rPr>
            <w:rStyle w:val="af7"/>
            <w:color w:val="auto"/>
            <w:szCs w:val="28"/>
            <w:u w:val="none"/>
            <w:lang w:val="en-US"/>
          </w:rPr>
          <w:t>ua</w:t>
        </w:r>
        <w:r w:rsidR="007D1BCD" w:rsidRPr="007D1BCD">
          <w:rPr>
            <w:rStyle w:val="af7"/>
            <w:color w:val="auto"/>
            <w:szCs w:val="28"/>
            <w:u w:val="none"/>
            <w:lang w:val="ru-RU"/>
          </w:rPr>
          <w:t>:8080/</w:t>
        </w:r>
        <w:r w:rsidR="007D1BCD" w:rsidRPr="007D1BCD">
          <w:rPr>
            <w:rStyle w:val="af7"/>
            <w:color w:val="auto"/>
            <w:szCs w:val="28"/>
            <w:u w:val="none"/>
            <w:lang w:val="en-US"/>
          </w:rPr>
          <w:t>bitstream</w:t>
        </w:r>
        <w:r w:rsidR="007D1BCD" w:rsidRPr="007D1BCD">
          <w:rPr>
            <w:rStyle w:val="af7"/>
            <w:color w:val="auto"/>
            <w:szCs w:val="28"/>
            <w:u w:val="none"/>
            <w:lang w:val="ru-RU"/>
          </w:rPr>
          <w:t>/</w:t>
        </w:r>
        <w:r w:rsidR="007D1BCD" w:rsidRPr="007D1BCD">
          <w:rPr>
            <w:rStyle w:val="af7"/>
            <w:color w:val="auto"/>
            <w:szCs w:val="28"/>
            <w:u w:val="none"/>
            <w:lang w:val="en-US"/>
          </w:rPr>
          <w:t>umsa</w:t>
        </w:r>
        <w:r w:rsidR="007D1BCD" w:rsidRPr="007D1BCD">
          <w:rPr>
            <w:rStyle w:val="af7"/>
            <w:color w:val="auto"/>
            <w:szCs w:val="28"/>
            <w:u w:val="none"/>
            <w:lang w:val="ru-RU"/>
          </w:rPr>
          <w:t>/5260/1/</w:t>
        </w:r>
        <w:r w:rsidR="007D1BCD" w:rsidRPr="007D1BCD">
          <w:rPr>
            <w:rStyle w:val="af7"/>
            <w:color w:val="auto"/>
            <w:szCs w:val="28"/>
            <w:u w:val="none"/>
            <w:lang w:val="en-US"/>
          </w:rPr>
          <w:t>kachestvo</w:t>
        </w:r>
        <w:r w:rsidR="007D1BCD" w:rsidRPr="007D1BCD">
          <w:rPr>
            <w:rStyle w:val="af7"/>
            <w:color w:val="auto"/>
            <w:szCs w:val="28"/>
            <w:u w:val="none"/>
            <w:lang w:val="ru-RU"/>
          </w:rPr>
          <w:t>_</w:t>
        </w:r>
        <w:r w:rsidR="007D1BCD" w:rsidRPr="007D1BCD">
          <w:rPr>
            <w:rStyle w:val="af7"/>
            <w:color w:val="auto"/>
            <w:szCs w:val="28"/>
            <w:u w:val="none"/>
            <w:lang w:val="en-US"/>
          </w:rPr>
          <w:t>okazaniya</w:t>
        </w:r>
        <w:r w:rsidR="007D1BCD" w:rsidRPr="007D1BCD">
          <w:rPr>
            <w:rStyle w:val="af7"/>
            <w:color w:val="auto"/>
            <w:szCs w:val="28"/>
            <w:u w:val="none"/>
            <w:lang w:val="ru-RU"/>
          </w:rPr>
          <w:t>_</w:t>
        </w:r>
        <w:r w:rsidR="007D1BCD" w:rsidRPr="007D1BCD">
          <w:rPr>
            <w:rStyle w:val="af7"/>
            <w:color w:val="auto"/>
            <w:szCs w:val="28"/>
            <w:u w:val="none"/>
            <w:lang w:val="en-US"/>
          </w:rPr>
          <w:t>meditsinskoy</w:t>
        </w:r>
        <w:r w:rsidR="007D1BCD" w:rsidRPr="007D1BCD">
          <w:rPr>
            <w:rStyle w:val="af7"/>
            <w:color w:val="auto"/>
            <w:szCs w:val="28"/>
            <w:u w:val="none"/>
            <w:lang w:val="ru-RU"/>
          </w:rPr>
          <w:t>_</w:t>
        </w:r>
        <w:r w:rsidR="007D1BCD" w:rsidRPr="007D1BCD">
          <w:rPr>
            <w:rStyle w:val="af7"/>
            <w:color w:val="auto"/>
            <w:szCs w:val="28"/>
            <w:u w:val="none"/>
            <w:lang w:val="en-US"/>
          </w:rPr>
          <w:t>pomoschi</w:t>
        </w:r>
        <w:r w:rsidR="007D1BCD" w:rsidRPr="007D1BCD">
          <w:rPr>
            <w:rStyle w:val="af7"/>
            <w:color w:val="auto"/>
            <w:szCs w:val="28"/>
            <w:u w:val="none"/>
            <w:lang w:val="ru-RU"/>
          </w:rPr>
          <w:t>.</w:t>
        </w:r>
        <w:r w:rsidR="007D1BCD" w:rsidRPr="007D1BCD">
          <w:rPr>
            <w:rStyle w:val="af7"/>
            <w:color w:val="auto"/>
            <w:szCs w:val="28"/>
            <w:u w:val="none"/>
            <w:lang w:val="en-US"/>
          </w:rPr>
          <w:t>pdf</w:t>
        </w:r>
      </w:hyperlink>
      <w:r w:rsidR="007D1BCD" w:rsidRPr="007D1BCD">
        <w:rPr>
          <w:szCs w:val="28"/>
          <w:lang w:val="ru-RU"/>
        </w:rPr>
        <w:t xml:space="preserve"> </w:t>
      </w:r>
      <w:r w:rsidR="007D1BCD" w:rsidRPr="007D1BCD">
        <w:rPr>
          <w:szCs w:val="28"/>
        </w:rPr>
        <w:t>(дата звернення: 0</w:t>
      </w:r>
      <w:r w:rsidR="007D1BCD" w:rsidRPr="007D1BCD">
        <w:rPr>
          <w:szCs w:val="28"/>
          <w:lang w:val="ru-RU"/>
        </w:rPr>
        <w:t>3</w:t>
      </w:r>
      <w:r w:rsidR="007D1BCD" w:rsidRPr="007D1BCD">
        <w:rPr>
          <w:szCs w:val="28"/>
        </w:rPr>
        <w:t>.0</w:t>
      </w:r>
      <w:r w:rsidR="007D1BCD" w:rsidRPr="007D1BCD">
        <w:rPr>
          <w:szCs w:val="28"/>
          <w:lang w:val="ru-RU"/>
        </w:rPr>
        <w:t>4</w:t>
      </w:r>
      <w:r w:rsidR="007D1BCD" w:rsidRPr="007D1BCD">
        <w:rPr>
          <w:szCs w:val="28"/>
        </w:rPr>
        <w:t>.202</w:t>
      </w:r>
      <w:r w:rsidR="007D1BCD" w:rsidRPr="007D1BCD">
        <w:rPr>
          <w:szCs w:val="28"/>
          <w:lang w:val="ru-RU"/>
        </w:rPr>
        <w:t>0</w:t>
      </w:r>
      <w:r w:rsidR="007D1BCD" w:rsidRPr="007D1BCD">
        <w:rPr>
          <w:szCs w:val="28"/>
        </w:rPr>
        <w:t>).</w:t>
      </w:r>
    </w:p>
    <w:p w:rsidR="00FC2E5F" w:rsidRDefault="00E32C48" w:rsidP="00FC2E5F">
      <w:pPr>
        <w:ind w:firstLine="709"/>
        <w:rPr>
          <w:szCs w:val="28"/>
          <w:lang w:val="en-US"/>
        </w:rPr>
      </w:pPr>
      <w:r>
        <w:rPr>
          <w:szCs w:val="28"/>
        </w:rPr>
        <w:t>292.</w:t>
      </w:r>
      <w:r w:rsidRPr="00E32C48">
        <w:rPr>
          <w:szCs w:val="28"/>
          <w:lang w:val="en-US"/>
        </w:rPr>
        <w:t xml:space="preserve"> </w:t>
      </w:r>
      <w:r w:rsidR="00A607AD" w:rsidRPr="00FC2E5F">
        <w:rPr>
          <w:szCs w:val="28"/>
        </w:rPr>
        <w:t>Vishnubhakta V. Perinatal periods of risk analysis / Delawere Health and Social Services, Division of Public Health, Center for Family Health Research and Epidemiology. 2010. 49 p.</w:t>
      </w:r>
    </w:p>
    <w:p w:rsidR="00FC2E5F" w:rsidRPr="00FC2E5F" w:rsidRDefault="00E32C48" w:rsidP="00FC2E5F">
      <w:pPr>
        <w:ind w:firstLine="709"/>
        <w:rPr>
          <w:szCs w:val="28"/>
          <w:lang w:val="en-US"/>
        </w:rPr>
      </w:pPr>
      <w:r>
        <w:rPr>
          <w:szCs w:val="28"/>
        </w:rPr>
        <w:t>293.</w:t>
      </w:r>
      <w:r w:rsidRPr="00E32C48">
        <w:rPr>
          <w:szCs w:val="28"/>
          <w:lang w:val="en-US"/>
        </w:rPr>
        <w:t xml:space="preserve"> </w:t>
      </w:r>
      <w:r w:rsidR="00A607AD" w:rsidRPr="00FC2E5F">
        <w:rPr>
          <w:szCs w:val="28"/>
        </w:rPr>
        <w:t>From evidence to action to deliver a healthy start for the next generation / E. Mason et al. Lancet. 2014. Vol.</w:t>
      </w:r>
      <w:r w:rsidR="00FC2E5F">
        <w:rPr>
          <w:szCs w:val="28"/>
        </w:rPr>
        <w:t xml:space="preserve"> 384. P. 455–467.</w:t>
      </w:r>
    </w:p>
    <w:p w:rsidR="00FC2E5F" w:rsidRDefault="00E32C48" w:rsidP="00FC2E5F">
      <w:pPr>
        <w:ind w:firstLine="709"/>
        <w:rPr>
          <w:szCs w:val="28"/>
          <w:lang w:val="en-US"/>
        </w:rPr>
      </w:pPr>
      <w:r>
        <w:rPr>
          <w:szCs w:val="28"/>
        </w:rPr>
        <w:t>294.</w:t>
      </w:r>
      <w:r w:rsidRPr="00E32C48">
        <w:rPr>
          <w:szCs w:val="28"/>
          <w:lang w:val="en-US"/>
        </w:rPr>
        <w:t xml:space="preserve"> </w:t>
      </w:r>
      <w:r w:rsidR="00A607AD" w:rsidRPr="00FC2E5F">
        <w:rPr>
          <w:szCs w:val="28"/>
        </w:rPr>
        <w:t>Kliegman R. M. Neonatal Technology, Perinatal Survival, Social Consequences, and the Perinatal Paradox. American Journal of Public Health. 1995. Vol. 85. P. 909–913.</w:t>
      </w:r>
    </w:p>
    <w:p w:rsidR="00FC2E5F" w:rsidRDefault="00E32C48" w:rsidP="00FC2E5F">
      <w:pPr>
        <w:ind w:firstLine="709"/>
        <w:rPr>
          <w:szCs w:val="28"/>
          <w:lang w:val="en-US"/>
        </w:rPr>
      </w:pPr>
      <w:r>
        <w:rPr>
          <w:szCs w:val="28"/>
        </w:rPr>
        <w:lastRenderedPageBreak/>
        <w:t>295.</w:t>
      </w:r>
      <w:r w:rsidRPr="00E32C48">
        <w:rPr>
          <w:szCs w:val="28"/>
          <w:lang w:val="en-US"/>
        </w:rPr>
        <w:t xml:space="preserve"> </w:t>
      </w:r>
      <w:r w:rsidR="00A607AD" w:rsidRPr="00FC2E5F">
        <w:rPr>
          <w:szCs w:val="28"/>
        </w:rPr>
        <w:t>Neonatal, postneonatal, childhood and under-5-mortality for 187 countries, 1970–2010: a systematic analysis of progress towards Millennium Development Goal 4 / J. K. Rajaratnam et al. Lancet. 2010. Vol. 375 (9730). P. 1988–2008.</w:t>
      </w:r>
    </w:p>
    <w:p w:rsidR="00FC2E5F" w:rsidRPr="00B958D8" w:rsidRDefault="00E32C48" w:rsidP="00FC2E5F">
      <w:pPr>
        <w:ind w:firstLine="709"/>
        <w:rPr>
          <w:szCs w:val="28"/>
          <w:lang w:val="en-US"/>
        </w:rPr>
      </w:pPr>
      <w:r>
        <w:rPr>
          <w:szCs w:val="28"/>
        </w:rPr>
        <w:t>296.</w:t>
      </w:r>
      <w:r w:rsidRPr="00E32C48">
        <w:rPr>
          <w:szCs w:val="28"/>
          <w:lang w:val="en-US"/>
        </w:rPr>
        <w:t xml:space="preserve"> </w:t>
      </w:r>
      <w:r w:rsidR="00A607AD" w:rsidRPr="00FC2E5F">
        <w:rPr>
          <w:szCs w:val="28"/>
        </w:rPr>
        <w:t>Levels of Neonatal Care: Committee on Fetus and Newborn / American Academy of Pediatrics, Policy, Organizational Principles to Guide and Define the Child Health Care System and/or Improve the Health of All Children. Pediatrics. 2004. Vol. 114, No</w:t>
      </w:r>
      <w:r w:rsidR="00FC2E5F" w:rsidRPr="00B958D8">
        <w:rPr>
          <w:szCs w:val="28"/>
          <w:lang w:val="en-US"/>
        </w:rPr>
        <w:t> </w:t>
      </w:r>
      <w:r w:rsidR="00A607AD" w:rsidRPr="00FC2E5F">
        <w:rPr>
          <w:szCs w:val="28"/>
        </w:rPr>
        <w:t>5.</w:t>
      </w:r>
      <w:r w:rsidR="00FC2E5F" w:rsidRPr="00B958D8">
        <w:rPr>
          <w:szCs w:val="28"/>
          <w:lang w:val="en-US"/>
        </w:rPr>
        <w:t> </w:t>
      </w:r>
      <w:r w:rsidR="00A607AD" w:rsidRPr="00FC2E5F">
        <w:rPr>
          <w:szCs w:val="28"/>
        </w:rPr>
        <w:t>P.</w:t>
      </w:r>
      <w:r w:rsidR="00FC2E5F">
        <w:rPr>
          <w:szCs w:val="28"/>
          <w:lang w:val="en-US"/>
        </w:rPr>
        <w:t> </w:t>
      </w:r>
      <w:r w:rsidR="00A607AD" w:rsidRPr="00FC2E5F">
        <w:rPr>
          <w:szCs w:val="28"/>
        </w:rPr>
        <w:t>1341–1347.</w:t>
      </w:r>
      <w:r w:rsidR="00FC2E5F" w:rsidRPr="00B958D8">
        <w:rPr>
          <w:szCs w:val="28"/>
          <w:lang w:val="en-US"/>
        </w:rPr>
        <w:t xml:space="preserve"> </w:t>
      </w:r>
      <w:r w:rsidR="00A607AD" w:rsidRPr="00FC2E5F">
        <w:rPr>
          <w:szCs w:val="28"/>
        </w:rPr>
        <w:t>URL:</w:t>
      </w:r>
      <w:r w:rsidR="00FC2E5F" w:rsidRPr="00B958D8">
        <w:rPr>
          <w:szCs w:val="28"/>
          <w:lang w:val="en-US"/>
        </w:rPr>
        <w:t xml:space="preserve"> </w:t>
      </w:r>
      <w:r w:rsidR="00A607AD" w:rsidRPr="00FC2E5F">
        <w:rPr>
          <w:szCs w:val="28"/>
        </w:rPr>
        <w:t>https://pediatrics.aappublications.org/content/pediatrics/114/5/1341.full.pdf (дата звернення: 25.10.2020).</w:t>
      </w:r>
    </w:p>
    <w:p w:rsidR="00FC2E5F" w:rsidRPr="00B958D8" w:rsidRDefault="00E32C48" w:rsidP="00FC2E5F">
      <w:pPr>
        <w:ind w:firstLine="709"/>
        <w:rPr>
          <w:szCs w:val="28"/>
          <w:lang w:val="en-US"/>
        </w:rPr>
      </w:pPr>
      <w:r>
        <w:rPr>
          <w:szCs w:val="28"/>
        </w:rPr>
        <w:t>297.</w:t>
      </w:r>
      <w:r w:rsidRPr="00E32C48">
        <w:rPr>
          <w:szCs w:val="28"/>
          <w:lang w:val="en-US"/>
        </w:rPr>
        <w:t xml:space="preserve"> </w:t>
      </w:r>
      <w:r w:rsidR="00A607AD" w:rsidRPr="00FC2E5F">
        <w:rPr>
          <w:szCs w:val="28"/>
        </w:rPr>
        <w:t>Variations in practice and outcomes in the Canadian NICU network: 1996 1997 / S. K. Lee et al. Pediatrics. 2000. Vol. 106, No 5. P. 1070–1079.</w:t>
      </w:r>
    </w:p>
    <w:p w:rsidR="00FC2E5F" w:rsidRPr="00E32C48" w:rsidRDefault="00E32C48" w:rsidP="00FC2E5F">
      <w:pPr>
        <w:ind w:firstLine="709"/>
        <w:rPr>
          <w:szCs w:val="28"/>
        </w:rPr>
      </w:pPr>
      <w:r>
        <w:rPr>
          <w:szCs w:val="28"/>
        </w:rPr>
        <w:t>298.</w:t>
      </w:r>
      <w:r w:rsidRPr="00E32C48">
        <w:rPr>
          <w:szCs w:val="28"/>
          <w:lang w:val="en-US"/>
        </w:rPr>
        <w:t xml:space="preserve"> </w:t>
      </w:r>
      <w:r w:rsidR="00A607AD" w:rsidRPr="00FC2E5F">
        <w:rPr>
          <w:szCs w:val="28"/>
        </w:rPr>
        <w:t>Аssociation between level of delivery hospital and neonatal Outcomes among South Carolina Medicaid recipients / M. Sanderson et al. American Journal of Obstetrics and Gynecology. 2000. Vol. 183, No 6. P. 1504–1511.</w:t>
      </w:r>
    </w:p>
    <w:p w:rsidR="00FC2E5F" w:rsidRDefault="00E32C48" w:rsidP="00FC2E5F">
      <w:pPr>
        <w:ind w:firstLine="709"/>
        <w:rPr>
          <w:szCs w:val="28"/>
          <w:lang w:val="ru-RU"/>
        </w:rPr>
      </w:pPr>
      <w:r w:rsidRPr="00E32C48">
        <w:rPr>
          <w:szCs w:val="28"/>
        </w:rPr>
        <w:t xml:space="preserve">299. </w:t>
      </w:r>
      <w:r w:rsidR="00A607AD" w:rsidRPr="00E32C48">
        <w:rPr>
          <w:szCs w:val="28"/>
        </w:rPr>
        <w:t xml:space="preserve">Устінов О. В. Регіоналізація перинатальної допомоги: міжнародний досвід. Український медичний часопис. 2012. № 4 (90). </w:t>
      </w:r>
      <w:r w:rsidR="00A607AD" w:rsidRPr="00FC2E5F">
        <w:rPr>
          <w:szCs w:val="28"/>
        </w:rPr>
        <w:t>VII</w:t>
      </w:r>
      <w:r w:rsidR="00A607AD" w:rsidRPr="00E32C48">
        <w:rPr>
          <w:szCs w:val="28"/>
        </w:rPr>
        <w:t>/</w:t>
      </w:r>
      <w:r w:rsidR="00A607AD" w:rsidRPr="00FC2E5F">
        <w:rPr>
          <w:szCs w:val="28"/>
        </w:rPr>
        <w:t>VIII</w:t>
      </w:r>
      <w:r w:rsidR="00A607AD" w:rsidRPr="00E32C48">
        <w:rPr>
          <w:szCs w:val="28"/>
        </w:rPr>
        <w:t xml:space="preserve">. Події та коментарі. </w:t>
      </w:r>
      <w:r w:rsidR="00A607AD" w:rsidRPr="00FC2E5F">
        <w:rPr>
          <w:szCs w:val="28"/>
        </w:rPr>
        <w:t>URL</w:t>
      </w:r>
      <w:r w:rsidR="00A607AD" w:rsidRPr="00E32C48">
        <w:rPr>
          <w:szCs w:val="28"/>
        </w:rPr>
        <w:t xml:space="preserve">: </w:t>
      </w:r>
      <w:r w:rsidR="00A607AD" w:rsidRPr="00FC2E5F">
        <w:rPr>
          <w:szCs w:val="28"/>
        </w:rPr>
        <w:t>https</w:t>
      </w:r>
      <w:r w:rsidR="00A607AD" w:rsidRPr="00E32C48">
        <w:rPr>
          <w:szCs w:val="28"/>
        </w:rPr>
        <w:t>://</w:t>
      </w:r>
      <w:r w:rsidR="00A607AD" w:rsidRPr="00FC2E5F">
        <w:rPr>
          <w:szCs w:val="28"/>
        </w:rPr>
        <w:t>www</w:t>
      </w:r>
      <w:r w:rsidR="00A607AD" w:rsidRPr="00E32C48">
        <w:rPr>
          <w:szCs w:val="28"/>
        </w:rPr>
        <w:t>.</w:t>
      </w:r>
      <w:r w:rsidR="00A607AD" w:rsidRPr="00FC2E5F">
        <w:rPr>
          <w:szCs w:val="28"/>
        </w:rPr>
        <w:t>umj</w:t>
      </w:r>
      <w:r w:rsidR="00A607AD" w:rsidRPr="00E32C48">
        <w:rPr>
          <w:szCs w:val="28"/>
        </w:rPr>
        <w:t>.</w:t>
      </w:r>
      <w:r w:rsidR="00A607AD" w:rsidRPr="00FC2E5F">
        <w:rPr>
          <w:szCs w:val="28"/>
        </w:rPr>
        <w:t>com</w:t>
      </w:r>
      <w:r w:rsidR="00A607AD" w:rsidRPr="00E32C48">
        <w:rPr>
          <w:szCs w:val="28"/>
        </w:rPr>
        <w:t>.</w:t>
      </w:r>
      <w:r w:rsidR="00A607AD" w:rsidRPr="00FC2E5F">
        <w:rPr>
          <w:szCs w:val="28"/>
        </w:rPr>
        <w:t>ua</w:t>
      </w:r>
      <w:r w:rsidR="00A607AD" w:rsidRPr="00E32C48">
        <w:rPr>
          <w:szCs w:val="28"/>
        </w:rPr>
        <w:t>/</w:t>
      </w:r>
      <w:r w:rsidR="00A607AD" w:rsidRPr="00FC2E5F">
        <w:rPr>
          <w:szCs w:val="28"/>
        </w:rPr>
        <w:t>article</w:t>
      </w:r>
      <w:r w:rsidR="00A607AD" w:rsidRPr="00E32C48">
        <w:rPr>
          <w:szCs w:val="28"/>
        </w:rPr>
        <w:t>/38071/</w:t>
      </w:r>
      <w:r w:rsidR="00A607AD" w:rsidRPr="00FC2E5F">
        <w:rPr>
          <w:szCs w:val="28"/>
        </w:rPr>
        <w:t>regionalizaciya</w:t>
      </w:r>
      <w:r w:rsidR="00A607AD" w:rsidRPr="00FC2E5F">
        <w:rPr>
          <w:szCs w:val="28"/>
          <w:lang w:val="ru-RU"/>
        </w:rPr>
        <w:t>-</w:t>
      </w:r>
      <w:r w:rsidR="00A607AD" w:rsidRPr="00FC2E5F">
        <w:rPr>
          <w:szCs w:val="28"/>
        </w:rPr>
        <w:t>perinatalnoi</w:t>
      </w:r>
      <w:r w:rsidR="00A607AD" w:rsidRPr="00FC2E5F">
        <w:rPr>
          <w:szCs w:val="28"/>
          <w:lang w:val="ru-RU"/>
        </w:rPr>
        <w:t>-</w:t>
      </w:r>
      <w:r w:rsidR="00A607AD" w:rsidRPr="00FC2E5F">
        <w:rPr>
          <w:szCs w:val="28"/>
        </w:rPr>
        <w:t>dopomogi</w:t>
      </w:r>
      <w:r w:rsidR="00A607AD" w:rsidRPr="00FC2E5F">
        <w:rPr>
          <w:szCs w:val="28"/>
          <w:lang w:val="ru-RU"/>
        </w:rPr>
        <w:t>-</w:t>
      </w:r>
      <w:r w:rsidR="00A607AD" w:rsidRPr="00FC2E5F">
        <w:rPr>
          <w:szCs w:val="28"/>
        </w:rPr>
        <w:t>mizhnarodnij</w:t>
      </w:r>
      <w:r w:rsidR="00A607AD" w:rsidRPr="00FC2E5F">
        <w:rPr>
          <w:szCs w:val="28"/>
          <w:lang w:val="ru-RU"/>
        </w:rPr>
        <w:t>-</w:t>
      </w:r>
      <w:r w:rsidR="00A607AD" w:rsidRPr="00FC2E5F">
        <w:rPr>
          <w:szCs w:val="28"/>
        </w:rPr>
        <w:t>dosvid</w:t>
      </w:r>
      <w:r w:rsidR="00A607AD" w:rsidRPr="00FC2E5F">
        <w:rPr>
          <w:szCs w:val="28"/>
          <w:lang w:val="ru-RU"/>
        </w:rPr>
        <w:t xml:space="preserve"> (дата звернення: 25.10.2020).</w:t>
      </w:r>
    </w:p>
    <w:p w:rsidR="00FC2E5F" w:rsidRDefault="00A607AD" w:rsidP="00FC2E5F">
      <w:pPr>
        <w:ind w:firstLine="709"/>
        <w:rPr>
          <w:szCs w:val="28"/>
          <w:lang w:val="ru-RU"/>
        </w:rPr>
      </w:pPr>
      <w:r w:rsidRPr="00FC2E5F">
        <w:rPr>
          <w:szCs w:val="28"/>
        </w:rPr>
        <w:t>300</w:t>
      </w:r>
      <w:r w:rsidR="00E32C48">
        <w:rPr>
          <w:szCs w:val="28"/>
        </w:rPr>
        <w:t>.</w:t>
      </w:r>
      <w:r w:rsidR="00E32C48" w:rsidRPr="00E32C48">
        <w:rPr>
          <w:szCs w:val="28"/>
          <w:lang w:val="en-US"/>
        </w:rPr>
        <w:t xml:space="preserve"> </w:t>
      </w:r>
      <w:r w:rsidRPr="00FC2E5F">
        <w:rPr>
          <w:szCs w:val="28"/>
        </w:rPr>
        <w:t>Characteristics of neonatal units that care for very preterm infants in Europe: Results from the MOSAIC Study / P. Van Reempts et al. Pediatrics</w:t>
      </w:r>
      <w:r w:rsidRPr="00B958D8">
        <w:rPr>
          <w:szCs w:val="28"/>
          <w:lang w:val="ru-RU"/>
        </w:rPr>
        <w:t xml:space="preserve">. 2007. </w:t>
      </w:r>
      <w:r w:rsidRPr="00FC2E5F">
        <w:rPr>
          <w:szCs w:val="28"/>
        </w:rPr>
        <w:t>Vol</w:t>
      </w:r>
      <w:r w:rsidRPr="00B958D8">
        <w:rPr>
          <w:szCs w:val="28"/>
          <w:lang w:val="ru-RU"/>
        </w:rPr>
        <w:t xml:space="preserve">. 120, </w:t>
      </w:r>
      <w:r w:rsidRPr="00FC2E5F">
        <w:rPr>
          <w:szCs w:val="28"/>
        </w:rPr>
        <w:t>No</w:t>
      </w:r>
      <w:r w:rsidRPr="00B958D8">
        <w:rPr>
          <w:szCs w:val="28"/>
          <w:lang w:val="ru-RU"/>
        </w:rPr>
        <w:t xml:space="preserve"> 4. </w:t>
      </w:r>
      <w:r w:rsidRPr="00FC2E5F">
        <w:rPr>
          <w:szCs w:val="28"/>
        </w:rPr>
        <w:t>P</w:t>
      </w:r>
      <w:r w:rsidRPr="00B958D8">
        <w:rPr>
          <w:szCs w:val="28"/>
          <w:lang w:val="ru-RU"/>
        </w:rPr>
        <w:t>.</w:t>
      </w:r>
      <w:r w:rsidR="00E32C48">
        <w:rPr>
          <w:szCs w:val="28"/>
          <w:lang w:val="ru-RU"/>
        </w:rPr>
        <w:t> </w:t>
      </w:r>
      <w:r w:rsidRPr="00B958D8">
        <w:rPr>
          <w:szCs w:val="28"/>
          <w:lang w:val="ru-RU"/>
        </w:rPr>
        <w:t>815–825.</w:t>
      </w:r>
    </w:p>
    <w:p w:rsidR="00FC2E5F" w:rsidRDefault="00E32C48" w:rsidP="00FC2E5F">
      <w:pPr>
        <w:ind w:firstLine="709"/>
        <w:rPr>
          <w:szCs w:val="28"/>
          <w:lang w:val="ru-RU"/>
        </w:rPr>
      </w:pPr>
      <w:r>
        <w:rPr>
          <w:szCs w:val="28"/>
          <w:lang w:val="ru-RU"/>
        </w:rPr>
        <w:t xml:space="preserve">301. </w:t>
      </w:r>
      <w:r w:rsidR="00A607AD" w:rsidRPr="00FC2E5F">
        <w:rPr>
          <w:szCs w:val="28"/>
          <w:lang w:val="ru-RU"/>
        </w:rPr>
        <w:t xml:space="preserve">Знаменська Т. К., Бойчук Т. М., Годованець Ю. Д. Національний проект "Нове життя. Нова якість охорони материнства та дитинства": інновації наукового супроводу та медичної освіти. Неонатологія, хірургія та перинатальна медицина. 2013. Т. 3, № 1. С. 13–18. </w:t>
      </w:r>
      <w:r w:rsidR="00A607AD" w:rsidRPr="00FC2E5F">
        <w:rPr>
          <w:szCs w:val="28"/>
        </w:rPr>
        <w:t>URL</w:t>
      </w:r>
      <w:r w:rsidR="00A607AD" w:rsidRPr="00FC2E5F">
        <w:rPr>
          <w:szCs w:val="28"/>
          <w:lang w:val="ru-RU"/>
        </w:rPr>
        <w:t xml:space="preserve">: </w:t>
      </w:r>
      <w:r w:rsidR="00A607AD" w:rsidRPr="00FC2E5F">
        <w:rPr>
          <w:szCs w:val="28"/>
        </w:rPr>
        <w:t>http</w:t>
      </w:r>
      <w:r w:rsidR="00A607AD" w:rsidRPr="00FC2E5F">
        <w:rPr>
          <w:szCs w:val="28"/>
          <w:lang w:val="ru-RU"/>
        </w:rPr>
        <w:t>://</w:t>
      </w:r>
      <w:r w:rsidR="00A607AD" w:rsidRPr="00FC2E5F">
        <w:rPr>
          <w:szCs w:val="28"/>
        </w:rPr>
        <w:t>nbuv</w:t>
      </w:r>
      <w:r w:rsidR="00A607AD" w:rsidRPr="00FC2E5F">
        <w:rPr>
          <w:szCs w:val="28"/>
          <w:lang w:val="ru-RU"/>
        </w:rPr>
        <w:t>.</w:t>
      </w:r>
      <w:r w:rsidR="00A607AD" w:rsidRPr="00FC2E5F">
        <w:rPr>
          <w:szCs w:val="28"/>
        </w:rPr>
        <w:t>gov</w:t>
      </w:r>
      <w:r w:rsidR="00A607AD" w:rsidRPr="00FC2E5F">
        <w:rPr>
          <w:szCs w:val="28"/>
          <w:lang w:val="ru-RU"/>
        </w:rPr>
        <w:t>.</w:t>
      </w:r>
      <w:r w:rsidR="00A607AD" w:rsidRPr="00FC2E5F">
        <w:rPr>
          <w:szCs w:val="28"/>
        </w:rPr>
        <w:t>ua</w:t>
      </w:r>
      <w:r w:rsidR="00A607AD" w:rsidRPr="00FC2E5F">
        <w:rPr>
          <w:szCs w:val="28"/>
          <w:lang w:val="ru-RU"/>
        </w:rPr>
        <w:t>/</w:t>
      </w:r>
      <w:r w:rsidR="00A607AD" w:rsidRPr="00FC2E5F">
        <w:rPr>
          <w:szCs w:val="28"/>
        </w:rPr>
        <w:t>UJRN</w:t>
      </w:r>
      <w:r w:rsidR="00A607AD" w:rsidRPr="00FC2E5F">
        <w:rPr>
          <w:szCs w:val="28"/>
          <w:lang w:val="ru-RU"/>
        </w:rPr>
        <w:t>/</w:t>
      </w:r>
      <w:r w:rsidR="00A607AD" w:rsidRPr="00FC2E5F">
        <w:rPr>
          <w:szCs w:val="28"/>
        </w:rPr>
        <w:t>Nkhpm</w:t>
      </w:r>
      <w:r w:rsidR="00A607AD" w:rsidRPr="00FC2E5F">
        <w:rPr>
          <w:szCs w:val="28"/>
          <w:lang w:val="ru-RU"/>
        </w:rPr>
        <w:t>_2013_3_1_4 (дата звернення: 25.10.2020).</w:t>
      </w:r>
    </w:p>
    <w:p w:rsidR="00FC2E5F" w:rsidRDefault="00E32C48" w:rsidP="00FC2E5F">
      <w:pPr>
        <w:ind w:firstLine="709"/>
        <w:rPr>
          <w:szCs w:val="28"/>
          <w:lang w:val="ru-RU"/>
        </w:rPr>
      </w:pPr>
      <w:r>
        <w:rPr>
          <w:szCs w:val="28"/>
          <w:lang w:val="ru-RU"/>
        </w:rPr>
        <w:t xml:space="preserve">302. </w:t>
      </w:r>
      <w:r w:rsidR="00A607AD" w:rsidRPr="00FC2E5F">
        <w:rPr>
          <w:szCs w:val="28"/>
          <w:lang w:val="ru-RU"/>
        </w:rPr>
        <w:t xml:space="preserve">Національний проект "Нове життя. Нова якість охорони материнства та дитинства": сучасні тенденції підготовки фахівців з напряму перинатальної медицини / Т. М. Бойчук та ін. Неонатологія, хірургія та перинатальна медицина. 2014. Т. 4, № 1. </w:t>
      </w:r>
      <w:r w:rsidR="00A607AD" w:rsidRPr="00FC2E5F">
        <w:rPr>
          <w:szCs w:val="28"/>
          <w:lang w:val="ru-RU"/>
        </w:rPr>
        <w:lastRenderedPageBreak/>
        <w:t>С.</w:t>
      </w:r>
      <w:r w:rsidR="00504856">
        <w:rPr>
          <w:szCs w:val="28"/>
          <w:lang w:val="en-US"/>
        </w:rPr>
        <w:t> </w:t>
      </w:r>
      <w:r w:rsidR="00A607AD" w:rsidRPr="00FC2E5F">
        <w:rPr>
          <w:szCs w:val="28"/>
          <w:lang w:val="ru-RU"/>
        </w:rPr>
        <w:t xml:space="preserve">6–12. </w:t>
      </w:r>
      <w:r w:rsidR="00A607AD" w:rsidRPr="00FC2E5F">
        <w:rPr>
          <w:szCs w:val="28"/>
        </w:rPr>
        <w:t>URL</w:t>
      </w:r>
      <w:r w:rsidR="00A607AD" w:rsidRPr="00FC2E5F">
        <w:rPr>
          <w:szCs w:val="28"/>
          <w:lang w:val="ru-RU"/>
        </w:rPr>
        <w:t xml:space="preserve">: </w:t>
      </w:r>
      <w:r w:rsidR="00A607AD" w:rsidRPr="00FC2E5F">
        <w:rPr>
          <w:szCs w:val="28"/>
        </w:rPr>
        <w:t>http</w:t>
      </w:r>
      <w:r w:rsidR="00A607AD" w:rsidRPr="00FC2E5F">
        <w:rPr>
          <w:szCs w:val="28"/>
          <w:lang w:val="ru-RU"/>
        </w:rPr>
        <w:t>://</w:t>
      </w:r>
      <w:r w:rsidR="00A607AD" w:rsidRPr="00FC2E5F">
        <w:rPr>
          <w:szCs w:val="28"/>
        </w:rPr>
        <w:t>nbuv</w:t>
      </w:r>
      <w:r w:rsidR="00A607AD" w:rsidRPr="00FC2E5F">
        <w:rPr>
          <w:szCs w:val="28"/>
          <w:lang w:val="ru-RU"/>
        </w:rPr>
        <w:t>.</w:t>
      </w:r>
      <w:r w:rsidR="00A607AD" w:rsidRPr="00FC2E5F">
        <w:rPr>
          <w:szCs w:val="28"/>
        </w:rPr>
        <w:t>gov</w:t>
      </w:r>
      <w:r w:rsidR="00A607AD" w:rsidRPr="00FC2E5F">
        <w:rPr>
          <w:szCs w:val="28"/>
          <w:lang w:val="ru-RU"/>
        </w:rPr>
        <w:t>.</w:t>
      </w:r>
      <w:r w:rsidR="00A607AD" w:rsidRPr="00FC2E5F">
        <w:rPr>
          <w:szCs w:val="28"/>
        </w:rPr>
        <w:t>ua</w:t>
      </w:r>
      <w:r w:rsidR="00A607AD" w:rsidRPr="00FC2E5F">
        <w:rPr>
          <w:szCs w:val="28"/>
          <w:lang w:val="ru-RU"/>
        </w:rPr>
        <w:t>/</w:t>
      </w:r>
      <w:r w:rsidR="00A607AD" w:rsidRPr="00FC2E5F">
        <w:rPr>
          <w:szCs w:val="28"/>
        </w:rPr>
        <w:t>UJRN</w:t>
      </w:r>
      <w:r w:rsidR="00A607AD" w:rsidRPr="00FC2E5F">
        <w:rPr>
          <w:szCs w:val="28"/>
          <w:lang w:val="ru-RU"/>
        </w:rPr>
        <w:t>/</w:t>
      </w:r>
      <w:r w:rsidR="00A607AD" w:rsidRPr="00FC2E5F">
        <w:rPr>
          <w:szCs w:val="28"/>
        </w:rPr>
        <w:t>Nkhpm</w:t>
      </w:r>
      <w:r w:rsidR="00A607AD" w:rsidRPr="00FC2E5F">
        <w:rPr>
          <w:szCs w:val="28"/>
          <w:lang w:val="ru-RU"/>
        </w:rPr>
        <w:t>_2014_4_1_3 (дата звернення: 25.10.2020).</w:t>
      </w:r>
    </w:p>
    <w:p w:rsidR="00FC2E5F" w:rsidRDefault="00E32C48" w:rsidP="00FC2E5F">
      <w:pPr>
        <w:ind w:firstLine="709"/>
        <w:rPr>
          <w:szCs w:val="28"/>
          <w:lang w:val="ru-RU"/>
        </w:rPr>
      </w:pPr>
      <w:r>
        <w:rPr>
          <w:szCs w:val="28"/>
          <w:lang w:val="ru-RU"/>
        </w:rPr>
        <w:t xml:space="preserve">303. </w:t>
      </w:r>
      <w:r w:rsidR="00A607AD" w:rsidRPr="00FC2E5F">
        <w:rPr>
          <w:szCs w:val="28"/>
          <w:lang w:val="ru-RU"/>
        </w:rPr>
        <w:t xml:space="preserve">Показатели выживаемости матерей и детей никогда не были такими высокими, как сегодня: доклад ООН. ВОЗ веб-сайт. Центр СМИ. 19 сент. 2019. </w:t>
      </w:r>
      <w:r w:rsidR="00A607AD" w:rsidRPr="00FC2E5F">
        <w:rPr>
          <w:szCs w:val="28"/>
        </w:rPr>
        <w:t>URL</w:t>
      </w:r>
      <w:r w:rsidR="00A607AD" w:rsidRPr="00FC2E5F">
        <w:rPr>
          <w:szCs w:val="28"/>
          <w:lang w:val="ru-RU"/>
        </w:rPr>
        <w:t xml:space="preserve">: </w:t>
      </w:r>
      <w:r w:rsidR="00A607AD" w:rsidRPr="00FC2E5F">
        <w:rPr>
          <w:szCs w:val="28"/>
        </w:rPr>
        <w:t>https</w:t>
      </w:r>
      <w:r w:rsidR="00A607AD" w:rsidRPr="00FC2E5F">
        <w:rPr>
          <w:szCs w:val="28"/>
          <w:lang w:val="ru-RU"/>
        </w:rPr>
        <w:t>://</w:t>
      </w:r>
      <w:r w:rsidR="00A607AD" w:rsidRPr="00FC2E5F">
        <w:rPr>
          <w:szCs w:val="28"/>
        </w:rPr>
        <w:t>www</w:t>
      </w:r>
      <w:r w:rsidR="00A607AD" w:rsidRPr="00FC2E5F">
        <w:rPr>
          <w:szCs w:val="28"/>
          <w:lang w:val="ru-RU"/>
        </w:rPr>
        <w:t>.</w:t>
      </w:r>
      <w:r w:rsidR="00A607AD" w:rsidRPr="00FC2E5F">
        <w:rPr>
          <w:szCs w:val="28"/>
        </w:rPr>
        <w:t>who</w:t>
      </w:r>
      <w:r w:rsidR="00A607AD" w:rsidRPr="00FC2E5F">
        <w:rPr>
          <w:szCs w:val="28"/>
          <w:lang w:val="ru-RU"/>
        </w:rPr>
        <w:t>.</w:t>
      </w:r>
      <w:r w:rsidR="00A607AD" w:rsidRPr="00FC2E5F">
        <w:rPr>
          <w:szCs w:val="28"/>
        </w:rPr>
        <w:t>int</w:t>
      </w:r>
      <w:r w:rsidR="00A607AD" w:rsidRPr="00FC2E5F">
        <w:rPr>
          <w:szCs w:val="28"/>
          <w:lang w:val="ru-RU"/>
        </w:rPr>
        <w:t>/</w:t>
      </w:r>
      <w:r w:rsidR="00A607AD" w:rsidRPr="00FC2E5F">
        <w:rPr>
          <w:szCs w:val="28"/>
        </w:rPr>
        <w:t>ru</w:t>
      </w:r>
      <w:r w:rsidR="00A607AD" w:rsidRPr="00FC2E5F">
        <w:rPr>
          <w:szCs w:val="28"/>
          <w:lang w:val="ru-RU"/>
        </w:rPr>
        <w:t>/</w:t>
      </w:r>
      <w:r w:rsidR="00A607AD" w:rsidRPr="00FC2E5F">
        <w:rPr>
          <w:szCs w:val="28"/>
        </w:rPr>
        <w:t>news</w:t>
      </w:r>
      <w:r w:rsidR="00A607AD" w:rsidRPr="00FC2E5F">
        <w:rPr>
          <w:szCs w:val="28"/>
          <w:lang w:val="ru-RU"/>
        </w:rPr>
        <w:t>-</w:t>
      </w:r>
      <w:r w:rsidR="00A607AD" w:rsidRPr="00FC2E5F">
        <w:rPr>
          <w:szCs w:val="28"/>
        </w:rPr>
        <w:t>room</w:t>
      </w:r>
      <w:r w:rsidR="00A607AD" w:rsidRPr="00FC2E5F">
        <w:rPr>
          <w:szCs w:val="28"/>
          <w:lang w:val="ru-RU"/>
        </w:rPr>
        <w:t>/</w:t>
      </w:r>
      <w:r w:rsidR="00A607AD" w:rsidRPr="00FC2E5F">
        <w:rPr>
          <w:szCs w:val="28"/>
        </w:rPr>
        <w:t>detail</w:t>
      </w:r>
      <w:r w:rsidR="00A607AD" w:rsidRPr="00FC2E5F">
        <w:rPr>
          <w:szCs w:val="28"/>
          <w:lang w:val="ru-RU"/>
        </w:rPr>
        <w:t>/19-09-2019-</w:t>
      </w:r>
      <w:r w:rsidR="00A607AD" w:rsidRPr="00FC2E5F">
        <w:rPr>
          <w:szCs w:val="28"/>
        </w:rPr>
        <w:t>more</w:t>
      </w:r>
      <w:r w:rsidR="00A607AD" w:rsidRPr="00FC2E5F">
        <w:rPr>
          <w:szCs w:val="28"/>
          <w:lang w:val="ru-RU"/>
        </w:rPr>
        <w:t>-</w:t>
      </w:r>
      <w:r w:rsidR="00A607AD" w:rsidRPr="00FC2E5F">
        <w:rPr>
          <w:szCs w:val="28"/>
        </w:rPr>
        <w:t>women</w:t>
      </w:r>
      <w:r w:rsidR="00A607AD" w:rsidRPr="00FC2E5F">
        <w:rPr>
          <w:szCs w:val="28"/>
          <w:lang w:val="ru-RU"/>
        </w:rPr>
        <w:t>-</w:t>
      </w:r>
      <w:r w:rsidR="00A607AD" w:rsidRPr="00FC2E5F">
        <w:rPr>
          <w:szCs w:val="28"/>
        </w:rPr>
        <w:t>and</w:t>
      </w:r>
      <w:r w:rsidR="00A607AD" w:rsidRPr="00FC2E5F">
        <w:rPr>
          <w:szCs w:val="28"/>
          <w:lang w:val="ru-RU"/>
        </w:rPr>
        <w:t>-</w:t>
      </w:r>
      <w:r w:rsidR="00A607AD" w:rsidRPr="00FC2E5F">
        <w:rPr>
          <w:szCs w:val="28"/>
        </w:rPr>
        <w:t>children</w:t>
      </w:r>
      <w:r w:rsidR="00A607AD" w:rsidRPr="00FC2E5F">
        <w:rPr>
          <w:szCs w:val="28"/>
          <w:lang w:val="ru-RU"/>
        </w:rPr>
        <w:t>-</w:t>
      </w:r>
      <w:r w:rsidR="00A607AD" w:rsidRPr="00FC2E5F">
        <w:rPr>
          <w:szCs w:val="28"/>
        </w:rPr>
        <w:t>survive</w:t>
      </w:r>
      <w:r w:rsidR="00A607AD" w:rsidRPr="00FC2E5F">
        <w:rPr>
          <w:szCs w:val="28"/>
          <w:lang w:val="ru-RU"/>
        </w:rPr>
        <w:t>-</w:t>
      </w:r>
      <w:r w:rsidR="00A607AD" w:rsidRPr="00FC2E5F">
        <w:rPr>
          <w:szCs w:val="28"/>
        </w:rPr>
        <w:t>today</w:t>
      </w:r>
      <w:r w:rsidR="00A607AD" w:rsidRPr="00FC2E5F">
        <w:rPr>
          <w:szCs w:val="28"/>
          <w:lang w:val="ru-RU"/>
        </w:rPr>
        <w:t>-</w:t>
      </w:r>
      <w:r w:rsidR="00A607AD" w:rsidRPr="00FC2E5F">
        <w:rPr>
          <w:szCs w:val="28"/>
        </w:rPr>
        <w:t>than</w:t>
      </w:r>
      <w:r w:rsidR="00A607AD" w:rsidRPr="00FC2E5F">
        <w:rPr>
          <w:szCs w:val="28"/>
          <w:lang w:val="ru-RU"/>
        </w:rPr>
        <w:t>-</w:t>
      </w:r>
      <w:r w:rsidR="00A607AD" w:rsidRPr="00FC2E5F">
        <w:rPr>
          <w:szCs w:val="28"/>
        </w:rPr>
        <w:t>ever</w:t>
      </w:r>
      <w:r w:rsidR="00A607AD" w:rsidRPr="00FC2E5F">
        <w:rPr>
          <w:szCs w:val="28"/>
          <w:lang w:val="ru-RU"/>
        </w:rPr>
        <w:t>-</w:t>
      </w:r>
      <w:r w:rsidR="00A607AD" w:rsidRPr="00FC2E5F">
        <w:rPr>
          <w:szCs w:val="28"/>
        </w:rPr>
        <w:t>before</w:t>
      </w:r>
      <w:r w:rsidR="00A607AD" w:rsidRPr="00FC2E5F">
        <w:rPr>
          <w:szCs w:val="28"/>
          <w:lang w:val="ru-RU"/>
        </w:rPr>
        <w:t>-</w:t>
      </w:r>
      <w:r w:rsidR="00A607AD" w:rsidRPr="00FC2E5F">
        <w:rPr>
          <w:szCs w:val="28"/>
        </w:rPr>
        <w:t>un</w:t>
      </w:r>
      <w:r w:rsidR="00A607AD" w:rsidRPr="00FC2E5F">
        <w:rPr>
          <w:szCs w:val="28"/>
          <w:lang w:val="ru-RU"/>
        </w:rPr>
        <w:t>-</w:t>
      </w:r>
      <w:r w:rsidR="00A607AD" w:rsidRPr="00FC2E5F">
        <w:rPr>
          <w:szCs w:val="28"/>
        </w:rPr>
        <w:t>report</w:t>
      </w:r>
      <w:r w:rsidR="00A607AD" w:rsidRPr="00FC2E5F">
        <w:rPr>
          <w:szCs w:val="28"/>
          <w:lang w:val="ru-RU"/>
        </w:rPr>
        <w:t xml:space="preserve"> (дата звернення: 10.09.2020).</w:t>
      </w:r>
    </w:p>
    <w:p w:rsidR="00FC2E5F" w:rsidRDefault="00E32C48" w:rsidP="00FC2E5F">
      <w:pPr>
        <w:ind w:firstLine="709"/>
        <w:rPr>
          <w:szCs w:val="28"/>
          <w:lang w:val="ru-RU"/>
        </w:rPr>
      </w:pPr>
      <w:r>
        <w:rPr>
          <w:szCs w:val="28"/>
          <w:lang w:val="ru-RU"/>
        </w:rPr>
        <w:t>304. </w:t>
      </w:r>
      <w:r w:rsidR="00A607AD" w:rsidRPr="00FC2E5F">
        <w:rPr>
          <w:szCs w:val="28"/>
          <w:lang w:val="ru-RU"/>
        </w:rPr>
        <w:t>Доклад о целях в области устойчивого развития / Организация Объединенных Наций. Нью Йорк, 2018. 40</w:t>
      </w:r>
      <w:r w:rsidR="00504856">
        <w:rPr>
          <w:szCs w:val="28"/>
          <w:lang w:val="en-US"/>
        </w:rPr>
        <w:t> </w:t>
      </w:r>
      <w:r w:rsidR="00A607AD" w:rsidRPr="00FC2E5F">
        <w:rPr>
          <w:szCs w:val="28"/>
        </w:rPr>
        <w:t>c</w:t>
      </w:r>
      <w:r w:rsidR="00A607AD" w:rsidRPr="00FC2E5F">
        <w:rPr>
          <w:szCs w:val="28"/>
          <w:lang w:val="ru-RU"/>
        </w:rPr>
        <w:t xml:space="preserve">. </w:t>
      </w:r>
      <w:r w:rsidR="00A607AD" w:rsidRPr="00FC2E5F">
        <w:rPr>
          <w:szCs w:val="28"/>
        </w:rPr>
        <w:t>URL</w:t>
      </w:r>
      <w:r w:rsidR="00A607AD" w:rsidRPr="00FC2E5F">
        <w:rPr>
          <w:szCs w:val="28"/>
          <w:lang w:val="ru-RU"/>
        </w:rPr>
        <w:t xml:space="preserve">: </w:t>
      </w:r>
      <w:r w:rsidR="00A607AD" w:rsidRPr="00FC2E5F">
        <w:rPr>
          <w:szCs w:val="28"/>
        </w:rPr>
        <w:t>https</w:t>
      </w:r>
      <w:r w:rsidR="00A607AD" w:rsidRPr="00FC2E5F">
        <w:rPr>
          <w:szCs w:val="28"/>
          <w:lang w:val="ru-RU"/>
        </w:rPr>
        <w:t>://</w:t>
      </w:r>
      <w:r w:rsidR="00A607AD" w:rsidRPr="00FC2E5F">
        <w:rPr>
          <w:szCs w:val="28"/>
        </w:rPr>
        <w:t>unstats</w:t>
      </w:r>
      <w:r w:rsidR="00A607AD" w:rsidRPr="00FC2E5F">
        <w:rPr>
          <w:szCs w:val="28"/>
          <w:lang w:val="ru-RU"/>
        </w:rPr>
        <w:t>.</w:t>
      </w:r>
      <w:r w:rsidR="00A607AD" w:rsidRPr="00FC2E5F">
        <w:rPr>
          <w:szCs w:val="28"/>
        </w:rPr>
        <w:t>un</w:t>
      </w:r>
      <w:r w:rsidR="00A607AD" w:rsidRPr="00FC2E5F">
        <w:rPr>
          <w:szCs w:val="28"/>
          <w:lang w:val="ru-RU"/>
        </w:rPr>
        <w:t>.</w:t>
      </w:r>
      <w:r w:rsidR="00A607AD" w:rsidRPr="00FC2E5F">
        <w:rPr>
          <w:szCs w:val="28"/>
        </w:rPr>
        <w:t>org</w:t>
      </w:r>
      <w:r w:rsidR="00A607AD" w:rsidRPr="00FC2E5F">
        <w:rPr>
          <w:szCs w:val="28"/>
          <w:lang w:val="ru-RU"/>
        </w:rPr>
        <w:t>/</w:t>
      </w:r>
      <w:r w:rsidR="00A607AD" w:rsidRPr="00FC2E5F">
        <w:rPr>
          <w:szCs w:val="28"/>
        </w:rPr>
        <w:t>sdgs</w:t>
      </w:r>
      <w:r w:rsidR="00A607AD" w:rsidRPr="00FC2E5F">
        <w:rPr>
          <w:szCs w:val="28"/>
          <w:lang w:val="ru-RU"/>
        </w:rPr>
        <w:t>/</w:t>
      </w:r>
      <w:r w:rsidR="00A607AD" w:rsidRPr="00FC2E5F">
        <w:rPr>
          <w:szCs w:val="28"/>
        </w:rPr>
        <w:t>files</w:t>
      </w:r>
      <w:r w:rsidR="00A607AD" w:rsidRPr="00FC2E5F">
        <w:rPr>
          <w:szCs w:val="28"/>
          <w:lang w:val="ru-RU"/>
        </w:rPr>
        <w:t>/</w:t>
      </w:r>
      <w:r w:rsidR="00A607AD" w:rsidRPr="00FC2E5F">
        <w:rPr>
          <w:szCs w:val="28"/>
        </w:rPr>
        <w:t>report</w:t>
      </w:r>
      <w:r w:rsidR="00A607AD" w:rsidRPr="00FC2E5F">
        <w:rPr>
          <w:szCs w:val="28"/>
          <w:lang w:val="ru-RU"/>
        </w:rPr>
        <w:t>/2018/</w:t>
      </w:r>
      <w:r w:rsidR="00A607AD" w:rsidRPr="00FC2E5F">
        <w:rPr>
          <w:szCs w:val="28"/>
        </w:rPr>
        <w:t>TheSustainableDevelopmentGoalsReport</w:t>
      </w:r>
      <w:r w:rsidR="00A607AD" w:rsidRPr="00FC2E5F">
        <w:rPr>
          <w:szCs w:val="28"/>
          <w:lang w:val="ru-RU"/>
        </w:rPr>
        <w:t>2018-</w:t>
      </w:r>
      <w:r w:rsidR="00A607AD" w:rsidRPr="00FC2E5F">
        <w:rPr>
          <w:szCs w:val="28"/>
        </w:rPr>
        <w:t>RU</w:t>
      </w:r>
      <w:r w:rsidR="00A607AD" w:rsidRPr="00FC2E5F">
        <w:rPr>
          <w:szCs w:val="28"/>
          <w:lang w:val="ru-RU"/>
        </w:rPr>
        <w:t>.</w:t>
      </w:r>
      <w:r w:rsidR="00A607AD" w:rsidRPr="00FC2E5F">
        <w:rPr>
          <w:szCs w:val="28"/>
        </w:rPr>
        <w:t>pdf</w:t>
      </w:r>
      <w:r w:rsidR="00A607AD" w:rsidRPr="00FC2E5F">
        <w:rPr>
          <w:szCs w:val="28"/>
          <w:lang w:val="ru-RU"/>
        </w:rPr>
        <w:t xml:space="preserve"> (дата звернення: 10.09.2017).</w:t>
      </w:r>
    </w:p>
    <w:p w:rsidR="00FC2E5F" w:rsidRPr="0050371D" w:rsidRDefault="00E32C48" w:rsidP="00FC2E5F">
      <w:pPr>
        <w:ind w:firstLine="709"/>
        <w:rPr>
          <w:szCs w:val="28"/>
          <w:lang w:val="en-US"/>
        </w:rPr>
      </w:pPr>
      <w:r>
        <w:rPr>
          <w:szCs w:val="28"/>
        </w:rPr>
        <w:t>305.</w:t>
      </w:r>
      <w:r w:rsidRPr="00E32C48">
        <w:rPr>
          <w:lang w:val="en-US"/>
        </w:rPr>
        <w:t> </w:t>
      </w:r>
      <w:r w:rsidR="0050371D" w:rsidRPr="0050371D">
        <w:rPr>
          <w:bCs/>
          <w:szCs w:val="28"/>
          <w:lang w:val="en-US"/>
        </w:rPr>
        <w:t>Essential Interventions, Commodities and Guidelines for Reproductive, Maternal, Newborn and Child Health:</w:t>
      </w:r>
      <w:r w:rsidR="0050371D" w:rsidRPr="0050371D">
        <w:rPr>
          <w:szCs w:val="28"/>
          <w:lang w:val="en-US"/>
        </w:rPr>
        <w:t xml:space="preserve"> A global review of the key interventions related to reproductive, maternal, newborn and child Health / World Health Organization, the Aga Khan University, the Partnership for Maternal, Newborn &amp; Child Health. Geneva, Switzerland, 2011. 28 p. URL: </w:t>
      </w:r>
      <w:hyperlink r:id="rId72" w:history="1">
        <w:r w:rsidR="0050371D" w:rsidRPr="0050371D">
          <w:rPr>
            <w:rStyle w:val="af7"/>
            <w:color w:val="auto"/>
            <w:szCs w:val="28"/>
            <w:u w:val="none"/>
            <w:lang w:val="en-US"/>
          </w:rPr>
          <w:t>https://www.who.int/pmnch/topics/part_publications/essential_interventions_18_01_2012.pdf?ua=1</w:t>
        </w:r>
      </w:hyperlink>
      <w:r w:rsidR="0050371D" w:rsidRPr="0050371D">
        <w:rPr>
          <w:szCs w:val="28"/>
          <w:lang w:val="en-US"/>
        </w:rPr>
        <w:t xml:space="preserve"> </w:t>
      </w:r>
      <w:r w:rsidR="0050371D" w:rsidRPr="0050371D">
        <w:rPr>
          <w:szCs w:val="28"/>
        </w:rPr>
        <w:t>(</w:t>
      </w:r>
      <w:r w:rsidR="0050371D" w:rsidRPr="0050371D">
        <w:rPr>
          <w:szCs w:val="28"/>
          <w:lang w:val="en-US"/>
        </w:rPr>
        <w:t>Last accessed</w:t>
      </w:r>
      <w:r w:rsidR="0050371D" w:rsidRPr="0050371D">
        <w:rPr>
          <w:szCs w:val="28"/>
        </w:rPr>
        <w:t>: 0</w:t>
      </w:r>
      <w:r w:rsidR="0050371D" w:rsidRPr="0050371D">
        <w:rPr>
          <w:szCs w:val="28"/>
          <w:lang w:val="en-US"/>
        </w:rPr>
        <w:t>3</w:t>
      </w:r>
      <w:r w:rsidR="0050371D" w:rsidRPr="0050371D">
        <w:rPr>
          <w:szCs w:val="28"/>
        </w:rPr>
        <w:t>.0</w:t>
      </w:r>
      <w:r w:rsidR="0050371D" w:rsidRPr="0050371D">
        <w:rPr>
          <w:szCs w:val="28"/>
          <w:lang w:val="en-US"/>
        </w:rPr>
        <w:t>4</w:t>
      </w:r>
      <w:r w:rsidR="0050371D" w:rsidRPr="0050371D">
        <w:rPr>
          <w:szCs w:val="28"/>
        </w:rPr>
        <w:t>.202</w:t>
      </w:r>
      <w:r w:rsidR="0050371D" w:rsidRPr="0050371D">
        <w:rPr>
          <w:szCs w:val="28"/>
          <w:lang w:val="en-US"/>
        </w:rPr>
        <w:t>0</w:t>
      </w:r>
      <w:r w:rsidR="0050371D" w:rsidRPr="0050371D">
        <w:rPr>
          <w:szCs w:val="28"/>
        </w:rPr>
        <w:t>).</w:t>
      </w:r>
    </w:p>
    <w:p w:rsidR="00FC2E5F" w:rsidRPr="00FC2E5F" w:rsidRDefault="00E32C48" w:rsidP="00FC2E5F">
      <w:pPr>
        <w:ind w:firstLine="709"/>
        <w:rPr>
          <w:szCs w:val="28"/>
          <w:lang w:val="en-US"/>
        </w:rPr>
      </w:pPr>
      <w:r>
        <w:rPr>
          <w:szCs w:val="28"/>
        </w:rPr>
        <w:t>306.</w:t>
      </w:r>
      <w:r w:rsidRPr="00E32C48">
        <w:rPr>
          <w:szCs w:val="28"/>
          <w:lang w:val="en-US"/>
        </w:rPr>
        <w:t xml:space="preserve"> </w:t>
      </w:r>
      <w:r w:rsidR="00A607AD" w:rsidRPr="00FC2E5F">
        <w:rPr>
          <w:szCs w:val="28"/>
        </w:rPr>
        <w:t>Care of the preterm and low-birth-weight newborn. World Health Organization website. 17 Novem. 2018. URL: https://www.who.int/maternal_child_adolescent/newborns/prematurity/en/ (Last accessed: 15.09.2020).</w:t>
      </w:r>
    </w:p>
    <w:p w:rsidR="00FC2E5F" w:rsidRDefault="00E32C48" w:rsidP="00FC2E5F">
      <w:pPr>
        <w:ind w:firstLine="709"/>
        <w:rPr>
          <w:szCs w:val="28"/>
          <w:lang w:val="ru-RU"/>
        </w:rPr>
      </w:pPr>
      <w:r>
        <w:rPr>
          <w:szCs w:val="28"/>
        </w:rPr>
        <w:t>307.</w:t>
      </w:r>
      <w:r w:rsidRPr="00E32C48">
        <w:rPr>
          <w:szCs w:val="28"/>
          <w:lang w:val="en-US"/>
        </w:rPr>
        <w:t xml:space="preserve"> </w:t>
      </w:r>
      <w:r w:rsidR="00A607AD" w:rsidRPr="00FC2E5F">
        <w:rPr>
          <w:szCs w:val="28"/>
        </w:rPr>
        <w:t>WHO recommendations on antenatal care for a positive pregnancy experience / World</w:t>
      </w:r>
      <w:r w:rsidR="007D3249" w:rsidRPr="007D3249">
        <w:rPr>
          <w:lang w:val="en-US"/>
        </w:rPr>
        <w:t> </w:t>
      </w:r>
      <w:r w:rsidR="00A607AD" w:rsidRPr="00FC2E5F">
        <w:rPr>
          <w:szCs w:val="28"/>
        </w:rPr>
        <w:t>Healt</w:t>
      </w:r>
      <w:r w:rsidR="007D3249">
        <w:rPr>
          <w:szCs w:val="28"/>
        </w:rPr>
        <w:t>h</w:t>
      </w:r>
      <w:r w:rsidR="007D3249">
        <w:t> </w:t>
      </w:r>
      <w:r w:rsidR="007D3249">
        <w:rPr>
          <w:szCs w:val="28"/>
        </w:rPr>
        <w:t>Organization. Geneva, 2016. </w:t>
      </w:r>
      <w:r w:rsidR="00A607AD" w:rsidRPr="00FC2E5F">
        <w:rPr>
          <w:szCs w:val="28"/>
        </w:rPr>
        <w:t>152</w:t>
      </w:r>
      <w:r w:rsidR="007D3249">
        <w:rPr>
          <w:szCs w:val="28"/>
        </w:rPr>
        <w:t> </w:t>
      </w:r>
      <w:r w:rsidR="00A607AD" w:rsidRPr="00FC2E5F">
        <w:rPr>
          <w:szCs w:val="28"/>
        </w:rPr>
        <w:t>p.</w:t>
      </w:r>
      <w:r w:rsidR="007D3249">
        <w:rPr>
          <w:szCs w:val="28"/>
        </w:rPr>
        <w:t> </w:t>
      </w:r>
      <w:r w:rsidR="00A607AD" w:rsidRPr="00FC2E5F">
        <w:rPr>
          <w:szCs w:val="28"/>
        </w:rPr>
        <w:t>URL:</w:t>
      </w:r>
      <w:r w:rsidR="007D3249">
        <w:rPr>
          <w:szCs w:val="28"/>
        </w:rPr>
        <w:t> </w:t>
      </w:r>
      <w:r w:rsidR="00A607AD" w:rsidRPr="00FC2E5F">
        <w:rPr>
          <w:szCs w:val="28"/>
        </w:rPr>
        <w:t xml:space="preserve">https://apps.who.int/iris/bitstream/handle/10665/250796/9789241549912-eng.pdf?sequence=1. </w:t>
      </w:r>
      <w:r w:rsidR="00A607AD" w:rsidRPr="00FC2E5F">
        <w:rPr>
          <w:szCs w:val="28"/>
          <w:lang w:val="ru-RU"/>
        </w:rPr>
        <w:t>(</w:t>
      </w:r>
      <w:r w:rsidR="00A607AD" w:rsidRPr="00FC2E5F">
        <w:rPr>
          <w:szCs w:val="28"/>
        </w:rPr>
        <w:t>Last</w:t>
      </w:r>
      <w:r w:rsidR="00A607AD" w:rsidRPr="00FC2E5F">
        <w:rPr>
          <w:szCs w:val="28"/>
          <w:lang w:val="ru-RU"/>
        </w:rPr>
        <w:t xml:space="preserve"> </w:t>
      </w:r>
      <w:r w:rsidR="00A607AD" w:rsidRPr="00FC2E5F">
        <w:rPr>
          <w:szCs w:val="28"/>
        </w:rPr>
        <w:t>accessed</w:t>
      </w:r>
      <w:r w:rsidR="00A607AD" w:rsidRPr="00FC2E5F">
        <w:rPr>
          <w:szCs w:val="28"/>
          <w:lang w:val="ru-RU"/>
        </w:rPr>
        <w:t>: 15.09.2018).</w:t>
      </w:r>
    </w:p>
    <w:p w:rsidR="00FC2E5F" w:rsidRDefault="00E32C48" w:rsidP="00FC2E5F">
      <w:pPr>
        <w:ind w:firstLine="709"/>
        <w:rPr>
          <w:szCs w:val="28"/>
          <w:lang w:val="ru-RU"/>
        </w:rPr>
      </w:pPr>
      <w:r>
        <w:rPr>
          <w:szCs w:val="28"/>
          <w:lang w:val="ru-RU"/>
        </w:rPr>
        <w:t xml:space="preserve">308. </w:t>
      </w:r>
      <w:r w:rsidR="00A607AD" w:rsidRPr="00FC2E5F">
        <w:rPr>
          <w:szCs w:val="28"/>
          <w:lang w:val="ru-RU"/>
        </w:rPr>
        <w:t xml:space="preserve">Комитет по вопросам здравоохранения провел «круглый стол» на тему: «Пути уменьшения детской смертности»: сообщение / Информационное управление аппарата Верховной рады Украины. Верховная Рада Украины. Официальный веб-портал. 2017. </w:t>
      </w:r>
      <w:r w:rsidR="00A607AD" w:rsidRPr="00FC2E5F">
        <w:rPr>
          <w:szCs w:val="28"/>
        </w:rPr>
        <w:t>URL</w:t>
      </w:r>
      <w:r w:rsidR="00A607AD" w:rsidRPr="00FC2E5F">
        <w:rPr>
          <w:szCs w:val="28"/>
          <w:lang w:val="ru-RU"/>
        </w:rPr>
        <w:t xml:space="preserve">: </w:t>
      </w:r>
      <w:r w:rsidR="00A607AD" w:rsidRPr="00FC2E5F">
        <w:rPr>
          <w:szCs w:val="28"/>
        </w:rPr>
        <w:t>https</w:t>
      </w:r>
      <w:r w:rsidR="00A607AD" w:rsidRPr="00FC2E5F">
        <w:rPr>
          <w:szCs w:val="28"/>
          <w:lang w:val="ru-RU"/>
        </w:rPr>
        <w:t>://</w:t>
      </w:r>
      <w:r w:rsidR="00A607AD" w:rsidRPr="00FC2E5F">
        <w:rPr>
          <w:szCs w:val="28"/>
        </w:rPr>
        <w:t>www</w:t>
      </w:r>
      <w:r w:rsidR="00A607AD" w:rsidRPr="00FC2E5F">
        <w:rPr>
          <w:szCs w:val="28"/>
          <w:lang w:val="ru-RU"/>
        </w:rPr>
        <w:t>.</w:t>
      </w:r>
      <w:r w:rsidR="00A607AD" w:rsidRPr="00FC2E5F">
        <w:rPr>
          <w:szCs w:val="28"/>
        </w:rPr>
        <w:t>rada</w:t>
      </w:r>
      <w:r w:rsidR="00A607AD" w:rsidRPr="00FC2E5F">
        <w:rPr>
          <w:szCs w:val="28"/>
          <w:lang w:val="ru-RU"/>
        </w:rPr>
        <w:t>.</w:t>
      </w:r>
      <w:r w:rsidR="00A607AD" w:rsidRPr="00FC2E5F">
        <w:rPr>
          <w:szCs w:val="28"/>
        </w:rPr>
        <w:t>gov</w:t>
      </w:r>
      <w:r w:rsidR="00A607AD" w:rsidRPr="00FC2E5F">
        <w:rPr>
          <w:szCs w:val="28"/>
          <w:lang w:val="ru-RU"/>
        </w:rPr>
        <w:t>.</w:t>
      </w:r>
      <w:r w:rsidR="00A607AD" w:rsidRPr="00FC2E5F">
        <w:rPr>
          <w:szCs w:val="28"/>
        </w:rPr>
        <w:t>ua</w:t>
      </w:r>
      <w:r w:rsidR="00A607AD" w:rsidRPr="00FC2E5F">
        <w:rPr>
          <w:szCs w:val="28"/>
          <w:lang w:val="ru-RU"/>
        </w:rPr>
        <w:t>/</w:t>
      </w:r>
      <w:r w:rsidR="00A607AD" w:rsidRPr="00FC2E5F">
        <w:rPr>
          <w:szCs w:val="28"/>
        </w:rPr>
        <w:t>ru</w:t>
      </w:r>
      <w:r w:rsidR="00A607AD" w:rsidRPr="00FC2E5F">
        <w:rPr>
          <w:szCs w:val="28"/>
          <w:lang w:val="ru-RU"/>
        </w:rPr>
        <w:t>/</w:t>
      </w:r>
      <w:r w:rsidR="00A607AD" w:rsidRPr="00FC2E5F">
        <w:rPr>
          <w:szCs w:val="28"/>
        </w:rPr>
        <w:t>news</w:t>
      </w:r>
      <w:r w:rsidR="00A607AD" w:rsidRPr="00FC2E5F">
        <w:rPr>
          <w:szCs w:val="28"/>
          <w:lang w:val="ru-RU"/>
        </w:rPr>
        <w:t>/</w:t>
      </w:r>
      <w:r w:rsidR="00A607AD" w:rsidRPr="00FC2E5F">
        <w:rPr>
          <w:szCs w:val="28"/>
        </w:rPr>
        <w:t>Novosty</w:t>
      </w:r>
      <w:r w:rsidR="00A607AD" w:rsidRPr="00FC2E5F">
        <w:rPr>
          <w:szCs w:val="28"/>
          <w:lang w:val="ru-RU"/>
        </w:rPr>
        <w:t>/</w:t>
      </w:r>
      <w:r w:rsidR="00A607AD" w:rsidRPr="00FC2E5F">
        <w:rPr>
          <w:szCs w:val="28"/>
        </w:rPr>
        <w:t>Soobshchenyya</w:t>
      </w:r>
      <w:r w:rsidR="00A607AD" w:rsidRPr="00FC2E5F">
        <w:rPr>
          <w:szCs w:val="28"/>
          <w:lang w:val="ru-RU"/>
        </w:rPr>
        <w:t>/152158.</w:t>
      </w:r>
      <w:r w:rsidR="00A607AD" w:rsidRPr="00FC2E5F">
        <w:rPr>
          <w:szCs w:val="28"/>
        </w:rPr>
        <w:t>html</w:t>
      </w:r>
      <w:r w:rsidR="00A607AD" w:rsidRPr="00FC2E5F">
        <w:rPr>
          <w:szCs w:val="28"/>
          <w:lang w:val="ru-RU"/>
        </w:rPr>
        <w:t xml:space="preserve"> (дата звернення: 15.09.2018).</w:t>
      </w:r>
    </w:p>
    <w:p w:rsidR="00FC2E5F" w:rsidRPr="00B958D8" w:rsidRDefault="00E32C48" w:rsidP="00FC2E5F">
      <w:pPr>
        <w:ind w:firstLine="709"/>
        <w:rPr>
          <w:szCs w:val="28"/>
          <w:lang w:val="en-US"/>
        </w:rPr>
      </w:pPr>
      <w:r>
        <w:rPr>
          <w:szCs w:val="28"/>
        </w:rPr>
        <w:lastRenderedPageBreak/>
        <w:t>309.</w:t>
      </w:r>
      <w:r w:rsidRPr="00E32C48">
        <w:rPr>
          <w:szCs w:val="28"/>
          <w:lang w:val="en-US"/>
        </w:rPr>
        <w:t xml:space="preserve"> </w:t>
      </w:r>
      <w:r w:rsidR="00A607AD" w:rsidRPr="00FC2E5F">
        <w:rPr>
          <w:szCs w:val="28"/>
        </w:rPr>
        <w:t>Explore a world of health data. World Health Organization website. The global health observatory. URL: https://www.who.int/dat</w:t>
      </w:r>
      <w:r w:rsidR="00504856">
        <w:rPr>
          <w:szCs w:val="28"/>
        </w:rPr>
        <w:t>a/gho (Last accessed: 28.02.202</w:t>
      </w:r>
      <w:r w:rsidR="00504856">
        <w:rPr>
          <w:szCs w:val="28"/>
          <w:lang w:val="en-US"/>
        </w:rPr>
        <w:t>0</w:t>
      </w:r>
      <w:r w:rsidR="00A607AD" w:rsidRPr="00FC2E5F">
        <w:rPr>
          <w:szCs w:val="28"/>
        </w:rPr>
        <w:t>).</w:t>
      </w:r>
    </w:p>
    <w:p w:rsidR="00FC2E5F" w:rsidRPr="00B958D8" w:rsidRDefault="00E32C48" w:rsidP="00FC2E5F">
      <w:pPr>
        <w:ind w:firstLine="709"/>
        <w:rPr>
          <w:szCs w:val="28"/>
          <w:lang w:val="en-US"/>
        </w:rPr>
      </w:pPr>
      <w:r>
        <w:rPr>
          <w:szCs w:val="28"/>
        </w:rPr>
        <w:t>310.</w:t>
      </w:r>
      <w:r w:rsidRPr="00E32C48">
        <w:rPr>
          <w:szCs w:val="28"/>
          <w:lang w:val="en-US"/>
        </w:rPr>
        <w:t xml:space="preserve"> </w:t>
      </w:r>
      <w:r w:rsidR="00A607AD" w:rsidRPr="00FC2E5F">
        <w:rPr>
          <w:szCs w:val="28"/>
        </w:rPr>
        <w:t>World Bank Open Data: Free and open access to global development data. The World Bank website. URL:https://data.</w:t>
      </w:r>
      <w:r w:rsidR="00FC2E5F">
        <w:rPr>
          <w:szCs w:val="28"/>
        </w:rPr>
        <w:t>worldbank.org (Last accessed: 2</w:t>
      </w:r>
      <w:r w:rsidR="00FC2E5F" w:rsidRPr="00B958D8">
        <w:rPr>
          <w:szCs w:val="28"/>
          <w:lang w:val="en-US"/>
        </w:rPr>
        <w:t>5</w:t>
      </w:r>
      <w:r w:rsidR="00FC2E5F">
        <w:rPr>
          <w:szCs w:val="28"/>
        </w:rPr>
        <w:t>.0</w:t>
      </w:r>
      <w:r w:rsidR="00FC2E5F" w:rsidRPr="00B958D8">
        <w:rPr>
          <w:szCs w:val="28"/>
          <w:lang w:val="en-US"/>
        </w:rPr>
        <w:t>7</w:t>
      </w:r>
      <w:r w:rsidR="00FC2E5F">
        <w:rPr>
          <w:szCs w:val="28"/>
        </w:rPr>
        <w:t>.202</w:t>
      </w:r>
      <w:r w:rsidR="00FC2E5F" w:rsidRPr="00B958D8">
        <w:rPr>
          <w:szCs w:val="28"/>
          <w:lang w:val="en-US"/>
        </w:rPr>
        <w:t>0</w:t>
      </w:r>
      <w:r w:rsidR="00A607AD" w:rsidRPr="00FC2E5F">
        <w:rPr>
          <w:szCs w:val="28"/>
        </w:rPr>
        <w:t>).</w:t>
      </w:r>
    </w:p>
    <w:p w:rsidR="00403751" w:rsidRPr="00403751" w:rsidRDefault="00E32C48" w:rsidP="00403751">
      <w:pPr>
        <w:ind w:firstLine="709"/>
        <w:rPr>
          <w:szCs w:val="28"/>
          <w:lang w:val="en-US"/>
        </w:rPr>
      </w:pPr>
      <w:r>
        <w:rPr>
          <w:szCs w:val="28"/>
        </w:rPr>
        <w:t>311.</w:t>
      </w:r>
      <w:r w:rsidRPr="00E32C48">
        <w:rPr>
          <w:szCs w:val="28"/>
          <w:lang w:val="en-US"/>
        </w:rPr>
        <w:t xml:space="preserve"> </w:t>
      </w:r>
      <w:r w:rsidR="00A607AD" w:rsidRPr="00FC2E5F">
        <w:rPr>
          <w:szCs w:val="28"/>
        </w:rPr>
        <w:t>European health for all database (HFA-DB).World Health Organization website. European</w:t>
      </w:r>
      <w:r w:rsidR="00504856">
        <w:rPr>
          <w:szCs w:val="28"/>
          <w:lang w:val="en-US"/>
        </w:rPr>
        <w:t> </w:t>
      </w:r>
      <w:r w:rsidR="00A607AD" w:rsidRPr="00FC2E5F">
        <w:rPr>
          <w:szCs w:val="28"/>
        </w:rPr>
        <w:t>health</w:t>
      </w:r>
      <w:r w:rsidR="00504856">
        <w:rPr>
          <w:szCs w:val="28"/>
          <w:lang w:val="en-US"/>
        </w:rPr>
        <w:t> </w:t>
      </w:r>
      <w:r w:rsidR="00A607AD" w:rsidRPr="00FC2E5F">
        <w:rPr>
          <w:szCs w:val="28"/>
        </w:rPr>
        <w:t>information</w:t>
      </w:r>
      <w:r w:rsidR="00504856">
        <w:rPr>
          <w:lang w:val="en-US"/>
        </w:rPr>
        <w:t> </w:t>
      </w:r>
      <w:r w:rsidR="00A607AD" w:rsidRPr="00FC2E5F">
        <w:rPr>
          <w:szCs w:val="28"/>
        </w:rPr>
        <w:t>gateway.</w:t>
      </w:r>
      <w:r w:rsidR="00504856">
        <w:rPr>
          <w:szCs w:val="28"/>
          <w:lang w:val="en-US"/>
        </w:rPr>
        <w:t> </w:t>
      </w:r>
      <w:r w:rsidR="00A607AD" w:rsidRPr="00FC2E5F">
        <w:rPr>
          <w:szCs w:val="28"/>
        </w:rPr>
        <w:t>URL:</w:t>
      </w:r>
      <w:r w:rsidR="00504856">
        <w:rPr>
          <w:szCs w:val="28"/>
          <w:lang w:val="en-US"/>
        </w:rPr>
        <w:t> </w:t>
      </w:r>
      <w:r w:rsidR="00A607AD" w:rsidRPr="00FC2E5F">
        <w:rPr>
          <w:szCs w:val="28"/>
        </w:rPr>
        <w:t>https://gateway.euro.who.int/en/datasets/european-health-for-all</w:t>
      </w:r>
      <w:r w:rsidR="00A84502">
        <w:rPr>
          <w:szCs w:val="28"/>
        </w:rPr>
        <w:t>-database/ (Last accessed: 28.0</w:t>
      </w:r>
      <w:r w:rsidR="00A84502" w:rsidRPr="00A84502">
        <w:rPr>
          <w:szCs w:val="28"/>
          <w:lang w:val="en-US"/>
        </w:rPr>
        <w:t>9</w:t>
      </w:r>
      <w:r w:rsidR="00A84502">
        <w:rPr>
          <w:szCs w:val="28"/>
        </w:rPr>
        <w:t>.202</w:t>
      </w:r>
      <w:r w:rsidR="00A84502" w:rsidRPr="00A84502">
        <w:rPr>
          <w:szCs w:val="28"/>
          <w:lang w:val="en-US"/>
        </w:rPr>
        <w:t>0</w:t>
      </w:r>
      <w:r w:rsidR="00A607AD" w:rsidRPr="00FC2E5F">
        <w:rPr>
          <w:szCs w:val="28"/>
        </w:rPr>
        <w:t>).</w:t>
      </w:r>
    </w:p>
    <w:p w:rsidR="00403751" w:rsidRPr="00403751" w:rsidRDefault="00702A46" w:rsidP="00403751">
      <w:pPr>
        <w:ind w:firstLine="709"/>
        <w:rPr>
          <w:szCs w:val="28"/>
          <w:lang w:val="en-US"/>
        </w:rPr>
      </w:pPr>
      <w:r>
        <w:rPr>
          <w:szCs w:val="28"/>
        </w:rPr>
        <w:t>312.</w:t>
      </w:r>
      <w:r w:rsidRPr="00702A46">
        <w:rPr>
          <w:szCs w:val="28"/>
          <w:lang w:val="en-US"/>
        </w:rPr>
        <w:t xml:space="preserve"> </w:t>
      </w:r>
      <w:r w:rsidR="00A607AD" w:rsidRPr="00403751">
        <w:rPr>
          <w:szCs w:val="28"/>
        </w:rPr>
        <w:t>WONDER online databases utilize a rich ad-hoc query system for the analysis of public health data. Reports and other query systems are also available. CDC: Center for Disease Control and Prevention website. URL: https://w</w:t>
      </w:r>
      <w:r>
        <w:rPr>
          <w:szCs w:val="28"/>
        </w:rPr>
        <w:t>onder.cdc.gov (Last accessed: 2</w:t>
      </w:r>
      <w:r w:rsidRPr="00245598">
        <w:rPr>
          <w:szCs w:val="28"/>
          <w:lang w:val="en-US"/>
        </w:rPr>
        <w:t>4</w:t>
      </w:r>
      <w:r>
        <w:rPr>
          <w:szCs w:val="28"/>
        </w:rPr>
        <w:t>.0</w:t>
      </w:r>
      <w:r w:rsidRPr="00245598">
        <w:rPr>
          <w:szCs w:val="28"/>
          <w:lang w:val="en-US"/>
        </w:rPr>
        <w:t>9</w:t>
      </w:r>
      <w:r>
        <w:rPr>
          <w:szCs w:val="28"/>
        </w:rPr>
        <w:t>.202</w:t>
      </w:r>
      <w:r w:rsidRPr="00245598">
        <w:rPr>
          <w:szCs w:val="28"/>
          <w:lang w:val="en-US"/>
        </w:rPr>
        <w:t>0</w:t>
      </w:r>
      <w:r w:rsidR="00A607AD" w:rsidRPr="00403751">
        <w:rPr>
          <w:szCs w:val="28"/>
        </w:rPr>
        <w:t>).</w:t>
      </w:r>
    </w:p>
    <w:p w:rsidR="00403751" w:rsidRPr="00403751" w:rsidRDefault="00702A46" w:rsidP="00403751">
      <w:pPr>
        <w:ind w:firstLine="709"/>
        <w:rPr>
          <w:szCs w:val="28"/>
          <w:lang w:val="en-US"/>
        </w:rPr>
      </w:pPr>
      <w:r>
        <w:rPr>
          <w:szCs w:val="28"/>
        </w:rPr>
        <w:t>313.</w:t>
      </w:r>
      <w:r w:rsidRPr="00702A46">
        <w:rPr>
          <w:szCs w:val="28"/>
          <w:lang w:val="en-US"/>
        </w:rPr>
        <w:t> </w:t>
      </w:r>
      <w:r w:rsidR="00A607AD" w:rsidRPr="00403751">
        <w:rPr>
          <w:szCs w:val="28"/>
        </w:rPr>
        <w:t>IHME: The Institute for Health Metrics and Evaluation. URL: http://www.healthdata.org (Last accessed: 24.09.2020).</w:t>
      </w:r>
    </w:p>
    <w:p w:rsidR="00EB372B" w:rsidRDefault="00993433" w:rsidP="00EB372B">
      <w:pPr>
        <w:ind w:firstLine="709"/>
        <w:rPr>
          <w:szCs w:val="28"/>
          <w:lang w:val="ru-RU"/>
        </w:rPr>
      </w:pPr>
      <w:r>
        <w:rPr>
          <w:szCs w:val="28"/>
          <w:lang w:val="ru-RU"/>
        </w:rPr>
        <w:t>314.</w:t>
      </w:r>
      <w:r w:rsidRPr="00993433">
        <w:rPr>
          <w:szCs w:val="28"/>
          <w:lang w:val="ru-RU"/>
        </w:rPr>
        <w:t xml:space="preserve"> </w:t>
      </w:r>
      <w:r w:rsidR="00A607AD" w:rsidRPr="00403751">
        <w:rPr>
          <w:szCs w:val="28"/>
          <w:lang w:val="ru-RU"/>
        </w:rPr>
        <w:t xml:space="preserve">Розподіл постійного населення України за статтю та віком на </w:t>
      </w:r>
      <w:r w:rsidR="00EB372B">
        <w:rPr>
          <w:szCs w:val="28"/>
          <w:lang w:val="ru-RU"/>
        </w:rPr>
        <w:t>1 січня 2015 року:</w:t>
      </w:r>
      <w:r>
        <w:rPr>
          <w:lang w:val="ru-RU"/>
        </w:rPr>
        <w:t> </w:t>
      </w:r>
      <w:r w:rsidR="00EB372B">
        <w:rPr>
          <w:szCs w:val="28"/>
          <w:lang w:val="ru-RU"/>
        </w:rPr>
        <w:t>статистичний</w:t>
      </w:r>
      <w:r>
        <w:rPr>
          <w:szCs w:val="28"/>
          <w:lang w:val="ru-RU"/>
        </w:rPr>
        <w:t> </w:t>
      </w:r>
      <w:r w:rsidR="00EB372B">
        <w:rPr>
          <w:szCs w:val="28"/>
          <w:lang w:val="ru-RU"/>
        </w:rPr>
        <w:t>збірник.</w:t>
      </w:r>
      <w:r>
        <w:rPr>
          <w:lang w:val="ru-RU"/>
        </w:rPr>
        <w:t> </w:t>
      </w:r>
      <w:r w:rsidR="00A607AD" w:rsidRPr="00403751">
        <w:rPr>
          <w:szCs w:val="28"/>
          <w:lang w:val="ru-RU"/>
        </w:rPr>
        <w:t>Київ,</w:t>
      </w:r>
      <w:r w:rsidR="00A607AD" w:rsidRPr="00403751">
        <w:rPr>
          <w:szCs w:val="28"/>
        </w:rPr>
        <w:t> </w:t>
      </w:r>
      <w:r w:rsidR="00EB372B">
        <w:rPr>
          <w:szCs w:val="28"/>
          <w:lang w:val="ru-RU"/>
        </w:rPr>
        <w:t>2015.</w:t>
      </w:r>
      <w:r>
        <w:rPr>
          <w:szCs w:val="28"/>
          <w:lang w:val="ru-RU"/>
        </w:rPr>
        <w:t> </w:t>
      </w:r>
      <w:r w:rsidR="00A607AD" w:rsidRPr="00403751">
        <w:rPr>
          <w:szCs w:val="28"/>
          <w:lang w:val="ru-RU"/>
        </w:rPr>
        <w:t>349</w:t>
      </w:r>
      <w:r w:rsidR="00A607AD" w:rsidRPr="00403751">
        <w:rPr>
          <w:szCs w:val="28"/>
        </w:rPr>
        <w:t> </w:t>
      </w:r>
      <w:r w:rsidR="00A607AD" w:rsidRPr="00403751">
        <w:rPr>
          <w:szCs w:val="28"/>
          <w:lang w:val="ru-RU"/>
        </w:rPr>
        <w:t>с.</w:t>
      </w:r>
      <w:r>
        <w:rPr>
          <w:szCs w:val="28"/>
          <w:lang w:val="ru-RU"/>
        </w:rPr>
        <w:t> </w:t>
      </w:r>
      <w:r w:rsidR="00EB372B">
        <w:rPr>
          <w:lang w:val="ru-RU"/>
        </w:rPr>
        <w:t xml:space="preserve"> </w:t>
      </w:r>
      <w:r w:rsidR="00A607AD" w:rsidRPr="00403751">
        <w:rPr>
          <w:szCs w:val="28"/>
        </w:rPr>
        <w:t>URL</w:t>
      </w:r>
      <w:r w:rsidR="00A607AD" w:rsidRPr="00403751">
        <w:rPr>
          <w:szCs w:val="28"/>
          <w:lang w:val="ru-RU"/>
        </w:rPr>
        <w:t>: </w:t>
      </w:r>
      <w:r w:rsidR="00A607AD" w:rsidRPr="00403751">
        <w:rPr>
          <w:szCs w:val="28"/>
        </w:rPr>
        <w:t>http</w:t>
      </w:r>
      <w:r w:rsidR="00A607AD" w:rsidRPr="00403751">
        <w:rPr>
          <w:szCs w:val="28"/>
          <w:lang w:val="ru-RU"/>
        </w:rPr>
        <w:t>://</w:t>
      </w:r>
      <w:r w:rsidR="00A607AD" w:rsidRPr="00403751">
        <w:rPr>
          <w:szCs w:val="28"/>
        </w:rPr>
        <w:t>database</w:t>
      </w:r>
      <w:r w:rsidR="00A607AD" w:rsidRPr="00403751">
        <w:rPr>
          <w:szCs w:val="28"/>
          <w:lang w:val="ru-RU"/>
        </w:rPr>
        <w:t>.</w:t>
      </w:r>
      <w:r w:rsidR="00A607AD" w:rsidRPr="00403751">
        <w:rPr>
          <w:szCs w:val="28"/>
        </w:rPr>
        <w:t>ukrcensus</w:t>
      </w:r>
      <w:r w:rsidR="00A607AD" w:rsidRPr="00403751">
        <w:rPr>
          <w:szCs w:val="28"/>
          <w:lang w:val="ru-RU"/>
        </w:rPr>
        <w:t>.</w:t>
      </w:r>
      <w:r w:rsidR="00A607AD" w:rsidRPr="00403751">
        <w:rPr>
          <w:szCs w:val="28"/>
        </w:rPr>
        <w:t>gov</w:t>
      </w:r>
      <w:r w:rsidR="00A607AD" w:rsidRPr="00403751">
        <w:rPr>
          <w:szCs w:val="28"/>
          <w:lang w:val="ru-RU"/>
        </w:rPr>
        <w:t>.</w:t>
      </w:r>
      <w:r w:rsidR="00A607AD" w:rsidRPr="00403751">
        <w:rPr>
          <w:szCs w:val="28"/>
        </w:rPr>
        <w:t>ua</w:t>
      </w:r>
      <w:r w:rsidR="00A607AD" w:rsidRPr="00403751">
        <w:rPr>
          <w:szCs w:val="28"/>
          <w:lang w:val="ru-RU"/>
        </w:rPr>
        <w:t>/</w:t>
      </w:r>
      <w:r w:rsidR="00A607AD" w:rsidRPr="00403751">
        <w:rPr>
          <w:szCs w:val="28"/>
        </w:rPr>
        <w:t>PXWEB</w:t>
      </w:r>
      <w:r w:rsidR="00A607AD" w:rsidRPr="00403751">
        <w:rPr>
          <w:szCs w:val="28"/>
          <w:lang w:val="ru-RU"/>
        </w:rPr>
        <w:t>2007/</w:t>
      </w:r>
      <w:r w:rsidR="00A607AD" w:rsidRPr="00403751">
        <w:rPr>
          <w:szCs w:val="28"/>
        </w:rPr>
        <w:t>ukr</w:t>
      </w:r>
      <w:r w:rsidR="00A607AD" w:rsidRPr="00403751">
        <w:rPr>
          <w:szCs w:val="28"/>
          <w:lang w:val="ru-RU"/>
        </w:rPr>
        <w:t>/</w:t>
      </w:r>
      <w:r w:rsidR="00A607AD" w:rsidRPr="00403751">
        <w:rPr>
          <w:szCs w:val="28"/>
        </w:rPr>
        <w:t>publ</w:t>
      </w:r>
      <w:r w:rsidR="00A607AD" w:rsidRPr="00403751">
        <w:rPr>
          <w:szCs w:val="28"/>
          <w:lang w:val="ru-RU"/>
        </w:rPr>
        <w:t>_</w:t>
      </w:r>
      <w:r w:rsidR="00A607AD" w:rsidRPr="00403751">
        <w:rPr>
          <w:szCs w:val="28"/>
        </w:rPr>
        <w:t>new</w:t>
      </w:r>
      <w:r w:rsidR="00A607AD" w:rsidRPr="00403751">
        <w:rPr>
          <w:szCs w:val="28"/>
          <w:lang w:val="ru-RU"/>
        </w:rPr>
        <w:t>1/2015/</w:t>
      </w:r>
      <w:r w:rsidR="00A607AD" w:rsidRPr="00403751">
        <w:rPr>
          <w:szCs w:val="28"/>
        </w:rPr>
        <w:t>zb</w:t>
      </w:r>
      <w:r w:rsidR="00A607AD" w:rsidRPr="00403751">
        <w:rPr>
          <w:szCs w:val="28"/>
          <w:lang w:val="ru-RU"/>
        </w:rPr>
        <w:t>_</w:t>
      </w:r>
      <w:r w:rsidR="00A607AD" w:rsidRPr="00403751">
        <w:rPr>
          <w:szCs w:val="28"/>
        </w:rPr>
        <w:t>rpn</w:t>
      </w:r>
      <w:r w:rsidR="00A607AD" w:rsidRPr="00403751">
        <w:rPr>
          <w:szCs w:val="28"/>
          <w:lang w:val="ru-RU"/>
        </w:rPr>
        <w:t>_2015.</w:t>
      </w:r>
      <w:r w:rsidR="00A607AD" w:rsidRPr="00403751">
        <w:rPr>
          <w:szCs w:val="28"/>
        </w:rPr>
        <w:t>pdf</w:t>
      </w:r>
      <w:r w:rsidR="00A607AD" w:rsidRPr="00403751">
        <w:rPr>
          <w:szCs w:val="28"/>
          <w:lang w:val="ru-RU"/>
        </w:rPr>
        <w:t xml:space="preserve"> (дата звернення: 15.09.2019).</w:t>
      </w:r>
    </w:p>
    <w:p w:rsidR="00EB372B" w:rsidRDefault="00702A46" w:rsidP="00EB372B">
      <w:pPr>
        <w:ind w:firstLine="709"/>
        <w:rPr>
          <w:szCs w:val="28"/>
          <w:lang w:val="ru-RU"/>
        </w:rPr>
      </w:pPr>
      <w:r>
        <w:rPr>
          <w:szCs w:val="28"/>
          <w:lang w:val="ru-RU"/>
        </w:rPr>
        <w:t xml:space="preserve">315. </w:t>
      </w:r>
      <w:r w:rsidR="00A607AD" w:rsidRPr="00EB372B">
        <w:rPr>
          <w:szCs w:val="28"/>
          <w:lang w:val="ru-RU"/>
        </w:rPr>
        <w:t>Розподіл постійного населення України за статтю та віко</w:t>
      </w:r>
      <w:r w:rsidR="00EB372B">
        <w:rPr>
          <w:szCs w:val="28"/>
          <w:lang w:val="ru-RU"/>
        </w:rPr>
        <w:t>м на 1 січня 2019 року:</w:t>
      </w:r>
      <w:r w:rsidR="00993433">
        <w:rPr>
          <w:szCs w:val="28"/>
          <w:lang w:val="en-US"/>
        </w:rPr>
        <w:t> </w:t>
      </w:r>
      <w:r w:rsidR="00EB372B">
        <w:rPr>
          <w:szCs w:val="28"/>
          <w:lang w:val="ru-RU"/>
        </w:rPr>
        <w:t>збірник</w:t>
      </w:r>
      <w:r w:rsidR="00993433">
        <w:rPr>
          <w:szCs w:val="28"/>
          <w:lang w:val="en-US"/>
        </w:rPr>
        <w:t> </w:t>
      </w:r>
      <w:r w:rsidR="00A607AD" w:rsidRPr="00EB372B">
        <w:rPr>
          <w:szCs w:val="28"/>
        </w:rPr>
        <w:t>URL</w:t>
      </w:r>
      <w:r w:rsidR="00A607AD" w:rsidRPr="00EB372B">
        <w:rPr>
          <w:szCs w:val="28"/>
          <w:lang w:val="ru-RU"/>
        </w:rPr>
        <w:t>:</w:t>
      </w:r>
      <w:r w:rsidR="00993433">
        <w:rPr>
          <w:szCs w:val="28"/>
          <w:lang w:val="en-US"/>
        </w:rPr>
        <w:t> </w:t>
      </w:r>
      <w:r w:rsidR="00A607AD" w:rsidRPr="00EB372B">
        <w:rPr>
          <w:szCs w:val="28"/>
        </w:rPr>
        <w:t>http</w:t>
      </w:r>
      <w:r w:rsidR="00A607AD" w:rsidRPr="00EB372B">
        <w:rPr>
          <w:szCs w:val="28"/>
          <w:lang w:val="ru-RU"/>
        </w:rPr>
        <w:t>://</w:t>
      </w:r>
      <w:r w:rsidR="00A607AD" w:rsidRPr="00EB372B">
        <w:rPr>
          <w:szCs w:val="28"/>
        </w:rPr>
        <w:t>database</w:t>
      </w:r>
      <w:r w:rsidR="00A607AD" w:rsidRPr="00EB372B">
        <w:rPr>
          <w:szCs w:val="28"/>
          <w:lang w:val="ru-RU"/>
        </w:rPr>
        <w:t>.</w:t>
      </w:r>
      <w:r w:rsidR="00A607AD" w:rsidRPr="00EB372B">
        <w:rPr>
          <w:szCs w:val="28"/>
        </w:rPr>
        <w:t>ukrcensus</w:t>
      </w:r>
      <w:r w:rsidR="00A607AD" w:rsidRPr="00EB372B">
        <w:rPr>
          <w:szCs w:val="28"/>
          <w:lang w:val="ru-RU"/>
        </w:rPr>
        <w:t>.</w:t>
      </w:r>
      <w:r w:rsidR="00A607AD" w:rsidRPr="00EB372B">
        <w:rPr>
          <w:szCs w:val="28"/>
        </w:rPr>
        <w:t>gov</w:t>
      </w:r>
      <w:r w:rsidR="00A607AD" w:rsidRPr="00EB372B">
        <w:rPr>
          <w:szCs w:val="28"/>
          <w:lang w:val="ru-RU"/>
        </w:rPr>
        <w:t>.</w:t>
      </w:r>
      <w:r w:rsidR="00A607AD" w:rsidRPr="00EB372B">
        <w:rPr>
          <w:szCs w:val="28"/>
        </w:rPr>
        <w:t>ua</w:t>
      </w:r>
      <w:r w:rsidR="00A607AD" w:rsidRPr="00EB372B">
        <w:rPr>
          <w:szCs w:val="28"/>
          <w:lang w:val="ru-RU"/>
        </w:rPr>
        <w:t>/</w:t>
      </w:r>
      <w:r w:rsidR="00A607AD" w:rsidRPr="00EB372B">
        <w:rPr>
          <w:szCs w:val="28"/>
        </w:rPr>
        <w:t>PXWEB</w:t>
      </w:r>
      <w:r w:rsidR="00A607AD" w:rsidRPr="00EB372B">
        <w:rPr>
          <w:szCs w:val="28"/>
          <w:lang w:val="ru-RU"/>
        </w:rPr>
        <w:t>2007/</w:t>
      </w:r>
      <w:r w:rsidR="00A607AD" w:rsidRPr="00EB372B">
        <w:rPr>
          <w:szCs w:val="28"/>
        </w:rPr>
        <w:t>ukr</w:t>
      </w:r>
      <w:r w:rsidR="00A607AD" w:rsidRPr="00EB372B">
        <w:rPr>
          <w:szCs w:val="28"/>
          <w:lang w:val="ru-RU"/>
        </w:rPr>
        <w:t>/</w:t>
      </w:r>
      <w:r w:rsidR="00A607AD" w:rsidRPr="00EB372B">
        <w:rPr>
          <w:szCs w:val="28"/>
        </w:rPr>
        <w:t>publ</w:t>
      </w:r>
      <w:r w:rsidR="00A607AD" w:rsidRPr="00EB372B">
        <w:rPr>
          <w:szCs w:val="28"/>
          <w:lang w:val="ru-RU"/>
        </w:rPr>
        <w:t>_</w:t>
      </w:r>
      <w:r w:rsidR="00A607AD" w:rsidRPr="00EB372B">
        <w:rPr>
          <w:szCs w:val="28"/>
        </w:rPr>
        <w:t>new</w:t>
      </w:r>
      <w:r w:rsidR="00A607AD" w:rsidRPr="00EB372B">
        <w:rPr>
          <w:szCs w:val="28"/>
          <w:lang w:val="ru-RU"/>
        </w:rPr>
        <w:t>1/2019/</w:t>
      </w:r>
      <w:r w:rsidR="00A607AD" w:rsidRPr="00EB372B">
        <w:rPr>
          <w:szCs w:val="28"/>
        </w:rPr>
        <w:t>zb</w:t>
      </w:r>
      <w:r w:rsidR="00A607AD" w:rsidRPr="00EB372B">
        <w:rPr>
          <w:szCs w:val="28"/>
          <w:lang w:val="ru-RU"/>
        </w:rPr>
        <w:t>_</w:t>
      </w:r>
      <w:r w:rsidR="00A607AD" w:rsidRPr="00EB372B">
        <w:rPr>
          <w:szCs w:val="28"/>
        </w:rPr>
        <w:t>rpnu</w:t>
      </w:r>
      <w:r w:rsidR="00A607AD" w:rsidRPr="00EB372B">
        <w:rPr>
          <w:szCs w:val="28"/>
          <w:lang w:val="ru-RU"/>
        </w:rPr>
        <w:t>2019.</w:t>
      </w:r>
      <w:r w:rsidR="00A607AD" w:rsidRPr="00EB372B">
        <w:rPr>
          <w:szCs w:val="28"/>
        </w:rPr>
        <w:t>pdf</w:t>
      </w:r>
      <w:r w:rsidR="00A607AD" w:rsidRPr="00EB372B">
        <w:rPr>
          <w:szCs w:val="28"/>
          <w:lang w:val="ru-RU"/>
        </w:rPr>
        <w:t xml:space="preserve"> (</w:t>
      </w:r>
      <w:r w:rsidR="00A607AD" w:rsidRPr="00EB372B">
        <w:rPr>
          <w:szCs w:val="28"/>
        </w:rPr>
        <w:t>Last</w:t>
      </w:r>
      <w:r w:rsidR="00A607AD" w:rsidRPr="00EB372B">
        <w:rPr>
          <w:szCs w:val="28"/>
          <w:lang w:val="ru-RU"/>
        </w:rPr>
        <w:t xml:space="preserve"> </w:t>
      </w:r>
      <w:r w:rsidR="00A607AD" w:rsidRPr="00EB372B">
        <w:rPr>
          <w:szCs w:val="28"/>
        </w:rPr>
        <w:t>accessed</w:t>
      </w:r>
      <w:r w:rsidR="00A607AD" w:rsidRPr="00EB372B">
        <w:rPr>
          <w:szCs w:val="28"/>
          <w:lang w:val="ru-RU"/>
        </w:rPr>
        <w:t>: 28.09.2020).</w:t>
      </w:r>
    </w:p>
    <w:p w:rsidR="00EB372B" w:rsidRDefault="00993433" w:rsidP="00EB372B">
      <w:pPr>
        <w:ind w:firstLine="709"/>
        <w:rPr>
          <w:szCs w:val="28"/>
          <w:lang w:val="ru-RU"/>
        </w:rPr>
      </w:pPr>
      <w:r>
        <w:rPr>
          <w:szCs w:val="28"/>
        </w:rPr>
        <w:t>316.</w:t>
      </w:r>
      <w:r>
        <w:rPr>
          <w:szCs w:val="28"/>
          <w:lang w:val="en-US"/>
        </w:rPr>
        <w:t xml:space="preserve"> </w:t>
      </w:r>
      <w:r w:rsidR="00A607AD" w:rsidRPr="00EB372B">
        <w:rPr>
          <w:szCs w:val="28"/>
        </w:rPr>
        <w:t>Global, regional, and national age-sex specific mortality for 264 causes of death, 1980-2016: a systematic analysis for the Global Burden of Disease Study 2016. Lancet</w:t>
      </w:r>
      <w:r w:rsidR="00A607AD" w:rsidRPr="00B958D8">
        <w:rPr>
          <w:szCs w:val="28"/>
          <w:lang w:val="ru-RU"/>
        </w:rPr>
        <w:t xml:space="preserve">. 2017. </w:t>
      </w:r>
      <w:r w:rsidR="00A607AD" w:rsidRPr="00EB372B">
        <w:rPr>
          <w:szCs w:val="28"/>
        </w:rPr>
        <w:t>Vol</w:t>
      </w:r>
      <w:r w:rsidR="00A607AD" w:rsidRPr="00B958D8">
        <w:rPr>
          <w:szCs w:val="28"/>
          <w:lang w:val="ru-RU"/>
        </w:rPr>
        <w:t xml:space="preserve">. 390 (10100). </w:t>
      </w:r>
      <w:r w:rsidR="00A607AD" w:rsidRPr="00EB372B">
        <w:rPr>
          <w:szCs w:val="28"/>
        </w:rPr>
        <w:t>P</w:t>
      </w:r>
      <w:r w:rsidR="00A607AD" w:rsidRPr="00B958D8">
        <w:rPr>
          <w:szCs w:val="28"/>
          <w:lang w:val="ru-RU"/>
        </w:rPr>
        <w:t xml:space="preserve">. 1151–1210. </w:t>
      </w:r>
      <w:r w:rsidR="00A607AD" w:rsidRPr="00EB372B">
        <w:rPr>
          <w:szCs w:val="28"/>
        </w:rPr>
        <w:t>DOI</w:t>
      </w:r>
      <w:r w:rsidR="00A607AD" w:rsidRPr="00B958D8">
        <w:rPr>
          <w:szCs w:val="28"/>
          <w:lang w:val="ru-RU"/>
        </w:rPr>
        <w:t>: 10.1016/</w:t>
      </w:r>
      <w:r w:rsidR="00A607AD" w:rsidRPr="00EB372B">
        <w:rPr>
          <w:szCs w:val="28"/>
        </w:rPr>
        <w:t>S</w:t>
      </w:r>
      <w:r w:rsidR="00A607AD" w:rsidRPr="00B958D8">
        <w:rPr>
          <w:szCs w:val="28"/>
          <w:lang w:val="ru-RU"/>
        </w:rPr>
        <w:t>0140-6736(17)32152-9. (</w:t>
      </w:r>
      <w:r w:rsidR="00A607AD" w:rsidRPr="00EB372B">
        <w:rPr>
          <w:szCs w:val="28"/>
        </w:rPr>
        <w:t>Last</w:t>
      </w:r>
      <w:r w:rsidR="00A607AD" w:rsidRPr="00B958D8">
        <w:rPr>
          <w:szCs w:val="28"/>
          <w:lang w:val="ru-RU"/>
        </w:rPr>
        <w:t xml:space="preserve"> </w:t>
      </w:r>
      <w:r w:rsidR="00A607AD" w:rsidRPr="00EB372B">
        <w:rPr>
          <w:szCs w:val="28"/>
        </w:rPr>
        <w:t>accessed</w:t>
      </w:r>
      <w:r w:rsidR="00A607AD" w:rsidRPr="00B958D8">
        <w:rPr>
          <w:szCs w:val="28"/>
          <w:lang w:val="ru-RU"/>
        </w:rPr>
        <w:t>: 28.09.2020).</w:t>
      </w:r>
    </w:p>
    <w:p w:rsidR="00EB372B" w:rsidRDefault="00993433" w:rsidP="00EB372B">
      <w:pPr>
        <w:ind w:firstLine="709"/>
        <w:rPr>
          <w:szCs w:val="28"/>
          <w:lang w:val="ru-RU"/>
        </w:rPr>
      </w:pPr>
      <w:r>
        <w:rPr>
          <w:szCs w:val="28"/>
          <w:lang w:val="ru-RU"/>
        </w:rPr>
        <w:t>317.</w:t>
      </w:r>
      <w:r w:rsidRPr="00993433">
        <w:rPr>
          <w:szCs w:val="28"/>
          <w:lang w:val="ru-RU"/>
        </w:rPr>
        <w:t xml:space="preserve"> </w:t>
      </w:r>
      <w:r w:rsidR="00A607AD" w:rsidRPr="00EB372B">
        <w:rPr>
          <w:szCs w:val="28"/>
          <w:lang w:val="ru-RU"/>
        </w:rPr>
        <w:t xml:space="preserve">Глобальные факторы риска для здоровья: смертность и бремя болезней, обусловленные некоторыми основными факторами риска / </w:t>
      </w:r>
      <w:r w:rsidR="00A607AD" w:rsidRPr="00EB372B">
        <w:rPr>
          <w:szCs w:val="28"/>
        </w:rPr>
        <w:t>World</w:t>
      </w:r>
      <w:r w:rsidR="00A607AD" w:rsidRPr="00EB372B">
        <w:rPr>
          <w:szCs w:val="28"/>
          <w:lang w:val="ru-RU"/>
        </w:rPr>
        <w:t xml:space="preserve"> </w:t>
      </w:r>
      <w:r w:rsidR="00A607AD" w:rsidRPr="00EB372B">
        <w:rPr>
          <w:szCs w:val="28"/>
        </w:rPr>
        <w:t>Health</w:t>
      </w:r>
      <w:r w:rsidR="00A607AD" w:rsidRPr="00EB372B">
        <w:rPr>
          <w:szCs w:val="28"/>
          <w:lang w:val="ru-RU"/>
        </w:rPr>
        <w:t xml:space="preserve"> </w:t>
      </w:r>
      <w:r w:rsidR="00A607AD" w:rsidRPr="00EB372B">
        <w:rPr>
          <w:szCs w:val="28"/>
        </w:rPr>
        <w:t>Organization</w:t>
      </w:r>
      <w:r w:rsidR="00A607AD" w:rsidRPr="00EB372B">
        <w:rPr>
          <w:szCs w:val="28"/>
          <w:lang w:val="ru-RU"/>
        </w:rPr>
        <w:t>. 2015. 70 </w:t>
      </w:r>
      <w:r w:rsidR="00A607AD" w:rsidRPr="00EB372B">
        <w:rPr>
          <w:szCs w:val="28"/>
        </w:rPr>
        <w:t>p</w:t>
      </w:r>
      <w:r w:rsidR="00A607AD" w:rsidRPr="00EB372B">
        <w:rPr>
          <w:szCs w:val="28"/>
          <w:lang w:val="ru-RU"/>
        </w:rPr>
        <w:t>. </w:t>
      </w:r>
      <w:r w:rsidR="00A607AD" w:rsidRPr="00EB372B">
        <w:rPr>
          <w:szCs w:val="28"/>
        </w:rPr>
        <w:t>URL</w:t>
      </w:r>
      <w:r w:rsidR="00A607AD" w:rsidRPr="00EB372B">
        <w:rPr>
          <w:szCs w:val="28"/>
          <w:lang w:val="ru-RU"/>
        </w:rPr>
        <w:t>: </w:t>
      </w:r>
      <w:r w:rsidR="00A607AD" w:rsidRPr="00EB372B">
        <w:rPr>
          <w:szCs w:val="28"/>
        </w:rPr>
        <w:t>https</w:t>
      </w:r>
      <w:r w:rsidR="00A607AD" w:rsidRPr="00EB372B">
        <w:rPr>
          <w:szCs w:val="28"/>
          <w:lang w:val="ru-RU"/>
        </w:rPr>
        <w:t>://</w:t>
      </w:r>
      <w:r w:rsidR="00A607AD" w:rsidRPr="00EB372B">
        <w:rPr>
          <w:szCs w:val="28"/>
        </w:rPr>
        <w:t>apps</w:t>
      </w:r>
      <w:r w:rsidR="00A607AD" w:rsidRPr="00EB372B">
        <w:rPr>
          <w:szCs w:val="28"/>
          <w:lang w:val="ru-RU"/>
        </w:rPr>
        <w:t>.</w:t>
      </w:r>
      <w:r w:rsidR="00A607AD" w:rsidRPr="00EB372B">
        <w:rPr>
          <w:szCs w:val="28"/>
        </w:rPr>
        <w:t>who</w:t>
      </w:r>
      <w:r w:rsidR="00A607AD" w:rsidRPr="00EB372B">
        <w:rPr>
          <w:szCs w:val="28"/>
          <w:lang w:val="ru-RU"/>
        </w:rPr>
        <w:t>.</w:t>
      </w:r>
      <w:r w:rsidR="00A607AD" w:rsidRPr="00EB372B">
        <w:rPr>
          <w:szCs w:val="28"/>
        </w:rPr>
        <w:t>int</w:t>
      </w:r>
      <w:r w:rsidR="00A607AD" w:rsidRPr="00EB372B">
        <w:rPr>
          <w:szCs w:val="28"/>
          <w:lang w:val="ru-RU"/>
        </w:rPr>
        <w:t>/</w:t>
      </w:r>
      <w:r w:rsidR="00A607AD" w:rsidRPr="00EB372B">
        <w:rPr>
          <w:szCs w:val="28"/>
        </w:rPr>
        <w:t>iris</w:t>
      </w:r>
      <w:r w:rsidR="00A607AD" w:rsidRPr="00EB372B">
        <w:rPr>
          <w:szCs w:val="28"/>
          <w:lang w:val="ru-RU"/>
        </w:rPr>
        <w:t>/</w:t>
      </w:r>
      <w:r w:rsidR="00A607AD" w:rsidRPr="00EB372B">
        <w:rPr>
          <w:szCs w:val="28"/>
        </w:rPr>
        <w:t>bitstream</w:t>
      </w:r>
      <w:r w:rsidR="00A607AD" w:rsidRPr="00EB372B">
        <w:rPr>
          <w:szCs w:val="28"/>
          <w:lang w:val="ru-RU"/>
        </w:rPr>
        <w:t>/</w:t>
      </w:r>
      <w:r w:rsidR="00A607AD" w:rsidRPr="00EB372B">
        <w:rPr>
          <w:szCs w:val="28"/>
        </w:rPr>
        <w:t>handle</w:t>
      </w:r>
      <w:r w:rsidR="00A607AD" w:rsidRPr="00EB372B">
        <w:rPr>
          <w:szCs w:val="28"/>
          <w:lang w:val="ru-RU"/>
        </w:rPr>
        <w:t>/10665/44203/9789244563878_</w:t>
      </w:r>
      <w:r w:rsidR="00A607AD" w:rsidRPr="00EB372B">
        <w:rPr>
          <w:szCs w:val="28"/>
        </w:rPr>
        <w:t>rus</w:t>
      </w:r>
      <w:r w:rsidR="00A607AD" w:rsidRPr="00EB372B">
        <w:rPr>
          <w:szCs w:val="28"/>
          <w:lang w:val="ru-RU"/>
        </w:rPr>
        <w:t>.</w:t>
      </w:r>
      <w:r w:rsidR="00A607AD" w:rsidRPr="00EB372B">
        <w:rPr>
          <w:szCs w:val="28"/>
        </w:rPr>
        <w:t>pdf</w:t>
      </w:r>
      <w:r w:rsidR="00A607AD" w:rsidRPr="00EB372B">
        <w:rPr>
          <w:szCs w:val="28"/>
          <w:lang w:val="ru-RU"/>
        </w:rPr>
        <w:t>?%20</w:t>
      </w:r>
      <w:r w:rsidR="00A607AD" w:rsidRPr="00EB372B">
        <w:rPr>
          <w:szCs w:val="28"/>
        </w:rPr>
        <w:t>sequence</w:t>
      </w:r>
      <w:r w:rsidR="00A607AD" w:rsidRPr="00EB372B">
        <w:rPr>
          <w:szCs w:val="28"/>
          <w:lang w:val="ru-RU"/>
        </w:rPr>
        <w:t>=8</w:t>
      </w:r>
      <w:r w:rsidR="00A607AD" w:rsidRPr="00EB372B">
        <w:rPr>
          <w:szCs w:val="28"/>
        </w:rPr>
        <w:t>sequence</w:t>
      </w:r>
      <w:r w:rsidR="00A607AD" w:rsidRPr="00EB372B">
        <w:rPr>
          <w:szCs w:val="28"/>
          <w:lang w:val="ru-RU"/>
        </w:rPr>
        <w:t>= (дата звернення: 15.09.2019).</w:t>
      </w:r>
    </w:p>
    <w:p w:rsidR="00EB372B" w:rsidRDefault="00993433" w:rsidP="00EB372B">
      <w:pPr>
        <w:ind w:firstLine="709"/>
        <w:rPr>
          <w:szCs w:val="28"/>
          <w:lang w:val="ru-RU"/>
        </w:rPr>
      </w:pPr>
      <w:r>
        <w:rPr>
          <w:szCs w:val="28"/>
          <w:lang w:val="ru-RU"/>
        </w:rPr>
        <w:lastRenderedPageBreak/>
        <w:t>318.</w:t>
      </w:r>
      <w:r w:rsidRPr="00993433">
        <w:rPr>
          <w:szCs w:val="28"/>
          <w:lang w:val="ru-RU"/>
        </w:rPr>
        <w:t xml:space="preserve"> </w:t>
      </w:r>
      <w:r w:rsidR="00A607AD" w:rsidRPr="00EB372B">
        <w:rPr>
          <w:szCs w:val="28"/>
          <w:lang w:val="ru-RU"/>
        </w:rPr>
        <w:t>Про орієнтовні нормативи потреби у стаціонарній медичній допомозі дітям, вагітним, роділлям, породіллям та гінекологічним хворим затверджені: Наказ МОЗ України від 24.03.98 р. №</w:t>
      </w:r>
      <w:r w:rsidR="00A03EF1">
        <w:rPr>
          <w:szCs w:val="28"/>
          <w:lang w:val="ru-RU"/>
        </w:rPr>
        <w:t> </w:t>
      </w:r>
      <w:r w:rsidR="00A607AD" w:rsidRPr="00EB372B">
        <w:rPr>
          <w:szCs w:val="28"/>
          <w:lang w:val="ru-RU"/>
        </w:rPr>
        <w:t xml:space="preserve">74. </w:t>
      </w:r>
      <w:r w:rsidR="00A607AD" w:rsidRPr="00EB372B">
        <w:rPr>
          <w:szCs w:val="28"/>
        </w:rPr>
        <w:t>URL</w:t>
      </w:r>
      <w:r w:rsidR="00A607AD" w:rsidRPr="00EB372B">
        <w:rPr>
          <w:szCs w:val="28"/>
          <w:lang w:val="ru-RU"/>
        </w:rPr>
        <w:t xml:space="preserve">: </w:t>
      </w:r>
      <w:r w:rsidR="00A607AD" w:rsidRPr="00EB372B">
        <w:rPr>
          <w:szCs w:val="28"/>
        </w:rPr>
        <w:t>https</w:t>
      </w:r>
      <w:r w:rsidR="00A607AD" w:rsidRPr="00EB372B">
        <w:rPr>
          <w:szCs w:val="28"/>
          <w:lang w:val="ru-RU"/>
        </w:rPr>
        <w:t>://</w:t>
      </w:r>
      <w:r w:rsidR="00A607AD" w:rsidRPr="00EB372B">
        <w:rPr>
          <w:szCs w:val="28"/>
        </w:rPr>
        <w:t>ips</w:t>
      </w:r>
      <w:r w:rsidR="00A607AD" w:rsidRPr="00EB372B">
        <w:rPr>
          <w:szCs w:val="28"/>
          <w:lang w:val="ru-RU"/>
        </w:rPr>
        <w:t>.</w:t>
      </w:r>
      <w:r w:rsidR="00A607AD" w:rsidRPr="00EB372B">
        <w:rPr>
          <w:szCs w:val="28"/>
        </w:rPr>
        <w:t>ligazakon</w:t>
      </w:r>
      <w:r w:rsidR="00A607AD" w:rsidRPr="00EB372B">
        <w:rPr>
          <w:szCs w:val="28"/>
          <w:lang w:val="ru-RU"/>
        </w:rPr>
        <w:t>.</w:t>
      </w:r>
      <w:r w:rsidR="00A607AD" w:rsidRPr="00EB372B">
        <w:rPr>
          <w:szCs w:val="28"/>
        </w:rPr>
        <w:t>net</w:t>
      </w:r>
      <w:r w:rsidR="00A607AD" w:rsidRPr="00EB372B">
        <w:rPr>
          <w:szCs w:val="28"/>
          <w:lang w:val="ru-RU"/>
        </w:rPr>
        <w:t>/</w:t>
      </w:r>
      <w:r w:rsidR="00A607AD" w:rsidRPr="00EB372B">
        <w:rPr>
          <w:szCs w:val="28"/>
        </w:rPr>
        <w:t>document</w:t>
      </w:r>
      <w:r w:rsidR="00A607AD" w:rsidRPr="00EB372B">
        <w:rPr>
          <w:szCs w:val="28"/>
          <w:lang w:val="ru-RU"/>
        </w:rPr>
        <w:t>/</w:t>
      </w:r>
      <w:r w:rsidR="00A607AD" w:rsidRPr="00EB372B">
        <w:rPr>
          <w:szCs w:val="28"/>
        </w:rPr>
        <w:t>view</w:t>
      </w:r>
      <w:r w:rsidR="00A607AD" w:rsidRPr="00EB372B">
        <w:rPr>
          <w:szCs w:val="28"/>
          <w:lang w:val="ru-RU"/>
        </w:rPr>
        <w:t>/</w:t>
      </w:r>
      <w:r w:rsidR="00A607AD" w:rsidRPr="00EB372B">
        <w:rPr>
          <w:szCs w:val="28"/>
        </w:rPr>
        <w:t>MOZ</w:t>
      </w:r>
      <w:r w:rsidR="00A607AD" w:rsidRPr="00EB372B">
        <w:rPr>
          <w:szCs w:val="28"/>
          <w:lang w:val="ru-RU"/>
        </w:rPr>
        <w:t>056 (дата звернення: 03.10.2020).</w:t>
      </w:r>
    </w:p>
    <w:p w:rsidR="00EB372B" w:rsidRDefault="00993433" w:rsidP="00EB372B">
      <w:pPr>
        <w:ind w:firstLine="709"/>
        <w:rPr>
          <w:szCs w:val="28"/>
          <w:lang w:val="ru-RU"/>
        </w:rPr>
      </w:pPr>
      <w:r>
        <w:rPr>
          <w:szCs w:val="28"/>
          <w:lang w:val="ru-RU"/>
        </w:rPr>
        <w:t>319.</w:t>
      </w:r>
      <w:r w:rsidRPr="00993433">
        <w:rPr>
          <w:szCs w:val="28"/>
          <w:lang w:val="ru-RU"/>
        </w:rPr>
        <w:t xml:space="preserve"> </w:t>
      </w:r>
      <w:r w:rsidR="00A607AD" w:rsidRPr="00EB372B">
        <w:rPr>
          <w:szCs w:val="28"/>
          <w:lang w:val="ru-RU"/>
        </w:rPr>
        <w:t>Про затвердження нормативу забезпечення стаціонарними лікарняними ліжками у розрахунку на 10 тис. населення: Постанова Кабінету Міністрів України від 25 лист. 2015 р. №</w:t>
      </w:r>
      <w:r w:rsidR="00A03EF1">
        <w:rPr>
          <w:szCs w:val="28"/>
          <w:lang w:val="ru-RU"/>
        </w:rPr>
        <w:t> </w:t>
      </w:r>
      <w:r w:rsidR="00A607AD" w:rsidRPr="00EB372B">
        <w:rPr>
          <w:szCs w:val="28"/>
          <w:lang w:val="ru-RU"/>
        </w:rPr>
        <w:t xml:space="preserve">1024. </w:t>
      </w:r>
      <w:r w:rsidR="00A607AD" w:rsidRPr="00EB372B">
        <w:rPr>
          <w:szCs w:val="28"/>
        </w:rPr>
        <w:t>URL</w:t>
      </w:r>
      <w:r w:rsidR="00A607AD" w:rsidRPr="00EB372B">
        <w:rPr>
          <w:szCs w:val="28"/>
          <w:lang w:val="ru-RU"/>
        </w:rPr>
        <w:t xml:space="preserve">: </w:t>
      </w:r>
      <w:r w:rsidR="00A607AD" w:rsidRPr="00EB372B">
        <w:rPr>
          <w:szCs w:val="28"/>
        </w:rPr>
        <w:t>https</w:t>
      </w:r>
      <w:r w:rsidR="00A607AD" w:rsidRPr="00EB372B">
        <w:rPr>
          <w:szCs w:val="28"/>
          <w:lang w:val="ru-RU"/>
        </w:rPr>
        <w:t>://</w:t>
      </w:r>
      <w:r w:rsidR="00A607AD" w:rsidRPr="00EB372B">
        <w:rPr>
          <w:szCs w:val="28"/>
        </w:rPr>
        <w:t>zakon</w:t>
      </w:r>
      <w:r w:rsidR="00A607AD" w:rsidRPr="00EB372B">
        <w:rPr>
          <w:szCs w:val="28"/>
          <w:lang w:val="ru-RU"/>
        </w:rPr>
        <w:t>.</w:t>
      </w:r>
      <w:r w:rsidR="00A607AD" w:rsidRPr="00EB372B">
        <w:rPr>
          <w:szCs w:val="28"/>
        </w:rPr>
        <w:t>rada</w:t>
      </w:r>
      <w:r w:rsidR="00A607AD" w:rsidRPr="00EB372B">
        <w:rPr>
          <w:szCs w:val="28"/>
          <w:lang w:val="ru-RU"/>
        </w:rPr>
        <w:t>.</w:t>
      </w:r>
      <w:r w:rsidR="00A607AD" w:rsidRPr="00EB372B">
        <w:rPr>
          <w:szCs w:val="28"/>
        </w:rPr>
        <w:t>gov</w:t>
      </w:r>
      <w:r w:rsidR="00A607AD" w:rsidRPr="00EB372B">
        <w:rPr>
          <w:szCs w:val="28"/>
          <w:lang w:val="ru-RU"/>
        </w:rPr>
        <w:t>.</w:t>
      </w:r>
      <w:r w:rsidR="00A607AD" w:rsidRPr="00EB372B">
        <w:rPr>
          <w:szCs w:val="28"/>
        </w:rPr>
        <w:t>ua</w:t>
      </w:r>
      <w:r w:rsidR="00A607AD" w:rsidRPr="00EB372B">
        <w:rPr>
          <w:szCs w:val="28"/>
          <w:lang w:val="ru-RU"/>
        </w:rPr>
        <w:t>/</w:t>
      </w:r>
      <w:r w:rsidR="00A607AD" w:rsidRPr="00EB372B">
        <w:rPr>
          <w:szCs w:val="28"/>
        </w:rPr>
        <w:t>laws</w:t>
      </w:r>
      <w:r w:rsidR="00A607AD" w:rsidRPr="00EB372B">
        <w:rPr>
          <w:szCs w:val="28"/>
          <w:lang w:val="ru-RU"/>
        </w:rPr>
        <w:t>/</w:t>
      </w:r>
      <w:r w:rsidR="00A607AD" w:rsidRPr="00EB372B">
        <w:rPr>
          <w:szCs w:val="28"/>
        </w:rPr>
        <w:t>show</w:t>
      </w:r>
      <w:r w:rsidR="00A607AD" w:rsidRPr="00EB372B">
        <w:rPr>
          <w:szCs w:val="28"/>
          <w:lang w:val="ru-RU"/>
        </w:rPr>
        <w:t>/1024-2015-п#</w:t>
      </w:r>
      <w:r w:rsidR="00A607AD" w:rsidRPr="00EB372B">
        <w:rPr>
          <w:szCs w:val="28"/>
        </w:rPr>
        <w:t>Text</w:t>
      </w:r>
      <w:r w:rsidR="00A607AD" w:rsidRPr="00EB372B">
        <w:rPr>
          <w:szCs w:val="28"/>
          <w:lang w:val="ru-RU"/>
        </w:rPr>
        <w:t xml:space="preserve"> (дата звернення: 03.10.2020).</w:t>
      </w:r>
    </w:p>
    <w:p w:rsidR="00EB372B" w:rsidRDefault="00993433" w:rsidP="00EB372B">
      <w:pPr>
        <w:ind w:firstLine="709"/>
        <w:rPr>
          <w:szCs w:val="28"/>
          <w:lang w:val="ru-RU"/>
        </w:rPr>
      </w:pPr>
      <w:r>
        <w:rPr>
          <w:szCs w:val="28"/>
          <w:lang w:val="ru-RU"/>
        </w:rPr>
        <w:t>320.</w:t>
      </w:r>
      <w:r w:rsidRPr="00993433">
        <w:rPr>
          <w:szCs w:val="28"/>
          <w:lang w:val="ru-RU"/>
        </w:rPr>
        <w:t xml:space="preserve"> </w:t>
      </w:r>
      <w:r w:rsidR="00A607AD" w:rsidRPr="00EB372B">
        <w:rPr>
          <w:szCs w:val="28"/>
          <w:lang w:val="ru-RU"/>
        </w:rPr>
        <w:t xml:space="preserve">Кадрові ресурси системи охорони здоров’я в Україні. Ситуаційний аналіз / Д. Богдан та ін., Проект </w:t>
      </w:r>
      <w:r w:rsidR="00A607AD" w:rsidRPr="00EB372B">
        <w:rPr>
          <w:szCs w:val="28"/>
        </w:rPr>
        <w:t>USAID</w:t>
      </w:r>
      <w:r w:rsidR="00A607AD" w:rsidRPr="00EB372B">
        <w:rPr>
          <w:szCs w:val="28"/>
          <w:lang w:val="ru-RU"/>
        </w:rPr>
        <w:t xml:space="preserve"> «Підтримка реформи охорони здоров’я». Київ, 2019. 133</w:t>
      </w:r>
      <w:r w:rsidR="00A03EF1">
        <w:rPr>
          <w:szCs w:val="28"/>
          <w:lang w:val="ru-RU"/>
        </w:rPr>
        <w:t> </w:t>
      </w:r>
      <w:r w:rsidR="00A607AD" w:rsidRPr="00EB372B">
        <w:rPr>
          <w:szCs w:val="28"/>
          <w:lang w:val="ru-RU"/>
        </w:rPr>
        <w:t xml:space="preserve">с. </w:t>
      </w:r>
      <w:r w:rsidR="00A607AD" w:rsidRPr="00EB372B">
        <w:rPr>
          <w:szCs w:val="28"/>
        </w:rPr>
        <w:t>URL</w:t>
      </w:r>
      <w:r w:rsidR="00A607AD" w:rsidRPr="00EB372B">
        <w:rPr>
          <w:szCs w:val="28"/>
          <w:lang w:val="ru-RU"/>
        </w:rPr>
        <w:t xml:space="preserve">: </w:t>
      </w:r>
      <w:r w:rsidR="00A607AD" w:rsidRPr="00EB372B">
        <w:rPr>
          <w:szCs w:val="28"/>
        </w:rPr>
        <w:t>https</w:t>
      </w:r>
      <w:r w:rsidR="00A607AD" w:rsidRPr="00EB372B">
        <w:rPr>
          <w:szCs w:val="28"/>
          <w:lang w:val="ru-RU"/>
        </w:rPr>
        <w:t>://</w:t>
      </w:r>
      <w:r w:rsidR="00A607AD" w:rsidRPr="00EB372B">
        <w:rPr>
          <w:szCs w:val="28"/>
        </w:rPr>
        <w:t>www</w:t>
      </w:r>
      <w:r w:rsidR="00A607AD" w:rsidRPr="00EB372B">
        <w:rPr>
          <w:szCs w:val="28"/>
          <w:lang w:val="ru-RU"/>
        </w:rPr>
        <w:t>.</w:t>
      </w:r>
      <w:r w:rsidR="00A607AD" w:rsidRPr="00EB372B">
        <w:rPr>
          <w:szCs w:val="28"/>
        </w:rPr>
        <w:t>skeptic</w:t>
      </w:r>
      <w:r w:rsidR="00A607AD" w:rsidRPr="00EB372B">
        <w:rPr>
          <w:szCs w:val="28"/>
          <w:lang w:val="ru-RU"/>
        </w:rPr>
        <w:t>.</w:t>
      </w:r>
      <w:r w:rsidR="00A607AD" w:rsidRPr="00EB372B">
        <w:rPr>
          <w:szCs w:val="28"/>
        </w:rPr>
        <w:t>in</w:t>
      </w:r>
      <w:r w:rsidR="00A607AD" w:rsidRPr="00EB372B">
        <w:rPr>
          <w:szCs w:val="28"/>
          <w:lang w:val="ru-RU"/>
        </w:rPr>
        <w:t>.</w:t>
      </w:r>
      <w:r w:rsidR="00A607AD" w:rsidRPr="00EB372B">
        <w:rPr>
          <w:szCs w:val="28"/>
        </w:rPr>
        <w:t>ua</w:t>
      </w:r>
      <w:r w:rsidR="00A607AD" w:rsidRPr="00EB372B">
        <w:rPr>
          <w:szCs w:val="28"/>
          <w:lang w:val="ru-RU"/>
        </w:rPr>
        <w:t>/</w:t>
      </w:r>
      <w:r w:rsidR="00A607AD" w:rsidRPr="00EB372B">
        <w:rPr>
          <w:szCs w:val="28"/>
        </w:rPr>
        <w:t>wp</w:t>
      </w:r>
      <w:r w:rsidR="00A607AD" w:rsidRPr="00EB372B">
        <w:rPr>
          <w:szCs w:val="28"/>
          <w:lang w:val="ru-RU"/>
        </w:rPr>
        <w:t>-</w:t>
      </w:r>
      <w:r w:rsidR="00A607AD" w:rsidRPr="00EB372B">
        <w:rPr>
          <w:szCs w:val="28"/>
        </w:rPr>
        <w:t>content</w:t>
      </w:r>
      <w:r w:rsidR="00A607AD" w:rsidRPr="00EB372B">
        <w:rPr>
          <w:szCs w:val="28"/>
          <w:lang w:val="ru-RU"/>
        </w:rPr>
        <w:t>/</w:t>
      </w:r>
      <w:r w:rsidR="00A607AD" w:rsidRPr="00EB372B">
        <w:rPr>
          <w:szCs w:val="28"/>
        </w:rPr>
        <w:t>uploads</w:t>
      </w:r>
      <w:r w:rsidR="00A607AD" w:rsidRPr="00EB372B">
        <w:rPr>
          <w:szCs w:val="28"/>
          <w:lang w:val="ru-RU"/>
        </w:rPr>
        <w:t>/</w:t>
      </w:r>
      <w:r w:rsidR="00A607AD" w:rsidRPr="00EB372B">
        <w:rPr>
          <w:szCs w:val="28"/>
        </w:rPr>
        <w:t>HRH</w:t>
      </w:r>
      <w:r w:rsidR="00A607AD" w:rsidRPr="00EB372B">
        <w:rPr>
          <w:szCs w:val="28"/>
          <w:lang w:val="ru-RU"/>
        </w:rPr>
        <w:t>-</w:t>
      </w:r>
      <w:r w:rsidR="00A607AD" w:rsidRPr="00EB372B">
        <w:rPr>
          <w:szCs w:val="28"/>
        </w:rPr>
        <w:t>situational</w:t>
      </w:r>
      <w:r w:rsidR="00A607AD" w:rsidRPr="00EB372B">
        <w:rPr>
          <w:szCs w:val="28"/>
          <w:lang w:val="ru-RU"/>
        </w:rPr>
        <w:t>-</w:t>
      </w:r>
      <w:r w:rsidR="00A607AD" w:rsidRPr="00EB372B">
        <w:rPr>
          <w:szCs w:val="28"/>
        </w:rPr>
        <w:t>analysis</w:t>
      </w:r>
      <w:r w:rsidR="00A607AD" w:rsidRPr="00EB372B">
        <w:rPr>
          <w:szCs w:val="28"/>
          <w:lang w:val="ru-RU"/>
        </w:rPr>
        <w:t>-2019.</w:t>
      </w:r>
      <w:r w:rsidR="00A607AD" w:rsidRPr="00EB372B">
        <w:rPr>
          <w:szCs w:val="28"/>
        </w:rPr>
        <w:t>pdf</w:t>
      </w:r>
      <w:r w:rsidR="00A607AD" w:rsidRPr="00EB372B">
        <w:rPr>
          <w:szCs w:val="28"/>
          <w:lang w:val="ru-RU"/>
        </w:rPr>
        <w:t xml:space="preserve"> (дата звернення: 03.10.2020).</w:t>
      </w:r>
    </w:p>
    <w:p w:rsidR="00EB372B" w:rsidRPr="00B958D8" w:rsidRDefault="00993433" w:rsidP="00EB372B">
      <w:pPr>
        <w:ind w:firstLine="709"/>
        <w:rPr>
          <w:szCs w:val="28"/>
          <w:lang w:val="en-US"/>
        </w:rPr>
      </w:pPr>
      <w:r>
        <w:rPr>
          <w:szCs w:val="28"/>
        </w:rPr>
        <w:t>321.</w:t>
      </w:r>
      <w:r>
        <w:rPr>
          <w:szCs w:val="28"/>
          <w:lang w:val="en-US"/>
        </w:rPr>
        <w:t xml:space="preserve"> </w:t>
      </w:r>
      <w:r w:rsidR="00A607AD" w:rsidRPr="00EB372B">
        <w:rPr>
          <w:szCs w:val="28"/>
        </w:rPr>
        <w:t>Care for Child Development: Improving the Care of Young Children / World Health Organization, United Nations Children’s Fund / WHO. Geneva, 2012. 157 р.</w:t>
      </w:r>
    </w:p>
    <w:p w:rsidR="00EB372B" w:rsidRPr="00B958D8" w:rsidRDefault="00993433" w:rsidP="00EB372B">
      <w:pPr>
        <w:ind w:firstLine="709"/>
        <w:rPr>
          <w:szCs w:val="28"/>
          <w:lang w:val="en-US"/>
        </w:rPr>
      </w:pPr>
      <w:r>
        <w:rPr>
          <w:szCs w:val="28"/>
        </w:rPr>
        <w:t>322.</w:t>
      </w:r>
      <w:r>
        <w:rPr>
          <w:szCs w:val="28"/>
          <w:lang w:val="en-US"/>
        </w:rPr>
        <w:t xml:space="preserve"> </w:t>
      </w:r>
      <w:r w:rsidR="00A607AD" w:rsidRPr="00EB372B">
        <w:rPr>
          <w:szCs w:val="28"/>
        </w:rPr>
        <w:t>Inequality in Early Childhood: Risk and Protective Factors for Early Child Development / S. P. Walker et al. The Lancet. 2011. Vol. 378 (9799). P. 1325–1338. DOI: http://dx.doi.org/10.1016/S0140-6736(11)60555</w:t>
      </w:r>
      <w:r>
        <w:rPr>
          <w:szCs w:val="28"/>
        </w:rPr>
        <w:t>-2 (Last accessed: 28.02.202</w:t>
      </w:r>
      <w:r>
        <w:rPr>
          <w:szCs w:val="28"/>
          <w:lang w:val="en-US"/>
        </w:rPr>
        <w:t>0</w:t>
      </w:r>
      <w:r w:rsidR="00EB372B">
        <w:rPr>
          <w:szCs w:val="28"/>
        </w:rPr>
        <w:t>).</w:t>
      </w:r>
    </w:p>
    <w:p w:rsidR="00EB372B" w:rsidRPr="00EB372B" w:rsidRDefault="00993433" w:rsidP="00EB372B">
      <w:pPr>
        <w:ind w:firstLine="709"/>
        <w:rPr>
          <w:szCs w:val="28"/>
          <w:lang w:val="en-US"/>
        </w:rPr>
      </w:pPr>
      <w:r>
        <w:rPr>
          <w:szCs w:val="28"/>
        </w:rPr>
        <w:t>323.</w:t>
      </w:r>
      <w:r>
        <w:rPr>
          <w:szCs w:val="28"/>
          <w:lang w:val="en-US"/>
        </w:rPr>
        <w:t xml:space="preserve"> </w:t>
      </w:r>
      <w:r w:rsidR="00A607AD" w:rsidRPr="00EB372B">
        <w:rPr>
          <w:szCs w:val="28"/>
        </w:rPr>
        <w:t>Chapter1. Child and Adolescent Health and Development: Realizing Neglected Potential. Disease Control Priorities / D. A. Bundy et al. 3-rd ed. Washington: World Bank, 2017.</w:t>
      </w:r>
      <w:r w:rsidR="001D342F">
        <w:rPr>
          <w:szCs w:val="28"/>
          <w:lang w:val="en-US"/>
        </w:rPr>
        <w:t> </w:t>
      </w:r>
      <w:r w:rsidR="00A607AD" w:rsidRPr="00EB372B">
        <w:rPr>
          <w:szCs w:val="28"/>
        </w:rPr>
        <w:t>URL:</w:t>
      </w:r>
      <w:r w:rsidR="001D342F">
        <w:rPr>
          <w:szCs w:val="28"/>
          <w:lang w:val="en-US"/>
        </w:rPr>
        <w:t> </w:t>
      </w:r>
      <w:r w:rsidR="00A607AD" w:rsidRPr="00EB372B">
        <w:rPr>
          <w:szCs w:val="28"/>
        </w:rPr>
        <w:t>https://www.ncbi.nlm.nih.gov/books/NBK525240/pdf/Bookshelf_NBK525240.pdf (Last accessed: 16.10.2019).</w:t>
      </w:r>
    </w:p>
    <w:p w:rsidR="00EB372B" w:rsidRPr="00B958D8" w:rsidRDefault="00E01BD0" w:rsidP="00EB372B">
      <w:pPr>
        <w:ind w:firstLine="709"/>
        <w:rPr>
          <w:szCs w:val="28"/>
          <w:lang w:val="en-US"/>
        </w:rPr>
      </w:pPr>
      <w:r>
        <w:rPr>
          <w:szCs w:val="28"/>
        </w:rPr>
        <w:t>324.</w:t>
      </w:r>
      <w:r>
        <w:rPr>
          <w:szCs w:val="28"/>
          <w:lang w:val="en-US"/>
        </w:rPr>
        <w:t> </w:t>
      </w:r>
      <w:r w:rsidR="00A607AD" w:rsidRPr="00EB372B">
        <w:rPr>
          <w:szCs w:val="28"/>
        </w:rPr>
        <w:t>Aboud F. E., Yousafzai A. K. Global Health and Development in Early Childhood. Annual Review of Psychology. 2015. Vol. 66. P.</w:t>
      </w:r>
      <w:r w:rsidR="00A03EF1" w:rsidRPr="00F71E89">
        <w:rPr>
          <w:szCs w:val="28"/>
          <w:lang w:val="en-US"/>
        </w:rPr>
        <w:t> </w:t>
      </w:r>
      <w:r w:rsidR="00A607AD" w:rsidRPr="00EB372B">
        <w:rPr>
          <w:szCs w:val="28"/>
        </w:rPr>
        <w:t>433–457. DOI: 10.1146/annurev-psych</w:t>
      </w:r>
      <w:r>
        <w:rPr>
          <w:szCs w:val="28"/>
        </w:rPr>
        <w:t xml:space="preserve">-010814-015128 (Last accessed: </w:t>
      </w:r>
      <w:r>
        <w:rPr>
          <w:szCs w:val="28"/>
          <w:lang w:val="en-US"/>
        </w:rPr>
        <w:t>1</w:t>
      </w:r>
      <w:r>
        <w:rPr>
          <w:szCs w:val="28"/>
        </w:rPr>
        <w:t>8.02.202</w:t>
      </w:r>
      <w:r>
        <w:rPr>
          <w:szCs w:val="28"/>
          <w:lang w:val="en-US"/>
        </w:rPr>
        <w:t>0</w:t>
      </w:r>
      <w:r w:rsidR="00A607AD" w:rsidRPr="00EB372B">
        <w:rPr>
          <w:szCs w:val="28"/>
        </w:rPr>
        <w:t xml:space="preserve">). </w:t>
      </w:r>
    </w:p>
    <w:p w:rsidR="00EB372B" w:rsidRPr="00B958D8" w:rsidRDefault="00E01BD0" w:rsidP="00EB372B">
      <w:pPr>
        <w:ind w:firstLine="709"/>
        <w:rPr>
          <w:szCs w:val="28"/>
          <w:lang w:val="en-US"/>
        </w:rPr>
      </w:pPr>
      <w:r>
        <w:rPr>
          <w:szCs w:val="28"/>
        </w:rPr>
        <w:t>325.</w:t>
      </w:r>
      <w:r>
        <w:rPr>
          <w:szCs w:val="28"/>
          <w:lang w:val="en-US"/>
        </w:rPr>
        <w:t xml:space="preserve"> </w:t>
      </w:r>
      <w:r w:rsidR="00A607AD" w:rsidRPr="00EB372B">
        <w:rPr>
          <w:szCs w:val="28"/>
        </w:rPr>
        <w:t>Strategies for Reducing Inequalities and Improving Developmental Outcomes for Young Children in Low-Income and Middle-Income Countries / P.</w:t>
      </w:r>
      <w:r w:rsidR="00A03EF1" w:rsidRPr="00A03EF1">
        <w:rPr>
          <w:lang w:val="en-US"/>
        </w:rPr>
        <w:t> </w:t>
      </w:r>
      <w:r w:rsidR="00A607AD" w:rsidRPr="00EB372B">
        <w:rPr>
          <w:szCs w:val="28"/>
        </w:rPr>
        <w:t>L.</w:t>
      </w:r>
      <w:r w:rsidR="00A03EF1" w:rsidRPr="00A03EF1">
        <w:rPr>
          <w:szCs w:val="28"/>
          <w:lang w:val="en-US"/>
        </w:rPr>
        <w:t> </w:t>
      </w:r>
      <w:r w:rsidR="00A607AD" w:rsidRPr="00EB372B">
        <w:rPr>
          <w:szCs w:val="28"/>
        </w:rPr>
        <w:t>Engle et al. The Lancet. 2011. Vol. 378 (9799). P. 1339–1353. DOI: 10.1016/S0140-6736(11)60</w:t>
      </w:r>
      <w:r>
        <w:rPr>
          <w:szCs w:val="28"/>
        </w:rPr>
        <w:t>889-1 (Last accessed: 28.02.202</w:t>
      </w:r>
      <w:r>
        <w:rPr>
          <w:szCs w:val="28"/>
          <w:lang w:val="en-US"/>
        </w:rPr>
        <w:t>0</w:t>
      </w:r>
      <w:r w:rsidR="00A607AD" w:rsidRPr="00EB372B">
        <w:rPr>
          <w:szCs w:val="28"/>
        </w:rPr>
        <w:t>).</w:t>
      </w:r>
    </w:p>
    <w:p w:rsidR="00EB372B" w:rsidRPr="00A00AC1" w:rsidRDefault="00E01BD0" w:rsidP="00EB372B">
      <w:pPr>
        <w:ind w:firstLine="709"/>
        <w:rPr>
          <w:szCs w:val="28"/>
          <w:lang w:val="en-US"/>
        </w:rPr>
      </w:pPr>
      <w:r>
        <w:rPr>
          <w:szCs w:val="28"/>
        </w:rPr>
        <w:lastRenderedPageBreak/>
        <w:t>326.</w:t>
      </w:r>
      <w:r w:rsidR="00A607AD" w:rsidRPr="00EB372B">
        <w:rPr>
          <w:szCs w:val="28"/>
        </w:rPr>
        <w:t xml:space="preserve"> Vargas-Barón E. Building and Strengthening National Systems for Early Childhood Development. Handbook of Early Childhood Development Research and Its Impact on Global Policy /ed. P. E. Engle et al. New York: Oxford University Press, 2013. P. 443–466.</w:t>
      </w:r>
    </w:p>
    <w:p w:rsidR="00EB372B" w:rsidRPr="00B958D8" w:rsidRDefault="00E01BD0" w:rsidP="00EB372B">
      <w:pPr>
        <w:ind w:firstLine="709"/>
        <w:rPr>
          <w:szCs w:val="28"/>
          <w:lang w:val="en-US"/>
        </w:rPr>
      </w:pPr>
      <w:r>
        <w:rPr>
          <w:szCs w:val="28"/>
        </w:rPr>
        <w:t>327.</w:t>
      </w:r>
      <w:r>
        <w:rPr>
          <w:szCs w:val="28"/>
          <w:lang w:val="en-US"/>
        </w:rPr>
        <w:t xml:space="preserve"> </w:t>
      </w:r>
      <w:r w:rsidR="00A607AD" w:rsidRPr="00EB372B">
        <w:rPr>
          <w:szCs w:val="28"/>
        </w:rPr>
        <w:t>Early Childhood Investments Substantially Boost Adult Health / F. A. Campbell et al. Science. 2014. Vol. 343 (6178). P. 1478–1485.</w:t>
      </w:r>
    </w:p>
    <w:p w:rsidR="00EB372B" w:rsidRPr="00B958D8" w:rsidRDefault="00CA2247" w:rsidP="00EB372B">
      <w:pPr>
        <w:ind w:firstLine="709"/>
        <w:rPr>
          <w:szCs w:val="28"/>
          <w:lang w:val="en-US"/>
        </w:rPr>
      </w:pPr>
      <w:r>
        <w:rPr>
          <w:szCs w:val="28"/>
        </w:rPr>
        <w:t>328.</w:t>
      </w:r>
      <w:r>
        <w:rPr>
          <w:szCs w:val="28"/>
          <w:lang w:val="en-US"/>
        </w:rPr>
        <w:t xml:space="preserve"> </w:t>
      </w:r>
      <w:r w:rsidR="00A607AD" w:rsidRPr="00EB372B">
        <w:rPr>
          <w:szCs w:val="28"/>
        </w:rPr>
        <w:t>Strengthening Systems for Integrated Early Childhood Development Services: A Cross-National Analysis of Governance / P. R. Britto et al. Annals of the New York Academy of Sciences. 2014. Vol. 1308 (1). P. 245–255. DOI: 10.11</w:t>
      </w:r>
      <w:r>
        <w:rPr>
          <w:szCs w:val="28"/>
        </w:rPr>
        <w:t>11/nyas.12365 (Last accessed: 2</w:t>
      </w:r>
      <w:r>
        <w:rPr>
          <w:szCs w:val="28"/>
          <w:lang w:val="en-US"/>
        </w:rPr>
        <w:t>5</w:t>
      </w:r>
      <w:r>
        <w:rPr>
          <w:szCs w:val="28"/>
        </w:rPr>
        <w:t>.0</w:t>
      </w:r>
      <w:r>
        <w:rPr>
          <w:szCs w:val="28"/>
          <w:lang w:val="en-US"/>
        </w:rPr>
        <w:t>7</w:t>
      </w:r>
      <w:r>
        <w:rPr>
          <w:szCs w:val="28"/>
        </w:rPr>
        <w:t>.202</w:t>
      </w:r>
      <w:r>
        <w:rPr>
          <w:szCs w:val="28"/>
          <w:lang w:val="en-US"/>
        </w:rPr>
        <w:t>0</w:t>
      </w:r>
      <w:r w:rsidR="00A607AD" w:rsidRPr="00EB372B">
        <w:rPr>
          <w:szCs w:val="28"/>
        </w:rPr>
        <w:t>).</w:t>
      </w:r>
    </w:p>
    <w:p w:rsidR="00EB372B" w:rsidRPr="00B958D8" w:rsidRDefault="00CA2247" w:rsidP="00EB372B">
      <w:pPr>
        <w:ind w:firstLine="709"/>
        <w:rPr>
          <w:szCs w:val="28"/>
          <w:lang w:val="en-US"/>
        </w:rPr>
      </w:pPr>
      <w:r>
        <w:rPr>
          <w:szCs w:val="28"/>
        </w:rPr>
        <w:t>329.</w:t>
      </w:r>
      <w:r>
        <w:rPr>
          <w:szCs w:val="28"/>
          <w:lang w:val="en-US"/>
        </w:rPr>
        <w:t xml:space="preserve"> </w:t>
      </w:r>
      <w:r w:rsidR="00A607AD" w:rsidRPr="00EB372B">
        <w:rPr>
          <w:szCs w:val="28"/>
        </w:rPr>
        <w:t>Berlinski S., Schady N. The Early Years: Child Well-Being and the Role of Public Policy. Development in the Americas Series. New York: Macmillan, 2015. 289 p.</w:t>
      </w:r>
    </w:p>
    <w:p w:rsidR="00EB372B" w:rsidRPr="00B958D8" w:rsidRDefault="008E6280" w:rsidP="00EB372B">
      <w:pPr>
        <w:ind w:firstLine="709"/>
        <w:rPr>
          <w:szCs w:val="28"/>
          <w:lang w:val="en-US"/>
        </w:rPr>
      </w:pPr>
      <w:r>
        <w:rPr>
          <w:szCs w:val="28"/>
        </w:rPr>
        <w:t>330.</w:t>
      </w:r>
      <w:r>
        <w:rPr>
          <w:szCs w:val="28"/>
          <w:lang w:val="en-US"/>
        </w:rPr>
        <w:t xml:space="preserve"> </w:t>
      </w:r>
      <w:r w:rsidR="00A607AD" w:rsidRPr="00EB372B">
        <w:rPr>
          <w:szCs w:val="28"/>
        </w:rPr>
        <w:t>Early Childhood Development: Delivering Inter-Sectoral Policies, Programmes and Services in Low-Resource Settings: Topic Guide / M. Woodhead et al. Oxford: Health and Education Advice and Resource Team. 2014. 109 p.</w:t>
      </w:r>
    </w:p>
    <w:p w:rsidR="00EB372B" w:rsidRPr="00EB372B" w:rsidRDefault="008E6280" w:rsidP="00EB372B">
      <w:pPr>
        <w:ind w:firstLine="709"/>
        <w:rPr>
          <w:szCs w:val="28"/>
          <w:lang w:val="en-US"/>
        </w:rPr>
      </w:pPr>
      <w:r>
        <w:rPr>
          <w:szCs w:val="28"/>
        </w:rPr>
        <w:t>331.</w:t>
      </w:r>
      <w:r w:rsidR="00E01BD0">
        <w:rPr>
          <w:szCs w:val="28"/>
          <w:lang w:val="en-US"/>
        </w:rPr>
        <w:t> </w:t>
      </w:r>
      <w:r w:rsidR="00A607AD" w:rsidRPr="00EB372B">
        <w:rPr>
          <w:szCs w:val="28"/>
        </w:rPr>
        <w:t>Early Child Development Coming of Age: Science Through the Life-Course</w:t>
      </w:r>
      <w:r w:rsidR="00CA2247">
        <w:rPr>
          <w:szCs w:val="28"/>
          <w:lang w:val="en-US"/>
        </w:rPr>
        <w:t> </w:t>
      </w:r>
      <w:r w:rsidR="00A607AD" w:rsidRPr="00EB372B">
        <w:rPr>
          <w:szCs w:val="28"/>
        </w:rPr>
        <w:t>/</w:t>
      </w:r>
      <w:r w:rsidR="00CA2247">
        <w:rPr>
          <w:szCs w:val="28"/>
          <w:lang w:val="en-US"/>
        </w:rPr>
        <w:t> </w:t>
      </w:r>
      <w:r w:rsidR="00A607AD" w:rsidRPr="00EB372B">
        <w:rPr>
          <w:szCs w:val="28"/>
        </w:rPr>
        <w:t>M.</w:t>
      </w:r>
      <w:r w:rsidR="00CA2247">
        <w:rPr>
          <w:lang w:val="en-US"/>
        </w:rPr>
        <w:t> </w:t>
      </w:r>
      <w:r w:rsidR="00A607AD" w:rsidRPr="00EB372B">
        <w:rPr>
          <w:szCs w:val="28"/>
        </w:rPr>
        <w:t>M.</w:t>
      </w:r>
      <w:r w:rsidR="00CA2247">
        <w:rPr>
          <w:szCs w:val="28"/>
          <w:lang w:val="en-US"/>
        </w:rPr>
        <w:t> </w:t>
      </w:r>
      <w:r w:rsidR="00A607AD" w:rsidRPr="00EB372B">
        <w:rPr>
          <w:szCs w:val="28"/>
        </w:rPr>
        <w:t>Black</w:t>
      </w:r>
      <w:r w:rsidR="00CA2247">
        <w:rPr>
          <w:szCs w:val="28"/>
          <w:lang w:val="en-US"/>
        </w:rPr>
        <w:t> </w:t>
      </w:r>
      <w:r w:rsidR="00A607AD" w:rsidRPr="00EB372B">
        <w:rPr>
          <w:szCs w:val="28"/>
        </w:rPr>
        <w:t>et</w:t>
      </w:r>
      <w:r w:rsidR="00CA2247">
        <w:rPr>
          <w:szCs w:val="28"/>
          <w:lang w:val="en-US"/>
        </w:rPr>
        <w:t> </w:t>
      </w:r>
      <w:r w:rsidR="00A607AD" w:rsidRPr="00EB372B">
        <w:rPr>
          <w:szCs w:val="28"/>
        </w:rPr>
        <w:t>al.</w:t>
      </w:r>
      <w:r w:rsidR="00A03EF1" w:rsidRPr="00A03EF1">
        <w:rPr>
          <w:szCs w:val="28"/>
          <w:lang w:val="en-US"/>
        </w:rPr>
        <w:t> </w:t>
      </w:r>
      <w:r w:rsidR="00A607AD" w:rsidRPr="00EB372B">
        <w:rPr>
          <w:szCs w:val="28"/>
        </w:rPr>
        <w:t>The</w:t>
      </w:r>
      <w:r w:rsidR="00A03EF1" w:rsidRPr="00A03EF1">
        <w:rPr>
          <w:szCs w:val="28"/>
          <w:lang w:val="en-US"/>
        </w:rPr>
        <w:t> </w:t>
      </w:r>
      <w:r w:rsidR="00A607AD" w:rsidRPr="00EB372B">
        <w:rPr>
          <w:szCs w:val="28"/>
        </w:rPr>
        <w:t>Lancet.</w:t>
      </w:r>
      <w:r w:rsidR="00A03EF1">
        <w:rPr>
          <w:szCs w:val="28"/>
        </w:rPr>
        <w:t> </w:t>
      </w:r>
      <w:r w:rsidR="00A607AD" w:rsidRPr="00EB372B">
        <w:rPr>
          <w:szCs w:val="28"/>
        </w:rPr>
        <w:t>2016.</w:t>
      </w:r>
      <w:r w:rsidR="00A03EF1">
        <w:rPr>
          <w:szCs w:val="28"/>
        </w:rPr>
        <w:t> </w:t>
      </w:r>
      <w:r w:rsidR="00A607AD" w:rsidRPr="00EB372B">
        <w:rPr>
          <w:szCs w:val="28"/>
        </w:rPr>
        <w:t>URL:</w:t>
      </w:r>
      <w:r w:rsidR="00A03EF1">
        <w:rPr>
          <w:szCs w:val="28"/>
        </w:rPr>
        <w:t> </w:t>
      </w:r>
      <w:r w:rsidR="00A607AD" w:rsidRPr="00EB372B">
        <w:rPr>
          <w:szCs w:val="28"/>
        </w:rPr>
        <w:t>http://www.sciencedirect.com/science/article/pii/S0140673616313897 (Last accessed: 16.10.2019).</w:t>
      </w:r>
    </w:p>
    <w:p w:rsidR="00FE05BB" w:rsidRPr="00FE05BB" w:rsidRDefault="00E01BD0" w:rsidP="00FE05BB">
      <w:pPr>
        <w:ind w:firstLine="709"/>
        <w:rPr>
          <w:szCs w:val="28"/>
          <w:lang w:val="en-US"/>
        </w:rPr>
      </w:pPr>
      <w:r>
        <w:rPr>
          <w:szCs w:val="28"/>
        </w:rPr>
        <w:t>332.</w:t>
      </w:r>
      <w:r>
        <w:rPr>
          <w:szCs w:val="28"/>
          <w:lang w:val="en-US"/>
        </w:rPr>
        <w:t> </w:t>
      </w:r>
      <w:r w:rsidR="00FE05BB" w:rsidRPr="00FE05BB">
        <w:rPr>
          <w:szCs w:val="28"/>
          <w:lang w:val="en-US"/>
        </w:rPr>
        <w:t xml:space="preserve">Strategies to improve health coverage and narrow the equity gap in child survival, health, and nutrition / M. </w:t>
      </w:r>
      <w:hyperlink r:id="rId73" w:history="1">
        <w:r w:rsidR="00FE05BB" w:rsidRPr="00FE05BB">
          <w:rPr>
            <w:rStyle w:val="af7"/>
            <w:color w:val="auto"/>
            <w:szCs w:val="28"/>
            <w:u w:val="none"/>
            <w:lang w:val="en-US"/>
          </w:rPr>
          <w:t>Chopra</w:t>
        </w:r>
      </w:hyperlink>
      <w:r w:rsidR="00FE05BB" w:rsidRPr="00FE05BB">
        <w:rPr>
          <w:szCs w:val="28"/>
          <w:lang w:val="en-US"/>
        </w:rPr>
        <w:t xml:space="preserve"> et al. </w:t>
      </w:r>
      <w:r w:rsidR="00FE05BB" w:rsidRPr="00FE05BB">
        <w:rPr>
          <w:i/>
          <w:szCs w:val="28"/>
          <w:lang w:val="en-US"/>
        </w:rPr>
        <w:t>Lancet.</w:t>
      </w:r>
      <w:r w:rsidR="00FE05BB" w:rsidRPr="00FE05BB">
        <w:rPr>
          <w:szCs w:val="28"/>
          <w:lang w:val="en-US"/>
        </w:rPr>
        <w:t xml:space="preserve"> 2012. Vol. 380 (9850). P. 61423–61428. DOI: https://pubmed.ncbi.nlm.nih.gov/22999430/ </w:t>
      </w:r>
      <w:r w:rsidR="00FE05BB" w:rsidRPr="00FE05BB">
        <w:rPr>
          <w:szCs w:val="28"/>
        </w:rPr>
        <w:t>(</w:t>
      </w:r>
      <w:r w:rsidR="00FE05BB" w:rsidRPr="00FE05BB">
        <w:rPr>
          <w:szCs w:val="28"/>
          <w:lang w:val="en-US"/>
        </w:rPr>
        <w:t>Last accessed</w:t>
      </w:r>
      <w:r w:rsidR="00FE05BB" w:rsidRPr="00FE05BB">
        <w:rPr>
          <w:szCs w:val="28"/>
        </w:rPr>
        <w:t>: 0</w:t>
      </w:r>
      <w:r w:rsidR="00FE05BB" w:rsidRPr="00FE05BB">
        <w:rPr>
          <w:szCs w:val="28"/>
          <w:lang w:val="en-US"/>
        </w:rPr>
        <w:t>3</w:t>
      </w:r>
      <w:r w:rsidR="00FE05BB" w:rsidRPr="00FE05BB">
        <w:rPr>
          <w:szCs w:val="28"/>
        </w:rPr>
        <w:t>.0</w:t>
      </w:r>
      <w:r w:rsidR="00FE05BB" w:rsidRPr="00FE05BB">
        <w:rPr>
          <w:szCs w:val="28"/>
          <w:lang w:val="en-US"/>
        </w:rPr>
        <w:t>4</w:t>
      </w:r>
      <w:r w:rsidR="00FE05BB" w:rsidRPr="00FE05BB">
        <w:rPr>
          <w:szCs w:val="28"/>
        </w:rPr>
        <w:t>.202</w:t>
      </w:r>
      <w:r w:rsidR="00FE05BB" w:rsidRPr="00FE05BB">
        <w:rPr>
          <w:szCs w:val="28"/>
          <w:lang w:val="en-US"/>
        </w:rPr>
        <w:t>0</w:t>
      </w:r>
      <w:r w:rsidR="00FE05BB" w:rsidRPr="00FE05BB">
        <w:rPr>
          <w:szCs w:val="28"/>
        </w:rPr>
        <w:t>).</w:t>
      </w:r>
    </w:p>
    <w:p w:rsidR="00EB372B" w:rsidRPr="00B958D8" w:rsidRDefault="005D0C87" w:rsidP="00EB372B">
      <w:pPr>
        <w:ind w:firstLine="709"/>
        <w:rPr>
          <w:szCs w:val="28"/>
          <w:lang w:val="en-US"/>
        </w:rPr>
      </w:pPr>
      <w:r>
        <w:rPr>
          <w:szCs w:val="28"/>
        </w:rPr>
        <w:t xml:space="preserve">333. </w:t>
      </w:r>
      <w:r w:rsidR="00A607AD" w:rsidRPr="00EB372B">
        <w:rPr>
          <w:szCs w:val="28"/>
        </w:rPr>
        <w:t>An Integrated Scientific Framework for Child Survival and Early Childhood Development / J. P. Shonkoff et al. Pediatrics. 2012. Vol.</w:t>
      </w:r>
      <w:r>
        <w:rPr>
          <w:szCs w:val="28"/>
          <w:lang w:val="en-US"/>
        </w:rPr>
        <w:t> </w:t>
      </w:r>
      <w:r w:rsidR="00A607AD" w:rsidRPr="00EB372B">
        <w:rPr>
          <w:szCs w:val="28"/>
        </w:rPr>
        <w:t>129</w:t>
      </w:r>
      <w:r>
        <w:rPr>
          <w:szCs w:val="28"/>
          <w:lang w:val="en-US"/>
        </w:rPr>
        <w:t> </w:t>
      </w:r>
      <w:r w:rsidR="00A607AD" w:rsidRPr="00EB372B">
        <w:rPr>
          <w:szCs w:val="28"/>
        </w:rPr>
        <w:t>(2). P.</w:t>
      </w:r>
      <w:r>
        <w:rPr>
          <w:szCs w:val="28"/>
        </w:rPr>
        <w:t> </w:t>
      </w:r>
      <w:r w:rsidR="00A607AD" w:rsidRPr="00EB372B">
        <w:rPr>
          <w:szCs w:val="28"/>
        </w:rPr>
        <w:t>E460–472. DOI:10.1542/Peds.2011-0366.</w:t>
      </w:r>
    </w:p>
    <w:p w:rsidR="00EB372B" w:rsidRPr="00B958D8" w:rsidRDefault="005D0C87" w:rsidP="00EB372B">
      <w:pPr>
        <w:ind w:firstLine="709"/>
        <w:rPr>
          <w:szCs w:val="28"/>
          <w:lang w:val="en-US"/>
        </w:rPr>
      </w:pPr>
      <w:r>
        <w:rPr>
          <w:szCs w:val="28"/>
        </w:rPr>
        <w:t xml:space="preserve">334. </w:t>
      </w:r>
      <w:r w:rsidR="00A607AD" w:rsidRPr="00EB372B">
        <w:rPr>
          <w:szCs w:val="28"/>
        </w:rPr>
        <w:t>Adult Outcomes as a Function of an Early Childhood Educational Program: An Abecedarian Project Follow-Up / F. A. Campbell et al. Developmental Psychology. 2012. Vol. 48 (4). P. 1033–1043. DOI: 10.1037/a00</w:t>
      </w:r>
      <w:r>
        <w:rPr>
          <w:szCs w:val="28"/>
        </w:rPr>
        <w:t>26644 (Last accessed: 28.02.2020</w:t>
      </w:r>
      <w:r w:rsidR="00A607AD" w:rsidRPr="00EB372B">
        <w:rPr>
          <w:szCs w:val="28"/>
        </w:rPr>
        <w:t>).</w:t>
      </w:r>
    </w:p>
    <w:p w:rsidR="00EB372B" w:rsidRPr="00B958D8" w:rsidRDefault="005D0C87" w:rsidP="00EB372B">
      <w:pPr>
        <w:ind w:firstLine="709"/>
        <w:rPr>
          <w:szCs w:val="28"/>
          <w:lang w:val="en-US"/>
        </w:rPr>
      </w:pPr>
      <w:r>
        <w:rPr>
          <w:szCs w:val="28"/>
        </w:rPr>
        <w:lastRenderedPageBreak/>
        <w:t xml:space="preserve">335. </w:t>
      </w:r>
      <w:r w:rsidR="00A607AD" w:rsidRPr="00EB372B">
        <w:rPr>
          <w:szCs w:val="28"/>
        </w:rPr>
        <w:t>Lake A., Chan M. Putting Science into Practice for Early Child Development. The Lancet. 2015. Vol. 385 (9980). P. 1816–1817. DOI: 10.1016/S0140-6</w:t>
      </w:r>
      <w:r w:rsidR="00FE67BB">
        <w:rPr>
          <w:szCs w:val="28"/>
        </w:rPr>
        <w:t>736(14)61680-9 (Last accessed: 18.02.2020</w:t>
      </w:r>
      <w:r w:rsidR="00A607AD" w:rsidRPr="00EB372B">
        <w:rPr>
          <w:szCs w:val="28"/>
        </w:rPr>
        <w:t xml:space="preserve">). </w:t>
      </w:r>
    </w:p>
    <w:p w:rsidR="00EB372B" w:rsidRDefault="008E3585" w:rsidP="00EB372B">
      <w:pPr>
        <w:ind w:firstLine="709"/>
        <w:rPr>
          <w:szCs w:val="28"/>
          <w:lang w:val="ru-RU"/>
        </w:rPr>
      </w:pPr>
      <w:r>
        <w:rPr>
          <w:szCs w:val="28"/>
        </w:rPr>
        <w:t xml:space="preserve">336. </w:t>
      </w:r>
      <w:r w:rsidR="00A607AD" w:rsidRPr="00EB372B">
        <w:rPr>
          <w:szCs w:val="28"/>
        </w:rPr>
        <w:t>Child Temperament and Maternal Predictors of Preschool Children’s Eating and Body Mass Index: A Prospective Study / H. Bergmeier et al. Appetite</w:t>
      </w:r>
      <w:r w:rsidR="00A607AD" w:rsidRPr="008E3585">
        <w:rPr>
          <w:szCs w:val="28"/>
          <w:lang w:val="ru-RU"/>
        </w:rPr>
        <w:t xml:space="preserve">. 2014. </w:t>
      </w:r>
      <w:r w:rsidR="00A607AD" w:rsidRPr="00EB372B">
        <w:rPr>
          <w:szCs w:val="28"/>
        </w:rPr>
        <w:t>Vol</w:t>
      </w:r>
      <w:r w:rsidR="00A607AD" w:rsidRPr="008E3585">
        <w:rPr>
          <w:szCs w:val="28"/>
          <w:lang w:val="ru-RU"/>
        </w:rPr>
        <w:t xml:space="preserve">. 74. </w:t>
      </w:r>
      <w:r w:rsidR="00A607AD" w:rsidRPr="00EB372B">
        <w:rPr>
          <w:szCs w:val="28"/>
        </w:rPr>
        <w:t>P</w:t>
      </w:r>
      <w:r w:rsidR="00A607AD" w:rsidRPr="00EB372B">
        <w:rPr>
          <w:szCs w:val="28"/>
          <w:lang w:val="ru-RU"/>
        </w:rPr>
        <w:t>. 125–132.</w:t>
      </w:r>
    </w:p>
    <w:p w:rsidR="00EB372B" w:rsidRDefault="008E3585" w:rsidP="00EB372B">
      <w:pPr>
        <w:ind w:firstLine="709"/>
        <w:rPr>
          <w:szCs w:val="28"/>
          <w:lang w:val="ru-RU"/>
        </w:rPr>
      </w:pPr>
      <w:r>
        <w:rPr>
          <w:szCs w:val="28"/>
          <w:lang w:val="ru-RU"/>
        </w:rPr>
        <w:t>337. </w:t>
      </w:r>
      <w:r w:rsidR="00A607AD" w:rsidRPr="00EB372B">
        <w:rPr>
          <w:szCs w:val="28"/>
          <w:lang w:val="ru-RU"/>
        </w:rPr>
        <w:t>Конвенція про права дитини (Конвенція ратифікована Постановою Верховної Ради від 27.02.91 р. № 789-</w:t>
      </w:r>
      <w:r w:rsidR="00A607AD" w:rsidRPr="00EB372B">
        <w:rPr>
          <w:szCs w:val="28"/>
        </w:rPr>
        <w:t>XII</w:t>
      </w:r>
      <w:r w:rsidR="00A607AD" w:rsidRPr="00EB372B">
        <w:rPr>
          <w:szCs w:val="28"/>
          <w:lang w:val="ru-RU"/>
        </w:rPr>
        <w:t xml:space="preserve">): за станом на 20.11.2014 / Генеральна Асамблея ООН; Конвенція, Міжнародний документ від 20.11.1989 р. </w:t>
      </w:r>
      <w:r w:rsidR="00A607AD" w:rsidRPr="00EB372B">
        <w:rPr>
          <w:szCs w:val="28"/>
        </w:rPr>
        <w:t>URL</w:t>
      </w:r>
      <w:r w:rsidR="00A607AD" w:rsidRPr="00EB372B">
        <w:rPr>
          <w:szCs w:val="28"/>
          <w:lang w:val="ru-RU"/>
        </w:rPr>
        <w:t xml:space="preserve">: </w:t>
      </w:r>
      <w:r w:rsidR="00A607AD" w:rsidRPr="00EB372B">
        <w:rPr>
          <w:szCs w:val="28"/>
        </w:rPr>
        <w:t>http</w:t>
      </w:r>
      <w:r w:rsidR="00A607AD" w:rsidRPr="00EB372B">
        <w:rPr>
          <w:szCs w:val="28"/>
          <w:lang w:val="ru-RU"/>
        </w:rPr>
        <w:t>://</w:t>
      </w:r>
      <w:r w:rsidR="00A607AD" w:rsidRPr="00EB372B">
        <w:rPr>
          <w:szCs w:val="28"/>
        </w:rPr>
        <w:t>zakon</w:t>
      </w:r>
      <w:r w:rsidR="00A607AD" w:rsidRPr="00EB372B">
        <w:rPr>
          <w:szCs w:val="28"/>
          <w:lang w:val="ru-RU"/>
        </w:rPr>
        <w:t>.</w:t>
      </w:r>
      <w:r w:rsidR="00A607AD" w:rsidRPr="00EB372B">
        <w:rPr>
          <w:szCs w:val="28"/>
        </w:rPr>
        <w:t>rada</w:t>
      </w:r>
      <w:r w:rsidR="00A607AD" w:rsidRPr="00EB372B">
        <w:rPr>
          <w:szCs w:val="28"/>
          <w:lang w:val="ru-RU"/>
        </w:rPr>
        <w:t>.</w:t>
      </w:r>
      <w:r w:rsidR="00A607AD" w:rsidRPr="00EB372B">
        <w:rPr>
          <w:szCs w:val="28"/>
        </w:rPr>
        <w:t>gov</w:t>
      </w:r>
      <w:r w:rsidR="00A607AD" w:rsidRPr="00EB372B">
        <w:rPr>
          <w:szCs w:val="28"/>
          <w:lang w:val="ru-RU"/>
        </w:rPr>
        <w:t>.</w:t>
      </w:r>
      <w:r w:rsidR="00A607AD" w:rsidRPr="00EB372B">
        <w:rPr>
          <w:szCs w:val="28"/>
        </w:rPr>
        <w:t>ua</w:t>
      </w:r>
      <w:r w:rsidR="00A607AD" w:rsidRPr="00EB372B">
        <w:rPr>
          <w:szCs w:val="28"/>
          <w:lang w:val="ru-RU"/>
        </w:rPr>
        <w:t>/</w:t>
      </w:r>
      <w:r w:rsidR="00A607AD" w:rsidRPr="00EB372B">
        <w:rPr>
          <w:szCs w:val="28"/>
        </w:rPr>
        <w:t>cgi</w:t>
      </w:r>
      <w:r w:rsidR="00A607AD" w:rsidRPr="00EB372B">
        <w:rPr>
          <w:szCs w:val="28"/>
          <w:lang w:val="ru-RU"/>
        </w:rPr>
        <w:t>-</w:t>
      </w:r>
      <w:r w:rsidR="00A607AD" w:rsidRPr="00EB372B">
        <w:rPr>
          <w:szCs w:val="28"/>
        </w:rPr>
        <w:t>bin</w:t>
      </w:r>
      <w:r w:rsidR="00A607AD" w:rsidRPr="00EB372B">
        <w:rPr>
          <w:szCs w:val="28"/>
          <w:lang w:val="ru-RU"/>
        </w:rPr>
        <w:t>/</w:t>
      </w:r>
      <w:r w:rsidR="00A607AD" w:rsidRPr="00EB372B">
        <w:rPr>
          <w:szCs w:val="28"/>
        </w:rPr>
        <w:t>laws</w:t>
      </w:r>
      <w:r w:rsidR="00A607AD" w:rsidRPr="00EB372B">
        <w:rPr>
          <w:szCs w:val="28"/>
          <w:lang w:val="ru-RU"/>
        </w:rPr>
        <w:t>/</w:t>
      </w:r>
      <w:r w:rsidR="00A607AD" w:rsidRPr="00EB372B">
        <w:rPr>
          <w:szCs w:val="28"/>
        </w:rPr>
        <w:t>main</w:t>
      </w:r>
      <w:r w:rsidR="00A607AD" w:rsidRPr="00EB372B">
        <w:rPr>
          <w:szCs w:val="28"/>
          <w:lang w:val="ru-RU"/>
        </w:rPr>
        <w:t>.</w:t>
      </w:r>
      <w:r w:rsidR="00A607AD" w:rsidRPr="00EB372B">
        <w:rPr>
          <w:szCs w:val="28"/>
        </w:rPr>
        <w:t>cgi</w:t>
      </w:r>
      <w:r w:rsidR="00A607AD" w:rsidRPr="00EB372B">
        <w:rPr>
          <w:szCs w:val="28"/>
          <w:lang w:val="ru-RU"/>
        </w:rPr>
        <w:t>?</w:t>
      </w:r>
      <w:r w:rsidR="00A607AD" w:rsidRPr="00EB372B">
        <w:rPr>
          <w:szCs w:val="28"/>
        </w:rPr>
        <w:t>nreg</w:t>
      </w:r>
      <w:r w:rsidR="00A607AD" w:rsidRPr="00EB372B">
        <w:rPr>
          <w:szCs w:val="28"/>
          <w:lang w:val="ru-RU"/>
        </w:rPr>
        <w:t>=995_021 (дата звернення: 16.10.2019).</w:t>
      </w:r>
    </w:p>
    <w:p w:rsidR="00EB372B" w:rsidRPr="00EB372B" w:rsidRDefault="008E3585" w:rsidP="00EB372B">
      <w:pPr>
        <w:ind w:firstLine="709"/>
        <w:rPr>
          <w:szCs w:val="28"/>
          <w:lang w:val="en-US"/>
        </w:rPr>
      </w:pPr>
      <w:r>
        <w:rPr>
          <w:szCs w:val="28"/>
        </w:rPr>
        <w:t xml:space="preserve">338. </w:t>
      </w:r>
      <w:r w:rsidR="007066C8" w:rsidRPr="007066C8">
        <w:rPr>
          <w:szCs w:val="28"/>
        </w:rPr>
        <w:t>Convention on the Rights of the Child. United Nations Treaty Collection. Adopted and opened for signature, ratification and accession by General Assembly resolution 44/25 of 20 November 1989. 15 р. (Entry into force 2 September 1990, in accordance with article 49). URL: https://www.ohchr.org/Documents/ProfessionalIntere</w:t>
      </w:r>
      <w:r w:rsidR="00866EB4">
        <w:rPr>
          <w:szCs w:val="28"/>
        </w:rPr>
        <w:t>st/crc.pdf (Last accessed: 12.</w:t>
      </w:r>
      <w:r w:rsidR="00866EB4" w:rsidRPr="00866EB4">
        <w:rPr>
          <w:szCs w:val="28"/>
          <w:lang w:val="en-US"/>
        </w:rPr>
        <w:t>09</w:t>
      </w:r>
      <w:r w:rsidR="007066C8" w:rsidRPr="007066C8">
        <w:rPr>
          <w:szCs w:val="28"/>
        </w:rPr>
        <w:t>.2020).</w:t>
      </w:r>
    </w:p>
    <w:p w:rsidR="00EB372B" w:rsidRPr="00B958D8" w:rsidRDefault="00165C7C" w:rsidP="00EB372B">
      <w:pPr>
        <w:ind w:firstLine="709"/>
        <w:rPr>
          <w:szCs w:val="28"/>
          <w:lang w:val="en-US"/>
        </w:rPr>
      </w:pPr>
      <w:r>
        <w:rPr>
          <w:szCs w:val="28"/>
        </w:rPr>
        <w:t xml:space="preserve">339. </w:t>
      </w:r>
      <w:r w:rsidR="00A607AD" w:rsidRPr="00EB372B">
        <w:rPr>
          <w:szCs w:val="28"/>
        </w:rPr>
        <w:t>Growth and Development among Infants and Preschoolers in Rural India: Economic Inequities and Caregiver Protective/Promotive Factors / M.  M. Black et al. International Journal of Behavioral Development. 2016. DOI: 10.1177/016502</w:t>
      </w:r>
      <w:r>
        <w:rPr>
          <w:szCs w:val="28"/>
        </w:rPr>
        <w:t>5416644690 (Last accessed: 28.04.2020</w:t>
      </w:r>
      <w:r w:rsidR="00A607AD" w:rsidRPr="00EB372B">
        <w:rPr>
          <w:szCs w:val="28"/>
        </w:rPr>
        <w:t>).</w:t>
      </w:r>
    </w:p>
    <w:p w:rsidR="00EB372B" w:rsidRPr="00B958D8" w:rsidRDefault="00165C7C" w:rsidP="00EB372B">
      <w:pPr>
        <w:ind w:firstLine="709"/>
        <w:rPr>
          <w:szCs w:val="28"/>
          <w:lang w:val="en-US"/>
        </w:rPr>
      </w:pPr>
      <w:r>
        <w:rPr>
          <w:szCs w:val="28"/>
        </w:rPr>
        <w:t>340.</w:t>
      </w:r>
      <w:r w:rsidR="00A607AD" w:rsidRPr="00EB372B">
        <w:rPr>
          <w:szCs w:val="28"/>
        </w:rPr>
        <w:t xml:space="preserve"> Bradley R. H., Putnick D. L. Housing Quality and Access to Material and Learning Resources within the Home Environment in Developing Countries. Child Development. 2012. Vol. 83 (1). P. 76–91. DOI:10.1111/J.1467-8624</w:t>
      </w:r>
      <w:r w:rsidR="00B04383">
        <w:rPr>
          <w:szCs w:val="28"/>
        </w:rPr>
        <w:t>.2011.01674.X (Last accessed: 15.02.2020</w:t>
      </w:r>
      <w:r w:rsidR="00A607AD" w:rsidRPr="00EB372B">
        <w:rPr>
          <w:szCs w:val="28"/>
        </w:rPr>
        <w:t>).</w:t>
      </w:r>
    </w:p>
    <w:p w:rsidR="00EB372B" w:rsidRPr="00B958D8" w:rsidRDefault="000E30B1" w:rsidP="00EB372B">
      <w:pPr>
        <w:ind w:firstLine="709"/>
        <w:rPr>
          <w:szCs w:val="28"/>
          <w:lang w:val="en-US"/>
        </w:rPr>
      </w:pPr>
      <w:r>
        <w:rPr>
          <w:szCs w:val="28"/>
        </w:rPr>
        <w:t>341.</w:t>
      </w:r>
      <w:r w:rsidRPr="000E30B1">
        <w:rPr>
          <w:szCs w:val="28"/>
          <w:lang w:val="en-US"/>
        </w:rPr>
        <w:t xml:space="preserve"> </w:t>
      </w:r>
      <w:r w:rsidR="00A607AD" w:rsidRPr="00EB372B">
        <w:rPr>
          <w:szCs w:val="28"/>
        </w:rPr>
        <w:t>Long-Term Impact of Early Life Events on Physiology and Behaviour / G.</w:t>
      </w:r>
      <w:r w:rsidR="005C691E">
        <w:rPr>
          <w:szCs w:val="28"/>
        </w:rPr>
        <w:t> </w:t>
      </w:r>
      <w:r w:rsidR="00A607AD" w:rsidRPr="00EB372B">
        <w:rPr>
          <w:szCs w:val="28"/>
        </w:rPr>
        <w:t>J.</w:t>
      </w:r>
      <w:r w:rsidR="005C691E">
        <w:rPr>
          <w:szCs w:val="28"/>
        </w:rPr>
        <w:t> </w:t>
      </w:r>
      <w:r w:rsidR="00A607AD" w:rsidRPr="00EB372B">
        <w:rPr>
          <w:szCs w:val="28"/>
        </w:rPr>
        <w:t>Boersma et al. Journal of Neuroendocrinology. 2014. Vol. 26 (9). P. 587–602.</w:t>
      </w:r>
    </w:p>
    <w:p w:rsidR="005C691E" w:rsidRDefault="00B04383" w:rsidP="005C691E">
      <w:pPr>
        <w:ind w:firstLine="709"/>
        <w:rPr>
          <w:szCs w:val="28"/>
        </w:rPr>
      </w:pPr>
      <w:r>
        <w:rPr>
          <w:szCs w:val="28"/>
        </w:rPr>
        <w:t xml:space="preserve">342. </w:t>
      </w:r>
      <w:r w:rsidR="00A607AD" w:rsidRPr="00EB372B">
        <w:rPr>
          <w:szCs w:val="28"/>
        </w:rPr>
        <w:t>Hertzman C. The Biological Embedding of Early Experience and Its Effects on Health in Adulthood. Annals of the New York Academy of Sciences. 1999. Vol. 896 (1). P.</w:t>
      </w:r>
      <w:r>
        <w:rPr>
          <w:szCs w:val="28"/>
        </w:rPr>
        <w:t> </w:t>
      </w:r>
      <w:r w:rsidR="00A607AD" w:rsidRPr="00EB372B">
        <w:rPr>
          <w:szCs w:val="28"/>
        </w:rPr>
        <w:t>85–95.</w:t>
      </w:r>
    </w:p>
    <w:p w:rsidR="00EB372B" w:rsidRPr="005C691E" w:rsidRDefault="00443569" w:rsidP="005C691E">
      <w:pPr>
        <w:ind w:firstLine="709"/>
        <w:rPr>
          <w:szCs w:val="28"/>
        </w:rPr>
      </w:pPr>
      <w:r>
        <w:rPr>
          <w:szCs w:val="28"/>
        </w:rPr>
        <w:lastRenderedPageBreak/>
        <w:t>343.</w:t>
      </w:r>
      <w:r w:rsidR="00A607AD" w:rsidRPr="00EB372B">
        <w:rPr>
          <w:szCs w:val="28"/>
        </w:rPr>
        <w:t xml:space="preserve"> Cognitive Deficit and Poverty in the First 5 Years of Childhood in Bangladesh / J.</w:t>
      </w:r>
      <w:r w:rsidR="005C691E">
        <w:rPr>
          <w:szCs w:val="28"/>
        </w:rPr>
        <w:t> D.</w:t>
      </w:r>
      <w:r w:rsidR="00A607AD" w:rsidRPr="00EB372B">
        <w:rPr>
          <w:szCs w:val="28"/>
        </w:rPr>
        <w:t>Hamadani et al. Pediatrics. 2014. Vol. 134 (4). P. E1001–1008. DOI: 10.1542/</w:t>
      </w:r>
      <w:r>
        <w:rPr>
          <w:szCs w:val="28"/>
        </w:rPr>
        <w:t>Peds.2014-0694 (Last accessed: 1</w:t>
      </w:r>
      <w:r w:rsidR="00A607AD" w:rsidRPr="00EB372B">
        <w:rPr>
          <w:szCs w:val="28"/>
        </w:rPr>
        <w:t>8.02</w:t>
      </w:r>
      <w:r>
        <w:rPr>
          <w:szCs w:val="28"/>
        </w:rPr>
        <w:t>.2020</w:t>
      </w:r>
      <w:r w:rsidR="00A607AD" w:rsidRPr="00EB372B">
        <w:rPr>
          <w:szCs w:val="28"/>
        </w:rPr>
        <w:t>).</w:t>
      </w:r>
    </w:p>
    <w:p w:rsidR="00EB372B" w:rsidRPr="0056068A" w:rsidRDefault="0056068A" w:rsidP="00EB372B">
      <w:pPr>
        <w:ind w:firstLine="709"/>
        <w:rPr>
          <w:szCs w:val="28"/>
        </w:rPr>
      </w:pPr>
      <w:r w:rsidRPr="0056068A">
        <w:rPr>
          <w:szCs w:val="28"/>
        </w:rPr>
        <w:t>344.</w:t>
      </w:r>
      <w:r>
        <w:rPr>
          <w:szCs w:val="28"/>
        </w:rPr>
        <w:t> </w:t>
      </w:r>
      <w:r w:rsidR="00A607AD" w:rsidRPr="0056068A">
        <w:rPr>
          <w:szCs w:val="28"/>
        </w:rPr>
        <w:t>Дудіна</w:t>
      </w:r>
      <w:r w:rsidR="001839CF">
        <w:rPr>
          <w:szCs w:val="28"/>
          <w:lang w:val="en-US"/>
        </w:rPr>
        <w:t> </w:t>
      </w:r>
      <w:r w:rsidR="00A607AD" w:rsidRPr="0056068A">
        <w:rPr>
          <w:szCs w:val="28"/>
        </w:rPr>
        <w:t>О.</w:t>
      </w:r>
      <w:r w:rsidR="001839CF">
        <w:rPr>
          <w:szCs w:val="28"/>
        </w:rPr>
        <w:t> </w:t>
      </w:r>
      <w:r w:rsidR="00A607AD" w:rsidRPr="0056068A">
        <w:rPr>
          <w:szCs w:val="28"/>
        </w:rPr>
        <w:t>О., Терещенко</w:t>
      </w:r>
      <w:r w:rsidR="001839CF">
        <w:rPr>
          <w:szCs w:val="28"/>
        </w:rPr>
        <w:t> </w:t>
      </w:r>
      <w:r w:rsidR="00A607AD" w:rsidRPr="0056068A">
        <w:rPr>
          <w:szCs w:val="28"/>
        </w:rPr>
        <w:t>А.</w:t>
      </w:r>
      <w:r w:rsidR="001839CF">
        <w:rPr>
          <w:szCs w:val="28"/>
        </w:rPr>
        <w:t> </w:t>
      </w:r>
      <w:r w:rsidR="00A607AD" w:rsidRPr="0056068A">
        <w:rPr>
          <w:szCs w:val="28"/>
        </w:rPr>
        <w:t>В. Вплив впровадження сучасних перинатальних технологій на здоров'я немовлят. Східноєвропейський журнал громадського здоров’я. 2013. № 1 (21). С.</w:t>
      </w:r>
      <w:r w:rsidR="008C485A">
        <w:rPr>
          <w:szCs w:val="28"/>
        </w:rPr>
        <w:t> </w:t>
      </w:r>
      <w:r w:rsidR="00A607AD" w:rsidRPr="0056068A">
        <w:rPr>
          <w:szCs w:val="28"/>
        </w:rPr>
        <w:t>137–138.</w:t>
      </w:r>
    </w:p>
    <w:p w:rsidR="00EB372B" w:rsidRPr="00B958D8" w:rsidRDefault="0056068A" w:rsidP="00EB372B">
      <w:pPr>
        <w:ind w:firstLine="709"/>
        <w:rPr>
          <w:szCs w:val="28"/>
          <w:lang w:val="en-US"/>
        </w:rPr>
      </w:pPr>
      <w:r w:rsidRPr="0056068A">
        <w:rPr>
          <w:szCs w:val="28"/>
        </w:rPr>
        <w:t xml:space="preserve">345. </w:t>
      </w:r>
      <w:r w:rsidR="00A607AD" w:rsidRPr="0056068A">
        <w:rPr>
          <w:szCs w:val="28"/>
        </w:rPr>
        <w:t>Дудіна О.</w:t>
      </w:r>
      <w:r w:rsidR="001839CF">
        <w:rPr>
          <w:lang w:val="en-US"/>
        </w:rPr>
        <w:t> </w:t>
      </w:r>
      <w:r w:rsidR="00A607AD" w:rsidRPr="0056068A">
        <w:rPr>
          <w:szCs w:val="28"/>
        </w:rPr>
        <w:t>О., Пархоменко Г.</w:t>
      </w:r>
      <w:r w:rsidR="001839CF">
        <w:rPr>
          <w:szCs w:val="28"/>
          <w:lang w:val="en-US"/>
        </w:rPr>
        <w:t> </w:t>
      </w:r>
      <w:r w:rsidR="00A607AD" w:rsidRPr="0056068A">
        <w:rPr>
          <w:szCs w:val="28"/>
        </w:rPr>
        <w:t>Я., Габорець Ю.</w:t>
      </w:r>
      <w:r w:rsidR="001839CF">
        <w:rPr>
          <w:szCs w:val="28"/>
          <w:lang w:val="en-US"/>
        </w:rPr>
        <w:t> </w:t>
      </w:r>
      <w:r w:rsidR="00A607AD" w:rsidRPr="0056068A">
        <w:rPr>
          <w:szCs w:val="28"/>
        </w:rPr>
        <w:t>Ю</w:t>
      </w:r>
      <w:r w:rsidR="00A607AD" w:rsidRPr="00EB372B">
        <w:rPr>
          <w:szCs w:val="28"/>
          <w:lang w:val="ru-RU"/>
        </w:rPr>
        <w:t xml:space="preserve">. Деякі характеристики репродуктивного здоров’я жінок України. </w:t>
      </w:r>
      <w:r w:rsidR="00A607AD" w:rsidRPr="00EB372B">
        <w:rPr>
          <w:szCs w:val="28"/>
        </w:rPr>
        <w:t>Здоровье женщины. 2011. № 7 (63). С. 146–151.</w:t>
      </w:r>
    </w:p>
    <w:p w:rsidR="00EB372B" w:rsidRPr="00EB372B" w:rsidRDefault="0056068A" w:rsidP="00EB372B">
      <w:pPr>
        <w:ind w:firstLine="709"/>
        <w:rPr>
          <w:szCs w:val="28"/>
          <w:lang w:val="en-US"/>
        </w:rPr>
      </w:pPr>
      <w:r>
        <w:rPr>
          <w:szCs w:val="28"/>
        </w:rPr>
        <w:t>346.</w:t>
      </w:r>
      <w:r>
        <w:t> </w:t>
      </w:r>
      <w:r w:rsidR="00A607AD" w:rsidRPr="00EB372B">
        <w:rPr>
          <w:szCs w:val="28"/>
        </w:rPr>
        <w:t>Hospital care for mothers and newborn babies: quality assessment and improvement tool: A systematic standard based participatory approach. 2-nd ed. Copenhagen, Denmark:</w:t>
      </w:r>
      <w:r>
        <w:t> </w:t>
      </w:r>
      <w:r w:rsidR="00A607AD" w:rsidRPr="00EB372B">
        <w:rPr>
          <w:szCs w:val="28"/>
        </w:rPr>
        <w:t>WHO,</w:t>
      </w:r>
      <w:r w:rsidR="00A607AD">
        <w:t> </w:t>
      </w:r>
      <w:r w:rsidR="00A607AD" w:rsidRPr="00EB372B">
        <w:rPr>
          <w:szCs w:val="28"/>
        </w:rPr>
        <w:t>2014.</w:t>
      </w:r>
      <w:r w:rsidR="00A607AD">
        <w:t> </w:t>
      </w:r>
      <w:r w:rsidR="00A607AD" w:rsidRPr="00EB372B">
        <w:rPr>
          <w:szCs w:val="28"/>
        </w:rPr>
        <w:t>199 р.</w:t>
      </w:r>
      <w:r w:rsidR="00A607AD">
        <w:t> </w:t>
      </w:r>
      <w:r w:rsidR="00A607AD" w:rsidRPr="00EB372B">
        <w:rPr>
          <w:szCs w:val="28"/>
        </w:rPr>
        <w:t>URL:  https://www.euro.who.int/__data/assets/pdf_file/0004/244831/Hospital-care-for-mothers-and-newborn-babies-quality-assessment-and-improvement-tool.pdf?ua=1 (Last accessed: 12.09.2020).</w:t>
      </w:r>
    </w:p>
    <w:p w:rsidR="00EB372B" w:rsidRPr="00EB372B" w:rsidRDefault="00AE30EE" w:rsidP="00EB372B">
      <w:pPr>
        <w:ind w:firstLine="709"/>
        <w:rPr>
          <w:szCs w:val="28"/>
          <w:lang w:val="en-US"/>
        </w:rPr>
      </w:pPr>
      <w:r>
        <w:rPr>
          <w:szCs w:val="28"/>
        </w:rPr>
        <w:t>347.</w:t>
      </w:r>
      <w:r w:rsidRPr="00AE30EE">
        <w:rPr>
          <w:szCs w:val="28"/>
          <w:lang w:val="en-US"/>
        </w:rPr>
        <w:t xml:space="preserve"> </w:t>
      </w:r>
      <w:r w:rsidR="00A607AD" w:rsidRPr="00EB372B">
        <w:rPr>
          <w:szCs w:val="28"/>
        </w:rPr>
        <w:t>Every Newborn Action Plan: Progress Report. Ev</w:t>
      </w:r>
      <w:r w:rsidR="00475E48">
        <w:rPr>
          <w:szCs w:val="28"/>
        </w:rPr>
        <w:t>ery Woman. Every ch</w:t>
      </w:r>
      <w:r w:rsidR="00A607AD" w:rsidRPr="00EB372B">
        <w:rPr>
          <w:szCs w:val="28"/>
        </w:rPr>
        <w:t>ild. / World</w:t>
      </w:r>
      <w:r w:rsidRPr="0056068A">
        <w:rPr>
          <w:szCs w:val="28"/>
          <w:lang w:val="en-US"/>
        </w:rPr>
        <w:t> </w:t>
      </w:r>
      <w:r w:rsidR="00A607AD" w:rsidRPr="00EB372B">
        <w:rPr>
          <w:szCs w:val="28"/>
        </w:rPr>
        <w:t>Health</w:t>
      </w:r>
      <w:r w:rsidR="00A607AD" w:rsidRPr="00662465">
        <w:t> </w:t>
      </w:r>
      <w:r w:rsidR="00A607AD" w:rsidRPr="00EB372B">
        <w:rPr>
          <w:szCs w:val="28"/>
        </w:rPr>
        <w:t>Organization, UNICEF.</w:t>
      </w:r>
      <w:r w:rsidR="00A607AD">
        <w:t> </w:t>
      </w:r>
      <w:r w:rsidR="00A607AD" w:rsidRPr="00EB372B">
        <w:rPr>
          <w:szCs w:val="28"/>
        </w:rPr>
        <w:t>Geneva, 2015. 28 p. URL:</w:t>
      </w:r>
      <w:r w:rsidR="00A607AD" w:rsidRPr="003B017E">
        <w:t> </w:t>
      </w:r>
      <w:r w:rsidR="00A607AD" w:rsidRPr="00EB372B">
        <w:rPr>
          <w:szCs w:val="28"/>
        </w:rPr>
        <w:t xml:space="preserve"> https://apps.who.int/iris/bitstream/handle/10665/255559/9789241508728-eng.pdf?sequence=1 (Last accessed: 12.10.2019).</w:t>
      </w:r>
    </w:p>
    <w:p w:rsidR="00EB372B" w:rsidRDefault="00AE30EE" w:rsidP="00EB372B">
      <w:pPr>
        <w:ind w:firstLine="709"/>
        <w:rPr>
          <w:szCs w:val="28"/>
          <w:lang w:val="ru-RU"/>
        </w:rPr>
      </w:pPr>
      <w:r>
        <w:rPr>
          <w:szCs w:val="28"/>
        </w:rPr>
        <w:t>348.</w:t>
      </w:r>
      <w:r w:rsidRPr="00AE30EE">
        <w:rPr>
          <w:szCs w:val="28"/>
          <w:lang w:val="en-US"/>
        </w:rPr>
        <w:t xml:space="preserve"> </w:t>
      </w:r>
      <w:r w:rsidR="00A607AD" w:rsidRPr="00EB372B">
        <w:rPr>
          <w:szCs w:val="28"/>
        </w:rPr>
        <w:t>Про затвердження Об’єму надання вторинної (спеціалізованої) медичної допомоги, що повинен забезпечуватися багатопрофільними лікарнями інтенсивного лікування першого та другого рівня, та Змін до Порядку регіоналізації перинатальної допомоги: Наказ МОЗ України від 19.10.2018 р. № 1881. URL</w:t>
      </w:r>
      <w:r w:rsidR="00A607AD" w:rsidRPr="00EB372B">
        <w:rPr>
          <w:szCs w:val="28"/>
          <w:lang w:val="ru-RU"/>
        </w:rPr>
        <w:t xml:space="preserve">: </w:t>
      </w:r>
      <w:r w:rsidR="00A607AD" w:rsidRPr="00EB372B">
        <w:rPr>
          <w:szCs w:val="28"/>
        </w:rPr>
        <w:t>https</w:t>
      </w:r>
      <w:r w:rsidR="00A607AD" w:rsidRPr="00EB372B">
        <w:rPr>
          <w:szCs w:val="28"/>
          <w:lang w:val="ru-RU"/>
        </w:rPr>
        <w:t>://</w:t>
      </w:r>
      <w:r w:rsidR="00A607AD" w:rsidRPr="00EB372B">
        <w:rPr>
          <w:szCs w:val="28"/>
        </w:rPr>
        <w:t>zakon</w:t>
      </w:r>
      <w:r w:rsidR="00A607AD" w:rsidRPr="00EB372B">
        <w:rPr>
          <w:szCs w:val="28"/>
          <w:lang w:val="ru-RU"/>
        </w:rPr>
        <w:t>.</w:t>
      </w:r>
      <w:r w:rsidR="00A607AD" w:rsidRPr="00EB372B">
        <w:rPr>
          <w:szCs w:val="28"/>
        </w:rPr>
        <w:t>rada</w:t>
      </w:r>
      <w:r w:rsidR="00A607AD" w:rsidRPr="00EB372B">
        <w:rPr>
          <w:szCs w:val="28"/>
          <w:lang w:val="ru-RU"/>
        </w:rPr>
        <w:t>.</w:t>
      </w:r>
      <w:r w:rsidR="00A607AD" w:rsidRPr="00EB372B">
        <w:rPr>
          <w:szCs w:val="28"/>
        </w:rPr>
        <w:t>gov</w:t>
      </w:r>
      <w:r w:rsidR="00A607AD" w:rsidRPr="00EB372B">
        <w:rPr>
          <w:szCs w:val="28"/>
          <w:lang w:val="ru-RU"/>
        </w:rPr>
        <w:t>.</w:t>
      </w:r>
      <w:r w:rsidR="00A607AD" w:rsidRPr="00EB372B">
        <w:rPr>
          <w:szCs w:val="28"/>
        </w:rPr>
        <w:t>ua</w:t>
      </w:r>
      <w:r w:rsidR="00A607AD" w:rsidRPr="00EB372B">
        <w:rPr>
          <w:szCs w:val="28"/>
          <w:lang w:val="ru-RU"/>
        </w:rPr>
        <w:t>/</w:t>
      </w:r>
      <w:r w:rsidR="00A607AD" w:rsidRPr="00EB372B">
        <w:rPr>
          <w:szCs w:val="28"/>
        </w:rPr>
        <w:t>laws</w:t>
      </w:r>
      <w:r w:rsidR="00A607AD" w:rsidRPr="00EB372B">
        <w:rPr>
          <w:szCs w:val="28"/>
          <w:lang w:val="ru-RU"/>
        </w:rPr>
        <w:t>/</w:t>
      </w:r>
      <w:r w:rsidR="00A607AD" w:rsidRPr="00EB372B">
        <w:rPr>
          <w:szCs w:val="28"/>
        </w:rPr>
        <w:t>show</w:t>
      </w:r>
      <w:r w:rsidR="00A607AD" w:rsidRPr="00EB372B">
        <w:rPr>
          <w:szCs w:val="28"/>
          <w:lang w:val="ru-RU"/>
        </w:rPr>
        <w:t>/</w:t>
      </w:r>
      <w:r w:rsidR="00A607AD" w:rsidRPr="00EB372B">
        <w:rPr>
          <w:szCs w:val="28"/>
        </w:rPr>
        <w:t>z</w:t>
      </w:r>
      <w:r w:rsidR="00A607AD" w:rsidRPr="00EB372B">
        <w:rPr>
          <w:szCs w:val="28"/>
          <w:lang w:val="ru-RU"/>
        </w:rPr>
        <w:t>1292-18#</w:t>
      </w:r>
      <w:r w:rsidR="00A607AD" w:rsidRPr="00EB372B">
        <w:rPr>
          <w:szCs w:val="28"/>
        </w:rPr>
        <w:t>Text</w:t>
      </w:r>
      <w:r w:rsidR="00A607AD" w:rsidRPr="00EB372B">
        <w:rPr>
          <w:szCs w:val="28"/>
          <w:lang w:val="ru-RU"/>
        </w:rPr>
        <w:t xml:space="preserve"> (дата звернення: 10.09.2020).</w:t>
      </w:r>
    </w:p>
    <w:p w:rsidR="00EB372B" w:rsidRDefault="00AE30EE" w:rsidP="00EB372B">
      <w:pPr>
        <w:ind w:firstLine="709"/>
        <w:rPr>
          <w:szCs w:val="28"/>
          <w:lang w:val="ru-RU"/>
        </w:rPr>
      </w:pPr>
      <w:r>
        <w:rPr>
          <w:szCs w:val="28"/>
          <w:lang w:val="ru-RU"/>
        </w:rPr>
        <w:t xml:space="preserve">349. </w:t>
      </w:r>
      <w:r w:rsidR="00A607AD" w:rsidRPr="00EB372B">
        <w:rPr>
          <w:szCs w:val="28"/>
          <w:lang w:val="ru-RU"/>
        </w:rPr>
        <w:t>Про вдосконалення організації надання медичної допомоги матерям та новонародженим у перинатальних центрах: Наказ МОЗ України від 31.10.2011</w:t>
      </w:r>
      <w:r w:rsidR="001839CF">
        <w:rPr>
          <w:szCs w:val="28"/>
          <w:lang w:val="en-US"/>
        </w:rPr>
        <w:t> </w:t>
      </w:r>
      <w:r w:rsidR="00A607AD" w:rsidRPr="00EB372B">
        <w:rPr>
          <w:szCs w:val="28"/>
          <w:lang w:val="ru-RU"/>
        </w:rPr>
        <w:t xml:space="preserve">р. № 726. </w:t>
      </w:r>
      <w:r w:rsidR="00A607AD" w:rsidRPr="00EB372B">
        <w:rPr>
          <w:szCs w:val="28"/>
        </w:rPr>
        <w:t>URL</w:t>
      </w:r>
      <w:r w:rsidR="00A607AD" w:rsidRPr="00EB372B">
        <w:rPr>
          <w:szCs w:val="28"/>
          <w:lang w:val="ru-RU"/>
        </w:rPr>
        <w:t xml:space="preserve">: </w:t>
      </w:r>
      <w:r w:rsidR="00A607AD" w:rsidRPr="00EB372B">
        <w:rPr>
          <w:szCs w:val="28"/>
        </w:rPr>
        <w:t>https</w:t>
      </w:r>
      <w:r w:rsidR="00A607AD" w:rsidRPr="00EB372B">
        <w:rPr>
          <w:szCs w:val="28"/>
          <w:lang w:val="ru-RU"/>
        </w:rPr>
        <w:t>://</w:t>
      </w:r>
      <w:r w:rsidR="00A607AD" w:rsidRPr="00EB372B">
        <w:rPr>
          <w:szCs w:val="28"/>
        </w:rPr>
        <w:t>zakon</w:t>
      </w:r>
      <w:r w:rsidR="00A607AD" w:rsidRPr="00EB372B">
        <w:rPr>
          <w:szCs w:val="28"/>
          <w:lang w:val="ru-RU"/>
        </w:rPr>
        <w:t>.</w:t>
      </w:r>
      <w:r w:rsidR="00A607AD" w:rsidRPr="00EB372B">
        <w:rPr>
          <w:szCs w:val="28"/>
        </w:rPr>
        <w:t>rada</w:t>
      </w:r>
      <w:r w:rsidR="00A607AD" w:rsidRPr="00EB372B">
        <w:rPr>
          <w:szCs w:val="28"/>
          <w:lang w:val="ru-RU"/>
        </w:rPr>
        <w:t>.</w:t>
      </w:r>
      <w:r w:rsidR="00A607AD" w:rsidRPr="00EB372B">
        <w:rPr>
          <w:szCs w:val="28"/>
        </w:rPr>
        <w:t>gov</w:t>
      </w:r>
      <w:r w:rsidR="00A607AD" w:rsidRPr="00EB372B">
        <w:rPr>
          <w:szCs w:val="28"/>
          <w:lang w:val="ru-RU"/>
        </w:rPr>
        <w:t>.</w:t>
      </w:r>
      <w:r w:rsidR="00A607AD" w:rsidRPr="00EB372B">
        <w:rPr>
          <w:szCs w:val="28"/>
        </w:rPr>
        <w:t>ua</w:t>
      </w:r>
      <w:r w:rsidR="00A607AD" w:rsidRPr="00EB372B">
        <w:rPr>
          <w:szCs w:val="28"/>
          <w:lang w:val="ru-RU"/>
        </w:rPr>
        <w:t>/</w:t>
      </w:r>
      <w:r w:rsidR="00A607AD" w:rsidRPr="00EB372B">
        <w:rPr>
          <w:szCs w:val="28"/>
        </w:rPr>
        <w:t>laws</w:t>
      </w:r>
      <w:r w:rsidR="00A607AD" w:rsidRPr="00EB372B">
        <w:rPr>
          <w:szCs w:val="28"/>
          <w:lang w:val="ru-RU"/>
        </w:rPr>
        <w:t>/</w:t>
      </w:r>
      <w:r w:rsidR="00A607AD" w:rsidRPr="00EB372B">
        <w:rPr>
          <w:szCs w:val="28"/>
        </w:rPr>
        <w:t>show</w:t>
      </w:r>
      <w:r w:rsidR="00A607AD" w:rsidRPr="00EB372B">
        <w:rPr>
          <w:szCs w:val="28"/>
          <w:lang w:val="ru-RU"/>
        </w:rPr>
        <w:t>/</w:t>
      </w:r>
      <w:r w:rsidR="00A607AD" w:rsidRPr="00EB372B">
        <w:rPr>
          <w:szCs w:val="28"/>
        </w:rPr>
        <w:t>z</w:t>
      </w:r>
      <w:r w:rsidR="00A607AD" w:rsidRPr="00EB372B">
        <w:rPr>
          <w:szCs w:val="28"/>
          <w:lang w:val="ru-RU"/>
        </w:rPr>
        <w:t>0068-12#</w:t>
      </w:r>
      <w:r w:rsidR="00A607AD" w:rsidRPr="00EB372B">
        <w:rPr>
          <w:szCs w:val="28"/>
        </w:rPr>
        <w:t>Text</w:t>
      </w:r>
      <w:r w:rsidR="00A607AD" w:rsidRPr="00EB372B">
        <w:rPr>
          <w:szCs w:val="28"/>
          <w:lang w:val="ru-RU"/>
        </w:rPr>
        <w:t xml:space="preserve"> (дата звернення: 12.10.2017).</w:t>
      </w:r>
    </w:p>
    <w:p w:rsidR="00EB372B" w:rsidRDefault="00AE30EE" w:rsidP="00EB372B">
      <w:pPr>
        <w:ind w:firstLine="709"/>
        <w:rPr>
          <w:szCs w:val="28"/>
          <w:lang w:val="ru-RU"/>
        </w:rPr>
      </w:pPr>
      <w:r>
        <w:rPr>
          <w:szCs w:val="28"/>
          <w:lang w:val="ru-RU"/>
        </w:rPr>
        <w:lastRenderedPageBreak/>
        <w:t>350.</w:t>
      </w:r>
      <w:r>
        <w:rPr>
          <w:lang w:val="ru-RU"/>
        </w:rPr>
        <w:t> </w:t>
      </w:r>
      <w:r w:rsidR="00A607AD" w:rsidRPr="00EB372B">
        <w:rPr>
          <w:szCs w:val="28"/>
          <w:lang w:val="ru-RU"/>
        </w:rPr>
        <w:t>Содействие повышению эффективности перинатальной помощи в Европейском</w:t>
      </w:r>
      <w:r w:rsidR="00247C20">
        <w:rPr>
          <w:szCs w:val="28"/>
          <w:lang w:val="en-US"/>
        </w:rPr>
        <w:t> </w:t>
      </w:r>
      <w:r w:rsidR="00A607AD" w:rsidRPr="00EB372B">
        <w:rPr>
          <w:szCs w:val="28"/>
          <w:lang w:val="ru-RU"/>
        </w:rPr>
        <w:t xml:space="preserve"> регионе (СПЄМ). </w:t>
      </w:r>
      <w:r w:rsidR="00A607AD" w:rsidRPr="00EB372B">
        <w:rPr>
          <w:szCs w:val="28"/>
        </w:rPr>
        <w:t>URL</w:t>
      </w:r>
      <w:r w:rsidR="00A607AD" w:rsidRPr="00EB372B">
        <w:rPr>
          <w:szCs w:val="28"/>
          <w:lang w:val="ru-RU"/>
        </w:rPr>
        <w:t>: </w:t>
      </w:r>
      <w:hyperlink r:id="rId74" w:history="1">
        <w:r w:rsidR="00A607AD" w:rsidRPr="00EB372B">
          <w:rPr>
            <w:rStyle w:val="af7"/>
            <w:color w:val="auto"/>
            <w:szCs w:val="28"/>
            <w:u w:val="none"/>
          </w:rPr>
          <w:t>www</w:t>
        </w:r>
        <w:r w:rsidR="00A607AD" w:rsidRPr="00EB372B">
          <w:rPr>
            <w:rStyle w:val="af7"/>
            <w:color w:val="auto"/>
            <w:szCs w:val="28"/>
            <w:u w:val="none"/>
            <w:lang w:val="ru-RU"/>
          </w:rPr>
          <w:t>.</w:t>
        </w:r>
        <w:r w:rsidR="00A607AD" w:rsidRPr="00EB372B">
          <w:rPr>
            <w:rStyle w:val="af7"/>
            <w:color w:val="auto"/>
            <w:szCs w:val="28"/>
            <w:u w:val="none"/>
          </w:rPr>
          <w:t>euro</w:t>
        </w:r>
        <w:r w:rsidR="00A607AD" w:rsidRPr="00EB372B">
          <w:rPr>
            <w:rStyle w:val="af7"/>
            <w:color w:val="auto"/>
            <w:szCs w:val="28"/>
            <w:u w:val="none"/>
            <w:lang w:val="ru-RU"/>
          </w:rPr>
          <w:t>.</w:t>
        </w:r>
        <w:r w:rsidR="00A607AD" w:rsidRPr="00EB372B">
          <w:rPr>
            <w:rStyle w:val="af7"/>
            <w:color w:val="auto"/>
            <w:szCs w:val="28"/>
            <w:u w:val="none"/>
          </w:rPr>
          <w:t>who</w:t>
        </w:r>
        <w:r w:rsidR="00A607AD" w:rsidRPr="00EB372B">
          <w:rPr>
            <w:rStyle w:val="af7"/>
            <w:color w:val="auto"/>
            <w:szCs w:val="28"/>
            <w:u w:val="none"/>
            <w:lang w:val="ru-RU"/>
          </w:rPr>
          <w:t>.</w:t>
        </w:r>
        <w:r w:rsidR="00A607AD" w:rsidRPr="00EB372B">
          <w:rPr>
            <w:rStyle w:val="af7"/>
            <w:color w:val="auto"/>
            <w:szCs w:val="28"/>
            <w:u w:val="none"/>
          </w:rPr>
          <w:t>int</w:t>
        </w:r>
        <w:r w:rsidR="00A607AD" w:rsidRPr="00EB372B">
          <w:rPr>
            <w:rStyle w:val="af7"/>
            <w:color w:val="auto"/>
            <w:szCs w:val="28"/>
            <w:u w:val="none"/>
            <w:lang w:val="ru-RU"/>
          </w:rPr>
          <w:t>/__</w:t>
        </w:r>
        <w:r w:rsidR="00A607AD" w:rsidRPr="00EB372B">
          <w:rPr>
            <w:rStyle w:val="af7"/>
            <w:color w:val="auto"/>
            <w:szCs w:val="28"/>
            <w:u w:val="none"/>
          </w:rPr>
          <w:t>data</w:t>
        </w:r>
        <w:r w:rsidR="00A607AD" w:rsidRPr="00EB372B">
          <w:rPr>
            <w:rStyle w:val="af7"/>
            <w:color w:val="auto"/>
            <w:szCs w:val="28"/>
            <w:u w:val="none"/>
            <w:lang w:val="ru-RU"/>
          </w:rPr>
          <w:t>/</w:t>
        </w:r>
        <w:r w:rsidR="00A607AD" w:rsidRPr="00EB372B">
          <w:rPr>
            <w:rStyle w:val="af7"/>
            <w:color w:val="auto"/>
            <w:szCs w:val="28"/>
            <w:u w:val="none"/>
          </w:rPr>
          <w:t>assets</w:t>
        </w:r>
        <w:r w:rsidR="00A607AD" w:rsidRPr="00EB372B">
          <w:rPr>
            <w:rStyle w:val="af7"/>
            <w:color w:val="auto"/>
            <w:szCs w:val="28"/>
            <w:u w:val="none"/>
            <w:lang w:val="ru-RU"/>
          </w:rPr>
          <w:t>/</w:t>
        </w:r>
        <w:r w:rsidR="00A607AD" w:rsidRPr="00EB372B">
          <w:rPr>
            <w:rStyle w:val="af7"/>
            <w:color w:val="auto"/>
            <w:szCs w:val="28"/>
            <w:u w:val="none"/>
          </w:rPr>
          <w:t>pdf</w:t>
        </w:r>
        <w:r w:rsidR="00A607AD" w:rsidRPr="00EB372B">
          <w:rPr>
            <w:rStyle w:val="af7"/>
            <w:color w:val="auto"/>
            <w:szCs w:val="28"/>
            <w:u w:val="none"/>
            <w:lang w:val="ru-RU"/>
          </w:rPr>
          <w:t>_</w:t>
        </w:r>
        <w:r w:rsidR="00A607AD" w:rsidRPr="00EB372B">
          <w:rPr>
            <w:rStyle w:val="af7"/>
            <w:color w:val="auto"/>
            <w:szCs w:val="28"/>
            <w:u w:val="none"/>
          </w:rPr>
          <w:t>fil</w:t>
        </w:r>
      </w:hyperlink>
      <w:r w:rsidR="00A607AD" w:rsidRPr="00EB372B">
        <w:rPr>
          <w:szCs w:val="28"/>
        </w:rPr>
        <w:t>e</w:t>
      </w:r>
      <w:r w:rsidR="00A607AD" w:rsidRPr="00EB372B">
        <w:rPr>
          <w:szCs w:val="28"/>
          <w:lang w:val="ru-RU"/>
        </w:rPr>
        <w:t>/0008/239435/</w:t>
      </w:r>
      <w:r w:rsidR="00A607AD" w:rsidRPr="00EB372B">
        <w:rPr>
          <w:szCs w:val="28"/>
        </w:rPr>
        <w:t>E</w:t>
      </w:r>
      <w:r w:rsidR="00A607AD" w:rsidRPr="00EB372B">
        <w:rPr>
          <w:szCs w:val="28"/>
          <w:lang w:val="ru-RU"/>
        </w:rPr>
        <w:t>76101</w:t>
      </w:r>
      <w:r w:rsidR="00A607AD" w:rsidRPr="00EB372B">
        <w:rPr>
          <w:szCs w:val="28"/>
        </w:rPr>
        <w:t>r</w:t>
      </w:r>
      <w:r w:rsidR="00A607AD" w:rsidRPr="00EB372B">
        <w:rPr>
          <w:szCs w:val="28"/>
          <w:lang w:val="ru-RU"/>
        </w:rPr>
        <w:t>.</w:t>
      </w:r>
      <w:r w:rsidR="00A607AD" w:rsidRPr="00EB372B">
        <w:rPr>
          <w:szCs w:val="28"/>
        </w:rPr>
        <w:t>pdf</w:t>
      </w:r>
      <w:r w:rsidR="00A607AD" w:rsidRPr="00EB372B">
        <w:rPr>
          <w:szCs w:val="28"/>
          <w:lang w:val="ru-RU"/>
        </w:rPr>
        <w:t xml:space="preserve"> (дата звернення: 10.09.2020).</w:t>
      </w:r>
    </w:p>
    <w:p w:rsidR="00044303" w:rsidRDefault="0025613D" w:rsidP="00044303">
      <w:pPr>
        <w:ind w:firstLine="709"/>
        <w:rPr>
          <w:szCs w:val="28"/>
          <w:lang w:val="ru-RU"/>
        </w:rPr>
      </w:pPr>
      <w:r>
        <w:rPr>
          <w:szCs w:val="28"/>
          <w:lang w:val="ru-RU"/>
        </w:rPr>
        <w:t>351.</w:t>
      </w:r>
      <w:r>
        <w:rPr>
          <w:lang w:val="en-US"/>
        </w:rPr>
        <w:t> </w:t>
      </w:r>
      <w:r w:rsidR="00A607AD" w:rsidRPr="00EB372B">
        <w:rPr>
          <w:szCs w:val="28"/>
          <w:lang w:val="ru-RU"/>
        </w:rPr>
        <w:t>Моісеєнко Р. О., Осташко С. І., Чибісова І. В. Збірник нормативних документів з питань реформування перинатальної допомоги в Україні. Київ: Золоті ворота, 2012. 456</w:t>
      </w:r>
      <w:r w:rsidR="00A607AD" w:rsidRPr="00447C86">
        <w:t> </w:t>
      </w:r>
      <w:r w:rsidR="00A607AD" w:rsidRPr="00EB372B">
        <w:rPr>
          <w:szCs w:val="28"/>
          <w:lang w:val="ru-RU"/>
        </w:rPr>
        <w:t>с.</w:t>
      </w:r>
    </w:p>
    <w:p w:rsidR="00044303" w:rsidRDefault="0025613D" w:rsidP="00044303">
      <w:pPr>
        <w:ind w:firstLine="709"/>
        <w:rPr>
          <w:szCs w:val="28"/>
          <w:lang w:val="ru-RU"/>
        </w:rPr>
      </w:pPr>
      <w:r>
        <w:rPr>
          <w:szCs w:val="28"/>
          <w:lang w:val="ru-RU"/>
        </w:rPr>
        <w:t>352.</w:t>
      </w:r>
      <w:r>
        <w:rPr>
          <w:lang w:val="en-US"/>
        </w:rPr>
        <w:t> </w:t>
      </w:r>
      <w:r w:rsidR="00A607AD" w:rsidRPr="00044303">
        <w:rPr>
          <w:szCs w:val="28"/>
          <w:lang w:val="ru-RU"/>
        </w:rPr>
        <w:t>Повышение качества услуг по охране репродуктивного, материнского, неонатального, детского и подросткового здоровья в Европейском регионе. Европейское региональное бюро ВОЗ. Копенгаген, 2017. 62</w:t>
      </w:r>
      <w:r w:rsidR="001839CF">
        <w:rPr>
          <w:szCs w:val="28"/>
          <w:lang w:val="en-US"/>
        </w:rPr>
        <w:t> </w:t>
      </w:r>
      <w:r w:rsidR="00A607AD" w:rsidRPr="00044303">
        <w:rPr>
          <w:szCs w:val="28"/>
          <w:lang w:val="ru-RU"/>
        </w:rPr>
        <w:t xml:space="preserve">с. </w:t>
      </w:r>
      <w:r w:rsidR="00A607AD" w:rsidRPr="00044303">
        <w:rPr>
          <w:szCs w:val="28"/>
        </w:rPr>
        <w:t>URL</w:t>
      </w:r>
      <w:r w:rsidR="00A607AD" w:rsidRPr="00044303">
        <w:rPr>
          <w:szCs w:val="28"/>
          <w:lang w:val="ru-RU"/>
        </w:rPr>
        <w:t xml:space="preserve">: </w:t>
      </w:r>
      <w:r w:rsidR="00A607AD" w:rsidRPr="00044303">
        <w:rPr>
          <w:szCs w:val="28"/>
        </w:rPr>
        <w:t>https</w:t>
      </w:r>
      <w:r w:rsidR="00A607AD" w:rsidRPr="00044303">
        <w:rPr>
          <w:szCs w:val="28"/>
          <w:lang w:val="ru-RU"/>
        </w:rPr>
        <w:t>://</w:t>
      </w:r>
      <w:r w:rsidR="00A607AD" w:rsidRPr="00044303">
        <w:rPr>
          <w:szCs w:val="28"/>
        </w:rPr>
        <w:t>www</w:t>
      </w:r>
      <w:r w:rsidR="00A607AD" w:rsidRPr="00044303">
        <w:rPr>
          <w:szCs w:val="28"/>
          <w:lang w:val="ru-RU"/>
        </w:rPr>
        <w:t>.</w:t>
      </w:r>
      <w:r w:rsidR="00A607AD" w:rsidRPr="00044303">
        <w:rPr>
          <w:szCs w:val="28"/>
        </w:rPr>
        <w:t>euro</w:t>
      </w:r>
      <w:r w:rsidR="00A607AD" w:rsidRPr="00044303">
        <w:rPr>
          <w:szCs w:val="28"/>
          <w:lang w:val="ru-RU"/>
        </w:rPr>
        <w:t>.</w:t>
      </w:r>
      <w:r w:rsidR="00A607AD" w:rsidRPr="00044303">
        <w:rPr>
          <w:szCs w:val="28"/>
        </w:rPr>
        <w:t>who</w:t>
      </w:r>
      <w:r w:rsidR="00A607AD" w:rsidRPr="00044303">
        <w:rPr>
          <w:szCs w:val="28"/>
          <w:lang w:val="ru-RU"/>
        </w:rPr>
        <w:t>.</w:t>
      </w:r>
      <w:r w:rsidR="00A607AD" w:rsidRPr="00044303">
        <w:rPr>
          <w:szCs w:val="28"/>
        </w:rPr>
        <w:t>int</w:t>
      </w:r>
      <w:r w:rsidR="00A607AD" w:rsidRPr="00044303">
        <w:rPr>
          <w:szCs w:val="28"/>
          <w:lang w:val="ru-RU"/>
        </w:rPr>
        <w:t>/__</w:t>
      </w:r>
      <w:r w:rsidR="00A607AD" w:rsidRPr="00044303">
        <w:rPr>
          <w:szCs w:val="28"/>
        </w:rPr>
        <w:t>data</w:t>
      </w:r>
      <w:r w:rsidR="00A607AD" w:rsidRPr="00044303">
        <w:rPr>
          <w:szCs w:val="28"/>
          <w:lang w:val="ru-RU"/>
        </w:rPr>
        <w:t>/</w:t>
      </w:r>
      <w:r w:rsidR="00A607AD" w:rsidRPr="00044303">
        <w:rPr>
          <w:szCs w:val="28"/>
        </w:rPr>
        <w:t>assets</w:t>
      </w:r>
      <w:r w:rsidR="00A607AD" w:rsidRPr="00044303">
        <w:rPr>
          <w:szCs w:val="28"/>
          <w:lang w:val="ru-RU"/>
        </w:rPr>
        <w:t>/</w:t>
      </w:r>
      <w:r w:rsidR="00A607AD" w:rsidRPr="00044303">
        <w:rPr>
          <w:szCs w:val="28"/>
        </w:rPr>
        <w:t>pdf</w:t>
      </w:r>
      <w:r w:rsidR="00A607AD" w:rsidRPr="00044303">
        <w:rPr>
          <w:szCs w:val="28"/>
          <w:lang w:val="ru-RU"/>
        </w:rPr>
        <w:t>_</w:t>
      </w:r>
      <w:r w:rsidR="00A607AD" w:rsidRPr="00044303">
        <w:rPr>
          <w:szCs w:val="28"/>
        </w:rPr>
        <w:t>file</w:t>
      </w:r>
      <w:r w:rsidR="00A607AD" w:rsidRPr="00044303">
        <w:rPr>
          <w:szCs w:val="28"/>
          <w:lang w:val="ru-RU"/>
        </w:rPr>
        <w:t>/0010/330958/</w:t>
      </w:r>
      <w:r w:rsidR="00A607AD" w:rsidRPr="00044303">
        <w:rPr>
          <w:szCs w:val="28"/>
        </w:rPr>
        <w:t>RMNCAH</w:t>
      </w:r>
      <w:r w:rsidR="00A607AD" w:rsidRPr="00044303">
        <w:rPr>
          <w:szCs w:val="28"/>
          <w:lang w:val="ru-RU"/>
        </w:rPr>
        <w:t>-</w:t>
      </w:r>
      <w:r w:rsidR="00A607AD" w:rsidRPr="00044303">
        <w:rPr>
          <w:szCs w:val="28"/>
        </w:rPr>
        <w:t>QI</w:t>
      </w:r>
      <w:r w:rsidR="00A607AD" w:rsidRPr="00044303">
        <w:rPr>
          <w:szCs w:val="28"/>
          <w:lang w:val="ru-RU"/>
        </w:rPr>
        <w:t>-</w:t>
      </w:r>
      <w:r w:rsidR="00A607AD" w:rsidRPr="00044303">
        <w:rPr>
          <w:szCs w:val="28"/>
        </w:rPr>
        <w:t>Framework</w:t>
      </w:r>
      <w:r w:rsidR="00A607AD" w:rsidRPr="00044303">
        <w:rPr>
          <w:szCs w:val="28"/>
          <w:lang w:val="ru-RU"/>
        </w:rPr>
        <w:t>-</w:t>
      </w:r>
      <w:r w:rsidR="00A607AD" w:rsidRPr="00044303">
        <w:rPr>
          <w:szCs w:val="28"/>
        </w:rPr>
        <w:t>ru</w:t>
      </w:r>
      <w:r w:rsidR="00A607AD" w:rsidRPr="00044303">
        <w:rPr>
          <w:szCs w:val="28"/>
          <w:lang w:val="ru-RU"/>
        </w:rPr>
        <w:t>.</w:t>
      </w:r>
      <w:r w:rsidR="00A607AD" w:rsidRPr="00044303">
        <w:rPr>
          <w:szCs w:val="28"/>
        </w:rPr>
        <w:t>pdf</w:t>
      </w:r>
      <w:r w:rsidR="006F63AF">
        <w:rPr>
          <w:szCs w:val="28"/>
          <w:lang w:val="ru-RU"/>
        </w:rPr>
        <w:t xml:space="preserve"> (дата звернення: </w:t>
      </w:r>
      <w:r w:rsidR="006F63AF" w:rsidRPr="006F63AF">
        <w:rPr>
          <w:szCs w:val="28"/>
          <w:lang w:val="ru-RU"/>
        </w:rPr>
        <w:t>15</w:t>
      </w:r>
      <w:r w:rsidR="006F63AF">
        <w:rPr>
          <w:szCs w:val="28"/>
          <w:lang w:val="ru-RU"/>
        </w:rPr>
        <w:t>.02.202</w:t>
      </w:r>
      <w:r w:rsidR="006F63AF" w:rsidRPr="006F63AF">
        <w:rPr>
          <w:szCs w:val="28"/>
          <w:lang w:val="ru-RU"/>
        </w:rPr>
        <w:t>0</w:t>
      </w:r>
      <w:r w:rsidR="00A607AD" w:rsidRPr="00044303">
        <w:rPr>
          <w:szCs w:val="28"/>
          <w:lang w:val="ru-RU"/>
        </w:rPr>
        <w:t>).</w:t>
      </w:r>
    </w:p>
    <w:p w:rsidR="00B958D8" w:rsidRPr="00B958D8" w:rsidRDefault="0025613D" w:rsidP="00B958D8">
      <w:pPr>
        <w:ind w:firstLine="709"/>
        <w:rPr>
          <w:szCs w:val="28"/>
          <w:lang w:val="en-US"/>
        </w:rPr>
      </w:pPr>
      <w:r>
        <w:rPr>
          <w:szCs w:val="28"/>
        </w:rPr>
        <w:t xml:space="preserve">353. </w:t>
      </w:r>
      <w:r w:rsidR="00A607AD" w:rsidRPr="00044303">
        <w:rPr>
          <w:szCs w:val="28"/>
        </w:rPr>
        <w:t>Maternal and Newborn Standards and Indicators Compendium / CORE Group. Washington, 2004. 104</w:t>
      </w:r>
      <w:r w:rsidR="001839CF">
        <w:rPr>
          <w:lang w:val="en-US"/>
        </w:rPr>
        <w:t> </w:t>
      </w:r>
      <w:r w:rsidR="00A607AD" w:rsidRPr="00044303">
        <w:rPr>
          <w:szCs w:val="28"/>
        </w:rPr>
        <w:t>р. URL: https://www.mchip.net/technical-resource/maternal-and-newborn-standards-and-indicators-compendium/ (Last accessed: 10.09.2020).</w:t>
      </w:r>
    </w:p>
    <w:p w:rsidR="00B958D8" w:rsidRPr="00B958D8" w:rsidRDefault="0025613D" w:rsidP="00B958D8">
      <w:pPr>
        <w:ind w:firstLine="709"/>
        <w:rPr>
          <w:szCs w:val="28"/>
          <w:lang w:val="en-US"/>
        </w:rPr>
      </w:pPr>
      <w:r>
        <w:rPr>
          <w:szCs w:val="28"/>
        </w:rPr>
        <w:t xml:space="preserve">354. </w:t>
      </w:r>
      <w:r w:rsidR="00A607AD" w:rsidRPr="00B958D8">
        <w:rPr>
          <w:szCs w:val="28"/>
        </w:rPr>
        <w:t>ІІІ-rd Task Force Making Pregnancy Safer/Promoting Effective Perinatal Care. From evidence to practice (Verona, Italy, 22–24 October 2003). Ve</w:t>
      </w:r>
      <w:r w:rsidR="001839CF">
        <w:rPr>
          <w:szCs w:val="28"/>
        </w:rPr>
        <w:t>rona, Italy, 2003.  38 р. URL:</w:t>
      </w:r>
      <w:r w:rsidR="001839CF" w:rsidRPr="001839CF">
        <w:rPr>
          <w:szCs w:val="28"/>
          <w:lang w:val="en-US"/>
        </w:rPr>
        <w:t> </w:t>
      </w:r>
      <w:r w:rsidR="00A607AD" w:rsidRPr="00B958D8">
        <w:rPr>
          <w:szCs w:val="28"/>
        </w:rPr>
        <w:t>https://www.euro.who.int/__data/assets/pdf_file/0006/240279/E83605.pdf (Last accessed: 12.10.2019).</w:t>
      </w:r>
    </w:p>
    <w:p w:rsidR="0096385E" w:rsidRDefault="0025613D" w:rsidP="0096385E">
      <w:pPr>
        <w:ind w:firstLine="709"/>
        <w:rPr>
          <w:szCs w:val="28"/>
        </w:rPr>
      </w:pPr>
      <w:r>
        <w:rPr>
          <w:szCs w:val="28"/>
        </w:rPr>
        <w:t xml:space="preserve">355. </w:t>
      </w:r>
      <w:r w:rsidR="00A607AD" w:rsidRPr="00B958D8">
        <w:rPr>
          <w:szCs w:val="28"/>
        </w:rPr>
        <w:t>Second Meeting of the Perinatal Care Task Force: Report on a WHO Meeting (Bologna, Italy, 26-29 January 2000) / WHO Regional Office for Europe. Copenhagen, Denmark, 2001. 24 p.</w:t>
      </w:r>
    </w:p>
    <w:p w:rsidR="0096385E" w:rsidRPr="0096385E" w:rsidRDefault="0096385E" w:rsidP="0096385E">
      <w:pPr>
        <w:ind w:firstLine="709"/>
        <w:rPr>
          <w:szCs w:val="28"/>
        </w:rPr>
      </w:pPr>
      <w:r>
        <w:rPr>
          <w:szCs w:val="28"/>
        </w:rPr>
        <w:t>356.</w:t>
      </w:r>
      <w:r w:rsidRPr="005416F9">
        <w:rPr>
          <w:szCs w:val="28"/>
        </w:rPr>
        <w:t>Пакети медичних послуг: зміст та підхід до контрактування закладів охорони здоров’</w:t>
      </w:r>
      <w:r w:rsidRPr="0096385E">
        <w:rPr>
          <w:szCs w:val="28"/>
        </w:rPr>
        <w:t xml:space="preserve">я України / Національна служба </w:t>
      </w:r>
      <w:r w:rsidRPr="005416F9">
        <w:rPr>
          <w:szCs w:val="28"/>
        </w:rPr>
        <w:t>здоров’</w:t>
      </w:r>
      <w:r w:rsidRPr="0096385E">
        <w:rPr>
          <w:szCs w:val="28"/>
        </w:rPr>
        <w:t>я</w:t>
      </w:r>
      <w:r w:rsidRPr="005416F9">
        <w:rPr>
          <w:szCs w:val="28"/>
        </w:rPr>
        <w:t xml:space="preserve"> </w:t>
      </w:r>
      <w:r w:rsidRPr="0096385E">
        <w:rPr>
          <w:szCs w:val="28"/>
        </w:rPr>
        <w:t xml:space="preserve">України. 67 с. 07.02.2020. </w:t>
      </w:r>
      <w:r w:rsidRPr="0096385E">
        <w:rPr>
          <w:szCs w:val="28"/>
          <w:lang w:val="en-US"/>
        </w:rPr>
        <w:t>URL</w:t>
      </w:r>
      <w:r w:rsidRPr="0096385E">
        <w:rPr>
          <w:szCs w:val="28"/>
          <w:lang w:val="ru-RU"/>
        </w:rPr>
        <w:t>:</w:t>
      </w:r>
      <w:r>
        <w:rPr>
          <w:szCs w:val="28"/>
        </w:rPr>
        <w:t xml:space="preserve"> </w:t>
      </w:r>
      <w:hyperlink r:id="rId75" w:history="1">
        <w:r w:rsidRPr="0096385E">
          <w:rPr>
            <w:rStyle w:val="af7"/>
            <w:color w:val="auto"/>
            <w:szCs w:val="28"/>
            <w:u w:val="none"/>
            <w:lang w:val="en-US"/>
          </w:rPr>
          <w:t>https</w:t>
        </w:r>
        <w:r w:rsidRPr="0096385E">
          <w:rPr>
            <w:rStyle w:val="af7"/>
            <w:color w:val="auto"/>
            <w:szCs w:val="28"/>
            <w:u w:val="none"/>
          </w:rPr>
          <w:t>://</w:t>
        </w:r>
        <w:r w:rsidRPr="0096385E">
          <w:rPr>
            <w:rStyle w:val="af7"/>
            <w:color w:val="auto"/>
            <w:szCs w:val="28"/>
            <w:u w:val="none"/>
            <w:lang w:val="en-US"/>
          </w:rPr>
          <w:t>nszu</w:t>
        </w:r>
        <w:r w:rsidRPr="0096385E">
          <w:rPr>
            <w:rStyle w:val="af7"/>
            <w:color w:val="auto"/>
            <w:szCs w:val="28"/>
            <w:u w:val="none"/>
          </w:rPr>
          <w:t>.</w:t>
        </w:r>
        <w:r w:rsidRPr="0096385E">
          <w:rPr>
            <w:rStyle w:val="af7"/>
            <w:color w:val="auto"/>
            <w:szCs w:val="28"/>
            <w:u w:val="none"/>
            <w:lang w:val="en-US"/>
          </w:rPr>
          <w:t>gov</w:t>
        </w:r>
        <w:r w:rsidRPr="0096385E">
          <w:rPr>
            <w:rStyle w:val="af7"/>
            <w:color w:val="auto"/>
            <w:szCs w:val="28"/>
            <w:u w:val="none"/>
          </w:rPr>
          <w:t>.</w:t>
        </w:r>
        <w:r w:rsidRPr="0096385E">
          <w:rPr>
            <w:rStyle w:val="af7"/>
            <w:color w:val="auto"/>
            <w:szCs w:val="28"/>
            <w:u w:val="none"/>
            <w:lang w:val="en-US"/>
          </w:rPr>
          <w:t>ua</w:t>
        </w:r>
        <w:r w:rsidRPr="0096385E">
          <w:rPr>
            <w:rStyle w:val="af7"/>
            <w:color w:val="auto"/>
            <w:szCs w:val="28"/>
            <w:u w:val="none"/>
          </w:rPr>
          <w:t>/</w:t>
        </w:r>
        <w:r w:rsidRPr="0096385E">
          <w:rPr>
            <w:rStyle w:val="af7"/>
            <w:color w:val="auto"/>
            <w:szCs w:val="28"/>
            <w:u w:val="none"/>
            <w:lang w:val="en-US"/>
          </w:rPr>
          <w:t>storage</w:t>
        </w:r>
        <w:r w:rsidRPr="0096385E">
          <w:rPr>
            <w:rStyle w:val="af7"/>
            <w:color w:val="auto"/>
            <w:szCs w:val="28"/>
            <w:u w:val="none"/>
          </w:rPr>
          <w:t>/</w:t>
        </w:r>
        <w:r w:rsidRPr="0096385E">
          <w:rPr>
            <w:rStyle w:val="af7"/>
            <w:color w:val="auto"/>
            <w:szCs w:val="28"/>
            <w:u w:val="none"/>
            <w:lang w:val="en-US"/>
          </w:rPr>
          <w:t>editor</w:t>
        </w:r>
        <w:r w:rsidRPr="0096385E">
          <w:rPr>
            <w:rStyle w:val="af7"/>
            <w:color w:val="auto"/>
            <w:szCs w:val="28"/>
            <w:u w:val="none"/>
          </w:rPr>
          <w:t>/</w:t>
        </w:r>
        <w:r w:rsidRPr="0096385E">
          <w:rPr>
            <w:rStyle w:val="af7"/>
            <w:color w:val="auto"/>
            <w:szCs w:val="28"/>
            <w:u w:val="none"/>
            <w:lang w:val="en-US"/>
          </w:rPr>
          <w:t>files</w:t>
        </w:r>
        <w:r w:rsidRPr="0096385E">
          <w:rPr>
            <w:rStyle w:val="af7"/>
            <w:color w:val="auto"/>
            <w:szCs w:val="28"/>
            <w:u w:val="none"/>
          </w:rPr>
          <w:t>/</w:t>
        </w:r>
        <w:r w:rsidRPr="0096385E">
          <w:rPr>
            <w:rStyle w:val="af7"/>
            <w:color w:val="auto"/>
            <w:szCs w:val="28"/>
            <w:u w:val="none"/>
            <w:lang w:val="en-US"/>
          </w:rPr>
          <w:t>paketi</w:t>
        </w:r>
        <w:r w:rsidRPr="0096385E">
          <w:rPr>
            <w:rStyle w:val="af7"/>
            <w:color w:val="auto"/>
            <w:szCs w:val="28"/>
            <w:u w:val="none"/>
          </w:rPr>
          <w:t>-</w:t>
        </w:r>
        <w:r w:rsidRPr="0096385E">
          <w:rPr>
            <w:rStyle w:val="af7"/>
            <w:color w:val="auto"/>
            <w:szCs w:val="28"/>
            <w:u w:val="none"/>
            <w:lang w:val="en-US"/>
          </w:rPr>
          <w:t>medichnikh</w:t>
        </w:r>
        <w:r w:rsidRPr="0096385E">
          <w:rPr>
            <w:rStyle w:val="af7"/>
            <w:color w:val="auto"/>
            <w:szCs w:val="28"/>
            <w:u w:val="none"/>
          </w:rPr>
          <w:t>-</w:t>
        </w:r>
        <w:r w:rsidRPr="0096385E">
          <w:rPr>
            <w:rStyle w:val="af7"/>
            <w:color w:val="auto"/>
            <w:szCs w:val="28"/>
            <w:u w:val="none"/>
            <w:lang w:val="en-US"/>
          </w:rPr>
          <w:t>poslug</w:t>
        </w:r>
        <w:r w:rsidRPr="0096385E">
          <w:rPr>
            <w:rStyle w:val="af7"/>
            <w:color w:val="auto"/>
            <w:szCs w:val="28"/>
            <w:u w:val="none"/>
          </w:rPr>
          <w:t>-07022020_1581100466.</w:t>
        </w:r>
        <w:r w:rsidRPr="0096385E">
          <w:rPr>
            <w:rStyle w:val="af7"/>
            <w:color w:val="auto"/>
            <w:szCs w:val="28"/>
            <w:u w:val="none"/>
            <w:lang w:val="en-US"/>
          </w:rPr>
          <w:t>pdf</w:t>
        </w:r>
      </w:hyperlink>
      <w:r w:rsidRPr="0096385E">
        <w:rPr>
          <w:szCs w:val="28"/>
        </w:rPr>
        <w:t xml:space="preserve"> </w:t>
      </w:r>
      <w:r w:rsidRPr="0096385E">
        <w:rPr>
          <w:szCs w:val="28"/>
          <w:lang w:val="ru-RU"/>
        </w:rPr>
        <w:t>(д</w:t>
      </w:r>
      <w:r w:rsidRPr="0096385E">
        <w:rPr>
          <w:szCs w:val="28"/>
        </w:rPr>
        <w:t>ата звернення: 03.10.2020).</w:t>
      </w:r>
    </w:p>
    <w:p w:rsidR="00B958D8" w:rsidRDefault="00B036C1" w:rsidP="00B958D8">
      <w:pPr>
        <w:ind w:firstLine="709"/>
        <w:rPr>
          <w:szCs w:val="28"/>
          <w:lang w:val="ru-RU"/>
        </w:rPr>
      </w:pPr>
      <w:r>
        <w:rPr>
          <w:szCs w:val="28"/>
          <w:lang w:val="ru-RU"/>
        </w:rPr>
        <w:t>357. </w:t>
      </w:r>
      <w:r w:rsidR="00A607AD" w:rsidRPr="00B958D8">
        <w:rPr>
          <w:szCs w:val="28"/>
          <w:lang w:val="ru-RU"/>
        </w:rPr>
        <w:t>Про порядок проведення реформування системи охорони здоров'я у Вінницькій, Дніпропетровській, Донецькій областях та місті Києві: Закон України від 7</w:t>
      </w:r>
      <w:r w:rsidR="001839CF">
        <w:rPr>
          <w:lang w:val="ru-RU"/>
        </w:rPr>
        <w:t> </w:t>
      </w:r>
      <w:r w:rsidR="00A607AD" w:rsidRPr="00B958D8">
        <w:rPr>
          <w:szCs w:val="28"/>
          <w:lang w:val="ru-RU"/>
        </w:rPr>
        <w:t>липня 2011 р. № 3612-</w:t>
      </w:r>
      <w:r w:rsidR="00A607AD" w:rsidRPr="00B958D8">
        <w:rPr>
          <w:szCs w:val="28"/>
        </w:rPr>
        <w:t>VI</w:t>
      </w:r>
      <w:r w:rsidR="00A607AD" w:rsidRPr="00B958D8">
        <w:rPr>
          <w:szCs w:val="28"/>
          <w:lang w:val="ru-RU"/>
        </w:rPr>
        <w:t xml:space="preserve">. Відомості Верховної Ради України (ВВР). 2012. № 12/13, </w:t>
      </w:r>
      <w:r w:rsidR="00A607AD" w:rsidRPr="00B958D8">
        <w:rPr>
          <w:szCs w:val="28"/>
          <w:lang w:val="ru-RU"/>
        </w:rPr>
        <w:lastRenderedPageBreak/>
        <w:t>ст.</w:t>
      </w:r>
      <w:r w:rsidR="00F66DC9">
        <w:t> </w:t>
      </w:r>
      <w:r w:rsidR="00A607AD" w:rsidRPr="00B958D8">
        <w:rPr>
          <w:szCs w:val="28"/>
          <w:lang w:val="ru-RU"/>
        </w:rPr>
        <w:t xml:space="preserve">81. </w:t>
      </w:r>
      <w:r w:rsidR="00A607AD" w:rsidRPr="00B958D8">
        <w:rPr>
          <w:szCs w:val="28"/>
        </w:rPr>
        <w:t>URL</w:t>
      </w:r>
      <w:r w:rsidR="00A607AD" w:rsidRPr="00B958D8">
        <w:rPr>
          <w:szCs w:val="28"/>
          <w:lang w:val="ru-RU"/>
        </w:rPr>
        <w:t xml:space="preserve">: </w:t>
      </w:r>
      <w:r w:rsidR="00A607AD" w:rsidRPr="00B958D8">
        <w:rPr>
          <w:szCs w:val="28"/>
        </w:rPr>
        <w:t>https</w:t>
      </w:r>
      <w:r w:rsidR="00A607AD" w:rsidRPr="00B958D8">
        <w:rPr>
          <w:szCs w:val="28"/>
          <w:lang w:val="ru-RU"/>
        </w:rPr>
        <w:t>://</w:t>
      </w:r>
      <w:r w:rsidR="00A607AD" w:rsidRPr="00B958D8">
        <w:rPr>
          <w:szCs w:val="28"/>
        </w:rPr>
        <w:t>zakon</w:t>
      </w:r>
      <w:r w:rsidR="00A607AD" w:rsidRPr="00B958D8">
        <w:rPr>
          <w:szCs w:val="28"/>
          <w:lang w:val="ru-RU"/>
        </w:rPr>
        <w:t>.</w:t>
      </w:r>
      <w:r w:rsidR="00A607AD" w:rsidRPr="00B958D8">
        <w:rPr>
          <w:szCs w:val="28"/>
        </w:rPr>
        <w:t>rada</w:t>
      </w:r>
      <w:r w:rsidR="00A607AD" w:rsidRPr="00B958D8">
        <w:rPr>
          <w:szCs w:val="28"/>
          <w:lang w:val="ru-RU"/>
        </w:rPr>
        <w:t>.</w:t>
      </w:r>
      <w:r w:rsidR="00A607AD" w:rsidRPr="00B958D8">
        <w:rPr>
          <w:szCs w:val="28"/>
        </w:rPr>
        <w:t>gov</w:t>
      </w:r>
      <w:r w:rsidR="00A607AD" w:rsidRPr="00B958D8">
        <w:rPr>
          <w:szCs w:val="28"/>
          <w:lang w:val="ru-RU"/>
        </w:rPr>
        <w:t>.</w:t>
      </w:r>
      <w:r w:rsidR="00A607AD" w:rsidRPr="00B958D8">
        <w:rPr>
          <w:szCs w:val="28"/>
        </w:rPr>
        <w:t>ua</w:t>
      </w:r>
      <w:r w:rsidR="00A607AD" w:rsidRPr="00B958D8">
        <w:rPr>
          <w:szCs w:val="28"/>
          <w:lang w:val="ru-RU"/>
        </w:rPr>
        <w:t>/</w:t>
      </w:r>
      <w:r w:rsidR="00A607AD" w:rsidRPr="00B958D8">
        <w:rPr>
          <w:szCs w:val="28"/>
        </w:rPr>
        <w:t>laws</w:t>
      </w:r>
      <w:r w:rsidR="00A607AD" w:rsidRPr="00B958D8">
        <w:rPr>
          <w:szCs w:val="28"/>
          <w:lang w:val="ru-RU"/>
        </w:rPr>
        <w:t>/</w:t>
      </w:r>
      <w:r w:rsidR="00A607AD" w:rsidRPr="00B958D8">
        <w:rPr>
          <w:szCs w:val="28"/>
        </w:rPr>
        <w:t>show</w:t>
      </w:r>
      <w:r w:rsidR="00A607AD" w:rsidRPr="00B958D8">
        <w:rPr>
          <w:szCs w:val="28"/>
          <w:lang w:val="ru-RU"/>
        </w:rPr>
        <w:t>/3612-17#</w:t>
      </w:r>
      <w:r w:rsidR="00A607AD" w:rsidRPr="00B958D8">
        <w:rPr>
          <w:szCs w:val="28"/>
        </w:rPr>
        <w:t>Text</w:t>
      </w:r>
      <w:r>
        <w:rPr>
          <w:szCs w:val="28"/>
          <w:lang w:val="ru-RU"/>
        </w:rPr>
        <w:t xml:space="preserve"> (дата звернення: 12.07.2020</w:t>
      </w:r>
      <w:r w:rsidR="00A607AD" w:rsidRPr="00B958D8">
        <w:rPr>
          <w:szCs w:val="28"/>
          <w:lang w:val="ru-RU"/>
        </w:rPr>
        <w:t>).</w:t>
      </w:r>
    </w:p>
    <w:p w:rsidR="00B958D8" w:rsidRDefault="000E1D03" w:rsidP="00B958D8">
      <w:pPr>
        <w:ind w:firstLine="709"/>
        <w:rPr>
          <w:szCs w:val="28"/>
          <w:lang w:val="ru-RU"/>
        </w:rPr>
      </w:pPr>
      <w:r>
        <w:rPr>
          <w:szCs w:val="28"/>
          <w:lang w:val="ru-RU"/>
        </w:rPr>
        <w:t>358. </w:t>
      </w:r>
      <w:r w:rsidR="00A607AD" w:rsidRPr="00B958D8">
        <w:rPr>
          <w:szCs w:val="28"/>
          <w:lang w:val="ru-RU"/>
        </w:rPr>
        <w:t xml:space="preserve">Уйба В. В., Чернышов В. М., Пушкарев О. В. Экономические методы управления в здравоохранении. Новосибирск: Альфа Ресурс, 2012. 152 </w:t>
      </w:r>
      <w:r w:rsidR="00A607AD" w:rsidRPr="00B958D8">
        <w:rPr>
          <w:szCs w:val="28"/>
        </w:rPr>
        <w:t>c</w:t>
      </w:r>
      <w:r w:rsidR="00A607AD" w:rsidRPr="00B958D8">
        <w:rPr>
          <w:szCs w:val="28"/>
          <w:lang w:val="ru-RU"/>
        </w:rPr>
        <w:t>.</w:t>
      </w:r>
    </w:p>
    <w:p w:rsidR="00B958D8" w:rsidRPr="00245598" w:rsidRDefault="00EE3045" w:rsidP="00B958D8">
      <w:pPr>
        <w:ind w:firstLine="709"/>
        <w:rPr>
          <w:szCs w:val="28"/>
          <w:lang w:val="en-US"/>
        </w:rPr>
      </w:pPr>
      <w:r>
        <w:rPr>
          <w:szCs w:val="28"/>
          <w:lang w:val="ru-RU"/>
        </w:rPr>
        <w:t>359.</w:t>
      </w:r>
      <w:r w:rsidR="000E1D03">
        <w:rPr>
          <w:szCs w:val="28"/>
          <w:lang w:val="ru-RU"/>
        </w:rPr>
        <w:t> </w:t>
      </w:r>
      <w:r w:rsidR="00A607AD" w:rsidRPr="00B958D8">
        <w:rPr>
          <w:szCs w:val="28"/>
          <w:lang w:val="ru-RU"/>
        </w:rPr>
        <w:t xml:space="preserve">Павлов В. В., Суслин С. А., Галкин Р. А. Моделирование конечных результатов в системе управления качеством медицинской помощи. </w:t>
      </w:r>
      <w:r w:rsidR="00A607AD" w:rsidRPr="00B958D8">
        <w:rPr>
          <w:szCs w:val="28"/>
        </w:rPr>
        <w:t xml:space="preserve">Менеджер здравоохранения. 2013. № 10. С. 18–22. </w:t>
      </w:r>
    </w:p>
    <w:p w:rsidR="00B958D8" w:rsidRPr="00B958D8" w:rsidRDefault="00751193" w:rsidP="00B958D8">
      <w:pPr>
        <w:ind w:firstLine="709"/>
        <w:rPr>
          <w:szCs w:val="28"/>
          <w:lang w:val="en-US"/>
        </w:rPr>
      </w:pPr>
      <w:r>
        <w:rPr>
          <w:szCs w:val="28"/>
        </w:rPr>
        <w:t xml:space="preserve">360. </w:t>
      </w:r>
      <w:r w:rsidR="00A607AD" w:rsidRPr="00B958D8">
        <w:rPr>
          <w:szCs w:val="28"/>
        </w:rPr>
        <w:t>Evaluating the quality of care for severe pregnancy complications: The WHO near-miss approach for maternal health. WHO Instituonal Repositior</w:t>
      </w:r>
      <w:r>
        <w:rPr>
          <w:szCs w:val="28"/>
        </w:rPr>
        <w:t>y For Information Sharing. URL:</w:t>
      </w:r>
      <w:r>
        <w:t> </w:t>
      </w:r>
      <w:r w:rsidR="00A607AD" w:rsidRPr="00B958D8">
        <w:rPr>
          <w:szCs w:val="28"/>
        </w:rPr>
        <w:t>https://apps.who.int/iris/bitstream/handle/10665/44692/9789241502221_eng.pdf?</w:t>
      </w:r>
      <w:r w:rsidR="000E1D03">
        <w:rPr>
          <w:szCs w:val="28"/>
        </w:rPr>
        <w:t>sequence=1 (Last accessed: 28.09</w:t>
      </w:r>
      <w:r w:rsidR="00896F78">
        <w:rPr>
          <w:szCs w:val="28"/>
        </w:rPr>
        <w:t>.2020</w:t>
      </w:r>
      <w:r w:rsidR="00A607AD" w:rsidRPr="00B958D8">
        <w:rPr>
          <w:szCs w:val="28"/>
        </w:rPr>
        <w:t>).</w:t>
      </w:r>
    </w:p>
    <w:p w:rsidR="00B958D8" w:rsidRPr="001A4747" w:rsidRDefault="00EE3045" w:rsidP="00B958D8">
      <w:pPr>
        <w:ind w:firstLine="709"/>
        <w:rPr>
          <w:szCs w:val="28"/>
        </w:rPr>
      </w:pPr>
      <w:r w:rsidRPr="001A4747">
        <w:rPr>
          <w:szCs w:val="28"/>
          <w:lang w:val="ru-RU"/>
        </w:rPr>
        <w:t>361.</w:t>
      </w:r>
      <w:r w:rsidR="001A4747" w:rsidRPr="001A4747">
        <w:rPr>
          <w:rFonts w:asciiTheme="minorHAnsi" w:hAnsiTheme="minorHAnsi" w:cstheme="minorBidi"/>
          <w:szCs w:val="28"/>
        </w:rPr>
        <w:t xml:space="preserve"> </w:t>
      </w:r>
      <w:r w:rsidR="001A4747" w:rsidRPr="001A4747">
        <w:rPr>
          <w:szCs w:val="28"/>
        </w:rPr>
        <w:t xml:space="preserve">Концепція Державної програми «Репродуктивне здоров’я нації на 2006—2015 роки». Схвалено розпорядженням Кабінету Міністрів України від 27 квіт. 2006 р. № 244-р. </w:t>
      </w:r>
      <w:r w:rsidR="001A4747" w:rsidRPr="001A4747">
        <w:rPr>
          <w:szCs w:val="28"/>
          <w:lang w:val="en-US"/>
        </w:rPr>
        <w:t>URL</w:t>
      </w:r>
      <w:r w:rsidR="001A4747" w:rsidRPr="001A4747">
        <w:rPr>
          <w:szCs w:val="28"/>
        </w:rPr>
        <w:t>: https://www.kmu.gov.ua/npas/35202731 (дата звернення: 12.10.2019).</w:t>
      </w:r>
    </w:p>
    <w:p w:rsidR="00B958D8" w:rsidRDefault="00C323ED" w:rsidP="00B958D8">
      <w:pPr>
        <w:ind w:firstLine="709"/>
        <w:rPr>
          <w:szCs w:val="28"/>
          <w:lang w:val="ru-RU"/>
        </w:rPr>
      </w:pPr>
      <w:r>
        <w:rPr>
          <w:szCs w:val="28"/>
          <w:lang w:val="ru-RU"/>
        </w:rPr>
        <w:t>362.</w:t>
      </w:r>
      <w:r>
        <w:t> </w:t>
      </w:r>
      <w:r w:rsidR="00A607AD" w:rsidRPr="00B958D8">
        <w:rPr>
          <w:szCs w:val="28"/>
          <w:lang w:val="ru-RU"/>
        </w:rPr>
        <w:t>Співак М. В. Державна політика здоров’язбереження: світовий досвід і Україна: монографія / Ін-т держави і права ім. В. М. Корецького НАН України. Київ: Логос, 2016. 536 с.</w:t>
      </w:r>
    </w:p>
    <w:p w:rsidR="00B958D8" w:rsidRDefault="00C323ED" w:rsidP="00B958D8">
      <w:pPr>
        <w:ind w:firstLine="709"/>
        <w:rPr>
          <w:szCs w:val="28"/>
          <w:lang w:val="ru-RU"/>
        </w:rPr>
      </w:pPr>
      <w:r>
        <w:rPr>
          <w:szCs w:val="28"/>
          <w:lang w:val="ru-RU"/>
        </w:rPr>
        <w:t>363.</w:t>
      </w:r>
      <w:r>
        <w:t> </w:t>
      </w:r>
      <w:r w:rsidR="00A607AD" w:rsidRPr="00B958D8">
        <w:rPr>
          <w:szCs w:val="28"/>
          <w:lang w:val="ru-RU"/>
        </w:rPr>
        <w:t xml:space="preserve">Стандарты повышения качества медицинской помощи, оказываемой матерям и новорожденным в лечебных учреждениях: лицензия </w:t>
      </w:r>
      <w:r w:rsidR="00A607AD" w:rsidRPr="00B958D8">
        <w:rPr>
          <w:szCs w:val="28"/>
        </w:rPr>
        <w:t>CC</w:t>
      </w:r>
      <w:r w:rsidR="00A607AD" w:rsidRPr="00B958D8">
        <w:rPr>
          <w:szCs w:val="28"/>
          <w:lang w:val="ru-RU"/>
        </w:rPr>
        <w:t xml:space="preserve"> </w:t>
      </w:r>
      <w:r w:rsidR="00A607AD" w:rsidRPr="00B958D8">
        <w:rPr>
          <w:szCs w:val="28"/>
        </w:rPr>
        <w:t>BY</w:t>
      </w:r>
      <w:r w:rsidR="00A607AD" w:rsidRPr="00B958D8">
        <w:rPr>
          <w:szCs w:val="28"/>
          <w:lang w:val="ru-RU"/>
        </w:rPr>
        <w:t>-</w:t>
      </w:r>
      <w:r w:rsidR="00A607AD" w:rsidRPr="00B958D8">
        <w:rPr>
          <w:szCs w:val="28"/>
        </w:rPr>
        <w:t>NC</w:t>
      </w:r>
      <w:r w:rsidR="00A607AD" w:rsidRPr="00B958D8">
        <w:rPr>
          <w:szCs w:val="28"/>
          <w:lang w:val="ru-RU"/>
        </w:rPr>
        <w:t>-</w:t>
      </w:r>
      <w:r w:rsidR="00A607AD" w:rsidRPr="00B958D8">
        <w:rPr>
          <w:szCs w:val="28"/>
        </w:rPr>
        <w:t>SA</w:t>
      </w:r>
      <w:r w:rsidR="00A607AD" w:rsidRPr="00B958D8">
        <w:rPr>
          <w:szCs w:val="28"/>
          <w:lang w:val="ru-RU"/>
        </w:rPr>
        <w:t xml:space="preserve">. 3.0 </w:t>
      </w:r>
      <w:r w:rsidR="00A607AD" w:rsidRPr="00B958D8">
        <w:rPr>
          <w:szCs w:val="28"/>
        </w:rPr>
        <w:t>IGO</w:t>
      </w:r>
      <w:r>
        <w:rPr>
          <w:szCs w:val="28"/>
          <w:lang w:val="ru-RU"/>
        </w:rPr>
        <w:t xml:space="preserve"> /</w:t>
      </w:r>
      <w:r w:rsidR="001839CF">
        <w:rPr>
          <w:szCs w:val="28"/>
          <w:lang w:val="ru-RU"/>
        </w:rPr>
        <w:t> </w:t>
      </w:r>
      <w:r w:rsidR="00A607AD" w:rsidRPr="00B958D8">
        <w:rPr>
          <w:szCs w:val="28"/>
          <w:lang w:val="ru-RU"/>
        </w:rPr>
        <w:t xml:space="preserve">Всемирная организация здравоохранения. Женева, 2018. </w:t>
      </w:r>
      <w:r w:rsidR="00A607AD" w:rsidRPr="00B958D8">
        <w:rPr>
          <w:szCs w:val="28"/>
        </w:rPr>
        <w:t>URL</w:t>
      </w:r>
      <w:r w:rsidR="00A607AD" w:rsidRPr="00B958D8">
        <w:rPr>
          <w:szCs w:val="28"/>
          <w:lang w:val="ru-RU"/>
        </w:rPr>
        <w:t xml:space="preserve">: </w:t>
      </w:r>
      <w:r w:rsidR="00A607AD" w:rsidRPr="00B958D8">
        <w:rPr>
          <w:szCs w:val="28"/>
        </w:rPr>
        <w:t>https</w:t>
      </w:r>
      <w:r w:rsidR="00A607AD" w:rsidRPr="00B958D8">
        <w:rPr>
          <w:szCs w:val="28"/>
          <w:lang w:val="ru-RU"/>
        </w:rPr>
        <w:t>://</w:t>
      </w:r>
      <w:r w:rsidR="00A607AD" w:rsidRPr="00B958D8">
        <w:rPr>
          <w:szCs w:val="28"/>
        </w:rPr>
        <w:t>apps</w:t>
      </w:r>
      <w:r w:rsidR="00A607AD" w:rsidRPr="00B958D8">
        <w:rPr>
          <w:szCs w:val="28"/>
          <w:lang w:val="ru-RU"/>
        </w:rPr>
        <w:t>.</w:t>
      </w:r>
      <w:r w:rsidR="00A607AD" w:rsidRPr="00B958D8">
        <w:rPr>
          <w:szCs w:val="28"/>
        </w:rPr>
        <w:t>who</w:t>
      </w:r>
      <w:r w:rsidR="00A607AD" w:rsidRPr="00B958D8">
        <w:rPr>
          <w:szCs w:val="28"/>
          <w:lang w:val="ru-RU"/>
        </w:rPr>
        <w:t>.</w:t>
      </w:r>
      <w:r w:rsidR="00A607AD" w:rsidRPr="00B958D8">
        <w:rPr>
          <w:szCs w:val="28"/>
        </w:rPr>
        <w:t>int</w:t>
      </w:r>
      <w:r w:rsidR="00A607AD" w:rsidRPr="00B958D8">
        <w:rPr>
          <w:szCs w:val="28"/>
          <w:lang w:val="ru-RU"/>
        </w:rPr>
        <w:t>/</w:t>
      </w:r>
      <w:r w:rsidR="00A607AD" w:rsidRPr="00B958D8">
        <w:rPr>
          <w:szCs w:val="28"/>
        </w:rPr>
        <w:t>iris</w:t>
      </w:r>
      <w:r w:rsidR="00A607AD" w:rsidRPr="00B958D8">
        <w:rPr>
          <w:szCs w:val="28"/>
          <w:lang w:val="ru-RU"/>
        </w:rPr>
        <w:t>/</w:t>
      </w:r>
      <w:r w:rsidR="00A607AD" w:rsidRPr="00B958D8">
        <w:rPr>
          <w:szCs w:val="28"/>
        </w:rPr>
        <w:t>bitstream</w:t>
      </w:r>
      <w:r w:rsidR="00A607AD" w:rsidRPr="00B958D8">
        <w:rPr>
          <w:szCs w:val="28"/>
          <w:lang w:val="ru-RU"/>
        </w:rPr>
        <w:t>/</w:t>
      </w:r>
      <w:r w:rsidR="00A607AD" w:rsidRPr="00B958D8">
        <w:rPr>
          <w:szCs w:val="28"/>
        </w:rPr>
        <w:t>handle</w:t>
      </w:r>
      <w:r w:rsidR="00A607AD" w:rsidRPr="00B958D8">
        <w:rPr>
          <w:szCs w:val="28"/>
          <w:lang w:val="ru-RU"/>
        </w:rPr>
        <w:t>/10665/273031/9789244511213-</w:t>
      </w:r>
      <w:r w:rsidR="00A607AD" w:rsidRPr="00B958D8">
        <w:rPr>
          <w:szCs w:val="28"/>
        </w:rPr>
        <w:t>rus</w:t>
      </w:r>
      <w:r w:rsidR="00A607AD" w:rsidRPr="00B958D8">
        <w:rPr>
          <w:szCs w:val="28"/>
          <w:lang w:val="ru-RU"/>
        </w:rPr>
        <w:t>.</w:t>
      </w:r>
      <w:r w:rsidR="00A607AD" w:rsidRPr="00B958D8">
        <w:rPr>
          <w:szCs w:val="28"/>
        </w:rPr>
        <w:t>pdf</w:t>
      </w:r>
      <w:r w:rsidR="00A607AD" w:rsidRPr="00B958D8">
        <w:rPr>
          <w:szCs w:val="28"/>
          <w:lang w:val="ru-RU"/>
        </w:rPr>
        <w:t>?</w:t>
      </w:r>
      <w:r w:rsidR="00A607AD" w:rsidRPr="00B958D8">
        <w:rPr>
          <w:szCs w:val="28"/>
        </w:rPr>
        <w:t>sequence</w:t>
      </w:r>
      <w:r w:rsidR="00A607AD" w:rsidRPr="00B958D8">
        <w:rPr>
          <w:szCs w:val="28"/>
          <w:lang w:val="ru-RU"/>
        </w:rPr>
        <w:t>=1&amp;</w:t>
      </w:r>
      <w:r w:rsidR="00A607AD" w:rsidRPr="00B958D8">
        <w:rPr>
          <w:szCs w:val="28"/>
        </w:rPr>
        <w:t>isAllowed</w:t>
      </w:r>
      <w:r w:rsidR="00A607AD" w:rsidRPr="00B958D8">
        <w:rPr>
          <w:szCs w:val="28"/>
          <w:lang w:val="ru-RU"/>
        </w:rPr>
        <w:t>=</w:t>
      </w:r>
      <w:r w:rsidR="00A607AD" w:rsidRPr="00B958D8">
        <w:rPr>
          <w:szCs w:val="28"/>
        </w:rPr>
        <w:t>y</w:t>
      </w:r>
      <w:r w:rsidR="00A607AD" w:rsidRPr="00B958D8">
        <w:rPr>
          <w:szCs w:val="28"/>
          <w:lang w:val="ru-RU"/>
        </w:rPr>
        <w:t xml:space="preserve">  или </w:t>
      </w:r>
      <w:r w:rsidR="00A607AD" w:rsidRPr="00B958D8">
        <w:rPr>
          <w:szCs w:val="28"/>
        </w:rPr>
        <w:t>https</w:t>
      </w:r>
      <w:r w:rsidR="00A607AD" w:rsidRPr="00B958D8">
        <w:rPr>
          <w:szCs w:val="28"/>
          <w:lang w:val="ru-RU"/>
        </w:rPr>
        <w:t>://</w:t>
      </w:r>
      <w:r w:rsidR="00A607AD" w:rsidRPr="00B958D8">
        <w:rPr>
          <w:szCs w:val="28"/>
        </w:rPr>
        <w:t>apps</w:t>
      </w:r>
      <w:r w:rsidR="00A607AD" w:rsidRPr="00B958D8">
        <w:rPr>
          <w:szCs w:val="28"/>
          <w:lang w:val="ru-RU"/>
        </w:rPr>
        <w:t>.</w:t>
      </w:r>
      <w:r w:rsidR="00A607AD" w:rsidRPr="00B958D8">
        <w:rPr>
          <w:szCs w:val="28"/>
        </w:rPr>
        <w:t>who</w:t>
      </w:r>
      <w:r w:rsidR="00A607AD" w:rsidRPr="00B958D8">
        <w:rPr>
          <w:szCs w:val="28"/>
          <w:lang w:val="ru-RU"/>
        </w:rPr>
        <w:t>.</w:t>
      </w:r>
      <w:r w:rsidR="00A607AD" w:rsidRPr="00B958D8">
        <w:rPr>
          <w:szCs w:val="28"/>
        </w:rPr>
        <w:t>int</w:t>
      </w:r>
      <w:r w:rsidR="00A607AD" w:rsidRPr="00B958D8">
        <w:rPr>
          <w:szCs w:val="28"/>
          <w:lang w:val="ru-RU"/>
        </w:rPr>
        <w:t>/</w:t>
      </w:r>
      <w:r w:rsidR="00A607AD" w:rsidRPr="00B958D8">
        <w:rPr>
          <w:szCs w:val="28"/>
        </w:rPr>
        <w:t>iris</w:t>
      </w:r>
      <w:r w:rsidR="00A607AD" w:rsidRPr="00B958D8">
        <w:rPr>
          <w:szCs w:val="28"/>
          <w:lang w:val="ru-RU"/>
        </w:rPr>
        <w:t>/</w:t>
      </w:r>
      <w:r w:rsidR="00A607AD" w:rsidRPr="00B958D8">
        <w:rPr>
          <w:szCs w:val="28"/>
        </w:rPr>
        <w:t>handle</w:t>
      </w:r>
      <w:r w:rsidR="00A607AD" w:rsidRPr="00B958D8">
        <w:rPr>
          <w:szCs w:val="28"/>
          <w:lang w:val="ru-RU"/>
        </w:rPr>
        <w:t>/</w:t>
      </w:r>
      <w:r w:rsidR="000E1D03">
        <w:rPr>
          <w:szCs w:val="28"/>
          <w:lang w:val="ru-RU"/>
        </w:rPr>
        <w:t>10665/273031 (дата звернення: 17.08.2020</w:t>
      </w:r>
      <w:r w:rsidR="00A607AD" w:rsidRPr="00B958D8">
        <w:rPr>
          <w:szCs w:val="28"/>
          <w:lang w:val="ru-RU"/>
        </w:rPr>
        <w:t>).</w:t>
      </w:r>
    </w:p>
    <w:p w:rsidR="00B958D8" w:rsidRPr="00D751D0" w:rsidRDefault="00C323ED" w:rsidP="00B958D8">
      <w:pPr>
        <w:ind w:firstLine="709"/>
        <w:rPr>
          <w:szCs w:val="28"/>
          <w:lang w:val="ru-RU"/>
        </w:rPr>
      </w:pPr>
      <w:r>
        <w:rPr>
          <w:szCs w:val="28"/>
          <w:lang w:val="ru-RU"/>
        </w:rPr>
        <w:t>364.</w:t>
      </w:r>
      <w:r w:rsidR="000E1D03">
        <w:t> </w:t>
      </w:r>
      <w:r w:rsidR="00D751D0" w:rsidRPr="00D751D0">
        <w:rPr>
          <w:szCs w:val="28"/>
          <w:lang w:val="ru-RU"/>
        </w:rPr>
        <w:t>Дудіна О. О., Терещенко А. В., Моісеєнко Р. О. Сучасні перинатальні технології — важлива складова поліпшення здоров'я дітей. Современная педиатрия. 2015. №4. С. 24-29.</w:t>
      </w:r>
    </w:p>
    <w:p w:rsidR="00B958D8" w:rsidRDefault="00C323ED" w:rsidP="00B958D8">
      <w:pPr>
        <w:ind w:firstLine="709"/>
        <w:rPr>
          <w:szCs w:val="28"/>
          <w:lang w:val="ru-RU"/>
        </w:rPr>
      </w:pPr>
      <w:r>
        <w:rPr>
          <w:szCs w:val="28"/>
          <w:lang w:val="ru-RU"/>
        </w:rPr>
        <w:t xml:space="preserve">365. </w:t>
      </w:r>
      <w:r w:rsidR="00A607AD" w:rsidRPr="00B958D8">
        <w:rPr>
          <w:szCs w:val="28"/>
          <w:lang w:val="ru-RU"/>
        </w:rPr>
        <w:t xml:space="preserve">Про удосконалення системи планування сім’ї та охорони репродуктивного здоров’я в Україні, зареєстрованого в Міністерстві юстиції України від 20 груд. 2013 р. </w:t>
      </w:r>
      <w:r w:rsidR="00A607AD" w:rsidRPr="00B958D8">
        <w:rPr>
          <w:szCs w:val="28"/>
          <w:lang w:val="ru-RU"/>
        </w:rPr>
        <w:lastRenderedPageBreak/>
        <w:t xml:space="preserve">за № 2162/24694: Наказ МОЗ України від 29.11.2013 </w:t>
      </w:r>
      <w:r w:rsidR="00A607AD" w:rsidRPr="00B958D8">
        <w:rPr>
          <w:szCs w:val="28"/>
        </w:rPr>
        <w:t>p</w:t>
      </w:r>
      <w:r w:rsidR="00A607AD" w:rsidRPr="00B958D8">
        <w:rPr>
          <w:szCs w:val="28"/>
          <w:lang w:val="ru-RU"/>
        </w:rPr>
        <w:t xml:space="preserve">. № 1030/102. </w:t>
      </w:r>
      <w:r w:rsidR="00A607AD" w:rsidRPr="00B958D8">
        <w:rPr>
          <w:szCs w:val="28"/>
        </w:rPr>
        <w:t>URL</w:t>
      </w:r>
      <w:r w:rsidR="00A607AD" w:rsidRPr="00B958D8">
        <w:rPr>
          <w:szCs w:val="28"/>
          <w:lang w:val="ru-RU"/>
        </w:rPr>
        <w:t xml:space="preserve">: </w:t>
      </w:r>
      <w:r w:rsidR="00A607AD" w:rsidRPr="00B958D8">
        <w:rPr>
          <w:szCs w:val="28"/>
        </w:rPr>
        <w:t>https</w:t>
      </w:r>
      <w:r w:rsidR="00A607AD" w:rsidRPr="00B958D8">
        <w:rPr>
          <w:szCs w:val="28"/>
          <w:lang w:val="ru-RU"/>
        </w:rPr>
        <w:t>://</w:t>
      </w:r>
      <w:r w:rsidR="00A607AD" w:rsidRPr="00B958D8">
        <w:rPr>
          <w:szCs w:val="28"/>
        </w:rPr>
        <w:t>zakon</w:t>
      </w:r>
      <w:r w:rsidR="00A607AD" w:rsidRPr="00B958D8">
        <w:rPr>
          <w:szCs w:val="28"/>
          <w:lang w:val="ru-RU"/>
        </w:rPr>
        <w:t>.</w:t>
      </w:r>
      <w:r w:rsidR="00A607AD" w:rsidRPr="00B958D8">
        <w:rPr>
          <w:szCs w:val="28"/>
        </w:rPr>
        <w:t>rada</w:t>
      </w:r>
      <w:r w:rsidR="00A607AD" w:rsidRPr="00B958D8">
        <w:rPr>
          <w:szCs w:val="28"/>
          <w:lang w:val="ru-RU"/>
        </w:rPr>
        <w:t>.</w:t>
      </w:r>
      <w:r w:rsidR="00A607AD" w:rsidRPr="00B958D8">
        <w:rPr>
          <w:szCs w:val="28"/>
        </w:rPr>
        <w:t>gov</w:t>
      </w:r>
      <w:r w:rsidR="00A607AD" w:rsidRPr="00B958D8">
        <w:rPr>
          <w:szCs w:val="28"/>
          <w:lang w:val="ru-RU"/>
        </w:rPr>
        <w:t>.</w:t>
      </w:r>
      <w:r w:rsidR="00A607AD" w:rsidRPr="00B958D8">
        <w:rPr>
          <w:szCs w:val="28"/>
        </w:rPr>
        <w:t>ua</w:t>
      </w:r>
      <w:r w:rsidR="00A607AD" w:rsidRPr="00B958D8">
        <w:rPr>
          <w:szCs w:val="28"/>
          <w:lang w:val="ru-RU"/>
        </w:rPr>
        <w:t>/</w:t>
      </w:r>
      <w:r w:rsidR="00A607AD" w:rsidRPr="00B958D8">
        <w:rPr>
          <w:szCs w:val="28"/>
        </w:rPr>
        <w:t>laws</w:t>
      </w:r>
      <w:r w:rsidR="00A607AD" w:rsidRPr="00B958D8">
        <w:rPr>
          <w:szCs w:val="28"/>
          <w:lang w:val="ru-RU"/>
        </w:rPr>
        <w:t>/</w:t>
      </w:r>
      <w:r w:rsidR="00A607AD" w:rsidRPr="00B958D8">
        <w:rPr>
          <w:szCs w:val="28"/>
        </w:rPr>
        <w:t>show</w:t>
      </w:r>
      <w:r w:rsidR="00A607AD" w:rsidRPr="00B958D8">
        <w:rPr>
          <w:szCs w:val="28"/>
          <w:lang w:val="ru-RU"/>
        </w:rPr>
        <w:t>/</w:t>
      </w:r>
      <w:r w:rsidR="00A607AD" w:rsidRPr="00B958D8">
        <w:rPr>
          <w:szCs w:val="28"/>
        </w:rPr>
        <w:t>z</w:t>
      </w:r>
      <w:r w:rsidR="00A607AD" w:rsidRPr="00B958D8">
        <w:rPr>
          <w:szCs w:val="28"/>
          <w:lang w:val="ru-RU"/>
        </w:rPr>
        <w:t>2162-13#</w:t>
      </w:r>
      <w:r w:rsidR="00A607AD" w:rsidRPr="00B958D8">
        <w:rPr>
          <w:szCs w:val="28"/>
        </w:rPr>
        <w:t>Text</w:t>
      </w:r>
      <w:r w:rsidR="00A607AD" w:rsidRPr="00B958D8">
        <w:rPr>
          <w:szCs w:val="28"/>
          <w:lang w:val="ru-RU"/>
        </w:rPr>
        <w:t>] (дата звернення: 03.10.2020).</w:t>
      </w:r>
    </w:p>
    <w:p w:rsidR="00A826FA" w:rsidRDefault="00C323ED" w:rsidP="00A826FA">
      <w:pPr>
        <w:ind w:firstLine="709"/>
        <w:rPr>
          <w:szCs w:val="28"/>
          <w:lang w:val="ru-RU"/>
        </w:rPr>
      </w:pPr>
      <w:r>
        <w:rPr>
          <w:szCs w:val="28"/>
          <w:lang w:val="ru-RU"/>
        </w:rPr>
        <w:t>366. </w:t>
      </w:r>
      <w:r w:rsidR="00A607AD" w:rsidRPr="00B958D8">
        <w:rPr>
          <w:szCs w:val="28"/>
          <w:lang w:val="ru-RU"/>
        </w:rPr>
        <w:t>Про організацію амбулаторної акушерсько-гінекологічної допомоги в Україні: Наказ МОЗ України від 15.07.2011</w:t>
      </w:r>
      <w:r w:rsidR="001839CF">
        <w:rPr>
          <w:szCs w:val="28"/>
          <w:lang w:val="ru-RU"/>
        </w:rPr>
        <w:t> </w:t>
      </w:r>
      <w:r w:rsidR="00A607AD" w:rsidRPr="00B958D8">
        <w:rPr>
          <w:szCs w:val="28"/>
          <w:lang w:val="ru-RU"/>
        </w:rPr>
        <w:t>р. №</w:t>
      </w:r>
      <w:r w:rsidR="001839CF">
        <w:rPr>
          <w:szCs w:val="28"/>
          <w:lang w:val="ru-RU"/>
        </w:rPr>
        <w:t> </w:t>
      </w:r>
      <w:r w:rsidR="00A607AD" w:rsidRPr="00B958D8">
        <w:rPr>
          <w:szCs w:val="28"/>
          <w:lang w:val="ru-RU"/>
        </w:rPr>
        <w:t xml:space="preserve">417. </w:t>
      </w:r>
      <w:r w:rsidR="00A607AD" w:rsidRPr="00B958D8">
        <w:rPr>
          <w:szCs w:val="28"/>
        </w:rPr>
        <w:t>URL</w:t>
      </w:r>
      <w:r w:rsidR="00A607AD" w:rsidRPr="00B958D8">
        <w:rPr>
          <w:szCs w:val="28"/>
          <w:lang w:val="ru-RU"/>
        </w:rPr>
        <w:t xml:space="preserve">: </w:t>
      </w:r>
      <w:r w:rsidR="00A607AD" w:rsidRPr="00B958D8">
        <w:rPr>
          <w:szCs w:val="28"/>
        </w:rPr>
        <w:t>https</w:t>
      </w:r>
      <w:r w:rsidR="00A607AD" w:rsidRPr="00B958D8">
        <w:rPr>
          <w:szCs w:val="28"/>
          <w:lang w:val="ru-RU"/>
        </w:rPr>
        <w:t>://</w:t>
      </w:r>
      <w:r w:rsidR="00A607AD" w:rsidRPr="00B958D8">
        <w:rPr>
          <w:szCs w:val="28"/>
        </w:rPr>
        <w:t>zakon</w:t>
      </w:r>
      <w:r w:rsidR="00A607AD" w:rsidRPr="00B958D8">
        <w:rPr>
          <w:szCs w:val="28"/>
          <w:lang w:val="ru-RU"/>
        </w:rPr>
        <w:t>.</w:t>
      </w:r>
      <w:r w:rsidR="00A607AD" w:rsidRPr="00B958D8">
        <w:rPr>
          <w:szCs w:val="28"/>
        </w:rPr>
        <w:t>rada</w:t>
      </w:r>
      <w:r w:rsidR="00A607AD" w:rsidRPr="00B958D8">
        <w:rPr>
          <w:szCs w:val="28"/>
          <w:lang w:val="ru-RU"/>
        </w:rPr>
        <w:t>.</w:t>
      </w:r>
      <w:r w:rsidR="00A607AD" w:rsidRPr="00B958D8">
        <w:rPr>
          <w:szCs w:val="28"/>
        </w:rPr>
        <w:t>gov</w:t>
      </w:r>
      <w:r w:rsidR="00A607AD" w:rsidRPr="00B958D8">
        <w:rPr>
          <w:szCs w:val="28"/>
          <w:lang w:val="ru-RU"/>
        </w:rPr>
        <w:t>.</w:t>
      </w:r>
      <w:r w:rsidR="00A607AD" w:rsidRPr="00B958D8">
        <w:rPr>
          <w:szCs w:val="28"/>
        </w:rPr>
        <w:t>ua</w:t>
      </w:r>
      <w:r w:rsidR="00A607AD" w:rsidRPr="00B958D8">
        <w:rPr>
          <w:szCs w:val="28"/>
          <w:lang w:val="ru-RU"/>
        </w:rPr>
        <w:t>/</w:t>
      </w:r>
      <w:r w:rsidR="00A607AD" w:rsidRPr="00B958D8">
        <w:rPr>
          <w:szCs w:val="28"/>
        </w:rPr>
        <w:t>rada</w:t>
      </w:r>
      <w:r w:rsidR="00A607AD" w:rsidRPr="00B958D8">
        <w:rPr>
          <w:szCs w:val="28"/>
          <w:lang w:val="ru-RU"/>
        </w:rPr>
        <w:t>/</w:t>
      </w:r>
      <w:r w:rsidR="00A607AD" w:rsidRPr="00B958D8">
        <w:rPr>
          <w:szCs w:val="28"/>
        </w:rPr>
        <w:t>show</w:t>
      </w:r>
      <w:r w:rsidR="00A607AD" w:rsidRPr="00B958D8">
        <w:rPr>
          <w:szCs w:val="28"/>
          <w:lang w:val="ru-RU"/>
        </w:rPr>
        <w:t>/</w:t>
      </w:r>
      <w:r w:rsidR="00A607AD" w:rsidRPr="00B958D8">
        <w:rPr>
          <w:szCs w:val="28"/>
        </w:rPr>
        <w:t>v</w:t>
      </w:r>
      <w:r w:rsidR="00A607AD" w:rsidRPr="00B958D8">
        <w:rPr>
          <w:szCs w:val="28"/>
          <w:lang w:val="ru-RU"/>
        </w:rPr>
        <w:t>0417282-11#</w:t>
      </w:r>
      <w:r w:rsidR="00A607AD" w:rsidRPr="00B958D8">
        <w:rPr>
          <w:szCs w:val="28"/>
        </w:rPr>
        <w:t>Text</w:t>
      </w:r>
      <w:r w:rsidR="00A607AD" w:rsidRPr="00B958D8">
        <w:rPr>
          <w:szCs w:val="28"/>
          <w:lang w:val="ru-RU"/>
        </w:rPr>
        <w:t xml:space="preserve"> (дата звернення: 03.10.2020).</w:t>
      </w:r>
    </w:p>
    <w:p w:rsidR="00A826FA" w:rsidRDefault="00C323ED" w:rsidP="00A826FA">
      <w:pPr>
        <w:ind w:firstLine="709"/>
        <w:rPr>
          <w:szCs w:val="28"/>
          <w:lang w:val="ru-RU"/>
        </w:rPr>
      </w:pPr>
      <w:r>
        <w:rPr>
          <w:szCs w:val="28"/>
          <w:lang w:val="ru-RU"/>
        </w:rPr>
        <w:t xml:space="preserve">367. </w:t>
      </w:r>
      <w:r w:rsidR="00A607AD" w:rsidRPr="00A826FA">
        <w:rPr>
          <w:szCs w:val="28"/>
          <w:lang w:val="ru-RU"/>
        </w:rPr>
        <w:t xml:space="preserve">Про внесення змін до наказу МОЗ України від 15 липня 2011 р. № 417 "Про організацію амбулаторної акушерсько-гінекологічної допомоги в Україні": Наказ МОЗ України від 09.01.2014 р. № 7. </w:t>
      </w:r>
      <w:r w:rsidR="00A607AD" w:rsidRPr="00A826FA">
        <w:rPr>
          <w:szCs w:val="28"/>
        </w:rPr>
        <w:t>URL</w:t>
      </w:r>
      <w:r w:rsidR="00A607AD" w:rsidRPr="00A826FA">
        <w:rPr>
          <w:szCs w:val="28"/>
          <w:lang w:val="ru-RU"/>
        </w:rPr>
        <w:t xml:space="preserve">: </w:t>
      </w:r>
      <w:r w:rsidR="00A607AD" w:rsidRPr="00A826FA">
        <w:rPr>
          <w:szCs w:val="28"/>
        </w:rPr>
        <w:t>https</w:t>
      </w:r>
      <w:r w:rsidR="00A607AD" w:rsidRPr="00A826FA">
        <w:rPr>
          <w:szCs w:val="28"/>
          <w:lang w:val="ru-RU"/>
        </w:rPr>
        <w:t>://</w:t>
      </w:r>
      <w:r w:rsidR="00A607AD" w:rsidRPr="00A826FA">
        <w:rPr>
          <w:szCs w:val="28"/>
        </w:rPr>
        <w:t>zakon</w:t>
      </w:r>
      <w:r w:rsidR="00A607AD" w:rsidRPr="00A826FA">
        <w:rPr>
          <w:szCs w:val="28"/>
          <w:lang w:val="ru-RU"/>
        </w:rPr>
        <w:t>.</w:t>
      </w:r>
      <w:r w:rsidR="00A607AD" w:rsidRPr="00A826FA">
        <w:rPr>
          <w:szCs w:val="28"/>
        </w:rPr>
        <w:t>rada</w:t>
      </w:r>
      <w:r w:rsidR="00A607AD" w:rsidRPr="00A826FA">
        <w:rPr>
          <w:szCs w:val="28"/>
          <w:lang w:val="ru-RU"/>
        </w:rPr>
        <w:t>.</w:t>
      </w:r>
      <w:r w:rsidR="00A607AD" w:rsidRPr="00A826FA">
        <w:rPr>
          <w:szCs w:val="28"/>
        </w:rPr>
        <w:t>gov</w:t>
      </w:r>
      <w:r w:rsidR="00A607AD" w:rsidRPr="00A826FA">
        <w:rPr>
          <w:szCs w:val="28"/>
          <w:lang w:val="ru-RU"/>
        </w:rPr>
        <w:t>.</w:t>
      </w:r>
      <w:r w:rsidR="00A607AD" w:rsidRPr="00A826FA">
        <w:rPr>
          <w:szCs w:val="28"/>
        </w:rPr>
        <w:t>ua</w:t>
      </w:r>
      <w:r w:rsidR="00A607AD" w:rsidRPr="00A826FA">
        <w:rPr>
          <w:szCs w:val="28"/>
          <w:lang w:val="ru-RU"/>
        </w:rPr>
        <w:t>/</w:t>
      </w:r>
      <w:r w:rsidR="00A607AD" w:rsidRPr="00A826FA">
        <w:rPr>
          <w:szCs w:val="28"/>
        </w:rPr>
        <w:t>rada</w:t>
      </w:r>
      <w:r w:rsidR="00A607AD" w:rsidRPr="00A826FA">
        <w:rPr>
          <w:szCs w:val="28"/>
          <w:lang w:val="ru-RU"/>
        </w:rPr>
        <w:t>/</w:t>
      </w:r>
      <w:r w:rsidR="00A607AD" w:rsidRPr="00A826FA">
        <w:rPr>
          <w:szCs w:val="28"/>
        </w:rPr>
        <w:t>show</w:t>
      </w:r>
      <w:r w:rsidR="00A607AD" w:rsidRPr="00A826FA">
        <w:rPr>
          <w:szCs w:val="28"/>
          <w:lang w:val="ru-RU"/>
        </w:rPr>
        <w:t>/</w:t>
      </w:r>
      <w:r w:rsidR="00A607AD" w:rsidRPr="00A826FA">
        <w:rPr>
          <w:szCs w:val="28"/>
        </w:rPr>
        <w:t>v</w:t>
      </w:r>
      <w:r w:rsidR="00A607AD" w:rsidRPr="00A826FA">
        <w:rPr>
          <w:szCs w:val="28"/>
          <w:lang w:val="ru-RU"/>
        </w:rPr>
        <w:t>0007282-14#</w:t>
      </w:r>
      <w:r w:rsidR="00A607AD" w:rsidRPr="00A826FA">
        <w:rPr>
          <w:szCs w:val="28"/>
        </w:rPr>
        <w:t>n</w:t>
      </w:r>
      <w:r w:rsidR="00A607AD" w:rsidRPr="00A826FA">
        <w:rPr>
          <w:szCs w:val="28"/>
          <w:lang w:val="ru-RU"/>
        </w:rPr>
        <w:t>2 (дата звернення: 03.10.2020).</w:t>
      </w:r>
    </w:p>
    <w:p w:rsidR="00A826FA" w:rsidRDefault="00C323ED" w:rsidP="00A826FA">
      <w:pPr>
        <w:ind w:firstLine="709"/>
        <w:rPr>
          <w:szCs w:val="28"/>
          <w:lang w:val="ru-RU"/>
        </w:rPr>
      </w:pPr>
      <w:r>
        <w:rPr>
          <w:szCs w:val="28"/>
          <w:lang w:val="ru-RU"/>
        </w:rPr>
        <w:t xml:space="preserve">368. </w:t>
      </w:r>
      <w:r w:rsidR="00A607AD" w:rsidRPr="00A826FA">
        <w:rPr>
          <w:szCs w:val="28"/>
          <w:lang w:val="ru-RU"/>
        </w:rPr>
        <w:t>Про подальше впровадження Розширеної Ініціативи «Лікарня, доброзичлива до дитини» в Україні: Наказ МОЗ України від 28.10.2011</w:t>
      </w:r>
      <w:r w:rsidR="001839CF">
        <w:rPr>
          <w:szCs w:val="28"/>
          <w:lang w:val="ru-RU"/>
        </w:rPr>
        <w:t> </w:t>
      </w:r>
      <w:r w:rsidR="00A607AD" w:rsidRPr="00A826FA">
        <w:rPr>
          <w:szCs w:val="28"/>
          <w:lang w:val="ru-RU"/>
        </w:rPr>
        <w:t>р. №</w:t>
      </w:r>
      <w:r w:rsidR="001839CF">
        <w:rPr>
          <w:szCs w:val="28"/>
          <w:lang w:val="ru-RU"/>
        </w:rPr>
        <w:t> </w:t>
      </w:r>
      <w:r w:rsidR="00A607AD" w:rsidRPr="00A826FA">
        <w:rPr>
          <w:szCs w:val="28"/>
          <w:lang w:val="ru-RU"/>
        </w:rPr>
        <w:t xml:space="preserve">715. </w:t>
      </w:r>
      <w:r w:rsidR="00A607AD" w:rsidRPr="00A826FA">
        <w:rPr>
          <w:szCs w:val="28"/>
        </w:rPr>
        <w:t>URL</w:t>
      </w:r>
      <w:r w:rsidR="00A607AD" w:rsidRPr="00A826FA">
        <w:rPr>
          <w:szCs w:val="28"/>
          <w:lang w:val="ru-RU"/>
        </w:rPr>
        <w:t xml:space="preserve">: </w:t>
      </w:r>
      <w:r w:rsidR="00A607AD" w:rsidRPr="00A826FA">
        <w:rPr>
          <w:szCs w:val="28"/>
        </w:rPr>
        <w:t>https</w:t>
      </w:r>
      <w:r w:rsidR="00A607AD" w:rsidRPr="00A826FA">
        <w:rPr>
          <w:szCs w:val="28"/>
          <w:lang w:val="ru-RU"/>
        </w:rPr>
        <w:t>://</w:t>
      </w:r>
      <w:r w:rsidR="00A607AD" w:rsidRPr="00A826FA">
        <w:rPr>
          <w:szCs w:val="28"/>
        </w:rPr>
        <w:t>zakononline</w:t>
      </w:r>
      <w:r w:rsidR="00A607AD" w:rsidRPr="00A826FA">
        <w:rPr>
          <w:szCs w:val="28"/>
          <w:lang w:val="ru-RU"/>
        </w:rPr>
        <w:t>.</w:t>
      </w:r>
      <w:r w:rsidR="00A607AD" w:rsidRPr="00A826FA">
        <w:rPr>
          <w:szCs w:val="28"/>
        </w:rPr>
        <w:t>com</w:t>
      </w:r>
      <w:r w:rsidR="00A607AD" w:rsidRPr="00A826FA">
        <w:rPr>
          <w:szCs w:val="28"/>
          <w:lang w:val="ru-RU"/>
        </w:rPr>
        <w:t>.</w:t>
      </w:r>
      <w:r w:rsidR="00A607AD" w:rsidRPr="00A826FA">
        <w:rPr>
          <w:szCs w:val="28"/>
        </w:rPr>
        <w:t>ua</w:t>
      </w:r>
      <w:r w:rsidR="00A607AD" w:rsidRPr="00A826FA">
        <w:rPr>
          <w:szCs w:val="28"/>
          <w:lang w:val="ru-RU"/>
        </w:rPr>
        <w:t>/</w:t>
      </w:r>
      <w:r w:rsidR="00A607AD" w:rsidRPr="00A826FA">
        <w:rPr>
          <w:szCs w:val="28"/>
        </w:rPr>
        <w:t>documents</w:t>
      </w:r>
      <w:r w:rsidR="00A607AD" w:rsidRPr="00A826FA">
        <w:rPr>
          <w:szCs w:val="28"/>
          <w:lang w:val="ru-RU"/>
        </w:rPr>
        <w:t>/</w:t>
      </w:r>
      <w:r w:rsidR="00A607AD" w:rsidRPr="00A826FA">
        <w:rPr>
          <w:szCs w:val="28"/>
        </w:rPr>
        <w:t>show</w:t>
      </w:r>
      <w:r w:rsidR="00A607AD" w:rsidRPr="00A826FA">
        <w:rPr>
          <w:szCs w:val="28"/>
          <w:lang w:val="ru-RU"/>
        </w:rPr>
        <w:t>/21339___21339 (дата звернення: 03.10.2020).</w:t>
      </w:r>
    </w:p>
    <w:p w:rsidR="00A826FA" w:rsidRDefault="00C323ED" w:rsidP="00A826FA">
      <w:pPr>
        <w:ind w:firstLine="709"/>
        <w:rPr>
          <w:szCs w:val="28"/>
          <w:lang w:val="ru-RU"/>
        </w:rPr>
      </w:pPr>
      <w:r>
        <w:rPr>
          <w:szCs w:val="28"/>
          <w:lang w:val="ru-RU"/>
        </w:rPr>
        <w:t xml:space="preserve">369. </w:t>
      </w:r>
      <w:r w:rsidR="00A607AD" w:rsidRPr="00A826FA">
        <w:rPr>
          <w:szCs w:val="28"/>
          <w:lang w:val="ru-RU"/>
        </w:rPr>
        <w:t>Про Національну стратегію реформування системи інституційного догляду та виховання дітей на 2017-2026 роки та план заходів з реалізації її І етапу: Розпорядження Кабінету Міністрів України від 9 серп. 2017</w:t>
      </w:r>
      <w:r w:rsidR="001839CF">
        <w:rPr>
          <w:szCs w:val="28"/>
          <w:lang w:val="ru-RU"/>
        </w:rPr>
        <w:t> </w:t>
      </w:r>
      <w:r w:rsidR="00A607AD" w:rsidRPr="00A826FA">
        <w:rPr>
          <w:szCs w:val="28"/>
          <w:lang w:val="ru-RU"/>
        </w:rPr>
        <w:t xml:space="preserve">р. № 526-р. </w:t>
      </w:r>
      <w:r w:rsidR="00A607AD" w:rsidRPr="00A826FA">
        <w:rPr>
          <w:szCs w:val="28"/>
        </w:rPr>
        <w:t>URL</w:t>
      </w:r>
      <w:r w:rsidR="00A607AD" w:rsidRPr="00A826FA">
        <w:rPr>
          <w:szCs w:val="28"/>
          <w:lang w:val="ru-RU"/>
        </w:rPr>
        <w:t xml:space="preserve">: </w:t>
      </w:r>
      <w:r w:rsidR="00A607AD" w:rsidRPr="00A826FA">
        <w:rPr>
          <w:szCs w:val="28"/>
        </w:rPr>
        <w:t>https</w:t>
      </w:r>
      <w:r w:rsidR="00A607AD" w:rsidRPr="00A826FA">
        <w:rPr>
          <w:szCs w:val="28"/>
          <w:lang w:val="ru-RU"/>
        </w:rPr>
        <w:t>://</w:t>
      </w:r>
      <w:r w:rsidR="00A607AD" w:rsidRPr="00A826FA">
        <w:rPr>
          <w:szCs w:val="28"/>
        </w:rPr>
        <w:t>zakon</w:t>
      </w:r>
      <w:r w:rsidR="00A607AD" w:rsidRPr="00A826FA">
        <w:rPr>
          <w:szCs w:val="28"/>
          <w:lang w:val="ru-RU"/>
        </w:rPr>
        <w:t>.</w:t>
      </w:r>
      <w:r w:rsidR="00A607AD" w:rsidRPr="00A826FA">
        <w:rPr>
          <w:szCs w:val="28"/>
        </w:rPr>
        <w:t>rada</w:t>
      </w:r>
      <w:r w:rsidR="00A607AD" w:rsidRPr="00A826FA">
        <w:rPr>
          <w:szCs w:val="28"/>
          <w:lang w:val="ru-RU"/>
        </w:rPr>
        <w:t>.</w:t>
      </w:r>
      <w:r w:rsidR="00A607AD" w:rsidRPr="00A826FA">
        <w:rPr>
          <w:szCs w:val="28"/>
        </w:rPr>
        <w:t>gov</w:t>
      </w:r>
      <w:r w:rsidR="00A607AD" w:rsidRPr="00A826FA">
        <w:rPr>
          <w:szCs w:val="28"/>
          <w:lang w:val="ru-RU"/>
        </w:rPr>
        <w:t>.</w:t>
      </w:r>
      <w:r w:rsidR="00A607AD" w:rsidRPr="00A826FA">
        <w:rPr>
          <w:szCs w:val="28"/>
        </w:rPr>
        <w:t>ua</w:t>
      </w:r>
      <w:r w:rsidR="00A607AD" w:rsidRPr="00A826FA">
        <w:rPr>
          <w:szCs w:val="28"/>
          <w:lang w:val="ru-RU"/>
        </w:rPr>
        <w:t>/</w:t>
      </w:r>
      <w:r w:rsidR="00A607AD" w:rsidRPr="00A826FA">
        <w:rPr>
          <w:szCs w:val="28"/>
        </w:rPr>
        <w:t>laws</w:t>
      </w:r>
      <w:r w:rsidR="00A607AD" w:rsidRPr="00A826FA">
        <w:rPr>
          <w:szCs w:val="28"/>
          <w:lang w:val="ru-RU"/>
        </w:rPr>
        <w:t>/</w:t>
      </w:r>
      <w:r w:rsidR="00A607AD" w:rsidRPr="00A826FA">
        <w:rPr>
          <w:szCs w:val="28"/>
        </w:rPr>
        <w:t>show</w:t>
      </w:r>
      <w:r w:rsidR="00A607AD" w:rsidRPr="00A826FA">
        <w:rPr>
          <w:szCs w:val="28"/>
          <w:lang w:val="ru-RU"/>
        </w:rPr>
        <w:t>/526-2017-р#</w:t>
      </w:r>
      <w:r w:rsidR="00A607AD" w:rsidRPr="00A826FA">
        <w:rPr>
          <w:szCs w:val="28"/>
        </w:rPr>
        <w:t>n</w:t>
      </w:r>
      <w:r w:rsidR="00A607AD" w:rsidRPr="00A826FA">
        <w:rPr>
          <w:szCs w:val="28"/>
          <w:lang w:val="ru-RU"/>
        </w:rPr>
        <w:t>23(дата звернення: 03.10.2020).</w:t>
      </w:r>
    </w:p>
    <w:p w:rsidR="00A826FA" w:rsidRDefault="00C323ED" w:rsidP="00A826FA">
      <w:pPr>
        <w:ind w:firstLine="709"/>
        <w:rPr>
          <w:szCs w:val="28"/>
          <w:lang w:val="ru-RU"/>
        </w:rPr>
      </w:pPr>
      <w:r>
        <w:rPr>
          <w:szCs w:val="28"/>
          <w:lang w:val="ru-RU"/>
        </w:rPr>
        <w:t>370.</w:t>
      </w:r>
      <w:r w:rsidR="000E1D03">
        <w:t> </w:t>
      </w:r>
      <w:r w:rsidR="00A607AD" w:rsidRPr="00A826FA">
        <w:rPr>
          <w:szCs w:val="28"/>
          <w:lang w:val="ru-RU"/>
        </w:rPr>
        <w:t>Про державні фінансові гарантії медичного обслуговування населення: Закон України від 19.10.2019 р. № 2168-</w:t>
      </w:r>
      <w:r w:rsidR="00A607AD" w:rsidRPr="00A826FA">
        <w:rPr>
          <w:szCs w:val="28"/>
        </w:rPr>
        <w:t>VIII</w:t>
      </w:r>
      <w:r w:rsidR="00A607AD" w:rsidRPr="00A826FA">
        <w:rPr>
          <w:szCs w:val="28"/>
          <w:lang w:val="ru-RU"/>
        </w:rPr>
        <w:t xml:space="preserve">. </w:t>
      </w:r>
      <w:r w:rsidR="00A607AD" w:rsidRPr="00A826FA">
        <w:rPr>
          <w:szCs w:val="28"/>
        </w:rPr>
        <w:t>URL</w:t>
      </w:r>
      <w:r w:rsidR="00A607AD" w:rsidRPr="00A826FA">
        <w:rPr>
          <w:szCs w:val="28"/>
          <w:lang w:val="ru-RU"/>
        </w:rPr>
        <w:t xml:space="preserve">: </w:t>
      </w:r>
      <w:r w:rsidR="00A607AD" w:rsidRPr="00A826FA">
        <w:rPr>
          <w:szCs w:val="28"/>
        </w:rPr>
        <w:t>https</w:t>
      </w:r>
      <w:r w:rsidR="00A607AD" w:rsidRPr="00A826FA">
        <w:rPr>
          <w:szCs w:val="28"/>
          <w:lang w:val="ru-RU"/>
        </w:rPr>
        <w:t>://</w:t>
      </w:r>
      <w:r w:rsidR="00A607AD" w:rsidRPr="00A826FA">
        <w:rPr>
          <w:szCs w:val="28"/>
        </w:rPr>
        <w:t>zakon</w:t>
      </w:r>
      <w:r w:rsidR="00A607AD" w:rsidRPr="00A826FA">
        <w:rPr>
          <w:szCs w:val="28"/>
          <w:lang w:val="ru-RU"/>
        </w:rPr>
        <w:t>.</w:t>
      </w:r>
      <w:r w:rsidR="00A607AD" w:rsidRPr="00A826FA">
        <w:rPr>
          <w:szCs w:val="28"/>
        </w:rPr>
        <w:t>rada</w:t>
      </w:r>
      <w:r w:rsidR="00A607AD" w:rsidRPr="00A826FA">
        <w:rPr>
          <w:szCs w:val="28"/>
          <w:lang w:val="ru-RU"/>
        </w:rPr>
        <w:t>.</w:t>
      </w:r>
      <w:r w:rsidR="00A607AD" w:rsidRPr="00A826FA">
        <w:rPr>
          <w:szCs w:val="28"/>
        </w:rPr>
        <w:t>gov</w:t>
      </w:r>
      <w:r w:rsidR="00A607AD" w:rsidRPr="00A826FA">
        <w:rPr>
          <w:szCs w:val="28"/>
          <w:lang w:val="ru-RU"/>
        </w:rPr>
        <w:t>.</w:t>
      </w:r>
      <w:r w:rsidR="00A607AD" w:rsidRPr="00A826FA">
        <w:rPr>
          <w:szCs w:val="28"/>
        </w:rPr>
        <w:t>ua</w:t>
      </w:r>
      <w:r w:rsidR="00A607AD" w:rsidRPr="00A826FA">
        <w:rPr>
          <w:szCs w:val="28"/>
          <w:lang w:val="ru-RU"/>
        </w:rPr>
        <w:t>/</w:t>
      </w:r>
      <w:r w:rsidR="00A607AD" w:rsidRPr="00A826FA">
        <w:rPr>
          <w:szCs w:val="28"/>
        </w:rPr>
        <w:t>laws</w:t>
      </w:r>
      <w:r w:rsidR="00A607AD" w:rsidRPr="00A826FA">
        <w:rPr>
          <w:szCs w:val="28"/>
          <w:lang w:val="ru-RU"/>
        </w:rPr>
        <w:t>/</w:t>
      </w:r>
      <w:r w:rsidR="00A607AD" w:rsidRPr="00A826FA">
        <w:rPr>
          <w:szCs w:val="28"/>
        </w:rPr>
        <w:t>show</w:t>
      </w:r>
      <w:r w:rsidR="00A607AD" w:rsidRPr="00A826FA">
        <w:rPr>
          <w:szCs w:val="28"/>
          <w:lang w:val="ru-RU"/>
        </w:rPr>
        <w:t>/2168-19#</w:t>
      </w:r>
      <w:r w:rsidR="00A607AD" w:rsidRPr="00A826FA">
        <w:rPr>
          <w:szCs w:val="28"/>
        </w:rPr>
        <w:t>Text</w:t>
      </w:r>
      <w:r w:rsidR="00A607AD" w:rsidRPr="00A826FA">
        <w:rPr>
          <w:szCs w:val="28"/>
          <w:lang w:val="ru-RU"/>
        </w:rPr>
        <w:t xml:space="preserve"> (дата звернення: 28.02.2021).</w:t>
      </w:r>
    </w:p>
    <w:p w:rsidR="00A826FA" w:rsidRPr="00A826FA" w:rsidRDefault="00C323ED" w:rsidP="00A826FA">
      <w:pPr>
        <w:ind w:firstLine="709"/>
        <w:rPr>
          <w:szCs w:val="28"/>
          <w:lang w:val="en-US"/>
        </w:rPr>
      </w:pPr>
      <w:r>
        <w:rPr>
          <w:szCs w:val="28"/>
        </w:rPr>
        <w:t xml:space="preserve">371. </w:t>
      </w:r>
      <w:r w:rsidR="00A607AD" w:rsidRPr="00A826FA">
        <w:rPr>
          <w:szCs w:val="28"/>
        </w:rPr>
        <w:t>Reaching the every newborn national 2020 milestones: country progress, plans and moving forward / World Health Organization. Geneva, 2017. 76 p. URL: https://apps.who.int/iris/bitstream/handle/10665/255719/9789241512619-eng.pdf?sequence=1 (Last accessed: 12.10.2019).</w:t>
      </w:r>
    </w:p>
    <w:p w:rsidR="001E29EC" w:rsidRDefault="00C323ED" w:rsidP="00EE3045">
      <w:pPr>
        <w:ind w:firstLine="709"/>
        <w:rPr>
          <w:szCs w:val="28"/>
        </w:rPr>
      </w:pPr>
      <w:r>
        <w:rPr>
          <w:szCs w:val="28"/>
          <w:lang w:val="ru-RU"/>
        </w:rPr>
        <w:t xml:space="preserve">372. </w:t>
      </w:r>
      <w:r w:rsidR="00A607AD" w:rsidRPr="00A826FA">
        <w:rPr>
          <w:szCs w:val="28"/>
        </w:rPr>
        <w:t>Velea</w:t>
      </w:r>
      <w:r w:rsidR="00A607AD" w:rsidRPr="00A826FA">
        <w:rPr>
          <w:szCs w:val="28"/>
          <w:lang w:val="ru-RU"/>
        </w:rPr>
        <w:t xml:space="preserve"> </w:t>
      </w:r>
      <w:r w:rsidR="00A607AD" w:rsidRPr="00A826FA">
        <w:rPr>
          <w:szCs w:val="28"/>
        </w:rPr>
        <w:t>R</w:t>
      </w:r>
      <w:r w:rsidR="00A607AD" w:rsidRPr="00A826FA">
        <w:rPr>
          <w:szCs w:val="28"/>
          <w:lang w:val="ru-RU"/>
        </w:rPr>
        <w:t xml:space="preserve">., </w:t>
      </w:r>
      <w:r w:rsidR="00A607AD" w:rsidRPr="00A826FA">
        <w:rPr>
          <w:szCs w:val="28"/>
        </w:rPr>
        <w:t>Tamburlini</w:t>
      </w:r>
      <w:r w:rsidR="00A607AD" w:rsidRPr="00A826FA">
        <w:rPr>
          <w:szCs w:val="28"/>
          <w:lang w:val="ru-RU"/>
        </w:rPr>
        <w:t xml:space="preserve"> </w:t>
      </w:r>
      <w:r w:rsidR="00A607AD" w:rsidRPr="00A826FA">
        <w:rPr>
          <w:szCs w:val="28"/>
        </w:rPr>
        <w:t>G</w:t>
      </w:r>
      <w:r w:rsidR="00A607AD" w:rsidRPr="00A826FA">
        <w:rPr>
          <w:szCs w:val="28"/>
          <w:lang w:val="ru-RU"/>
        </w:rPr>
        <w:t xml:space="preserve">. Развитие детей в раннем возрасте в Европейском регионе: потребности, тенденции и разработка политики. Обзор на основе оценки пяти стран / Всемирная организация здравоохранения. Копенгаген, 2014. 98 </w:t>
      </w:r>
      <w:r w:rsidR="00A607AD" w:rsidRPr="00A826FA">
        <w:rPr>
          <w:szCs w:val="28"/>
        </w:rPr>
        <w:t>c</w:t>
      </w:r>
      <w:r w:rsidR="00A607AD" w:rsidRPr="00A826FA">
        <w:rPr>
          <w:szCs w:val="28"/>
          <w:lang w:val="ru-RU"/>
        </w:rPr>
        <w:t xml:space="preserve">. </w:t>
      </w:r>
      <w:r w:rsidR="00A607AD" w:rsidRPr="00A826FA">
        <w:rPr>
          <w:szCs w:val="28"/>
        </w:rPr>
        <w:t>URL</w:t>
      </w:r>
      <w:r w:rsidR="00A607AD" w:rsidRPr="00A826FA">
        <w:rPr>
          <w:szCs w:val="28"/>
          <w:lang w:val="ru-RU"/>
        </w:rPr>
        <w:t xml:space="preserve">: </w:t>
      </w:r>
      <w:r w:rsidR="00A607AD" w:rsidRPr="00A826FA">
        <w:rPr>
          <w:szCs w:val="28"/>
        </w:rPr>
        <w:t>https</w:t>
      </w:r>
      <w:r w:rsidR="00A607AD" w:rsidRPr="00A826FA">
        <w:rPr>
          <w:szCs w:val="28"/>
          <w:lang w:val="ru-RU"/>
        </w:rPr>
        <w:t>://</w:t>
      </w:r>
      <w:r w:rsidR="00A607AD" w:rsidRPr="00A826FA">
        <w:rPr>
          <w:szCs w:val="28"/>
        </w:rPr>
        <w:t>www</w:t>
      </w:r>
      <w:r w:rsidR="00A607AD" w:rsidRPr="00A826FA">
        <w:rPr>
          <w:szCs w:val="28"/>
          <w:lang w:val="ru-RU"/>
        </w:rPr>
        <w:t>.</w:t>
      </w:r>
      <w:r w:rsidR="00A607AD" w:rsidRPr="00A826FA">
        <w:rPr>
          <w:szCs w:val="28"/>
        </w:rPr>
        <w:t>euro</w:t>
      </w:r>
      <w:r w:rsidR="00A607AD" w:rsidRPr="00A826FA">
        <w:rPr>
          <w:szCs w:val="28"/>
          <w:lang w:val="ru-RU"/>
        </w:rPr>
        <w:t>.</w:t>
      </w:r>
      <w:r w:rsidR="00A607AD" w:rsidRPr="00A826FA">
        <w:rPr>
          <w:szCs w:val="28"/>
        </w:rPr>
        <w:t>who</w:t>
      </w:r>
      <w:r w:rsidR="00A607AD" w:rsidRPr="00A826FA">
        <w:rPr>
          <w:szCs w:val="28"/>
          <w:lang w:val="ru-RU"/>
        </w:rPr>
        <w:t>.</w:t>
      </w:r>
      <w:r w:rsidR="00A607AD" w:rsidRPr="00A826FA">
        <w:rPr>
          <w:szCs w:val="28"/>
        </w:rPr>
        <w:t>int</w:t>
      </w:r>
      <w:r w:rsidR="00A607AD" w:rsidRPr="00A826FA">
        <w:rPr>
          <w:szCs w:val="28"/>
          <w:lang w:val="ru-RU"/>
        </w:rPr>
        <w:t>/__</w:t>
      </w:r>
      <w:r w:rsidR="00A607AD" w:rsidRPr="00A826FA">
        <w:rPr>
          <w:szCs w:val="28"/>
        </w:rPr>
        <w:t>data</w:t>
      </w:r>
      <w:r w:rsidR="00A607AD" w:rsidRPr="00A826FA">
        <w:rPr>
          <w:szCs w:val="28"/>
          <w:lang w:val="ru-RU"/>
        </w:rPr>
        <w:t>/</w:t>
      </w:r>
      <w:r w:rsidR="00A607AD" w:rsidRPr="00A826FA">
        <w:rPr>
          <w:szCs w:val="28"/>
        </w:rPr>
        <w:t>assets</w:t>
      </w:r>
      <w:r w:rsidR="00A607AD" w:rsidRPr="00A826FA">
        <w:rPr>
          <w:szCs w:val="28"/>
          <w:lang w:val="ru-RU"/>
        </w:rPr>
        <w:t>/</w:t>
      </w:r>
      <w:r w:rsidR="00A607AD" w:rsidRPr="00A826FA">
        <w:rPr>
          <w:szCs w:val="28"/>
        </w:rPr>
        <w:t>pdf</w:t>
      </w:r>
      <w:r w:rsidR="00A607AD" w:rsidRPr="00A826FA">
        <w:rPr>
          <w:szCs w:val="28"/>
          <w:lang w:val="ru-RU"/>
        </w:rPr>
        <w:t>_</w:t>
      </w:r>
      <w:r w:rsidR="00A607AD" w:rsidRPr="00A826FA">
        <w:rPr>
          <w:szCs w:val="28"/>
        </w:rPr>
        <w:t>file</w:t>
      </w:r>
      <w:r w:rsidR="00A607AD" w:rsidRPr="00A826FA">
        <w:rPr>
          <w:szCs w:val="28"/>
          <w:lang w:val="ru-RU"/>
        </w:rPr>
        <w:t>/0009/265779/</w:t>
      </w:r>
      <w:r w:rsidR="00A607AD" w:rsidRPr="00A826FA">
        <w:rPr>
          <w:szCs w:val="28"/>
        </w:rPr>
        <w:t>Early</w:t>
      </w:r>
      <w:r w:rsidR="00A607AD" w:rsidRPr="00A826FA">
        <w:rPr>
          <w:szCs w:val="28"/>
          <w:lang w:val="ru-RU"/>
        </w:rPr>
        <w:t>-</w:t>
      </w:r>
      <w:r w:rsidR="00A607AD" w:rsidRPr="00A826FA">
        <w:rPr>
          <w:szCs w:val="28"/>
        </w:rPr>
        <w:t>child</w:t>
      </w:r>
      <w:r w:rsidR="00A607AD" w:rsidRPr="00A826FA">
        <w:rPr>
          <w:szCs w:val="28"/>
          <w:lang w:val="ru-RU"/>
        </w:rPr>
        <w:t>-</w:t>
      </w:r>
      <w:r w:rsidR="00A607AD" w:rsidRPr="00A826FA">
        <w:rPr>
          <w:szCs w:val="28"/>
        </w:rPr>
        <w:t>development</w:t>
      </w:r>
      <w:r w:rsidR="00A607AD" w:rsidRPr="00A826FA">
        <w:rPr>
          <w:szCs w:val="28"/>
          <w:lang w:val="ru-RU"/>
        </w:rPr>
        <w:t>-</w:t>
      </w:r>
      <w:r w:rsidR="00A607AD" w:rsidRPr="00A826FA">
        <w:rPr>
          <w:szCs w:val="28"/>
        </w:rPr>
        <w:t>in</w:t>
      </w:r>
      <w:r w:rsidR="00A607AD" w:rsidRPr="00A826FA">
        <w:rPr>
          <w:szCs w:val="28"/>
          <w:lang w:val="ru-RU"/>
        </w:rPr>
        <w:t>-</w:t>
      </w:r>
      <w:r w:rsidR="00A607AD" w:rsidRPr="00A826FA">
        <w:rPr>
          <w:szCs w:val="28"/>
        </w:rPr>
        <w:lastRenderedPageBreak/>
        <w:t>the</w:t>
      </w:r>
      <w:r w:rsidR="00A607AD" w:rsidRPr="00A826FA">
        <w:rPr>
          <w:szCs w:val="28"/>
          <w:lang w:val="ru-RU"/>
        </w:rPr>
        <w:t>-</w:t>
      </w:r>
      <w:r w:rsidR="00A607AD" w:rsidRPr="00A826FA">
        <w:rPr>
          <w:szCs w:val="28"/>
        </w:rPr>
        <w:t>European</w:t>
      </w:r>
      <w:r w:rsidR="00A607AD" w:rsidRPr="00A826FA">
        <w:rPr>
          <w:szCs w:val="28"/>
          <w:lang w:val="ru-RU"/>
        </w:rPr>
        <w:t>-</w:t>
      </w:r>
      <w:r w:rsidR="00A607AD" w:rsidRPr="00A826FA">
        <w:rPr>
          <w:szCs w:val="28"/>
        </w:rPr>
        <w:t>Region</w:t>
      </w:r>
      <w:r w:rsidR="00A607AD" w:rsidRPr="00A826FA">
        <w:rPr>
          <w:szCs w:val="28"/>
          <w:lang w:val="ru-RU"/>
        </w:rPr>
        <w:t>-</w:t>
      </w:r>
      <w:r w:rsidR="00A607AD" w:rsidRPr="00A826FA">
        <w:rPr>
          <w:szCs w:val="28"/>
        </w:rPr>
        <w:t>needs</w:t>
      </w:r>
      <w:r w:rsidR="00A607AD" w:rsidRPr="00A826FA">
        <w:rPr>
          <w:szCs w:val="28"/>
          <w:lang w:val="ru-RU"/>
        </w:rPr>
        <w:t>,-</w:t>
      </w:r>
      <w:r w:rsidR="00A607AD" w:rsidRPr="00A826FA">
        <w:rPr>
          <w:szCs w:val="28"/>
        </w:rPr>
        <w:t>trends</w:t>
      </w:r>
      <w:r w:rsidR="00A607AD" w:rsidRPr="00A826FA">
        <w:rPr>
          <w:szCs w:val="28"/>
          <w:lang w:val="ru-RU"/>
        </w:rPr>
        <w:t>-</w:t>
      </w:r>
      <w:r w:rsidR="00A607AD" w:rsidRPr="00A826FA">
        <w:rPr>
          <w:szCs w:val="28"/>
        </w:rPr>
        <w:t>and</w:t>
      </w:r>
      <w:r w:rsidR="00A607AD" w:rsidRPr="00A826FA">
        <w:rPr>
          <w:szCs w:val="28"/>
          <w:lang w:val="ru-RU"/>
        </w:rPr>
        <w:t>-</w:t>
      </w:r>
      <w:r w:rsidR="00A607AD" w:rsidRPr="00A826FA">
        <w:rPr>
          <w:szCs w:val="28"/>
        </w:rPr>
        <w:t>policy</w:t>
      </w:r>
      <w:r w:rsidR="00A607AD" w:rsidRPr="00A826FA">
        <w:rPr>
          <w:szCs w:val="28"/>
          <w:lang w:val="ru-RU"/>
        </w:rPr>
        <w:t>-</w:t>
      </w:r>
      <w:r w:rsidR="00A607AD" w:rsidRPr="00A826FA">
        <w:rPr>
          <w:szCs w:val="28"/>
        </w:rPr>
        <w:t>development</w:t>
      </w:r>
      <w:r w:rsidR="00A607AD" w:rsidRPr="00A826FA">
        <w:rPr>
          <w:szCs w:val="28"/>
          <w:lang w:val="ru-RU"/>
        </w:rPr>
        <w:t>-</w:t>
      </w:r>
      <w:r w:rsidR="00A607AD" w:rsidRPr="00A826FA">
        <w:rPr>
          <w:szCs w:val="28"/>
        </w:rPr>
        <w:t>Rus</w:t>
      </w:r>
      <w:r w:rsidR="00A607AD" w:rsidRPr="00A826FA">
        <w:rPr>
          <w:szCs w:val="28"/>
          <w:lang w:val="ru-RU"/>
        </w:rPr>
        <w:t>.</w:t>
      </w:r>
      <w:r w:rsidR="00A607AD" w:rsidRPr="00A826FA">
        <w:rPr>
          <w:szCs w:val="28"/>
        </w:rPr>
        <w:t>pdf</w:t>
      </w:r>
      <w:r w:rsidR="00A607AD" w:rsidRPr="00A826FA">
        <w:rPr>
          <w:szCs w:val="28"/>
          <w:lang w:val="ru-RU"/>
        </w:rPr>
        <w:t xml:space="preserve"> (дата звернення: 12.10.2019). </w:t>
      </w:r>
    </w:p>
    <w:p w:rsidR="00EE3045" w:rsidRPr="00EE3045" w:rsidRDefault="00EE3045" w:rsidP="00EE3045">
      <w:pPr>
        <w:ind w:firstLine="709"/>
        <w:rPr>
          <w:szCs w:val="28"/>
        </w:rPr>
      </w:pPr>
    </w:p>
    <w:p w:rsidR="002A39B4" w:rsidRDefault="002A39B4" w:rsidP="00D35A4A">
      <w:pPr>
        <w:spacing w:after="200"/>
        <w:jc w:val="right"/>
      </w:pPr>
    </w:p>
    <w:p w:rsidR="002A39B4" w:rsidRDefault="002A39B4" w:rsidP="00D35A4A">
      <w:pPr>
        <w:spacing w:after="200"/>
        <w:jc w:val="right"/>
      </w:pPr>
    </w:p>
    <w:p w:rsidR="002A39B4" w:rsidRDefault="002A39B4" w:rsidP="00D35A4A">
      <w:pPr>
        <w:spacing w:after="200"/>
        <w:jc w:val="right"/>
        <w:rPr>
          <w:lang w:val="ru-RU"/>
        </w:rPr>
      </w:pPr>
    </w:p>
    <w:p w:rsidR="001839CF" w:rsidRDefault="001839CF" w:rsidP="00D35A4A">
      <w:pPr>
        <w:spacing w:after="200"/>
        <w:jc w:val="right"/>
        <w:rPr>
          <w:lang w:val="ru-RU"/>
        </w:rPr>
      </w:pPr>
    </w:p>
    <w:p w:rsidR="001839CF" w:rsidRDefault="001839CF" w:rsidP="00D35A4A">
      <w:pPr>
        <w:spacing w:after="200"/>
        <w:jc w:val="right"/>
        <w:rPr>
          <w:lang w:val="ru-RU"/>
        </w:rPr>
      </w:pPr>
    </w:p>
    <w:p w:rsidR="001839CF" w:rsidRDefault="001839CF" w:rsidP="00D35A4A">
      <w:pPr>
        <w:spacing w:after="200"/>
        <w:jc w:val="right"/>
        <w:rPr>
          <w:lang w:val="ru-RU"/>
        </w:rPr>
      </w:pPr>
    </w:p>
    <w:p w:rsidR="0063337F" w:rsidRDefault="0063337F" w:rsidP="009B6ECC">
      <w:pPr>
        <w:spacing w:after="200"/>
        <w:rPr>
          <w:lang w:val="ru-RU"/>
        </w:rPr>
      </w:pPr>
    </w:p>
    <w:p w:rsidR="009B6ECC" w:rsidRDefault="009B6ECC" w:rsidP="009B6ECC">
      <w:pPr>
        <w:spacing w:after="200"/>
        <w:rPr>
          <w:lang w:val="ru-RU"/>
        </w:rPr>
      </w:pPr>
    </w:p>
    <w:p w:rsidR="005A6160" w:rsidRDefault="005A6160" w:rsidP="009B6ECC">
      <w:pPr>
        <w:spacing w:after="200"/>
        <w:rPr>
          <w:lang w:val="ru-RU"/>
        </w:rPr>
      </w:pPr>
    </w:p>
    <w:p w:rsidR="005A6160" w:rsidRDefault="005A6160" w:rsidP="009B6ECC">
      <w:pPr>
        <w:spacing w:after="200"/>
        <w:rPr>
          <w:lang w:val="ru-RU"/>
        </w:rPr>
      </w:pPr>
    </w:p>
    <w:p w:rsidR="005A6160" w:rsidRDefault="005A6160" w:rsidP="009B6ECC">
      <w:pPr>
        <w:spacing w:after="200"/>
        <w:rPr>
          <w:lang w:val="ru-RU"/>
        </w:rPr>
      </w:pPr>
    </w:p>
    <w:p w:rsidR="005A6160" w:rsidRDefault="005A6160" w:rsidP="009B6ECC">
      <w:pPr>
        <w:spacing w:after="200"/>
        <w:rPr>
          <w:lang w:val="ru-RU"/>
        </w:rPr>
      </w:pPr>
    </w:p>
    <w:p w:rsidR="005A6160" w:rsidRDefault="005A6160" w:rsidP="009B6ECC">
      <w:pPr>
        <w:spacing w:after="200"/>
        <w:rPr>
          <w:lang w:val="ru-RU"/>
        </w:rPr>
      </w:pPr>
    </w:p>
    <w:p w:rsidR="005A6160" w:rsidRDefault="005A6160" w:rsidP="009B6ECC">
      <w:pPr>
        <w:spacing w:after="200"/>
        <w:rPr>
          <w:lang w:val="ru-RU"/>
        </w:rPr>
      </w:pPr>
    </w:p>
    <w:p w:rsidR="005A6160" w:rsidRDefault="005A6160" w:rsidP="009B6ECC">
      <w:pPr>
        <w:spacing w:after="200"/>
        <w:rPr>
          <w:lang w:val="ru-RU"/>
        </w:rPr>
      </w:pPr>
    </w:p>
    <w:p w:rsidR="005A6160" w:rsidRDefault="005A6160" w:rsidP="009B6ECC">
      <w:pPr>
        <w:spacing w:after="200"/>
        <w:rPr>
          <w:lang w:val="ru-RU"/>
        </w:rPr>
      </w:pPr>
    </w:p>
    <w:p w:rsidR="005A6160" w:rsidRPr="001839CF" w:rsidRDefault="005A6160" w:rsidP="009B6ECC">
      <w:pPr>
        <w:spacing w:after="200"/>
        <w:rPr>
          <w:lang w:val="ru-RU"/>
        </w:rPr>
      </w:pPr>
    </w:p>
    <w:p w:rsidR="008C2554" w:rsidRDefault="008C2554" w:rsidP="00D35A4A">
      <w:pPr>
        <w:spacing w:after="200"/>
        <w:jc w:val="right"/>
      </w:pPr>
    </w:p>
    <w:p w:rsidR="00AE1DDC" w:rsidRDefault="00AE1DDC" w:rsidP="008C2554">
      <w:pPr>
        <w:pageBreakBefore/>
        <w:spacing w:after="200"/>
        <w:jc w:val="right"/>
        <w:rPr>
          <w:lang w:val="ru-RU"/>
        </w:rPr>
      </w:pPr>
      <w:r>
        <w:lastRenderedPageBreak/>
        <w:t>Д</w:t>
      </w:r>
      <w:r>
        <w:rPr>
          <w:lang w:val="ru-RU"/>
        </w:rPr>
        <w:t>одаток А</w:t>
      </w:r>
      <w:r>
        <w:t xml:space="preserve"> </w:t>
      </w:r>
    </w:p>
    <w:p w:rsidR="009B4F40" w:rsidRPr="00CF32BB" w:rsidRDefault="00AE1DDC" w:rsidP="00CF32BB">
      <w:pPr>
        <w:spacing w:after="200"/>
        <w:jc w:val="center"/>
        <w:rPr>
          <w:b/>
        </w:rPr>
      </w:pPr>
      <w:r w:rsidRPr="00CF32BB">
        <w:rPr>
          <w:b/>
        </w:rPr>
        <w:t>СПИСОК ОПУБЛІКОВАНИХ ПРАЦЬ ЗА ТЕМОЮ ДИСЕРТАЦІЇ</w:t>
      </w:r>
    </w:p>
    <w:p w:rsidR="00CF32BB" w:rsidRPr="00CF32BB" w:rsidRDefault="00CF32BB" w:rsidP="00CF32BB">
      <w:pPr>
        <w:widowControl w:val="0"/>
        <w:tabs>
          <w:tab w:val="left" w:pos="1080"/>
        </w:tabs>
        <w:ind w:firstLine="709"/>
        <w:jc w:val="center"/>
        <w:rPr>
          <w:rFonts w:eastAsia="Times New Roman"/>
          <w:i/>
          <w:szCs w:val="28"/>
          <w:lang w:val="ru-RU" w:eastAsia="ru-RU"/>
        </w:rPr>
      </w:pPr>
      <w:r w:rsidRPr="00CF32BB">
        <w:rPr>
          <w:rFonts w:eastAsia="Times New Roman"/>
          <w:i/>
          <w:szCs w:val="28"/>
          <w:lang w:eastAsia="ru-RU"/>
        </w:rPr>
        <w:t>Наукові праці, в яких опубліковані основні результати дисертації</w:t>
      </w:r>
    </w:p>
    <w:p w:rsidR="00D07B8C" w:rsidRPr="00231499" w:rsidRDefault="00D07B8C" w:rsidP="00CF32BB">
      <w:pPr>
        <w:widowControl w:val="0"/>
        <w:numPr>
          <w:ilvl w:val="0"/>
          <w:numId w:val="54"/>
        </w:numPr>
        <w:contextualSpacing/>
        <w:rPr>
          <w:rFonts w:eastAsia="Calibri"/>
          <w:szCs w:val="28"/>
        </w:rPr>
      </w:pPr>
      <w:r w:rsidRPr="00231499">
        <w:rPr>
          <w:rFonts w:eastAsia="Calibri"/>
          <w:szCs w:val="28"/>
        </w:rPr>
        <w:t xml:space="preserve">Дудник С. В. Сучасні тенденції малюкової смертності в Україні. Україна. Здоров’я нації. 2016. № 4 (40). С. 32–37. </w:t>
      </w:r>
    </w:p>
    <w:p w:rsidR="00D07B8C" w:rsidRPr="00231499" w:rsidRDefault="00D07B8C" w:rsidP="00D07B8C">
      <w:pPr>
        <w:widowControl w:val="0"/>
        <w:numPr>
          <w:ilvl w:val="0"/>
          <w:numId w:val="54"/>
        </w:numPr>
        <w:ind w:left="0" w:firstLine="284"/>
        <w:contextualSpacing/>
        <w:rPr>
          <w:rFonts w:eastAsia="Calibri"/>
          <w:szCs w:val="28"/>
        </w:rPr>
      </w:pPr>
      <w:r w:rsidRPr="00231499">
        <w:rPr>
          <w:rFonts w:eastAsia="Calibri"/>
          <w:szCs w:val="28"/>
        </w:rPr>
        <w:t>Дудник С. В. Детермінанти малюкової смертності залежно від статі та місця мешканця. Україна. Здоров’я нації. 2016. № 4/1 (41). С. 113–121.</w:t>
      </w:r>
    </w:p>
    <w:p w:rsidR="00D07B8C" w:rsidRPr="00231499" w:rsidRDefault="00D07B8C" w:rsidP="00D07B8C">
      <w:pPr>
        <w:widowControl w:val="0"/>
        <w:numPr>
          <w:ilvl w:val="0"/>
          <w:numId w:val="54"/>
        </w:numPr>
        <w:ind w:left="0" w:firstLine="284"/>
        <w:contextualSpacing/>
        <w:rPr>
          <w:rFonts w:eastAsia="Calibri"/>
          <w:szCs w:val="28"/>
        </w:rPr>
      </w:pPr>
      <w:r w:rsidRPr="00231499">
        <w:rPr>
          <w:rFonts w:eastAsia="Calibri"/>
          <w:szCs w:val="28"/>
        </w:rPr>
        <w:t xml:space="preserve">Дудник С. В. Регіональні тенденції малюкової смертності в Україні. Україна. Здоров’я нації. 2017. № 1 (42). С. 34–40. </w:t>
      </w:r>
    </w:p>
    <w:p w:rsidR="00D07B8C" w:rsidRPr="00231499" w:rsidRDefault="00D07B8C" w:rsidP="00D07B8C">
      <w:pPr>
        <w:widowControl w:val="0"/>
        <w:numPr>
          <w:ilvl w:val="0"/>
          <w:numId w:val="54"/>
        </w:numPr>
        <w:ind w:left="0" w:firstLine="284"/>
        <w:contextualSpacing/>
        <w:rPr>
          <w:rFonts w:eastAsia="Calibri"/>
          <w:szCs w:val="28"/>
        </w:rPr>
      </w:pPr>
      <w:r w:rsidRPr="00231499">
        <w:rPr>
          <w:rFonts w:eastAsia="Calibri"/>
          <w:szCs w:val="28"/>
        </w:rPr>
        <w:t xml:space="preserve">Дудник С. В. Порівняльна характеристика і сучасні тенденції рівня дитячої смертності в Україні, державах Європейського регіону та країнах пострадянського простору. Україна. Здоров’я нації. 2017. № 4 (45). С. 29–35. </w:t>
      </w:r>
    </w:p>
    <w:p w:rsidR="00D07B8C" w:rsidRPr="00231499" w:rsidRDefault="00D07B8C" w:rsidP="00D07B8C">
      <w:pPr>
        <w:widowControl w:val="0"/>
        <w:numPr>
          <w:ilvl w:val="0"/>
          <w:numId w:val="54"/>
        </w:numPr>
        <w:ind w:left="0" w:firstLine="284"/>
        <w:contextualSpacing/>
        <w:rPr>
          <w:rFonts w:eastAsia="Calibri"/>
          <w:szCs w:val="28"/>
        </w:rPr>
      </w:pPr>
      <w:r w:rsidRPr="00231499">
        <w:rPr>
          <w:rFonts w:eastAsia="Calibri"/>
          <w:szCs w:val="28"/>
        </w:rPr>
        <w:t xml:space="preserve">Дудник С. В. Перспективні напрями досягнення ефективної державної політики у сфері охорони здоров’я та попередження дитячої смертності. Україна. Здоров’я нації. 2017. № 4/1 (46). С. 46–53. </w:t>
      </w:r>
    </w:p>
    <w:p w:rsidR="00D07B8C" w:rsidRPr="00231499" w:rsidRDefault="00D07B8C" w:rsidP="00D07B8C">
      <w:pPr>
        <w:widowControl w:val="0"/>
        <w:numPr>
          <w:ilvl w:val="0"/>
          <w:numId w:val="54"/>
        </w:numPr>
        <w:ind w:left="0" w:firstLine="284"/>
        <w:contextualSpacing/>
        <w:rPr>
          <w:rFonts w:eastAsia="Calibri"/>
          <w:szCs w:val="28"/>
        </w:rPr>
      </w:pPr>
      <w:r w:rsidRPr="00231499">
        <w:rPr>
          <w:rFonts w:eastAsia="Calibri"/>
          <w:szCs w:val="28"/>
        </w:rPr>
        <w:t xml:space="preserve">Дудник С. В. Економічні збитки держави внаслідок малюкової смертності. Економіка і право охорони здоров’я. 2017. № 1 (5). С. 5–9. </w:t>
      </w:r>
    </w:p>
    <w:p w:rsidR="00D07B8C" w:rsidRPr="00231499" w:rsidRDefault="00D07B8C" w:rsidP="00D07B8C">
      <w:pPr>
        <w:widowControl w:val="0"/>
        <w:numPr>
          <w:ilvl w:val="0"/>
          <w:numId w:val="54"/>
        </w:numPr>
        <w:ind w:left="0" w:firstLine="284"/>
        <w:contextualSpacing/>
        <w:rPr>
          <w:rFonts w:eastAsia="Calibri"/>
          <w:szCs w:val="28"/>
        </w:rPr>
      </w:pPr>
      <w:r w:rsidRPr="00231499">
        <w:rPr>
          <w:rFonts w:eastAsia="Calibri"/>
          <w:szCs w:val="28"/>
        </w:rPr>
        <w:t xml:space="preserve">Дудник С. В. Профілактика дитячого травматизму як один із пріоритетів напрямів охорони здоров’я: сучасні підходи до попередження дитячої смертності та інвалідності. Економіка і право охорони здоров’я. 2017. № 2 (6). С. 36–41.  </w:t>
      </w:r>
    </w:p>
    <w:p w:rsidR="00D07B8C" w:rsidRPr="00231499" w:rsidRDefault="00D07B8C" w:rsidP="00D07B8C">
      <w:pPr>
        <w:widowControl w:val="0"/>
        <w:numPr>
          <w:ilvl w:val="0"/>
          <w:numId w:val="54"/>
        </w:numPr>
        <w:ind w:left="0" w:firstLine="284"/>
        <w:contextualSpacing/>
        <w:rPr>
          <w:rFonts w:eastAsia="Calibri"/>
          <w:szCs w:val="28"/>
        </w:rPr>
      </w:pPr>
      <w:r w:rsidRPr="00231499">
        <w:rPr>
          <w:rFonts w:eastAsia="Calibri"/>
          <w:szCs w:val="28"/>
        </w:rPr>
        <w:t>Slabkiy G. О., Dudnyk S. V., Tyapkin G. M. Modern status and age-specific tendencies of mortality of Ukraine`s children from external causes. The Unity of science: International scientific periodical journal. Vienna, Аus</w:t>
      </w:r>
      <w:r>
        <w:rPr>
          <w:rFonts w:eastAsia="Calibri"/>
          <w:szCs w:val="28"/>
        </w:rPr>
        <w:t>tria. October 2017. Р. 81–84. (</w:t>
      </w:r>
      <w:r w:rsidRPr="00231499">
        <w:rPr>
          <w:rFonts w:eastAsia="Calibri"/>
          <w:i/>
          <w:szCs w:val="28"/>
        </w:rPr>
        <w:t>Дисертанту належить аналіз матеріалів дослідження, формування висновків, підготовка матеріалів до публікації</w:t>
      </w:r>
      <w:r w:rsidRPr="00231499">
        <w:rPr>
          <w:rFonts w:eastAsia="Calibri"/>
          <w:szCs w:val="28"/>
        </w:rPr>
        <w:t>].</w:t>
      </w:r>
    </w:p>
    <w:p w:rsidR="00D07B8C" w:rsidRPr="00231499" w:rsidRDefault="00D07B8C" w:rsidP="00D07B8C">
      <w:pPr>
        <w:widowControl w:val="0"/>
        <w:numPr>
          <w:ilvl w:val="0"/>
          <w:numId w:val="54"/>
        </w:numPr>
        <w:ind w:left="0" w:firstLine="284"/>
        <w:contextualSpacing/>
        <w:rPr>
          <w:rFonts w:eastAsia="Calibri"/>
          <w:szCs w:val="28"/>
        </w:rPr>
      </w:pPr>
      <w:r w:rsidRPr="00231499">
        <w:rPr>
          <w:rFonts w:eastAsia="Calibri"/>
          <w:szCs w:val="28"/>
        </w:rPr>
        <w:t>Слабкий Г. О., Дудник С. В., Тяпкін Г. М. Аналіз смертності дітей у віці до п’яти років від природжених вад розвитку, деформацій та хромосомних аномалій в Україні</w:t>
      </w:r>
      <w:r w:rsidRPr="00231499">
        <w:rPr>
          <w:rFonts w:eastAsia="Calibri"/>
          <w:i/>
          <w:szCs w:val="28"/>
        </w:rPr>
        <w:t xml:space="preserve">. </w:t>
      </w:r>
      <w:r w:rsidRPr="00231499">
        <w:rPr>
          <w:rFonts w:eastAsia="Calibri"/>
          <w:szCs w:val="28"/>
        </w:rPr>
        <w:lastRenderedPageBreak/>
        <w:t xml:space="preserve">Intermedical Jornal (Slovenská republika). 2017. № ІІ (10). С. 83–90. </w:t>
      </w:r>
      <w:r>
        <w:rPr>
          <w:rFonts w:eastAsia="Calibri"/>
          <w:szCs w:val="28"/>
        </w:rPr>
        <w:t>(</w:t>
      </w:r>
      <w:r w:rsidRPr="00231499">
        <w:rPr>
          <w:rFonts w:eastAsia="Calibri"/>
          <w:i/>
          <w:szCs w:val="28"/>
        </w:rPr>
        <w:t>Дисертанту належить збір та статистична обробка матеріалів, аналіз та узагальнення результатів, написання статті</w:t>
      </w:r>
      <w:r w:rsidRPr="00231499">
        <w:rPr>
          <w:rFonts w:eastAsia="Calibri"/>
          <w:szCs w:val="28"/>
        </w:rPr>
        <w:t>).</w:t>
      </w:r>
    </w:p>
    <w:p w:rsidR="00D07B8C" w:rsidRPr="00231499" w:rsidRDefault="00D07B8C" w:rsidP="00D07B8C">
      <w:pPr>
        <w:widowControl w:val="0"/>
        <w:numPr>
          <w:ilvl w:val="0"/>
          <w:numId w:val="54"/>
        </w:numPr>
        <w:ind w:left="0" w:firstLine="284"/>
        <w:contextualSpacing/>
        <w:rPr>
          <w:rFonts w:eastAsia="Calibri"/>
          <w:szCs w:val="28"/>
        </w:rPr>
      </w:pPr>
      <w:r w:rsidRPr="00231499">
        <w:rPr>
          <w:rFonts w:eastAsia="Calibri"/>
          <w:szCs w:val="28"/>
        </w:rPr>
        <w:t xml:space="preserve">Дудник С. В. Стан здоров’я та деякі аспекти організації надання медичної допомоги дитячому населенню України. Україна. Здоров’я нації. </w:t>
      </w:r>
      <w:r w:rsidRPr="00231499">
        <w:rPr>
          <w:rFonts w:eastAsia="Calibri"/>
          <w:spacing w:val="-14"/>
          <w:szCs w:val="28"/>
        </w:rPr>
        <w:t>2018. № 1 (47)</w:t>
      </w:r>
      <w:r>
        <w:rPr>
          <w:rFonts w:eastAsia="Calibri"/>
          <w:spacing w:val="-14"/>
          <w:szCs w:val="28"/>
        </w:rPr>
        <w:t>.</w:t>
      </w:r>
      <w:r w:rsidRPr="00231499">
        <w:rPr>
          <w:rFonts w:eastAsia="Calibri"/>
          <w:spacing w:val="-14"/>
          <w:szCs w:val="28"/>
        </w:rPr>
        <w:t xml:space="preserve"> С.</w:t>
      </w:r>
      <w:r>
        <w:rPr>
          <w:rFonts w:eastAsia="Calibri"/>
          <w:spacing w:val="-14"/>
          <w:szCs w:val="28"/>
          <w:lang w:val="ru-RU"/>
        </w:rPr>
        <w:t> </w:t>
      </w:r>
      <w:r w:rsidRPr="00231499">
        <w:rPr>
          <w:rFonts w:eastAsia="Calibri"/>
          <w:szCs w:val="28"/>
        </w:rPr>
        <w:t>26</w:t>
      </w:r>
      <w:r>
        <w:rPr>
          <w:rFonts w:eastAsia="Calibri"/>
          <w:szCs w:val="28"/>
          <w:lang w:val="ru-RU"/>
        </w:rPr>
        <w:t> </w:t>
      </w:r>
      <w:r w:rsidRPr="00B12CA0">
        <w:rPr>
          <w:rFonts w:eastAsia="Calibri"/>
          <w:szCs w:val="28"/>
        </w:rPr>
        <w:t>-</w:t>
      </w:r>
      <w:r w:rsidRPr="00231499">
        <w:rPr>
          <w:rFonts w:eastAsia="Calibri"/>
          <w:szCs w:val="28"/>
        </w:rPr>
        <w:t xml:space="preserve">33. </w:t>
      </w:r>
    </w:p>
    <w:p w:rsidR="00D07B8C" w:rsidRPr="00231499" w:rsidRDefault="00D07B8C" w:rsidP="00D07B8C">
      <w:pPr>
        <w:widowControl w:val="0"/>
        <w:numPr>
          <w:ilvl w:val="0"/>
          <w:numId w:val="54"/>
        </w:numPr>
        <w:ind w:left="0" w:firstLine="284"/>
        <w:contextualSpacing/>
        <w:rPr>
          <w:rFonts w:eastAsia="Calibri"/>
          <w:szCs w:val="28"/>
        </w:rPr>
      </w:pPr>
      <w:r w:rsidRPr="00231499">
        <w:rPr>
          <w:rFonts w:eastAsia="Calibri"/>
          <w:szCs w:val="28"/>
        </w:rPr>
        <w:t>Дудник С. В. Тенденції смертності дітей у віці до 1-го року життя від деяких інфекційних та паразитарних хвороб. Україна. Здоров’я нації. 2018. № 3 (50)</w:t>
      </w:r>
      <w:r>
        <w:rPr>
          <w:rFonts w:eastAsia="Calibri"/>
          <w:szCs w:val="28"/>
        </w:rPr>
        <w:t>.</w:t>
      </w:r>
      <w:r w:rsidRPr="00231499">
        <w:rPr>
          <w:rFonts w:eastAsia="Calibri"/>
          <w:szCs w:val="28"/>
        </w:rPr>
        <w:t xml:space="preserve"> С. 33–44. </w:t>
      </w:r>
    </w:p>
    <w:p w:rsidR="00D07B8C" w:rsidRPr="00231499" w:rsidRDefault="00D07B8C" w:rsidP="00D07B8C">
      <w:pPr>
        <w:widowControl w:val="0"/>
        <w:numPr>
          <w:ilvl w:val="0"/>
          <w:numId w:val="54"/>
        </w:numPr>
        <w:ind w:left="0" w:firstLine="284"/>
        <w:contextualSpacing/>
        <w:rPr>
          <w:rFonts w:eastAsia="Calibri"/>
          <w:szCs w:val="28"/>
        </w:rPr>
      </w:pPr>
      <w:r w:rsidRPr="00231499">
        <w:rPr>
          <w:rFonts w:eastAsia="Calibri"/>
          <w:szCs w:val="28"/>
        </w:rPr>
        <w:t>Дудіна О. О., Дудник С. В., Слабкий Г. О. Ретроспективний аналіз стану здоров’я новонароджених в Україні. Україна. Здоров’я нації. 2018. № 4 (52)</w:t>
      </w:r>
      <w:r>
        <w:rPr>
          <w:rFonts w:eastAsia="Calibri"/>
          <w:szCs w:val="28"/>
        </w:rPr>
        <w:t>.</w:t>
      </w:r>
      <w:r w:rsidRPr="00231499">
        <w:rPr>
          <w:rFonts w:eastAsia="Calibri"/>
          <w:szCs w:val="28"/>
        </w:rPr>
        <w:t xml:space="preserve"> С. 21–26. </w:t>
      </w:r>
      <w:r>
        <w:rPr>
          <w:szCs w:val="28"/>
          <w:lang w:eastAsia="ru-RU"/>
        </w:rPr>
        <w:t>(</w:t>
      </w:r>
      <w:r w:rsidRPr="00231499">
        <w:rPr>
          <w:i/>
          <w:szCs w:val="28"/>
          <w:lang w:eastAsia="ru-RU"/>
        </w:rPr>
        <w:t>Дисертанту належить ідея написання статті, обробка матеріалу, формування висновків</w:t>
      </w:r>
      <w:r w:rsidRPr="00231499">
        <w:rPr>
          <w:szCs w:val="28"/>
          <w:lang w:eastAsia="ru-RU"/>
        </w:rPr>
        <w:t xml:space="preserve">).  </w:t>
      </w:r>
    </w:p>
    <w:p w:rsidR="00D07B8C" w:rsidRPr="00231499" w:rsidRDefault="00D07B8C" w:rsidP="00D07B8C">
      <w:pPr>
        <w:widowControl w:val="0"/>
        <w:numPr>
          <w:ilvl w:val="0"/>
          <w:numId w:val="54"/>
        </w:numPr>
        <w:ind w:left="0" w:firstLine="284"/>
        <w:contextualSpacing/>
        <w:rPr>
          <w:rFonts w:eastAsia="Calibri"/>
          <w:szCs w:val="28"/>
        </w:rPr>
      </w:pPr>
      <w:r w:rsidRPr="00231499">
        <w:rPr>
          <w:rFonts w:eastAsia="Calibri"/>
          <w:szCs w:val="28"/>
        </w:rPr>
        <w:t xml:space="preserve">Дудник С. В. Сучасний стан та тенденції смертності дітей поза стаціонаром. Україна. Здоров’я нації. 2018. № 4/1 (53). С. 98–104. </w:t>
      </w:r>
    </w:p>
    <w:p w:rsidR="00D07B8C" w:rsidRPr="00231499" w:rsidRDefault="00D07B8C" w:rsidP="00D07B8C">
      <w:pPr>
        <w:widowControl w:val="0"/>
        <w:numPr>
          <w:ilvl w:val="0"/>
          <w:numId w:val="54"/>
        </w:numPr>
        <w:ind w:left="0" w:firstLine="284"/>
        <w:contextualSpacing/>
        <w:rPr>
          <w:rFonts w:eastAsia="Calibri"/>
          <w:szCs w:val="28"/>
        </w:rPr>
      </w:pPr>
      <w:r w:rsidRPr="00231499">
        <w:rPr>
          <w:rFonts w:eastAsia="Calibri"/>
          <w:szCs w:val="28"/>
        </w:rPr>
        <w:t>Дудіна О. О., Дудник С. В. Методологічні підходи до визначення показників ефективності діяльності закладів перинатальної допомоги. Економіка і право охорони здоров’я. 2018. № 2 (8). С. 23–3</w:t>
      </w:r>
      <w:r>
        <w:rPr>
          <w:rFonts w:eastAsia="Calibri"/>
          <w:szCs w:val="28"/>
        </w:rPr>
        <w:t>1. (</w:t>
      </w:r>
      <w:r w:rsidRPr="00231499">
        <w:rPr>
          <w:rFonts w:eastAsia="Calibri"/>
          <w:i/>
          <w:szCs w:val="28"/>
        </w:rPr>
        <w:t>Дисертанту належить збір та обробка матеріалів, аналіз та узагальнення результатів, написання статті</w:t>
      </w:r>
      <w:r w:rsidRPr="00231499">
        <w:rPr>
          <w:rFonts w:eastAsia="Calibri"/>
          <w:szCs w:val="28"/>
        </w:rPr>
        <w:t>).</w:t>
      </w:r>
    </w:p>
    <w:p w:rsidR="00D07B8C" w:rsidRPr="00231499" w:rsidRDefault="00D07B8C" w:rsidP="00D07B8C">
      <w:pPr>
        <w:widowControl w:val="0"/>
        <w:numPr>
          <w:ilvl w:val="0"/>
          <w:numId w:val="54"/>
        </w:numPr>
        <w:ind w:left="0" w:firstLine="284"/>
        <w:contextualSpacing/>
        <w:rPr>
          <w:rFonts w:eastAsia="Calibri"/>
          <w:szCs w:val="28"/>
        </w:rPr>
      </w:pPr>
      <w:r w:rsidRPr="00231499">
        <w:rPr>
          <w:rFonts w:eastAsia="Calibri"/>
          <w:szCs w:val="28"/>
        </w:rPr>
        <w:t>Слабкий Г. О., Дудник С. В. Тенденції стану здоров’я дитячого населення та доступності медичної допомоги (за даними вибіркового опитування домогосподарств із дітьми). Вісник соціальної гігієни та організації охорони здоров’я Укра</w:t>
      </w:r>
      <w:r>
        <w:rPr>
          <w:rFonts w:eastAsia="Calibri"/>
          <w:szCs w:val="28"/>
        </w:rPr>
        <w:t>їни. 2018. № 2 (76). С. 8–13. (</w:t>
      </w:r>
      <w:r w:rsidRPr="00231499">
        <w:rPr>
          <w:rFonts w:eastAsia="Calibri"/>
          <w:i/>
          <w:szCs w:val="28"/>
        </w:rPr>
        <w:t>Дисертанту належить збір та обробка матеріалів, аналіз та узагальнення результатів, написання статті</w:t>
      </w:r>
      <w:r w:rsidRPr="00231499">
        <w:rPr>
          <w:rFonts w:eastAsia="Calibri"/>
          <w:szCs w:val="28"/>
        </w:rPr>
        <w:t>).</w:t>
      </w:r>
    </w:p>
    <w:p w:rsidR="00D07B8C" w:rsidRPr="00231499" w:rsidRDefault="00D07B8C" w:rsidP="00D07B8C">
      <w:pPr>
        <w:widowControl w:val="0"/>
        <w:numPr>
          <w:ilvl w:val="0"/>
          <w:numId w:val="54"/>
        </w:numPr>
        <w:ind w:left="0" w:firstLine="284"/>
        <w:contextualSpacing/>
        <w:rPr>
          <w:rFonts w:eastAsia="Calibri"/>
          <w:szCs w:val="28"/>
        </w:rPr>
      </w:pPr>
      <w:r w:rsidRPr="00231499">
        <w:rPr>
          <w:rFonts w:eastAsia="Calibri"/>
          <w:szCs w:val="28"/>
        </w:rPr>
        <w:t xml:space="preserve"> Слабкий Г. О., Дудник С. В. Правове забезпечення медичної допомоги дитячому населенню в Україні. Intermedical Jornal (Slovenská republi</w:t>
      </w:r>
      <w:r>
        <w:rPr>
          <w:rFonts w:eastAsia="Calibri"/>
          <w:szCs w:val="28"/>
        </w:rPr>
        <w:t>ka) 2018. № І (11). С. 19–23. (</w:t>
      </w:r>
      <w:r w:rsidRPr="00231499">
        <w:rPr>
          <w:rFonts w:eastAsia="Calibri"/>
          <w:i/>
          <w:szCs w:val="28"/>
        </w:rPr>
        <w:t>Дисертанту належить збір, аналіз та узагальнення результатів, написання статті)</w:t>
      </w:r>
      <w:r w:rsidRPr="00231499">
        <w:rPr>
          <w:rFonts w:eastAsia="Calibri"/>
          <w:szCs w:val="28"/>
        </w:rPr>
        <w:t>.</w:t>
      </w:r>
    </w:p>
    <w:p w:rsidR="00D07B8C" w:rsidRPr="00231499" w:rsidRDefault="00D07B8C" w:rsidP="00D07B8C">
      <w:pPr>
        <w:widowControl w:val="0"/>
        <w:numPr>
          <w:ilvl w:val="0"/>
          <w:numId w:val="54"/>
        </w:numPr>
        <w:ind w:left="0" w:firstLine="284"/>
        <w:contextualSpacing/>
        <w:rPr>
          <w:rFonts w:eastAsia="Calibri"/>
          <w:szCs w:val="28"/>
        </w:rPr>
      </w:pPr>
      <w:r w:rsidRPr="00231499">
        <w:rPr>
          <w:rFonts w:eastAsia="Calibri"/>
          <w:szCs w:val="28"/>
        </w:rPr>
        <w:t xml:space="preserve"> Slabkiy G. О., Dudnyk S. V., Kachala L. O. Retrospective analysis of infant mortality and under-five years` mortality of children in Ukraine. The Unity of Science: International </w:t>
      </w:r>
      <w:r w:rsidRPr="00231499">
        <w:rPr>
          <w:rFonts w:eastAsia="Calibri"/>
          <w:szCs w:val="28"/>
        </w:rPr>
        <w:lastRenderedPageBreak/>
        <w:t xml:space="preserve">Scientific Professional Periodical Journal. Vienna, Austria. December 2017 / </w:t>
      </w:r>
      <w:r>
        <w:rPr>
          <w:rFonts w:eastAsia="Calibri"/>
          <w:szCs w:val="28"/>
        </w:rPr>
        <w:t>January 2018. Р. 103–107. (</w:t>
      </w:r>
      <w:r w:rsidRPr="00231499">
        <w:rPr>
          <w:i/>
          <w:szCs w:val="28"/>
          <w:lang w:eastAsia="ru-RU"/>
        </w:rPr>
        <w:t>Дисертанту належить ідея написання статті, обробка матеріалу, формування висновків)</w:t>
      </w:r>
      <w:r w:rsidRPr="00231499">
        <w:rPr>
          <w:szCs w:val="28"/>
          <w:lang w:eastAsia="ru-RU"/>
        </w:rPr>
        <w:t xml:space="preserve">. </w:t>
      </w:r>
    </w:p>
    <w:p w:rsidR="00D07B8C" w:rsidRPr="00231499" w:rsidRDefault="00D07B8C" w:rsidP="00D07B8C">
      <w:pPr>
        <w:widowControl w:val="0"/>
        <w:numPr>
          <w:ilvl w:val="0"/>
          <w:numId w:val="54"/>
        </w:numPr>
        <w:ind w:left="0" w:firstLine="284"/>
        <w:contextualSpacing/>
        <w:rPr>
          <w:rFonts w:eastAsia="Calibri"/>
          <w:szCs w:val="28"/>
        </w:rPr>
      </w:pPr>
      <w:r w:rsidRPr="00231499">
        <w:rPr>
          <w:szCs w:val="28"/>
          <w:lang w:val="ru-RU" w:eastAsia="ru-RU"/>
        </w:rPr>
        <w:t>Слабкий Г. О., Дудник С. В. До питання сучасного стану деяких соціально-економічних детермінант дитячої смертності в Україні. Перинатология и педиатрия. Украина. 2018. № 4 (76). С. 78–86. (</w:t>
      </w:r>
      <w:r w:rsidRPr="00231499">
        <w:rPr>
          <w:i/>
          <w:szCs w:val="28"/>
          <w:lang w:val="ru-RU" w:eastAsia="ru-RU"/>
        </w:rPr>
        <w:t>Дисертанту належить аналіз матеріалів дослідження, формування висновків, підготовка матеріалів до публікації</w:t>
      </w:r>
      <w:r w:rsidRPr="00231499">
        <w:rPr>
          <w:szCs w:val="28"/>
          <w:lang w:val="ru-RU" w:eastAsia="ru-RU"/>
        </w:rPr>
        <w:t xml:space="preserve">). </w:t>
      </w:r>
      <w:r w:rsidRPr="00231499">
        <w:rPr>
          <w:szCs w:val="28"/>
          <w:lang w:eastAsia="ru-RU"/>
        </w:rPr>
        <w:t xml:space="preserve"> </w:t>
      </w:r>
    </w:p>
    <w:p w:rsidR="00D07B8C" w:rsidRPr="00231499" w:rsidRDefault="00D07B8C" w:rsidP="00D07B8C">
      <w:pPr>
        <w:widowControl w:val="0"/>
        <w:numPr>
          <w:ilvl w:val="0"/>
          <w:numId w:val="54"/>
        </w:numPr>
        <w:ind w:left="0" w:firstLine="284"/>
        <w:contextualSpacing/>
        <w:rPr>
          <w:rFonts w:eastAsia="Calibri"/>
          <w:szCs w:val="28"/>
        </w:rPr>
      </w:pPr>
      <w:r w:rsidRPr="00231499">
        <w:rPr>
          <w:rFonts w:eastAsia="Calibri"/>
          <w:szCs w:val="28"/>
        </w:rPr>
        <w:t>Слабкий Г. О., Дудіна О. О., Дудник С. В. Методологія комплексної оцінки стану перинатальної допомоги. Перинатология и педиатрия. Украина. 201</w:t>
      </w:r>
      <w:r>
        <w:rPr>
          <w:rFonts w:eastAsia="Calibri"/>
          <w:szCs w:val="28"/>
        </w:rPr>
        <w:t>9. № 1 (77). С. 36–41. (</w:t>
      </w:r>
      <w:r w:rsidRPr="00231499">
        <w:rPr>
          <w:rFonts w:eastAsia="Calibri"/>
          <w:i/>
          <w:szCs w:val="28"/>
        </w:rPr>
        <w:t>Дисертанту належить аналіз матеріалів дослідження, формування висновків, підготовка матеріалів до публікації</w:t>
      </w:r>
      <w:r w:rsidRPr="00231499">
        <w:rPr>
          <w:rFonts w:eastAsia="Calibri"/>
          <w:szCs w:val="28"/>
        </w:rPr>
        <w:t>).</w:t>
      </w:r>
    </w:p>
    <w:p w:rsidR="00D07B8C" w:rsidRPr="00231499" w:rsidRDefault="00D07B8C" w:rsidP="00D07B8C">
      <w:pPr>
        <w:widowControl w:val="0"/>
        <w:numPr>
          <w:ilvl w:val="0"/>
          <w:numId w:val="54"/>
        </w:numPr>
        <w:ind w:left="0" w:firstLine="284"/>
        <w:contextualSpacing/>
        <w:rPr>
          <w:rFonts w:eastAsia="Calibri"/>
          <w:szCs w:val="28"/>
        </w:rPr>
      </w:pPr>
      <w:r w:rsidRPr="00231499">
        <w:rPr>
          <w:rFonts w:eastAsia="Calibri"/>
          <w:szCs w:val="28"/>
        </w:rPr>
        <w:t xml:space="preserve">Слабкий Г. О., Дудіна О. О., Дудник С. В. Комплексна оцінка діяльності закладів перинатальної допомоги України. Україна. Здоров’я нації. 2019. № 1 (54). С. 79–87. </w:t>
      </w:r>
      <w:r>
        <w:rPr>
          <w:szCs w:val="28"/>
          <w:lang w:eastAsia="ru-RU"/>
        </w:rPr>
        <w:t>(</w:t>
      </w:r>
      <w:r w:rsidRPr="00231499">
        <w:rPr>
          <w:i/>
          <w:szCs w:val="28"/>
          <w:lang w:eastAsia="ru-RU"/>
        </w:rPr>
        <w:t>Дисертанту належить ідея написання статті,</w:t>
      </w:r>
      <w:r>
        <w:rPr>
          <w:i/>
          <w:szCs w:val="28"/>
          <w:lang w:eastAsia="ru-RU"/>
        </w:rPr>
        <w:t xml:space="preserve"> збір та</w:t>
      </w:r>
      <w:r w:rsidRPr="00231499">
        <w:rPr>
          <w:i/>
          <w:szCs w:val="28"/>
          <w:lang w:eastAsia="ru-RU"/>
        </w:rPr>
        <w:t xml:space="preserve"> обробка матеріалу, формування висновків)</w:t>
      </w:r>
      <w:r w:rsidRPr="00231499">
        <w:rPr>
          <w:szCs w:val="28"/>
          <w:lang w:eastAsia="ru-RU"/>
        </w:rPr>
        <w:t xml:space="preserve">.  </w:t>
      </w:r>
    </w:p>
    <w:p w:rsidR="00D07B8C" w:rsidRPr="00231499" w:rsidRDefault="00D07B8C" w:rsidP="00D07B8C">
      <w:pPr>
        <w:widowControl w:val="0"/>
        <w:numPr>
          <w:ilvl w:val="0"/>
          <w:numId w:val="54"/>
        </w:numPr>
        <w:ind w:left="0" w:firstLine="284"/>
        <w:contextualSpacing/>
        <w:rPr>
          <w:rFonts w:eastAsia="Calibri"/>
          <w:szCs w:val="28"/>
        </w:rPr>
      </w:pPr>
      <w:r w:rsidRPr="00231499">
        <w:rPr>
          <w:rFonts w:eastAsia="Calibri"/>
          <w:szCs w:val="28"/>
        </w:rPr>
        <w:t xml:space="preserve">Дудник С. В. Характеристика системи попередження дитячої смертності. Україна. Здоров’я нації. 2019. № 2 (55). С. 41–50. </w:t>
      </w:r>
    </w:p>
    <w:p w:rsidR="00D07B8C" w:rsidRPr="00231499" w:rsidRDefault="00D07B8C" w:rsidP="00D07B8C">
      <w:pPr>
        <w:widowControl w:val="0"/>
        <w:numPr>
          <w:ilvl w:val="0"/>
          <w:numId w:val="54"/>
        </w:numPr>
        <w:ind w:left="0" w:firstLine="284"/>
        <w:contextualSpacing/>
        <w:rPr>
          <w:rFonts w:eastAsia="Calibri"/>
          <w:szCs w:val="28"/>
        </w:rPr>
      </w:pPr>
      <w:r w:rsidRPr="00231499">
        <w:rPr>
          <w:rFonts w:eastAsia="Calibri"/>
          <w:szCs w:val="28"/>
        </w:rPr>
        <w:t xml:space="preserve"> Slabkiy G. O., Dudnyk S. V. The results of sociological survey of parents about preserving the health of children and preventing their premature death. The Unity оf Science: International Scientific Professional Periodical Journal. Vienna, Austria. J</w:t>
      </w:r>
      <w:r>
        <w:rPr>
          <w:rFonts w:eastAsia="Calibri"/>
          <w:szCs w:val="28"/>
        </w:rPr>
        <w:t>une 2019. P. 76–79. (</w:t>
      </w:r>
      <w:r w:rsidRPr="00231499">
        <w:rPr>
          <w:rFonts w:eastAsia="Calibri"/>
          <w:i/>
          <w:szCs w:val="28"/>
        </w:rPr>
        <w:t>Дисертантом проведено збір та статистичну обробку матеріалів, аналіз та узагальнення результатів, написання статті)</w:t>
      </w:r>
      <w:r w:rsidRPr="00231499">
        <w:rPr>
          <w:rFonts w:eastAsia="Calibri"/>
          <w:szCs w:val="28"/>
        </w:rPr>
        <w:t>.</w:t>
      </w:r>
    </w:p>
    <w:p w:rsidR="00D07B8C" w:rsidRPr="00231499" w:rsidRDefault="00D07B8C" w:rsidP="00D07B8C">
      <w:pPr>
        <w:widowControl w:val="0"/>
        <w:numPr>
          <w:ilvl w:val="0"/>
          <w:numId w:val="54"/>
        </w:numPr>
        <w:ind w:left="0" w:firstLine="284"/>
        <w:contextualSpacing/>
        <w:rPr>
          <w:rFonts w:eastAsia="Calibri"/>
          <w:szCs w:val="28"/>
        </w:rPr>
      </w:pPr>
      <w:r w:rsidRPr="00231499">
        <w:rPr>
          <w:rFonts w:eastAsia="Calibri"/>
          <w:szCs w:val="28"/>
        </w:rPr>
        <w:t xml:space="preserve"> Slabkiy G. O., Dudnyk S. V., Dudina O. O. Status and tendencies of the children’s health care service of Ukraine: organizational, staffing and resource provision. The Unity оf Science: International Scientific Professional Periodical Journal. Vienna, Austria. December 201</w:t>
      </w:r>
      <w:r>
        <w:rPr>
          <w:rFonts w:eastAsia="Calibri"/>
          <w:szCs w:val="28"/>
        </w:rPr>
        <w:t>8 / January 2019. P. 136–140. (</w:t>
      </w:r>
      <w:r w:rsidRPr="00231499">
        <w:rPr>
          <w:rFonts w:eastAsia="Calibri"/>
          <w:i/>
          <w:szCs w:val="28"/>
        </w:rPr>
        <w:t>Дисертанту належить збір та обробка матеріалів, аналіз та узагальнення результатів, написання статті</w:t>
      </w:r>
      <w:r w:rsidRPr="00231499">
        <w:rPr>
          <w:rFonts w:eastAsia="Calibri"/>
          <w:szCs w:val="28"/>
        </w:rPr>
        <w:t>).</w:t>
      </w:r>
    </w:p>
    <w:p w:rsidR="00D07B8C" w:rsidRPr="00231499" w:rsidRDefault="00D07B8C" w:rsidP="00D07B8C">
      <w:pPr>
        <w:widowControl w:val="0"/>
        <w:numPr>
          <w:ilvl w:val="0"/>
          <w:numId w:val="54"/>
        </w:numPr>
        <w:ind w:left="0" w:firstLine="284"/>
        <w:contextualSpacing/>
        <w:rPr>
          <w:rFonts w:eastAsia="Calibri"/>
          <w:szCs w:val="28"/>
        </w:rPr>
      </w:pPr>
      <w:r w:rsidRPr="00231499">
        <w:rPr>
          <w:rFonts w:eastAsia="Calibri"/>
          <w:szCs w:val="28"/>
        </w:rPr>
        <w:t xml:space="preserve"> Ковальова О. М., Дудник С. В., Похилько В. І., Муратова О. В., Кузєнкова Г. А. </w:t>
      </w:r>
      <w:r w:rsidRPr="00231499">
        <w:rPr>
          <w:rFonts w:eastAsia="Calibri"/>
          <w:szCs w:val="28"/>
        </w:rPr>
        <w:lastRenderedPageBreak/>
        <w:t>Основні тенденції плодово-малюкових втрат у ваговій категорії ≥ 2500 г в Україні. Вісник проблем біології і медицини. 2019. Вип. 2 (1). С. 13</w:t>
      </w:r>
      <w:r>
        <w:rPr>
          <w:rFonts w:eastAsia="Calibri"/>
          <w:szCs w:val="28"/>
        </w:rPr>
        <w:t>5–139. (</w:t>
      </w:r>
      <w:r w:rsidRPr="00231499">
        <w:rPr>
          <w:rFonts w:eastAsia="Calibri"/>
          <w:i/>
          <w:szCs w:val="28"/>
        </w:rPr>
        <w:t>Дисертантом проведено збір та статистичну обробку матеріалів, аналіз та узагальнення результатів, написання статті)</w:t>
      </w:r>
      <w:r w:rsidRPr="00231499">
        <w:rPr>
          <w:rFonts w:eastAsia="Calibri"/>
          <w:szCs w:val="28"/>
        </w:rPr>
        <w:t>.</w:t>
      </w:r>
    </w:p>
    <w:p w:rsidR="00D07B8C" w:rsidRPr="00231499" w:rsidRDefault="00D07B8C" w:rsidP="00D07B8C">
      <w:pPr>
        <w:widowControl w:val="0"/>
        <w:numPr>
          <w:ilvl w:val="0"/>
          <w:numId w:val="54"/>
        </w:numPr>
        <w:ind w:left="0" w:firstLine="284"/>
        <w:contextualSpacing/>
        <w:rPr>
          <w:rFonts w:eastAsia="Calibri"/>
          <w:szCs w:val="28"/>
        </w:rPr>
      </w:pPr>
      <w:r w:rsidRPr="00231499">
        <w:rPr>
          <w:rFonts w:eastAsia="Calibri"/>
          <w:szCs w:val="28"/>
        </w:rPr>
        <w:t>Слабкий Г.О., Дудник С.В. Готовність лікарів загальної практики — сімейних лікарів до попередження передчасної смерті дітей: за даними соціологічного дослідження. Сучасна педіатрія. Україн</w:t>
      </w:r>
      <w:r>
        <w:rPr>
          <w:rFonts w:eastAsia="Calibri"/>
          <w:szCs w:val="28"/>
        </w:rPr>
        <w:t>а. 2019. № 5 (101). С. 57–63. (</w:t>
      </w:r>
      <w:r w:rsidRPr="00231499">
        <w:rPr>
          <w:rFonts w:eastAsia="Calibri"/>
          <w:i/>
          <w:szCs w:val="28"/>
        </w:rPr>
        <w:t>Дисертанту належить</w:t>
      </w:r>
      <w:r>
        <w:rPr>
          <w:rFonts w:eastAsia="Calibri"/>
          <w:i/>
          <w:szCs w:val="28"/>
        </w:rPr>
        <w:t xml:space="preserve"> проведення соціологічного дослідження,</w:t>
      </w:r>
      <w:r w:rsidRPr="00231499">
        <w:rPr>
          <w:rFonts w:eastAsia="Calibri"/>
          <w:i/>
          <w:szCs w:val="28"/>
        </w:rPr>
        <w:t xml:space="preserve"> обробка матеріалу, формування висновків, підготовка матеріалів до публікації</w:t>
      </w:r>
      <w:r w:rsidRPr="00231499">
        <w:rPr>
          <w:rFonts w:eastAsia="Calibri"/>
          <w:szCs w:val="28"/>
        </w:rPr>
        <w:t xml:space="preserve">). </w:t>
      </w:r>
    </w:p>
    <w:p w:rsidR="00D07B8C" w:rsidRPr="00907922" w:rsidRDefault="00D07B8C" w:rsidP="00D07B8C">
      <w:pPr>
        <w:widowControl w:val="0"/>
        <w:numPr>
          <w:ilvl w:val="0"/>
          <w:numId w:val="54"/>
        </w:numPr>
        <w:ind w:left="0" w:firstLine="284"/>
        <w:contextualSpacing/>
        <w:rPr>
          <w:rFonts w:eastAsia="Calibri"/>
          <w:b/>
          <w:color w:val="FF0000"/>
          <w:szCs w:val="28"/>
        </w:rPr>
      </w:pPr>
      <w:r w:rsidRPr="00231499">
        <w:rPr>
          <w:rFonts w:eastAsia="Calibri"/>
          <w:szCs w:val="28"/>
        </w:rPr>
        <w:t>Дудіна О. О., Моісеєнко Р. О., Дудник С. В., Габорець Ю. Ю. Ситуаційний аналіз стану здоров’я дітей. Щорічна доповідь про стан здоров’я населення, санітарно-епідемічну ситуацію та результати діяльності системи охорони здоров’я України. 2017 рік. Монографія. / МОЗ України, ДУ ”УІСД МОЗ України“. Киї</w:t>
      </w:r>
      <w:r>
        <w:rPr>
          <w:rFonts w:eastAsia="Calibri"/>
          <w:szCs w:val="28"/>
        </w:rPr>
        <w:t>в: Медінформ, 2018. С. 39–64. (</w:t>
      </w:r>
      <w:r w:rsidRPr="00231499">
        <w:rPr>
          <w:rFonts w:eastAsia="Calibri"/>
          <w:i/>
          <w:szCs w:val="28"/>
        </w:rPr>
        <w:t>Дисертанту належить збір та статистична обробка матеріалів, аналіз та узагальнення результатів, написання розділу монографії</w:t>
      </w:r>
      <w:r w:rsidRPr="00231499">
        <w:rPr>
          <w:rFonts w:eastAsia="Calibri"/>
          <w:szCs w:val="28"/>
        </w:rPr>
        <w:t xml:space="preserve">). </w:t>
      </w:r>
      <w:r>
        <w:rPr>
          <w:rFonts w:eastAsia="Calibri"/>
          <w:szCs w:val="28"/>
        </w:rPr>
        <w:t xml:space="preserve"> </w:t>
      </w:r>
    </w:p>
    <w:p w:rsidR="00CF32BB" w:rsidRPr="00CF32BB" w:rsidRDefault="00D07B8C" w:rsidP="00CF32BB">
      <w:pPr>
        <w:widowControl w:val="0"/>
        <w:numPr>
          <w:ilvl w:val="0"/>
          <w:numId w:val="54"/>
        </w:numPr>
        <w:ind w:left="0" w:firstLine="284"/>
        <w:contextualSpacing/>
        <w:rPr>
          <w:rFonts w:eastAsia="Calibri"/>
          <w:szCs w:val="28"/>
        </w:rPr>
      </w:pPr>
      <w:r w:rsidRPr="00231499">
        <w:rPr>
          <w:rFonts w:eastAsia="Calibri"/>
          <w:szCs w:val="28"/>
        </w:rPr>
        <w:t>Slabkiy G., Dudnyk S. Retrospective analysis of child hospital mortality Scientific basis of modern medicine: collective monograph. Boston: Pri</w:t>
      </w:r>
      <w:r>
        <w:rPr>
          <w:rFonts w:eastAsia="Calibri"/>
          <w:szCs w:val="28"/>
        </w:rPr>
        <w:t>media eLaunch, 2020. P. 87–92. (</w:t>
      </w:r>
      <w:r w:rsidRPr="003405EE">
        <w:rPr>
          <w:rFonts w:eastAsia="Calibri"/>
          <w:i/>
          <w:szCs w:val="28"/>
        </w:rPr>
        <w:t>Дисертанту належить аналіз матеріалів дослідження, формування висновків, підготовка матеріалів до публікації</w:t>
      </w:r>
      <w:r>
        <w:rPr>
          <w:rFonts w:eastAsia="Calibri"/>
          <w:szCs w:val="28"/>
        </w:rPr>
        <w:t>)</w:t>
      </w:r>
      <w:r w:rsidRPr="00231499">
        <w:rPr>
          <w:rFonts w:eastAsia="Calibri"/>
          <w:szCs w:val="28"/>
        </w:rPr>
        <w:t xml:space="preserve">. </w:t>
      </w:r>
    </w:p>
    <w:p w:rsidR="00CF32BB" w:rsidRPr="00CF32BB" w:rsidRDefault="00CF32BB" w:rsidP="00CF32BB">
      <w:pPr>
        <w:widowControl w:val="0"/>
        <w:spacing w:before="240"/>
        <w:ind w:left="284"/>
        <w:contextualSpacing/>
        <w:jc w:val="center"/>
        <w:rPr>
          <w:rFonts w:eastAsia="Calibri"/>
          <w:i/>
          <w:szCs w:val="28"/>
        </w:rPr>
      </w:pPr>
      <w:r w:rsidRPr="00CF32BB">
        <w:rPr>
          <w:rFonts w:eastAsia="Calibri"/>
          <w:i/>
          <w:szCs w:val="28"/>
        </w:rPr>
        <w:t>Опубліковані праці апробаційного характеру</w:t>
      </w:r>
    </w:p>
    <w:p w:rsidR="00D07B8C" w:rsidRPr="001776EC" w:rsidRDefault="00D07B8C" w:rsidP="00D07B8C">
      <w:pPr>
        <w:widowControl w:val="0"/>
        <w:numPr>
          <w:ilvl w:val="0"/>
          <w:numId w:val="54"/>
        </w:numPr>
        <w:ind w:left="0" w:firstLine="284"/>
        <w:contextualSpacing/>
        <w:rPr>
          <w:rFonts w:eastAsia="Calibri"/>
          <w:szCs w:val="28"/>
        </w:rPr>
      </w:pPr>
      <w:r w:rsidRPr="001776EC">
        <w:rPr>
          <w:rFonts w:eastAsia="Calibri"/>
          <w:szCs w:val="28"/>
        </w:rPr>
        <w:t>Габорець Ю. Ю., Дудник С. В., Дудіна О. О., Волошина У. В. Характеристика рівня народжуваності в Україні</w:t>
      </w:r>
      <w:r w:rsidRPr="001776EC">
        <w:rPr>
          <w:rFonts w:eastAsia="Calibri"/>
          <w:i/>
          <w:szCs w:val="28"/>
        </w:rPr>
        <w:t>. Організація та управління охороною здоров'я 2016</w:t>
      </w:r>
      <w:r w:rsidRPr="001776EC">
        <w:rPr>
          <w:rFonts w:eastAsia="Calibri"/>
          <w:szCs w:val="28"/>
        </w:rPr>
        <w:t>: тези доп. наук.-практ. конф. з міжнар. участю (Київ, 18–20 жовт. 2016 р.). Київ, 2016: КиївЕкспоПлаза. С</w:t>
      </w:r>
      <w:r>
        <w:rPr>
          <w:rFonts w:eastAsia="Calibri"/>
          <w:szCs w:val="28"/>
        </w:rPr>
        <w:t>. 27–28. (</w:t>
      </w:r>
      <w:r w:rsidRPr="001776EC">
        <w:rPr>
          <w:rFonts w:eastAsia="Calibri"/>
          <w:i/>
          <w:szCs w:val="28"/>
        </w:rPr>
        <w:t>Дисертанту належить обробка матеріалу, формування висновків, підготовка матеріалів до публікації</w:t>
      </w:r>
      <w:r w:rsidRPr="001776EC">
        <w:rPr>
          <w:rFonts w:eastAsia="Calibri"/>
          <w:szCs w:val="28"/>
        </w:rPr>
        <w:t xml:space="preserve">). </w:t>
      </w:r>
    </w:p>
    <w:p w:rsidR="00D07B8C" w:rsidRPr="00231499" w:rsidRDefault="00D07B8C" w:rsidP="00D07B8C">
      <w:pPr>
        <w:widowControl w:val="0"/>
        <w:numPr>
          <w:ilvl w:val="0"/>
          <w:numId w:val="54"/>
        </w:numPr>
        <w:ind w:left="0" w:firstLine="284"/>
        <w:contextualSpacing/>
        <w:rPr>
          <w:rFonts w:eastAsia="Calibri"/>
          <w:szCs w:val="28"/>
        </w:rPr>
      </w:pPr>
      <w:r w:rsidRPr="00231499">
        <w:rPr>
          <w:rFonts w:eastAsia="Calibri"/>
          <w:szCs w:val="28"/>
        </w:rPr>
        <w:t xml:space="preserve"> Слабкий Г. О., Дудник С. В. Щодо малюкової смертності внаслідок ВІЛ-інфекції. Профілактична медицина. 2016. № 3/4 (27). Додаток. С. 135–136. (За кожне життя разом: прискорення до мети 90-90-90: матеріали Третьої національної наук.-</w:t>
      </w:r>
      <w:r w:rsidRPr="00231499">
        <w:rPr>
          <w:rFonts w:eastAsia="Calibri"/>
          <w:szCs w:val="28"/>
        </w:rPr>
        <w:lastRenderedPageBreak/>
        <w:t>практ. Конф</w:t>
      </w:r>
      <w:r>
        <w:rPr>
          <w:rFonts w:eastAsia="Calibri"/>
          <w:szCs w:val="28"/>
        </w:rPr>
        <w:t>. (Київ, 21-23 лист. 2016 р.).(</w:t>
      </w:r>
      <w:r w:rsidRPr="00231499">
        <w:rPr>
          <w:rFonts w:eastAsia="Calibri"/>
          <w:i/>
          <w:szCs w:val="28"/>
        </w:rPr>
        <w:t>Дисертанту належить обробка матеріалу, формування висновків, підготовка матеріалів до публікації</w:t>
      </w:r>
      <w:r w:rsidRPr="00231499">
        <w:rPr>
          <w:rFonts w:eastAsia="Calibri"/>
          <w:szCs w:val="28"/>
        </w:rPr>
        <w:t>).</w:t>
      </w:r>
    </w:p>
    <w:p w:rsidR="00D07B8C" w:rsidRPr="00231499" w:rsidRDefault="00D07B8C" w:rsidP="00D07B8C">
      <w:pPr>
        <w:widowControl w:val="0"/>
        <w:numPr>
          <w:ilvl w:val="0"/>
          <w:numId w:val="54"/>
        </w:numPr>
        <w:ind w:left="0" w:firstLine="284"/>
        <w:contextualSpacing/>
        <w:rPr>
          <w:rFonts w:eastAsia="Calibri"/>
          <w:szCs w:val="28"/>
        </w:rPr>
      </w:pPr>
      <w:r w:rsidRPr="00231499">
        <w:rPr>
          <w:szCs w:val="28"/>
          <w:lang w:val="ru-RU" w:eastAsia="ru-RU"/>
        </w:rPr>
        <w:t>Слабкий Г. О., Габорець Ю. Ю., Дудіна О. О., Дудник С. В., Рогач І. М., Качала Л. О. До питання ефективності медичної допомоги новонародженим недоношеним дітям в Україні. Матеріали 71-ї наук. конф. професорського-викладац.cкладу УЖНУ (Ужгород,  27–28 лют. 2017 р.) / Факультет післядипломної освіти та доуніверситетської підготовки. Ужгород: РІК-У, 2017. С. 50–51. (</w:t>
      </w:r>
      <w:r w:rsidRPr="00231499">
        <w:rPr>
          <w:i/>
          <w:szCs w:val="28"/>
          <w:lang w:val="ru-RU" w:eastAsia="ru-RU"/>
        </w:rPr>
        <w:t>Дисертанту належить обробка матеріалу, формування висновків</w:t>
      </w:r>
      <w:r w:rsidRPr="00231499">
        <w:rPr>
          <w:szCs w:val="28"/>
          <w:lang w:val="ru-RU" w:eastAsia="ru-RU"/>
        </w:rPr>
        <w:t>).</w:t>
      </w:r>
    </w:p>
    <w:p w:rsidR="00D07B8C" w:rsidRPr="00231499" w:rsidRDefault="00D07B8C" w:rsidP="00D07B8C">
      <w:pPr>
        <w:widowControl w:val="0"/>
        <w:numPr>
          <w:ilvl w:val="0"/>
          <w:numId w:val="54"/>
        </w:numPr>
        <w:ind w:left="0" w:firstLine="284"/>
        <w:contextualSpacing/>
        <w:rPr>
          <w:rFonts w:eastAsia="Calibri"/>
          <w:szCs w:val="28"/>
        </w:rPr>
      </w:pPr>
      <w:r w:rsidRPr="00231499">
        <w:rPr>
          <w:rFonts w:eastAsia="Calibri"/>
          <w:szCs w:val="28"/>
        </w:rPr>
        <w:t xml:space="preserve">Дудник С. В. Малюкова смертність у статевому аспекті. Впровадження сучасних досягнень медичної науки у практику охорони здоров’я України: матеріали VI Медичному конгресу (Київ, 25-27 квіт. 2017 р.). Київ: КиївЄкспоПлаза, 2017. С. 147. </w:t>
      </w:r>
    </w:p>
    <w:p w:rsidR="00D07B8C" w:rsidRPr="00231499" w:rsidRDefault="00D07B8C" w:rsidP="00D07B8C">
      <w:pPr>
        <w:widowControl w:val="0"/>
        <w:numPr>
          <w:ilvl w:val="0"/>
          <w:numId w:val="54"/>
        </w:numPr>
        <w:shd w:val="clear" w:color="auto" w:fill="FFFFFF"/>
        <w:ind w:left="0" w:firstLine="284"/>
        <w:contextualSpacing/>
        <w:rPr>
          <w:szCs w:val="28"/>
          <w:lang w:eastAsia="ru-RU"/>
        </w:rPr>
      </w:pPr>
      <w:r w:rsidRPr="00231499">
        <w:rPr>
          <w:rFonts w:eastAsia="Calibri"/>
          <w:szCs w:val="28"/>
        </w:rPr>
        <w:t xml:space="preserve"> Габорець Ю. Ю., Дудіна О. О., Дудник С. В. Динаміка показника живонароджених дітей на 1 тис. осіб наявного населення. Україна. Здоров’я нації. 2017. № 3 (44). С. 311. (Актуальні питання розвитку системи громадського здоров’я в Україні:</w:t>
      </w:r>
      <w:r w:rsidRPr="00231499">
        <w:rPr>
          <w:rFonts w:eastAsia="Calibri"/>
          <w:i/>
          <w:szCs w:val="28"/>
        </w:rPr>
        <w:t xml:space="preserve"> </w:t>
      </w:r>
      <w:r w:rsidRPr="00231499">
        <w:rPr>
          <w:rFonts w:eastAsia="Calibri"/>
          <w:szCs w:val="28"/>
        </w:rPr>
        <w:t>матеріали наук.-практ. конф. з міжнар. участю (Ужгород, 24-25 трав</w:t>
      </w:r>
      <w:r w:rsidRPr="00231499">
        <w:rPr>
          <w:rFonts w:eastAsia="Calibri"/>
          <w:szCs w:val="28"/>
          <w:lang w:val="ru-RU"/>
        </w:rPr>
        <w:t>ня</w:t>
      </w:r>
      <w:r>
        <w:rPr>
          <w:rFonts w:eastAsia="Calibri"/>
          <w:szCs w:val="28"/>
        </w:rPr>
        <w:t xml:space="preserve"> 2017 р.). (</w:t>
      </w:r>
      <w:r w:rsidRPr="00231499">
        <w:rPr>
          <w:rFonts w:eastAsia="Calibri"/>
          <w:i/>
          <w:szCs w:val="28"/>
        </w:rPr>
        <w:t>Дисертанту належить обробка матеріалу, формування висновків, підготовка матеріалів до публікації</w:t>
      </w:r>
      <w:r w:rsidRPr="00231499">
        <w:rPr>
          <w:rFonts w:eastAsia="Calibri"/>
          <w:szCs w:val="28"/>
        </w:rPr>
        <w:t xml:space="preserve">). </w:t>
      </w:r>
    </w:p>
    <w:p w:rsidR="00D07B8C" w:rsidRPr="00231499" w:rsidRDefault="00D07B8C" w:rsidP="00D07B8C">
      <w:pPr>
        <w:widowControl w:val="0"/>
        <w:numPr>
          <w:ilvl w:val="0"/>
          <w:numId w:val="54"/>
        </w:numPr>
        <w:shd w:val="clear" w:color="auto" w:fill="FFFFFF"/>
        <w:ind w:left="0" w:firstLine="284"/>
        <w:contextualSpacing/>
        <w:rPr>
          <w:szCs w:val="28"/>
          <w:lang w:eastAsia="ru-RU"/>
        </w:rPr>
      </w:pPr>
      <w:r w:rsidRPr="00231499">
        <w:rPr>
          <w:szCs w:val="28"/>
          <w:lang w:eastAsia="ru-RU"/>
        </w:rPr>
        <w:t xml:space="preserve">Слабкий Г. О., Дудник С. В. Щодо характеристики показників малюкової смертності внаслідок хвороб органів дихання. Загальне охоплення послугами охорони здоров’я – для всіх і всюди: матеріали наук.-практ. конф. з міжнар. участю до Всесвітнього дня Здоров’я 2018 р. (Київ, 05-06 квітня 2018 </w:t>
      </w:r>
      <w:r>
        <w:rPr>
          <w:szCs w:val="28"/>
          <w:lang w:eastAsia="ru-RU"/>
        </w:rPr>
        <w:t>р.). Київ., 2018. С. 150–152. (</w:t>
      </w:r>
      <w:r w:rsidRPr="00231499">
        <w:rPr>
          <w:i/>
          <w:szCs w:val="28"/>
          <w:lang w:eastAsia="ru-RU"/>
        </w:rPr>
        <w:t>Дисертанту належить обробка та узагальнення матеріалу, формування висновків</w:t>
      </w:r>
      <w:r w:rsidRPr="00231499">
        <w:rPr>
          <w:szCs w:val="28"/>
          <w:lang w:eastAsia="ru-RU"/>
        </w:rPr>
        <w:t>).</w:t>
      </w:r>
    </w:p>
    <w:p w:rsidR="00D07B8C" w:rsidRPr="00231499" w:rsidRDefault="00D07B8C" w:rsidP="00D07B8C">
      <w:pPr>
        <w:widowControl w:val="0"/>
        <w:numPr>
          <w:ilvl w:val="0"/>
          <w:numId w:val="54"/>
        </w:numPr>
        <w:ind w:left="0" w:firstLine="284"/>
        <w:contextualSpacing/>
        <w:rPr>
          <w:rFonts w:eastAsia="Calibri"/>
          <w:szCs w:val="28"/>
        </w:rPr>
      </w:pPr>
      <w:r w:rsidRPr="00231499">
        <w:rPr>
          <w:rFonts w:eastAsia="Calibri"/>
          <w:szCs w:val="28"/>
        </w:rPr>
        <w:t xml:space="preserve">Слабкий Г. О., Дудник С. В. Смертність дітей сільської місцевості поза стаціонаром в контексті первинної медико-санітарної допомоги. Україна. Здоров’я нації. 2018. № 2 (49). С. 95. (Актуальні питання надання медичної допомоги на засадах ПМСД: матеріали міжнар. </w:t>
      </w:r>
      <w:r w:rsidRPr="00231499">
        <w:rPr>
          <w:rFonts w:eastAsia="Calibri"/>
          <w:szCs w:val="28"/>
          <w:lang w:val="ru-RU"/>
        </w:rPr>
        <w:t>н</w:t>
      </w:r>
      <w:r w:rsidRPr="00231499">
        <w:rPr>
          <w:rFonts w:eastAsia="Calibri"/>
          <w:szCs w:val="28"/>
        </w:rPr>
        <w:t>ауково</w:t>
      </w:r>
      <w:r w:rsidRPr="00231499">
        <w:rPr>
          <w:rFonts w:eastAsia="Calibri"/>
          <w:szCs w:val="28"/>
          <w:lang w:val="ru-RU"/>
        </w:rPr>
        <w:t>-</w:t>
      </w:r>
      <w:r w:rsidRPr="00231499">
        <w:rPr>
          <w:rFonts w:eastAsia="Calibri"/>
          <w:szCs w:val="28"/>
        </w:rPr>
        <w:t xml:space="preserve">практ. конф. (18-19 квіт. 2018 р., м. Ужгород). </w:t>
      </w:r>
      <w:r>
        <w:rPr>
          <w:szCs w:val="28"/>
          <w:lang w:eastAsia="ru-RU"/>
        </w:rPr>
        <w:t>(</w:t>
      </w:r>
      <w:r w:rsidRPr="00231499">
        <w:rPr>
          <w:i/>
          <w:szCs w:val="28"/>
          <w:lang w:eastAsia="ru-RU"/>
        </w:rPr>
        <w:t>Дисертанту належить збір та обробка матеріалу, підготовка матеріалу до публікації</w:t>
      </w:r>
      <w:r w:rsidRPr="00231499">
        <w:rPr>
          <w:szCs w:val="28"/>
          <w:lang w:eastAsia="ru-RU"/>
        </w:rPr>
        <w:t>).</w:t>
      </w:r>
    </w:p>
    <w:p w:rsidR="00D07B8C" w:rsidRPr="00231499" w:rsidRDefault="00D07B8C" w:rsidP="00D07B8C">
      <w:pPr>
        <w:widowControl w:val="0"/>
        <w:numPr>
          <w:ilvl w:val="0"/>
          <w:numId w:val="54"/>
        </w:numPr>
        <w:ind w:left="0" w:firstLine="284"/>
        <w:contextualSpacing/>
        <w:rPr>
          <w:rFonts w:eastAsia="Calibri"/>
          <w:szCs w:val="28"/>
        </w:rPr>
      </w:pPr>
      <w:r w:rsidRPr="00231499">
        <w:rPr>
          <w:rFonts w:eastAsia="Calibri"/>
          <w:szCs w:val="28"/>
        </w:rPr>
        <w:lastRenderedPageBreak/>
        <w:t>Дудник С. В. Щодо малюкової смертності від вроджених вад розвитку, деформацій та хромосомних аномалій в Україні. Впровадження сучасних досягнень медичної науки у практику охорони здоров’я України: матеріали VII Міжнар. медичного конгресу</w:t>
      </w:r>
      <w:r w:rsidRPr="00231499">
        <w:rPr>
          <w:rFonts w:eastAsia="Calibri"/>
          <w:i/>
          <w:szCs w:val="28"/>
        </w:rPr>
        <w:t xml:space="preserve"> </w:t>
      </w:r>
      <w:r w:rsidRPr="00231499">
        <w:rPr>
          <w:rFonts w:eastAsia="Calibri"/>
          <w:szCs w:val="28"/>
        </w:rPr>
        <w:t>(Київ, 25-27 квітня. 2018 р.). Київ: КиївЕкспоПлаза. С. 7.</w:t>
      </w:r>
      <w:r w:rsidRPr="00231499">
        <w:rPr>
          <w:szCs w:val="28"/>
          <w:lang w:eastAsia="ru-RU"/>
        </w:rPr>
        <w:t xml:space="preserve"> </w:t>
      </w:r>
      <w:r>
        <w:rPr>
          <w:rFonts w:eastAsia="Calibri"/>
          <w:i/>
          <w:szCs w:val="28"/>
        </w:rPr>
        <w:t>(</w:t>
      </w:r>
      <w:r w:rsidRPr="00231499">
        <w:rPr>
          <w:rFonts w:eastAsia="Calibri"/>
          <w:i/>
          <w:szCs w:val="28"/>
        </w:rPr>
        <w:t>Дисертанту належить ідея написання тез, аналіз матеріалів дослідження, формування висновків</w:t>
      </w:r>
      <w:r w:rsidRPr="00231499">
        <w:rPr>
          <w:rFonts w:eastAsia="Calibri"/>
          <w:szCs w:val="28"/>
        </w:rPr>
        <w:t>).</w:t>
      </w:r>
    </w:p>
    <w:p w:rsidR="00D07B8C" w:rsidRPr="00231499" w:rsidRDefault="00D07B8C" w:rsidP="00D07B8C">
      <w:pPr>
        <w:widowControl w:val="0"/>
        <w:numPr>
          <w:ilvl w:val="0"/>
          <w:numId w:val="54"/>
        </w:numPr>
        <w:ind w:left="0" w:firstLine="284"/>
        <w:contextualSpacing/>
        <w:rPr>
          <w:rFonts w:eastAsia="Calibri"/>
          <w:bCs/>
          <w:szCs w:val="28"/>
        </w:rPr>
      </w:pPr>
      <w:r w:rsidRPr="00231499">
        <w:rPr>
          <w:rFonts w:eastAsia="Calibri"/>
          <w:szCs w:val="28"/>
        </w:rPr>
        <w:t>Габорець Ю. Ю., Дудіна О.</w:t>
      </w:r>
      <w:r w:rsidRPr="00231499">
        <w:rPr>
          <w:rFonts w:eastAsia="Calibri"/>
          <w:szCs w:val="28"/>
          <w:lang w:val="ru-RU"/>
        </w:rPr>
        <w:t> </w:t>
      </w:r>
      <w:r w:rsidRPr="00231499">
        <w:rPr>
          <w:rFonts w:eastAsia="Calibri"/>
          <w:szCs w:val="28"/>
        </w:rPr>
        <w:t>О., Дудник С.</w:t>
      </w:r>
      <w:r w:rsidRPr="00231499">
        <w:rPr>
          <w:rFonts w:eastAsia="Calibri"/>
          <w:szCs w:val="28"/>
          <w:lang w:val="ru-RU"/>
        </w:rPr>
        <w:t> </w:t>
      </w:r>
      <w:r w:rsidRPr="00231499">
        <w:rPr>
          <w:rFonts w:eastAsia="Calibri"/>
          <w:szCs w:val="28"/>
        </w:rPr>
        <w:t>В.</w:t>
      </w:r>
      <w:r w:rsidRPr="00231499">
        <w:rPr>
          <w:rFonts w:eastAsia="Calibri"/>
          <w:i/>
          <w:szCs w:val="28"/>
        </w:rPr>
        <w:t xml:space="preserve"> </w:t>
      </w:r>
      <w:r w:rsidRPr="00231499">
        <w:rPr>
          <w:rFonts w:eastAsia="Calibri"/>
          <w:szCs w:val="28"/>
        </w:rPr>
        <w:t xml:space="preserve">Тенденції захворюваності дитячого населення України. Україна. Здоров’я нації. 2018. № 3 (50). С. 119–120. (Актуальні питання розвитку системи громадського здоров’я в Україні: тези доповідей учасників науково-практична конференції з міжнародною участю (Ужгород, 17–18 трав. 2018 р.). </w:t>
      </w:r>
      <w:r>
        <w:rPr>
          <w:szCs w:val="28"/>
          <w:lang w:eastAsia="ru-RU"/>
        </w:rPr>
        <w:t>(</w:t>
      </w:r>
      <w:r w:rsidRPr="00231499">
        <w:rPr>
          <w:i/>
          <w:szCs w:val="28"/>
          <w:lang w:eastAsia="ru-RU"/>
        </w:rPr>
        <w:t>Дисертанту належить обробка матеріалу, формування висновків)</w:t>
      </w:r>
      <w:r w:rsidRPr="00231499">
        <w:rPr>
          <w:szCs w:val="28"/>
          <w:lang w:eastAsia="ru-RU"/>
        </w:rPr>
        <w:t>.</w:t>
      </w:r>
    </w:p>
    <w:p w:rsidR="00D07B8C" w:rsidRPr="00231499" w:rsidRDefault="00D07B8C" w:rsidP="00D07B8C">
      <w:pPr>
        <w:widowControl w:val="0"/>
        <w:numPr>
          <w:ilvl w:val="0"/>
          <w:numId w:val="54"/>
        </w:numPr>
        <w:ind w:left="0" w:firstLine="284"/>
        <w:contextualSpacing/>
        <w:rPr>
          <w:rFonts w:eastAsia="Calibri"/>
          <w:szCs w:val="28"/>
        </w:rPr>
      </w:pPr>
      <w:r w:rsidRPr="00231499">
        <w:rPr>
          <w:rFonts w:eastAsia="Calibri"/>
          <w:szCs w:val="28"/>
        </w:rPr>
        <w:t>Dudnyk S., Slabkiy G., Dudina O., Gaborets Y., Kachala L. The Characteristic of Infants Disability in Ukraine. The faces of contemporary pediatrics from clinical problems to public health: Abstract book of International paediatric conference</w:t>
      </w:r>
      <w:r w:rsidRPr="00231499">
        <w:rPr>
          <w:rFonts w:eastAsia="Calibri"/>
          <w:i/>
          <w:szCs w:val="28"/>
        </w:rPr>
        <w:t xml:space="preserve"> </w:t>
      </w:r>
      <w:r w:rsidRPr="00231499">
        <w:rPr>
          <w:rFonts w:eastAsia="Calibri"/>
          <w:szCs w:val="28"/>
        </w:rPr>
        <w:t>(Rzeszow, Poland, 24-26 may 2018).</w:t>
      </w:r>
      <w:r w:rsidRPr="00231499">
        <w:rPr>
          <w:rFonts w:eastAsia="Calibri"/>
          <w:i/>
          <w:szCs w:val="28"/>
        </w:rPr>
        <w:t xml:space="preserve"> </w:t>
      </w:r>
      <w:r w:rsidRPr="00231499">
        <w:rPr>
          <w:rFonts w:eastAsia="Calibri"/>
          <w:szCs w:val="28"/>
        </w:rPr>
        <w:t>Rzeszow, Poland, 2018. P. 31.</w:t>
      </w:r>
      <w:r w:rsidRPr="00231499">
        <w:rPr>
          <w:szCs w:val="28"/>
        </w:rPr>
        <w:t xml:space="preserve"> </w:t>
      </w:r>
      <w:r>
        <w:rPr>
          <w:rFonts w:eastAsia="Calibri"/>
          <w:szCs w:val="28"/>
        </w:rPr>
        <w:t>(</w:t>
      </w:r>
      <w:r w:rsidRPr="00231499">
        <w:rPr>
          <w:rFonts w:eastAsia="Calibri"/>
          <w:i/>
          <w:szCs w:val="28"/>
        </w:rPr>
        <w:t>Дисертанту належить обробка матеріалу, формування висновків, підготовка матеріалів до публікації</w:t>
      </w:r>
      <w:r w:rsidRPr="00231499">
        <w:rPr>
          <w:rFonts w:eastAsia="Calibri"/>
          <w:szCs w:val="28"/>
        </w:rPr>
        <w:t xml:space="preserve">). </w:t>
      </w:r>
    </w:p>
    <w:p w:rsidR="00D07B8C" w:rsidRPr="00231499" w:rsidRDefault="00D07B8C" w:rsidP="00D07B8C">
      <w:pPr>
        <w:widowControl w:val="0"/>
        <w:numPr>
          <w:ilvl w:val="0"/>
          <w:numId w:val="54"/>
        </w:numPr>
        <w:ind w:left="0" w:firstLine="284"/>
        <w:contextualSpacing/>
        <w:rPr>
          <w:rFonts w:eastAsia="Calibri"/>
          <w:szCs w:val="28"/>
        </w:rPr>
      </w:pPr>
      <w:r w:rsidRPr="00231499">
        <w:rPr>
          <w:rFonts w:eastAsia="Calibri"/>
          <w:szCs w:val="28"/>
        </w:rPr>
        <w:t xml:space="preserve">Дудник С. В., Слабкий Г. О. Тенденції дитячої інвалідності та організаційно-правові аспекти реабілітації дітей в Україні. </w:t>
      </w:r>
      <w:r w:rsidRPr="00231499">
        <w:rPr>
          <w:rFonts w:eastAsia="Calibri"/>
          <w:i/>
          <w:szCs w:val="28"/>
        </w:rPr>
        <w:t>Україна. Здоров’я нації</w:t>
      </w:r>
      <w:r w:rsidRPr="00231499">
        <w:rPr>
          <w:rFonts w:eastAsia="Calibri"/>
          <w:szCs w:val="28"/>
        </w:rPr>
        <w:t xml:space="preserve">. 2018. № 3/1 (51). С. 22–25. (Актуальні питання у сфері надання комплексних послуг особам з інвалідністю: матеріали учасників науково-практичної конференції з міжнародною участю (Ужгород, 19-21 верес. 2018 р.). </w:t>
      </w:r>
      <w:r>
        <w:rPr>
          <w:i/>
          <w:szCs w:val="28"/>
          <w:lang w:eastAsia="ru-RU"/>
        </w:rPr>
        <w:t>(</w:t>
      </w:r>
      <w:r w:rsidRPr="00231499">
        <w:rPr>
          <w:i/>
          <w:szCs w:val="28"/>
          <w:lang w:eastAsia="ru-RU"/>
        </w:rPr>
        <w:t>Дисертанту належить обробка матеріалу, формування висновків, підготовка матеріалів до публікації)</w:t>
      </w:r>
      <w:r w:rsidRPr="00231499">
        <w:rPr>
          <w:szCs w:val="28"/>
          <w:lang w:eastAsia="ru-RU"/>
        </w:rPr>
        <w:t>.</w:t>
      </w:r>
    </w:p>
    <w:p w:rsidR="00D07B8C" w:rsidRPr="00231499" w:rsidRDefault="00D07B8C" w:rsidP="00D07B8C">
      <w:pPr>
        <w:widowControl w:val="0"/>
        <w:numPr>
          <w:ilvl w:val="0"/>
          <w:numId w:val="54"/>
        </w:numPr>
        <w:ind w:left="0" w:firstLine="284"/>
        <w:contextualSpacing/>
        <w:rPr>
          <w:rFonts w:eastAsia="Calibri"/>
          <w:szCs w:val="28"/>
        </w:rPr>
      </w:pPr>
      <w:r w:rsidRPr="00231499">
        <w:rPr>
          <w:rFonts w:eastAsia="Calibri"/>
          <w:szCs w:val="28"/>
        </w:rPr>
        <w:t>Слабкий Г. О., Дудіна О. О., Дудник С. В., Качала Л. О. Щодо стану перинатальної та малюкової смертності в Україні як складових репродуктивних втрат. Perspectives of science and education: The 5-th International youth conference (New York, October 19, 2018). New York, USA</w:t>
      </w:r>
      <w:r>
        <w:rPr>
          <w:rFonts w:eastAsia="Calibri"/>
          <w:szCs w:val="28"/>
        </w:rPr>
        <w:t>: SLOVO\WORD, 2018. P. 29–40. (</w:t>
      </w:r>
      <w:r w:rsidRPr="00231499">
        <w:rPr>
          <w:rFonts w:eastAsia="Calibri"/>
          <w:i/>
          <w:szCs w:val="28"/>
        </w:rPr>
        <w:t>Дисертанту належить аналіз матеріалів дослідження, формування висновків, підготовка матеріалів до публікації</w:t>
      </w:r>
      <w:r w:rsidRPr="00231499">
        <w:rPr>
          <w:rFonts w:eastAsia="Calibri"/>
          <w:szCs w:val="28"/>
        </w:rPr>
        <w:t>).</w:t>
      </w:r>
    </w:p>
    <w:p w:rsidR="00D07B8C" w:rsidRPr="00231499" w:rsidRDefault="00D07B8C" w:rsidP="00D07B8C">
      <w:pPr>
        <w:pStyle w:val="a5"/>
        <w:widowControl w:val="0"/>
        <w:numPr>
          <w:ilvl w:val="0"/>
          <w:numId w:val="54"/>
        </w:numPr>
        <w:shd w:val="clear" w:color="auto" w:fill="FFFFFF"/>
        <w:spacing w:after="200"/>
        <w:ind w:left="0" w:firstLine="284"/>
        <w:rPr>
          <w:szCs w:val="28"/>
          <w:lang w:eastAsia="ru-RU"/>
        </w:rPr>
      </w:pPr>
      <w:r w:rsidRPr="00231499">
        <w:rPr>
          <w:szCs w:val="28"/>
          <w:lang w:eastAsia="ru-RU"/>
        </w:rPr>
        <w:lastRenderedPageBreak/>
        <w:t>Слабкий Г. О., Дудник С. В. Методичні підходи до обґрунтування сучасної функціонально-організаційної системи попередження дитячої смертності в Україні. Економіка і право охорони здоров'я України. 2018. № 2(8). С. 138. (Маркери оцінки якості життя через призму громадського здоров’я: матеріали учасників конф. (</w:t>
      </w:r>
      <w:r>
        <w:rPr>
          <w:szCs w:val="28"/>
          <w:lang w:eastAsia="ru-RU"/>
        </w:rPr>
        <w:t>Ужгород, 8-9 лист. 2018 р.)). (</w:t>
      </w:r>
      <w:r w:rsidRPr="00231499">
        <w:rPr>
          <w:i/>
          <w:szCs w:val="28"/>
          <w:lang w:eastAsia="ru-RU"/>
        </w:rPr>
        <w:t>Дисертанту належить ідея написання тез, аналіз матеріалів дослідження, підготовка матеріалів до публікаці)</w:t>
      </w:r>
    </w:p>
    <w:p w:rsidR="00D07B8C" w:rsidRPr="00231499" w:rsidRDefault="00D07B8C" w:rsidP="00D07B8C">
      <w:pPr>
        <w:pStyle w:val="a5"/>
        <w:widowControl w:val="0"/>
        <w:numPr>
          <w:ilvl w:val="0"/>
          <w:numId w:val="54"/>
        </w:numPr>
        <w:shd w:val="clear" w:color="auto" w:fill="FFFFFF"/>
        <w:spacing w:after="200"/>
        <w:ind w:left="0" w:firstLine="284"/>
        <w:rPr>
          <w:szCs w:val="28"/>
          <w:lang w:eastAsia="ru-RU"/>
        </w:rPr>
      </w:pPr>
      <w:r w:rsidRPr="00231499">
        <w:rPr>
          <w:szCs w:val="28"/>
          <w:lang w:eastAsia="ru-RU"/>
        </w:rPr>
        <w:t>Слабкий Г. А., Дудник С. В. К вопросу о сохранении перинатального здоровья, предотвращении смертности и оптимизации медицинской помощи матерям и новорожденным. Проблемы биологии и медицины. 2018. № 4/1 (105). C. 138. (Инновационные технологии в медицине: материалы науч.-практ. конф. с междунар. участием (Самарканд, 30 нояб.-1 декаб. 2018 г.) / по</w:t>
      </w:r>
      <w:r>
        <w:rPr>
          <w:szCs w:val="28"/>
          <w:lang w:eastAsia="ru-RU"/>
        </w:rPr>
        <w:t>д. ред проф. А. М. Шамсиева). (</w:t>
      </w:r>
      <w:r w:rsidRPr="00231499">
        <w:rPr>
          <w:i/>
          <w:szCs w:val="28"/>
          <w:lang w:eastAsia="ru-RU"/>
        </w:rPr>
        <w:t>Дисертанту належить ідея написання, аналіз матеріалів дослідження, підготовка матеріалів до публікації</w:t>
      </w:r>
      <w:r w:rsidRPr="00231499">
        <w:rPr>
          <w:szCs w:val="28"/>
          <w:lang w:eastAsia="ru-RU"/>
        </w:rPr>
        <w:t xml:space="preserve">). </w:t>
      </w:r>
    </w:p>
    <w:p w:rsidR="00D07B8C" w:rsidRPr="00231499" w:rsidRDefault="00D07B8C" w:rsidP="00D07B8C">
      <w:pPr>
        <w:pStyle w:val="a5"/>
        <w:widowControl w:val="0"/>
        <w:numPr>
          <w:ilvl w:val="0"/>
          <w:numId w:val="54"/>
        </w:numPr>
        <w:shd w:val="clear" w:color="auto" w:fill="FFFFFF"/>
        <w:spacing w:after="200"/>
        <w:ind w:left="0" w:firstLine="284"/>
        <w:rPr>
          <w:szCs w:val="28"/>
          <w:lang w:eastAsia="ru-RU"/>
        </w:rPr>
      </w:pPr>
      <w:r w:rsidRPr="00231499">
        <w:rPr>
          <w:szCs w:val="28"/>
          <w:lang w:eastAsia="ru-RU"/>
        </w:rPr>
        <w:t>Слабкий Г. О., Дудник С. В., Качала Л. О. Оцінка економічної складової смертності дітей у віці до 1-го року життя. Матеріали 72-ї підсумкової наук. конф. професорсько-викладацького складу УжНУ / МОН України; Ужгородський національний університет; Факультет післядипломної освіти та до університетської підг</w:t>
      </w:r>
      <w:r>
        <w:rPr>
          <w:szCs w:val="28"/>
          <w:lang w:eastAsia="ru-RU"/>
        </w:rPr>
        <w:t>отовки. Ужгород. 2018. С. 78. (</w:t>
      </w:r>
      <w:r w:rsidRPr="00231499">
        <w:rPr>
          <w:i/>
          <w:szCs w:val="28"/>
          <w:lang w:eastAsia="ru-RU"/>
        </w:rPr>
        <w:t>Дисертанту належить обробка матеріалу, формування висновків, підготовка матеріалів до публікації</w:t>
      </w:r>
      <w:r w:rsidRPr="00231499">
        <w:rPr>
          <w:szCs w:val="28"/>
          <w:lang w:eastAsia="ru-RU"/>
        </w:rPr>
        <w:t xml:space="preserve">). </w:t>
      </w:r>
    </w:p>
    <w:p w:rsidR="00D07B8C" w:rsidRPr="00231499" w:rsidRDefault="00D07B8C" w:rsidP="00D07B8C">
      <w:pPr>
        <w:pStyle w:val="a5"/>
        <w:widowControl w:val="0"/>
        <w:numPr>
          <w:ilvl w:val="0"/>
          <w:numId w:val="54"/>
        </w:numPr>
        <w:shd w:val="clear" w:color="auto" w:fill="FFFFFF"/>
        <w:spacing w:after="200"/>
        <w:ind w:left="0" w:firstLine="284"/>
        <w:rPr>
          <w:szCs w:val="28"/>
          <w:lang w:eastAsia="ru-RU"/>
        </w:rPr>
      </w:pPr>
      <w:r w:rsidRPr="00231499">
        <w:rPr>
          <w:szCs w:val="28"/>
          <w:lang w:eastAsia="ru-RU"/>
        </w:rPr>
        <w:t>Слабкий Г. О., Дудник С. В. Щодо функціонально-організаційної системи попередження дитячої смертності. Впровадження сучасних досягнень медичної науки у практику охорони здоров'я України: матеріали VIII Міжнародного Медичного Конгресу (Київ, 17–19 квіт.</w:t>
      </w:r>
      <w:r>
        <w:rPr>
          <w:szCs w:val="28"/>
          <w:lang w:eastAsia="ru-RU"/>
        </w:rPr>
        <w:t xml:space="preserve"> 2019 р.). Київ, 2019. С. 6.  (</w:t>
      </w:r>
      <w:r w:rsidRPr="00231499">
        <w:rPr>
          <w:i/>
          <w:szCs w:val="28"/>
          <w:lang w:eastAsia="ru-RU"/>
        </w:rPr>
        <w:t>Дисертанту належить ідея написання, аналіз, формування та підготовка матеріалу до публікації</w:t>
      </w:r>
      <w:r w:rsidRPr="00231499">
        <w:rPr>
          <w:szCs w:val="28"/>
          <w:lang w:eastAsia="ru-RU"/>
        </w:rPr>
        <w:t>).</w:t>
      </w:r>
    </w:p>
    <w:p w:rsidR="00D07B8C" w:rsidRDefault="00D07B8C" w:rsidP="0000740D">
      <w:pPr>
        <w:pStyle w:val="a5"/>
        <w:widowControl w:val="0"/>
        <w:numPr>
          <w:ilvl w:val="0"/>
          <w:numId w:val="54"/>
        </w:numPr>
        <w:shd w:val="clear" w:color="auto" w:fill="FFFFFF"/>
        <w:spacing w:after="200"/>
        <w:ind w:left="0" w:firstLine="284"/>
        <w:rPr>
          <w:szCs w:val="28"/>
          <w:lang w:eastAsia="ru-RU"/>
        </w:rPr>
      </w:pPr>
      <w:r w:rsidRPr="00231499">
        <w:rPr>
          <w:szCs w:val="28"/>
          <w:lang w:eastAsia="ru-RU"/>
        </w:rPr>
        <w:t xml:space="preserve">Слабкий Г. О., Дудник С. В. Щодо детермінант дитячої смертності за даними соціологічного опитування. </w:t>
      </w:r>
      <w:r w:rsidRPr="00231499">
        <w:rPr>
          <w:szCs w:val="28"/>
          <w:lang w:val="en-US" w:eastAsia="ru-RU"/>
        </w:rPr>
        <w:t xml:space="preserve">Advances of science: Proceedings of articles the international scientific conference (Czech Republic, Karlovy Vary, Ukraine, Kyiv, 27 June 2019) / Ed. Prof. L. N. Katjuhin, I. A. Salov, I. S. Danilova, N. S. Burina. Czech Republic, Karlovy Vary, </w:t>
      </w:r>
      <w:r w:rsidRPr="00231499">
        <w:rPr>
          <w:szCs w:val="28"/>
          <w:lang w:val="en-US" w:eastAsia="ru-RU"/>
        </w:rPr>
        <w:lastRenderedPageBreak/>
        <w:t>Ukraine, Kyiv. 2019. P. 99–103. [</w:t>
      </w:r>
      <w:r w:rsidRPr="00231499">
        <w:rPr>
          <w:szCs w:val="28"/>
          <w:lang w:eastAsia="ru-RU"/>
        </w:rPr>
        <w:t>Електронний</w:t>
      </w:r>
      <w:r w:rsidRPr="00231499">
        <w:rPr>
          <w:szCs w:val="28"/>
          <w:lang w:val="en-US" w:eastAsia="ru-RU"/>
        </w:rPr>
        <w:t xml:space="preserve"> </w:t>
      </w:r>
      <w:r w:rsidRPr="00231499">
        <w:rPr>
          <w:szCs w:val="28"/>
          <w:lang w:eastAsia="ru-RU"/>
        </w:rPr>
        <w:t>ресурс</w:t>
      </w:r>
      <w:r w:rsidRPr="00231499">
        <w:rPr>
          <w:szCs w:val="28"/>
          <w:lang w:val="en-US" w:eastAsia="ru-RU"/>
        </w:rPr>
        <w:t xml:space="preserve">] Electron. Txt. D. (1 </w:t>
      </w:r>
      <w:r w:rsidRPr="00231499">
        <w:rPr>
          <w:szCs w:val="28"/>
          <w:lang w:eastAsia="ru-RU"/>
        </w:rPr>
        <w:t>файл</w:t>
      </w:r>
      <w:r w:rsidRPr="00231499">
        <w:rPr>
          <w:szCs w:val="28"/>
          <w:lang w:val="en-US" w:eastAsia="ru-RU"/>
        </w:rPr>
        <w:t xml:space="preserve"> 6 MB). Czech Republic, Karlovy Vary: Skleněný Můstek, Ukraine, Kyiv: MCNIP, 2019. </w:t>
      </w:r>
      <w:r>
        <w:rPr>
          <w:szCs w:val="28"/>
          <w:lang w:eastAsia="ru-RU"/>
        </w:rPr>
        <w:t>(</w:t>
      </w:r>
      <w:r w:rsidRPr="00231499">
        <w:rPr>
          <w:i/>
          <w:szCs w:val="28"/>
          <w:lang w:eastAsia="ru-RU"/>
        </w:rPr>
        <w:t>Дисертанту належить ідея написання, аналіз матеріалів дослідження, підготовка матеріалів до публікації</w:t>
      </w:r>
      <w:r w:rsidRPr="00231499">
        <w:rPr>
          <w:szCs w:val="28"/>
          <w:lang w:eastAsia="ru-RU"/>
        </w:rPr>
        <w:t>).</w:t>
      </w:r>
    </w:p>
    <w:p w:rsidR="00CF32BB" w:rsidRPr="00CF32BB" w:rsidRDefault="00CF32BB" w:rsidP="00CF32BB">
      <w:pPr>
        <w:pStyle w:val="a5"/>
        <w:widowControl w:val="0"/>
        <w:shd w:val="clear" w:color="auto" w:fill="FFFFFF"/>
        <w:spacing w:after="200"/>
        <w:ind w:left="284"/>
        <w:jc w:val="center"/>
        <w:rPr>
          <w:i/>
          <w:szCs w:val="28"/>
          <w:lang w:eastAsia="ru-RU"/>
        </w:rPr>
      </w:pPr>
      <w:r w:rsidRPr="00CF32BB">
        <w:rPr>
          <w:i/>
          <w:szCs w:val="28"/>
          <w:lang w:eastAsia="ru-RU"/>
        </w:rPr>
        <w:t>Опубліковані праці, які додатково відображають результати дисертації</w:t>
      </w:r>
    </w:p>
    <w:p w:rsidR="00D07B8C" w:rsidRPr="00231499" w:rsidRDefault="00D07B8C" w:rsidP="00D07B8C">
      <w:pPr>
        <w:pStyle w:val="a5"/>
        <w:widowControl w:val="0"/>
        <w:numPr>
          <w:ilvl w:val="0"/>
          <w:numId w:val="54"/>
        </w:numPr>
        <w:shd w:val="clear" w:color="auto" w:fill="FFFFFF"/>
        <w:spacing w:after="200"/>
        <w:ind w:left="0" w:firstLine="284"/>
        <w:rPr>
          <w:szCs w:val="28"/>
          <w:lang w:eastAsia="ru-RU"/>
        </w:rPr>
      </w:pPr>
      <w:r w:rsidRPr="00231499">
        <w:rPr>
          <w:szCs w:val="28"/>
          <w:lang w:eastAsia="ru-RU"/>
        </w:rPr>
        <w:t>Slabkiy G. O., Dudina O. O., Dudnyk S. V., Kachala L. A. Dynamics of the physical development of newborns. The Unity оf Science: International Scientific Professional Periodical Journal. Vienna, Austria. December 201</w:t>
      </w:r>
      <w:r>
        <w:rPr>
          <w:szCs w:val="28"/>
          <w:lang w:eastAsia="ru-RU"/>
        </w:rPr>
        <w:t>8 / January 2019. P. 140–143. (</w:t>
      </w:r>
      <w:r w:rsidRPr="00231499">
        <w:rPr>
          <w:i/>
          <w:szCs w:val="28"/>
          <w:lang w:eastAsia="ru-RU"/>
        </w:rPr>
        <w:t>Дисертанту належить обробка матеріалу, формування висновків, підготовка матеріалів до публікації</w:t>
      </w:r>
      <w:r w:rsidRPr="00231499">
        <w:rPr>
          <w:szCs w:val="28"/>
          <w:lang w:eastAsia="ru-RU"/>
        </w:rPr>
        <w:t xml:space="preserve">). </w:t>
      </w:r>
    </w:p>
    <w:p w:rsidR="00D07B8C" w:rsidRPr="00D91883" w:rsidRDefault="00D07B8C" w:rsidP="00D07B8C">
      <w:pPr>
        <w:pStyle w:val="a5"/>
        <w:widowControl w:val="0"/>
        <w:numPr>
          <w:ilvl w:val="0"/>
          <w:numId w:val="54"/>
        </w:numPr>
        <w:shd w:val="clear" w:color="auto" w:fill="FFFFFF"/>
        <w:spacing w:before="240" w:after="240"/>
        <w:ind w:left="0" w:firstLine="284"/>
        <w:rPr>
          <w:szCs w:val="28"/>
          <w:lang w:eastAsia="ru-RU"/>
        </w:rPr>
      </w:pPr>
      <w:r w:rsidRPr="00231499">
        <w:rPr>
          <w:szCs w:val="28"/>
          <w:lang w:eastAsia="ru-RU"/>
        </w:rPr>
        <w:t xml:space="preserve">Дудіна О. О., Слабкий Г. О., Дудник С. В. Комплексна оцінка діяльності закладів та установ перинатальної допомоги: метод. </w:t>
      </w:r>
      <w:r>
        <w:rPr>
          <w:szCs w:val="28"/>
          <w:lang w:eastAsia="ru-RU"/>
        </w:rPr>
        <w:t>р</w:t>
      </w:r>
      <w:r w:rsidRPr="00231499">
        <w:rPr>
          <w:szCs w:val="28"/>
          <w:lang w:eastAsia="ru-RU"/>
        </w:rPr>
        <w:t>е</w:t>
      </w:r>
      <w:r>
        <w:rPr>
          <w:szCs w:val="28"/>
          <w:lang w:eastAsia="ru-RU"/>
        </w:rPr>
        <w:t>комендації. Київ, 2019. 34 с. (</w:t>
      </w:r>
      <w:r w:rsidRPr="00231499">
        <w:rPr>
          <w:i/>
          <w:szCs w:val="28"/>
          <w:lang w:eastAsia="ru-RU"/>
        </w:rPr>
        <w:t>Дисертанту належить ідея написання методичних рекомендацій, аналіз матеріалів дослідження, підготовка матеріалів до публікації</w:t>
      </w:r>
      <w:r w:rsidRPr="00231499">
        <w:rPr>
          <w:szCs w:val="28"/>
          <w:lang w:eastAsia="ru-RU"/>
        </w:rPr>
        <w:t>).</w:t>
      </w:r>
    </w:p>
    <w:p w:rsidR="00AE1DDC" w:rsidRPr="00D07B8C" w:rsidRDefault="00AE1DDC" w:rsidP="00F32158">
      <w:pPr>
        <w:spacing w:after="200"/>
        <w:jc w:val="right"/>
        <w:rPr>
          <w:rFonts w:eastAsia="Calibri"/>
          <w:szCs w:val="28"/>
        </w:rPr>
      </w:pPr>
    </w:p>
    <w:p w:rsidR="00D35A4A" w:rsidRDefault="00D35A4A" w:rsidP="00F32158">
      <w:pPr>
        <w:spacing w:after="200"/>
        <w:jc w:val="right"/>
        <w:rPr>
          <w:rFonts w:eastAsia="Calibri"/>
          <w:szCs w:val="28"/>
          <w:lang w:val="ru-RU"/>
        </w:rPr>
      </w:pPr>
    </w:p>
    <w:p w:rsidR="00D35A4A" w:rsidRDefault="00D35A4A" w:rsidP="00F32158">
      <w:pPr>
        <w:spacing w:after="200"/>
        <w:jc w:val="right"/>
        <w:rPr>
          <w:rFonts w:eastAsia="Calibri"/>
          <w:szCs w:val="28"/>
          <w:lang w:val="ru-RU"/>
        </w:rPr>
      </w:pPr>
    </w:p>
    <w:p w:rsidR="00D35A4A" w:rsidRDefault="00D35A4A" w:rsidP="00F32158">
      <w:pPr>
        <w:spacing w:after="200"/>
        <w:jc w:val="right"/>
        <w:rPr>
          <w:rFonts w:eastAsia="Calibri"/>
          <w:szCs w:val="28"/>
          <w:lang w:val="ru-RU"/>
        </w:rPr>
      </w:pPr>
    </w:p>
    <w:p w:rsidR="00D35A4A" w:rsidRDefault="00D35A4A" w:rsidP="00F32158">
      <w:pPr>
        <w:spacing w:after="200"/>
        <w:jc w:val="right"/>
        <w:rPr>
          <w:rFonts w:eastAsia="Calibri"/>
          <w:szCs w:val="28"/>
          <w:lang w:val="ru-RU"/>
        </w:rPr>
      </w:pPr>
    </w:p>
    <w:p w:rsidR="00D35A4A" w:rsidRDefault="00D35A4A" w:rsidP="00F32158">
      <w:pPr>
        <w:spacing w:after="200"/>
        <w:jc w:val="right"/>
        <w:rPr>
          <w:rFonts w:eastAsia="Calibri"/>
          <w:szCs w:val="28"/>
          <w:lang w:val="ru-RU"/>
        </w:rPr>
      </w:pPr>
    </w:p>
    <w:p w:rsidR="00D35A4A" w:rsidRDefault="00D35A4A" w:rsidP="00F32158">
      <w:pPr>
        <w:spacing w:after="200"/>
        <w:jc w:val="right"/>
        <w:rPr>
          <w:rFonts w:eastAsia="Calibri"/>
          <w:szCs w:val="28"/>
          <w:lang w:val="ru-RU"/>
        </w:rPr>
      </w:pPr>
    </w:p>
    <w:p w:rsidR="00D35A4A" w:rsidRDefault="00D35A4A" w:rsidP="009B4F40">
      <w:pPr>
        <w:spacing w:after="200"/>
        <w:rPr>
          <w:rFonts w:eastAsia="Calibri"/>
          <w:szCs w:val="28"/>
          <w:lang w:val="ru-RU"/>
        </w:rPr>
      </w:pPr>
    </w:p>
    <w:p w:rsidR="00A66921" w:rsidRDefault="00A66921" w:rsidP="00F32158">
      <w:pPr>
        <w:spacing w:after="200"/>
        <w:jc w:val="right"/>
        <w:rPr>
          <w:rFonts w:eastAsia="Calibri"/>
          <w:szCs w:val="28"/>
          <w:lang w:val="ru-RU"/>
        </w:rPr>
      </w:pPr>
    </w:p>
    <w:p w:rsidR="008C2554" w:rsidRPr="008C2554" w:rsidRDefault="008C2554" w:rsidP="008C2554">
      <w:pPr>
        <w:rPr>
          <w:rFonts w:eastAsia="Calibri"/>
          <w:szCs w:val="28"/>
        </w:rPr>
      </w:pPr>
    </w:p>
    <w:p w:rsidR="00F32158" w:rsidRPr="00F32158" w:rsidRDefault="00B11B16" w:rsidP="00836EED">
      <w:pPr>
        <w:pageBreakBefore/>
        <w:spacing w:after="200"/>
        <w:jc w:val="right"/>
        <w:rPr>
          <w:rFonts w:eastAsia="Calibri"/>
          <w:szCs w:val="28"/>
        </w:rPr>
      </w:pPr>
      <w:r>
        <w:rPr>
          <w:rFonts w:eastAsia="Calibri"/>
          <w:szCs w:val="28"/>
        </w:rPr>
        <w:lastRenderedPageBreak/>
        <w:t>Додаток Б</w:t>
      </w:r>
      <w:r w:rsidR="00F32158" w:rsidRPr="00F32158">
        <w:rPr>
          <w:rFonts w:eastAsia="Calibri"/>
          <w:szCs w:val="28"/>
        </w:rPr>
        <w:t>-1</w:t>
      </w:r>
    </w:p>
    <w:p w:rsidR="00F32158" w:rsidRPr="00F32158" w:rsidRDefault="00F32158" w:rsidP="00F32158">
      <w:pPr>
        <w:spacing w:after="200"/>
        <w:jc w:val="center"/>
        <w:rPr>
          <w:rFonts w:eastAsia="Calibri"/>
          <w:b/>
          <w:szCs w:val="28"/>
        </w:rPr>
      </w:pPr>
      <w:r w:rsidRPr="00F32158">
        <w:rPr>
          <w:rFonts w:eastAsia="Calibri"/>
          <w:b/>
          <w:szCs w:val="28"/>
        </w:rPr>
        <w:t>Вікові коефіцієнти смертності (діти у віці до 5 років життя) за регіонами України у 2014-  2018 рр. (на 100 тис. осіб відповідного віку)</w:t>
      </w:r>
    </w:p>
    <w:tbl>
      <w:tblPr>
        <w:tblStyle w:val="3010"/>
        <w:tblW w:w="0" w:type="auto"/>
        <w:jc w:val="center"/>
        <w:tblLook w:val="04A0" w:firstRow="1" w:lastRow="0" w:firstColumn="1" w:lastColumn="0" w:noHBand="0" w:noVBand="1"/>
      </w:tblPr>
      <w:tblGrid>
        <w:gridCol w:w="2224"/>
        <w:gridCol w:w="1377"/>
        <w:gridCol w:w="1381"/>
        <w:gridCol w:w="1454"/>
        <w:gridCol w:w="1454"/>
        <w:gridCol w:w="1455"/>
      </w:tblGrid>
      <w:tr w:rsidR="00F32158" w:rsidRPr="005A6160" w:rsidTr="00BF1F99">
        <w:trPr>
          <w:jc w:val="center"/>
        </w:trPr>
        <w:tc>
          <w:tcPr>
            <w:tcW w:w="2224" w:type="dxa"/>
          </w:tcPr>
          <w:p w:rsidR="00F32158" w:rsidRPr="005A6160" w:rsidRDefault="00F32158" w:rsidP="005A6160">
            <w:pPr>
              <w:spacing w:line="276" w:lineRule="auto"/>
              <w:jc w:val="center"/>
              <w:rPr>
                <w:rFonts w:eastAsia="Calibri"/>
                <w:sz w:val="24"/>
                <w:szCs w:val="24"/>
              </w:rPr>
            </w:pPr>
            <w:r w:rsidRPr="005A6160">
              <w:rPr>
                <w:sz w:val="24"/>
                <w:szCs w:val="24"/>
              </w:rPr>
              <w:t>Адміністративна територія/область</w:t>
            </w:r>
          </w:p>
        </w:tc>
        <w:tc>
          <w:tcPr>
            <w:tcW w:w="1377"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2014 рік</w:t>
            </w:r>
            <w:r w:rsidRPr="005A6160">
              <w:rPr>
                <w:sz w:val="24"/>
                <w:szCs w:val="24"/>
                <w:vertAlign w:val="superscript"/>
              </w:rPr>
              <w:t>1</w:t>
            </w:r>
          </w:p>
        </w:tc>
        <w:tc>
          <w:tcPr>
            <w:tcW w:w="1381"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2015 рік</w:t>
            </w:r>
            <w:r w:rsidRPr="005A6160">
              <w:rPr>
                <w:sz w:val="24"/>
                <w:szCs w:val="24"/>
                <w:vertAlign w:val="superscript"/>
              </w:rPr>
              <w:t>1</w:t>
            </w:r>
          </w:p>
        </w:tc>
        <w:tc>
          <w:tcPr>
            <w:tcW w:w="1454"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2016 рік</w:t>
            </w:r>
            <w:r w:rsidRPr="005A6160">
              <w:rPr>
                <w:sz w:val="24"/>
                <w:szCs w:val="24"/>
                <w:vertAlign w:val="superscript"/>
              </w:rPr>
              <w:t>1</w:t>
            </w:r>
          </w:p>
        </w:tc>
        <w:tc>
          <w:tcPr>
            <w:tcW w:w="1454"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2017 рік</w:t>
            </w:r>
            <w:r w:rsidRPr="005A6160">
              <w:rPr>
                <w:sz w:val="24"/>
                <w:szCs w:val="24"/>
                <w:vertAlign w:val="superscript"/>
              </w:rPr>
              <w:t>1</w:t>
            </w:r>
          </w:p>
        </w:tc>
        <w:tc>
          <w:tcPr>
            <w:tcW w:w="1455"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2018 рік</w:t>
            </w:r>
            <w:r w:rsidRPr="005A6160">
              <w:rPr>
                <w:sz w:val="24"/>
                <w:szCs w:val="24"/>
                <w:vertAlign w:val="superscript"/>
              </w:rPr>
              <w:t>1</w:t>
            </w:r>
          </w:p>
        </w:tc>
      </w:tr>
      <w:tr w:rsidR="00F32158" w:rsidRPr="005A6160" w:rsidTr="00BF1F99">
        <w:trPr>
          <w:jc w:val="center"/>
        </w:trPr>
        <w:tc>
          <w:tcPr>
            <w:tcW w:w="2224" w:type="dxa"/>
          </w:tcPr>
          <w:p w:rsidR="00F32158" w:rsidRPr="005A6160" w:rsidRDefault="00F32158" w:rsidP="005A6160">
            <w:pPr>
              <w:spacing w:line="276" w:lineRule="auto"/>
              <w:rPr>
                <w:rFonts w:eastAsia="Calibri"/>
                <w:sz w:val="24"/>
                <w:szCs w:val="24"/>
              </w:rPr>
            </w:pPr>
            <w:r w:rsidRPr="005A6160">
              <w:rPr>
                <w:rFonts w:eastAsia="Calibri"/>
                <w:sz w:val="24"/>
                <w:szCs w:val="24"/>
              </w:rPr>
              <w:t>Україна</w:t>
            </w:r>
          </w:p>
        </w:tc>
        <w:tc>
          <w:tcPr>
            <w:tcW w:w="1377"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187,2</w:t>
            </w:r>
          </w:p>
        </w:tc>
        <w:tc>
          <w:tcPr>
            <w:tcW w:w="1381"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181,1</w:t>
            </w:r>
          </w:p>
        </w:tc>
        <w:tc>
          <w:tcPr>
            <w:tcW w:w="1454"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165,1</w:t>
            </w:r>
          </w:p>
        </w:tc>
        <w:tc>
          <w:tcPr>
            <w:tcW w:w="1454"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160,1</w:t>
            </w:r>
          </w:p>
        </w:tc>
        <w:tc>
          <w:tcPr>
            <w:tcW w:w="1455"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146,9</w:t>
            </w:r>
          </w:p>
        </w:tc>
      </w:tr>
      <w:tr w:rsidR="00F32158" w:rsidRPr="005A6160" w:rsidTr="00BF1F99">
        <w:trPr>
          <w:jc w:val="center"/>
        </w:trPr>
        <w:tc>
          <w:tcPr>
            <w:tcW w:w="2224" w:type="dxa"/>
          </w:tcPr>
          <w:p w:rsidR="00F32158" w:rsidRPr="005A6160" w:rsidRDefault="00F32158" w:rsidP="005A6160">
            <w:pPr>
              <w:spacing w:line="276" w:lineRule="auto"/>
              <w:rPr>
                <w:rFonts w:eastAsia="Calibri"/>
                <w:sz w:val="24"/>
                <w:szCs w:val="24"/>
              </w:rPr>
            </w:pPr>
            <w:r w:rsidRPr="005A6160">
              <w:rPr>
                <w:rFonts w:eastAsia="Calibri"/>
                <w:sz w:val="24"/>
                <w:szCs w:val="24"/>
              </w:rPr>
              <w:t>Вінницька</w:t>
            </w:r>
          </w:p>
        </w:tc>
        <w:tc>
          <w:tcPr>
            <w:tcW w:w="1377"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167,2</w:t>
            </w:r>
          </w:p>
        </w:tc>
        <w:tc>
          <w:tcPr>
            <w:tcW w:w="1381"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166,4</w:t>
            </w:r>
          </w:p>
        </w:tc>
        <w:tc>
          <w:tcPr>
            <w:tcW w:w="1454"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147,6</w:t>
            </w:r>
          </w:p>
        </w:tc>
        <w:tc>
          <w:tcPr>
            <w:tcW w:w="1454"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152,4</w:t>
            </w:r>
          </w:p>
        </w:tc>
        <w:tc>
          <w:tcPr>
            <w:tcW w:w="1455"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118,7</w:t>
            </w:r>
          </w:p>
        </w:tc>
      </w:tr>
      <w:tr w:rsidR="00F32158" w:rsidRPr="005A6160" w:rsidTr="00BF1F99">
        <w:trPr>
          <w:jc w:val="center"/>
        </w:trPr>
        <w:tc>
          <w:tcPr>
            <w:tcW w:w="2224" w:type="dxa"/>
          </w:tcPr>
          <w:p w:rsidR="00F32158" w:rsidRPr="005A6160" w:rsidRDefault="00F32158" w:rsidP="005A6160">
            <w:pPr>
              <w:spacing w:line="276" w:lineRule="auto"/>
              <w:rPr>
                <w:rFonts w:eastAsia="Calibri"/>
                <w:sz w:val="24"/>
                <w:szCs w:val="24"/>
              </w:rPr>
            </w:pPr>
            <w:r w:rsidRPr="005A6160">
              <w:rPr>
                <w:rFonts w:eastAsia="Calibri"/>
                <w:sz w:val="24"/>
                <w:szCs w:val="24"/>
              </w:rPr>
              <w:t>Волинська</w:t>
            </w:r>
          </w:p>
        </w:tc>
        <w:tc>
          <w:tcPr>
            <w:tcW w:w="1377"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162,5</w:t>
            </w:r>
          </w:p>
        </w:tc>
        <w:tc>
          <w:tcPr>
            <w:tcW w:w="1381"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145,6</w:t>
            </w:r>
          </w:p>
        </w:tc>
        <w:tc>
          <w:tcPr>
            <w:tcW w:w="1454"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158,6</w:t>
            </w:r>
          </w:p>
        </w:tc>
        <w:tc>
          <w:tcPr>
            <w:tcW w:w="1454"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142,6</w:t>
            </w:r>
          </w:p>
        </w:tc>
        <w:tc>
          <w:tcPr>
            <w:tcW w:w="1455"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153,2</w:t>
            </w:r>
          </w:p>
        </w:tc>
      </w:tr>
      <w:tr w:rsidR="00F32158" w:rsidRPr="005A6160" w:rsidTr="00BF1F99">
        <w:trPr>
          <w:trHeight w:val="381"/>
          <w:jc w:val="center"/>
        </w:trPr>
        <w:tc>
          <w:tcPr>
            <w:tcW w:w="2224" w:type="dxa"/>
          </w:tcPr>
          <w:p w:rsidR="00F32158" w:rsidRPr="005A6160" w:rsidRDefault="00F32158" w:rsidP="005A6160">
            <w:pPr>
              <w:spacing w:line="276" w:lineRule="auto"/>
              <w:rPr>
                <w:rFonts w:eastAsia="Calibri"/>
                <w:sz w:val="24"/>
                <w:szCs w:val="24"/>
              </w:rPr>
            </w:pPr>
            <w:r w:rsidRPr="005A6160">
              <w:rPr>
                <w:rFonts w:eastAsia="Calibri"/>
                <w:sz w:val="24"/>
                <w:szCs w:val="24"/>
              </w:rPr>
              <w:t>Дніпропетровська</w:t>
            </w:r>
          </w:p>
        </w:tc>
        <w:tc>
          <w:tcPr>
            <w:tcW w:w="1377"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192,1</w:t>
            </w:r>
          </w:p>
        </w:tc>
        <w:tc>
          <w:tcPr>
            <w:tcW w:w="1381"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193,6</w:t>
            </w:r>
          </w:p>
        </w:tc>
        <w:tc>
          <w:tcPr>
            <w:tcW w:w="1454"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169,1</w:t>
            </w:r>
          </w:p>
        </w:tc>
        <w:tc>
          <w:tcPr>
            <w:tcW w:w="1454"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154,5</w:t>
            </w:r>
          </w:p>
        </w:tc>
        <w:tc>
          <w:tcPr>
            <w:tcW w:w="1455"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171,5</w:t>
            </w:r>
          </w:p>
        </w:tc>
      </w:tr>
      <w:tr w:rsidR="00F32158" w:rsidRPr="005A6160" w:rsidTr="00BF1F99">
        <w:trPr>
          <w:jc w:val="center"/>
        </w:trPr>
        <w:tc>
          <w:tcPr>
            <w:tcW w:w="2224" w:type="dxa"/>
          </w:tcPr>
          <w:p w:rsidR="00F32158" w:rsidRPr="005A6160" w:rsidRDefault="00F32158" w:rsidP="005A6160">
            <w:pPr>
              <w:spacing w:line="276" w:lineRule="auto"/>
              <w:rPr>
                <w:rFonts w:eastAsia="Calibri"/>
                <w:sz w:val="24"/>
                <w:szCs w:val="24"/>
              </w:rPr>
            </w:pPr>
            <w:r w:rsidRPr="005A6160">
              <w:rPr>
                <w:rFonts w:eastAsia="Calibri"/>
                <w:sz w:val="24"/>
                <w:szCs w:val="24"/>
              </w:rPr>
              <w:t>Донецька</w:t>
            </w:r>
          </w:p>
        </w:tc>
        <w:tc>
          <w:tcPr>
            <w:tcW w:w="1377"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211,9</w:t>
            </w:r>
          </w:p>
        </w:tc>
        <w:tc>
          <w:tcPr>
            <w:tcW w:w="1381"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w:t>
            </w:r>
          </w:p>
        </w:tc>
        <w:tc>
          <w:tcPr>
            <w:tcW w:w="1454"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w:t>
            </w:r>
          </w:p>
        </w:tc>
        <w:tc>
          <w:tcPr>
            <w:tcW w:w="1454"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w:t>
            </w:r>
          </w:p>
        </w:tc>
        <w:tc>
          <w:tcPr>
            <w:tcW w:w="1455"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w:t>
            </w:r>
          </w:p>
        </w:tc>
      </w:tr>
      <w:tr w:rsidR="00F32158" w:rsidRPr="005A6160" w:rsidTr="00BF1F99">
        <w:trPr>
          <w:jc w:val="center"/>
        </w:trPr>
        <w:tc>
          <w:tcPr>
            <w:tcW w:w="2224" w:type="dxa"/>
          </w:tcPr>
          <w:p w:rsidR="00F32158" w:rsidRPr="005A6160" w:rsidRDefault="00F32158" w:rsidP="005A6160">
            <w:pPr>
              <w:spacing w:line="276" w:lineRule="auto"/>
              <w:rPr>
                <w:rFonts w:eastAsia="Calibri"/>
                <w:sz w:val="24"/>
                <w:szCs w:val="24"/>
              </w:rPr>
            </w:pPr>
            <w:r w:rsidRPr="005A6160">
              <w:rPr>
                <w:rFonts w:eastAsia="Calibri"/>
                <w:sz w:val="24"/>
                <w:szCs w:val="24"/>
              </w:rPr>
              <w:t>Житомирська</w:t>
            </w:r>
          </w:p>
        </w:tc>
        <w:tc>
          <w:tcPr>
            <w:tcW w:w="1377"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186,7</w:t>
            </w:r>
          </w:p>
        </w:tc>
        <w:tc>
          <w:tcPr>
            <w:tcW w:w="1381"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173,2</w:t>
            </w:r>
          </w:p>
        </w:tc>
        <w:tc>
          <w:tcPr>
            <w:tcW w:w="1454"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177,0</w:t>
            </w:r>
          </w:p>
        </w:tc>
        <w:tc>
          <w:tcPr>
            <w:tcW w:w="1454"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146,8</w:t>
            </w:r>
          </w:p>
        </w:tc>
        <w:tc>
          <w:tcPr>
            <w:tcW w:w="1455"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151,5</w:t>
            </w:r>
          </w:p>
        </w:tc>
      </w:tr>
      <w:tr w:rsidR="00F32158" w:rsidRPr="005A6160" w:rsidTr="00BF1F99">
        <w:trPr>
          <w:jc w:val="center"/>
        </w:trPr>
        <w:tc>
          <w:tcPr>
            <w:tcW w:w="2224" w:type="dxa"/>
          </w:tcPr>
          <w:p w:rsidR="00F32158" w:rsidRPr="005A6160" w:rsidRDefault="00F32158" w:rsidP="005A6160">
            <w:pPr>
              <w:spacing w:line="276" w:lineRule="auto"/>
              <w:rPr>
                <w:rFonts w:eastAsia="Calibri"/>
                <w:sz w:val="24"/>
                <w:szCs w:val="24"/>
              </w:rPr>
            </w:pPr>
            <w:r w:rsidRPr="005A6160">
              <w:rPr>
                <w:rFonts w:eastAsia="Calibri"/>
                <w:sz w:val="24"/>
                <w:szCs w:val="24"/>
              </w:rPr>
              <w:t>Закарпатська</w:t>
            </w:r>
          </w:p>
        </w:tc>
        <w:tc>
          <w:tcPr>
            <w:tcW w:w="1377"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224,5</w:t>
            </w:r>
          </w:p>
        </w:tc>
        <w:tc>
          <w:tcPr>
            <w:tcW w:w="1381"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250,3</w:t>
            </w:r>
          </w:p>
        </w:tc>
        <w:tc>
          <w:tcPr>
            <w:tcW w:w="1454"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246,8</w:t>
            </w:r>
          </w:p>
        </w:tc>
        <w:tc>
          <w:tcPr>
            <w:tcW w:w="1454"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249,6</w:t>
            </w:r>
          </w:p>
        </w:tc>
        <w:tc>
          <w:tcPr>
            <w:tcW w:w="1455"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238,8</w:t>
            </w:r>
          </w:p>
        </w:tc>
      </w:tr>
      <w:tr w:rsidR="00F32158" w:rsidRPr="005A6160" w:rsidTr="00BF1F99">
        <w:trPr>
          <w:jc w:val="center"/>
        </w:trPr>
        <w:tc>
          <w:tcPr>
            <w:tcW w:w="2224" w:type="dxa"/>
          </w:tcPr>
          <w:p w:rsidR="00F32158" w:rsidRPr="005A6160" w:rsidRDefault="00F32158" w:rsidP="005A6160">
            <w:pPr>
              <w:spacing w:line="276" w:lineRule="auto"/>
              <w:rPr>
                <w:rFonts w:eastAsia="Calibri"/>
                <w:sz w:val="24"/>
                <w:szCs w:val="24"/>
              </w:rPr>
            </w:pPr>
            <w:r w:rsidRPr="005A6160">
              <w:rPr>
                <w:rFonts w:eastAsia="Calibri"/>
                <w:sz w:val="24"/>
                <w:szCs w:val="24"/>
              </w:rPr>
              <w:t>Запорізька</w:t>
            </w:r>
          </w:p>
        </w:tc>
        <w:tc>
          <w:tcPr>
            <w:tcW w:w="1377"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162,0</w:t>
            </w:r>
          </w:p>
        </w:tc>
        <w:tc>
          <w:tcPr>
            <w:tcW w:w="1381"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174,1</w:t>
            </w:r>
          </w:p>
        </w:tc>
        <w:tc>
          <w:tcPr>
            <w:tcW w:w="1454"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148,4</w:t>
            </w:r>
          </w:p>
        </w:tc>
        <w:tc>
          <w:tcPr>
            <w:tcW w:w="1454"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141,7</w:t>
            </w:r>
          </w:p>
        </w:tc>
        <w:tc>
          <w:tcPr>
            <w:tcW w:w="1455"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154,4</w:t>
            </w:r>
          </w:p>
        </w:tc>
      </w:tr>
      <w:tr w:rsidR="00F32158" w:rsidRPr="005A6160" w:rsidTr="00BF1F99">
        <w:trPr>
          <w:jc w:val="center"/>
        </w:trPr>
        <w:tc>
          <w:tcPr>
            <w:tcW w:w="2224" w:type="dxa"/>
          </w:tcPr>
          <w:p w:rsidR="00F32158" w:rsidRPr="005A6160" w:rsidRDefault="00F32158" w:rsidP="005A6160">
            <w:pPr>
              <w:spacing w:line="276" w:lineRule="auto"/>
              <w:rPr>
                <w:sz w:val="24"/>
                <w:szCs w:val="24"/>
              </w:rPr>
            </w:pPr>
            <w:r w:rsidRPr="005A6160">
              <w:rPr>
                <w:sz w:val="24"/>
                <w:szCs w:val="24"/>
              </w:rPr>
              <w:t xml:space="preserve">Івано-Франківська </w:t>
            </w:r>
          </w:p>
        </w:tc>
        <w:tc>
          <w:tcPr>
            <w:tcW w:w="1377"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157,5</w:t>
            </w:r>
          </w:p>
        </w:tc>
        <w:tc>
          <w:tcPr>
            <w:tcW w:w="1381"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151,2</w:t>
            </w:r>
          </w:p>
        </w:tc>
        <w:tc>
          <w:tcPr>
            <w:tcW w:w="1454"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148,8</w:t>
            </w:r>
          </w:p>
        </w:tc>
        <w:tc>
          <w:tcPr>
            <w:tcW w:w="1454"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152,9</w:t>
            </w:r>
          </w:p>
        </w:tc>
        <w:tc>
          <w:tcPr>
            <w:tcW w:w="1455"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135,7</w:t>
            </w:r>
          </w:p>
        </w:tc>
      </w:tr>
      <w:tr w:rsidR="00F32158" w:rsidRPr="005A6160" w:rsidTr="00BF1F99">
        <w:trPr>
          <w:jc w:val="center"/>
        </w:trPr>
        <w:tc>
          <w:tcPr>
            <w:tcW w:w="2224" w:type="dxa"/>
          </w:tcPr>
          <w:p w:rsidR="00F32158" w:rsidRPr="005A6160" w:rsidRDefault="00F32158" w:rsidP="005A6160">
            <w:pPr>
              <w:spacing w:line="276" w:lineRule="auto"/>
              <w:rPr>
                <w:sz w:val="24"/>
                <w:szCs w:val="24"/>
              </w:rPr>
            </w:pPr>
            <w:r w:rsidRPr="005A6160">
              <w:rPr>
                <w:sz w:val="24"/>
                <w:szCs w:val="24"/>
              </w:rPr>
              <w:t xml:space="preserve">Київська </w:t>
            </w:r>
          </w:p>
        </w:tc>
        <w:tc>
          <w:tcPr>
            <w:tcW w:w="1377"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127,5</w:t>
            </w:r>
          </w:p>
        </w:tc>
        <w:tc>
          <w:tcPr>
            <w:tcW w:w="1381"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146,6</w:t>
            </w:r>
          </w:p>
        </w:tc>
        <w:tc>
          <w:tcPr>
            <w:tcW w:w="1454"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123,7</w:t>
            </w:r>
          </w:p>
        </w:tc>
        <w:tc>
          <w:tcPr>
            <w:tcW w:w="1454"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109,3</w:t>
            </w:r>
          </w:p>
        </w:tc>
        <w:tc>
          <w:tcPr>
            <w:tcW w:w="1455"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99,9</w:t>
            </w:r>
          </w:p>
        </w:tc>
      </w:tr>
      <w:tr w:rsidR="00F32158" w:rsidRPr="005A6160" w:rsidTr="00BF1F99">
        <w:trPr>
          <w:jc w:val="center"/>
        </w:trPr>
        <w:tc>
          <w:tcPr>
            <w:tcW w:w="2224" w:type="dxa"/>
          </w:tcPr>
          <w:p w:rsidR="00F32158" w:rsidRPr="005A6160" w:rsidRDefault="00F32158" w:rsidP="005A6160">
            <w:pPr>
              <w:spacing w:line="276" w:lineRule="auto"/>
              <w:rPr>
                <w:sz w:val="24"/>
                <w:szCs w:val="24"/>
              </w:rPr>
            </w:pPr>
            <w:r w:rsidRPr="005A6160">
              <w:rPr>
                <w:sz w:val="24"/>
                <w:szCs w:val="24"/>
              </w:rPr>
              <w:t xml:space="preserve">Кіровоградська </w:t>
            </w:r>
          </w:p>
        </w:tc>
        <w:tc>
          <w:tcPr>
            <w:tcW w:w="1377"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218,4</w:t>
            </w:r>
          </w:p>
        </w:tc>
        <w:tc>
          <w:tcPr>
            <w:tcW w:w="1381"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207,8</w:t>
            </w:r>
          </w:p>
        </w:tc>
        <w:tc>
          <w:tcPr>
            <w:tcW w:w="1454"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205,4</w:t>
            </w:r>
          </w:p>
        </w:tc>
        <w:tc>
          <w:tcPr>
            <w:tcW w:w="1454"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230,1</w:t>
            </w:r>
          </w:p>
        </w:tc>
        <w:tc>
          <w:tcPr>
            <w:tcW w:w="1455"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178,2</w:t>
            </w:r>
          </w:p>
        </w:tc>
      </w:tr>
      <w:tr w:rsidR="00F32158" w:rsidRPr="005A6160" w:rsidTr="00BF1F99">
        <w:trPr>
          <w:jc w:val="center"/>
        </w:trPr>
        <w:tc>
          <w:tcPr>
            <w:tcW w:w="2224" w:type="dxa"/>
          </w:tcPr>
          <w:p w:rsidR="00F32158" w:rsidRPr="005A6160" w:rsidRDefault="00F32158" w:rsidP="005A6160">
            <w:pPr>
              <w:spacing w:line="276" w:lineRule="auto"/>
              <w:rPr>
                <w:sz w:val="24"/>
                <w:szCs w:val="24"/>
              </w:rPr>
            </w:pPr>
            <w:r w:rsidRPr="005A6160">
              <w:rPr>
                <w:sz w:val="24"/>
                <w:szCs w:val="24"/>
              </w:rPr>
              <w:t xml:space="preserve">Луганська </w:t>
            </w:r>
          </w:p>
        </w:tc>
        <w:tc>
          <w:tcPr>
            <w:tcW w:w="1377" w:type="dxa"/>
          </w:tcPr>
          <w:p w:rsidR="00F32158" w:rsidRPr="005A6160" w:rsidRDefault="00F32158" w:rsidP="005A6160">
            <w:pPr>
              <w:spacing w:line="276" w:lineRule="auto"/>
              <w:jc w:val="center"/>
              <w:rPr>
                <w:rFonts w:eastAsia="Calibri"/>
                <w:sz w:val="24"/>
                <w:szCs w:val="24"/>
              </w:rPr>
            </w:pPr>
            <w:r w:rsidRPr="005A6160">
              <w:rPr>
                <w:color w:val="000000"/>
                <w:sz w:val="24"/>
                <w:szCs w:val="24"/>
              </w:rPr>
              <w:t>141,3</w:t>
            </w:r>
          </w:p>
        </w:tc>
        <w:tc>
          <w:tcPr>
            <w:tcW w:w="1381"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w:t>
            </w:r>
          </w:p>
        </w:tc>
        <w:tc>
          <w:tcPr>
            <w:tcW w:w="1454"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w:t>
            </w:r>
          </w:p>
        </w:tc>
        <w:tc>
          <w:tcPr>
            <w:tcW w:w="1454"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w:t>
            </w:r>
          </w:p>
        </w:tc>
        <w:tc>
          <w:tcPr>
            <w:tcW w:w="1455"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w:t>
            </w:r>
          </w:p>
        </w:tc>
      </w:tr>
      <w:tr w:rsidR="00F32158" w:rsidRPr="005A6160" w:rsidTr="00BF1F99">
        <w:trPr>
          <w:jc w:val="center"/>
        </w:trPr>
        <w:tc>
          <w:tcPr>
            <w:tcW w:w="2224" w:type="dxa"/>
          </w:tcPr>
          <w:p w:rsidR="00F32158" w:rsidRPr="005A6160" w:rsidRDefault="00F32158" w:rsidP="005A6160">
            <w:pPr>
              <w:spacing w:line="276" w:lineRule="auto"/>
              <w:rPr>
                <w:sz w:val="24"/>
                <w:szCs w:val="24"/>
              </w:rPr>
            </w:pPr>
            <w:r w:rsidRPr="005A6160">
              <w:rPr>
                <w:sz w:val="24"/>
                <w:szCs w:val="24"/>
              </w:rPr>
              <w:t xml:space="preserve">Львівська </w:t>
            </w:r>
          </w:p>
        </w:tc>
        <w:tc>
          <w:tcPr>
            <w:tcW w:w="1377"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204,8</w:t>
            </w:r>
          </w:p>
        </w:tc>
        <w:tc>
          <w:tcPr>
            <w:tcW w:w="1381"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182,5</w:t>
            </w:r>
          </w:p>
        </w:tc>
        <w:tc>
          <w:tcPr>
            <w:tcW w:w="1454"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147,2</w:t>
            </w:r>
          </w:p>
        </w:tc>
        <w:tc>
          <w:tcPr>
            <w:tcW w:w="1454"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181,7</w:t>
            </w:r>
          </w:p>
        </w:tc>
        <w:tc>
          <w:tcPr>
            <w:tcW w:w="1455"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143,5</w:t>
            </w:r>
          </w:p>
        </w:tc>
      </w:tr>
      <w:tr w:rsidR="00F32158" w:rsidRPr="005A6160" w:rsidTr="00BF1F99">
        <w:trPr>
          <w:jc w:val="center"/>
        </w:trPr>
        <w:tc>
          <w:tcPr>
            <w:tcW w:w="2224" w:type="dxa"/>
          </w:tcPr>
          <w:p w:rsidR="00F32158" w:rsidRPr="005A6160" w:rsidRDefault="00F32158" w:rsidP="005A6160">
            <w:pPr>
              <w:spacing w:line="276" w:lineRule="auto"/>
              <w:rPr>
                <w:sz w:val="24"/>
                <w:szCs w:val="24"/>
              </w:rPr>
            </w:pPr>
            <w:r w:rsidRPr="005A6160">
              <w:rPr>
                <w:sz w:val="24"/>
                <w:szCs w:val="24"/>
              </w:rPr>
              <w:t xml:space="preserve">Миколаївська </w:t>
            </w:r>
          </w:p>
        </w:tc>
        <w:tc>
          <w:tcPr>
            <w:tcW w:w="1377"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205,5</w:t>
            </w:r>
          </w:p>
        </w:tc>
        <w:tc>
          <w:tcPr>
            <w:tcW w:w="1381"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154,3</w:t>
            </w:r>
          </w:p>
        </w:tc>
        <w:tc>
          <w:tcPr>
            <w:tcW w:w="1454"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179,4</w:t>
            </w:r>
          </w:p>
        </w:tc>
        <w:tc>
          <w:tcPr>
            <w:tcW w:w="1454"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125,8</w:t>
            </w:r>
          </w:p>
        </w:tc>
        <w:tc>
          <w:tcPr>
            <w:tcW w:w="1455"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160,9</w:t>
            </w:r>
          </w:p>
        </w:tc>
      </w:tr>
      <w:tr w:rsidR="00F32158" w:rsidRPr="005A6160" w:rsidTr="00BF1F99">
        <w:trPr>
          <w:jc w:val="center"/>
        </w:trPr>
        <w:tc>
          <w:tcPr>
            <w:tcW w:w="2224" w:type="dxa"/>
          </w:tcPr>
          <w:p w:rsidR="00F32158" w:rsidRPr="005A6160" w:rsidRDefault="00F32158" w:rsidP="005A6160">
            <w:pPr>
              <w:spacing w:line="276" w:lineRule="auto"/>
              <w:rPr>
                <w:sz w:val="24"/>
                <w:szCs w:val="24"/>
              </w:rPr>
            </w:pPr>
            <w:r w:rsidRPr="005A6160">
              <w:rPr>
                <w:sz w:val="24"/>
                <w:szCs w:val="24"/>
              </w:rPr>
              <w:t xml:space="preserve">Одеська </w:t>
            </w:r>
          </w:p>
        </w:tc>
        <w:tc>
          <w:tcPr>
            <w:tcW w:w="1377"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178,3</w:t>
            </w:r>
          </w:p>
        </w:tc>
        <w:tc>
          <w:tcPr>
            <w:tcW w:w="1381"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189,8</w:t>
            </w:r>
          </w:p>
        </w:tc>
        <w:tc>
          <w:tcPr>
            <w:tcW w:w="1454"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177,9</w:t>
            </w:r>
          </w:p>
        </w:tc>
        <w:tc>
          <w:tcPr>
            <w:tcW w:w="1454"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185,9</w:t>
            </w:r>
          </w:p>
        </w:tc>
        <w:tc>
          <w:tcPr>
            <w:tcW w:w="1455"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164,5</w:t>
            </w:r>
          </w:p>
        </w:tc>
      </w:tr>
      <w:tr w:rsidR="00F32158" w:rsidRPr="005A6160" w:rsidTr="00BF1F99">
        <w:trPr>
          <w:jc w:val="center"/>
        </w:trPr>
        <w:tc>
          <w:tcPr>
            <w:tcW w:w="2224" w:type="dxa"/>
          </w:tcPr>
          <w:p w:rsidR="00F32158" w:rsidRPr="005A6160" w:rsidRDefault="00F32158" w:rsidP="005A6160">
            <w:pPr>
              <w:spacing w:line="276" w:lineRule="auto"/>
              <w:rPr>
                <w:sz w:val="24"/>
                <w:szCs w:val="24"/>
              </w:rPr>
            </w:pPr>
            <w:r w:rsidRPr="005A6160">
              <w:rPr>
                <w:sz w:val="24"/>
                <w:szCs w:val="24"/>
              </w:rPr>
              <w:t xml:space="preserve">Полтавська </w:t>
            </w:r>
          </w:p>
        </w:tc>
        <w:tc>
          <w:tcPr>
            <w:tcW w:w="1377"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197,4</w:t>
            </w:r>
          </w:p>
        </w:tc>
        <w:tc>
          <w:tcPr>
            <w:tcW w:w="1381"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141,0</w:t>
            </w:r>
          </w:p>
        </w:tc>
        <w:tc>
          <w:tcPr>
            <w:tcW w:w="1454"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137,6</w:t>
            </w:r>
          </w:p>
        </w:tc>
        <w:tc>
          <w:tcPr>
            <w:tcW w:w="1454"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89,0</w:t>
            </w:r>
          </w:p>
        </w:tc>
        <w:tc>
          <w:tcPr>
            <w:tcW w:w="1455"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101,5</w:t>
            </w:r>
          </w:p>
        </w:tc>
      </w:tr>
      <w:tr w:rsidR="00F32158" w:rsidRPr="005A6160" w:rsidTr="00BF1F99">
        <w:trPr>
          <w:jc w:val="center"/>
        </w:trPr>
        <w:tc>
          <w:tcPr>
            <w:tcW w:w="2224" w:type="dxa"/>
          </w:tcPr>
          <w:p w:rsidR="00F32158" w:rsidRPr="005A6160" w:rsidRDefault="00F32158" w:rsidP="005A6160">
            <w:pPr>
              <w:spacing w:line="276" w:lineRule="auto"/>
              <w:rPr>
                <w:sz w:val="24"/>
                <w:szCs w:val="24"/>
              </w:rPr>
            </w:pPr>
            <w:r w:rsidRPr="005A6160">
              <w:rPr>
                <w:sz w:val="24"/>
                <w:szCs w:val="24"/>
              </w:rPr>
              <w:t>Рівненська</w:t>
            </w:r>
          </w:p>
        </w:tc>
        <w:tc>
          <w:tcPr>
            <w:tcW w:w="1377"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201,9</w:t>
            </w:r>
          </w:p>
        </w:tc>
        <w:tc>
          <w:tcPr>
            <w:tcW w:w="1381"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187,1</w:t>
            </w:r>
          </w:p>
        </w:tc>
        <w:tc>
          <w:tcPr>
            <w:tcW w:w="1454"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204,2</w:t>
            </w:r>
          </w:p>
        </w:tc>
        <w:tc>
          <w:tcPr>
            <w:tcW w:w="1454"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175,1</w:t>
            </w:r>
          </w:p>
        </w:tc>
        <w:tc>
          <w:tcPr>
            <w:tcW w:w="1455"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134,6</w:t>
            </w:r>
          </w:p>
        </w:tc>
      </w:tr>
      <w:tr w:rsidR="00F32158" w:rsidRPr="005A6160" w:rsidTr="00BF1F99">
        <w:trPr>
          <w:jc w:val="center"/>
        </w:trPr>
        <w:tc>
          <w:tcPr>
            <w:tcW w:w="2224" w:type="dxa"/>
          </w:tcPr>
          <w:p w:rsidR="00F32158" w:rsidRPr="005A6160" w:rsidRDefault="00F32158" w:rsidP="005A6160">
            <w:pPr>
              <w:spacing w:line="276" w:lineRule="auto"/>
              <w:rPr>
                <w:sz w:val="24"/>
                <w:szCs w:val="24"/>
              </w:rPr>
            </w:pPr>
            <w:r w:rsidRPr="005A6160">
              <w:rPr>
                <w:sz w:val="24"/>
                <w:szCs w:val="24"/>
              </w:rPr>
              <w:t xml:space="preserve">Сумська </w:t>
            </w:r>
          </w:p>
        </w:tc>
        <w:tc>
          <w:tcPr>
            <w:tcW w:w="1377"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162,9</w:t>
            </w:r>
          </w:p>
        </w:tc>
        <w:tc>
          <w:tcPr>
            <w:tcW w:w="1381"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174,0</w:t>
            </w:r>
          </w:p>
        </w:tc>
        <w:tc>
          <w:tcPr>
            <w:tcW w:w="1454"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151,9</w:t>
            </w:r>
          </w:p>
        </w:tc>
        <w:tc>
          <w:tcPr>
            <w:tcW w:w="1454"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127,9</w:t>
            </w:r>
          </w:p>
        </w:tc>
        <w:tc>
          <w:tcPr>
            <w:tcW w:w="1455"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105,9</w:t>
            </w:r>
          </w:p>
        </w:tc>
      </w:tr>
      <w:tr w:rsidR="00F32158" w:rsidRPr="005A6160" w:rsidTr="00BF1F99">
        <w:trPr>
          <w:jc w:val="center"/>
        </w:trPr>
        <w:tc>
          <w:tcPr>
            <w:tcW w:w="2224" w:type="dxa"/>
          </w:tcPr>
          <w:p w:rsidR="00F32158" w:rsidRPr="005A6160" w:rsidRDefault="00F32158" w:rsidP="005A6160">
            <w:pPr>
              <w:spacing w:line="276" w:lineRule="auto"/>
              <w:rPr>
                <w:sz w:val="24"/>
                <w:szCs w:val="24"/>
              </w:rPr>
            </w:pPr>
            <w:r w:rsidRPr="005A6160">
              <w:rPr>
                <w:sz w:val="24"/>
                <w:szCs w:val="24"/>
              </w:rPr>
              <w:t xml:space="preserve">Тернопільська </w:t>
            </w:r>
          </w:p>
        </w:tc>
        <w:tc>
          <w:tcPr>
            <w:tcW w:w="1377"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168,1</w:t>
            </w:r>
          </w:p>
        </w:tc>
        <w:tc>
          <w:tcPr>
            <w:tcW w:w="1381"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162,0</w:t>
            </w:r>
          </w:p>
        </w:tc>
        <w:tc>
          <w:tcPr>
            <w:tcW w:w="1454"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113,8</w:t>
            </w:r>
          </w:p>
        </w:tc>
        <w:tc>
          <w:tcPr>
            <w:tcW w:w="1454"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179,3</w:t>
            </w:r>
          </w:p>
        </w:tc>
        <w:tc>
          <w:tcPr>
            <w:tcW w:w="1455"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114,0</w:t>
            </w:r>
          </w:p>
        </w:tc>
      </w:tr>
      <w:tr w:rsidR="00F32158" w:rsidRPr="005A6160" w:rsidTr="00BF1F99">
        <w:trPr>
          <w:jc w:val="center"/>
        </w:trPr>
        <w:tc>
          <w:tcPr>
            <w:tcW w:w="2224" w:type="dxa"/>
          </w:tcPr>
          <w:p w:rsidR="00F32158" w:rsidRPr="005A6160" w:rsidRDefault="00F32158" w:rsidP="005A6160">
            <w:pPr>
              <w:spacing w:line="276" w:lineRule="auto"/>
              <w:rPr>
                <w:sz w:val="24"/>
                <w:szCs w:val="24"/>
              </w:rPr>
            </w:pPr>
            <w:r w:rsidRPr="005A6160">
              <w:rPr>
                <w:sz w:val="24"/>
                <w:szCs w:val="24"/>
              </w:rPr>
              <w:t xml:space="preserve">Харківська </w:t>
            </w:r>
          </w:p>
        </w:tc>
        <w:tc>
          <w:tcPr>
            <w:tcW w:w="1377"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230,9</w:t>
            </w:r>
          </w:p>
        </w:tc>
        <w:tc>
          <w:tcPr>
            <w:tcW w:w="1381"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220,2</w:t>
            </w:r>
          </w:p>
        </w:tc>
        <w:tc>
          <w:tcPr>
            <w:tcW w:w="1454"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164,9</w:t>
            </w:r>
          </w:p>
        </w:tc>
        <w:tc>
          <w:tcPr>
            <w:tcW w:w="1454"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162,1</w:t>
            </w:r>
          </w:p>
        </w:tc>
        <w:tc>
          <w:tcPr>
            <w:tcW w:w="1455"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139,0</w:t>
            </w:r>
          </w:p>
        </w:tc>
      </w:tr>
      <w:tr w:rsidR="00F32158" w:rsidRPr="005A6160" w:rsidTr="00BF1F99">
        <w:trPr>
          <w:jc w:val="center"/>
        </w:trPr>
        <w:tc>
          <w:tcPr>
            <w:tcW w:w="2224" w:type="dxa"/>
          </w:tcPr>
          <w:p w:rsidR="00F32158" w:rsidRPr="005A6160" w:rsidRDefault="00F32158" w:rsidP="005A6160">
            <w:pPr>
              <w:spacing w:line="276" w:lineRule="auto"/>
              <w:rPr>
                <w:sz w:val="24"/>
                <w:szCs w:val="24"/>
              </w:rPr>
            </w:pPr>
            <w:r w:rsidRPr="005A6160">
              <w:rPr>
                <w:sz w:val="24"/>
                <w:szCs w:val="24"/>
              </w:rPr>
              <w:t xml:space="preserve">Херсонська </w:t>
            </w:r>
          </w:p>
        </w:tc>
        <w:tc>
          <w:tcPr>
            <w:tcW w:w="1377"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195,1</w:t>
            </w:r>
          </w:p>
        </w:tc>
        <w:tc>
          <w:tcPr>
            <w:tcW w:w="1381"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181,6</w:t>
            </w:r>
          </w:p>
        </w:tc>
        <w:tc>
          <w:tcPr>
            <w:tcW w:w="1454"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208,5</w:t>
            </w:r>
          </w:p>
        </w:tc>
        <w:tc>
          <w:tcPr>
            <w:tcW w:w="1454"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172,3</w:t>
            </w:r>
          </w:p>
        </w:tc>
        <w:tc>
          <w:tcPr>
            <w:tcW w:w="1455"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174,4</w:t>
            </w:r>
          </w:p>
        </w:tc>
      </w:tr>
      <w:tr w:rsidR="00F32158" w:rsidRPr="005A6160" w:rsidTr="00BF1F99">
        <w:trPr>
          <w:jc w:val="center"/>
        </w:trPr>
        <w:tc>
          <w:tcPr>
            <w:tcW w:w="2224" w:type="dxa"/>
          </w:tcPr>
          <w:p w:rsidR="00F32158" w:rsidRPr="005A6160" w:rsidRDefault="00F32158" w:rsidP="005A6160">
            <w:pPr>
              <w:spacing w:line="276" w:lineRule="auto"/>
              <w:rPr>
                <w:sz w:val="24"/>
                <w:szCs w:val="24"/>
              </w:rPr>
            </w:pPr>
            <w:r w:rsidRPr="005A6160">
              <w:rPr>
                <w:sz w:val="24"/>
                <w:szCs w:val="24"/>
              </w:rPr>
              <w:t xml:space="preserve">Хмельницька </w:t>
            </w:r>
          </w:p>
        </w:tc>
        <w:tc>
          <w:tcPr>
            <w:tcW w:w="1377"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211,6</w:t>
            </w:r>
          </w:p>
        </w:tc>
        <w:tc>
          <w:tcPr>
            <w:tcW w:w="1381"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186,2</w:t>
            </w:r>
          </w:p>
        </w:tc>
        <w:tc>
          <w:tcPr>
            <w:tcW w:w="1454"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141,3</w:t>
            </w:r>
          </w:p>
        </w:tc>
        <w:tc>
          <w:tcPr>
            <w:tcW w:w="1454"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180,6</w:t>
            </w:r>
          </w:p>
        </w:tc>
        <w:tc>
          <w:tcPr>
            <w:tcW w:w="1455"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124,1</w:t>
            </w:r>
          </w:p>
        </w:tc>
      </w:tr>
      <w:tr w:rsidR="00F32158" w:rsidRPr="005A6160" w:rsidTr="00BF1F99">
        <w:trPr>
          <w:jc w:val="center"/>
        </w:trPr>
        <w:tc>
          <w:tcPr>
            <w:tcW w:w="2224" w:type="dxa"/>
          </w:tcPr>
          <w:p w:rsidR="00F32158" w:rsidRPr="005A6160" w:rsidRDefault="00F32158" w:rsidP="005A6160">
            <w:pPr>
              <w:spacing w:line="276" w:lineRule="auto"/>
              <w:rPr>
                <w:sz w:val="24"/>
                <w:szCs w:val="24"/>
              </w:rPr>
            </w:pPr>
            <w:r w:rsidRPr="005A6160">
              <w:rPr>
                <w:sz w:val="24"/>
                <w:szCs w:val="24"/>
              </w:rPr>
              <w:t xml:space="preserve">Черкаська </w:t>
            </w:r>
          </w:p>
        </w:tc>
        <w:tc>
          <w:tcPr>
            <w:tcW w:w="1377"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224,1</w:t>
            </w:r>
          </w:p>
        </w:tc>
        <w:tc>
          <w:tcPr>
            <w:tcW w:w="1381"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177,1</w:t>
            </w:r>
          </w:p>
        </w:tc>
        <w:tc>
          <w:tcPr>
            <w:tcW w:w="1454"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172,9</w:t>
            </w:r>
          </w:p>
        </w:tc>
        <w:tc>
          <w:tcPr>
            <w:tcW w:w="1454"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170,1</w:t>
            </w:r>
          </w:p>
        </w:tc>
        <w:tc>
          <w:tcPr>
            <w:tcW w:w="1455"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180,7</w:t>
            </w:r>
          </w:p>
        </w:tc>
      </w:tr>
      <w:tr w:rsidR="00F32158" w:rsidRPr="005A6160" w:rsidTr="00BF1F99">
        <w:trPr>
          <w:jc w:val="center"/>
        </w:trPr>
        <w:tc>
          <w:tcPr>
            <w:tcW w:w="2224" w:type="dxa"/>
          </w:tcPr>
          <w:p w:rsidR="00F32158" w:rsidRPr="005A6160" w:rsidRDefault="00F32158" w:rsidP="005A6160">
            <w:pPr>
              <w:spacing w:line="276" w:lineRule="auto"/>
              <w:rPr>
                <w:sz w:val="24"/>
                <w:szCs w:val="24"/>
              </w:rPr>
            </w:pPr>
            <w:r w:rsidRPr="005A6160">
              <w:rPr>
                <w:sz w:val="24"/>
                <w:szCs w:val="24"/>
              </w:rPr>
              <w:t xml:space="preserve">Чернівецька </w:t>
            </w:r>
          </w:p>
        </w:tc>
        <w:tc>
          <w:tcPr>
            <w:tcW w:w="1377"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181,1</w:t>
            </w:r>
          </w:p>
        </w:tc>
        <w:tc>
          <w:tcPr>
            <w:tcW w:w="1381"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196,4</w:t>
            </w:r>
          </w:p>
        </w:tc>
        <w:tc>
          <w:tcPr>
            <w:tcW w:w="1454"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186,5</w:t>
            </w:r>
          </w:p>
        </w:tc>
        <w:tc>
          <w:tcPr>
            <w:tcW w:w="1454"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195,8</w:t>
            </w:r>
          </w:p>
        </w:tc>
        <w:tc>
          <w:tcPr>
            <w:tcW w:w="1455"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160,6</w:t>
            </w:r>
          </w:p>
        </w:tc>
      </w:tr>
      <w:tr w:rsidR="00F32158" w:rsidRPr="005A6160" w:rsidTr="00BF1F99">
        <w:trPr>
          <w:jc w:val="center"/>
        </w:trPr>
        <w:tc>
          <w:tcPr>
            <w:tcW w:w="2224" w:type="dxa"/>
          </w:tcPr>
          <w:p w:rsidR="00F32158" w:rsidRPr="005A6160" w:rsidRDefault="00F32158" w:rsidP="005A6160">
            <w:pPr>
              <w:spacing w:line="276" w:lineRule="auto"/>
              <w:rPr>
                <w:sz w:val="24"/>
                <w:szCs w:val="24"/>
              </w:rPr>
            </w:pPr>
            <w:r w:rsidRPr="005A6160">
              <w:rPr>
                <w:sz w:val="24"/>
                <w:szCs w:val="24"/>
              </w:rPr>
              <w:t xml:space="preserve">Чернігівська </w:t>
            </w:r>
          </w:p>
        </w:tc>
        <w:tc>
          <w:tcPr>
            <w:tcW w:w="1377"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183,0</w:t>
            </w:r>
          </w:p>
        </w:tc>
        <w:tc>
          <w:tcPr>
            <w:tcW w:w="1381"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197,0</w:t>
            </w:r>
          </w:p>
        </w:tc>
        <w:tc>
          <w:tcPr>
            <w:tcW w:w="1454"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196,1</w:t>
            </w:r>
          </w:p>
        </w:tc>
        <w:tc>
          <w:tcPr>
            <w:tcW w:w="1454"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125,9</w:t>
            </w:r>
          </w:p>
        </w:tc>
        <w:tc>
          <w:tcPr>
            <w:tcW w:w="1455"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158,3</w:t>
            </w:r>
          </w:p>
        </w:tc>
      </w:tr>
      <w:tr w:rsidR="00F32158" w:rsidRPr="005A6160" w:rsidTr="00BF1F99">
        <w:trPr>
          <w:jc w:val="center"/>
        </w:trPr>
        <w:tc>
          <w:tcPr>
            <w:tcW w:w="2224" w:type="dxa"/>
          </w:tcPr>
          <w:p w:rsidR="00F32158" w:rsidRPr="005A6160" w:rsidRDefault="00F32158" w:rsidP="005A6160">
            <w:pPr>
              <w:spacing w:line="276" w:lineRule="auto"/>
              <w:rPr>
                <w:sz w:val="24"/>
                <w:szCs w:val="24"/>
              </w:rPr>
            </w:pPr>
            <w:r w:rsidRPr="005A6160">
              <w:rPr>
                <w:sz w:val="24"/>
                <w:szCs w:val="24"/>
              </w:rPr>
              <w:t>м. Київ</w:t>
            </w:r>
          </w:p>
        </w:tc>
        <w:tc>
          <w:tcPr>
            <w:tcW w:w="1377"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164,9</w:t>
            </w:r>
          </w:p>
        </w:tc>
        <w:tc>
          <w:tcPr>
            <w:tcW w:w="1381"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171,0</w:t>
            </w:r>
          </w:p>
        </w:tc>
        <w:tc>
          <w:tcPr>
            <w:tcW w:w="1454"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143,1</w:t>
            </w:r>
          </w:p>
        </w:tc>
        <w:tc>
          <w:tcPr>
            <w:tcW w:w="1454"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138,5</w:t>
            </w:r>
          </w:p>
        </w:tc>
        <w:tc>
          <w:tcPr>
            <w:tcW w:w="1455" w:type="dxa"/>
          </w:tcPr>
          <w:p w:rsidR="00F32158" w:rsidRPr="005A6160" w:rsidRDefault="00F32158" w:rsidP="005A6160">
            <w:pPr>
              <w:spacing w:line="276" w:lineRule="auto"/>
              <w:jc w:val="center"/>
              <w:rPr>
                <w:rFonts w:eastAsia="Calibri"/>
                <w:sz w:val="24"/>
                <w:szCs w:val="24"/>
              </w:rPr>
            </w:pPr>
            <w:r w:rsidRPr="005A6160">
              <w:rPr>
                <w:rFonts w:eastAsia="Calibri"/>
                <w:sz w:val="24"/>
                <w:szCs w:val="24"/>
              </w:rPr>
              <w:t>126,2</w:t>
            </w:r>
          </w:p>
        </w:tc>
      </w:tr>
    </w:tbl>
    <w:p w:rsidR="00F32158" w:rsidRPr="00F32158" w:rsidRDefault="00F32158" w:rsidP="00F32158">
      <w:pPr>
        <w:spacing w:after="160" w:line="240" w:lineRule="auto"/>
        <w:rPr>
          <w:rFonts w:eastAsia="Times New Roman"/>
          <w:sz w:val="20"/>
          <w:szCs w:val="20"/>
          <w:lang w:eastAsia="ru-RU"/>
        </w:rPr>
      </w:pPr>
      <w:r w:rsidRPr="00F32158">
        <w:rPr>
          <w:rFonts w:eastAsia="Times New Roman"/>
          <w:sz w:val="20"/>
          <w:szCs w:val="20"/>
          <w:vertAlign w:val="superscript"/>
          <w:lang w:val="ru-RU" w:eastAsia="ru-RU"/>
        </w:rPr>
        <w:t>1</w:t>
      </w:r>
      <w:r w:rsidRPr="00F32158">
        <w:rPr>
          <w:rFonts w:eastAsia="Times New Roman"/>
          <w:sz w:val="20"/>
          <w:szCs w:val="20"/>
          <w:lang w:val="ru-RU" w:eastAsia="ru-RU"/>
        </w:rPr>
        <w:t>Без урахування тимчасово окупованої території Автономної Республіки Крим і м. Севастополя та частини зони</w:t>
      </w:r>
      <w:r w:rsidRPr="00F32158">
        <w:rPr>
          <w:rFonts w:eastAsia="Times New Roman"/>
          <w:sz w:val="20"/>
          <w:szCs w:val="20"/>
          <w:lang w:eastAsia="ru-RU"/>
        </w:rPr>
        <w:t xml:space="preserve"> </w:t>
      </w:r>
      <w:r w:rsidRPr="00F32158">
        <w:rPr>
          <w:rFonts w:eastAsia="Times New Roman"/>
          <w:sz w:val="20"/>
          <w:szCs w:val="20"/>
          <w:lang w:val="ru-RU" w:eastAsia="ru-RU"/>
        </w:rPr>
        <w:t>проведення антитерористичної операції.</w:t>
      </w:r>
    </w:p>
    <w:p w:rsidR="00F32158" w:rsidRPr="00F32158" w:rsidRDefault="00F32158" w:rsidP="00F32158">
      <w:pPr>
        <w:spacing w:after="200"/>
        <w:jc w:val="right"/>
        <w:rPr>
          <w:rFonts w:eastAsia="Calibri"/>
          <w:b/>
          <w:szCs w:val="28"/>
          <w:u w:val="single"/>
        </w:rPr>
      </w:pPr>
    </w:p>
    <w:p w:rsidR="00F32158" w:rsidRPr="00F32158" w:rsidRDefault="00F32158" w:rsidP="00F32158">
      <w:pPr>
        <w:tabs>
          <w:tab w:val="left" w:pos="7767"/>
        </w:tabs>
        <w:spacing w:line="276" w:lineRule="auto"/>
        <w:jc w:val="right"/>
        <w:rPr>
          <w:rFonts w:eastAsia="Calibri"/>
          <w:szCs w:val="28"/>
        </w:rPr>
      </w:pPr>
    </w:p>
    <w:p w:rsidR="00F32158" w:rsidRPr="00F32158" w:rsidRDefault="00F32158" w:rsidP="00F32158">
      <w:pPr>
        <w:tabs>
          <w:tab w:val="left" w:pos="7767"/>
        </w:tabs>
        <w:spacing w:line="276" w:lineRule="auto"/>
        <w:rPr>
          <w:rFonts w:eastAsia="Calibri"/>
          <w:szCs w:val="28"/>
        </w:rPr>
      </w:pPr>
    </w:p>
    <w:p w:rsidR="005D3D66" w:rsidRDefault="005D3D66" w:rsidP="00F32158">
      <w:pPr>
        <w:tabs>
          <w:tab w:val="left" w:pos="7767"/>
        </w:tabs>
        <w:jc w:val="right"/>
        <w:rPr>
          <w:rFonts w:eastAsia="Calibri"/>
          <w:szCs w:val="28"/>
          <w:lang w:val="ru-RU"/>
        </w:rPr>
      </w:pPr>
    </w:p>
    <w:p w:rsidR="00F32158" w:rsidRPr="00F32158" w:rsidRDefault="00B11B16" w:rsidP="005D3D66">
      <w:pPr>
        <w:pageBreakBefore/>
        <w:tabs>
          <w:tab w:val="left" w:pos="7767"/>
        </w:tabs>
        <w:jc w:val="right"/>
        <w:rPr>
          <w:rFonts w:eastAsia="Calibri"/>
          <w:szCs w:val="28"/>
        </w:rPr>
      </w:pPr>
      <w:r>
        <w:rPr>
          <w:rFonts w:eastAsia="Calibri"/>
          <w:szCs w:val="28"/>
        </w:rPr>
        <w:lastRenderedPageBreak/>
        <w:t>Додаток Б</w:t>
      </w:r>
      <w:r w:rsidR="00F32158" w:rsidRPr="00F32158">
        <w:rPr>
          <w:rFonts w:eastAsia="Calibri"/>
          <w:szCs w:val="28"/>
        </w:rPr>
        <w:t>-2</w:t>
      </w:r>
    </w:p>
    <w:p w:rsidR="00F32158" w:rsidRPr="00F32158" w:rsidRDefault="00F32158" w:rsidP="00F32158">
      <w:pPr>
        <w:ind w:firstLine="709"/>
        <w:jc w:val="center"/>
        <w:rPr>
          <w:rFonts w:eastAsia="Calibri"/>
          <w:b/>
          <w:szCs w:val="28"/>
        </w:rPr>
      </w:pPr>
      <w:r w:rsidRPr="00F32158">
        <w:rPr>
          <w:rFonts w:eastAsia="Calibri"/>
          <w:b/>
          <w:szCs w:val="28"/>
        </w:rPr>
        <w:t>Вікові коефіцієнти смертності хлопчиків у віці до 5 років за регіонами України у 2014-2018 рр. (на 100 тис. осіб відповідного віку)</w:t>
      </w:r>
    </w:p>
    <w:p w:rsidR="00F32158" w:rsidRPr="00F32158" w:rsidRDefault="00F32158" w:rsidP="00F32158">
      <w:pPr>
        <w:ind w:firstLine="709"/>
        <w:jc w:val="center"/>
        <w:rPr>
          <w:rFonts w:eastAsia="Calibri"/>
          <w:b/>
          <w:szCs w:val="28"/>
        </w:rPr>
      </w:pPr>
    </w:p>
    <w:tbl>
      <w:tblPr>
        <w:tblStyle w:val="3010"/>
        <w:tblW w:w="0" w:type="auto"/>
        <w:jc w:val="center"/>
        <w:tblLook w:val="04A0" w:firstRow="1" w:lastRow="0" w:firstColumn="1" w:lastColumn="0" w:noHBand="0" w:noVBand="1"/>
      </w:tblPr>
      <w:tblGrid>
        <w:gridCol w:w="2235"/>
        <w:gridCol w:w="1417"/>
        <w:gridCol w:w="1421"/>
        <w:gridCol w:w="1499"/>
        <w:gridCol w:w="1499"/>
        <w:gridCol w:w="1500"/>
      </w:tblGrid>
      <w:tr w:rsidR="00F32158" w:rsidRPr="00F32158" w:rsidTr="00BF1F99">
        <w:trPr>
          <w:jc w:val="center"/>
        </w:trPr>
        <w:tc>
          <w:tcPr>
            <w:tcW w:w="2235" w:type="dxa"/>
          </w:tcPr>
          <w:p w:rsidR="00F32158" w:rsidRPr="00F32158" w:rsidRDefault="00F32158" w:rsidP="00F32158">
            <w:pPr>
              <w:spacing w:line="360" w:lineRule="auto"/>
              <w:jc w:val="center"/>
              <w:rPr>
                <w:rFonts w:eastAsia="Calibri"/>
                <w:sz w:val="24"/>
                <w:szCs w:val="24"/>
              </w:rPr>
            </w:pPr>
            <w:r w:rsidRPr="00F32158">
              <w:rPr>
                <w:sz w:val="24"/>
                <w:szCs w:val="24"/>
              </w:rPr>
              <w:t>Адміністративна територія/область</w:t>
            </w:r>
          </w:p>
        </w:tc>
        <w:tc>
          <w:tcPr>
            <w:tcW w:w="1417" w:type="dxa"/>
          </w:tcPr>
          <w:p w:rsidR="00F32158" w:rsidRPr="00F32158" w:rsidRDefault="00F32158" w:rsidP="00F32158">
            <w:pPr>
              <w:spacing w:line="360" w:lineRule="auto"/>
              <w:jc w:val="center"/>
              <w:rPr>
                <w:rFonts w:eastAsia="Calibri"/>
                <w:sz w:val="24"/>
                <w:szCs w:val="24"/>
              </w:rPr>
            </w:pPr>
            <w:r w:rsidRPr="00F32158">
              <w:rPr>
                <w:rFonts w:eastAsia="Calibri"/>
                <w:sz w:val="24"/>
                <w:szCs w:val="24"/>
              </w:rPr>
              <w:t>2014 рік</w:t>
            </w:r>
          </w:p>
        </w:tc>
        <w:tc>
          <w:tcPr>
            <w:tcW w:w="1421" w:type="dxa"/>
          </w:tcPr>
          <w:p w:rsidR="00F32158" w:rsidRPr="00F32158" w:rsidRDefault="00F32158" w:rsidP="00F32158">
            <w:pPr>
              <w:spacing w:line="360" w:lineRule="auto"/>
              <w:jc w:val="center"/>
              <w:rPr>
                <w:rFonts w:eastAsia="Calibri"/>
                <w:sz w:val="24"/>
                <w:szCs w:val="24"/>
              </w:rPr>
            </w:pPr>
            <w:r w:rsidRPr="00F32158">
              <w:rPr>
                <w:rFonts w:eastAsia="Calibri"/>
                <w:sz w:val="24"/>
                <w:szCs w:val="24"/>
              </w:rPr>
              <w:t>2015 рік</w:t>
            </w:r>
          </w:p>
        </w:tc>
        <w:tc>
          <w:tcPr>
            <w:tcW w:w="1499" w:type="dxa"/>
          </w:tcPr>
          <w:p w:rsidR="00F32158" w:rsidRPr="00F32158" w:rsidRDefault="00F32158" w:rsidP="00F32158">
            <w:pPr>
              <w:spacing w:line="360" w:lineRule="auto"/>
              <w:jc w:val="center"/>
              <w:rPr>
                <w:rFonts w:eastAsia="Calibri"/>
                <w:sz w:val="24"/>
                <w:szCs w:val="24"/>
              </w:rPr>
            </w:pPr>
            <w:r w:rsidRPr="00F32158">
              <w:rPr>
                <w:rFonts w:eastAsia="Calibri"/>
                <w:sz w:val="24"/>
                <w:szCs w:val="24"/>
              </w:rPr>
              <w:t>2016 рік</w:t>
            </w:r>
          </w:p>
        </w:tc>
        <w:tc>
          <w:tcPr>
            <w:tcW w:w="1499" w:type="dxa"/>
          </w:tcPr>
          <w:p w:rsidR="00F32158" w:rsidRPr="00F32158" w:rsidRDefault="00F32158" w:rsidP="00F32158">
            <w:pPr>
              <w:spacing w:line="360" w:lineRule="auto"/>
              <w:jc w:val="center"/>
              <w:rPr>
                <w:rFonts w:eastAsia="Calibri"/>
                <w:sz w:val="24"/>
                <w:szCs w:val="24"/>
              </w:rPr>
            </w:pPr>
            <w:r w:rsidRPr="00F32158">
              <w:rPr>
                <w:rFonts w:eastAsia="Calibri"/>
                <w:sz w:val="24"/>
                <w:szCs w:val="24"/>
              </w:rPr>
              <w:t>2017 рік</w:t>
            </w:r>
          </w:p>
        </w:tc>
        <w:tc>
          <w:tcPr>
            <w:tcW w:w="1500" w:type="dxa"/>
          </w:tcPr>
          <w:p w:rsidR="00F32158" w:rsidRPr="00F32158" w:rsidRDefault="00F32158" w:rsidP="00F32158">
            <w:pPr>
              <w:spacing w:line="360" w:lineRule="auto"/>
              <w:jc w:val="center"/>
              <w:rPr>
                <w:rFonts w:eastAsia="Calibri"/>
                <w:sz w:val="24"/>
                <w:szCs w:val="24"/>
              </w:rPr>
            </w:pPr>
            <w:r w:rsidRPr="00F32158">
              <w:rPr>
                <w:rFonts w:eastAsia="Calibri"/>
                <w:sz w:val="24"/>
                <w:szCs w:val="24"/>
              </w:rPr>
              <w:t>2018 рік</w:t>
            </w:r>
          </w:p>
        </w:tc>
      </w:tr>
      <w:tr w:rsidR="00F32158" w:rsidRPr="00F32158" w:rsidTr="00BF1F99">
        <w:trPr>
          <w:jc w:val="center"/>
        </w:trPr>
        <w:tc>
          <w:tcPr>
            <w:tcW w:w="2235" w:type="dxa"/>
          </w:tcPr>
          <w:p w:rsidR="00F32158" w:rsidRPr="00F32158" w:rsidRDefault="00F32158" w:rsidP="00F32158">
            <w:pPr>
              <w:spacing w:line="276" w:lineRule="auto"/>
              <w:rPr>
                <w:rFonts w:eastAsia="Calibri"/>
                <w:sz w:val="24"/>
                <w:szCs w:val="24"/>
              </w:rPr>
            </w:pPr>
            <w:r w:rsidRPr="00F32158">
              <w:rPr>
                <w:rFonts w:eastAsia="Calibri"/>
                <w:sz w:val="24"/>
                <w:szCs w:val="24"/>
              </w:rPr>
              <w:t>Україна</w:t>
            </w:r>
          </w:p>
        </w:tc>
        <w:tc>
          <w:tcPr>
            <w:tcW w:w="1417"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208,7</w:t>
            </w:r>
          </w:p>
        </w:tc>
        <w:tc>
          <w:tcPr>
            <w:tcW w:w="1421" w:type="dxa"/>
          </w:tcPr>
          <w:p w:rsidR="00F32158" w:rsidRPr="00F32158" w:rsidRDefault="00F32158" w:rsidP="00F32158">
            <w:pPr>
              <w:spacing w:line="276" w:lineRule="auto"/>
              <w:jc w:val="center"/>
              <w:rPr>
                <w:rFonts w:eastAsia="Calibri"/>
                <w:sz w:val="24"/>
                <w:szCs w:val="24"/>
              </w:rPr>
            </w:pPr>
            <w:r w:rsidRPr="00F32158">
              <w:rPr>
                <w:color w:val="000000"/>
                <w:sz w:val="24"/>
                <w:szCs w:val="24"/>
              </w:rPr>
              <w:t>199,8</w:t>
            </w:r>
          </w:p>
        </w:tc>
        <w:tc>
          <w:tcPr>
            <w:tcW w:w="1499" w:type="dxa"/>
          </w:tcPr>
          <w:p w:rsidR="00F32158" w:rsidRPr="00F32158" w:rsidRDefault="00F32158" w:rsidP="00F32158">
            <w:pPr>
              <w:spacing w:line="276" w:lineRule="auto"/>
              <w:jc w:val="center"/>
              <w:rPr>
                <w:rFonts w:eastAsia="Calibri"/>
                <w:sz w:val="24"/>
                <w:szCs w:val="24"/>
              </w:rPr>
            </w:pPr>
            <w:r w:rsidRPr="00F32158">
              <w:rPr>
                <w:color w:val="000000"/>
                <w:sz w:val="24"/>
                <w:szCs w:val="24"/>
              </w:rPr>
              <w:t>182,8</w:t>
            </w:r>
          </w:p>
        </w:tc>
        <w:tc>
          <w:tcPr>
            <w:tcW w:w="1499" w:type="dxa"/>
          </w:tcPr>
          <w:p w:rsidR="00F32158" w:rsidRPr="00F32158" w:rsidRDefault="00F32158" w:rsidP="00F32158">
            <w:pPr>
              <w:spacing w:line="276" w:lineRule="auto"/>
              <w:jc w:val="center"/>
              <w:rPr>
                <w:rFonts w:eastAsia="Calibri"/>
                <w:sz w:val="24"/>
                <w:szCs w:val="24"/>
              </w:rPr>
            </w:pPr>
            <w:r w:rsidRPr="00F32158">
              <w:rPr>
                <w:color w:val="000000"/>
                <w:sz w:val="24"/>
                <w:szCs w:val="24"/>
              </w:rPr>
              <w:t>179,4</w:t>
            </w:r>
          </w:p>
        </w:tc>
        <w:tc>
          <w:tcPr>
            <w:tcW w:w="1500" w:type="dxa"/>
          </w:tcPr>
          <w:p w:rsidR="00F32158" w:rsidRPr="00F32158" w:rsidRDefault="00F32158" w:rsidP="00F32158">
            <w:pPr>
              <w:spacing w:line="276" w:lineRule="auto"/>
              <w:jc w:val="center"/>
              <w:rPr>
                <w:rFonts w:eastAsia="Calibri"/>
                <w:sz w:val="24"/>
                <w:szCs w:val="24"/>
              </w:rPr>
            </w:pPr>
            <w:r w:rsidRPr="00F32158">
              <w:rPr>
                <w:color w:val="000000"/>
                <w:sz w:val="24"/>
                <w:szCs w:val="24"/>
              </w:rPr>
              <w:t>159,3</w:t>
            </w:r>
          </w:p>
        </w:tc>
      </w:tr>
      <w:tr w:rsidR="00F32158" w:rsidRPr="00F32158" w:rsidTr="00BF1F99">
        <w:trPr>
          <w:jc w:val="center"/>
        </w:trPr>
        <w:tc>
          <w:tcPr>
            <w:tcW w:w="2235" w:type="dxa"/>
          </w:tcPr>
          <w:p w:rsidR="00F32158" w:rsidRPr="00F32158" w:rsidRDefault="00F32158" w:rsidP="00F32158">
            <w:pPr>
              <w:spacing w:line="276" w:lineRule="auto"/>
              <w:rPr>
                <w:rFonts w:eastAsia="Calibri"/>
                <w:sz w:val="24"/>
                <w:szCs w:val="24"/>
              </w:rPr>
            </w:pPr>
            <w:r w:rsidRPr="00F32158">
              <w:rPr>
                <w:rFonts w:eastAsia="Calibri"/>
                <w:sz w:val="24"/>
                <w:szCs w:val="24"/>
              </w:rPr>
              <w:t>Вінницька</w:t>
            </w:r>
          </w:p>
        </w:tc>
        <w:tc>
          <w:tcPr>
            <w:tcW w:w="1417"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187,2</w:t>
            </w:r>
          </w:p>
        </w:tc>
        <w:tc>
          <w:tcPr>
            <w:tcW w:w="1421"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193,4</w:t>
            </w:r>
          </w:p>
        </w:tc>
        <w:tc>
          <w:tcPr>
            <w:tcW w:w="1499"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136,1</w:t>
            </w:r>
          </w:p>
        </w:tc>
        <w:tc>
          <w:tcPr>
            <w:tcW w:w="1499"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169,7</w:t>
            </w:r>
          </w:p>
        </w:tc>
        <w:tc>
          <w:tcPr>
            <w:tcW w:w="1500"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127,2</w:t>
            </w:r>
          </w:p>
        </w:tc>
      </w:tr>
      <w:tr w:rsidR="00F32158" w:rsidRPr="00F32158" w:rsidTr="00BF1F99">
        <w:trPr>
          <w:jc w:val="center"/>
        </w:trPr>
        <w:tc>
          <w:tcPr>
            <w:tcW w:w="2235" w:type="dxa"/>
          </w:tcPr>
          <w:p w:rsidR="00F32158" w:rsidRPr="00F32158" w:rsidRDefault="00F32158" w:rsidP="00F32158">
            <w:pPr>
              <w:spacing w:line="276" w:lineRule="auto"/>
              <w:rPr>
                <w:rFonts w:eastAsia="Calibri"/>
                <w:sz w:val="24"/>
                <w:szCs w:val="24"/>
              </w:rPr>
            </w:pPr>
            <w:r w:rsidRPr="00F32158">
              <w:rPr>
                <w:rFonts w:eastAsia="Calibri"/>
                <w:sz w:val="24"/>
                <w:szCs w:val="24"/>
              </w:rPr>
              <w:t>Волинська</w:t>
            </w:r>
          </w:p>
        </w:tc>
        <w:tc>
          <w:tcPr>
            <w:tcW w:w="1417"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196,4</w:t>
            </w:r>
          </w:p>
        </w:tc>
        <w:tc>
          <w:tcPr>
            <w:tcW w:w="1421"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162,4</w:t>
            </w:r>
          </w:p>
        </w:tc>
        <w:tc>
          <w:tcPr>
            <w:tcW w:w="1499"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188,1</w:t>
            </w:r>
          </w:p>
        </w:tc>
        <w:tc>
          <w:tcPr>
            <w:tcW w:w="1499"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153,1</w:t>
            </w:r>
          </w:p>
        </w:tc>
        <w:tc>
          <w:tcPr>
            <w:tcW w:w="1500"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167,3</w:t>
            </w:r>
          </w:p>
        </w:tc>
      </w:tr>
      <w:tr w:rsidR="00F32158" w:rsidRPr="00F32158" w:rsidTr="00BF1F99">
        <w:trPr>
          <w:jc w:val="center"/>
        </w:trPr>
        <w:tc>
          <w:tcPr>
            <w:tcW w:w="2235" w:type="dxa"/>
          </w:tcPr>
          <w:p w:rsidR="00F32158" w:rsidRPr="00F32158" w:rsidRDefault="00F32158" w:rsidP="00F32158">
            <w:pPr>
              <w:spacing w:line="276" w:lineRule="auto"/>
              <w:rPr>
                <w:rFonts w:eastAsia="Calibri"/>
                <w:sz w:val="24"/>
                <w:szCs w:val="24"/>
              </w:rPr>
            </w:pPr>
            <w:r w:rsidRPr="00F32158">
              <w:rPr>
                <w:rFonts w:eastAsia="Calibri"/>
                <w:sz w:val="24"/>
                <w:szCs w:val="24"/>
              </w:rPr>
              <w:t>Дніпропетровська</w:t>
            </w:r>
          </w:p>
        </w:tc>
        <w:tc>
          <w:tcPr>
            <w:tcW w:w="1417"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226,0</w:t>
            </w:r>
          </w:p>
        </w:tc>
        <w:tc>
          <w:tcPr>
            <w:tcW w:w="1421"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217,1</w:t>
            </w:r>
          </w:p>
        </w:tc>
        <w:tc>
          <w:tcPr>
            <w:tcW w:w="1499"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181,8</w:t>
            </w:r>
          </w:p>
        </w:tc>
        <w:tc>
          <w:tcPr>
            <w:tcW w:w="1499"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169,9</w:t>
            </w:r>
          </w:p>
        </w:tc>
        <w:tc>
          <w:tcPr>
            <w:tcW w:w="1500"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184,3</w:t>
            </w:r>
          </w:p>
        </w:tc>
      </w:tr>
      <w:tr w:rsidR="00F32158" w:rsidRPr="00F32158" w:rsidTr="00BF1F99">
        <w:trPr>
          <w:jc w:val="center"/>
        </w:trPr>
        <w:tc>
          <w:tcPr>
            <w:tcW w:w="2235" w:type="dxa"/>
          </w:tcPr>
          <w:p w:rsidR="00F32158" w:rsidRPr="00F32158" w:rsidRDefault="00F32158" w:rsidP="00F32158">
            <w:pPr>
              <w:spacing w:line="276" w:lineRule="auto"/>
              <w:rPr>
                <w:rFonts w:eastAsia="Calibri"/>
                <w:sz w:val="24"/>
                <w:szCs w:val="24"/>
                <w:vertAlign w:val="superscript"/>
              </w:rPr>
            </w:pPr>
            <w:r w:rsidRPr="00F32158">
              <w:rPr>
                <w:rFonts w:eastAsia="Calibri"/>
                <w:sz w:val="24"/>
                <w:szCs w:val="24"/>
              </w:rPr>
              <w:t>Донецька</w:t>
            </w:r>
            <w:r w:rsidRPr="00F32158">
              <w:rPr>
                <w:rFonts w:eastAsia="Calibri"/>
                <w:sz w:val="24"/>
                <w:szCs w:val="24"/>
                <w:vertAlign w:val="superscript"/>
              </w:rPr>
              <w:t>1</w:t>
            </w:r>
          </w:p>
        </w:tc>
        <w:tc>
          <w:tcPr>
            <w:tcW w:w="1417" w:type="dxa"/>
          </w:tcPr>
          <w:p w:rsidR="00F32158" w:rsidRPr="00F32158" w:rsidRDefault="00F32158" w:rsidP="00F32158">
            <w:pPr>
              <w:spacing w:line="276" w:lineRule="auto"/>
              <w:jc w:val="center"/>
              <w:rPr>
                <w:rFonts w:eastAsia="Calibri"/>
                <w:sz w:val="24"/>
                <w:szCs w:val="24"/>
              </w:rPr>
            </w:pPr>
            <w:r w:rsidRPr="00F32158">
              <w:rPr>
                <w:color w:val="000000"/>
                <w:sz w:val="24"/>
                <w:szCs w:val="24"/>
              </w:rPr>
              <w:t>225,6</w:t>
            </w:r>
          </w:p>
        </w:tc>
        <w:tc>
          <w:tcPr>
            <w:tcW w:w="1421"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w:t>
            </w:r>
          </w:p>
        </w:tc>
        <w:tc>
          <w:tcPr>
            <w:tcW w:w="1499"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w:t>
            </w:r>
          </w:p>
        </w:tc>
        <w:tc>
          <w:tcPr>
            <w:tcW w:w="1499"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w:t>
            </w:r>
          </w:p>
        </w:tc>
        <w:tc>
          <w:tcPr>
            <w:tcW w:w="1500"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w:t>
            </w:r>
          </w:p>
        </w:tc>
      </w:tr>
      <w:tr w:rsidR="00F32158" w:rsidRPr="00F32158" w:rsidTr="00BF1F99">
        <w:trPr>
          <w:jc w:val="center"/>
        </w:trPr>
        <w:tc>
          <w:tcPr>
            <w:tcW w:w="2235" w:type="dxa"/>
          </w:tcPr>
          <w:p w:rsidR="00F32158" w:rsidRPr="00F32158" w:rsidRDefault="00F32158" w:rsidP="00F32158">
            <w:pPr>
              <w:spacing w:line="276" w:lineRule="auto"/>
              <w:rPr>
                <w:rFonts w:eastAsia="Calibri"/>
                <w:sz w:val="24"/>
                <w:szCs w:val="24"/>
              </w:rPr>
            </w:pPr>
            <w:r w:rsidRPr="00F32158">
              <w:rPr>
                <w:rFonts w:eastAsia="Calibri"/>
                <w:sz w:val="24"/>
                <w:szCs w:val="24"/>
              </w:rPr>
              <w:t>Житомирська</w:t>
            </w:r>
          </w:p>
        </w:tc>
        <w:tc>
          <w:tcPr>
            <w:tcW w:w="1417"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195,6</w:t>
            </w:r>
          </w:p>
        </w:tc>
        <w:tc>
          <w:tcPr>
            <w:tcW w:w="1421"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173,6</w:t>
            </w:r>
          </w:p>
        </w:tc>
        <w:tc>
          <w:tcPr>
            <w:tcW w:w="1499"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201,3</w:t>
            </w:r>
          </w:p>
        </w:tc>
        <w:tc>
          <w:tcPr>
            <w:tcW w:w="1499"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167,8</w:t>
            </w:r>
          </w:p>
        </w:tc>
        <w:tc>
          <w:tcPr>
            <w:tcW w:w="1500"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181,4</w:t>
            </w:r>
          </w:p>
        </w:tc>
      </w:tr>
      <w:tr w:rsidR="00F32158" w:rsidRPr="00F32158" w:rsidTr="00BF1F99">
        <w:trPr>
          <w:jc w:val="center"/>
        </w:trPr>
        <w:tc>
          <w:tcPr>
            <w:tcW w:w="2235" w:type="dxa"/>
          </w:tcPr>
          <w:p w:rsidR="00F32158" w:rsidRPr="00F32158" w:rsidRDefault="00F32158" w:rsidP="00F32158">
            <w:pPr>
              <w:spacing w:line="276" w:lineRule="auto"/>
              <w:rPr>
                <w:rFonts w:eastAsia="Calibri"/>
                <w:sz w:val="24"/>
                <w:szCs w:val="24"/>
              </w:rPr>
            </w:pPr>
            <w:r w:rsidRPr="00F32158">
              <w:rPr>
                <w:rFonts w:eastAsia="Calibri"/>
                <w:sz w:val="24"/>
                <w:szCs w:val="24"/>
              </w:rPr>
              <w:t>Закарпатська</w:t>
            </w:r>
          </w:p>
        </w:tc>
        <w:tc>
          <w:tcPr>
            <w:tcW w:w="1417"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283,7</w:t>
            </w:r>
          </w:p>
        </w:tc>
        <w:tc>
          <w:tcPr>
            <w:tcW w:w="1421"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274,6</w:t>
            </w:r>
          </w:p>
        </w:tc>
        <w:tc>
          <w:tcPr>
            <w:tcW w:w="1499"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251,8</w:t>
            </w:r>
          </w:p>
        </w:tc>
        <w:tc>
          <w:tcPr>
            <w:tcW w:w="1499"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288,7</w:t>
            </w:r>
          </w:p>
        </w:tc>
        <w:tc>
          <w:tcPr>
            <w:tcW w:w="1500"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237,2</w:t>
            </w:r>
          </w:p>
        </w:tc>
      </w:tr>
      <w:tr w:rsidR="00F32158" w:rsidRPr="00F32158" w:rsidTr="00BF1F99">
        <w:trPr>
          <w:jc w:val="center"/>
        </w:trPr>
        <w:tc>
          <w:tcPr>
            <w:tcW w:w="2235" w:type="dxa"/>
          </w:tcPr>
          <w:p w:rsidR="00F32158" w:rsidRPr="00F32158" w:rsidRDefault="00F32158" w:rsidP="00F32158">
            <w:pPr>
              <w:spacing w:line="276" w:lineRule="auto"/>
              <w:rPr>
                <w:rFonts w:eastAsia="Calibri"/>
                <w:sz w:val="24"/>
                <w:szCs w:val="24"/>
              </w:rPr>
            </w:pPr>
            <w:r w:rsidRPr="00F32158">
              <w:rPr>
                <w:rFonts w:eastAsia="Calibri"/>
                <w:sz w:val="24"/>
                <w:szCs w:val="24"/>
              </w:rPr>
              <w:t>Запорізька</w:t>
            </w:r>
          </w:p>
        </w:tc>
        <w:tc>
          <w:tcPr>
            <w:tcW w:w="1417"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169,5</w:t>
            </w:r>
          </w:p>
        </w:tc>
        <w:tc>
          <w:tcPr>
            <w:tcW w:w="1421"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204,9</w:t>
            </w:r>
          </w:p>
        </w:tc>
        <w:tc>
          <w:tcPr>
            <w:tcW w:w="1499"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156,6</w:t>
            </w:r>
          </w:p>
        </w:tc>
        <w:tc>
          <w:tcPr>
            <w:tcW w:w="1499"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153,9</w:t>
            </w:r>
          </w:p>
        </w:tc>
        <w:tc>
          <w:tcPr>
            <w:tcW w:w="1500"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155,9</w:t>
            </w:r>
          </w:p>
        </w:tc>
      </w:tr>
      <w:tr w:rsidR="00F32158" w:rsidRPr="00F32158" w:rsidTr="00BF1F99">
        <w:trPr>
          <w:jc w:val="center"/>
        </w:trPr>
        <w:tc>
          <w:tcPr>
            <w:tcW w:w="2235" w:type="dxa"/>
          </w:tcPr>
          <w:p w:rsidR="00F32158" w:rsidRPr="00F32158" w:rsidRDefault="00F32158" w:rsidP="00F32158">
            <w:pPr>
              <w:spacing w:line="276" w:lineRule="auto"/>
              <w:rPr>
                <w:sz w:val="24"/>
                <w:szCs w:val="24"/>
              </w:rPr>
            </w:pPr>
            <w:r w:rsidRPr="00F32158">
              <w:rPr>
                <w:sz w:val="24"/>
                <w:szCs w:val="24"/>
              </w:rPr>
              <w:t xml:space="preserve">Івано-Франківська </w:t>
            </w:r>
          </w:p>
        </w:tc>
        <w:tc>
          <w:tcPr>
            <w:tcW w:w="1417"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164,4</w:t>
            </w:r>
          </w:p>
        </w:tc>
        <w:tc>
          <w:tcPr>
            <w:tcW w:w="1421"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158,6</w:t>
            </w:r>
          </w:p>
        </w:tc>
        <w:tc>
          <w:tcPr>
            <w:tcW w:w="1499"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160,6</w:t>
            </w:r>
          </w:p>
        </w:tc>
        <w:tc>
          <w:tcPr>
            <w:tcW w:w="1499"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178,7</w:t>
            </w:r>
          </w:p>
        </w:tc>
        <w:tc>
          <w:tcPr>
            <w:tcW w:w="1500"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131,8</w:t>
            </w:r>
          </w:p>
        </w:tc>
      </w:tr>
      <w:tr w:rsidR="00F32158" w:rsidRPr="00F32158" w:rsidTr="00BF1F99">
        <w:trPr>
          <w:jc w:val="center"/>
        </w:trPr>
        <w:tc>
          <w:tcPr>
            <w:tcW w:w="2235" w:type="dxa"/>
          </w:tcPr>
          <w:p w:rsidR="00F32158" w:rsidRPr="00F32158" w:rsidRDefault="00F32158" w:rsidP="00F32158">
            <w:pPr>
              <w:spacing w:line="276" w:lineRule="auto"/>
              <w:rPr>
                <w:sz w:val="24"/>
                <w:szCs w:val="24"/>
              </w:rPr>
            </w:pPr>
            <w:r w:rsidRPr="00F32158">
              <w:rPr>
                <w:sz w:val="24"/>
                <w:szCs w:val="24"/>
              </w:rPr>
              <w:t xml:space="preserve">Київська </w:t>
            </w:r>
          </w:p>
        </w:tc>
        <w:tc>
          <w:tcPr>
            <w:tcW w:w="1417"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153,2</w:t>
            </w:r>
          </w:p>
        </w:tc>
        <w:tc>
          <w:tcPr>
            <w:tcW w:w="1421"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146,5</w:t>
            </w:r>
          </w:p>
        </w:tc>
        <w:tc>
          <w:tcPr>
            <w:tcW w:w="1499"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135,3</w:t>
            </w:r>
          </w:p>
        </w:tc>
        <w:tc>
          <w:tcPr>
            <w:tcW w:w="1499"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107,7</w:t>
            </w:r>
          </w:p>
        </w:tc>
        <w:tc>
          <w:tcPr>
            <w:tcW w:w="1500"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110,4</w:t>
            </w:r>
          </w:p>
        </w:tc>
      </w:tr>
      <w:tr w:rsidR="00F32158" w:rsidRPr="00F32158" w:rsidTr="00BF1F99">
        <w:trPr>
          <w:jc w:val="center"/>
        </w:trPr>
        <w:tc>
          <w:tcPr>
            <w:tcW w:w="2235" w:type="dxa"/>
          </w:tcPr>
          <w:p w:rsidR="00F32158" w:rsidRPr="00F32158" w:rsidRDefault="00F32158" w:rsidP="00F32158">
            <w:pPr>
              <w:spacing w:line="276" w:lineRule="auto"/>
              <w:rPr>
                <w:sz w:val="24"/>
                <w:szCs w:val="24"/>
              </w:rPr>
            </w:pPr>
            <w:r w:rsidRPr="00F32158">
              <w:rPr>
                <w:sz w:val="24"/>
                <w:szCs w:val="24"/>
              </w:rPr>
              <w:t xml:space="preserve">Кіровоградська </w:t>
            </w:r>
          </w:p>
        </w:tc>
        <w:tc>
          <w:tcPr>
            <w:tcW w:w="1417"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283,8</w:t>
            </w:r>
          </w:p>
        </w:tc>
        <w:tc>
          <w:tcPr>
            <w:tcW w:w="1421"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239,1</w:t>
            </w:r>
          </w:p>
        </w:tc>
        <w:tc>
          <w:tcPr>
            <w:tcW w:w="1499"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230,5</w:t>
            </w:r>
          </w:p>
        </w:tc>
        <w:tc>
          <w:tcPr>
            <w:tcW w:w="1499"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258,4</w:t>
            </w:r>
          </w:p>
        </w:tc>
        <w:tc>
          <w:tcPr>
            <w:tcW w:w="1500"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177,8</w:t>
            </w:r>
          </w:p>
        </w:tc>
      </w:tr>
      <w:tr w:rsidR="00F32158" w:rsidRPr="00F32158" w:rsidTr="00BF1F99">
        <w:trPr>
          <w:jc w:val="center"/>
        </w:trPr>
        <w:tc>
          <w:tcPr>
            <w:tcW w:w="2235" w:type="dxa"/>
          </w:tcPr>
          <w:p w:rsidR="00F32158" w:rsidRPr="00F32158" w:rsidRDefault="00F32158" w:rsidP="00F32158">
            <w:pPr>
              <w:spacing w:line="276" w:lineRule="auto"/>
              <w:rPr>
                <w:sz w:val="24"/>
                <w:szCs w:val="24"/>
              </w:rPr>
            </w:pPr>
            <w:r w:rsidRPr="00F32158">
              <w:rPr>
                <w:sz w:val="24"/>
                <w:szCs w:val="24"/>
              </w:rPr>
              <w:t>Луганська</w:t>
            </w:r>
            <w:r w:rsidRPr="00F32158">
              <w:rPr>
                <w:sz w:val="24"/>
                <w:szCs w:val="24"/>
                <w:vertAlign w:val="superscript"/>
              </w:rPr>
              <w:t>1</w:t>
            </w:r>
            <w:r w:rsidRPr="00F32158">
              <w:rPr>
                <w:sz w:val="24"/>
                <w:szCs w:val="24"/>
              </w:rPr>
              <w:t xml:space="preserve"> </w:t>
            </w:r>
          </w:p>
        </w:tc>
        <w:tc>
          <w:tcPr>
            <w:tcW w:w="1417" w:type="dxa"/>
          </w:tcPr>
          <w:p w:rsidR="00F32158" w:rsidRPr="00F32158" w:rsidRDefault="00F32158" w:rsidP="00F32158">
            <w:pPr>
              <w:spacing w:line="276" w:lineRule="auto"/>
              <w:jc w:val="center"/>
              <w:rPr>
                <w:rFonts w:eastAsia="Calibri"/>
                <w:sz w:val="24"/>
                <w:szCs w:val="24"/>
              </w:rPr>
            </w:pPr>
            <w:r w:rsidRPr="00F32158">
              <w:rPr>
                <w:color w:val="000000"/>
                <w:sz w:val="24"/>
                <w:szCs w:val="24"/>
              </w:rPr>
              <w:t>146,9</w:t>
            </w:r>
          </w:p>
        </w:tc>
        <w:tc>
          <w:tcPr>
            <w:tcW w:w="1421"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w:t>
            </w:r>
          </w:p>
        </w:tc>
        <w:tc>
          <w:tcPr>
            <w:tcW w:w="1499"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w:t>
            </w:r>
          </w:p>
        </w:tc>
        <w:tc>
          <w:tcPr>
            <w:tcW w:w="1499"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w:t>
            </w:r>
          </w:p>
        </w:tc>
        <w:tc>
          <w:tcPr>
            <w:tcW w:w="1500"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w:t>
            </w:r>
          </w:p>
        </w:tc>
      </w:tr>
      <w:tr w:rsidR="00F32158" w:rsidRPr="00F32158" w:rsidTr="00BF1F99">
        <w:trPr>
          <w:jc w:val="center"/>
        </w:trPr>
        <w:tc>
          <w:tcPr>
            <w:tcW w:w="2235" w:type="dxa"/>
          </w:tcPr>
          <w:p w:rsidR="00F32158" w:rsidRPr="00F32158" w:rsidRDefault="00F32158" w:rsidP="00F32158">
            <w:pPr>
              <w:spacing w:line="276" w:lineRule="auto"/>
              <w:rPr>
                <w:sz w:val="24"/>
                <w:szCs w:val="24"/>
              </w:rPr>
            </w:pPr>
            <w:r w:rsidRPr="00F32158">
              <w:rPr>
                <w:sz w:val="24"/>
                <w:szCs w:val="24"/>
              </w:rPr>
              <w:t xml:space="preserve">Львівська </w:t>
            </w:r>
          </w:p>
        </w:tc>
        <w:tc>
          <w:tcPr>
            <w:tcW w:w="1417"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225,1</w:t>
            </w:r>
          </w:p>
        </w:tc>
        <w:tc>
          <w:tcPr>
            <w:tcW w:w="1421"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197,7</w:t>
            </w:r>
          </w:p>
        </w:tc>
        <w:tc>
          <w:tcPr>
            <w:tcW w:w="1499"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168,2</w:t>
            </w:r>
          </w:p>
        </w:tc>
        <w:tc>
          <w:tcPr>
            <w:tcW w:w="1499"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216,1</w:t>
            </w:r>
          </w:p>
        </w:tc>
        <w:tc>
          <w:tcPr>
            <w:tcW w:w="1500"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163,4</w:t>
            </w:r>
          </w:p>
        </w:tc>
      </w:tr>
      <w:tr w:rsidR="00F32158" w:rsidRPr="00F32158" w:rsidTr="00BF1F99">
        <w:trPr>
          <w:jc w:val="center"/>
        </w:trPr>
        <w:tc>
          <w:tcPr>
            <w:tcW w:w="2235" w:type="dxa"/>
          </w:tcPr>
          <w:p w:rsidR="00F32158" w:rsidRPr="00F32158" w:rsidRDefault="00F32158" w:rsidP="00F32158">
            <w:pPr>
              <w:spacing w:line="276" w:lineRule="auto"/>
              <w:rPr>
                <w:sz w:val="24"/>
                <w:szCs w:val="24"/>
              </w:rPr>
            </w:pPr>
            <w:r w:rsidRPr="00F32158">
              <w:rPr>
                <w:sz w:val="24"/>
                <w:szCs w:val="24"/>
              </w:rPr>
              <w:t xml:space="preserve">Миколаївська </w:t>
            </w:r>
          </w:p>
        </w:tc>
        <w:tc>
          <w:tcPr>
            <w:tcW w:w="1417"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187,6</w:t>
            </w:r>
          </w:p>
        </w:tc>
        <w:tc>
          <w:tcPr>
            <w:tcW w:w="1421"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171,2</w:t>
            </w:r>
          </w:p>
        </w:tc>
        <w:tc>
          <w:tcPr>
            <w:tcW w:w="1499"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213,0</w:t>
            </w:r>
          </w:p>
        </w:tc>
        <w:tc>
          <w:tcPr>
            <w:tcW w:w="1499"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132,7</w:t>
            </w:r>
          </w:p>
        </w:tc>
        <w:tc>
          <w:tcPr>
            <w:tcW w:w="1500"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176,1</w:t>
            </w:r>
          </w:p>
        </w:tc>
      </w:tr>
      <w:tr w:rsidR="00F32158" w:rsidRPr="00F32158" w:rsidTr="00BF1F99">
        <w:trPr>
          <w:jc w:val="center"/>
        </w:trPr>
        <w:tc>
          <w:tcPr>
            <w:tcW w:w="2235" w:type="dxa"/>
          </w:tcPr>
          <w:p w:rsidR="00F32158" w:rsidRPr="00F32158" w:rsidRDefault="00F32158" w:rsidP="00F32158">
            <w:pPr>
              <w:spacing w:line="276" w:lineRule="auto"/>
              <w:rPr>
                <w:sz w:val="24"/>
                <w:szCs w:val="24"/>
              </w:rPr>
            </w:pPr>
            <w:r w:rsidRPr="00F32158">
              <w:rPr>
                <w:sz w:val="24"/>
                <w:szCs w:val="24"/>
              </w:rPr>
              <w:t xml:space="preserve">Одеська </w:t>
            </w:r>
          </w:p>
        </w:tc>
        <w:tc>
          <w:tcPr>
            <w:tcW w:w="1417"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188,8</w:t>
            </w:r>
          </w:p>
        </w:tc>
        <w:tc>
          <w:tcPr>
            <w:tcW w:w="1421"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211,6</w:t>
            </w:r>
          </w:p>
        </w:tc>
        <w:tc>
          <w:tcPr>
            <w:tcW w:w="1499"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198,2</w:t>
            </w:r>
          </w:p>
        </w:tc>
        <w:tc>
          <w:tcPr>
            <w:tcW w:w="1499"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206,6</w:t>
            </w:r>
          </w:p>
        </w:tc>
        <w:tc>
          <w:tcPr>
            <w:tcW w:w="1500"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170,1</w:t>
            </w:r>
          </w:p>
        </w:tc>
      </w:tr>
      <w:tr w:rsidR="00F32158" w:rsidRPr="00F32158" w:rsidTr="00BF1F99">
        <w:trPr>
          <w:jc w:val="center"/>
        </w:trPr>
        <w:tc>
          <w:tcPr>
            <w:tcW w:w="2235" w:type="dxa"/>
          </w:tcPr>
          <w:p w:rsidR="00F32158" w:rsidRPr="00F32158" w:rsidRDefault="00F32158" w:rsidP="00F32158">
            <w:pPr>
              <w:spacing w:line="276" w:lineRule="auto"/>
              <w:rPr>
                <w:sz w:val="24"/>
                <w:szCs w:val="24"/>
              </w:rPr>
            </w:pPr>
            <w:r w:rsidRPr="00F32158">
              <w:rPr>
                <w:sz w:val="24"/>
                <w:szCs w:val="24"/>
              </w:rPr>
              <w:t xml:space="preserve">Полтавська </w:t>
            </w:r>
          </w:p>
        </w:tc>
        <w:tc>
          <w:tcPr>
            <w:tcW w:w="1417"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180,8</w:t>
            </w:r>
          </w:p>
        </w:tc>
        <w:tc>
          <w:tcPr>
            <w:tcW w:w="1421"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163,1</w:t>
            </w:r>
          </w:p>
        </w:tc>
        <w:tc>
          <w:tcPr>
            <w:tcW w:w="1499"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152,3</w:t>
            </w:r>
          </w:p>
        </w:tc>
        <w:tc>
          <w:tcPr>
            <w:tcW w:w="1499"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100,6</w:t>
            </w:r>
          </w:p>
        </w:tc>
        <w:tc>
          <w:tcPr>
            <w:tcW w:w="1500"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121,1</w:t>
            </w:r>
          </w:p>
        </w:tc>
      </w:tr>
      <w:tr w:rsidR="00F32158" w:rsidRPr="00F32158" w:rsidTr="00BF1F99">
        <w:trPr>
          <w:jc w:val="center"/>
        </w:trPr>
        <w:tc>
          <w:tcPr>
            <w:tcW w:w="2235" w:type="dxa"/>
          </w:tcPr>
          <w:p w:rsidR="00F32158" w:rsidRPr="00F32158" w:rsidRDefault="00F32158" w:rsidP="00F32158">
            <w:pPr>
              <w:spacing w:line="276" w:lineRule="auto"/>
              <w:rPr>
                <w:sz w:val="24"/>
                <w:szCs w:val="24"/>
              </w:rPr>
            </w:pPr>
            <w:r w:rsidRPr="00F32158">
              <w:rPr>
                <w:sz w:val="24"/>
                <w:szCs w:val="24"/>
              </w:rPr>
              <w:t xml:space="preserve">Рівненська </w:t>
            </w:r>
          </w:p>
        </w:tc>
        <w:tc>
          <w:tcPr>
            <w:tcW w:w="1417"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236,1</w:t>
            </w:r>
          </w:p>
        </w:tc>
        <w:tc>
          <w:tcPr>
            <w:tcW w:w="1421"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217,5</w:t>
            </w:r>
          </w:p>
        </w:tc>
        <w:tc>
          <w:tcPr>
            <w:tcW w:w="1499"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232,5</w:t>
            </w:r>
          </w:p>
        </w:tc>
        <w:tc>
          <w:tcPr>
            <w:tcW w:w="1499"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185,5</w:t>
            </w:r>
          </w:p>
        </w:tc>
        <w:tc>
          <w:tcPr>
            <w:tcW w:w="1500"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127,7</w:t>
            </w:r>
          </w:p>
        </w:tc>
      </w:tr>
      <w:tr w:rsidR="00F32158" w:rsidRPr="00F32158" w:rsidTr="00BF1F99">
        <w:trPr>
          <w:jc w:val="center"/>
        </w:trPr>
        <w:tc>
          <w:tcPr>
            <w:tcW w:w="2235" w:type="dxa"/>
          </w:tcPr>
          <w:p w:rsidR="00F32158" w:rsidRPr="00F32158" w:rsidRDefault="00F32158" w:rsidP="00F32158">
            <w:pPr>
              <w:spacing w:line="276" w:lineRule="auto"/>
              <w:rPr>
                <w:sz w:val="24"/>
                <w:szCs w:val="24"/>
              </w:rPr>
            </w:pPr>
            <w:r w:rsidRPr="00F32158">
              <w:rPr>
                <w:sz w:val="24"/>
                <w:szCs w:val="24"/>
              </w:rPr>
              <w:t xml:space="preserve">Сумська </w:t>
            </w:r>
          </w:p>
        </w:tc>
        <w:tc>
          <w:tcPr>
            <w:tcW w:w="1417"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167,9</w:t>
            </w:r>
          </w:p>
        </w:tc>
        <w:tc>
          <w:tcPr>
            <w:tcW w:w="1421"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195,5</w:t>
            </w:r>
          </w:p>
        </w:tc>
        <w:tc>
          <w:tcPr>
            <w:tcW w:w="1499"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195,1</w:t>
            </w:r>
          </w:p>
        </w:tc>
        <w:tc>
          <w:tcPr>
            <w:tcW w:w="1499"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123,7</w:t>
            </w:r>
          </w:p>
        </w:tc>
        <w:tc>
          <w:tcPr>
            <w:tcW w:w="1500"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110,7</w:t>
            </w:r>
          </w:p>
        </w:tc>
      </w:tr>
      <w:tr w:rsidR="00F32158" w:rsidRPr="00F32158" w:rsidTr="00BF1F99">
        <w:trPr>
          <w:jc w:val="center"/>
        </w:trPr>
        <w:tc>
          <w:tcPr>
            <w:tcW w:w="2235" w:type="dxa"/>
          </w:tcPr>
          <w:p w:rsidR="00F32158" w:rsidRPr="00F32158" w:rsidRDefault="00F32158" w:rsidP="00F32158">
            <w:pPr>
              <w:spacing w:line="276" w:lineRule="auto"/>
              <w:rPr>
                <w:sz w:val="24"/>
                <w:szCs w:val="24"/>
              </w:rPr>
            </w:pPr>
            <w:r w:rsidRPr="00F32158">
              <w:rPr>
                <w:sz w:val="24"/>
                <w:szCs w:val="24"/>
              </w:rPr>
              <w:t xml:space="preserve">Тернопільська </w:t>
            </w:r>
          </w:p>
        </w:tc>
        <w:tc>
          <w:tcPr>
            <w:tcW w:w="1417"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200,0</w:t>
            </w:r>
          </w:p>
        </w:tc>
        <w:tc>
          <w:tcPr>
            <w:tcW w:w="1421"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169,4</w:t>
            </w:r>
          </w:p>
        </w:tc>
        <w:tc>
          <w:tcPr>
            <w:tcW w:w="1499"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126,0</w:t>
            </w:r>
          </w:p>
        </w:tc>
        <w:tc>
          <w:tcPr>
            <w:tcW w:w="1499"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181,3</w:t>
            </w:r>
          </w:p>
        </w:tc>
        <w:tc>
          <w:tcPr>
            <w:tcW w:w="1500"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131,5</w:t>
            </w:r>
          </w:p>
        </w:tc>
      </w:tr>
      <w:tr w:rsidR="00F32158" w:rsidRPr="00F32158" w:rsidTr="00BF1F99">
        <w:trPr>
          <w:jc w:val="center"/>
        </w:trPr>
        <w:tc>
          <w:tcPr>
            <w:tcW w:w="2235" w:type="dxa"/>
          </w:tcPr>
          <w:p w:rsidR="00F32158" w:rsidRPr="00F32158" w:rsidRDefault="00F32158" w:rsidP="00F32158">
            <w:pPr>
              <w:spacing w:line="276" w:lineRule="auto"/>
              <w:rPr>
                <w:sz w:val="24"/>
                <w:szCs w:val="24"/>
              </w:rPr>
            </w:pPr>
            <w:r w:rsidRPr="00F32158">
              <w:rPr>
                <w:sz w:val="24"/>
                <w:szCs w:val="24"/>
              </w:rPr>
              <w:t>Харківська</w:t>
            </w:r>
          </w:p>
        </w:tc>
        <w:tc>
          <w:tcPr>
            <w:tcW w:w="1417"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279,6</w:t>
            </w:r>
          </w:p>
        </w:tc>
        <w:tc>
          <w:tcPr>
            <w:tcW w:w="1421"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271,8</w:t>
            </w:r>
          </w:p>
        </w:tc>
        <w:tc>
          <w:tcPr>
            <w:tcW w:w="1499"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196,6</w:t>
            </w:r>
          </w:p>
        </w:tc>
        <w:tc>
          <w:tcPr>
            <w:tcW w:w="1499"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184,2</w:t>
            </w:r>
          </w:p>
        </w:tc>
        <w:tc>
          <w:tcPr>
            <w:tcW w:w="1500"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167,8</w:t>
            </w:r>
          </w:p>
        </w:tc>
      </w:tr>
      <w:tr w:rsidR="00F32158" w:rsidRPr="00F32158" w:rsidTr="00BF1F99">
        <w:trPr>
          <w:jc w:val="center"/>
        </w:trPr>
        <w:tc>
          <w:tcPr>
            <w:tcW w:w="2235" w:type="dxa"/>
          </w:tcPr>
          <w:p w:rsidR="00F32158" w:rsidRPr="00F32158" w:rsidRDefault="00F32158" w:rsidP="00F32158">
            <w:pPr>
              <w:spacing w:line="276" w:lineRule="auto"/>
              <w:rPr>
                <w:sz w:val="24"/>
                <w:szCs w:val="24"/>
              </w:rPr>
            </w:pPr>
            <w:r w:rsidRPr="00F32158">
              <w:rPr>
                <w:sz w:val="24"/>
                <w:szCs w:val="24"/>
              </w:rPr>
              <w:t xml:space="preserve">Херсонська </w:t>
            </w:r>
          </w:p>
        </w:tc>
        <w:tc>
          <w:tcPr>
            <w:tcW w:w="1417"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222,4</w:t>
            </w:r>
          </w:p>
        </w:tc>
        <w:tc>
          <w:tcPr>
            <w:tcW w:w="1421"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169,4</w:t>
            </w:r>
          </w:p>
        </w:tc>
        <w:tc>
          <w:tcPr>
            <w:tcW w:w="1499"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244,0</w:t>
            </w:r>
          </w:p>
        </w:tc>
        <w:tc>
          <w:tcPr>
            <w:tcW w:w="1499"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208,6</w:t>
            </w:r>
          </w:p>
        </w:tc>
        <w:tc>
          <w:tcPr>
            <w:tcW w:w="1500"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198,4</w:t>
            </w:r>
          </w:p>
        </w:tc>
      </w:tr>
      <w:tr w:rsidR="00F32158" w:rsidRPr="00F32158" w:rsidTr="00BF1F99">
        <w:trPr>
          <w:jc w:val="center"/>
        </w:trPr>
        <w:tc>
          <w:tcPr>
            <w:tcW w:w="2235" w:type="dxa"/>
          </w:tcPr>
          <w:p w:rsidR="00F32158" w:rsidRPr="00F32158" w:rsidRDefault="00F32158" w:rsidP="00F32158">
            <w:pPr>
              <w:spacing w:line="276" w:lineRule="auto"/>
              <w:rPr>
                <w:sz w:val="24"/>
                <w:szCs w:val="24"/>
              </w:rPr>
            </w:pPr>
            <w:r w:rsidRPr="00F32158">
              <w:rPr>
                <w:sz w:val="24"/>
                <w:szCs w:val="24"/>
              </w:rPr>
              <w:t xml:space="preserve">Хмельницька </w:t>
            </w:r>
          </w:p>
        </w:tc>
        <w:tc>
          <w:tcPr>
            <w:tcW w:w="1417"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224,1</w:t>
            </w:r>
          </w:p>
        </w:tc>
        <w:tc>
          <w:tcPr>
            <w:tcW w:w="1421"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236,1</w:t>
            </w:r>
          </w:p>
        </w:tc>
        <w:tc>
          <w:tcPr>
            <w:tcW w:w="1499"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137,8</w:t>
            </w:r>
          </w:p>
        </w:tc>
        <w:tc>
          <w:tcPr>
            <w:tcW w:w="1499"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200,4</w:t>
            </w:r>
          </w:p>
        </w:tc>
        <w:tc>
          <w:tcPr>
            <w:tcW w:w="1500"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142,3</w:t>
            </w:r>
          </w:p>
        </w:tc>
      </w:tr>
      <w:tr w:rsidR="00F32158" w:rsidRPr="00F32158" w:rsidTr="00BF1F99">
        <w:trPr>
          <w:jc w:val="center"/>
        </w:trPr>
        <w:tc>
          <w:tcPr>
            <w:tcW w:w="2235" w:type="dxa"/>
          </w:tcPr>
          <w:p w:rsidR="00F32158" w:rsidRPr="00F32158" w:rsidRDefault="00F32158" w:rsidP="00F32158">
            <w:pPr>
              <w:spacing w:line="276" w:lineRule="auto"/>
              <w:rPr>
                <w:sz w:val="24"/>
                <w:szCs w:val="24"/>
              </w:rPr>
            </w:pPr>
            <w:r w:rsidRPr="00F32158">
              <w:rPr>
                <w:sz w:val="24"/>
                <w:szCs w:val="24"/>
              </w:rPr>
              <w:t xml:space="preserve">Черкаська </w:t>
            </w:r>
          </w:p>
        </w:tc>
        <w:tc>
          <w:tcPr>
            <w:tcW w:w="1417"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269,8</w:t>
            </w:r>
          </w:p>
        </w:tc>
        <w:tc>
          <w:tcPr>
            <w:tcW w:w="1421"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165,0</w:t>
            </w:r>
          </w:p>
        </w:tc>
        <w:tc>
          <w:tcPr>
            <w:tcW w:w="1499"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191,5</w:t>
            </w:r>
          </w:p>
        </w:tc>
        <w:tc>
          <w:tcPr>
            <w:tcW w:w="1499"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199,9</w:t>
            </w:r>
          </w:p>
        </w:tc>
        <w:tc>
          <w:tcPr>
            <w:tcW w:w="1500"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219,5</w:t>
            </w:r>
          </w:p>
        </w:tc>
      </w:tr>
      <w:tr w:rsidR="00F32158" w:rsidRPr="00F32158" w:rsidTr="00BF1F99">
        <w:trPr>
          <w:jc w:val="center"/>
        </w:trPr>
        <w:tc>
          <w:tcPr>
            <w:tcW w:w="2235" w:type="dxa"/>
          </w:tcPr>
          <w:p w:rsidR="00F32158" w:rsidRPr="00F32158" w:rsidRDefault="00F32158" w:rsidP="00F32158">
            <w:pPr>
              <w:spacing w:line="276" w:lineRule="auto"/>
              <w:rPr>
                <w:sz w:val="24"/>
                <w:szCs w:val="24"/>
              </w:rPr>
            </w:pPr>
            <w:r w:rsidRPr="00F32158">
              <w:rPr>
                <w:sz w:val="24"/>
                <w:szCs w:val="24"/>
              </w:rPr>
              <w:t xml:space="preserve">Чернівецька </w:t>
            </w:r>
          </w:p>
        </w:tc>
        <w:tc>
          <w:tcPr>
            <w:tcW w:w="1417"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179,2</w:t>
            </w:r>
          </w:p>
        </w:tc>
        <w:tc>
          <w:tcPr>
            <w:tcW w:w="1421"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178,7</w:t>
            </w:r>
          </w:p>
        </w:tc>
        <w:tc>
          <w:tcPr>
            <w:tcW w:w="1499"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198,2</w:t>
            </w:r>
          </w:p>
        </w:tc>
        <w:tc>
          <w:tcPr>
            <w:tcW w:w="1499"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247,3</w:t>
            </w:r>
          </w:p>
        </w:tc>
        <w:tc>
          <w:tcPr>
            <w:tcW w:w="1500"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169,1</w:t>
            </w:r>
          </w:p>
        </w:tc>
      </w:tr>
      <w:tr w:rsidR="00F32158" w:rsidRPr="00F32158" w:rsidTr="00BF1F99">
        <w:trPr>
          <w:jc w:val="center"/>
        </w:trPr>
        <w:tc>
          <w:tcPr>
            <w:tcW w:w="2235" w:type="dxa"/>
          </w:tcPr>
          <w:p w:rsidR="00F32158" w:rsidRPr="00F32158" w:rsidRDefault="00F32158" w:rsidP="00F32158">
            <w:pPr>
              <w:spacing w:line="276" w:lineRule="auto"/>
              <w:rPr>
                <w:sz w:val="24"/>
                <w:szCs w:val="24"/>
              </w:rPr>
            </w:pPr>
            <w:r w:rsidRPr="00F32158">
              <w:rPr>
                <w:sz w:val="24"/>
                <w:szCs w:val="24"/>
              </w:rPr>
              <w:t xml:space="preserve">Чернігівська </w:t>
            </w:r>
          </w:p>
        </w:tc>
        <w:tc>
          <w:tcPr>
            <w:tcW w:w="1417"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248,3</w:t>
            </w:r>
          </w:p>
        </w:tc>
        <w:tc>
          <w:tcPr>
            <w:tcW w:w="1421"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196,9</w:t>
            </w:r>
          </w:p>
        </w:tc>
        <w:tc>
          <w:tcPr>
            <w:tcW w:w="1499"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231,2</w:t>
            </w:r>
          </w:p>
        </w:tc>
        <w:tc>
          <w:tcPr>
            <w:tcW w:w="1499"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147,3</w:t>
            </w:r>
          </w:p>
        </w:tc>
        <w:tc>
          <w:tcPr>
            <w:tcW w:w="1500"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175,9</w:t>
            </w:r>
          </w:p>
        </w:tc>
      </w:tr>
      <w:tr w:rsidR="00F32158" w:rsidRPr="00F32158" w:rsidTr="00BF1F99">
        <w:trPr>
          <w:jc w:val="center"/>
        </w:trPr>
        <w:tc>
          <w:tcPr>
            <w:tcW w:w="2235" w:type="dxa"/>
          </w:tcPr>
          <w:p w:rsidR="00F32158" w:rsidRPr="00F32158" w:rsidRDefault="00F32158" w:rsidP="00F32158">
            <w:pPr>
              <w:spacing w:line="276" w:lineRule="auto"/>
              <w:rPr>
                <w:sz w:val="24"/>
                <w:szCs w:val="24"/>
              </w:rPr>
            </w:pPr>
            <w:r w:rsidRPr="00F32158">
              <w:rPr>
                <w:sz w:val="24"/>
                <w:szCs w:val="24"/>
              </w:rPr>
              <w:t>м. Київ</w:t>
            </w:r>
          </w:p>
        </w:tc>
        <w:tc>
          <w:tcPr>
            <w:tcW w:w="1417"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174,7</w:t>
            </w:r>
          </w:p>
        </w:tc>
        <w:tc>
          <w:tcPr>
            <w:tcW w:w="1421"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192,0</w:t>
            </w:r>
          </w:p>
        </w:tc>
        <w:tc>
          <w:tcPr>
            <w:tcW w:w="1499"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157,5</w:t>
            </w:r>
          </w:p>
        </w:tc>
        <w:tc>
          <w:tcPr>
            <w:tcW w:w="1499"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154,4</w:t>
            </w:r>
          </w:p>
        </w:tc>
        <w:tc>
          <w:tcPr>
            <w:tcW w:w="1500"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134,6</w:t>
            </w:r>
          </w:p>
        </w:tc>
      </w:tr>
    </w:tbl>
    <w:p w:rsidR="00F32158" w:rsidRPr="00F32158" w:rsidRDefault="00F32158" w:rsidP="00F32158">
      <w:pPr>
        <w:spacing w:line="240" w:lineRule="auto"/>
        <w:rPr>
          <w:rFonts w:eastAsia="Times New Roman"/>
          <w:sz w:val="20"/>
          <w:szCs w:val="20"/>
          <w:lang w:eastAsia="ru-RU"/>
        </w:rPr>
      </w:pPr>
      <w:r w:rsidRPr="00F32158">
        <w:rPr>
          <w:rFonts w:eastAsia="Times New Roman"/>
          <w:sz w:val="20"/>
          <w:szCs w:val="20"/>
          <w:vertAlign w:val="superscript"/>
          <w:lang w:val="ru-RU" w:eastAsia="ru-RU"/>
        </w:rPr>
        <w:t>1</w:t>
      </w:r>
      <w:r w:rsidRPr="00F32158">
        <w:rPr>
          <w:rFonts w:eastAsia="Times New Roman"/>
          <w:sz w:val="20"/>
          <w:szCs w:val="20"/>
          <w:lang w:val="ru-RU" w:eastAsia="ru-RU"/>
        </w:rPr>
        <w:t>Без урахування тимчасово окупованої території Автономної Республіки Крим і м. Севастополя та частини зони</w:t>
      </w:r>
      <w:r w:rsidRPr="00F32158">
        <w:rPr>
          <w:rFonts w:eastAsia="Times New Roman"/>
          <w:sz w:val="20"/>
          <w:szCs w:val="20"/>
          <w:lang w:eastAsia="ru-RU"/>
        </w:rPr>
        <w:t xml:space="preserve"> </w:t>
      </w:r>
      <w:r w:rsidRPr="00F32158">
        <w:rPr>
          <w:rFonts w:eastAsia="Times New Roman"/>
          <w:sz w:val="20"/>
          <w:szCs w:val="20"/>
          <w:lang w:val="ru-RU" w:eastAsia="ru-RU"/>
        </w:rPr>
        <w:t>проведення антитерористичної операції.</w:t>
      </w:r>
    </w:p>
    <w:p w:rsidR="00F32158" w:rsidRPr="00F32158" w:rsidRDefault="00F32158" w:rsidP="00F32158">
      <w:pPr>
        <w:rPr>
          <w:rFonts w:eastAsia="Times New Roman"/>
          <w:szCs w:val="28"/>
          <w:lang w:eastAsia="ru-RU"/>
        </w:rPr>
      </w:pPr>
    </w:p>
    <w:p w:rsidR="00F32158" w:rsidRPr="00F32158" w:rsidRDefault="00F32158" w:rsidP="00F32158">
      <w:pPr>
        <w:spacing w:line="276" w:lineRule="auto"/>
        <w:ind w:firstLine="709"/>
        <w:jc w:val="right"/>
        <w:rPr>
          <w:rFonts w:eastAsia="Calibri"/>
          <w:i/>
          <w:szCs w:val="28"/>
        </w:rPr>
      </w:pPr>
    </w:p>
    <w:p w:rsidR="00F32158" w:rsidRPr="00F32158" w:rsidRDefault="00F32158" w:rsidP="00F32158">
      <w:pPr>
        <w:spacing w:line="276" w:lineRule="auto"/>
        <w:ind w:firstLine="709"/>
        <w:jc w:val="right"/>
        <w:rPr>
          <w:rFonts w:eastAsia="Calibri"/>
          <w:i/>
          <w:szCs w:val="28"/>
        </w:rPr>
      </w:pPr>
    </w:p>
    <w:p w:rsidR="00F32158" w:rsidRPr="00F32158" w:rsidRDefault="00F32158" w:rsidP="00F32158">
      <w:pPr>
        <w:spacing w:line="276" w:lineRule="auto"/>
        <w:jc w:val="left"/>
        <w:rPr>
          <w:rFonts w:eastAsia="Calibri"/>
          <w:szCs w:val="28"/>
          <w:lang w:val="ru-RU"/>
        </w:rPr>
      </w:pPr>
    </w:p>
    <w:p w:rsidR="00F32158" w:rsidRPr="00F32158" w:rsidRDefault="00B11B16" w:rsidP="005D3D66">
      <w:pPr>
        <w:pageBreakBefore/>
        <w:widowControl w:val="0"/>
        <w:ind w:firstLine="709"/>
        <w:jc w:val="right"/>
        <w:rPr>
          <w:rFonts w:eastAsia="Calibri"/>
          <w:szCs w:val="28"/>
        </w:rPr>
      </w:pPr>
      <w:r>
        <w:rPr>
          <w:rFonts w:eastAsia="Calibri"/>
          <w:szCs w:val="28"/>
        </w:rPr>
        <w:lastRenderedPageBreak/>
        <w:t>Додаток Б</w:t>
      </w:r>
      <w:r w:rsidR="00F32158" w:rsidRPr="00F32158">
        <w:rPr>
          <w:rFonts w:eastAsia="Calibri"/>
          <w:szCs w:val="28"/>
        </w:rPr>
        <w:t>-3</w:t>
      </w:r>
    </w:p>
    <w:p w:rsidR="00F32158" w:rsidRPr="00F32158" w:rsidRDefault="00F32158" w:rsidP="00F32158">
      <w:pPr>
        <w:ind w:firstLine="709"/>
        <w:jc w:val="center"/>
        <w:rPr>
          <w:rFonts w:eastAsia="Calibri"/>
          <w:b/>
          <w:szCs w:val="28"/>
        </w:rPr>
      </w:pPr>
      <w:r w:rsidRPr="00F32158">
        <w:rPr>
          <w:rFonts w:eastAsia="Calibri"/>
          <w:b/>
          <w:szCs w:val="28"/>
        </w:rPr>
        <w:t>Вікові коефіцієнти смертності дівчаток у віці до 5 років за регіонами України у 2014-2018 рр. (на 100 тис. осіб відповідного віку)</w:t>
      </w:r>
    </w:p>
    <w:tbl>
      <w:tblPr>
        <w:tblStyle w:val="3010"/>
        <w:tblW w:w="0" w:type="auto"/>
        <w:jc w:val="center"/>
        <w:tblLook w:val="04A0" w:firstRow="1" w:lastRow="0" w:firstColumn="1" w:lastColumn="0" w:noHBand="0" w:noVBand="1"/>
      </w:tblPr>
      <w:tblGrid>
        <w:gridCol w:w="2235"/>
        <w:gridCol w:w="1417"/>
        <w:gridCol w:w="1421"/>
        <w:gridCol w:w="1499"/>
        <w:gridCol w:w="1499"/>
        <w:gridCol w:w="1500"/>
      </w:tblGrid>
      <w:tr w:rsidR="00F32158" w:rsidRPr="00F32158" w:rsidTr="00BF1F99">
        <w:trPr>
          <w:jc w:val="center"/>
        </w:trPr>
        <w:tc>
          <w:tcPr>
            <w:tcW w:w="2235" w:type="dxa"/>
          </w:tcPr>
          <w:p w:rsidR="00F32158" w:rsidRPr="00F32158" w:rsidRDefault="00F32158" w:rsidP="00F32158">
            <w:pPr>
              <w:spacing w:line="276" w:lineRule="auto"/>
              <w:jc w:val="center"/>
              <w:rPr>
                <w:rFonts w:eastAsia="Calibri"/>
                <w:sz w:val="24"/>
                <w:szCs w:val="24"/>
              </w:rPr>
            </w:pPr>
            <w:r w:rsidRPr="00F32158">
              <w:rPr>
                <w:sz w:val="24"/>
                <w:szCs w:val="24"/>
              </w:rPr>
              <w:t>Адміністративна територія/область</w:t>
            </w:r>
          </w:p>
        </w:tc>
        <w:tc>
          <w:tcPr>
            <w:tcW w:w="1417"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2014 рік</w:t>
            </w:r>
          </w:p>
        </w:tc>
        <w:tc>
          <w:tcPr>
            <w:tcW w:w="1421"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2015 рік</w:t>
            </w:r>
          </w:p>
        </w:tc>
        <w:tc>
          <w:tcPr>
            <w:tcW w:w="1499"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2016 рік</w:t>
            </w:r>
          </w:p>
        </w:tc>
        <w:tc>
          <w:tcPr>
            <w:tcW w:w="1499"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2017 рік</w:t>
            </w:r>
          </w:p>
        </w:tc>
        <w:tc>
          <w:tcPr>
            <w:tcW w:w="1500"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2018 рік</w:t>
            </w:r>
          </w:p>
        </w:tc>
      </w:tr>
      <w:tr w:rsidR="00F32158" w:rsidRPr="00F32158" w:rsidTr="00BF1F99">
        <w:trPr>
          <w:jc w:val="center"/>
        </w:trPr>
        <w:tc>
          <w:tcPr>
            <w:tcW w:w="2235" w:type="dxa"/>
          </w:tcPr>
          <w:p w:rsidR="00F32158" w:rsidRPr="00F32158" w:rsidRDefault="00F32158" w:rsidP="00F32158">
            <w:pPr>
              <w:spacing w:line="276" w:lineRule="auto"/>
              <w:rPr>
                <w:rFonts w:eastAsia="Calibri"/>
                <w:b/>
                <w:sz w:val="24"/>
                <w:szCs w:val="24"/>
              </w:rPr>
            </w:pPr>
            <w:r w:rsidRPr="00F32158">
              <w:rPr>
                <w:rFonts w:eastAsia="Calibri"/>
                <w:b/>
                <w:sz w:val="24"/>
                <w:szCs w:val="24"/>
              </w:rPr>
              <w:t>Україна</w:t>
            </w:r>
          </w:p>
        </w:tc>
        <w:tc>
          <w:tcPr>
            <w:tcW w:w="1417" w:type="dxa"/>
          </w:tcPr>
          <w:p w:rsidR="00F32158" w:rsidRPr="00F32158" w:rsidRDefault="00F32158" w:rsidP="00F32158">
            <w:pPr>
              <w:spacing w:line="276" w:lineRule="auto"/>
              <w:jc w:val="center"/>
              <w:rPr>
                <w:rFonts w:eastAsia="Calibri"/>
                <w:b/>
                <w:sz w:val="24"/>
                <w:szCs w:val="24"/>
              </w:rPr>
            </w:pPr>
            <w:r w:rsidRPr="00F32158">
              <w:rPr>
                <w:rFonts w:eastAsia="Calibri"/>
                <w:b/>
                <w:sz w:val="24"/>
                <w:szCs w:val="24"/>
              </w:rPr>
              <w:t>164,3</w:t>
            </w:r>
          </w:p>
        </w:tc>
        <w:tc>
          <w:tcPr>
            <w:tcW w:w="1421" w:type="dxa"/>
          </w:tcPr>
          <w:p w:rsidR="00F32158" w:rsidRPr="00F32158" w:rsidRDefault="00F32158" w:rsidP="00F32158">
            <w:pPr>
              <w:spacing w:line="276" w:lineRule="auto"/>
              <w:jc w:val="center"/>
              <w:rPr>
                <w:rFonts w:eastAsia="Calibri"/>
                <w:b/>
                <w:sz w:val="24"/>
                <w:szCs w:val="24"/>
              </w:rPr>
            </w:pPr>
            <w:r w:rsidRPr="00F32158">
              <w:rPr>
                <w:rFonts w:eastAsia="Calibri"/>
                <w:b/>
                <w:sz w:val="24"/>
                <w:szCs w:val="24"/>
              </w:rPr>
              <w:t>161,1</w:t>
            </w:r>
          </w:p>
        </w:tc>
        <w:tc>
          <w:tcPr>
            <w:tcW w:w="1499" w:type="dxa"/>
          </w:tcPr>
          <w:p w:rsidR="00F32158" w:rsidRPr="00F32158" w:rsidRDefault="00F32158" w:rsidP="00F32158">
            <w:pPr>
              <w:spacing w:line="276" w:lineRule="auto"/>
              <w:jc w:val="center"/>
              <w:rPr>
                <w:rFonts w:eastAsia="Calibri"/>
                <w:b/>
                <w:sz w:val="24"/>
                <w:szCs w:val="24"/>
              </w:rPr>
            </w:pPr>
            <w:r w:rsidRPr="00F32158">
              <w:rPr>
                <w:rFonts w:eastAsia="Calibri"/>
                <w:b/>
                <w:sz w:val="24"/>
                <w:szCs w:val="24"/>
              </w:rPr>
              <w:t>146,2</w:t>
            </w:r>
          </w:p>
        </w:tc>
        <w:tc>
          <w:tcPr>
            <w:tcW w:w="1499" w:type="dxa"/>
          </w:tcPr>
          <w:p w:rsidR="00F32158" w:rsidRPr="00F32158" w:rsidRDefault="00F32158" w:rsidP="00F32158">
            <w:pPr>
              <w:spacing w:line="276" w:lineRule="auto"/>
              <w:jc w:val="center"/>
              <w:rPr>
                <w:rFonts w:eastAsia="Calibri"/>
                <w:b/>
                <w:sz w:val="24"/>
                <w:szCs w:val="24"/>
              </w:rPr>
            </w:pPr>
            <w:r w:rsidRPr="00F32158">
              <w:rPr>
                <w:rFonts w:eastAsia="Calibri"/>
                <w:b/>
                <w:sz w:val="24"/>
                <w:szCs w:val="24"/>
              </w:rPr>
              <w:t>139,6</w:t>
            </w:r>
          </w:p>
        </w:tc>
        <w:tc>
          <w:tcPr>
            <w:tcW w:w="1500" w:type="dxa"/>
          </w:tcPr>
          <w:p w:rsidR="00F32158" w:rsidRPr="00F32158" w:rsidRDefault="00F32158" w:rsidP="00F32158">
            <w:pPr>
              <w:spacing w:line="276" w:lineRule="auto"/>
              <w:jc w:val="center"/>
              <w:rPr>
                <w:rFonts w:eastAsia="Calibri"/>
                <w:b/>
                <w:sz w:val="24"/>
                <w:szCs w:val="24"/>
              </w:rPr>
            </w:pPr>
            <w:r w:rsidRPr="00F32158">
              <w:rPr>
                <w:rFonts w:eastAsia="Calibri"/>
                <w:b/>
                <w:sz w:val="24"/>
                <w:szCs w:val="24"/>
              </w:rPr>
              <w:t>133,8</w:t>
            </w:r>
          </w:p>
        </w:tc>
      </w:tr>
      <w:tr w:rsidR="00F32158" w:rsidRPr="00F32158" w:rsidTr="00BF1F99">
        <w:trPr>
          <w:jc w:val="center"/>
        </w:trPr>
        <w:tc>
          <w:tcPr>
            <w:tcW w:w="2235" w:type="dxa"/>
          </w:tcPr>
          <w:p w:rsidR="00F32158" w:rsidRPr="00F32158" w:rsidRDefault="00F32158" w:rsidP="00F32158">
            <w:pPr>
              <w:spacing w:line="276" w:lineRule="auto"/>
              <w:rPr>
                <w:rFonts w:eastAsia="Calibri"/>
                <w:sz w:val="24"/>
                <w:szCs w:val="24"/>
              </w:rPr>
            </w:pPr>
            <w:r w:rsidRPr="00F32158">
              <w:rPr>
                <w:rFonts w:eastAsia="Calibri"/>
                <w:sz w:val="24"/>
                <w:szCs w:val="24"/>
              </w:rPr>
              <w:t>Вінницька</w:t>
            </w:r>
          </w:p>
        </w:tc>
        <w:tc>
          <w:tcPr>
            <w:tcW w:w="1417"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145,9</w:t>
            </w:r>
          </w:p>
        </w:tc>
        <w:tc>
          <w:tcPr>
            <w:tcW w:w="1421"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137,5</w:t>
            </w:r>
          </w:p>
        </w:tc>
        <w:tc>
          <w:tcPr>
            <w:tcW w:w="1499"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159,9</w:t>
            </w:r>
          </w:p>
        </w:tc>
        <w:tc>
          <w:tcPr>
            <w:tcW w:w="1499"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133,9</w:t>
            </w:r>
          </w:p>
        </w:tc>
        <w:tc>
          <w:tcPr>
            <w:tcW w:w="1500"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109,5</w:t>
            </w:r>
          </w:p>
        </w:tc>
      </w:tr>
      <w:tr w:rsidR="00F32158" w:rsidRPr="00F32158" w:rsidTr="00BF1F99">
        <w:trPr>
          <w:jc w:val="center"/>
        </w:trPr>
        <w:tc>
          <w:tcPr>
            <w:tcW w:w="2235" w:type="dxa"/>
          </w:tcPr>
          <w:p w:rsidR="00F32158" w:rsidRPr="00F32158" w:rsidRDefault="00F32158" w:rsidP="00F32158">
            <w:pPr>
              <w:spacing w:line="276" w:lineRule="auto"/>
              <w:rPr>
                <w:rFonts w:eastAsia="Calibri"/>
                <w:sz w:val="24"/>
                <w:szCs w:val="24"/>
              </w:rPr>
            </w:pPr>
            <w:r w:rsidRPr="00F32158">
              <w:rPr>
                <w:rFonts w:eastAsia="Calibri"/>
                <w:sz w:val="24"/>
                <w:szCs w:val="24"/>
              </w:rPr>
              <w:t>Волинська</w:t>
            </w:r>
          </w:p>
        </w:tc>
        <w:tc>
          <w:tcPr>
            <w:tcW w:w="1417"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126,2</w:t>
            </w:r>
          </w:p>
        </w:tc>
        <w:tc>
          <w:tcPr>
            <w:tcW w:w="1421"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127,7</w:t>
            </w:r>
          </w:p>
        </w:tc>
        <w:tc>
          <w:tcPr>
            <w:tcW w:w="1499"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127,2</w:t>
            </w:r>
          </w:p>
        </w:tc>
        <w:tc>
          <w:tcPr>
            <w:tcW w:w="1499"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131,6</w:t>
            </w:r>
          </w:p>
        </w:tc>
        <w:tc>
          <w:tcPr>
            <w:tcW w:w="1500"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138,4</w:t>
            </w:r>
          </w:p>
        </w:tc>
      </w:tr>
      <w:tr w:rsidR="00F32158" w:rsidRPr="00F32158" w:rsidTr="00BF1F99">
        <w:trPr>
          <w:jc w:val="center"/>
        </w:trPr>
        <w:tc>
          <w:tcPr>
            <w:tcW w:w="2235" w:type="dxa"/>
          </w:tcPr>
          <w:p w:rsidR="00F32158" w:rsidRPr="00F32158" w:rsidRDefault="00F32158" w:rsidP="00F32158">
            <w:pPr>
              <w:spacing w:line="276" w:lineRule="auto"/>
              <w:rPr>
                <w:rFonts w:eastAsia="Calibri"/>
                <w:sz w:val="24"/>
                <w:szCs w:val="24"/>
              </w:rPr>
            </w:pPr>
            <w:r w:rsidRPr="00F32158">
              <w:rPr>
                <w:rFonts w:eastAsia="Calibri"/>
                <w:sz w:val="24"/>
                <w:szCs w:val="24"/>
              </w:rPr>
              <w:t>Дніпропетровська</w:t>
            </w:r>
          </w:p>
        </w:tc>
        <w:tc>
          <w:tcPr>
            <w:tcW w:w="1417"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155,9</w:t>
            </w:r>
          </w:p>
        </w:tc>
        <w:tc>
          <w:tcPr>
            <w:tcW w:w="1421"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168,7</w:t>
            </w:r>
          </w:p>
        </w:tc>
        <w:tc>
          <w:tcPr>
            <w:tcW w:w="1499"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155,6</w:t>
            </w:r>
          </w:p>
        </w:tc>
        <w:tc>
          <w:tcPr>
            <w:tcW w:w="1499"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138,2</w:t>
            </w:r>
          </w:p>
        </w:tc>
        <w:tc>
          <w:tcPr>
            <w:tcW w:w="1500"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158,1</w:t>
            </w:r>
          </w:p>
        </w:tc>
      </w:tr>
      <w:tr w:rsidR="00F32158" w:rsidRPr="00F32158" w:rsidTr="00BF1F99">
        <w:trPr>
          <w:jc w:val="center"/>
        </w:trPr>
        <w:tc>
          <w:tcPr>
            <w:tcW w:w="2235" w:type="dxa"/>
          </w:tcPr>
          <w:p w:rsidR="00F32158" w:rsidRPr="00F32158" w:rsidRDefault="00F32158" w:rsidP="00F32158">
            <w:pPr>
              <w:spacing w:line="276" w:lineRule="auto"/>
              <w:rPr>
                <w:rFonts w:eastAsia="Calibri"/>
                <w:sz w:val="24"/>
                <w:szCs w:val="24"/>
                <w:vertAlign w:val="superscript"/>
              </w:rPr>
            </w:pPr>
            <w:r w:rsidRPr="00F32158">
              <w:rPr>
                <w:rFonts w:eastAsia="Calibri"/>
                <w:sz w:val="24"/>
                <w:szCs w:val="24"/>
              </w:rPr>
              <w:t>Донецька</w:t>
            </w:r>
            <w:r w:rsidRPr="00F32158">
              <w:rPr>
                <w:rFonts w:eastAsia="Calibri"/>
                <w:sz w:val="24"/>
                <w:szCs w:val="24"/>
                <w:vertAlign w:val="superscript"/>
              </w:rPr>
              <w:t>1</w:t>
            </w:r>
          </w:p>
        </w:tc>
        <w:tc>
          <w:tcPr>
            <w:tcW w:w="1417" w:type="dxa"/>
          </w:tcPr>
          <w:p w:rsidR="00F32158" w:rsidRPr="00F32158" w:rsidRDefault="00F32158" w:rsidP="00F32158">
            <w:pPr>
              <w:spacing w:line="276" w:lineRule="auto"/>
              <w:jc w:val="center"/>
              <w:rPr>
                <w:rFonts w:eastAsia="Calibri"/>
                <w:sz w:val="24"/>
                <w:szCs w:val="24"/>
              </w:rPr>
            </w:pPr>
            <w:r w:rsidRPr="00F32158">
              <w:rPr>
                <w:color w:val="000000"/>
                <w:sz w:val="24"/>
                <w:szCs w:val="24"/>
              </w:rPr>
              <w:t>197,3</w:t>
            </w:r>
          </w:p>
        </w:tc>
        <w:tc>
          <w:tcPr>
            <w:tcW w:w="1421"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w:t>
            </w:r>
          </w:p>
        </w:tc>
        <w:tc>
          <w:tcPr>
            <w:tcW w:w="1499"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w:t>
            </w:r>
          </w:p>
        </w:tc>
        <w:tc>
          <w:tcPr>
            <w:tcW w:w="1499"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w:t>
            </w:r>
          </w:p>
        </w:tc>
        <w:tc>
          <w:tcPr>
            <w:tcW w:w="1500"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w:t>
            </w:r>
          </w:p>
        </w:tc>
      </w:tr>
      <w:tr w:rsidR="00F32158" w:rsidRPr="00F32158" w:rsidTr="00BF1F99">
        <w:trPr>
          <w:jc w:val="center"/>
        </w:trPr>
        <w:tc>
          <w:tcPr>
            <w:tcW w:w="2235" w:type="dxa"/>
          </w:tcPr>
          <w:p w:rsidR="00F32158" w:rsidRPr="00F32158" w:rsidRDefault="00F32158" w:rsidP="00F32158">
            <w:pPr>
              <w:spacing w:line="276" w:lineRule="auto"/>
              <w:rPr>
                <w:rFonts w:eastAsia="Calibri"/>
                <w:sz w:val="24"/>
                <w:szCs w:val="24"/>
              </w:rPr>
            </w:pPr>
            <w:r w:rsidRPr="00F32158">
              <w:rPr>
                <w:rFonts w:eastAsia="Calibri"/>
                <w:sz w:val="24"/>
                <w:szCs w:val="24"/>
              </w:rPr>
              <w:t>Житомирська</w:t>
            </w:r>
          </w:p>
        </w:tc>
        <w:tc>
          <w:tcPr>
            <w:tcW w:w="1417"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177,2</w:t>
            </w:r>
          </w:p>
        </w:tc>
        <w:tc>
          <w:tcPr>
            <w:tcW w:w="1421"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172,9</w:t>
            </w:r>
          </w:p>
        </w:tc>
        <w:tc>
          <w:tcPr>
            <w:tcW w:w="1499"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151,1</w:t>
            </w:r>
          </w:p>
        </w:tc>
        <w:tc>
          <w:tcPr>
            <w:tcW w:w="1499"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124,6</w:t>
            </w:r>
          </w:p>
        </w:tc>
        <w:tc>
          <w:tcPr>
            <w:tcW w:w="1500"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119,7</w:t>
            </w:r>
          </w:p>
        </w:tc>
      </w:tr>
      <w:tr w:rsidR="00F32158" w:rsidRPr="00F32158" w:rsidTr="00BF1F99">
        <w:trPr>
          <w:jc w:val="center"/>
        </w:trPr>
        <w:tc>
          <w:tcPr>
            <w:tcW w:w="2235" w:type="dxa"/>
          </w:tcPr>
          <w:p w:rsidR="00F32158" w:rsidRPr="00F32158" w:rsidRDefault="00F32158" w:rsidP="00F32158">
            <w:pPr>
              <w:spacing w:line="276" w:lineRule="auto"/>
              <w:rPr>
                <w:rFonts w:eastAsia="Calibri"/>
                <w:sz w:val="24"/>
                <w:szCs w:val="24"/>
              </w:rPr>
            </w:pPr>
            <w:r w:rsidRPr="00F32158">
              <w:rPr>
                <w:rFonts w:eastAsia="Calibri"/>
                <w:sz w:val="24"/>
                <w:szCs w:val="24"/>
              </w:rPr>
              <w:t>Закарпатська</w:t>
            </w:r>
          </w:p>
        </w:tc>
        <w:tc>
          <w:tcPr>
            <w:tcW w:w="1417"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162,1</w:t>
            </w:r>
          </w:p>
        </w:tc>
        <w:tc>
          <w:tcPr>
            <w:tcW w:w="1421"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224,6</w:t>
            </w:r>
          </w:p>
        </w:tc>
        <w:tc>
          <w:tcPr>
            <w:tcW w:w="1499"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241,5</w:t>
            </w:r>
          </w:p>
        </w:tc>
        <w:tc>
          <w:tcPr>
            <w:tcW w:w="1499"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208,1</w:t>
            </w:r>
          </w:p>
        </w:tc>
        <w:tc>
          <w:tcPr>
            <w:tcW w:w="1500"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240,5</w:t>
            </w:r>
          </w:p>
        </w:tc>
      </w:tr>
      <w:tr w:rsidR="00F32158" w:rsidRPr="00F32158" w:rsidTr="00BF1F99">
        <w:trPr>
          <w:jc w:val="center"/>
        </w:trPr>
        <w:tc>
          <w:tcPr>
            <w:tcW w:w="2235" w:type="dxa"/>
          </w:tcPr>
          <w:p w:rsidR="00F32158" w:rsidRPr="00F32158" w:rsidRDefault="00F32158" w:rsidP="00F32158">
            <w:pPr>
              <w:spacing w:line="276" w:lineRule="auto"/>
              <w:rPr>
                <w:rFonts w:eastAsia="Calibri"/>
                <w:sz w:val="24"/>
                <w:szCs w:val="24"/>
              </w:rPr>
            </w:pPr>
            <w:r w:rsidRPr="00F32158">
              <w:rPr>
                <w:rFonts w:eastAsia="Calibri"/>
                <w:sz w:val="24"/>
                <w:szCs w:val="24"/>
              </w:rPr>
              <w:t>Запорізька</w:t>
            </w:r>
          </w:p>
        </w:tc>
        <w:tc>
          <w:tcPr>
            <w:tcW w:w="1417"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154,1</w:t>
            </w:r>
          </w:p>
        </w:tc>
        <w:tc>
          <w:tcPr>
            <w:tcW w:w="1421"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141,5</w:t>
            </w:r>
          </w:p>
        </w:tc>
        <w:tc>
          <w:tcPr>
            <w:tcW w:w="1499"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139,8</w:t>
            </w:r>
          </w:p>
        </w:tc>
        <w:tc>
          <w:tcPr>
            <w:tcW w:w="1499"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128,8</w:t>
            </w:r>
          </w:p>
        </w:tc>
        <w:tc>
          <w:tcPr>
            <w:tcW w:w="1500"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152,8</w:t>
            </w:r>
          </w:p>
        </w:tc>
      </w:tr>
      <w:tr w:rsidR="00F32158" w:rsidRPr="00F32158" w:rsidTr="00BF1F99">
        <w:trPr>
          <w:jc w:val="center"/>
        </w:trPr>
        <w:tc>
          <w:tcPr>
            <w:tcW w:w="2235" w:type="dxa"/>
          </w:tcPr>
          <w:p w:rsidR="00F32158" w:rsidRPr="00F32158" w:rsidRDefault="00F32158" w:rsidP="00F32158">
            <w:pPr>
              <w:spacing w:line="276" w:lineRule="auto"/>
              <w:rPr>
                <w:sz w:val="24"/>
                <w:szCs w:val="24"/>
              </w:rPr>
            </w:pPr>
            <w:r w:rsidRPr="00F32158">
              <w:rPr>
                <w:sz w:val="24"/>
                <w:szCs w:val="24"/>
              </w:rPr>
              <w:t xml:space="preserve">Івано-Франківська </w:t>
            </w:r>
          </w:p>
        </w:tc>
        <w:tc>
          <w:tcPr>
            <w:tcW w:w="1417"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150,1</w:t>
            </w:r>
          </w:p>
        </w:tc>
        <w:tc>
          <w:tcPr>
            <w:tcW w:w="1421"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143,4</w:t>
            </w:r>
          </w:p>
        </w:tc>
        <w:tc>
          <w:tcPr>
            <w:tcW w:w="1499"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136,2</w:t>
            </w:r>
          </w:p>
        </w:tc>
        <w:tc>
          <w:tcPr>
            <w:tcW w:w="1499"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125,4</w:t>
            </w:r>
          </w:p>
        </w:tc>
        <w:tc>
          <w:tcPr>
            <w:tcW w:w="1500"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139,8</w:t>
            </w:r>
          </w:p>
        </w:tc>
      </w:tr>
      <w:tr w:rsidR="00F32158" w:rsidRPr="00F32158" w:rsidTr="00BF1F99">
        <w:trPr>
          <w:jc w:val="center"/>
        </w:trPr>
        <w:tc>
          <w:tcPr>
            <w:tcW w:w="2235" w:type="dxa"/>
          </w:tcPr>
          <w:p w:rsidR="00F32158" w:rsidRPr="00F32158" w:rsidRDefault="00F32158" w:rsidP="00F32158">
            <w:pPr>
              <w:spacing w:line="276" w:lineRule="auto"/>
              <w:rPr>
                <w:sz w:val="24"/>
                <w:szCs w:val="24"/>
              </w:rPr>
            </w:pPr>
            <w:r w:rsidRPr="00F32158">
              <w:rPr>
                <w:sz w:val="24"/>
                <w:szCs w:val="24"/>
              </w:rPr>
              <w:t xml:space="preserve">Київська </w:t>
            </w:r>
          </w:p>
        </w:tc>
        <w:tc>
          <w:tcPr>
            <w:tcW w:w="1417"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100,0</w:t>
            </w:r>
          </w:p>
        </w:tc>
        <w:tc>
          <w:tcPr>
            <w:tcW w:w="1421"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146,7</w:t>
            </w:r>
          </w:p>
        </w:tc>
        <w:tc>
          <w:tcPr>
            <w:tcW w:w="1499"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111,2</w:t>
            </w:r>
          </w:p>
        </w:tc>
        <w:tc>
          <w:tcPr>
            <w:tcW w:w="1499"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111,0</w:t>
            </w:r>
          </w:p>
        </w:tc>
        <w:tc>
          <w:tcPr>
            <w:tcW w:w="1500"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88,7</w:t>
            </w:r>
          </w:p>
        </w:tc>
      </w:tr>
      <w:tr w:rsidR="00F32158" w:rsidRPr="00F32158" w:rsidTr="00BF1F99">
        <w:trPr>
          <w:jc w:val="center"/>
        </w:trPr>
        <w:tc>
          <w:tcPr>
            <w:tcW w:w="2235" w:type="dxa"/>
          </w:tcPr>
          <w:p w:rsidR="00F32158" w:rsidRPr="00F32158" w:rsidRDefault="00F32158" w:rsidP="00F32158">
            <w:pPr>
              <w:spacing w:line="276" w:lineRule="auto"/>
              <w:rPr>
                <w:sz w:val="24"/>
                <w:szCs w:val="24"/>
              </w:rPr>
            </w:pPr>
            <w:r w:rsidRPr="00F32158">
              <w:rPr>
                <w:sz w:val="24"/>
                <w:szCs w:val="24"/>
              </w:rPr>
              <w:t xml:space="preserve">Кіровоградська </w:t>
            </w:r>
          </w:p>
        </w:tc>
        <w:tc>
          <w:tcPr>
            <w:tcW w:w="1417"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148,8</w:t>
            </w:r>
          </w:p>
        </w:tc>
        <w:tc>
          <w:tcPr>
            <w:tcW w:w="1421"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174,5</w:t>
            </w:r>
          </w:p>
        </w:tc>
        <w:tc>
          <w:tcPr>
            <w:tcW w:w="1499"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178,8</w:t>
            </w:r>
          </w:p>
        </w:tc>
        <w:tc>
          <w:tcPr>
            <w:tcW w:w="1499"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200,2</w:t>
            </w:r>
          </w:p>
        </w:tc>
        <w:tc>
          <w:tcPr>
            <w:tcW w:w="1500"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178,6</w:t>
            </w:r>
          </w:p>
        </w:tc>
      </w:tr>
      <w:tr w:rsidR="00F32158" w:rsidRPr="00F32158" w:rsidTr="00BF1F99">
        <w:trPr>
          <w:jc w:val="center"/>
        </w:trPr>
        <w:tc>
          <w:tcPr>
            <w:tcW w:w="2235" w:type="dxa"/>
          </w:tcPr>
          <w:p w:rsidR="00F32158" w:rsidRPr="00F32158" w:rsidRDefault="00F32158" w:rsidP="00F32158">
            <w:pPr>
              <w:spacing w:line="276" w:lineRule="auto"/>
              <w:rPr>
                <w:sz w:val="24"/>
                <w:szCs w:val="24"/>
              </w:rPr>
            </w:pPr>
            <w:r w:rsidRPr="00F32158">
              <w:rPr>
                <w:sz w:val="24"/>
                <w:szCs w:val="24"/>
              </w:rPr>
              <w:t>Луганська</w:t>
            </w:r>
            <w:r w:rsidRPr="00F32158">
              <w:rPr>
                <w:sz w:val="24"/>
                <w:szCs w:val="24"/>
                <w:vertAlign w:val="superscript"/>
              </w:rPr>
              <w:t>1</w:t>
            </w:r>
            <w:r w:rsidRPr="00F32158">
              <w:rPr>
                <w:sz w:val="24"/>
                <w:szCs w:val="24"/>
              </w:rPr>
              <w:t xml:space="preserve"> </w:t>
            </w:r>
          </w:p>
        </w:tc>
        <w:tc>
          <w:tcPr>
            <w:tcW w:w="1417" w:type="dxa"/>
          </w:tcPr>
          <w:p w:rsidR="00F32158" w:rsidRPr="00F32158" w:rsidRDefault="00F32158" w:rsidP="00F32158">
            <w:pPr>
              <w:spacing w:line="276" w:lineRule="auto"/>
              <w:jc w:val="center"/>
              <w:rPr>
                <w:rFonts w:eastAsia="Calibri"/>
                <w:sz w:val="24"/>
                <w:szCs w:val="24"/>
              </w:rPr>
            </w:pPr>
            <w:r w:rsidRPr="00F32158">
              <w:rPr>
                <w:color w:val="000000"/>
                <w:sz w:val="24"/>
                <w:szCs w:val="24"/>
              </w:rPr>
              <w:t>135,2</w:t>
            </w:r>
          </w:p>
        </w:tc>
        <w:tc>
          <w:tcPr>
            <w:tcW w:w="1421"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w:t>
            </w:r>
          </w:p>
        </w:tc>
        <w:tc>
          <w:tcPr>
            <w:tcW w:w="1499"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w:t>
            </w:r>
          </w:p>
        </w:tc>
        <w:tc>
          <w:tcPr>
            <w:tcW w:w="1499"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w:t>
            </w:r>
          </w:p>
        </w:tc>
        <w:tc>
          <w:tcPr>
            <w:tcW w:w="1500"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w:t>
            </w:r>
          </w:p>
        </w:tc>
      </w:tr>
      <w:tr w:rsidR="00F32158" w:rsidRPr="00F32158" w:rsidTr="00BF1F99">
        <w:trPr>
          <w:jc w:val="center"/>
        </w:trPr>
        <w:tc>
          <w:tcPr>
            <w:tcW w:w="2235" w:type="dxa"/>
          </w:tcPr>
          <w:p w:rsidR="00F32158" w:rsidRPr="00F32158" w:rsidRDefault="00F32158" w:rsidP="00F32158">
            <w:pPr>
              <w:spacing w:line="276" w:lineRule="auto"/>
              <w:rPr>
                <w:sz w:val="24"/>
                <w:szCs w:val="24"/>
              </w:rPr>
            </w:pPr>
            <w:r w:rsidRPr="00F32158">
              <w:rPr>
                <w:sz w:val="24"/>
                <w:szCs w:val="24"/>
              </w:rPr>
              <w:t xml:space="preserve">Львівська </w:t>
            </w:r>
          </w:p>
        </w:tc>
        <w:tc>
          <w:tcPr>
            <w:tcW w:w="1417"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183,3</w:t>
            </w:r>
          </w:p>
        </w:tc>
        <w:tc>
          <w:tcPr>
            <w:tcW w:w="1421"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166,4</w:t>
            </w:r>
          </w:p>
        </w:tc>
        <w:tc>
          <w:tcPr>
            <w:tcW w:w="1499"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125,1</w:t>
            </w:r>
          </w:p>
        </w:tc>
        <w:tc>
          <w:tcPr>
            <w:tcW w:w="1499"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145,4</w:t>
            </w:r>
          </w:p>
        </w:tc>
        <w:tc>
          <w:tcPr>
            <w:tcW w:w="1500"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122,6</w:t>
            </w:r>
          </w:p>
        </w:tc>
      </w:tr>
      <w:tr w:rsidR="00F32158" w:rsidRPr="00F32158" w:rsidTr="00BF1F99">
        <w:trPr>
          <w:jc w:val="center"/>
        </w:trPr>
        <w:tc>
          <w:tcPr>
            <w:tcW w:w="2235" w:type="dxa"/>
          </w:tcPr>
          <w:p w:rsidR="00F32158" w:rsidRPr="00F32158" w:rsidRDefault="00F32158" w:rsidP="00F32158">
            <w:pPr>
              <w:spacing w:line="276" w:lineRule="auto"/>
              <w:rPr>
                <w:sz w:val="24"/>
                <w:szCs w:val="24"/>
              </w:rPr>
            </w:pPr>
            <w:r w:rsidRPr="00F32158">
              <w:rPr>
                <w:sz w:val="24"/>
                <w:szCs w:val="24"/>
              </w:rPr>
              <w:t xml:space="preserve">Миколаївська </w:t>
            </w:r>
          </w:p>
        </w:tc>
        <w:tc>
          <w:tcPr>
            <w:tcW w:w="1417"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224,7</w:t>
            </w:r>
          </w:p>
        </w:tc>
        <w:tc>
          <w:tcPr>
            <w:tcW w:w="1421"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136,0</w:t>
            </w:r>
          </w:p>
        </w:tc>
        <w:tc>
          <w:tcPr>
            <w:tcW w:w="1499"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143,1</w:t>
            </w:r>
          </w:p>
        </w:tc>
        <w:tc>
          <w:tcPr>
            <w:tcW w:w="1499"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118,3</w:t>
            </w:r>
          </w:p>
        </w:tc>
        <w:tc>
          <w:tcPr>
            <w:tcW w:w="1500"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144,6</w:t>
            </w:r>
          </w:p>
        </w:tc>
      </w:tr>
      <w:tr w:rsidR="00F32158" w:rsidRPr="00F32158" w:rsidTr="00BF1F99">
        <w:trPr>
          <w:jc w:val="center"/>
        </w:trPr>
        <w:tc>
          <w:tcPr>
            <w:tcW w:w="2235" w:type="dxa"/>
          </w:tcPr>
          <w:p w:rsidR="00F32158" w:rsidRPr="00F32158" w:rsidRDefault="00F32158" w:rsidP="00F32158">
            <w:pPr>
              <w:spacing w:line="276" w:lineRule="auto"/>
              <w:rPr>
                <w:sz w:val="24"/>
                <w:szCs w:val="24"/>
              </w:rPr>
            </w:pPr>
            <w:r w:rsidRPr="00F32158">
              <w:rPr>
                <w:sz w:val="24"/>
                <w:szCs w:val="24"/>
              </w:rPr>
              <w:t xml:space="preserve">Одеська </w:t>
            </w:r>
          </w:p>
        </w:tc>
        <w:tc>
          <w:tcPr>
            <w:tcW w:w="1417"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167,1</w:t>
            </w:r>
          </w:p>
        </w:tc>
        <w:tc>
          <w:tcPr>
            <w:tcW w:w="1421"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166,4</w:t>
            </w:r>
          </w:p>
        </w:tc>
        <w:tc>
          <w:tcPr>
            <w:tcW w:w="1499"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156,1</w:t>
            </w:r>
          </w:p>
        </w:tc>
        <w:tc>
          <w:tcPr>
            <w:tcW w:w="1499"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163,8</w:t>
            </w:r>
          </w:p>
        </w:tc>
        <w:tc>
          <w:tcPr>
            <w:tcW w:w="1500"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158,4</w:t>
            </w:r>
          </w:p>
        </w:tc>
      </w:tr>
      <w:tr w:rsidR="00F32158" w:rsidRPr="00F32158" w:rsidTr="00BF1F99">
        <w:trPr>
          <w:jc w:val="center"/>
        </w:trPr>
        <w:tc>
          <w:tcPr>
            <w:tcW w:w="2235" w:type="dxa"/>
          </w:tcPr>
          <w:p w:rsidR="00F32158" w:rsidRPr="00F32158" w:rsidRDefault="00F32158" w:rsidP="00F32158">
            <w:pPr>
              <w:spacing w:line="276" w:lineRule="auto"/>
              <w:rPr>
                <w:sz w:val="24"/>
                <w:szCs w:val="24"/>
              </w:rPr>
            </w:pPr>
            <w:r w:rsidRPr="00F32158">
              <w:rPr>
                <w:sz w:val="24"/>
                <w:szCs w:val="24"/>
              </w:rPr>
              <w:t xml:space="preserve">Полтавська </w:t>
            </w:r>
          </w:p>
        </w:tc>
        <w:tc>
          <w:tcPr>
            <w:tcW w:w="1417"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215,2</w:t>
            </w:r>
          </w:p>
        </w:tc>
        <w:tc>
          <w:tcPr>
            <w:tcW w:w="1421"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117,1</w:t>
            </w:r>
          </w:p>
        </w:tc>
        <w:tc>
          <w:tcPr>
            <w:tcW w:w="1499"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121,9</w:t>
            </w:r>
          </w:p>
        </w:tc>
        <w:tc>
          <w:tcPr>
            <w:tcW w:w="1499"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76,7</w:t>
            </w:r>
          </w:p>
        </w:tc>
        <w:tc>
          <w:tcPr>
            <w:tcW w:w="1500"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80,6</w:t>
            </w:r>
          </w:p>
        </w:tc>
      </w:tr>
      <w:tr w:rsidR="00F32158" w:rsidRPr="00F32158" w:rsidTr="00BF1F99">
        <w:trPr>
          <w:jc w:val="center"/>
        </w:trPr>
        <w:tc>
          <w:tcPr>
            <w:tcW w:w="2235" w:type="dxa"/>
          </w:tcPr>
          <w:p w:rsidR="00F32158" w:rsidRPr="00F32158" w:rsidRDefault="00F32158" w:rsidP="00F32158">
            <w:pPr>
              <w:spacing w:line="276" w:lineRule="auto"/>
              <w:rPr>
                <w:sz w:val="24"/>
                <w:szCs w:val="24"/>
              </w:rPr>
            </w:pPr>
            <w:r w:rsidRPr="00F32158">
              <w:rPr>
                <w:sz w:val="24"/>
                <w:szCs w:val="24"/>
              </w:rPr>
              <w:t xml:space="preserve">Рівненська </w:t>
            </w:r>
          </w:p>
        </w:tc>
        <w:tc>
          <w:tcPr>
            <w:tcW w:w="1417"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166,3</w:t>
            </w:r>
          </w:p>
        </w:tc>
        <w:tc>
          <w:tcPr>
            <w:tcW w:w="1421"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155,5</w:t>
            </w:r>
          </w:p>
        </w:tc>
        <w:tc>
          <w:tcPr>
            <w:tcW w:w="1499"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174,8</w:t>
            </w:r>
          </w:p>
        </w:tc>
        <w:tc>
          <w:tcPr>
            <w:tcW w:w="1499"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164,2</w:t>
            </w:r>
          </w:p>
        </w:tc>
        <w:tc>
          <w:tcPr>
            <w:tcW w:w="1500"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141,7</w:t>
            </w:r>
          </w:p>
        </w:tc>
      </w:tr>
      <w:tr w:rsidR="00F32158" w:rsidRPr="00F32158" w:rsidTr="00BF1F99">
        <w:trPr>
          <w:jc w:val="center"/>
        </w:trPr>
        <w:tc>
          <w:tcPr>
            <w:tcW w:w="2235" w:type="dxa"/>
          </w:tcPr>
          <w:p w:rsidR="00F32158" w:rsidRPr="00F32158" w:rsidRDefault="00F32158" w:rsidP="00F32158">
            <w:pPr>
              <w:spacing w:line="276" w:lineRule="auto"/>
              <w:rPr>
                <w:sz w:val="24"/>
                <w:szCs w:val="24"/>
              </w:rPr>
            </w:pPr>
            <w:r w:rsidRPr="00F32158">
              <w:rPr>
                <w:sz w:val="24"/>
                <w:szCs w:val="24"/>
              </w:rPr>
              <w:t xml:space="preserve">Сумська </w:t>
            </w:r>
          </w:p>
        </w:tc>
        <w:tc>
          <w:tcPr>
            <w:tcW w:w="1417"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157,5</w:t>
            </w:r>
          </w:p>
        </w:tc>
        <w:tc>
          <w:tcPr>
            <w:tcW w:w="1421"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151,2</w:t>
            </w:r>
          </w:p>
        </w:tc>
        <w:tc>
          <w:tcPr>
            <w:tcW w:w="1499"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105,9</w:t>
            </w:r>
          </w:p>
        </w:tc>
        <w:tc>
          <w:tcPr>
            <w:tcW w:w="1499"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132,5</w:t>
            </w:r>
          </w:p>
        </w:tc>
        <w:tc>
          <w:tcPr>
            <w:tcW w:w="1500"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100,8</w:t>
            </w:r>
          </w:p>
        </w:tc>
      </w:tr>
      <w:tr w:rsidR="00F32158" w:rsidRPr="00F32158" w:rsidTr="00BF1F99">
        <w:trPr>
          <w:jc w:val="center"/>
        </w:trPr>
        <w:tc>
          <w:tcPr>
            <w:tcW w:w="2235" w:type="dxa"/>
          </w:tcPr>
          <w:p w:rsidR="00F32158" w:rsidRPr="00F32158" w:rsidRDefault="00F32158" w:rsidP="00F32158">
            <w:pPr>
              <w:spacing w:line="276" w:lineRule="auto"/>
              <w:rPr>
                <w:sz w:val="24"/>
                <w:szCs w:val="24"/>
              </w:rPr>
            </w:pPr>
            <w:r w:rsidRPr="00F32158">
              <w:rPr>
                <w:sz w:val="24"/>
                <w:szCs w:val="24"/>
              </w:rPr>
              <w:t xml:space="preserve">Тернопільська </w:t>
            </w:r>
          </w:p>
        </w:tc>
        <w:tc>
          <w:tcPr>
            <w:tcW w:w="1417"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134,6</w:t>
            </w:r>
          </w:p>
        </w:tc>
        <w:tc>
          <w:tcPr>
            <w:tcW w:w="1421"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154,2</w:t>
            </w:r>
          </w:p>
        </w:tc>
        <w:tc>
          <w:tcPr>
            <w:tcW w:w="1499"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101,0</w:t>
            </w:r>
          </w:p>
        </w:tc>
        <w:tc>
          <w:tcPr>
            <w:tcW w:w="1499"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177,2</w:t>
            </w:r>
          </w:p>
        </w:tc>
        <w:tc>
          <w:tcPr>
            <w:tcW w:w="1500"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95,4</w:t>
            </w:r>
          </w:p>
        </w:tc>
      </w:tr>
      <w:tr w:rsidR="00F32158" w:rsidRPr="00F32158" w:rsidTr="00BF1F99">
        <w:trPr>
          <w:jc w:val="center"/>
        </w:trPr>
        <w:tc>
          <w:tcPr>
            <w:tcW w:w="2235" w:type="dxa"/>
          </w:tcPr>
          <w:p w:rsidR="00F32158" w:rsidRPr="00F32158" w:rsidRDefault="00F32158" w:rsidP="00F32158">
            <w:pPr>
              <w:spacing w:line="276" w:lineRule="auto"/>
              <w:rPr>
                <w:sz w:val="24"/>
                <w:szCs w:val="24"/>
              </w:rPr>
            </w:pPr>
            <w:r w:rsidRPr="00F32158">
              <w:rPr>
                <w:sz w:val="24"/>
                <w:szCs w:val="24"/>
              </w:rPr>
              <w:t xml:space="preserve">Харківська </w:t>
            </w:r>
          </w:p>
        </w:tc>
        <w:tc>
          <w:tcPr>
            <w:tcW w:w="1417"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179,2</w:t>
            </w:r>
          </w:p>
        </w:tc>
        <w:tc>
          <w:tcPr>
            <w:tcW w:w="1421"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165,4</w:t>
            </w:r>
          </w:p>
        </w:tc>
        <w:tc>
          <w:tcPr>
            <w:tcW w:w="1499"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131,3</w:t>
            </w:r>
          </w:p>
        </w:tc>
        <w:tc>
          <w:tcPr>
            <w:tcW w:w="1499"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138,6</w:t>
            </w:r>
          </w:p>
        </w:tc>
        <w:tc>
          <w:tcPr>
            <w:tcW w:w="1500"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108,3</w:t>
            </w:r>
          </w:p>
        </w:tc>
      </w:tr>
      <w:tr w:rsidR="00F32158" w:rsidRPr="00F32158" w:rsidTr="00BF1F99">
        <w:trPr>
          <w:jc w:val="center"/>
        </w:trPr>
        <w:tc>
          <w:tcPr>
            <w:tcW w:w="2235" w:type="dxa"/>
          </w:tcPr>
          <w:p w:rsidR="00F32158" w:rsidRPr="00F32158" w:rsidRDefault="00F32158" w:rsidP="00F32158">
            <w:pPr>
              <w:spacing w:line="276" w:lineRule="auto"/>
              <w:rPr>
                <w:sz w:val="24"/>
                <w:szCs w:val="24"/>
              </w:rPr>
            </w:pPr>
            <w:r w:rsidRPr="00F32158">
              <w:rPr>
                <w:sz w:val="24"/>
                <w:szCs w:val="24"/>
              </w:rPr>
              <w:t xml:space="preserve">Херсонська </w:t>
            </w:r>
          </w:p>
        </w:tc>
        <w:tc>
          <w:tcPr>
            <w:tcW w:w="1417"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166,0</w:t>
            </w:r>
          </w:p>
        </w:tc>
        <w:tc>
          <w:tcPr>
            <w:tcW w:w="1421"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194,6</w:t>
            </w:r>
          </w:p>
        </w:tc>
        <w:tc>
          <w:tcPr>
            <w:tcW w:w="1499"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170,5</w:t>
            </w:r>
          </w:p>
        </w:tc>
        <w:tc>
          <w:tcPr>
            <w:tcW w:w="1499"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133,4</w:t>
            </w:r>
          </w:p>
        </w:tc>
        <w:tc>
          <w:tcPr>
            <w:tcW w:w="1500"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148,7</w:t>
            </w:r>
          </w:p>
        </w:tc>
      </w:tr>
      <w:tr w:rsidR="00F32158" w:rsidRPr="00F32158" w:rsidTr="00BF1F99">
        <w:trPr>
          <w:jc w:val="center"/>
        </w:trPr>
        <w:tc>
          <w:tcPr>
            <w:tcW w:w="2235" w:type="dxa"/>
          </w:tcPr>
          <w:p w:rsidR="00F32158" w:rsidRPr="00F32158" w:rsidRDefault="00F32158" w:rsidP="00F32158">
            <w:pPr>
              <w:spacing w:line="276" w:lineRule="auto"/>
              <w:rPr>
                <w:sz w:val="24"/>
                <w:szCs w:val="24"/>
              </w:rPr>
            </w:pPr>
            <w:r w:rsidRPr="00F32158">
              <w:rPr>
                <w:sz w:val="24"/>
                <w:szCs w:val="24"/>
              </w:rPr>
              <w:t xml:space="preserve">Хмельницька </w:t>
            </w:r>
          </w:p>
        </w:tc>
        <w:tc>
          <w:tcPr>
            <w:tcW w:w="1417"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198,5</w:t>
            </w:r>
          </w:p>
        </w:tc>
        <w:tc>
          <w:tcPr>
            <w:tcW w:w="1421"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133,8</w:t>
            </w:r>
          </w:p>
        </w:tc>
        <w:tc>
          <w:tcPr>
            <w:tcW w:w="1499"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145,0</w:t>
            </w:r>
          </w:p>
        </w:tc>
        <w:tc>
          <w:tcPr>
            <w:tcW w:w="1499"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159,7</w:t>
            </w:r>
          </w:p>
        </w:tc>
        <w:tc>
          <w:tcPr>
            <w:tcW w:w="1500"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104,9</w:t>
            </w:r>
          </w:p>
        </w:tc>
      </w:tr>
      <w:tr w:rsidR="00F32158" w:rsidRPr="00F32158" w:rsidTr="00BF1F99">
        <w:trPr>
          <w:jc w:val="center"/>
        </w:trPr>
        <w:tc>
          <w:tcPr>
            <w:tcW w:w="2235" w:type="dxa"/>
          </w:tcPr>
          <w:p w:rsidR="00F32158" w:rsidRPr="00F32158" w:rsidRDefault="00F32158" w:rsidP="00F32158">
            <w:pPr>
              <w:spacing w:line="276" w:lineRule="auto"/>
              <w:rPr>
                <w:sz w:val="24"/>
                <w:szCs w:val="24"/>
              </w:rPr>
            </w:pPr>
            <w:r w:rsidRPr="00F32158">
              <w:rPr>
                <w:sz w:val="24"/>
                <w:szCs w:val="24"/>
              </w:rPr>
              <w:t xml:space="preserve">Черкаська </w:t>
            </w:r>
          </w:p>
        </w:tc>
        <w:tc>
          <w:tcPr>
            <w:tcW w:w="1417"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175,1</w:t>
            </w:r>
          </w:p>
        </w:tc>
        <w:tc>
          <w:tcPr>
            <w:tcW w:w="1421"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190,0</w:t>
            </w:r>
          </w:p>
        </w:tc>
        <w:tc>
          <w:tcPr>
            <w:tcW w:w="1499"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153,0</w:t>
            </w:r>
          </w:p>
        </w:tc>
        <w:tc>
          <w:tcPr>
            <w:tcW w:w="1499"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138,1</w:t>
            </w:r>
          </w:p>
        </w:tc>
        <w:tc>
          <w:tcPr>
            <w:tcW w:w="1500"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139,0</w:t>
            </w:r>
          </w:p>
        </w:tc>
      </w:tr>
      <w:tr w:rsidR="00F32158" w:rsidRPr="00F32158" w:rsidTr="00BF1F99">
        <w:trPr>
          <w:jc w:val="center"/>
        </w:trPr>
        <w:tc>
          <w:tcPr>
            <w:tcW w:w="2235" w:type="dxa"/>
          </w:tcPr>
          <w:p w:rsidR="00F32158" w:rsidRPr="00F32158" w:rsidRDefault="00F32158" w:rsidP="00F32158">
            <w:pPr>
              <w:spacing w:line="276" w:lineRule="auto"/>
              <w:rPr>
                <w:sz w:val="24"/>
                <w:szCs w:val="24"/>
              </w:rPr>
            </w:pPr>
            <w:r w:rsidRPr="00F32158">
              <w:rPr>
                <w:sz w:val="24"/>
                <w:szCs w:val="24"/>
              </w:rPr>
              <w:t xml:space="preserve">Чернівецька </w:t>
            </w:r>
          </w:p>
        </w:tc>
        <w:tc>
          <w:tcPr>
            <w:tcW w:w="1417"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183,0</w:t>
            </w:r>
          </w:p>
        </w:tc>
        <w:tc>
          <w:tcPr>
            <w:tcW w:w="1421"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215,2</w:t>
            </w:r>
          </w:p>
        </w:tc>
        <w:tc>
          <w:tcPr>
            <w:tcW w:w="1499"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174,0</w:t>
            </w:r>
          </w:p>
        </w:tc>
        <w:tc>
          <w:tcPr>
            <w:tcW w:w="1499"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141,1</w:t>
            </w:r>
          </w:p>
        </w:tc>
        <w:tc>
          <w:tcPr>
            <w:tcW w:w="1500"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151,5</w:t>
            </w:r>
          </w:p>
        </w:tc>
      </w:tr>
      <w:tr w:rsidR="00F32158" w:rsidRPr="00F32158" w:rsidTr="00BF1F99">
        <w:trPr>
          <w:jc w:val="center"/>
        </w:trPr>
        <w:tc>
          <w:tcPr>
            <w:tcW w:w="2235" w:type="dxa"/>
          </w:tcPr>
          <w:p w:rsidR="00F32158" w:rsidRPr="00F32158" w:rsidRDefault="00F32158" w:rsidP="00F32158">
            <w:pPr>
              <w:spacing w:line="276" w:lineRule="auto"/>
              <w:rPr>
                <w:sz w:val="24"/>
                <w:szCs w:val="24"/>
              </w:rPr>
            </w:pPr>
            <w:r w:rsidRPr="00F32158">
              <w:rPr>
                <w:sz w:val="24"/>
                <w:szCs w:val="24"/>
              </w:rPr>
              <w:t xml:space="preserve">Чернігівська </w:t>
            </w:r>
          </w:p>
        </w:tc>
        <w:tc>
          <w:tcPr>
            <w:tcW w:w="1417"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115,0</w:t>
            </w:r>
          </w:p>
        </w:tc>
        <w:tc>
          <w:tcPr>
            <w:tcW w:w="1421"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197,2</w:t>
            </w:r>
          </w:p>
        </w:tc>
        <w:tc>
          <w:tcPr>
            <w:tcW w:w="1499"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159,4</w:t>
            </w:r>
          </w:p>
        </w:tc>
        <w:tc>
          <w:tcPr>
            <w:tcW w:w="1499"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103,7</w:t>
            </w:r>
          </w:p>
        </w:tc>
        <w:tc>
          <w:tcPr>
            <w:tcW w:w="1500"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139,9</w:t>
            </w:r>
          </w:p>
        </w:tc>
      </w:tr>
      <w:tr w:rsidR="00F32158" w:rsidRPr="00F32158" w:rsidTr="00BF1F99">
        <w:trPr>
          <w:jc w:val="center"/>
        </w:trPr>
        <w:tc>
          <w:tcPr>
            <w:tcW w:w="2235" w:type="dxa"/>
          </w:tcPr>
          <w:p w:rsidR="00F32158" w:rsidRPr="00F32158" w:rsidRDefault="00F32158" w:rsidP="00F32158">
            <w:pPr>
              <w:spacing w:line="276" w:lineRule="auto"/>
              <w:rPr>
                <w:sz w:val="24"/>
                <w:szCs w:val="24"/>
              </w:rPr>
            </w:pPr>
            <w:r w:rsidRPr="00F32158">
              <w:rPr>
                <w:sz w:val="24"/>
                <w:szCs w:val="24"/>
              </w:rPr>
              <w:t>м. Київ</w:t>
            </w:r>
          </w:p>
        </w:tc>
        <w:tc>
          <w:tcPr>
            <w:tcW w:w="1417"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154,5</w:t>
            </w:r>
          </w:p>
        </w:tc>
        <w:tc>
          <w:tcPr>
            <w:tcW w:w="1421"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148,7</w:t>
            </w:r>
          </w:p>
        </w:tc>
        <w:tc>
          <w:tcPr>
            <w:tcW w:w="1499"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127,7</w:t>
            </w:r>
          </w:p>
        </w:tc>
        <w:tc>
          <w:tcPr>
            <w:tcW w:w="1499"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121,5</w:t>
            </w:r>
          </w:p>
        </w:tc>
        <w:tc>
          <w:tcPr>
            <w:tcW w:w="1500" w:type="dxa"/>
          </w:tcPr>
          <w:p w:rsidR="00F32158" w:rsidRPr="00F32158" w:rsidRDefault="00F32158" w:rsidP="00F32158">
            <w:pPr>
              <w:spacing w:line="276" w:lineRule="auto"/>
              <w:jc w:val="center"/>
              <w:rPr>
                <w:rFonts w:eastAsia="Calibri"/>
                <w:sz w:val="24"/>
                <w:szCs w:val="24"/>
              </w:rPr>
            </w:pPr>
            <w:r w:rsidRPr="00F32158">
              <w:rPr>
                <w:rFonts w:eastAsia="Calibri"/>
                <w:sz w:val="24"/>
                <w:szCs w:val="24"/>
              </w:rPr>
              <w:t>117,1</w:t>
            </w:r>
          </w:p>
        </w:tc>
      </w:tr>
    </w:tbl>
    <w:p w:rsidR="00F32158" w:rsidRPr="00F32158" w:rsidRDefault="00F32158" w:rsidP="00F32158">
      <w:pPr>
        <w:spacing w:line="240" w:lineRule="auto"/>
        <w:rPr>
          <w:rFonts w:eastAsia="Times New Roman"/>
          <w:sz w:val="20"/>
          <w:szCs w:val="20"/>
          <w:lang w:eastAsia="ru-RU"/>
        </w:rPr>
      </w:pPr>
      <w:r w:rsidRPr="00F32158">
        <w:rPr>
          <w:rFonts w:eastAsia="Times New Roman"/>
          <w:sz w:val="20"/>
          <w:szCs w:val="20"/>
          <w:vertAlign w:val="superscript"/>
          <w:lang w:val="ru-RU" w:eastAsia="ru-RU"/>
        </w:rPr>
        <w:t>1</w:t>
      </w:r>
      <w:r w:rsidRPr="00F32158">
        <w:rPr>
          <w:rFonts w:eastAsia="Times New Roman"/>
          <w:sz w:val="20"/>
          <w:szCs w:val="20"/>
          <w:lang w:val="ru-RU" w:eastAsia="ru-RU"/>
        </w:rPr>
        <w:t>Без урахування тимчасово окупованої території Автономної Республіки Крим і м. Севастополя та частини зони</w:t>
      </w:r>
      <w:r w:rsidRPr="00F32158">
        <w:rPr>
          <w:rFonts w:eastAsia="Times New Roman"/>
          <w:sz w:val="20"/>
          <w:szCs w:val="20"/>
          <w:lang w:eastAsia="ru-RU"/>
        </w:rPr>
        <w:t xml:space="preserve"> </w:t>
      </w:r>
      <w:r w:rsidRPr="00F32158">
        <w:rPr>
          <w:rFonts w:eastAsia="Times New Roman"/>
          <w:sz w:val="20"/>
          <w:szCs w:val="20"/>
          <w:lang w:val="ru-RU" w:eastAsia="ru-RU"/>
        </w:rPr>
        <w:t>проведення антитерористичної операції.</w:t>
      </w:r>
    </w:p>
    <w:p w:rsidR="00F32158" w:rsidRPr="00F32158" w:rsidRDefault="00F32158" w:rsidP="00F32158">
      <w:pPr>
        <w:rPr>
          <w:rFonts w:eastAsia="Times New Roman"/>
          <w:szCs w:val="28"/>
          <w:lang w:eastAsia="ru-RU"/>
        </w:rPr>
      </w:pPr>
    </w:p>
    <w:p w:rsidR="00F32158" w:rsidRPr="00F32158" w:rsidRDefault="00F32158" w:rsidP="00F32158">
      <w:pPr>
        <w:tabs>
          <w:tab w:val="left" w:pos="8545"/>
        </w:tabs>
        <w:rPr>
          <w:rFonts w:eastAsia="Times New Roman"/>
          <w:szCs w:val="28"/>
          <w:lang w:eastAsia="ru-RU"/>
        </w:rPr>
      </w:pPr>
      <w:r w:rsidRPr="00F32158">
        <w:rPr>
          <w:rFonts w:eastAsia="Times New Roman"/>
          <w:szCs w:val="28"/>
          <w:lang w:eastAsia="ru-RU"/>
        </w:rPr>
        <w:tab/>
      </w:r>
    </w:p>
    <w:p w:rsidR="00F32158" w:rsidRPr="00F32158" w:rsidRDefault="00F32158" w:rsidP="00F32158">
      <w:pPr>
        <w:tabs>
          <w:tab w:val="left" w:pos="8545"/>
        </w:tabs>
        <w:rPr>
          <w:rFonts w:eastAsia="Times New Roman"/>
          <w:szCs w:val="28"/>
          <w:lang w:eastAsia="ru-RU"/>
        </w:rPr>
      </w:pPr>
    </w:p>
    <w:p w:rsidR="00F32158" w:rsidRPr="00F32158" w:rsidRDefault="00F32158" w:rsidP="00F32158">
      <w:pPr>
        <w:tabs>
          <w:tab w:val="left" w:pos="8545"/>
        </w:tabs>
        <w:rPr>
          <w:rFonts w:eastAsia="Times New Roman"/>
          <w:szCs w:val="28"/>
          <w:lang w:eastAsia="ru-RU"/>
        </w:rPr>
      </w:pPr>
    </w:p>
    <w:p w:rsidR="00F32158" w:rsidRPr="00F32158" w:rsidRDefault="00F32158" w:rsidP="00F32158">
      <w:pPr>
        <w:tabs>
          <w:tab w:val="left" w:pos="8545"/>
        </w:tabs>
        <w:rPr>
          <w:rFonts w:eastAsia="Times New Roman"/>
          <w:szCs w:val="28"/>
          <w:lang w:eastAsia="ru-RU"/>
        </w:rPr>
      </w:pPr>
      <w:r w:rsidRPr="00F32158">
        <w:rPr>
          <w:rFonts w:eastAsia="Times New Roman"/>
          <w:szCs w:val="28"/>
          <w:lang w:eastAsia="ru-RU"/>
        </w:rPr>
        <w:t xml:space="preserve">                                                                                                                    </w:t>
      </w:r>
    </w:p>
    <w:p w:rsidR="00F32158" w:rsidRPr="00F32158" w:rsidRDefault="00B11B16" w:rsidP="005D3D66">
      <w:pPr>
        <w:pageBreakBefore/>
        <w:widowControl w:val="0"/>
        <w:tabs>
          <w:tab w:val="left" w:pos="8545"/>
        </w:tabs>
        <w:jc w:val="right"/>
        <w:rPr>
          <w:rFonts w:eastAsia="Times New Roman"/>
          <w:szCs w:val="28"/>
          <w:lang w:eastAsia="ru-RU"/>
        </w:rPr>
      </w:pPr>
      <w:r>
        <w:rPr>
          <w:rFonts w:eastAsia="Times New Roman"/>
          <w:szCs w:val="28"/>
          <w:lang w:eastAsia="ru-RU"/>
        </w:rPr>
        <w:lastRenderedPageBreak/>
        <w:t>Додаток Б</w:t>
      </w:r>
      <w:r w:rsidR="00F32158" w:rsidRPr="00F32158">
        <w:rPr>
          <w:rFonts w:eastAsia="Times New Roman"/>
          <w:szCs w:val="28"/>
          <w:lang w:eastAsia="ru-RU"/>
        </w:rPr>
        <w:t>-4</w:t>
      </w:r>
    </w:p>
    <w:p w:rsidR="00F32158" w:rsidRPr="00F32158" w:rsidRDefault="00F32158" w:rsidP="00F32158">
      <w:pPr>
        <w:jc w:val="center"/>
        <w:rPr>
          <w:rFonts w:eastAsia="Times New Roman"/>
          <w:b/>
          <w:bCs/>
          <w:szCs w:val="28"/>
          <w:lang w:eastAsia="ru-RU"/>
        </w:rPr>
      </w:pPr>
      <w:r w:rsidRPr="00F32158">
        <w:rPr>
          <w:rFonts w:eastAsia="Times New Roman"/>
          <w:b/>
          <w:szCs w:val="28"/>
          <w:lang w:eastAsia="ru-RU"/>
        </w:rPr>
        <w:t xml:space="preserve">Малюкова смертність за регіонами України в залежності від місця мешкання </w:t>
      </w:r>
      <w:r w:rsidRPr="00F32158">
        <w:rPr>
          <w:rFonts w:eastAsia="Times New Roman"/>
          <w:b/>
          <w:bCs/>
          <w:szCs w:val="28"/>
          <w:lang w:eastAsia="ru-RU"/>
        </w:rPr>
        <w:t>(на 1000 народжених живими (‰)</w:t>
      </w:r>
    </w:p>
    <w:tbl>
      <w:tblPr>
        <w:tblStyle w:val="21010"/>
        <w:tblW w:w="0" w:type="auto"/>
        <w:jc w:val="center"/>
        <w:tblLook w:val="01E0" w:firstRow="1" w:lastRow="1" w:firstColumn="1" w:lastColumn="1" w:noHBand="0" w:noVBand="0"/>
      </w:tblPr>
      <w:tblGrid>
        <w:gridCol w:w="2955"/>
        <w:gridCol w:w="756"/>
        <w:gridCol w:w="716"/>
        <w:gridCol w:w="756"/>
        <w:gridCol w:w="716"/>
        <w:gridCol w:w="756"/>
        <w:gridCol w:w="756"/>
        <w:gridCol w:w="836"/>
        <w:gridCol w:w="836"/>
        <w:gridCol w:w="836"/>
        <w:gridCol w:w="836"/>
      </w:tblGrid>
      <w:tr w:rsidR="00F32158" w:rsidRPr="00F32158" w:rsidTr="00BF1F99">
        <w:trPr>
          <w:trHeight w:val="20"/>
          <w:jc w:val="center"/>
        </w:trPr>
        <w:tc>
          <w:tcPr>
            <w:tcW w:w="0" w:type="auto"/>
            <w:vMerge w:val="restart"/>
            <w:vAlign w:val="center"/>
          </w:tcPr>
          <w:p w:rsidR="00F32158" w:rsidRPr="00F32158" w:rsidRDefault="00F32158" w:rsidP="00F32158">
            <w:pPr>
              <w:rPr>
                <w:sz w:val="24"/>
                <w:szCs w:val="24"/>
                <w:lang w:val="uk-UA"/>
              </w:rPr>
            </w:pPr>
            <w:r w:rsidRPr="00F32158">
              <w:rPr>
                <w:sz w:val="24"/>
                <w:szCs w:val="24"/>
                <w:lang w:val="uk-UA"/>
              </w:rPr>
              <w:t>Адміністративна територія /область</w:t>
            </w:r>
          </w:p>
        </w:tc>
        <w:tc>
          <w:tcPr>
            <w:tcW w:w="0" w:type="auto"/>
            <w:gridSpan w:val="5"/>
            <w:tcBorders>
              <w:bottom w:val="single" w:sz="4" w:space="0" w:color="auto"/>
            </w:tcBorders>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Міські поселення</w:t>
            </w:r>
          </w:p>
        </w:tc>
        <w:tc>
          <w:tcPr>
            <w:tcW w:w="0" w:type="auto"/>
            <w:gridSpan w:val="5"/>
            <w:tcBorders>
              <w:bottom w:val="single" w:sz="4" w:space="0" w:color="auto"/>
            </w:tcBorders>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Сільська місцевість</w:t>
            </w:r>
          </w:p>
        </w:tc>
      </w:tr>
      <w:tr w:rsidR="00F32158" w:rsidRPr="00F32158" w:rsidTr="00BF1F99">
        <w:trPr>
          <w:trHeight w:val="20"/>
          <w:jc w:val="center"/>
        </w:trPr>
        <w:tc>
          <w:tcPr>
            <w:tcW w:w="0" w:type="auto"/>
            <w:vMerge/>
            <w:vAlign w:val="bottom"/>
          </w:tcPr>
          <w:p w:rsidR="00F32158" w:rsidRPr="00F32158" w:rsidRDefault="00F32158" w:rsidP="00F32158">
            <w:pPr>
              <w:jc w:val="center"/>
              <w:rPr>
                <w:sz w:val="24"/>
                <w:szCs w:val="24"/>
                <w:lang w:val="uk-UA"/>
              </w:rPr>
            </w:pPr>
          </w:p>
        </w:tc>
        <w:tc>
          <w:tcPr>
            <w:tcW w:w="0" w:type="auto"/>
            <w:gridSpan w:val="5"/>
            <w:shd w:val="clear" w:color="auto" w:fill="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роки</w:t>
            </w:r>
          </w:p>
        </w:tc>
        <w:tc>
          <w:tcPr>
            <w:tcW w:w="0" w:type="auto"/>
            <w:gridSpan w:val="5"/>
            <w:shd w:val="clear" w:color="auto" w:fill="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роки</w:t>
            </w:r>
          </w:p>
        </w:tc>
      </w:tr>
      <w:tr w:rsidR="00F32158" w:rsidRPr="00F32158" w:rsidTr="00BF1F99">
        <w:trPr>
          <w:trHeight w:val="20"/>
          <w:jc w:val="center"/>
        </w:trPr>
        <w:tc>
          <w:tcPr>
            <w:tcW w:w="0" w:type="auto"/>
            <w:vMerge/>
            <w:vAlign w:val="bottom"/>
          </w:tcPr>
          <w:p w:rsidR="00F32158" w:rsidRPr="00F32158" w:rsidRDefault="00F32158" w:rsidP="00F32158">
            <w:pPr>
              <w:jc w:val="center"/>
              <w:rPr>
                <w:sz w:val="24"/>
                <w:szCs w:val="24"/>
                <w:lang w:val="uk-UA"/>
              </w:rPr>
            </w:pPr>
          </w:p>
        </w:tc>
        <w:tc>
          <w:tcPr>
            <w:tcW w:w="0" w:type="auto"/>
            <w:shd w:val="clear" w:color="auto" w:fill="auto"/>
          </w:tcPr>
          <w:p w:rsidR="00F32158" w:rsidRPr="00F32158" w:rsidRDefault="00F32158" w:rsidP="00F32158">
            <w:pPr>
              <w:rPr>
                <w:sz w:val="24"/>
                <w:szCs w:val="24"/>
              </w:rPr>
            </w:pPr>
            <w:r w:rsidRPr="00F32158">
              <w:rPr>
                <w:sz w:val="24"/>
                <w:szCs w:val="24"/>
              </w:rPr>
              <w:t>2013</w:t>
            </w:r>
          </w:p>
        </w:tc>
        <w:tc>
          <w:tcPr>
            <w:tcW w:w="0" w:type="auto"/>
            <w:shd w:val="clear" w:color="auto" w:fill="auto"/>
          </w:tcPr>
          <w:p w:rsidR="00F32158" w:rsidRPr="00F32158" w:rsidRDefault="00F32158" w:rsidP="00F32158">
            <w:pPr>
              <w:rPr>
                <w:sz w:val="24"/>
                <w:szCs w:val="24"/>
              </w:rPr>
            </w:pPr>
            <w:r w:rsidRPr="00F32158">
              <w:rPr>
                <w:sz w:val="24"/>
                <w:szCs w:val="24"/>
              </w:rPr>
              <w:t>2014</w:t>
            </w:r>
          </w:p>
        </w:tc>
        <w:tc>
          <w:tcPr>
            <w:tcW w:w="0" w:type="auto"/>
            <w:shd w:val="clear" w:color="auto" w:fill="auto"/>
          </w:tcPr>
          <w:p w:rsidR="00F32158" w:rsidRPr="00F32158" w:rsidRDefault="00F32158" w:rsidP="00F32158">
            <w:pPr>
              <w:rPr>
                <w:sz w:val="24"/>
                <w:szCs w:val="24"/>
              </w:rPr>
            </w:pPr>
            <w:r w:rsidRPr="00F32158">
              <w:rPr>
                <w:sz w:val="24"/>
                <w:szCs w:val="24"/>
              </w:rPr>
              <w:t>2015</w:t>
            </w:r>
          </w:p>
        </w:tc>
        <w:tc>
          <w:tcPr>
            <w:tcW w:w="0" w:type="auto"/>
            <w:shd w:val="clear" w:color="auto" w:fill="auto"/>
          </w:tcPr>
          <w:p w:rsidR="00F32158" w:rsidRPr="00F32158" w:rsidRDefault="00F32158" w:rsidP="00F32158">
            <w:pPr>
              <w:rPr>
                <w:sz w:val="24"/>
                <w:szCs w:val="24"/>
              </w:rPr>
            </w:pPr>
            <w:r w:rsidRPr="00F32158">
              <w:rPr>
                <w:sz w:val="24"/>
                <w:szCs w:val="24"/>
              </w:rPr>
              <w:t>2016</w:t>
            </w:r>
          </w:p>
        </w:tc>
        <w:tc>
          <w:tcPr>
            <w:tcW w:w="0" w:type="auto"/>
            <w:shd w:val="clear" w:color="auto" w:fill="auto"/>
          </w:tcPr>
          <w:p w:rsidR="00F32158" w:rsidRPr="00F32158" w:rsidRDefault="00F32158" w:rsidP="00F32158">
            <w:pPr>
              <w:rPr>
                <w:sz w:val="24"/>
                <w:szCs w:val="24"/>
              </w:rPr>
            </w:pPr>
            <w:r w:rsidRPr="00F32158">
              <w:rPr>
                <w:sz w:val="24"/>
                <w:szCs w:val="24"/>
              </w:rPr>
              <w:t>2017</w:t>
            </w:r>
          </w:p>
        </w:tc>
        <w:tc>
          <w:tcPr>
            <w:tcW w:w="0" w:type="auto"/>
            <w:shd w:val="clear" w:color="auto" w:fill="auto"/>
          </w:tcPr>
          <w:p w:rsidR="00F32158" w:rsidRPr="00F32158" w:rsidRDefault="00F32158" w:rsidP="00F32158">
            <w:pPr>
              <w:rPr>
                <w:sz w:val="24"/>
                <w:szCs w:val="24"/>
              </w:rPr>
            </w:pPr>
            <w:r w:rsidRPr="00F32158">
              <w:rPr>
                <w:sz w:val="24"/>
                <w:szCs w:val="24"/>
              </w:rPr>
              <w:t>2013</w:t>
            </w:r>
          </w:p>
        </w:tc>
        <w:tc>
          <w:tcPr>
            <w:tcW w:w="0" w:type="auto"/>
            <w:shd w:val="clear" w:color="auto" w:fill="auto"/>
          </w:tcPr>
          <w:p w:rsidR="00F32158" w:rsidRPr="00F32158" w:rsidRDefault="00F32158" w:rsidP="00F32158">
            <w:pPr>
              <w:rPr>
                <w:sz w:val="24"/>
                <w:szCs w:val="24"/>
              </w:rPr>
            </w:pPr>
            <w:r w:rsidRPr="00F32158">
              <w:rPr>
                <w:sz w:val="24"/>
                <w:szCs w:val="24"/>
              </w:rPr>
              <w:t xml:space="preserve">2014 </w:t>
            </w:r>
          </w:p>
        </w:tc>
        <w:tc>
          <w:tcPr>
            <w:tcW w:w="0" w:type="auto"/>
            <w:shd w:val="clear" w:color="auto" w:fill="auto"/>
          </w:tcPr>
          <w:p w:rsidR="00F32158" w:rsidRPr="00F32158" w:rsidRDefault="00F32158" w:rsidP="00F32158">
            <w:pPr>
              <w:rPr>
                <w:sz w:val="24"/>
                <w:szCs w:val="24"/>
              </w:rPr>
            </w:pPr>
            <w:r w:rsidRPr="00F32158">
              <w:rPr>
                <w:sz w:val="24"/>
                <w:szCs w:val="24"/>
              </w:rPr>
              <w:t xml:space="preserve">2015 </w:t>
            </w:r>
          </w:p>
        </w:tc>
        <w:tc>
          <w:tcPr>
            <w:tcW w:w="0" w:type="auto"/>
            <w:tcBorders>
              <w:right w:val="single" w:sz="4" w:space="0" w:color="auto"/>
            </w:tcBorders>
            <w:shd w:val="clear" w:color="auto" w:fill="auto"/>
          </w:tcPr>
          <w:p w:rsidR="00F32158" w:rsidRPr="00F32158" w:rsidRDefault="00F32158" w:rsidP="00F32158">
            <w:pPr>
              <w:rPr>
                <w:rFonts w:eastAsia="NewtonC-Bold" w:cs="NewtonC-Bold"/>
                <w:sz w:val="24"/>
                <w:szCs w:val="24"/>
                <w:lang w:val="uk-UA"/>
              </w:rPr>
            </w:pPr>
            <w:r w:rsidRPr="00F32158">
              <w:rPr>
                <w:rFonts w:eastAsia="NewtonC-Bold" w:cs="NewtonC-Bold"/>
                <w:sz w:val="24"/>
                <w:szCs w:val="24"/>
                <w:lang w:val="uk-UA"/>
              </w:rPr>
              <w:t>2016</w:t>
            </w:r>
          </w:p>
        </w:tc>
        <w:tc>
          <w:tcPr>
            <w:tcW w:w="0" w:type="auto"/>
            <w:tcBorders>
              <w:left w:val="single" w:sz="4" w:space="0" w:color="auto"/>
            </w:tcBorders>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2017</w:t>
            </w:r>
          </w:p>
        </w:tc>
      </w:tr>
      <w:tr w:rsidR="00F32158" w:rsidRPr="00F32158" w:rsidTr="00BF1F99">
        <w:trPr>
          <w:trHeight w:val="20"/>
          <w:jc w:val="center"/>
        </w:trPr>
        <w:tc>
          <w:tcPr>
            <w:tcW w:w="0" w:type="auto"/>
            <w:vAlign w:val="bottom"/>
          </w:tcPr>
          <w:p w:rsidR="00F32158" w:rsidRPr="00F32158" w:rsidRDefault="00F32158" w:rsidP="00F32158">
            <w:pPr>
              <w:rPr>
                <w:sz w:val="24"/>
                <w:szCs w:val="24"/>
                <w:lang w:val="uk-UA"/>
              </w:rPr>
            </w:pPr>
            <w:r w:rsidRPr="00F32158">
              <w:rPr>
                <w:sz w:val="24"/>
                <w:szCs w:val="24"/>
                <w:lang w:val="uk-UA"/>
              </w:rPr>
              <w:t>Всього по Україні</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7,64</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7,58</w:t>
            </w:r>
            <w:r w:rsidRPr="00F32158">
              <w:rPr>
                <w:sz w:val="24"/>
                <w:szCs w:val="24"/>
                <w:vertAlign w:val="superscript"/>
              </w:rPr>
              <w:t>1</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7,51</w:t>
            </w:r>
            <w:r w:rsidRPr="00F32158">
              <w:rPr>
                <w:sz w:val="24"/>
                <w:szCs w:val="24"/>
                <w:vertAlign w:val="superscript"/>
              </w:rPr>
              <w:t>1</w:t>
            </w:r>
          </w:p>
        </w:tc>
        <w:tc>
          <w:tcPr>
            <w:tcW w:w="0" w:type="auto"/>
            <w:vAlign w:val="bottom"/>
          </w:tcPr>
          <w:p w:rsidR="00F32158" w:rsidRPr="00F32158" w:rsidRDefault="00F32158" w:rsidP="00F32158">
            <w:pPr>
              <w:tabs>
                <w:tab w:val="center" w:pos="246"/>
              </w:tabs>
              <w:jc w:val="center"/>
              <w:rPr>
                <w:rFonts w:eastAsia="NewtonC-Bold" w:cs="NewtonC-Bold"/>
                <w:sz w:val="24"/>
                <w:szCs w:val="24"/>
                <w:lang w:val="uk-UA"/>
              </w:rPr>
            </w:pPr>
            <w:r w:rsidRPr="00F32158">
              <w:rPr>
                <w:rFonts w:eastAsia="NewtonC-Bold" w:cs="NewtonC-Bold"/>
                <w:sz w:val="24"/>
                <w:szCs w:val="24"/>
                <w:lang w:val="uk-UA"/>
              </w:rPr>
              <w:t>6,89</w:t>
            </w:r>
            <w:r w:rsidRPr="00F32158">
              <w:rPr>
                <w:sz w:val="24"/>
                <w:szCs w:val="24"/>
                <w:vertAlign w:val="superscript"/>
              </w:rPr>
              <w:t>1</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6,9</w:t>
            </w:r>
            <w:r w:rsidRPr="00F32158">
              <w:rPr>
                <w:rFonts w:eastAsia="NewtonC-Bold" w:cs="NewtonC-Bold"/>
                <w:sz w:val="24"/>
                <w:szCs w:val="24"/>
              </w:rPr>
              <w:t>4</w:t>
            </w:r>
            <w:r w:rsidRPr="00F32158">
              <w:rPr>
                <w:sz w:val="24"/>
                <w:szCs w:val="24"/>
                <w:vertAlign w:val="superscript"/>
              </w:rPr>
              <w:t>1</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8,57</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8,28</w:t>
            </w:r>
            <w:r w:rsidRPr="00F32158">
              <w:rPr>
                <w:sz w:val="24"/>
                <w:szCs w:val="24"/>
                <w:vertAlign w:val="superscript"/>
              </w:rPr>
              <w:t>1</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8,64</w:t>
            </w:r>
            <w:r w:rsidRPr="00F32158">
              <w:rPr>
                <w:sz w:val="24"/>
                <w:szCs w:val="24"/>
                <w:vertAlign w:val="superscript"/>
              </w:rPr>
              <w:t>1</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8,35</w:t>
            </w:r>
            <w:r w:rsidRPr="00F32158">
              <w:rPr>
                <w:sz w:val="24"/>
                <w:szCs w:val="24"/>
                <w:vertAlign w:val="superscript"/>
              </w:rPr>
              <w:t>1</w:t>
            </w:r>
          </w:p>
        </w:tc>
        <w:tc>
          <w:tcPr>
            <w:tcW w:w="0" w:type="auto"/>
            <w:vAlign w:val="bottom"/>
          </w:tcPr>
          <w:p w:rsidR="00F32158" w:rsidRPr="00F32158" w:rsidRDefault="00F32158" w:rsidP="00F32158">
            <w:pPr>
              <w:jc w:val="center"/>
              <w:rPr>
                <w:rFonts w:eastAsia="NewtonC-Bold" w:cs="NewtonC-Bold"/>
                <w:sz w:val="24"/>
                <w:szCs w:val="24"/>
              </w:rPr>
            </w:pPr>
            <w:r w:rsidRPr="00F32158">
              <w:rPr>
                <w:rFonts w:eastAsia="NewtonC-Bold" w:cs="NewtonC-Bold"/>
                <w:sz w:val="24"/>
                <w:szCs w:val="24"/>
                <w:lang w:val="uk-UA"/>
              </w:rPr>
              <w:t>8,7</w:t>
            </w:r>
            <w:r w:rsidRPr="00F32158">
              <w:rPr>
                <w:rFonts w:eastAsia="NewtonC-Bold" w:cs="NewtonC-Bold"/>
                <w:sz w:val="24"/>
                <w:szCs w:val="24"/>
              </w:rPr>
              <w:t>5</w:t>
            </w:r>
            <w:r w:rsidRPr="00F32158">
              <w:rPr>
                <w:sz w:val="24"/>
                <w:szCs w:val="24"/>
                <w:vertAlign w:val="superscript"/>
              </w:rPr>
              <w:t>1</w:t>
            </w:r>
          </w:p>
        </w:tc>
      </w:tr>
      <w:tr w:rsidR="00F32158" w:rsidRPr="00F32158" w:rsidTr="00BF1F99">
        <w:trPr>
          <w:trHeight w:val="20"/>
          <w:jc w:val="center"/>
        </w:trPr>
        <w:tc>
          <w:tcPr>
            <w:tcW w:w="0" w:type="auto"/>
            <w:vAlign w:val="bottom"/>
          </w:tcPr>
          <w:p w:rsidR="00F32158" w:rsidRPr="00F32158" w:rsidRDefault="00F32158" w:rsidP="00F32158">
            <w:pPr>
              <w:rPr>
                <w:sz w:val="24"/>
                <w:szCs w:val="24"/>
                <w:lang w:val="uk-UA"/>
              </w:rPr>
            </w:pPr>
            <w:r w:rsidRPr="00F32158">
              <w:rPr>
                <w:sz w:val="24"/>
                <w:szCs w:val="24"/>
                <w:lang w:val="uk-UA"/>
              </w:rPr>
              <w:t xml:space="preserve">Волинська </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5,89</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rPr>
              <w:t>5,83</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5,15</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5.76</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5,56</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9,52</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6,16</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7,49</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8,08</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6,87</w:t>
            </w:r>
          </w:p>
        </w:tc>
      </w:tr>
      <w:tr w:rsidR="00F32158" w:rsidRPr="00F32158" w:rsidTr="00BF1F99">
        <w:trPr>
          <w:trHeight w:val="20"/>
          <w:jc w:val="center"/>
        </w:trPr>
        <w:tc>
          <w:tcPr>
            <w:tcW w:w="0" w:type="auto"/>
            <w:vAlign w:val="bottom"/>
          </w:tcPr>
          <w:p w:rsidR="00F32158" w:rsidRPr="00F32158" w:rsidRDefault="00F32158" w:rsidP="00F32158">
            <w:pPr>
              <w:rPr>
                <w:sz w:val="24"/>
                <w:szCs w:val="24"/>
                <w:lang w:val="uk-UA"/>
              </w:rPr>
            </w:pPr>
            <w:r w:rsidRPr="00F32158">
              <w:rPr>
                <w:sz w:val="24"/>
                <w:szCs w:val="24"/>
                <w:lang w:val="uk-UA"/>
              </w:rPr>
              <w:t>Вінницька</w:t>
            </w:r>
          </w:p>
        </w:tc>
        <w:tc>
          <w:tcPr>
            <w:tcW w:w="0" w:type="auto"/>
            <w:vAlign w:val="bottom"/>
          </w:tcPr>
          <w:p w:rsidR="00F32158" w:rsidRPr="00F32158" w:rsidRDefault="00F32158" w:rsidP="00F32158">
            <w:pPr>
              <w:jc w:val="center"/>
              <w:rPr>
                <w:rFonts w:eastAsia="NewtonC-Bold" w:cs="NewtonC-Bold"/>
                <w:sz w:val="24"/>
                <w:szCs w:val="24"/>
              </w:rPr>
            </w:pPr>
            <w:r w:rsidRPr="00F32158">
              <w:rPr>
                <w:rFonts w:eastAsia="NewtonC-Bold" w:cs="NewtonC-Bold"/>
                <w:sz w:val="24"/>
                <w:szCs w:val="24"/>
              </w:rPr>
              <w:t>6,51</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5,97</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6,36</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5,66</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6,20</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9,52</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7,06</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8,12</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7,54</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8,34</w:t>
            </w:r>
          </w:p>
        </w:tc>
      </w:tr>
      <w:tr w:rsidR="00F32158" w:rsidRPr="00F32158" w:rsidTr="00BF1F99">
        <w:trPr>
          <w:trHeight w:val="20"/>
          <w:jc w:val="center"/>
        </w:trPr>
        <w:tc>
          <w:tcPr>
            <w:tcW w:w="0" w:type="auto"/>
            <w:vAlign w:val="bottom"/>
          </w:tcPr>
          <w:p w:rsidR="00F32158" w:rsidRPr="00F32158" w:rsidRDefault="00F32158" w:rsidP="00F32158">
            <w:pPr>
              <w:rPr>
                <w:sz w:val="24"/>
                <w:szCs w:val="24"/>
                <w:lang w:val="uk-UA"/>
              </w:rPr>
            </w:pPr>
            <w:r w:rsidRPr="00F32158">
              <w:rPr>
                <w:sz w:val="24"/>
                <w:szCs w:val="24"/>
                <w:lang w:val="uk-UA"/>
              </w:rPr>
              <w:t xml:space="preserve">Дніпропетровська </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7,33</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7,24</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7,74</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7,74</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7,42</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8,83</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10,1</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12,03</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9,22</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7,76</w:t>
            </w:r>
          </w:p>
        </w:tc>
      </w:tr>
      <w:tr w:rsidR="00F32158" w:rsidRPr="00F32158" w:rsidTr="00BF1F99">
        <w:trPr>
          <w:trHeight w:val="20"/>
          <w:jc w:val="center"/>
        </w:trPr>
        <w:tc>
          <w:tcPr>
            <w:tcW w:w="0" w:type="auto"/>
            <w:vAlign w:val="bottom"/>
          </w:tcPr>
          <w:p w:rsidR="00F32158" w:rsidRPr="00F32158" w:rsidRDefault="00F32158" w:rsidP="00F32158">
            <w:pPr>
              <w:rPr>
                <w:sz w:val="24"/>
                <w:szCs w:val="24"/>
                <w:lang w:val="uk-UA"/>
              </w:rPr>
            </w:pPr>
            <w:r w:rsidRPr="00F32158">
              <w:rPr>
                <w:sz w:val="24"/>
                <w:szCs w:val="24"/>
                <w:lang w:val="uk-UA"/>
              </w:rPr>
              <w:t xml:space="preserve">Донецька </w:t>
            </w:r>
            <w:r w:rsidRPr="00F32158">
              <w:rPr>
                <w:sz w:val="24"/>
                <w:szCs w:val="24"/>
                <w:vertAlign w:val="superscript"/>
              </w:rPr>
              <w:t>1</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10,97</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9,76</w:t>
            </w:r>
            <w:r w:rsidRPr="00F32158">
              <w:rPr>
                <w:b/>
                <w:sz w:val="24"/>
                <w:szCs w:val="24"/>
                <w:vertAlign w:val="superscript"/>
              </w:rPr>
              <w:t>1</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8,50</w:t>
            </w:r>
            <w:r w:rsidRPr="00F32158">
              <w:rPr>
                <w:b/>
                <w:sz w:val="24"/>
                <w:szCs w:val="24"/>
                <w:vertAlign w:val="superscript"/>
              </w:rPr>
              <w:t>1</w:t>
            </w:r>
          </w:p>
        </w:tc>
        <w:tc>
          <w:tcPr>
            <w:tcW w:w="0" w:type="auto"/>
            <w:vAlign w:val="bottom"/>
          </w:tcPr>
          <w:p w:rsidR="00F32158" w:rsidRPr="00F32158" w:rsidRDefault="00F32158" w:rsidP="00F32158">
            <w:pPr>
              <w:tabs>
                <w:tab w:val="center" w:pos="246"/>
              </w:tabs>
              <w:jc w:val="center"/>
              <w:rPr>
                <w:b/>
                <w:sz w:val="24"/>
                <w:szCs w:val="24"/>
                <w:vertAlign w:val="superscript"/>
                <w:lang w:val="uk-UA"/>
              </w:rPr>
            </w:pPr>
            <w:r w:rsidRPr="00F32158">
              <w:rPr>
                <w:rFonts w:eastAsia="NewtonC-Bold" w:cs="NewtonC-Bold"/>
                <w:sz w:val="24"/>
                <w:szCs w:val="24"/>
                <w:lang w:val="uk-UA"/>
              </w:rPr>
              <w:t>8,45</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7,75</w:t>
            </w:r>
            <w:r w:rsidRPr="00F32158">
              <w:rPr>
                <w:b/>
                <w:sz w:val="24"/>
                <w:szCs w:val="24"/>
                <w:vertAlign w:val="superscript"/>
              </w:rPr>
              <w:t>1</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14,34</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12,21</w:t>
            </w:r>
            <w:r w:rsidRPr="00F32158">
              <w:rPr>
                <w:b/>
                <w:sz w:val="24"/>
                <w:szCs w:val="24"/>
                <w:vertAlign w:val="superscript"/>
              </w:rPr>
              <w:t>1</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10,23</w:t>
            </w:r>
            <w:r w:rsidRPr="00F32158">
              <w:rPr>
                <w:b/>
                <w:sz w:val="24"/>
                <w:szCs w:val="24"/>
                <w:vertAlign w:val="superscript"/>
              </w:rPr>
              <w:t>1</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10,74</w:t>
            </w:r>
            <w:r w:rsidRPr="00F32158">
              <w:rPr>
                <w:b/>
                <w:sz w:val="24"/>
                <w:szCs w:val="24"/>
                <w:vertAlign w:val="superscript"/>
              </w:rPr>
              <w:t>1</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11,1</w:t>
            </w:r>
            <w:r w:rsidRPr="00F32158">
              <w:rPr>
                <w:b/>
                <w:sz w:val="24"/>
                <w:szCs w:val="24"/>
                <w:vertAlign w:val="superscript"/>
              </w:rPr>
              <w:t>1</w:t>
            </w:r>
          </w:p>
        </w:tc>
      </w:tr>
      <w:tr w:rsidR="00F32158" w:rsidRPr="00F32158" w:rsidTr="00BF1F99">
        <w:trPr>
          <w:trHeight w:val="20"/>
          <w:jc w:val="center"/>
        </w:trPr>
        <w:tc>
          <w:tcPr>
            <w:tcW w:w="0" w:type="auto"/>
            <w:vAlign w:val="bottom"/>
          </w:tcPr>
          <w:p w:rsidR="00F32158" w:rsidRPr="00F32158" w:rsidRDefault="00F32158" w:rsidP="00F32158">
            <w:pPr>
              <w:rPr>
                <w:sz w:val="24"/>
                <w:szCs w:val="24"/>
                <w:lang w:val="uk-UA"/>
              </w:rPr>
            </w:pPr>
            <w:r w:rsidRPr="00F32158">
              <w:rPr>
                <w:sz w:val="24"/>
                <w:szCs w:val="24"/>
                <w:lang w:val="uk-UA"/>
              </w:rPr>
              <w:t xml:space="preserve">Житомирська </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6,51</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5,81</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6,86</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6,68</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6,54</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9.25</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9,54</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7,83</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9,49</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7,08</w:t>
            </w:r>
          </w:p>
        </w:tc>
      </w:tr>
      <w:tr w:rsidR="00F32158" w:rsidRPr="00F32158" w:rsidTr="00BF1F99">
        <w:trPr>
          <w:trHeight w:val="20"/>
          <w:jc w:val="center"/>
        </w:trPr>
        <w:tc>
          <w:tcPr>
            <w:tcW w:w="0" w:type="auto"/>
            <w:vAlign w:val="bottom"/>
          </w:tcPr>
          <w:p w:rsidR="00F32158" w:rsidRPr="00F32158" w:rsidRDefault="00F32158" w:rsidP="00F32158">
            <w:pPr>
              <w:rPr>
                <w:sz w:val="24"/>
                <w:szCs w:val="24"/>
                <w:lang w:val="uk-UA"/>
              </w:rPr>
            </w:pPr>
            <w:r w:rsidRPr="00F32158">
              <w:rPr>
                <w:sz w:val="24"/>
                <w:szCs w:val="24"/>
                <w:lang w:val="uk-UA"/>
              </w:rPr>
              <w:t xml:space="preserve">Закарпатська </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9,91</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8,95</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12,64</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9,76</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11,46</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9,14</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8,98</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9,36</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10,73</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10,95</w:t>
            </w:r>
          </w:p>
        </w:tc>
      </w:tr>
      <w:tr w:rsidR="00F32158" w:rsidRPr="00F32158" w:rsidTr="00BF1F99">
        <w:trPr>
          <w:trHeight w:val="20"/>
          <w:jc w:val="center"/>
        </w:trPr>
        <w:tc>
          <w:tcPr>
            <w:tcW w:w="0" w:type="auto"/>
            <w:vAlign w:val="bottom"/>
          </w:tcPr>
          <w:p w:rsidR="00F32158" w:rsidRPr="00F32158" w:rsidRDefault="00F32158" w:rsidP="00F32158">
            <w:pPr>
              <w:rPr>
                <w:sz w:val="24"/>
                <w:szCs w:val="24"/>
                <w:lang w:val="uk-UA"/>
              </w:rPr>
            </w:pPr>
            <w:r w:rsidRPr="00F32158">
              <w:rPr>
                <w:sz w:val="24"/>
                <w:szCs w:val="24"/>
                <w:lang w:val="uk-UA"/>
              </w:rPr>
              <w:t xml:space="preserve">Запорізька </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7,98</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6,13</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7,44</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5,93</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6,44</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8,65</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7,97</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8,72</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8,43</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6,86</w:t>
            </w:r>
          </w:p>
        </w:tc>
      </w:tr>
      <w:tr w:rsidR="00F32158" w:rsidRPr="00F32158" w:rsidTr="00BF1F99">
        <w:trPr>
          <w:trHeight w:val="20"/>
          <w:jc w:val="center"/>
        </w:trPr>
        <w:tc>
          <w:tcPr>
            <w:tcW w:w="0" w:type="auto"/>
            <w:vAlign w:val="bottom"/>
          </w:tcPr>
          <w:p w:rsidR="00F32158" w:rsidRPr="00F32158" w:rsidRDefault="00F32158" w:rsidP="00F32158">
            <w:pPr>
              <w:rPr>
                <w:sz w:val="24"/>
                <w:szCs w:val="24"/>
                <w:lang w:val="uk-UA"/>
              </w:rPr>
            </w:pPr>
            <w:r w:rsidRPr="00F32158">
              <w:rPr>
                <w:sz w:val="24"/>
                <w:szCs w:val="24"/>
                <w:lang w:val="uk-UA"/>
              </w:rPr>
              <w:t xml:space="preserve">Івано-Франківська </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7,16</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5,90</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8,58</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6,44</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7,05</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8,42</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6,63</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5,68</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6,89</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6,39</w:t>
            </w:r>
          </w:p>
        </w:tc>
      </w:tr>
      <w:tr w:rsidR="00F32158" w:rsidRPr="00F32158" w:rsidTr="00BF1F99">
        <w:trPr>
          <w:trHeight w:val="20"/>
          <w:jc w:val="center"/>
        </w:trPr>
        <w:tc>
          <w:tcPr>
            <w:tcW w:w="0" w:type="auto"/>
            <w:vAlign w:val="bottom"/>
          </w:tcPr>
          <w:p w:rsidR="00F32158" w:rsidRPr="00F32158" w:rsidRDefault="00F32158" w:rsidP="00F32158">
            <w:pPr>
              <w:rPr>
                <w:sz w:val="24"/>
                <w:szCs w:val="24"/>
                <w:lang w:val="uk-UA"/>
              </w:rPr>
            </w:pPr>
            <w:r w:rsidRPr="00F32158">
              <w:rPr>
                <w:sz w:val="24"/>
                <w:szCs w:val="24"/>
                <w:lang w:val="uk-UA"/>
              </w:rPr>
              <w:t xml:space="preserve">Київська </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4,96</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5,66</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5,55</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5,53</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5,12</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7,57</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4,38</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5,03</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4,49</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5,16</w:t>
            </w:r>
          </w:p>
        </w:tc>
      </w:tr>
      <w:tr w:rsidR="00F32158" w:rsidRPr="00F32158" w:rsidTr="00BF1F99">
        <w:trPr>
          <w:trHeight w:val="20"/>
          <w:jc w:val="center"/>
        </w:trPr>
        <w:tc>
          <w:tcPr>
            <w:tcW w:w="0" w:type="auto"/>
            <w:vAlign w:val="bottom"/>
          </w:tcPr>
          <w:p w:rsidR="00F32158" w:rsidRPr="00F32158" w:rsidRDefault="00F32158" w:rsidP="00F32158">
            <w:pPr>
              <w:rPr>
                <w:sz w:val="24"/>
                <w:szCs w:val="24"/>
                <w:lang w:val="uk-UA"/>
              </w:rPr>
            </w:pPr>
            <w:r w:rsidRPr="00F32158">
              <w:rPr>
                <w:sz w:val="24"/>
                <w:szCs w:val="24"/>
                <w:lang w:val="uk-UA"/>
              </w:rPr>
              <w:t xml:space="preserve">Кіровоградська </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8,44</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7,67</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7,24</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7,65</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11,34</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15,37</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11,22</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12,55</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12,16</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11,90</w:t>
            </w:r>
          </w:p>
        </w:tc>
      </w:tr>
      <w:tr w:rsidR="00F32158" w:rsidRPr="00F32158" w:rsidTr="00BF1F99">
        <w:trPr>
          <w:trHeight w:val="20"/>
          <w:jc w:val="center"/>
        </w:trPr>
        <w:tc>
          <w:tcPr>
            <w:tcW w:w="0" w:type="auto"/>
            <w:vAlign w:val="bottom"/>
          </w:tcPr>
          <w:p w:rsidR="00F32158" w:rsidRPr="00F32158" w:rsidRDefault="00F32158" w:rsidP="00F32158">
            <w:pPr>
              <w:rPr>
                <w:sz w:val="24"/>
                <w:szCs w:val="24"/>
                <w:lang w:val="uk-UA"/>
              </w:rPr>
            </w:pPr>
            <w:r w:rsidRPr="00F32158">
              <w:rPr>
                <w:sz w:val="24"/>
                <w:szCs w:val="24"/>
                <w:lang w:val="uk-UA"/>
              </w:rPr>
              <w:t xml:space="preserve">Луганська </w:t>
            </w:r>
            <w:r w:rsidRPr="00F32158">
              <w:rPr>
                <w:sz w:val="24"/>
                <w:szCs w:val="24"/>
                <w:vertAlign w:val="superscript"/>
              </w:rPr>
              <w:t>1</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7,12</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8,60</w:t>
            </w:r>
            <w:r w:rsidRPr="00F32158">
              <w:rPr>
                <w:b/>
                <w:sz w:val="24"/>
                <w:szCs w:val="24"/>
                <w:vertAlign w:val="superscript"/>
              </w:rPr>
              <w:t>1</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7,56</w:t>
            </w:r>
            <w:r w:rsidRPr="00F32158">
              <w:rPr>
                <w:b/>
                <w:sz w:val="24"/>
                <w:szCs w:val="24"/>
                <w:vertAlign w:val="superscript"/>
              </w:rPr>
              <w:t>1</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8,43</w:t>
            </w:r>
            <w:r w:rsidRPr="00F32158">
              <w:rPr>
                <w:b/>
                <w:sz w:val="24"/>
                <w:szCs w:val="24"/>
                <w:vertAlign w:val="superscript"/>
              </w:rPr>
              <w:t>1</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8,00</w:t>
            </w:r>
            <w:r w:rsidRPr="00F32158">
              <w:rPr>
                <w:b/>
                <w:sz w:val="24"/>
                <w:szCs w:val="24"/>
                <w:vertAlign w:val="superscript"/>
              </w:rPr>
              <w:t>1</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8,70</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14,70</w:t>
            </w:r>
            <w:r w:rsidRPr="00F32158">
              <w:rPr>
                <w:b/>
                <w:sz w:val="24"/>
                <w:szCs w:val="24"/>
                <w:vertAlign w:val="superscript"/>
              </w:rPr>
              <w:t>1</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16,99</w:t>
            </w:r>
            <w:r w:rsidRPr="00F32158">
              <w:rPr>
                <w:b/>
                <w:sz w:val="24"/>
                <w:szCs w:val="24"/>
                <w:vertAlign w:val="superscript"/>
              </w:rPr>
              <w:t>1</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11,21</w:t>
            </w:r>
            <w:r w:rsidRPr="00F32158">
              <w:rPr>
                <w:b/>
                <w:sz w:val="24"/>
                <w:szCs w:val="24"/>
                <w:vertAlign w:val="superscript"/>
              </w:rPr>
              <w:t>1</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13,85</w:t>
            </w:r>
            <w:r w:rsidRPr="00F32158">
              <w:rPr>
                <w:b/>
                <w:sz w:val="24"/>
                <w:szCs w:val="24"/>
                <w:vertAlign w:val="superscript"/>
              </w:rPr>
              <w:t>1</w:t>
            </w:r>
          </w:p>
        </w:tc>
      </w:tr>
      <w:tr w:rsidR="00F32158" w:rsidRPr="00F32158" w:rsidTr="00BF1F99">
        <w:trPr>
          <w:trHeight w:val="20"/>
          <w:jc w:val="center"/>
        </w:trPr>
        <w:tc>
          <w:tcPr>
            <w:tcW w:w="0" w:type="auto"/>
            <w:vAlign w:val="bottom"/>
          </w:tcPr>
          <w:p w:rsidR="00F32158" w:rsidRPr="00F32158" w:rsidRDefault="00F32158" w:rsidP="00F32158">
            <w:pPr>
              <w:rPr>
                <w:sz w:val="24"/>
                <w:szCs w:val="24"/>
                <w:lang w:val="uk-UA"/>
              </w:rPr>
            </w:pPr>
            <w:r w:rsidRPr="00F32158">
              <w:rPr>
                <w:sz w:val="24"/>
                <w:szCs w:val="24"/>
                <w:lang w:val="uk-UA"/>
              </w:rPr>
              <w:t xml:space="preserve">Львівська </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8.74</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9,07</w:t>
            </w:r>
          </w:p>
        </w:tc>
        <w:tc>
          <w:tcPr>
            <w:tcW w:w="0" w:type="auto"/>
            <w:vAlign w:val="bottom"/>
          </w:tcPr>
          <w:p w:rsidR="00F32158" w:rsidRPr="00F32158" w:rsidRDefault="00F32158" w:rsidP="00F32158">
            <w:pPr>
              <w:jc w:val="center"/>
              <w:rPr>
                <w:sz w:val="24"/>
                <w:szCs w:val="24"/>
                <w:lang w:val="uk-UA"/>
              </w:rPr>
            </w:pPr>
            <w:r w:rsidRPr="00F32158">
              <w:rPr>
                <w:sz w:val="24"/>
                <w:szCs w:val="24"/>
              </w:rPr>
              <w:t>7</w:t>
            </w:r>
            <w:r w:rsidRPr="00F32158">
              <w:rPr>
                <w:sz w:val="24"/>
                <w:szCs w:val="24"/>
                <w:lang w:val="uk-UA"/>
              </w:rPr>
              <w:t>,44</w:t>
            </w:r>
          </w:p>
        </w:tc>
        <w:tc>
          <w:tcPr>
            <w:tcW w:w="0" w:type="auto"/>
            <w:vAlign w:val="bottom"/>
          </w:tcPr>
          <w:p w:rsidR="00F32158" w:rsidRPr="00F32158" w:rsidRDefault="00F32158" w:rsidP="00F32158">
            <w:pPr>
              <w:jc w:val="center"/>
              <w:rPr>
                <w:sz w:val="24"/>
                <w:szCs w:val="24"/>
                <w:lang w:val="uk-UA"/>
              </w:rPr>
            </w:pPr>
            <w:r w:rsidRPr="00F32158">
              <w:rPr>
                <w:sz w:val="24"/>
                <w:szCs w:val="24"/>
                <w:lang w:val="uk-UA"/>
              </w:rPr>
              <w:t>6,96</w:t>
            </w:r>
          </w:p>
        </w:tc>
        <w:tc>
          <w:tcPr>
            <w:tcW w:w="0" w:type="auto"/>
            <w:vAlign w:val="bottom"/>
          </w:tcPr>
          <w:p w:rsidR="00F32158" w:rsidRPr="00F32158" w:rsidRDefault="00F32158" w:rsidP="00F32158">
            <w:pPr>
              <w:jc w:val="center"/>
              <w:rPr>
                <w:sz w:val="24"/>
                <w:szCs w:val="24"/>
                <w:lang w:val="uk-UA"/>
              </w:rPr>
            </w:pPr>
            <w:r w:rsidRPr="00F32158">
              <w:rPr>
                <w:sz w:val="24"/>
                <w:szCs w:val="24"/>
                <w:lang w:val="uk-UA"/>
              </w:rPr>
              <w:t>8,94</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7,81</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7,70</w:t>
            </w:r>
          </w:p>
        </w:tc>
        <w:tc>
          <w:tcPr>
            <w:tcW w:w="0" w:type="auto"/>
            <w:vAlign w:val="bottom"/>
          </w:tcPr>
          <w:p w:rsidR="00F32158" w:rsidRPr="00F32158" w:rsidRDefault="00F32158" w:rsidP="00F32158">
            <w:pPr>
              <w:jc w:val="center"/>
              <w:rPr>
                <w:sz w:val="24"/>
                <w:szCs w:val="24"/>
                <w:lang w:val="uk-UA"/>
              </w:rPr>
            </w:pPr>
            <w:r w:rsidRPr="00F32158">
              <w:rPr>
                <w:sz w:val="24"/>
                <w:szCs w:val="24"/>
                <w:lang w:val="uk-UA"/>
              </w:rPr>
              <w:t>9,31</w:t>
            </w:r>
          </w:p>
        </w:tc>
        <w:tc>
          <w:tcPr>
            <w:tcW w:w="0" w:type="auto"/>
            <w:vAlign w:val="bottom"/>
          </w:tcPr>
          <w:p w:rsidR="00F32158" w:rsidRPr="00F32158" w:rsidRDefault="00F32158" w:rsidP="00F32158">
            <w:pPr>
              <w:jc w:val="center"/>
              <w:rPr>
                <w:sz w:val="24"/>
                <w:szCs w:val="24"/>
                <w:lang w:val="uk-UA"/>
              </w:rPr>
            </w:pPr>
            <w:r w:rsidRPr="00F32158">
              <w:rPr>
                <w:sz w:val="24"/>
                <w:szCs w:val="24"/>
                <w:lang w:val="uk-UA"/>
              </w:rPr>
              <w:t>6,40</w:t>
            </w:r>
          </w:p>
        </w:tc>
        <w:tc>
          <w:tcPr>
            <w:tcW w:w="0" w:type="auto"/>
            <w:vAlign w:val="bottom"/>
          </w:tcPr>
          <w:p w:rsidR="00F32158" w:rsidRPr="00F32158" w:rsidRDefault="00F32158" w:rsidP="00F32158">
            <w:pPr>
              <w:jc w:val="center"/>
              <w:rPr>
                <w:sz w:val="24"/>
                <w:szCs w:val="24"/>
                <w:lang w:val="uk-UA"/>
              </w:rPr>
            </w:pPr>
            <w:r w:rsidRPr="00F32158">
              <w:rPr>
                <w:sz w:val="24"/>
                <w:szCs w:val="24"/>
                <w:lang w:val="uk-UA"/>
              </w:rPr>
              <w:t>9,56</w:t>
            </w:r>
          </w:p>
        </w:tc>
      </w:tr>
      <w:tr w:rsidR="00F32158" w:rsidRPr="00F32158" w:rsidTr="00BF1F99">
        <w:trPr>
          <w:trHeight w:val="20"/>
          <w:jc w:val="center"/>
        </w:trPr>
        <w:tc>
          <w:tcPr>
            <w:tcW w:w="0" w:type="auto"/>
          </w:tcPr>
          <w:p w:rsidR="00F32158" w:rsidRPr="00F32158" w:rsidRDefault="00F32158" w:rsidP="00F32158">
            <w:pPr>
              <w:rPr>
                <w:sz w:val="24"/>
                <w:szCs w:val="24"/>
                <w:lang w:val="uk-UA"/>
              </w:rPr>
            </w:pPr>
            <w:r w:rsidRPr="00F32158">
              <w:rPr>
                <w:sz w:val="24"/>
                <w:szCs w:val="24"/>
                <w:lang w:val="uk-UA"/>
              </w:rPr>
              <w:t xml:space="preserve">Миколаївська </w:t>
            </w:r>
          </w:p>
        </w:tc>
        <w:tc>
          <w:tcPr>
            <w:tcW w:w="0" w:type="auto"/>
          </w:tcPr>
          <w:p w:rsidR="00F32158" w:rsidRPr="00F32158" w:rsidRDefault="00F32158" w:rsidP="00F32158">
            <w:pPr>
              <w:rPr>
                <w:rFonts w:eastAsia="NewtonC-Bold" w:cs="NewtonC-Bold"/>
                <w:sz w:val="24"/>
                <w:szCs w:val="24"/>
                <w:lang w:val="uk-UA"/>
              </w:rPr>
            </w:pPr>
            <w:r w:rsidRPr="00F32158">
              <w:rPr>
                <w:rFonts w:eastAsia="NewtonC-Bold" w:cs="NewtonC-Bold"/>
                <w:sz w:val="24"/>
                <w:szCs w:val="24"/>
                <w:lang w:val="uk-UA"/>
              </w:rPr>
              <w:t>8,04</w:t>
            </w:r>
          </w:p>
        </w:tc>
        <w:tc>
          <w:tcPr>
            <w:tcW w:w="0" w:type="auto"/>
          </w:tcPr>
          <w:p w:rsidR="00F32158" w:rsidRPr="00F32158" w:rsidRDefault="00F32158" w:rsidP="00F32158">
            <w:pPr>
              <w:rPr>
                <w:rFonts w:eastAsia="NewtonC-Bold" w:cs="NewtonC-Bold"/>
                <w:sz w:val="24"/>
                <w:szCs w:val="24"/>
                <w:lang w:val="uk-UA"/>
              </w:rPr>
            </w:pPr>
            <w:r w:rsidRPr="00F32158">
              <w:rPr>
                <w:rFonts w:eastAsia="NewtonC-Bold" w:cs="NewtonC-Bold"/>
                <w:sz w:val="24"/>
                <w:szCs w:val="24"/>
                <w:lang w:val="uk-UA"/>
              </w:rPr>
              <w:t>5,87</w:t>
            </w:r>
          </w:p>
        </w:tc>
        <w:tc>
          <w:tcPr>
            <w:tcW w:w="0" w:type="auto"/>
          </w:tcPr>
          <w:p w:rsidR="00F32158" w:rsidRPr="00F32158" w:rsidRDefault="00F32158" w:rsidP="00F32158">
            <w:pPr>
              <w:jc w:val="center"/>
              <w:rPr>
                <w:sz w:val="24"/>
                <w:szCs w:val="24"/>
                <w:lang w:val="uk-UA"/>
              </w:rPr>
            </w:pPr>
            <w:r w:rsidRPr="00F32158">
              <w:rPr>
                <w:sz w:val="24"/>
                <w:szCs w:val="24"/>
              </w:rPr>
              <w:t>5</w:t>
            </w:r>
            <w:r w:rsidRPr="00F32158">
              <w:rPr>
                <w:sz w:val="24"/>
                <w:szCs w:val="24"/>
                <w:lang w:val="uk-UA"/>
              </w:rPr>
              <w:t>,</w:t>
            </w:r>
            <w:r w:rsidRPr="00F32158">
              <w:rPr>
                <w:sz w:val="24"/>
                <w:szCs w:val="24"/>
              </w:rPr>
              <w:t>4</w:t>
            </w:r>
            <w:r w:rsidRPr="00F32158">
              <w:rPr>
                <w:sz w:val="24"/>
                <w:szCs w:val="24"/>
                <w:lang w:val="uk-UA"/>
              </w:rPr>
              <w:t>1</w:t>
            </w:r>
          </w:p>
        </w:tc>
        <w:tc>
          <w:tcPr>
            <w:tcW w:w="0" w:type="auto"/>
          </w:tcPr>
          <w:p w:rsidR="00F32158" w:rsidRPr="00F32158" w:rsidRDefault="00F32158" w:rsidP="00F32158">
            <w:pPr>
              <w:jc w:val="center"/>
              <w:rPr>
                <w:sz w:val="24"/>
                <w:szCs w:val="24"/>
                <w:lang w:val="uk-UA"/>
              </w:rPr>
            </w:pPr>
            <w:r w:rsidRPr="00F32158">
              <w:rPr>
                <w:sz w:val="24"/>
                <w:szCs w:val="24"/>
                <w:lang w:val="uk-UA"/>
              </w:rPr>
              <w:t>7,77</w:t>
            </w:r>
          </w:p>
        </w:tc>
        <w:tc>
          <w:tcPr>
            <w:tcW w:w="0" w:type="auto"/>
          </w:tcPr>
          <w:p w:rsidR="00F32158" w:rsidRPr="00F32158" w:rsidRDefault="00F32158" w:rsidP="00F32158">
            <w:pPr>
              <w:jc w:val="center"/>
              <w:rPr>
                <w:sz w:val="24"/>
                <w:szCs w:val="24"/>
                <w:lang w:val="uk-UA"/>
              </w:rPr>
            </w:pPr>
            <w:r w:rsidRPr="00F32158">
              <w:rPr>
                <w:sz w:val="24"/>
                <w:szCs w:val="24"/>
                <w:lang w:val="uk-UA"/>
              </w:rPr>
              <w:t>5,51</w:t>
            </w:r>
          </w:p>
        </w:tc>
        <w:tc>
          <w:tcPr>
            <w:tcW w:w="0" w:type="auto"/>
          </w:tcPr>
          <w:p w:rsidR="00F32158" w:rsidRPr="00F32158" w:rsidRDefault="00F32158" w:rsidP="00F32158">
            <w:pPr>
              <w:rPr>
                <w:rFonts w:eastAsia="NewtonC-Bold" w:cs="NewtonC-Bold"/>
                <w:sz w:val="24"/>
                <w:szCs w:val="24"/>
                <w:lang w:val="uk-UA"/>
              </w:rPr>
            </w:pPr>
            <w:r w:rsidRPr="00F32158">
              <w:rPr>
                <w:rFonts w:eastAsia="NewtonC-Bold" w:cs="NewtonC-Bold"/>
                <w:sz w:val="24"/>
                <w:szCs w:val="24"/>
                <w:lang w:val="uk-UA"/>
              </w:rPr>
              <w:t>7,30</w:t>
            </w:r>
          </w:p>
        </w:tc>
        <w:tc>
          <w:tcPr>
            <w:tcW w:w="0" w:type="auto"/>
          </w:tcPr>
          <w:p w:rsidR="00F32158" w:rsidRPr="00F32158" w:rsidRDefault="00F32158" w:rsidP="00F32158">
            <w:pPr>
              <w:rPr>
                <w:rFonts w:eastAsia="NewtonC-Bold" w:cs="NewtonC-Bold"/>
                <w:sz w:val="24"/>
                <w:szCs w:val="24"/>
                <w:lang w:val="uk-UA"/>
              </w:rPr>
            </w:pPr>
            <w:r w:rsidRPr="00F32158">
              <w:rPr>
                <w:rFonts w:eastAsia="NewtonC-Bold" w:cs="NewtonC-Bold"/>
                <w:sz w:val="24"/>
                <w:szCs w:val="24"/>
                <w:lang w:val="uk-UA"/>
              </w:rPr>
              <w:t>9,82</w:t>
            </w:r>
          </w:p>
        </w:tc>
        <w:tc>
          <w:tcPr>
            <w:tcW w:w="0" w:type="auto"/>
          </w:tcPr>
          <w:p w:rsidR="00F32158" w:rsidRPr="00F32158" w:rsidRDefault="00F32158" w:rsidP="00F32158">
            <w:pPr>
              <w:jc w:val="center"/>
              <w:rPr>
                <w:sz w:val="24"/>
                <w:szCs w:val="24"/>
                <w:lang w:val="uk-UA"/>
              </w:rPr>
            </w:pPr>
            <w:r w:rsidRPr="00F32158">
              <w:rPr>
                <w:sz w:val="24"/>
                <w:szCs w:val="24"/>
                <w:lang w:val="uk-UA"/>
              </w:rPr>
              <w:t>7,66</w:t>
            </w:r>
          </w:p>
        </w:tc>
        <w:tc>
          <w:tcPr>
            <w:tcW w:w="0" w:type="auto"/>
          </w:tcPr>
          <w:p w:rsidR="00F32158" w:rsidRPr="00F32158" w:rsidRDefault="00F32158" w:rsidP="00F32158">
            <w:pPr>
              <w:jc w:val="center"/>
              <w:rPr>
                <w:sz w:val="24"/>
                <w:szCs w:val="24"/>
                <w:lang w:val="uk-UA"/>
              </w:rPr>
            </w:pPr>
            <w:r w:rsidRPr="00F32158">
              <w:rPr>
                <w:sz w:val="24"/>
                <w:szCs w:val="24"/>
                <w:lang w:val="uk-UA"/>
              </w:rPr>
              <w:t>8,65</w:t>
            </w:r>
          </w:p>
        </w:tc>
        <w:tc>
          <w:tcPr>
            <w:tcW w:w="0" w:type="auto"/>
          </w:tcPr>
          <w:p w:rsidR="00F32158" w:rsidRPr="00F32158" w:rsidRDefault="00F32158" w:rsidP="00F32158">
            <w:pPr>
              <w:jc w:val="center"/>
              <w:rPr>
                <w:sz w:val="24"/>
                <w:szCs w:val="24"/>
                <w:lang w:val="uk-UA"/>
              </w:rPr>
            </w:pPr>
            <w:r w:rsidRPr="00F32158">
              <w:rPr>
                <w:sz w:val="24"/>
                <w:szCs w:val="24"/>
                <w:lang w:val="uk-UA"/>
              </w:rPr>
              <w:t>6,84</w:t>
            </w:r>
          </w:p>
        </w:tc>
      </w:tr>
      <w:tr w:rsidR="00F32158" w:rsidRPr="00F32158" w:rsidTr="00BF1F99">
        <w:trPr>
          <w:trHeight w:val="20"/>
          <w:jc w:val="center"/>
        </w:trPr>
        <w:tc>
          <w:tcPr>
            <w:tcW w:w="0" w:type="auto"/>
            <w:vAlign w:val="bottom"/>
          </w:tcPr>
          <w:p w:rsidR="00F32158" w:rsidRPr="00F32158" w:rsidRDefault="00F32158" w:rsidP="00F32158">
            <w:pPr>
              <w:rPr>
                <w:sz w:val="24"/>
                <w:szCs w:val="24"/>
                <w:lang w:val="uk-UA"/>
              </w:rPr>
            </w:pPr>
            <w:r w:rsidRPr="00F32158">
              <w:rPr>
                <w:sz w:val="24"/>
                <w:szCs w:val="24"/>
                <w:lang w:val="uk-UA"/>
              </w:rPr>
              <w:t>Одеська область</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7,87</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7,30</w:t>
            </w:r>
          </w:p>
        </w:tc>
        <w:tc>
          <w:tcPr>
            <w:tcW w:w="0" w:type="auto"/>
            <w:vAlign w:val="bottom"/>
          </w:tcPr>
          <w:p w:rsidR="00F32158" w:rsidRPr="00F32158" w:rsidRDefault="00F32158" w:rsidP="00F32158">
            <w:pPr>
              <w:jc w:val="center"/>
              <w:rPr>
                <w:sz w:val="24"/>
                <w:szCs w:val="24"/>
                <w:lang w:val="uk-UA"/>
              </w:rPr>
            </w:pPr>
            <w:r w:rsidRPr="00F32158">
              <w:rPr>
                <w:sz w:val="24"/>
                <w:szCs w:val="24"/>
              </w:rPr>
              <w:t>7</w:t>
            </w:r>
            <w:r w:rsidRPr="00F32158">
              <w:rPr>
                <w:sz w:val="24"/>
                <w:szCs w:val="24"/>
                <w:lang w:val="uk-UA"/>
              </w:rPr>
              <w:t>,</w:t>
            </w:r>
            <w:r w:rsidRPr="00F32158">
              <w:rPr>
                <w:sz w:val="24"/>
                <w:szCs w:val="24"/>
              </w:rPr>
              <w:t>49</w:t>
            </w:r>
          </w:p>
        </w:tc>
        <w:tc>
          <w:tcPr>
            <w:tcW w:w="0" w:type="auto"/>
            <w:vAlign w:val="bottom"/>
          </w:tcPr>
          <w:p w:rsidR="00F32158" w:rsidRPr="00F32158" w:rsidRDefault="00F32158" w:rsidP="00F32158">
            <w:pPr>
              <w:jc w:val="center"/>
              <w:rPr>
                <w:sz w:val="24"/>
                <w:szCs w:val="24"/>
                <w:lang w:val="uk-UA"/>
              </w:rPr>
            </w:pPr>
            <w:r w:rsidRPr="00F32158">
              <w:rPr>
                <w:sz w:val="24"/>
                <w:szCs w:val="24"/>
                <w:lang w:val="uk-UA"/>
              </w:rPr>
              <w:t>7,00</w:t>
            </w:r>
          </w:p>
        </w:tc>
        <w:tc>
          <w:tcPr>
            <w:tcW w:w="0" w:type="auto"/>
            <w:vAlign w:val="bottom"/>
          </w:tcPr>
          <w:p w:rsidR="00F32158" w:rsidRPr="00F32158" w:rsidRDefault="00F32158" w:rsidP="00F32158">
            <w:pPr>
              <w:jc w:val="center"/>
              <w:rPr>
                <w:sz w:val="24"/>
                <w:szCs w:val="24"/>
                <w:lang w:val="uk-UA"/>
              </w:rPr>
            </w:pPr>
            <w:r w:rsidRPr="00F32158">
              <w:rPr>
                <w:sz w:val="24"/>
                <w:szCs w:val="24"/>
                <w:lang w:val="uk-UA"/>
              </w:rPr>
              <w:t>7,59</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8,98</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6,59</w:t>
            </w:r>
          </w:p>
        </w:tc>
        <w:tc>
          <w:tcPr>
            <w:tcW w:w="0" w:type="auto"/>
            <w:vAlign w:val="bottom"/>
          </w:tcPr>
          <w:p w:rsidR="00F32158" w:rsidRPr="00F32158" w:rsidRDefault="00F32158" w:rsidP="00F32158">
            <w:pPr>
              <w:jc w:val="center"/>
              <w:rPr>
                <w:sz w:val="24"/>
                <w:szCs w:val="24"/>
                <w:lang w:val="uk-UA"/>
              </w:rPr>
            </w:pPr>
            <w:r w:rsidRPr="00F32158">
              <w:rPr>
                <w:sz w:val="24"/>
                <w:szCs w:val="24"/>
                <w:lang w:val="uk-UA"/>
              </w:rPr>
              <w:t>9,37</w:t>
            </w:r>
          </w:p>
        </w:tc>
        <w:tc>
          <w:tcPr>
            <w:tcW w:w="0" w:type="auto"/>
            <w:vAlign w:val="bottom"/>
          </w:tcPr>
          <w:p w:rsidR="00F32158" w:rsidRPr="00F32158" w:rsidRDefault="00F32158" w:rsidP="00F32158">
            <w:pPr>
              <w:jc w:val="center"/>
              <w:rPr>
                <w:sz w:val="24"/>
                <w:szCs w:val="24"/>
                <w:lang w:val="uk-UA"/>
              </w:rPr>
            </w:pPr>
            <w:r w:rsidRPr="00F32158">
              <w:rPr>
                <w:sz w:val="24"/>
                <w:szCs w:val="24"/>
                <w:lang w:val="uk-UA"/>
              </w:rPr>
              <w:t>9,43</w:t>
            </w:r>
          </w:p>
        </w:tc>
        <w:tc>
          <w:tcPr>
            <w:tcW w:w="0" w:type="auto"/>
            <w:vAlign w:val="bottom"/>
          </w:tcPr>
          <w:p w:rsidR="00F32158" w:rsidRPr="00F32158" w:rsidRDefault="00F32158" w:rsidP="00F32158">
            <w:pPr>
              <w:jc w:val="center"/>
              <w:rPr>
                <w:sz w:val="24"/>
                <w:szCs w:val="24"/>
                <w:lang w:val="uk-UA"/>
              </w:rPr>
            </w:pPr>
            <w:r w:rsidRPr="00F32158">
              <w:rPr>
                <w:sz w:val="24"/>
                <w:szCs w:val="24"/>
                <w:lang w:val="uk-UA"/>
              </w:rPr>
              <w:t>10,26</w:t>
            </w:r>
          </w:p>
        </w:tc>
      </w:tr>
      <w:tr w:rsidR="00F32158" w:rsidRPr="00F32158" w:rsidTr="00BF1F99">
        <w:trPr>
          <w:trHeight w:val="20"/>
          <w:jc w:val="center"/>
        </w:trPr>
        <w:tc>
          <w:tcPr>
            <w:tcW w:w="0" w:type="auto"/>
            <w:vAlign w:val="bottom"/>
          </w:tcPr>
          <w:p w:rsidR="00F32158" w:rsidRPr="00F32158" w:rsidRDefault="00F32158" w:rsidP="00F32158">
            <w:pPr>
              <w:rPr>
                <w:sz w:val="24"/>
                <w:szCs w:val="24"/>
                <w:lang w:val="uk-UA"/>
              </w:rPr>
            </w:pPr>
            <w:r w:rsidRPr="00F32158">
              <w:rPr>
                <w:sz w:val="24"/>
                <w:szCs w:val="24"/>
                <w:lang w:val="uk-UA"/>
              </w:rPr>
              <w:t xml:space="preserve">Полтавська </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5,32</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6,08</w:t>
            </w:r>
          </w:p>
        </w:tc>
        <w:tc>
          <w:tcPr>
            <w:tcW w:w="0" w:type="auto"/>
            <w:vAlign w:val="bottom"/>
          </w:tcPr>
          <w:p w:rsidR="00F32158" w:rsidRPr="00F32158" w:rsidRDefault="00F32158" w:rsidP="00F32158">
            <w:pPr>
              <w:jc w:val="center"/>
              <w:rPr>
                <w:sz w:val="24"/>
                <w:szCs w:val="24"/>
                <w:lang w:val="uk-UA"/>
              </w:rPr>
            </w:pPr>
            <w:r w:rsidRPr="00F32158">
              <w:rPr>
                <w:sz w:val="24"/>
                <w:szCs w:val="24"/>
                <w:lang w:val="uk-UA"/>
              </w:rPr>
              <w:t>5,62</w:t>
            </w:r>
          </w:p>
        </w:tc>
        <w:tc>
          <w:tcPr>
            <w:tcW w:w="0" w:type="auto"/>
            <w:vAlign w:val="bottom"/>
          </w:tcPr>
          <w:p w:rsidR="00F32158" w:rsidRPr="00F32158" w:rsidRDefault="00F32158" w:rsidP="00F32158">
            <w:pPr>
              <w:jc w:val="center"/>
              <w:rPr>
                <w:sz w:val="24"/>
                <w:szCs w:val="24"/>
                <w:lang w:val="uk-UA"/>
              </w:rPr>
            </w:pPr>
            <w:r w:rsidRPr="00F32158">
              <w:rPr>
                <w:sz w:val="24"/>
                <w:szCs w:val="24"/>
                <w:lang w:val="uk-UA"/>
              </w:rPr>
              <w:t>5,12</w:t>
            </w:r>
          </w:p>
        </w:tc>
        <w:tc>
          <w:tcPr>
            <w:tcW w:w="0" w:type="auto"/>
            <w:vAlign w:val="bottom"/>
          </w:tcPr>
          <w:p w:rsidR="00F32158" w:rsidRPr="00F32158" w:rsidRDefault="00F32158" w:rsidP="00F32158">
            <w:pPr>
              <w:jc w:val="center"/>
              <w:rPr>
                <w:sz w:val="24"/>
                <w:szCs w:val="24"/>
                <w:lang w:val="uk-UA"/>
              </w:rPr>
            </w:pPr>
            <w:r w:rsidRPr="00F32158">
              <w:rPr>
                <w:sz w:val="24"/>
                <w:szCs w:val="24"/>
                <w:lang w:val="uk-UA"/>
              </w:rPr>
              <w:t>2,76</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5,79</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9,72</w:t>
            </w:r>
          </w:p>
        </w:tc>
        <w:tc>
          <w:tcPr>
            <w:tcW w:w="0" w:type="auto"/>
            <w:vAlign w:val="bottom"/>
          </w:tcPr>
          <w:p w:rsidR="00F32158" w:rsidRPr="00F32158" w:rsidRDefault="00F32158" w:rsidP="00F32158">
            <w:pPr>
              <w:jc w:val="center"/>
              <w:rPr>
                <w:sz w:val="24"/>
                <w:szCs w:val="24"/>
                <w:lang w:val="uk-UA"/>
              </w:rPr>
            </w:pPr>
            <w:r w:rsidRPr="00F32158">
              <w:rPr>
                <w:sz w:val="24"/>
                <w:szCs w:val="24"/>
                <w:lang w:val="uk-UA"/>
              </w:rPr>
              <w:t>6,08</w:t>
            </w:r>
          </w:p>
        </w:tc>
        <w:tc>
          <w:tcPr>
            <w:tcW w:w="0" w:type="auto"/>
            <w:vAlign w:val="bottom"/>
          </w:tcPr>
          <w:p w:rsidR="00F32158" w:rsidRPr="00F32158" w:rsidRDefault="00F32158" w:rsidP="00F32158">
            <w:pPr>
              <w:jc w:val="center"/>
              <w:rPr>
                <w:sz w:val="24"/>
                <w:szCs w:val="24"/>
                <w:lang w:val="uk-UA"/>
              </w:rPr>
            </w:pPr>
            <w:r w:rsidRPr="00F32158">
              <w:rPr>
                <w:sz w:val="24"/>
                <w:szCs w:val="24"/>
                <w:lang w:val="uk-UA"/>
              </w:rPr>
              <w:t>6,98</w:t>
            </w:r>
          </w:p>
        </w:tc>
        <w:tc>
          <w:tcPr>
            <w:tcW w:w="0" w:type="auto"/>
            <w:vAlign w:val="bottom"/>
          </w:tcPr>
          <w:p w:rsidR="00F32158" w:rsidRPr="00F32158" w:rsidRDefault="00F32158" w:rsidP="00F32158">
            <w:pPr>
              <w:jc w:val="center"/>
              <w:rPr>
                <w:sz w:val="24"/>
                <w:szCs w:val="24"/>
                <w:lang w:val="uk-UA"/>
              </w:rPr>
            </w:pPr>
            <w:r w:rsidRPr="00F32158">
              <w:rPr>
                <w:sz w:val="24"/>
                <w:szCs w:val="24"/>
                <w:lang w:val="uk-UA"/>
              </w:rPr>
              <w:t>6,20</w:t>
            </w:r>
          </w:p>
        </w:tc>
      </w:tr>
      <w:tr w:rsidR="00F32158" w:rsidRPr="00F32158" w:rsidTr="00BF1F99">
        <w:trPr>
          <w:trHeight w:val="20"/>
          <w:jc w:val="center"/>
        </w:trPr>
        <w:tc>
          <w:tcPr>
            <w:tcW w:w="0" w:type="auto"/>
            <w:vAlign w:val="bottom"/>
          </w:tcPr>
          <w:p w:rsidR="00F32158" w:rsidRPr="00F32158" w:rsidRDefault="00F32158" w:rsidP="00F32158">
            <w:pPr>
              <w:rPr>
                <w:sz w:val="24"/>
                <w:szCs w:val="24"/>
                <w:lang w:val="uk-UA"/>
              </w:rPr>
            </w:pPr>
            <w:r w:rsidRPr="00F32158">
              <w:rPr>
                <w:sz w:val="24"/>
                <w:szCs w:val="24"/>
                <w:lang w:val="uk-UA"/>
              </w:rPr>
              <w:t xml:space="preserve">Рівненська </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6,67</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9,07</w:t>
            </w:r>
          </w:p>
        </w:tc>
        <w:tc>
          <w:tcPr>
            <w:tcW w:w="0" w:type="auto"/>
            <w:vAlign w:val="bottom"/>
          </w:tcPr>
          <w:p w:rsidR="00F32158" w:rsidRPr="00F32158" w:rsidRDefault="00F32158" w:rsidP="00F32158">
            <w:pPr>
              <w:jc w:val="center"/>
              <w:rPr>
                <w:sz w:val="24"/>
                <w:szCs w:val="24"/>
                <w:lang w:val="uk-UA"/>
              </w:rPr>
            </w:pPr>
            <w:r w:rsidRPr="00F32158">
              <w:rPr>
                <w:sz w:val="24"/>
                <w:szCs w:val="24"/>
                <w:lang w:val="uk-UA"/>
              </w:rPr>
              <w:t>7,59</w:t>
            </w:r>
          </w:p>
        </w:tc>
        <w:tc>
          <w:tcPr>
            <w:tcW w:w="0" w:type="auto"/>
            <w:vAlign w:val="bottom"/>
          </w:tcPr>
          <w:p w:rsidR="00F32158" w:rsidRPr="00F32158" w:rsidRDefault="00F32158" w:rsidP="00F32158">
            <w:pPr>
              <w:jc w:val="center"/>
              <w:rPr>
                <w:sz w:val="24"/>
                <w:szCs w:val="24"/>
                <w:lang w:val="uk-UA"/>
              </w:rPr>
            </w:pPr>
            <w:r w:rsidRPr="00F32158">
              <w:rPr>
                <w:sz w:val="24"/>
                <w:szCs w:val="24"/>
                <w:lang w:val="uk-UA"/>
              </w:rPr>
              <w:t>9,82</w:t>
            </w:r>
          </w:p>
        </w:tc>
        <w:tc>
          <w:tcPr>
            <w:tcW w:w="0" w:type="auto"/>
            <w:vAlign w:val="bottom"/>
          </w:tcPr>
          <w:p w:rsidR="00F32158" w:rsidRPr="00F32158" w:rsidRDefault="00F32158" w:rsidP="00F32158">
            <w:pPr>
              <w:jc w:val="center"/>
              <w:rPr>
                <w:sz w:val="24"/>
                <w:szCs w:val="24"/>
                <w:lang w:val="uk-UA"/>
              </w:rPr>
            </w:pPr>
            <w:r w:rsidRPr="00F32158">
              <w:rPr>
                <w:sz w:val="24"/>
                <w:szCs w:val="24"/>
                <w:lang w:val="uk-UA"/>
              </w:rPr>
              <w:t>5,72</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8,68</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7,29</w:t>
            </w:r>
          </w:p>
        </w:tc>
        <w:tc>
          <w:tcPr>
            <w:tcW w:w="0" w:type="auto"/>
            <w:vAlign w:val="bottom"/>
          </w:tcPr>
          <w:p w:rsidR="00F32158" w:rsidRPr="00F32158" w:rsidRDefault="00F32158" w:rsidP="00F32158">
            <w:pPr>
              <w:jc w:val="center"/>
              <w:rPr>
                <w:sz w:val="24"/>
                <w:szCs w:val="24"/>
                <w:lang w:val="uk-UA"/>
              </w:rPr>
            </w:pPr>
            <w:r w:rsidRPr="00F32158">
              <w:rPr>
                <w:sz w:val="24"/>
                <w:szCs w:val="24"/>
                <w:lang w:val="uk-UA"/>
              </w:rPr>
              <w:t>9,16</w:t>
            </w:r>
          </w:p>
        </w:tc>
        <w:tc>
          <w:tcPr>
            <w:tcW w:w="0" w:type="auto"/>
            <w:vAlign w:val="bottom"/>
          </w:tcPr>
          <w:p w:rsidR="00F32158" w:rsidRPr="00F32158" w:rsidRDefault="00F32158" w:rsidP="00F32158">
            <w:pPr>
              <w:jc w:val="center"/>
              <w:rPr>
                <w:sz w:val="24"/>
                <w:szCs w:val="24"/>
                <w:lang w:val="uk-UA"/>
              </w:rPr>
            </w:pPr>
            <w:r w:rsidRPr="00F32158">
              <w:rPr>
                <w:sz w:val="24"/>
                <w:szCs w:val="24"/>
                <w:lang w:val="uk-UA"/>
              </w:rPr>
              <w:t>7,28</w:t>
            </w:r>
          </w:p>
        </w:tc>
        <w:tc>
          <w:tcPr>
            <w:tcW w:w="0" w:type="auto"/>
            <w:vAlign w:val="bottom"/>
          </w:tcPr>
          <w:p w:rsidR="00F32158" w:rsidRPr="00F32158" w:rsidRDefault="00F32158" w:rsidP="00F32158">
            <w:pPr>
              <w:jc w:val="center"/>
              <w:rPr>
                <w:sz w:val="24"/>
                <w:szCs w:val="24"/>
                <w:lang w:val="uk-UA"/>
              </w:rPr>
            </w:pPr>
            <w:r w:rsidRPr="00F32158">
              <w:rPr>
                <w:sz w:val="24"/>
                <w:szCs w:val="24"/>
                <w:lang w:val="uk-UA"/>
              </w:rPr>
              <w:t>10,04</w:t>
            </w:r>
          </w:p>
        </w:tc>
      </w:tr>
      <w:tr w:rsidR="00F32158" w:rsidRPr="00F32158" w:rsidTr="00BF1F99">
        <w:trPr>
          <w:trHeight w:val="20"/>
          <w:jc w:val="center"/>
        </w:trPr>
        <w:tc>
          <w:tcPr>
            <w:tcW w:w="0" w:type="auto"/>
            <w:vAlign w:val="bottom"/>
          </w:tcPr>
          <w:p w:rsidR="00F32158" w:rsidRPr="00F32158" w:rsidRDefault="00F32158" w:rsidP="00F32158">
            <w:pPr>
              <w:rPr>
                <w:sz w:val="24"/>
                <w:szCs w:val="24"/>
                <w:lang w:val="uk-UA"/>
              </w:rPr>
            </w:pPr>
            <w:r w:rsidRPr="00F32158">
              <w:rPr>
                <w:sz w:val="24"/>
                <w:szCs w:val="24"/>
                <w:lang w:val="uk-UA"/>
              </w:rPr>
              <w:t xml:space="preserve">Сумська </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5.68</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7,32</w:t>
            </w:r>
          </w:p>
        </w:tc>
        <w:tc>
          <w:tcPr>
            <w:tcW w:w="0" w:type="auto"/>
            <w:vAlign w:val="bottom"/>
          </w:tcPr>
          <w:p w:rsidR="00F32158" w:rsidRPr="00F32158" w:rsidRDefault="00F32158" w:rsidP="00F32158">
            <w:pPr>
              <w:jc w:val="center"/>
              <w:rPr>
                <w:sz w:val="24"/>
                <w:szCs w:val="24"/>
                <w:lang w:val="uk-UA"/>
              </w:rPr>
            </w:pPr>
            <w:r w:rsidRPr="00F32158">
              <w:rPr>
                <w:sz w:val="24"/>
                <w:szCs w:val="24"/>
                <w:lang w:val="uk-UA"/>
              </w:rPr>
              <w:t>7,14</w:t>
            </w:r>
          </w:p>
        </w:tc>
        <w:tc>
          <w:tcPr>
            <w:tcW w:w="0" w:type="auto"/>
            <w:vAlign w:val="bottom"/>
          </w:tcPr>
          <w:p w:rsidR="00F32158" w:rsidRPr="00F32158" w:rsidRDefault="00F32158" w:rsidP="00F32158">
            <w:pPr>
              <w:jc w:val="center"/>
              <w:rPr>
                <w:sz w:val="24"/>
                <w:szCs w:val="24"/>
                <w:lang w:val="uk-UA"/>
              </w:rPr>
            </w:pPr>
            <w:r w:rsidRPr="00F32158">
              <w:rPr>
                <w:sz w:val="24"/>
                <w:szCs w:val="24"/>
                <w:lang w:val="uk-UA"/>
              </w:rPr>
              <w:t>5,75</w:t>
            </w:r>
          </w:p>
        </w:tc>
        <w:tc>
          <w:tcPr>
            <w:tcW w:w="0" w:type="auto"/>
            <w:vAlign w:val="bottom"/>
          </w:tcPr>
          <w:p w:rsidR="00F32158" w:rsidRPr="00F32158" w:rsidRDefault="00F32158" w:rsidP="00F32158">
            <w:pPr>
              <w:jc w:val="center"/>
              <w:rPr>
                <w:sz w:val="24"/>
                <w:szCs w:val="24"/>
                <w:lang w:val="uk-UA"/>
              </w:rPr>
            </w:pPr>
            <w:r w:rsidRPr="00F32158">
              <w:rPr>
                <w:sz w:val="24"/>
                <w:szCs w:val="24"/>
                <w:lang w:val="uk-UA"/>
              </w:rPr>
              <w:t>5,89</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7,99</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5,24</w:t>
            </w:r>
          </w:p>
        </w:tc>
        <w:tc>
          <w:tcPr>
            <w:tcW w:w="0" w:type="auto"/>
            <w:vAlign w:val="bottom"/>
          </w:tcPr>
          <w:p w:rsidR="00F32158" w:rsidRPr="00F32158" w:rsidRDefault="00F32158" w:rsidP="00F32158">
            <w:pPr>
              <w:jc w:val="center"/>
              <w:rPr>
                <w:sz w:val="24"/>
                <w:szCs w:val="24"/>
                <w:lang w:val="uk-UA"/>
              </w:rPr>
            </w:pPr>
            <w:r w:rsidRPr="00F32158">
              <w:rPr>
                <w:sz w:val="24"/>
                <w:szCs w:val="24"/>
                <w:lang w:val="uk-UA"/>
              </w:rPr>
              <w:t>9,04</w:t>
            </w:r>
          </w:p>
        </w:tc>
        <w:tc>
          <w:tcPr>
            <w:tcW w:w="0" w:type="auto"/>
            <w:vAlign w:val="bottom"/>
          </w:tcPr>
          <w:p w:rsidR="00F32158" w:rsidRPr="00F32158" w:rsidRDefault="00F32158" w:rsidP="00F32158">
            <w:pPr>
              <w:jc w:val="center"/>
              <w:rPr>
                <w:sz w:val="24"/>
                <w:szCs w:val="24"/>
                <w:lang w:val="uk-UA"/>
              </w:rPr>
            </w:pPr>
            <w:r w:rsidRPr="00F32158">
              <w:rPr>
                <w:sz w:val="24"/>
                <w:szCs w:val="24"/>
                <w:lang w:val="uk-UA"/>
              </w:rPr>
              <w:t>8,14</w:t>
            </w:r>
          </w:p>
        </w:tc>
        <w:tc>
          <w:tcPr>
            <w:tcW w:w="0" w:type="auto"/>
            <w:vAlign w:val="bottom"/>
          </w:tcPr>
          <w:p w:rsidR="00F32158" w:rsidRPr="00F32158" w:rsidRDefault="00F32158" w:rsidP="00F32158">
            <w:pPr>
              <w:jc w:val="center"/>
              <w:rPr>
                <w:sz w:val="24"/>
                <w:szCs w:val="24"/>
                <w:lang w:val="uk-UA"/>
              </w:rPr>
            </w:pPr>
            <w:r w:rsidRPr="00F32158">
              <w:rPr>
                <w:sz w:val="24"/>
                <w:szCs w:val="24"/>
                <w:lang w:val="uk-UA"/>
              </w:rPr>
              <w:t>8,50</w:t>
            </w:r>
          </w:p>
        </w:tc>
      </w:tr>
      <w:tr w:rsidR="00F32158" w:rsidRPr="00F32158" w:rsidTr="00BF1F99">
        <w:trPr>
          <w:trHeight w:val="20"/>
          <w:jc w:val="center"/>
        </w:trPr>
        <w:tc>
          <w:tcPr>
            <w:tcW w:w="0" w:type="auto"/>
          </w:tcPr>
          <w:p w:rsidR="00F32158" w:rsidRPr="00F32158" w:rsidRDefault="00F32158" w:rsidP="00F32158">
            <w:pPr>
              <w:rPr>
                <w:sz w:val="24"/>
                <w:szCs w:val="24"/>
                <w:lang w:val="uk-UA"/>
              </w:rPr>
            </w:pPr>
            <w:r w:rsidRPr="00F32158">
              <w:rPr>
                <w:sz w:val="24"/>
                <w:szCs w:val="24"/>
                <w:lang w:val="uk-UA"/>
              </w:rPr>
              <w:t xml:space="preserve">Тернопільська </w:t>
            </w:r>
          </w:p>
        </w:tc>
        <w:tc>
          <w:tcPr>
            <w:tcW w:w="0" w:type="auto"/>
          </w:tcPr>
          <w:p w:rsidR="00F32158" w:rsidRPr="00F32158" w:rsidRDefault="00F32158" w:rsidP="00F32158">
            <w:pPr>
              <w:rPr>
                <w:rFonts w:eastAsia="NewtonC-Bold" w:cs="NewtonC-Bold"/>
                <w:sz w:val="24"/>
                <w:szCs w:val="24"/>
                <w:lang w:val="uk-UA"/>
              </w:rPr>
            </w:pPr>
            <w:r w:rsidRPr="00F32158">
              <w:rPr>
                <w:rFonts w:eastAsia="NewtonC-Bold" w:cs="NewtonC-Bold"/>
                <w:sz w:val="24"/>
                <w:szCs w:val="24"/>
                <w:lang w:val="uk-UA"/>
              </w:rPr>
              <w:t>6.78</w:t>
            </w:r>
          </w:p>
        </w:tc>
        <w:tc>
          <w:tcPr>
            <w:tcW w:w="0" w:type="auto"/>
          </w:tcPr>
          <w:p w:rsidR="00F32158" w:rsidRPr="00F32158" w:rsidRDefault="00F32158" w:rsidP="00F32158">
            <w:pPr>
              <w:rPr>
                <w:rFonts w:eastAsia="NewtonC-Bold" w:cs="NewtonC-Bold"/>
                <w:sz w:val="24"/>
                <w:szCs w:val="24"/>
                <w:lang w:val="uk-UA"/>
              </w:rPr>
            </w:pPr>
            <w:r w:rsidRPr="00F32158">
              <w:rPr>
                <w:rFonts w:eastAsia="NewtonC-Bold" w:cs="NewtonC-Bold"/>
                <w:sz w:val="24"/>
                <w:szCs w:val="24"/>
                <w:lang w:val="uk-UA"/>
              </w:rPr>
              <w:t>7,86</w:t>
            </w:r>
          </w:p>
        </w:tc>
        <w:tc>
          <w:tcPr>
            <w:tcW w:w="0" w:type="auto"/>
          </w:tcPr>
          <w:p w:rsidR="00F32158" w:rsidRPr="00F32158" w:rsidRDefault="00F32158" w:rsidP="00F32158">
            <w:pPr>
              <w:jc w:val="center"/>
              <w:rPr>
                <w:sz w:val="24"/>
                <w:szCs w:val="24"/>
                <w:lang w:val="uk-UA"/>
              </w:rPr>
            </w:pPr>
            <w:r w:rsidRPr="00F32158">
              <w:rPr>
                <w:sz w:val="24"/>
                <w:szCs w:val="24"/>
                <w:lang w:val="uk-UA"/>
              </w:rPr>
              <w:t>6,90</w:t>
            </w:r>
          </w:p>
        </w:tc>
        <w:tc>
          <w:tcPr>
            <w:tcW w:w="0" w:type="auto"/>
          </w:tcPr>
          <w:p w:rsidR="00F32158" w:rsidRPr="00F32158" w:rsidRDefault="00F32158" w:rsidP="00F32158">
            <w:pPr>
              <w:jc w:val="center"/>
              <w:rPr>
                <w:sz w:val="24"/>
                <w:szCs w:val="24"/>
                <w:lang w:val="uk-UA"/>
              </w:rPr>
            </w:pPr>
            <w:r w:rsidRPr="00F32158">
              <w:rPr>
                <w:sz w:val="24"/>
                <w:szCs w:val="24"/>
                <w:lang w:val="uk-UA"/>
              </w:rPr>
              <w:t>4,81</w:t>
            </w:r>
          </w:p>
        </w:tc>
        <w:tc>
          <w:tcPr>
            <w:tcW w:w="0" w:type="auto"/>
          </w:tcPr>
          <w:p w:rsidR="00F32158" w:rsidRPr="00F32158" w:rsidRDefault="00F32158" w:rsidP="00F32158">
            <w:pPr>
              <w:jc w:val="center"/>
              <w:rPr>
                <w:sz w:val="24"/>
                <w:szCs w:val="24"/>
                <w:lang w:val="uk-UA"/>
              </w:rPr>
            </w:pPr>
            <w:r w:rsidRPr="00F32158">
              <w:rPr>
                <w:sz w:val="24"/>
                <w:szCs w:val="24"/>
                <w:lang w:val="uk-UA"/>
              </w:rPr>
              <w:t>9,31</w:t>
            </w:r>
          </w:p>
        </w:tc>
        <w:tc>
          <w:tcPr>
            <w:tcW w:w="0" w:type="auto"/>
          </w:tcPr>
          <w:p w:rsidR="00F32158" w:rsidRPr="00F32158" w:rsidRDefault="00F32158" w:rsidP="00F32158">
            <w:pPr>
              <w:rPr>
                <w:rFonts w:eastAsia="NewtonC-Bold" w:cs="NewtonC-Bold"/>
                <w:sz w:val="24"/>
                <w:szCs w:val="24"/>
                <w:lang w:val="uk-UA"/>
              </w:rPr>
            </w:pPr>
            <w:r w:rsidRPr="00F32158">
              <w:rPr>
                <w:rFonts w:eastAsia="NewtonC-Bold" w:cs="NewtonC-Bold"/>
                <w:sz w:val="24"/>
                <w:szCs w:val="24"/>
                <w:lang w:val="uk-UA"/>
              </w:rPr>
              <w:t>6,86</w:t>
            </w:r>
          </w:p>
        </w:tc>
        <w:tc>
          <w:tcPr>
            <w:tcW w:w="0" w:type="auto"/>
          </w:tcPr>
          <w:p w:rsidR="00F32158" w:rsidRPr="00F32158" w:rsidRDefault="00F32158" w:rsidP="00F32158">
            <w:pPr>
              <w:rPr>
                <w:rFonts w:eastAsia="NewtonC-Bold" w:cs="NewtonC-Bold"/>
                <w:sz w:val="24"/>
                <w:szCs w:val="24"/>
                <w:lang w:val="uk-UA"/>
              </w:rPr>
            </w:pPr>
            <w:r w:rsidRPr="00F32158">
              <w:rPr>
                <w:rFonts w:eastAsia="NewtonC-Bold" w:cs="NewtonC-Bold"/>
                <w:sz w:val="24"/>
                <w:szCs w:val="24"/>
                <w:lang w:val="uk-UA"/>
              </w:rPr>
              <w:t>7,36</w:t>
            </w:r>
          </w:p>
        </w:tc>
        <w:tc>
          <w:tcPr>
            <w:tcW w:w="0" w:type="auto"/>
          </w:tcPr>
          <w:p w:rsidR="00F32158" w:rsidRPr="00F32158" w:rsidRDefault="00F32158" w:rsidP="00F32158">
            <w:pPr>
              <w:jc w:val="center"/>
              <w:rPr>
                <w:sz w:val="24"/>
                <w:szCs w:val="24"/>
                <w:lang w:val="uk-UA"/>
              </w:rPr>
            </w:pPr>
            <w:r w:rsidRPr="00F32158">
              <w:rPr>
                <w:sz w:val="24"/>
                <w:szCs w:val="24"/>
              </w:rPr>
              <w:t>8</w:t>
            </w:r>
            <w:r w:rsidRPr="00F32158">
              <w:rPr>
                <w:sz w:val="24"/>
                <w:szCs w:val="24"/>
                <w:lang w:val="uk-UA"/>
              </w:rPr>
              <w:t>,03</w:t>
            </w:r>
          </w:p>
        </w:tc>
        <w:tc>
          <w:tcPr>
            <w:tcW w:w="0" w:type="auto"/>
          </w:tcPr>
          <w:p w:rsidR="00F32158" w:rsidRPr="00F32158" w:rsidRDefault="00F32158" w:rsidP="00F32158">
            <w:pPr>
              <w:jc w:val="center"/>
              <w:rPr>
                <w:sz w:val="24"/>
                <w:szCs w:val="24"/>
                <w:lang w:val="uk-UA"/>
              </w:rPr>
            </w:pPr>
            <w:r w:rsidRPr="00F32158">
              <w:rPr>
                <w:sz w:val="24"/>
                <w:szCs w:val="24"/>
                <w:lang w:val="uk-UA"/>
              </w:rPr>
              <w:t>5,48</w:t>
            </w:r>
          </w:p>
        </w:tc>
        <w:tc>
          <w:tcPr>
            <w:tcW w:w="0" w:type="auto"/>
          </w:tcPr>
          <w:p w:rsidR="00F32158" w:rsidRPr="00F32158" w:rsidRDefault="00F32158" w:rsidP="00F32158">
            <w:pPr>
              <w:jc w:val="center"/>
              <w:rPr>
                <w:sz w:val="24"/>
                <w:szCs w:val="24"/>
                <w:lang w:val="uk-UA"/>
              </w:rPr>
            </w:pPr>
            <w:r w:rsidRPr="00F32158">
              <w:rPr>
                <w:sz w:val="24"/>
                <w:szCs w:val="24"/>
                <w:lang w:val="uk-UA"/>
              </w:rPr>
              <w:t>8,16</w:t>
            </w:r>
          </w:p>
        </w:tc>
      </w:tr>
      <w:tr w:rsidR="00F32158" w:rsidRPr="00F32158" w:rsidTr="00BF1F99">
        <w:trPr>
          <w:trHeight w:val="20"/>
          <w:jc w:val="center"/>
        </w:trPr>
        <w:tc>
          <w:tcPr>
            <w:tcW w:w="0" w:type="auto"/>
          </w:tcPr>
          <w:p w:rsidR="00F32158" w:rsidRPr="00F32158" w:rsidRDefault="00F32158" w:rsidP="00F32158">
            <w:pPr>
              <w:rPr>
                <w:sz w:val="24"/>
                <w:szCs w:val="24"/>
                <w:lang w:val="uk-UA"/>
              </w:rPr>
            </w:pPr>
            <w:r w:rsidRPr="00F32158">
              <w:rPr>
                <w:sz w:val="24"/>
                <w:szCs w:val="24"/>
                <w:lang w:val="uk-UA"/>
              </w:rPr>
              <w:t>Харківська</w:t>
            </w:r>
          </w:p>
        </w:tc>
        <w:tc>
          <w:tcPr>
            <w:tcW w:w="0" w:type="auto"/>
          </w:tcPr>
          <w:p w:rsidR="00F32158" w:rsidRPr="00F32158" w:rsidRDefault="00F32158" w:rsidP="00F32158">
            <w:pPr>
              <w:rPr>
                <w:rFonts w:eastAsia="NewtonC-Bold" w:cs="NewtonC-Bold"/>
                <w:sz w:val="24"/>
                <w:szCs w:val="24"/>
                <w:lang w:val="uk-UA"/>
              </w:rPr>
            </w:pPr>
            <w:r w:rsidRPr="00F32158">
              <w:rPr>
                <w:rFonts w:eastAsia="NewtonC-Bold" w:cs="NewtonC-Bold"/>
                <w:sz w:val="24"/>
                <w:szCs w:val="24"/>
                <w:lang w:val="uk-UA"/>
              </w:rPr>
              <w:t>6,47</w:t>
            </w:r>
          </w:p>
        </w:tc>
        <w:tc>
          <w:tcPr>
            <w:tcW w:w="0" w:type="auto"/>
          </w:tcPr>
          <w:p w:rsidR="00F32158" w:rsidRPr="00F32158" w:rsidRDefault="00F32158" w:rsidP="00F32158">
            <w:pPr>
              <w:rPr>
                <w:rFonts w:eastAsia="NewtonC-Bold" w:cs="NewtonC-Bold"/>
                <w:sz w:val="24"/>
                <w:szCs w:val="24"/>
                <w:lang w:val="uk-UA"/>
              </w:rPr>
            </w:pPr>
            <w:r w:rsidRPr="00F32158">
              <w:rPr>
                <w:rFonts w:eastAsia="NewtonC-Bold" w:cs="NewtonC-Bold"/>
                <w:sz w:val="24"/>
                <w:szCs w:val="24"/>
                <w:lang w:val="uk-UA"/>
              </w:rPr>
              <w:t>8,82</w:t>
            </w:r>
          </w:p>
        </w:tc>
        <w:tc>
          <w:tcPr>
            <w:tcW w:w="0" w:type="auto"/>
          </w:tcPr>
          <w:p w:rsidR="00F32158" w:rsidRPr="00F32158" w:rsidRDefault="00F32158" w:rsidP="00F32158">
            <w:pPr>
              <w:jc w:val="center"/>
              <w:rPr>
                <w:sz w:val="24"/>
                <w:szCs w:val="24"/>
                <w:lang w:val="uk-UA"/>
              </w:rPr>
            </w:pPr>
            <w:r w:rsidRPr="00F32158">
              <w:rPr>
                <w:sz w:val="24"/>
                <w:szCs w:val="24"/>
              </w:rPr>
              <w:t>9</w:t>
            </w:r>
            <w:r w:rsidRPr="00F32158">
              <w:rPr>
                <w:sz w:val="24"/>
                <w:szCs w:val="24"/>
                <w:lang w:val="uk-UA"/>
              </w:rPr>
              <w:t>,31</w:t>
            </w:r>
          </w:p>
        </w:tc>
        <w:tc>
          <w:tcPr>
            <w:tcW w:w="0" w:type="auto"/>
          </w:tcPr>
          <w:p w:rsidR="00F32158" w:rsidRPr="00F32158" w:rsidRDefault="00F32158" w:rsidP="00F32158">
            <w:pPr>
              <w:jc w:val="center"/>
              <w:rPr>
                <w:sz w:val="24"/>
                <w:szCs w:val="24"/>
                <w:lang w:val="uk-UA"/>
              </w:rPr>
            </w:pPr>
            <w:r w:rsidRPr="00F32158">
              <w:rPr>
                <w:sz w:val="24"/>
                <w:szCs w:val="24"/>
                <w:lang w:val="uk-UA"/>
              </w:rPr>
              <w:t>6,37</w:t>
            </w:r>
          </w:p>
        </w:tc>
        <w:tc>
          <w:tcPr>
            <w:tcW w:w="0" w:type="auto"/>
          </w:tcPr>
          <w:p w:rsidR="00F32158" w:rsidRPr="00F32158" w:rsidRDefault="00F32158" w:rsidP="00F32158">
            <w:pPr>
              <w:jc w:val="center"/>
              <w:rPr>
                <w:sz w:val="24"/>
                <w:szCs w:val="24"/>
                <w:lang w:val="uk-UA"/>
              </w:rPr>
            </w:pPr>
            <w:r w:rsidRPr="00F32158">
              <w:rPr>
                <w:sz w:val="24"/>
                <w:szCs w:val="24"/>
                <w:lang w:val="uk-UA"/>
              </w:rPr>
              <w:t>6,60</w:t>
            </w:r>
          </w:p>
        </w:tc>
        <w:tc>
          <w:tcPr>
            <w:tcW w:w="0" w:type="auto"/>
          </w:tcPr>
          <w:p w:rsidR="00F32158" w:rsidRPr="00F32158" w:rsidRDefault="00F32158" w:rsidP="00F32158">
            <w:pPr>
              <w:rPr>
                <w:rFonts w:eastAsia="NewtonC-Bold" w:cs="NewtonC-Bold"/>
                <w:sz w:val="24"/>
                <w:szCs w:val="24"/>
                <w:lang w:val="uk-UA"/>
              </w:rPr>
            </w:pPr>
            <w:r w:rsidRPr="00F32158">
              <w:rPr>
                <w:rFonts w:eastAsia="NewtonC-Bold" w:cs="NewtonC-Bold"/>
                <w:sz w:val="24"/>
                <w:szCs w:val="24"/>
                <w:lang w:val="uk-UA"/>
              </w:rPr>
              <w:t>10,34</w:t>
            </w:r>
          </w:p>
        </w:tc>
        <w:tc>
          <w:tcPr>
            <w:tcW w:w="0" w:type="auto"/>
          </w:tcPr>
          <w:p w:rsidR="00F32158" w:rsidRPr="00F32158" w:rsidRDefault="00F32158" w:rsidP="00F32158">
            <w:pPr>
              <w:rPr>
                <w:rFonts w:eastAsia="NewtonC-Bold" w:cs="NewtonC-Bold"/>
                <w:sz w:val="24"/>
                <w:szCs w:val="24"/>
                <w:lang w:val="uk-UA"/>
              </w:rPr>
            </w:pPr>
            <w:r w:rsidRPr="00F32158">
              <w:rPr>
                <w:rFonts w:eastAsia="NewtonC-Bold" w:cs="NewtonC-Bold"/>
                <w:sz w:val="24"/>
                <w:szCs w:val="24"/>
                <w:lang w:val="uk-UA"/>
              </w:rPr>
              <w:t>13,28</w:t>
            </w:r>
          </w:p>
        </w:tc>
        <w:tc>
          <w:tcPr>
            <w:tcW w:w="0" w:type="auto"/>
          </w:tcPr>
          <w:p w:rsidR="00F32158" w:rsidRPr="00F32158" w:rsidRDefault="00F32158" w:rsidP="00F32158">
            <w:pPr>
              <w:jc w:val="center"/>
              <w:rPr>
                <w:sz w:val="24"/>
                <w:szCs w:val="24"/>
                <w:lang w:val="uk-UA"/>
              </w:rPr>
            </w:pPr>
            <w:r w:rsidRPr="00F32158">
              <w:rPr>
                <w:sz w:val="24"/>
                <w:szCs w:val="24"/>
                <w:lang w:val="uk-UA"/>
              </w:rPr>
              <w:t>11,68</w:t>
            </w:r>
          </w:p>
        </w:tc>
        <w:tc>
          <w:tcPr>
            <w:tcW w:w="0" w:type="auto"/>
          </w:tcPr>
          <w:p w:rsidR="00F32158" w:rsidRPr="00F32158" w:rsidRDefault="00F32158" w:rsidP="00F32158">
            <w:pPr>
              <w:jc w:val="center"/>
              <w:rPr>
                <w:sz w:val="24"/>
                <w:szCs w:val="24"/>
                <w:lang w:val="uk-UA"/>
              </w:rPr>
            </w:pPr>
            <w:r w:rsidRPr="00F32158">
              <w:rPr>
                <w:sz w:val="24"/>
                <w:szCs w:val="24"/>
                <w:lang w:val="uk-UA"/>
              </w:rPr>
              <w:t>11,36</w:t>
            </w:r>
          </w:p>
        </w:tc>
        <w:tc>
          <w:tcPr>
            <w:tcW w:w="0" w:type="auto"/>
          </w:tcPr>
          <w:p w:rsidR="00F32158" w:rsidRPr="00F32158" w:rsidRDefault="00F32158" w:rsidP="00F32158">
            <w:pPr>
              <w:jc w:val="center"/>
              <w:rPr>
                <w:sz w:val="24"/>
                <w:szCs w:val="24"/>
                <w:lang w:val="uk-UA"/>
              </w:rPr>
            </w:pPr>
            <w:r w:rsidRPr="00F32158">
              <w:rPr>
                <w:sz w:val="24"/>
                <w:szCs w:val="24"/>
                <w:lang w:val="uk-UA"/>
              </w:rPr>
              <w:t>11,09</w:t>
            </w:r>
          </w:p>
        </w:tc>
      </w:tr>
      <w:tr w:rsidR="00F32158" w:rsidRPr="00F32158" w:rsidTr="00BF1F99">
        <w:trPr>
          <w:trHeight w:val="20"/>
          <w:jc w:val="center"/>
        </w:trPr>
        <w:tc>
          <w:tcPr>
            <w:tcW w:w="0" w:type="auto"/>
          </w:tcPr>
          <w:p w:rsidR="00F32158" w:rsidRPr="00F32158" w:rsidRDefault="00F32158" w:rsidP="00F32158">
            <w:pPr>
              <w:rPr>
                <w:sz w:val="24"/>
                <w:szCs w:val="24"/>
                <w:lang w:val="uk-UA"/>
              </w:rPr>
            </w:pPr>
            <w:r w:rsidRPr="00F32158">
              <w:rPr>
                <w:sz w:val="24"/>
                <w:szCs w:val="24"/>
                <w:lang w:val="uk-UA"/>
              </w:rPr>
              <w:t xml:space="preserve">Херсонська </w:t>
            </w:r>
          </w:p>
        </w:tc>
        <w:tc>
          <w:tcPr>
            <w:tcW w:w="0" w:type="auto"/>
          </w:tcPr>
          <w:p w:rsidR="00F32158" w:rsidRPr="00F32158" w:rsidRDefault="00F32158" w:rsidP="00F32158">
            <w:pPr>
              <w:rPr>
                <w:rFonts w:eastAsia="NewtonC-Bold" w:cs="NewtonC-Bold"/>
                <w:sz w:val="24"/>
                <w:szCs w:val="24"/>
                <w:lang w:val="uk-UA"/>
              </w:rPr>
            </w:pPr>
            <w:r w:rsidRPr="00F32158">
              <w:rPr>
                <w:rFonts w:eastAsia="NewtonC-Bold" w:cs="NewtonC-Bold"/>
                <w:sz w:val="24"/>
                <w:szCs w:val="24"/>
                <w:lang w:val="uk-UA"/>
              </w:rPr>
              <w:t>9,58</w:t>
            </w:r>
          </w:p>
        </w:tc>
        <w:tc>
          <w:tcPr>
            <w:tcW w:w="0" w:type="auto"/>
          </w:tcPr>
          <w:p w:rsidR="00F32158" w:rsidRPr="00F32158" w:rsidRDefault="00F32158" w:rsidP="00F32158">
            <w:pPr>
              <w:rPr>
                <w:rFonts w:eastAsia="NewtonC-Bold" w:cs="NewtonC-Bold"/>
                <w:sz w:val="24"/>
                <w:szCs w:val="24"/>
                <w:lang w:val="uk-UA"/>
              </w:rPr>
            </w:pPr>
            <w:r w:rsidRPr="00F32158">
              <w:rPr>
                <w:rFonts w:eastAsia="NewtonC-Bold" w:cs="NewtonC-Bold"/>
                <w:sz w:val="24"/>
                <w:szCs w:val="24"/>
                <w:lang w:val="uk-UA"/>
              </w:rPr>
              <w:t>8,04</w:t>
            </w:r>
          </w:p>
        </w:tc>
        <w:tc>
          <w:tcPr>
            <w:tcW w:w="0" w:type="auto"/>
          </w:tcPr>
          <w:p w:rsidR="00F32158" w:rsidRPr="00F32158" w:rsidRDefault="00F32158" w:rsidP="00F32158">
            <w:pPr>
              <w:jc w:val="center"/>
              <w:rPr>
                <w:sz w:val="24"/>
                <w:szCs w:val="24"/>
                <w:lang w:val="uk-UA"/>
              </w:rPr>
            </w:pPr>
            <w:r w:rsidRPr="00F32158">
              <w:rPr>
                <w:sz w:val="24"/>
                <w:szCs w:val="24"/>
              </w:rPr>
              <w:t>8</w:t>
            </w:r>
            <w:r w:rsidRPr="00F32158">
              <w:rPr>
                <w:sz w:val="24"/>
                <w:szCs w:val="24"/>
                <w:lang w:val="uk-UA"/>
              </w:rPr>
              <w:t>,15</w:t>
            </w:r>
          </w:p>
        </w:tc>
        <w:tc>
          <w:tcPr>
            <w:tcW w:w="0" w:type="auto"/>
          </w:tcPr>
          <w:p w:rsidR="00F32158" w:rsidRPr="00F32158" w:rsidRDefault="00F32158" w:rsidP="00F32158">
            <w:pPr>
              <w:jc w:val="center"/>
              <w:rPr>
                <w:sz w:val="24"/>
                <w:szCs w:val="24"/>
                <w:lang w:val="uk-UA"/>
              </w:rPr>
            </w:pPr>
            <w:r w:rsidRPr="00F32158">
              <w:rPr>
                <w:sz w:val="24"/>
                <w:szCs w:val="24"/>
                <w:lang w:val="uk-UA"/>
              </w:rPr>
              <w:t>7,72</w:t>
            </w:r>
          </w:p>
        </w:tc>
        <w:tc>
          <w:tcPr>
            <w:tcW w:w="0" w:type="auto"/>
          </w:tcPr>
          <w:p w:rsidR="00F32158" w:rsidRPr="00F32158" w:rsidRDefault="00F32158" w:rsidP="00F32158">
            <w:pPr>
              <w:jc w:val="center"/>
              <w:rPr>
                <w:sz w:val="24"/>
                <w:szCs w:val="24"/>
                <w:lang w:val="uk-UA"/>
              </w:rPr>
            </w:pPr>
            <w:r w:rsidRPr="00F32158">
              <w:rPr>
                <w:sz w:val="24"/>
                <w:szCs w:val="24"/>
                <w:lang w:val="uk-UA"/>
              </w:rPr>
              <w:t>7,38</w:t>
            </w:r>
          </w:p>
        </w:tc>
        <w:tc>
          <w:tcPr>
            <w:tcW w:w="0" w:type="auto"/>
          </w:tcPr>
          <w:p w:rsidR="00F32158" w:rsidRPr="00F32158" w:rsidRDefault="00F32158" w:rsidP="00F32158">
            <w:pPr>
              <w:rPr>
                <w:rFonts w:eastAsia="NewtonC-Bold" w:cs="NewtonC-Bold"/>
                <w:sz w:val="24"/>
                <w:szCs w:val="24"/>
                <w:lang w:val="uk-UA"/>
              </w:rPr>
            </w:pPr>
            <w:r w:rsidRPr="00F32158">
              <w:rPr>
                <w:rFonts w:eastAsia="NewtonC-Bold" w:cs="NewtonC-Bold"/>
                <w:sz w:val="24"/>
                <w:szCs w:val="24"/>
                <w:lang w:val="uk-UA"/>
              </w:rPr>
              <w:t>9,06</w:t>
            </w:r>
          </w:p>
        </w:tc>
        <w:tc>
          <w:tcPr>
            <w:tcW w:w="0" w:type="auto"/>
          </w:tcPr>
          <w:p w:rsidR="00F32158" w:rsidRPr="00F32158" w:rsidRDefault="00F32158" w:rsidP="00F32158">
            <w:pPr>
              <w:rPr>
                <w:rFonts w:eastAsia="NewtonC-Bold" w:cs="NewtonC-Bold"/>
                <w:sz w:val="24"/>
                <w:szCs w:val="24"/>
                <w:lang w:val="uk-UA"/>
              </w:rPr>
            </w:pPr>
            <w:r w:rsidRPr="00F32158">
              <w:rPr>
                <w:rFonts w:eastAsia="NewtonC-Bold" w:cs="NewtonC-Bold"/>
                <w:sz w:val="24"/>
                <w:szCs w:val="24"/>
                <w:lang w:val="uk-UA"/>
              </w:rPr>
              <w:t>8,80</w:t>
            </w:r>
          </w:p>
        </w:tc>
        <w:tc>
          <w:tcPr>
            <w:tcW w:w="0" w:type="auto"/>
          </w:tcPr>
          <w:p w:rsidR="00F32158" w:rsidRPr="00F32158" w:rsidRDefault="00F32158" w:rsidP="00F32158">
            <w:pPr>
              <w:jc w:val="center"/>
              <w:rPr>
                <w:sz w:val="24"/>
                <w:szCs w:val="24"/>
                <w:lang w:val="uk-UA"/>
              </w:rPr>
            </w:pPr>
            <w:r w:rsidRPr="00F32158">
              <w:rPr>
                <w:sz w:val="24"/>
                <w:szCs w:val="24"/>
              </w:rPr>
              <w:t>8</w:t>
            </w:r>
            <w:r w:rsidRPr="00F32158">
              <w:rPr>
                <w:sz w:val="24"/>
                <w:szCs w:val="24"/>
                <w:lang w:val="uk-UA"/>
              </w:rPr>
              <w:t>,6</w:t>
            </w:r>
            <w:r w:rsidRPr="00F32158">
              <w:rPr>
                <w:sz w:val="24"/>
                <w:szCs w:val="24"/>
              </w:rPr>
              <w:t>7</w:t>
            </w:r>
          </w:p>
        </w:tc>
        <w:tc>
          <w:tcPr>
            <w:tcW w:w="0" w:type="auto"/>
          </w:tcPr>
          <w:p w:rsidR="00F32158" w:rsidRPr="00F32158" w:rsidRDefault="00F32158" w:rsidP="00F32158">
            <w:pPr>
              <w:jc w:val="center"/>
              <w:rPr>
                <w:sz w:val="24"/>
                <w:szCs w:val="24"/>
                <w:lang w:val="uk-UA"/>
              </w:rPr>
            </w:pPr>
            <w:r w:rsidRPr="00F32158">
              <w:rPr>
                <w:sz w:val="24"/>
                <w:szCs w:val="24"/>
                <w:lang w:val="uk-UA"/>
              </w:rPr>
              <w:t>13,55</w:t>
            </w:r>
          </w:p>
        </w:tc>
        <w:tc>
          <w:tcPr>
            <w:tcW w:w="0" w:type="auto"/>
          </w:tcPr>
          <w:p w:rsidR="00F32158" w:rsidRPr="00F32158" w:rsidRDefault="00F32158" w:rsidP="00F32158">
            <w:pPr>
              <w:jc w:val="center"/>
              <w:rPr>
                <w:sz w:val="24"/>
                <w:szCs w:val="24"/>
                <w:lang w:val="uk-UA"/>
              </w:rPr>
            </w:pPr>
            <w:r w:rsidRPr="00F32158">
              <w:rPr>
                <w:sz w:val="24"/>
                <w:szCs w:val="24"/>
                <w:lang w:val="uk-UA"/>
              </w:rPr>
              <w:t>8,23</w:t>
            </w:r>
          </w:p>
        </w:tc>
      </w:tr>
      <w:tr w:rsidR="00F32158" w:rsidRPr="00F32158" w:rsidTr="00BF1F99">
        <w:trPr>
          <w:trHeight w:val="20"/>
          <w:jc w:val="center"/>
        </w:trPr>
        <w:tc>
          <w:tcPr>
            <w:tcW w:w="0" w:type="auto"/>
            <w:vAlign w:val="bottom"/>
          </w:tcPr>
          <w:p w:rsidR="00F32158" w:rsidRPr="00F32158" w:rsidRDefault="00F32158" w:rsidP="00F32158">
            <w:pPr>
              <w:rPr>
                <w:sz w:val="24"/>
                <w:szCs w:val="24"/>
                <w:lang w:val="uk-UA"/>
              </w:rPr>
            </w:pPr>
            <w:r w:rsidRPr="00F32158">
              <w:rPr>
                <w:sz w:val="24"/>
                <w:szCs w:val="24"/>
                <w:lang w:val="uk-UA"/>
              </w:rPr>
              <w:t xml:space="preserve">Хмельницька </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6,74</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8,11</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7,79</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6,43</w:t>
            </w:r>
          </w:p>
        </w:tc>
        <w:tc>
          <w:tcPr>
            <w:tcW w:w="0" w:type="auto"/>
            <w:vAlign w:val="bottom"/>
          </w:tcPr>
          <w:p w:rsidR="00F32158" w:rsidRPr="00F32158" w:rsidRDefault="00F32158" w:rsidP="00F32158">
            <w:pPr>
              <w:jc w:val="center"/>
              <w:rPr>
                <w:rFonts w:eastAsia="NewtonC-Bold" w:cs="NewtonC-Bold"/>
                <w:sz w:val="24"/>
                <w:szCs w:val="24"/>
              </w:rPr>
            </w:pPr>
            <w:r w:rsidRPr="00F32158">
              <w:rPr>
                <w:rFonts w:eastAsia="NewtonC-Bold" w:cs="NewtonC-Bold"/>
                <w:sz w:val="24"/>
                <w:szCs w:val="24"/>
              </w:rPr>
              <w:t>7,95</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7,65</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8,65</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9,03</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6,91</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10,72</w:t>
            </w:r>
          </w:p>
        </w:tc>
      </w:tr>
      <w:tr w:rsidR="00F32158" w:rsidRPr="00F32158" w:rsidTr="00BF1F99">
        <w:trPr>
          <w:trHeight w:val="20"/>
          <w:jc w:val="center"/>
        </w:trPr>
        <w:tc>
          <w:tcPr>
            <w:tcW w:w="0" w:type="auto"/>
            <w:vAlign w:val="bottom"/>
          </w:tcPr>
          <w:p w:rsidR="00F32158" w:rsidRPr="00F32158" w:rsidRDefault="00F32158" w:rsidP="00F32158">
            <w:pPr>
              <w:rPr>
                <w:sz w:val="24"/>
                <w:szCs w:val="24"/>
                <w:lang w:val="uk-UA"/>
              </w:rPr>
            </w:pPr>
            <w:r w:rsidRPr="00F32158">
              <w:rPr>
                <w:sz w:val="24"/>
                <w:szCs w:val="24"/>
                <w:lang w:val="uk-UA"/>
              </w:rPr>
              <w:t xml:space="preserve">Черкаська </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7,03</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8,03</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7,97</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8,22</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7,32</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7,67</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9,94</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6,82</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8,55</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8,89</w:t>
            </w:r>
          </w:p>
        </w:tc>
      </w:tr>
      <w:tr w:rsidR="00F32158" w:rsidRPr="00F32158" w:rsidTr="00BF1F99">
        <w:trPr>
          <w:trHeight w:val="20"/>
          <w:jc w:val="center"/>
        </w:trPr>
        <w:tc>
          <w:tcPr>
            <w:tcW w:w="0" w:type="auto"/>
            <w:vAlign w:val="bottom"/>
          </w:tcPr>
          <w:p w:rsidR="00F32158" w:rsidRPr="00F32158" w:rsidRDefault="00F32158" w:rsidP="00F32158">
            <w:pPr>
              <w:rPr>
                <w:sz w:val="24"/>
                <w:szCs w:val="24"/>
                <w:lang w:val="uk-UA"/>
              </w:rPr>
            </w:pPr>
            <w:r w:rsidRPr="00F32158">
              <w:rPr>
                <w:sz w:val="24"/>
                <w:szCs w:val="24"/>
                <w:lang w:val="uk-UA"/>
              </w:rPr>
              <w:t xml:space="preserve">Чернівецька </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7,03</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6,77</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9,47</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8,47</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10,16</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8,04</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7,86</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8,10</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9,23</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9,68</w:t>
            </w:r>
          </w:p>
        </w:tc>
      </w:tr>
      <w:tr w:rsidR="00F32158" w:rsidRPr="00F32158" w:rsidTr="00BF1F99">
        <w:trPr>
          <w:trHeight w:val="20"/>
          <w:jc w:val="center"/>
        </w:trPr>
        <w:tc>
          <w:tcPr>
            <w:tcW w:w="0" w:type="auto"/>
            <w:vAlign w:val="bottom"/>
          </w:tcPr>
          <w:p w:rsidR="00F32158" w:rsidRPr="00F32158" w:rsidRDefault="00F32158" w:rsidP="00F32158">
            <w:pPr>
              <w:rPr>
                <w:sz w:val="24"/>
                <w:szCs w:val="24"/>
                <w:lang w:val="uk-UA"/>
              </w:rPr>
            </w:pPr>
            <w:r w:rsidRPr="00F32158">
              <w:rPr>
                <w:sz w:val="24"/>
                <w:szCs w:val="24"/>
                <w:lang w:val="uk-UA"/>
              </w:rPr>
              <w:t xml:space="preserve">Чернігівська </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7,08</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7,42</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6,53</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9,78</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5,61</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8,93</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10,16</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11,85</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8,04</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7,85</w:t>
            </w:r>
          </w:p>
        </w:tc>
      </w:tr>
      <w:tr w:rsidR="00F32158" w:rsidRPr="00F32158" w:rsidTr="00BF1F99">
        <w:trPr>
          <w:trHeight w:val="20"/>
          <w:jc w:val="center"/>
        </w:trPr>
        <w:tc>
          <w:tcPr>
            <w:tcW w:w="0" w:type="auto"/>
            <w:vAlign w:val="bottom"/>
          </w:tcPr>
          <w:p w:rsidR="00F32158" w:rsidRPr="00F32158" w:rsidRDefault="00F32158" w:rsidP="00F32158">
            <w:pPr>
              <w:rPr>
                <w:sz w:val="24"/>
                <w:szCs w:val="24"/>
                <w:lang w:val="uk-UA"/>
              </w:rPr>
            </w:pPr>
            <w:r w:rsidRPr="00F32158">
              <w:rPr>
                <w:sz w:val="24"/>
                <w:szCs w:val="24"/>
                <w:lang w:val="uk-UA"/>
              </w:rPr>
              <w:t>м. Київ</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8,15</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7,02</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7,47</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5,51</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5,72</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w:t>
            </w:r>
          </w:p>
        </w:tc>
        <w:tc>
          <w:tcPr>
            <w:tcW w:w="0" w:type="auto"/>
            <w:vAlign w:val="bottom"/>
          </w:tcPr>
          <w:p w:rsidR="00F32158" w:rsidRPr="00F32158" w:rsidRDefault="00F32158" w:rsidP="00F32158">
            <w:pPr>
              <w:jc w:val="center"/>
              <w:rPr>
                <w:rFonts w:eastAsia="NewtonC-Bold" w:cs="NewtonC-Bold"/>
                <w:sz w:val="24"/>
                <w:szCs w:val="24"/>
                <w:lang w:val="uk-UA"/>
              </w:rPr>
            </w:pPr>
            <w:r w:rsidRPr="00F32158">
              <w:rPr>
                <w:rFonts w:eastAsia="NewtonC-Bold" w:cs="NewtonC-Bold"/>
                <w:sz w:val="24"/>
                <w:szCs w:val="24"/>
                <w:lang w:val="uk-UA"/>
              </w:rPr>
              <w:t>-</w:t>
            </w:r>
          </w:p>
        </w:tc>
      </w:tr>
    </w:tbl>
    <w:p w:rsidR="0041492D" w:rsidRPr="00F32158" w:rsidRDefault="0041492D" w:rsidP="0041492D">
      <w:pPr>
        <w:spacing w:line="240" w:lineRule="auto"/>
        <w:rPr>
          <w:rFonts w:eastAsia="Times New Roman"/>
          <w:sz w:val="20"/>
          <w:szCs w:val="20"/>
          <w:lang w:eastAsia="ru-RU"/>
        </w:rPr>
      </w:pPr>
      <w:r w:rsidRPr="00F32158">
        <w:rPr>
          <w:rFonts w:eastAsia="Times New Roman"/>
          <w:sz w:val="20"/>
          <w:szCs w:val="20"/>
          <w:vertAlign w:val="superscript"/>
          <w:lang w:val="ru-RU" w:eastAsia="ru-RU"/>
        </w:rPr>
        <w:t>1</w:t>
      </w:r>
      <w:r w:rsidRPr="00F32158">
        <w:rPr>
          <w:rFonts w:eastAsia="Times New Roman"/>
          <w:sz w:val="20"/>
          <w:szCs w:val="20"/>
          <w:lang w:val="ru-RU" w:eastAsia="ru-RU"/>
        </w:rPr>
        <w:t>Без урахування тимчасово окупованої території Автономної Республіки Крим і м. Севастополя та частини зони</w:t>
      </w:r>
      <w:r w:rsidRPr="00F32158">
        <w:rPr>
          <w:rFonts w:eastAsia="Times New Roman"/>
          <w:sz w:val="20"/>
          <w:szCs w:val="20"/>
          <w:lang w:eastAsia="ru-RU"/>
        </w:rPr>
        <w:t xml:space="preserve"> </w:t>
      </w:r>
      <w:r w:rsidRPr="00F32158">
        <w:rPr>
          <w:rFonts w:eastAsia="Times New Roman"/>
          <w:sz w:val="20"/>
          <w:szCs w:val="20"/>
          <w:lang w:val="ru-RU" w:eastAsia="ru-RU"/>
        </w:rPr>
        <w:t>проведення антитерористичної операції.</w:t>
      </w:r>
    </w:p>
    <w:p w:rsidR="00F32158" w:rsidRPr="00F32158" w:rsidRDefault="00F32158" w:rsidP="00F32158">
      <w:pPr>
        <w:rPr>
          <w:rFonts w:eastAsia="Times New Roman"/>
          <w:szCs w:val="28"/>
          <w:lang w:eastAsia="ru-RU"/>
        </w:rPr>
      </w:pPr>
    </w:p>
    <w:p w:rsidR="00F32158" w:rsidRPr="00F32158" w:rsidRDefault="00F32158" w:rsidP="00F32158">
      <w:pPr>
        <w:rPr>
          <w:rFonts w:eastAsia="Times New Roman"/>
          <w:szCs w:val="28"/>
          <w:lang w:eastAsia="ru-RU"/>
        </w:rPr>
      </w:pPr>
    </w:p>
    <w:p w:rsidR="00F32158" w:rsidRPr="00F32158" w:rsidRDefault="00F32158" w:rsidP="00F32158">
      <w:pPr>
        <w:rPr>
          <w:rFonts w:eastAsia="Times New Roman"/>
          <w:szCs w:val="28"/>
          <w:lang w:eastAsia="ru-RU"/>
        </w:rPr>
      </w:pPr>
    </w:p>
    <w:p w:rsidR="00F32158" w:rsidRPr="00F32158" w:rsidRDefault="00F32158" w:rsidP="00F32158">
      <w:pPr>
        <w:rPr>
          <w:rFonts w:eastAsia="Times New Roman"/>
          <w:szCs w:val="28"/>
          <w:lang w:eastAsia="ru-RU"/>
        </w:rPr>
      </w:pPr>
    </w:p>
    <w:p w:rsidR="00F32158" w:rsidRPr="00F32158" w:rsidRDefault="00F32158" w:rsidP="00F32158">
      <w:pPr>
        <w:rPr>
          <w:rFonts w:eastAsia="Times New Roman"/>
          <w:szCs w:val="28"/>
          <w:lang w:eastAsia="ru-RU"/>
        </w:rPr>
      </w:pPr>
    </w:p>
    <w:p w:rsidR="00F32158" w:rsidRPr="00F32158" w:rsidRDefault="00F32158" w:rsidP="00F32158">
      <w:pPr>
        <w:rPr>
          <w:rFonts w:eastAsia="Times New Roman"/>
          <w:szCs w:val="28"/>
          <w:lang w:eastAsia="ru-RU"/>
        </w:rPr>
      </w:pPr>
    </w:p>
    <w:p w:rsidR="005D3D66" w:rsidRDefault="00F32158" w:rsidP="001E1EA4">
      <w:pPr>
        <w:tabs>
          <w:tab w:val="left" w:pos="2264"/>
        </w:tabs>
        <w:spacing w:after="200" w:line="276" w:lineRule="auto"/>
        <w:rPr>
          <w:rFonts w:eastAsia="Calibri"/>
          <w:szCs w:val="28"/>
          <w:lang w:val="ru-RU"/>
        </w:rPr>
      </w:pPr>
      <w:r w:rsidRPr="00F32158">
        <w:rPr>
          <w:rFonts w:eastAsia="Calibri"/>
          <w:szCs w:val="28"/>
        </w:rPr>
        <w:t xml:space="preserve">                                                                                         </w:t>
      </w:r>
      <w:r w:rsidR="00B11B16">
        <w:rPr>
          <w:rFonts w:eastAsia="Calibri"/>
          <w:szCs w:val="28"/>
        </w:rPr>
        <w:t xml:space="preserve">                      </w:t>
      </w:r>
    </w:p>
    <w:p w:rsidR="00F32158" w:rsidRPr="00F32158" w:rsidRDefault="00B11B16" w:rsidP="001E1EA4">
      <w:pPr>
        <w:pageBreakBefore/>
        <w:widowControl w:val="0"/>
        <w:tabs>
          <w:tab w:val="left" w:pos="2264"/>
        </w:tabs>
        <w:spacing w:after="200" w:line="276" w:lineRule="auto"/>
        <w:jc w:val="right"/>
        <w:rPr>
          <w:rFonts w:eastAsia="Calibri"/>
          <w:szCs w:val="28"/>
        </w:rPr>
      </w:pPr>
      <w:r>
        <w:rPr>
          <w:rFonts w:eastAsia="Calibri"/>
          <w:szCs w:val="28"/>
        </w:rPr>
        <w:lastRenderedPageBreak/>
        <w:t xml:space="preserve"> Додаток Б</w:t>
      </w:r>
      <w:r w:rsidR="00F32158" w:rsidRPr="00F32158">
        <w:rPr>
          <w:rFonts w:eastAsia="Calibri"/>
          <w:szCs w:val="28"/>
        </w:rPr>
        <w:t xml:space="preserve">-5 </w:t>
      </w:r>
      <w:r w:rsidR="00F32158" w:rsidRPr="00F32158">
        <w:rPr>
          <w:rFonts w:eastAsia="NewtonC-Bold" w:cs="NewtonC-Bold"/>
          <w:color w:val="FF0000"/>
          <w:sz w:val="24"/>
          <w:szCs w:val="24"/>
          <w:lang w:eastAsia="ru-RU"/>
        </w:rPr>
        <w:t xml:space="preserve">                                                                                                                                           </w:t>
      </w:r>
    </w:p>
    <w:p w:rsidR="00F32158" w:rsidRPr="00F32158" w:rsidRDefault="00F32158" w:rsidP="005A6160">
      <w:pPr>
        <w:jc w:val="center"/>
        <w:rPr>
          <w:rFonts w:eastAsia="NewtonC-Bold"/>
          <w:b/>
          <w:bCs/>
          <w:szCs w:val="28"/>
          <w:lang w:eastAsia="ru-RU"/>
        </w:rPr>
      </w:pPr>
      <w:r w:rsidRPr="00F32158">
        <w:rPr>
          <w:rFonts w:eastAsia="NewtonC-Bold" w:cs="NewtonC-Bold"/>
          <w:b/>
          <w:szCs w:val="28"/>
          <w:lang w:eastAsia="ru-RU"/>
        </w:rPr>
        <w:t xml:space="preserve">Малюкова смертність за регіонами України в залежності від статі </w:t>
      </w:r>
      <w:r w:rsidRPr="00F32158">
        <w:rPr>
          <w:rFonts w:eastAsia="NewtonC-Bold" w:cs="NewtonC-Bold"/>
          <w:b/>
          <w:bCs/>
          <w:szCs w:val="28"/>
          <w:lang w:eastAsia="ru-RU"/>
        </w:rPr>
        <w:t>(</w:t>
      </w:r>
      <w:r w:rsidRPr="00F32158">
        <w:rPr>
          <w:rFonts w:eastAsia="NewtonC-Bold"/>
          <w:b/>
          <w:bCs/>
          <w:szCs w:val="28"/>
          <w:lang w:eastAsia="ru-RU"/>
        </w:rPr>
        <w:t>на 1000 народжених живими, ‰)</w:t>
      </w:r>
    </w:p>
    <w:tbl>
      <w:tblPr>
        <w:tblStyle w:val="21010"/>
        <w:tblW w:w="9716" w:type="dxa"/>
        <w:jc w:val="center"/>
        <w:tblLook w:val="01E0" w:firstRow="1" w:lastRow="1" w:firstColumn="1" w:lastColumn="1" w:noHBand="0" w:noVBand="0"/>
      </w:tblPr>
      <w:tblGrid>
        <w:gridCol w:w="2076"/>
        <w:gridCol w:w="836"/>
        <w:gridCol w:w="836"/>
        <w:gridCol w:w="836"/>
        <w:gridCol w:w="836"/>
        <w:gridCol w:w="696"/>
        <w:gridCol w:w="716"/>
        <w:gridCol w:w="716"/>
        <w:gridCol w:w="756"/>
        <w:gridCol w:w="716"/>
        <w:gridCol w:w="696"/>
      </w:tblGrid>
      <w:tr w:rsidR="00F32158" w:rsidRPr="00F32158" w:rsidTr="00BF1F99">
        <w:trPr>
          <w:trHeight w:val="259"/>
          <w:jc w:val="center"/>
        </w:trPr>
        <w:tc>
          <w:tcPr>
            <w:tcW w:w="0" w:type="auto"/>
            <w:vMerge w:val="restart"/>
          </w:tcPr>
          <w:p w:rsidR="00F32158" w:rsidRPr="00F32158" w:rsidRDefault="00F32158" w:rsidP="00F32158">
            <w:pPr>
              <w:spacing w:line="276" w:lineRule="auto"/>
              <w:jc w:val="center"/>
              <w:rPr>
                <w:sz w:val="24"/>
                <w:szCs w:val="24"/>
                <w:lang w:val="uk-UA"/>
              </w:rPr>
            </w:pPr>
            <w:r w:rsidRPr="00F32158">
              <w:rPr>
                <w:sz w:val="24"/>
                <w:szCs w:val="24"/>
                <w:lang w:val="uk-UA"/>
              </w:rPr>
              <w:t>Адміністративна територія/область</w:t>
            </w:r>
          </w:p>
        </w:tc>
        <w:tc>
          <w:tcPr>
            <w:tcW w:w="7640" w:type="dxa"/>
            <w:gridSpan w:val="10"/>
          </w:tcPr>
          <w:p w:rsidR="00F32158" w:rsidRPr="00F32158" w:rsidRDefault="00F32158" w:rsidP="00F32158">
            <w:pPr>
              <w:spacing w:line="276" w:lineRule="auto"/>
              <w:jc w:val="center"/>
              <w:rPr>
                <w:sz w:val="24"/>
                <w:szCs w:val="24"/>
                <w:lang w:val="uk-UA"/>
              </w:rPr>
            </w:pPr>
            <w:r w:rsidRPr="00F32158">
              <w:rPr>
                <w:sz w:val="24"/>
                <w:szCs w:val="24"/>
                <w:lang w:val="uk-UA"/>
              </w:rPr>
              <w:t>Міська та сільська місцевість</w:t>
            </w:r>
          </w:p>
        </w:tc>
      </w:tr>
      <w:tr w:rsidR="00F32158" w:rsidRPr="00F32158" w:rsidTr="00BF1F99">
        <w:trPr>
          <w:trHeight w:val="330"/>
          <w:jc w:val="center"/>
        </w:trPr>
        <w:tc>
          <w:tcPr>
            <w:tcW w:w="0" w:type="auto"/>
            <w:vMerge/>
          </w:tcPr>
          <w:p w:rsidR="00F32158" w:rsidRPr="00F32158" w:rsidRDefault="00F32158" w:rsidP="00F32158">
            <w:pPr>
              <w:spacing w:line="276" w:lineRule="auto"/>
              <w:jc w:val="center"/>
              <w:rPr>
                <w:sz w:val="24"/>
                <w:szCs w:val="24"/>
                <w:lang w:val="uk-UA"/>
              </w:rPr>
            </w:pPr>
          </w:p>
        </w:tc>
        <w:tc>
          <w:tcPr>
            <w:tcW w:w="0" w:type="auto"/>
            <w:gridSpan w:val="5"/>
          </w:tcPr>
          <w:p w:rsidR="00F32158" w:rsidRPr="00F32158" w:rsidRDefault="00F32158" w:rsidP="00F32158">
            <w:pPr>
              <w:spacing w:line="276" w:lineRule="auto"/>
              <w:jc w:val="center"/>
              <w:rPr>
                <w:sz w:val="24"/>
                <w:szCs w:val="24"/>
                <w:lang w:val="uk-UA"/>
              </w:rPr>
            </w:pPr>
            <w:r w:rsidRPr="00F32158">
              <w:rPr>
                <w:sz w:val="24"/>
                <w:szCs w:val="24"/>
                <w:lang w:val="uk-UA"/>
              </w:rPr>
              <w:t>Хлопчики</w:t>
            </w:r>
          </w:p>
        </w:tc>
        <w:tc>
          <w:tcPr>
            <w:tcW w:w="3600" w:type="dxa"/>
            <w:gridSpan w:val="5"/>
          </w:tcPr>
          <w:p w:rsidR="00F32158" w:rsidRPr="00F32158" w:rsidRDefault="00F32158" w:rsidP="00F32158">
            <w:pPr>
              <w:spacing w:line="276" w:lineRule="auto"/>
              <w:jc w:val="center"/>
              <w:rPr>
                <w:sz w:val="24"/>
                <w:szCs w:val="24"/>
                <w:lang w:val="uk-UA"/>
              </w:rPr>
            </w:pPr>
            <w:r w:rsidRPr="00F32158">
              <w:rPr>
                <w:sz w:val="24"/>
                <w:szCs w:val="24"/>
                <w:lang w:val="uk-UA"/>
              </w:rPr>
              <w:t>Дівчатка</w:t>
            </w:r>
          </w:p>
        </w:tc>
      </w:tr>
      <w:tr w:rsidR="00F32158" w:rsidRPr="00F32158" w:rsidTr="00BF1F99">
        <w:trPr>
          <w:trHeight w:val="330"/>
          <w:jc w:val="center"/>
        </w:trPr>
        <w:tc>
          <w:tcPr>
            <w:tcW w:w="0" w:type="auto"/>
            <w:vMerge/>
          </w:tcPr>
          <w:p w:rsidR="00F32158" w:rsidRPr="00F32158" w:rsidRDefault="00F32158" w:rsidP="00F32158">
            <w:pPr>
              <w:spacing w:line="276" w:lineRule="auto"/>
              <w:jc w:val="center"/>
              <w:rPr>
                <w:sz w:val="24"/>
                <w:szCs w:val="24"/>
                <w:lang w:val="uk-UA"/>
              </w:rPr>
            </w:pPr>
          </w:p>
        </w:tc>
        <w:tc>
          <w:tcPr>
            <w:tcW w:w="0" w:type="auto"/>
            <w:gridSpan w:val="5"/>
          </w:tcPr>
          <w:p w:rsidR="00F32158" w:rsidRPr="00F32158" w:rsidRDefault="00F32158" w:rsidP="00F32158">
            <w:pPr>
              <w:spacing w:line="276" w:lineRule="auto"/>
              <w:jc w:val="center"/>
              <w:rPr>
                <w:sz w:val="24"/>
                <w:szCs w:val="24"/>
                <w:lang w:val="uk-UA"/>
              </w:rPr>
            </w:pPr>
            <w:r w:rsidRPr="00F32158">
              <w:rPr>
                <w:sz w:val="24"/>
                <w:szCs w:val="24"/>
                <w:lang w:val="uk-UA"/>
              </w:rPr>
              <w:t>роки</w:t>
            </w:r>
          </w:p>
        </w:tc>
        <w:tc>
          <w:tcPr>
            <w:tcW w:w="3600" w:type="dxa"/>
            <w:gridSpan w:val="5"/>
          </w:tcPr>
          <w:p w:rsidR="00F32158" w:rsidRPr="00F32158" w:rsidRDefault="00F32158" w:rsidP="00F32158">
            <w:pPr>
              <w:spacing w:line="276" w:lineRule="auto"/>
              <w:jc w:val="center"/>
              <w:rPr>
                <w:sz w:val="24"/>
                <w:szCs w:val="24"/>
                <w:lang w:val="uk-UA"/>
              </w:rPr>
            </w:pPr>
            <w:r w:rsidRPr="00F32158">
              <w:rPr>
                <w:sz w:val="24"/>
                <w:szCs w:val="24"/>
                <w:lang w:val="uk-UA"/>
              </w:rPr>
              <w:t>роки</w:t>
            </w:r>
          </w:p>
        </w:tc>
      </w:tr>
      <w:tr w:rsidR="00F32158" w:rsidRPr="00F32158" w:rsidTr="00BF1F99">
        <w:trPr>
          <w:trHeight w:val="585"/>
          <w:jc w:val="center"/>
        </w:trPr>
        <w:tc>
          <w:tcPr>
            <w:tcW w:w="0" w:type="auto"/>
            <w:vMerge/>
          </w:tcPr>
          <w:p w:rsidR="00F32158" w:rsidRPr="00F32158" w:rsidRDefault="00F32158" w:rsidP="00F32158">
            <w:pPr>
              <w:spacing w:line="276" w:lineRule="auto"/>
              <w:jc w:val="center"/>
              <w:rPr>
                <w:sz w:val="24"/>
                <w:szCs w:val="24"/>
                <w:lang w:val="uk-UA"/>
              </w:rPr>
            </w:pPr>
          </w:p>
        </w:tc>
        <w:tc>
          <w:tcPr>
            <w:tcW w:w="0" w:type="auto"/>
          </w:tcPr>
          <w:p w:rsidR="00F32158" w:rsidRPr="00F32158" w:rsidRDefault="00F32158" w:rsidP="00F32158">
            <w:pPr>
              <w:spacing w:line="276" w:lineRule="auto"/>
              <w:rPr>
                <w:sz w:val="24"/>
                <w:szCs w:val="24"/>
                <w:lang w:val="uk-UA"/>
              </w:rPr>
            </w:pPr>
            <w:r w:rsidRPr="00F32158">
              <w:rPr>
                <w:sz w:val="24"/>
                <w:szCs w:val="24"/>
                <w:lang w:val="uk-UA"/>
              </w:rPr>
              <w:t>2014</w:t>
            </w:r>
          </w:p>
        </w:tc>
        <w:tc>
          <w:tcPr>
            <w:tcW w:w="0" w:type="auto"/>
          </w:tcPr>
          <w:p w:rsidR="00F32158" w:rsidRPr="00F32158" w:rsidRDefault="00F32158" w:rsidP="00F32158">
            <w:pPr>
              <w:spacing w:line="276" w:lineRule="auto"/>
              <w:rPr>
                <w:sz w:val="24"/>
                <w:szCs w:val="24"/>
                <w:lang w:val="uk-UA"/>
              </w:rPr>
            </w:pPr>
            <w:r w:rsidRPr="00F32158">
              <w:rPr>
                <w:sz w:val="24"/>
                <w:szCs w:val="24"/>
                <w:lang w:val="uk-UA"/>
              </w:rPr>
              <w:t>2015</w:t>
            </w:r>
          </w:p>
        </w:tc>
        <w:tc>
          <w:tcPr>
            <w:tcW w:w="836" w:type="dxa"/>
          </w:tcPr>
          <w:p w:rsidR="00F32158" w:rsidRPr="00F32158" w:rsidRDefault="00F32158" w:rsidP="00F32158">
            <w:pPr>
              <w:spacing w:line="276" w:lineRule="auto"/>
              <w:jc w:val="center"/>
              <w:rPr>
                <w:sz w:val="24"/>
                <w:szCs w:val="24"/>
                <w:lang w:val="uk-UA"/>
              </w:rPr>
            </w:pPr>
            <w:r w:rsidRPr="00F32158">
              <w:rPr>
                <w:sz w:val="24"/>
                <w:szCs w:val="24"/>
                <w:lang w:val="uk-UA"/>
              </w:rPr>
              <w:t>2016</w:t>
            </w:r>
          </w:p>
        </w:tc>
        <w:tc>
          <w:tcPr>
            <w:tcW w:w="836" w:type="dxa"/>
          </w:tcPr>
          <w:p w:rsidR="00F32158" w:rsidRPr="00F32158" w:rsidRDefault="00F32158" w:rsidP="00F32158">
            <w:pPr>
              <w:spacing w:line="276" w:lineRule="auto"/>
              <w:jc w:val="center"/>
              <w:rPr>
                <w:sz w:val="24"/>
                <w:szCs w:val="24"/>
                <w:lang w:val="uk-UA"/>
              </w:rPr>
            </w:pPr>
            <w:r w:rsidRPr="00F32158">
              <w:rPr>
                <w:sz w:val="24"/>
                <w:szCs w:val="24"/>
                <w:lang w:val="uk-UA"/>
              </w:rPr>
              <w:t>2017</w:t>
            </w:r>
          </w:p>
        </w:tc>
        <w:tc>
          <w:tcPr>
            <w:tcW w:w="696" w:type="dxa"/>
          </w:tcPr>
          <w:p w:rsidR="00F32158" w:rsidRPr="00F32158" w:rsidRDefault="00F32158" w:rsidP="00F32158">
            <w:pPr>
              <w:spacing w:line="276" w:lineRule="auto"/>
              <w:jc w:val="center"/>
              <w:rPr>
                <w:sz w:val="24"/>
                <w:szCs w:val="24"/>
                <w:lang w:val="uk-UA"/>
              </w:rPr>
            </w:pPr>
            <w:r w:rsidRPr="00F32158">
              <w:rPr>
                <w:sz w:val="24"/>
                <w:szCs w:val="24"/>
                <w:lang w:val="uk-UA"/>
              </w:rPr>
              <w:t>2018</w:t>
            </w:r>
          </w:p>
        </w:tc>
        <w:tc>
          <w:tcPr>
            <w:tcW w:w="0" w:type="auto"/>
          </w:tcPr>
          <w:p w:rsidR="00F32158" w:rsidRPr="00F32158" w:rsidRDefault="00F32158" w:rsidP="00F32158">
            <w:pPr>
              <w:spacing w:line="276" w:lineRule="auto"/>
              <w:rPr>
                <w:sz w:val="24"/>
                <w:szCs w:val="24"/>
                <w:lang w:val="uk-UA"/>
              </w:rPr>
            </w:pPr>
            <w:r w:rsidRPr="00F32158">
              <w:rPr>
                <w:sz w:val="24"/>
                <w:szCs w:val="24"/>
                <w:lang w:val="uk-UA"/>
              </w:rPr>
              <w:t>2014</w:t>
            </w:r>
          </w:p>
        </w:tc>
        <w:tc>
          <w:tcPr>
            <w:tcW w:w="0" w:type="auto"/>
          </w:tcPr>
          <w:p w:rsidR="00F32158" w:rsidRPr="00F32158" w:rsidRDefault="00F32158" w:rsidP="00F32158">
            <w:pPr>
              <w:spacing w:line="276" w:lineRule="auto"/>
              <w:rPr>
                <w:sz w:val="24"/>
                <w:szCs w:val="24"/>
                <w:lang w:val="uk-UA"/>
              </w:rPr>
            </w:pPr>
            <w:r w:rsidRPr="00F32158">
              <w:rPr>
                <w:sz w:val="24"/>
                <w:szCs w:val="24"/>
                <w:lang w:val="uk-UA"/>
              </w:rPr>
              <w:t>2015</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2016</w:t>
            </w:r>
          </w:p>
        </w:tc>
        <w:tc>
          <w:tcPr>
            <w:tcW w:w="716" w:type="dxa"/>
          </w:tcPr>
          <w:p w:rsidR="00F32158" w:rsidRPr="00F32158" w:rsidRDefault="00F32158" w:rsidP="00F32158">
            <w:pPr>
              <w:spacing w:line="276" w:lineRule="auto"/>
              <w:jc w:val="center"/>
              <w:rPr>
                <w:sz w:val="24"/>
                <w:szCs w:val="24"/>
              </w:rPr>
            </w:pPr>
            <w:r w:rsidRPr="00F32158">
              <w:rPr>
                <w:sz w:val="24"/>
                <w:szCs w:val="24"/>
                <w:lang w:val="uk-UA"/>
              </w:rPr>
              <w:t>2017</w:t>
            </w:r>
          </w:p>
        </w:tc>
        <w:tc>
          <w:tcPr>
            <w:tcW w:w="696" w:type="dxa"/>
          </w:tcPr>
          <w:p w:rsidR="00F32158" w:rsidRPr="00F32158" w:rsidRDefault="00F32158" w:rsidP="00F32158">
            <w:pPr>
              <w:spacing w:line="276" w:lineRule="auto"/>
              <w:jc w:val="center"/>
              <w:rPr>
                <w:sz w:val="24"/>
                <w:szCs w:val="24"/>
              </w:rPr>
            </w:pPr>
            <w:r w:rsidRPr="00F32158">
              <w:rPr>
                <w:sz w:val="24"/>
                <w:szCs w:val="24"/>
                <w:lang w:val="uk-UA"/>
              </w:rPr>
              <w:t>2018</w:t>
            </w:r>
          </w:p>
        </w:tc>
      </w:tr>
      <w:tr w:rsidR="00F32158" w:rsidRPr="00F32158" w:rsidTr="00BF1F99">
        <w:trPr>
          <w:jc w:val="center"/>
        </w:trPr>
        <w:tc>
          <w:tcPr>
            <w:tcW w:w="0" w:type="auto"/>
          </w:tcPr>
          <w:p w:rsidR="00F32158" w:rsidRPr="00F32158" w:rsidRDefault="00F32158" w:rsidP="00F32158">
            <w:pPr>
              <w:spacing w:line="276" w:lineRule="auto"/>
              <w:rPr>
                <w:sz w:val="24"/>
                <w:szCs w:val="24"/>
                <w:lang w:val="uk-UA"/>
              </w:rPr>
            </w:pPr>
            <w:r w:rsidRPr="00F32158">
              <w:rPr>
                <w:sz w:val="24"/>
                <w:szCs w:val="24"/>
                <w:lang w:val="uk-UA"/>
              </w:rPr>
              <w:t>Всього по Україні</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8,82</w:t>
            </w:r>
            <w:r w:rsidRPr="00F32158">
              <w:rPr>
                <w:b/>
                <w:sz w:val="24"/>
                <w:szCs w:val="24"/>
                <w:vertAlign w:val="superscript"/>
              </w:rPr>
              <w:t>1</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8,74</w:t>
            </w:r>
            <w:r w:rsidRPr="00F32158">
              <w:rPr>
                <w:b/>
                <w:sz w:val="24"/>
                <w:szCs w:val="24"/>
                <w:vertAlign w:val="superscript"/>
              </w:rPr>
              <w:t>1</w:t>
            </w:r>
          </w:p>
        </w:tc>
        <w:tc>
          <w:tcPr>
            <w:tcW w:w="836" w:type="dxa"/>
          </w:tcPr>
          <w:p w:rsidR="00F32158" w:rsidRPr="00F32158" w:rsidRDefault="00F32158" w:rsidP="00F32158">
            <w:pPr>
              <w:spacing w:line="276" w:lineRule="auto"/>
              <w:jc w:val="center"/>
              <w:rPr>
                <w:sz w:val="24"/>
                <w:szCs w:val="24"/>
                <w:lang w:val="uk-UA"/>
              </w:rPr>
            </w:pPr>
            <w:r w:rsidRPr="00F32158">
              <w:rPr>
                <w:sz w:val="24"/>
                <w:szCs w:val="24"/>
                <w:lang w:val="uk-UA"/>
              </w:rPr>
              <w:t>8,25</w:t>
            </w:r>
            <w:r w:rsidRPr="00F32158">
              <w:rPr>
                <w:b/>
                <w:sz w:val="24"/>
                <w:szCs w:val="24"/>
                <w:vertAlign w:val="superscript"/>
              </w:rPr>
              <w:t>1</w:t>
            </w:r>
          </w:p>
        </w:tc>
        <w:tc>
          <w:tcPr>
            <w:tcW w:w="836" w:type="dxa"/>
          </w:tcPr>
          <w:p w:rsidR="00F32158" w:rsidRPr="00F32158" w:rsidRDefault="00F32158" w:rsidP="00F32158">
            <w:pPr>
              <w:spacing w:line="276" w:lineRule="auto"/>
              <w:jc w:val="center"/>
              <w:rPr>
                <w:sz w:val="24"/>
                <w:szCs w:val="24"/>
              </w:rPr>
            </w:pPr>
            <w:r w:rsidRPr="00F32158">
              <w:rPr>
                <w:sz w:val="24"/>
                <w:szCs w:val="24"/>
              </w:rPr>
              <w:t>8,47</w:t>
            </w:r>
            <w:r w:rsidRPr="00F32158">
              <w:rPr>
                <w:b/>
                <w:sz w:val="24"/>
                <w:szCs w:val="24"/>
                <w:vertAlign w:val="superscript"/>
              </w:rPr>
              <w:t>1</w:t>
            </w:r>
          </w:p>
        </w:tc>
        <w:tc>
          <w:tcPr>
            <w:tcW w:w="696" w:type="dxa"/>
          </w:tcPr>
          <w:p w:rsidR="00F32158" w:rsidRPr="00F32158" w:rsidRDefault="00F32158" w:rsidP="00F32158">
            <w:pPr>
              <w:spacing w:line="276" w:lineRule="auto"/>
              <w:jc w:val="center"/>
              <w:rPr>
                <w:sz w:val="24"/>
                <w:szCs w:val="24"/>
              </w:rPr>
            </w:pPr>
            <w:r w:rsidRPr="00F32158">
              <w:rPr>
                <w:sz w:val="24"/>
                <w:szCs w:val="24"/>
              </w:rPr>
              <w:t>7,7</w:t>
            </w:r>
            <w:r w:rsidRPr="00F32158">
              <w:rPr>
                <w:b/>
                <w:sz w:val="24"/>
                <w:szCs w:val="24"/>
                <w:vertAlign w:val="superscript"/>
              </w:rPr>
              <w:t>1</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6,76</w:t>
            </w:r>
            <w:r w:rsidRPr="00F32158">
              <w:rPr>
                <w:b/>
                <w:sz w:val="24"/>
                <w:szCs w:val="24"/>
                <w:vertAlign w:val="superscript"/>
              </w:rPr>
              <w:t>1</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7,00</w:t>
            </w:r>
            <w:r w:rsidRPr="00F32158">
              <w:rPr>
                <w:b/>
                <w:sz w:val="24"/>
                <w:szCs w:val="24"/>
                <w:vertAlign w:val="superscript"/>
              </w:rPr>
              <w:t>1</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6,49</w:t>
            </w:r>
            <w:r w:rsidRPr="00F32158">
              <w:rPr>
                <w:b/>
                <w:sz w:val="24"/>
                <w:szCs w:val="24"/>
                <w:vertAlign w:val="superscript"/>
              </w:rPr>
              <w:t>1</w:t>
            </w:r>
          </w:p>
        </w:tc>
        <w:tc>
          <w:tcPr>
            <w:tcW w:w="716" w:type="dxa"/>
          </w:tcPr>
          <w:p w:rsidR="00F32158" w:rsidRPr="00F32158" w:rsidRDefault="00F32158" w:rsidP="00F32158">
            <w:pPr>
              <w:spacing w:line="276" w:lineRule="auto"/>
              <w:jc w:val="center"/>
              <w:rPr>
                <w:sz w:val="24"/>
                <w:szCs w:val="24"/>
                <w:lang w:val="uk-UA"/>
              </w:rPr>
            </w:pPr>
            <w:r w:rsidRPr="00F32158">
              <w:rPr>
                <w:sz w:val="24"/>
                <w:szCs w:val="24"/>
                <w:lang w:val="uk-UA"/>
              </w:rPr>
              <w:t>6,60</w:t>
            </w:r>
            <w:r w:rsidRPr="00F32158">
              <w:rPr>
                <w:b/>
                <w:sz w:val="24"/>
                <w:szCs w:val="24"/>
                <w:vertAlign w:val="superscript"/>
              </w:rPr>
              <w:t>1</w:t>
            </w:r>
          </w:p>
        </w:tc>
        <w:tc>
          <w:tcPr>
            <w:tcW w:w="696" w:type="dxa"/>
          </w:tcPr>
          <w:p w:rsidR="00F32158" w:rsidRPr="00F32158" w:rsidRDefault="00F32158" w:rsidP="00F32158">
            <w:pPr>
              <w:spacing w:line="276" w:lineRule="auto"/>
              <w:jc w:val="center"/>
              <w:rPr>
                <w:sz w:val="24"/>
                <w:szCs w:val="24"/>
                <w:lang w:val="uk-UA"/>
              </w:rPr>
            </w:pPr>
            <w:r w:rsidRPr="00F32158">
              <w:rPr>
                <w:sz w:val="24"/>
                <w:szCs w:val="24"/>
                <w:lang w:val="uk-UA"/>
              </w:rPr>
              <w:t>6,4</w:t>
            </w:r>
            <w:r w:rsidRPr="00F32158">
              <w:rPr>
                <w:b/>
                <w:sz w:val="24"/>
                <w:szCs w:val="24"/>
                <w:vertAlign w:val="superscript"/>
              </w:rPr>
              <w:t>1</w:t>
            </w:r>
          </w:p>
        </w:tc>
      </w:tr>
      <w:tr w:rsidR="00F32158" w:rsidRPr="00F32158" w:rsidTr="00BF1F99">
        <w:trPr>
          <w:jc w:val="center"/>
        </w:trPr>
        <w:tc>
          <w:tcPr>
            <w:tcW w:w="0" w:type="auto"/>
          </w:tcPr>
          <w:p w:rsidR="00F32158" w:rsidRPr="00F32158" w:rsidRDefault="00F32158" w:rsidP="00F32158">
            <w:pPr>
              <w:spacing w:line="276" w:lineRule="auto"/>
              <w:rPr>
                <w:sz w:val="24"/>
                <w:szCs w:val="24"/>
                <w:lang w:val="uk-UA"/>
              </w:rPr>
            </w:pPr>
            <w:r w:rsidRPr="00F32158">
              <w:rPr>
                <w:sz w:val="24"/>
                <w:szCs w:val="24"/>
                <w:lang w:val="uk-UA"/>
              </w:rPr>
              <w:t xml:space="preserve">Волинська </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8,01</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7,27</w:t>
            </w:r>
          </w:p>
        </w:tc>
        <w:tc>
          <w:tcPr>
            <w:tcW w:w="836" w:type="dxa"/>
          </w:tcPr>
          <w:p w:rsidR="00F32158" w:rsidRPr="00F32158" w:rsidRDefault="00F32158" w:rsidP="00F32158">
            <w:pPr>
              <w:spacing w:line="276" w:lineRule="auto"/>
              <w:jc w:val="center"/>
              <w:rPr>
                <w:sz w:val="24"/>
                <w:szCs w:val="24"/>
                <w:lang w:val="uk-UA"/>
              </w:rPr>
            </w:pPr>
            <w:r w:rsidRPr="00F32158">
              <w:rPr>
                <w:sz w:val="24"/>
                <w:szCs w:val="24"/>
                <w:lang w:val="uk-UA"/>
              </w:rPr>
              <w:t>8,42</w:t>
            </w:r>
          </w:p>
        </w:tc>
        <w:tc>
          <w:tcPr>
            <w:tcW w:w="836" w:type="dxa"/>
          </w:tcPr>
          <w:p w:rsidR="00F32158" w:rsidRPr="00F32158" w:rsidRDefault="00F32158" w:rsidP="00F32158">
            <w:pPr>
              <w:spacing w:line="276" w:lineRule="auto"/>
              <w:jc w:val="center"/>
              <w:rPr>
                <w:sz w:val="24"/>
                <w:szCs w:val="24"/>
                <w:lang w:val="uk-UA"/>
              </w:rPr>
            </w:pPr>
            <w:r w:rsidRPr="00F32158">
              <w:rPr>
                <w:sz w:val="24"/>
                <w:szCs w:val="24"/>
                <w:lang w:val="uk-UA"/>
              </w:rPr>
              <w:t>6,66</w:t>
            </w:r>
          </w:p>
        </w:tc>
        <w:tc>
          <w:tcPr>
            <w:tcW w:w="696" w:type="dxa"/>
          </w:tcPr>
          <w:p w:rsidR="00F32158" w:rsidRPr="00F32158" w:rsidRDefault="00F32158" w:rsidP="00F32158">
            <w:pPr>
              <w:spacing w:line="276" w:lineRule="auto"/>
              <w:jc w:val="center"/>
              <w:rPr>
                <w:sz w:val="24"/>
                <w:szCs w:val="24"/>
                <w:lang w:val="uk-UA"/>
              </w:rPr>
            </w:pPr>
            <w:r w:rsidRPr="00F32158">
              <w:rPr>
                <w:sz w:val="24"/>
                <w:szCs w:val="24"/>
                <w:lang w:val="uk-UA"/>
              </w:rPr>
              <w:t>7,9</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3,89</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5,37</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5,39</w:t>
            </w:r>
          </w:p>
        </w:tc>
        <w:tc>
          <w:tcPr>
            <w:tcW w:w="716" w:type="dxa"/>
          </w:tcPr>
          <w:p w:rsidR="00F32158" w:rsidRPr="00F32158" w:rsidRDefault="00F32158" w:rsidP="00F32158">
            <w:pPr>
              <w:spacing w:line="276" w:lineRule="auto"/>
              <w:jc w:val="center"/>
              <w:rPr>
                <w:sz w:val="24"/>
                <w:szCs w:val="24"/>
                <w:lang w:val="uk-UA"/>
              </w:rPr>
            </w:pPr>
            <w:r w:rsidRPr="00F32158">
              <w:rPr>
                <w:sz w:val="24"/>
                <w:szCs w:val="24"/>
                <w:lang w:val="uk-UA"/>
              </w:rPr>
              <w:t>5,80</w:t>
            </w:r>
          </w:p>
        </w:tc>
        <w:tc>
          <w:tcPr>
            <w:tcW w:w="696" w:type="dxa"/>
          </w:tcPr>
          <w:p w:rsidR="00F32158" w:rsidRPr="00F32158" w:rsidRDefault="00F32158" w:rsidP="00F32158">
            <w:pPr>
              <w:spacing w:line="276" w:lineRule="auto"/>
              <w:jc w:val="center"/>
              <w:rPr>
                <w:sz w:val="24"/>
                <w:szCs w:val="24"/>
                <w:lang w:val="uk-UA"/>
              </w:rPr>
            </w:pPr>
            <w:r w:rsidRPr="00F32158">
              <w:rPr>
                <w:sz w:val="24"/>
                <w:szCs w:val="24"/>
                <w:lang w:val="uk-UA"/>
              </w:rPr>
              <w:t>7,2</w:t>
            </w:r>
          </w:p>
        </w:tc>
      </w:tr>
      <w:tr w:rsidR="00F32158" w:rsidRPr="00F32158" w:rsidTr="00BF1F99">
        <w:trPr>
          <w:jc w:val="center"/>
        </w:trPr>
        <w:tc>
          <w:tcPr>
            <w:tcW w:w="0" w:type="auto"/>
          </w:tcPr>
          <w:p w:rsidR="00F32158" w:rsidRPr="00F32158" w:rsidRDefault="00F32158" w:rsidP="00F32158">
            <w:pPr>
              <w:spacing w:line="276" w:lineRule="auto"/>
              <w:rPr>
                <w:sz w:val="24"/>
                <w:szCs w:val="24"/>
                <w:lang w:val="uk-UA"/>
              </w:rPr>
            </w:pPr>
            <w:r w:rsidRPr="00F32158">
              <w:rPr>
                <w:sz w:val="24"/>
                <w:szCs w:val="24"/>
                <w:lang w:val="uk-UA"/>
              </w:rPr>
              <w:t xml:space="preserve">Вінницька </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7,89</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8,56</w:t>
            </w:r>
          </w:p>
        </w:tc>
        <w:tc>
          <w:tcPr>
            <w:tcW w:w="836" w:type="dxa"/>
          </w:tcPr>
          <w:p w:rsidR="00F32158" w:rsidRPr="00F32158" w:rsidRDefault="00F32158" w:rsidP="00F32158">
            <w:pPr>
              <w:spacing w:line="276" w:lineRule="auto"/>
              <w:jc w:val="center"/>
              <w:rPr>
                <w:sz w:val="24"/>
                <w:szCs w:val="24"/>
                <w:lang w:val="uk-UA"/>
              </w:rPr>
            </w:pPr>
            <w:r w:rsidRPr="00F32158">
              <w:rPr>
                <w:sz w:val="24"/>
                <w:szCs w:val="24"/>
                <w:lang w:val="uk-UA"/>
              </w:rPr>
              <w:t>5,95</w:t>
            </w:r>
          </w:p>
        </w:tc>
        <w:tc>
          <w:tcPr>
            <w:tcW w:w="836" w:type="dxa"/>
          </w:tcPr>
          <w:p w:rsidR="00F32158" w:rsidRPr="00F32158" w:rsidRDefault="00F32158" w:rsidP="00F32158">
            <w:pPr>
              <w:spacing w:line="276" w:lineRule="auto"/>
              <w:jc w:val="center"/>
              <w:rPr>
                <w:sz w:val="24"/>
                <w:szCs w:val="24"/>
                <w:lang w:val="uk-UA"/>
              </w:rPr>
            </w:pPr>
            <w:r w:rsidRPr="00F32158">
              <w:rPr>
                <w:sz w:val="24"/>
                <w:szCs w:val="24"/>
                <w:lang w:val="uk-UA"/>
              </w:rPr>
              <w:t>8,43</w:t>
            </w:r>
          </w:p>
        </w:tc>
        <w:tc>
          <w:tcPr>
            <w:tcW w:w="696" w:type="dxa"/>
          </w:tcPr>
          <w:p w:rsidR="00F32158" w:rsidRPr="00F32158" w:rsidRDefault="00F32158" w:rsidP="00F32158">
            <w:pPr>
              <w:spacing w:line="276" w:lineRule="auto"/>
              <w:jc w:val="center"/>
              <w:rPr>
                <w:sz w:val="24"/>
                <w:szCs w:val="24"/>
                <w:lang w:val="uk-UA"/>
              </w:rPr>
            </w:pPr>
            <w:r w:rsidRPr="00F32158">
              <w:rPr>
                <w:sz w:val="24"/>
                <w:szCs w:val="24"/>
                <w:lang w:val="uk-UA"/>
              </w:rPr>
              <w:t>6,0</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4,98</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5,75</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7,22</w:t>
            </w:r>
          </w:p>
        </w:tc>
        <w:tc>
          <w:tcPr>
            <w:tcW w:w="716" w:type="dxa"/>
          </w:tcPr>
          <w:p w:rsidR="00F32158" w:rsidRPr="00F32158" w:rsidRDefault="00F32158" w:rsidP="00F32158">
            <w:pPr>
              <w:spacing w:line="276" w:lineRule="auto"/>
              <w:jc w:val="center"/>
              <w:rPr>
                <w:sz w:val="24"/>
                <w:szCs w:val="24"/>
                <w:lang w:val="uk-UA"/>
              </w:rPr>
            </w:pPr>
            <w:r w:rsidRPr="00F32158">
              <w:rPr>
                <w:sz w:val="24"/>
                <w:szCs w:val="24"/>
                <w:lang w:val="uk-UA"/>
              </w:rPr>
              <w:t>5,93</w:t>
            </w:r>
          </w:p>
        </w:tc>
        <w:tc>
          <w:tcPr>
            <w:tcW w:w="696" w:type="dxa"/>
          </w:tcPr>
          <w:p w:rsidR="00F32158" w:rsidRPr="00F32158" w:rsidRDefault="00F32158" w:rsidP="00F32158">
            <w:pPr>
              <w:spacing w:line="276" w:lineRule="auto"/>
              <w:jc w:val="center"/>
              <w:rPr>
                <w:sz w:val="24"/>
                <w:szCs w:val="24"/>
                <w:lang w:val="uk-UA"/>
              </w:rPr>
            </w:pPr>
            <w:r w:rsidRPr="00F32158">
              <w:rPr>
                <w:sz w:val="24"/>
                <w:szCs w:val="24"/>
                <w:lang w:val="uk-UA"/>
              </w:rPr>
              <w:t>6,0</w:t>
            </w:r>
          </w:p>
        </w:tc>
      </w:tr>
      <w:tr w:rsidR="00F32158" w:rsidRPr="00F32158" w:rsidTr="00BF1F99">
        <w:trPr>
          <w:jc w:val="center"/>
        </w:trPr>
        <w:tc>
          <w:tcPr>
            <w:tcW w:w="0" w:type="auto"/>
          </w:tcPr>
          <w:p w:rsidR="00F32158" w:rsidRPr="00F32158" w:rsidRDefault="00F32158" w:rsidP="00F32158">
            <w:pPr>
              <w:spacing w:line="276" w:lineRule="auto"/>
              <w:rPr>
                <w:sz w:val="24"/>
                <w:szCs w:val="24"/>
                <w:lang w:val="uk-UA"/>
              </w:rPr>
            </w:pPr>
            <w:r w:rsidRPr="00F32158">
              <w:rPr>
                <w:sz w:val="24"/>
                <w:szCs w:val="24"/>
                <w:lang w:val="uk-UA"/>
              </w:rPr>
              <w:t xml:space="preserve">Дніпропетровська </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9,14</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9,52</w:t>
            </w:r>
          </w:p>
        </w:tc>
        <w:tc>
          <w:tcPr>
            <w:tcW w:w="836" w:type="dxa"/>
          </w:tcPr>
          <w:p w:rsidR="00F32158" w:rsidRPr="00F32158" w:rsidRDefault="00F32158" w:rsidP="00F32158">
            <w:pPr>
              <w:spacing w:line="276" w:lineRule="auto"/>
              <w:jc w:val="center"/>
              <w:rPr>
                <w:sz w:val="24"/>
                <w:szCs w:val="24"/>
                <w:lang w:val="uk-UA"/>
              </w:rPr>
            </w:pPr>
            <w:r w:rsidRPr="00F32158">
              <w:rPr>
                <w:sz w:val="24"/>
                <w:szCs w:val="24"/>
                <w:lang w:val="uk-UA"/>
              </w:rPr>
              <w:t>8,85</w:t>
            </w:r>
          </w:p>
        </w:tc>
        <w:tc>
          <w:tcPr>
            <w:tcW w:w="836" w:type="dxa"/>
          </w:tcPr>
          <w:p w:rsidR="00F32158" w:rsidRPr="00F32158" w:rsidRDefault="00F32158" w:rsidP="00F32158">
            <w:pPr>
              <w:spacing w:line="276" w:lineRule="auto"/>
              <w:jc w:val="center"/>
              <w:rPr>
                <w:sz w:val="24"/>
                <w:szCs w:val="24"/>
                <w:lang w:val="uk-UA"/>
              </w:rPr>
            </w:pPr>
            <w:r w:rsidRPr="00F32158">
              <w:rPr>
                <w:sz w:val="24"/>
                <w:szCs w:val="24"/>
                <w:lang w:val="uk-UA"/>
              </w:rPr>
              <w:t>7,88</w:t>
            </w:r>
          </w:p>
        </w:tc>
        <w:tc>
          <w:tcPr>
            <w:tcW w:w="696" w:type="dxa"/>
          </w:tcPr>
          <w:p w:rsidR="00F32158" w:rsidRPr="00F32158" w:rsidRDefault="00F32158" w:rsidP="00F32158">
            <w:pPr>
              <w:spacing w:line="276" w:lineRule="auto"/>
              <w:jc w:val="center"/>
              <w:rPr>
                <w:sz w:val="24"/>
                <w:szCs w:val="24"/>
                <w:lang w:val="uk-UA"/>
              </w:rPr>
            </w:pPr>
            <w:r w:rsidRPr="00F32158">
              <w:rPr>
                <w:sz w:val="24"/>
                <w:szCs w:val="24"/>
                <w:lang w:val="uk-UA"/>
              </w:rPr>
              <w:t>9,7</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6,25</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7,40</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7,10</w:t>
            </w:r>
          </w:p>
        </w:tc>
        <w:tc>
          <w:tcPr>
            <w:tcW w:w="716" w:type="dxa"/>
          </w:tcPr>
          <w:p w:rsidR="00F32158" w:rsidRPr="00F32158" w:rsidRDefault="00F32158" w:rsidP="00F32158">
            <w:pPr>
              <w:spacing w:line="276" w:lineRule="auto"/>
              <w:jc w:val="center"/>
              <w:rPr>
                <w:sz w:val="24"/>
                <w:szCs w:val="24"/>
                <w:lang w:val="uk-UA"/>
              </w:rPr>
            </w:pPr>
            <w:r w:rsidRPr="00F32158">
              <w:rPr>
                <w:sz w:val="24"/>
                <w:szCs w:val="24"/>
                <w:lang w:val="uk-UA"/>
              </w:rPr>
              <w:t>7,06</w:t>
            </w:r>
          </w:p>
        </w:tc>
        <w:tc>
          <w:tcPr>
            <w:tcW w:w="696" w:type="dxa"/>
          </w:tcPr>
          <w:p w:rsidR="00F32158" w:rsidRPr="00F32158" w:rsidRDefault="00F32158" w:rsidP="00F32158">
            <w:pPr>
              <w:spacing w:line="276" w:lineRule="auto"/>
              <w:jc w:val="center"/>
              <w:rPr>
                <w:sz w:val="24"/>
                <w:szCs w:val="24"/>
                <w:lang w:val="uk-UA"/>
              </w:rPr>
            </w:pPr>
            <w:r w:rsidRPr="00F32158">
              <w:rPr>
                <w:sz w:val="24"/>
                <w:szCs w:val="24"/>
                <w:lang w:val="uk-UA"/>
              </w:rPr>
              <w:t>8,4</w:t>
            </w:r>
          </w:p>
        </w:tc>
      </w:tr>
      <w:tr w:rsidR="00F32158" w:rsidRPr="00F32158" w:rsidTr="00BF1F99">
        <w:trPr>
          <w:jc w:val="center"/>
        </w:trPr>
        <w:tc>
          <w:tcPr>
            <w:tcW w:w="0" w:type="auto"/>
          </w:tcPr>
          <w:p w:rsidR="00F32158" w:rsidRPr="00F32158" w:rsidRDefault="00F32158" w:rsidP="00F32158">
            <w:pPr>
              <w:spacing w:line="276" w:lineRule="auto"/>
              <w:rPr>
                <w:sz w:val="24"/>
                <w:szCs w:val="24"/>
                <w:lang w:val="uk-UA"/>
              </w:rPr>
            </w:pPr>
            <w:r w:rsidRPr="00F32158">
              <w:rPr>
                <w:sz w:val="24"/>
                <w:szCs w:val="24"/>
                <w:lang w:val="uk-UA"/>
              </w:rPr>
              <w:t xml:space="preserve">Донецька </w:t>
            </w:r>
            <w:r w:rsidRPr="00F32158">
              <w:rPr>
                <w:sz w:val="24"/>
                <w:szCs w:val="24"/>
                <w:vertAlign w:val="superscript"/>
              </w:rPr>
              <w:t>1</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11,19</w:t>
            </w:r>
            <w:r w:rsidRPr="00F32158">
              <w:rPr>
                <w:b/>
                <w:sz w:val="24"/>
                <w:szCs w:val="24"/>
                <w:vertAlign w:val="superscript"/>
              </w:rPr>
              <w:t>1</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10,36</w:t>
            </w:r>
            <w:r w:rsidRPr="00F32158">
              <w:rPr>
                <w:b/>
                <w:sz w:val="24"/>
                <w:szCs w:val="24"/>
                <w:vertAlign w:val="superscript"/>
              </w:rPr>
              <w:t>1</w:t>
            </w:r>
          </w:p>
        </w:tc>
        <w:tc>
          <w:tcPr>
            <w:tcW w:w="836" w:type="dxa"/>
          </w:tcPr>
          <w:p w:rsidR="00F32158" w:rsidRPr="00F32158" w:rsidRDefault="00F32158" w:rsidP="00F32158">
            <w:pPr>
              <w:spacing w:line="276" w:lineRule="auto"/>
              <w:jc w:val="center"/>
              <w:rPr>
                <w:sz w:val="24"/>
                <w:szCs w:val="24"/>
                <w:lang w:val="uk-UA"/>
              </w:rPr>
            </w:pPr>
            <w:r w:rsidRPr="00F32158">
              <w:rPr>
                <w:sz w:val="24"/>
                <w:szCs w:val="24"/>
                <w:lang w:val="uk-UA"/>
              </w:rPr>
              <w:t>10,41</w:t>
            </w:r>
            <w:r w:rsidRPr="00F32158">
              <w:rPr>
                <w:b/>
                <w:sz w:val="24"/>
                <w:szCs w:val="24"/>
                <w:vertAlign w:val="superscript"/>
              </w:rPr>
              <w:t>1</w:t>
            </w:r>
          </w:p>
        </w:tc>
        <w:tc>
          <w:tcPr>
            <w:tcW w:w="836" w:type="dxa"/>
          </w:tcPr>
          <w:p w:rsidR="00F32158" w:rsidRPr="00F32158" w:rsidRDefault="00F32158" w:rsidP="00F32158">
            <w:pPr>
              <w:spacing w:line="276" w:lineRule="auto"/>
              <w:jc w:val="center"/>
              <w:rPr>
                <w:sz w:val="24"/>
                <w:szCs w:val="24"/>
                <w:lang w:val="uk-UA"/>
              </w:rPr>
            </w:pPr>
            <w:r w:rsidRPr="00F32158">
              <w:rPr>
                <w:sz w:val="24"/>
                <w:szCs w:val="24"/>
                <w:lang w:val="uk-UA"/>
              </w:rPr>
              <w:t>9,52</w:t>
            </w:r>
            <w:r w:rsidRPr="00F32158">
              <w:rPr>
                <w:b/>
                <w:sz w:val="24"/>
                <w:szCs w:val="24"/>
                <w:vertAlign w:val="superscript"/>
              </w:rPr>
              <w:t>1</w:t>
            </w:r>
          </w:p>
        </w:tc>
        <w:tc>
          <w:tcPr>
            <w:tcW w:w="696" w:type="dxa"/>
          </w:tcPr>
          <w:p w:rsidR="00F32158" w:rsidRPr="00F32158" w:rsidRDefault="00F32158" w:rsidP="00F32158">
            <w:pPr>
              <w:spacing w:line="276" w:lineRule="auto"/>
              <w:jc w:val="center"/>
              <w:rPr>
                <w:sz w:val="24"/>
                <w:szCs w:val="24"/>
                <w:lang w:val="uk-UA"/>
              </w:rPr>
            </w:pPr>
            <w:r w:rsidRPr="00F32158">
              <w:rPr>
                <w:sz w:val="24"/>
                <w:szCs w:val="24"/>
                <w:lang w:val="uk-UA"/>
              </w:rPr>
              <w:t>8,2</w:t>
            </w:r>
            <w:r w:rsidRPr="00F32158">
              <w:rPr>
                <w:b/>
                <w:sz w:val="24"/>
                <w:szCs w:val="24"/>
                <w:vertAlign w:val="superscript"/>
              </w:rPr>
              <w:t>1</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8,76</w:t>
            </w:r>
            <w:r w:rsidRPr="00F32158">
              <w:rPr>
                <w:b/>
                <w:sz w:val="24"/>
                <w:szCs w:val="24"/>
                <w:vertAlign w:val="superscript"/>
              </w:rPr>
              <w:t>1</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6,98</w:t>
            </w:r>
            <w:r w:rsidRPr="00F32158">
              <w:rPr>
                <w:b/>
                <w:sz w:val="24"/>
                <w:szCs w:val="24"/>
                <w:vertAlign w:val="superscript"/>
              </w:rPr>
              <w:t>1</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7,02</w:t>
            </w:r>
            <w:r w:rsidRPr="00F32158">
              <w:rPr>
                <w:b/>
                <w:sz w:val="24"/>
                <w:szCs w:val="24"/>
                <w:vertAlign w:val="superscript"/>
              </w:rPr>
              <w:t>1</w:t>
            </w:r>
          </w:p>
        </w:tc>
        <w:tc>
          <w:tcPr>
            <w:tcW w:w="716" w:type="dxa"/>
          </w:tcPr>
          <w:p w:rsidR="00F32158" w:rsidRPr="00F32158" w:rsidRDefault="00F32158" w:rsidP="00F32158">
            <w:pPr>
              <w:spacing w:line="276" w:lineRule="auto"/>
              <w:jc w:val="center"/>
              <w:rPr>
                <w:sz w:val="24"/>
                <w:szCs w:val="24"/>
                <w:lang w:val="uk-UA"/>
              </w:rPr>
            </w:pPr>
            <w:r w:rsidRPr="00F32158">
              <w:rPr>
                <w:sz w:val="24"/>
                <w:szCs w:val="24"/>
                <w:lang w:val="uk-UA"/>
              </w:rPr>
              <w:t>6,73</w:t>
            </w:r>
            <w:r w:rsidRPr="00F32158">
              <w:rPr>
                <w:b/>
                <w:sz w:val="24"/>
                <w:szCs w:val="24"/>
                <w:vertAlign w:val="superscript"/>
              </w:rPr>
              <w:t>1</w:t>
            </w:r>
          </w:p>
        </w:tc>
        <w:tc>
          <w:tcPr>
            <w:tcW w:w="696" w:type="dxa"/>
          </w:tcPr>
          <w:p w:rsidR="00F32158" w:rsidRPr="00F32158" w:rsidRDefault="00F32158" w:rsidP="00F32158">
            <w:pPr>
              <w:spacing w:line="276" w:lineRule="auto"/>
              <w:jc w:val="center"/>
              <w:rPr>
                <w:sz w:val="24"/>
                <w:szCs w:val="24"/>
                <w:lang w:val="uk-UA"/>
              </w:rPr>
            </w:pPr>
            <w:r w:rsidRPr="00F32158">
              <w:rPr>
                <w:sz w:val="24"/>
                <w:szCs w:val="24"/>
                <w:lang w:val="uk-UA"/>
              </w:rPr>
              <w:t>6,2</w:t>
            </w:r>
            <w:r w:rsidRPr="00F32158">
              <w:rPr>
                <w:b/>
                <w:sz w:val="24"/>
                <w:szCs w:val="24"/>
                <w:vertAlign w:val="superscript"/>
              </w:rPr>
              <w:t>1</w:t>
            </w:r>
          </w:p>
        </w:tc>
      </w:tr>
      <w:tr w:rsidR="00F32158" w:rsidRPr="00F32158" w:rsidTr="00BF1F99">
        <w:trPr>
          <w:jc w:val="center"/>
        </w:trPr>
        <w:tc>
          <w:tcPr>
            <w:tcW w:w="0" w:type="auto"/>
          </w:tcPr>
          <w:p w:rsidR="00F32158" w:rsidRPr="00F32158" w:rsidRDefault="00F32158" w:rsidP="00F32158">
            <w:pPr>
              <w:spacing w:line="276" w:lineRule="auto"/>
              <w:rPr>
                <w:sz w:val="24"/>
                <w:szCs w:val="24"/>
                <w:lang w:val="uk-UA"/>
              </w:rPr>
            </w:pPr>
            <w:r w:rsidRPr="00F32158">
              <w:rPr>
                <w:sz w:val="24"/>
                <w:szCs w:val="24"/>
                <w:lang w:val="uk-UA"/>
              </w:rPr>
              <w:t xml:space="preserve">Житомирська </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7,54</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7,47</w:t>
            </w:r>
          </w:p>
        </w:tc>
        <w:tc>
          <w:tcPr>
            <w:tcW w:w="836" w:type="dxa"/>
          </w:tcPr>
          <w:p w:rsidR="00F32158" w:rsidRPr="00F32158" w:rsidRDefault="00F32158" w:rsidP="00F32158">
            <w:pPr>
              <w:spacing w:line="276" w:lineRule="auto"/>
              <w:jc w:val="center"/>
              <w:rPr>
                <w:sz w:val="24"/>
                <w:szCs w:val="24"/>
                <w:lang w:val="uk-UA"/>
              </w:rPr>
            </w:pPr>
            <w:r w:rsidRPr="00F32158">
              <w:rPr>
                <w:sz w:val="24"/>
                <w:szCs w:val="24"/>
                <w:lang w:val="uk-UA"/>
              </w:rPr>
              <w:t>9,62</w:t>
            </w:r>
          </w:p>
        </w:tc>
        <w:tc>
          <w:tcPr>
            <w:tcW w:w="836" w:type="dxa"/>
          </w:tcPr>
          <w:p w:rsidR="00F32158" w:rsidRPr="00F32158" w:rsidRDefault="00F32158" w:rsidP="00F32158">
            <w:pPr>
              <w:spacing w:line="276" w:lineRule="auto"/>
              <w:jc w:val="center"/>
              <w:rPr>
                <w:sz w:val="24"/>
                <w:szCs w:val="24"/>
                <w:lang w:val="uk-UA"/>
              </w:rPr>
            </w:pPr>
            <w:r w:rsidRPr="00F32158">
              <w:rPr>
                <w:sz w:val="24"/>
                <w:szCs w:val="24"/>
                <w:lang w:val="uk-UA"/>
              </w:rPr>
              <w:t>7,70</w:t>
            </w:r>
          </w:p>
        </w:tc>
        <w:tc>
          <w:tcPr>
            <w:tcW w:w="696" w:type="dxa"/>
          </w:tcPr>
          <w:p w:rsidR="00F32158" w:rsidRPr="00F32158" w:rsidRDefault="00F32158" w:rsidP="00F32158">
            <w:pPr>
              <w:spacing w:line="276" w:lineRule="auto"/>
              <w:jc w:val="center"/>
              <w:rPr>
                <w:sz w:val="24"/>
                <w:szCs w:val="24"/>
                <w:lang w:val="uk-UA"/>
              </w:rPr>
            </w:pPr>
            <w:r w:rsidRPr="00F32158">
              <w:rPr>
                <w:sz w:val="24"/>
                <w:szCs w:val="24"/>
                <w:lang w:val="uk-UA"/>
              </w:rPr>
              <w:t>8,5</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7,29</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7,05</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6,03</w:t>
            </w:r>
          </w:p>
        </w:tc>
        <w:tc>
          <w:tcPr>
            <w:tcW w:w="716" w:type="dxa"/>
          </w:tcPr>
          <w:p w:rsidR="00F32158" w:rsidRPr="00F32158" w:rsidRDefault="00F32158" w:rsidP="00F32158">
            <w:pPr>
              <w:spacing w:line="276" w:lineRule="auto"/>
              <w:jc w:val="center"/>
              <w:rPr>
                <w:sz w:val="24"/>
                <w:szCs w:val="24"/>
                <w:lang w:val="uk-UA"/>
              </w:rPr>
            </w:pPr>
            <w:r w:rsidRPr="00F32158">
              <w:rPr>
                <w:sz w:val="24"/>
                <w:szCs w:val="24"/>
                <w:lang w:val="uk-UA"/>
              </w:rPr>
              <w:t>5,83</w:t>
            </w:r>
          </w:p>
        </w:tc>
        <w:tc>
          <w:tcPr>
            <w:tcW w:w="696" w:type="dxa"/>
          </w:tcPr>
          <w:p w:rsidR="00F32158" w:rsidRPr="00F32158" w:rsidRDefault="00F32158" w:rsidP="00F32158">
            <w:pPr>
              <w:spacing w:line="276" w:lineRule="auto"/>
              <w:jc w:val="center"/>
              <w:rPr>
                <w:sz w:val="24"/>
                <w:szCs w:val="24"/>
                <w:lang w:val="uk-UA"/>
              </w:rPr>
            </w:pPr>
            <w:r w:rsidRPr="00F32158">
              <w:rPr>
                <w:sz w:val="24"/>
                <w:szCs w:val="24"/>
                <w:lang w:val="uk-UA"/>
              </w:rPr>
              <w:t>5,1</w:t>
            </w:r>
          </w:p>
        </w:tc>
      </w:tr>
      <w:tr w:rsidR="00F32158" w:rsidRPr="00F32158" w:rsidTr="00BF1F99">
        <w:trPr>
          <w:jc w:val="center"/>
        </w:trPr>
        <w:tc>
          <w:tcPr>
            <w:tcW w:w="0" w:type="auto"/>
          </w:tcPr>
          <w:p w:rsidR="00F32158" w:rsidRPr="00F32158" w:rsidRDefault="00F32158" w:rsidP="00F32158">
            <w:pPr>
              <w:spacing w:line="276" w:lineRule="auto"/>
              <w:rPr>
                <w:sz w:val="24"/>
                <w:szCs w:val="24"/>
                <w:lang w:val="uk-UA"/>
              </w:rPr>
            </w:pPr>
            <w:r w:rsidRPr="00F32158">
              <w:rPr>
                <w:sz w:val="24"/>
                <w:szCs w:val="24"/>
                <w:lang w:val="uk-UA"/>
              </w:rPr>
              <w:t xml:space="preserve">Закарпатська </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11,45</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11,71</w:t>
            </w:r>
          </w:p>
        </w:tc>
        <w:tc>
          <w:tcPr>
            <w:tcW w:w="836" w:type="dxa"/>
          </w:tcPr>
          <w:p w:rsidR="00F32158" w:rsidRPr="00F32158" w:rsidRDefault="00F32158" w:rsidP="00F32158">
            <w:pPr>
              <w:spacing w:line="276" w:lineRule="auto"/>
              <w:jc w:val="center"/>
              <w:rPr>
                <w:sz w:val="24"/>
                <w:szCs w:val="24"/>
                <w:lang w:val="uk-UA"/>
              </w:rPr>
            </w:pPr>
            <w:r w:rsidRPr="00F32158">
              <w:rPr>
                <w:sz w:val="24"/>
                <w:szCs w:val="24"/>
                <w:lang w:val="uk-UA"/>
              </w:rPr>
              <w:t>10,73</w:t>
            </w:r>
          </w:p>
        </w:tc>
        <w:tc>
          <w:tcPr>
            <w:tcW w:w="836" w:type="dxa"/>
          </w:tcPr>
          <w:p w:rsidR="00F32158" w:rsidRPr="00F32158" w:rsidRDefault="00F32158" w:rsidP="00F32158">
            <w:pPr>
              <w:spacing w:line="276" w:lineRule="auto"/>
              <w:jc w:val="center"/>
              <w:rPr>
                <w:sz w:val="24"/>
                <w:szCs w:val="24"/>
                <w:lang w:val="uk-UA"/>
              </w:rPr>
            </w:pPr>
            <w:r w:rsidRPr="00F32158">
              <w:rPr>
                <w:sz w:val="24"/>
                <w:szCs w:val="24"/>
                <w:lang w:val="uk-UA"/>
              </w:rPr>
              <w:t>12,81</w:t>
            </w:r>
          </w:p>
        </w:tc>
        <w:tc>
          <w:tcPr>
            <w:tcW w:w="696" w:type="dxa"/>
          </w:tcPr>
          <w:p w:rsidR="00F32158" w:rsidRPr="00F32158" w:rsidRDefault="00F32158" w:rsidP="00F32158">
            <w:pPr>
              <w:spacing w:line="276" w:lineRule="auto"/>
              <w:jc w:val="center"/>
              <w:rPr>
                <w:sz w:val="24"/>
                <w:szCs w:val="24"/>
                <w:lang w:val="uk-UA"/>
              </w:rPr>
            </w:pPr>
            <w:r w:rsidRPr="00F32158">
              <w:rPr>
                <w:sz w:val="24"/>
                <w:szCs w:val="24"/>
                <w:lang w:val="uk-UA"/>
              </w:rPr>
              <w:t>10,5</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6,31</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9,22</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10,02</w:t>
            </w:r>
          </w:p>
        </w:tc>
        <w:tc>
          <w:tcPr>
            <w:tcW w:w="716" w:type="dxa"/>
          </w:tcPr>
          <w:p w:rsidR="00F32158" w:rsidRPr="00F32158" w:rsidRDefault="00F32158" w:rsidP="00F32158">
            <w:pPr>
              <w:spacing w:line="276" w:lineRule="auto"/>
              <w:jc w:val="center"/>
              <w:rPr>
                <w:sz w:val="24"/>
                <w:szCs w:val="24"/>
                <w:lang w:val="uk-UA"/>
              </w:rPr>
            </w:pPr>
            <w:r w:rsidRPr="00F32158">
              <w:rPr>
                <w:sz w:val="24"/>
                <w:szCs w:val="24"/>
                <w:lang w:val="uk-UA"/>
              </w:rPr>
              <w:t>9.30</w:t>
            </w:r>
          </w:p>
        </w:tc>
        <w:tc>
          <w:tcPr>
            <w:tcW w:w="696" w:type="dxa"/>
          </w:tcPr>
          <w:p w:rsidR="00F32158" w:rsidRPr="00F32158" w:rsidRDefault="00F32158" w:rsidP="00F32158">
            <w:pPr>
              <w:spacing w:line="276" w:lineRule="auto"/>
              <w:jc w:val="center"/>
              <w:rPr>
                <w:sz w:val="24"/>
                <w:szCs w:val="24"/>
                <w:lang w:val="uk-UA"/>
              </w:rPr>
            </w:pPr>
            <w:r w:rsidRPr="00F32158">
              <w:rPr>
                <w:sz w:val="24"/>
                <w:szCs w:val="24"/>
                <w:lang w:val="uk-UA"/>
              </w:rPr>
              <w:t>10,2</w:t>
            </w:r>
          </w:p>
        </w:tc>
      </w:tr>
      <w:tr w:rsidR="00F32158" w:rsidRPr="00F32158" w:rsidTr="00BF1F99">
        <w:trPr>
          <w:jc w:val="center"/>
        </w:trPr>
        <w:tc>
          <w:tcPr>
            <w:tcW w:w="0" w:type="auto"/>
          </w:tcPr>
          <w:p w:rsidR="00F32158" w:rsidRPr="00F32158" w:rsidRDefault="00F32158" w:rsidP="00F32158">
            <w:pPr>
              <w:spacing w:line="276" w:lineRule="auto"/>
              <w:rPr>
                <w:sz w:val="24"/>
                <w:szCs w:val="24"/>
                <w:lang w:val="uk-UA"/>
              </w:rPr>
            </w:pPr>
            <w:r w:rsidRPr="00F32158">
              <w:rPr>
                <w:sz w:val="24"/>
                <w:szCs w:val="24"/>
                <w:lang w:val="uk-UA"/>
              </w:rPr>
              <w:t xml:space="preserve">Запорізька </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6,95</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8,96</w:t>
            </w:r>
          </w:p>
        </w:tc>
        <w:tc>
          <w:tcPr>
            <w:tcW w:w="836" w:type="dxa"/>
          </w:tcPr>
          <w:p w:rsidR="00F32158" w:rsidRPr="00F32158" w:rsidRDefault="00F32158" w:rsidP="00F32158">
            <w:pPr>
              <w:spacing w:line="276" w:lineRule="auto"/>
              <w:jc w:val="center"/>
              <w:rPr>
                <w:sz w:val="24"/>
                <w:szCs w:val="24"/>
                <w:lang w:val="uk-UA"/>
              </w:rPr>
            </w:pPr>
            <w:r w:rsidRPr="00F32158">
              <w:rPr>
                <w:sz w:val="24"/>
                <w:szCs w:val="24"/>
                <w:lang w:val="uk-UA"/>
              </w:rPr>
              <w:t>6,66</w:t>
            </w:r>
          </w:p>
        </w:tc>
        <w:tc>
          <w:tcPr>
            <w:tcW w:w="836" w:type="dxa"/>
          </w:tcPr>
          <w:p w:rsidR="00F32158" w:rsidRPr="00F32158" w:rsidRDefault="00F32158" w:rsidP="00F32158">
            <w:pPr>
              <w:spacing w:line="276" w:lineRule="auto"/>
              <w:jc w:val="center"/>
              <w:rPr>
                <w:sz w:val="24"/>
                <w:szCs w:val="24"/>
                <w:lang w:val="uk-UA"/>
              </w:rPr>
            </w:pPr>
            <w:r w:rsidRPr="00F32158">
              <w:rPr>
                <w:sz w:val="24"/>
                <w:szCs w:val="24"/>
                <w:lang w:val="uk-UA"/>
              </w:rPr>
              <w:t>6,98</w:t>
            </w:r>
          </w:p>
        </w:tc>
        <w:tc>
          <w:tcPr>
            <w:tcW w:w="696" w:type="dxa"/>
          </w:tcPr>
          <w:p w:rsidR="00F32158" w:rsidRPr="00F32158" w:rsidRDefault="00F32158" w:rsidP="00F32158">
            <w:pPr>
              <w:spacing w:line="276" w:lineRule="auto"/>
              <w:jc w:val="center"/>
              <w:rPr>
                <w:sz w:val="24"/>
                <w:szCs w:val="24"/>
                <w:lang w:val="uk-UA"/>
              </w:rPr>
            </w:pPr>
            <w:r w:rsidRPr="00F32158">
              <w:rPr>
                <w:sz w:val="24"/>
                <w:szCs w:val="24"/>
                <w:lang w:val="uk-UA"/>
              </w:rPr>
              <w:t>8,1</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6,23</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6,48</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6,46</w:t>
            </w:r>
          </w:p>
        </w:tc>
        <w:tc>
          <w:tcPr>
            <w:tcW w:w="716" w:type="dxa"/>
          </w:tcPr>
          <w:p w:rsidR="00F32158" w:rsidRPr="00F32158" w:rsidRDefault="00F32158" w:rsidP="00F32158">
            <w:pPr>
              <w:spacing w:line="276" w:lineRule="auto"/>
              <w:jc w:val="center"/>
              <w:rPr>
                <w:sz w:val="24"/>
                <w:szCs w:val="24"/>
                <w:lang w:val="uk-UA"/>
              </w:rPr>
            </w:pPr>
            <w:r w:rsidRPr="00F32158">
              <w:rPr>
                <w:sz w:val="24"/>
                <w:szCs w:val="24"/>
                <w:lang w:val="uk-UA"/>
              </w:rPr>
              <w:t>6,06</w:t>
            </w:r>
          </w:p>
        </w:tc>
        <w:tc>
          <w:tcPr>
            <w:tcW w:w="696" w:type="dxa"/>
          </w:tcPr>
          <w:p w:rsidR="00F32158" w:rsidRPr="00F32158" w:rsidRDefault="00F32158" w:rsidP="00F32158">
            <w:pPr>
              <w:spacing w:line="276" w:lineRule="auto"/>
              <w:jc w:val="center"/>
              <w:rPr>
                <w:sz w:val="24"/>
                <w:szCs w:val="24"/>
                <w:lang w:val="uk-UA"/>
              </w:rPr>
            </w:pPr>
            <w:r w:rsidRPr="00F32158">
              <w:rPr>
                <w:sz w:val="24"/>
                <w:szCs w:val="24"/>
                <w:lang w:val="uk-UA"/>
              </w:rPr>
              <w:t>8,3</w:t>
            </w:r>
          </w:p>
        </w:tc>
      </w:tr>
      <w:tr w:rsidR="00F32158" w:rsidRPr="00F32158" w:rsidTr="00BF1F99">
        <w:trPr>
          <w:jc w:val="center"/>
        </w:trPr>
        <w:tc>
          <w:tcPr>
            <w:tcW w:w="0" w:type="auto"/>
          </w:tcPr>
          <w:p w:rsidR="00F32158" w:rsidRPr="00F32158" w:rsidRDefault="00F32158" w:rsidP="00F32158">
            <w:pPr>
              <w:spacing w:line="276" w:lineRule="auto"/>
              <w:rPr>
                <w:sz w:val="24"/>
                <w:szCs w:val="24"/>
                <w:lang w:val="uk-UA"/>
              </w:rPr>
            </w:pPr>
            <w:r w:rsidRPr="00F32158">
              <w:rPr>
                <w:sz w:val="24"/>
                <w:szCs w:val="24"/>
                <w:lang w:val="uk-UA"/>
              </w:rPr>
              <w:t xml:space="preserve">Івано-Франківська </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6,77</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7,33</w:t>
            </w:r>
          </w:p>
        </w:tc>
        <w:tc>
          <w:tcPr>
            <w:tcW w:w="836" w:type="dxa"/>
          </w:tcPr>
          <w:p w:rsidR="00F32158" w:rsidRPr="00F32158" w:rsidRDefault="00F32158" w:rsidP="00F32158">
            <w:pPr>
              <w:spacing w:line="276" w:lineRule="auto"/>
              <w:jc w:val="center"/>
              <w:rPr>
                <w:sz w:val="24"/>
                <w:szCs w:val="24"/>
                <w:lang w:val="uk-UA"/>
              </w:rPr>
            </w:pPr>
            <w:r w:rsidRPr="00F32158">
              <w:rPr>
                <w:sz w:val="24"/>
                <w:szCs w:val="24"/>
                <w:lang w:val="uk-UA"/>
              </w:rPr>
              <w:t>7,55</w:t>
            </w:r>
          </w:p>
        </w:tc>
        <w:tc>
          <w:tcPr>
            <w:tcW w:w="836" w:type="dxa"/>
          </w:tcPr>
          <w:p w:rsidR="00F32158" w:rsidRPr="00F32158" w:rsidRDefault="00F32158" w:rsidP="00F32158">
            <w:pPr>
              <w:spacing w:line="276" w:lineRule="auto"/>
              <w:jc w:val="center"/>
              <w:rPr>
                <w:sz w:val="24"/>
                <w:szCs w:val="24"/>
                <w:lang w:val="uk-UA"/>
              </w:rPr>
            </w:pPr>
            <w:r w:rsidRPr="00F32158">
              <w:rPr>
                <w:sz w:val="24"/>
                <w:szCs w:val="24"/>
                <w:lang w:val="uk-UA"/>
              </w:rPr>
              <w:t>7,64</w:t>
            </w:r>
          </w:p>
        </w:tc>
        <w:tc>
          <w:tcPr>
            <w:tcW w:w="696" w:type="dxa"/>
          </w:tcPr>
          <w:p w:rsidR="00F32158" w:rsidRPr="00F32158" w:rsidRDefault="00F32158" w:rsidP="00F32158">
            <w:pPr>
              <w:spacing w:line="276" w:lineRule="auto"/>
              <w:jc w:val="center"/>
              <w:rPr>
                <w:sz w:val="24"/>
                <w:szCs w:val="24"/>
                <w:lang w:val="uk-UA"/>
              </w:rPr>
            </w:pPr>
            <w:r w:rsidRPr="00F32158">
              <w:rPr>
                <w:sz w:val="24"/>
                <w:szCs w:val="24"/>
                <w:lang w:val="uk-UA"/>
              </w:rPr>
              <w:t>6,1</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5,92</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6,31</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5,79</w:t>
            </w:r>
          </w:p>
        </w:tc>
        <w:tc>
          <w:tcPr>
            <w:tcW w:w="716" w:type="dxa"/>
          </w:tcPr>
          <w:p w:rsidR="00F32158" w:rsidRPr="00F32158" w:rsidRDefault="00F32158" w:rsidP="00F32158">
            <w:pPr>
              <w:spacing w:line="276" w:lineRule="auto"/>
              <w:jc w:val="center"/>
              <w:rPr>
                <w:sz w:val="24"/>
                <w:szCs w:val="24"/>
                <w:lang w:val="uk-UA"/>
              </w:rPr>
            </w:pPr>
            <w:r w:rsidRPr="00F32158">
              <w:rPr>
                <w:sz w:val="24"/>
                <w:szCs w:val="24"/>
                <w:lang w:val="uk-UA"/>
              </w:rPr>
              <w:t>5,60</w:t>
            </w:r>
          </w:p>
        </w:tc>
        <w:tc>
          <w:tcPr>
            <w:tcW w:w="696" w:type="dxa"/>
          </w:tcPr>
          <w:p w:rsidR="00F32158" w:rsidRPr="00F32158" w:rsidRDefault="00F32158" w:rsidP="00F32158">
            <w:pPr>
              <w:spacing w:line="276" w:lineRule="auto"/>
              <w:jc w:val="center"/>
              <w:rPr>
                <w:sz w:val="24"/>
                <w:szCs w:val="24"/>
                <w:lang w:val="uk-UA"/>
              </w:rPr>
            </w:pPr>
            <w:r w:rsidRPr="00F32158">
              <w:rPr>
                <w:sz w:val="24"/>
                <w:szCs w:val="24"/>
                <w:lang w:val="uk-UA"/>
              </w:rPr>
              <w:t>6,4</w:t>
            </w:r>
          </w:p>
        </w:tc>
      </w:tr>
      <w:tr w:rsidR="00F32158" w:rsidRPr="00F32158" w:rsidTr="00BF1F99">
        <w:trPr>
          <w:jc w:val="center"/>
        </w:trPr>
        <w:tc>
          <w:tcPr>
            <w:tcW w:w="0" w:type="auto"/>
          </w:tcPr>
          <w:p w:rsidR="00F32158" w:rsidRPr="00F32158" w:rsidRDefault="00F32158" w:rsidP="00F32158">
            <w:pPr>
              <w:spacing w:line="276" w:lineRule="auto"/>
              <w:rPr>
                <w:sz w:val="24"/>
                <w:szCs w:val="24"/>
                <w:lang w:val="uk-UA"/>
              </w:rPr>
            </w:pPr>
            <w:r w:rsidRPr="00F32158">
              <w:rPr>
                <w:sz w:val="24"/>
                <w:szCs w:val="24"/>
                <w:lang w:val="uk-UA"/>
              </w:rPr>
              <w:t xml:space="preserve">Київська </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6,01</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5,15</w:t>
            </w:r>
          </w:p>
        </w:tc>
        <w:tc>
          <w:tcPr>
            <w:tcW w:w="836" w:type="dxa"/>
          </w:tcPr>
          <w:p w:rsidR="00F32158" w:rsidRPr="00F32158" w:rsidRDefault="00F32158" w:rsidP="00F32158">
            <w:pPr>
              <w:spacing w:line="276" w:lineRule="auto"/>
              <w:jc w:val="center"/>
              <w:rPr>
                <w:sz w:val="24"/>
                <w:szCs w:val="24"/>
                <w:lang w:val="uk-UA"/>
              </w:rPr>
            </w:pPr>
            <w:r w:rsidRPr="00F32158">
              <w:rPr>
                <w:sz w:val="24"/>
                <w:szCs w:val="24"/>
                <w:lang w:val="uk-UA"/>
              </w:rPr>
              <w:t>5,44</w:t>
            </w:r>
          </w:p>
        </w:tc>
        <w:tc>
          <w:tcPr>
            <w:tcW w:w="836" w:type="dxa"/>
          </w:tcPr>
          <w:p w:rsidR="00F32158" w:rsidRPr="00F32158" w:rsidRDefault="00F32158" w:rsidP="00F32158">
            <w:pPr>
              <w:spacing w:line="276" w:lineRule="auto"/>
              <w:jc w:val="center"/>
              <w:rPr>
                <w:sz w:val="24"/>
                <w:szCs w:val="24"/>
                <w:lang w:val="uk-UA"/>
              </w:rPr>
            </w:pPr>
            <w:r w:rsidRPr="00F32158">
              <w:rPr>
                <w:sz w:val="24"/>
                <w:szCs w:val="24"/>
                <w:lang w:val="uk-UA"/>
              </w:rPr>
              <w:t>4,98</w:t>
            </w:r>
          </w:p>
        </w:tc>
        <w:tc>
          <w:tcPr>
            <w:tcW w:w="696" w:type="dxa"/>
          </w:tcPr>
          <w:p w:rsidR="00F32158" w:rsidRPr="00F32158" w:rsidRDefault="00F32158" w:rsidP="00F32158">
            <w:pPr>
              <w:spacing w:line="276" w:lineRule="auto"/>
              <w:jc w:val="center"/>
              <w:rPr>
                <w:sz w:val="24"/>
                <w:szCs w:val="24"/>
                <w:lang w:val="uk-UA"/>
              </w:rPr>
            </w:pPr>
            <w:r w:rsidRPr="00F32158">
              <w:rPr>
                <w:sz w:val="24"/>
                <w:szCs w:val="24"/>
                <w:lang w:val="uk-UA"/>
              </w:rPr>
              <w:t>5,4</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4,28</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5,57</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4,84</w:t>
            </w:r>
          </w:p>
        </w:tc>
        <w:tc>
          <w:tcPr>
            <w:tcW w:w="716" w:type="dxa"/>
          </w:tcPr>
          <w:p w:rsidR="00F32158" w:rsidRPr="00F32158" w:rsidRDefault="00F32158" w:rsidP="00F32158">
            <w:pPr>
              <w:spacing w:line="276" w:lineRule="auto"/>
              <w:jc w:val="center"/>
              <w:rPr>
                <w:sz w:val="24"/>
                <w:szCs w:val="24"/>
                <w:lang w:val="uk-UA"/>
              </w:rPr>
            </w:pPr>
            <w:r w:rsidRPr="00F32158">
              <w:rPr>
                <w:sz w:val="24"/>
                <w:szCs w:val="24"/>
                <w:lang w:val="uk-UA"/>
              </w:rPr>
              <w:t>5,28</w:t>
            </w:r>
          </w:p>
        </w:tc>
        <w:tc>
          <w:tcPr>
            <w:tcW w:w="696" w:type="dxa"/>
          </w:tcPr>
          <w:p w:rsidR="00F32158" w:rsidRPr="00F32158" w:rsidRDefault="00F32158" w:rsidP="00F32158">
            <w:pPr>
              <w:spacing w:line="276" w:lineRule="auto"/>
              <w:jc w:val="center"/>
              <w:rPr>
                <w:sz w:val="24"/>
                <w:szCs w:val="24"/>
                <w:lang w:val="uk-UA"/>
              </w:rPr>
            </w:pPr>
            <w:r w:rsidRPr="00F32158">
              <w:rPr>
                <w:sz w:val="24"/>
                <w:szCs w:val="24"/>
                <w:lang w:val="uk-UA"/>
              </w:rPr>
              <w:t>3,9</w:t>
            </w:r>
          </w:p>
        </w:tc>
      </w:tr>
      <w:tr w:rsidR="00F32158" w:rsidRPr="00F32158" w:rsidTr="00BF1F99">
        <w:trPr>
          <w:jc w:val="center"/>
        </w:trPr>
        <w:tc>
          <w:tcPr>
            <w:tcW w:w="0" w:type="auto"/>
          </w:tcPr>
          <w:p w:rsidR="00F32158" w:rsidRPr="00F32158" w:rsidRDefault="00F32158" w:rsidP="00F32158">
            <w:pPr>
              <w:spacing w:line="276" w:lineRule="auto"/>
              <w:rPr>
                <w:sz w:val="24"/>
                <w:szCs w:val="24"/>
                <w:lang w:val="uk-UA"/>
              </w:rPr>
            </w:pPr>
            <w:r w:rsidRPr="00F32158">
              <w:rPr>
                <w:sz w:val="24"/>
                <w:szCs w:val="24"/>
                <w:lang w:val="uk-UA"/>
              </w:rPr>
              <w:t xml:space="preserve">Кіровоградська </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11,68</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10,81</w:t>
            </w:r>
          </w:p>
        </w:tc>
        <w:tc>
          <w:tcPr>
            <w:tcW w:w="836" w:type="dxa"/>
          </w:tcPr>
          <w:p w:rsidR="00F32158" w:rsidRPr="00F32158" w:rsidRDefault="00F32158" w:rsidP="00F32158">
            <w:pPr>
              <w:spacing w:line="276" w:lineRule="auto"/>
              <w:jc w:val="center"/>
              <w:rPr>
                <w:sz w:val="24"/>
                <w:szCs w:val="24"/>
                <w:lang w:val="uk-UA"/>
              </w:rPr>
            </w:pPr>
            <w:r w:rsidRPr="00F32158">
              <w:rPr>
                <w:sz w:val="24"/>
                <w:szCs w:val="24"/>
                <w:lang w:val="uk-UA"/>
              </w:rPr>
              <w:t>10,62</w:t>
            </w:r>
          </w:p>
        </w:tc>
        <w:tc>
          <w:tcPr>
            <w:tcW w:w="836" w:type="dxa"/>
          </w:tcPr>
          <w:p w:rsidR="00F32158" w:rsidRPr="00F32158" w:rsidRDefault="00F32158" w:rsidP="00F32158">
            <w:pPr>
              <w:spacing w:line="276" w:lineRule="auto"/>
              <w:jc w:val="center"/>
              <w:rPr>
                <w:sz w:val="24"/>
                <w:szCs w:val="24"/>
                <w:lang w:val="uk-UA"/>
              </w:rPr>
            </w:pPr>
            <w:r w:rsidRPr="00F32158">
              <w:rPr>
                <w:sz w:val="24"/>
                <w:szCs w:val="24"/>
                <w:lang w:val="uk-UA"/>
              </w:rPr>
              <w:t>13,40</w:t>
            </w:r>
          </w:p>
        </w:tc>
        <w:tc>
          <w:tcPr>
            <w:tcW w:w="696" w:type="dxa"/>
          </w:tcPr>
          <w:p w:rsidR="00F32158" w:rsidRPr="00F32158" w:rsidRDefault="00F32158" w:rsidP="00F32158">
            <w:pPr>
              <w:spacing w:line="276" w:lineRule="auto"/>
              <w:jc w:val="center"/>
              <w:rPr>
                <w:sz w:val="24"/>
                <w:szCs w:val="24"/>
                <w:lang w:val="uk-UA"/>
              </w:rPr>
            </w:pPr>
            <w:r w:rsidRPr="00F32158">
              <w:rPr>
                <w:sz w:val="24"/>
                <w:szCs w:val="24"/>
                <w:lang w:val="uk-UA"/>
              </w:rPr>
              <w:t>7,9</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6,29</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7,65</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8,04</w:t>
            </w:r>
          </w:p>
        </w:tc>
        <w:tc>
          <w:tcPr>
            <w:tcW w:w="716" w:type="dxa"/>
          </w:tcPr>
          <w:p w:rsidR="00F32158" w:rsidRPr="00F32158" w:rsidRDefault="00F32158" w:rsidP="00F32158">
            <w:pPr>
              <w:spacing w:line="276" w:lineRule="auto"/>
              <w:jc w:val="center"/>
              <w:rPr>
                <w:sz w:val="24"/>
                <w:szCs w:val="24"/>
                <w:lang w:val="uk-UA"/>
              </w:rPr>
            </w:pPr>
            <w:r w:rsidRPr="00F32158">
              <w:rPr>
                <w:sz w:val="24"/>
                <w:szCs w:val="24"/>
                <w:lang w:val="uk-UA"/>
              </w:rPr>
              <w:t>9,61</w:t>
            </w:r>
          </w:p>
        </w:tc>
        <w:tc>
          <w:tcPr>
            <w:tcW w:w="696" w:type="dxa"/>
          </w:tcPr>
          <w:p w:rsidR="00F32158" w:rsidRPr="00F32158" w:rsidRDefault="00F32158" w:rsidP="00F32158">
            <w:pPr>
              <w:spacing w:line="276" w:lineRule="auto"/>
              <w:jc w:val="center"/>
              <w:rPr>
                <w:sz w:val="24"/>
                <w:szCs w:val="24"/>
                <w:lang w:val="uk-UA"/>
              </w:rPr>
            </w:pPr>
            <w:r w:rsidRPr="00F32158">
              <w:rPr>
                <w:sz w:val="24"/>
                <w:szCs w:val="24"/>
                <w:lang w:val="uk-UA"/>
              </w:rPr>
              <w:t>7,9</w:t>
            </w:r>
          </w:p>
        </w:tc>
      </w:tr>
      <w:tr w:rsidR="00F32158" w:rsidRPr="00F32158" w:rsidTr="00BF1F99">
        <w:trPr>
          <w:jc w:val="center"/>
        </w:trPr>
        <w:tc>
          <w:tcPr>
            <w:tcW w:w="0" w:type="auto"/>
          </w:tcPr>
          <w:p w:rsidR="00F32158" w:rsidRPr="00F32158" w:rsidRDefault="00F32158" w:rsidP="00F32158">
            <w:pPr>
              <w:spacing w:line="276" w:lineRule="auto"/>
              <w:rPr>
                <w:sz w:val="24"/>
                <w:szCs w:val="24"/>
                <w:lang w:val="uk-UA"/>
              </w:rPr>
            </w:pPr>
            <w:r w:rsidRPr="00F32158">
              <w:rPr>
                <w:sz w:val="24"/>
                <w:szCs w:val="24"/>
                <w:lang w:val="uk-UA"/>
              </w:rPr>
              <w:t xml:space="preserve">Луганська </w:t>
            </w:r>
            <w:r w:rsidRPr="00F32158">
              <w:rPr>
                <w:sz w:val="24"/>
                <w:szCs w:val="24"/>
                <w:vertAlign w:val="superscript"/>
              </w:rPr>
              <w:t>1</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10,11</w:t>
            </w:r>
            <w:r w:rsidRPr="00F32158">
              <w:rPr>
                <w:b/>
                <w:sz w:val="24"/>
                <w:szCs w:val="24"/>
                <w:vertAlign w:val="superscript"/>
              </w:rPr>
              <w:t>1</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11,39</w:t>
            </w:r>
            <w:r w:rsidRPr="00F32158">
              <w:rPr>
                <w:b/>
                <w:sz w:val="24"/>
                <w:szCs w:val="24"/>
                <w:vertAlign w:val="superscript"/>
              </w:rPr>
              <w:t>1</w:t>
            </w:r>
          </w:p>
        </w:tc>
        <w:tc>
          <w:tcPr>
            <w:tcW w:w="836" w:type="dxa"/>
          </w:tcPr>
          <w:p w:rsidR="00F32158" w:rsidRPr="00F32158" w:rsidRDefault="00F32158" w:rsidP="00F32158">
            <w:pPr>
              <w:spacing w:line="276" w:lineRule="auto"/>
              <w:jc w:val="center"/>
              <w:rPr>
                <w:sz w:val="24"/>
                <w:szCs w:val="24"/>
                <w:lang w:val="uk-UA"/>
              </w:rPr>
            </w:pPr>
            <w:r w:rsidRPr="00F32158">
              <w:rPr>
                <w:sz w:val="24"/>
                <w:szCs w:val="24"/>
                <w:lang w:val="uk-UA"/>
              </w:rPr>
              <w:t>9,86</w:t>
            </w:r>
            <w:r w:rsidRPr="00F32158">
              <w:rPr>
                <w:b/>
                <w:sz w:val="24"/>
                <w:szCs w:val="24"/>
                <w:vertAlign w:val="superscript"/>
              </w:rPr>
              <w:t>1</w:t>
            </w:r>
          </w:p>
        </w:tc>
        <w:tc>
          <w:tcPr>
            <w:tcW w:w="836" w:type="dxa"/>
          </w:tcPr>
          <w:p w:rsidR="00F32158" w:rsidRPr="00F32158" w:rsidRDefault="00F32158" w:rsidP="00F32158">
            <w:pPr>
              <w:spacing w:line="276" w:lineRule="auto"/>
              <w:jc w:val="center"/>
              <w:rPr>
                <w:sz w:val="24"/>
                <w:szCs w:val="24"/>
                <w:lang w:val="uk-UA"/>
              </w:rPr>
            </w:pPr>
            <w:r w:rsidRPr="00F32158">
              <w:rPr>
                <w:sz w:val="24"/>
                <w:szCs w:val="24"/>
                <w:lang w:val="uk-UA"/>
              </w:rPr>
              <w:t>11,87</w:t>
            </w:r>
            <w:r w:rsidRPr="00F32158">
              <w:rPr>
                <w:b/>
                <w:sz w:val="24"/>
                <w:szCs w:val="24"/>
                <w:vertAlign w:val="superscript"/>
              </w:rPr>
              <w:t>1</w:t>
            </w:r>
          </w:p>
        </w:tc>
        <w:tc>
          <w:tcPr>
            <w:tcW w:w="696" w:type="dxa"/>
          </w:tcPr>
          <w:p w:rsidR="00F32158" w:rsidRPr="00F32158" w:rsidRDefault="00F32158" w:rsidP="00F32158">
            <w:pPr>
              <w:spacing w:line="276" w:lineRule="auto"/>
              <w:jc w:val="center"/>
              <w:rPr>
                <w:sz w:val="24"/>
                <w:szCs w:val="24"/>
                <w:lang w:val="uk-UA"/>
              </w:rPr>
            </w:pPr>
            <w:r w:rsidRPr="00F32158">
              <w:rPr>
                <w:sz w:val="24"/>
                <w:szCs w:val="24"/>
                <w:lang w:val="uk-UA"/>
              </w:rPr>
              <w:t>8,6</w:t>
            </w:r>
            <w:r w:rsidRPr="00F32158">
              <w:rPr>
                <w:b/>
                <w:sz w:val="24"/>
                <w:szCs w:val="24"/>
                <w:vertAlign w:val="superscript"/>
              </w:rPr>
              <w:t>1</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9,09</w:t>
            </w:r>
            <w:r w:rsidRPr="00F32158">
              <w:rPr>
                <w:b/>
                <w:sz w:val="24"/>
                <w:szCs w:val="24"/>
                <w:vertAlign w:val="superscript"/>
              </w:rPr>
              <w:t>1</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8,12</w:t>
            </w:r>
            <w:r w:rsidRPr="00F32158">
              <w:rPr>
                <w:b/>
                <w:sz w:val="24"/>
                <w:szCs w:val="24"/>
                <w:vertAlign w:val="superscript"/>
              </w:rPr>
              <w:t>1</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8,14</w:t>
            </w:r>
            <w:r w:rsidRPr="00F32158">
              <w:rPr>
                <w:b/>
                <w:sz w:val="24"/>
                <w:szCs w:val="24"/>
                <w:vertAlign w:val="superscript"/>
              </w:rPr>
              <w:t>1</w:t>
            </w:r>
          </w:p>
        </w:tc>
        <w:tc>
          <w:tcPr>
            <w:tcW w:w="716" w:type="dxa"/>
          </w:tcPr>
          <w:p w:rsidR="00F32158" w:rsidRPr="00F32158" w:rsidRDefault="00F32158" w:rsidP="00F32158">
            <w:pPr>
              <w:spacing w:line="276" w:lineRule="auto"/>
              <w:jc w:val="center"/>
              <w:rPr>
                <w:sz w:val="24"/>
                <w:szCs w:val="24"/>
                <w:lang w:val="uk-UA"/>
              </w:rPr>
            </w:pPr>
            <w:r w:rsidRPr="00F32158">
              <w:rPr>
                <w:sz w:val="24"/>
                <w:szCs w:val="24"/>
                <w:lang w:val="uk-UA"/>
              </w:rPr>
              <w:t>6,48</w:t>
            </w:r>
            <w:r w:rsidRPr="00F32158">
              <w:rPr>
                <w:b/>
                <w:sz w:val="24"/>
                <w:szCs w:val="24"/>
                <w:vertAlign w:val="superscript"/>
              </w:rPr>
              <w:t>1</w:t>
            </w:r>
          </w:p>
        </w:tc>
        <w:tc>
          <w:tcPr>
            <w:tcW w:w="696" w:type="dxa"/>
          </w:tcPr>
          <w:p w:rsidR="00F32158" w:rsidRPr="00F32158" w:rsidRDefault="00F32158" w:rsidP="00F32158">
            <w:pPr>
              <w:spacing w:line="276" w:lineRule="auto"/>
              <w:jc w:val="center"/>
              <w:rPr>
                <w:sz w:val="24"/>
                <w:szCs w:val="24"/>
                <w:lang w:val="uk-UA"/>
              </w:rPr>
            </w:pPr>
            <w:r w:rsidRPr="00F32158">
              <w:rPr>
                <w:sz w:val="24"/>
                <w:szCs w:val="24"/>
                <w:lang w:val="uk-UA"/>
              </w:rPr>
              <w:t>3,4</w:t>
            </w:r>
            <w:r w:rsidRPr="00F32158">
              <w:rPr>
                <w:b/>
                <w:sz w:val="24"/>
                <w:szCs w:val="24"/>
                <w:vertAlign w:val="superscript"/>
              </w:rPr>
              <w:t>1</w:t>
            </w:r>
          </w:p>
        </w:tc>
      </w:tr>
      <w:tr w:rsidR="00F32158" w:rsidRPr="00F32158" w:rsidTr="00BF1F99">
        <w:trPr>
          <w:jc w:val="center"/>
        </w:trPr>
        <w:tc>
          <w:tcPr>
            <w:tcW w:w="0" w:type="auto"/>
          </w:tcPr>
          <w:p w:rsidR="00F32158" w:rsidRPr="00F32158" w:rsidRDefault="00F32158" w:rsidP="00F32158">
            <w:pPr>
              <w:spacing w:line="276" w:lineRule="auto"/>
              <w:rPr>
                <w:sz w:val="24"/>
                <w:szCs w:val="24"/>
                <w:lang w:val="uk-UA"/>
              </w:rPr>
            </w:pPr>
            <w:r w:rsidRPr="00F32158">
              <w:rPr>
                <w:sz w:val="24"/>
                <w:szCs w:val="24"/>
                <w:lang w:val="uk-UA"/>
              </w:rPr>
              <w:t xml:space="preserve">Львівська </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9,38</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8,75</w:t>
            </w:r>
          </w:p>
        </w:tc>
        <w:tc>
          <w:tcPr>
            <w:tcW w:w="836" w:type="dxa"/>
          </w:tcPr>
          <w:p w:rsidR="00F32158" w:rsidRPr="00F32158" w:rsidRDefault="00F32158" w:rsidP="00F32158">
            <w:pPr>
              <w:spacing w:line="276" w:lineRule="auto"/>
              <w:jc w:val="center"/>
              <w:rPr>
                <w:sz w:val="24"/>
                <w:szCs w:val="24"/>
                <w:lang w:val="uk-UA"/>
              </w:rPr>
            </w:pPr>
            <w:r w:rsidRPr="00F32158">
              <w:rPr>
                <w:sz w:val="24"/>
                <w:szCs w:val="24"/>
                <w:lang w:val="uk-UA"/>
              </w:rPr>
              <w:t>7,59</w:t>
            </w:r>
          </w:p>
        </w:tc>
        <w:tc>
          <w:tcPr>
            <w:tcW w:w="836" w:type="dxa"/>
          </w:tcPr>
          <w:p w:rsidR="00F32158" w:rsidRPr="00F32158" w:rsidRDefault="00F32158" w:rsidP="00F32158">
            <w:pPr>
              <w:spacing w:line="276" w:lineRule="auto"/>
              <w:jc w:val="center"/>
              <w:rPr>
                <w:sz w:val="24"/>
                <w:szCs w:val="24"/>
                <w:lang w:val="uk-UA"/>
              </w:rPr>
            </w:pPr>
            <w:r w:rsidRPr="00F32158">
              <w:rPr>
                <w:sz w:val="24"/>
                <w:szCs w:val="24"/>
                <w:lang w:val="uk-UA"/>
              </w:rPr>
              <w:t>10,63</w:t>
            </w:r>
          </w:p>
        </w:tc>
        <w:tc>
          <w:tcPr>
            <w:tcW w:w="696" w:type="dxa"/>
          </w:tcPr>
          <w:p w:rsidR="00F32158" w:rsidRPr="00F32158" w:rsidRDefault="00F32158" w:rsidP="00F32158">
            <w:pPr>
              <w:spacing w:line="276" w:lineRule="auto"/>
              <w:jc w:val="center"/>
              <w:rPr>
                <w:sz w:val="24"/>
                <w:szCs w:val="24"/>
                <w:lang w:val="uk-UA"/>
              </w:rPr>
            </w:pPr>
            <w:r w:rsidRPr="00F32158">
              <w:rPr>
                <w:sz w:val="24"/>
                <w:szCs w:val="24"/>
                <w:lang w:val="uk-UA"/>
              </w:rPr>
              <w:t>7,8</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7,53</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7,71</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5,78</w:t>
            </w:r>
          </w:p>
        </w:tc>
        <w:tc>
          <w:tcPr>
            <w:tcW w:w="716" w:type="dxa"/>
          </w:tcPr>
          <w:p w:rsidR="00F32158" w:rsidRPr="00F32158" w:rsidRDefault="00F32158" w:rsidP="00F32158">
            <w:pPr>
              <w:spacing w:line="276" w:lineRule="auto"/>
              <w:jc w:val="center"/>
              <w:rPr>
                <w:sz w:val="24"/>
                <w:szCs w:val="24"/>
                <w:lang w:val="uk-UA"/>
              </w:rPr>
            </w:pPr>
            <w:r w:rsidRPr="00F32158">
              <w:rPr>
                <w:sz w:val="24"/>
                <w:szCs w:val="24"/>
                <w:lang w:val="uk-UA"/>
              </w:rPr>
              <w:t>7,69</w:t>
            </w:r>
          </w:p>
        </w:tc>
        <w:tc>
          <w:tcPr>
            <w:tcW w:w="696" w:type="dxa"/>
          </w:tcPr>
          <w:p w:rsidR="00F32158" w:rsidRPr="00F32158" w:rsidRDefault="00F32158" w:rsidP="00F32158">
            <w:pPr>
              <w:spacing w:line="276" w:lineRule="auto"/>
              <w:jc w:val="center"/>
              <w:rPr>
                <w:sz w:val="24"/>
                <w:szCs w:val="24"/>
                <w:lang w:val="uk-UA"/>
              </w:rPr>
            </w:pPr>
            <w:r w:rsidRPr="00F32158">
              <w:rPr>
                <w:sz w:val="24"/>
                <w:szCs w:val="24"/>
                <w:lang w:val="uk-UA"/>
              </w:rPr>
              <w:t>6,1</w:t>
            </w:r>
          </w:p>
        </w:tc>
      </w:tr>
      <w:tr w:rsidR="00F32158" w:rsidRPr="00F32158" w:rsidTr="00BF1F99">
        <w:trPr>
          <w:jc w:val="center"/>
        </w:trPr>
        <w:tc>
          <w:tcPr>
            <w:tcW w:w="0" w:type="auto"/>
          </w:tcPr>
          <w:p w:rsidR="00F32158" w:rsidRPr="00F32158" w:rsidRDefault="00F32158" w:rsidP="00F32158">
            <w:pPr>
              <w:spacing w:line="276" w:lineRule="auto"/>
              <w:rPr>
                <w:sz w:val="24"/>
                <w:szCs w:val="24"/>
                <w:lang w:val="uk-UA"/>
              </w:rPr>
            </w:pPr>
            <w:r w:rsidRPr="00F32158">
              <w:rPr>
                <w:sz w:val="24"/>
                <w:szCs w:val="24"/>
                <w:lang w:val="uk-UA"/>
              </w:rPr>
              <w:t xml:space="preserve">Миколаївська </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6,62</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6,25</w:t>
            </w:r>
          </w:p>
        </w:tc>
        <w:tc>
          <w:tcPr>
            <w:tcW w:w="836" w:type="dxa"/>
          </w:tcPr>
          <w:p w:rsidR="00F32158" w:rsidRPr="00F32158" w:rsidRDefault="00F32158" w:rsidP="00F32158">
            <w:pPr>
              <w:spacing w:line="276" w:lineRule="auto"/>
              <w:jc w:val="center"/>
              <w:rPr>
                <w:sz w:val="24"/>
                <w:szCs w:val="24"/>
                <w:lang w:val="uk-UA"/>
              </w:rPr>
            </w:pPr>
            <w:r w:rsidRPr="00F32158">
              <w:rPr>
                <w:sz w:val="24"/>
                <w:szCs w:val="24"/>
                <w:lang w:val="uk-UA"/>
              </w:rPr>
              <w:t>9,32</w:t>
            </w:r>
          </w:p>
        </w:tc>
        <w:tc>
          <w:tcPr>
            <w:tcW w:w="836" w:type="dxa"/>
          </w:tcPr>
          <w:p w:rsidR="00F32158" w:rsidRPr="00F32158" w:rsidRDefault="00F32158" w:rsidP="00F32158">
            <w:pPr>
              <w:spacing w:line="276" w:lineRule="auto"/>
              <w:jc w:val="center"/>
              <w:rPr>
                <w:sz w:val="24"/>
                <w:szCs w:val="24"/>
                <w:lang w:val="uk-UA"/>
              </w:rPr>
            </w:pPr>
            <w:r w:rsidRPr="00F32158">
              <w:rPr>
                <w:sz w:val="24"/>
                <w:szCs w:val="24"/>
                <w:lang w:val="uk-UA"/>
              </w:rPr>
              <w:t>5,87</w:t>
            </w:r>
          </w:p>
        </w:tc>
        <w:tc>
          <w:tcPr>
            <w:tcW w:w="696" w:type="dxa"/>
          </w:tcPr>
          <w:p w:rsidR="00F32158" w:rsidRPr="00F32158" w:rsidRDefault="00F32158" w:rsidP="00F32158">
            <w:pPr>
              <w:spacing w:line="276" w:lineRule="auto"/>
              <w:jc w:val="center"/>
              <w:rPr>
                <w:sz w:val="24"/>
                <w:szCs w:val="24"/>
                <w:lang w:val="uk-UA"/>
              </w:rPr>
            </w:pPr>
            <w:r w:rsidRPr="00F32158">
              <w:rPr>
                <w:sz w:val="24"/>
                <w:szCs w:val="24"/>
                <w:lang w:val="uk-UA"/>
              </w:rPr>
              <w:t>7,7</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8,13</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6,15</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6,78</w:t>
            </w:r>
          </w:p>
        </w:tc>
        <w:tc>
          <w:tcPr>
            <w:tcW w:w="716" w:type="dxa"/>
          </w:tcPr>
          <w:p w:rsidR="00F32158" w:rsidRPr="00F32158" w:rsidRDefault="00F32158" w:rsidP="00F32158">
            <w:pPr>
              <w:spacing w:line="276" w:lineRule="auto"/>
              <w:jc w:val="center"/>
              <w:rPr>
                <w:sz w:val="24"/>
                <w:szCs w:val="24"/>
                <w:lang w:val="uk-UA"/>
              </w:rPr>
            </w:pPr>
            <w:r w:rsidRPr="00F32158">
              <w:rPr>
                <w:sz w:val="24"/>
                <w:szCs w:val="24"/>
                <w:lang w:val="uk-UA"/>
              </w:rPr>
              <w:t>6,07</w:t>
            </w:r>
          </w:p>
        </w:tc>
        <w:tc>
          <w:tcPr>
            <w:tcW w:w="696" w:type="dxa"/>
          </w:tcPr>
          <w:p w:rsidR="00F32158" w:rsidRPr="00F32158" w:rsidRDefault="00F32158" w:rsidP="00F32158">
            <w:pPr>
              <w:spacing w:line="276" w:lineRule="auto"/>
              <w:jc w:val="center"/>
              <w:rPr>
                <w:sz w:val="24"/>
                <w:szCs w:val="24"/>
                <w:lang w:val="uk-UA"/>
              </w:rPr>
            </w:pPr>
            <w:r w:rsidRPr="00F32158">
              <w:rPr>
                <w:sz w:val="24"/>
                <w:szCs w:val="24"/>
                <w:lang w:val="uk-UA"/>
              </w:rPr>
              <w:t>8,2</w:t>
            </w:r>
          </w:p>
        </w:tc>
      </w:tr>
      <w:tr w:rsidR="00F32158" w:rsidRPr="00F32158" w:rsidTr="00BF1F99">
        <w:trPr>
          <w:jc w:val="center"/>
        </w:trPr>
        <w:tc>
          <w:tcPr>
            <w:tcW w:w="0" w:type="auto"/>
          </w:tcPr>
          <w:p w:rsidR="00F32158" w:rsidRPr="00F32158" w:rsidRDefault="00F32158" w:rsidP="00F32158">
            <w:pPr>
              <w:spacing w:line="276" w:lineRule="auto"/>
              <w:rPr>
                <w:sz w:val="24"/>
                <w:szCs w:val="24"/>
                <w:lang w:val="uk-UA"/>
              </w:rPr>
            </w:pPr>
            <w:r w:rsidRPr="00F32158">
              <w:rPr>
                <w:sz w:val="24"/>
                <w:szCs w:val="24"/>
                <w:lang w:val="uk-UA"/>
              </w:rPr>
              <w:t xml:space="preserve">Одеська </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7,45</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9,02</w:t>
            </w:r>
          </w:p>
        </w:tc>
        <w:tc>
          <w:tcPr>
            <w:tcW w:w="836" w:type="dxa"/>
          </w:tcPr>
          <w:p w:rsidR="00F32158" w:rsidRPr="00F32158" w:rsidRDefault="00F32158" w:rsidP="00F32158">
            <w:pPr>
              <w:spacing w:line="276" w:lineRule="auto"/>
              <w:jc w:val="center"/>
              <w:rPr>
                <w:sz w:val="24"/>
                <w:szCs w:val="24"/>
                <w:lang w:val="uk-UA"/>
              </w:rPr>
            </w:pPr>
            <w:r w:rsidRPr="00F32158">
              <w:rPr>
                <w:sz w:val="24"/>
                <w:szCs w:val="24"/>
                <w:lang w:val="uk-UA"/>
              </w:rPr>
              <w:t>9,15</w:t>
            </w:r>
          </w:p>
        </w:tc>
        <w:tc>
          <w:tcPr>
            <w:tcW w:w="836" w:type="dxa"/>
          </w:tcPr>
          <w:p w:rsidR="00F32158" w:rsidRPr="00F32158" w:rsidRDefault="00F32158" w:rsidP="00F32158">
            <w:pPr>
              <w:spacing w:line="276" w:lineRule="auto"/>
              <w:jc w:val="center"/>
              <w:rPr>
                <w:sz w:val="24"/>
                <w:szCs w:val="24"/>
                <w:lang w:val="uk-UA"/>
              </w:rPr>
            </w:pPr>
            <w:r w:rsidRPr="00F32158">
              <w:rPr>
                <w:sz w:val="24"/>
                <w:szCs w:val="24"/>
                <w:lang w:val="uk-UA"/>
              </w:rPr>
              <w:t>9,43</w:t>
            </w:r>
          </w:p>
        </w:tc>
        <w:tc>
          <w:tcPr>
            <w:tcW w:w="696" w:type="dxa"/>
          </w:tcPr>
          <w:p w:rsidR="00F32158" w:rsidRPr="00F32158" w:rsidRDefault="00F32158" w:rsidP="00F32158">
            <w:pPr>
              <w:spacing w:line="276" w:lineRule="auto"/>
              <w:jc w:val="center"/>
              <w:rPr>
                <w:sz w:val="24"/>
                <w:szCs w:val="24"/>
                <w:lang w:val="uk-UA"/>
              </w:rPr>
            </w:pPr>
            <w:r w:rsidRPr="00F32158">
              <w:rPr>
                <w:sz w:val="24"/>
                <w:szCs w:val="24"/>
                <w:lang w:val="uk-UA"/>
              </w:rPr>
              <w:t>8,3</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6,52</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7,38</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6,64</w:t>
            </w:r>
          </w:p>
        </w:tc>
        <w:tc>
          <w:tcPr>
            <w:tcW w:w="716" w:type="dxa"/>
          </w:tcPr>
          <w:p w:rsidR="00F32158" w:rsidRPr="00F32158" w:rsidRDefault="00F32158" w:rsidP="00F32158">
            <w:pPr>
              <w:spacing w:line="276" w:lineRule="auto"/>
              <w:jc w:val="center"/>
              <w:rPr>
                <w:sz w:val="24"/>
                <w:szCs w:val="24"/>
                <w:lang w:val="uk-UA"/>
              </w:rPr>
            </w:pPr>
            <w:r w:rsidRPr="00F32158">
              <w:rPr>
                <w:sz w:val="24"/>
                <w:szCs w:val="24"/>
                <w:lang w:val="uk-UA"/>
              </w:rPr>
              <w:t>7,70</w:t>
            </w:r>
          </w:p>
        </w:tc>
        <w:tc>
          <w:tcPr>
            <w:tcW w:w="696" w:type="dxa"/>
          </w:tcPr>
          <w:p w:rsidR="00F32158" w:rsidRPr="00F32158" w:rsidRDefault="00F32158" w:rsidP="00F32158">
            <w:pPr>
              <w:spacing w:line="276" w:lineRule="auto"/>
              <w:jc w:val="center"/>
              <w:rPr>
                <w:sz w:val="24"/>
                <w:szCs w:val="24"/>
                <w:lang w:val="uk-UA"/>
              </w:rPr>
            </w:pPr>
            <w:r w:rsidRPr="00F32158">
              <w:rPr>
                <w:sz w:val="24"/>
                <w:szCs w:val="24"/>
                <w:lang w:val="uk-UA"/>
              </w:rPr>
              <w:t>6,8</w:t>
            </w:r>
          </w:p>
        </w:tc>
      </w:tr>
      <w:tr w:rsidR="00F32158" w:rsidRPr="00F32158" w:rsidTr="00BF1F99">
        <w:trPr>
          <w:jc w:val="center"/>
        </w:trPr>
        <w:tc>
          <w:tcPr>
            <w:tcW w:w="0" w:type="auto"/>
          </w:tcPr>
          <w:p w:rsidR="00F32158" w:rsidRPr="00F32158" w:rsidRDefault="00F32158" w:rsidP="00F32158">
            <w:pPr>
              <w:spacing w:line="276" w:lineRule="auto"/>
              <w:rPr>
                <w:sz w:val="24"/>
                <w:szCs w:val="24"/>
                <w:lang w:val="uk-UA"/>
              </w:rPr>
            </w:pPr>
            <w:r w:rsidRPr="00F32158">
              <w:rPr>
                <w:sz w:val="24"/>
                <w:szCs w:val="24"/>
                <w:lang w:val="uk-UA"/>
              </w:rPr>
              <w:t xml:space="preserve">Полтавська </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7,20</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6,36</w:t>
            </w:r>
          </w:p>
        </w:tc>
        <w:tc>
          <w:tcPr>
            <w:tcW w:w="836" w:type="dxa"/>
          </w:tcPr>
          <w:p w:rsidR="00F32158" w:rsidRPr="00F32158" w:rsidRDefault="00F32158" w:rsidP="00F32158">
            <w:pPr>
              <w:spacing w:line="276" w:lineRule="auto"/>
              <w:jc w:val="center"/>
              <w:rPr>
                <w:sz w:val="24"/>
                <w:szCs w:val="24"/>
                <w:lang w:val="uk-UA"/>
              </w:rPr>
            </w:pPr>
            <w:r w:rsidRPr="00F32158">
              <w:rPr>
                <w:sz w:val="24"/>
                <w:szCs w:val="24"/>
                <w:lang w:val="uk-UA"/>
              </w:rPr>
              <w:t>6,29</w:t>
            </w:r>
          </w:p>
        </w:tc>
        <w:tc>
          <w:tcPr>
            <w:tcW w:w="836" w:type="dxa"/>
          </w:tcPr>
          <w:p w:rsidR="00F32158" w:rsidRPr="00F32158" w:rsidRDefault="00F32158" w:rsidP="00F32158">
            <w:pPr>
              <w:spacing w:line="276" w:lineRule="auto"/>
              <w:jc w:val="center"/>
              <w:rPr>
                <w:sz w:val="24"/>
                <w:szCs w:val="24"/>
                <w:lang w:val="uk-UA"/>
              </w:rPr>
            </w:pPr>
            <w:r w:rsidRPr="00F32158">
              <w:rPr>
                <w:sz w:val="24"/>
                <w:szCs w:val="24"/>
                <w:lang w:val="uk-UA"/>
              </w:rPr>
              <w:t>4,50</w:t>
            </w:r>
          </w:p>
        </w:tc>
        <w:tc>
          <w:tcPr>
            <w:tcW w:w="696" w:type="dxa"/>
          </w:tcPr>
          <w:p w:rsidR="00F32158" w:rsidRPr="00F32158" w:rsidRDefault="00F32158" w:rsidP="00F32158">
            <w:pPr>
              <w:spacing w:line="276" w:lineRule="auto"/>
              <w:jc w:val="center"/>
              <w:rPr>
                <w:sz w:val="24"/>
                <w:szCs w:val="24"/>
                <w:lang w:val="uk-UA"/>
              </w:rPr>
            </w:pPr>
            <w:r w:rsidRPr="00F32158">
              <w:rPr>
                <w:sz w:val="24"/>
                <w:szCs w:val="24"/>
                <w:lang w:val="uk-UA"/>
              </w:rPr>
              <w:t>6,2</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7,87</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5,21</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5,39</w:t>
            </w:r>
          </w:p>
        </w:tc>
        <w:tc>
          <w:tcPr>
            <w:tcW w:w="716" w:type="dxa"/>
          </w:tcPr>
          <w:p w:rsidR="00F32158" w:rsidRPr="00F32158" w:rsidRDefault="00F32158" w:rsidP="00F32158">
            <w:pPr>
              <w:spacing w:line="276" w:lineRule="auto"/>
              <w:jc w:val="center"/>
              <w:rPr>
                <w:sz w:val="24"/>
                <w:szCs w:val="24"/>
                <w:lang w:val="uk-UA"/>
              </w:rPr>
            </w:pPr>
            <w:r w:rsidRPr="00F32158">
              <w:rPr>
                <w:sz w:val="24"/>
                <w:szCs w:val="24"/>
                <w:lang w:val="uk-UA"/>
              </w:rPr>
              <w:t>3,71</w:t>
            </w:r>
          </w:p>
        </w:tc>
        <w:tc>
          <w:tcPr>
            <w:tcW w:w="696" w:type="dxa"/>
          </w:tcPr>
          <w:p w:rsidR="00F32158" w:rsidRPr="00F32158" w:rsidRDefault="00F32158" w:rsidP="00F32158">
            <w:pPr>
              <w:spacing w:line="276" w:lineRule="auto"/>
              <w:jc w:val="center"/>
              <w:rPr>
                <w:sz w:val="24"/>
                <w:szCs w:val="24"/>
                <w:lang w:val="uk-UA"/>
              </w:rPr>
            </w:pPr>
            <w:r w:rsidRPr="00F32158">
              <w:rPr>
                <w:sz w:val="24"/>
                <w:szCs w:val="24"/>
                <w:lang w:val="uk-UA"/>
              </w:rPr>
              <w:t>3,8</w:t>
            </w:r>
          </w:p>
        </w:tc>
      </w:tr>
      <w:tr w:rsidR="00F32158" w:rsidRPr="00F32158" w:rsidTr="00BF1F99">
        <w:trPr>
          <w:jc w:val="center"/>
        </w:trPr>
        <w:tc>
          <w:tcPr>
            <w:tcW w:w="0" w:type="auto"/>
          </w:tcPr>
          <w:p w:rsidR="00F32158" w:rsidRPr="00F32158" w:rsidRDefault="00F32158" w:rsidP="00F32158">
            <w:pPr>
              <w:spacing w:line="276" w:lineRule="auto"/>
              <w:rPr>
                <w:sz w:val="24"/>
                <w:szCs w:val="24"/>
                <w:lang w:val="uk-UA"/>
              </w:rPr>
            </w:pPr>
            <w:r w:rsidRPr="00F32158">
              <w:rPr>
                <w:sz w:val="24"/>
                <w:szCs w:val="24"/>
                <w:lang w:val="uk-UA"/>
              </w:rPr>
              <w:t xml:space="preserve">Рівненська </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9,87</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10,16</w:t>
            </w:r>
          </w:p>
        </w:tc>
        <w:tc>
          <w:tcPr>
            <w:tcW w:w="836" w:type="dxa"/>
          </w:tcPr>
          <w:p w:rsidR="00F32158" w:rsidRPr="00F32158" w:rsidRDefault="00F32158" w:rsidP="00F32158">
            <w:pPr>
              <w:spacing w:line="276" w:lineRule="auto"/>
              <w:jc w:val="center"/>
              <w:rPr>
                <w:sz w:val="24"/>
                <w:szCs w:val="24"/>
                <w:lang w:val="uk-UA"/>
              </w:rPr>
            </w:pPr>
            <w:r w:rsidRPr="00F32158">
              <w:rPr>
                <w:sz w:val="24"/>
                <w:szCs w:val="24"/>
                <w:lang w:val="uk-UA"/>
              </w:rPr>
              <w:t>9,67</w:t>
            </w:r>
          </w:p>
        </w:tc>
        <w:tc>
          <w:tcPr>
            <w:tcW w:w="836" w:type="dxa"/>
          </w:tcPr>
          <w:p w:rsidR="00F32158" w:rsidRPr="00F32158" w:rsidRDefault="00F32158" w:rsidP="00F32158">
            <w:pPr>
              <w:spacing w:line="276" w:lineRule="auto"/>
              <w:jc w:val="center"/>
              <w:rPr>
                <w:sz w:val="24"/>
                <w:szCs w:val="24"/>
                <w:lang w:val="uk-UA"/>
              </w:rPr>
            </w:pPr>
            <w:r w:rsidRPr="00F32158">
              <w:rPr>
                <w:sz w:val="24"/>
                <w:szCs w:val="24"/>
                <w:lang w:val="uk-UA"/>
              </w:rPr>
              <w:t>8,06</w:t>
            </w:r>
          </w:p>
        </w:tc>
        <w:tc>
          <w:tcPr>
            <w:tcW w:w="696" w:type="dxa"/>
          </w:tcPr>
          <w:p w:rsidR="00F32158" w:rsidRPr="00F32158" w:rsidRDefault="00F32158" w:rsidP="00F32158">
            <w:pPr>
              <w:spacing w:line="276" w:lineRule="auto"/>
              <w:jc w:val="center"/>
              <w:rPr>
                <w:sz w:val="24"/>
                <w:szCs w:val="24"/>
                <w:lang w:val="uk-UA"/>
              </w:rPr>
            </w:pPr>
            <w:r w:rsidRPr="00F32158">
              <w:rPr>
                <w:sz w:val="24"/>
                <w:szCs w:val="24"/>
                <w:lang w:val="uk-UA"/>
              </w:rPr>
              <w:t>6,0</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6,06</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6,78</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6,89</w:t>
            </w:r>
          </w:p>
        </w:tc>
        <w:tc>
          <w:tcPr>
            <w:tcW w:w="716" w:type="dxa"/>
          </w:tcPr>
          <w:p w:rsidR="00F32158" w:rsidRPr="00F32158" w:rsidRDefault="00F32158" w:rsidP="00F32158">
            <w:pPr>
              <w:spacing w:line="276" w:lineRule="auto"/>
              <w:jc w:val="center"/>
              <w:rPr>
                <w:sz w:val="24"/>
                <w:szCs w:val="24"/>
                <w:lang w:val="uk-UA"/>
              </w:rPr>
            </w:pPr>
            <w:r w:rsidRPr="00F32158">
              <w:rPr>
                <w:sz w:val="24"/>
                <w:szCs w:val="24"/>
                <w:lang w:val="uk-UA"/>
              </w:rPr>
              <w:t>8,49</w:t>
            </w:r>
          </w:p>
        </w:tc>
        <w:tc>
          <w:tcPr>
            <w:tcW w:w="696" w:type="dxa"/>
          </w:tcPr>
          <w:p w:rsidR="00F32158" w:rsidRPr="00F32158" w:rsidRDefault="00F32158" w:rsidP="00F32158">
            <w:pPr>
              <w:spacing w:line="276" w:lineRule="auto"/>
              <w:jc w:val="center"/>
              <w:rPr>
                <w:sz w:val="24"/>
                <w:szCs w:val="24"/>
                <w:lang w:val="uk-UA"/>
              </w:rPr>
            </w:pPr>
            <w:r w:rsidRPr="00F32158">
              <w:rPr>
                <w:sz w:val="24"/>
                <w:szCs w:val="24"/>
                <w:lang w:val="uk-UA"/>
              </w:rPr>
              <w:t>6,8</w:t>
            </w:r>
          </w:p>
        </w:tc>
      </w:tr>
      <w:tr w:rsidR="00F32158" w:rsidRPr="00F32158" w:rsidTr="00BF1F99">
        <w:trPr>
          <w:jc w:val="center"/>
        </w:trPr>
        <w:tc>
          <w:tcPr>
            <w:tcW w:w="0" w:type="auto"/>
          </w:tcPr>
          <w:p w:rsidR="00F32158" w:rsidRPr="00F32158" w:rsidRDefault="00F32158" w:rsidP="00F32158">
            <w:pPr>
              <w:spacing w:line="276" w:lineRule="auto"/>
              <w:rPr>
                <w:sz w:val="24"/>
                <w:szCs w:val="24"/>
                <w:lang w:val="uk-UA"/>
              </w:rPr>
            </w:pPr>
            <w:r w:rsidRPr="00F32158">
              <w:rPr>
                <w:sz w:val="24"/>
                <w:szCs w:val="24"/>
                <w:lang w:val="uk-UA"/>
              </w:rPr>
              <w:t xml:space="preserve">Сумська </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6,96</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8,53</w:t>
            </w:r>
          </w:p>
        </w:tc>
        <w:tc>
          <w:tcPr>
            <w:tcW w:w="836" w:type="dxa"/>
          </w:tcPr>
          <w:p w:rsidR="00F32158" w:rsidRPr="00F32158" w:rsidRDefault="00F32158" w:rsidP="00F32158">
            <w:pPr>
              <w:spacing w:line="276" w:lineRule="auto"/>
              <w:jc w:val="center"/>
              <w:rPr>
                <w:sz w:val="24"/>
                <w:szCs w:val="24"/>
                <w:lang w:val="uk-UA"/>
              </w:rPr>
            </w:pPr>
            <w:r w:rsidRPr="00F32158">
              <w:rPr>
                <w:sz w:val="24"/>
                <w:szCs w:val="24"/>
                <w:lang w:val="uk-UA"/>
              </w:rPr>
              <w:t>8,14</w:t>
            </w:r>
          </w:p>
        </w:tc>
        <w:tc>
          <w:tcPr>
            <w:tcW w:w="836" w:type="dxa"/>
          </w:tcPr>
          <w:p w:rsidR="00F32158" w:rsidRPr="00F32158" w:rsidRDefault="00F32158" w:rsidP="00F32158">
            <w:pPr>
              <w:spacing w:line="276" w:lineRule="auto"/>
              <w:jc w:val="center"/>
              <w:rPr>
                <w:sz w:val="24"/>
                <w:szCs w:val="24"/>
                <w:lang w:val="uk-UA"/>
              </w:rPr>
            </w:pPr>
            <w:r w:rsidRPr="00F32158">
              <w:rPr>
                <w:sz w:val="24"/>
                <w:szCs w:val="24"/>
                <w:lang w:val="uk-UA"/>
              </w:rPr>
              <w:t>6,25</w:t>
            </w:r>
          </w:p>
        </w:tc>
        <w:tc>
          <w:tcPr>
            <w:tcW w:w="696" w:type="dxa"/>
          </w:tcPr>
          <w:p w:rsidR="00F32158" w:rsidRPr="00F32158" w:rsidRDefault="00F32158" w:rsidP="00F32158">
            <w:pPr>
              <w:spacing w:line="276" w:lineRule="auto"/>
              <w:jc w:val="center"/>
              <w:rPr>
                <w:sz w:val="24"/>
                <w:szCs w:val="24"/>
                <w:lang w:val="uk-UA"/>
              </w:rPr>
            </w:pPr>
            <w:r w:rsidRPr="00F32158">
              <w:rPr>
                <w:sz w:val="24"/>
                <w:szCs w:val="24"/>
                <w:lang w:val="uk-UA"/>
              </w:rPr>
              <w:t>4,7</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6,34</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6,83</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4,64</w:t>
            </w:r>
          </w:p>
        </w:tc>
        <w:tc>
          <w:tcPr>
            <w:tcW w:w="716" w:type="dxa"/>
          </w:tcPr>
          <w:p w:rsidR="00F32158" w:rsidRPr="00F32158" w:rsidRDefault="00F32158" w:rsidP="00F32158">
            <w:pPr>
              <w:spacing w:line="276" w:lineRule="auto"/>
              <w:jc w:val="center"/>
              <w:rPr>
                <w:sz w:val="24"/>
                <w:szCs w:val="24"/>
                <w:lang w:val="uk-UA"/>
              </w:rPr>
            </w:pPr>
            <w:r w:rsidRPr="00F32158">
              <w:rPr>
                <w:sz w:val="24"/>
                <w:szCs w:val="24"/>
                <w:lang w:val="uk-UA"/>
              </w:rPr>
              <w:t>7,14</w:t>
            </w:r>
          </w:p>
        </w:tc>
        <w:tc>
          <w:tcPr>
            <w:tcW w:w="696" w:type="dxa"/>
          </w:tcPr>
          <w:p w:rsidR="00F32158" w:rsidRPr="00F32158" w:rsidRDefault="00F32158" w:rsidP="00F32158">
            <w:pPr>
              <w:spacing w:line="276" w:lineRule="auto"/>
              <w:jc w:val="center"/>
              <w:rPr>
                <w:sz w:val="24"/>
                <w:szCs w:val="24"/>
                <w:lang w:val="uk-UA"/>
              </w:rPr>
            </w:pPr>
            <w:r w:rsidRPr="00F32158">
              <w:rPr>
                <w:sz w:val="24"/>
                <w:szCs w:val="24"/>
                <w:lang w:val="uk-UA"/>
              </w:rPr>
              <w:t>4,3</w:t>
            </w:r>
          </w:p>
        </w:tc>
      </w:tr>
      <w:tr w:rsidR="00F32158" w:rsidRPr="00F32158" w:rsidTr="00BF1F99">
        <w:trPr>
          <w:jc w:val="center"/>
        </w:trPr>
        <w:tc>
          <w:tcPr>
            <w:tcW w:w="0" w:type="auto"/>
          </w:tcPr>
          <w:p w:rsidR="00F32158" w:rsidRPr="00F32158" w:rsidRDefault="00F32158" w:rsidP="00F32158">
            <w:pPr>
              <w:spacing w:line="276" w:lineRule="auto"/>
              <w:rPr>
                <w:sz w:val="24"/>
                <w:szCs w:val="24"/>
                <w:lang w:val="uk-UA"/>
              </w:rPr>
            </w:pPr>
            <w:r w:rsidRPr="00F32158">
              <w:rPr>
                <w:sz w:val="24"/>
                <w:szCs w:val="24"/>
                <w:lang w:val="uk-UA"/>
              </w:rPr>
              <w:t xml:space="preserve">Тернопільська </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8,97</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7,68</w:t>
            </w:r>
          </w:p>
        </w:tc>
        <w:tc>
          <w:tcPr>
            <w:tcW w:w="836" w:type="dxa"/>
          </w:tcPr>
          <w:p w:rsidR="00F32158" w:rsidRPr="00F32158" w:rsidRDefault="00F32158" w:rsidP="00F32158">
            <w:pPr>
              <w:spacing w:line="276" w:lineRule="auto"/>
              <w:jc w:val="center"/>
              <w:rPr>
                <w:sz w:val="24"/>
                <w:szCs w:val="24"/>
                <w:lang w:val="uk-UA"/>
              </w:rPr>
            </w:pPr>
            <w:r w:rsidRPr="00F32158">
              <w:rPr>
                <w:sz w:val="24"/>
                <w:szCs w:val="24"/>
                <w:lang w:val="uk-UA"/>
              </w:rPr>
              <w:t>5,80</w:t>
            </w:r>
          </w:p>
        </w:tc>
        <w:tc>
          <w:tcPr>
            <w:tcW w:w="836" w:type="dxa"/>
          </w:tcPr>
          <w:p w:rsidR="00F32158" w:rsidRPr="00F32158" w:rsidRDefault="00F32158" w:rsidP="00F32158">
            <w:pPr>
              <w:spacing w:line="276" w:lineRule="auto"/>
              <w:jc w:val="center"/>
              <w:rPr>
                <w:sz w:val="24"/>
                <w:szCs w:val="24"/>
                <w:lang w:val="uk-UA"/>
              </w:rPr>
            </w:pPr>
            <w:r w:rsidRPr="00F32158">
              <w:rPr>
                <w:sz w:val="24"/>
                <w:szCs w:val="24"/>
                <w:lang w:val="uk-UA"/>
              </w:rPr>
              <w:t>9,07</w:t>
            </w:r>
          </w:p>
        </w:tc>
        <w:tc>
          <w:tcPr>
            <w:tcW w:w="696" w:type="dxa"/>
          </w:tcPr>
          <w:p w:rsidR="00F32158" w:rsidRPr="00F32158" w:rsidRDefault="00F32158" w:rsidP="00F32158">
            <w:pPr>
              <w:spacing w:line="276" w:lineRule="auto"/>
              <w:jc w:val="center"/>
              <w:rPr>
                <w:sz w:val="24"/>
                <w:szCs w:val="24"/>
                <w:lang w:val="uk-UA"/>
              </w:rPr>
            </w:pPr>
            <w:r w:rsidRPr="00F32158">
              <w:rPr>
                <w:sz w:val="24"/>
                <w:szCs w:val="24"/>
                <w:lang w:val="uk-UA"/>
              </w:rPr>
              <w:t>7,0</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6,13</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7,32</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4,51</w:t>
            </w:r>
          </w:p>
        </w:tc>
        <w:tc>
          <w:tcPr>
            <w:tcW w:w="716" w:type="dxa"/>
          </w:tcPr>
          <w:p w:rsidR="00F32158" w:rsidRPr="00F32158" w:rsidRDefault="00F32158" w:rsidP="00F32158">
            <w:pPr>
              <w:spacing w:line="276" w:lineRule="auto"/>
              <w:jc w:val="center"/>
              <w:rPr>
                <w:sz w:val="24"/>
                <w:szCs w:val="24"/>
                <w:lang w:val="uk-UA"/>
              </w:rPr>
            </w:pPr>
            <w:r w:rsidRPr="00F32158">
              <w:rPr>
                <w:sz w:val="24"/>
                <w:szCs w:val="24"/>
                <w:lang w:val="uk-UA"/>
              </w:rPr>
              <w:t>8,30</w:t>
            </w:r>
          </w:p>
        </w:tc>
        <w:tc>
          <w:tcPr>
            <w:tcW w:w="696" w:type="dxa"/>
          </w:tcPr>
          <w:p w:rsidR="00F32158" w:rsidRPr="00F32158" w:rsidRDefault="00F32158" w:rsidP="00F32158">
            <w:pPr>
              <w:spacing w:line="276" w:lineRule="auto"/>
              <w:jc w:val="center"/>
              <w:rPr>
                <w:sz w:val="24"/>
                <w:szCs w:val="24"/>
                <w:lang w:val="uk-UA"/>
              </w:rPr>
            </w:pPr>
            <w:r w:rsidRPr="00F32158">
              <w:rPr>
                <w:sz w:val="24"/>
                <w:szCs w:val="24"/>
                <w:lang w:val="uk-UA"/>
              </w:rPr>
              <w:t>5,5</w:t>
            </w:r>
          </w:p>
        </w:tc>
      </w:tr>
      <w:tr w:rsidR="00F32158" w:rsidRPr="00F32158" w:rsidTr="00BF1F99">
        <w:trPr>
          <w:jc w:val="center"/>
        </w:trPr>
        <w:tc>
          <w:tcPr>
            <w:tcW w:w="0" w:type="auto"/>
          </w:tcPr>
          <w:p w:rsidR="00F32158" w:rsidRPr="00F32158" w:rsidRDefault="00F32158" w:rsidP="00F32158">
            <w:pPr>
              <w:spacing w:line="276" w:lineRule="auto"/>
              <w:rPr>
                <w:sz w:val="24"/>
                <w:szCs w:val="24"/>
                <w:lang w:val="uk-UA"/>
              </w:rPr>
            </w:pPr>
            <w:r w:rsidRPr="00F32158">
              <w:rPr>
                <w:sz w:val="24"/>
                <w:szCs w:val="24"/>
                <w:lang w:val="uk-UA"/>
              </w:rPr>
              <w:t xml:space="preserve">Харківська </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11,58</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12,14</w:t>
            </w:r>
          </w:p>
        </w:tc>
        <w:tc>
          <w:tcPr>
            <w:tcW w:w="836" w:type="dxa"/>
          </w:tcPr>
          <w:p w:rsidR="00F32158" w:rsidRPr="00F32158" w:rsidRDefault="00F32158" w:rsidP="00F32158">
            <w:pPr>
              <w:spacing w:line="276" w:lineRule="auto"/>
              <w:jc w:val="center"/>
              <w:rPr>
                <w:sz w:val="24"/>
                <w:szCs w:val="24"/>
                <w:lang w:val="uk-UA"/>
              </w:rPr>
            </w:pPr>
            <w:r w:rsidRPr="00F32158">
              <w:rPr>
                <w:sz w:val="24"/>
                <w:szCs w:val="24"/>
                <w:lang w:val="uk-UA"/>
              </w:rPr>
              <w:t>8,61</w:t>
            </w:r>
          </w:p>
        </w:tc>
        <w:tc>
          <w:tcPr>
            <w:tcW w:w="836" w:type="dxa"/>
          </w:tcPr>
          <w:p w:rsidR="00F32158" w:rsidRPr="00F32158" w:rsidRDefault="00F32158" w:rsidP="00F32158">
            <w:pPr>
              <w:spacing w:line="276" w:lineRule="auto"/>
              <w:jc w:val="center"/>
              <w:rPr>
                <w:sz w:val="24"/>
                <w:szCs w:val="24"/>
                <w:lang w:val="uk-UA"/>
              </w:rPr>
            </w:pPr>
            <w:r w:rsidRPr="00F32158">
              <w:rPr>
                <w:sz w:val="24"/>
                <w:szCs w:val="24"/>
                <w:lang w:val="uk-UA"/>
              </w:rPr>
              <w:t>8,92</w:t>
            </w:r>
          </w:p>
        </w:tc>
        <w:tc>
          <w:tcPr>
            <w:tcW w:w="696" w:type="dxa"/>
          </w:tcPr>
          <w:p w:rsidR="00F32158" w:rsidRPr="00F32158" w:rsidRDefault="00F32158" w:rsidP="00F32158">
            <w:pPr>
              <w:spacing w:line="276" w:lineRule="auto"/>
              <w:jc w:val="center"/>
              <w:rPr>
                <w:sz w:val="24"/>
                <w:szCs w:val="24"/>
                <w:lang w:val="uk-UA"/>
              </w:rPr>
            </w:pPr>
            <w:r w:rsidRPr="00F32158">
              <w:rPr>
                <w:sz w:val="24"/>
                <w:szCs w:val="24"/>
                <w:lang w:val="uk-UA"/>
              </w:rPr>
              <w:t>8,4</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7,76</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7,26</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6,03</w:t>
            </w:r>
          </w:p>
        </w:tc>
        <w:tc>
          <w:tcPr>
            <w:tcW w:w="716" w:type="dxa"/>
          </w:tcPr>
          <w:p w:rsidR="00F32158" w:rsidRPr="00F32158" w:rsidRDefault="00F32158" w:rsidP="00F32158">
            <w:pPr>
              <w:spacing w:line="276" w:lineRule="auto"/>
              <w:jc w:val="center"/>
              <w:rPr>
                <w:sz w:val="24"/>
                <w:szCs w:val="24"/>
                <w:lang w:val="uk-UA"/>
              </w:rPr>
            </w:pPr>
            <w:r w:rsidRPr="00F32158">
              <w:rPr>
                <w:sz w:val="24"/>
                <w:szCs w:val="24"/>
                <w:lang w:val="uk-UA"/>
              </w:rPr>
              <w:t>5,96</w:t>
            </w:r>
          </w:p>
        </w:tc>
        <w:tc>
          <w:tcPr>
            <w:tcW w:w="696" w:type="dxa"/>
          </w:tcPr>
          <w:p w:rsidR="00F32158" w:rsidRPr="00F32158" w:rsidRDefault="00F32158" w:rsidP="00F32158">
            <w:pPr>
              <w:spacing w:line="276" w:lineRule="auto"/>
              <w:jc w:val="center"/>
              <w:rPr>
                <w:sz w:val="24"/>
                <w:szCs w:val="24"/>
                <w:lang w:val="uk-UA"/>
              </w:rPr>
            </w:pPr>
            <w:r w:rsidRPr="00F32158">
              <w:rPr>
                <w:sz w:val="24"/>
                <w:szCs w:val="24"/>
                <w:lang w:val="uk-UA"/>
              </w:rPr>
              <w:t>5,5</w:t>
            </w:r>
          </w:p>
        </w:tc>
      </w:tr>
      <w:tr w:rsidR="00F32158" w:rsidRPr="00F32158" w:rsidTr="00BF1F99">
        <w:trPr>
          <w:jc w:val="center"/>
        </w:trPr>
        <w:tc>
          <w:tcPr>
            <w:tcW w:w="0" w:type="auto"/>
          </w:tcPr>
          <w:p w:rsidR="00F32158" w:rsidRPr="00F32158" w:rsidRDefault="00F32158" w:rsidP="00F32158">
            <w:pPr>
              <w:spacing w:line="276" w:lineRule="auto"/>
              <w:rPr>
                <w:sz w:val="24"/>
                <w:szCs w:val="24"/>
                <w:lang w:val="uk-UA"/>
              </w:rPr>
            </w:pPr>
            <w:r w:rsidRPr="00F32158">
              <w:rPr>
                <w:sz w:val="24"/>
                <w:szCs w:val="24"/>
                <w:lang w:val="uk-UA"/>
              </w:rPr>
              <w:t xml:space="preserve">Херсонська </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9,74</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8,20</w:t>
            </w:r>
          </w:p>
        </w:tc>
        <w:tc>
          <w:tcPr>
            <w:tcW w:w="836" w:type="dxa"/>
          </w:tcPr>
          <w:p w:rsidR="00F32158" w:rsidRPr="00F32158" w:rsidRDefault="00F32158" w:rsidP="00F32158">
            <w:pPr>
              <w:spacing w:line="276" w:lineRule="auto"/>
              <w:jc w:val="center"/>
              <w:rPr>
                <w:sz w:val="24"/>
                <w:szCs w:val="24"/>
                <w:lang w:val="uk-UA"/>
              </w:rPr>
            </w:pPr>
            <w:r w:rsidRPr="00F32158">
              <w:rPr>
                <w:sz w:val="24"/>
                <w:szCs w:val="24"/>
                <w:lang w:val="uk-UA"/>
              </w:rPr>
              <w:t>11,89</w:t>
            </w:r>
          </w:p>
        </w:tc>
        <w:tc>
          <w:tcPr>
            <w:tcW w:w="836" w:type="dxa"/>
          </w:tcPr>
          <w:p w:rsidR="00F32158" w:rsidRPr="00F32158" w:rsidRDefault="00F32158" w:rsidP="00F32158">
            <w:pPr>
              <w:spacing w:line="276" w:lineRule="auto"/>
              <w:jc w:val="center"/>
              <w:rPr>
                <w:sz w:val="24"/>
                <w:szCs w:val="24"/>
                <w:lang w:val="uk-UA"/>
              </w:rPr>
            </w:pPr>
            <w:r w:rsidRPr="00F32158">
              <w:rPr>
                <w:sz w:val="24"/>
                <w:szCs w:val="24"/>
                <w:lang w:val="uk-UA"/>
              </w:rPr>
              <w:t>9,29</w:t>
            </w:r>
          </w:p>
        </w:tc>
        <w:tc>
          <w:tcPr>
            <w:tcW w:w="696" w:type="dxa"/>
          </w:tcPr>
          <w:p w:rsidR="00F32158" w:rsidRPr="00F32158" w:rsidRDefault="00F32158" w:rsidP="00F32158">
            <w:pPr>
              <w:spacing w:line="276" w:lineRule="auto"/>
              <w:jc w:val="center"/>
              <w:rPr>
                <w:sz w:val="24"/>
                <w:szCs w:val="24"/>
                <w:lang w:val="uk-UA"/>
              </w:rPr>
            </w:pPr>
            <w:r w:rsidRPr="00F32158">
              <w:rPr>
                <w:sz w:val="24"/>
                <w:szCs w:val="24"/>
                <w:lang w:val="uk-UA"/>
              </w:rPr>
              <w:t>9,5</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6,90</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8,53</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7,84</w:t>
            </w:r>
          </w:p>
        </w:tc>
        <w:tc>
          <w:tcPr>
            <w:tcW w:w="716" w:type="dxa"/>
          </w:tcPr>
          <w:p w:rsidR="00F32158" w:rsidRPr="00F32158" w:rsidRDefault="00F32158" w:rsidP="00F32158">
            <w:pPr>
              <w:spacing w:line="276" w:lineRule="auto"/>
              <w:jc w:val="center"/>
              <w:rPr>
                <w:sz w:val="24"/>
                <w:szCs w:val="24"/>
                <w:lang w:val="uk-UA"/>
              </w:rPr>
            </w:pPr>
            <w:r w:rsidRPr="00F32158">
              <w:rPr>
                <w:sz w:val="24"/>
                <w:szCs w:val="24"/>
                <w:lang w:val="uk-UA"/>
              </w:rPr>
              <w:t>5,99</w:t>
            </w:r>
          </w:p>
        </w:tc>
        <w:tc>
          <w:tcPr>
            <w:tcW w:w="696" w:type="dxa"/>
          </w:tcPr>
          <w:p w:rsidR="00F32158" w:rsidRPr="00F32158" w:rsidRDefault="00F32158" w:rsidP="00F32158">
            <w:pPr>
              <w:spacing w:line="276" w:lineRule="auto"/>
              <w:jc w:val="center"/>
              <w:rPr>
                <w:sz w:val="24"/>
                <w:szCs w:val="24"/>
                <w:lang w:val="uk-UA"/>
              </w:rPr>
            </w:pPr>
            <w:r w:rsidRPr="00F32158">
              <w:rPr>
                <w:sz w:val="24"/>
                <w:szCs w:val="24"/>
                <w:lang w:val="uk-UA"/>
              </w:rPr>
              <w:t>7,3</w:t>
            </w:r>
          </w:p>
        </w:tc>
      </w:tr>
      <w:tr w:rsidR="00F32158" w:rsidRPr="00F32158" w:rsidTr="00BF1F99">
        <w:trPr>
          <w:jc w:val="center"/>
        </w:trPr>
        <w:tc>
          <w:tcPr>
            <w:tcW w:w="0" w:type="auto"/>
          </w:tcPr>
          <w:p w:rsidR="00F32158" w:rsidRPr="00F32158" w:rsidRDefault="00F32158" w:rsidP="00F32158">
            <w:pPr>
              <w:spacing w:line="276" w:lineRule="auto"/>
              <w:rPr>
                <w:sz w:val="24"/>
                <w:szCs w:val="24"/>
                <w:lang w:val="uk-UA"/>
              </w:rPr>
            </w:pPr>
            <w:r w:rsidRPr="00F32158">
              <w:rPr>
                <w:sz w:val="24"/>
                <w:szCs w:val="24"/>
                <w:lang w:val="uk-UA"/>
              </w:rPr>
              <w:t xml:space="preserve">Хмельницька </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8,53</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10,15</w:t>
            </w:r>
          </w:p>
        </w:tc>
        <w:tc>
          <w:tcPr>
            <w:tcW w:w="836" w:type="dxa"/>
          </w:tcPr>
          <w:p w:rsidR="00F32158" w:rsidRPr="00F32158" w:rsidRDefault="00F32158" w:rsidP="00F32158">
            <w:pPr>
              <w:spacing w:line="276" w:lineRule="auto"/>
              <w:jc w:val="center"/>
              <w:rPr>
                <w:sz w:val="24"/>
                <w:szCs w:val="24"/>
                <w:lang w:val="uk-UA"/>
              </w:rPr>
            </w:pPr>
            <w:r w:rsidRPr="00F32158">
              <w:rPr>
                <w:sz w:val="24"/>
                <w:szCs w:val="24"/>
                <w:lang w:val="uk-UA"/>
              </w:rPr>
              <w:t>6,56</w:t>
            </w:r>
          </w:p>
        </w:tc>
        <w:tc>
          <w:tcPr>
            <w:tcW w:w="836" w:type="dxa"/>
          </w:tcPr>
          <w:p w:rsidR="00F32158" w:rsidRPr="00F32158" w:rsidRDefault="00F32158" w:rsidP="00F32158">
            <w:pPr>
              <w:spacing w:line="276" w:lineRule="auto"/>
              <w:jc w:val="center"/>
              <w:rPr>
                <w:sz w:val="24"/>
                <w:szCs w:val="24"/>
                <w:lang w:val="uk-UA"/>
              </w:rPr>
            </w:pPr>
            <w:r w:rsidRPr="00F32158">
              <w:rPr>
                <w:sz w:val="24"/>
                <w:szCs w:val="24"/>
                <w:lang w:val="uk-UA"/>
              </w:rPr>
              <w:t>10,42</w:t>
            </w:r>
          </w:p>
        </w:tc>
        <w:tc>
          <w:tcPr>
            <w:tcW w:w="696" w:type="dxa"/>
          </w:tcPr>
          <w:p w:rsidR="00F32158" w:rsidRPr="00F32158" w:rsidRDefault="00F32158" w:rsidP="00F32158">
            <w:pPr>
              <w:spacing w:line="276" w:lineRule="auto"/>
              <w:jc w:val="center"/>
              <w:rPr>
                <w:sz w:val="24"/>
                <w:szCs w:val="24"/>
                <w:lang w:val="uk-UA"/>
              </w:rPr>
            </w:pPr>
            <w:r w:rsidRPr="00F32158">
              <w:rPr>
                <w:sz w:val="24"/>
                <w:szCs w:val="24"/>
                <w:lang w:val="uk-UA"/>
              </w:rPr>
              <w:t>7,2</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8,11</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6,41</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6,73</w:t>
            </w:r>
          </w:p>
        </w:tc>
        <w:tc>
          <w:tcPr>
            <w:tcW w:w="716" w:type="dxa"/>
          </w:tcPr>
          <w:p w:rsidR="00F32158" w:rsidRPr="00F32158" w:rsidRDefault="00F32158" w:rsidP="00F32158">
            <w:pPr>
              <w:spacing w:line="276" w:lineRule="auto"/>
              <w:jc w:val="center"/>
              <w:rPr>
                <w:sz w:val="24"/>
                <w:szCs w:val="24"/>
                <w:lang w:val="uk-UA"/>
              </w:rPr>
            </w:pPr>
            <w:r w:rsidRPr="00F32158">
              <w:rPr>
                <w:sz w:val="24"/>
                <w:szCs w:val="24"/>
                <w:lang w:val="uk-UA"/>
              </w:rPr>
              <w:t>7,82</w:t>
            </w:r>
          </w:p>
        </w:tc>
        <w:tc>
          <w:tcPr>
            <w:tcW w:w="696" w:type="dxa"/>
          </w:tcPr>
          <w:p w:rsidR="00F32158" w:rsidRPr="00F32158" w:rsidRDefault="00F32158" w:rsidP="00F32158">
            <w:pPr>
              <w:spacing w:line="276" w:lineRule="auto"/>
              <w:jc w:val="center"/>
              <w:rPr>
                <w:sz w:val="24"/>
                <w:szCs w:val="24"/>
                <w:lang w:val="uk-UA"/>
              </w:rPr>
            </w:pPr>
            <w:r w:rsidRPr="00F32158">
              <w:rPr>
                <w:sz w:val="24"/>
                <w:szCs w:val="24"/>
                <w:lang w:val="uk-UA"/>
              </w:rPr>
              <w:t>5,5</w:t>
            </w:r>
          </w:p>
        </w:tc>
      </w:tr>
      <w:tr w:rsidR="00F32158" w:rsidRPr="00F32158" w:rsidTr="00BF1F99">
        <w:trPr>
          <w:jc w:val="center"/>
        </w:trPr>
        <w:tc>
          <w:tcPr>
            <w:tcW w:w="0" w:type="auto"/>
          </w:tcPr>
          <w:p w:rsidR="00F32158" w:rsidRPr="00F32158" w:rsidRDefault="00F32158" w:rsidP="00F32158">
            <w:pPr>
              <w:spacing w:line="276" w:lineRule="auto"/>
              <w:rPr>
                <w:sz w:val="24"/>
                <w:szCs w:val="24"/>
                <w:lang w:val="uk-UA"/>
              </w:rPr>
            </w:pPr>
            <w:r w:rsidRPr="00F32158">
              <w:rPr>
                <w:sz w:val="24"/>
                <w:szCs w:val="24"/>
                <w:lang w:val="uk-UA"/>
              </w:rPr>
              <w:t xml:space="preserve">Черкаська </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10,32</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7,28</w:t>
            </w:r>
          </w:p>
        </w:tc>
        <w:tc>
          <w:tcPr>
            <w:tcW w:w="836" w:type="dxa"/>
          </w:tcPr>
          <w:p w:rsidR="00F32158" w:rsidRPr="00F32158" w:rsidRDefault="00F32158" w:rsidP="00F32158">
            <w:pPr>
              <w:spacing w:line="276" w:lineRule="auto"/>
              <w:jc w:val="center"/>
              <w:rPr>
                <w:sz w:val="24"/>
                <w:szCs w:val="24"/>
                <w:lang w:val="uk-UA"/>
              </w:rPr>
            </w:pPr>
            <w:r w:rsidRPr="00F32158">
              <w:rPr>
                <w:sz w:val="24"/>
                <w:szCs w:val="24"/>
                <w:lang w:val="uk-UA"/>
              </w:rPr>
              <w:t>8,54</w:t>
            </w:r>
          </w:p>
        </w:tc>
        <w:tc>
          <w:tcPr>
            <w:tcW w:w="836" w:type="dxa"/>
          </w:tcPr>
          <w:p w:rsidR="00F32158" w:rsidRPr="00F32158" w:rsidRDefault="00F32158" w:rsidP="00F32158">
            <w:pPr>
              <w:spacing w:line="276" w:lineRule="auto"/>
              <w:jc w:val="center"/>
              <w:rPr>
                <w:sz w:val="24"/>
                <w:szCs w:val="24"/>
                <w:lang w:val="uk-UA"/>
              </w:rPr>
            </w:pPr>
            <w:r w:rsidRPr="00F32158">
              <w:rPr>
                <w:sz w:val="24"/>
                <w:szCs w:val="24"/>
                <w:lang w:val="uk-UA"/>
              </w:rPr>
              <w:t>8,98</w:t>
            </w:r>
          </w:p>
        </w:tc>
        <w:tc>
          <w:tcPr>
            <w:tcW w:w="696" w:type="dxa"/>
          </w:tcPr>
          <w:p w:rsidR="00F32158" w:rsidRPr="00F32158" w:rsidRDefault="00F32158" w:rsidP="00F32158">
            <w:pPr>
              <w:spacing w:line="276" w:lineRule="auto"/>
              <w:jc w:val="center"/>
              <w:rPr>
                <w:sz w:val="24"/>
                <w:szCs w:val="24"/>
                <w:lang w:val="uk-UA"/>
              </w:rPr>
            </w:pPr>
            <w:r w:rsidRPr="00F32158">
              <w:rPr>
                <w:sz w:val="24"/>
                <w:szCs w:val="24"/>
                <w:lang w:val="uk-UA"/>
              </w:rPr>
              <w:t>11,7</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7,31</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7,68</w:t>
            </w:r>
          </w:p>
        </w:tc>
        <w:tc>
          <w:tcPr>
            <w:tcW w:w="0" w:type="auto"/>
          </w:tcPr>
          <w:p w:rsidR="00F32158" w:rsidRPr="00F32158" w:rsidRDefault="00F32158" w:rsidP="00F32158">
            <w:pPr>
              <w:spacing w:line="276" w:lineRule="auto"/>
              <w:jc w:val="center"/>
              <w:rPr>
                <w:sz w:val="24"/>
                <w:szCs w:val="24"/>
              </w:rPr>
            </w:pPr>
            <w:r w:rsidRPr="00F32158">
              <w:rPr>
                <w:sz w:val="24"/>
                <w:szCs w:val="24"/>
                <w:lang w:val="uk-UA"/>
              </w:rPr>
              <w:t>8,17</w:t>
            </w:r>
          </w:p>
        </w:tc>
        <w:tc>
          <w:tcPr>
            <w:tcW w:w="716" w:type="dxa"/>
          </w:tcPr>
          <w:p w:rsidR="00F32158" w:rsidRPr="00F32158" w:rsidRDefault="00F32158" w:rsidP="00F32158">
            <w:pPr>
              <w:spacing w:line="276" w:lineRule="auto"/>
              <w:jc w:val="center"/>
              <w:rPr>
                <w:sz w:val="24"/>
                <w:szCs w:val="24"/>
                <w:lang w:val="uk-UA"/>
              </w:rPr>
            </w:pPr>
            <w:r w:rsidRPr="00F32158">
              <w:rPr>
                <w:sz w:val="24"/>
                <w:szCs w:val="24"/>
                <w:lang w:val="uk-UA"/>
              </w:rPr>
              <w:t>6,91</w:t>
            </w:r>
          </w:p>
        </w:tc>
        <w:tc>
          <w:tcPr>
            <w:tcW w:w="696" w:type="dxa"/>
          </w:tcPr>
          <w:p w:rsidR="00F32158" w:rsidRPr="00F32158" w:rsidRDefault="00F32158" w:rsidP="00F32158">
            <w:pPr>
              <w:spacing w:line="276" w:lineRule="auto"/>
              <w:jc w:val="center"/>
              <w:rPr>
                <w:sz w:val="24"/>
                <w:szCs w:val="24"/>
                <w:lang w:val="uk-UA"/>
              </w:rPr>
            </w:pPr>
            <w:r w:rsidRPr="00F32158">
              <w:rPr>
                <w:sz w:val="24"/>
                <w:szCs w:val="24"/>
                <w:lang w:val="uk-UA"/>
              </w:rPr>
              <w:t>6,3</w:t>
            </w:r>
          </w:p>
        </w:tc>
      </w:tr>
      <w:tr w:rsidR="00F32158" w:rsidRPr="00F32158" w:rsidTr="00BF1F99">
        <w:trPr>
          <w:jc w:val="center"/>
        </w:trPr>
        <w:tc>
          <w:tcPr>
            <w:tcW w:w="0" w:type="auto"/>
          </w:tcPr>
          <w:p w:rsidR="00F32158" w:rsidRPr="00F32158" w:rsidRDefault="00F32158" w:rsidP="00F32158">
            <w:pPr>
              <w:spacing w:line="276" w:lineRule="auto"/>
              <w:rPr>
                <w:sz w:val="24"/>
                <w:szCs w:val="24"/>
                <w:lang w:val="uk-UA"/>
              </w:rPr>
            </w:pPr>
            <w:r w:rsidRPr="00F32158">
              <w:rPr>
                <w:sz w:val="24"/>
                <w:szCs w:val="24"/>
                <w:lang w:val="uk-UA"/>
              </w:rPr>
              <w:t xml:space="preserve">Чернівецька </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7,49</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7,83</w:t>
            </w:r>
          </w:p>
        </w:tc>
        <w:tc>
          <w:tcPr>
            <w:tcW w:w="836" w:type="dxa"/>
          </w:tcPr>
          <w:p w:rsidR="00F32158" w:rsidRPr="00F32158" w:rsidRDefault="00F32158" w:rsidP="00F32158">
            <w:pPr>
              <w:spacing w:line="276" w:lineRule="auto"/>
              <w:jc w:val="center"/>
              <w:rPr>
                <w:sz w:val="24"/>
                <w:szCs w:val="24"/>
                <w:lang w:val="uk-UA"/>
              </w:rPr>
            </w:pPr>
            <w:r w:rsidRPr="00F32158">
              <w:rPr>
                <w:sz w:val="24"/>
                <w:szCs w:val="24"/>
                <w:lang w:val="uk-UA"/>
              </w:rPr>
              <w:t>9,98</w:t>
            </w:r>
          </w:p>
        </w:tc>
        <w:tc>
          <w:tcPr>
            <w:tcW w:w="836" w:type="dxa"/>
          </w:tcPr>
          <w:p w:rsidR="00F32158" w:rsidRPr="00F32158" w:rsidRDefault="00F32158" w:rsidP="00F32158">
            <w:pPr>
              <w:spacing w:line="276" w:lineRule="auto"/>
              <w:jc w:val="center"/>
              <w:rPr>
                <w:sz w:val="24"/>
                <w:szCs w:val="24"/>
                <w:lang w:val="uk-UA"/>
              </w:rPr>
            </w:pPr>
            <w:r w:rsidRPr="00F32158">
              <w:rPr>
                <w:sz w:val="24"/>
                <w:szCs w:val="24"/>
                <w:lang w:val="uk-UA"/>
              </w:rPr>
              <w:t>12,44</w:t>
            </w:r>
          </w:p>
        </w:tc>
        <w:tc>
          <w:tcPr>
            <w:tcW w:w="696" w:type="dxa"/>
          </w:tcPr>
          <w:p w:rsidR="00F32158" w:rsidRPr="00F32158" w:rsidRDefault="00F32158" w:rsidP="00F32158">
            <w:pPr>
              <w:spacing w:line="276" w:lineRule="auto"/>
              <w:jc w:val="center"/>
              <w:rPr>
                <w:sz w:val="24"/>
                <w:szCs w:val="24"/>
                <w:lang w:val="uk-UA"/>
              </w:rPr>
            </w:pPr>
            <w:r w:rsidRPr="00F32158">
              <w:rPr>
                <w:sz w:val="24"/>
                <w:szCs w:val="24"/>
                <w:lang w:val="uk-UA"/>
              </w:rPr>
              <w:t>7,9</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7,42</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9,49</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7,80</w:t>
            </w:r>
          </w:p>
        </w:tc>
        <w:tc>
          <w:tcPr>
            <w:tcW w:w="716" w:type="dxa"/>
          </w:tcPr>
          <w:p w:rsidR="00F32158" w:rsidRPr="00F32158" w:rsidRDefault="00F32158" w:rsidP="00F32158">
            <w:pPr>
              <w:spacing w:line="276" w:lineRule="auto"/>
              <w:jc w:val="center"/>
              <w:rPr>
                <w:sz w:val="24"/>
                <w:szCs w:val="24"/>
                <w:lang w:val="uk-UA"/>
              </w:rPr>
            </w:pPr>
            <w:r w:rsidRPr="00F32158">
              <w:rPr>
                <w:sz w:val="24"/>
                <w:szCs w:val="24"/>
                <w:lang w:val="uk-UA"/>
              </w:rPr>
              <w:t>7,12</w:t>
            </w:r>
          </w:p>
        </w:tc>
        <w:tc>
          <w:tcPr>
            <w:tcW w:w="696" w:type="dxa"/>
          </w:tcPr>
          <w:p w:rsidR="00F32158" w:rsidRPr="00F32158" w:rsidRDefault="00F32158" w:rsidP="00F32158">
            <w:pPr>
              <w:spacing w:line="276" w:lineRule="auto"/>
              <w:jc w:val="center"/>
              <w:rPr>
                <w:sz w:val="24"/>
                <w:szCs w:val="24"/>
                <w:lang w:val="uk-UA"/>
              </w:rPr>
            </w:pPr>
            <w:r w:rsidRPr="00F32158">
              <w:rPr>
                <w:sz w:val="24"/>
                <w:szCs w:val="24"/>
                <w:lang w:val="uk-UA"/>
              </w:rPr>
              <w:t>8,2</w:t>
            </w:r>
          </w:p>
        </w:tc>
      </w:tr>
      <w:tr w:rsidR="00F32158" w:rsidRPr="00F32158" w:rsidTr="00BF1F99">
        <w:trPr>
          <w:jc w:val="center"/>
        </w:trPr>
        <w:tc>
          <w:tcPr>
            <w:tcW w:w="0" w:type="auto"/>
          </w:tcPr>
          <w:p w:rsidR="00F32158" w:rsidRPr="00F32158" w:rsidRDefault="00F32158" w:rsidP="00F32158">
            <w:pPr>
              <w:spacing w:line="276" w:lineRule="auto"/>
              <w:rPr>
                <w:sz w:val="24"/>
                <w:szCs w:val="24"/>
                <w:lang w:val="uk-UA"/>
              </w:rPr>
            </w:pPr>
            <w:r w:rsidRPr="00F32158">
              <w:rPr>
                <w:sz w:val="24"/>
                <w:szCs w:val="24"/>
                <w:lang w:val="uk-UA"/>
              </w:rPr>
              <w:t xml:space="preserve">Чернігівська </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10,95</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8,34</w:t>
            </w:r>
          </w:p>
        </w:tc>
        <w:tc>
          <w:tcPr>
            <w:tcW w:w="836" w:type="dxa"/>
          </w:tcPr>
          <w:p w:rsidR="00F32158" w:rsidRPr="00F32158" w:rsidRDefault="00F32158" w:rsidP="00F32158">
            <w:pPr>
              <w:spacing w:line="276" w:lineRule="auto"/>
              <w:jc w:val="center"/>
              <w:rPr>
                <w:sz w:val="24"/>
                <w:szCs w:val="24"/>
                <w:lang w:val="uk-UA"/>
              </w:rPr>
            </w:pPr>
            <w:r w:rsidRPr="00F32158">
              <w:rPr>
                <w:sz w:val="24"/>
                <w:szCs w:val="24"/>
                <w:lang w:val="uk-UA"/>
              </w:rPr>
              <w:t>10,26</w:t>
            </w:r>
          </w:p>
        </w:tc>
        <w:tc>
          <w:tcPr>
            <w:tcW w:w="836" w:type="dxa"/>
          </w:tcPr>
          <w:p w:rsidR="00F32158" w:rsidRPr="00F32158" w:rsidRDefault="00F32158" w:rsidP="00F32158">
            <w:pPr>
              <w:spacing w:line="276" w:lineRule="auto"/>
              <w:jc w:val="center"/>
              <w:rPr>
                <w:sz w:val="24"/>
                <w:szCs w:val="24"/>
                <w:lang w:val="uk-UA"/>
              </w:rPr>
            </w:pPr>
            <w:r w:rsidRPr="00F32158">
              <w:rPr>
                <w:sz w:val="24"/>
                <w:szCs w:val="24"/>
                <w:lang w:val="uk-UA"/>
              </w:rPr>
              <w:t>8,44</w:t>
            </w:r>
          </w:p>
        </w:tc>
        <w:tc>
          <w:tcPr>
            <w:tcW w:w="696" w:type="dxa"/>
          </w:tcPr>
          <w:p w:rsidR="00F32158" w:rsidRPr="00F32158" w:rsidRDefault="00F32158" w:rsidP="00F32158">
            <w:pPr>
              <w:spacing w:line="276" w:lineRule="auto"/>
              <w:jc w:val="center"/>
              <w:rPr>
                <w:sz w:val="24"/>
                <w:szCs w:val="24"/>
                <w:lang w:val="uk-UA"/>
              </w:rPr>
            </w:pPr>
            <w:r w:rsidRPr="00F32158">
              <w:rPr>
                <w:sz w:val="24"/>
                <w:szCs w:val="24"/>
                <w:lang w:val="uk-UA"/>
              </w:rPr>
              <w:t>8,4</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5,56</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8,23</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8,07</w:t>
            </w:r>
          </w:p>
        </w:tc>
        <w:tc>
          <w:tcPr>
            <w:tcW w:w="716" w:type="dxa"/>
          </w:tcPr>
          <w:p w:rsidR="00F32158" w:rsidRPr="00F32158" w:rsidRDefault="00F32158" w:rsidP="00F32158">
            <w:pPr>
              <w:spacing w:line="276" w:lineRule="auto"/>
              <w:jc w:val="center"/>
              <w:rPr>
                <w:sz w:val="24"/>
                <w:szCs w:val="24"/>
                <w:lang w:val="uk-UA"/>
              </w:rPr>
            </w:pPr>
            <w:r w:rsidRPr="00F32158">
              <w:rPr>
                <w:sz w:val="24"/>
                <w:szCs w:val="24"/>
                <w:lang w:val="uk-UA"/>
              </w:rPr>
              <w:t>4,21</w:t>
            </w:r>
          </w:p>
        </w:tc>
        <w:tc>
          <w:tcPr>
            <w:tcW w:w="696" w:type="dxa"/>
          </w:tcPr>
          <w:p w:rsidR="00F32158" w:rsidRPr="00F32158" w:rsidRDefault="00F32158" w:rsidP="00F32158">
            <w:pPr>
              <w:spacing w:line="276" w:lineRule="auto"/>
              <w:jc w:val="center"/>
              <w:rPr>
                <w:sz w:val="24"/>
                <w:szCs w:val="24"/>
                <w:lang w:val="uk-UA"/>
              </w:rPr>
            </w:pPr>
            <w:r w:rsidRPr="00F32158">
              <w:rPr>
                <w:sz w:val="24"/>
                <w:szCs w:val="24"/>
                <w:lang w:val="uk-UA"/>
              </w:rPr>
              <w:t>6,9</w:t>
            </w:r>
          </w:p>
        </w:tc>
      </w:tr>
      <w:tr w:rsidR="00F32158" w:rsidRPr="00F32158" w:rsidTr="00BF1F99">
        <w:trPr>
          <w:jc w:val="center"/>
        </w:trPr>
        <w:tc>
          <w:tcPr>
            <w:tcW w:w="0" w:type="auto"/>
          </w:tcPr>
          <w:p w:rsidR="00F32158" w:rsidRPr="00F32158" w:rsidRDefault="00F32158" w:rsidP="00F32158">
            <w:pPr>
              <w:spacing w:line="276" w:lineRule="auto"/>
              <w:rPr>
                <w:sz w:val="24"/>
                <w:szCs w:val="24"/>
                <w:lang w:val="uk-UA"/>
              </w:rPr>
            </w:pPr>
            <w:r w:rsidRPr="00F32158">
              <w:rPr>
                <w:sz w:val="24"/>
                <w:szCs w:val="24"/>
                <w:lang w:val="uk-UA"/>
              </w:rPr>
              <w:t>м. Київ</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7,45</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8,34</w:t>
            </w:r>
          </w:p>
        </w:tc>
        <w:tc>
          <w:tcPr>
            <w:tcW w:w="836" w:type="dxa"/>
          </w:tcPr>
          <w:p w:rsidR="00F32158" w:rsidRPr="00F32158" w:rsidRDefault="00F32158" w:rsidP="00F32158">
            <w:pPr>
              <w:spacing w:line="276" w:lineRule="auto"/>
              <w:jc w:val="center"/>
              <w:rPr>
                <w:sz w:val="24"/>
                <w:szCs w:val="24"/>
                <w:lang w:val="uk-UA"/>
              </w:rPr>
            </w:pPr>
            <w:r w:rsidRPr="00F32158">
              <w:rPr>
                <w:sz w:val="24"/>
                <w:szCs w:val="24"/>
                <w:lang w:val="uk-UA"/>
              </w:rPr>
              <w:t>6,05</w:t>
            </w:r>
          </w:p>
        </w:tc>
        <w:tc>
          <w:tcPr>
            <w:tcW w:w="836" w:type="dxa"/>
          </w:tcPr>
          <w:p w:rsidR="00F32158" w:rsidRPr="00F32158" w:rsidRDefault="00F32158" w:rsidP="00F32158">
            <w:pPr>
              <w:spacing w:line="276" w:lineRule="auto"/>
              <w:jc w:val="center"/>
              <w:rPr>
                <w:sz w:val="24"/>
                <w:szCs w:val="24"/>
                <w:lang w:val="uk-UA"/>
              </w:rPr>
            </w:pPr>
            <w:r w:rsidRPr="00F32158">
              <w:rPr>
                <w:sz w:val="24"/>
                <w:szCs w:val="24"/>
                <w:lang w:val="uk-UA"/>
              </w:rPr>
              <w:t>6,39</w:t>
            </w:r>
          </w:p>
        </w:tc>
        <w:tc>
          <w:tcPr>
            <w:tcW w:w="696" w:type="dxa"/>
          </w:tcPr>
          <w:p w:rsidR="00F32158" w:rsidRPr="00F32158" w:rsidRDefault="00F32158" w:rsidP="00F32158">
            <w:pPr>
              <w:spacing w:line="276" w:lineRule="auto"/>
              <w:jc w:val="center"/>
              <w:rPr>
                <w:sz w:val="24"/>
                <w:szCs w:val="24"/>
                <w:lang w:val="uk-UA"/>
              </w:rPr>
            </w:pPr>
            <w:r w:rsidRPr="00F32158">
              <w:rPr>
                <w:sz w:val="24"/>
                <w:szCs w:val="24"/>
                <w:lang w:val="uk-UA"/>
              </w:rPr>
              <w:t>5,5</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6,54</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6,52</w:t>
            </w:r>
          </w:p>
        </w:tc>
        <w:tc>
          <w:tcPr>
            <w:tcW w:w="0" w:type="auto"/>
          </w:tcPr>
          <w:p w:rsidR="00F32158" w:rsidRPr="00F32158" w:rsidRDefault="00F32158" w:rsidP="00F32158">
            <w:pPr>
              <w:spacing w:line="276" w:lineRule="auto"/>
              <w:jc w:val="center"/>
              <w:rPr>
                <w:sz w:val="24"/>
                <w:szCs w:val="24"/>
                <w:lang w:val="uk-UA"/>
              </w:rPr>
            </w:pPr>
            <w:r w:rsidRPr="00F32158">
              <w:rPr>
                <w:sz w:val="24"/>
                <w:szCs w:val="24"/>
                <w:lang w:val="uk-UA"/>
              </w:rPr>
              <w:t>4,94</w:t>
            </w:r>
          </w:p>
        </w:tc>
        <w:tc>
          <w:tcPr>
            <w:tcW w:w="716" w:type="dxa"/>
          </w:tcPr>
          <w:p w:rsidR="00F32158" w:rsidRPr="00F32158" w:rsidRDefault="00F32158" w:rsidP="00F32158">
            <w:pPr>
              <w:spacing w:line="276" w:lineRule="auto"/>
              <w:jc w:val="center"/>
              <w:rPr>
                <w:sz w:val="24"/>
                <w:szCs w:val="24"/>
                <w:lang w:val="uk-UA"/>
              </w:rPr>
            </w:pPr>
            <w:r w:rsidRPr="00F32158">
              <w:rPr>
                <w:sz w:val="24"/>
                <w:szCs w:val="24"/>
                <w:lang w:val="uk-UA"/>
              </w:rPr>
              <w:t>5,00</w:t>
            </w:r>
          </w:p>
        </w:tc>
        <w:tc>
          <w:tcPr>
            <w:tcW w:w="696" w:type="dxa"/>
          </w:tcPr>
          <w:p w:rsidR="00F32158" w:rsidRPr="00F32158" w:rsidRDefault="00F32158" w:rsidP="00F32158">
            <w:pPr>
              <w:spacing w:line="276" w:lineRule="auto"/>
              <w:jc w:val="center"/>
              <w:rPr>
                <w:sz w:val="24"/>
                <w:szCs w:val="24"/>
                <w:lang w:val="uk-UA"/>
              </w:rPr>
            </w:pPr>
            <w:r w:rsidRPr="00F32158">
              <w:rPr>
                <w:sz w:val="24"/>
                <w:szCs w:val="24"/>
                <w:lang w:val="uk-UA"/>
              </w:rPr>
              <w:t>5,1</w:t>
            </w:r>
          </w:p>
        </w:tc>
      </w:tr>
    </w:tbl>
    <w:p w:rsidR="00F32158" w:rsidRPr="00F32158" w:rsidRDefault="00F32158" w:rsidP="00F32158">
      <w:pPr>
        <w:spacing w:line="240" w:lineRule="auto"/>
        <w:rPr>
          <w:rFonts w:eastAsia="Times New Roman"/>
          <w:sz w:val="20"/>
          <w:szCs w:val="20"/>
          <w:lang w:eastAsia="ru-RU"/>
        </w:rPr>
      </w:pPr>
      <w:r w:rsidRPr="00F32158">
        <w:rPr>
          <w:rFonts w:eastAsia="Times New Roman"/>
          <w:sz w:val="20"/>
          <w:szCs w:val="20"/>
          <w:vertAlign w:val="superscript"/>
          <w:lang w:val="ru-RU" w:eastAsia="ru-RU"/>
        </w:rPr>
        <w:t>1</w:t>
      </w:r>
      <w:r w:rsidRPr="00F32158">
        <w:rPr>
          <w:rFonts w:eastAsia="Times New Roman"/>
          <w:sz w:val="20"/>
          <w:szCs w:val="20"/>
          <w:lang w:val="ru-RU" w:eastAsia="ru-RU"/>
        </w:rPr>
        <w:t>Без урахування тимчасово окупованої території Автономної Республіки Крим і м. Севастополя та частини зони</w:t>
      </w:r>
      <w:r w:rsidRPr="00F32158">
        <w:rPr>
          <w:rFonts w:eastAsia="Times New Roman"/>
          <w:sz w:val="20"/>
          <w:szCs w:val="20"/>
          <w:lang w:eastAsia="ru-RU"/>
        </w:rPr>
        <w:t xml:space="preserve"> </w:t>
      </w:r>
      <w:r w:rsidRPr="00F32158">
        <w:rPr>
          <w:rFonts w:eastAsia="Times New Roman"/>
          <w:sz w:val="20"/>
          <w:szCs w:val="20"/>
          <w:lang w:val="ru-RU" w:eastAsia="ru-RU"/>
        </w:rPr>
        <w:t>проведення антитерористичної операції.</w:t>
      </w:r>
    </w:p>
    <w:p w:rsidR="00F32158" w:rsidRPr="00F32158" w:rsidRDefault="00F32158" w:rsidP="00F32158">
      <w:pPr>
        <w:tabs>
          <w:tab w:val="left" w:pos="8030"/>
        </w:tabs>
        <w:rPr>
          <w:rFonts w:eastAsia="Times New Roman"/>
          <w:szCs w:val="28"/>
          <w:lang w:val="ru-RU" w:eastAsia="ru-RU"/>
        </w:rPr>
      </w:pPr>
      <w:r w:rsidRPr="00F32158">
        <w:rPr>
          <w:rFonts w:eastAsia="Times New Roman"/>
          <w:szCs w:val="28"/>
          <w:lang w:eastAsia="ru-RU"/>
        </w:rPr>
        <w:tab/>
      </w:r>
    </w:p>
    <w:p w:rsidR="00F32158" w:rsidRPr="00F32158" w:rsidRDefault="00F32158" w:rsidP="00F32158">
      <w:pPr>
        <w:tabs>
          <w:tab w:val="left" w:pos="8030"/>
        </w:tabs>
        <w:rPr>
          <w:rFonts w:eastAsia="Times New Roman"/>
          <w:szCs w:val="28"/>
          <w:lang w:val="ru-RU" w:eastAsia="ru-RU"/>
        </w:rPr>
      </w:pPr>
    </w:p>
    <w:p w:rsidR="00F32158" w:rsidRPr="00F32158" w:rsidRDefault="00F32158" w:rsidP="005D3D66">
      <w:pPr>
        <w:pageBreakBefore/>
        <w:widowControl w:val="0"/>
        <w:tabs>
          <w:tab w:val="left" w:pos="8030"/>
        </w:tabs>
        <w:jc w:val="right"/>
        <w:rPr>
          <w:rFonts w:eastAsia="Times New Roman"/>
          <w:szCs w:val="28"/>
          <w:lang w:eastAsia="ru-RU"/>
        </w:rPr>
      </w:pPr>
      <w:r w:rsidRPr="00F32158">
        <w:rPr>
          <w:rFonts w:eastAsia="Times New Roman"/>
          <w:szCs w:val="28"/>
          <w:lang w:val="ru-RU" w:eastAsia="ru-RU"/>
        </w:rPr>
        <w:lastRenderedPageBreak/>
        <w:t xml:space="preserve">          </w:t>
      </w:r>
      <w:r w:rsidR="00B11B16">
        <w:rPr>
          <w:rFonts w:eastAsia="Times New Roman"/>
          <w:szCs w:val="28"/>
          <w:lang w:eastAsia="ru-RU"/>
        </w:rPr>
        <w:t>Додаток Б</w:t>
      </w:r>
      <w:r w:rsidRPr="00F32158">
        <w:rPr>
          <w:rFonts w:eastAsia="Times New Roman"/>
          <w:szCs w:val="28"/>
          <w:lang w:eastAsia="ru-RU"/>
        </w:rPr>
        <w:t>-6</w:t>
      </w:r>
    </w:p>
    <w:p w:rsidR="00F32158" w:rsidRPr="00F32158" w:rsidRDefault="00F32158" w:rsidP="005A6160">
      <w:pPr>
        <w:jc w:val="center"/>
        <w:rPr>
          <w:rFonts w:eastAsia="NewtonC-Bold" w:cs="NewtonC-Bold"/>
          <w:b/>
          <w:bCs/>
          <w:szCs w:val="28"/>
          <w:lang w:eastAsia="ru-RU"/>
        </w:rPr>
      </w:pPr>
      <w:r w:rsidRPr="00F32158">
        <w:rPr>
          <w:rFonts w:eastAsia="NewtonC-Bold" w:cs="NewtonC-Bold"/>
          <w:b/>
          <w:bCs/>
          <w:szCs w:val="28"/>
          <w:lang w:eastAsia="ru-RU"/>
        </w:rPr>
        <w:t>Смертність дітей України у віці до 1 року за причинами смер</w:t>
      </w:r>
      <w:r w:rsidR="00A70027">
        <w:rPr>
          <w:rFonts w:eastAsia="NewtonC-Bold" w:cs="NewtonC-Bold"/>
          <w:b/>
          <w:bCs/>
          <w:szCs w:val="28"/>
          <w:lang w:eastAsia="ru-RU"/>
        </w:rPr>
        <w:t xml:space="preserve">ті </w:t>
      </w:r>
      <w:r w:rsidRPr="00F32158">
        <w:rPr>
          <w:rFonts w:eastAsia="NewtonC-Bold" w:cs="NewtonC-Bold"/>
          <w:b/>
          <w:bCs/>
          <w:szCs w:val="28"/>
          <w:lang w:eastAsia="ru-RU"/>
        </w:rPr>
        <w:t>(місто, село) за період 2013-2017 рр. (на 10  тис. народжених живими)</w:t>
      </w:r>
    </w:p>
    <w:tbl>
      <w:tblPr>
        <w:tblW w:w="0" w:type="auto"/>
        <w:jc w:val="center"/>
        <w:tblInd w:w="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77"/>
        <w:gridCol w:w="737"/>
        <w:gridCol w:w="754"/>
        <w:gridCol w:w="754"/>
        <w:gridCol w:w="711"/>
        <w:gridCol w:w="711"/>
        <w:gridCol w:w="737"/>
        <w:gridCol w:w="754"/>
        <w:gridCol w:w="846"/>
        <w:gridCol w:w="711"/>
        <w:gridCol w:w="711"/>
      </w:tblGrid>
      <w:tr w:rsidR="00F32158" w:rsidRPr="00F32158" w:rsidTr="00BD1580">
        <w:trPr>
          <w:trHeight w:val="288"/>
          <w:jc w:val="center"/>
        </w:trPr>
        <w:tc>
          <w:tcPr>
            <w:tcW w:w="3277" w:type="dxa"/>
            <w:vMerge w:val="restart"/>
          </w:tcPr>
          <w:p w:rsidR="00F32158" w:rsidRPr="00F32158" w:rsidRDefault="00F32158" w:rsidP="00F32158">
            <w:pPr>
              <w:spacing w:line="276" w:lineRule="auto"/>
              <w:jc w:val="center"/>
              <w:rPr>
                <w:rFonts w:eastAsia="NewtonC-Bold"/>
                <w:bCs/>
                <w:sz w:val="22"/>
                <w:lang w:eastAsia="ru-RU"/>
              </w:rPr>
            </w:pPr>
          </w:p>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Причина смерті</w:t>
            </w:r>
          </w:p>
        </w:tc>
        <w:tc>
          <w:tcPr>
            <w:tcW w:w="0" w:type="auto"/>
            <w:gridSpan w:val="5"/>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val="en-US" w:eastAsia="ru-RU"/>
              </w:rPr>
              <w:t>Місто</w:t>
            </w:r>
          </w:p>
        </w:tc>
        <w:tc>
          <w:tcPr>
            <w:tcW w:w="0" w:type="auto"/>
            <w:gridSpan w:val="5"/>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Село</w:t>
            </w:r>
          </w:p>
        </w:tc>
      </w:tr>
      <w:tr w:rsidR="00F32158" w:rsidRPr="00F32158" w:rsidTr="00BD1580">
        <w:trPr>
          <w:trHeight w:val="160"/>
          <w:jc w:val="center"/>
        </w:trPr>
        <w:tc>
          <w:tcPr>
            <w:tcW w:w="3277" w:type="dxa"/>
            <w:vMerge/>
          </w:tcPr>
          <w:p w:rsidR="00F32158" w:rsidRPr="00F32158" w:rsidRDefault="00F32158" w:rsidP="00F32158">
            <w:pPr>
              <w:spacing w:line="276" w:lineRule="auto"/>
              <w:jc w:val="center"/>
              <w:rPr>
                <w:rFonts w:eastAsia="NewtonC-Bold"/>
                <w:bCs/>
                <w:sz w:val="22"/>
                <w:lang w:eastAsia="ru-RU"/>
              </w:rPr>
            </w:pPr>
          </w:p>
        </w:tc>
        <w:tc>
          <w:tcPr>
            <w:tcW w:w="0" w:type="auto"/>
          </w:tcPr>
          <w:p w:rsidR="00F32158" w:rsidRPr="00F32158" w:rsidRDefault="00F32158" w:rsidP="00F32158">
            <w:pPr>
              <w:spacing w:line="276" w:lineRule="auto"/>
              <w:jc w:val="center"/>
              <w:rPr>
                <w:rFonts w:eastAsia="NewtonC-Bold"/>
                <w:bCs/>
                <w:sz w:val="22"/>
                <w:lang w:val="en-US" w:eastAsia="ru-RU"/>
              </w:rPr>
            </w:pPr>
            <w:r w:rsidRPr="00F32158">
              <w:rPr>
                <w:rFonts w:eastAsia="NewtonC-Bold"/>
                <w:bCs/>
                <w:sz w:val="22"/>
                <w:lang w:eastAsia="ru-RU"/>
              </w:rPr>
              <w:t xml:space="preserve">2013 р. </w:t>
            </w:r>
          </w:p>
        </w:tc>
        <w:tc>
          <w:tcPr>
            <w:tcW w:w="0" w:type="auto"/>
          </w:tcPr>
          <w:p w:rsidR="00F32158" w:rsidRPr="00F32158" w:rsidRDefault="00F32158" w:rsidP="00F32158">
            <w:pPr>
              <w:spacing w:line="276" w:lineRule="auto"/>
              <w:jc w:val="center"/>
              <w:rPr>
                <w:rFonts w:eastAsia="NewtonC-Bold"/>
                <w:bCs/>
                <w:sz w:val="22"/>
                <w:lang w:val="en-US" w:eastAsia="ru-RU"/>
              </w:rPr>
            </w:pPr>
            <w:r w:rsidRPr="00F32158">
              <w:rPr>
                <w:rFonts w:eastAsia="NewtonC-Bold"/>
                <w:bCs/>
                <w:sz w:val="22"/>
                <w:lang w:eastAsia="ru-RU"/>
              </w:rPr>
              <w:t>2014 р.</w:t>
            </w:r>
            <w:r w:rsidRPr="00F32158">
              <w:rPr>
                <w:rFonts w:eastAsia="Times New Roman"/>
                <w:sz w:val="22"/>
                <w:vertAlign w:val="superscript"/>
                <w:lang w:val="ru-RU" w:eastAsia="ru-RU"/>
              </w:rPr>
              <w:t xml:space="preserve"> 1</w:t>
            </w:r>
          </w:p>
        </w:tc>
        <w:tc>
          <w:tcPr>
            <w:tcW w:w="0" w:type="auto"/>
          </w:tcPr>
          <w:p w:rsidR="00F32158" w:rsidRPr="00F32158" w:rsidRDefault="00F32158" w:rsidP="00F32158">
            <w:pPr>
              <w:spacing w:line="276" w:lineRule="auto"/>
              <w:jc w:val="center"/>
              <w:rPr>
                <w:rFonts w:eastAsia="NewtonC-Bold"/>
                <w:bCs/>
                <w:sz w:val="22"/>
                <w:lang w:val="en-US" w:eastAsia="ru-RU"/>
              </w:rPr>
            </w:pPr>
            <w:r w:rsidRPr="00F32158">
              <w:rPr>
                <w:rFonts w:eastAsia="NewtonC-Bold"/>
                <w:bCs/>
                <w:sz w:val="22"/>
                <w:lang w:eastAsia="ru-RU"/>
              </w:rPr>
              <w:t>2015 р.</w:t>
            </w:r>
            <w:r w:rsidRPr="00F32158">
              <w:rPr>
                <w:rFonts w:eastAsia="Times New Roman"/>
                <w:sz w:val="22"/>
                <w:vertAlign w:val="superscript"/>
                <w:lang w:val="ru-RU" w:eastAsia="ru-RU"/>
              </w:rPr>
              <w:t xml:space="preserve"> 1</w:t>
            </w:r>
          </w:p>
        </w:tc>
        <w:tc>
          <w:tcPr>
            <w:tcW w:w="0" w:type="auto"/>
          </w:tcPr>
          <w:p w:rsidR="00F32158" w:rsidRPr="00F32158" w:rsidRDefault="00F32158" w:rsidP="00F32158">
            <w:pPr>
              <w:spacing w:line="276" w:lineRule="auto"/>
              <w:jc w:val="center"/>
              <w:rPr>
                <w:rFonts w:eastAsia="NewtonC-Bold"/>
                <w:bCs/>
                <w:sz w:val="22"/>
                <w:lang w:val="en-US" w:eastAsia="ru-RU"/>
              </w:rPr>
            </w:pPr>
            <w:r w:rsidRPr="00F32158">
              <w:rPr>
                <w:rFonts w:eastAsia="NewtonC-Bold"/>
                <w:bCs/>
                <w:sz w:val="22"/>
                <w:lang w:val="en-US" w:eastAsia="ru-RU"/>
              </w:rPr>
              <w:t>2016</w:t>
            </w:r>
          </w:p>
        </w:tc>
        <w:tc>
          <w:tcPr>
            <w:tcW w:w="0" w:type="auto"/>
            <w:shd w:val="clear" w:color="auto" w:fill="auto"/>
          </w:tcPr>
          <w:p w:rsidR="00F32158" w:rsidRPr="00F32158" w:rsidRDefault="00F32158" w:rsidP="00F32158">
            <w:pPr>
              <w:spacing w:line="276" w:lineRule="auto"/>
              <w:jc w:val="center"/>
              <w:rPr>
                <w:rFonts w:eastAsia="NewtonC-Bold"/>
                <w:bCs/>
                <w:sz w:val="22"/>
                <w:highlight w:val="yellow"/>
                <w:lang w:val="en-US" w:eastAsia="ru-RU"/>
              </w:rPr>
            </w:pPr>
            <w:r w:rsidRPr="00F32158">
              <w:rPr>
                <w:rFonts w:eastAsia="NewtonC-Bold"/>
                <w:bCs/>
                <w:sz w:val="22"/>
                <w:lang w:val="en-US" w:eastAsia="ru-RU"/>
              </w:rPr>
              <w:t>2017</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 xml:space="preserve">2013 р. </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2014 р.</w:t>
            </w:r>
            <w:r w:rsidRPr="00F32158">
              <w:rPr>
                <w:rFonts w:eastAsia="Times New Roman"/>
                <w:sz w:val="22"/>
                <w:vertAlign w:val="superscript"/>
                <w:lang w:val="ru-RU" w:eastAsia="ru-RU"/>
              </w:rPr>
              <w:t xml:space="preserve"> 1</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2015 р.</w:t>
            </w:r>
            <w:r w:rsidRPr="00F32158">
              <w:rPr>
                <w:rFonts w:eastAsia="Times New Roman"/>
                <w:sz w:val="22"/>
                <w:vertAlign w:val="superscript"/>
                <w:lang w:val="ru-RU" w:eastAsia="ru-RU"/>
              </w:rPr>
              <w:t xml:space="preserve"> 1</w:t>
            </w:r>
          </w:p>
        </w:tc>
        <w:tc>
          <w:tcPr>
            <w:tcW w:w="0" w:type="auto"/>
          </w:tcPr>
          <w:p w:rsidR="00F32158" w:rsidRPr="00F32158" w:rsidRDefault="00F32158" w:rsidP="00F32158">
            <w:pPr>
              <w:spacing w:line="276" w:lineRule="auto"/>
              <w:jc w:val="center"/>
              <w:rPr>
                <w:rFonts w:eastAsia="NewtonC-Bold"/>
                <w:bCs/>
                <w:sz w:val="22"/>
                <w:lang w:val="en-US" w:eastAsia="ru-RU"/>
              </w:rPr>
            </w:pPr>
            <w:r w:rsidRPr="00F32158">
              <w:rPr>
                <w:rFonts w:eastAsia="NewtonC-Bold"/>
                <w:bCs/>
                <w:sz w:val="22"/>
                <w:lang w:val="en-US" w:eastAsia="ru-RU"/>
              </w:rPr>
              <w:t>2016</w:t>
            </w:r>
          </w:p>
        </w:tc>
        <w:tc>
          <w:tcPr>
            <w:tcW w:w="0" w:type="auto"/>
          </w:tcPr>
          <w:p w:rsidR="00F32158" w:rsidRPr="00F32158" w:rsidRDefault="00F32158" w:rsidP="00F32158">
            <w:pPr>
              <w:spacing w:line="276" w:lineRule="auto"/>
              <w:jc w:val="center"/>
              <w:rPr>
                <w:rFonts w:eastAsia="NewtonC-Bold"/>
                <w:bCs/>
                <w:sz w:val="22"/>
                <w:lang w:val="en-US" w:eastAsia="ru-RU"/>
              </w:rPr>
            </w:pPr>
            <w:r w:rsidRPr="00F32158">
              <w:rPr>
                <w:rFonts w:eastAsia="NewtonC-Bold"/>
                <w:bCs/>
                <w:sz w:val="22"/>
                <w:lang w:val="en-US" w:eastAsia="ru-RU"/>
              </w:rPr>
              <w:t>2017</w:t>
            </w:r>
          </w:p>
        </w:tc>
      </w:tr>
      <w:tr w:rsidR="00F32158" w:rsidRPr="00F32158" w:rsidTr="00BD1580">
        <w:trPr>
          <w:trHeight w:val="291"/>
          <w:jc w:val="center"/>
        </w:trPr>
        <w:tc>
          <w:tcPr>
            <w:tcW w:w="3277" w:type="dxa"/>
          </w:tcPr>
          <w:p w:rsidR="00F32158" w:rsidRPr="00F32158" w:rsidRDefault="00F32158" w:rsidP="00F32158">
            <w:pPr>
              <w:spacing w:line="276" w:lineRule="auto"/>
              <w:rPr>
                <w:rFonts w:eastAsia="Times New Roman"/>
                <w:bCs/>
                <w:sz w:val="22"/>
                <w:lang w:val="ru-RU" w:eastAsia="ru-RU"/>
              </w:rPr>
            </w:pPr>
            <w:r w:rsidRPr="00F32158">
              <w:rPr>
                <w:rFonts w:eastAsia="Times New Roman"/>
                <w:bCs/>
                <w:sz w:val="22"/>
                <w:lang w:val="ru-RU" w:eastAsia="ru-RU"/>
              </w:rPr>
              <w:t>Клас I. Деякі інфекційні та паразитарні хвороби</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1,56</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1,58</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1,59</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1,57</w:t>
            </w:r>
          </w:p>
        </w:tc>
        <w:tc>
          <w:tcPr>
            <w:tcW w:w="0" w:type="auto"/>
            <w:shd w:val="clear" w:color="auto" w:fill="auto"/>
          </w:tcPr>
          <w:p w:rsidR="00F32158" w:rsidRPr="00F32158" w:rsidRDefault="00F32158" w:rsidP="00F32158">
            <w:pPr>
              <w:spacing w:line="276" w:lineRule="auto"/>
              <w:jc w:val="center"/>
              <w:rPr>
                <w:rFonts w:eastAsia="NewtonC-Bold"/>
                <w:bCs/>
                <w:sz w:val="22"/>
                <w:highlight w:val="yellow"/>
                <w:lang w:eastAsia="ru-RU"/>
              </w:rPr>
            </w:pPr>
            <w:r w:rsidRPr="00F32158">
              <w:rPr>
                <w:rFonts w:eastAsia="NewtonC-Bold"/>
                <w:bCs/>
                <w:sz w:val="22"/>
                <w:lang w:eastAsia="ru-RU"/>
              </w:rPr>
              <w:t>1,54</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3,41</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3,15</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3,41</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3,27</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2.40</w:t>
            </w:r>
          </w:p>
        </w:tc>
      </w:tr>
      <w:tr w:rsidR="00F32158" w:rsidRPr="00F32158" w:rsidTr="00BD1580">
        <w:trPr>
          <w:trHeight w:val="180"/>
          <w:jc w:val="center"/>
        </w:trPr>
        <w:tc>
          <w:tcPr>
            <w:tcW w:w="3277" w:type="dxa"/>
          </w:tcPr>
          <w:p w:rsidR="00F32158" w:rsidRPr="00F32158" w:rsidRDefault="00F32158" w:rsidP="00F32158">
            <w:pPr>
              <w:spacing w:line="276" w:lineRule="auto"/>
              <w:rPr>
                <w:rFonts w:eastAsia="Times New Roman"/>
                <w:bCs/>
                <w:sz w:val="22"/>
                <w:lang w:eastAsia="ru-RU"/>
              </w:rPr>
            </w:pPr>
            <w:r w:rsidRPr="00F32158">
              <w:rPr>
                <w:rFonts w:eastAsia="Times New Roman"/>
                <w:bCs/>
                <w:sz w:val="22"/>
                <w:lang w:val="ru-RU" w:eastAsia="ru-RU"/>
              </w:rPr>
              <w:t>Клас II.</w:t>
            </w:r>
            <w:r w:rsidRPr="00F32158">
              <w:rPr>
                <w:rFonts w:eastAsia="Times New Roman"/>
                <w:bCs/>
                <w:sz w:val="22"/>
                <w:lang w:eastAsia="ru-RU"/>
              </w:rPr>
              <w:t xml:space="preserve"> </w:t>
            </w:r>
            <w:r w:rsidRPr="00F32158">
              <w:rPr>
                <w:rFonts w:eastAsia="Times New Roman"/>
                <w:bCs/>
                <w:sz w:val="22"/>
                <w:lang w:val="ru-RU" w:eastAsia="ru-RU"/>
              </w:rPr>
              <w:t>Новоутворення</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0,84</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0,68</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0,94</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0,80</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0,52</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0,91</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0,86</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0,99</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0,78</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0,84</w:t>
            </w:r>
          </w:p>
        </w:tc>
      </w:tr>
      <w:tr w:rsidR="00F32158" w:rsidRPr="00F32158" w:rsidTr="00BD1580">
        <w:trPr>
          <w:trHeight w:val="479"/>
          <w:jc w:val="center"/>
        </w:trPr>
        <w:tc>
          <w:tcPr>
            <w:tcW w:w="3277" w:type="dxa"/>
          </w:tcPr>
          <w:p w:rsidR="00F32158" w:rsidRPr="00F32158" w:rsidRDefault="00F32158" w:rsidP="00F32158">
            <w:pPr>
              <w:spacing w:line="276" w:lineRule="auto"/>
              <w:rPr>
                <w:rFonts w:eastAsia="Times New Roman"/>
                <w:bCs/>
                <w:sz w:val="22"/>
                <w:lang w:val="ru-RU" w:eastAsia="ru-RU"/>
              </w:rPr>
            </w:pPr>
            <w:r w:rsidRPr="00F32158">
              <w:rPr>
                <w:rFonts w:eastAsia="Times New Roman"/>
                <w:bCs/>
                <w:sz w:val="22"/>
                <w:lang w:val="ru-RU" w:eastAsia="ru-RU"/>
              </w:rPr>
              <w:t xml:space="preserve">Клас ІІІ. Хвороби крові </w:t>
            </w:r>
            <w:r w:rsidRPr="00F32158">
              <w:rPr>
                <w:rFonts w:eastAsia="Times New Roman"/>
                <w:bCs/>
                <w:sz w:val="22"/>
                <w:lang w:eastAsia="ru-RU"/>
              </w:rPr>
              <w:t xml:space="preserve">й </w:t>
            </w:r>
            <w:r w:rsidRPr="00F32158">
              <w:rPr>
                <w:rFonts w:eastAsia="Times New Roman"/>
                <w:bCs/>
                <w:sz w:val="22"/>
                <w:lang w:val="ru-RU" w:eastAsia="ru-RU"/>
              </w:rPr>
              <w:t>кровотворних органів та окремі порушення із залученням імунного механізму</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0,27</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0,36</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0,58</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0,46</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0,40</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0,40</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0,62</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0,94</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0,21</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0,54</w:t>
            </w:r>
          </w:p>
        </w:tc>
      </w:tr>
      <w:tr w:rsidR="00F32158" w:rsidRPr="00F32158" w:rsidTr="00BD1580">
        <w:trPr>
          <w:trHeight w:val="527"/>
          <w:jc w:val="center"/>
        </w:trPr>
        <w:tc>
          <w:tcPr>
            <w:tcW w:w="3277" w:type="dxa"/>
          </w:tcPr>
          <w:p w:rsidR="00F32158" w:rsidRPr="00F32158" w:rsidRDefault="00F32158" w:rsidP="00F32158">
            <w:pPr>
              <w:spacing w:line="276" w:lineRule="auto"/>
              <w:rPr>
                <w:rFonts w:eastAsia="NewtonC-Bold"/>
                <w:bCs/>
                <w:sz w:val="22"/>
                <w:lang w:val="ru-RU" w:eastAsia="ru-RU"/>
              </w:rPr>
            </w:pPr>
            <w:r w:rsidRPr="00F32158">
              <w:rPr>
                <w:rFonts w:eastAsia="Times New Roman"/>
                <w:bCs/>
                <w:sz w:val="22"/>
                <w:lang w:val="ru-RU" w:eastAsia="ru-RU"/>
              </w:rPr>
              <w:t>Клас ІV. Хвороби ендокринної системи, розлади харчування та порушення обміну речовин</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0,75</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0,68</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0,46</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0,73</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0,45</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1,43</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0,99</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0,93</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1,54</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0,92</w:t>
            </w:r>
          </w:p>
        </w:tc>
      </w:tr>
      <w:tr w:rsidR="00F32158" w:rsidRPr="00F32158" w:rsidTr="00BD1580">
        <w:trPr>
          <w:trHeight w:val="341"/>
          <w:jc w:val="center"/>
        </w:trPr>
        <w:tc>
          <w:tcPr>
            <w:tcW w:w="3277" w:type="dxa"/>
          </w:tcPr>
          <w:p w:rsidR="00F32158" w:rsidRPr="00F32158" w:rsidRDefault="00F32158" w:rsidP="00F32158">
            <w:pPr>
              <w:spacing w:line="276" w:lineRule="auto"/>
              <w:rPr>
                <w:rFonts w:eastAsia="Times New Roman"/>
                <w:bCs/>
                <w:sz w:val="22"/>
                <w:lang w:eastAsia="ru-RU"/>
              </w:rPr>
            </w:pPr>
            <w:r w:rsidRPr="00F32158">
              <w:rPr>
                <w:rFonts w:eastAsia="Times New Roman"/>
                <w:bCs/>
                <w:sz w:val="22"/>
                <w:lang w:val="ru-RU" w:eastAsia="ru-RU"/>
              </w:rPr>
              <w:t>Клас VI. Хвороби нервової системи</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2,626</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3,026</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2,452</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2,22</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1,74</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3,07</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2,16</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2,65</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2,62</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2,84</w:t>
            </w:r>
          </w:p>
        </w:tc>
      </w:tr>
      <w:tr w:rsidR="00F32158" w:rsidRPr="00F32158" w:rsidTr="00BD1580">
        <w:trPr>
          <w:trHeight w:val="180"/>
          <w:jc w:val="center"/>
        </w:trPr>
        <w:tc>
          <w:tcPr>
            <w:tcW w:w="3277" w:type="dxa"/>
          </w:tcPr>
          <w:p w:rsidR="00F32158" w:rsidRPr="00F32158" w:rsidRDefault="00F32158" w:rsidP="00F32158">
            <w:pPr>
              <w:spacing w:line="276" w:lineRule="auto"/>
              <w:rPr>
                <w:rFonts w:eastAsia="Times New Roman"/>
                <w:bCs/>
                <w:sz w:val="22"/>
                <w:lang w:val="ru-RU" w:eastAsia="ru-RU"/>
              </w:rPr>
            </w:pPr>
            <w:r w:rsidRPr="00F32158">
              <w:rPr>
                <w:rFonts w:eastAsia="Times New Roman"/>
                <w:bCs/>
                <w:sz w:val="22"/>
                <w:lang w:val="ru-RU" w:eastAsia="ru-RU"/>
              </w:rPr>
              <w:t>Клас VIII. Хвороби вуха та</w:t>
            </w:r>
            <w:r w:rsidRPr="00F32158">
              <w:rPr>
                <w:rFonts w:eastAsia="Times New Roman"/>
                <w:bCs/>
                <w:sz w:val="22"/>
                <w:lang w:eastAsia="ru-RU"/>
              </w:rPr>
              <w:t xml:space="preserve"> </w:t>
            </w:r>
            <w:r w:rsidRPr="00F32158">
              <w:rPr>
                <w:rFonts w:eastAsia="Times New Roman"/>
                <w:bCs/>
                <w:sz w:val="22"/>
                <w:lang w:val="ru-RU" w:eastAsia="ru-RU"/>
              </w:rPr>
              <w:t>соскоподібного відростка</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0,062</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w:t>
            </w:r>
          </w:p>
        </w:tc>
      </w:tr>
      <w:tr w:rsidR="00F32158" w:rsidRPr="00F32158" w:rsidTr="00BD1580">
        <w:trPr>
          <w:trHeight w:val="293"/>
          <w:jc w:val="center"/>
        </w:trPr>
        <w:tc>
          <w:tcPr>
            <w:tcW w:w="3277" w:type="dxa"/>
          </w:tcPr>
          <w:p w:rsidR="00F32158" w:rsidRPr="00F32158" w:rsidRDefault="00F32158" w:rsidP="00F32158">
            <w:pPr>
              <w:spacing w:line="276" w:lineRule="auto"/>
              <w:rPr>
                <w:rFonts w:eastAsia="Times New Roman"/>
                <w:bCs/>
                <w:sz w:val="22"/>
                <w:lang w:eastAsia="ru-RU"/>
              </w:rPr>
            </w:pPr>
            <w:r w:rsidRPr="00F32158">
              <w:rPr>
                <w:rFonts w:eastAsia="Times New Roman"/>
                <w:bCs/>
                <w:sz w:val="22"/>
                <w:lang w:val="ru-RU" w:eastAsia="ru-RU"/>
              </w:rPr>
              <w:t>Клас ІХ. Хвороби системи кровообігу</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1,22</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1,11</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1,14</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0,85</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0,86</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1,76</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1,23</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0,86</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1,49</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1,31</w:t>
            </w:r>
          </w:p>
        </w:tc>
      </w:tr>
      <w:tr w:rsidR="00F32158" w:rsidRPr="00F32158" w:rsidTr="00BD1580">
        <w:trPr>
          <w:trHeight w:val="180"/>
          <w:jc w:val="center"/>
        </w:trPr>
        <w:tc>
          <w:tcPr>
            <w:tcW w:w="3277" w:type="dxa"/>
          </w:tcPr>
          <w:p w:rsidR="00F32158" w:rsidRPr="00F32158" w:rsidRDefault="00F32158" w:rsidP="00F32158">
            <w:pPr>
              <w:spacing w:line="276" w:lineRule="auto"/>
              <w:rPr>
                <w:rFonts w:eastAsia="Times New Roman"/>
                <w:bCs/>
                <w:sz w:val="22"/>
                <w:lang w:eastAsia="ru-RU"/>
              </w:rPr>
            </w:pPr>
            <w:r w:rsidRPr="00F32158">
              <w:rPr>
                <w:rFonts w:eastAsia="Times New Roman"/>
                <w:bCs/>
                <w:sz w:val="22"/>
                <w:lang w:val="ru-RU" w:eastAsia="ru-RU"/>
              </w:rPr>
              <w:t>Клас Х. Хвороби органів дихання</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1,91</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2,01</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2,70</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2,03</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1,94</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2,78</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3,08</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3,17</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4,72</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3,92</w:t>
            </w:r>
          </w:p>
        </w:tc>
      </w:tr>
      <w:tr w:rsidR="00F32158" w:rsidRPr="00F32158" w:rsidTr="00BD1580">
        <w:trPr>
          <w:trHeight w:val="287"/>
          <w:jc w:val="center"/>
        </w:trPr>
        <w:tc>
          <w:tcPr>
            <w:tcW w:w="3277" w:type="dxa"/>
          </w:tcPr>
          <w:p w:rsidR="00F32158" w:rsidRPr="00F32158" w:rsidRDefault="00F32158" w:rsidP="00F32158">
            <w:pPr>
              <w:spacing w:line="276" w:lineRule="auto"/>
              <w:rPr>
                <w:rFonts w:eastAsia="Times New Roman"/>
                <w:bCs/>
                <w:sz w:val="22"/>
                <w:lang w:eastAsia="ru-RU"/>
              </w:rPr>
            </w:pPr>
            <w:r w:rsidRPr="00F32158">
              <w:rPr>
                <w:rFonts w:eastAsia="Times New Roman"/>
                <w:bCs/>
                <w:sz w:val="22"/>
                <w:lang w:val="ru-RU" w:eastAsia="ru-RU"/>
              </w:rPr>
              <w:t>Клас ХІ. Хвороби органів травлення</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0,27</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0,36</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0,34</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0,19</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0,29</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0,51</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0,37</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0,06</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0,29</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0,30</w:t>
            </w:r>
          </w:p>
        </w:tc>
      </w:tr>
      <w:tr w:rsidR="00F32158" w:rsidRPr="00F32158" w:rsidTr="00BD1580">
        <w:trPr>
          <w:trHeight w:val="174"/>
          <w:jc w:val="center"/>
        </w:trPr>
        <w:tc>
          <w:tcPr>
            <w:tcW w:w="3277" w:type="dxa"/>
          </w:tcPr>
          <w:p w:rsidR="00F32158" w:rsidRPr="00F32158" w:rsidRDefault="00F32158" w:rsidP="00F32158">
            <w:pPr>
              <w:spacing w:line="276" w:lineRule="auto"/>
              <w:rPr>
                <w:rFonts w:eastAsia="Times New Roman"/>
                <w:bCs/>
                <w:sz w:val="22"/>
                <w:lang w:eastAsia="ru-RU"/>
              </w:rPr>
            </w:pPr>
            <w:r w:rsidRPr="00F32158">
              <w:rPr>
                <w:rFonts w:eastAsia="Times New Roman"/>
                <w:bCs/>
                <w:sz w:val="22"/>
                <w:lang w:val="ru-RU" w:eastAsia="ru-RU"/>
              </w:rPr>
              <w:t>Клас ХІV. Хвороби сечостатевої системи</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0,03</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0,15</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0,04</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0,07</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w:t>
            </w:r>
          </w:p>
        </w:tc>
      </w:tr>
      <w:tr w:rsidR="00F32158" w:rsidRPr="00F32158" w:rsidTr="00BD1580">
        <w:trPr>
          <w:trHeight w:val="540"/>
          <w:jc w:val="center"/>
        </w:trPr>
        <w:tc>
          <w:tcPr>
            <w:tcW w:w="3277" w:type="dxa"/>
          </w:tcPr>
          <w:p w:rsidR="00F32158" w:rsidRPr="00F32158" w:rsidRDefault="00F32158" w:rsidP="00F32158">
            <w:pPr>
              <w:spacing w:line="276" w:lineRule="auto"/>
              <w:rPr>
                <w:rFonts w:eastAsia="Times New Roman"/>
                <w:bCs/>
                <w:sz w:val="22"/>
                <w:lang w:eastAsia="ru-RU"/>
              </w:rPr>
            </w:pPr>
            <w:r w:rsidRPr="00F32158">
              <w:rPr>
                <w:rFonts w:eastAsia="Times New Roman"/>
                <w:bCs/>
                <w:sz w:val="22"/>
                <w:lang w:val="ru-RU" w:eastAsia="ru-RU"/>
              </w:rPr>
              <w:t xml:space="preserve">Клас ХVI. Окремі стани, що виникають у перинатальному періоді </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43,09</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43,44</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42,24</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39,61</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41,87</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40,61</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39,26</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40,94</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39,15</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43,54</w:t>
            </w:r>
          </w:p>
        </w:tc>
      </w:tr>
      <w:tr w:rsidR="00F32158" w:rsidRPr="00F32158" w:rsidTr="00BD1580">
        <w:trPr>
          <w:trHeight w:val="525"/>
          <w:jc w:val="center"/>
        </w:trPr>
        <w:tc>
          <w:tcPr>
            <w:tcW w:w="3277" w:type="dxa"/>
          </w:tcPr>
          <w:p w:rsidR="00F32158" w:rsidRPr="00F32158" w:rsidRDefault="00F32158" w:rsidP="00F32158">
            <w:pPr>
              <w:spacing w:line="276" w:lineRule="auto"/>
              <w:rPr>
                <w:rFonts w:eastAsia="Times New Roman"/>
                <w:bCs/>
                <w:sz w:val="22"/>
                <w:lang w:val="ru-RU" w:eastAsia="ru-RU"/>
              </w:rPr>
            </w:pPr>
            <w:r w:rsidRPr="00F32158">
              <w:rPr>
                <w:rFonts w:eastAsia="Times New Roman"/>
                <w:bCs/>
                <w:sz w:val="22"/>
                <w:lang w:val="ru-RU" w:eastAsia="ru-RU"/>
              </w:rPr>
              <w:t>Клас ХVII. Природжені вади розвитку, деформації та хромосомні аномалії</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17,98</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16,57</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17,33</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16,15</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15,51</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20,93</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20,14</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22,807</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20,16</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21,85</w:t>
            </w:r>
          </w:p>
        </w:tc>
      </w:tr>
      <w:tr w:rsidR="00F32158" w:rsidRPr="00F32158" w:rsidTr="00BD1580">
        <w:trPr>
          <w:trHeight w:val="345"/>
          <w:jc w:val="center"/>
        </w:trPr>
        <w:tc>
          <w:tcPr>
            <w:tcW w:w="3277" w:type="dxa"/>
          </w:tcPr>
          <w:p w:rsidR="00F32158" w:rsidRPr="00F32158" w:rsidRDefault="00F32158" w:rsidP="00F32158">
            <w:pPr>
              <w:spacing w:line="276" w:lineRule="auto"/>
              <w:rPr>
                <w:rFonts w:eastAsia="Times New Roman"/>
                <w:bCs/>
                <w:sz w:val="22"/>
                <w:lang w:eastAsia="ru-RU"/>
              </w:rPr>
            </w:pPr>
            <w:r w:rsidRPr="00F32158">
              <w:rPr>
                <w:rFonts w:eastAsia="Times New Roman"/>
                <w:bCs/>
                <w:sz w:val="22"/>
                <w:lang w:eastAsia="ru-RU"/>
              </w:rPr>
              <w:t>Клас Х</w:t>
            </w:r>
            <w:r w:rsidRPr="00F32158">
              <w:rPr>
                <w:rFonts w:eastAsia="Times New Roman"/>
                <w:bCs/>
                <w:sz w:val="22"/>
                <w:lang w:val="en-US" w:eastAsia="ru-RU"/>
              </w:rPr>
              <w:t>VIII</w:t>
            </w:r>
            <w:r w:rsidRPr="00F32158">
              <w:rPr>
                <w:rFonts w:eastAsia="Times New Roman"/>
                <w:bCs/>
                <w:sz w:val="22"/>
                <w:lang w:eastAsia="ru-RU"/>
              </w:rPr>
              <w:t>. Симптоми, ознаки і відхилення від норми, що виявлені при лабораторних та клінічних дослідженнях, не класифіковані в інших рубриках</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2,52</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2,51</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1,68</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1,50</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1,44</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3,78</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3,71</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3,45</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2,36</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3,45</w:t>
            </w:r>
          </w:p>
        </w:tc>
      </w:tr>
      <w:tr w:rsidR="00F32158" w:rsidRPr="00F32158" w:rsidTr="00BD1580">
        <w:trPr>
          <w:trHeight w:val="285"/>
          <w:jc w:val="center"/>
        </w:trPr>
        <w:tc>
          <w:tcPr>
            <w:tcW w:w="3277" w:type="dxa"/>
          </w:tcPr>
          <w:p w:rsidR="00F32158" w:rsidRPr="00F32158" w:rsidRDefault="00F32158" w:rsidP="00F32158">
            <w:pPr>
              <w:spacing w:line="276" w:lineRule="auto"/>
              <w:rPr>
                <w:rFonts w:eastAsia="Times New Roman"/>
                <w:bCs/>
                <w:sz w:val="22"/>
                <w:lang w:eastAsia="ru-RU"/>
              </w:rPr>
            </w:pPr>
            <w:r w:rsidRPr="00F32158">
              <w:rPr>
                <w:rFonts w:eastAsia="Times New Roman"/>
                <w:bCs/>
                <w:sz w:val="22"/>
                <w:lang w:val="ru-RU" w:eastAsia="ru-RU"/>
              </w:rPr>
              <w:t>Всі інші хвороби</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0,029</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0,096</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0,075</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0,06</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0,07</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0,07</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w:t>
            </w:r>
          </w:p>
        </w:tc>
      </w:tr>
      <w:tr w:rsidR="00F32158" w:rsidRPr="00F32158" w:rsidTr="00BD1580">
        <w:trPr>
          <w:trHeight w:val="225"/>
          <w:jc w:val="center"/>
        </w:trPr>
        <w:tc>
          <w:tcPr>
            <w:tcW w:w="3277" w:type="dxa"/>
          </w:tcPr>
          <w:p w:rsidR="00F32158" w:rsidRPr="00F32158" w:rsidRDefault="00F32158" w:rsidP="00F32158">
            <w:pPr>
              <w:spacing w:line="276" w:lineRule="auto"/>
              <w:rPr>
                <w:rFonts w:eastAsia="Times New Roman"/>
                <w:bCs/>
                <w:sz w:val="22"/>
                <w:lang w:eastAsia="ru-RU"/>
              </w:rPr>
            </w:pPr>
            <w:r w:rsidRPr="00F32158">
              <w:rPr>
                <w:rFonts w:eastAsia="Times New Roman"/>
                <w:bCs/>
                <w:sz w:val="22"/>
                <w:lang w:val="ru-RU" w:eastAsia="ru-RU"/>
              </w:rPr>
              <w:t>Клас ХХ. Зовнішні причини захворюваності та смертності</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3,354</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3,421</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3,537</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2,60</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2,75</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6,10</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7,10</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6,12</w:t>
            </w:r>
          </w:p>
        </w:tc>
        <w:tc>
          <w:tcPr>
            <w:tcW w:w="0" w:type="auto"/>
          </w:tcPr>
          <w:p w:rsidR="00F32158" w:rsidRPr="00F32158" w:rsidRDefault="00F32158" w:rsidP="00F32158">
            <w:pPr>
              <w:spacing w:line="276" w:lineRule="auto"/>
              <w:jc w:val="center"/>
              <w:rPr>
                <w:rFonts w:eastAsia="NewtonC-Bold"/>
                <w:bCs/>
                <w:sz w:val="22"/>
                <w:lang w:val="ru-RU" w:eastAsia="ru-RU"/>
              </w:rPr>
            </w:pPr>
            <w:r w:rsidRPr="00F32158">
              <w:rPr>
                <w:rFonts w:eastAsia="NewtonC-Bold"/>
                <w:bCs/>
                <w:sz w:val="22"/>
                <w:lang w:eastAsia="ru-RU"/>
              </w:rPr>
              <w:t>6,82</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5,58</w:t>
            </w:r>
          </w:p>
        </w:tc>
      </w:tr>
    </w:tbl>
    <w:p w:rsidR="00F32158" w:rsidRPr="00BD1580" w:rsidRDefault="00F32158" w:rsidP="00BD1580">
      <w:pPr>
        <w:tabs>
          <w:tab w:val="left" w:pos="900"/>
        </w:tabs>
        <w:spacing w:line="240" w:lineRule="auto"/>
        <w:rPr>
          <w:rFonts w:eastAsia="Times New Roman"/>
          <w:sz w:val="20"/>
          <w:szCs w:val="20"/>
          <w:lang w:val="ru-RU" w:eastAsia="ru-RU"/>
        </w:rPr>
      </w:pPr>
      <w:r w:rsidRPr="00F32158">
        <w:rPr>
          <w:rFonts w:eastAsia="Times New Roman"/>
          <w:sz w:val="20"/>
          <w:szCs w:val="20"/>
          <w:vertAlign w:val="superscript"/>
          <w:lang w:val="ru-RU" w:eastAsia="ru-RU"/>
        </w:rPr>
        <w:t>1</w:t>
      </w:r>
      <w:r w:rsidRPr="00F32158">
        <w:rPr>
          <w:rFonts w:eastAsia="Times New Roman"/>
          <w:sz w:val="20"/>
          <w:szCs w:val="20"/>
          <w:lang w:val="ru-RU" w:eastAsia="ru-RU"/>
        </w:rPr>
        <w:t>Без урахування тимчасово окупованої території Автономної Республіки Крим і м. Севастополя та частини зони проведення антитерористичної операції</w:t>
      </w:r>
    </w:p>
    <w:p w:rsidR="00F32158" w:rsidRPr="00F32158" w:rsidRDefault="00B11B16" w:rsidP="005D3D66">
      <w:pPr>
        <w:pageBreakBefore/>
        <w:widowControl w:val="0"/>
        <w:jc w:val="right"/>
        <w:rPr>
          <w:rFonts w:eastAsia="NewtonC-Bold" w:cs="NewtonC-Bold"/>
          <w:bCs/>
          <w:szCs w:val="28"/>
          <w:lang w:eastAsia="ru-RU"/>
        </w:rPr>
      </w:pPr>
      <w:r>
        <w:rPr>
          <w:rFonts w:eastAsia="NewtonC-Bold" w:cs="NewtonC-Bold"/>
          <w:bCs/>
          <w:szCs w:val="28"/>
          <w:lang w:eastAsia="ru-RU"/>
        </w:rPr>
        <w:lastRenderedPageBreak/>
        <w:t>Додаток Б</w:t>
      </w:r>
      <w:r w:rsidR="00F32158" w:rsidRPr="00F32158">
        <w:rPr>
          <w:rFonts w:eastAsia="NewtonC-Bold" w:cs="NewtonC-Bold"/>
          <w:bCs/>
          <w:szCs w:val="28"/>
          <w:lang w:eastAsia="ru-RU"/>
        </w:rPr>
        <w:t xml:space="preserve">-7 </w:t>
      </w:r>
    </w:p>
    <w:p w:rsidR="00F32158" w:rsidRPr="00F32158" w:rsidRDefault="00F32158" w:rsidP="00F32158">
      <w:pPr>
        <w:jc w:val="center"/>
        <w:rPr>
          <w:rFonts w:eastAsia="NewtonC-Bold" w:cs="NewtonC-Bold"/>
          <w:b/>
          <w:bCs/>
          <w:szCs w:val="28"/>
          <w:lang w:eastAsia="ru-RU"/>
        </w:rPr>
      </w:pPr>
      <w:r w:rsidRPr="00F32158">
        <w:rPr>
          <w:rFonts w:eastAsia="NewtonC-Bold" w:cs="NewtonC-Bold"/>
          <w:b/>
          <w:bCs/>
          <w:szCs w:val="28"/>
          <w:lang w:eastAsia="ru-RU"/>
        </w:rPr>
        <w:t>Загальна смертність дітей України у віці до 1 року за причинами смерті та статтю за період 201</w:t>
      </w:r>
      <w:r w:rsidRPr="00F32158">
        <w:rPr>
          <w:rFonts w:eastAsia="NewtonC-Bold" w:cs="NewtonC-Bold"/>
          <w:b/>
          <w:bCs/>
          <w:szCs w:val="28"/>
          <w:lang w:val="ru-RU" w:eastAsia="ru-RU"/>
        </w:rPr>
        <w:t>3</w:t>
      </w:r>
      <w:r w:rsidRPr="00F32158">
        <w:rPr>
          <w:rFonts w:eastAsia="NewtonC-Bold" w:cs="NewtonC-Bold"/>
          <w:b/>
          <w:bCs/>
          <w:szCs w:val="28"/>
          <w:lang w:eastAsia="ru-RU"/>
        </w:rPr>
        <w:t>-201</w:t>
      </w:r>
      <w:r w:rsidRPr="00F32158">
        <w:rPr>
          <w:rFonts w:eastAsia="NewtonC-Bold" w:cs="NewtonC-Bold"/>
          <w:b/>
          <w:bCs/>
          <w:szCs w:val="28"/>
          <w:lang w:val="ru-RU" w:eastAsia="ru-RU"/>
        </w:rPr>
        <w:t>7</w:t>
      </w:r>
      <w:r w:rsidRPr="00F32158">
        <w:rPr>
          <w:rFonts w:eastAsia="NewtonC-Bold" w:cs="NewtonC-Bold"/>
          <w:b/>
          <w:bCs/>
          <w:szCs w:val="28"/>
          <w:lang w:eastAsia="ru-RU"/>
        </w:rPr>
        <w:t xml:space="preserve"> рр. (на 10  тис. народжених живими)</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453"/>
        <w:gridCol w:w="733"/>
        <w:gridCol w:w="748"/>
        <w:gridCol w:w="748"/>
        <w:gridCol w:w="711"/>
        <w:gridCol w:w="711"/>
        <w:gridCol w:w="733"/>
        <w:gridCol w:w="748"/>
        <w:gridCol w:w="748"/>
        <w:gridCol w:w="711"/>
        <w:gridCol w:w="711"/>
      </w:tblGrid>
      <w:tr w:rsidR="00F32158" w:rsidRPr="00F32158" w:rsidTr="00BF1F99">
        <w:trPr>
          <w:trHeight w:val="360"/>
          <w:jc w:val="center"/>
        </w:trPr>
        <w:tc>
          <w:tcPr>
            <w:tcW w:w="0" w:type="auto"/>
            <w:vMerge w:val="restart"/>
          </w:tcPr>
          <w:p w:rsidR="00F32158" w:rsidRPr="00F32158" w:rsidRDefault="00F32158" w:rsidP="00F32158">
            <w:pPr>
              <w:spacing w:line="276" w:lineRule="auto"/>
              <w:jc w:val="center"/>
              <w:rPr>
                <w:rFonts w:eastAsia="NewtonC-Bold"/>
                <w:bCs/>
                <w:sz w:val="22"/>
                <w:lang w:eastAsia="ru-RU"/>
              </w:rPr>
            </w:pPr>
          </w:p>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Причина смерті</w:t>
            </w:r>
          </w:p>
        </w:tc>
        <w:tc>
          <w:tcPr>
            <w:tcW w:w="0" w:type="auto"/>
            <w:gridSpan w:val="5"/>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Хлопчики</w:t>
            </w:r>
          </w:p>
        </w:tc>
        <w:tc>
          <w:tcPr>
            <w:tcW w:w="0" w:type="auto"/>
            <w:gridSpan w:val="5"/>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Дівчатка</w:t>
            </w:r>
          </w:p>
        </w:tc>
      </w:tr>
      <w:tr w:rsidR="00F32158" w:rsidRPr="00F32158" w:rsidTr="00BF1F99">
        <w:trPr>
          <w:trHeight w:val="501"/>
          <w:jc w:val="center"/>
        </w:trPr>
        <w:tc>
          <w:tcPr>
            <w:tcW w:w="0" w:type="auto"/>
            <w:vMerge/>
          </w:tcPr>
          <w:p w:rsidR="00F32158" w:rsidRPr="00F32158" w:rsidRDefault="00F32158" w:rsidP="00F32158">
            <w:pPr>
              <w:spacing w:line="276" w:lineRule="auto"/>
              <w:jc w:val="center"/>
              <w:rPr>
                <w:rFonts w:eastAsia="NewtonC-Bold"/>
                <w:bCs/>
                <w:sz w:val="22"/>
                <w:lang w:eastAsia="ru-RU"/>
              </w:rPr>
            </w:pP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2013 р.</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2014 р.</w:t>
            </w:r>
            <w:r w:rsidRPr="00F32158">
              <w:rPr>
                <w:rFonts w:eastAsia="Times New Roman"/>
                <w:sz w:val="22"/>
                <w:vertAlign w:val="superscript"/>
                <w:lang w:val="ru-RU" w:eastAsia="ru-RU"/>
              </w:rPr>
              <w:t xml:space="preserve"> 1</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2015 р.</w:t>
            </w:r>
            <w:r w:rsidRPr="00F32158">
              <w:rPr>
                <w:rFonts w:eastAsia="Times New Roman"/>
                <w:sz w:val="22"/>
                <w:vertAlign w:val="superscript"/>
                <w:lang w:val="ru-RU" w:eastAsia="ru-RU"/>
              </w:rPr>
              <w:t xml:space="preserve"> 1</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2016</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2017</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2013 р.</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2014 р.</w:t>
            </w:r>
            <w:r w:rsidRPr="00F32158">
              <w:rPr>
                <w:rFonts w:eastAsia="Times New Roman"/>
                <w:sz w:val="22"/>
                <w:vertAlign w:val="superscript"/>
                <w:lang w:val="ru-RU" w:eastAsia="ru-RU"/>
              </w:rPr>
              <w:t xml:space="preserve"> 1</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2015 р.</w:t>
            </w:r>
            <w:r w:rsidRPr="00F32158">
              <w:rPr>
                <w:rFonts w:eastAsia="Times New Roman"/>
                <w:sz w:val="22"/>
                <w:vertAlign w:val="superscript"/>
                <w:lang w:val="ru-RU" w:eastAsia="ru-RU"/>
              </w:rPr>
              <w:t xml:space="preserve"> 1</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2016</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2017</w:t>
            </w:r>
          </w:p>
        </w:tc>
      </w:tr>
      <w:tr w:rsidR="00F32158" w:rsidRPr="00F32158" w:rsidTr="00BF1F99">
        <w:trPr>
          <w:trHeight w:val="426"/>
          <w:jc w:val="center"/>
        </w:trPr>
        <w:tc>
          <w:tcPr>
            <w:tcW w:w="0" w:type="auto"/>
          </w:tcPr>
          <w:p w:rsidR="00F32158" w:rsidRPr="00F32158" w:rsidRDefault="00F32158" w:rsidP="00F32158">
            <w:pPr>
              <w:spacing w:line="276" w:lineRule="auto"/>
              <w:rPr>
                <w:rFonts w:eastAsia="Times New Roman"/>
                <w:bCs/>
                <w:sz w:val="22"/>
                <w:lang w:val="ru-RU" w:eastAsia="ru-RU"/>
              </w:rPr>
            </w:pPr>
            <w:r w:rsidRPr="00F32158">
              <w:rPr>
                <w:rFonts w:eastAsia="Times New Roman"/>
                <w:bCs/>
                <w:sz w:val="22"/>
                <w:lang w:val="ru-RU" w:eastAsia="ru-RU"/>
              </w:rPr>
              <w:t>Клас I. Деякі інфекційні та паразитарні хвороби</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2,32</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2,48</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2,27</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1,93</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2,08</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2,06</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1,75</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2,19</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2,42</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1,59</w:t>
            </w:r>
          </w:p>
        </w:tc>
      </w:tr>
      <w:tr w:rsidR="00F32158" w:rsidRPr="00F32158" w:rsidTr="00BF1F99">
        <w:trPr>
          <w:trHeight w:val="180"/>
          <w:jc w:val="center"/>
        </w:trPr>
        <w:tc>
          <w:tcPr>
            <w:tcW w:w="0" w:type="auto"/>
          </w:tcPr>
          <w:p w:rsidR="00F32158" w:rsidRPr="00F32158" w:rsidRDefault="00F32158" w:rsidP="00F32158">
            <w:pPr>
              <w:spacing w:line="276" w:lineRule="auto"/>
              <w:rPr>
                <w:rFonts w:eastAsia="Times New Roman"/>
                <w:bCs/>
                <w:sz w:val="22"/>
                <w:lang w:eastAsia="ru-RU"/>
              </w:rPr>
            </w:pPr>
            <w:r w:rsidRPr="00F32158">
              <w:rPr>
                <w:rFonts w:eastAsia="Times New Roman"/>
                <w:bCs/>
                <w:sz w:val="22"/>
                <w:lang w:val="ru-RU" w:eastAsia="ru-RU"/>
              </w:rPr>
              <w:t>Клас II.</w:t>
            </w:r>
            <w:r w:rsidRPr="00F32158">
              <w:rPr>
                <w:rFonts w:eastAsia="Times New Roman"/>
                <w:bCs/>
                <w:sz w:val="22"/>
                <w:lang w:eastAsia="ru-RU"/>
              </w:rPr>
              <w:t xml:space="preserve"> </w:t>
            </w:r>
            <w:r w:rsidRPr="00F32158">
              <w:rPr>
                <w:rFonts w:eastAsia="Times New Roman"/>
                <w:bCs/>
                <w:sz w:val="22"/>
                <w:lang w:val="ru-RU" w:eastAsia="ru-RU"/>
              </w:rPr>
              <w:t>Новоутворення</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0,87</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0,78</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1,01</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0,91</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0,91</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0,85</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0,70</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0,91</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0,67</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0,33</w:t>
            </w:r>
          </w:p>
        </w:tc>
      </w:tr>
      <w:tr w:rsidR="00F32158" w:rsidRPr="00F32158" w:rsidTr="00BF1F99">
        <w:trPr>
          <w:trHeight w:val="707"/>
          <w:jc w:val="center"/>
        </w:trPr>
        <w:tc>
          <w:tcPr>
            <w:tcW w:w="0" w:type="auto"/>
          </w:tcPr>
          <w:p w:rsidR="00F32158" w:rsidRPr="00F32158" w:rsidRDefault="00F32158" w:rsidP="00F32158">
            <w:pPr>
              <w:spacing w:line="276" w:lineRule="auto"/>
              <w:rPr>
                <w:rFonts w:eastAsia="Times New Roman"/>
                <w:bCs/>
                <w:sz w:val="22"/>
                <w:lang w:val="ru-RU" w:eastAsia="ru-RU"/>
              </w:rPr>
            </w:pPr>
            <w:r w:rsidRPr="00F32158">
              <w:rPr>
                <w:rFonts w:eastAsia="Times New Roman"/>
                <w:bCs/>
                <w:sz w:val="22"/>
                <w:lang w:val="ru-RU" w:eastAsia="ru-RU"/>
              </w:rPr>
              <w:t xml:space="preserve">Клас ІІІ. Хвороби крові </w:t>
            </w:r>
            <w:r w:rsidRPr="00F32158">
              <w:rPr>
                <w:rFonts w:eastAsia="Times New Roman"/>
                <w:bCs/>
                <w:sz w:val="22"/>
                <w:lang w:eastAsia="ru-RU"/>
              </w:rPr>
              <w:t xml:space="preserve">й </w:t>
            </w:r>
            <w:r w:rsidRPr="00F32158">
              <w:rPr>
                <w:rFonts w:eastAsia="Times New Roman"/>
                <w:bCs/>
                <w:sz w:val="22"/>
                <w:lang w:val="ru-RU" w:eastAsia="ru-RU"/>
              </w:rPr>
              <w:t>кровотворних органів та окремі порушення із залученням імунного механізму</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0,27</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0,58</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0,74</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0,34</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0,52</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0,37</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0,31</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0,67</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0,41</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0,38</w:t>
            </w:r>
          </w:p>
        </w:tc>
      </w:tr>
      <w:tr w:rsidR="00F32158" w:rsidRPr="00F32158" w:rsidTr="00BF1F99">
        <w:trPr>
          <w:trHeight w:val="713"/>
          <w:jc w:val="center"/>
        </w:trPr>
        <w:tc>
          <w:tcPr>
            <w:tcW w:w="0" w:type="auto"/>
          </w:tcPr>
          <w:p w:rsidR="00F32158" w:rsidRPr="00F32158" w:rsidRDefault="00F32158" w:rsidP="00F32158">
            <w:pPr>
              <w:spacing w:line="276" w:lineRule="auto"/>
              <w:rPr>
                <w:rFonts w:eastAsia="NewtonC-Bold"/>
                <w:bCs/>
                <w:sz w:val="22"/>
                <w:lang w:val="ru-RU" w:eastAsia="ru-RU"/>
              </w:rPr>
            </w:pPr>
            <w:r w:rsidRPr="00F32158">
              <w:rPr>
                <w:rFonts w:eastAsia="Times New Roman"/>
                <w:bCs/>
                <w:sz w:val="22"/>
                <w:lang w:val="ru-RU" w:eastAsia="ru-RU"/>
              </w:rPr>
              <w:t>Клас ІV. Хвороби ендокринної системи, розлади харчування та порушення обміну речовин</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1,03</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1,1</w:t>
            </w:r>
          </w:p>
          <w:p w:rsidR="00F32158" w:rsidRPr="00F32158" w:rsidRDefault="00F32158" w:rsidP="00F32158">
            <w:pPr>
              <w:spacing w:line="276" w:lineRule="auto"/>
              <w:jc w:val="center"/>
              <w:rPr>
                <w:rFonts w:eastAsia="NewtonC-Bold"/>
                <w:bCs/>
                <w:sz w:val="22"/>
                <w:lang w:eastAsia="ru-RU"/>
              </w:rPr>
            </w:pP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0,54</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1,06</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0,51</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0,93</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0,40</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0,72</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0,97</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0,72</w:t>
            </w:r>
          </w:p>
        </w:tc>
      </w:tr>
      <w:tr w:rsidR="00F32158" w:rsidRPr="00F32158" w:rsidTr="00BF1F99">
        <w:trPr>
          <w:trHeight w:val="248"/>
          <w:jc w:val="center"/>
        </w:trPr>
        <w:tc>
          <w:tcPr>
            <w:tcW w:w="0" w:type="auto"/>
          </w:tcPr>
          <w:p w:rsidR="00F32158" w:rsidRPr="00F32158" w:rsidRDefault="00F32158" w:rsidP="00F32158">
            <w:pPr>
              <w:spacing w:line="276" w:lineRule="auto"/>
              <w:rPr>
                <w:rFonts w:eastAsia="Times New Roman"/>
                <w:bCs/>
                <w:sz w:val="22"/>
                <w:lang w:eastAsia="ru-RU"/>
              </w:rPr>
            </w:pPr>
            <w:r w:rsidRPr="00F32158">
              <w:rPr>
                <w:rFonts w:eastAsia="Times New Roman"/>
                <w:bCs/>
                <w:sz w:val="22"/>
                <w:lang w:val="ru-RU" w:eastAsia="ru-RU"/>
              </w:rPr>
              <w:t>Клас VI. Хвороби нервової системи</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3,07</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3,14</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3,13</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2,75</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2,21</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2,47</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2,28</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1,88</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1,95</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2,03</w:t>
            </w:r>
          </w:p>
        </w:tc>
      </w:tr>
      <w:tr w:rsidR="00F32158" w:rsidRPr="00F32158" w:rsidTr="00BF1F99">
        <w:trPr>
          <w:trHeight w:val="180"/>
          <w:jc w:val="center"/>
        </w:trPr>
        <w:tc>
          <w:tcPr>
            <w:tcW w:w="0" w:type="auto"/>
          </w:tcPr>
          <w:p w:rsidR="00F32158" w:rsidRPr="00F32158" w:rsidRDefault="00F32158" w:rsidP="00F32158">
            <w:pPr>
              <w:spacing w:line="276" w:lineRule="auto"/>
              <w:rPr>
                <w:rFonts w:eastAsia="Times New Roman"/>
                <w:bCs/>
                <w:sz w:val="22"/>
                <w:lang w:val="ru-RU" w:eastAsia="ru-RU"/>
              </w:rPr>
            </w:pPr>
            <w:r w:rsidRPr="00F32158">
              <w:rPr>
                <w:rFonts w:eastAsia="Times New Roman"/>
                <w:bCs/>
                <w:sz w:val="22"/>
                <w:lang w:val="ru-RU" w:eastAsia="ru-RU"/>
              </w:rPr>
              <w:t>Клас VIII. Хвороби вуха та</w:t>
            </w:r>
            <w:r w:rsidRPr="00F32158">
              <w:rPr>
                <w:rFonts w:eastAsia="Times New Roman"/>
                <w:bCs/>
                <w:sz w:val="22"/>
                <w:lang w:eastAsia="ru-RU"/>
              </w:rPr>
              <w:t xml:space="preserve"> </w:t>
            </w:r>
            <w:r w:rsidRPr="00F32158">
              <w:rPr>
                <w:rFonts w:eastAsia="Times New Roman"/>
                <w:bCs/>
                <w:sz w:val="22"/>
                <w:lang w:val="ru-RU" w:eastAsia="ru-RU"/>
              </w:rPr>
              <w:t>соскоподібного відростка</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0,04</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w:t>
            </w:r>
          </w:p>
        </w:tc>
      </w:tr>
      <w:tr w:rsidR="00F32158" w:rsidRPr="00F32158" w:rsidTr="00BF1F99">
        <w:trPr>
          <w:trHeight w:val="264"/>
          <w:jc w:val="center"/>
        </w:trPr>
        <w:tc>
          <w:tcPr>
            <w:tcW w:w="0" w:type="auto"/>
          </w:tcPr>
          <w:p w:rsidR="00F32158" w:rsidRPr="00F32158" w:rsidRDefault="00F32158" w:rsidP="00F32158">
            <w:pPr>
              <w:spacing w:line="276" w:lineRule="auto"/>
              <w:rPr>
                <w:rFonts w:eastAsia="Times New Roman"/>
                <w:bCs/>
                <w:sz w:val="22"/>
                <w:lang w:eastAsia="ru-RU"/>
              </w:rPr>
            </w:pPr>
            <w:r w:rsidRPr="00F32158">
              <w:rPr>
                <w:rFonts w:eastAsia="Times New Roman"/>
                <w:bCs/>
                <w:sz w:val="22"/>
                <w:lang w:val="ru-RU" w:eastAsia="ru-RU"/>
              </w:rPr>
              <w:t>Клас ІХ. Хвороби системи кровообігу</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1,67</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1,28</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1,35</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1,26</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1,29</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1,13</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1,01</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0,72</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0,87</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0,72</w:t>
            </w:r>
          </w:p>
        </w:tc>
      </w:tr>
      <w:tr w:rsidR="00F32158" w:rsidRPr="00F32158" w:rsidTr="00BF1F99">
        <w:trPr>
          <w:trHeight w:val="164"/>
          <w:jc w:val="center"/>
        </w:trPr>
        <w:tc>
          <w:tcPr>
            <w:tcW w:w="0" w:type="auto"/>
          </w:tcPr>
          <w:p w:rsidR="00F32158" w:rsidRPr="00F32158" w:rsidRDefault="00F32158" w:rsidP="00F32158">
            <w:pPr>
              <w:spacing w:line="276" w:lineRule="auto"/>
              <w:rPr>
                <w:rFonts w:eastAsia="Times New Roman"/>
                <w:bCs/>
                <w:sz w:val="22"/>
                <w:lang w:eastAsia="ru-RU"/>
              </w:rPr>
            </w:pPr>
            <w:r w:rsidRPr="00F32158">
              <w:rPr>
                <w:rFonts w:eastAsia="Times New Roman"/>
                <w:bCs/>
                <w:sz w:val="22"/>
                <w:lang w:val="ru-RU" w:eastAsia="ru-RU"/>
              </w:rPr>
              <w:t>Клас Х. Хвороби органів дихання</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2,89</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2,43</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3,26</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3,25</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2,95</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1,50</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2,33</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2,44</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2,67</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2,29</w:t>
            </w:r>
          </w:p>
        </w:tc>
      </w:tr>
      <w:tr w:rsidR="00F32158" w:rsidRPr="00F32158" w:rsidTr="00BF1F99">
        <w:trPr>
          <w:trHeight w:val="285"/>
          <w:jc w:val="center"/>
        </w:trPr>
        <w:tc>
          <w:tcPr>
            <w:tcW w:w="0" w:type="auto"/>
          </w:tcPr>
          <w:p w:rsidR="00F32158" w:rsidRPr="00F32158" w:rsidRDefault="00F32158" w:rsidP="00F32158">
            <w:pPr>
              <w:spacing w:line="276" w:lineRule="auto"/>
              <w:rPr>
                <w:rFonts w:eastAsia="Times New Roman"/>
                <w:bCs/>
                <w:sz w:val="22"/>
                <w:lang w:eastAsia="ru-RU"/>
              </w:rPr>
            </w:pPr>
            <w:r w:rsidRPr="00F32158">
              <w:rPr>
                <w:rFonts w:eastAsia="Times New Roman"/>
                <w:bCs/>
                <w:sz w:val="22"/>
                <w:lang w:val="ru-RU" w:eastAsia="ru-RU"/>
              </w:rPr>
              <w:t>Клас ХІ. Хвороби органів травлення</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0,64</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0,50</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0,33</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0,14</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0,36</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0,04</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0,22</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0,15</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0,31</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0,22</w:t>
            </w:r>
          </w:p>
        </w:tc>
      </w:tr>
      <w:tr w:rsidR="00F32158" w:rsidRPr="00F32158" w:rsidTr="00BF1F99">
        <w:trPr>
          <w:trHeight w:val="172"/>
          <w:jc w:val="center"/>
        </w:trPr>
        <w:tc>
          <w:tcPr>
            <w:tcW w:w="0" w:type="auto"/>
          </w:tcPr>
          <w:p w:rsidR="00F32158" w:rsidRPr="00F32158" w:rsidRDefault="00F32158" w:rsidP="00F32158">
            <w:pPr>
              <w:spacing w:line="276" w:lineRule="auto"/>
              <w:rPr>
                <w:rFonts w:eastAsia="Times New Roman"/>
                <w:bCs/>
                <w:sz w:val="22"/>
                <w:lang w:eastAsia="ru-RU"/>
              </w:rPr>
            </w:pPr>
            <w:r w:rsidRPr="00F32158">
              <w:rPr>
                <w:rFonts w:eastAsia="Times New Roman"/>
                <w:bCs/>
                <w:sz w:val="22"/>
                <w:lang w:val="ru-RU" w:eastAsia="ru-RU"/>
              </w:rPr>
              <w:t>Клас ХІV. Хвороби сечостатевої системи</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0,04</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0,26</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0,05</w:t>
            </w:r>
          </w:p>
        </w:tc>
      </w:tr>
      <w:tr w:rsidR="00F32158" w:rsidRPr="00F32158" w:rsidTr="00BF1F99">
        <w:trPr>
          <w:trHeight w:val="540"/>
          <w:jc w:val="center"/>
        </w:trPr>
        <w:tc>
          <w:tcPr>
            <w:tcW w:w="0" w:type="auto"/>
          </w:tcPr>
          <w:p w:rsidR="00F32158" w:rsidRPr="00F32158" w:rsidRDefault="00F32158" w:rsidP="00F32158">
            <w:pPr>
              <w:spacing w:line="276" w:lineRule="auto"/>
              <w:rPr>
                <w:rFonts w:eastAsia="Times New Roman"/>
                <w:bCs/>
                <w:sz w:val="22"/>
                <w:lang w:eastAsia="ru-RU"/>
              </w:rPr>
            </w:pPr>
            <w:r w:rsidRPr="00F32158">
              <w:rPr>
                <w:rFonts w:eastAsia="Times New Roman"/>
                <w:bCs/>
                <w:sz w:val="22"/>
                <w:lang w:val="ru-RU" w:eastAsia="ru-RU"/>
              </w:rPr>
              <w:t xml:space="preserve">Клас ХVI. Окремі стани, що виникають у перинатальному періоді </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47,83</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48,24</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45,69</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44,07</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47,85</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36,27</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35,35</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37,60</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34,51</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36,71</w:t>
            </w:r>
          </w:p>
        </w:tc>
      </w:tr>
      <w:tr w:rsidR="00F32158" w:rsidRPr="00F32158" w:rsidTr="00BF1F99">
        <w:trPr>
          <w:trHeight w:val="525"/>
          <w:jc w:val="center"/>
        </w:trPr>
        <w:tc>
          <w:tcPr>
            <w:tcW w:w="0" w:type="auto"/>
          </w:tcPr>
          <w:p w:rsidR="00F32158" w:rsidRPr="00F32158" w:rsidRDefault="00F32158" w:rsidP="00F32158">
            <w:pPr>
              <w:spacing w:line="276" w:lineRule="auto"/>
              <w:rPr>
                <w:rFonts w:eastAsia="Times New Roman"/>
                <w:bCs/>
                <w:sz w:val="22"/>
                <w:lang w:val="ru-RU" w:eastAsia="ru-RU"/>
              </w:rPr>
            </w:pPr>
            <w:r w:rsidRPr="00F32158">
              <w:rPr>
                <w:rFonts w:eastAsia="Times New Roman"/>
                <w:bCs/>
                <w:sz w:val="22"/>
                <w:lang w:val="ru-RU" w:eastAsia="ru-RU"/>
              </w:rPr>
              <w:t>Клас ХVII. Природжені вади розвитку, деформації та хромосомні аномалії</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19,99</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19,03</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21,98</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20,09</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19,30</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17,93</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16,50</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16,33</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14,84</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16,02</w:t>
            </w:r>
          </w:p>
        </w:tc>
      </w:tr>
      <w:tr w:rsidR="00F32158" w:rsidRPr="00F32158" w:rsidTr="00BF1F99">
        <w:trPr>
          <w:trHeight w:val="345"/>
          <w:jc w:val="center"/>
        </w:trPr>
        <w:tc>
          <w:tcPr>
            <w:tcW w:w="0" w:type="auto"/>
          </w:tcPr>
          <w:p w:rsidR="00F32158" w:rsidRPr="00F32158" w:rsidRDefault="00F32158" w:rsidP="00F32158">
            <w:pPr>
              <w:spacing w:line="276" w:lineRule="auto"/>
              <w:rPr>
                <w:rFonts w:eastAsia="Times New Roman"/>
                <w:bCs/>
                <w:sz w:val="22"/>
                <w:lang w:eastAsia="ru-RU"/>
              </w:rPr>
            </w:pPr>
            <w:r w:rsidRPr="00F32158">
              <w:rPr>
                <w:rFonts w:eastAsia="Times New Roman"/>
                <w:bCs/>
                <w:sz w:val="22"/>
                <w:lang w:eastAsia="ru-RU"/>
              </w:rPr>
              <w:t>Клас Х</w:t>
            </w:r>
            <w:r w:rsidRPr="00F32158">
              <w:rPr>
                <w:rFonts w:eastAsia="Times New Roman"/>
                <w:bCs/>
                <w:sz w:val="22"/>
                <w:lang w:val="en-US" w:eastAsia="ru-RU"/>
              </w:rPr>
              <w:t>VIII</w:t>
            </w:r>
            <w:r w:rsidRPr="00F32158">
              <w:rPr>
                <w:rFonts w:eastAsia="Times New Roman"/>
                <w:bCs/>
                <w:sz w:val="22"/>
                <w:lang w:eastAsia="ru-RU"/>
              </w:rPr>
              <w:t>. Симптоми, ознаки і відхилення від норми, що виявлені при лабораторних та клінічних дослідженнях, не класифіковані в інших рубриках</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3,06</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3,35</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2,67</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2,23</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2,34</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2,84</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2,47</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1,91</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1,34</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1,93</w:t>
            </w:r>
          </w:p>
        </w:tc>
      </w:tr>
      <w:tr w:rsidR="00F32158" w:rsidRPr="00F32158" w:rsidTr="00BF1F99">
        <w:trPr>
          <w:trHeight w:val="285"/>
          <w:jc w:val="center"/>
        </w:trPr>
        <w:tc>
          <w:tcPr>
            <w:tcW w:w="0" w:type="auto"/>
          </w:tcPr>
          <w:p w:rsidR="00F32158" w:rsidRPr="00F32158" w:rsidRDefault="00F32158" w:rsidP="00F32158">
            <w:pPr>
              <w:spacing w:line="276" w:lineRule="auto"/>
              <w:rPr>
                <w:rFonts w:eastAsia="Times New Roman"/>
                <w:bCs/>
                <w:sz w:val="22"/>
                <w:lang w:eastAsia="ru-RU"/>
              </w:rPr>
            </w:pPr>
            <w:r w:rsidRPr="00F32158">
              <w:rPr>
                <w:rFonts w:eastAsia="Times New Roman"/>
                <w:bCs/>
                <w:sz w:val="22"/>
                <w:lang w:val="ru-RU" w:eastAsia="ru-RU"/>
              </w:rPr>
              <w:t>Всі інші хвороби</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0,08</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0,09</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0,04</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0,09</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0,05</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0,05</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0</w:t>
            </w:r>
          </w:p>
        </w:tc>
      </w:tr>
      <w:tr w:rsidR="00F32158" w:rsidRPr="00F32158" w:rsidTr="00BF1F99">
        <w:trPr>
          <w:trHeight w:val="225"/>
          <w:jc w:val="center"/>
        </w:trPr>
        <w:tc>
          <w:tcPr>
            <w:tcW w:w="0" w:type="auto"/>
          </w:tcPr>
          <w:p w:rsidR="00F32158" w:rsidRPr="00F32158" w:rsidRDefault="00F32158" w:rsidP="00F32158">
            <w:pPr>
              <w:spacing w:line="276" w:lineRule="auto"/>
              <w:rPr>
                <w:rFonts w:eastAsia="Times New Roman"/>
                <w:bCs/>
                <w:sz w:val="22"/>
                <w:lang w:eastAsia="ru-RU"/>
              </w:rPr>
            </w:pPr>
            <w:r w:rsidRPr="00F32158">
              <w:rPr>
                <w:rFonts w:eastAsia="Times New Roman"/>
                <w:bCs/>
                <w:sz w:val="22"/>
                <w:lang w:val="ru-RU" w:eastAsia="ru-RU"/>
              </w:rPr>
              <w:t>Клас ХХ. Зовнішні причини захворюваності та смертності</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4,80</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5,13</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4,42</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4,52</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4,43</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3,76</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4,22</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4,48</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3,60</w:t>
            </w:r>
          </w:p>
        </w:tc>
        <w:tc>
          <w:tcPr>
            <w:tcW w:w="0" w:type="auto"/>
          </w:tcPr>
          <w:p w:rsidR="00F32158" w:rsidRPr="00F32158" w:rsidRDefault="00F32158" w:rsidP="00F32158">
            <w:pPr>
              <w:spacing w:line="276" w:lineRule="auto"/>
              <w:jc w:val="center"/>
              <w:rPr>
                <w:rFonts w:eastAsia="NewtonC-Bold"/>
                <w:bCs/>
                <w:sz w:val="22"/>
                <w:lang w:eastAsia="ru-RU"/>
              </w:rPr>
            </w:pPr>
            <w:r w:rsidRPr="00F32158">
              <w:rPr>
                <w:rFonts w:eastAsia="NewtonC-Bold"/>
                <w:bCs/>
                <w:sz w:val="22"/>
                <w:lang w:eastAsia="ru-RU"/>
              </w:rPr>
              <w:t>2,98</w:t>
            </w:r>
          </w:p>
        </w:tc>
      </w:tr>
    </w:tbl>
    <w:p w:rsidR="00F32158" w:rsidRPr="007873F6" w:rsidRDefault="00F32158" w:rsidP="00DE062E">
      <w:pPr>
        <w:spacing w:line="240" w:lineRule="auto"/>
        <w:rPr>
          <w:rFonts w:eastAsia="Times New Roman"/>
          <w:sz w:val="20"/>
          <w:szCs w:val="20"/>
          <w:lang w:val="ru-RU" w:eastAsia="ru-RU"/>
        </w:rPr>
      </w:pPr>
      <w:r w:rsidRPr="007873F6">
        <w:rPr>
          <w:rFonts w:eastAsia="Times New Roman"/>
          <w:sz w:val="20"/>
          <w:szCs w:val="20"/>
          <w:vertAlign w:val="superscript"/>
          <w:lang w:val="ru-RU" w:eastAsia="ru-RU"/>
        </w:rPr>
        <w:t>1</w:t>
      </w:r>
      <w:r w:rsidRPr="00F32158">
        <w:rPr>
          <w:rFonts w:eastAsia="Times New Roman"/>
          <w:sz w:val="20"/>
          <w:szCs w:val="20"/>
          <w:lang w:val="ru-RU" w:eastAsia="ru-RU"/>
        </w:rPr>
        <w:t>Без</w:t>
      </w:r>
      <w:r w:rsidRPr="007873F6">
        <w:rPr>
          <w:rFonts w:eastAsia="Times New Roman"/>
          <w:sz w:val="20"/>
          <w:szCs w:val="20"/>
          <w:lang w:val="ru-RU" w:eastAsia="ru-RU"/>
        </w:rPr>
        <w:t xml:space="preserve"> </w:t>
      </w:r>
      <w:r w:rsidRPr="00F32158">
        <w:rPr>
          <w:rFonts w:eastAsia="Times New Roman"/>
          <w:sz w:val="20"/>
          <w:szCs w:val="20"/>
          <w:lang w:val="ru-RU" w:eastAsia="ru-RU"/>
        </w:rPr>
        <w:t>урахування</w:t>
      </w:r>
      <w:r w:rsidRPr="007873F6">
        <w:rPr>
          <w:rFonts w:eastAsia="Times New Roman"/>
          <w:sz w:val="20"/>
          <w:szCs w:val="20"/>
          <w:lang w:val="ru-RU" w:eastAsia="ru-RU"/>
        </w:rPr>
        <w:t xml:space="preserve"> </w:t>
      </w:r>
      <w:r w:rsidRPr="00F32158">
        <w:rPr>
          <w:rFonts w:eastAsia="Times New Roman"/>
          <w:sz w:val="20"/>
          <w:szCs w:val="20"/>
          <w:lang w:val="ru-RU" w:eastAsia="ru-RU"/>
        </w:rPr>
        <w:t>тимчасово</w:t>
      </w:r>
      <w:r w:rsidRPr="007873F6">
        <w:rPr>
          <w:rFonts w:eastAsia="Times New Roman"/>
          <w:sz w:val="20"/>
          <w:szCs w:val="20"/>
          <w:lang w:val="ru-RU" w:eastAsia="ru-RU"/>
        </w:rPr>
        <w:t xml:space="preserve"> </w:t>
      </w:r>
      <w:r w:rsidRPr="00F32158">
        <w:rPr>
          <w:rFonts w:eastAsia="Times New Roman"/>
          <w:sz w:val="20"/>
          <w:szCs w:val="20"/>
          <w:lang w:val="ru-RU" w:eastAsia="ru-RU"/>
        </w:rPr>
        <w:t>окупованої</w:t>
      </w:r>
      <w:r w:rsidRPr="007873F6">
        <w:rPr>
          <w:rFonts w:eastAsia="Times New Roman"/>
          <w:sz w:val="20"/>
          <w:szCs w:val="20"/>
          <w:lang w:val="ru-RU" w:eastAsia="ru-RU"/>
        </w:rPr>
        <w:t xml:space="preserve"> </w:t>
      </w:r>
      <w:r w:rsidRPr="00F32158">
        <w:rPr>
          <w:rFonts w:eastAsia="Times New Roman"/>
          <w:sz w:val="20"/>
          <w:szCs w:val="20"/>
          <w:lang w:val="ru-RU" w:eastAsia="ru-RU"/>
        </w:rPr>
        <w:t>території</w:t>
      </w:r>
      <w:r w:rsidRPr="007873F6">
        <w:rPr>
          <w:rFonts w:eastAsia="Times New Roman"/>
          <w:sz w:val="20"/>
          <w:szCs w:val="20"/>
          <w:lang w:val="ru-RU" w:eastAsia="ru-RU"/>
        </w:rPr>
        <w:t xml:space="preserve"> </w:t>
      </w:r>
      <w:r w:rsidRPr="00F32158">
        <w:rPr>
          <w:rFonts w:eastAsia="Times New Roman"/>
          <w:sz w:val="20"/>
          <w:szCs w:val="20"/>
          <w:lang w:val="ru-RU" w:eastAsia="ru-RU"/>
        </w:rPr>
        <w:t>Автономної</w:t>
      </w:r>
      <w:r w:rsidRPr="007873F6">
        <w:rPr>
          <w:rFonts w:eastAsia="Times New Roman"/>
          <w:sz w:val="20"/>
          <w:szCs w:val="20"/>
          <w:lang w:val="ru-RU" w:eastAsia="ru-RU"/>
        </w:rPr>
        <w:t xml:space="preserve"> </w:t>
      </w:r>
      <w:r w:rsidRPr="00F32158">
        <w:rPr>
          <w:rFonts w:eastAsia="Times New Roman"/>
          <w:sz w:val="20"/>
          <w:szCs w:val="20"/>
          <w:lang w:val="ru-RU" w:eastAsia="ru-RU"/>
        </w:rPr>
        <w:t>Республіки</w:t>
      </w:r>
      <w:r w:rsidRPr="007873F6">
        <w:rPr>
          <w:rFonts w:eastAsia="Times New Roman"/>
          <w:sz w:val="20"/>
          <w:szCs w:val="20"/>
          <w:lang w:val="ru-RU" w:eastAsia="ru-RU"/>
        </w:rPr>
        <w:t xml:space="preserve"> </w:t>
      </w:r>
      <w:r w:rsidRPr="00F32158">
        <w:rPr>
          <w:rFonts w:eastAsia="Times New Roman"/>
          <w:sz w:val="20"/>
          <w:szCs w:val="20"/>
          <w:lang w:val="ru-RU" w:eastAsia="ru-RU"/>
        </w:rPr>
        <w:t>Крим</w:t>
      </w:r>
      <w:r w:rsidRPr="007873F6">
        <w:rPr>
          <w:rFonts w:eastAsia="Times New Roman"/>
          <w:sz w:val="20"/>
          <w:szCs w:val="20"/>
          <w:lang w:val="ru-RU" w:eastAsia="ru-RU"/>
        </w:rPr>
        <w:t xml:space="preserve"> </w:t>
      </w:r>
      <w:r w:rsidRPr="00F32158">
        <w:rPr>
          <w:rFonts w:eastAsia="Times New Roman"/>
          <w:sz w:val="20"/>
          <w:szCs w:val="20"/>
          <w:lang w:val="ru-RU" w:eastAsia="ru-RU"/>
        </w:rPr>
        <w:t>і</w:t>
      </w:r>
      <w:r w:rsidRPr="007873F6">
        <w:rPr>
          <w:rFonts w:eastAsia="Times New Roman"/>
          <w:sz w:val="20"/>
          <w:szCs w:val="20"/>
          <w:lang w:val="ru-RU" w:eastAsia="ru-RU"/>
        </w:rPr>
        <w:t xml:space="preserve"> </w:t>
      </w:r>
      <w:r w:rsidRPr="00F32158">
        <w:rPr>
          <w:rFonts w:eastAsia="Times New Roman"/>
          <w:sz w:val="20"/>
          <w:szCs w:val="20"/>
          <w:lang w:val="ru-RU" w:eastAsia="ru-RU"/>
        </w:rPr>
        <w:t>м</w:t>
      </w:r>
      <w:r w:rsidRPr="007873F6">
        <w:rPr>
          <w:rFonts w:eastAsia="Times New Roman"/>
          <w:sz w:val="20"/>
          <w:szCs w:val="20"/>
          <w:lang w:val="ru-RU" w:eastAsia="ru-RU"/>
        </w:rPr>
        <w:t xml:space="preserve">. </w:t>
      </w:r>
      <w:r w:rsidRPr="00F32158">
        <w:rPr>
          <w:rFonts w:eastAsia="Times New Roman"/>
          <w:sz w:val="20"/>
          <w:szCs w:val="20"/>
          <w:lang w:val="ru-RU" w:eastAsia="ru-RU"/>
        </w:rPr>
        <w:t>Севастополя</w:t>
      </w:r>
      <w:r w:rsidRPr="007873F6">
        <w:rPr>
          <w:rFonts w:eastAsia="Times New Roman"/>
          <w:sz w:val="20"/>
          <w:szCs w:val="20"/>
          <w:lang w:val="ru-RU" w:eastAsia="ru-RU"/>
        </w:rPr>
        <w:t xml:space="preserve"> </w:t>
      </w:r>
      <w:r w:rsidRPr="00F32158">
        <w:rPr>
          <w:rFonts w:eastAsia="Times New Roman"/>
          <w:sz w:val="20"/>
          <w:szCs w:val="20"/>
          <w:lang w:val="ru-RU" w:eastAsia="ru-RU"/>
        </w:rPr>
        <w:t>та</w:t>
      </w:r>
      <w:r w:rsidRPr="007873F6">
        <w:rPr>
          <w:rFonts w:eastAsia="Times New Roman"/>
          <w:sz w:val="20"/>
          <w:szCs w:val="20"/>
          <w:lang w:val="ru-RU" w:eastAsia="ru-RU"/>
        </w:rPr>
        <w:t xml:space="preserve"> </w:t>
      </w:r>
      <w:r w:rsidRPr="00F32158">
        <w:rPr>
          <w:rFonts w:eastAsia="Times New Roman"/>
          <w:sz w:val="20"/>
          <w:szCs w:val="20"/>
          <w:lang w:val="ru-RU" w:eastAsia="ru-RU"/>
        </w:rPr>
        <w:t>частини</w:t>
      </w:r>
      <w:r w:rsidRPr="007873F6">
        <w:rPr>
          <w:rFonts w:eastAsia="Times New Roman"/>
          <w:sz w:val="20"/>
          <w:szCs w:val="20"/>
          <w:lang w:val="ru-RU" w:eastAsia="ru-RU"/>
        </w:rPr>
        <w:t xml:space="preserve"> </w:t>
      </w:r>
      <w:r w:rsidRPr="00F32158">
        <w:rPr>
          <w:rFonts w:eastAsia="Times New Roman"/>
          <w:sz w:val="20"/>
          <w:szCs w:val="20"/>
          <w:lang w:val="ru-RU" w:eastAsia="ru-RU"/>
        </w:rPr>
        <w:t>зони</w:t>
      </w:r>
      <w:r w:rsidRPr="007873F6">
        <w:rPr>
          <w:rFonts w:eastAsia="Times New Roman"/>
          <w:sz w:val="20"/>
          <w:szCs w:val="20"/>
          <w:lang w:val="ru-RU" w:eastAsia="ru-RU"/>
        </w:rPr>
        <w:t xml:space="preserve"> </w:t>
      </w:r>
      <w:r w:rsidRPr="00F32158">
        <w:rPr>
          <w:rFonts w:eastAsia="Times New Roman"/>
          <w:sz w:val="20"/>
          <w:szCs w:val="20"/>
          <w:lang w:val="ru-RU" w:eastAsia="ru-RU"/>
        </w:rPr>
        <w:t>проведення</w:t>
      </w:r>
      <w:r w:rsidRPr="007873F6">
        <w:rPr>
          <w:rFonts w:eastAsia="Times New Roman"/>
          <w:sz w:val="20"/>
          <w:szCs w:val="20"/>
          <w:lang w:val="ru-RU" w:eastAsia="ru-RU"/>
        </w:rPr>
        <w:t xml:space="preserve"> </w:t>
      </w:r>
      <w:r w:rsidRPr="00F32158">
        <w:rPr>
          <w:rFonts w:eastAsia="Times New Roman"/>
          <w:sz w:val="20"/>
          <w:szCs w:val="20"/>
          <w:lang w:val="ru-RU" w:eastAsia="ru-RU"/>
        </w:rPr>
        <w:t>антитерористичної</w:t>
      </w:r>
      <w:r w:rsidRPr="007873F6">
        <w:rPr>
          <w:rFonts w:eastAsia="Times New Roman"/>
          <w:sz w:val="20"/>
          <w:szCs w:val="20"/>
          <w:lang w:val="ru-RU" w:eastAsia="ru-RU"/>
        </w:rPr>
        <w:t xml:space="preserve"> </w:t>
      </w:r>
      <w:r w:rsidRPr="00F32158">
        <w:rPr>
          <w:rFonts w:eastAsia="Times New Roman"/>
          <w:sz w:val="20"/>
          <w:szCs w:val="20"/>
          <w:lang w:val="ru-RU" w:eastAsia="ru-RU"/>
        </w:rPr>
        <w:t>операції</w:t>
      </w:r>
      <w:r w:rsidRPr="007873F6">
        <w:rPr>
          <w:rFonts w:eastAsia="Times New Roman"/>
          <w:sz w:val="20"/>
          <w:szCs w:val="20"/>
          <w:lang w:val="ru-RU" w:eastAsia="ru-RU"/>
        </w:rPr>
        <w:t>.</w:t>
      </w:r>
      <w:r w:rsidRPr="007873F6">
        <w:rPr>
          <w:rFonts w:eastAsia="Calibri"/>
          <w:szCs w:val="28"/>
          <w:lang w:val="ru-RU"/>
        </w:rPr>
        <w:t xml:space="preserve">            </w:t>
      </w:r>
      <w:r w:rsidR="00DE062E" w:rsidRPr="007873F6">
        <w:rPr>
          <w:rFonts w:eastAsia="Calibri"/>
          <w:szCs w:val="28"/>
          <w:lang w:val="ru-RU"/>
        </w:rPr>
        <w:t xml:space="preserve">   </w:t>
      </w:r>
    </w:p>
    <w:p w:rsidR="005D3D66" w:rsidRDefault="005D3D66" w:rsidP="00F32158">
      <w:pPr>
        <w:tabs>
          <w:tab w:val="left" w:pos="7813"/>
        </w:tabs>
        <w:spacing w:after="200" w:line="276" w:lineRule="auto"/>
        <w:jc w:val="right"/>
        <w:rPr>
          <w:rFonts w:eastAsia="Calibri"/>
          <w:szCs w:val="28"/>
          <w:lang w:val="ru-RU"/>
        </w:rPr>
      </w:pPr>
    </w:p>
    <w:p w:rsidR="00F32158" w:rsidRPr="00F32158" w:rsidRDefault="00B11B16" w:rsidP="005D3D66">
      <w:pPr>
        <w:pageBreakBefore/>
        <w:widowControl w:val="0"/>
        <w:tabs>
          <w:tab w:val="left" w:pos="7813"/>
        </w:tabs>
        <w:spacing w:after="200" w:line="276" w:lineRule="auto"/>
        <w:jc w:val="right"/>
        <w:rPr>
          <w:rFonts w:eastAsia="Calibri"/>
          <w:szCs w:val="28"/>
        </w:rPr>
      </w:pPr>
      <w:r>
        <w:rPr>
          <w:rFonts w:eastAsia="Calibri"/>
          <w:szCs w:val="28"/>
        </w:rPr>
        <w:lastRenderedPageBreak/>
        <w:t>Додаток Б</w:t>
      </w:r>
      <w:r w:rsidR="00F32158" w:rsidRPr="00F32158">
        <w:rPr>
          <w:rFonts w:eastAsia="Calibri"/>
          <w:szCs w:val="28"/>
        </w:rPr>
        <w:t>-8</w:t>
      </w:r>
    </w:p>
    <w:p w:rsidR="00F32158" w:rsidRPr="00F32158" w:rsidRDefault="00F32158" w:rsidP="00897243">
      <w:pPr>
        <w:jc w:val="center"/>
        <w:rPr>
          <w:rFonts w:eastAsia="Times New Roman"/>
          <w:b/>
          <w:szCs w:val="28"/>
          <w:vertAlign w:val="superscript"/>
          <w:lang w:eastAsia="ru-RU"/>
        </w:rPr>
      </w:pPr>
      <w:r w:rsidRPr="00F32158">
        <w:rPr>
          <w:rFonts w:eastAsia="Times New Roman"/>
          <w:b/>
          <w:szCs w:val="28"/>
          <w:lang w:eastAsia="ru-RU"/>
        </w:rPr>
        <w:t>Кількість смертей дітей у віці до 1 року за кількістю прожитих місяців та статтю у 2018 році (у % до кількості померлих дітей у віці до 1 року)</w:t>
      </w:r>
      <w:r w:rsidRPr="00F32158">
        <w:rPr>
          <w:rFonts w:eastAsia="Times New Roman"/>
          <w:b/>
          <w:szCs w:val="28"/>
          <w:vertAlign w:val="superscript"/>
          <w:lang w:eastAsia="ru-RU"/>
        </w:rPr>
        <w:t>1</w:t>
      </w:r>
    </w:p>
    <w:tbl>
      <w:tblPr>
        <w:tblStyle w:val="3010"/>
        <w:tblW w:w="0" w:type="auto"/>
        <w:jc w:val="center"/>
        <w:tblLook w:val="04A0" w:firstRow="1" w:lastRow="0" w:firstColumn="1" w:lastColumn="0" w:noHBand="0" w:noVBand="1"/>
      </w:tblPr>
      <w:tblGrid>
        <w:gridCol w:w="1482"/>
        <w:gridCol w:w="1603"/>
        <w:gridCol w:w="1260"/>
        <w:gridCol w:w="1115"/>
        <w:gridCol w:w="1635"/>
        <w:gridCol w:w="1270"/>
        <w:gridCol w:w="1206"/>
      </w:tblGrid>
      <w:tr w:rsidR="00F32158" w:rsidRPr="00F32158" w:rsidTr="00BF1F99">
        <w:trPr>
          <w:trHeight w:val="250"/>
          <w:jc w:val="center"/>
        </w:trPr>
        <w:tc>
          <w:tcPr>
            <w:tcW w:w="1482" w:type="dxa"/>
            <w:vMerge w:val="restart"/>
          </w:tcPr>
          <w:p w:rsidR="00F32158" w:rsidRPr="00F32158" w:rsidRDefault="00F32158" w:rsidP="00F32158">
            <w:pPr>
              <w:spacing w:after="200" w:line="276" w:lineRule="auto"/>
              <w:jc w:val="center"/>
              <w:rPr>
                <w:sz w:val="24"/>
                <w:szCs w:val="24"/>
              </w:rPr>
            </w:pPr>
            <w:r w:rsidRPr="00F32158">
              <w:rPr>
                <w:sz w:val="24"/>
                <w:szCs w:val="24"/>
              </w:rPr>
              <w:t>Вік</w:t>
            </w:r>
          </w:p>
        </w:tc>
        <w:tc>
          <w:tcPr>
            <w:tcW w:w="3978" w:type="dxa"/>
            <w:gridSpan w:val="3"/>
          </w:tcPr>
          <w:p w:rsidR="00F32158" w:rsidRPr="00F32158" w:rsidRDefault="00F32158" w:rsidP="00F32158">
            <w:pPr>
              <w:spacing w:after="200" w:line="276" w:lineRule="auto"/>
              <w:jc w:val="center"/>
              <w:rPr>
                <w:sz w:val="24"/>
                <w:szCs w:val="24"/>
              </w:rPr>
            </w:pPr>
            <w:r w:rsidRPr="00F32158">
              <w:rPr>
                <w:sz w:val="24"/>
                <w:szCs w:val="24"/>
              </w:rPr>
              <w:t xml:space="preserve">Кількість смертей у віці до </w:t>
            </w:r>
          </w:p>
          <w:p w:rsidR="00F32158" w:rsidRPr="00F32158" w:rsidRDefault="00F32158" w:rsidP="00F32158">
            <w:pPr>
              <w:spacing w:after="200" w:line="276" w:lineRule="auto"/>
              <w:jc w:val="center"/>
              <w:rPr>
                <w:sz w:val="24"/>
                <w:szCs w:val="24"/>
              </w:rPr>
            </w:pPr>
            <w:r w:rsidRPr="00F32158">
              <w:rPr>
                <w:sz w:val="24"/>
                <w:szCs w:val="24"/>
              </w:rPr>
              <w:t>1 року</w:t>
            </w:r>
          </w:p>
        </w:tc>
        <w:tc>
          <w:tcPr>
            <w:tcW w:w="4111" w:type="dxa"/>
            <w:gridSpan w:val="3"/>
          </w:tcPr>
          <w:p w:rsidR="00F32158" w:rsidRPr="00F32158" w:rsidRDefault="00F32158" w:rsidP="00F32158">
            <w:pPr>
              <w:spacing w:after="200" w:line="276" w:lineRule="auto"/>
              <w:jc w:val="center"/>
              <w:rPr>
                <w:sz w:val="24"/>
                <w:szCs w:val="24"/>
              </w:rPr>
            </w:pPr>
            <w:r w:rsidRPr="00F32158">
              <w:rPr>
                <w:sz w:val="24"/>
                <w:szCs w:val="24"/>
              </w:rPr>
              <w:t>У відсотках до загальної кількості смертей у віці до 1 року (%)</w:t>
            </w:r>
          </w:p>
        </w:tc>
      </w:tr>
      <w:tr w:rsidR="00F32158" w:rsidRPr="00F32158" w:rsidTr="00BF1F99">
        <w:trPr>
          <w:trHeight w:val="230"/>
          <w:jc w:val="center"/>
        </w:trPr>
        <w:tc>
          <w:tcPr>
            <w:tcW w:w="1482" w:type="dxa"/>
            <w:vMerge/>
          </w:tcPr>
          <w:p w:rsidR="00F32158" w:rsidRPr="00F32158" w:rsidRDefault="00F32158" w:rsidP="00F32158">
            <w:pPr>
              <w:spacing w:after="200" w:line="276" w:lineRule="auto"/>
              <w:jc w:val="center"/>
              <w:rPr>
                <w:sz w:val="24"/>
                <w:szCs w:val="24"/>
              </w:rPr>
            </w:pPr>
          </w:p>
        </w:tc>
        <w:tc>
          <w:tcPr>
            <w:tcW w:w="1603" w:type="dxa"/>
          </w:tcPr>
          <w:p w:rsidR="00F32158" w:rsidRPr="00F32158" w:rsidRDefault="00F32158" w:rsidP="00F32158">
            <w:pPr>
              <w:spacing w:after="200" w:line="276" w:lineRule="auto"/>
              <w:jc w:val="center"/>
              <w:rPr>
                <w:sz w:val="24"/>
                <w:szCs w:val="24"/>
              </w:rPr>
            </w:pPr>
            <w:r w:rsidRPr="00F32158">
              <w:rPr>
                <w:sz w:val="24"/>
                <w:szCs w:val="24"/>
              </w:rPr>
              <w:t>Обидві статі</w:t>
            </w:r>
          </w:p>
        </w:tc>
        <w:tc>
          <w:tcPr>
            <w:tcW w:w="1260" w:type="dxa"/>
          </w:tcPr>
          <w:p w:rsidR="00F32158" w:rsidRPr="00F32158" w:rsidRDefault="00F32158" w:rsidP="00F32158">
            <w:pPr>
              <w:spacing w:after="200" w:line="276" w:lineRule="auto"/>
              <w:jc w:val="center"/>
              <w:rPr>
                <w:sz w:val="24"/>
                <w:szCs w:val="24"/>
              </w:rPr>
            </w:pPr>
            <w:r w:rsidRPr="00F32158">
              <w:rPr>
                <w:sz w:val="24"/>
                <w:szCs w:val="24"/>
              </w:rPr>
              <w:t>Хлопчики</w:t>
            </w:r>
          </w:p>
        </w:tc>
        <w:tc>
          <w:tcPr>
            <w:tcW w:w="1115" w:type="dxa"/>
          </w:tcPr>
          <w:p w:rsidR="00F32158" w:rsidRPr="00F32158" w:rsidRDefault="00F32158" w:rsidP="00F32158">
            <w:pPr>
              <w:spacing w:after="200" w:line="276" w:lineRule="auto"/>
              <w:jc w:val="center"/>
              <w:rPr>
                <w:sz w:val="24"/>
                <w:szCs w:val="24"/>
              </w:rPr>
            </w:pPr>
            <w:r w:rsidRPr="00F32158">
              <w:rPr>
                <w:sz w:val="24"/>
                <w:szCs w:val="24"/>
              </w:rPr>
              <w:t>Дівчатка</w:t>
            </w:r>
          </w:p>
        </w:tc>
        <w:tc>
          <w:tcPr>
            <w:tcW w:w="1635" w:type="dxa"/>
          </w:tcPr>
          <w:p w:rsidR="00F32158" w:rsidRPr="00F32158" w:rsidRDefault="00F32158" w:rsidP="00F32158">
            <w:pPr>
              <w:spacing w:after="200" w:line="276" w:lineRule="auto"/>
              <w:jc w:val="center"/>
              <w:rPr>
                <w:sz w:val="24"/>
                <w:szCs w:val="24"/>
              </w:rPr>
            </w:pPr>
            <w:r w:rsidRPr="00F32158">
              <w:rPr>
                <w:sz w:val="24"/>
                <w:szCs w:val="24"/>
              </w:rPr>
              <w:t>Обидві статі</w:t>
            </w:r>
          </w:p>
        </w:tc>
        <w:tc>
          <w:tcPr>
            <w:tcW w:w="1270" w:type="dxa"/>
          </w:tcPr>
          <w:p w:rsidR="00F32158" w:rsidRPr="00F32158" w:rsidRDefault="00F32158" w:rsidP="00F32158">
            <w:pPr>
              <w:spacing w:after="200" w:line="276" w:lineRule="auto"/>
              <w:jc w:val="center"/>
              <w:rPr>
                <w:sz w:val="24"/>
                <w:szCs w:val="24"/>
              </w:rPr>
            </w:pPr>
            <w:r w:rsidRPr="00F32158">
              <w:rPr>
                <w:sz w:val="24"/>
                <w:szCs w:val="24"/>
              </w:rPr>
              <w:t>Хлопчики</w:t>
            </w:r>
          </w:p>
        </w:tc>
        <w:tc>
          <w:tcPr>
            <w:tcW w:w="1206" w:type="dxa"/>
          </w:tcPr>
          <w:p w:rsidR="00F32158" w:rsidRPr="00F32158" w:rsidRDefault="00F32158" w:rsidP="00F32158">
            <w:pPr>
              <w:spacing w:after="200" w:line="276" w:lineRule="auto"/>
              <w:jc w:val="center"/>
              <w:rPr>
                <w:sz w:val="24"/>
                <w:szCs w:val="24"/>
              </w:rPr>
            </w:pPr>
            <w:r w:rsidRPr="00F32158">
              <w:rPr>
                <w:sz w:val="24"/>
                <w:szCs w:val="24"/>
              </w:rPr>
              <w:t>Дівчатка</w:t>
            </w:r>
          </w:p>
        </w:tc>
      </w:tr>
      <w:tr w:rsidR="00F32158" w:rsidRPr="00F32158" w:rsidTr="00BF1F99">
        <w:trPr>
          <w:trHeight w:val="230"/>
          <w:jc w:val="center"/>
        </w:trPr>
        <w:tc>
          <w:tcPr>
            <w:tcW w:w="1482" w:type="dxa"/>
          </w:tcPr>
          <w:p w:rsidR="00F32158" w:rsidRPr="00F32158" w:rsidRDefault="00F32158" w:rsidP="00F32158">
            <w:pPr>
              <w:spacing w:after="200" w:line="276" w:lineRule="auto"/>
              <w:rPr>
                <w:sz w:val="24"/>
                <w:szCs w:val="24"/>
              </w:rPr>
            </w:pPr>
            <w:r w:rsidRPr="00F32158">
              <w:rPr>
                <w:sz w:val="24"/>
                <w:szCs w:val="24"/>
              </w:rPr>
              <w:t>Усього</w:t>
            </w:r>
          </w:p>
        </w:tc>
        <w:tc>
          <w:tcPr>
            <w:tcW w:w="1603" w:type="dxa"/>
          </w:tcPr>
          <w:p w:rsidR="00F32158" w:rsidRPr="00F32158" w:rsidRDefault="00F32158" w:rsidP="00F32158">
            <w:pPr>
              <w:spacing w:after="200" w:line="276" w:lineRule="auto"/>
              <w:jc w:val="center"/>
              <w:rPr>
                <w:sz w:val="24"/>
                <w:szCs w:val="24"/>
              </w:rPr>
            </w:pPr>
            <w:r w:rsidRPr="00F32158">
              <w:rPr>
                <w:sz w:val="24"/>
                <w:szCs w:val="24"/>
              </w:rPr>
              <w:t>2 397</w:t>
            </w:r>
          </w:p>
        </w:tc>
        <w:tc>
          <w:tcPr>
            <w:tcW w:w="1260" w:type="dxa"/>
          </w:tcPr>
          <w:p w:rsidR="00F32158" w:rsidRPr="00F32158" w:rsidRDefault="00F32158" w:rsidP="00F32158">
            <w:pPr>
              <w:spacing w:after="200" w:line="276" w:lineRule="auto"/>
              <w:jc w:val="center"/>
              <w:rPr>
                <w:sz w:val="24"/>
                <w:szCs w:val="24"/>
              </w:rPr>
            </w:pPr>
            <w:r w:rsidRPr="00F32158">
              <w:rPr>
                <w:sz w:val="24"/>
                <w:szCs w:val="24"/>
              </w:rPr>
              <w:t>1 344</w:t>
            </w:r>
          </w:p>
        </w:tc>
        <w:tc>
          <w:tcPr>
            <w:tcW w:w="1115" w:type="dxa"/>
          </w:tcPr>
          <w:p w:rsidR="00F32158" w:rsidRPr="00F32158" w:rsidRDefault="00F32158" w:rsidP="00F32158">
            <w:pPr>
              <w:spacing w:after="200" w:line="276" w:lineRule="auto"/>
              <w:jc w:val="center"/>
              <w:rPr>
                <w:sz w:val="24"/>
                <w:szCs w:val="24"/>
              </w:rPr>
            </w:pPr>
            <w:r w:rsidRPr="00F32158">
              <w:rPr>
                <w:sz w:val="24"/>
                <w:szCs w:val="24"/>
              </w:rPr>
              <w:t>1 053</w:t>
            </w:r>
          </w:p>
        </w:tc>
        <w:tc>
          <w:tcPr>
            <w:tcW w:w="1635" w:type="dxa"/>
          </w:tcPr>
          <w:p w:rsidR="00F32158" w:rsidRPr="00F32158" w:rsidRDefault="00F32158" w:rsidP="00F32158">
            <w:pPr>
              <w:spacing w:after="200" w:line="276" w:lineRule="auto"/>
              <w:jc w:val="center"/>
              <w:rPr>
                <w:sz w:val="24"/>
                <w:szCs w:val="24"/>
              </w:rPr>
            </w:pPr>
            <w:r w:rsidRPr="00F32158">
              <w:rPr>
                <w:sz w:val="24"/>
                <w:szCs w:val="24"/>
              </w:rPr>
              <w:t>100,0</w:t>
            </w:r>
          </w:p>
        </w:tc>
        <w:tc>
          <w:tcPr>
            <w:tcW w:w="1270" w:type="dxa"/>
          </w:tcPr>
          <w:p w:rsidR="00F32158" w:rsidRPr="00F32158" w:rsidRDefault="00F32158" w:rsidP="00F32158">
            <w:pPr>
              <w:spacing w:after="200" w:line="276" w:lineRule="auto"/>
              <w:jc w:val="center"/>
              <w:rPr>
                <w:sz w:val="24"/>
                <w:szCs w:val="24"/>
              </w:rPr>
            </w:pPr>
            <w:r w:rsidRPr="00F32158">
              <w:rPr>
                <w:sz w:val="24"/>
                <w:szCs w:val="24"/>
              </w:rPr>
              <w:t>100,0</w:t>
            </w:r>
          </w:p>
        </w:tc>
        <w:tc>
          <w:tcPr>
            <w:tcW w:w="1206" w:type="dxa"/>
          </w:tcPr>
          <w:p w:rsidR="00F32158" w:rsidRPr="00F32158" w:rsidRDefault="00F32158" w:rsidP="00F32158">
            <w:pPr>
              <w:spacing w:after="200" w:line="276" w:lineRule="auto"/>
              <w:jc w:val="center"/>
              <w:rPr>
                <w:sz w:val="24"/>
                <w:szCs w:val="24"/>
              </w:rPr>
            </w:pPr>
            <w:r w:rsidRPr="00F32158">
              <w:rPr>
                <w:sz w:val="24"/>
                <w:szCs w:val="24"/>
              </w:rPr>
              <w:t>100,0</w:t>
            </w:r>
          </w:p>
        </w:tc>
      </w:tr>
      <w:tr w:rsidR="00F32158" w:rsidRPr="00F32158" w:rsidTr="00BF1F99">
        <w:trPr>
          <w:jc w:val="center"/>
        </w:trPr>
        <w:tc>
          <w:tcPr>
            <w:tcW w:w="1482" w:type="dxa"/>
          </w:tcPr>
          <w:p w:rsidR="00F32158" w:rsidRPr="00F32158" w:rsidRDefault="00F32158" w:rsidP="00F32158">
            <w:pPr>
              <w:spacing w:after="200" w:line="276" w:lineRule="auto"/>
              <w:rPr>
                <w:sz w:val="24"/>
                <w:szCs w:val="24"/>
              </w:rPr>
            </w:pPr>
            <w:r w:rsidRPr="00F32158">
              <w:rPr>
                <w:sz w:val="24"/>
                <w:szCs w:val="24"/>
              </w:rPr>
              <w:t>До 1 місяця</w:t>
            </w:r>
          </w:p>
        </w:tc>
        <w:tc>
          <w:tcPr>
            <w:tcW w:w="1603" w:type="dxa"/>
          </w:tcPr>
          <w:p w:rsidR="00F32158" w:rsidRPr="00F32158" w:rsidRDefault="00F32158" w:rsidP="00F32158">
            <w:pPr>
              <w:spacing w:after="200" w:line="276" w:lineRule="auto"/>
              <w:jc w:val="center"/>
              <w:rPr>
                <w:sz w:val="24"/>
                <w:szCs w:val="24"/>
              </w:rPr>
            </w:pPr>
            <w:r w:rsidRPr="00F32158">
              <w:rPr>
                <w:sz w:val="24"/>
                <w:szCs w:val="24"/>
              </w:rPr>
              <w:t>1 545</w:t>
            </w:r>
          </w:p>
        </w:tc>
        <w:tc>
          <w:tcPr>
            <w:tcW w:w="1260" w:type="dxa"/>
          </w:tcPr>
          <w:p w:rsidR="00F32158" w:rsidRPr="00F32158" w:rsidRDefault="00F32158" w:rsidP="00F32158">
            <w:pPr>
              <w:spacing w:after="200" w:line="276" w:lineRule="auto"/>
              <w:jc w:val="center"/>
              <w:rPr>
                <w:sz w:val="24"/>
                <w:szCs w:val="24"/>
              </w:rPr>
            </w:pPr>
            <w:r w:rsidRPr="00F32158">
              <w:rPr>
                <w:sz w:val="24"/>
                <w:szCs w:val="24"/>
              </w:rPr>
              <w:t>866</w:t>
            </w:r>
          </w:p>
        </w:tc>
        <w:tc>
          <w:tcPr>
            <w:tcW w:w="1115" w:type="dxa"/>
          </w:tcPr>
          <w:p w:rsidR="00F32158" w:rsidRPr="00F32158" w:rsidRDefault="00F32158" w:rsidP="00F32158">
            <w:pPr>
              <w:spacing w:after="200" w:line="276" w:lineRule="auto"/>
              <w:jc w:val="center"/>
              <w:rPr>
                <w:sz w:val="24"/>
                <w:szCs w:val="24"/>
              </w:rPr>
            </w:pPr>
            <w:r w:rsidRPr="00F32158">
              <w:rPr>
                <w:sz w:val="24"/>
                <w:szCs w:val="24"/>
              </w:rPr>
              <w:t>679</w:t>
            </w:r>
          </w:p>
        </w:tc>
        <w:tc>
          <w:tcPr>
            <w:tcW w:w="1635" w:type="dxa"/>
          </w:tcPr>
          <w:p w:rsidR="00F32158" w:rsidRPr="00F32158" w:rsidRDefault="00F32158" w:rsidP="00F32158">
            <w:pPr>
              <w:spacing w:after="200" w:line="276" w:lineRule="auto"/>
              <w:jc w:val="center"/>
              <w:rPr>
                <w:sz w:val="24"/>
                <w:szCs w:val="24"/>
              </w:rPr>
            </w:pPr>
            <w:r w:rsidRPr="00F32158">
              <w:rPr>
                <w:sz w:val="24"/>
                <w:szCs w:val="24"/>
              </w:rPr>
              <w:t>64,5</w:t>
            </w:r>
          </w:p>
        </w:tc>
        <w:tc>
          <w:tcPr>
            <w:tcW w:w="1270" w:type="dxa"/>
          </w:tcPr>
          <w:p w:rsidR="00F32158" w:rsidRPr="00F32158" w:rsidRDefault="00F32158" w:rsidP="00F32158">
            <w:pPr>
              <w:spacing w:after="200" w:line="276" w:lineRule="auto"/>
              <w:jc w:val="center"/>
              <w:rPr>
                <w:sz w:val="24"/>
                <w:szCs w:val="24"/>
              </w:rPr>
            </w:pPr>
            <w:r w:rsidRPr="00F32158">
              <w:rPr>
                <w:sz w:val="24"/>
                <w:szCs w:val="24"/>
              </w:rPr>
              <w:t>64,4</w:t>
            </w:r>
          </w:p>
        </w:tc>
        <w:tc>
          <w:tcPr>
            <w:tcW w:w="1206" w:type="dxa"/>
          </w:tcPr>
          <w:p w:rsidR="00F32158" w:rsidRPr="00F32158" w:rsidRDefault="00F32158" w:rsidP="00F32158">
            <w:pPr>
              <w:spacing w:after="200" w:line="276" w:lineRule="auto"/>
              <w:jc w:val="center"/>
              <w:rPr>
                <w:sz w:val="24"/>
                <w:szCs w:val="24"/>
              </w:rPr>
            </w:pPr>
            <w:r w:rsidRPr="00F32158">
              <w:rPr>
                <w:sz w:val="24"/>
                <w:szCs w:val="24"/>
              </w:rPr>
              <w:t>64,5</w:t>
            </w:r>
          </w:p>
        </w:tc>
      </w:tr>
      <w:tr w:rsidR="00F32158" w:rsidRPr="00F32158" w:rsidTr="00BF1F99">
        <w:trPr>
          <w:jc w:val="center"/>
        </w:trPr>
        <w:tc>
          <w:tcPr>
            <w:tcW w:w="1482" w:type="dxa"/>
          </w:tcPr>
          <w:p w:rsidR="00F32158" w:rsidRPr="00F32158" w:rsidRDefault="00F32158" w:rsidP="00F32158">
            <w:pPr>
              <w:spacing w:after="200" w:line="276" w:lineRule="auto"/>
              <w:rPr>
                <w:sz w:val="24"/>
                <w:szCs w:val="24"/>
              </w:rPr>
            </w:pPr>
            <w:r w:rsidRPr="00F32158">
              <w:rPr>
                <w:sz w:val="24"/>
                <w:szCs w:val="24"/>
              </w:rPr>
              <w:t>1 місяць</w:t>
            </w:r>
          </w:p>
        </w:tc>
        <w:tc>
          <w:tcPr>
            <w:tcW w:w="1603" w:type="dxa"/>
          </w:tcPr>
          <w:p w:rsidR="00F32158" w:rsidRPr="00F32158" w:rsidRDefault="00F32158" w:rsidP="00F32158">
            <w:pPr>
              <w:spacing w:after="200" w:line="276" w:lineRule="auto"/>
              <w:jc w:val="center"/>
              <w:rPr>
                <w:sz w:val="24"/>
                <w:szCs w:val="24"/>
              </w:rPr>
            </w:pPr>
            <w:r w:rsidRPr="00F32158">
              <w:rPr>
                <w:sz w:val="24"/>
                <w:szCs w:val="24"/>
              </w:rPr>
              <w:t>256</w:t>
            </w:r>
          </w:p>
        </w:tc>
        <w:tc>
          <w:tcPr>
            <w:tcW w:w="1260" w:type="dxa"/>
          </w:tcPr>
          <w:p w:rsidR="00F32158" w:rsidRPr="00F32158" w:rsidRDefault="00F32158" w:rsidP="00F32158">
            <w:pPr>
              <w:spacing w:after="200" w:line="276" w:lineRule="auto"/>
              <w:jc w:val="center"/>
              <w:rPr>
                <w:sz w:val="24"/>
                <w:szCs w:val="24"/>
              </w:rPr>
            </w:pPr>
            <w:r w:rsidRPr="00F32158">
              <w:rPr>
                <w:sz w:val="24"/>
                <w:szCs w:val="24"/>
              </w:rPr>
              <w:t>146</w:t>
            </w:r>
          </w:p>
        </w:tc>
        <w:tc>
          <w:tcPr>
            <w:tcW w:w="1115" w:type="dxa"/>
          </w:tcPr>
          <w:p w:rsidR="00F32158" w:rsidRPr="00F32158" w:rsidRDefault="00F32158" w:rsidP="00F32158">
            <w:pPr>
              <w:spacing w:after="200" w:line="276" w:lineRule="auto"/>
              <w:jc w:val="center"/>
              <w:rPr>
                <w:sz w:val="24"/>
                <w:szCs w:val="24"/>
              </w:rPr>
            </w:pPr>
            <w:r w:rsidRPr="00F32158">
              <w:rPr>
                <w:sz w:val="24"/>
                <w:szCs w:val="24"/>
              </w:rPr>
              <w:t>110</w:t>
            </w:r>
          </w:p>
        </w:tc>
        <w:tc>
          <w:tcPr>
            <w:tcW w:w="1635" w:type="dxa"/>
          </w:tcPr>
          <w:p w:rsidR="00F32158" w:rsidRPr="00F32158" w:rsidRDefault="00F32158" w:rsidP="00F32158">
            <w:pPr>
              <w:spacing w:after="200" w:line="276" w:lineRule="auto"/>
              <w:jc w:val="center"/>
              <w:rPr>
                <w:sz w:val="24"/>
                <w:szCs w:val="24"/>
              </w:rPr>
            </w:pPr>
            <w:r w:rsidRPr="00F32158">
              <w:rPr>
                <w:sz w:val="24"/>
                <w:szCs w:val="24"/>
              </w:rPr>
              <w:t>10,7</w:t>
            </w:r>
          </w:p>
        </w:tc>
        <w:tc>
          <w:tcPr>
            <w:tcW w:w="1270" w:type="dxa"/>
          </w:tcPr>
          <w:p w:rsidR="00F32158" w:rsidRPr="00F32158" w:rsidRDefault="00F32158" w:rsidP="00F32158">
            <w:pPr>
              <w:spacing w:after="200" w:line="276" w:lineRule="auto"/>
              <w:jc w:val="center"/>
              <w:rPr>
                <w:sz w:val="24"/>
                <w:szCs w:val="24"/>
              </w:rPr>
            </w:pPr>
            <w:r w:rsidRPr="00F32158">
              <w:rPr>
                <w:sz w:val="24"/>
                <w:szCs w:val="24"/>
              </w:rPr>
              <w:t>10,9</w:t>
            </w:r>
          </w:p>
        </w:tc>
        <w:tc>
          <w:tcPr>
            <w:tcW w:w="1206" w:type="dxa"/>
          </w:tcPr>
          <w:p w:rsidR="00F32158" w:rsidRPr="00F32158" w:rsidRDefault="00F32158" w:rsidP="00F32158">
            <w:pPr>
              <w:spacing w:after="200" w:line="276" w:lineRule="auto"/>
              <w:jc w:val="center"/>
              <w:rPr>
                <w:sz w:val="24"/>
                <w:szCs w:val="24"/>
              </w:rPr>
            </w:pPr>
            <w:r w:rsidRPr="00F32158">
              <w:rPr>
                <w:sz w:val="24"/>
                <w:szCs w:val="24"/>
              </w:rPr>
              <w:t>10,5</w:t>
            </w:r>
          </w:p>
        </w:tc>
      </w:tr>
      <w:tr w:rsidR="00F32158" w:rsidRPr="00F32158" w:rsidTr="00BF1F99">
        <w:trPr>
          <w:jc w:val="center"/>
        </w:trPr>
        <w:tc>
          <w:tcPr>
            <w:tcW w:w="1482" w:type="dxa"/>
          </w:tcPr>
          <w:p w:rsidR="00F32158" w:rsidRPr="00F32158" w:rsidRDefault="00F32158" w:rsidP="00F32158">
            <w:pPr>
              <w:spacing w:after="200" w:line="276" w:lineRule="auto"/>
              <w:rPr>
                <w:sz w:val="24"/>
                <w:szCs w:val="24"/>
              </w:rPr>
            </w:pPr>
            <w:r w:rsidRPr="00F32158">
              <w:rPr>
                <w:sz w:val="24"/>
                <w:szCs w:val="24"/>
              </w:rPr>
              <w:t>2 місяці</w:t>
            </w:r>
          </w:p>
        </w:tc>
        <w:tc>
          <w:tcPr>
            <w:tcW w:w="1603" w:type="dxa"/>
          </w:tcPr>
          <w:p w:rsidR="00F32158" w:rsidRPr="00F32158" w:rsidRDefault="00F32158" w:rsidP="00F32158">
            <w:pPr>
              <w:spacing w:after="200" w:line="276" w:lineRule="auto"/>
              <w:jc w:val="center"/>
              <w:rPr>
                <w:sz w:val="24"/>
                <w:szCs w:val="24"/>
              </w:rPr>
            </w:pPr>
            <w:r w:rsidRPr="00F32158">
              <w:rPr>
                <w:sz w:val="24"/>
                <w:szCs w:val="24"/>
              </w:rPr>
              <w:t>139</w:t>
            </w:r>
          </w:p>
        </w:tc>
        <w:tc>
          <w:tcPr>
            <w:tcW w:w="1260" w:type="dxa"/>
          </w:tcPr>
          <w:p w:rsidR="00F32158" w:rsidRPr="00F32158" w:rsidRDefault="00F32158" w:rsidP="00F32158">
            <w:pPr>
              <w:spacing w:after="200" w:line="276" w:lineRule="auto"/>
              <w:jc w:val="center"/>
              <w:rPr>
                <w:sz w:val="24"/>
                <w:szCs w:val="24"/>
              </w:rPr>
            </w:pPr>
            <w:r w:rsidRPr="00F32158">
              <w:rPr>
                <w:sz w:val="24"/>
                <w:szCs w:val="24"/>
              </w:rPr>
              <w:t>75</w:t>
            </w:r>
          </w:p>
        </w:tc>
        <w:tc>
          <w:tcPr>
            <w:tcW w:w="1115" w:type="dxa"/>
          </w:tcPr>
          <w:p w:rsidR="00F32158" w:rsidRPr="00F32158" w:rsidRDefault="00F32158" w:rsidP="00F32158">
            <w:pPr>
              <w:spacing w:after="200" w:line="276" w:lineRule="auto"/>
              <w:jc w:val="center"/>
              <w:rPr>
                <w:sz w:val="24"/>
                <w:szCs w:val="24"/>
              </w:rPr>
            </w:pPr>
            <w:r w:rsidRPr="00F32158">
              <w:rPr>
                <w:sz w:val="24"/>
                <w:szCs w:val="24"/>
              </w:rPr>
              <w:t>64</w:t>
            </w:r>
          </w:p>
        </w:tc>
        <w:tc>
          <w:tcPr>
            <w:tcW w:w="1635" w:type="dxa"/>
          </w:tcPr>
          <w:p w:rsidR="00F32158" w:rsidRPr="00F32158" w:rsidRDefault="00F32158" w:rsidP="00F32158">
            <w:pPr>
              <w:spacing w:after="200" w:line="276" w:lineRule="auto"/>
              <w:jc w:val="center"/>
              <w:rPr>
                <w:sz w:val="24"/>
                <w:szCs w:val="24"/>
              </w:rPr>
            </w:pPr>
            <w:r w:rsidRPr="00F32158">
              <w:rPr>
                <w:sz w:val="24"/>
                <w:szCs w:val="24"/>
              </w:rPr>
              <w:t>5,8</w:t>
            </w:r>
          </w:p>
        </w:tc>
        <w:tc>
          <w:tcPr>
            <w:tcW w:w="1270" w:type="dxa"/>
          </w:tcPr>
          <w:p w:rsidR="00F32158" w:rsidRPr="00F32158" w:rsidRDefault="00F32158" w:rsidP="00F32158">
            <w:pPr>
              <w:spacing w:after="200" w:line="276" w:lineRule="auto"/>
              <w:jc w:val="center"/>
              <w:rPr>
                <w:sz w:val="24"/>
                <w:szCs w:val="24"/>
              </w:rPr>
            </w:pPr>
            <w:r w:rsidRPr="00F32158">
              <w:rPr>
                <w:sz w:val="24"/>
                <w:szCs w:val="24"/>
              </w:rPr>
              <w:t>5,6</w:t>
            </w:r>
          </w:p>
        </w:tc>
        <w:tc>
          <w:tcPr>
            <w:tcW w:w="1206" w:type="dxa"/>
          </w:tcPr>
          <w:p w:rsidR="00F32158" w:rsidRPr="00F32158" w:rsidRDefault="00F32158" w:rsidP="00F32158">
            <w:pPr>
              <w:spacing w:after="200" w:line="276" w:lineRule="auto"/>
              <w:jc w:val="center"/>
              <w:rPr>
                <w:sz w:val="24"/>
                <w:szCs w:val="24"/>
              </w:rPr>
            </w:pPr>
            <w:r w:rsidRPr="00F32158">
              <w:rPr>
                <w:sz w:val="24"/>
                <w:szCs w:val="24"/>
              </w:rPr>
              <w:t>6,1</w:t>
            </w:r>
          </w:p>
        </w:tc>
      </w:tr>
      <w:tr w:rsidR="00F32158" w:rsidRPr="00F32158" w:rsidTr="00BF1F99">
        <w:trPr>
          <w:jc w:val="center"/>
        </w:trPr>
        <w:tc>
          <w:tcPr>
            <w:tcW w:w="1482" w:type="dxa"/>
          </w:tcPr>
          <w:p w:rsidR="00F32158" w:rsidRPr="00F32158" w:rsidRDefault="00F32158" w:rsidP="00F32158">
            <w:pPr>
              <w:spacing w:after="200" w:line="276" w:lineRule="auto"/>
              <w:rPr>
                <w:sz w:val="24"/>
                <w:szCs w:val="24"/>
              </w:rPr>
            </w:pPr>
            <w:r w:rsidRPr="00F32158">
              <w:rPr>
                <w:sz w:val="24"/>
                <w:szCs w:val="24"/>
              </w:rPr>
              <w:t>3 місяці</w:t>
            </w:r>
          </w:p>
        </w:tc>
        <w:tc>
          <w:tcPr>
            <w:tcW w:w="1603" w:type="dxa"/>
          </w:tcPr>
          <w:p w:rsidR="00F32158" w:rsidRPr="00F32158" w:rsidRDefault="00F32158" w:rsidP="00F32158">
            <w:pPr>
              <w:spacing w:after="200" w:line="276" w:lineRule="auto"/>
              <w:jc w:val="center"/>
              <w:rPr>
                <w:sz w:val="24"/>
                <w:szCs w:val="24"/>
              </w:rPr>
            </w:pPr>
            <w:r w:rsidRPr="00F32158">
              <w:rPr>
                <w:sz w:val="24"/>
                <w:szCs w:val="24"/>
              </w:rPr>
              <w:t>85</w:t>
            </w:r>
          </w:p>
        </w:tc>
        <w:tc>
          <w:tcPr>
            <w:tcW w:w="1260" w:type="dxa"/>
          </w:tcPr>
          <w:p w:rsidR="00F32158" w:rsidRPr="00F32158" w:rsidRDefault="00F32158" w:rsidP="00F32158">
            <w:pPr>
              <w:spacing w:after="200" w:line="276" w:lineRule="auto"/>
              <w:jc w:val="center"/>
              <w:rPr>
                <w:sz w:val="24"/>
                <w:szCs w:val="24"/>
              </w:rPr>
            </w:pPr>
            <w:r w:rsidRPr="00F32158">
              <w:rPr>
                <w:sz w:val="24"/>
                <w:szCs w:val="24"/>
              </w:rPr>
              <w:t>51</w:t>
            </w:r>
          </w:p>
        </w:tc>
        <w:tc>
          <w:tcPr>
            <w:tcW w:w="1115" w:type="dxa"/>
          </w:tcPr>
          <w:p w:rsidR="00F32158" w:rsidRPr="00F32158" w:rsidRDefault="00F32158" w:rsidP="00F32158">
            <w:pPr>
              <w:spacing w:after="200" w:line="276" w:lineRule="auto"/>
              <w:jc w:val="center"/>
              <w:rPr>
                <w:sz w:val="24"/>
                <w:szCs w:val="24"/>
              </w:rPr>
            </w:pPr>
            <w:r w:rsidRPr="00F32158">
              <w:rPr>
                <w:sz w:val="24"/>
                <w:szCs w:val="24"/>
              </w:rPr>
              <w:t>34</w:t>
            </w:r>
          </w:p>
        </w:tc>
        <w:tc>
          <w:tcPr>
            <w:tcW w:w="1635" w:type="dxa"/>
          </w:tcPr>
          <w:p w:rsidR="00F32158" w:rsidRPr="00F32158" w:rsidRDefault="00F32158" w:rsidP="00F32158">
            <w:pPr>
              <w:spacing w:after="200" w:line="276" w:lineRule="auto"/>
              <w:jc w:val="center"/>
              <w:rPr>
                <w:sz w:val="24"/>
                <w:szCs w:val="24"/>
              </w:rPr>
            </w:pPr>
            <w:r w:rsidRPr="00F32158">
              <w:rPr>
                <w:sz w:val="24"/>
                <w:szCs w:val="24"/>
              </w:rPr>
              <w:t>3,5</w:t>
            </w:r>
          </w:p>
        </w:tc>
        <w:tc>
          <w:tcPr>
            <w:tcW w:w="1270" w:type="dxa"/>
          </w:tcPr>
          <w:p w:rsidR="00F32158" w:rsidRPr="00F32158" w:rsidRDefault="00F32158" w:rsidP="00F32158">
            <w:pPr>
              <w:spacing w:after="200" w:line="276" w:lineRule="auto"/>
              <w:jc w:val="center"/>
              <w:rPr>
                <w:sz w:val="24"/>
                <w:szCs w:val="24"/>
              </w:rPr>
            </w:pPr>
            <w:r w:rsidRPr="00F32158">
              <w:rPr>
                <w:sz w:val="24"/>
                <w:szCs w:val="24"/>
              </w:rPr>
              <w:t>3,8</w:t>
            </w:r>
          </w:p>
        </w:tc>
        <w:tc>
          <w:tcPr>
            <w:tcW w:w="1206" w:type="dxa"/>
          </w:tcPr>
          <w:p w:rsidR="00F32158" w:rsidRPr="00F32158" w:rsidRDefault="00F32158" w:rsidP="00F32158">
            <w:pPr>
              <w:spacing w:after="200" w:line="276" w:lineRule="auto"/>
              <w:jc w:val="center"/>
              <w:rPr>
                <w:sz w:val="24"/>
                <w:szCs w:val="24"/>
              </w:rPr>
            </w:pPr>
            <w:r w:rsidRPr="00F32158">
              <w:rPr>
                <w:sz w:val="24"/>
                <w:szCs w:val="24"/>
              </w:rPr>
              <w:t>3,2</w:t>
            </w:r>
          </w:p>
        </w:tc>
      </w:tr>
      <w:tr w:rsidR="00F32158" w:rsidRPr="00F32158" w:rsidTr="00BF1F99">
        <w:trPr>
          <w:jc w:val="center"/>
        </w:trPr>
        <w:tc>
          <w:tcPr>
            <w:tcW w:w="1482" w:type="dxa"/>
          </w:tcPr>
          <w:p w:rsidR="00F32158" w:rsidRPr="00F32158" w:rsidRDefault="00F32158" w:rsidP="00F32158">
            <w:pPr>
              <w:spacing w:after="200" w:line="276" w:lineRule="auto"/>
              <w:rPr>
                <w:sz w:val="24"/>
                <w:szCs w:val="24"/>
              </w:rPr>
            </w:pPr>
            <w:r w:rsidRPr="00F32158">
              <w:rPr>
                <w:sz w:val="24"/>
                <w:szCs w:val="24"/>
              </w:rPr>
              <w:t>4 місяці</w:t>
            </w:r>
          </w:p>
        </w:tc>
        <w:tc>
          <w:tcPr>
            <w:tcW w:w="1603" w:type="dxa"/>
          </w:tcPr>
          <w:p w:rsidR="00F32158" w:rsidRPr="00F32158" w:rsidRDefault="00F32158" w:rsidP="00F32158">
            <w:pPr>
              <w:spacing w:after="200" w:line="276" w:lineRule="auto"/>
              <w:jc w:val="center"/>
              <w:rPr>
                <w:sz w:val="24"/>
                <w:szCs w:val="24"/>
              </w:rPr>
            </w:pPr>
            <w:r w:rsidRPr="00F32158">
              <w:rPr>
                <w:sz w:val="24"/>
                <w:szCs w:val="24"/>
              </w:rPr>
              <w:t>70</w:t>
            </w:r>
          </w:p>
        </w:tc>
        <w:tc>
          <w:tcPr>
            <w:tcW w:w="1260" w:type="dxa"/>
          </w:tcPr>
          <w:p w:rsidR="00F32158" w:rsidRPr="00F32158" w:rsidRDefault="00F32158" w:rsidP="00F32158">
            <w:pPr>
              <w:spacing w:after="200" w:line="276" w:lineRule="auto"/>
              <w:jc w:val="center"/>
              <w:rPr>
                <w:sz w:val="24"/>
                <w:szCs w:val="24"/>
              </w:rPr>
            </w:pPr>
            <w:r w:rsidRPr="00F32158">
              <w:rPr>
                <w:sz w:val="24"/>
                <w:szCs w:val="24"/>
              </w:rPr>
              <w:t>39</w:t>
            </w:r>
          </w:p>
        </w:tc>
        <w:tc>
          <w:tcPr>
            <w:tcW w:w="1115" w:type="dxa"/>
          </w:tcPr>
          <w:p w:rsidR="00F32158" w:rsidRPr="00F32158" w:rsidRDefault="00F32158" w:rsidP="00F32158">
            <w:pPr>
              <w:spacing w:after="200" w:line="276" w:lineRule="auto"/>
              <w:jc w:val="center"/>
              <w:rPr>
                <w:sz w:val="24"/>
                <w:szCs w:val="24"/>
              </w:rPr>
            </w:pPr>
            <w:r w:rsidRPr="00F32158">
              <w:rPr>
                <w:sz w:val="24"/>
                <w:szCs w:val="24"/>
              </w:rPr>
              <w:t>31</w:t>
            </w:r>
          </w:p>
        </w:tc>
        <w:tc>
          <w:tcPr>
            <w:tcW w:w="1635" w:type="dxa"/>
          </w:tcPr>
          <w:p w:rsidR="00F32158" w:rsidRPr="00F32158" w:rsidRDefault="00F32158" w:rsidP="00F32158">
            <w:pPr>
              <w:spacing w:after="200" w:line="276" w:lineRule="auto"/>
              <w:jc w:val="center"/>
              <w:rPr>
                <w:sz w:val="24"/>
                <w:szCs w:val="24"/>
              </w:rPr>
            </w:pPr>
            <w:r w:rsidRPr="00F32158">
              <w:rPr>
                <w:sz w:val="24"/>
                <w:szCs w:val="24"/>
              </w:rPr>
              <w:t>2,9</w:t>
            </w:r>
          </w:p>
        </w:tc>
        <w:tc>
          <w:tcPr>
            <w:tcW w:w="1270" w:type="dxa"/>
          </w:tcPr>
          <w:p w:rsidR="00F32158" w:rsidRPr="00F32158" w:rsidRDefault="00F32158" w:rsidP="00F32158">
            <w:pPr>
              <w:spacing w:after="200" w:line="276" w:lineRule="auto"/>
              <w:jc w:val="center"/>
              <w:rPr>
                <w:sz w:val="24"/>
                <w:szCs w:val="24"/>
              </w:rPr>
            </w:pPr>
            <w:r w:rsidRPr="00F32158">
              <w:rPr>
                <w:sz w:val="24"/>
                <w:szCs w:val="24"/>
              </w:rPr>
              <w:t>2,9</w:t>
            </w:r>
          </w:p>
        </w:tc>
        <w:tc>
          <w:tcPr>
            <w:tcW w:w="1206" w:type="dxa"/>
          </w:tcPr>
          <w:p w:rsidR="00F32158" w:rsidRPr="00F32158" w:rsidRDefault="00F32158" w:rsidP="00F32158">
            <w:pPr>
              <w:spacing w:after="200" w:line="276" w:lineRule="auto"/>
              <w:jc w:val="center"/>
              <w:rPr>
                <w:sz w:val="24"/>
                <w:szCs w:val="24"/>
              </w:rPr>
            </w:pPr>
            <w:r w:rsidRPr="00F32158">
              <w:rPr>
                <w:sz w:val="24"/>
                <w:szCs w:val="24"/>
              </w:rPr>
              <w:t>2,9</w:t>
            </w:r>
          </w:p>
        </w:tc>
      </w:tr>
      <w:tr w:rsidR="00F32158" w:rsidRPr="00F32158" w:rsidTr="00BF1F99">
        <w:trPr>
          <w:jc w:val="center"/>
        </w:trPr>
        <w:tc>
          <w:tcPr>
            <w:tcW w:w="1482" w:type="dxa"/>
          </w:tcPr>
          <w:p w:rsidR="00F32158" w:rsidRPr="00F32158" w:rsidRDefault="00F32158" w:rsidP="00F32158">
            <w:pPr>
              <w:spacing w:after="200" w:line="276" w:lineRule="auto"/>
              <w:rPr>
                <w:sz w:val="24"/>
                <w:szCs w:val="24"/>
              </w:rPr>
            </w:pPr>
            <w:r w:rsidRPr="00F32158">
              <w:rPr>
                <w:sz w:val="24"/>
                <w:szCs w:val="24"/>
              </w:rPr>
              <w:t>5 місяців</w:t>
            </w:r>
          </w:p>
        </w:tc>
        <w:tc>
          <w:tcPr>
            <w:tcW w:w="1603" w:type="dxa"/>
          </w:tcPr>
          <w:p w:rsidR="00F32158" w:rsidRPr="00F32158" w:rsidRDefault="00F32158" w:rsidP="00F32158">
            <w:pPr>
              <w:spacing w:after="200" w:line="276" w:lineRule="auto"/>
              <w:jc w:val="center"/>
              <w:rPr>
                <w:sz w:val="24"/>
                <w:szCs w:val="24"/>
              </w:rPr>
            </w:pPr>
            <w:r w:rsidRPr="00F32158">
              <w:rPr>
                <w:sz w:val="24"/>
                <w:szCs w:val="24"/>
              </w:rPr>
              <w:t>70</w:t>
            </w:r>
          </w:p>
        </w:tc>
        <w:tc>
          <w:tcPr>
            <w:tcW w:w="1260" w:type="dxa"/>
          </w:tcPr>
          <w:p w:rsidR="00F32158" w:rsidRPr="00F32158" w:rsidRDefault="00F32158" w:rsidP="00F32158">
            <w:pPr>
              <w:spacing w:after="200" w:line="276" w:lineRule="auto"/>
              <w:jc w:val="center"/>
              <w:rPr>
                <w:sz w:val="24"/>
                <w:szCs w:val="24"/>
              </w:rPr>
            </w:pPr>
            <w:r w:rsidRPr="00F32158">
              <w:rPr>
                <w:sz w:val="24"/>
                <w:szCs w:val="24"/>
              </w:rPr>
              <w:t>40</w:t>
            </w:r>
          </w:p>
        </w:tc>
        <w:tc>
          <w:tcPr>
            <w:tcW w:w="1115" w:type="dxa"/>
          </w:tcPr>
          <w:p w:rsidR="00F32158" w:rsidRPr="00F32158" w:rsidRDefault="00F32158" w:rsidP="00F32158">
            <w:pPr>
              <w:spacing w:after="200" w:line="276" w:lineRule="auto"/>
              <w:jc w:val="center"/>
              <w:rPr>
                <w:sz w:val="24"/>
                <w:szCs w:val="24"/>
              </w:rPr>
            </w:pPr>
            <w:r w:rsidRPr="00F32158">
              <w:rPr>
                <w:sz w:val="24"/>
                <w:szCs w:val="24"/>
              </w:rPr>
              <w:t>30</w:t>
            </w:r>
          </w:p>
        </w:tc>
        <w:tc>
          <w:tcPr>
            <w:tcW w:w="1635" w:type="dxa"/>
          </w:tcPr>
          <w:p w:rsidR="00F32158" w:rsidRPr="00F32158" w:rsidRDefault="00F32158" w:rsidP="00F32158">
            <w:pPr>
              <w:spacing w:after="200" w:line="276" w:lineRule="auto"/>
              <w:jc w:val="center"/>
              <w:rPr>
                <w:sz w:val="24"/>
                <w:szCs w:val="24"/>
              </w:rPr>
            </w:pPr>
            <w:r w:rsidRPr="00F32158">
              <w:rPr>
                <w:sz w:val="24"/>
                <w:szCs w:val="24"/>
              </w:rPr>
              <w:t>2,9</w:t>
            </w:r>
          </w:p>
        </w:tc>
        <w:tc>
          <w:tcPr>
            <w:tcW w:w="1270" w:type="dxa"/>
          </w:tcPr>
          <w:p w:rsidR="00F32158" w:rsidRPr="00F32158" w:rsidRDefault="00F32158" w:rsidP="00F32158">
            <w:pPr>
              <w:spacing w:after="200" w:line="276" w:lineRule="auto"/>
              <w:jc w:val="center"/>
              <w:rPr>
                <w:sz w:val="24"/>
                <w:szCs w:val="24"/>
              </w:rPr>
            </w:pPr>
            <w:r w:rsidRPr="00F32158">
              <w:rPr>
                <w:sz w:val="24"/>
                <w:szCs w:val="24"/>
              </w:rPr>
              <w:t>3,0</w:t>
            </w:r>
          </w:p>
        </w:tc>
        <w:tc>
          <w:tcPr>
            <w:tcW w:w="1206" w:type="dxa"/>
          </w:tcPr>
          <w:p w:rsidR="00F32158" w:rsidRPr="00F32158" w:rsidRDefault="00F32158" w:rsidP="00F32158">
            <w:pPr>
              <w:spacing w:after="200" w:line="276" w:lineRule="auto"/>
              <w:jc w:val="center"/>
              <w:rPr>
                <w:sz w:val="24"/>
                <w:szCs w:val="24"/>
              </w:rPr>
            </w:pPr>
            <w:r w:rsidRPr="00F32158">
              <w:rPr>
                <w:sz w:val="24"/>
                <w:szCs w:val="24"/>
              </w:rPr>
              <w:t>2,9</w:t>
            </w:r>
          </w:p>
        </w:tc>
      </w:tr>
      <w:tr w:rsidR="00F32158" w:rsidRPr="00F32158" w:rsidTr="00BF1F99">
        <w:trPr>
          <w:jc w:val="center"/>
        </w:trPr>
        <w:tc>
          <w:tcPr>
            <w:tcW w:w="1482" w:type="dxa"/>
          </w:tcPr>
          <w:p w:rsidR="00F32158" w:rsidRPr="00F32158" w:rsidRDefault="00F32158" w:rsidP="00F32158">
            <w:pPr>
              <w:spacing w:after="200" w:line="276" w:lineRule="auto"/>
              <w:rPr>
                <w:sz w:val="24"/>
                <w:szCs w:val="24"/>
              </w:rPr>
            </w:pPr>
            <w:r w:rsidRPr="00F32158">
              <w:rPr>
                <w:sz w:val="24"/>
                <w:szCs w:val="24"/>
              </w:rPr>
              <w:t>6 місяців</w:t>
            </w:r>
          </w:p>
        </w:tc>
        <w:tc>
          <w:tcPr>
            <w:tcW w:w="1603" w:type="dxa"/>
          </w:tcPr>
          <w:p w:rsidR="00F32158" w:rsidRPr="00F32158" w:rsidRDefault="00F32158" w:rsidP="00F32158">
            <w:pPr>
              <w:spacing w:after="200" w:line="276" w:lineRule="auto"/>
              <w:jc w:val="center"/>
              <w:rPr>
                <w:sz w:val="24"/>
                <w:szCs w:val="24"/>
              </w:rPr>
            </w:pPr>
            <w:r w:rsidRPr="00F32158">
              <w:rPr>
                <w:sz w:val="24"/>
                <w:szCs w:val="24"/>
              </w:rPr>
              <w:t>52</w:t>
            </w:r>
          </w:p>
        </w:tc>
        <w:tc>
          <w:tcPr>
            <w:tcW w:w="1260" w:type="dxa"/>
          </w:tcPr>
          <w:p w:rsidR="00F32158" w:rsidRPr="00F32158" w:rsidRDefault="00F32158" w:rsidP="00F32158">
            <w:pPr>
              <w:spacing w:after="200" w:line="276" w:lineRule="auto"/>
              <w:jc w:val="center"/>
              <w:rPr>
                <w:sz w:val="24"/>
                <w:szCs w:val="24"/>
              </w:rPr>
            </w:pPr>
            <w:r w:rsidRPr="00F32158">
              <w:rPr>
                <w:sz w:val="24"/>
                <w:szCs w:val="24"/>
              </w:rPr>
              <w:t>28</w:t>
            </w:r>
          </w:p>
        </w:tc>
        <w:tc>
          <w:tcPr>
            <w:tcW w:w="1115" w:type="dxa"/>
          </w:tcPr>
          <w:p w:rsidR="00F32158" w:rsidRPr="00F32158" w:rsidRDefault="00F32158" w:rsidP="00F32158">
            <w:pPr>
              <w:spacing w:after="200" w:line="276" w:lineRule="auto"/>
              <w:jc w:val="center"/>
              <w:rPr>
                <w:sz w:val="24"/>
                <w:szCs w:val="24"/>
              </w:rPr>
            </w:pPr>
            <w:r w:rsidRPr="00F32158">
              <w:rPr>
                <w:sz w:val="24"/>
                <w:szCs w:val="24"/>
              </w:rPr>
              <w:t>24</w:t>
            </w:r>
          </w:p>
        </w:tc>
        <w:tc>
          <w:tcPr>
            <w:tcW w:w="1635" w:type="dxa"/>
          </w:tcPr>
          <w:p w:rsidR="00F32158" w:rsidRPr="00F32158" w:rsidRDefault="00F32158" w:rsidP="00F32158">
            <w:pPr>
              <w:spacing w:after="200" w:line="276" w:lineRule="auto"/>
              <w:jc w:val="center"/>
              <w:rPr>
                <w:sz w:val="24"/>
                <w:szCs w:val="24"/>
              </w:rPr>
            </w:pPr>
            <w:r w:rsidRPr="00F32158">
              <w:rPr>
                <w:sz w:val="24"/>
                <w:szCs w:val="24"/>
              </w:rPr>
              <w:t>2,2</w:t>
            </w:r>
          </w:p>
        </w:tc>
        <w:tc>
          <w:tcPr>
            <w:tcW w:w="1270" w:type="dxa"/>
          </w:tcPr>
          <w:p w:rsidR="00F32158" w:rsidRPr="00F32158" w:rsidRDefault="00F32158" w:rsidP="00F32158">
            <w:pPr>
              <w:spacing w:after="200" w:line="276" w:lineRule="auto"/>
              <w:jc w:val="center"/>
              <w:rPr>
                <w:sz w:val="24"/>
                <w:szCs w:val="24"/>
              </w:rPr>
            </w:pPr>
            <w:r w:rsidRPr="00F32158">
              <w:rPr>
                <w:sz w:val="24"/>
                <w:szCs w:val="24"/>
              </w:rPr>
              <w:t>2,1</w:t>
            </w:r>
          </w:p>
        </w:tc>
        <w:tc>
          <w:tcPr>
            <w:tcW w:w="1206" w:type="dxa"/>
          </w:tcPr>
          <w:p w:rsidR="00F32158" w:rsidRPr="00F32158" w:rsidRDefault="00F32158" w:rsidP="00F32158">
            <w:pPr>
              <w:spacing w:after="200" w:line="276" w:lineRule="auto"/>
              <w:jc w:val="center"/>
              <w:rPr>
                <w:sz w:val="24"/>
                <w:szCs w:val="24"/>
              </w:rPr>
            </w:pPr>
            <w:r w:rsidRPr="00F32158">
              <w:rPr>
                <w:sz w:val="24"/>
                <w:szCs w:val="24"/>
              </w:rPr>
              <w:t>2,3</w:t>
            </w:r>
          </w:p>
        </w:tc>
      </w:tr>
      <w:tr w:rsidR="00F32158" w:rsidRPr="00F32158" w:rsidTr="00BF1F99">
        <w:trPr>
          <w:jc w:val="center"/>
        </w:trPr>
        <w:tc>
          <w:tcPr>
            <w:tcW w:w="1482" w:type="dxa"/>
          </w:tcPr>
          <w:p w:rsidR="00F32158" w:rsidRPr="00F32158" w:rsidRDefault="00F32158" w:rsidP="00F32158">
            <w:pPr>
              <w:spacing w:after="200" w:line="276" w:lineRule="auto"/>
              <w:rPr>
                <w:sz w:val="24"/>
                <w:szCs w:val="24"/>
              </w:rPr>
            </w:pPr>
            <w:r w:rsidRPr="00F32158">
              <w:rPr>
                <w:sz w:val="24"/>
                <w:szCs w:val="24"/>
              </w:rPr>
              <w:t>7 місяців</w:t>
            </w:r>
          </w:p>
        </w:tc>
        <w:tc>
          <w:tcPr>
            <w:tcW w:w="1603" w:type="dxa"/>
          </w:tcPr>
          <w:p w:rsidR="00F32158" w:rsidRPr="00F32158" w:rsidRDefault="00F32158" w:rsidP="00F32158">
            <w:pPr>
              <w:spacing w:after="200" w:line="276" w:lineRule="auto"/>
              <w:jc w:val="center"/>
              <w:rPr>
                <w:sz w:val="24"/>
                <w:szCs w:val="24"/>
              </w:rPr>
            </w:pPr>
            <w:r w:rsidRPr="00F32158">
              <w:rPr>
                <w:sz w:val="24"/>
                <w:szCs w:val="24"/>
              </w:rPr>
              <w:t>44</w:t>
            </w:r>
          </w:p>
        </w:tc>
        <w:tc>
          <w:tcPr>
            <w:tcW w:w="1260" w:type="dxa"/>
          </w:tcPr>
          <w:p w:rsidR="00F32158" w:rsidRPr="00F32158" w:rsidRDefault="00F32158" w:rsidP="00F32158">
            <w:pPr>
              <w:spacing w:after="200" w:line="276" w:lineRule="auto"/>
              <w:jc w:val="center"/>
              <w:rPr>
                <w:sz w:val="24"/>
                <w:szCs w:val="24"/>
              </w:rPr>
            </w:pPr>
            <w:r w:rsidRPr="00F32158">
              <w:rPr>
                <w:sz w:val="24"/>
                <w:szCs w:val="24"/>
              </w:rPr>
              <w:t>23</w:t>
            </w:r>
          </w:p>
        </w:tc>
        <w:tc>
          <w:tcPr>
            <w:tcW w:w="1115" w:type="dxa"/>
          </w:tcPr>
          <w:p w:rsidR="00F32158" w:rsidRPr="00F32158" w:rsidRDefault="00F32158" w:rsidP="00F32158">
            <w:pPr>
              <w:spacing w:after="200" w:line="276" w:lineRule="auto"/>
              <w:jc w:val="center"/>
              <w:rPr>
                <w:sz w:val="24"/>
                <w:szCs w:val="24"/>
              </w:rPr>
            </w:pPr>
            <w:r w:rsidRPr="00F32158">
              <w:rPr>
                <w:sz w:val="24"/>
                <w:szCs w:val="24"/>
              </w:rPr>
              <w:t>21</w:t>
            </w:r>
          </w:p>
        </w:tc>
        <w:tc>
          <w:tcPr>
            <w:tcW w:w="1635" w:type="dxa"/>
          </w:tcPr>
          <w:p w:rsidR="00F32158" w:rsidRPr="00F32158" w:rsidRDefault="00F32158" w:rsidP="00F32158">
            <w:pPr>
              <w:spacing w:after="200" w:line="276" w:lineRule="auto"/>
              <w:jc w:val="center"/>
              <w:rPr>
                <w:sz w:val="24"/>
                <w:szCs w:val="24"/>
              </w:rPr>
            </w:pPr>
            <w:r w:rsidRPr="00F32158">
              <w:rPr>
                <w:sz w:val="24"/>
                <w:szCs w:val="24"/>
              </w:rPr>
              <w:t>1,8</w:t>
            </w:r>
          </w:p>
        </w:tc>
        <w:tc>
          <w:tcPr>
            <w:tcW w:w="1270" w:type="dxa"/>
          </w:tcPr>
          <w:p w:rsidR="00F32158" w:rsidRPr="00F32158" w:rsidRDefault="00F32158" w:rsidP="00F32158">
            <w:pPr>
              <w:spacing w:after="200" w:line="276" w:lineRule="auto"/>
              <w:jc w:val="center"/>
              <w:rPr>
                <w:sz w:val="24"/>
                <w:szCs w:val="24"/>
              </w:rPr>
            </w:pPr>
            <w:r w:rsidRPr="00F32158">
              <w:rPr>
                <w:sz w:val="24"/>
                <w:szCs w:val="24"/>
              </w:rPr>
              <w:t>1,7</w:t>
            </w:r>
          </w:p>
        </w:tc>
        <w:tc>
          <w:tcPr>
            <w:tcW w:w="1206" w:type="dxa"/>
          </w:tcPr>
          <w:p w:rsidR="00F32158" w:rsidRPr="00F32158" w:rsidRDefault="00F32158" w:rsidP="00F32158">
            <w:pPr>
              <w:spacing w:after="200" w:line="276" w:lineRule="auto"/>
              <w:jc w:val="center"/>
              <w:rPr>
                <w:sz w:val="24"/>
                <w:szCs w:val="24"/>
              </w:rPr>
            </w:pPr>
            <w:r w:rsidRPr="00F32158">
              <w:rPr>
                <w:sz w:val="24"/>
                <w:szCs w:val="24"/>
              </w:rPr>
              <w:t>2,0</w:t>
            </w:r>
          </w:p>
        </w:tc>
      </w:tr>
      <w:tr w:rsidR="00F32158" w:rsidRPr="00F32158" w:rsidTr="00BF1F99">
        <w:trPr>
          <w:jc w:val="center"/>
        </w:trPr>
        <w:tc>
          <w:tcPr>
            <w:tcW w:w="1482" w:type="dxa"/>
          </w:tcPr>
          <w:p w:rsidR="00F32158" w:rsidRPr="00F32158" w:rsidRDefault="00F32158" w:rsidP="00F32158">
            <w:pPr>
              <w:spacing w:after="200" w:line="276" w:lineRule="auto"/>
              <w:rPr>
                <w:sz w:val="24"/>
                <w:szCs w:val="24"/>
              </w:rPr>
            </w:pPr>
            <w:r w:rsidRPr="00F32158">
              <w:rPr>
                <w:sz w:val="24"/>
                <w:szCs w:val="24"/>
              </w:rPr>
              <w:t>8 місяців</w:t>
            </w:r>
          </w:p>
        </w:tc>
        <w:tc>
          <w:tcPr>
            <w:tcW w:w="1603" w:type="dxa"/>
          </w:tcPr>
          <w:p w:rsidR="00F32158" w:rsidRPr="00F32158" w:rsidRDefault="00F32158" w:rsidP="00F32158">
            <w:pPr>
              <w:spacing w:after="200" w:line="276" w:lineRule="auto"/>
              <w:jc w:val="center"/>
              <w:rPr>
                <w:sz w:val="24"/>
                <w:szCs w:val="24"/>
              </w:rPr>
            </w:pPr>
            <w:r w:rsidRPr="00F32158">
              <w:rPr>
                <w:sz w:val="24"/>
                <w:szCs w:val="24"/>
              </w:rPr>
              <w:t>43</w:t>
            </w:r>
          </w:p>
        </w:tc>
        <w:tc>
          <w:tcPr>
            <w:tcW w:w="1260" w:type="dxa"/>
          </w:tcPr>
          <w:p w:rsidR="00F32158" w:rsidRPr="00F32158" w:rsidRDefault="00F32158" w:rsidP="00F32158">
            <w:pPr>
              <w:spacing w:after="200" w:line="276" w:lineRule="auto"/>
              <w:jc w:val="center"/>
              <w:rPr>
                <w:sz w:val="24"/>
                <w:szCs w:val="24"/>
              </w:rPr>
            </w:pPr>
            <w:r w:rsidRPr="00F32158">
              <w:rPr>
                <w:sz w:val="24"/>
                <w:szCs w:val="24"/>
              </w:rPr>
              <w:t>25</w:t>
            </w:r>
          </w:p>
        </w:tc>
        <w:tc>
          <w:tcPr>
            <w:tcW w:w="1115" w:type="dxa"/>
          </w:tcPr>
          <w:p w:rsidR="00F32158" w:rsidRPr="00F32158" w:rsidRDefault="00F32158" w:rsidP="00F32158">
            <w:pPr>
              <w:spacing w:after="200" w:line="276" w:lineRule="auto"/>
              <w:jc w:val="center"/>
              <w:rPr>
                <w:sz w:val="24"/>
                <w:szCs w:val="24"/>
              </w:rPr>
            </w:pPr>
            <w:r w:rsidRPr="00F32158">
              <w:rPr>
                <w:sz w:val="24"/>
                <w:szCs w:val="24"/>
              </w:rPr>
              <w:t>18</w:t>
            </w:r>
          </w:p>
        </w:tc>
        <w:tc>
          <w:tcPr>
            <w:tcW w:w="1635" w:type="dxa"/>
          </w:tcPr>
          <w:p w:rsidR="00F32158" w:rsidRPr="00F32158" w:rsidRDefault="00F32158" w:rsidP="00F32158">
            <w:pPr>
              <w:spacing w:after="200" w:line="276" w:lineRule="auto"/>
              <w:jc w:val="center"/>
              <w:rPr>
                <w:sz w:val="24"/>
                <w:szCs w:val="24"/>
              </w:rPr>
            </w:pPr>
            <w:r w:rsidRPr="00F32158">
              <w:rPr>
                <w:sz w:val="24"/>
                <w:szCs w:val="24"/>
              </w:rPr>
              <w:t>1,8</w:t>
            </w:r>
          </w:p>
        </w:tc>
        <w:tc>
          <w:tcPr>
            <w:tcW w:w="1270" w:type="dxa"/>
          </w:tcPr>
          <w:p w:rsidR="00F32158" w:rsidRPr="00F32158" w:rsidRDefault="00F32158" w:rsidP="00F32158">
            <w:pPr>
              <w:spacing w:after="200" w:line="276" w:lineRule="auto"/>
              <w:jc w:val="center"/>
              <w:rPr>
                <w:sz w:val="24"/>
                <w:szCs w:val="24"/>
              </w:rPr>
            </w:pPr>
            <w:r w:rsidRPr="00F32158">
              <w:rPr>
                <w:sz w:val="24"/>
                <w:szCs w:val="24"/>
              </w:rPr>
              <w:t>1,9</w:t>
            </w:r>
          </w:p>
        </w:tc>
        <w:tc>
          <w:tcPr>
            <w:tcW w:w="1206" w:type="dxa"/>
          </w:tcPr>
          <w:p w:rsidR="00F32158" w:rsidRPr="00F32158" w:rsidRDefault="00F32158" w:rsidP="00F32158">
            <w:pPr>
              <w:spacing w:after="200" w:line="276" w:lineRule="auto"/>
              <w:jc w:val="center"/>
              <w:rPr>
                <w:sz w:val="24"/>
                <w:szCs w:val="24"/>
              </w:rPr>
            </w:pPr>
            <w:r w:rsidRPr="00F32158">
              <w:rPr>
                <w:sz w:val="24"/>
                <w:szCs w:val="24"/>
              </w:rPr>
              <w:t>1,7</w:t>
            </w:r>
          </w:p>
        </w:tc>
      </w:tr>
      <w:tr w:rsidR="00F32158" w:rsidRPr="00F32158" w:rsidTr="00BF1F99">
        <w:trPr>
          <w:jc w:val="center"/>
        </w:trPr>
        <w:tc>
          <w:tcPr>
            <w:tcW w:w="1482" w:type="dxa"/>
          </w:tcPr>
          <w:p w:rsidR="00F32158" w:rsidRPr="00F32158" w:rsidRDefault="00F32158" w:rsidP="00F32158">
            <w:pPr>
              <w:spacing w:after="200" w:line="276" w:lineRule="auto"/>
              <w:rPr>
                <w:sz w:val="24"/>
                <w:szCs w:val="24"/>
              </w:rPr>
            </w:pPr>
            <w:r w:rsidRPr="00F32158">
              <w:rPr>
                <w:sz w:val="24"/>
                <w:szCs w:val="24"/>
              </w:rPr>
              <w:t>9 місяців</w:t>
            </w:r>
          </w:p>
        </w:tc>
        <w:tc>
          <w:tcPr>
            <w:tcW w:w="1603" w:type="dxa"/>
          </w:tcPr>
          <w:p w:rsidR="00F32158" w:rsidRPr="00F32158" w:rsidRDefault="00F32158" w:rsidP="00F32158">
            <w:pPr>
              <w:spacing w:after="200" w:line="276" w:lineRule="auto"/>
              <w:jc w:val="center"/>
              <w:rPr>
                <w:sz w:val="24"/>
                <w:szCs w:val="24"/>
              </w:rPr>
            </w:pPr>
            <w:r w:rsidRPr="00F32158">
              <w:rPr>
                <w:sz w:val="24"/>
                <w:szCs w:val="24"/>
              </w:rPr>
              <w:t>40</w:t>
            </w:r>
          </w:p>
        </w:tc>
        <w:tc>
          <w:tcPr>
            <w:tcW w:w="1260" w:type="dxa"/>
          </w:tcPr>
          <w:p w:rsidR="00F32158" w:rsidRPr="00F32158" w:rsidRDefault="00F32158" w:rsidP="00F32158">
            <w:pPr>
              <w:spacing w:after="200" w:line="276" w:lineRule="auto"/>
              <w:jc w:val="center"/>
              <w:rPr>
                <w:sz w:val="24"/>
                <w:szCs w:val="24"/>
              </w:rPr>
            </w:pPr>
            <w:r w:rsidRPr="00F32158">
              <w:rPr>
                <w:sz w:val="24"/>
                <w:szCs w:val="24"/>
              </w:rPr>
              <w:t>26</w:t>
            </w:r>
          </w:p>
        </w:tc>
        <w:tc>
          <w:tcPr>
            <w:tcW w:w="1115" w:type="dxa"/>
          </w:tcPr>
          <w:p w:rsidR="00F32158" w:rsidRPr="00F32158" w:rsidRDefault="00F32158" w:rsidP="00F32158">
            <w:pPr>
              <w:spacing w:after="200" w:line="276" w:lineRule="auto"/>
              <w:jc w:val="center"/>
              <w:rPr>
                <w:sz w:val="24"/>
                <w:szCs w:val="24"/>
              </w:rPr>
            </w:pPr>
            <w:r w:rsidRPr="00F32158">
              <w:rPr>
                <w:sz w:val="24"/>
                <w:szCs w:val="24"/>
              </w:rPr>
              <w:t>14</w:t>
            </w:r>
          </w:p>
        </w:tc>
        <w:tc>
          <w:tcPr>
            <w:tcW w:w="1635" w:type="dxa"/>
          </w:tcPr>
          <w:p w:rsidR="00F32158" w:rsidRPr="00F32158" w:rsidRDefault="00F32158" w:rsidP="00F32158">
            <w:pPr>
              <w:spacing w:after="200" w:line="276" w:lineRule="auto"/>
              <w:jc w:val="center"/>
              <w:rPr>
                <w:sz w:val="24"/>
                <w:szCs w:val="24"/>
              </w:rPr>
            </w:pPr>
            <w:r w:rsidRPr="00F32158">
              <w:rPr>
                <w:sz w:val="24"/>
                <w:szCs w:val="24"/>
              </w:rPr>
              <w:t>1,7</w:t>
            </w:r>
          </w:p>
        </w:tc>
        <w:tc>
          <w:tcPr>
            <w:tcW w:w="1270" w:type="dxa"/>
          </w:tcPr>
          <w:p w:rsidR="00F32158" w:rsidRPr="00F32158" w:rsidRDefault="00F32158" w:rsidP="00F32158">
            <w:pPr>
              <w:spacing w:after="200" w:line="276" w:lineRule="auto"/>
              <w:jc w:val="center"/>
              <w:rPr>
                <w:sz w:val="24"/>
                <w:szCs w:val="24"/>
              </w:rPr>
            </w:pPr>
            <w:r w:rsidRPr="00F32158">
              <w:rPr>
                <w:sz w:val="24"/>
                <w:szCs w:val="24"/>
              </w:rPr>
              <w:t>1,9</w:t>
            </w:r>
          </w:p>
        </w:tc>
        <w:tc>
          <w:tcPr>
            <w:tcW w:w="1206" w:type="dxa"/>
          </w:tcPr>
          <w:p w:rsidR="00F32158" w:rsidRPr="00F32158" w:rsidRDefault="00F32158" w:rsidP="00F32158">
            <w:pPr>
              <w:spacing w:after="200" w:line="276" w:lineRule="auto"/>
              <w:jc w:val="center"/>
              <w:rPr>
                <w:sz w:val="24"/>
                <w:szCs w:val="24"/>
              </w:rPr>
            </w:pPr>
            <w:r w:rsidRPr="00F32158">
              <w:rPr>
                <w:sz w:val="24"/>
                <w:szCs w:val="24"/>
              </w:rPr>
              <w:t>1,3</w:t>
            </w:r>
          </w:p>
        </w:tc>
      </w:tr>
      <w:tr w:rsidR="00F32158" w:rsidRPr="00F32158" w:rsidTr="00BF1F99">
        <w:trPr>
          <w:jc w:val="center"/>
        </w:trPr>
        <w:tc>
          <w:tcPr>
            <w:tcW w:w="1482" w:type="dxa"/>
          </w:tcPr>
          <w:p w:rsidR="00F32158" w:rsidRPr="00F32158" w:rsidRDefault="00F32158" w:rsidP="00F32158">
            <w:pPr>
              <w:spacing w:after="200" w:line="276" w:lineRule="auto"/>
              <w:rPr>
                <w:sz w:val="24"/>
                <w:szCs w:val="24"/>
              </w:rPr>
            </w:pPr>
            <w:r w:rsidRPr="00F32158">
              <w:rPr>
                <w:sz w:val="24"/>
                <w:szCs w:val="24"/>
              </w:rPr>
              <w:t>10 місяців</w:t>
            </w:r>
          </w:p>
        </w:tc>
        <w:tc>
          <w:tcPr>
            <w:tcW w:w="1603" w:type="dxa"/>
          </w:tcPr>
          <w:p w:rsidR="00F32158" w:rsidRPr="00F32158" w:rsidRDefault="00F32158" w:rsidP="00F32158">
            <w:pPr>
              <w:spacing w:after="200" w:line="276" w:lineRule="auto"/>
              <w:jc w:val="center"/>
              <w:rPr>
                <w:sz w:val="24"/>
                <w:szCs w:val="24"/>
              </w:rPr>
            </w:pPr>
            <w:r w:rsidRPr="00F32158">
              <w:rPr>
                <w:sz w:val="24"/>
                <w:szCs w:val="24"/>
              </w:rPr>
              <w:t>27</w:t>
            </w:r>
          </w:p>
        </w:tc>
        <w:tc>
          <w:tcPr>
            <w:tcW w:w="1260" w:type="dxa"/>
          </w:tcPr>
          <w:p w:rsidR="00F32158" w:rsidRPr="00F32158" w:rsidRDefault="00F32158" w:rsidP="00F32158">
            <w:pPr>
              <w:spacing w:after="200" w:line="276" w:lineRule="auto"/>
              <w:jc w:val="center"/>
              <w:rPr>
                <w:sz w:val="24"/>
                <w:szCs w:val="24"/>
              </w:rPr>
            </w:pPr>
            <w:r w:rsidRPr="00F32158">
              <w:rPr>
                <w:sz w:val="24"/>
                <w:szCs w:val="24"/>
              </w:rPr>
              <w:t>10</w:t>
            </w:r>
          </w:p>
        </w:tc>
        <w:tc>
          <w:tcPr>
            <w:tcW w:w="1115" w:type="dxa"/>
          </w:tcPr>
          <w:p w:rsidR="00F32158" w:rsidRPr="00F32158" w:rsidRDefault="00F32158" w:rsidP="00F32158">
            <w:pPr>
              <w:spacing w:after="200" w:line="276" w:lineRule="auto"/>
              <w:jc w:val="center"/>
              <w:rPr>
                <w:sz w:val="24"/>
                <w:szCs w:val="24"/>
              </w:rPr>
            </w:pPr>
            <w:r w:rsidRPr="00F32158">
              <w:rPr>
                <w:sz w:val="24"/>
                <w:szCs w:val="24"/>
              </w:rPr>
              <w:t>17</w:t>
            </w:r>
          </w:p>
        </w:tc>
        <w:tc>
          <w:tcPr>
            <w:tcW w:w="1635" w:type="dxa"/>
          </w:tcPr>
          <w:p w:rsidR="00F32158" w:rsidRPr="00F32158" w:rsidRDefault="00F32158" w:rsidP="00F32158">
            <w:pPr>
              <w:spacing w:after="200" w:line="276" w:lineRule="auto"/>
              <w:jc w:val="center"/>
              <w:rPr>
                <w:sz w:val="24"/>
                <w:szCs w:val="24"/>
              </w:rPr>
            </w:pPr>
            <w:r w:rsidRPr="00F32158">
              <w:rPr>
                <w:sz w:val="24"/>
                <w:szCs w:val="24"/>
              </w:rPr>
              <w:t>1,1</w:t>
            </w:r>
          </w:p>
        </w:tc>
        <w:tc>
          <w:tcPr>
            <w:tcW w:w="1270" w:type="dxa"/>
          </w:tcPr>
          <w:p w:rsidR="00F32158" w:rsidRPr="00F32158" w:rsidRDefault="00F32158" w:rsidP="00F32158">
            <w:pPr>
              <w:spacing w:after="200" w:line="276" w:lineRule="auto"/>
              <w:jc w:val="center"/>
              <w:rPr>
                <w:sz w:val="24"/>
                <w:szCs w:val="24"/>
              </w:rPr>
            </w:pPr>
            <w:r w:rsidRPr="00F32158">
              <w:rPr>
                <w:sz w:val="24"/>
                <w:szCs w:val="24"/>
              </w:rPr>
              <w:t>0,7</w:t>
            </w:r>
          </w:p>
        </w:tc>
        <w:tc>
          <w:tcPr>
            <w:tcW w:w="1206" w:type="dxa"/>
          </w:tcPr>
          <w:p w:rsidR="00F32158" w:rsidRPr="00F32158" w:rsidRDefault="00F32158" w:rsidP="00F32158">
            <w:pPr>
              <w:spacing w:after="200" w:line="276" w:lineRule="auto"/>
              <w:jc w:val="center"/>
              <w:rPr>
                <w:sz w:val="24"/>
                <w:szCs w:val="24"/>
              </w:rPr>
            </w:pPr>
            <w:r w:rsidRPr="00F32158">
              <w:rPr>
                <w:sz w:val="24"/>
                <w:szCs w:val="24"/>
              </w:rPr>
              <w:t>1,6</w:t>
            </w:r>
          </w:p>
        </w:tc>
      </w:tr>
      <w:tr w:rsidR="00F32158" w:rsidRPr="00F32158" w:rsidTr="00BF1F99">
        <w:trPr>
          <w:jc w:val="center"/>
        </w:trPr>
        <w:tc>
          <w:tcPr>
            <w:tcW w:w="1482" w:type="dxa"/>
          </w:tcPr>
          <w:p w:rsidR="00F32158" w:rsidRPr="00F32158" w:rsidRDefault="00F32158" w:rsidP="00F32158">
            <w:pPr>
              <w:spacing w:after="200" w:line="276" w:lineRule="auto"/>
              <w:rPr>
                <w:sz w:val="24"/>
                <w:szCs w:val="24"/>
              </w:rPr>
            </w:pPr>
            <w:r w:rsidRPr="00F32158">
              <w:rPr>
                <w:sz w:val="24"/>
                <w:szCs w:val="24"/>
              </w:rPr>
              <w:t>11 місяців</w:t>
            </w:r>
          </w:p>
        </w:tc>
        <w:tc>
          <w:tcPr>
            <w:tcW w:w="1603" w:type="dxa"/>
          </w:tcPr>
          <w:p w:rsidR="00F32158" w:rsidRPr="00F32158" w:rsidRDefault="00F32158" w:rsidP="00F32158">
            <w:pPr>
              <w:spacing w:after="200" w:line="276" w:lineRule="auto"/>
              <w:jc w:val="center"/>
              <w:rPr>
                <w:sz w:val="24"/>
                <w:szCs w:val="24"/>
              </w:rPr>
            </w:pPr>
            <w:r w:rsidRPr="00F32158">
              <w:rPr>
                <w:sz w:val="24"/>
                <w:szCs w:val="24"/>
              </w:rPr>
              <w:t>26</w:t>
            </w:r>
          </w:p>
        </w:tc>
        <w:tc>
          <w:tcPr>
            <w:tcW w:w="1260" w:type="dxa"/>
          </w:tcPr>
          <w:p w:rsidR="00F32158" w:rsidRPr="00F32158" w:rsidRDefault="00F32158" w:rsidP="00F32158">
            <w:pPr>
              <w:spacing w:after="200" w:line="276" w:lineRule="auto"/>
              <w:jc w:val="center"/>
              <w:rPr>
                <w:sz w:val="24"/>
                <w:szCs w:val="24"/>
              </w:rPr>
            </w:pPr>
            <w:r w:rsidRPr="00F32158">
              <w:rPr>
                <w:sz w:val="24"/>
                <w:szCs w:val="24"/>
              </w:rPr>
              <w:t>15</w:t>
            </w:r>
          </w:p>
        </w:tc>
        <w:tc>
          <w:tcPr>
            <w:tcW w:w="1115" w:type="dxa"/>
          </w:tcPr>
          <w:p w:rsidR="00F32158" w:rsidRPr="00F32158" w:rsidRDefault="00F32158" w:rsidP="00F32158">
            <w:pPr>
              <w:spacing w:after="200" w:line="276" w:lineRule="auto"/>
              <w:jc w:val="center"/>
              <w:rPr>
                <w:sz w:val="24"/>
                <w:szCs w:val="24"/>
              </w:rPr>
            </w:pPr>
            <w:r w:rsidRPr="00F32158">
              <w:rPr>
                <w:sz w:val="24"/>
                <w:szCs w:val="24"/>
              </w:rPr>
              <w:t>11</w:t>
            </w:r>
          </w:p>
        </w:tc>
        <w:tc>
          <w:tcPr>
            <w:tcW w:w="1635" w:type="dxa"/>
          </w:tcPr>
          <w:p w:rsidR="00F32158" w:rsidRPr="00F32158" w:rsidRDefault="00F32158" w:rsidP="00F32158">
            <w:pPr>
              <w:spacing w:after="200" w:line="276" w:lineRule="auto"/>
              <w:jc w:val="center"/>
              <w:rPr>
                <w:sz w:val="24"/>
                <w:szCs w:val="24"/>
              </w:rPr>
            </w:pPr>
            <w:r w:rsidRPr="00F32158">
              <w:rPr>
                <w:sz w:val="24"/>
                <w:szCs w:val="24"/>
              </w:rPr>
              <w:t>1,1</w:t>
            </w:r>
          </w:p>
        </w:tc>
        <w:tc>
          <w:tcPr>
            <w:tcW w:w="1270" w:type="dxa"/>
          </w:tcPr>
          <w:p w:rsidR="00F32158" w:rsidRPr="00F32158" w:rsidRDefault="00F32158" w:rsidP="00F32158">
            <w:pPr>
              <w:spacing w:after="200" w:line="276" w:lineRule="auto"/>
              <w:jc w:val="center"/>
              <w:rPr>
                <w:sz w:val="24"/>
                <w:szCs w:val="24"/>
              </w:rPr>
            </w:pPr>
            <w:r w:rsidRPr="00F32158">
              <w:rPr>
                <w:sz w:val="24"/>
                <w:szCs w:val="24"/>
              </w:rPr>
              <w:t>1,1</w:t>
            </w:r>
          </w:p>
        </w:tc>
        <w:tc>
          <w:tcPr>
            <w:tcW w:w="1206" w:type="dxa"/>
          </w:tcPr>
          <w:p w:rsidR="00F32158" w:rsidRPr="00F32158" w:rsidRDefault="00F32158" w:rsidP="00F32158">
            <w:pPr>
              <w:spacing w:after="200" w:line="276" w:lineRule="auto"/>
              <w:jc w:val="center"/>
              <w:rPr>
                <w:sz w:val="24"/>
                <w:szCs w:val="24"/>
              </w:rPr>
            </w:pPr>
            <w:r w:rsidRPr="00F32158">
              <w:rPr>
                <w:sz w:val="24"/>
                <w:szCs w:val="24"/>
              </w:rPr>
              <w:t>1,0</w:t>
            </w:r>
          </w:p>
        </w:tc>
      </w:tr>
    </w:tbl>
    <w:p w:rsidR="00F32158" w:rsidRPr="00F32158" w:rsidRDefault="00F32158" w:rsidP="00F32158">
      <w:pPr>
        <w:spacing w:line="240" w:lineRule="auto"/>
        <w:rPr>
          <w:rFonts w:eastAsia="Times New Roman"/>
          <w:sz w:val="20"/>
          <w:szCs w:val="20"/>
          <w:lang w:val="ru-RU" w:eastAsia="ru-RU"/>
        </w:rPr>
      </w:pPr>
      <w:r w:rsidRPr="00F32158">
        <w:rPr>
          <w:rFonts w:eastAsia="Times New Roman"/>
          <w:sz w:val="20"/>
          <w:szCs w:val="20"/>
          <w:vertAlign w:val="superscript"/>
          <w:lang w:val="ru-RU" w:eastAsia="ru-RU"/>
        </w:rPr>
        <w:t>1</w:t>
      </w:r>
      <w:r w:rsidRPr="00F32158">
        <w:rPr>
          <w:rFonts w:eastAsia="Times New Roman"/>
          <w:sz w:val="20"/>
          <w:szCs w:val="20"/>
          <w:lang w:val="ru-RU" w:eastAsia="ru-RU"/>
        </w:rPr>
        <w:t>Без урахування тимчасово окупованої території Автономної Республіки Крим і м. Севастополя та частини зони проведення антитерористичної операції.</w:t>
      </w:r>
    </w:p>
    <w:p w:rsidR="00F32158" w:rsidRPr="00F32158" w:rsidRDefault="00F32158" w:rsidP="00F32158">
      <w:pPr>
        <w:spacing w:after="200" w:line="276" w:lineRule="auto"/>
        <w:jc w:val="left"/>
        <w:rPr>
          <w:rFonts w:eastAsia="Calibri"/>
          <w:szCs w:val="28"/>
        </w:rPr>
      </w:pPr>
    </w:p>
    <w:p w:rsidR="00F32158" w:rsidRPr="00F32158" w:rsidRDefault="00F32158" w:rsidP="00F32158">
      <w:pPr>
        <w:tabs>
          <w:tab w:val="left" w:pos="8293"/>
        </w:tabs>
        <w:spacing w:after="200" w:line="276" w:lineRule="auto"/>
        <w:jc w:val="left"/>
        <w:rPr>
          <w:rFonts w:eastAsia="Calibri"/>
          <w:szCs w:val="28"/>
        </w:rPr>
      </w:pPr>
      <w:r w:rsidRPr="00F32158">
        <w:rPr>
          <w:rFonts w:eastAsia="Calibri"/>
          <w:szCs w:val="28"/>
        </w:rPr>
        <w:tab/>
      </w:r>
    </w:p>
    <w:p w:rsidR="00F32158" w:rsidRPr="00F32158" w:rsidRDefault="00F32158" w:rsidP="00F32158">
      <w:pPr>
        <w:tabs>
          <w:tab w:val="left" w:pos="8293"/>
        </w:tabs>
        <w:spacing w:after="200" w:line="276" w:lineRule="auto"/>
        <w:jc w:val="left"/>
        <w:rPr>
          <w:rFonts w:eastAsia="Calibri"/>
          <w:szCs w:val="28"/>
        </w:rPr>
      </w:pPr>
    </w:p>
    <w:p w:rsidR="00F32158" w:rsidRPr="00F32158" w:rsidRDefault="00F32158" w:rsidP="00F32158">
      <w:pPr>
        <w:tabs>
          <w:tab w:val="left" w:pos="8293"/>
        </w:tabs>
        <w:spacing w:after="200" w:line="276" w:lineRule="auto"/>
        <w:jc w:val="left"/>
        <w:rPr>
          <w:rFonts w:eastAsia="Calibri"/>
          <w:szCs w:val="28"/>
        </w:rPr>
      </w:pPr>
    </w:p>
    <w:p w:rsidR="00F32158" w:rsidRPr="00F32158" w:rsidRDefault="00F32158" w:rsidP="00F32158">
      <w:pPr>
        <w:tabs>
          <w:tab w:val="left" w:pos="8293"/>
        </w:tabs>
        <w:spacing w:after="200" w:line="276" w:lineRule="auto"/>
        <w:jc w:val="left"/>
        <w:rPr>
          <w:rFonts w:eastAsia="Calibri"/>
          <w:szCs w:val="28"/>
        </w:rPr>
      </w:pPr>
    </w:p>
    <w:p w:rsidR="00F32158" w:rsidRPr="00F32158" w:rsidRDefault="00B11B16" w:rsidP="005D3D66">
      <w:pPr>
        <w:pageBreakBefore/>
        <w:widowControl w:val="0"/>
        <w:tabs>
          <w:tab w:val="left" w:pos="8293"/>
        </w:tabs>
        <w:spacing w:after="200" w:line="276" w:lineRule="auto"/>
        <w:jc w:val="right"/>
        <w:rPr>
          <w:rFonts w:eastAsia="Calibri"/>
          <w:szCs w:val="28"/>
        </w:rPr>
      </w:pPr>
      <w:r>
        <w:rPr>
          <w:rFonts w:eastAsia="Calibri"/>
          <w:szCs w:val="28"/>
        </w:rPr>
        <w:lastRenderedPageBreak/>
        <w:t>Додаток Б</w:t>
      </w:r>
      <w:r w:rsidR="00F32158" w:rsidRPr="00F32158">
        <w:rPr>
          <w:rFonts w:eastAsia="Calibri"/>
          <w:szCs w:val="28"/>
        </w:rPr>
        <w:t>-9</w:t>
      </w:r>
    </w:p>
    <w:p w:rsidR="00F32158" w:rsidRPr="00F32158" w:rsidRDefault="00F32158" w:rsidP="00897243">
      <w:pPr>
        <w:spacing w:after="200" w:line="276" w:lineRule="auto"/>
        <w:jc w:val="center"/>
        <w:rPr>
          <w:rFonts w:eastAsia="Calibri"/>
          <w:b/>
          <w:szCs w:val="28"/>
        </w:rPr>
      </w:pPr>
      <w:r w:rsidRPr="00F32158">
        <w:rPr>
          <w:rFonts w:eastAsia="Calibri"/>
          <w:b/>
          <w:szCs w:val="28"/>
        </w:rPr>
        <w:t>Рівень ранньої неонатальної смертності в Україні (всі причини) за період 2009-2019 рр. (на 100 тис. осіб)</w:t>
      </w:r>
    </w:p>
    <w:tbl>
      <w:tblPr>
        <w:tblStyle w:val="3010"/>
        <w:tblW w:w="0" w:type="auto"/>
        <w:jc w:val="center"/>
        <w:tblLook w:val="04A0" w:firstRow="1" w:lastRow="0" w:firstColumn="1" w:lastColumn="0" w:noHBand="0" w:noVBand="1"/>
      </w:tblPr>
      <w:tblGrid>
        <w:gridCol w:w="959"/>
        <w:gridCol w:w="2693"/>
        <w:gridCol w:w="2977"/>
        <w:gridCol w:w="2942"/>
      </w:tblGrid>
      <w:tr w:rsidR="00F32158" w:rsidRPr="00F32158" w:rsidTr="00BF1F99">
        <w:trPr>
          <w:jc w:val="center"/>
        </w:trPr>
        <w:tc>
          <w:tcPr>
            <w:tcW w:w="959" w:type="dxa"/>
          </w:tcPr>
          <w:p w:rsidR="00F32158" w:rsidRPr="00F32158" w:rsidRDefault="00F32158" w:rsidP="00F32158">
            <w:pPr>
              <w:spacing w:line="276" w:lineRule="auto"/>
              <w:jc w:val="center"/>
              <w:rPr>
                <w:rFonts w:eastAsia="Calibri"/>
                <w:sz w:val="28"/>
                <w:szCs w:val="28"/>
                <w:lang w:val="uk-UA"/>
              </w:rPr>
            </w:pPr>
            <w:r w:rsidRPr="00F32158">
              <w:rPr>
                <w:rFonts w:eastAsia="Calibri"/>
                <w:sz w:val="28"/>
                <w:szCs w:val="28"/>
                <w:lang w:val="uk-UA"/>
              </w:rPr>
              <w:t>Рік</w:t>
            </w:r>
          </w:p>
        </w:tc>
        <w:tc>
          <w:tcPr>
            <w:tcW w:w="2693" w:type="dxa"/>
          </w:tcPr>
          <w:p w:rsidR="00F32158" w:rsidRPr="00F32158" w:rsidRDefault="00F32158" w:rsidP="00F32158">
            <w:pPr>
              <w:spacing w:line="276" w:lineRule="auto"/>
              <w:jc w:val="center"/>
              <w:rPr>
                <w:rFonts w:eastAsia="Calibri"/>
                <w:sz w:val="28"/>
                <w:szCs w:val="28"/>
                <w:lang w:val="uk-UA"/>
              </w:rPr>
            </w:pPr>
            <w:r w:rsidRPr="00F32158">
              <w:rPr>
                <w:rFonts w:eastAsia="Calibri"/>
                <w:sz w:val="28"/>
                <w:szCs w:val="28"/>
                <w:lang w:val="uk-UA"/>
              </w:rPr>
              <w:t>Обидві статі</w:t>
            </w:r>
          </w:p>
        </w:tc>
        <w:tc>
          <w:tcPr>
            <w:tcW w:w="2977" w:type="dxa"/>
          </w:tcPr>
          <w:p w:rsidR="00F32158" w:rsidRPr="00F32158" w:rsidRDefault="00F32158" w:rsidP="00F32158">
            <w:pPr>
              <w:spacing w:line="276" w:lineRule="auto"/>
              <w:jc w:val="center"/>
              <w:rPr>
                <w:rFonts w:eastAsia="Calibri"/>
                <w:sz w:val="28"/>
                <w:szCs w:val="28"/>
                <w:lang w:val="uk-UA"/>
              </w:rPr>
            </w:pPr>
            <w:r w:rsidRPr="00F32158">
              <w:rPr>
                <w:rFonts w:eastAsia="Calibri"/>
                <w:sz w:val="28"/>
                <w:szCs w:val="28"/>
                <w:lang w:val="uk-UA"/>
              </w:rPr>
              <w:t>Хлопчики</w:t>
            </w:r>
          </w:p>
        </w:tc>
        <w:tc>
          <w:tcPr>
            <w:tcW w:w="2942" w:type="dxa"/>
          </w:tcPr>
          <w:p w:rsidR="00F32158" w:rsidRPr="00F32158" w:rsidRDefault="00F32158" w:rsidP="00F32158">
            <w:pPr>
              <w:spacing w:line="276" w:lineRule="auto"/>
              <w:jc w:val="center"/>
              <w:rPr>
                <w:rFonts w:eastAsia="Calibri"/>
                <w:sz w:val="28"/>
                <w:szCs w:val="28"/>
                <w:lang w:val="uk-UA"/>
              </w:rPr>
            </w:pPr>
            <w:r w:rsidRPr="00F32158">
              <w:rPr>
                <w:rFonts w:eastAsia="Calibri"/>
                <w:sz w:val="28"/>
                <w:szCs w:val="28"/>
                <w:lang w:val="uk-UA"/>
              </w:rPr>
              <w:t>Дівчатка</w:t>
            </w:r>
          </w:p>
        </w:tc>
      </w:tr>
      <w:tr w:rsidR="00F32158" w:rsidRPr="00F32158" w:rsidTr="00BF1F99">
        <w:trPr>
          <w:jc w:val="center"/>
        </w:trPr>
        <w:tc>
          <w:tcPr>
            <w:tcW w:w="959" w:type="dxa"/>
          </w:tcPr>
          <w:p w:rsidR="00F32158" w:rsidRPr="00F32158" w:rsidRDefault="00F32158" w:rsidP="00F32158">
            <w:pPr>
              <w:spacing w:line="276" w:lineRule="auto"/>
              <w:jc w:val="center"/>
              <w:rPr>
                <w:rFonts w:eastAsia="Calibri"/>
                <w:sz w:val="28"/>
                <w:szCs w:val="28"/>
                <w:lang w:val="uk-UA"/>
              </w:rPr>
            </w:pPr>
            <w:r w:rsidRPr="00F32158">
              <w:rPr>
                <w:rFonts w:eastAsia="Calibri"/>
                <w:sz w:val="28"/>
                <w:szCs w:val="28"/>
                <w:lang w:val="uk-UA"/>
              </w:rPr>
              <w:t>2009</w:t>
            </w:r>
          </w:p>
        </w:tc>
        <w:tc>
          <w:tcPr>
            <w:tcW w:w="2693" w:type="dxa"/>
          </w:tcPr>
          <w:p w:rsidR="00F32158" w:rsidRPr="00F32158" w:rsidRDefault="00F32158" w:rsidP="00F32158">
            <w:pPr>
              <w:spacing w:line="276" w:lineRule="auto"/>
              <w:jc w:val="center"/>
              <w:rPr>
                <w:rFonts w:eastAsia="Calibri"/>
                <w:sz w:val="28"/>
                <w:szCs w:val="28"/>
                <w:lang w:val="uk-UA"/>
              </w:rPr>
            </w:pPr>
            <w:r w:rsidRPr="00F32158">
              <w:rPr>
                <w:rFonts w:eastAsia="Calibri"/>
                <w:sz w:val="28"/>
                <w:szCs w:val="28"/>
                <w:lang w:val="uk-UA"/>
              </w:rPr>
              <w:t>24483.17</w:t>
            </w:r>
          </w:p>
          <w:p w:rsidR="00F32158" w:rsidRPr="00F32158" w:rsidRDefault="00F32158" w:rsidP="00F32158">
            <w:pPr>
              <w:spacing w:line="276" w:lineRule="auto"/>
              <w:jc w:val="center"/>
              <w:rPr>
                <w:rFonts w:eastAsia="Calibri"/>
                <w:sz w:val="28"/>
                <w:szCs w:val="28"/>
                <w:lang w:val="uk-UA"/>
              </w:rPr>
            </w:pPr>
            <w:r w:rsidRPr="00F32158">
              <w:rPr>
                <w:rFonts w:eastAsia="Calibri"/>
                <w:sz w:val="28"/>
                <w:szCs w:val="28"/>
                <w:lang w:val="uk-UA"/>
              </w:rPr>
              <w:t>(26821.61-22060.08)</w:t>
            </w:r>
          </w:p>
        </w:tc>
        <w:tc>
          <w:tcPr>
            <w:tcW w:w="2977" w:type="dxa"/>
          </w:tcPr>
          <w:p w:rsidR="00F32158" w:rsidRPr="00F32158" w:rsidRDefault="00F32158" w:rsidP="00F32158">
            <w:pPr>
              <w:spacing w:line="276" w:lineRule="auto"/>
              <w:jc w:val="center"/>
              <w:rPr>
                <w:color w:val="454545"/>
                <w:sz w:val="28"/>
                <w:szCs w:val="28"/>
              </w:rPr>
            </w:pPr>
            <w:r w:rsidRPr="00F32158">
              <w:rPr>
                <w:color w:val="454545"/>
                <w:sz w:val="28"/>
                <w:szCs w:val="28"/>
              </w:rPr>
              <w:t>33,497.31</w:t>
            </w:r>
          </w:p>
          <w:p w:rsidR="00F32158" w:rsidRPr="00F32158" w:rsidRDefault="00F32158" w:rsidP="00F32158">
            <w:pPr>
              <w:spacing w:line="276" w:lineRule="auto"/>
              <w:jc w:val="center"/>
              <w:rPr>
                <w:color w:val="454545"/>
                <w:sz w:val="28"/>
                <w:szCs w:val="28"/>
                <w:lang w:val="uk-UA"/>
              </w:rPr>
            </w:pPr>
            <w:r w:rsidRPr="00F32158">
              <w:rPr>
                <w:color w:val="454545"/>
                <w:sz w:val="28"/>
                <w:szCs w:val="28"/>
                <w:lang w:val="uk-UA"/>
              </w:rPr>
              <w:t>(</w:t>
            </w:r>
            <w:r w:rsidRPr="00F32158">
              <w:rPr>
                <w:color w:val="454545"/>
                <w:sz w:val="28"/>
                <w:szCs w:val="28"/>
              </w:rPr>
              <w:t>36,700.04</w:t>
            </w:r>
            <w:r w:rsidRPr="00F32158">
              <w:rPr>
                <w:color w:val="454545"/>
                <w:sz w:val="28"/>
                <w:szCs w:val="28"/>
                <w:lang w:val="uk-UA"/>
              </w:rPr>
              <w:t>-</w:t>
            </w:r>
            <w:r w:rsidRPr="00F32158">
              <w:rPr>
                <w:color w:val="454545"/>
                <w:sz w:val="28"/>
                <w:szCs w:val="28"/>
              </w:rPr>
              <w:t>30,189.82</w:t>
            </w:r>
            <w:r w:rsidRPr="00F32158">
              <w:rPr>
                <w:color w:val="454545"/>
                <w:sz w:val="28"/>
                <w:szCs w:val="28"/>
                <w:lang w:val="uk-UA"/>
              </w:rPr>
              <w:t>)(</w:t>
            </w:r>
          </w:p>
        </w:tc>
        <w:tc>
          <w:tcPr>
            <w:tcW w:w="2942" w:type="dxa"/>
          </w:tcPr>
          <w:p w:rsidR="00F32158" w:rsidRPr="00F32158" w:rsidRDefault="00F32158" w:rsidP="00F32158">
            <w:pPr>
              <w:shd w:val="clear" w:color="auto" w:fill="FFFFFF"/>
              <w:spacing w:line="276" w:lineRule="auto"/>
              <w:jc w:val="center"/>
              <w:rPr>
                <w:color w:val="454545"/>
                <w:sz w:val="28"/>
                <w:szCs w:val="28"/>
              </w:rPr>
            </w:pPr>
            <w:r w:rsidRPr="00F32158">
              <w:rPr>
                <w:color w:val="454545"/>
                <w:sz w:val="28"/>
                <w:szCs w:val="28"/>
              </w:rPr>
              <w:t>14,844.18</w:t>
            </w:r>
          </w:p>
          <w:p w:rsidR="00F32158" w:rsidRPr="00F32158" w:rsidRDefault="00F32158" w:rsidP="00F32158">
            <w:pPr>
              <w:shd w:val="clear" w:color="auto" w:fill="FFFFFF"/>
              <w:spacing w:line="276" w:lineRule="auto"/>
              <w:jc w:val="center"/>
              <w:rPr>
                <w:color w:val="454545"/>
                <w:sz w:val="28"/>
                <w:szCs w:val="28"/>
                <w:lang w:val="uk-UA"/>
              </w:rPr>
            </w:pPr>
            <w:r w:rsidRPr="00F32158">
              <w:rPr>
                <w:color w:val="454545"/>
                <w:sz w:val="28"/>
                <w:szCs w:val="28"/>
                <w:lang w:val="uk-UA"/>
              </w:rPr>
              <w:t>(</w:t>
            </w:r>
            <w:r w:rsidRPr="00F32158">
              <w:rPr>
                <w:color w:val="454545"/>
                <w:sz w:val="28"/>
                <w:szCs w:val="28"/>
              </w:rPr>
              <w:t>16,762.80</w:t>
            </w:r>
            <w:r w:rsidRPr="00F32158">
              <w:rPr>
                <w:color w:val="454545"/>
                <w:sz w:val="28"/>
                <w:szCs w:val="28"/>
                <w:lang w:val="uk-UA"/>
              </w:rPr>
              <w:t>-</w:t>
            </w:r>
            <w:r w:rsidRPr="00F32158">
              <w:rPr>
                <w:color w:val="454545"/>
                <w:sz w:val="28"/>
                <w:szCs w:val="28"/>
              </w:rPr>
              <w:t>13,062.66</w:t>
            </w:r>
            <w:r w:rsidRPr="00F32158">
              <w:rPr>
                <w:color w:val="454545"/>
                <w:sz w:val="28"/>
                <w:szCs w:val="28"/>
                <w:lang w:val="uk-UA"/>
              </w:rPr>
              <w:t>)</w:t>
            </w:r>
          </w:p>
        </w:tc>
      </w:tr>
      <w:tr w:rsidR="00F32158" w:rsidRPr="00F32158" w:rsidTr="00BF1F99">
        <w:trPr>
          <w:jc w:val="center"/>
        </w:trPr>
        <w:tc>
          <w:tcPr>
            <w:tcW w:w="959" w:type="dxa"/>
          </w:tcPr>
          <w:p w:rsidR="00F32158" w:rsidRPr="00F32158" w:rsidRDefault="00F32158" w:rsidP="00F32158">
            <w:pPr>
              <w:spacing w:line="276" w:lineRule="auto"/>
              <w:jc w:val="center"/>
              <w:rPr>
                <w:rFonts w:eastAsia="Calibri"/>
                <w:sz w:val="28"/>
                <w:szCs w:val="28"/>
                <w:lang w:val="uk-UA"/>
              </w:rPr>
            </w:pPr>
            <w:r w:rsidRPr="00F32158">
              <w:rPr>
                <w:rFonts w:eastAsia="Calibri"/>
                <w:sz w:val="28"/>
                <w:szCs w:val="28"/>
                <w:lang w:val="uk-UA"/>
              </w:rPr>
              <w:t>2010</w:t>
            </w:r>
          </w:p>
        </w:tc>
        <w:tc>
          <w:tcPr>
            <w:tcW w:w="2693" w:type="dxa"/>
          </w:tcPr>
          <w:p w:rsidR="00F32158" w:rsidRPr="00F32158" w:rsidRDefault="00F32158" w:rsidP="00F32158">
            <w:pPr>
              <w:spacing w:line="276" w:lineRule="auto"/>
              <w:jc w:val="center"/>
              <w:rPr>
                <w:rFonts w:eastAsia="Calibri"/>
                <w:sz w:val="28"/>
                <w:szCs w:val="28"/>
                <w:lang w:val="uk-UA"/>
              </w:rPr>
            </w:pPr>
            <w:r w:rsidRPr="00F32158">
              <w:rPr>
                <w:rFonts w:eastAsia="Calibri"/>
                <w:sz w:val="28"/>
                <w:szCs w:val="28"/>
                <w:lang w:val="uk-UA"/>
              </w:rPr>
              <w:t>23196.50</w:t>
            </w:r>
          </w:p>
          <w:p w:rsidR="00F32158" w:rsidRPr="00F32158" w:rsidRDefault="00F32158" w:rsidP="00F32158">
            <w:pPr>
              <w:spacing w:line="276" w:lineRule="auto"/>
              <w:jc w:val="center"/>
              <w:rPr>
                <w:rFonts w:eastAsia="Calibri"/>
                <w:sz w:val="28"/>
                <w:szCs w:val="28"/>
                <w:lang w:val="uk-UA"/>
              </w:rPr>
            </w:pPr>
            <w:r w:rsidRPr="00F32158">
              <w:rPr>
                <w:rFonts w:eastAsia="Calibri"/>
                <w:sz w:val="28"/>
                <w:szCs w:val="28"/>
                <w:lang w:val="uk-UA"/>
              </w:rPr>
              <w:t>(25079.42-21318.55)</w:t>
            </w:r>
          </w:p>
        </w:tc>
        <w:tc>
          <w:tcPr>
            <w:tcW w:w="2977" w:type="dxa"/>
          </w:tcPr>
          <w:p w:rsidR="00F32158" w:rsidRPr="00F32158" w:rsidRDefault="00F32158" w:rsidP="00F32158">
            <w:pPr>
              <w:shd w:val="clear" w:color="auto" w:fill="FFFFFF"/>
              <w:spacing w:line="276" w:lineRule="auto"/>
              <w:jc w:val="center"/>
              <w:rPr>
                <w:color w:val="454545"/>
                <w:sz w:val="28"/>
                <w:szCs w:val="28"/>
              </w:rPr>
            </w:pPr>
            <w:r w:rsidRPr="00F32158">
              <w:rPr>
                <w:color w:val="454545"/>
                <w:sz w:val="28"/>
                <w:szCs w:val="28"/>
              </w:rPr>
              <w:t>31,738.63</w:t>
            </w:r>
          </w:p>
          <w:p w:rsidR="00F32158" w:rsidRPr="00F32158" w:rsidRDefault="00F32158" w:rsidP="00F32158">
            <w:pPr>
              <w:shd w:val="clear" w:color="auto" w:fill="FFFFFF"/>
              <w:spacing w:line="276" w:lineRule="auto"/>
              <w:jc w:val="center"/>
              <w:rPr>
                <w:color w:val="454545"/>
                <w:sz w:val="28"/>
                <w:szCs w:val="28"/>
                <w:lang w:val="uk-UA"/>
              </w:rPr>
            </w:pPr>
            <w:r w:rsidRPr="00F32158">
              <w:rPr>
                <w:color w:val="454545"/>
                <w:sz w:val="28"/>
                <w:szCs w:val="28"/>
                <w:lang w:val="uk-UA"/>
              </w:rPr>
              <w:t>(</w:t>
            </w:r>
            <w:r w:rsidRPr="00F32158">
              <w:rPr>
                <w:color w:val="454545"/>
                <w:sz w:val="28"/>
                <w:szCs w:val="28"/>
              </w:rPr>
              <w:t>34,169.51</w:t>
            </w:r>
            <w:r w:rsidRPr="00F32158">
              <w:rPr>
                <w:color w:val="454545"/>
                <w:sz w:val="28"/>
                <w:szCs w:val="28"/>
                <w:lang w:val="uk-UA"/>
              </w:rPr>
              <w:t>-</w:t>
            </w:r>
            <w:r w:rsidRPr="00F32158">
              <w:rPr>
                <w:color w:val="454545"/>
                <w:sz w:val="28"/>
                <w:szCs w:val="28"/>
              </w:rPr>
              <w:t>29,201.49</w:t>
            </w:r>
            <w:r w:rsidRPr="00F32158">
              <w:rPr>
                <w:color w:val="454545"/>
                <w:sz w:val="28"/>
                <w:szCs w:val="28"/>
                <w:lang w:val="uk-UA"/>
              </w:rPr>
              <w:t>)</w:t>
            </w:r>
          </w:p>
        </w:tc>
        <w:tc>
          <w:tcPr>
            <w:tcW w:w="2942" w:type="dxa"/>
          </w:tcPr>
          <w:p w:rsidR="00F32158" w:rsidRPr="00F32158" w:rsidRDefault="00F32158" w:rsidP="00F32158">
            <w:pPr>
              <w:spacing w:line="276" w:lineRule="auto"/>
              <w:jc w:val="center"/>
              <w:rPr>
                <w:color w:val="454545"/>
                <w:sz w:val="28"/>
                <w:szCs w:val="28"/>
              </w:rPr>
            </w:pPr>
            <w:r w:rsidRPr="00F32158">
              <w:rPr>
                <w:color w:val="454545"/>
                <w:sz w:val="28"/>
                <w:szCs w:val="28"/>
              </w:rPr>
              <w:t>14,075.37</w:t>
            </w:r>
          </w:p>
          <w:p w:rsidR="00F32158" w:rsidRPr="00F32158" w:rsidRDefault="00F32158" w:rsidP="00F32158">
            <w:pPr>
              <w:spacing w:line="276" w:lineRule="auto"/>
              <w:jc w:val="center"/>
              <w:rPr>
                <w:color w:val="454545"/>
                <w:sz w:val="28"/>
                <w:szCs w:val="28"/>
                <w:lang w:val="uk-UA"/>
              </w:rPr>
            </w:pPr>
            <w:r w:rsidRPr="00F32158">
              <w:rPr>
                <w:color w:val="454545"/>
                <w:sz w:val="28"/>
                <w:szCs w:val="28"/>
                <w:lang w:val="uk-UA"/>
              </w:rPr>
              <w:t>(</w:t>
            </w:r>
            <w:r w:rsidRPr="00F32158">
              <w:rPr>
                <w:color w:val="454545"/>
                <w:sz w:val="28"/>
                <w:szCs w:val="28"/>
              </w:rPr>
              <w:t>15,973.65</w:t>
            </w:r>
            <w:r w:rsidRPr="00F32158">
              <w:rPr>
                <w:color w:val="454545"/>
                <w:sz w:val="28"/>
                <w:szCs w:val="28"/>
                <w:lang w:val="uk-UA"/>
              </w:rPr>
              <w:t>-</w:t>
            </w:r>
            <w:r w:rsidRPr="00F32158">
              <w:rPr>
                <w:color w:val="454545"/>
                <w:sz w:val="28"/>
                <w:szCs w:val="28"/>
              </w:rPr>
              <w:t>12,355.87</w:t>
            </w:r>
            <w:r w:rsidRPr="00F32158">
              <w:rPr>
                <w:color w:val="454545"/>
                <w:sz w:val="28"/>
                <w:szCs w:val="28"/>
                <w:lang w:val="uk-UA"/>
              </w:rPr>
              <w:t>)</w:t>
            </w:r>
          </w:p>
        </w:tc>
      </w:tr>
      <w:tr w:rsidR="00F32158" w:rsidRPr="00F32158" w:rsidTr="00BF1F99">
        <w:trPr>
          <w:jc w:val="center"/>
        </w:trPr>
        <w:tc>
          <w:tcPr>
            <w:tcW w:w="959" w:type="dxa"/>
          </w:tcPr>
          <w:p w:rsidR="00F32158" w:rsidRPr="00F32158" w:rsidRDefault="00F32158" w:rsidP="00F32158">
            <w:pPr>
              <w:spacing w:line="276" w:lineRule="auto"/>
              <w:jc w:val="center"/>
              <w:rPr>
                <w:rFonts w:eastAsia="Calibri"/>
                <w:sz w:val="28"/>
                <w:szCs w:val="28"/>
                <w:lang w:val="uk-UA"/>
              </w:rPr>
            </w:pPr>
            <w:r w:rsidRPr="00F32158">
              <w:rPr>
                <w:rFonts w:eastAsia="Calibri"/>
                <w:sz w:val="28"/>
                <w:szCs w:val="28"/>
                <w:lang w:val="uk-UA"/>
              </w:rPr>
              <w:t>2011</w:t>
            </w:r>
          </w:p>
        </w:tc>
        <w:tc>
          <w:tcPr>
            <w:tcW w:w="2693" w:type="dxa"/>
          </w:tcPr>
          <w:p w:rsidR="00F32158" w:rsidRPr="00F32158" w:rsidRDefault="00F32158" w:rsidP="00F32158">
            <w:pPr>
              <w:spacing w:line="276" w:lineRule="auto"/>
              <w:jc w:val="center"/>
              <w:rPr>
                <w:rFonts w:eastAsia="Calibri"/>
                <w:sz w:val="28"/>
                <w:szCs w:val="28"/>
                <w:lang w:val="uk-UA"/>
              </w:rPr>
            </w:pPr>
            <w:r w:rsidRPr="00F32158">
              <w:rPr>
                <w:rFonts w:eastAsia="Calibri"/>
                <w:sz w:val="28"/>
                <w:szCs w:val="28"/>
                <w:lang w:val="uk-UA"/>
              </w:rPr>
              <w:t>22039.93</w:t>
            </w:r>
          </w:p>
          <w:p w:rsidR="00F32158" w:rsidRPr="00F32158" w:rsidRDefault="00F32158" w:rsidP="00F32158">
            <w:pPr>
              <w:spacing w:line="276" w:lineRule="auto"/>
              <w:jc w:val="center"/>
              <w:rPr>
                <w:rFonts w:eastAsia="Calibri"/>
                <w:sz w:val="28"/>
                <w:szCs w:val="28"/>
                <w:lang w:val="uk-UA"/>
              </w:rPr>
            </w:pPr>
            <w:r w:rsidRPr="00F32158">
              <w:rPr>
                <w:rFonts w:eastAsia="Calibri"/>
                <w:sz w:val="28"/>
                <w:szCs w:val="28"/>
                <w:lang w:val="uk-UA"/>
              </w:rPr>
              <w:t>(23957.71-20219.29)</w:t>
            </w:r>
          </w:p>
        </w:tc>
        <w:tc>
          <w:tcPr>
            <w:tcW w:w="2977" w:type="dxa"/>
          </w:tcPr>
          <w:p w:rsidR="00F32158" w:rsidRPr="00F32158" w:rsidRDefault="00F32158" w:rsidP="00F32158">
            <w:pPr>
              <w:shd w:val="clear" w:color="auto" w:fill="FFFFFF"/>
              <w:spacing w:line="276" w:lineRule="auto"/>
              <w:jc w:val="center"/>
              <w:rPr>
                <w:color w:val="454545"/>
                <w:sz w:val="28"/>
                <w:szCs w:val="28"/>
              </w:rPr>
            </w:pPr>
            <w:r w:rsidRPr="00F32158">
              <w:rPr>
                <w:color w:val="454545"/>
                <w:sz w:val="28"/>
                <w:szCs w:val="28"/>
              </w:rPr>
              <w:t>30,167.06</w:t>
            </w:r>
          </w:p>
          <w:p w:rsidR="00F32158" w:rsidRPr="00F32158" w:rsidRDefault="00F32158" w:rsidP="00F32158">
            <w:pPr>
              <w:shd w:val="clear" w:color="auto" w:fill="FFFFFF"/>
              <w:spacing w:line="276" w:lineRule="auto"/>
              <w:jc w:val="center"/>
              <w:rPr>
                <w:color w:val="454545"/>
                <w:sz w:val="28"/>
                <w:szCs w:val="28"/>
                <w:lang w:val="uk-UA"/>
              </w:rPr>
            </w:pPr>
            <w:r w:rsidRPr="00F32158">
              <w:rPr>
                <w:color w:val="454545"/>
                <w:sz w:val="28"/>
                <w:szCs w:val="28"/>
                <w:lang w:val="uk-UA"/>
              </w:rPr>
              <w:t>(</w:t>
            </w:r>
            <w:r w:rsidRPr="00F32158">
              <w:rPr>
                <w:color w:val="454545"/>
                <w:sz w:val="28"/>
                <w:szCs w:val="28"/>
              </w:rPr>
              <w:t>32,738.93</w:t>
            </w:r>
            <w:r w:rsidRPr="00F32158">
              <w:rPr>
                <w:color w:val="454545"/>
                <w:sz w:val="28"/>
                <w:szCs w:val="28"/>
                <w:lang w:val="uk-UA"/>
              </w:rPr>
              <w:t>-</w:t>
            </w:r>
            <w:r w:rsidRPr="00F32158">
              <w:rPr>
                <w:color w:val="454545"/>
                <w:sz w:val="28"/>
                <w:szCs w:val="28"/>
              </w:rPr>
              <w:t>27,735.54</w:t>
            </w:r>
            <w:r w:rsidRPr="00F32158">
              <w:rPr>
                <w:color w:val="454545"/>
                <w:sz w:val="28"/>
                <w:szCs w:val="28"/>
                <w:lang w:val="uk-UA"/>
              </w:rPr>
              <w:t>)</w:t>
            </w:r>
          </w:p>
        </w:tc>
        <w:tc>
          <w:tcPr>
            <w:tcW w:w="2942" w:type="dxa"/>
          </w:tcPr>
          <w:p w:rsidR="00F32158" w:rsidRPr="00F32158" w:rsidRDefault="00F32158" w:rsidP="00F32158">
            <w:pPr>
              <w:spacing w:line="276" w:lineRule="auto"/>
              <w:jc w:val="center"/>
              <w:rPr>
                <w:color w:val="454545"/>
                <w:sz w:val="28"/>
                <w:szCs w:val="28"/>
              </w:rPr>
            </w:pPr>
            <w:r w:rsidRPr="00F32158">
              <w:rPr>
                <w:color w:val="454545"/>
                <w:sz w:val="28"/>
                <w:szCs w:val="28"/>
              </w:rPr>
              <w:t>13,370.73</w:t>
            </w:r>
          </w:p>
          <w:p w:rsidR="00F32158" w:rsidRPr="00F32158" w:rsidRDefault="00F32158" w:rsidP="00F32158">
            <w:pPr>
              <w:spacing w:line="276" w:lineRule="auto"/>
              <w:jc w:val="center"/>
              <w:rPr>
                <w:color w:val="454545"/>
                <w:sz w:val="28"/>
                <w:szCs w:val="28"/>
                <w:lang w:val="uk-UA"/>
              </w:rPr>
            </w:pPr>
            <w:r w:rsidRPr="00F32158">
              <w:rPr>
                <w:color w:val="454545"/>
                <w:sz w:val="28"/>
                <w:szCs w:val="28"/>
                <w:lang w:val="uk-UA"/>
              </w:rPr>
              <w:t>(</w:t>
            </w:r>
            <w:r w:rsidRPr="00F32158">
              <w:rPr>
                <w:color w:val="454545"/>
                <w:sz w:val="28"/>
                <w:szCs w:val="28"/>
              </w:rPr>
              <w:t>15,465.08</w:t>
            </w:r>
            <w:r w:rsidRPr="00F32158">
              <w:rPr>
                <w:color w:val="454545"/>
                <w:sz w:val="28"/>
                <w:szCs w:val="28"/>
                <w:lang w:val="uk-UA"/>
              </w:rPr>
              <w:t>-</w:t>
            </w:r>
            <w:r w:rsidRPr="00F32158">
              <w:rPr>
                <w:color w:val="454545"/>
                <w:sz w:val="28"/>
                <w:szCs w:val="28"/>
              </w:rPr>
              <w:t>11,461.16</w:t>
            </w:r>
            <w:r w:rsidRPr="00F32158">
              <w:rPr>
                <w:color w:val="454545"/>
                <w:sz w:val="28"/>
                <w:szCs w:val="28"/>
                <w:lang w:val="uk-UA"/>
              </w:rPr>
              <w:t>)</w:t>
            </w:r>
          </w:p>
        </w:tc>
      </w:tr>
      <w:tr w:rsidR="00F32158" w:rsidRPr="00F32158" w:rsidTr="00BF1F99">
        <w:trPr>
          <w:jc w:val="center"/>
        </w:trPr>
        <w:tc>
          <w:tcPr>
            <w:tcW w:w="959" w:type="dxa"/>
          </w:tcPr>
          <w:p w:rsidR="00F32158" w:rsidRPr="00F32158" w:rsidRDefault="00F32158" w:rsidP="00F32158">
            <w:pPr>
              <w:spacing w:line="276" w:lineRule="auto"/>
              <w:jc w:val="center"/>
              <w:rPr>
                <w:rFonts w:eastAsia="Calibri"/>
                <w:sz w:val="28"/>
                <w:szCs w:val="28"/>
                <w:lang w:val="uk-UA"/>
              </w:rPr>
            </w:pPr>
            <w:r w:rsidRPr="00F32158">
              <w:rPr>
                <w:rFonts w:eastAsia="Calibri"/>
                <w:sz w:val="28"/>
                <w:szCs w:val="28"/>
                <w:lang w:val="uk-UA"/>
              </w:rPr>
              <w:t>2012</w:t>
            </w:r>
          </w:p>
        </w:tc>
        <w:tc>
          <w:tcPr>
            <w:tcW w:w="2693" w:type="dxa"/>
          </w:tcPr>
          <w:p w:rsidR="00F32158" w:rsidRPr="00F32158" w:rsidRDefault="00F32158" w:rsidP="00F32158">
            <w:pPr>
              <w:spacing w:line="276" w:lineRule="auto"/>
              <w:jc w:val="center"/>
              <w:rPr>
                <w:rFonts w:eastAsia="Calibri"/>
                <w:sz w:val="28"/>
                <w:szCs w:val="28"/>
                <w:lang w:val="uk-UA"/>
              </w:rPr>
            </w:pPr>
            <w:r w:rsidRPr="00F32158">
              <w:rPr>
                <w:rFonts w:eastAsia="Calibri"/>
                <w:sz w:val="28"/>
                <w:szCs w:val="28"/>
                <w:lang w:val="uk-UA"/>
              </w:rPr>
              <w:t>21163.25</w:t>
            </w:r>
          </w:p>
          <w:p w:rsidR="00F32158" w:rsidRPr="00F32158" w:rsidRDefault="00F32158" w:rsidP="00F32158">
            <w:pPr>
              <w:spacing w:line="276" w:lineRule="auto"/>
              <w:jc w:val="center"/>
              <w:rPr>
                <w:rFonts w:eastAsia="Calibri"/>
                <w:sz w:val="28"/>
                <w:szCs w:val="28"/>
                <w:lang w:val="uk-UA"/>
              </w:rPr>
            </w:pPr>
            <w:r w:rsidRPr="00F32158">
              <w:rPr>
                <w:rFonts w:eastAsia="Calibri"/>
                <w:sz w:val="28"/>
                <w:szCs w:val="28"/>
                <w:lang w:val="uk-UA"/>
              </w:rPr>
              <w:t>(23092.24-19292.70)</w:t>
            </w:r>
          </w:p>
        </w:tc>
        <w:tc>
          <w:tcPr>
            <w:tcW w:w="2977" w:type="dxa"/>
          </w:tcPr>
          <w:p w:rsidR="00F32158" w:rsidRPr="00F32158" w:rsidRDefault="00F32158" w:rsidP="00F32158">
            <w:pPr>
              <w:spacing w:line="276" w:lineRule="auto"/>
              <w:jc w:val="center"/>
              <w:rPr>
                <w:color w:val="454545"/>
                <w:sz w:val="28"/>
                <w:szCs w:val="28"/>
              </w:rPr>
            </w:pPr>
            <w:r w:rsidRPr="00F32158">
              <w:rPr>
                <w:color w:val="454545"/>
                <w:sz w:val="28"/>
                <w:szCs w:val="28"/>
              </w:rPr>
              <w:t>28,905.88</w:t>
            </w:r>
          </w:p>
          <w:p w:rsidR="00F32158" w:rsidRPr="00F32158" w:rsidRDefault="00F32158" w:rsidP="00F32158">
            <w:pPr>
              <w:spacing w:line="276" w:lineRule="auto"/>
              <w:jc w:val="center"/>
              <w:rPr>
                <w:color w:val="454545"/>
                <w:sz w:val="28"/>
                <w:szCs w:val="28"/>
                <w:lang w:val="uk-UA"/>
              </w:rPr>
            </w:pPr>
            <w:r w:rsidRPr="00F32158">
              <w:rPr>
                <w:color w:val="454545"/>
                <w:sz w:val="28"/>
                <w:szCs w:val="28"/>
                <w:lang w:val="uk-UA"/>
              </w:rPr>
              <w:t>(</w:t>
            </w:r>
            <w:r w:rsidRPr="00F32158">
              <w:rPr>
                <w:color w:val="454545"/>
                <w:sz w:val="28"/>
                <w:szCs w:val="28"/>
              </w:rPr>
              <w:t>31,407.54</w:t>
            </w:r>
            <w:r w:rsidRPr="00F32158">
              <w:rPr>
                <w:color w:val="454545"/>
                <w:sz w:val="28"/>
                <w:szCs w:val="28"/>
                <w:lang w:val="uk-UA"/>
              </w:rPr>
              <w:t>-</w:t>
            </w:r>
            <w:r w:rsidRPr="00F32158">
              <w:rPr>
                <w:color w:val="454545"/>
                <w:sz w:val="28"/>
                <w:szCs w:val="28"/>
              </w:rPr>
              <w:t>26,237.27</w:t>
            </w:r>
            <w:r w:rsidRPr="00F32158">
              <w:rPr>
                <w:color w:val="454545"/>
                <w:sz w:val="28"/>
                <w:szCs w:val="28"/>
                <w:lang w:val="uk-UA"/>
              </w:rPr>
              <w:t>)</w:t>
            </w:r>
          </w:p>
        </w:tc>
        <w:tc>
          <w:tcPr>
            <w:tcW w:w="2942" w:type="dxa"/>
          </w:tcPr>
          <w:p w:rsidR="00F32158" w:rsidRPr="00F32158" w:rsidRDefault="00F32158" w:rsidP="00F32158">
            <w:pPr>
              <w:shd w:val="clear" w:color="auto" w:fill="FFFFFF"/>
              <w:spacing w:line="276" w:lineRule="auto"/>
              <w:jc w:val="center"/>
              <w:rPr>
                <w:color w:val="454545"/>
                <w:sz w:val="28"/>
                <w:szCs w:val="28"/>
              </w:rPr>
            </w:pPr>
            <w:r w:rsidRPr="00F32158">
              <w:rPr>
                <w:color w:val="454545"/>
                <w:sz w:val="28"/>
                <w:szCs w:val="28"/>
              </w:rPr>
              <w:t>12,909.47</w:t>
            </w:r>
          </w:p>
          <w:p w:rsidR="00F32158" w:rsidRPr="00F32158" w:rsidRDefault="00F32158" w:rsidP="00F32158">
            <w:pPr>
              <w:shd w:val="clear" w:color="auto" w:fill="FFFFFF"/>
              <w:spacing w:line="276" w:lineRule="auto"/>
              <w:jc w:val="center"/>
              <w:rPr>
                <w:color w:val="454545"/>
                <w:sz w:val="28"/>
                <w:szCs w:val="28"/>
                <w:lang w:val="uk-UA"/>
              </w:rPr>
            </w:pPr>
            <w:r w:rsidRPr="00F32158">
              <w:rPr>
                <w:color w:val="454545"/>
                <w:sz w:val="28"/>
                <w:szCs w:val="28"/>
                <w:lang w:val="uk-UA"/>
              </w:rPr>
              <w:t>(</w:t>
            </w:r>
            <w:r w:rsidRPr="00F32158">
              <w:rPr>
                <w:color w:val="454545"/>
                <w:sz w:val="28"/>
                <w:szCs w:val="28"/>
              </w:rPr>
              <w:t>15,107.72</w:t>
            </w:r>
            <w:r w:rsidRPr="00F32158">
              <w:rPr>
                <w:color w:val="454545"/>
                <w:sz w:val="28"/>
                <w:szCs w:val="28"/>
                <w:lang w:val="uk-UA"/>
              </w:rPr>
              <w:t>-</w:t>
            </w:r>
            <w:r w:rsidRPr="00F32158">
              <w:rPr>
                <w:color w:val="454545"/>
                <w:sz w:val="28"/>
                <w:szCs w:val="28"/>
              </w:rPr>
              <w:t>10,799.35</w:t>
            </w:r>
            <w:r w:rsidRPr="00F32158">
              <w:rPr>
                <w:color w:val="454545"/>
                <w:sz w:val="28"/>
                <w:szCs w:val="28"/>
                <w:lang w:val="uk-UA"/>
              </w:rPr>
              <w:t>)</w:t>
            </w:r>
          </w:p>
        </w:tc>
      </w:tr>
      <w:tr w:rsidR="00F32158" w:rsidRPr="00F32158" w:rsidTr="00BF1F99">
        <w:trPr>
          <w:jc w:val="center"/>
        </w:trPr>
        <w:tc>
          <w:tcPr>
            <w:tcW w:w="959" w:type="dxa"/>
          </w:tcPr>
          <w:p w:rsidR="00F32158" w:rsidRPr="00F32158" w:rsidRDefault="00F32158" w:rsidP="00F32158">
            <w:pPr>
              <w:spacing w:line="276" w:lineRule="auto"/>
              <w:jc w:val="center"/>
              <w:rPr>
                <w:rFonts w:eastAsia="Calibri"/>
                <w:sz w:val="28"/>
                <w:szCs w:val="28"/>
                <w:lang w:val="uk-UA"/>
              </w:rPr>
            </w:pPr>
            <w:r w:rsidRPr="00F32158">
              <w:rPr>
                <w:rFonts w:eastAsia="Calibri"/>
                <w:sz w:val="28"/>
                <w:szCs w:val="28"/>
                <w:lang w:val="uk-UA"/>
              </w:rPr>
              <w:t>2013</w:t>
            </w:r>
          </w:p>
        </w:tc>
        <w:tc>
          <w:tcPr>
            <w:tcW w:w="2693" w:type="dxa"/>
          </w:tcPr>
          <w:p w:rsidR="00F32158" w:rsidRPr="00F32158" w:rsidRDefault="00F32158" w:rsidP="00F32158">
            <w:pPr>
              <w:spacing w:line="276" w:lineRule="auto"/>
              <w:jc w:val="center"/>
              <w:rPr>
                <w:rFonts w:eastAsia="Calibri"/>
                <w:sz w:val="28"/>
                <w:szCs w:val="28"/>
                <w:lang w:val="uk-UA"/>
              </w:rPr>
            </w:pPr>
            <w:r w:rsidRPr="00F32158">
              <w:rPr>
                <w:rFonts w:eastAsia="Calibri"/>
                <w:sz w:val="28"/>
                <w:szCs w:val="28"/>
              </w:rPr>
              <w:t>19</w:t>
            </w:r>
            <w:r w:rsidRPr="00F32158">
              <w:rPr>
                <w:rFonts w:eastAsia="Calibri"/>
                <w:sz w:val="28"/>
                <w:szCs w:val="28"/>
                <w:lang w:val="uk-UA"/>
              </w:rPr>
              <w:t>692.61</w:t>
            </w:r>
          </w:p>
          <w:p w:rsidR="00F32158" w:rsidRPr="00F32158" w:rsidRDefault="00F32158" w:rsidP="00F32158">
            <w:pPr>
              <w:spacing w:line="276" w:lineRule="auto"/>
              <w:jc w:val="center"/>
              <w:rPr>
                <w:rFonts w:eastAsia="Calibri"/>
                <w:sz w:val="28"/>
                <w:szCs w:val="28"/>
                <w:lang w:val="uk-UA"/>
              </w:rPr>
            </w:pPr>
            <w:r w:rsidRPr="00F32158">
              <w:rPr>
                <w:rFonts w:eastAsia="Calibri"/>
                <w:sz w:val="28"/>
                <w:szCs w:val="28"/>
              </w:rPr>
              <w:t>(21</w:t>
            </w:r>
            <w:r w:rsidRPr="00F32158">
              <w:rPr>
                <w:rFonts w:eastAsia="Calibri"/>
                <w:sz w:val="28"/>
                <w:szCs w:val="28"/>
                <w:lang w:val="uk-UA"/>
              </w:rPr>
              <w:t>382.58</w:t>
            </w:r>
            <w:r w:rsidRPr="00F32158">
              <w:rPr>
                <w:rFonts w:eastAsia="Calibri"/>
                <w:sz w:val="28"/>
                <w:szCs w:val="28"/>
              </w:rPr>
              <w:t xml:space="preserve"> -17</w:t>
            </w:r>
            <w:r w:rsidRPr="00F32158">
              <w:rPr>
                <w:rFonts w:eastAsia="Calibri"/>
                <w:sz w:val="28"/>
                <w:szCs w:val="28"/>
                <w:lang w:val="uk-UA"/>
              </w:rPr>
              <w:t>971.24</w:t>
            </w:r>
            <w:r w:rsidRPr="00F32158">
              <w:rPr>
                <w:rFonts w:eastAsia="Calibri"/>
                <w:sz w:val="28"/>
                <w:szCs w:val="28"/>
              </w:rPr>
              <w:t>)</w:t>
            </w:r>
          </w:p>
        </w:tc>
        <w:tc>
          <w:tcPr>
            <w:tcW w:w="2977" w:type="dxa"/>
          </w:tcPr>
          <w:p w:rsidR="00F32158" w:rsidRPr="00F32158" w:rsidRDefault="00F32158" w:rsidP="00F32158">
            <w:pPr>
              <w:spacing w:line="276" w:lineRule="auto"/>
              <w:jc w:val="center"/>
              <w:rPr>
                <w:color w:val="454545"/>
                <w:sz w:val="28"/>
                <w:szCs w:val="28"/>
              </w:rPr>
            </w:pPr>
            <w:r w:rsidRPr="00F32158">
              <w:rPr>
                <w:color w:val="454545"/>
                <w:sz w:val="28"/>
                <w:szCs w:val="28"/>
              </w:rPr>
              <w:t>26,842.37</w:t>
            </w:r>
          </w:p>
          <w:p w:rsidR="00F32158" w:rsidRPr="00F32158" w:rsidRDefault="00F32158" w:rsidP="00F32158">
            <w:pPr>
              <w:spacing w:line="276" w:lineRule="auto"/>
              <w:jc w:val="center"/>
              <w:rPr>
                <w:color w:val="454545"/>
                <w:sz w:val="28"/>
                <w:szCs w:val="28"/>
                <w:lang w:val="uk-UA"/>
              </w:rPr>
            </w:pPr>
            <w:r w:rsidRPr="00F32158">
              <w:rPr>
                <w:color w:val="454545"/>
                <w:sz w:val="28"/>
                <w:szCs w:val="28"/>
                <w:lang w:val="uk-UA"/>
              </w:rPr>
              <w:t>(</w:t>
            </w:r>
            <w:r w:rsidRPr="00F32158">
              <w:rPr>
                <w:color w:val="454545"/>
                <w:sz w:val="28"/>
                <w:szCs w:val="28"/>
              </w:rPr>
              <w:t>29,273.55</w:t>
            </w:r>
            <w:r w:rsidRPr="00F32158">
              <w:rPr>
                <w:color w:val="454545"/>
                <w:sz w:val="28"/>
                <w:szCs w:val="28"/>
                <w:lang w:val="uk-UA"/>
              </w:rPr>
              <w:t>-</w:t>
            </w:r>
            <w:r w:rsidRPr="00F32158">
              <w:rPr>
                <w:color w:val="454545"/>
                <w:sz w:val="28"/>
                <w:szCs w:val="28"/>
              </w:rPr>
              <w:t>24,156.63</w:t>
            </w:r>
            <w:r w:rsidRPr="00F32158">
              <w:rPr>
                <w:color w:val="454545"/>
                <w:sz w:val="28"/>
                <w:szCs w:val="28"/>
                <w:lang w:val="uk-UA"/>
              </w:rPr>
              <w:t>)</w:t>
            </w:r>
          </w:p>
        </w:tc>
        <w:tc>
          <w:tcPr>
            <w:tcW w:w="2942" w:type="dxa"/>
          </w:tcPr>
          <w:p w:rsidR="00F32158" w:rsidRPr="00F32158" w:rsidRDefault="00F32158" w:rsidP="00F32158">
            <w:pPr>
              <w:shd w:val="clear" w:color="auto" w:fill="FFFFFF"/>
              <w:spacing w:line="276" w:lineRule="auto"/>
              <w:jc w:val="center"/>
              <w:rPr>
                <w:color w:val="454545"/>
                <w:sz w:val="28"/>
                <w:szCs w:val="28"/>
              </w:rPr>
            </w:pPr>
            <w:r w:rsidRPr="00F32158">
              <w:rPr>
                <w:color w:val="454545"/>
                <w:sz w:val="28"/>
                <w:szCs w:val="28"/>
              </w:rPr>
              <w:t>12,072.65</w:t>
            </w:r>
          </w:p>
          <w:p w:rsidR="00F32158" w:rsidRPr="00F32158" w:rsidRDefault="00F32158" w:rsidP="00F32158">
            <w:pPr>
              <w:shd w:val="clear" w:color="auto" w:fill="FFFFFF"/>
              <w:spacing w:line="276" w:lineRule="auto"/>
              <w:jc w:val="center"/>
              <w:rPr>
                <w:color w:val="454545"/>
                <w:sz w:val="28"/>
                <w:szCs w:val="28"/>
                <w:lang w:val="uk-UA"/>
              </w:rPr>
            </w:pPr>
            <w:r w:rsidRPr="00F32158">
              <w:rPr>
                <w:color w:val="454545"/>
                <w:sz w:val="28"/>
                <w:szCs w:val="28"/>
                <w:lang w:val="uk-UA"/>
              </w:rPr>
              <w:t>(</w:t>
            </w:r>
            <w:r w:rsidRPr="00F32158">
              <w:rPr>
                <w:color w:val="454545"/>
                <w:sz w:val="28"/>
                <w:szCs w:val="28"/>
              </w:rPr>
              <w:t>14,173.99</w:t>
            </w:r>
            <w:r w:rsidRPr="00F32158">
              <w:rPr>
                <w:color w:val="454545"/>
                <w:sz w:val="28"/>
                <w:szCs w:val="28"/>
                <w:lang w:val="uk-UA"/>
              </w:rPr>
              <w:t>-</w:t>
            </w:r>
            <w:r w:rsidRPr="00F32158">
              <w:rPr>
                <w:color w:val="454545"/>
                <w:sz w:val="28"/>
                <w:szCs w:val="28"/>
              </w:rPr>
              <w:t>9,954.57</w:t>
            </w:r>
            <w:r w:rsidRPr="00F32158">
              <w:rPr>
                <w:color w:val="454545"/>
                <w:sz w:val="28"/>
                <w:szCs w:val="28"/>
                <w:lang w:val="uk-UA"/>
              </w:rPr>
              <w:t>)</w:t>
            </w:r>
          </w:p>
        </w:tc>
      </w:tr>
      <w:tr w:rsidR="00F32158" w:rsidRPr="00F32158" w:rsidTr="00BF1F99">
        <w:trPr>
          <w:jc w:val="center"/>
        </w:trPr>
        <w:tc>
          <w:tcPr>
            <w:tcW w:w="959" w:type="dxa"/>
          </w:tcPr>
          <w:p w:rsidR="00F32158" w:rsidRPr="00F32158" w:rsidRDefault="00F32158" w:rsidP="00F32158">
            <w:pPr>
              <w:spacing w:line="276" w:lineRule="auto"/>
              <w:jc w:val="center"/>
              <w:rPr>
                <w:rFonts w:eastAsia="Calibri"/>
                <w:sz w:val="28"/>
                <w:szCs w:val="28"/>
                <w:lang w:val="uk-UA"/>
              </w:rPr>
            </w:pPr>
            <w:r w:rsidRPr="00F32158">
              <w:rPr>
                <w:rFonts w:eastAsia="Calibri"/>
                <w:sz w:val="28"/>
                <w:szCs w:val="28"/>
                <w:lang w:val="uk-UA"/>
              </w:rPr>
              <w:t>2014</w:t>
            </w:r>
          </w:p>
        </w:tc>
        <w:tc>
          <w:tcPr>
            <w:tcW w:w="2693" w:type="dxa"/>
          </w:tcPr>
          <w:p w:rsidR="00F32158" w:rsidRPr="00F32158" w:rsidRDefault="00F32158" w:rsidP="00F32158">
            <w:pPr>
              <w:spacing w:line="276" w:lineRule="auto"/>
              <w:jc w:val="center"/>
              <w:rPr>
                <w:rFonts w:eastAsia="Calibri"/>
                <w:sz w:val="28"/>
                <w:szCs w:val="28"/>
                <w:lang w:val="uk-UA"/>
              </w:rPr>
            </w:pPr>
            <w:r w:rsidRPr="00F32158">
              <w:rPr>
                <w:rFonts w:eastAsia="Calibri"/>
                <w:sz w:val="28"/>
                <w:szCs w:val="28"/>
                <w:lang w:val="uk-UA"/>
              </w:rPr>
              <w:t>19930.89</w:t>
            </w:r>
          </w:p>
          <w:p w:rsidR="00F32158" w:rsidRPr="00F32158" w:rsidRDefault="00F32158" w:rsidP="00F32158">
            <w:pPr>
              <w:spacing w:line="276" w:lineRule="auto"/>
              <w:jc w:val="center"/>
              <w:rPr>
                <w:rFonts w:eastAsia="Calibri"/>
                <w:sz w:val="28"/>
                <w:szCs w:val="28"/>
                <w:lang w:val="uk-UA"/>
              </w:rPr>
            </w:pPr>
            <w:r w:rsidRPr="00F32158">
              <w:rPr>
                <w:rFonts w:eastAsia="Calibri"/>
                <w:sz w:val="28"/>
                <w:szCs w:val="28"/>
                <w:lang w:val="uk-UA"/>
              </w:rPr>
              <w:t>(21720.61-18183.08)</w:t>
            </w:r>
          </w:p>
        </w:tc>
        <w:tc>
          <w:tcPr>
            <w:tcW w:w="2977" w:type="dxa"/>
          </w:tcPr>
          <w:p w:rsidR="00F32158" w:rsidRPr="00F32158" w:rsidRDefault="00F32158" w:rsidP="00F32158">
            <w:pPr>
              <w:spacing w:line="276" w:lineRule="auto"/>
              <w:jc w:val="center"/>
              <w:rPr>
                <w:color w:val="454545"/>
                <w:sz w:val="28"/>
                <w:szCs w:val="28"/>
              </w:rPr>
            </w:pPr>
            <w:r w:rsidRPr="00F32158">
              <w:rPr>
                <w:color w:val="454545"/>
                <w:sz w:val="28"/>
                <w:szCs w:val="28"/>
              </w:rPr>
              <w:t>27,038.00</w:t>
            </w:r>
          </w:p>
          <w:p w:rsidR="00F32158" w:rsidRPr="00F32158" w:rsidRDefault="00F32158" w:rsidP="00F32158">
            <w:pPr>
              <w:spacing w:line="276" w:lineRule="auto"/>
              <w:jc w:val="center"/>
              <w:rPr>
                <w:color w:val="454545"/>
                <w:sz w:val="28"/>
                <w:szCs w:val="28"/>
                <w:lang w:val="uk-UA"/>
              </w:rPr>
            </w:pPr>
            <w:r w:rsidRPr="00F32158">
              <w:rPr>
                <w:color w:val="454545"/>
                <w:sz w:val="28"/>
                <w:szCs w:val="28"/>
                <w:lang w:val="uk-UA"/>
              </w:rPr>
              <w:t>(</w:t>
            </w:r>
            <w:r w:rsidRPr="00F32158">
              <w:rPr>
                <w:color w:val="454545"/>
                <w:sz w:val="28"/>
                <w:szCs w:val="28"/>
              </w:rPr>
              <w:t>30,024.41</w:t>
            </w:r>
            <w:r w:rsidRPr="00F32158">
              <w:rPr>
                <w:color w:val="454545"/>
                <w:sz w:val="28"/>
                <w:szCs w:val="28"/>
                <w:lang w:val="uk-UA"/>
              </w:rPr>
              <w:t>-</w:t>
            </w:r>
            <w:r w:rsidRPr="00F32158">
              <w:rPr>
                <w:color w:val="454545"/>
                <w:sz w:val="28"/>
                <w:szCs w:val="28"/>
              </w:rPr>
              <w:t>24,093.39</w:t>
            </w:r>
            <w:r w:rsidRPr="00F32158">
              <w:rPr>
                <w:color w:val="454545"/>
                <w:sz w:val="28"/>
                <w:szCs w:val="28"/>
                <w:lang w:val="uk-UA"/>
              </w:rPr>
              <w:t>)</w:t>
            </w:r>
          </w:p>
        </w:tc>
        <w:tc>
          <w:tcPr>
            <w:tcW w:w="2942" w:type="dxa"/>
          </w:tcPr>
          <w:p w:rsidR="00F32158" w:rsidRPr="00F32158" w:rsidRDefault="00F32158" w:rsidP="00F32158">
            <w:pPr>
              <w:shd w:val="clear" w:color="auto" w:fill="FFFFFF"/>
              <w:spacing w:line="276" w:lineRule="auto"/>
              <w:jc w:val="center"/>
              <w:rPr>
                <w:color w:val="454545"/>
                <w:sz w:val="28"/>
                <w:szCs w:val="28"/>
              </w:rPr>
            </w:pPr>
            <w:r w:rsidRPr="00F32158">
              <w:rPr>
                <w:color w:val="454545"/>
                <w:sz w:val="28"/>
                <w:szCs w:val="28"/>
              </w:rPr>
              <w:t>12,359.36</w:t>
            </w:r>
          </w:p>
          <w:p w:rsidR="00F32158" w:rsidRPr="00F32158" w:rsidRDefault="00F32158" w:rsidP="00F32158">
            <w:pPr>
              <w:shd w:val="clear" w:color="auto" w:fill="FFFFFF"/>
              <w:spacing w:line="276" w:lineRule="auto"/>
              <w:jc w:val="center"/>
              <w:rPr>
                <w:color w:val="454545"/>
                <w:sz w:val="28"/>
                <w:szCs w:val="28"/>
                <w:lang w:val="uk-UA"/>
              </w:rPr>
            </w:pPr>
            <w:r w:rsidRPr="00F32158">
              <w:rPr>
                <w:color w:val="454545"/>
                <w:sz w:val="28"/>
                <w:szCs w:val="28"/>
                <w:lang w:val="uk-UA"/>
              </w:rPr>
              <w:t>(</w:t>
            </w:r>
            <w:r w:rsidRPr="00F32158">
              <w:rPr>
                <w:color w:val="454545"/>
                <w:sz w:val="28"/>
                <w:szCs w:val="28"/>
              </w:rPr>
              <w:t>14,641.36</w:t>
            </w:r>
            <w:r w:rsidRPr="00F32158">
              <w:rPr>
                <w:color w:val="454545"/>
                <w:sz w:val="28"/>
                <w:szCs w:val="28"/>
                <w:lang w:val="uk-UA"/>
              </w:rPr>
              <w:t>-</w:t>
            </w:r>
            <w:r w:rsidRPr="00F32158">
              <w:rPr>
                <w:color w:val="454545"/>
                <w:sz w:val="28"/>
                <w:szCs w:val="28"/>
              </w:rPr>
              <w:t>10,161.37</w:t>
            </w:r>
            <w:r w:rsidRPr="00F32158">
              <w:rPr>
                <w:color w:val="454545"/>
                <w:sz w:val="28"/>
                <w:szCs w:val="28"/>
                <w:lang w:val="uk-UA"/>
              </w:rPr>
              <w:t>)</w:t>
            </w:r>
          </w:p>
        </w:tc>
      </w:tr>
      <w:tr w:rsidR="00F32158" w:rsidRPr="00F32158" w:rsidTr="00BF1F99">
        <w:trPr>
          <w:jc w:val="center"/>
        </w:trPr>
        <w:tc>
          <w:tcPr>
            <w:tcW w:w="959" w:type="dxa"/>
          </w:tcPr>
          <w:p w:rsidR="00F32158" w:rsidRPr="00F32158" w:rsidRDefault="00F32158" w:rsidP="00F32158">
            <w:pPr>
              <w:spacing w:line="276" w:lineRule="auto"/>
              <w:jc w:val="center"/>
              <w:rPr>
                <w:rFonts w:eastAsia="Calibri"/>
                <w:sz w:val="28"/>
                <w:szCs w:val="28"/>
                <w:lang w:val="uk-UA"/>
              </w:rPr>
            </w:pPr>
            <w:r w:rsidRPr="00F32158">
              <w:rPr>
                <w:rFonts w:eastAsia="Calibri"/>
                <w:sz w:val="28"/>
                <w:szCs w:val="28"/>
                <w:lang w:val="uk-UA"/>
              </w:rPr>
              <w:t>2015</w:t>
            </w:r>
          </w:p>
        </w:tc>
        <w:tc>
          <w:tcPr>
            <w:tcW w:w="2693" w:type="dxa"/>
          </w:tcPr>
          <w:p w:rsidR="00F32158" w:rsidRPr="00F32158" w:rsidRDefault="00F32158" w:rsidP="00F32158">
            <w:pPr>
              <w:spacing w:line="276" w:lineRule="auto"/>
              <w:jc w:val="center"/>
              <w:rPr>
                <w:rFonts w:eastAsia="Calibri"/>
                <w:sz w:val="28"/>
                <w:szCs w:val="28"/>
                <w:lang w:val="uk-UA"/>
              </w:rPr>
            </w:pPr>
            <w:r w:rsidRPr="00F32158">
              <w:rPr>
                <w:rFonts w:eastAsia="Calibri"/>
                <w:sz w:val="28"/>
                <w:szCs w:val="28"/>
                <w:lang w:val="uk-UA"/>
              </w:rPr>
              <w:t>21992.85</w:t>
            </w:r>
          </w:p>
          <w:p w:rsidR="00F32158" w:rsidRPr="00F32158" w:rsidRDefault="00F32158" w:rsidP="00F32158">
            <w:pPr>
              <w:spacing w:line="276" w:lineRule="auto"/>
              <w:jc w:val="center"/>
              <w:rPr>
                <w:rFonts w:eastAsia="Calibri"/>
                <w:sz w:val="28"/>
                <w:szCs w:val="28"/>
                <w:lang w:val="uk-UA"/>
              </w:rPr>
            </w:pPr>
            <w:r w:rsidRPr="00F32158">
              <w:rPr>
                <w:rFonts w:eastAsia="Calibri"/>
                <w:sz w:val="28"/>
                <w:szCs w:val="28"/>
                <w:lang w:val="uk-UA"/>
              </w:rPr>
              <w:t>(24140.27-19901.08)</w:t>
            </w:r>
          </w:p>
        </w:tc>
        <w:tc>
          <w:tcPr>
            <w:tcW w:w="2977" w:type="dxa"/>
          </w:tcPr>
          <w:p w:rsidR="00F32158" w:rsidRPr="00F32158" w:rsidRDefault="00F32158" w:rsidP="00F32158">
            <w:pPr>
              <w:shd w:val="clear" w:color="auto" w:fill="FFFFFF"/>
              <w:spacing w:line="276" w:lineRule="auto"/>
              <w:jc w:val="center"/>
              <w:rPr>
                <w:color w:val="454545"/>
                <w:sz w:val="28"/>
                <w:szCs w:val="28"/>
              </w:rPr>
            </w:pPr>
            <w:r w:rsidRPr="00F32158">
              <w:rPr>
                <w:color w:val="454545"/>
                <w:sz w:val="28"/>
                <w:szCs w:val="28"/>
              </w:rPr>
              <w:t>29,908.73</w:t>
            </w:r>
          </w:p>
          <w:p w:rsidR="00F32158" w:rsidRPr="00F32158" w:rsidRDefault="00F32158" w:rsidP="00F32158">
            <w:pPr>
              <w:shd w:val="clear" w:color="auto" w:fill="FFFFFF"/>
              <w:spacing w:line="276" w:lineRule="auto"/>
              <w:jc w:val="center"/>
              <w:rPr>
                <w:color w:val="454545"/>
                <w:sz w:val="28"/>
                <w:szCs w:val="28"/>
                <w:lang w:val="uk-UA"/>
              </w:rPr>
            </w:pPr>
            <w:r w:rsidRPr="00F32158">
              <w:rPr>
                <w:color w:val="454545"/>
                <w:sz w:val="28"/>
                <w:szCs w:val="28"/>
                <w:lang w:val="uk-UA"/>
              </w:rPr>
              <w:t>(</w:t>
            </w:r>
            <w:r w:rsidRPr="00F32158">
              <w:rPr>
                <w:color w:val="454545"/>
                <w:sz w:val="28"/>
                <w:szCs w:val="28"/>
              </w:rPr>
              <w:t>33,775.61</w:t>
            </w:r>
            <w:r w:rsidRPr="00F32158">
              <w:rPr>
                <w:color w:val="454545"/>
                <w:sz w:val="28"/>
                <w:szCs w:val="28"/>
                <w:lang w:val="uk-UA"/>
              </w:rPr>
              <w:t>-</w:t>
            </w:r>
            <w:r w:rsidRPr="00F32158">
              <w:rPr>
                <w:color w:val="454545"/>
                <w:sz w:val="28"/>
                <w:szCs w:val="28"/>
              </w:rPr>
              <w:t>26,196.70</w:t>
            </w:r>
            <w:r w:rsidRPr="00F32158">
              <w:rPr>
                <w:color w:val="454545"/>
                <w:sz w:val="28"/>
                <w:szCs w:val="28"/>
                <w:lang w:val="uk-UA"/>
              </w:rPr>
              <w:t>)</w:t>
            </w:r>
          </w:p>
        </w:tc>
        <w:tc>
          <w:tcPr>
            <w:tcW w:w="2942" w:type="dxa"/>
          </w:tcPr>
          <w:p w:rsidR="00F32158" w:rsidRPr="00F32158" w:rsidRDefault="00F32158" w:rsidP="00F32158">
            <w:pPr>
              <w:spacing w:line="276" w:lineRule="auto"/>
              <w:jc w:val="center"/>
              <w:rPr>
                <w:color w:val="454545"/>
                <w:sz w:val="28"/>
                <w:szCs w:val="28"/>
              </w:rPr>
            </w:pPr>
            <w:r w:rsidRPr="00F32158">
              <w:rPr>
                <w:color w:val="454545"/>
                <w:sz w:val="28"/>
                <w:szCs w:val="28"/>
              </w:rPr>
              <w:t>13,557.47</w:t>
            </w:r>
          </w:p>
          <w:p w:rsidR="00F32158" w:rsidRPr="00F32158" w:rsidRDefault="00F32158" w:rsidP="00F32158">
            <w:pPr>
              <w:spacing w:line="276" w:lineRule="auto"/>
              <w:jc w:val="center"/>
              <w:rPr>
                <w:color w:val="454545"/>
                <w:sz w:val="28"/>
                <w:szCs w:val="28"/>
                <w:lang w:val="uk-UA"/>
              </w:rPr>
            </w:pPr>
            <w:r w:rsidRPr="00F32158">
              <w:rPr>
                <w:color w:val="454545"/>
                <w:sz w:val="28"/>
                <w:szCs w:val="28"/>
                <w:lang w:val="uk-UA"/>
              </w:rPr>
              <w:t>(</w:t>
            </w:r>
            <w:r w:rsidRPr="00F32158">
              <w:rPr>
                <w:color w:val="454545"/>
                <w:sz w:val="28"/>
                <w:szCs w:val="28"/>
              </w:rPr>
              <w:t>16,361.82</w:t>
            </w:r>
            <w:r w:rsidRPr="00F32158">
              <w:rPr>
                <w:color w:val="454545"/>
                <w:sz w:val="28"/>
                <w:szCs w:val="28"/>
                <w:lang w:val="uk-UA"/>
              </w:rPr>
              <w:t>-</w:t>
            </w:r>
            <w:r w:rsidRPr="00F32158">
              <w:rPr>
                <w:color w:val="454545"/>
                <w:sz w:val="28"/>
                <w:szCs w:val="28"/>
              </w:rPr>
              <w:t>11,012.15</w:t>
            </w:r>
            <w:r w:rsidRPr="00F32158">
              <w:rPr>
                <w:color w:val="454545"/>
                <w:sz w:val="28"/>
                <w:szCs w:val="28"/>
                <w:lang w:val="uk-UA"/>
              </w:rPr>
              <w:t>)</w:t>
            </w:r>
          </w:p>
        </w:tc>
      </w:tr>
      <w:tr w:rsidR="00F32158" w:rsidRPr="00F32158" w:rsidTr="00BF1F99">
        <w:trPr>
          <w:jc w:val="center"/>
        </w:trPr>
        <w:tc>
          <w:tcPr>
            <w:tcW w:w="959" w:type="dxa"/>
          </w:tcPr>
          <w:p w:rsidR="00F32158" w:rsidRPr="00F32158" w:rsidRDefault="00F32158" w:rsidP="00F32158">
            <w:pPr>
              <w:spacing w:line="276" w:lineRule="auto"/>
              <w:jc w:val="center"/>
              <w:rPr>
                <w:rFonts w:eastAsia="Calibri"/>
                <w:sz w:val="28"/>
                <w:szCs w:val="28"/>
                <w:lang w:val="uk-UA"/>
              </w:rPr>
            </w:pPr>
            <w:r w:rsidRPr="00F32158">
              <w:rPr>
                <w:rFonts w:eastAsia="Calibri"/>
                <w:sz w:val="28"/>
                <w:szCs w:val="28"/>
                <w:lang w:val="uk-UA"/>
              </w:rPr>
              <w:t>2016</w:t>
            </w:r>
          </w:p>
        </w:tc>
        <w:tc>
          <w:tcPr>
            <w:tcW w:w="2693" w:type="dxa"/>
          </w:tcPr>
          <w:p w:rsidR="00F32158" w:rsidRPr="00F32158" w:rsidRDefault="00F32158" w:rsidP="00F32158">
            <w:pPr>
              <w:spacing w:line="276" w:lineRule="auto"/>
              <w:jc w:val="center"/>
              <w:rPr>
                <w:rFonts w:eastAsia="Calibri"/>
                <w:sz w:val="28"/>
                <w:szCs w:val="28"/>
                <w:lang w:val="uk-UA"/>
              </w:rPr>
            </w:pPr>
            <w:r w:rsidRPr="00F32158">
              <w:rPr>
                <w:rFonts w:eastAsia="Calibri"/>
                <w:sz w:val="28"/>
                <w:szCs w:val="28"/>
                <w:lang w:val="uk-UA"/>
              </w:rPr>
              <w:t>21445.10</w:t>
            </w:r>
          </w:p>
          <w:p w:rsidR="00F32158" w:rsidRPr="00F32158" w:rsidRDefault="00F32158" w:rsidP="00F32158">
            <w:pPr>
              <w:spacing w:line="276" w:lineRule="auto"/>
              <w:jc w:val="center"/>
              <w:rPr>
                <w:rFonts w:eastAsia="Calibri"/>
                <w:sz w:val="28"/>
                <w:szCs w:val="28"/>
                <w:lang w:val="uk-UA"/>
              </w:rPr>
            </w:pPr>
            <w:r w:rsidRPr="00F32158">
              <w:rPr>
                <w:rFonts w:eastAsia="Calibri"/>
                <w:sz w:val="28"/>
                <w:szCs w:val="28"/>
                <w:lang w:val="uk-UA"/>
              </w:rPr>
              <w:t>(23931.49-18879.74)</w:t>
            </w:r>
          </w:p>
        </w:tc>
        <w:tc>
          <w:tcPr>
            <w:tcW w:w="2977" w:type="dxa"/>
          </w:tcPr>
          <w:p w:rsidR="00F32158" w:rsidRPr="00F32158" w:rsidRDefault="00F32158" w:rsidP="00F32158">
            <w:pPr>
              <w:shd w:val="clear" w:color="auto" w:fill="FFFFFF"/>
              <w:spacing w:line="276" w:lineRule="auto"/>
              <w:jc w:val="center"/>
              <w:rPr>
                <w:color w:val="454545"/>
                <w:sz w:val="28"/>
                <w:szCs w:val="28"/>
              </w:rPr>
            </w:pPr>
            <w:r w:rsidRPr="00F32158">
              <w:rPr>
                <w:color w:val="454545"/>
                <w:sz w:val="28"/>
                <w:szCs w:val="28"/>
              </w:rPr>
              <w:t>29,135.53</w:t>
            </w:r>
          </w:p>
          <w:p w:rsidR="00F32158" w:rsidRPr="00F32158" w:rsidRDefault="00F32158" w:rsidP="00F32158">
            <w:pPr>
              <w:shd w:val="clear" w:color="auto" w:fill="FFFFFF"/>
              <w:spacing w:line="276" w:lineRule="auto"/>
              <w:jc w:val="center"/>
              <w:rPr>
                <w:color w:val="454545"/>
                <w:sz w:val="28"/>
                <w:szCs w:val="28"/>
                <w:lang w:val="uk-UA"/>
              </w:rPr>
            </w:pPr>
            <w:r w:rsidRPr="00F32158">
              <w:rPr>
                <w:color w:val="454545"/>
                <w:sz w:val="28"/>
                <w:szCs w:val="28"/>
                <w:lang w:val="uk-UA"/>
              </w:rPr>
              <w:t>(</w:t>
            </w:r>
            <w:r w:rsidRPr="00F32158">
              <w:rPr>
                <w:color w:val="454545"/>
                <w:sz w:val="28"/>
                <w:szCs w:val="28"/>
              </w:rPr>
              <w:t>33,223.30</w:t>
            </w:r>
            <w:r w:rsidRPr="00F32158">
              <w:rPr>
                <w:color w:val="454545"/>
                <w:sz w:val="28"/>
                <w:szCs w:val="28"/>
                <w:lang w:val="uk-UA"/>
              </w:rPr>
              <w:t>-</w:t>
            </w:r>
            <w:r w:rsidRPr="00F32158">
              <w:rPr>
                <w:color w:val="454545"/>
                <w:sz w:val="28"/>
                <w:szCs w:val="28"/>
              </w:rPr>
              <w:t>24,851.73</w:t>
            </w:r>
            <w:r w:rsidRPr="00F32158">
              <w:rPr>
                <w:color w:val="454545"/>
                <w:sz w:val="28"/>
                <w:szCs w:val="28"/>
                <w:lang w:val="uk-UA"/>
              </w:rPr>
              <w:t>)</w:t>
            </w:r>
          </w:p>
        </w:tc>
        <w:tc>
          <w:tcPr>
            <w:tcW w:w="2942" w:type="dxa"/>
          </w:tcPr>
          <w:p w:rsidR="00F32158" w:rsidRPr="00F32158" w:rsidRDefault="00F32158" w:rsidP="00F32158">
            <w:pPr>
              <w:spacing w:line="276" w:lineRule="auto"/>
              <w:jc w:val="center"/>
              <w:rPr>
                <w:color w:val="454545"/>
                <w:sz w:val="28"/>
                <w:szCs w:val="28"/>
              </w:rPr>
            </w:pPr>
            <w:r w:rsidRPr="00F32158">
              <w:rPr>
                <w:color w:val="454545"/>
                <w:sz w:val="28"/>
                <w:szCs w:val="28"/>
              </w:rPr>
              <w:t>13,244.72</w:t>
            </w:r>
          </w:p>
          <w:p w:rsidR="00F32158" w:rsidRPr="00F32158" w:rsidRDefault="00F32158" w:rsidP="00F32158">
            <w:pPr>
              <w:spacing w:line="276" w:lineRule="auto"/>
              <w:jc w:val="center"/>
              <w:rPr>
                <w:color w:val="454545"/>
                <w:sz w:val="28"/>
                <w:szCs w:val="28"/>
                <w:lang w:val="uk-UA"/>
              </w:rPr>
            </w:pPr>
            <w:r w:rsidRPr="00F32158">
              <w:rPr>
                <w:color w:val="454545"/>
                <w:sz w:val="28"/>
                <w:szCs w:val="28"/>
                <w:lang w:val="uk-UA"/>
              </w:rPr>
              <w:t>(</w:t>
            </w:r>
            <w:r w:rsidRPr="00F32158">
              <w:rPr>
                <w:color w:val="454545"/>
                <w:sz w:val="28"/>
                <w:szCs w:val="28"/>
              </w:rPr>
              <w:t>16,108.54</w:t>
            </w:r>
            <w:r w:rsidRPr="00F32158">
              <w:rPr>
                <w:color w:val="454545"/>
                <w:sz w:val="28"/>
                <w:szCs w:val="28"/>
                <w:lang w:val="uk-UA"/>
              </w:rPr>
              <w:t>-</w:t>
            </w:r>
            <w:r w:rsidRPr="00F32158">
              <w:rPr>
                <w:color w:val="454545"/>
                <w:sz w:val="28"/>
                <w:szCs w:val="28"/>
              </w:rPr>
              <w:t>10,523.56</w:t>
            </w:r>
            <w:r w:rsidRPr="00F32158">
              <w:rPr>
                <w:color w:val="454545"/>
                <w:sz w:val="28"/>
                <w:szCs w:val="28"/>
                <w:lang w:val="uk-UA"/>
              </w:rPr>
              <w:t>)</w:t>
            </w:r>
          </w:p>
        </w:tc>
      </w:tr>
      <w:tr w:rsidR="00F32158" w:rsidRPr="00F32158" w:rsidTr="00BF1F99">
        <w:trPr>
          <w:jc w:val="center"/>
        </w:trPr>
        <w:tc>
          <w:tcPr>
            <w:tcW w:w="959" w:type="dxa"/>
          </w:tcPr>
          <w:p w:rsidR="00F32158" w:rsidRPr="00F32158" w:rsidRDefault="00F32158" w:rsidP="00F32158">
            <w:pPr>
              <w:spacing w:line="276" w:lineRule="auto"/>
              <w:jc w:val="center"/>
              <w:rPr>
                <w:rFonts w:eastAsia="Calibri"/>
                <w:sz w:val="28"/>
                <w:szCs w:val="28"/>
                <w:lang w:val="uk-UA"/>
              </w:rPr>
            </w:pPr>
            <w:r w:rsidRPr="00F32158">
              <w:rPr>
                <w:rFonts w:eastAsia="Calibri"/>
                <w:sz w:val="28"/>
                <w:szCs w:val="28"/>
                <w:lang w:val="uk-UA"/>
              </w:rPr>
              <w:t>2017</w:t>
            </w:r>
          </w:p>
        </w:tc>
        <w:tc>
          <w:tcPr>
            <w:tcW w:w="2693" w:type="dxa"/>
          </w:tcPr>
          <w:p w:rsidR="00F32158" w:rsidRPr="00F32158" w:rsidRDefault="00F32158" w:rsidP="00F32158">
            <w:pPr>
              <w:spacing w:line="276" w:lineRule="auto"/>
              <w:jc w:val="center"/>
              <w:rPr>
                <w:rFonts w:eastAsia="Calibri"/>
                <w:sz w:val="28"/>
                <w:szCs w:val="28"/>
                <w:lang w:val="uk-UA"/>
              </w:rPr>
            </w:pPr>
            <w:r w:rsidRPr="00F32158">
              <w:rPr>
                <w:rFonts w:eastAsia="Calibri"/>
                <w:sz w:val="28"/>
                <w:szCs w:val="28"/>
                <w:lang w:val="uk-UA"/>
              </w:rPr>
              <w:t>20406.51</w:t>
            </w:r>
          </w:p>
          <w:p w:rsidR="00F32158" w:rsidRPr="00F32158" w:rsidRDefault="00F32158" w:rsidP="00F32158">
            <w:pPr>
              <w:spacing w:line="276" w:lineRule="auto"/>
              <w:jc w:val="center"/>
              <w:rPr>
                <w:rFonts w:eastAsia="Calibri"/>
                <w:sz w:val="28"/>
                <w:szCs w:val="28"/>
                <w:lang w:val="uk-UA"/>
              </w:rPr>
            </w:pPr>
            <w:r w:rsidRPr="00F32158">
              <w:rPr>
                <w:rFonts w:eastAsia="Calibri"/>
                <w:sz w:val="28"/>
                <w:szCs w:val="28"/>
                <w:lang w:val="uk-UA"/>
              </w:rPr>
              <w:t>(23731.24-17386.84)</w:t>
            </w:r>
          </w:p>
        </w:tc>
        <w:tc>
          <w:tcPr>
            <w:tcW w:w="2977" w:type="dxa"/>
          </w:tcPr>
          <w:p w:rsidR="00F32158" w:rsidRPr="00F32158" w:rsidRDefault="00F32158" w:rsidP="00F32158">
            <w:pPr>
              <w:shd w:val="clear" w:color="auto" w:fill="FFFFFF"/>
              <w:spacing w:line="276" w:lineRule="auto"/>
              <w:jc w:val="center"/>
              <w:rPr>
                <w:color w:val="454545"/>
                <w:sz w:val="28"/>
                <w:szCs w:val="28"/>
              </w:rPr>
            </w:pPr>
            <w:r w:rsidRPr="00F32158">
              <w:rPr>
                <w:color w:val="454545"/>
                <w:sz w:val="28"/>
                <w:szCs w:val="28"/>
              </w:rPr>
              <w:t>27,652.32</w:t>
            </w:r>
          </w:p>
          <w:p w:rsidR="00F32158" w:rsidRPr="00F32158" w:rsidRDefault="00F32158" w:rsidP="00F32158">
            <w:pPr>
              <w:shd w:val="clear" w:color="auto" w:fill="FFFFFF"/>
              <w:spacing w:line="276" w:lineRule="auto"/>
              <w:jc w:val="center"/>
              <w:rPr>
                <w:color w:val="454545"/>
                <w:sz w:val="28"/>
                <w:szCs w:val="28"/>
                <w:lang w:val="uk-UA"/>
              </w:rPr>
            </w:pPr>
            <w:r w:rsidRPr="00F32158">
              <w:rPr>
                <w:color w:val="454545"/>
                <w:sz w:val="28"/>
                <w:szCs w:val="28"/>
                <w:lang w:val="uk-UA"/>
              </w:rPr>
              <w:t>(</w:t>
            </w:r>
            <w:r w:rsidRPr="00F32158">
              <w:rPr>
                <w:color w:val="454545"/>
                <w:sz w:val="28"/>
                <w:szCs w:val="28"/>
              </w:rPr>
              <w:t>32,319.16</w:t>
            </w:r>
            <w:r w:rsidRPr="00F32158">
              <w:rPr>
                <w:color w:val="454545"/>
                <w:sz w:val="28"/>
                <w:szCs w:val="28"/>
                <w:lang w:val="uk-UA"/>
              </w:rPr>
              <w:t>-</w:t>
            </w:r>
            <w:r w:rsidRPr="00F32158">
              <w:rPr>
                <w:color w:val="454545"/>
                <w:sz w:val="28"/>
                <w:szCs w:val="28"/>
              </w:rPr>
              <w:t>23,189.08</w:t>
            </w:r>
            <w:r w:rsidRPr="00F32158">
              <w:rPr>
                <w:color w:val="454545"/>
                <w:sz w:val="28"/>
                <w:szCs w:val="28"/>
                <w:lang w:val="uk-UA"/>
              </w:rPr>
              <w:t>)</w:t>
            </w:r>
          </w:p>
        </w:tc>
        <w:tc>
          <w:tcPr>
            <w:tcW w:w="2942" w:type="dxa"/>
          </w:tcPr>
          <w:p w:rsidR="00F32158" w:rsidRPr="00F32158" w:rsidRDefault="00F32158" w:rsidP="00F32158">
            <w:pPr>
              <w:spacing w:line="276" w:lineRule="auto"/>
              <w:jc w:val="center"/>
              <w:rPr>
                <w:color w:val="454545"/>
                <w:sz w:val="28"/>
                <w:szCs w:val="28"/>
              </w:rPr>
            </w:pPr>
            <w:r w:rsidRPr="00F32158">
              <w:rPr>
                <w:color w:val="454545"/>
                <w:sz w:val="28"/>
                <w:szCs w:val="28"/>
              </w:rPr>
              <w:t>12,675.43</w:t>
            </w:r>
          </w:p>
          <w:p w:rsidR="00F32158" w:rsidRPr="00F32158" w:rsidRDefault="00F32158" w:rsidP="00F32158">
            <w:pPr>
              <w:spacing w:line="276" w:lineRule="auto"/>
              <w:jc w:val="center"/>
              <w:rPr>
                <w:color w:val="454545"/>
                <w:sz w:val="28"/>
                <w:szCs w:val="28"/>
                <w:lang w:val="uk-UA"/>
              </w:rPr>
            </w:pPr>
            <w:r w:rsidRPr="00F32158">
              <w:rPr>
                <w:color w:val="454545"/>
                <w:sz w:val="28"/>
                <w:szCs w:val="28"/>
                <w:lang w:val="uk-UA"/>
              </w:rPr>
              <w:t>(</w:t>
            </w:r>
            <w:r w:rsidRPr="00F32158">
              <w:rPr>
                <w:color w:val="454545"/>
                <w:sz w:val="28"/>
                <w:szCs w:val="28"/>
              </w:rPr>
              <w:t>15,698.14</w:t>
            </w:r>
            <w:r w:rsidRPr="00F32158">
              <w:rPr>
                <w:color w:val="454545"/>
                <w:sz w:val="28"/>
                <w:szCs w:val="28"/>
                <w:lang w:val="uk-UA"/>
              </w:rPr>
              <w:t>-</w:t>
            </w:r>
            <w:r w:rsidRPr="00F32158">
              <w:rPr>
                <w:color w:val="454545"/>
                <w:sz w:val="28"/>
                <w:szCs w:val="28"/>
              </w:rPr>
              <w:t>9,924.90</w:t>
            </w:r>
            <w:r w:rsidRPr="00F32158">
              <w:rPr>
                <w:color w:val="454545"/>
                <w:sz w:val="28"/>
                <w:szCs w:val="28"/>
                <w:lang w:val="uk-UA"/>
              </w:rPr>
              <w:t>)</w:t>
            </w:r>
          </w:p>
        </w:tc>
      </w:tr>
      <w:tr w:rsidR="00F32158" w:rsidRPr="00F32158" w:rsidTr="00BF1F99">
        <w:trPr>
          <w:jc w:val="center"/>
        </w:trPr>
        <w:tc>
          <w:tcPr>
            <w:tcW w:w="959" w:type="dxa"/>
          </w:tcPr>
          <w:p w:rsidR="00F32158" w:rsidRPr="00F32158" w:rsidRDefault="00F32158" w:rsidP="00F32158">
            <w:pPr>
              <w:spacing w:line="276" w:lineRule="auto"/>
              <w:jc w:val="center"/>
              <w:rPr>
                <w:rFonts w:eastAsia="Calibri"/>
                <w:sz w:val="28"/>
                <w:szCs w:val="28"/>
                <w:lang w:val="uk-UA"/>
              </w:rPr>
            </w:pPr>
            <w:r w:rsidRPr="00F32158">
              <w:rPr>
                <w:rFonts w:eastAsia="Calibri"/>
                <w:sz w:val="28"/>
                <w:szCs w:val="28"/>
                <w:lang w:val="uk-UA"/>
              </w:rPr>
              <w:t>2018</w:t>
            </w:r>
          </w:p>
        </w:tc>
        <w:tc>
          <w:tcPr>
            <w:tcW w:w="2693" w:type="dxa"/>
          </w:tcPr>
          <w:p w:rsidR="00F32158" w:rsidRPr="00F32158" w:rsidRDefault="00F32158" w:rsidP="00F32158">
            <w:pPr>
              <w:spacing w:line="276" w:lineRule="auto"/>
              <w:jc w:val="center"/>
              <w:rPr>
                <w:rFonts w:eastAsia="Calibri"/>
                <w:sz w:val="28"/>
                <w:szCs w:val="28"/>
                <w:lang w:val="uk-UA"/>
              </w:rPr>
            </w:pPr>
            <w:r w:rsidRPr="00F32158">
              <w:rPr>
                <w:rFonts w:eastAsia="Calibri"/>
                <w:sz w:val="28"/>
                <w:szCs w:val="28"/>
                <w:lang w:val="uk-UA"/>
              </w:rPr>
              <w:t>19641.30</w:t>
            </w:r>
          </w:p>
          <w:p w:rsidR="00F32158" w:rsidRPr="00F32158" w:rsidRDefault="00F32158" w:rsidP="00F32158">
            <w:pPr>
              <w:spacing w:line="276" w:lineRule="auto"/>
              <w:jc w:val="center"/>
              <w:rPr>
                <w:rFonts w:eastAsia="Calibri"/>
                <w:sz w:val="28"/>
                <w:szCs w:val="28"/>
                <w:lang w:val="uk-UA"/>
              </w:rPr>
            </w:pPr>
            <w:r w:rsidRPr="00F32158">
              <w:rPr>
                <w:rFonts w:eastAsia="Calibri"/>
                <w:sz w:val="28"/>
                <w:szCs w:val="28"/>
                <w:lang w:val="uk-UA"/>
              </w:rPr>
              <w:t>(23553.10-16445.18)</w:t>
            </w:r>
          </w:p>
        </w:tc>
        <w:tc>
          <w:tcPr>
            <w:tcW w:w="2977" w:type="dxa"/>
          </w:tcPr>
          <w:p w:rsidR="00F32158" w:rsidRPr="00F32158" w:rsidRDefault="00F32158" w:rsidP="00F32158">
            <w:pPr>
              <w:spacing w:line="276" w:lineRule="auto"/>
              <w:jc w:val="center"/>
              <w:rPr>
                <w:color w:val="454545"/>
                <w:sz w:val="28"/>
                <w:szCs w:val="28"/>
              </w:rPr>
            </w:pPr>
            <w:r w:rsidRPr="00F32158">
              <w:rPr>
                <w:color w:val="454545"/>
                <w:sz w:val="28"/>
                <w:szCs w:val="28"/>
              </w:rPr>
              <w:t>26,589.59</w:t>
            </w:r>
          </w:p>
          <w:p w:rsidR="00F32158" w:rsidRPr="00F32158" w:rsidRDefault="00F32158" w:rsidP="00F32158">
            <w:pPr>
              <w:spacing w:line="276" w:lineRule="auto"/>
              <w:jc w:val="center"/>
              <w:rPr>
                <w:color w:val="454545"/>
                <w:sz w:val="28"/>
                <w:szCs w:val="28"/>
                <w:lang w:val="uk-UA"/>
              </w:rPr>
            </w:pPr>
            <w:r w:rsidRPr="00F32158">
              <w:rPr>
                <w:color w:val="454545"/>
                <w:sz w:val="28"/>
                <w:szCs w:val="28"/>
                <w:lang w:val="uk-UA"/>
              </w:rPr>
              <w:t>(</w:t>
            </w:r>
            <w:r w:rsidRPr="00F32158">
              <w:rPr>
                <w:color w:val="454545"/>
                <w:sz w:val="28"/>
                <w:szCs w:val="28"/>
              </w:rPr>
              <w:t>32,056.62</w:t>
            </w:r>
            <w:r w:rsidRPr="00F32158">
              <w:rPr>
                <w:color w:val="454545"/>
                <w:sz w:val="28"/>
                <w:szCs w:val="28"/>
                <w:lang w:val="uk-UA"/>
              </w:rPr>
              <w:t>-</w:t>
            </w:r>
            <w:r w:rsidRPr="00F32158">
              <w:rPr>
                <w:color w:val="454545"/>
                <w:sz w:val="28"/>
                <w:szCs w:val="28"/>
              </w:rPr>
              <w:t>21,931.14</w:t>
            </w:r>
            <w:r w:rsidRPr="00F32158">
              <w:rPr>
                <w:color w:val="454545"/>
                <w:sz w:val="28"/>
                <w:szCs w:val="28"/>
                <w:lang w:val="uk-UA"/>
              </w:rPr>
              <w:t>)</w:t>
            </w:r>
          </w:p>
        </w:tc>
        <w:tc>
          <w:tcPr>
            <w:tcW w:w="2942" w:type="dxa"/>
          </w:tcPr>
          <w:p w:rsidR="00F32158" w:rsidRPr="00F32158" w:rsidRDefault="00F32158" w:rsidP="00F32158">
            <w:pPr>
              <w:shd w:val="clear" w:color="auto" w:fill="FFFFFF"/>
              <w:spacing w:line="276" w:lineRule="auto"/>
              <w:jc w:val="center"/>
              <w:rPr>
                <w:color w:val="454545"/>
                <w:sz w:val="28"/>
                <w:szCs w:val="28"/>
              </w:rPr>
            </w:pPr>
            <w:r w:rsidRPr="00F32158">
              <w:rPr>
                <w:color w:val="454545"/>
                <w:sz w:val="28"/>
                <w:szCs w:val="28"/>
              </w:rPr>
              <w:t>12,226.88</w:t>
            </w:r>
          </w:p>
          <w:p w:rsidR="00F32158" w:rsidRPr="00F32158" w:rsidRDefault="00F32158" w:rsidP="00F32158">
            <w:pPr>
              <w:shd w:val="clear" w:color="auto" w:fill="FFFFFF"/>
              <w:spacing w:line="276" w:lineRule="auto"/>
              <w:jc w:val="center"/>
              <w:rPr>
                <w:color w:val="454545"/>
                <w:sz w:val="28"/>
                <w:szCs w:val="28"/>
                <w:lang w:val="uk-UA"/>
              </w:rPr>
            </w:pPr>
            <w:r w:rsidRPr="00F32158">
              <w:rPr>
                <w:color w:val="454545"/>
                <w:sz w:val="28"/>
                <w:szCs w:val="28"/>
                <w:lang w:val="uk-UA"/>
              </w:rPr>
              <w:t>(</w:t>
            </w:r>
            <w:r w:rsidRPr="00F32158">
              <w:rPr>
                <w:color w:val="454545"/>
                <w:sz w:val="28"/>
                <w:szCs w:val="28"/>
              </w:rPr>
              <w:t>15,380.04</w:t>
            </w:r>
            <w:r w:rsidRPr="00F32158">
              <w:rPr>
                <w:color w:val="454545"/>
                <w:sz w:val="28"/>
                <w:szCs w:val="28"/>
                <w:lang w:val="uk-UA"/>
              </w:rPr>
              <w:t>-</w:t>
            </w:r>
            <w:r w:rsidRPr="00F32158">
              <w:rPr>
                <w:color w:val="454545"/>
                <w:sz w:val="28"/>
                <w:szCs w:val="28"/>
              </w:rPr>
              <w:t>9,589.09</w:t>
            </w:r>
            <w:r w:rsidRPr="00F32158">
              <w:rPr>
                <w:color w:val="454545"/>
                <w:sz w:val="28"/>
                <w:szCs w:val="28"/>
                <w:lang w:val="uk-UA"/>
              </w:rPr>
              <w:t>)</w:t>
            </w:r>
          </w:p>
        </w:tc>
      </w:tr>
      <w:tr w:rsidR="00F32158" w:rsidRPr="00F32158" w:rsidTr="00BF1F99">
        <w:trPr>
          <w:jc w:val="center"/>
        </w:trPr>
        <w:tc>
          <w:tcPr>
            <w:tcW w:w="959" w:type="dxa"/>
          </w:tcPr>
          <w:p w:rsidR="00F32158" w:rsidRPr="00F32158" w:rsidRDefault="00F32158" w:rsidP="00F32158">
            <w:pPr>
              <w:spacing w:line="276" w:lineRule="auto"/>
              <w:jc w:val="center"/>
              <w:rPr>
                <w:rFonts w:eastAsia="Calibri"/>
                <w:sz w:val="28"/>
                <w:szCs w:val="28"/>
                <w:lang w:val="uk-UA"/>
              </w:rPr>
            </w:pPr>
            <w:r w:rsidRPr="00F32158">
              <w:rPr>
                <w:rFonts w:eastAsia="Calibri"/>
                <w:sz w:val="28"/>
                <w:szCs w:val="28"/>
                <w:lang w:val="uk-UA"/>
              </w:rPr>
              <w:t>2019</w:t>
            </w:r>
          </w:p>
        </w:tc>
        <w:tc>
          <w:tcPr>
            <w:tcW w:w="2693" w:type="dxa"/>
          </w:tcPr>
          <w:p w:rsidR="00F32158" w:rsidRPr="00F32158" w:rsidRDefault="00F32158" w:rsidP="00F32158">
            <w:pPr>
              <w:spacing w:line="276" w:lineRule="auto"/>
              <w:jc w:val="center"/>
              <w:rPr>
                <w:rFonts w:eastAsia="Calibri"/>
                <w:sz w:val="28"/>
                <w:szCs w:val="28"/>
                <w:lang w:val="uk-UA"/>
              </w:rPr>
            </w:pPr>
            <w:r w:rsidRPr="00F32158">
              <w:rPr>
                <w:rFonts w:eastAsia="Calibri"/>
                <w:sz w:val="28"/>
                <w:szCs w:val="28"/>
                <w:lang w:val="uk-UA"/>
              </w:rPr>
              <w:t>18966.82</w:t>
            </w:r>
          </w:p>
          <w:p w:rsidR="00F32158" w:rsidRPr="00F32158" w:rsidRDefault="00F32158" w:rsidP="00F32158">
            <w:pPr>
              <w:spacing w:line="276" w:lineRule="auto"/>
              <w:jc w:val="center"/>
              <w:rPr>
                <w:rFonts w:eastAsia="Calibri"/>
                <w:sz w:val="28"/>
                <w:szCs w:val="28"/>
                <w:lang w:val="uk-UA"/>
              </w:rPr>
            </w:pPr>
            <w:r w:rsidRPr="00F32158">
              <w:rPr>
                <w:rFonts w:eastAsia="Calibri"/>
                <w:sz w:val="28"/>
                <w:szCs w:val="28"/>
                <w:lang w:val="uk-UA"/>
              </w:rPr>
              <w:t>(23235.76-15566.07)</w:t>
            </w:r>
          </w:p>
        </w:tc>
        <w:tc>
          <w:tcPr>
            <w:tcW w:w="2977" w:type="dxa"/>
          </w:tcPr>
          <w:p w:rsidR="00F32158" w:rsidRPr="00F32158" w:rsidRDefault="00F32158" w:rsidP="00F32158">
            <w:pPr>
              <w:spacing w:line="276" w:lineRule="auto"/>
              <w:jc w:val="center"/>
              <w:rPr>
                <w:color w:val="454545"/>
                <w:sz w:val="28"/>
                <w:szCs w:val="28"/>
              </w:rPr>
            </w:pPr>
            <w:r w:rsidRPr="00F32158">
              <w:rPr>
                <w:color w:val="454545"/>
                <w:sz w:val="28"/>
                <w:szCs w:val="28"/>
              </w:rPr>
              <w:t>25,664.96</w:t>
            </w:r>
          </w:p>
          <w:p w:rsidR="00F32158" w:rsidRPr="00F32158" w:rsidRDefault="00F32158" w:rsidP="00F32158">
            <w:pPr>
              <w:spacing w:line="276" w:lineRule="auto"/>
              <w:jc w:val="center"/>
              <w:rPr>
                <w:color w:val="454545"/>
                <w:sz w:val="28"/>
                <w:szCs w:val="28"/>
                <w:lang w:val="uk-UA"/>
              </w:rPr>
            </w:pPr>
            <w:r w:rsidRPr="00F32158">
              <w:rPr>
                <w:color w:val="454545"/>
                <w:sz w:val="28"/>
                <w:szCs w:val="28"/>
                <w:lang w:val="uk-UA"/>
              </w:rPr>
              <w:t>(</w:t>
            </w:r>
            <w:r w:rsidRPr="00F32158">
              <w:rPr>
                <w:color w:val="454545"/>
                <w:sz w:val="28"/>
                <w:szCs w:val="28"/>
              </w:rPr>
              <w:t>31,811.67</w:t>
            </w:r>
            <w:r w:rsidRPr="00F32158">
              <w:rPr>
                <w:color w:val="454545"/>
                <w:sz w:val="28"/>
                <w:szCs w:val="28"/>
                <w:lang w:val="uk-UA"/>
              </w:rPr>
              <w:t>-</w:t>
            </w:r>
            <w:r w:rsidRPr="00F32158">
              <w:rPr>
                <w:color w:val="454545"/>
                <w:sz w:val="28"/>
                <w:szCs w:val="28"/>
              </w:rPr>
              <w:t>20,997.90</w:t>
            </w:r>
            <w:r w:rsidRPr="00F32158">
              <w:rPr>
                <w:color w:val="454545"/>
                <w:sz w:val="28"/>
                <w:szCs w:val="28"/>
                <w:lang w:val="uk-UA"/>
              </w:rPr>
              <w:t>)</w:t>
            </w:r>
          </w:p>
        </w:tc>
        <w:tc>
          <w:tcPr>
            <w:tcW w:w="2942" w:type="dxa"/>
          </w:tcPr>
          <w:p w:rsidR="00F32158" w:rsidRPr="00F32158" w:rsidRDefault="00F32158" w:rsidP="00F32158">
            <w:pPr>
              <w:shd w:val="clear" w:color="auto" w:fill="FFFFFF"/>
              <w:spacing w:line="276" w:lineRule="auto"/>
              <w:jc w:val="center"/>
              <w:rPr>
                <w:color w:val="454545"/>
                <w:sz w:val="28"/>
                <w:szCs w:val="28"/>
              </w:rPr>
            </w:pPr>
            <w:r w:rsidRPr="00F32158">
              <w:rPr>
                <w:color w:val="454545"/>
                <w:sz w:val="28"/>
                <w:szCs w:val="28"/>
              </w:rPr>
              <w:t>11,818.65</w:t>
            </w:r>
          </w:p>
          <w:p w:rsidR="00F32158" w:rsidRPr="00F32158" w:rsidRDefault="00F32158" w:rsidP="00F32158">
            <w:pPr>
              <w:shd w:val="clear" w:color="auto" w:fill="FFFFFF"/>
              <w:spacing w:line="276" w:lineRule="auto"/>
              <w:jc w:val="center"/>
              <w:rPr>
                <w:color w:val="454545"/>
                <w:sz w:val="28"/>
                <w:szCs w:val="28"/>
                <w:lang w:val="uk-UA"/>
              </w:rPr>
            </w:pPr>
            <w:r w:rsidRPr="00F32158">
              <w:rPr>
                <w:color w:val="454545"/>
                <w:sz w:val="28"/>
                <w:szCs w:val="28"/>
                <w:lang w:val="uk-UA"/>
              </w:rPr>
              <w:t>(</w:t>
            </w:r>
            <w:r w:rsidRPr="00F32158">
              <w:rPr>
                <w:color w:val="454545"/>
                <w:sz w:val="28"/>
                <w:szCs w:val="28"/>
              </w:rPr>
              <w:t>15,186.98</w:t>
            </w:r>
            <w:r w:rsidRPr="00F32158">
              <w:rPr>
                <w:color w:val="454545"/>
                <w:sz w:val="28"/>
                <w:szCs w:val="28"/>
                <w:lang w:val="uk-UA"/>
              </w:rPr>
              <w:t>-</w:t>
            </w:r>
            <w:r w:rsidRPr="00F32158">
              <w:rPr>
                <w:color w:val="454545"/>
                <w:sz w:val="28"/>
                <w:szCs w:val="28"/>
              </w:rPr>
              <w:t>9,062.01</w:t>
            </w:r>
            <w:r w:rsidRPr="00F32158">
              <w:rPr>
                <w:color w:val="454545"/>
                <w:sz w:val="28"/>
                <w:szCs w:val="28"/>
                <w:lang w:val="uk-UA"/>
              </w:rPr>
              <w:t>)</w:t>
            </w:r>
          </w:p>
        </w:tc>
      </w:tr>
    </w:tbl>
    <w:p w:rsidR="00F32158" w:rsidRPr="00F32158" w:rsidRDefault="00F32158" w:rsidP="00F32158">
      <w:pPr>
        <w:spacing w:after="200" w:line="276" w:lineRule="auto"/>
        <w:jc w:val="left"/>
        <w:rPr>
          <w:rFonts w:eastAsia="Calibri"/>
          <w:szCs w:val="28"/>
        </w:rPr>
      </w:pPr>
    </w:p>
    <w:p w:rsidR="00F32158" w:rsidRPr="00F32158" w:rsidRDefault="00F32158" w:rsidP="00F32158">
      <w:pPr>
        <w:spacing w:after="200" w:line="276" w:lineRule="auto"/>
        <w:jc w:val="left"/>
        <w:rPr>
          <w:rFonts w:eastAsia="Calibri"/>
          <w:szCs w:val="28"/>
        </w:rPr>
      </w:pPr>
    </w:p>
    <w:p w:rsidR="00F32158" w:rsidRPr="00F32158" w:rsidRDefault="00F32158" w:rsidP="00F32158">
      <w:pPr>
        <w:spacing w:after="200" w:line="276" w:lineRule="auto"/>
        <w:jc w:val="left"/>
        <w:rPr>
          <w:rFonts w:eastAsia="Calibri"/>
          <w:szCs w:val="28"/>
        </w:rPr>
      </w:pPr>
    </w:p>
    <w:p w:rsidR="00F32158" w:rsidRPr="00F32158" w:rsidRDefault="00F32158" w:rsidP="00F32158">
      <w:pPr>
        <w:spacing w:after="200" w:line="276" w:lineRule="auto"/>
        <w:jc w:val="left"/>
        <w:rPr>
          <w:rFonts w:eastAsia="Calibri"/>
          <w:szCs w:val="28"/>
        </w:rPr>
      </w:pPr>
    </w:p>
    <w:p w:rsidR="00F32158" w:rsidRPr="00F32158" w:rsidRDefault="00F32158" w:rsidP="00F32158">
      <w:pPr>
        <w:spacing w:after="200" w:line="276" w:lineRule="auto"/>
        <w:jc w:val="left"/>
        <w:rPr>
          <w:rFonts w:eastAsia="Calibri"/>
          <w:szCs w:val="28"/>
        </w:rPr>
      </w:pPr>
    </w:p>
    <w:p w:rsidR="00F32158" w:rsidRPr="00F32158" w:rsidRDefault="00F32158" w:rsidP="00F32158">
      <w:pPr>
        <w:tabs>
          <w:tab w:val="left" w:pos="8293"/>
        </w:tabs>
        <w:spacing w:after="200" w:line="276" w:lineRule="auto"/>
        <w:jc w:val="left"/>
        <w:rPr>
          <w:rFonts w:eastAsia="Calibri"/>
          <w:szCs w:val="28"/>
        </w:rPr>
      </w:pPr>
    </w:p>
    <w:p w:rsidR="00F32158" w:rsidRPr="00F32158" w:rsidRDefault="00D32C4B" w:rsidP="005D3D66">
      <w:pPr>
        <w:pageBreakBefore/>
        <w:widowControl w:val="0"/>
        <w:tabs>
          <w:tab w:val="left" w:pos="8293"/>
        </w:tabs>
        <w:spacing w:after="200" w:line="276" w:lineRule="auto"/>
        <w:jc w:val="right"/>
        <w:rPr>
          <w:rFonts w:eastAsia="Calibri"/>
          <w:szCs w:val="28"/>
        </w:rPr>
      </w:pPr>
      <w:r>
        <w:rPr>
          <w:rFonts w:eastAsia="Calibri"/>
          <w:szCs w:val="28"/>
        </w:rPr>
        <w:lastRenderedPageBreak/>
        <w:t xml:space="preserve">  Додаток Б</w:t>
      </w:r>
      <w:r w:rsidR="00F32158" w:rsidRPr="00F32158">
        <w:rPr>
          <w:rFonts w:eastAsia="Calibri"/>
          <w:szCs w:val="28"/>
        </w:rPr>
        <w:t>-10</w:t>
      </w:r>
    </w:p>
    <w:p w:rsidR="00F32158" w:rsidRPr="00F32158" w:rsidRDefault="00F32158" w:rsidP="00F32158">
      <w:pPr>
        <w:spacing w:after="200" w:line="276" w:lineRule="auto"/>
        <w:jc w:val="center"/>
        <w:rPr>
          <w:rFonts w:eastAsia="Calibri"/>
          <w:b/>
          <w:szCs w:val="28"/>
        </w:rPr>
      </w:pPr>
      <w:r w:rsidRPr="00F32158">
        <w:rPr>
          <w:rFonts w:eastAsia="Calibri"/>
          <w:b/>
          <w:szCs w:val="28"/>
        </w:rPr>
        <w:t>Рівень пізньої неонатальної та постнеонатальної смертності в Україні (всі причини) за період 2009-2019 рр. (на 100 тис.осіб)</w:t>
      </w:r>
    </w:p>
    <w:tbl>
      <w:tblPr>
        <w:tblStyle w:val="3010"/>
        <w:tblW w:w="0" w:type="auto"/>
        <w:jc w:val="center"/>
        <w:tblLook w:val="04A0" w:firstRow="1" w:lastRow="0" w:firstColumn="1" w:lastColumn="0" w:noHBand="0" w:noVBand="1"/>
      </w:tblPr>
      <w:tblGrid>
        <w:gridCol w:w="959"/>
        <w:gridCol w:w="2693"/>
        <w:gridCol w:w="2977"/>
      </w:tblGrid>
      <w:tr w:rsidR="00F32158" w:rsidRPr="00F32158" w:rsidTr="00BF1F99">
        <w:trPr>
          <w:jc w:val="center"/>
        </w:trPr>
        <w:tc>
          <w:tcPr>
            <w:tcW w:w="959" w:type="dxa"/>
          </w:tcPr>
          <w:p w:rsidR="00F32158" w:rsidRPr="00F32158" w:rsidRDefault="00F32158" w:rsidP="00F32158">
            <w:pPr>
              <w:spacing w:line="360" w:lineRule="auto"/>
              <w:jc w:val="center"/>
              <w:rPr>
                <w:rFonts w:eastAsia="Calibri"/>
                <w:sz w:val="24"/>
                <w:szCs w:val="24"/>
                <w:lang w:val="uk-UA"/>
              </w:rPr>
            </w:pPr>
            <w:r w:rsidRPr="00F32158">
              <w:rPr>
                <w:rFonts w:eastAsia="Calibri"/>
                <w:sz w:val="24"/>
                <w:szCs w:val="24"/>
                <w:lang w:val="uk-UA"/>
              </w:rPr>
              <w:t>Рік</w:t>
            </w:r>
          </w:p>
        </w:tc>
        <w:tc>
          <w:tcPr>
            <w:tcW w:w="2693" w:type="dxa"/>
          </w:tcPr>
          <w:p w:rsidR="00F32158" w:rsidRPr="00F32158" w:rsidRDefault="00F32158" w:rsidP="00F32158">
            <w:pPr>
              <w:spacing w:line="360" w:lineRule="auto"/>
              <w:jc w:val="center"/>
              <w:rPr>
                <w:rFonts w:eastAsia="Calibri"/>
                <w:sz w:val="24"/>
                <w:szCs w:val="24"/>
                <w:lang w:val="uk-UA"/>
              </w:rPr>
            </w:pPr>
            <w:r w:rsidRPr="00F32158">
              <w:rPr>
                <w:rFonts w:eastAsia="Calibri"/>
                <w:sz w:val="24"/>
                <w:szCs w:val="24"/>
                <w:lang w:val="uk-UA"/>
              </w:rPr>
              <w:t>Обидві статі</w:t>
            </w:r>
          </w:p>
          <w:p w:rsidR="00F32158" w:rsidRPr="00F32158" w:rsidRDefault="00F32158" w:rsidP="00F32158">
            <w:pPr>
              <w:spacing w:line="360" w:lineRule="auto"/>
              <w:jc w:val="center"/>
              <w:rPr>
                <w:rFonts w:eastAsia="Calibri"/>
                <w:sz w:val="24"/>
                <w:szCs w:val="24"/>
                <w:lang w:val="uk-UA"/>
              </w:rPr>
            </w:pPr>
            <w:r w:rsidRPr="00F32158">
              <w:rPr>
                <w:rFonts w:eastAsia="Calibri"/>
                <w:sz w:val="24"/>
                <w:szCs w:val="24"/>
                <w:lang w:val="uk-UA"/>
              </w:rPr>
              <w:t>Пізня неонатальна смертність</w:t>
            </w:r>
          </w:p>
        </w:tc>
        <w:tc>
          <w:tcPr>
            <w:tcW w:w="2977" w:type="dxa"/>
          </w:tcPr>
          <w:p w:rsidR="00F32158" w:rsidRPr="00F32158" w:rsidRDefault="00F32158" w:rsidP="00F32158">
            <w:pPr>
              <w:spacing w:line="360" w:lineRule="auto"/>
              <w:jc w:val="center"/>
              <w:rPr>
                <w:rFonts w:eastAsia="Calibri"/>
                <w:sz w:val="24"/>
                <w:szCs w:val="24"/>
                <w:lang w:val="uk-UA"/>
              </w:rPr>
            </w:pPr>
            <w:r w:rsidRPr="00F32158">
              <w:rPr>
                <w:rFonts w:eastAsia="Calibri"/>
                <w:sz w:val="24"/>
                <w:szCs w:val="24"/>
                <w:lang w:val="uk-UA"/>
              </w:rPr>
              <w:t>Обидві статі</w:t>
            </w:r>
          </w:p>
          <w:p w:rsidR="00F32158" w:rsidRPr="00F32158" w:rsidRDefault="00F32158" w:rsidP="00F32158">
            <w:pPr>
              <w:spacing w:line="360" w:lineRule="auto"/>
              <w:jc w:val="center"/>
              <w:rPr>
                <w:rFonts w:eastAsia="Calibri"/>
                <w:sz w:val="24"/>
                <w:szCs w:val="24"/>
                <w:lang w:val="uk-UA"/>
              </w:rPr>
            </w:pPr>
            <w:r w:rsidRPr="00F32158">
              <w:rPr>
                <w:rFonts w:eastAsia="Calibri"/>
                <w:sz w:val="24"/>
                <w:szCs w:val="24"/>
                <w:lang w:val="uk-UA"/>
              </w:rPr>
              <w:t>Постнеонатальна смертність</w:t>
            </w:r>
          </w:p>
        </w:tc>
      </w:tr>
      <w:tr w:rsidR="00F32158" w:rsidRPr="00F32158" w:rsidTr="00BF1F99">
        <w:trPr>
          <w:jc w:val="center"/>
        </w:trPr>
        <w:tc>
          <w:tcPr>
            <w:tcW w:w="959" w:type="dxa"/>
          </w:tcPr>
          <w:p w:rsidR="00F32158" w:rsidRPr="00F32158" w:rsidRDefault="00F32158" w:rsidP="00F32158">
            <w:pPr>
              <w:spacing w:line="360" w:lineRule="auto"/>
              <w:jc w:val="center"/>
              <w:rPr>
                <w:rFonts w:eastAsia="Calibri"/>
                <w:sz w:val="24"/>
                <w:szCs w:val="24"/>
                <w:lang w:val="uk-UA"/>
              </w:rPr>
            </w:pPr>
            <w:r w:rsidRPr="00F32158">
              <w:rPr>
                <w:rFonts w:eastAsia="Calibri"/>
                <w:sz w:val="24"/>
                <w:szCs w:val="24"/>
                <w:lang w:val="uk-UA"/>
              </w:rPr>
              <w:t>2009</w:t>
            </w:r>
          </w:p>
          <w:p w:rsidR="00F32158" w:rsidRPr="00F32158" w:rsidRDefault="00F32158" w:rsidP="00F32158">
            <w:pPr>
              <w:spacing w:line="360" w:lineRule="auto"/>
              <w:jc w:val="center"/>
              <w:rPr>
                <w:rFonts w:eastAsia="Calibri"/>
                <w:sz w:val="24"/>
                <w:szCs w:val="24"/>
                <w:lang w:val="uk-UA"/>
              </w:rPr>
            </w:pPr>
            <w:r w:rsidRPr="00F32158">
              <w:rPr>
                <w:rFonts w:eastAsia="Calibri"/>
                <w:sz w:val="24"/>
                <w:szCs w:val="24"/>
                <w:lang w:val="uk-UA"/>
              </w:rPr>
              <w:t>ДІ</w:t>
            </w:r>
          </w:p>
        </w:tc>
        <w:tc>
          <w:tcPr>
            <w:tcW w:w="2693" w:type="dxa"/>
          </w:tcPr>
          <w:p w:rsidR="00F32158" w:rsidRPr="00F32158" w:rsidRDefault="00F32158" w:rsidP="00F32158">
            <w:pPr>
              <w:spacing w:line="360" w:lineRule="auto"/>
              <w:jc w:val="center"/>
              <w:rPr>
                <w:rFonts w:eastAsia="Calibri"/>
                <w:sz w:val="24"/>
                <w:szCs w:val="24"/>
                <w:lang w:val="uk-UA"/>
              </w:rPr>
            </w:pPr>
            <w:r w:rsidRPr="00F32158">
              <w:rPr>
                <w:rFonts w:eastAsia="Calibri"/>
                <w:sz w:val="24"/>
                <w:szCs w:val="24"/>
                <w:lang w:val="uk-UA"/>
              </w:rPr>
              <w:t>1858.89</w:t>
            </w:r>
          </w:p>
          <w:p w:rsidR="00F32158" w:rsidRPr="00F32158" w:rsidRDefault="00F32158" w:rsidP="00F32158">
            <w:pPr>
              <w:spacing w:line="360" w:lineRule="auto"/>
              <w:jc w:val="center"/>
              <w:rPr>
                <w:rFonts w:eastAsia="Calibri"/>
                <w:sz w:val="24"/>
                <w:szCs w:val="24"/>
                <w:lang w:val="uk-UA"/>
              </w:rPr>
            </w:pPr>
            <w:r w:rsidRPr="00F32158">
              <w:rPr>
                <w:rFonts w:eastAsia="Calibri"/>
                <w:sz w:val="24"/>
                <w:szCs w:val="24"/>
                <w:lang w:val="uk-UA"/>
              </w:rPr>
              <w:t>(2618.45-1272.90)</w:t>
            </w:r>
          </w:p>
        </w:tc>
        <w:tc>
          <w:tcPr>
            <w:tcW w:w="2977" w:type="dxa"/>
          </w:tcPr>
          <w:p w:rsidR="00F32158" w:rsidRPr="00F32158" w:rsidRDefault="00F32158" w:rsidP="00F32158">
            <w:pPr>
              <w:spacing w:line="360" w:lineRule="auto"/>
              <w:jc w:val="center"/>
              <w:rPr>
                <w:rFonts w:eastAsia="Calibri"/>
                <w:sz w:val="24"/>
                <w:szCs w:val="24"/>
                <w:lang w:val="uk-UA"/>
              </w:rPr>
            </w:pPr>
            <w:r w:rsidRPr="00F32158">
              <w:rPr>
                <w:rFonts w:eastAsia="Calibri"/>
                <w:sz w:val="24"/>
                <w:szCs w:val="24"/>
                <w:lang w:val="uk-UA"/>
              </w:rPr>
              <w:t>343.31</w:t>
            </w:r>
          </w:p>
          <w:p w:rsidR="00F32158" w:rsidRPr="00F32158" w:rsidRDefault="00F32158" w:rsidP="00F32158">
            <w:pPr>
              <w:spacing w:line="360" w:lineRule="auto"/>
              <w:jc w:val="center"/>
              <w:rPr>
                <w:rFonts w:eastAsia="Calibri"/>
                <w:sz w:val="24"/>
                <w:szCs w:val="24"/>
                <w:lang w:val="uk-UA"/>
              </w:rPr>
            </w:pPr>
            <w:r w:rsidRPr="00F32158">
              <w:rPr>
                <w:rFonts w:eastAsia="Calibri"/>
                <w:sz w:val="24"/>
                <w:szCs w:val="24"/>
                <w:lang w:val="uk-UA"/>
              </w:rPr>
              <w:t>(378.75-308.97)</w:t>
            </w:r>
          </w:p>
        </w:tc>
      </w:tr>
      <w:tr w:rsidR="00F32158" w:rsidRPr="00F32158" w:rsidTr="00BF1F99">
        <w:trPr>
          <w:jc w:val="center"/>
        </w:trPr>
        <w:tc>
          <w:tcPr>
            <w:tcW w:w="959" w:type="dxa"/>
          </w:tcPr>
          <w:p w:rsidR="00F32158" w:rsidRPr="00F32158" w:rsidRDefault="00F32158" w:rsidP="00F32158">
            <w:pPr>
              <w:spacing w:line="360" w:lineRule="auto"/>
              <w:jc w:val="center"/>
              <w:rPr>
                <w:rFonts w:eastAsia="Calibri"/>
                <w:sz w:val="24"/>
                <w:szCs w:val="24"/>
                <w:lang w:val="uk-UA"/>
              </w:rPr>
            </w:pPr>
            <w:r w:rsidRPr="00F32158">
              <w:rPr>
                <w:rFonts w:eastAsia="Calibri"/>
                <w:sz w:val="24"/>
                <w:szCs w:val="24"/>
                <w:lang w:val="uk-UA"/>
              </w:rPr>
              <w:t>2010</w:t>
            </w:r>
          </w:p>
          <w:p w:rsidR="00F32158" w:rsidRPr="00F32158" w:rsidRDefault="00F32158" w:rsidP="00F32158">
            <w:pPr>
              <w:spacing w:line="360" w:lineRule="auto"/>
              <w:jc w:val="center"/>
              <w:rPr>
                <w:rFonts w:eastAsia="Calibri"/>
                <w:sz w:val="24"/>
                <w:szCs w:val="24"/>
                <w:lang w:val="uk-UA"/>
              </w:rPr>
            </w:pPr>
            <w:r w:rsidRPr="00F32158">
              <w:rPr>
                <w:rFonts w:eastAsia="Calibri"/>
                <w:sz w:val="24"/>
                <w:szCs w:val="24"/>
                <w:lang w:val="uk-UA"/>
              </w:rPr>
              <w:t>ДІ</w:t>
            </w:r>
          </w:p>
        </w:tc>
        <w:tc>
          <w:tcPr>
            <w:tcW w:w="2693" w:type="dxa"/>
          </w:tcPr>
          <w:p w:rsidR="00F32158" w:rsidRPr="00F32158" w:rsidRDefault="00F32158" w:rsidP="00F32158">
            <w:pPr>
              <w:spacing w:line="360" w:lineRule="auto"/>
              <w:jc w:val="center"/>
              <w:rPr>
                <w:rFonts w:eastAsia="Calibri"/>
                <w:sz w:val="24"/>
                <w:szCs w:val="24"/>
                <w:lang w:val="uk-UA"/>
              </w:rPr>
            </w:pPr>
            <w:r w:rsidRPr="00F32158">
              <w:rPr>
                <w:rFonts w:eastAsia="Calibri"/>
                <w:sz w:val="24"/>
                <w:szCs w:val="24"/>
                <w:lang w:val="uk-UA"/>
              </w:rPr>
              <w:t>1783.97</w:t>
            </w:r>
          </w:p>
          <w:p w:rsidR="00F32158" w:rsidRPr="00F32158" w:rsidRDefault="00F32158" w:rsidP="00F32158">
            <w:pPr>
              <w:spacing w:line="360" w:lineRule="auto"/>
              <w:jc w:val="center"/>
              <w:rPr>
                <w:rFonts w:eastAsia="Calibri"/>
                <w:sz w:val="24"/>
                <w:szCs w:val="24"/>
                <w:lang w:val="uk-UA"/>
              </w:rPr>
            </w:pPr>
            <w:r w:rsidRPr="00F32158">
              <w:rPr>
                <w:rFonts w:eastAsia="Calibri"/>
                <w:sz w:val="24"/>
                <w:szCs w:val="24"/>
                <w:lang w:val="uk-UA"/>
              </w:rPr>
              <w:t>(2523.98-1221.54)</w:t>
            </w:r>
          </w:p>
        </w:tc>
        <w:tc>
          <w:tcPr>
            <w:tcW w:w="2977" w:type="dxa"/>
          </w:tcPr>
          <w:p w:rsidR="00F32158" w:rsidRPr="00F32158" w:rsidRDefault="00F32158" w:rsidP="00F32158">
            <w:pPr>
              <w:spacing w:line="360" w:lineRule="auto"/>
              <w:jc w:val="center"/>
              <w:rPr>
                <w:rFonts w:eastAsia="Calibri"/>
                <w:sz w:val="24"/>
                <w:szCs w:val="24"/>
                <w:lang w:val="uk-UA"/>
              </w:rPr>
            </w:pPr>
            <w:r w:rsidRPr="00F32158">
              <w:rPr>
                <w:rFonts w:eastAsia="Calibri"/>
                <w:sz w:val="24"/>
                <w:szCs w:val="24"/>
                <w:lang w:val="uk-UA"/>
              </w:rPr>
              <w:t>326.63</w:t>
            </w:r>
          </w:p>
          <w:p w:rsidR="00F32158" w:rsidRPr="00F32158" w:rsidRDefault="00F32158" w:rsidP="00F32158">
            <w:pPr>
              <w:spacing w:line="360" w:lineRule="auto"/>
              <w:jc w:val="center"/>
              <w:rPr>
                <w:rFonts w:eastAsia="Calibri"/>
                <w:sz w:val="24"/>
                <w:szCs w:val="24"/>
                <w:lang w:val="uk-UA"/>
              </w:rPr>
            </w:pPr>
            <w:r w:rsidRPr="00F32158">
              <w:rPr>
                <w:rFonts w:eastAsia="Calibri"/>
                <w:sz w:val="24"/>
                <w:szCs w:val="24"/>
                <w:lang w:val="uk-UA"/>
              </w:rPr>
              <w:t>(361.06-293.39)</w:t>
            </w:r>
          </w:p>
        </w:tc>
      </w:tr>
      <w:tr w:rsidR="00F32158" w:rsidRPr="00F32158" w:rsidTr="00BF1F99">
        <w:trPr>
          <w:jc w:val="center"/>
        </w:trPr>
        <w:tc>
          <w:tcPr>
            <w:tcW w:w="959" w:type="dxa"/>
          </w:tcPr>
          <w:p w:rsidR="00F32158" w:rsidRPr="00F32158" w:rsidRDefault="00F32158" w:rsidP="00F32158">
            <w:pPr>
              <w:spacing w:line="360" w:lineRule="auto"/>
              <w:jc w:val="center"/>
              <w:rPr>
                <w:rFonts w:eastAsia="Calibri"/>
                <w:sz w:val="24"/>
                <w:szCs w:val="24"/>
                <w:lang w:val="uk-UA"/>
              </w:rPr>
            </w:pPr>
            <w:r w:rsidRPr="00F32158">
              <w:rPr>
                <w:rFonts w:eastAsia="Calibri"/>
                <w:sz w:val="24"/>
                <w:szCs w:val="24"/>
                <w:lang w:val="uk-UA"/>
              </w:rPr>
              <w:t>2011</w:t>
            </w:r>
          </w:p>
          <w:p w:rsidR="00F32158" w:rsidRPr="00F32158" w:rsidRDefault="00F32158" w:rsidP="00F32158">
            <w:pPr>
              <w:spacing w:line="360" w:lineRule="auto"/>
              <w:jc w:val="center"/>
              <w:rPr>
                <w:rFonts w:eastAsia="Calibri"/>
                <w:sz w:val="24"/>
                <w:szCs w:val="24"/>
                <w:lang w:val="uk-UA"/>
              </w:rPr>
            </w:pPr>
            <w:r w:rsidRPr="00F32158">
              <w:rPr>
                <w:rFonts w:eastAsia="Calibri"/>
                <w:sz w:val="24"/>
                <w:szCs w:val="24"/>
                <w:lang w:val="uk-UA"/>
              </w:rPr>
              <w:t>ДІ</w:t>
            </w:r>
          </w:p>
        </w:tc>
        <w:tc>
          <w:tcPr>
            <w:tcW w:w="2693" w:type="dxa"/>
          </w:tcPr>
          <w:p w:rsidR="00F32158" w:rsidRPr="00F32158" w:rsidRDefault="00F32158" w:rsidP="00F32158">
            <w:pPr>
              <w:spacing w:line="360" w:lineRule="auto"/>
              <w:jc w:val="center"/>
              <w:rPr>
                <w:rFonts w:eastAsia="Calibri"/>
                <w:sz w:val="24"/>
                <w:szCs w:val="24"/>
                <w:lang w:val="uk-UA"/>
              </w:rPr>
            </w:pPr>
            <w:r w:rsidRPr="00F32158">
              <w:rPr>
                <w:rFonts w:eastAsia="Calibri"/>
                <w:sz w:val="24"/>
                <w:szCs w:val="24"/>
                <w:lang w:val="uk-UA"/>
              </w:rPr>
              <w:t>1,724.06</w:t>
            </w:r>
          </w:p>
          <w:p w:rsidR="00F32158" w:rsidRPr="00F32158" w:rsidRDefault="00F32158" w:rsidP="00F32158">
            <w:pPr>
              <w:spacing w:line="360" w:lineRule="auto"/>
              <w:jc w:val="center"/>
              <w:rPr>
                <w:rFonts w:eastAsia="Calibri"/>
                <w:sz w:val="24"/>
                <w:szCs w:val="24"/>
                <w:lang w:val="uk-UA"/>
              </w:rPr>
            </w:pPr>
            <w:r w:rsidRPr="00F32158">
              <w:rPr>
                <w:rFonts w:eastAsia="Calibri"/>
                <w:sz w:val="24"/>
                <w:szCs w:val="24"/>
                <w:lang w:val="uk-UA"/>
              </w:rPr>
              <w:t>(2437.13-1216.72)</w:t>
            </w:r>
          </w:p>
        </w:tc>
        <w:tc>
          <w:tcPr>
            <w:tcW w:w="2977" w:type="dxa"/>
          </w:tcPr>
          <w:p w:rsidR="00F32158" w:rsidRPr="00F32158" w:rsidRDefault="00F32158" w:rsidP="00F32158">
            <w:pPr>
              <w:spacing w:line="360" w:lineRule="auto"/>
              <w:jc w:val="center"/>
              <w:rPr>
                <w:rFonts w:eastAsia="Calibri"/>
                <w:sz w:val="24"/>
                <w:szCs w:val="24"/>
                <w:lang w:val="uk-UA"/>
              </w:rPr>
            </w:pPr>
            <w:r w:rsidRPr="00F32158">
              <w:rPr>
                <w:rFonts w:eastAsia="Calibri"/>
                <w:sz w:val="24"/>
                <w:szCs w:val="24"/>
                <w:lang w:val="uk-UA"/>
              </w:rPr>
              <w:t>312.22</w:t>
            </w:r>
          </w:p>
          <w:p w:rsidR="00F32158" w:rsidRPr="00F32158" w:rsidRDefault="00F32158" w:rsidP="00F32158">
            <w:pPr>
              <w:spacing w:line="360" w:lineRule="auto"/>
              <w:jc w:val="center"/>
              <w:rPr>
                <w:rFonts w:eastAsia="Calibri"/>
                <w:sz w:val="24"/>
                <w:szCs w:val="24"/>
                <w:lang w:val="uk-UA"/>
              </w:rPr>
            </w:pPr>
            <w:r w:rsidRPr="00F32158">
              <w:rPr>
                <w:rFonts w:eastAsia="Calibri"/>
                <w:sz w:val="24"/>
                <w:szCs w:val="24"/>
                <w:lang w:val="uk-UA"/>
              </w:rPr>
              <w:t>(349.01-274.15)</w:t>
            </w:r>
          </w:p>
        </w:tc>
      </w:tr>
      <w:tr w:rsidR="00F32158" w:rsidRPr="00F32158" w:rsidTr="00BF1F99">
        <w:trPr>
          <w:jc w:val="center"/>
        </w:trPr>
        <w:tc>
          <w:tcPr>
            <w:tcW w:w="959" w:type="dxa"/>
          </w:tcPr>
          <w:p w:rsidR="00F32158" w:rsidRPr="00F32158" w:rsidRDefault="00F32158" w:rsidP="00F32158">
            <w:pPr>
              <w:spacing w:line="360" w:lineRule="auto"/>
              <w:jc w:val="center"/>
              <w:rPr>
                <w:rFonts w:eastAsia="Calibri"/>
                <w:sz w:val="24"/>
                <w:szCs w:val="24"/>
                <w:lang w:val="uk-UA"/>
              </w:rPr>
            </w:pPr>
            <w:r w:rsidRPr="00F32158">
              <w:rPr>
                <w:rFonts w:eastAsia="Calibri"/>
                <w:sz w:val="24"/>
                <w:szCs w:val="24"/>
                <w:lang w:val="uk-UA"/>
              </w:rPr>
              <w:t>2012</w:t>
            </w:r>
          </w:p>
          <w:p w:rsidR="00F32158" w:rsidRPr="00F32158" w:rsidRDefault="00F32158" w:rsidP="00F32158">
            <w:pPr>
              <w:spacing w:line="360" w:lineRule="auto"/>
              <w:jc w:val="center"/>
              <w:rPr>
                <w:rFonts w:eastAsia="Calibri"/>
                <w:sz w:val="24"/>
                <w:szCs w:val="24"/>
                <w:lang w:val="uk-UA"/>
              </w:rPr>
            </w:pPr>
            <w:r w:rsidRPr="00F32158">
              <w:rPr>
                <w:rFonts w:eastAsia="Calibri"/>
                <w:sz w:val="24"/>
                <w:szCs w:val="24"/>
                <w:lang w:val="uk-UA"/>
              </w:rPr>
              <w:t>ДІ</w:t>
            </w:r>
          </w:p>
        </w:tc>
        <w:tc>
          <w:tcPr>
            <w:tcW w:w="2693" w:type="dxa"/>
          </w:tcPr>
          <w:p w:rsidR="00F32158" w:rsidRPr="00F32158" w:rsidRDefault="00F32158" w:rsidP="00F32158">
            <w:pPr>
              <w:spacing w:line="360" w:lineRule="auto"/>
              <w:jc w:val="center"/>
              <w:rPr>
                <w:rFonts w:eastAsia="Calibri"/>
                <w:sz w:val="24"/>
                <w:szCs w:val="24"/>
                <w:lang w:val="uk-UA"/>
              </w:rPr>
            </w:pPr>
            <w:r w:rsidRPr="00F32158">
              <w:rPr>
                <w:rFonts w:eastAsia="Calibri"/>
                <w:sz w:val="24"/>
                <w:szCs w:val="24"/>
                <w:lang w:val="uk-UA"/>
              </w:rPr>
              <w:t>1665.76</w:t>
            </w:r>
          </w:p>
          <w:p w:rsidR="00F32158" w:rsidRPr="00F32158" w:rsidRDefault="00F32158" w:rsidP="00F32158">
            <w:pPr>
              <w:spacing w:line="360" w:lineRule="auto"/>
              <w:jc w:val="center"/>
              <w:rPr>
                <w:rFonts w:eastAsia="Calibri"/>
                <w:sz w:val="24"/>
                <w:szCs w:val="24"/>
                <w:lang w:val="uk-UA"/>
              </w:rPr>
            </w:pPr>
            <w:r w:rsidRPr="00F32158">
              <w:rPr>
                <w:rFonts w:eastAsia="Calibri"/>
                <w:sz w:val="24"/>
                <w:szCs w:val="24"/>
                <w:lang w:val="uk-UA"/>
              </w:rPr>
              <w:t>(2302.70-1181.83)</w:t>
            </w:r>
          </w:p>
        </w:tc>
        <w:tc>
          <w:tcPr>
            <w:tcW w:w="2977" w:type="dxa"/>
          </w:tcPr>
          <w:p w:rsidR="00F32158" w:rsidRPr="00F32158" w:rsidRDefault="00F32158" w:rsidP="00F32158">
            <w:pPr>
              <w:spacing w:line="360" w:lineRule="auto"/>
              <w:jc w:val="center"/>
              <w:rPr>
                <w:rFonts w:eastAsia="Calibri"/>
                <w:sz w:val="24"/>
                <w:szCs w:val="24"/>
                <w:lang w:val="uk-UA"/>
              </w:rPr>
            </w:pPr>
            <w:r w:rsidRPr="00F32158">
              <w:rPr>
                <w:rFonts w:eastAsia="Calibri"/>
                <w:sz w:val="24"/>
                <w:szCs w:val="24"/>
                <w:lang w:val="uk-UA"/>
              </w:rPr>
              <w:t>299.60</w:t>
            </w:r>
          </w:p>
          <w:p w:rsidR="00F32158" w:rsidRPr="00F32158" w:rsidRDefault="00F32158" w:rsidP="00F32158">
            <w:pPr>
              <w:spacing w:line="360" w:lineRule="auto"/>
              <w:jc w:val="center"/>
              <w:rPr>
                <w:rFonts w:eastAsia="Calibri"/>
                <w:sz w:val="24"/>
                <w:szCs w:val="24"/>
                <w:lang w:val="uk-UA"/>
              </w:rPr>
            </w:pPr>
            <w:r w:rsidRPr="00F32158">
              <w:rPr>
                <w:rFonts w:eastAsia="Calibri"/>
                <w:sz w:val="24"/>
                <w:szCs w:val="24"/>
                <w:lang w:val="uk-UA"/>
              </w:rPr>
              <w:t>(340.27-256.13)</w:t>
            </w:r>
          </w:p>
        </w:tc>
      </w:tr>
      <w:tr w:rsidR="00F32158" w:rsidRPr="00F32158" w:rsidTr="00BF1F99">
        <w:trPr>
          <w:jc w:val="center"/>
        </w:trPr>
        <w:tc>
          <w:tcPr>
            <w:tcW w:w="959" w:type="dxa"/>
          </w:tcPr>
          <w:p w:rsidR="00F32158" w:rsidRPr="00F32158" w:rsidRDefault="00F32158" w:rsidP="00F32158">
            <w:pPr>
              <w:spacing w:line="360" w:lineRule="auto"/>
              <w:jc w:val="center"/>
              <w:rPr>
                <w:rFonts w:eastAsia="Calibri"/>
                <w:sz w:val="24"/>
                <w:szCs w:val="24"/>
                <w:lang w:val="uk-UA"/>
              </w:rPr>
            </w:pPr>
            <w:r w:rsidRPr="00F32158">
              <w:rPr>
                <w:rFonts w:eastAsia="Calibri"/>
                <w:sz w:val="24"/>
                <w:szCs w:val="24"/>
                <w:lang w:val="uk-UA"/>
              </w:rPr>
              <w:t>2013</w:t>
            </w:r>
          </w:p>
          <w:p w:rsidR="00F32158" w:rsidRPr="00F32158" w:rsidRDefault="00F32158" w:rsidP="00F32158">
            <w:pPr>
              <w:spacing w:line="360" w:lineRule="auto"/>
              <w:jc w:val="center"/>
              <w:rPr>
                <w:rFonts w:eastAsia="Calibri"/>
                <w:sz w:val="24"/>
                <w:szCs w:val="24"/>
                <w:lang w:val="uk-UA"/>
              </w:rPr>
            </w:pPr>
            <w:r w:rsidRPr="00F32158">
              <w:rPr>
                <w:rFonts w:eastAsia="Calibri"/>
                <w:sz w:val="24"/>
                <w:szCs w:val="24"/>
                <w:lang w:val="uk-UA"/>
              </w:rPr>
              <w:t>ДІ</w:t>
            </w:r>
          </w:p>
        </w:tc>
        <w:tc>
          <w:tcPr>
            <w:tcW w:w="2693" w:type="dxa"/>
          </w:tcPr>
          <w:p w:rsidR="00F32158" w:rsidRPr="00F32158" w:rsidRDefault="00F32158" w:rsidP="00F32158">
            <w:pPr>
              <w:spacing w:line="360" w:lineRule="auto"/>
              <w:jc w:val="center"/>
              <w:rPr>
                <w:rFonts w:eastAsia="Calibri"/>
                <w:sz w:val="24"/>
                <w:szCs w:val="24"/>
                <w:lang w:val="uk-UA"/>
              </w:rPr>
            </w:pPr>
            <w:r w:rsidRPr="00F32158">
              <w:rPr>
                <w:rFonts w:eastAsia="Calibri"/>
                <w:sz w:val="24"/>
                <w:szCs w:val="24"/>
                <w:lang w:val="uk-UA"/>
              </w:rPr>
              <w:t>1,545.90</w:t>
            </w:r>
          </w:p>
          <w:p w:rsidR="00F32158" w:rsidRPr="00F32158" w:rsidRDefault="00F32158" w:rsidP="00F32158">
            <w:pPr>
              <w:spacing w:line="360" w:lineRule="auto"/>
              <w:jc w:val="center"/>
              <w:rPr>
                <w:rFonts w:eastAsia="Calibri"/>
                <w:sz w:val="24"/>
                <w:szCs w:val="24"/>
                <w:lang w:val="uk-UA"/>
              </w:rPr>
            </w:pPr>
            <w:r w:rsidRPr="00F32158">
              <w:rPr>
                <w:rFonts w:eastAsia="Calibri"/>
                <w:sz w:val="24"/>
                <w:szCs w:val="24"/>
                <w:lang w:val="uk-UA"/>
              </w:rPr>
              <w:t>(2148.98-1112.76)</w:t>
            </w:r>
          </w:p>
        </w:tc>
        <w:tc>
          <w:tcPr>
            <w:tcW w:w="2977" w:type="dxa"/>
          </w:tcPr>
          <w:p w:rsidR="00F32158" w:rsidRPr="00F32158" w:rsidRDefault="00F32158" w:rsidP="00F32158">
            <w:pPr>
              <w:spacing w:line="360" w:lineRule="auto"/>
              <w:jc w:val="center"/>
              <w:rPr>
                <w:rFonts w:eastAsia="Calibri"/>
                <w:sz w:val="24"/>
                <w:szCs w:val="24"/>
                <w:lang w:val="uk-UA"/>
              </w:rPr>
            </w:pPr>
            <w:r w:rsidRPr="00F32158">
              <w:rPr>
                <w:rFonts w:eastAsia="Calibri"/>
                <w:sz w:val="24"/>
                <w:szCs w:val="24"/>
                <w:lang w:val="uk-UA"/>
              </w:rPr>
              <w:t>280.53</w:t>
            </w:r>
          </w:p>
          <w:p w:rsidR="00F32158" w:rsidRPr="00F32158" w:rsidRDefault="00F32158" w:rsidP="00F32158">
            <w:pPr>
              <w:spacing w:line="360" w:lineRule="auto"/>
              <w:jc w:val="center"/>
              <w:rPr>
                <w:rFonts w:eastAsia="Calibri"/>
                <w:sz w:val="24"/>
                <w:szCs w:val="24"/>
                <w:lang w:val="uk-UA"/>
              </w:rPr>
            </w:pPr>
            <w:r w:rsidRPr="00F32158">
              <w:rPr>
                <w:rFonts w:eastAsia="Calibri"/>
                <w:sz w:val="24"/>
                <w:szCs w:val="24"/>
                <w:lang w:val="uk-UA"/>
              </w:rPr>
              <w:t>(324.32-234.70)</w:t>
            </w:r>
          </w:p>
        </w:tc>
      </w:tr>
      <w:tr w:rsidR="00F32158" w:rsidRPr="00F32158" w:rsidTr="00BF1F99">
        <w:trPr>
          <w:jc w:val="center"/>
        </w:trPr>
        <w:tc>
          <w:tcPr>
            <w:tcW w:w="959" w:type="dxa"/>
          </w:tcPr>
          <w:p w:rsidR="00F32158" w:rsidRPr="00F32158" w:rsidRDefault="00F32158" w:rsidP="00F32158">
            <w:pPr>
              <w:spacing w:line="360" w:lineRule="auto"/>
              <w:jc w:val="center"/>
              <w:rPr>
                <w:rFonts w:eastAsia="Calibri"/>
                <w:sz w:val="24"/>
                <w:szCs w:val="24"/>
                <w:lang w:val="uk-UA"/>
              </w:rPr>
            </w:pPr>
            <w:r w:rsidRPr="00F32158">
              <w:rPr>
                <w:rFonts w:eastAsia="Calibri"/>
                <w:sz w:val="24"/>
                <w:szCs w:val="24"/>
                <w:lang w:val="uk-UA"/>
              </w:rPr>
              <w:t>2014</w:t>
            </w:r>
          </w:p>
          <w:p w:rsidR="00F32158" w:rsidRPr="00F32158" w:rsidRDefault="00F32158" w:rsidP="00F32158">
            <w:pPr>
              <w:spacing w:line="360" w:lineRule="auto"/>
              <w:jc w:val="center"/>
              <w:rPr>
                <w:rFonts w:eastAsia="Calibri"/>
                <w:sz w:val="24"/>
                <w:szCs w:val="24"/>
                <w:lang w:val="uk-UA"/>
              </w:rPr>
            </w:pPr>
            <w:r w:rsidRPr="00F32158">
              <w:rPr>
                <w:rFonts w:eastAsia="Calibri"/>
                <w:sz w:val="24"/>
                <w:szCs w:val="24"/>
                <w:lang w:val="uk-UA"/>
              </w:rPr>
              <w:t>ДІ</w:t>
            </w:r>
          </w:p>
        </w:tc>
        <w:tc>
          <w:tcPr>
            <w:tcW w:w="2693" w:type="dxa"/>
          </w:tcPr>
          <w:p w:rsidR="00F32158" w:rsidRPr="00F32158" w:rsidRDefault="00F32158" w:rsidP="00F32158">
            <w:pPr>
              <w:spacing w:line="360" w:lineRule="auto"/>
              <w:jc w:val="center"/>
              <w:rPr>
                <w:rFonts w:eastAsia="Calibri"/>
                <w:sz w:val="24"/>
                <w:szCs w:val="24"/>
                <w:lang w:val="uk-UA"/>
              </w:rPr>
            </w:pPr>
            <w:r w:rsidRPr="00F32158">
              <w:rPr>
                <w:rFonts w:eastAsia="Calibri"/>
                <w:sz w:val="24"/>
                <w:szCs w:val="24"/>
                <w:lang w:val="uk-UA"/>
              </w:rPr>
              <w:t>1545.17</w:t>
            </w:r>
          </w:p>
          <w:p w:rsidR="00F32158" w:rsidRPr="00F32158" w:rsidRDefault="00F32158" w:rsidP="00F32158">
            <w:pPr>
              <w:spacing w:line="360" w:lineRule="auto"/>
              <w:jc w:val="center"/>
              <w:rPr>
                <w:rFonts w:eastAsia="Calibri"/>
                <w:sz w:val="24"/>
                <w:szCs w:val="24"/>
                <w:lang w:val="uk-UA"/>
              </w:rPr>
            </w:pPr>
            <w:r w:rsidRPr="00F32158">
              <w:rPr>
                <w:rFonts w:eastAsia="Calibri"/>
                <w:sz w:val="24"/>
                <w:szCs w:val="24"/>
                <w:lang w:val="uk-UA"/>
              </w:rPr>
              <w:t>(2120.48-1130.08)</w:t>
            </w:r>
          </w:p>
        </w:tc>
        <w:tc>
          <w:tcPr>
            <w:tcW w:w="2977" w:type="dxa"/>
          </w:tcPr>
          <w:p w:rsidR="00F32158" w:rsidRPr="00F32158" w:rsidRDefault="00F32158" w:rsidP="00F32158">
            <w:pPr>
              <w:spacing w:line="360" w:lineRule="auto"/>
              <w:jc w:val="center"/>
              <w:rPr>
                <w:rFonts w:eastAsia="Calibri"/>
                <w:sz w:val="24"/>
                <w:szCs w:val="24"/>
                <w:lang w:val="uk-UA"/>
              </w:rPr>
            </w:pPr>
            <w:r w:rsidRPr="00F32158">
              <w:rPr>
                <w:rFonts w:eastAsia="Calibri"/>
                <w:sz w:val="24"/>
                <w:szCs w:val="24"/>
                <w:lang w:val="uk-UA"/>
              </w:rPr>
              <w:t>290.76</w:t>
            </w:r>
          </w:p>
          <w:p w:rsidR="00F32158" w:rsidRPr="00F32158" w:rsidRDefault="00F32158" w:rsidP="00F32158">
            <w:pPr>
              <w:spacing w:line="360" w:lineRule="auto"/>
              <w:jc w:val="center"/>
              <w:rPr>
                <w:rFonts w:eastAsia="Calibri"/>
                <w:sz w:val="24"/>
                <w:szCs w:val="24"/>
                <w:lang w:val="uk-UA"/>
              </w:rPr>
            </w:pPr>
            <w:r w:rsidRPr="00F32158">
              <w:rPr>
                <w:rFonts w:eastAsia="Calibri"/>
                <w:sz w:val="24"/>
                <w:szCs w:val="24"/>
                <w:lang w:val="uk-UA"/>
              </w:rPr>
              <w:t>(340.63-239.12)</w:t>
            </w:r>
          </w:p>
        </w:tc>
      </w:tr>
      <w:tr w:rsidR="00F32158" w:rsidRPr="00F32158" w:rsidTr="00BF1F99">
        <w:trPr>
          <w:jc w:val="center"/>
        </w:trPr>
        <w:tc>
          <w:tcPr>
            <w:tcW w:w="959" w:type="dxa"/>
          </w:tcPr>
          <w:p w:rsidR="00F32158" w:rsidRPr="00F32158" w:rsidRDefault="00F32158" w:rsidP="00F32158">
            <w:pPr>
              <w:spacing w:line="360" w:lineRule="auto"/>
              <w:jc w:val="center"/>
              <w:rPr>
                <w:rFonts w:eastAsia="Calibri"/>
                <w:sz w:val="24"/>
                <w:szCs w:val="24"/>
                <w:lang w:val="uk-UA"/>
              </w:rPr>
            </w:pPr>
            <w:r w:rsidRPr="00F32158">
              <w:rPr>
                <w:rFonts w:eastAsia="Calibri"/>
                <w:sz w:val="24"/>
                <w:szCs w:val="24"/>
                <w:lang w:val="uk-UA"/>
              </w:rPr>
              <w:t>2015</w:t>
            </w:r>
          </w:p>
          <w:p w:rsidR="00F32158" w:rsidRPr="00F32158" w:rsidRDefault="00F32158" w:rsidP="00F32158">
            <w:pPr>
              <w:spacing w:line="360" w:lineRule="auto"/>
              <w:jc w:val="center"/>
              <w:rPr>
                <w:rFonts w:eastAsia="Calibri"/>
                <w:sz w:val="24"/>
                <w:szCs w:val="24"/>
                <w:lang w:val="uk-UA"/>
              </w:rPr>
            </w:pPr>
            <w:r w:rsidRPr="00F32158">
              <w:rPr>
                <w:rFonts w:eastAsia="Calibri"/>
                <w:sz w:val="24"/>
                <w:szCs w:val="24"/>
                <w:lang w:val="uk-UA"/>
              </w:rPr>
              <w:t>ДІ</w:t>
            </w:r>
          </w:p>
        </w:tc>
        <w:tc>
          <w:tcPr>
            <w:tcW w:w="2693" w:type="dxa"/>
          </w:tcPr>
          <w:p w:rsidR="00F32158" w:rsidRPr="00F32158" w:rsidRDefault="00F32158" w:rsidP="00F32158">
            <w:pPr>
              <w:spacing w:line="360" w:lineRule="auto"/>
              <w:jc w:val="center"/>
              <w:rPr>
                <w:rFonts w:eastAsia="Calibri"/>
                <w:sz w:val="24"/>
                <w:szCs w:val="24"/>
                <w:lang w:val="uk-UA"/>
              </w:rPr>
            </w:pPr>
            <w:r w:rsidRPr="00F32158">
              <w:rPr>
                <w:rFonts w:eastAsia="Calibri"/>
                <w:sz w:val="24"/>
                <w:szCs w:val="24"/>
                <w:lang w:val="uk-UA"/>
              </w:rPr>
              <w:t>1650.25</w:t>
            </w:r>
          </w:p>
          <w:p w:rsidR="00F32158" w:rsidRPr="00F32158" w:rsidRDefault="00F32158" w:rsidP="00F32158">
            <w:pPr>
              <w:spacing w:line="360" w:lineRule="auto"/>
              <w:jc w:val="center"/>
              <w:rPr>
                <w:rFonts w:eastAsia="Calibri"/>
                <w:sz w:val="24"/>
                <w:szCs w:val="24"/>
                <w:lang w:val="uk-UA"/>
              </w:rPr>
            </w:pPr>
            <w:r w:rsidRPr="00F32158">
              <w:rPr>
                <w:rFonts w:eastAsia="Calibri"/>
                <w:sz w:val="24"/>
                <w:szCs w:val="24"/>
                <w:lang w:val="uk-UA"/>
              </w:rPr>
              <w:t>(2243.99-1199.06)</w:t>
            </w:r>
          </w:p>
        </w:tc>
        <w:tc>
          <w:tcPr>
            <w:tcW w:w="2977" w:type="dxa"/>
          </w:tcPr>
          <w:p w:rsidR="00F32158" w:rsidRPr="00F32158" w:rsidRDefault="00F32158" w:rsidP="00F32158">
            <w:pPr>
              <w:spacing w:line="360" w:lineRule="auto"/>
              <w:jc w:val="center"/>
              <w:rPr>
                <w:rFonts w:eastAsia="Calibri"/>
                <w:sz w:val="24"/>
                <w:szCs w:val="24"/>
                <w:lang w:val="uk-UA"/>
              </w:rPr>
            </w:pPr>
            <w:r w:rsidRPr="00F32158">
              <w:rPr>
                <w:rFonts w:eastAsia="Calibri"/>
                <w:sz w:val="24"/>
                <w:szCs w:val="24"/>
                <w:lang w:val="uk-UA"/>
              </w:rPr>
              <w:t>317.35</w:t>
            </w:r>
          </w:p>
          <w:p w:rsidR="00F32158" w:rsidRPr="00F32158" w:rsidRDefault="00F32158" w:rsidP="00F32158">
            <w:pPr>
              <w:spacing w:line="360" w:lineRule="auto"/>
              <w:jc w:val="center"/>
              <w:rPr>
                <w:rFonts w:eastAsia="Calibri"/>
                <w:sz w:val="24"/>
                <w:szCs w:val="24"/>
                <w:lang w:val="uk-UA"/>
              </w:rPr>
            </w:pPr>
            <w:r w:rsidRPr="00F32158">
              <w:rPr>
                <w:rFonts w:eastAsia="Calibri"/>
                <w:sz w:val="24"/>
                <w:szCs w:val="24"/>
                <w:lang w:val="uk-UA"/>
              </w:rPr>
              <w:t>(378.88-256.70)</w:t>
            </w:r>
          </w:p>
        </w:tc>
      </w:tr>
      <w:tr w:rsidR="00F32158" w:rsidRPr="00F32158" w:rsidTr="00BF1F99">
        <w:trPr>
          <w:jc w:val="center"/>
        </w:trPr>
        <w:tc>
          <w:tcPr>
            <w:tcW w:w="959" w:type="dxa"/>
          </w:tcPr>
          <w:p w:rsidR="00F32158" w:rsidRPr="00F32158" w:rsidRDefault="00F32158" w:rsidP="00F32158">
            <w:pPr>
              <w:spacing w:line="360" w:lineRule="auto"/>
              <w:jc w:val="center"/>
              <w:rPr>
                <w:rFonts w:eastAsia="Calibri"/>
                <w:sz w:val="24"/>
                <w:szCs w:val="24"/>
                <w:lang w:val="uk-UA"/>
              </w:rPr>
            </w:pPr>
            <w:r w:rsidRPr="00F32158">
              <w:rPr>
                <w:rFonts w:eastAsia="Calibri"/>
                <w:sz w:val="24"/>
                <w:szCs w:val="24"/>
                <w:lang w:val="uk-UA"/>
              </w:rPr>
              <w:t>2016</w:t>
            </w:r>
          </w:p>
          <w:p w:rsidR="00F32158" w:rsidRPr="00F32158" w:rsidRDefault="00F32158" w:rsidP="00F32158">
            <w:pPr>
              <w:spacing w:line="360" w:lineRule="auto"/>
              <w:jc w:val="center"/>
              <w:rPr>
                <w:rFonts w:eastAsia="Calibri"/>
                <w:sz w:val="24"/>
                <w:szCs w:val="24"/>
                <w:lang w:val="uk-UA"/>
              </w:rPr>
            </w:pPr>
            <w:r w:rsidRPr="00F32158">
              <w:rPr>
                <w:rFonts w:eastAsia="Calibri"/>
                <w:sz w:val="24"/>
                <w:szCs w:val="24"/>
                <w:lang w:val="uk-UA"/>
              </w:rPr>
              <w:t>ДІ</w:t>
            </w:r>
          </w:p>
        </w:tc>
        <w:tc>
          <w:tcPr>
            <w:tcW w:w="2693" w:type="dxa"/>
          </w:tcPr>
          <w:p w:rsidR="00F32158" w:rsidRPr="00F32158" w:rsidRDefault="00F32158" w:rsidP="00F32158">
            <w:pPr>
              <w:spacing w:line="360" w:lineRule="auto"/>
              <w:jc w:val="center"/>
              <w:rPr>
                <w:rFonts w:eastAsia="Calibri"/>
                <w:sz w:val="24"/>
                <w:szCs w:val="24"/>
                <w:lang w:val="uk-UA"/>
              </w:rPr>
            </w:pPr>
            <w:r w:rsidRPr="00F32158">
              <w:rPr>
                <w:rFonts w:eastAsia="Calibri"/>
                <w:sz w:val="24"/>
                <w:szCs w:val="24"/>
                <w:lang w:val="uk-UA"/>
              </w:rPr>
              <w:t>1587.79</w:t>
            </w:r>
          </w:p>
          <w:p w:rsidR="00F32158" w:rsidRPr="00F32158" w:rsidRDefault="00F32158" w:rsidP="00F32158">
            <w:pPr>
              <w:spacing w:line="360" w:lineRule="auto"/>
              <w:jc w:val="center"/>
              <w:rPr>
                <w:rFonts w:eastAsia="Calibri"/>
                <w:sz w:val="24"/>
                <w:szCs w:val="24"/>
                <w:lang w:val="uk-UA"/>
              </w:rPr>
            </w:pPr>
            <w:r w:rsidRPr="00F32158">
              <w:rPr>
                <w:rFonts w:eastAsia="Calibri"/>
                <w:sz w:val="24"/>
                <w:szCs w:val="24"/>
                <w:lang w:val="uk-UA"/>
              </w:rPr>
              <w:t>(2152.80-1156.83)</w:t>
            </w:r>
          </w:p>
        </w:tc>
        <w:tc>
          <w:tcPr>
            <w:tcW w:w="2977" w:type="dxa"/>
          </w:tcPr>
          <w:p w:rsidR="00F32158" w:rsidRPr="00F32158" w:rsidRDefault="00F32158" w:rsidP="00F32158">
            <w:pPr>
              <w:spacing w:line="360" w:lineRule="auto"/>
              <w:jc w:val="center"/>
              <w:rPr>
                <w:rFonts w:eastAsia="Calibri"/>
                <w:sz w:val="24"/>
                <w:szCs w:val="24"/>
                <w:lang w:val="uk-UA"/>
              </w:rPr>
            </w:pPr>
            <w:r w:rsidRPr="00F32158">
              <w:rPr>
                <w:rFonts w:eastAsia="Calibri"/>
                <w:sz w:val="24"/>
                <w:szCs w:val="24"/>
                <w:lang w:val="uk-UA"/>
              </w:rPr>
              <w:t>309.85</w:t>
            </w:r>
          </w:p>
          <w:p w:rsidR="00F32158" w:rsidRPr="00F32158" w:rsidRDefault="00F32158" w:rsidP="00F32158">
            <w:pPr>
              <w:spacing w:line="360" w:lineRule="auto"/>
              <w:jc w:val="center"/>
              <w:rPr>
                <w:rFonts w:eastAsia="Calibri"/>
                <w:sz w:val="24"/>
                <w:szCs w:val="24"/>
                <w:lang w:val="uk-UA"/>
              </w:rPr>
            </w:pPr>
            <w:r w:rsidRPr="00F32158">
              <w:rPr>
                <w:rFonts w:eastAsia="Calibri"/>
                <w:sz w:val="24"/>
                <w:szCs w:val="24"/>
                <w:lang w:val="uk-UA"/>
              </w:rPr>
              <w:t>(373.30-246.76)</w:t>
            </w:r>
          </w:p>
        </w:tc>
      </w:tr>
      <w:tr w:rsidR="00F32158" w:rsidRPr="00F32158" w:rsidTr="00BF1F99">
        <w:trPr>
          <w:jc w:val="center"/>
        </w:trPr>
        <w:tc>
          <w:tcPr>
            <w:tcW w:w="959" w:type="dxa"/>
          </w:tcPr>
          <w:p w:rsidR="00F32158" w:rsidRPr="00F32158" w:rsidRDefault="00F32158" w:rsidP="00F32158">
            <w:pPr>
              <w:spacing w:line="360" w:lineRule="auto"/>
              <w:jc w:val="center"/>
              <w:rPr>
                <w:rFonts w:eastAsia="Calibri"/>
                <w:sz w:val="24"/>
                <w:szCs w:val="24"/>
                <w:lang w:val="uk-UA"/>
              </w:rPr>
            </w:pPr>
            <w:r w:rsidRPr="00F32158">
              <w:rPr>
                <w:rFonts w:eastAsia="Calibri"/>
                <w:sz w:val="24"/>
                <w:szCs w:val="24"/>
                <w:lang w:val="uk-UA"/>
              </w:rPr>
              <w:t>2017</w:t>
            </w:r>
          </w:p>
          <w:p w:rsidR="00F32158" w:rsidRPr="00F32158" w:rsidRDefault="00F32158" w:rsidP="00F32158">
            <w:pPr>
              <w:spacing w:line="360" w:lineRule="auto"/>
              <w:jc w:val="center"/>
              <w:rPr>
                <w:rFonts w:eastAsia="Calibri"/>
                <w:sz w:val="24"/>
                <w:szCs w:val="24"/>
                <w:lang w:val="uk-UA"/>
              </w:rPr>
            </w:pPr>
            <w:r w:rsidRPr="00F32158">
              <w:rPr>
                <w:rFonts w:eastAsia="Calibri"/>
                <w:sz w:val="24"/>
                <w:szCs w:val="24"/>
                <w:lang w:val="uk-UA"/>
              </w:rPr>
              <w:t>ДІ</w:t>
            </w:r>
          </w:p>
        </w:tc>
        <w:tc>
          <w:tcPr>
            <w:tcW w:w="2693" w:type="dxa"/>
          </w:tcPr>
          <w:p w:rsidR="00F32158" w:rsidRPr="00F32158" w:rsidRDefault="00F32158" w:rsidP="00F32158">
            <w:pPr>
              <w:spacing w:line="360" w:lineRule="auto"/>
              <w:jc w:val="center"/>
              <w:rPr>
                <w:rFonts w:eastAsia="Calibri"/>
                <w:sz w:val="24"/>
                <w:szCs w:val="24"/>
                <w:lang w:val="uk-UA"/>
              </w:rPr>
            </w:pPr>
            <w:r w:rsidRPr="00F32158">
              <w:rPr>
                <w:rFonts w:eastAsia="Calibri"/>
                <w:sz w:val="24"/>
                <w:szCs w:val="24"/>
                <w:lang w:val="uk-UA"/>
              </w:rPr>
              <w:t>1501.03</w:t>
            </w:r>
          </w:p>
          <w:p w:rsidR="00F32158" w:rsidRPr="00F32158" w:rsidRDefault="00F32158" w:rsidP="00F32158">
            <w:pPr>
              <w:spacing w:line="360" w:lineRule="auto"/>
              <w:jc w:val="center"/>
              <w:rPr>
                <w:rFonts w:eastAsia="Calibri"/>
                <w:sz w:val="24"/>
                <w:szCs w:val="24"/>
                <w:lang w:val="uk-UA"/>
              </w:rPr>
            </w:pPr>
            <w:r w:rsidRPr="00F32158">
              <w:rPr>
                <w:rFonts w:eastAsia="Calibri"/>
                <w:sz w:val="24"/>
                <w:szCs w:val="24"/>
                <w:lang w:val="uk-UA"/>
              </w:rPr>
              <w:t>(2031.81-1094.40)</w:t>
            </w:r>
          </w:p>
        </w:tc>
        <w:tc>
          <w:tcPr>
            <w:tcW w:w="2977" w:type="dxa"/>
          </w:tcPr>
          <w:p w:rsidR="00F32158" w:rsidRPr="00F32158" w:rsidRDefault="00F32158" w:rsidP="00F32158">
            <w:pPr>
              <w:spacing w:line="360" w:lineRule="auto"/>
              <w:jc w:val="center"/>
              <w:rPr>
                <w:rFonts w:eastAsia="Calibri"/>
                <w:sz w:val="24"/>
                <w:szCs w:val="24"/>
                <w:lang w:val="uk-UA"/>
              </w:rPr>
            </w:pPr>
            <w:r w:rsidRPr="00F32158">
              <w:rPr>
                <w:rFonts w:eastAsia="Calibri"/>
                <w:sz w:val="24"/>
                <w:szCs w:val="24"/>
                <w:lang w:val="uk-UA"/>
              </w:rPr>
              <w:t>297.43</w:t>
            </w:r>
          </w:p>
          <w:p w:rsidR="00F32158" w:rsidRPr="00F32158" w:rsidRDefault="00F32158" w:rsidP="00F32158">
            <w:pPr>
              <w:spacing w:line="360" w:lineRule="auto"/>
              <w:jc w:val="center"/>
              <w:rPr>
                <w:rFonts w:eastAsia="Calibri"/>
                <w:sz w:val="24"/>
                <w:szCs w:val="24"/>
                <w:lang w:val="uk-UA"/>
              </w:rPr>
            </w:pPr>
            <w:r w:rsidRPr="00F32158">
              <w:rPr>
                <w:rFonts w:eastAsia="Calibri"/>
                <w:sz w:val="24"/>
                <w:szCs w:val="24"/>
                <w:lang w:val="uk-UA"/>
              </w:rPr>
              <w:t>(366.89-230.70)</w:t>
            </w:r>
          </w:p>
        </w:tc>
      </w:tr>
      <w:tr w:rsidR="00F32158" w:rsidRPr="00F32158" w:rsidTr="00BF1F99">
        <w:trPr>
          <w:jc w:val="center"/>
        </w:trPr>
        <w:tc>
          <w:tcPr>
            <w:tcW w:w="959" w:type="dxa"/>
          </w:tcPr>
          <w:p w:rsidR="00F32158" w:rsidRPr="00F32158" w:rsidRDefault="00F32158" w:rsidP="00F32158">
            <w:pPr>
              <w:spacing w:line="360" w:lineRule="auto"/>
              <w:jc w:val="center"/>
              <w:rPr>
                <w:rFonts w:eastAsia="Calibri"/>
                <w:sz w:val="24"/>
                <w:szCs w:val="24"/>
                <w:lang w:val="uk-UA"/>
              </w:rPr>
            </w:pPr>
            <w:r w:rsidRPr="00F32158">
              <w:rPr>
                <w:rFonts w:eastAsia="Calibri"/>
                <w:sz w:val="24"/>
                <w:szCs w:val="24"/>
                <w:lang w:val="uk-UA"/>
              </w:rPr>
              <w:t>2018</w:t>
            </w:r>
          </w:p>
          <w:p w:rsidR="00F32158" w:rsidRPr="00F32158" w:rsidRDefault="00F32158" w:rsidP="00F32158">
            <w:pPr>
              <w:spacing w:line="360" w:lineRule="auto"/>
              <w:jc w:val="center"/>
              <w:rPr>
                <w:rFonts w:eastAsia="Calibri"/>
                <w:sz w:val="24"/>
                <w:szCs w:val="24"/>
                <w:lang w:val="uk-UA"/>
              </w:rPr>
            </w:pPr>
            <w:r w:rsidRPr="00F32158">
              <w:rPr>
                <w:rFonts w:eastAsia="Calibri"/>
                <w:sz w:val="24"/>
                <w:szCs w:val="24"/>
                <w:lang w:val="uk-UA"/>
              </w:rPr>
              <w:t>ДІ</w:t>
            </w:r>
          </w:p>
        </w:tc>
        <w:tc>
          <w:tcPr>
            <w:tcW w:w="2693" w:type="dxa"/>
          </w:tcPr>
          <w:p w:rsidR="00F32158" w:rsidRPr="00F32158" w:rsidRDefault="00F32158" w:rsidP="00F32158">
            <w:pPr>
              <w:spacing w:line="360" w:lineRule="auto"/>
              <w:jc w:val="center"/>
              <w:rPr>
                <w:rFonts w:eastAsia="Calibri"/>
                <w:sz w:val="24"/>
                <w:szCs w:val="24"/>
                <w:lang w:val="uk-UA"/>
              </w:rPr>
            </w:pPr>
            <w:r w:rsidRPr="00F32158">
              <w:rPr>
                <w:rFonts w:eastAsia="Calibri"/>
                <w:sz w:val="24"/>
                <w:szCs w:val="24"/>
                <w:lang w:val="uk-UA"/>
              </w:rPr>
              <w:t>1454.82</w:t>
            </w:r>
          </w:p>
          <w:p w:rsidR="00F32158" w:rsidRPr="00F32158" w:rsidRDefault="00F32158" w:rsidP="00F32158">
            <w:pPr>
              <w:spacing w:line="360" w:lineRule="auto"/>
              <w:jc w:val="center"/>
              <w:rPr>
                <w:rFonts w:eastAsia="Calibri"/>
                <w:sz w:val="24"/>
                <w:szCs w:val="24"/>
                <w:lang w:val="uk-UA"/>
              </w:rPr>
            </w:pPr>
            <w:r w:rsidRPr="00F32158">
              <w:rPr>
                <w:rFonts w:eastAsia="Calibri"/>
                <w:sz w:val="24"/>
                <w:szCs w:val="24"/>
                <w:lang w:val="uk-UA"/>
              </w:rPr>
              <w:t>(1995.43-1042.83)</w:t>
            </w:r>
          </w:p>
        </w:tc>
        <w:tc>
          <w:tcPr>
            <w:tcW w:w="2977" w:type="dxa"/>
          </w:tcPr>
          <w:p w:rsidR="00F32158" w:rsidRPr="00F32158" w:rsidRDefault="00F32158" w:rsidP="00F32158">
            <w:pPr>
              <w:spacing w:line="360" w:lineRule="auto"/>
              <w:jc w:val="center"/>
              <w:rPr>
                <w:rFonts w:eastAsia="Calibri"/>
                <w:sz w:val="24"/>
                <w:szCs w:val="24"/>
                <w:lang w:val="uk-UA"/>
              </w:rPr>
            </w:pPr>
            <w:r w:rsidRPr="00F32158">
              <w:rPr>
                <w:rFonts w:eastAsia="Calibri"/>
                <w:sz w:val="24"/>
                <w:szCs w:val="24"/>
                <w:lang w:val="uk-UA"/>
              </w:rPr>
              <w:t>289.19</w:t>
            </w:r>
          </w:p>
          <w:p w:rsidR="00F32158" w:rsidRPr="00F32158" w:rsidRDefault="00F32158" w:rsidP="00F32158">
            <w:pPr>
              <w:spacing w:line="360" w:lineRule="auto"/>
              <w:jc w:val="center"/>
              <w:rPr>
                <w:rFonts w:eastAsia="Calibri"/>
                <w:sz w:val="24"/>
                <w:szCs w:val="24"/>
                <w:lang w:val="uk-UA"/>
              </w:rPr>
            </w:pPr>
            <w:r w:rsidRPr="00F32158">
              <w:rPr>
                <w:rFonts w:eastAsia="Calibri"/>
                <w:sz w:val="24"/>
                <w:szCs w:val="24"/>
                <w:lang w:val="uk-UA"/>
              </w:rPr>
              <w:t>(361.31-225.47)</w:t>
            </w:r>
          </w:p>
        </w:tc>
      </w:tr>
      <w:tr w:rsidR="00F32158" w:rsidRPr="00F32158" w:rsidTr="00BF1F99">
        <w:trPr>
          <w:jc w:val="center"/>
        </w:trPr>
        <w:tc>
          <w:tcPr>
            <w:tcW w:w="959" w:type="dxa"/>
          </w:tcPr>
          <w:p w:rsidR="00F32158" w:rsidRPr="00F32158" w:rsidRDefault="00F32158" w:rsidP="00F32158">
            <w:pPr>
              <w:spacing w:line="360" w:lineRule="auto"/>
              <w:jc w:val="center"/>
              <w:rPr>
                <w:rFonts w:eastAsia="Calibri"/>
                <w:sz w:val="24"/>
                <w:szCs w:val="24"/>
                <w:lang w:val="uk-UA"/>
              </w:rPr>
            </w:pPr>
            <w:r w:rsidRPr="00F32158">
              <w:rPr>
                <w:rFonts w:eastAsia="Calibri"/>
                <w:sz w:val="24"/>
                <w:szCs w:val="24"/>
                <w:lang w:val="uk-UA"/>
              </w:rPr>
              <w:t>2019</w:t>
            </w:r>
          </w:p>
          <w:p w:rsidR="00F32158" w:rsidRPr="00F32158" w:rsidRDefault="00F32158" w:rsidP="00F32158">
            <w:pPr>
              <w:spacing w:line="360" w:lineRule="auto"/>
              <w:jc w:val="center"/>
              <w:rPr>
                <w:rFonts w:eastAsia="Calibri"/>
                <w:sz w:val="24"/>
                <w:szCs w:val="24"/>
                <w:lang w:val="uk-UA"/>
              </w:rPr>
            </w:pPr>
            <w:r w:rsidRPr="00F32158">
              <w:rPr>
                <w:rFonts w:eastAsia="Calibri"/>
                <w:sz w:val="24"/>
                <w:szCs w:val="24"/>
                <w:lang w:val="uk-UA"/>
              </w:rPr>
              <w:t>ДІ</w:t>
            </w:r>
          </w:p>
        </w:tc>
        <w:tc>
          <w:tcPr>
            <w:tcW w:w="2693" w:type="dxa"/>
          </w:tcPr>
          <w:p w:rsidR="00F32158" w:rsidRPr="00F32158" w:rsidRDefault="00F32158" w:rsidP="00F32158">
            <w:pPr>
              <w:spacing w:line="360" w:lineRule="auto"/>
              <w:jc w:val="center"/>
              <w:rPr>
                <w:rFonts w:eastAsia="Calibri"/>
                <w:sz w:val="24"/>
                <w:szCs w:val="24"/>
                <w:lang w:val="uk-UA"/>
              </w:rPr>
            </w:pPr>
            <w:r w:rsidRPr="00F32158">
              <w:rPr>
                <w:rFonts w:eastAsia="Calibri"/>
                <w:sz w:val="24"/>
                <w:szCs w:val="24"/>
                <w:lang w:val="uk-UA"/>
              </w:rPr>
              <w:t>1417.07</w:t>
            </w:r>
          </w:p>
          <w:p w:rsidR="00F32158" w:rsidRPr="00F32158" w:rsidRDefault="00F32158" w:rsidP="00F32158">
            <w:pPr>
              <w:spacing w:line="360" w:lineRule="auto"/>
              <w:jc w:val="center"/>
              <w:rPr>
                <w:rFonts w:eastAsia="Calibri"/>
                <w:sz w:val="24"/>
                <w:szCs w:val="24"/>
                <w:lang w:val="uk-UA"/>
              </w:rPr>
            </w:pPr>
            <w:r w:rsidRPr="00F32158">
              <w:rPr>
                <w:rFonts w:eastAsia="Calibri"/>
                <w:sz w:val="24"/>
                <w:szCs w:val="24"/>
                <w:lang w:val="uk-UA"/>
              </w:rPr>
              <w:t>(1931.21-1019.38)</w:t>
            </w:r>
          </w:p>
        </w:tc>
        <w:tc>
          <w:tcPr>
            <w:tcW w:w="2977" w:type="dxa"/>
          </w:tcPr>
          <w:p w:rsidR="00F32158" w:rsidRPr="00F32158" w:rsidRDefault="00F32158" w:rsidP="00F32158">
            <w:pPr>
              <w:spacing w:line="360" w:lineRule="auto"/>
              <w:jc w:val="center"/>
              <w:rPr>
                <w:rFonts w:eastAsia="Calibri"/>
                <w:sz w:val="24"/>
                <w:szCs w:val="24"/>
                <w:lang w:val="uk-UA"/>
              </w:rPr>
            </w:pPr>
            <w:r w:rsidRPr="00F32158">
              <w:rPr>
                <w:rFonts w:eastAsia="Calibri"/>
                <w:sz w:val="24"/>
                <w:szCs w:val="24"/>
                <w:lang w:val="uk-UA"/>
              </w:rPr>
              <w:t>279.06</w:t>
            </w:r>
          </w:p>
          <w:p w:rsidR="00F32158" w:rsidRPr="00F32158" w:rsidRDefault="00F32158" w:rsidP="00F32158">
            <w:pPr>
              <w:spacing w:line="360" w:lineRule="auto"/>
              <w:jc w:val="center"/>
              <w:rPr>
                <w:rFonts w:eastAsia="Calibri"/>
                <w:sz w:val="24"/>
                <w:szCs w:val="24"/>
                <w:lang w:val="uk-UA"/>
              </w:rPr>
            </w:pPr>
            <w:r w:rsidRPr="00F32158">
              <w:rPr>
                <w:rFonts w:eastAsia="Calibri"/>
                <w:sz w:val="24"/>
                <w:szCs w:val="24"/>
                <w:lang w:val="uk-UA"/>
              </w:rPr>
              <w:t>(359.55-216.33)</w:t>
            </w:r>
          </w:p>
        </w:tc>
      </w:tr>
    </w:tbl>
    <w:p w:rsidR="00F32158" w:rsidRPr="00F32158" w:rsidRDefault="00F32158" w:rsidP="00F32158">
      <w:pPr>
        <w:spacing w:after="200" w:line="276" w:lineRule="auto"/>
        <w:jc w:val="left"/>
        <w:rPr>
          <w:rFonts w:eastAsia="Calibri"/>
          <w:b/>
          <w:szCs w:val="28"/>
        </w:rPr>
      </w:pPr>
    </w:p>
    <w:p w:rsidR="00F32158" w:rsidRPr="00F32158" w:rsidRDefault="00F32158" w:rsidP="00F32158">
      <w:pPr>
        <w:tabs>
          <w:tab w:val="left" w:pos="8293"/>
        </w:tabs>
        <w:spacing w:after="200" w:line="276" w:lineRule="auto"/>
        <w:jc w:val="left"/>
        <w:rPr>
          <w:rFonts w:eastAsia="Calibri"/>
          <w:szCs w:val="28"/>
        </w:rPr>
      </w:pPr>
    </w:p>
    <w:p w:rsidR="005D3D66" w:rsidRDefault="00D32C4B" w:rsidP="00F32158">
      <w:pPr>
        <w:tabs>
          <w:tab w:val="left" w:pos="8293"/>
        </w:tabs>
        <w:spacing w:after="200" w:line="276" w:lineRule="auto"/>
        <w:jc w:val="right"/>
        <w:rPr>
          <w:rFonts w:eastAsia="Calibri"/>
          <w:szCs w:val="28"/>
          <w:lang w:val="ru-RU"/>
        </w:rPr>
      </w:pPr>
      <w:r>
        <w:rPr>
          <w:rFonts w:eastAsia="Calibri"/>
          <w:szCs w:val="28"/>
        </w:rPr>
        <w:t xml:space="preserve"> </w:t>
      </w:r>
    </w:p>
    <w:p w:rsidR="00F32158" w:rsidRPr="00F32158" w:rsidRDefault="00D32C4B" w:rsidP="005D3D66">
      <w:pPr>
        <w:pageBreakBefore/>
        <w:widowControl w:val="0"/>
        <w:tabs>
          <w:tab w:val="left" w:pos="8293"/>
        </w:tabs>
        <w:spacing w:after="200" w:line="276" w:lineRule="auto"/>
        <w:jc w:val="right"/>
        <w:rPr>
          <w:rFonts w:eastAsia="Calibri"/>
          <w:szCs w:val="28"/>
        </w:rPr>
      </w:pPr>
      <w:r>
        <w:rPr>
          <w:rFonts w:eastAsia="Calibri"/>
          <w:szCs w:val="28"/>
        </w:rPr>
        <w:lastRenderedPageBreak/>
        <w:t xml:space="preserve">  Додаток Б</w:t>
      </w:r>
      <w:r w:rsidR="00F32158" w:rsidRPr="00F32158">
        <w:rPr>
          <w:rFonts w:eastAsia="Calibri"/>
          <w:szCs w:val="28"/>
        </w:rPr>
        <w:t>-11</w:t>
      </w:r>
    </w:p>
    <w:p w:rsidR="00F32158" w:rsidRPr="00F32158" w:rsidRDefault="00F32158" w:rsidP="00897243">
      <w:pPr>
        <w:jc w:val="center"/>
        <w:rPr>
          <w:rFonts w:eastAsia="Times New Roman"/>
          <w:b/>
          <w:szCs w:val="28"/>
          <w:lang w:eastAsia="ru-RU"/>
        </w:rPr>
      </w:pPr>
      <w:r w:rsidRPr="00F32158">
        <w:rPr>
          <w:rFonts w:eastAsia="Calibri"/>
          <w:b/>
          <w:szCs w:val="28"/>
        </w:rPr>
        <w:t xml:space="preserve">Динаміка показника ранньої неонатальної смертності дітей в деяких країнах світу та Україні за всіма причинами смерті  (2009-2019 рр.) на </w:t>
      </w:r>
      <w:r w:rsidR="00713D06">
        <w:rPr>
          <w:rFonts w:eastAsia="Calibri"/>
          <w:b/>
          <w:szCs w:val="28"/>
        </w:rPr>
        <w:t xml:space="preserve">100 тис. </w:t>
      </w:r>
      <w:r w:rsidRPr="00F32158">
        <w:rPr>
          <w:rFonts w:eastAsia="Calibri"/>
          <w:b/>
          <w:szCs w:val="28"/>
        </w:rPr>
        <w:t xml:space="preserve"> населення</w:t>
      </w:r>
    </w:p>
    <w:tbl>
      <w:tblPr>
        <w:tblStyle w:val="79"/>
        <w:tblW w:w="0" w:type="auto"/>
        <w:jc w:val="center"/>
        <w:tblLook w:val="04A0" w:firstRow="1" w:lastRow="0" w:firstColumn="1" w:lastColumn="0" w:noHBand="0" w:noVBand="1"/>
      </w:tblPr>
      <w:tblGrid>
        <w:gridCol w:w="656"/>
        <w:gridCol w:w="1096"/>
        <w:gridCol w:w="1339"/>
        <w:gridCol w:w="1185"/>
        <w:gridCol w:w="1228"/>
        <w:gridCol w:w="996"/>
        <w:gridCol w:w="986"/>
        <w:gridCol w:w="1096"/>
        <w:gridCol w:w="1096"/>
      </w:tblGrid>
      <w:tr w:rsidR="00F32158" w:rsidRPr="00713D06" w:rsidTr="00BF1F99">
        <w:trPr>
          <w:jc w:val="center"/>
        </w:trPr>
        <w:tc>
          <w:tcPr>
            <w:tcW w:w="0" w:type="auto"/>
          </w:tcPr>
          <w:p w:rsidR="00F32158" w:rsidRPr="00713D06" w:rsidRDefault="00F32158" w:rsidP="00F32158">
            <w:pPr>
              <w:widowControl w:val="0"/>
              <w:jc w:val="center"/>
              <w:rPr>
                <w:rFonts w:ascii="Times New Roman" w:hAnsi="Times New Roman"/>
                <w:sz w:val="22"/>
                <w:szCs w:val="22"/>
              </w:rPr>
            </w:pPr>
            <w:r w:rsidRPr="00713D06">
              <w:rPr>
                <w:rFonts w:ascii="Times New Roman" w:hAnsi="Times New Roman"/>
                <w:sz w:val="22"/>
                <w:szCs w:val="22"/>
              </w:rPr>
              <w:t>Рік</w:t>
            </w:r>
          </w:p>
        </w:tc>
        <w:tc>
          <w:tcPr>
            <w:tcW w:w="0" w:type="auto"/>
          </w:tcPr>
          <w:p w:rsidR="00F32158" w:rsidRPr="00713D06" w:rsidRDefault="00F32158" w:rsidP="00F32158">
            <w:pPr>
              <w:widowControl w:val="0"/>
              <w:jc w:val="center"/>
              <w:rPr>
                <w:rFonts w:ascii="Times New Roman" w:hAnsi="Times New Roman"/>
                <w:sz w:val="22"/>
                <w:szCs w:val="22"/>
              </w:rPr>
            </w:pPr>
            <w:r w:rsidRPr="00713D06">
              <w:rPr>
                <w:rFonts w:ascii="Times New Roman" w:hAnsi="Times New Roman"/>
                <w:sz w:val="22"/>
                <w:szCs w:val="22"/>
              </w:rPr>
              <w:t>Польща</w:t>
            </w:r>
          </w:p>
        </w:tc>
        <w:tc>
          <w:tcPr>
            <w:tcW w:w="0" w:type="auto"/>
          </w:tcPr>
          <w:p w:rsidR="00F32158" w:rsidRPr="00713D06" w:rsidRDefault="00F32158" w:rsidP="00F32158">
            <w:pPr>
              <w:widowControl w:val="0"/>
              <w:rPr>
                <w:rFonts w:ascii="Times New Roman" w:hAnsi="Times New Roman"/>
                <w:sz w:val="22"/>
                <w:szCs w:val="22"/>
              </w:rPr>
            </w:pPr>
            <w:r w:rsidRPr="00713D06">
              <w:rPr>
                <w:rFonts w:ascii="Times New Roman" w:hAnsi="Times New Roman"/>
                <w:sz w:val="22"/>
                <w:szCs w:val="22"/>
              </w:rPr>
              <w:t>Словаччина</w:t>
            </w:r>
          </w:p>
        </w:tc>
        <w:tc>
          <w:tcPr>
            <w:tcW w:w="0" w:type="auto"/>
          </w:tcPr>
          <w:p w:rsidR="00F32158" w:rsidRPr="00713D06" w:rsidRDefault="00F32158" w:rsidP="00F32158">
            <w:pPr>
              <w:widowControl w:val="0"/>
              <w:rPr>
                <w:rFonts w:ascii="Times New Roman" w:hAnsi="Times New Roman"/>
                <w:sz w:val="22"/>
                <w:szCs w:val="22"/>
              </w:rPr>
            </w:pPr>
            <w:r w:rsidRPr="00713D06">
              <w:rPr>
                <w:rFonts w:ascii="Times New Roman" w:hAnsi="Times New Roman"/>
                <w:sz w:val="22"/>
                <w:szCs w:val="22"/>
              </w:rPr>
              <w:t>Угорщина</w:t>
            </w:r>
          </w:p>
        </w:tc>
        <w:tc>
          <w:tcPr>
            <w:tcW w:w="0" w:type="auto"/>
          </w:tcPr>
          <w:p w:rsidR="00F32158" w:rsidRPr="00713D06" w:rsidRDefault="00F32158" w:rsidP="00F32158">
            <w:pPr>
              <w:widowControl w:val="0"/>
              <w:jc w:val="center"/>
              <w:rPr>
                <w:rFonts w:ascii="Times New Roman" w:hAnsi="Times New Roman"/>
                <w:sz w:val="22"/>
                <w:szCs w:val="22"/>
              </w:rPr>
            </w:pPr>
            <w:r w:rsidRPr="00713D06">
              <w:rPr>
                <w:rFonts w:ascii="Times New Roman" w:hAnsi="Times New Roman"/>
                <w:sz w:val="22"/>
                <w:szCs w:val="22"/>
              </w:rPr>
              <w:t>Німеччина</w:t>
            </w:r>
          </w:p>
        </w:tc>
        <w:tc>
          <w:tcPr>
            <w:tcW w:w="0" w:type="auto"/>
          </w:tcPr>
          <w:p w:rsidR="00F32158" w:rsidRPr="00713D06" w:rsidRDefault="00F32158" w:rsidP="00F32158">
            <w:pPr>
              <w:widowControl w:val="0"/>
              <w:jc w:val="center"/>
              <w:rPr>
                <w:rFonts w:ascii="Times New Roman" w:hAnsi="Times New Roman"/>
                <w:sz w:val="22"/>
                <w:szCs w:val="22"/>
              </w:rPr>
            </w:pPr>
            <w:r w:rsidRPr="00713D06">
              <w:rPr>
                <w:rFonts w:ascii="Times New Roman" w:hAnsi="Times New Roman"/>
                <w:sz w:val="22"/>
                <w:szCs w:val="22"/>
              </w:rPr>
              <w:t>Франція</w:t>
            </w:r>
          </w:p>
        </w:tc>
        <w:tc>
          <w:tcPr>
            <w:tcW w:w="0" w:type="auto"/>
          </w:tcPr>
          <w:p w:rsidR="00F32158" w:rsidRPr="00713D06" w:rsidRDefault="00F32158" w:rsidP="00F32158">
            <w:pPr>
              <w:widowControl w:val="0"/>
              <w:jc w:val="center"/>
              <w:rPr>
                <w:rFonts w:ascii="Times New Roman" w:hAnsi="Times New Roman"/>
                <w:sz w:val="22"/>
                <w:szCs w:val="22"/>
              </w:rPr>
            </w:pPr>
            <w:r w:rsidRPr="00713D06">
              <w:rPr>
                <w:rFonts w:ascii="Times New Roman" w:hAnsi="Times New Roman"/>
                <w:sz w:val="22"/>
                <w:szCs w:val="22"/>
              </w:rPr>
              <w:t>Іспанія</w:t>
            </w:r>
          </w:p>
        </w:tc>
        <w:tc>
          <w:tcPr>
            <w:tcW w:w="0" w:type="auto"/>
          </w:tcPr>
          <w:p w:rsidR="00F32158" w:rsidRPr="00713D06" w:rsidRDefault="00F32158" w:rsidP="00F32158">
            <w:pPr>
              <w:widowControl w:val="0"/>
              <w:jc w:val="center"/>
              <w:rPr>
                <w:rFonts w:ascii="Times New Roman" w:hAnsi="Times New Roman"/>
                <w:sz w:val="22"/>
                <w:szCs w:val="22"/>
              </w:rPr>
            </w:pPr>
            <w:r w:rsidRPr="00713D06">
              <w:rPr>
                <w:rFonts w:ascii="Times New Roman" w:hAnsi="Times New Roman"/>
                <w:sz w:val="22"/>
                <w:szCs w:val="22"/>
              </w:rPr>
              <w:t>США</w:t>
            </w:r>
          </w:p>
        </w:tc>
        <w:tc>
          <w:tcPr>
            <w:tcW w:w="0" w:type="auto"/>
          </w:tcPr>
          <w:p w:rsidR="00F32158" w:rsidRPr="00713D06" w:rsidRDefault="00F32158" w:rsidP="00F32158">
            <w:pPr>
              <w:widowControl w:val="0"/>
              <w:jc w:val="center"/>
              <w:rPr>
                <w:rFonts w:ascii="Times New Roman" w:hAnsi="Times New Roman"/>
                <w:sz w:val="22"/>
                <w:szCs w:val="22"/>
              </w:rPr>
            </w:pPr>
            <w:r w:rsidRPr="00713D06">
              <w:rPr>
                <w:rFonts w:ascii="Times New Roman" w:hAnsi="Times New Roman"/>
                <w:sz w:val="22"/>
                <w:szCs w:val="22"/>
              </w:rPr>
              <w:t>Україна</w:t>
            </w:r>
          </w:p>
        </w:tc>
      </w:tr>
      <w:tr w:rsidR="00F32158" w:rsidRPr="00713D06" w:rsidTr="00BF1F99">
        <w:trPr>
          <w:jc w:val="center"/>
        </w:trPr>
        <w:tc>
          <w:tcPr>
            <w:tcW w:w="0" w:type="auto"/>
          </w:tcPr>
          <w:p w:rsidR="00F32158" w:rsidRPr="00713D06" w:rsidRDefault="00F32158" w:rsidP="00F32158">
            <w:pPr>
              <w:widowControl w:val="0"/>
              <w:jc w:val="center"/>
              <w:rPr>
                <w:rFonts w:ascii="Times New Roman" w:hAnsi="Times New Roman"/>
                <w:sz w:val="22"/>
                <w:szCs w:val="22"/>
              </w:rPr>
            </w:pPr>
            <w:r w:rsidRPr="00713D06">
              <w:rPr>
                <w:rFonts w:ascii="Times New Roman" w:hAnsi="Times New Roman"/>
                <w:sz w:val="22"/>
                <w:szCs w:val="22"/>
              </w:rPr>
              <w:t>2009</w:t>
            </w:r>
          </w:p>
        </w:tc>
        <w:tc>
          <w:tcPr>
            <w:tcW w:w="0" w:type="auto"/>
          </w:tcPr>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12,870.20</w:t>
            </w:r>
          </w:p>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15,726.47</w:t>
            </w:r>
          </w:p>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10,388.57</w:t>
            </w:r>
          </w:p>
          <w:p w:rsidR="00F32158" w:rsidRPr="00713D06" w:rsidRDefault="00F32158" w:rsidP="00F32158">
            <w:pPr>
              <w:shd w:val="clear" w:color="auto" w:fill="FFFFFF"/>
              <w:jc w:val="right"/>
              <w:rPr>
                <w:rFonts w:ascii="Times New Roman" w:hAnsi="Times New Roman"/>
                <w:sz w:val="22"/>
                <w:szCs w:val="22"/>
              </w:rPr>
            </w:pPr>
          </w:p>
        </w:tc>
        <w:tc>
          <w:tcPr>
            <w:tcW w:w="0" w:type="auto"/>
          </w:tcPr>
          <w:p w:rsidR="00F32158" w:rsidRPr="00713D06" w:rsidRDefault="00F32158" w:rsidP="00F32158">
            <w:pPr>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11,516.40</w:t>
            </w:r>
          </w:p>
          <w:p w:rsidR="00F32158" w:rsidRPr="00713D06" w:rsidRDefault="00F32158" w:rsidP="00F32158">
            <w:pPr>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12,976.99</w:t>
            </w:r>
          </w:p>
          <w:p w:rsidR="00F32158" w:rsidRPr="00713D06" w:rsidRDefault="00F32158" w:rsidP="00F32158">
            <w:pPr>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10,080.41</w:t>
            </w:r>
          </w:p>
          <w:p w:rsidR="00F32158" w:rsidRPr="00713D06" w:rsidRDefault="00F32158" w:rsidP="00F32158">
            <w:pPr>
              <w:widowControl w:val="0"/>
              <w:jc w:val="center"/>
              <w:rPr>
                <w:rFonts w:ascii="Times New Roman" w:hAnsi="Times New Roman"/>
                <w:sz w:val="22"/>
                <w:szCs w:val="22"/>
              </w:rPr>
            </w:pPr>
          </w:p>
        </w:tc>
        <w:tc>
          <w:tcPr>
            <w:tcW w:w="0" w:type="auto"/>
          </w:tcPr>
          <w:p w:rsidR="00F32158" w:rsidRPr="00713D06" w:rsidRDefault="00F32158" w:rsidP="00F32158">
            <w:pPr>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12,218.37</w:t>
            </w:r>
          </w:p>
          <w:p w:rsidR="00F32158" w:rsidRPr="00713D06" w:rsidRDefault="00F32158" w:rsidP="00F32158">
            <w:pPr>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13,810.24</w:t>
            </w:r>
          </w:p>
          <w:p w:rsidR="00F32158" w:rsidRPr="00713D06" w:rsidRDefault="00F32158" w:rsidP="00F32158">
            <w:pPr>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10,740.48</w:t>
            </w:r>
          </w:p>
          <w:p w:rsidR="00F32158" w:rsidRPr="00713D06" w:rsidRDefault="00F32158" w:rsidP="00F32158">
            <w:pPr>
              <w:widowControl w:val="0"/>
              <w:jc w:val="center"/>
              <w:rPr>
                <w:rFonts w:ascii="Times New Roman" w:hAnsi="Times New Roman"/>
                <w:sz w:val="22"/>
                <w:szCs w:val="22"/>
              </w:rPr>
            </w:pPr>
          </w:p>
        </w:tc>
        <w:tc>
          <w:tcPr>
            <w:tcW w:w="0" w:type="auto"/>
          </w:tcPr>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9,486.62</w:t>
            </w:r>
          </w:p>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10,486.78</w:t>
            </w:r>
          </w:p>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8,492.62</w:t>
            </w:r>
          </w:p>
          <w:p w:rsidR="00F32158" w:rsidRPr="00713D06" w:rsidRDefault="00F32158" w:rsidP="00F32158">
            <w:pPr>
              <w:widowControl w:val="0"/>
              <w:jc w:val="center"/>
              <w:rPr>
                <w:rFonts w:ascii="Times New Roman" w:hAnsi="Times New Roman"/>
                <w:sz w:val="22"/>
                <w:szCs w:val="22"/>
              </w:rPr>
            </w:pPr>
          </w:p>
        </w:tc>
        <w:tc>
          <w:tcPr>
            <w:tcW w:w="0" w:type="auto"/>
          </w:tcPr>
          <w:p w:rsidR="00F32158" w:rsidRPr="00713D06" w:rsidRDefault="00F32158" w:rsidP="00F32158">
            <w:pPr>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8,480.56</w:t>
            </w:r>
          </w:p>
          <w:p w:rsidR="00F32158" w:rsidRPr="00713D06" w:rsidRDefault="00F32158" w:rsidP="00F32158">
            <w:pPr>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9,879.64</w:t>
            </w:r>
          </w:p>
          <w:p w:rsidR="00F32158" w:rsidRPr="00713D06" w:rsidRDefault="00F32158" w:rsidP="00F32158">
            <w:pPr>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7,183.78</w:t>
            </w:r>
          </w:p>
          <w:p w:rsidR="00F32158" w:rsidRPr="00713D06" w:rsidRDefault="00F32158" w:rsidP="00F32158">
            <w:pPr>
              <w:widowControl w:val="0"/>
              <w:jc w:val="center"/>
              <w:rPr>
                <w:rFonts w:ascii="Times New Roman" w:hAnsi="Times New Roman"/>
                <w:sz w:val="22"/>
                <w:szCs w:val="22"/>
              </w:rPr>
            </w:pPr>
          </w:p>
        </w:tc>
        <w:tc>
          <w:tcPr>
            <w:tcW w:w="0" w:type="auto"/>
          </w:tcPr>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7,198.60</w:t>
            </w:r>
          </w:p>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8,168.79</w:t>
            </w:r>
          </w:p>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6,257.21</w:t>
            </w:r>
          </w:p>
          <w:p w:rsidR="00F32158" w:rsidRPr="00713D06" w:rsidRDefault="00F32158" w:rsidP="00F32158">
            <w:pPr>
              <w:widowControl w:val="0"/>
              <w:jc w:val="center"/>
              <w:rPr>
                <w:rFonts w:ascii="Times New Roman" w:hAnsi="Times New Roman"/>
                <w:sz w:val="22"/>
                <w:szCs w:val="22"/>
              </w:rPr>
            </w:pPr>
          </w:p>
        </w:tc>
        <w:tc>
          <w:tcPr>
            <w:tcW w:w="0" w:type="auto"/>
          </w:tcPr>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17,889.32</w:t>
            </w:r>
          </w:p>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19,223.67</w:t>
            </w:r>
          </w:p>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16,468.96</w:t>
            </w:r>
          </w:p>
          <w:p w:rsidR="00F32158" w:rsidRPr="00713D06" w:rsidRDefault="00F32158" w:rsidP="00F32158">
            <w:pPr>
              <w:widowControl w:val="0"/>
              <w:jc w:val="center"/>
              <w:rPr>
                <w:rFonts w:ascii="Times New Roman" w:hAnsi="Times New Roman"/>
                <w:sz w:val="22"/>
                <w:szCs w:val="22"/>
              </w:rPr>
            </w:pPr>
          </w:p>
        </w:tc>
        <w:tc>
          <w:tcPr>
            <w:tcW w:w="0" w:type="auto"/>
          </w:tcPr>
          <w:p w:rsidR="00F32158" w:rsidRPr="00713D06" w:rsidRDefault="00F32158" w:rsidP="00F32158">
            <w:pPr>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24,483.17</w:t>
            </w:r>
          </w:p>
          <w:p w:rsidR="00F32158" w:rsidRPr="00713D06" w:rsidRDefault="00F32158" w:rsidP="00F32158">
            <w:pPr>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26,821.61</w:t>
            </w:r>
          </w:p>
          <w:p w:rsidR="00F32158" w:rsidRPr="00713D06" w:rsidRDefault="00F32158" w:rsidP="00F32158">
            <w:pPr>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22,060.08</w:t>
            </w:r>
          </w:p>
          <w:p w:rsidR="00F32158" w:rsidRPr="00713D06" w:rsidRDefault="00F32158" w:rsidP="00F32158">
            <w:pPr>
              <w:widowControl w:val="0"/>
              <w:jc w:val="center"/>
              <w:rPr>
                <w:rFonts w:ascii="Times New Roman" w:hAnsi="Times New Roman"/>
                <w:sz w:val="22"/>
                <w:szCs w:val="22"/>
                <w:highlight w:val="yellow"/>
              </w:rPr>
            </w:pPr>
          </w:p>
        </w:tc>
      </w:tr>
      <w:tr w:rsidR="00F32158" w:rsidRPr="00713D06" w:rsidTr="00BF1F99">
        <w:trPr>
          <w:jc w:val="center"/>
        </w:trPr>
        <w:tc>
          <w:tcPr>
            <w:tcW w:w="0" w:type="auto"/>
          </w:tcPr>
          <w:p w:rsidR="00F32158" w:rsidRPr="00713D06" w:rsidRDefault="00F32158" w:rsidP="00F32158">
            <w:pPr>
              <w:widowControl w:val="0"/>
              <w:jc w:val="center"/>
              <w:rPr>
                <w:rFonts w:ascii="Times New Roman" w:hAnsi="Times New Roman"/>
                <w:sz w:val="22"/>
                <w:szCs w:val="22"/>
              </w:rPr>
            </w:pPr>
            <w:r w:rsidRPr="00713D06">
              <w:rPr>
                <w:rFonts w:ascii="Times New Roman" w:hAnsi="Times New Roman"/>
                <w:sz w:val="22"/>
                <w:szCs w:val="22"/>
              </w:rPr>
              <w:t>2010</w:t>
            </w:r>
          </w:p>
        </w:tc>
        <w:tc>
          <w:tcPr>
            <w:tcW w:w="0" w:type="auto"/>
          </w:tcPr>
          <w:p w:rsidR="00F32158" w:rsidRPr="00713D06" w:rsidRDefault="00F32158" w:rsidP="00F32158">
            <w:pPr>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11,820.71</w:t>
            </w:r>
          </w:p>
          <w:p w:rsidR="00F32158" w:rsidRPr="00713D06" w:rsidRDefault="00F32158" w:rsidP="00F32158">
            <w:pPr>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14,423.05</w:t>
            </w:r>
          </w:p>
          <w:p w:rsidR="00F32158" w:rsidRPr="00713D06" w:rsidRDefault="00F32158" w:rsidP="00F32158">
            <w:pPr>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9,554.91</w:t>
            </w:r>
          </w:p>
          <w:p w:rsidR="00F32158" w:rsidRPr="00713D06" w:rsidRDefault="00F32158" w:rsidP="00F32158">
            <w:pPr>
              <w:jc w:val="right"/>
              <w:rPr>
                <w:rFonts w:ascii="Times New Roman" w:hAnsi="Times New Roman"/>
                <w:sz w:val="22"/>
                <w:szCs w:val="22"/>
              </w:rPr>
            </w:pPr>
          </w:p>
        </w:tc>
        <w:tc>
          <w:tcPr>
            <w:tcW w:w="0" w:type="auto"/>
          </w:tcPr>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10,943.17</w:t>
            </w:r>
          </w:p>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12,694.65</w:t>
            </w:r>
          </w:p>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9,311.23</w:t>
            </w:r>
          </w:p>
          <w:p w:rsidR="00F32158" w:rsidRPr="00713D06" w:rsidRDefault="00F32158" w:rsidP="00F32158">
            <w:pPr>
              <w:widowControl w:val="0"/>
              <w:jc w:val="center"/>
              <w:rPr>
                <w:rFonts w:ascii="Times New Roman" w:hAnsi="Times New Roman"/>
                <w:sz w:val="22"/>
                <w:szCs w:val="22"/>
              </w:rPr>
            </w:pPr>
          </w:p>
        </w:tc>
        <w:tc>
          <w:tcPr>
            <w:tcW w:w="0" w:type="auto"/>
          </w:tcPr>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11,672.86</w:t>
            </w:r>
          </w:p>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13,106.15</w:t>
            </w:r>
          </w:p>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10,361.11</w:t>
            </w:r>
          </w:p>
          <w:p w:rsidR="00F32158" w:rsidRPr="00713D06" w:rsidRDefault="00F32158" w:rsidP="00F32158">
            <w:pPr>
              <w:widowControl w:val="0"/>
              <w:jc w:val="center"/>
              <w:rPr>
                <w:rFonts w:ascii="Times New Roman" w:hAnsi="Times New Roman"/>
                <w:sz w:val="22"/>
                <w:szCs w:val="22"/>
              </w:rPr>
            </w:pPr>
          </w:p>
        </w:tc>
        <w:tc>
          <w:tcPr>
            <w:tcW w:w="0" w:type="auto"/>
          </w:tcPr>
          <w:p w:rsidR="00F32158" w:rsidRPr="00713D06" w:rsidRDefault="00F32158" w:rsidP="00F32158">
            <w:pPr>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9,306.82</w:t>
            </w:r>
          </w:p>
          <w:p w:rsidR="00F32158" w:rsidRPr="00713D06" w:rsidRDefault="00F32158" w:rsidP="00F32158">
            <w:pPr>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10,114.07</w:t>
            </w:r>
          </w:p>
          <w:p w:rsidR="00F32158" w:rsidRPr="00713D06" w:rsidRDefault="00F32158" w:rsidP="00F32158">
            <w:pPr>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8,475.69</w:t>
            </w:r>
          </w:p>
          <w:p w:rsidR="00F32158" w:rsidRPr="00713D06" w:rsidRDefault="00F32158" w:rsidP="00F32158">
            <w:pPr>
              <w:widowControl w:val="0"/>
              <w:jc w:val="center"/>
              <w:rPr>
                <w:rFonts w:ascii="Times New Roman" w:hAnsi="Times New Roman"/>
                <w:sz w:val="22"/>
                <w:szCs w:val="22"/>
              </w:rPr>
            </w:pPr>
          </w:p>
        </w:tc>
        <w:tc>
          <w:tcPr>
            <w:tcW w:w="0" w:type="auto"/>
          </w:tcPr>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8,474.34</w:t>
            </w:r>
          </w:p>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9,799.93</w:t>
            </w:r>
          </w:p>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7,146.62</w:t>
            </w:r>
          </w:p>
          <w:p w:rsidR="00F32158" w:rsidRPr="00713D06" w:rsidRDefault="00F32158" w:rsidP="00F32158">
            <w:pPr>
              <w:widowControl w:val="0"/>
              <w:jc w:val="center"/>
              <w:rPr>
                <w:rFonts w:ascii="Times New Roman" w:hAnsi="Times New Roman"/>
                <w:sz w:val="22"/>
                <w:szCs w:val="22"/>
              </w:rPr>
            </w:pPr>
          </w:p>
        </w:tc>
        <w:tc>
          <w:tcPr>
            <w:tcW w:w="0" w:type="auto"/>
          </w:tcPr>
          <w:p w:rsidR="00F32158" w:rsidRPr="00713D06" w:rsidRDefault="00F32158" w:rsidP="00F32158">
            <w:pPr>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7,178.26</w:t>
            </w:r>
          </w:p>
          <w:p w:rsidR="00F32158" w:rsidRPr="00713D06" w:rsidRDefault="00F32158" w:rsidP="00F32158">
            <w:pPr>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8,149.33</w:t>
            </w:r>
          </w:p>
          <w:p w:rsidR="00F32158" w:rsidRPr="00713D06" w:rsidRDefault="00F32158" w:rsidP="00F32158">
            <w:pPr>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6,173.97</w:t>
            </w:r>
          </w:p>
          <w:p w:rsidR="00F32158" w:rsidRPr="00713D06" w:rsidRDefault="00F32158" w:rsidP="00F32158">
            <w:pPr>
              <w:widowControl w:val="0"/>
              <w:jc w:val="center"/>
              <w:rPr>
                <w:rFonts w:ascii="Times New Roman" w:hAnsi="Times New Roman"/>
                <w:sz w:val="22"/>
                <w:szCs w:val="22"/>
              </w:rPr>
            </w:pPr>
          </w:p>
        </w:tc>
        <w:tc>
          <w:tcPr>
            <w:tcW w:w="0" w:type="auto"/>
          </w:tcPr>
          <w:p w:rsidR="00F32158" w:rsidRPr="00713D06" w:rsidRDefault="00F32158" w:rsidP="00F32158">
            <w:pPr>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17,332.03</w:t>
            </w:r>
          </w:p>
          <w:p w:rsidR="00F32158" w:rsidRPr="00713D06" w:rsidRDefault="00F32158" w:rsidP="00F32158">
            <w:pPr>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18,572.45</w:t>
            </w:r>
          </w:p>
          <w:p w:rsidR="00F32158" w:rsidRPr="00713D06" w:rsidRDefault="00F32158" w:rsidP="00F32158">
            <w:pPr>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16,029.25</w:t>
            </w:r>
          </w:p>
          <w:p w:rsidR="00F32158" w:rsidRPr="00713D06" w:rsidRDefault="00F32158" w:rsidP="00F32158">
            <w:pPr>
              <w:widowControl w:val="0"/>
              <w:jc w:val="center"/>
              <w:rPr>
                <w:rFonts w:ascii="Times New Roman" w:hAnsi="Times New Roman"/>
                <w:sz w:val="22"/>
                <w:szCs w:val="22"/>
              </w:rPr>
            </w:pPr>
          </w:p>
        </w:tc>
        <w:tc>
          <w:tcPr>
            <w:tcW w:w="0" w:type="auto"/>
          </w:tcPr>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23,196.50</w:t>
            </w:r>
          </w:p>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25,079.42</w:t>
            </w:r>
          </w:p>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21,318.55</w:t>
            </w:r>
          </w:p>
          <w:p w:rsidR="00F32158" w:rsidRPr="00713D06" w:rsidRDefault="00F32158" w:rsidP="00F32158">
            <w:pPr>
              <w:widowControl w:val="0"/>
              <w:jc w:val="center"/>
              <w:rPr>
                <w:rFonts w:ascii="Times New Roman" w:hAnsi="Times New Roman"/>
                <w:sz w:val="22"/>
                <w:szCs w:val="22"/>
                <w:highlight w:val="yellow"/>
              </w:rPr>
            </w:pPr>
          </w:p>
        </w:tc>
      </w:tr>
      <w:tr w:rsidR="00F32158" w:rsidRPr="00713D06" w:rsidTr="00BF1F99">
        <w:trPr>
          <w:jc w:val="center"/>
        </w:trPr>
        <w:tc>
          <w:tcPr>
            <w:tcW w:w="0" w:type="auto"/>
          </w:tcPr>
          <w:p w:rsidR="00F32158" w:rsidRPr="00713D06" w:rsidRDefault="00F32158" w:rsidP="00F32158">
            <w:pPr>
              <w:widowControl w:val="0"/>
              <w:jc w:val="center"/>
              <w:rPr>
                <w:rFonts w:ascii="Times New Roman" w:hAnsi="Times New Roman"/>
                <w:sz w:val="22"/>
                <w:szCs w:val="22"/>
              </w:rPr>
            </w:pPr>
            <w:r w:rsidRPr="00713D06">
              <w:rPr>
                <w:rFonts w:ascii="Times New Roman" w:hAnsi="Times New Roman"/>
                <w:sz w:val="22"/>
                <w:szCs w:val="22"/>
              </w:rPr>
              <w:t>2011</w:t>
            </w:r>
          </w:p>
        </w:tc>
        <w:tc>
          <w:tcPr>
            <w:tcW w:w="0" w:type="auto"/>
          </w:tcPr>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10,955.15</w:t>
            </w:r>
          </w:p>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12,987.19</w:t>
            </w:r>
          </w:p>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9,093.16</w:t>
            </w:r>
          </w:p>
          <w:p w:rsidR="00F32158" w:rsidRPr="00713D06" w:rsidRDefault="00F32158" w:rsidP="00F32158">
            <w:pPr>
              <w:widowControl w:val="0"/>
              <w:jc w:val="center"/>
              <w:rPr>
                <w:rFonts w:ascii="Times New Roman" w:hAnsi="Times New Roman"/>
                <w:sz w:val="22"/>
                <w:szCs w:val="22"/>
              </w:rPr>
            </w:pPr>
          </w:p>
        </w:tc>
        <w:tc>
          <w:tcPr>
            <w:tcW w:w="0" w:type="auto"/>
          </w:tcPr>
          <w:p w:rsidR="00F32158" w:rsidRPr="00713D06" w:rsidRDefault="00F32158" w:rsidP="00F32158">
            <w:pPr>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10,320.51</w:t>
            </w:r>
          </w:p>
          <w:p w:rsidR="00F32158" w:rsidRPr="00713D06" w:rsidRDefault="00F32158" w:rsidP="00F32158">
            <w:pPr>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12,086.15</w:t>
            </w:r>
          </w:p>
          <w:p w:rsidR="00F32158" w:rsidRPr="00713D06" w:rsidRDefault="00F32158" w:rsidP="00F32158">
            <w:pPr>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8,553.68</w:t>
            </w:r>
          </w:p>
          <w:p w:rsidR="00F32158" w:rsidRPr="00713D06" w:rsidRDefault="00F32158" w:rsidP="00F32158">
            <w:pPr>
              <w:widowControl w:val="0"/>
              <w:jc w:val="center"/>
              <w:rPr>
                <w:rFonts w:ascii="Times New Roman" w:hAnsi="Times New Roman"/>
                <w:sz w:val="22"/>
                <w:szCs w:val="22"/>
              </w:rPr>
            </w:pPr>
          </w:p>
        </w:tc>
        <w:tc>
          <w:tcPr>
            <w:tcW w:w="0" w:type="auto"/>
          </w:tcPr>
          <w:p w:rsidR="00F32158" w:rsidRPr="00713D06" w:rsidRDefault="00F32158" w:rsidP="00F32158">
            <w:pPr>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10,950.36</w:t>
            </w:r>
          </w:p>
          <w:p w:rsidR="00F32158" w:rsidRPr="00713D06" w:rsidRDefault="00F32158" w:rsidP="00F32158">
            <w:pPr>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11,953.82</w:t>
            </w:r>
          </w:p>
          <w:p w:rsidR="00F32158" w:rsidRPr="00713D06" w:rsidRDefault="00F32158" w:rsidP="00F32158">
            <w:pPr>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9,944.97</w:t>
            </w:r>
          </w:p>
          <w:p w:rsidR="00F32158" w:rsidRPr="00713D06" w:rsidRDefault="00F32158" w:rsidP="00F32158">
            <w:pPr>
              <w:widowControl w:val="0"/>
              <w:jc w:val="center"/>
              <w:rPr>
                <w:rFonts w:ascii="Times New Roman" w:hAnsi="Times New Roman"/>
                <w:sz w:val="22"/>
                <w:szCs w:val="22"/>
              </w:rPr>
            </w:pPr>
          </w:p>
        </w:tc>
        <w:tc>
          <w:tcPr>
            <w:tcW w:w="0" w:type="auto"/>
          </w:tcPr>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9,339.57</w:t>
            </w:r>
          </w:p>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10,199.16</w:t>
            </w:r>
          </w:p>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8,498.17</w:t>
            </w:r>
          </w:p>
          <w:p w:rsidR="00F32158" w:rsidRPr="00713D06" w:rsidRDefault="00F32158" w:rsidP="00F32158">
            <w:pPr>
              <w:widowControl w:val="0"/>
              <w:jc w:val="center"/>
              <w:rPr>
                <w:rFonts w:ascii="Times New Roman" w:hAnsi="Times New Roman"/>
                <w:sz w:val="22"/>
                <w:szCs w:val="22"/>
              </w:rPr>
            </w:pPr>
          </w:p>
        </w:tc>
        <w:tc>
          <w:tcPr>
            <w:tcW w:w="0" w:type="auto"/>
          </w:tcPr>
          <w:p w:rsidR="00F32158" w:rsidRPr="00713D06" w:rsidRDefault="00F32158" w:rsidP="00F32158">
            <w:pPr>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8,186.65</w:t>
            </w:r>
          </w:p>
          <w:p w:rsidR="00F32158" w:rsidRPr="00713D06" w:rsidRDefault="00F32158" w:rsidP="00F32158">
            <w:pPr>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9,330.88</w:t>
            </w:r>
          </w:p>
          <w:p w:rsidR="00F32158" w:rsidRPr="00713D06" w:rsidRDefault="00F32158" w:rsidP="00F32158">
            <w:pPr>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7,096.02</w:t>
            </w:r>
          </w:p>
          <w:p w:rsidR="00F32158" w:rsidRPr="00713D06" w:rsidRDefault="00F32158" w:rsidP="00F32158">
            <w:pPr>
              <w:widowControl w:val="0"/>
              <w:jc w:val="center"/>
              <w:rPr>
                <w:rFonts w:ascii="Times New Roman" w:hAnsi="Times New Roman"/>
                <w:sz w:val="22"/>
                <w:szCs w:val="22"/>
              </w:rPr>
            </w:pPr>
          </w:p>
        </w:tc>
        <w:tc>
          <w:tcPr>
            <w:tcW w:w="0" w:type="auto"/>
          </w:tcPr>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7,128.41</w:t>
            </w:r>
          </w:p>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8,080.60</w:t>
            </w:r>
          </w:p>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6,157.46</w:t>
            </w:r>
          </w:p>
          <w:p w:rsidR="00F32158" w:rsidRPr="00713D06" w:rsidRDefault="00F32158" w:rsidP="00F32158">
            <w:pPr>
              <w:widowControl w:val="0"/>
              <w:jc w:val="center"/>
              <w:rPr>
                <w:rFonts w:ascii="Times New Roman" w:hAnsi="Times New Roman"/>
                <w:sz w:val="22"/>
                <w:szCs w:val="22"/>
              </w:rPr>
            </w:pPr>
          </w:p>
        </w:tc>
        <w:tc>
          <w:tcPr>
            <w:tcW w:w="0" w:type="auto"/>
          </w:tcPr>
          <w:p w:rsidR="00F32158" w:rsidRPr="00713D06" w:rsidRDefault="00F32158" w:rsidP="00F32158">
            <w:pPr>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17,173.45</w:t>
            </w:r>
          </w:p>
          <w:p w:rsidR="00F32158" w:rsidRPr="00713D06" w:rsidRDefault="00F32158" w:rsidP="00F32158">
            <w:pPr>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18,590.00</w:t>
            </w:r>
          </w:p>
          <w:p w:rsidR="00F32158" w:rsidRPr="00713D06" w:rsidRDefault="00F32158" w:rsidP="00F32158">
            <w:pPr>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15,710.81</w:t>
            </w:r>
          </w:p>
          <w:p w:rsidR="00F32158" w:rsidRPr="00713D06" w:rsidRDefault="00F32158" w:rsidP="00F32158">
            <w:pPr>
              <w:widowControl w:val="0"/>
              <w:jc w:val="center"/>
              <w:rPr>
                <w:rFonts w:ascii="Times New Roman" w:hAnsi="Times New Roman"/>
                <w:sz w:val="22"/>
                <w:szCs w:val="22"/>
              </w:rPr>
            </w:pPr>
          </w:p>
        </w:tc>
        <w:tc>
          <w:tcPr>
            <w:tcW w:w="0" w:type="auto"/>
          </w:tcPr>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22,039.93</w:t>
            </w:r>
          </w:p>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23,957.71</w:t>
            </w:r>
          </w:p>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20,219.29</w:t>
            </w:r>
          </w:p>
          <w:p w:rsidR="00F32158" w:rsidRPr="00713D06" w:rsidRDefault="00F32158" w:rsidP="00F32158">
            <w:pPr>
              <w:widowControl w:val="0"/>
              <w:jc w:val="center"/>
              <w:rPr>
                <w:rFonts w:ascii="Times New Roman" w:hAnsi="Times New Roman"/>
                <w:sz w:val="22"/>
                <w:szCs w:val="22"/>
                <w:highlight w:val="yellow"/>
              </w:rPr>
            </w:pPr>
          </w:p>
        </w:tc>
      </w:tr>
      <w:tr w:rsidR="00F32158" w:rsidRPr="00713D06" w:rsidTr="00BF1F99">
        <w:trPr>
          <w:jc w:val="center"/>
        </w:trPr>
        <w:tc>
          <w:tcPr>
            <w:tcW w:w="0" w:type="auto"/>
          </w:tcPr>
          <w:p w:rsidR="00F32158" w:rsidRPr="00713D06" w:rsidRDefault="00F32158" w:rsidP="00F32158">
            <w:pPr>
              <w:widowControl w:val="0"/>
              <w:jc w:val="center"/>
              <w:rPr>
                <w:rFonts w:ascii="Times New Roman" w:hAnsi="Times New Roman"/>
                <w:sz w:val="22"/>
                <w:szCs w:val="22"/>
              </w:rPr>
            </w:pPr>
            <w:r w:rsidRPr="00713D06">
              <w:rPr>
                <w:rFonts w:ascii="Times New Roman" w:hAnsi="Times New Roman"/>
                <w:sz w:val="22"/>
                <w:szCs w:val="22"/>
              </w:rPr>
              <w:t>2012</w:t>
            </w:r>
          </w:p>
        </w:tc>
        <w:tc>
          <w:tcPr>
            <w:tcW w:w="0" w:type="auto"/>
          </w:tcPr>
          <w:p w:rsidR="00F32158" w:rsidRPr="00713D06" w:rsidRDefault="00F32158" w:rsidP="00F32158">
            <w:pPr>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10,725.44</w:t>
            </w:r>
          </w:p>
          <w:p w:rsidR="00F32158" w:rsidRPr="00713D06" w:rsidRDefault="00F32158" w:rsidP="00F32158">
            <w:pPr>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12,606.24</w:t>
            </w:r>
          </w:p>
          <w:p w:rsidR="00F32158" w:rsidRPr="00713D06" w:rsidRDefault="00F32158" w:rsidP="00F32158">
            <w:pPr>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8,950.47</w:t>
            </w:r>
          </w:p>
          <w:p w:rsidR="00F32158" w:rsidRPr="00713D06" w:rsidRDefault="00F32158" w:rsidP="00F32158">
            <w:pPr>
              <w:widowControl w:val="0"/>
              <w:jc w:val="center"/>
              <w:rPr>
                <w:rFonts w:ascii="Times New Roman" w:hAnsi="Times New Roman"/>
                <w:sz w:val="22"/>
                <w:szCs w:val="22"/>
              </w:rPr>
            </w:pPr>
          </w:p>
        </w:tc>
        <w:tc>
          <w:tcPr>
            <w:tcW w:w="0" w:type="auto"/>
          </w:tcPr>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10,953.68</w:t>
            </w:r>
          </w:p>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12,380.53</w:t>
            </w:r>
          </w:p>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9,595.08</w:t>
            </w:r>
          </w:p>
          <w:p w:rsidR="00F32158" w:rsidRPr="00713D06" w:rsidRDefault="00F32158" w:rsidP="00F32158">
            <w:pPr>
              <w:widowControl w:val="0"/>
              <w:jc w:val="center"/>
              <w:rPr>
                <w:rFonts w:ascii="Times New Roman" w:hAnsi="Times New Roman"/>
                <w:sz w:val="22"/>
                <w:szCs w:val="22"/>
              </w:rPr>
            </w:pPr>
          </w:p>
        </w:tc>
        <w:tc>
          <w:tcPr>
            <w:tcW w:w="0" w:type="auto"/>
          </w:tcPr>
          <w:p w:rsidR="00F32158" w:rsidRPr="00713D06" w:rsidRDefault="00F32158" w:rsidP="00F32158">
            <w:pPr>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10,262.18</w:t>
            </w:r>
          </w:p>
          <w:p w:rsidR="00F32158" w:rsidRPr="00713D06" w:rsidRDefault="00F32158" w:rsidP="00F32158">
            <w:pPr>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11,569.74</w:t>
            </w:r>
          </w:p>
          <w:p w:rsidR="00F32158" w:rsidRPr="00713D06" w:rsidRDefault="00F32158" w:rsidP="00F32158">
            <w:pPr>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9,083.22</w:t>
            </w:r>
          </w:p>
          <w:p w:rsidR="00F32158" w:rsidRPr="00713D06" w:rsidRDefault="00F32158" w:rsidP="00F32158">
            <w:pPr>
              <w:widowControl w:val="0"/>
              <w:jc w:val="center"/>
              <w:rPr>
                <w:rFonts w:ascii="Times New Roman" w:hAnsi="Times New Roman"/>
                <w:sz w:val="22"/>
                <w:szCs w:val="22"/>
              </w:rPr>
            </w:pPr>
          </w:p>
        </w:tc>
        <w:tc>
          <w:tcPr>
            <w:tcW w:w="0" w:type="auto"/>
          </w:tcPr>
          <w:p w:rsidR="00F32158" w:rsidRPr="00713D06" w:rsidRDefault="00F32158" w:rsidP="00F32158">
            <w:pPr>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8,913.16</w:t>
            </w:r>
          </w:p>
          <w:p w:rsidR="00F32158" w:rsidRPr="00713D06" w:rsidRDefault="00F32158" w:rsidP="00F32158">
            <w:pPr>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9,757.70</w:t>
            </w:r>
          </w:p>
          <w:p w:rsidR="00F32158" w:rsidRPr="00713D06" w:rsidRDefault="00F32158" w:rsidP="00F32158">
            <w:pPr>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8,091.51</w:t>
            </w:r>
          </w:p>
          <w:p w:rsidR="00F32158" w:rsidRPr="00713D06" w:rsidRDefault="00F32158" w:rsidP="00F32158">
            <w:pPr>
              <w:widowControl w:val="0"/>
              <w:jc w:val="center"/>
              <w:rPr>
                <w:rFonts w:ascii="Times New Roman" w:hAnsi="Times New Roman"/>
                <w:sz w:val="22"/>
                <w:szCs w:val="22"/>
              </w:rPr>
            </w:pPr>
          </w:p>
        </w:tc>
        <w:tc>
          <w:tcPr>
            <w:tcW w:w="0" w:type="auto"/>
          </w:tcPr>
          <w:p w:rsidR="00F32158" w:rsidRPr="00713D06" w:rsidRDefault="00F32158" w:rsidP="00F32158">
            <w:pPr>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8,279.60</w:t>
            </w:r>
          </w:p>
          <w:p w:rsidR="00F32158" w:rsidRPr="00713D06" w:rsidRDefault="00F32158" w:rsidP="00F32158">
            <w:pPr>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9,298.65</w:t>
            </w:r>
          </w:p>
          <w:p w:rsidR="00F32158" w:rsidRPr="00713D06" w:rsidRDefault="00F32158" w:rsidP="00F32158">
            <w:pPr>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7,234.62</w:t>
            </w:r>
          </w:p>
          <w:p w:rsidR="00F32158" w:rsidRPr="00713D06" w:rsidRDefault="00F32158" w:rsidP="00F32158">
            <w:pPr>
              <w:widowControl w:val="0"/>
              <w:jc w:val="center"/>
              <w:rPr>
                <w:rFonts w:ascii="Times New Roman" w:hAnsi="Times New Roman"/>
                <w:sz w:val="22"/>
                <w:szCs w:val="22"/>
              </w:rPr>
            </w:pPr>
          </w:p>
        </w:tc>
        <w:tc>
          <w:tcPr>
            <w:tcW w:w="0" w:type="auto"/>
          </w:tcPr>
          <w:p w:rsidR="00F32158" w:rsidRPr="00713D06" w:rsidRDefault="00F32158" w:rsidP="00F32158">
            <w:pPr>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6,979.79</w:t>
            </w:r>
          </w:p>
          <w:p w:rsidR="00F32158" w:rsidRPr="00713D06" w:rsidRDefault="00F32158" w:rsidP="00F32158">
            <w:pPr>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7,843.60</w:t>
            </w:r>
          </w:p>
          <w:p w:rsidR="00F32158" w:rsidRPr="00713D06" w:rsidRDefault="00F32158" w:rsidP="00F32158">
            <w:pPr>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6,085.50</w:t>
            </w:r>
          </w:p>
          <w:p w:rsidR="00F32158" w:rsidRPr="00713D06" w:rsidRDefault="00F32158" w:rsidP="00F32158">
            <w:pPr>
              <w:widowControl w:val="0"/>
              <w:jc w:val="center"/>
              <w:rPr>
                <w:rFonts w:ascii="Times New Roman" w:hAnsi="Times New Roman"/>
                <w:sz w:val="22"/>
                <w:szCs w:val="22"/>
              </w:rPr>
            </w:pPr>
          </w:p>
        </w:tc>
        <w:tc>
          <w:tcPr>
            <w:tcW w:w="0" w:type="auto"/>
          </w:tcPr>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17,077.49</w:t>
            </w:r>
          </w:p>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18,555.84</w:t>
            </w:r>
          </w:p>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15,523.71</w:t>
            </w:r>
          </w:p>
          <w:p w:rsidR="00F32158" w:rsidRPr="00713D06" w:rsidRDefault="00F32158" w:rsidP="00F32158">
            <w:pPr>
              <w:widowControl w:val="0"/>
              <w:jc w:val="center"/>
              <w:rPr>
                <w:rFonts w:ascii="Times New Roman" w:hAnsi="Times New Roman"/>
                <w:sz w:val="22"/>
                <w:szCs w:val="22"/>
              </w:rPr>
            </w:pPr>
          </w:p>
        </w:tc>
        <w:tc>
          <w:tcPr>
            <w:tcW w:w="0" w:type="auto"/>
          </w:tcPr>
          <w:p w:rsidR="00F32158" w:rsidRPr="00713D06" w:rsidRDefault="00F32158" w:rsidP="00F32158">
            <w:pPr>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21,163.25</w:t>
            </w:r>
          </w:p>
          <w:p w:rsidR="00F32158" w:rsidRPr="00713D06" w:rsidRDefault="00F32158" w:rsidP="00F32158">
            <w:pPr>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23,092.24</w:t>
            </w:r>
          </w:p>
          <w:p w:rsidR="00F32158" w:rsidRPr="00713D06" w:rsidRDefault="00F32158" w:rsidP="00F32158">
            <w:pPr>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19,292.70</w:t>
            </w:r>
          </w:p>
          <w:p w:rsidR="00F32158" w:rsidRPr="00713D06" w:rsidRDefault="00F32158" w:rsidP="00F32158">
            <w:pPr>
              <w:widowControl w:val="0"/>
              <w:jc w:val="center"/>
              <w:rPr>
                <w:rFonts w:ascii="Times New Roman" w:hAnsi="Times New Roman"/>
                <w:sz w:val="22"/>
                <w:szCs w:val="22"/>
                <w:highlight w:val="yellow"/>
              </w:rPr>
            </w:pPr>
          </w:p>
        </w:tc>
      </w:tr>
      <w:tr w:rsidR="00F32158" w:rsidRPr="00713D06" w:rsidTr="00BF1F99">
        <w:trPr>
          <w:jc w:val="center"/>
        </w:trPr>
        <w:tc>
          <w:tcPr>
            <w:tcW w:w="0" w:type="auto"/>
          </w:tcPr>
          <w:p w:rsidR="00F32158" w:rsidRPr="00713D06" w:rsidRDefault="00F32158" w:rsidP="00F32158">
            <w:pPr>
              <w:widowControl w:val="0"/>
              <w:jc w:val="center"/>
              <w:rPr>
                <w:rFonts w:ascii="Times New Roman" w:hAnsi="Times New Roman"/>
                <w:sz w:val="22"/>
                <w:szCs w:val="22"/>
              </w:rPr>
            </w:pPr>
            <w:r w:rsidRPr="00713D06">
              <w:rPr>
                <w:rFonts w:ascii="Times New Roman" w:hAnsi="Times New Roman"/>
                <w:sz w:val="22"/>
                <w:szCs w:val="22"/>
              </w:rPr>
              <w:t>2013</w:t>
            </w:r>
          </w:p>
        </w:tc>
        <w:tc>
          <w:tcPr>
            <w:tcW w:w="0" w:type="auto"/>
          </w:tcPr>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10,348.62</w:t>
            </w:r>
          </w:p>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12,135.07</w:t>
            </w:r>
          </w:p>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8,768.05</w:t>
            </w:r>
          </w:p>
          <w:p w:rsidR="00F32158" w:rsidRPr="00713D06" w:rsidRDefault="00F32158" w:rsidP="00F32158">
            <w:pPr>
              <w:widowControl w:val="0"/>
              <w:jc w:val="center"/>
              <w:rPr>
                <w:rFonts w:ascii="Times New Roman" w:hAnsi="Times New Roman"/>
                <w:sz w:val="22"/>
                <w:szCs w:val="22"/>
              </w:rPr>
            </w:pPr>
          </w:p>
        </w:tc>
        <w:tc>
          <w:tcPr>
            <w:tcW w:w="0" w:type="auto"/>
          </w:tcPr>
          <w:p w:rsidR="00F32158" w:rsidRPr="00713D06" w:rsidRDefault="00F32158" w:rsidP="00F32158">
            <w:pPr>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11,223.44</w:t>
            </w:r>
          </w:p>
          <w:p w:rsidR="00F32158" w:rsidRPr="00713D06" w:rsidRDefault="00F32158" w:rsidP="00F32158">
            <w:pPr>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12,786.99</w:t>
            </w:r>
          </w:p>
          <w:p w:rsidR="00F32158" w:rsidRPr="00713D06" w:rsidRDefault="00F32158" w:rsidP="00F32158">
            <w:pPr>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9,779.92</w:t>
            </w:r>
          </w:p>
          <w:p w:rsidR="00F32158" w:rsidRPr="00713D06" w:rsidRDefault="00F32158" w:rsidP="00F32158">
            <w:pPr>
              <w:widowControl w:val="0"/>
              <w:jc w:val="center"/>
              <w:rPr>
                <w:rFonts w:ascii="Times New Roman" w:hAnsi="Times New Roman"/>
                <w:sz w:val="22"/>
                <w:szCs w:val="22"/>
              </w:rPr>
            </w:pPr>
          </w:p>
        </w:tc>
        <w:tc>
          <w:tcPr>
            <w:tcW w:w="0" w:type="auto"/>
          </w:tcPr>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9,799.93</w:t>
            </w:r>
          </w:p>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10,983.30</w:t>
            </w:r>
          </w:p>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8,653.04</w:t>
            </w:r>
          </w:p>
          <w:p w:rsidR="00F32158" w:rsidRPr="00713D06" w:rsidRDefault="00F32158" w:rsidP="00F32158">
            <w:pPr>
              <w:widowControl w:val="0"/>
              <w:jc w:val="center"/>
              <w:rPr>
                <w:rFonts w:ascii="Times New Roman" w:hAnsi="Times New Roman"/>
                <w:sz w:val="22"/>
                <w:szCs w:val="22"/>
              </w:rPr>
            </w:pPr>
          </w:p>
        </w:tc>
        <w:tc>
          <w:tcPr>
            <w:tcW w:w="0" w:type="auto"/>
          </w:tcPr>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8,858.33</w:t>
            </w:r>
          </w:p>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9,513.19</w:t>
            </w:r>
          </w:p>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8,251.05</w:t>
            </w:r>
          </w:p>
          <w:p w:rsidR="00F32158" w:rsidRPr="00713D06" w:rsidRDefault="00F32158" w:rsidP="00F32158">
            <w:pPr>
              <w:widowControl w:val="0"/>
              <w:jc w:val="center"/>
              <w:rPr>
                <w:rFonts w:ascii="Times New Roman" w:hAnsi="Times New Roman"/>
                <w:sz w:val="22"/>
                <w:szCs w:val="22"/>
              </w:rPr>
            </w:pPr>
          </w:p>
        </w:tc>
        <w:tc>
          <w:tcPr>
            <w:tcW w:w="0" w:type="auto"/>
          </w:tcPr>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8,412.18</w:t>
            </w:r>
          </w:p>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9,340.78</w:t>
            </w:r>
          </w:p>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7,518.84</w:t>
            </w:r>
          </w:p>
          <w:p w:rsidR="00F32158" w:rsidRPr="00713D06" w:rsidRDefault="00F32158" w:rsidP="00F32158">
            <w:pPr>
              <w:widowControl w:val="0"/>
              <w:jc w:val="center"/>
              <w:rPr>
                <w:rFonts w:ascii="Times New Roman" w:hAnsi="Times New Roman"/>
                <w:sz w:val="22"/>
                <w:szCs w:val="22"/>
              </w:rPr>
            </w:pPr>
          </w:p>
        </w:tc>
        <w:tc>
          <w:tcPr>
            <w:tcW w:w="0" w:type="auto"/>
          </w:tcPr>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6,599.70</w:t>
            </w:r>
          </w:p>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7,365.37</w:t>
            </w:r>
          </w:p>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5,786.00</w:t>
            </w:r>
          </w:p>
          <w:p w:rsidR="00F32158" w:rsidRPr="00713D06" w:rsidRDefault="00F32158" w:rsidP="00F32158">
            <w:pPr>
              <w:widowControl w:val="0"/>
              <w:jc w:val="center"/>
              <w:rPr>
                <w:rFonts w:ascii="Times New Roman" w:hAnsi="Times New Roman"/>
                <w:sz w:val="22"/>
                <w:szCs w:val="22"/>
              </w:rPr>
            </w:pPr>
          </w:p>
        </w:tc>
        <w:tc>
          <w:tcPr>
            <w:tcW w:w="0" w:type="auto"/>
          </w:tcPr>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16,900.21</w:t>
            </w:r>
          </w:p>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18,365.34</w:t>
            </w:r>
          </w:p>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15,504.34</w:t>
            </w:r>
          </w:p>
          <w:p w:rsidR="00F32158" w:rsidRPr="00713D06" w:rsidRDefault="00F32158" w:rsidP="00F32158">
            <w:pPr>
              <w:widowControl w:val="0"/>
              <w:jc w:val="center"/>
              <w:rPr>
                <w:rFonts w:ascii="Times New Roman" w:hAnsi="Times New Roman"/>
                <w:sz w:val="22"/>
                <w:szCs w:val="22"/>
              </w:rPr>
            </w:pPr>
          </w:p>
        </w:tc>
        <w:tc>
          <w:tcPr>
            <w:tcW w:w="0" w:type="auto"/>
          </w:tcPr>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19,692.61</w:t>
            </w:r>
          </w:p>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21,382.58</w:t>
            </w:r>
          </w:p>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17,971.24</w:t>
            </w:r>
          </w:p>
          <w:p w:rsidR="00F32158" w:rsidRPr="00713D06" w:rsidRDefault="00F32158" w:rsidP="00F32158">
            <w:pPr>
              <w:widowControl w:val="0"/>
              <w:jc w:val="center"/>
              <w:rPr>
                <w:rFonts w:ascii="Times New Roman" w:hAnsi="Times New Roman"/>
                <w:sz w:val="22"/>
                <w:szCs w:val="22"/>
                <w:highlight w:val="yellow"/>
              </w:rPr>
            </w:pPr>
          </w:p>
        </w:tc>
      </w:tr>
      <w:tr w:rsidR="00F32158" w:rsidRPr="00713D06" w:rsidTr="00BF1F99">
        <w:trPr>
          <w:jc w:val="center"/>
        </w:trPr>
        <w:tc>
          <w:tcPr>
            <w:tcW w:w="0" w:type="auto"/>
          </w:tcPr>
          <w:p w:rsidR="00F32158" w:rsidRPr="00713D06" w:rsidRDefault="00F32158" w:rsidP="00F32158">
            <w:pPr>
              <w:widowControl w:val="0"/>
              <w:jc w:val="center"/>
              <w:rPr>
                <w:rFonts w:ascii="Times New Roman" w:hAnsi="Times New Roman"/>
                <w:sz w:val="22"/>
                <w:szCs w:val="22"/>
              </w:rPr>
            </w:pPr>
            <w:r w:rsidRPr="00713D06">
              <w:rPr>
                <w:rFonts w:ascii="Times New Roman" w:hAnsi="Times New Roman"/>
                <w:sz w:val="22"/>
                <w:szCs w:val="22"/>
              </w:rPr>
              <w:t>2014</w:t>
            </w:r>
          </w:p>
        </w:tc>
        <w:tc>
          <w:tcPr>
            <w:tcW w:w="0" w:type="auto"/>
          </w:tcPr>
          <w:p w:rsidR="00F32158" w:rsidRPr="00713D06" w:rsidRDefault="00F32158" w:rsidP="00F32158">
            <w:pPr>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9,776.67</w:t>
            </w:r>
          </w:p>
          <w:p w:rsidR="00F32158" w:rsidRPr="00713D06" w:rsidRDefault="00F32158" w:rsidP="00F32158">
            <w:pPr>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11,452.75</w:t>
            </w:r>
          </w:p>
          <w:p w:rsidR="00F32158" w:rsidRPr="00713D06" w:rsidRDefault="00F32158" w:rsidP="00F32158">
            <w:pPr>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8,238.36</w:t>
            </w:r>
          </w:p>
          <w:p w:rsidR="00F32158" w:rsidRPr="00713D06" w:rsidRDefault="00F32158" w:rsidP="00F32158">
            <w:pPr>
              <w:widowControl w:val="0"/>
              <w:jc w:val="center"/>
              <w:rPr>
                <w:rFonts w:ascii="Times New Roman" w:hAnsi="Times New Roman"/>
                <w:sz w:val="22"/>
                <w:szCs w:val="22"/>
              </w:rPr>
            </w:pPr>
          </w:p>
        </w:tc>
        <w:tc>
          <w:tcPr>
            <w:tcW w:w="0" w:type="auto"/>
          </w:tcPr>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11,588.03</w:t>
            </w:r>
          </w:p>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13,033.42</w:t>
            </w:r>
          </w:p>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10,055.11</w:t>
            </w:r>
          </w:p>
          <w:p w:rsidR="00F32158" w:rsidRPr="00713D06" w:rsidRDefault="00F32158" w:rsidP="00F32158">
            <w:pPr>
              <w:widowControl w:val="0"/>
              <w:jc w:val="center"/>
              <w:rPr>
                <w:rFonts w:ascii="Times New Roman" w:hAnsi="Times New Roman"/>
                <w:sz w:val="22"/>
                <w:szCs w:val="22"/>
              </w:rPr>
            </w:pPr>
          </w:p>
        </w:tc>
        <w:tc>
          <w:tcPr>
            <w:tcW w:w="0" w:type="auto"/>
          </w:tcPr>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9,289.25</w:t>
            </w:r>
          </w:p>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10,408.21</w:t>
            </w:r>
          </w:p>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8,268.93</w:t>
            </w:r>
          </w:p>
          <w:p w:rsidR="00F32158" w:rsidRPr="00713D06" w:rsidRDefault="00F32158" w:rsidP="00F32158">
            <w:pPr>
              <w:widowControl w:val="0"/>
              <w:jc w:val="center"/>
              <w:rPr>
                <w:rFonts w:ascii="Times New Roman" w:hAnsi="Times New Roman"/>
                <w:sz w:val="22"/>
                <w:szCs w:val="22"/>
              </w:rPr>
            </w:pPr>
          </w:p>
        </w:tc>
        <w:tc>
          <w:tcPr>
            <w:tcW w:w="0" w:type="auto"/>
          </w:tcPr>
          <w:p w:rsidR="00F32158" w:rsidRPr="00713D06" w:rsidRDefault="00F32158" w:rsidP="00F32158">
            <w:pPr>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8,758.77</w:t>
            </w:r>
          </w:p>
          <w:p w:rsidR="00F32158" w:rsidRPr="00713D06" w:rsidRDefault="00F32158" w:rsidP="00F32158">
            <w:pPr>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9,231.23</w:t>
            </w:r>
          </w:p>
          <w:p w:rsidR="00F32158" w:rsidRPr="00713D06" w:rsidRDefault="00F32158" w:rsidP="00F32158">
            <w:pPr>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8,270.64</w:t>
            </w:r>
          </w:p>
          <w:p w:rsidR="00F32158" w:rsidRPr="00713D06" w:rsidRDefault="00F32158" w:rsidP="00F32158">
            <w:pPr>
              <w:widowControl w:val="0"/>
              <w:jc w:val="center"/>
              <w:rPr>
                <w:rFonts w:ascii="Times New Roman" w:hAnsi="Times New Roman"/>
                <w:sz w:val="22"/>
                <w:szCs w:val="22"/>
              </w:rPr>
            </w:pPr>
          </w:p>
        </w:tc>
        <w:tc>
          <w:tcPr>
            <w:tcW w:w="0" w:type="auto"/>
          </w:tcPr>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8,289.08</w:t>
            </w:r>
          </w:p>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9,083.40</w:t>
            </w:r>
          </w:p>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7,459.16</w:t>
            </w:r>
          </w:p>
          <w:p w:rsidR="00F32158" w:rsidRPr="00713D06" w:rsidRDefault="00F32158" w:rsidP="00F32158">
            <w:pPr>
              <w:widowControl w:val="0"/>
              <w:jc w:val="center"/>
              <w:rPr>
                <w:rFonts w:ascii="Times New Roman" w:hAnsi="Times New Roman"/>
                <w:sz w:val="22"/>
                <w:szCs w:val="22"/>
              </w:rPr>
            </w:pPr>
          </w:p>
        </w:tc>
        <w:tc>
          <w:tcPr>
            <w:tcW w:w="0" w:type="auto"/>
          </w:tcPr>
          <w:p w:rsidR="00F32158" w:rsidRPr="00713D06" w:rsidRDefault="00F32158" w:rsidP="00F32158">
            <w:pPr>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6,704.40</w:t>
            </w:r>
          </w:p>
          <w:p w:rsidR="00F32158" w:rsidRPr="00713D06" w:rsidRDefault="00F32158" w:rsidP="00F32158">
            <w:pPr>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7,573.64</w:t>
            </w:r>
          </w:p>
          <w:p w:rsidR="00F32158" w:rsidRPr="00713D06" w:rsidRDefault="00F32158" w:rsidP="00F32158">
            <w:pPr>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5,875.56</w:t>
            </w:r>
          </w:p>
          <w:p w:rsidR="00F32158" w:rsidRPr="00713D06" w:rsidRDefault="00F32158" w:rsidP="00F32158">
            <w:pPr>
              <w:widowControl w:val="0"/>
              <w:jc w:val="center"/>
              <w:rPr>
                <w:rFonts w:ascii="Times New Roman" w:hAnsi="Times New Roman"/>
                <w:sz w:val="22"/>
                <w:szCs w:val="22"/>
              </w:rPr>
            </w:pPr>
          </w:p>
        </w:tc>
        <w:tc>
          <w:tcPr>
            <w:tcW w:w="0" w:type="auto"/>
          </w:tcPr>
          <w:p w:rsidR="00F32158" w:rsidRPr="00713D06" w:rsidRDefault="00F32158" w:rsidP="00F32158">
            <w:pPr>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16,628.96</w:t>
            </w:r>
          </w:p>
          <w:p w:rsidR="00F32158" w:rsidRPr="00713D06" w:rsidRDefault="00F32158" w:rsidP="00F32158">
            <w:pPr>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17,895.99</w:t>
            </w:r>
          </w:p>
          <w:p w:rsidR="00F32158" w:rsidRPr="00713D06" w:rsidRDefault="00F32158" w:rsidP="00F32158">
            <w:pPr>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15,483.38</w:t>
            </w:r>
          </w:p>
          <w:p w:rsidR="00F32158" w:rsidRPr="00713D06" w:rsidRDefault="00F32158" w:rsidP="00F32158">
            <w:pPr>
              <w:widowControl w:val="0"/>
              <w:jc w:val="center"/>
              <w:rPr>
                <w:rFonts w:ascii="Times New Roman" w:hAnsi="Times New Roman"/>
                <w:sz w:val="22"/>
                <w:szCs w:val="22"/>
              </w:rPr>
            </w:pPr>
          </w:p>
        </w:tc>
        <w:tc>
          <w:tcPr>
            <w:tcW w:w="0" w:type="auto"/>
          </w:tcPr>
          <w:p w:rsidR="00F32158" w:rsidRPr="00713D06" w:rsidRDefault="00F32158" w:rsidP="00F32158">
            <w:pPr>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19,930.89</w:t>
            </w:r>
          </w:p>
          <w:p w:rsidR="00F32158" w:rsidRPr="00713D06" w:rsidRDefault="00F32158" w:rsidP="00F32158">
            <w:pPr>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21,720.61</w:t>
            </w:r>
          </w:p>
          <w:p w:rsidR="00F32158" w:rsidRPr="00713D06" w:rsidRDefault="00F32158" w:rsidP="00F32158">
            <w:pPr>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18,183.08</w:t>
            </w:r>
          </w:p>
          <w:p w:rsidR="00F32158" w:rsidRPr="00713D06" w:rsidRDefault="00F32158" w:rsidP="00F32158">
            <w:pPr>
              <w:widowControl w:val="0"/>
              <w:jc w:val="center"/>
              <w:rPr>
                <w:rFonts w:ascii="Times New Roman" w:hAnsi="Times New Roman"/>
                <w:sz w:val="22"/>
                <w:szCs w:val="22"/>
                <w:highlight w:val="yellow"/>
              </w:rPr>
            </w:pPr>
          </w:p>
        </w:tc>
      </w:tr>
      <w:tr w:rsidR="00F32158" w:rsidRPr="00713D06" w:rsidTr="00BF1F99">
        <w:trPr>
          <w:jc w:val="center"/>
        </w:trPr>
        <w:tc>
          <w:tcPr>
            <w:tcW w:w="0" w:type="auto"/>
          </w:tcPr>
          <w:p w:rsidR="00F32158" w:rsidRPr="00713D06" w:rsidRDefault="00F32158" w:rsidP="00F32158">
            <w:pPr>
              <w:widowControl w:val="0"/>
              <w:jc w:val="center"/>
              <w:rPr>
                <w:rFonts w:ascii="Times New Roman" w:hAnsi="Times New Roman"/>
                <w:sz w:val="22"/>
                <w:szCs w:val="22"/>
              </w:rPr>
            </w:pPr>
            <w:r w:rsidRPr="00713D06">
              <w:rPr>
                <w:rFonts w:ascii="Times New Roman" w:hAnsi="Times New Roman"/>
                <w:sz w:val="22"/>
                <w:szCs w:val="22"/>
              </w:rPr>
              <w:t>2015</w:t>
            </w:r>
          </w:p>
        </w:tc>
        <w:tc>
          <w:tcPr>
            <w:tcW w:w="0" w:type="auto"/>
          </w:tcPr>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9,186.10</w:t>
            </w:r>
          </w:p>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10,471.47</w:t>
            </w:r>
          </w:p>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7,842.12</w:t>
            </w:r>
          </w:p>
          <w:p w:rsidR="00F32158" w:rsidRPr="00713D06" w:rsidRDefault="00F32158" w:rsidP="00F32158">
            <w:pPr>
              <w:widowControl w:val="0"/>
              <w:jc w:val="center"/>
              <w:rPr>
                <w:rFonts w:ascii="Times New Roman" w:hAnsi="Times New Roman"/>
                <w:sz w:val="22"/>
                <w:szCs w:val="22"/>
              </w:rPr>
            </w:pPr>
          </w:p>
        </w:tc>
        <w:tc>
          <w:tcPr>
            <w:tcW w:w="0" w:type="auto"/>
          </w:tcPr>
          <w:p w:rsidR="00F32158" w:rsidRPr="00713D06" w:rsidRDefault="00F32158" w:rsidP="00F32158">
            <w:pPr>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11,129.89</w:t>
            </w:r>
          </w:p>
          <w:p w:rsidR="00F32158" w:rsidRPr="00713D06" w:rsidRDefault="00F32158" w:rsidP="00F32158">
            <w:pPr>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12,154.62</w:t>
            </w:r>
          </w:p>
          <w:p w:rsidR="00F32158" w:rsidRPr="00713D06" w:rsidRDefault="00F32158" w:rsidP="00F32158">
            <w:pPr>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10,062.99</w:t>
            </w:r>
          </w:p>
          <w:p w:rsidR="00F32158" w:rsidRPr="00713D06" w:rsidRDefault="00F32158" w:rsidP="00F32158">
            <w:pPr>
              <w:widowControl w:val="0"/>
              <w:jc w:val="center"/>
              <w:rPr>
                <w:rFonts w:ascii="Times New Roman" w:hAnsi="Times New Roman"/>
                <w:sz w:val="22"/>
                <w:szCs w:val="22"/>
              </w:rPr>
            </w:pPr>
          </w:p>
        </w:tc>
        <w:tc>
          <w:tcPr>
            <w:tcW w:w="0" w:type="auto"/>
          </w:tcPr>
          <w:p w:rsidR="00F32158" w:rsidRPr="00713D06" w:rsidRDefault="00F32158" w:rsidP="00F32158">
            <w:pPr>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9,200.52</w:t>
            </w:r>
          </w:p>
          <w:p w:rsidR="00F32158" w:rsidRPr="00713D06" w:rsidRDefault="00F32158" w:rsidP="00F32158">
            <w:pPr>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10,255.80</w:t>
            </w:r>
          </w:p>
          <w:p w:rsidR="00F32158" w:rsidRPr="00713D06" w:rsidRDefault="00F32158" w:rsidP="00F32158">
            <w:pPr>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8,189.01</w:t>
            </w:r>
          </w:p>
          <w:p w:rsidR="00F32158" w:rsidRPr="00713D06" w:rsidRDefault="00F32158" w:rsidP="00F32158">
            <w:pPr>
              <w:widowControl w:val="0"/>
              <w:jc w:val="center"/>
              <w:rPr>
                <w:rFonts w:ascii="Times New Roman" w:hAnsi="Times New Roman"/>
                <w:sz w:val="22"/>
                <w:szCs w:val="22"/>
              </w:rPr>
            </w:pPr>
          </w:p>
        </w:tc>
        <w:tc>
          <w:tcPr>
            <w:tcW w:w="0" w:type="auto"/>
          </w:tcPr>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8,877.13</w:t>
            </w:r>
          </w:p>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9,529.51</w:t>
            </w:r>
          </w:p>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8,170.73</w:t>
            </w:r>
          </w:p>
          <w:p w:rsidR="00F32158" w:rsidRPr="00713D06" w:rsidRDefault="00F32158" w:rsidP="00F32158">
            <w:pPr>
              <w:widowControl w:val="0"/>
              <w:jc w:val="center"/>
              <w:rPr>
                <w:rFonts w:ascii="Times New Roman" w:hAnsi="Times New Roman"/>
                <w:sz w:val="22"/>
                <w:szCs w:val="22"/>
              </w:rPr>
            </w:pPr>
          </w:p>
        </w:tc>
        <w:tc>
          <w:tcPr>
            <w:tcW w:w="0" w:type="auto"/>
          </w:tcPr>
          <w:p w:rsidR="00F32158" w:rsidRPr="00713D06" w:rsidRDefault="00F32158" w:rsidP="00F32158">
            <w:pPr>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8,445.42</w:t>
            </w:r>
          </w:p>
          <w:p w:rsidR="00F32158" w:rsidRPr="00713D06" w:rsidRDefault="00F32158" w:rsidP="00F32158">
            <w:pPr>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9,259.87</w:t>
            </w:r>
          </w:p>
          <w:p w:rsidR="00F32158" w:rsidRPr="00713D06" w:rsidRDefault="00F32158" w:rsidP="00F32158">
            <w:pPr>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7,657.30</w:t>
            </w:r>
          </w:p>
          <w:p w:rsidR="00F32158" w:rsidRPr="00713D06" w:rsidRDefault="00F32158" w:rsidP="00F32158">
            <w:pPr>
              <w:widowControl w:val="0"/>
              <w:jc w:val="center"/>
              <w:rPr>
                <w:rFonts w:ascii="Times New Roman" w:hAnsi="Times New Roman"/>
                <w:sz w:val="22"/>
                <w:szCs w:val="22"/>
              </w:rPr>
            </w:pPr>
          </w:p>
        </w:tc>
        <w:tc>
          <w:tcPr>
            <w:tcW w:w="0" w:type="auto"/>
          </w:tcPr>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6,364.12</w:t>
            </w:r>
          </w:p>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7,201.88</w:t>
            </w:r>
          </w:p>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5,605.63</w:t>
            </w:r>
          </w:p>
          <w:p w:rsidR="00F32158" w:rsidRPr="00713D06" w:rsidRDefault="00F32158" w:rsidP="00F32158">
            <w:pPr>
              <w:widowControl w:val="0"/>
              <w:jc w:val="center"/>
              <w:rPr>
                <w:rFonts w:ascii="Times New Roman" w:hAnsi="Times New Roman"/>
                <w:sz w:val="22"/>
                <w:szCs w:val="22"/>
              </w:rPr>
            </w:pPr>
          </w:p>
        </w:tc>
        <w:tc>
          <w:tcPr>
            <w:tcW w:w="0" w:type="auto"/>
          </w:tcPr>
          <w:p w:rsidR="00F32158" w:rsidRPr="00713D06" w:rsidRDefault="00F32158" w:rsidP="00F32158">
            <w:pPr>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16,644.86</w:t>
            </w:r>
          </w:p>
          <w:p w:rsidR="00F32158" w:rsidRPr="00713D06" w:rsidRDefault="00F32158" w:rsidP="00F32158">
            <w:pPr>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17,868.74</w:t>
            </w:r>
          </w:p>
          <w:p w:rsidR="00F32158" w:rsidRPr="00713D06" w:rsidRDefault="00F32158" w:rsidP="00F32158">
            <w:pPr>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15,375.53</w:t>
            </w:r>
          </w:p>
          <w:p w:rsidR="00F32158" w:rsidRPr="00713D06" w:rsidRDefault="00F32158" w:rsidP="00F32158">
            <w:pPr>
              <w:widowControl w:val="0"/>
              <w:jc w:val="center"/>
              <w:rPr>
                <w:rFonts w:ascii="Times New Roman" w:hAnsi="Times New Roman"/>
                <w:sz w:val="22"/>
                <w:szCs w:val="22"/>
              </w:rPr>
            </w:pPr>
          </w:p>
        </w:tc>
        <w:tc>
          <w:tcPr>
            <w:tcW w:w="0" w:type="auto"/>
          </w:tcPr>
          <w:p w:rsidR="00F32158" w:rsidRPr="00713D06" w:rsidRDefault="00F32158" w:rsidP="00F32158">
            <w:pPr>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21,992.85</w:t>
            </w:r>
          </w:p>
          <w:p w:rsidR="00F32158" w:rsidRPr="00713D06" w:rsidRDefault="00F32158" w:rsidP="00F32158">
            <w:pPr>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24,140.27</w:t>
            </w:r>
          </w:p>
          <w:p w:rsidR="00F32158" w:rsidRPr="00713D06" w:rsidRDefault="00F32158" w:rsidP="00F32158">
            <w:pPr>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19,901.08</w:t>
            </w:r>
          </w:p>
          <w:p w:rsidR="00F32158" w:rsidRPr="00713D06" w:rsidRDefault="00F32158" w:rsidP="00F32158">
            <w:pPr>
              <w:widowControl w:val="0"/>
              <w:jc w:val="center"/>
              <w:rPr>
                <w:rFonts w:ascii="Times New Roman" w:hAnsi="Times New Roman"/>
                <w:sz w:val="22"/>
                <w:szCs w:val="22"/>
                <w:highlight w:val="yellow"/>
              </w:rPr>
            </w:pPr>
          </w:p>
        </w:tc>
      </w:tr>
      <w:tr w:rsidR="00F32158" w:rsidRPr="00713D06" w:rsidTr="00BF1F99">
        <w:trPr>
          <w:jc w:val="center"/>
        </w:trPr>
        <w:tc>
          <w:tcPr>
            <w:tcW w:w="0" w:type="auto"/>
          </w:tcPr>
          <w:p w:rsidR="00F32158" w:rsidRPr="00713D06" w:rsidRDefault="00F32158" w:rsidP="00F32158">
            <w:pPr>
              <w:widowControl w:val="0"/>
              <w:jc w:val="center"/>
              <w:rPr>
                <w:rFonts w:ascii="Times New Roman" w:hAnsi="Times New Roman"/>
                <w:sz w:val="22"/>
                <w:szCs w:val="22"/>
              </w:rPr>
            </w:pPr>
            <w:r w:rsidRPr="00713D06">
              <w:rPr>
                <w:rFonts w:ascii="Times New Roman" w:hAnsi="Times New Roman"/>
                <w:sz w:val="22"/>
                <w:szCs w:val="22"/>
              </w:rPr>
              <w:t>2016</w:t>
            </w:r>
          </w:p>
        </w:tc>
        <w:tc>
          <w:tcPr>
            <w:tcW w:w="0" w:type="auto"/>
          </w:tcPr>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8,940.36</w:t>
            </w:r>
          </w:p>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10,337.98</w:t>
            </w:r>
          </w:p>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7,517.52</w:t>
            </w:r>
          </w:p>
          <w:p w:rsidR="00F32158" w:rsidRPr="00713D06" w:rsidRDefault="00F32158" w:rsidP="00F32158">
            <w:pPr>
              <w:widowControl w:val="0"/>
              <w:jc w:val="center"/>
              <w:rPr>
                <w:rFonts w:ascii="Times New Roman" w:hAnsi="Times New Roman"/>
                <w:sz w:val="22"/>
                <w:szCs w:val="22"/>
              </w:rPr>
            </w:pPr>
          </w:p>
        </w:tc>
        <w:tc>
          <w:tcPr>
            <w:tcW w:w="0" w:type="auto"/>
          </w:tcPr>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10,815.70</w:t>
            </w:r>
          </w:p>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11,972.90</w:t>
            </w:r>
          </w:p>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9,795.65</w:t>
            </w:r>
          </w:p>
          <w:p w:rsidR="00F32158" w:rsidRPr="00713D06" w:rsidRDefault="00F32158" w:rsidP="00F32158">
            <w:pPr>
              <w:widowControl w:val="0"/>
              <w:jc w:val="center"/>
              <w:rPr>
                <w:rFonts w:ascii="Times New Roman" w:hAnsi="Times New Roman"/>
                <w:sz w:val="22"/>
                <w:szCs w:val="22"/>
              </w:rPr>
            </w:pPr>
          </w:p>
        </w:tc>
        <w:tc>
          <w:tcPr>
            <w:tcW w:w="0" w:type="auto"/>
          </w:tcPr>
          <w:p w:rsidR="00F32158" w:rsidRPr="00713D06" w:rsidRDefault="00F32158" w:rsidP="00F32158">
            <w:pPr>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8,195.97</w:t>
            </w:r>
          </w:p>
          <w:p w:rsidR="00F32158" w:rsidRPr="00713D06" w:rsidRDefault="00F32158" w:rsidP="00F32158">
            <w:pPr>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9,301.65</w:t>
            </w:r>
          </w:p>
          <w:p w:rsidR="00F32158" w:rsidRPr="00713D06" w:rsidRDefault="00F32158" w:rsidP="00F32158">
            <w:pPr>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7,230.00</w:t>
            </w:r>
          </w:p>
          <w:p w:rsidR="00F32158" w:rsidRPr="00713D06" w:rsidRDefault="00F32158" w:rsidP="00F32158">
            <w:pPr>
              <w:widowControl w:val="0"/>
              <w:jc w:val="center"/>
              <w:rPr>
                <w:rFonts w:ascii="Times New Roman" w:hAnsi="Times New Roman"/>
                <w:sz w:val="22"/>
                <w:szCs w:val="22"/>
              </w:rPr>
            </w:pPr>
          </w:p>
        </w:tc>
        <w:tc>
          <w:tcPr>
            <w:tcW w:w="0" w:type="auto"/>
          </w:tcPr>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9,115.02</w:t>
            </w:r>
          </w:p>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10,080.13</w:t>
            </w:r>
          </w:p>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8,094.20</w:t>
            </w:r>
          </w:p>
          <w:p w:rsidR="00F32158" w:rsidRPr="00713D06" w:rsidRDefault="00F32158" w:rsidP="00F32158">
            <w:pPr>
              <w:widowControl w:val="0"/>
              <w:jc w:val="center"/>
              <w:rPr>
                <w:rFonts w:ascii="Times New Roman" w:hAnsi="Times New Roman"/>
                <w:sz w:val="22"/>
                <w:szCs w:val="22"/>
              </w:rPr>
            </w:pPr>
          </w:p>
        </w:tc>
        <w:tc>
          <w:tcPr>
            <w:tcW w:w="0" w:type="auto"/>
          </w:tcPr>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8,363.52</w:t>
            </w:r>
          </w:p>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9,308.91</w:t>
            </w:r>
          </w:p>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7,438.88</w:t>
            </w:r>
          </w:p>
          <w:p w:rsidR="00F32158" w:rsidRPr="00713D06" w:rsidRDefault="00F32158" w:rsidP="00F32158">
            <w:pPr>
              <w:widowControl w:val="0"/>
              <w:jc w:val="center"/>
              <w:rPr>
                <w:rFonts w:ascii="Times New Roman" w:hAnsi="Times New Roman"/>
                <w:sz w:val="22"/>
                <w:szCs w:val="22"/>
              </w:rPr>
            </w:pPr>
          </w:p>
        </w:tc>
        <w:tc>
          <w:tcPr>
            <w:tcW w:w="0" w:type="auto"/>
          </w:tcPr>
          <w:p w:rsidR="00F32158" w:rsidRPr="00713D06" w:rsidRDefault="00F32158" w:rsidP="00F32158">
            <w:pPr>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6,352.76</w:t>
            </w:r>
          </w:p>
          <w:p w:rsidR="00F32158" w:rsidRPr="00713D06" w:rsidRDefault="00F32158" w:rsidP="00F32158">
            <w:pPr>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7,152.81</w:t>
            </w:r>
          </w:p>
          <w:p w:rsidR="00F32158" w:rsidRPr="00713D06" w:rsidRDefault="00F32158" w:rsidP="00F32158">
            <w:pPr>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5,548.63</w:t>
            </w:r>
          </w:p>
          <w:p w:rsidR="00F32158" w:rsidRPr="00713D06" w:rsidRDefault="00F32158" w:rsidP="00F32158">
            <w:pPr>
              <w:widowControl w:val="0"/>
              <w:jc w:val="center"/>
              <w:rPr>
                <w:rFonts w:ascii="Times New Roman" w:hAnsi="Times New Roman"/>
                <w:sz w:val="22"/>
                <w:szCs w:val="22"/>
              </w:rPr>
            </w:pPr>
          </w:p>
        </w:tc>
        <w:tc>
          <w:tcPr>
            <w:tcW w:w="0" w:type="auto"/>
          </w:tcPr>
          <w:p w:rsidR="00F32158" w:rsidRPr="00713D06" w:rsidRDefault="00F32158" w:rsidP="00F32158">
            <w:pPr>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16,673.81</w:t>
            </w:r>
          </w:p>
          <w:p w:rsidR="00F32158" w:rsidRPr="00713D06" w:rsidRDefault="00F32158" w:rsidP="00F32158">
            <w:pPr>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17,671.71</w:t>
            </w:r>
          </w:p>
          <w:p w:rsidR="00F32158" w:rsidRPr="00713D06" w:rsidRDefault="00F32158" w:rsidP="00F32158">
            <w:pPr>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15,660.25</w:t>
            </w:r>
          </w:p>
          <w:p w:rsidR="00F32158" w:rsidRPr="00713D06" w:rsidRDefault="00F32158" w:rsidP="00F32158">
            <w:pPr>
              <w:widowControl w:val="0"/>
              <w:jc w:val="center"/>
              <w:rPr>
                <w:rFonts w:ascii="Times New Roman" w:hAnsi="Times New Roman"/>
                <w:sz w:val="22"/>
                <w:szCs w:val="22"/>
              </w:rPr>
            </w:pPr>
          </w:p>
        </w:tc>
        <w:tc>
          <w:tcPr>
            <w:tcW w:w="0" w:type="auto"/>
          </w:tcPr>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21,445.10</w:t>
            </w:r>
          </w:p>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23,931.49</w:t>
            </w:r>
          </w:p>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18,879.74</w:t>
            </w:r>
          </w:p>
          <w:p w:rsidR="00F32158" w:rsidRPr="00713D06" w:rsidRDefault="00F32158" w:rsidP="00F32158">
            <w:pPr>
              <w:widowControl w:val="0"/>
              <w:jc w:val="center"/>
              <w:rPr>
                <w:rFonts w:ascii="Times New Roman" w:hAnsi="Times New Roman"/>
                <w:sz w:val="22"/>
                <w:szCs w:val="22"/>
                <w:highlight w:val="yellow"/>
              </w:rPr>
            </w:pPr>
          </w:p>
        </w:tc>
      </w:tr>
      <w:tr w:rsidR="00F32158" w:rsidRPr="00713D06" w:rsidTr="00BF1F99">
        <w:trPr>
          <w:jc w:val="center"/>
        </w:trPr>
        <w:tc>
          <w:tcPr>
            <w:tcW w:w="0" w:type="auto"/>
          </w:tcPr>
          <w:p w:rsidR="00F32158" w:rsidRPr="00713D06" w:rsidRDefault="00F32158" w:rsidP="00F32158">
            <w:pPr>
              <w:widowControl w:val="0"/>
              <w:jc w:val="center"/>
              <w:rPr>
                <w:rFonts w:ascii="Times New Roman" w:hAnsi="Times New Roman"/>
                <w:sz w:val="22"/>
                <w:szCs w:val="22"/>
              </w:rPr>
            </w:pPr>
            <w:r w:rsidRPr="00713D06">
              <w:rPr>
                <w:rFonts w:ascii="Times New Roman" w:hAnsi="Times New Roman"/>
                <w:sz w:val="22"/>
                <w:szCs w:val="22"/>
              </w:rPr>
              <w:t>2017</w:t>
            </w:r>
          </w:p>
        </w:tc>
        <w:tc>
          <w:tcPr>
            <w:tcW w:w="0" w:type="auto"/>
          </w:tcPr>
          <w:p w:rsidR="00F32158" w:rsidRPr="00713D06" w:rsidRDefault="00F32158" w:rsidP="00F32158">
            <w:pPr>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8,395.45</w:t>
            </w:r>
          </w:p>
          <w:p w:rsidR="00F32158" w:rsidRPr="00713D06" w:rsidRDefault="00F32158" w:rsidP="00F32158">
            <w:pPr>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10,275.49</w:t>
            </w:r>
          </w:p>
          <w:p w:rsidR="00F32158" w:rsidRPr="00713D06" w:rsidRDefault="00F32158" w:rsidP="00F32158">
            <w:pPr>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6,804.96</w:t>
            </w:r>
          </w:p>
          <w:p w:rsidR="00F32158" w:rsidRPr="00713D06" w:rsidRDefault="00F32158" w:rsidP="00F32158">
            <w:pPr>
              <w:widowControl w:val="0"/>
              <w:jc w:val="center"/>
              <w:rPr>
                <w:rFonts w:ascii="Times New Roman" w:hAnsi="Times New Roman"/>
                <w:sz w:val="22"/>
                <w:szCs w:val="22"/>
              </w:rPr>
            </w:pPr>
          </w:p>
        </w:tc>
        <w:tc>
          <w:tcPr>
            <w:tcW w:w="0" w:type="auto"/>
          </w:tcPr>
          <w:p w:rsidR="00F32158" w:rsidRPr="00713D06" w:rsidRDefault="00F32158" w:rsidP="00F32158">
            <w:pPr>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10,050.05</w:t>
            </w:r>
          </w:p>
          <w:p w:rsidR="00F32158" w:rsidRPr="00713D06" w:rsidRDefault="00F32158" w:rsidP="00F32158">
            <w:pPr>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12,182.37</w:t>
            </w:r>
          </w:p>
          <w:p w:rsidR="00F32158" w:rsidRPr="00713D06" w:rsidRDefault="00F32158" w:rsidP="00F32158">
            <w:pPr>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8,293.83</w:t>
            </w:r>
          </w:p>
          <w:p w:rsidR="00F32158" w:rsidRPr="00713D06" w:rsidRDefault="00F32158" w:rsidP="00F32158">
            <w:pPr>
              <w:widowControl w:val="0"/>
              <w:jc w:val="center"/>
              <w:rPr>
                <w:rFonts w:ascii="Times New Roman" w:hAnsi="Times New Roman"/>
                <w:sz w:val="22"/>
                <w:szCs w:val="22"/>
              </w:rPr>
            </w:pPr>
          </w:p>
        </w:tc>
        <w:tc>
          <w:tcPr>
            <w:tcW w:w="0" w:type="auto"/>
          </w:tcPr>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7,609.97</w:t>
            </w:r>
          </w:p>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8,807.49</w:t>
            </w:r>
          </w:p>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6,653.24</w:t>
            </w:r>
          </w:p>
          <w:p w:rsidR="00F32158" w:rsidRPr="00713D06" w:rsidRDefault="00F32158" w:rsidP="00F32158">
            <w:pPr>
              <w:widowControl w:val="0"/>
              <w:jc w:val="center"/>
              <w:rPr>
                <w:rFonts w:ascii="Times New Roman" w:hAnsi="Times New Roman"/>
                <w:sz w:val="22"/>
                <w:szCs w:val="22"/>
              </w:rPr>
            </w:pPr>
          </w:p>
        </w:tc>
        <w:tc>
          <w:tcPr>
            <w:tcW w:w="0" w:type="auto"/>
          </w:tcPr>
          <w:p w:rsidR="00F32158" w:rsidRPr="00713D06" w:rsidRDefault="00F32158" w:rsidP="00F32158">
            <w:pPr>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8,321.84</w:t>
            </w:r>
          </w:p>
          <w:p w:rsidR="00F32158" w:rsidRPr="00713D06" w:rsidRDefault="00F32158" w:rsidP="00F32158">
            <w:pPr>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9,241.18</w:t>
            </w:r>
          </w:p>
          <w:p w:rsidR="00F32158" w:rsidRPr="00713D06" w:rsidRDefault="00F32158" w:rsidP="00F32158">
            <w:pPr>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7,406.13</w:t>
            </w:r>
          </w:p>
          <w:p w:rsidR="00F32158" w:rsidRPr="00713D06" w:rsidRDefault="00F32158" w:rsidP="00F32158">
            <w:pPr>
              <w:widowControl w:val="0"/>
              <w:jc w:val="center"/>
              <w:rPr>
                <w:rFonts w:ascii="Times New Roman" w:hAnsi="Times New Roman"/>
                <w:sz w:val="22"/>
                <w:szCs w:val="22"/>
              </w:rPr>
            </w:pPr>
          </w:p>
        </w:tc>
        <w:tc>
          <w:tcPr>
            <w:tcW w:w="0" w:type="auto"/>
          </w:tcPr>
          <w:p w:rsidR="00F32158" w:rsidRPr="00713D06" w:rsidRDefault="00F32158" w:rsidP="00F32158">
            <w:pPr>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7,921.05</w:t>
            </w:r>
          </w:p>
          <w:p w:rsidR="00F32158" w:rsidRPr="00713D06" w:rsidRDefault="00F32158" w:rsidP="00F32158">
            <w:pPr>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9,049.04</w:t>
            </w:r>
          </w:p>
          <w:p w:rsidR="00F32158" w:rsidRPr="00713D06" w:rsidRDefault="00F32158" w:rsidP="00F32158">
            <w:pPr>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6,848.33</w:t>
            </w:r>
          </w:p>
          <w:p w:rsidR="00F32158" w:rsidRPr="00713D06" w:rsidRDefault="00F32158" w:rsidP="00F32158">
            <w:pPr>
              <w:widowControl w:val="0"/>
              <w:jc w:val="center"/>
              <w:rPr>
                <w:rFonts w:ascii="Times New Roman" w:hAnsi="Times New Roman"/>
                <w:sz w:val="22"/>
                <w:szCs w:val="22"/>
              </w:rPr>
            </w:pPr>
          </w:p>
        </w:tc>
        <w:tc>
          <w:tcPr>
            <w:tcW w:w="0" w:type="auto"/>
          </w:tcPr>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6,095.77</w:t>
            </w:r>
          </w:p>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6,909.35</w:t>
            </w:r>
          </w:p>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5,215.01</w:t>
            </w:r>
          </w:p>
          <w:p w:rsidR="00F32158" w:rsidRPr="00713D06" w:rsidRDefault="00F32158" w:rsidP="00F32158">
            <w:pPr>
              <w:widowControl w:val="0"/>
              <w:jc w:val="center"/>
              <w:rPr>
                <w:rFonts w:ascii="Times New Roman" w:hAnsi="Times New Roman"/>
                <w:sz w:val="22"/>
                <w:szCs w:val="22"/>
              </w:rPr>
            </w:pPr>
          </w:p>
        </w:tc>
        <w:tc>
          <w:tcPr>
            <w:tcW w:w="0" w:type="auto"/>
          </w:tcPr>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16,402.59</w:t>
            </w:r>
          </w:p>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17,571.28</w:t>
            </w:r>
          </w:p>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15,255.70</w:t>
            </w:r>
          </w:p>
          <w:p w:rsidR="00F32158" w:rsidRPr="00713D06" w:rsidRDefault="00F32158" w:rsidP="00F32158">
            <w:pPr>
              <w:widowControl w:val="0"/>
              <w:jc w:val="center"/>
              <w:rPr>
                <w:rFonts w:ascii="Times New Roman" w:hAnsi="Times New Roman"/>
                <w:sz w:val="22"/>
                <w:szCs w:val="22"/>
              </w:rPr>
            </w:pPr>
          </w:p>
        </w:tc>
        <w:tc>
          <w:tcPr>
            <w:tcW w:w="0" w:type="auto"/>
          </w:tcPr>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20,406.51</w:t>
            </w:r>
          </w:p>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23,731.24</w:t>
            </w:r>
          </w:p>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17,386.84</w:t>
            </w:r>
          </w:p>
          <w:p w:rsidR="00F32158" w:rsidRPr="00713D06" w:rsidRDefault="00F32158" w:rsidP="00F32158">
            <w:pPr>
              <w:widowControl w:val="0"/>
              <w:jc w:val="center"/>
              <w:rPr>
                <w:rFonts w:ascii="Times New Roman" w:hAnsi="Times New Roman"/>
                <w:sz w:val="22"/>
                <w:szCs w:val="22"/>
                <w:highlight w:val="yellow"/>
              </w:rPr>
            </w:pPr>
          </w:p>
        </w:tc>
      </w:tr>
      <w:tr w:rsidR="00F32158" w:rsidRPr="00713D06" w:rsidTr="00BF1F99">
        <w:trPr>
          <w:jc w:val="center"/>
        </w:trPr>
        <w:tc>
          <w:tcPr>
            <w:tcW w:w="0" w:type="auto"/>
          </w:tcPr>
          <w:p w:rsidR="00F32158" w:rsidRPr="00713D06" w:rsidRDefault="00F32158" w:rsidP="00F32158">
            <w:pPr>
              <w:widowControl w:val="0"/>
              <w:jc w:val="center"/>
              <w:rPr>
                <w:rFonts w:ascii="Times New Roman" w:hAnsi="Times New Roman"/>
                <w:sz w:val="22"/>
                <w:szCs w:val="22"/>
              </w:rPr>
            </w:pPr>
            <w:r w:rsidRPr="00713D06">
              <w:rPr>
                <w:rFonts w:ascii="Times New Roman" w:hAnsi="Times New Roman"/>
                <w:sz w:val="22"/>
                <w:szCs w:val="22"/>
              </w:rPr>
              <w:t>2018</w:t>
            </w:r>
          </w:p>
        </w:tc>
        <w:tc>
          <w:tcPr>
            <w:tcW w:w="0" w:type="auto"/>
          </w:tcPr>
          <w:p w:rsidR="00F32158" w:rsidRPr="00713D06" w:rsidRDefault="00F32158" w:rsidP="00F32158">
            <w:pPr>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8,077.97</w:t>
            </w:r>
          </w:p>
          <w:p w:rsidR="00F32158" w:rsidRPr="00713D06" w:rsidRDefault="00F32158" w:rsidP="00F32158">
            <w:pPr>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10,362.58</w:t>
            </w:r>
          </w:p>
          <w:p w:rsidR="00F32158" w:rsidRPr="00713D06" w:rsidRDefault="00F32158" w:rsidP="00F32158">
            <w:pPr>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6,180.88</w:t>
            </w:r>
          </w:p>
          <w:p w:rsidR="00F32158" w:rsidRPr="00713D06" w:rsidRDefault="00F32158" w:rsidP="00F32158">
            <w:pPr>
              <w:widowControl w:val="0"/>
              <w:jc w:val="center"/>
              <w:rPr>
                <w:rFonts w:ascii="Times New Roman" w:hAnsi="Times New Roman"/>
                <w:sz w:val="22"/>
                <w:szCs w:val="22"/>
              </w:rPr>
            </w:pPr>
          </w:p>
        </w:tc>
        <w:tc>
          <w:tcPr>
            <w:tcW w:w="0" w:type="auto"/>
          </w:tcPr>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9,516.87</w:t>
            </w:r>
          </w:p>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12,060.07</w:t>
            </w:r>
          </w:p>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7,444.82</w:t>
            </w:r>
          </w:p>
          <w:p w:rsidR="00F32158" w:rsidRPr="00713D06" w:rsidRDefault="00F32158" w:rsidP="00F32158">
            <w:pPr>
              <w:widowControl w:val="0"/>
              <w:jc w:val="center"/>
              <w:rPr>
                <w:rFonts w:ascii="Times New Roman" w:hAnsi="Times New Roman"/>
                <w:sz w:val="22"/>
                <w:szCs w:val="22"/>
              </w:rPr>
            </w:pPr>
          </w:p>
        </w:tc>
        <w:tc>
          <w:tcPr>
            <w:tcW w:w="0" w:type="auto"/>
          </w:tcPr>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7,383.09</w:t>
            </w:r>
          </w:p>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9,081.93</w:t>
            </w:r>
          </w:p>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5,986.74</w:t>
            </w:r>
          </w:p>
          <w:p w:rsidR="00F32158" w:rsidRPr="00713D06" w:rsidRDefault="00F32158" w:rsidP="00F32158">
            <w:pPr>
              <w:widowControl w:val="0"/>
              <w:jc w:val="center"/>
              <w:rPr>
                <w:rFonts w:ascii="Times New Roman" w:hAnsi="Times New Roman"/>
                <w:sz w:val="22"/>
                <w:szCs w:val="22"/>
              </w:rPr>
            </w:pPr>
          </w:p>
        </w:tc>
        <w:tc>
          <w:tcPr>
            <w:tcW w:w="0" w:type="auto"/>
          </w:tcPr>
          <w:p w:rsidR="00F32158" w:rsidRPr="00713D06" w:rsidRDefault="00F32158" w:rsidP="00F32158">
            <w:pPr>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8,011.41</w:t>
            </w:r>
          </w:p>
          <w:p w:rsidR="00F32158" w:rsidRPr="00713D06" w:rsidRDefault="00F32158" w:rsidP="00F32158">
            <w:pPr>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8,823.43</w:t>
            </w:r>
          </w:p>
          <w:p w:rsidR="00F32158" w:rsidRPr="00713D06" w:rsidRDefault="00F32158" w:rsidP="00F32158">
            <w:pPr>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7,249.50</w:t>
            </w:r>
          </w:p>
          <w:p w:rsidR="00F32158" w:rsidRPr="00713D06" w:rsidRDefault="00F32158" w:rsidP="00F32158">
            <w:pPr>
              <w:widowControl w:val="0"/>
              <w:jc w:val="center"/>
              <w:rPr>
                <w:rFonts w:ascii="Times New Roman" w:hAnsi="Times New Roman"/>
                <w:sz w:val="22"/>
                <w:szCs w:val="22"/>
              </w:rPr>
            </w:pPr>
          </w:p>
        </w:tc>
        <w:tc>
          <w:tcPr>
            <w:tcW w:w="0" w:type="auto"/>
          </w:tcPr>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7,681.53</w:t>
            </w:r>
          </w:p>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8,789.88</w:t>
            </w:r>
          </w:p>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6,680.15</w:t>
            </w:r>
          </w:p>
          <w:p w:rsidR="00F32158" w:rsidRPr="00713D06" w:rsidRDefault="00F32158" w:rsidP="00F32158">
            <w:pPr>
              <w:widowControl w:val="0"/>
              <w:jc w:val="center"/>
              <w:rPr>
                <w:rFonts w:ascii="Times New Roman" w:hAnsi="Times New Roman"/>
                <w:sz w:val="22"/>
                <w:szCs w:val="22"/>
              </w:rPr>
            </w:pPr>
          </w:p>
        </w:tc>
        <w:tc>
          <w:tcPr>
            <w:tcW w:w="0" w:type="auto"/>
          </w:tcPr>
          <w:p w:rsidR="00F32158" w:rsidRPr="00713D06" w:rsidRDefault="00F32158" w:rsidP="00F32158">
            <w:pPr>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5,891.99</w:t>
            </w:r>
          </w:p>
          <w:p w:rsidR="00F32158" w:rsidRPr="00713D06" w:rsidRDefault="00F32158" w:rsidP="00F32158">
            <w:pPr>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6,884.33</w:t>
            </w:r>
          </w:p>
          <w:p w:rsidR="00F32158" w:rsidRPr="00713D06" w:rsidRDefault="00F32158" w:rsidP="00F32158">
            <w:pPr>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5,000.66</w:t>
            </w:r>
          </w:p>
          <w:p w:rsidR="00F32158" w:rsidRPr="00713D06" w:rsidRDefault="00F32158" w:rsidP="00F32158">
            <w:pPr>
              <w:widowControl w:val="0"/>
              <w:jc w:val="center"/>
              <w:rPr>
                <w:rFonts w:ascii="Times New Roman" w:hAnsi="Times New Roman"/>
                <w:sz w:val="22"/>
                <w:szCs w:val="22"/>
              </w:rPr>
            </w:pPr>
          </w:p>
        </w:tc>
        <w:tc>
          <w:tcPr>
            <w:tcW w:w="0" w:type="auto"/>
          </w:tcPr>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15,853.96</w:t>
            </w:r>
          </w:p>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17,040.13</w:t>
            </w:r>
          </w:p>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14,742.50</w:t>
            </w:r>
          </w:p>
          <w:p w:rsidR="00F32158" w:rsidRPr="00713D06" w:rsidRDefault="00F32158" w:rsidP="00F32158">
            <w:pPr>
              <w:widowControl w:val="0"/>
              <w:jc w:val="center"/>
              <w:rPr>
                <w:rFonts w:ascii="Times New Roman" w:hAnsi="Times New Roman"/>
                <w:sz w:val="22"/>
                <w:szCs w:val="22"/>
              </w:rPr>
            </w:pPr>
          </w:p>
        </w:tc>
        <w:tc>
          <w:tcPr>
            <w:tcW w:w="0" w:type="auto"/>
          </w:tcPr>
          <w:p w:rsidR="00F32158" w:rsidRPr="00713D06" w:rsidRDefault="00F32158" w:rsidP="00F32158">
            <w:pPr>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19,641.30</w:t>
            </w:r>
          </w:p>
          <w:p w:rsidR="00F32158" w:rsidRPr="00713D06" w:rsidRDefault="00F32158" w:rsidP="00F32158">
            <w:pPr>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23,553.10</w:t>
            </w:r>
          </w:p>
          <w:p w:rsidR="00F32158" w:rsidRPr="00713D06" w:rsidRDefault="00F32158" w:rsidP="00F32158">
            <w:pPr>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16,445.18</w:t>
            </w:r>
          </w:p>
          <w:p w:rsidR="00F32158" w:rsidRPr="00713D06" w:rsidRDefault="00F32158" w:rsidP="00F32158">
            <w:pPr>
              <w:widowControl w:val="0"/>
              <w:jc w:val="center"/>
              <w:rPr>
                <w:rFonts w:ascii="Times New Roman" w:hAnsi="Times New Roman"/>
                <w:sz w:val="22"/>
                <w:szCs w:val="22"/>
                <w:highlight w:val="yellow"/>
              </w:rPr>
            </w:pPr>
          </w:p>
        </w:tc>
      </w:tr>
      <w:tr w:rsidR="00F32158" w:rsidRPr="00713D06" w:rsidTr="00BF1F99">
        <w:trPr>
          <w:jc w:val="center"/>
        </w:trPr>
        <w:tc>
          <w:tcPr>
            <w:tcW w:w="0" w:type="auto"/>
          </w:tcPr>
          <w:p w:rsidR="00F32158" w:rsidRPr="00713D06" w:rsidRDefault="00F32158" w:rsidP="00F32158">
            <w:pPr>
              <w:widowControl w:val="0"/>
              <w:jc w:val="center"/>
              <w:rPr>
                <w:rFonts w:ascii="Times New Roman" w:hAnsi="Times New Roman"/>
                <w:sz w:val="22"/>
                <w:szCs w:val="22"/>
              </w:rPr>
            </w:pPr>
            <w:r w:rsidRPr="00713D06">
              <w:rPr>
                <w:rFonts w:ascii="Times New Roman" w:hAnsi="Times New Roman"/>
                <w:sz w:val="22"/>
                <w:szCs w:val="22"/>
              </w:rPr>
              <w:t>2019</w:t>
            </w:r>
          </w:p>
        </w:tc>
        <w:tc>
          <w:tcPr>
            <w:tcW w:w="0" w:type="auto"/>
          </w:tcPr>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7,763.42</w:t>
            </w:r>
          </w:p>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10,442.18</w:t>
            </w:r>
          </w:p>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5,714.09</w:t>
            </w:r>
          </w:p>
          <w:p w:rsidR="00F32158" w:rsidRPr="00713D06" w:rsidRDefault="00F32158" w:rsidP="00F32158">
            <w:pPr>
              <w:widowControl w:val="0"/>
              <w:jc w:val="center"/>
              <w:rPr>
                <w:rFonts w:ascii="Times New Roman" w:hAnsi="Times New Roman"/>
                <w:sz w:val="22"/>
                <w:szCs w:val="22"/>
              </w:rPr>
            </w:pPr>
          </w:p>
        </w:tc>
        <w:tc>
          <w:tcPr>
            <w:tcW w:w="0" w:type="auto"/>
          </w:tcPr>
          <w:p w:rsidR="00F32158" w:rsidRPr="00713D06" w:rsidRDefault="00F32158" w:rsidP="00F32158">
            <w:pPr>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9,044.96</w:t>
            </w:r>
          </w:p>
          <w:p w:rsidR="00F32158" w:rsidRPr="00713D06" w:rsidRDefault="00F32158" w:rsidP="00F32158">
            <w:pPr>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11,976.03</w:t>
            </w:r>
          </w:p>
          <w:p w:rsidR="00F32158" w:rsidRPr="00713D06" w:rsidRDefault="00F32158" w:rsidP="00F32158">
            <w:pPr>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6,776.83</w:t>
            </w:r>
          </w:p>
          <w:p w:rsidR="00F32158" w:rsidRPr="00713D06" w:rsidRDefault="00F32158" w:rsidP="00F32158">
            <w:pPr>
              <w:widowControl w:val="0"/>
              <w:jc w:val="center"/>
              <w:rPr>
                <w:rFonts w:ascii="Times New Roman" w:hAnsi="Times New Roman"/>
                <w:sz w:val="22"/>
                <w:szCs w:val="22"/>
              </w:rPr>
            </w:pPr>
          </w:p>
        </w:tc>
        <w:tc>
          <w:tcPr>
            <w:tcW w:w="0" w:type="auto"/>
          </w:tcPr>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7,383.09</w:t>
            </w:r>
          </w:p>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9,081.93</w:t>
            </w:r>
          </w:p>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5,986.74</w:t>
            </w:r>
          </w:p>
          <w:p w:rsidR="00F32158" w:rsidRPr="00713D06" w:rsidRDefault="00F32158" w:rsidP="00F32158">
            <w:pPr>
              <w:widowControl w:val="0"/>
              <w:jc w:val="center"/>
              <w:rPr>
                <w:rFonts w:ascii="Times New Roman" w:hAnsi="Times New Roman"/>
                <w:sz w:val="22"/>
                <w:szCs w:val="22"/>
              </w:rPr>
            </w:pPr>
          </w:p>
        </w:tc>
        <w:tc>
          <w:tcPr>
            <w:tcW w:w="0" w:type="auto"/>
          </w:tcPr>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7,725.88</w:t>
            </w:r>
          </w:p>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8,453.82</w:t>
            </w:r>
          </w:p>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7,057.61</w:t>
            </w:r>
          </w:p>
          <w:p w:rsidR="00F32158" w:rsidRPr="00713D06" w:rsidRDefault="00F32158" w:rsidP="00F32158">
            <w:pPr>
              <w:widowControl w:val="0"/>
              <w:jc w:val="center"/>
              <w:rPr>
                <w:rFonts w:ascii="Times New Roman" w:hAnsi="Times New Roman"/>
                <w:sz w:val="22"/>
                <w:szCs w:val="22"/>
              </w:rPr>
            </w:pPr>
          </w:p>
        </w:tc>
        <w:tc>
          <w:tcPr>
            <w:tcW w:w="0" w:type="auto"/>
          </w:tcPr>
          <w:p w:rsidR="00F32158" w:rsidRPr="00713D06" w:rsidRDefault="00F32158" w:rsidP="00F32158">
            <w:pPr>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7,472.19</w:t>
            </w:r>
          </w:p>
          <w:p w:rsidR="00F32158" w:rsidRPr="00713D06" w:rsidRDefault="00F32158" w:rsidP="00F32158">
            <w:pPr>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8,684.45</w:t>
            </w:r>
          </w:p>
          <w:p w:rsidR="00F32158" w:rsidRPr="00713D06" w:rsidRDefault="00F32158" w:rsidP="00F32158">
            <w:pPr>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6,429.51</w:t>
            </w:r>
          </w:p>
          <w:p w:rsidR="00F32158" w:rsidRPr="00713D06" w:rsidRDefault="00F32158" w:rsidP="00F32158">
            <w:pPr>
              <w:widowControl w:val="0"/>
              <w:jc w:val="center"/>
              <w:rPr>
                <w:rFonts w:ascii="Times New Roman" w:hAnsi="Times New Roman"/>
                <w:sz w:val="22"/>
                <w:szCs w:val="22"/>
              </w:rPr>
            </w:pPr>
          </w:p>
        </w:tc>
        <w:tc>
          <w:tcPr>
            <w:tcW w:w="0" w:type="auto"/>
          </w:tcPr>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5,711.11</w:t>
            </w:r>
          </w:p>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6,921.51</w:t>
            </w:r>
          </w:p>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4,659.27</w:t>
            </w:r>
          </w:p>
          <w:p w:rsidR="00F32158" w:rsidRPr="00713D06" w:rsidRDefault="00F32158" w:rsidP="00F32158">
            <w:pPr>
              <w:widowControl w:val="0"/>
              <w:jc w:val="center"/>
              <w:rPr>
                <w:rFonts w:ascii="Times New Roman" w:hAnsi="Times New Roman"/>
                <w:sz w:val="22"/>
                <w:szCs w:val="22"/>
              </w:rPr>
            </w:pPr>
          </w:p>
        </w:tc>
        <w:tc>
          <w:tcPr>
            <w:tcW w:w="0" w:type="auto"/>
          </w:tcPr>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15,471.67</w:t>
            </w:r>
          </w:p>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16,785.60</w:t>
            </w:r>
          </w:p>
          <w:p w:rsidR="00F32158" w:rsidRPr="00713D06" w:rsidRDefault="00F32158" w:rsidP="00F32158">
            <w:pPr>
              <w:shd w:val="clear" w:color="auto" w:fill="FFFFFF"/>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14,266.89</w:t>
            </w:r>
          </w:p>
          <w:p w:rsidR="00F32158" w:rsidRPr="00713D06" w:rsidRDefault="00F32158" w:rsidP="00F32158">
            <w:pPr>
              <w:widowControl w:val="0"/>
              <w:jc w:val="center"/>
              <w:rPr>
                <w:rFonts w:ascii="Times New Roman" w:hAnsi="Times New Roman"/>
                <w:sz w:val="22"/>
                <w:szCs w:val="22"/>
              </w:rPr>
            </w:pPr>
          </w:p>
        </w:tc>
        <w:tc>
          <w:tcPr>
            <w:tcW w:w="0" w:type="auto"/>
          </w:tcPr>
          <w:p w:rsidR="00F32158" w:rsidRPr="00713D06" w:rsidRDefault="00F32158" w:rsidP="00F32158">
            <w:pPr>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18,966.82</w:t>
            </w:r>
          </w:p>
          <w:p w:rsidR="00F32158" w:rsidRPr="00713D06" w:rsidRDefault="00F32158" w:rsidP="00F32158">
            <w:pPr>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23,235.76</w:t>
            </w:r>
          </w:p>
          <w:p w:rsidR="00F32158" w:rsidRPr="00713D06" w:rsidRDefault="00F32158" w:rsidP="00F32158">
            <w:pPr>
              <w:jc w:val="right"/>
              <w:rPr>
                <w:rFonts w:ascii="Times New Roman" w:hAnsi="Times New Roman"/>
                <w:color w:val="454545"/>
                <w:sz w:val="22"/>
                <w:szCs w:val="22"/>
                <w:lang w:val="en-US"/>
              </w:rPr>
            </w:pPr>
            <w:r w:rsidRPr="00713D06">
              <w:rPr>
                <w:rFonts w:ascii="Times New Roman" w:hAnsi="Times New Roman"/>
                <w:color w:val="454545"/>
                <w:sz w:val="22"/>
                <w:szCs w:val="22"/>
                <w:lang w:val="en-US"/>
              </w:rPr>
              <w:t>15,566.07</w:t>
            </w:r>
          </w:p>
          <w:p w:rsidR="00F32158" w:rsidRPr="00713D06" w:rsidRDefault="00F32158" w:rsidP="00F32158">
            <w:pPr>
              <w:widowControl w:val="0"/>
              <w:jc w:val="center"/>
              <w:rPr>
                <w:rFonts w:ascii="Times New Roman" w:hAnsi="Times New Roman"/>
                <w:sz w:val="22"/>
                <w:szCs w:val="22"/>
                <w:highlight w:val="yellow"/>
              </w:rPr>
            </w:pPr>
          </w:p>
        </w:tc>
      </w:tr>
    </w:tbl>
    <w:p w:rsidR="00713D06" w:rsidRDefault="00713D06" w:rsidP="00F32158">
      <w:pPr>
        <w:tabs>
          <w:tab w:val="left" w:pos="8133"/>
        </w:tabs>
        <w:spacing w:after="200" w:line="276" w:lineRule="auto"/>
        <w:jc w:val="right"/>
        <w:rPr>
          <w:rFonts w:eastAsia="Calibri"/>
          <w:szCs w:val="28"/>
        </w:rPr>
      </w:pPr>
    </w:p>
    <w:p w:rsidR="00F32158" w:rsidRPr="00F32158" w:rsidRDefault="00D32C4B" w:rsidP="00913A33">
      <w:pPr>
        <w:pageBreakBefore/>
        <w:widowControl w:val="0"/>
        <w:tabs>
          <w:tab w:val="left" w:pos="8133"/>
        </w:tabs>
        <w:spacing w:after="200" w:line="276" w:lineRule="auto"/>
        <w:jc w:val="right"/>
        <w:rPr>
          <w:rFonts w:eastAsia="Calibri"/>
          <w:szCs w:val="28"/>
        </w:rPr>
      </w:pPr>
      <w:r>
        <w:rPr>
          <w:rFonts w:eastAsia="Calibri"/>
          <w:szCs w:val="28"/>
        </w:rPr>
        <w:lastRenderedPageBreak/>
        <w:t>Додаток Б</w:t>
      </w:r>
      <w:r w:rsidR="00F32158" w:rsidRPr="00F32158">
        <w:rPr>
          <w:rFonts w:eastAsia="Calibri"/>
          <w:szCs w:val="28"/>
        </w:rPr>
        <w:t>-12</w:t>
      </w:r>
    </w:p>
    <w:p w:rsidR="00F32158" w:rsidRPr="00F32158" w:rsidRDefault="00F32158" w:rsidP="00713D06">
      <w:pPr>
        <w:jc w:val="center"/>
        <w:rPr>
          <w:rFonts w:eastAsia="Times New Roman"/>
          <w:b/>
          <w:szCs w:val="28"/>
          <w:lang w:eastAsia="ru-RU"/>
        </w:rPr>
      </w:pPr>
      <w:r w:rsidRPr="00F32158">
        <w:rPr>
          <w:rFonts w:eastAsia="Calibri"/>
          <w:b/>
          <w:szCs w:val="28"/>
        </w:rPr>
        <w:t>Динаміка показника пізньої неонатальної смертності дітей за всіма причинами смерті  (2009-2019 рр.) на 100 тис. відповідного населення</w:t>
      </w:r>
    </w:p>
    <w:tbl>
      <w:tblPr>
        <w:tblStyle w:val="79"/>
        <w:tblW w:w="0" w:type="auto"/>
        <w:jc w:val="center"/>
        <w:tblLook w:val="04A0" w:firstRow="1" w:lastRow="0" w:firstColumn="1" w:lastColumn="0" w:noHBand="0" w:noVBand="1"/>
      </w:tblPr>
      <w:tblGrid>
        <w:gridCol w:w="656"/>
        <w:gridCol w:w="986"/>
        <w:gridCol w:w="1339"/>
        <w:gridCol w:w="1185"/>
        <w:gridCol w:w="1228"/>
        <w:gridCol w:w="996"/>
        <w:gridCol w:w="986"/>
        <w:gridCol w:w="986"/>
        <w:gridCol w:w="986"/>
      </w:tblGrid>
      <w:tr w:rsidR="00F32158" w:rsidRPr="009D5E9C" w:rsidTr="00BF1F99">
        <w:trPr>
          <w:jc w:val="center"/>
        </w:trPr>
        <w:tc>
          <w:tcPr>
            <w:tcW w:w="0" w:type="auto"/>
          </w:tcPr>
          <w:p w:rsidR="00F32158" w:rsidRPr="009D5E9C" w:rsidRDefault="00F32158" w:rsidP="00F32158">
            <w:pPr>
              <w:widowControl w:val="0"/>
              <w:jc w:val="center"/>
              <w:rPr>
                <w:rFonts w:ascii="Times New Roman" w:hAnsi="Times New Roman"/>
                <w:sz w:val="22"/>
                <w:szCs w:val="22"/>
              </w:rPr>
            </w:pPr>
            <w:proofErr w:type="gramStart"/>
            <w:r w:rsidRPr="009D5E9C">
              <w:rPr>
                <w:rFonts w:ascii="Times New Roman" w:hAnsi="Times New Roman"/>
                <w:sz w:val="22"/>
                <w:szCs w:val="22"/>
              </w:rPr>
              <w:t>Р</w:t>
            </w:r>
            <w:proofErr w:type="gramEnd"/>
            <w:r w:rsidRPr="009D5E9C">
              <w:rPr>
                <w:rFonts w:ascii="Times New Roman" w:hAnsi="Times New Roman"/>
                <w:sz w:val="22"/>
                <w:szCs w:val="22"/>
              </w:rPr>
              <w:t>ік</w:t>
            </w:r>
          </w:p>
        </w:tc>
        <w:tc>
          <w:tcPr>
            <w:tcW w:w="0" w:type="auto"/>
          </w:tcPr>
          <w:p w:rsidR="00F32158" w:rsidRPr="009D5E9C" w:rsidRDefault="00F32158" w:rsidP="00F32158">
            <w:pPr>
              <w:widowControl w:val="0"/>
              <w:jc w:val="center"/>
              <w:rPr>
                <w:rFonts w:ascii="Times New Roman" w:hAnsi="Times New Roman"/>
                <w:sz w:val="22"/>
                <w:szCs w:val="22"/>
              </w:rPr>
            </w:pPr>
            <w:r w:rsidRPr="009D5E9C">
              <w:rPr>
                <w:rFonts w:ascii="Times New Roman" w:hAnsi="Times New Roman"/>
                <w:sz w:val="22"/>
                <w:szCs w:val="22"/>
              </w:rPr>
              <w:t>Польща</w:t>
            </w:r>
          </w:p>
        </w:tc>
        <w:tc>
          <w:tcPr>
            <w:tcW w:w="0" w:type="auto"/>
          </w:tcPr>
          <w:p w:rsidR="00F32158" w:rsidRPr="009D5E9C" w:rsidRDefault="00F32158" w:rsidP="00F32158">
            <w:pPr>
              <w:widowControl w:val="0"/>
              <w:rPr>
                <w:rFonts w:ascii="Times New Roman" w:hAnsi="Times New Roman"/>
                <w:sz w:val="22"/>
                <w:szCs w:val="22"/>
              </w:rPr>
            </w:pPr>
            <w:r w:rsidRPr="009D5E9C">
              <w:rPr>
                <w:rFonts w:ascii="Times New Roman" w:hAnsi="Times New Roman"/>
                <w:sz w:val="22"/>
                <w:szCs w:val="22"/>
              </w:rPr>
              <w:t>Словаччина</w:t>
            </w:r>
          </w:p>
        </w:tc>
        <w:tc>
          <w:tcPr>
            <w:tcW w:w="0" w:type="auto"/>
          </w:tcPr>
          <w:p w:rsidR="00F32158" w:rsidRPr="009D5E9C" w:rsidRDefault="00F32158" w:rsidP="00F32158">
            <w:pPr>
              <w:widowControl w:val="0"/>
              <w:rPr>
                <w:rFonts w:ascii="Times New Roman" w:hAnsi="Times New Roman"/>
                <w:sz w:val="22"/>
                <w:szCs w:val="22"/>
              </w:rPr>
            </w:pPr>
            <w:r w:rsidRPr="009D5E9C">
              <w:rPr>
                <w:rFonts w:ascii="Times New Roman" w:hAnsi="Times New Roman"/>
                <w:sz w:val="22"/>
                <w:szCs w:val="22"/>
              </w:rPr>
              <w:t>Угорщина</w:t>
            </w:r>
          </w:p>
        </w:tc>
        <w:tc>
          <w:tcPr>
            <w:tcW w:w="0" w:type="auto"/>
          </w:tcPr>
          <w:p w:rsidR="00F32158" w:rsidRPr="009D5E9C" w:rsidRDefault="00F32158" w:rsidP="00F32158">
            <w:pPr>
              <w:widowControl w:val="0"/>
              <w:jc w:val="center"/>
              <w:rPr>
                <w:rFonts w:ascii="Times New Roman" w:hAnsi="Times New Roman"/>
                <w:sz w:val="22"/>
                <w:szCs w:val="22"/>
              </w:rPr>
            </w:pPr>
            <w:r w:rsidRPr="009D5E9C">
              <w:rPr>
                <w:rFonts w:ascii="Times New Roman" w:hAnsi="Times New Roman"/>
                <w:sz w:val="22"/>
                <w:szCs w:val="22"/>
              </w:rPr>
              <w:t>Німеччина</w:t>
            </w:r>
          </w:p>
        </w:tc>
        <w:tc>
          <w:tcPr>
            <w:tcW w:w="0" w:type="auto"/>
          </w:tcPr>
          <w:p w:rsidR="00F32158" w:rsidRPr="009D5E9C" w:rsidRDefault="00F32158" w:rsidP="00F32158">
            <w:pPr>
              <w:widowControl w:val="0"/>
              <w:jc w:val="center"/>
              <w:rPr>
                <w:rFonts w:ascii="Times New Roman" w:hAnsi="Times New Roman"/>
                <w:sz w:val="22"/>
                <w:szCs w:val="22"/>
              </w:rPr>
            </w:pPr>
            <w:r w:rsidRPr="009D5E9C">
              <w:rPr>
                <w:rFonts w:ascii="Times New Roman" w:hAnsi="Times New Roman"/>
                <w:sz w:val="22"/>
                <w:szCs w:val="22"/>
              </w:rPr>
              <w:t>Франція</w:t>
            </w:r>
          </w:p>
        </w:tc>
        <w:tc>
          <w:tcPr>
            <w:tcW w:w="0" w:type="auto"/>
          </w:tcPr>
          <w:p w:rsidR="00F32158" w:rsidRPr="009D5E9C" w:rsidRDefault="00F32158" w:rsidP="00F32158">
            <w:pPr>
              <w:widowControl w:val="0"/>
              <w:jc w:val="center"/>
              <w:rPr>
                <w:rFonts w:ascii="Times New Roman" w:hAnsi="Times New Roman"/>
                <w:sz w:val="22"/>
                <w:szCs w:val="22"/>
              </w:rPr>
            </w:pPr>
            <w:r w:rsidRPr="009D5E9C">
              <w:rPr>
                <w:rFonts w:ascii="Times New Roman" w:hAnsi="Times New Roman"/>
                <w:sz w:val="22"/>
                <w:szCs w:val="22"/>
              </w:rPr>
              <w:t>Іспанія</w:t>
            </w:r>
          </w:p>
        </w:tc>
        <w:tc>
          <w:tcPr>
            <w:tcW w:w="0" w:type="auto"/>
          </w:tcPr>
          <w:p w:rsidR="00F32158" w:rsidRPr="009D5E9C" w:rsidRDefault="00F32158" w:rsidP="00F32158">
            <w:pPr>
              <w:widowControl w:val="0"/>
              <w:jc w:val="center"/>
              <w:rPr>
                <w:rFonts w:ascii="Times New Roman" w:hAnsi="Times New Roman"/>
                <w:sz w:val="22"/>
                <w:szCs w:val="22"/>
              </w:rPr>
            </w:pPr>
            <w:r w:rsidRPr="009D5E9C">
              <w:rPr>
                <w:rFonts w:ascii="Times New Roman" w:hAnsi="Times New Roman"/>
                <w:sz w:val="22"/>
                <w:szCs w:val="22"/>
              </w:rPr>
              <w:t>США</w:t>
            </w:r>
          </w:p>
        </w:tc>
        <w:tc>
          <w:tcPr>
            <w:tcW w:w="0" w:type="auto"/>
          </w:tcPr>
          <w:p w:rsidR="00F32158" w:rsidRPr="009D5E9C" w:rsidRDefault="00F32158" w:rsidP="00F32158">
            <w:pPr>
              <w:widowControl w:val="0"/>
              <w:jc w:val="center"/>
              <w:rPr>
                <w:rFonts w:ascii="Times New Roman" w:hAnsi="Times New Roman"/>
                <w:sz w:val="22"/>
                <w:szCs w:val="22"/>
              </w:rPr>
            </w:pPr>
            <w:r w:rsidRPr="009D5E9C">
              <w:rPr>
                <w:rFonts w:ascii="Times New Roman" w:hAnsi="Times New Roman"/>
                <w:sz w:val="22"/>
                <w:szCs w:val="22"/>
              </w:rPr>
              <w:t>Україна</w:t>
            </w:r>
          </w:p>
        </w:tc>
      </w:tr>
      <w:tr w:rsidR="00F32158" w:rsidRPr="009D5E9C" w:rsidTr="00BF1F99">
        <w:trPr>
          <w:jc w:val="center"/>
        </w:trPr>
        <w:tc>
          <w:tcPr>
            <w:tcW w:w="0" w:type="auto"/>
          </w:tcPr>
          <w:p w:rsidR="00F32158" w:rsidRPr="009D5E9C" w:rsidRDefault="00F32158" w:rsidP="00F32158">
            <w:pPr>
              <w:widowControl w:val="0"/>
              <w:jc w:val="center"/>
              <w:rPr>
                <w:rFonts w:ascii="Times New Roman" w:hAnsi="Times New Roman"/>
                <w:sz w:val="22"/>
                <w:szCs w:val="22"/>
              </w:rPr>
            </w:pPr>
            <w:r w:rsidRPr="009D5E9C">
              <w:rPr>
                <w:rFonts w:ascii="Times New Roman" w:hAnsi="Times New Roman"/>
                <w:sz w:val="22"/>
                <w:szCs w:val="22"/>
              </w:rPr>
              <w:t>2009</w:t>
            </w:r>
          </w:p>
        </w:tc>
        <w:tc>
          <w:tcPr>
            <w:tcW w:w="0" w:type="auto"/>
          </w:tcPr>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1,857.12</w:t>
            </w:r>
          </w:p>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2,344.67</w:t>
            </w:r>
          </w:p>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1,413.85</w:t>
            </w:r>
          </w:p>
          <w:p w:rsidR="00F32158" w:rsidRPr="009D5E9C" w:rsidRDefault="00F32158" w:rsidP="0055712B">
            <w:pPr>
              <w:widowControl w:val="0"/>
              <w:jc w:val="center"/>
              <w:rPr>
                <w:rFonts w:ascii="Times New Roman" w:hAnsi="Times New Roman"/>
                <w:sz w:val="22"/>
                <w:szCs w:val="22"/>
              </w:rPr>
            </w:pPr>
          </w:p>
        </w:tc>
        <w:tc>
          <w:tcPr>
            <w:tcW w:w="0" w:type="auto"/>
          </w:tcPr>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1,893.04</w:t>
            </w:r>
          </w:p>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2,264.34</w:t>
            </w:r>
          </w:p>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1,567.61</w:t>
            </w:r>
          </w:p>
          <w:p w:rsidR="00F32158" w:rsidRPr="009D5E9C" w:rsidRDefault="00F32158" w:rsidP="0055712B">
            <w:pPr>
              <w:widowControl w:val="0"/>
              <w:jc w:val="center"/>
              <w:rPr>
                <w:rFonts w:ascii="Times New Roman" w:hAnsi="Times New Roman"/>
                <w:sz w:val="22"/>
                <w:szCs w:val="22"/>
              </w:rPr>
            </w:pPr>
          </w:p>
        </w:tc>
        <w:tc>
          <w:tcPr>
            <w:tcW w:w="0" w:type="auto"/>
          </w:tcPr>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1,623.22</w:t>
            </w:r>
          </w:p>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1,824.56</w:t>
            </w:r>
          </w:p>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1,432.29</w:t>
            </w:r>
          </w:p>
          <w:p w:rsidR="00F32158" w:rsidRPr="009D5E9C" w:rsidRDefault="00F32158" w:rsidP="0055712B">
            <w:pPr>
              <w:widowControl w:val="0"/>
              <w:jc w:val="center"/>
              <w:rPr>
                <w:rFonts w:ascii="Times New Roman" w:hAnsi="Times New Roman"/>
                <w:sz w:val="22"/>
                <w:szCs w:val="22"/>
              </w:rPr>
            </w:pPr>
          </w:p>
        </w:tc>
        <w:tc>
          <w:tcPr>
            <w:tcW w:w="0" w:type="auto"/>
          </w:tcPr>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913.85</w:t>
            </w:r>
          </w:p>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1,018.51</w:t>
            </w:r>
          </w:p>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814.53</w:t>
            </w:r>
          </w:p>
          <w:p w:rsidR="00F32158" w:rsidRPr="009D5E9C" w:rsidRDefault="00F32158" w:rsidP="0055712B">
            <w:pPr>
              <w:widowControl w:val="0"/>
              <w:jc w:val="center"/>
              <w:rPr>
                <w:rFonts w:ascii="Times New Roman" w:hAnsi="Times New Roman"/>
                <w:sz w:val="22"/>
                <w:szCs w:val="22"/>
              </w:rPr>
            </w:pPr>
          </w:p>
        </w:tc>
        <w:tc>
          <w:tcPr>
            <w:tcW w:w="0" w:type="auto"/>
          </w:tcPr>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1,268.89</w:t>
            </w:r>
          </w:p>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1,527.66</w:t>
            </w:r>
          </w:p>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1,035.04</w:t>
            </w:r>
          </w:p>
          <w:p w:rsidR="00F32158" w:rsidRPr="009D5E9C" w:rsidRDefault="00F32158" w:rsidP="0055712B">
            <w:pPr>
              <w:widowControl w:val="0"/>
              <w:jc w:val="center"/>
              <w:rPr>
                <w:rFonts w:ascii="Times New Roman" w:hAnsi="Times New Roman"/>
                <w:sz w:val="22"/>
                <w:szCs w:val="22"/>
              </w:rPr>
            </w:pPr>
          </w:p>
        </w:tc>
        <w:tc>
          <w:tcPr>
            <w:tcW w:w="0" w:type="auto"/>
          </w:tcPr>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1,324.09</w:t>
            </w:r>
          </w:p>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1,604.17</w:t>
            </w:r>
          </w:p>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1,061.35</w:t>
            </w:r>
          </w:p>
          <w:p w:rsidR="00F32158" w:rsidRPr="009D5E9C" w:rsidRDefault="00F32158" w:rsidP="0055712B">
            <w:pPr>
              <w:widowControl w:val="0"/>
              <w:jc w:val="center"/>
              <w:rPr>
                <w:rFonts w:ascii="Times New Roman" w:hAnsi="Times New Roman"/>
                <w:sz w:val="22"/>
                <w:szCs w:val="22"/>
              </w:rPr>
            </w:pPr>
          </w:p>
        </w:tc>
        <w:tc>
          <w:tcPr>
            <w:tcW w:w="0" w:type="auto"/>
          </w:tcPr>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1,489.70</w:t>
            </w:r>
          </w:p>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1,824.50</w:t>
            </w:r>
          </w:p>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1,221.71</w:t>
            </w:r>
          </w:p>
          <w:p w:rsidR="00F32158" w:rsidRPr="009D5E9C" w:rsidRDefault="00F32158" w:rsidP="0055712B">
            <w:pPr>
              <w:widowControl w:val="0"/>
              <w:jc w:val="center"/>
              <w:rPr>
                <w:rFonts w:ascii="Times New Roman" w:hAnsi="Times New Roman"/>
                <w:sz w:val="22"/>
                <w:szCs w:val="22"/>
              </w:rPr>
            </w:pPr>
          </w:p>
        </w:tc>
        <w:tc>
          <w:tcPr>
            <w:tcW w:w="0" w:type="auto"/>
          </w:tcPr>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1,858.89</w:t>
            </w:r>
          </w:p>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2,618.45</w:t>
            </w:r>
          </w:p>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1,272.90</w:t>
            </w:r>
          </w:p>
          <w:p w:rsidR="00F32158" w:rsidRPr="009D5E9C" w:rsidRDefault="00F32158" w:rsidP="0055712B">
            <w:pPr>
              <w:widowControl w:val="0"/>
              <w:jc w:val="center"/>
              <w:rPr>
                <w:rFonts w:ascii="Times New Roman" w:hAnsi="Times New Roman"/>
                <w:sz w:val="22"/>
                <w:szCs w:val="22"/>
                <w:highlight w:val="yellow"/>
              </w:rPr>
            </w:pPr>
          </w:p>
        </w:tc>
      </w:tr>
      <w:tr w:rsidR="00F32158" w:rsidRPr="009D5E9C" w:rsidTr="00BF1F99">
        <w:trPr>
          <w:jc w:val="center"/>
        </w:trPr>
        <w:tc>
          <w:tcPr>
            <w:tcW w:w="0" w:type="auto"/>
          </w:tcPr>
          <w:p w:rsidR="00F32158" w:rsidRPr="009D5E9C" w:rsidRDefault="00F32158" w:rsidP="00F32158">
            <w:pPr>
              <w:widowControl w:val="0"/>
              <w:jc w:val="center"/>
              <w:rPr>
                <w:rFonts w:ascii="Times New Roman" w:hAnsi="Times New Roman"/>
                <w:sz w:val="22"/>
                <w:szCs w:val="22"/>
              </w:rPr>
            </w:pPr>
            <w:r w:rsidRPr="009D5E9C">
              <w:rPr>
                <w:rFonts w:ascii="Times New Roman" w:hAnsi="Times New Roman"/>
                <w:sz w:val="22"/>
                <w:szCs w:val="22"/>
              </w:rPr>
              <w:t>2010</w:t>
            </w:r>
          </w:p>
        </w:tc>
        <w:tc>
          <w:tcPr>
            <w:tcW w:w="0" w:type="auto"/>
          </w:tcPr>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1,730.51</w:t>
            </w:r>
          </w:p>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2,183.69</w:t>
            </w:r>
          </w:p>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1,339.52</w:t>
            </w:r>
          </w:p>
          <w:p w:rsidR="00F32158" w:rsidRPr="009D5E9C" w:rsidRDefault="00F32158" w:rsidP="0055712B">
            <w:pPr>
              <w:widowControl w:val="0"/>
              <w:jc w:val="center"/>
              <w:rPr>
                <w:rFonts w:ascii="Times New Roman" w:hAnsi="Times New Roman"/>
                <w:sz w:val="22"/>
                <w:szCs w:val="22"/>
              </w:rPr>
            </w:pPr>
          </w:p>
        </w:tc>
        <w:tc>
          <w:tcPr>
            <w:tcW w:w="0" w:type="auto"/>
          </w:tcPr>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1,831.29</w:t>
            </w:r>
          </w:p>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2,084.38</w:t>
            </w:r>
          </w:p>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1,582.42</w:t>
            </w:r>
          </w:p>
          <w:p w:rsidR="00F32158" w:rsidRPr="009D5E9C" w:rsidRDefault="00F32158" w:rsidP="0055712B">
            <w:pPr>
              <w:widowControl w:val="0"/>
              <w:jc w:val="center"/>
              <w:rPr>
                <w:rFonts w:ascii="Times New Roman" w:hAnsi="Times New Roman"/>
                <w:sz w:val="22"/>
                <w:szCs w:val="22"/>
              </w:rPr>
            </w:pPr>
          </w:p>
        </w:tc>
        <w:tc>
          <w:tcPr>
            <w:tcW w:w="0" w:type="auto"/>
          </w:tcPr>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1,628.23</w:t>
            </w:r>
          </w:p>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1,869.79</w:t>
            </w:r>
          </w:p>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1,409.81</w:t>
            </w:r>
          </w:p>
          <w:p w:rsidR="00F32158" w:rsidRPr="009D5E9C" w:rsidRDefault="00F32158" w:rsidP="0055712B">
            <w:pPr>
              <w:widowControl w:val="0"/>
              <w:jc w:val="center"/>
              <w:rPr>
                <w:rFonts w:ascii="Times New Roman" w:hAnsi="Times New Roman"/>
                <w:sz w:val="22"/>
                <w:szCs w:val="22"/>
              </w:rPr>
            </w:pPr>
          </w:p>
        </w:tc>
        <w:tc>
          <w:tcPr>
            <w:tcW w:w="0" w:type="auto"/>
          </w:tcPr>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882.32</w:t>
            </w:r>
          </w:p>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994.22</w:t>
            </w:r>
          </w:p>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779.28</w:t>
            </w:r>
          </w:p>
          <w:p w:rsidR="00F32158" w:rsidRPr="009D5E9C" w:rsidRDefault="00F32158" w:rsidP="0055712B">
            <w:pPr>
              <w:widowControl w:val="0"/>
              <w:jc w:val="center"/>
              <w:rPr>
                <w:rFonts w:ascii="Times New Roman" w:hAnsi="Times New Roman"/>
                <w:sz w:val="22"/>
                <w:szCs w:val="22"/>
              </w:rPr>
            </w:pPr>
          </w:p>
        </w:tc>
        <w:tc>
          <w:tcPr>
            <w:tcW w:w="0" w:type="auto"/>
          </w:tcPr>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1,268.95</w:t>
            </w:r>
          </w:p>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1,477.75</w:t>
            </w:r>
          </w:p>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1,067.48</w:t>
            </w:r>
          </w:p>
          <w:p w:rsidR="00F32158" w:rsidRPr="009D5E9C" w:rsidRDefault="00F32158" w:rsidP="0055712B">
            <w:pPr>
              <w:widowControl w:val="0"/>
              <w:jc w:val="center"/>
              <w:rPr>
                <w:rFonts w:ascii="Times New Roman" w:hAnsi="Times New Roman"/>
                <w:sz w:val="22"/>
                <w:szCs w:val="22"/>
              </w:rPr>
            </w:pPr>
          </w:p>
        </w:tc>
        <w:tc>
          <w:tcPr>
            <w:tcW w:w="0" w:type="auto"/>
          </w:tcPr>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1,295.93</w:t>
            </w:r>
          </w:p>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1,584.95</w:t>
            </w:r>
          </w:p>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1,045.18</w:t>
            </w:r>
          </w:p>
          <w:p w:rsidR="00F32158" w:rsidRPr="009D5E9C" w:rsidRDefault="00F32158" w:rsidP="0055712B">
            <w:pPr>
              <w:widowControl w:val="0"/>
              <w:jc w:val="center"/>
              <w:rPr>
                <w:rFonts w:ascii="Times New Roman" w:hAnsi="Times New Roman"/>
                <w:sz w:val="22"/>
                <w:szCs w:val="22"/>
              </w:rPr>
            </w:pPr>
          </w:p>
        </w:tc>
        <w:tc>
          <w:tcPr>
            <w:tcW w:w="0" w:type="auto"/>
          </w:tcPr>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1,425.21</w:t>
            </w:r>
          </w:p>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1,712.98</w:t>
            </w:r>
          </w:p>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1,177.88</w:t>
            </w:r>
          </w:p>
          <w:p w:rsidR="00F32158" w:rsidRPr="009D5E9C" w:rsidRDefault="00F32158" w:rsidP="0055712B">
            <w:pPr>
              <w:widowControl w:val="0"/>
              <w:jc w:val="center"/>
              <w:rPr>
                <w:rFonts w:ascii="Times New Roman" w:hAnsi="Times New Roman"/>
                <w:sz w:val="22"/>
                <w:szCs w:val="22"/>
              </w:rPr>
            </w:pPr>
          </w:p>
        </w:tc>
        <w:tc>
          <w:tcPr>
            <w:tcW w:w="0" w:type="auto"/>
          </w:tcPr>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1,783.97</w:t>
            </w:r>
          </w:p>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2,523.98</w:t>
            </w:r>
          </w:p>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1,221.54</w:t>
            </w:r>
          </w:p>
          <w:p w:rsidR="00F32158" w:rsidRPr="009D5E9C" w:rsidRDefault="00F32158" w:rsidP="0055712B">
            <w:pPr>
              <w:widowControl w:val="0"/>
              <w:jc w:val="center"/>
              <w:rPr>
                <w:rFonts w:ascii="Times New Roman" w:hAnsi="Times New Roman"/>
                <w:sz w:val="22"/>
                <w:szCs w:val="22"/>
                <w:highlight w:val="yellow"/>
              </w:rPr>
            </w:pPr>
          </w:p>
        </w:tc>
      </w:tr>
      <w:tr w:rsidR="00F32158" w:rsidRPr="009D5E9C" w:rsidTr="00BF1F99">
        <w:trPr>
          <w:jc w:val="center"/>
        </w:trPr>
        <w:tc>
          <w:tcPr>
            <w:tcW w:w="0" w:type="auto"/>
          </w:tcPr>
          <w:p w:rsidR="00F32158" w:rsidRPr="009D5E9C" w:rsidRDefault="00F32158" w:rsidP="00F32158">
            <w:pPr>
              <w:widowControl w:val="0"/>
              <w:jc w:val="center"/>
              <w:rPr>
                <w:rFonts w:ascii="Times New Roman" w:hAnsi="Times New Roman"/>
                <w:sz w:val="22"/>
                <w:szCs w:val="22"/>
              </w:rPr>
            </w:pPr>
            <w:r w:rsidRPr="009D5E9C">
              <w:rPr>
                <w:rFonts w:ascii="Times New Roman" w:hAnsi="Times New Roman"/>
                <w:sz w:val="22"/>
                <w:szCs w:val="22"/>
              </w:rPr>
              <w:t>2011</w:t>
            </w:r>
          </w:p>
        </w:tc>
        <w:tc>
          <w:tcPr>
            <w:tcW w:w="0" w:type="auto"/>
          </w:tcPr>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1,626.67</w:t>
            </w:r>
          </w:p>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2,087.08</w:t>
            </w:r>
          </w:p>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1,189.97</w:t>
            </w:r>
          </w:p>
          <w:p w:rsidR="00F32158" w:rsidRPr="009D5E9C" w:rsidRDefault="00F32158" w:rsidP="0055712B">
            <w:pPr>
              <w:widowControl w:val="0"/>
              <w:jc w:val="center"/>
              <w:rPr>
                <w:rFonts w:ascii="Times New Roman" w:hAnsi="Times New Roman"/>
                <w:sz w:val="22"/>
                <w:szCs w:val="22"/>
              </w:rPr>
            </w:pPr>
          </w:p>
        </w:tc>
        <w:tc>
          <w:tcPr>
            <w:tcW w:w="0" w:type="auto"/>
          </w:tcPr>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1,706.18</w:t>
            </w:r>
          </w:p>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1,921.16</w:t>
            </w:r>
          </w:p>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1,503.28</w:t>
            </w:r>
          </w:p>
          <w:p w:rsidR="00F32158" w:rsidRPr="009D5E9C" w:rsidRDefault="00F32158" w:rsidP="0055712B">
            <w:pPr>
              <w:widowControl w:val="0"/>
              <w:jc w:val="center"/>
              <w:rPr>
                <w:rFonts w:ascii="Times New Roman" w:hAnsi="Times New Roman"/>
                <w:sz w:val="22"/>
                <w:szCs w:val="22"/>
              </w:rPr>
            </w:pPr>
          </w:p>
        </w:tc>
        <w:tc>
          <w:tcPr>
            <w:tcW w:w="0" w:type="auto"/>
          </w:tcPr>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1,643.16</w:t>
            </w:r>
          </w:p>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1,868.70</w:t>
            </w:r>
          </w:p>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1,431.75</w:t>
            </w:r>
          </w:p>
          <w:p w:rsidR="00F32158" w:rsidRPr="009D5E9C" w:rsidRDefault="00F32158" w:rsidP="0055712B">
            <w:pPr>
              <w:widowControl w:val="0"/>
              <w:jc w:val="center"/>
              <w:rPr>
                <w:rFonts w:ascii="Times New Roman" w:hAnsi="Times New Roman"/>
                <w:sz w:val="22"/>
                <w:szCs w:val="22"/>
              </w:rPr>
            </w:pPr>
          </w:p>
        </w:tc>
        <w:tc>
          <w:tcPr>
            <w:tcW w:w="0" w:type="auto"/>
          </w:tcPr>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872.08</w:t>
            </w:r>
          </w:p>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1,007.38</w:t>
            </w:r>
          </w:p>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754.19</w:t>
            </w:r>
          </w:p>
          <w:p w:rsidR="00F32158" w:rsidRPr="009D5E9C" w:rsidRDefault="00F32158" w:rsidP="0055712B">
            <w:pPr>
              <w:widowControl w:val="0"/>
              <w:jc w:val="center"/>
              <w:rPr>
                <w:rFonts w:ascii="Times New Roman" w:hAnsi="Times New Roman"/>
                <w:sz w:val="22"/>
                <w:szCs w:val="22"/>
              </w:rPr>
            </w:pPr>
          </w:p>
        </w:tc>
        <w:tc>
          <w:tcPr>
            <w:tcW w:w="0" w:type="auto"/>
          </w:tcPr>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1,225.86</w:t>
            </w:r>
          </w:p>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1,412.71</w:t>
            </w:r>
          </w:p>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1,047.03</w:t>
            </w:r>
          </w:p>
          <w:p w:rsidR="00F32158" w:rsidRPr="009D5E9C" w:rsidRDefault="00F32158" w:rsidP="0055712B">
            <w:pPr>
              <w:widowControl w:val="0"/>
              <w:jc w:val="center"/>
              <w:rPr>
                <w:rFonts w:ascii="Times New Roman" w:hAnsi="Times New Roman"/>
                <w:sz w:val="22"/>
                <w:szCs w:val="22"/>
              </w:rPr>
            </w:pPr>
          </w:p>
        </w:tc>
        <w:tc>
          <w:tcPr>
            <w:tcW w:w="0" w:type="auto"/>
          </w:tcPr>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1,261.29</w:t>
            </w:r>
          </w:p>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1,539.34</w:t>
            </w:r>
          </w:p>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1,020.08</w:t>
            </w:r>
          </w:p>
          <w:p w:rsidR="00F32158" w:rsidRPr="009D5E9C" w:rsidRDefault="00F32158" w:rsidP="0055712B">
            <w:pPr>
              <w:widowControl w:val="0"/>
              <w:jc w:val="center"/>
              <w:rPr>
                <w:rFonts w:ascii="Times New Roman" w:hAnsi="Times New Roman"/>
                <w:sz w:val="22"/>
                <w:szCs w:val="22"/>
              </w:rPr>
            </w:pPr>
          </w:p>
        </w:tc>
        <w:tc>
          <w:tcPr>
            <w:tcW w:w="0" w:type="auto"/>
          </w:tcPr>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1,386.95</w:t>
            </w:r>
          </w:p>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1,671.33</w:t>
            </w:r>
          </w:p>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1,116.77</w:t>
            </w:r>
          </w:p>
          <w:p w:rsidR="00F32158" w:rsidRPr="009D5E9C" w:rsidRDefault="00F32158" w:rsidP="0055712B">
            <w:pPr>
              <w:widowControl w:val="0"/>
              <w:jc w:val="center"/>
              <w:rPr>
                <w:rFonts w:ascii="Times New Roman" w:hAnsi="Times New Roman"/>
                <w:sz w:val="22"/>
                <w:szCs w:val="22"/>
              </w:rPr>
            </w:pPr>
          </w:p>
        </w:tc>
        <w:tc>
          <w:tcPr>
            <w:tcW w:w="0" w:type="auto"/>
          </w:tcPr>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1,724.06</w:t>
            </w:r>
          </w:p>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2,437.13</w:t>
            </w:r>
          </w:p>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1,216.72</w:t>
            </w:r>
          </w:p>
          <w:p w:rsidR="00F32158" w:rsidRPr="009D5E9C" w:rsidRDefault="00F32158" w:rsidP="0055712B">
            <w:pPr>
              <w:widowControl w:val="0"/>
              <w:jc w:val="center"/>
              <w:rPr>
                <w:rFonts w:ascii="Times New Roman" w:hAnsi="Times New Roman"/>
                <w:sz w:val="22"/>
                <w:szCs w:val="22"/>
                <w:highlight w:val="yellow"/>
              </w:rPr>
            </w:pPr>
          </w:p>
        </w:tc>
      </w:tr>
      <w:tr w:rsidR="00F32158" w:rsidRPr="009D5E9C" w:rsidTr="00BF1F99">
        <w:trPr>
          <w:jc w:val="center"/>
        </w:trPr>
        <w:tc>
          <w:tcPr>
            <w:tcW w:w="0" w:type="auto"/>
          </w:tcPr>
          <w:p w:rsidR="00F32158" w:rsidRPr="009D5E9C" w:rsidRDefault="00F32158" w:rsidP="00F32158">
            <w:pPr>
              <w:widowControl w:val="0"/>
              <w:jc w:val="center"/>
              <w:rPr>
                <w:rFonts w:ascii="Times New Roman" w:hAnsi="Times New Roman"/>
                <w:sz w:val="22"/>
                <w:szCs w:val="22"/>
              </w:rPr>
            </w:pPr>
            <w:r w:rsidRPr="009D5E9C">
              <w:rPr>
                <w:rFonts w:ascii="Times New Roman" w:hAnsi="Times New Roman"/>
                <w:sz w:val="22"/>
                <w:szCs w:val="22"/>
              </w:rPr>
              <w:t>2012</w:t>
            </w:r>
          </w:p>
        </w:tc>
        <w:tc>
          <w:tcPr>
            <w:tcW w:w="0" w:type="auto"/>
          </w:tcPr>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1,603.20</w:t>
            </w:r>
          </w:p>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2,031.60</w:t>
            </w:r>
          </w:p>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1,181.50</w:t>
            </w:r>
          </w:p>
          <w:p w:rsidR="00F32158" w:rsidRPr="009D5E9C" w:rsidRDefault="00F32158" w:rsidP="0055712B">
            <w:pPr>
              <w:widowControl w:val="0"/>
              <w:jc w:val="center"/>
              <w:rPr>
                <w:rFonts w:ascii="Times New Roman" w:hAnsi="Times New Roman"/>
                <w:sz w:val="22"/>
                <w:szCs w:val="22"/>
              </w:rPr>
            </w:pPr>
          </w:p>
        </w:tc>
        <w:tc>
          <w:tcPr>
            <w:tcW w:w="0" w:type="auto"/>
          </w:tcPr>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1,715.00</w:t>
            </w:r>
          </w:p>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2,034.46</w:t>
            </w:r>
          </w:p>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1,443.83</w:t>
            </w:r>
          </w:p>
          <w:p w:rsidR="00F32158" w:rsidRPr="009D5E9C" w:rsidRDefault="00F32158" w:rsidP="0055712B">
            <w:pPr>
              <w:widowControl w:val="0"/>
              <w:jc w:val="center"/>
              <w:rPr>
                <w:rFonts w:ascii="Times New Roman" w:hAnsi="Times New Roman"/>
                <w:sz w:val="22"/>
                <w:szCs w:val="22"/>
              </w:rPr>
            </w:pPr>
          </w:p>
        </w:tc>
        <w:tc>
          <w:tcPr>
            <w:tcW w:w="0" w:type="auto"/>
          </w:tcPr>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1,653.13</w:t>
            </w:r>
          </w:p>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1,930.38</w:t>
            </w:r>
          </w:p>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1,405.28</w:t>
            </w:r>
          </w:p>
          <w:p w:rsidR="00F32158" w:rsidRPr="009D5E9C" w:rsidRDefault="00F32158" w:rsidP="0055712B">
            <w:pPr>
              <w:widowControl w:val="0"/>
              <w:jc w:val="center"/>
              <w:rPr>
                <w:rFonts w:ascii="Times New Roman" w:hAnsi="Times New Roman"/>
                <w:sz w:val="22"/>
                <w:szCs w:val="22"/>
              </w:rPr>
            </w:pPr>
          </w:p>
        </w:tc>
        <w:tc>
          <w:tcPr>
            <w:tcW w:w="0" w:type="auto"/>
          </w:tcPr>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819.38</w:t>
            </w:r>
          </w:p>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939.24</w:t>
            </w:r>
          </w:p>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715.08</w:t>
            </w:r>
          </w:p>
          <w:p w:rsidR="00F32158" w:rsidRPr="009D5E9C" w:rsidRDefault="00F32158" w:rsidP="0055712B">
            <w:pPr>
              <w:widowControl w:val="0"/>
              <w:jc w:val="center"/>
              <w:rPr>
                <w:rFonts w:ascii="Times New Roman" w:hAnsi="Times New Roman"/>
                <w:sz w:val="22"/>
                <w:szCs w:val="22"/>
              </w:rPr>
            </w:pPr>
          </w:p>
        </w:tc>
        <w:tc>
          <w:tcPr>
            <w:tcW w:w="0" w:type="auto"/>
          </w:tcPr>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1,233.59</w:t>
            </w:r>
          </w:p>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1,389.02</w:t>
            </w:r>
          </w:p>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1,087.24</w:t>
            </w:r>
          </w:p>
          <w:p w:rsidR="00F32158" w:rsidRPr="009D5E9C" w:rsidRDefault="00F32158" w:rsidP="0055712B">
            <w:pPr>
              <w:widowControl w:val="0"/>
              <w:jc w:val="center"/>
              <w:rPr>
                <w:rFonts w:ascii="Times New Roman" w:hAnsi="Times New Roman"/>
                <w:sz w:val="22"/>
                <w:szCs w:val="22"/>
              </w:rPr>
            </w:pPr>
          </w:p>
        </w:tc>
        <w:tc>
          <w:tcPr>
            <w:tcW w:w="0" w:type="auto"/>
          </w:tcPr>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1,209.95</w:t>
            </w:r>
          </w:p>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1,468.85</w:t>
            </w:r>
          </w:p>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961.08</w:t>
            </w:r>
          </w:p>
          <w:p w:rsidR="00F32158" w:rsidRPr="009D5E9C" w:rsidRDefault="00F32158" w:rsidP="0055712B">
            <w:pPr>
              <w:widowControl w:val="0"/>
              <w:jc w:val="center"/>
              <w:rPr>
                <w:rFonts w:ascii="Times New Roman" w:hAnsi="Times New Roman"/>
                <w:sz w:val="22"/>
                <w:szCs w:val="22"/>
              </w:rPr>
            </w:pPr>
          </w:p>
        </w:tc>
        <w:tc>
          <w:tcPr>
            <w:tcW w:w="0" w:type="auto"/>
          </w:tcPr>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1,364.95</w:t>
            </w:r>
          </w:p>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1,651.68</w:t>
            </w:r>
          </w:p>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1,092.92</w:t>
            </w:r>
          </w:p>
          <w:p w:rsidR="00F32158" w:rsidRPr="009D5E9C" w:rsidRDefault="00F32158" w:rsidP="0055712B">
            <w:pPr>
              <w:widowControl w:val="0"/>
              <w:jc w:val="center"/>
              <w:rPr>
                <w:rFonts w:ascii="Times New Roman" w:hAnsi="Times New Roman"/>
                <w:sz w:val="22"/>
                <w:szCs w:val="22"/>
              </w:rPr>
            </w:pPr>
          </w:p>
        </w:tc>
        <w:tc>
          <w:tcPr>
            <w:tcW w:w="0" w:type="auto"/>
          </w:tcPr>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1,665.76</w:t>
            </w:r>
          </w:p>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2,302.70</w:t>
            </w:r>
          </w:p>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1,181.83</w:t>
            </w:r>
          </w:p>
          <w:p w:rsidR="00F32158" w:rsidRPr="009D5E9C" w:rsidRDefault="00F32158" w:rsidP="0055712B">
            <w:pPr>
              <w:widowControl w:val="0"/>
              <w:jc w:val="center"/>
              <w:rPr>
                <w:rFonts w:ascii="Times New Roman" w:hAnsi="Times New Roman"/>
                <w:sz w:val="22"/>
                <w:szCs w:val="22"/>
                <w:highlight w:val="yellow"/>
              </w:rPr>
            </w:pPr>
          </w:p>
        </w:tc>
      </w:tr>
      <w:tr w:rsidR="00F32158" w:rsidRPr="009D5E9C" w:rsidTr="00BF1F99">
        <w:trPr>
          <w:jc w:val="center"/>
        </w:trPr>
        <w:tc>
          <w:tcPr>
            <w:tcW w:w="0" w:type="auto"/>
          </w:tcPr>
          <w:p w:rsidR="00F32158" w:rsidRPr="009D5E9C" w:rsidRDefault="00F32158" w:rsidP="00F32158">
            <w:pPr>
              <w:widowControl w:val="0"/>
              <w:jc w:val="center"/>
              <w:rPr>
                <w:rFonts w:ascii="Times New Roman" w:hAnsi="Times New Roman"/>
                <w:sz w:val="22"/>
                <w:szCs w:val="22"/>
              </w:rPr>
            </w:pPr>
            <w:r w:rsidRPr="009D5E9C">
              <w:rPr>
                <w:rFonts w:ascii="Times New Roman" w:hAnsi="Times New Roman"/>
                <w:sz w:val="22"/>
                <w:szCs w:val="22"/>
              </w:rPr>
              <w:t>2013</w:t>
            </w:r>
          </w:p>
        </w:tc>
        <w:tc>
          <w:tcPr>
            <w:tcW w:w="0" w:type="auto"/>
          </w:tcPr>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1,553.64</w:t>
            </w:r>
          </w:p>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1,945.00</w:t>
            </w:r>
          </w:p>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1,195.49</w:t>
            </w:r>
          </w:p>
          <w:p w:rsidR="00F32158" w:rsidRPr="009D5E9C" w:rsidRDefault="00F32158" w:rsidP="0055712B">
            <w:pPr>
              <w:widowControl w:val="0"/>
              <w:jc w:val="center"/>
              <w:rPr>
                <w:rFonts w:ascii="Times New Roman" w:hAnsi="Times New Roman"/>
                <w:sz w:val="22"/>
                <w:szCs w:val="22"/>
              </w:rPr>
            </w:pPr>
          </w:p>
        </w:tc>
        <w:tc>
          <w:tcPr>
            <w:tcW w:w="0" w:type="auto"/>
          </w:tcPr>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1,636.22</w:t>
            </w:r>
          </w:p>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1,881.01</w:t>
            </w:r>
          </w:p>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1,385.36</w:t>
            </w:r>
          </w:p>
          <w:p w:rsidR="00F32158" w:rsidRPr="009D5E9C" w:rsidRDefault="00F32158" w:rsidP="0055712B">
            <w:pPr>
              <w:widowControl w:val="0"/>
              <w:jc w:val="center"/>
              <w:rPr>
                <w:rFonts w:ascii="Times New Roman" w:hAnsi="Times New Roman"/>
                <w:sz w:val="22"/>
                <w:szCs w:val="22"/>
              </w:rPr>
            </w:pPr>
          </w:p>
        </w:tc>
        <w:tc>
          <w:tcPr>
            <w:tcW w:w="0" w:type="auto"/>
          </w:tcPr>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1,686.75</w:t>
            </w:r>
          </w:p>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1,966.33</w:t>
            </w:r>
          </w:p>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1,418.24</w:t>
            </w:r>
          </w:p>
          <w:p w:rsidR="00F32158" w:rsidRPr="009D5E9C" w:rsidRDefault="00F32158" w:rsidP="0055712B">
            <w:pPr>
              <w:widowControl w:val="0"/>
              <w:jc w:val="center"/>
              <w:rPr>
                <w:rFonts w:ascii="Times New Roman" w:hAnsi="Times New Roman"/>
                <w:sz w:val="22"/>
                <w:szCs w:val="22"/>
              </w:rPr>
            </w:pPr>
          </w:p>
        </w:tc>
        <w:tc>
          <w:tcPr>
            <w:tcW w:w="0" w:type="auto"/>
          </w:tcPr>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808.73</w:t>
            </w:r>
          </w:p>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900.33</w:t>
            </w:r>
          </w:p>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724.05</w:t>
            </w:r>
          </w:p>
          <w:p w:rsidR="00F32158" w:rsidRPr="009D5E9C" w:rsidRDefault="00F32158" w:rsidP="0055712B">
            <w:pPr>
              <w:widowControl w:val="0"/>
              <w:jc w:val="center"/>
              <w:rPr>
                <w:rFonts w:ascii="Times New Roman" w:hAnsi="Times New Roman"/>
                <w:sz w:val="22"/>
                <w:szCs w:val="22"/>
              </w:rPr>
            </w:pPr>
          </w:p>
        </w:tc>
        <w:tc>
          <w:tcPr>
            <w:tcW w:w="0" w:type="auto"/>
          </w:tcPr>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1,251.72</w:t>
            </w:r>
          </w:p>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1,384.97</w:t>
            </w:r>
          </w:p>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1,115.60</w:t>
            </w:r>
          </w:p>
          <w:p w:rsidR="00F32158" w:rsidRPr="009D5E9C" w:rsidRDefault="00F32158" w:rsidP="0055712B">
            <w:pPr>
              <w:widowControl w:val="0"/>
              <w:jc w:val="center"/>
              <w:rPr>
                <w:rFonts w:ascii="Times New Roman" w:hAnsi="Times New Roman"/>
                <w:sz w:val="22"/>
                <w:szCs w:val="22"/>
              </w:rPr>
            </w:pPr>
          </w:p>
        </w:tc>
        <w:tc>
          <w:tcPr>
            <w:tcW w:w="0" w:type="auto"/>
          </w:tcPr>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1,116.33</w:t>
            </w:r>
          </w:p>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1,363.88</w:t>
            </w:r>
          </w:p>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875.93</w:t>
            </w:r>
          </w:p>
          <w:p w:rsidR="00F32158" w:rsidRPr="009D5E9C" w:rsidRDefault="00F32158" w:rsidP="0055712B">
            <w:pPr>
              <w:widowControl w:val="0"/>
              <w:jc w:val="center"/>
              <w:rPr>
                <w:rFonts w:ascii="Times New Roman" w:hAnsi="Times New Roman"/>
                <w:sz w:val="22"/>
                <w:szCs w:val="22"/>
              </w:rPr>
            </w:pPr>
          </w:p>
        </w:tc>
        <w:tc>
          <w:tcPr>
            <w:tcW w:w="0" w:type="auto"/>
          </w:tcPr>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1,344.97</w:t>
            </w:r>
          </w:p>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1,629.59</w:t>
            </w:r>
          </w:p>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1,086.91</w:t>
            </w:r>
          </w:p>
          <w:p w:rsidR="00F32158" w:rsidRPr="009D5E9C" w:rsidRDefault="00F32158" w:rsidP="0055712B">
            <w:pPr>
              <w:widowControl w:val="0"/>
              <w:jc w:val="center"/>
              <w:rPr>
                <w:rFonts w:ascii="Times New Roman" w:hAnsi="Times New Roman"/>
                <w:sz w:val="22"/>
                <w:szCs w:val="22"/>
              </w:rPr>
            </w:pPr>
          </w:p>
        </w:tc>
        <w:tc>
          <w:tcPr>
            <w:tcW w:w="0" w:type="auto"/>
          </w:tcPr>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1,545.90</w:t>
            </w:r>
          </w:p>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2,148.98</w:t>
            </w:r>
          </w:p>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1,112.76</w:t>
            </w:r>
          </w:p>
          <w:p w:rsidR="00F32158" w:rsidRPr="009D5E9C" w:rsidRDefault="00F32158" w:rsidP="0055712B">
            <w:pPr>
              <w:widowControl w:val="0"/>
              <w:jc w:val="center"/>
              <w:rPr>
                <w:rFonts w:ascii="Times New Roman" w:hAnsi="Times New Roman"/>
                <w:sz w:val="22"/>
                <w:szCs w:val="22"/>
                <w:highlight w:val="yellow"/>
              </w:rPr>
            </w:pPr>
          </w:p>
        </w:tc>
      </w:tr>
      <w:tr w:rsidR="00F32158" w:rsidRPr="009D5E9C" w:rsidTr="00BF1F99">
        <w:trPr>
          <w:jc w:val="center"/>
        </w:trPr>
        <w:tc>
          <w:tcPr>
            <w:tcW w:w="0" w:type="auto"/>
          </w:tcPr>
          <w:p w:rsidR="00F32158" w:rsidRPr="009D5E9C" w:rsidRDefault="00F32158" w:rsidP="00F32158">
            <w:pPr>
              <w:widowControl w:val="0"/>
              <w:jc w:val="center"/>
              <w:rPr>
                <w:rFonts w:ascii="Times New Roman" w:hAnsi="Times New Roman"/>
                <w:sz w:val="22"/>
                <w:szCs w:val="22"/>
              </w:rPr>
            </w:pPr>
            <w:r w:rsidRPr="009D5E9C">
              <w:rPr>
                <w:rFonts w:ascii="Times New Roman" w:hAnsi="Times New Roman"/>
                <w:sz w:val="22"/>
                <w:szCs w:val="22"/>
              </w:rPr>
              <w:t>2014</w:t>
            </w:r>
          </w:p>
        </w:tc>
        <w:tc>
          <w:tcPr>
            <w:tcW w:w="0" w:type="auto"/>
          </w:tcPr>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1,477.93</w:t>
            </w:r>
          </w:p>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1,826.35</w:t>
            </w:r>
          </w:p>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1,142.78</w:t>
            </w:r>
          </w:p>
          <w:p w:rsidR="00F32158" w:rsidRPr="009D5E9C" w:rsidRDefault="00F32158" w:rsidP="0055712B">
            <w:pPr>
              <w:widowControl w:val="0"/>
              <w:jc w:val="center"/>
              <w:rPr>
                <w:rFonts w:ascii="Times New Roman" w:hAnsi="Times New Roman"/>
                <w:sz w:val="22"/>
                <w:szCs w:val="22"/>
              </w:rPr>
            </w:pPr>
          </w:p>
        </w:tc>
        <w:tc>
          <w:tcPr>
            <w:tcW w:w="0" w:type="auto"/>
          </w:tcPr>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1,647.40</w:t>
            </w:r>
          </w:p>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1,881.67</w:t>
            </w:r>
          </w:p>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1,434.36</w:t>
            </w:r>
          </w:p>
          <w:p w:rsidR="00F32158" w:rsidRPr="009D5E9C" w:rsidRDefault="00F32158" w:rsidP="0055712B">
            <w:pPr>
              <w:widowControl w:val="0"/>
              <w:jc w:val="center"/>
              <w:rPr>
                <w:rFonts w:ascii="Times New Roman" w:hAnsi="Times New Roman"/>
                <w:sz w:val="22"/>
                <w:szCs w:val="22"/>
              </w:rPr>
            </w:pPr>
          </w:p>
        </w:tc>
        <w:tc>
          <w:tcPr>
            <w:tcW w:w="0" w:type="auto"/>
          </w:tcPr>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1,667.67</w:t>
            </w:r>
          </w:p>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1,890.79</w:t>
            </w:r>
          </w:p>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1,447.55</w:t>
            </w:r>
          </w:p>
          <w:p w:rsidR="00F32158" w:rsidRPr="009D5E9C" w:rsidRDefault="00F32158" w:rsidP="0055712B">
            <w:pPr>
              <w:widowControl w:val="0"/>
              <w:jc w:val="center"/>
              <w:rPr>
                <w:rFonts w:ascii="Times New Roman" w:hAnsi="Times New Roman"/>
                <w:sz w:val="22"/>
                <w:szCs w:val="22"/>
              </w:rPr>
            </w:pPr>
          </w:p>
        </w:tc>
        <w:tc>
          <w:tcPr>
            <w:tcW w:w="0" w:type="auto"/>
          </w:tcPr>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792.43</w:t>
            </w:r>
          </w:p>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857.47</w:t>
            </w:r>
          </w:p>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730.20</w:t>
            </w:r>
          </w:p>
          <w:p w:rsidR="00F32158" w:rsidRPr="009D5E9C" w:rsidRDefault="00F32158" w:rsidP="0055712B">
            <w:pPr>
              <w:widowControl w:val="0"/>
              <w:jc w:val="center"/>
              <w:rPr>
                <w:rFonts w:ascii="Times New Roman" w:hAnsi="Times New Roman"/>
                <w:sz w:val="22"/>
                <w:szCs w:val="22"/>
              </w:rPr>
            </w:pPr>
          </w:p>
        </w:tc>
        <w:tc>
          <w:tcPr>
            <w:tcW w:w="0" w:type="auto"/>
          </w:tcPr>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1,229.82</w:t>
            </w:r>
          </w:p>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1,363.10</w:t>
            </w:r>
          </w:p>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1,100.38</w:t>
            </w:r>
          </w:p>
          <w:p w:rsidR="00F32158" w:rsidRPr="009D5E9C" w:rsidRDefault="00F32158" w:rsidP="0055712B">
            <w:pPr>
              <w:widowControl w:val="0"/>
              <w:jc w:val="center"/>
              <w:rPr>
                <w:rFonts w:ascii="Times New Roman" w:hAnsi="Times New Roman"/>
                <w:sz w:val="22"/>
                <w:szCs w:val="22"/>
              </w:rPr>
            </w:pPr>
          </w:p>
        </w:tc>
        <w:tc>
          <w:tcPr>
            <w:tcW w:w="0" w:type="auto"/>
          </w:tcPr>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1,117.48</w:t>
            </w:r>
          </w:p>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1,391.36</w:t>
            </w:r>
          </w:p>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867.48</w:t>
            </w:r>
          </w:p>
          <w:p w:rsidR="00F32158" w:rsidRPr="009D5E9C" w:rsidRDefault="00F32158" w:rsidP="0055712B">
            <w:pPr>
              <w:widowControl w:val="0"/>
              <w:jc w:val="center"/>
              <w:rPr>
                <w:rFonts w:ascii="Times New Roman" w:hAnsi="Times New Roman"/>
                <w:sz w:val="22"/>
                <w:szCs w:val="22"/>
              </w:rPr>
            </w:pPr>
          </w:p>
        </w:tc>
        <w:tc>
          <w:tcPr>
            <w:tcW w:w="0" w:type="auto"/>
          </w:tcPr>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1,331.15</w:t>
            </w:r>
          </w:p>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1,614.62</w:t>
            </w:r>
          </w:p>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1,086.18</w:t>
            </w:r>
          </w:p>
          <w:p w:rsidR="00F32158" w:rsidRPr="009D5E9C" w:rsidRDefault="00F32158" w:rsidP="0055712B">
            <w:pPr>
              <w:widowControl w:val="0"/>
              <w:jc w:val="center"/>
              <w:rPr>
                <w:rFonts w:ascii="Times New Roman" w:hAnsi="Times New Roman"/>
                <w:sz w:val="22"/>
                <w:szCs w:val="22"/>
              </w:rPr>
            </w:pPr>
          </w:p>
        </w:tc>
        <w:tc>
          <w:tcPr>
            <w:tcW w:w="0" w:type="auto"/>
          </w:tcPr>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1,545.17</w:t>
            </w:r>
          </w:p>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2,120.48</w:t>
            </w:r>
          </w:p>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1,130.08</w:t>
            </w:r>
          </w:p>
          <w:p w:rsidR="00F32158" w:rsidRPr="009D5E9C" w:rsidRDefault="00F32158" w:rsidP="0055712B">
            <w:pPr>
              <w:widowControl w:val="0"/>
              <w:jc w:val="center"/>
              <w:rPr>
                <w:rFonts w:ascii="Times New Roman" w:hAnsi="Times New Roman"/>
                <w:sz w:val="22"/>
                <w:szCs w:val="22"/>
                <w:highlight w:val="yellow"/>
              </w:rPr>
            </w:pPr>
          </w:p>
        </w:tc>
      </w:tr>
      <w:tr w:rsidR="00F32158" w:rsidRPr="009D5E9C" w:rsidTr="00BF1F99">
        <w:trPr>
          <w:jc w:val="center"/>
        </w:trPr>
        <w:tc>
          <w:tcPr>
            <w:tcW w:w="0" w:type="auto"/>
          </w:tcPr>
          <w:p w:rsidR="00F32158" w:rsidRPr="009D5E9C" w:rsidRDefault="00F32158" w:rsidP="00F32158">
            <w:pPr>
              <w:widowControl w:val="0"/>
              <w:jc w:val="center"/>
              <w:rPr>
                <w:rFonts w:ascii="Times New Roman" w:hAnsi="Times New Roman"/>
                <w:sz w:val="22"/>
                <w:szCs w:val="22"/>
              </w:rPr>
            </w:pPr>
            <w:r w:rsidRPr="009D5E9C">
              <w:rPr>
                <w:rFonts w:ascii="Times New Roman" w:hAnsi="Times New Roman"/>
                <w:sz w:val="22"/>
                <w:szCs w:val="22"/>
              </w:rPr>
              <w:t>2015</w:t>
            </w:r>
          </w:p>
        </w:tc>
        <w:tc>
          <w:tcPr>
            <w:tcW w:w="0" w:type="auto"/>
          </w:tcPr>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1,396.97</w:t>
            </w:r>
          </w:p>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1,755.86</w:t>
            </w:r>
          </w:p>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1,086.76</w:t>
            </w:r>
          </w:p>
          <w:p w:rsidR="00F32158" w:rsidRPr="009D5E9C" w:rsidRDefault="00F32158" w:rsidP="0055712B">
            <w:pPr>
              <w:widowControl w:val="0"/>
              <w:jc w:val="center"/>
              <w:rPr>
                <w:rFonts w:ascii="Times New Roman" w:hAnsi="Times New Roman"/>
                <w:sz w:val="22"/>
                <w:szCs w:val="22"/>
              </w:rPr>
            </w:pPr>
          </w:p>
        </w:tc>
        <w:tc>
          <w:tcPr>
            <w:tcW w:w="0" w:type="auto"/>
          </w:tcPr>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1,610.50</w:t>
            </w:r>
          </w:p>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1,785.38</w:t>
            </w:r>
          </w:p>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1,449.61</w:t>
            </w:r>
          </w:p>
          <w:p w:rsidR="00F32158" w:rsidRPr="009D5E9C" w:rsidRDefault="00F32158" w:rsidP="0055712B">
            <w:pPr>
              <w:widowControl w:val="0"/>
              <w:jc w:val="center"/>
              <w:rPr>
                <w:rFonts w:ascii="Times New Roman" w:hAnsi="Times New Roman"/>
                <w:sz w:val="22"/>
                <w:szCs w:val="22"/>
              </w:rPr>
            </w:pPr>
          </w:p>
        </w:tc>
        <w:tc>
          <w:tcPr>
            <w:tcW w:w="0" w:type="auto"/>
          </w:tcPr>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1,681.15</w:t>
            </w:r>
          </w:p>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1,878.95</w:t>
            </w:r>
          </w:p>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1,492.04</w:t>
            </w:r>
          </w:p>
          <w:p w:rsidR="00F32158" w:rsidRPr="009D5E9C" w:rsidRDefault="00F32158" w:rsidP="0055712B">
            <w:pPr>
              <w:widowControl w:val="0"/>
              <w:jc w:val="center"/>
              <w:rPr>
                <w:rFonts w:ascii="Times New Roman" w:hAnsi="Times New Roman"/>
                <w:sz w:val="22"/>
                <w:szCs w:val="22"/>
              </w:rPr>
            </w:pPr>
          </w:p>
        </w:tc>
        <w:tc>
          <w:tcPr>
            <w:tcW w:w="0" w:type="auto"/>
          </w:tcPr>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800.15</w:t>
            </w:r>
          </w:p>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866.25</w:t>
            </w:r>
          </w:p>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730.19</w:t>
            </w:r>
          </w:p>
          <w:p w:rsidR="00F32158" w:rsidRPr="009D5E9C" w:rsidRDefault="00F32158" w:rsidP="0055712B">
            <w:pPr>
              <w:widowControl w:val="0"/>
              <w:jc w:val="center"/>
              <w:rPr>
                <w:rFonts w:ascii="Times New Roman" w:hAnsi="Times New Roman"/>
                <w:sz w:val="22"/>
                <w:szCs w:val="22"/>
              </w:rPr>
            </w:pPr>
          </w:p>
        </w:tc>
        <w:tc>
          <w:tcPr>
            <w:tcW w:w="0" w:type="auto"/>
          </w:tcPr>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1,249.73</w:t>
            </w:r>
          </w:p>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1,365.22</w:t>
            </w:r>
          </w:p>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1,132.76</w:t>
            </w:r>
          </w:p>
          <w:p w:rsidR="00F32158" w:rsidRPr="009D5E9C" w:rsidRDefault="00F32158" w:rsidP="0055712B">
            <w:pPr>
              <w:widowControl w:val="0"/>
              <w:jc w:val="center"/>
              <w:rPr>
                <w:rFonts w:ascii="Times New Roman" w:hAnsi="Times New Roman"/>
                <w:sz w:val="22"/>
                <w:szCs w:val="22"/>
              </w:rPr>
            </w:pPr>
          </w:p>
        </w:tc>
        <w:tc>
          <w:tcPr>
            <w:tcW w:w="0" w:type="auto"/>
          </w:tcPr>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1,051.67</w:t>
            </w:r>
          </w:p>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1,317.78</w:t>
            </w:r>
          </w:p>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819.36</w:t>
            </w:r>
          </w:p>
          <w:p w:rsidR="00F32158" w:rsidRPr="009D5E9C" w:rsidRDefault="00F32158" w:rsidP="0055712B">
            <w:pPr>
              <w:widowControl w:val="0"/>
              <w:jc w:val="center"/>
              <w:rPr>
                <w:rFonts w:ascii="Times New Roman" w:hAnsi="Times New Roman"/>
                <w:sz w:val="22"/>
                <w:szCs w:val="22"/>
              </w:rPr>
            </w:pPr>
          </w:p>
        </w:tc>
        <w:tc>
          <w:tcPr>
            <w:tcW w:w="0" w:type="auto"/>
          </w:tcPr>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1,339.95</w:t>
            </w:r>
          </w:p>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1,594.54</w:t>
            </w:r>
          </w:p>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1,109.48</w:t>
            </w:r>
          </w:p>
          <w:p w:rsidR="00F32158" w:rsidRPr="009D5E9C" w:rsidRDefault="00F32158" w:rsidP="0055712B">
            <w:pPr>
              <w:widowControl w:val="0"/>
              <w:jc w:val="center"/>
              <w:rPr>
                <w:rFonts w:ascii="Times New Roman" w:hAnsi="Times New Roman"/>
                <w:sz w:val="22"/>
                <w:szCs w:val="22"/>
              </w:rPr>
            </w:pPr>
          </w:p>
        </w:tc>
        <w:tc>
          <w:tcPr>
            <w:tcW w:w="0" w:type="auto"/>
          </w:tcPr>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1,650.25</w:t>
            </w:r>
          </w:p>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2,243.99</w:t>
            </w:r>
          </w:p>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1,199.06</w:t>
            </w:r>
          </w:p>
          <w:p w:rsidR="00F32158" w:rsidRPr="009D5E9C" w:rsidRDefault="00F32158" w:rsidP="0055712B">
            <w:pPr>
              <w:widowControl w:val="0"/>
              <w:jc w:val="center"/>
              <w:rPr>
                <w:rFonts w:ascii="Times New Roman" w:hAnsi="Times New Roman"/>
                <w:sz w:val="22"/>
                <w:szCs w:val="22"/>
                <w:highlight w:val="yellow"/>
              </w:rPr>
            </w:pPr>
          </w:p>
        </w:tc>
      </w:tr>
      <w:tr w:rsidR="00F32158" w:rsidRPr="009D5E9C" w:rsidTr="00BF1F99">
        <w:trPr>
          <w:jc w:val="center"/>
        </w:trPr>
        <w:tc>
          <w:tcPr>
            <w:tcW w:w="0" w:type="auto"/>
          </w:tcPr>
          <w:p w:rsidR="00F32158" w:rsidRPr="009D5E9C" w:rsidRDefault="00F32158" w:rsidP="00F32158">
            <w:pPr>
              <w:widowControl w:val="0"/>
              <w:jc w:val="center"/>
              <w:rPr>
                <w:rFonts w:ascii="Times New Roman" w:hAnsi="Times New Roman"/>
                <w:sz w:val="22"/>
                <w:szCs w:val="22"/>
              </w:rPr>
            </w:pPr>
            <w:r w:rsidRPr="009D5E9C">
              <w:rPr>
                <w:rFonts w:ascii="Times New Roman" w:hAnsi="Times New Roman"/>
                <w:sz w:val="22"/>
                <w:szCs w:val="22"/>
              </w:rPr>
              <w:t>2016</w:t>
            </w:r>
          </w:p>
        </w:tc>
        <w:tc>
          <w:tcPr>
            <w:tcW w:w="0" w:type="auto"/>
          </w:tcPr>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1,371.05</w:t>
            </w:r>
          </w:p>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1,664.82</w:t>
            </w:r>
          </w:p>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1,101.20</w:t>
            </w:r>
          </w:p>
          <w:p w:rsidR="00F32158" w:rsidRPr="009D5E9C" w:rsidRDefault="00F32158" w:rsidP="0055712B">
            <w:pPr>
              <w:widowControl w:val="0"/>
              <w:jc w:val="center"/>
              <w:rPr>
                <w:rFonts w:ascii="Times New Roman" w:hAnsi="Times New Roman"/>
                <w:sz w:val="22"/>
                <w:szCs w:val="22"/>
              </w:rPr>
            </w:pPr>
          </w:p>
        </w:tc>
        <w:tc>
          <w:tcPr>
            <w:tcW w:w="0" w:type="auto"/>
          </w:tcPr>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1,593.21</w:t>
            </w:r>
          </w:p>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1,809.97</w:t>
            </w:r>
          </w:p>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1,364.83</w:t>
            </w:r>
          </w:p>
          <w:p w:rsidR="00F32158" w:rsidRPr="009D5E9C" w:rsidRDefault="00F32158" w:rsidP="0055712B">
            <w:pPr>
              <w:widowControl w:val="0"/>
              <w:jc w:val="center"/>
              <w:rPr>
                <w:rFonts w:ascii="Times New Roman" w:hAnsi="Times New Roman"/>
                <w:sz w:val="22"/>
                <w:szCs w:val="22"/>
              </w:rPr>
            </w:pPr>
          </w:p>
        </w:tc>
        <w:tc>
          <w:tcPr>
            <w:tcW w:w="0" w:type="auto"/>
          </w:tcPr>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1,519.75</w:t>
            </w:r>
          </w:p>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1,747.09</w:t>
            </w:r>
          </w:p>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1,326.62</w:t>
            </w:r>
          </w:p>
          <w:p w:rsidR="00F32158" w:rsidRPr="009D5E9C" w:rsidRDefault="00F32158" w:rsidP="0055712B">
            <w:pPr>
              <w:widowControl w:val="0"/>
              <w:jc w:val="center"/>
              <w:rPr>
                <w:rFonts w:ascii="Times New Roman" w:hAnsi="Times New Roman"/>
                <w:sz w:val="22"/>
                <w:szCs w:val="22"/>
              </w:rPr>
            </w:pPr>
          </w:p>
        </w:tc>
        <w:tc>
          <w:tcPr>
            <w:tcW w:w="0" w:type="auto"/>
          </w:tcPr>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827.24</w:t>
            </w:r>
          </w:p>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935.92</w:t>
            </w:r>
          </w:p>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729.82</w:t>
            </w:r>
          </w:p>
          <w:p w:rsidR="00F32158" w:rsidRPr="009D5E9C" w:rsidRDefault="00F32158" w:rsidP="0055712B">
            <w:pPr>
              <w:widowControl w:val="0"/>
              <w:jc w:val="center"/>
              <w:rPr>
                <w:rFonts w:ascii="Times New Roman" w:hAnsi="Times New Roman"/>
                <w:sz w:val="22"/>
                <w:szCs w:val="22"/>
              </w:rPr>
            </w:pPr>
          </w:p>
        </w:tc>
        <w:tc>
          <w:tcPr>
            <w:tcW w:w="0" w:type="auto"/>
          </w:tcPr>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1,238.53</w:t>
            </w:r>
          </w:p>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1,418.61</w:t>
            </w:r>
          </w:p>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1,083.91</w:t>
            </w:r>
          </w:p>
          <w:p w:rsidR="00F32158" w:rsidRPr="009D5E9C" w:rsidRDefault="00F32158" w:rsidP="0055712B">
            <w:pPr>
              <w:widowControl w:val="0"/>
              <w:jc w:val="center"/>
              <w:rPr>
                <w:rFonts w:ascii="Times New Roman" w:hAnsi="Times New Roman"/>
                <w:sz w:val="22"/>
                <w:szCs w:val="22"/>
              </w:rPr>
            </w:pPr>
          </w:p>
        </w:tc>
        <w:tc>
          <w:tcPr>
            <w:tcW w:w="0" w:type="auto"/>
          </w:tcPr>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1,052.46</w:t>
            </w:r>
          </w:p>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1,318.84</w:t>
            </w:r>
          </w:p>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826.16</w:t>
            </w:r>
          </w:p>
          <w:p w:rsidR="00F32158" w:rsidRPr="009D5E9C" w:rsidRDefault="00F32158" w:rsidP="0055712B">
            <w:pPr>
              <w:widowControl w:val="0"/>
              <w:jc w:val="center"/>
              <w:rPr>
                <w:rFonts w:ascii="Times New Roman" w:hAnsi="Times New Roman"/>
                <w:sz w:val="22"/>
                <w:szCs w:val="22"/>
              </w:rPr>
            </w:pPr>
          </w:p>
        </w:tc>
        <w:tc>
          <w:tcPr>
            <w:tcW w:w="0" w:type="auto"/>
          </w:tcPr>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1,352.57</w:t>
            </w:r>
          </w:p>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1,634.58</w:t>
            </w:r>
          </w:p>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1,097.15</w:t>
            </w:r>
          </w:p>
          <w:p w:rsidR="00F32158" w:rsidRPr="009D5E9C" w:rsidRDefault="00F32158" w:rsidP="0055712B">
            <w:pPr>
              <w:widowControl w:val="0"/>
              <w:jc w:val="center"/>
              <w:rPr>
                <w:rFonts w:ascii="Times New Roman" w:hAnsi="Times New Roman"/>
                <w:sz w:val="22"/>
                <w:szCs w:val="22"/>
              </w:rPr>
            </w:pPr>
          </w:p>
        </w:tc>
        <w:tc>
          <w:tcPr>
            <w:tcW w:w="0" w:type="auto"/>
          </w:tcPr>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1,587.79</w:t>
            </w:r>
          </w:p>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2,152.80</w:t>
            </w:r>
          </w:p>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1,156.83</w:t>
            </w:r>
          </w:p>
          <w:p w:rsidR="00F32158" w:rsidRPr="009D5E9C" w:rsidRDefault="00F32158" w:rsidP="0055712B">
            <w:pPr>
              <w:widowControl w:val="0"/>
              <w:jc w:val="center"/>
              <w:rPr>
                <w:rFonts w:ascii="Times New Roman" w:hAnsi="Times New Roman"/>
                <w:sz w:val="22"/>
                <w:szCs w:val="22"/>
                <w:highlight w:val="yellow"/>
              </w:rPr>
            </w:pPr>
          </w:p>
        </w:tc>
      </w:tr>
      <w:tr w:rsidR="00F32158" w:rsidRPr="009D5E9C" w:rsidTr="00BF1F99">
        <w:trPr>
          <w:jc w:val="center"/>
        </w:trPr>
        <w:tc>
          <w:tcPr>
            <w:tcW w:w="0" w:type="auto"/>
          </w:tcPr>
          <w:p w:rsidR="00F32158" w:rsidRPr="009D5E9C" w:rsidRDefault="00F32158" w:rsidP="00F32158">
            <w:pPr>
              <w:widowControl w:val="0"/>
              <w:jc w:val="center"/>
              <w:rPr>
                <w:rFonts w:ascii="Times New Roman" w:hAnsi="Times New Roman"/>
                <w:sz w:val="22"/>
                <w:szCs w:val="22"/>
              </w:rPr>
            </w:pPr>
            <w:r w:rsidRPr="009D5E9C">
              <w:rPr>
                <w:rFonts w:ascii="Times New Roman" w:hAnsi="Times New Roman"/>
                <w:sz w:val="22"/>
                <w:szCs w:val="22"/>
              </w:rPr>
              <w:t>2017</w:t>
            </w:r>
          </w:p>
        </w:tc>
        <w:tc>
          <w:tcPr>
            <w:tcW w:w="0" w:type="auto"/>
          </w:tcPr>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1,296.26</w:t>
            </w:r>
          </w:p>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1,630.03</w:t>
            </w:r>
          </w:p>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993.67</w:t>
            </w:r>
          </w:p>
          <w:p w:rsidR="00F32158" w:rsidRPr="009D5E9C" w:rsidRDefault="00F32158" w:rsidP="0055712B">
            <w:pPr>
              <w:widowControl w:val="0"/>
              <w:jc w:val="center"/>
              <w:rPr>
                <w:rFonts w:ascii="Times New Roman" w:hAnsi="Times New Roman"/>
                <w:sz w:val="22"/>
                <w:szCs w:val="22"/>
              </w:rPr>
            </w:pPr>
          </w:p>
        </w:tc>
        <w:tc>
          <w:tcPr>
            <w:tcW w:w="0" w:type="auto"/>
          </w:tcPr>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1,512.50</w:t>
            </w:r>
          </w:p>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1,858.47</w:t>
            </w:r>
          </w:p>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1,205.73</w:t>
            </w:r>
          </w:p>
          <w:p w:rsidR="00F32158" w:rsidRPr="009D5E9C" w:rsidRDefault="00F32158" w:rsidP="0055712B">
            <w:pPr>
              <w:widowControl w:val="0"/>
              <w:jc w:val="center"/>
              <w:rPr>
                <w:rFonts w:ascii="Times New Roman" w:hAnsi="Times New Roman"/>
                <w:sz w:val="22"/>
                <w:szCs w:val="22"/>
              </w:rPr>
            </w:pPr>
          </w:p>
        </w:tc>
        <w:tc>
          <w:tcPr>
            <w:tcW w:w="0" w:type="auto"/>
          </w:tcPr>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1,414.33</w:t>
            </w:r>
          </w:p>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1,643.88</w:t>
            </w:r>
          </w:p>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1,204.81</w:t>
            </w:r>
          </w:p>
          <w:p w:rsidR="00F32158" w:rsidRPr="009D5E9C" w:rsidRDefault="00F32158" w:rsidP="0055712B">
            <w:pPr>
              <w:widowControl w:val="0"/>
              <w:jc w:val="center"/>
              <w:rPr>
                <w:rFonts w:ascii="Times New Roman" w:hAnsi="Times New Roman"/>
                <w:sz w:val="22"/>
                <w:szCs w:val="22"/>
              </w:rPr>
            </w:pPr>
          </w:p>
        </w:tc>
        <w:tc>
          <w:tcPr>
            <w:tcW w:w="0" w:type="auto"/>
          </w:tcPr>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762.42</w:t>
            </w:r>
          </w:p>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858.05</w:t>
            </w:r>
          </w:p>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672.61</w:t>
            </w:r>
          </w:p>
          <w:p w:rsidR="00F32158" w:rsidRPr="009D5E9C" w:rsidRDefault="00F32158" w:rsidP="0055712B">
            <w:pPr>
              <w:widowControl w:val="0"/>
              <w:jc w:val="center"/>
              <w:rPr>
                <w:rFonts w:ascii="Times New Roman" w:hAnsi="Times New Roman"/>
                <w:sz w:val="22"/>
                <w:szCs w:val="22"/>
              </w:rPr>
            </w:pPr>
          </w:p>
        </w:tc>
        <w:tc>
          <w:tcPr>
            <w:tcW w:w="0" w:type="auto"/>
          </w:tcPr>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1,180.29</w:t>
            </w:r>
          </w:p>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1,365.49</w:t>
            </w:r>
          </w:p>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1,011.78</w:t>
            </w:r>
          </w:p>
          <w:p w:rsidR="00F32158" w:rsidRPr="009D5E9C" w:rsidRDefault="00F32158" w:rsidP="0055712B">
            <w:pPr>
              <w:widowControl w:val="0"/>
              <w:jc w:val="center"/>
              <w:rPr>
                <w:rFonts w:ascii="Times New Roman" w:hAnsi="Times New Roman"/>
                <w:sz w:val="22"/>
                <w:szCs w:val="22"/>
              </w:rPr>
            </w:pPr>
          </w:p>
        </w:tc>
        <w:tc>
          <w:tcPr>
            <w:tcW w:w="0" w:type="auto"/>
          </w:tcPr>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1,018.12</w:t>
            </w:r>
          </w:p>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1,242.99</w:t>
            </w:r>
          </w:p>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807.20</w:t>
            </w:r>
          </w:p>
          <w:p w:rsidR="00F32158" w:rsidRPr="009D5E9C" w:rsidRDefault="00F32158" w:rsidP="0055712B">
            <w:pPr>
              <w:widowControl w:val="0"/>
              <w:jc w:val="center"/>
              <w:rPr>
                <w:rFonts w:ascii="Times New Roman" w:hAnsi="Times New Roman"/>
                <w:sz w:val="22"/>
                <w:szCs w:val="22"/>
              </w:rPr>
            </w:pPr>
          </w:p>
        </w:tc>
        <w:tc>
          <w:tcPr>
            <w:tcW w:w="0" w:type="auto"/>
          </w:tcPr>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1,340.52</w:t>
            </w:r>
          </w:p>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1,616.99</w:t>
            </w:r>
          </w:p>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1,090.77</w:t>
            </w:r>
          </w:p>
          <w:p w:rsidR="00F32158" w:rsidRPr="009D5E9C" w:rsidRDefault="00F32158" w:rsidP="0055712B">
            <w:pPr>
              <w:widowControl w:val="0"/>
              <w:jc w:val="center"/>
              <w:rPr>
                <w:rFonts w:ascii="Times New Roman" w:hAnsi="Times New Roman"/>
                <w:sz w:val="22"/>
                <w:szCs w:val="22"/>
              </w:rPr>
            </w:pPr>
          </w:p>
        </w:tc>
        <w:tc>
          <w:tcPr>
            <w:tcW w:w="0" w:type="auto"/>
          </w:tcPr>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1,501.03</w:t>
            </w:r>
          </w:p>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2,031.81</w:t>
            </w:r>
          </w:p>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1,094.40</w:t>
            </w:r>
          </w:p>
          <w:p w:rsidR="00F32158" w:rsidRPr="009D5E9C" w:rsidRDefault="00F32158" w:rsidP="0055712B">
            <w:pPr>
              <w:widowControl w:val="0"/>
              <w:jc w:val="center"/>
              <w:rPr>
                <w:rFonts w:ascii="Times New Roman" w:hAnsi="Times New Roman"/>
                <w:sz w:val="22"/>
                <w:szCs w:val="22"/>
                <w:highlight w:val="yellow"/>
              </w:rPr>
            </w:pPr>
          </w:p>
        </w:tc>
      </w:tr>
      <w:tr w:rsidR="00F32158" w:rsidRPr="009D5E9C" w:rsidTr="00BF1F99">
        <w:trPr>
          <w:jc w:val="center"/>
        </w:trPr>
        <w:tc>
          <w:tcPr>
            <w:tcW w:w="0" w:type="auto"/>
          </w:tcPr>
          <w:p w:rsidR="00F32158" w:rsidRPr="009D5E9C" w:rsidRDefault="00F32158" w:rsidP="00F32158">
            <w:pPr>
              <w:widowControl w:val="0"/>
              <w:jc w:val="center"/>
              <w:rPr>
                <w:rFonts w:ascii="Times New Roman" w:hAnsi="Times New Roman"/>
                <w:sz w:val="22"/>
                <w:szCs w:val="22"/>
              </w:rPr>
            </w:pPr>
            <w:r w:rsidRPr="009D5E9C">
              <w:rPr>
                <w:rFonts w:ascii="Times New Roman" w:hAnsi="Times New Roman"/>
                <w:sz w:val="22"/>
                <w:szCs w:val="22"/>
              </w:rPr>
              <w:t>2018</w:t>
            </w:r>
          </w:p>
        </w:tc>
        <w:tc>
          <w:tcPr>
            <w:tcW w:w="0" w:type="auto"/>
          </w:tcPr>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1,246.48</w:t>
            </w:r>
          </w:p>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1,618.19</w:t>
            </w:r>
          </w:p>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938.81</w:t>
            </w:r>
          </w:p>
          <w:p w:rsidR="00F32158" w:rsidRPr="009D5E9C" w:rsidRDefault="00F32158" w:rsidP="0055712B">
            <w:pPr>
              <w:widowControl w:val="0"/>
              <w:jc w:val="center"/>
              <w:rPr>
                <w:rFonts w:ascii="Times New Roman" w:hAnsi="Times New Roman"/>
                <w:sz w:val="22"/>
                <w:szCs w:val="22"/>
              </w:rPr>
            </w:pPr>
          </w:p>
        </w:tc>
        <w:tc>
          <w:tcPr>
            <w:tcW w:w="0" w:type="auto"/>
          </w:tcPr>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1,453.83</w:t>
            </w:r>
          </w:p>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1,875.79</w:t>
            </w:r>
          </w:p>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1,119.93</w:t>
            </w:r>
          </w:p>
          <w:p w:rsidR="00F32158" w:rsidRPr="009D5E9C" w:rsidRDefault="00F32158" w:rsidP="0055712B">
            <w:pPr>
              <w:widowControl w:val="0"/>
              <w:jc w:val="center"/>
              <w:rPr>
                <w:rFonts w:ascii="Times New Roman" w:hAnsi="Times New Roman"/>
                <w:sz w:val="22"/>
                <w:szCs w:val="22"/>
              </w:rPr>
            </w:pPr>
          </w:p>
        </w:tc>
        <w:tc>
          <w:tcPr>
            <w:tcW w:w="0" w:type="auto"/>
          </w:tcPr>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1,359.63</w:t>
            </w:r>
          </w:p>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1,668.14</w:t>
            </w:r>
          </w:p>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1,113.30</w:t>
            </w:r>
          </w:p>
          <w:p w:rsidR="00F32158" w:rsidRPr="009D5E9C" w:rsidRDefault="00F32158" w:rsidP="0055712B">
            <w:pPr>
              <w:widowControl w:val="0"/>
              <w:jc w:val="center"/>
              <w:rPr>
                <w:rFonts w:ascii="Times New Roman" w:hAnsi="Times New Roman"/>
                <w:sz w:val="22"/>
                <w:szCs w:val="22"/>
              </w:rPr>
            </w:pPr>
          </w:p>
        </w:tc>
        <w:tc>
          <w:tcPr>
            <w:tcW w:w="0" w:type="auto"/>
          </w:tcPr>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738.75</w:t>
            </w:r>
          </w:p>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823.09</w:t>
            </w:r>
          </w:p>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660.60</w:t>
            </w:r>
          </w:p>
          <w:p w:rsidR="00F32158" w:rsidRPr="009D5E9C" w:rsidRDefault="00F32158" w:rsidP="0055712B">
            <w:pPr>
              <w:widowControl w:val="0"/>
              <w:jc w:val="center"/>
              <w:rPr>
                <w:rFonts w:ascii="Times New Roman" w:hAnsi="Times New Roman"/>
                <w:sz w:val="22"/>
                <w:szCs w:val="22"/>
              </w:rPr>
            </w:pPr>
          </w:p>
        </w:tc>
        <w:tc>
          <w:tcPr>
            <w:tcW w:w="0" w:type="auto"/>
          </w:tcPr>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1,152.39</w:t>
            </w:r>
          </w:p>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1,323.43</w:t>
            </w:r>
          </w:p>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996.90</w:t>
            </w:r>
          </w:p>
          <w:p w:rsidR="00F32158" w:rsidRPr="009D5E9C" w:rsidRDefault="00F32158" w:rsidP="0055712B">
            <w:pPr>
              <w:widowControl w:val="0"/>
              <w:jc w:val="center"/>
              <w:rPr>
                <w:rFonts w:ascii="Times New Roman" w:hAnsi="Times New Roman"/>
                <w:sz w:val="22"/>
                <w:szCs w:val="22"/>
              </w:rPr>
            </w:pPr>
          </w:p>
        </w:tc>
        <w:tc>
          <w:tcPr>
            <w:tcW w:w="0" w:type="auto"/>
          </w:tcPr>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992.19</w:t>
            </w:r>
          </w:p>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1,201.46</w:t>
            </w:r>
          </w:p>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801.93</w:t>
            </w:r>
          </w:p>
          <w:p w:rsidR="00F32158" w:rsidRPr="009D5E9C" w:rsidRDefault="00F32158" w:rsidP="0055712B">
            <w:pPr>
              <w:widowControl w:val="0"/>
              <w:jc w:val="center"/>
              <w:rPr>
                <w:rFonts w:ascii="Times New Roman" w:hAnsi="Times New Roman"/>
                <w:sz w:val="22"/>
                <w:szCs w:val="22"/>
              </w:rPr>
            </w:pPr>
          </w:p>
        </w:tc>
        <w:tc>
          <w:tcPr>
            <w:tcW w:w="0" w:type="auto"/>
          </w:tcPr>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1,303.13</w:t>
            </w:r>
          </w:p>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1,493.80</w:t>
            </w:r>
          </w:p>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1,117.44</w:t>
            </w:r>
          </w:p>
          <w:p w:rsidR="00F32158" w:rsidRPr="009D5E9C" w:rsidRDefault="00F32158" w:rsidP="0055712B">
            <w:pPr>
              <w:widowControl w:val="0"/>
              <w:jc w:val="center"/>
              <w:rPr>
                <w:rFonts w:ascii="Times New Roman" w:hAnsi="Times New Roman"/>
                <w:sz w:val="22"/>
                <w:szCs w:val="22"/>
              </w:rPr>
            </w:pPr>
          </w:p>
        </w:tc>
        <w:tc>
          <w:tcPr>
            <w:tcW w:w="0" w:type="auto"/>
          </w:tcPr>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1,454.82</w:t>
            </w:r>
          </w:p>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1,995.43</w:t>
            </w:r>
          </w:p>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1,042.83</w:t>
            </w:r>
          </w:p>
          <w:p w:rsidR="00F32158" w:rsidRPr="009D5E9C" w:rsidRDefault="00F32158" w:rsidP="0055712B">
            <w:pPr>
              <w:widowControl w:val="0"/>
              <w:jc w:val="center"/>
              <w:rPr>
                <w:rFonts w:ascii="Times New Roman" w:hAnsi="Times New Roman"/>
                <w:sz w:val="22"/>
                <w:szCs w:val="22"/>
                <w:highlight w:val="yellow"/>
              </w:rPr>
            </w:pPr>
          </w:p>
        </w:tc>
      </w:tr>
      <w:tr w:rsidR="00F32158" w:rsidRPr="009D5E9C" w:rsidTr="00BF1F99">
        <w:trPr>
          <w:jc w:val="center"/>
        </w:trPr>
        <w:tc>
          <w:tcPr>
            <w:tcW w:w="0" w:type="auto"/>
          </w:tcPr>
          <w:p w:rsidR="00F32158" w:rsidRPr="009D5E9C" w:rsidRDefault="00F32158" w:rsidP="00F32158">
            <w:pPr>
              <w:widowControl w:val="0"/>
              <w:jc w:val="center"/>
              <w:rPr>
                <w:rFonts w:ascii="Times New Roman" w:hAnsi="Times New Roman"/>
                <w:sz w:val="22"/>
                <w:szCs w:val="22"/>
              </w:rPr>
            </w:pPr>
            <w:r w:rsidRPr="009D5E9C">
              <w:rPr>
                <w:rFonts w:ascii="Times New Roman" w:hAnsi="Times New Roman"/>
                <w:sz w:val="22"/>
                <w:szCs w:val="22"/>
              </w:rPr>
              <w:t>2019</w:t>
            </w:r>
          </w:p>
        </w:tc>
        <w:tc>
          <w:tcPr>
            <w:tcW w:w="0" w:type="auto"/>
          </w:tcPr>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1,194.30</w:t>
            </w:r>
          </w:p>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1,603.85</w:t>
            </w:r>
          </w:p>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880.84</w:t>
            </w:r>
          </w:p>
          <w:p w:rsidR="00F32158" w:rsidRPr="009D5E9C" w:rsidRDefault="00F32158" w:rsidP="0055712B">
            <w:pPr>
              <w:widowControl w:val="0"/>
              <w:jc w:val="center"/>
              <w:rPr>
                <w:rFonts w:ascii="Times New Roman" w:hAnsi="Times New Roman"/>
                <w:sz w:val="22"/>
                <w:szCs w:val="22"/>
              </w:rPr>
            </w:pPr>
          </w:p>
        </w:tc>
        <w:tc>
          <w:tcPr>
            <w:tcW w:w="0" w:type="auto"/>
          </w:tcPr>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1,400.49</w:t>
            </w:r>
          </w:p>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1,850.49</w:t>
            </w:r>
          </w:p>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1,050.40</w:t>
            </w:r>
          </w:p>
          <w:p w:rsidR="00F32158" w:rsidRPr="009D5E9C" w:rsidRDefault="00F32158" w:rsidP="0055712B">
            <w:pPr>
              <w:widowControl w:val="0"/>
              <w:jc w:val="center"/>
              <w:rPr>
                <w:rFonts w:ascii="Times New Roman" w:hAnsi="Times New Roman"/>
                <w:sz w:val="22"/>
                <w:szCs w:val="22"/>
              </w:rPr>
            </w:pPr>
          </w:p>
        </w:tc>
        <w:tc>
          <w:tcPr>
            <w:tcW w:w="0" w:type="auto"/>
          </w:tcPr>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1,290.79</w:t>
            </w:r>
          </w:p>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1,681.94</w:t>
            </w:r>
          </w:p>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981.31</w:t>
            </w:r>
          </w:p>
          <w:p w:rsidR="00F32158" w:rsidRPr="009D5E9C" w:rsidRDefault="00F32158" w:rsidP="0055712B">
            <w:pPr>
              <w:widowControl w:val="0"/>
              <w:jc w:val="center"/>
              <w:rPr>
                <w:rFonts w:ascii="Times New Roman" w:hAnsi="Times New Roman"/>
                <w:sz w:val="22"/>
                <w:szCs w:val="22"/>
              </w:rPr>
            </w:pPr>
          </w:p>
        </w:tc>
        <w:tc>
          <w:tcPr>
            <w:tcW w:w="0" w:type="auto"/>
          </w:tcPr>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714.58</w:t>
            </w:r>
          </w:p>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782.03</w:t>
            </w:r>
          </w:p>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652.08</w:t>
            </w:r>
          </w:p>
          <w:p w:rsidR="00F32158" w:rsidRPr="009D5E9C" w:rsidRDefault="00F32158" w:rsidP="0055712B">
            <w:pPr>
              <w:widowControl w:val="0"/>
              <w:jc w:val="center"/>
              <w:rPr>
                <w:rFonts w:ascii="Times New Roman" w:hAnsi="Times New Roman"/>
                <w:sz w:val="22"/>
                <w:szCs w:val="22"/>
              </w:rPr>
            </w:pPr>
          </w:p>
        </w:tc>
        <w:tc>
          <w:tcPr>
            <w:tcW w:w="0" w:type="auto"/>
          </w:tcPr>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1,121.78</w:t>
            </w:r>
          </w:p>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1,301.43</w:t>
            </w:r>
          </w:p>
          <w:p w:rsidR="00F32158" w:rsidRPr="009D5E9C" w:rsidRDefault="00F32158" w:rsidP="0055712B">
            <w:pPr>
              <w:jc w:val="center"/>
              <w:rPr>
                <w:rFonts w:ascii="Times New Roman" w:hAnsi="Times New Roman"/>
                <w:sz w:val="22"/>
                <w:szCs w:val="22"/>
                <w:lang w:val="en-US"/>
              </w:rPr>
            </w:pPr>
            <w:r w:rsidRPr="009D5E9C">
              <w:rPr>
                <w:rFonts w:ascii="Times New Roman" w:hAnsi="Times New Roman"/>
                <w:sz w:val="22"/>
                <w:szCs w:val="22"/>
                <w:lang w:val="en-US"/>
              </w:rPr>
              <w:t>966.53</w:t>
            </w:r>
          </w:p>
          <w:p w:rsidR="00F32158" w:rsidRPr="009D5E9C" w:rsidRDefault="00F32158" w:rsidP="0055712B">
            <w:pPr>
              <w:widowControl w:val="0"/>
              <w:jc w:val="center"/>
              <w:rPr>
                <w:rFonts w:ascii="Times New Roman" w:hAnsi="Times New Roman"/>
                <w:sz w:val="22"/>
                <w:szCs w:val="22"/>
              </w:rPr>
            </w:pPr>
          </w:p>
        </w:tc>
        <w:tc>
          <w:tcPr>
            <w:tcW w:w="0" w:type="auto"/>
          </w:tcPr>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968.83</w:t>
            </w:r>
          </w:p>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1,171.84</w:t>
            </w:r>
          </w:p>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791.91</w:t>
            </w:r>
          </w:p>
          <w:p w:rsidR="00F32158" w:rsidRPr="009D5E9C" w:rsidRDefault="00F32158" w:rsidP="0055712B">
            <w:pPr>
              <w:widowControl w:val="0"/>
              <w:jc w:val="center"/>
              <w:rPr>
                <w:rFonts w:ascii="Times New Roman" w:hAnsi="Times New Roman"/>
                <w:sz w:val="22"/>
                <w:szCs w:val="22"/>
              </w:rPr>
            </w:pPr>
          </w:p>
        </w:tc>
        <w:tc>
          <w:tcPr>
            <w:tcW w:w="0" w:type="auto"/>
          </w:tcPr>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1,268.42</w:t>
            </w:r>
          </w:p>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1,378.48</w:t>
            </w:r>
          </w:p>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1,171.20</w:t>
            </w:r>
          </w:p>
          <w:p w:rsidR="00F32158" w:rsidRPr="009D5E9C" w:rsidRDefault="00F32158" w:rsidP="0055712B">
            <w:pPr>
              <w:widowControl w:val="0"/>
              <w:jc w:val="center"/>
              <w:rPr>
                <w:rFonts w:ascii="Times New Roman" w:hAnsi="Times New Roman"/>
                <w:sz w:val="22"/>
                <w:szCs w:val="22"/>
              </w:rPr>
            </w:pPr>
          </w:p>
        </w:tc>
        <w:tc>
          <w:tcPr>
            <w:tcW w:w="0" w:type="auto"/>
          </w:tcPr>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1,417.07</w:t>
            </w:r>
          </w:p>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1,931.21</w:t>
            </w:r>
          </w:p>
          <w:p w:rsidR="00F32158" w:rsidRPr="009D5E9C" w:rsidRDefault="00F32158" w:rsidP="0055712B">
            <w:pPr>
              <w:shd w:val="clear" w:color="auto" w:fill="FFFFFF"/>
              <w:jc w:val="center"/>
              <w:rPr>
                <w:rFonts w:ascii="Times New Roman" w:hAnsi="Times New Roman"/>
                <w:sz w:val="22"/>
                <w:szCs w:val="22"/>
                <w:lang w:val="en-US"/>
              </w:rPr>
            </w:pPr>
            <w:r w:rsidRPr="009D5E9C">
              <w:rPr>
                <w:rFonts w:ascii="Times New Roman" w:hAnsi="Times New Roman"/>
                <w:sz w:val="22"/>
                <w:szCs w:val="22"/>
                <w:lang w:val="en-US"/>
              </w:rPr>
              <w:t>1,019.38</w:t>
            </w:r>
          </w:p>
          <w:p w:rsidR="00F32158" w:rsidRPr="009D5E9C" w:rsidRDefault="00F32158" w:rsidP="0055712B">
            <w:pPr>
              <w:widowControl w:val="0"/>
              <w:jc w:val="center"/>
              <w:rPr>
                <w:rFonts w:ascii="Times New Roman" w:hAnsi="Times New Roman"/>
                <w:sz w:val="22"/>
                <w:szCs w:val="22"/>
                <w:highlight w:val="yellow"/>
              </w:rPr>
            </w:pPr>
          </w:p>
        </w:tc>
      </w:tr>
    </w:tbl>
    <w:p w:rsidR="00B04F55" w:rsidRDefault="00B04F55" w:rsidP="00F32158">
      <w:pPr>
        <w:tabs>
          <w:tab w:val="left" w:pos="8133"/>
        </w:tabs>
        <w:spacing w:after="200" w:line="276" w:lineRule="auto"/>
        <w:jc w:val="right"/>
        <w:rPr>
          <w:rFonts w:eastAsia="Calibri"/>
          <w:szCs w:val="28"/>
          <w:lang w:val="ru-RU"/>
        </w:rPr>
      </w:pPr>
    </w:p>
    <w:p w:rsidR="00F32158" w:rsidRPr="00F32158" w:rsidRDefault="00D32C4B" w:rsidP="00913A33">
      <w:pPr>
        <w:pageBreakBefore/>
        <w:widowControl w:val="0"/>
        <w:tabs>
          <w:tab w:val="left" w:pos="8133"/>
        </w:tabs>
        <w:spacing w:after="200" w:line="276" w:lineRule="auto"/>
        <w:jc w:val="right"/>
        <w:rPr>
          <w:rFonts w:eastAsia="Calibri"/>
          <w:szCs w:val="28"/>
        </w:rPr>
      </w:pPr>
      <w:r>
        <w:rPr>
          <w:rFonts w:eastAsia="Calibri"/>
          <w:szCs w:val="28"/>
        </w:rPr>
        <w:lastRenderedPageBreak/>
        <w:t>Додаток Б</w:t>
      </w:r>
      <w:r w:rsidR="00F32158" w:rsidRPr="00F32158">
        <w:rPr>
          <w:rFonts w:eastAsia="Calibri"/>
          <w:szCs w:val="28"/>
        </w:rPr>
        <w:t>-13</w:t>
      </w:r>
    </w:p>
    <w:p w:rsidR="00F32158" w:rsidRPr="00F32158" w:rsidRDefault="00F32158" w:rsidP="00713D06">
      <w:pPr>
        <w:jc w:val="center"/>
        <w:rPr>
          <w:rFonts w:eastAsia="Times New Roman"/>
          <w:b/>
          <w:szCs w:val="28"/>
          <w:lang w:eastAsia="ru-RU"/>
        </w:rPr>
      </w:pPr>
      <w:r w:rsidRPr="00F32158">
        <w:rPr>
          <w:rFonts w:eastAsia="Calibri"/>
          <w:b/>
          <w:szCs w:val="28"/>
        </w:rPr>
        <w:t>Динаміка показника постнеонатальної смертності дітей за всіма причинами смерті  (2009-2019 рр.) на 100 тис. відповідного населення</w:t>
      </w:r>
    </w:p>
    <w:tbl>
      <w:tblPr>
        <w:tblStyle w:val="79"/>
        <w:tblW w:w="0" w:type="auto"/>
        <w:jc w:val="center"/>
        <w:tblLook w:val="04A0" w:firstRow="1" w:lastRow="0" w:firstColumn="1" w:lastColumn="0" w:noHBand="0" w:noVBand="1"/>
      </w:tblPr>
      <w:tblGrid>
        <w:gridCol w:w="789"/>
        <w:gridCol w:w="1081"/>
        <w:gridCol w:w="1440"/>
        <w:gridCol w:w="1237"/>
        <w:gridCol w:w="1337"/>
        <w:gridCol w:w="1083"/>
        <w:gridCol w:w="966"/>
        <w:gridCol w:w="893"/>
        <w:gridCol w:w="1079"/>
      </w:tblGrid>
      <w:tr w:rsidR="00F32158" w:rsidRPr="004029C5" w:rsidTr="004029C5">
        <w:trPr>
          <w:jc w:val="center"/>
        </w:trPr>
        <w:tc>
          <w:tcPr>
            <w:tcW w:w="789" w:type="dxa"/>
          </w:tcPr>
          <w:p w:rsidR="00F32158" w:rsidRPr="004029C5" w:rsidRDefault="00F32158" w:rsidP="004029C5">
            <w:pPr>
              <w:widowControl w:val="0"/>
              <w:jc w:val="center"/>
              <w:rPr>
                <w:rFonts w:ascii="Times New Roman" w:hAnsi="Times New Roman"/>
                <w:sz w:val="22"/>
                <w:szCs w:val="22"/>
              </w:rPr>
            </w:pPr>
            <w:proofErr w:type="gramStart"/>
            <w:r w:rsidRPr="004029C5">
              <w:rPr>
                <w:rFonts w:ascii="Times New Roman" w:hAnsi="Times New Roman"/>
                <w:sz w:val="22"/>
                <w:szCs w:val="22"/>
              </w:rPr>
              <w:t>Р</w:t>
            </w:r>
            <w:proofErr w:type="gramEnd"/>
            <w:r w:rsidRPr="004029C5">
              <w:rPr>
                <w:rFonts w:ascii="Times New Roman" w:hAnsi="Times New Roman"/>
                <w:sz w:val="22"/>
                <w:szCs w:val="22"/>
              </w:rPr>
              <w:t>ік</w:t>
            </w:r>
          </w:p>
        </w:tc>
        <w:tc>
          <w:tcPr>
            <w:tcW w:w="1081" w:type="dxa"/>
          </w:tcPr>
          <w:p w:rsidR="00F32158" w:rsidRPr="004029C5" w:rsidRDefault="00F32158" w:rsidP="004029C5">
            <w:pPr>
              <w:widowControl w:val="0"/>
              <w:jc w:val="center"/>
              <w:rPr>
                <w:rFonts w:ascii="Times New Roman" w:hAnsi="Times New Roman"/>
                <w:sz w:val="22"/>
                <w:szCs w:val="22"/>
              </w:rPr>
            </w:pPr>
            <w:r w:rsidRPr="004029C5">
              <w:rPr>
                <w:rFonts w:ascii="Times New Roman" w:hAnsi="Times New Roman"/>
                <w:sz w:val="22"/>
                <w:szCs w:val="22"/>
              </w:rPr>
              <w:t>Польща</w:t>
            </w:r>
          </w:p>
        </w:tc>
        <w:tc>
          <w:tcPr>
            <w:tcW w:w="1440" w:type="dxa"/>
          </w:tcPr>
          <w:p w:rsidR="00F32158" w:rsidRPr="004029C5" w:rsidRDefault="00F32158" w:rsidP="004029C5">
            <w:pPr>
              <w:widowControl w:val="0"/>
              <w:rPr>
                <w:rFonts w:ascii="Times New Roman" w:hAnsi="Times New Roman"/>
                <w:sz w:val="22"/>
                <w:szCs w:val="22"/>
              </w:rPr>
            </w:pPr>
            <w:r w:rsidRPr="004029C5">
              <w:rPr>
                <w:rFonts w:ascii="Times New Roman" w:hAnsi="Times New Roman"/>
                <w:sz w:val="22"/>
                <w:szCs w:val="22"/>
              </w:rPr>
              <w:t>Словаччина</w:t>
            </w:r>
          </w:p>
        </w:tc>
        <w:tc>
          <w:tcPr>
            <w:tcW w:w="1237" w:type="dxa"/>
          </w:tcPr>
          <w:p w:rsidR="00F32158" w:rsidRPr="004029C5" w:rsidRDefault="00F32158" w:rsidP="004029C5">
            <w:pPr>
              <w:widowControl w:val="0"/>
              <w:rPr>
                <w:rFonts w:ascii="Times New Roman" w:hAnsi="Times New Roman"/>
                <w:sz w:val="22"/>
                <w:szCs w:val="22"/>
              </w:rPr>
            </w:pPr>
            <w:r w:rsidRPr="004029C5">
              <w:rPr>
                <w:rFonts w:ascii="Times New Roman" w:hAnsi="Times New Roman"/>
                <w:sz w:val="22"/>
                <w:szCs w:val="22"/>
              </w:rPr>
              <w:t>Угорщина</w:t>
            </w:r>
          </w:p>
        </w:tc>
        <w:tc>
          <w:tcPr>
            <w:tcW w:w="1337" w:type="dxa"/>
          </w:tcPr>
          <w:p w:rsidR="00F32158" w:rsidRPr="004029C5" w:rsidRDefault="00F32158" w:rsidP="004029C5">
            <w:pPr>
              <w:widowControl w:val="0"/>
              <w:jc w:val="center"/>
              <w:rPr>
                <w:rFonts w:ascii="Times New Roman" w:hAnsi="Times New Roman"/>
                <w:sz w:val="22"/>
                <w:szCs w:val="22"/>
              </w:rPr>
            </w:pPr>
            <w:r w:rsidRPr="004029C5">
              <w:rPr>
                <w:rFonts w:ascii="Times New Roman" w:hAnsi="Times New Roman"/>
                <w:sz w:val="22"/>
                <w:szCs w:val="22"/>
              </w:rPr>
              <w:t>Німеччина</w:t>
            </w:r>
          </w:p>
        </w:tc>
        <w:tc>
          <w:tcPr>
            <w:tcW w:w="1083" w:type="dxa"/>
          </w:tcPr>
          <w:p w:rsidR="00F32158" w:rsidRPr="004029C5" w:rsidRDefault="00F32158" w:rsidP="004029C5">
            <w:pPr>
              <w:widowControl w:val="0"/>
              <w:jc w:val="center"/>
              <w:rPr>
                <w:rFonts w:ascii="Times New Roman" w:hAnsi="Times New Roman"/>
                <w:sz w:val="22"/>
                <w:szCs w:val="22"/>
              </w:rPr>
            </w:pPr>
            <w:r w:rsidRPr="004029C5">
              <w:rPr>
                <w:rFonts w:ascii="Times New Roman" w:hAnsi="Times New Roman"/>
                <w:sz w:val="22"/>
                <w:szCs w:val="22"/>
              </w:rPr>
              <w:t>Франція</w:t>
            </w:r>
          </w:p>
        </w:tc>
        <w:tc>
          <w:tcPr>
            <w:tcW w:w="966" w:type="dxa"/>
          </w:tcPr>
          <w:p w:rsidR="00F32158" w:rsidRPr="004029C5" w:rsidRDefault="00F32158" w:rsidP="004029C5">
            <w:pPr>
              <w:widowControl w:val="0"/>
              <w:jc w:val="center"/>
              <w:rPr>
                <w:rFonts w:ascii="Times New Roman" w:hAnsi="Times New Roman"/>
                <w:sz w:val="22"/>
                <w:szCs w:val="22"/>
              </w:rPr>
            </w:pPr>
            <w:r w:rsidRPr="004029C5">
              <w:rPr>
                <w:rFonts w:ascii="Times New Roman" w:hAnsi="Times New Roman"/>
                <w:sz w:val="22"/>
                <w:szCs w:val="22"/>
              </w:rPr>
              <w:t>Іспанія</w:t>
            </w:r>
          </w:p>
        </w:tc>
        <w:tc>
          <w:tcPr>
            <w:tcW w:w="893" w:type="dxa"/>
          </w:tcPr>
          <w:p w:rsidR="00F32158" w:rsidRPr="004029C5" w:rsidRDefault="00F32158" w:rsidP="004029C5">
            <w:pPr>
              <w:widowControl w:val="0"/>
              <w:jc w:val="center"/>
              <w:rPr>
                <w:rFonts w:ascii="Times New Roman" w:hAnsi="Times New Roman"/>
                <w:sz w:val="22"/>
                <w:szCs w:val="22"/>
              </w:rPr>
            </w:pPr>
            <w:r w:rsidRPr="004029C5">
              <w:rPr>
                <w:rFonts w:ascii="Times New Roman" w:hAnsi="Times New Roman"/>
                <w:sz w:val="22"/>
                <w:szCs w:val="22"/>
              </w:rPr>
              <w:t>США</w:t>
            </w:r>
          </w:p>
        </w:tc>
        <w:tc>
          <w:tcPr>
            <w:tcW w:w="1079" w:type="dxa"/>
          </w:tcPr>
          <w:p w:rsidR="00F32158" w:rsidRPr="004029C5" w:rsidRDefault="00F32158" w:rsidP="004029C5">
            <w:pPr>
              <w:widowControl w:val="0"/>
              <w:jc w:val="center"/>
              <w:rPr>
                <w:rFonts w:ascii="Times New Roman" w:hAnsi="Times New Roman"/>
                <w:sz w:val="22"/>
                <w:szCs w:val="22"/>
              </w:rPr>
            </w:pPr>
            <w:r w:rsidRPr="004029C5">
              <w:rPr>
                <w:rFonts w:ascii="Times New Roman" w:hAnsi="Times New Roman"/>
                <w:sz w:val="22"/>
                <w:szCs w:val="22"/>
              </w:rPr>
              <w:t>Україна</w:t>
            </w:r>
          </w:p>
        </w:tc>
      </w:tr>
      <w:tr w:rsidR="00F32158" w:rsidRPr="004029C5" w:rsidTr="004029C5">
        <w:trPr>
          <w:trHeight w:val="829"/>
          <w:jc w:val="center"/>
        </w:trPr>
        <w:tc>
          <w:tcPr>
            <w:tcW w:w="789" w:type="dxa"/>
          </w:tcPr>
          <w:p w:rsidR="00F32158" w:rsidRPr="004029C5" w:rsidRDefault="00F32158" w:rsidP="004029C5">
            <w:pPr>
              <w:widowControl w:val="0"/>
              <w:jc w:val="center"/>
              <w:rPr>
                <w:rFonts w:ascii="Times New Roman" w:hAnsi="Times New Roman"/>
                <w:sz w:val="22"/>
                <w:szCs w:val="22"/>
              </w:rPr>
            </w:pPr>
            <w:r w:rsidRPr="004029C5">
              <w:rPr>
                <w:rFonts w:ascii="Times New Roman" w:hAnsi="Times New Roman"/>
                <w:sz w:val="22"/>
                <w:szCs w:val="22"/>
              </w:rPr>
              <w:t>2009</w:t>
            </w:r>
          </w:p>
        </w:tc>
        <w:tc>
          <w:tcPr>
            <w:tcW w:w="1081" w:type="dxa"/>
          </w:tcPr>
          <w:p w:rsidR="00F32158" w:rsidRPr="004029C5" w:rsidRDefault="00F32158" w:rsidP="0055712B">
            <w:pPr>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209.78</w:t>
            </w:r>
          </w:p>
          <w:p w:rsidR="00F32158" w:rsidRPr="004029C5" w:rsidRDefault="00F32158" w:rsidP="0055712B">
            <w:pPr>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247.69</w:t>
            </w:r>
          </w:p>
          <w:p w:rsidR="00F32158" w:rsidRPr="004029C5" w:rsidRDefault="004029C5" w:rsidP="0055712B">
            <w:pPr>
              <w:jc w:val="center"/>
              <w:rPr>
                <w:rFonts w:ascii="Times New Roman" w:hAnsi="Times New Roman"/>
                <w:color w:val="454545"/>
                <w:sz w:val="22"/>
                <w:szCs w:val="22"/>
              </w:rPr>
            </w:pPr>
            <w:r>
              <w:rPr>
                <w:rFonts w:ascii="Times New Roman" w:hAnsi="Times New Roman"/>
                <w:color w:val="454545"/>
                <w:sz w:val="22"/>
                <w:szCs w:val="22"/>
                <w:lang w:val="en-US"/>
              </w:rPr>
              <w:t>172.8</w:t>
            </w:r>
          </w:p>
        </w:tc>
        <w:tc>
          <w:tcPr>
            <w:tcW w:w="1440" w:type="dxa"/>
          </w:tcPr>
          <w:p w:rsidR="00F32158" w:rsidRPr="004029C5" w:rsidRDefault="00F32158" w:rsidP="0055712B">
            <w:pPr>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278.52</w:t>
            </w:r>
          </w:p>
          <w:p w:rsidR="00F32158" w:rsidRPr="004029C5" w:rsidRDefault="00F32158" w:rsidP="0055712B">
            <w:pPr>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308.95</w:t>
            </w:r>
          </w:p>
          <w:p w:rsidR="00F32158" w:rsidRPr="004029C5" w:rsidRDefault="004029C5" w:rsidP="0055712B">
            <w:pPr>
              <w:jc w:val="center"/>
              <w:rPr>
                <w:rFonts w:ascii="Times New Roman" w:hAnsi="Times New Roman"/>
                <w:color w:val="454545"/>
                <w:sz w:val="22"/>
                <w:szCs w:val="22"/>
              </w:rPr>
            </w:pPr>
            <w:r>
              <w:rPr>
                <w:rFonts w:ascii="Times New Roman" w:hAnsi="Times New Roman"/>
                <w:color w:val="454545"/>
                <w:sz w:val="22"/>
                <w:szCs w:val="22"/>
                <w:lang w:val="en-US"/>
              </w:rPr>
              <w:t>249.91</w:t>
            </w:r>
          </w:p>
        </w:tc>
        <w:tc>
          <w:tcPr>
            <w:tcW w:w="1237" w:type="dxa"/>
          </w:tcPr>
          <w:p w:rsidR="00F32158" w:rsidRPr="004029C5" w:rsidRDefault="00F32158" w:rsidP="0055712B">
            <w:pPr>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194.48</w:t>
            </w:r>
          </w:p>
          <w:p w:rsidR="00F32158" w:rsidRPr="004029C5" w:rsidRDefault="00F32158" w:rsidP="0055712B">
            <w:pPr>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217.76</w:t>
            </w:r>
          </w:p>
          <w:p w:rsidR="00F32158" w:rsidRPr="004029C5" w:rsidRDefault="004029C5" w:rsidP="0055712B">
            <w:pPr>
              <w:jc w:val="center"/>
              <w:rPr>
                <w:rFonts w:ascii="Times New Roman" w:hAnsi="Times New Roman"/>
                <w:color w:val="454545"/>
                <w:sz w:val="22"/>
                <w:szCs w:val="22"/>
              </w:rPr>
            </w:pPr>
            <w:r>
              <w:rPr>
                <w:rFonts w:ascii="Times New Roman" w:hAnsi="Times New Roman"/>
                <w:color w:val="454545"/>
                <w:sz w:val="22"/>
                <w:szCs w:val="22"/>
                <w:lang w:val="en-US"/>
              </w:rPr>
              <w:t>172.75</w:t>
            </w:r>
          </w:p>
        </w:tc>
        <w:tc>
          <w:tcPr>
            <w:tcW w:w="1337" w:type="dxa"/>
          </w:tcPr>
          <w:p w:rsidR="00F32158" w:rsidRPr="004029C5" w:rsidRDefault="00F32158" w:rsidP="0055712B">
            <w:pPr>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121.39</w:t>
            </w:r>
          </w:p>
          <w:p w:rsidR="00F32158" w:rsidRPr="004029C5" w:rsidRDefault="00F32158" w:rsidP="0055712B">
            <w:pPr>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138.73</w:t>
            </w:r>
          </w:p>
          <w:p w:rsidR="00F32158" w:rsidRPr="004029C5" w:rsidRDefault="004029C5" w:rsidP="0055712B">
            <w:pPr>
              <w:jc w:val="center"/>
              <w:rPr>
                <w:rFonts w:ascii="Times New Roman" w:hAnsi="Times New Roman"/>
                <w:color w:val="454545"/>
                <w:sz w:val="22"/>
                <w:szCs w:val="22"/>
              </w:rPr>
            </w:pPr>
            <w:r>
              <w:rPr>
                <w:rFonts w:ascii="Times New Roman" w:hAnsi="Times New Roman"/>
                <w:color w:val="454545"/>
                <w:sz w:val="22"/>
                <w:szCs w:val="22"/>
                <w:lang w:val="en-US"/>
              </w:rPr>
              <w:t>104.84</w:t>
            </w:r>
          </w:p>
        </w:tc>
        <w:tc>
          <w:tcPr>
            <w:tcW w:w="1083" w:type="dxa"/>
          </w:tcPr>
          <w:p w:rsidR="00F32158" w:rsidRPr="004029C5" w:rsidRDefault="00F32158" w:rsidP="0055712B">
            <w:pPr>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131.09</w:t>
            </w:r>
          </w:p>
          <w:p w:rsidR="00F32158" w:rsidRPr="004029C5" w:rsidRDefault="00F32158" w:rsidP="0055712B">
            <w:pPr>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153.80</w:t>
            </w:r>
          </w:p>
          <w:p w:rsidR="00F32158" w:rsidRPr="004029C5" w:rsidRDefault="004029C5" w:rsidP="0055712B">
            <w:pPr>
              <w:jc w:val="center"/>
              <w:rPr>
                <w:rFonts w:ascii="Times New Roman" w:hAnsi="Times New Roman"/>
                <w:color w:val="454545"/>
                <w:sz w:val="22"/>
                <w:szCs w:val="22"/>
              </w:rPr>
            </w:pPr>
            <w:r>
              <w:rPr>
                <w:rFonts w:ascii="Times New Roman" w:hAnsi="Times New Roman"/>
                <w:color w:val="454545"/>
                <w:sz w:val="22"/>
                <w:szCs w:val="22"/>
                <w:lang w:val="en-US"/>
              </w:rPr>
              <w:t>108.33</w:t>
            </w:r>
          </w:p>
        </w:tc>
        <w:tc>
          <w:tcPr>
            <w:tcW w:w="966" w:type="dxa"/>
          </w:tcPr>
          <w:p w:rsidR="00F32158" w:rsidRPr="004029C5" w:rsidRDefault="00F32158" w:rsidP="0055712B">
            <w:pPr>
              <w:shd w:val="clear" w:color="auto" w:fill="FFFFFF"/>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128.61</w:t>
            </w:r>
          </w:p>
          <w:p w:rsidR="00F32158" w:rsidRPr="004029C5" w:rsidRDefault="00F32158" w:rsidP="0055712B">
            <w:pPr>
              <w:shd w:val="clear" w:color="auto" w:fill="FFFFFF"/>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155.38</w:t>
            </w:r>
          </w:p>
          <w:p w:rsidR="00F32158" w:rsidRPr="004029C5" w:rsidRDefault="004029C5" w:rsidP="0055712B">
            <w:pPr>
              <w:shd w:val="clear" w:color="auto" w:fill="FFFFFF"/>
              <w:jc w:val="center"/>
              <w:rPr>
                <w:rFonts w:ascii="Times New Roman" w:hAnsi="Times New Roman"/>
                <w:color w:val="454545"/>
                <w:sz w:val="22"/>
                <w:szCs w:val="22"/>
              </w:rPr>
            </w:pPr>
            <w:r>
              <w:rPr>
                <w:rFonts w:ascii="Times New Roman" w:hAnsi="Times New Roman"/>
                <w:color w:val="454545"/>
                <w:sz w:val="22"/>
                <w:szCs w:val="22"/>
                <w:lang w:val="en-US"/>
              </w:rPr>
              <w:t>104.56</w:t>
            </w:r>
          </w:p>
        </w:tc>
        <w:tc>
          <w:tcPr>
            <w:tcW w:w="893" w:type="dxa"/>
          </w:tcPr>
          <w:p w:rsidR="00F32158" w:rsidRPr="004029C5" w:rsidRDefault="00F32158" w:rsidP="0055712B">
            <w:pPr>
              <w:shd w:val="clear" w:color="auto" w:fill="FFFFFF"/>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242.23</w:t>
            </w:r>
          </w:p>
          <w:p w:rsidR="00F32158" w:rsidRPr="004029C5" w:rsidRDefault="00F32158" w:rsidP="0055712B">
            <w:pPr>
              <w:shd w:val="clear" w:color="auto" w:fill="FFFFFF"/>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269.31</w:t>
            </w:r>
          </w:p>
          <w:p w:rsidR="00F32158" w:rsidRPr="004029C5" w:rsidRDefault="004029C5" w:rsidP="0055712B">
            <w:pPr>
              <w:shd w:val="clear" w:color="auto" w:fill="FFFFFF"/>
              <w:jc w:val="center"/>
              <w:rPr>
                <w:rFonts w:ascii="Times New Roman" w:hAnsi="Times New Roman"/>
                <w:color w:val="454545"/>
                <w:sz w:val="22"/>
                <w:szCs w:val="22"/>
              </w:rPr>
            </w:pPr>
            <w:r>
              <w:rPr>
                <w:rFonts w:ascii="Times New Roman" w:hAnsi="Times New Roman"/>
                <w:color w:val="454545"/>
                <w:sz w:val="22"/>
                <w:szCs w:val="22"/>
                <w:lang w:val="en-US"/>
              </w:rPr>
              <w:t>213.45</w:t>
            </w:r>
          </w:p>
        </w:tc>
        <w:tc>
          <w:tcPr>
            <w:tcW w:w="1079" w:type="dxa"/>
          </w:tcPr>
          <w:p w:rsidR="00F32158" w:rsidRPr="004029C5" w:rsidRDefault="00F32158" w:rsidP="0055712B">
            <w:pPr>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343.31</w:t>
            </w:r>
          </w:p>
          <w:p w:rsidR="00F32158" w:rsidRPr="004029C5" w:rsidRDefault="00F32158" w:rsidP="0055712B">
            <w:pPr>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378.75</w:t>
            </w:r>
          </w:p>
          <w:p w:rsidR="00F32158" w:rsidRPr="004029C5" w:rsidRDefault="004029C5" w:rsidP="0055712B">
            <w:pPr>
              <w:jc w:val="center"/>
              <w:rPr>
                <w:rFonts w:ascii="Times New Roman" w:hAnsi="Times New Roman"/>
                <w:color w:val="454545"/>
                <w:sz w:val="22"/>
                <w:szCs w:val="22"/>
              </w:rPr>
            </w:pPr>
            <w:r>
              <w:rPr>
                <w:rFonts w:ascii="Times New Roman" w:hAnsi="Times New Roman"/>
                <w:color w:val="454545"/>
                <w:sz w:val="22"/>
                <w:szCs w:val="22"/>
                <w:lang w:val="en-US"/>
              </w:rPr>
              <w:t>308.97</w:t>
            </w:r>
          </w:p>
        </w:tc>
      </w:tr>
      <w:tr w:rsidR="00F32158" w:rsidRPr="004029C5" w:rsidTr="004029C5">
        <w:trPr>
          <w:jc w:val="center"/>
        </w:trPr>
        <w:tc>
          <w:tcPr>
            <w:tcW w:w="789" w:type="dxa"/>
          </w:tcPr>
          <w:p w:rsidR="00F32158" w:rsidRPr="004029C5" w:rsidRDefault="00F32158" w:rsidP="004029C5">
            <w:pPr>
              <w:widowControl w:val="0"/>
              <w:jc w:val="center"/>
              <w:rPr>
                <w:rFonts w:ascii="Times New Roman" w:hAnsi="Times New Roman"/>
                <w:sz w:val="22"/>
                <w:szCs w:val="22"/>
              </w:rPr>
            </w:pPr>
            <w:r w:rsidRPr="004029C5">
              <w:rPr>
                <w:rFonts w:ascii="Times New Roman" w:hAnsi="Times New Roman"/>
                <w:sz w:val="22"/>
                <w:szCs w:val="22"/>
              </w:rPr>
              <w:t>2010</w:t>
            </w:r>
          </w:p>
        </w:tc>
        <w:tc>
          <w:tcPr>
            <w:tcW w:w="1081" w:type="dxa"/>
          </w:tcPr>
          <w:p w:rsidR="00F32158" w:rsidRPr="004029C5" w:rsidRDefault="00F32158" w:rsidP="0055712B">
            <w:pPr>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190.68</w:t>
            </w:r>
          </w:p>
          <w:p w:rsidR="00F32158" w:rsidRPr="004029C5" w:rsidRDefault="00F32158" w:rsidP="0055712B">
            <w:pPr>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225.21</w:t>
            </w:r>
          </w:p>
          <w:p w:rsidR="00F32158" w:rsidRPr="004029C5" w:rsidRDefault="00F32158" w:rsidP="0055712B">
            <w:pPr>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156.93</w:t>
            </w:r>
          </w:p>
          <w:p w:rsidR="00F32158" w:rsidRPr="004029C5" w:rsidRDefault="00F32158" w:rsidP="0055712B">
            <w:pPr>
              <w:widowControl w:val="0"/>
              <w:jc w:val="center"/>
              <w:rPr>
                <w:rFonts w:ascii="Times New Roman" w:hAnsi="Times New Roman"/>
                <w:sz w:val="22"/>
                <w:szCs w:val="22"/>
              </w:rPr>
            </w:pPr>
          </w:p>
        </w:tc>
        <w:tc>
          <w:tcPr>
            <w:tcW w:w="1440" w:type="dxa"/>
          </w:tcPr>
          <w:p w:rsidR="00F32158" w:rsidRPr="004029C5" w:rsidRDefault="00F32158" w:rsidP="0055712B">
            <w:pPr>
              <w:shd w:val="clear" w:color="auto" w:fill="FFFFFF"/>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261.82</w:t>
            </w:r>
          </w:p>
          <w:p w:rsidR="00F32158" w:rsidRPr="004029C5" w:rsidRDefault="00F32158" w:rsidP="0055712B">
            <w:pPr>
              <w:shd w:val="clear" w:color="auto" w:fill="FFFFFF"/>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290.16</w:t>
            </w:r>
          </w:p>
          <w:p w:rsidR="00F32158" w:rsidRPr="004029C5" w:rsidRDefault="00F32158" w:rsidP="0055712B">
            <w:pPr>
              <w:shd w:val="clear" w:color="auto" w:fill="FFFFFF"/>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235.13</w:t>
            </w:r>
          </w:p>
          <w:p w:rsidR="00F32158" w:rsidRPr="004029C5" w:rsidRDefault="00F32158" w:rsidP="0055712B">
            <w:pPr>
              <w:widowControl w:val="0"/>
              <w:jc w:val="center"/>
              <w:rPr>
                <w:rFonts w:ascii="Times New Roman" w:hAnsi="Times New Roman"/>
                <w:sz w:val="22"/>
                <w:szCs w:val="22"/>
              </w:rPr>
            </w:pPr>
          </w:p>
        </w:tc>
        <w:tc>
          <w:tcPr>
            <w:tcW w:w="1237" w:type="dxa"/>
          </w:tcPr>
          <w:p w:rsidR="00F32158" w:rsidRPr="004029C5" w:rsidRDefault="00F32158" w:rsidP="0055712B">
            <w:pPr>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193.65</w:t>
            </w:r>
          </w:p>
          <w:p w:rsidR="00F32158" w:rsidRPr="004029C5" w:rsidRDefault="00F32158" w:rsidP="0055712B">
            <w:pPr>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221.72</w:t>
            </w:r>
          </w:p>
          <w:p w:rsidR="00F32158" w:rsidRPr="004029C5" w:rsidRDefault="00F32158" w:rsidP="0055712B">
            <w:pPr>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168.02</w:t>
            </w:r>
          </w:p>
          <w:p w:rsidR="00F32158" w:rsidRPr="004029C5" w:rsidRDefault="00F32158" w:rsidP="0055712B">
            <w:pPr>
              <w:widowControl w:val="0"/>
              <w:jc w:val="center"/>
              <w:rPr>
                <w:rFonts w:ascii="Times New Roman" w:hAnsi="Times New Roman"/>
                <w:sz w:val="22"/>
                <w:szCs w:val="22"/>
              </w:rPr>
            </w:pPr>
          </w:p>
        </w:tc>
        <w:tc>
          <w:tcPr>
            <w:tcW w:w="1337" w:type="dxa"/>
          </w:tcPr>
          <w:p w:rsidR="00F32158" w:rsidRPr="004029C5" w:rsidRDefault="00F32158" w:rsidP="0055712B">
            <w:pPr>
              <w:shd w:val="clear" w:color="auto" w:fill="FFFFFF"/>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116.33</w:t>
            </w:r>
          </w:p>
          <w:p w:rsidR="00F32158" w:rsidRPr="004029C5" w:rsidRDefault="00F32158" w:rsidP="0055712B">
            <w:pPr>
              <w:shd w:val="clear" w:color="auto" w:fill="FFFFFF"/>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130.48</w:t>
            </w:r>
          </w:p>
          <w:p w:rsidR="00F32158" w:rsidRPr="004029C5" w:rsidRDefault="00F32158" w:rsidP="0055712B">
            <w:pPr>
              <w:shd w:val="clear" w:color="auto" w:fill="FFFFFF"/>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101.85</w:t>
            </w:r>
          </w:p>
          <w:p w:rsidR="00F32158" w:rsidRPr="004029C5" w:rsidRDefault="00F32158" w:rsidP="0055712B">
            <w:pPr>
              <w:widowControl w:val="0"/>
              <w:jc w:val="center"/>
              <w:rPr>
                <w:rFonts w:ascii="Times New Roman" w:hAnsi="Times New Roman"/>
                <w:sz w:val="22"/>
                <w:szCs w:val="22"/>
              </w:rPr>
            </w:pPr>
          </w:p>
        </w:tc>
        <w:tc>
          <w:tcPr>
            <w:tcW w:w="1083" w:type="dxa"/>
          </w:tcPr>
          <w:p w:rsidR="00F32158" w:rsidRPr="004029C5" w:rsidRDefault="00F32158" w:rsidP="0055712B">
            <w:pPr>
              <w:shd w:val="clear" w:color="auto" w:fill="FFFFFF"/>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128.12</w:t>
            </w:r>
          </w:p>
          <w:p w:rsidR="00F32158" w:rsidRPr="004029C5" w:rsidRDefault="00F32158" w:rsidP="0055712B">
            <w:pPr>
              <w:shd w:val="clear" w:color="auto" w:fill="FFFFFF"/>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148.05</w:t>
            </w:r>
          </w:p>
          <w:p w:rsidR="00F32158" w:rsidRPr="004029C5" w:rsidRDefault="00F32158" w:rsidP="0055712B">
            <w:pPr>
              <w:shd w:val="clear" w:color="auto" w:fill="FFFFFF"/>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109.07</w:t>
            </w:r>
          </w:p>
          <w:p w:rsidR="00F32158" w:rsidRPr="004029C5" w:rsidRDefault="00F32158" w:rsidP="0055712B">
            <w:pPr>
              <w:widowControl w:val="0"/>
              <w:jc w:val="center"/>
              <w:rPr>
                <w:rFonts w:ascii="Times New Roman" w:hAnsi="Times New Roman"/>
                <w:sz w:val="22"/>
                <w:szCs w:val="22"/>
              </w:rPr>
            </w:pPr>
          </w:p>
        </w:tc>
        <w:tc>
          <w:tcPr>
            <w:tcW w:w="966" w:type="dxa"/>
          </w:tcPr>
          <w:p w:rsidR="00F32158" w:rsidRPr="004029C5" w:rsidRDefault="00F32158" w:rsidP="0055712B">
            <w:pPr>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123.33</w:t>
            </w:r>
          </w:p>
          <w:p w:rsidR="00F32158" w:rsidRPr="004029C5" w:rsidRDefault="00F32158" w:rsidP="0055712B">
            <w:pPr>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151.81</w:t>
            </w:r>
          </w:p>
          <w:p w:rsidR="00F32158" w:rsidRPr="004029C5" w:rsidRDefault="00F32158" w:rsidP="0055712B">
            <w:pPr>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99.06</w:t>
            </w:r>
          </w:p>
          <w:p w:rsidR="00F32158" w:rsidRPr="004029C5" w:rsidRDefault="00F32158" w:rsidP="0055712B">
            <w:pPr>
              <w:widowControl w:val="0"/>
              <w:jc w:val="center"/>
              <w:rPr>
                <w:rFonts w:ascii="Times New Roman" w:hAnsi="Times New Roman"/>
                <w:sz w:val="22"/>
                <w:szCs w:val="22"/>
              </w:rPr>
            </w:pPr>
          </w:p>
        </w:tc>
        <w:tc>
          <w:tcPr>
            <w:tcW w:w="893" w:type="dxa"/>
          </w:tcPr>
          <w:p w:rsidR="00F32158" w:rsidRPr="004029C5" w:rsidRDefault="00F32158" w:rsidP="0055712B">
            <w:pPr>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231.20</w:t>
            </w:r>
          </w:p>
          <w:p w:rsidR="00F32158" w:rsidRPr="004029C5" w:rsidRDefault="00F32158" w:rsidP="0055712B">
            <w:pPr>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255.36</w:t>
            </w:r>
          </w:p>
          <w:p w:rsidR="00F32158" w:rsidRPr="004029C5" w:rsidRDefault="00F32158" w:rsidP="0055712B">
            <w:pPr>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207.75</w:t>
            </w:r>
          </w:p>
          <w:p w:rsidR="00F32158" w:rsidRPr="004029C5" w:rsidRDefault="00F32158" w:rsidP="0055712B">
            <w:pPr>
              <w:widowControl w:val="0"/>
              <w:jc w:val="center"/>
              <w:rPr>
                <w:rFonts w:ascii="Times New Roman" w:hAnsi="Times New Roman"/>
                <w:sz w:val="22"/>
                <w:szCs w:val="22"/>
              </w:rPr>
            </w:pPr>
          </w:p>
        </w:tc>
        <w:tc>
          <w:tcPr>
            <w:tcW w:w="1079" w:type="dxa"/>
          </w:tcPr>
          <w:p w:rsidR="00F32158" w:rsidRPr="004029C5" w:rsidRDefault="00F32158" w:rsidP="0055712B">
            <w:pPr>
              <w:shd w:val="clear" w:color="auto" w:fill="FFFFFF"/>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326.63</w:t>
            </w:r>
          </w:p>
          <w:p w:rsidR="00F32158" w:rsidRPr="004029C5" w:rsidRDefault="00F32158" w:rsidP="0055712B">
            <w:pPr>
              <w:shd w:val="clear" w:color="auto" w:fill="FFFFFF"/>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361.06</w:t>
            </w:r>
          </w:p>
          <w:p w:rsidR="00F32158" w:rsidRPr="004029C5" w:rsidRDefault="00F32158" w:rsidP="0055712B">
            <w:pPr>
              <w:shd w:val="clear" w:color="auto" w:fill="FFFFFF"/>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293.39</w:t>
            </w:r>
          </w:p>
          <w:p w:rsidR="00F32158" w:rsidRPr="004029C5" w:rsidRDefault="00F32158" w:rsidP="0055712B">
            <w:pPr>
              <w:widowControl w:val="0"/>
              <w:jc w:val="center"/>
              <w:rPr>
                <w:rFonts w:ascii="Times New Roman" w:hAnsi="Times New Roman"/>
                <w:sz w:val="22"/>
                <w:szCs w:val="22"/>
                <w:highlight w:val="yellow"/>
              </w:rPr>
            </w:pPr>
          </w:p>
        </w:tc>
      </w:tr>
      <w:tr w:rsidR="00F32158" w:rsidRPr="004029C5" w:rsidTr="004029C5">
        <w:trPr>
          <w:jc w:val="center"/>
        </w:trPr>
        <w:tc>
          <w:tcPr>
            <w:tcW w:w="789" w:type="dxa"/>
          </w:tcPr>
          <w:p w:rsidR="00F32158" w:rsidRPr="004029C5" w:rsidRDefault="00F32158" w:rsidP="004029C5">
            <w:pPr>
              <w:widowControl w:val="0"/>
              <w:jc w:val="center"/>
              <w:rPr>
                <w:rFonts w:ascii="Times New Roman" w:hAnsi="Times New Roman"/>
                <w:sz w:val="22"/>
                <w:szCs w:val="22"/>
              </w:rPr>
            </w:pPr>
            <w:r w:rsidRPr="004029C5">
              <w:rPr>
                <w:rFonts w:ascii="Times New Roman" w:hAnsi="Times New Roman"/>
                <w:sz w:val="22"/>
                <w:szCs w:val="22"/>
              </w:rPr>
              <w:t>2011</w:t>
            </w:r>
          </w:p>
        </w:tc>
        <w:tc>
          <w:tcPr>
            <w:tcW w:w="1081" w:type="dxa"/>
          </w:tcPr>
          <w:p w:rsidR="00F32158" w:rsidRPr="004029C5" w:rsidRDefault="00F32158" w:rsidP="0055712B">
            <w:pPr>
              <w:shd w:val="clear" w:color="auto" w:fill="FFFFFF"/>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177.46</w:t>
            </w:r>
          </w:p>
          <w:p w:rsidR="00F32158" w:rsidRPr="004029C5" w:rsidRDefault="00F32158" w:rsidP="0055712B">
            <w:pPr>
              <w:shd w:val="clear" w:color="auto" w:fill="FFFFFF"/>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204.09</w:t>
            </w:r>
          </w:p>
          <w:p w:rsidR="00F32158" w:rsidRPr="004029C5" w:rsidRDefault="004029C5" w:rsidP="0055712B">
            <w:pPr>
              <w:shd w:val="clear" w:color="auto" w:fill="FFFFFF"/>
              <w:jc w:val="center"/>
              <w:rPr>
                <w:rFonts w:ascii="Times New Roman" w:hAnsi="Times New Roman"/>
                <w:color w:val="454545"/>
                <w:sz w:val="22"/>
                <w:szCs w:val="22"/>
              </w:rPr>
            </w:pPr>
            <w:r>
              <w:rPr>
                <w:rFonts w:ascii="Times New Roman" w:hAnsi="Times New Roman"/>
                <w:color w:val="454545"/>
                <w:sz w:val="22"/>
                <w:szCs w:val="22"/>
                <w:lang w:val="en-US"/>
              </w:rPr>
              <w:t>152.23</w:t>
            </w:r>
          </w:p>
        </w:tc>
        <w:tc>
          <w:tcPr>
            <w:tcW w:w="1440" w:type="dxa"/>
          </w:tcPr>
          <w:p w:rsidR="00F32158" w:rsidRPr="004029C5" w:rsidRDefault="00F32158" w:rsidP="0055712B">
            <w:pPr>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245.97</w:t>
            </w:r>
          </w:p>
          <w:p w:rsidR="00F32158" w:rsidRPr="004029C5" w:rsidRDefault="00F32158" w:rsidP="0055712B">
            <w:pPr>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273.78</w:t>
            </w:r>
          </w:p>
          <w:p w:rsidR="00F32158" w:rsidRPr="004029C5" w:rsidRDefault="00F32158" w:rsidP="0055712B">
            <w:pPr>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219.54</w:t>
            </w:r>
          </w:p>
          <w:p w:rsidR="00F32158" w:rsidRPr="004029C5" w:rsidRDefault="00F32158" w:rsidP="0055712B">
            <w:pPr>
              <w:widowControl w:val="0"/>
              <w:jc w:val="center"/>
              <w:rPr>
                <w:rFonts w:ascii="Times New Roman" w:hAnsi="Times New Roman"/>
                <w:sz w:val="22"/>
                <w:szCs w:val="22"/>
              </w:rPr>
            </w:pPr>
          </w:p>
        </w:tc>
        <w:tc>
          <w:tcPr>
            <w:tcW w:w="1237" w:type="dxa"/>
          </w:tcPr>
          <w:p w:rsidR="00F32158" w:rsidRPr="004029C5" w:rsidRDefault="00F32158" w:rsidP="0055712B">
            <w:pPr>
              <w:shd w:val="clear" w:color="auto" w:fill="FFFFFF"/>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190.62</w:t>
            </w:r>
          </w:p>
          <w:p w:rsidR="00F32158" w:rsidRPr="004029C5" w:rsidRDefault="00F32158" w:rsidP="0055712B">
            <w:pPr>
              <w:shd w:val="clear" w:color="auto" w:fill="FFFFFF"/>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222.60</w:t>
            </w:r>
          </w:p>
          <w:p w:rsidR="00F32158" w:rsidRPr="004029C5" w:rsidRDefault="00F32158" w:rsidP="0055712B">
            <w:pPr>
              <w:shd w:val="clear" w:color="auto" w:fill="FFFFFF"/>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161.90</w:t>
            </w:r>
          </w:p>
          <w:p w:rsidR="00F32158" w:rsidRPr="004029C5" w:rsidRDefault="00F32158" w:rsidP="0055712B">
            <w:pPr>
              <w:widowControl w:val="0"/>
              <w:jc w:val="center"/>
              <w:rPr>
                <w:rFonts w:ascii="Times New Roman" w:hAnsi="Times New Roman"/>
                <w:sz w:val="22"/>
                <w:szCs w:val="22"/>
              </w:rPr>
            </w:pPr>
          </w:p>
        </w:tc>
        <w:tc>
          <w:tcPr>
            <w:tcW w:w="1337" w:type="dxa"/>
          </w:tcPr>
          <w:p w:rsidR="00F32158" w:rsidRPr="004029C5" w:rsidRDefault="00F32158" w:rsidP="0055712B">
            <w:pPr>
              <w:shd w:val="clear" w:color="auto" w:fill="FFFFFF"/>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113.63</w:t>
            </w:r>
          </w:p>
          <w:p w:rsidR="00F32158" w:rsidRPr="004029C5" w:rsidRDefault="00F32158" w:rsidP="0055712B">
            <w:pPr>
              <w:shd w:val="clear" w:color="auto" w:fill="FFFFFF"/>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131.45</w:t>
            </w:r>
          </w:p>
          <w:p w:rsidR="00F32158" w:rsidRPr="004029C5" w:rsidRDefault="00F32158" w:rsidP="0055712B">
            <w:pPr>
              <w:shd w:val="clear" w:color="auto" w:fill="FFFFFF"/>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97.11</w:t>
            </w:r>
          </w:p>
          <w:p w:rsidR="00F32158" w:rsidRPr="004029C5" w:rsidRDefault="00F32158" w:rsidP="0055712B">
            <w:pPr>
              <w:widowControl w:val="0"/>
              <w:jc w:val="center"/>
              <w:rPr>
                <w:rFonts w:ascii="Times New Roman" w:hAnsi="Times New Roman"/>
                <w:sz w:val="22"/>
                <w:szCs w:val="22"/>
              </w:rPr>
            </w:pPr>
          </w:p>
        </w:tc>
        <w:tc>
          <w:tcPr>
            <w:tcW w:w="1083" w:type="dxa"/>
          </w:tcPr>
          <w:p w:rsidR="00F32158" w:rsidRPr="004029C5" w:rsidRDefault="00F32158" w:rsidP="0055712B">
            <w:pPr>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121.38</w:t>
            </w:r>
          </w:p>
          <w:p w:rsidR="00F32158" w:rsidRPr="004029C5" w:rsidRDefault="00F32158" w:rsidP="0055712B">
            <w:pPr>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137.70</w:t>
            </w:r>
          </w:p>
          <w:p w:rsidR="00F32158" w:rsidRPr="004029C5" w:rsidRDefault="00F32158" w:rsidP="0055712B">
            <w:pPr>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106.26</w:t>
            </w:r>
          </w:p>
          <w:p w:rsidR="00F32158" w:rsidRPr="004029C5" w:rsidRDefault="00F32158" w:rsidP="0055712B">
            <w:pPr>
              <w:widowControl w:val="0"/>
              <w:jc w:val="center"/>
              <w:rPr>
                <w:rFonts w:ascii="Times New Roman" w:hAnsi="Times New Roman"/>
                <w:sz w:val="22"/>
                <w:szCs w:val="22"/>
              </w:rPr>
            </w:pPr>
          </w:p>
        </w:tc>
        <w:tc>
          <w:tcPr>
            <w:tcW w:w="966" w:type="dxa"/>
          </w:tcPr>
          <w:p w:rsidR="00F32158" w:rsidRPr="004029C5" w:rsidRDefault="00F32158" w:rsidP="0055712B">
            <w:pPr>
              <w:shd w:val="clear" w:color="auto" w:fill="FFFFFF"/>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118.03</w:t>
            </w:r>
          </w:p>
          <w:p w:rsidR="00F32158" w:rsidRPr="004029C5" w:rsidRDefault="00F32158" w:rsidP="0055712B">
            <w:pPr>
              <w:shd w:val="clear" w:color="auto" w:fill="FFFFFF"/>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146.23</w:t>
            </w:r>
          </w:p>
          <w:p w:rsidR="00F32158" w:rsidRPr="004029C5" w:rsidRDefault="00F32158" w:rsidP="0055712B">
            <w:pPr>
              <w:shd w:val="clear" w:color="auto" w:fill="FFFFFF"/>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95.35</w:t>
            </w:r>
          </w:p>
          <w:p w:rsidR="00F32158" w:rsidRPr="004029C5" w:rsidRDefault="00F32158" w:rsidP="0055712B">
            <w:pPr>
              <w:widowControl w:val="0"/>
              <w:jc w:val="center"/>
              <w:rPr>
                <w:rFonts w:ascii="Times New Roman" w:hAnsi="Times New Roman"/>
                <w:sz w:val="22"/>
                <w:szCs w:val="22"/>
              </w:rPr>
            </w:pPr>
          </w:p>
        </w:tc>
        <w:tc>
          <w:tcPr>
            <w:tcW w:w="893" w:type="dxa"/>
          </w:tcPr>
          <w:p w:rsidR="00F32158" w:rsidRPr="004029C5" w:rsidRDefault="00F32158" w:rsidP="0055712B">
            <w:pPr>
              <w:shd w:val="clear" w:color="auto" w:fill="FFFFFF"/>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225.15</w:t>
            </w:r>
          </w:p>
          <w:p w:rsidR="00F32158" w:rsidRPr="004029C5" w:rsidRDefault="00F32158" w:rsidP="0055712B">
            <w:pPr>
              <w:shd w:val="clear" w:color="auto" w:fill="FFFFFF"/>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251.04</w:t>
            </w:r>
          </w:p>
          <w:p w:rsidR="00F32158" w:rsidRPr="004029C5" w:rsidRDefault="00F32158" w:rsidP="0055712B">
            <w:pPr>
              <w:shd w:val="clear" w:color="auto" w:fill="FFFFFF"/>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200.94</w:t>
            </w:r>
          </w:p>
          <w:p w:rsidR="00F32158" w:rsidRPr="004029C5" w:rsidRDefault="00F32158" w:rsidP="0055712B">
            <w:pPr>
              <w:widowControl w:val="0"/>
              <w:jc w:val="center"/>
              <w:rPr>
                <w:rFonts w:ascii="Times New Roman" w:hAnsi="Times New Roman"/>
                <w:sz w:val="22"/>
                <w:szCs w:val="22"/>
              </w:rPr>
            </w:pPr>
          </w:p>
        </w:tc>
        <w:tc>
          <w:tcPr>
            <w:tcW w:w="1079" w:type="dxa"/>
          </w:tcPr>
          <w:p w:rsidR="00F32158" w:rsidRPr="004029C5" w:rsidRDefault="00F32158" w:rsidP="0055712B">
            <w:pPr>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312.22</w:t>
            </w:r>
          </w:p>
          <w:p w:rsidR="00F32158" w:rsidRPr="004029C5" w:rsidRDefault="00F32158" w:rsidP="0055712B">
            <w:pPr>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349.01</w:t>
            </w:r>
          </w:p>
          <w:p w:rsidR="00F32158" w:rsidRPr="004029C5" w:rsidRDefault="00F32158" w:rsidP="0055712B">
            <w:pPr>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274.15</w:t>
            </w:r>
          </w:p>
          <w:p w:rsidR="00F32158" w:rsidRPr="004029C5" w:rsidRDefault="00F32158" w:rsidP="0055712B">
            <w:pPr>
              <w:widowControl w:val="0"/>
              <w:jc w:val="center"/>
              <w:rPr>
                <w:rFonts w:ascii="Times New Roman" w:hAnsi="Times New Roman"/>
                <w:sz w:val="22"/>
                <w:szCs w:val="22"/>
                <w:highlight w:val="yellow"/>
              </w:rPr>
            </w:pPr>
          </w:p>
        </w:tc>
      </w:tr>
      <w:tr w:rsidR="00F32158" w:rsidRPr="004029C5" w:rsidTr="004029C5">
        <w:trPr>
          <w:jc w:val="center"/>
        </w:trPr>
        <w:tc>
          <w:tcPr>
            <w:tcW w:w="789" w:type="dxa"/>
          </w:tcPr>
          <w:p w:rsidR="00F32158" w:rsidRPr="004029C5" w:rsidRDefault="00F32158" w:rsidP="004029C5">
            <w:pPr>
              <w:widowControl w:val="0"/>
              <w:jc w:val="center"/>
              <w:rPr>
                <w:rFonts w:ascii="Times New Roman" w:hAnsi="Times New Roman"/>
                <w:sz w:val="22"/>
                <w:szCs w:val="22"/>
              </w:rPr>
            </w:pPr>
            <w:r w:rsidRPr="004029C5">
              <w:rPr>
                <w:rFonts w:ascii="Times New Roman" w:hAnsi="Times New Roman"/>
                <w:sz w:val="22"/>
                <w:szCs w:val="22"/>
              </w:rPr>
              <w:t>2012</w:t>
            </w:r>
          </w:p>
        </w:tc>
        <w:tc>
          <w:tcPr>
            <w:tcW w:w="1081" w:type="dxa"/>
          </w:tcPr>
          <w:p w:rsidR="00F32158" w:rsidRPr="004029C5" w:rsidRDefault="00F32158" w:rsidP="0055712B">
            <w:pPr>
              <w:shd w:val="clear" w:color="auto" w:fill="FFFFFF"/>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174.51</w:t>
            </w:r>
          </w:p>
          <w:p w:rsidR="00F32158" w:rsidRPr="004029C5" w:rsidRDefault="00F32158" w:rsidP="0055712B">
            <w:pPr>
              <w:shd w:val="clear" w:color="auto" w:fill="FFFFFF"/>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193.72</w:t>
            </w:r>
          </w:p>
          <w:p w:rsidR="00F32158" w:rsidRPr="004029C5" w:rsidRDefault="00F32158" w:rsidP="0055712B">
            <w:pPr>
              <w:shd w:val="clear" w:color="auto" w:fill="FFFFFF"/>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154.44</w:t>
            </w:r>
          </w:p>
          <w:p w:rsidR="00F32158" w:rsidRPr="004029C5" w:rsidRDefault="00F32158" w:rsidP="0055712B">
            <w:pPr>
              <w:widowControl w:val="0"/>
              <w:jc w:val="center"/>
              <w:rPr>
                <w:rFonts w:ascii="Times New Roman" w:hAnsi="Times New Roman"/>
                <w:sz w:val="22"/>
                <w:szCs w:val="22"/>
              </w:rPr>
            </w:pPr>
          </w:p>
        </w:tc>
        <w:tc>
          <w:tcPr>
            <w:tcW w:w="1440" w:type="dxa"/>
          </w:tcPr>
          <w:p w:rsidR="00F32158" w:rsidRPr="004029C5" w:rsidRDefault="00F32158" w:rsidP="0055712B">
            <w:pPr>
              <w:shd w:val="clear" w:color="auto" w:fill="FFFFFF"/>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256.55</w:t>
            </w:r>
          </w:p>
          <w:p w:rsidR="00F32158" w:rsidRPr="004029C5" w:rsidRDefault="00F32158" w:rsidP="0055712B">
            <w:pPr>
              <w:shd w:val="clear" w:color="auto" w:fill="FFFFFF"/>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293.38</w:t>
            </w:r>
          </w:p>
          <w:p w:rsidR="00F32158" w:rsidRPr="004029C5" w:rsidRDefault="00F32158" w:rsidP="0055712B">
            <w:pPr>
              <w:shd w:val="clear" w:color="auto" w:fill="FFFFFF"/>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221.65</w:t>
            </w:r>
          </w:p>
          <w:p w:rsidR="00F32158" w:rsidRPr="004029C5" w:rsidRDefault="00F32158" w:rsidP="0055712B">
            <w:pPr>
              <w:widowControl w:val="0"/>
              <w:jc w:val="center"/>
              <w:rPr>
                <w:rFonts w:ascii="Times New Roman" w:hAnsi="Times New Roman"/>
                <w:sz w:val="22"/>
                <w:szCs w:val="22"/>
              </w:rPr>
            </w:pPr>
          </w:p>
        </w:tc>
        <w:tc>
          <w:tcPr>
            <w:tcW w:w="1237" w:type="dxa"/>
          </w:tcPr>
          <w:p w:rsidR="00F32158" w:rsidRPr="004029C5" w:rsidRDefault="00F32158" w:rsidP="0055712B">
            <w:pPr>
              <w:shd w:val="clear" w:color="auto" w:fill="FFFFFF"/>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191.61</w:t>
            </w:r>
          </w:p>
          <w:p w:rsidR="00F32158" w:rsidRPr="004029C5" w:rsidRDefault="00F32158" w:rsidP="0055712B">
            <w:pPr>
              <w:shd w:val="clear" w:color="auto" w:fill="FFFFFF"/>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215.74</w:t>
            </w:r>
          </w:p>
          <w:p w:rsidR="00F32158" w:rsidRPr="004029C5" w:rsidRDefault="00F32158" w:rsidP="0055712B">
            <w:pPr>
              <w:shd w:val="clear" w:color="auto" w:fill="FFFFFF"/>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169.64</w:t>
            </w:r>
          </w:p>
          <w:p w:rsidR="00F32158" w:rsidRPr="004029C5" w:rsidRDefault="00F32158" w:rsidP="0055712B">
            <w:pPr>
              <w:widowControl w:val="0"/>
              <w:jc w:val="center"/>
              <w:rPr>
                <w:rFonts w:ascii="Times New Roman" w:hAnsi="Times New Roman"/>
                <w:sz w:val="22"/>
                <w:szCs w:val="22"/>
              </w:rPr>
            </w:pPr>
          </w:p>
        </w:tc>
        <w:tc>
          <w:tcPr>
            <w:tcW w:w="1337" w:type="dxa"/>
          </w:tcPr>
          <w:p w:rsidR="00F32158" w:rsidRPr="004029C5" w:rsidRDefault="00F32158" w:rsidP="0055712B">
            <w:pPr>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104.97</w:t>
            </w:r>
          </w:p>
          <w:p w:rsidR="00F32158" w:rsidRPr="004029C5" w:rsidRDefault="00F32158" w:rsidP="0055712B">
            <w:pPr>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121.00</w:t>
            </w:r>
          </w:p>
          <w:p w:rsidR="00F32158" w:rsidRPr="004029C5" w:rsidRDefault="00F32158" w:rsidP="0055712B">
            <w:pPr>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88.71</w:t>
            </w:r>
          </w:p>
          <w:p w:rsidR="00F32158" w:rsidRPr="004029C5" w:rsidRDefault="00F32158" w:rsidP="0055712B">
            <w:pPr>
              <w:widowControl w:val="0"/>
              <w:jc w:val="center"/>
              <w:rPr>
                <w:rFonts w:ascii="Times New Roman" w:hAnsi="Times New Roman"/>
                <w:sz w:val="22"/>
                <w:szCs w:val="22"/>
              </w:rPr>
            </w:pPr>
          </w:p>
        </w:tc>
        <w:tc>
          <w:tcPr>
            <w:tcW w:w="1083" w:type="dxa"/>
          </w:tcPr>
          <w:p w:rsidR="00F32158" w:rsidRPr="004029C5" w:rsidRDefault="00F32158" w:rsidP="0055712B">
            <w:pPr>
              <w:shd w:val="clear" w:color="auto" w:fill="FFFFFF"/>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120.01</w:t>
            </w:r>
          </w:p>
          <w:p w:rsidR="00F32158" w:rsidRPr="004029C5" w:rsidRDefault="00F32158" w:rsidP="0055712B">
            <w:pPr>
              <w:shd w:val="clear" w:color="auto" w:fill="FFFFFF"/>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136.54</w:t>
            </w:r>
          </w:p>
          <w:p w:rsidR="00F32158" w:rsidRPr="004029C5" w:rsidRDefault="00F32158" w:rsidP="0055712B">
            <w:pPr>
              <w:shd w:val="clear" w:color="auto" w:fill="FFFFFF"/>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104.42</w:t>
            </w:r>
          </w:p>
          <w:p w:rsidR="00F32158" w:rsidRPr="004029C5" w:rsidRDefault="00F32158" w:rsidP="0055712B">
            <w:pPr>
              <w:widowControl w:val="0"/>
              <w:jc w:val="center"/>
              <w:rPr>
                <w:rFonts w:ascii="Times New Roman" w:hAnsi="Times New Roman"/>
                <w:sz w:val="22"/>
                <w:szCs w:val="22"/>
              </w:rPr>
            </w:pPr>
          </w:p>
        </w:tc>
        <w:tc>
          <w:tcPr>
            <w:tcW w:w="966" w:type="dxa"/>
          </w:tcPr>
          <w:p w:rsidR="00F32158" w:rsidRPr="004029C5" w:rsidRDefault="00F32158" w:rsidP="0055712B">
            <w:pPr>
              <w:shd w:val="clear" w:color="auto" w:fill="FFFFFF"/>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111.94</w:t>
            </w:r>
          </w:p>
          <w:p w:rsidR="00F32158" w:rsidRPr="004029C5" w:rsidRDefault="00F32158" w:rsidP="0055712B">
            <w:pPr>
              <w:shd w:val="clear" w:color="auto" w:fill="FFFFFF"/>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137.61</w:t>
            </w:r>
          </w:p>
          <w:p w:rsidR="00F32158" w:rsidRPr="004029C5" w:rsidRDefault="00F32158" w:rsidP="0055712B">
            <w:pPr>
              <w:shd w:val="clear" w:color="auto" w:fill="FFFFFF"/>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90.54</w:t>
            </w:r>
          </w:p>
          <w:p w:rsidR="00F32158" w:rsidRPr="004029C5" w:rsidRDefault="00F32158" w:rsidP="0055712B">
            <w:pPr>
              <w:widowControl w:val="0"/>
              <w:jc w:val="center"/>
              <w:rPr>
                <w:rFonts w:ascii="Times New Roman" w:hAnsi="Times New Roman"/>
                <w:sz w:val="22"/>
                <w:szCs w:val="22"/>
              </w:rPr>
            </w:pPr>
          </w:p>
        </w:tc>
        <w:tc>
          <w:tcPr>
            <w:tcW w:w="893" w:type="dxa"/>
          </w:tcPr>
          <w:p w:rsidR="00F32158" w:rsidRPr="004029C5" w:rsidRDefault="00F32158" w:rsidP="0055712B">
            <w:pPr>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221.32</w:t>
            </w:r>
          </w:p>
          <w:p w:rsidR="00F32158" w:rsidRPr="004029C5" w:rsidRDefault="00F32158" w:rsidP="0055712B">
            <w:pPr>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251.56</w:t>
            </w:r>
          </w:p>
          <w:p w:rsidR="00F32158" w:rsidRPr="004029C5" w:rsidRDefault="00F32158" w:rsidP="0055712B">
            <w:pPr>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192.05</w:t>
            </w:r>
          </w:p>
          <w:p w:rsidR="00F32158" w:rsidRPr="004029C5" w:rsidRDefault="00F32158" w:rsidP="0055712B">
            <w:pPr>
              <w:widowControl w:val="0"/>
              <w:jc w:val="center"/>
              <w:rPr>
                <w:rFonts w:ascii="Times New Roman" w:hAnsi="Times New Roman"/>
                <w:sz w:val="22"/>
                <w:szCs w:val="22"/>
              </w:rPr>
            </w:pPr>
          </w:p>
        </w:tc>
        <w:tc>
          <w:tcPr>
            <w:tcW w:w="1079" w:type="dxa"/>
          </w:tcPr>
          <w:p w:rsidR="00F32158" w:rsidRPr="004029C5" w:rsidRDefault="00F32158" w:rsidP="0055712B">
            <w:pPr>
              <w:shd w:val="clear" w:color="auto" w:fill="FFFFFF"/>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299.60</w:t>
            </w:r>
          </w:p>
          <w:p w:rsidR="00F32158" w:rsidRPr="004029C5" w:rsidRDefault="00F32158" w:rsidP="0055712B">
            <w:pPr>
              <w:shd w:val="clear" w:color="auto" w:fill="FFFFFF"/>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340.27</w:t>
            </w:r>
          </w:p>
          <w:p w:rsidR="00F32158" w:rsidRPr="004029C5" w:rsidRDefault="00F32158" w:rsidP="0055712B">
            <w:pPr>
              <w:shd w:val="clear" w:color="auto" w:fill="FFFFFF"/>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256.13</w:t>
            </w:r>
          </w:p>
          <w:p w:rsidR="00F32158" w:rsidRPr="004029C5" w:rsidRDefault="00F32158" w:rsidP="0055712B">
            <w:pPr>
              <w:widowControl w:val="0"/>
              <w:jc w:val="center"/>
              <w:rPr>
                <w:rFonts w:ascii="Times New Roman" w:hAnsi="Times New Roman"/>
                <w:sz w:val="22"/>
                <w:szCs w:val="22"/>
                <w:highlight w:val="yellow"/>
              </w:rPr>
            </w:pPr>
          </w:p>
        </w:tc>
      </w:tr>
      <w:tr w:rsidR="00F32158" w:rsidRPr="004029C5" w:rsidTr="004029C5">
        <w:trPr>
          <w:jc w:val="center"/>
        </w:trPr>
        <w:tc>
          <w:tcPr>
            <w:tcW w:w="789" w:type="dxa"/>
          </w:tcPr>
          <w:p w:rsidR="00F32158" w:rsidRPr="004029C5" w:rsidRDefault="00F32158" w:rsidP="004029C5">
            <w:pPr>
              <w:widowControl w:val="0"/>
              <w:jc w:val="center"/>
              <w:rPr>
                <w:rFonts w:ascii="Times New Roman" w:hAnsi="Times New Roman"/>
                <w:sz w:val="22"/>
                <w:szCs w:val="22"/>
              </w:rPr>
            </w:pPr>
            <w:r w:rsidRPr="004029C5">
              <w:rPr>
                <w:rFonts w:ascii="Times New Roman" w:hAnsi="Times New Roman"/>
                <w:sz w:val="22"/>
                <w:szCs w:val="22"/>
              </w:rPr>
              <w:t>2013</w:t>
            </w:r>
          </w:p>
        </w:tc>
        <w:tc>
          <w:tcPr>
            <w:tcW w:w="1081" w:type="dxa"/>
          </w:tcPr>
          <w:p w:rsidR="00F32158" w:rsidRPr="004029C5" w:rsidRDefault="00F32158" w:rsidP="0055712B">
            <w:pPr>
              <w:shd w:val="clear" w:color="auto" w:fill="FFFFFF"/>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167.95</w:t>
            </w:r>
          </w:p>
          <w:p w:rsidR="00F32158" w:rsidRPr="004029C5" w:rsidRDefault="00F32158" w:rsidP="0055712B">
            <w:pPr>
              <w:shd w:val="clear" w:color="auto" w:fill="FFFFFF"/>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183.35</w:t>
            </w:r>
          </w:p>
          <w:p w:rsidR="00F32158" w:rsidRPr="004029C5" w:rsidRDefault="00F32158" w:rsidP="0055712B">
            <w:pPr>
              <w:shd w:val="clear" w:color="auto" w:fill="FFFFFF"/>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152.17</w:t>
            </w:r>
          </w:p>
          <w:p w:rsidR="00F32158" w:rsidRPr="004029C5" w:rsidRDefault="00F32158" w:rsidP="0055712B">
            <w:pPr>
              <w:widowControl w:val="0"/>
              <w:jc w:val="center"/>
              <w:rPr>
                <w:rFonts w:ascii="Times New Roman" w:hAnsi="Times New Roman"/>
                <w:sz w:val="22"/>
                <w:szCs w:val="22"/>
              </w:rPr>
            </w:pPr>
          </w:p>
        </w:tc>
        <w:tc>
          <w:tcPr>
            <w:tcW w:w="1440" w:type="dxa"/>
          </w:tcPr>
          <w:p w:rsidR="00F32158" w:rsidRPr="004029C5" w:rsidRDefault="00F32158" w:rsidP="0055712B">
            <w:pPr>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253.09</w:t>
            </w:r>
          </w:p>
          <w:p w:rsidR="00F32158" w:rsidRPr="004029C5" w:rsidRDefault="00F32158" w:rsidP="0055712B">
            <w:pPr>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279.49</w:t>
            </w:r>
          </w:p>
          <w:p w:rsidR="00F32158" w:rsidRPr="004029C5" w:rsidRDefault="00F32158" w:rsidP="0055712B">
            <w:pPr>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227.58</w:t>
            </w:r>
          </w:p>
          <w:p w:rsidR="00F32158" w:rsidRPr="004029C5" w:rsidRDefault="00F32158" w:rsidP="0055712B">
            <w:pPr>
              <w:widowControl w:val="0"/>
              <w:jc w:val="center"/>
              <w:rPr>
                <w:rFonts w:ascii="Times New Roman" w:hAnsi="Times New Roman"/>
                <w:sz w:val="22"/>
                <w:szCs w:val="22"/>
              </w:rPr>
            </w:pPr>
          </w:p>
        </w:tc>
        <w:tc>
          <w:tcPr>
            <w:tcW w:w="1237" w:type="dxa"/>
          </w:tcPr>
          <w:p w:rsidR="00F32158" w:rsidRPr="004029C5" w:rsidRDefault="00F32158" w:rsidP="0055712B">
            <w:pPr>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196.82</w:t>
            </w:r>
          </w:p>
          <w:p w:rsidR="00F32158" w:rsidRPr="004029C5" w:rsidRDefault="00F32158" w:rsidP="0055712B">
            <w:pPr>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220.03</w:t>
            </w:r>
          </w:p>
          <w:p w:rsidR="00F32158" w:rsidRPr="004029C5" w:rsidRDefault="00F32158" w:rsidP="0055712B">
            <w:pPr>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176.47</w:t>
            </w:r>
          </w:p>
          <w:p w:rsidR="00F32158" w:rsidRPr="004029C5" w:rsidRDefault="00F32158" w:rsidP="0055712B">
            <w:pPr>
              <w:widowControl w:val="0"/>
              <w:jc w:val="center"/>
              <w:rPr>
                <w:rFonts w:ascii="Times New Roman" w:hAnsi="Times New Roman"/>
                <w:sz w:val="22"/>
                <w:szCs w:val="22"/>
              </w:rPr>
            </w:pPr>
          </w:p>
        </w:tc>
        <w:tc>
          <w:tcPr>
            <w:tcW w:w="1337" w:type="dxa"/>
          </w:tcPr>
          <w:p w:rsidR="00F32158" w:rsidRPr="004029C5" w:rsidRDefault="00F32158" w:rsidP="0055712B">
            <w:pPr>
              <w:shd w:val="clear" w:color="auto" w:fill="FFFFFF"/>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102.23</w:t>
            </w:r>
          </w:p>
          <w:p w:rsidR="00F32158" w:rsidRPr="004029C5" w:rsidRDefault="00F32158" w:rsidP="0055712B">
            <w:pPr>
              <w:shd w:val="clear" w:color="auto" w:fill="FFFFFF"/>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114.37</w:t>
            </w:r>
          </w:p>
          <w:p w:rsidR="00F32158" w:rsidRPr="004029C5" w:rsidRDefault="00F32158" w:rsidP="0055712B">
            <w:pPr>
              <w:shd w:val="clear" w:color="auto" w:fill="FFFFFF"/>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90.11</w:t>
            </w:r>
          </w:p>
          <w:p w:rsidR="00F32158" w:rsidRPr="004029C5" w:rsidRDefault="00F32158" w:rsidP="0055712B">
            <w:pPr>
              <w:widowControl w:val="0"/>
              <w:jc w:val="center"/>
              <w:rPr>
                <w:rFonts w:ascii="Times New Roman" w:hAnsi="Times New Roman"/>
                <w:sz w:val="22"/>
                <w:szCs w:val="22"/>
              </w:rPr>
            </w:pPr>
          </w:p>
        </w:tc>
        <w:tc>
          <w:tcPr>
            <w:tcW w:w="1083" w:type="dxa"/>
          </w:tcPr>
          <w:p w:rsidR="00F32158" w:rsidRPr="004029C5" w:rsidRDefault="00F32158" w:rsidP="0055712B">
            <w:pPr>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118.89</w:t>
            </w:r>
          </w:p>
          <w:p w:rsidR="00F32158" w:rsidRPr="004029C5" w:rsidRDefault="00F32158" w:rsidP="0055712B">
            <w:pPr>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134.55</w:t>
            </w:r>
          </w:p>
          <w:p w:rsidR="00F32158" w:rsidRPr="004029C5" w:rsidRDefault="00F32158" w:rsidP="0055712B">
            <w:pPr>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104.09</w:t>
            </w:r>
          </w:p>
          <w:p w:rsidR="00F32158" w:rsidRPr="004029C5" w:rsidRDefault="00F32158" w:rsidP="0055712B">
            <w:pPr>
              <w:widowControl w:val="0"/>
              <w:jc w:val="center"/>
              <w:rPr>
                <w:rFonts w:ascii="Times New Roman" w:hAnsi="Times New Roman"/>
                <w:sz w:val="22"/>
                <w:szCs w:val="22"/>
              </w:rPr>
            </w:pPr>
          </w:p>
        </w:tc>
        <w:tc>
          <w:tcPr>
            <w:tcW w:w="966" w:type="dxa"/>
          </w:tcPr>
          <w:p w:rsidR="00F32158" w:rsidRPr="004029C5" w:rsidRDefault="00F32158" w:rsidP="0055712B">
            <w:pPr>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102.60</w:t>
            </w:r>
          </w:p>
          <w:p w:rsidR="00F32158" w:rsidRPr="004029C5" w:rsidRDefault="00F32158" w:rsidP="0055712B">
            <w:pPr>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124.86</w:t>
            </w:r>
          </w:p>
          <w:p w:rsidR="00F32158" w:rsidRPr="004029C5" w:rsidRDefault="00F32158" w:rsidP="0055712B">
            <w:pPr>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83.35</w:t>
            </w:r>
          </w:p>
          <w:p w:rsidR="00F32158" w:rsidRPr="004029C5" w:rsidRDefault="00F32158" w:rsidP="0055712B">
            <w:pPr>
              <w:widowControl w:val="0"/>
              <w:jc w:val="center"/>
              <w:rPr>
                <w:rFonts w:ascii="Times New Roman" w:hAnsi="Times New Roman"/>
                <w:sz w:val="22"/>
                <w:szCs w:val="22"/>
              </w:rPr>
            </w:pPr>
          </w:p>
        </w:tc>
        <w:tc>
          <w:tcPr>
            <w:tcW w:w="893" w:type="dxa"/>
          </w:tcPr>
          <w:p w:rsidR="00F32158" w:rsidRPr="004029C5" w:rsidRDefault="00F32158" w:rsidP="0055712B">
            <w:pPr>
              <w:shd w:val="clear" w:color="auto" w:fill="FFFFFF"/>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218.09</w:t>
            </w:r>
          </w:p>
          <w:p w:rsidR="00F32158" w:rsidRPr="004029C5" w:rsidRDefault="00F32158" w:rsidP="0055712B">
            <w:pPr>
              <w:shd w:val="clear" w:color="auto" w:fill="FFFFFF"/>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244.33</w:t>
            </w:r>
          </w:p>
          <w:p w:rsidR="00F32158" w:rsidRPr="004029C5" w:rsidRDefault="00F32158" w:rsidP="0055712B">
            <w:pPr>
              <w:shd w:val="clear" w:color="auto" w:fill="FFFFFF"/>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189.72</w:t>
            </w:r>
          </w:p>
          <w:p w:rsidR="00F32158" w:rsidRPr="004029C5" w:rsidRDefault="00F32158" w:rsidP="0055712B">
            <w:pPr>
              <w:widowControl w:val="0"/>
              <w:jc w:val="center"/>
              <w:rPr>
                <w:rFonts w:ascii="Times New Roman" w:hAnsi="Times New Roman"/>
                <w:sz w:val="22"/>
                <w:szCs w:val="22"/>
              </w:rPr>
            </w:pPr>
          </w:p>
        </w:tc>
        <w:tc>
          <w:tcPr>
            <w:tcW w:w="1079" w:type="dxa"/>
          </w:tcPr>
          <w:p w:rsidR="00F32158" w:rsidRPr="004029C5" w:rsidRDefault="00F32158" w:rsidP="0055712B">
            <w:pPr>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280.53</w:t>
            </w:r>
          </w:p>
          <w:p w:rsidR="00F32158" w:rsidRPr="004029C5" w:rsidRDefault="00F32158" w:rsidP="0055712B">
            <w:pPr>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324.32</w:t>
            </w:r>
          </w:p>
          <w:p w:rsidR="00F32158" w:rsidRPr="004029C5" w:rsidRDefault="00F32158" w:rsidP="0055712B">
            <w:pPr>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234.70</w:t>
            </w:r>
          </w:p>
          <w:p w:rsidR="00F32158" w:rsidRPr="004029C5" w:rsidRDefault="00F32158" w:rsidP="0055712B">
            <w:pPr>
              <w:widowControl w:val="0"/>
              <w:jc w:val="center"/>
              <w:rPr>
                <w:rFonts w:ascii="Times New Roman" w:hAnsi="Times New Roman"/>
                <w:sz w:val="22"/>
                <w:szCs w:val="22"/>
                <w:highlight w:val="yellow"/>
              </w:rPr>
            </w:pPr>
          </w:p>
        </w:tc>
      </w:tr>
      <w:tr w:rsidR="00F32158" w:rsidRPr="004029C5" w:rsidTr="004029C5">
        <w:trPr>
          <w:jc w:val="center"/>
        </w:trPr>
        <w:tc>
          <w:tcPr>
            <w:tcW w:w="789" w:type="dxa"/>
          </w:tcPr>
          <w:p w:rsidR="00F32158" w:rsidRPr="004029C5" w:rsidRDefault="00F32158" w:rsidP="004029C5">
            <w:pPr>
              <w:widowControl w:val="0"/>
              <w:jc w:val="center"/>
              <w:rPr>
                <w:rFonts w:ascii="Times New Roman" w:hAnsi="Times New Roman"/>
                <w:sz w:val="22"/>
                <w:szCs w:val="22"/>
              </w:rPr>
            </w:pPr>
            <w:r w:rsidRPr="004029C5">
              <w:rPr>
                <w:rFonts w:ascii="Times New Roman" w:hAnsi="Times New Roman"/>
                <w:sz w:val="22"/>
                <w:szCs w:val="22"/>
              </w:rPr>
              <w:t>2014</w:t>
            </w:r>
          </w:p>
        </w:tc>
        <w:tc>
          <w:tcPr>
            <w:tcW w:w="1081" w:type="dxa"/>
          </w:tcPr>
          <w:p w:rsidR="00F32158" w:rsidRPr="004029C5" w:rsidRDefault="00F32158" w:rsidP="0055712B">
            <w:pPr>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158.23</w:t>
            </w:r>
          </w:p>
          <w:p w:rsidR="00F32158" w:rsidRPr="004029C5" w:rsidRDefault="00F32158" w:rsidP="0055712B">
            <w:pPr>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169.61</w:t>
            </w:r>
          </w:p>
          <w:p w:rsidR="00F32158" w:rsidRPr="004029C5" w:rsidRDefault="00F32158" w:rsidP="0055712B">
            <w:pPr>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147.05</w:t>
            </w:r>
          </w:p>
          <w:p w:rsidR="00F32158" w:rsidRPr="004029C5" w:rsidRDefault="00F32158" w:rsidP="0055712B">
            <w:pPr>
              <w:widowControl w:val="0"/>
              <w:jc w:val="center"/>
              <w:rPr>
                <w:rFonts w:ascii="Times New Roman" w:hAnsi="Times New Roman"/>
                <w:sz w:val="22"/>
                <w:szCs w:val="22"/>
              </w:rPr>
            </w:pPr>
          </w:p>
        </w:tc>
        <w:tc>
          <w:tcPr>
            <w:tcW w:w="1440" w:type="dxa"/>
          </w:tcPr>
          <w:p w:rsidR="00F32158" w:rsidRPr="004029C5" w:rsidRDefault="00F32158" w:rsidP="0055712B">
            <w:pPr>
              <w:shd w:val="clear" w:color="auto" w:fill="FFFFFF"/>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259.64</w:t>
            </w:r>
          </w:p>
          <w:p w:rsidR="00F32158" w:rsidRPr="004029C5" w:rsidRDefault="00F32158" w:rsidP="0055712B">
            <w:pPr>
              <w:shd w:val="clear" w:color="auto" w:fill="FFFFFF"/>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286.18</w:t>
            </w:r>
          </w:p>
          <w:p w:rsidR="00F32158" w:rsidRPr="004029C5" w:rsidRDefault="00F32158" w:rsidP="0055712B">
            <w:pPr>
              <w:shd w:val="clear" w:color="auto" w:fill="FFFFFF"/>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233.89</w:t>
            </w:r>
          </w:p>
          <w:p w:rsidR="00F32158" w:rsidRPr="004029C5" w:rsidRDefault="00F32158" w:rsidP="0055712B">
            <w:pPr>
              <w:widowControl w:val="0"/>
              <w:jc w:val="center"/>
              <w:rPr>
                <w:rFonts w:ascii="Times New Roman" w:hAnsi="Times New Roman"/>
                <w:sz w:val="22"/>
                <w:szCs w:val="22"/>
              </w:rPr>
            </w:pPr>
          </w:p>
        </w:tc>
        <w:tc>
          <w:tcPr>
            <w:tcW w:w="1237" w:type="dxa"/>
          </w:tcPr>
          <w:p w:rsidR="00F32158" w:rsidRPr="004029C5" w:rsidRDefault="00F32158" w:rsidP="0055712B">
            <w:pPr>
              <w:shd w:val="clear" w:color="auto" w:fill="FFFFFF"/>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186.42</w:t>
            </w:r>
          </w:p>
          <w:p w:rsidR="00F32158" w:rsidRPr="004029C5" w:rsidRDefault="00F32158" w:rsidP="0055712B">
            <w:pPr>
              <w:shd w:val="clear" w:color="auto" w:fill="FFFFFF"/>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207.11</w:t>
            </w:r>
          </w:p>
          <w:p w:rsidR="00F32158" w:rsidRPr="004029C5" w:rsidRDefault="00F32158" w:rsidP="0055712B">
            <w:pPr>
              <w:shd w:val="clear" w:color="auto" w:fill="FFFFFF"/>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165.5</w:t>
            </w:r>
          </w:p>
          <w:p w:rsidR="00F32158" w:rsidRPr="004029C5" w:rsidRDefault="00F32158" w:rsidP="0055712B">
            <w:pPr>
              <w:widowControl w:val="0"/>
              <w:jc w:val="center"/>
              <w:rPr>
                <w:rFonts w:ascii="Times New Roman" w:hAnsi="Times New Roman"/>
                <w:sz w:val="22"/>
                <w:szCs w:val="22"/>
              </w:rPr>
            </w:pPr>
          </w:p>
        </w:tc>
        <w:tc>
          <w:tcPr>
            <w:tcW w:w="1337" w:type="dxa"/>
          </w:tcPr>
          <w:p w:rsidR="00F32158" w:rsidRPr="004029C5" w:rsidRDefault="00F32158" w:rsidP="0055712B">
            <w:pPr>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99.29</w:t>
            </w:r>
          </w:p>
          <w:p w:rsidR="00F32158" w:rsidRPr="004029C5" w:rsidRDefault="00F32158" w:rsidP="0055712B">
            <w:pPr>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110.30</w:t>
            </w:r>
          </w:p>
          <w:p w:rsidR="00F32158" w:rsidRPr="004029C5" w:rsidRDefault="00F32158" w:rsidP="0055712B">
            <w:pPr>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88.46</w:t>
            </w:r>
          </w:p>
          <w:p w:rsidR="00F32158" w:rsidRPr="004029C5" w:rsidRDefault="00F32158" w:rsidP="0055712B">
            <w:pPr>
              <w:widowControl w:val="0"/>
              <w:jc w:val="center"/>
              <w:rPr>
                <w:rFonts w:ascii="Times New Roman" w:hAnsi="Times New Roman"/>
                <w:sz w:val="22"/>
                <w:szCs w:val="22"/>
              </w:rPr>
            </w:pPr>
          </w:p>
        </w:tc>
        <w:tc>
          <w:tcPr>
            <w:tcW w:w="1083" w:type="dxa"/>
          </w:tcPr>
          <w:p w:rsidR="00F32158" w:rsidRPr="004029C5" w:rsidRDefault="00F32158" w:rsidP="0055712B">
            <w:pPr>
              <w:shd w:val="clear" w:color="auto" w:fill="FFFFFF"/>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114.19</w:t>
            </w:r>
          </w:p>
          <w:p w:rsidR="00F32158" w:rsidRPr="004029C5" w:rsidRDefault="00F32158" w:rsidP="0055712B">
            <w:pPr>
              <w:shd w:val="clear" w:color="auto" w:fill="FFFFFF"/>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129.98</w:t>
            </w:r>
          </w:p>
          <w:p w:rsidR="00F32158" w:rsidRPr="004029C5" w:rsidRDefault="00F32158" w:rsidP="0055712B">
            <w:pPr>
              <w:shd w:val="clear" w:color="auto" w:fill="FFFFFF"/>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99.17</w:t>
            </w:r>
          </w:p>
          <w:p w:rsidR="00F32158" w:rsidRPr="004029C5" w:rsidRDefault="00F32158" w:rsidP="0055712B">
            <w:pPr>
              <w:widowControl w:val="0"/>
              <w:jc w:val="center"/>
              <w:rPr>
                <w:rFonts w:ascii="Times New Roman" w:hAnsi="Times New Roman"/>
                <w:sz w:val="22"/>
                <w:szCs w:val="22"/>
              </w:rPr>
            </w:pPr>
          </w:p>
        </w:tc>
        <w:tc>
          <w:tcPr>
            <w:tcW w:w="966" w:type="dxa"/>
          </w:tcPr>
          <w:p w:rsidR="00F32158" w:rsidRPr="004029C5" w:rsidRDefault="00F32158" w:rsidP="0055712B">
            <w:pPr>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103.62</w:t>
            </w:r>
          </w:p>
          <w:p w:rsidR="00F32158" w:rsidRPr="004029C5" w:rsidRDefault="00F32158" w:rsidP="0055712B">
            <w:pPr>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126.99</w:t>
            </w:r>
          </w:p>
          <w:p w:rsidR="00F32158" w:rsidRPr="004029C5" w:rsidRDefault="00F32158" w:rsidP="0055712B">
            <w:pPr>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84.58</w:t>
            </w:r>
          </w:p>
          <w:p w:rsidR="00F32158" w:rsidRPr="004029C5" w:rsidRDefault="00F32158" w:rsidP="0055712B">
            <w:pPr>
              <w:widowControl w:val="0"/>
              <w:jc w:val="center"/>
              <w:rPr>
                <w:rFonts w:ascii="Times New Roman" w:hAnsi="Times New Roman"/>
                <w:sz w:val="22"/>
                <w:szCs w:val="22"/>
              </w:rPr>
            </w:pPr>
          </w:p>
        </w:tc>
        <w:tc>
          <w:tcPr>
            <w:tcW w:w="893" w:type="dxa"/>
          </w:tcPr>
          <w:p w:rsidR="00F32158" w:rsidRPr="004029C5" w:rsidRDefault="00F32158" w:rsidP="0055712B">
            <w:pPr>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215.15</w:t>
            </w:r>
          </w:p>
          <w:p w:rsidR="00F32158" w:rsidRPr="004029C5" w:rsidRDefault="00F32158" w:rsidP="0055712B">
            <w:pPr>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235.99</w:t>
            </w:r>
          </w:p>
          <w:p w:rsidR="00F32158" w:rsidRPr="004029C5" w:rsidRDefault="00F32158" w:rsidP="0055712B">
            <w:pPr>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193.89</w:t>
            </w:r>
          </w:p>
          <w:p w:rsidR="00F32158" w:rsidRPr="004029C5" w:rsidRDefault="00F32158" w:rsidP="0055712B">
            <w:pPr>
              <w:widowControl w:val="0"/>
              <w:jc w:val="center"/>
              <w:rPr>
                <w:rFonts w:ascii="Times New Roman" w:hAnsi="Times New Roman"/>
                <w:sz w:val="22"/>
                <w:szCs w:val="22"/>
              </w:rPr>
            </w:pPr>
          </w:p>
        </w:tc>
        <w:tc>
          <w:tcPr>
            <w:tcW w:w="1079" w:type="dxa"/>
          </w:tcPr>
          <w:p w:rsidR="00F32158" w:rsidRPr="004029C5" w:rsidRDefault="00F32158" w:rsidP="0055712B">
            <w:pPr>
              <w:shd w:val="clear" w:color="auto" w:fill="FFFFFF"/>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290.76</w:t>
            </w:r>
          </w:p>
          <w:p w:rsidR="00F32158" w:rsidRPr="004029C5" w:rsidRDefault="00F32158" w:rsidP="0055712B">
            <w:pPr>
              <w:shd w:val="clear" w:color="auto" w:fill="FFFFFF"/>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340.63</w:t>
            </w:r>
          </w:p>
          <w:p w:rsidR="00F32158" w:rsidRPr="004029C5" w:rsidRDefault="00F32158" w:rsidP="0055712B">
            <w:pPr>
              <w:shd w:val="clear" w:color="auto" w:fill="FFFFFF"/>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239.12</w:t>
            </w:r>
          </w:p>
          <w:p w:rsidR="00F32158" w:rsidRPr="004029C5" w:rsidRDefault="00F32158" w:rsidP="0055712B">
            <w:pPr>
              <w:widowControl w:val="0"/>
              <w:jc w:val="center"/>
              <w:rPr>
                <w:rFonts w:ascii="Times New Roman" w:hAnsi="Times New Roman"/>
                <w:sz w:val="22"/>
                <w:szCs w:val="22"/>
                <w:highlight w:val="yellow"/>
              </w:rPr>
            </w:pPr>
          </w:p>
        </w:tc>
      </w:tr>
      <w:tr w:rsidR="00F32158" w:rsidRPr="004029C5" w:rsidTr="004029C5">
        <w:trPr>
          <w:jc w:val="center"/>
        </w:trPr>
        <w:tc>
          <w:tcPr>
            <w:tcW w:w="789" w:type="dxa"/>
          </w:tcPr>
          <w:p w:rsidR="00F32158" w:rsidRPr="004029C5" w:rsidRDefault="00F32158" w:rsidP="004029C5">
            <w:pPr>
              <w:widowControl w:val="0"/>
              <w:jc w:val="center"/>
              <w:rPr>
                <w:rFonts w:ascii="Times New Roman" w:hAnsi="Times New Roman"/>
                <w:sz w:val="22"/>
                <w:szCs w:val="22"/>
              </w:rPr>
            </w:pPr>
            <w:r w:rsidRPr="004029C5">
              <w:rPr>
                <w:rFonts w:ascii="Times New Roman" w:hAnsi="Times New Roman"/>
                <w:sz w:val="22"/>
                <w:szCs w:val="22"/>
              </w:rPr>
              <w:t>2015</w:t>
            </w:r>
          </w:p>
        </w:tc>
        <w:tc>
          <w:tcPr>
            <w:tcW w:w="1081" w:type="dxa"/>
          </w:tcPr>
          <w:p w:rsidR="00F32158" w:rsidRPr="004029C5" w:rsidRDefault="00F32158" w:rsidP="0055712B">
            <w:pPr>
              <w:shd w:val="clear" w:color="auto" w:fill="FFFFFF"/>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149.07</w:t>
            </w:r>
          </w:p>
          <w:p w:rsidR="00F32158" w:rsidRPr="004029C5" w:rsidRDefault="00F32158" w:rsidP="0055712B">
            <w:pPr>
              <w:shd w:val="clear" w:color="auto" w:fill="FFFFFF"/>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163.52</w:t>
            </w:r>
          </w:p>
          <w:p w:rsidR="00F32158" w:rsidRPr="004029C5" w:rsidRDefault="00F32158" w:rsidP="0055712B">
            <w:pPr>
              <w:shd w:val="clear" w:color="auto" w:fill="FFFFFF"/>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134.92</w:t>
            </w:r>
          </w:p>
          <w:p w:rsidR="00F32158" w:rsidRPr="004029C5" w:rsidRDefault="00F32158" w:rsidP="0055712B">
            <w:pPr>
              <w:widowControl w:val="0"/>
              <w:jc w:val="center"/>
              <w:rPr>
                <w:rFonts w:ascii="Times New Roman" w:hAnsi="Times New Roman"/>
                <w:sz w:val="22"/>
                <w:szCs w:val="22"/>
              </w:rPr>
            </w:pPr>
          </w:p>
        </w:tc>
        <w:tc>
          <w:tcPr>
            <w:tcW w:w="1440" w:type="dxa"/>
          </w:tcPr>
          <w:p w:rsidR="00F32158" w:rsidRPr="004029C5" w:rsidRDefault="00F32158" w:rsidP="0055712B">
            <w:pPr>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250.08</w:t>
            </w:r>
          </w:p>
          <w:p w:rsidR="00F32158" w:rsidRPr="004029C5" w:rsidRDefault="00F32158" w:rsidP="0055712B">
            <w:pPr>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272.24</w:t>
            </w:r>
          </w:p>
          <w:p w:rsidR="00F32158" w:rsidRPr="004029C5" w:rsidRDefault="00F32158" w:rsidP="0055712B">
            <w:pPr>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229.75</w:t>
            </w:r>
          </w:p>
          <w:p w:rsidR="00F32158" w:rsidRPr="004029C5" w:rsidRDefault="00F32158" w:rsidP="0055712B">
            <w:pPr>
              <w:widowControl w:val="0"/>
              <w:jc w:val="center"/>
              <w:rPr>
                <w:rFonts w:ascii="Times New Roman" w:hAnsi="Times New Roman"/>
                <w:sz w:val="22"/>
                <w:szCs w:val="22"/>
              </w:rPr>
            </w:pPr>
          </w:p>
        </w:tc>
        <w:tc>
          <w:tcPr>
            <w:tcW w:w="1237" w:type="dxa"/>
          </w:tcPr>
          <w:p w:rsidR="00F32158" w:rsidRPr="004029C5" w:rsidRDefault="00F32158" w:rsidP="0055712B">
            <w:pPr>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183.20</w:t>
            </w:r>
          </w:p>
          <w:p w:rsidR="00F32158" w:rsidRPr="004029C5" w:rsidRDefault="00F32158" w:rsidP="0055712B">
            <w:pPr>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202.27</w:t>
            </w:r>
          </w:p>
          <w:p w:rsidR="00F32158" w:rsidRPr="004029C5" w:rsidRDefault="00F32158" w:rsidP="0055712B">
            <w:pPr>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163.55</w:t>
            </w:r>
          </w:p>
          <w:p w:rsidR="00F32158" w:rsidRPr="004029C5" w:rsidRDefault="00F32158" w:rsidP="0055712B">
            <w:pPr>
              <w:widowControl w:val="0"/>
              <w:jc w:val="center"/>
              <w:rPr>
                <w:rFonts w:ascii="Times New Roman" w:hAnsi="Times New Roman"/>
                <w:sz w:val="22"/>
                <w:szCs w:val="22"/>
              </w:rPr>
            </w:pPr>
          </w:p>
        </w:tc>
        <w:tc>
          <w:tcPr>
            <w:tcW w:w="1337" w:type="dxa"/>
          </w:tcPr>
          <w:p w:rsidR="00F32158" w:rsidRPr="004029C5" w:rsidRDefault="00F32158" w:rsidP="0055712B">
            <w:pPr>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100.85</w:t>
            </w:r>
          </w:p>
          <w:p w:rsidR="00F32158" w:rsidRPr="004029C5" w:rsidRDefault="00F32158" w:rsidP="0055712B">
            <w:pPr>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116.47</w:t>
            </w:r>
          </w:p>
          <w:p w:rsidR="00F32158" w:rsidRPr="004029C5" w:rsidRDefault="00F32158" w:rsidP="0055712B">
            <w:pPr>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87.12</w:t>
            </w:r>
          </w:p>
          <w:p w:rsidR="00F32158" w:rsidRPr="004029C5" w:rsidRDefault="00F32158" w:rsidP="0055712B">
            <w:pPr>
              <w:widowControl w:val="0"/>
              <w:jc w:val="center"/>
              <w:rPr>
                <w:rFonts w:ascii="Times New Roman" w:hAnsi="Times New Roman"/>
                <w:sz w:val="22"/>
                <w:szCs w:val="22"/>
              </w:rPr>
            </w:pPr>
          </w:p>
        </w:tc>
        <w:tc>
          <w:tcPr>
            <w:tcW w:w="1083" w:type="dxa"/>
          </w:tcPr>
          <w:p w:rsidR="00F32158" w:rsidRPr="004029C5" w:rsidRDefault="00F32158" w:rsidP="0055712B">
            <w:pPr>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114.77</w:t>
            </w:r>
          </w:p>
          <w:p w:rsidR="00F32158" w:rsidRPr="004029C5" w:rsidRDefault="00F32158" w:rsidP="0055712B">
            <w:pPr>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133.78</w:t>
            </w:r>
          </w:p>
          <w:p w:rsidR="00F32158" w:rsidRPr="004029C5" w:rsidRDefault="00F32158" w:rsidP="0055712B">
            <w:pPr>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97.40</w:t>
            </w:r>
          </w:p>
          <w:p w:rsidR="00F32158" w:rsidRPr="004029C5" w:rsidRDefault="00F32158" w:rsidP="0055712B">
            <w:pPr>
              <w:widowControl w:val="0"/>
              <w:jc w:val="center"/>
              <w:rPr>
                <w:rFonts w:ascii="Times New Roman" w:hAnsi="Times New Roman"/>
                <w:sz w:val="22"/>
                <w:szCs w:val="22"/>
              </w:rPr>
            </w:pPr>
          </w:p>
        </w:tc>
        <w:tc>
          <w:tcPr>
            <w:tcW w:w="966" w:type="dxa"/>
          </w:tcPr>
          <w:p w:rsidR="00F32158" w:rsidRPr="004029C5" w:rsidRDefault="00F32158" w:rsidP="0055712B">
            <w:pPr>
              <w:shd w:val="clear" w:color="auto" w:fill="FFFFFF"/>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99.96</w:t>
            </w:r>
          </w:p>
          <w:p w:rsidR="00F32158" w:rsidRPr="004029C5" w:rsidRDefault="00F32158" w:rsidP="0055712B">
            <w:pPr>
              <w:shd w:val="clear" w:color="auto" w:fill="FFFFFF"/>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122.31</w:t>
            </w:r>
          </w:p>
          <w:p w:rsidR="00F32158" w:rsidRPr="004029C5" w:rsidRDefault="00F32158" w:rsidP="0055712B">
            <w:pPr>
              <w:shd w:val="clear" w:color="auto" w:fill="FFFFFF"/>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80.48</w:t>
            </w:r>
          </w:p>
          <w:p w:rsidR="00F32158" w:rsidRPr="004029C5" w:rsidRDefault="00F32158" w:rsidP="0055712B">
            <w:pPr>
              <w:widowControl w:val="0"/>
              <w:jc w:val="center"/>
              <w:rPr>
                <w:rFonts w:ascii="Times New Roman" w:hAnsi="Times New Roman"/>
                <w:sz w:val="22"/>
                <w:szCs w:val="22"/>
              </w:rPr>
            </w:pPr>
          </w:p>
        </w:tc>
        <w:tc>
          <w:tcPr>
            <w:tcW w:w="893" w:type="dxa"/>
          </w:tcPr>
          <w:p w:rsidR="00F32158" w:rsidRPr="004029C5" w:rsidRDefault="00F32158" w:rsidP="0055712B">
            <w:pPr>
              <w:shd w:val="clear" w:color="auto" w:fill="FFFFFF"/>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217.64</w:t>
            </w:r>
          </w:p>
          <w:p w:rsidR="00F32158" w:rsidRPr="004029C5" w:rsidRDefault="00F32158" w:rsidP="0055712B">
            <w:pPr>
              <w:shd w:val="clear" w:color="auto" w:fill="FFFFFF"/>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241.08</w:t>
            </w:r>
          </w:p>
          <w:p w:rsidR="00F32158" w:rsidRPr="004029C5" w:rsidRDefault="00F32158" w:rsidP="0055712B">
            <w:pPr>
              <w:shd w:val="clear" w:color="auto" w:fill="FFFFFF"/>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196.25</w:t>
            </w:r>
          </w:p>
          <w:p w:rsidR="00F32158" w:rsidRPr="004029C5" w:rsidRDefault="00F32158" w:rsidP="0055712B">
            <w:pPr>
              <w:widowControl w:val="0"/>
              <w:jc w:val="center"/>
              <w:rPr>
                <w:rFonts w:ascii="Times New Roman" w:hAnsi="Times New Roman"/>
                <w:sz w:val="22"/>
                <w:szCs w:val="22"/>
              </w:rPr>
            </w:pPr>
          </w:p>
        </w:tc>
        <w:tc>
          <w:tcPr>
            <w:tcW w:w="1079" w:type="dxa"/>
          </w:tcPr>
          <w:p w:rsidR="00F32158" w:rsidRPr="004029C5" w:rsidRDefault="00F32158" w:rsidP="0055712B">
            <w:pPr>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317.35</w:t>
            </w:r>
          </w:p>
          <w:p w:rsidR="00F32158" w:rsidRPr="004029C5" w:rsidRDefault="00F32158" w:rsidP="0055712B">
            <w:pPr>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378.88</w:t>
            </w:r>
          </w:p>
          <w:p w:rsidR="00F32158" w:rsidRPr="004029C5" w:rsidRDefault="00F32158" w:rsidP="0055712B">
            <w:pPr>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256.70</w:t>
            </w:r>
          </w:p>
          <w:p w:rsidR="00F32158" w:rsidRPr="004029C5" w:rsidRDefault="00F32158" w:rsidP="0055712B">
            <w:pPr>
              <w:widowControl w:val="0"/>
              <w:jc w:val="center"/>
              <w:rPr>
                <w:rFonts w:ascii="Times New Roman" w:hAnsi="Times New Roman"/>
                <w:sz w:val="22"/>
                <w:szCs w:val="22"/>
                <w:highlight w:val="yellow"/>
              </w:rPr>
            </w:pPr>
          </w:p>
        </w:tc>
      </w:tr>
      <w:tr w:rsidR="00F32158" w:rsidRPr="004029C5" w:rsidTr="004029C5">
        <w:trPr>
          <w:jc w:val="center"/>
        </w:trPr>
        <w:tc>
          <w:tcPr>
            <w:tcW w:w="789" w:type="dxa"/>
          </w:tcPr>
          <w:p w:rsidR="00F32158" w:rsidRPr="004029C5" w:rsidRDefault="00F32158" w:rsidP="004029C5">
            <w:pPr>
              <w:widowControl w:val="0"/>
              <w:jc w:val="center"/>
              <w:rPr>
                <w:rFonts w:ascii="Times New Roman" w:hAnsi="Times New Roman"/>
                <w:sz w:val="22"/>
                <w:szCs w:val="22"/>
              </w:rPr>
            </w:pPr>
            <w:r w:rsidRPr="004029C5">
              <w:rPr>
                <w:rFonts w:ascii="Times New Roman" w:hAnsi="Times New Roman"/>
                <w:sz w:val="22"/>
                <w:szCs w:val="22"/>
              </w:rPr>
              <w:t>2016</w:t>
            </w:r>
          </w:p>
        </w:tc>
        <w:tc>
          <w:tcPr>
            <w:tcW w:w="1081" w:type="dxa"/>
          </w:tcPr>
          <w:p w:rsidR="00F32158" w:rsidRPr="004029C5" w:rsidRDefault="00F32158" w:rsidP="0055712B">
            <w:pPr>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147.66</w:t>
            </w:r>
          </w:p>
          <w:p w:rsidR="00F32158" w:rsidRPr="004029C5" w:rsidRDefault="00F32158" w:rsidP="0055712B">
            <w:pPr>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162.80</w:t>
            </w:r>
          </w:p>
          <w:p w:rsidR="00F32158" w:rsidRPr="004029C5" w:rsidRDefault="00F32158" w:rsidP="0055712B">
            <w:pPr>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133.42</w:t>
            </w:r>
          </w:p>
          <w:p w:rsidR="00F32158" w:rsidRPr="004029C5" w:rsidRDefault="00F32158" w:rsidP="0055712B">
            <w:pPr>
              <w:widowControl w:val="0"/>
              <w:jc w:val="center"/>
              <w:rPr>
                <w:rFonts w:ascii="Times New Roman" w:hAnsi="Times New Roman"/>
                <w:sz w:val="22"/>
                <w:szCs w:val="22"/>
              </w:rPr>
            </w:pPr>
          </w:p>
        </w:tc>
        <w:tc>
          <w:tcPr>
            <w:tcW w:w="1440" w:type="dxa"/>
          </w:tcPr>
          <w:p w:rsidR="00F32158" w:rsidRPr="004029C5" w:rsidRDefault="00F32158" w:rsidP="0055712B">
            <w:pPr>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242.50</w:t>
            </w:r>
          </w:p>
          <w:p w:rsidR="00F32158" w:rsidRPr="004029C5" w:rsidRDefault="00F32158" w:rsidP="0055712B">
            <w:pPr>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266.20</w:t>
            </w:r>
          </w:p>
          <w:p w:rsidR="00F32158" w:rsidRPr="004029C5" w:rsidRDefault="00F32158" w:rsidP="0055712B">
            <w:pPr>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220.26</w:t>
            </w:r>
          </w:p>
          <w:p w:rsidR="00F32158" w:rsidRPr="004029C5" w:rsidRDefault="00F32158" w:rsidP="0055712B">
            <w:pPr>
              <w:widowControl w:val="0"/>
              <w:jc w:val="center"/>
              <w:rPr>
                <w:rFonts w:ascii="Times New Roman" w:hAnsi="Times New Roman"/>
                <w:sz w:val="22"/>
                <w:szCs w:val="22"/>
              </w:rPr>
            </w:pPr>
          </w:p>
        </w:tc>
        <w:tc>
          <w:tcPr>
            <w:tcW w:w="1237" w:type="dxa"/>
          </w:tcPr>
          <w:p w:rsidR="00F32158" w:rsidRPr="004029C5" w:rsidRDefault="00F32158" w:rsidP="0055712B">
            <w:pPr>
              <w:shd w:val="clear" w:color="auto" w:fill="FFFFFF"/>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159.58</w:t>
            </w:r>
          </w:p>
          <w:p w:rsidR="00F32158" w:rsidRPr="004029C5" w:rsidRDefault="00F32158" w:rsidP="0055712B">
            <w:pPr>
              <w:shd w:val="clear" w:color="auto" w:fill="FFFFFF"/>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179.44</w:t>
            </w:r>
          </w:p>
          <w:p w:rsidR="00F32158" w:rsidRPr="004029C5" w:rsidRDefault="00F32158" w:rsidP="0055712B">
            <w:pPr>
              <w:shd w:val="clear" w:color="auto" w:fill="FFFFFF"/>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139.60</w:t>
            </w:r>
          </w:p>
          <w:p w:rsidR="00F32158" w:rsidRPr="004029C5" w:rsidRDefault="00F32158" w:rsidP="0055712B">
            <w:pPr>
              <w:widowControl w:val="0"/>
              <w:jc w:val="center"/>
              <w:rPr>
                <w:rFonts w:ascii="Times New Roman" w:hAnsi="Times New Roman"/>
                <w:sz w:val="22"/>
                <w:szCs w:val="22"/>
              </w:rPr>
            </w:pPr>
          </w:p>
        </w:tc>
        <w:tc>
          <w:tcPr>
            <w:tcW w:w="1337" w:type="dxa"/>
          </w:tcPr>
          <w:p w:rsidR="00F32158" w:rsidRPr="004029C5" w:rsidRDefault="00F32158" w:rsidP="0055712B">
            <w:pPr>
              <w:shd w:val="clear" w:color="auto" w:fill="FFFFFF"/>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104.08</w:t>
            </w:r>
          </w:p>
          <w:p w:rsidR="00F32158" w:rsidRPr="004029C5" w:rsidRDefault="00F32158" w:rsidP="0055712B">
            <w:pPr>
              <w:shd w:val="clear" w:color="auto" w:fill="FFFFFF"/>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125.45</w:t>
            </w:r>
          </w:p>
          <w:p w:rsidR="00F32158" w:rsidRPr="004029C5" w:rsidRDefault="00F32158" w:rsidP="0055712B">
            <w:pPr>
              <w:shd w:val="clear" w:color="auto" w:fill="FFFFFF"/>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85.34</w:t>
            </w:r>
          </w:p>
          <w:p w:rsidR="00F32158" w:rsidRPr="004029C5" w:rsidRDefault="00F32158" w:rsidP="0055712B">
            <w:pPr>
              <w:widowControl w:val="0"/>
              <w:jc w:val="center"/>
              <w:rPr>
                <w:rFonts w:ascii="Times New Roman" w:hAnsi="Times New Roman"/>
                <w:sz w:val="22"/>
                <w:szCs w:val="22"/>
              </w:rPr>
            </w:pPr>
          </w:p>
        </w:tc>
        <w:tc>
          <w:tcPr>
            <w:tcW w:w="1083" w:type="dxa"/>
          </w:tcPr>
          <w:p w:rsidR="00F32158" w:rsidRPr="004029C5" w:rsidRDefault="00F32158" w:rsidP="0055712B">
            <w:pPr>
              <w:shd w:val="clear" w:color="auto" w:fill="FFFFFF"/>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112.51</w:t>
            </w:r>
          </w:p>
          <w:p w:rsidR="00F32158" w:rsidRPr="004029C5" w:rsidRDefault="00F32158" w:rsidP="0055712B">
            <w:pPr>
              <w:shd w:val="clear" w:color="auto" w:fill="FFFFFF"/>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135.00</w:t>
            </w:r>
          </w:p>
          <w:p w:rsidR="00F32158" w:rsidRPr="004029C5" w:rsidRDefault="00F32158" w:rsidP="0055712B">
            <w:pPr>
              <w:shd w:val="clear" w:color="auto" w:fill="FFFFFF"/>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93.24</w:t>
            </w:r>
          </w:p>
          <w:p w:rsidR="00F32158" w:rsidRPr="004029C5" w:rsidRDefault="00F32158" w:rsidP="0055712B">
            <w:pPr>
              <w:widowControl w:val="0"/>
              <w:jc w:val="center"/>
              <w:rPr>
                <w:rFonts w:ascii="Times New Roman" w:hAnsi="Times New Roman"/>
                <w:sz w:val="22"/>
                <w:szCs w:val="22"/>
              </w:rPr>
            </w:pPr>
          </w:p>
        </w:tc>
        <w:tc>
          <w:tcPr>
            <w:tcW w:w="966" w:type="dxa"/>
          </w:tcPr>
          <w:p w:rsidR="00F32158" w:rsidRPr="004029C5" w:rsidRDefault="00F32158" w:rsidP="0055712B">
            <w:pPr>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100.27</w:t>
            </w:r>
          </w:p>
          <w:p w:rsidR="00F32158" w:rsidRPr="004029C5" w:rsidRDefault="00F32158" w:rsidP="0055712B">
            <w:pPr>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124.87</w:t>
            </w:r>
          </w:p>
          <w:p w:rsidR="00F32158" w:rsidRPr="004029C5" w:rsidRDefault="00F32158" w:rsidP="0055712B">
            <w:pPr>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77.64</w:t>
            </w:r>
          </w:p>
          <w:p w:rsidR="00F32158" w:rsidRPr="004029C5" w:rsidRDefault="00F32158" w:rsidP="0055712B">
            <w:pPr>
              <w:widowControl w:val="0"/>
              <w:jc w:val="center"/>
              <w:rPr>
                <w:rFonts w:ascii="Times New Roman" w:hAnsi="Times New Roman"/>
                <w:sz w:val="22"/>
                <w:szCs w:val="22"/>
              </w:rPr>
            </w:pPr>
          </w:p>
        </w:tc>
        <w:tc>
          <w:tcPr>
            <w:tcW w:w="893" w:type="dxa"/>
          </w:tcPr>
          <w:p w:rsidR="00F32158" w:rsidRPr="004029C5" w:rsidRDefault="00F32158" w:rsidP="0055712B">
            <w:pPr>
              <w:shd w:val="clear" w:color="auto" w:fill="FFFFFF"/>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218.63</w:t>
            </w:r>
          </w:p>
          <w:p w:rsidR="00F32158" w:rsidRPr="004029C5" w:rsidRDefault="00F32158" w:rsidP="0055712B">
            <w:pPr>
              <w:shd w:val="clear" w:color="auto" w:fill="FFFFFF"/>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238.79</w:t>
            </w:r>
          </w:p>
          <w:p w:rsidR="00F32158" w:rsidRPr="004029C5" w:rsidRDefault="00F32158" w:rsidP="0055712B">
            <w:pPr>
              <w:shd w:val="clear" w:color="auto" w:fill="FFFFFF"/>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197.75</w:t>
            </w:r>
          </w:p>
          <w:p w:rsidR="00F32158" w:rsidRPr="004029C5" w:rsidRDefault="00F32158" w:rsidP="0055712B">
            <w:pPr>
              <w:widowControl w:val="0"/>
              <w:jc w:val="center"/>
              <w:rPr>
                <w:rFonts w:ascii="Times New Roman" w:hAnsi="Times New Roman"/>
                <w:sz w:val="22"/>
                <w:szCs w:val="22"/>
              </w:rPr>
            </w:pPr>
          </w:p>
        </w:tc>
        <w:tc>
          <w:tcPr>
            <w:tcW w:w="1079" w:type="dxa"/>
          </w:tcPr>
          <w:p w:rsidR="00F32158" w:rsidRPr="004029C5" w:rsidRDefault="00F32158" w:rsidP="0055712B">
            <w:pPr>
              <w:shd w:val="clear" w:color="auto" w:fill="FFFFFF"/>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309.85</w:t>
            </w:r>
          </w:p>
          <w:p w:rsidR="00F32158" w:rsidRPr="004029C5" w:rsidRDefault="00F32158" w:rsidP="0055712B">
            <w:pPr>
              <w:shd w:val="clear" w:color="auto" w:fill="FFFFFF"/>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373.30</w:t>
            </w:r>
          </w:p>
          <w:p w:rsidR="00F32158" w:rsidRPr="004029C5" w:rsidRDefault="00F32158" w:rsidP="0055712B">
            <w:pPr>
              <w:shd w:val="clear" w:color="auto" w:fill="FFFFFF"/>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246.76</w:t>
            </w:r>
          </w:p>
          <w:p w:rsidR="00F32158" w:rsidRPr="004029C5" w:rsidRDefault="00F32158" w:rsidP="0055712B">
            <w:pPr>
              <w:widowControl w:val="0"/>
              <w:jc w:val="center"/>
              <w:rPr>
                <w:rFonts w:ascii="Times New Roman" w:hAnsi="Times New Roman"/>
                <w:sz w:val="22"/>
                <w:szCs w:val="22"/>
                <w:highlight w:val="yellow"/>
              </w:rPr>
            </w:pPr>
          </w:p>
        </w:tc>
      </w:tr>
      <w:tr w:rsidR="00F32158" w:rsidRPr="004029C5" w:rsidTr="004029C5">
        <w:trPr>
          <w:jc w:val="center"/>
        </w:trPr>
        <w:tc>
          <w:tcPr>
            <w:tcW w:w="789" w:type="dxa"/>
          </w:tcPr>
          <w:p w:rsidR="00F32158" w:rsidRPr="004029C5" w:rsidRDefault="00F32158" w:rsidP="004029C5">
            <w:pPr>
              <w:widowControl w:val="0"/>
              <w:jc w:val="center"/>
              <w:rPr>
                <w:rFonts w:ascii="Times New Roman" w:hAnsi="Times New Roman"/>
                <w:sz w:val="22"/>
                <w:szCs w:val="22"/>
              </w:rPr>
            </w:pPr>
            <w:r w:rsidRPr="004029C5">
              <w:rPr>
                <w:rFonts w:ascii="Times New Roman" w:hAnsi="Times New Roman"/>
                <w:sz w:val="22"/>
                <w:szCs w:val="22"/>
              </w:rPr>
              <w:t>2017</w:t>
            </w:r>
          </w:p>
        </w:tc>
        <w:tc>
          <w:tcPr>
            <w:tcW w:w="1081" w:type="dxa"/>
          </w:tcPr>
          <w:p w:rsidR="00F32158" w:rsidRPr="004029C5" w:rsidRDefault="00F32158" w:rsidP="0055712B">
            <w:pPr>
              <w:shd w:val="clear" w:color="auto" w:fill="FFFFFF"/>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138.20</w:t>
            </w:r>
          </w:p>
          <w:p w:rsidR="00F32158" w:rsidRPr="004029C5" w:rsidRDefault="00F32158" w:rsidP="0055712B">
            <w:pPr>
              <w:shd w:val="clear" w:color="auto" w:fill="FFFFFF"/>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162.54</w:t>
            </w:r>
          </w:p>
          <w:p w:rsidR="00F32158" w:rsidRPr="004029C5" w:rsidRDefault="00F32158" w:rsidP="0055712B">
            <w:pPr>
              <w:shd w:val="clear" w:color="auto" w:fill="FFFFFF"/>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118.08</w:t>
            </w:r>
          </w:p>
          <w:p w:rsidR="00F32158" w:rsidRPr="004029C5" w:rsidRDefault="00F32158" w:rsidP="0055712B">
            <w:pPr>
              <w:widowControl w:val="0"/>
              <w:jc w:val="center"/>
              <w:rPr>
                <w:rFonts w:ascii="Times New Roman" w:hAnsi="Times New Roman"/>
                <w:sz w:val="22"/>
                <w:szCs w:val="22"/>
              </w:rPr>
            </w:pPr>
          </w:p>
        </w:tc>
        <w:tc>
          <w:tcPr>
            <w:tcW w:w="1440" w:type="dxa"/>
          </w:tcPr>
          <w:p w:rsidR="00F32158" w:rsidRPr="004029C5" w:rsidRDefault="00F32158" w:rsidP="0055712B">
            <w:pPr>
              <w:shd w:val="clear" w:color="auto" w:fill="FFFFFF"/>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225.76</w:t>
            </w:r>
          </w:p>
          <w:p w:rsidR="00F32158" w:rsidRPr="004029C5" w:rsidRDefault="00F32158" w:rsidP="0055712B">
            <w:pPr>
              <w:shd w:val="clear" w:color="auto" w:fill="FFFFFF"/>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263.55</w:t>
            </w:r>
          </w:p>
          <w:p w:rsidR="00F32158" w:rsidRPr="004029C5" w:rsidRDefault="00F32158" w:rsidP="0055712B">
            <w:pPr>
              <w:shd w:val="clear" w:color="auto" w:fill="FFFFFF"/>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192.44</w:t>
            </w:r>
          </w:p>
          <w:p w:rsidR="00F32158" w:rsidRPr="004029C5" w:rsidRDefault="00F32158" w:rsidP="0055712B">
            <w:pPr>
              <w:widowControl w:val="0"/>
              <w:jc w:val="center"/>
              <w:rPr>
                <w:rFonts w:ascii="Times New Roman" w:hAnsi="Times New Roman"/>
                <w:sz w:val="22"/>
                <w:szCs w:val="22"/>
              </w:rPr>
            </w:pPr>
          </w:p>
        </w:tc>
        <w:tc>
          <w:tcPr>
            <w:tcW w:w="1237" w:type="dxa"/>
          </w:tcPr>
          <w:p w:rsidR="00F32158" w:rsidRPr="004029C5" w:rsidRDefault="00F32158" w:rsidP="0055712B">
            <w:pPr>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146.94</w:t>
            </w:r>
          </w:p>
          <w:p w:rsidR="00F32158" w:rsidRPr="004029C5" w:rsidRDefault="00F32158" w:rsidP="0055712B">
            <w:pPr>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167.35</w:t>
            </w:r>
          </w:p>
          <w:p w:rsidR="00F32158" w:rsidRPr="004029C5" w:rsidRDefault="00F32158" w:rsidP="0055712B">
            <w:pPr>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128.13</w:t>
            </w:r>
          </w:p>
          <w:p w:rsidR="00F32158" w:rsidRPr="004029C5" w:rsidRDefault="00F32158" w:rsidP="0055712B">
            <w:pPr>
              <w:widowControl w:val="0"/>
              <w:jc w:val="center"/>
              <w:rPr>
                <w:rFonts w:ascii="Times New Roman" w:hAnsi="Times New Roman"/>
                <w:sz w:val="22"/>
                <w:szCs w:val="22"/>
              </w:rPr>
            </w:pPr>
          </w:p>
        </w:tc>
        <w:tc>
          <w:tcPr>
            <w:tcW w:w="1337" w:type="dxa"/>
          </w:tcPr>
          <w:p w:rsidR="00F32158" w:rsidRPr="004029C5" w:rsidRDefault="00F32158" w:rsidP="0055712B">
            <w:pPr>
              <w:shd w:val="clear" w:color="auto" w:fill="FFFFFF"/>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94.50</w:t>
            </w:r>
          </w:p>
          <w:p w:rsidR="00F32158" w:rsidRPr="004029C5" w:rsidRDefault="00F32158" w:rsidP="0055712B">
            <w:pPr>
              <w:shd w:val="clear" w:color="auto" w:fill="FFFFFF"/>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110.31</w:t>
            </w:r>
          </w:p>
          <w:p w:rsidR="00F32158" w:rsidRPr="004029C5" w:rsidRDefault="00F32158" w:rsidP="0055712B">
            <w:pPr>
              <w:shd w:val="clear" w:color="auto" w:fill="FFFFFF"/>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79.03</w:t>
            </w:r>
          </w:p>
          <w:p w:rsidR="00F32158" w:rsidRPr="004029C5" w:rsidRDefault="00F32158" w:rsidP="0055712B">
            <w:pPr>
              <w:widowControl w:val="0"/>
              <w:jc w:val="center"/>
              <w:rPr>
                <w:rFonts w:ascii="Times New Roman" w:hAnsi="Times New Roman"/>
                <w:sz w:val="22"/>
                <w:szCs w:val="22"/>
              </w:rPr>
            </w:pPr>
          </w:p>
        </w:tc>
        <w:tc>
          <w:tcPr>
            <w:tcW w:w="1083" w:type="dxa"/>
          </w:tcPr>
          <w:p w:rsidR="00F32158" w:rsidRPr="004029C5" w:rsidRDefault="00F32158" w:rsidP="0055712B">
            <w:pPr>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106.52</w:t>
            </w:r>
          </w:p>
          <w:p w:rsidR="00F32158" w:rsidRPr="004029C5" w:rsidRDefault="00F32158" w:rsidP="0055712B">
            <w:pPr>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128.85</w:t>
            </w:r>
          </w:p>
          <w:p w:rsidR="00F32158" w:rsidRPr="004029C5" w:rsidRDefault="00F32158" w:rsidP="0055712B">
            <w:pPr>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87.80</w:t>
            </w:r>
          </w:p>
          <w:p w:rsidR="00F32158" w:rsidRPr="004029C5" w:rsidRDefault="00F32158" w:rsidP="0055712B">
            <w:pPr>
              <w:widowControl w:val="0"/>
              <w:jc w:val="center"/>
              <w:rPr>
                <w:rFonts w:ascii="Times New Roman" w:hAnsi="Times New Roman"/>
                <w:sz w:val="22"/>
                <w:szCs w:val="22"/>
              </w:rPr>
            </w:pPr>
          </w:p>
        </w:tc>
        <w:tc>
          <w:tcPr>
            <w:tcW w:w="966" w:type="dxa"/>
          </w:tcPr>
          <w:p w:rsidR="00F32158" w:rsidRPr="004029C5" w:rsidRDefault="00F32158" w:rsidP="0055712B">
            <w:pPr>
              <w:shd w:val="clear" w:color="auto" w:fill="FFFFFF"/>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97.12</w:t>
            </w:r>
          </w:p>
          <w:p w:rsidR="00F32158" w:rsidRPr="004029C5" w:rsidRDefault="00F32158" w:rsidP="0055712B">
            <w:pPr>
              <w:shd w:val="clear" w:color="auto" w:fill="FFFFFF"/>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124.70</w:t>
            </w:r>
          </w:p>
          <w:p w:rsidR="00F32158" w:rsidRPr="004029C5" w:rsidRDefault="00F32158" w:rsidP="0055712B">
            <w:pPr>
              <w:shd w:val="clear" w:color="auto" w:fill="FFFFFF"/>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73.82</w:t>
            </w:r>
          </w:p>
          <w:p w:rsidR="00F32158" w:rsidRPr="004029C5" w:rsidRDefault="00F32158" w:rsidP="0055712B">
            <w:pPr>
              <w:widowControl w:val="0"/>
              <w:jc w:val="center"/>
              <w:rPr>
                <w:rFonts w:ascii="Times New Roman" w:hAnsi="Times New Roman"/>
                <w:sz w:val="22"/>
                <w:szCs w:val="22"/>
              </w:rPr>
            </w:pPr>
          </w:p>
        </w:tc>
        <w:tc>
          <w:tcPr>
            <w:tcW w:w="893" w:type="dxa"/>
          </w:tcPr>
          <w:p w:rsidR="00F32158" w:rsidRPr="004029C5" w:rsidRDefault="00F32158" w:rsidP="0055712B">
            <w:pPr>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214.54</w:t>
            </w:r>
          </w:p>
          <w:p w:rsidR="00F32158" w:rsidRPr="004029C5" w:rsidRDefault="00F32158" w:rsidP="0055712B">
            <w:pPr>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231.20</w:t>
            </w:r>
          </w:p>
          <w:p w:rsidR="00F32158" w:rsidRPr="004029C5" w:rsidRDefault="00F32158" w:rsidP="0055712B">
            <w:pPr>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198.12</w:t>
            </w:r>
          </w:p>
          <w:p w:rsidR="00F32158" w:rsidRPr="004029C5" w:rsidRDefault="00F32158" w:rsidP="0055712B">
            <w:pPr>
              <w:widowControl w:val="0"/>
              <w:jc w:val="center"/>
              <w:rPr>
                <w:rFonts w:ascii="Times New Roman" w:hAnsi="Times New Roman"/>
                <w:sz w:val="22"/>
                <w:szCs w:val="22"/>
              </w:rPr>
            </w:pPr>
          </w:p>
        </w:tc>
        <w:tc>
          <w:tcPr>
            <w:tcW w:w="1079" w:type="dxa"/>
          </w:tcPr>
          <w:p w:rsidR="00F32158" w:rsidRPr="004029C5" w:rsidRDefault="00F32158" w:rsidP="0055712B">
            <w:pPr>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297.43</w:t>
            </w:r>
          </w:p>
          <w:p w:rsidR="00F32158" w:rsidRPr="004029C5" w:rsidRDefault="00F32158" w:rsidP="0055712B">
            <w:pPr>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366.89</w:t>
            </w:r>
          </w:p>
          <w:p w:rsidR="00F32158" w:rsidRPr="004029C5" w:rsidRDefault="00F32158" w:rsidP="0055712B">
            <w:pPr>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230.70</w:t>
            </w:r>
          </w:p>
          <w:p w:rsidR="00F32158" w:rsidRPr="004029C5" w:rsidRDefault="00F32158" w:rsidP="0055712B">
            <w:pPr>
              <w:widowControl w:val="0"/>
              <w:jc w:val="center"/>
              <w:rPr>
                <w:rFonts w:ascii="Times New Roman" w:hAnsi="Times New Roman"/>
                <w:sz w:val="22"/>
                <w:szCs w:val="22"/>
                <w:highlight w:val="yellow"/>
              </w:rPr>
            </w:pPr>
          </w:p>
        </w:tc>
      </w:tr>
      <w:tr w:rsidR="00F32158" w:rsidRPr="004029C5" w:rsidTr="004029C5">
        <w:trPr>
          <w:jc w:val="center"/>
        </w:trPr>
        <w:tc>
          <w:tcPr>
            <w:tcW w:w="789" w:type="dxa"/>
          </w:tcPr>
          <w:p w:rsidR="00F32158" w:rsidRPr="004029C5" w:rsidRDefault="00F32158" w:rsidP="004029C5">
            <w:pPr>
              <w:widowControl w:val="0"/>
              <w:jc w:val="center"/>
              <w:rPr>
                <w:rFonts w:ascii="Times New Roman" w:hAnsi="Times New Roman"/>
                <w:sz w:val="22"/>
                <w:szCs w:val="22"/>
              </w:rPr>
            </w:pPr>
            <w:r w:rsidRPr="004029C5">
              <w:rPr>
                <w:rFonts w:ascii="Times New Roman" w:hAnsi="Times New Roman"/>
                <w:sz w:val="22"/>
                <w:szCs w:val="22"/>
              </w:rPr>
              <w:t>2018</w:t>
            </w:r>
          </w:p>
        </w:tc>
        <w:tc>
          <w:tcPr>
            <w:tcW w:w="1081" w:type="dxa"/>
          </w:tcPr>
          <w:p w:rsidR="00F32158" w:rsidRPr="004029C5" w:rsidRDefault="00F32158" w:rsidP="0055712B">
            <w:pPr>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130.64</w:t>
            </w:r>
          </w:p>
          <w:p w:rsidR="00F32158" w:rsidRPr="004029C5" w:rsidRDefault="00F32158" w:rsidP="0055712B">
            <w:pPr>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164.06</w:t>
            </w:r>
          </w:p>
          <w:p w:rsidR="00F32158" w:rsidRPr="004029C5" w:rsidRDefault="00F32158" w:rsidP="0055712B">
            <w:pPr>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102.97</w:t>
            </w:r>
          </w:p>
          <w:p w:rsidR="00F32158" w:rsidRPr="004029C5" w:rsidRDefault="00F32158" w:rsidP="0055712B">
            <w:pPr>
              <w:widowControl w:val="0"/>
              <w:jc w:val="center"/>
              <w:rPr>
                <w:rFonts w:ascii="Times New Roman" w:hAnsi="Times New Roman"/>
                <w:sz w:val="22"/>
                <w:szCs w:val="22"/>
              </w:rPr>
            </w:pPr>
          </w:p>
        </w:tc>
        <w:tc>
          <w:tcPr>
            <w:tcW w:w="1440" w:type="dxa"/>
          </w:tcPr>
          <w:p w:rsidR="00F32158" w:rsidRPr="004029C5" w:rsidRDefault="00F32158" w:rsidP="0055712B">
            <w:pPr>
              <w:shd w:val="clear" w:color="auto" w:fill="FFFFFF"/>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214.86</w:t>
            </w:r>
          </w:p>
          <w:p w:rsidR="00F32158" w:rsidRPr="004029C5" w:rsidRDefault="00F32158" w:rsidP="0055712B">
            <w:pPr>
              <w:shd w:val="clear" w:color="auto" w:fill="FFFFFF"/>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261.12</w:t>
            </w:r>
          </w:p>
          <w:p w:rsidR="00F32158" w:rsidRPr="004029C5" w:rsidRDefault="00F32158" w:rsidP="0055712B">
            <w:pPr>
              <w:shd w:val="clear" w:color="auto" w:fill="FFFFFF"/>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172.95</w:t>
            </w:r>
          </w:p>
          <w:p w:rsidR="00F32158" w:rsidRPr="004029C5" w:rsidRDefault="00F32158" w:rsidP="0055712B">
            <w:pPr>
              <w:widowControl w:val="0"/>
              <w:jc w:val="center"/>
              <w:rPr>
                <w:rFonts w:ascii="Times New Roman" w:hAnsi="Times New Roman"/>
                <w:sz w:val="22"/>
                <w:szCs w:val="22"/>
              </w:rPr>
            </w:pPr>
          </w:p>
        </w:tc>
        <w:tc>
          <w:tcPr>
            <w:tcW w:w="1237" w:type="dxa"/>
          </w:tcPr>
          <w:p w:rsidR="00F32158" w:rsidRPr="004029C5" w:rsidRDefault="00F32158" w:rsidP="0055712B">
            <w:pPr>
              <w:shd w:val="clear" w:color="auto" w:fill="FFFFFF"/>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140.53</w:t>
            </w:r>
          </w:p>
          <w:p w:rsidR="00F32158" w:rsidRPr="004029C5" w:rsidRDefault="00F32158" w:rsidP="0055712B">
            <w:pPr>
              <w:shd w:val="clear" w:color="auto" w:fill="FFFFFF"/>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166.27</w:t>
            </w:r>
          </w:p>
          <w:p w:rsidR="00F32158" w:rsidRPr="004029C5" w:rsidRDefault="00F32158" w:rsidP="0055712B">
            <w:pPr>
              <w:shd w:val="clear" w:color="auto" w:fill="FFFFFF"/>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117.54</w:t>
            </w:r>
          </w:p>
          <w:p w:rsidR="00F32158" w:rsidRPr="004029C5" w:rsidRDefault="00F32158" w:rsidP="0055712B">
            <w:pPr>
              <w:widowControl w:val="0"/>
              <w:jc w:val="center"/>
              <w:rPr>
                <w:rFonts w:ascii="Times New Roman" w:hAnsi="Times New Roman"/>
                <w:sz w:val="22"/>
                <w:szCs w:val="22"/>
              </w:rPr>
            </w:pPr>
          </w:p>
        </w:tc>
        <w:tc>
          <w:tcPr>
            <w:tcW w:w="1337" w:type="dxa"/>
          </w:tcPr>
          <w:p w:rsidR="00F32158" w:rsidRPr="004029C5" w:rsidRDefault="00F32158" w:rsidP="0055712B">
            <w:pPr>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90.39</w:t>
            </w:r>
          </w:p>
          <w:p w:rsidR="00F32158" w:rsidRPr="004029C5" w:rsidRDefault="00F32158" w:rsidP="0055712B">
            <w:pPr>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101.89</w:t>
            </w:r>
          </w:p>
          <w:p w:rsidR="00F32158" w:rsidRPr="004029C5" w:rsidRDefault="00F32158" w:rsidP="0055712B">
            <w:pPr>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80.30</w:t>
            </w:r>
          </w:p>
          <w:p w:rsidR="00F32158" w:rsidRPr="004029C5" w:rsidRDefault="00F32158" w:rsidP="0055712B">
            <w:pPr>
              <w:widowControl w:val="0"/>
              <w:jc w:val="center"/>
              <w:rPr>
                <w:rFonts w:ascii="Times New Roman" w:hAnsi="Times New Roman"/>
                <w:sz w:val="22"/>
                <w:szCs w:val="22"/>
              </w:rPr>
            </w:pPr>
          </w:p>
        </w:tc>
        <w:tc>
          <w:tcPr>
            <w:tcW w:w="1083" w:type="dxa"/>
          </w:tcPr>
          <w:p w:rsidR="00F32158" w:rsidRPr="004029C5" w:rsidRDefault="00F32158" w:rsidP="0055712B">
            <w:pPr>
              <w:shd w:val="clear" w:color="auto" w:fill="FFFFFF"/>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102.91</w:t>
            </w:r>
          </w:p>
          <w:p w:rsidR="00F32158" w:rsidRPr="004029C5" w:rsidRDefault="00F32158" w:rsidP="0055712B">
            <w:pPr>
              <w:shd w:val="clear" w:color="auto" w:fill="FFFFFF"/>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118.18</w:t>
            </w:r>
          </w:p>
          <w:p w:rsidR="00F32158" w:rsidRPr="004029C5" w:rsidRDefault="00F32158" w:rsidP="0055712B">
            <w:pPr>
              <w:shd w:val="clear" w:color="auto" w:fill="FFFFFF"/>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87.32</w:t>
            </w:r>
          </w:p>
          <w:p w:rsidR="00F32158" w:rsidRPr="004029C5" w:rsidRDefault="00F32158" w:rsidP="0055712B">
            <w:pPr>
              <w:widowControl w:val="0"/>
              <w:jc w:val="center"/>
              <w:rPr>
                <w:rFonts w:ascii="Times New Roman" w:hAnsi="Times New Roman"/>
                <w:sz w:val="22"/>
                <w:szCs w:val="22"/>
              </w:rPr>
            </w:pPr>
          </w:p>
        </w:tc>
        <w:tc>
          <w:tcPr>
            <w:tcW w:w="966" w:type="dxa"/>
          </w:tcPr>
          <w:p w:rsidR="00F32158" w:rsidRPr="004029C5" w:rsidRDefault="00F32158" w:rsidP="0055712B">
            <w:pPr>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94.22</w:t>
            </w:r>
          </w:p>
          <w:p w:rsidR="00F32158" w:rsidRPr="004029C5" w:rsidRDefault="00F32158" w:rsidP="0055712B">
            <w:pPr>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122.36</w:t>
            </w:r>
          </w:p>
          <w:p w:rsidR="00F32158" w:rsidRPr="004029C5" w:rsidRDefault="00F32158" w:rsidP="0055712B">
            <w:pPr>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70.20</w:t>
            </w:r>
          </w:p>
          <w:p w:rsidR="00F32158" w:rsidRPr="004029C5" w:rsidRDefault="00F32158" w:rsidP="0055712B">
            <w:pPr>
              <w:widowControl w:val="0"/>
              <w:jc w:val="center"/>
              <w:rPr>
                <w:rFonts w:ascii="Times New Roman" w:hAnsi="Times New Roman"/>
                <w:sz w:val="22"/>
                <w:szCs w:val="22"/>
              </w:rPr>
            </w:pPr>
          </w:p>
        </w:tc>
        <w:tc>
          <w:tcPr>
            <w:tcW w:w="893" w:type="dxa"/>
          </w:tcPr>
          <w:p w:rsidR="00F32158" w:rsidRPr="004029C5" w:rsidRDefault="00F32158" w:rsidP="0055712B">
            <w:pPr>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207.66</w:t>
            </w:r>
          </w:p>
          <w:p w:rsidR="00F32158" w:rsidRPr="004029C5" w:rsidRDefault="00F32158" w:rsidP="0055712B">
            <w:pPr>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220.33</w:t>
            </w:r>
          </w:p>
          <w:p w:rsidR="00F32158" w:rsidRPr="004029C5" w:rsidRDefault="00F32158" w:rsidP="0055712B">
            <w:pPr>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194.73</w:t>
            </w:r>
          </w:p>
          <w:p w:rsidR="00F32158" w:rsidRPr="004029C5" w:rsidRDefault="00F32158" w:rsidP="0055712B">
            <w:pPr>
              <w:widowControl w:val="0"/>
              <w:jc w:val="center"/>
              <w:rPr>
                <w:rFonts w:ascii="Times New Roman" w:hAnsi="Times New Roman"/>
                <w:sz w:val="22"/>
                <w:szCs w:val="22"/>
              </w:rPr>
            </w:pPr>
          </w:p>
        </w:tc>
        <w:tc>
          <w:tcPr>
            <w:tcW w:w="1079" w:type="dxa"/>
          </w:tcPr>
          <w:p w:rsidR="00F32158" w:rsidRPr="004029C5" w:rsidRDefault="00F32158" w:rsidP="0055712B">
            <w:pPr>
              <w:shd w:val="clear" w:color="auto" w:fill="FFFFFF"/>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289.19</w:t>
            </w:r>
          </w:p>
          <w:p w:rsidR="00F32158" w:rsidRPr="004029C5" w:rsidRDefault="00F32158" w:rsidP="0055712B">
            <w:pPr>
              <w:shd w:val="clear" w:color="auto" w:fill="FFFFFF"/>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361.31</w:t>
            </w:r>
          </w:p>
          <w:p w:rsidR="00F32158" w:rsidRPr="004029C5" w:rsidRDefault="00F32158" w:rsidP="0055712B">
            <w:pPr>
              <w:shd w:val="clear" w:color="auto" w:fill="FFFFFF"/>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225.47</w:t>
            </w:r>
          </w:p>
          <w:p w:rsidR="00F32158" w:rsidRPr="004029C5" w:rsidRDefault="00F32158" w:rsidP="0055712B">
            <w:pPr>
              <w:widowControl w:val="0"/>
              <w:jc w:val="center"/>
              <w:rPr>
                <w:rFonts w:ascii="Times New Roman" w:hAnsi="Times New Roman"/>
                <w:sz w:val="22"/>
                <w:szCs w:val="22"/>
                <w:highlight w:val="yellow"/>
              </w:rPr>
            </w:pPr>
          </w:p>
        </w:tc>
      </w:tr>
      <w:tr w:rsidR="00F32158" w:rsidRPr="004029C5" w:rsidTr="004029C5">
        <w:trPr>
          <w:jc w:val="center"/>
        </w:trPr>
        <w:tc>
          <w:tcPr>
            <w:tcW w:w="789" w:type="dxa"/>
          </w:tcPr>
          <w:p w:rsidR="00F32158" w:rsidRPr="004029C5" w:rsidRDefault="00F32158" w:rsidP="004029C5">
            <w:pPr>
              <w:widowControl w:val="0"/>
              <w:jc w:val="center"/>
              <w:rPr>
                <w:rFonts w:ascii="Times New Roman" w:hAnsi="Times New Roman"/>
                <w:sz w:val="22"/>
                <w:szCs w:val="22"/>
              </w:rPr>
            </w:pPr>
            <w:r w:rsidRPr="004029C5">
              <w:rPr>
                <w:rFonts w:ascii="Times New Roman" w:hAnsi="Times New Roman"/>
                <w:sz w:val="22"/>
                <w:szCs w:val="22"/>
              </w:rPr>
              <w:t>2019</w:t>
            </w:r>
          </w:p>
        </w:tc>
        <w:tc>
          <w:tcPr>
            <w:tcW w:w="1081" w:type="dxa"/>
          </w:tcPr>
          <w:p w:rsidR="00F32158" w:rsidRPr="004029C5" w:rsidRDefault="00F32158" w:rsidP="0055712B">
            <w:pPr>
              <w:shd w:val="clear" w:color="auto" w:fill="FFFFFF"/>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123.92</w:t>
            </w:r>
          </w:p>
          <w:p w:rsidR="00F32158" w:rsidRPr="004029C5" w:rsidRDefault="00F32158" w:rsidP="0055712B">
            <w:pPr>
              <w:shd w:val="clear" w:color="auto" w:fill="FFFFFF"/>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164.38</w:t>
            </w:r>
          </w:p>
          <w:p w:rsidR="00F32158" w:rsidRPr="004029C5" w:rsidRDefault="004029C5" w:rsidP="0055712B">
            <w:pPr>
              <w:shd w:val="clear" w:color="auto" w:fill="FFFFFF"/>
              <w:jc w:val="center"/>
              <w:rPr>
                <w:rFonts w:ascii="Times New Roman" w:hAnsi="Times New Roman"/>
                <w:color w:val="454545"/>
                <w:sz w:val="22"/>
                <w:szCs w:val="22"/>
              </w:rPr>
            </w:pPr>
            <w:r>
              <w:rPr>
                <w:rFonts w:ascii="Times New Roman" w:hAnsi="Times New Roman"/>
                <w:color w:val="454545"/>
                <w:sz w:val="22"/>
                <w:szCs w:val="22"/>
                <w:lang w:val="en-US"/>
              </w:rPr>
              <w:t>93.10</w:t>
            </w:r>
          </w:p>
        </w:tc>
        <w:tc>
          <w:tcPr>
            <w:tcW w:w="1440" w:type="dxa"/>
          </w:tcPr>
          <w:p w:rsidR="00F32158" w:rsidRPr="004029C5" w:rsidRDefault="00F32158" w:rsidP="0055712B">
            <w:pPr>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205.78</w:t>
            </w:r>
          </w:p>
          <w:p w:rsidR="00F32158" w:rsidRPr="004029C5" w:rsidRDefault="00F32158" w:rsidP="0055712B">
            <w:pPr>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265.90</w:t>
            </w:r>
          </w:p>
          <w:p w:rsidR="00F32158" w:rsidRPr="004029C5" w:rsidRDefault="004029C5" w:rsidP="0055712B">
            <w:pPr>
              <w:jc w:val="center"/>
              <w:rPr>
                <w:rFonts w:ascii="Times New Roman" w:hAnsi="Times New Roman"/>
                <w:color w:val="454545"/>
                <w:sz w:val="22"/>
                <w:szCs w:val="22"/>
              </w:rPr>
            </w:pPr>
            <w:r>
              <w:rPr>
                <w:rFonts w:ascii="Times New Roman" w:hAnsi="Times New Roman"/>
                <w:color w:val="454545"/>
                <w:sz w:val="22"/>
                <w:szCs w:val="22"/>
                <w:lang w:val="en-US"/>
              </w:rPr>
              <w:t>158.21</w:t>
            </w:r>
          </w:p>
        </w:tc>
        <w:tc>
          <w:tcPr>
            <w:tcW w:w="1237" w:type="dxa"/>
          </w:tcPr>
          <w:p w:rsidR="00F32158" w:rsidRPr="004029C5" w:rsidRDefault="00F32158" w:rsidP="0055712B">
            <w:pPr>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133.24</w:t>
            </w:r>
          </w:p>
          <w:p w:rsidR="00F32158" w:rsidRPr="004029C5" w:rsidRDefault="00F32158" w:rsidP="0055712B">
            <w:pPr>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169.03</w:t>
            </w:r>
          </w:p>
          <w:p w:rsidR="00F32158" w:rsidRPr="004029C5" w:rsidRDefault="004029C5" w:rsidP="0055712B">
            <w:pPr>
              <w:jc w:val="center"/>
              <w:rPr>
                <w:rFonts w:ascii="Times New Roman" w:hAnsi="Times New Roman"/>
                <w:color w:val="454545"/>
                <w:sz w:val="22"/>
                <w:szCs w:val="22"/>
              </w:rPr>
            </w:pPr>
            <w:r>
              <w:rPr>
                <w:rFonts w:ascii="Times New Roman" w:hAnsi="Times New Roman"/>
                <w:color w:val="454545"/>
                <w:sz w:val="22"/>
                <w:szCs w:val="22"/>
                <w:lang w:val="en-US"/>
              </w:rPr>
              <w:t>104.38</w:t>
            </w:r>
          </w:p>
        </w:tc>
        <w:tc>
          <w:tcPr>
            <w:tcW w:w="1337" w:type="dxa"/>
          </w:tcPr>
          <w:p w:rsidR="00F32158" w:rsidRPr="004029C5" w:rsidRDefault="00F32158" w:rsidP="0055712B">
            <w:pPr>
              <w:shd w:val="clear" w:color="auto" w:fill="FFFFFF"/>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86.80</w:t>
            </w:r>
          </w:p>
          <w:p w:rsidR="00F32158" w:rsidRPr="004029C5" w:rsidRDefault="00F32158" w:rsidP="0055712B">
            <w:pPr>
              <w:shd w:val="clear" w:color="auto" w:fill="FFFFFF"/>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94.93</w:t>
            </w:r>
          </w:p>
          <w:p w:rsidR="00F32158" w:rsidRPr="004029C5" w:rsidRDefault="004029C5" w:rsidP="0055712B">
            <w:pPr>
              <w:shd w:val="clear" w:color="auto" w:fill="FFFFFF"/>
              <w:jc w:val="center"/>
              <w:rPr>
                <w:rFonts w:ascii="Times New Roman" w:hAnsi="Times New Roman"/>
                <w:color w:val="454545"/>
                <w:sz w:val="22"/>
                <w:szCs w:val="22"/>
              </w:rPr>
            </w:pPr>
            <w:r>
              <w:rPr>
                <w:rFonts w:ascii="Times New Roman" w:hAnsi="Times New Roman"/>
                <w:color w:val="454545"/>
                <w:sz w:val="22"/>
                <w:szCs w:val="22"/>
                <w:lang w:val="en-US"/>
              </w:rPr>
              <w:t>79.20</w:t>
            </w:r>
          </w:p>
        </w:tc>
        <w:tc>
          <w:tcPr>
            <w:tcW w:w="1083" w:type="dxa"/>
          </w:tcPr>
          <w:p w:rsidR="00F32158" w:rsidRPr="004029C5" w:rsidRDefault="00F32158" w:rsidP="0055712B">
            <w:pPr>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100.17</w:t>
            </w:r>
          </w:p>
          <w:p w:rsidR="00F32158" w:rsidRPr="004029C5" w:rsidRDefault="00F32158" w:rsidP="0055712B">
            <w:pPr>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113.83</w:t>
            </w:r>
          </w:p>
          <w:p w:rsidR="00F32158" w:rsidRPr="004029C5" w:rsidRDefault="004029C5" w:rsidP="0055712B">
            <w:pPr>
              <w:jc w:val="center"/>
              <w:rPr>
                <w:rFonts w:ascii="Times New Roman" w:hAnsi="Times New Roman"/>
                <w:color w:val="454545"/>
                <w:sz w:val="22"/>
                <w:szCs w:val="22"/>
              </w:rPr>
            </w:pPr>
            <w:r>
              <w:rPr>
                <w:rFonts w:ascii="Times New Roman" w:hAnsi="Times New Roman"/>
                <w:color w:val="454545"/>
                <w:sz w:val="22"/>
                <w:szCs w:val="22"/>
                <w:lang w:val="en-US"/>
              </w:rPr>
              <w:t>88.13</w:t>
            </w:r>
          </w:p>
        </w:tc>
        <w:tc>
          <w:tcPr>
            <w:tcW w:w="966" w:type="dxa"/>
          </w:tcPr>
          <w:p w:rsidR="00F32158" w:rsidRPr="004029C5" w:rsidRDefault="00F32158" w:rsidP="0055712B">
            <w:pPr>
              <w:shd w:val="clear" w:color="auto" w:fill="FFFFFF"/>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91.16</w:t>
            </w:r>
          </w:p>
          <w:p w:rsidR="00F32158" w:rsidRPr="004029C5" w:rsidRDefault="00F32158" w:rsidP="0055712B">
            <w:pPr>
              <w:shd w:val="clear" w:color="auto" w:fill="FFFFFF"/>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121.11</w:t>
            </w:r>
          </w:p>
          <w:p w:rsidR="00F32158" w:rsidRPr="004029C5" w:rsidRDefault="004029C5" w:rsidP="0055712B">
            <w:pPr>
              <w:shd w:val="clear" w:color="auto" w:fill="FFFFFF"/>
              <w:jc w:val="center"/>
              <w:rPr>
                <w:rFonts w:ascii="Times New Roman" w:hAnsi="Times New Roman"/>
                <w:color w:val="454545"/>
                <w:sz w:val="22"/>
                <w:szCs w:val="22"/>
              </w:rPr>
            </w:pPr>
            <w:r>
              <w:rPr>
                <w:rFonts w:ascii="Times New Roman" w:hAnsi="Times New Roman"/>
                <w:color w:val="454545"/>
                <w:sz w:val="22"/>
                <w:szCs w:val="22"/>
                <w:lang w:val="en-US"/>
              </w:rPr>
              <w:t>64.85</w:t>
            </w:r>
          </w:p>
        </w:tc>
        <w:tc>
          <w:tcPr>
            <w:tcW w:w="893" w:type="dxa"/>
          </w:tcPr>
          <w:p w:rsidR="00F32158" w:rsidRPr="004029C5" w:rsidRDefault="00F32158" w:rsidP="0055712B">
            <w:pPr>
              <w:shd w:val="clear" w:color="auto" w:fill="FFFFFF"/>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202.30</w:t>
            </w:r>
          </w:p>
          <w:p w:rsidR="00F32158" w:rsidRPr="004029C5" w:rsidRDefault="00F32158" w:rsidP="0055712B">
            <w:pPr>
              <w:shd w:val="clear" w:color="auto" w:fill="FFFFFF"/>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216.64</w:t>
            </w:r>
          </w:p>
          <w:p w:rsidR="00F32158" w:rsidRPr="004029C5" w:rsidRDefault="004029C5" w:rsidP="0055712B">
            <w:pPr>
              <w:shd w:val="clear" w:color="auto" w:fill="FFFFFF"/>
              <w:jc w:val="center"/>
              <w:rPr>
                <w:rFonts w:ascii="Times New Roman" w:hAnsi="Times New Roman"/>
                <w:color w:val="454545"/>
                <w:sz w:val="22"/>
                <w:szCs w:val="22"/>
              </w:rPr>
            </w:pPr>
            <w:r>
              <w:rPr>
                <w:rFonts w:ascii="Times New Roman" w:hAnsi="Times New Roman"/>
                <w:color w:val="454545"/>
                <w:sz w:val="22"/>
                <w:szCs w:val="22"/>
                <w:lang w:val="en-US"/>
              </w:rPr>
              <w:t>189.02</w:t>
            </w:r>
          </w:p>
        </w:tc>
        <w:tc>
          <w:tcPr>
            <w:tcW w:w="1079" w:type="dxa"/>
          </w:tcPr>
          <w:p w:rsidR="00F32158" w:rsidRPr="004029C5" w:rsidRDefault="00F32158" w:rsidP="0055712B">
            <w:pPr>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279.06</w:t>
            </w:r>
          </w:p>
          <w:p w:rsidR="00F32158" w:rsidRPr="004029C5" w:rsidRDefault="00F32158" w:rsidP="0055712B">
            <w:pPr>
              <w:jc w:val="center"/>
              <w:rPr>
                <w:rFonts w:ascii="Times New Roman" w:hAnsi="Times New Roman"/>
                <w:color w:val="454545"/>
                <w:sz w:val="22"/>
                <w:szCs w:val="22"/>
                <w:lang w:val="en-US"/>
              </w:rPr>
            </w:pPr>
            <w:r w:rsidRPr="004029C5">
              <w:rPr>
                <w:rFonts w:ascii="Times New Roman" w:hAnsi="Times New Roman"/>
                <w:color w:val="454545"/>
                <w:sz w:val="22"/>
                <w:szCs w:val="22"/>
                <w:lang w:val="en-US"/>
              </w:rPr>
              <w:t>359.55</w:t>
            </w:r>
          </w:p>
          <w:p w:rsidR="00F32158" w:rsidRPr="004029C5" w:rsidRDefault="004029C5" w:rsidP="0055712B">
            <w:pPr>
              <w:jc w:val="center"/>
              <w:rPr>
                <w:rFonts w:ascii="Times New Roman" w:hAnsi="Times New Roman"/>
                <w:color w:val="454545"/>
                <w:sz w:val="22"/>
                <w:szCs w:val="22"/>
              </w:rPr>
            </w:pPr>
            <w:r>
              <w:rPr>
                <w:rFonts w:ascii="Times New Roman" w:hAnsi="Times New Roman"/>
                <w:color w:val="454545"/>
                <w:sz w:val="22"/>
                <w:szCs w:val="22"/>
                <w:lang w:val="en-US"/>
              </w:rPr>
              <w:t>216.33</w:t>
            </w:r>
          </w:p>
        </w:tc>
      </w:tr>
    </w:tbl>
    <w:p w:rsidR="00B04F55" w:rsidRPr="004029C5" w:rsidRDefault="00B04F55" w:rsidP="00F32158">
      <w:pPr>
        <w:tabs>
          <w:tab w:val="left" w:pos="7186"/>
        </w:tabs>
        <w:spacing w:after="200" w:line="276" w:lineRule="auto"/>
        <w:jc w:val="left"/>
        <w:rPr>
          <w:rFonts w:eastAsia="Calibri"/>
          <w:szCs w:val="28"/>
          <w:lang w:val="ru-RU"/>
        </w:rPr>
      </w:pPr>
    </w:p>
    <w:p w:rsidR="00F32158" w:rsidRPr="00F32158" w:rsidRDefault="00B52549" w:rsidP="00913A33">
      <w:pPr>
        <w:pageBreakBefore/>
        <w:widowControl w:val="0"/>
        <w:tabs>
          <w:tab w:val="left" w:pos="7186"/>
        </w:tabs>
        <w:spacing w:after="200" w:line="276" w:lineRule="auto"/>
        <w:jc w:val="right"/>
        <w:rPr>
          <w:rFonts w:eastAsia="Calibri"/>
          <w:szCs w:val="28"/>
        </w:rPr>
      </w:pPr>
      <w:r>
        <w:rPr>
          <w:rFonts w:eastAsia="Calibri"/>
          <w:szCs w:val="28"/>
          <w:lang w:val="ru-RU"/>
        </w:rPr>
        <w:lastRenderedPageBreak/>
        <w:t xml:space="preserve">   </w:t>
      </w:r>
      <w:r w:rsidR="00D32C4B">
        <w:rPr>
          <w:rFonts w:eastAsia="Calibri"/>
          <w:szCs w:val="28"/>
        </w:rPr>
        <w:t>Додаток Б</w:t>
      </w:r>
      <w:r w:rsidR="00F32158" w:rsidRPr="00F32158">
        <w:rPr>
          <w:rFonts w:eastAsia="Calibri"/>
          <w:szCs w:val="28"/>
        </w:rPr>
        <w:t>-14</w:t>
      </w:r>
    </w:p>
    <w:p w:rsidR="00F32158" w:rsidRPr="00F32158" w:rsidRDefault="00F32158" w:rsidP="00F32158">
      <w:pPr>
        <w:rPr>
          <w:rFonts w:eastAsia="Times New Roman"/>
          <w:b/>
          <w:szCs w:val="28"/>
          <w:lang w:eastAsia="ru-RU"/>
        </w:rPr>
      </w:pPr>
      <w:r w:rsidRPr="00F32158">
        <w:rPr>
          <w:rFonts w:eastAsia="Times New Roman"/>
          <w:b/>
          <w:szCs w:val="28"/>
          <w:lang w:eastAsia="ru-RU"/>
        </w:rPr>
        <w:t>Рівень дитячої смертності поза стаціонаром за віком та питома вага смертності поза стаціонару в структурі загальної смертності дітей відповідних вікових груп  (2009-2018 рр.)</w:t>
      </w:r>
    </w:p>
    <w:p w:rsidR="00F32158" w:rsidRPr="00F32158" w:rsidRDefault="00F32158" w:rsidP="00F32158">
      <w:pPr>
        <w:spacing w:line="240" w:lineRule="auto"/>
        <w:jc w:val="center"/>
        <w:rPr>
          <w:rFonts w:eastAsia="Times New Roman"/>
          <w:b/>
          <w:i/>
          <w:szCs w:val="28"/>
          <w:lang w:eastAsia="ru-RU"/>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63"/>
        <w:gridCol w:w="809"/>
        <w:gridCol w:w="1233"/>
        <w:gridCol w:w="752"/>
        <w:gridCol w:w="1290"/>
        <w:gridCol w:w="694"/>
        <w:gridCol w:w="142"/>
        <w:gridCol w:w="1276"/>
        <w:gridCol w:w="50"/>
        <w:gridCol w:w="800"/>
        <w:gridCol w:w="1276"/>
      </w:tblGrid>
      <w:tr w:rsidR="00F32158" w:rsidRPr="00F32158" w:rsidTr="00BF1F99">
        <w:trPr>
          <w:trHeight w:val="336"/>
          <w:jc w:val="center"/>
        </w:trPr>
        <w:tc>
          <w:tcPr>
            <w:tcW w:w="0" w:type="auto"/>
            <w:vMerge w:val="restart"/>
            <w:textDirection w:val="btLr"/>
          </w:tcPr>
          <w:p w:rsidR="00F32158" w:rsidRPr="00F32158" w:rsidRDefault="00F32158" w:rsidP="00F32158">
            <w:pPr>
              <w:spacing w:line="240" w:lineRule="auto"/>
              <w:ind w:left="113" w:right="113"/>
              <w:jc w:val="center"/>
              <w:rPr>
                <w:rFonts w:eastAsia="Times New Roman"/>
                <w:sz w:val="24"/>
                <w:szCs w:val="24"/>
                <w:lang w:eastAsia="ru-RU"/>
              </w:rPr>
            </w:pPr>
          </w:p>
          <w:p w:rsidR="00F32158" w:rsidRPr="00F32158" w:rsidRDefault="00F32158" w:rsidP="00F32158">
            <w:pPr>
              <w:spacing w:line="240" w:lineRule="auto"/>
              <w:ind w:left="113" w:right="113"/>
              <w:jc w:val="center"/>
              <w:rPr>
                <w:rFonts w:eastAsia="Times New Roman"/>
                <w:sz w:val="24"/>
                <w:szCs w:val="24"/>
                <w:lang w:eastAsia="ru-RU"/>
              </w:rPr>
            </w:pPr>
            <w:r w:rsidRPr="00F32158">
              <w:rPr>
                <w:rFonts w:eastAsia="Times New Roman"/>
                <w:sz w:val="24"/>
                <w:szCs w:val="24"/>
                <w:lang w:eastAsia="ru-RU"/>
              </w:rPr>
              <w:t>Рік</w:t>
            </w:r>
          </w:p>
        </w:tc>
        <w:tc>
          <w:tcPr>
            <w:tcW w:w="0" w:type="auto"/>
            <w:gridSpan w:val="2"/>
          </w:tcPr>
          <w:p w:rsidR="00F32158" w:rsidRPr="00F32158" w:rsidRDefault="00F32158" w:rsidP="00F32158">
            <w:pPr>
              <w:spacing w:line="240" w:lineRule="auto"/>
              <w:jc w:val="center"/>
              <w:rPr>
                <w:rFonts w:eastAsia="Times New Roman"/>
                <w:sz w:val="24"/>
                <w:szCs w:val="24"/>
                <w:lang w:eastAsia="ru-RU"/>
              </w:rPr>
            </w:pPr>
            <w:r w:rsidRPr="00F32158">
              <w:rPr>
                <w:rFonts w:eastAsia="Times New Roman"/>
                <w:sz w:val="24"/>
                <w:szCs w:val="24"/>
                <w:lang w:eastAsia="ru-RU"/>
              </w:rPr>
              <w:t>0-17 років життя</w:t>
            </w:r>
          </w:p>
        </w:tc>
        <w:tc>
          <w:tcPr>
            <w:tcW w:w="0" w:type="auto"/>
            <w:gridSpan w:val="2"/>
          </w:tcPr>
          <w:p w:rsidR="00F32158" w:rsidRPr="00F32158" w:rsidRDefault="00F32158" w:rsidP="00F32158">
            <w:pPr>
              <w:spacing w:line="240" w:lineRule="auto"/>
              <w:jc w:val="center"/>
              <w:rPr>
                <w:rFonts w:eastAsia="Times New Roman"/>
                <w:sz w:val="24"/>
                <w:szCs w:val="24"/>
                <w:lang w:eastAsia="ru-RU"/>
              </w:rPr>
            </w:pPr>
            <w:r w:rsidRPr="00F32158">
              <w:rPr>
                <w:rFonts w:eastAsia="Times New Roman"/>
                <w:sz w:val="24"/>
                <w:szCs w:val="24"/>
                <w:lang w:eastAsia="ru-RU"/>
              </w:rPr>
              <w:t>0-14 років життя</w:t>
            </w:r>
          </w:p>
        </w:tc>
        <w:tc>
          <w:tcPr>
            <w:tcW w:w="0" w:type="auto"/>
            <w:gridSpan w:val="4"/>
          </w:tcPr>
          <w:p w:rsidR="00F32158" w:rsidRPr="00F32158" w:rsidRDefault="00F32158" w:rsidP="00F32158">
            <w:pPr>
              <w:spacing w:line="240" w:lineRule="auto"/>
              <w:jc w:val="center"/>
              <w:rPr>
                <w:rFonts w:eastAsia="Times New Roman"/>
                <w:sz w:val="24"/>
                <w:szCs w:val="24"/>
                <w:lang w:eastAsia="ru-RU"/>
              </w:rPr>
            </w:pPr>
            <w:r w:rsidRPr="00F32158">
              <w:rPr>
                <w:rFonts w:eastAsia="Times New Roman"/>
                <w:sz w:val="24"/>
                <w:szCs w:val="24"/>
                <w:lang w:eastAsia="ru-RU"/>
              </w:rPr>
              <w:t>15-17 років життя</w:t>
            </w:r>
          </w:p>
        </w:tc>
        <w:tc>
          <w:tcPr>
            <w:tcW w:w="2076" w:type="dxa"/>
            <w:gridSpan w:val="2"/>
          </w:tcPr>
          <w:p w:rsidR="00F32158" w:rsidRPr="00F32158" w:rsidRDefault="00F32158" w:rsidP="00F32158">
            <w:pPr>
              <w:spacing w:line="240" w:lineRule="auto"/>
              <w:jc w:val="center"/>
              <w:rPr>
                <w:rFonts w:eastAsia="Times New Roman"/>
                <w:sz w:val="24"/>
                <w:szCs w:val="24"/>
                <w:lang w:eastAsia="ru-RU"/>
              </w:rPr>
            </w:pPr>
            <w:r w:rsidRPr="00F32158">
              <w:rPr>
                <w:rFonts w:eastAsia="Times New Roman"/>
                <w:sz w:val="24"/>
                <w:szCs w:val="24"/>
                <w:lang w:eastAsia="ru-RU"/>
              </w:rPr>
              <w:t>До 1 року життя</w:t>
            </w:r>
          </w:p>
        </w:tc>
      </w:tr>
      <w:tr w:rsidR="00F32158" w:rsidRPr="00F32158" w:rsidTr="00BF1F99">
        <w:trPr>
          <w:cantSplit/>
          <w:trHeight w:val="3306"/>
          <w:jc w:val="center"/>
        </w:trPr>
        <w:tc>
          <w:tcPr>
            <w:tcW w:w="0" w:type="auto"/>
            <w:vMerge/>
          </w:tcPr>
          <w:p w:rsidR="00F32158" w:rsidRPr="00F32158" w:rsidRDefault="00F32158" w:rsidP="00F32158">
            <w:pPr>
              <w:spacing w:line="240" w:lineRule="auto"/>
              <w:jc w:val="center"/>
              <w:rPr>
                <w:rFonts w:eastAsia="Times New Roman"/>
                <w:sz w:val="24"/>
                <w:szCs w:val="24"/>
                <w:lang w:eastAsia="ru-RU"/>
              </w:rPr>
            </w:pPr>
          </w:p>
        </w:tc>
        <w:tc>
          <w:tcPr>
            <w:tcW w:w="809" w:type="dxa"/>
            <w:textDirection w:val="btLr"/>
          </w:tcPr>
          <w:p w:rsidR="00F32158" w:rsidRPr="00F32158" w:rsidRDefault="00F32158" w:rsidP="00F32158">
            <w:pPr>
              <w:spacing w:line="240" w:lineRule="auto"/>
              <w:ind w:left="113" w:right="113"/>
              <w:jc w:val="center"/>
              <w:rPr>
                <w:rFonts w:eastAsia="Times New Roman"/>
                <w:sz w:val="24"/>
                <w:szCs w:val="24"/>
                <w:lang w:eastAsia="ru-RU"/>
              </w:rPr>
            </w:pPr>
            <w:r w:rsidRPr="00F32158">
              <w:rPr>
                <w:rFonts w:eastAsia="Times New Roman"/>
                <w:sz w:val="24"/>
                <w:szCs w:val="24"/>
                <w:lang w:eastAsia="ru-RU"/>
              </w:rPr>
              <w:t>Рівень смертності (на 1000 відповідного віку)</w:t>
            </w:r>
          </w:p>
        </w:tc>
        <w:tc>
          <w:tcPr>
            <w:tcW w:w="1233" w:type="dxa"/>
            <w:textDirection w:val="btLr"/>
          </w:tcPr>
          <w:p w:rsidR="00F32158" w:rsidRPr="00F32158" w:rsidRDefault="00F32158" w:rsidP="00F32158">
            <w:pPr>
              <w:spacing w:line="240" w:lineRule="auto"/>
              <w:ind w:left="113" w:right="113"/>
              <w:jc w:val="center"/>
              <w:rPr>
                <w:rFonts w:eastAsia="Times New Roman"/>
                <w:sz w:val="24"/>
                <w:szCs w:val="24"/>
                <w:lang w:eastAsia="ru-RU"/>
              </w:rPr>
            </w:pPr>
            <w:r w:rsidRPr="00F32158">
              <w:rPr>
                <w:rFonts w:eastAsia="Times New Roman"/>
                <w:sz w:val="24"/>
                <w:szCs w:val="24"/>
                <w:lang w:eastAsia="ru-RU"/>
              </w:rPr>
              <w:t>Питома вага випадків смерті поза стаціонару до загального числа смертей у даному віці  (%)</w:t>
            </w:r>
          </w:p>
        </w:tc>
        <w:tc>
          <w:tcPr>
            <w:tcW w:w="752" w:type="dxa"/>
            <w:textDirection w:val="btLr"/>
          </w:tcPr>
          <w:p w:rsidR="00F32158" w:rsidRPr="00F32158" w:rsidRDefault="00F32158" w:rsidP="00F32158">
            <w:pPr>
              <w:spacing w:line="240" w:lineRule="auto"/>
              <w:ind w:left="113" w:right="113"/>
              <w:jc w:val="center"/>
              <w:rPr>
                <w:rFonts w:eastAsia="Times New Roman"/>
                <w:sz w:val="24"/>
                <w:szCs w:val="24"/>
                <w:lang w:eastAsia="ru-RU"/>
              </w:rPr>
            </w:pPr>
            <w:r w:rsidRPr="00F32158">
              <w:rPr>
                <w:rFonts w:eastAsia="Times New Roman"/>
                <w:sz w:val="24"/>
                <w:szCs w:val="24"/>
                <w:lang w:eastAsia="ru-RU"/>
              </w:rPr>
              <w:t>Рівень смертності (на 1000 відповідного віку)</w:t>
            </w:r>
          </w:p>
        </w:tc>
        <w:tc>
          <w:tcPr>
            <w:tcW w:w="1290" w:type="dxa"/>
            <w:textDirection w:val="btLr"/>
          </w:tcPr>
          <w:p w:rsidR="00F32158" w:rsidRPr="00F32158" w:rsidRDefault="00F32158" w:rsidP="00F32158">
            <w:pPr>
              <w:spacing w:line="240" w:lineRule="auto"/>
              <w:ind w:left="113" w:right="113"/>
              <w:jc w:val="center"/>
              <w:rPr>
                <w:rFonts w:eastAsia="Times New Roman"/>
                <w:sz w:val="24"/>
                <w:szCs w:val="24"/>
                <w:lang w:eastAsia="ru-RU"/>
              </w:rPr>
            </w:pPr>
            <w:r w:rsidRPr="00F32158">
              <w:rPr>
                <w:rFonts w:eastAsia="Times New Roman"/>
                <w:sz w:val="24"/>
                <w:szCs w:val="24"/>
                <w:lang w:eastAsia="ru-RU"/>
              </w:rPr>
              <w:t>Питома вага випадків смерті поза стаціонару до загального числа смертей у даному віці (%)</w:t>
            </w:r>
          </w:p>
        </w:tc>
        <w:tc>
          <w:tcPr>
            <w:tcW w:w="694" w:type="dxa"/>
            <w:textDirection w:val="btLr"/>
          </w:tcPr>
          <w:p w:rsidR="00F32158" w:rsidRPr="00F32158" w:rsidRDefault="00F32158" w:rsidP="00F32158">
            <w:pPr>
              <w:spacing w:line="240" w:lineRule="auto"/>
              <w:ind w:left="113" w:right="113"/>
              <w:jc w:val="center"/>
              <w:rPr>
                <w:rFonts w:eastAsia="Times New Roman"/>
                <w:sz w:val="24"/>
                <w:szCs w:val="24"/>
                <w:lang w:eastAsia="ru-RU"/>
              </w:rPr>
            </w:pPr>
            <w:r w:rsidRPr="00F32158">
              <w:rPr>
                <w:rFonts w:eastAsia="Times New Roman"/>
                <w:sz w:val="24"/>
                <w:szCs w:val="24"/>
                <w:lang w:eastAsia="ru-RU"/>
              </w:rPr>
              <w:t>Рівень смертності (на 1000 відповідного віку)</w:t>
            </w:r>
          </w:p>
        </w:tc>
        <w:tc>
          <w:tcPr>
            <w:tcW w:w="1418" w:type="dxa"/>
            <w:gridSpan w:val="2"/>
            <w:textDirection w:val="btLr"/>
          </w:tcPr>
          <w:p w:rsidR="00F32158" w:rsidRPr="00F32158" w:rsidRDefault="00F32158" w:rsidP="00F32158">
            <w:pPr>
              <w:spacing w:line="240" w:lineRule="auto"/>
              <w:ind w:left="113" w:right="113"/>
              <w:jc w:val="center"/>
              <w:rPr>
                <w:rFonts w:eastAsia="Times New Roman"/>
                <w:sz w:val="24"/>
                <w:szCs w:val="24"/>
                <w:lang w:eastAsia="ru-RU"/>
              </w:rPr>
            </w:pPr>
            <w:r w:rsidRPr="00F32158">
              <w:rPr>
                <w:rFonts w:eastAsia="Times New Roman"/>
                <w:sz w:val="24"/>
                <w:szCs w:val="24"/>
                <w:lang w:eastAsia="ru-RU"/>
              </w:rPr>
              <w:t>Питома вага випадків смерті поза стаціонару  до загального числа смертей у даному віці (%)</w:t>
            </w:r>
          </w:p>
        </w:tc>
        <w:tc>
          <w:tcPr>
            <w:tcW w:w="850" w:type="dxa"/>
            <w:gridSpan w:val="2"/>
            <w:textDirection w:val="btLr"/>
          </w:tcPr>
          <w:p w:rsidR="00F32158" w:rsidRPr="00F32158" w:rsidRDefault="00F32158" w:rsidP="00F32158">
            <w:pPr>
              <w:spacing w:line="240" w:lineRule="auto"/>
              <w:ind w:left="113" w:right="113"/>
              <w:jc w:val="center"/>
              <w:rPr>
                <w:rFonts w:eastAsia="Times New Roman"/>
                <w:sz w:val="24"/>
                <w:szCs w:val="24"/>
                <w:lang w:eastAsia="ru-RU"/>
              </w:rPr>
            </w:pPr>
            <w:r w:rsidRPr="00F32158">
              <w:rPr>
                <w:rFonts w:eastAsia="Times New Roman"/>
                <w:sz w:val="24"/>
                <w:szCs w:val="24"/>
                <w:lang w:eastAsia="ru-RU"/>
              </w:rPr>
              <w:t xml:space="preserve"> Рівень смертності (на 1000 відповідного віку)</w:t>
            </w:r>
          </w:p>
        </w:tc>
        <w:tc>
          <w:tcPr>
            <w:tcW w:w="1276" w:type="dxa"/>
            <w:textDirection w:val="btLr"/>
          </w:tcPr>
          <w:p w:rsidR="00F32158" w:rsidRPr="00F32158" w:rsidRDefault="00F32158" w:rsidP="00F32158">
            <w:pPr>
              <w:spacing w:line="240" w:lineRule="auto"/>
              <w:ind w:left="113" w:right="113"/>
              <w:jc w:val="center"/>
              <w:rPr>
                <w:rFonts w:eastAsia="Times New Roman"/>
                <w:sz w:val="24"/>
                <w:szCs w:val="24"/>
                <w:lang w:eastAsia="ru-RU"/>
              </w:rPr>
            </w:pPr>
            <w:r w:rsidRPr="00F32158">
              <w:rPr>
                <w:rFonts w:eastAsia="Times New Roman"/>
                <w:sz w:val="24"/>
                <w:szCs w:val="24"/>
                <w:lang w:eastAsia="ru-RU"/>
              </w:rPr>
              <w:t>Питома вага випадків смерті поза стаціонару до загального числа смертей у даному віці(%)</w:t>
            </w:r>
          </w:p>
        </w:tc>
      </w:tr>
      <w:tr w:rsidR="00F32158" w:rsidRPr="00F32158" w:rsidTr="00BF1F99">
        <w:trPr>
          <w:trHeight w:val="248"/>
          <w:jc w:val="center"/>
        </w:trPr>
        <w:tc>
          <w:tcPr>
            <w:tcW w:w="0" w:type="auto"/>
          </w:tcPr>
          <w:p w:rsidR="00F32158" w:rsidRPr="00F32158" w:rsidRDefault="00F32158" w:rsidP="00F32158">
            <w:pPr>
              <w:spacing w:line="240" w:lineRule="auto"/>
              <w:jc w:val="left"/>
              <w:rPr>
                <w:rFonts w:eastAsia="Times New Roman"/>
                <w:sz w:val="24"/>
                <w:szCs w:val="24"/>
                <w:lang w:eastAsia="ru-RU"/>
              </w:rPr>
            </w:pPr>
            <w:r w:rsidRPr="00F32158">
              <w:rPr>
                <w:rFonts w:eastAsia="Times New Roman"/>
                <w:sz w:val="24"/>
                <w:szCs w:val="24"/>
                <w:lang w:eastAsia="ru-RU"/>
              </w:rPr>
              <w:t>2009</w:t>
            </w:r>
          </w:p>
        </w:tc>
        <w:tc>
          <w:tcPr>
            <w:tcW w:w="809" w:type="dxa"/>
          </w:tcPr>
          <w:p w:rsidR="00F32158" w:rsidRPr="00F32158" w:rsidRDefault="00F32158" w:rsidP="00F32158">
            <w:pPr>
              <w:spacing w:line="240" w:lineRule="auto"/>
              <w:jc w:val="center"/>
              <w:rPr>
                <w:rFonts w:eastAsia="Times New Roman"/>
                <w:sz w:val="24"/>
                <w:szCs w:val="24"/>
                <w:lang w:eastAsia="ru-RU"/>
              </w:rPr>
            </w:pPr>
            <w:r w:rsidRPr="00F32158">
              <w:rPr>
                <w:rFonts w:eastAsia="Times New Roman"/>
                <w:sz w:val="24"/>
                <w:szCs w:val="24"/>
                <w:lang w:eastAsia="ru-RU"/>
              </w:rPr>
              <w:t>0,25</w:t>
            </w:r>
          </w:p>
        </w:tc>
        <w:tc>
          <w:tcPr>
            <w:tcW w:w="1233" w:type="dxa"/>
          </w:tcPr>
          <w:p w:rsidR="00F32158" w:rsidRPr="00F32158" w:rsidRDefault="00F32158" w:rsidP="00F32158">
            <w:pPr>
              <w:spacing w:line="240" w:lineRule="auto"/>
              <w:jc w:val="center"/>
              <w:rPr>
                <w:rFonts w:eastAsia="Times New Roman"/>
                <w:sz w:val="24"/>
                <w:szCs w:val="24"/>
                <w:lang w:eastAsia="ru-RU"/>
              </w:rPr>
            </w:pPr>
            <w:r w:rsidRPr="00F32158">
              <w:rPr>
                <w:rFonts w:eastAsia="Times New Roman"/>
                <w:sz w:val="24"/>
                <w:szCs w:val="24"/>
                <w:lang w:eastAsia="ru-RU"/>
              </w:rPr>
              <w:t>49,04</w:t>
            </w:r>
          </w:p>
        </w:tc>
        <w:tc>
          <w:tcPr>
            <w:tcW w:w="752" w:type="dxa"/>
          </w:tcPr>
          <w:p w:rsidR="00F32158" w:rsidRPr="00F32158" w:rsidRDefault="00F32158" w:rsidP="00F32158">
            <w:pPr>
              <w:spacing w:line="240" w:lineRule="auto"/>
              <w:jc w:val="center"/>
              <w:rPr>
                <w:rFonts w:eastAsia="Times New Roman"/>
                <w:sz w:val="24"/>
                <w:szCs w:val="24"/>
                <w:lang w:eastAsia="ru-RU"/>
              </w:rPr>
            </w:pPr>
            <w:r w:rsidRPr="00F32158">
              <w:rPr>
                <w:rFonts w:eastAsia="Times New Roman"/>
                <w:sz w:val="24"/>
                <w:szCs w:val="24"/>
                <w:lang w:eastAsia="ru-RU"/>
              </w:rPr>
              <w:t>0,24</w:t>
            </w:r>
          </w:p>
        </w:tc>
        <w:tc>
          <w:tcPr>
            <w:tcW w:w="1290" w:type="dxa"/>
          </w:tcPr>
          <w:p w:rsidR="00F32158" w:rsidRPr="00F32158" w:rsidRDefault="00F32158" w:rsidP="00F32158">
            <w:pPr>
              <w:spacing w:line="240" w:lineRule="auto"/>
              <w:jc w:val="center"/>
              <w:rPr>
                <w:rFonts w:eastAsia="Times New Roman"/>
                <w:sz w:val="24"/>
                <w:szCs w:val="24"/>
                <w:lang w:eastAsia="ru-RU"/>
              </w:rPr>
            </w:pPr>
            <w:r w:rsidRPr="00F32158">
              <w:rPr>
                <w:rFonts w:eastAsia="Times New Roman"/>
                <w:sz w:val="24"/>
                <w:szCs w:val="24"/>
                <w:lang w:eastAsia="ru-RU"/>
              </w:rPr>
              <w:t>45,78</w:t>
            </w:r>
          </w:p>
        </w:tc>
        <w:tc>
          <w:tcPr>
            <w:tcW w:w="836" w:type="dxa"/>
            <w:gridSpan w:val="2"/>
          </w:tcPr>
          <w:p w:rsidR="00F32158" w:rsidRPr="00F32158" w:rsidRDefault="00F32158" w:rsidP="00F32158">
            <w:pPr>
              <w:spacing w:line="240" w:lineRule="auto"/>
              <w:jc w:val="center"/>
              <w:rPr>
                <w:rFonts w:eastAsia="Times New Roman"/>
                <w:sz w:val="24"/>
                <w:szCs w:val="24"/>
                <w:lang w:eastAsia="ru-RU"/>
              </w:rPr>
            </w:pPr>
            <w:r w:rsidRPr="00F32158">
              <w:rPr>
                <w:rFonts w:eastAsia="Times New Roman"/>
                <w:sz w:val="24"/>
                <w:szCs w:val="24"/>
                <w:lang w:eastAsia="ru-RU"/>
              </w:rPr>
              <w:t>0,28</w:t>
            </w:r>
          </w:p>
        </w:tc>
        <w:tc>
          <w:tcPr>
            <w:tcW w:w="1326" w:type="dxa"/>
            <w:gridSpan w:val="2"/>
          </w:tcPr>
          <w:p w:rsidR="00F32158" w:rsidRPr="00F32158" w:rsidRDefault="00F32158" w:rsidP="00F32158">
            <w:pPr>
              <w:spacing w:line="240" w:lineRule="auto"/>
              <w:jc w:val="center"/>
              <w:rPr>
                <w:rFonts w:eastAsia="Times New Roman"/>
                <w:sz w:val="24"/>
                <w:szCs w:val="24"/>
                <w:lang w:eastAsia="ru-RU"/>
              </w:rPr>
            </w:pPr>
            <w:r w:rsidRPr="00F32158">
              <w:rPr>
                <w:rFonts w:eastAsia="Times New Roman"/>
                <w:sz w:val="24"/>
                <w:szCs w:val="24"/>
                <w:lang w:eastAsia="ru-RU"/>
              </w:rPr>
              <w:t>63,72</w:t>
            </w:r>
          </w:p>
        </w:tc>
        <w:tc>
          <w:tcPr>
            <w:tcW w:w="800" w:type="dxa"/>
          </w:tcPr>
          <w:p w:rsidR="00F32158" w:rsidRPr="00F32158" w:rsidRDefault="00F32158" w:rsidP="00F32158">
            <w:pPr>
              <w:spacing w:line="240" w:lineRule="auto"/>
              <w:jc w:val="center"/>
              <w:rPr>
                <w:rFonts w:eastAsia="Times New Roman"/>
                <w:sz w:val="24"/>
                <w:szCs w:val="24"/>
                <w:lang w:eastAsia="ru-RU"/>
              </w:rPr>
            </w:pPr>
            <w:r w:rsidRPr="00F32158">
              <w:rPr>
                <w:rFonts w:eastAsia="Times New Roman"/>
                <w:sz w:val="24"/>
                <w:szCs w:val="24"/>
                <w:lang w:eastAsia="ru-RU"/>
              </w:rPr>
              <w:t>1,36</w:t>
            </w:r>
          </w:p>
        </w:tc>
        <w:tc>
          <w:tcPr>
            <w:tcW w:w="1276" w:type="dxa"/>
          </w:tcPr>
          <w:p w:rsidR="00F32158" w:rsidRPr="00F32158" w:rsidRDefault="00F32158" w:rsidP="00F32158">
            <w:pPr>
              <w:spacing w:line="240" w:lineRule="auto"/>
              <w:jc w:val="center"/>
              <w:rPr>
                <w:rFonts w:eastAsia="Times New Roman"/>
                <w:sz w:val="24"/>
                <w:szCs w:val="24"/>
                <w:lang w:eastAsia="ru-RU"/>
              </w:rPr>
            </w:pPr>
            <w:r w:rsidRPr="00F32158">
              <w:rPr>
                <w:rFonts w:eastAsia="Times New Roman"/>
                <w:sz w:val="24"/>
                <w:szCs w:val="24"/>
                <w:lang w:eastAsia="ru-RU"/>
              </w:rPr>
              <w:t>40,60</w:t>
            </w:r>
          </w:p>
        </w:tc>
      </w:tr>
      <w:tr w:rsidR="00F32158" w:rsidRPr="00F32158" w:rsidTr="00BF1F99">
        <w:trPr>
          <w:trHeight w:val="240"/>
          <w:jc w:val="center"/>
        </w:trPr>
        <w:tc>
          <w:tcPr>
            <w:tcW w:w="0" w:type="auto"/>
          </w:tcPr>
          <w:p w:rsidR="00F32158" w:rsidRPr="00F32158" w:rsidRDefault="00F32158" w:rsidP="00F32158">
            <w:pPr>
              <w:spacing w:line="240" w:lineRule="auto"/>
              <w:jc w:val="left"/>
              <w:rPr>
                <w:rFonts w:eastAsia="Times New Roman"/>
                <w:sz w:val="24"/>
                <w:szCs w:val="24"/>
                <w:lang w:eastAsia="ru-RU"/>
              </w:rPr>
            </w:pPr>
            <w:r w:rsidRPr="00F32158">
              <w:rPr>
                <w:rFonts w:eastAsia="Times New Roman"/>
                <w:sz w:val="24"/>
                <w:szCs w:val="24"/>
                <w:lang w:eastAsia="ru-RU"/>
              </w:rPr>
              <w:t>2010</w:t>
            </w:r>
          </w:p>
        </w:tc>
        <w:tc>
          <w:tcPr>
            <w:tcW w:w="809" w:type="dxa"/>
          </w:tcPr>
          <w:p w:rsidR="00F32158" w:rsidRPr="00F32158" w:rsidRDefault="00F32158" w:rsidP="00F32158">
            <w:pPr>
              <w:spacing w:line="240" w:lineRule="auto"/>
              <w:jc w:val="center"/>
              <w:rPr>
                <w:rFonts w:eastAsia="Times New Roman"/>
                <w:sz w:val="24"/>
                <w:szCs w:val="24"/>
                <w:lang w:eastAsia="ru-RU"/>
              </w:rPr>
            </w:pPr>
            <w:r w:rsidRPr="00F32158">
              <w:rPr>
                <w:rFonts w:eastAsia="Times New Roman"/>
                <w:sz w:val="24"/>
                <w:szCs w:val="24"/>
                <w:lang w:eastAsia="ru-RU"/>
              </w:rPr>
              <w:t>0,25</w:t>
            </w:r>
          </w:p>
        </w:tc>
        <w:tc>
          <w:tcPr>
            <w:tcW w:w="1233" w:type="dxa"/>
          </w:tcPr>
          <w:p w:rsidR="00F32158" w:rsidRPr="00F32158" w:rsidRDefault="00F32158" w:rsidP="00F32158">
            <w:pPr>
              <w:spacing w:line="240" w:lineRule="auto"/>
              <w:jc w:val="center"/>
              <w:rPr>
                <w:rFonts w:eastAsia="Times New Roman"/>
                <w:sz w:val="24"/>
                <w:szCs w:val="24"/>
                <w:lang w:eastAsia="ru-RU"/>
              </w:rPr>
            </w:pPr>
            <w:r w:rsidRPr="00F32158">
              <w:rPr>
                <w:rFonts w:eastAsia="Times New Roman"/>
                <w:sz w:val="24"/>
                <w:szCs w:val="24"/>
                <w:lang w:eastAsia="ru-RU"/>
              </w:rPr>
              <w:t>50.74</w:t>
            </w:r>
          </w:p>
        </w:tc>
        <w:tc>
          <w:tcPr>
            <w:tcW w:w="752" w:type="dxa"/>
          </w:tcPr>
          <w:p w:rsidR="00F32158" w:rsidRPr="00F32158" w:rsidRDefault="00F32158" w:rsidP="00F32158">
            <w:pPr>
              <w:spacing w:line="240" w:lineRule="auto"/>
              <w:jc w:val="center"/>
              <w:rPr>
                <w:rFonts w:eastAsia="Times New Roman"/>
                <w:sz w:val="24"/>
                <w:szCs w:val="24"/>
                <w:lang w:eastAsia="ru-RU"/>
              </w:rPr>
            </w:pPr>
            <w:r w:rsidRPr="00F32158">
              <w:rPr>
                <w:rFonts w:eastAsia="Times New Roman"/>
                <w:sz w:val="24"/>
                <w:szCs w:val="24"/>
                <w:lang w:eastAsia="ru-RU"/>
              </w:rPr>
              <w:t>0,23</w:t>
            </w:r>
          </w:p>
        </w:tc>
        <w:tc>
          <w:tcPr>
            <w:tcW w:w="1290" w:type="dxa"/>
          </w:tcPr>
          <w:p w:rsidR="00F32158" w:rsidRPr="00F32158" w:rsidRDefault="00F32158" w:rsidP="00F32158">
            <w:pPr>
              <w:spacing w:line="240" w:lineRule="auto"/>
              <w:jc w:val="center"/>
              <w:rPr>
                <w:rFonts w:eastAsia="Times New Roman"/>
                <w:sz w:val="24"/>
                <w:szCs w:val="24"/>
                <w:lang w:eastAsia="ru-RU"/>
              </w:rPr>
            </w:pPr>
            <w:r w:rsidRPr="00F32158">
              <w:rPr>
                <w:rFonts w:eastAsia="Times New Roman"/>
                <w:sz w:val="24"/>
                <w:szCs w:val="24"/>
                <w:lang w:eastAsia="ru-RU"/>
              </w:rPr>
              <w:t>46,92</w:t>
            </w:r>
          </w:p>
        </w:tc>
        <w:tc>
          <w:tcPr>
            <w:tcW w:w="836" w:type="dxa"/>
            <w:gridSpan w:val="2"/>
          </w:tcPr>
          <w:p w:rsidR="00F32158" w:rsidRPr="00F32158" w:rsidRDefault="00F32158" w:rsidP="00F32158">
            <w:pPr>
              <w:spacing w:line="240" w:lineRule="auto"/>
              <w:jc w:val="center"/>
              <w:rPr>
                <w:rFonts w:eastAsia="Times New Roman"/>
                <w:sz w:val="24"/>
                <w:szCs w:val="24"/>
                <w:lang w:eastAsia="ru-RU"/>
              </w:rPr>
            </w:pPr>
            <w:r w:rsidRPr="00F32158">
              <w:rPr>
                <w:rFonts w:eastAsia="Times New Roman"/>
                <w:sz w:val="24"/>
                <w:szCs w:val="24"/>
                <w:lang w:eastAsia="ru-RU"/>
              </w:rPr>
              <w:t>0,31</w:t>
            </w:r>
          </w:p>
        </w:tc>
        <w:tc>
          <w:tcPr>
            <w:tcW w:w="1326" w:type="dxa"/>
            <w:gridSpan w:val="2"/>
          </w:tcPr>
          <w:p w:rsidR="00F32158" w:rsidRPr="00F32158" w:rsidRDefault="00F32158" w:rsidP="00F32158">
            <w:pPr>
              <w:spacing w:line="240" w:lineRule="auto"/>
              <w:jc w:val="center"/>
              <w:rPr>
                <w:rFonts w:eastAsia="Times New Roman"/>
                <w:sz w:val="24"/>
                <w:szCs w:val="24"/>
                <w:lang w:eastAsia="ru-RU"/>
              </w:rPr>
            </w:pPr>
            <w:r w:rsidRPr="00F32158">
              <w:rPr>
                <w:rFonts w:eastAsia="Times New Roman"/>
                <w:sz w:val="24"/>
                <w:szCs w:val="24"/>
                <w:lang w:eastAsia="ru-RU"/>
              </w:rPr>
              <w:t>67,33</w:t>
            </w:r>
          </w:p>
        </w:tc>
        <w:tc>
          <w:tcPr>
            <w:tcW w:w="800" w:type="dxa"/>
          </w:tcPr>
          <w:p w:rsidR="00F32158" w:rsidRPr="00F32158" w:rsidRDefault="00F32158" w:rsidP="00F32158">
            <w:pPr>
              <w:spacing w:line="240" w:lineRule="auto"/>
              <w:jc w:val="center"/>
              <w:rPr>
                <w:rFonts w:eastAsia="Times New Roman"/>
                <w:sz w:val="24"/>
                <w:szCs w:val="24"/>
                <w:lang w:eastAsia="ru-RU"/>
              </w:rPr>
            </w:pPr>
            <w:r w:rsidRPr="00F32158">
              <w:rPr>
                <w:rFonts w:eastAsia="Times New Roman"/>
                <w:sz w:val="24"/>
                <w:szCs w:val="24"/>
                <w:lang w:eastAsia="ru-RU"/>
              </w:rPr>
              <w:t>1,28</w:t>
            </w:r>
          </w:p>
        </w:tc>
        <w:tc>
          <w:tcPr>
            <w:tcW w:w="1276" w:type="dxa"/>
          </w:tcPr>
          <w:p w:rsidR="00F32158" w:rsidRPr="00F32158" w:rsidRDefault="00F32158" w:rsidP="00F32158">
            <w:pPr>
              <w:spacing w:line="240" w:lineRule="auto"/>
              <w:jc w:val="center"/>
              <w:rPr>
                <w:rFonts w:eastAsia="Times New Roman"/>
                <w:sz w:val="24"/>
                <w:szCs w:val="24"/>
                <w:lang w:eastAsia="ru-RU"/>
              </w:rPr>
            </w:pPr>
            <w:r w:rsidRPr="00F32158">
              <w:rPr>
                <w:rFonts w:eastAsia="Times New Roman"/>
                <w:sz w:val="24"/>
                <w:szCs w:val="24"/>
                <w:lang w:eastAsia="ru-RU"/>
              </w:rPr>
              <w:t>43,10</w:t>
            </w:r>
          </w:p>
        </w:tc>
      </w:tr>
      <w:tr w:rsidR="00F32158" w:rsidRPr="00F32158" w:rsidTr="00BF1F99">
        <w:trPr>
          <w:trHeight w:val="231"/>
          <w:jc w:val="center"/>
        </w:trPr>
        <w:tc>
          <w:tcPr>
            <w:tcW w:w="0" w:type="auto"/>
          </w:tcPr>
          <w:p w:rsidR="00F32158" w:rsidRPr="00F32158" w:rsidRDefault="00F32158" w:rsidP="00F32158">
            <w:pPr>
              <w:spacing w:line="240" w:lineRule="auto"/>
              <w:jc w:val="left"/>
              <w:rPr>
                <w:rFonts w:eastAsia="Times New Roman"/>
                <w:sz w:val="24"/>
                <w:szCs w:val="24"/>
                <w:lang w:eastAsia="ru-RU"/>
              </w:rPr>
            </w:pPr>
            <w:r w:rsidRPr="00F32158">
              <w:rPr>
                <w:rFonts w:eastAsia="Times New Roman"/>
                <w:sz w:val="24"/>
                <w:szCs w:val="24"/>
                <w:lang w:eastAsia="ru-RU"/>
              </w:rPr>
              <w:t>2011</w:t>
            </w:r>
          </w:p>
        </w:tc>
        <w:tc>
          <w:tcPr>
            <w:tcW w:w="809" w:type="dxa"/>
          </w:tcPr>
          <w:p w:rsidR="00F32158" w:rsidRPr="00F32158" w:rsidRDefault="00F32158" w:rsidP="00F32158">
            <w:pPr>
              <w:spacing w:line="240" w:lineRule="auto"/>
              <w:jc w:val="center"/>
              <w:rPr>
                <w:rFonts w:eastAsia="Times New Roman"/>
                <w:sz w:val="24"/>
                <w:szCs w:val="24"/>
                <w:lang w:eastAsia="ru-RU"/>
              </w:rPr>
            </w:pPr>
            <w:r w:rsidRPr="00F32158">
              <w:rPr>
                <w:rFonts w:eastAsia="Times New Roman"/>
                <w:sz w:val="24"/>
                <w:szCs w:val="24"/>
                <w:lang w:eastAsia="ru-RU"/>
              </w:rPr>
              <w:t>0,23</w:t>
            </w:r>
          </w:p>
        </w:tc>
        <w:tc>
          <w:tcPr>
            <w:tcW w:w="1233" w:type="dxa"/>
          </w:tcPr>
          <w:p w:rsidR="00F32158" w:rsidRPr="00F32158" w:rsidRDefault="00F32158" w:rsidP="00F32158">
            <w:pPr>
              <w:spacing w:line="240" w:lineRule="auto"/>
              <w:jc w:val="center"/>
              <w:rPr>
                <w:rFonts w:eastAsia="Times New Roman"/>
                <w:sz w:val="24"/>
                <w:szCs w:val="24"/>
                <w:lang w:eastAsia="ru-RU"/>
              </w:rPr>
            </w:pPr>
            <w:r w:rsidRPr="00F32158">
              <w:rPr>
                <w:rFonts w:eastAsia="Times New Roman"/>
                <w:sz w:val="24"/>
                <w:szCs w:val="24"/>
                <w:lang w:eastAsia="ru-RU"/>
              </w:rPr>
              <w:t>49,66</w:t>
            </w:r>
          </w:p>
        </w:tc>
        <w:tc>
          <w:tcPr>
            <w:tcW w:w="752" w:type="dxa"/>
          </w:tcPr>
          <w:p w:rsidR="00F32158" w:rsidRPr="00F32158" w:rsidRDefault="00F32158" w:rsidP="00F32158">
            <w:pPr>
              <w:spacing w:line="240" w:lineRule="auto"/>
              <w:jc w:val="center"/>
              <w:rPr>
                <w:rFonts w:eastAsia="Times New Roman"/>
                <w:sz w:val="24"/>
                <w:szCs w:val="24"/>
                <w:lang w:eastAsia="ru-RU"/>
              </w:rPr>
            </w:pPr>
            <w:r w:rsidRPr="00F32158">
              <w:rPr>
                <w:rFonts w:eastAsia="Times New Roman"/>
                <w:sz w:val="24"/>
                <w:szCs w:val="24"/>
                <w:lang w:eastAsia="ru-RU"/>
              </w:rPr>
              <w:t>0,22</w:t>
            </w:r>
          </w:p>
        </w:tc>
        <w:tc>
          <w:tcPr>
            <w:tcW w:w="1290" w:type="dxa"/>
          </w:tcPr>
          <w:p w:rsidR="00F32158" w:rsidRPr="00F32158" w:rsidRDefault="00F32158" w:rsidP="00F32158">
            <w:pPr>
              <w:spacing w:line="240" w:lineRule="auto"/>
              <w:jc w:val="center"/>
              <w:rPr>
                <w:rFonts w:eastAsia="Times New Roman"/>
                <w:sz w:val="24"/>
                <w:szCs w:val="24"/>
                <w:lang w:eastAsia="ru-RU"/>
              </w:rPr>
            </w:pPr>
            <w:r w:rsidRPr="00F32158">
              <w:rPr>
                <w:rFonts w:eastAsia="Times New Roman"/>
                <w:sz w:val="24"/>
                <w:szCs w:val="24"/>
                <w:lang w:eastAsia="ru-RU"/>
              </w:rPr>
              <w:t>45,78</w:t>
            </w:r>
          </w:p>
        </w:tc>
        <w:tc>
          <w:tcPr>
            <w:tcW w:w="836" w:type="dxa"/>
            <w:gridSpan w:val="2"/>
          </w:tcPr>
          <w:p w:rsidR="00F32158" w:rsidRPr="00F32158" w:rsidRDefault="00F32158" w:rsidP="00F32158">
            <w:pPr>
              <w:spacing w:line="240" w:lineRule="auto"/>
              <w:jc w:val="center"/>
              <w:rPr>
                <w:rFonts w:eastAsia="Times New Roman"/>
                <w:sz w:val="24"/>
                <w:szCs w:val="24"/>
                <w:lang w:eastAsia="ru-RU"/>
              </w:rPr>
            </w:pPr>
            <w:r w:rsidRPr="00F32158">
              <w:rPr>
                <w:rFonts w:eastAsia="Times New Roman"/>
                <w:sz w:val="24"/>
                <w:szCs w:val="24"/>
                <w:lang w:eastAsia="ru-RU"/>
              </w:rPr>
              <w:t>0,29</w:t>
            </w:r>
          </w:p>
        </w:tc>
        <w:tc>
          <w:tcPr>
            <w:tcW w:w="1326" w:type="dxa"/>
            <w:gridSpan w:val="2"/>
          </w:tcPr>
          <w:p w:rsidR="00F32158" w:rsidRPr="00F32158" w:rsidRDefault="00F32158" w:rsidP="00F32158">
            <w:pPr>
              <w:spacing w:line="240" w:lineRule="auto"/>
              <w:jc w:val="center"/>
              <w:rPr>
                <w:rFonts w:eastAsia="Times New Roman"/>
                <w:sz w:val="24"/>
                <w:szCs w:val="24"/>
                <w:lang w:eastAsia="ru-RU"/>
              </w:rPr>
            </w:pPr>
            <w:r w:rsidRPr="00F32158">
              <w:rPr>
                <w:rFonts w:eastAsia="Times New Roman"/>
                <w:sz w:val="24"/>
                <w:szCs w:val="24"/>
                <w:lang w:eastAsia="ru-RU"/>
              </w:rPr>
              <w:t>67,61</w:t>
            </w:r>
          </w:p>
        </w:tc>
        <w:tc>
          <w:tcPr>
            <w:tcW w:w="800" w:type="dxa"/>
          </w:tcPr>
          <w:p w:rsidR="00F32158" w:rsidRPr="00F32158" w:rsidRDefault="00F32158" w:rsidP="00F32158">
            <w:pPr>
              <w:spacing w:line="240" w:lineRule="auto"/>
              <w:jc w:val="center"/>
              <w:rPr>
                <w:rFonts w:eastAsia="Times New Roman"/>
                <w:sz w:val="24"/>
                <w:szCs w:val="24"/>
                <w:lang w:eastAsia="ru-RU"/>
              </w:rPr>
            </w:pPr>
            <w:r w:rsidRPr="00F32158">
              <w:rPr>
                <w:rFonts w:eastAsia="Times New Roman"/>
                <w:sz w:val="24"/>
                <w:szCs w:val="24"/>
                <w:lang w:eastAsia="ru-RU"/>
              </w:rPr>
              <w:t>1,28</w:t>
            </w:r>
          </w:p>
        </w:tc>
        <w:tc>
          <w:tcPr>
            <w:tcW w:w="1276" w:type="dxa"/>
          </w:tcPr>
          <w:p w:rsidR="00F32158" w:rsidRPr="00F32158" w:rsidRDefault="00F32158" w:rsidP="00F32158">
            <w:pPr>
              <w:spacing w:line="240" w:lineRule="auto"/>
              <w:jc w:val="center"/>
              <w:rPr>
                <w:rFonts w:eastAsia="Times New Roman"/>
                <w:sz w:val="24"/>
                <w:szCs w:val="24"/>
                <w:lang w:eastAsia="ru-RU"/>
              </w:rPr>
            </w:pPr>
            <w:r w:rsidRPr="00F32158">
              <w:rPr>
                <w:rFonts w:eastAsia="Times New Roman"/>
                <w:sz w:val="24"/>
                <w:szCs w:val="24"/>
                <w:lang w:eastAsia="ru-RU"/>
              </w:rPr>
              <w:t>42,96</w:t>
            </w:r>
          </w:p>
        </w:tc>
      </w:tr>
      <w:tr w:rsidR="00F32158" w:rsidRPr="00F32158" w:rsidTr="00BF1F99">
        <w:trPr>
          <w:trHeight w:val="224"/>
          <w:jc w:val="center"/>
        </w:trPr>
        <w:tc>
          <w:tcPr>
            <w:tcW w:w="0" w:type="auto"/>
          </w:tcPr>
          <w:p w:rsidR="00F32158" w:rsidRPr="00F32158" w:rsidRDefault="00F32158" w:rsidP="00F32158">
            <w:pPr>
              <w:spacing w:line="240" w:lineRule="auto"/>
              <w:jc w:val="left"/>
              <w:rPr>
                <w:rFonts w:eastAsia="Times New Roman"/>
                <w:sz w:val="24"/>
                <w:szCs w:val="24"/>
                <w:lang w:eastAsia="ru-RU"/>
              </w:rPr>
            </w:pPr>
            <w:r w:rsidRPr="00F32158">
              <w:rPr>
                <w:rFonts w:eastAsia="Times New Roman"/>
                <w:sz w:val="24"/>
                <w:szCs w:val="24"/>
                <w:lang w:eastAsia="ru-RU"/>
              </w:rPr>
              <w:t>2012</w:t>
            </w:r>
          </w:p>
        </w:tc>
        <w:tc>
          <w:tcPr>
            <w:tcW w:w="809" w:type="dxa"/>
          </w:tcPr>
          <w:p w:rsidR="00F32158" w:rsidRPr="00F32158" w:rsidRDefault="00F32158" w:rsidP="00F32158">
            <w:pPr>
              <w:spacing w:line="240" w:lineRule="auto"/>
              <w:jc w:val="center"/>
              <w:rPr>
                <w:rFonts w:eastAsia="Times New Roman"/>
                <w:sz w:val="24"/>
                <w:szCs w:val="24"/>
                <w:lang w:eastAsia="ru-RU"/>
              </w:rPr>
            </w:pPr>
            <w:r w:rsidRPr="00F32158">
              <w:rPr>
                <w:rFonts w:eastAsia="Times New Roman"/>
                <w:sz w:val="24"/>
                <w:szCs w:val="24"/>
                <w:lang w:eastAsia="ru-RU"/>
              </w:rPr>
              <w:t>0,21</w:t>
            </w:r>
          </w:p>
        </w:tc>
        <w:tc>
          <w:tcPr>
            <w:tcW w:w="1233" w:type="dxa"/>
          </w:tcPr>
          <w:p w:rsidR="00F32158" w:rsidRPr="00F32158" w:rsidRDefault="00F32158" w:rsidP="00F32158">
            <w:pPr>
              <w:spacing w:line="240" w:lineRule="auto"/>
              <w:jc w:val="center"/>
              <w:rPr>
                <w:rFonts w:eastAsia="Times New Roman"/>
                <w:sz w:val="24"/>
                <w:szCs w:val="24"/>
                <w:lang w:eastAsia="ru-RU"/>
              </w:rPr>
            </w:pPr>
            <w:r w:rsidRPr="00F32158">
              <w:rPr>
                <w:rFonts w:eastAsia="Times New Roman"/>
                <w:sz w:val="24"/>
                <w:szCs w:val="24"/>
                <w:lang w:eastAsia="ru-RU"/>
              </w:rPr>
              <w:t>48,12</w:t>
            </w:r>
          </w:p>
        </w:tc>
        <w:tc>
          <w:tcPr>
            <w:tcW w:w="752" w:type="dxa"/>
          </w:tcPr>
          <w:p w:rsidR="00F32158" w:rsidRPr="00F32158" w:rsidRDefault="00F32158" w:rsidP="00F32158">
            <w:pPr>
              <w:spacing w:line="240" w:lineRule="auto"/>
              <w:jc w:val="center"/>
              <w:rPr>
                <w:rFonts w:eastAsia="Times New Roman"/>
                <w:sz w:val="24"/>
                <w:szCs w:val="24"/>
                <w:lang w:eastAsia="ru-RU"/>
              </w:rPr>
            </w:pPr>
            <w:r w:rsidRPr="00F32158">
              <w:rPr>
                <w:rFonts w:eastAsia="Times New Roman"/>
                <w:sz w:val="24"/>
                <w:szCs w:val="24"/>
                <w:lang w:eastAsia="ru-RU"/>
              </w:rPr>
              <w:t>0,20</w:t>
            </w:r>
          </w:p>
        </w:tc>
        <w:tc>
          <w:tcPr>
            <w:tcW w:w="1290" w:type="dxa"/>
          </w:tcPr>
          <w:p w:rsidR="00F32158" w:rsidRPr="00F32158" w:rsidRDefault="00F32158" w:rsidP="00F32158">
            <w:pPr>
              <w:spacing w:line="240" w:lineRule="auto"/>
              <w:jc w:val="center"/>
              <w:rPr>
                <w:rFonts w:eastAsia="Times New Roman"/>
                <w:sz w:val="24"/>
                <w:szCs w:val="24"/>
                <w:lang w:eastAsia="ru-RU"/>
              </w:rPr>
            </w:pPr>
            <w:r w:rsidRPr="00F32158">
              <w:rPr>
                <w:rFonts w:eastAsia="Times New Roman"/>
                <w:sz w:val="24"/>
                <w:szCs w:val="24"/>
                <w:lang w:eastAsia="ru-RU"/>
              </w:rPr>
              <w:t>44,99</w:t>
            </w:r>
          </w:p>
        </w:tc>
        <w:tc>
          <w:tcPr>
            <w:tcW w:w="836" w:type="dxa"/>
            <w:gridSpan w:val="2"/>
          </w:tcPr>
          <w:p w:rsidR="00F32158" w:rsidRPr="00F32158" w:rsidRDefault="00F32158" w:rsidP="00F32158">
            <w:pPr>
              <w:spacing w:line="240" w:lineRule="auto"/>
              <w:jc w:val="center"/>
              <w:rPr>
                <w:rFonts w:eastAsia="Times New Roman"/>
                <w:sz w:val="24"/>
                <w:szCs w:val="24"/>
                <w:lang w:eastAsia="ru-RU"/>
              </w:rPr>
            </w:pPr>
            <w:r w:rsidRPr="00F32158">
              <w:rPr>
                <w:rFonts w:eastAsia="Times New Roman"/>
                <w:sz w:val="24"/>
                <w:szCs w:val="24"/>
                <w:lang w:eastAsia="ru-RU"/>
              </w:rPr>
              <w:t>0,26</w:t>
            </w:r>
          </w:p>
        </w:tc>
        <w:tc>
          <w:tcPr>
            <w:tcW w:w="1326" w:type="dxa"/>
            <w:gridSpan w:val="2"/>
          </w:tcPr>
          <w:p w:rsidR="00F32158" w:rsidRPr="00F32158" w:rsidRDefault="00F32158" w:rsidP="00F32158">
            <w:pPr>
              <w:spacing w:line="240" w:lineRule="auto"/>
              <w:jc w:val="center"/>
              <w:rPr>
                <w:rFonts w:eastAsia="Times New Roman"/>
                <w:sz w:val="24"/>
                <w:szCs w:val="24"/>
                <w:lang w:eastAsia="ru-RU"/>
              </w:rPr>
            </w:pPr>
            <w:r w:rsidRPr="00F32158">
              <w:rPr>
                <w:rFonts w:eastAsia="Times New Roman"/>
                <w:sz w:val="24"/>
                <w:szCs w:val="24"/>
                <w:lang w:eastAsia="ru-RU"/>
              </w:rPr>
              <w:t>64,30</w:t>
            </w:r>
          </w:p>
        </w:tc>
        <w:tc>
          <w:tcPr>
            <w:tcW w:w="800" w:type="dxa"/>
          </w:tcPr>
          <w:p w:rsidR="00F32158" w:rsidRPr="00F32158" w:rsidRDefault="00F32158" w:rsidP="00F32158">
            <w:pPr>
              <w:spacing w:line="240" w:lineRule="auto"/>
              <w:jc w:val="center"/>
              <w:rPr>
                <w:rFonts w:eastAsia="Times New Roman"/>
                <w:sz w:val="24"/>
                <w:szCs w:val="24"/>
                <w:lang w:eastAsia="ru-RU"/>
              </w:rPr>
            </w:pPr>
            <w:r w:rsidRPr="00F32158">
              <w:rPr>
                <w:rFonts w:eastAsia="Times New Roman"/>
                <w:sz w:val="24"/>
                <w:szCs w:val="24"/>
                <w:lang w:eastAsia="ru-RU"/>
              </w:rPr>
              <w:t>1,18</w:t>
            </w:r>
          </w:p>
        </w:tc>
        <w:tc>
          <w:tcPr>
            <w:tcW w:w="1276" w:type="dxa"/>
          </w:tcPr>
          <w:p w:rsidR="00F32158" w:rsidRPr="00F32158" w:rsidRDefault="00F32158" w:rsidP="00F32158">
            <w:pPr>
              <w:spacing w:line="240" w:lineRule="auto"/>
              <w:jc w:val="center"/>
              <w:rPr>
                <w:rFonts w:eastAsia="Times New Roman"/>
                <w:sz w:val="24"/>
                <w:szCs w:val="24"/>
                <w:lang w:eastAsia="ru-RU"/>
              </w:rPr>
            </w:pPr>
            <w:r w:rsidRPr="00F32158">
              <w:rPr>
                <w:rFonts w:eastAsia="Times New Roman"/>
                <w:sz w:val="24"/>
                <w:szCs w:val="24"/>
                <w:lang w:eastAsia="ru-RU"/>
              </w:rPr>
              <w:t>42,92</w:t>
            </w:r>
          </w:p>
        </w:tc>
      </w:tr>
      <w:tr w:rsidR="00F32158" w:rsidRPr="00F32158" w:rsidTr="00BF1F99">
        <w:trPr>
          <w:trHeight w:val="202"/>
          <w:jc w:val="center"/>
        </w:trPr>
        <w:tc>
          <w:tcPr>
            <w:tcW w:w="0" w:type="auto"/>
          </w:tcPr>
          <w:p w:rsidR="00F32158" w:rsidRPr="00F32158" w:rsidRDefault="00F32158" w:rsidP="00F32158">
            <w:pPr>
              <w:spacing w:line="240" w:lineRule="auto"/>
              <w:jc w:val="left"/>
              <w:rPr>
                <w:rFonts w:eastAsia="Times New Roman"/>
                <w:sz w:val="24"/>
                <w:szCs w:val="24"/>
                <w:lang w:eastAsia="ru-RU"/>
              </w:rPr>
            </w:pPr>
            <w:r w:rsidRPr="00F32158">
              <w:rPr>
                <w:rFonts w:eastAsia="Times New Roman"/>
                <w:sz w:val="24"/>
                <w:szCs w:val="24"/>
                <w:lang w:eastAsia="ru-RU"/>
              </w:rPr>
              <w:t>2013</w:t>
            </w:r>
          </w:p>
        </w:tc>
        <w:tc>
          <w:tcPr>
            <w:tcW w:w="809" w:type="dxa"/>
          </w:tcPr>
          <w:p w:rsidR="00F32158" w:rsidRPr="00F32158" w:rsidRDefault="00F32158" w:rsidP="00F32158">
            <w:pPr>
              <w:spacing w:line="240" w:lineRule="auto"/>
              <w:jc w:val="center"/>
              <w:rPr>
                <w:rFonts w:eastAsia="Times New Roman"/>
                <w:sz w:val="24"/>
                <w:szCs w:val="24"/>
                <w:lang w:eastAsia="ru-RU"/>
              </w:rPr>
            </w:pPr>
            <w:r w:rsidRPr="00F32158">
              <w:rPr>
                <w:rFonts w:eastAsia="Times New Roman"/>
                <w:sz w:val="24"/>
                <w:szCs w:val="24"/>
                <w:lang w:eastAsia="ru-RU"/>
              </w:rPr>
              <w:t>0,20</w:t>
            </w:r>
          </w:p>
        </w:tc>
        <w:tc>
          <w:tcPr>
            <w:tcW w:w="1233" w:type="dxa"/>
          </w:tcPr>
          <w:p w:rsidR="00F32158" w:rsidRPr="00F32158" w:rsidRDefault="00F32158" w:rsidP="00F32158">
            <w:pPr>
              <w:spacing w:line="240" w:lineRule="auto"/>
              <w:jc w:val="center"/>
              <w:rPr>
                <w:rFonts w:eastAsia="Times New Roman"/>
                <w:sz w:val="24"/>
                <w:szCs w:val="24"/>
                <w:lang w:eastAsia="ru-RU"/>
              </w:rPr>
            </w:pPr>
            <w:r w:rsidRPr="00F32158">
              <w:rPr>
                <w:rFonts w:eastAsia="Times New Roman"/>
                <w:sz w:val="24"/>
                <w:szCs w:val="24"/>
                <w:lang w:eastAsia="ru-RU"/>
              </w:rPr>
              <w:t>49,89</w:t>
            </w:r>
          </w:p>
        </w:tc>
        <w:tc>
          <w:tcPr>
            <w:tcW w:w="752" w:type="dxa"/>
          </w:tcPr>
          <w:p w:rsidR="00F32158" w:rsidRPr="00F32158" w:rsidRDefault="00F32158" w:rsidP="00F32158">
            <w:pPr>
              <w:spacing w:line="240" w:lineRule="auto"/>
              <w:jc w:val="center"/>
              <w:rPr>
                <w:rFonts w:eastAsia="Times New Roman"/>
                <w:sz w:val="24"/>
                <w:szCs w:val="24"/>
                <w:lang w:eastAsia="ru-RU"/>
              </w:rPr>
            </w:pPr>
            <w:r w:rsidRPr="00F32158">
              <w:rPr>
                <w:rFonts w:eastAsia="Times New Roman"/>
                <w:sz w:val="24"/>
                <w:szCs w:val="24"/>
                <w:lang w:eastAsia="ru-RU"/>
              </w:rPr>
              <w:t>0,18</w:t>
            </w:r>
          </w:p>
        </w:tc>
        <w:tc>
          <w:tcPr>
            <w:tcW w:w="1290" w:type="dxa"/>
          </w:tcPr>
          <w:p w:rsidR="00F32158" w:rsidRPr="00F32158" w:rsidRDefault="00F32158" w:rsidP="00F32158">
            <w:pPr>
              <w:spacing w:line="240" w:lineRule="auto"/>
              <w:jc w:val="center"/>
              <w:rPr>
                <w:rFonts w:eastAsia="Times New Roman"/>
                <w:sz w:val="24"/>
                <w:szCs w:val="24"/>
                <w:lang w:eastAsia="ru-RU"/>
              </w:rPr>
            </w:pPr>
            <w:r w:rsidRPr="00F32158">
              <w:rPr>
                <w:rFonts w:eastAsia="Times New Roman"/>
                <w:sz w:val="24"/>
                <w:szCs w:val="24"/>
                <w:lang w:eastAsia="ru-RU"/>
              </w:rPr>
              <w:t>45,99</w:t>
            </w:r>
          </w:p>
        </w:tc>
        <w:tc>
          <w:tcPr>
            <w:tcW w:w="836" w:type="dxa"/>
            <w:gridSpan w:val="2"/>
          </w:tcPr>
          <w:p w:rsidR="00F32158" w:rsidRPr="00F32158" w:rsidRDefault="00F32158" w:rsidP="00F32158">
            <w:pPr>
              <w:spacing w:line="240" w:lineRule="auto"/>
              <w:jc w:val="center"/>
              <w:rPr>
                <w:rFonts w:eastAsia="Times New Roman"/>
                <w:sz w:val="24"/>
                <w:szCs w:val="24"/>
                <w:lang w:eastAsia="ru-RU"/>
              </w:rPr>
            </w:pPr>
            <w:r w:rsidRPr="00F32158">
              <w:rPr>
                <w:rFonts w:eastAsia="Times New Roman"/>
                <w:sz w:val="24"/>
                <w:szCs w:val="24"/>
                <w:lang w:eastAsia="ru-RU"/>
              </w:rPr>
              <w:t>0,27</w:t>
            </w:r>
          </w:p>
        </w:tc>
        <w:tc>
          <w:tcPr>
            <w:tcW w:w="1326" w:type="dxa"/>
            <w:gridSpan w:val="2"/>
          </w:tcPr>
          <w:p w:rsidR="00F32158" w:rsidRPr="00F32158" w:rsidRDefault="00F32158" w:rsidP="00F32158">
            <w:pPr>
              <w:spacing w:line="240" w:lineRule="auto"/>
              <w:jc w:val="center"/>
              <w:rPr>
                <w:rFonts w:eastAsia="Times New Roman"/>
                <w:sz w:val="24"/>
                <w:szCs w:val="24"/>
                <w:lang w:eastAsia="ru-RU"/>
              </w:rPr>
            </w:pPr>
            <w:r w:rsidRPr="00F32158">
              <w:rPr>
                <w:rFonts w:eastAsia="Times New Roman"/>
                <w:sz w:val="24"/>
                <w:szCs w:val="24"/>
                <w:lang w:eastAsia="ru-RU"/>
              </w:rPr>
              <w:t>67,70</w:t>
            </w:r>
          </w:p>
        </w:tc>
        <w:tc>
          <w:tcPr>
            <w:tcW w:w="800" w:type="dxa"/>
          </w:tcPr>
          <w:p w:rsidR="00F32158" w:rsidRPr="00F32158" w:rsidRDefault="00F32158" w:rsidP="00F32158">
            <w:pPr>
              <w:spacing w:line="240" w:lineRule="auto"/>
              <w:jc w:val="center"/>
              <w:rPr>
                <w:rFonts w:eastAsia="Times New Roman"/>
                <w:sz w:val="24"/>
                <w:szCs w:val="24"/>
                <w:lang w:eastAsia="ru-RU"/>
              </w:rPr>
            </w:pPr>
            <w:r w:rsidRPr="00F32158">
              <w:rPr>
                <w:rFonts w:eastAsia="Times New Roman"/>
                <w:sz w:val="24"/>
                <w:szCs w:val="24"/>
                <w:lang w:eastAsia="ru-RU"/>
              </w:rPr>
              <w:t>1,01</w:t>
            </w:r>
          </w:p>
        </w:tc>
        <w:tc>
          <w:tcPr>
            <w:tcW w:w="1276" w:type="dxa"/>
          </w:tcPr>
          <w:p w:rsidR="00F32158" w:rsidRPr="00F32158" w:rsidRDefault="00F32158" w:rsidP="00F32158">
            <w:pPr>
              <w:spacing w:line="240" w:lineRule="auto"/>
              <w:jc w:val="center"/>
              <w:rPr>
                <w:rFonts w:eastAsia="Times New Roman"/>
                <w:sz w:val="24"/>
                <w:szCs w:val="24"/>
                <w:lang w:eastAsia="ru-RU"/>
              </w:rPr>
            </w:pPr>
            <w:r w:rsidRPr="00F32158">
              <w:rPr>
                <w:rFonts w:eastAsia="Times New Roman"/>
                <w:sz w:val="24"/>
                <w:szCs w:val="24"/>
                <w:lang w:eastAsia="ru-RU"/>
              </w:rPr>
              <w:t>40,94</w:t>
            </w:r>
          </w:p>
        </w:tc>
      </w:tr>
      <w:tr w:rsidR="00F32158" w:rsidRPr="00F32158" w:rsidTr="00BF1F99">
        <w:trPr>
          <w:trHeight w:val="208"/>
          <w:jc w:val="center"/>
        </w:trPr>
        <w:tc>
          <w:tcPr>
            <w:tcW w:w="0" w:type="auto"/>
          </w:tcPr>
          <w:p w:rsidR="00F32158" w:rsidRPr="00F32158" w:rsidRDefault="00F32158" w:rsidP="00F32158">
            <w:pPr>
              <w:spacing w:line="240" w:lineRule="auto"/>
              <w:jc w:val="left"/>
              <w:rPr>
                <w:rFonts w:eastAsia="Times New Roman"/>
                <w:sz w:val="24"/>
                <w:szCs w:val="24"/>
                <w:lang w:eastAsia="ru-RU"/>
              </w:rPr>
            </w:pPr>
            <w:r w:rsidRPr="00F32158">
              <w:rPr>
                <w:rFonts w:eastAsia="Times New Roman"/>
                <w:sz w:val="24"/>
                <w:szCs w:val="24"/>
                <w:lang w:eastAsia="ru-RU"/>
              </w:rPr>
              <w:t>2014</w:t>
            </w:r>
          </w:p>
        </w:tc>
        <w:tc>
          <w:tcPr>
            <w:tcW w:w="809" w:type="dxa"/>
          </w:tcPr>
          <w:p w:rsidR="00F32158" w:rsidRPr="00F32158" w:rsidRDefault="00F32158" w:rsidP="00F32158">
            <w:pPr>
              <w:spacing w:line="240" w:lineRule="auto"/>
              <w:jc w:val="center"/>
              <w:rPr>
                <w:rFonts w:eastAsia="Times New Roman"/>
                <w:sz w:val="24"/>
                <w:szCs w:val="24"/>
                <w:lang w:eastAsia="ru-RU"/>
              </w:rPr>
            </w:pPr>
            <w:r w:rsidRPr="00F32158">
              <w:rPr>
                <w:rFonts w:eastAsia="Times New Roman"/>
                <w:sz w:val="24"/>
                <w:szCs w:val="24"/>
                <w:lang w:eastAsia="ru-RU"/>
              </w:rPr>
              <w:t>0,22</w:t>
            </w:r>
          </w:p>
        </w:tc>
        <w:tc>
          <w:tcPr>
            <w:tcW w:w="1233" w:type="dxa"/>
          </w:tcPr>
          <w:p w:rsidR="00F32158" w:rsidRPr="00F32158" w:rsidRDefault="00F32158" w:rsidP="00F32158">
            <w:pPr>
              <w:spacing w:line="240" w:lineRule="auto"/>
              <w:jc w:val="center"/>
              <w:rPr>
                <w:rFonts w:eastAsia="Times New Roman"/>
                <w:sz w:val="24"/>
                <w:szCs w:val="24"/>
                <w:lang w:eastAsia="ru-RU"/>
              </w:rPr>
            </w:pPr>
            <w:r w:rsidRPr="00F32158">
              <w:rPr>
                <w:rFonts w:eastAsia="Times New Roman"/>
                <w:sz w:val="24"/>
                <w:szCs w:val="24"/>
                <w:lang w:eastAsia="ru-RU"/>
              </w:rPr>
              <w:t>52,96</w:t>
            </w:r>
          </w:p>
        </w:tc>
        <w:tc>
          <w:tcPr>
            <w:tcW w:w="752" w:type="dxa"/>
          </w:tcPr>
          <w:p w:rsidR="00F32158" w:rsidRPr="00F32158" w:rsidRDefault="00F32158" w:rsidP="00F32158">
            <w:pPr>
              <w:spacing w:line="240" w:lineRule="auto"/>
              <w:jc w:val="center"/>
              <w:rPr>
                <w:rFonts w:eastAsia="Times New Roman"/>
                <w:sz w:val="24"/>
                <w:szCs w:val="24"/>
                <w:lang w:eastAsia="ru-RU"/>
              </w:rPr>
            </w:pPr>
            <w:r w:rsidRPr="00F32158">
              <w:rPr>
                <w:rFonts w:eastAsia="Times New Roman"/>
                <w:sz w:val="24"/>
                <w:szCs w:val="24"/>
                <w:lang w:eastAsia="ru-RU"/>
              </w:rPr>
              <w:t>0,20</w:t>
            </w:r>
          </w:p>
        </w:tc>
        <w:tc>
          <w:tcPr>
            <w:tcW w:w="1290" w:type="dxa"/>
          </w:tcPr>
          <w:p w:rsidR="00F32158" w:rsidRPr="00F32158" w:rsidRDefault="00F32158" w:rsidP="00F32158">
            <w:pPr>
              <w:spacing w:line="240" w:lineRule="auto"/>
              <w:jc w:val="center"/>
              <w:rPr>
                <w:rFonts w:eastAsia="Times New Roman"/>
                <w:sz w:val="24"/>
                <w:szCs w:val="24"/>
                <w:lang w:eastAsia="ru-RU"/>
              </w:rPr>
            </w:pPr>
            <w:r w:rsidRPr="00F32158">
              <w:rPr>
                <w:rFonts w:eastAsia="Times New Roman"/>
                <w:sz w:val="24"/>
                <w:szCs w:val="24"/>
                <w:lang w:eastAsia="ru-RU"/>
              </w:rPr>
              <w:t>50,02</w:t>
            </w:r>
          </w:p>
        </w:tc>
        <w:tc>
          <w:tcPr>
            <w:tcW w:w="836" w:type="dxa"/>
            <w:gridSpan w:val="2"/>
          </w:tcPr>
          <w:p w:rsidR="00F32158" w:rsidRPr="00F32158" w:rsidRDefault="00F32158" w:rsidP="00F32158">
            <w:pPr>
              <w:spacing w:line="240" w:lineRule="auto"/>
              <w:jc w:val="center"/>
              <w:rPr>
                <w:rFonts w:eastAsia="Times New Roman"/>
                <w:sz w:val="24"/>
                <w:szCs w:val="24"/>
                <w:lang w:eastAsia="ru-RU"/>
              </w:rPr>
            </w:pPr>
            <w:r w:rsidRPr="00F32158">
              <w:rPr>
                <w:rFonts w:eastAsia="Times New Roman"/>
                <w:sz w:val="24"/>
                <w:szCs w:val="24"/>
                <w:lang w:eastAsia="ru-RU"/>
              </w:rPr>
              <w:t>0,28</w:t>
            </w:r>
          </w:p>
        </w:tc>
        <w:tc>
          <w:tcPr>
            <w:tcW w:w="1326" w:type="dxa"/>
            <w:gridSpan w:val="2"/>
          </w:tcPr>
          <w:p w:rsidR="00F32158" w:rsidRPr="00F32158" w:rsidRDefault="00F32158" w:rsidP="00F32158">
            <w:pPr>
              <w:spacing w:line="240" w:lineRule="auto"/>
              <w:jc w:val="center"/>
              <w:rPr>
                <w:rFonts w:eastAsia="Times New Roman"/>
                <w:sz w:val="24"/>
                <w:szCs w:val="24"/>
                <w:lang w:eastAsia="ru-RU"/>
              </w:rPr>
            </w:pPr>
            <w:r w:rsidRPr="00F32158">
              <w:rPr>
                <w:rFonts w:eastAsia="Times New Roman"/>
                <w:sz w:val="24"/>
                <w:szCs w:val="24"/>
                <w:lang w:eastAsia="ru-RU"/>
              </w:rPr>
              <w:t>67,00</w:t>
            </w:r>
          </w:p>
        </w:tc>
        <w:tc>
          <w:tcPr>
            <w:tcW w:w="800" w:type="dxa"/>
          </w:tcPr>
          <w:p w:rsidR="00F32158" w:rsidRPr="00F32158" w:rsidRDefault="00F32158" w:rsidP="00F32158">
            <w:pPr>
              <w:spacing w:line="240" w:lineRule="auto"/>
              <w:jc w:val="center"/>
              <w:rPr>
                <w:rFonts w:eastAsia="Times New Roman"/>
                <w:sz w:val="24"/>
                <w:szCs w:val="24"/>
                <w:lang w:eastAsia="ru-RU"/>
              </w:rPr>
            </w:pPr>
            <w:r w:rsidRPr="00F32158">
              <w:rPr>
                <w:rFonts w:eastAsia="Times New Roman"/>
                <w:sz w:val="24"/>
                <w:szCs w:val="24"/>
                <w:lang w:eastAsia="ru-RU"/>
              </w:rPr>
              <w:t>1,15</w:t>
            </w:r>
          </w:p>
        </w:tc>
        <w:tc>
          <w:tcPr>
            <w:tcW w:w="1276" w:type="dxa"/>
          </w:tcPr>
          <w:p w:rsidR="00F32158" w:rsidRPr="00F32158" w:rsidRDefault="00F32158" w:rsidP="00F32158">
            <w:pPr>
              <w:spacing w:line="240" w:lineRule="auto"/>
              <w:jc w:val="center"/>
              <w:rPr>
                <w:rFonts w:eastAsia="Times New Roman"/>
                <w:sz w:val="24"/>
                <w:szCs w:val="24"/>
                <w:lang w:eastAsia="ru-RU"/>
              </w:rPr>
            </w:pPr>
            <w:r w:rsidRPr="00F32158">
              <w:rPr>
                <w:rFonts w:eastAsia="Times New Roman"/>
                <w:sz w:val="24"/>
                <w:szCs w:val="24"/>
                <w:lang w:eastAsia="ru-RU"/>
              </w:rPr>
              <w:t>47,51</w:t>
            </w:r>
          </w:p>
        </w:tc>
      </w:tr>
      <w:tr w:rsidR="00F32158" w:rsidRPr="00F32158" w:rsidTr="00BF1F99">
        <w:trPr>
          <w:trHeight w:val="185"/>
          <w:jc w:val="center"/>
        </w:trPr>
        <w:tc>
          <w:tcPr>
            <w:tcW w:w="0" w:type="auto"/>
          </w:tcPr>
          <w:p w:rsidR="00F32158" w:rsidRPr="00F32158" w:rsidRDefault="00F32158" w:rsidP="00F32158">
            <w:pPr>
              <w:spacing w:line="240" w:lineRule="auto"/>
              <w:jc w:val="left"/>
              <w:rPr>
                <w:rFonts w:eastAsia="Times New Roman"/>
                <w:sz w:val="24"/>
                <w:szCs w:val="24"/>
                <w:lang w:eastAsia="ru-RU"/>
              </w:rPr>
            </w:pPr>
            <w:r w:rsidRPr="00F32158">
              <w:rPr>
                <w:rFonts w:eastAsia="Times New Roman"/>
                <w:sz w:val="24"/>
                <w:szCs w:val="24"/>
                <w:lang w:eastAsia="ru-RU"/>
              </w:rPr>
              <w:t>2015</w:t>
            </w:r>
          </w:p>
        </w:tc>
        <w:tc>
          <w:tcPr>
            <w:tcW w:w="809" w:type="dxa"/>
          </w:tcPr>
          <w:p w:rsidR="00F32158" w:rsidRPr="00F32158" w:rsidRDefault="00F32158" w:rsidP="00F32158">
            <w:pPr>
              <w:spacing w:line="240" w:lineRule="auto"/>
              <w:jc w:val="center"/>
              <w:rPr>
                <w:rFonts w:eastAsia="Times New Roman"/>
                <w:sz w:val="24"/>
                <w:szCs w:val="24"/>
                <w:lang w:eastAsia="ru-RU"/>
              </w:rPr>
            </w:pPr>
            <w:r w:rsidRPr="00F32158">
              <w:rPr>
                <w:rFonts w:eastAsia="Times New Roman"/>
                <w:sz w:val="24"/>
                <w:szCs w:val="24"/>
                <w:lang w:eastAsia="ru-RU"/>
              </w:rPr>
              <w:t>0,20</w:t>
            </w:r>
          </w:p>
        </w:tc>
        <w:tc>
          <w:tcPr>
            <w:tcW w:w="1233" w:type="dxa"/>
          </w:tcPr>
          <w:p w:rsidR="00F32158" w:rsidRPr="00F32158" w:rsidRDefault="00F32158" w:rsidP="00F32158">
            <w:pPr>
              <w:spacing w:line="240" w:lineRule="auto"/>
              <w:jc w:val="center"/>
              <w:rPr>
                <w:rFonts w:eastAsia="Times New Roman"/>
                <w:sz w:val="24"/>
                <w:szCs w:val="24"/>
                <w:lang w:eastAsia="ru-RU"/>
              </w:rPr>
            </w:pPr>
            <w:r w:rsidRPr="00F32158">
              <w:rPr>
                <w:rFonts w:eastAsia="Times New Roman"/>
                <w:sz w:val="24"/>
                <w:szCs w:val="24"/>
                <w:lang w:eastAsia="ru-RU"/>
              </w:rPr>
              <w:t>50,24</w:t>
            </w:r>
          </w:p>
        </w:tc>
        <w:tc>
          <w:tcPr>
            <w:tcW w:w="752" w:type="dxa"/>
          </w:tcPr>
          <w:p w:rsidR="00F32158" w:rsidRPr="00F32158" w:rsidRDefault="00F32158" w:rsidP="00F32158">
            <w:pPr>
              <w:spacing w:line="240" w:lineRule="auto"/>
              <w:jc w:val="center"/>
              <w:rPr>
                <w:rFonts w:eastAsia="Times New Roman"/>
                <w:sz w:val="24"/>
                <w:szCs w:val="24"/>
                <w:lang w:eastAsia="ru-RU"/>
              </w:rPr>
            </w:pPr>
            <w:r w:rsidRPr="00F32158">
              <w:rPr>
                <w:rFonts w:eastAsia="Times New Roman"/>
                <w:sz w:val="24"/>
                <w:szCs w:val="24"/>
                <w:lang w:eastAsia="ru-RU"/>
              </w:rPr>
              <w:t>0,19</w:t>
            </w:r>
          </w:p>
        </w:tc>
        <w:tc>
          <w:tcPr>
            <w:tcW w:w="1290" w:type="dxa"/>
          </w:tcPr>
          <w:p w:rsidR="00F32158" w:rsidRPr="00F32158" w:rsidRDefault="00F32158" w:rsidP="00F32158">
            <w:pPr>
              <w:spacing w:line="240" w:lineRule="auto"/>
              <w:jc w:val="center"/>
              <w:rPr>
                <w:rFonts w:eastAsia="Times New Roman"/>
                <w:sz w:val="24"/>
                <w:szCs w:val="24"/>
                <w:lang w:eastAsia="ru-RU"/>
              </w:rPr>
            </w:pPr>
            <w:r w:rsidRPr="00F32158">
              <w:rPr>
                <w:rFonts w:eastAsia="Times New Roman"/>
                <w:sz w:val="24"/>
                <w:szCs w:val="24"/>
                <w:lang w:eastAsia="ru-RU"/>
              </w:rPr>
              <w:t>46,29</w:t>
            </w:r>
          </w:p>
        </w:tc>
        <w:tc>
          <w:tcPr>
            <w:tcW w:w="836" w:type="dxa"/>
            <w:gridSpan w:val="2"/>
          </w:tcPr>
          <w:p w:rsidR="00F32158" w:rsidRPr="00F32158" w:rsidRDefault="00F32158" w:rsidP="00F32158">
            <w:pPr>
              <w:spacing w:line="240" w:lineRule="auto"/>
              <w:jc w:val="center"/>
              <w:rPr>
                <w:rFonts w:eastAsia="Times New Roman"/>
                <w:sz w:val="24"/>
                <w:szCs w:val="24"/>
                <w:lang w:eastAsia="ru-RU"/>
              </w:rPr>
            </w:pPr>
            <w:r w:rsidRPr="00F32158">
              <w:rPr>
                <w:rFonts w:eastAsia="Times New Roman"/>
                <w:sz w:val="24"/>
                <w:szCs w:val="24"/>
                <w:lang w:eastAsia="ru-RU"/>
              </w:rPr>
              <w:t>0,29</w:t>
            </w:r>
          </w:p>
        </w:tc>
        <w:tc>
          <w:tcPr>
            <w:tcW w:w="1326" w:type="dxa"/>
            <w:gridSpan w:val="2"/>
          </w:tcPr>
          <w:p w:rsidR="00F32158" w:rsidRPr="00F32158" w:rsidRDefault="00F32158" w:rsidP="00F32158">
            <w:pPr>
              <w:spacing w:line="240" w:lineRule="auto"/>
              <w:jc w:val="center"/>
              <w:rPr>
                <w:rFonts w:eastAsia="Times New Roman"/>
                <w:sz w:val="24"/>
                <w:szCs w:val="24"/>
                <w:lang w:eastAsia="ru-RU"/>
              </w:rPr>
            </w:pPr>
            <w:r w:rsidRPr="00F32158">
              <w:rPr>
                <w:rFonts w:eastAsia="Times New Roman"/>
                <w:sz w:val="24"/>
                <w:szCs w:val="24"/>
                <w:lang w:eastAsia="ru-RU"/>
              </w:rPr>
              <w:t>70,40</w:t>
            </w:r>
          </w:p>
        </w:tc>
        <w:tc>
          <w:tcPr>
            <w:tcW w:w="800" w:type="dxa"/>
          </w:tcPr>
          <w:p w:rsidR="00F32158" w:rsidRPr="00F32158" w:rsidRDefault="00F32158" w:rsidP="00F32158">
            <w:pPr>
              <w:spacing w:line="240" w:lineRule="auto"/>
              <w:jc w:val="center"/>
              <w:rPr>
                <w:rFonts w:eastAsia="Times New Roman"/>
                <w:sz w:val="24"/>
                <w:szCs w:val="24"/>
                <w:lang w:eastAsia="ru-RU"/>
              </w:rPr>
            </w:pPr>
            <w:r w:rsidRPr="00F32158">
              <w:rPr>
                <w:rFonts w:eastAsia="Times New Roman"/>
                <w:sz w:val="24"/>
                <w:szCs w:val="24"/>
                <w:lang w:eastAsia="ru-RU"/>
              </w:rPr>
              <w:t>1,10</w:t>
            </w:r>
          </w:p>
        </w:tc>
        <w:tc>
          <w:tcPr>
            <w:tcW w:w="1276" w:type="dxa"/>
          </w:tcPr>
          <w:p w:rsidR="00F32158" w:rsidRPr="00F32158" w:rsidRDefault="00F32158" w:rsidP="00F32158">
            <w:pPr>
              <w:spacing w:line="240" w:lineRule="auto"/>
              <w:jc w:val="center"/>
              <w:rPr>
                <w:rFonts w:eastAsia="Times New Roman"/>
                <w:sz w:val="24"/>
                <w:szCs w:val="24"/>
                <w:lang w:eastAsia="ru-RU"/>
              </w:rPr>
            </w:pPr>
            <w:r w:rsidRPr="00F32158">
              <w:rPr>
                <w:rFonts w:eastAsia="Times New Roman"/>
                <w:sz w:val="24"/>
                <w:szCs w:val="24"/>
                <w:lang w:eastAsia="ru-RU"/>
              </w:rPr>
              <w:t>43,29</w:t>
            </w:r>
          </w:p>
        </w:tc>
      </w:tr>
      <w:tr w:rsidR="00F32158" w:rsidRPr="00F32158" w:rsidTr="00BF1F99">
        <w:trPr>
          <w:trHeight w:val="177"/>
          <w:jc w:val="center"/>
        </w:trPr>
        <w:tc>
          <w:tcPr>
            <w:tcW w:w="0" w:type="auto"/>
          </w:tcPr>
          <w:p w:rsidR="00F32158" w:rsidRPr="00F32158" w:rsidRDefault="00F32158" w:rsidP="00F32158">
            <w:pPr>
              <w:spacing w:line="240" w:lineRule="auto"/>
              <w:jc w:val="left"/>
              <w:rPr>
                <w:rFonts w:eastAsia="Times New Roman"/>
                <w:sz w:val="24"/>
                <w:szCs w:val="24"/>
                <w:lang w:eastAsia="ru-RU"/>
              </w:rPr>
            </w:pPr>
            <w:r w:rsidRPr="00F32158">
              <w:rPr>
                <w:rFonts w:eastAsia="Times New Roman"/>
                <w:sz w:val="24"/>
                <w:szCs w:val="24"/>
                <w:lang w:eastAsia="ru-RU"/>
              </w:rPr>
              <w:t>2016</w:t>
            </w:r>
          </w:p>
        </w:tc>
        <w:tc>
          <w:tcPr>
            <w:tcW w:w="809" w:type="dxa"/>
          </w:tcPr>
          <w:p w:rsidR="00F32158" w:rsidRPr="00F32158" w:rsidRDefault="00F32158" w:rsidP="00F32158">
            <w:pPr>
              <w:spacing w:line="240" w:lineRule="auto"/>
              <w:jc w:val="center"/>
              <w:rPr>
                <w:rFonts w:eastAsia="Times New Roman"/>
                <w:sz w:val="24"/>
                <w:szCs w:val="24"/>
                <w:lang w:eastAsia="ru-RU"/>
              </w:rPr>
            </w:pPr>
            <w:r w:rsidRPr="00F32158">
              <w:rPr>
                <w:rFonts w:eastAsia="Times New Roman"/>
                <w:sz w:val="24"/>
                <w:szCs w:val="24"/>
                <w:lang w:eastAsia="ru-RU"/>
              </w:rPr>
              <w:t>0,18</w:t>
            </w:r>
          </w:p>
        </w:tc>
        <w:tc>
          <w:tcPr>
            <w:tcW w:w="1233" w:type="dxa"/>
          </w:tcPr>
          <w:p w:rsidR="00F32158" w:rsidRPr="00F32158" w:rsidRDefault="00F32158" w:rsidP="00F32158">
            <w:pPr>
              <w:spacing w:line="240" w:lineRule="auto"/>
              <w:jc w:val="center"/>
              <w:rPr>
                <w:rFonts w:eastAsia="Times New Roman"/>
                <w:sz w:val="24"/>
                <w:szCs w:val="24"/>
                <w:lang w:eastAsia="ru-RU"/>
              </w:rPr>
            </w:pPr>
            <w:r w:rsidRPr="00F32158">
              <w:rPr>
                <w:rFonts w:eastAsia="Times New Roman"/>
                <w:sz w:val="24"/>
                <w:szCs w:val="24"/>
                <w:lang w:eastAsia="ru-RU"/>
              </w:rPr>
              <w:t>49,98</w:t>
            </w:r>
          </w:p>
        </w:tc>
        <w:tc>
          <w:tcPr>
            <w:tcW w:w="752" w:type="dxa"/>
          </w:tcPr>
          <w:p w:rsidR="00F32158" w:rsidRPr="00F32158" w:rsidRDefault="00F32158" w:rsidP="00F32158">
            <w:pPr>
              <w:spacing w:line="240" w:lineRule="auto"/>
              <w:jc w:val="center"/>
              <w:rPr>
                <w:rFonts w:eastAsia="Times New Roman"/>
                <w:sz w:val="24"/>
                <w:szCs w:val="24"/>
                <w:lang w:eastAsia="ru-RU"/>
              </w:rPr>
            </w:pPr>
            <w:r w:rsidRPr="00F32158">
              <w:rPr>
                <w:rFonts w:eastAsia="Times New Roman"/>
                <w:sz w:val="24"/>
                <w:szCs w:val="24"/>
                <w:lang w:eastAsia="ru-RU"/>
              </w:rPr>
              <w:t>0,17</w:t>
            </w:r>
          </w:p>
        </w:tc>
        <w:tc>
          <w:tcPr>
            <w:tcW w:w="1290" w:type="dxa"/>
          </w:tcPr>
          <w:p w:rsidR="00F32158" w:rsidRPr="00F32158" w:rsidRDefault="00F32158" w:rsidP="00F32158">
            <w:pPr>
              <w:spacing w:line="240" w:lineRule="auto"/>
              <w:jc w:val="center"/>
              <w:rPr>
                <w:rFonts w:eastAsia="Times New Roman"/>
                <w:sz w:val="24"/>
                <w:szCs w:val="24"/>
                <w:lang w:eastAsia="ru-RU"/>
              </w:rPr>
            </w:pPr>
            <w:r w:rsidRPr="00F32158">
              <w:rPr>
                <w:rFonts w:eastAsia="Times New Roman"/>
                <w:sz w:val="24"/>
                <w:szCs w:val="24"/>
                <w:lang w:eastAsia="ru-RU"/>
              </w:rPr>
              <w:t>46,50</w:t>
            </w:r>
          </w:p>
        </w:tc>
        <w:tc>
          <w:tcPr>
            <w:tcW w:w="836" w:type="dxa"/>
            <w:gridSpan w:val="2"/>
          </w:tcPr>
          <w:p w:rsidR="00F32158" w:rsidRPr="00F32158" w:rsidRDefault="00F32158" w:rsidP="00F32158">
            <w:pPr>
              <w:spacing w:line="240" w:lineRule="auto"/>
              <w:jc w:val="center"/>
              <w:rPr>
                <w:rFonts w:eastAsia="Times New Roman"/>
                <w:sz w:val="24"/>
                <w:szCs w:val="24"/>
                <w:lang w:eastAsia="ru-RU"/>
              </w:rPr>
            </w:pPr>
            <w:r w:rsidRPr="00F32158">
              <w:rPr>
                <w:rFonts w:eastAsia="Times New Roman"/>
                <w:sz w:val="24"/>
                <w:szCs w:val="24"/>
                <w:lang w:eastAsia="ru-RU"/>
              </w:rPr>
              <w:t>0,27</w:t>
            </w:r>
          </w:p>
        </w:tc>
        <w:tc>
          <w:tcPr>
            <w:tcW w:w="1326" w:type="dxa"/>
            <w:gridSpan w:val="2"/>
          </w:tcPr>
          <w:p w:rsidR="00F32158" w:rsidRPr="00F32158" w:rsidRDefault="00F32158" w:rsidP="00F32158">
            <w:pPr>
              <w:spacing w:line="240" w:lineRule="auto"/>
              <w:jc w:val="center"/>
              <w:rPr>
                <w:rFonts w:eastAsia="Times New Roman"/>
                <w:sz w:val="24"/>
                <w:szCs w:val="24"/>
                <w:lang w:eastAsia="ru-RU"/>
              </w:rPr>
            </w:pPr>
            <w:r w:rsidRPr="00F32158">
              <w:rPr>
                <w:rFonts w:eastAsia="Times New Roman"/>
                <w:sz w:val="24"/>
                <w:szCs w:val="24"/>
                <w:lang w:eastAsia="ru-RU"/>
              </w:rPr>
              <w:t>66,80</w:t>
            </w:r>
          </w:p>
        </w:tc>
        <w:tc>
          <w:tcPr>
            <w:tcW w:w="800" w:type="dxa"/>
          </w:tcPr>
          <w:p w:rsidR="00F32158" w:rsidRPr="00F32158" w:rsidRDefault="00F32158" w:rsidP="00F32158">
            <w:pPr>
              <w:spacing w:line="240" w:lineRule="auto"/>
              <w:jc w:val="center"/>
              <w:rPr>
                <w:rFonts w:eastAsia="Times New Roman"/>
                <w:sz w:val="24"/>
                <w:szCs w:val="24"/>
                <w:lang w:eastAsia="ru-RU"/>
              </w:rPr>
            </w:pPr>
            <w:r w:rsidRPr="00F32158">
              <w:rPr>
                <w:rFonts w:eastAsia="Times New Roman"/>
                <w:sz w:val="24"/>
                <w:szCs w:val="24"/>
                <w:lang w:eastAsia="ru-RU"/>
              </w:rPr>
              <w:t>1,00</w:t>
            </w:r>
          </w:p>
        </w:tc>
        <w:tc>
          <w:tcPr>
            <w:tcW w:w="1276" w:type="dxa"/>
          </w:tcPr>
          <w:p w:rsidR="00F32158" w:rsidRPr="00F32158" w:rsidRDefault="00F32158" w:rsidP="00F32158">
            <w:pPr>
              <w:spacing w:line="240" w:lineRule="auto"/>
              <w:jc w:val="center"/>
              <w:rPr>
                <w:rFonts w:eastAsia="Times New Roman"/>
                <w:sz w:val="24"/>
                <w:szCs w:val="24"/>
                <w:lang w:eastAsia="ru-RU"/>
              </w:rPr>
            </w:pPr>
            <w:r w:rsidRPr="00F32158">
              <w:rPr>
                <w:rFonts w:eastAsia="Times New Roman"/>
                <w:sz w:val="24"/>
                <w:szCs w:val="24"/>
                <w:lang w:eastAsia="ru-RU"/>
              </w:rPr>
              <w:t>43,72</w:t>
            </w:r>
          </w:p>
        </w:tc>
      </w:tr>
      <w:tr w:rsidR="00F32158" w:rsidRPr="00F32158" w:rsidTr="00BF1F99">
        <w:trPr>
          <w:trHeight w:val="312"/>
          <w:jc w:val="center"/>
        </w:trPr>
        <w:tc>
          <w:tcPr>
            <w:tcW w:w="0" w:type="auto"/>
          </w:tcPr>
          <w:p w:rsidR="00F32158" w:rsidRPr="00F32158" w:rsidRDefault="00F32158" w:rsidP="00F32158">
            <w:pPr>
              <w:spacing w:line="240" w:lineRule="auto"/>
              <w:jc w:val="left"/>
              <w:rPr>
                <w:rFonts w:eastAsia="Times New Roman"/>
                <w:sz w:val="24"/>
                <w:szCs w:val="24"/>
                <w:lang w:eastAsia="ru-RU"/>
              </w:rPr>
            </w:pPr>
            <w:r w:rsidRPr="00F32158">
              <w:rPr>
                <w:rFonts w:eastAsia="Times New Roman"/>
                <w:sz w:val="24"/>
                <w:szCs w:val="24"/>
                <w:lang w:eastAsia="ru-RU"/>
              </w:rPr>
              <w:t>2017</w:t>
            </w:r>
          </w:p>
        </w:tc>
        <w:tc>
          <w:tcPr>
            <w:tcW w:w="809" w:type="dxa"/>
          </w:tcPr>
          <w:p w:rsidR="00F32158" w:rsidRPr="00F32158" w:rsidRDefault="00F32158" w:rsidP="00F32158">
            <w:pPr>
              <w:spacing w:line="240" w:lineRule="auto"/>
              <w:jc w:val="center"/>
              <w:rPr>
                <w:rFonts w:eastAsia="Times New Roman"/>
                <w:sz w:val="24"/>
                <w:szCs w:val="24"/>
                <w:lang w:eastAsia="ru-RU"/>
              </w:rPr>
            </w:pPr>
            <w:r w:rsidRPr="00F32158">
              <w:rPr>
                <w:rFonts w:eastAsia="Times New Roman"/>
                <w:sz w:val="24"/>
                <w:szCs w:val="24"/>
                <w:lang w:eastAsia="ru-RU"/>
              </w:rPr>
              <w:t>0,17</w:t>
            </w:r>
          </w:p>
        </w:tc>
        <w:tc>
          <w:tcPr>
            <w:tcW w:w="1233" w:type="dxa"/>
          </w:tcPr>
          <w:p w:rsidR="00F32158" w:rsidRPr="00F32158" w:rsidRDefault="00F32158" w:rsidP="00F32158">
            <w:pPr>
              <w:spacing w:line="240" w:lineRule="auto"/>
              <w:jc w:val="center"/>
              <w:rPr>
                <w:rFonts w:eastAsia="Times New Roman"/>
                <w:sz w:val="24"/>
                <w:szCs w:val="24"/>
                <w:lang w:eastAsia="ru-RU"/>
              </w:rPr>
            </w:pPr>
            <w:r w:rsidRPr="00F32158">
              <w:rPr>
                <w:rFonts w:eastAsia="Times New Roman"/>
                <w:sz w:val="24"/>
                <w:szCs w:val="24"/>
                <w:lang w:eastAsia="ru-RU"/>
              </w:rPr>
              <w:t>49,75</w:t>
            </w:r>
          </w:p>
        </w:tc>
        <w:tc>
          <w:tcPr>
            <w:tcW w:w="752" w:type="dxa"/>
          </w:tcPr>
          <w:p w:rsidR="00F32158" w:rsidRPr="00F32158" w:rsidRDefault="00F32158" w:rsidP="00F32158">
            <w:pPr>
              <w:spacing w:line="240" w:lineRule="auto"/>
              <w:jc w:val="center"/>
              <w:rPr>
                <w:rFonts w:eastAsia="Times New Roman"/>
                <w:sz w:val="24"/>
                <w:szCs w:val="24"/>
                <w:lang w:eastAsia="ru-RU"/>
              </w:rPr>
            </w:pPr>
            <w:r w:rsidRPr="00F32158">
              <w:rPr>
                <w:rFonts w:eastAsia="Times New Roman"/>
                <w:sz w:val="24"/>
                <w:szCs w:val="24"/>
                <w:lang w:eastAsia="ru-RU"/>
              </w:rPr>
              <w:t>0.16</w:t>
            </w:r>
          </w:p>
        </w:tc>
        <w:tc>
          <w:tcPr>
            <w:tcW w:w="1290" w:type="dxa"/>
          </w:tcPr>
          <w:p w:rsidR="00F32158" w:rsidRPr="00F32158" w:rsidRDefault="00F32158" w:rsidP="00F32158">
            <w:pPr>
              <w:spacing w:line="240" w:lineRule="auto"/>
              <w:jc w:val="center"/>
              <w:rPr>
                <w:rFonts w:eastAsia="Times New Roman"/>
                <w:sz w:val="24"/>
                <w:szCs w:val="24"/>
                <w:lang w:eastAsia="ru-RU"/>
              </w:rPr>
            </w:pPr>
            <w:r w:rsidRPr="00F32158">
              <w:rPr>
                <w:rFonts w:eastAsia="Times New Roman"/>
                <w:sz w:val="24"/>
                <w:szCs w:val="24"/>
                <w:lang w:eastAsia="ru-RU"/>
              </w:rPr>
              <w:t>46,11</w:t>
            </w:r>
          </w:p>
        </w:tc>
        <w:tc>
          <w:tcPr>
            <w:tcW w:w="836" w:type="dxa"/>
            <w:gridSpan w:val="2"/>
          </w:tcPr>
          <w:p w:rsidR="00F32158" w:rsidRPr="00F32158" w:rsidRDefault="00F32158" w:rsidP="00F32158">
            <w:pPr>
              <w:spacing w:line="240" w:lineRule="auto"/>
              <w:jc w:val="center"/>
              <w:rPr>
                <w:rFonts w:eastAsia="Times New Roman"/>
                <w:sz w:val="24"/>
                <w:szCs w:val="24"/>
                <w:lang w:eastAsia="ru-RU"/>
              </w:rPr>
            </w:pPr>
            <w:r w:rsidRPr="00F32158">
              <w:rPr>
                <w:rFonts w:eastAsia="Times New Roman"/>
                <w:sz w:val="24"/>
                <w:szCs w:val="24"/>
                <w:lang w:eastAsia="ru-RU"/>
              </w:rPr>
              <w:t>0,25</w:t>
            </w:r>
          </w:p>
        </w:tc>
        <w:tc>
          <w:tcPr>
            <w:tcW w:w="1326" w:type="dxa"/>
            <w:gridSpan w:val="2"/>
          </w:tcPr>
          <w:p w:rsidR="00F32158" w:rsidRPr="00F32158" w:rsidRDefault="00F32158" w:rsidP="00F32158">
            <w:pPr>
              <w:spacing w:line="240" w:lineRule="auto"/>
              <w:jc w:val="center"/>
              <w:rPr>
                <w:rFonts w:eastAsia="Times New Roman"/>
                <w:sz w:val="24"/>
                <w:szCs w:val="24"/>
                <w:lang w:eastAsia="ru-RU"/>
              </w:rPr>
            </w:pPr>
            <w:r w:rsidRPr="00F32158">
              <w:rPr>
                <w:rFonts w:eastAsia="Times New Roman"/>
                <w:sz w:val="24"/>
                <w:szCs w:val="24"/>
                <w:lang w:eastAsia="ru-RU"/>
              </w:rPr>
              <w:t>69,07</w:t>
            </w:r>
          </w:p>
        </w:tc>
        <w:tc>
          <w:tcPr>
            <w:tcW w:w="800" w:type="dxa"/>
          </w:tcPr>
          <w:p w:rsidR="00F32158" w:rsidRPr="00F32158" w:rsidRDefault="00F32158" w:rsidP="00F32158">
            <w:pPr>
              <w:spacing w:line="240" w:lineRule="auto"/>
              <w:jc w:val="center"/>
              <w:rPr>
                <w:rFonts w:eastAsia="Times New Roman"/>
                <w:sz w:val="24"/>
                <w:szCs w:val="24"/>
                <w:lang w:eastAsia="ru-RU"/>
              </w:rPr>
            </w:pPr>
            <w:r w:rsidRPr="00F32158">
              <w:rPr>
                <w:rFonts w:eastAsia="Times New Roman"/>
                <w:sz w:val="24"/>
                <w:szCs w:val="24"/>
                <w:lang w:eastAsia="ru-RU"/>
              </w:rPr>
              <w:t>0,96</w:t>
            </w:r>
          </w:p>
        </w:tc>
        <w:tc>
          <w:tcPr>
            <w:tcW w:w="1276" w:type="dxa"/>
          </w:tcPr>
          <w:p w:rsidR="00F32158" w:rsidRPr="00F32158" w:rsidRDefault="00F32158" w:rsidP="00F32158">
            <w:pPr>
              <w:spacing w:line="240" w:lineRule="auto"/>
              <w:jc w:val="center"/>
              <w:rPr>
                <w:rFonts w:eastAsia="Times New Roman"/>
                <w:sz w:val="24"/>
                <w:szCs w:val="24"/>
                <w:lang w:eastAsia="ru-RU"/>
              </w:rPr>
            </w:pPr>
            <w:r w:rsidRPr="00F32158">
              <w:rPr>
                <w:rFonts w:eastAsia="Times New Roman"/>
                <w:sz w:val="24"/>
                <w:szCs w:val="24"/>
                <w:lang w:eastAsia="ru-RU"/>
              </w:rPr>
              <w:t>43,02</w:t>
            </w:r>
          </w:p>
        </w:tc>
      </w:tr>
      <w:tr w:rsidR="00F32158" w:rsidRPr="00F32158" w:rsidTr="00BF1F99">
        <w:trPr>
          <w:trHeight w:val="312"/>
          <w:jc w:val="center"/>
        </w:trPr>
        <w:tc>
          <w:tcPr>
            <w:tcW w:w="0" w:type="auto"/>
          </w:tcPr>
          <w:p w:rsidR="00F32158" w:rsidRPr="00F32158" w:rsidRDefault="00F32158" w:rsidP="00F32158">
            <w:pPr>
              <w:spacing w:line="240" w:lineRule="auto"/>
              <w:jc w:val="left"/>
              <w:rPr>
                <w:rFonts w:eastAsia="Times New Roman"/>
                <w:sz w:val="24"/>
                <w:szCs w:val="24"/>
                <w:lang w:eastAsia="ru-RU"/>
              </w:rPr>
            </w:pPr>
            <w:r w:rsidRPr="00F32158">
              <w:rPr>
                <w:rFonts w:eastAsia="Times New Roman"/>
                <w:sz w:val="24"/>
                <w:szCs w:val="24"/>
                <w:lang w:eastAsia="ru-RU"/>
              </w:rPr>
              <w:t>2018</w:t>
            </w:r>
          </w:p>
        </w:tc>
        <w:tc>
          <w:tcPr>
            <w:tcW w:w="809" w:type="dxa"/>
          </w:tcPr>
          <w:p w:rsidR="00F32158" w:rsidRPr="00F32158" w:rsidRDefault="00F32158" w:rsidP="00F32158">
            <w:pPr>
              <w:spacing w:line="240" w:lineRule="auto"/>
              <w:jc w:val="center"/>
              <w:rPr>
                <w:rFonts w:eastAsia="Times New Roman"/>
                <w:sz w:val="24"/>
                <w:szCs w:val="24"/>
                <w:lang w:eastAsia="ru-RU"/>
              </w:rPr>
            </w:pPr>
            <w:r w:rsidRPr="00F32158">
              <w:rPr>
                <w:rFonts w:eastAsia="Times New Roman"/>
                <w:sz w:val="24"/>
                <w:szCs w:val="24"/>
                <w:lang w:eastAsia="ru-RU"/>
              </w:rPr>
              <w:t>0,17</w:t>
            </w:r>
          </w:p>
        </w:tc>
        <w:tc>
          <w:tcPr>
            <w:tcW w:w="1233" w:type="dxa"/>
          </w:tcPr>
          <w:p w:rsidR="00F32158" w:rsidRPr="00F32158" w:rsidRDefault="00F32158" w:rsidP="00F32158">
            <w:pPr>
              <w:spacing w:line="240" w:lineRule="auto"/>
              <w:jc w:val="center"/>
              <w:rPr>
                <w:rFonts w:eastAsia="Times New Roman"/>
                <w:sz w:val="24"/>
                <w:szCs w:val="24"/>
                <w:lang w:eastAsia="ru-RU"/>
              </w:rPr>
            </w:pPr>
            <w:r w:rsidRPr="00F32158">
              <w:rPr>
                <w:rFonts w:eastAsia="Times New Roman"/>
                <w:sz w:val="24"/>
                <w:szCs w:val="24"/>
                <w:lang w:eastAsia="ru-RU"/>
              </w:rPr>
              <w:t>49,82</w:t>
            </w:r>
          </w:p>
        </w:tc>
        <w:tc>
          <w:tcPr>
            <w:tcW w:w="752" w:type="dxa"/>
          </w:tcPr>
          <w:p w:rsidR="00F32158" w:rsidRPr="00F32158" w:rsidRDefault="00F32158" w:rsidP="00F32158">
            <w:pPr>
              <w:spacing w:line="240" w:lineRule="auto"/>
              <w:jc w:val="center"/>
              <w:rPr>
                <w:rFonts w:eastAsia="Times New Roman"/>
                <w:sz w:val="24"/>
                <w:szCs w:val="24"/>
                <w:lang w:eastAsia="ru-RU"/>
              </w:rPr>
            </w:pPr>
            <w:r w:rsidRPr="00F32158">
              <w:rPr>
                <w:rFonts w:eastAsia="Times New Roman"/>
                <w:sz w:val="24"/>
                <w:szCs w:val="24"/>
                <w:lang w:eastAsia="ru-RU"/>
              </w:rPr>
              <w:t>0,15</w:t>
            </w:r>
          </w:p>
        </w:tc>
        <w:tc>
          <w:tcPr>
            <w:tcW w:w="1290" w:type="dxa"/>
          </w:tcPr>
          <w:p w:rsidR="00F32158" w:rsidRPr="00F32158" w:rsidRDefault="00F32158" w:rsidP="00F32158">
            <w:pPr>
              <w:spacing w:line="240" w:lineRule="auto"/>
              <w:jc w:val="center"/>
              <w:rPr>
                <w:rFonts w:eastAsia="Times New Roman"/>
                <w:sz w:val="24"/>
                <w:szCs w:val="24"/>
                <w:lang w:eastAsia="ru-RU"/>
              </w:rPr>
            </w:pPr>
            <w:r w:rsidRPr="00F32158">
              <w:rPr>
                <w:rFonts w:eastAsia="Times New Roman"/>
                <w:sz w:val="24"/>
                <w:szCs w:val="24"/>
                <w:lang w:eastAsia="ru-RU"/>
              </w:rPr>
              <w:t>47,66</w:t>
            </w:r>
          </w:p>
        </w:tc>
        <w:tc>
          <w:tcPr>
            <w:tcW w:w="836" w:type="dxa"/>
            <w:gridSpan w:val="2"/>
          </w:tcPr>
          <w:p w:rsidR="00F32158" w:rsidRPr="00F32158" w:rsidRDefault="00F32158" w:rsidP="00F32158">
            <w:pPr>
              <w:spacing w:line="240" w:lineRule="auto"/>
              <w:jc w:val="center"/>
              <w:rPr>
                <w:rFonts w:eastAsia="Times New Roman"/>
                <w:sz w:val="24"/>
                <w:szCs w:val="24"/>
                <w:lang w:eastAsia="ru-RU"/>
              </w:rPr>
            </w:pPr>
            <w:r w:rsidRPr="00F32158">
              <w:rPr>
                <w:rFonts w:eastAsia="Times New Roman"/>
                <w:sz w:val="24"/>
                <w:szCs w:val="24"/>
                <w:lang w:eastAsia="ru-RU"/>
              </w:rPr>
              <w:t>0,21</w:t>
            </w:r>
          </w:p>
        </w:tc>
        <w:tc>
          <w:tcPr>
            <w:tcW w:w="1326" w:type="dxa"/>
            <w:gridSpan w:val="2"/>
          </w:tcPr>
          <w:p w:rsidR="00F32158" w:rsidRPr="00F32158" w:rsidRDefault="00F32158" w:rsidP="00F32158">
            <w:pPr>
              <w:spacing w:line="240" w:lineRule="auto"/>
              <w:jc w:val="center"/>
              <w:rPr>
                <w:rFonts w:eastAsia="Times New Roman"/>
                <w:sz w:val="24"/>
                <w:szCs w:val="24"/>
                <w:lang w:eastAsia="ru-RU"/>
              </w:rPr>
            </w:pPr>
            <w:r w:rsidRPr="00F32158">
              <w:rPr>
                <w:rFonts w:eastAsia="Times New Roman"/>
                <w:sz w:val="24"/>
                <w:szCs w:val="24"/>
                <w:lang w:eastAsia="ru-RU"/>
              </w:rPr>
              <w:t>61,54</w:t>
            </w:r>
          </w:p>
        </w:tc>
        <w:tc>
          <w:tcPr>
            <w:tcW w:w="800" w:type="dxa"/>
          </w:tcPr>
          <w:p w:rsidR="00F32158" w:rsidRPr="00F32158" w:rsidRDefault="00F32158" w:rsidP="00F32158">
            <w:pPr>
              <w:spacing w:line="240" w:lineRule="auto"/>
              <w:jc w:val="center"/>
              <w:rPr>
                <w:rFonts w:eastAsia="Times New Roman"/>
                <w:sz w:val="24"/>
                <w:szCs w:val="24"/>
                <w:lang w:eastAsia="ru-RU"/>
              </w:rPr>
            </w:pPr>
            <w:r w:rsidRPr="00F32158">
              <w:rPr>
                <w:rFonts w:eastAsia="Times New Roman"/>
                <w:sz w:val="24"/>
                <w:szCs w:val="24"/>
                <w:lang w:eastAsia="ru-RU"/>
              </w:rPr>
              <w:t>0,89</w:t>
            </w:r>
          </w:p>
        </w:tc>
        <w:tc>
          <w:tcPr>
            <w:tcW w:w="1276" w:type="dxa"/>
          </w:tcPr>
          <w:p w:rsidR="00F32158" w:rsidRPr="00F32158" w:rsidRDefault="00F32158" w:rsidP="00F32158">
            <w:pPr>
              <w:spacing w:line="240" w:lineRule="auto"/>
              <w:jc w:val="center"/>
              <w:rPr>
                <w:rFonts w:eastAsia="Times New Roman"/>
                <w:sz w:val="24"/>
                <w:szCs w:val="24"/>
                <w:lang w:eastAsia="ru-RU"/>
              </w:rPr>
            </w:pPr>
            <w:r w:rsidRPr="00F32158">
              <w:rPr>
                <w:rFonts w:eastAsia="Times New Roman"/>
                <w:sz w:val="24"/>
                <w:szCs w:val="24"/>
                <w:lang w:eastAsia="ru-RU"/>
              </w:rPr>
              <w:t>43,80</w:t>
            </w:r>
          </w:p>
        </w:tc>
      </w:tr>
      <w:tr w:rsidR="00F32158" w:rsidRPr="00F32158" w:rsidTr="00BF1F99">
        <w:trPr>
          <w:trHeight w:val="312"/>
          <w:jc w:val="center"/>
        </w:trPr>
        <w:tc>
          <w:tcPr>
            <w:tcW w:w="0" w:type="auto"/>
          </w:tcPr>
          <w:p w:rsidR="00F32158" w:rsidRPr="00F32158" w:rsidRDefault="00F32158" w:rsidP="00F32158">
            <w:pPr>
              <w:spacing w:line="240" w:lineRule="auto"/>
              <w:jc w:val="left"/>
              <w:rPr>
                <w:rFonts w:eastAsia="Times New Roman"/>
                <w:sz w:val="24"/>
                <w:szCs w:val="24"/>
                <w:lang w:eastAsia="ru-RU"/>
              </w:rPr>
            </w:pPr>
            <w:r w:rsidRPr="00F32158">
              <w:rPr>
                <w:rFonts w:eastAsia="Times New Roman"/>
                <w:sz w:val="24"/>
                <w:szCs w:val="24"/>
                <w:lang w:eastAsia="ru-RU"/>
              </w:rPr>
              <w:t>2018 р./2009р.</w:t>
            </w:r>
          </w:p>
        </w:tc>
        <w:tc>
          <w:tcPr>
            <w:tcW w:w="809" w:type="dxa"/>
          </w:tcPr>
          <w:p w:rsidR="00F32158" w:rsidRPr="00F32158" w:rsidRDefault="00F32158" w:rsidP="00F32158">
            <w:pPr>
              <w:spacing w:line="240" w:lineRule="auto"/>
              <w:jc w:val="center"/>
              <w:rPr>
                <w:rFonts w:eastAsia="Times New Roman"/>
                <w:sz w:val="24"/>
                <w:szCs w:val="24"/>
                <w:lang w:eastAsia="ru-RU"/>
              </w:rPr>
            </w:pPr>
            <w:r w:rsidRPr="00F32158">
              <w:rPr>
                <w:rFonts w:eastAsia="Times New Roman"/>
                <w:sz w:val="24"/>
                <w:szCs w:val="24"/>
                <w:lang w:eastAsia="ru-RU"/>
              </w:rPr>
              <w:t>-32,0</w:t>
            </w:r>
          </w:p>
        </w:tc>
        <w:tc>
          <w:tcPr>
            <w:tcW w:w="1233" w:type="dxa"/>
          </w:tcPr>
          <w:p w:rsidR="00F32158" w:rsidRPr="00F32158" w:rsidRDefault="00F32158" w:rsidP="00F32158">
            <w:pPr>
              <w:spacing w:line="240" w:lineRule="auto"/>
              <w:jc w:val="center"/>
              <w:rPr>
                <w:rFonts w:eastAsia="Times New Roman"/>
                <w:sz w:val="24"/>
                <w:szCs w:val="24"/>
                <w:lang w:eastAsia="ru-RU"/>
              </w:rPr>
            </w:pPr>
            <w:r w:rsidRPr="00F32158">
              <w:rPr>
                <w:rFonts w:eastAsia="Times New Roman"/>
                <w:sz w:val="24"/>
                <w:szCs w:val="24"/>
                <w:lang w:eastAsia="ru-RU"/>
              </w:rPr>
              <w:t>+0,78</w:t>
            </w:r>
          </w:p>
        </w:tc>
        <w:tc>
          <w:tcPr>
            <w:tcW w:w="752" w:type="dxa"/>
          </w:tcPr>
          <w:p w:rsidR="00F32158" w:rsidRPr="00F32158" w:rsidRDefault="00F32158" w:rsidP="00F32158">
            <w:pPr>
              <w:spacing w:line="240" w:lineRule="auto"/>
              <w:jc w:val="center"/>
              <w:rPr>
                <w:rFonts w:eastAsia="Times New Roman"/>
                <w:sz w:val="24"/>
                <w:szCs w:val="24"/>
                <w:lang w:eastAsia="ru-RU"/>
              </w:rPr>
            </w:pPr>
            <w:r w:rsidRPr="00F32158">
              <w:rPr>
                <w:rFonts w:eastAsia="Times New Roman"/>
                <w:sz w:val="24"/>
                <w:szCs w:val="24"/>
                <w:lang w:eastAsia="ru-RU"/>
              </w:rPr>
              <w:t>-37,5</w:t>
            </w:r>
          </w:p>
        </w:tc>
        <w:tc>
          <w:tcPr>
            <w:tcW w:w="1290" w:type="dxa"/>
          </w:tcPr>
          <w:p w:rsidR="00F32158" w:rsidRPr="00F32158" w:rsidRDefault="00F32158" w:rsidP="00F32158">
            <w:pPr>
              <w:spacing w:line="240" w:lineRule="auto"/>
              <w:jc w:val="center"/>
              <w:rPr>
                <w:rFonts w:eastAsia="Times New Roman"/>
                <w:sz w:val="24"/>
                <w:szCs w:val="24"/>
                <w:lang w:eastAsia="ru-RU"/>
              </w:rPr>
            </w:pPr>
            <w:r w:rsidRPr="00F32158">
              <w:rPr>
                <w:rFonts w:eastAsia="Times New Roman"/>
                <w:sz w:val="24"/>
                <w:szCs w:val="24"/>
                <w:lang w:eastAsia="ru-RU"/>
              </w:rPr>
              <w:t>+1,88</w:t>
            </w:r>
          </w:p>
        </w:tc>
        <w:tc>
          <w:tcPr>
            <w:tcW w:w="836" w:type="dxa"/>
            <w:gridSpan w:val="2"/>
          </w:tcPr>
          <w:p w:rsidR="00F32158" w:rsidRPr="00F32158" w:rsidRDefault="00F32158" w:rsidP="00F32158">
            <w:pPr>
              <w:spacing w:line="240" w:lineRule="auto"/>
              <w:jc w:val="center"/>
              <w:rPr>
                <w:rFonts w:eastAsia="Times New Roman"/>
                <w:sz w:val="24"/>
                <w:szCs w:val="24"/>
                <w:lang w:eastAsia="ru-RU"/>
              </w:rPr>
            </w:pPr>
            <w:r w:rsidRPr="00F32158">
              <w:rPr>
                <w:rFonts w:eastAsia="Times New Roman"/>
                <w:sz w:val="24"/>
                <w:szCs w:val="24"/>
                <w:lang w:eastAsia="ru-RU"/>
              </w:rPr>
              <w:t>+25,0</w:t>
            </w:r>
          </w:p>
        </w:tc>
        <w:tc>
          <w:tcPr>
            <w:tcW w:w="1326" w:type="dxa"/>
            <w:gridSpan w:val="2"/>
            <w:tcBorders>
              <w:bottom w:val="single" w:sz="4" w:space="0" w:color="auto"/>
            </w:tcBorders>
          </w:tcPr>
          <w:p w:rsidR="00F32158" w:rsidRPr="00F32158" w:rsidRDefault="00F32158" w:rsidP="00F32158">
            <w:pPr>
              <w:spacing w:line="240" w:lineRule="auto"/>
              <w:jc w:val="center"/>
              <w:rPr>
                <w:rFonts w:eastAsia="Times New Roman"/>
                <w:sz w:val="24"/>
                <w:szCs w:val="24"/>
                <w:lang w:eastAsia="ru-RU"/>
              </w:rPr>
            </w:pPr>
            <w:r w:rsidRPr="00F32158">
              <w:rPr>
                <w:rFonts w:eastAsia="Times New Roman"/>
                <w:sz w:val="24"/>
                <w:szCs w:val="24"/>
                <w:lang w:eastAsia="ru-RU"/>
              </w:rPr>
              <w:t>-2,18</w:t>
            </w:r>
          </w:p>
        </w:tc>
        <w:tc>
          <w:tcPr>
            <w:tcW w:w="800" w:type="dxa"/>
          </w:tcPr>
          <w:p w:rsidR="00F32158" w:rsidRPr="00F32158" w:rsidRDefault="00F32158" w:rsidP="00F32158">
            <w:pPr>
              <w:spacing w:line="240" w:lineRule="auto"/>
              <w:jc w:val="center"/>
              <w:rPr>
                <w:rFonts w:eastAsia="Times New Roman"/>
                <w:sz w:val="24"/>
                <w:szCs w:val="24"/>
                <w:lang w:eastAsia="ru-RU"/>
              </w:rPr>
            </w:pPr>
            <w:r w:rsidRPr="00F32158">
              <w:rPr>
                <w:rFonts w:eastAsia="Times New Roman"/>
                <w:sz w:val="24"/>
                <w:szCs w:val="24"/>
                <w:lang w:eastAsia="ru-RU"/>
              </w:rPr>
              <w:t>-34,6</w:t>
            </w:r>
          </w:p>
        </w:tc>
        <w:tc>
          <w:tcPr>
            <w:tcW w:w="0" w:type="auto"/>
          </w:tcPr>
          <w:p w:rsidR="00F32158" w:rsidRPr="00F32158" w:rsidRDefault="00F32158" w:rsidP="00F32158">
            <w:pPr>
              <w:spacing w:line="240" w:lineRule="auto"/>
              <w:jc w:val="center"/>
              <w:rPr>
                <w:rFonts w:eastAsia="Times New Roman"/>
                <w:szCs w:val="28"/>
                <w:lang w:eastAsia="ru-RU"/>
              </w:rPr>
            </w:pPr>
            <w:r w:rsidRPr="00F32158">
              <w:rPr>
                <w:rFonts w:eastAsia="Times New Roman"/>
                <w:sz w:val="24"/>
                <w:szCs w:val="24"/>
                <w:lang w:eastAsia="ru-RU"/>
              </w:rPr>
              <w:t>+3,2</w:t>
            </w:r>
          </w:p>
        </w:tc>
      </w:tr>
    </w:tbl>
    <w:p w:rsidR="00F32158" w:rsidRPr="00F32158" w:rsidRDefault="00F32158" w:rsidP="00F32158">
      <w:pPr>
        <w:tabs>
          <w:tab w:val="left" w:pos="8133"/>
        </w:tabs>
        <w:spacing w:after="200" w:line="276" w:lineRule="auto"/>
        <w:jc w:val="left"/>
        <w:rPr>
          <w:rFonts w:eastAsia="Calibri"/>
          <w:szCs w:val="28"/>
        </w:rPr>
      </w:pPr>
    </w:p>
    <w:p w:rsidR="00F32158" w:rsidRPr="00F32158" w:rsidRDefault="00F32158" w:rsidP="00F32158">
      <w:pPr>
        <w:tabs>
          <w:tab w:val="left" w:pos="8133"/>
        </w:tabs>
        <w:spacing w:after="200" w:line="276" w:lineRule="auto"/>
        <w:jc w:val="left"/>
        <w:rPr>
          <w:rFonts w:eastAsia="Calibri"/>
          <w:szCs w:val="28"/>
        </w:rPr>
      </w:pPr>
    </w:p>
    <w:p w:rsidR="00F32158" w:rsidRPr="00F32158" w:rsidRDefault="00F32158" w:rsidP="00F32158">
      <w:pPr>
        <w:tabs>
          <w:tab w:val="left" w:pos="8133"/>
        </w:tabs>
        <w:spacing w:after="200" w:line="276" w:lineRule="auto"/>
        <w:jc w:val="left"/>
        <w:rPr>
          <w:rFonts w:eastAsia="Calibri"/>
          <w:szCs w:val="28"/>
          <w:lang w:val="ru-RU"/>
        </w:rPr>
      </w:pPr>
    </w:p>
    <w:p w:rsidR="00F32158" w:rsidRPr="00F32158" w:rsidRDefault="00F32158" w:rsidP="00F32158">
      <w:pPr>
        <w:tabs>
          <w:tab w:val="left" w:pos="8133"/>
        </w:tabs>
        <w:spacing w:after="200" w:line="276" w:lineRule="auto"/>
        <w:jc w:val="left"/>
        <w:rPr>
          <w:rFonts w:eastAsia="Calibri"/>
          <w:szCs w:val="28"/>
          <w:lang w:val="ru-RU"/>
        </w:rPr>
      </w:pPr>
    </w:p>
    <w:p w:rsidR="00F32158" w:rsidRPr="00F32158" w:rsidRDefault="00F32158" w:rsidP="00F32158">
      <w:pPr>
        <w:tabs>
          <w:tab w:val="left" w:pos="8133"/>
        </w:tabs>
        <w:spacing w:after="200" w:line="276" w:lineRule="auto"/>
        <w:jc w:val="left"/>
        <w:rPr>
          <w:rFonts w:eastAsia="Calibri"/>
          <w:szCs w:val="28"/>
          <w:lang w:val="ru-RU"/>
        </w:rPr>
      </w:pPr>
    </w:p>
    <w:p w:rsidR="00F32158" w:rsidRPr="00F32158" w:rsidRDefault="00F32158" w:rsidP="00F32158">
      <w:pPr>
        <w:tabs>
          <w:tab w:val="left" w:pos="8133"/>
        </w:tabs>
        <w:spacing w:after="200" w:line="276" w:lineRule="auto"/>
        <w:jc w:val="left"/>
        <w:rPr>
          <w:rFonts w:eastAsia="Calibri"/>
          <w:szCs w:val="28"/>
          <w:lang w:val="ru-RU"/>
        </w:rPr>
      </w:pPr>
    </w:p>
    <w:p w:rsidR="00F32158" w:rsidRPr="00F32158" w:rsidRDefault="00F32158" w:rsidP="00F32158">
      <w:pPr>
        <w:tabs>
          <w:tab w:val="left" w:pos="8133"/>
        </w:tabs>
        <w:spacing w:after="200" w:line="276" w:lineRule="auto"/>
        <w:jc w:val="left"/>
        <w:rPr>
          <w:rFonts w:eastAsia="Calibri"/>
          <w:szCs w:val="28"/>
          <w:lang w:val="ru-RU"/>
        </w:rPr>
      </w:pPr>
    </w:p>
    <w:p w:rsidR="00F32158" w:rsidRPr="00F32158" w:rsidRDefault="00D32C4B" w:rsidP="00913A33">
      <w:pPr>
        <w:pageBreakBefore/>
        <w:widowControl w:val="0"/>
        <w:tabs>
          <w:tab w:val="left" w:pos="8133"/>
        </w:tabs>
        <w:spacing w:after="200" w:line="276" w:lineRule="auto"/>
        <w:jc w:val="right"/>
        <w:rPr>
          <w:rFonts w:eastAsia="Calibri"/>
          <w:szCs w:val="28"/>
        </w:rPr>
      </w:pPr>
      <w:r>
        <w:rPr>
          <w:rFonts w:eastAsia="Calibri"/>
          <w:szCs w:val="28"/>
        </w:rPr>
        <w:lastRenderedPageBreak/>
        <w:t>Додаток Б</w:t>
      </w:r>
      <w:r w:rsidR="00F32158" w:rsidRPr="00F32158">
        <w:rPr>
          <w:rFonts w:eastAsia="Calibri"/>
          <w:szCs w:val="28"/>
        </w:rPr>
        <w:t>-15</w:t>
      </w:r>
    </w:p>
    <w:p w:rsidR="00F32158" w:rsidRPr="00F32158" w:rsidRDefault="00F32158" w:rsidP="00F32158">
      <w:pPr>
        <w:rPr>
          <w:rFonts w:eastAsia="Times New Roman"/>
          <w:b/>
          <w:szCs w:val="28"/>
          <w:lang w:eastAsia="ru-RU"/>
        </w:rPr>
      </w:pPr>
      <w:r w:rsidRPr="00F32158">
        <w:rPr>
          <w:rFonts w:eastAsia="Times New Roman"/>
          <w:b/>
          <w:szCs w:val="28"/>
          <w:lang w:eastAsia="ru-RU"/>
        </w:rPr>
        <w:t>Частка випадків смерті дітей віком до 1 року життя поза стаціонару від загального числа померлих (2011-2018 рр)</w:t>
      </w:r>
    </w:p>
    <w:p w:rsidR="00F32158" w:rsidRPr="00F32158" w:rsidRDefault="00F32158" w:rsidP="00F32158">
      <w:pPr>
        <w:spacing w:line="240" w:lineRule="auto"/>
        <w:rPr>
          <w:rFonts w:eastAsia="Times New Roman"/>
          <w:b/>
          <w:sz w:val="24"/>
          <w:szCs w:val="24"/>
          <w:lang w:eastAsia="ru-RU"/>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76"/>
        <w:gridCol w:w="772"/>
        <w:gridCol w:w="772"/>
        <w:gridCol w:w="772"/>
        <w:gridCol w:w="772"/>
        <w:gridCol w:w="772"/>
        <w:gridCol w:w="772"/>
        <w:gridCol w:w="975"/>
        <w:gridCol w:w="794"/>
      </w:tblGrid>
      <w:tr w:rsidR="00F32158" w:rsidRPr="00647C5F" w:rsidTr="00BF1F99">
        <w:trPr>
          <w:jc w:val="center"/>
        </w:trPr>
        <w:tc>
          <w:tcPr>
            <w:tcW w:w="1995" w:type="dxa"/>
            <w:vMerge w:val="restart"/>
            <w:vAlign w:val="center"/>
          </w:tcPr>
          <w:p w:rsidR="00F32158" w:rsidRPr="00647C5F" w:rsidRDefault="00F32158" w:rsidP="00647C5F">
            <w:pPr>
              <w:spacing w:line="276" w:lineRule="auto"/>
              <w:jc w:val="center"/>
              <w:rPr>
                <w:rFonts w:eastAsia="Times New Roman"/>
                <w:sz w:val="24"/>
                <w:szCs w:val="24"/>
                <w:lang w:eastAsia="ru-RU"/>
              </w:rPr>
            </w:pPr>
            <w:r w:rsidRPr="00647C5F">
              <w:rPr>
                <w:rFonts w:eastAsia="Times New Roman"/>
                <w:sz w:val="24"/>
                <w:szCs w:val="24"/>
                <w:lang w:eastAsia="ru-RU"/>
              </w:rPr>
              <w:t>Адміністративні території</w:t>
            </w:r>
          </w:p>
        </w:tc>
        <w:tc>
          <w:tcPr>
            <w:tcW w:w="6398" w:type="dxa"/>
            <w:gridSpan w:val="8"/>
            <w:vAlign w:val="center"/>
          </w:tcPr>
          <w:p w:rsidR="00F32158" w:rsidRPr="00647C5F" w:rsidRDefault="00F32158" w:rsidP="00647C5F">
            <w:pPr>
              <w:spacing w:line="276" w:lineRule="auto"/>
              <w:jc w:val="center"/>
              <w:rPr>
                <w:rFonts w:eastAsia="Times New Roman"/>
                <w:sz w:val="24"/>
                <w:szCs w:val="24"/>
                <w:lang w:eastAsia="ru-RU"/>
              </w:rPr>
            </w:pPr>
            <w:r w:rsidRPr="00647C5F">
              <w:rPr>
                <w:rFonts w:eastAsia="Times New Roman"/>
                <w:sz w:val="24"/>
                <w:szCs w:val="24"/>
                <w:lang w:eastAsia="ru-RU"/>
              </w:rPr>
              <w:t>Питома вага серед померлих дітей у віці до 1 року</w:t>
            </w:r>
          </w:p>
        </w:tc>
      </w:tr>
      <w:tr w:rsidR="00F32158" w:rsidRPr="00647C5F" w:rsidTr="00BF1F99">
        <w:trPr>
          <w:jc w:val="center"/>
        </w:trPr>
        <w:tc>
          <w:tcPr>
            <w:tcW w:w="1995" w:type="dxa"/>
            <w:vMerge/>
            <w:vAlign w:val="center"/>
          </w:tcPr>
          <w:p w:rsidR="00F32158" w:rsidRPr="00647C5F" w:rsidRDefault="00F32158" w:rsidP="00647C5F">
            <w:pPr>
              <w:spacing w:line="276" w:lineRule="auto"/>
              <w:jc w:val="center"/>
              <w:rPr>
                <w:rFonts w:eastAsia="Times New Roman"/>
                <w:sz w:val="24"/>
                <w:szCs w:val="24"/>
                <w:lang w:eastAsia="ru-RU"/>
              </w:rPr>
            </w:pPr>
          </w:p>
        </w:tc>
        <w:tc>
          <w:tcPr>
            <w:tcW w:w="772" w:type="dxa"/>
            <w:vAlign w:val="center"/>
          </w:tcPr>
          <w:p w:rsidR="00F32158" w:rsidRPr="00647C5F" w:rsidRDefault="00F32158" w:rsidP="00647C5F">
            <w:pPr>
              <w:spacing w:line="276" w:lineRule="auto"/>
              <w:jc w:val="center"/>
              <w:rPr>
                <w:rFonts w:eastAsia="Times New Roman"/>
                <w:sz w:val="24"/>
                <w:szCs w:val="24"/>
                <w:lang w:eastAsia="ru-RU"/>
              </w:rPr>
            </w:pPr>
            <w:r w:rsidRPr="00647C5F">
              <w:rPr>
                <w:rFonts w:eastAsia="Times New Roman"/>
                <w:sz w:val="24"/>
                <w:szCs w:val="24"/>
                <w:lang w:eastAsia="ru-RU"/>
              </w:rPr>
              <w:t>2011</w:t>
            </w:r>
          </w:p>
        </w:tc>
        <w:tc>
          <w:tcPr>
            <w:tcW w:w="772" w:type="dxa"/>
            <w:vAlign w:val="center"/>
          </w:tcPr>
          <w:p w:rsidR="00F32158" w:rsidRPr="00647C5F" w:rsidRDefault="00F32158" w:rsidP="00647C5F">
            <w:pPr>
              <w:spacing w:line="276" w:lineRule="auto"/>
              <w:jc w:val="center"/>
              <w:rPr>
                <w:rFonts w:eastAsia="Times New Roman"/>
                <w:sz w:val="24"/>
                <w:szCs w:val="24"/>
                <w:lang w:eastAsia="ru-RU"/>
              </w:rPr>
            </w:pPr>
            <w:r w:rsidRPr="00647C5F">
              <w:rPr>
                <w:rFonts w:eastAsia="Times New Roman"/>
                <w:sz w:val="24"/>
                <w:szCs w:val="24"/>
                <w:lang w:eastAsia="ru-RU"/>
              </w:rPr>
              <w:t>2012</w:t>
            </w:r>
          </w:p>
        </w:tc>
        <w:tc>
          <w:tcPr>
            <w:tcW w:w="772" w:type="dxa"/>
            <w:vAlign w:val="center"/>
          </w:tcPr>
          <w:p w:rsidR="00F32158" w:rsidRPr="00647C5F" w:rsidRDefault="00F32158" w:rsidP="00647C5F">
            <w:pPr>
              <w:spacing w:line="276" w:lineRule="auto"/>
              <w:jc w:val="center"/>
              <w:rPr>
                <w:rFonts w:eastAsia="Times New Roman"/>
                <w:sz w:val="24"/>
                <w:szCs w:val="24"/>
                <w:lang w:eastAsia="ru-RU"/>
              </w:rPr>
            </w:pPr>
            <w:r w:rsidRPr="00647C5F">
              <w:rPr>
                <w:rFonts w:eastAsia="Times New Roman"/>
                <w:sz w:val="24"/>
                <w:szCs w:val="24"/>
                <w:lang w:eastAsia="ru-RU"/>
              </w:rPr>
              <w:t>2013</w:t>
            </w:r>
          </w:p>
        </w:tc>
        <w:tc>
          <w:tcPr>
            <w:tcW w:w="772" w:type="dxa"/>
            <w:vAlign w:val="center"/>
          </w:tcPr>
          <w:p w:rsidR="00F32158" w:rsidRPr="00647C5F" w:rsidRDefault="00F32158" w:rsidP="00647C5F">
            <w:pPr>
              <w:spacing w:line="276" w:lineRule="auto"/>
              <w:jc w:val="center"/>
              <w:rPr>
                <w:rFonts w:eastAsia="Times New Roman"/>
                <w:sz w:val="24"/>
                <w:szCs w:val="24"/>
                <w:lang w:eastAsia="ru-RU"/>
              </w:rPr>
            </w:pPr>
            <w:r w:rsidRPr="00647C5F">
              <w:rPr>
                <w:rFonts w:eastAsia="Times New Roman"/>
                <w:sz w:val="24"/>
                <w:szCs w:val="24"/>
                <w:lang w:eastAsia="ru-RU"/>
              </w:rPr>
              <w:t>2014</w:t>
            </w:r>
          </w:p>
        </w:tc>
        <w:tc>
          <w:tcPr>
            <w:tcW w:w="772" w:type="dxa"/>
            <w:vAlign w:val="center"/>
          </w:tcPr>
          <w:p w:rsidR="00F32158" w:rsidRPr="00647C5F" w:rsidRDefault="00F32158" w:rsidP="00647C5F">
            <w:pPr>
              <w:spacing w:line="276" w:lineRule="auto"/>
              <w:jc w:val="center"/>
              <w:rPr>
                <w:rFonts w:eastAsia="Times New Roman"/>
                <w:sz w:val="24"/>
                <w:szCs w:val="24"/>
                <w:lang w:eastAsia="ru-RU"/>
              </w:rPr>
            </w:pPr>
            <w:r w:rsidRPr="00647C5F">
              <w:rPr>
                <w:rFonts w:eastAsia="Times New Roman"/>
                <w:sz w:val="24"/>
                <w:szCs w:val="24"/>
                <w:lang w:eastAsia="ru-RU"/>
              </w:rPr>
              <w:t>2015</w:t>
            </w:r>
          </w:p>
        </w:tc>
        <w:tc>
          <w:tcPr>
            <w:tcW w:w="772" w:type="dxa"/>
            <w:vAlign w:val="center"/>
          </w:tcPr>
          <w:p w:rsidR="00F32158" w:rsidRPr="00647C5F" w:rsidRDefault="00F32158" w:rsidP="00647C5F">
            <w:pPr>
              <w:spacing w:line="276" w:lineRule="auto"/>
              <w:jc w:val="center"/>
              <w:rPr>
                <w:rFonts w:eastAsia="Times New Roman"/>
                <w:sz w:val="24"/>
                <w:szCs w:val="24"/>
                <w:lang w:eastAsia="ru-RU"/>
              </w:rPr>
            </w:pPr>
            <w:r w:rsidRPr="00647C5F">
              <w:rPr>
                <w:rFonts w:eastAsia="Times New Roman"/>
                <w:sz w:val="24"/>
                <w:szCs w:val="24"/>
                <w:lang w:eastAsia="ru-RU"/>
              </w:rPr>
              <w:t>2016</w:t>
            </w:r>
          </w:p>
        </w:tc>
        <w:tc>
          <w:tcPr>
            <w:tcW w:w="972" w:type="dxa"/>
            <w:vAlign w:val="center"/>
          </w:tcPr>
          <w:p w:rsidR="00F32158" w:rsidRPr="00647C5F" w:rsidRDefault="00F32158" w:rsidP="00647C5F">
            <w:pPr>
              <w:spacing w:line="276" w:lineRule="auto"/>
              <w:jc w:val="center"/>
              <w:rPr>
                <w:rFonts w:eastAsia="Times New Roman"/>
                <w:sz w:val="24"/>
                <w:szCs w:val="24"/>
                <w:lang w:eastAsia="ru-RU"/>
              </w:rPr>
            </w:pPr>
            <w:r w:rsidRPr="00647C5F">
              <w:rPr>
                <w:rFonts w:eastAsia="Times New Roman"/>
                <w:sz w:val="24"/>
                <w:szCs w:val="24"/>
                <w:lang w:eastAsia="ru-RU"/>
              </w:rPr>
              <w:t>2017</w:t>
            </w:r>
          </w:p>
        </w:tc>
        <w:tc>
          <w:tcPr>
            <w:tcW w:w="794" w:type="dxa"/>
            <w:vAlign w:val="center"/>
          </w:tcPr>
          <w:p w:rsidR="00F32158" w:rsidRPr="00647C5F" w:rsidRDefault="00F32158" w:rsidP="00647C5F">
            <w:pPr>
              <w:spacing w:line="276" w:lineRule="auto"/>
              <w:jc w:val="center"/>
              <w:rPr>
                <w:rFonts w:eastAsia="Times New Roman"/>
                <w:sz w:val="24"/>
                <w:szCs w:val="24"/>
                <w:lang w:eastAsia="ru-RU"/>
              </w:rPr>
            </w:pPr>
            <w:r w:rsidRPr="00647C5F">
              <w:rPr>
                <w:rFonts w:eastAsia="Times New Roman"/>
                <w:sz w:val="24"/>
                <w:szCs w:val="24"/>
                <w:lang w:eastAsia="ru-RU"/>
              </w:rPr>
              <w:t>2018</w:t>
            </w:r>
          </w:p>
        </w:tc>
      </w:tr>
      <w:tr w:rsidR="00F32158" w:rsidRPr="00647C5F" w:rsidTr="00BF1F99">
        <w:trPr>
          <w:jc w:val="center"/>
        </w:trPr>
        <w:tc>
          <w:tcPr>
            <w:tcW w:w="1995" w:type="dxa"/>
            <w:vAlign w:val="center"/>
          </w:tcPr>
          <w:p w:rsidR="00F32158" w:rsidRPr="00647C5F" w:rsidRDefault="00F32158" w:rsidP="00647C5F">
            <w:pPr>
              <w:spacing w:line="276" w:lineRule="auto"/>
              <w:jc w:val="left"/>
              <w:rPr>
                <w:rFonts w:eastAsia="Times New Roman"/>
                <w:sz w:val="24"/>
                <w:szCs w:val="24"/>
                <w:lang w:eastAsia="ru-RU"/>
              </w:rPr>
            </w:pPr>
            <w:r w:rsidRPr="00647C5F">
              <w:rPr>
                <w:rFonts w:eastAsia="Times New Roman"/>
                <w:sz w:val="24"/>
                <w:szCs w:val="24"/>
                <w:lang w:eastAsia="ru-RU"/>
              </w:rPr>
              <w:t xml:space="preserve">Україна </w:t>
            </w:r>
          </w:p>
        </w:tc>
        <w:tc>
          <w:tcPr>
            <w:tcW w:w="772" w:type="dxa"/>
            <w:vAlign w:val="center"/>
          </w:tcPr>
          <w:p w:rsidR="00F32158" w:rsidRPr="00647C5F" w:rsidRDefault="00F32158" w:rsidP="00647C5F">
            <w:pPr>
              <w:spacing w:line="276" w:lineRule="auto"/>
              <w:jc w:val="center"/>
              <w:rPr>
                <w:rFonts w:eastAsia="Times New Roman"/>
                <w:sz w:val="24"/>
                <w:szCs w:val="24"/>
                <w:lang w:val="ru-RU" w:eastAsia="ru-RU"/>
              </w:rPr>
            </w:pPr>
            <w:r w:rsidRPr="00647C5F">
              <w:rPr>
                <w:rFonts w:eastAsia="Times New Roman"/>
                <w:sz w:val="24"/>
                <w:szCs w:val="24"/>
                <w:lang w:val="ru-RU" w:eastAsia="ru-RU"/>
              </w:rPr>
              <w:t>42,96</w:t>
            </w:r>
          </w:p>
        </w:tc>
        <w:tc>
          <w:tcPr>
            <w:tcW w:w="772" w:type="dxa"/>
            <w:vAlign w:val="center"/>
          </w:tcPr>
          <w:p w:rsidR="00F32158" w:rsidRPr="00647C5F" w:rsidRDefault="00F32158" w:rsidP="00647C5F">
            <w:pPr>
              <w:spacing w:line="276" w:lineRule="auto"/>
              <w:jc w:val="center"/>
              <w:rPr>
                <w:rFonts w:eastAsia="Times New Roman"/>
                <w:sz w:val="24"/>
                <w:szCs w:val="24"/>
                <w:lang w:val="ru-RU" w:eastAsia="ru-RU"/>
              </w:rPr>
            </w:pPr>
            <w:r w:rsidRPr="00647C5F">
              <w:rPr>
                <w:rFonts w:eastAsia="Times New Roman"/>
                <w:sz w:val="24"/>
                <w:szCs w:val="24"/>
                <w:lang w:val="ru-RU" w:eastAsia="ru-RU"/>
              </w:rPr>
              <w:t>42,92</w:t>
            </w:r>
          </w:p>
        </w:tc>
        <w:tc>
          <w:tcPr>
            <w:tcW w:w="772" w:type="dxa"/>
          </w:tcPr>
          <w:p w:rsidR="00F32158" w:rsidRPr="00647C5F" w:rsidRDefault="00F32158" w:rsidP="00647C5F">
            <w:pPr>
              <w:spacing w:line="276" w:lineRule="auto"/>
              <w:jc w:val="center"/>
              <w:rPr>
                <w:rFonts w:eastAsia="Times New Roman"/>
                <w:bCs/>
                <w:color w:val="000000"/>
                <w:sz w:val="24"/>
                <w:szCs w:val="24"/>
                <w:lang w:val="ru-RU" w:eastAsia="ru-RU"/>
              </w:rPr>
            </w:pPr>
            <w:r w:rsidRPr="00647C5F">
              <w:rPr>
                <w:rFonts w:eastAsia="Times New Roman"/>
                <w:bCs/>
                <w:color w:val="000000"/>
                <w:sz w:val="24"/>
                <w:szCs w:val="24"/>
                <w:lang w:val="ru-RU" w:eastAsia="ru-RU"/>
              </w:rPr>
              <w:t>40,94</w:t>
            </w:r>
          </w:p>
        </w:tc>
        <w:tc>
          <w:tcPr>
            <w:tcW w:w="772" w:type="dxa"/>
          </w:tcPr>
          <w:p w:rsidR="00F32158" w:rsidRPr="00647C5F" w:rsidRDefault="00F32158" w:rsidP="00647C5F">
            <w:pPr>
              <w:spacing w:line="276" w:lineRule="auto"/>
              <w:jc w:val="center"/>
              <w:rPr>
                <w:rFonts w:eastAsia="Times New Roman"/>
                <w:bCs/>
                <w:color w:val="000000"/>
                <w:sz w:val="24"/>
                <w:szCs w:val="24"/>
                <w:lang w:val="ru-RU" w:eastAsia="ru-RU"/>
              </w:rPr>
            </w:pPr>
            <w:r w:rsidRPr="00647C5F">
              <w:rPr>
                <w:rFonts w:eastAsia="Times New Roman"/>
                <w:bCs/>
                <w:color w:val="000000"/>
                <w:sz w:val="24"/>
                <w:szCs w:val="24"/>
                <w:lang w:val="ru-RU" w:eastAsia="ru-RU"/>
              </w:rPr>
              <w:t>47,51</w:t>
            </w:r>
          </w:p>
        </w:tc>
        <w:tc>
          <w:tcPr>
            <w:tcW w:w="772" w:type="dxa"/>
          </w:tcPr>
          <w:p w:rsidR="00F32158" w:rsidRPr="00647C5F" w:rsidRDefault="00F32158" w:rsidP="00647C5F">
            <w:pPr>
              <w:spacing w:line="276" w:lineRule="auto"/>
              <w:jc w:val="center"/>
              <w:rPr>
                <w:rFonts w:eastAsia="Times New Roman"/>
                <w:bCs/>
                <w:color w:val="000000"/>
                <w:sz w:val="24"/>
                <w:szCs w:val="24"/>
                <w:lang w:val="ru-RU" w:eastAsia="ru-RU"/>
              </w:rPr>
            </w:pPr>
            <w:r w:rsidRPr="00647C5F">
              <w:rPr>
                <w:rFonts w:eastAsia="Times New Roman"/>
                <w:bCs/>
                <w:color w:val="000000"/>
                <w:sz w:val="24"/>
                <w:szCs w:val="24"/>
                <w:lang w:val="ru-RU" w:eastAsia="ru-RU"/>
              </w:rPr>
              <w:t>43,29</w:t>
            </w:r>
          </w:p>
        </w:tc>
        <w:tc>
          <w:tcPr>
            <w:tcW w:w="772" w:type="dxa"/>
          </w:tcPr>
          <w:p w:rsidR="00F32158" w:rsidRPr="00647C5F" w:rsidRDefault="00F32158" w:rsidP="00647C5F">
            <w:pPr>
              <w:spacing w:line="276" w:lineRule="auto"/>
              <w:jc w:val="center"/>
              <w:rPr>
                <w:rFonts w:eastAsia="Times New Roman"/>
                <w:bCs/>
                <w:color w:val="000000"/>
                <w:sz w:val="24"/>
                <w:szCs w:val="24"/>
                <w:lang w:val="ru-RU" w:eastAsia="ru-RU"/>
              </w:rPr>
            </w:pPr>
            <w:r w:rsidRPr="00647C5F">
              <w:rPr>
                <w:rFonts w:eastAsia="Times New Roman"/>
                <w:bCs/>
                <w:color w:val="000000"/>
                <w:sz w:val="24"/>
                <w:szCs w:val="24"/>
                <w:lang w:val="ru-RU" w:eastAsia="ru-RU"/>
              </w:rPr>
              <w:t>43,72</w:t>
            </w:r>
          </w:p>
        </w:tc>
        <w:tc>
          <w:tcPr>
            <w:tcW w:w="972" w:type="dxa"/>
          </w:tcPr>
          <w:p w:rsidR="00F32158" w:rsidRPr="00647C5F" w:rsidRDefault="00F32158" w:rsidP="00647C5F">
            <w:pPr>
              <w:spacing w:line="276" w:lineRule="auto"/>
              <w:jc w:val="center"/>
              <w:rPr>
                <w:rFonts w:eastAsia="Times New Roman"/>
                <w:bCs/>
                <w:color w:val="000000"/>
                <w:sz w:val="24"/>
                <w:szCs w:val="24"/>
                <w:lang w:val="ru-RU" w:eastAsia="ru-RU"/>
              </w:rPr>
            </w:pPr>
            <w:r w:rsidRPr="00647C5F">
              <w:rPr>
                <w:rFonts w:eastAsia="Times New Roman"/>
                <w:bCs/>
                <w:color w:val="000000"/>
                <w:sz w:val="24"/>
                <w:szCs w:val="24"/>
                <w:lang w:val="ru-RU" w:eastAsia="ru-RU"/>
              </w:rPr>
              <w:t>43,02</w:t>
            </w:r>
          </w:p>
        </w:tc>
        <w:tc>
          <w:tcPr>
            <w:tcW w:w="794" w:type="dxa"/>
          </w:tcPr>
          <w:p w:rsidR="00F32158" w:rsidRPr="00647C5F" w:rsidRDefault="00F32158" w:rsidP="00647C5F">
            <w:pPr>
              <w:spacing w:line="276" w:lineRule="auto"/>
              <w:jc w:val="center"/>
              <w:rPr>
                <w:rFonts w:eastAsia="Times New Roman"/>
                <w:bCs/>
                <w:color w:val="000000"/>
                <w:sz w:val="24"/>
                <w:szCs w:val="24"/>
                <w:lang w:eastAsia="ru-RU"/>
              </w:rPr>
            </w:pPr>
            <w:r w:rsidRPr="00647C5F">
              <w:rPr>
                <w:rFonts w:eastAsia="Times New Roman"/>
                <w:bCs/>
                <w:color w:val="000000"/>
                <w:sz w:val="24"/>
                <w:szCs w:val="24"/>
                <w:lang w:eastAsia="ru-RU"/>
              </w:rPr>
              <w:t>43,80</w:t>
            </w:r>
          </w:p>
        </w:tc>
      </w:tr>
      <w:tr w:rsidR="00F32158" w:rsidRPr="00647C5F" w:rsidTr="00BF1F99">
        <w:trPr>
          <w:jc w:val="center"/>
        </w:trPr>
        <w:tc>
          <w:tcPr>
            <w:tcW w:w="1995" w:type="dxa"/>
            <w:vAlign w:val="center"/>
          </w:tcPr>
          <w:p w:rsidR="00F32158" w:rsidRPr="00647C5F" w:rsidRDefault="00F32158" w:rsidP="00647C5F">
            <w:pPr>
              <w:spacing w:line="276" w:lineRule="auto"/>
              <w:jc w:val="left"/>
              <w:rPr>
                <w:rFonts w:eastAsia="Times New Roman"/>
                <w:sz w:val="24"/>
                <w:szCs w:val="24"/>
                <w:lang w:eastAsia="ru-RU"/>
              </w:rPr>
            </w:pPr>
            <w:r w:rsidRPr="00647C5F">
              <w:rPr>
                <w:rFonts w:eastAsia="Times New Roman"/>
                <w:sz w:val="24"/>
                <w:szCs w:val="24"/>
                <w:lang w:eastAsia="ru-RU"/>
              </w:rPr>
              <w:t>Вінницька</w:t>
            </w:r>
          </w:p>
        </w:tc>
        <w:tc>
          <w:tcPr>
            <w:tcW w:w="772" w:type="dxa"/>
            <w:vAlign w:val="center"/>
          </w:tcPr>
          <w:p w:rsidR="00F32158" w:rsidRPr="00647C5F" w:rsidRDefault="00F32158" w:rsidP="00647C5F">
            <w:pPr>
              <w:spacing w:line="276" w:lineRule="auto"/>
              <w:jc w:val="center"/>
              <w:rPr>
                <w:rFonts w:eastAsia="Times New Roman"/>
                <w:sz w:val="24"/>
                <w:szCs w:val="24"/>
                <w:lang w:val="ru-RU" w:eastAsia="ru-RU"/>
              </w:rPr>
            </w:pPr>
            <w:r w:rsidRPr="00647C5F">
              <w:rPr>
                <w:rFonts w:eastAsia="Times New Roman"/>
                <w:sz w:val="24"/>
                <w:szCs w:val="24"/>
                <w:lang w:val="ru-RU" w:eastAsia="ru-RU"/>
              </w:rPr>
              <w:t>50,94</w:t>
            </w:r>
          </w:p>
        </w:tc>
        <w:tc>
          <w:tcPr>
            <w:tcW w:w="772" w:type="dxa"/>
            <w:vAlign w:val="center"/>
          </w:tcPr>
          <w:p w:rsidR="00F32158" w:rsidRPr="00647C5F" w:rsidRDefault="00F32158" w:rsidP="00647C5F">
            <w:pPr>
              <w:spacing w:line="276" w:lineRule="auto"/>
              <w:jc w:val="center"/>
              <w:rPr>
                <w:rFonts w:eastAsia="Times New Roman"/>
                <w:sz w:val="24"/>
                <w:szCs w:val="24"/>
                <w:lang w:val="ru-RU" w:eastAsia="ru-RU"/>
              </w:rPr>
            </w:pPr>
            <w:r w:rsidRPr="00647C5F">
              <w:rPr>
                <w:rFonts w:eastAsia="Times New Roman"/>
                <w:sz w:val="24"/>
                <w:szCs w:val="24"/>
                <w:lang w:val="ru-RU" w:eastAsia="ru-RU"/>
              </w:rPr>
              <w:t>43,40</w:t>
            </w:r>
          </w:p>
        </w:tc>
        <w:tc>
          <w:tcPr>
            <w:tcW w:w="772" w:type="dxa"/>
          </w:tcPr>
          <w:p w:rsidR="00F32158" w:rsidRPr="00647C5F" w:rsidRDefault="00F32158" w:rsidP="00647C5F">
            <w:pPr>
              <w:spacing w:line="276" w:lineRule="auto"/>
              <w:jc w:val="center"/>
              <w:rPr>
                <w:rFonts w:eastAsia="Times New Roman"/>
                <w:color w:val="000000"/>
                <w:sz w:val="24"/>
                <w:szCs w:val="24"/>
                <w:lang w:val="ru-RU" w:eastAsia="ru-RU"/>
              </w:rPr>
            </w:pPr>
            <w:r w:rsidRPr="00647C5F">
              <w:rPr>
                <w:rFonts w:eastAsia="Times New Roman"/>
                <w:color w:val="000000"/>
                <w:sz w:val="24"/>
                <w:szCs w:val="24"/>
                <w:lang w:val="ru-RU" w:eastAsia="ru-RU"/>
              </w:rPr>
              <w:t>48,84</w:t>
            </w:r>
          </w:p>
        </w:tc>
        <w:tc>
          <w:tcPr>
            <w:tcW w:w="772" w:type="dxa"/>
          </w:tcPr>
          <w:p w:rsidR="00F32158" w:rsidRPr="00647C5F" w:rsidRDefault="00F32158" w:rsidP="00647C5F">
            <w:pPr>
              <w:spacing w:line="276" w:lineRule="auto"/>
              <w:jc w:val="center"/>
              <w:rPr>
                <w:rFonts w:eastAsia="Times New Roman"/>
                <w:color w:val="000000"/>
                <w:sz w:val="24"/>
                <w:szCs w:val="24"/>
                <w:lang w:val="ru-RU" w:eastAsia="ru-RU"/>
              </w:rPr>
            </w:pPr>
            <w:r w:rsidRPr="00647C5F">
              <w:rPr>
                <w:rFonts w:eastAsia="Times New Roman"/>
                <w:color w:val="000000"/>
                <w:sz w:val="24"/>
                <w:szCs w:val="24"/>
                <w:lang w:val="ru-RU" w:eastAsia="ru-RU"/>
              </w:rPr>
              <w:t>45,16</w:t>
            </w:r>
          </w:p>
        </w:tc>
        <w:tc>
          <w:tcPr>
            <w:tcW w:w="772" w:type="dxa"/>
          </w:tcPr>
          <w:p w:rsidR="00F32158" w:rsidRPr="00647C5F" w:rsidRDefault="00F32158" w:rsidP="00647C5F">
            <w:pPr>
              <w:spacing w:line="276" w:lineRule="auto"/>
              <w:jc w:val="center"/>
              <w:rPr>
                <w:rFonts w:eastAsia="Times New Roman"/>
                <w:color w:val="000000"/>
                <w:sz w:val="24"/>
                <w:szCs w:val="24"/>
                <w:lang w:val="ru-RU" w:eastAsia="ru-RU"/>
              </w:rPr>
            </w:pPr>
            <w:r w:rsidRPr="00647C5F">
              <w:rPr>
                <w:rFonts w:eastAsia="Times New Roman"/>
                <w:color w:val="000000"/>
                <w:sz w:val="24"/>
                <w:szCs w:val="24"/>
                <w:lang w:val="ru-RU" w:eastAsia="ru-RU"/>
              </w:rPr>
              <w:t>48,78</w:t>
            </w:r>
          </w:p>
        </w:tc>
        <w:tc>
          <w:tcPr>
            <w:tcW w:w="772" w:type="dxa"/>
          </w:tcPr>
          <w:p w:rsidR="00F32158" w:rsidRPr="00647C5F" w:rsidRDefault="00F32158" w:rsidP="00647C5F">
            <w:pPr>
              <w:spacing w:line="276" w:lineRule="auto"/>
              <w:jc w:val="center"/>
              <w:rPr>
                <w:rFonts w:eastAsia="Times New Roman"/>
                <w:color w:val="000000"/>
                <w:sz w:val="24"/>
                <w:szCs w:val="24"/>
                <w:lang w:val="ru-RU" w:eastAsia="ru-RU"/>
              </w:rPr>
            </w:pPr>
            <w:r w:rsidRPr="00647C5F">
              <w:rPr>
                <w:rFonts w:eastAsia="Times New Roman"/>
                <w:color w:val="000000"/>
                <w:sz w:val="24"/>
                <w:szCs w:val="24"/>
                <w:lang w:val="ru-RU" w:eastAsia="ru-RU"/>
              </w:rPr>
              <w:t>50,00</w:t>
            </w:r>
          </w:p>
        </w:tc>
        <w:tc>
          <w:tcPr>
            <w:tcW w:w="972" w:type="dxa"/>
          </w:tcPr>
          <w:p w:rsidR="00F32158" w:rsidRPr="00647C5F" w:rsidRDefault="00F32158" w:rsidP="00647C5F">
            <w:pPr>
              <w:spacing w:line="276" w:lineRule="auto"/>
              <w:jc w:val="center"/>
              <w:rPr>
                <w:rFonts w:eastAsia="Times New Roman"/>
                <w:color w:val="000000"/>
                <w:sz w:val="24"/>
                <w:szCs w:val="24"/>
                <w:lang w:val="ru-RU" w:eastAsia="ru-RU"/>
              </w:rPr>
            </w:pPr>
            <w:r w:rsidRPr="00647C5F">
              <w:rPr>
                <w:rFonts w:eastAsia="Times New Roman"/>
                <w:color w:val="000000"/>
                <w:sz w:val="24"/>
                <w:szCs w:val="24"/>
                <w:lang w:val="ru-RU" w:eastAsia="ru-RU"/>
              </w:rPr>
              <w:t>60,00</w:t>
            </w:r>
          </w:p>
        </w:tc>
        <w:tc>
          <w:tcPr>
            <w:tcW w:w="794" w:type="dxa"/>
          </w:tcPr>
          <w:p w:rsidR="00F32158" w:rsidRPr="00647C5F" w:rsidRDefault="00F32158" w:rsidP="00647C5F">
            <w:pPr>
              <w:spacing w:line="276" w:lineRule="auto"/>
              <w:jc w:val="center"/>
              <w:rPr>
                <w:rFonts w:eastAsia="Times New Roman"/>
                <w:color w:val="000000"/>
                <w:sz w:val="24"/>
                <w:szCs w:val="24"/>
                <w:lang w:eastAsia="ru-RU"/>
              </w:rPr>
            </w:pPr>
            <w:r w:rsidRPr="00647C5F">
              <w:rPr>
                <w:rFonts w:eastAsia="Times New Roman"/>
                <w:color w:val="000000"/>
                <w:sz w:val="24"/>
                <w:szCs w:val="24"/>
                <w:lang w:eastAsia="ru-RU"/>
              </w:rPr>
              <w:t>57,58</w:t>
            </w:r>
          </w:p>
        </w:tc>
      </w:tr>
      <w:tr w:rsidR="00F32158" w:rsidRPr="00647C5F" w:rsidTr="00BF1F99">
        <w:trPr>
          <w:jc w:val="center"/>
        </w:trPr>
        <w:tc>
          <w:tcPr>
            <w:tcW w:w="1995" w:type="dxa"/>
            <w:vAlign w:val="center"/>
          </w:tcPr>
          <w:p w:rsidR="00F32158" w:rsidRPr="00647C5F" w:rsidRDefault="00F32158" w:rsidP="00647C5F">
            <w:pPr>
              <w:spacing w:line="276" w:lineRule="auto"/>
              <w:jc w:val="left"/>
              <w:rPr>
                <w:rFonts w:eastAsia="Times New Roman"/>
                <w:sz w:val="24"/>
                <w:szCs w:val="24"/>
                <w:lang w:eastAsia="ru-RU"/>
              </w:rPr>
            </w:pPr>
            <w:r w:rsidRPr="00647C5F">
              <w:rPr>
                <w:rFonts w:eastAsia="Times New Roman"/>
                <w:sz w:val="24"/>
                <w:szCs w:val="24"/>
                <w:lang w:eastAsia="ru-RU"/>
              </w:rPr>
              <w:t>Волинська</w:t>
            </w:r>
          </w:p>
        </w:tc>
        <w:tc>
          <w:tcPr>
            <w:tcW w:w="772" w:type="dxa"/>
            <w:vAlign w:val="center"/>
          </w:tcPr>
          <w:p w:rsidR="00F32158" w:rsidRPr="00647C5F" w:rsidRDefault="00F32158" w:rsidP="00647C5F">
            <w:pPr>
              <w:spacing w:line="276" w:lineRule="auto"/>
              <w:jc w:val="center"/>
              <w:rPr>
                <w:rFonts w:eastAsia="Times New Roman"/>
                <w:sz w:val="24"/>
                <w:szCs w:val="24"/>
                <w:lang w:val="ru-RU" w:eastAsia="ru-RU"/>
              </w:rPr>
            </w:pPr>
            <w:r w:rsidRPr="00647C5F">
              <w:rPr>
                <w:rFonts w:eastAsia="Times New Roman"/>
                <w:sz w:val="24"/>
                <w:szCs w:val="24"/>
                <w:lang w:val="ru-RU" w:eastAsia="ru-RU"/>
              </w:rPr>
              <w:t>52,94</w:t>
            </w:r>
          </w:p>
        </w:tc>
        <w:tc>
          <w:tcPr>
            <w:tcW w:w="772" w:type="dxa"/>
            <w:vAlign w:val="center"/>
          </w:tcPr>
          <w:p w:rsidR="00F32158" w:rsidRPr="00647C5F" w:rsidRDefault="00F32158" w:rsidP="00647C5F">
            <w:pPr>
              <w:spacing w:line="276" w:lineRule="auto"/>
              <w:jc w:val="center"/>
              <w:rPr>
                <w:rFonts w:eastAsia="Times New Roman"/>
                <w:sz w:val="24"/>
                <w:szCs w:val="24"/>
                <w:lang w:val="ru-RU" w:eastAsia="ru-RU"/>
              </w:rPr>
            </w:pPr>
            <w:r w:rsidRPr="00647C5F">
              <w:rPr>
                <w:rFonts w:eastAsia="Times New Roman"/>
                <w:sz w:val="24"/>
                <w:szCs w:val="24"/>
                <w:lang w:val="ru-RU" w:eastAsia="ru-RU"/>
              </w:rPr>
              <w:t>44,19</w:t>
            </w:r>
          </w:p>
        </w:tc>
        <w:tc>
          <w:tcPr>
            <w:tcW w:w="772" w:type="dxa"/>
          </w:tcPr>
          <w:p w:rsidR="00F32158" w:rsidRPr="00647C5F" w:rsidRDefault="00F32158" w:rsidP="00647C5F">
            <w:pPr>
              <w:spacing w:line="276" w:lineRule="auto"/>
              <w:jc w:val="center"/>
              <w:rPr>
                <w:rFonts w:eastAsia="Times New Roman"/>
                <w:color w:val="000000"/>
                <w:sz w:val="24"/>
                <w:szCs w:val="24"/>
                <w:lang w:val="ru-RU" w:eastAsia="ru-RU"/>
              </w:rPr>
            </w:pPr>
            <w:r w:rsidRPr="00647C5F">
              <w:rPr>
                <w:rFonts w:eastAsia="Times New Roman"/>
                <w:color w:val="000000"/>
                <w:sz w:val="24"/>
                <w:szCs w:val="24"/>
                <w:lang w:val="ru-RU" w:eastAsia="ru-RU"/>
              </w:rPr>
              <w:t>33,33</w:t>
            </w:r>
          </w:p>
        </w:tc>
        <w:tc>
          <w:tcPr>
            <w:tcW w:w="772" w:type="dxa"/>
          </w:tcPr>
          <w:p w:rsidR="00F32158" w:rsidRPr="00647C5F" w:rsidRDefault="00F32158" w:rsidP="00647C5F">
            <w:pPr>
              <w:spacing w:line="276" w:lineRule="auto"/>
              <w:jc w:val="center"/>
              <w:rPr>
                <w:rFonts w:eastAsia="Times New Roman"/>
                <w:color w:val="000000"/>
                <w:sz w:val="24"/>
                <w:szCs w:val="24"/>
                <w:lang w:val="ru-RU" w:eastAsia="ru-RU"/>
              </w:rPr>
            </w:pPr>
            <w:r w:rsidRPr="00647C5F">
              <w:rPr>
                <w:rFonts w:eastAsia="Times New Roman"/>
                <w:color w:val="000000"/>
                <w:sz w:val="24"/>
                <w:szCs w:val="24"/>
                <w:lang w:val="ru-RU" w:eastAsia="ru-RU"/>
              </w:rPr>
              <w:t>40,74</w:t>
            </w:r>
          </w:p>
        </w:tc>
        <w:tc>
          <w:tcPr>
            <w:tcW w:w="772" w:type="dxa"/>
          </w:tcPr>
          <w:p w:rsidR="00F32158" w:rsidRPr="00647C5F" w:rsidRDefault="00F32158" w:rsidP="00647C5F">
            <w:pPr>
              <w:spacing w:line="276" w:lineRule="auto"/>
              <w:jc w:val="center"/>
              <w:rPr>
                <w:rFonts w:eastAsia="Times New Roman"/>
                <w:color w:val="000000"/>
                <w:sz w:val="24"/>
                <w:szCs w:val="24"/>
                <w:lang w:val="ru-RU" w:eastAsia="ru-RU"/>
              </w:rPr>
            </w:pPr>
            <w:r w:rsidRPr="00647C5F">
              <w:rPr>
                <w:rFonts w:eastAsia="Times New Roman"/>
                <w:color w:val="000000"/>
                <w:sz w:val="24"/>
                <w:szCs w:val="24"/>
                <w:lang w:val="ru-RU" w:eastAsia="ru-RU"/>
              </w:rPr>
              <w:t>39,53</w:t>
            </w:r>
          </w:p>
        </w:tc>
        <w:tc>
          <w:tcPr>
            <w:tcW w:w="772" w:type="dxa"/>
          </w:tcPr>
          <w:p w:rsidR="00F32158" w:rsidRPr="00647C5F" w:rsidRDefault="00F32158" w:rsidP="00647C5F">
            <w:pPr>
              <w:spacing w:line="276" w:lineRule="auto"/>
              <w:jc w:val="center"/>
              <w:rPr>
                <w:rFonts w:eastAsia="Times New Roman"/>
                <w:color w:val="000000"/>
                <w:sz w:val="24"/>
                <w:szCs w:val="24"/>
                <w:lang w:val="ru-RU" w:eastAsia="ru-RU"/>
              </w:rPr>
            </w:pPr>
            <w:r w:rsidRPr="00647C5F">
              <w:rPr>
                <w:rFonts w:eastAsia="Times New Roman"/>
                <w:color w:val="000000"/>
                <w:sz w:val="24"/>
                <w:szCs w:val="24"/>
                <w:lang w:val="ru-RU" w:eastAsia="ru-RU"/>
              </w:rPr>
              <w:t>45,45</w:t>
            </w:r>
          </w:p>
        </w:tc>
        <w:tc>
          <w:tcPr>
            <w:tcW w:w="972" w:type="dxa"/>
          </w:tcPr>
          <w:p w:rsidR="00F32158" w:rsidRPr="00647C5F" w:rsidRDefault="00F32158" w:rsidP="00647C5F">
            <w:pPr>
              <w:spacing w:line="276" w:lineRule="auto"/>
              <w:jc w:val="center"/>
              <w:rPr>
                <w:rFonts w:eastAsia="Times New Roman"/>
                <w:color w:val="000000"/>
                <w:sz w:val="24"/>
                <w:szCs w:val="24"/>
                <w:lang w:val="ru-RU" w:eastAsia="ru-RU"/>
              </w:rPr>
            </w:pPr>
            <w:r w:rsidRPr="00647C5F">
              <w:rPr>
                <w:rFonts w:eastAsia="Times New Roman"/>
                <w:color w:val="000000"/>
                <w:sz w:val="24"/>
                <w:szCs w:val="24"/>
                <w:lang w:val="ru-RU" w:eastAsia="ru-RU"/>
              </w:rPr>
              <w:t>48,00</w:t>
            </w:r>
          </w:p>
        </w:tc>
        <w:tc>
          <w:tcPr>
            <w:tcW w:w="794" w:type="dxa"/>
          </w:tcPr>
          <w:p w:rsidR="00F32158" w:rsidRPr="00647C5F" w:rsidRDefault="00F32158" w:rsidP="00647C5F">
            <w:pPr>
              <w:spacing w:line="276" w:lineRule="auto"/>
              <w:jc w:val="center"/>
              <w:rPr>
                <w:rFonts w:eastAsia="Times New Roman"/>
                <w:color w:val="000000"/>
                <w:sz w:val="24"/>
                <w:szCs w:val="24"/>
                <w:lang w:eastAsia="ru-RU"/>
              </w:rPr>
            </w:pPr>
            <w:r w:rsidRPr="00647C5F">
              <w:rPr>
                <w:rFonts w:eastAsia="Times New Roman"/>
                <w:color w:val="000000"/>
                <w:sz w:val="24"/>
                <w:szCs w:val="24"/>
                <w:lang w:eastAsia="ru-RU"/>
              </w:rPr>
              <w:t>34,62</w:t>
            </w:r>
          </w:p>
        </w:tc>
      </w:tr>
      <w:tr w:rsidR="00F32158" w:rsidRPr="00647C5F" w:rsidTr="00BF1F99">
        <w:trPr>
          <w:jc w:val="center"/>
        </w:trPr>
        <w:tc>
          <w:tcPr>
            <w:tcW w:w="1995" w:type="dxa"/>
            <w:vAlign w:val="center"/>
          </w:tcPr>
          <w:p w:rsidR="00F32158" w:rsidRPr="00647C5F" w:rsidRDefault="00F32158" w:rsidP="00647C5F">
            <w:pPr>
              <w:spacing w:line="276" w:lineRule="auto"/>
              <w:jc w:val="left"/>
              <w:rPr>
                <w:rFonts w:eastAsia="Times New Roman"/>
                <w:sz w:val="24"/>
                <w:szCs w:val="24"/>
                <w:lang w:eastAsia="ru-RU"/>
              </w:rPr>
            </w:pPr>
            <w:r w:rsidRPr="00647C5F">
              <w:rPr>
                <w:rFonts w:eastAsia="Times New Roman"/>
                <w:sz w:val="24"/>
                <w:szCs w:val="24"/>
                <w:lang w:eastAsia="ru-RU"/>
              </w:rPr>
              <w:t>Дніпропетровська</w:t>
            </w:r>
          </w:p>
        </w:tc>
        <w:tc>
          <w:tcPr>
            <w:tcW w:w="772" w:type="dxa"/>
            <w:vAlign w:val="center"/>
          </w:tcPr>
          <w:p w:rsidR="00F32158" w:rsidRPr="00647C5F" w:rsidRDefault="00F32158" w:rsidP="00647C5F">
            <w:pPr>
              <w:spacing w:line="276" w:lineRule="auto"/>
              <w:jc w:val="center"/>
              <w:rPr>
                <w:rFonts w:eastAsia="Times New Roman"/>
                <w:sz w:val="24"/>
                <w:szCs w:val="24"/>
                <w:lang w:val="ru-RU" w:eastAsia="ru-RU"/>
              </w:rPr>
            </w:pPr>
            <w:r w:rsidRPr="00647C5F">
              <w:rPr>
                <w:rFonts w:eastAsia="Times New Roman"/>
                <w:sz w:val="24"/>
                <w:szCs w:val="24"/>
                <w:lang w:val="ru-RU" w:eastAsia="ru-RU"/>
              </w:rPr>
              <w:t>46,67</w:t>
            </w:r>
          </w:p>
        </w:tc>
        <w:tc>
          <w:tcPr>
            <w:tcW w:w="772" w:type="dxa"/>
            <w:vAlign w:val="center"/>
          </w:tcPr>
          <w:p w:rsidR="00F32158" w:rsidRPr="00647C5F" w:rsidRDefault="00F32158" w:rsidP="00647C5F">
            <w:pPr>
              <w:spacing w:line="276" w:lineRule="auto"/>
              <w:jc w:val="center"/>
              <w:rPr>
                <w:rFonts w:eastAsia="Times New Roman"/>
                <w:sz w:val="24"/>
                <w:szCs w:val="24"/>
                <w:lang w:val="ru-RU" w:eastAsia="ru-RU"/>
              </w:rPr>
            </w:pPr>
            <w:r w:rsidRPr="00647C5F">
              <w:rPr>
                <w:rFonts w:eastAsia="Times New Roman"/>
                <w:sz w:val="24"/>
                <w:szCs w:val="24"/>
                <w:lang w:val="ru-RU" w:eastAsia="ru-RU"/>
              </w:rPr>
              <w:t>57,55</w:t>
            </w:r>
          </w:p>
        </w:tc>
        <w:tc>
          <w:tcPr>
            <w:tcW w:w="772" w:type="dxa"/>
          </w:tcPr>
          <w:p w:rsidR="00F32158" w:rsidRPr="00647C5F" w:rsidRDefault="00F32158" w:rsidP="00647C5F">
            <w:pPr>
              <w:spacing w:line="276" w:lineRule="auto"/>
              <w:jc w:val="center"/>
              <w:rPr>
                <w:rFonts w:eastAsia="Times New Roman"/>
                <w:color w:val="000000"/>
                <w:sz w:val="24"/>
                <w:szCs w:val="24"/>
                <w:lang w:val="ru-RU" w:eastAsia="ru-RU"/>
              </w:rPr>
            </w:pPr>
            <w:r w:rsidRPr="00647C5F">
              <w:rPr>
                <w:rFonts w:eastAsia="Times New Roman"/>
                <w:color w:val="000000"/>
                <w:sz w:val="24"/>
                <w:szCs w:val="24"/>
                <w:lang w:val="ru-RU" w:eastAsia="ru-RU"/>
              </w:rPr>
              <w:t>44,44</w:t>
            </w:r>
          </w:p>
        </w:tc>
        <w:tc>
          <w:tcPr>
            <w:tcW w:w="772" w:type="dxa"/>
          </w:tcPr>
          <w:p w:rsidR="00F32158" w:rsidRPr="00647C5F" w:rsidRDefault="00F32158" w:rsidP="00647C5F">
            <w:pPr>
              <w:spacing w:line="276" w:lineRule="auto"/>
              <w:jc w:val="center"/>
              <w:rPr>
                <w:rFonts w:eastAsia="Times New Roman"/>
                <w:color w:val="000000"/>
                <w:sz w:val="24"/>
                <w:szCs w:val="24"/>
                <w:lang w:val="ru-RU" w:eastAsia="ru-RU"/>
              </w:rPr>
            </w:pPr>
            <w:r w:rsidRPr="00647C5F">
              <w:rPr>
                <w:rFonts w:eastAsia="Times New Roman"/>
                <w:color w:val="000000"/>
                <w:sz w:val="24"/>
                <w:szCs w:val="24"/>
                <w:lang w:val="ru-RU" w:eastAsia="ru-RU"/>
              </w:rPr>
              <w:t>63,75</w:t>
            </w:r>
          </w:p>
        </w:tc>
        <w:tc>
          <w:tcPr>
            <w:tcW w:w="772" w:type="dxa"/>
          </w:tcPr>
          <w:p w:rsidR="00F32158" w:rsidRPr="00647C5F" w:rsidRDefault="00F32158" w:rsidP="00647C5F">
            <w:pPr>
              <w:spacing w:line="276" w:lineRule="auto"/>
              <w:jc w:val="center"/>
              <w:rPr>
                <w:rFonts w:eastAsia="Times New Roman"/>
                <w:color w:val="000000"/>
                <w:sz w:val="24"/>
                <w:szCs w:val="24"/>
                <w:lang w:val="ru-RU" w:eastAsia="ru-RU"/>
              </w:rPr>
            </w:pPr>
            <w:r w:rsidRPr="00647C5F">
              <w:rPr>
                <w:rFonts w:eastAsia="Times New Roman"/>
                <w:color w:val="000000"/>
                <w:sz w:val="24"/>
                <w:szCs w:val="24"/>
                <w:lang w:val="ru-RU" w:eastAsia="ru-RU"/>
              </w:rPr>
              <w:t>41,00</w:t>
            </w:r>
          </w:p>
        </w:tc>
        <w:tc>
          <w:tcPr>
            <w:tcW w:w="772" w:type="dxa"/>
          </w:tcPr>
          <w:p w:rsidR="00F32158" w:rsidRPr="00647C5F" w:rsidRDefault="00F32158" w:rsidP="00647C5F">
            <w:pPr>
              <w:spacing w:line="276" w:lineRule="auto"/>
              <w:jc w:val="center"/>
              <w:rPr>
                <w:rFonts w:eastAsia="Times New Roman"/>
                <w:color w:val="000000"/>
                <w:sz w:val="24"/>
                <w:szCs w:val="24"/>
                <w:lang w:val="ru-RU" w:eastAsia="ru-RU"/>
              </w:rPr>
            </w:pPr>
            <w:r w:rsidRPr="00647C5F">
              <w:rPr>
                <w:rFonts w:eastAsia="Times New Roman"/>
                <w:color w:val="000000"/>
                <w:sz w:val="24"/>
                <w:szCs w:val="24"/>
                <w:lang w:val="ru-RU" w:eastAsia="ru-RU"/>
              </w:rPr>
              <w:t>36,23</w:t>
            </w:r>
          </w:p>
        </w:tc>
        <w:tc>
          <w:tcPr>
            <w:tcW w:w="972" w:type="dxa"/>
          </w:tcPr>
          <w:p w:rsidR="00F32158" w:rsidRPr="00647C5F" w:rsidRDefault="00F32158" w:rsidP="00647C5F">
            <w:pPr>
              <w:spacing w:line="276" w:lineRule="auto"/>
              <w:jc w:val="center"/>
              <w:rPr>
                <w:rFonts w:eastAsia="Times New Roman"/>
                <w:color w:val="000000"/>
                <w:sz w:val="24"/>
                <w:szCs w:val="24"/>
                <w:lang w:val="ru-RU" w:eastAsia="ru-RU"/>
              </w:rPr>
            </w:pPr>
            <w:r w:rsidRPr="00647C5F">
              <w:rPr>
                <w:rFonts w:eastAsia="Times New Roman"/>
                <w:color w:val="000000"/>
                <w:sz w:val="24"/>
                <w:szCs w:val="24"/>
                <w:lang w:val="ru-RU" w:eastAsia="ru-RU"/>
              </w:rPr>
              <w:t>55,00</w:t>
            </w:r>
          </w:p>
        </w:tc>
        <w:tc>
          <w:tcPr>
            <w:tcW w:w="794" w:type="dxa"/>
          </w:tcPr>
          <w:p w:rsidR="00F32158" w:rsidRPr="00647C5F" w:rsidRDefault="00F32158" w:rsidP="00647C5F">
            <w:pPr>
              <w:spacing w:line="276" w:lineRule="auto"/>
              <w:jc w:val="center"/>
              <w:rPr>
                <w:rFonts w:eastAsia="Times New Roman"/>
                <w:color w:val="000000"/>
                <w:sz w:val="24"/>
                <w:szCs w:val="24"/>
                <w:lang w:eastAsia="ru-RU"/>
              </w:rPr>
            </w:pPr>
            <w:r w:rsidRPr="00647C5F">
              <w:rPr>
                <w:rFonts w:eastAsia="Times New Roman"/>
                <w:color w:val="000000"/>
                <w:sz w:val="24"/>
                <w:szCs w:val="24"/>
                <w:lang w:eastAsia="ru-RU"/>
              </w:rPr>
              <w:t>60,78</w:t>
            </w:r>
          </w:p>
        </w:tc>
      </w:tr>
      <w:tr w:rsidR="00F32158" w:rsidRPr="00647C5F" w:rsidTr="00BF1F99">
        <w:trPr>
          <w:jc w:val="center"/>
        </w:trPr>
        <w:tc>
          <w:tcPr>
            <w:tcW w:w="1995" w:type="dxa"/>
            <w:vAlign w:val="center"/>
          </w:tcPr>
          <w:p w:rsidR="00F32158" w:rsidRPr="00647C5F" w:rsidRDefault="00F32158" w:rsidP="00647C5F">
            <w:pPr>
              <w:spacing w:line="276" w:lineRule="auto"/>
              <w:jc w:val="left"/>
              <w:rPr>
                <w:rFonts w:eastAsia="Times New Roman"/>
                <w:sz w:val="24"/>
                <w:szCs w:val="24"/>
                <w:lang w:eastAsia="ru-RU"/>
              </w:rPr>
            </w:pPr>
            <w:r w:rsidRPr="00647C5F">
              <w:rPr>
                <w:rFonts w:eastAsia="Times New Roman"/>
                <w:sz w:val="24"/>
                <w:szCs w:val="24"/>
                <w:lang w:eastAsia="ru-RU"/>
              </w:rPr>
              <w:t>Донецька</w:t>
            </w:r>
          </w:p>
        </w:tc>
        <w:tc>
          <w:tcPr>
            <w:tcW w:w="772" w:type="dxa"/>
            <w:vAlign w:val="center"/>
          </w:tcPr>
          <w:p w:rsidR="00F32158" w:rsidRPr="00647C5F" w:rsidRDefault="00F32158" w:rsidP="00647C5F">
            <w:pPr>
              <w:spacing w:line="276" w:lineRule="auto"/>
              <w:jc w:val="center"/>
              <w:rPr>
                <w:rFonts w:eastAsia="Times New Roman"/>
                <w:sz w:val="24"/>
                <w:szCs w:val="24"/>
                <w:lang w:val="ru-RU" w:eastAsia="ru-RU"/>
              </w:rPr>
            </w:pPr>
            <w:r w:rsidRPr="00647C5F">
              <w:rPr>
                <w:rFonts w:eastAsia="Times New Roman"/>
                <w:sz w:val="24"/>
                <w:szCs w:val="24"/>
                <w:lang w:val="ru-RU" w:eastAsia="ru-RU"/>
              </w:rPr>
              <w:t>40,77</w:t>
            </w:r>
          </w:p>
        </w:tc>
        <w:tc>
          <w:tcPr>
            <w:tcW w:w="772" w:type="dxa"/>
            <w:vAlign w:val="center"/>
          </w:tcPr>
          <w:p w:rsidR="00F32158" w:rsidRPr="00647C5F" w:rsidRDefault="00F32158" w:rsidP="00647C5F">
            <w:pPr>
              <w:spacing w:line="276" w:lineRule="auto"/>
              <w:jc w:val="center"/>
              <w:rPr>
                <w:rFonts w:eastAsia="Times New Roman"/>
                <w:sz w:val="24"/>
                <w:szCs w:val="24"/>
                <w:lang w:val="ru-RU" w:eastAsia="ru-RU"/>
              </w:rPr>
            </w:pPr>
            <w:r w:rsidRPr="00647C5F">
              <w:rPr>
                <w:rFonts w:eastAsia="Times New Roman"/>
                <w:sz w:val="24"/>
                <w:szCs w:val="24"/>
                <w:lang w:val="ru-RU" w:eastAsia="ru-RU"/>
              </w:rPr>
              <w:t>45,33</w:t>
            </w:r>
          </w:p>
        </w:tc>
        <w:tc>
          <w:tcPr>
            <w:tcW w:w="772" w:type="dxa"/>
          </w:tcPr>
          <w:p w:rsidR="00F32158" w:rsidRPr="00647C5F" w:rsidRDefault="00F32158" w:rsidP="00647C5F">
            <w:pPr>
              <w:spacing w:line="276" w:lineRule="auto"/>
              <w:jc w:val="center"/>
              <w:rPr>
                <w:rFonts w:eastAsia="Times New Roman"/>
                <w:color w:val="000000"/>
                <w:sz w:val="24"/>
                <w:szCs w:val="24"/>
                <w:lang w:val="ru-RU" w:eastAsia="ru-RU"/>
              </w:rPr>
            </w:pPr>
            <w:r w:rsidRPr="00647C5F">
              <w:rPr>
                <w:rFonts w:eastAsia="Times New Roman"/>
                <w:color w:val="000000"/>
                <w:sz w:val="24"/>
                <w:szCs w:val="24"/>
                <w:lang w:val="ru-RU" w:eastAsia="ru-RU"/>
              </w:rPr>
              <w:t>50,41</w:t>
            </w:r>
          </w:p>
        </w:tc>
        <w:tc>
          <w:tcPr>
            <w:tcW w:w="772" w:type="dxa"/>
          </w:tcPr>
          <w:p w:rsidR="00F32158" w:rsidRPr="00647C5F" w:rsidRDefault="00F32158" w:rsidP="00647C5F">
            <w:pPr>
              <w:spacing w:line="276" w:lineRule="auto"/>
              <w:jc w:val="center"/>
              <w:rPr>
                <w:rFonts w:eastAsia="Times New Roman"/>
                <w:color w:val="000000"/>
                <w:sz w:val="24"/>
                <w:szCs w:val="24"/>
                <w:lang w:val="ru-RU" w:eastAsia="ru-RU"/>
              </w:rPr>
            </w:pPr>
            <w:r w:rsidRPr="00647C5F">
              <w:rPr>
                <w:rFonts w:eastAsia="Times New Roman"/>
                <w:color w:val="000000"/>
                <w:sz w:val="24"/>
                <w:szCs w:val="24"/>
                <w:lang w:val="ru-RU" w:eastAsia="ru-RU"/>
              </w:rPr>
              <w:t>61,54</w:t>
            </w:r>
          </w:p>
        </w:tc>
        <w:tc>
          <w:tcPr>
            <w:tcW w:w="772" w:type="dxa"/>
          </w:tcPr>
          <w:p w:rsidR="00F32158" w:rsidRPr="00647C5F" w:rsidRDefault="00F32158" w:rsidP="00647C5F">
            <w:pPr>
              <w:spacing w:line="276" w:lineRule="auto"/>
              <w:jc w:val="center"/>
              <w:rPr>
                <w:rFonts w:eastAsia="Times New Roman"/>
                <w:color w:val="000000"/>
                <w:sz w:val="24"/>
                <w:szCs w:val="24"/>
                <w:lang w:val="ru-RU" w:eastAsia="ru-RU"/>
              </w:rPr>
            </w:pPr>
            <w:r w:rsidRPr="00647C5F">
              <w:rPr>
                <w:rFonts w:eastAsia="Times New Roman"/>
                <w:color w:val="000000"/>
                <w:sz w:val="24"/>
                <w:szCs w:val="24"/>
                <w:lang w:val="ru-RU" w:eastAsia="ru-RU"/>
              </w:rPr>
              <w:t>50,00</w:t>
            </w:r>
          </w:p>
        </w:tc>
        <w:tc>
          <w:tcPr>
            <w:tcW w:w="772" w:type="dxa"/>
          </w:tcPr>
          <w:p w:rsidR="00F32158" w:rsidRPr="00647C5F" w:rsidRDefault="00F32158" w:rsidP="00647C5F">
            <w:pPr>
              <w:spacing w:line="276" w:lineRule="auto"/>
              <w:jc w:val="center"/>
              <w:rPr>
                <w:rFonts w:eastAsia="Times New Roman"/>
                <w:color w:val="000000"/>
                <w:sz w:val="24"/>
                <w:szCs w:val="24"/>
                <w:lang w:val="ru-RU" w:eastAsia="ru-RU"/>
              </w:rPr>
            </w:pPr>
            <w:r w:rsidRPr="00647C5F">
              <w:rPr>
                <w:rFonts w:eastAsia="Times New Roman"/>
                <w:color w:val="000000"/>
                <w:sz w:val="24"/>
                <w:szCs w:val="24"/>
                <w:lang w:val="ru-RU" w:eastAsia="ru-RU"/>
              </w:rPr>
              <w:t>41,67</w:t>
            </w:r>
          </w:p>
        </w:tc>
        <w:tc>
          <w:tcPr>
            <w:tcW w:w="972" w:type="dxa"/>
          </w:tcPr>
          <w:p w:rsidR="00F32158" w:rsidRPr="00647C5F" w:rsidRDefault="00F32158" w:rsidP="00647C5F">
            <w:pPr>
              <w:spacing w:line="276" w:lineRule="auto"/>
              <w:jc w:val="center"/>
              <w:rPr>
                <w:rFonts w:eastAsia="Times New Roman"/>
                <w:color w:val="000000"/>
                <w:sz w:val="24"/>
                <w:szCs w:val="24"/>
                <w:lang w:val="ru-RU" w:eastAsia="ru-RU"/>
              </w:rPr>
            </w:pPr>
            <w:r w:rsidRPr="00647C5F">
              <w:rPr>
                <w:rFonts w:eastAsia="Times New Roman"/>
                <w:color w:val="000000"/>
                <w:sz w:val="24"/>
                <w:szCs w:val="24"/>
                <w:lang w:val="ru-RU" w:eastAsia="ru-RU"/>
              </w:rPr>
              <w:t>41,18</w:t>
            </w:r>
          </w:p>
        </w:tc>
        <w:tc>
          <w:tcPr>
            <w:tcW w:w="794" w:type="dxa"/>
          </w:tcPr>
          <w:p w:rsidR="00F32158" w:rsidRPr="00647C5F" w:rsidRDefault="00F32158" w:rsidP="00647C5F">
            <w:pPr>
              <w:spacing w:line="276" w:lineRule="auto"/>
              <w:jc w:val="center"/>
              <w:rPr>
                <w:rFonts w:eastAsia="Times New Roman"/>
                <w:color w:val="000000"/>
                <w:sz w:val="24"/>
                <w:szCs w:val="24"/>
                <w:lang w:eastAsia="ru-RU"/>
              </w:rPr>
            </w:pPr>
            <w:r w:rsidRPr="00647C5F">
              <w:rPr>
                <w:rFonts w:eastAsia="Times New Roman"/>
                <w:color w:val="000000"/>
                <w:sz w:val="24"/>
                <w:szCs w:val="24"/>
                <w:lang w:eastAsia="ru-RU"/>
              </w:rPr>
              <w:t>51,62</w:t>
            </w:r>
          </w:p>
        </w:tc>
      </w:tr>
      <w:tr w:rsidR="00F32158" w:rsidRPr="00647C5F" w:rsidTr="00BF1F99">
        <w:trPr>
          <w:jc w:val="center"/>
        </w:trPr>
        <w:tc>
          <w:tcPr>
            <w:tcW w:w="1995" w:type="dxa"/>
            <w:vAlign w:val="center"/>
          </w:tcPr>
          <w:p w:rsidR="00F32158" w:rsidRPr="00647C5F" w:rsidRDefault="00F32158" w:rsidP="00647C5F">
            <w:pPr>
              <w:spacing w:line="276" w:lineRule="auto"/>
              <w:jc w:val="left"/>
              <w:rPr>
                <w:rFonts w:eastAsia="Times New Roman"/>
                <w:sz w:val="24"/>
                <w:szCs w:val="24"/>
                <w:lang w:eastAsia="ru-RU"/>
              </w:rPr>
            </w:pPr>
            <w:r w:rsidRPr="00647C5F">
              <w:rPr>
                <w:rFonts w:eastAsia="Times New Roman"/>
                <w:sz w:val="24"/>
                <w:szCs w:val="24"/>
                <w:lang w:eastAsia="ru-RU"/>
              </w:rPr>
              <w:t>Житомирська</w:t>
            </w:r>
          </w:p>
        </w:tc>
        <w:tc>
          <w:tcPr>
            <w:tcW w:w="772" w:type="dxa"/>
            <w:vAlign w:val="center"/>
          </w:tcPr>
          <w:p w:rsidR="00F32158" w:rsidRPr="00647C5F" w:rsidRDefault="00F32158" w:rsidP="00647C5F">
            <w:pPr>
              <w:spacing w:line="276" w:lineRule="auto"/>
              <w:jc w:val="center"/>
              <w:rPr>
                <w:rFonts w:eastAsia="Times New Roman"/>
                <w:sz w:val="24"/>
                <w:szCs w:val="24"/>
                <w:lang w:val="ru-RU" w:eastAsia="ru-RU"/>
              </w:rPr>
            </w:pPr>
            <w:r w:rsidRPr="00647C5F">
              <w:rPr>
                <w:rFonts w:eastAsia="Times New Roman"/>
                <w:sz w:val="24"/>
                <w:szCs w:val="24"/>
                <w:lang w:val="ru-RU" w:eastAsia="ru-RU"/>
              </w:rPr>
              <w:t>44,90</w:t>
            </w:r>
          </w:p>
        </w:tc>
        <w:tc>
          <w:tcPr>
            <w:tcW w:w="772" w:type="dxa"/>
            <w:vAlign w:val="center"/>
          </w:tcPr>
          <w:p w:rsidR="00F32158" w:rsidRPr="00647C5F" w:rsidRDefault="00F32158" w:rsidP="00647C5F">
            <w:pPr>
              <w:spacing w:line="276" w:lineRule="auto"/>
              <w:jc w:val="center"/>
              <w:rPr>
                <w:rFonts w:eastAsia="Times New Roman"/>
                <w:sz w:val="24"/>
                <w:szCs w:val="24"/>
                <w:lang w:val="ru-RU" w:eastAsia="ru-RU"/>
              </w:rPr>
            </w:pPr>
            <w:r w:rsidRPr="00647C5F">
              <w:rPr>
                <w:rFonts w:eastAsia="Times New Roman"/>
                <w:sz w:val="24"/>
                <w:szCs w:val="24"/>
                <w:lang w:val="ru-RU" w:eastAsia="ru-RU"/>
              </w:rPr>
              <w:t>39,13</w:t>
            </w:r>
          </w:p>
        </w:tc>
        <w:tc>
          <w:tcPr>
            <w:tcW w:w="772" w:type="dxa"/>
          </w:tcPr>
          <w:p w:rsidR="00F32158" w:rsidRPr="00647C5F" w:rsidRDefault="00F32158" w:rsidP="00647C5F">
            <w:pPr>
              <w:spacing w:line="276" w:lineRule="auto"/>
              <w:jc w:val="center"/>
              <w:rPr>
                <w:rFonts w:eastAsia="Times New Roman"/>
                <w:color w:val="000000"/>
                <w:sz w:val="24"/>
                <w:szCs w:val="24"/>
                <w:lang w:val="ru-RU" w:eastAsia="ru-RU"/>
              </w:rPr>
            </w:pPr>
            <w:r w:rsidRPr="00647C5F">
              <w:rPr>
                <w:rFonts w:eastAsia="Times New Roman"/>
                <w:color w:val="000000"/>
                <w:sz w:val="24"/>
                <w:szCs w:val="24"/>
                <w:lang w:val="ru-RU" w:eastAsia="ru-RU"/>
              </w:rPr>
              <w:t>40,00</w:t>
            </w:r>
          </w:p>
        </w:tc>
        <w:tc>
          <w:tcPr>
            <w:tcW w:w="772" w:type="dxa"/>
          </w:tcPr>
          <w:p w:rsidR="00F32158" w:rsidRPr="00647C5F" w:rsidRDefault="00F32158" w:rsidP="00647C5F">
            <w:pPr>
              <w:spacing w:line="276" w:lineRule="auto"/>
              <w:jc w:val="center"/>
              <w:rPr>
                <w:rFonts w:eastAsia="Times New Roman"/>
                <w:color w:val="000000"/>
                <w:sz w:val="24"/>
                <w:szCs w:val="24"/>
                <w:lang w:val="ru-RU" w:eastAsia="ru-RU"/>
              </w:rPr>
            </w:pPr>
            <w:r w:rsidRPr="00647C5F">
              <w:rPr>
                <w:rFonts w:eastAsia="Times New Roman"/>
                <w:color w:val="000000"/>
                <w:sz w:val="24"/>
                <w:szCs w:val="24"/>
                <w:lang w:val="ru-RU" w:eastAsia="ru-RU"/>
              </w:rPr>
              <w:t>61,90</w:t>
            </w:r>
          </w:p>
        </w:tc>
        <w:tc>
          <w:tcPr>
            <w:tcW w:w="772" w:type="dxa"/>
          </w:tcPr>
          <w:p w:rsidR="00F32158" w:rsidRPr="00647C5F" w:rsidRDefault="00F32158" w:rsidP="00647C5F">
            <w:pPr>
              <w:spacing w:line="276" w:lineRule="auto"/>
              <w:jc w:val="center"/>
              <w:rPr>
                <w:rFonts w:eastAsia="Times New Roman"/>
                <w:color w:val="000000"/>
                <w:sz w:val="24"/>
                <w:szCs w:val="24"/>
                <w:lang w:val="ru-RU" w:eastAsia="ru-RU"/>
              </w:rPr>
            </w:pPr>
            <w:r w:rsidRPr="00647C5F">
              <w:rPr>
                <w:rFonts w:eastAsia="Times New Roman"/>
                <w:color w:val="000000"/>
                <w:sz w:val="24"/>
                <w:szCs w:val="24"/>
                <w:lang w:val="ru-RU" w:eastAsia="ru-RU"/>
              </w:rPr>
              <w:t>42,11</w:t>
            </w:r>
          </w:p>
        </w:tc>
        <w:tc>
          <w:tcPr>
            <w:tcW w:w="772" w:type="dxa"/>
          </w:tcPr>
          <w:p w:rsidR="00F32158" w:rsidRPr="00647C5F" w:rsidRDefault="00F32158" w:rsidP="00647C5F">
            <w:pPr>
              <w:spacing w:line="276" w:lineRule="auto"/>
              <w:jc w:val="center"/>
              <w:rPr>
                <w:rFonts w:eastAsia="Times New Roman"/>
                <w:color w:val="000000"/>
                <w:sz w:val="24"/>
                <w:szCs w:val="24"/>
                <w:lang w:val="ru-RU" w:eastAsia="ru-RU"/>
              </w:rPr>
            </w:pPr>
            <w:r w:rsidRPr="00647C5F">
              <w:rPr>
                <w:rFonts w:eastAsia="Times New Roman"/>
                <w:color w:val="000000"/>
                <w:sz w:val="24"/>
                <w:szCs w:val="24"/>
                <w:lang w:val="ru-RU" w:eastAsia="ru-RU"/>
              </w:rPr>
              <w:t>46,67</w:t>
            </w:r>
          </w:p>
        </w:tc>
        <w:tc>
          <w:tcPr>
            <w:tcW w:w="972" w:type="dxa"/>
          </w:tcPr>
          <w:p w:rsidR="00F32158" w:rsidRPr="00647C5F" w:rsidRDefault="00F32158" w:rsidP="00647C5F">
            <w:pPr>
              <w:spacing w:line="276" w:lineRule="auto"/>
              <w:jc w:val="center"/>
              <w:rPr>
                <w:rFonts w:eastAsia="Times New Roman"/>
                <w:color w:val="000000"/>
                <w:sz w:val="24"/>
                <w:szCs w:val="24"/>
                <w:lang w:val="ru-RU" w:eastAsia="ru-RU"/>
              </w:rPr>
            </w:pPr>
            <w:r w:rsidRPr="00647C5F">
              <w:rPr>
                <w:rFonts w:eastAsia="Times New Roman"/>
                <w:color w:val="000000"/>
                <w:sz w:val="24"/>
                <w:szCs w:val="24"/>
                <w:lang w:val="ru-RU" w:eastAsia="ru-RU"/>
              </w:rPr>
              <w:t>44,44</w:t>
            </w:r>
          </w:p>
        </w:tc>
        <w:tc>
          <w:tcPr>
            <w:tcW w:w="794" w:type="dxa"/>
          </w:tcPr>
          <w:p w:rsidR="00F32158" w:rsidRPr="00647C5F" w:rsidRDefault="00F32158" w:rsidP="00647C5F">
            <w:pPr>
              <w:spacing w:line="276" w:lineRule="auto"/>
              <w:jc w:val="center"/>
              <w:rPr>
                <w:rFonts w:eastAsia="Times New Roman"/>
                <w:color w:val="000000"/>
                <w:sz w:val="24"/>
                <w:szCs w:val="24"/>
                <w:lang w:eastAsia="ru-RU"/>
              </w:rPr>
            </w:pPr>
            <w:r w:rsidRPr="00647C5F">
              <w:rPr>
                <w:rFonts w:eastAsia="Times New Roman"/>
                <w:color w:val="000000"/>
                <w:sz w:val="24"/>
                <w:szCs w:val="24"/>
                <w:lang w:eastAsia="ru-RU"/>
              </w:rPr>
              <w:t>65,22</w:t>
            </w:r>
          </w:p>
        </w:tc>
      </w:tr>
      <w:tr w:rsidR="00F32158" w:rsidRPr="00647C5F" w:rsidTr="00BF1F99">
        <w:trPr>
          <w:jc w:val="center"/>
        </w:trPr>
        <w:tc>
          <w:tcPr>
            <w:tcW w:w="1995" w:type="dxa"/>
            <w:vAlign w:val="center"/>
          </w:tcPr>
          <w:p w:rsidR="00F32158" w:rsidRPr="00647C5F" w:rsidRDefault="00F32158" w:rsidP="00647C5F">
            <w:pPr>
              <w:spacing w:line="276" w:lineRule="auto"/>
              <w:jc w:val="left"/>
              <w:rPr>
                <w:rFonts w:eastAsia="Times New Roman"/>
                <w:sz w:val="24"/>
                <w:szCs w:val="24"/>
                <w:lang w:eastAsia="ru-RU"/>
              </w:rPr>
            </w:pPr>
            <w:r w:rsidRPr="00647C5F">
              <w:rPr>
                <w:rFonts w:eastAsia="Times New Roman"/>
                <w:sz w:val="24"/>
                <w:szCs w:val="24"/>
                <w:lang w:eastAsia="ru-RU"/>
              </w:rPr>
              <w:t>Закарпатська</w:t>
            </w:r>
          </w:p>
        </w:tc>
        <w:tc>
          <w:tcPr>
            <w:tcW w:w="772" w:type="dxa"/>
            <w:vAlign w:val="center"/>
          </w:tcPr>
          <w:p w:rsidR="00F32158" w:rsidRPr="00647C5F" w:rsidRDefault="00F32158" w:rsidP="00647C5F">
            <w:pPr>
              <w:spacing w:line="276" w:lineRule="auto"/>
              <w:jc w:val="center"/>
              <w:rPr>
                <w:rFonts w:eastAsia="Times New Roman"/>
                <w:sz w:val="24"/>
                <w:szCs w:val="24"/>
                <w:lang w:val="ru-RU" w:eastAsia="ru-RU"/>
              </w:rPr>
            </w:pPr>
            <w:r w:rsidRPr="00647C5F">
              <w:rPr>
                <w:rFonts w:eastAsia="Times New Roman"/>
                <w:sz w:val="24"/>
                <w:szCs w:val="24"/>
                <w:lang w:val="ru-RU" w:eastAsia="ru-RU"/>
              </w:rPr>
              <w:t>38,54</w:t>
            </w:r>
          </w:p>
        </w:tc>
        <w:tc>
          <w:tcPr>
            <w:tcW w:w="772" w:type="dxa"/>
            <w:vAlign w:val="center"/>
          </w:tcPr>
          <w:p w:rsidR="00F32158" w:rsidRPr="00647C5F" w:rsidRDefault="00F32158" w:rsidP="00647C5F">
            <w:pPr>
              <w:spacing w:line="276" w:lineRule="auto"/>
              <w:jc w:val="center"/>
              <w:rPr>
                <w:rFonts w:eastAsia="Times New Roman"/>
                <w:sz w:val="24"/>
                <w:szCs w:val="24"/>
                <w:lang w:val="ru-RU" w:eastAsia="ru-RU"/>
              </w:rPr>
            </w:pPr>
            <w:r w:rsidRPr="00647C5F">
              <w:rPr>
                <w:rFonts w:eastAsia="Times New Roman"/>
                <w:sz w:val="24"/>
                <w:szCs w:val="24"/>
                <w:lang w:val="ru-RU" w:eastAsia="ru-RU"/>
              </w:rPr>
              <w:t>32,04</w:t>
            </w:r>
          </w:p>
        </w:tc>
        <w:tc>
          <w:tcPr>
            <w:tcW w:w="772" w:type="dxa"/>
          </w:tcPr>
          <w:p w:rsidR="00F32158" w:rsidRPr="00647C5F" w:rsidRDefault="00F32158" w:rsidP="00647C5F">
            <w:pPr>
              <w:spacing w:line="276" w:lineRule="auto"/>
              <w:jc w:val="center"/>
              <w:rPr>
                <w:rFonts w:eastAsia="Times New Roman"/>
                <w:color w:val="000000"/>
                <w:sz w:val="24"/>
                <w:szCs w:val="24"/>
                <w:lang w:val="ru-RU" w:eastAsia="ru-RU"/>
              </w:rPr>
            </w:pPr>
            <w:r w:rsidRPr="00647C5F">
              <w:rPr>
                <w:rFonts w:eastAsia="Times New Roman"/>
                <w:color w:val="000000"/>
                <w:sz w:val="24"/>
                <w:szCs w:val="24"/>
                <w:lang w:val="ru-RU" w:eastAsia="ru-RU"/>
              </w:rPr>
              <w:t>40,24</w:t>
            </w:r>
          </w:p>
        </w:tc>
        <w:tc>
          <w:tcPr>
            <w:tcW w:w="772" w:type="dxa"/>
          </w:tcPr>
          <w:p w:rsidR="00F32158" w:rsidRPr="00647C5F" w:rsidRDefault="00F32158" w:rsidP="00647C5F">
            <w:pPr>
              <w:spacing w:line="276" w:lineRule="auto"/>
              <w:jc w:val="center"/>
              <w:rPr>
                <w:rFonts w:eastAsia="Times New Roman"/>
                <w:color w:val="000000"/>
                <w:sz w:val="24"/>
                <w:szCs w:val="24"/>
                <w:lang w:val="ru-RU" w:eastAsia="ru-RU"/>
              </w:rPr>
            </w:pPr>
            <w:r w:rsidRPr="00647C5F">
              <w:rPr>
                <w:rFonts w:eastAsia="Times New Roman"/>
                <w:color w:val="000000"/>
                <w:sz w:val="24"/>
                <w:szCs w:val="24"/>
                <w:lang w:val="ru-RU" w:eastAsia="ru-RU"/>
              </w:rPr>
              <w:t>44,78</w:t>
            </w:r>
          </w:p>
        </w:tc>
        <w:tc>
          <w:tcPr>
            <w:tcW w:w="772" w:type="dxa"/>
          </w:tcPr>
          <w:p w:rsidR="00F32158" w:rsidRPr="00647C5F" w:rsidRDefault="00F32158" w:rsidP="00647C5F">
            <w:pPr>
              <w:spacing w:line="276" w:lineRule="auto"/>
              <w:jc w:val="center"/>
              <w:rPr>
                <w:rFonts w:eastAsia="Times New Roman"/>
                <w:color w:val="000000"/>
                <w:sz w:val="24"/>
                <w:szCs w:val="24"/>
                <w:lang w:val="ru-RU" w:eastAsia="ru-RU"/>
              </w:rPr>
            </w:pPr>
            <w:r w:rsidRPr="00647C5F">
              <w:rPr>
                <w:rFonts w:eastAsia="Times New Roman"/>
                <w:color w:val="000000"/>
                <w:sz w:val="24"/>
                <w:szCs w:val="24"/>
                <w:lang w:val="ru-RU" w:eastAsia="ru-RU"/>
              </w:rPr>
              <w:t>33,00</w:t>
            </w:r>
          </w:p>
        </w:tc>
        <w:tc>
          <w:tcPr>
            <w:tcW w:w="772" w:type="dxa"/>
          </w:tcPr>
          <w:p w:rsidR="00F32158" w:rsidRPr="00647C5F" w:rsidRDefault="00F32158" w:rsidP="00647C5F">
            <w:pPr>
              <w:spacing w:line="276" w:lineRule="auto"/>
              <w:jc w:val="center"/>
              <w:rPr>
                <w:rFonts w:eastAsia="Times New Roman"/>
                <w:color w:val="000000"/>
                <w:sz w:val="24"/>
                <w:szCs w:val="24"/>
                <w:lang w:val="ru-RU" w:eastAsia="ru-RU"/>
              </w:rPr>
            </w:pPr>
            <w:r w:rsidRPr="00647C5F">
              <w:rPr>
                <w:rFonts w:eastAsia="Times New Roman"/>
                <w:color w:val="000000"/>
                <w:sz w:val="24"/>
                <w:szCs w:val="24"/>
                <w:lang w:val="ru-RU" w:eastAsia="ru-RU"/>
              </w:rPr>
              <w:t>43,53</w:t>
            </w:r>
          </w:p>
        </w:tc>
        <w:tc>
          <w:tcPr>
            <w:tcW w:w="972" w:type="dxa"/>
          </w:tcPr>
          <w:p w:rsidR="00F32158" w:rsidRPr="00647C5F" w:rsidRDefault="00F32158" w:rsidP="00647C5F">
            <w:pPr>
              <w:spacing w:line="276" w:lineRule="auto"/>
              <w:jc w:val="center"/>
              <w:rPr>
                <w:rFonts w:eastAsia="Times New Roman"/>
                <w:color w:val="000000"/>
                <w:sz w:val="24"/>
                <w:szCs w:val="24"/>
                <w:lang w:val="ru-RU" w:eastAsia="ru-RU"/>
              </w:rPr>
            </w:pPr>
            <w:r w:rsidRPr="00647C5F">
              <w:rPr>
                <w:rFonts w:eastAsia="Times New Roman"/>
                <w:color w:val="000000"/>
                <w:sz w:val="24"/>
                <w:szCs w:val="24"/>
                <w:lang w:val="ru-RU" w:eastAsia="ru-RU"/>
              </w:rPr>
              <w:t>34,18</w:t>
            </w:r>
          </w:p>
        </w:tc>
        <w:tc>
          <w:tcPr>
            <w:tcW w:w="794" w:type="dxa"/>
          </w:tcPr>
          <w:p w:rsidR="00F32158" w:rsidRPr="00647C5F" w:rsidRDefault="00F32158" w:rsidP="00647C5F">
            <w:pPr>
              <w:spacing w:line="276" w:lineRule="auto"/>
              <w:jc w:val="center"/>
              <w:rPr>
                <w:rFonts w:eastAsia="Times New Roman"/>
                <w:color w:val="000000"/>
                <w:sz w:val="24"/>
                <w:szCs w:val="24"/>
                <w:lang w:eastAsia="ru-RU"/>
              </w:rPr>
            </w:pPr>
            <w:r w:rsidRPr="00647C5F">
              <w:rPr>
                <w:rFonts w:eastAsia="Times New Roman"/>
                <w:color w:val="000000"/>
                <w:sz w:val="24"/>
                <w:szCs w:val="24"/>
                <w:lang w:eastAsia="ru-RU"/>
              </w:rPr>
              <w:t>41,30</w:t>
            </w:r>
          </w:p>
        </w:tc>
      </w:tr>
      <w:tr w:rsidR="00F32158" w:rsidRPr="00647C5F" w:rsidTr="00BF1F99">
        <w:trPr>
          <w:jc w:val="center"/>
        </w:trPr>
        <w:tc>
          <w:tcPr>
            <w:tcW w:w="1995" w:type="dxa"/>
            <w:vAlign w:val="center"/>
          </w:tcPr>
          <w:p w:rsidR="00F32158" w:rsidRPr="00647C5F" w:rsidRDefault="00F32158" w:rsidP="00647C5F">
            <w:pPr>
              <w:spacing w:line="276" w:lineRule="auto"/>
              <w:jc w:val="left"/>
              <w:rPr>
                <w:rFonts w:eastAsia="Times New Roman"/>
                <w:sz w:val="24"/>
                <w:szCs w:val="24"/>
                <w:lang w:eastAsia="ru-RU"/>
              </w:rPr>
            </w:pPr>
            <w:r w:rsidRPr="00647C5F">
              <w:rPr>
                <w:rFonts w:eastAsia="Times New Roman"/>
                <w:sz w:val="24"/>
                <w:szCs w:val="24"/>
                <w:lang w:eastAsia="ru-RU"/>
              </w:rPr>
              <w:t>Запорізька</w:t>
            </w:r>
          </w:p>
        </w:tc>
        <w:tc>
          <w:tcPr>
            <w:tcW w:w="772" w:type="dxa"/>
            <w:vAlign w:val="center"/>
          </w:tcPr>
          <w:p w:rsidR="00F32158" w:rsidRPr="00647C5F" w:rsidRDefault="00F32158" w:rsidP="00647C5F">
            <w:pPr>
              <w:spacing w:line="276" w:lineRule="auto"/>
              <w:jc w:val="center"/>
              <w:rPr>
                <w:rFonts w:eastAsia="Times New Roman"/>
                <w:sz w:val="24"/>
                <w:szCs w:val="24"/>
                <w:lang w:val="ru-RU" w:eastAsia="ru-RU"/>
              </w:rPr>
            </w:pPr>
            <w:r w:rsidRPr="00647C5F">
              <w:rPr>
                <w:rFonts w:eastAsia="Times New Roman"/>
                <w:sz w:val="24"/>
                <w:szCs w:val="24"/>
                <w:lang w:val="ru-RU" w:eastAsia="ru-RU"/>
              </w:rPr>
              <w:t>47,46</w:t>
            </w:r>
          </w:p>
        </w:tc>
        <w:tc>
          <w:tcPr>
            <w:tcW w:w="772" w:type="dxa"/>
            <w:vAlign w:val="center"/>
          </w:tcPr>
          <w:p w:rsidR="00F32158" w:rsidRPr="00647C5F" w:rsidRDefault="00F32158" w:rsidP="00647C5F">
            <w:pPr>
              <w:spacing w:line="276" w:lineRule="auto"/>
              <w:jc w:val="center"/>
              <w:rPr>
                <w:rFonts w:eastAsia="Times New Roman"/>
                <w:sz w:val="24"/>
                <w:szCs w:val="24"/>
                <w:lang w:val="ru-RU" w:eastAsia="ru-RU"/>
              </w:rPr>
            </w:pPr>
            <w:r w:rsidRPr="00647C5F">
              <w:rPr>
                <w:rFonts w:eastAsia="Times New Roman"/>
                <w:sz w:val="24"/>
                <w:szCs w:val="24"/>
                <w:lang w:val="ru-RU" w:eastAsia="ru-RU"/>
              </w:rPr>
              <w:t>52,94</w:t>
            </w:r>
          </w:p>
        </w:tc>
        <w:tc>
          <w:tcPr>
            <w:tcW w:w="772" w:type="dxa"/>
          </w:tcPr>
          <w:p w:rsidR="00F32158" w:rsidRPr="00647C5F" w:rsidRDefault="00F32158" w:rsidP="00647C5F">
            <w:pPr>
              <w:spacing w:line="276" w:lineRule="auto"/>
              <w:jc w:val="center"/>
              <w:rPr>
                <w:rFonts w:eastAsia="Times New Roman"/>
                <w:color w:val="000000"/>
                <w:sz w:val="24"/>
                <w:szCs w:val="24"/>
                <w:lang w:val="ru-RU" w:eastAsia="ru-RU"/>
              </w:rPr>
            </w:pPr>
            <w:r w:rsidRPr="00647C5F">
              <w:rPr>
                <w:rFonts w:eastAsia="Times New Roman"/>
                <w:color w:val="000000"/>
                <w:sz w:val="24"/>
                <w:szCs w:val="24"/>
                <w:lang w:val="ru-RU" w:eastAsia="ru-RU"/>
              </w:rPr>
              <w:t>46,81</w:t>
            </w:r>
          </w:p>
        </w:tc>
        <w:tc>
          <w:tcPr>
            <w:tcW w:w="772" w:type="dxa"/>
          </w:tcPr>
          <w:p w:rsidR="00F32158" w:rsidRPr="00647C5F" w:rsidRDefault="00F32158" w:rsidP="00647C5F">
            <w:pPr>
              <w:spacing w:line="276" w:lineRule="auto"/>
              <w:jc w:val="center"/>
              <w:rPr>
                <w:rFonts w:eastAsia="Times New Roman"/>
                <w:color w:val="000000"/>
                <w:sz w:val="24"/>
                <w:szCs w:val="24"/>
                <w:lang w:val="ru-RU" w:eastAsia="ru-RU"/>
              </w:rPr>
            </w:pPr>
            <w:r w:rsidRPr="00647C5F">
              <w:rPr>
                <w:rFonts w:eastAsia="Times New Roman"/>
                <w:color w:val="000000"/>
                <w:sz w:val="24"/>
                <w:szCs w:val="24"/>
                <w:lang w:val="ru-RU" w:eastAsia="ru-RU"/>
              </w:rPr>
              <w:t>52,27</w:t>
            </w:r>
          </w:p>
        </w:tc>
        <w:tc>
          <w:tcPr>
            <w:tcW w:w="772" w:type="dxa"/>
          </w:tcPr>
          <w:p w:rsidR="00F32158" w:rsidRPr="00647C5F" w:rsidRDefault="00F32158" w:rsidP="00647C5F">
            <w:pPr>
              <w:spacing w:line="276" w:lineRule="auto"/>
              <w:jc w:val="center"/>
              <w:rPr>
                <w:rFonts w:eastAsia="Times New Roman"/>
                <w:color w:val="000000"/>
                <w:sz w:val="24"/>
                <w:szCs w:val="24"/>
                <w:lang w:val="ru-RU" w:eastAsia="ru-RU"/>
              </w:rPr>
            </w:pPr>
            <w:r w:rsidRPr="00647C5F">
              <w:rPr>
                <w:rFonts w:eastAsia="Times New Roman"/>
                <w:color w:val="000000"/>
                <w:sz w:val="24"/>
                <w:szCs w:val="24"/>
                <w:lang w:val="ru-RU" w:eastAsia="ru-RU"/>
              </w:rPr>
              <w:t>48,84</w:t>
            </w:r>
          </w:p>
        </w:tc>
        <w:tc>
          <w:tcPr>
            <w:tcW w:w="772" w:type="dxa"/>
          </w:tcPr>
          <w:p w:rsidR="00F32158" w:rsidRPr="00647C5F" w:rsidRDefault="00F32158" w:rsidP="00647C5F">
            <w:pPr>
              <w:spacing w:line="276" w:lineRule="auto"/>
              <w:jc w:val="center"/>
              <w:rPr>
                <w:rFonts w:eastAsia="Times New Roman"/>
                <w:color w:val="000000"/>
                <w:sz w:val="24"/>
                <w:szCs w:val="24"/>
                <w:lang w:val="ru-RU" w:eastAsia="ru-RU"/>
              </w:rPr>
            </w:pPr>
            <w:r w:rsidRPr="00647C5F">
              <w:rPr>
                <w:rFonts w:eastAsia="Times New Roman"/>
                <w:color w:val="000000"/>
                <w:sz w:val="24"/>
                <w:szCs w:val="24"/>
                <w:lang w:val="ru-RU" w:eastAsia="ru-RU"/>
              </w:rPr>
              <w:t>44,12</w:t>
            </w:r>
          </w:p>
        </w:tc>
        <w:tc>
          <w:tcPr>
            <w:tcW w:w="972" w:type="dxa"/>
          </w:tcPr>
          <w:p w:rsidR="00F32158" w:rsidRPr="00647C5F" w:rsidRDefault="00F32158" w:rsidP="00647C5F">
            <w:pPr>
              <w:spacing w:line="276" w:lineRule="auto"/>
              <w:jc w:val="center"/>
              <w:rPr>
                <w:rFonts w:eastAsia="Times New Roman"/>
                <w:color w:val="000000"/>
                <w:sz w:val="24"/>
                <w:szCs w:val="24"/>
                <w:lang w:val="ru-RU" w:eastAsia="ru-RU"/>
              </w:rPr>
            </w:pPr>
            <w:r w:rsidRPr="00647C5F">
              <w:rPr>
                <w:rFonts w:eastAsia="Times New Roman"/>
                <w:color w:val="000000"/>
                <w:sz w:val="24"/>
                <w:szCs w:val="24"/>
                <w:lang w:val="ru-RU" w:eastAsia="ru-RU"/>
              </w:rPr>
              <w:t>48,00</w:t>
            </w:r>
          </w:p>
        </w:tc>
        <w:tc>
          <w:tcPr>
            <w:tcW w:w="794" w:type="dxa"/>
          </w:tcPr>
          <w:p w:rsidR="00F32158" w:rsidRPr="00647C5F" w:rsidRDefault="00F32158" w:rsidP="00647C5F">
            <w:pPr>
              <w:spacing w:line="276" w:lineRule="auto"/>
              <w:jc w:val="center"/>
              <w:rPr>
                <w:rFonts w:eastAsia="Times New Roman"/>
                <w:color w:val="000000"/>
                <w:sz w:val="24"/>
                <w:szCs w:val="24"/>
                <w:lang w:eastAsia="ru-RU"/>
              </w:rPr>
            </w:pPr>
            <w:r w:rsidRPr="00647C5F">
              <w:rPr>
                <w:rFonts w:eastAsia="Times New Roman"/>
                <w:color w:val="000000"/>
                <w:sz w:val="24"/>
                <w:szCs w:val="24"/>
                <w:lang w:eastAsia="ru-RU"/>
              </w:rPr>
              <w:t>42,86</w:t>
            </w:r>
          </w:p>
        </w:tc>
      </w:tr>
      <w:tr w:rsidR="00F32158" w:rsidRPr="00647C5F" w:rsidTr="00BF1F99">
        <w:trPr>
          <w:jc w:val="center"/>
        </w:trPr>
        <w:tc>
          <w:tcPr>
            <w:tcW w:w="1995" w:type="dxa"/>
            <w:vAlign w:val="center"/>
          </w:tcPr>
          <w:p w:rsidR="00F32158" w:rsidRPr="00647C5F" w:rsidRDefault="00F32158" w:rsidP="00647C5F">
            <w:pPr>
              <w:spacing w:line="276" w:lineRule="auto"/>
              <w:jc w:val="left"/>
              <w:rPr>
                <w:rFonts w:eastAsia="Times New Roman"/>
                <w:sz w:val="24"/>
                <w:szCs w:val="24"/>
                <w:lang w:eastAsia="ru-RU"/>
              </w:rPr>
            </w:pPr>
            <w:r w:rsidRPr="00647C5F">
              <w:rPr>
                <w:rFonts w:eastAsia="Times New Roman"/>
                <w:sz w:val="24"/>
                <w:szCs w:val="24"/>
                <w:lang w:eastAsia="ru-RU"/>
              </w:rPr>
              <w:t>Ів.-Франківська</w:t>
            </w:r>
          </w:p>
        </w:tc>
        <w:tc>
          <w:tcPr>
            <w:tcW w:w="772" w:type="dxa"/>
            <w:vAlign w:val="center"/>
          </w:tcPr>
          <w:p w:rsidR="00F32158" w:rsidRPr="00647C5F" w:rsidRDefault="00F32158" w:rsidP="00647C5F">
            <w:pPr>
              <w:spacing w:line="276" w:lineRule="auto"/>
              <w:jc w:val="center"/>
              <w:rPr>
                <w:rFonts w:eastAsia="Times New Roman"/>
                <w:sz w:val="24"/>
                <w:szCs w:val="24"/>
                <w:lang w:val="ru-RU" w:eastAsia="ru-RU"/>
              </w:rPr>
            </w:pPr>
            <w:r w:rsidRPr="00647C5F">
              <w:rPr>
                <w:rFonts w:eastAsia="Times New Roman"/>
                <w:sz w:val="24"/>
                <w:szCs w:val="24"/>
                <w:lang w:val="ru-RU" w:eastAsia="ru-RU"/>
              </w:rPr>
              <w:t>37,50</w:t>
            </w:r>
          </w:p>
        </w:tc>
        <w:tc>
          <w:tcPr>
            <w:tcW w:w="772" w:type="dxa"/>
            <w:vAlign w:val="center"/>
          </w:tcPr>
          <w:p w:rsidR="00F32158" w:rsidRPr="00647C5F" w:rsidRDefault="00F32158" w:rsidP="00647C5F">
            <w:pPr>
              <w:spacing w:line="276" w:lineRule="auto"/>
              <w:jc w:val="center"/>
              <w:rPr>
                <w:rFonts w:eastAsia="Times New Roman"/>
                <w:sz w:val="24"/>
                <w:szCs w:val="24"/>
                <w:lang w:val="ru-RU" w:eastAsia="ru-RU"/>
              </w:rPr>
            </w:pPr>
            <w:r w:rsidRPr="00647C5F">
              <w:rPr>
                <w:rFonts w:eastAsia="Times New Roman"/>
                <w:sz w:val="24"/>
                <w:szCs w:val="24"/>
                <w:lang w:val="ru-RU" w:eastAsia="ru-RU"/>
              </w:rPr>
              <w:t>22,86</w:t>
            </w:r>
          </w:p>
        </w:tc>
        <w:tc>
          <w:tcPr>
            <w:tcW w:w="772" w:type="dxa"/>
          </w:tcPr>
          <w:p w:rsidR="00F32158" w:rsidRPr="00647C5F" w:rsidRDefault="00F32158" w:rsidP="00647C5F">
            <w:pPr>
              <w:spacing w:line="276" w:lineRule="auto"/>
              <w:jc w:val="center"/>
              <w:rPr>
                <w:rFonts w:eastAsia="Times New Roman"/>
                <w:color w:val="000000"/>
                <w:sz w:val="24"/>
                <w:szCs w:val="24"/>
                <w:lang w:val="ru-RU" w:eastAsia="ru-RU"/>
              </w:rPr>
            </w:pPr>
            <w:r w:rsidRPr="00647C5F">
              <w:rPr>
                <w:rFonts w:eastAsia="Times New Roman"/>
                <w:color w:val="000000"/>
                <w:sz w:val="24"/>
                <w:szCs w:val="24"/>
                <w:lang w:val="ru-RU" w:eastAsia="ru-RU"/>
              </w:rPr>
              <w:t>34,04</w:t>
            </w:r>
          </w:p>
        </w:tc>
        <w:tc>
          <w:tcPr>
            <w:tcW w:w="772" w:type="dxa"/>
          </w:tcPr>
          <w:p w:rsidR="00F32158" w:rsidRPr="00647C5F" w:rsidRDefault="00F32158" w:rsidP="00647C5F">
            <w:pPr>
              <w:spacing w:line="276" w:lineRule="auto"/>
              <w:jc w:val="center"/>
              <w:rPr>
                <w:rFonts w:eastAsia="Times New Roman"/>
                <w:color w:val="000000"/>
                <w:sz w:val="24"/>
                <w:szCs w:val="24"/>
                <w:lang w:val="ru-RU" w:eastAsia="ru-RU"/>
              </w:rPr>
            </w:pPr>
            <w:r w:rsidRPr="00647C5F">
              <w:rPr>
                <w:rFonts w:eastAsia="Times New Roman"/>
                <w:color w:val="000000"/>
                <w:sz w:val="24"/>
                <w:szCs w:val="24"/>
                <w:lang w:val="ru-RU" w:eastAsia="ru-RU"/>
              </w:rPr>
              <w:t>53,13</w:t>
            </w:r>
          </w:p>
        </w:tc>
        <w:tc>
          <w:tcPr>
            <w:tcW w:w="772" w:type="dxa"/>
          </w:tcPr>
          <w:p w:rsidR="00F32158" w:rsidRPr="00647C5F" w:rsidRDefault="00F32158" w:rsidP="00647C5F">
            <w:pPr>
              <w:spacing w:line="276" w:lineRule="auto"/>
              <w:jc w:val="center"/>
              <w:rPr>
                <w:rFonts w:eastAsia="Times New Roman"/>
                <w:color w:val="000000"/>
                <w:sz w:val="24"/>
                <w:szCs w:val="24"/>
                <w:lang w:val="ru-RU" w:eastAsia="ru-RU"/>
              </w:rPr>
            </w:pPr>
            <w:r w:rsidRPr="00647C5F">
              <w:rPr>
                <w:rFonts w:eastAsia="Times New Roman"/>
                <w:color w:val="000000"/>
                <w:sz w:val="24"/>
                <w:szCs w:val="24"/>
                <w:lang w:val="ru-RU" w:eastAsia="ru-RU"/>
              </w:rPr>
              <w:t>42,50</w:t>
            </w:r>
          </w:p>
        </w:tc>
        <w:tc>
          <w:tcPr>
            <w:tcW w:w="772" w:type="dxa"/>
          </w:tcPr>
          <w:p w:rsidR="00F32158" w:rsidRPr="00647C5F" w:rsidRDefault="00F32158" w:rsidP="00647C5F">
            <w:pPr>
              <w:spacing w:line="276" w:lineRule="auto"/>
              <w:jc w:val="center"/>
              <w:rPr>
                <w:rFonts w:eastAsia="Times New Roman"/>
                <w:color w:val="000000"/>
                <w:sz w:val="24"/>
                <w:szCs w:val="24"/>
                <w:lang w:val="ru-RU" w:eastAsia="ru-RU"/>
              </w:rPr>
            </w:pPr>
            <w:r w:rsidRPr="00647C5F">
              <w:rPr>
                <w:rFonts w:eastAsia="Times New Roman"/>
                <w:color w:val="000000"/>
                <w:sz w:val="24"/>
                <w:szCs w:val="24"/>
                <w:lang w:val="ru-RU" w:eastAsia="ru-RU"/>
              </w:rPr>
              <w:t>39,13</w:t>
            </w:r>
          </w:p>
        </w:tc>
        <w:tc>
          <w:tcPr>
            <w:tcW w:w="972" w:type="dxa"/>
          </w:tcPr>
          <w:p w:rsidR="00F32158" w:rsidRPr="00647C5F" w:rsidRDefault="00F32158" w:rsidP="00647C5F">
            <w:pPr>
              <w:spacing w:line="276" w:lineRule="auto"/>
              <w:jc w:val="center"/>
              <w:rPr>
                <w:rFonts w:eastAsia="Times New Roman"/>
                <w:color w:val="000000"/>
                <w:sz w:val="24"/>
                <w:szCs w:val="24"/>
                <w:lang w:val="ru-RU" w:eastAsia="ru-RU"/>
              </w:rPr>
            </w:pPr>
            <w:r w:rsidRPr="00647C5F">
              <w:rPr>
                <w:rFonts w:eastAsia="Times New Roman"/>
                <w:color w:val="000000"/>
                <w:sz w:val="24"/>
                <w:szCs w:val="24"/>
                <w:lang w:val="ru-RU" w:eastAsia="ru-RU"/>
              </w:rPr>
              <w:t>44,00</w:t>
            </w:r>
          </w:p>
        </w:tc>
        <w:tc>
          <w:tcPr>
            <w:tcW w:w="794" w:type="dxa"/>
          </w:tcPr>
          <w:p w:rsidR="00F32158" w:rsidRPr="00647C5F" w:rsidRDefault="00F32158" w:rsidP="00647C5F">
            <w:pPr>
              <w:spacing w:line="276" w:lineRule="auto"/>
              <w:jc w:val="center"/>
              <w:rPr>
                <w:rFonts w:eastAsia="Times New Roman"/>
                <w:color w:val="000000"/>
                <w:sz w:val="24"/>
                <w:szCs w:val="24"/>
                <w:lang w:eastAsia="ru-RU"/>
              </w:rPr>
            </w:pPr>
            <w:r w:rsidRPr="00647C5F">
              <w:rPr>
                <w:rFonts w:eastAsia="Times New Roman"/>
                <w:color w:val="000000"/>
                <w:sz w:val="24"/>
                <w:szCs w:val="24"/>
                <w:lang w:eastAsia="ru-RU"/>
              </w:rPr>
              <w:t>27,27</w:t>
            </w:r>
          </w:p>
        </w:tc>
      </w:tr>
      <w:tr w:rsidR="00F32158" w:rsidRPr="00647C5F" w:rsidTr="00BF1F99">
        <w:trPr>
          <w:jc w:val="center"/>
        </w:trPr>
        <w:tc>
          <w:tcPr>
            <w:tcW w:w="1995" w:type="dxa"/>
            <w:vAlign w:val="center"/>
          </w:tcPr>
          <w:p w:rsidR="00F32158" w:rsidRPr="00647C5F" w:rsidRDefault="00F32158" w:rsidP="00647C5F">
            <w:pPr>
              <w:spacing w:line="276" w:lineRule="auto"/>
              <w:jc w:val="left"/>
              <w:rPr>
                <w:rFonts w:eastAsia="Times New Roman"/>
                <w:sz w:val="24"/>
                <w:szCs w:val="24"/>
                <w:lang w:eastAsia="ru-RU"/>
              </w:rPr>
            </w:pPr>
            <w:r w:rsidRPr="00647C5F">
              <w:rPr>
                <w:rFonts w:eastAsia="Times New Roman"/>
                <w:sz w:val="24"/>
                <w:szCs w:val="24"/>
                <w:lang w:eastAsia="ru-RU"/>
              </w:rPr>
              <w:t>Київська</w:t>
            </w:r>
          </w:p>
        </w:tc>
        <w:tc>
          <w:tcPr>
            <w:tcW w:w="772" w:type="dxa"/>
            <w:vAlign w:val="center"/>
          </w:tcPr>
          <w:p w:rsidR="00F32158" w:rsidRPr="00647C5F" w:rsidRDefault="00F32158" w:rsidP="00647C5F">
            <w:pPr>
              <w:spacing w:line="276" w:lineRule="auto"/>
              <w:jc w:val="center"/>
              <w:rPr>
                <w:rFonts w:eastAsia="Times New Roman"/>
                <w:sz w:val="24"/>
                <w:szCs w:val="24"/>
                <w:lang w:val="ru-RU" w:eastAsia="ru-RU"/>
              </w:rPr>
            </w:pPr>
            <w:r w:rsidRPr="00647C5F">
              <w:rPr>
                <w:rFonts w:eastAsia="Times New Roman"/>
                <w:sz w:val="24"/>
                <w:szCs w:val="24"/>
                <w:lang w:val="ru-RU" w:eastAsia="ru-RU"/>
              </w:rPr>
              <w:t>41,18</w:t>
            </w:r>
          </w:p>
        </w:tc>
        <w:tc>
          <w:tcPr>
            <w:tcW w:w="772" w:type="dxa"/>
            <w:vAlign w:val="center"/>
          </w:tcPr>
          <w:p w:rsidR="00F32158" w:rsidRPr="00647C5F" w:rsidRDefault="00F32158" w:rsidP="00647C5F">
            <w:pPr>
              <w:spacing w:line="276" w:lineRule="auto"/>
              <w:jc w:val="center"/>
              <w:rPr>
                <w:rFonts w:eastAsia="Times New Roman"/>
                <w:sz w:val="24"/>
                <w:szCs w:val="24"/>
                <w:lang w:val="ru-RU" w:eastAsia="ru-RU"/>
              </w:rPr>
            </w:pPr>
            <w:r w:rsidRPr="00647C5F">
              <w:rPr>
                <w:rFonts w:eastAsia="Times New Roman"/>
                <w:sz w:val="24"/>
                <w:szCs w:val="24"/>
                <w:lang w:val="ru-RU" w:eastAsia="ru-RU"/>
              </w:rPr>
              <w:t>65,85</w:t>
            </w:r>
          </w:p>
        </w:tc>
        <w:tc>
          <w:tcPr>
            <w:tcW w:w="772" w:type="dxa"/>
          </w:tcPr>
          <w:p w:rsidR="00F32158" w:rsidRPr="00647C5F" w:rsidRDefault="00F32158" w:rsidP="00647C5F">
            <w:pPr>
              <w:spacing w:line="276" w:lineRule="auto"/>
              <w:jc w:val="center"/>
              <w:rPr>
                <w:rFonts w:eastAsia="Times New Roman"/>
                <w:color w:val="000000"/>
                <w:sz w:val="24"/>
                <w:szCs w:val="24"/>
                <w:lang w:val="ru-RU" w:eastAsia="ru-RU"/>
              </w:rPr>
            </w:pPr>
            <w:r w:rsidRPr="00647C5F">
              <w:rPr>
                <w:rFonts w:eastAsia="Times New Roman"/>
                <w:color w:val="000000"/>
                <w:sz w:val="24"/>
                <w:szCs w:val="24"/>
                <w:lang w:val="ru-RU" w:eastAsia="ru-RU"/>
              </w:rPr>
              <w:t>48,89</w:t>
            </w:r>
          </w:p>
        </w:tc>
        <w:tc>
          <w:tcPr>
            <w:tcW w:w="772" w:type="dxa"/>
          </w:tcPr>
          <w:p w:rsidR="00F32158" w:rsidRPr="00647C5F" w:rsidRDefault="00F32158" w:rsidP="00647C5F">
            <w:pPr>
              <w:spacing w:line="276" w:lineRule="auto"/>
              <w:jc w:val="center"/>
              <w:rPr>
                <w:rFonts w:eastAsia="Times New Roman"/>
                <w:color w:val="000000"/>
                <w:sz w:val="24"/>
                <w:szCs w:val="24"/>
                <w:lang w:val="ru-RU" w:eastAsia="ru-RU"/>
              </w:rPr>
            </w:pPr>
            <w:r w:rsidRPr="00647C5F">
              <w:rPr>
                <w:rFonts w:eastAsia="Times New Roman"/>
                <w:color w:val="000000"/>
                <w:sz w:val="24"/>
                <w:szCs w:val="24"/>
                <w:lang w:val="ru-RU" w:eastAsia="ru-RU"/>
              </w:rPr>
              <w:t>36,84</w:t>
            </w:r>
          </w:p>
        </w:tc>
        <w:tc>
          <w:tcPr>
            <w:tcW w:w="772" w:type="dxa"/>
          </w:tcPr>
          <w:p w:rsidR="00F32158" w:rsidRPr="00647C5F" w:rsidRDefault="00F32158" w:rsidP="00647C5F">
            <w:pPr>
              <w:spacing w:line="276" w:lineRule="auto"/>
              <w:jc w:val="center"/>
              <w:rPr>
                <w:rFonts w:eastAsia="Times New Roman"/>
                <w:color w:val="000000"/>
                <w:sz w:val="24"/>
                <w:szCs w:val="24"/>
                <w:lang w:val="ru-RU" w:eastAsia="ru-RU"/>
              </w:rPr>
            </w:pPr>
            <w:r w:rsidRPr="00647C5F">
              <w:rPr>
                <w:rFonts w:eastAsia="Times New Roman"/>
                <w:color w:val="000000"/>
                <w:sz w:val="24"/>
                <w:szCs w:val="24"/>
                <w:lang w:val="ru-RU" w:eastAsia="ru-RU"/>
              </w:rPr>
              <w:t>51,43</w:t>
            </w:r>
          </w:p>
        </w:tc>
        <w:tc>
          <w:tcPr>
            <w:tcW w:w="772" w:type="dxa"/>
          </w:tcPr>
          <w:p w:rsidR="00F32158" w:rsidRPr="00647C5F" w:rsidRDefault="00F32158" w:rsidP="00647C5F">
            <w:pPr>
              <w:spacing w:line="276" w:lineRule="auto"/>
              <w:jc w:val="center"/>
              <w:rPr>
                <w:rFonts w:eastAsia="Times New Roman"/>
                <w:color w:val="000000"/>
                <w:sz w:val="24"/>
                <w:szCs w:val="24"/>
                <w:lang w:val="ru-RU" w:eastAsia="ru-RU"/>
              </w:rPr>
            </w:pPr>
            <w:r w:rsidRPr="00647C5F">
              <w:rPr>
                <w:rFonts w:eastAsia="Times New Roman"/>
                <w:color w:val="000000"/>
                <w:sz w:val="24"/>
                <w:szCs w:val="24"/>
                <w:lang w:val="ru-RU" w:eastAsia="ru-RU"/>
              </w:rPr>
              <w:t>59,26</w:t>
            </w:r>
          </w:p>
        </w:tc>
        <w:tc>
          <w:tcPr>
            <w:tcW w:w="972" w:type="dxa"/>
          </w:tcPr>
          <w:p w:rsidR="00F32158" w:rsidRPr="00647C5F" w:rsidRDefault="00F32158" w:rsidP="00647C5F">
            <w:pPr>
              <w:spacing w:line="276" w:lineRule="auto"/>
              <w:jc w:val="center"/>
              <w:rPr>
                <w:rFonts w:eastAsia="Times New Roman"/>
                <w:color w:val="000000"/>
                <w:sz w:val="24"/>
                <w:szCs w:val="24"/>
                <w:lang w:val="ru-RU" w:eastAsia="ru-RU"/>
              </w:rPr>
            </w:pPr>
            <w:r w:rsidRPr="00647C5F">
              <w:rPr>
                <w:rFonts w:eastAsia="Times New Roman"/>
                <w:color w:val="000000"/>
                <w:sz w:val="24"/>
                <w:szCs w:val="24"/>
                <w:lang w:val="ru-RU" w:eastAsia="ru-RU"/>
              </w:rPr>
              <w:t>46,15</w:t>
            </w:r>
          </w:p>
        </w:tc>
        <w:tc>
          <w:tcPr>
            <w:tcW w:w="794" w:type="dxa"/>
          </w:tcPr>
          <w:p w:rsidR="00F32158" w:rsidRPr="00647C5F" w:rsidRDefault="00F32158" w:rsidP="00647C5F">
            <w:pPr>
              <w:spacing w:line="276" w:lineRule="auto"/>
              <w:jc w:val="center"/>
              <w:rPr>
                <w:rFonts w:eastAsia="Times New Roman"/>
                <w:color w:val="000000"/>
                <w:sz w:val="24"/>
                <w:szCs w:val="24"/>
                <w:lang w:eastAsia="ru-RU"/>
              </w:rPr>
            </w:pPr>
            <w:r w:rsidRPr="00647C5F">
              <w:rPr>
                <w:rFonts w:eastAsia="Times New Roman"/>
                <w:color w:val="000000"/>
                <w:sz w:val="24"/>
                <w:szCs w:val="24"/>
                <w:lang w:eastAsia="ru-RU"/>
              </w:rPr>
              <w:t>51,72</w:t>
            </w:r>
          </w:p>
        </w:tc>
      </w:tr>
      <w:tr w:rsidR="00F32158" w:rsidRPr="00647C5F" w:rsidTr="00BF1F99">
        <w:trPr>
          <w:jc w:val="center"/>
        </w:trPr>
        <w:tc>
          <w:tcPr>
            <w:tcW w:w="1995" w:type="dxa"/>
            <w:vAlign w:val="center"/>
          </w:tcPr>
          <w:p w:rsidR="00F32158" w:rsidRPr="00647C5F" w:rsidRDefault="00F32158" w:rsidP="00647C5F">
            <w:pPr>
              <w:spacing w:line="276" w:lineRule="auto"/>
              <w:jc w:val="left"/>
              <w:rPr>
                <w:rFonts w:eastAsia="Times New Roman"/>
                <w:sz w:val="24"/>
                <w:szCs w:val="24"/>
                <w:lang w:eastAsia="ru-RU"/>
              </w:rPr>
            </w:pPr>
            <w:r w:rsidRPr="00647C5F">
              <w:rPr>
                <w:rFonts w:eastAsia="Times New Roman"/>
                <w:sz w:val="24"/>
                <w:szCs w:val="24"/>
                <w:lang w:eastAsia="ru-RU"/>
              </w:rPr>
              <w:t>Кіровоградська</w:t>
            </w:r>
          </w:p>
        </w:tc>
        <w:tc>
          <w:tcPr>
            <w:tcW w:w="772" w:type="dxa"/>
            <w:vAlign w:val="center"/>
          </w:tcPr>
          <w:p w:rsidR="00F32158" w:rsidRPr="00647C5F" w:rsidRDefault="00F32158" w:rsidP="00647C5F">
            <w:pPr>
              <w:spacing w:line="276" w:lineRule="auto"/>
              <w:jc w:val="center"/>
              <w:rPr>
                <w:rFonts w:eastAsia="Times New Roman"/>
                <w:sz w:val="24"/>
                <w:szCs w:val="24"/>
                <w:lang w:val="ru-RU" w:eastAsia="ru-RU"/>
              </w:rPr>
            </w:pPr>
            <w:r w:rsidRPr="00647C5F">
              <w:rPr>
                <w:rFonts w:eastAsia="Times New Roman"/>
                <w:sz w:val="24"/>
                <w:szCs w:val="24"/>
                <w:lang w:val="ru-RU" w:eastAsia="ru-RU"/>
              </w:rPr>
              <w:t>54,17</w:t>
            </w:r>
          </w:p>
        </w:tc>
        <w:tc>
          <w:tcPr>
            <w:tcW w:w="772" w:type="dxa"/>
            <w:vAlign w:val="center"/>
          </w:tcPr>
          <w:p w:rsidR="00F32158" w:rsidRPr="00647C5F" w:rsidRDefault="00F32158" w:rsidP="00647C5F">
            <w:pPr>
              <w:spacing w:line="276" w:lineRule="auto"/>
              <w:jc w:val="center"/>
              <w:rPr>
                <w:rFonts w:eastAsia="Times New Roman"/>
                <w:sz w:val="24"/>
                <w:szCs w:val="24"/>
                <w:lang w:val="ru-RU" w:eastAsia="ru-RU"/>
              </w:rPr>
            </w:pPr>
            <w:r w:rsidRPr="00647C5F">
              <w:rPr>
                <w:rFonts w:eastAsia="Times New Roman"/>
                <w:sz w:val="24"/>
                <w:szCs w:val="24"/>
                <w:lang w:val="ru-RU" w:eastAsia="ru-RU"/>
              </w:rPr>
              <w:t>42,11</w:t>
            </w:r>
          </w:p>
        </w:tc>
        <w:tc>
          <w:tcPr>
            <w:tcW w:w="772" w:type="dxa"/>
          </w:tcPr>
          <w:p w:rsidR="00F32158" w:rsidRPr="00647C5F" w:rsidRDefault="00F32158" w:rsidP="00647C5F">
            <w:pPr>
              <w:spacing w:line="276" w:lineRule="auto"/>
              <w:jc w:val="center"/>
              <w:rPr>
                <w:rFonts w:eastAsia="Times New Roman"/>
                <w:color w:val="000000"/>
                <w:sz w:val="24"/>
                <w:szCs w:val="24"/>
                <w:lang w:val="ru-RU" w:eastAsia="ru-RU"/>
              </w:rPr>
            </w:pPr>
            <w:r w:rsidRPr="00647C5F">
              <w:rPr>
                <w:rFonts w:eastAsia="Times New Roman"/>
                <w:color w:val="000000"/>
                <w:sz w:val="24"/>
                <w:szCs w:val="24"/>
                <w:lang w:val="ru-RU" w:eastAsia="ru-RU"/>
              </w:rPr>
              <w:t>70,45</w:t>
            </w:r>
          </w:p>
        </w:tc>
        <w:tc>
          <w:tcPr>
            <w:tcW w:w="772" w:type="dxa"/>
          </w:tcPr>
          <w:p w:rsidR="00F32158" w:rsidRPr="00647C5F" w:rsidRDefault="00F32158" w:rsidP="00647C5F">
            <w:pPr>
              <w:spacing w:line="276" w:lineRule="auto"/>
              <w:jc w:val="center"/>
              <w:rPr>
                <w:rFonts w:eastAsia="Times New Roman"/>
                <w:color w:val="000000"/>
                <w:sz w:val="24"/>
                <w:szCs w:val="24"/>
                <w:lang w:val="ru-RU" w:eastAsia="ru-RU"/>
              </w:rPr>
            </w:pPr>
            <w:r w:rsidRPr="00647C5F">
              <w:rPr>
                <w:rFonts w:eastAsia="Times New Roman"/>
                <w:color w:val="000000"/>
                <w:sz w:val="24"/>
                <w:szCs w:val="24"/>
                <w:lang w:val="ru-RU" w:eastAsia="ru-RU"/>
              </w:rPr>
              <w:t>71,05</w:t>
            </w:r>
          </w:p>
        </w:tc>
        <w:tc>
          <w:tcPr>
            <w:tcW w:w="772" w:type="dxa"/>
          </w:tcPr>
          <w:p w:rsidR="00F32158" w:rsidRPr="00647C5F" w:rsidRDefault="00F32158" w:rsidP="00647C5F">
            <w:pPr>
              <w:spacing w:line="276" w:lineRule="auto"/>
              <w:jc w:val="center"/>
              <w:rPr>
                <w:rFonts w:eastAsia="Times New Roman"/>
                <w:color w:val="000000"/>
                <w:sz w:val="24"/>
                <w:szCs w:val="24"/>
                <w:lang w:val="ru-RU" w:eastAsia="ru-RU"/>
              </w:rPr>
            </w:pPr>
            <w:r w:rsidRPr="00647C5F">
              <w:rPr>
                <w:rFonts w:eastAsia="Times New Roman"/>
                <w:color w:val="000000"/>
                <w:sz w:val="24"/>
                <w:szCs w:val="24"/>
                <w:lang w:val="ru-RU" w:eastAsia="ru-RU"/>
              </w:rPr>
              <w:t>41,94</w:t>
            </w:r>
          </w:p>
        </w:tc>
        <w:tc>
          <w:tcPr>
            <w:tcW w:w="772" w:type="dxa"/>
          </w:tcPr>
          <w:p w:rsidR="00F32158" w:rsidRPr="00647C5F" w:rsidRDefault="00F32158" w:rsidP="00647C5F">
            <w:pPr>
              <w:spacing w:line="276" w:lineRule="auto"/>
              <w:jc w:val="center"/>
              <w:rPr>
                <w:rFonts w:eastAsia="Times New Roman"/>
                <w:color w:val="000000"/>
                <w:sz w:val="24"/>
                <w:szCs w:val="24"/>
                <w:lang w:val="ru-RU" w:eastAsia="ru-RU"/>
              </w:rPr>
            </w:pPr>
            <w:r w:rsidRPr="00647C5F">
              <w:rPr>
                <w:rFonts w:eastAsia="Times New Roman"/>
                <w:color w:val="000000"/>
                <w:sz w:val="24"/>
                <w:szCs w:val="24"/>
                <w:lang w:val="ru-RU" w:eastAsia="ru-RU"/>
              </w:rPr>
              <w:t>65,71</w:t>
            </w:r>
          </w:p>
        </w:tc>
        <w:tc>
          <w:tcPr>
            <w:tcW w:w="972" w:type="dxa"/>
          </w:tcPr>
          <w:p w:rsidR="00F32158" w:rsidRPr="00647C5F" w:rsidRDefault="00F32158" w:rsidP="00647C5F">
            <w:pPr>
              <w:spacing w:line="276" w:lineRule="auto"/>
              <w:jc w:val="center"/>
              <w:rPr>
                <w:rFonts w:eastAsia="Times New Roman"/>
                <w:color w:val="000000"/>
                <w:sz w:val="24"/>
                <w:szCs w:val="24"/>
                <w:lang w:val="ru-RU" w:eastAsia="ru-RU"/>
              </w:rPr>
            </w:pPr>
            <w:r w:rsidRPr="00647C5F">
              <w:rPr>
                <w:rFonts w:eastAsia="Times New Roman"/>
                <w:color w:val="000000"/>
                <w:sz w:val="24"/>
                <w:szCs w:val="24"/>
                <w:lang w:val="ru-RU" w:eastAsia="ru-RU"/>
              </w:rPr>
              <w:t>66,67</w:t>
            </w:r>
          </w:p>
        </w:tc>
        <w:tc>
          <w:tcPr>
            <w:tcW w:w="794" w:type="dxa"/>
          </w:tcPr>
          <w:p w:rsidR="00F32158" w:rsidRPr="00647C5F" w:rsidRDefault="00F32158" w:rsidP="00647C5F">
            <w:pPr>
              <w:spacing w:line="276" w:lineRule="auto"/>
              <w:jc w:val="center"/>
              <w:rPr>
                <w:rFonts w:eastAsia="Times New Roman"/>
                <w:color w:val="000000"/>
                <w:sz w:val="24"/>
                <w:szCs w:val="24"/>
                <w:lang w:eastAsia="ru-RU"/>
              </w:rPr>
            </w:pPr>
            <w:r w:rsidRPr="00647C5F">
              <w:rPr>
                <w:rFonts w:eastAsia="Times New Roman"/>
                <w:color w:val="000000"/>
                <w:sz w:val="24"/>
                <w:szCs w:val="24"/>
                <w:lang w:eastAsia="ru-RU"/>
              </w:rPr>
              <w:t>50,00</w:t>
            </w:r>
          </w:p>
        </w:tc>
      </w:tr>
      <w:tr w:rsidR="00F32158" w:rsidRPr="00647C5F" w:rsidTr="00BF1F99">
        <w:trPr>
          <w:jc w:val="center"/>
        </w:trPr>
        <w:tc>
          <w:tcPr>
            <w:tcW w:w="1995" w:type="dxa"/>
            <w:vAlign w:val="center"/>
          </w:tcPr>
          <w:p w:rsidR="00F32158" w:rsidRPr="00647C5F" w:rsidRDefault="00F32158" w:rsidP="00647C5F">
            <w:pPr>
              <w:spacing w:line="276" w:lineRule="auto"/>
              <w:jc w:val="left"/>
              <w:rPr>
                <w:rFonts w:eastAsia="Times New Roman"/>
                <w:sz w:val="24"/>
                <w:szCs w:val="24"/>
                <w:lang w:eastAsia="ru-RU"/>
              </w:rPr>
            </w:pPr>
            <w:r w:rsidRPr="00647C5F">
              <w:rPr>
                <w:rFonts w:eastAsia="Times New Roman"/>
                <w:sz w:val="24"/>
                <w:szCs w:val="24"/>
                <w:lang w:eastAsia="ru-RU"/>
              </w:rPr>
              <w:t>Луганська</w:t>
            </w:r>
          </w:p>
        </w:tc>
        <w:tc>
          <w:tcPr>
            <w:tcW w:w="772" w:type="dxa"/>
            <w:vAlign w:val="center"/>
          </w:tcPr>
          <w:p w:rsidR="00F32158" w:rsidRPr="00647C5F" w:rsidRDefault="00F32158" w:rsidP="00647C5F">
            <w:pPr>
              <w:spacing w:line="276" w:lineRule="auto"/>
              <w:jc w:val="center"/>
              <w:rPr>
                <w:rFonts w:eastAsia="Times New Roman"/>
                <w:sz w:val="24"/>
                <w:szCs w:val="24"/>
                <w:lang w:val="ru-RU" w:eastAsia="ru-RU"/>
              </w:rPr>
            </w:pPr>
            <w:r w:rsidRPr="00647C5F">
              <w:rPr>
                <w:rFonts w:eastAsia="Times New Roman"/>
                <w:sz w:val="24"/>
                <w:szCs w:val="24"/>
                <w:lang w:val="ru-RU" w:eastAsia="ru-RU"/>
              </w:rPr>
              <w:t>40,54</w:t>
            </w:r>
          </w:p>
        </w:tc>
        <w:tc>
          <w:tcPr>
            <w:tcW w:w="772" w:type="dxa"/>
            <w:vAlign w:val="center"/>
          </w:tcPr>
          <w:p w:rsidR="00F32158" w:rsidRPr="00647C5F" w:rsidRDefault="00F32158" w:rsidP="00647C5F">
            <w:pPr>
              <w:spacing w:line="276" w:lineRule="auto"/>
              <w:jc w:val="center"/>
              <w:rPr>
                <w:rFonts w:eastAsia="Times New Roman"/>
                <w:sz w:val="24"/>
                <w:szCs w:val="24"/>
                <w:lang w:val="ru-RU" w:eastAsia="ru-RU"/>
              </w:rPr>
            </w:pPr>
            <w:r w:rsidRPr="00647C5F">
              <w:rPr>
                <w:rFonts w:eastAsia="Times New Roman"/>
                <w:sz w:val="24"/>
                <w:szCs w:val="24"/>
                <w:lang w:val="ru-RU" w:eastAsia="ru-RU"/>
              </w:rPr>
              <w:t>34,78</w:t>
            </w:r>
          </w:p>
        </w:tc>
        <w:tc>
          <w:tcPr>
            <w:tcW w:w="772" w:type="dxa"/>
          </w:tcPr>
          <w:p w:rsidR="00F32158" w:rsidRPr="00647C5F" w:rsidRDefault="00F32158" w:rsidP="00647C5F">
            <w:pPr>
              <w:spacing w:line="276" w:lineRule="auto"/>
              <w:jc w:val="center"/>
              <w:rPr>
                <w:rFonts w:eastAsia="Times New Roman"/>
                <w:color w:val="000000"/>
                <w:sz w:val="24"/>
                <w:szCs w:val="24"/>
                <w:lang w:val="ru-RU" w:eastAsia="ru-RU"/>
              </w:rPr>
            </w:pPr>
            <w:r w:rsidRPr="00647C5F">
              <w:rPr>
                <w:rFonts w:eastAsia="Times New Roman"/>
                <w:color w:val="000000"/>
                <w:sz w:val="24"/>
                <w:szCs w:val="24"/>
                <w:lang w:val="ru-RU" w:eastAsia="ru-RU"/>
              </w:rPr>
              <w:t>36,21</w:t>
            </w:r>
          </w:p>
        </w:tc>
        <w:tc>
          <w:tcPr>
            <w:tcW w:w="772" w:type="dxa"/>
          </w:tcPr>
          <w:p w:rsidR="00F32158" w:rsidRPr="00647C5F" w:rsidRDefault="00F32158" w:rsidP="00647C5F">
            <w:pPr>
              <w:spacing w:line="276" w:lineRule="auto"/>
              <w:jc w:val="center"/>
              <w:rPr>
                <w:rFonts w:eastAsia="Times New Roman"/>
                <w:color w:val="000000"/>
                <w:sz w:val="24"/>
                <w:szCs w:val="24"/>
                <w:lang w:val="ru-RU" w:eastAsia="ru-RU"/>
              </w:rPr>
            </w:pPr>
            <w:r w:rsidRPr="00647C5F">
              <w:rPr>
                <w:rFonts w:eastAsia="Times New Roman"/>
                <w:color w:val="000000"/>
                <w:sz w:val="24"/>
                <w:szCs w:val="24"/>
                <w:lang w:val="ru-RU" w:eastAsia="ru-RU"/>
              </w:rPr>
              <w:t>34,48</w:t>
            </w:r>
          </w:p>
        </w:tc>
        <w:tc>
          <w:tcPr>
            <w:tcW w:w="772" w:type="dxa"/>
          </w:tcPr>
          <w:p w:rsidR="00F32158" w:rsidRPr="00647C5F" w:rsidRDefault="00F32158" w:rsidP="00647C5F">
            <w:pPr>
              <w:spacing w:line="276" w:lineRule="auto"/>
              <w:jc w:val="center"/>
              <w:rPr>
                <w:rFonts w:eastAsia="Times New Roman"/>
                <w:color w:val="000000"/>
                <w:sz w:val="24"/>
                <w:szCs w:val="24"/>
                <w:lang w:val="ru-RU" w:eastAsia="ru-RU"/>
              </w:rPr>
            </w:pPr>
            <w:r w:rsidRPr="00647C5F">
              <w:rPr>
                <w:rFonts w:eastAsia="Times New Roman"/>
                <w:color w:val="000000"/>
                <w:sz w:val="24"/>
                <w:szCs w:val="24"/>
                <w:lang w:val="ru-RU" w:eastAsia="ru-RU"/>
              </w:rPr>
              <w:t>12,50</w:t>
            </w:r>
          </w:p>
        </w:tc>
        <w:tc>
          <w:tcPr>
            <w:tcW w:w="772" w:type="dxa"/>
          </w:tcPr>
          <w:p w:rsidR="00F32158" w:rsidRPr="00647C5F" w:rsidRDefault="00F32158" w:rsidP="00647C5F">
            <w:pPr>
              <w:spacing w:line="276" w:lineRule="auto"/>
              <w:jc w:val="center"/>
              <w:rPr>
                <w:rFonts w:eastAsia="Times New Roman"/>
                <w:color w:val="000000"/>
                <w:sz w:val="24"/>
                <w:szCs w:val="24"/>
                <w:lang w:val="ru-RU" w:eastAsia="ru-RU"/>
              </w:rPr>
            </w:pPr>
            <w:r w:rsidRPr="00647C5F">
              <w:rPr>
                <w:rFonts w:eastAsia="Times New Roman"/>
                <w:color w:val="000000"/>
                <w:sz w:val="24"/>
                <w:szCs w:val="24"/>
                <w:lang w:val="ru-RU" w:eastAsia="ru-RU"/>
              </w:rPr>
              <w:t>26,32</w:t>
            </w:r>
          </w:p>
        </w:tc>
        <w:tc>
          <w:tcPr>
            <w:tcW w:w="972" w:type="dxa"/>
          </w:tcPr>
          <w:p w:rsidR="00F32158" w:rsidRPr="00647C5F" w:rsidRDefault="00F32158" w:rsidP="00647C5F">
            <w:pPr>
              <w:spacing w:line="276" w:lineRule="auto"/>
              <w:jc w:val="center"/>
              <w:rPr>
                <w:rFonts w:eastAsia="Times New Roman"/>
                <w:color w:val="000000"/>
                <w:sz w:val="24"/>
                <w:szCs w:val="24"/>
                <w:lang w:val="ru-RU" w:eastAsia="ru-RU"/>
              </w:rPr>
            </w:pPr>
            <w:r w:rsidRPr="00647C5F">
              <w:rPr>
                <w:rFonts w:eastAsia="Times New Roman"/>
                <w:color w:val="000000"/>
                <w:sz w:val="24"/>
                <w:szCs w:val="24"/>
                <w:lang w:val="ru-RU" w:eastAsia="ru-RU"/>
              </w:rPr>
              <w:t>34,62</w:t>
            </w:r>
          </w:p>
        </w:tc>
        <w:tc>
          <w:tcPr>
            <w:tcW w:w="794" w:type="dxa"/>
          </w:tcPr>
          <w:p w:rsidR="00F32158" w:rsidRPr="00647C5F" w:rsidRDefault="00F32158" w:rsidP="00647C5F">
            <w:pPr>
              <w:spacing w:line="276" w:lineRule="auto"/>
              <w:jc w:val="center"/>
              <w:rPr>
                <w:rFonts w:eastAsia="Times New Roman"/>
                <w:color w:val="000000"/>
                <w:sz w:val="24"/>
                <w:szCs w:val="24"/>
                <w:lang w:eastAsia="ru-RU"/>
              </w:rPr>
            </w:pPr>
            <w:r w:rsidRPr="00647C5F">
              <w:rPr>
                <w:rFonts w:eastAsia="Times New Roman"/>
                <w:color w:val="000000"/>
                <w:sz w:val="24"/>
                <w:szCs w:val="24"/>
                <w:lang w:eastAsia="ru-RU"/>
              </w:rPr>
              <w:t>18,75</w:t>
            </w:r>
          </w:p>
        </w:tc>
      </w:tr>
      <w:tr w:rsidR="00F32158" w:rsidRPr="00647C5F" w:rsidTr="00BF1F99">
        <w:trPr>
          <w:jc w:val="center"/>
        </w:trPr>
        <w:tc>
          <w:tcPr>
            <w:tcW w:w="1995" w:type="dxa"/>
            <w:vAlign w:val="center"/>
          </w:tcPr>
          <w:p w:rsidR="00F32158" w:rsidRPr="00647C5F" w:rsidRDefault="00F32158" w:rsidP="00647C5F">
            <w:pPr>
              <w:spacing w:line="276" w:lineRule="auto"/>
              <w:jc w:val="left"/>
              <w:rPr>
                <w:rFonts w:eastAsia="Times New Roman"/>
                <w:sz w:val="24"/>
                <w:szCs w:val="24"/>
                <w:lang w:eastAsia="ru-RU"/>
              </w:rPr>
            </w:pPr>
            <w:r w:rsidRPr="00647C5F">
              <w:rPr>
                <w:rFonts w:eastAsia="Times New Roman"/>
                <w:sz w:val="24"/>
                <w:szCs w:val="24"/>
                <w:lang w:eastAsia="ru-RU"/>
              </w:rPr>
              <w:t>Львівська</w:t>
            </w:r>
          </w:p>
        </w:tc>
        <w:tc>
          <w:tcPr>
            <w:tcW w:w="772" w:type="dxa"/>
            <w:vAlign w:val="center"/>
          </w:tcPr>
          <w:p w:rsidR="00F32158" w:rsidRPr="00647C5F" w:rsidRDefault="00F32158" w:rsidP="00647C5F">
            <w:pPr>
              <w:spacing w:line="276" w:lineRule="auto"/>
              <w:jc w:val="center"/>
              <w:rPr>
                <w:rFonts w:eastAsia="Times New Roman"/>
                <w:sz w:val="24"/>
                <w:szCs w:val="24"/>
                <w:lang w:val="ru-RU" w:eastAsia="ru-RU"/>
              </w:rPr>
            </w:pPr>
            <w:r w:rsidRPr="00647C5F">
              <w:rPr>
                <w:rFonts w:eastAsia="Times New Roman"/>
                <w:sz w:val="24"/>
                <w:szCs w:val="24"/>
                <w:lang w:val="ru-RU" w:eastAsia="ru-RU"/>
              </w:rPr>
              <w:t>29,82</w:t>
            </w:r>
          </w:p>
        </w:tc>
        <w:tc>
          <w:tcPr>
            <w:tcW w:w="772" w:type="dxa"/>
            <w:vAlign w:val="center"/>
          </w:tcPr>
          <w:p w:rsidR="00F32158" w:rsidRPr="00647C5F" w:rsidRDefault="00F32158" w:rsidP="00647C5F">
            <w:pPr>
              <w:spacing w:line="276" w:lineRule="auto"/>
              <w:jc w:val="center"/>
              <w:rPr>
                <w:rFonts w:eastAsia="Times New Roman"/>
                <w:sz w:val="24"/>
                <w:szCs w:val="24"/>
                <w:lang w:val="ru-RU" w:eastAsia="ru-RU"/>
              </w:rPr>
            </w:pPr>
            <w:r w:rsidRPr="00647C5F">
              <w:rPr>
                <w:rFonts w:eastAsia="Times New Roman"/>
                <w:sz w:val="24"/>
                <w:szCs w:val="24"/>
                <w:lang w:val="ru-RU" w:eastAsia="ru-RU"/>
              </w:rPr>
              <w:t>45,83</w:t>
            </w:r>
          </w:p>
        </w:tc>
        <w:tc>
          <w:tcPr>
            <w:tcW w:w="772" w:type="dxa"/>
          </w:tcPr>
          <w:p w:rsidR="00F32158" w:rsidRPr="00647C5F" w:rsidRDefault="00F32158" w:rsidP="00647C5F">
            <w:pPr>
              <w:spacing w:line="276" w:lineRule="auto"/>
              <w:jc w:val="center"/>
              <w:rPr>
                <w:rFonts w:eastAsia="Times New Roman"/>
                <w:color w:val="000000"/>
                <w:sz w:val="24"/>
                <w:szCs w:val="24"/>
                <w:lang w:val="ru-RU" w:eastAsia="ru-RU"/>
              </w:rPr>
            </w:pPr>
            <w:r w:rsidRPr="00647C5F">
              <w:rPr>
                <w:rFonts w:eastAsia="Times New Roman"/>
                <w:color w:val="000000"/>
                <w:sz w:val="24"/>
                <w:szCs w:val="24"/>
                <w:lang w:val="ru-RU" w:eastAsia="ru-RU"/>
              </w:rPr>
              <w:t>28,89</w:t>
            </w:r>
          </w:p>
        </w:tc>
        <w:tc>
          <w:tcPr>
            <w:tcW w:w="772" w:type="dxa"/>
          </w:tcPr>
          <w:p w:rsidR="00F32158" w:rsidRPr="00647C5F" w:rsidRDefault="00F32158" w:rsidP="00647C5F">
            <w:pPr>
              <w:spacing w:line="276" w:lineRule="auto"/>
              <w:jc w:val="center"/>
              <w:rPr>
                <w:rFonts w:eastAsia="Times New Roman"/>
                <w:color w:val="000000"/>
                <w:sz w:val="24"/>
                <w:szCs w:val="24"/>
                <w:lang w:val="ru-RU" w:eastAsia="ru-RU"/>
              </w:rPr>
            </w:pPr>
            <w:r w:rsidRPr="00647C5F">
              <w:rPr>
                <w:rFonts w:eastAsia="Times New Roman"/>
                <w:color w:val="000000"/>
                <w:sz w:val="24"/>
                <w:szCs w:val="24"/>
                <w:lang w:val="ru-RU" w:eastAsia="ru-RU"/>
              </w:rPr>
              <w:t>34,88</w:t>
            </w:r>
          </w:p>
        </w:tc>
        <w:tc>
          <w:tcPr>
            <w:tcW w:w="772" w:type="dxa"/>
          </w:tcPr>
          <w:p w:rsidR="00F32158" w:rsidRPr="00647C5F" w:rsidRDefault="00F32158" w:rsidP="00647C5F">
            <w:pPr>
              <w:spacing w:line="276" w:lineRule="auto"/>
              <w:jc w:val="center"/>
              <w:rPr>
                <w:rFonts w:eastAsia="Times New Roman"/>
                <w:color w:val="000000"/>
                <w:sz w:val="24"/>
                <w:szCs w:val="24"/>
                <w:lang w:val="ru-RU" w:eastAsia="ru-RU"/>
              </w:rPr>
            </w:pPr>
            <w:r w:rsidRPr="00647C5F">
              <w:rPr>
                <w:rFonts w:eastAsia="Times New Roman"/>
                <w:color w:val="000000"/>
                <w:sz w:val="24"/>
                <w:szCs w:val="24"/>
                <w:lang w:val="ru-RU" w:eastAsia="ru-RU"/>
              </w:rPr>
              <w:t>39,47</w:t>
            </w:r>
          </w:p>
        </w:tc>
        <w:tc>
          <w:tcPr>
            <w:tcW w:w="772" w:type="dxa"/>
          </w:tcPr>
          <w:p w:rsidR="00F32158" w:rsidRPr="00647C5F" w:rsidRDefault="00F32158" w:rsidP="00647C5F">
            <w:pPr>
              <w:spacing w:line="276" w:lineRule="auto"/>
              <w:jc w:val="center"/>
              <w:rPr>
                <w:rFonts w:eastAsia="Times New Roman"/>
                <w:color w:val="000000"/>
                <w:sz w:val="24"/>
                <w:szCs w:val="24"/>
                <w:lang w:val="ru-RU" w:eastAsia="ru-RU"/>
              </w:rPr>
            </w:pPr>
            <w:r w:rsidRPr="00647C5F">
              <w:rPr>
                <w:rFonts w:eastAsia="Times New Roman"/>
                <w:color w:val="000000"/>
                <w:sz w:val="24"/>
                <w:szCs w:val="24"/>
                <w:lang w:val="ru-RU" w:eastAsia="ru-RU"/>
              </w:rPr>
              <w:t>44,19</w:t>
            </w:r>
          </w:p>
        </w:tc>
        <w:tc>
          <w:tcPr>
            <w:tcW w:w="972" w:type="dxa"/>
          </w:tcPr>
          <w:p w:rsidR="00F32158" w:rsidRPr="00647C5F" w:rsidRDefault="00F32158" w:rsidP="00647C5F">
            <w:pPr>
              <w:spacing w:line="276" w:lineRule="auto"/>
              <w:jc w:val="center"/>
              <w:rPr>
                <w:rFonts w:eastAsia="Times New Roman"/>
                <w:color w:val="000000"/>
                <w:sz w:val="24"/>
                <w:szCs w:val="24"/>
                <w:lang w:val="ru-RU" w:eastAsia="ru-RU"/>
              </w:rPr>
            </w:pPr>
            <w:r w:rsidRPr="00647C5F">
              <w:rPr>
                <w:rFonts w:eastAsia="Times New Roman"/>
                <w:color w:val="000000"/>
                <w:sz w:val="24"/>
                <w:szCs w:val="24"/>
                <w:lang w:val="ru-RU" w:eastAsia="ru-RU"/>
              </w:rPr>
              <w:t>47,50</w:t>
            </w:r>
          </w:p>
        </w:tc>
        <w:tc>
          <w:tcPr>
            <w:tcW w:w="794" w:type="dxa"/>
          </w:tcPr>
          <w:p w:rsidR="00F32158" w:rsidRPr="00647C5F" w:rsidRDefault="00F32158" w:rsidP="00647C5F">
            <w:pPr>
              <w:spacing w:line="276" w:lineRule="auto"/>
              <w:jc w:val="center"/>
              <w:rPr>
                <w:rFonts w:eastAsia="Times New Roman"/>
                <w:color w:val="000000"/>
                <w:sz w:val="24"/>
                <w:szCs w:val="24"/>
                <w:lang w:eastAsia="ru-RU"/>
              </w:rPr>
            </w:pPr>
            <w:r w:rsidRPr="00647C5F">
              <w:rPr>
                <w:rFonts w:eastAsia="Times New Roman"/>
                <w:color w:val="000000"/>
                <w:sz w:val="24"/>
                <w:szCs w:val="24"/>
                <w:lang w:eastAsia="ru-RU"/>
              </w:rPr>
              <w:t>25,00</w:t>
            </w:r>
          </w:p>
        </w:tc>
      </w:tr>
      <w:tr w:rsidR="00F32158" w:rsidRPr="00647C5F" w:rsidTr="00BF1F99">
        <w:trPr>
          <w:jc w:val="center"/>
        </w:trPr>
        <w:tc>
          <w:tcPr>
            <w:tcW w:w="1995" w:type="dxa"/>
            <w:vAlign w:val="center"/>
          </w:tcPr>
          <w:p w:rsidR="00F32158" w:rsidRPr="00647C5F" w:rsidRDefault="00F32158" w:rsidP="00647C5F">
            <w:pPr>
              <w:spacing w:line="276" w:lineRule="auto"/>
              <w:jc w:val="left"/>
              <w:rPr>
                <w:rFonts w:eastAsia="Times New Roman"/>
                <w:sz w:val="24"/>
                <w:szCs w:val="24"/>
                <w:lang w:eastAsia="ru-RU"/>
              </w:rPr>
            </w:pPr>
            <w:r w:rsidRPr="00647C5F">
              <w:rPr>
                <w:rFonts w:eastAsia="Times New Roman"/>
                <w:sz w:val="24"/>
                <w:szCs w:val="24"/>
                <w:lang w:eastAsia="ru-RU"/>
              </w:rPr>
              <w:t>Миколаївська</w:t>
            </w:r>
          </w:p>
        </w:tc>
        <w:tc>
          <w:tcPr>
            <w:tcW w:w="772" w:type="dxa"/>
            <w:vAlign w:val="center"/>
          </w:tcPr>
          <w:p w:rsidR="00F32158" w:rsidRPr="00647C5F" w:rsidRDefault="00F32158" w:rsidP="00647C5F">
            <w:pPr>
              <w:spacing w:line="276" w:lineRule="auto"/>
              <w:jc w:val="center"/>
              <w:rPr>
                <w:rFonts w:eastAsia="Times New Roman"/>
                <w:sz w:val="24"/>
                <w:szCs w:val="24"/>
                <w:lang w:val="ru-RU" w:eastAsia="ru-RU"/>
              </w:rPr>
            </w:pPr>
            <w:r w:rsidRPr="00647C5F">
              <w:rPr>
                <w:rFonts w:eastAsia="Times New Roman"/>
                <w:sz w:val="24"/>
                <w:szCs w:val="24"/>
                <w:lang w:val="ru-RU" w:eastAsia="ru-RU"/>
              </w:rPr>
              <w:t>38,46</w:t>
            </w:r>
          </w:p>
        </w:tc>
        <w:tc>
          <w:tcPr>
            <w:tcW w:w="772" w:type="dxa"/>
            <w:vAlign w:val="center"/>
          </w:tcPr>
          <w:p w:rsidR="00F32158" w:rsidRPr="00647C5F" w:rsidRDefault="00F32158" w:rsidP="00647C5F">
            <w:pPr>
              <w:spacing w:line="276" w:lineRule="auto"/>
              <w:jc w:val="center"/>
              <w:rPr>
                <w:rFonts w:eastAsia="Times New Roman"/>
                <w:sz w:val="24"/>
                <w:szCs w:val="24"/>
                <w:lang w:val="ru-RU" w:eastAsia="ru-RU"/>
              </w:rPr>
            </w:pPr>
            <w:r w:rsidRPr="00647C5F">
              <w:rPr>
                <w:rFonts w:eastAsia="Times New Roman"/>
                <w:sz w:val="24"/>
                <w:szCs w:val="24"/>
                <w:lang w:val="ru-RU" w:eastAsia="ru-RU"/>
              </w:rPr>
              <w:t>34,09</w:t>
            </w:r>
          </w:p>
        </w:tc>
        <w:tc>
          <w:tcPr>
            <w:tcW w:w="772" w:type="dxa"/>
          </w:tcPr>
          <w:p w:rsidR="00F32158" w:rsidRPr="00647C5F" w:rsidRDefault="00F32158" w:rsidP="00647C5F">
            <w:pPr>
              <w:spacing w:line="276" w:lineRule="auto"/>
              <w:jc w:val="center"/>
              <w:rPr>
                <w:rFonts w:eastAsia="Times New Roman"/>
                <w:color w:val="000000"/>
                <w:sz w:val="24"/>
                <w:szCs w:val="24"/>
                <w:lang w:val="ru-RU" w:eastAsia="ru-RU"/>
              </w:rPr>
            </w:pPr>
            <w:r w:rsidRPr="00647C5F">
              <w:rPr>
                <w:rFonts w:eastAsia="Times New Roman"/>
                <w:color w:val="000000"/>
                <w:sz w:val="24"/>
                <w:szCs w:val="24"/>
                <w:lang w:val="ru-RU" w:eastAsia="ru-RU"/>
              </w:rPr>
              <w:t>26,83</w:t>
            </w:r>
          </w:p>
        </w:tc>
        <w:tc>
          <w:tcPr>
            <w:tcW w:w="772" w:type="dxa"/>
          </w:tcPr>
          <w:p w:rsidR="00F32158" w:rsidRPr="00647C5F" w:rsidRDefault="00F32158" w:rsidP="00647C5F">
            <w:pPr>
              <w:spacing w:line="276" w:lineRule="auto"/>
              <w:jc w:val="center"/>
              <w:rPr>
                <w:rFonts w:eastAsia="Times New Roman"/>
                <w:color w:val="000000"/>
                <w:sz w:val="24"/>
                <w:szCs w:val="24"/>
                <w:lang w:val="ru-RU" w:eastAsia="ru-RU"/>
              </w:rPr>
            </w:pPr>
            <w:r w:rsidRPr="00647C5F">
              <w:rPr>
                <w:rFonts w:eastAsia="Times New Roman"/>
                <w:color w:val="000000"/>
                <w:sz w:val="24"/>
                <w:szCs w:val="24"/>
                <w:lang w:val="ru-RU" w:eastAsia="ru-RU"/>
              </w:rPr>
              <w:t>38,64</w:t>
            </w:r>
          </w:p>
        </w:tc>
        <w:tc>
          <w:tcPr>
            <w:tcW w:w="772" w:type="dxa"/>
          </w:tcPr>
          <w:p w:rsidR="00F32158" w:rsidRPr="00647C5F" w:rsidRDefault="00F32158" w:rsidP="00647C5F">
            <w:pPr>
              <w:spacing w:line="276" w:lineRule="auto"/>
              <w:jc w:val="center"/>
              <w:rPr>
                <w:rFonts w:eastAsia="Times New Roman"/>
                <w:color w:val="000000"/>
                <w:sz w:val="24"/>
                <w:szCs w:val="24"/>
                <w:lang w:val="ru-RU" w:eastAsia="ru-RU"/>
              </w:rPr>
            </w:pPr>
            <w:r w:rsidRPr="00647C5F">
              <w:rPr>
                <w:rFonts w:eastAsia="Times New Roman"/>
                <w:color w:val="000000"/>
                <w:sz w:val="24"/>
                <w:szCs w:val="24"/>
                <w:lang w:val="ru-RU" w:eastAsia="ru-RU"/>
              </w:rPr>
              <w:t>48,28</w:t>
            </w:r>
          </w:p>
        </w:tc>
        <w:tc>
          <w:tcPr>
            <w:tcW w:w="772" w:type="dxa"/>
          </w:tcPr>
          <w:p w:rsidR="00F32158" w:rsidRPr="00647C5F" w:rsidRDefault="00F32158" w:rsidP="00647C5F">
            <w:pPr>
              <w:spacing w:line="276" w:lineRule="auto"/>
              <w:jc w:val="center"/>
              <w:rPr>
                <w:rFonts w:eastAsia="Times New Roman"/>
                <w:color w:val="000000"/>
                <w:sz w:val="24"/>
                <w:szCs w:val="24"/>
                <w:lang w:val="ru-RU" w:eastAsia="ru-RU"/>
              </w:rPr>
            </w:pPr>
            <w:r w:rsidRPr="00647C5F">
              <w:rPr>
                <w:rFonts w:eastAsia="Times New Roman"/>
                <w:color w:val="000000"/>
                <w:sz w:val="24"/>
                <w:szCs w:val="24"/>
                <w:lang w:val="ru-RU" w:eastAsia="ru-RU"/>
              </w:rPr>
              <w:t>44,00</w:t>
            </w:r>
          </w:p>
        </w:tc>
        <w:tc>
          <w:tcPr>
            <w:tcW w:w="972" w:type="dxa"/>
          </w:tcPr>
          <w:p w:rsidR="00F32158" w:rsidRPr="00647C5F" w:rsidRDefault="00F32158" w:rsidP="00647C5F">
            <w:pPr>
              <w:spacing w:line="276" w:lineRule="auto"/>
              <w:jc w:val="center"/>
              <w:rPr>
                <w:rFonts w:eastAsia="Times New Roman"/>
                <w:color w:val="000000"/>
                <w:sz w:val="24"/>
                <w:szCs w:val="24"/>
                <w:lang w:val="ru-RU" w:eastAsia="ru-RU"/>
              </w:rPr>
            </w:pPr>
            <w:r w:rsidRPr="00647C5F">
              <w:rPr>
                <w:rFonts w:eastAsia="Times New Roman"/>
                <w:color w:val="000000"/>
                <w:sz w:val="24"/>
                <w:szCs w:val="24"/>
                <w:lang w:val="ru-RU" w:eastAsia="ru-RU"/>
              </w:rPr>
              <w:t>56,52</w:t>
            </w:r>
          </w:p>
        </w:tc>
        <w:tc>
          <w:tcPr>
            <w:tcW w:w="794" w:type="dxa"/>
          </w:tcPr>
          <w:p w:rsidR="00F32158" w:rsidRPr="00647C5F" w:rsidRDefault="00F32158" w:rsidP="00647C5F">
            <w:pPr>
              <w:spacing w:line="276" w:lineRule="auto"/>
              <w:jc w:val="center"/>
              <w:rPr>
                <w:rFonts w:eastAsia="Times New Roman"/>
                <w:color w:val="000000"/>
                <w:sz w:val="24"/>
                <w:szCs w:val="24"/>
                <w:lang w:eastAsia="ru-RU"/>
              </w:rPr>
            </w:pPr>
            <w:r w:rsidRPr="00647C5F">
              <w:rPr>
                <w:rFonts w:eastAsia="Times New Roman"/>
                <w:color w:val="000000"/>
                <w:sz w:val="24"/>
                <w:szCs w:val="24"/>
                <w:lang w:eastAsia="ru-RU"/>
              </w:rPr>
              <w:t>37,50</w:t>
            </w:r>
          </w:p>
        </w:tc>
      </w:tr>
      <w:tr w:rsidR="00F32158" w:rsidRPr="00647C5F" w:rsidTr="00BF1F99">
        <w:trPr>
          <w:jc w:val="center"/>
        </w:trPr>
        <w:tc>
          <w:tcPr>
            <w:tcW w:w="1995" w:type="dxa"/>
            <w:vAlign w:val="center"/>
          </w:tcPr>
          <w:p w:rsidR="00F32158" w:rsidRPr="00647C5F" w:rsidRDefault="00F32158" w:rsidP="00647C5F">
            <w:pPr>
              <w:spacing w:line="276" w:lineRule="auto"/>
              <w:jc w:val="left"/>
              <w:rPr>
                <w:rFonts w:eastAsia="Times New Roman"/>
                <w:sz w:val="24"/>
                <w:szCs w:val="24"/>
                <w:lang w:eastAsia="ru-RU"/>
              </w:rPr>
            </w:pPr>
            <w:r w:rsidRPr="00647C5F">
              <w:rPr>
                <w:rFonts w:eastAsia="Times New Roman"/>
                <w:sz w:val="24"/>
                <w:szCs w:val="24"/>
                <w:lang w:eastAsia="ru-RU"/>
              </w:rPr>
              <w:t>Одеська</w:t>
            </w:r>
          </w:p>
        </w:tc>
        <w:tc>
          <w:tcPr>
            <w:tcW w:w="772" w:type="dxa"/>
            <w:vAlign w:val="center"/>
          </w:tcPr>
          <w:p w:rsidR="00F32158" w:rsidRPr="00647C5F" w:rsidRDefault="00F32158" w:rsidP="00647C5F">
            <w:pPr>
              <w:spacing w:line="276" w:lineRule="auto"/>
              <w:jc w:val="center"/>
              <w:rPr>
                <w:rFonts w:eastAsia="Times New Roman"/>
                <w:sz w:val="24"/>
                <w:szCs w:val="24"/>
                <w:lang w:val="ru-RU" w:eastAsia="ru-RU"/>
              </w:rPr>
            </w:pPr>
            <w:r w:rsidRPr="00647C5F">
              <w:rPr>
                <w:rFonts w:eastAsia="Times New Roman"/>
                <w:sz w:val="24"/>
                <w:szCs w:val="24"/>
                <w:lang w:val="ru-RU" w:eastAsia="ru-RU"/>
              </w:rPr>
              <w:t>36,22</w:t>
            </w:r>
          </w:p>
        </w:tc>
        <w:tc>
          <w:tcPr>
            <w:tcW w:w="772" w:type="dxa"/>
            <w:vAlign w:val="center"/>
          </w:tcPr>
          <w:p w:rsidR="00F32158" w:rsidRPr="00647C5F" w:rsidRDefault="00F32158" w:rsidP="00647C5F">
            <w:pPr>
              <w:spacing w:line="276" w:lineRule="auto"/>
              <w:jc w:val="center"/>
              <w:rPr>
                <w:rFonts w:eastAsia="Times New Roman"/>
                <w:sz w:val="24"/>
                <w:szCs w:val="24"/>
                <w:lang w:val="ru-RU" w:eastAsia="ru-RU"/>
              </w:rPr>
            </w:pPr>
            <w:r w:rsidRPr="00647C5F">
              <w:rPr>
                <w:rFonts w:eastAsia="Times New Roman"/>
                <w:sz w:val="24"/>
                <w:szCs w:val="24"/>
                <w:lang w:val="ru-RU" w:eastAsia="ru-RU"/>
              </w:rPr>
              <w:t>29,82</w:t>
            </w:r>
          </w:p>
        </w:tc>
        <w:tc>
          <w:tcPr>
            <w:tcW w:w="772" w:type="dxa"/>
          </w:tcPr>
          <w:p w:rsidR="00F32158" w:rsidRPr="00647C5F" w:rsidRDefault="00F32158" w:rsidP="00647C5F">
            <w:pPr>
              <w:spacing w:line="276" w:lineRule="auto"/>
              <w:jc w:val="center"/>
              <w:rPr>
                <w:rFonts w:eastAsia="Times New Roman"/>
                <w:color w:val="000000"/>
                <w:sz w:val="24"/>
                <w:szCs w:val="24"/>
                <w:lang w:val="ru-RU" w:eastAsia="ru-RU"/>
              </w:rPr>
            </w:pPr>
            <w:r w:rsidRPr="00647C5F">
              <w:rPr>
                <w:rFonts w:eastAsia="Times New Roman"/>
                <w:color w:val="000000"/>
                <w:sz w:val="24"/>
                <w:szCs w:val="24"/>
                <w:lang w:val="ru-RU" w:eastAsia="ru-RU"/>
              </w:rPr>
              <w:t>30,61</w:t>
            </w:r>
          </w:p>
        </w:tc>
        <w:tc>
          <w:tcPr>
            <w:tcW w:w="772" w:type="dxa"/>
          </w:tcPr>
          <w:p w:rsidR="00F32158" w:rsidRPr="00647C5F" w:rsidRDefault="00F32158" w:rsidP="00647C5F">
            <w:pPr>
              <w:spacing w:line="276" w:lineRule="auto"/>
              <w:jc w:val="center"/>
              <w:rPr>
                <w:rFonts w:eastAsia="Times New Roman"/>
                <w:color w:val="000000"/>
                <w:sz w:val="24"/>
                <w:szCs w:val="24"/>
                <w:lang w:val="ru-RU" w:eastAsia="ru-RU"/>
              </w:rPr>
            </w:pPr>
            <w:r w:rsidRPr="00647C5F">
              <w:rPr>
                <w:rFonts w:eastAsia="Times New Roman"/>
                <w:color w:val="000000"/>
                <w:sz w:val="24"/>
                <w:szCs w:val="24"/>
                <w:lang w:val="ru-RU" w:eastAsia="ru-RU"/>
              </w:rPr>
              <w:t>38,75</w:t>
            </w:r>
          </w:p>
        </w:tc>
        <w:tc>
          <w:tcPr>
            <w:tcW w:w="772" w:type="dxa"/>
          </w:tcPr>
          <w:p w:rsidR="00F32158" w:rsidRPr="00647C5F" w:rsidRDefault="00F32158" w:rsidP="00647C5F">
            <w:pPr>
              <w:spacing w:line="276" w:lineRule="auto"/>
              <w:jc w:val="center"/>
              <w:rPr>
                <w:rFonts w:eastAsia="Times New Roman"/>
                <w:color w:val="000000"/>
                <w:sz w:val="24"/>
                <w:szCs w:val="24"/>
                <w:lang w:val="ru-RU" w:eastAsia="ru-RU"/>
              </w:rPr>
            </w:pPr>
            <w:r w:rsidRPr="00647C5F">
              <w:rPr>
                <w:rFonts w:eastAsia="Times New Roman"/>
                <w:color w:val="000000"/>
                <w:sz w:val="24"/>
                <w:szCs w:val="24"/>
                <w:lang w:val="ru-RU" w:eastAsia="ru-RU"/>
              </w:rPr>
              <w:t>41,74</w:t>
            </w:r>
          </w:p>
        </w:tc>
        <w:tc>
          <w:tcPr>
            <w:tcW w:w="772" w:type="dxa"/>
          </w:tcPr>
          <w:p w:rsidR="00F32158" w:rsidRPr="00647C5F" w:rsidRDefault="00F32158" w:rsidP="00647C5F">
            <w:pPr>
              <w:spacing w:line="276" w:lineRule="auto"/>
              <w:jc w:val="center"/>
              <w:rPr>
                <w:rFonts w:eastAsia="Times New Roman"/>
                <w:color w:val="000000"/>
                <w:sz w:val="24"/>
                <w:szCs w:val="24"/>
                <w:lang w:val="ru-RU" w:eastAsia="ru-RU"/>
              </w:rPr>
            </w:pPr>
            <w:r w:rsidRPr="00647C5F">
              <w:rPr>
                <w:rFonts w:eastAsia="Times New Roman"/>
                <w:color w:val="000000"/>
                <w:sz w:val="24"/>
                <w:szCs w:val="24"/>
                <w:lang w:val="ru-RU" w:eastAsia="ru-RU"/>
              </w:rPr>
              <w:t>44,83</w:t>
            </w:r>
          </w:p>
        </w:tc>
        <w:tc>
          <w:tcPr>
            <w:tcW w:w="975" w:type="dxa"/>
          </w:tcPr>
          <w:p w:rsidR="00F32158" w:rsidRPr="00647C5F" w:rsidRDefault="00F32158" w:rsidP="00647C5F">
            <w:pPr>
              <w:spacing w:line="276" w:lineRule="auto"/>
              <w:jc w:val="center"/>
              <w:rPr>
                <w:rFonts w:eastAsia="Times New Roman"/>
                <w:color w:val="000000"/>
                <w:sz w:val="24"/>
                <w:szCs w:val="24"/>
                <w:lang w:val="ru-RU" w:eastAsia="ru-RU"/>
              </w:rPr>
            </w:pPr>
            <w:r w:rsidRPr="00647C5F">
              <w:rPr>
                <w:rFonts w:eastAsia="Times New Roman"/>
                <w:color w:val="000000"/>
                <w:sz w:val="24"/>
                <w:szCs w:val="24"/>
                <w:lang w:val="ru-RU" w:eastAsia="ru-RU"/>
              </w:rPr>
              <w:t>37,35</w:t>
            </w:r>
          </w:p>
        </w:tc>
        <w:tc>
          <w:tcPr>
            <w:tcW w:w="791" w:type="dxa"/>
          </w:tcPr>
          <w:p w:rsidR="00F32158" w:rsidRPr="00647C5F" w:rsidRDefault="00F32158" w:rsidP="00647C5F">
            <w:pPr>
              <w:spacing w:line="276" w:lineRule="auto"/>
              <w:jc w:val="center"/>
              <w:rPr>
                <w:rFonts w:eastAsia="Times New Roman"/>
                <w:color w:val="000000"/>
                <w:sz w:val="24"/>
                <w:szCs w:val="24"/>
                <w:lang w:eastAsia="ru-RU"/>
              </w:rPr>
            </w:pPr>
            <w:r w:rsidRPr="00647C5F">
              <w:rPr>
                <w:rFonts w:eastAsia="Times New Roman"/>
                <w:color w:val="000000"/>
                <w:sz w:val="24"/>
                <w:szCs w:val="24"/>
                <w:lang w:eastAsia="ru-RU"/>
              </w:rPr>
              <w:t>41,89</w:t>
            </w:r>
          </w:p>
        </w:tc>
      </w:tr>
      <w:tr w:rsidR="00F32158" w:rsidRPr="00647C5F" w:rsidTr="00BF1F99">
        <w:trPr>
          <w:jc w:val="center"/>
        </w:trPr>
        <w:tc>
          <w:tcPr>
            <w:tcW w:w="1995" w:type="dxa"/>
            <w:vAlign w:val="center"/>
          </w:tcPr>
          <w:p w:rsidR="00F32158" w:rsidRPr="00647C5F" w:rsidRDefault="00F32158" w:rsidP="00647C5F">
            <w:pPr>
              <w:spacing w:line="276" w:lineRule="auto"/>
              <w:jc w:val="left"/>
              <w:rPr>
                <w:rFonts w:eastAsia="Times New Roman"/>
                <w:sz w:val="24"/>
                <w:szCs w:val="24"/>
                <w:lang w:eastAsia="ru-RU"/>
              </w:rPr>
            </w:pPr>
            <w:r w:rsidRPr="00647C5F">
              <w:rPr>
                <w:rFonts w:eastAsia="Times New Roman"/>
                <w:sz w:val="24"/>
                <w:szCs w:val="24"/>
                <w:lang w:eastAsia="ru-RU"/>
              </w:rPr>
              <w:t>Полтавська</w:t>
            </w:r>
          </w:p>
        </w:tc>
        <w:tc>
          <w:tcPr>
            <w:tcW w:w="772" w:type="dxa"/>
            <w:vAlign w:val="center"/>
          </w:tcPr>
          <w:p w:rsidR="00F32158" w:rsidRPr="00647C5F" w:rsidRDefault="00F32158" w:rsidP="00647C5F">
            <w:pPr>
              <w:spacing w:line="276" w:lineRule="auto"/>
              <w:jc w:val="center"/>
              <w:rPr>
                <w:rFonts w:eastAsia="Times New Roman"/>
                <w:sz w:val="24"/>
                <w:szCs w:val="24"/>
                <w:lang w:val="ru-RU" w:eastAsia="ru-RU"/>
              </w:rPr>
            </w:pPr>
            <w:r w:rsidRPr="00647C5F">
              <w:rPr>
                <w:rFonts w:eastAsia="Times New Roman"/>
                <w:sz w:val="24"/>
                <w:szCs w:val="24"/>
                <w:lang w:val="ru-RU" w:eastAsia="ru-RU"/>
              </w:rPr>
              <w:t>58,33</w:t>
            </w:r>
          </w:p>
        </w:tc>
        <w:tc>
          <w:tcPr>
            <w:tcW w:w="772" w:type="dxa"/>
            <w:vAlign w:val="center"/>
          </w:tcPr>
          <w:p w:rsidR="00F32158" w:rsidRPr="00647C5F" w:rsidRDefault="00F32158" w:rsidP="00647C5F">
            <w:pPr>
              <w:spacing w:line="276" w:lineRule="auto"/>
              <w:jc w:val="center"/>
              <w:rPr>
                <w:rFonts w:eastAsia="Times New Roman"/>
                <w:sz w:val="24"/>
                <w:szCs w:val="24"/>
                <w:lang w:val="ru-RU" w:eastAsia="ru-RU"/>
              </w:rPr>
            </w:pPr>
            <w:r w:rsidRPr="00647C5F">
              <w:rPr>
                <w:rFonts w:eastAsia="Times New Roman"/>
                <w:sz w:val="24"/>
                <w:szCs w:val="24"/>
                <w:lang w:val="ru-RU" w:eastAsia="ru-RU"/>
              </w:rPr>
              <w:t>60,00</w:t>
            </w:r>
          </w:p>
        </w:tc>
        <w:tc>
          <w:tcPr>
            <w:tcW w:w="772" w:type="dxa"/>
          </w:tcPr>
          <w:p w:rsidR="00F32158" w:rsidRPr="00647C5F" w:rsidRDefault="00F32158" w:rsidP="00647C5F">
            <w:pPr>
              <w:spacing w:line="276" w:lineRule="auto"/>
              <w:jc w:val="center"/>
              <w:rPr>
                <w:rFonts w:eastAsia="Times New Roman"/>
                <w:color w:val="000000"/>
                <w:sz w:val="24"/>
                <w:szCs w:val="24"/>
                <w:lang w:val="ru-RU" w:eastAsia="ru-RU"/>
              </w:rPr>
            </w:pPr>
            <w:r w:rsidRPr="00647C5F">
              <w:rPr>
                <w:rFonts w:eastAsia="Times New Roman"/>
                <w:color w:val="000000"/>
                <w:sz w:val="24"/>
                <w:szCs w:val="24"/>
                <w:lang w:val="ru-RU" w:eastAsia="ru-RU"/>
              </w:rPr>
              <w:t>65,22</w:t>
            </w:r>
          </w:p>
        </w:tc>
        <w:tc>
          <w:tcPr>
            <w:tcW w:w="772" w:type="dxa"/>
          </w:tcPr>
          <w:p w:rsidR="00F32158" w:rsidRPr="00647C5F" w:rsidRDefault="00F32158" w:rsidP="00647C5F">
            <w:pPr>
              <w:spacing w:line="276" w:lineRule="auto"/>
              <w:jc w:val="center"/>
              <w:rPr>
                <w:rFonts w:eastAsia="Times New Roman"/>
                <w:color w:val="000000"/>
                <w:sz w:val="24"/>
                <w:szCs w:val="24"/>
                <w:lang w:val="ru-RU" w:eastAsia="ru-RU"/>
              </w:rPr>
            </w:pPr>
            <w:r w:rsidRPr="00647C5F">
              <w:rPr>
                <w:rFonts w:eastAsia="Times New Roman"/>
                <w:color w:val="000000"/>
                <w:sz w:val="24"/>
                <w:szCs w:val="24"/>
                <w:lang w:val="ru-RU" w:eastAsia="ru-RU"/>
              </w:rPr>
              <w:t>64,71</w:t>
            </w:r>
          </w:p>
        </w:tc>
        <w:tc>
          <w:tcPr>
            <w:tcW w:w="772" w:type="dxa"/>
          </w:tcPr>
          <w:p w:rsidR="00F32158" w:rsidRPr="00647C5F" w:rsidRDefault="00F32158" w:rsidP="00647C5F">
            <w:pPr>
              <w:spacing w:line="276" w:lineRule="auto"/>
              <w:jc w:val="center"/>
              <w:rPr>
                <w:rFonts w:eastAsia="Times New Roman"/>
                <w:color w:val="000000"/>
                <w:sz w:val="24"/>
                <w:szCs w:val="24"/>
                <w:lang w:val="ru-RU" w:eastAsia="ru-RU"/>
              </w:rPr>
            </w:pPr>
            <w:r w:rsidRPr="00647C5F">
              <w:rPr>
                <w:rFonts w:eastAsia="Times New Roman"/>
                <w:color w:val="000000"/>
                <w:sz w:val="24"/>
                <w:szCs w:val="24"/>
                <w:lang w:val="ru-RU" w:eastAsia="ru-RU"/>
              </w:rPr>
              <w:t>39,13</w:t>
            </w:r>
          </w:p>
        </w:tc>
        <w:tc>
          <w:tcPr>
            <w:tcW w:w="772" w:type="dxa"/>
          </w:tcPr>
          <w:p w:rsidR="00F32158" w:rsidRPr="00647C5F" w:rsidRDefault="00F32158" w:rsidP="00647C5F">
            <w:pPr>
              <w:spacing w:line="276" w:lineRule="auto"/>
              <w:jc w:val="center"/>
              <w:rPr>
                <w:rFonts w:eastAsia="Times New Roman"/>
                <w:color w:val="000000"/>
                <w:sz w:val="24"/>
                <w:szCs w:val="24"/>
                <w:lang w:val="ru-RU" w:eastAsia="ru-RU"/>
              </w:rPr>
            </w:pPr>
            <w:r w:rsidRPr="00647C5F">
              <w:rPr>
                <w:rFonts w:eastAsia="Times New Roman"/>
                <w:color w:val="000000"/>
                <w:sz w:val="24"/>
                <w:szCs w:val="24"/>
                <w:lang w:val="ru-RU" w:eastAsia="ru-RU"/>
              </w:rPr>
              <w:t>61,11</w:t>
            </w:r>
          </w:p>
        </w:tc>
        <w:tc>
          <w:tcPr>
            <w:tcW w:w="975" w:type="dxa"/>
          </w:tcPr>
          <w:p w:rsidR="00F32158" w:rsidRPr="00647C5F" w:rsidRDefault="00F32158" w:rsidP="00647C5F">
            <w:pPr>
              <w:spacing w:line="276" w:lineRule="auto"/>
              <w:jc w:val="center"/>
              <w:rPr>
                <w:rFonts w:eastAsia="Times New Roman"/>
                <w:color w:val="000000"/>
                <w:sz w:val="24"/>
                <w:szCs w:val="24"/>
                <w:lang w:val="ru-RU" w:eastAsia="ru-RU"/>
              </w:rPr>
            </w:pPr>
            <w:r w:rsidRPr="00647C5F">
              <w:rPr>
                <w:rFonts w:eastAsia="Times New Roman"/>
                <w:color w:val="000000"/>
                <w:sz w:val="24"/>
                <w:szCs w:val="24"/>
                <w:lang w:val="ru-RU" w:eastAsia="ru-RU"/>
              </w:rPr>
              <w:t>38,10</w:t>
            </w:r>
          </w:p>
        </w:tc>
        <w:tc>
          <w:tcPr>
            <w:tcW w:w="791" w:type="dxa"/>
          </w:tcPr>
          <w:p w:rsidR="00F32158" w:rsidRPr="00647C5F" w:rsidRDefault="00F32158" w:rsidP="00647C5F">
            <w:pPr>
              <w:spacing w:line="276" w:lineRule="auto"/>
              <w:jc w:val="center"/>
              <w:rPr>
                <w:rFonts w:eastAsia="Times New Roman"/>
                <w:color w:val="000000"/>
                <w:sz w:val="24"/>
                <w:szCs w:val="24"/>
                <w:lang w:eastAsia="ru-RU"/>
              </w:rPr>
            </w:pPr>
            <w:r w:rsidRPr="00647C5F">
              <w:rPr>
                <w:rFonts w:eastAsia="Times New Roman"/>
                <w:color w:val="000000"/>
                <w:sz w:val="24"/>
                <w:szCs w:val="24"/>
                <w:lang w:eastAsia="ru-RU"/>
              </w:rPr>
              <w:t>57,14</w:t>
            </w:r>
          </w:p>
        </w:tc>
      </w:tr>
      <w:tr w:rsidR="00F32158" w:rsidRPr="00647C5F" w:rsidTr="00BF1F99">
        <w:trPr>
          <w:jc w:val="center"/>
        </w:trPr>
        <w:tc>
          <w:tcPr>
            <w:tcW w:w="1995" w:type="dxa"/>
            <w:vAlign w:val="center"/>
          </w:tcPr>
          <w:p w:rsidR="00F32158" w:rsidRPr="00647C5F" w:rsidRDefault="00F32158" w:rsidP="00647C5F">
            <w:pPr>
              <w:spacing w:line="276" w:lineRule="auto"/>
              <w:jc w:val="left"/>
              <w:rPr>
                <w:rFonts w:eastAsia="Times New Roman"/>
                <w:sz w:val="24"/>
                <w:szCs w:val="24"/>
                <w:lang w:eastAsia="ru-RU"/>
              </w:rPr>
            </w:pPr>
            <w:r w:rsidRPr="00647C5F">
              <w:rPr>
                <w:rFonts w:eastAsia="Times New Roman"/>
                <w:sz w:val="24"/>
                <w:szCs w:val="24"/>
                <w:lang w:eastAsia="ru-RU"/>
              </w:rPr>
              <w:t>Рівненська</w:t>
            </w:r>
          </w:p>
        </w:tc>
        <w:tc>
          <w:tcPr>
            <w:tcW w:w="772" w:type="dxa"/>
            <w:vAlign w:val="center"/>
          </w:tcPr>
          <w:p w:rsidR="00F32158" w:rsidRPr="00647C5F" w:rsidRDefault="00F32158" w:rsidP="00647C5F">
            <w:pPr>
              <w:spacing w:line="276" w:lineRule="auto"/>
              <w:jc w:val="center"/>
              <w:rPr>
                <w:rFonts w:eastAsia="Times New Roman"/>
                <w:sz w:val="24"/>
                <w:szCs w:val="24"/>
                <w:lang w:val="ru-RU" w:eastAsia="ru-RU"/>
              </w:rPr>
            </w:pPr>
            <w:r w:rsidRPr="00647C5F">
              <w:rPr>
                <w:rFonts w:eastAsia="Times New Roman"/>
                <w:sz w:val="24"/>
                <w:szCs w:val="24"/>
                <w:lang w:val="ru-RU" w:eastAsia="ru-RU"/>
              </w:rPr>
              <w:t>32,00</w:t>
            </w:r>
          </w:p>
        </w:tc>
        <w:tc>
          <w:tcPr>
            <w:tcW w:w="772" w:type="dxa"/>
            <w:vAlign w:val="center"/>
          </w:tcPr>
          <w:p w:rsidR="00F32158" w:rsidRPr="00647C5F" w:rsidRDefault="00F32158" w:rsidP="00647C5F">
            <w:pPr>
              <w:spacing w:line="276" w:lineRule="auto"/>
              <w:jc w:val="center"/>
              <w:rPr>
                <w:rFonts w:eastAsia="Times New Roman"/>
                <w:sz w:val="24"/>
                <w:szCs w:val="24"/>
                <w:lang w:val="ru-RU" w:eastAsia="ru-RU"/>
              </w:rPr>
            </w:pPr>
            <w:r w:rsidRPr="00647C5F">
              <w:rPr>
                <w:rFonts w:eastAsia="Times New Roman"/>
                <w:sz w:val="24"/>
                <w:szCs w:val="24"/>
                <w:lang w:val="ru-RU" w:eastAsia="ru-RU"/>
              </w:rPr>
              <w:t>32,20</w:t>
            </w:r>
          </w:p>
        </w:tc>
        <w:tc>
          <w:tcPr>
            <w:tcW w:w="772" w:type="dxa"/>
          </w:tcPr>
          <w:p w:rsidR="00F32158" w:rsidRPr="00647C5F" w:rsidRDefault="00F32158" w:rsidP="00647C5F">
            <w:pPr>
              <w:spacing w:line="276" w:lineRule="auto"/>
              <w:jc w:val="center"/>
              <w:rPr>
                <w:rFonts w:eastAsia="Times New Roman"/>
                <w:color w:val="000000"/>
                <w:sz w:val="24"/>
                <w:szCs w:val="24"/>
                <w:lang w:val="ru-RU" w:eastAsia="ru-RU"/>
              </w:rPr>
            </w:pPr>
            <w:r w:rsidRPr="00647C5F">
              <w:rPr>
                <w:rFonts w:eastAsia="Times New Roman"/>
                <w:color w:val="000000"/>
                <w:sz w:val="24"/>
                <w:szCs w:val="24"/>
                <w:lang w:val="ru-RU" w:eastAsia="ru-RU"/>
              </w:rPr>
              <w:t>21,57</w:t>
            </w:r>
          </w:p>
        </w:tc>
        <w:tc>
          <w:tcPr>
            <w:tcW w:w="772" w:type="dxa"/>
          </w:tcPr>
          <w:p w:rsidR="00F32158" w:rsidRPr="00647C5F" w:rsidRDefault="00F32158" w:rsidP="00647C5F">
            <w:pPr>
              <w:spacing w:line="276" w:lineRule="auto"/>
              <w:jc w:val="center"/>
              <w:rPr>
                <w:rFonts w:eastAsia="Times New Roman"/>
                <w:color w:val="000000"/>
                <w:sz w:val="24"/>
                <w:szCs w:val="24"/>
                <w:lang w:val="ru-RU" w:eastAsia="ru-RU"/>
              </w:rPr>
            </w:pPr>
            <w:r w:rsidRPr="00647C5F">
              <w:rPr>
                <w:rFonts w:eastAsia="Times New Roman"/>
                <w:color w:val="000000"/>
                <w:sz w:val="24"/>
                <w:szCs w:val="24"/>
                <w:lang w:val="ru-RU" w:eastAsia="ru-RU"/>
              </w:rPr>
              <w:t>38,00</w:t>
            </w:r>
          </w:p>
        </w:tc>
        <w:tc>
          <w:tcPr>
            <w:tcW w:w="772" w:type="dxa"/>
          </w:tcPr>
          <w:p w:rsidR="00F32158" w:rsidRPr="00647C5F" w:rsidRDefault="00F32158" w:rsidP="00647C5F">
            <w:pPr>
              <w:spacing w:line="276" w:lineRule="auto"/>
              <w:jc w:val="center"/>
              <w:rPr>
                <w:rFonts w:eastAsia="Times New Roman"/>
                <w:color w:val="000000"/>
                <w:sz w:val="24"/>
                <w:szCs w:val="24"/>
                <w:lang w:val="ru-RU" w:eastAsia="ru-RU"/>
              </w:rPr>
            </w:pPr>
            <w:r w:rsidRPr="00647C5F">
              <w:rPr>
                <w:rFonts w:eastAsia="Times New Roman"/>
                <w:color w:val="000000"/>
                <w:sz w:val="24"/>
                <w:szCs w:val="24"/>
                <w:lang w:val="ru-RU" w:eastAsia="ru-RU"/>
              </w:rPr>
              <w:t>34,62</w:t>
            </w:r>
          </w:p>
        </w:tc>
        <w:tc>
          <w:tcPr>
            <w:tcW w:w="772" w:type="dxa"/>
          </w:tcPr>
          <w:p w:rsidR="00F32158" w:rsidRPr="00647C5F" w:rsidRDefault="00F32158" w:rsidP="00647C5F">
            <w:pPr>
              <w:spacing w:line="276" w:lineRule="auto"/>
              <w:jc w:val="center"/>
              <w:rPr>
                <w:rFonts w:eastAsia="Times New Roman"/>
                <w:color w:val="000000"/>
                <w:sz w:val="24"/>
                <w:szCs w:val="24"/>
                <w:lang w:val="ru-RU" w:eastAsia="ru-RU"/>
              </w:rPr>
            </w:pPr>
            <w:r w:rsidRPr="00647C5F">
              <w:rPr>
                <w:rFonts w:eastAsia="Times New Roman"/>
                <w:color w:val="000000"/>
                <w:sz w:val="24"/>
                <w:szCs w:val="24"/>
                <w:lang w:val="ru-RU" w:eastAsia="ru-RU"/>
              </w:rPr>
              <w:t>29,79</w:t>
            </w:r>
          </w:p>
        </w:tc>
        <w:tc>
          <w:tcPr>
            <w:tcW w:w="975" w:type="dxa"/>
          </w:tcPr>
          <w:p w:rsidR="00F32158" w:rsidRPr="00647C5F" w:rsidRDefault="00F32158" w:rsidP="00647C5F">
            <w:pPr>
              <w:spacing w:line="276" w:lineRule="auto"/>
              <w:jc w:val="center"/>
              <w:rPr>
                <w:rFonts w:eastAsia="Times New Roman"/>
                <w:color w:val="000000"/>
                <w:sz w:val="24"/>
                <w:szCs w:val="24"/>
                <w:lang w:val="ru-RU" w:eastAsia="ru-RU"/>
              </w:rPr>
            </w:pPr>
            <w:r w:rsidRPr="00647C5F">
              <w:rPr>
                <w:rFonts w:eastAsia="Times New Roman"/>
                <w:color w:val="000000"/>
                <w:sz w:val="24"/>
                <w:szCs w:val="24"/>
                <w:lang w:val="ru-RU" w:eastAsia="ru-RU"/>
              </w:rPr>
              <w:t>17,50</w:t>
            </w:r>
          </w:p>
        </w:tc>
        <w:tc>
          <w:tcPr>
            <w:tcW w:w="791" w:type="dxa"/>
          </w:tcPr>
          <w:p w:rsidR="00F32158" w:rsidRPr="00647C5F" w:rsidRDefault="00F32158" w:rsidP="00647C5F">
            <w:pPr>
              <w:spacing w:line="276" w:lineRule="auto"/>
              <w:jc w:val="center"/>
              <w:rPr>
                <w:rFonts w:eastAsia="Times New Roman"/>
                <w:color w:val="000000"/>
                <w:sz w:val="24"/>
                <w:szCs w:val="24"/>
                <w:lang w:eastAsia="ru-RU"/>
              </w:rPr>
            </w:pPr>
            <w:r w:rsidRPr="00647C5F">
              <w:rPr>
                <w:rFonts w:eastAsia="Times New Roman"/>
                <w:color w:val="000000"/>
                <w:sz w:val="24"/>
                <w:szCs w:val="24"/>
                <w:lang w:eastAsia="ru-RU"/>
              </w:rPr>
              <w:t>31,03</w:t>
            </w:r>
          </w:p>
        </w:tc>
      </w:tr>
      <w:tr w:rsidR="00F32158" w:rsidRPr="00647C5F" w:rsidTr="00BF1F99">
        <w:trPr>
          <w:jc w:val="center"/>
        </w:trPr>
        <w:tc>
          <w:tcPr>
            <w:tcW w:w="1995" w:type="dxa"/>
            <w:vAlign w:val="center"/>
          </w:tcPr>
          <w:p w:rsidR="00F32158" w:rsidRPr="00647C5F" w:rsidRDefault="00F32158" w:rsidP="00647C5F">
            <w:pPr>
              <w:spacing w:line="276" w:lineRule="auto"/>
              <w:jc w:val="left"/>
              <w:rPr>
                <w:rFonts w:eastAsia="Times New Roman"/>
                <w:sz w:val="24"/>
                <w:szCs w:val="24"/>
                <w:lang w:eastAsia="ru-RU"/>
              </w:rPr>
            </w:pPr>
            <w:r w:rsidRPr="00647C5F">
              <w:rPr>
                <w:rFonts w:eastAsia="Times New Roman"/>
                <w:sz w:val="24"/>
                <w:szCs w:val="24"/>
                <w:lang w:eastAsia="ru-RU"/>
              </w:rPr>
              <w:t>Сумська</w:t>
            </w:r>
          </w:p>
        </w:tc>
        <w:tc>
          <w:tcPr>
            <w:tcW w:w="772" w:type="dxa"/>
            <w:vAlign w:val="center"/>
          </w:tcPr>
          <w:p w:rsidR="00F32158" w:rsidRPr="00647C5F" w:rsidRDefault="00F32158" w:rsidP="00647C5F">
            <w:pPr>
              <w:spacing w:line="276" w:lineRule="auto"/>
              <w:jc w:val="center"/>
              <w:rPr>
                <w:rFonts w:eastAsia="Times New Roman"/>
                <w:sz w:val="24"/>
                <w:szCs w:val="24"/>
                <w:lang w:val="ru-RU" w:eastAsia="ru-RU"/>
              </w:rPr>
            </w:pPr>
            <w:r w:rsidRPr="00647C5F">
              <w:rPr>
                <w:rFonts w:eastAsia="Times New Roman"/>
                <w:sz w:val="24"/>
                <w:szCs w:val="24"/>
                <w:lang w:val="ru-RU" w:eastAsia="ru-RU"/>
              </w:rPr>
              <w:t>51,72</w:t>
            </w:r>
          </w:p>
        </w:tc>
        <w:tc>
          <w:tcPr>
            <w:tcW w:w="772" w:type="dxa"/>
            <w:vAlign w:val="center"/>
          </w:tcPr>
          <w:p w:rsidR="00F32158" w:rsidRPr="00647C5F" w:rsidRDefault="00F32158" w:rsidP="00647C5F">
            <w:pPr>
              <w:spacing w:line="276" w:lineRule="auto"/>
              <w:jc w:val="center"/>
              <w:rPr>
                <w:rFonts w:eastAsia="Times New Roman"/>
                <w:sz w:val="24"/>
                <w:szCs w:val="24"/>
                <w:lang w:val="ru-RU" w:eastAsia="ru-RU"/>
              </w:rPr>
            </w:pPr>
            <w:r w:rsidRPr="00647C5F">
              <w:rPr>
                <w:rFonts w:eastAsia="Times New Roman"/>
                <w:sz w:val="24"/>
                <w:szCs w:val="24"/>
                <w:lang w:val="ru-RU" w:eastAsia="ru-RU"/>
              </w:rPr>
              <w:t>36,00</w:t>
            </w:r>
          </w:p>
        </w:tc>
        <w:tc>
          <w:tcPr>
            <w:tcW w:w="772" w:type="dxa"/>
          </w:tcPr>
          <w:p w:rsidR="00F32158" w:rsidRPr="00647C5F" w:rsidRDefault="00F32158" w:rsidP="00647C5F">
            <w:pPr>
              <w:spacing w:line="276" w:lineRule="auto"/>
              <w:jc w:val="center"/>
              <w:rPr>
                <w:rFonts w:eastAsia="Times New Roman"/>
                <w:color w:val="000000"/>
                <w:sz w:val="24"/>
                <w:szCs w:val="24"/>
                <w:lang w:val="ru-RU" w:eastAsia="ru-RU"/>
              </w:rPr>
            </w:pPr>
            <w:r w:rsidRPr="00647C5F">
              <w:rPr>
                <w:rFonts w:eastAsia="Times New Roman"/>
                <w:color w:val="000000"/>
                <w:sz w:val="24"/>
                <w:szCs w:val="24"/>
                <w:lang w:val="ru-RU" w:eastAsia="ru-RU"/>
              </w:rPr>
              <w:t>44,44</w:t>
            </w:r>
          </w:p>
        </w:tc>
        <w:tc>
          <w:tcPr>
            <w:tcW w:w="772" w:type="dxa"/>
          </w:tcPr>
          <w:p w:rsidR="00F32158" w:rsidRPr="00647C5F" w:rsidRDefault="00F32158" w:rsidP="00647C5F">
            <w:pPr>
              <w:spacing w:line="276" w:lineRule="auto"/>
              <w:jc w:val="center"/>
              <w:rPr>
                <w:rFonts w:eastAsia="Times New Roman"/>
                <w:color w:val="000000"/>
                <w:sz w:val="24"/>
                <w:szCs w:val="24"/>
                <w:lang w:val="ru-RU" w:eastAsia="ru-RU"/>
              </w:rPr>
            </w:pPr>
            <w:r w:rsidRPr="00647C5F">
              <w:rPr>
                <w:rFonts w:eastAsia="Times New Roman"/>
                <w:color w:val="000000"/>
                <w:sz w:val="24"/>
                <w:szCs w:val="24"/>
                <w:lang w:val="ru-RU" w:eastAsia="ru-RU"/>
              </w:rPr>
              <w:t>42,11</w:t>
            </w:r>
          </w:p>
        </w:tc>
        <w:tc>
          <w:tcPr>
            <w:tcW w:w="772" w:type="dxa"/>
          </w:tcPr>
          <w:p w:rsidR="00F32158" w:rsidRPr="00647C5F" w:rsidRDefault="00F32158" w:rsidP="00647C5F">
            <w:pPr>
              <w:spacing w:line="276" w:lineRule="auto"/>
              <w:jc w:val="center"/>
              <w:rPr>
                <w:rFonts w:eastAsia="Times New Roman"/>
                <w:color w:val="000000"/>
                <w:sz w:val="24"/>
                <w:szCs w:val="24"/>
                <w:lang w:val="ru-RU" w:eastAsia="ru-RU"/>
              </w:rPr>
            </w:pPr>
            <w:r w:rsidRPr="00647C5F">
              <w:rPr>
                <w:rFonts w:eastAsia="Times New Roman"/>
                <w:color w:val="000000"/>
                <w:sz w:val="24"/>
                <w:szCs w:val="24"/>
                <w:lang w:val="ru-RU" w:eastAsia="ru-RU"/>
              </w:rPr>
              <w:t>40,91</w:t>
            </w:r>
          </w:p>
        </w:tc>
        <w:tc>
          <w:tcPr>
            <w:tcW w:w="772" w:type="dxa"/>
          </w:tcPr>
          <w:p w:rsidR="00F32158" w:rsidRPr="00647C5F" w:rsidRDefault="00F32158" w:rsidP="00647C5F">
            <w:pPr>
              <w:spacing w:line="276" w:lineRule="auto"/>
              <w:jc w:val="center"/>
              <w:rPr>
                <w:rFonts w:eastAsia="Times New Roman"/>
                <w:color w:val="000000"/>
                <w:sz w:val="24"/>
                <w:szCs w:val="24"/>
                <w:lang w:val="ru-RU" w:eastAsia="ru-RU"/>
              </w:rPr>
            </w:pPr>
            <w:r w:rsidRPr="00647C5F">
              <w:rPr>
                <w:rFonts w:eastAsia="Times New Roman"/>
                <w:color w:val="000000"/>
                <w:sz w:val="24"/>
                <w:szCs w:val="24"/>
                <w:lang w:val="ru-RU" w:eastAsia="ru-RU"/>
              </w:rPr>
              <w:t>28,57</w:t>
            </w:r>
          </w:p>
        </w:tc>
        <w:tc>
          <w:tcPr>
            <w:tcW w:w="975" w:type="dxa"/>
          </w:tcPr>
          <w:p w:rsidR="00F32158" w:rsidRPr="00647C5F" w:rsidRDefault="00F32158" w:rsidP="00647C5F">
            <w:pPr>
              <w:spacing w:line="276" w:lineRule="auto"/>
              <w:jc w:val="center"/>
              <w:rPr>
                <w:rFonts w:eastAsia="Times New Roman"/>
                <w:color w:val="000000"/>
                <w:sz w:val="24"/>
                <w:szCs w:val="24"/>
                <w:lang w:val="ru-RU" w:eastAsia="ru-RU"/>
              </w:rPr>
            </w:pPr>
            <w:r w:rsidRPr="00647C5F">
              <w:rPr>
                <w:rFonts w:eastAsia="Times New Roman"/>
                <w:color w:val="000000"/>
                <w:sz w:val="24"/>
                <w:szCs w:val="24"/>
                <w:lang w:val="ru-RU" w:eastAsia="ru-RU"/>
              </w:rPr>
              <w:t>40,00</w:t>
            </w:r>
          </w:p>
        </w:tc>
        <w:tc>
          <w:tcPr>
            <w:tcW w:w="791" w:type="dxa"/>
          </w:tcPr>
          <w:p w:rsidR="00F32158" w:rsidRPr="00647C5F" w:rsidRDefault="00F32158" w:rsidP="00647C5F">
            <w:pPr>
              <w:spacing w:line="276" w:lineRule="auto"/>
              <w:jc w:val="center"/>
              <w:rPr>
                <w:rFonts w:eastAsia="Times New Roman"/>
                <w:color w:val="000000"/>
                <w:sz w:val="24"/>
                <w:szCs w:val="24"/>
                <w:lang w:eastAsia="ru-RU"/>
              </w:rPr>
            </w:pPr>
            <w:r w:rsidRPr="00647C5F">
              <w:rPr>
                <w:rFonts w:eastAsia="Times New Roman"/>
                <w:color w:val="000000"/>
                <w:sz w:val="24"/>
                <w:szCs w:val="24"/>
                <w:lang w:eastAsia="ru-RU"/>
              </w:rPr>
              <w:t>33,33</w:t>
            </w:r>
          </w:p>
        </w:tc>
      </w:tr>
      <w:tr w:rsidR="00F32158" w:rsidRPr="00647C5F" w:rsidTr="00BF1F99">
        <w:trPr>
          <w:jc w:val="center"/>
        </w:trPr>
        <w:tc>
          <w:tcPr>
            <w:tcW w:w="1995" w:type="dxa"/>
            <w:vAlign w:val="center"/>
          </w:tcPr>
          <w:p w:rsidR="00F32158" w:rsidRPr="00647C5F" w:rsidRDefault="00F32158" w:rsidP="00647C5F">
            <w:pPr>
              <w:spacing w:line="276" w:lineRule="auto"/>
              <w:jc w:val="left"/>
              <w:rPr>
                <w:rFonts w:eastAsia="Times New Roman"/>
                <w:sz w:val="24"/>
                <w:szCs w:val="24"/>
                <w:lang w:eastAsia="ru-RU"/>
              </w:rPr>
            </w:pPr>
            <w:r w:rsidRPr="00647C5F">
              <w:rPr>
                <w:rFonts w:eastAsia="Times New Roman"/>
                <w:sz w:val="24"/>
                <w:szCs w:val="24"/>
                <w:lang w:eastAsia="ru-RU"/>
              </w:rPr>
              <w:t>Тернопільська</w:t>
            </w:r>
          </w:p>
        </w:tc>
        <w:tc>
          <w:tcPr>
            <w:tcW w:w="772" w:type="dxa"/>
            <w:vAlign w:val="center"/>
          </w:tcPr>
          <w:p w:rsidR="00F32158" w:rsidRPr="00647C5F" w:rsidRDefault="00F32158" w:rsidP="00647C5F">
            <w:pPr>
              <w:spacing w:line="276" w:lineRule="auto"/>
              <w:jc w:val="center"/>
              <w:rPr>
                <w:rFonts w:eastAsia="Times New Roman"/>
                <w:sz w:val="24"/>
                <w:szCs w:val="24"/>
                <w:lang w:val="ru-RU" w:eastAsia="ru-RU"/>
              </w:rPr>
            </w:pPr>
            <w:r w:rsidRPr="00647C5F">
              <w:rPr>
                <w:rFonts w:eastAsia="Times New Roman"/>
                <w:sz w:val="24"/>
                <w:szCs w:val="24"/>
                <w:lang w:val="ru-RU" w:eastAsia="ru-RU"/>
              </w:rPr>
              <w:t>46,88</w:t>
            </w:r>
          </w:p>
        </w:tc>
        <w:tc>
          <w:tcPr>
            <w:tcW w:w="772" w:type="dxa"/>
            <w:vAlign w:val="center"/>
          </w:tcPr>
          <w:p w:rsidR="00F32158" w:rsidRPr="00647C5F" w:rsidRDefault="00F32158" w:rsidP="00647C5F">
            <w:pPr>
              <w:spacing w:line="276" w:lineRule="auto"/>
              <w:jc w:val="center"/>
              <w:rPr>
                <w:rFonts w:eastAsia="Times New Roman"/>
                <w:sz w:val="24"/>
                <w:szCs w:val="24"/>
                <w:lang w:val="ru-RU" w:eastAsia="ru-RU"/>
              </w:rPr>
            </w:pPr>
            <w:r w:rsidRPr="00647C5F">
              <w:rPr>
                <w:rFonts w:eastAsia="Times New Roman"/>
                <w:sz w:val="24"/>
                <w:szCs w:val="24"/>
                <w:lang w:val="ru-RU" w:eastAsia="ru-RU"/>
              </w:rPr>
              <w:t>54,55</w:t>
            </w:r>
          </w:p>
        </w:tc>
        <w:tc>
          <w:tcPr>
            <w:tcW w:w="772" w:type="dxa"/>
          </w:tcPr>
          <w:p w:rsidR="00F32158" w:rsidRPr="00647C5F" w:rsidRDefault="00F32158" w:rsidP="00647C5F">
            <w:pPr>
              <w:spacing w:line="276" w:lineRule="auto"/>
              <w:jc w:val="center"/>
              <w:rPr>
                <w:rFonts w:eastAsia="Times New Roman"/>
                <w:color w:val="000000"/>
                <w:sz w:val="24"/>
                <w:szCs w:val="24"/>
                <w:lang w:val="ru-RU" w:eastAsia="ru-RU"/>
              </w:rPr>
            </w:pPr>
            <w:r w:rsidRPr="00647C5F">
              <w:rPr>
                <w:rFonts w:eastAsia="Times New Roman"/>
                <w:color w:val="000000"/>
                <w:sz w:val="24"/>
                <w:szCs w:val="24"/>
                <w:lang w:val="ru-RU" w:eastAsia="ru-RU"/>
              </w:rPr>
              <w:t>6,25</w:t>
            </w:r>
          </w:p>
        </w:tc>
        <w:tc>
          <w:tcPr>
            <w:tcW w:w="772" w:type="dxa"/>
          </w:tcPr>
          <w:p w:rsidR="00F32158" w:rsidRPr="00647C5F" w:rsidRDefault="00F32158" w:rsidP="00647C5F">
            <w:pPr>
              <w:spacing w:line="276" w:lineRule="auto"/>
              <w:jc w:val="center"/>
              <w:rPr>
                <w:rFonts w:eastAsia="Times New Roman"/>
                <w:color w:val="000000"/>
                <w:sz w:val="24"/>
                <w:szCs w:val="24"/>
                <w:lang w:val="ru-RU" w:eastAsia="ru-RU"/>
              </w:rPr>
            </w:pPr>
            <w:r w:rsidRPr="00647C5F">
              <w:rPr>
                <w:rFonts w:eastAsia="Times New Roman"/>
                <w:color w:val="000000"/>
                <w:sz w:val="24"/>
                <w:szCs w:val="24"/>
                <w:lang w:val="ru-RU" w:eastAsia="ru-RU"/>
              </w:rPr>
              <w:t>46,67</w:t>
            </w:r>
          </w:p>
        </w:tc>
        <w:tc>
          <w:tcPr>
            <w:tcW w:w="772" w:type="dxa"/>
          </w:tcPr>
          <w:p w:rsidR="00F32158" w:rsidRPr="00647C5F" w:rsidRDefault="00F32158" w:rsidP="00647C5F">
            <w:pPr>
              <w:spacing w:line="276" w:lineRule="auto"/>
              <w:jc w:val="center"/>
              <w:rPr>
                <w:rFonts w:eastAsia="Times New Roman"/>
                <w:color w:val="000000"/>
                <w:sz w:val="24"/>
                <w:szCs w:val="24"/>
                <w:lang w:val="ru-RU" w:eastAsia="ru-RU"/>
              </w:rPr>
            </w:pPr>
            <w:r w:rsidRPr="00647C5F">
              <w:rPr>
                <w:rFonts w:eastAsia="Times New Roman"/>
                <w:color w:val="000000"/>
                <w:sz w:val="24"/>
                <w:szCs w:val="24"/>
                <w:lang w:val="ru-RU" w:eastAsia="ru-RU"/>
              </w:rPr>
              <w:t>57,14</w:t>
            </w:r>
          </w:p>
        </w:tc>
        <w:tc>
          <w:tcPr>
            <w:tcW w:w="772" w:type="dxa"/>
          </w:tcPr>
          <w:p w:rsidR="00F32158" w:rsidRPr="00647C5F" w:rsidRDefault="00F32158" w:rsidP="00647C5F">
            <w:pPr>
              <w:spacing w:line="276" w:lineRule="auto"/>
              <w:jc w:val="center"/>
              <w:rPr>
                <w:rFonts w:eastAsia="Times New Roman"/>
                <w:color w:val="000000"/>
                <w:sz w:val="24"/>
                <w:szCs w:val="24"/>
                <w:lang w:val="ru-RU" w:eastAsia="ru-RU"/>
              </w:rPr>
            </w:pPr>
            <w:r w:rsidRPr="00647C5F">
              <w:rPr>
                <w:rFonts w:eastAsia="Times New Roman"/>
                <w:color w:val="000000"/>
                <w:sz w:val="24"/>
                <w:szCs w:val="24"/>
                <w:lang w:val="ru-RU" w:eastAsia="ru-RU"/>
              </w:rPr>
              <w:t>53,85</w:t>
            </w:r>
          </w:p>
        </w:tc>
        <w:tc>
          <w:tcPr>
            <w:tcW w:w="975" w:type="dxa"/>
          </w:tcPr>
          <w:p w:rsidR="00F32158" w:rsidRPr="00647C5F" w:rsidRDefault="00F32158" w:rsidP="00647C5F">
            <w:pPr>
              <w:spacing w:line="276" w:lineRule="auto"/>
              <w:jc w:val="center"/>
              <w:rPr>
                <w:rFonts w:eastAsia="Times New Roman"/>
                <w:color w:val="000000"/>
                <w:sz w:val="24"/>
                <w:szCs w:val="24"/>
                <w:lang w:val="ru-RU" w:eastAsia="ru-RU"/>
              </w:rPr>
            </w:pPr>
            <w:r w:rsidRPr="00647C5F">
              <w:rPr>
                <w:rFonts w:eastAsia="Times New Roman"/>
                <w:color w:val="000000"/>
                <w:sz w:val="24"/>
                <w:szCs w:val="24"/>
                <w:lang w:val="ru-RU" w:eastAsia="ru-RU"/>
              </w:rPr>
              <w:t>52,38</w:t>
            </w:r>
          </w:p>
        </w:tc>
        <w:tc>
          <w:tcPr>
            <w:tcW w:w="791" w:type="dxa"/>
          </w:tcPr>
          <w:p w:rsidR="00F32158" w:rsidRPr="00647C5F" w:rsidRDefault="00F32158" w:rsidP="00647C5F">
            <w:pPr>
              <w:spacing w:line="276" w:lineRule="auto"/>
              <w:jc w:val="center"/>
              <w:rPr>
                <w:rFonts w:eastAsia="Times New Roman"/>
                <w:color w:val="000000"/>
                <w:sz w:val="24"/>
                <w:szCs w:val="24"/>
                <w:lang w:eastAsia="ru-RU"/>
              </w:rPr>
            </w:pPr>
            <w:r w:rsidRPr="00647C5F">
              <w:rPr>
                <w:rFonts w:eastAsia="Times New Roman"/>
                <w:color w:val="000000"/>
                <w:sz w:val="24"/>
                <w:szCs w:val="24"/>
                <w:lang w:eastAsia="ru-RU"/>
              </w:rPr>
              <w:t>58,33</w:t>
            </w:r>
          </w:p>
        </w:tc>
      </w:tr>
      <w:tr w:rsidR="00F32158" w:rsidRPr="00647C5F" w:rsidTr="00BF1F99">
        <w:trPr>
          <w:jc w:val="center"/>
        </w:trPr>
        <w:tc>
          <w:tcPr>
            <w:tcW w:w="1995" w:type="dxa"/>
            <w:vAlign w:val="center"/>
          </w:tcPr>
          <w:p w:rsidR="00F32158" w:rsidRPr="00647C5F" w:rsidRDefault="00F32158" w:rsidP="00647C5F">
            <w:pPr>
              <w:spacing w:line="276" w:lineRule="auto"/>
              <w:jc w:val="left"/>
              <w:rPr>
                <w:rFonts w:eastAsia="Times New Roman"/>
                <w:sz w:val="24"/>
                <w:szCs w:val="24"/>
                <w:lang w:eastAsia="ru-RU"/>
              </w:rPr>
            </w:pPr>
            <w:r w:rsidRPr="00647C5F">
              <w:rPr>
                <w:rFonts w:eastAsia="Times New Roman"/>
                <w:sz w:val="24"/>
                <w:szCs w:val="24"/>
                <w:lang w:eastAsia="ru-RU"/>
              </w:rPr>
              <w:t>Харківська</w:t>
            </w:r>
          </w:p>
        </w:tc>
        <w:tc>
          <w:tcPr>
            <w:tcW w:w="772" w:type="dxa"/>
            <w:vAlign w:val="center"/>
          </w:tcPr>
          <w:p w:rsidR="00F32158" w:rsidRPr="00647C5F" w:rsidRDefault="00F32158" w:rsidP="00647C5F">
            <w:pPr>
              <w:spacing w:line="276" w:lineRule="auto"/>
              <w:jc w:val="center"/>
              <w:rPr>
                <w:rFonts w:eastAsia="Times New Roman"/>
                <w:sz w:val="24"/>
                <w:szCs w:val="24"/>
                <w:lang w:val="ru-RU" w:eastAsia="ru-RU"/>
              </w:rPr>
            </w:pPr>
            <w:r w:rsidRPr="00647C5F">
              <w:rPr>
                <w:rFonts w:eastAsia="Times New Roman"/>
                <w:sz w:val="24"/>
                <w:szCs w:val="24"/>
                <w:lang w:val="ru-RU" w:eastAsia="ru-RU"/>
              </w:rPr>
              <w:t>43,18</w:t>
            </w:r>
          </w:p>
        </w:tc>
        <w:tc>
          <w:tcPr>
            <w:tcW w:w="772" w:type="dxa"/>
            <w:vAlign w:val="center"/>
          </w:tcPr>
          <w:p w:rsidR="00F32158" w:rsidRPr="00647C5F" w:rsidRDefault="00F32158" w:rsidP="00647C5F">
            <w:pPr>
              <w:spacing w:line="276" w:lineRule="auto"/>
              <w:jc w:val="center"/>
              <w:rPr>
                <w:rFonts w:eastAsia="Times New Roman"/>
                <w:sz w:val="24"/>
                <w:szCs w:val="24"/>
                <w:lang w:val="ru-RU" w:eastAsia="ru-RU"/>
              </w:rPr>
            </w:pPr>
            <w:r w:rsidRPr="00647C5F">
              <w:rPr>
                <w:rFonts w:eastAsia="Times New Roman"/>
                <w:sz w:val="24"/>
                <w:szCs w:val="24"/>
                <w:lang w:val="ru-RU" w:eastAsia="ru-RU"/>
              </w:rPr>
              <w:t>46,00</w:t>
            </w:r>
          </w:p>
        </w:tc>
        <w:tc>
          <w:tcPr>
            <w:tcW w:w="772" w:type="dxa"/>
          </w:tcPr>
          <w:p w:rsidR="00F32158" w:rsidRPr="00647C5F" w:rsidRDefault="00F32158" w:rsidP="00647C5F">
            <w:pPr>
              <w:spacing w:line="276" w:lineRule="auto"/>
              <w:jc w:val="center"/>
              <w:rPr>
                <w:rFonts w:eastAsia="Times New Roman"/>
                <w:color w:val="000000"/>
                <w:sz w:val="24"/>
                <w:szCs w:val="24"/>
                <w:lang w:val="ru-RU" w:eastAsia="ru-RU"/>
              </w:rPr>
            </w:pPr>
            <w:r w:rsidRPr="00647C5F">
              <w:rPr>
                <w:rFonts w:eastAsia="Times New Roman"/>
                <w:color w:val="000000"/>
                <w:sz w:val="24"/>
                <w:szCs w:val="24"/>
                <w:lang w:val="ru-RU" w:eastAsia="ru-RU"/>
              </w:rPr>
              <w:t>37,84</w:t>
            </w:r>
          </w:p>
        </w:tc>
        <w:tc>
          <w:tcPr>
            <w:tcW w:w="772" w:type="dxa"/>
          </w:tcPr>
          <w:p w:rsidR="00F32158" w:rsidRPr="00647C5F" w:rsidRDefault="00F32158" w:rsidP="00647C5F">
            <w:pPr>
              <w:spacing w:line="276" w:lineRule="auto"/>
              <w:jc w:val="center"/>
              <w:rPr>
                <w:rFonts w:eastAsia="Times New Roman"/>
                <w:color w:val="000000"/>
                <w:sz w:val="24"/>
                <w:szCs w:val="24"/>
                <w:lang w:val="ru-RU" w:eastAsia="ru-RU"/>
              </w:rPr>
            </w:pPr>
            <w:r w:rsidRPr="00647C5F">
              <w:rPr>
                <w:rFonts w:eastAsia="Times New Roman"/>
                <w:color w:val="000000"/>
                <w:sz w:val="24"/>
                <w:szCs w:val="24"/>
                <w:lang w:val="ru-RU" w:eastAsia="ru-RU"/>
              </w:rPr>
              <w:t>34,38</w:t>
            </w:r>
          </w:p>
        </w:tc>
        <w:tc>
          <w:tcPr>
            <w:tcW w:w="772" w:type="dxa"/>
          </w:tcPr>
          <w:p w:rsidR="00F32158" w:rsidRPr="00647C5F" w:rsidRDefault="00F32158" w:rsidP="00647C5F">
            <w:pPr>
              <w:spacing w:line="276" w:lineRule="auto"/>
              <w:jc w:val="center"/>
              <w:rPr>
                <w:rFonts w:eastAsia="Times New Roman"/>
                <w:color w:val="000000"/>
                <w:sz w:val="24"/>
                <w:szCs w:val="24"/>
                <w:lang w:val="ru-RU" w:eastAsia="ru-RU"/>
              </w:rPr>
            </w:pPr>
            <w:r w:rsidRPr="00647C5F">
              <w:rPr>
                <w:rFonts w:eastAsia="Times New Roman"/>
                <w:color w:val="000000"/>
                <w:sz w:val="24"/>
                <w:szCs w:val="24"/>
                <w:lang w:val="ru-RU" w:eastAsia="ru-RU"/>
              </w:rPr>
              <w:t>53,49</w:t>
            </w:r>
          </w:p>
        </w:tc>
        <w:tc>
          <w:tcPr>
            <w:tcW w:w="772" w:type="dxa"/>
          </w:tcPr>
          <w:p w:rsidR="00F32158" w:rsidRPr="00647C5F" w:rsidRDefault="00F32158" w:rsidP="00647C5F">
            <w:pPr>
              <w:spacing w:line="276" w:lineRule="auto"/>
              <w:jc w:val="center"/>
              <w:rPr>
                <w:rFonts w:eastAsia="Times New Roman"/>
                <w:color w:val="000000"/>
                <w:sz w:val="24"/>
                <w:szCs w:val="24"/>
                <w:lang w:val="ru-RU" w:eastAsia="ru-RU"/>
              </w:rPr>
            </w:pPr>
            <w:r w:rsidRPr="00647C5F">
              <w:rPr>
                <w:rFonts w:eastAsia="Times New Roman"/>
                <w:color w:val="000000"/>
                <w:sz w:val="24"/>
                <w:szCs w:val="24"/>
                <w:lang w:val="ru-RU" w:eastAsia="ru-RU"/>
              </w:rPr>
              <w:t>40,48</w:t>
            </w:r>
          </w:p>
        </w:tc>
        <w:tc>
          <w:tcPr>
            <w:tcW w:w="975" w:type="dxa"/>
          </w:tcPr>
          <w:p w:rsidR="00F32158" w:rsidRPr="00647C5F" w:rsidRDefault="00F32158" w:rsidP="00647C5F">
            <w:pPr>
              <w:spacing w:line="276" w:lineRule="auto"/>
              <w:jc w:val="center"/>
              <w:rPr>
                <w:rFonts w:eastAsia="Times New Roman"/>
                <w:color w:val="000000"/>
                <w:sz w:val="24"/>
                <w:szCs w:val="24"/>
                <w:lang w:val="ru-RU" w:eastAsia="ru-RU"/>
              </w:rPr>
            </w:pPr>
            <w:r w:rsidRPr="00647C5F">
              <w:rPr>
                <w:rFonts w:eastAsia="Times New Roman"/>
                <w:color w:val="000000"/>
                <w:sz w:val="24"/>
                <w:szCs w:val="24"/>
                <w:lang w:val="ru-RU" w:eastAsia="ru-RU"/>
              </w:rPr>
              <w:t>28,57</w:t>
            </w:r>
          </w:p>
        </w:tc>
        <w:tc>
          <w:tcPr>
            <w:tcW w:w="791" w:type="dxa"/>
          </w:tcPr>
          <w:p w:rsidR="00F32158" w:rsidRPr="00647C5F" w:rsidRDefault="00F32158" w:rsidP="00647C5F">
            <w:pPr>
              <w:spacing w:line="276" w:lineRule="auto"/>
              <w:jc w:val="center"/>
              <w:rPr>
                <w:rFonts w:eastAsia="Times New Roman"/>
                <w:color w:val="000000"/>
                <w:sz w:val="24"/>
                <w:szCs w:val="24"/>
                <w:lang w:eastAsia="ru-RU"/>
              </w:rPr>
            </w:pPr>
            <w:r w:rsidRPr="00647C5F">
              <w:rPr>
                <w:rFonts w:eastAsia="Times New Roman"/>
                <w:color w:val="000000"/>
                <w:sz w:val="24"/>
                <w:szCs w:val="24"/>
                <w:lang w:eastAsia="ru-RU"/>
              </w:rPr>
              <w:t>38,46</w:t>
            </w:r>
          </w:p>
        </w:tc>
      </w:tr>
      <w:tr w:rsidR="00F32158" w:rsidRPr="00647C5F" w:rsidTr="00BF1F99">
        <w:trPr>
          <w:jc w:val="center"/>
        </w:trPr>
        <w:tc>
          <w:tcPr>
            <w:tcW w:w="1995" w:type="dxa"/>
            <w:vAlign w:val="center"/>
          </w:tcPr>
          <w:p w:rsidR="00F32158" w:rsidRPr="00647C5F" w:rsidRDefault="00F32158" w:rsidP="00647C5F">
            <w:pPr>
              <w:spacing w:line="276" w:lineRule="auto"/>
              <w:jc w:val="left"/>
              <w:rPr>
                <w:rFonts w:eastAsia="Times New Roman"/>
                <w:sz w:val="24"/>
                <w:szCs w:val="24"/>
                <w:lang w:eastAsia="ru-RU"/>
              </w:rPr>
            </w:pPr>
            <w:r w:rsidRPr="00647C5F">
              <w:rPr>
                <w:rFonts w:eastAsia="Times New Roman"/>
                <w:sz w:val="24"/>
                <w:szCs w:val="24"/>
                <w:lang w:eastAsia="ru-RU"/>
              </w:rPr>
              <w:t>Херсонська</w:t>
            </w:r>
          </w:p>
        </w:tc>
        <w:tc>
          <w:tcPr>
            <w:tcW w:w="772" w:type="dxa"/>
            <w:vAlign w:val="center"/>
          </w:tcPr>
          <w:p w:rsidR="00F32158" w:rsidRPr="00647C5F" w:rsidRDefault="00F32158" w:rsidP="00647C5F">
            <w:pPr>
              <w:spacing w:line="276" w:lineRule="auto"/>
              <w:jc w:val="center"/>
              <w:rPr>
                <w:rFonts w:eastAsia="Times New Roman"/>
                <w:sz w:val="24"/>
                <w:szCs w:val="24"/>
                <w:lang w:val="ru-RU" w:eastAsia="ru-RU"/>
              </w:rPr>
            </w:pPr>
            <w:r w:rsidRPr="00647C5F">
              <w:rPr>
                <w:rFonts w:eastAsia="Times New Roman"/>
                <w:sz w:val="24"/>
                <w:szCs w:val="24"/>
                <w:lang w:val="ru-RU" w:eastAsia="ru-RU"/>
              </w:rPr>
              <w:t>59,18</w:t>
            </w:r>
          </w:p>
        </w:tc>
        <w:tc>
          <w:tcPr>
            <w:tcW w:w="772" w:type="dxa"/>
            <w:vAlign w:val="center"/>
          </w:tcPr>
          <w:p w:rsidR="00F32158" w:rsidRPr="00647C5F" w:rsidRDefault="00F32158" w:rsidP="00647C5F">
            <w:pPr>
              <w:spacing w:line="276" w:lineRule="auto"/>
              <w:jc w:val="center"/>
              <w:rPr>
                <w:rFonts w:eastAsia="Times New Roman"/>
                <w:sz w:val="24"/>
                <w:szCs w:val="24"/>
                <w:lang w:val="ru-RU" w:eastAsia="ru-RU"/>
              </w:rPr>
            </w:pPr>
            <w:r w:rsidRPr="00647C5F">
              <w:rPr>
                <w:rFonts w:eastAsia="Times New Roman"/>
                <w:sz w:val="24"/>
                <w:szCs w:val="24"/>
                <w:lang w:val="ru-RU" w:eastAsia="ru-RU"/>
              </w:rPr>
              <w:t>67,86</w:t>
            </w:r>
          </w:p>
        </w:tc>
        <w:tc>
          <w:tcPr>
            <w:tcW w:w="772" w:type="dxa"/>
          </w:tcPr>
          <w:p w:rsidR="00F32158" w:rsidRPr="00647C5F" w:rsidRDefault="00F32158" w:rsidP="00647C5F">
            <w:pPr>
              <w:spacing w:line="276" w:lineRule="auto"/>
              <w:jc w:val="center"/>
              <w:rPr>
                <w:rFonts w:eastAsia="Times New Roman"/>
                <w:color w:val="000000"/>
                <w:sz w:val="24"/>
                <w:szCs w:val="24"/>
                <w:lang w:val="ru-RU" w:eastAsia="ru-RU"/>
              </w:rPr>
            </w:pPr>
            <w:r w:rsidRPr="00647C5F">
              <w:rPr>
                <w:rFonts w:eastAsia="Times New Roman"/>
                <w:color w:val="000000"/>
                <w:sz w:val="24"/>
                <w:szCs w:val="24"/>
                <w:lang w:val="ru-RU" w:eastAsia="ru-RU"/>
              </w:rPr>
              <w:t>50,00</w:t>
            </w:r>
          </w:p>
        </w:tc>
        <w:tc>
          <w:tcPr>
            <w:tcW w:w="772" w:type="dxa"/>
          </w:tcPr>
          <w:p w:rsidR="00F32158" w:rsidRPr="00647C5F" w:rsidRDefault="00F32158" w:rsidP="00647C5F">
            <w:pPr>
              <w:spacing w:line="276" w:lineRule="auto"/>
              <w:jc w:val="center"/>
              <w:rPr>
                <w:rFonts w:eastAsia="Times New Roman"/>
                <w:color w:val="000000"/>
                <w:sz w:val="24"/>
                <w:szCs w:val="24"/>
                <w:lang w:val="ru-RU" w:eastAsia="ru-RU"/>
              </w:rPr>
            </w:pPr>
            <w:r w:rsidRPr="00647C5F">
              <w:rPr>
                <w:rFonts w:eastAsia="Times New Roman"/>
                <w:color w:val="000000"/>
                <w:sz w:val="24"/>
                <w:szCs w:val="24"/>
                <w:lang w:val="ru-RU" w:eastAsia="ru-RU"/>
              </w:rPr>
              <w:t>68,75</w:t>
            </w:r>
          </w:p>
        </w:tc>
        <w:tc>
          <w:tcPr>
            <w:tcW w:w="772" w:type="dxa"/>
          </w:tcPr>
          <w:p w:rsidR="00F32158" w:rsidRPr="00647C5F" w:rsidRDefault="00F32158" w:rsidP="00647C5F">
            <w:pPr>
              <w:spacing w:line="276" w:lineRule="auto"/>
              <w:jc w:val="center"/>
              <w:rPr>
                <w:rFonts w:eastAsia="Times New Roman"/>
                <w:color w:val="000000"/>
                <w:sz w:val="24"/>
                <w:szCs w:val="24"/>
                <w:lang w:val="ru-RU" w:eastAsia="ru-RU"/>
              </w:rPr>
            </w:pPr>
            <w:r w:rsidRPr="00647C5F">
              <w:rPr>
                <w:rFonts w:eastAsia="Times New Roman"/>
                <w:color w:val="000000"/>
                <w:sz w:val="24"/>
                <w:szCs w:val="24"/>
                <w:lang w:val="ru-RU" w:eastAsia="ru-RU"/>
              </w:rPr>
              <w:t>52,00</w:t>
            </w:r>
          </w:p>
        </w:tc>
        <w:tc>
          <w:tcPr>
            <w:tcW w:w="772" w:type="dxa"/>
          </w:tcPr>
          <w:p w:rsidR="00F32158" w:rsidRPr="00647C5F" w:rsidRDefault="00F32158" w:rsidP="00647C5F">
            <w:pPr>
              <w:spacing w:line="276" w:lineRule="auto"/>
              <w:jc w:val="center"/>
              <w:rPr>
                <w:rFonts w:eastAsia="Times New Roman"/>
                <w:color w:val="000000"/>
                <w:sz w:val="24"/>
                <w:szCs w:val="24"/>
                <w:lang w:val="ru-RU" w:eastAsia="ru-RU"/>
              </w:rPr>
            </w:pPr>
            <w:r w:rsidRPr="00647C5F">
              <w:rPr>
                <w:rFonts w:eastAsia="Times New Roman"/>
                <w:color w:val="000000"/>
                <w:sz w:val="24"/>
                <w:szCs w:val="24"/>
                <w:lang w:val="ru-RU" w:eastAsia="ru-RU"/>
              </w:rPr>
              <w:t>37,50</w:t>
            </w:r>
          </w:p>
        </w:tc>
        <w:tc>
          <w:tcPr>
            <w:tcW w:w="975" w:type="dxa"/>
          </w:tcPr>
          <w:p w:rsidR="00F32158" w:rsidRPr="00647C5F" w:rsidRDefault="00F32158" w:rsidP="00647C5F">
            <w:pPr>
              <w:spacing w:line="276" w:lineRule="auto"/>
              <w:jc w:val="center"/>
              <w:rPr>
                <w:rFonts w:eastAsia="Times New Roman"/>
                <w:color w:val="000000"/>
                <w:sz w:val="24"/>
                <w:szCs w:val="24"/>
                <w:lang w:val="ru-RU" w:eastAsia="ru-RU"/>
              </w:rPr>
            </w:pPr>
            <w:r w:rsidRPr="00647C5F">
              <w:rPr>
                <w:rFonts w:eastAsia="Times New Roman"/>
                <w:color w:val="000000"/>
                <w:sz w:val="24"/>
                <w:szCs w:val="24"/>
                <w:lang w:val="ru-RU" w:eastAsia="ru-RU"/>
              </w:rPr>
              <w:t>70,00</w:t>
            </w:r>
          </w:p>
        </w:tc>
        <w:tc>
          <w:tcPr>
            <w:tcW w:w="791" w:type="dxa"/>
          </w:tcPr>
          <w:p w:rsidR="00F32158" w:rsidRPr="00647C5F" w:rsidRDefault="00F32158" w:rsidP="00647C5F">
            <w:pPr>
              <w:spacing w:line="276" w:lineRule="auto"/>
              <w:jc w:val="center"/>
              <w:rPr>
                <w:rFonts w:eastAsia="Times New Roman"/>
                <w:color w:val="000000"/>
                <w:sz w:val="24"/>
                <w:szCs w:val="24"/>
                <w:lang w:eastAsia="ru-RU"/>
              </w:rPr>
            </w:pPr>
            <w:r w:rsidRPr="00647C5F">
              <w:rPr>
                <w:rFonts w:eastAsia="Times New Roman"/>
                <w:color w:val="000000"/>
                <w:sz w:val="24"/>
                <w:szCs w:val="24"/>
                <w:lang w:eastAsia="ru-RU"/>
              </w:rPr>
              <w:t>42,11</w:t>
            </w:r>
          </w:p>
        </w:tc>
      </w:tr>
      <w:tr w:rsidR="00F32158" w:rsidRPr="00647C5F" w:rsidTr="00BF1F99">
        <w:trPr>
          <w:jc w:val="center"/>
        </w:trPr>
        <w:tc>
          <w:tcPr>
            <w:tcW w:w="1995" w:type="dxa"/>
            <w:vAlign w:val="center"/>
          </w:tcPr>
          <w:p w:rsidR="00F32158" w:rsidRPr="00647C5F" w:rsidRDefault="00F32158" w:rsidP="00647C5F">
            <w:pPr>
              <w:spacing w:line="276" w:lineRule="auto"/>
              <w:jc w:val="left"/>
              <w:rPr>
                <w:rFonts w:eastAsia="Times New Roman"/>
                <w:sz w:val="24"/>
                <w:szCs w:val="24"/>
                <w:lang w:eastAsia="ru-RU"/>
              </w:rPr>
            </w:pPr>
            <w:r w:rsidRPr="00647C5F">
              <w:rPr>
                <w:rFonts w:eastAsia="Times New Roman"/>
                <w:sz w:val="24"/>
                <w:szCs w:val="24"/>
                <w:lang w:eastAsia="ru-RU"/>
              </w:rPr>
              <w:t>Хмельницька</w:t>
            </w:r>
          </w:p>
        </w:tc>
        <w:tc>
          <w:tcPr>
            <w:tcW w:w="772" w:type="dxa"/>
            <w:vAlign w:val="center"/>
          </w:tcPr>
          <w:p w:rsidR="00F32158" w:rsidRPr="00647C5F" w:rsidRDefault="00F32158" w:rsidP="00647C5F">
            <w:pPr>
              <w:spacing w:line="276" w:lineRule="auto"/>
              <w:jc w:val="center"/>
              <w:rPr>
                <w:rFonts w:eastAsia="Times New Roman"/>
                <w:sz w:val="24"/>
                <w:szCs w:val="24"/>
                <w:lang w:val="ru-RU" w:eastAsia="ru-RU"/>
              </w:rPr>
            </w:pPr>
            <w:r w:rsidRPr="00647C5F">
              <w:rPr>
                <w:rFonts w:eastAsia="Times New Roman"/>
                <w:sz w:val="24"/>
                <w:szCs w:val="24"/>
                <w:lang w:val="ru-RU" w:eastAsia="ru-RU"/>
              </w:rPr>
              <w:t>29,03</w:t>
            </w:r>
          </w:p>
        </w:tc>
        <w:tc>
          <w:tcPr>
            <w:tcW w:w="772" w:type="dxa"/>
            <w:vAlign w:val="center"/>
          </w:tcPr>
          <w:p w:rsidR="00F32158" w:rsidRPr="00647C5F" w:rsidRDefault="00F32158" w:rsidP="00647C5F">
            <w:pPr>
              <w:spacing w:line="276" w:lineRule="auto"/>
              <w:jc w:val="center"/>
              <w:rPr>
                <w:rFonts w:eastAsia="Times New Roman"/>
                <w:sz w:val="24"/>
                <w:szCs w:val="24"/>
                <w:lang w:val="ru-RU" w:eastAsia="ru-RU"/>
              </w:rPr>
            </w:pPr>
            <w:r w:rsidRPr="00647C5F">
              <w:rPr>
                <w:rFonts w:eastAsia="Times New Roman"/>
                <w:sz w:val="24"/>
                <w:szCs w:val="24"/>
                <w:lang w:val="ru-RU" w:eastAsia="ru-RU"/>
              </w:rPr>
              <w:t>47,06</w:t>
            </w:r>
          </w:p>
        </w:tc>
        <w:tc>
          <w:tcPr>
            <w:tcW w:w="772" w:type="dxa"/>
          </w:tcPr>
          <w:p w:rsidR="00F32158" w:rsidRPr="00647C5F" w:rsidRDefault="00F32158" w:rsidP="00647C5F">
            <w:pPr>
              <w:spacing w:line="276" w:lineRule="auto"/>
              <w:jc w:val="center"/>
              <w:rPr>
                <w:rFonts w:eastAsia="Times New Roman"/>
                <w:color w:val="000000"/>
                <w:sz w:val="24"/>
                <w:szCs w:val="24"/>
                <w:lang w:val="ru-RU" w:eastAsia="ru-RU"/>
              </w:rPr>
            </w:pPr>
            <w:r w:rsidRPr="00647C5F">
              <w:rPr>
                <w:rFonts w:eastAsia="Times New Roman"/>
                <w:color w:val="000000"/>
                <w:sz w:val="24"/>
                <w:szCs w:val="24"/>
                <w:lang w:val="ru-RU" w:eastAsia="ru-RU"/>
              </w:rPr>
              <w:t>44,83</w:t>
            </w:r>
          </w:p>
        </w:tc>
        <w:tc>
          <w:tcPr>
            <w:tcW w:w="772" w:type="dxa"/>
          </w:tcPr>
          <w:p w:rsidR="00F32158" w:rsidRPr="00647C5F" w:rsidRDefault="00F32158" w:rsidP="00647C5F">
            <w:pPr>
              <w:spacing w:line="276" w:lineRule="auto"/>
              <w:jc w:val="center"/>
              <w:rPr>
                <w:rFonts w:eastAsia="Times New Roman"/>
                <w:color w:val="000000"/>
                <w:sz w:val="24"/>
                <w:szCs w:val="24"/>
                <w:lang w:val="ru-RU" w:eastAsia="ru-RU"/>
              </w:rPr>
            </w:pPr>
            <w:r w:rsidRPr="00647C5F">
              <w:rPr>
                <w:rFonts w:eastAsia="Times New Roman"/>
                <w:color w:val="000000"/>
                <w:sz w:val="24"/>
                <w:szCs w:val="24"/>
                <w:lang w:val="ru-RU" w:eastAsia="ru-RU"/>
              </w:rPr>
              <w:t>37,78</w:t>
            </w:r>
          </w:p>
        </w:tc>
        <w:tc>
          <w:tcPr>
            <w:tcW w:w="772" w:type="dxa"/>
          </w:tcPr>
          <w:p w:rsidR="00F32158" w:rsidRPr="00647C5F" w:rsidRDefault="00F32158" w:rsidP="00647C5F">
            <w:pPr>
              <w:spacing w:line="276" w:lineRule="auto"/>
              <w:jc w:val="center"/>
              <w:rPr>
                <w:rFonts w:eastAsia="Times New Roman"/>
                <w:color w:val="000000"/>
                <w:sz w:val="24"/>
                <w:szCs w:val="24"/>
                <w:lang w:val="ru-RU" w:eastAsia="ru-RU"/>
              </w:rPr>
            </w:pPr>
            <w:r w:rsidRPr="00647C5F">
              <w:rPr>
                <w:rFonts w:eastAsia="Times New Roman"/>
                <w:color w:val="000000"/>
                <w:sz w:val="24"/>
                <w:szCs w:val="24"/>
                <w:lang w:val="ru-RU" w:eastAsia="ru-RU"/>
              </w:rPr>
              <w:t>44,83</w:t>
            </w:r>
          </w:p>
        </w:tc>
        <w:tc>
          <w:tcPr>
            <w:tcW w:w="772" w:type="dxa"/>
          </w:tcPr>
          <w:p w:rsidR="00F32158" w:rsidRPr="00647C5F" w:rsidRDefault="00F32158" w:rsidP="00647C5F">
            <w:pPr>
              <w:spacing w:line="276" w:lineRule="auto"/>
              <w:jc w:val="center"/>
              <w:rPr>
                <w:rFonts w:eastAsia="Times New Roman"/>
                <w:color w:val="000000"/>
                <w:sz w:val="24"/>
                <w:szCs w:val="24"/>
                <w:lang w:val="ru-RU" w:eastAsia="ru-RU"/>
              </w:rPr>
            </w:pPr>
            <w:r w:rsidRPr="00647C5F">
              <w:rPr>
                <w:rFonts w:eastAsia="Times New Roman"/>
                <w:color w:val="000000"/>
                <w:sz w:val="24"/>
                <w:szCs w:val="24"/>
                <w:lang w:val="ru-RU" w:eastAsia="ru-RU"/>
              </w:rPr>
              <w:t>24,14</w:t>
            </w:r>
          </w:p>
        </w:tc>
        <w:tc>
          <w:tcPr>
            <w:tcW w:w="975" w:type="dxa"/>
          </w:tcPr>
          <w:p w:rsidR="00F32158" w:rsidRPr="00647C5F" w:rsidRDefault="00F32158" w:rsidP="00647C5F">
            <w:pPr>
              <w:spacing w:line="276" w:lineRule="auto"/>
              <w:jc w:val="center"/>
              <w:rPr>
                <w:rFonts w:eastAsia="Times New Roman"/>
                <w:color w:val="000000"/>
                <w:sz w:val="24"/>
                <w:szCs w:val="24"/>
                <w:lang w:val="ru-RU" w:eastAsia="ru-RU"/>
              </w:rPr>
            </w:pPr>
            <w:r w:rsidRPr="00647C5F">
              <w:rPr>
                <w:rFonts w:eastAsia="Times New Roman"/>
                <w:color w:val="000000"/>
                <w:sz w:val="24"/>
                <w:szCs w:val="24"/>
                <w:lang w:val="ru-RU" w:eastAsia="ru-RU"/>
              </w:rPr>
              <w:t>41,94</w:t>
            </w:r>
          </w:p>
        </w:tc>
        <w:tc>
          <w:tcPr>
            <w:tcW w:w="791" w:type="dxa"/>
          </w:tcPr>
          <w:p w:rsidR="00F32158" w:rsidRPr="00647C5F" w:rsidRDefault="00F32158" w:rsidP="00647C5F">
            <w:pPr>
              <w:spacing w:line="276" w:lineRule="auto"/>
              <w:jc w:val="center"/>
              <w:rPr>
                <w:rFonts w:eastAsia="Times New Roman"/>
                <w:color w:val="000000"/>
                <w:sz w:val="24"/>
                <w:szCs w:val="24"/>
                <w:lang w:eastAsia="ru-RU"/>
              </w:rPr>
            </w:pPr>
            <w:r w:rsidRPr="00647C5F">
              <w:rPr>
                <w:rFonts w:eastAsia="Times New Roman"/>
                <w:color w:val="000000"/>
                <w:sz w:val="24"/>
                <w:szCs w:val="24"/>
                <w:lang w:eastAsia="ru-RU"/>
              </w:rPr>
              <w:t>27,78</w:t>
            </w:r>
          </w:p>
        </w:tc>
      </w:tr>
      <w:tr w:rsidR="00F32158" w:rsidRPr="00647C5F" w:rsidTr="00BF1F99">
        <w:trPr>
          <w:jc w:val="center"/>
        </w:trPr>
        <w:tc>
          <w:tcPr>
            <w:tcW w:w="1995" w:type="dxa"/>
            <w:vAlign w:val="center"/>
          </w:tcPr>
          <w:p w:rsidR="00F32158" w:rsidRPr="00647C5F" w:rsidRDefault="00F32158" w:rsidP="00647C5F">
            <w:pPr>
              <w:spacing w:line="276" w:lineRule="auto"/>
              <w:jc w:val="left"/>
              <w:rPr>
                <w:rFonts w:eastAsia="Times New Roman"/>
                <w:sz w:val="24"/>
                <w:szCs w:val="24"/>
                <w:lang w:eastAsia="ru-RU"/>
              </w:rPr>
            </w:pPr>
            <w:r w:rsidRPr="00647C5F">
              <w:rPr>
                <w:rFonts w:eastAsia="Times New Roman"/>
                <w:sz w:val="24"/>
                <w:szCs w:val="24"/>
                <w:lang w:eastAsia="ru-RU"/>
              </w:rPr>
              <w:t>Черкаська</w:t>
            </w:r>
          </w:p>
        </w:tc>
        <w:tc>
          <w:tcPr>
            <w:tcW w:w="772" w:type="dxa"/>
            <w:vAlign w:val="center"/>
          </w:tcPr>
          <w:p w:rsidR="00F32158" w:rsidRPr="00647C5F" w:rsidRDefault="00F32158" w:rsidP="00647C5F">
            <w:pPr>
              <w:spacing w:line="276" w:lineRule="auto"/>
              <w:jc w:val="center"/>
              <w:rPr>
                <w:rFonts w:eastAsia="Times New Roman"/>
                <w:sz w:val="24"/>
                <w:szCs w:val="24"/>
                <w:lang w:val="ru-RU" w:eastAsia="ru-RU"/>
              </w:rPr>
            </w:pPr>
            <w:r w:rsidRPr="00647C5F">
              <w:rPr>
                <w:rFonts w:eastAsia="Times New Roman"/>
                <w:sz w:val="24"/>
                <w:szCs w:val="24"/>
                <w:lang w:val="ru-RU" w:eastAsia="ru-RU"/>
              </w:rPr>
              <w:t>25,81</w:t>
            </w:r>
          </w:p>
        </w:tc>
        <w:tc>
          <w:tcPr>
            <w:tcW w:w="772" w:type="dxa"/>
            <w:vAlign w:val="center"/>
          </w:tcPr>
          <w:p w:rsidR="00F32158" w:rsidRPr="00647C5F" w:rsidRDefault="00F32158" w:rsidP="00647C5F">
            <w:pPr>
              <w:spacing w:line="276" w:lineRule="auto"/>
              <w:jc w:val="center"/>
              <w:rPr>
                <w:rFonts w:eastAsia="Times New Roman"/>
                <w:sz w:val="24"/>
                <w:szCs w:val="24"/>
                <w:lang w:val="ru-RU" w:eastAsia="ru-RU"/>
              </w:rPr>
            </w:pPr>
            <w:r w:rsidRPr="00647C5F">
              <w:rPr>
                <w:rFonts w:eastAsia="Times New Roman"/>
                <w:sz w:val="24"/>
                <w:szCs w:val="24"/>
                <w:lang w:val="ru-RU" w:eastAsia="ru-RU"/>
              </w:rPr>
              <w:t>36,00</w:t>
            </w:r>
          </w:p>
        </w:tc>
        <w:tc>
          <w:tcPr>
            <w:tcW w:w="772" w:type="dxa"/>
          </w:tcPr>
          <w:p w:rsidR="00F32158" w:rsidRPr="00647C5F" w:rsidRDefault="00F32158" w:rsidP="00647C5F">
            <w:pPr>
              <w:spacing w:line="276" w:lineRule="auto"/>
              <w:jc w:val="center"/>
              <w:rPr>
                <w:rFonts w:eastAsia="Times New Roman"/>
                <w:color w:val="000000"/>
                <w:sz w:val="24"/>
                <w:szCs w:val="24"/>
                <w:lang w:val="ru-RU" w:eastAsia="ru-RU"/>
              </w:rPr>
            </w:pPr>
            <w:r w:rsidRPr="00647C5F">
              <w:rPr>
                <w:rFonts w:eastAsia="Times New Roman"/>
                <w:color w:val="000000"/>
                <w:sz w:val="24"/>
                <w:szCs w:val="24"/>
                <w:lang w:val="ru-RU" w:eastAsia="ru-RU"/>
              </w:rPr>
              <w:t>41,38</w:t>
            </w:r>
          </w:p>
        </w:tc>
        <w:tc>
          <w:tcPr>
            <w:tcW w:w="772" w:type="dxa"/>
          </w:tcPr>
          <w:p w:rsidR="00F32158" w:rsidRPr="00647C5F" w:rsidRDefault="00F32158" w:rsidP="00647C5F">
            <w:pPr>
              <w:spacing w:line="276" w:lineRule="auto"/>
              <w:jc w:val="center"/>
              <w:rPr>
                <w:rFonts w:eastAsia="Times New Roman"/>
                <w:color w:val="000000"/>
                <w:sz w:val="24"/>
                <w:szCs w:val="24"/>
                <w:lang w:val="ru-RU" w:eastAsia="ru-RU"/>
              </w:rPr>
            </w:pPr>
            <w:r w:rsidRPr="00647C5F">
              <w:rPr>
                <w:rFonts w:eastAsia="Times New Roman"/>
                <w:color w:val="000000"/>
                <w:sz w:val="24"/>
                <w:szCs w:val="24"/>
                <w:lang w:val="ru-RU" w:eastAsia="ru-RU"/>
              </w:rPr>
              <w:t>41,67</w:t>
            </w:r>
          </w:p>
        </w:tc>
        <w:tc>
          <w:tcPr>
            <w:tcW w:w="772" w:type="dxa"/>
          </w:tcPr>
          <w:p w:rsidR="00F32158" w:rsidRPr="00647C5F" w:rsidRDefault="00F32158" w:rsidP="00647C5F">
            <w:pPr>
              <w:spacing w:line="276" w:lineRule="auto"/>
              <w:jc w:val="center"/>
              <w:rPr>
                <w:rFonts w:eastAsia="Times New Roman"/>
                <w:color w:val="000000"/>
                <w:sz w:val="24"/>
                <w:szCs w:val="24"/>
                <w:lang w:val="ru-RU" w:eastAsia="ru-RU"/>
              </w:rPr>
            </w:pPr>
            <w:r w:rsidRPr="00647C5F">
              <w:rPr>
                <w:rFonts w:eastAsia="Times New Roman"/>
                <w:color w:val="000000"/>
                <w:sz w:val="24"/>
                <w:szCs w:val="24"/>
                <w:lang w:val="ru-RU" w:eastAsia="ru-RU"/>
              </w:rPr>
              <w:t>33,33</w:t>
            </w:r>
          </w:p>
        </w:tc>
        <w:tc>
          <w:tcPr>
            <w:tcW w:w="772" w:type="dxa"/>
          </w:tcPr>
          <w:p w:rsidR="00F32158" w:rsidRPr="00647C5F" w:rsidRDefault="00F32158" w:rsidP="00647C5F">
            <w:pPr>
              <w:spacing w:line="276" w:lineRule="auto"/>
              <w:jc w:val="center"/>
              <w:rPr>
                <w:rFonts w:eastAsia="Times New Roman"/>
                <w:color w:val="000000"/>
                <w:sz w:val="24"/>
                <w:szCs w:val="24"/>
                <w:lang w:val="ru-RU" w:eastAsia="ru-RU"/>
              </w:rPr>
            </w:pPr>
            <w:r w:rsidRPr="00647C5F">
              <w:rPr>
                <w:rFonts w:eastAsia="Times New Roman"/>
                <w:color w:val="000000"/>
                <w:sz w:val="24"/>
                <w:szCs w:val="24"/>
                <w:lang w:val="ru-RU" w:eastAsia="ru-RU"/>
              </w:rPr>
              <w:t>56,25</w:t>
            </w:r>
          </w:p>
        </w:tc>
        <w:tc>
          <w:tcPr>
            <w:tcW w:w="975" w:type="dxa"/>
          </w:tcPr>
          <w:p w:rsidR="00F32158" w:rsidRPr="00647C5F" w:rsidRDefault="00F32158" w:rsidP="00647C5F">
            <w:pPr>
              <w:spacing w:line="276" w:lineRule="auto"/>
              <w:jc w:val="center"/>
              <w:rPr>
                <w:rFonts w:eastAsia="Times New Roman"/>
                <w:color w:val="000000"/>
                <w:sz w:val="24"/>
                <w:szCs w:val="24"/>
                <w:lang w:val="ru-RU" w:eastAsia="ru-RU"/>
              </w:rPr>
            </w:pPr>
            <w:r w:rsidRPr="00647C5F">
              <w:rPr>
                <w:rFonts w:eastAsia="Times New Roman"/>
                <w:color w:val="000000"/>
                <w:sz w:val="24"/>
                <w:szCs w:val="24"/>
                <w:lang w:val="ru-RU" w:eastAsia="ru-RU"/>
              </w:rPr>
              <w:t>41,18</w:t>
            </w:r>
          </w:p>
        </w:tc>
        <w:tc>
          <w:tcPr>
            <w:tcW w:w="791" w:type="dxa"/>
          </w:tcPr>
          <w:p w:rsidR="00F32158" w:rsidRPr="00647C5F" w:rsidRDefault="00F32158" w:rsidP="00647C5F">
            <w:pPr>
              <w:spacing w:line="276" w:lineRule="auto"/>
              <w:jc w:val="center"/>
              <w:rPr>
                <w:rFonts w:eastAsia="Times New Roman"/>
                <w:color w:val="000000"/>
                <w:sz w:val="24"/>
                <w:szCs w:val="24"/>
                <w:lang w:eastAsia="ru-RU"/>
              </w:rPr>
            </w:pPr>
            <w:r w:rsidRPr="00647C5F">
              <w:rPr>
                <w:rFonts w:eastAsia="Times New Roman"/>
                <w:color w:val="000000"/>
                <w:sz w:val="24"/>
                <w:szCs w:val="24"/>
                <w:lang w:eastAsia="ru-RU"/>
              </w:rPr>
              <w:t>40,00</w:t>
            </w:r>
          </w:p>
        </w:tc>
      </w:tr>
      <w:tr w:rsidR="00F32158" w:rsidRPr="00647C5F" w:rsidTr="00BF1F99">
        <w:trPr>
          <w:jc w:val="center"/>
        </w:trPr>
        <w:tc>
          <w:tcPr>
            <w:tcW w:w="1995" w:type="dxa"/>
            <w:vAlign w:val="center"/>
          </w:tcPr>
          <w:p w:rsidR="00F32158" w:rsidRPr="00647C5F" w:rsidRDefault="00F32158" w:rsidP="00647C5F">
            <w:pPr>
              <w:spacing w:line="276" w:lineRule="auto"/>
              <w:jc w:val="left"/>
              <w:rPr>
                <w:rFonts w:eastAsia="Times New Roman"/>
                <w:sz w:val="24"/>
                <w:szCs w:val="24"/>
                <w:lang w:eastAsia="ru-RU"/>
              </w:rPr>
            </w:pPr>
            <w:r w:rsidRPr="00647C5F">
              <w:rPr>
                <w:rFonts w:eastAsia="Times New Roman"/>
                <w:sz w:val="24"/>
                <w:szCs w:val="24"/>
                <w:lang w:eastAsia="ru-RU"/>
              </w:rPr>
              <w:t>Чернівецька</w:t>
            </w:r>
          </w:p>
        </w:tc>
        <w:tc>
          <w:tcPr>
            <w:tcW w:w="772" w:type="dxa"/>
            <w:vAlign w:val="center"/>
          </w:tcPr>
          <w:p w:rsidR="00F32158" w:rsidRPr="00647C5F" w:rsidRDefault="00F32158" w:rsidP="00647C5F">
            <w:pPr>
              <w:spacing w:line="276" w:lineRule="auto"/>
              <w:jc w:val="center"/>
              <w:rPr>
                <w:rFonts w:eastAsia="Times New Roman"/>
                <w:sz w:val="24"/>
                <w:szCs w:val="24"/>
                <w:lang w:val="ru-RU" w:eastAsia="ru-RU"/>
              </w:rPr>
            </w:pPr>
            <w:r w:rsidRPr="00647C5F">
              <w:rPr>
                <w:rFonts w:eastAsia="Times New Roman"/>
                <w:sz w:val="24"/>
                <w:szCs w:val="24"/>
                <w:lang w:val="ru-RU" w:eastAsia="ru-RU"/>
              </w:rPr>
              <w:t>58,06</w:t>
            </w:r>
          </w:p>
        </w:tc>
        <w:tc>
          <w:tcPr>
            <w:tcW w:w="772" w:type="dxa"/>
            <w:vAlign w:val="center"/>
          </w:tcPr>
          <w:p w:rsidR="00F32158" w:rsidRPr="00647C5F" w:rsidRDefault="00F32158" w:rsidP="00647C5F">
            <w:pPr>
              <w:spacing w:line="276" w:lineRule="auto"/>
              <w:jc w:val="center"/>
              <w:rPr>
                <w:rFonts w:eastAsia="Times New Roman"/>
                <w:sz w:val="24"/>
                <w:szCs w:val="24"/>
                <w:lang w:val="ru-RU" w:eastAsia="ru-RU"/>
              </w:rPr>
            </w:pPr>
            <w:r w:rsidRPr="00647C5F">
              <w:rPr>
                <w:rFonts w:eastAsia="Times New Roman"/>
                <w:sz w:val="24"/>
                <w:szCs w:val="24"/>
                <w:lang w:val="ru-RU" w:eastAsia="ru-RU"/>
              </w:rPr>
              <w:t>42,86</w:t>
            </w:r>
          </w:p>
        </w:tc>
        <w:tc>
          <w:tcPr>
            <w:tcW w:w="772" w:type="dxa"/>
          </w:tcPr>
          <w:p w:rsidR="00F32158" w:rsidRPr="00647C5F" w:rsidRDefault="00F32158" w:rsidP="00647C5F">
            <w:pPr>
              <w:spacing w:line="276" w:lineRule="auto"/>
              <w:jc w:val="center"/>
              <w:rPr>
                <w:rFonts w:eastAsia="Times New Roman"/>
                <w:color w:val="000000"/>
                <w:sz w:val="24"/>
                <w:szCs w:val="24"/>
                <w:lang w:val="ru-RU" w:eastAsia="ru-RU"/>
              </w:rPr>
            </w:pPr>
            <w:r w:rsidRPr="00647C5F">
              <w:rPr>
                <w:rFonts w:eastAsia="Times New Roman"/>
                <w:color w:val="000000"/>
                <w:sz w:val="24"/>
                <w:szCs w:val="24"/>
                <w:lang w:val="ru-RU" w:eastAsia="ru-RU"/>
              </w:rPr>
              <w:t>36,00</w:t>
            </w:r>
          </w:p>
        </w:tc>
        <w:tc>
          <w:tcPr>
            <w:tcW w:w="772" w:type="dxa"/>
          </w:tcPr>
          <w:p w:rsidR="00F32158" w:rsidRPr="00647C5F" w:rsidRDefault="00F32158" w:rsidP="00647C5F">
            <w:pPr>
              <w:spacing w:line="276" w:lineRule="auto"/>
              <w:jc w:val="center"/>
              <w:rPr>
                <w:rFonts w:eastAsia="Times New Roman"/>
                <w:color w:val="000000"/>
                <w:sz w:val="24"/>
                <w:szCs w:val="24"/>
                <w:lang w:val="ru-RU" w:eastAsia="ru-RU"/>
              </w:rPr>
            </w:pPr>
            <w:r w:rsidRPr="00647C5F">
              <w:rPr>
                <w:rFonts w:eastAsia="Times New Roman"/>
                <w:color w:val="000000"/>
                <w:sz w:val="24"/>
                <w:szCs w:val="24"/>
                <w:lang w:val="ru-RU" w:eastAsia="ru-RU"/>
              </w:rPr>
              <w:t>44,00</w:t>
            </w:r>
          </w:p>
        </w:tc>
        <w:tc>
          <w:tcPr>
            <w:tcW w:w="772" w:type="dxa"/>
          </w:tcPr>
          <w:p w:rsidR="00F32158" w:rsidRPr="00647C5F" w:rsidRDefault="00F32158" w:rsidP="00647C5F">
            <w:pPr>
              <w:spacing w:line="276" w:lineRule="auto"/>
              <w:jc w:val="center"/>
              <w:rPr>
                <w:rFonts w:eastAsia="Times New Roman"/>
                <w:color w:val="000000"/>
                <w:sz w:val="24"/>
                <w:szCs w:val="24"/>
                <w:lang w:val="ru-RU" w:eastAsia="ru-RU"/>
              </w:rPr>
            </w:pPr>
            <w:r w:rsidRPr="00647C5F">
              <w:rPr>
                <w:rFonts w:eastAsia="Times New Roman"/>
                <w:color w:val="000000"/>
                <w:sz w:val="24"/>
                <w:szCs w:val="24"/>
                <w:lang w:val="ru-RU" w:eastAsia="ru-RU"/>
              </w:rPr>
              <w:t>54,29</w:t>
            </w:r>
          </w:p>
        </w:tc>
        <w:tc>
          <w:tcPr>
            <w:tcW w:w="772" w:type="dxa"/>
          </w:tcPr>
          <w:p w:rsidR="00F32158" w:rsidRPr="00647C5F" w:rsidRDefault="00F32158" w:rsidP="00647C5F">
            <w:pPr>
              <w:spacing w:line="276" w:lineRule="auto"/>
              <w:jc w:val="center"/>
              <w:rPr>
                <w:rFonts w:eastAsia="Times New Roman"/>
                <w:color w:val="000000"/>
                <w:sz w:val="24"/>
                <w:szCs w:val="24"/>
                <w:lang w:val="ru-RU" w:eastAsia="ru-RU"/>
              </w:rPr>
            </w:pPr>
            <w:r w:rsidRPr="00647C5F">
              <w:rPr>
                <w:rFonts w:eastAsia="Times New Roman"/>
                <w:color w:val="000000"/>
                <w:sz w:val="24"/>
                <w:szCs w:val="24"/>
                <w:lang w:val="ru-RU" w:eastAsia="ru-RU"/>
              </w:rPr>
              <w:t>66,67</w:t>
            </w:r>
          </w:p>
        </w:tc>
        <w:tc>
          <w:tcPr>
            <w:tcW w:w="975" w:type="dxa"/>
          </w:tcPr>
          <w:p w:rsidR="00F32158" w:rsidRPr="00647C5F" w:rsidRDefault="00F32158" w:rsidP="00647C5F">
            <w:pPr>
              <w:spacing w:line="276" w:lineRule="auto"/>
              <w:jc w:val="center"/>
              <w:rPr>
                <w:rFonts w:eastAsia="Times New Roman"/>
                <w:color w:val="000000"/>
                <w:sz w:val="24"/>
                <w:szCs w:val="24"/>
                <w:lang w:val="ru-RU" w:eastAsia="ru-RU"/>
              </w:rPr>
            </w:pPr>
            <w:r w:rsidRPr="00647C5F">
              <w:rPr>
                <w:rFonts w:eastAsia="Times New Roman"/>
                <w:color w:val="000000"/>
                <w:sz w:val="24"/>
                <w:szCs w:val="24"/>
                <w:lang w:val="ru-RU" w:eastAsia="ru-RU"/>
              </w:rPr>
              <w:t>47,37</w:t>
            </w:r>
          </w:p>
        </w:tc>
        <w:tc>
          <w:tcPr>
            <w:tcW w:w="791" w:type="dxa"/>
          </w:tcPr>
          <w:p w:rsidR="00F32158" w:rsidRPr="00647C5F" w:rsidRDefault="00F32158" w:rsidP="00647C5F">
            <w:pPr>
              <w:spacing w:line="276" w:lineRule="auto"/>
              <w:jc w:val="center"/>
              <w:rPr>
                <w:rFonts w:eastAsia="Times New Roman"/>
                <w:color w:val="000000"/>
                <w:sz w:val="24"/>
                <w:szCs w:val="24"/>
                <w:lang w:eastAsia="ru-RU"/>
              </w:rPr>
            </w:pPr>
            <w:r w:rsidRPr="00647C5F">
              <w:rPr>
                <w:rFonts w:eastAsia="Times New Roman"/>
                <w:color w:val="000000"/>
                <w:sz w:val="24"/>
                <w:szCs w:val="24"/>
                <w:lang w:eastAsia="ru-RU"/>
              </w:rPr>
              <w:t>57,90</w:t>
            </w:r>
          </w:p>
        </w:tc>
      </w:tr>
      <w:tr w:rsidR="00F32158" w:rsidRPr="00647C5F" w:rsidTr="00BF1F99">
        <w:trPr>
          <w:jc w:val="center"/>
        </w:trPr>
        <w:tc>
          <w:tcPr>
            <w:tcW w:w="1995" w:type="dxa"/>
            <w:vAlign w:val="center"/>
          </w:tcPr>
          <w:p w:rsidR="00F32158" w:rsidRPr="00647C5F" w:rsidRDefault="00F32158" w:rsidP="00647C5F">
            <w:pPr>
              <w:spacing w:line="276" w:lineRule="auto"/>
              <w:jc w:val="left"/>
              <w:rPr>
                <w:rFonts w:eastAsia="Times New Roman"/>
                <w:sz w:val="24"/>
                <w:szCs w:val="24"/>
                <w:lang w:eastAsia="ru-RU"/>
              </w:rPr>
            </w:pPr>
            <w:r w:rsidRPr="00647C5F">
              <w:rPr>
                <w:rFonts w:eastAsia="Times New Roman"/>
                <w:sz w:val="24"/>
                <w:szCs w:val="24"/>
                <w:lang w:eastAsia="ru-RU"/>
              </w:rPr>
              <w:t>Чернігівська</w:t>
            </w:r>
          </w:p>
        </w:tc>
        <w:tc>
          <w:tcPr>
            <w:tcW w:w="772" w:type="dxa"/>
            <w:vAlign w:val="center"/>
          </w:tcPr>
          <w:p w:rsidR="00F32158" w:rsidRPr="00647C5F" w:rsidRDefault="00F32158" w:rsidP="00647C5F">
            <w:pPr>
              <w:spacing w:line="276" w:lineRule="auto"/>
              <w:jc w:val="center"/>
              <w:rPr>
                <w:rFonts w:eastAsia="Times New Roman"/>
                <w:sz w:val="24"/>
                <w:szCs w:val="24"/>
                <w:lang w:val="ru-RU" w:eastAsia="ru-RU"/>
              </w:rPr>
            </w:pPr>
            <w:r w:rsidRPr="00647C5F">
              <w:rPr>
                <w:rFonts w:eastAsia="Times New Roman"/>
                <w:sz w:val="24"/>
                <w:szCs w:val="24"/>
                <w:lang w:val="ru-RU" w:eastAsia="ru-RU"/>
              </w:rPr>
              <w:t>53,57</w:t>
            </w:r>
          </w:p>
        </w:tc>
        <w:tc>
          <w:tcPr>
            <w:tcW w:w="772" w:type="dxa"/>
            <w:vAlign w:val="center"/>
          </w:tcPr>
          <w:p w:rsidR="00F32158" w:rsidRPr="00647C5F" w:rsidRDefault="00F32158" w:rsidP="00647C5F">
            <w:pPr>
              <w:spacing w:line="276" w:lineRule="auto"/>
              <w:jc w:val="center"/>
              <w:rPr>
                <w:rFonts w:eastAsia="Times New Roman"/>
                <w:sz w:val="24"/>
                <w:szCs w:val="24"/>
                <w:lang w:val="ru-RU" w:eastAsia="ru-RU"/>
              </w:rPr>
            </w:pPr>
            <w:r w:rsidRPr="00647C5F">
              <w:rPr>
                <w:rFonts w:eastAsia="Times New Roman"/>
                <w:sz w:val="24"/>
                <w:szCs w:val="24"/>
                <w:lang w:val="ru-RU" w:eastAsia="ru-RU"/>
              </w:rPr>
              <w:t>70,59</w:t>
            </w:r>
          </w:p>
        </w:tc>
        <w:tc>
          <w:tcPr>
            <w:tcW w:w="772" w:type="dxa"/>
          </w:tcPr>
          <w:p w:rsidR="00F32158" w:rsidRPr="00647C5F" w:rsidRDefault="00F32158" w:rsidP="00647C5F">
            <w:pPr>
              <w:spacing w:line="276" w:lineRule="auto"/>
              <w:jc w:val="center"/>
              <w:rPr>
                <w:rFonts w:eastAsia="Times New Roman"/>
                <w:color w:val="000000"/>
                <w:sz w:val="24"/>
                <w:szCs w:val="24"/>
                <w:lang w:val="ru-RU" w:eastAsia="ru-RU"/>
              </w:rPr>
            </w:pPr>
            <w:r w:rsidRPr="00647C5F">
              <w:rPr>
                <w:rFonts w:eastAsia="Times New Roman"/>
                <w:color w:val="000000"/>
                <w:sz w:val="24"/>
                <w:szCs w:val="24"/>
                <w:lang w:val="ru-RU" w:eastAsia="ru-RU"/>
              </w:rPr>
              <w:t>44,00</w:t>
            </w:r>
          </w:p>
        </w:tc>
        <w:tc>
          <w:tcPr>
            <w:tcW w:w="772" w:type="dxa"/>
          </w:tcPr>
          <w:p w:rsidR="00F32158" w:rsidRPr="00647C5F" w:rsidRDefault="00F32158" w:rsidP="00647C5F">
            <w:pPr>
              <w:spacing w:line="276" w:lineRule="auto"/>
              <w:jc w:val="center"/>
              <w:rPr>
                <w:rFonts w:eastAsia="Times New Roman"/>
                <w:color w:val="000000"/>
                <w:sz w:val="24"/>
                <w:szCs w:val="24"/>
                <w:lang w:val="ru-RU" w:eastAsia="ru-RU"/>
              </w:rPr>
            </w:pPr>
            <w:r w:rsidRPr="00647C5F">
              <w:rPr>
                <w:rFonts w:eastAsia="Times New Roman"/>
                <w:color w:val="000000"/>
                <w:sz w:val="24"/>
                <w:szCs w:val="24"/>
                <w:lang w:val="ru-RU" w:eastAsia="ru-RU"/>
              </w:rPr>
              <w:t>58,82</w:t>
            </w:r>
          </w:p>
        </w:tc>
        <w:tc>
          <w:tcPr>
            <w:tcW w:w="772" w:type="dxa"/>
          </w:tcPr>
          <w:p w:rsidR="00F32158" w:rsidRPr="00647C5F" w:rsidRDefault="00F32158" w:rsidP="00647C5F">
            <w:pPr>
              <w:spacing w:line="276" w:lineRule="auto"/>
              <w:jc w:val="center"/>
              <w:rPr>
                <w:rFonts w:eastAsia="Times New Roman"/>
                <w:color w:val="000000"/>
                <w:sz w:val="24"/>
                <w:szCs w:val="24"/>
                <w:lang w:val="ru-RU" w:eastAsia="ru-RU"/>
              </w:rPr>
            </w:pPr>
            <w:r w:rsidRPr="00647C5F">
              <w:rPr>
                <w:rFonts w:eastAsia="Times New Roman"/>
                <w:color w:val="000000"/>
                <w:sz w:val="24"/>
                <w:szCs w:val="24"/>
                <w:lang w:val="ru-RU" w:eastAsia="ru-RU"/>
              </w:rPr>
              <w:t>58,82</w:t>
            </w:r>
          </w:p>
        </w:tc>
        <w:tc>
          <w:tcPr>
            <w:tcW w:w="772" w:type="dxa"/>
          </w:tcPr>
          <w:p w:rsidR="00F32158" w:rsidRPr="00647C5F" w:rsidRDefault="00F32158" w:rsidP="00647C5F">
            <w:pPr>
              <w:spacing w:line="276" w:lineRule="auto"/>
              <w:jc w:val="center"/>
              <w:rPr>
                <w:rFonts w:eastAsia="Times New Roman"/>
                <w:color w:val="000000"/>
                <w:sz w:val="24"/>
                <w:szCs w:val="24"/>
                <w:lang w:val="ru-RU" w:eastAsia="ru-RU"/>
              </w:rPr>
            </w:pPr>
            <w:r w:rsidRPr="00647C5F">
              <w:rPr>
                <w:rFonts w:eastAsia="Times New Roman"/>
                <w:color w:val="000000"/>
                <w:sz w:val="24"/>
                <w:szCs w:val="24"/>
                <w:lang w:val="ru-RU" w:eastAsia="ru-RU"/>
              </w:rPr>
              <w:t>35,71</w:t>
            </w:r>
          </w:p>
        </w:tc>
        <w:tc>
          <w:tcPr>
            <w:tcW w:w="975" w:type="dxa"/>
          </w:tcPr>
          <w:p w:rsidR="00F32158" w:rsidRPr="00647C5F" w:rsidRDefault="00F32158" w:rsidP="00647C5F">
            <w:pPr>
              <w:spacing w:line="276" w:lineRule="auto"/>
              <w:jc w:val="center"/>
              <w:rPr>
                <w:rFonts w:eastAsia="Times New Roman"/>
                <w:color w:val="000000"/>
                <w:sz w:val="24"/>
                <w:szCs w:val="24"/>
                <w:lang w:val="ru-RU" w:eastAsia="ru-RU"/>
              </w:rPr>
            </w:pPr>
            <w:r w:rsidRPr="00647C5F">
              <w:rPr>
                <w:rFonts w:eastAsia="Times New Roman"/>
                <w:color w:val="000000"/>
                <w:sz w:val="24"/>
                <w:szCs w:val="24"/>
                <w:lang w:val="ru-RU" w:eastAsia="ru-RU"/>
              </w:rPr>
              <w:t>46,15</w:t>
            </w:r>
          </w:p>
        </w:tc>
        <w:tc>
          <w:tcPr>
            <w:tcW w:w="791" w:type="dxa"/>
          </w:tcPr>
          <w:p w:rsidR="00F32158" w:rsidRPr="00647C5F" w:rsidRDefault="00F32158" w:rsidP="00647C5F">
            <w:pPr>
              <w:spacing w:line="276" w:lineRule="auto"/>
              <w:jc w:val="center"/>
              <w:rPr>
                <w:rFonts w:eastAsia="Times New Roman"/>
                <w:color w:val="000000"/>
                <w:sz w:val="24"/>
                <w:szCs w:val="24"/>
                <w:lang w:eastAsia="ru-RU"/>
              </w:rPr>
            </w:pPr>
            <w:r w:rsidRPr="00647C5F">
              <w:rPr>
                <w:rFonts w:eastAsia="Times New Roman"/>
                <w:color w:val="000000"/>
                <w:sz w:val="24"/>
                <w:szCs w:val="24"/>
                <w:lang w:eastAsia="ru-RU"/>
              </w:rPr>
              <w:t>25,00</w:t>
            </w:r>
          </w:p>
        </w:tc>
      </w:tr>
      <w:tr w:rsidR="00F32158" w:rsidRPr="00647C5F" w:rsidTr="00BF1F99">
        <w:trPr>
          <w:jc w:val="center"/>
        </w:trPr>
        <w:tc>
          <w:tcPr>
            <w:tcW w:w="1995" w:type="dxa"/>
            <w:vAlign w:val="center"/>
          </w:tcPr>
          <w:p w:rsidR="00F32158" w:rsidRPr="00647C5F" w:rsidRDefault="00F32158" w:rsidP="00647C5F">
            <w:pPr>
              <w:spacing w:line="276" w:lineRule="auto"/>
              <w:jc w:val="left"/>
              <w:rPr>
                <w:rFonts w:eastAsia="Times New Roman"/>
                <w:sz w:val="24"/>
                <w:szCs w:val="24"/>
                <w:lang w:eastAsia="ru-RU"/>
              </w:rPr>
            </w:pPr>
            <w:r w:rsidRPr="00647C5F">
              <w:rPr>
                <w:rFonts w:eastAsia="Times New Roman"/>
                <w:sz w:val="24"/>
                <w:szCs w:val="24"/>
                <w:lang w:eastAsia="ru-RU"/>
              </w:rPr>
              <w:t>м. Київ</w:t>
            </w:r>
          </w:p>
        </w:tc>
        <w:tc>
          <w:tcPr>
            <w:tcW w:w="772" w:type="dxa"/>
            <w:vAlign w:val="center"/>
          </w:tcPr>
          <w:p w:rsidR="00F32158" w:rsidRPr="00647C5F" w:rsidRDefault="00F32158" w:rsidP="00647C5F">
            <w:pPr>
              <w:spacing w:line="276" w:lineRule="auto"/>
              <w:jc w:val="center"/>
              <w:rPr>
                <w:rFonts w:eastAsia="Times New Roman"/>
                <w:sz w:val="24"/>
                <w:szCs w:val="24"/>
                <w:lang w:val="ru-RU" w:eastAsia="ru-RU"/>
              </w:rPr>
            </w:pPr>
            <w:r w:rsidRPr="00647C5F">
              <w:rPr>
                <w:rFonts w:eastAsia="Times New Roman"/>
                <w:sz w:val="24"/>
                <w:szCs w:val="24"/>
                <w:lang w:val="ru-RU" w:eastAsia="ru-RU"/>
              </w:rPr>
              <w:t>35,71</w:t>
            </w:r>
          </w:p>
        </w:tc>
        <w:tc>
          <w:tcPr>
            <w:tcW w:w="772" w:type="dxa"/>
            <w:vAlign w:val="center"/>
          </w:tcPr>
          <w:p w:rsidR="00F32158" w:rsidRPr="00647C5F" w:rsidRDefault="00F32158" w:rsidP="00647C5F">
            <w:pPr>
              <w:spacing w:line="276" w:lineRule="auto"/>
              <w:jc w:val="center"/>
              <w:rPr>
                <w:rFonts w:eastAsia="Times New Roman"/>
                <w:sz w:val="24"/>
                <w:szCs w:val="24"/>
                <w:lang w:val="ru-RU" w:eastAsia="ru-RU"/>
              </w:rPr>
            </w:pPr>
            <w:r w:rsidRPr="00647C5F">
              <w:rPr>
                <w:rFonts w:eastAsia="Times New Roman"/>
                <w:sz w:val="24"/>
                <w:szCs w:val="24"/>
                <w:lang w:val="ru-RU" w:eastAsia="ru-RU"/>
              </w:rPr>
              <w:t>30,00</w:t>
            </w:r>
          </w:p>
        </w:tc>
        <w:tc>
          <w:tcPr>
            <w:tcW w:w="772" w:type="dxa"/>
          </w:tcPr>
          <w:p w:rsidR="00F32158" w:rsidRPr="00647C5F" w:rsidRDefault="00F32158" w:rsidP="00647C5F">
            <w:pPr>
              <w:spacing w:line="276" w:lineRule="auto"/>
              <w:jc w:val="center"/>
              <w:rPr>
                <w:rFonts w:eastAsia="Times New Roman"/>
                <w:color w:val="000000"/>
                <w:sz w:val="24"/>
                <w:szCs w:val="24"/>
                <w:lang w:val="ru-RU" w:eastAsia="ru-RU"/>
              </w:rPr>
            </w:pPr>
            <w:r w:rsidRPr="00647C5F">
              <w:rPr>
                <w:rFonts w:eastAsia="Times New Roman"/>
                <w:color w:val="000000"/>
                <w:sz w:val="24"/>
                <w:szCs w:val="24"/>
                <w:lang w:val="ru-RU" w:eastAsia="ru-RU"/>
              </w:rPr>
              <w:t>29,41</w:t>
            </w:r>
          </w:p>
        </w:tc>
        <w:tc>
          <w:tcPr>
            <w:tcW w:w="772" w:type="dxa"/>
          </w:tcPr>
          <w:p w:rsidR="00F32158" w:rsidRPr="00647C5F" w:rsidRDefault="00F32158" w:rsidP="00647C5F">
            <w:pPr>
              <w:spacing w:line="276" w:lineRule="auto"/>
              <w:jc w:val="center"/>
              <w:rPr>
                <w:rFonts w:eastAsia="Times New Roman"/>
                <w:color w:val="000000"/>
                <w:sz w:val="24"/>
                <w:szCs w:val="24"/>
                <w:lang w:val="ru-RU" w:eastAsia="ru-RU"/>
              </w:rPr>
            </w:pPr>
            <w:r w:rsidRPr="00647C5F">
              <w:rPr>
                <w:rFonts w:eastAsia="Times New Roman"/>
                <w:color w:val="000000"/>
                <w:sz w:val="24"/>
                <w:szCs w:val="24"/>
                <w:lang w:val="ru-RU" w:eastAsia="ru-RU"/>
              </w:rPr>
              <w:t>42,86</w:t>
            </w:r>
          </w:p>
        </w:tc>
        <w:tc>
          <w:tcPr>
            <w:tcW w:w="772" w:type="dxa"/>
          </w:tcPr>
          <w:p w:rsidR="00F32158" w:rsidRPr="00647C5F" w:rsidRDefault="00F32158" w:rsidP="00647C5F">
            <w:pPr>
              <w:spacing w:line="276" w:lineRule="auto"/>
              <w:jc w:val="center"/>
              <w:rPr>
                <w:rFonts w:eastAsia="Times New Roman"/>
                <w:color w:val="000000"/>
                <w:sz w:val="24"/>
                <w:szCs w:val="24"/>
                <w:lang w:val="ru-RU" w:eastAsia="ru-RU"/>
              </w:rPr>
            </w:pPr>
            <w:r w:rsidRPr="00647C5F">
              <w:rPr>
                <w:rFonts w:eastAsia="Times New Roman"/>
                <w:color w:val="000000"/>
                <w:sz w:val="24"/>
                <w:szCs w:val="24"/>
                <w:lang w:val="ru-RU" w:eastAsia="ru-RU"/>
              </w:rPr>
              <w:t>54,84</w:t>
            </w:r>
          </w:p>
        </w:tc>
        <w:tc>
          <w:tcPr>
            <w:tcW w:w="772" w:type="dxa"/>
          </w:tcPr>
          <w:p w:rsidR="00F32158" w:rsidRPr="00647C5F" w:rsidRDefault="00F32158" w:rsidP="00647C5F">
            <w:pPr>
              <w:spacing w:line="276" w:lineRule="auto"/>
              <w:jc w:val="center"/>
              <w:rPr>
                <w:rFonts w:eastAsia="Times New Roman"/>
                <w:color w:val="000000"/>
                <w:sz w:val="24"/>
                <w:szCs w:val="24"/>
                <w:lang w:val="ru-RU" w:eastAsia="ru-RU"/>
              </w:rPr>
            </w:pPr>
            <w:r w:rsidRPr="00647C5F">
              <w:rPr>
                <w:rFonts w:eastAsia="Times New Roman"/>
                <w:color w:val="000000"/>
                <w:sz w:val="24"/>
                <w:szCs w:val="24"/>
                <w:lang w:val="ru-RU" w:eastAsia="ru-RU"/>
              </w:rPr>
              <w:t>48,15</w:t>
            </w:r>
          </w:p>
        </w:tc>
        <w:tc>
          <w:tcPr>
            <w:tcW w:w="975" w:type="dxa"/>
          </w:tcPr>
          <w:p w:rsidR="00F32158" w:rsidRPr="00647C5F" w:rsidRDefault="00F32158" w:rsidP="00647C5F">
            <w:pPr>
              <w:spacing w:line="276" w:lineRule="auto"/>
              <w:jc w:val="center"/>
              <w:rPr>
                <w:rFonts w:eastAsia="Times New Roman"/>
                <w:color w:val="000000"/>
                <w:sz w:val="24"/>
                <w:szCs w:val="24"/>
                <w:lang w:val="ru-RU" w:eastAsia="ru-RU"/>
              </w:rPr>
            </w:pPr>
            <w:r w:rsidRPr="00647C5F">
              <w:rPr>
                <w:rFonts w:eastAsia="Times New Roman"/>
                <w:color w:val="000000"/>
                <w:sz w:val="24"/>
                <w:szCs w:val="24"/>
                <w:lang w:val="ru-RU" w:eastAsia="ru-RU"/>
              </w:rPr>
              <w:t>34,78</w:t>
            </w:r>
          </w:p>
        </w:tc>
        <w:tc>
          <w:tcPr>
            <w:tcW w:w="791" w:type="dxa"/>
          </w:tcPr>
          <w:p w:rsidR="00F32158" w:rsidRPr="00647C5F" w:rsidRDefault="00F32158" w:rsidP="00647C5F">
            <w:pPr>
              <w:spacing w:line="276" w:lineRule="auto"/>
              <w:jc w:val="center"/>
              <w:rPr>
                <w:rFonts w:eastAsia="Times New Roman"/>
                <w:color w:val="000000"/>
                <w:sz w:val="24"/>
                <w:szCs w:val="24"/>
                <w:lang w:eastAsia="ru-RU"/>
              </w:rPr>
            </w:pPr>
            <w:r w:rsidRPr="00647C5F">
              <w:rPr>
                <w:rFonts w:eastAsia="Times New Roman"/>
                <w:color w:val="000000"/>
                <w:sz w:val="24"/>
                <w:szCs w:val="24"/>
                <w:lang w:eastAsia="ru-RU"/>
              </w:rPr>
              <w:t>57,14</w:t>
            </w:r>
          </w:p>
        </w:tc>
      </w:tr>
    </w:tbl>
    <w:p w:rsidR="00F32158" w:rsidRPr="00F32158" w:rsidRDefault="00F32158" w:rsidP="00F32158">
      <w:pPr>
        <w:tabs>
          <w:tab w:val="left" w:pos="8133"/>
        </w:tabs>
        <w:spacing w:after="200" w:line="276" w:lineRule="auto"/>
        <w:jc w:val="right"/>
        <w:rPr>
          <w:rFonts w:eastAsia="Calibri"/>
          <w:szCs w:val="28"/>
        </w:rPr>
      </w:pPr>
    </w:p>
    <w:p w:rsidR="00F32158" w:rsidRPr="00F32158" w:rsidRDefault="00F32158" w:rsidP="00F32158">
      <w:pPr>
        <w:tabs>
          <w:tab w:val="left" w:pos="8133"/>
        </w:tabs>
        <w:spacing w:after="200" w:line="276" w:lineRule="auto"/>
        <w:jc w:val="right"/>
        <w:rPr>
          <w:rFonts w:eastAsia="Calibri"/>
          <w:szCs w:val="28"/>
        </w:rPr>
      </w:pPr>
    </w:p>
    <w:p w:rsidR="00F32158" w:rsidRPr="00F32158" w:rsidRDefault="00F32158" w:rsidP="00F32158">
      <w:pPr>
        <w:tabs>
          <w:tab w:val="left" w:pos="8133"/>
        </w:tabs>
        <w:spacing w:after="200" w:line="276" w:lineRule="auto"/>
        <w:jc w:val="right"/>
        <w:rPr>
          <w:rFonts w:eastAsia="Calibri"/>
          <w:szCs w:val="28"/>
        </w:rPr>
      </w:pPr>
    </w:p>
    <w:p w:rsidR="00454EBD" w:rsidRDefault="00454EBD" w:rsidP="00B318AA">
      <w:pPr>
        <w:widowControl w:val="0"/>
        <w:tabs>
          <w:tab w:val="left" w:pos="8133"/>
        </w:tabs>
        <w:spacing w:after="200" w:line="276" w:lineRule="auto"/>
        <w:rPr>
          <w:rFonts w:eastAsia="Calibri"/>
          <w:szCs w:val="28"/>
        </w:rPr>
      </w:pPr>
    </w:p>
    <w:p w:rsidR="00F32158" w:rsidRPr="00F32158" w:rsidRDefault="00D32C4B" w:rsidP="00B318AA">
      <w:pPr>
        <w:widowControl w:val="0"/>
        <w:tabs>
          <w:tab w:val="left" w:pos="8133"/>
        </w:tabs>
        <w:spacing w:after="200" w:line="276" w:lineRule="auto"/>
        <w:jc w:val="right"/>
        <w:rPr>
          <w:rFonts w:eastAsia="Calibri"/>
          <w:szCs w:val="28"/>
        </w:rPr>
      </w:pPr>
      <w:r>
        <w:rPr>
          <w:rFonts w:eastAsia="Calibri"/>
          <w:szCs w:val="28"/>
        </w:rPr>
        <w:lastRenderedPageBreak/>
        <w:t>Додаток Б</w:t>
      </w:r>
      <w:r w:rsidR="00F32158" w:rsidRPr="00F32158">
        <w:rPr>
          <w:rFonts w:eastAsia="Calibri"/>
          <w:szCs w:val="28"/>
        </w:rPr>
        <w:t>-16</w:t>
      </w:r>
    </w:p>
    <w:p w:rsidR="00D102D4" w:rsidRDefault="00913A33" w:rsidP="00D102D4">
      <w:pPr>
        <w:tabs>
          <w:tab w:val="left" w:pos="642"/>
        </w:tabs>
        <w:jc w:val="center"/>
        <w:rPr>
          <w:rFonts w:eastAsia="Calibri"/>
          <w:b/>
          <w:szCs w:val="28"/>
        </w:rPr>
      </w:pPr>
      <w:r>
        <w:rPr>
          <w:rFonts w:eastAsia="Calibri"/>
          <w:b/>
          <w:szCs w:val="28"/>
        </w:rPr>
        <w:t xml:space="preserve">Динаміка показника DALYs </w:t>
      </w:r>
      <w:r w:rsidR="00F32158" w:rsidRPr="00F32158">
        <w:rPr>
          <w:rFonts w:eastAsia="Calibri"/>
          <w:b/>
          <w:szCs w:val="28"/>
        </w:rPr>
        <w:t xml:space="preserve">у випадку дитячої смертності до 5-ти років життя </w:t>
      </w:r>
    </w:p>
    <w:p w:rsidR="00F32158" w:rsidRPr="00F32158" w:rsidRDefault="00913A33" w:rsidP="00D102D4">
      <w:pPr>
        <w:tabs>
          <w:tab w:val="left" w:pos="642"/>
        </w:tabs>
        <w:jc w:val="center"/>
        <w:rPr>
          <w:rFonts w:eastAsia="Calibri"/>
          <w:szCs w:val="28"/>
        </w:rPr>
      </w:pPr>
      <w:r w:rsidRPr="00913A33">
        <w:rPr>
          <w:rFonts w:eastAsia="Calibri"/>
          <w:b/>
          <w:szCs w:val="28"/>
        </w:rPr>
        <w:t>(на 100 тис. осіб)</w:t>
      </w:r>
    </w:p>
    <w:tbl>
      <w:tblPr>
        <w:tblStyle w:val="3010"/>
        <w:tblW w:w="0" w:type="auto"/>
        <w:jc w:val="center"/>
        <w:tblLook w:val="04A0" w:firstRow="1" w:lastRow="0" w:firstColumn="1" w:lastColumn="0" w:noHBand="0" w:noVBand="1"/>
      </w:tblPr>
      <w:tblGrid>
        <w:gridCol w:w="959"/>
        <w:gridCol w:w="2693"/>
        <w:gridCol w:w="2977"/>
        <w:gridCol w:w="2942"/>
      </w:tblGrid>
      <w:tr w:rsidR="00F32158" w:rsidRPr="00F32158" w:rsidTr="00BF1F99">
        <w:trPr>
          <w:jc w:val="center"/>
        </w:trPr>
        <w:tc>
          <w:tcPr>
            <w:tcW w:w="959" w:type="dxa"/>
          </w:tcPr>
          <w:p w:rsidR="00F32158" w:rsidRPr="00F32158" w:rsidRDefault="00F32158" w:rsidP="00FD76DB">
            <w:pPr>
              <w:jc w:val="center"/>
              <w:rPr>
                <w:rFonts w:eastAsia="Calibri"/>
                <w:sz w:val="24"/>
                <w:szCs w:val="24"/>
                <w:lang w:val="uk-UA"/>
              </w:rPr>
            </w:pPr>
            <w:r w:rsidRPr="00F32158">
              <w:rPr>
                <w:rFonts w:eastAsia="Calibri"/>
                <w:sz w:val="24"/>
                <w:szCs w:val="24"/>
                <w:lang w:val="uk-UA"/>
              </w:rPr>
              <w:t>Рік</w:t>
            </w:r>
          </w:p>
        </w:tc>
        <w:tc>
          <w:tcPr>
            <w:tcW w:w="2693" w:type="dxa"/>
          </w:tcPr>
          <w:p w:rsidR="00F32158" w:rsidRPr="00F32158" w:rsidRDefault="00F32158" w:rsidP="00FD76DB">
            <w:pPr>
              <w:jc w:val="center"/>
              <w:rPr>
                <w:rFonts w:eastAsia="Calibri"/>
                <w:sz w:val="24"/>
                <w:szCs w:val="24"/>
                <w:lang w:val="uk-UA"/>
              </w:rPr>
            </w:pPr>
            <w:r w:rsidRPr="00F32158">
              <w:rPr>
                <w:rFonts w:eastAsia="Calibri"/>
                <w:sz w:val="24"/>
                <w:szCs w:val="24"/>
                <w:lang w:val="uk-UA"/>
              </w:rPr>
              <w:t>Обидві статі</w:t>
            </w:r>
          </w:p>
        </w:tc>
        <w:tc>
          <w:tcPr>
            <w:tcW w:w="2977" w:type="dxa"/>
          </w:tcPr>
          <w:p w:rsidR="00F32158" w:rsidRPr="00F32158" w:rsidRDefault="00F32158" w:rsidP="00FD76DB">
            <w:pPr>
              <w:jc w:val="center"/>
              <w:rPr>
                <w:rFonts w:eastAsia="Calibri"/>
                <w:sz w:val="24"/>
                <w:szCs w:val="24"/>
                <w:lang w:val="uk-UA"/>
              </w:rPr>
            </w:pPr>
            <w:r w:rsidRPr="00F32158">
              <w:rPr>
                <w:rFonts w:eastAsia="Calibri"/>
                <w:sz w:val="24"/>
                <w:szCs w:val="24"/>
                <w:lang w:val="uk-UA"/>
              </w:rPr>
              <w:t>Хлопчики</w:t>
            </w:r>
          </w:p>
        </w:tc>
        <w:tc>
          <w:tcPr>
            <w:tcW w:w="2942" w:type="dxa"/>
          </w:tcPr>
          <w:p w:rsidR="00F32158" w:rsidRPr="00F32158" w:rsidRDefault="00F32158" w:rsidP="00FD76DB">
            <w:pPr>
              <w:jc w:val="center"/>
              <w:rPr>
                <w:rFonts w:eastAsia="Calibri"/>
                <w:sz w:val="24"/>
                <w:szCs w:val="24"/>
                <w:lang w:val="uk-UA"/>
              </w:rPr>
            </w:pPr>
            <w:r w:rsidRPr="00F32158">
              <w:rPr>
                <w:rFonts w:eastAsia="Calibri"/>
                <w:sz w:val="24"/>
                <w:szCs w:val="24"/>
                <w:lang w:val="uk-UA"/>
              </w:rPr>
              <w:t>Дівчатка</w:t>
            </w:r>
          </w:p>
        </w:tc>
      </w:tr>
      <w:tr w:rsidR="00F32158" w:rsidRPr="00F32158" w:rsidTr="00BF1F99">
        <w:trPr>
          <w:jc w:val="center"/>
        </w:trPr>
        <w:tc>
          <w:tcPr>
            <w:tcW w:w="959" w:type="dxa"/>
          </w:tcPr>
          <w:p w:rsidR="00F32158" w:rsidRPr="00F32158" w:rsidRDefault="00F32158" w:rsidP="00FD76DB">
            <w:pPr>
              <w:jc w:val="center"/>
              <w:rPr>
                <w:rFonts w:eastAsia="Calibri"/>
                <w:sz w:val="24"/>
                <w:szCs w:val="24"/>
                <w:lang w:val="uk-UA"/>
              </w:rPr>
            </w:pPr>
            <w:r w:rsidRPr="00F32158">
              <w:rPr>
                <w:rFonts w:eastAsia="Calibri"/>
                <w:sz w:val="24"/>
                <w:szCs w:val="24"/>
                <w:lang w:val="uk-UA"/>
              </w:rPr>
              <w:t>2009</w:t>
            </w:r>
          </w:p>
          <w:p w:rsidR="00F32158" w:rsidRPr="00F32158" w:rsidRDefault="00F32158" w:rsidP="00FD76DB">
            <w:pPr>
              <w:jc w:val="center"/>
              <w:rPr>
                <w:rFonts w:eastAsia="Calibri"/>
                <w:sz w:val="24"/>
                <w:szCs w:val="24"/>
                <w:lang w:val="uk-UA"/>
              </w:rPr>
            </w:pPr>
            <w:r w:rsidRPr="00F32158">
              <w:rPr>
                <w:rFonts w:eastAsia="Calibri"/>
                <w:sz w:val="24"/>
                <w:szCs w:val="24"/>
                <w:lang w:val="uk-UA"/>
              </w:rPr>
              <w:t>ДІ</w:t>
            </w:r>
          </w:p>
        </w:tc>
        <w:tc>
          <w:tcPr>
            <w:tcW w:w="2693" w:type="dxa"/>
          </w:tcPr>
          <w:p w:rsidR="00F32158" w:rsidRPr="00F32158" w:rsidRDefault="00F32158" w:rsidP="00FD76DB">
            <w:pPr>
              <w:jc w:val="center"/>
              <w:rPr>
                <w:sz w:val="24"/>
                <w:szCs w:val="24"/>
              </w:rPr>
            </w:pPr>
            <w:r w:rsidRPr="00F32158">
              <w:rPr>
                <w:sz w:val="24"/>
                <w:szCs w:val="24"/>
              </w:rPr>
              <w:t>22,865.85</w:t>
            </w:r>
          </w:p>
          <w:p w:rsidR="00F32158" w:rsidRPr="00F32158" w:rsidRDefault="00F32158" w:rsidP="00FD76DB">
            <w:pPr>
              <w:jc w:val="center"/>
              <w:rPr>
                <w:sz w:val="24"/>
                <w:szCs w:val="24"/>
                <w:lang w:val="uk-UA"/>
              </w:rPr>
            </w:pPr>
            <w:r w:rsidRPr="00F32158">
              <w:rPr>
                <w:sz w:val="24"/>
                <w:szCs w:val="24"/>
                <w:lang w:val="uk-UA"/>
              </w:rPr>
              <w:t>(</w:t>
            </w:r>
            <w:r w:rsidRPr="00F32158">
              <w:rPr>
                <w:sz w:val="24"/>
                <w:szCs w:val="24"/>
              </w:rPr>
              <w:t>24,373.66</w:t>
            </w:r>
            <w:r w:rsidRPr="00F32158">
              <w:rPr>
                <w:sz w:val="24"/>
                <w:szCs w:val="24"/>
                <w:lang w:val="uk-UA"/>
              </w:rPr>
              <w:t>-</w:t>
            </w:r>
            <w:r w:rsidRPr="00F32158">
              <w:rPr>
                <w:sz w:val="24"/>
                <w:szCs w:val="24"/>
              </w:rPr>
              <w:t>21,566.49</w:t>
            </w:r>
            <w:r w:rsidRPr="00F32158">
              <w:rPr>
                <w:sz w:val="24"/>
                <w:szCs w:val="24"/>
                <w:lang w:val="uk-UA"/>
              </w:rPr>
              <w:t>)</w:t>
            </w:r>
          </w:p>
        </w:tc>
        <w:tc>
          <w:tcPr>
            <w:tcW w:w="2977" w:type="dxa"/>
          </w:tcPr>
          <w:p w:rsidR="00F32158" w:rsidRPr="00F32158" w:rsidRDefault="00F32158" w:rsidP="00FD76DB">
            <w:pPr>
              <w:jc w:val="center"/>
              <w:rPr>
                <w:sz w:val="24"/>
                <w:szCs w:val="24"/>
              </w:rPr>
            </w:pPr>
            <w:r w:rsidRPr="00F32158">
              <w:rPr>
                <w:sz w:val="24"/>
                <w:szCs w:val="24"/>
              </w:rPr>
              <w:t>25,496.08</w:t>
            </w:r>
          </w:p>
          <w:p w:rsidR="00F32158" w:rsidRPr="00F32158" w:rsidRDefault="00F32158" w:rsidP="00FD76DB">
            <w:pPr>
              <w:jc w:val="center"/>
              <w:rPr>
                <w:sz w:val="24"/>
                <w:szCs w:val="24"/>
                <w:lang w:val="uk-UA"/>
              </w:rPr>
            </w:pPr>
            <w:r w:rsidRPr="00F32158">
              <w:rPr>
                <w:sz w:val="24"/>
                <w:szCs w:val="24"/>
                <w:lang w:val="uk-UA"/>
              </w:rPr>
              <w:t>(</w:t>
            </w:r>
            <w:r w:rsidRPr="00F32158">
              <w:rPr>
                <w:sz w:val="24"/>
                <w:szCs w:val="24"/>
              </w:rPr>
              <w:t>27,234.59</w:t>
            </w:r>
            <w:r w:rsidRPr="00F32158">
              <w:rPr>
                <w:sz w:val="24"/>
                <w:szCs w:val="24"/>
                <w:lang w:val="uk-UA"/>
              </w:rPr>
              <w:t>-</w:t>
            </w:r>
            <w:r w:rsidRPr="00F32158">
              <w:rPr>
                <w:sz w:val="24"/>
                <w:szCs w:val="24"/>
              </w:rPr>
              <w:t>23,952.46</w:t>
            </w:r>
            <w:r w:rsidRPr="00F32158">
              <w:rPr>
                <w:sz w:val="24"/>
                <w:szCs w:val="24"/>
                <w:lang w:val="uk-UA"/>
              </w:rPr>
              <w:t>)</w:t>
            </w:r>
          </w:p>
        </w:tc>
        <w:tc>
          <w:tcPr>
            <w:tcW w:w="2942" w:type="dxa"/>
          </w:tcPr>
          <w:p w:rsidR="00F32158" w:rsidRPr="00F32158" w:rsidRDefault="00F32158" w:rsidP="00FD76DB">
            <w:pPr>
              <w:shd w:val="clear" w:color="auto" w:fill="FFFFFF"/>
              <w:jc w:val="center"/>
              <w:rPr>
                <w:sz w:val="24"/>
                <w:szCs w:val="24"/>
              </w:rPr>
            </w:pPr>
            <w:r w:rsidRPr="00F32158">
              <w:rPr>
                <w:sz w:val="24"/>
                <w:szCs w:val="24"/>
              </w:rPr>
              <w:t>20,081.12</w:t>
            </w:r>
          </w:p>
          <w:p w:rsidR="00F32158" w:rsidRPr="00F32158" w:rsidRDefault="00F32158" w:rsidP="00FD76DB">
            <w:pPr>
              <w:shd w:val="clear" w:color="auto" w:fill="FFFFFF"/>
              <w:jc w:val="center"/>
              <w:rPr>
                <w:sz w:val="24"/>
                <w:szCs w:val="24"/>
                <w:lang w:val="uk-UA"/>
              </w:rPr>
            </w:pPr>
            <w:r w:rsidRPr="00F32158">
              <w:rPr>
                <w:sz w:val="24"/>
                <w:szCs w:val="24"/>
                <w:lang w:val="uk-UA"/>
              </w:rPr>
              <w:t>(</w:t>
            </w:r>
            <w:r w:rsidRPr="00F32158">
              <w:rPr>
                <w:sz w:val="24"/>
                <w:szCs w:val="24"/>
              </w:rPr>
              <w:t>21,458.80</w:t>
            </w:r>
            <w:r w:rsidRPr="00F32158">
              <w:rPr>
                <w:sz w:val="24"/>
                <w:szCs w:val="24"/>
                <w:lang w:val="uk-UA"/>
              </w:rPr>
              <w:t>-</w:t>
            </w:r>
            <w:r w:rsidRPr="00F32158">
              <w:rPr>
                <w:sz w:val="24"/>
                <w:szCs w:val="24"/>
              </w:rPr>
              <w:t>18,911.87</w:t>
            </w:r>
            <w:r w:rsidRPr="00F32158">
              <w:rPr>
                <w:sz w:val="24"/>
                <w:szCs w:val="24"/>
                <w:lang w:val="uk-UA"/>
              </w:rPr>
              <w:t>)</w:t>
            </w:r>
          </w:p>
        </w:tc>
      </w:tr>
      <w:tr w:rsidR="00F32158" w:rsidRPr="00F32158" w:rsidTr="00BF1F99">
        <w:trPr>
          <w:jc w:val="center"/>
        </w:trPr>
        <w:tc>
          <w:tcPr>
            <w:tcW w:w="959" w:type="dxa"/>
          </w:tcPr>
          <w:p w:rsidR="00F32158" w:rsidRPr="00F32158" w:rsidRDefault="00F32158" w:rsidP="00FD76DB">
            <w:pPr>
              <w:jc w:val="center"/>
              <w:rPr>
                <w:rFonts w:eastAsia="Calibri"/>
                <w:sz w:val="24"/>
                <w:szCs w:val="24"/>
                <w:lang w:val="uk-UA"/>
              </w:rPr>
            </w:pPr>
            <w:r w:rsidRPr="00F32158">
              <w:rPr>
                <w:rFonts w:eastAsia="Calibri"/>
                <w:sz w:val="24"/>
                <w:szCs w:val="24"/>
                <w:lang w:val="uk-UA"/>
              </w:rPr>
              <w:t>2010</w:t>
            </w:r>
          </w:p>
          <w:p w:rsidR="00F32158" w:rsidRPr="00F32158" w:rsidRDefault="00F32158" w:rsidP="00FD76DB">
            <w:pPr>
              <w:jc w:val="center"/>
              <w:rPr>
                <w:rFonts w:eastAsia="Calibri"/>
                <w:sz w:val="24"/>
                <w:szCs w:val="24"/>
                <w:lang w:val="uk-UA"/>
              </w:rPr>
            </w:pPr>
            <w:r w:rsidRPr="00F32158">
              <w:rPr>
                <w:rFonts w:eastAsia="Calibri"/>
                <w:sz w:val="24"/>
                <w:szCs w:val="24"/>
                <w:lang w:val="uk-UA"/>
              </w:rPr>
              <w:t>ДІ</w:t>
            </w:r>
          </w:p>
        </w:tc>
        <w:tc>
          <w:tcPr>
            <w:tcW w:w="2693" w:type="dxa"/>
          </w:tcPr>
          <w:p w:rsidR="00F32158" w:rsidRPr="00F32158" w:rsidRDefault="00F32158" w:rsidP="00FD76DB">
            <w:pPr>
              <w:shd w:val="clear" w:color="auto" w:fill="FFFFFF"/>
              <w:jc w:val="center"/>
              <w:rPr>
                <w:sz w:val="24"/>
                <w:szCs w:val="24"/>
              </w:rPr>
            </w:pPr>
            <w:r w:rsidRPr="00F32158">
              <w:rPr>
                <w:sz w:val="24"/>
                <w:szCs w:val="24"/>
              </w:rPr>
              <w:t>21,673.03</w:t>
            </w:r>
          </w:p>
          <w:p w:rsidR="00F32158" w:rsidRPr="00F32158" w:rsidRDefault="00F32158" w:rsidP="00FD76DB">
            <w:pPr>
              <w:shd w:val="clear" w:color="auto" w:fill="FFFFFF"/>
              <w:jc w:val="center"/>
              <w:rPr>
                <w:sz w:val="24"/>
                <w:szCs w:val="24"/>
                <w:lang w:val="uk-UA"/>
              </w:rPr>
            </w:pPr>
            <w:r w:rsidRPr="00F32158">
              <w:rPr>
                <w:sz w:val="24"/>
                <w:szCs w:val="24"/>
                <w:lang w:val="uk-UA"/>
              </w:rPr>
              <w:t>(</w:t>
            </w:r>
            <w:r w:rsidRPr="00F32158">
              <w:rPr>
                <w:sz w:val="24"/>
                <w:szCs w:val="24"/>
              </w:rPr>
              <w:t>23,044.58</w:t>
            </w:r>
            <w:r w:rsidRPr="00F32158">
              <w:rPr>
                <w:sz w:val="24"/>
                <w:szCs w:val="24"/>
                <w:lang w:val="uk-UA"/>
              </w:rPr>
              <w:t>-</w:t>
            </w:r>
            <w:r w:rsidRPr="00F32158">
              <w:rPr>
                <w:sz w:val="24"/>
                <w:szCs w:val="24"/>
              </w:rPr>
              <w:t>20,279.76</w:t>
            </w:r>
            <w:r w:rsidRPr="00F32158">
              <w:rPr>
                <w:sz w:val="24"/>
                <w:szCs w:val="24"/>
                <w:lang w:val="uk-UA"/>
              </w:rPr>
              <w:t>)</w:t>
            </w:r>
          </w:p>
        </w:tc>
        <w:tc>
          <w:tcPr>
            <w:tcW w:w="2977" w:type="dxa"/>
          </w:tcPr>
          <w:p w:rsidR="00F32158" w:rsidRPr="00F32158" w:rsidRDefault="00F32158" w:rsidP="00FD76DB">
            <w:pPr>
              <w:shd w:val="clear" w:color="auto" w:fill="FFFFFF"/>
              <w:jc w:val="center"/>
              <w:rPr>
                <w:sz w:val="24"/>
                <w:szCs w:val="24"/>
              </w:rPr>
            </w:pPr>
            <w:r w:rsidRPr="00F32158">
              <w:rPr>
                <w:sz w:val="24"/>
                <w:szCs w:val="24"/>
              </w:rPr>
              <w:t>24,096.68</w:t>
            </w:r>
          </w:p>
          <w:p w:rsidR="00F32158" w:rsidRPr="00F32158" w:rsidRDefault="00F32158" w:rsidP="00FD76DB">
            <w:pPr>
              <w:shd w:val="clear" w:color="auto" w:fill="FFFFFF"/>
              <w:jc w:val="center"/>
              <w:rPr>
                <w:sz w:val="24"/>
                <w:szCs w:val="24"/>
                <w:lang w:val="uk-UA"/>
              </w:rPr>
            </w:pPr>
            <w:r w:rsidRPr="00F32158">
              <w:rPr>
                <w:sz w:val="24"/>
                <w:szCs w:val="24"/>
                <w:lang w:val="uk-UA"/>
              </w:rPr>
              <w:t>(</w:t>
            </w:r>
            <w:r w:rsidRPr="00F32158">
              <w:rPr>
                <w:sz w:val="24"/>
                <w:szCs w:val="24"/>
              </w:rPr>
              <w:t>25,659.06</w:t>
            </w:r>
            <w:r w:rsidRPr="00F32158">
              <w:rPr>
                <w:sz w:val="24"/>
                <w:szCs w:val="24"/>
                <w:lang w:val="uk-UA"/>
              </w:rPr>
              <w:t>-</w:t>
            </w:r>
            <w:r w:rsidRPr="00F32158">
              <w:rPr>
                <w:sz w:val="24"/>
                <w:szCs w:val="24"/>
              </w:rPr>
              <w:t>22,501.98</w:t>
            </w:r>
            <w:r w:rsidRPr="00F32158">
              <w:rPr>
                <w:sz w:val="24"/>
                <w:szCs w:val="24"/>
                <w:lang w:val="uk-UA"/>
              </w:rPr>
              <w:t>)</w:t>
            </w:r>
          </w:p>
        </w:tc>
        <w:tc>
          <w:tcPr>
            <w:tcW w:w="2942" w:type="dxa"/>
          </w:tcPr>
          <w:p w:rsidR="00F32158" w:rsidRPr="00F32158" w:rsidRDefault="00F32158" w:rsidP="00FD76DB">
            <w:pPr>
              <w:jc w:val="center"/>
              <w:rPr>
                <w:sz w:val="24"/>
                <w:szCs w:val="24"/>
              </w:rPr>
            </w:pPr>
            <w:r w:rsidRPr="00F32158">
              <w:rPr>
                <w:sz w:val="24"/>
                <w:szCs w:val="24"/>
              </w:rPr>
              <w:t>19,102.47</w:t>
            </w:r>
          </w:p>
          <w:p w:rsidR="00F32158" w:rsidRPr="00F32158" w:rsidRDefault="00F32158" w:rsidP="00FD76DB">
            <w:pPr>
              <w:jc w:val="center"/>
              <w:rPr>
                <w:sz w:val="24"/>
                <w:szCs w:val="24"/>
                <w:lang w:val="uk-UA"/>
              </w:rPr>
            </w:pPr>
            <w:r w:rsidRPr="00F32158">
              <w:rPr>
                <w:sz w:val="24"/>
                <w:szCs w:val="24"/>
                <w:lang w:val="uk-UA"/>
              </w:rPr>
              <w:t>(</w:t>
            </w:r>
            <w:r w:rsidRPr="00F32158">
              <w:rPr>
                <w:sz w:val="24"/>
                <w:szCs w:val="24"/>
              </w:rPr>
              <w:t>20,372.87</w:t>
            </w:r>
            <w:r w:rsidRPr="00F32158">
              <w:rPr>
                <w:sz w:val="24"/>
                <w:szCs w:val="24"/>
                <w:lang w:val="uk-UA"/>
              </w:rPr>
              <w:t>-</w:t>
            </w:r>
            <w:r w:rsidRPr="00F32158">
              <w:rPr>
                <w:sz w:val="24"/>
                <w:szCs w:val="24"/>
              </w:rPr>
              <w:t>17,931.73</w:t>
            </w:r>
            <w:r w:rsidRPr="00F32158">
              <w:rPr>
                <w:sz w:val="24"/>
                <w:szCs w:val="24"/>
                <w:lang w:val="uk-UA"/>
              </w:rPr>
              <w:t>)</w:t>
            </w:r>
          </w:p>
        </w:tc>
      </w:tr>
      <w:tr w:rsidR="00F32158" w:rsidRPr="00F32158" w:rsidTr="00BF1F99">
        <w:trPr>
          <w:jc w:val="center"/>
        </w:trPr>
        <w:tc>
          <w:tcPr>
            <w:tcW w:w="959" w:type="dxa"/>
          </w:tcPr>
          <w:p w:rsidR="00F32158" w:rsidRPr="00F32158" w:rsidRDefault="00F32158" w:rsidP="00FD76DB">
            <w:pPr>
              <w:jc w:val="center"/>
              <w:rPr>
                <w:rFonts w:eastAsia="Calibri"/>
                <w:sz w:val="24"/>
                <w:szCs w:val="24"/>
                <w:lang w:val="uk-UA"/>
              </w:rPr>
            </w:pPr>
            <w:r w:rsidRPr="00F32158">
              <w:rPr>
                <w:rFonts w:eastAsia="Calibri"/>
                <w:sz w:val="24"/>
                <w:szCs w:val="24"/>
                <w:lang w:val="uk-UA"/>
              </w:rPr>
              <w:t>2011</w:t>
            </w:r>
          </w:p>
          <w:p w:rsidR="00F32158" w:rsidRPr="00F32158" w:rsidRDefault="00F32158" w:rsidP="00FD76DB">
            <w:pPr>
              <w:jc w:val="center"/>
              <w:rPr>
                <w:rFonts w:eastAsia="Calibri"/>
                <w:sz w:val="24"/>
                <w:szCs w:val="24"/>
                <w:lang w:val="uk-UA"/>
              </w:rPr>
            </w:pPr>
            <w:r w:rsidRPr="00F32158">
              <w:rPr>
                <w:rFonts w:eastAsia="Calibri"/>
                <w:sz w:val="24"/>
                <w:szCs w:val="24"/>
                <w:lang w:val="uk-UA"/>
              </w:rPr>
              <w:t>ДІ</w:t>
            </w:r>
          </w:p>
        </w:tc>
        <w:tc>
          <w:tcPr>
            <w:tcW w:w="2693" w:type="dxa"/>
          </w:tcPr>
          <w:p w:rsidR="00F32158" w:rsidRPr="00F32158" w:rsidRDefault="00F32158" w:rsidP="00FD76DB">
            <w:pPr>
              <w:jc w:val="center"/>
              <w:rPr>
                <w:sz w:val="24"/>
                <w:szCs w:val="24"/>
              </w:rPr>
            </w:pPr>
            <w:r w:rsidRPr="00F32158">
              <w:rPr>
                <w:sz w:val="24"/>
                <w:szCs w:val="24"/>
              </w:rPr>
              <w:t>20,644.04</w:t>
            </w:r>
          </w:p>
          <w:p w:rsidR="00F32158" w:rsidRPr="00F32158" w:rsidRDefault="00F32158" w:rsidP="00FD76DB">
            <w:pPr>
              <w:jc w:val="center"/>
              <w:rPr>
                <w:sz w:val="24"/>
                <w:szCs w:val="24"/>
                <w:lang w:val="uk-UA"/>
              </w:rPr>
            </w:pPr>
            <w:r w:rsidRPr="00F32158">
              <w:rPr>
                <w:sz w:val="24"/>
                <w:szCs w:val="24"/>
                <w:lang w:val="uk-UA"/>
              </w:rPr>
              <w:t>(</w:t>
            </w:r>
            <w:r w:rsidRPr="00F32158">
              <w:rPr>
                <w:sz w:val="24"/>
                <w:szCs w:val="24"/>
              </w:rPr>
              <w:t>21,966.88</w:t>
            </w:r>
            <w:r w:rsidRPr="00F32158">
              <w:rPr>
                <w:sz w:val="24"/>
                <w:szCs w:val="24"/>
                <w:lang w:val="uk-UA"/>
              </w:rPr>
              <w:t>-</w:t>
            </w:r>
            <w:r w:rsidRPr="00F32158">
              <w:rPr>
                <w:sz w:val="24"/>
                <w:szCs w:val="24"/>
              </w:rPr>
              <w:t>19,344.80</w:t>
            </w:r>
            <w:r w:rsidRPr="00F32158">
              <w:rPr>
                <w:sz w:val="24"/>
                <w:szCs w:val="24"/>
                <w:lang w:val="uk-UA"/>
              </w:rPr>
              <w:t>)</w:t>
            </w:r>
          </w:p>
        </w:tc>
        <w:tc>
          <w:tcPr>
            <w:tcW w:w="2977" w:type="dxa"/>
          </w:tcPr>
          <w:p w:rsidR="00F32158" w:rsidRPr="00F32158" w:rsidRDefault="00F32158" w:rsidP="00FD76DB">
            <w:pPr>
              <w:jc w:val="center"/>
              <w:rPr>
                <w:sz w:val="24"/>
                <w:szCs w:val="24"/>
              </w:rPr>
            </w:pPr>
            <w:r w:rsidRPr="00F32158">
              <w:rPr>
                <w:sz w:val="24"/>
                <w:szCs w:val="24"/>
              </w:rPr>
              <w:t>22,885.38</w:t>
            </w:r>
          </w:p>
          <w:p w:rsidR="00F32158" w:rsidRPr="00F32158" w:rsidRDefault="00F32158" w:rsidP="00FD76DB">
            <w:pPr>
              <w:jc w:val="center"/>
              <w:rPr>
                <w:sz w:val="24"/>
                <w:szCs w:val="24"/>
                <w:lang w:val="uk-UA"/>
              </w:rPr>
            </w:pPr>
            <w:r w:rsidRPr="00F32158">
              <w:rPr>
                <w:sz w:val="24"/>
                <w:szCs w:val="24"/>
                <w:lang w:val="uk-UA"/>
              </w:rPr>
              <w:t>(</w:t>
            </w:r>
            <w:r w:rsidRPr="00F32158">
              <w:rPr>
                <w:sz w:val="24"/>
                <w:szCs w:val="24"/>
              </w:rPr>
              <w:t>24,347.82</w:t>
            </w:r>
            <w:r w:rsidRPr="00F32158">
              <w:rPr>
                <w:sz w:val="24"/>
                <w:szCs w:val="24"/>
                <w:lang w:val="uk-UA"/>
              </w:rPr>
              <w:t>-</w:t>
            </w:r>
            <w:r w:rsidRPr="00F32158">
              <w:rPr>
                <w:sz w:val="24"/>
                <w:szCs w:val="24"/>
              </w:rPr>
              <w:t>21,347.20</w:t>
            </w:r>
            <w:r w:rsidRPr="00F32158">
              <w:rPr>
                <w:sz w:val="24"/>
                <w:szCs w:val="24"/>
                <w:lang w:val="uk-UA"/>
              </w:rPr>
              <w:t>)</w:t>
            </w:r>
          </w:p>
        </w:tc>
        <w:tc>
          <w:tcPr>
            <w:tcW w:w="2942" w:type="dxa"/>
          </w:tcPr>
          <w:p w:rsidR="00F32158" w:rsidRPr="00F32158" w:rsidRDefault="00F32158" w:rsidP="00FD76DB">
            <w:pPr>
              <w:shd w:val="clear" w:color="auto" w:fill="FFFFFF"/>
              <w:jc w:val="center"/>
              <w:rPr>
                <w:sz w:val="24"/>
                <w:szCs w:val="24"/>
              </w:rPr>
            </w:pPr>
            <w:r w:rsidRPr="00F32158">
              <w:rPr>
                <w:sz w:val="24"/>
                <w:szCs w:val="24"/>
              </w:rPr>
              <w:t>18,263.46</w:t>
            </w:r>
          </w:p>
          <w:p w:rsidR="00F32158" w:rsidRPr="00F32158" w:rsidRDefault="00F32158" w:rsidP="00FD76DB">
            <w:pPr>
              <w:shd w:val="clear" w:color="auto" w:fill="FFFFFF"/>
              <w:jc w:val="center"/>
              <w:rPr>
                <w:sz w:val="24"/>
                <w:szCs w:val="24"/>
                <w:lang w:val="uk-UA"/>
              </w:rPr>
            </w:pPr>
            <w:r w:rsidRPr="00F32158">
              <w:rPr>
                <w:sz w:val="24"/>
                <w:szCs w:val="24"/>
                <w:lang w:val="uk-UA"/>
              </w:rPr>
              <w:t>(</w:t>
            </w:r>
            <w:r w:rsidRPr="00F32158">
              <w:rPr>
                <w:sz w:val="24"/>
                <w:szCs w:val="24"/>
              </w:rPr>
              <w:t>19,443.26</w:t>
            </w:r>
            <w:r w:rsidRPr="00F32158">
              <w:rPr>
                <w:sz w:val="24"/>
                <w:szCs w:val="24"/>
                <w:lang w:val="uk-UA"/>
              </w:rPr>
              <w:t>-</w:t>
            </w:r>
            <w:r w:rsidRPr="00F32158">
              <w:rPr>
                <w:sz w:val="24"/>
                <w:szCs w:val="24"/>
              </w:rPr>
              <w:t>17,103.90</w:t>
            </w:r>
            <w:r w:rsidRPr="00F32158">
              <w:rPr>
                <w:sz w:val="24"/>
                <w:szCs w:val="24"/>
                <w:lang w:val="uk-UA"/>
              </w:rPr>
              <w:t>)</w:t>
            </w:r>
          </w:p>
        </w:tc>
      </w:tr>
      <w:tr w:rsidR="00F32158" w:rsidRPr="00F32158" w:rsidTr="00BF1F99">
        <w:trPr>
          <w:jc w:val="center"/>
        </w:trPr>
        <w:tc>
          <w:tcPr>
            <w:tcW w:w="959" w:type="dxa"/>
          </w:tcPr>
          <w:p w:rsidR="00F32158" w:rsidRPr="00F32158" w:rsidRDefault="00F32158" w:rsidP="00FD76DB">
            <w:pPr>
              <w:jc w:val="center"/>
              <w:rPr>
                <w:rFonts w:eastAsia="Calibri"/>
                <w:sz w:val="24"/>
                <w:szCs w:val="24"/>
                <w:lang w:val="uk-UA"/>
              </w:rPr>
            </w:pPr>
            <w:r w:rsidRPr="00F32158">
              <w:rPr>
                <w:rFonts w:eastAsia="Calibri"/>
                <w:sz w:val="24"/>
                <w:szCs w:val="24"/>
                <w:lang w:val="uk-UA"/>
              </w:rPr>
              <w:t>2012</w:t>
            </w:r>
          </w:p>
          <w:p w:rsidR="00F32158" w:rsidRPr="00F32158" w:rsidRDefault="00F32158" w:rsidP="00FD76DB">
            <w:pPr>
              <w:jc w:val="center"/>
              <w:rPr>
                <w:rFonts w:eastAsia="Calibri"/>
                <w:sz w:val="24"/>
                <w:szCs w:val="24"/>
                <w:lang w:val="uk-UA"/>
              </w:rPr>
            </w:pPr>
            <w:r w:rsidRPr="00F32158">
              <w:rPr>
                <w:rFonts w:eastAsia="Calibri"/>
                <w:sz w:val="24"/>
                <w:szCs w:val="24"/>
                <w:lang w:val="uk-UA"/>
              </w:rPr>
              <w:t>ДІ</w:t>
            </w:r>
          </w:p>
        </w:tc>
        <w:tc>
          <w:tcPr>
            <w:tcW w:w="2693" w:type="dxa"/>
          </w:tcPr>
          <w:p w:rsidR="00F32158" w:rsidRPr="00F32158" w:rsidRDefault="00F32158" w:rsidP="00FD76DB">
            <w:pPr>
              <w:jc w:val="center"/>
              <w:rPr>
                <w:sz w:val="24"/>
                <w:szCs w:val="24"/>
              </w:rPr>
            </w:pPr>
            <w:r w:rsidRPr="00F32158">
              <w:rPr>
                <w:sz w:val="24"/>
                <w:szCs w:val="24"/>
              </w:rPr>
              <w:t>19,779.66</w:t>
            </w:r>
          </w:p>
          <w:p w:rsidR="00F32158" w:rsidRPr="00F32158" w:rsidRDefault="00F32158" w:rsidP="00FD76DB">
            <w:pPr>
              <w:jc w:val="center"/>
              <w:rPr>
                <w:sz w:val="24"/>
                <w:szCs w:val="24"/>
                <w:lang w:val="uk-UA"/>
              </w:rPr>
            </w:pPr>
            <w:r w:rsidRPr="00F32158">
              <w:rPr>
                <w:sz w:val="24"/>
                <w:szCs w:val="24"/>
                <w:lang w:val="uk-UA"/>
              </w:rPr>
              <w:t>(</w:t>
            </w:r>
            <w:r w:rsidRPr="00F32158">
              <w:rPr>
                <w:sz w:val="24"/>
                <w:szCs w:val="24"/>
              </w:rPr>
              <w:t>21,179.72</w:t>
            </w:r>
            <w:r w:rsidRPr="00F32158">
              <w:rPr>
                <w:sz w:val="24"/>
                <w:szCs w:val="24"/>
                <w:lang w:val="uk-UA"/>
              </w:rPr>
              <w:t>-</w:t>
            </w:r>
            <w:r w:rsidRPr="00F32158">
              <w:rPr>
                <w:sz w:val="24"/>
                <w:szCs w:val="24"/>
              </w:rPr>
              <w:t>18,493.18</w:t>
            </w:r>
            <w:r w:rsidRPr="00F32158">
              <w:rPr>
                <w:sz w:val="24"/>
                <w:szCs w:val="24"/>
                <w:lang w:val="uk-UA"/>
              </w:rPr>
              <w:t>)</w:t>
            </w:r>
          </w:p>
        </w:tc>
        <w:tc>
          <w:tcPr>
            <w:tcW w:w="2977" w:type="dxa"/>
          </w:tcPr>
          <w:p w:rsidR="00F32158" w:rsidRPr="00F32158" w:rsidRDefault="00F32158" w:rsidP="00FD76DB">
            <w:pPr>
              <w:shd w:val="clear" w:color="auto" w:fill="FFFFFF"/>
              <w:jc w:val="center"/>
              <w:rPr>
                <w:sz w:val="24"/>
                <w:szCs w:val="24"/>
              </w:rPr>
            </w:pPr>
            <w:r w:rsidRPr="00F32158">
              <w:rPr>
                <w:sz w:val="24"/>
                <w:szCs w:val="24"/>
              </w:rPr>
              <w:t>21,870.75</w:t>
            </w:r>
          </w:p>
          <w:p w:rsidR="00F32158" w:rsidRPr="00F32158" w:rsidRDefault="00F32158" w:rsidP="00FD76DB">
            <w:pPr>
              <w:shd w:val="clear" w:color="auto" w:fill="FFFFFF"/>
              <w:jc w:val="center"/>
              <w:rPr>
                <w:sz w:val="24"/>
                <w:szCs w:val="24"/>
                <w:lang w:val="uk-UA"/>
              </w:rPr>
            </w:pPr>
            <w:r w:rsidRPr="00F32158">
              <w:rPr>
                <w:sz w:val="24"/>
                <w:szCs w:val="24"/>
                <w:lang w:val="uk-UA"/>
              </w:rPr>
              <w:t>(</w:t>
            </w:r>
            <w:r w:rsidRPr="00F32158">
              <w:rPr>
                <w:sz w:val="24"/>
                <w:szCs w:val="24"/>
              </w:rPr>
              <w:t>23,373.57</w:t>
            </w:r>
            <w:r w:rsidRPr="00F32158">
              <w:rPr>
                <w:sz w:val="24"/>
                <w:szCs w:val="24"/>
                <w:lang w:val="uk-UA"/>
              </w:rPr>
              <w:t>-</w:t>
            </w:r>
            <w:r w:rsidRPr="00F32158">
              <w:rPr>
                <w:sz w:val="24"/>
                <w:szCs w:val="24"/>
              </w:rPr>
              <w:t>20,466.14</w:t>
            </w:r>
            <w:r w:rsidRPr="00F32158">
              <w:rPr>
                <w:sz w:val="24"/>
                <w:szCs w:val="24"/>
                <w:lang w:val="uk-UA"/>
              </w:rPr>
              <w:t>)</w:t>
            </w:r>
          </w:p>
        </w:tc>
        <w:tc>
          <w:tcPr>
            <w:tcW w:w="2942" w:type="dxa"/>
          </w:tcPr>
          <w:p w:rsidR="00F32158" w:rsidRPr="00F32158" w:rsidRDefault="00F32158" w:rsidP="00FD76DB">
            <w:pPr>
              <w:jc w:val="center"/>
              <w:rPr>
                <w:sz w:val="24"/>
                <w:szCs w:val="24"/>
              </w:rPr>
            </w:pPr>
            <w:r w:rsidRPr="00F32158">
              <w:rPr>
                <w:sz w:val="24"/>
                <w:szCs w:val="24"/>
              </w:rPr>
              <w:t>17,556.38</w:t>
            </w:r>
          </w:p>
          <w:p w:rsidR="00F32158" w:rsidRPr="00F32158" w:rsidRDefault="00F32158" w:rsidP="00FD76DB">
            <w:pPr>
              <w:jc w:val="center"/>
              <w:rPr>
                <w:sz w:val="24"/>
                <w:szCs w:val="24"/>
                <w:lang w:val="uk-UA"/>
              </w:rPr>
            </w:pPr>
            <w:r w:rsidRPr="00F32158">
              <w:rPr>
                <w:sz w:val="24"/>
                <w:szCs w:val="24"/>
                <w:lang w:val="uk-UA"/>
              </w:rPr>
              <w:t>(</w:t>
            </w:r>
            <w:r w:rsidRPr="00F32158">
              <w:rPr>
                <w:sz w:val="24"/>
                <w:szCs w:val="24"/>
              </w:rPr>
              <w:t>18,814.38</w:t>
            </w:r>
            <w:r w:rsidRPr="00F32158">
              <w:rPr>
                <w:sz w:val="24"/>
                <w:szCs w:val="24"/>
                <w:lang w:val="uk-UA"/>
              </w:rPr>
              <w:t>-</w:t>
            </w:r>
            <w:r w:rsidRPr="00F32158">
              <w:rPr>
                <w:sz w:val="24"/>
                <w:szCs w:val="24"/>
              </w:rPr>
              <w:t>16,382.55</w:t>
            </w:r>
            <w:r w:rsidRPr="00F32158">
              <w:rPr>
                <w:sz w:val="24"/>
                <w:szCs w:val="24"/>
                <w:lang w:val="uk-UA"/>
              </w:rPr>
              <w:t>)</w:t>
            </w:r>
          </w:p>
        </w:tc>
      </w:tr>
      <w:tr w:rsidR="00F32158" w:rsidRPr="00F32158" w:rsidTr="00BF1F99">
        <w:trPr>
          <w:jc w:val="center"/>
        </w:trPr>
        <w:tc>
          <w:tcPr>
            <w:tcW w:w="959" w:type="dxa"/>
          </w:tcPr>
          <w:p w:rsidR="00F32158" w:rsidRPr="00F32158" w:rsidRDefault="00F32158" w:rsidP="00FD76DB">
            <w:pPr>
              <w:jc w:val="center"/>
              <w:rPr>
                <w:rFonts w:eastAsia="Calibri"/>
                <w:sz w:val="24"/>
                <w:szCs w:val="24"/>
                <w:lang w:val="uk-UA"/>
              </w:rPr>
            </w:pPr>
            <w:r w:rsidRPr="00F32158">
              <w:rPr>
                <w:rFonts w:eastAsia="Calibri"/>
                <w:sz w:val="24"/>
                <w:szCs w:val="24"/>
                <w:lang w:val="uk-UA"/>
              </w:rPr>
              <w:t>2013</w:t>
            </w:r>
          </w:p>
          <w:p w:rsidR="00F32158" w:rsidRPr="00F32158" w:rsidRDefault="00F32158" w:rsidP="00FD76DB">
            <w:pPr>
              <w:jc w:val="center"/>
              <w:rPr>
                <w:rFonts w:eastAsia="Calibri"/>
                <w:sz w:val="24"/>
                <w:szCs w:val="24"/>
                <w:lang w:val="uk-UA"/>
              </w:rPr>
            </w:pPr>
            <w:r w:rsidRPr="00F32158">
              <w:rPr>
                <w:rFonts w:eastAsia="Calibri"/>
                <w:sz w:val="24"/>
                <w:szCs w:val="24"/>
                <w:lang w:val="uk-UA"/>
              </w:rPr>
              <w:t>ДІ</w:t>
            </w:r>
          </w:p>
        </w:tc>
        <w:tc>
          <w:tcPr>
            <w:tcW w:w="2693" w:type="dxa"/>
          </w:tcPr>
          <w:p w:rsidR="00F32158" w:rsidRPr="00F32158" w:rsidRDefault="00F32158" w:rsidP="00FD76DB">
            <w:pPr>
              <w:shd w:val="clear" w:color="auto" w:fill="FFFFFF"/>
              <w:jc w:val="center"/>
              <w:rPr>
                <w:sz w:val="24"/>
                <w:szCs w:val="24"/>
              </w:rPr>
            </w:pPr>
            <w:r w:rsidRPr="00F32158">
              <w:rPr>
                <w:sz w:val="24"/>
                <w:szCs w:val="24"/>
              </w:rPr>
              <w:t>18,451.99</w:t>
            </w:r>
          </w:p>
          <w:p w:rsidR="00F32158" w:rsidRPr="00F32158" w:rsidRDefault="00F32158" w:rsidP="00FD76DB">
            <w:pPr>
              <w:shd w:val="clear" w:color="auto" w:fill="FFFFFF"/>
              <w:jc w:val="center"/>
              <w:rPr>
                <w:sz w:val="24"/>
                <w:szCs w:val="24"/>
                <w:lang w:val="uk-UA"/>
              </w:rPr>
            </w:pPr>
            <w:r w:rsidRPr="00F32158">
              <w:rPr>
                <w:sz w:val="24"/>
                <w:szCs w:val="24"/>
                <w:lang w:val="uk-UA"/>
              </w:rPr>
              <w:t>(</w:t>
            </w:r>
            <w:r w:rsidRPr="00F32158">
              <w:rPr>
                <w:sz w:val="24"/>
                <w:szCs w:val="24"/>
              </w:rPr>
              <w:t>19,801.58</w:t>
            </w:r>
            <w:r w:rsidRPr="00F32158">
              <w:rPr>
                <w:sz w:val="24"/>
                <w:szCs w:val="24"/>
                <w:lang w:val="uk-UA"/>
              </w:rPr>
              <w:t>-</w:t>
            </w:r>
            <w:r w:rsidRPr="00F32158">
              <w:rPr>
                <w:sz w:val="24"/>
                <w:szCs w:val="24"/>
              </w:rPr>
              <w:t>17,185.69</w:t>
            </w:r>
            <w:r w:rsidRPr="00F32158">
              <w:rPr>
                <w:sz w:val="24"/>
                <w:szCs w:val="24"/>
                <w:lang w:val="uk-UA"/>
              </w:rPr>
              <w:t>)</w:t>
            </w:r>
          </w:p>
        </w:tc>
        <w:tc>
          <w:tcPr>
            <w:tcW w:w="2977" w:type="dxa"/>
          </w:tcPr>
          <w:p w:rsidR="00F32158" w:rsidRPr="00F32158" w:rsidRDefault="00F32158" w:rsidP="00FD76DB">
            <w:pPr>
              <w:jc w:val="center"/>
              <w:rPr>
                <w:sz w:val="24"/>
                <w:szCs w:val="24"/>
              </w:rPr>
            </w:pPr>
            <w:r w:rsidRPr="00F32158">
              <w:rPr>
                <w:sz w:val="24"/>
                <w:szCs w:val="24"/>
              </w:rPr>
              <w:t>20,356.34</w:t>
            </w:r>
          </w:p>
          <w:p w:rsidR="00F32158" w:rsidRPr="00F32158" w:rsidRDefault="00F32158" w:rsidP="00FD76DB">
            <w:pPr>
              <w:jc w:val="center"/>
              <w:rPr>
                <w:sz w:val="24"/>
                <w:szCs w:val="24"/>
                <w:lang w:val="uk-UA"/>
              </w:rPr>
            </w:pPr>
            <w:r w:rsidRPr="00F32158">
              <w:rPr>
                <w:sz w:val="24"/>
                <w:szCs w:val="24"/>
                <w:lang w:val="uk-UA"/>
              </w:rPr>
              <w:t>(</w:t>
            </w:r>
            <w:r w:rsidRPr="00F32158">
              <w:rPr>
                <w:sz w:val="24"/>
                <w:szCs w:val="24"/>
              </w:rPr>
              <w:t>21,913.71</w:t>
            </w:r>
            <w:r w:rsidRPr="00F32158">
              <w:rPr>
                <w:sz w:val="24"/>
                <w:szCs w:val="24"/>
                <w:lang w:val="uk-UA"/>
              </w:rPr>
              <w:t>-</w:t>
            </w:r>
            <w:r w:rsidRPr="00F32158">
              <w:rPr>
                <w:sz w:val="24"/>
                <w:szCs w:val="24"/>
              </w:rPr>
              <w:t>18,943.26</w:t>
            </w:r>
            <w:r w:rsidRPr="00F32158">
              <w:rPr>
                <w:sz w:val="24"/>
                <w:szCs w:val="24"/>
                <w:lang w:val="uk-UA"/>
              </w:rPr>
              <w:t>)</w:t>
            </w:r>
          </w:p>
        </w:tc>
        <w:tc>
          <w:tcPr>
            <w:tcW w:w="2942" w:type="dxa"/>
          </w:tcPr>
          <w:p w:rsidR="00F32158" w:rsidRPr="00F32158" w:rsidRDefault="00F32158" w:rsidP="00FD76DB">
            <w:pPr>
              <w:shd w:val="clear" w:color="auto" w:fill="FFFFFF"/>
              <w:jc w:val="center"/>
              <w:rPr>
                <w:sz w:val="24"/>
                <w:szCs w:val="24"/>
              </w:rPr>
            </w:pPr>
            <w:r w:rsidRPr="00F32158">
              <w:rPr>
                <w:sz w:val="24"/>
                <w:szCs w:val="24"/>
              </w:rPr>
              <w:t>16,426.22</w:t>
            </w:r>
          </w:p>
          <w:p w:rsidR="00F32158" w:rsidRPr="00F32158" w:rsidRDefault="00F32158" w:rsidP="00FD76DB">
            <w:pPr>
              <w:shd w:val="clear" w:color="auto" w:fill="FFFFFF"/>
              <w:jc w:val="center"/>
              <w:rPr>
                <w:sz w:val="24"/>
                <w:szCs w:val="24"/>
                <w:lang w:val="uk-UA"/>
              </w:rPr>
            </w:pPr>
            <w:r w:rsidRPr="00F32158">
              <w:rPr>
                <w:sz w:val="24"/>
                <w:szCs w:val="24"/>
                <w:lang w:val="uk-UA"/>
              </w:rPr>
              <w:t>(</w:t>
            </w:r>
            <w:r w:rsidRPr="00F32158">
              <w:rPr>
                <w:sz w:val="24"/>
                <w:szCs w:val="24"/>
              </w:rPr>
              <w:t>17,722.23</w:t>
            </w:r>
            <w:r w:rsidRPr="00F32158">
              <w:rPr>
                <w:sz w:val="24"/>
                <w:szCs w:val="24"/>
                <w:lang w:val="uk-UA"/>
              </w:rPr>
              <w:t>-</w:t>
            </w:r>
            <w:r w:rsidRPr="00F32158">
              <w:rPr>
                <w:sz w:val="24"/>
                <w:szCs w:val="24"/>
              </w:rPr>
              <w:t>15,227.85</w:t>
            </w:r>
            <w:r w:rsidRPr="00F32158">
              <w:rPr>
                <w:sz w:val="24"/>
                <w:szCs w:val="24"/>
                <w:lang w:val="uk-UA"/>
              </w:rPr>
              <w:t>)</w:t>
            </w:r>
          </w:p>
        </w:tc>
      </w:tr>
      <w:tr w:rsidR="00F32158" w:rsidRPr="00F32158" w:rsidTr="00BF1F99">
        <w:trPr>
          <w:jc w:val="center"/>
        </w:trPr>
        <w:tc>
          <w:tcPr>
            <w:tcW w:w="959" w:type="dxa"/>
          </w:tcPr>
          <w:p w:rsidR="00F32158" w:rsidRPr="00F32158" w:rsidRDefault="00F32158" w:rsidP="00FD76DB">
            <w:pPr>
              <w:jc w:val="center"/>
              <w:rPr>
                <w:rFonts w:eastAsia="Calibri"/>
                <w:sz w:val="24"/>
                <w:szCs w:val="24"/>
                <w:lang w:val="uk-UA"/>
              </w:rPr>
            </w:pPr>
            <w:r w:rsidRPr="00F32158">
              <w:rPr>
                <w:rFonts w:eastAsia="Calibri"/>
                <w:sz w:val="24"/>
                <w:szCs w:val="24"/>
                <w:lang w:val="uk-UA"/>
              </w:rPr>
              <w:t>2014</w:t>
            </w:r>
          </w:p>
          <w:p w:rsidR="00F32158" w:rsidRPr="00F32158" w:rsidRDefault="00F32158" w:rsidP="00FD76DB">
            <w:pPr>
              <w:jc w:val="center"/>
              <w:rPr>
                <w:rFonts w:eastAsia="Calibri"/>
                <w:sz w:val="24"/>
                <w:szCs w:val="24"/>
                <w:lang w:val="uk-UA"/>
              </w:rPr>
            </w:pPr>
            <w:r w:rsidRPr="00F32158">
              <w:rPr>
                <w:rFonts w:eastAsia="Calibri"/>
                <w:sz w:val="24"/>
                <w:szCs w:val="24"/>
                <w:lang w:val="uk-UA"/>
              </w:rPr>
              <w:t>ДІ</w:t>
            </w:r>
          </w:p>
        </w:tc>
        <w:tc>
          <w:tcPr>
            <w:tcW w:w="2693" w:type="dxa"/>
          </w:tcPr>
          <w:p w:rsidR="00F32158" w:rsidRPr="00F32158" w:rsidRDefault="00F32158" w:rsidP="00FD76DB">
            <w:pPr>
              <w:jc w:val="center"/>
              <w:rPr>
                <w:sz w:val="24"/>
                <w:szCs w:val="24"/>
              </w:rPr>
            </w:pPr>
            <w:r w:rsidRPr="00F32158">
              <w:rPr>
                <w:sz w:val="24"/>
                <w:szCs w:val="24"/>
              </w:rPr>
              <w:t>19,303.48</w:t>
            </w:r>
          </w:p>
          <w:p w:rsidR="00F32158" w:rsidRPr="00F32158" w:rsidRDefault="00F32158" w:rsidP="00FD76DB">
            <w:pPr>
              <w:jc w:val="center"/>
              <w:rPr>
                <w:sz w:val="24"/>
                <w:szCs w:val="24"/>
                <w:lang w:val="uk-UA"/>
              </w:rPr>
            </w:pPr>
            <w:r w:rsidRPr="00F32158">
              <w:rPr>
                <w:sz w:val="24"/>
                <w:szCs w:val="24"/>
                <w:lang w:val="uk-UA"/>
              </w:rPr>
              <w:t>(</w:t>
            </w:r>
            <w:r w:rsidRPr="00F32158">
              <w:rPr>
                <w:sz w:val="24"/>
                <w:szCs w:val="24"/>
              </w:rPr>
              <w:t>20,741.46</w:t>
            </w:r>
            <w:r w:rsidRPr="00F32158">
              <w:rPr>
                <w:sz w:val="24"/>
                <w:szCs w:val="24"/>
                <w:lang w:val="uk-UA"/>
              </w:rPr>
              <w:t>-</w:t>
            </w:r>
            <w:r w:rsidRPr="00F32158">
              <w:rPr>
                <w:sz w:val="24"/>
                <w:szCs w:val="24"/>
              </w:rPr>
              <w:t>17,943.31</w:t>
            </w:r>
            <w:r w:rsidRPr="00F32158">
              <w:rPr>
                <w:sz w:val="24"/>
                <w:szCs w:val="24"/>
                <w:lang w:val="uk-UA"/>
              </w:rPr>
              <w:t>)</w:t>
            </w:r>
          </w:p>
        </w:tc>
        <w:tc>
          <w:tcPr>
            <w:tcW w:w="2977" w:type="dxa"/>
          </w:tcPr>
          <w:p w:rsidR="00F32158" w:rsidRPr="00F32158" w:rsidRDefault="00F32158" w:rsidP="00FD76DB">
            <w:pPr>
              <w:jc w:val="center"/>
              <w:rPr>
                <w:sz w:val="24"/>
                <w:szCs w:val="24"/>
              </w:rPr>
            </w:pPr>
            <w:r w:rsidRPr="00F32158">
              <w:rPr>
                <w:sz w:val="24"/>
                <w:szCs w:val="24"/>
              </w:rPr>
              <w:t>20,994.55</w:t>
            </w:r>
          </w:p>
          <w:p w:rsidR="00F32158" w:rsidRPr="00F32158" w:rsidRDefault="00F32158" w:rsidP="00FD76DB">
            <w:pPr>
              <w:jc w:val="center"/>
              <w:rPr>
                <w:sz w:val="24"/>
                <w:szCs w:val="24"/>
                <w:lang w:val="uk-UA"/>
              </w:rPr>
            </w:pPr>
            <w:r w:rsidRPr="00F32158">
              <w:rPr>
                <w:sz w:val="24"/>
                <w:szCs w:val="24"/>
                <w:lang w:val="uk-UA"/>
              </w:rPr>
              <w:t>(</w:t>
            </w:r>
            <w:r w:rsidRPr="00F32158">
              <w:rPr>
                <w:sz w:val="24"/>
                <w:szCs w:val="24"/>
              </w:rPr>
              <w:t>22,613.54</w:t>
            </w:r>
            <w:r w:rsidRPr="00F32158">
              <w:rPr>
                <w:sz w:val="24"/>
                <w:szCs w:val="24"/>
                <w:lang w:val="uk-UA"/>
              </w:rPr>
              <w:t>-</w:t>
            </w:r>
            <w:r w:rsidRPr="00F32158">
              <w:rPr>
                <w:sz w:val="24"/>
                <w:szCs w:val="24"/>
              </w:rPr>
              <w:t>19,529.38</w:t>
            </w:r>
            <w:r w:rsidRPr="00F32158">
              <w:rPr>
                <w:sz w:val="24"/>
                <w:szCs w:val="24"/>
                <w:lang w:val="uk-UA"/>
              </w:rPr>
              <w:t>)</w:t>
            </w:r>
          </w:p>
        </w:tc>
        <w:tc>
          <w:tcPr>
            <w:tcW w:w="2942" w:type="dxa"/>
          </w:tcPr>
          <w:p w:rsidR="00F32158" w:rsidRPr="00F32158" w:rsidRDefault="00F32158" w:rsidP="00FD76DB">
            <w:pPr>
              <w:shd w:val="clear" w:color="auto" w:fill="FFFFFF"/>
              <w:jc w:val="center"/>
              <w:rPr>
                <w:sz w:val="24"/>
                <w:szCs w:val="24"/>
              </w:rPr>
            </w:pPr>
            <w:r w:rsidRPr="00F32158">
              <w:rPr>
                <w:sz w:val="24"/>
                <w:szCs w:val="24"/>
              </w:rPr>
              <w:t>17,504.89</w:t>
            </w:r>
          </w:p>
          <w:p w:rsidR="00F32158" w:rsidRPr="00F32158" w:rsidRDefault="00F32158" w:rsidP="00FD76DB">
            <w:pPr>
              <w:shd w:val="clear" w:color="auto" w:fill="FFFFFF"/>
              <w:jc w:val="center"/>
              <w:rPr>
                <w:sz w:val="24"/>
                <w:szCs w:val="24"/>
                <w:lang w:val="uk-UA"/>
              </w:rPr>
            </w:pPr>
            <w:r w:rsidRPr="00F32158">
              <w:rPr>
                <w:sz w:val="24"/>
                <w:szCs w:val="24"/>
                <w:lang w:val="uk-UA"/>
              </w:rPr>
              <w:t>(</w:t>
            </w:r>
            <w:r w:rsidRPr="00F32158">
              <w:rPr>
                <w:sz w:val="24"/>
                <w:szCs w:val="24"/>
              </w:rPr>
              <w:t>18,850.21</w:t>
            </w:r>
            <w:r w:rsidRPr="00F32158">
              <w:rPr>
                <w:sz w:val="24"/>
                <w:szCs w:val="24"/>
                <w:lang w:val="uk-UA"/>
              </w:rPr>
              <w:t>-</w:t>
            </w:r>
            <w:r w:rsidRPr="00F32158">
              <w:rPr>
                <w:sz w:val="24"/>
                <w:szCs w:val="24"/>
              </w:rPr>
              <w:t>16,256.62</w:t>
            </w:r>
            <w:r w:rsidRPr="00F32158">
              <w:rPr>
                <w:sz w:val="24"/>
                <w:szCs w:val="24"/>
                <w:lang w:val="uk-UA"/>
              </w:rPr>
              <w:t>)</w:t>
            </w:r>
          </w:p>
        </w:tc>
      </w:tr>
      <w:tr w:rsidR="00F32158" w:rsidRPr="00F32158" w:rsidTr="00BF1F99">
        <w:trPr>
          <w:jc w:val="center"/>
        </w:trPr>
        <w:tc>
          <w:tcPr>
            <w:tcW w:w="959" w:type="dxa"/>
          </w:tcPr>
          <w:p w:rsidR="00F32158" w:rsidRPr="00F32158" w:rsidRDefault="00F32158" w:rsidP="00FD76DB">
            <w:pPr>
              <w:jc w:val="center"/>
              <w:rPr>
                <w:rFonts w:eastAsia="Calibri"/>
                <w:sz w:val="24"/>
                <w:szCs w:val="24"/>
                <w:lang w:val="uk-UA"/>
              </w:rPr>
            </w:pPr>
            <w:r w:rsidRPr="00F32158">
              <w:rPr>
                <w:rFonts w:eastAsia="Calibri"/>
                <w:sz w:val="24"/>
                <w:szCs w:val="24"/>
                <w:lang w:val="uk-UA"/>
              </w:rPr>
              <w:t>2015</w:t>
            </w:r>
          </w:p>
          <w:p w:rsidR="00F32158" w:rsidRPr="00F32158" w:rsidRDefault="00F32158" w:rsidP="00FD76DB">
            <w:pPr>
              <w:jc w:val="center"/>
              <w:rPr>
                <w:rFonts w:eastAsia="Calibri"/>
                <w:sz w:val="24"/>
                <w:szCs w:val="24"/>
                <w:lang w:val="uk-UA"/>
              </w:rPr>
            </w:pPr>
            <w:r w:rsidRPr="00F32158">
              <w:rPr>
                <w:rFonts w:eastAsia="Calibri"/>
                <w:sz w:val="24"/>
                <w:szCs w:val="24"/>
                <w:lang w:val="uk-UA"/>
              </w:rPr>
              <w:t>ДІ</w:t>
            </w:r>
          </w:p>
        </w:tc>
        <w:tc>
          <w:tcPr>
            <w:tcW w:w="2693" w:type="dxa"/>
          </w:tcPr>
          <w:p w:rsidR="00F32158" w:rsidRPr="00F32158" w:rsidRDefault="00F32158" w:rsidP="00FD76DB">
            <w:pPr>
              <w:shd w:val="clear" w:color="auto" w:fill="FFFFFF"/>
              <w:jc w:val="center"/>
              <w:rPr>
                <w:sz w:val="24"/>
                <w:szCs w:val="24"/>
              </w:rPr>
            </w:pPr>
            <w:r w:rsidRPr="00F32158">
              <w:rPr>
                <w:sz w:val="24"/>
                <w:szCs w:val="24"/>
              </w:rPr>
              <w:t>20,075.55</w:t>
            </w:r>
          </w:p>
          <w:p w:rsidR="00F32158" w:rsidRPr="00F32158" w:rsidRDefault="00F32158" w:rsidP="00FD76DB">
            <w:pPr>
              <w:shd w:val="clear" w:color="auto" w:fill="FFFFFF"/>
              <w:jc w:val="center"/>
              <w:rPr>
                <w:sz w:val="24"/>
                <w:szCs w:val="24"/>
                <w:lang w:val="uk-UA"/>
              </w:rPr>
            </w:pPr>
            <w:r w:rsidRPr="00F32158">
              <w:rPr>
                <w:sz w:val="24"/>
                <w:szCs w:val="24"/>
                <w:lang w:val="uk-UA"/>
              </w:rPr>
              <w:t>(</w:t>
            </w:r>
            <w:r w:rsidRPr="00F32158">
              <w:rPr>
                <w:sz w:val="24"/>
                <w:szCs w:val="24"/>
              </w:rPr>
              <w:t>21,797.35</w:t>
            </w:r>
            <w:r w:rsidRPr="00F32158">
              <w:rPr>
                <w:sz w:val="24"/>
                <w:szCs w:val="24"/>
                <w:lang w:val="uk-UA"/>
              </w:rPr>
              <w:t>-</w:t>
            </w:r>
            <w:r w:rsidRPr="00F32158">
              <w:rPr>
                <w:sz w:val="24"/>
                <w:szCs w:val="24"/>
              </w:rPr>
              <w:t>18,396.49</w:t>
            </w:r>
            <w:r w:rsidRPr="00F32158">
              <w:rPr>
                <w:sz w:val="24"/>
                <w:szCs w:val="24"/>
                <w:lang w:val="uk-UA"/>
              </w:rPr>
              <w:t>)</w:t>
            </w:r>
          </w:p>
        </w:tc>
        <w:tc>
          <w:tcPr>
            <w:tcW w:w="2977" w:type="dxa"/>
          </w:tcPr>
          <w:p w:rsidR="00F32158" w:rsidRPr="00F32158" w:rsidRDefault="00F32158" w:rsidP="00FD76DB">
            <w:pPr>
              <w:shd w:val="clear" w:color="auto" w:fill="FFFFFF"/>
              <w:jc w:val="center"/>
              <w:rPr>
                <w:sz w:val="24"/>
                <w:szCs w:val="24"/>
              </w:rPr>
            </w:pPr>
            <w:r w:rsidRPr="00F32158">
              <w:rPr>
                <w:sz w:val="24"/>
                <w:szCs w:val="24"/>
              </w:rPr>
              <w:t>22,057.73</w:t>
            </w:r>
          </w:p>
          <w:p w:rsidR="00F32158" w:rsidRPr="00F32158" w:rsidRDefault="00F32158" w:rsidP="00FD76DB">
            <w:pPr>
              <w:shd w:val="clear" w:color="auto" w:fill="FFFFFF"/>
              <w:jc w:val="center"/>
              <w:rPr>
                <w:sz w:val="24"/>
                <w:szCs w:val="24"/>
                <w:lang w:val="uk-UA"/>
              </w:rPr>
            </w:pPr>
            <w:r w:rsidRPr="00F32158">
              <w:rPr>
                <w:sz w:val="24"/>
                <w:szCs w:val="24"/>
                <w:lang w:val="uk-UA"/>
              </w:rPr>
              <w:t>(</w:t>
            </w:r>
            <w:r w:rsidRPr="00F32158">
              <w:rPr>
                <w:sz w:val="24"/>
                <w:szCs w:val="24"/>
              </w:rPr>
              <w:t>23,989.12</w:t>
            </w:r>
            <w:r w:rsidRPr="00F32158">
              <w:rPr>
                <w:sz w:val="24"/>
                <w:szCs w:val="24"/>
                <w:lang w:val="uk-UA"/>
              </w:rPr>
              <w:t>-</w:t>
            </w:r>
            <w:r w:rsidRPr="00F32158">
              <w:rPr>
                <w:sz w:val="24"/>
                <w:szCs w:val="24"/>
              </w:rPr>
              <w:t>20,145.13</w:t>
            </w:r>
            <w:r w:rsidRPr="00F32158">
              <w:rPr>
                <w:sz w:val="24"/>
                <w:szCs w:val="24"/>
                <w:lang w:val="uk-UA"/>
              </w:rPr>
              <w:t>)</w:t>
            </w:r>
          </w:p>
        </w:tc>
        <w:tc>
          <w:tcPr>
            <w:tcW w:w="2942" w:type="dxa"/>
          </w:tcPr>
          <w:p w:rsidR="00F32158" w:rsidRPr="00F32158" w:rsidRDefault="00F32158" w:rsidP="00FD76DB">
            <w:pPr>
              <w:jc w:val="center"/>
              <w:rPr>
                <w:sz w:val="24"/>
                <w:szCs w:val="24"/>
              </w:rPr>
            </w:pPr>
            <w:r w:rsidRPr="00F32158">
              <w:rPr>
                <w:sz w:val="24"/>
                <w:szCs w:val="24"/>
              </w:rPr>
              <w:t>17,968.27</w:t>
            </w:r>
          </w:p>
          <w:p w:rsidR="00F32158" w:rsidRPr="00F32158" w:rsidRDefault="00F32158" w:rsidP="00FD76DB">
            <w:pPr>
              <w:jc w:val="center"/>
              <w:rPr>
                <w:sz w:val="24"/>
                <w:szCs w:val="24"/>
                <w:lang w:val="uk-UA"/>
              </w:rPr>
            </w:pPr>
            <w:r w:rsidRPr="00F32158">
              <w:rPr>
                <w:sz w:val="24"/>
                <w:szCs w:val="24"/>
                <w:lang w:val="uk-UA"/>
              </w:rPr>
              <w:t>(</w:t>
            </w:r>
            <w:r w:rsidRPr="00F32158">
              <w:rPr>
                <w:sz w:val="24"/>
                <w:szCs w:val="24"/>
              </w:rPr>
              <w:t>19,500.65</w:t>
            </w:r>
            <w:r w:rsidRPr="00F32158">
              <w:rPr>
                <w:sz w:val="24"/>
                <w:szCs w:val="24"/>
                <w:lang w:val="uk-UA"/>
              </w:rPr>
              <w:t>-</w:t>
            </w:r>
            <w:r w:rsidRPr="00F32158">
              <w:rPr>
                <w:sz w:val="24"/>
                <w:szCs w:val="24"/>
              </w:rPr>
              <w:t>16,475.76</w:t>
            </w:r>
            <w:r w:rsidRPr="00F32158">
              <w:rPr>
                <w:sz w:val="24"/>
                <w:szCs w:val="24"/>
                <w:lang w:val="uk-UA"/>
              </w:rPr>
              <w:t>)</w:t>
            </w:r>
          </w:p>
        </w:tc>
      </w:tr>
      <w:tr w:rsidR="00F32158" w:rsidRPr="00F32158" w:rsidTr="00BF1F99">
        <w:trPr>
          <w:jc w:val="center"/>
        </w:trPr>
        <w:tc>
          <w:tcPr>
            <w:tcW w:w="959" w:type="dxa"/>
          </w:tcPr>
          <w:p w:rsidR="00F32158" w:rsidRPr="00F32158" w:rsidRDefault="00F32158" w:rsidP="00FD76DB">
            <w:pPr>
              <w:jc w:val="center"/>
              <w:rPr>
                <w:rFonts w:eastAsia="Calibri"/>
                <w:sz w:val="24"/>
                <w:szCs w:val="24"/>
                <w:lang w:val="uk-UA"/>
              </w:rPr>
            </w:pPr>
            <w:r w:rsidRPr="00F32158">
              <w:rPr>
                <w:rFonts w:eastAsia="Calibri"/>
                <w:sz w:val="24"/>
                <w:szCs w:val="24"/>
                <w:lang w:val="uk-UA"/>
              </w:rPr>
              <w:t>2016</w:t>
            </w:r>
          </w:p>
          <w:p w:rsidR="00F32158" w:rsidRPr="00F32158" w:rsidRDefault="00F32158" w:rsidP="00FD76DB">
            <w:pPr>
              <w:jc w:val="center"/>
              <w:rPr>
                <w:rFonts w:eastAsia="Calibri"/>
                <w:sz w:val="24"/>
                <w:szCs w:val="24"/>
                <w:lang w:val="uk-UA"/>
              </w:rPr>
            </w:pPr>
            <w:r w:rsidRPr="00F32158">
              <w:rPr>
                <w:rFonts w:eastAsia="Calibri"/>
                <w:sz w:val="24"/>
                <w:szCs w:val="24"/>
                <w:lang w:val="uk-UA"/>
              </w:rPr>
              <w:t>ДІ</w:t>
            </w:r>
          </w:p>
        </w:tc>
        <w:tc>
          <w:tcPr>
            <w:tcW w:w="2693" w:type="dxa"/>
          </w:tcPr>
          <w:p w:rsidR="00F32158" w:rsidRPr="00F32158" w:rsidRDefault="00F32158" w:rsidP="00FD76DB">
            <w:pPr>
              <w:shd w:val="clear" w:color="auto" w:fill="FFFFFF"/>
              <w:jc w:val="center"/>
              <w:rPr>
                <w:sz w:val="24"/>
                <w:szCs w:val="24"/>
              </w:rPr>
            </w:pPr>
            <w:r w:rsidRPr="00F32158">
              <w:rPr>
                <w:sz w:val="24"/>
                <w:szCs w:val="24"/>
              </w:rPr>
              <w:t>19,191.65</w:t>
            </w:r>
          </w:p>
          <w:p w:rsidR="00F32158" w:rsidRPr="00F32158" w:rsidRDefault="00F32158" w:rsidP="00FD76DB">
            <w:pPr>
              <w:shd w:val="clear" w:color="auto" w:fill="FFFFFF"/>
              <w:jc w:val="center"/>
              <w:rPr>
                <w:sz w:val="24"/>
                <w:szCs w:val="24"/>
                <w:lang w:val="uk-UA"/>
              </w:rPr>
            </w:pPr>
            <w:r w:rsidRPr="00F32158">
              <w:rPr>
                <w:sz w:val="24"/>
                <w:szCs w:val="24"/>
                <w:lang w:val="uk-UA"/>
              </w:rPr>
              <w:t>(</w:t>
            </w:r>
            <w:r w:rsidRPr="00F32158">
              <w:rPr>
                <w:sz w:val="24"/>
                <w:szCs w:val="24"/>
              </w:rPr>
              <w:t>21,026.61</w:t>
            </w:r>
            <w:r w:rsidRPr="00F32158">
              <w:rPr>
                <w:sz w:val="24"/>
                <w:szCs w:val="24"/>
                <w:lang w:val="uk-UA"/>
              </w:rPr>
              <w:t>-</w:t>
            </w:r>
            <w:r w:rsidRPr="00F32158">
              <w:rPr>
                <w:sz w:val="24"/>
                <w:szCs w:val="24"/>
              </w:rPr>
              <w:t>17,264.97</w:t>
            </w:r>
            <w:r w:rsidRPr="00F32158">
              <w:rPr>
                <w:sz w:val="24"/>
                <w:szCs w:val="24"/>
                <w:lang w:val="uk-UA"/>
              </w:rPr>
              <w:t>)</w:t>
            </w:r>
          </w:p>
        </w:tc>
        <w:tc>
          <w:tcPr>
            <w:tcW w:w="2977" w:type="dxa"/>
          </w:tcPr>
          <w:p w:rsidR="00F32158" w:rsidRPr="00F32158" w:rsidRDefault="00F32158" w:rsidP="00FD76DB">
            <w:pPr>
              <w:jc w:val="center"/>
              <w:rPr>
                <w:sz w:val="24"/>
                <w:szCs w:val="24"/>
              </w:rPr>
            </w:pPr>
            <w:r w:rsidRPr="00F32158">
              <w:rPr>
                <w:sz w:val="24"/>
                <w:szCs w:val="24"/>
              </w:rPr>
              <w:t>21,153.06</w:t>
            </w:r>
          </w:p>
          <w:p w:rsidR="00F32158" w:rsidRPr="00F32158" w:rsidRDefault="00F32158" w:rsidP="00FD76DB">
            <w:pPr>
              <w:jc w:val="center"/>
              <w:rPr>
                <w:sz w:val="24"/>
                <w:szCs w:val="24"/>
                <w:lang w:val="uk-UA"/>
              </w:rPr>
            </w:pPr>
            <w:r w:rsidRPr="00F32158">
              <w:rPr>
                <w:sz w:val="24"/>
                <w:szCs w:val="24"/>
                <w:lang w:val="uk-UA"/>
              </w:rPr>
              <w:t>(</w:t>
            </w:r>
            <w:r w:rsidRPr="00F32158">
              <w:rPr>
                <w:sz w:val="24"/>
                <w:szCs w:val="24"/>
              </w:rPr>
              <w:t>23,198.42</w:t>
            </w:r>
            <w:r w:rsidRPr="00F32158">
              <w:rPr>
                <w:sz w:val="24"/>
                <w:szCs w:val="24"/>
                <w:lang w:val="uk-UA"/>
              </w:rPr>
              <w:t>-</w:t>
            </w:r>
            <w:r w:rsidRPr="00F32158">
              <w:rPr>
                <w:sz w:val="24"/>
                <w:szCs w:val="24"/>
              </w:rPr>
              <w:t>19,034.38</w:t>
            </w:r>
            <w:r w:rsidRPr="00F32158">
              <w:rPr>
                <w:sz w:val="24"/>
                <w:szCs w:val="24"/>
                <w:lang w:val="uk-UA"/>
              </w:rPr>
              <w:t>)</w:t>
            </w:r>
          </w:p>
        </w:tc>
        <w:tc>
          <w:tcPr>
            <w:tcW w:w="2942" w:type="dxa"/>
          </w:tcPr>
          <w:p w:rsidR="00F32158" w:rsidRPr="00F32158" w:rsidRDefault="00F32158" w:rsidP="00FD76DB">
            <w:pPr>
              <w:shd w:val="clear" w:color="auto" w:fill="FFFFFF"/>
              <w:jc w:val="center"/>
              <w:rPr>
                <w:sz w:val="24"/>
                <w:szCs w:val="24"/>
              </w:rPr>
            </w:pPr>
            <w:r w:rsidRPr="00F32158">
              <w:rPr>
                <w:sz w:val="24"/>
                <w:szCs w:val="24"/>
              </w:rPr>
              <w:t>17,106.76</w:t>
            </w:r>
          </w:p>
          <w:p w:rsidR="00F32158" w:rsidRPr="00F32158" w:rsidRDefault="00F32158" w:rsidP="00FD76DB">
            <w:pPr>
              <w:shd w:val="clear" w:color="auto" w:fill="FFFFFF"/>
              <w:jc w:val="center"/>
              <w:rPr>
                <w:sz w:val="24"/>
                <w:szCs w:val="24"/>
                <w:lang w:val="uk-UA"/>
              </w:rPr>
            </w:pPr>
            <w:r w:rsidRPr="00F32158">
              <w:rPr>
                <w:sz w:val="24"/>
                <w:szCs w:val="24"/>
                <w:lang w:val="uk-UA"/>
              </w:rPr>
              <w:t>(</w:t>
            </w:r>
            <w:r w:rsidRPr="00F32158">
              <w:rPr>
                <w:sz w:val="24"/>
                <w:szCs w:val="24"/>
              </w:rPr>
              <w:t>18,766.30</w:t>
            </w:r>
            <w:r w:rsidRPr="00F32158">
              <w:rPr>
                <w:sz w:val="24"/>
                <w:szCs w:val="24"/>
                <w:lang w:val="uk-UA"/>
              </w:rPr>
              <w:t>-</w:t>
            </w:r>
            <w:r w:rsidRPr="00F32158">
              <w:rPr>
                <w:sz w:val="24"/>
                <w:szCs w:val="24"/>
              </w:rPr>
              <w:t>15,379.50</w:t>
            </w:r>
            <w:r w:rsidRPr="00F32158">
              <w:rPr>
                <w:sz w:val="24"/>
                <w:szCs w:val="24"/>
                <w:lang w:val="uk-UA"/>
              </w:rPr>
              <w:t>)</w:t>
            </w:r>
          </w:p>
        </w:tc>
      </w:tr>
      <w:tr w:rsidR="00F32158" w:rsidRPr="00F32158" w:rsidTr="00BF1F99">
        <w:trPr>
          <w:jc w:val="center"/>
        </w:trPr>
        <w:tc>
          <w:tcPr>
            <w:tcW w:w="959" w:type="dxa"/>
          </w:tcPr>
          <w:p w:rsidR="00F32158" w:rsidRPr="00F32158" w:rsidRDefault="00F32158" w:rsidP="00FD76DB">
            <w:pPr>
              <w:jc w:val="center"/>
              <w:rPr>
                <w:rFonts w:eastAsia="Calibri"/>
                <w:sz w:val="24"/>
                <w:szCs w:val="24"/>
                <w:lang w:val="uk-UA"/>
              </w:rPr>
            </w:pPr>
            <w:r w:rsidRPr="00F32158">
              <w:rPr>
                <w:rFonts w:eastAsia="Calibri"/>
                <w:sz w:val="24"/>
                <w:szCs w:val="24"/>
                <w:lang w:val="uk-UA"/>
              </w:rPr>
              <w:t>2017</w:t>
            </w:r>
          </w:p>
          <w:p w:rsidR="00F32158" w:rsidRPr="00F32158" w:rsidRDefault="00F32158" w:rsidP="00FD76DB">
            <w:pPr>
              <w:jc w:val="center"/>
              <w:rPr>
                <w:rFonts w:eastAsia="Calibri"/>
                <w:sz w:val="24"/>
                <w:szCs w:val="24"/>
                <w:lang w:val="uk-UA"/>
              </w:rPr>
            </w:pPr>
            <w:r w:rsidRPr="00F32158">
              <w:rPr>
                <w:rFonts w:eastAsia="Calibri"/>
                <w:sz w:val="24"/>
                <w:szCs w:val="24"/>
                <w:lang w:val="uk-UA"/>
              </w:rPr>
              <w:t>ДІ</w:t>
            </w:r>
          </w:p>
        </w:tc>
        <w:tc>
          <w:tcPr>
            <w:tcW w:w="2693" w:type="dxa"/>
          </w:tcPr>
          <w:p w:rsidR="00F32158" w:rsidRPr="00F32158" w:rsidRDefault="00F32158" w:rsidP="00FD76DB">
            <w:pPr>
              <w:shd w:val="clear" w:color="auto" w:fill="FFFFFF"/>
              <w:jc w:val="center"/>
              <w:rPr>
                <w:sz w:val="24"/>
                <w:szCs w:val="24"/>
              </w:rPr>
            </w:pPr>
            <w:r w:rsidRPr="00F32158">
              <w:rPr>
                <w:sz w:val="24"/>
                <w:szCs w:val="24"/>
              </w:rPr>
              <w:t>18,341.58</w:t>
            </w:r>
          </w:p>
          <w:p w:rsidR="00F32158" w:rsidRPr="00F32158" w:rsidRDefault="00F32158" w:rsidP="00FD76DB">
            <w:pPr>
              <w:shd w:val="clear" w:color="auto" w:fill="FFFFFF"/>
              <w:jc w:val="center"/>
              <w:rPr>
                <w:sz w:val="24"/>
                <w:szCs w:val="24"/>
                <w:lang w:val="uk-UA"/>
              </w:rPr>
            </w:pPr>
            <w:r w:rsidRPr="00F32158">
              <w:rPr>
                <w:sz w:val="24"/>
                <w:szCs w:val="24"/>
                <w:lang w:val="uk-UA"/>
              </w:rPr>
              <w:t>(</w:t>
            </w:r>
            <w:r w:rsidRPr="00F32158">
              <w:rPr>
                <w:sz w:val="24"/>
                <w:szCs w:val="24"/>
              </w:rPr>
              <w:t>20,486.24</w:t>
            </w:r>
            <w:r w:rsidRPr="00F32158">
              <w:rPr>
                <w:sz w:val="24"/>
                <w:szCs w:val="24"/>
                <w:lang w:val="uk-UA"/>
              </w:rPr>
              <w:t>-</w:t>
            </w:r>
            <w:r w:rsidRPr="00F32158">
              <w:rPr>
                <w:sz w:val="24"/>
                <w:szCs w:val="24"/>
              </w:rPr>
              <w:t>16,173.10</w:t>
            </w:r>
            <w:r w:rsidRPr="00F32158">
              <w:rPr>
                <w:sz w:val="24"/>
                <w:szCs w:val="24"/>
                <w:lang w:val="uk-UA"/>
              </w:rPr>
              <w:t>)</w:t>
            </w:r>
          </w:p>
        </w:tc>
        <w:tc>
          <w:tcPr>
            <w:tcW w:w="2977" w:type="dxa"/>
          </w:tcPr>
          <w:p w:rsidR="00F32158" w:rsidRPr="00F32158" w:rsidRDefault="00F32158" w:rsidP="00FD76DB">
            <w:pPr>
              <w:shd w:val="clear" w:color="auto" w:fill="FFFFFF"/>
              <w:jc w:val="center"/>
              <w:rPr>
                <w:sz w:val="24"/>
                <w:szCs w:val="24"/>
              </w:rPr>
            </w:pPr>
            <w:r w:rsidRPr="00F32158">
              <w:rPr>
                <w:sz w:val="24"/>
                <w:szCs w:val="24"/>
              </w:rPr>
              <w:t>20,191.29</w:t>
            </w:r>
          </w:p>
          <w:p w:rsidR="00F32158" w:rsidRPr="00F32158" w:rsidRDefault="00F32158" w:rsidP="00FD76DB">
            <w:pPr>
              <w:shd w:val="clear" w:color="auto" w:fill="FFFFFF"/>
              <w:jc w:val="center"/>
              <w:rPr>
                <w:sz w:val="24"/>
                <w:szCs w:val="24"/>
                <w:lang w:val="uk-UA"/>
              </w:rPr>
            </w:pPr>
            <w:r w:rsidRPr="00F32158">
              <w:rPr>
                <w:sz w:val="24"/>
                <w:szCs w:val="24"/>
                <w:lang w:val="uk-UA"/>
              </w:rPr>
              <w:t>(</w:t>
            </w:r>
            <w:r w:rsidRPr="00F32158">
              <w:rPr>
                <w:sz w:val="24"/>
                <w:szCs w:val="24"/>
              </w:rPr>
              <w:t>22,529.08</w:t>
            </w:r>
            <w:r w:rsidRPr="00F32158">
              <w:rPr>
                <w:sz w:val="24"/>
                <w:szCs w:val="24"/>
                <w:lang w:val="uk-UA"/>
              </w:rPr>
              <w:t>-</w:t>
            </w:r>
            <w:r w:rsidRPr="00F32158">
              <w:rPr>
                <w:sz w:val="24"/>
                <w:szCs w:val="24"/>
              </w:rPr>
              <w:t>17,800.10</w:t>
            </w:r>
            <w:r w:rsidRPr="00F32158">
              <w:rPr>
                <w:sz w:val="24"/>
                <w:szCs w:val="24"/>
                <w:lang w:val="uk-UA"/>
              </w:rPr>
              <w:t>)</w:t>
            </w:r>
          </w:p>
        </w:tc>
        <w:tc>
          <w:tcPr>
            <w:tcW w:w="2942" w:type="dxa"/>
          </w:tcPr>
          <w:p w:rsidR="00F32158" w:rsidRPr="00F32158" w:rsidRDefault="00F32158" w:rsidP="00FD76DB">
            <w:pPr>
              <w:jc w:val="center"/>
              <w:rPr>
                <w:sz w:val="24"/>
                <w:szCs w:val="24"/>
              </w:rPr>
            </w:pPr>
            <w:r w:rsidRPr="00F32158">
              <w:rPr>
                <w:sz w:val="24"/>
                <w:szCs w:val="24"/>
              </w:rPr>
              <w:t>16,375.20</w:t>
            </w:r>
          </w:p>
          <w:p w:rsidR="00F32158" w:rsidRPr="00F32158" w:rsidRDefault="00F32158" w:rsidP="00FD76DB">
            <w:pPr>
              <w:jc w:val="center"/>
              <w:rPr>
                <w:sz w:val="24"/>
                <w:szCs w:val="24"/>
                <w:lang w:val="uk-UA"/>
              </w:rPr>
            </w:pPr>
            <w:r w:rsidRPr="00F32158">
              <w:rPr>
                <w:sz w:val="24"/>
                <w:szCs w:val="24"/>
                <w:lang w:val="uk-UA"/>
              </w:rPr>
              <w:t>(</w:t>
            </w:r>
            <w:r w:rsidRPr="00F32158">
              <w:rPr>
                <w:sz w:val="24"/>
                <w:szCs w:val="24"/>
              </w:rPr>
              <w:t>18,287.29</w:t>
            </w:r>
            <w:r w:rsidRPr="00F32158">
              <w:rPr>
                <w:sz w:val="24"/>
                <w:szCs w:val="24"/>
                <w:lang w:val="uk-UA"/>
              </w:rPr>
              <w:t>-</w:t>
            </w:r>
            <w:r w:rsidRPr="00F32158">
              <w:rPr>
                <w:sz w:val="24"/>
                <w:szCs w:val="24"/>
              </w:rPr>
              <w:t>14,443.95</w:t>
            </w:r>
            <w:r w:rsidRPr="00F32158">
              <w:rPr>
                <w:sz w:val="24"/>
                <w:szCs w:val="24"/>
                <w:lang w:val="uk-UA"/>
              </w:rPr>
              <w:t>)</w:t>
            </w:r>
          </w:p>
        </w:tc>
      </w:tr>
      <w:tr w:rsidR="00F32158" w:rsidRPr="00F32158" w:rsidTr="00BF1F99">
        <w:trPr>
          <w:jc w:val="center"/>
        </w:trPr>
        <w:tc>
          <w:tcPr>
            <w:tcW w:w="959" w:type="dxa"/>
          </w:tcPr>
          <w:p w:rsidR="00F32158" w:rsidRPr="00F32158" w:rsidRDefault="00F32158" w:rsidP="00FD76DB">
            <w:pPr>
              <w:jc w:val="center"/>
              <w:rPr>
                <w:rFonts w:eastAsia="Calibri"/>
                <w:sz w:val="24"/>
                <w:szCs w:val="24"/>
                <w:lang w:val="uk-UA"/>
              </w:rPr>
            </w:pPr>
            <w:r w:rsidRPr="00F32158">
              <w:rPr>
                <w:rFonts w:eastAsia="Calibri"/>
                <w:sz w:val="24"/>
                <w:szCs w:val="24"/>
                <w:lang w:val="uk-UA"/>
              </w:rPr>
              <w:t>2018</w:t>
            </w:r>
          </w:p>
          <w:p w:rsidR="00F32158" w:rsidRPr="00F32158" w:rsidRDefault="00F32158" w:rsidP="00FD76DB">
            <w:pPr>
              <w:jc w:val="center"/>
              <w:rPr>
                <w:rFonts w:eastAsia="Calibri"/>
                <w:sz w:val="24"/>
                <w:szCs w:val="24"/>
                <w:lang w:val="uk-UA"/>
              </w:rPr>
            </w:pPr>
            <w:r w:rsidRPr="00F32158">
              <w:rPr>
                <w:rFonts w:eastAsia="Calibri"/>
                <w:sz w:val="24"/>
                <w:szCs w:val="24"/>
                <w:lang w:val="uk-UA"/>
              </w:rPr>
              <w:t>ДІ</w:t>
            </w:r>
          </w:p>
        </w:tc>
        <w:tc>
          <w:tcPr>
            <w:tcW w:w="2693" w:type="dxa"/>
          </w:tcPr>
          <w:p w:rsidR="00F32158" w:rsidRPr="00F32158" w:rsidRDefault="00F32158" w:rsidP="00FD76DB">
            <w:pPr>
              <w:jc w:val="center"/>
              <w:rPr>
                <w:sz w:val="24"/>
                <w:szCs w:val="24"/>
              </w:rPr>
            </w:pPr>
            <w:r w:rsidRPr="00F32158">
              <w:rPr>
                <w:sz w:val="24"/>
                <w:szCs w:val="24"/>
              </w:rPr>
              <w:t>17,766.86</w:t>
            </w:r>
          </w:p>
          <w:p w:rsidR="00F32158" w:rsidRPr="00F32158" w:rsidRDefault="00F32158" w:rsidP="00FD76DB">
            <w:pPr>
              <w:jc w:val="center"/>
              <w:rPr>
                <w:sz w:val="24"/>
                <w:szCs w:val="24"/>
                <w:lang w:val="uk-UA"/>
              </w:rPr>
            </w:pPr>
            <w:r w:rsidRPr="00F32158">
              <w:rPr>
                <w:sz w:val="24"/>
                <w:szCs w:val="24"/>
                <w:lang w:val="uk-UA"/>
              </w:rPr>
              <w:t>(</w:t>
            </w:r>
            <w:r w:rsidRPr="00F32158">
              <w:rPr>
                <w:sz w:val="24"/>
                <w:szCs w:val="24"/>
              </w:rPr>
              <w:t>20,357.83</w:t>
            </w:r>
            <w:r w:rsidRPr="00F32158">
              <w:rPr>
                <w:sz w:val="24"/>
                <w:szCs w:val="24"/>
                <w:lang w:val="uk-UA"/>
              </w:rPr>
              <w:t>-</w:t>
            </w:r>
            <w:r w:rsidRPr="00F32158">
              <w:rPr>
                <w:sz w:val="24"/>
                <w:szCs w:val="24"/>
              </w:rPr>
              <w:t>15,420.95</w:t>
            </w:r>
            <w:r w:rsidRPr="00F32158">
              <w:rPr>
                <w:sz w:val="24"/>
                <w:szCs w:val="24"/>
                <w:lang w:val="uk-UA"/>
              </w:rPr>
              <w:t>)</w:t>
            </w:r>
          </w:p>
        </w:tc>
        <w:tc>
          <w:tcPr>
            <w:tcW w:w="2977" w:type="dxa"/>
          </w:tcPr>
          <w:p w:rsidR="00F32158" w:rsidRPr="00F32158" w:rsidRDefault="00F32158" w:rsidP="00FD76DB">
            <w:pPr>
              <w:jc w:val="center"/>
              <w:rPr>
                <w:sz w:val="24"/>
                <w:szCs w:val="24"/>
              </w:rPr>
            </w:pPr>
            <w:r w:rsidRPr="00F32158">
              <w:rPr>
                <w:sz w:val="24"/>
                <w:szCs w:val="24"/>
              </w:rPr>
              <w:t>19,533.25</w:t>
            </w:r>
          </w:p>
          <w:p w:rsidR="00F32158" w:rsidRPr="00F32158" w:rsidRDefault="00F32158" w:rsidP="00FD76DB">
            <w:pPr>
              <w:jc w:val="center"/>
              <w:rPr>
                <w:sz w:val="24"/>
                <w:szCs w:val="24"/>
                <w:lang w:val="uk-UA"/>
              </w:rPr>
            </w:pPr>
            <w:r w:rsidRPr="00F32158">
              <w:rPr>
                <w:sz w:val="24"/>
                <w:szCs w:val="24"/>
                <w:lang w:val="uk-UA"/>
              </w:rPr>
              <w:t>(</w:t>
            </w:r>
            <w:r w:rsidRPr="00F32158">
              <w:rPr>
                <w:sz w:val="24"/>
                <w:szCs w:val="24"/>
              </w:rPr>
              <w:t>22,437.27</w:t>
            </w:r>
            <w:r w:rsidRPr="00F32158">
              <w:rPr>
                <w:sz w:val="24"/>
                <w:szCs w:val="24"/>
                <w:lang w:val="uk-UA"/>
              </w:rPr>
              <w:t>-</w:t>
            </w:r>
            <w:r w:rsidRPr="00F32158">
              <w:rPr>
                <w:sz w:val="24"/>
                <w:szCs w:val="24"/>
              </w:rPr>
              <w:t>16,834.74</w:t>
            </w:r>
            <w:r w:rsidRPr="00F32158">
              <w:rPr>
                <w:sz w:val="24"/>
                <w:szCs w:val="24"/>
                <w:lang w:val="uk-UA"/>
              </w:rPr>
              <w:t>)</w:t>
            </w:r>
          </w:p>
        </w:tc>
        <w:tc>
          <w:tcPr>
            <w:tcW w:w="2942" w:type="dxa"/>
          </w:tcPr>
          <w:p w:rsidR="00F32158" w:rsidRPr="00F32158" w:rsidRDefault="00F32158" w:rsidP="00FD76DB">
            <w:pPr>
              <w:shd w:val="clear" w:color="auto" w:fill="FFFFFF"/>
              <w:jc w:val="center"/>
              <w:rPr>
                <w:sz w:val="24"/>
                <w:szCs w:val="24"/>
              </w:rPr>
            </w:pPr>
            <w:r w:rsidRPr="00F32158">
              <w:rPr>
                <w:sz w:val="24"/>
                <w:szCs w:val="24"/>
              </w:rPr>
              <w:t>15,888.53</w:t>
            </w:r>
          </w:p>
          <w:p w:rsidR="00F32158" w:rsidRPr="00F32158" w:rsidRDefault="00F32158" w:rsidP="00FD76DB">
            <w:pPr>
              <w:shd w:val="clear" w:color="auto" w:fill="FFFFFF"/>
              <w:jc w:val="center"/>
              <w:rPr>
                <w:sz w:val="24"/>
                <w:szCs w:val="24"/>
                <w:lang w:val="uk-UA"/>
              </w:rPr>
            </w:pPr>
            <w:r w:rsidRPr="00F32158">
              <w:rPr>
                <w:sz w:val="24"/>
                <w:szCs w:val="24"/>
                <w:lang w:val="uk-UA"/>
              </w:rPr>
              <w:t>(</w:t>
            </w:r>
            <w:r w:rsidRPr="00F32158">
              <w:rPr>
                <w:sz w:val="24"/>
                <w:szCs w:val="24"/>
              </w:rPr>
              <w:t>18,200.40</w:t>
            </w:r>
            <w:r w:rsidRPr="00F32158">
              <w:rPr>
                <w:sz w:val="24"/>
                <w:szCs w:val="24"/>
                <w:lang w:val="uk-UA"/>
              </w:rPr>
              <w:t>-</w:t>
            </w:r>
            <w:r w:rsidRPr="00F32158">
              <w:rPr>
                <w:sz w:val="24"/>
                <w:szCs w:val="24"/>
              </w:rPr>
              <w:t>13,857.19</w:t>
            </w:r>
            <w:r w:rsidRPr="00F32158">
              <w:rPr>
                <w:sz w:val="24"/>
                <w:szCs w:val="24"/>
                <w:lang w:val="uk-UA"/>
              </w:rPr>
              <w:t>)</w:t>
            </w:r>
          </w:p>
        </w:tc>
      </w:tr>
      <w:tr w:rsidR="00F32158" w:rsidRPr="00F32158" w:rsidTr="00BF1F99">
        <w:trPr>
          <w:jc w:val="center"/>
        </w:trPr>
        <w:tc>
          <w:tcPr>
            <w:tcW w:w="959" w:type="dxa"/>
          </w:tcPr>
          <w:p w:rsidR="00F32158" w:rsidRPr="00F32158" w:rsidRDefault="00F32158" w:rsidP="00FD76DB">
            <w:pPr>
              <w:jc w:val="center"/>
              <w:rPr>
                <w:rFonts w:eastAsia="Calibri"/>
                <w:sz w:val="24"/>
                <w:szCs w:val="24"/>
                <w:lang w:val="uk-UA"/>
              </w:rPr>
            </w:pPr>
            <w:r w:rsidRPr="00F32158">
              <w:rPr>
                <w:rFonts w:eastAsia="Calibri"/>
                <w:sz w:val="24"/>
                <w:szCs w:val="24"/>
                <w:lang w:val="uk-UA"/>
              </w:rPr>
              <w:t>2019</w:t>
            </w:r>
          </w:p>
          <w:p w:rsidR="00F32158" w:rsidRPr="00F32158" w:rsidRDefault="00F32158" w:rsidP="00FD76DB">
            <w:pPr>
              <w:jc w:val="center"/>
              <w:rPr>
                <w:rFonts w:eastAsia="Calibri"/>
                <w:sz w:val="24"/>
                <w:szCs w:val="24"/>
                <w:lang w:val="uk-UA"/>
              </w:rPr>
            </w:pPr>
            <w:r w:rsidRPr="00F32158">
              <w:rPr>
                <w:rFonts w:eastAsia="Calibri"/>
                <w:sz w:val="24"/>
                <w:szCs w:val="24"/>
                <w:lang w:val="uk-UA"/>
              </w:rPr>
              <w:t>ДІ</w:t>
            </w:r>
          </w:p>
        </w:tc>
        <w:tc>
          <w:tcPr>
            <w:tcW w:w="2693" w:type="dxa"/>
          </w:tcPr>
          <w:p w:rsidR="00F32158" w:rsidRPr="00F32158" w:rsidRDefault="00F32158" w:rsidP="00FD76DB">
            <w:pPr>
              <w:jc w:val="center"/>
              <w:rPr>
                <w:sz w:val="24"/>
                <w:szCs w:val="24"/>
              </w:rPr>
            </w:pPr>
            <w:r w:rsidRPr="00F32158">
              <w:rPr>
                <w:sz w:val="24"/>
                <w:szCs w:val="24"/>
              </w:rPr>
              <w:t>17,185.91</w:t>
            </w:r>
          </w:p>
          <w:p w:rsidR="00F32158" w:rsidRPr="00F32158" w:rsidRDefault="00F32158" w:rsidP="00FD76DB">
            <w:pPr>
              <w:jc w:val="center"/>
              <w:rPr>
                <w:sz w:val="24"/>
                <w:szCs w:val="24"/>
                <w:lang w:val="uk-UA"/>
              </w:rPr>
            </w:pPr>
            <w:r w:rsidRPr="00F32158">
              <w:rPr>
                <w:sz w:val="24"/>
                <w:szCs w:val="24"/>
                <w:lang w:val="uk-UA"/>
              </w:rPr>
              <w:t>(</w:t>
            </w:r>
            <w:r w:rsidRPr="00F32158">
              <w:rPr>
                <w:sz w:val="24"/>
                <w:szCs w:val="24"/>
              </w:rPr>
              <w:t>20,359.39</w:t>
            </w:r>
            <w:r w:rsidRPr="00F32158">
              <w:rPr>
                <w:sz w:val="24"/>
                <w:szCs w:val="24"/>
                <w:lang w:val="uk-UA"/>
              </w:rPr>
              <w:t>-</w:t>
            </w:r>
            <w:r w:rsidRPr="00F32158">
              <w:rPr>
                <w:sz w:val="24"/>
                <w:szCs w:val="24"/>
              </w:rPr>
              <w:t>14,763.32</w:t>
            </w:r>
            <w:r w:rsidRPr="00F32158">
              <w:rPr>
                <w:sz w:val="24"/>
                <w:szCs w:val="24"/>
                <w:lang w:val="uk-UA"/>
              </w:rPr>
              <w:t>)</w:t>
            </w:r>
          </w:p>
        </w:tc>
        <w:tc>
          <w:tcPr>
            <w:tcW w:w="2977" w:type="dxa"/>
          </w:tcPr>
          <w:p w:rsidR="00F32158" w:rsidRPr="00F32158" w:rsidRDefault="00F32158" w:rsidP="00FD76DB">
            <w:pPr>
              <w:jc w:val="center"/>
              <w:rPr>
                <w:sz w:val="24"/>
                <w:szCs w:val="24"/>
              </w:rPr>
            </w:pPr>
            <w:r w:rsidRPr="00F32158">
              <w:rPr>
                <w:sz w:val="24"/>
                <w:szCs w:val="24"/>
              </w:rPr>
              <w:t>20,994.55</w:t>
            </w:r>
          </w:p>
          <w:p w:rsidR="00F32158" w:rsidRPr="00F32158" w:rsidRDefault="00F32158" w:rsidP="00FD76DB">
            <w:pPr>
              <w:jc w:val="center"/>
              <w:rPr>
                <w:sz w:val="24"/>
                <w:szCs w:val="24"/>
                <w:lang w:val="uk-UA"/>
              </w:rPr>
            </w:pPr>
            <w:r w:rsidRPr="00F32158">
              <w:rPr>
                <w:sz w:val="24"/>
                <w:szCs w:val="24"/>
                <w:lang w:val="uk-UA"/>
              </w:rPr>
              <w:t>(</w:t>
            </w:r>
            <w:r w:rsidRPr="00F32158">
              <w:rPr>
                <w:sz w:val="24"/>
                <w:szCs w:val="24"/>
              </w:rPr>
              <w:t>22,613.54</w:t>
            </w:r>
            <w:r w:rsidRPr="00F32158">
              <w:rPr>
                <w:sz w:val="24"/>
                <w:szCs w:val="24"/>
                <w:lang w:val="uk-UA"/>
              </w:rPr>
              <w:t>-</w:t>
            </w:r>
            <w:r w:rsidRPr="00F32158">
              <w:rPr>
                <w:sz w:val="24"/>
                <w:szCs w:val="24"/>
              </w:rPr>
              <w:t>19,529.38</w:t>
            </w:r>
            <w:r w:rsidRPr="00F32158">
              <w:rPr>
                <w:sz w:val="24"/>
                <w:szCs w:val="24"/>
                <w:lang w:val="uk-UA"/>
              </w:rPr>
              <w:t>)</w:t>
            </w:r>
          </w:p>
        </w:tc>
        <w:tc>
          <w:tcPr>
            <w:tcW w:w="2942" w:type="dxa"/>
          </w:tcPr>
          <w:p w:rsidR="00F32158" w:rsidRPr="00F32158" w:rsidRDefault="00F32158" w:rsidP="00FD76DB">
            <w:pPr>
              <w:jc w:val="center"/>
              <w:rPr>
                <w:sz w:val="24"/>
                <w:szCs w:val="24"/>
              </w:rPr>
            </w:pPr>
            <w:r w:rsidRPr="00F32158">
              <w:rPr>
                <w:sz w:val="24"/>
                <w:szCs w:val="24"/>
              </w:rPr>
              <w:t>15,386.83</w:t>
            </w:r>
          </w:p>
          <w:p w:rsidR="00F32158" w:rsidRPr="00F32158" w:rsidRDefault="00F32158" w:rsidP="00FD76DB">
            <w:pPr>
              <w:jc w:val="center"/>
              <w:rPr>
                <w:sz w:val="24"/>
                <w:szCs w:val="24"/>
                <w:lang w:val="uk-UA"/>
              </w:rPr>
            </w:pPr>
            <w:r w:rsidRPr="00F32158">
              <w:rPr>
                <w:sz w:val="24"/>
                <w:szCs w:val="24"/>
                <w:lang w:val="uk-UA"/>
              </w:rPr>
              <w:t>(</w:t>
            </w:r>
            <w:r w:rsidRPr="00F32158">
              <w:rPr>
                <w:sz w:val="24"/>
                <w:szCs w:val="24"/>
              </w:rPr>
              <w:t>18,204.25</w:t>
            </w:r>
            <w:r w:rsidRPr="00F32158">
              <w:rPr>
                <w:sz w:val="24"/>
                <w:szCs w:val="24"/>
                <w:lang w:val="uk-UA"/>
              </w:rPr>
              <w:t>-</w:t>
            </w:r>
            <w:r w:rsidRPr="00F32158">
              <w:rPr>
                <w:sz w:val="24"/>
                <w:szCs w:val="24"/>
              </w:rPr>
              <w:t>13,255.00</w:t>
            </w:r>
            <w:r w:rsidRPr="00F32158">
              <w:rPr>
                <w:sz w:val="24"/>
                <w:szCs w:val="24"/>
                <w:lang w:val="uk-UA"/>
              </w:rPr>
              <w:t>)</w:t>
            </w:r>
          </w:p>
        </w:tc>
      </w:tr>
    </w:tbl>
    <w:p w:rsidR="00F32158" w:rsidRPr="00F32158" w:rsidRDefault="00F32158" w:rsidP="00B318AA">
      <w:pPr>
        <w:widowControl w:val="0"/>
        <w:tabs>
          <w:tab w:val="left" w:pos="8548"/>
        </w:tabs>
        <w:spacing w:line="240" w:lineRule="auto"/>
        <w:rPr>
          <w:rFonts w:eastAsia="Calibri"/>
          <w:szCs w:val="28"/>
        </w:rPr>
      </w:pPr>
    </w:p>
    <w:p w:rsidR="00F32158" w:rsidRPr="004C515A" w:rsidRDefault="00D32C4B" w:rsidP="00FD76DB">
      <w:pPr>
        <w:widowControl w:val="0"/>
        <w:tabs>
          <w:tab w:val="left" w:pos="8548"/>
        </w:tabs>
        <w:spacing w:after="160" w:line="259" w:lineRule="auto"/>
        <w:jc w:val="right"/>
        <w:rPr>
          <w:rFonts w:eastAsia="Calibri"/>
          <w:szCs w:val="28"/>
        </w:rPr>
      </w:pPr>
      <w:r>
        <w:rPr>
          <w:rFonts w:eastAsia="Calibri"/>
          <w:szCs w:val="28"/>
        </w:rPr>
        <w:t>Додаток Б</w:t>
      </w:r>
      <w:r w:rsidR="00F32158" w:rsidRPr="004C515A">
        <w:rPr>
          <w:rFonts w:eastAsia="Calibri"/>
          <w:szCs w:val="28"/>
        </w:rPr>
        <w:t>-17</w:t>
      </w:r>
    </w:p>
    <w:p w:rsidR="00F32158" w:rsidRPr="00F32158" w:rsidRDefault="00F32158" w:rsidP="00F32158">
      <w:pPr>
        <w:widowControl w:val="0"/>
        <w:tabs>
          <w:tab w:val="left" w:pos="8358"/>
        </w:tabs>
        <w:jc w:val="center"/>
        <w:rPr>
          <w:rFonts w:eastAsia="Calibri"/>
          <w:b/>
          <w:szCs w:val="28"/>
        </w:rPr>
      </w:pPr>
      <w:r w:rsidRPr="00F32158">
        <w:rPr>
          <w:rFonts w:eastAsia="Calibri"/>
          <w:b/>
          <w:szCs w:val="28"/>
        </w:rPr>
        <w:t xml:space="preserve"> Структура DALYs (всі причини) 201</w:t>
      </w:r>
      <w:r w:rsidRPr="00F32158">
        <w:rPr>
          <w:rFonts w:eastAsia="Calibri"/>
          <w:b/>
          <w:szCs w:val="28"/>
          <w:lang w:val="ru-RU"/>
        </w:rPr>
        <w:t>9</w:t>
      </w:r>
      <w:r w:rsidRPr="00F32158">
        <w:rPr>
          <w:rFonts w:eastAsia="Calibri"/>
          <w:b/>
          <w:szCs w:val="28"/>
        </w:rPr>
        <w:t xml:space="preserve"> р. за віко</w:t>
      </w:r>
      <w:r w:rsidR="00454EBD">
        <w:rPr>
          <w:rFonts w:eastAsia="Calibri"/>
          <w:b/>
          <w:szCs w:val="28"/>
        </w:rPr>
        <w:t xml:space="preserve">вими групами, </w:t>
      </w:r>
      <w:r w:rsidRPr="00F32158">
        <w:rPr>
          <w:rFonts w:eastAsia="Calibri"/>
          <w:b/>
          <w:szCs w:val="28"/>
        </w:rPr>
        <w:t xml:space="preserve"> (роки, %).</w:t>
      </w:r>
    </w:p>
    <w:tbl>
      <w:tblPr>
        <w:tblStyle w:val="28110"/>
        <w:tblW w:w="0" w:type="auto"/>
        <w:jc w:val="center"/>
        <w:tblInd w:w="-745" w:type="dxa"/>
        <w:tblLook w:val="04A0" w:firstRow="1" w:lastRow="0" w:firstColumn="1" w:lastColumn="0" w:noHBand="0" w:noVBand="1"/>
      </w:tblPr>
      <w:tblGrid>
        <w:gridCol w:w="2293"/>
        <w:gridCol w:w="2535"/>
        <w:gridCol w:w="2144"/>
        <w:gridCol w:w="1348"/>
        <w:gridCol w:w="1386"/>
      </w:tblGrid>
      <w:tr w:rsidR="00F32158" w:rsidRPr="00A40CB9" w:rsidTr="00FD76DB">
        <w:trPr>
          <w:trHeight w:val="307"/>
          <w:jc w:val="center"/>
        </w:trPr>
        <w:tc>
          <w:tcPr>
            <w:tcW w:w="2293" w:type="dxa"/>
            <w:vMerge w:val="restart"/>
          </w:tcPr>
          <w:p w:rsidR="00F32158" w:rsidRPr="00A40CB9" w:rsidRDefault="00F32158" w:rsidP="00FD76DB">
            <w:pPr>
              <w:jc w:val="center"/>
              <w:rPr>
                <w:rFonts w:eastAsia="Calibri"/>
                <w:sz w:val="24"/>
                <w:szCs w:val="24"/>
              </w:rPr>
            </w:pPr>
          </w:p>
          <w:p w:rsidR="00F32158" w:rsidRPr="00A40CB9" w:rsidRDefault="00F32158" w:rsidP="00FD76DB">
            <w:pPr>
              <w:jc w:val="center"/>
              <w:rPr>
                <w:rFonts w:eastAsia="Calibri"/>
                <w:sz w:val="24"/>
                <w:szCs w:val="24"/>
              </w:rPr>
            </w:pPr>
          </w:p>
        </w:tc>
        <w:tc>
          <w:tcPr>
            <w:tcW w:w="2535" w:type="dxa"/>
            <w:vMerge w:val="restart"/>
          </w:tcPr>
          <w:p w:rsidR="00F32158" w:rsidRPr="00A40CB9" w:rsidRDefault="00F32158" w:rsidP="00FD76DB">
            <w:pPr>
              <w:jc w:val="center"/>
              <w:rPr>
                <w:rFonts w:eastAsia="Calibri"/>
                <w:sz w:val="24"/>
                <w:szCs w:val="24"/>
              </w:rPr>
            </w:pPr>
            <w:r w:rsidRPr="00A40CB9">
              <w:rPr>
                <w:rFonts w:eastAsia="Calibri"/>
                <w:sz w:val="24"/>
                <w:szCs w:val="24"/>
              </w:rPr>
              <w:t>Всього за всіма віковими групами</w:t>
            </w:r>
          </w:p>
        </w:tc>
        <w:tc>
          <w:tcPr>
            <w:tcW w:w="4877" w:type="dxa"/>
            <w:gridSpan w:val="3"/>
          </w:tcPr>
          <w:p w:rsidR="00F32158" w:rsidRPr="00A40CB9" w:rsidRDefault="00F32158" w:rsidP="00FD76DB">
            <w:pPr>
              <w:jc w:val="center"/>
              <w:rPr>
                <w:rFonts w:eastAsia="Calibri"/>
                <w:sz w:val="24"/>
                <w:szCs w:val="24"/>
              </w:rPr>
            </w:pPr>
            <w:r w:rsidRPr="00A40CB9">
              <w:rPr>
                <w:rFonts w:eastAsia="Calibri"/>
                <w:sz w:val="24"/>
                <w:szCs w:val="24"/>
              </w:rPr>
              <w:t>У т.ч.:</w:t>
            </w:r>
          </w:p>
        </w:tc>
      </w:tr>
      <w:tr w:rsidR="00F32158" w:rsidRPr="00A40CB9" w:rsidTr="00FD76DB">
        <w:trPr>
          <w:trHeight w:val="526"/>
          <w:jc w:val="center"/>
        </w:trPr>
        <w:tc>
          <w:tcPr>
            <w:tcW w:w="2293" w:type="dxa"/>
            <w:vMerge/>
          </w:tcPr>
          <w:p w:rsidR="00F32158" w:rsidRPr="00A40CB9" w:rsidRDefault="00F32158" w:rsidP="00FD76DB">
            <w:pPr>
              <w:jc w:val="center"/>
              <w:rPr>
                <w:sz w:val="24"/>
                <w:szCs w:val="24"/>
              </w:rPr>
            </w:pPr>
          </w:p>
        </w:tc>
        <w:tc>
          <w:tcPr>
            <w:tcW w:w="2535" w:type="dxa"/>
            <w:vMerge/>
          </w:tcPr>
          <w:p w:rsidR="00F32158" w:rsidRPr="00A40CB9" w:rsidRDefault="00F32158" w:rsidP="00FD76DB">
            <w:pPr>
              <w:jc w:val="center"/>
              <w:rPr>
                <w:sz w:val="24"/>
                <w:szCs w:val="24"/>
              </w:rPr>
            </w:pPr>
          </w:p>
        </w:tc>
        <w:tc>
          <w:tcPr>
            <w:tcW w:w="1976" w:type="dxa"/>
          </w:tcPr>
          <w:p w:rsidR="00F32158" w:rsidRPr="00A40CB9" w:rsidRDefault="00F32158" w:rsidP="00FD76DB">
            <w:pPr>
              <w:jc w:val="center"/>
              <w:rPr>
                <w:color w:val="454545"/>
                <w:sz w:val="24"/>
                <w:szCs w:val="24"/>
              </w:rPr>
            </w:pPr>
            <w:r w:rsidRPr="00A40CB9">
              <w:rPr>
                <w:color w:val="454545"/>
                <w:sz w:val="24"/>
                <w:szCs w:val="24"/>
              </w:rPr>
              <w:t xml:space="preserve">&lt;1 </w:t>
            </w:r>
            <w:proofErr w:type="gramStart"/>
            <w:r w:rsidRPr="00A40CB9">
              <w:rPr>
                <w:color w:val="454545"/>
                <w:sz w:val="24"/>
                <w:szCs w:val="24"/>
              </w:rPr>
              <w:t>р</w:t>
            </w:r>
            <w:proofErr w:type="gramEnd"/>
            <w:r w:rsidRPr="00A40CB9">
              <w:rPr>
                <w:color w:val="454545"/>
                <w:sz w:val="24"/>
                <w:szCs w:val="24"/>
              </w:rPr>
              <w:t>ік</w:t>
            </w:r>
          </w:p>
        </w:tc>
        <w:tc>
          <w:tcPr>
            <w:tcW w:w="0" w:type="auto"/>
          </w:tcPr>
          <w:p w:rsidR="00F32158" w:rsidRPr="00A40CB9" w:rsidRDefault="00F32158" w:rsidP="00FD76DB">
            <w:pPr>
              <w:jc w:val="center"/>
              <w:rPr>
                <w:color w:val="454545"/>
                <w:sz w:val="24"/>
                <w:szCs w:val="24"/>
              </w:rPr>
            </w:pPr>
            <w:r w:rsidRPr="00A40CB9">
              <w:rPr>
                <w:color w:val="454545"/>
                <w:sz w:val="24"/>
                <w:szCs w:val="24"/>
              </w:rPr>
              <w:t>1 – 4 роки</w:t>
            </w:r>
          </w:p>
        </w:tc>
        <w:tc>
          <w:tcPr>
            <w:tcW w:w="0" w:type="auto"/>
          </w:tcPr>
          <w:p w:rsidR="00F32158" w:rsidRPr="00A40CB9" w:rsidRDefault="00F32158" w:rsidP="00FD76DB">
            <w:pPr>
              <w:jc w:val="center"/>
              <w:rPr>
                <w:color w:val="454545"/>
                <w:sz w:val="24"/>
                <w:szCs w:val="24"/>
              </w:rPr>
            </w:pPr>
            <w:r w:rsidRPr="00A40CB9">
              <w:rPr>
                <w:color w:val="454545"/>
                <w:sz w:val="24"/>
                <w:szCs w:val="24"/>
              </w:rPr>
              <w:t>До 5 рокі</w:t>
            </w:r>
            <w:proofErr w:type="gramStart"/>
            <w:r w:rsidRPr="00A40CB9">
              <w:rPr>
                <w:color w:val="454545"/>
                <w:sz w:val="24"/>
                <w:szCs w:val="24"/>
              </w:rPr>
              <w:t>в</w:t>
            </w:r>
            <w:proofErr w:type="gramEnd"/>
          </w:p>
        </w:tc>
      </w:tr>
      <w:tr w:rsidR="00F32158" w:rsidRPr="00A40CB9" w:rsidTr="00FD76DB">
        <w:trPr>
          <w:trHeight w:val="243"/>
          <w:jc w:val="center"/>
        </w:trPr>
        <w:tc>
          <w:tcPr>
            <w:tcW w:w="9705" w:type="dxa"/>
            <w:gridSpan w:val="5"/>
          </w:tcPr>
          <w:p w:rsidR="00F32158" w:rsidRPr="00A40CB9" w:rsidRDefault="00F32158" w:rsidP="00FD76DB">
            <w:pPr>
              <w:jc w:val="center"/>
              <w:rPr>
                <w:color w:val="454545"/>
                <w:sz w:val="24"/>
                <w:szCs w:val="24"/>
              </w:rPr>
            </w:pPr>
            <w:r w:rsidRPr="00A40CB9">
              <w:rPr>
                <w:b/>
                <w:i/>
                <w:sz w:val="24"/>
                <w:szCs w:val="24"/>
              </w:rPr>
              <w:t xml:space="preserve">DALYs (усі </w:t>
            </w:r>
            <w:proofErr w:type="gramStart"/>
            <w:r w:rsidRPr="00A40CB9">
              <w:rPr>
                <w:b/>
                <w:i/>
                <w:sz w:val="24"/>
                <w:szCs w:val="24"/>
              </w:rPr>
              <w:t>стат</w:t>
            </w:r>
            <w:proofErr w:type="gramEnd"/>
            <w:r w:rsidRPr="00A40CB9">
              <w:rPr>
                <w:b/>
                <w:i/>
                <w:sz w:val="24"/>
                <w:szCs w:val="24"/>
              </w:rPr>
              <w:t>і)</w:t>
            </w:r>
          </w:p>
        </w:tc>
      </w:tr>
      <w:tr w:rsidR="00F32158" w:rsidRPr="00A40CB9" w:rsidTr="00FD76DB">
        <w:trPr>
          <w:jc w:val="center"/>
        </w:trPr>
        <w:tc>
          <w:tcPr>
            <w:tcW w:w="2293" w:type="dxa"/>
          </w:tcPr>
          <w:p w:rsidR="00F32158" w:rsidRPr="00A40CB9" w:rsidRDefault="00F32158" w:rsidP="00FD76DB">
            <w:pPr>
              <w:jc w:val="center"/>
              <w:rPr>
                <w:rFonts w:eastAsia="Calibri"/>
                <w:sz w:val="24"/>
                <w:szCs w:val="24"/>
              </w:rPr>
            </w:pPr>
            <w:r w:rsidRPr="00A40CB9">
              <w:rPr>
                <w:rFonts w:eastAsia="Calibri"/>
                <w:sz w:val="24"/>
                <w:szCs w:val="24"/>
              </w:rPr>
              <w:t>DALYs (роки)</w:t>
            </w:r>
          </w:p>
        </w:tc>
        <w:tc>
          <w:tcPr>
            <w:tcW w:w="2535" w:type="dxa"/>
          </w:tcPr>
          <w:p w:rsidR="00F32158" w:rsidRPr="00A40CB9" w:rsidRDefault="00F32158" w:rsidP="00FD76DB">
            <w:pPr>
              <w:jc w:val="center"/>
              <w:rPr>
                <w:rFonts w:eastAsia="Calibri"/>
                <w:sz w:val="24"/>
                <w:szCs w:val="24"/>
              </w:rPr>
            </w:pPr>
            <w:r w:rsidRPr="00A40CB9">
              <w:rPr>
                <w:sz w:val="24"/>
                <w:szCs w:val="24"/>
              </w:rPr>
              <w:t>21566767,24</w:t>
            </w:r>
          </w:p>
        </w:tc>
        <w:tc>
          <w:tcPr>
            <w:tcW w:w="1976" w:type="dxa"/>
          </w:tcPr>
          <w:p w:rsidR="00F32158" w:rsidRPr="00A40CB9" w:rsidRDefault="00F32158" w:rsidP="00FD76DB">
            <w:pPr>
              <w:jc w:val="center"/>
              <w:rPr>
                <w:rFonts w:eastAsia="Calibri"/>
                <w:sz w:val="24"/>
                <w:szCs w:val="24"/>
              </w:rPr>
            </w:pPr>
            <w:r w:rsidRPr="00A40CB9">
              <w:rPr>
                <w:sz w:val="24"/>
                <w:szCs w:val="24"/>
                <w:shd w:val="clear" w:color="auto" w:fill="FFFFFF"/>
              </w:rPr>
              <w:t>251800,98</w:t>
            </w:r>
          </w:p>
        </w:tc>
        <w:tc>
          <w:tcPr>
            <w:tcW w:w="0" w:type="auto"/>
          </w:tcPr>
          <w:p w:rsidR="00F32158" w:rsidRPr="00A40CB9" w:rsidRDefault="00F32158" w:rsidP="00FD76DB">
            <w:pPr>
              <w:jc w:val="center"/>
              <w:rPr>
                <w:rFonts w:eastAsia="Calibri"/>
                <w:sz w:val="24"/>
                <w:szCs w:val="24"/>
              </w:rPr>
            </w:pPr>
            <w:r w:rsidRPr="00A40CB9">
              <w:rPr>
                <w:sz w:val="24"/>
                <w:szCs w:val="24"/>
                <w:shd w:val="clear" w:color="auto" w:fill="FFFFFF"/>
              </w:rPr>
              <w:t>116613,18</w:t>
            </w:r>
          </w:p>
        </w:tc>
        <w:tc>
          <w:tcPr>
            <w:tcW w:w="0" w:type="auto"/>
          </w:tcPr>
          <w:p w:rsidR="00F32158" w:rsidRPr="00A40CB9" w:rsidRDefault="00F32158" w:rsidP="00FD76DB">
            <w:pPr>
              <w:jc w:val="center"/>
              <w:rPr>
                <w:rFonts w:eastAsia="Calibri"/>
                <w:sz w:val="24"/>
                <w:szCs w:val="24"/>
              </w:rPr>
            </w:pPr>
            <w:r w:rsidRPr="00A40CB9">
              <w:rPr>
                <w:sz w:val="24"/>
                <w:szCs w:val="24"/>
              </w:rPr>
              <w:t>368414,16</w:t>
            </w:r>
          </w:p>
        </w:tc>
      </w:tr>
      <w:tr w:rsidR="00F32158" w:rsidRPr="00A40CB9" w:rsidTr="00FD76DB">
        <w:trPr>
          <w:jc w:val="center"/>
        </w:trPr>
        <w:tc>
          <w:tcPr>
            <w:tcW w:w="2293" w:type="dxa"/>
          </w:tcPr>
          <w:p w:rsidR="00F32158" w:rsidRPr="00A40CB9" w:rsidRDefault="00F32158" w:rsidP="00FD76DB">
            <w:pPr>
              <w:jc w:val="center"/>
              <w:rPr>
                <w:rFonts w:eastAsia="Calibri"/>
                <w:sz w:val="24"/>
                <w:szCs w:val="24"/>
              </w:rPr>
            </w:pPr>
            <w:r w:rsidRPr="00A40CB9">
              <w:rPr>
                <w:rFonts w:eastAsia="Calibri"/>
                <w:sz w:val="24"/>
                <w:szCs w:val="24"/>
              </w:rPr>
              <w:t>%</w:t>
            </w:r>
          </w:p>
        </w:tc>
        <w:tc>
          <w:tcPr>
            <w:tcW w:w="2535" w:type="dxa"/>
          </w:tcPr>
          <w:p w:rsidR="00F32158" w:rsidRPr="00A40CB9" w:rsidRDefault="00F32158" w:rsidP="00FD76DB">
            <w:pPr>
              <w:jc w:val="center"/>
              <w:rPr>
                <w:rFonts w:eastAsia="Calibri"/>
                <w:sz w:val="24"/>
                <w:szCs w:val="24"/>
              </w:rPr>
            </w:pPr>
            <w:r w:rsidRPr="00A40CB9">
              <w:rPr>
                <w:rFonts w:eastAsia="Calibri"/>
                <w:sz w:val="24"/>
                <w:szCs w:val="24"/>
              </w:rPr>
              <w:t>100%</w:t>
            </w:r>
          </w:p>
        </w:tc>
        <w:tc>
          <w:tcPr>
            <w:tcW w:w="1976" w:type="dxa"/>
          </w:tcPr>
          <w:p w:rsidR="00F32158" w:rsidRPr="00A40CB9" w:rsidRDefault="00F32158" w:rsidP="00FD76DB">
            <w:pPr>
              <w:jc w:val="center"/>
              <w:rPr>
                <w:rFonts w:eastAsia="Calibri"/>
                <w:sz w:val="24"/>
                <w:szCs w:val="24"/>
              </w:rPr>
            </w:pPr>
            <w:r w:rsidRPr="00A40CB9">
              <w:rPr>
                <w:rFonts w:eastAsia="Calibri"/>
                <w:sz w:val="24"/>
                <w:szCs w:val="24"/>
              </w:rPr>
              <w:t>1,17%</w:t>
            </w:r>
          </w:p>
        </w:tc>
        <w:tc>
          <w:tcPr>
            <w:tcW w:w="0" w:type="auto"/>
          </w:tcPr>
          <w:p w:rsidR="00F32158" w:rsidRPr="00A40CB9" w:rsidRDefault="00F32158" w:rsidP="00FD76DB">
            <w:pPr>
              <w:jc w:val="center"/>
              <w:rPr>
                <w:rFonts w:eastAsia="Calibri"/>
                <w:sz w:val="24"/>
                <w:szCs w:val="24"/>
              </w:rPr>
            </w:pPr>
            <w:r w:rsidRPr="00A40CB9">
              <w:rPr>
                <w:rFonts w:eastAsia="Calibri"/>
                <w:sz w:val="24"/>
                <w:szCs w:val="24"/>
              </w:rPr>
              <w:t>0,54%</w:t>
            </w:r>
          </w:p>
        </w:tc>
        <w:tc>
          <w:tcPr>
            <w:tcW w:w="0" w:type="auto"/>
          </w:tcPr>
          <w:p w:rsidR="00F32158" w:rsidRPr="00A40CB9" w:rsidRDefault="00F32158" w:rsidP="00FD76DB">
            <w:pPr>
              <w:jc w:val="center"/>
              <w:rPr>
                <w:rFonts w:eastAsia="Calibri"/>
                <w:sz w:val="24"/>
                <w:szCs w:val="24"/>
              </w:rPr>
            </w:pPr>
            <w:r w:rsidRPr="00A40CB9">
              <w:rPr>
                <w:rFonts w:eastAsia="Calibri"/>
                <w:sz w:val="24"/>
                <w:szCs w:val="24"/>
              </w:rPr>
              <w:t>1,71%</w:t>
            </w:r>
          </w:p>
        </w:tc>
      </w:tr>
      <w:tr w:rsidR="00F32158" w:rsidRPr="00A40CB9" w:rsidTr="00FD76DB">
        <w:trPr>
          <w:jc w:val="center"/>
        </w:trPr>
        <w:tc>
          <w:tcPr>
            <w:tcW w:w="9705" w:type="dxa"/>
            <w:gridSpan w:val="5"/>
          </w:tcPr>
          <w:p w:rsidR="00F32158" w:rsidRPr="00A40CB9" w:rsidRDefault="00F32158" w:rsidP="00FD76DB">
            <w:pPr>
              <w:jc w:val="center"/>
              <w:rPr>
                <w:rFonts w:eastAsia="Calibri"/>
                <w:b/>
                <w:i/>
                <w:sz w:val="24"/>
                <w:szCs w:val="24"/>
              </w:rPr>
            </w:pPr>
            <w:r w:rsidRPr="00A40CB9">
              <w:rPr>
                <w:rFonts w:eastAsia="Calibri"/>
                <w:b/>
                <w:i/>
                <w:sz w:val="24"/>
                <w:szCs w:val="24"/>
              </w:rPr>
              <w:t>DALYs (жіноча стать)</w:t>
            </w:r>
          </w:p>
        </w:tc>
      </w:tr>
      <w:tr w:rsidR="00F32158" w:rsidRPr="00A40CB9" w:rsidTr="00FD76DB">
        <w:trPr>
          <w:jc w:val="center"/>
        </w:trPr>
        <w:tc>
          <w:tcPr>
            <w:tcW w:w="2293" w:type="dxa"/>
          </w:tcPr>
          <w:p w:rsidR="00F32158" w:rsidRPr="00A40CB9" w:rsidRDefault="00F32158" w:rsidP="00FD76DB">
            <w:pPr>
              <w:jc w:val="center"/>
              <w:rPr>
                <w:rFonts w:eastAsia="Calibri"/>
                <w:sz w:val="24"/>
                <w:szCs w:val="24"/>
              </w:rPr>
            </w:pPr>
            <w:r w:rsidRPr="00A40CB9">
              <w:rPr>
                <w:rFonts w:eastAsia="Calibri"/>
                <w:sz w:val="24"/>
                <w:szCs w:val="24"/>
              </w:rPr>
              <w:t>DALYs (роки)</w:t>
            </w:r>
          </w:p>
        </w:tc>
        <w:tc>
          <w:tcPr>
            <w:tcW w:w="2535" w:type="dxa"/>
          </w:tcPr>
          <w:p w:rsidR="00F32158" w:rsidRPr="00A40CB9" w:rsidRDefault="00F32158" w:rsidP="00FD76DB">
            <w:pPr>
              <w:jc w:val="center"/>
              <w:rPr>
                <w:rFonts w:eastAsia="Calibri"/>
                <w:sz w:val="24"/>
                <w:szCs w:val="24"/>
              </w:rPr>
            </w:pPr>
            <w:r w:rsidRPr="00A40CB9">
              <w:rPr>
                <w:sz w:val="24"/>
                <w:szCs w:val="24"/>
              </w:rPr>
              <w:t>9421788,61</w:t>
            </w:r>
          </w:p>
        </w:tc>
        <w:tc>
          <w:tcPr>
            <w:tcW w:w="1976" w:type="dxa"/>
          </w:tcPr>
          <w:p w:rsidR="00F32158" w:rsidRPr="00A40CB9" w:rsidRDefault="00F32158" w:rsidP="00FD76DB">
            <w:pPr>
              <w:jc w:val="center"/>
              <w:rPr>
                <w:sz w:val="24"/>
                <w:szCs w:val="24"/>
              </w:rPr>
            </w:pPr>
            <w:r w:rsidRPr="00A40CB9">
              <w:rPr>
                <w:sz w:val="24"/>
                <w:szCs w:val="24"/>
              </w:rPr>
              <w:t>107704,73</w:t>
            </w:r>
          </w:p>
        </w:tc>
        <w:tc>
          <w:tcPr>
            <w:tcW w:w="0" w:type="auto"/>
          </w:tcPr>
          <w:p w:rsidR="00F32158" w:rsidRPr="00A40CB9" w:rsidRDefault="00F32158" w:rsidP="00FD76DB">
            <w:pPr>
              <w:jc w:val="center"/>
              <w:rPr>
                <w:sz w:val="24"/>
                <w:szCs w:val="24"/>
              </w:rPr>
            </w:pPr>
            <w:r w:rsidRPr="00A40CB9">
              <w:rPr>
                <w:sz w:val="24"/>
                <w:szCs w:val="24"/>
              </w:rPr>
              <w:t>52123,28</w:t>
            </w:r>
          </w:p>
        </w:tc>
        <w:tc>
          <w:tcPr>
            <w:tcW w:w="0" w:type="auto"/>
          </w:tcPr>
          <w:p w:rsidR="00F32158" w:rsidRPr="00A40CB9" w:rsidRDefault="00F32158" w:rsidP="00FD76DB">
            <w:pPr>
              <w:jc w:val="center"/>
              <w:rPr>
                <w:sz w:val="24"/>
                <w:szCs w:val="24"/>
              </w:rPr>
            </w:pPr>
            <w:r w:rsidRPr="00A40CB9">
              <w:rPr>
                <w:sz w:val="24"/>
                <w:szCs w:val="24"/>
              </w:rPr>
              <w:t>159828,01</w:t>
            </w:r>
          </w:p>
        </w:tc>
      </w:tr>
      <w:tr w:rsidR="00F32158" w:rsidRPr="00A40CB9" w:rsidTr="00FD76DB">
        <w:trPr>
          <w:jc w:val="center"/>
        </w:trPr>
        <w:tc>
          <w:tcPr>
            <w:tcW w:w="2293" w:type="dxa"/>
          </w:tcPr>
          <w:p w:rsidR="00F32158" w:rsidRPr="00A40CB9" w:rsidRDefault="00F32158" w:rsidP="00FD76DB">
            <w:pPr>
              <w:jc w:val="center"/>
              <w:rPr>
                <w:rFonts w:eastAsia="Calibri"/>
                <w:sz w:val="24"/>
                <w:szCs w:val="24"/>
              </w:rPr>
            </w:pPr>
            <w:r w:rsidRPr="00A40CB9">
              <w:rPr>
                <w:rFonts w:eastAsia="Calibri"/>
                <w:sz w:val="24"/>
                <w:szCs w:val="24"/>
              </w:rPr>
              <w:t>%</w:t>
            </w:r>
          </w:p>
        </w:tc>
        <w:tc>
          <w:tcPr>
            <w:tcW w:w="2535" w:type="dxa"/>
          </w:tcPr>
          <w:p w:rsidR="00F32158" w:rsidRPr="00A40CB9" w:rsidRDefault="00F32158" w:rsidP="00FD76DB">
            <w:pPr>
              <w:jc w:val="center"/>
              <w:rPr>
                <w:rFonts w:eastAsia="Calibri"/>
                <w:sz w:val="24"/>
                <w:szCs w:val="24"/>
              </w:rPr>
            </w:pPr>
            <w:r w:rsidRPr="00A40CB9">
              <w:rPr>
                <w:rFonts w:eastAsia="Calibri"/>
                <w:sz w:val="24"/>
                <w:szCs w:val="24"/>
              </w:rPr>
              <w:t>100%</w:t>
            </w:r>
          </w:p>
        </w:tc>
        <w:tc>
          <w:tcPr>
            <w:tcW w:w="1976" w:type="dxa"/>
          </w:tcPr>
          <w:p w:rsidR="00F32158" w:rsidRPr="00A40CB9" w:rsidRDefault="00F32158" w:rsidP="00FD76DB">
            <w:pPr>
              <w:jc w:val="center"/>
              <w:rPr>
                <w:sz w:val="24"/>
                <w:szCs w:val="24"/>
              </w:rPr>
            </w:pPr>
            <w:r w:rsidRPr="00A40CB9">
              <w:rPr>
                <w:sz w:val="24"/>
                <w:szCs w:val="24"/>
              </w:rPr>
              <w:t>1,14%</w:t>
            </w:r>
          </w:p>
        </w:tc>
        <w:tc>
          <w:tcPr>
            <w:tcW w:w="0" w:type="auto"/>
          </w:tcPr>
          <w:p w:rsidR="00F32158" w:rsidRPr="00A40CB9" w:rsidRDefault="00F32158" w:rsidP="00FD76DB">
            <w:pPr>
              <w:jc w:val="center"/>
              <w:rPr>
                <w:sz w:val="24"/>
                <w:szCs w:val="24"/>
              </w:rPr>
            </w:pPr>
            <w:r w:rsidRPr="00A40CB9">
              <w:rPr>
                <w:sz w:val="24"/>
                <w:szCs w:val="24"/>
              </w:rPr>
              <w:t>0,55%</w:t>
            </w:r>
          </w:p>
        </w:tc>
        <w:tc>
          <w:tcPr>
            <w:tcW w:w="0" w:type="auto"/>
          </w:tcPr>
          <w:p w:rsidR="00F32158" w:rsidRPr="00A40CB9" w:rsidRDefault="00F32158" w:rsidP="00FD76DB">
            <w:pPr>
              <w:jc w:val="center"/>
              <w:rPr>
                <w:sz w:val="24"/>
                <w:szCs w:val="24"/>
              </w:rPr>
            </w:pPr>
            <w:r w:rsidRPr="00A40CB9">
              <w:rPr>
                <w:sz w:val="24"/>
                <w:szCs w:val="24"/>
              </w:rPr>
              <w:t>1,70%</w:t>
            </w:r>
          </w:p>
        </w:tc>
      </w:tr>
      <w:tr w:rsidR="00F32158" w:rsidRPr="00A40CB9" w:rsidTr="00FD76DB">
        <w:trPr>
          <w:jc w:val="center"/>
        </w:trPr>
        <w:tc>
          <w:tcPr>
            <w:tcW w:w="9705" w:type="dxa"/>
            <w:gridSpan w:val="5"/>
          </w:tcPr>
          <w:p w:rsidR="00F32158" w:rsidRPr="00A40CB9" w:rsidRDefault="00F32158" w:rsidP="00FD76DB">
            <w:pPr>
              <w:jc w:val="center"/>
              <w:rPr>
                <w:b/>
                <w:i/>
                <w:sz w:val="24"/>
                <w:szCs w:val="24"/>
              </w:rPr>
            </w:pPr>
            <w:r w:rsidRPr="00A40CB9">
              <w:rPr>
                <w:b/>
                <w:i/>
                <w:sz w:val="24"/>
                <w:szCs w:val="24"/>
              </w:rPr>
              <w:t>DALYs (чоловіча стать)</w:t>
            </w:r>
          </w:p>
        </w:tc>
      </w:tr>
      <w:tr w:rsidR="00F32158" w:rsidRPr="00A40CB9" w:rsidTr="00FD76DB">
        <w:trPr>
          <w:jc w:val="center"/>
        </w:trPr>
        <w:tc>
          <w:tcPr>
            <w:tcW w:w="2293" w:type="dxa"/>
          </w:tcPr>
          <w:p w:rsidR="00F32158" w:rsidRPr="00A40CB9" w:rsidRDefault="00F32158" w:rsidP="00FD76DB">
            <w:pPr>
              <w:jc w:val="center"/>
              <w:rPr>
                <w:sz w:val="24"/>
                <w:szCs w:val="24"/>
              </w:rPr>
            </w:pPr>
            <w:r w:rsidRPr="00A40CB9">
              <w:rPr>
                <w:sz w:val="24"/>
                <w:szCs w:val="24"/>
              </w:rPr>
              <w:t>DALYs (роки)</w:t>
            </w:r>
          </w:p>
        </w:tc>
        <w:tc>
          <w:tcPr>
            <w:tcW w:w="2535" w:type="dxa"/>
          </w:tcPr>
          <w:p w:rsidR="00F32158" w:rsidRPr="00A40CB9" w:rsidRDefault="00F32158" w:rsidP="00FD76DB">
            <w:pPr>
              <w:jc w:val="center"/>
              <w:rPr>
                <w:sz w:val="24"/>
                <w:szCs w:val="24"/>
              </w:rPr>
            </w:pPr>
            <w:r w:rsidRPr="00A40CB9">
              <w:rPr>
                <w:sz w:val="24"/>
                <w:szCs w:val="24"/>
              </w:rPr>
              <w:t>12144978,63</w:t>
            </w:r>
          </w:p>
        </w:tc>
        <w:tc>
          <w:tcPr>
            <w:tcW w:w="1976" w:type="dxa"/>
          </w:tcPr>
          <w:p w:rsidR="00F32158" w:rsidRPr="00A40CB9" w:rsidRDefault="00F32158" w:rsidP="00FD76DB">
            <w:pPr>
              <w:jc w:val="center"/>
              <w:rPr>
                <w:sz w:val="24"/>
                <w:szCs w:val="24"/>
              </w:rPr>
            </w:pPr>
            <w:r w:rsidRPr="00A40CB9">
              <w:rPr>
                <w:sz w:val="24"/>
                <w:szCs w:val="24"/>
              </w:rPr>
              <w:t>144096,25</w:t>
            </w:r>
          </w:p>
        </w:tc>
        <w:tc>
          <w:tcPr>
            <w:tcW w:w="0" w:type="auto"/>
          </w:tcPr>
          <w:p w:rsidR="00F32158" w:rsidRPr="00A40CB9" w:rsidRDefault="00F32158" w:rsidP="00FD76DB">
            <w:pPr>
              <w:jc w:val="center"/>
              <w:rPr>
                <w:sz w:val="24"/>
                <w:szCs w:val="24"/>
              </w:rPr>
            </w:pPr>
            <w:r w:rsidRPr="00A40CB9">
              <w:rPr>
                <w:sz w:val="24"/>
                <w:szCs w:val="24"/>
              </w:rPr>
              <w:t>64489,90</w:t>
            </w:r>
          </w:p>
        </w:tc>
        <w:tc>
          <w:tcPr>
            <w:tcW w:w="0" w:type="auto"/>
          </w:tcPr>
          <w:p w:rsidR="00F32158" w:rsidRPr="00A40CB9" w:rsidRDefault="00F32158" w:rsidP="00FD76DB">
            <w:pPr>
              <w:jc w:val="center"/>
              <w:rPr>
                <w:sz w:val="24"/>
                <w:szCs w:val="24"/>
              </w:rPr>
            </w:pPr>
            <w:r w:rsidRPr="00A40CB9">
              <w:rPr>
                <w:sz w:val="24"/>
                <w:szCs w:val="24"/>
              </w:rPr>
              <w:t>208586,15</w:t>
            </w:r>
          </w:p>
        </w:tc>
      </w:tr>
      <w:tr w:rsidR="00F32158" w:rsidRPr="00A40CB9" w:rsidTr="00FD76DB">
        <w:trPr>
          <w:jc w:val="center"/>
        </w:trPr>
        <w:tc>
          <w:tcPr>
            <w:tcW w:w="2293" w:type="dxa"/>
          </w:tcPr>
          <w:p w:rsidR="00F32158" w:rsidRPr="00A40CB9" w:rsidRDefault="00F32158" w:rsidP="00FD76DB">
            <w:pPr>
              <w:jc w:val="center"/>
              <w:rPr>
                <w:sz w:val="24"/>
                <w:szCs w:val="24"/>
              </w:rPr>
            </w:pPr>
            <w:r w:rsidRPr="00A40CB9">
              <w:rPr>
                <w:sz w:val="24"/>
                <w:szCs w:val="24"/>
              </w:rPr>
              <w:t>%</w:t>
            </w:r>
          </w:p>
        </w:tc>
        <w:tc>
          <w:tcPr>
            <w:tcW w:w="2535" w:type="dxa"/>
          </w:tcPr>
          <w:p w:rsidR="00F32158" w:rsidRPr="00A40CB9" w:rsidRDefault="00F32158" w:rsidP="00FD76DB">
            <w:pPr>
              <w:jc w:val="center"/>
              <w:rPr>
                <w:sz w:val="24"/>
                <w:szCs w:val="24"/>
              </w:rPr>
            </w:pPr>
            <w:r w:rsidRPr="00A40CB9">
              <w:rPr>
                <w:sz w:val="24"/>
                <w:szCs w:val="24"/>
              </w:rPr>
              <w:t xml:space="preserve">100% </w:t>
            </w:r>
          </w:p>
        </w:tc>
        <w:tc>
          <w:tcPr>
            <w:tcW w:w="1976" w:type="dxa"/>
          </w:tcPr>
          <w:p w:rsidR="00F32158" w:rsidRPr="00A40CB9" w:rsidRDefault="00F32158" w:rsidP="00FD76DB">
            <w:pPr>
              <w:jc w:val="center"/>
              <w:rPr>
                <w:sz w:val="24"/>
                <w:szCs w:val="24"/>
              </w:rPr>
            </w:pPr>
            <w:r w:rsidRPr="00A40CB9">
              <w:rPr>
                <w:sz w:val="24"/>
                <w:szCs w:val="24"/>
              </w:rPr>
              <w:t>1,19%</w:t>
            </w:r>
          </w:p>
        </w:tc>
        <w:tc>
          <w:tcPr>
            <w:tcW w:w="0" w:type="auto"/>
          </w:tcPr>
          <w:p w:rsidR="00F32158" w:rsidRPr="00A40CB9" w:rsidRDefault="00F32158" w:rsidP="00FD76DB">
            <w:pPr>
              <w:jc w:val="center"/>
              <w:rPr>
                <w:sz w:val="24"/>
                <w:szCs w:val="24"/>
              </w:rPr>
            </w:pPr>
            <w:r w:rsidRPr="00A40CB9">
              <w:rPr>
                <w:sz w:val="24"/>
                <w:szCs w:val="24"/>
              </w:rPr>
              <w:t>0,53%</w:t>
            </w:r>
          </w:p>
        </w:tc>
        <w:tc>
          <w:tcPr>
            <w:tcW w:w="0" w:type="auto"/>
          </w:tcPr>
          <w:p w:rsidR="00F32158" w:rsidRPr="00A40CB9" w:rsidRDefault="00F32158" w:rsidP="00FD76DB">
            <w:pPr>
              <w:jc w:val="center"/>
              <w:rPr>
                <w:sz w:val="24"/>
                <w:szCs w:val="24"/>
              </w:rPr>
            </w:pPr>
            <w:r w:rsidRPr="00A40CB9">
              <w:rPr>
                <w:sz w:val="24"/>
                <w:szCs w:val="24"/>
              </w:rPr>
              <w:t>1,71%</w:t>
            </w:r>
          </w:p>
        </w:tc>
      </w:tr>
    </w:tbl>
    <w:p w:rsidR="00FD76DB" w:rsidRDefault="00FD76DB" w:rsidP="00B318AA">
      <w:pPr>
        <w:widowControl w:val="0"/>
        <w:tabs>
          <w:tab w:val="left" w:pos="9417"/>
        </w:tabs>
        <w:spacing w:after="200" w:line="276" w:lineRule="auto"/>
        <w:rPr>
          <w:rFonts w:eastAsia="Calibri"/>
          <w:szCs w:val="28"/>
        </w:rPr>
      </w:pPr>
    </w:p>
    <w:p w:rsidR="00F32158" w:rsidRPr="00F32158" w:rsidRDefault="00D32C4B" w:rsidP="00B318AA">
      <w:pPr>
        <w:widowControl w:val="0"/>
        <w:tabs>
          <w:tab w:val="left" w:pos="8133"/>
        </w:tabs>
        <w:spacing w:after="200" w:line="276" w:lineRule="auto"/>
        <w:jc w:val="right"/>
        <w:rPr>
          <w:rFonts w:eastAsia="Calibri"/>
          <w:szCs w:val="28"/>
        </w:rPr>
      </w:pPr>
      <w:r>
        <w:rPr>
          <w:rFonts w:eastAsia="Calibri"/>
          <w:szCs w:val="28"/>
        </w:rPr>
        <w:lastRenderedPageBreak/>
        <w:t>Додаток Б</w:t>
      </w:r>
      <w:r w:rsidR="00F32158" w:rsidRPr="00F32158">
        <w:rPr>
          <w:rFonts w:eastAsia="Calibri"/>
          <w:szCs w:val="28"/>
        </w:rPr>
        <w:t>-18</w:t>
      </w:r>
    </w:p>
    <w:p w:rsidR="00F32158" w:rsidRPr="00F32158" w:rsidRDefault="00F32158" w:rsidP="004B5256">
      <w:pPr>
        <w:widowControl w:val="0"/>
        <w:tabs>
          <w:tab w:val="left" w:pos="642"/>
        </w:tabs>
        <w:jc w:val="center"/>
        <w:rPr>
          <w:rFonts w:eastAsia="Calibri"/>
          <w:b/>
          <w:color w:val="FF0000"/>
          <w:szCs w:val="28"/>
          <w:lang w:val="ru-RU"/>
        </w:rPr>
      </w:pPr>
      <w:r w:rsidRPr="00F32158">
        <w:rPr>
          <w:rFonts w:eastAsia="Calibri"/>
          <w:b/>
          <w:szCs w:val="28"/>
        </w:rPr>
        <w:t>Динаміка показника DALYs дітей до 5 років життя в деяких країнах світу та Україні за всіма причинами смерті  (2009-2019 рр.)  (на 100 тис. осіб).</w:t>
      </w:r>
    </w:p>
    <w:tbl>
      <w:tblPr>
        <w:tblStyle w:val="79"/>
        <w:tblW w:w="0" w:type="auto"/>
        <w:jc w:val="center"/>
        <w:tblLook w:val="04A0" w:firstRow="1" w:lastRow="0" w:firstColumn="1" w:lastColumn="0" w:noHBand="0" w:noVBand="1"/>
      </w:tblPr>
      <w:tblGrid>
        <w:gridCol w:w="674"/>
        <w:gridCol w:w="1096"/>
        <w:gridCol w:w="1351"/>
        <w:gridCol w:w="1185"/>
        <w:gridCol w:w="1238"/>
        <w:gridCol w:w="1096"/>
        <w:gridCol w:w="1096"/>
        <w:gridCol w:w="1096"/>
        <w:gridCol w:w="1096"/>
      </w:tblGrid>
      <w:tr w:rsidR="00F32158" w:rsidRPr="00B16D28" w:rsidTr="00BF1F99">
        <w:trPr>
          <w:jc w:val="center"/>
        </w:trPr>
        <w:tc>
          <w:tcPr>
            <w:tcW w:w="674" w:type="dxa"/>
          </w:tcPr>
          <w:p w:rsidR="00F32158" w:rsidRPr="00B16D28" w:rsidRDefault="00F32158" w:rsidP="00F32158">
            <w:pPr>
              <w:widowControl w:val="0"/>
              <w:jc w:val="center"/>
              <w:rPr>
                <w:rFonts w:ascii="Times New Roman" w:hAnsi="Times New Roman"/>
                <w:sz w:val="22"/>
                <w:szCs w:val="22"/>
              </w:rPr>
            </w:pPr>
            <w:r w:rsidRPr="00B16D28">
              <w:rPr>
                <w:rFonts w:ascii="Times New Roman" w:hAnsi="Times New Roman"/>
                <w:sz w:val="22"/>
                <w:szCs w:val="22"/>
              </w:rPr>
              <w:t>Рік</w:t>
            </w:r>
          </w:p>
        </w:tc>
        <w:tc>
          <w:tcPr>
            <w:tcW w:w="1094" w:type="dxa"/>
          </w:tcPr>
          <w:p w:rsidR="00F32158" w:rsidRPr="00B16D28" w:rsidRDefault="00F32158" w:rsidP="00F32158">
            <w:pPr>
              <w:widowControl w:val="0"/>
              <w:jc w:val="center"/>
              <w:rPr>
                <w:rFonts w:ascii="Times New Roman" w:hAnsi="Times New Roman"/>
                <w:sz w:val="22"/>
                <w:szCs w:val="22"/>
              </w:rPr>
            </w:pPr>
            <w:r w:rsidRPr="00B16D28">
              <w:rPr>
                <w:rFonts w:ascii="Times New Roman" w:hAnsi="Times New Roman"/>
                <w:sz w:val="22"/>
                <w:szCs w:val="22"/>
              </w:rPr>
              <w:t>Польща</w:t>
            </w:r>
          </w:p>
        </w:tc>
        <w:tc>
          <w:tcPr>
            <w:tcW w:w="1351" w:type="dxa"/>
          </w:tcPr>
          <w:p w:rsidR="00F32158" w:rsidRPr="00B16D28" w:rsidRDefault="00F32158" w:rsidP="00F32158">
            <w:pPr>
              <w:widowControl w:val="0"/>
              <w:rPr>
                <w:rFonts w:ascii="Times New Roman" w:hAnsi="Times New Roman"/>
                <w:sz w:val="22"/>
                <w:szCs w:val="22"/>
              </w:rPr>
            </w:pPr>
            <w:r w:rsidRPr="00B16D28">
              <w:rPr>
                <w:rFonts w:ascii="Times New Roman" w:hAnsi="Times New Roman"/>
                <w:sz w:val="22"/>
                <w:szCs w:val="22"/>
              </w:rPr>
              <w:t>Словаччина</w:t>
            </w:r>
          </w:p>
        </w:tc>
        <w:tc>
          <w:tcPr>
            <w:tcW w:w="1172" w:type="dxa"/>
          </w:tcPr>
          <w:p w:rsidR="00F32158" w:rsidRPr="00B16D28" w:rsidRDefault="00F32158" w:rsidP="00F32158">
            <w:pPr>
              <w:widowControl w:val="0"/>
              <w:rPr>
                <w:rFonts w:ascii="Times New Roman" w:hAnsi="Times New Roman"/>
                <w:sz w:val="22"/>
                <w:szCs w:val="22"/>
              </w:rPr>
            </w:pPr>
            <w:r w:rsidRPr="00B16D28">
              <w:rPr>
                <w:rFonts w:ascii="Times New Roman" w:hAnsi="Times New Roman"/>
                <w:sz w:val="22"/>
                <w:szCs w:val="22"/>
              </w:rPr>
              <w:t>Угорщина</w:t>
            </w:r>
          </w:p>
        </w:tc>
        <w:tc>
          <w:tcPr>
            <w:tcW w:w="1238" w:type="dxa"/>
          </w:tcPr>
          <w:p w:rsidR="00F32158" w:rsidRPr="00B16D28" w:rsidRDefault="00F32158" w:rsidP="00F32158">
            <w:pPr>
              <w:widowControl w:val="0"/>
              <w:jc w:val="center"/>
              <w:rPr>
                <w:rFonts w:ascii="Times New Roman" w:hAnsi="Times New Roman"/>
                <w:sz w:val="22"/>
                <w:szCs w:val="22"/>
              </w:rPr>
            </w:pPr>
            <w:r w:rsidRPr="00B16D28">
              <w:rPr>
                <w:rFonts w:ascii="Times New Roman" w:hAnsi="Times New Roman"/>
                <w:sz w:val="22"/>
                <w:szCs w:val="22"/>
              </w:rPr>
              <w:t>Німеччина</w:t>
            </w:r>
          </w:p>
        </w:tc>
        <w:tc>
          <w:tcPr>
            <w:tcW w:w="1094" w:type="dxa"/>
          </w:tcPr>
          <w:p w:rsidR="00F32158" w:rsidRPr="00B16D28" w:rsidRDefault="00F32158" w:rsidP="00F32158">
            <w:pPr>
              <w:widowControl w:val="0"/>
              <w:jc w:val="center"/>
              <w:rPr>
                <w:rFonts w:ascii="Times New Roman" w:hAnsi="Times New Roman"/>
                <w:sz w:val="22"/>
                <w:szCs w:val="22"/>
              </w:rPr>
            </w:pPr>
            <w:r w:rsidRPr="00B16D28">
              <w:rPr>
                <w:rFonts w:ascii="Times New Roman" w:hAnsi="Times New Roman"/>
                <w:sz w:val="22"/>
                <w:szCs w:val="22"/>
              </w:rPr>
              <w:t>Франція</w:t>
            </w:r>
          </w:p>
        </w:tc>
        <w:tc>
          <w:tcPr>
            <w:tcW w:w="1094" w:type="dxa"/>
          </w:tcPr>
          <w:p w:rsidR="00F32158" w:rsidRPr="00B16D28" w:rsidRDefault="00F32158" w:rsidP="00F32158">
            <w:pPr>
              <w:widowControl w:val="0"/>
              <w:jc w:val="center"/>
              <w:rPr>
                <w:rFonts w:ascii="Times New Roman" w:hAnsi="Times New Roman"/>
                <w:sz w:val="22"/>
                <w:szCs w:val="22"/>
              </w:rPr>
            </w:pPr>
            <w:r w:rsidRPr="00B16D28">
              <w:rPr>
                <w:rFonts w:ascii="Times New Roman" w:hAnsi="Times New Roman"/>
                <w:sz w:val="22"/>
                <w:szCs w:val="22"/>
              </w:rPr>
              <w:t>Іспанія</w:t>
            </w:r>
          </w:p>
        </w:tc>
        <w:tc>
          <w:tcPr>
            <w:tcW w:w="1094" w:type="dxa"/>
          </w:tcPr>
          <w:p w:rsidR="00F32158" w:rsidRPr="00B16D28" w:rsidRDefault="00F32158" w:rsidP="00F32158">
            <w:pPr>
              <w:widowControl w:val="0"/>
              <w:jc w:val="center"/>
              <w:rPr>
                <w:rFonts w:ascii="Times New Roman" w:hAnsi="Times New Roman"/>
                <w:sz w:val="22"/>
                <w:szCs w:val="22"/>
              </w:rPr>
            </w:pPr>
            <w:r w:rsidRPr="00B16D28">
              <w:rPr>
                <w:rFonts w:ascii="Times New Roman" w:hAnsi="Times New Roman"/>
                <w:sz w:val="22"/>
                <w:szCs w:val="22"/>
              </w:rPr>
              <w:t>США</w:t>
            </w:r>
          </w:p>
        </w:tc>
        <w:tc>
          <w:tcPr>
            <w:tcW w:w="1094" w:type="dxa"/>
          </w:tcPr>
          <w:p w:rsidR="00F32158" w:rsidRPr="00B16D28" w:rsidRDefault="00F32158" w:rsidP="00F32158">
            <w:pPr>
              <w:widowControl w:val="0"/>
              <w:jc w:val="center"/>
              <w:rPr>
                <w:rFonts w:ascii="Times New Roman" w:hAnsi="Times New Roman"/>
                <w:sz w:val="22"/>
                <w:szCs w:val="22"/>
              </w:rPr>
            </w:pPr>
            <w:r w:rsidRPr="00B16D28">
              <w:rPr>
                <w:rFonts w:ascii="Times New Roman" w:hAnsi="Times New Roman"/>
                <w:sz w:val="22"/>
                <w:szCs w:val="22"/>
              </w:rPr>
              <w:t>Україна</w:t>
            </w:r>
          </w:p>
        </w:tc>
      </w:tr>
      <w:tr w:rsidR="00F32158" w:rsidRPr="00B16D28" w:rsidTr="00BF1F99">
        <w:trPr>
          <w:jc w:val="center"/>
        </w:trPr>
        <w:tc>
          <w:tcPr>
            <w:tcW w:w="674" w:type="dxa"/>
          </w:tcPr>
          <w:p w:rsidR="00F32158" w:rsidRPr="00B16D28" w:rsidRDefault="00F32158" w:rsidP="00F32158">
            <w:pPr>
              <w:widowControl w:val="0"/>
              <w:jc w:val="center"/>
              <w:rPr>
                <w:rFonts w:ascii="Times New Roman" w:hAnsi="Times New Roman"/>
                <w:sz w:val="22"/>
                <w:szCs w:val="22"/>
              </w:rPr>
            </w:pPr>
            <w:r w:rsidRPr="00B16D28">
              <w:rPr>
                <w:rFonts w:ascii="Times New Roman" w:hAnsi="Times New Roman"/>
                <w:sz w:val="22"/>
                <w:szCs w:val="22"/>
              </w:rPr>
              <w:t>2009</w:t>
            </w:r>
          </w:p>
        </w:tc>
        <w:tc>
          <w:tcPr>
            <w:tcW w:w="1094" w:type="dxa"/>
          </w:tcPr>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14,463.42</w:t>
            </w:r>
          </w:p>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15,592.56</w:t>
            </w:r>
          </w:p>
          <w:p w:rsidR="00F32158" w:rsidRPr="00B16D28" w:rsidRDefault="00F32158" w:rsidP="00F32158">
            <w:pPr>
              <w:jc w:val="right"/>
              <w:rPr>
                <w:rFonts w:ascii="Times New Roman" w:hAnsi="Times New Roman"/>
                <w:color w:val="454545"/>
                <w:sz w:val="22"/>
                <w:szCs w:val="22"/>
                <w:lang w:val="uk-UA"/>
              </w:rPr>
            </w:pPr>
            <w:r w:rsidRPr="00B16D28">
              <w:rPr>
                <w:rFonts w:ascii="Times New Roman" w:hAnsi="Times New Roman"/>
                <w:color w:val="454545"/>
                <w:sz w:val="22"/>
                <w:szCs w:val="22"/>
                <w:lang w:val="en-US"/>
              </w:rPr>
              <w:t>13,477.14</w:t>
            </w:r>
          </w:p>
        </w:tc>
        <w:tc>
          <w:tcPr>
            <w:tcW w:w="1351" w:type="dxa"/>
          </w:tcPr>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16,334.72</w:t>
            </w:r>
          </w:p>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17,632.88</w:t>
            </w:r>
          </w:p>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15,107.57</w:t>
            </w:r>
          </w:p>
          <w:p w:rsidR="00F32158" w:rsidRPr="00B16D28" w:rsidRDefault="00F32158" w:rsidP="00F32158">
            <w:pPr>
              <w:widowControl w:val="0"/>
              <w:jc w:val="center"/>
              <w:rPr>
                <w:rFonts w:ascii="Times New Roman" w:hAnsi="Times New Roman"/>
                <w:sz w:val="22"/>
                <w:szCs w:val="22"/>
              </w:rPr>
            </w:pPr>
          </w:p>
        </w:tc>
        <w:tc>
          <w:tcPr>
            <w:tcW w:w="1172" w:type="dxa"/>
          </w:tcPr>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13,190.80</w:t>
            </w:r>
          </w:p>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14,441.87</w:t>
            </w:r>
          </w:p>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12,124.02</w:t>
            </w:r>
          </w:p>
          <w:p w:rsidR="00F32158" w:rsidRPr="00B16D28" w:rsidRDefault="00F32158" w:rsidP="00F32158">
            <w:pPr>
              <w:widowControl w:val="0"/>
              <w:jc w:val="center"/>
              <w:rPr>
                <w:rFonts w:ascii="Times New Roman" w:hAnsi="Times New Roman"/>
                <w:sz w:val="22"/>
                <w:szCs w:val="22"/>
              </w:rPr>
            </w:pPr>
          </w:p>
        </w:tc>
        <w:tc>
          <w:tcPr>
            <w:tcW w:w="1238" w:type="dxa"/>
          </w:tcPr>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9,724.84</w:t>
            </w:r>
          </w:p>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10,571.99</w:t>
            </w:r>
          </w:p>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8,987.42</w:t>
            </w:r>
          </w:p>
          <w:p w:rsidR="00F32158" w:rsidRPr="00B16D28" w:rsidRDefault="00F32158" w:rsidP="00F32158">
            <w:pPr>
              <w:widowControl w:val="0"/>
              <w:jc w:val="center"/>
              <w:rPr>
                <w:rFonts w:ascii="Times New Roman" w:hAnsi="Times New Roman"/>
                <w:sz w:val="22"/>
                <w:szCs w:val="22"/>
              </w:rPr>
            </w:pPr>
          </w:p>
        </w:tc>
        <w:tc>
          <w:tcPr>
            <w:tcW w:w="1094" w:type="dxa"/>
          </w:tcPr>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10,054.64</w:t>
            </w:r>
          </w:p>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10,942.44</w:t>
            </w:r>
          </w:p>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9,291.28</w:t>
            </w:r>
          </w:p>
          <w:p w:rsidR="00F32158" w:rsidRPr="00B16D28" w:rsidRDefault="00F32158" w:rsidP="00F32158">
            <w:pPr>
              <w:widowControl w:val="0"/>
              <w:jc w:val="center"/>
              <w:rPr>
                <w:rFonts w:ascii="Times New Roman" w:hAnsi="Times New Roman"/>
                <w:sz w:val="22"/>
                <w:szCs w:val="22"/>
              </w:rPr>
            </w:pPr>
          </w:p>
        </w:tc>
        <w:tc>
          <w:tcPr>
            <w:tcW w:w="1094" w:type="dxa"/>
          </w:tcPr>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9,688.04</w:t>
            </w:r>
          </w:p>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10,633.90</w:t>
            </w:r>
          </w:p>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8,886.53</w:t>
            </w:r>
          </w:p>
          <w:p w:rsidR="00F32158" w:rsidRPr="00B16D28" w:rsidRDefault="00F32158" w:rsidP="00F32158">
            <w:pPr>
              <w:widowControl w:val="0"/>
              <w:jc w:val="center"/>
              <w:rPr>
                <w:rFonts w:ascii="Times New Roman" w:hAnsi="Times New Roman"/>
                <w:sz w:val="22"/>
                <w:szCs w:val="22"/>
              </w:rPr>
            </w:pPr>
          </w:p>
        </w:tc>
        <w:tc>
          <w:tcPr>
            <w:tcW w:w="1094" w:type="dxa"/>
          </w:tcPr>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15,846.37</w:t>
            </w:r>
          </w:p>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16,737.90</w:t>
            </w:r>
          </w:p>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15,108.03</w:t>
            </w:r>
          </w:p>
          <w:p w:rsidR="00F32158" w:rsidRPr="00B16D28" w:rsidRDefault="00F32158" w:rsidP="00F32158">
            <w:pPr>
              <w:widowControl w:val="0"/>
              <w:jc w:val="center"/>
              <w:rPr>
                <w:rFonts w:ascii="Times New Roman" w:hAnsi="Times New Roman"/>
                <w:sz w:val="22"/>
                <w:szCs w:val="22"/>
              </w:rPr>
            </w:pPr>
          </w:p>
        </w:tc>
        <w:tc>
          <w:tcPr>
            <w:tcW w:w="1094" w:type="dxa"/>
          </w:tcPr>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22,865.85</w:t>
            </w:r>
          </w:p>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24,373.66</w:t>
            </w:r>
          </w:p>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21,566.49</w:t>
            </w:r>
          </w:p>
          <w:p w:rsidR="00F32158" w:rsidRPr="00B16D28" w:rsidRDefault="00F32158" w:rsidP="00F32158">
            <w:pPr>
              <w:widowControl w:val="0"/>
              <w:jc w:val="center"/>
              <w:rPr>
                <w:rFonts w:ascii="Times New Roman" w:hAnsi="Times New Roman"/>
                <w:sz w:val="22"/>
                <w:szCs w:val="22"/>
                <w:highlight w:val="yellow"/>
              </w:rPr>
            </w:pPr>
          </w:p>
        </w:tc>
      </w:tr>
      <w:tr w:rsidR="00F32158" w:rsidRPr="00B16D28" w:rsidTr="00BF1F99">
        <w:trPr>
          <w:jc w:val="center"/>
        </w:trPr>
        <w:tc>
          <w:tcPr>
            <w:tcW w:w="674" w:type="dxa"/>
          </w:tcPr>
          <w:p w:rsidR="00F32158" w:rsidRPr="00B16D28" w:rsidRDefault="00F32158" w:rsidP="00F32158">
            <w:pPr>
              <w:widowControl w:val="0"/>
              <w:jc w:val="center"/>
              <w:rPr>
                <w:rFonts w:ascii="Times New Roman" w:hAnsi="Times New Roman"/>
                <w:sz w:val="22"/>
                <w:szCs w:val="22"/>
              </w:rPr>
            </w:pPr>
            <w:r w:rsidRPr="00B16D28">
              <w:rPr>
                <w:rFonts w:ascii="Times New Roman" w:hAnsi="Times New Roman"/>
                <w:sz w:val="22"/>
                <w:szCs w:val="22"/>
              </w:rPr>
              <w:t>2010</w:t>
            </w:r>
          </w:p>
        </w:tc>
        <w:tc>
          <w:tcPr>
            <w:tcW w:w="1094" w:type="dxa"/>
          </w:tcPr>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13,134.72</w:t>
            </w:r>
          </w:p>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14,258.26</w:t>
            </w:r>
          </w:p>
          <w:p w:rsidR="00F32158" w:rsidRPr="00B16D28" w:rsidRDefault="00F32158" w:rsidP="00F32158">
            <w:pPr>
              <w:shd w:val="clear" w:color="auto" w:fill="FFFFFF"/>
              <w:jc w:val="right"/>
              <w:rPr>
                <w:rFonts w:ascii="Times New Roman" w:hAnsi="Times New Roman"/>
                <w:color w:val="454545"/>
                <w:sz w:val="22"/>
                <w:szCs w:val="22"/>
                <w:lang w:val="uk-UA"/>
              </w:rPr>
            </w:pPr>
            <w:r w:rsidRPr="00B16D28">
              <w:rPr>
                <w:rFonts w:ascii="Times New Roman" w:hAnsi="Times New Roman"/>
                <w:color w:val="454545"/>
                <w:sz w:val="22"/>
                <w:szCs w:val="22"/>
                <w:lang w:val="en-US"/>
              </w:rPr>
              <w:t>12,174.36</w:t>
            </w:r>
          </w:p>
        </w:tc>
        <w:tc>
          <w:tcPr>
            <w:tcW w:w="1351" w:type="dxa"/>
          </w:tcPr>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15,417.52</w:t>
            </w:r>
          </w:p>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16,811.44</w:t>
            </w:r>
          </w:p>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14,212.99</w:t>
            </w:r>
          </w:p>
          <w:p w:rsidR="00F32158" w:rsidRPr="00B16D28" w:rsidRDefault="00F32158" w:rsidP="00F32158">
            <w:pPr>
              <w:widowControl w:val="0"/>
              <w:jc w:val="center"/>
              <w:rPr>
                <w:rFonts w:ascii="Times New Roman" w:hAnsi="Times New Roman"/>
                <w:sz w:val="22"/>
                <w:szCs w:val="22"/>
              </w:rPr>
            </w:pPr>
          </w:p>
        </w:tc>
        <w:tc>
          <w:tcPr>
            <w:tcW w:w="1172" w:type="dxa"/>
          </w:tcPr>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12,652.17</w:t>
            </w:r>
          </w:p>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13,790.99</w:t>
            </w:r>
          </w:p>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11,616.00</w:t>
            </w:r>
          </w:p>
          <w:p w:rsidR="00F32158" w:rsidRPr="00B16D28" w:rsidRDefault="00F32158" w:rsidP="00F32158">
            <w:pPr>
              <w:widowControl w:val="0"/>
              <w:jc w:val="center"/>
              <w:rPr>
                <w:rFonts w:ascii="Times New Roman" w:hAnsi="Times New Roman"/>
                <w:sz w:val="22"/>
                <w:szCs w:val="22"/>
              </w:rPr>
            </w:pPr>
          </w:p>
        </w:tc>
        <w:tc>
          <w:tcPr>
            <w:tcW w:w="1238" w:type="dxa"/>
          </w:tcPr>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9,518.99</w:t>
            </w:r>
          </w:p>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10,366.25</w:t>
            </w:r>
          </w:p>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8,766.80</w:t>
            </w:r>
          </w:p>
          <w:p w:rsidR="00F32158" w:rsidRPr="00B16D28" w:rsidRDefault="00F32158" w:rsidP="00F32158">
            <w:pPr>
              <w:widowControl w:val="0"/>
              <w:jc w:val="center"/>
              <w:rPr>
                <w:rFonts w:ascii="Times New Roman" w:hAnsi="Times New Roman"/>
                <w:sz w:val="22"/>
                <w:szCs w:val="22"/>
              </w:rPr>
            </w:pPr>
          </w:p>
        </w:tc>
        <w:tc>
          <w:tcPr>
            <w:tcW w:w="1094" w:type="dxa"/>
          </w:tcPr>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9,950.72</w:t>
            </w:r>
          </w:p>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10,867.75</w:t>
            </w:r>
          </w:p>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9,166.19</w:t>
            </w:r>
          </w:p>
          <w:p w:rsidR="00F32158" w:rsidRPr="00B16D28" w:rsidRDefault="00F32158" w:rsidP="00F32158">
            <w:pPr>
              <w:widowControl w:val="0"/>
              <w:jc w:val="center"/>
              <w:rPr>
                <w:rFonts w:ascii="Times New Roman" w:hAnsi="Times New Roman"/>
                <w:sz w:val="22"/>
                <w:szCs w:val="22"/>
              </w:rPr>
            </w:pPr>
          </w:p>
        </w:tc>
        <w:tc>
          <w:tcPr>
            <w:tcW w:w="1094" w:type="dxa"/>
          </w:tcPr>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9,333.82</w:t>
            </w:r>
          </w:p>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10,302.95</w:t>
            </w:r>
          </w:p>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8,536.45</w:t>
            </w:r>
          </w:p>
          <w:p w:rsidR="00F32158" w:rsidRPr="00B16D28" w:rsidRDefault="00F32158" w:rsidP="00F32158">
            <w:pPr>
              <w:widowControl w:val="0"/>
              <w:jc w:val="center"/>
              <w:rPr>
                <w:rFonts w:ascii="Times New Roman" w:hAnsi="Times New Roman"/>
                <w:sz w:val="22"/>
                <w:szCs w:val="22"/>
              </w:rPr>
            </w:pPr>
          </w:p>
        </w:tc>
        <w:tc>
          <w:tcPr>
            <w:tcW w:w="1094" w:type="dxa"/>
          </w:tcPr>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15,180.51</w:t>
            </w:r>
          </w:p>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16,049.67</w:t>
            </w:r>
          </w:p>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14,430.68</w:t>
            </w:r>
          </w:p>
          <w:p w:rsidR="00F32158" w:rsidRPr="00B16D28" w:rsidRDefault="00F32158" w:rsidP="00F32158">
            <w:pPr>
              <w:widowControl w:val="0"/>
              <w:jc w:val="center"/>
              <w:rPr>
                <w:rFonts w:ascii="Times New Roman" w:hAnsi="Times New Roman"/>
                <w:sz w:val="22"/>
                <w:szCs w:val="22"/>
              </w:rPr>
            </w:pPr>
          </w:p>
        </w:tc>
        <w:tc>
          <w:tcPr>
            <w:tcW w:w="1094" w:type="dxa"/>
          </w:tcPr>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21,673.03</w:t>
            </w:r>
          </w:p>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23,044.58</w:t>
            </w:r>
          </w:p>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20,279.76</w:t>
            </w:r>
          </w:p>
          <w:p w:rsidR="00F32158" w:rsidRPr="00B16D28" w:rsidRDefault="00F32158" w:rsidP="00F32158">
            <w:pPr>
              <w:widowControl w:val="0"/>
              <w:jc w:val="center"/>
              <w:rPr>
                <w:rFonts w:ascii="Times New Roman" w:hAnsi="Times New Roman"/>
                <w:sz w:val="22"/>
                <w:szCs w:val="22"/>
                <w:highlight w:val="yellow"/>
              </w:rPr>
            </w:pPr>
          </w:p>
        </w:tc>
      </w:tr>
      <w:tr w:rsidR="00F32158" w:rsidRPr="00B16D28" w:rsidTr="00BF1F99">
        <w:trPr>
          <w:jc w:val="center"/>
        </w:trPr>
        <w:tc>
          <w:tcPr>
            <w:tcW w:w="674" w:type="dxa"/>
          </w:tcPr>
          <w:p w:rsidR="00F32158" w:rsidRPr="00B16D28" w:rsidRDefault="00F32158" w:rsidP="00F32158">
            <w:pPr>
              <w:widowControl w:val="0"/>
              <w:jc w:val="center"/>
              <w:rPr>
                <w:rFonts w:ascii="Times New Roman" w:hAnsi="Times New Roman"/>
                <w:sz w:val="22"/>
                <w:szCs w:val="22"/>
              </w:rPr>
            </w:pPr>
            <w:r w:rsidRPr="00B16D28">
              <w:rPr>
                <w:rFonts w:ascii="Times New Roman" w:hAnsi="Times New Roman"/>
                <w:sz w:val="22"/>
                <w:szCs w:val="22"/>
              </w:rPr>
              <w:t>2011</w:t>
            </w:r>
          </w:p>
        </w:tc>
        <w:tc>
          <w:tcPr>
            <w:tcW w:w="1094" w:type="dxa"/>
          </w:tcPr>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12,170.06</w:t>
            </w:r>
          </w:p>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13,262.62</w:t>
            </w:r>
          </w:p>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11,239.32</w:t>
            </w:r>
          </w:p>
          <w:p w:rsidR="00F32158" w:rsidRPr="00B16D28" w:rsidRDefault="00F32158" w:rsidP="00F32158">
            <w:pPr>
              <w:widowControl w:val="0"/>
              <w:jc w:val="center"/>
              <w:rPr>
                <w:rFonts w:ascii="Times New Roman" w:hAnsi="Times New Roman"/>
                <w:sz w:val="22"/>
                <w:szCs w:val="22"/>
              </w:rPr>
            </w:pPr>
          </w:p>
        </w:tc>
        <w:tc>
          <w:tcPr>
            <w:tcW w:w="1351" w:type="dxa"/>
          </w:tcPr>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14,148.83</w:t>
            </w:r>
          </w:p>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15,430.44</w:t>
            </w:r>
          </w:p>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13,029.76</w:t>
            </w:r>
          </w:p>
          <w:p w:rsidR="00F32158" w:rsidRPr="00B16D28" w:rsidRDefault="00F32158" w:rsidP="00F32158">
            <w:pPr>
              <w:widowControl w:val="0"/>
              <w:jc w:val="center"/>
              <w:rPr>
                <w:rFonts w:ascii="Times New Roman" w:hAnsi="Times New Roman"/>
                <w:sz w:val="22"/>
                <w:szCs w:val="22"/>
              </w:rPr>
            </w:pPr>
          </w:p>
        </w:tc>
        <w:tc>
          <w:tcPr>
            <w:tcW w:w="1172" w:type="dxa"/>
          </w:tcPr>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12,384.05</w:t>
            </w:r>
          </w:p>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13,562.39</w:t>
            </w:r>
          </w:p>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11,289.10</w:t>
            </w:r>
          </w:p>
          <w:p w:rsidR="00F32158" w:rsidRPr="00B16D28" w:rsidRDefault="00F32158" w:rsidP="00F32158">
            <w:pPr>
              <w:widowControl w:val="0"/>
              <w:jc w:val="center"/>
              <w:rPr>
                <w:rFonts w:ascii="Times New Roman" w:hAnsi="Times New Roman"/>
                <w:sz w:val="22"/>
                <w:szCs w:val="22"/>
              </w:rPr>
            </w:pPr>
          </w:p>
        </w:tc>
        <w:tc>
          <w:tcPr>
            <w:tcW w:w="1238" w:type="dxa"/>
          </w:tcPr>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9,390.65</w:t>
            </w:r>
          </w:p>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10,234.54</w:t>
            </w:r>
          </w:p>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8,646.95</w:t>
            </w:r>
          </w:p>
          <w:p w:rsidR="00F32158" w:rsidRPr="00B16D28" w:rsidRDefault="00F32158" w:rsidP="00F32158">
            <w:pPr>
              <w:widowControl w:val="0"/>
              <w:jc w:val="center"/>
              <w:rPr>
                <w:rFonts w:ascii="Times New Roman" w:hAnsi="Times New Roman"/>
                <w:sz w:val="22"/>
                <w:szCs w:val="22"/>
              </w:rPr>
            </w:pPr>
          </w:p>
        </w:tc>
        <w:tc>
          <w:tcPr>
            <w:tcW w:w="1094" w:type="dxa"/>
          </w:tcPr>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9,577.43</w:t>
            </w:r>
          </w:p>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10,495.25</w:t>
            </w:r>
          </w:p>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8,783.93</w:t>
            </w:r>
          </w:p>
          <w:p w:rsidR="00F32158" w:rsidRPr="00B16D28" w:rsidRDefault="00F32158" w:rsidP="00F32158">
            <w:pPr>
              <w:widowControl w:val="0"/>
              <w:jc w:val="center"/>
              <w:rPr>
                <w:rFonts w:ascii="Times New Roman" w:hAnsi="Times New Roman"/>
                <w:sz w:val="22"/>
                <w:szCs w:val="22"/>
              </w:rPr>
            </w:pPr>
          </w:p>
        </w:tc>
        <w:tc>
          <w:tcPr>
            <w:tcW w:w="1094" w:type="dxa"/>
          </w:tcPr>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9,009.88</w:t>
            </w:r>
          </w:p>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9,971.63</w:t>
            </w:r>
          </w:p>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8,228.94</w:t>
            </w:r>
          </w:p>
          <w:p w:rsidR="00F32158" w:rsidRPr="00B16D28" w:rsidRDefault="00F32158" w:rsidP="00F32158">
            <w:pPr>
              <w:widowControl w:val="0"/>
              <w:jc w:val="center"/>
              <w:rPr>
                <w:rFonts w:ascii="Times New Roman" w:hAnsi="Times New Roman"/>
                <w:sz w:val="22"/>
                <w:szCs w:val="22"/>
              </w:rPr>
            </w:pPr>
          </w:p>
        </w:tc>
        <w:tc>
          <w:tcPr>
            <w:tcW w:w="1094" w:type="dxa"/>
          </w:tcPr>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15,057.84</w:t>
            </w:r>
          </w:p>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15,950.63</w:t>
            </w:r>
          </w:p>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14,311.85</w:t>
            </w:r>
          </w:p>
          <w:p w:rsidR="00F32158" w:rsidRPr="00B16D28" w:rsidRDefault="00F32158" w:rsidP="00F32158">
            <w:pPr>
              <w:widowControl w:val="0"/>
              <w:jc w:val="center"/>
              <w:rPr>
                <w:rFonts w:ascii="Times New Roman" w:hAnsi="Times New Roman"/>
                <w:sz w:val="22"/>
                <w:szCs w:val="22"/>
              </w:rPr>
            </w:pPr>
          </w:p>
        </w:tc>
        <w:tc>
          <w:tcPr>
            <w:tcW w:w="1094" w:type="dxa"/>
          </w:tcPr>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20,644.04</w:t>
            </w:r>
          </w:p>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21,966.88</w:t>
            </w:r>
          </w:p>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19,344.80</w:t>
            </w:r>
          </w:p>
          <w:p w:rsidR="00F32158" w:rsidRPr="00B16D28" w:rsidRDefault="00F32158" w:rsidP="00F32158">
            <w:pPr>
              <w:widowControl w:val="0"/>
              <w:jc w:val="center"/>
              <w:rPr>
                <w:rFonts w:ascii="Times New Roman" w:hAnsi="Times New Roman"/>
                <w:sz w:val="22"/>
                <w:szCs w:val="22"/>
                <w:highlight w:val="yellow"/>
              </w:rPr>
            </w:pPr>
          </w:p>
        </w:tc>
      </w:tr>
      <w:tr w:rsidR="00F32158" w:rsidRPr="00B16D28" w:rsidTr="00BF1F99">
        <w:trPr>
          <w:jc w:val="center"/>
        </w:trPr>
        <w:tc>
          <w:tcPr>
            <w:tcW w:w="674" w:type="dxa"/>
          </w:tcPr>
          <w:p w:rsidR="00F32158" w:rsidRPr="00B16D28" w:rsidRDefault="00F32158" w:rsidP="00F32158">
            <w:pPr>
              <w:widowControl w:val="0"/>
              <w:jc w:val="center"/>
              <w:rPr>
                <w:rFonts w:ascii="Times New Roman" w:hAnsi="Times New Roman"/>
                <w:sz w:val="22"/>
                <w:szCs w:val="22"/>
              </w:rPr>
            </w:pPr>
            <w:r w:rsidRPr="00B16D28">
              <w:rPr>
                <w:rFonts w:ascii="Times New Roman" w:hAnsi="Times New Roman"/>
                <w:sz w:val="22"/>
                <w:szCs w:val="22"/>
              </w:rPr>
              <w:t>2012</w:t>
            </w:r>
          </w:p>
        </w:tc>
        <w:tc>
          <w:tcPr>
            <w:tcW w:w="1094" w:type="dxa"/>
          </w:tcPr>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11,840.00</w:t>
            </w:r>
          </w:p>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12,939.85</w:t>
            </w:r>
          </w:p>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10,884.08</w:t>
            </w:r>
          </w:p>
          <w:p w:rsidR="00F32158" w:rsidRPr="00B16D28" w:rsidRDefault="00F32158" w:rsidP="00F32158">
            <w:pPr>
              <w:widowControl w:val="0"/>
              <w:jc w:val="center"/>
              <w:rPr>
                <w:rFonts w:ascii="Times New Roman" w:hAnsi="Times New Roman"/>
                <w:sz w:val="22"/>
                <w:szCs w:val="22"/>
              </w:rPr>
            </w:pPr>
          </w:p>
        </w:tc>
        <w:tc>
          <w:tcPr>
            <w:tcW w:w="1351" w:type="dxa"/>
          </w:tcPr>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14,052.96</w:t>
            </w:r>
          </w:p>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15,311.91</w:t>
            </w:r>
          </w:p>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12,980.05</w:t>
            </w:r>
          </w:p>
          <w:p w:rsidR="00F32158" w:rsidRPr="00B16D28" w:rsidRDefault="00F32158" w:rsidP="00F32158">
            <w:pPr>
              <w:widowControl w:val="0"/>
              <w:jc w:val="center"/>
              <w:rPr>
                <w:rFonts w:ascii="Times New Roman" w:hAnsi="Times New Roman"/>
                <w:sz w:val="22"/>
                <w:szCs w:val="22"/>
              </w:rPr>
            </w:pPr>
          </w:p>
        </w:tc>
        <w:tc>
          <w:tcPr>
            <w:tcW w:w="1172" w:type="dxa"/>
          </w:tcPr>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12,368.71</w:t>
            </w:r>
          </w:p>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13,552.50</w:t>
            </w:r>
          </w:p>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11,353.73</w:t>
            </w:r>
          </w:p>
          <w:p w:rsidR="00F32158" w:rsidRPr="00B16D28" w:rsidRDefault="00F32158" w:rsidP="00F32158">
            <w:pPr>
              <w:widowControl w:val="0"/>
              <w:jc w:val="center"/>
              <w:rPr>
                <w:rFonts w:ascii="Times New Roman" w:hAnsi="Times New Roman"/>
                <w:sz w:val="22"/>
                <w:szCs w:val="22"/>
              </w:rPr>
            </w:pPr>
          </w:p>
        </w:tc>
        <w:tc>
          <w:tcPr>
            <w:tcW w:w="1238" w:type="dxa"/>
          </w:tcPr>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9,013.76</w:t>
            </w:r>
          </w:p>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9,871.46</w:t>
            </w:r>
          </w:p>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8,254.93</w:t>
            </w:r>
          </w:p>
          <w:p w:rsidR="00F32158" w:rsidRPr="00B16D28" w:rsidRDefault="00F32158" w:rsidP="00F32158">
            <w:pPr>
              <w:widowControl w:val="0"/>
              <w:jc w:val="center"/>
              <w:rPr>
                <w:rFonts w:ascii="Times New Roman" w:hAnsi="Times New Roman"/>
                <w:sz w:val="22"/>
                <w:szCs w:val="22"/>
              </w:rPr>
            </w:pPr>
          </w:p>
        </w:tc>
        <w:tc>
          <w:tcPr>
            <w:tcW w:w="1094" w:type="dxa"/>
          </w:tcPr>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9,552.40</w:t>
            </w:r>
          </w:p>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10,482.73</w:t>
            </w:r>
          </w:p>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8,755.41</w:t>
            </w:r>
          </w:p>
          <w:p w:rsidR="00F32158" w:rsidRPr="00B16D28" w:rsidRDefault="00F32158" w:rsidP="00F32158">
            <w:pPr>
              <w:widowControl w:val="0"/>
              <w:jc w:val="center"/>
              <w:rPr>
                <w:rFonts w:ascii="Times New Roman" w:hAnsi="Times New Roman"/>
                <w:sz w:val="22"/>
                <w:szCs w:val="22"/>
              </w:rPr>
            </w:pPr>
          </w:p>
        </w:tc>
        <w:tc>
          <w:tcPr>
            <w:tcW w:w="1094" w:type="dxa"/>
          </w:tcPr>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8,588.49</w:t>
            </w:r>
          </w:p>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9,546.18</w:t>
            </w:r>
          </w:p>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7,793.30</w:t>
            </w:r>
          </w:p>
          <w:p w:rsidR="00F32158" w:rsidRPr="00B16D28" w:rsidRDefault="00F32158" w:rsidP="00F32158">
            <w:pPr>
              <w:widowControl w:val="0"/>
              <w:jc w:val="center"/>
              <w:rPr>
                <w:rFonts w:ascii="Times New Roman" w:hAnsi="Times New Roman"/>
                <w:sz w:val="22"/>
                <w:szCs w:val="22"/>
              </w:rPr>
            </w:pPr>
          </w:p>
        </w:tc>
        <w:tc>
          <w:tcPr>
            <w:tcW w:w="1094" w:type="dxa"/>
          </w:tcPr>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15,042.10</w:t>
            </w:r>
          </w:p>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15,939.77</w:t>
            </w:r>
          </w:p>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14,291.25</w:t>
            </w:r>
          </w:p>
          <w:p w:rsidR="00F32158" w:rsidRPr="00B16D28" w:rsidRDefault="00F32158" w:rsidP="00F32158">
            <w:pPr>
              <w:widowControl w:val="0"/>
              <w:jc w:val="center"/>
              <w:rPr>
                <w:rFonts w:ascii="Times New Roman" w:hAnsi="Times New Roman"/>
                <w:sz w:val="22"/>
                <w:szCs w:val="22"/>
              </w:rPr>
            </w:pPr>
          </w:p>
        </w:tc>
        <w:tc>
          <w:tcPr>
            <w:tcW w:w="1094" w:type="dxa"/>
          </w:tcPr>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19,779.66</w:t>
            </w:r>
          </w:p>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21,179.72</w:t>
            </w:r>
          </w:p>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18,493.18</w:t>
            </w:r>
          </w:p>
          <w:p w:rsidR="00F32158" w:rsidRPr="00B16D28" w:rsidRDefault="00F32158" w:rsidP="00F32158">
            <w:pPr>
              <w:widowControl w:val="0"/>
              <w:jc w:val="center"/>
              <w:rPr>
                <w:rFonts w:ascii="Times New Roman" w:hAnsi="Times New Roman"/>
                <w:sz w:val="22"/>
                <w:szCs w:val="22"/>
                <w:highlight w:val="yellow"/>
              </w:rPr>
            </w:pPr>
          </w:p>
        </w:tc>
      </w:tr>
      <w:tr w:rsidR="00F32158" w:rsidRPr="00B16D28" w:rsidTr="00BF1F99">
        <w:trPr>
          <w:jc w:val="center"/>
        </w:trPr>
        <w:tc>
          <w:tcPr>
            <w:tcW w:w="674" w:type="dxa"/>
          </w:tcPr>
          <w:p w:rsidR="00F32158" w:rsidRPr="00B16D28" w:rsidRDefault="00F32158" w:rsidP="00F32158">
            <w:pPr>
              <w:widowControl w:val="0"/>
              <w:jc w:val="center"/>
              <w:rPr>
                <w:rFonts w:ascii="Times New Roman" w:hAnsi="Times New Roman"/>
                <w:sz w:val="22"/>
                <w:szCs w:val="22"/>
              </w:rPr>
            </w:pPr>
            <w:r w:rsidRPr="00B16D28">
              <w:rPr>
                <w:rFonts w:ascii="Times New Roman" w:hAnsi="Times New Roman"/>
                <w:sz w:val="22"/>
                <w:szCs w:val="22"/>
              </w:rPr>
              <w:t>2013</w:t>
            </w:r>
          </w:p>
        </w:tc>
        <w:tc>
          <w:tcPr>
            <w:tcW w:w="1094" w:type="dxa"/>
          </w:tcPr>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11,478.59</w:t>
            </w:r>
          </w:p>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12,488.84</w:t>
            </w:r>
          </w:p>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10,558.70</w:t>
            </w:r>
          </w:p>
          <w:p w:rsidR="00F32158" w:rsidRPr="00B16D28" w:rsidRDefault="00F32158" w:rsidP="00F32158">
            <w:pPr>
              <w:widowControl w:val="0"/>
              <w:jc w:val="center"/>
              <w:rPr>
                <w:rFonts w:ascii="Times New Roman" w:hAnsi="Times New Roman"/>
                <w:sz w:val="22"/>
                <w:szCs w:val="22"/>
              </w:rPr>
            </w:pPr>
          </w:p>
        </w:tc>
        <w:tc>
          <w:tcPr>
            <w:tcW w:w="1351" w:type="dxa"/>
          </w:tcPr>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13,797.41</w:t>
            </w:r>
          </w:p>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15,043.75</w:t>
            </w:r>
          </w:p>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12,709.62</w:t>
            </w:r>
          </w:p>
          <w:p w:rsidR="00F32158" w:rsidRPr="00B16D28" w:rsidRDefault="00F32158" w:rsidP="00F32158">
            <w:pPr>
              <w:widowControl w:val="0"/>
              <w:jc w:val="center"/>
              <w:rPr>
                <w:rFonts w:ascii="Times New Roman" w:hAnsi="Times New Roman"/>
                <w:sz w:val="22"/>
                <w:szCs w:val="22"/>
              </w:rPr>
            </w:pPr>
          </w:p>
        </w:tc>
        <w:tc>
          <w:tcPr>
            <w:tcW w:w="1172" w:type="dxa"/>
          </w:tcPr>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12,566.89</w:t>
            </w:r>
          </w:p>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13,782.59</w:t>
            </w:r>
          </w:p>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11,442.42</w:t>
            </w:r>
          </w:p>
          <w:p w:rsidR="00F32158" w:rsidRPr="00B16D28" w:rsidRDefault="00F32158" w:rsidP="00F32158">
            <w:pPr>
              <w:widowControl w:val="0"/>
              <w:jc w:val="center"/>
              <w:rPr>
                <w:rFonts w:ascii="Times New Roman" w:hAnsi="Times New Roman"/>
                <w:sz w:val="22"/>
                <w:szCs w:val="22"/>
              </w:rPr>
            </w:pPr>
          </w:p>
        </w:tc>
        <w:tc>
          <w:tcPr>
            <w:tcW w:w="1238" w:type="dxa"/>
          </w:tcPr>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8,996.46</w:t>
            </w:r>
          </w:p>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9,848.16</w:t>
            </w:r>
          </w:p>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8,242.81</w:t>
            </w:r>
          </w:p>
          <w:p w:rsidR="00F32158" w:rsidRPr="00B16D28" w:rsidRDefault="00F32158" w:rsidP="00F32158">
            <w:pPr>
              <w:widowControl w:val="0"/>
              <w:jc w:val="center"/>
              <w:rPr>
                <w:rFonts w:ascii="Times New Roman" w:hAnsi="Times New Roman"/>
                <w:sz w:val="22"/>
                <w:szCs w:val="22"/>
              </w:rPr>
            </w:pPr>
          </w:p>
        </w:tc>
        <w:tc>
          <w:tcPr>
            <w:tcW w:w="1094" w:type="dxa"/>
          </w:tcPr>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9,603.40</w:t>
            </w:r>
          </w:p>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10,529.74</w:t>
            </w:r>
          </w:p>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8,804.31</w:t>
            </w:r>
          </w:p>
          <w:p w:rsidR="00F32158" w:rsidRPr="00B16D28" w:rsidRDefault="00F32158" w:rsidP="00F32158">
            <w:pPr>
              <w:widowControl w:val="0"/>
              <w:jc w:val="center"/>
              <w:rPr>
                <w:rFonts w:ascii="Times New Roman" w:hAnsi="Times New Roman"/>
                <w:sz w:val="22"/>
                <w:szCs w:val="22"/>
              </w:rPr>
            </w:pPr>
          </w:p>
        </w:tc>
        <w:tc>
          <w:tcPr>
            <w:tcW w:w="1094" w:type="dxa"/>
          </w:tcPr>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8,093.86</w:t>
            </w:r>
          </w:p>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9,068.31</w:t>
            </w:r>
          </w:p>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7,288.46</w:t>
            </w:r>
          </w:p>
          <w:p w:rsidR="00F32158" w:rsidRPr="00B16D28" w:rsidRDefault="00F32158" w:rsidP="00F32158">
            <w:pPr>
              <w:widowControl w:val="0"/>
              <w:jc w:val="center"/>
              <w:rPr>
                <w:rFonts w:ascii="Times New Roman" w:hAnsi="Times New Roman"/>
                <w:sz w:val="22"/>
                <w:szCs w:val="22"/>
              </w:rPr>
            </w:pPr>
          </w:p>
        </w:tc>
        <w:tc>
          <w:tcPr>
            <w:tcW w:w="1094" w:type="dxa"/>
          </w:tcPr>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15,077.00</w:t>
            </w:r>
          </w:p>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15,958.00</w:t>
            </w:r>
          </w:p>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14,315.54</w:t>
            </w:r>
          </w:p>
          <w:p w:rsidR="00F32158" w:rsidRPr="00B16D28" w:rsidRDefault="00F32158" w:rsidP="00F32158">
            <w:pPr>
              <w:widowControl w:val="0"/>
              <w:jc w:val="center"/>
              <w:rPr>
                <w:rFonts w:ascii="Times New Roman" w:hAnsi="Times New Roman"/>
                <w:sz w:val="22"/>
                <w:szCs w:val="22"/>
              </w:rPr>
            </w:pPr>
          </w:p>
        </w:tc>
        <w:tc>
          <w:tcPr>
            <w:tcW w:w="1094" w:type="dxa"/>
          </w:tcPr>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18,451.99</w:t>
            </w:r>
          </w:p>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19,801.58</w:t>
            </w:r>
          </w:p>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17,185.69</w:t>
            </w:r>
          </w:p>
          <w:p w:rsidR="00F32158" w:rsidRPr="00B16D28" w:rsidRDefault="00F32158" w:rsidP="00F32158">
            <w:pPr>
              <w:widowControl w:val="0"/>
              <w:jc w:val="center"/>
              <w:rPr>
                <w:rFonts w:ascii="Times New Roman" w:hAnsi="Times New Roman"/>
                <w:sz w:val="22"/>
                <w:szCs w:val="22"/>
                <w:highlight w:val="yellow"/>
              </w:rPr>
            </w:pPr>
          </w:p>
        </w:tc>
      </w:tr>
      <w:tr w:rsidR="00F32158" w:rsidRPr="00B16D28" w:rsidTr="00BF1F99">
        <w:trPr>
          <w:jc w:val="center"/>
        </w:trPr>
        <w:tc>
          <w:tcPr>
            <w:tcW w:w="674" w:type="dxa"/>
          </w:tcPr>
          <w:p w:rsidR="00F32158" w:rsidRPr="00B16D28" w:rsidRDefault="00F32158" w:rsidP="00F32158">
            <w:pPr>
              <w:widowControl w:val="0"/>
              <w:jc w:val="center"/>
              <w:rPr>
                <w:rFonts w:ascii="Times New Roman" w:hAnsi="Times New Roman"/>
                <w:sz w:val="22"/>
                <w:szCs w:val="22"/>
              </w:rPr>
            </w:pPr>
            <w:r w:rsidRPr="00B16D28">
              <w:rPr>
                <w:rFonts w:ascii="Times New Roman" w:hAnsi="Times New Roman"/>
                <w:sz w:val="22"/>
                <w:szCs w:val="22"/>
              </w:rPr>
              <w:t>2014</w:t>
            </w:r>
          </w:p>
        </w:tc>
        <w:tc>
          <w:tcPr>
            <w:tcW w:w="1094" w:type="dxa"/>
          </w:tcPr>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11,072.27</w:t>
            </w:r>
          </w:p>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12,136.31</w:t>
            </w:r>
          </w:p>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10,186.09</w:t>
            </w:r>
          </w:p>
          <w:p w:rsidR="00F32158" w:rsidRPr="00B16D28" w:rsidRDefault="00F32158" w:rsidP="00F32158">
            <w:pPr>
              <w:widowControl w:val="0"/>
              <w:jc w:val="center"/>
              <w:rPr>
                <w:rFonts w:ascii="Times New Roman" w:hAnsi="Times New Roman"/>
                <w:sz w:val="22"/>
                <w:szCs w:val="22"/>
              </w:rPr>
            </w:pPr>
          </w:p>
        </w:tc>
        <w:tc>
          <w:tcPr>
            <w:tcW w:w="1351" w:type="dxa"/>
          </w:tcPr>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14,273.64</w:t>
            </w:r>
          </w:p>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15,553.71</w:t>
            </w:r>
          </w:p>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13,161.01</w:t>
            </w:r>
          </w:p>
          <w:p w:rsidR="00F32158" w:rsidRPr="00B16D28" w:rsidRDefault="00F32158" w:rsidP="00F32158">
            <w:pPr>
              <w:widowControl w:val="0"/>
              <w:jc w:val="center"/>
              <w:rPr>
                <w:rFonts w:ascii="Times New Roman" w:hAnsi="Times New Roman"/>
                <w:sz w:val="22"/>
                <w:szCs w:val="22"/>
              </w:rPr>
            </w:pPr>
          </w:p>
        </w:tc>
        <w:tc>
          <w:tcPr>
            <w:tcW w:w="1172" w:type="dxa"/>
          </w:tcPr>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12,375.55</w:t>
            </w:r>
          </w:p>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13,561.25</w:t>
            </w:r>
          </w:p>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11,319.40</w:t>
            </w:r>
          </w:p>
          <w:p w:rsidR="00F32158" w:rsidRPr="00B16D28" w:rsidRDefault="00F32158" w:rsidP="00F32158">
            <w:pPr>
              <w:widowControl w:val="0"/>
              <w:jc w:val="center"/>
              <w:rPr>
                <w:rFonts w:ascii="Times New Roman" w:hAnsi="Times New Roman"/>
                <w:sz w:val="22"/>
                <w:szCs w:val="22"/>
              </w:rPr>
            </w:pPr>
          </w:p>
        </w:tc>
        <w:tc>
          <w:tcPr>
            <w:tcW w:w="1238" w:type="dxa"/>
          </w:tcPr>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8,947.53</w:t>
            </w:r>
          </w:p>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9,794.57</w:t>
            </w:r>
          </w:p>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8,178.70</w:t>
            </w:r>
          </w:p>
          <w:p w:rsidR="00F32158" w:rsidRPr="00B16D28" w:rsidRDefault="00F32158" w:rsidP="00F32158">
            <w:pPr>
              <w:widowControl w:val="0"/>
              <w:jc w:val="center"/>
              <w:rPr>
                <w:rFonts w:ascii="Times New Roman" w:hAnsi="Times New Roman"/>
                <w:sz w:val="22"/>
                <w:szCs w:val="22"/>
              </w:rPr>
            </w:pPr>
          </w:p>
        </w:tc>
        <w:tc>
          <w:tcPr>
            <w:tcW w:w="1094" w:type="dxa"/>
          </w:tcPr>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9,443.27</w:t>
            </w:r>
          </w:p>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10,357.44</w:t>
            </w:r>
          </w:p>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8,667.80</w:t>
            </w:r>
          </w:p>
          <w:p w:rsidR="00F32158" w:rsidRPr="00B16D28" w:rsidRDefault="00F32158" w:rsidP="00F32158">
            <w:pPr>
              <w:widowControl w:val="0"/>
              <w:jc w:val="center"/>
              <w:rPr>
                <w:rFonts w:ascii="Times New Roman" w:hAnsi="Times New Roman"/>
                <w:sz w:val="22"/>
                <w:szCs w:val="22"/>
              </w:rPr>
            </w:pPr>
          </w:p>
        </w:tc>
        <w:tc>
          <w:tcPr>
            <w:tcW w:w="1094" w:type="dxa"/>
          </w:tcPr>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8,229.24</w:t>
            </w:r>
          </w:p>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9,180.46</w:t>
            </w:r>
          </w:p>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7,435.63</w:t>
            </w:r>
          </w:p>
          <w:p w:rsidR="00F32158" w:rsidRPr="00B16D28" w:rsidRDefault="00F32158" w:rsidP="00F32158">
            <w:pPr>
              <w:widowControl w:val="0"/>
              <w:jc w:val="center"/>
              <w:rPr>
                <w:rFonts w:ascii="Times New Roman" w:hAnsi="Times New Roman"/>
                <w:sz w:val="22"/>
                <w:szCs w:val="22"/>
              </w:rPr>
            </w:pPr>
          </w:p>
        </w:tc>
        <w:tc>
          <w:tcPr>
            <w:tcW w:w="1094" w:type="dxa"/>
          </w:tcPr>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15,056.10</w:t>
            </w:r>
          </w:p>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15,970.78</w:t>
            </w:r>
          </w:p>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14,296.01</w:t>
            </w:r>
          </w:p>
          <w:p w:rsidR="00F32158" w:rsidRPr="00B16D28" w:rsidRDefault="00F32158" w:rsidP="00F32158">
            <w:pPr>
              <w:widowControl w:val="0"/>
              <w:jc w:val="center"/>
              <w:rPr>
                <w:rFonts w:ascii="Times New Roman" w:hAnsi="Times New Roman"/>
                <w:sz w:val="22"/>
                <w:szCs w:val="22"/>
              </w:rPr>
            </w:pPr>
          </w:p>
        </w:tc>
        <w:tc>
          <w:tcPr>
            <w:tcW w:w="1094" w:type="dxa"/>
          </w:tcPr>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19,303.48</w:t>
            </w:r>
          </w:p>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20,741.46</w:t>
            </w:r>
          </w:p>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17,943.31</w:t>
            </w:r>
          </w:p>
          <w:p w:rsidR="00F32158" w:rsidRPr="00B16D28" w:rsidRDefault="00F32158" w:rsidP="00F32158">
            <w:pPr>
              <w:widowControl w:val="0"/>
              <w:jc w:val="center"/>
              <w:rPr>
                <w:rFonts w:ascii="Times New Roman" w:hAnsi="Times New Roman"/>
                <w:sz w:val="22"/>
                <w:szCs w:val="22"/>
                <w:highlight w:val="yellow"/>
              </w:rPr>
            </w:pPr>
          </w:p>
        </w:tc>
      </w:tr>
      <w:tr w:rsidR="00F32158" w:rsidRPr="00B16D28" w:rsidTr="00BF1F99">
        <w:trPr>
          <w:jc w:val="center"/>
        </w:trPr>
        <w:tc>
          <w:tcPr>
            <w:tcW w:w="674" w:type="dxa"/>
          </w:tcPr>
          <w:p w:rsidR="00F32158" w:rsidRPr="00B16D28" w:rsidRDefault="00F32158" w:rsidP="00F32158">
            <w:pPr>
              <w:widowControl w:val="0"/>
              <w:jc w:val="center"/>
              <w:rPr>
                <w:rFonts w:ascii="Times New Roman" w:hAnsi="Times New Roman"/>
                <w:sz w:val="22"/>
                <w:szCs w:val="22"/>
              </w:rPr>
            </w:pPr>
            <w:r w:rsidRPr="00B16D28">
              <w:rPr>
                <w:rFonts w:ascii="Times New Roman" w:hAnsi="Times New Roman"/>
                <w:sz w:val="22"/>
                <w:szCs w:val="22"/>
              </w:rPr>
              <w:t>2015</w:t>
            </w:r>
          </w:p>
        </w:tc>
        <w:tc>
          <w:tcPr>
            <w:tcW w:w="1094" w:type="dxa"/>
          </w:tcPr>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10,721.13</w:t>
            </w:r>
          </w:p>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11,747.14</w:t>
            </w:r>
          </w:p>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9,806.79</w:t>
            </w:r>
          </w:p>
          <w:p w:rsidR="00F32158" w:rsidRPr="00B16D28" w:rsidRDefault="00F32158" w:rsidP="00F32158">
            <w:pPr>
              <w:widowControl w:val="0"/>
              <w:jc w:val="center"/>
              <w:rPr>
                <w:rFonts w:ascii="Times New Roman" w:hAnsi="Times New Roman"/>
                <w:sz w:val="22"/>
                <w:szCs w:val="22"/>
              </w:rPr>
            </w:pPr>
          </w:p>
        </w:tc>
        <w:tc>
          <w:tcPr>
            <w:tcW w:w="1351" w:type="dxa"/>
          </w:tcPr>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14,183.77</w:t>
            </w:r>
          </w:p>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15,404.88</w:t>
            </w:r>
          </w:p>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13,049.36</w:t>
            </w:r>
          </w:p>
          <w:p w:rsidR="00F32158" w:rsidRPr="00B16D28" w:rsidRDefault="00F32158" w:rsidP="00F32158">
            <w:pPr>
              <w:widowControl w:val="0"/>
              <w:jc w:val="center"/>
              <w:rPr>
                <w:rFonts w:ascii="Times New Roman" w:hAnsi="Times New Roman"/>
                <w:sz w:val="22"/>
                <w:szCs w:val="22"/>
              </w:rPr>
            </w:pPr>
          </w:p>
        </w:tc>
        <w:tc>
          <w:tcPr>
            <w:tcW w:w="1172" w:type="dxa"/>
          </w:tcPr>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12,432.51</w:t>
            </w:r>
          </w:p>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13,701.33</w:t>
            </w:r>
          </w:p>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11,333.79</w:t>
            </w:r>
          </w:p>
          <w:p w:rsidR="00F32158" w:rsidRPr="00B16D28" w:rsidRDefault="00F32158" w:rsidP="00F32158">
            <w:pPr>
              <w:widowControl w:val="0"/>
              <w:jc w:val="center"/>
              <w:rPr>
                <w:rFonts w:ascii="Times New Roman" w:hAnsi="Times New Roman"/>
                <w:sz w:val="22"/>
                <w:szCs w:val="22"/>
              </w:rPr>
            </w:pPr>
          </w:p>
        </w:tc>
        <w:tc>
          <w:tcPr>
            <w:tcW w:w="1238" w:type="dxa"/>
          </w:tcPr>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9,068.02</w:t>
            </w:r>
          </w:p>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9,919.40</w:t>
            </w:r>
          </w:p>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8,292.77</w:t>
            </w:r>
          </w:p>
          <w:p w:rsidR="00F32158" w:rsidRPr="00B16D28" w:rsidRDefault="00F32158" w:rsidP="00F32158">
            <w:pPr>
              <w:widowControl w:val="0"/>
              <w:jc w:val="center"/>
              <w:rPr>
                <w:rFonts w:ascii="Times New Roman" w:hAnsi="Times New Roman"/>
                <w:sz w:val="22"/>
                <w:szCs w:val="22"/>
              </w:rPr>
            </w:pPr>
          </w:p>
        </w:tc>
        <w:tc>
          <w:tcPr>
            <w:tcW w:w="1094" w:type="dxa"/>
          </w:tcPr>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9,531.43</w:t>
            </w:r>
          </w:p>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10,453.47</w:t>
            </w:r>
          </w:p>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8,764.34</w:t>
            </w:r>
          </w:p>
          <w:p w:rsidR="00F32158" w:rsidRPr="00B16D28" w:rsidRDefault="00F32158" w:rsidP="00F32158">
            <w:pPr>
              <w:widowControl w:val="0"/>
              <w:jc w:val="center"/>
              <w:rPr>
                <w:rFonts w:ascii="Times New Roman" w:hAnsi="Times New Roman"/>
                <w:sz w:val="22"/>
                <w:szCs w:val="22"/>
              </w:rPr>
            </w:pPr>
          </w:p>
        </w:tc>
        <w:tc>
          <w:tcPr>
            <w:tcW w:w="1094" w:type="dxa"/>
          </w:tcPr>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7,991.63</w:t>
            </w:r>
          </w:p>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8,934.94</w:t>
            </w:r>
          </w:p>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7,192.16</w:t>
            </w:r>
          </w:p>
          <w:p w:rsidR="00F32158" w:rsidRPr="00B16D28" w:rsidRDefault="00F32158" w:rsidP="00F32158">
            <w:pPr>
              <w:widowControl w:val="0"/>
              <w:jc w:val="center"/>
              <w:rPr>
                <w:rFonts w:ascii="Times New Roman" w:hAnsi="Times New Roman"/>
                <w:sz w:val="22"/>
                <w:szCs w:val="22"/>
              </w:rPr>
            </w:pPr>
          </w:p>
        </w:tc>
        <w:tc>
          <w:tcPr>
            <w:tcW w:w="1094" w:type="dxa"/>
          </w:tcPr>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15,081.24</w:t>
            </w:r>
          </w:p>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15,963.38</w:t>
            </w:r>
          </w:p>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14,303.70</w:t>
            </w:r>
          </w:p>
          <w:p w:rsidR="00F32158" w:rsidRPr="00B16D28" w:rsidRDefault="00F32158" w:rsidP="00F32158">
            <w:pPr>
              <w:widowControl w:val="0"/>
              <w:jc w:val="center"/>
              <w:rPr>
                <w:rFonts w:ascii="Times New Roman" w:hAnsi="Times New Roman"/>
                <w:sz w:val="22"/>
                <w:szCs w:val="22"/>
              </w:rPr>
            </w:pPr>
          </w:p>
        </w:tc>
        <w:tc>
          <w:tcPr>
            <w:tcW w:w="1094" w:type="dxa"/>
          </w:tcPr>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20,075.55</w:t>
            </w:r>
          </w:p>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21,797.35</w:t>
            </w:r>
          </w:p>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18,396.49</w:t>
            </w:r>
          </w:p>
          <w:p w:rsidR="00F32158" w:rsidRPr="00B16D28" w:rsidRDefault="00F32158" w:rsidP="00F32158">
            <w:pPr>
              <w:widowControl w:val="0"/>
              <w:jc w:val="center"/>
              <w:rPr>
                <w:rFonts w:ascii="Times New Roman" w:hAnsi="Times New Roman"/>
                <w:sz w:val="22"/>
                <w:szCs w:val="22"/>
                <w:highlight w:val="yellow"/>
              </w:rPr>
            </w:pPr>
          </w:p>
        </w:tc>
      </w:tr>
      <w:tr w:rsidR="00F32158" w:rsidRPr="00B16D28" w:rsidTr="00BF1F99">
        <w:trPr>
          <w:jc w:val="center"/>
        </w:trPr>
        <w:tc>
          <w:tcPr>
            <w:tcW w:w="674" w:type="dxa"/>
          </w:tcPr>
          <w:p w:rsidR="00F32158" w:rsidRPr="00B16D28" w:rsidRDefault="00F32158" w:rsidP="00F32158">
            <w:pPr>
              <w:widowControl w:val="0"/>
              <w:jc w:val="center"/>
              <w:rPr>
                <w:rFonts w:ascii="Times New Roman" w:hAnsi="Times New Roman"/>
                <w:sz w:val="22"/>
                <w:szCs w:val="22"/>
              </w:rPr>
            </w:pPr>
            <w:r w:rsidRPr="00B16D28">
              <w:rPr>
                <w:rFonts w:ascii="Times New Roman" w:hAnsi="Times New Roman"/>
                <w:sz w:val="22"/>
                <w:szCs w:val="22"/>
              </w:rPr>
              <w:t>2016</w:t>
            </w:r>
          </w:p>
        </w:tc>
        <w:tc>
          <w:tcPr>
            <w:tcW w:w="1094" w:type="dxa"/>
          </w:tcPr>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10,771.96</w:t>
            </w:r>
          </w:p>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11,824.61</w:t>
            </w:r>
          </w:p>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9,829.53</w:t>
            </w:r>
          </w:p>
          <w:p w:rsidR="00F32158" w:rsidRPr="00B16D28" w:rsidRDefault="00F32158" w:rsidP="00F32158">
            <w:pPr>
              <w:widowControl w:val="0"/>
              <w:jc w:val="center"/>
              <w:rPr>
                <w:rFonts w:ascii="Times New Roman" w:hAnsi="Times New Roman"/>
                <w:sz w:val="22"/>
                <w:szCs w:val="22"/>
              </w:rPr>
            </w:pPr>
          </w:p>
        </w:tc>
        <w:tc>
          <w:tcPr>
            <w:tcW w:w="1351" w:type="dxa"/>
          </w:tcPr>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14,182.76</w:t>
            </w:r>
          </w:p>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15,505.58</w:t>
            </w:r>
          </w:p>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12,932.70</w:t>
            </w:r>
          </w:p>
          <w:p w:rsidR="00F32158" w:rsidRPr="00B16D28" w:rsidRDefault="00F32158" w:rsidP="00F32158">
            <w:pPr>
              <w:widowControl w:val="0"/>
              <w:jc w:val="center"/>
              <w:rPr>
                <w:rFonts w:ascii="Times New Roman" w:hAnsi="Times New Roman"/>
                <w:sz w:val="22"/>
                <w:szCs w:val="22"/>
              </w:rPr>
            </w:pPr>
          </w:p>
        </w:tc>
        <w:tc>
          <w:tcPr>
            <w:tcW w:w="1172" w:type="dxa"/>
          </w:tcPr>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11,264.96</w:t>
            </w:r>
          </w:p>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12,517.49</w:t>
            </w:r>
          </w:p>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10,176.63</w:t>
            </w:r>
          </w:p>
          <w:p w:rsidR="00F32158" w:rsidRPr="00B16D28" w:rsidRDefault="00F32158" w:rsidP="00F32158">
            <w:pPr>
              <w:widowControl w:val="0"/>
              <w:jc w:val="center"/>
              <w:rPr>
                <w:rFonts w:ascii="Times New Roman" w:hAnsi="Times New Roman"/>
                <w:sz w:val="22"/>
                <w:szCs w:val="22"/>
              </w:rPr>
            </w:pPr>
          </w:p>
        </w:tc>
        <w:tc>
          <w:tcPr>
            <w:tcW w:w="1238" w:type="dxa"/>
          </w:tcPr>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9,257.75</w:t>
            </w:r>
          </w:p>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10,180.60</w:t>
            </w:r>
          </w:p>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8,422.10</w:t>
            </w:r>
          </w:p>
          <w:p w:rsidR="00F32158" w:rsidRPr="00B16D28" w:rsidRDefault="00F32158" w:rsidP="00F32158">
            <w:pPr>
              <w:widowControl w:val="0"/>
              <w:jc w:val="center"/>
              <w:rPr>
                <w:rFonts w:ascii="Times New Roman" w:hAnsi="Times New Roman"/>
                <w:sz w:val="22"/>
                <w:szCs w:val="22"/>
              </w:rPr>
            </w:pPr>
          </w:p>
        </w:tc>
        <w:tc>
          <w:tcPr>
            <w:tcW w:w="1094" w:type="dxa"/>
          </w:tcPr>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9,407.02</w:t>
            </w:r>
          </w:p>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10,320.73</w:t>
            </w:r>
          </w:p>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8,630.65</w:t>
            </w:r>
          </w:p>
          <w:p w:rsidR="00F32158" w:rsidRPr="00B16D28" w:rsidRDefault="00F32158" w:rsidP="00F32158">
            <w:pPr>
              <w:widowControl w:val="0"/>
              <w:jc w:val="center"/>
              <w:rPr>
                <w:rFonts w:ascii="Times New Roman" w:hAnsi="Times New Roman"/>
                <w:sz w:val="22"/>
                <w:szCs w:val="22"/>
              </w:rPr>
            </w:pPr>
          </w:p>
        </w:tc>
        <w:tc>
          <w:tcPr>
            <w:tcW w:w="1094" w:type="dxa"/>
          </w:tcPr>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8,010.52</w:t>
            </w:r>
          </w:p>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8,966.40</w:t>
            </w:r>
          </w:p>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7,218.73</w:t>
            </w:r>
          </w:p>
          <w:p w:rsidR="00F32158" w:rsidRPr="00B16D28" w:rsidRDefault="00F32158" w:rsidP="00F32158">
            <w:pPr>
              <w:widowControl w:val="0"/>
              <w:jc w:val="center"/>
              <w:rPr>
                <w:rFonts w:ascii="Times New Roman" w:hAnsi="Times New Roman"/>
                <w:sz w:val="22"/>
                <w:szCs w:val="22"/>
              </w:rPr>
            </w:pPr>
          </w:p>
        </w:tc>
        <w:tc>
          <w:tcPr>
            <w:tcW w:w="1094" w:type="dxa"/>
          </w:tcPr>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14,956.13</w:t>
            </w:r>
          </w:p>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15,867.98</w:t>
            </w:r>
          </w:p>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14,167.56</w:t>
            </w:r>
          </w:p>
          <w:p w:rsidR="00F32158" w:rsidRPr="00B16D28" w:rsidRDefault="00F32158" w:rsidP="00F32158">
            <w:pPr>
              <w:widowControl w:val="0"/>
              <w:jc w:val="center"/>
              <w:rPr>
                <w:rFonts w:ascii="Times New Roman" w:hAnsi="Times New Roman"/>
                <w:sz w:val="22"/>
                <w:szCs w:val="22"/>
              </w:rPr>
            </w:pPr>
          </w:p>
        </w:tc>
        <w:tc>
          <w:tcPr>
            <w:tcW w:w="1094" w:type="dxa"/>
          </w:tcPr>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19,191.65</w:t>
            </w:r>
          </w:p>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21,026.61</w:t>
            </w:r>
          </w:p>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17,264.97</w:t>
            </w:r>
          </w:p>
          <w:p w:rsidR="00F32158" w:rsidRPr="00B16D28" w:rsidRDefault="00F32158" w:rsidP="00F32158">
            <w:pPr>
              <w:widowControl w:val="0"/>
              <w:jc w:val="center"/>
              <w:rPr>
                <w:rFonts w:ascii="Times New Roman" w:hAnsi="Times New Roman"/>
                <w:sz w:val="22"/>
                <w:szCs w:val="22"/>
                <w:highlight w:val="yellow"/>
              </w:rPr>
            </w:pPr>
          </w:p>
        </w:tc>
      </w:tr>
      <w:tr w:rsidR="00F32158" w:rsidRPr="00B16D28" w:rsidTr="00BF1F99">
        <w:trPr>
          <w:jc w:val="center"/>
        </w:trPr>
        <w:tc>
          <w:tcPr>
            <w:tcW w:w="674" w:type="dxa"/>
          </w:tcPr>
          <w:p w:rsidR="00F32158" w:rsidRPr="00B16D28" w:rsidRDefault="00F32158" w:rsidP="00F32158">
            <w:pPr>
              <w:widowControl w:val="0"/>
              <w:jc w:val="center"/>
              <w:rPr>
                <w:rFonts w:ascii="Times New Roman" w:hAnsi="Times New Roman"/>
                <w:sz w:val="22"/>
                <w:szCs w:val="22"/>
              </w:rPr>
            </w:pPr>
            <w:r w:rsidRPr="00B16D28">
              <w:rPr>
                <w:rFonts w:ascii="Times New Roman" w:hAnsi="Times New Roman"/>
                <w:sz w:val="22"/>
                <w:szCs w:val="22"/>
              </w:rPr>
              <w:t>2017</w:t>
            </w:r>
          </w:p>
        </w:tc>
        <w:tc>
          <w:tcPr>
            <w:tcW w:w="1094" w:type="dxa"/>
          </w:tcPr>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10,311.70</w:t>
            </w:r>
          </w:p>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11,806.16</w:t>
            </w:r>
          </w:p>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8,908.72</w:t>
            </w:r>
          </w:p>
          <w:p w:rsidR="00F32158" w:rsidRPr="00B16D28" w:rsidRDefault="00F32158" w:rsidP="00F32158">
            <w:pPr>
              <w:widowControl w:val="0"/>
              <w:jc w:val="center"/>
              <w:rPr>
                <w:rFonts w:ascii="Times New Roman" w:hAnsi="Times New Roman"/>
                <w:sz w:val="22"/>
                <w:szCs w:val="22"/>
              </w:rPr>
            </w:pPr>
          </w:p>
        </w:tc>
        <w:tc>
          <w:tcPr>
            <w:tcW w:w="1351" w:type="dxa"/>
          </w:tcPr>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13,506.34</w:t>
            </w:r>
          </w:p>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15,279.26</w:t>
            </w:r>
          </w:p>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11,857.07</w:t>
            </w:r>
          </w:p>
          <w:p w:rsidR="00F32158" w:rsidRPr="00B16D28" w:rsidRDefault="00F32158" w:rsidP="00F32158">
            <w:pPr>
              <w:widowControl w:val="0"/>
              <w:jc w:val="center"/>
              <w:rPr>
                <w:rFonts w:ascii="Times New Roman" w:hAnsi="Times New Roman"/>
                <w:sz w:val="22"/>
                <w:szCs w:val="22"/>
              </w:rPr>
            </w:pPr>
          </w:p>
        </w:tc>
        <w:tc>
          <w:tcPr>
            <w:tcW w:w="1172" w:type="dxa"/>
          </w:tcPr>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10,496.95</w:t>
            </w:r>
          </w:p>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11,762.47</w:t>
            </w:r>
          </w:p>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9,314.81</w:t>
            </w:r>
          </w:p>
          <w:p w:rsidR="00F32158" w:rsidRPr="00B16D28" w:rsidRDefault="00F32158" w:rsidP="00F32158">
            <w:pPr>
              <w:widowControl w:val="0"/>
              <w:jc w:val="center"/>
              <w:rPr>
                <w:rFonts w:ascii="Times New Roman" w:hAnsi="Times New Roman"/>
                <w:sz w:val="22"/>
                <w:szCs w:val="22"/>
              </w:rPr>
            </w:pPr>
          </w:p>
        </w:tc>
        <w:tc>
          <w:tcPr>
            <w:tcW w:w="1238" w:type="dxa"/>
          </w:tcPr>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8,601.60</w:t>
            </w:r>
          </w:p>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9,604.44</w:t>
            </w:r>
          </w:p>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7,721.60</w:t>
            </w:r>
          </w:p>
          <w:p w:rsidR="00F32158" w:rsidRPr="00B16D28" w:rsidRDefault="00F32158" w:rsidP="00F32158">
            <w:pPr>
              <w:widowControl w:val="0"/>
              <w:jc w:val="center"/>
              <w:rPr>
                <w:rFonts w:ascii="Times New Roman" w:hAnsi="Times New Roman"/>
                <w:sz w:val="22"/>
                <w:szCs w:val="22"/>
              </w:rPr>
            </w:pPr>
          </w:p>
        </w:tc>
        <w:tc>
          <w:tcPr>
            <w:tcW w:w="1094" w:type="dxa"/>
          </w:tcPr>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9,036.59</w:t>
            </w:r>
          </w:p>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10,004.57</w:t>
            </w:r>
          </w:p>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8,182.71</w:t>
            </w:r>
          </w:p>
          <w:p w:rsidR="00F32158" w:rsidRPr="00B16D28" w:rsidRDefault="00F32158" w:rsidP="00F32158">
            <w:pPr>
              <w:widowControl w:val="0"/>
              <w:jc w:val="center"/>
              <w:rPr>
                <w:rFonts w:ascii="Times New Roman" w:hAnsi="Times New Roman"/>
                <w:sz w:val="22"/>
                <w:szCs w:val="22"/>
              </w:rPr>
            </w:pPr>
          </w:p>
        </w:tc>
        <w:tc>
          <w:tcPr>
            <w:tcW w:w="1094" w:type="dxa"/>
          </w:tcPr>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7,814.70</w:t>
            </w:r>
          </w:p>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8,772.92</w:t>
            </w:r>
          </w:p>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6,994.76</w:t>
            </w:r>
          </w:p>
          <w:p w:rsidR="00F32158" w:rsidRPr="00B16D28" w:rsidRDefault="00F32158" w:rsidP="00F32158">
            <w:pPr>
              <w:widowControl w:val="0"/>
              <w:jc w:val="center"/>
              <w:rPr>
                <w:rFonts w:ascii="Times New Roman" w:hAnsi="Times New Roman"/>
                <w:sz w:val="22"/>
                <w:szCs w:val="22"/>
              </w:rPr>
            </w:pPr>
          </w:p>
        </w:tc>
        <w:tc>
          <w:tcPr>
            <w:tcW w:w="1094" w:type="dxa"/>
          </w:tcPr>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14,612.24</w:t>
            </w:r>
          </w:p>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15,514.29</w:t>
            </w:r>
          </w:p>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13,828.77</w:t>
            </w:r>
          </w:p>
          <w:p w:rsidR="00F32158" w:rsidRPr="00B16D28" w:rsidRDefault="00F32158" w:rsidP="00F32158">
            <w:pPr>
              <w:widowControl w:val="0"/>
              <w:jc w:val="center"/>
              <w:rPr>
                <w:rFonts w:ascii="Times New Roman" w:hAnsi="Times New Roman"/>
                <w:sz w:val="22"/>
                <w:szCs w:val="22"/>
              </w:rPr>
            </w:pPr>
          </w:p>
        </w:tc>
        <w:tc>
          <w:tcPr>
            <w:tcW w:w="1094" w:type="dxa"/>
          </w:tcPr>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18,341.58</w:t>
            </w:r>
          </w:p>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20,486.24</w:t>
            </w:r>
          </w:p>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16,173.10</w:t>
            </w:r>
          </w:p>
          <w:p w:rsidR="00F32158" w:rsidRPr="00B16D28" w:rsidRDefault="00F32158" w:rsidP="00F32158">
            <w:pPr>
              <w:widowControl w:val="0"/>
              <w:jc w:val="center"/>
              <w:rPr>
                <w:rFonts w:ascii="Times New Roman" w:hAnsi="Times New Roman"/>
                <w:sz w:val="22"/>
                <w:szCs w:val="22"/>
                <w:highlight w:val="yellow"/>
              </w:rPr>
            </w:pPr>
          </w:p>
        </w:tc>
      </w:tr>
      <w:tr w:rsidR="00F32158" w:rsidRPr="00B16D28" w:rsidTr="00BF1F99">
        <w:trPr>
          <w:jc w:val="center"/>
        </w:trPr>
        <w:tc>
          <w:tcPr>
            <w:tcW w:w="674" w:type="dxa"/>
          </w:tcPr>
          <w:p w:rsidR="00F32158" w:rsidRPr="00B16D28" w:rsidRDefault="00F32158" w:rsidP="00F32158">
            <w:pPr>
              <w:widowControl w:val="0"/>
              <w:jc w:val="center"/>
              <w:rPr>
                <w:rFonts w:ascii="Times New Roman" w:hAnsi="Times New Roman"/>
                <w:sz w:val="22"/>
                <w:szCs w:val="22"/>
              </w:rPr>
            </w:pPr>
            <w:r w:rsidRPr="00B16D28">
              <w:rPr>
                <w:rFonts w:ascii="Times New Roman" w:hAnsi="Times New Roman"/>
                <w:sz w:val="22"/>
                <w:szCs w:val="22"/>
              </w:rPr>
              <w:t>2018</w:t>
            </w:r>
          </w:p>
        </w:tc>
        <w:tc>
          <w:tcPr>
            <w:tcW w:w="1094" w:type="dxa"/>
          </w:tcPr>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9,843.08</w:t>
            </w:r>
          </w:p>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11,841.68</w:t>
            </w:r>
          </w:p>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8,084.45</w:t>
            </w:r>
          </w:p>
          <w:p w:rsidR="00F32158" w:rsidRPr="00B16D28" w:rsidRDefault="00F32158" w:rsidP="00F32158">
            <w:pPr>
              <w:widowControl w:val="0"/>
              <w:jc w:val="center"/>
              <w:rPr>
                <w:rFonts w:ascii="Times New Roman" w:hAnsi="Times New Roman"/>
                <w:sz w:val="22"/>
                <w:szCs w:val="22"/>
              </w:rPr>
            </w:pPr>
          </w:p>
        </w:tc>
        <w:tc>
          <w:tcPr>
            <w:tcW w:w="1351" w:type="dxa"/>
          </w:tcPr>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12,842.14</w:t>
            </w:r>
          </w:p>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15,256.10</w:t>
            </w:r>
          </w:p>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10,690.24</w:t>
            </w:r>
          </w:p>
          <w:p w:rsidR="00F32158" w:rsidRPr="00B16D28" w:rsidRDefault="00F32158" w:rsidP="00F32158">
            <w:pPr>
              <w:widowControl w:val="0"/>
              <w:jc w:val="center"/>
              <w:rPr>
                <w:rFonts w:ascii="Times New Roman" w:hAnsi="Times New Roman"/>
                <w:sz w:val="22"/>
                <w:szCs w:val="22"/>
              </w:rPr>
            </w:pPr>
          </w:p>
        </w:tc>
        <w:tc>
          <w:tcPr>
            <w:tcW w:w="1172" w:type="dxa"/>
          </w:tcPr>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10,090.69</w:t>
            </w:r>
          </w:p>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11,722.33</w:t>
            </w:r>
          </w:p>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8,594.55</w:t>
            </w:r>
          </w:p>
          <w:p w:rsidR="00F32158" w:rsidRPr="00B16D28" w:rsidRDefault="00F32158" w:rsidP="00F32158">
            <w:pPr>
              <w:widowControl w:val="0"/>
              <w:jc w:val="center"/>
              <w:rPr>
                <w:rFonts w:ascii="Times New Roman" w:hAnsi="Times New Roman"/>
                <w:sz w:val="22"/>
                <w:szCs w:val="22"/>
              </w:rPr>
            </w:pPr>
          </w:p>
        </w:tc>
        <w:tc>
          <w:tcPr>
            <w:tcW w:w="1238" w:type="dxa"/>
          </w:tcPr>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8,282.56</w:t>
            </w:r>
          </w:p>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9,254.77</w:t>
            </w:r>
          </w:p>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7,355.60</w:t>
            </w:r>
          </w:p>
          <w:p w:rsidR="00F32158" w:rsidRPr="00B16D28" w:rsidRDefault="00F32158" w:rsidP="00F32158">
            <w:pPr>
              <w:widowControl w:val="0"/>
              <w:jc w:val="center"/>
              <w:rPr>
                <w:rFonts w:ascii="Times New Roman" w:hAnsi="Times New Roman"/>
                <w:sz w:val="22"/>
                <w:szCs w:val="22"/>
              </w:rPr>
            </w:pPr>
          </w:p>
        </w:tc>
        <w:tc>
          <w:tcPr>
            <w:tcW w:w="1094" w:type="dxa"/>
          </w:tcPr>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8,876.60</w:t>
            </w:r>
          </w:p>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9,932.75</w:t>
            </w:r>
          </w:p>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7,920.61</w:t>
            </w:r>
          </w:p>
          <w:p w:rsidR="00F32158" w:rsidRPr="00B16D28" w:rsidRDefault="00F32158" w:rsidP="00F32158">
            <w:pPr>
              <w:widowControl w:val="0"/>
              <w:jc w:val="center"/>
              <w:rPr>
                <w:rFonts w:ascii="Times New Roman" w:hAnsi="Times New Roman"/>
                <w:sz w:val="22"/>
                <w:szCs w:val="22"/>
              </w:rPr>
            </w:pPr>
          </w:p>
        </w:tc>
        <w:tc>
          <w:tcPr>
            <w:tcW w:w="1094" w:type="dxa"/>
          </w:tcPr>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7,622.57</w:t>
            </w:r>
          </w:p>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8,650.24</w:t>
            </w:r>
          </w:p>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6,736.34</w:t>
            </w:r>
          </w:p>
          <w:p w:rsidR="00F32158" w:rsidRPr="00B16D28" w:rsidRDefault="00F32158" w:rsidP="00F32158">
            <w:pPr>
              <w:widowControl w:val="0"/>
              <w:jc w:val="center"/>
              <w:rPr>
                <w:rFonts w:ascii="Times New Roman" w:hAnsi="Times New Roman"/>
                <w:sz w:val="22"/>
                <w:szCs w:val="22"/>
              </w:rPr>
            </w:pPr>
          </w:p>
        </w:tc>
        <w:tc>
          <w:tcPr>
            <w:tcW w:w="1094" w:type="dxa"/>
          </w:tcPr>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14,256.23</w:t>
            </w:r>
          </w:p>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15,308.34</w:t>
            </w:r>
          </w:p>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13,320.2</w:t>
            </w:r>
          </w:p>
          <w:p w:rsidR="00F32158" w:rsidRPr="00B16D28" w:rsidRDefault="00F32158" w:rsidP="00F32158">
            <w:pPr>
              <w:widowControl w:val="0"/>
              <w:jc w:val="center"/>
              <w:rPr>
                <w:rFonts w:ascii="Times New Roman" w:hAnsi="Times New Roman"/>
                <w:sz w:val="22"/>
                <w:szCs w:val="22"/>
              </w:rPr>
            </w:pPr>
          </w:p>
        </w:tc>
        <w:tc>
          <w:tcPr>
            <w:tcW w:w="1094" w:type="dxa"/>
          </w:tcPr>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17,766.86</w:t>
            </w:r>
          </w:p>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20,357.83</w:t>
            </w:r>
          </w:p>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15,420.95</w:t>
            </w:r>
          </w:p>
          <w:p w:rsidR="00F32158" w:rsidRPr="00B16D28" w:rsidRDefault="00F32158" w:rsidP="00F32158">
            <w:pPr>
              <w:widowControl w:val="0"/>
              <w:jc w:val="center"/>
              <w:rPr>
                <w:rFonts w:ascii="Times New Roman" w:hAnsi="Times New Roman"/>
                <w:sz w:val="22"/>
                <w:szCs w:val="22"/>
                <w:highlight w:val="yellow"/>
              </w:rPr>
            </w:pPr>
          </w:p>
        </w:tc>
      </w:tr>
      <w:tr w:rsidR="00F32158" w:rsidRPr="00B16D28" w:rsidTr="00BF1F99">
        <w:trPr>
          <w:jc w:val="center"/>
        </w:trPr>
        <w:tc>
          <w:tcPr>
            <w:tcW w:w="674" w:type="dxa"/>
          </w:tcPr>
          <w:p w:rsidR="00F32158" w:rsidRPr="00B16D28" w:rsidRDefault="00F32158" w:rsidP="00F32158">
            <w:pPr>
              <w:widowControl w:val="0"/>
              <w:jc w:val="center"/>
              <w:rPr>
                <w:rFonts w:ascii="Times New Roman" w:hAnsi="Times New Roman"/>
                <w:sz w:val="22"/>
                <w:szCs w:val="22"/>
              </w:rPr>
            </w:pPr>
            <w:r w:rsidRPr="00B16D28">
              <w:rPr>
                <w:rFonts w:ascii="Times New Roman" w:hAnsi="Times New Roman"/>
                <w:sz w:val="22"/>
                <w:szCs w:val="22"/>
              </w:rPr>
              <w:t>2019</w:t>
            </w:r>
          </w:p>
        </w:tc>
        <w:tc>
          <w:tcPr>
            <w:tcW w:w="1094" w:type="dxa"/>
          </w:tcPr>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9,357.03</w:t>
            </w:r>
          </w:p>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11,606.94</w:t>
            </w:r>
          </w:p>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7,507.66</w:t>
            </w:r>
          </w:p>
          <w:p w:rsidR="00F32158" w:rsidRPr="00B16D28" w:rsidRDefault="00F32158" w:rsidP="00F32158">
            <w:pPr>
              <w:widowControl w:val="0"/>
              <w:jc w:val="center"/>
              <w:rPr>
                <w:rFonts w:ascii="Times New Roman" w:hAnsi="Times New Roman"/>
                <w:sz w:val="22"/>
                <w:szCs w:val="22"/>
              </w:rPr>
            </w:pPr>
          </w:p>
        </w:tc>
        <w:tc>
          <w:tcPr>
            <w:tcW w:w="1351" w:type="dxa"/>
          </w:tcPr>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12,136.89</w:t>
            </w:r>
          </w:p>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14,943.15</w:t>
            </w:r>
          </w:p>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9,788.88</w:t>
            </w:r>
          </w:p>
          <w:p w:rsidR="00F32158" w:rsidRPr="00B16D28" w:rsidRDefault="00F32158" w:rsidP="00F32158">
            <w:pPr>
              <w:widowControl w:val="0"/>
              <w:jc w:val="center"/>
              <w:rPr>
                <w:rFonts w:ascii="Times New Roman" w:hAnsi="Times New Roman"/>
                <w:sz w:val="22"/>
                <w:szCs w:val="22"/>
              </w:rPr>
            </w:pPr>
          </w:p>
        </w:tc>
        <w:tc>
          <w:tcPr>
            <w:tcW w:w="1172" w:type="dxa"/>
          </w:tcPr>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9,693.68</w:t>
            </w:r>
          </w:p>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11,725.94</w:t>
            </w:r>
          </w:p>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7,906.45</w:t>
            </w:r>
          </w:p>
          <w:p w:rsidR="00F32158" w:rsidRPr="00B16D28" w:rsidRDefault="00F32158" w:rsidP="00F32158">
            <w:pPr>
              <w:widowControl w:val="0"/>
              <w:jc w:val="center"/>
              <w:rPr>
                <w:rFonts w:ascii="Times New Roman" w:hAnsi="Times New Roman"/>
                <w:sz w:val="22"/>
                <w:szCs w:val="22"/>
              </w:rPr>
            </w:pPr>
          </w:p>
        </w:tc>
        <w:tc>
          <w:tcPr>
            <w:tcW w:w="1238" w:type="dxa"/>
          </w:tcPr>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8,015.81</w:t>
            </w:r>
          </w:p>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9,000.65</w:t>
            </w:r>
          </w:p>
          <w:p w:rsidR="00F32158" w:rsidRPr="00B16D28" w:rsidRDefault="00F32158" w:rsidP="00F32158">
            <w:pPr>
              <w:shd w:val="clear" w:color="auto" w:fill="FFFFFF"/>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7,123.89</w:t>
            </w:r>
          </w:p>
          <w:p w:rsidR="00F32158" w:rsidRPr="00B16D28" w:rsidRDefault="00F32158" w:rsidP="00F32158">
            <w:pPr>
              <w:widowControl w:val="0"/>
              <w:jc w:val="center"/>
              <w:rPr>
                <w:rFonts w:ascii="Times New Roman" w:hAnsi="Times New Roman"/>
                <w:sz w:val="22"/>
                <w:szCs w:val="22"/>
              </w:rPr>
            </w:pPr>
          </w:p>
        </w:tc>
        <w:tc>
          <w:tcPr>
            <w:tcW w:w="1094" w:type="dxa"/>
          </w:tcPr>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8,777.91</w:t>
            </w:r>
          </w:p>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10,009.00</w:t>
            </w:r>
          </w:p>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7,691.01</w:t>
            </w:r>
          </w:p>
          <w:p w:rsidR="00F32158" w:rsidRPr="00B16D28" w:rsidRDefault="00F32158" w:rsidP="00F32158">
            <w:pPr>
              <w:widowControl w:val="0"/>
              <w:jc w:val="center"/>
              <w:rPr>
                <w:rFonts w:ascii="Times New Roman" w:hAnsi="Times New Roman"/>
                <w:sz w:val="22"/>
                <w:szCs w:val="22"/>
              </w:rPr>
            </w:pPr>
          </w:p>
        </w:tc>
        <w:tc>
          <w:tcPr>
            <w:tcW w:w="1094" w:type="dxa"/>
          </w:tcPr>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7,452.12</w:t>
            </w:r>
          </w:p>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8,643.06</w:t>
            </w:r>
          </w:p>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6,485.75</w:t>
            </w:r>
          </w:p>
          <w:p w:rsidR="00F32158" w:rsidRPr="00B16D28" w:rsidRDefault="00F32158" w:rsidP="00F32158">
            <w:pPr>
              <w:widowControl w:val="0"/>
              <w:jc w:val="center"/>
              <w:rPr>
                <w:rFonts w:ascii="Times New Roman" w:hAnsi="Times New Roman"/>
                <w:sz w:val="22"/>
                <w:szCs w:val="22"/>
              </w:rPr>
            </w:pPr>
          </w:p>
        </w:tc>
        <w:tc>
          <w:tcPr>
            <w:tcW w:w="1094" w:type="dxa"/>
          </w:tcPr>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14,095.84</w:t>
            </w:r>
          </w:p>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15,369.32</w:t>
            </w:r>
          </w:p>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12,952.21</w:t>
            </w:r>
          </w:p>
          <w:p w:rsidR="00F32158" w:rsidRPr="00B16D28" w:rsidRDefault="00F32158" w:rsidP="00F32158">
            <w:pPr>
              <w:widowControl w:val="0"/>
              <w:jc w:val="center"/>
              <w:rPr>
                <w:rFonts w:ascii="Times New Roman" w:hAnsi="Times New Roman"/>
                <w:sz w:val="22"/>
                <w:szCs w:val="22"/>
              </w:rPr>
            </w:pPr>
          </w:p>
        </w:tc>
        <w:tc>
          <w:tcPr>
            <w:tcW w:w="1094" w:type="dxa"/>
          </w:tcPr>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17,185.91</w:t>
            </w:r>
          </w:p>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20,359.39</w:t>
            </w:r>
          </w:p>
          <w:p w:rsidR="00F32158" w:rsidRPr="00B16D28" w:rsidRDefault="00F32158" w:rsidP="00F32158">
            <w:pPr>
              <w:jc w:val="right"/>
              <w:rPr>
                <w:rFonts w:ascii="Times New Roman" w:hAnsi="Times New Roman"/>
                <w:color w:val="454545"/>
                <w:sz w:val="22"/>
                <w:szCs w:val="22"/>
                <w:lang w:val="en-US"/>
              </w:rPr>
            </w:pPr>
            <w:r w:rsidRPr="00B16D28">
              <w:rPr>
                <w:rFonts w:ascii="Times New Roman" w:hAnsi="Times New Roman"/>
                <w:color w:val="454545"/>
                <w:sz w:val="22"/>
                <w:szCs w:val="22"/>
                <w:lang w:val="en-US"/>
              </w:rPr>
              <w:t>14,763.32</w:t>
            </w:r>
          </w:p>
          <w:p w:rsidR="00F32158" w:rsidRPr="00B16D28" w:rsidRDefault="00F32158" w:rsidP="00F32158">
            <w:pPr>
              <w:widowControl w:val="0"/>
              <w:jc w:val="center"/>
              <w:rPr>
                <w:rFonts w:ascii="Times New Roman" w:hAnsi="Times New Roman"/>
                <w:sz w:val="22"/>
                <w:szCs w:val="22"/>
                <w:highlight w:val="yellow"/>
              </w:rPr>
            </w:pPr>
          </w:p>
        </w:tc>
      </w:tr>
    </w:tbl>
    <w:p w:rsidR="00FD76DB" w:rsidRDefault="00FD76DB" w:rsidP="00B318AA">
      <w:pPr>
        <w:widowControl w:val="0"/>
        <w:tabs>
          <w:tab w:val="left" w:pos="8133"/>
        </w:tabs>
        <w:spacing w:after="200" w:line="276" w:lineRule="auto"/>
        <w:rPr>
          <w:rFonts w:eastAsia="Calibri"/>
          <w:szCs w:val="28"/>
        </w:rPr>
      </w:pPr>
    </w:p>
    <w:p w:rsidR="00F32158" w:rsidRPr="00F32158" w:rsidRDefault="00D32C4B" w:rsidP="00B318AA">
      <w:pPr>
        <w:pageBreakBefore/>
        <w:tabs>
          <w:tab w:val="left" w:pos="8133"/>
        </w:tabs>
        <w:spacing w:after="200" w:line="276" w:lineRule="auto"/>
        <w:jc w:val="right"/>
        <w:rPr>
          <w:rFonts w:eastAsia="Calibri"/>
          <w:szCs w:val="28"/>
        </w:rPr>
      </w:pPr>
      <w:r>
        <w:rPr>
          <w:rFonts w:eastAsia="Calibri"/>
          <w:szCs w:val="28"/>
        </w:rPr>
        <w:lastRenderedPageBreak/>
        <w:t>Додаток Б</w:t>
      </w:r>
      <w:r w:rsidR="00F32158" w:rsidRPr="00F32158">
        <w:rPr>
          <w:rFonts w:eastAsia="Calibri"/>
          <w:szCs w:val="28"/>
        </w:rPr>
        <w:t>-19</w:t>
      </w:r>
    </w:p>
    <w:p w:rsidR="00F32158" w:rsidRPr="00F32158" w:rsidRDefault="00F32158" w:rsidP="00F32158">
      <w:pPr>
        <w:widowControl w:val="0"/>
        <w:tabs>
          <w:tab w:val="left" w:pos="642"/>
        </w:tabs>
        <w:jc w:val="center"/>
        <w:rPr>
          <w:rFonts w:eastAsia="Calibri"/>
          <w:b/>
          <w:color w:val="FF0000"/>
          <w:szCs w:val="28"/>
        </w:rPr>
      </w:pPr>
      <w:r w:rsidRPr="00F32158">
        <w:rPr>
          <w:rFonts w:eastAsia="Calibri"/>
          <w:b/>
          <w:szCs w:val="28"/>
        </w:rPr>
        <w:t>Динаміка показника YLLs (Years of Life Lost) у випадку дитячо</w:t>
      </w:r>
      <w:r w:rsidR="00883AF1">
        <w:rPr>
          <w:rFonts w:eastAsia="Calibri"/>
          <w:b/>
          <w:szCs w:val="28"/>
        </w:rPr>
        <w:t>ї смертності у ві</w:t>
      </w:r>
      <w:r w:rsidR="00883AF1" w:rsidRPr="00883AF1">
        <w:rPr>
          <w:rFonts w:eastAsia="Calibri"/>
          <w:b/>
          <w:szCs w:val="28"/>
        </w:rPr>
        <w:t>ці</w:t>
      </w:r>
      <w:r w:rsidRPr="00F32158">
        <w:rPr>
          <w:rFonts w:eastAsia="Calibri"/>
          <w:b/>
          <w:szCs w:val="28"/>
        </w:rPr>
        <w:t xml:space="preserve"> 0-5 років життя</w:t>
      </w:r>
      <w:r w:rsidR="00883AF1">
        <w:rPr>
          <w:rFonts w:eastAsia="Calibri"/>
          <w:b/>
          <w:szCs w:val="28"/>
        </w:rPr>
        <w:t xml:space="preserve"> за період 2009-2019 рр.</w:t>
      </w:r>
      <w:r w:rsidRPr="00F32158">
        <w:rPr>
          <w:rFonts w:eastAsia="Calibri"/>
          <w:b/>
          <w:szCs w:val="28"/>
        </w:rPr>
        <w:t>.</w:t>
      </w:r>
    </w:p>
    <w:tbl>
      <w:tblPr>
        <w:tblStyle w:val="79"/>
        <w:tblW w:w="0" w:type="auto"/>
        <w:jc w:val="center"/>
        <w:tblLook w:val="04A0" w:firstRow="1" w:lastRow="0" w:firstColumn="1" w:lastColumn="0" w:noHBand="0" w:noVBand="1"/>
      </w:tblPr>
      <w:tblGrid>
        <w:gridCol w:w="1000"/>
        <w:gridCol w:w="1231"/>
        <w:gridCol w:w="1404"/>
        <w:gridCol w:w="1185"/>
        <w:gridCol w:w="1357"/>
        <w:gridCol w:w="1109"/>
        <w:gridCol w:w="1091"/>
        <w:gridCol w:w="1062"/>
        <w:gridCol w:w="1316"/>
      </w:tblGrid>
      <w:tr w:rsidR="00F32158" w:rsidRPr="00D770AB" w:rsidTr="00D770AB">
        <w:trPr>
          <w:jc w:val="center"/>
        </w:trPr>
        <w:tc>
          <w:tcPr>
            <w:tcW w:w="1002" w:type="dxa"/>
          </w:tcPr>
          <w:p w:rsidR="00F32158" w:rsidRPr="00D770AB" w:rsidRDefault="00F32158" w:rsidP="00F32158">
            <w:pPr>
              <w:widowControl w:val="0"/>
              <w:jc w:val="center"/>
              <w:rPr>
                <w:rFonts w:ascii="Times New Roman" w:hAnsi="Times New Roman"/>
                <w:sz w:val="22"/>
                <w:szCs w:val="22"/>
              </w:rPr>
            </w:pPr>
            <w:r w:rsidRPr="00D770AB">
              <w:rPr>
                <w:rFonts w:ascii="Times New Roman" w:hAnsi="Times New Roman"/>
                <w:sz w:val="22"/>
                <w:szCs w:val="22"/>
              </w:rPr>
              <w:t>Рік</w:t>
            </w:r>
          </w:p>
        </w:tc>
        <w:tc>
          <w:tcPr>
            <w:tcW w:w="1232" w:type="dxa"/>
          </w:tcPr>
          <w:p w:rsidR="00F32158" w:rsidRPr="00D770AB" w:rsidRDefault="00F32158" w:rsidP="00F32158">
            <w:pPr>
              <w:widowControl w:val="0"/>
              <w:jc w:val="center"/>
              <w:rPr>
                <w:rFonts w:ascii="Times New Roman" w:hAnsi="Times New Roman"/>
                <w:sz w:val="22"/>
                <w:szCs w:val="22"/>
              </w:rPr>
            </w:pPr>
            <w:r w:rsidRPr="00D770AB">
              <w:rPr>
                <w:rFonts w:ascii="Times New Roman" w:hAnsi="Times New Roman"/>
                <w:sz w:val="22"/>
                <w:szCs w:val="22"/>
              </w:rPr>
              <w:t>Польща</w:t>
            </w:r>
          </w:p>
        </w:tc>
        <w:tc>
          <w:tcPr>
            <w:tcW w:w="1404" w:type="dxa"/>
          </w:tcPr>
          <w:p w:rsidR="00F32158" w:rsidRPr="00D770AB" w:rsidRDefault="00F32158" w:rsidP="00F32158">
            <w:pPr>
              <w:widowControl w:val="0"/>
              <w:rPr>
                <w:rFonts w:ascii="Times New Roman" w:hAnsi="Times New Roman"/>
                <w:sz w:val="22"/>
                <w:szCs w:val="22"/>
              </w:rPr>
            </w:pPr>
            <w:r w:rsidRPr="00D770AB">
              <w:rPr>
                <w:rFonts w:ascii="Times New Roman" w:hAnsi="Times New Roman"/>
                <w:sz w:val="22"/>
                <w:szCs w:val="22"/>
              </w:rPr>
              <w:t>Словаччина</w:t>
            </w:r>
          </w:p>
        </w:tc>
        <w:tc>
          <w:tcPr>
            <w:tcW w:w="1178" w:type="dxa"/>
          </w:tcPr>
          <w:p w:rsidR="00F32158" w:rsidRPr="00D770AB" w:rsidRDefault="00F32158" w:rsidP="00F32158">
            <w:pPr>
              <w:widowControl w:val="0"/>
              <w:rPr>
                <w:rFonts w:ascii="Times New Roman" w:hAnsi="Times New Roman"/>
                <w:sz w:val="22"/>
                <w:szCs w:val="22"/>
              </w:rPr>
            </w:pPr>
            <w:r w:rsidRPr="00D770AB">
              <w:rPr>
                <w:rFonts w:ascii="Times New Roman" w:hAnsi="Times New Roman"/>
                <w:sz w:val="22"/>
                <w:szCs w:val="22"/>
              </w:rPr>
              <w:t>Угорщина</w:t>
            </w:r>
          </w:p>
        </w:tc>
        <w:tc>
          <w:tcPr>
            <w:tcW w:w="1358" w:type="dxa"/>
          </w:tcPr>
          <w:p w:rsidR="00F32158" w:rsidRPr="00D770AB" w:rsidRDefault="00F32158" w:rsidP="00F32158">
            <w:pPr>
              <w:widowControl w:val="0"/>
              <w:jc w:val="center"/>
              <w:rPr>
                <w:rFonts w:ascii="Times New Roman" w:hAnsi="Times New Roman"/>
                <w:sz w:val="22"/>
                <w:szCs w:val="22"/>
              </w:rPr>
            </w:pPr>
            <w:r w:rsidRPr="00D770AB">
              <w:rPr>
                <w:rFonts w:ascii="Times New Roman" w:hAnsi="Times New Roman"/>
                <w:sz w:val="22"/>
                <w:szCs w:val="22"/>
              </w:rPr>
              <w:t>Німеччина</w:t>
            </w:r>
          </w:p>
        </w:tc>
        <w:tc>
          <w:tcPr>
            <w:tcW w:w="1110" w:type="dxa"/>
          </w:tcPr>
          <w:p w:rsidR="00F32158" w:rsidRPr="00D770AB" w:rsidRDefault="00F32158" w:rsidP="00F32158">
            <w:pPr>
              <w:widowControl w:val="0"/>
              <w:jc w:val="center"/>
              <w:rPr>
                <w:rFonts w:ascii="Times New Roman" w:hAnsi="Times New Roman"/>
                <w:sz w:val="22"/>
                <w:szCs w:val="22"/>
              </w:rPr>
            </w:pPr>
            <w:r w:rsidRPr="00D770AB">
              <w:rPr>
                <w:rFonts w:ascii="Times New Roman" w:hAnsi="Times New Roman"/>
                <w:sz w:val="22"/>
                <w:szCs w:val="22"/>
              </w:rPr>
              <w:t>Франція</w:t>
            </w:r>
          </w:p>
        </w:tc>
        <w:tc>
          <w:tcPr>
            <w:tcW w:w="1092" w:type="dxa"/>
          </w:tcPr>
          <w:p w:rsidR="00F32158" w:rsidRPr="00D770AB" w:rsidRDefault="00F32158" w:rsidP="00F32158">
            <w:pPr>
              <w:widowControl w:val="0"/>
              <w:jc w:val="center"/>
              <w:rPr>
                <w:rFonts w:ascii="Times New Roman" w:hAnsi="Times New Roman"/>
                <w:sz w:val="22"/>
                <w:szCs w:val="22"/>
              </w:rPr>
            </w:pPr>
            <w:r w:rsidRPr="00D770AB">
              <w:rPr>
                <w:rFonts w:ascii="Times New Roman" w:hAnsi="Times New Roman"/>
                <w:sz w:val="22"/>
                <w:szCs w:val="22"/>
              </w:rPr>
              <w:t>Іспанія</w:t>
            </w:r>
          </w:p>
        </w:tc>
        <w:tc>
          <w:tcPr>
            <w:tcW w:w="1062" w:type="dxa"/>
          </w:tcPr>
          <w:p w:rsidR="00F32158" w:rsidRPr="00D770AB" w:rsidRDefault="00F32158" w:rsidP="00F32158">
            <w:pPr>
              <w:widowControl w:val="0"/>
              <w:jc w:val="center"/>
              <w:rPr>
                <w:rFonts w:ascii="Times New Roman" w:hAnsi="Times New Roman"/>
                <w:sz w:val="22"/>
                <w:szCs w:val="22"/>
              </w:rPr>
            </w:pPr>
            <w:r w:rsidRPr="00D770AB">
              <w:rPr>
                <w:rFonts w:ascii="Times New Roman" w:hAnsi="Times New Roman"/>
                <w:sz w:val="22"/>
                <w:szCs w:val="22"/>
              </w:rPr>
              <w:t>США</w:t>
            </w:r>
          </w:p>
        </w:tc>
        <w:tc>
          <w:tcPr>
            <w:tcW w:w="1317" w:type="dxa"/>
          </w:tcPr>
          <w:p w:rsidR="00F32158" w:rsidRPr="00D770AB" w:rsidRDefault="00F32158" w:rsidP="00F32158">
            <w:pPr>
              <w:widowControl w:val="0"/>
              <w:jc w:val="center"/>
              <w:rPr>
                <w:rFonts w:ascii="Times New Roman" w:hAnsi="Times New Roman"/>
                <w:sz w:val="22"/>
                <w:szCs w:val="22"/>
              </w:rPr>
            </w:pPr>
            <w:r w:rsidRPr="00D770AB">
              <w:rPr>
                <w:rFonts w:ascii="Times New Roman" w:hAnsi="Times New Roman"/>
                <w:sz w:val="22"/>
                <w:szCs w:val="22"/>
              </w:rPr>
              <w:t>Україна</w:t>
            </w:r>
          </w:p>
        </w:tc>
      </w:tr>
      <w:tr w:rsidR="00F32158" w:rsidRPr="00D770AB" w:rsidTr="00D770AB">
        <w:trPr>
          <w:jc w:val="center"/>
        </w:trPr>
        <w:tc>
          <w:tcPr>
            <w:tcW w:w="1002" w:type="dxa"/>
          </w:tcPr>
          <w:p w:rsidR="00F32158" w:rsidRPr="00D770AB" w:rsidRDefault="00F32158" w:rsidP="00F32158">
            <w:pPr>
              <w:widowControl w:val="0"/>
              <w:jc w:val="center"/>
              <w:rPr>
                <w:rFonts w:ascii="Times New Roman" w:hAnsi="Times New Roman"/>
                <w:sz w:val="22"/>
                <w:szCs w:val="22"/>
              </w:rPr>
            </w:pPr>
            <w:r w:rsidRPr="00D770AB">
              <w:rPr>
                <w:rFonts w:ascii="Times New Roman" w:hAnsi="Times New Roman"/>
                <w:sz w:val="22"/>
                <w:szCs w:val="22"/>
              </w:rPr>
              <w:t>2009</w:t>
            </w:r>
          </w:p>
        </w:tc>
        <w:tc>
          <w:tcPr>
            <w:tcW w:w="1232" w:type="dxa"/>
          </w:tcPr>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11716,69</w:t>
            </w:r>
          </w:p>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12258,23</w:t>
            </w:r>
          </w:p>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11174,57</w:t>
            </w:r>
          </w:p>
          <w:p w:rsidR="00F32158" w:rsidRPr="00D770AB" w:rsidRDefault="00F32158" w:rsidP="00F32158">
            <w:pPr>
              <w:widowControl w:val="0"/>
              <w:jc w:val="center"/>
              <w:rPr>
                <w:rFonts w:ascii="Times New Roman" w:hAnsi="Times New Roman"/>
                <w:sz w:val="22"/>
                <w:szCs w:val="22"/>
              </w:rPr>
            </w:pPr>
          </w:p>
        </w:tc>
        <w:tc>
          <w:tcPr>
            <w:tcW w:w="1404" w:type="dxa"/>
          </w:tcPr>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13519,53</w:t>
            </w:r>
          </w:p>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14396,89</w:t>
            </w:r>
          </w:p>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12714,98</w:t>
            </w:r>
          </w:p>
          <w:p w:rsidR="00F32158" w:rsidRPr="00D770AB" w:rsidRDefault="00F32158" w:rsidP="00F32158">
            <w:pPr>
              <w:widowControl w:val="0"/>
              <w:jc w:val="center"/>
              <w:rPr>
                <w:rFonts w:ascii="Times New Roman" w:hAnsi="Times New Roman"/>
                <w:sz w:val="22"/>
                <w:szCs w:val="22"/>
              </w:rPr>
            </w:pPr>
          </w:p>
        </w:tc>
        <w:tc>
          <w:tcPr>
            <w:tcW w:w="1178" w:type="dxa"/>
          </w:tcPr>
          <w:p w:rsidR="00F32158" w:rsidRPr="00D770AB" w:rsidRDefault="00F32158" w:rsidP="00F32158">
            <w:pPr>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10232,46</w:t>
            </w:r>
          </w:p>
          <w:p w:rsidR="00F32158" w:rsidRPr="00D770AB" w:rsidRDefault="00F32158" w:rsidP="00F32158">
            <w:pPr>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10798,77</w:t>
            </w:r>
          </w:p>
          <w:p w:rsidR="00F32158" w:rsidRPr="00D770AB" w:rsidRDefault="00F32158" w:rsidP="00F32158">
            <w:pPr>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9659,90</w:t>
            </w:r>
          </w:p>
          <w:p w:rsidR="00F32158" w:rsidRPr="00D770AB" w:rsidRDefault="00F32158" w:rsidP="00F32158">
            <w:pPr>
              <w:widowControl w:val="0"/>
              <w:jc w:val="center"/>
              <w:rPr>
                <w:rFonts w:ascii="Times New Roman" w:hAnsi="Times New Roman"/>
                <w:sz w:val="22"/>
                <w:szCs w:val="22"/>
              </w:rPr>
            </w:pPr>
          </w:p>
        </w:tc>
        <w:tc>
          <w:tcPr>
            <w:tcW w:w="1358" w:type="dxa"/>
          </w:tcPr>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7314,51</w:t>
            </w:r>
          </w:p>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7452,49</w:t>
            </w:r>
          </w:p>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7174,27</w:t>
            </w:r>
          </w:p>
          <w:p w:rsidR="00F32158" w:rsidRPr="00D770AB" w:rsidRDefault="00F32158" w:rsidP="00F32158">
            <w:pPr>
              <w:widowControl w:val="0"/>
              <w:jc w:val="center"/>
              <w:rPr>
                <w:rFonts w:ascii="Times New Roman" w:hAnsi="Times New Roman"/>
                <w:sz w:val="22"/>
                <w:szCs w:val="22"/>
              </w:rPr>
            </w:pPr>
          </w:p>
        </w:tc>
        <w:tc>
          <w:tcPr>
            <w:tcW w:w="1110" w:type="dxa"/>
          </w:tcPr>
          <w:p w:rsidR="00F32158" w:rsidRPr="00D770AB" w:rsidRDefault="00F32158" w:rsidP="00F32158">
            <w:pPr>
              <w:rPr>
                <w:rFonts w:ascii="Times New Roman" w:hAnsi="Times New Roman"/>
                <w:color w:val="454545"/>
                <w:sz w:val="22"/>
                <w:szCs w:val="22"/>
                <w:lang w:val="en-US"/>
              </w:rPr>
            </w:pPr>
            <w:r w:rsidRPr="00D770AB">
              <w:rPr>
                <w:rFonts w:ascii="Times New Roman" w:hAnsi="Times New Roman"/>
                <w:color w:val="454545"/>
                <w:sz w:val="22"/>
                <w:szCs w:val="22"/>
                <w:lang w:val="en-US"/>
              </w:rPr>
              <w:t>7613,04</w:t>
            </w:r>
          </w:p>
          <w:p w:rsidR="00F32158" w:rsidRPr="00D770AB" w:rsidRDefault="00F32158" w:rsidP="00F32158">
            <w:pPr>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7786,24</w:t>
            </w:r>
          </w:p>
          <w:p w:rsidR="00F32158" w:rsidRPr="00D770AB" w:rsidRDefault="00F32158" w:rsidP="00F32158">
            <w:pPr>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7450,28</w:t>
            </w:r>
          </w:p>
          <w:p w:rsidR="00F32158" w:rsidRPr="00D770AB" w:rsidRDefault="00F32158" w:rsidP="00F32158">
            <w:pPr>
              <w:widowControl w:val="0"/>
              <w:jc w:val="center"/>
              <w:rPr>
                <w:rFonts w:ascii="Times New Roman" w:hAnsi="Times New Roman"/>
                <w:sz w:val="22"/>
                <w:szCs w:val="22"/>
              </w:rPr>
            </w:pPr>
          </w:p>
        </w:tc>
        <w:tc>
          <w:tcPr>
            <w:tcW w:w="1092" w:type="dxa"/>
          </w:tcPr>
          <w:p w:rsidR="00F32158" w:rsidRPr="00D770AB" w:rsidRDefault="00F32158" w:rsidP="00F32158">
            <w:pPr>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7184,22</w:t>
            </w:r>
          </w:p>
          <w:p w:rsidR="00F32158" w:rsidRPr="00D770AB" w:rsidRDefault="00F32158" w:rsidP="00F32158">
            <w:pPr>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7339,56</w:t>
            </w:r>
          </w:p>
          <w:p w:rsidR="00F32158" w:rsidRPr="00D770AB" w:rsidRDefault="00F32158" w:rsidP="00F32158">
            <w:pPr>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7037,45</w:t>
            </w:r>
          </w:p>
          <w:p w:rsidR="00F32158" w:rsidRPr="00D770AB" w:rsidRDefault="00F32158" w:rsidP="00F32158">
            <w:pPr>
              <w:widowControl w:val="0"/>
              <w:jc w:val="center"/>
              <w:rPr>
                <w:rFonts w:ascii="Times New Roman" w:hAnsi="Times New Roman"/>
                <w:sz w:val="22"/>
                <w:szCs w:val="22"/>
              </w:rPr>
            </w:pPr>
          </w:p>
        </w:tc>
        <w:tc>
          <w:tcPr>
            <w:tcW w:w="1062" w:type="dxa"/>
          </w:tcPr>
          <w:p w:rsidR="00F32158" w:rsidRPr="00D770AB" w:rsidRDefault="00F32158" w:rsidP="00F32158">
            <w:pPr>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13281,06</w:t>
            </w:r>
          </w:p>
          <w:p w:rsidR="00F32158" w:rsidRPr="00D770AB" w:rsidRDefault="00F32158" w:rsidP="00F32158">
            <w:pPr>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13390,17</w:t>
            </w:r>
          </w:p>
          <w:p w:rsidR="00F32158" w:rsidRPr="00D770AB" w:rsidRDefault="00F32158" w:rsidP="00F32158">
            <w:pPr>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13177,20</w:t>
            </w:r>
          </w:p>
          <w:p w:rsidR="00F32158" w:rsidRPr="00D770AB" w:rsidRDefault="00F32158" w:rsidP="00F32158">
            <w:pPr>
              <w:widowControl w:val="0"/>
              <w:jc w:val="center"/>
              <w:rPr>
                <w:rFonts w:ascii="Times New Roman" w:hAnsi="Times New Roman"/>
                <w:sz w:val="22"/>
                <w:szCs w:val="22"/>
              </w:rPr>
            </w:pPr>
          </w:p>
        </w:tc>
        <w:tc>
          <w:tcPr>
            <w:tcW w:w="1317" w:type="dxa"/>
          </w:tcPr>
          <w:p w:rsidR="00F32158" w:rsidRPr="00D770AB" w:rsidRDefault="00F32158" w:rsidP="00F32158">
            <w:pPr>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20176,59</w:t>
            </w:r>
          </w:p>
          <w:p w:rsidR="00F32158" w:rsidRPr="00D770AB" w:rsidRDefault="00F32158" w:rsidP="00F32158">
            <w:pPr>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21298,19</w:t>
            </w:r>
          </w:p>
          <w:p w:rsidR="00F32158" w:rsidRPr="00D770AB" w:rsidRDefault="00F32158" w:rsidP="00F32158">
            <w:pPr>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19126,10</w:t>
            </w:r>
          </w:p>
          <w:p w:rsidR="00F32158" w:rsidRPr="00D770AB" w:rsidRDefault="00F32158" w:rsidP="00F32158">
            <w:pPr>
              <w:widowControl w:val="0"/>
              <w:jc w:val="center"/>
              <w:rPr>
                <w:rFonts w:ascii="Times New Roman" w:hAnsi="Times New Roman"/>
                <w:sz w:val="22"/>
                <w:szCs w:val="22"/>
                <w:highlight w:val="yellow"/>
              </w:rPr>
            </w:pPr>
          </w:p>
        </w:tc>
      </w:tr>
      <w:tr w:rsidR="00F32158" w:rsidRPr="00D770AB" w:rsidTr="00D770AB">
        <w:trPr>
          <w:jc w:val="center"/>
        </w:trPr>
        <w:tc>
          <w:tcPr>
            <w:tcW w:w="1002" w:type="dxa"/>
          </w:tcPr>
          <w:p w:rsidR="00F32158" w:rsidRPr="00D770AB" w:rsidRDefault="00F32158" w:rsidP="00F32158">
            <w:pPr>
              <w:widowControl w:val="0"/>
              <w:jc w:val="center"/>
              <w:rPr>
                <w:rFonts w:ascii="Times New Roman" w:hAnsi="Times New Roman"/>
                <w:sz w:val="22"/>
                <w:szCs w:val="22"/>
              </w:rPr>
            </w:pPr>
            <w:r w:rsidRPr="00D770AB">
              <w:rPr>
                <w:rFonts w:ascii="Times New Roman" w:hAnsi="Times New Roman"/>
                <w:sz w:val="22"/>
                <w:szCs w:val="22"/>
              </w:rPr>
              <w:t>2010</w:t>
            </w:r>
          </w:p>
        </w:tc>
        <w:tc>
          <w:tcPr>
            <w:tcW w:w="1232" w:type="dxa"/>
          </w:tcPr>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10393,08</w:t>
            </w:r>
          </w:p>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10885,63</w:t>
            </w:r>
          </w:p>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9942,68</w:t>
            </w:r>
          </w:p>
          <w:p w:rsidR="00F32158" w:rsidRPr="00D770AB" w:rsidRDefault="00F32158" w:rsidP="00F32158">
            <w:pPr>
              <w:widowControl w:val="0"/>
              <w:jc w:val="center"/>
              <w:rPr>
                <w:rFonts w:ascii="Times New Roman" w:hAnsi="Times New Roman"/>
                <w:sz w:val="22"/>
                <w:szCs w:val="22"/>
              </w:rPr>
            </w:pPr>
          </w:p>
        </w:tc>
        <w:tc>
          <w:tcPr>
            <w:tcW w:w="1404" w:type="dxa"/>
          </w:tcPr>
          <w:p w:rsidR="00F32158" w:rsidRPr="00D770AB" w:rsidRDefault="00F32158" w:rsidP="00F32158">
            <w:pPr>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12608,76</w:t>
            </w:r>
          </w:p>
          <w:p w:rsidR="00F32158" w:rsidRPr="00D770AB" w:rsidRDefault="00F32158" w:rsidP="00F32158">
            <w:pPr>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13465,83</w:t>
            </w:r>
          </w:p>
          <w:p w:rsidR="00F32158" w:rsidRPr="00D770AB" w:rsidRDefault="00F32158" w:rsidP="00F32158">
            <w:pPr>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11886,26</w:t>
            </w:r>
          </w:p>
          <w:p w:rsidR="00F32158" w:rsidRPr="00D770AB" w:rsidRDefault="00F32158" w:rsidP="00F32158">
            <w:pPr>
              <w:widowControl w:val="0"/>
              <w:jc w:val="center"/>
              <w:rPr>
                <w:rFonts w:ascii="Times New Roman" w:hAnsi="Times New Roman"/>
                <w:sz w:val="22"/>
                <w:szCs w:val="22"/>
              </w:rPr>
            </w:pPr>
          </w:p>
        </w:tc>
        <w:tc>
          <w:tcPr>
            <w:tcW w:w="1178" w:type="dxa"/>
          </w:tcPr>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9691,95</w:t>
            </w:r>
          </w:p>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10251,68</w:t>
            </w:r>
          </w:p>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9153,69</w:t>
            </w:r>
          </w:p>
          <w:p w:rsidR="00F32158" w:rsidRPr="00D770AB" w:rsidRDefault="00F32158" w:rsidP="00F32158">
            <w:pPr>
              <w:widowControl w:val="0"/>
              <w:jc w:val="center"/>
              <w:rPr>
                <w:rFonts w:ascii="Times New Roman" w:hAnsi="Times New Roman"/>
                <w:sz w:val="22"/>
                <w:szCs w:val="22"/>
              </w:rPr>
            </w:pPr>
          </w:p>
        </w:tc>
        <w:tc>
          <w:tcPr>
            <w:tcW w:w="1358" w:type="dxa"/>
          </w:tcPr>
          <w:p w:rsidR="00F32158" w:rsidRPr="00D770AB" w:rsidRDefault="00F32158" w:rsidP="00F32158">
            <w:pPr>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7104,60</w:t>
            </w:r>
          </w:p>
          <w:p w:rsidR="00F32158" w:rsidRPr="00D770AB" w:rsidRDefault="00F32158" w:rsidP="00F32158">
            <w:pPr>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7243,27</w:t>
            </w:r>
          </w:p>
          <w:p w:rsidR="00F32158" w:rsidRPr="00D770AB" w:rsidRDefault="00F32158" w:rsidP="00F32158">
            <w:pPr>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6974,57</w:t>
            </w:r>
          </w:p>
          <w:p w:rsidR="00F32158" w:rsidRPr="00D770AB" w:rsidRDefault="00F32158" w:rsidP="00F32158">
            <w:pPr>
              <w:widowControl w:val="0"/>
              <w:jc w:val="center"/>
              <w:rPr>
                <w:rFonts w:ascii="Times New Roman" w:hAnsi="Times New Roman"/>
                <w:sz w:val="22"/>
                <w:szCs w:val="22"/>
              </w:rPr>
            </w:pPr>
          </w:p>
        </w:tc>
        <w:tc>
          <w:tcPr>
            <w:tcW w:w="1110" w:type="dxa"/>
          </w:tcPr>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7509,11</w:t>
            </w:r>
          </w:p>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7676,59</w:t>
            </w:r>
          </w:p>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7341,14</w:t>
            </w:r>
          </w:p>
          <w:p w:rsidR="00F32158" w:rsidRPr="00D770AB" w:rsidRDefault="00F32158" w:rsidP="00F32158">
            <w:pPr>
              <w:widowControl w:val="0"/>
              <w:jc w:val="center"/>
              <w:rPr>
                <w:rFonts w:ascii="Times New Roman" w:hAnsi="Times New Roman"/>
                <w:sz w:val="22"/>
                <w:szCs w:val="22"/>
              </w:rPr>
            </w:pPr>
          </w:p>
        </w:tc>
        <w:tc>
          <w:tcPr>
            <w:tcW w:w="1092" w:type="dxa"/>
          </w:tcPr>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6827,23</w:t>
            </w:r>
          </w:p>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6970,94</w:t>
            </w:r>
          </w:p>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6678,09</w:t>
            </w:r>
          </w:p>
          <w:p w:rsidR="00F32158" w:rsidRPr="00D770AB" w:rsidRDefault="00F32158" w:rsidP="00F32158">
            <w:pPr>
              <w:widowControl w:val="0"/>
              <w:jc w:val="center"/>
              <w:rPr>
                <w:rFonts w:ascii="Times New Roman" w:hAnsi="Times New Roman"/>
                <w:sz w:val="22"/>
                <w:szCs w:val="22"/>
              </w:rPr>
            </w:pPr>
          </w:p>
        </w:tc>
        <w:tc>
          <w:tcPr>
            <w:tcW w:w="1062" w:type="dxa"/>
          </w:tcPr>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12598,08</w:t>
            </w:r>
          </w:p>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12698,45</w:t>
            </w:r>
          </w:p>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12492,99</w:t>
            </w:r>
          </w:p>
          <w:p w:rsidR="00F32158" w:rsidRPr="00D770AB" w:rsidRDefault="00F32158" w:rsidP="00F32158">
            <w:pPr>
              <w:widowControl w:val="0"/>
              <w:jc w:val="center"/>
              <w:rPr>
                <w:rFonts w:ascii="Times New Roman" w:hAnsi="Times New Roman"/>
                <w:sz w:val="22"/>
                <w:szCs w:val="22"/>
              </w:rPr>
            </w:pPr>
          </w:p>
        </w:tc>
        <w:tc>
          <w:tcPr>
            <w:tcW w:w="1317" w:type="dxa"/>
          </w:tcPr>
          <w:p w:rsidR="00F32158" w:rsidRPr="00D770AB" w:rsidRDefault="00F32158" w:rsidP="00F32158">
            <w:pPr>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18992,84</w:t>
            </w:r>
          </w:p>
          <w:p w:rsidR="00F32158" w:rsidRPr="00D770AB" w:rsidRDefault="00F32158" w:rsidP="00F32158">
            <w:pPr>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20069,27</w:t>
            </w:r>
          </w:p>
          <w:p w:rsidR="00F32158" w:rsidRPr="00D770AB" w:rsidRDefault="00F32158" w:rsidP="00F32158">
            <w:pPr>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17976,00</w:t>
            </w:r>
          </w:p>
          <w:p w:rsidR="00F32158" w:rsidRPr="00D770AB" w:rsidRDefault="00F32158" w:rsidP="00F32158">
            <w:pPr>
              <w:widowControl w:val="0"/>
              <w:jc w:val="center"/>
              <w:rPr>
                <w:rFonts w:ascii="Times New Roman" w:hAnsi="Times New Roman"/>
                <w:sz w:val="22"/>
                <w:szCs w:val="22"/>
                <w:highlight w:val="yellow"/>
              </w:rPr>
            </w:pPr>
          </w:p>
        </w:tc>
      </w:tr>
      <w:tr w:rsidR="00F32158" w:rsidRPr="00D770AB" w:rsidTr="00D770AB">
        <w:trPr>
          <w:jc w:val="center"/>
        </w:trPr>
        <w:tc>
          <w:tcPr>
            <w:tcW w:w="1002" w:type="dxa"/>
          </w:tcPr>
          <w:p w:rsidR="00F32158" w:rsidRPr="00D770AB" w:rsidRDefault="00F32158" w:rsidP="00F32158">
            <w:pPr>
              <w:widowControl w:val="0"/>
              <w:jc w:val="center"/>
              <w:rPr>
                <w:rFonts w:ascii="Times New Roman" w:hAnsi="Times New Roman"/>
                <w:sz w:val="22"/>
                <w:szCs w:val="22"/>
              </w:rPr>
            </w:pPr>
            <w:r w:rsidRPr="00D770AB">
              <w:rPr>
                <w:rFonts w:ascii="Times New Roman" w:hAnsi="Times New Roman"/>
                <w:sz w:val="22"/>
                <w:szCs w:val="22"/>
              </w:rPr>
              <w:t>2011</w:t>
            </w:r>
          </w:p>
        </w:tc>
        <w:tc>
          <w:tcPr>
            <w:tcW w:w="1232" w:type="dxa"/>
          </w:tcPr>
          <w:p w:rsidR="00F32158" w:rsidRPr="00D770AB" w:rsidRDefault="00F32158" w:rsidP="00F32158">
            <w:pPr>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9434,39</w:t>
            </w:r>
          </w:p>
          <w:p w:rsidR="00F32158" w:rsidRPr="00D770AB" w:rsidRDefault="00F32158" w:rsidP="00F32158">
            <w:pPr>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9875,94</w:t>
            </w:r>
          </w:p>
          <w:p w:rsidR="00F32158" w:rsidRPr="00D770AB" w:rsidRDefault="00F32158" w:rsidP="00F32158">
            <w:pPr>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9028,71</w:t>
            </w:r>
          </w:p>
          <w:p w:rsidR="00F32158" w:rsidRPr="00D770AB" w:rsidRDefault="00F32158" w:rsidP="00F32158">
            <w:pPr>
              <w:widowControl w:val="0"/>
              <w:jc w:val="center"/>
              <w:rPr>
                <w:rFonts w:ascii="Times New Roman" w:hAnsi="Times New Roman"/>
                <w:sz w:val="22"/>
                <w:szCs w:val="22"/>
              </w:rPr>
            </w:pPr>
          </w:p>
        </w:tc>
        <w:tc>
          <w:tcPr>
            <w:tcW w:w="1404" w:type="dxa"/>
          </w:tcPr>
          <w:p w:rsidR="00F32158" w:rsidRPr="00D770AB" w:rsidRDefault="00F32158" w:rsidP="00F32158">
            <w:pPr>
              <w:widowControl w:val="0"/>
              <w:jc w:val="center"/>
              <w:rPr>
                <w:rFonts w:ascii="Times New Roman" w:hAnsi="Times New Roman"/>
                <w:sz w:val="22"/>
                <w:szCs w:val="22"/>
                <w:lang w:val="en-US"/>
              </w:rPr>
            </w:pPr>
            <w:r w:rsidRPr="00D770AB">
              <w:rPr>
                <w:rFonts w:ascii="Times New Roman" w:hAnsi="Times New Roman"/>
                <w:sz w:val="22"/>
                <w:szCs w:val="22"/>
                <w:lang w:val="en-US"/>
              </w:rPr>
              <w:t>11341,72</w:t>
            </w:r>
          </w:p>
          <w:p w:rsidR="00F32158" w:rsidRPr="00D770AB" w:rsidRDefault="00F32158" w:rsidP="00F32158">
            <w:pPr>
              <w:widowControl w:val="0"/>
              <w:jc w:val="center"/>
              <w:rPr>
                <w:rFonts w:ascii="Times New Roman" w:hAnsi="Times New Roman"/>
                <w:sz w:val="22"/>
                <w:szCs w:val="22"/>
                <w:lang w:val="en-US"/>
              </w:rPr>
            </w:pPr>
            <w:r w:rsidRPr="00D770AB">
              <w:rPr>
                <w:rFonts w:ascii="Times New Roman" w:hAnsi="Times New Roman"/>
                <w:sz w:val="22"/>
                <w:szCs w:val="22"/>
                <w:lang w:val="en-US"/>
              </w:rPr>
              <w:t>12100,03</w:t>
            </w:r>
          </w:p>
          <w:p w:rsidR="00F32158" w:rsidRPr="00D770AB" w:rsidRDefault="00F32158" w:rsidP="00F32158">
            <w:pPr>
              <w:widowControl w:val="0"/>
              <w:jc w:val="center"/>
              <w:rPr>
                <w:rFonts w:ascii="Times New Roman" w:hAnsi="Times New Roman"/>
                <w:sz w:val="22"/>
                <w:szCs w:val="22"/>
                <w:lang w:val="en-US"/>
              </w:rPr>
            </w:pPr>
            <w:r w:rsidRPr="00D770AB">
              <w:rPr>
                <w:rFonts w:ascii="Times New Roman" w:hAnsi="Times New Roman"/>
                <w:sz w:val="22"/>
                <w:szCs w:val="22"/>
                <w:lang w:val="en-US"/>
              </w:rPr>
              <w:t>10622,92</w:t>
            </w:r>
          </w:p>
          <w:p w:rsidR="00F32158" w:rsidRPr="00D770AB" w:rsidRDefault="00F32158" w:rsidP="00F32158">
            <w:pPr>
              <w:widowControl w:val="0"/>
              <w:jc w:val="center"/>
              <w:rPr>
                <w:rFonts w:ascii="Times New Roman" w:hAnsi="Times New Roman"/>
                <w:sz w:val="22"/>
                <w:szCs w:val="22"/>
              </w:rPr>
            </w:pPr>
          </w:p>
        </w:tc>
        <w:tc>
          <w:tcPr>
            <w:tcW w:w="1178" w:type="dxa"/>
          </w:tcPr>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9427,74</w:t>
            </w:r>
          </w:p>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10005,91</w:t>
            </w:r>
          </w:p>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8880,28</w:t>
            </w:r>
          </w:p>
          <w:p w:rsidR="00F32158" w:rsidRPr="00D770AB" w:rsidRDefault="00F32158" w:rsidP="00F32158">
            <w:pPr>
              <w:widowControl w:val="0"/>
              <w:jc w:val="center"/>
              <w:rPr>
                <w:rFonts w:ascii="Times New Roman" w:hAnsi="Times New Roman"/>
                <w:sz w:val="22"/>
                <w:szCs w:val="22"/>
              </w:rPr>
            </w:pPr>
          </w:p>
        </w:tc>
        <w:tc>
          <w:tcPr>
            <w:tcW w:w="1358" w:type="dxa"/>
          </w:tcPr>
          <w:p w:rsidR="00F32158" w:rsidRPr="00D770AB" w:rsidRDefault="00F32158" w:rsidP="00F32158">
            <w:pPr>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6968,40</w:t>
            </w:r>
          </w:p>
          <w:p w:rsidR="00F32158" w:rsidRPr="00D770AB" w:rsidRDefault="00F32158" w:rsidP="00F32158">
            <w:pPr>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7113,69</w:t>
            </w:r>
          </w:p>
          <w:p w:rsidR="00F32158" w:rsidRPr="00D770AB" w:rsidRDefault="00F32158" w:rsidP="00F32158">
            <w:pPr>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6825,52</w:t>
            </w:r>
          </w:p>
          <w:p w:rsidR="00F32158" w:rsidRPr="00D770AB" w:rsidRDefault="00F32158" w:rsidP="00F32158">
            <w:pPr>
              <w:widowControl w:val="0"/>
              <w:jc w:val="center"/>
              <w:rPr>
                <w:rFonts w:ascii="Times New Roman" w:hAnsi="Times New Roman"/>
                <w:sz w:val="22"/>
                <w:szCs w:val="22"/>
              </w:rPr>
            </w:pPr>
          </w:p>
        </w:tc>
        <w:tc>
          <w:tcPr>
            <w:tcW w:w="1110" w:type="dxa"/>
          </w:tcPr>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7138,30</w:t>
            </w:r>
          </w:p>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7289,84</w:t>
            </w:r>
          </w:p>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6991,12</w:t>
            </w:r>
          </w:p>
          <w:p w:rsidR="00F32158" w:rsidRPr="00D770AB" w:rsidRDefault="00F32158" w:rsidP="00F32158">
            <w:pPr>
              <w:widowControl w:val="0"/>
              <w:jc w:val="center"/>
              <w:rPr>
                <w:rFonts w:ascii="Times New Roman" w:hAnsi="Times New Roman"/>
                <w:sz w:val="22"/>
                <w:szCs w:val="22"/>
              </w:rPr>
            </w:pPr>
          </w:p>
        </w:tc>
        <w:tc>
          <w:tcPr>
            <w:tcW w:w="1092" w:type="dxa"/>
          </w:tcPr>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6504,50</w:t>
            </w:r>
          </w:p>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6646,87</w:t>
            </w:r>
          </w:p>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6358,90</w:t>
            </w:r>
          </w:p>
          <w:p w:rsidR="00F32158" w:rsidRPr="00D770AB" w:rsidRDefault="00F32158" w:rsidP="00F32158">
            <w:pPr>
              <w:widowControl w:val="0"/>
              <w:jc w:val="center"/>
              <w:rPr>
                <w:rFonts w:ascii="Times New Roman" w:hAnsi="Times New Roman"/>
                <w:sz w:val="22"/>
                <w:szCs w:val="22"/>
              </w:rPr>
            </w:pPr>
          </w:p>
        </w:tc>
        <w:tc>
          <w:tcPr>
            <w:tcW w:w="1062" w:type="dxa"/>
          </w:tcPr>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12470,37</w:t>
            </w:r>
          </w:p>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12568,07</w:t>
            </w:r>
          </w:p>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12370,93</w:t>
            </w:r>
          </w:p>
          <w:p w:rsidR="00F32158" w:rsidRPr="00D770AB" w:rsidRDefault="00F32158" w:rsidP="00F32158">
            <w:pPr>
              <w:widowControl w:val="0"/>
              <w:jc w:val="center"/>
              <w:rPr>
                <w:rFonts w:ascii="Times New Roman" w:hAnsi="Times New Roman"/>
                <w:sz w:val="22"/>
                <w:szCs w:val="22"/>
              </w:rPr>
            </w:pPr>
          </w:p>
        </w:tc>
        <w:tc>
          <w:tcPr>
            <w:tcW w:w="1317" w:type="dxa"/>
          </w:tcPr>
          <w:p w:rsidR="00F32158" w:rsidRPr="00D770AB" w:rsidRDefault="00F32158" w:rsidP="00F32158">
            <w:pPr>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17961,48</w:t>
            </w:r>
          </w:p>
          <w:p w:rsidR="00F32158" w:rsidRPr="00D770AB" w:rsidRDefault="00F32158" w:rsidP="00F32158">
            <w:pPr>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18924,10</w:t>
            </w:r>
          </w:p>
          <w:p w:rsidR="00F32158" w:rsidRPr="00D770AB" w:rsidRDefault="00F32158" w:rsidP="00F32158">
            <w:pPr>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17018,37</w:t>
            </w:r>
          </w:p>
          <w:p w:rsidR="00F32158" w:rsidRPr="00D770AB" w:rsidRDefault="00F32158" w:rsidP="00F32158">
            <w:pPr>
              <w:widowControl w:val="0"/>
              <w:jc w:val="center"/>
              <w:rPr>
                <w:rFonts w:ascii="Times New Roman" w:hAnsi="Times New Roman"/>
                <w:sz w:val="22"/>
                <w:szCs w:val="22"/>
                <w:highlight w:val="yellow"/>
              </w:rPr>
            </w:pPr>
          </w:p>
        </w:tc>
      </w:tr>
      <w:tr w:rsidR="00F32158" w:rsidRPr="00D770AB" w:rsidTr="00D770AB">
        <w:trPr>
          <w:jc w:val="center"/>
        </w:trPr>
        <w:tc>
          <w:tcPr>
            <w:tcW w:w="1002" w:type="dxa"/>
          </w:tcPr>
          <w:p w:rsidR="00F32158" w:rsidRPr="00D770AB" w:rsidRDefault="00F32158" w:rsidP="00F32158">
            <w:pPr>
              <w:widowControl w:val="0"/>
              <w:jc w:val="center"/>
              <w:rPr>
                <w:rFonts w:ascii="Times New Roman" w:hAnsi="Times New Roman"/>
                <w:sz w:val="22"/>
                <w:szCs w:val="22"/>
              </w:rPr>
            </w:pPr>
            <w:r w:rsidRPr="00D770AB">
              <w:rPr>
                <w:rFonts w:ascii="Times New Roman" w:hAnsi="Times New Roman"/>
                <w:sz w:val="22"/>
                <w:szCs w:val="22"/>
              </w:rPr>
              <w:t>2012</w:t>
            </w:r>
          </w:p>
        </w:tc>
        <w:tc>
          <w:tcPr>
            <w:tcW w:w="1232" w:type="dxa"/>
          </w:tcPr>
          <w:p w:rsidR="00F32158" w:rsidRPr="00D770AB" w:rsidRDefault="00F32158" w:rsidP="00F32158">
            <w:pPr>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9111,61</w:t>
            </w:r>
          </w:p>
          <w:p w:rsidR="00F32158" w:rsidRPr="00D770AB" w:rsidRDefault="00F32158" w:rsidP="00F32158">
            <w:pPr>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9571,33</w:t>
            </w:r>
          </w:p>
          <w:p w:rsidR="00F32158" w:rsidRPr="00D770AB" w:rsidRDefault="00F32158" w:rsidP="00F32158">
            <w:pPr>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8701,09</w:t>
            </w:r>
          </w:p>
          <w:p w:rsidR="00F32158" w:rsidRPr="00D770AB" w:rsidRDefault="00F32158" w:rsidP="00F32158">
            <w:pPr>
              <w:widowControl w:val="0"/>
              <w:jc w:val="center"/>
              <w:rPr>
                <w:rFonts w:ascii="Times New Roman" w:hAnsi="Times New Roman"/>
                <w:sz w:val="22"/>
                <w:szCs w:val="22"/>
              </w:rPr>
            </w:pPr>
          </w:p>
        </w:tc>
        <w:tc>
          <w:tcPr>
            <w:tcW w:w="1404" w:type="dxa"/>
          </w:tcPr>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11248,51</w:t>
            </w:r>
          </w:p>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11986,09</w:t>
            </w:r>
          </w:p>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10545,82</w:t>
            </w:r>
          </w:p>
          <w:p w:rsidR="00F32158" w:rsidRPr="00D770AB" w:rsidRDefault="00F32158" w:rsidP="00F32158">
            <w:pPr>
              <w:widowControl w:val="0"/>
              <w:jc w:val="center"/>
              <w:rPr>
                <w:rFonts w:ascii="Times New Roman" w:hAnsi="Times New Roman"/>
                <w:sz w:val="22"/>
                <w:szCs w:val="22"/>
              </w:rPr>
            </w:pPr>
          </w:p>
        </w:tc>
        <w:tc>
          <w:tcPr>
            <w:tcW w:w="1178" w:type="dxa"/>
          </w:tcPr>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9421,81</w:t>
            </w:r>
          </w:p>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9965,91</w:t>
            </w:r>
          </w:p>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8889,99</w:t>
            </w:r>
          </w:p>
          <w:p w:rsidR="00F32158" w:rsidRPr="00D770AB" w:rsidRDefault="00F32158" w:rsidP="00F32158">
            <w:pPr>
              <w:widowControl w:val="0"/>
              <w:jc w:val="center"/>
              <w:rPr>
                <w:rFonts w:ascii="Times New Roman" w:hAnsi="Times New Roman"/>
                <w:sz w:val="22"/>
                <w:szCs w:val="22"/>
              </w:rPr>
            </w:pPr>
          </w:p>
        </w:tc>
        <w:tc>
          <w:tcPr>
            <w:tcW w:w="1358" w:type="dxa"/>
          </w:tcPr>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6584,22</w:t>
            </w:r>
          </w:p>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6711,58</w:t>
            </w:r>
          </w:p>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6455,53</w:t>
            </w:r>
          </w:p>
          <w:p w:rsidR="00F32158" w:rsidRPr="00D770AB" w:rsidRDefault="00F32158" w:rsidP="00F32158">
            <w:pPr>
              <w:widowControl w:val="0"/>
              <w:jc w:val="center"/>
              <w:rPr>
                <w:rFonts w:ascii="Times New Roman" w:hAnsi="Times New Roman"/>
                <w:sz w:val="22"/>
                <w:szCs w:val="22"/>
              </w:rPr>
            </w:pPr>
          </w:p>
        </w:tc>
        <w:tc>
          <w:tcPr>
            <w:tcW w:w="1110" w:type="dxa"/>
          </w:tcPr>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7110,67</w:t>
            </w:r>
          </w:p>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7271,17</w:t>
            </w:r>
          </w:p>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6962,32</w:t>
            </w:r>
          </w:p>
          <w:p w:rsidR="00F32158" w:rsidRPr="00D770AB" w:rsidRDefault="00F32158" w:rsidP="00F32158">
            <w:pPr>
              <w:widowControl w:val="0"/>
              <w:jc w:val="center"/>
              <w:rPr>
                <w:rFonts w:ascii="Times New Roman" w:hAnsi="Times New Roman"/>
                <w:sz w:val="22"/>
                <w:szCs w:val="22"/>
              </w:rPr>
            </w:pPr>
          </w:p>
        </w:tc>
        <w:tc>
          <w:tcPr>
            <w:tcW w:w="1092" w:type="dxa"/>
          </w:tcPr>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6086,97</w:t>
            </w:r>
          </w:p>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6215,24</w:t>
            </w:r>
          </w:p>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5949,39</w:t>
            </w:r>
          </w:p>
          <w:p w:rsidR="00F32158" w:rsidRPr="00D770AB" w:rsidRDefault="00F32158" w:rsidP="00F32158">
            <w:pPr>
              <w:widowControl w:val="0"/>
              <w:jc w:val="center"/>
              <w:rPr>
                <w:rFonts w:ascii="Times New Roman" w:hAnsi="Times New Roman"/>
                <w:sz w:val="22"/>
                <w:szCs w:val="22"/>
              </w:rPr>
            </w:pPr>
          </w:p>
        </w:tc>
        <w:tc>
          <w:tcPr>
            <w:tcW w:w="1062" w:type="dxa"/>
          </w:tcPr>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12452,24</w:t>
            </w:r>
          </w:p>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12550,69</w:t>
            </w:r>
          </w:p>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12354,12</w:t>
            </w:r>
          </w:p>
          <w:p w:rsidR="00F32158" w:rsidRPr="00D770AB" w:rsidRDefault="00F32158" w:rsidP="00F32158">
            <w:pPr>
              <w:widowControl w:val="0"/>
              <w:jc w:val="center"/>
              <w:rPr>
                <w:rFonts w:ascii="Times New Roman" w:hAnsi="Times New Roman"/>
                <w:sz w:val="22"/>
                <w:szCs w:val="22"/>
              </w:rPr>
            </w:pPr>
          </w:p>
        </w:tc>
        <w:tc>
          <w:tcPr>
            <w:tcW w:w="1317" w:type="dxa"/>
          </w:tcPr>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17095,71</w:t>
            </w:r>
          </w:p>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18017,63</w:t>
            </w:r>
          </w:p>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16179,45</w:t>
            </w:r>
          </w:p>
          <w:p w:rsidR="00F32158" w:rsidRPr="00D770AB" w:rsidRDefault="00F32158" w:rsidP="00F32158">
            <w:pPr>
              <w:widowControl w:val="0"/>
              <w:jc w:val="center"/>
              <w:rPr>
                <w:rFonts w:ascii="Times New Roman" w:hAnsi="Times New Roman"/>
                <w:sz w:val="22"/>
                <w:szCs w:val="22"/>
                <w:highlight w:val="yellow"/>
              </w:rPr>
            </w:pPr>
          </w:p>
        </w:tc>
      </w:tr>
      <w:tr w:rsidR="00F32158" w:rsidRPr="00D770AB" w:rsidTr="00D770AB">
        <w:trPr>
          <w:jc w:val="center"/>
        </w:trPr>
        <w:tc>
          <w:tcPr>
            <w:tcW w:w="1002" w:type="dxa"/>
          </w:tcPr>
          <w:p w:rsidR="00F32158" w:rsidRPr="00D770AB" w:rsidRDefault="00F32158" w:rsidP="00F32158">
            <w:pPr>
              <w:widowControl w:val="0"/>
              <w:jc w:val="center"/>
              <w:rPr>
                <w:rFonts w:ascii="Times New Roman" w:hAnsi="Times New Roman"/>
                <w:sz w:val="22"/>
                <w:szCs w:val="22"/>
              </w:rPr>
            </w:pPr>
            <w:r w:rsidRPr="00D770AB">
              <w:rPr>
                <w:rFonts w:ascii="Times New Roman" w:hAnsi="Times New Roman"/>
                <w:sz w:val="22"/>
                <w:szCs w:val="22"/>
              </w:rPr>
              <w:t>2013</w:t>
            </w:r>
          </w:p>
        </w:tc>
        <w:tc>
          <w:tcPr>
            <w:tcW w:w="1232" w:type="dxa"/>
          </w:tcPr>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8757,75</w:t>
            </w:r>
          </w:p>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9149,77</w:t>
            </w:r>
          </w:p>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8356,15</w:t>
            </w:r>
          </w:p>
          <w:p w:rsidR="00F32158" w:rsidRPr="00D770AB" w:rsidRDefault="00F32158" w:rsidP="00F32158">
            <w:pPr>
              <w:widowControl w:val="0"/>
              <w:jc w:val="center"/>
              <w:rPr>
                <w:rFonts w:ascii="Times New Roman" w:hAnsi="Times New Roman"/>
                <w:sz w:val="22"/>
                <w:szCs w:val="22"/>
              </w:rPr>
            </w:pPr>
          </w:p>
        </w:tc>
        <w:tc>
          <w:tcPr>
            <w:tcW w:w="1404" w:type="dxa"/>
          </w:tcPr>
          <w:p w:rsidR="00F32158" w:rsidRPr="00D770AB" w:rsidRDefault="00F32158" w:rsidP="00F32158">
            <w:pPr>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10996,54</w:t>
            </w:r>
          </w:p>
          <w:p w:rsidR="00F32158" w:rsidRPr="00D770AB" w:rsidRDefault="00F32158" w:rsidP="00F32158">
            <w:pPr>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11700,50</w:t>
            </w:r>
          </w:p>
          <w:p w:rsidR="00F32158" w:rsidRPr="00D770AB" w:rsidRDefault="00F32158" w:rsidP="00F32158">
            <w:pPr>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10314,58</w:t>
            </w:r>
          </w:p>
          <w:p w:rsidR="00F32158" w:rsidRPr="00D770AB" w:rsidRDefault="00F32158" w:rsidP="00F32158">
            <w:pPr>
              <w:widowControl w:val="0"/>
              <w:jc w:val="center"/>
              <w:rPr>
                <w:rFonts w:ascii="Times New Roman" w:hAnsi="Times New Roman"/>
                <w:sz w:val="22"/>
                <w:szCs w:val="22"/>
              </w:rPr>
            </w:pPr>
          </w:p>
        </w:tc>
        <w:tc>
          <w:tcPr>
            <w:tcW w:w="1178" w:type="dxa"/>
          </w:tcPr>
          <w:p w:rsidR="00F32158" w:rsidRPr="00D770AB" w:rsidRDefault="00F32158" w:rsidP="00F32158">
            <w:pPr>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9628,96</w:t>
            </w:r>
          </w:p>
          <w:p w:rsidR="00F32158" w:rsidRPr="00D770AB" w:rsidRDefault="00F32158" w:rsidP="00F32158">
            <w:pPr>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10199,16</w:t>
            </w:r>
          </w:p>
          <w:p w:rsidR="00F32158" w:rsidRPr="00D770AB" w:rsidRDefault="00F32158" w:rsidP="00F32158">
            <w:pPr>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9106,26</w:t>
            </w:r>
          </w:p>
          <w:p w:rsidR="00F32158" w:rsidRPr="00D770AB" w:rsidRDefault="00F32158" w:rsidP="00F32158">
            <w:pPr>
              <w:widowControl w:val="0"/>
              <w:jc w:val="center"/>
              <w:rPr>
                <w:rFonts w:ascii="Times New Roman" w:hAnsi="Times New Roman"/>
                <w:sz w:val="22"/>
                <w:szCs w:val="22"/>
              </w:rPr>
            </w:pPr>
          </w:p>
        </w:tc>
        <w:tc>
          <w:tcPr>
            <w:tcW w:w="1358" w:type="dxa"/>
          </w:tcPr>
          <w:p w:rsidR="00F32158" w:rsidRPr="00D770AB" w:rsidRDefault="00F32158" w:rsidP="00F32158">
            <w:pPr>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6557,79</w:t>
            </w:r>
          </w:p>
          <w:p w:rsidR="00F32158" w:rsidRPr="00D770AB" w:rsidRDefault="00F32158" w:rsidP="00F32158">
            <w:pPr>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6683,38</w:t>
            </w:r>
          </w:p>
          <w:p w:rsidR="00F32158" w:rsidRPr="00D770AB" w:rsidRDefault="00F32158" w:rsidP="00F32158">
            <w:pPr>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6434,49</w:t>
            </w:r>
          </w:p>
          <w:p w:rsidR="00F32158" w:rsidRPr="00D770AB" w:rsidRDefault="00F32158" w:rsidP="00F32158">
            <w:pPr>
              <w:widowControl w:val="0"/>
              <w:jc w:val="center"/>
              <w:rPr>
                <w:rFonts w:ascii="Times New Roman" w:hAnsi="Times New Roman"/>
                <w:sz w:val="22"/>
                <w:szCs w:val="22"/>
              </w:rPr>
            </w:pPr>
          </w:p>
        </w:tc>
        <w:tc>
          <w:tcPr>
            <w:tcW w:w="1110" w:type="dxa"/>
          </w:tcPr>
          <w:p w:rsidR="00F32158" w:rsidRPr="00D770AB" w:rsidRDefault="00F32158" w:rsidP="00F32158">
            <w:pPr>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7158,99</w:t>
            </w:r>
          </w:p>
          <w:p w:rsidR="00F32158" w:rsidRPr="00D770AB" w:rsidRDefault="00F32158" w:rsidP="00F32158">
            <w:pPr>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7317,35</w:t>
            </w:r>
          </w:p>
          <w:p w:rsidR="00F32158" w:rsidRPr="00D770AB" w:rsidRDefault="00F32158" w:rsidP="00F32158">
            <w:pPr>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6998,42</w:t>
            </w:r>
          </w:p>
          <w:p w:rsidR="00F32158" w:rsidRPr="00D770AB" w:rsidRDefault="00F32158" w:rsidP="00F32158">
            <w:pPr>
              <w:widowControl w:val="0"/>
              <w:jc w:val="center"/>
              <w:rPr>
                <w:rFonts w:ascii="Times New Roman" w:hAnsi="Times New Roman"/>
                <w:sz w:val="22"/>
                <w:szCs w:val="22"/>
              </w:rPr>
            </w:pPr>
          </w:p>
        </w:tc>
        <w:tc>
          <w:tcPr>
            <w:tcW w:w="1092" w:type="dxa"/>
          </w:tcPr>
          <w:p w:rsidR="00F32158" w:rsidRPr="00D770AB" w:rsidRDefault="00F32158" w:rsidP="00F32158">
            <w:pPr>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5593,85</w:t>
            </w:r>
          </w:p>
          <w:p w:rsidR="00F32158" w:rsidRPr="00D770AB" w:rsidRDefault="00F32158" w:rsidP="00F32158">
            <w:pPr>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5721,38</w:t>
            </w:r>
          </w:p>
          <w:p w:rsidR="00F32158" w:rsidRPr="00D770AB" w:rsidRDefault="00F32158" w:rsidP="00F32158">
            <w:pPr>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5473,68</w:t>
            </w:r>
          </w:p>
          <w:p w:rsidR="00F32158" w:rsidRPr="00D770AB" w:rsidRDefault="00F32158" w:rsidP="00F32158">
            <w:pPr>
              <w:widowControl w:val="0"/>
              <w:jc w:val="center"/>
              <w:rPr>
                <w:rFonts w:ascii="Times New Roman" w:hAnsi="Times New Roman"/>
                <w:sz w:val="22"/>
                <w:szCs w:val="22"/>
              </w:rPr>
            </w:pPr>
          </w:p>
        </w:tc>
        <w:tc>
          <w:tcPr>
            <w:tcW w:w="1062" w:type="dxa"/>
          </w:tcPr>
          <w:p w:rsidR="00F32158" w:rsidRPr="00D770AB" w:rsidRDefault="00F32158" w:rsidP="00F32158">
            <w:pPr>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12485,00</w:t>
            </w:r>
          </w:p>
          <w:p w:rsidR="00F32158" w:rsidRPr="00D770AB" w:rsidRDefault="00F32158" w:rsidP="00F32158">
            <w:pPr>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12591,57</w:t>
            </w:r>
          </w:p>
          <w:p w:rsidR="00F32158" w:rsidRPr="00D770AB" w:rsidRDefault="00F32158" w:rsidP="00F32158">
            <w:pPr>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12370,38</w:t>
            </w:r>
          </w:p>
          <w:p w:rsidR="00F32158" w:rsidRPr="00D770AB" w:rsidRDefault="00F32158" w:rsidP="00F32158">
            <w:pPr>
              <w:widowControl w:val="0"/>
              <w:jc w:val="center"/>
              <w:rPr>
                <w:rFonts w:ascii="Times New Roman" w:hAnsi="Times New Roman"/>
                <w:sz w:val="22"/>
                <w:szCs w:val="22"/>
              </w:rPr>
            </w:pPr>
          </w:p>
        </w:tc>
        <w:tc>
          <w:tcPr>
            <w:tcW w:w="1317" w:type="dxa"/>
          </w:tcPr>
          <w:p w:rsidR="00F32158" w:rsidRPr="00D770AB" w:rsidRDefault="00F32158" w:rsidP="00F32158">
            <w:pPr>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15765,11</w:t>
            </w:r>
          </w:p>
          <w:p w:rsidR="00F32158" w:rsidRPr="00D770AB" w:rsidRDefault="00F32158" w:rsidP="00F32158">
            <w:pPr>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16712,59</w:t>
            </w:r>
          </w:p>
          <w:p w:rsidR="00F32158" w:rsidRPr="00D770AB" w:rsidRDefault="00F32158" w:rsidP="00F32158">
            <w:pPr>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14764,85</w:t>
            </w:r>
          </w:p>
          <w:p w:rsidR="00F32158" w:rsidRPr="00D770AB" w:rsidRDefault="00F32158" w:rsidP="00F32158">
            <w:pPr>
              <w:widowControl w:val="0"/>
              <w:jc w:val="center"/>
              <w:rPr>
                <w:rFonts w:ascii="Times New Roman" w:hAnsi="Times New Roman"/>
                <w:sz w:val="22"/>
                <w:szCs w:val="22"/>
                <w:highlight w:val="yellow"/>
              </w:rPr>
            </w:pPr>
          </w:p>
        </w:tc>
      </w:tr>
      <w:tr w:rsidR="00F32158" w:rsidRPr="00D770AB" w:rsidTr="00D770AB">
        <w:trPr>
          <w:jc w:val="center"/>
        </w:trPr>
        <w:tc>
          <w:tcPr>
            <w:tcW w:w="1002" w:type="dxa"/>
          </w:tcPr>
          <w:p w:rsidR="00F32158" w:rsidRPr="00D770AB" w:rsidRDefault="00F32158" w:rsidP="00F32158">
            <w:pPr>
              <w:widowControl w:val="0"/>
              <w:jc w:val="center"/>
              <w:rPr>
                <w:rFonts w:ascii="Times New Roman" w:hAnsi="Times New Roman"/>
                <w:sz w:val="22"/>
                <w:szCs w:val="22"/>
              </w:rPr>
            </w:pPr>
            <w:r w:rsidRPr="00D770AB">
              <w:rPr>
                <w:rFonts w:ascii="Times New Roman" w:hAnsi="Times New Roman"/>
                <w:sz w:val="22"/>
                <w:szCs w:val="22"/>
              </w:rPr>
              <w:t>2014</w:t>
            </w:r>
          </w:p>
        </w:tc>
        <w:tc>
          <w:tcPr>
            <w:tcW w:w="1232" w:type="dxa"/>
          </w:tcPr>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8357,29</w:t>
            </w:r>
          </w:p>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8720,99</w:t>
            </w:r>
          </w:p>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7970,19</w:t>
            </w:r>
          </w:p>
          <w:p w:rsidR="00F32158" w:rsidRPr="00D770AB" w:rsidRDefault="00F32158" w:rsidP="00F32158">
            <w:pPr>
              <w:widowControl w:val="0"/>
              <w:jc w:val="center"/>
              <w:rPr>
                <w:rFonts w:ascii="Times New Roman" w:hAnsi="Times New Roman"/>
                <w:sz w:val="22"/>
                <w:szCs w:val="22"/>
              </w:rPr>
            </w:pPr>
          </w:p>
        </w:tc>
        <w:tc>
          <w:tcPr>
            <w:tcW w:w="1404" w:type="dxa"/>
          </w:tcPr>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11477,16</w:t>
            </w:r>
          </w:p>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12246,65</w:t>
            </w:r>
          </w:p>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10784,75</w:t>
            </w:r>
          </w:p>
          <w:p w:rsidR="00F32158" w:rsidRPr="00D770AB" w:rsidRDefault="00F32158" w:rsidP="00F32158">
            <w:pPr>
              <w:widowControl w:val="0"/>
              <w:jc w:val="center"/>
              <w:rPr>
                <w:rFonts w:ascii="Times New Roman" w:hAnsi="Times New Roman"/>
                <w:sz w:val="22"/>
                <w:szCs w:val="22"/>
              </w:rPr>
            </w:pPr>
          </w:p>
        </w:tc>
        <w:tc>
          <w:tcPr>
            <w:tcW w:w="1178" w:type="dxa"/>
          </w:tcPr>
          <w:p w:rsidR="00F32158" w:rsidRPr="00D770AB" w:rsidRDefault="00F32158" w:rsidP="00F32158">
            <w:pPr>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9444,54</w:t>
            </w:r>
          </w:p>
          <w:p w:rsidR="00F32158" w:rsidRPr="00D770AB" w:rsidRDefault="00F32158" w:rsidP="00F32158">
            <w:pPr>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10023,97</w:t>
            </w:r>
          </w:p>
          <w:p w:rsidR="00F32158" w:rsidRPr="00D770AB" w:rsidRDefault="00F32158" w:rsidP="00F32158">
            <w:pPr>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8905,42</w:t>
            </w:r>
          </w:p>
          <w:p w:rsidR="00F32158" w:rsidRPr="00D770AB" w:rsidRDefault="00F32158" w:rsidP="00F32158">
            <w:pPr>
              <w:widowControl w:val="0"/>
              <w:jc w:val="center"/>
              <w:rPr>
                <w:rFonts w:ascii="Times New Roman" w:hAnsi="Times New Roman"/>
                <w:sz w:val="22"/>
                <w:szCs w:val="22"/>
              </w:rPr>
            </w:pPr>
          </w:p>
        </w:tc>
        <w:tc>
          <w:tcPr>
            <w:tcW w:w="1358" w:type="dxa"/>
          </w:tcPr>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6501,46</w:t>
            </w:r>
          </w:p>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6633,39</w:t>
            </w:r>
          </w:p>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6366,72</w:t>
            </w:r>
          </w:p>
          <w:p w:rsidR="00F32158" w:rsidRPr="00D770AB" w:rsidRDefault="00F32158" w:rsidP="00F32158">
            <w:pPr>
              <w:widowControl w:val="0"/>
              <w:jc w:val="center"/>
              <w:rPr>
                <w:rFonts w:ascii="Times New Roman" w:hAnsi="Times New Roman"/>
                <w:sz w:val="22"/>
                <w:szCs w:val="22"/>
              </w:rPr>
            </w:pPr>
          </w:p>
        </w:tc>
        <w:tc>
          <w:tcPr>
            <w:tcW w:w="1110" w:type="dxa"/>
          </w:tcPr>
          <w:p w:rsidR="00F32158" w:rsidRPr="00D770AB" w:rsidRDefault="00F32158" w:rsidP="00F32158">
            <w:pPr>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6996,60</w:t>
            </w:r>
          </w:p>
          <w:p w:rsidR="00F32158" w:rsidRPr="00D770AB" w:rsidRDefault="00F32158" w:rsidP="00F32158">
            <w:pPr>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7158,38</w:t>
            </w:r>
          </w:p>
          <w:p w:rsidR="00F32158" w:rsidRPr="00D770AB" w:rsidRDefault="00F32158" w:rsidP="00F32158">
            <w:pPr>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6843,87</w:t>
            </w:r>
          </w:p>
          <w:p w:rsidR="00F32158" w:rsidRPr="00D770AB" w:rsidRDefault="00F32158" w:rsidP="00F32158">
            <w:pPr>
              <w:widowControl w:val="0"/>
              <w:jc w:val="center"/>
              <w:rPr>
                <w:rFonts w:ascii="Times New Roman" w:hAnsi="Times New Roman"/>
                <w:sz w:val="22"/>
                <w:szCs w:val="22"/>
              </w:rPr>
            </w:pPr>
          </w:p>
        </w:tc>
        <w:tc>
          <w:tcPr>
            <w:tcW w:w="1092" w:type="dxa"/>
          </w:tcPr>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5731,97</w:t>
            </w:r>
          </w:p>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5873,15</w:t>
            </w:r>
          </w:p>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5601,01</w:t>
            </w:r>
          </w:p>
          <w:p w:rsidR="00F32158" w:rsidRPr="00D770AB" w:rsidRDefault="00F32158" w:rsidP="00F32158">
            <w:pPr>
              <w:widowControl w:val="0"/>
              <w:jc w:val="center"/>
              <w:rPr>
                <w:rFonts w:ascii="Times New Roman" w:hAnsi="Times New Roman"/>
                <w:sz w:val="22"/>
                <w:szCs w:val="22"/>
              </w:rPr>
            </w:pPr>
          </w:p>
        </w:tc>
        <w:tc>
          <w:tcPr>
            <w:tcW w:w="1062" w:type="dxa"/>
          </w:tcPr>
          <w:p w:rsidR="00F32158" w:rsidRPr="00D770AB" w:rsidRDefault="00F32158" w:rsidP="00F32158">
            <w:pPr>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12463,28</w:t>
            </w:r>
          </w:p>
          <w:p w:rsidR="00F32158" w:rsidRPr="00D770AB" w:rsidRDefault="00F32158" w:rsidP="00F32158">
            <w:pPr>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12554,71</w:t>
            </w:r>
          </w:p>
          <w:p w:rsidR="00F32158" w:rsidRPr="00D770AB" w:rsidRDefault="00F32158" w:rsidP="00F32158">
            <w:pPr>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12373,91</w:t>
            </w:r>
          </w:p>
          <w:p w:rsidR="00F32158" w:rsidRPr="00D770AB" w:rsidRDefault="00F32158" w:rsidP="00F32158">
            <w:pPr>
              <w:widowControl w:val="0"/>
              <w:jc w:val="center"/>
              <w:rPr>
                <w:rFonts w:ascii="Times New Roman" w:hAnsi="Times New Roman"/>
                <w:sz w:val="22"/>
                <w:szCs w:val="22"/>
              </w:rPr>
            </w:pPr>
          </w:p>
        </w:tc>
        <w:tc>
          <w:tcPr>
            <w:tcW w:w="1317" w:type="dxa"/>
          </w:tcPr>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16591,80</w:t>
            </w:r>
          </w:p>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17696,84</w:t>
            </w:r>
          </w:p>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15487,09</w:t>
            </w:r>
          </w:p>
          <w:p w:rsidR="00F32158" w:rsidRPr="00D770AB" w:rsidRDefault="00F32158" w:rsidP="00F32158">
            <w:pPr>
              <w:widowControl w:val="0"/>
              <w:jc w:val="center"/>
              <w:rPr>
                <w:rFonts w:ascii="Times New Roman" w:hAnsi="Times New Roman"/>
                <w:sz w:val="22"/>
                <w:szCs w:val="22"/>
                <w:highlight w:val="yellow"/>
              </w:rPr>
            </w:pPr>
          </w:p>
        </w:tc>
      </w:tr>
      <w:tr w:rsidR="00F32158" w:rsidRPr="00D770AB" w:rsidTr="00D770AB">
        <w:trPr>
          <w:jc w:val="center"/>
        </w:trPr>
        <w:tc>
          <w:tcPr>
            <w:tcW w:w="1002" w:type="dxa"/>
          </w:tcPr>
          <w:p w:rsidR="00F32158" w:rsidRPr="00D770AB" w:rsidRDefault="00F32158" w:rsidP="00F32158">
            <w:pPr>
              <w:widowControl w:val="0"/>
              <w:jc w:val="center"/>
              <w:rPr>
                <w:rFonts w:ascii="Times New Roman" w:hAnsi="Times New Roman"/>
                <w:sz w:val="22"/>
                <w:szCs w:val="22"/>
              </w:rPr>
            </w:pPr>
            <w:r w:rsidRPr="00D770AB">
              <w:rPr>
                <w:rFonts w:ascii="Times New Roman" w:hAnsi="Times New Roman"/>
                <w:sz w:val="22"/>
                <w:szCs w:val="22"/>
              </w:rPr>
              <w:t>2015</w:t>
            </w:r>
          </w:p>
        </w:tc>
        <w:tc>
          <w:tcPr>
            <w:tcW w:w="1232" w:type="dxa"/>
          </w:tcPr>
          <w:p w:rsidR="00F32158" w:rsidRPr="00D770AB" w:rsidRDefault="00F32158" w:rsidP="00F32158">
            <w:pPr>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8008,31</w:t>
            </w:r>
          </w:p>
          <w:p w:rsidR="00F32158" w:rsidRPr="00D770AB" w:rsidRDefault="00F32158" w:rsidP="00F32158">
            <w:pPr>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8374,98</w:t>
            </w:r>
          </w:p>
          <w:p w:rsidR="00F32158" w:rsidRPr="00D770AB" w:rsidRDefault="00F32158" w:rsidP="00F32158">
            <w:pPr>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7601,88</w:t>
            </w:r>
          </w:p>
          <w:p w:rsidR="00F32158" w:rsidRPr="00D770AB" w:rsidRDefault="00F32158" w:rsidP="00F32158">
            <w:pPr>
              <w:widowControl w:val="0"/>
              <w:jc w:val="center"/>
              <w:rPr>
                <w:rFonts w:ascii="Times New Roman" w:hAnsi="Times New Roman"/>
                <w:sz w:val="22"/>
                <w:szCs w:val="22"/>
              </w:rPr>
            </w:pPr>
          </w:p>
        </w:tc>
        <w:tc>
          <w:tcPr>
            <w:tcW w:w="1404" w:type="dxa"/>
          </w:tcPr>
          <w:p w:rsidR="00F32158" w:rsidRPr="00D770AB" w:rsidRDefault="00F32158" w:rsidP="00F32158">
            <w:pPr>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11389,19</w:t>
            </w:r>
          </w:p>
          <w:p w:rsidR="00F32158" w:rsidRPr="00D770AB" w:rsidRDefault="00F32158" w:rsidP="00F32158">
            <w:pPr>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12176,93</w:t>
            </w:r>
          </w:p>
          <w:p w:rsidR="00F32158" w:rsidRPr="00D770AB" w:rsidRDefault="00F32158" w:rsidP="00F32158">
            <w:pPr>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10626,32</w:t>
            </w:r>
          </w:p>
          <w:p w:rsidR="00F32158" w:rsidRPr="00D770AB" w:rsidRDefault="00F32158" w:rsidP="00F32158">
            <w:pPr>
              <w:widowControl w:val="0"/>
              <w:jc w:val="center"/>
              <w:rPr>
                <w:rFonts w:ascii="Times New Roman" w:hAnsi="Times New Roman"/>
                <w:sz w:val="22"/>
                <w:szCs w:val="22"/>
              </w:rPr>
            </w:pPr>
          </w:p>
        </w:tc>
        <w:tc>
          <w:tcPr>
            <w:tcW w:w="1178" w:type="dxa"/>
          </w:tcPr>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9501,50</w:t>
            </w:r>
          </w:p>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10119,22</w:t>
            </w:r>
          </w:p>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8887,53</w:t>
            </w:r>
          </w:p>
          <w:p w:rsidR="00F32158" w:rsidRPr="00D770AB" w:rsidRDefault="00F32158" w:rsidP="00F32158">
            <w:pPr>
              <w:widowControl w:val="0"/>
              <w:jc w:val="center"/>
              <w:rPr>
                <w:rFonts w:ascii="Times New Roman" w:hAnsi="Times New Roman"/>
                <w:sz w:val="22"/>
                <w:szCs w:val="22"/>
              </w:rPr>
            </w:pPr>
          </w:p>
        </w:tc>
        <w:tc>
          <w:tcPr>
            <w:tcW w:w="1358" w:type="dxa"/>
          </w:tcPr>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6614,56</w:t>
            </w:r>
          </w:p>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6775,18</w:t>
            </w:r>
          </w:p>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6445,81</w:t>
            </w:r>
          </w:p>
          <w:p w:rsidR="00F32158" w:rsidRPr="00D770AB" w:rsidRDefault="00F32158" w:rsidP="00F32158">
            <w:pPr>
              <w:widowControl w:val="0"/>
              <w:jc w:val="center"/>
              <w:rPr>
                <w:rFonts w:ascii="Times New Roman" w:hAnsi="Times New Roman"/>
                <w:sz w:val="22"/>
                <w:szCs w:val="22"/>
              </w:rPr>
            </w:pPr>
          </w:p>
        </w:tc>
        <w:tc>
          <w:tcPr>
            <w:tcW w:w="1110" w:type="dxa"/>
          </w:tcPr>
          <w:p w:rsidR="00F32158" w:rsidRPr="00D770AB" w:rsidRDefault="00F32158" w:rsidP="00F32158">
            <w:pPr>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7079,60</w:t>
            </w:r>
          </w:p>
          <w:p w:rsidR="00F32158" w:rsidRPr="00D770AB" w:rsidRDefault="00F32158" w:rsidP="00F32158">
            <w:pPr>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7248,99</w:t>
            </w:r>
          </w:p>
          <w:p w:rsidR="00F32158" w:rsidRPr="00D770AB" w:rsidRDefault="00F32158" w:rsidP="00F32158">
            <w:pPr>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6925,31</w:t>
            </w:r>
          </w:p>
          <w:p w:rsidR="00F32158" w:rsidRPr="00D770AB" w:rsidRDefault="00F32158" w:rsidP="00F32158">
            <w:pPr>
              <w:widowControl w:val="0"/>
              <w:jc w:val="center"/>
              <w:rPr>
                <w:rFonts w:ascii="Times New Roman" w:hAnsi="Times New Roman"/>
                <w:sz w:val="22"/>
                <w:szCs w:val="22"/>
              </w:rPr>
            </w:pPr>
          </w:p>
        </w:tc>
        <w:tc>
          <w:tcPr>
            <w:tcW w:w="1092" w:type="dxa"/>
          </w:tcPr>
          <w:p w:rsidR="00F32158" w:rsidRPr="00D770AB" w:rsidRDefault="00F32158" w:rsidP="00F32158">
            <w:pPr>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5496,85</w:t>
            </w:r>
          </w:p>
          <w:p w:rsidR="00F32158" w:rsidRPr="00D770AB" w:rsidRDefault="00F32158" w:rsidP="00F32158">
            <w:pPr>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5637,99</w:t>
            </w:r>
          </w:p>
          <w:p w:rsidR="00F32158" w:rsidRPr="00D770AB" w:rsidRDefault="00F32158" w:rsidP="00F32158">
            <w:pPr>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5359,55</w:t>
            </w:r>
          </w:p>
          <w:p w:rsidR="00F32158" w:rsidRPr="00D770AB" w:rsidRDefault="00F32158" w:rsidP="00F32158">
            <w:pPr>
              <w:widowControl w:val="0"/>
              <w:jc w:val="center"/>
              <w:rPr>
                <w:rFonts w:ascii="Times New Roman" w:hAnsi="Times New Roman"/>
                <w:sz w:val="22"/>
                <w:szCs w:val="22"/>
              </w:rPr>
            </w:pPr>
          </w:p>
        </w:tc>
        <w:tc>
          <w:tcPr>
            <w:tcW w:w="1062" w:type="dxa"/>
          </w:tcPr>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12486,17</w:t>
            </w:r>
          </w:p>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12621,63</w:t>
            </w:r>
          </w:p>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12348,52</w:t>
            </w:r>
          </w:p>
          <w:p w:rsidR="00F32158" w:rsidRPr="00D770AB" w:rsidRDefault="00F32158" w:rsidP="00F32158">
            <w:pPr>
              <w:widowControl w:val="0"/>
              <w:jc w:val="center"/>
              <w:rPr>
                <w:rFonts w:ascii="Times New Roman" w:hAnsi="Times New Roman"/>
                <w:sz w:val="22"/>
                <w:szCs w:val="22"/>
              </w:rPr>
            </w:pPr>
          </w:p>
        </w:tc>
        <w:tc>
          <w:tcPr>
            <w:tcW w:w="1317" w:type="dxa"/>
          </w:tcPr>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17363,34</w:t>
            </w:r>
          </w:p>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18846,30</w:t>
            </w:r>
          </w:p>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15866,64</w:t>
            </w:r>
          </w:p>
          <w:p w:rsidR="00F32158" w:rsidRPr="00D770AB" w:rsidRDefault="00F32158" w:rsidP="00F32158">
            <w:pPr>
              <w:widowControl w:val="0"/>
              <w:jc w:val="center"/>
              <w:rPr>
                <w:rFonts w:ascii="Times New Roman" w:hAnsi="Times New Roman"/>
                <w:sz w:val="22"/>
                <w:szCs w:val="22"/>
                <w:highlight w:val="yellow"/>
              </w:rPr>
            </w:pPr>
          </w:p>
        </w:tc>
      </w:tr>
      <w:tr w:rsidR="00F32158" w:rsidRPr="00D770AB" w:rsidTr="00D770AB">
        <w:trPr>
          <w:jc w:val="center"/>
        </w:trPr>
        <w:tc>
          <w:tcPr>
            <w:tcW w:w="1002" w:type="dxa"/>
          </w:tcPr>
          <w:p w:rsidR="00F32158" w:rsidRPr="00D770AB" w:rsidRDefault="00F32158" w:rsidP="00F32158">
            <w:pPr>
              <w:widowControl w:val="0"/>
              <w:jc w:val="center"/>
              <w:rPr>
                <w:rFonts w:ascii="Times New Roman" w:hAnsi="Times New Roman"/>
                <w:sz w:val="22"/>
                <w:szCs w:val="22"/>
              </w:rPr>
            </w:pPr>
            <w:r w:rsidRPr="00D770AB">
              <w:rPr>
                <w:rFonts w:ascii="Times New Roman" w:hAnsi="Times New Roman"/>
                <w:sz w:val="22"/>
                <w:szCs w:val="22"/>
              </w:rPr>
              <w:t>2016</w:t>
            </w:r>
          </w:p>
        </w:tc>
        <w:tc>
          <w:tcPr>
            <w:tcW w:w="1232" w:type="dxa"/>
          </w:tcPr>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8037,16</w:t>
            </w:r>
          </w:p>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8554,20</w:t>
            </w:r>
          </w:p>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7519,84</w:t>
            </w:r>
          </w:p>
          <w:p w:rsidR="00F32158" w:rsidRPr="00D770AB" w:rsidRDefault="00F32158" w:rsidP="00F32158">
            <w:pPr>
              <w:widowControl w:val="0"/>
              <w:jc w:val="center"/>
              <w:rPr>
                <w:rFonts w:ascii="Times New Roman" w:hAnsi="Times New Roman"/>
                <w:sz w:val="22"/>
                <w:szCs w:val="22"/>
              </w:rPr>
            </w:pPr>
          </w:p>
        </w:tc>
        <w:tc>
          <w:tcPr>
            <w:tcW w:w="1404" w:type="dxa"/>
          </w:tcPr>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11372,16</w:t>
            </w:r>
          </w:p>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12275,19</w:t>
            </w:r>
          </w:p>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10487,22</w:t>
            </w:r>
          </w:p>
          <w:p w:rsidR="00F32158" w:rsidRPr="00D770AB" w:rsidRDefault="00F32158" w:rsidP="00F32158">
            <w:pPr>
              <w:widowControl w:val="0"/>
              <w:jc w:val="center"/>
              <w:rPr>
                <w:rFonts w:ascii="Times New Roman" w:hAnsi="Times New Roman"/>
                <w:sz w:val="22"/>
                <w:szCs w:val="22"/>
              </w:rPr>
            </w:pPr>
          </w:p>
        </w:tc>
        <w:tc>
          <w:tcPr>
            <w:tcW w:w="1178" w:type="dxa"/>
          </w:tcPr>
          <w:p w:rsidR="00F32158" w:rsidRPr="00D770AB" w:rsidRDefault="00F32158" w:rsidP="00F32158">
            <w:pPr>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8314,43</w:t>
            </w:r>
          </w:p>
          <w:p w:rsidR="00F32158" w:rsidRPr="00D770AB" w:rsidRDefault="00F32158" w:rsidP="00F32158">
            <w:pPr>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9004,02</w:t>
            </w:r>
          </w:p>
          <w:p w:rsidR="00F32158" w:rsidRPr="00D770AB" w:rsidRDefault="00F32158" w:rsidP="00F32158">
            <w:pPr>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7707,76</w:t>
            </w:r>
          </w:p>
          <w:p w:rsidR="00F32158" w:rsidRPr="00D770AB" w:rsidRDefault="00F32158" w:rsidP="00F32158">
            <w:pPr>
              <w:widowControl w:val="0"/>
              <w:jc w:val="center"/>
              <w:rPr>
                <w:rFonts w:ascii="Times New Roman" w:hAnsi="Times New Roman"/>
                <w:sz w:val="22"/>
                <w:szCs w:val="22"/>
              </w:rPr>
            </w:pPr>
          </w:p>
        </w:tc>
        <w:tc>
          <w:tcPr>
            <w:tcW w:w="1358" w:type="dxa"/>
          </w:tcPr>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6783,87</w:t>
            </w:r>
          </w:p>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7088,86</w:t>
            </w:r>
          </w:p>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6477,61</w:t>
            </w:r>
          </w:p>
          <w:p w:rsidR="00F32158" w:rsidRPr="00D770AB" w:rsidRDefault="00F32158" w:rsidP="00F32158">
            <w:pPr>
              <w:widowControl w:val="0"/>
              <w:jc w:val="center"/>
              <w:rPr>
                <w:rFonts w:ascii="Times New Roman" w:hAnsi="Times New Roman"/>
                <w:sz w:val="22"/>
                <w:szCs w:val="22"/>
              </w:rPr>
            </w:pPr>
          </w:p>
        </w:tc>
        <w:tc>
          <w:tcPr>
            <w:tcW w:w="1110" w:type="dxa"/>
          </w:tcPr>
          <w:p w:rsidR="00F32158" w:rsidRPr="00D770AB" w:rsidRDefault="00F32158" w:rsidP="00F32158">
            <w:pPr>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6941,08</w:t>
            </w:r>
          </w:p>
          <w:p w:rsidR="00F32158" w:rsidRPr="00D770AB" w:rsidRDefault="00F32158" w:rsidP="00F32158">
            <w:pPr>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7122,45</w:t>
            </w:r>
          </w:p>
          <w:p w:rsidR="00F32158" w:rsidRPr="00D770AB" w:rsidRDefault="00F32158" w:rsidP="00F32158">
            <w:pPr>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6775,15</w:t>
            </w:r>
          </w:p>
          <w:p w:rsidR="00F32158" w:rsidRPr="00D770AB" w:rsidRDefault="00F32158" w:rsidP="00F32158">
            <w:pPr>
              <w:widowControl w:val="0"/>
              <w:jc w:val="center"/>
              <w:rPr>
                <w:rFonts w:ascii="Times New Roman" w:hAnsi="Times New Roman"/>
                <w:sz w:val="22"/>
                <w:szCs w:val="22"/>
              </w:rPr>
            </w:pPr>
          </w:p>
        </w:tc>
        <w:tc>
          <w:tcPr>
            <w:tcW w:w="1092" w:type="dxa"/>
          </w:tcPr>
          <w:p w:rsidR="00F32158" w:rsidRPr="00D770AB" w:rsidRDefault="00F32158" w:rsidP="00F32158">
            <w:pPr>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5508,21</w:t>
            </w:r>
          </w:p>
          <w:p w:rsidR="00F32158" w:rsidRPr="00D770AB" w:rsidRDefault="00F32158" w:rsidP="00F32158">
            <w:pPr>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5663,73</w:t>
            </w:r>
          </w:p>
          <w:p w:rsidR="00F32158" w:rsidRPr="00D770AB" w:rsidRDefault="00F32158" w:rsidP="00F32158">
            <w:pPr>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5372,79</w:t>
            </w:r>
          </w:p>
          <w:p w:rsidR="00F32158" w:rsidRPr="00D770AB" w:rsidRDefault="00F32158" w:rsidP="00F32158">
            <w:pPr>
              <w:widowControl w:val="0"/>
              <w:jc w:val="center"/>
              <w:rPr>
                <w:rFonts w:ascii="Times New Roman" w:hAnsi="Times New Roman"/>
                <w:sz w:val="22"/>
                <w:szCs w:val="22"/>
              </w:rPr>
            </w:pPr>
          </w:p>
        </w:tc>
        <w:tc>
          <w:tcPr>
            <w:tcW w:w="1062" w:type="dxa"/>
          </w:tcPr>
          <w:p w:rsidR="00F32158" w:rsidRPr="00D770AB" w:rsidRDefault="00F32158" w:rsidP="00F32158">
            <w:pPr>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12358,21</w:t>
            </w:r>
          </w:p>
          <w:p w:rsidR="00F32158" w:rsidRPr="00D770AB" w:rsidRDefault="00F32158" w:rsidP="00F32158">
            <w:pPr>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12504,05</w:t>
            </w:r>
          </w:p>
          <w:p w:rsidR="00F32158" w:rsidRPr="00D770AB" w:rsidRDefault="00F32158" w:rsidP="00F32158">
            <w:pPr>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12208,86</w:t>
            </w:r>
          </w:p>
          <w:p w:rsidR="00F32158" w:rsidRPr="00D770AB" w:rsidRDefault="00F32158" w:rsidP="00F32158">
            <w:pPr>
              <w:widowControl w:val="0"/>
              <w:jc w:val="center"/>
              <w:rPr>
                <w:rFonts w:ascii="Times New Roman" w:hAnsi="Times New Roman"/>
                <w:sz w:val="22"/>
                <w:szCs w:val="22"/>
              </w:rPr>
            </w:pPr>
          </w:p>
        </w:tc>
        <w:tc>
          <w:tcPr>
            <w:tcW w:w="1317" w:type="dxa"/>
          </w:tcPr>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16463,13</w:t>
            </w:r>
          </w:p>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18060,00</w:t>
            </w:r>
          </w:p>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14803,29</w:t>
            </w:r>
          </w:p>
          <w:p w:rsidR="00F32158" w:rsidRPr="00D770AB" w:rsidRDefault="00F32158" w:rsidP="00F32158">
            <w:pPr>
              <w:widowControl w:val="0"/>
              <w:jc w:val="center"/>
              <w:rPr>
                <w:rFonts w:ascii="Times New Roman" w:hAnsi="Times New Roman"/>
                <w:sz w:val="22"/>
                <w:szCs w:val="22"/>
                <w:highlight w:val="yellow"/>
              </w:rPr>
            </w:pPr>
          </w:p>
        </w:tc>
      </w:tr>
      <w:tr w:rsidR="00F32158" w:rsidRPr="00D770AB" w:rsidTr="00D770AB">
        <w:trPr>
          <w:jc w:val="center"/>
        </w:trPr>
        <w:tc>
          <w:tcPr>
            <w:tcW w:w="1002" w:type="dxa"/>
          </w:tcPr>
          <w:p w:rsidR="00F32158" w:rsidRPr="00D770AB" w:rsidRDefault="00F32158" w:rsidP="00F32158">
            <w:pPr>
              <w:widowControl w:val="0"/>
              <w:jc w:val="center"/>
              <w:rPr>
                <w:rFonts w:ascii="Times New Roman" w:hAnsi="Times New Roman"/>
                <w:sz w:val="22"/>
                <w:szCs w:val="22"/>
              </w:rPr>
            </w:pPr>
            <w:r w:rsidRPr="00D770AB">
              <w:rPr>
                <w:rFonts w:ascii="Times New Roman" w:hAnsi="Times New Roman"/>
                <w:sz w:val="22"/>
                <w:szCs w:val="22"/>
              </w:rPr>
              <w:t>2017</w:t>
            </w:r>
          </w:p>
        </w:tc>
        <w:tc>
          <w:tcPr>
            <w:tcW w:w="1232" w:type="dxa"/>
          </w:tcPr>
          <w:p w:rsidR="00F32158" w:rsidRPr="00D770AB" w:rsidRDefault="00F32158" w:rsidP="00F32158">
            <w:pPr>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7554,65</w:t>
            </w:r>
          </w:p>
          <w:p w:rsidR="00F32158" w:rsidRPr="00D770AB" w:rsidRDefault="00F32158" w:rsidP="00F32158">
            <w:pPr>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8728,98</w:t>
            </w:r>
          </w:p>
          <w:p w:rsidR="00F32158" w:rsidRPr="00D770AB" w:rsidRDefault="00F32158" w:rsidP="00F32158">
            <w:pPr>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6542,16</w:t>
            </w:r>
          </w:p>
          <w:p w:rsidR="00F32158" w:rsidRPr="00D770AB" w:rsidRDefault="00F32158" w:rsidP="00F32158">
            <w:pPr>
              <w:widowControl w:val="0"/>
              <w:jc w:val="center"/>
              <w:rPr>
                <w:rFonts w:ascii="Times New Roman" w:hAnsi="Times New Roman"/>
                <w:sz w:val="22"/>
                <w:szCs w:val="22"/>
              </w:rPr>
            </w:pPr>
          </w:p>
        </w:tc>
        <w:tc>
          <w:tcPr>
            <w:tcW w:w="1404" w:type="dxa"/>
          </w:tcPr>
          <w:p w:rsidR="00F32158" w:rsidRPr="00D770AB" w:rsidRDefault="00F32158" w:rsidP="00F32158">
            <w:pPr>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10677,73</w:t>
            </w:r>
          </w:p>
          <w:p w:rsidR="00F32158" w:rsidRPr="00D770AB" w:rsidRDefault="00F32158" w:rsidP="00F32158">
            <w:pPr>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12252,25</w:t>
            </w:r>
          </w:p>
          <w:p w:rsidR="00F32158" w:rsidRPr="00D770AB" w:rsidRDefault="00F32158" w:rsidP="00F32158">
            <w:pPr>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9307,00</w:t>
            </w:r>
          </w:p>
          <w:p w:rsidR="00F32158" w:rsidRPr="00D770AB" w:rsidRDefault="00F32158" w:rsidP="00F32158">
            <w:pPr>
              <w:widowControl w:val="0"/>
              <w:jc w:val="center"/>
              <w:rPr>
                <w:rFonts w:ascii="Times New Roman" w:hAnsi="Times New Roman"/>
                <w:sz w:val="22"/>
                <w:szCs w:val="22"/>
              </w:rPr>
            </w:pPr>
          </w:p>
        </w:tc>
        <w:tc>
          <w:tcPr>
            <w:tcW w:w="1178" w:type="dxa"/>
          </w:tcPr>
          <w:p w:rsidR="00F32158" w:rsidRPr="00D770AB" w:rsidRDefault="00F32158" w:rsidP="00F32158">
            <w:pPr>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7525,03</w:t>
            </w:r>
          </w:p>
          <w:p w:rsidR="00F32158" w:rsidRPr="00D770AB" w:rsidRDefault="00F32158" w:rsidP="00F32158">
            <w:pPr>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8232,79</w:t>
            </w:r>
          </w:p>
          <w:p w:rsidR="00F32158" w:rsidRPr="00D770AB" w:rsidRDefault="00F32158" w:rsidP="00F32158">
            <w:pPr>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6831,74</w:t>
            </w:r>
          </w:p>
          <w:p w:rsidR="00F32158" w:rsidRPr="00D770AB" w:rsidRDefault="00F32158" w:rsidP="00F32158">
            <w:pPr>
              <w:widowControl w:val="0"/>
              <w:jc w:val="center"/>
              <w:rPr>
                <w:rFonts w:ascii="Times New Roman" w:hAnsi="Times New Roman"/>
                <w:sz w:val="22"/>
                <w:szCs w:val="22"/>
              </w:rPr>
            </w:pPr>
          </w:p>
        </w:tc>
        <w:tc>
          <w:tcPr>
            <w:tcW w:w="1358" w:type="dxa"/>
          </w:tcPr>
          <w:p w:rsidR="00F32158" w:rsidRPr="00D770AB" w:rsidRDefault="00F32158" w:rsidP="00F32158">
            <w:pPr>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6112,96</w:t>
            </w:r>
          </w:p>
          <w:p w:rsidR="00F32158" w:rsidRPr="00D770AB" w:rsidRDefault="00F32158" w:rsidP="00F32158">
            <w:pPr>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6550,73</w:t>
            </w:r>
          </w:p>
          <w:p w:rsidR="00F32158" w:rsidRPr="00D770AB" w:rsidRDefault="00F32158" w:rsidP="00F32158">
            <w:pPr>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5710,59</w:t>
            </w:r>
          </w:p>
          <w:p w:rsidR="00F32158" w:rsidRPr="00D770AB" w:rsidRDefault="00F32158" w:rsidP="00F32158">
            <w:pPr>
              <w:widowControl w:val="0"/>
              <w:jc w:val="center"/>
              <w:rPr>
                <w:rFonts w:ascii="Times New Roman" w:hAnsi="Times New Roman"/>
                <w:sz w:val="22"/>
                <w:szCs w:val="22"/>
              </w:rPr>
            </w:pPr>
          </w:p>
        </w:tc>
        <w:tc>
          <w:tcPr>
            <w:tcW w:w="1110" w:type="dxa"/>
          </w:tcPr>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6557,74</w:t>
            </w:r>
          </w:p>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6897,86</w:t>
            </w:r>
          </w:p>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6247,29</w:t>
            </w:r>
          </w:p>
          <w:p w:rsidR="00F32158" w:rsidRPr="00D770AB" w:rsidRDefault="00F32158" w:rsidP="00F32158">
            <w:pPr>
              <w:widowControl w:val="0"/>
              <w:jc w:val="center"/>
              <w:rPr>
                <w:rFonts w:ascii="Times New Roman" w:hAnsi="Times New Roman"/>
                <w:sz w:val="22"/>
                <w:szCs w:val="22"/>
              </w:rPr>
            </w:pPr>
          </w:p>
        </w:tc>
        <w:tc>
          <w:tcPr>
            <w:tcW w:w="1092" w:type="dxa"/>
          </w:tcPr>
          <w:p w:rsidR="00F32158" w:rsidRPr="00D770AB" w:rsidRDefault="00F32158" w:rsidP="00F32158">
            <w:pPr>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5303,29</w:t>
            </w:r>
          </w:p>
          <w:p w:rsidR="00F32158" w:rsidRPr="00D770AB" w:rsidRDefault="00F32158" w:rsidP="00F32158">
            <w:pPr>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5542,87</w:t>
            </w:r>
          </w:p>
          <w:p w:rsidR="00F32158" w:rsidRPr="00D770AB" w:rsidRDefault="00F32158" w:rsidP="00F32158">
            <w:pPr>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5079,25</w:t>
            </w:r>
          </w:p>
          <w:p w:rsidR="00F32158" w:rsidRPr="00D770AB" w:rsidRDefault="00F32158" w:rsidP="00F32158">
            <w:pPr>
              <w:widowControl w:val="0"/>
              <w:jc w:val="center"/>
              <w:rPr>
                <w:rFonts w:ascii="Times New Roman" w:hAnsi="Times New Roman"/>
                <w:sz w:val="22"/>
                <w:szCs w:val="22"/>
              </w:rPr>
            </w:pPr>
          </w:p>
        </w:tc>
        <w:tc>
          <w:tcPr>
            <w:tcW w:w="1062" w:type="dxa"/>
          </w:tcPr>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12011,72</w:t>
            </w:r>
          </w:p>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12205,48</w:t>
            </w:r>
          </w:p>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11810,67</w:t>
            </w:r>
          </w:p>
          <w:p w:rsidR="00F32158" w:rsidRPr="00D770AB" w:rsidRDefault="00F32158" w:rsidP="00F32158">
            <w:pPr>
              <w:widowControl w:val="0"/>
              <w:jc w:val="center"/>
              <w:rPr>
                <w:rFonts w:ascii="Times New Roman" w:hAnsi="Times New Roman"/>
                <w:sz w:val="22"/>
                <w:szCs w:val="22"/>
              </w:rPr>
            </w:pPr>
          </w:p>
        </w:tc>
        <w:tc>
          <w:tcPr>
            <w:tcW w:w="1317" w:type="dxa"/>
          </w:tcPr>
          <w:p w:rsidR="00F32158" w:rsidRPr="00D770AB" w:rsidRDefault="00F32158" w:rsidP="00F32158">
            <w:pPr>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15588,38</w:t>
            </w:r>
          </w:p>
          <w:p w:rsidR="00F32158" w:rsidRPr="00D770AB" w:rsidRDefault="00F32158" w:rsidP="00F32158">
            <w:pPr>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17547,85</w:t>
            </w:r>
          </w:p>
          <w:p w:rsidR="00F32158" w:rsidRPr="00D770AB" w:rsidRDefault="00F32158" w:rsidP="00F32158">
            <w:pPr>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13551,00</w:t>
            </w:r>
          </w:p>
          <w:p w:rsidR="00F32158" w:rsidRPr="00D770AB" w:rsidRDefault="00F32158" w:rsidP="00F32158">
            <w:pPr>
              <w:widowControl w:val="0"/>
              <w:jc w:val="center"/>
              <w:rPr>
                <w:rFonts w:ascii="Times New Roman" w:hAnsi="Times New Roman"/>
                <w:sz w:val="22"/>
                <w:szCs w:val="22"/>
                <w:highlight w:val="yellow"/>
              </w:rPr>
            </w:pPr>
          </w:p>
        </w:tc>
      </w:tr>
      <w:tr w:rsidR="00F32158" w:rsidRPr="00D770AB" w:rsidTr="00D770AB">
        <w:trPr>
          <w:jc w:val="center"/>
        </w:trPr>
        <w:tc>
          <w:tcPr>
            <w:tcW w:w="1002" w:type="dxa"/>
          </w:tcPr>
          <w:p w:rsidR="00F32158" w:rsidRPr="00D770AB" w:rsidRDefault="00F32158" w:rsidP="00F32158">
            <w:pPr>
              <w:widowControl w:val="0"/>
              <w:jc w:val="center"/>
              <w:rPr>
                <w:rFonts w:ascii="Times New Roman" w:hAnsi="Times New Roman"/>
                <w:sz w:val="22"/>
                <w:szCs w:val="22"/>
              </w:rPr>
            </w:pPr>
            <w:r w:rsidRPr="00D770AB">
              <w:rPr>
                <w:rFonts w:ascii="Times New Roman" w:hAnsi="Times New Roman"/>
                <w:sz w:val="22"/>
                <w:szCs w:val="22"/>
              </w:rPr>
              <w:t>2018</w:t>
            </w:r>
          </w:p>
        </w:tc>
        <w:tc>
          <w:tcPr>
            <w:tcW w:w="1232" w:type="dxa"/>
          </w:tcPr>
          <w:p w:rsidR="00F32158" w:rsidRPr="00D770AB" w:rsidRDefault="00F32158" w:rsidP="00F32158">
            <w:pPr>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7080,65</w:t>
            </w:r>
          </w:p>
          <w:p w:rsidR="00F32158" w:rsidRPr="00D770AB" w:rsidRDefault="00F32158" w:rsidP="00F32158">
            <w:pPr>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8832,08</w:t>
            </w:r>
          </w:p>
          <w:p w:rsidR="00F32158" w:rsidRPr="00D770AB" w:rsidRDefault="00F32158" w:rsidP="00F32158">
            <w:pPr>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5577,42</w:t>
            </w:r>
          </w:p>
          <w:p w:rsidR="00F32158" w:rsidRPr="00D770AB" w:rsidRDefault="00F32158" w:rsidP="00F32158">
            <w:pPr>
              <w:widowControl w:val="0"/>
              <w:jc w:val="center"/>
              <w:rPr>
                <w:rFonts w:ascii="Times New Roman" w:hAnsi="Times New Roman"/>
                <w:sz w:val="22"/>
                <w:szCs w:val="22"/>
              </w:rPr>
            </w:pPr>
          </w:p>
        </w:tc>
        <w:tc>
          <w:tcPr>
            <w:tcW w:w="1404" w:type="dxa"/>
          </w:tcPr>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10013,16</w:t>
            </w:r>
          </w:p>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12165,46</w:t>
            </w:r>
          </w:p>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8177,33</w:t>
            </w:r>
          </w:p>
          <w:p w:rsidR="00F32158" w:rsidRPr="00D770AB" w:rsidRDefault="00F32158" w:rsidP="00F32158">
            <w:pPr>
              <w:widowControl w:val="0"/>
              <w:jc w:val="center"/>
              <w:rPr>
                <w:rFonts w:ascii="Times New Roman" w:hAnsi="Times New Roman"/>
                <w:sz w:val="22"/>
                <w:szCs w:val="22"/>
              </w:rPr>
            </w:pPr>
          </w:p>
        </w:tc>
        <w:tc>
          <w:tcPr>
            <w:tcW w:w="1178" w:type="dxa"/>
          </w:tcPr>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7118,53</w:t>
            </w:r>
          </w:p>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8432,22</w:t>
            </w:r>
          </w:p>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5941,94</w:t>
            </w:r>
          </w:p>
          <w:p w:rsidR="00F32158" w:rsidRPr="00D770AB" w:rsidRDefault="00F32158" w:rsidP="00F32158">
            <w:pPr>
              <w:widowControl w:val="0"/>
              <w:jc w:val="center"/>
              <w:rPr>
                <w:rFonts w:ascii="Times New Roman" w:hAnsi="Times New Roman"/>
                <w:sz w:val="22"/>
                <w:szCs w:val="22"/>
              </w:rPr>
            </w:pPr>
          </w:p>
        </w:tc>
        <w:tc>
          <w:tcPr>
            <w:tcW w:w="1358" w:type="dxa"/>
          </w:tcPr>
          <w:p w:rsidR="00F32158" w:rsidRPr="00D770AB" w:rsidRDefault="00F32158" w:rsidP="00F32158">
            <w:pPr>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5791,63</w:t>
            </w:r>
          </w:p>
          <w:p w:rsidR="00F32158" w:rsidRPr="00D770AB" w:rsidRDefault="00F32158" w:rsidP="00F32158">
            <w:pPr>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6291,11</w:t>
            </w:r>
          </w:p>
          <w:p w:rsidR="00F32158" w:rsidRPr="00D770AB" w:rsidRDefault="00F32158" w:rsidP="00F32158">
            <w:pPr>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5327,01</w:t>
            </w:r>
          </w:p>
          <w:p w:rsidR="00F32158" w:rsidRPr="00D770AB" w:rsidRDefault="00F32158" w:rsidP="00F32158">
            <w:pPr>
              <w:widowControl w:val="0"/>
              <w:jc w:val="center"/>
              <w:rPr>
                <w:rFonts w:ascii="Times New Roman" w:hAnsi="Times New Roman"/>
                <w:sz w:val="22"/>
                <w:szCs w:val="22"/>
              </w:rPr>
            </w:pPr>
          </w:p>
        </w:tc>
        <w:tc>
          <w:tcPr>
            <w:tcW w:w="1110" w:type="dxa"/>
          </w:tcPr>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6392,08</w:t>
            </w:r>
          </w:p>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6992,55</w:t>
            </w:r>
          </w:p>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5855,09</w:t>
            </w:r>
          </w:p>
          <w:p w:rsidR="00F32158" w:rsidRPr="00D770AB" w:rsidRDefault="00F32158" w:rsidP="00F32158">
            <w:pPr>
              <w:widowControl w:val="0"/>
              <w:jc w:val="center"/>
              <w:rPr>
                <w:rFonts w:ascii="Times New Roman" w:hAnsi="Times New Roman"/>
                <w:sz w:val="22"/>
                <w:szCs w:val="22"/>
              </w:rPr>
            </w:pPr>
          </w:p>
        </w:tc>
        <w:tc>
          <w:tcPr>
            <w:tcW w:w="1092" w:type="dxa"/>
          </w:tcPr>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5108,82</w:t>
            </w:r>
          </w:p>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5586,01</w:t>
            </w:r>
          </w:p>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4705,72</w:t>
            </w:r>
          </w:p>
          <w:p w:rsidR="00F32158" w:rsidRPr="00D770AB" w:rsidRDefault="00F32158" w:rsidP="00F32158">
            <w:pPr>
              <w:widowControl w:val="0"/>
              <w:jc w:val="center"/>
              <w:rPr>
                <w:rFonts w:ascii="Times New Roman" w:hAnsi="Times New Roman"/>
                <w:sz w:val="22"/>
                <w:szCs w:val="22"/>
              </w:rPr>
            </w:pPr>
          </w:p>
        </w:tc>
        <w:tc>
          <w:tcPr>
            <w:tcW w:w="1062" w:type="dxa"/>
          </w:tcPr>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11646,23</w:t>
            </w:r>
          </w:p>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12205,06</w:t>
            </w:r>
          </w:p>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11090,77</w:t>
            </w:r>
          </w:p>
          <w:p w:rsidR="00F32158" w:rsidRPr="00D770AB" w:rsidRDefault="00F32158" w:rsidP="00F32158">
            <w:pPr>
              <w:widowControl w:val="0"/>
              <w:jc w:val="center"/>
              <w:rPr>
                <w:rFonts w:ascii="Times New Roman" w:hAnsi="Times New Roman"/>
                <w:sz w:val="22"/>
                <w:szCs w:val="22"/>
              </w:rPr>
            </w:pPr>
          </w:p>
        </w:tc>
        <w:tc>
          <w:tcPr>
            <w:tcW w:w="1317" w:type="dxa"/>
          </w:tcPr>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14997,16</w:t>
            </w:r>
          </w:p>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17631,75</w:t>
            </w:r>
          </w:p>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12723,40</w:t>
            </w:r>
          </w:p>
          <w:p w:rsidR="00F32158" w:rsidRPr="00D770AB" w:rsidRDefault="00F32158" w:rsidP="00F32158">
            <w:pPr>
              <w:widowControl w:val="0"/>
              <w:jc w:val="center"/>
              <w:rPr>
                <w:rFonts w:ascii="Times New Roman" w:hAnsi="Times New Roman"/>
                <w:sz w:val="22"/>
                <w:szCs w:val="22"/>
                <w:highlight w:val="yellow"/>
              </w:rPr>
            </w:pPr>
          </w:p>
        </w:tc>
      </w:tr>
      <w:tr w:rsidR="00F32158" w:rsidRPr="00D770AB" w:rsidTr="00D770AB">
        <w:trPr>
          <w:jc w:val="center"/>
        </w:trPr>
        <w:tc>
          <w:tcPr>
            <w:tcW w:w="1002" w:type="dxa"/>
          </w:tcPr>
          <w:p w:rsidR="00F32158" w:rsidRPr="00D770AB" w:rsidRDefault="00F32158" w:rsidP="00F32158">
            <w:pPr>
              <w:widowControl w:val="0"/>
              <w:jc w:val="center"/>
              <w:rPr>
                <w:rFonts w:ascii="Times New Roman" w:hAnsi="Times New Roman"/>
                <w:sz w:val="22"/>
                <w:szCs w:val="22"/>
              </w:rPr>
            </w:pPr>
            <w:r w:rsidRPr="00D770AB">
              <w:rPr>
                <w:rFonts w:ascii="Times New Roman" w:hAnsi="Times New Roman"/>
                <w:sz w:val="22"/>
                <w:szCs w:val="22"/>
              </w:rPr>
              <w:t>2019</w:t>
            </w:r>
          </w:p>
        </w:tc>
        <w:tc>
          <w:tcPr>
            <w:tcW w:w="1232" w:type="dxa"/>
          </w:tcPr>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6589,77</w:t>
            </w:r>
          </w:p>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8716,03</w:t>
            </w:r>
          </w:p>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4957,34</w:t>
            </w:r>
          </w:p>
          <w:p w:rsidR="00F32158" w:rsidRPr="00D770AB" w:rsidRDefault="00F32158" w:rsidP="00F32158">
            <w:pPr>
              <w:widowControl w:val="0"/>
              <w:jc w:val="center"/>
              <w:rPr>
                <w:rFonts w:ascii="Times New Roman" w:hAnsi="Times New Roman"/>
                <w:sz w:val="22"/>
                <w:szCs w:val="22"/>
              </w:rPr>
            </w:pPr>
          </w:p>
        </w:tc>
        <w:tc>
          <w:tcPr>
            <w:tcW w:w="1404" w:type="dxa"/>
          </w:tcPr>
          <w:p w:rsidR="00F32158" w:rsidRPr="00D770AB" w:rsidRDefault="00F32158" w:rsidP="00F32158">
            <w:pPr>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9312,31</w:t>
            </w:r>
          </w:p>
          <w:p w:rsidR="00F32158" w:rsidRPr="00D770AB" w:rsidRDefault="00F32158" w:rsidP="00F32158">
            <w:pPr>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12047,46</w:t>
            </w:r>
          </w:p>
          <w:p w:rsidR="00F32158" w:rsidRPr="00D770AB" w:rsidRDefault="00F32158" w:rsidP="00F32158">
            <w:pPr>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7162,44</w:t>
            </w:r>
          </w:p>
          <w:p w:rsidR="00F32158" w:rsidRPr="00D770AB" w:rsidRDefault="00F32158" w:rsidP="00F32158">
            <w:pPr>
              <w:widowControl w:val="0"/>
              <w:jc w:val="center"/>
              <w:rPr>
                <w:rFonts w:ascii="Times New Roman" w:hAnsi="Times New Roman"/>
                <w:sz w:val="22"/>
                <w:szCs w:val="22"/>
              </w:rPr>
            </w:pPr>
          </w:p>
        </w:tc>
        <w:tc>
          <w:tcPr>
            <w:tcW w:w="1178" w:type="dxa"/>
          </w:tcPr>
          <w:p w:rsidR="00F32158" w:rsidRPr="00D770AB" w:rsidRDefault="00F32158" w:rsidP="00F32158">
            <w:pPr>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6728,88</w:t>
            </w:r>
          </w:p>
          <w:p w:rsidR="00F32158" w:rsidRPr="00D770AB" w:rsidRDefault="00F32158" w:rsidP="00F32158">
            <w:pPr>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8589,86</w:t>
            </w:r>
          </w:p>
          <w:p w:rsidR="00F32158" w:rsidRPr="00D770AB" w:rsidRDefault="00F32158" w:rsidP="00F32158">
            <w:pPr>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5248,39</w:t>
            </w:r>
          </w:p>
          <w:p w:rsidR="00F32158" w:rsidRPr="00D770AB" w:rsidRDefault="00F32158" w:rsidP="00F32158">
            <w:pPr>
              <w:widowControl w:val="0"/>
              <w:jc w:val="center"/>
              <w:rPr>
                <w:rFonts w:ascii="Times New Roman" w:hAnsi="Times New Roman"/>
                <w:sz w:val="22"/>
                <w:szCs w:val="22"/>
              </w:rPr>
            </w:pPr>
          </w:p>
        </w:tc>
        <w:tc>
          <w:tcPr>
            <w:tcW w:w="1358" w:type="dxa"/>
          </w:tcPr>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5520,86</w:t>
            </w:r>
          </w:p>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5998,54</w:t>
            </w:r>
          </w:p>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5058,93</w:t>
            </w:r>
          </w:p>
          <w:p w:rsidR="00F32158" w:rsidRPr="00D770AB" w:rsidRDefault="00F32158" w:rsidP="00F32158">
            <w:pPr>
              <w:widowControl w:val="0"/>
              <w:jc w:val="center"/>
              <w:rPr>
                <w:rFonts w:ascii="Times New Roman" w:hAnsi="Times New Roman"/>
                <w:sz w:val="22"/>
                <w:szCs w:val="22"/>
              </w:rPr>
            </w:pPr>
          </w:p>
        </w:tc>
        <w:tc>
          <w:tcPr>
            <w:tcW w:w="1110" w:type="dxa"/>
          </w:tcPr>
          <w:p w:rsidR="00F32158" w:rsidRPr="00D770AB" w:rsidRDefault="00F32158" w:rsidP="00F32158">
            <w:pPr>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6285,01</w:t>
            </w:r>
          </w:p>
          <w:p w:rsidR="00F32158" w:rsidRPr="00D770AB" w:rsidRDefault="00F32158" w:rsidP="00F32158">
            <w:pPr>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7161,80</w:t>
            </w:r>
          </w:p>
          <w:p w:rsidR="00F32158" w:rsidRPr="00D770AB" w:rsidRDefault="00F32158" w:rsidP="00F32158">
            <w:pPr>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5520,49</w:t>
            </w:r>
          </w:p>
          <w:p w:rsidR="00F32158" w:rsidRPr="00D770AB" w:rsidRDefault="00F32158" w:rsidP="00F32158">
            <w:pPr>
              <w:widowControl w:val="0"/>
              <w:jc w:val="center"/>
              <w:rPr>
                <w:rFonts w:ascii="Times New Roman" w:hAnsi="Times New Roman"/>
                <w:sz w:val="22"/>
                <w:szCs w:val="22"/>
              </w:rPr>
            </w:pPr>
          </w:p>
        </w:tc>
        <w:tc>
          <w:tcPr>
            <w:tcW w:w="1092" w:type="dxa"/>
          </w:tcPr>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4938,65</w:t>
            </w:r>
          </w:p>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5653,11</w:t>
            </w:r>
          </w:p>
          <w:p w:rsidR="00F32158" w:rsidRPr="00D770AB" w:rsidRDefault="00F32158" w:rsidP="00F32158">
            <w:pPr>
              <w:shd w:val="clear" w:color="auto" w:fill="FFFFFF"/>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4360,38</w:t>
            </w:r>
          </w:p>
          <w:p w:rsidR="00F32158" w:rsidRPr="00D770AB" w:rsidRDefault="00F32158" w:rsidP="00F32158">
            <w:pPr>
              <w:widowControl w:val="0"/>
              <w:jc w:val="center"/>
              <w:rPr>
                <w:rFonts w:ascii="Times New Roman" w:hAnsi="Times New Roman"/>
                <w:sz w:val="22"/>
                <w:szCs w:val="22"/>
              </w:rPr>
            </w:pPr>
          </w:p>
        </w:tc>
        <w:tc>
          <w:tcPr>
            <w:tcW w:w="1062" w:type="dxa"/>
          </w:tcPr>
          <w:p w:rsidR="00F32158" w:rsidRPr="00D770AB" w:rsidRDefault="00F32158" w:rsidP="00F32158">
            <w:pPr>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11467,48</w:t>
            </w:r>
          </w:p>
          <w:p w:rsidR="00F32158" w:rsidRPr="00D770AB" w:rsidRDefault="00F32158" w:rsidP="00F32158">
            <w:pPr>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12382,74</w:t>
            </w:r>
          </w:p>
          <w:p w:rsidR="00F32158" w:rsidRPr="00D770AB" w:rsidRDefault="00F32158" w:rsidP="00F32158">
            <w:pPr>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10645,80</w:t>
            </w:r>
          </w:p>
          <w:p w:rsidR="00F32158" w:rsidRPr="00D770AB" w:rsidRDefault="00F32158" w:rsidP="00F32158">
            <w:pPr>
              <w:widowControl w:val="0"/>
              <w:jc w:val="center"/>
              <w:rPr>
                <w:rFonts w:ascii="Times New Roman" w:hAnsi="Times New Roman"/>
                <w:sz w:val="22"/>
                <w:szCs w:val="22"/>
              </w:rPr>
            </w:pPr>
          </w:p>
        </w:tc>
        <w:tc>
          <w:tcPr>
            <w:tcW w:w="1317" w:type="dxa"/>
          </w:tcPr>
          <w:p w:rsidR="00F32158" w:rsidRPr="00D770AB" w:rsidRDefault="00F32158" w:rsidP="00F32158">
            <w:pPr>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14391,70</w:t>
            </w:r>
          </w:p>
          <w:p w:rsidR="00F32158" w:rsidRPr="00D770AB" w:rsidRDefault="00F32158" w:rsidP="00F32158">
            <w:pPr>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17504,98</w:t>
            </w:r>
          </w:p>
          <w:p w:rsidR="00F32158" w:rsidRPr="00D770AB" w:rsidRDefault="00F32158" w:rsidP="00F32158">
            <w:pPr>
              <w:jc w:val="right"/>
              <w:rPr>
                <w:rFonts w:ascii="Times New Roman" w:hAnsi="Times New Roman"/>
                <w:color w:val="454545"/>
                <w:sz w:val="22"/>
                <w:szCs w:val="22"/>
                <w:lang w:val="en-US"/>
              </w:rPr>
            </w:pPr>
            <w:r w:rsidRPr="00D770AB">
              <w:rPr>
                <w:rFonts w:ascii="Times New Roman" w:hAnsi="Times New Roman"/>
                <w:color w:val="454545"/>
                <w:sz w:val="22"/>
                <w:szCs w:val="22"/>
                <w:lang w:val="en-US"/>
              </w:rPr>
              <w:t>11994,45</w:t>
            </w:r>
          </w:p>
          <w:p w:rsidR="00F32158" w:rsidRPr="00D770AB" w:rsidRDefault="00F32158" w:rsidP="00F32158">
            <w:pPr>
              <w:widowControl w:val="0"/>
              <w:jc w:val="center"/>
              <w:rPr>
                <w:rFonts w:ascii="Times New Roman" w:hAnsi="Times New Roman"/>
                <w:sz w:val="22"/>
                <w:szCs w:val="22"/>
                <w:highlight w:val="yellow"/>
              </w:rPr>
            </w:pPr>
          </w:p>
        </w:tc>
      </w:tr>
    </w:tbl>
    <w:p w:rsidR="00454EBD" w:rsidRDefault="00454EBD" w:rsidP="002F71DC">
      <w:pPr>
        <w:tabs>
          <w:tab w:val="left" w:pos="8133"/>
        </w:tabs>
        <w:spacing w:after="200" w:line="276" w:lineRule="auto"/>
        <w:rPr>
          <w:rFonts w:eastAsia="Calibri"/>
          <w:szCs w:val="28"/>
        </w:rPr>
      </w:pPr>
    </w:p>
    <w:p w:rsidR="00F32158" w:rsidRPr="00F32158" w:rsidRDefault="00D32C4B" w:rsidP="00D13BF8">
      <w:pPr>
        <w:pageBreakBefore/>
        <w:tabs>
          <w:tab w:val="left" w:pos="8133"/>
        </w:tabs>
        <w:spacing w:after="200" w:line="276" w:lineRule="auto"/>
        <w:jc w:val="right"/>
        <w:rPr>
          <w:rFonts w:eastAsia="Calibri"/>
          <w:szCs w:val="28"/>
        </w:rPr>
      </w:pPr>
      <w:r>
        <w:rPr>
          <w:rFonts w:eastAsia="Calibri"/>
          <w:szCs w:val="28"/>
        </w:rPr>
        <w:lastRenderedPageBreak/>
        <w:t>Додаток Б</w:t>
      </w:r>
      <w:r w:rsidR="00F32158" w:rsidRPr="00F32158">
        <w:rPr>
          <w:rFonts w:eastAsia="Calibri"/>
          <w:szCs w:val="28"/>
        </w:rPr>
        <w:t>-20</w:t>
      </w:r>
    </w:p>
    <w:p w:rsidR="00F32158" w:rsidRPr="00F32158" w:rsidRDefault="00F32158" w:rsidP="00F32158">
      <w:pPr>
        <w:spacing w:after="160" w:line="259" w:lineRule="auto"/>
        <w:jc w:val="center"/>
        <w:rPr>
          <w:rFonts w:eastAsia="Calibri"/>
          <w:b/>
          <w:szCs w:val="28"/>
        </w:rPr>
      </w:pPr>
      <w:r w:rsidRPr="00F32158">
        <w:rPr>
          <w:rFonts w:eastAsia="Calibri"/>
          <w:b/>
          <w:szCs w:val="28"/>
        </w:rPr>
        <w:t>Динаміка показника DALYs  (на 100 тис. осіб відповідного віку) у випадку дитячої смертності до 1-го року життя (тягар хвороб)</w:t>
      </w:r>
    </w:p>
    <w:tbl>
      <w:tblPr>
        <w:tblStyle w:val="1061"/>
        <w:tblW w:w="0" w:type="auto"/>
        <w:jc w:val="center"/>
        <w:tblLook w:val="04A0" w:firstRow="1" w:lastRow="0" w:firstColumn="1" w:lastColumn="0" w:noHBand="0" w:noVBand="1"/>
      </w:tblPr>
      <w:tblGrid>
        <w:gridCol w:w="959"/>
        <w:gridCol w:w="2693"/>
        <w:gridCol w:w="2977"/>
        <w:gridCol w:w="2942"/>
      </w:tblGrid>
      <w:tr w:rsidR="00F32158" w:rsidRPr="000B1EFA" w:rsidTr="00BF1F99">
        <w:trPr>
          <w:jc w:val="center"/>
        </w:trPr>
        <w:tc>
          <w:tcPr>
            <w:tcW w:w="959" w:type="dxa"/>
          </w:tcPr>
          <w:p w:rsidR="00F32158" w:rsidRPr="000B1EFA" w:rsidRDefault="00F32158" w:rsidP="00FD76DB">
            <w:pPr>
              <w:jc w:val="center"/>
              <w:rPr>
                <w:rFonts w:eastAsia="Calibri"/>
                <w:sz w:val="24"/>
                <w:szCs w:val="24"/>
              </w:rPr>
            </w:pPr>
            <w:r w:rsidRPr="000B1EFA">
              <w:rPr>
                <w:rFonts w:eastAsia="Calibri"/>
                <w:sz w:val="24"/>
                <w:szCs w:val="24"/>
              </w:rPr>
              <w:t>Рік</w:t>
            </w:r>
          </w:p>
        </w:tc>
        <w:tc>
          <w:tcPr>
            <w:tcW w:w="2693" w:type="dxa"/>
          </w:tcPr>
          <w:p w:rsidR="00F32158" w:rsidRPr="000B1EFA" w:rsidRDefault="00F32158" w:rsidP="00FD76DB">
            <w:pPr>
              <w:jc w:val="center"/>
              <w:rPr>
                <w:rFonts w:eastAsia="Calibri"/>
                <w:sz w:val="24"/>
                <w:szCs w:val="24"/>
              </w:rPr>
            </w:pPr>
            <w:r w:rsidRPr="000B1EFA">
              <w:rPr>
                <w:rFonts w:eastAsia="Calibri"/>
                <w:sz w:val="24"/>
                <w:szCs w:val="24"/>
              </w:rPr>
              <w:t>Обидві статі</w:t>
            </w:r>
          </w:p>
        </w:tc>
        <w:tc>
          <w:tcPr>
            <w:tcW w:w="2977" w:type="dxa"/>
          </w:tcPr>
          <w:p w:rsidR="00F32158" w:rsidRPr="000B1EFA" w:rsidRDefault="00F32158" w:rsidP="00FD76DB">
            <w:pPr>
              <w:jc w:val="center"/>
              <w:rPr>
                <w:rFonts w:eastAsia="Calibri"/>
                <w:sz w:val="24"/>
                <w:szCs w:val="24"/>
              </w:rPr>
            </w:pPr>
            <w:r w:rsidRPr="000B1EFA">
              <w:rPr>
                <w:rFonts w:eastAsia="Calibri"/>
                <w:sz w:val="24"/>
                <w:szCs w:val="24"/>
              </w:rPr>
              <w:t>Хлопчики</w:t>
            </w:r>
          </w:p>
        </w:tc>
        <w:tc>
          <w:tcPr>
            <w:tcW w:w="2942" w:type="dxa"/>
          </w:tcPr>
          <w:p w:rsidR="00F32158" w:rsidRPr="000B1EFA" w:rsidRDefault="00F32158" w:rsidP="00FD76DB">
            <w:pPr>
              <w:jc w:val="center"/>
              <w:rPr>
                <w:rFonts w:eastAsia="Calibri"/>
                <w:sz w:val="24"/>
                <w:szCs w:val="24"/>
              </w:rPr>
            </w:pPr>
            <w:r w:rsidRPr="000B1EFA">
              <w:rPr>
                <w:rFonts w:eastAsia="Calibri"/>
                <w:sz w:val="24"/>
                <w:szCs w:val="24"/>
              </w:rPr>
              <w:t>Дівчатка</w:t>
            </w:r>
          </w:p>
        </w:tc>
      </w:tr>
      <w:tr w:rsidR="00F32158" w:rsidRPr="000B1EFA" w:rsidTr="00BF1F99">
        <w:trPr>
          <w:jc w:val="center"/>
        </w:trPr>
        <w:tc>
          <w:tcPr>
            <w:tcW w:w="959" w:type="dxa"/>
          </w:tcPr>
          <w:p w:rsidR="00F32158" w:rsidRPr="000B1EFA" w:rsidRDefault="00F32158" w:rsidP="00FD76DB">
            <w:pPr>
              <w:jc w:val="center"/>
              <w:rPr>
                <w:rFonts w:eastAsia="Calibri"/>
                <w:sz w:val="24"/>
                <w:szCs w:val="24"/>
              </w:rPr>
            </w:pPr>
            <w:r w:rsidRPr="000B1EFA">
              <w:rPr>
                <w:rFonts w:eastAsia="Calibri"/>
                <w:sz w:val="24"/>
                <w:szCs w:val="24"/>
              </w:rPr>
              <w:t>2009</w:t>
            </w:r>
          </w:p>
          <w:p w:rsidR="00F32158" w:rsidRPr="000B1EFA" w:rsidRDefault="00F32158" w:rsidP="00FD76DB">
            <w:pPr>
              <w:jc w:val="center"/>
              <w:rPr>
                <w:rFonts w:eastAsia="Calibri"/>
                <w:sz w:val="24"/>
                <w:szCs w:val="24"/>
              </w:rPr>
            </w:pPr>
            <w:r w:rsidRPr="000B1EFA">
              <w:rPr>
                <w:rFonts w:eastAsia="Calibri"/>
                <w:sz w:val="24"/>
                <w:szCs w:val="24"/>
              </w:rPr>
              <w:t>ДІ</w:t>
            </w:r>
          </w:p>
        </w:tc>
        <w:tc>
          <w:tcPr>
            <w:tcW w:w="2693" w:type="dxa"/>
          </w:tcPr>
          <w:p w:rsidR="00F32158" w:rsidRPr="000B1EFA" w:rsidRDefault="00F32158" w:rsidP="00FD76DB">
            <w:pPr>
              <w:jc w:val="center"/>
              <w:rPr>
                <w:color w:val="454545"/>
                <w:sz w:val="24"/>
                <w:szCs w:val="24"/>
                <w:lang w:val="en-US"/>
              </w:rPr>
            </w:pPr>
            <w:r w:rsidRPr="000B1EFA">
              <w:rPr>
                <w:color w:val="454545"/>
                <w:sz w:val="24"/>
                <w:szCs w:val="24"/>
                <w:lang w:val="en-US"/>
              </w:rPr>
              <w:t>82,010.66</w:t>
            </w:r>
          </w:p>
          <w:p w:rsidR="00F32158" w:rsidRPr="000B1EFA" w:rsidRDefault="00F32158" w:rsidP="00FD76DB">
            <w:pPr>
              <w:jc w:val="center"/>
              <w:rPr>
                <w:color w:val="454545"/>
                <w:sz w:val="24"/>
                <w:szCs w:val="24"/>
              </w:rPr>
            </w:pPr>
            <w:r w:rsidRPr="000B1EFA">
              <w:rPr>
                <w:color w:val="454545"/>
                <w:sz w:val="24"/>
                <w:szCs w:val="24"/>
              </w:rPr>
              <w:t>(</w:t>
            </w:r>
            <w:r w:rsidRPr="000B1EFA">
              <w:rPr>
                <w:color w:val="454545"/>
                <w:sz w:val="24"/>
                <w:szCs w:val="24"/>
                <w:lang w:val="en-US"/>
              </w:rPr>
              <w:t>88,203.18</w:t>
            </w:r>
            <w:r w:rsidRPr="000B1EFA">
              <w:rPr>
                <w:color w:val="454545"/>
                <w:sz w:val="24"/>
                <w:szCs w:val="24"/>
              </w:rPr>
              <w:t>-</w:t>
            </w:r>
            <w:r w:rsidRPr="000B1EFA">
              <w:rPr>
                <w:color w:val="454545"/>
                <w:sz w:val="24"/>
                <w:szCs w:val="24"/>
                <w:lang w:val="en-US"/>
              </w:rPr>
              <w:t>76,413.92</w:t>
            </w:r>
            <w:r w:rsidRPr="000B1EFA">
              <w:rPr>
                <w:color w:val="454545"/>
                <w:sz w:val="24"/>
                <w:szCs w:val="24"/>
              </w:rPr>
              <w:t>)</w:t>
            </w:r>
          </w:p>
        </w:tc>
        <w:tc>
          <w:tcPr>
            <w:tcW w:w="2977" w:type="dxa"/>
          </w:tcPr>
          <w:p w:rsidR="00F32158" w:rsidRPr="000B1EFA" w:rsidRDefault="00F32158" w:rsidP="00FD76DB">
            <w:pPr>
              <w:jc w:val="center"/>
              <w:rPr>
                <w:color w:val="454545"/>
                <w:sz w:val="24"/>
                <w:szCs w:val="24"/>
                <w:lang w:val="en-US"/>
              </w:rPr>
            </w:pPr>
            <w:r w:rsidRPr="000B1EFA">
              <w:rPr>
                <w:color w:val="454545"/>
                <w:sz w:val="24"/>
                <w:szCs w:val="24"/>
                <w:lang w:val="en-US"/>
              </w:rPr>
              <w:t>92,023.67</w:t>
            </w:r>
          </w:p>
          <w:p w:rsidR="00F32158" w:rsidRPr="000B1EFA" w:rsidRDefault="00F32158" w:rsidP="00FD76DB">
            <w:pPr>
              <w:jc w:val="center"/>
              <w:rPr>
                <w:color w:val="454545"/>
                <w:sz w:val="24"/>
                <w:szCs w:val="24"/>
              </w:rPr>
            </w:pPr>
            <w:r w:rsidRPr="000B1EFA">
              <w:rPr>
                <w:color w:val="454545"/>
                <w:sz w:val="24"/>
                <w:szCs w:val="24"/>
              </w:rPr>
              <w:t>(</w:t>
            </w:r>
            <w:r w:rsidRPr="000B1EFA">
              <w:rPr>
                <w:color w:val="454545"/>
                <w:sz w:val="24"/>
                <w:szCs w:val="24"/>
                <w:lang w:val="en-US"/>
              </w:rPr>
              <w:t>99,455.11</w:t>
            </w:r>
            <w:r w:rsidRPr="000B1EFA">
              <w:rPr>
                <w:color w:val="454545"/>
                <w:sz w:val="24"/>
                <w:szCs w:val="24"/>
              </w:rPr>
              <w:t>-</w:t>
            </w:r>
            <w:r w:rsidRPr="000B1EFA">
              <w:rPr>
                <w:color w:val="454545"/>
                <w:sz w:val="24"/>
                <w:szCs w:val="24"/>
                <w:lang w:val="en-US"/>
              </w:rPr>
              <w:t>85,170.14</w:t>
            </w:r>
            <w:r w:rsidRPr="000B1EFA">
              <w:rPr>
                <w:color w:val="454545"/>
                <w:sz w:val="24"/>
                <w:szCs w:val="24"/>
              </w:rPr>
              <w:t>)</w:t>
            </w:r>
          </w:p>
        </w:tc>
        <w:tc>
          <w:tcPr>
            <w:tcW w:w="2942" w:type="dxa"/>
          </w:tcPr>
          <w:p w:rsidR="00F32158" w:rsidRPr="000B1EFA" w:rsidRDefault="00F32158" w:rsidP="00FD76DB">
            <w:pPr>
              <w:shd w:val="clear" w:color="auto" w:fill="FFFFFF"/>
              <w:jc w:val="center"/>
              <w:rPr>
                <w:color w:val="454545"/>
                <w:sz w:val="24"/>
                <w:szCs w:val="24"/>
                <w:lang w:val="en-US"/>
              </w:rPr>
            </w:pPr>
            <w:r w:rsidRPr="000B1EFA">
              <w:rPr>
                <w:color w:val="454545"/>
                <w:sz w:val="24"/>
                <w:szCs w:val="24"/>
                <w:lang w:val="en-US"/>
              </w:rPr>
              <w:t>71,332.41</w:t>
            </w:r>
          </w:p>
          <w:p w:rsidR="00F32158" w:rsidRPr="000B1EFA" w:rsidRDefault="00F32158" w:rsidP="00FD76DB">
            <w:pPr>
              <w:shd w:val="clear" w:color="auto" w:fill="FFFFFF"/>
              <w:jc w:val="center"/>
              <w:rPr>
                <w:color w:val="454545"/>
                <w:sz w:val="24"/>
                <w:szCs w:val="24"/>
              </w:rPr>
            </w:pPr>
            <w:r w:rsidRPr="000B1EFA">
              <w:rPr>
                <w:color w:val="454545"/>
                <w:sz w:val="24"/>
                <w:szCs w:val="24"/>
              </w:rPr>
              <w:t>(</w:t>
            </w:r>
            <w:r w:rsidRPr="000B1EFA">
              <w:rPr>
                <w:color w:val="454545"/>
                <w:sz w:val="24"/>
                <w:szCs w:val="24"/>
                <w:lang w:val="en-US"/>
              </w:rPr>
              <w:t>76,697.40</w:t>
            </w:r>
            <w:r w:rsidRPr="000B1EFA">
              <w:rPr>
                <w:color w:val="454545"/>
                <w:sz w:val="24"/>
                <w:szCs w:val="24"/>
              </w:rPr>
              <w:t>-</w:t>
            </w:r>
            <w:r w:rsidRPr="000B1EFA">
              <w:rPr>
                <w:color w:val="454545"/>
                <w:sz w:val="24"/>
                <w:szCs w:val="24"/>
                <w:lang w:val="en-US"/>
              </w:rPr>
              <w:t>66,693.87</w:t>
            </w:r>
            <w:r w:rsidRPr="000B1EFA">
              <w:rPr>
                <w:color w:val="454545"/>
                <w:sz w:val="24"/>
                <w:szCs w:val="24"/>
              </w:rPr>
              <w:t>)</w:t>
            </w:r>
          </w:p>
        </w:tc>
      </w:tr>
      <w:tr w:rsidR="00F32158" w:rsidRPr="000B1EFA" w:rsidTr="00BF1F99">
        <w:trPr>
          <w:jc w:val="center"/>
        </w:trPr>
        <w:tc>
          <w:tcPr>
            <w:tcW w:w="959" w:type="dxa"/>
          </w:tcPr>
          <w:p w:rsidR="00F32158" w:rsidRPr="000B1EFA" w:rsidRDefault="00F32158" w:rsidP="00FD76DB">
            <w:pPr>
              <w:jc w:val="center"/>
              <w:rPr>
                <w:rFonts w:eastAsia="Calibri"/>
                <w:sz w:val="24"/>
                <w:szCs w:val="24"/>
              </w:rPr>
            </w:pPr>
            <w:r w:rsidRPr="000B1EFA">
              <w:rPr>
                <w:rFonts w:eastAsia="Calibri"/>
                <w:sz w:val="24"/>
                <w:szCs w:val="24"/>
              </w:rPr>
              <w:t>2010</w:t>
            </w:r>
          </w:p>
          <w:p w:rsidR="00F32158" w:rsidRPr="000B1EFA" w:rsidRDefault="00F32158" w:rsidP="00FD76DB">
            <w:pPr>
              <w:jc w:val="center"/>
              <w:rPr>
                <w:rFonts w:eastAsia="Calibri"/>
                <w:sz w:val="24"/>
                <w:szCs w:val="24"/>
              </w:rPr>
            </w:pPr>
            <w:r w:rsidRPr="000B1EFA">
              <w:rPr>
                <w:rFonts w:eastAsia="Calibri"/>
                <w:sz w:val="24"/>
                <w:szCs w:val="24"/>
              </w:rPr>
              <w:t>ДІ</w:t>
            </w:r>
          </w:p>
        </w:tc>
        <w:tc>
          <w:tcPr>
            <w:tcW w:w="2693" w:type="dxa"/>
          </w:tcPr>
          <w:p w:rsidR="00F32158" w:rsidRPr="000B1EFA" w:rsidRDefault="00F32158" w:rsidP="00FD76DB">
            <w:pPr>
              <w:shd w:val="clear" w:color="auto" w:fill="FFFFFF"/>
              <w:jc w:val="center"/>
              <w:rPr>
                <w:color w:val="454545"/>
                <w:sz w:val="24"/>
                <w:szCs w:val="24"/>
                <w:lang w:val="en-US"/>
              </w:rPr>
            </w:pPr>
            <w:r w:rsidRPr="000B1EFA">
              <w:rPr>
                <w:color w:val="454545"/>
                <w:sz w:val="24"/>
                <w:szCs w:val="24"/>
                <w:lang w:val="en-US"/>
              </w:rPr>
              <w:t>77,880.53</w:t>
            </w:r>
          </w:p>
          <w:p w:rsidR="00F32158" w:rsidRPr="000B1EFA" w:rsidRDefault="00F32158" w:rsidP="00FD76DB">
            <w:pPr>
              <w:shd w:val="clear" w:color="auto" w:fill="FFFFFF"/>
              <w:jc w:val="center"/>
              <w:rPr>
                <w:color w:val="454545"/>
                <w:sz w:val="24"/>
                <w:szCs w:val="24"/>
              </w:rPr>
            </w:pPr>
            <w:r w:rsidRPr="000B1EFA">
              <w:rPr>
                <w:color w:val="454545"/>
                <w:sz w:val="24"/>
                <w:szCs w:val="24"/>
              </w:rPr>
              <w:t>(</w:t>
            </w:r>
            <w:r w:rsidRPr="000B1EFA">
              <w:rPr>
                <w:color w:val="454545"/>
                <w:sz w:val="24"/>
                <w:szCs w:val="24"/>
                <w:lang w:val="en-US"/>
              </w:rPr>
              <w:t>83,234.94</w:t>
            </w:r>
            <w:r w:rsidRPr="000B1EFA">
              <w:rPr>
                <w:color w:val="454545"/>
                <w:sz w:val="24"/>
                <w:szCs w:val="24"/>
              </w:rPr>
              <w:t>-</w:t>
            </w:r>
            <w:r w:rsidRPr="000B1EFA">
              <w:rPr>
                <w:color w:val="454545"/>
                <w:sz w:val="24"/>
                <w:szCs w:val="24"/>
                <w:lang w:val="en-US"/>
              </w:rPr>
              <w:t>72,740.61</w:t>
            </w:r>
            <w:r w:rsidRPr="000B1EFA">
              <w:rPr>
                <w:color w:val="454545"/>
                <w:sz w:val="24"/>
                <w:szCs w:val="24"/>
              </w:rPr>
              <w:t>)</w:t>
            </w:r>
          </w:p>
        </w:tc>
        <w:tc>
          <w:tcPr>
            <w:tcW w:w="2977" w:type="dxa"/>
          </w:tcPr>
          <w:p w:rsidR="00F32158" w:rsidRPr="000B1EFA" w:rsidRDefault="00F32158" w:rsidP="00FD76DB">
            <w:pPr>
              <w:shd w:val="clear" w:color="auto" w:fill="FFFFFF"/>
              <w:jc w:val="center"/>
              <w:rPr>
                <w:color w:val="454545"/>
                <w:sz w:val="24"/>
                <w:szCs w:val="24"/>
                <w:lang w:val="en-US"/>
              </w:rPr>
            </w:pPr>
            <w:r w:rsidRPr="000B1EFA">
              <w:rPr>
                <w:color w:val="454545"/>
                <w:sz w:val="24"/>
                <w:szCs w:val="24"/>
                <w:lang w:val="en-US"/>
              </w:rPr>
              <w:t>87,196.27</w:t>
            </w:r>
          </w:p>
          <w:p w:rsidR="00F32158" w:rsidRPr="000B1EFA" w:rsidRDefault="00F32158" w:rsidP="00FD76DB">
            <w:pPr>
              <w:shd w:val="clear" w:color="auto" w:fill="FFFFFF"/>
              <w:jc w:val="center"/>
              <w:rPr>
                <w:color w:val="454545"/>
                <w:sz w:val="24"/>
                <w:szCs w:val="24"/>
              </w:rPr>
            </w:pPr>
            <w:r w:rsidRPr="000B1EFA">
              <w:rPr>
                <w:color w:val="454545"/>
                <w:sz w:val="24"/>
                <w:szCs w:val="24"/>
              </w:rPr>
              <w:t>(</w:t>
            </w:r>
            <w:r w:rsidRPr="000B1EFA">
              <w:rPr>
                <w:color w:val="454545"/>
                <w:sz w:val="24"/>
                <w:szCs w:val="24"/>
                <w:lang w:val="en-US"/>
              </w:rPr>
              <w:t>93,598.91</w:t>
            </w:r>
            <w:r w:rsidRPr="000B1EFA">
              <w:rPr>
                <w:color w:val="454545"/>
                <w:sz w:val="24"/>
                <w:szCs w:val="24"/>
              </w:rPr>
              <w:t>-</w:t>
            </w:r>
            <w:r w:rsidRPr="000B1EFA">
              <w:rPr>
                <w:color w:val="454545"/>
                <w:sz w:val="24"/>
                <w:szCs w:val="24"/>
                <w:lang w:val="en-US"/>
              </w:rPr>
              <w:t>80,953.83</w:t>
            </w:r>
            <w:r w:rsidRPr="000B1EFA">
              <w:rPr>
                <w:color w:val="454545"/>
                <w:sz w:val="24"/>
                <w:szCs w:val="24"/>
              </w:rPr>
              <w:t>)</w:t>
            </w:r>
          </w:p>
        </w:tc>
        <w:tc>
          <w:tcPr>
            <w:tcW w:w="2942" w:type="dxa"/>
          </w:tcPr>
          <w:p w:rsidR="00F32158" w:rsidRPr="000B1EFA" w:rsidRDefault="00F32158" w:rsidP="00FD76DB">
            <w:pPr>
              <w:jc w:val="center"/>
              <w:rPr>
                <w:color w:val="454545"/>
                <w:sz w:val="24"/>
                <w:szCs w:val="24"/>
                <w:lang w:val="en-US"/>
              </w:rPr>
            </w:pPr>
            <w:r w:rsidRPr="000B1EFA">
              <w:rPr>
                <w:color w:val="454545"/>
                <w:sz w:val="24"/>
                <w:szCs w:val="24"/>
                <w:lang w:val="en-US"/>
              </w:rPr>
              <w:t>67,934.82</w:t>
            </w:r>
          </w:p>
          <w:p w:rsidR="00F32158" w:rsidRPr="000B1EFA" w:rsidRDefault="00F32158" w:rsidP="00FD76DB">
            <w:pPr>
              <w:jc w:val="center"/>
              <w:rPr>
                <w:color w:val="454545"/>
                <w:sz w:val="24"/>
                <w:szCs w:val="24"/>
              </w:rPr>
            </w:pPr>
            <w:r w:rsidRPr="000B1EFA">
              <w:rPr>
                <w:color w:val="454545"/>
                <w:sz w:val="24"/>
                <w:szCs w:val="24"/>
              </w:rPr>
              <w:t>(</w:t>
            </w:r>
            <w:r w:rsidRPr="000B1EFA">
              <w:rPr>
                <w:color w:val="454545"/>
                <w:sz w:val="24"/>
                <w:szCs w:val="24"/>
                <w:lang w:val="en-US"/>
              </w:rPr>
              <w:t>72,630.14</w:t>
            </w:r>
            <w:r w:rsidRPr="000B1EFA">
              <w:rPr>
                <w:color w:val="454545"/>
                <w:sz w:val="24"/>
                <w:szCs w:val="24"/>
              </w:rPr>
              <w:t>-</w:t>
            </w:r>
            <w:r w:rsidRPr="000B1EFA">
              <w:rPr>
                <w:color w:val="454545"/>
                <w:sz w:val="24"/>
                <w:szCs w:val="24"/>
                <w:lang w:val="en-US"/>
              </w:rPr>
              <w:t>63,549.22</w:t>
            </w:r>
            <w:r w:rsidRPr="000B1EFA">
              <w:rPr>
                <w:color w:val="454545"/>
                <w:sz w:val="24"/>
                <w:szCs w:val="24"/>
              </w:rPr>
              <w:t>)</w:t>
            </w:r>
          </w:p>
        </w:tc>
      </w:tr>
      <w:tr w:rsidR="00F32158" w:rsidRPr="000B1EFA" w:rsidTr="00BF1F99">
        <w:trPr>
          <w:jc w:val="center"/>
        </w:trPr>
        <w:tc>
          <w:tcPr>
            <w:tcW w:w="959" w:type="dxa"/>
          </w:tcPr>
          <w:p w:rsidR="00F32158" w:rsidRPr="000B1EFA" w:rsidRDefault="00F32158" w:rsidP="00FD76DB">
            <w:pPr>
              <w:jc w:val="center"/>
              <w:rPr>
                <w:rFonts w:eastAsia="Calibri"/>
                <w:sz w:val="24"/>
                <w:szCs w:val="24"/>
              </w:rPr>
            </w:pPr>
            <w:r w:rsidRPr="000B1EFA">
              <w:rPr>
                <w:rFonts w:eastAsia="Calibri"/>
                <w:sz w:val="24"/>
                <w:szCs w:val="24"/>
              </w:rPr>
              <w:t>2011</w:t>
            </w:r>
          </w:p>
          <w:p w:rsidR="00F32158" w:rsidRPr="000B1EFA" w:rsidRDefault="00F32158" w:rsidP="00FD76DB">
            <w:pPr>
              <w:jc w:val="center"/>
              <w:rPr>
                <w:rFonts w:eastAsia="Calibri"/>
                <w:sz w:val="24"/>
                <w:szCs w:val="24"/>
              </w:rPr>
            </w:pPr>
            <w:r w:rsidRPr="000B1EFA">
              <w:rPr>
                <w:rFonts w:eastAsia="Calibri"/>
                <w:sz w:val="24"/>
                <w:szCs w:val="24"/>
              </w:rPr>
              <w:t>ДІ</w:t>
            </w:r>
          </w:p>
        </w:tc>
        <w:tc>
          <w:tcPr>
            <w:tcW w:w="2693" w:type="dxa"/>
          </w:tcPr>
          <w:p w:rsidR="00F32158" w:rsidRPr="000B1EFA" w:rsidRDefault="00F32158" w:rsidP="00FD76DB">
            <w:pPr>
              <w:shd w:val="clear" w:color="auto" w:fill="FFFFFF"/>
              <w:jc w:val="center"/>
              <w:rPr>
                <w:color w:val="454545"/>
                <w:sz w:val="24"/>
                <w:szCs w:val="24"/>
                <w:lang w:val="en-US"/>
              </w:rPr>
            </w:pPr>
            <w:r w:rsidRPr="000B1EFA">
              <w:rPr>
                <w:color w:val="454545"/>
                <w:sz w:val="24"/>
                <w:szCs w:val="24"/>
                <w:lang w:val="en-US"/>
              </w:rPr>
              <w:t>74,337.46</w:t>
            </w:r>
          </w:p>
          <w:p w:rsidR="00F32158" w:rsidRPr="000B1EFA" w:rsidRDefault="00F32158" w:rsidP="00FD76DB">
            <w:pPr>
              <w:shd w:val="clear" w:color="auto" w:fill="FFFFFF"/>
              <w:jc w:val="center"/>
              <w:rPr>
                <w:color w:val="454545"/>
                <w:sz w:val="24"/>
                <w:szCs w:val="24"/>
              </w:rPr>
            </w:pPr>
            <w:r w:rsidRPr="000B1EFA">
              <w:rPr>
                <w:color w:val="454545"/>
                <w:sz w:val="24"/>
                <w:szCs w:val="24"/>
              </w:rPr>
              <w:t>(</w:t>
            </w:r>
            <w:r w:rsidRPr="000B1EFA">
              <w:rPr>
                <w:color w:val="454545"/>
                <w:sz w:val="24"/>
                <w:szCs w:val="24"/>
                <w:lang w:val="en-US"/>
              </w:rPr>
              <w:t>78,970.81</w:t>
            </w:r>
            <w:r w:rsidRPr="000B1EFA">
              <w:rPr>
                <w:color w:val="454545"/>
                <w:sz w:val="24"/>
                <w:szCs w:val="24"/>
              </w:rPr>
              <w:t>-</w:t>
            </w:r>
            <w:r w:rsidRPr="000B1EFA">
              <w:rPr>
                <w:color w:val="454545"/>
                <w:sz w:val="24"/>
                <w:szCs w:val="24"/>
                <w:lang w:val="en-US"/>
              </w:rPr>
              <w:t>69,993.36</w:t>
            </w:r>
            <w:r w:rsidRPr="000B1EFA">
              <w:rPr>
                <w:color w:val="454545"/>
                <w:sz w:val="24"/>
                <w:szCs w:val="24"/>
              </w:rPr>
              <w:t>)</w:t>
            </w:r>
          </w:p>
        </w:tc>
        <w:tc>
          <w:tcPr>
            <w:tcW w:w="2977" w:type="dxa"/>
          </w:tcPr>
          <w:p w:rsidR="00F32158" w:rsidRPr="000B1EFA" w:rsidRDefault="00F32158" w:rsidP="00FD76DB">
            <w:pPr>
              <w:shd w:val="clear" w:color="auto" w:fill="FFFFFF"/>
              <w:jc w:val="center"/>
              <w:rPr>
                <w:color w:val="454545"/>
                <w:sz w:val="24"/>
                <w:szCs w:val="24"/>
                <w:lang w:val="en-US"/>
              </w:rPr>
            </w:pPr>
            <w:r w:rsidRPr="000B1EFA">
              <w:rPr>
                <w:color w:val="454545"/>
                <w:sz w:val="24"/>
                <w:szCs w:val="24"/>
                <w:lang w:val="en-US"/>
              </w:rPr>
              <w:t>83,144.87</w:t>
            </w:r>
          </w:p>
          <w:p w:rsidR="00F32158" w:rsidRPr="000B1EFA" w:rsidRDefault="00F32158" w:rsidP="00FD76DB">
            <w:pPr>
              <w:shd w:val="clear" w:color="auto" w:fill="FFFFFF"/>
              <w:jc w:val="center"/>
              <w:rPr>
                <w:color w:val="454545"/>
                <w:sz w:val="24"/>
                <w:szCs w:val="24"/>
              </w:rPr>
            </w:pPr>
            <w:r w:rsidRPr="000B1EFA">
              <w:rPr>
                <w:color w:val="454545"/>
                <w:sz w:val="24"/>
                <w:szCs w:val="24"/>
              </w:rPr>
              <w:t>(</w:t>
            </w:r>
            <w:r w:rsidRPr="000B1EFA">
              <w:rPr>
                <w:color w:val="454545"/>
                <w:sz w:val="24"/>
                <w:szCs w:val="24"/>
                <w:lang w:val="en-US"/>
              </w:rPr>
              <w:t>88,719.03</w:t>
            </w:r>
            <w:r w:rsidRPr="000B1EFA">
              <w:rPr>
                <w:color w:val="454545"/>
                <w:sz w:val="24"/>
                <w:szCs w:val="24"/>
              </w:rPr>
              <w:t>-</w:t>
            </w:r>
            <w:r w:rsidRPr="000B1EFA">
              <w:rPr>
                <w:color w:val="454545"/>
                <w:sz w:val="24"/>
                <w:szCs w:val="24"/>
                <w:lang w:val="en-US"/>
              </w:rPr>
              <w:t>77,619.55</w:t>
            </w:r>
            <w:r w:rsidRPr="000B1EFA">
              <w:rPr>
                <w:color w:val="454545"/>
                <w:sz w:val="24"/>
                <w:szCs w:val="24"/>
              </w:rPr>
              <w:t>)</w:t>
            </w:r>
          </w:p>
        </w:tc>
        <w:tc>
          <w:tcPr>
            <w:tcW w:w="2942" w:type="dxa"/>
          </w:tcPr>
          <w:p w:rsidR="00F32158" w:rsidRPr="000B1EFA" w:rsidRDefault="00F32158" w:rsidP="00FD76DB">
            <w:pPr>
              <w:jc w:val="center"/>
              <w:rPr>
                <w:color w:val="454545"/>
                <w:sz w:val="24"/>
                <w:szCs w:val="24"/>
                <w:lang w:val="en-US"/>
              </w:rPr>
            </w:pPr>
            <w:r w:rsidRPr="000B1EFA">
              <w:rPr>
                <w:color w:val="454545"/>
                <w:sz w:val="24"/>
                <w:szCs w:val="24"/>
                <w:lang w:val="en-US"/>
              </w:rPr>
              <w:t>64,945.56</w:t>
            </w:r>
          </w:p>
          <w:p w:rsidR="00F32158" w:rsidRPr="000B1EFA" w:rsidRDefault="00F32158" w:rsidP="00FD76DB">
            <w:pPr>
              <w:jc w:val="center"/>
              <w:rPr>
                <w:color w:val="454545"/>
                <w:sz w:val="24"/>
                <w:szCs w:val="24"/>
              </w:rPr>
            </w:pPr>
            <w:r w:rsidRPr="000B1EFA">
              <w:rPr>
                <w:color w:val="454545"/>
                <w:sz w:val="24"/>
                <w:szCs w:val="24"/>
              </w:rPr>
              <w:t>(</w:t>
            </w:r>
            <w:r w:rsidRPr="000B1EFA">
              <w:rPr>
                <w:color w:val="454545"/>
                <w:sz w:val="24"/>
                <w:szCs w:val="24"/>
                <w:lang w:val="en-US"/>
              </w:rPr>
              <w:t>68,868.60</w:t>
            </w:r>
            <w:r w:rsidRPr="000B1EFA">
              <w:rPr>
                <w:color w:val="454545"/>
                <w:sz w:val="24"/>
                <w:szCs w:val="24"/>
              </w:rPr>
              <w:t>-</w:t>
            </w:r>
            <w:r w:rsidRPr="000B1EFA">
              <w:rPr>
                <w:color w:val="454545"/>
                <w:sz w:val="24"/>
                <w:szCs w:val="24"/>
                <w:lang w:val="en-US"/>
              </w:rPr>
              <w:t>61,118.90</w:t>
            </w:r>
            <w:r w:rsidRPr="000B1EFA">
              <w:rPr>
                <w:color w:val="454545"/>
                <w:sz w:val="24"/>
                <w:szCs w:val="24"/>
              </w:rPr>
              <w:t>)</w:t>
            </w:r>
          </w:p>
        </w:tc>
      </w:tr>
      <w:tr w:rsidR="00F32158" w:rsidRPr="000B1EFA" w:rsidTr="00BF1F99">
        <w:trPr>
          <w:jc w:val="center"/>
        </w:trPr>
        <w:tc>
          <w:tcPr>
            <w:tcW w:w="959" w:type="dxa"/>
          </w:tcPr>
          <w:p w:rsidR="00F32158" w:rsidRPr="000B1EFA" w:rsidRDefault="00F32158" w:rsidP="00FD76DB">
            <w:pPr>
              <w:jc w:val="center"/>
              <w:rPr>
                <w:rFonts w:eastAsia="Calibri"/>
                <w:sz w:val="24"/>
                <w:szCs w:val="24"/>
              </w:rPr>
            </w:pPr>
            <w:r w:rsidRPr="000B1EFA">
              <w:rPr>
                <w:rFonts w:eastAsia="Calibri"/>
                <w:sz w:val="24"/>
                <w:szCs w:val="24"/>
              </w:rPr>
              <w:t>2012</w:t>
            </w:r>
          </w:p>
          <w:p w:rsidR="00F32158" w:rsidRPr="000B1EFA" w:rsidRDefault="00F32158" w:rsidP="00FD76DB">
            <w:pPr>
              <w:jc w:val="center"/>
              <w:rPr>
                <w:rFonts w:eastAsia="Calibri"/>
                <w:sz w:val="24"/>
                <w:szCs w:val="24"/>
              </w:rPr>
            </w:pPr>
            <w:r w:rsidRPr="000B1EFA">
              <w:rPr>
                <w:rFonts w:eastAsia="Calibri"/>
                <w:sz w:val="24"/>
                <w:szCs w:val="24"/>
              </w:rPr>
              <w:t>ДІ</w:t>
            </w:r>
          </w:p>
        </w:tc>
        <w:tc>
          <w:tcPr>
            <w:tcW w:w="2693" w:type="dxa"/>
          </w:tcPr>
          <w:p w:rsidR="00F32158" w:rsidRPr="000B1EFA" w:rsidRDefault="00F32158" w:rsidP="00FD76DB">
            <w:pPr>
              <w:jc w:val="center"/>
              <w:rPr>
                <w:color w:val="454545"/>
                <w:sz w:val="24"/>
                <w:szCs w:val="24"/>
                <w:lang w:val="en-US"/>
              </w:rPr>
            </w:pPr>
            <w:r w:rsidRPr="000B1EFA">
              <w:rPr>
                <w:color w:val="454545"/>
                <w:sz w:val="24"/>
                <w:szCs w:val="24"/>
                <w:lang w:val="en-US"/>
              </w:rPr>
              <w:t>71,346.59</w:t>
            </w:r>
          </w:p>
          <w:p w:rsidR="00F32158" w:rsidRPr="000B1EFA" w:rsidRDefault="00F32158" w:rsidP="00FD76DB">
            <w:pPr>
              <w:jc w:val="center"/>
              <w:rPr>
                <w:color w:val="454545"/>
                <w:sz w:val="24"/>
                <w:szCs w:val="24"/>
              </w:rPr>
            </w:pPr>
            <w:r w:rsidRPr="000B1EFA">
              <w:rPr>
                <w:color w:val="454545"/>
                <w:sz w:val="24"/>
                <w:szCs w:val="24"/>
              </w:rPr>
              <w:t>(</w:t>
            </w:r>
            <w:r w:rsidRPr="000B1EFA">
              <w:rPr>
                <w:color w:val="454545"/>
                <w:sz w:val="24"/>
                <w:szCs w:val="24"/>
                <w:lang w:val="en-US"/>
              </w:rPr>
              <w:t>74,893.00</w:t>
            </w:r>
            <w:r w:rsidRPr="000B1EFA">
              <w:rPr>
                <w:color w:val="454545"/>
                <w:sz w:val="24"/>
                <w:szCs w:val="24"/>
              </w:rPr>
              <w:t>-</w:t>
            </w:r>
            <w:r w:rsidRPr="000B1EFA">
              <w:rPr>
                <w:color w:val="454545"/>
                <w:sz w:val="24"/>
                <w:szCs w:val="24"/>
                <w:lang w:val="en-US"/>
              </w:rPr>
              <w:t>67,560.10</w:t>
            </w:r>
            <w:r w:rsidRPr="000B1EFA">
              <w:rPr>
                <w:color w:val="454545"/>
                <w:sz w:val="24"/>
                <w:szCs w:val="24"/>
              </w:rPr>
              <w:t>)</w:t>
            </w:r>
          </w:p>
        </w:tc>
        <w:tc>
          <w:tcPr>
            <w:tcW w:w="2977" w:type="dxa"/>
          </w:tcPr>
          <w:p w:rsidR="00F32158" w:rsidRPr="000B1EFA" w:rsidRDefault="00F32158" w:rsidP="00FD76DB">
            <w:pPr>
              <w:jc w:val="center"/>
              <w:rPr>
                <w:color w:val="454545"/>
                <w:sz w:val="24"/>
                <w:szCs w:val="24"/>
                <w:lang w:val="en-US"/>
              </w:rPr>
            </w:pPr>
            <w:r w:rsidRPr="000B1EFA">
              <w:rPr>
                <w:color w:val="454545"/>
                <w:sz w:val="24"/>
                <w:szCs w:val="24"/>
                <w:lang w:val="en-US"/>
              </w:rPr>
              <w:t>79,671.40</w:t>
            </w:r>
          </w:p>
          <w:p w:rsidR="00F32158" w:rsidRPr="000B1EFA" w:rsidRDefault="00F32158" w:rsidP="00FD76DB">
            <w:pPr>
              <w:jc w:val="center"/>
              <w:rPr>
                <w:color w:val="454545"/>
                <w:sz w:val="24"/>
                <w:szCs w:val="24"/>
              </w:rPr>
            </w:pPr>
            <w:r w:rsidRPr="000B1EFA">
              <w:rPr>
                <w:color w:val="454545"/>
                <w:sz w:val="24"/>
                <w:szCs w:val="24"/>
              </w:rPr>
              <w:t>(</w:t>
            </w:r>
            <w:r w:rsidRPr="000B1EFA">
              <w:rPr>
                <w:color w:val="454545"/>
                <w:sz w:val="24"/>
                <w:szCs w:val="24"/>
                <w:lang w:val="en-US"/>
              </w:rPr>
              <w:t>84,487.39</w:t>
            </w:r>
            <w:r w:rsidRPr="000B1EFA">
              <w:rPr>
                <w:color w:val="454545"/>
                <w:sz w:val="24"/>
                <w:szCs w:val="24"/>
              </w:rPr>
              <w:t>-</w:t>
            </w:r>
            <w:r w:rsidRPr="000B1EFA">
              <w:rPr>
                <w:color w:val="454545"/>
                <w:sz w:val="24"/>
                <w:szCs w:val="24"/>
                <w:lang w:val="en-US"/>
              </w:rPr>
              <w:t>74,797.71</w:t>
            </w:r>
            <w:r w:rsidRPr="000B1EFA">
              <w:rPr>
                <w:color w:val="454545"/>
                <w:sz w:val="24"/>
                <w:szCs w:val="24"/>
              </w:rPr>
              <w:t>)</w:t>
            </w:r>
          </w:p>
        </w:tc>
        <w:tc>
          <w:tcPr>
            <w:tcW w:w="2942" w:type="dxa"/>
          </w:tcPr>
          <w:p w:rsidR="00F32158" w:rsidRPr="000B1EFA" w:rsidRDefault="00F32158" w:rsidP="00FD76DB">
            <w:pPr>
              <w:shd w:val="clear" w:color="auto" w:fill="FFFFFF"/>
              <w:jc w:val="center"/>
              <w:rPr>
                <w:color w:val="454545"/>
                <w:sz w:val="24"/>
                <w:szCs w:val="24"/>
                <w:lang w:val="en-US"/>
              </w:rPr>
            </w:pPr>
            <w:r w:rsidRPr="000B1EFA">
              <w:rPr>
                <w:color w:val="454545"/>
                <w:sz w:val="24"/>
                <w:szCs w:val="24"/>
                <w:lang w:val="en-US"/>
              </w:rPr>
              <w:t>62,476.18</w:t>
            </w:r>
          </w:p>
          <w:p w:rsidR="00F32158" w:rsidRPr="000B1EFA" w:rsidRDefault="00F32158" w:rsidP="00FD76DB">
            <w:pPr>
              <w:shd w:val="clear" w:color="auto" w:fill="FFFFFF"/>
              <w:jc w:val="center"/>
              <w:rPr>
                <w:color w:val="454545"/>
                <w:sz w:val="24"/>
                <w:szCs w:val="24"/>
              </w:rPr>
            </w:pPr>
            <w:r w:rsidRPr="000B1EFA">
              <w:rPr>
                <w:color w:val="454545"/>
                <w:sz w:val="24"/>
                <w:szCs w:val="24"/>
              </w:rPr>
              <w:t>(</w:t>
            </w:r>
            <w:r w:rsidRPr="000B1EFA">
              <w:rPr>
                <w:color w:val="454545"/>
                <w:sz w:val="24"/>
                <w:szCs w:val="24"/>
                <w:lang w:val="en-US"/>
              </w:rPr>
              <w:t>65,875.73</w:t>
            </w:r>
            <w:r w:rsidRPr="000B1EFA">
              <w:rPr>
                <w:color w:val="454545"/>
                <w:sz w:val="24"/>
                <w:szCs w:val="24"/>
              </w:rPr>
              <w:t>-</w:t>
            </w:r>
            <w:r w:rsidRPr="000B1EFA">
              <w:rPr>
                <w:color w:val="454545"/>
                <w:sz w:val="24"/>
                <w:szCs w:val="24"/>
                <w:lang w:val="en-US"/>
              </w:rPr>
              <w:t>58,961.32</w:t>
            </w:r>
            <w:r w:rsidRPr="000B1EFA">
              <w:rPr>
                <w:color w:val="454545"/>
                <w:sz w:val="24"/>
                <w:szCs w:val="24"/>
              </w:rPr>
              <w:t>)</w:t>
            </w:r>
          </w:p>
        </w:tc>
      </w:tr>
      <w:tr w:rsidR="00F32158" w:rsidRPr="000B1EFA" w:rsidTr="00BF1F99">
        <w:trPr>
          <w:jc w:val="center"/>
        </w:trPr>
        <w:tc>
          <w:tcPr>
            <w:tcW w:w="959" w:type="dxa"/>
          </w:tcPr>
          <w:p w:rsidR="00F32158" w:rsidRPr="000B1EFA" w:rsidRDefault="00F32158" w:rsidP="00FD76DB">
            <w:pPr>
              <w:jc w:val="center"/>
              <w:rPr>
                <w:rFonts w:eastAsia="Calibri"/>
                <w:sz w:val="24"/>
                <w:szCs w:val="24"/>
              </w:rPr>
            </w:pPr>
            <w:r w:rsidRPr="000B1EFA">
              <w:rPr>
                <w:rFonts w:eastAsia="Calibri"/>
                <w:sz w:val="24"/>
                <w:szCs w:val="24"/>
              </w:rPr>
              <w:t>2013</w:t>
            </w:r>
          </w:p>
          <w:p w:rsidR="00F32158" w:rsidRPr="000B1EFA" w:rsidRDefault="00F32158" w:rsidP="00FD76DB">
            <w:pPr>
              <w:jc w:val="center"/>
              <w:rPr>
                <w:rFonts w:eastAsia="Calibri"/>
                <w:sz w:val="24"/>
                <w:szCs w:val="24"/>
              </w:rPr>
            </w:pPr>
            <w:r w:rsidRPr="000B1EFA">
              <w:rPr>
                <w:rFonts w:eastAsia="Calibri"/>
                <w:sz w:val="24"/>
                <w:szCs w:val="24"/>
              </w:rPr>
              <w:t>ДІ</w:t>
            </w:r>
          </w:p>
        </w:tc>
        <w:tc>
          <w:tcPr>
            <w:tcW w:w="2693" w:type="dxa"/>
          </w:tcPr>
          <w:p w:rsidR="00F32158" w:rsidRPr="000B1EFA" w:rsidRDefault="00F32158" w:rsidP="00FD76DB">
            <w:pPr>
              <w:jc w:val="center"/>
              <w:rPr>
                <w:color w:val="454545"/>
                <w:sz w:val="24"/>
                <w:szCs w:val="24"/>
                <w:lang w:val="en-US"/>
              </w:rPr>
            </w:pPr>
            <w:r w:rsidRPr="000B1EFA">
              <w:rPr>
                <w:color w:val="454545"/>
                <w:sz w:val="24"/>
                <w:szCs w:val="24"/>
                <w:lang w:val="en-US"/>
              </w:rPr>
              <w:t>66,447.45</w:t>
            </w:r>
          </w:p>
          <w:p w:rsidR="00F32158" w:rsidRPr="000B1EFA" w:rsidRDefault="00F32158" w:rsidP="00FD76DB">
            <w:pPr>
              <w:jc w:val="center"/>
              <w:rPr>
                <w:color w:val="454545"/>
                <w:sz w:val="24"/>
                <w:szCs w:val="24"/>
              </w:rPr>
            </w:pPr>
            <w:r w:rsidRPr="000B1EFA">
              <w:rPr>
                <w:color w:val="454545"/>
                <w:sz w:val="24"/>
                <w:szCs w:val="24"/>
              </w:rPr>
              <w:t>(</w:t>
            </w:r>
            <w:r w:rsidRPr="000B1EFA">
              <w:rPr>
                <w:color w:val="454545"/>
                <w:sz w:val="24"/>
                <w:szCs w:val="24"/>
                <w:lang w:val="en-US"/>
              </w:rPr>
              <w:t>70,535.36</w:t>
            </w:r>
            <w:r w:rsidRPr="000B1EFA">
              <w:rPr>
                <w:color w:val="454545"/>
                <w:sz w:val="24"/>
                <w:szCs w:val="24"/>
              </w:rPr>
              <w:t>-</w:t>
            </w:r>
            <w:r w:rsidRPr="000B1EFA">
              <w:rPr>
                <w:color w:val="454545"/>
                <w:sz w:val="24"/>
                <w:szCs w:val="24"/>
                <w:lang w:val="en-US"/>
              </w:rPr>
              <w:t>62,564.61</w:t>
            </w:r>
            <w:r w:rsidRPr="000B1EFA">
              <w:rPr>
                <w:color w:val="454545"/>
                <w:sz w:val="24"/>
                <w:szCs w:val="24"/>
              </w:rPr>
              <w:t>)</w:t>
            </w:r>
          </w:p>
        </w:tc>
        <w:tc>
          <w:tcPr>
            <w:tcW w:w="2977" w:type="dxa"/>
          </w:tcPr>
          <w:p w:rsidR="00F32158" w:rsidRPr="000B1EFA" w:rsidRDefault="00F32158" w:rsidP="00FD76DB">
            <w:pPr>
              <w:jc w:val="center"/>
              <w:rPr>
                <w:color w:val="454545"/>
                <w:sz w:val="24"/>
                <w:szCs w:val="24"/>
                <w:lang w:val="en-US"/>
              </w:rPr>
            </w:pPr>
            <w:r w:rsidRPr="000B1EFA">
              <w:rPr>
                <w:color w:val="454545"/>
                <w:sz w:val="24"/>
                <w:szCs w:val="24"/>
                <w:lang w:val="en-US"/>
              </w:rPr>
              <w:t>74,075.87</w:t>
            </w:r>
          </w:p>
          <w:p w:rsidR="00F32158" w:rsidRPr="000B1EFA" w:rsidRDefault="00F32158" w:rsidP="00FD76DB">
            <w:pPr>
              <w:jc w:val="center"/>
              <w:rPr>
                <w:color w:val="454545"/>
                <w:sz w:val="24"/>
                <w:szCs w:val="24"/>
              </w:rPr>
            </w:pPr>
            <w:r w:rsidRPr="000B1EFA">
              <w:rPr>
                <w:color w:val="454545"/>
                <w:sz w:val="24"/>
                <w:szCs w:val="24"/>
              </w:rPr>
              <w:t>(</w:t>
            </w:r>
            <w:r w:rsidRPr="000B1EFA">
              <w:rPr>
                <w:color w:val="454545"/>
                <w:sz w:val="24"/>
                <w:szCs w:val="24"/>
                <w:lang w:val="en-US"/>
              </w:rPr>
              <w:t>78,923.21</w:t>
            </w:r>
            <w:r w:rsidRPr="000B1EFA">
              <w:rPr>
                <w:color w:val="454545"/>
                <w:sz w:val="24"/>
                <w:szCs w:val="24"/>
              </w:rPr>
              <w:t>-</w:t>
            </w:r>
            <w:r w:rsidRPr="000B1EFA">
              <w:rPr>
                <w:color w:val="454545"/>
                <w:sz w:val="24"/>
                <w:szCs w:val="24"/>
                <w:lang w:val="en-US"/>
              </w:rPr>
              <w:t>69,416.72</w:t>
            </w:r>
            <w:r w:rsidRPr="000B1EFA">
              <w:rPr>
                <w:color w:val="454545"/>
                <w:sz w:val="24"/>
                <w:szCs w:val="24"/>
              </w:rPr>
              <w:t>)</w:t>
            </w:r>
          </w:p>
        </w:tc>
        <w:tc>
          <w:tcPr>
            <w:tcW w:w="2942" w:type="dxa"/>
          </w:tcPr>
          <w:p w:rsidR="00F32158" w:rsidRPr="000B1EFA" w:rsidRDefault="00F32158" w:rsidP="00FD76DB">
            <w:pPr>
              <w:jc w:val="center"/>
              <w:rPr>
                <w:color w:val="454545"/>
                <w:sz w:val="24"/>
                <w:szCs w:val="24"/>
                <w:lang w:val="en-US"/>
              </w:rPr>
            </w:pPr>
            <w:r w:rsidRPr="000B1EFA">
              <w:rPr>
                <w:color w:val="454545"/>
                <w:sz w:val="24"/>
                <w:szCs w:val="24"/>
                <w:lang w:val="en-US"/>
              </w:rPr>
              <w:t>64,945.56</w:t>
            </w:r>
          </w:p>
          <w:p w:rsidR="00F32158" w:rsidRPr="000B1EFA" w:rsidRDefault="00F32158" w:rsidP="00FD76DB">
            <w:pPr>
              <w:jc w:val="center"/>
              <w:rPr>
                <w:color w:val="454545"/>
                <w:sz w:val="24"/>
                <w:szCs w:val="24"/>
              </w:rPr>
            </w:pPr>
            <w:r w:rsidRPr="000B1EFA">
              <w:rPr>
                <w:color w:val="454545"/>
                <w:sz w:val="24"/>
                <w:szCs w:val="24"/>
              </w:rPr>
              <w:t>(</w:t>
            </w:r>
            <w:r w:rsidRPr="000B1EFA">
              <w:rPr>
                <w:color w:val="454545"/>
                <w:sz w:val="24"/>
                <w:szCs w:val="24"/>
                <w:lang w:val="en-US"/>
              </w:rPr>
              <w:t>68,868.60</w:t>
            </w:r>
            <w:r w:rsidRPr="000B1EFA">
              <w:rPr>
                <w:color w:val="454545"/>
                <w:sz w:val="24"/>
                <w:szCs w:val="24"/>
              </w:rPr>
              <w:t>-</w:t>
            </w:r>
            <w:r w:rsidRPr="000B1EFA">
              <w:rPr>
                <w:color w:val="454545"/>
                <w:sz w:val="24"/>
                <w:szCs w:val="24"/>
                <w:lang w:val="en-US"/>
              </w:rPr>
              <w:t>61,118.90</w:t>
            </w:r>
            <w:r w:rsidRPr="000B1EFA">
              <w:rPr>
                <w:color w:val="454545"/>
                <w:sz w:val="24"/>
                <w:szCs w:val="24"/>
              </w:rPr>
              <w:t>)</w:t>
            </w:r>
          </w:p>
        </w:tc>
      </w:tr>
      <w:tr w:rsidR="00F32158" w:rsidRPr="000B1EFA" w:rsidTr="00BF1F99">
        <w:trPr>
          <w:jc w:val="center"/>
        </w:trPr>
        <w:tc>
          <w:tcPr>
            <w:tcW w:w="959" w:type="dxa"/>
          </w:tcPr>
          <w:p w:rsidR="00F32158" w:rsidRPr="000B1EFA" w:rsidRDefault="00F32158" w:rsidP="00FD76DB">
            <w:pPr>
              <w:jc w:val="center"/>
              <w:rPr>
                <w:rFonts w:eastAsia="Calibri"/>
                <w:sz w:val="24"/>
                <w:szCs w:val="24"/>
              </w:rPr>
            </w:pPr>
            <w:r w:rsidRPr="000B1EFA">
              <w:rPr>
                <w:rFonts w:eastAsia="Calibri"/>
                <w:sz w:val="24"/>
                <w:szCs w:val="24"/>
              </w:rPr>
              <w:t>2014</w:t>
            </w:r>
          </w:p>
          <w:p w:rsidR="00F32158" w:rsidRPr="000B1EFA" w:rsidRDefault="00F32158" w:rsidP="00FD76DB">
            <w:pPr>
              <w:jc w:val="center"/>
              <w:rPr>
                <w:rFonts w:eastAsia="Calibri"/>
                <w:sz w:val="24"/>
                <w:szCs w:val="24"/>
              </w:rPr>
            </w:pPr>
            <w:r w:rsidRPr="000B1EFA">
              <w:rPr>
                <w:rFonts w:eastAsia="Calibri"/>
                <w:sz w:val="24"/>
                <w:szCs w:val="24"/>
              </w:rPr>
              <w:t>ДІ</w:t>
            </w:r>
          </w:p>
        </w:tc>
        <w:tc>
          <w:tcPr>
            <w:tcW w:w="2693" w:type="dxa"/>
          </w:tcPr>
          <w:p w:rsidR="00F32158" w:rsidRPr="000B1EFA" w:rsidRDefault="00F32158" w:rsidP="00FD76DB">
            <w:pPr>
              <w:shd w:val="clear" w:color="auto" w:fill="FFFFFF"/>
              <w:jc w:val="center"/>
              <w:rPr>
                <w:color w:val="454545"/>
                <w:sz w:val="24"/>
                <w:szCs w:val="24"/>
                <w:lang w:val="en-US"/>
              </w:rPr>
            </w:pPr>
            <w:r w:rsidRPr="000B1EFA">
              <w:rPr>
                <w:color w:val="454545"/>
                <w:sz w:val="24"/>
                <w:szCs w:val="24"/>
                <w:lang w:val="en-US"/>
              </w:rPr>
              <w:t>67,548.20</w:t>
            </w:r>
          </w:p>
          <w:p w:rsidR="00F32158" w:rsidRPr="000B1EFA" w:rsidRDefault="00F32158" w:rsidP="00FD76DB">
            <w:pPr>
              <w:shd w:val="clear" w:color="auto" w:fill="FFFFFF"/>
              <w:jc w:val="center"/>
              <w:rPr>
                <w:color w:val="454545"/>
                <w:sz w:val="24"/>
                <w:szCs w:val="24"/>
              </w:rPr>
            </w:pPr>
            <w:r w:rsidRPr="000B1EFA">
              <w:rPr>
                <w:color w:val="454545"/>
                <w:sz w:val="24"/>
                <w:szCs w:val="24"/>
              </w:rPr>
              <w:t>(</w:t>
            </w:r>
            <w:r w:rsidRPr="000B1EFA">
              <w:rPr>
                <w:color w:val="454545"/>
                <w:sz w:val="24"/>
                <w:szCs w:val="24"/>
                <w:lang w:val="en-US"/>
              </w:rPr>
              <w:t>72,640.72</w:t>
            </w:r>
            <w:r w:rsidRPr="000B1EFA">
              <w:rPr>
                <w:color w:val="454545"/>
                <w:sz w:val="24"/>
                <w:szCs w:val="24"/>
              </w:rPr>
              <w:t>-)</w:t>
            </w:r>
            <w:r w:rsidRPr="000B1EFA">
              <w:rPr>
                <w:color w:val="454545"/>
                <w:sz w:val="24"/>
                <w:szCs w:val="24"/>
                <w:lang w:val="en-US"/>
              </w:rPr>
              <w:t>62,538.46</w:t>
            </w:r>
          </w:p>
        </w:tc>
        <w:tc>
          <w:tcPr>
            <w:tcW w:w="2977" w:type="dxa"/>
          </w:tcPr>
          <w:p w:rsidR="00F32158" w:rsidRPr="000B1EFA" w:rsidRDefault="00F32158" w:rsidP="00FD76DB">
            <w:pPr>
              <w:shd w:val="clear" w:color="auto" w:fill="FFFFFF"/>
              <w:jc w:val="center"/>
              <w:rPr>
                <w:color w:val="454545"/>
                <w:sz w:val="24"/>
                <w:szCs w:val="24"/>
                <w:lang w:val="en-US"/>
              </w:rPr>
            </w:pPr>
            <w:r w:rsidRPr="000B1EFA">
              <w:rPr>
                <w:color w:val="454545"/>
                <w:sz w:val="24"/>
                <w:szCs w:val="24"/>
                <w:lang w:val="en-US"/>
              </w:rPr>
              <w:t>74,772.87</w:t>
            </w:r>
          </w:p>
          <w:p w:rsidR="00F32158" w:rsidRPr="000B1EFA" w:rsidRDefault="00F32158" w:rsidP="00FD76DB">
            <w:pPr>
              <w:shd w:val="clear" w:color="auto" w:fill="FFFFFF"/>
              <w:jc w:val="center"/>
              <w:rPr>
                <w:color w:val="454545"/>
                <w:sz w:val="24"/>
                <w:szCs w:val="24"/>
              </w:rPr>
            </w:pPr>
            <w:r w:rsidRPr="000B1EFA">
              <w:rPr>
                <w:color w:val="454545"/>
                <w:sz w:val="24"/>
                <w:szCs w:val="24"/>
              </w:rPr>
              <w:t>(</w:t>
            </w:r>
            <w:r w:rsidRPr="000B1EFA">
              <w:rPr>
                <w:color w:val="454545"/>
                <w:sz w:val="24"/>
                <w:szCs w:val="24"/>
                <w:lang w:val="en-US"/>
              </w:rPr>
              <w:t>80,788.58</w:t>
            </w:r>
            <w:r w:rsidRPr="000B1EFA">
              <w:rPr>
                <w:color w:val="454545"/>
                <w:sz w:val="24"/>
                <w:szCs w:val="24"/>
              </w:rPr>
              <w:t>-</w:t>
            </w:r>
            <w:r w:rsidRPr="000B1EFA">
              <w:rPr>
                <w:color w:val="454545"/>
                <w:sz w:val="24"/>
                <w:szCs w:val="24"/>
                <w:lang w:val="en-US"/>
              </w:rPr>
              <w:t>69,112.92</w:t>
            </w:r>
            <w:r w:rsidRPr="000B1EFA">
              <w:rPr>
                <w:color w:val="454545"/>
                <w:sz w:val="24"/>
                <w:szCs w:val="24"/>
              </w:rPr>
              <w:t>)</w:t>
            </w:r>
          </w:p>
        </w:tc>
        <w:tc>
          <w:tcPr>
            <w:tcW w:w="2942" w:type="dxa"/>
          </w:tcPr>
          <w:p w:rsidR="00F32158" w:rsidRPr="000B1EFA" w:rsidRDefault="00F32158" w:rsidP="00FD76DB">
            <w:pPr>
              <w:jc w:val="center"/>
              <w:rPr>
                <w:color w:val="454545"/>
                <w:sz w:val="24"/>
                <w:szCs w:val="24"/>
                <w:lang w:val="en-US"/>
              </w:rPr>
            </w:pPr>
            <w:r w:rsidRPr="000B1EFA">
              <w:rPr>
                <w:color w:val="454545"/>
                <w:sz w:val="24"/>
                <w:szCs w:val="24"/>
                <w:lang w:val="en-US"/>
              </w:rPr>
              <w:t>59,855.13</w:t>
            </w:r>
          </w:p>
          <w:p w:rsidR="00F32158" w:rsidRPr="000B1EFA" w:rsidRDefault="00F32158" w:rsidP="00FD76DB">
            <w:pPr>
              <w:jc w:val="center"/>
              <w:rPr>
                <w:color w:val="454545"/>
                <w:sz w:val="24"/>
                <w:szCs w:val="24"/>
              </w:rPr>
            </w:pPr>
            <w:r w:rsidRPr="000B1EFA">
              <w:rPr>
                <w:color w:val="454545"/>
                <w:sz w:val="24"/>
                <w:szCs w:val="24"/>
              </w:rPr>
              <w:t>(</w:t>
            </w:r>
            <w:r w:rsidRPr="000B1EFA">
              <w:rPr>
                <w:color w:val="454545"/>
                <w:sz w:val="24"/>
                <w:szCs w:val="24"/>
                <w:lang w:val="en-US"/>
              </w:rPr>
              <w:t>64,529.10</w:t>
            </w:r>
            <w:r w:rsidRPr="000B1EFA">
              <w:rPr>
                <w:color w:val="454545"/>
                <w:sz w:val="24"/>
                <w:szCs w:val="24"/>
              </w:rPr>
              <w:t>-</w:t>
            </w:r>
            <w:r w:rsidRPr="000B1EFA">
              <w:rPr>
                <w:color w:val="454545"/>
                <w:sz w:val="24"/>
                <w:szCs w:val="24"/>
                <w:lang w:val="en-US"/>
              </w:rPr>
              <w:t>55,232.76</w:t>
            </w:r>
            <w:r w:rsidRPr="000B1EFA">
              <w:rPr>
                <w:color w:val="454545"/>
                <w:sz w:val="24"/>
                <w:szCs w:val="24"/>
              </w:rPr>
              <w:t>)</w:t>
            </w:r>
          </w:p>
        </w:tc>
      </w:tr>
      <w:tr w:rsidR="00F32158" w:rsidRPr="000B1EFA" w:rsidTr="00BF1F99">
        <w:trPr>
          <w:jc w:val="center"/>
        </w:trPr>
        <w:tc>
          <w:tcPr>
            <w:tcW w:w="959" w:type="dxa"/>
          </w:tcPr>
          <w:p w:rsidR="00F32158" w:rsidRPr="000B1EFA" w:rsidRDefault="00F32158" w:rsidP="00FD76DB">
            <w:pPr>
              <w:jc w:val="center"/>
              <w:rPr>
                <w:rFonts w:eastAsia="Calibri"/>
                <w:sz w:val="24"/>
                <w:szCs w:val="24"/>
              </w:rPr>
            </w:pPr>
            <w:r w:rsidRPr="000B1EFA">
              <w:rPr>
                <w:rFonts w:eastAsia="Calibri"/>
                <w:sz w:val="24"/>
                <w:szCs w:val="24"/>
              </w:rPr>
              <w:t>2015</w:t>
            </w:r>
          </w:p>
          <w:p w:rsidR="00F32158" w:rsidRPr="000B1EFA" w:rsidRDefault="00F32158" w:rsidP="00FD76DB">
            <w:pPr>
              <w:jc w:val="center"/>
              <w:rPr>
                <w:rFonts w:eastAsia="Calibri"/>
                <w:sz w:val="24"/>
                <w:szCs w:val="24"/>
              </w:rPr>
            </w:pPr>
            <w:r w:rsidRPr="000B1EFA">
              <w:rPr>
                <w:rFonts w:eastAsia="Calibri"/>
                <w:sz w:val="24"/>
                <w:szCs w:val="24"/>
              </w:rPr>
              <w:t>ДІ</w:t>
            </w:r>
          </w:p>
        </w:tc>
        <w:tc>
          <w:tcPr>
            <w:tcW w:w="2693" w:type="dxa"/>
          </w:tcPr>
          <w:p w:rsidR="00F32158" w:rsidRPr="000B1EFA" w:rsidRDefault="00F32158" w:rsidP="00FD76DB">
            <w:pPr>
              <w:jc w:val="center"/>
              <w:rPr>
                <w:color w:val="454545"/>
                <w:sz w:val="24"/>
                <w:szCs w:val="24"/>
                <w:lang w:val="en-US"/>
              </w:rPr>
            </w:pPr>
            <w:r w:rsidRPr="000B1EFA">
              <w:rPr>
                <w:color w:val="454545"/>
                <w:sz w:val="24"/>
                <w:szCs w:val="24"/>
                <w:lang w:val="en-US"/>
              </w:rPr>
              <w:t>73,388.97</w:t>
            </w:r>
          </w:p>
          <w:p w:rsidR="00F32158" w:rsidRPr="000B1EFA" w:rsidRDefault="00F32158" w:rsidP="00FD76DB">
            <w:pPr>
              <w:jc w:val="center"/>
              <w:rPr>
                <w:color w:val="454545"/>
                <w:sz w:val="24"/>
                <w:szCs w:val="24"/>
              </w:rPr>
            </w:pPr>
            <w:r w:rsidRPr="000B1EFA">
              <w:rPr>
                <w:color w:val="454545"/>
                <w:sz w:val="24"/>
                <w:szCs w:val="24"/>
              </w:rPr>
              <w:t>(</w:t>
            </w:r>
            <w:r w:rsidRPr="000B1EFA">
              <w:rPr>
                <w:color w:val="454545"/>
                <w:sz w:val="24"/>
                <w:szCs w:val="24"/>
                <w:lang w:val="en-US"/>
              </w:rPr>
              <w:t>80,662.29</w:t>
            </w:r>
            <w:r w:rsidRPr="000B1EFA">
              <w:rPr>
                <w:color w:val="454545"/>
                <w:sz w:val="24"/>
                <w:szCs w:val="24"/>
              </w:rPr>
              <w:t>-</w:t>
            </w:r>
            <w:r w:rsidRPr="000B1EFA">
              <w:rPr>
                <w:color w:val="454545"/>
                <w:sz w:val="24"/>
                <w:szCs w:val="24"/>
                <w:lang w:val="en-US"/>
              </w:rPr>
              <w:t>66,796.59</w:t>
            </w:r>
            <w:r w:rsidRPr="000B1EFA">
              <w:rPr>
                <w:color w:val="454545"/>
                <w:sz w:val="24"/>
                <w:szCs w:val="24"/>
              </w:rPr>
              <w:t>)</w:t>
            </w:r>
          </w:p>
        </w:tc>
        <w:tc>
          <w:tcPr>
            <w:tcW w:w="2977" w:type="dxa"/>
          </w:tcPr>
          <w:p w:rsidR="00F32158" w:rsidRPr="000B1EFA" w:rsidRDefault="00F32158" w:rsidP="00FD76DB">
            <w:pPr>
              <w:jc w:val="center"/>
              <w:rPr>
                <w:color w:val="454545"/>
                <w:sz w:val="24"/>
                <w:szCs w:val="24"/>
                <w:lang w:val="en-US"/>
              </w:rPr>
            </w:pPr>
            <w:r w:rsidRPr="000B1EFA">
              <w:rPr>
                <w:color w:val="454545"/>
                <w:sz w:val="24"/>
                <w:szCs w:val="24"/>
                <w:lang w:val="en-US"/>
              </w:rPr>
              <w:t>81,552.56</w:t>
            </w:r>
          </w:p>
          <w:p w:rsidR="00F32158" w:rsidRPr="000B1EFA" w:rsidRDefault="00F32158" w:rsidP="00FD76DB">
            <w:pPr>
              <w:jc w:val="center"/>
              <w:rPr>
                <w:color w:val="454545"/>
                <w:sz w:val="24"/>
                <w:szCs w:val="24"/>
              </w:rPr>
            </w:pPr>
            <w:r w:rsidRPr="000B1EFA">
              <w:rPr>
                <w:color w:val="454545"/>
                <w:sz w:val="24"/>
                <w:szCs w:val="24"/>
              </w:rPr>
              <w:t>(</w:t>
            </w:r>
            <w:r w:rsidRPr="000B1EFA">
              <w:rPr>
                <w:color w:val="454545"/>
                <w:sz w:val="24"/>
                <w:szCs w:val="24"/>
                <w:lang w:val="en-US"/>
              </w:rPr>
              <w:t>89,897.32</w:t>
            </w:r>
            <w:r w:rsidRPr="000B1EFA">
              <w:rPr>
                <w:color w:val="454545"/>
                <w:sz w:val="24"/>
                <w:szCs w:val="24"/>
              </w:rPr>
              <w:t>-</w:t>
            </w:r>
            <w:r w:rsidRPr="000B1EFA">
              <w:rPr>
                <w:color w:val="454545"/>
                <w:sz w:val="24"/>
                <w:szCs w:val="24"/>
                <w:lang w:val="en-US"/>
              </w:rPr>
              <w:t>73,681.16</w:t>
            </w:r>
            <w:r w:rsidRPr="000B1EFA">
              <w:rPr>
                <w:color w:val="454545"/>
                <w:sz w:val="24"/>
                <w:szCs w:val="24"/>
              </w:rPr>
              <w:t>)</w:t>
            </w:r>
          </w:p>
        </w:tc>
        <w:tc>
          <w:tcPr>
            <w:tcW w:w="2942" w:type="dxa"/>
          </w:tcPr>
          <w:p w:rsidR="00F32158" w:rsidRPr="000B1EFA" w:rsidRDefault="00F32158" w:rsidP="00FD76DB">
            <w:pPr>
              <w:shd w:val="clear" w:color="auto" w:fill="FFFFFF"/>
              <w:jc w:val="center"/>
              <w:rPr>
                <w:color w:val="454545"/>
                <w:sz w:val="24"/>
                <w:szCs w:val="24"/>
                <w:lang w:val="en-US"/>
              </w:rPr>
            </w:pPr>
            <w:r w:rsidRPr="000B1EFA">
              <w:rPr>
                <w:color w:val="454545"/>
                <w:sz w:val="24"/>
                <w:szCs w:val="24"/>
                <w:lang w:val="en-US"/>
              </w:rPr>
              <w:t>64,696.86</w:t>
            </w:r>
          </w:p>
          <w:p w:rsidR="00F32158" w:rsidRPr="000B1EFA" w:rsidRDefault="00F32158" w:rsidP="00FD76DB">
            <w:pPr>
              <w:shd w:val="clear" w:color="auto" w:fill="FFFFFF"/>
              <w:jc w:val="center"/>
              <w:rPr>
                <w:color w:val="454545"/>
                <w:sz w:val="24"/>
                <w:szCs w:val="24"/>
              </w:rPr>
            </w:pPr>
            <w:r w:rsidRPr="000B1EFA">
              <w:rPr>
                <w:color w:val="454545"/>
                <w:sz w:val="24"/>
                <w:szCs w:val="24"/>
              </w:rPr>
              <w:t>(</w:t>
            </w:r>
            <w:r w:rsidRPr="000B1EFA">
              <w:rPr>
                <w:color w:val="454545"/>
                <w:sz w:val="24"/>
                <w:szCs w:val="24"/>
                <w:lang w:val="en-US"/>
              </w:rPr>
              <w:t>71,045.39</w:t>
            </w:r>
            <w:r w:rsidRPr="000B1EFA">
              <w:rPr>
                <w:color w:val="454545"/>
                <w:sz w:val="24"/>
                <w:szCs w:val="24"/>
              </w:rPr>
              <w:t>-</w:t>
            </w:r>
            <w:r w:rsidRPr="000B1EFA">
              <w:rPr>
                <w:color w:val="454545"/>
                <w:sz w:val="24"/>
                <w:szCs w:val="24"/>
                <w:lang w:val="en-US"/>
              </w:rPr>
              <w:t>58,199.15</w:t>
            </w:r>
            <w:r w:rsidRPr="000B1EFA">
              <w:rPr>
                <w:color w:val="454545"/>
                <w:sz w:val="24"/>
                <w:szCs w:val="24"/>
              </w:rPr>
              <w:t>)</w:t>
            </w:r>
          </w:p>
        </w:tc>
      </w:tr>
      <w:tr w:rsidR="00F32158" w:rsidRPr="000B1EFA" w:rsidTr="00BF1F99">
        <w:trPr>
          <w:jc w:val="center"/>
        </w:trPr>
        <w:tc>
          <w:tcPr>
            <w:tcW w:w="959" w:type="dxa"/>
          </w:tcPr>
          <w:p w:rsidR="00F32158" w:rsidRPr="000B1EFA" w:rsidRDefault="00F32158" w:rsidP="00FD76DB">
            <w:pPr>
              <w:jc w:val="center"/>
              <w:rPr>
                <w:rFonts w:eastAsia="Calibri"/>
                <w:sz w:val="24"/>
                <w:szCs w:val="24"/>
              </w:rPr>
            </w:pPr>
            <w:r w:rsidRPr="000B1EFA">
              <w:rPr>
                <w:rFonts w:eastAsia="Calibri"/>
                <w:sz w:val="24"/>
                <w:szCs w:val="24"/>
              </w:rPr>
              <w:t>2016</w:t>
            </w:r>
          </w:p>
          <w:p w:rsidR="00F32158" w:rsidRPr="000B1EFA" w:rsidRDefault="00F32158" w:rsidP="00FD76DB">
            <w:pPr>
              <w:jc w:val="center"/>
              <w:rPr>
                <w:rFonts w:eastAsia="Calibri"/>
                <w:sz w:val="24"/>
                <w:szCs w:val="24"/>
              </w:rPr>
            </w:pPr>
            <w:r w:rsidRPr="000B1EFA">
              <w:rPr>
                <w:rFonts w:eastAsia="Calibri"/>
                <w:sz w:val="24"/>
                <w:szCs w:val="24"/>
              </w:rPr>
              <w:t>ДІ</w:t>
            </w:r>
          </w:p>
        </w:tc>
        <w:tc>
          <w:tcPr>
            <w:tcW w:w="2693" w:type="dxa"/>
          </w:tcPr>
          <w:p w:rsidR="00F32158" w:rsidRPr="000B1EFA" w:rsidRDefault="00F32158" w:rsidP="00FD76DB">
            <w:pPr>
              <w:shd w:val="clear" w:color="auto" w:fill="FFFFFF"/>
              <w:jc w:val="center"/>
              <w:rPr>
                <w:color w:val="454545"/>
                <w:sz w:val="24"/>
                <w:szCs w:val="24"/>
                <w:lang w:val="en-US"/>
              </w:rPr>
            </w:pPr>
            <w:r w:rsidRPr="000B1EFA">
              <w:rPr>
                <w:color w:val="454545"/>
                <w:sz w:val="24"/>
                <w:szCs w:val="24"/>
                <w:lang w:val="en-US"/>
              </w:rPr>
              <w:t>71,302.96</w:t>
            </w:r>
          </w:p>
          <w:p w:rsidR="00F32158" w:rsidRPr="000B1EFA" w:rsidRDefault="00F32158" w:rsidP="00FD76DB">
            <w:pPr>
              <w:shd w:val="clear" w:color="auto" w:fill="FFFFFF"/>
              <w:jc w:val="center"/>
              <w:rPr>
                <w:color w:val="454545"/>
                <w:sz w:val="24"/>
                <w:szCs w:val="24"/>
              </w:rPr>
            </w:pPr>
            <w:r w:rsidRPr="000B1EFA">
              <w:rPr>
                <w:color w:val="454545"/>
                <w:sz w:val="24"/>
                <w:szCs w:val="24"/>
              </w:rPr>
              <w:t>(</w:t>
            </w:r>
            <w:r w:rsidRPr="000B1EFA">
              <w:rPr>
                <w:color w:val="454545"/>
                <w:sz w:val="24"/>
                <w:szCs w:val="24"/>
                <w:lang w:val="en-US"/>
              </w:rPr>
              <w:t>78,963.18</w:t>
            </w:r>
            <w:r w:rsidRPr="000B1EFA">
              <w:rPr>
                <w:color w:val="454545"/>
                <w:sz w:val="24"/>
                <w:szCs w:val="24"/>
              </w:rPr>
              <w:t>-</w:t>
            </w:r>
            <w:r w:rsidRPr="000B1EFA">
              <w:rPr>
                <w:color w:val="454545"/>
                <w:sz w:val="24"/>
                <w:szCs w:val="24"/>
                <w:lang w:val="en-US"/>
              </w:rPr>
              <w:t>63,482.09</w:t>
            </w:r>
            <w:r w:rsidRPr="000B1EFA">
              <w:rPr>
                <w:color w:val="454545"/>
                <w:sz w:val="24"/>
                <w:szCs w:val="24"/>
              </w:rPr>
              <w:t>)</w:t>
            </w:r>
          </w:p>
        </w:tc>
        <w:tc>
          <w:tcPr>
            <w:tcW w:w="2977" w:type="dxa"/>
          </w:tcPr>
          <w:p w:rsidR="00F32158" w:rsidRPr="000B1EFA" w:rsidRDefault="00F32158" w:rsidP="00FD76DB">
            <w:pPr>
              <w:shd w:val="clear" w:color="auto" w:fill="FFFFFF"/>
              <w:jc w:val="center"/>
              <w:rPr>
                <w:color w:val="454545"/>
                <w:sz w:val="24"/>
                <w:szCs w:val="24"/>
                <w:lang w:val="en-US"/>
              </w:rPr>
            </w:pPr>
            <w:r w:rsidRPr="000B1EFA">
              <w:rPr>
                <w:color w:val="454545"/>
                <w:sz w:val="24"/>
                <w:szCs w:val="24"/>
                <w:lang w:val="en-US"/>
              </w:rPr>
              <w:t>79,230.31</w:t>
            </w:r>
          </w:p>
          <w:p w:rsidR="00F32158" w:rsidRPr="000B1EFA" w:rsidRDefault="00F32158" w:rsidP="00FD76DB">
            <w:pPr>
              <w:shd w:val="clear" w:color="auto" w:fill="FFFFFF"/>
              <w:jc w:val="center"/>
              <w:rPr>
                <w:color w:val="454545"/>
                <w:sz w:val="24"/>
                <w:szCs w:val="24"/>
              </w:rPr>
            </w:pPr>
            <w:r w:rsidRPr="000B1EFA">
              <w:rPr>
                <w:color w:val="454545"/>
                <w:sz w:val="24"/>
                <w:szCs w:val="24"/>
              </w:rPr>
              <w:t>(</w:t>
            </w:r>
            <w:r w:rsidRPr="000B1EFA">
              <w:rPr>
                <w:color w:val="454545"/>
                <w:sz w:val="24"/>
                <w:szCs w:val="24"/>
                <w:lang w:val="en-US"/>
              </w:rPr>
              <w:t>88,066.15</w:t>
            </w:r>
            <w:r w:rsidRPr="000B1EFA">
              <w:rPr>
                <w:color w:val="454545"/>
                <w:sz w:val="24"/>
                <w:szCs w:val="24"/>
              </w:rPr>
              <w:t>-</w:t>
            </w:r>
            <w:r w:rsidRPr="000B1EFA">
              <w:rPr>
                <w:color w:val="454545"/>
                <w:sz w:val="24"/>
                <w:szCs w:val="24"/>
                <w:lang w:val="en-US"/>
              </w:rPr>
              <w:t>69,597.31</w:t>
            </w:r>
            <w:r w:rsidRPr="000B1EFA">
              <w:rPr>
                <w:color w:val="454545"/>
                <w:sz w:val="24"/>
                <w:szCs w:val="24"/>
              </w:rPr>
              <w:t>)</w:t>
            </w:r>
          </w:p>
        </w:tc>
        <w:tc>
          <w:tcPr>
            <w:tcW w:w="2942" w:type="dxa"/>
          </w:tcPr>
          <w:p w:rsidR="00F32158" w:rsidRPr="000B1EFA" w:rsidRDefault="00F32158" w:rsidP="00FD76DB">
            <w:pPr>
              <w:jc w:val="center"/>
              <w:rPr>
                <w:color w:val="454545"/>
                <w:sz w:val="24"/>
                <w:szCs w:val="24"/>
                <w:lang w:val="en-US"/>
              </w:rPr>
            </w:pPr>
            <w:r w:rsidRPr="000B1EFA">
              <w:rPr>
                <w:color w:val="454545"/>
                <w:sz w:val="24"/>
                <w:szCs w:val="24"/>
                <w:lang w:val="en-US"/>
              </w:rPr>
              <w:t>62,859.07</w:t>
            </w:r>
          </w:p>
          <w:p w:rsidR="00F32158" w:rsidRPr="000B1EFA" w:rsidRDefault="00F32158" w:rsidP="00FD76DB">
            <w:pPr>
              <w:jc w:val="center"/>
              <w:rPr>
                <w:color w:val="454545"/>
                <w:sz w:val="24"/>
                <w:szCs w:val="24"/>
              </w:rPr>
            </w:pPr>
            <w:r w:rsidRPr="000B1EFA">
              <w:rPr>
                <w:color w:val="454545"/>
                <w:sz w:val="24"/>
                <w:szCs w:val="24"/>
              </w:rPr>
              <w:t>(</w:t>
            </w:r>
            <w:r w:rsidRPr="000B1EFA">
              <w:rPr>
                <w:color w:val="454545"/>
                <w:sz w:val="24"/>
                <w:szCs w:val="24"/>
                <w:lang w:val="en-US"/>
              </w:rPr>
              <w:t>69,711.24</w:t>
            </w:r>
            <w:r w:rsidRPr="000B1EFA">
              <w:rPr>
                <w:color w:val="454545"/>
                <w:sz w:val="24"/>
                <w:szCs w:val="24"/>
              </w:rPr>
              <w:t>-</w:t>
            </w:r>
            <w:r w:rsidRPr="000B1EFA">
              <w:rPr>
                <w:color w:val="454545"/>
                <w:sz w:val="24"/>
                <w:szCs w:val="24"/>
                <w:lang w:val="en-US"/>
              </w:rPr>
              <w:t>56,035.04</w:t>
            </w:r>
            <w:r w:rsidRPr="000B1EFA">
              <w:rPr>
                <w:color w:val="454545"/>
                <w:sz w:val="24"/>
                <w:szCs w:val="24"/>
              </w:rPr>
              <w:t>)</w:t>
            </w:r>
          </w:p>
        </w:tc>
      </w:tr>
      <w:tr w:rsidR="00F32158" w:rsidRPr="000B1EFA" w:rsidTr="00BF1F99">
        <w:trPr>
          <w:jc w:val="center"/>
        </w:trPr>
        <w:tc>
          <w:tcPr>
            <w:tcW w:w="959" w:type="dxa"/>
          </w:tcPr>
          <w:p w:rsidR="00F32158" w:rsidRPr="000B1EFA" w:rsidRDefault="00F32158" w:rsidP="00FD76DB">
            <w:pPr>
              <w:jc w:val="center"/>
              <w:rPr>
                <w:rFonts w:eastAsia="Calibri"/>
                <w:sz w:val="24"/>
                <w:szCs w:val="24"/>
              </w:rPr>
            </w:pPr>
            <w:r w:rsidRPr="000B1EFA">
              <w:rPr>
                <w:rFonts w:eastAsia="Calibri"/>
                <w:sz w:val="24"/>
                <w:szCs w:val="24"/>
              </w:rPr>
              <w:t>2017</w:t>
            </w:r>
          </w:p>
          <w:p w:rsidR="00F32158" w:rsidRPr="000B1EFA" w:rsidRDefault="00F32158" w:rsidP="00FD76DB">
            <w:pPr>
              <w:jc w:val="center"/>
              <w:rPr>
                <w:rFonts w:eastAsia="Calibri"/>
                <w:sz w:val="24"/>
                <w:szCs w:val="24"/>
              </w:rPr>
            </w:pPr>
            <w:r w:rsidRPr="000B1EFA">
              <w:rPr>
                <w:rFonts w:eastAsia="Calibri"/>
                <w:sz w:val="24"/>
                <w:szCs w:val="24"/>
              </w:rPr>
              <w:t>ДІ</w:t>
            </w:r>
          </w:p>
        </w:tc>
        <w:tc>
          <w:tcPr>
            <w:tcW w:w="2693" w:type="dxa"/>
          </w:tcPr>
          <w:p w:rsidR="00F32158" w:rsidRPr="000B1EFA" w:rsidRDefault="00F32158" w:rsidP="00FD76DB">
            <w:pPr>
              <w:jc w:val="center"/>
              <w:rPr>
                <w:color w:val="454545"/>
                <w:sz w:val="24"/>
                <w:szCs w:val="24"/>
                <w:lang w:val="en-US"/>
              </w:rPr>
            </w:pPr>
            <w:r w:rsidRPr="000B1EFA">
              <w:rPr>
                <w:color w:val="454545"/>
                <w:sz w:val="24"/>
                <w:szCs w:val="24"/>
                <w:lang w:val="en-US"/>
              </w:rPr>
              <w:t>68,248.39</w:t>
            </w:r>
          </w:p>
          <w:p w:rsidR="00F32158" w:rsidRPr="000B1EFA" w:rsidRDefault="00F32158" w:rsidP="00FD76DB">
            <w:pPr>
              <w:jc w:val="center"/>
              <w:rPr>
                <w:color w:val="454545"/>
                <w:sz w:val="24"/>
                <w:szCs w:val="24"/>
              </w:rPr>
            </w:pPr>
            <w:r w:rsidRPr="000B1EFA">
              <w:rPr>
                <w:color w:val="454545"/>
                <w:sz w:val="24"/>
                <w:szCs w:val="24"/>
              </w:rPr>
              <w:t>(</w:t>
            </w:r>
            <w:r w:rsidRPr="000B1EFA">
              <w:rPr>
                <w:color w:val="454545"/>
                <w:sz w:val="24"/>
                <w:szCs w:val="24"/>
                <w:lang w:val="en-US"/>
              </w:rPr>
              <w:t>78,056.51</w:t>
            </w:r>
            <w:r w:rsidRPr="000B1EFA">
              <w:rPr>
                <w:color w:val="454545"/>
                <w:sz w:val="24"/>
                <w:szCs w:val="24"/>
              </w:rPr>
              <w:t>-</w:t>
            </w:r>
            <w:r w:rsidRPr="000B1EFA">
              <w:rPr>
                <w:color w:val="454545"/>
                <w:sz w:val="24"/>
                <w:szCs w:val="24"/>
                <w:lang w:val="en-US"/>
              </w:rPr>
              <w:t>58,767.49</w:t>
            </w:r>
            <w:r w:rsidRPr="000B1EFA">
              <w:rPr>
                <w:color w:val="454545"/>
                <w:sz w:val="24"/>
                <w:szCs w:val="24"/>
              </w:rPr>
              <w:t>)</w:t>
            </w:r>
          </w:p>
        </w:tc>
        <w:tc>
          <w:tcPr>
            <w:tcW w:w="2977" w:type="dxa"/>
          </w:tcPr>
          <w:p w:rsidR="00F32158" w:rsidRPr="000B1EFA" w:rsidRDefault="00F32158" w:rsidP="00FD76DB">
            <w:pPr>
              <w:jc w:val="center"/>
              <w:rPr>
                <w:color w:val="454545"/>
                <w:sz w:val="24"/>
                <w:szCs w:val="24"/>
                <w:lang w:val="en-US"/>
              </w:rPr>
            </w:pPr>
            <w:r w:rsidRPr="000B1EFA">
              <w:rPr>
                <w:color w:val="454545"/>
                <w:sz w:val="24"/>
                <w:szCs w:val="24"/>
                <w:lang w:val="en-US"/>
              </w:rPr>
              <w:t>75,731.05</w:t>
            </w:r>
          </w:p>
          <w:p w:rsidR="00F32158" w:rsidRPr="000B1EFA" w:rsidRDefault="00F32158" w:rsidP="00FD76DB">
            <w:pPr>
              <w:jc w:val="center"/>
              <w:rPr>
                <w:color w:val="454545"/>
                <w:sz w:val="24"/>
                <w:szCs w:val="24"/>
              </w:rPr>
            </w:pPr>
            <w:r w:rsidRPr="000B1EFA">
              <w:rPr>
                <w:color w:val="454545"/>
                <w:sz w:val="24"/>
                <w:szCs w:val="24"/>
              </w:rPr>
              <w:t>(</w:t>
            </w:r>
            <w:r w:rsidRPr="000B1EFA">
              <w:rPr>
                <w:color w:val="454545"/>
                <w:sz w:val="24"/>
                <w:szCs w:val="24"/>
                <w:lang w:val="en-US"/>
              </w:rPr>
              <w:t>86,781.34</w:t>
            </w:r>
            <w:r w:rsidRPr="000B1EFA">
              <w:rPr>
                <w:color w:val="454545"/>
                <w:sz w:val="24"/>
                <w:szCs w:val="24"/>
              </w:rPr>
              <w:t>-</w:t>
            </w:r>
            <w:r w:rsidRPr="000B1EFA">
              <w:rPr>
                <w:color w:val="454545"/>
                <w:sz w:val="24"/>
                <w:szCs w:val="24"/>
                <w:lang w:val="en-US"/>
              </w:rPr>
              <w:t>65,042.51</w:t>
            </w:r>
            <w:r w:rsidRPr="000B1EFA">
              <w:rPr>
                <w:color w:val="454545"/>
                <w:sz w:val="24"/>
                <w:szCs w:val="24"/>
              </w:rPr>
              <w:t>)</w:t>
            </w:r>
          </w:p>
        </w:tc>
        <w:tc>
          <w:tcPr>
            <w:tcW w:w="2942" w:type="dxa"/>
          </w:tcPr>
          <w:p w:rsidR="00F32158" w:rsidRPr="000B1EFA" w:rsidRDefault="00F32158" w:rsidP="00FD76DB">
            <w:pPr>
              <w:shd w:val="clear" w:color="auto" w:fill="FFFFFF"/>
              <w:jc w:val="center"/>
              <w:rPr>
                <w:color w:val="454545"/>
                <w:sz w:val="24"/>
                <w:szCs w:val="24"/>
                <w:lang w:val="en-US"/>
              </w:rPr>
            </w:pPr>
            <w:r w:rsidRPr="000B1EFA">
              <w:rPr>
                <w:color w:val="454545"/>
                <w:sz w:val="24"/>
                <w:szCs w:val="24"/>
                <w:lang w:val="en-US"/>
              </w:rPr>
              <w:t>60,273.00</w:t>
            </w:r>
          </w:p>
          <w:p w:rsidR="00F32158" w:rsidRPr="000B1EFA" w:rsidRDefault="00F32158" w:rsidP="00FD76DB">
            <w:pPr>
              <w:shd w:val="clear" w:color="auto" w:fill="FFFFFF"/>
              <w:jc w:val="center"/>
              <w:rPr>
                <w:color w:val="454545"/>
                <w:sz w:val="24"/>
                <w:szCs w:val="24"/>
              </w:rPr>
            </w:pPr>
            <w:r w:rsidRPr="000B1EFA">
              <w:rPr>
                <w:color w:val="454545"/>
                <w:sz w:val="24"/>
                <w:szCs w:val="24"/>
              </w:rPr>
              <w:t>(</w:t>
            </w:r>
            <w:r w:rsidRPr="000B1EFA">
              <w:rPr>
                <w:color w:val="454545"/>
                <w:sz w:val="24"/>
                <w:szCs w:val="24"/>
                <w:lang w:val="en-US"/>
              </w:rPr>
              <w:t>68,602.28</w:t>
            </w:r>
            <w:r w:rsidRPr="000B1EFA">
              <w:rPr>
                <w:color w:val="454545"/>
                <w:sz w:val="24"/>
                <w:szCs w:val="24"/>
              </w:rPr>
              <w:t>-</w:t>
            </w:r>
            <w:r w:rsidRPr="000B1EFA">
              <w:rPr>
                <w:color w:val="454545"/>
                <w:sz w:val="24"/>
                <w:szCs w:val="24"/>
                <w:lang w:val="en-US"/>
              </w:rPr>
              <w:t>52,198.12</w:t>
            </w:r>
            <w:r w:rsidRPr="000B1EFA">
              <w:rPr>
                <w:color w:val="454545"/>
                <w:sz w:val="24"/>
                <w:szCs w:val="24"/>
              </w:rPr>
              <w:t>)</w:t>
            </w:r>
          </w:p>
        </w:tc>
      </w:tr>
      <w:tr w:rsidR="00F32158" w:rsidRPr="000B1EFA" w:rsidTr="00BF1F99">
        <w:trPr>
          <w:jc w:val="center"/>
        </w:trPr>
        <w:tc>
          <w:tcPr>
            <w:tcW w:w="959" w:type="dxa"/>
          </w:tcPr>
          <w:p w:rsidR="00F32158" w:rsidRPr="000B1EFA" w:rsidRDefault="00F32158" w:rsidP="00FD76DB">
            <w:pPr>
              <w:jc w:val="center"/>
              <w:rPr>
                <w:rFonts w:eastAsia="Calibri"/>
                <w:sz w:val="24"/>
                <w:szCs w:val="24"/>
              </w:rPr>
            </w:pPr>
            <w:r w:rsidRPr="000B1EFA">
              <w:rPr>
                <w:rFonts w:eastAsia="Calibri"/>
                <w:sz w:val="24"/>
                <w:szCs w:val="24"/>
              </w:rPr>
              <w:t>2018</w:t>
            </w:r>
          </w:p>
          <w:p w:rsidR="00F32158" w:rsidRPr="000B1EFA" w:rsidRDefault="00F32158" w:rsidP="00FD76DB">
            <w:pPr>
              <w:jc w:val="center"/>
              <w:rPr>
                <w:rFonts w:eastAsia="Calibri"/>
                <w:sz w:val="24"/>
                <w:szCs w:val="24"/>
              </w:rPr>
            </w:pPr>
            <w:r w:rsidRPr="000B1EFA">
              <w:rPr>
                <w:rFonts w:eastAsia="Calibri"/>
                <w:sz w:val="24"/>
                <w:szCs w:val="24"/>
              </w:rPr>
              <w:t>ДІ</w:t>
            </w:r>
          </w:p>
        </w:tc>
        <w:tc>
          <w:tcPr>
            <w:tcW w:w="2693" w:type="dxa"/>
          </w:tcPr>
          <w:p w:rsidR="00F32158" w:rsidRPr="000B1EFA" w:rsidRDefault="00F32158" w:rsidP="00FD76DB">
            <w:pPr>
              <w:shd w:val="clear" w:color="auto" w:fill="FFFFFF"/>
              <w:jc w:val="center"/>
              <w:rPr>
                <w:color w:val="454545"/>
                <w:sz w:val="24"/>
                <w:szCs w:val="24"/>
                <w:lang w:val="en-US"/>
              </w:rPr>
            </w:pPr>
            <w:r w:rsidRPr="000B1EFA">
              <w:rPr>
                <w:color w:val="454545"/>
                <w:sz w:val="24"/>
                <w:szCs w:val="24"/>
                <w:lang w:val="en-US"/>
              </w:rPr>
              <w:t>66,121.36</w:t>
            </w:r>
          </w:p>
          <w:p w:rsidR="00F32158" w:rsidRPr="000B1EFA" w:rsidRDefault="00F32158" w:rsidP="00FD76DB">
            <w:pPr>
              <w:shd w:val="clear" w:color="auto" w:fill="FFFFFF"/>
              <w:jc w:val="center"/>
              <w:rPr>
                <w:color w:val="454545"/>
                <w:sz w:val="24"/>
                <w:szCs w:val="24"/>
              </w:rPr>
            </w:pPr>
            <w:r w:rsidRPr="000B1EFA">
              <w:rPr>
                <w:color w:val="454545"/>
                <w:sz w:val="24"/>
                <w:szCs w:val="24"/>
              </w:rPr>
              <w:t>(</w:t>
            </w:r>
            <w:r w:rsidRPr="000B1EFA">
              <w:rPr>
                <w:color w:val="454545"/>
                <w:sz w:val="24"/>
                <w:szCs w:val="24"/>
                <w:lang w:val="en-US"/>
              </w:rPr>
              <w:t>78,464.33</w:t>
            </w:r>
            <w:r w:rsidRPr="000B1EFA">
              <w:rPr>
                <w:color w:val="454545"/>
                <w:sz w:val="24"/>
                <w:szCs w:val="24"/>
              </w:rPr>
              <w:t>-</w:t>
            </w:r>
            <w:r w:rsidRPr="000B1EFA">
              <w:rPr>
                <w:color w:val="454545"/>
                <w:sz w:val="24"/>
                <w:szCs w:val="24"/>
                <w:lang w:val="en-US"/>
              </w:rPr>
              <w:t>56,100.11</w:t>
            </w:r>
            <w:r w:rsidRPr="000B1EFA">
              <w:rPr>
                <w:color w:val="454545"/>
                <w:sz w:val="24"/>
                <w:szCs w:val="24"/>
              </w:rPr>
              <w:t>)</w:t>
            </w:r>
          </w:p>
        </w:tc>
        <w:tc>
          <w:tcPr>
            <w:tcW w:w="2977" w:type="dxa"/>
          </w:tcPr>
          <w:p w:rsidR="00F32158" w:rsidRPr="000B1EFA" w:rsidRDefault="00F32158" w:rsidP="00FD76DB">
            <w:pPr>
              <w:shd w:val="clear" w:color="auto" w:fill="FFFFFF"/>
              <w:jc w:val="center"/>
              <w:rPr>
                <w:color w:val="454545"/>
                <w:sz w:val="24"/>
                <w:szCs w:val="24"/>
                <w:lang w:val="en-US"/>
              </w:rPr>
            </w:pPr>
            <w:r w:rsidRPr="000B1EFA">
              <w:rPr>
                <w:color w:val="454545"/>
                <w:sz w:val="24"/>
                <w:szCs w:val="24"/>
                <w:lang w:val="en-US"/>
              </w:rPr>
              <w:t>73,325.77</w:t>
            </w:r>
          </w:p>
          <w:p w:rsidR="00F32158" w:rsidRPr="000B1EFA" w:rsidRDefault="00F32158" w:rsidP="00FD76DB">
            <w:pPr>
              <w:shd w:val="clear" w:color="auto" w:fill="FFFFFF"/>
              <w:jc w:val="center"/>
              <w:rPr>
                <w:color w:val="454545"/>
                <w:sz w:val="24"/>
                <w:szCs w:val="24"/>
              </w:rPr>
            </w:pPr>
            <w:r w:rsidRPr="000B1EFA">
              <w:rPr>
                <w:color w:val="454545"/>
                <w:sz w:val="24"/>
                <w:szCs w:val="24"/>
              </w:rPr>
              <w:t>(</w:t>
            </w:r>
            <w:r w:rsidRPr="000B1EFA">
              <w:rPr>
                <w:color w:val="454545"/>
                <w:sz w:val="24"/>
                <w:szCs w:val="24"/>
                <w:lang w:val="en-US"/>
              </w:rPr>
              <w:t>86,958.38</w:t>
            </w:r>
            <w:r w:rsidRPr="000B1EFA">
              <w:rPr>
                <w:color w:val="454545"/>
                <w:sz w:val="24"/>
                <w:szCs w:val="24"/>
              </w:rPr>
              <w:t>-</w:t>
            </w:r>
            <w:r w:rsidRPr="000B1EFA">
              <w:rPr>
                <w:color w:val="454545"/>
                <w:sz w:val="24"/>
                <w:szCs w:val="24"/>
                <w:lang w:val="en-US"/>
              </w:rPr>
              <w:t>61,348.90</w:t>
            </w:r>
            <w:r w:rsidRPr="000B1EFA">
              <w:rPr>
                <w:color w:val="454545"/>
                <w:sz w:val="24"/>
                <w:szCs w:val="24"/>
              </w:rPr>
              <w:t>)</w:t>
            </w:r>
          </w:p>
        </w:tc>
        <w:tc>
          <w:tcPr>
            <w:tcW w:w="2942" w:type="dxa"/>
          </w:tcPr>
          <w:p w:rsidR="00F32158" w:rsidRPr="000B1EFA" w:rsidRDefault="00F32158" w:rsidP="00FD76DB">
            <w:pPr>
              <w:jc w:val="center"/>
              <w:rPr>
                <w:color w:val="454545"/>
                <w:sz w:val="24"/>
                <w:szCs w:val="24"/>
                <w:lang w:val="en-US"/>
              </w:rPr>
            </w:pPr>
            <w:r w:rsidRPr="000B1EFA">
              <w:rPr>
                <w:color w:val="454545"/>
                <w:sz w:val="24"/>
                <w:szCs w:val="24"/>
                <w:lang w:val="en-US"/>
              </w:rPr>
              <w:t>58,439.47</w:t>
            </w:r>
          </w:p>
          <w:p w:rsidR="00F32158" w:rsidRPr="000B1EFA" w:rsidRDefault="00F32158" w:rsidP="00FD76DB">
            <w:pPr>
              <w:jc w:val="center"/>
              <w:rPr>
                <w:color w:val="454545"/>
                <w:sz w:val="24"/>
                <w:szCs w:val="24"/>
              </w:rPr>
            </w:pPr>
            <w:r w:rsidRPr="000B1EFA">
              <w:rPr>
                <w:color w:val="454545"/>
                <w:sz w:val="24"/>
                <w:szCs w:val="24"/>
              </w:rPr>
              <w:t>(</w:t>
            </w:r>
            <w:r w:rsidRPr="000B1EFA">
              <w:rPr>
                <w:color w:val="454545"/>
                <w:sz w:val="24"/>
                <w:szCs w:val="24"/>
                <w:lang w:val="en-US"/>
              </w:rPr>
              <w:t>69,123.14</w:t>
            </w:r>
            <w:r w:rsidRPr="000B1EFA">
              <w:rPr>
                <w:color w:val="454545"/>
                <w:sz w:val="24"/>
                <w:szCs w:val="24"/>
              </w:rPr>
              <w:t>-</w:t>
            </w:r>
            <w:r w:rsidRPr="000B1EFA">
              <w:rPr>
                <w:color w:val="454545"/>
                <w:sz w:val="24"/>
                <w:szCs w:val="24"/>
                <w:lang w:val="en-US"/>
              </w:rPr>
              <w:t>49,407.92</w:t>
            </w:r>
            <w:r w:rsidRPr="000B1EFA">
              <w:rPr>
                <w:color w:val="454545"/>
                <w:sz w:val="24"/>
                <w:szCs w:val="24"/>
              </w:rPr>
              <w:t>)</w:t>
            </w:r>
          </w:p>
        </w:tc>
      </w:tr>
      <w:tr w:rsidR="00F32158" w:rsidRPr="000B1EFA" w:rsidTr="00BF1F99">
        <w:trPr>
          <w:jc w:val="center"/>
        </w:trPr>
        <w:tc>
          <w:tcPr>
            <w:tcW w:w="959" w:type="dxa"/>
          </w:tcPr>
          <w:p w:rsidR="00F32158" w:rsidRPr="000B1EFA" w:rsidRDefault="00F32158" w:rsidP="00FD76DB">
            <w:pPr>
              <w:jc w:val="center"/>
              <w:rPr>
                <w:rFonts w:eastAsia="Calibri"/>
                <w:sz w:val="24"/>
                <w:szCs w:val="24"/>
              </w:rPr>
            </w:pPr>
            <w:r w:rsidRPr="000B1EFA">
              <w:rPr>
                <w:rFonts w:eastAsia="Calibri"/>
                <w:sz w:val="24"/>
                <w:szCs w:val="24"/>
              </w:rPr>
              <w:t>2019</w:t>
            </w:r>
          </w:p>
          <w:p w:rsidR="00F32158" w:rsidRPr="000B1EFA" w:rsidRDefault="00F32158" w:rsidP="00FD76DB">
            <w:pPr>
              <w:jc w:val="center"/>
              <w:rPr>
                <w:rFonts w:eastAsia="Calibri"/>
                <w:sz w:val="24"/>
                <w:szCs w:val="24"/>
              </w:rPr>
            </w:pPr>
            <w:r w:rsidRPr="000B1EFA">
              <w:rPr>
                <w:rFonts w:eastAsia="Calibri"/>
                <w:sz w:val="24"/>
                <w:szCs w:val="24"/>
              </w:rPr>
              <w:t>ДІ</w:t>
            </w:r>
          </w:p>
        </w:tc>
        <w:tc>
          <w:tcPr>
            <w:tcW w:w="2693" w:type="dxa"/>
          </w:tcPr>
          <w:p w:rsidR="00F32158" w:rsidRPr="000B1EFA" w:rsidRDefault="00F32158" w:rsidP="00FD76DB">
            <w:pPr>
              <w:jc w:val="center"/>
              <w:rPr>
                <w:color w:val="454545"/>
                <w:sz w:val="24"/>
                <w:szCs w:val="24"/>
                <w:lang w:val="en-US"/>
              </w:rPr>
            </w:pPr>
            <w:r w:rsidRPr="000B1EFA">
              <w:rPr>
                <w:color w:val="454545"/>
                <w:sz w:val="24"/>
                <w:szCs w:val="24"/>
                <w:lang w:val="en-US"/>
              </w:rPr>
              <w:t>64,074.21</w:t>
            </w:r>
          </w:p>
          <w:p w:rsidR="00F32158" w:rsidRPr="000B1EFA" w:rsidRDefault="00F32158" w:rsidP="00FD76DB">
            <w:pPr>
              <w:jc w:val="center"/>
              <w:rPr>
                <w:color w:val="454545"/>
                <w:sz w:val="24"/>
                <w:szCs w:val="24"/>
              </w:rPr>
            </w:pPr>
            <w:r w:rsidRPr="000B1EFA">
              <w:rPr>
                <w:color w:val="454545"/>
                <w:sz w:val="24"/>
                <w:szCs w:val="24"/>
              </w:rPr>
              <w:t>(</w:t>
            </w:r>
            <w:r w:rsidRPr="000B1EFA">
              <w:rPr>
                <w:color w:val="454545"/>
                <w:sz w:val="24"/>
                <w:szCs w:val="24"/>
                <w:lang w:val="en-US"/>
              </w:rPr>
              <w:t>78,454.88</w:t>
            </w:r>
            <w:r w:rsidRPr="000B1EFA">
              <w:rPr>
                <w:color w:val="454545"/>
                <w:sz w:val="24"/>
                <w:szCs w:val="24"/>
              </w:rPr>
              <w:t>-</w:t>
            </w:r>
            <w:r w:rsidRPr="000B1EFA">
              <w:rPr>
                <w:color w:val="454545"/>
                <w:sz w:val="24"/>
                <w:szCs w:val="24"/>
                <w:lang w:val="en-US"/>
              </w:rPr>
              <w:t>53,171.96</w:t>
            </w:r>
            <w:r w:rsidRPr="000B1EFA">
              <w:rPr>
                <w:color w:val="454545"/>
                <w:sz w:val="24"/>
                <w:szCs w:val="24"/>
              </w:rPr>
              <w:t>)</w:t>
            </w:r>
          </w:p>
        </w:tc>
        <w:tc>
          <w:tcPr>
            <w:tcW w:w="2977" w:type="dxa"/>
          </w:tcPr>
          <w:p w:rsidR="00F32158" w:rsidRPr="000B1EFA" w:rsidRDefault="00F32158" w:rsidP="00FD76DB">
            <w:pPr>
              <w:jc w:val="center"/>
              <w:rPr>
                <w:color w:val="454545"/>
                <w:sz w:val="24"/>
                <w:szCs w:val="24"/>
                <w:lang w:val="en-US"/>
              </w:rPr>
            </w:pPr>
            <w:r w:rsidRPr="000B1EFA">
              <w:rPr>
                <w:color w:val="454545"/>
                <w:sz w:val="24"/>
                <w:szCs w:val="24"/>
                <w:lang w:val="en-US"/>
              </w:rPr>
              <w:t>71,051.04</w:t>
            </w:r>
          </w:p>
          <w:p w:rsidR="00F32158" w:rsidRPr="000B1EFA" w:rsidRDefault="00F32158" w:rsidP="00FD76DB">
            <w:pPr>
              <w:jc w:val="center"/>
              <w:rPr>
                <w:color w:val="454545"/>
                <w:sz w:val="24"/>
                <w:szCs w:val="24"/>
              </w:rPr>
            </w:pPr>
            <w:r w:rsidRPr="000B1EFA">
              <w:rPr>
                <w:color w:val="454545"/>
                <w:sz w:val="24"/>
                <w:szCs w:val="24"/>
              </w:rPr>
              <w:t>(</w:t>
            </w:r>
            <w:r w:rsidRPr="000B1EFA">
              <w:rPr>
                <w:color w:val="454545"/>
                <w:sz w:val="24"/>
                <w:szCs w:val="24"/>
                <w:lang w:val="en-US"/>
              </w:rPr>
              <w:t>86,868.67</w:t>
            </w:r>
            <w:r w:rsidRPr="000B1EFA">
              <w:rPr>
                <w:color w:val="454545"/>
                <w:sz w:val="24"/>
                <w:szCs w:val="24"/>
              </w:rPr>
              <w:t>-</w:t>
            </w:r>
            <w:r w:rsidRPr="000B1EFA">
              <w:rPr>
                <w:color w:val="454545"/>
                <w:sz w:val="24"/>
                <w:szCs w:val="24"/>
                <w:lang w:val="en-US"/>
              </w:rPr>
              <w:t>58,828.35</w:t>
            </w:r>
            <w:r w:rsidRPr="000B1EFA">
              <w:rPr>
                <w:color w:val="454545"/>
                <w:sz w:val="24"/>
                <w:szCs w:val="24"/>
              </w:rPr>
              <w:t>)</w:t>
            </w:r>
          </w:p>
        </w:tc>
        <w:tc>
          <w:tcPr>
            <w:tcW w:w="2942" w:type="dxa"/>
          </w:tcPr>
          <w:p w:rsidR="00F32158" w:rsidRPr="000B1EFA" w:rsidRDefault="00F32158" w:rsidP="00FD76DB">
            <w:pPr>
              <w:shd w:val="clear" w:color="auto" w:fill="FFFFFF"/>
              <w:jc w:val="center"/>
              <w:rPr>
                <w:color w:val="454545"/>
                <w:sz w:val="24"/>
                <w:szCs w:val="24"/>
                <w:lang w:val="en-US"/>
              </w:rPr>
            </w:pPr>
            <w:r w:rsidRPr="000B1EFA">
              <w:rPr>
                <w:color w:val="454545"/>
                <w:sz w:val="24"/>
                <w:szCs w:val="24"/>
                <w:lang w:val="en-US"/>
              </w:rPr>
              <w:t>56,634.04</w:t>
            </w:r>
          </w:p>
          <w:p w:rsidR="00F32158" w:rsidRPr="000B1EFA" w:rsidRDefault="00F32158" w:rsidP="00FD76DB">
            <w:pPr>
              <w:shd w:val="clear" w:color="auto" w:fill="FFFFFF"/>
              <w:jc w:val="center"/>
              <w:rPr>
                <w:color w:val="454545"/>
                <w:sz w:val="24"/>
                <w:szCs w:val="24"/>
              </w:rPr>
            </w:pPr>
            <w:r w:rsidRPr="000B1EFA">
              <w:rPr>
                <w:color w:val="454545"/>
                <w:sz w:val="24"/>
                <w:szCs w:val="24"/>
              </w:rPr>
              <w:t>(</w:t>
            </w:r>
            <w:r w:rsidRPr="000B1EFA">
              <w:rPr>
                <w:color w:val="454545"/>
                <w:sz w:val="24"/>
                <w:szCs w:val="24"/>
                <w:lang w:val="en-US"/>
              </w:rPr>
              <w:t>69,467.02</w:t>
            </w:r>
            <w:r w:rsidRPr="000B1EFA">
              <w:rPr>
                <w:color w:val="454545"/>
                <w:sz w:val="24"/>
                <w:szCs w:val="24"/>
              </w:rPr>
              <w:t>-</w:t>
            </w:r>
            <w:r w:rsidRPr="000B1EFA">
              <w:rPr>
                <w:color w:val="454545"/>
                <w:sz w:val="24"/>
                <w:szCs w:val="24"/>
                <w:lang w:val="en-US"/>
              </w:rPr>
              <w:t>47,384.19</w:t>
            </w:r>
            <w:r w:rsidRPr="000B1EFA">
              <w:rPr>
                <w:color w:val="454545"/>
                <w:sz w:val="24"/>
                <w:szCs w:val="24"/>
              </w:rPr>
              <w:t>)</w:t>
            </w:r>
          </w:p>
        </w:tc>
      </w:tr>
    </w:tbl>
    <w:p w:rsidR="00F32158" w:rsidRPr="00FC0023" w:rsidRDefault="00F32158" w:rsidP="00FC0023">
      <w:pPr>
        <w:tabs>
          <w:tab w:val="left" w:pos="8133"/>
        </w:tabs>
        <w:spacing w:after="200" w:line="276" w:lineRule="auto"/>
        <w:rPr>
          <w:rFonts w:eastAsia="Calibri"/>
          <w:szCs w:val="28"/>
          <w:lang w:val="ru-RU"/>
        </w:rPr>
      </w:pPr>
    </w:p>
    <w:p w:rsidR="00F32158" w:rsidRPr="00F32158" w:rsidRDefault="00D32C4B" w:rsidP="00FD76DB">
      <w:pPr>
        <w:tabs>
          <w:tab w:val="left" w:pos="8133"/>
        </w:tabs>
        <w:spacing w:after="200" w:line="276" w:lineRule="auto"/>
        <w:jc w:val="right"/>
        <w:rPr>
          <w:rFonts w:eastAsia="Calibri"/>
          <w:szCs w:val="28"/>
        </w:rPr>
      </w:pPr>
      <w:r>
        <w:rPr>
          <w:rFonts w:eastAsia="Calibri"/>
          <w:szCs w:val="28"/>
        </w:rPr>
        <w:t>Додаток Б</w:t>
      </w:r>
      <w:r w:rsidR="00F32158" w:rsidRPr="00F32158">
        <w:rPr>
          <w:rFonts w:eastAsia="Calibri"/>
          <w:szCs w:val="28"/>
        </w:rPr>
        <w:t>-21</w:t>
      </w:r>
    </w:p>
    <w:p w:rsidR="00F32158" w:rsidRPr="00F32158" w:rsidRDefault="00FD76DB" w:rsidP="00FC0023">
      <w:pPr>
        <w:spacing w:after="200"/>
        <w:jc w:val="center"/>
        <w:rPr>
          <w:rFonts w:eastAsia="Calibri"/>
          <w:b/>
          <w:szCs w:val="28"/>
        </w:rPr>
      </w:pPr>
      <w:r>
        <w:rPr>
          <w:rFonts w:eastAsia="Calibri"/>
          <w:b/>
          <w:szCs w:val="28"/>
        </w:rPr>
        <w:t xml:space="preserve"> Показники DALYs  </w:t>
      </w:r>
      <w:r w:rsidR="00F32158" w:rsidRPr="00F32158">
        <w:rPr>
          <w:rFonts w:eastAsia="Calibri"/>
          <w:b/>
          <w:szCs w:val="28"/>
        </w:rPr>
        <w:t xml:space="preserve">у випадку дитячої смертності до 1-го року життя </w:t>
      </w:r>
      <w:r>
        <w:rPr>
          <w:rFonts w:eastAsia="Calibri"/>
          <w:b/>
          <w:szCs w:val="28"/>
        </w:rPr>
        <w:t>(на 100 тис. осіб відповідного віку)</w:t>
      </w:r>
    </w:p>
    <w:tbl>
      <w:tblPr>
        <w:tblStyle w:val="961"/>
        <w:tblW w:w="0" w:type="auto"/>
        <w:jc w:val="center"/>
        <w:tblLook w:val="04A0" w:firstRow="1" w:lastRow="0" w:firstColumn="1" w:lastColumn="0" w:noHBand="0" w:noVBand="1"/>
      </w:tblPr>
      <w:tblGrid>
        <w:gridCol w:w="696"/>
        <w:gridCol w:w="1263"/>
        <w:gridCol w:w="1441"/>
        <w:gridCol w:w="1273"/>
        <w:gridCol w:w="1146"/>
        <w:gridCol w:w="1116"/>
        <w:gridCol w:w="1116"/>
        <w:gridCol w:w="1116"/>
        <w:gridCol w:w="1116"/>
      </w:tblGrid>
      <w:tr w:rsidR="00F32158" w:rsidRPr="000B1EFA" w:rsidTr="00BF1F99">
        <w:trPr>
          <w:jc w:val="center"/>
        </w:trPr>
        <w:tc>
          <w:tcPr>
            <w:tcW w:w="0" w:type="auto"/>
          </w:tcPr>
          <w:p w:rsidR="00F32158" w:rsidRPr="000B1EFA" w:rsidRDefault="00F32158" w:rsidP="00FD76DB">
            <w:pPr>
              <w:jc w:val="center"/>
              <w:rPr>
                <w:rFonts w:eastAsia="Calibri"/>
                <w:sz w:val="24"/>
                <w:szCs w:val="24"/>
              </w:rPr>
            </w:pPr>
            <w:r w:rsidRPr="000B1EFA">
              <w:rPr>
                <w:rFonts w:eastAsia="Calibri"/>
                <w:sz w:val="24"/>
                <w:szCs w:val="24"/>
              </w:rPr>
              <w:t>рік</w:t>
            </w:r>
          </w:p>
        </w:tc>
        <w:tc>
          <w:tcPr>
            <w:tcW w:w="1263" w:type="dxa"/>
          </w:tcPr>
          <w:p w:rsidR="00F32158" w:rsidRPr="000B1EFA" w:rsidRDefault="00F32158" w:rsidP="00FD76DB">
            <w:pPr>
              <w:jc w:val="center"/>
              <w:rPr>
                <w:rFonts w:eastAsia="Calibri"/>
                <w:sz w:val="24"/>
                <w:szCs w:val="24"/>
              </w:rPr>
            </w:pPr>
            <w:r w:rsidRPr="000B1EFA">
              <w:rPr>
                <w:rFonts w:eastAsia="Calibri"/>
                <w:sz w:val="24"/>
                <w:szCs w:val="24"/>
              </w:rPr>
              <w:t>Польща</w:t>
            </w:r>
          </w:p>
        </w:tc>
        <w:tc>
          <w:tcPr>
            <w:tcW w:w="0" w:type="auto"/>
          </w:tcPr>
          <w:p w:rsidR="00F32158" w:rsidRPr="000B1EFA" w:rsidRDefault="00F32158" w:rsidP="00FD76DB">
            <w:pPr>
              <w:jc w:val="center"/>
              <w:rPr>
                <w:rFonts w:eastAsia="Calibri"/>
                <w:sz w:val="24"/>
                <w:szCs w:val="24"/>
              </w:rPr>
            </w:pPr>
            <w:r w:rsidRPr="000B1EFA">
              <w:rPr>
                <w:rFonts w:eastAsia="Calibri"/>
                <w:sz w:val="24"/>
                <w:szCs w:val="24"/>
              </w:rPr>
              <w:t>Словаччина</w:t>
            </w:r>
          </w:p>
        </w:tc>
        <w:tc>
          <w:tcPr>
            <w:tcW w:w="0" w:type="auto"/>
          </w:tcPr>
          <w:p w:rsidR="00F32158" w:rsidRPr="000B1EFA" w:rsidRDefault="00F32158" w:rsidP="00FD76DB">
            <w:pPr>
              <w:jc w:val="center"/>
              <w:rPr>
                <w:rFonts w:eastAsia="Calibri"/>
                <w:sz w:val="24"/>
                <w:szCs w:val="24"/>
              </w:rPr>
            </w:pPr>
            <w:r w:rsidRPr="000B1EFA">
              <w:rPr>
                <w:rFonts w:eastAsia="Calibri"/>
                <w:sz w:val="24"/>
                <w:szCs w:val="24"/>
              </w:rPr>
              <w:t>Угорщина</w:t>
            </w:r>
          </w:p>
        </w:tc>
        <w:tc>
          <w:tcPr>
            <w:tcW w:w="0" w:type="auto"/>
          </w:tcPr>
          <w:p w:rsidR="00F32158" w:rsidRPr="000B1EFA" w:rsidRDefault="00F32158" w:rsidP="00FD76DB">
            <w:pPr>
              <w:jc w:val="center"/>
              <w:rPr>
                <w:rFonts w:eastAsia="Calibri"/>
                <w:sz w:val="24"/>
                <w:szCs w:val="24"/>
              </w:rPr>
            </w:pPr>
            <w:r w:rsidRPr="000B1EFA">
              <w:rPr>
                <w:rFonts w:eastAsia="Calibri"/>
                <w:sz w:val="24"/>
                <w:szCs w:val="24"/>
              </w:rPr>
              <w:t>Германія</w:t>
            </w:r>
          </w:p>
        </w:tc>
        <w:tc>
          <w:tcPr>
            <w:tcW w:w="0" w:type="auto"/>
          </w:tcPr>
          <w:p w:rsidR="00F32158" w:rsidRPr="000B1EFA" w:rsidRDefault="00F32158" w:rsidP="00FD76DB">
            <w:pPr>
              <w:jc w:val="center"/>
              <w:rPr>
                <w:rFonts w:eastAsia="Calibri"/>
                <w:sz w:val="24"/>
                <w:szCs w:val="24"/>
              </w:rPr>
            </w:pPr>
            <w:r w:rsidRPr="000B1EFA">
              <w:rPr>
                <w:rFonts w:eastAsia="Calibri"/>
                <w:sz w:val="24"/>
                <w:szCs w:val="24"/>
              </w:rPr>
              <w:t>Франція</w:t>
            </w:r>
          </w:p>
        </w:tc>
        <w:tc>
          <w:tcPr>
            <w:tcW w:w="0" w:type="auto"/>
          </w:tcPr>
          <w:p w:rsidR="00F32158" w:rsidRPr="000B1EFA" w:rsidRDefault="00F32158" w:rsidP="00FD76DB">
            <w:pPr>
              <w:rPr>
                <w:rFonts w:eastAsia="Calibri"/>
                <w:sz w:val="24"/>
                <w:szCs w:val="24"/>
              </w:rPr>
            </w:pPr>
            <w:r w:rsidRPr="000B1EFA">
              <w:rPr>
                <w:rFonts w:eastAsia="Calibri"/>
                <w:sz w:val="24"/>
                <w:szCs w:val="24"/>
              </w:rPr>
              <w:t>Іспанія</w:t>
            </w:r>
          </w:p>
        </w:tc>
        <w:tc>
          <w:tcPr>
            <w:tcW w:w="0" w:type="auto"/>
          </w:tcPr>
          <w:p w:rsidR="00F32158" w:rsidRPr="000B1EFA" w:rsidRDefault="00F32158" w:rsidP="00FD76DB">
            <w:pPr>
              <w:rPr>
                <w:rFonts w:eastAsia="Calibri"/>
                <w:sz w:val="24"/>
                <w:szCs w:val="24"/>
              </w:rPr>
            </w:pPr>
            <w:r w:rsidRPr="000B1EFA">
              <w:rPr>
                <w:rFonts w:eastAsia="Calibri"/>
                <w:sz w:val="24"/>
                <w:szCs w:val="24"/>
              </w:rPr>
              <w:t>США</w:t>
            </w:r>
          </w:p>
        </w:tc>
        <w:tc>
          <w:tcPr>
            <w:tcW w:w="0" w:type="auto"/>
          </w:tcPr>
          <w:p w:rsidR="00F32158" w:rsidRPr="000B1EFA" w:rsidRDefault="00F32158" w:rsidP="00FD76DB">
            <w:pPr>
              <w:rPr>
                <w:rFonts w:eastAsia="Calibri"/>
                <w:sz w:val="24"/>
                <w:szCs w:val="24"/>
              </w:rPr>
            </w:pPr>
            <w:r w:rsidRPr="000B1EFA">
              <w:rPr>
                <w:rFonts w:eastAsia="Calibri"/>
                <w:sz w:val="24"/>
                <w:szCs w:val="24"/>
              </w:rPr>
              <w:t>Україна</w:t>
            </w:r>
          </w:p>
        </w:tc>
      </w:tr>
      <w:tr w:rsidR="00F32158" w:rsidRPr="000B1EFA" w:rsidTr="00BF1F99">
        <w:trPr>
          <w:jc w:val="center"/>
        </w:trPr>
        <w:tc>
          <w:tcPr>
            <w:tcW w:w="0" w:type="auto"/>
          </w:tcPr>
          <w:p w:rsidR="00F32158" w:rsidRPr="000B1EFA" w:rsidRDefault="00F32158" w:rsidP="00FD76DB">
            <w:pPr>
              <w:jc w:val="center"/>
              <w:rPr>
                <w:rFonts w:eastAsia="Calibri"/>
                <w:sz w:val="24"/>
                <w:szCs w:val="24"/>
              </w:rPr>
            </w:pPr>
            <w:r w:rsidRPr="000B1EFA">
              <w:rPr>
                <w:rFonts w:eastAsia="Calibri"/>
                <w:sz w:val="24"/>
                <w:szCs w:val="24"/>
              </w:rPr>
              <w:t>2013</w:t>
            </w:r>
          </w:p>
        </w:tc>
        <w:tc>
          <w:tcPr>
            <w:tcW w:w="1263" w:type="dxa"/>
          </w:tcPr>
          <w:p w:rsidR="00F32158" w:rsidRPr="000B1EFA" w:rsidRDefault="00FE196E" w:rsidP="00FD76DB">
            <w:pPr>
              <w:shd w:val="clear" w:color="auto" w:fill="FFFFFF"/>
              <w:jc w:val="center"/>
              <w:rPr>
                <w:rFonts w:eastAsia="Calibri"/>
                <w:sz w:val="24"/>
                <w:szCs w:val="24"/>
                <w:lang w:val="en-US"/>
              </w:rPr>
            </w:pPr>
            <w:r>
              <w:rPr>
                <w:rFonts w:eastAsia="Calibri"/>
                <w:sz w:val="24"/>
                <w:szCs w:val="24"/>
                <w:lang w:val="en-US"/>
              </w:rPr>
              <w:t>41</w:t>
            </w:r>
            <w:r w:rsidR="00F32158" w:rsidRPr="000B1EFA">
              <w:rPr>
                <w:rFonts w:eastAsia="Calibri"/>
                <w:sz w:val="24"/>
                <w:szCs w:val="24"/>
                <w:lang w:val="en-US"/>
              </w:rPr>
              <w:t>574.10</w:t>
            </w:r>
          </w:p>
        </w:tc>
        <w:tc>
          <w:tcPr>
            <w:tcW w:w="0" w:type="auto"/>
          </w:tcPr>
          <w:p w:rsidR="00F32158" w:rsidRPr="000B1EFA" w:rsidRDefault="00FE196E" w:rsidP="00FD76DB">
            <w:pPr>
              <w:jc w:val="center"/>
              <w:rPr>
                <w:rFonts w:eastAsia="Calibri"/>
                <w:sz w:val="24"/>
                <w:szCs w:val="24"/>
                <w:lang w:val="en-US"/>
              </w:rPr>
            </w:pPr>
            <w:r>
              <w:rPr>
                <w:rFonts w:eastAsia="Calibri"/>
                <w:sz w:val="24"/>
                <w:szCs w:val="24"/>
                <w:lang w:val="en-US"/>
              </w:rPr>
              <w:t>50</w:t>
            </w:r>
            <w:r w:rsidR="00F32158" w:rsidRPr="000B1EFA">
              <w:rPr>
                <w:rFonts w:eastAsia="Calibri"/>
                <w:sz w:val="24"/>
                <w:szCs w:val="24"/>
                <w:lang w:val="en-US"/>
              </w:rPr>
              <w:t>497.03</w:t>
            </w:r>
          </w:p>
        </w:tc>
        <w:tc>
          <w:tcPr>
            <w:tcW w:w="0" w:type="auto"/>
          </w:tcPr>
          <w:p w:rsidR="00F32158" w:rsidRPr="000B1EFA" w:rsidRDefault="00FE196E" w:rsidP="00FD76DB">
            <w:pPr>
              <w:shd w:val="clear" w:color="auto" w:fill="FFFFFF"/>
              <w:jc w:val="center"/>
              <w:rPr>
                <w:rFonts w:eastAsia="Calibri"/>
                <w:sz w:val="24"/>
                <w:szCs w:val="24"/>
                <w:lang w:val="en-US"/>
              </w:rPr>
            </w:pPr>
            <w:r>
              <w:rPr>
                <w:rFonts w:eastAsia="Calibri"/>
                <w:sz w:val="24"/>
                <w:szCs w:val="24"/>
                <w:lang w:val="en-US"/>
              </w:rPr>
              <w:t>44</w:t>
            </w:r>
            <w:r w:rsidR="00F32158" w:rsidRPr="000B1EFA">
              <w:rPr>
                <w:rFonts w:eastAsia="Calibri"/>
                <w:sz w:val="24"/>
                <w:szCs w:val="24"/>
                <w:lang w:val="en-US"/>
              </w:rPr>
              <w:t>143.75</w:t>
            </w:r>
          </w:p>
        </w:tc>
        <w:tc>
          <w:tcPr>
            <w:tcW w:w="0" w:type="auto"/>
          </w:tcPr>
          <w:p w:rsidR="00F32158" w:rsidRPr="000B1EFA" w:rsidRDefault="00FE196E" w:rsidP="00FD76DB">
            <w:pPr>
              <w:shd w:val="clear" w:color="auto" w:fill="FFFFFF"/>
              <w:jc w:val="center"/>
              <w:rPr>
                <w:rFonts w:eastAsia="Calibri"/>
                <w:sz w:val="24"/>
                <w:szCs w:val="24"/>
                <w:lang w:val="en-US"/>
              </w:rPr>
            </w:pPr>
            <w:r>
              <w:rPr>
                <w:rFonts w:eastAsia="Calibri"/>
                <w:sz w:val="24"/>
                <w:szCs w:val="24"/>
                <w:lang w:val="en-US"/>
              </w:rPr>
              <w:t>29</w:t>
            </w:r>
            <w:r w:rsidR="00F32158" w:rsidRPr="000B1EFA">
              <w:rPr>
                <w:rFonts w:eastAsia="Calibri"/>
                <w:sz w:val="24"/>
                <w:szCs w:val="24"/>
                <w:lang w:val="en-US"/>
              </w:rPr>
              <w:t>789.58</w:t>
            </w:r>
          </w:p>
        </w:tc>
        <w:tc>
          <w:tcPr>
            <w:tcW w:w="0" w:type="auto"/>
          </w:tcPr>
          <w:p w:rsidR="00F32158" w:rsidRPr="000B1EFA" w:rsidRDefault="00FE196E" w:rsidP="00FD76DB">
            <w:pPr>
              <w:jc w:val="center"/>
              <w:rPr>
                <w:rFonts w:eastAsia="Calibri"/>
                <w:sz w:val="24"/>
                <w:szCs w:val="24"/>
                <w:lang w:val="en-US"/>
              </w:rPr>
            </w:pPr>
            <w:r>
              <w:rPr>
                <w:rFonts w:eastAsia="Calibri"/>
                <w:sz w:val="24"/>
                <w:szCs w:val="24"/>
                <w:lang w:val="en-US"/>
              </w:rPr>
              <w:t>32</w:t>
            </w:r>
            <w:r w:rsidR="00F32158" w:rsidRPr="000B1EFA">
              <w:rPr>
                <w:rFonts w:eastAsia="Calibri"/>
                <w:sz w:val="24"/>
                <w:szCs w:val="24"/>
                <w:lang w:val="en-US"/>
              </w:rPr>
              <w:t>310.32</w:t>
            </w:r>
          </w:p>
        </w:tc>
        <w:tc>
          <w:tcPr>
            <w:tcW w:w="0" w:type="auto"/>
          </w:tcPr>
          <w:p w:rsidR="00F32158" w:rsidRPr="000B1EFA" w:rsidRDefault="00FE196E" w:rsidP="00FD76DB">
            <w:pPr>
              <w:shd w:val="clear" w:color="auto" w:fill="FFFFFF"/>
              <w:jc w:val="center"/>
              <w:rPr>
                <w:rFonts w:eastAsia="Calibri"/>
                <w:sz w:val="24"/>
                <w:szCs w:val="24"/>
                <w:lang w:val="en-US"/>
              </w:rPr>
            </w:pPr>
            <w:r>
              <w:rPr>
                <w:rFonts w:eastAsia="Calibri"/>
                <w:sz w:val="24"/>
                <w:szCs w:val="24"/>
                <w:lang w:val="en-US"/>
              </w:rPr>
              <w:t>27</w:t>
            </w:r>
            <w:r w:rsidR="00F32158" w:rsidRPr="000B1EFA">
              <w:rPr>
                <w:rFonts w:eastAsia="Calibri"/>
                <w:sz w:val="24"/>
                <w:szCs w:val="24"/>
                <w:lang w:val="en-US"/>
              </w:rPr>
              <w:t>211.01</w:t>
            </w:r>
          </w:p>
        </w:tc>
        <w:tc>
          <w:tcPr>
            <w:tcW w:w="0" w:type="auto"/>
          </w:tcPr>
          <w:p w:rsidR="00F32158" w:rsidRPr="000B1EFA" w:rsidRDefault="00FE196E" w:rsidP="00FD76DB">
            <w:pPr>
              <w:shd w:val="clear" w:color="auto" w:fill="FFFFFF"/>
              <w:jc w:val="center"/>
              <w:rPr>
                <w:rFonts w:eastAsia="Calibri"/>
                <w:sz w:val="24"/>
                <w:szCs w:val="24"/>
                <w:lang w:val="en-US"/>
              </w:rPr>
            </w:pPr>
            <w:r>
              <w:rPr>
                <w:rFonts w:eastAsia="Calibri"/>
                <w:sz w:val="24"/>
                <w:szCs w:val="24"/>
                <w:lang w:val="en-US"/>
              </w:rPr>
              <w:t>55</w:t>
            </w:r>
            <w:r w:rsidR="00F32158" w:rsidRPr="000B1EFA">
              <w:rPr>
                <w:rFonts w:eastAsia="Calibri"/>
                <w:sz w:val="24"/>
                <w:szCs w:val="24"/>
                <w:lang w:val="en-US"/>
              </w:rPr>
              <w:t>326.43</w:t>
            </w:r>
          </w:p>
        </w:tc>
        <w:tc>
          <w:tcPr>
            <w:tcW w:w="0" w:type="auto"/>
          </w:tcPr>
          <w:p w:rsidR="00F32158" w:rsidRPr="000B1EFA" w:rsidRDefault="00FE196E" w:rsidP="00FD76DB">
            <w:pPr>
              <w:jc w:val="center"/>
              <w:rPr>
                <w:rFonts w:eastAsia="Calibri"/>
                <w:sz w:val="24"/>
                <w:szCs w:val="24"/>
                <w:lang w:val="en-US"/>
              </w:rPr>
            </w:pPr>
            <w:r>
              <w:rPr>
                <w:rFonts w:eastAsia="Calibri"/>
                <w:sz w:val="24"/>
                <w:szCs w:val="24"/>
                <w:lang w:val="en-US"/>
              </w:rPr>
              <w:t>66</w:t>
            </w:r>
            <w:r w:rsidR="00F32158" w:rsidRPr="000B1EFA">
              <w:rPr>
                <w:rFonts w:eastAsia="Calibri"/>
                <w:sz w:val="24"/>
                <w:szCs w:val="24"/>
                <w:lang w:val="en-US"/>
              </w:rPr>
              <w:t>447.45</w:t>
            </w:r>
          </w:p>
        </w:tc>
      </w:tr>
      <w:tr w:rsidR="00F32158" w:rsidRPr="000B1EFA" w:rsidTr="00BF1F99">
        <w:trPr>
          <w:jc w:val="center"/>
        </w:trPr>
        <w:tc>
          <w:tcPr>
            <w:tcW w:w="0" w:type="auto"/>
          </w:tcPr>
          <w:p w:rsidR="00F32158" w:rsidRPr="000B1EFA" w:rsidRDefault="00F32158" w:rsidP="00FD76DB">
            <w:pPr>
              <w:jc w:val="center"/>
              <w:rPr>
                <w:rFonts w:eastAsia="Calibri"/>
                <w:sz w:val="24"/>
                <w:szCs w:val="24"/>
              </w:rPr>
            </w:pPr>
            <w:r w:rsidRPr="000B1EFA">
              <w:rPr>
                <w:rFonts w:eastAsia="Calibri"/>
                <w:sz w:val="24"/>
                <w:szCs w:val="24"/>
              </w:rPr>
              <w:t>2014</w:t>
            </w:r>
          </w:p>
        </w:tc>
        <w:tc>
          <w:tcPr>
            <w:tcW w:w="1263" w:type="dxa"/>
          </w:tcPr>
          <w:p w:rsidR="00F32158" w:rsidRPr="000B1EFA" w:rsidRDefault="00FE196E" w:rsidP="00FD76DB">
            <w:pPr>
              <w:jc w:val="center"/>
              <w:rPr>
                <w:rFonts w:eastAsia="Calibri"/>
                <w:sz w:val="24"/>
                <w:szCs w:val="24"/>
                <w:lang w:val="en-US"/>
              </w:rPr>
            </w:pPr>
            <w:r>
              <w:rPr>
                <w:rFonts w:eastAsia="Calibri"/>
                <w:sz w:val="24"/>
                <w:szCs w:val="24"/>
                <w:lang w:val="en-US"/>
              </w:rPr>
              <w:t>39</w:t>
            </w:r>
            <w:r w:rsidR="00F32158" w:rsidRPr="000B1EFA">
              <w:rPr>
                <w:rFonts w:eastAsia="Calibri"/>
                <w:sz w:val="24"/>
                <w:szCs w:val="24"/>
                <w:lang w:val="en-US"/>
              </w:rPr>
              <w:t>553.76</w:t>
            </w:r>
          </w:p>
        </w:tc>
        <w:tc>
          <w:tcPr>
            <w:tcW w:w="0" w:type="auto"/>
          </w:tcPr>
          <w:p w:rsidR="00F32158" w:rsidRPr="000B1EFA" w:rsidRDefault="00FE196E" w:rsidP="00FD76DB">
            <w:pPr>
              <w:shd w:val="clear" w:color="auto" w:fill="FFFFFF"/>
              <w:jc w:val="center"/>
              <w:rPr>
                <w:rFonts w:eastAsia="Calibri"/>
                <w:sz w:val="24"/>
                <w:szCs w:val="24"/>
                <w:lang w:val="en-US"/>
              </w:rPr>
            </w:pPr>
            <w:r>
              <w:rPr>
                <w:rFonts w:eastAsia="Calibri"/>
                <w:sz w:val="24"/>
                <w:szCs w:val="24"/>
                <w:lang w:val="en-US"/>
              </w:rPr>
              <w:t>52</w:t>
            </w:r>
            <w:r w:rsidR="00F32158" w:rsidRPr="000B1EFA">
              <w:rPr>
                <w:rFonts w:eastAsia="Calibri"/>
                <w:sz w:val="24"/>
                <w:szCs w:val="24"/>
                <w:lang w:val="en-US"/>
              </w:rPr>
              <w:t>007.84</w:t>
            </w:r>
          </w:p>
        </w:tc>
        <w:tc>
          <w:tcPr>
            <w:tcW w:w="0" w:type="auto"/>
          </w:tcPr>
          <w:p w:rsidR="00F32158" w:rsidRPr="000B1EFA" w:rsidRDefault="00FE196E" w:rsidP="00FD76DB">
            <w:pPr>
              <w:jc w:val="center"/>
              <w:rPr>
                <w:rFonts w:eastAsia="Calibri"/>
                <w:sz w:val="24"/>
                <w:szCs w:val="24"/>
                <w:lang w:val="en-US"/>
              </w:rPr>
            </w:pPr>
            <w:r>
              <w:rPr>
                <w:rFonts w:eastAsia="Calibri"/>
                <w:sz w:val="24"/>
                <w:szCs w:val="24"/>
                <w:lang w:val="en-US"/>
              </w:rPr>
              <w:t>42</w:t>
            </w:r>
            <w:r w:rsidR="00F32158" w:rsidRPr="000B1EFA">
              <w:rPr>
                <w:rFonts w:eastAsia="Calibri"/>
                <w:sz w:val="24"/>
                <w:szCs w:val="24"/>
                <w:lang w:val="en-US"/>
              </w:rPr>
              <w:t>317.79</w:t>
            </w:r>
          </w:p>
        </w:tc>
        <w:tc>
          <w:tcPr>
            <w:tcW w:w="0" w:type="auto"/>
          </w:tcPr>
          <w:p w:rsidR="00F32158" w:rsidRPr="000B1EFA" w:rsidRDefault="00FE196E" w:rsidP="00FD76DB">
            <w:pPr>
              <w:jc w:val="center"/>
              <w:rPr>
                <w:rFonts w:eastAsia="Calibri"/>
                <w:sz w:val="24"/>
                <w:szCs w:val="24"/>
                <w:lang w:val="en-US"/>
              </w:rPr>
            </w:pPr>
            <w:r>
              <w:rPr>
                <w:rFonts w:eastAsia="Calibri"/>
                <w:sz w:val="24"/>
                <w:szCs w:val="24"/>
                <w:lang w:val="en-US"/>
              </w:rPr>
              <w:t>29</w:t>
            </w:r>
            <w:r w:rsidR="00F32158" w:rsidRPr="000B1EFA">
              <w:rPr>
                <w:rFonts w:eastAsia="Calibri"/>
                <w:sz w:val="24"/>
                <w:szCs w:val="24"/>
                <w:lang w:val="en-US"/>
              </w:rPr>
              <w:t>374.76</w:t>
            </w:r>
          </w:p>
        </w:tc>
        <w:tc>
          <w:tcPr>
            <w:tcW w:w="0" w:type="auto"/>
          </w:tcPr>
          <w:p w:rsidR="00F32158" w:rsidRPr="000B1EFA" w:rsidRDefault="00FE196E" w:rsidP="00FD76DB">
            <w:pPr>
              <w:shd w:val="clear" w:color="auto" w:fill="FFFFFF"/>
              <w:jc w:val="center"/>
              <w:rPr>
                <w:rFonts w:eastAsia="Calibri"/>
                <w:sz w:val="24"/>
                <w:szCs w:val="24"/>
                <w:lang w:val="en-US"/>
              </w:rPr>
            </w:pPr>
            <w:r>
              <w:rPr>
                <w:rFonts w:eastAsia="Calibri"/>
                <w:sz w:val="24"/>
                <w:szCs w:val="24"/>
                <w:lang w:val="en-US"/>
              </w:rPr>
              <w:t>31</w:t>
            </w:r>
            <w:r w:rsidR="00F32158" w:rsidRPr="000B1EFA">
              <w:rPr>
                <w:rFonts w:eastAsia="Calibri"/>
                <w:sz w:val="24"/>
                <w:szCs w:val="24"/>
                <w:lang w:val="en-US"/>
              </w:rPr>
              <w:t>528.79</w:t>
            </w:r>
          </w:p>
        </w:tc>
        <w:tc>
          <w:tcPr>
            <w:tcW w:w="0" w:type="auto"/>
          </w:tcPr>
          <w:p w:rsidR="00F32158" w:rsidRPr="000B1EFA" w:rsidRDefault="00FE196E" w:rsidP="00FD76DB">
            <w:pPr>
              <w:jc w:val="center"/>
              <w:rPr>
                <w:rFonts w:eastAsia="Calibri"/>
                <w:sz w:val="24"/>
                <w:szCs w:val="24"/>
                <w:lang w:val="en-US"/>
              </w:rPr>
            </w:pPr>
            <w:r>
              <w:rPr>
                <w:rFonts w:eastAsia="Calibri"/>
                <w:sz w:val="24"/>
                <w:szCs w:val="24"/>
                <w:lang w:val="en-US"/>
              </w:rPr>
              <w:t>27</w:t>
            </w:r>
            <w:r w:rsidR="00F32158" w:rsidRPr="000B1EFA">
              <w:rPr>
                <w:rFonts w:eastAsia="Calibri"/>
                <w:sz w:val="24"/>
                <w:szCs w:val="24"/>
                <w:lang w:val="en-US"/>
              </w:rPr>
              <w:t>676.43</w:t>
            </w:r>
          </w:p>
        </w:tc>
        <w:tc>
          <w:tcPr>
            <w:tcW w:w="0" w:type="auto"/>
          </w:tcPr>
          <w:p w:rsidR="00F32158" w:rsidRPr="000B1EFA" w:rsidRDefault="00FE196E" w:rsidP="00FD76DB">
            <w:pPr>
              <w:jc w:val="center"/>
              <w:rPr>
                <w:rFonts w:eastAsia="Calibri"/>
                <w:sz w:val="24"/>
                <w:szCs w:val="24"/>
                <w:lang w:val="en-US"/>
              </w:rPr>
            </w:pPr>
            <w:r>
              <w:rPr>
                <w:rFonts w:eastAsia="Calibri"/>
                <w:sz w:val="24"/>
                <w:szCs w:val="24"/>
                <w:lang w:val="en-US"/>
              </w:rPr>
              <w:t>54</w:t>
            </w:r>
            <w:r w:rsidR="00F32158" w:rsidRPr="000B1EFA">
              <w:rPr>
                <w:rFonts w:eastAsia="Calibri"/>
                <w:sz w:val="24"/>
                <w:szCs w:val="24"/>
                <w:lang w:val="en-US"/>
              </w:rPr>
              <w:t>610.77</w:t>
            </w:r>
          </w:p>
        </w:tc>
        <w:tc>
          <w:tcPr>
            <w:tcW w:w="0" w:type="auto"/>
          </w:tcPr>
          <w:p w:rsidR="00F32158" w:rsidRPr="000B1EFA" w:rsidRDefault="00FE196E" w:rsidP="00FD76DB">
            <w:pPr>
              <w:shd w:val="clear" w:color="auto" w:fill="FFFFFF"/>
              <w:jc w:val="center"/>
              <w:rPr>
                <w:rFonts w:eastAsia="Calibri"/>
                <w:sz w:val="24"/>
                <w:szCs w:val="24"/>
                <w:lang w:val="en-US"/>
              </w:rPr>
            </w:pPr>
            <w:r>
              <w:rPr>
                <w:rFonts w:eastAsia="Calibri"/>
                <w:sz w:val="24"/>
                <w:szCs w:val="24"/>
                <w:lang w:val="en-US"/>
              </w:rPr>
              <w:t>67</w:t>
            </w:r>
            <w:r w:rsidR="00F32158" w:rsidRPr="000B1EFA">
              <w:rPr>
                <w:rFonts w:eastAsia="Calibri"/>
                <w:sz w:val="24"/>
                <w:szCs w:val="24"/>
                <w:lang w:val="en-US"/>
              </w:rPr>
              <w:t>548.20</w:t>
            </w:r>
          </w:p>
        </w:tc>
      </w:tr>
      <w:tr w:rsidR="00F32158" w:rsidRPr="000B1EFA" w:rsidTr="00BF1F99">
        <w:trPr>
          <w:jc w:val="center"/>
        </w:trPr>
        <w:tc>
          <w:tcPr>
            <w:tcW w:w="0" w:type="auto"/>
          </w:tcPr>
          <w:p w:rsidR="00F32158" w:rsidRPr="000B1EFA" w:rsidRDefault="00F32158" w:rsidP="00FD76DB">
            <w:pPr>
              <w:jc w:val="center"/>
              <w:rPr>
                <w:rFonts w:eastAsia="Calibri"/>
                <w:sz w:val="24"/>
                <w:szCs w:val="24"/>
              </w:rPr>
            </w:pPr>
            <w:r w:rsidRPr="000B1EFA">
              <w:rPr>
                <w:rFonts w:eastAsia="Calibri"/>
                <w:sz w:val="24"/>
                <w:szCs w:val="24"/>
              </w:rPr>
              <w:t>2015</w:t>
            </w:r>
          </w:p>
        </w:tc>
        <w:tc>
          <w:tcPr>
            <w:tcW w:w="1263" w:type="dxa"/>
          </w:tcPr>
          <w:p w:rsidR="00F32158" w:rsidRPr="000B1EFA" w:rsidRDefault="00FE196E" w:rsidP="00FD76DB">
            <w:pPr>
              <w:shd w:val="clear" w:color="auto" w:fill="FFFFFF"/>
              <w:jc w:val="center"/>
              <w:rPr>
                <w:rFonts w:eastAsia="Calibri"/>
                <w:sz w:val="24"/>
                <w:szCs w:val="24"/>
              </w:rPr>
            </w:pPr>
            <w:r>
              <w:rPr>
                <w:rFonts w:eastAsia="Calibri"/>
                <w:sz w:val="24"/>
                <w:szCs w:val="24"/>
                <w:lang w:val="en-US"/>
              </w:rPr>
              <w:t>37</w:t>
            </w:r>
            <w:r w:rsidR="00F32158" w:rsidRPr="000B1EFA">
              <w:rPr>
                <w:rFonts w:eastAsia="Calibri"/>
                <w:sz w:val="24"/>
                <w:szCs w:val="24"/>
                <w:lang w:val="en-US"/>
              </w:rPr>
              <w:t>519.09</w:t>
            </w:r>
          </w:p>
        </w:tc>
        <w:tc>
          <w:tcPr>
            <w:tcW w:w="0" w:type="auto"/>
          </w:tcPr>
          <w:p w:rsidR="00F32158" w:rsidRPr="000B1EFA" w:rsidRDefault="00FE196E" w:rsidP="00FD76DB">
            <w:pPr>
              <w:jc w:val="center"/>
              <w:rPr>
                <w:rFonts w:eastAsia="Calibri"/>
                <w:sz w:val="24"/>
                <w:szCs w:val="24"/>
              </w:rPr>
            </w:pPr>
            <w:r>
              <w:rPr>
                <w:rFonts w:eastAsia="Calibri"/>
                <w:sz w:val="24"/>
                <w:szCs w:val="24"/>
                <w:lang w:val="en-US"/>
              </w:rPr>
              <w:t>50</w:t>
            </w:r>
            <w:r w:rsidR="00F32158" w:rsidRPr="000B1EFA">
              <w:rPr>
                <w:rFonts w:eastAsia="Calibri"/>
                <w:sz w:val="24"/>
                <w:szCs w:val="24"/>
                <w:lang w:val="en-US"/>
              </w:rPr>
              <w:t>387.72</w:t>
            </w:r>
          </w:p>
        </w:tc>
        <w:tc>
          <w:tcPr>
            <w:tcW w:w="0" w:type="auto"/>
          </w:tcPr>
          <w:p w:rsidR="00F32158" w:rsidRPr="000B1EFA" w:rsidRDefault="00FE196E" w:rsidP="00FD76DB">
            <w:pPr>
              <w:jc w:val="center"/>
              <w:rPr>
                <w:rFonts w:eastAsia="Calibri"/>
                <w:sz w:val="24"/>
                <w:szCs w:val="24"/>
              </w:rPr>
            </w:pPr>
            <w:r>
              <w:rPr>
                <w:rFonts w:eastAsia="Calibri"/>
                <w:sz w:val="24"/>
                <w:szCs w:val="24"/>
                <w:lang w:val="en-US"/>
              </w:rPr>
              <w:t>41</w:t>
            </w:r>
            <w:r w:rsidR="00F32158" w:rsidRPr="000B1EFA">
              <w:rPr>
                <w:rFonts w:eastAsia="Calibri"/>
                <w:sz w:val="24"/>
                <w:szCs w:val="24"/>
                <w:lang w:val="en-US"/>
              </w:rPr>
              <w:t>799.99</w:t>
            </w:r>
          </w:p>
        </w:tc>
        <w:tc>
          <w:tcPr>
            <w:tcW w:w="0" w:type="auto"/>
          </w:tcPr>
          <w:p w:rsidR="00F32158" w:rsidRPr="000B1EFA" w:rsidRDefault="00FE196E" w:rsidP="00FD76DB">
            <w:pPr>
              <w:shd w:val="clear" w:color="auto" w:fill="FFFFFF"/>
              <w:jc w:val="center"/>
              <w:rPr>
                <w:rFonts w:eastAsia="Calibri"/>
                <w:sz w:val="24"/>
                <w:szCs w:val="24"/>
              </w:rPr>
            </w:pPr>
            <w:r>
              <w:rPr>
                <w:rFonts w:eastAsia="Calibri"/>
                <w:sz w:val="24"/>
                <w:szCs w:val="24"/>
                <w:lang w:val="en-US"/>
              </w:rPr>
              <w:t>29</w:t>
            </w:r>
            <w:r w:rsidR="00F32158" w:rsidRPr="000B1EFA">
              <w:rPr>
                <w:rFonts w:eastAsia="Calibri"/>
                <w:sz w:val="24"/>
                <w:szCs w:val="24"/>
                <w:lang w:val="en-US"/>
              </w:rPr>
              <w:t>772.69</w:t>
            </w:r>
          </w:p>
        </w:tc>
        <w:tc>
          <w:tcPr>
            <w:tcW w:w="0" w:type="auto"/>
          </w:tcPr>
          <w:p w:rsidR="00F32158" w:rsidRPr="000B1EFA" w:rsidRDefault="00FE196E" w:rsidP="00FD76DB">
            <w:pPr>
              <w:jc w:val="center"/>
              <w:rPr>
                <w:rFonts w:eastAsia="Calibri"/>
                <w:sz w:val="24"/>
                <w:szCs w:val="24"/>
              </w:rPr>
            </w:pPr>
            <w:r>
              <w:rPr>
                <w:rFonts w:eastAsia="Calibri"/>
                <w:sz w:val="24"/>
                <w:szCs w:val="24"/>
                <w:lang w:val="en-US"/>
              </w:rPr>
              <w:t>31</w:t>
            </w:r>
            <w:r w:rsidR="00F32158" w:rsidRPr="000B1EFA">
              <w:rPr>
                <w:rFonts w:eastAsia="Calibri"/>
                <w:sz w:val="24"/>
                <w:szCs w:val="24"/>
                <w:lang w:val="en-US"/>
              </w:rPr>
              <w:t>823.63</w:t>
            </w:r>
          </w:p>
        </w:tc>
        <w:tc>
          <w:tcPr>
            <w:tcW w:w="0" w:type="auto"/>
          </w:tcPr>
          <w:p w:rsidR="00F32158" w:rsidRPr="000B1EFA" w:rsidRDefault="00FE196E" w:rsidP="00FD76DB">
            <w:pPr>
              <w:shd w:val="clear" w:color="auto" w:fill="FFFFFF"/>
              <w:jc w:val="center"/>
              <w:rPr>
                <w:rFonts w:eastAsia="Calibri"/>
                <w:sz w:val="24"/>
                <w:szCs w:val="24"/>
              </w:rPr>
            </w:pPr>
            <w:r>
              <w:rPr>
                <w:rFonts w:eastAsia="Calibri"/>
                <w:sz w:val="24"/>
                <w:szCs w:val="24"/>
                <w:lang w:val="en-US"/>
              </w:rPr>
              <w:t>26</w:t>
            </w:r>
            <w:r w:rsidR="00F32158" w:rsidRPr="000B1EFA">
              <w:rPr>
                <w:rFonts w:eastAsia="Calibri"/>
                <w:sz w:val="24"/>
                <w:szCs w:val="24"/>
                <w:lang w:val="en-US"/>
              </w:rPr>
              <w:t>346.51</w:t>
            </w:r>
          </w:p>
        </w:tc>
        <w:tc>
          <w:tcPr>
            <w:tcW w:w="0" w:type="auto"/>
          </w:tcPr>
          <w:p w:rsidR="00F32158" w:rsidRPr="000B1EFA" w:rsidRDefault="00FE196E" w:rsidP="00FD76DB">
            <w:pPr>
              <w:shd w:val="clear" w:color="auto" w:fill="FFFFFF"/>
              <w:jc w:val="center"/>
              <w:rPr>
                <w:rFonts w:eastAsia="Calibri"/>
                <w:sz w:val="24"/>
                <w:szCs w:val="24"/>
              </w:rPr>
            </w:pPr>
            <w:r>
              <w:rPr>
                <w:rFonts w:eastAsia="Calibri"/>
                <w:sz w:val="24"/>
                <w:szCs w:val="24"/>
                <w:lang w:val="en-US"/>
              </w:rPr>
              <w:t>54</w:t>
            </w:r>
            <w:r w:rsidR="00F32158" w:rsidRPr="000B1EFA">
              <w:rPr>
                <w:rFonts w:eastAsia="Calibri"/>
                <w:sz w:val="24"/>
                <w:szCs w:val="24"/>
                <w:lang w:val="en-US"/>
              </w:rPr>
              <w:t>614.15</w:t>
            </w:r>
          </w:p>
        </w:tc>
        <w:tc>
          <w:tcPr>
            <w:tcW w:w="0" w:type="auto"/>
          </w:tcPr>
          <w:p w:rsidR="00F32158" w:rsidRPr="000B1EFA" w:rsidRDefault="00FE196E" w:rsidP="00FD76DB">
            <w:pPr>
              <w:jc w:val="center"/>
              <w:rPr>
                <w:rFonts w:eastAsia="Calibri"/>
                <w:sz w:val="24"/>
                <w:szCs w:val="24"/>
              </w:rPr>
            </w:pPr>
            <w:r>
              <w:rPr>
                <w:rFonts w:eastAsia="Calibri"/>
                <w:sz w:val="24"/>
                <w:szCs w:val="24"/>
                <w:lang w:val="en-US"/>
              </w:rPr>
              <w:t>73</w:t>
            </w:r>
            <w:r w:rsidR="00F32158" w:rsidRPr="000B1EFA">
              <w:rPr>
                <w:rFonts w:eastAsia="Calibri"/>
                <w:sz w:val="24"/>
                <w:szCs w:val="24"/>
                <w:lang w:val="en-US"/>
              </w:rPr>
              <w:t>388.97</w:t>
            </w:r>
          </w:p>
        </w:tc>
      </w:tr>
      <w:tr w:rsidR="00F32158" w:rsidRPr="000B1EFA" w:rsidTr="00BF1F99">
        <w:trPr>
          <w:jc w:val="center"/>
        </w:trPr>
        <w:tc>
          <w:tcPr>
            <w:tcW w:w="0" w:type="auto"/>
          </w:tcPr>
          <w:p w:rsidR="00F32158" w:rsidRPr="000B1EFA" w:rsidRDefault="00F32158" w:rsidP="00FD76DB">
            <w:pPr>
              <w:jc w:val="center"/>
              <w:rPr>
                <w:rFonts w:eastAsia="Calibri"/>
                <w:sz w:val="24"/>
                <w:szCs w:val="24"/>
              </w:rPr>
            </w:pPr>
            <w:r w:rsidRPr="000B1EFA">
              <w:rPr>
                <w:rFonts w:eastAsia="Calibri"/>
                <w:sz w:val="24"/>
                <w:szCs w:val="24"/>
              </w:rPr>
              <w:t>2016</w:t>
            </w:r>
          </w:p>
        </w:tc>
        <w:tc>
          <w:tcPr>
            <w:tcW w:w="1263" w:type="dxa"/>
          </w:tcPr>
          <w:p w:rsidR="00F32158" w:rsidRPr="000B1EFA" w:rsidRDefault="00FE196E" w:rsidP="00FD76DB">
            <w:pPr>
              <w:jc w:val="center"/>
              <w:rPr>
                <w:rFonts w:eastAsia="Calibri"/>
                <w:sz w:val="24"/>
                <w:szCs w:val="24"/>
              </w:rPr>
            </w:pPr>
            <w:r>
              <w:rPr>
                <w:rFonts w:eastAsia="Calibri"/>
                <w:sz w:val="24"/>
                <w:szCs w:val="24"/>
                <w:lang w:val="en-US"/>
              </w:rPr>
              <w:t>37</w:t>
            </w:r>
            <w:r w:rsidR="00F32158" w:rsidRPr="000B1EFA">
              <w:rPr>
                <w:rFonts w:eastAsia="Calibri"/>
                <w:sz w:val="24"/>
                <w:szCs w:val="24"/>
                <w:lang w:val="en-US"/>
              </w:rPr>
              <w:t>201.26</w:t>
            </w:r>
          </w:p>
        </w:tc>
        <w:tc>
          <w:tcPr>
            <w:tcW w:w="0" w:type="auto"/>
          </w:tcPr>
          <w:p w:rsidR="00F32158" w:rsidRPr="000B1EFA" w:rsidRDefault="00FE196E" w:rsidP="00FD76DB">
            <w:pPr>
              <w:shd w:val="clear" w:color="auto" w:fill="FFFFFF"/>
              <w:jc w:val="center"/>
              <w:rPr>
                <w:rFonts w:eastAsia="Calibri"/>
                <w:sz w:val="24"/>
                <w:szCs w:val="24"/>
              </w:rPr>
            </w:pPr>
            <w:r>
              <w:rPr>
                <w:rFonts w:eastAsia="Calibri"/>
                <w:sz w:val="24"/>
                <w:szCs w:val="24"/>
                <w:lang w:val="en-US"/>
              </w:rPr>
              <w:t>49</w:t>
            </w:r>
            <w:r w:rsidR="00F32158" w:rsidRPr="000B1EFA">
              <w:rPr>
                <w:rFonts w:eastAsia="Calibri"/>
                <w:sz w:val="24"/>
                <w:szCs w:val="24"/>
                <w:lang w:val="en-US"/>
              </w:rPr>
              <w:t>108.30</w:t>
            </w:r>
          </w:p>
        </w:tc>
        <w:tc>
          <w:tcPr>
            <w:tcW w:w="0" w:type="auto"/>
          </w:tcPr>
          <w:p w:rsidR="00F32158" w:rsidRPr="000B1EFA" w:rsidRDefault="00FE196E" w:rsidP="00FD76DB">
            <w:pPr>
              <w:jc w:val="center"/>
              <w:rPr>
                <w:rFonts w:eastAsia="Calibri"/>
                <w:sz w:val="24"/>
                <w:szCs w:val="24"/>
              </w:rPr>
            </w:pPr>
            <w:r>
              <w:rPr>
                <w:rFonts w:eastAsia="Calibri"/>
                <w:sz w:val="24"/>
                <w:szCs w:val="24"/>
                <w:lang w:val="en-US"/>
              </w:rPr>
              <w:t>37</w:t>
            </w:r>
            <w:r w:rsidR="00F32158" w:rsidRPr="000B1EFA">
              <w:rPr>
                <w:rFonts w:eastAsia="Calibri"/>
                <w:sz w:val="24"/>
                <w:szCs w:val="24"/>
                <w:lang w:val="en-US"/>
              </w:rPr>
              <w:t>204.10</w:t>
            </w:r>
          </w:p>
        </w:tc>
        <w:tc>
          <w:tcPr>
            <w:tcW w:w="0" w:type="auto"/>
          </w:tcPr>
          <w:p w:rsidR="00F32158" w:rsidRPr="000B1EFA" w:rsidRDefault="00FE196E" w:rsidP="00FD76DB">
            <w:pPr>
              <w:shd w:val="clear" w:color="auto" w:fill="FFFFFF"/>
              <w:jc w:val="center"/>
              <w:rPr>
                <w:rFonts w:eastAsia="Calibri"/>
                <w:sz w:val="24"/>
                <w:szCs w:val="24"/>
              </w:rPr>
            </w:pPr>
            <w:r>
              <w:rPr>
                <w:rFonts w:eastAsia="Calibri"/>
                <w:sz w:val="24"/>
                <w:szCs w:val="24"/>
                <w:lang w:val="en-US"/>
              </w:rPr>
              <w:t>30</w:t>
            </w:r>
            <w:r w:rsidR="00F32158" w:rsidRPr="000B1EFA">
              <w:rPr>
                <w:rFonts w:eastAsia="Calibri"/>
                <w:sz w:val="24"/>
                <w:szCs w:val="24"/>
                <w:lang w:val="en-US"/>
              </w:rPr>
              <w:t>669.09</w:t>
            </w:r>
          </w:p>
        </w:tc>
        <w:tc>
          <w:tcPr>
            <w:tcW w:w="0" w:type="auto"/>
          </w:tcPr>
          <w:p w:rsidR="00F32158" w:rsidRPr="000B1EFA" w:rsidRDefault="00FE196E" w:rsidP="00FD76DB">
            <w:pPr>
              <w:jc w:val="center"/>
              <w:rPr>
                <w:rFonts w:eastAsia="Calibri"/>
                <w:sz w:val="24"/>
                <w:szCs w:val="24"/>
              </w:rPr>
            </w:pPr>
            <w:r>
              <w:rPr>
                <w:rFonts w:eastAsia="Calibri"/>
                <w:sz w:val="24"/>
                <w:szCs w:val="24"/>
                <w:lang w:val="en-US"/>
              </w:rPr>
              <w:t>31</w:t>
            </w:r>
            <w:r w:rsidR="00F32158" w:rsidRPr="000B1EFA">
              <w:rPr>
                <w:rFonts w:eastAsia="Calibri"/>
                <w:sz w:val="24"/>
                <w:szCs w:val="24"/>
                <w:lang w:val="en-US"/>
              </w:rPr>
              <w:t>493.42</w:t>
            </w:r>
          </w:p>
        </w:tc>
        <w:tc>
          <w:tcPr>
            <w:tcW w:w="0" w:type="auto"/>
          </w:tcPr>
          <w:p w:rsidR="00F32158" w:rsidRPr="000B1EFA" w:rsidRDefault="00FE196E" w:rsidP="00FD76DB">
            <w:pPr>
              <w:shd w:val="clear" w:color="auto" w:fill="FFFFFF"/>
              <w:jc w:val="center"/>
              <w:rPr>
                <w:rFonts w:eastAsia="Calibri"/>
                <w:sz w:val="24"/>
                <w:szCs w:val="24"/>
              </w:rPr>
            </w:pPr>
            <w:r>
              <w:rPr>
                <w:rFonts w:eastAsia="Calibri"/>
                <w:sz w:val="24"/>
                <w:szCs w:val="24"/>
                <w:lang w:val="en-US"/>
              </w:rPr>
              <w:t>26</w:t>
            </w:r>
            <w:r w:rsidR="00F32158" w:rsidRPr="000B1EFA">
              <w:rPr>
                <w:rFonts w:eastAsia="Calibri"/>
                <w:sz w:val="24"/>
                <w:szCs w:val="24"/>
                <w:lang w:val="en-US"/>
              </w:rPr>
              <w:t>306.64</w:t>
            </w:r>
          </w:p>
        </w:tc>
        <w:tc>
          <w:tcPr>
            <w:tcW w:w="0" w:type="auto"/>
          </w:tcPr>
          <w:p w:rsidR="00F32158" w:rsidRPr="000B1EFA" w:rsidRDefault="00FE196E" w:rsidP="00FD76DB">
            <w:pPr>
              <w:shd w:val="clear" w:color="auto" w:fill="FFFFFF"/>
              <w:jc w:val="center"/>
              <w:rPr>
                <w:rFonts w:eastAsia="Calibri"/>
                <w:sz w:val="24"/>
                <w:szCs w:val="24"/>
              </w:rPr>
            </w:pPr>
            <w:r>
              <w:rPr>
                <w:rFonts w:eastAsia="Calibri"/>
                <w:sz w:val="24"/>
                <w:szCs w:val="24"/>
                <w:lang w:val="en-US"/>
              </w:rPr>
              <w:t>54</w:t>
            </w:r>
            <w:r w:rsidR="00F32158" w:rsidRPr="000B1EFA">
              <w:rPr>
                <w:rFonts w:eastAsia="Calibri"/>
                <w:sz w:val="24"/>
                <w:szCs w:val="24"/>
                <w:lang w:val="en-US"/>
              </w:rPr>
              <w:t>633.85</w:t>
            </w:r>
          </w:p>
        </w:tc>
        <w:tc>
          <w:tcPr>
            <w:tcW w:w="0" w:type="auto"/>
          </w:tcPr>
          <w:p w:rsidR="00F32158" w:rsidRPr="000B1EFA" w:rsidRDefault="00FE196E" w:rsidP="00FD76DB">
            <w:pPr>
              <w:shd w:val="clear" w:color="auto" w:fill="FFFFFF"/>
              <w:jc w:val="center"/>
              <w:rPr>
                <w:rFonts w:eastAsia="Calibri"/>
                <w:sz w:val="24"/>
                <w:szCs w:val="24"/>
              </w:rPr>
            </w:pPr>
            <w:r>
              <w:rPr>
                <w:rFonts w:eastAsia="Calibri"/>
                <w:sz w:val="24"/>
                <w:szCs w:val="24"/>
                <w:lang w:val="en-US"/>
              </w:rPr>
              <w:t>71</w:t>
            </w:r>
            <w:r w:rsidR="00F32158" w:rsidRPr="000B1EFA">
              <w:rPr>
                <w:rFonts w:eastAsia="Calibri"/>
                <w:sz w:val="24"/>
                <w:szCs w:val="24"/>
                <w:lang w:val="en-US"/>
              </w:rPr>
              <w:t>302.96</w:t>
            </w:r>
          </w:p>
        </w:tc>
      </w:tr>
      <w:tr w:rsidR="00F32158" w:rsidRPr="000B1EFA" w:rsidTr="00BF1F99">
        <w:trPr>
          <w:jc w:val="center"/>
        </w:trPr>
        <w:tc>
          <w:tcPr>
            <w:tcW w:w="0" w:type="auto"/>
          </w:tcPr>
          <w:p w:rsidR="00F32158" w:rsidRPr="000B1EFA" w:rsidRDefault="00F32158" w:rsidP="00FD76DB">
            <w:pPr>
              <w:jc w:val="center"/>
              <w:rPr>
                <w:rFonts w:eastAsia="Calibri"/>
                <w:sz w:val="24"/>
                <w:szCs w:val="24"/>
              </w:rPr>
            </w:pPr>
            <w:r w:rsidRPr="000B1EFA">
              <w:rPr>
                <w:rFonts w:eastAsia="Calibri"/>
                <w:sz w:val="24"/>
                <w:szCs w:val="24"/>
              </w:rPr>
              <w:t>2017</w:t>
            </w:r>
          </w:p>
        </w:tc>
        <w:tc>
          <w:tcPr>
            <w:tcW w:w="1263" w:type="dxa"/>
          </w:tcPr>
          <w:p w:rsidR="00F32158" w:rsidRPr="000B1EFA" w:rsidRDefault="00FE196E" w:rsidP="00FD76DB">
            <w:pPr>
              <w:shd w:val="clear" w:color="auto" w:fill="FFFFFF"/>
              <w:jc w:val="center"/>
              <w:rPr>
                <w:rFonts w:eastAsia="Calibri"/>
                <w:sz w:val="24"/>
                <w:szCs w:val="24"/>
              </w:rPr>
            </w:pPr>
            <w:r>
              <w:rPr>
                <w:rFonts w:eastAsia="Calibri"/>
                <w:sz w:val="24"/>
                <w:szCs w:val="24"/>
                <w:lang w:val="en-US"/>
              </w:rPr>
              <w:t>34</w:t>
            </w:r>
            <w:r w:rsidR="00F32158" w:rsidRPr="000B1EFA">
              <w:rPr>
                <w:rFonts w:eastAsia="Calibri"/>
                <w:sz w:val="24"/>
                <w:szCs w:val="24"/>
                <w:lang w:val="en-US"/>
              </w:rPr>
              <w:t>982.64</w:t>
            </w:r>
          </w:p>
        </w:tc>
        <w:tc>
          <w:tcPr>
            <w:tcW w:w="0" w:type="auto"/>
          </w:tcPr>
          <w:p w:rsidR="00F32158" w:rsidRPr="000B1EFA" w:rsidRDefault="00F32158" w:rsidP="00FD76DB">
            <w:pPr>
              <w:shd w:val="clear" w:color="auto" w:fill="FFFFFF"/>
              <w:jc w:val="center"/>
              <w:rPr>
                <w:rFonts w:eastAsia="Calibri"/>
                <w:sz w:val="24"/>
                <w:szCs w:val="24"/>
              </w:rPr>
            </w:pPr>
            <w:r w:rsidRPr="000B1EFA">
              <w:rPr>
                <w:rFonts w:eastAsia="Calibri"/>
                <w:sz w:val="24"/>
                <w:szCs w:val="24"/>
                <w:lang w:val="en-US"/>
              </w:rPr>
              <w:t>45,823.96</w:t>
            </w:r>
          </w:p>
        </w:tc>
        <w:tc>
          <w:tcPr>
            <w:tcW w:w="0" w:type="auto"/>
          </w:tcPr>
          <w:p w:rsidR="00F32158" w:rsidRPr="000B1EFA" w:rsidRDefault="00FE196E" w:rsidP="00FD76DB">
            <w:pPr>
              <w:shd w:val="clear" w:color="auto" w:fill="FFFFFF"/>
              <w:jc w:val="center"/>
              <w:rPr>
                <w:rFonts w:eastAsia="Calibri"/>
                <w:sz w:val="24"/>
                <w:szCs w:val="24"/>
              </w:rPr>
            </w:pPr>
            <w:r>
              <w:rPr>
                <w:rFonts w:eastAsia="Calibri"/>
                <w:sz w:val="24"/>
                <w:szCs w:val="24"/>
                <w:lang w:val="en-US"/>
              </w:rPr>
              <w:t>34</w:t>
            </w:r>
            <w:r w:rsidR="00F32158" w:rsidRPr="000B1EFA">
              <w:rPr>
                <w:rFonts w:eastAsia="Calibri"/>
                <w:sz w:val="24"/>
                <w:szCs w:val="24"/>
                <w:lang w:val="en-US"/>
              </w:rPr>
              <w:t>621.55</w:t>
            </w:r>
          </w:p>
        </w:tc>
        <w:tc>
          <w:tcPr>
            <w:tcW w:w="0" w:type="auto"/>
          </w:tcPr>
          <w:p w:rsidR="00F32158" w:rsidRPr="000B1EFA" w:rsidRDefault="00FE196E" w:rsidP="00FD76DB">
            <w:pPr>
              <w:jc w:val="center"/>
              <w:rPr>
                <w:rFonts w:eastAsia="Calibri"/>
                <w:sz w:val="24"/>
                <w:szCs w:val="24"/>
              </w:rPr>
            </w:pPr>
            <w:r>
              <w:rPr>
                <w:rFonts w:eastAsia="Calibri"/>
                <w:sz w:val="24"/>
                <w:szCs w:val="24"/>
                <w:lang w:val="en-US"/>
              </w:rPr>
              <w:t>28</w:t>
            </w:r>
            <w:r w:rsidR="00F32158" w:rsidRPr="000B1EFA">
              <w:rPr>
                <w:rFonts w:eastAsia="Calibri"/>
                <w:sz w:val="24"/>
                <w:szCs w:val="24"/>
                <w:lang w:val="en-US"/>
              </w:rPr>
              <w:t>078.67</w:t>
            </w:r>
          </w:p>
        </w:tc>
        <w:tc>
          <w:tcPr>
            <w:tcW w:w="0" w:type="auto"/>
          </w:tcPr>
          <w:p w:rsidR="00F32158" w:rsidRPr="000B1EFA" w:rsidRDefault="00FE196E" w:rsidP="00FD76DB">
            <w:pPr>
              <w:shd w:val="clear" w:color="auto" w:fill="FFFFFF"/>
              <w:jc w:val="center"/>
              <w:rPr>
                <w:rFonts w:eastAsia="Calibri"/>
                <w:sz w:val="24"/>
                <w:szCs w:val="24"/>
              </w:rPr>
            </w:pPr>
            <w:r>
              <w:rPr>
                <w:rFonts w:eastAsia="Calibri"/>
                <w:sz w:val="24"/>
                <w:szCs w:val="24"/>
                <w:lang w:val="en-US"/>
              </w:rPr>
              <w:t>30</w:t>
            </w:r>
            <w:r w:rsidR="00F32158" w:rsidRPr="000B1EFA">
              <w:rPr>
                <w:rFonts w:eastAsia="Calibri"/>
                <w:sz w:val="24"/>
                <w:szCs w:val="24"/>
                <w:lang w:val="en-US"/>
              </w:rPr>
              <w:t>035.13</w:t>
            </w:r>
          </w:p>
        </w:tc>
        <w:tc>
          <w:tcPr>
            <w:tcW w:w="0" w:type="auto"/>
          </w:tcPr>
          <w:p w:rsidR="00F32158" w:rsidRPr="000B1EFA" w:rsidRDefault="00FE196E" w:rsidP="00FD76DB">
            <w:pPr>
              <w:jc w:val="center"/>
              <w:rPr>
                <w:rFonts w:eastAsia="Calibri"/>
                <w:sz w:val="24"/>
                <w:szCs w:val="24"/>
              </w:rPr>
            </w:pPr>
            <w:r>
              <w:rPr>
                <w:rFonts w:eastAsia="Calibri"/>
                <w:sz w:val="24"/>
                <w:szCs w:val="24"/>
                <w:lang w:val="en-US"/>
              </w:rPr>
              <w:t>25</w:t>
            </w:r>
            <w:r w:rsidR="00F32158" w:rsidRPr="000B1EFA">
              <w:rPr>
                <w:rFonts w:eastAsia="Calibri"/>
                <w:sz w:val="24"/>
                <w:szCs w:val="24"/>
                <w:lang w:val="en-US"/>
              </w:rPr>
              <w:t>423.28</w:t>
            </w:r>
          </w:p>
        </w:tc>
        <w:tc>
          <w:tcPr>
            <w:tcW w:w="0" w:type="auto"/>
          </w:tcPr>
          <w:p w:rsidR="00F32158" w:rsidRPr="000B1EFA" w:rsidRDefault="00FE196E" w:rsidP="00FD76DB">
            <w:pPr>
              <w:jc w:val="center"/>
              <w:rPr>
                <w:rFonts w:eastAsia="Calibri"/>
                <w:sz w:val="24"/>
                <w:szCs w:val="24"/>
              </w:rPr>
            </w:pPr>
            <w:r>
              <w:rPr>
                <w:rFonts w:eastAsia="Calibri"/>
                <w:sz w:val="24"/>
                <w:szCs w:val="24"/>
                <w:lang w:val="en-US"/>
              </w:rPr>
              <w:t>53</w:t>
            </w:r>
            <w:r w:rsidR="00F32158" w:rsidRPr="000B1EFA">
              <w:rPr>
                <w:rFonts w:eastAsia="Calibri"/>
                <w:sz w:val="24"/>
                <w:szCs w:val="24"/>
                <w:lang w:val="en-US"/>
              </w:rPr>
              <w:t>783.63</w:t>
            </w:r>
          </w:p>
        </w:tc>
        <w:tc>
          <w:tcPr>
            <w:tcW w:w="0" w:type="auto"/>
          </w:tcPr>
          <w:p w:rsidR="00F32158" w:rsidRPr="000B1EFA" w:rsidRDefault="00FE196E" w:rsidP="00FD76DB">
            <w:pPr>
              <w:jc w:val="center"/>
              <w:rPr>
                <w:rFonts w:eastAsia="Calibri"/>
                <w:sz w:val="24"/>
                <w:szCs w:val="24"/>
              </w:rPr>
            </w:pPr>
            <w:r>
              <w:rPr>
                <w:rFonts w:eastAsia="Calibri"/>
                <w:sz w:val="24"/>
                <w:szCs w:val="24"/>
                <w:lang w:val="en-US"/>
              </w:rPr>
              <w:t>68</w:t>
            </w:r>
            <w:r w:rsidR="00F32158" w:rsidRPr="000B1EFA">
              <w:rPr>
                <w:rFonts w:eastAsia="Calibri"/>
                <w:sz w:val="24"/>
                <w:szCs w:val="24"/>
                <w:lang w:val="en-US"/>
              </w:rPr>
              <w:t>248.39</w:t>
            </w:r>
          </w:p>
        </w:tc>
      </w:tr>
      <w:tr w:rsidR="00F32158" w:rsidRPr="000B1EFA" w:rsidTr="00BF1F99">
        <w:trPr>
          <w:jc w:val="center"/>
        </w:trPr>
        <w:tc>
          <w:tcPr>
            <w:tcW w:w="0" w:type="auto"/>
          </w:tcPr>
          <w:p w:rsidR="00F32158" w:rsidRPr="000B1EFA" w:rsidRDefault="00F32158" w:rsidP="00FD76DB">
            <w:pPr>
              <w:jc w:val="center"/>
              <w:rPr>
                <w:rFonts w:eastAsia="Calibri"/>
                <w:sz w:val="24"/>
                <w:szCs w:val="24"/>
              </w:rPr>
            </w:pPr>
            <w:r w:rsidRPr="000B1EFA">
              <w:rPr>
                <w:rFonts w:eastAsia="Calibri"/>
                <w:sz w:val="24"/>
                <w:szCs w:val="24"/>
              </w:rPr>
              <w:t>2018</w:t>
            </w:r>
          </w:p>
        </w:tc>
        <w:tc>
          <w:tcPr>
            <w:tcW w:w="1263" w:type="dxa"/>
          </w:tcPr>
          <w:p w:rsidR="00F32158" w:rsidRPr="000B1EFA" w:rsidRDefault="00FE196E" w:rsidP="00FD76DB">
            <w:pPr>
              <w:jc w:val="center"/>
              <w:rPr>
                <w:rFonts w:eastAsia="Calibri"/>
                <w:sz w:val="24"/>
                <w:szCs w:val="24"/>
              </w:rPr>
            </w:pPr>
            <w:r>
              <w:rPr>
                <w:rFonts w:eastAsia="Calibri"/>
                <w:sz w:val="24"/>
                <w:szCs w:val="24"/>
                <w:lang w:val="en-US"/>
              </w:rPr>
              <w:t>33</w:t>
            </w:r>
            <w:r w:rsidR="00F32158" w:rsidRPr="000B1EFA">
              <w:rPr>
                <w:rFonts w:eastAsia="Calibri"/>
                <w:sz w:val="24"/>
                <w:szCs w:val="24"/>
                <w:lang w:val="en-US"/>
              </w:rPr>
              <w:t>174.82</w:t>
            </w:r>
          </w:p>
        </w:tc>
        <w:tc>
          <w:tcPr>
            <w:tcW w:w="0" w:type="auto"/>
          </w:tcPr>
          <w:p w:rsidR="00F32158" w:rsidRPr="000B1EFA" w:rsidRDefault="00FE196E" w:rsidP="00FD76DB">
            <w:pPr>
              <w:jc w:val="center"/>
              <w:rPr>
                <w:rFonts w:eastAsia="Calibri"/>
                <w:sz w:val="24"/>
                <w:szCs w:val="24"/>
              </w:rPr>
            </w:pPr>
            <w:r>
              <w:rPr>
                <w:rFonts w:eastAsia="Calibri"/>
                <w:sz w:val="24"/>
                <w:szCs w:val="24"/>
                <w:lang w:val="en-US"/>
              </w:rPr>
              <w:t>43</w:t>
            </w:r>
            <w:r w:rsidR="00F32158" w:rsidRPr="000B1EFA">
              <w:rPr>
                <w:rFonts w:eastAsia="Calibri"/>
                <w:sz w:val="24"/>
                <w:szCs w:val="24"/>
                <w:lang w:val="en-US"/>
              </w:rPr>
              <w:t>516.51</w:t>
            </w:r>
          </w:p>
        </w:tc>
        <w:tc>
          <w:tcPr>
            <w:tcW w:w="0" w:type="auto"/>
          </w:tcPr>
          <w:p w:rsidR="00F32158" w:rsidRPr="000B1EFA" w:rsidRDefault="00FE196E" w:rsidP="00FD76DB">
            <w:pPr>
              <w:shd w:val="clear" w:color="auto" w:fill="FFFFFF"/>
              <w:jc w:val="center"/>
              <w:rPr>
                <w:rFonts w:eastAsia="Calibri"/>
                <w:sz w:val="24"/>
                <w:szCs w:val="24"/>
              </w:rPr>
            </w:pPr>
            <w:r>
              <w:rPr>
                <w:rFonts w:eastAsia="Calibri"/>
                <w:sz w:val="24"/>
                <w:szCs w:val="24"/>
                <w:lang w:val="en-US"/>
              </w:rPr>
              <w:t>33</w:t>
            </w:r>
            <w:r w:rsidR="00F32158" w:rsidRPr="000B1EFA">
              <w:rPr>
                <w:rFonts w:eastAsia="Calibri"/>
                <w:sz w:val="24"/>
                <w:szCs w:val="24"/>
                <w:lang w:val="en-US"/>
              </w:rPr>
              <w:t>443.38</w:t>
            </w:r>
          </w:p>
        </w:tc>
        <w:tc>
          <w:tcPr>
            <w:tcW w:w="0" w:type="auto"/>
          </w:tcPr>
          <w:p w:rsidR="00F32158" w:rsidRPr="000B1EFA" w:rsidRDefault="00FE196E" w:rsidP="00FD76DB">
            <w:pPr>
              <w:shd w:val="clear" w:color="auto" w:fill="FFFFFF"/>
              <w:jc w:val="center"/>
              <w:rPr>
                <w:rFonts w:eastAsia="Calibri"/>
                <w:sz w:val="24"/>
                <w:szCs w:val="24"/>
              </w:rPr>
            </w:pPr>
            <w:r>
              <w:rPr>
                <w:rFonts w:eastAsia="Calibri"/>
                <w:sz w:val="24"/>
                <w:szCs w:val="24"/>
                <w:lang w:val="en-US"/>
              </w:rPr>
              <w:t>26</w:t>
            </w:r>
            <w:r w:rsidR="00F32158" w:rsidRPr="000B1EFA">
              <w:rPr>
                <w:rFonts w:eastAsia="Calibri"/>
                <w:sz w:val="24"/>
                <w:szCs w:val="24"/>
                <w:lang w:val="en-US"/>
              </w:rPr>
              <w:t>961.19</w:t>
            </w:r>
          </w:p>
        </w:tc>
        <w:tc>
          <w:tcPr>
            <w:tcW w:w="0" w:type="auto"/>
          </w:tcPr>
          <w:p w:rsidR="00F32158" w:rsidRPr="000B1EFA" w:rsidRDefault="00FE196E" w:rsidP="00FD76DB">
            <w:pPr>
              <w:jc w:val="center"/>
              <w:rPr>
                <w:rFonts w:eastAsia="Calibri"/>
                <w:sz w:val="24"/>
                <w:szCs w:val="24"/>
              </w:rPr>
            </w:pPr>
            <w:r>
              <w:rPr>
                <w:rFonts w:eastAsia="Calibri"/>
                <w:sz w:val="24"/>
                <w:szCs w:val="24"/>
                <w:lang w:val="en-US"/>
              </w:rPr>
              <w:t>29</w:t>
            </w:r>
            <w:r w:rsidR="00F32158" w:rsidRPr="000B1EFA">
              <w:rPr>
                <w:rFonts w:eastAsia="Calibri"/>
                <w:sz w:val="24"/>
                <w:szCs w:val="24"/>
                <w:lang w:val="en-US"/>
              </w:rPr>
              <w:t>268.57</w:t>
            </w:r>
          </w:p>
        </w:tc>
        <w:tc>
          <w:tcPr>
            <w:tcW w:w="0" w:type="auto"/>
          </w:tcPr>
          <w:p w:rsidR="00F32158" w:rsidRPr="000B1EFA" w:rsidRDefault="00FE196E" w:rsidP="00FD76DB">
            <w:pPr>
              <w:jc w:val="center"/>
              <w:rPr>
                <w:rFonts w:eastAsia="Calibri"/>
                <w:sz w:val="24"/>
                <w:szCs w:val="24"/>
              </w:rPr>
            </w:pPr>
            <w:r>
              <w:rPr>
                <w:rFonts w:eastAsia="Calibri"/>
                <w:sz w:val="24"/>
                <w:szCs w:val="24"/>
                <w:lang w:val="en-US"/>
              </w:rPr>
              <w:t>24</w:t>
            </w:r>
            <w:r w:rsidR="00F32158" w:rsidRPr="000B1EFA">
              <w:rPr>
                <w:rFonts w:eastAsia="Calibri"/>
                <w:sz w:val="24"/>
                <w:szCs w:val="24"/>
                <w:lang w:val="en-US"/>
              </w:rPr>
              <w:t>702.03</w:t>
            </w:r>
          </w:p>
        </w:tc>
        <w:tc>
          <w:tcPr>
            <w:tcW w:w="0" w:type="auto"/>
          </w:tcPr>
          <w:p w:rsidR="00F32158" w:rsidRPr="000B1EFA" w:rsidRDefault="00FE196E" w:rsidP="00FD76DB">
            <w:pPr>
              <w:jc w:val="center"/>
              <w:rPr>
                <w:rFonts w:eastAsia="Calibri"/>
                <w:sz w:val="24"/>
                <w:szCs w:val="24"/>
              </w:rPr>
            </w:pPr>
            <w:r>
              <w:rPr>
                <w:rFonts w:eastAsia="Calibri"/>
                <w:sz w:val="24"/>
                <w:szCs w:val="24"/>
                <w:lang w:val="en-US"/>
              </w:rPr>
              <w:t>52</w:t>
            </w:r>
            <w:r w:rsidR="00F32158" w:rsidRPr="000B1EFA">
              <w:rPr>
                <w:rFonts w:eastAsia="Calibri"/>
                <w:sz w:val="24"/>
                <w:szCs w:val="24"/>
                <w:lang w:val="en-US"/>
              </w:rPr>
              <w:t>351.09</w:t>
            </w:r>
          </w:p>
        </w:tc>
        <w:tc>
          <w:tcPr>
            <w:tcW w:w="0" w:type="auto"/>
          </w:tcPr>
          <w:p w:rsidR="00F32158" w:rsidRPr="000B1EFA" w:rsidRDefault="00FE196E" w:rsidP="00FD76DB">
            <w:pPr>
              <w:shd w:val="clear" w:color="auto" w:fill="FFFFFF"/>
              <w:jc w:val="center"/>
              <w:rPr>
                <w:rFonts w:eastAsia="Calibri"/>
                <w:sz w:val="24"/>
                <w:szCs w:val="24"/>
              </w:rPr>
            </w:pPr>
            <w:r>
              <w:rPr>
                <w:rFonts w:eastAsia="Calibri"/>
                <w:sz w:val="24"/>
                <w:szCs w:val="24"/>
                <w:lang w:val="en-US"/>
              </w:rPr>
              <w:t>66</w:t>
            </w:r>
            <w:r w:rsidR="00F32158" w:rsidRPr="000B1EFA">
              <w:rPr>
                <w:rFonts w:eastAsia="Calibri"/>
                <w:sz w:val="24"/>
                <w:szCs w:val="24"/>
                <w:lang w:val="en-US"/>
              </w:rPr>
              <w:t>121.36</w:t>
            </w:r>
          </w:p>
        </w:tc>
      </w:tr>
      <w:tr w:rsidR="00F32158" w:rsidRPr="000B1EFA" w:rsidTr="00BF1F99">
        <w:trPr>
          <w:jc w:val="center"/>
        </w:trPr>
        <w:tc>
          <w:tcPr>
            <w:tcW w:w="0" w:type="auto"/>
          </w:tcPr>
          <w:p w:rsidR="00F32158" w:rsidRPr="000B1EFA" w:rsidRDefault="00F32158" w:rsidP="00FD76DB">
            <w:pPr>
              <w:jc w:val="center"/>
              <w:rPr>
                <w:rFonts w:eastAsia="Calibri"/>
                <w:sz w:val="24"/>
                <w:szCs w:val="24"/>
              </w:rPr>
            </w:pPr>
            <w:r w:rsidRPr="000B1EFA">
              <w:rPr>
                <w:rFonts w:eastAsia="Calibri"/>
                <w:sz w:val="24"/>
                <w:szCs w:val="24"/>
              </w:rPr>
              <w:t>2019</w:t>
            </w:r>
          </w:p>
        </w:tc>
        <w:tc>
          <w:tcPr>
            <w:tcW w:w="1263" w:type="dxa"/>
          </w:tcPr>
          <w:p w:rsidR="00F32158" w:rsidRPr="000B1EFA" w:rsidRDefault="00FE196E" w:rsidP="00FD76DB">
            <w:pPr>
              <w:shd w:val="clear" w:color="auto" w:fill="FFFFFF"/>
              <w:jc w:val="center"/>
              <w:rPr>
                <w:rFonts w:eastAsia="Calibri"/>
                <w:sz w:val="24"/>
                <w:szCs w:val="24"/>
              </w:rPr>
            </w:pPr>
            <w:r>
              <w:rPr>
                <w:rFonts w:eastAsia="Calibri"/>
                <w:sz w:val="24"/>
                <w:szCs w:val="24"/>
                <w:lang w:val="en-US"/>
              </w:rPr>
              <w:t>31</w:t>
            </w:r>
            <w:r w:rsidR="00F32158" w:rsidRPr="000B1EFA">
              <w:rPr>
                <w:rFonts w:eastAsia="Calibri"/>
                <w:sz w:val="24"/>
                <w:szCs w:val="24"/>
                <w:lang w:val="en-US"/>
              </w:rPr>
              <w:t>552.42</w:t>
            </w:r>
          </w:p>
        </w:tc>
        <w:tc>
          <w:tcPr>
            <w:tcW w:w="0" w:type="auto"/>
          </w:tcPr>
          <w:p w:rsidR="00F32158" w:rsidRPr="000B1EFA" w:rsidRDefault="00FE196E" w:rsidP="00FD76DB">
            <w:pPr>
              <w:jc w:val="center"/>
              <w:rPr>
                <w:rFonts w:eastAsia="Calibri"/>
                <w:sz w:val="24"/>
                <w:szCs w:val="24"/>
                <w:lang w:val="en-US"/>
              </w:rPr>
            </w:pPr>
            <w:r>
              <w:rPr>
                <w:rFonts w:eastAsia="Calibri"/>
                <w:sz w:val="24"/>
                <w:szCs w:val="24"/>
                <w:lang w:val="en-US"/>
              </w:rPr>
              <w:t>41</w:t>
            </w:r>
            <w:r w:rsidR="00F32158" w:rsidRPr="000B1EFA">
              <w:rPr>
                <w:rFonts w:eastAsia="Calibri"/>
                <w:sz w:val="24"/>
                <w:szCs w:val="24"/>
                <w:lang w:val="en-US"/>
              </w:rPr>
              <w:t>561.28</w:t>
            </w:r>
          </w:p>
        </w:tc>
        <w:tc>
          <w:tcPr>
            <w:tcW w:w="0" w:type="auto"/>
          </w:tcPr>
          <w:p w:rsidR="00F32158" w:rsidRPr="000B1EFA" w:rsidRDefault="00FE196E" w:rsidP="00FD76DB">
            <w:pPr>
              <w:jc w:val="center"/>
              <w:rPr>
                <w:rFonts w:eastAsia="Calibri"/>
                <w:sz w:val="24"/>
                <w:szCs w:val="24"/>
                <w:lang w:val="en-US"/>
              </w:rPr>
            </w:pPr>
            <w:r>
              <w:rPr>
                <w:rFonts w:eastAsia="Calibri"/>
                <w:sz w:val="24"/>
                <w:szCs w:val="24"/>
                <w:lang w:val="en-US"/>
              </w:rPr>
              <w:t>31</w:t>
            </w:r>
            <w:r w:rsidR="00F32158" w:rsidRPr="000B1EFA">
              <w:rPr>
                <w:rFonts w:eastAsia="Calibri"/>
                <w:sz w:val="24"/>
                <w:szCs w:val="24"/>
                <w:lang w:val="en-US"/>
              </w:rPr>
              <w:t>982.15</w:t>
            </w:r>
          </w:p>
        </w:tc>
        <w:tc>
          <w:tcPr>
            <w:tcW w:w="0" w:type="auto"/>
          </w:tcPr>
          <w:p w:rsidR="00F32158" w:rsidRPr="000B1EFA" w:rsidRDefault="00FE196E" w:rsidP="00FD76DB">
            <w:pPr>
              <w:jc w:val="center"/>
              <w:rPr>
                <w:rFonts w:eastAsia="Calibri"/>
                <w:sz w:val="24"/>
                <w:szCs w:val="24"/>
              </w:rPr>
            </w:pPr>
            <w:r>
              <w:rPr>
                <w:rFonts w:eastAsia="Calibri"/>
                <w:sz w:val="24"/>
                <w:szCs w:val="24"/>
                <w:lang w:val="en-US"/>
              </w:rPr>
              <w:t>25</w:t>
            </w:r>
            <w:r w:rsidR="00F32158" w:rsidRPr="000B1EFA">
              <w:rPr>
                <w:rFonts w:eastAsia="Calibri"/>
                <w:sz w:val="24"/>
                <w:szCs w:val="24"/>
                <w:lang w:val="en-US"/>
              </w:rPr>
              <w:t>950.88</w:t>
            </w:r>
          </w:p>
        </w:tc>
        <w:tc>
          <w:tcPr>
            <w:tcW w:w="0" w:type="auto"/>
          </w:tcPr>
          <w:p w:rsidR="00F32158" w:rsidRPr="000B1EFA" w:rsidRDefault="00FE196E" w:rsidP="00FD76DB">
            <w:pPr>
              <w:shd w:val="clear" w:color="auto" w:fill="FFFFFF"/>
              <w:jc w:val="center"/>
              <w:rPr>
                <w:rFonts w:eastAsia="Calibri"/>
                <w:sz w:val="24"/>
                <w:szCs w:val="24"/>
                <w:lang w:val="en-US"/>
              </w:rPr>
            </w:pPr>
            <w:r>
              <w:rPr>
                <w:rFonts w:eastAsia="Calibri"/>
                <w:sz w:val="24"/>
                <w:szCs w:val="24"/>
                <w:lang w:val="en-US"/>
              </w:rPr>
              <w:t>28</w:t>
            </w:r>
            <w:r w:rsidR="00F32158" w:rsidRPr="000B1EFA">
              <w:rPr>
                <w:rFonts w:eastAsia="Calibri"/>
                <w:sz w:val="24"/>
                <w:szCs w:val="24"/>
                <w:lang w:val="en-US"/>
              </w:rPr>
              <w:t>578.73</w:t>
            </w:r>
          </w:p>
        </w:tc>
        <w:tc>
          <w:tcPr>
            <w:tcW w:w="0" w:type="auto"/>
          </w:tcPr>
          <w:p w:rsidR="00F32158" w:rsidRPr="000B1EFA" w:rsidRDefault="00FE196E" w:rsidP="00FD76DB">
            <w:pPr>
              <w:shd w:val="clear" w:color="auto" w:fill="FFFFFF"/>
              <w:jc w:val="center"/>
              <w:rPr>
                <w:rFonts w:eastAsia="Calibri"/>
                <w:sz w:val="24"/>
                <w:szCs w:val="24"/>
                <w:lang w:val="en-US"/>
              </w:rPr>
            </w:pPr>
            <w:r>
              <w:rPr>
                <w:rFonts w:eastAsia="Calibri"/>
                <w:sz w:val="24"/>
                <w:szCs w:val="24"/>
                <w:lang w:val="en-US"/>
              </w:rPr>
              <w:t>24</w:t>
            </w:r>
            <w:r w:rsidR="00F32158" w:rsidRPr="000B1EFA">
              <w:rPr>
                <w:rFonts w:eastAsia="Calibri"/>
                <w:sz w:val="24"/>
                <w:szCs w:val="24"/>
                <w:lang w:val="en-US"/>
              </w:rPr>
              <w:t>026.04</w:t>
            </w:r>
          </w:p>
        </w:tc>
        <w:tc>
          <w:tcPr>
            <w:tcW w:w="0" w:type="auto"/>
          </w:tcPr>
          <w:p w:rsidR="00F32158" w:rsidRPr="000B1EFA" w:rsidRDefault="00FE196E" w:rsidP="00FD76DB">
            <w:pPr>
              <w:shd w:val="clear" w:color="auto" w:fill="FFFFFF"/>
              <w:jc w:val="center"/>
              <w:rPr>
                <w:rFonts w:eastAsia="Calibri"/>
                <w:sz w:val="24"/>
                <w:szCs w:val="24"/>
                <w:lang w:val="en-US"/>
              </w:rPr>
            </w:pPr>
            <w:r>
              <w:rPr>
                <w:rFonts w:eastAsia="Calibri"/>
                <w:sz w:val="24"/>
                <w:szCs w:val="24"/>
                <w:lang w:val="en-US"/>
              </w:rPr>
              <w:t>51</w:t>
            </w:r>
            <w:r w:rsidR="00F32158" w:rsidRPr="000B1EFA">
              <w:rPr>
                <w:rFonts w:eastAsia="Calibri"/>
                <w:sz w:val="24"/>
                <w:szCs w:val="24"/>
                <w:lang w:val="en-US"/>
              </w:rPr>
              <w:t>248.25</w:t>
            </w:r>
          </w:p>
        </w:tc>
        <w:tc>
          <w:tcPr>
            <w:tcW w:w="0" w:type="auto"/>
          </w:tcPr>
          <w:p w:rsidR="00F32158" w:rsidRPr="000B1EFA" w:rsidRDefault="00FE196E" w:rsidP="00FD76DB">
            <w:pPr>
              <w:jc w:val="center"/>
              <w:rPr>
                <w:rFonts w:eastAsia="Calibri"/>
                <w:sz w:val="24"/>
                <w:szCs w:val="24"/>
                <w:lang w:val="en-US"/>
              </w:rPr>
            </w:pPr>
            <w:r>
              <w:rPr>
                <w:rFonts w:eastAsia="Calibri"/>
                <w:sz w:val="24"/>
                <w:szCs w:val="24"/>
                <w:lang w:val="en-US"/>
              </w:rPr>
              <w:t>64</w:t>
            </w:r>
            <w:r w:rsidR="00F32158" w:rsidRPr="000B1EFA">
              <w:rPr>
                <w:rFonts w:eastAsia="Calibri"/>
                <w:sz w:val="24"/>
                <w:szCs w:val="24"/>
                <w:lang w:val="en-US"/>
              </w:rPr>
              <w:t>074.21</w:t>
            </w:r>
          </w:p>
        </w:tc>
      </w:tr>
    </w:tbl>
    <w:p w:rsidR="00F32158" w:rsidRPr="00F32158" w:rsidRDefault="00F32158" w:rsidP="00F32158">
      <w:pPr>
        <w:tabs>
          <w:tab w:val="left" w:pos="8133"/>
        </w:tabs>
        <w:spacing w:after="200" w:line="276" w:lineRule="auto"/>
        <w:jc w:val="right"/>
        <w:rPr>
          <w:rFonts w:eastAsia="Calibri"/>
          <w:szCs w:val="28"/>
        </w:rPr>
      </w:pPr>
    </w:p>
    <w:p w:rsidR="00FC0023" w:rsidRPr="002F71DC" w:rsidRDefault="00FC0023" w:rsidP="002F71DC">
      <w:pPr>
        <w:tabs>
          <w:tab w:val="left" w:pos="7770"/>
          <w:tab w:val="left" w:pos="8133"/>
        </w:tabs>
        <w:spacing w:after="200" w:line="276" w:lineRule="auto"/>
        <w:jc w:val="left"/>
        <w:rPr>
          <w:rFonts w:eastAsia="Calibri"/>
          <w:szCs w:val="28"/>
        </w:rPr>
      </w:pPr>
    </w:p>
    <w:p w:rsidR="00F32158" w:rsidRPr="00F32158" w:rsidRDefault="00D32C4B" w:rsidP="00D13BF8">
      <w:pPr>
        <w:pageBreakBefore/>
        <w:tabs>
          <w:tab w:val="left" w:pos="7770"/>
          <w:tab w:val="left" w:pos="8133"/>
        </w:tabs>
        <w:spacing w:after="200" w:line="276" w:lineRule="auto"/>
        <w:jc w:val="right"/>
        <w:rPr>
          <w:rFonts w:eastAsia="Calibri"/>
          <w:szCs w:val="28"/>
        </w:rPr>
      </w:pPr>
      <w:r>
        <w:rPr>
          <w:rFonts w:eastAsia="Calibri"/>
          <w:szCs w:val="28"/>
        </w:rPr>
        <w:lastRenderedPageBreak/>
        <w:t>Додаток Б</w:t>
      </w:r>
      <w:r w:rsidR="00F32158" w:rsidRPr="00F32158">
        <w:rPr>
          <w:rFonts w:eastAsia="Calibri"/>
          <w:szCs w:val="28"/>
        </w:rPr>
        <w:t>-22</w:t>
      </w:r>
    </w:p>
    <w:p w:rsidR="00F32158" w:rsidRPr="00F32158" w:rsidRDefault="00F32158" w:rsidP="00FC0023">
      <w:pPr>
        <w:spacing w:after="200" w:line="276" w:lineRule="auto"/>
        <w:jc w:val="center"/>
        <w:rPr>
          <w:rFonts w:eastAsia="Calibri"/>
          <w:b/>
          <w:szCs w:val="28"/>
        </w:rPr>
      </w:pPr>
      <w:r w:rsidRPr="00F32158">
        <w:rPr>
          <w:rFonts w:eastAsia="Calibri"/>
          <w:b/>
          <w:szCs w:val="28"/>
        </w:rPr>
        <w:t xml:space="preserve">Динаміка показника </w:t>
      </w:r>
      <w:r w:rsidRPr="00F32158">
        <w:rPr>
          <w:rFonts w:eastAsia="Calibri"/>
          <w:b/>
          <w:szCs w:val="28"/>
          <w:lang w:val="en-US"/>
        </w:rPr>
        <w:t>YLLs</w:t>
      </w:r>
      <w:r w:rsidRPr="00F32158">
        <w:rPr>
          <w:rFonts w:eastAsia="Calibri"/>
          <w:b/>
          <w:szCs w:val="28"/>
        </w:rPr>
        <w:t xml:space="preserve"> (</w:t>
      </w:r>
      <w:r w:rsidRPr="00F32158">
        <w:rPr>
          <w:rFonts w:eastAsia="Calibri"/>
          <w:b/>
          <w:szCs w:val="28"/>
          <w:lang w:val="en-US"/>
        </w:rPr>
        <w:t>Years</w:t>
      </w:r>
      <w:r w:rsidRPr="00F32158">
        <w:rPr>
          <w:rFonts w:eastAsia="Calibri"/>
          <w:b/>
          <w:szCs w:val="28"/>
        </w:rPr>
        <w:t xml:space="preserve"> </w:t>
      </w:r>
      <w:r w:rsidRPr="00F32158">
        <w:rPr>
          <w:rFonts w:eastAsia="Calibri"/>
          <w:b/>
          <w:szCs w:val="28"/>
          <w:lang w:val="en-US"/>
        </w:rPr>
        <w:t>of</w:t>
      </w:r>
      <w:r w:rsidRPr="00F32158">
        <w:rPr>
          <w:rFonts w:eastAsia="Calibri"/>
          <w:b/>
          <w:szCs w:val="28"/>
        </w:rPr>
        <w:t xml:space="preserve"> </w:t>
      </w:r>
      <w:r w:rsidRPr="00F32158">
        <w:rPr>
          <w:rFonts w:eastAsia="Calibri"/>
          <w:b/>
          <w:szCs w:val="28"/>
          <w:lang w:val="en-US"/>
        </w:rPr>
        <w:t>Life</w:t>
      </w:r>
      <w:r w:rsidRPr="00F32158">
        <w:rPr>
          <w:rFonts w:eastAsia="Calibri"/>
          <w:b/>
          <w:szCs w:val="28"/>
        </w:rPr>
        <w:t xml:space="preserve"> </w:t>
      </w:r>
      <w:r w:rsidRPr="00F32158">
        <w:rPr>
          <w:rFonts w:eastAsia="Calibri"/>
          <w:b/>
          <w:szCs w:val="28"/>
          <w:lang w:val="en-US"/>
        </w:rPr>
        <w:t>Lost</w:t>
      </w:r>
      <w:r w:rsidRPr="00F32158">
        <w:rPr>
          <w:rFonts w:eastAsia="Calibri"/>
          <w:b/>
          <w:szCs w:val="28"/>
        </w:rPr>
        <w:t>) (на 100 тис. осіб) у випадку ранньої неонатальної смертності (сума потенційних років життя втрачених внаслідок передчасної смерті)</w:t>
      </w:r>
      <w:r w:rsidRPr="00F32158">
        <w:rPr>
          <w:rFonts w:ascii="Calibri" w:eastAsia="Calibri" w:hAnsi="Calibri"/>
          <w:b/>
          <w:sz w:val="22"/>
        </w:rPr>
        <w:t xml:space="preserve"> </w:t>
      </w:r>
      <w:r w:rsidRPr="00F32158">
        <w:rPr>
          <w:rFonts w:eastAsia="Calibri"/>
          <w:b/>
          <w:szCs w:val="28"/>
        </w:rPr>
        <w:t xml:space="preserve"> </w:t>
      </w:r>
      <w:r w:rsidRPr="00F32158">
        <w:rPr>
          <w:rFonts w:eastAsia="Calibri"/>
          <w:b/>
          <w:color w:val="000000"/>
          <w:szCs w:val="28"/>
        </w:rPr>
        <w:t>(на 100 тис. осіб, 95% ДІ)</w:t>
      </w:r>
    </w:p>
    <w:tbl>
      <w:tblPr>
        <w:tblStyle w:val="6011"/>
        <w:tblW w:w="0" w:type="auto"/>
        <w:jc w:val="center"/>
        <w:tblLook w:val="04A0" w:firstRow="1" w:lastRow="0" w:firstColumn="1" w:lastColumn="0" w:noHBand="0" w:noVBand="1"/>
      </w:tblPr>
      <w:tblGrid>
        <w:gridCol w:w="696"/>
        <w:gridCol w:w="2736"/>
        <w:gridCol w:w="2736"/>
        <w:gridCol w:w="2736"/>
      </w:tblGrid>
      <w:tr w:rsidR="00F32158" w:rsidRPr="000B1EFA" w:rsidTr="00BF1F99">
        <w:trPr>
          <w:jc w:val="center"/>
        </w:trPr>
        <w:tc>
          <w:tcPr>
            <w:tcW w:w="0" w:type="auto"/>
          </w:tcPr>
          <w:p w:rsidR="00F32158" w:rsidRPr="000B1EFA" w:rsidRDefault="00F32158" w:rsidP="000B1EFA">
            <w:pPr>
              <w:spacing w:line="360" w:lineRule="auto"/>
              <w:jc w:val="center"/>
              <w:rPr>
                <w:rFonts w:ascii="Times New Roman" w:hAnsi="Times New Roman"/>
                <w:sz w:val="24"/>
                <w:szCs w:val="24"/>
              </w:rPr>
            </w:pPr>
            <w:r w:rsidRPr="000B1EFA">
              <w:rPr>
                <w:rFonts w:ascii="Times New Roman" w:hAnsi="Times New Roman"/>
                <w:sz w:val="24"/>
                <w:szCs w:val="24"/>
              </w:rPr>
              <w:t>Рік</w:t>
            </w:r>
          </w:p>
        </w:tc>
        <w:tc>
          <w:tcPr>
            <w:tcW w:w="0" w:type="auto"/>
          </w:tcPr>
          <w:p w:rsidR="00F32158" w:rsidRPr="000B1EFA" w:rsidRDefault="00F32158" w:rsidP="000B1EFA">
            <w:pPr>
              <w:spacing w:line="360" w:lineRule="auto"/>
              <w:jc w:val="center"/>
              <w:rPr>
                <w:rFonts w:ascii="Times New Roman" w:hAnsi="Times New Roman"/>
                <w:sz w:val="24"/>
                <w:szCs w:val="24"/>
              </w:rPr>
            </w:pPr>
            <w:r w:rsidRPr="000B1EFA">
              <w:rPr>
                <w:rFonts w:ascii="Times New Roman" w:hAnsi="Times New Roman"/>
                <w:sz w:val="24"/>
                <w:szCs w:val="24"/>
              </w:rPr>
              <w:t>Обидві статі</w:t>
            </w:r>
          </w:p>
        </w:tc>
        <w:tc>
          <w:tcPr>
            <w:tcW w:w="0" w:type="auto"/>
          </w:tcPr>
          <w:p w:rsidR="00F32158" w:rsidRPr="000B1EFA" w:rsidRDefault="00F32158" w:rsidP="000B1EFA">
            <w:pPr>
              <w:spacing w:line="360" w:lineRule="auto"/>
              <w:jc w:val="center"/>
              <w:rPr>
                <w:rFonts w:ascii="Times New Roman" w:hAnsi="Times New Roman"/>
                <w:sz w:val="24"/>
                <w:szCs w:val="24"/>
              </w:rPr>
            </w:pPr>
            <w:r w:rsidRPr="000B1EFA">
              <w:rPr>
                <w:rFonts w:ascii="Times New Roman" w:hAnsi="Times New Roman"/>
                <w:sz w:val="24"/>
                <w:szCs w:val="24"/>
              </w:rPr>
              <w:t>Хлопчики</w:t>
            </w:r>
          </w:p>
        </w:tc>
        <w:tc>
          <w:tcPr>
            <w:tcW w:w="0" w:type="auto"/>
          </w:tcPr>
          <w:p w:rsidR="00F32158" w:rsidRPr="000B1EFA" w:rsidRDefault="00F32158" w:rsidP="000B1EFA">
            <w:pPr>
              <w:spacing w:line="360" w:lineRule="auto"/>
              <w:jc w:val="center"/>
              <w:rPr>
                <w:rFonts w:ascii="Times New Roman" w:hAnsi="Times New Roman"/>
                <w:sz w:val="24"/>
                <w:szCs w:val="24"/>
              </w:rPr>
            </w:pPr>
            <w:r w:rsidRPr="000B1EFA">
              <w:rPr>
                <w:rFonts w:ascii="Times New Roman" w:hAnsi="Times New Roman"/>
                <w:sz w:val="24"/>
                <w:szCs w:val="24"/>
              </w:rPr>
              <w:t>Дівчатка</w:t>
            </w:r>
          </w:p>
        </w:tc>
      </w:tr>
      <w:tr w:rsidR="00F32158" w:rsidRPr="000B1EFA" w:rsidTr="00BF1F99">
        <w:trPr>
          <w:jc w:val="center"/>
        </w:trPr>
        <w:tc>
          <w:tcPr>
            <w:tcW w:w="0" w:type="auto"/>
          </w:tcPr>
          <w:p w:rsidR="00F32158" w:rsidRPr="000B1EFA" w:rsidRDefault="00F32158" w:rsidP="000B1EFA">
            <w:pPr>
              <w:spacing w:line="360" w:lineRule="auto"/>
              <w:jc w:val="center"/>
              <w:rPr>
                <w:rFonts w:ascii="Times New Roman" w:hAnsi="Times New Roman"/>
                <w:sz w:val="24"/>
                <w:szCs w:val="24"/>
              </w:rPr>
            </w:pPr>
            <w:r w:rsidRPr="000B1EFA">
              <w:rPr>
                <w:rFonts w:ascii="Times New Roman" w:hAnsi="Times New Roman"/>
                <w:sz w:val="24"/>
                <w:szCs w:val="24"/>
              </w:rPr>
              <w:t>2009</w:t>
            </w:r>
          </w:p>
          <w:p w:rsidR="00F32158" w:rsidRPr="000B1EFA" w:rsidRDefault="00F32158" w:rsidP="000B1EFA">
            <w:pPr>
              <w:spacing w:line="360" w:lineRule="auto"/>
              <w:jc w:val="center"/>
              <w:rPr>
                <w:rFonts w:ascii="Times New Roman" w:hAnsi="Times New Roman"/>
                <w:sz w:val="24"/>
                <w:szCs w:val="24"/>
              </w:rPr>
            </w:pPr>
            <w:r w:rsidRPr="000B1EFA">
              <w:rPr>
                <w:rFonts w:ascii="Times New Roman" w:hAnsi="Times New Roman"/>
                <w:sz w:val="24"/>
                <w:szCs w:val="24"/>
              </w:rPr>
              <w:t>ДІ</w:t>
            </w:r>
          </w:p>
        </w:tc>
        <w:tc>
          <w:tcPr>
            <w:tcW w:w="0" w:type="auto"/>
          </w:tcPr>
          <w:p w:rsidR="00F32158" w:rsidRPr="000B1EFA" w:rsidRDefault="00F32158" w:rsidP="000B1EFA">
            <w:pPr>
              <w:spacing w:line="360" w:lineRule="auto"/>
              <w:jc w:val="center"/>
              <w:rPr>
                <w:rFonts w:ascii="Times New Roman" w:eastAsia="Times New Roman" w:hAnsi="Times New Roman"/>
                <w:sz w:val="24"/>
                <w:szCs w:val="24"/>
              </w:rPr>
            </w:pPr>
            <w:r w:rsidRPr="000B1EFA">
              <w:rPr>
                <w:rFonts w:ascii="Times New Roman" w:eastAsia="Times New Roman" w:hAnsi="Times New Roman"/>
                <w:sz w:val="24"/>
                <w:szCs w:val="24"/>
              </w:rPr>
              <w:t>2175652,01</w:t>
            </w:r>
          </w:p>
          <w:p w:rsidR="00F32158" w:rsidRPr="000B1EFA" w:rsidRDefault="00F32158" w:rsidP="000B1EFA">
            <w:pPr>
              <w:spacing w:line="360" w:lineRule="auto"/>
              <w:jc w:val="center"/>
              <w:rPr>
                <w:rFonts w:ascii="Times New Roman" w:eastAsia="Times New Roman" w:hAnsi="Times New Roman"/>
                <w:sz w:val="24"/>
                <w:szCs w:val="24"/>
              </w:rPr>
            </w:pPr>
            <w:r w:rsidRPr="000B1EFA">
              <w:rPr>
                <w:rFonts w:ascii="Times New Roman" w:eastAsia="Times New Roman" w:hAnsi="Times New Roman"/>
                <w:sz w:val="24"/>
                <w:szCs w:val="24"/>
              </w:rPr>
              <w:t>(2383453,53-1960329,02)</w:t>
            </w:r>
          </w:p>
        </w:tc>
        <w:tc>
          <w:tcPr>
            <w:tcW w:w="0" w:type="auto"/>
          </w:tcPr>
          <w:p w:rsidR="00F32158" w:rsidRPr="000B1EFA" w:rsidRDefault="00F32158" w:rsidP="000B1EFA">
            <w:pPr>
              <w:spacing w:line="360" w:lineRule="auto"/>
              <w:jc w:val="center"/>
              <w:rPr>
                <w:rFonts w:ascii="Times New Roman" w:eastAsia="Times New Roman" w:hAnsi="Times New Roman"/>
                <w:sz w:val="24"/>
                <w:szCs w:val="24"/>
                <w:lang w:val="en-US"/>
              </w:rPr>
            </w:pPr>
            <w:r w:rsidRPr="000B1EFA">
              <w:rPr>
                <w:rFonts w:ascii="Times New Roman" w:eastAsia="Times New Roman" w:hAnsi="Times New Roman"/>
                <w:sz w:val="24"/>
                <w:szCs w:val="24"/>
                <w:lang w:val="en-US"/>
              </w:rPr>
              <w:t>2976677,17</w:t>
            </w:r>
          </w:p>
          <w:p w:rsidR="00F32158" w:rsidRPr="000B1EFA" w:rsidRDefault="00F32158" w:rsidP="000B1EFA">
            <w:pPr>
              <w:spacing w:line="360" w:lineRule="auto"/>
              <w:jc w:val="center"/>
              <w:rPr>
                <w:rFonts w:ascii="Times New Roman" w:eastAsia="Times New Roman" w:hAnsi="Times New Roman"/>
                <w:sz w:val="24"/>
                <w:szCs w:val="24"/>
              </w:rPr>
            </w:pPr>
            <w:r w:rsidRPr="000B1EFA">
              <w:rPr>
                <w:rFonts w:ascii="Times New Roman" w:eastAsia="Times New Roman" w:hAnsi="Times New Roman"/>
                <w:sz w:val="24"/>
                <w:szCs w:val="24"/>
              </w:rPr>
              <w:t>(</w:t>
            </w:r>
            <w:r w:rsidRPr="000B1EFA">
              <w:rPr>
                <w:rFonts w:ascii="Times New Roman" w:eastAsia="Times New Roman" w:hAnsi="Times New Roman"/>
                <w:sz w:val="24"/>
                <w:szCs w:val="24"/>
                <w:lang w:val="en-US"/>
              </w:rPr>
              <w:t>3261282,74</w:t>
            </w:r>
            <w:r w:rsidRPr="000B1EFA">
              <w:rPr>
                <w:rFonts w:ascii="Times New Roman" w:eastAsia="Times New Roman" w:hAnsi="Times New Roman"/>
                <w:sz w:val="24"/>
                <w:szCs w:val="24"/>
              </w:rPr>
              <w:t>-</w:t>
            </w:r>
            <w:r w:rsidRPr="000B1EFA">
              <w:rPr>
                <w:rFonts w:ascii="Times New Roman" w:eastAsia="Times New Roman" w:hAnsi="Times New Roman"/>
                <w:sz w:val="24"/>
                <w:szCs w:val="24"/>
                <w:lang w:val="en-US"/>
              </w:rPr>
              <w:t>2682763,10</w:t>
            </w:r>
            <w:r w:rsidRPr="000B1EFA">
              <w:rPr>
                <w:rFonts w:ascii="Times New Roman" w:eastAsia="Times New Roman" w:hAnsi="Times New Roman"/>
                <w:sz w:val="24"/>
                <w:szCs w:val="24"/>
              </w:rPr>
              <w:t>)</w:t>
            </w:r>
          </w:p>
        </w:tc>
        <w:tc>
          <w:tcPr>
            <w:tcW w:w="0" w:type="auto"/>
          </w:tcPr>
          <w:p w:rsidR="00F32158" w:rsidRPr="000B1EFA" w:rsidRDefault="00F32158" w:rsidP="000B1EFA">
            <w:pPr>
              <w:shd w:val="clear" w:color="auto" w:fill="FFFFFF"/>
              <w:spacing w:line="360" w:lineRule="auto"/>
              <w:jc w:val="center"/>
              <w:rPr>
                <w:rFonts w:ascii="Times New Roman" w:eastAsia="Times New Roman" w:hAnsi="Times New Roman"/>
                <w:sz w:val="24"/>
                <w:szCs w:val="24"/>
                <w:lang w:val="en-US"/>
              </w:rPr>
            </w:pPr>
            <w:r w:rsidRPr="000B1EFA">
              <w:rPr>
                <w:rFonts w:ascii="Times New Roman" w:eastAsia="Times New Roman" w:hAnsi="Times New Roman"/>
                <w:sz w:val="24"/>
                <w:szCs w:val="24"/>
                <w:lang w:val="en-US"/>
              </w:rPr>
              <w:t>1319101,49</w:t>
            </w:r>
          </w:p>
          <w:p w:rsidR="00F32158" w:rsidRPr="000B1EFA" w:rsidRDefault="00F32158" w:rsidP="000B1EFA">
            <w:pPr>
              <w:shd w:val="clear" w:color="auto" w:fill="FFFFFF"/>
              <w:spacing w:line="360" w:lineRule="auto"/>
              <w:jc w:val="center"/>
              <w:rPr>
                <w:rFonts w:ascii="Times New Roman" w:eastAsia="Times New Roman" w:hAnsi="Times New Roman"/>
                <w:sz w:val="24"/>
                <w:szCs w:val="24"/>
              </w:rPr>
            </w:pPr>
            <w:r w:rsidRPr="000B1EFA">
              <w:rPr>
                <w:rFonts w:ascii="Times New Roman" w:eastAsia="Times New Roman" w:hAnsi="Times New Roman"/>
                <w:sz w:val="24"/>
                <w:szCs w:val="24"/>
              </w:rPr>
              <w:t>(</w:t>
            </w:r>
            <w:r w:rsidRPr="000B1EFA">
              <w:rPr>
                <w:rFonts w:ascii="Times New Roman" w:eastAsia="Times New Roman" w:hAnsi="Times New Roman"/>
                <w:sz w:val="24"/>
                <w:szCs w:val="24"/>
                <w:lang w:val="en-US"/>
              </w:rPr>
              <w:t>1489595,31</w:t>
            </w:r>
            <w:r w:rsidRPr="000B1EFA">
              <w:rPr>
                <w:rFonts w:ascii="Times New Roman" w:eastAsia="Times New Roman" w:hAnsi="Times New Roman"/>
                <w:sz w:val="24"/>
                <w:szCs w:val="24"/>
              </w:rPr>
              <w:t>-</w:t>
            </w:r>
            <w:r w:rsidRPr="000B1EFA">
              <w:rPr>
                <w:rFonts w:ascii="Times New Roman" w:eastAsia="Times New Roman" w:hAnsi="Times New Roman"/>
                <w:sz w:val="24"/>
                <w:szCs w:val="24"/>
                <w:lang w:val="en-US"/>
              </w:rPr>
              <w:t>1160789,89</w:t>
            </w:r>
            <w:r w:rsidRPr="000B1EFA">
              <w:rPr>
                <w:rFonts w:ascii="Times New Roman" w:eastAsia="Times New Roman" w:hAnsi="Times New Roman"/>
                <w:sz w:val="24"/>
                <w:szCs w:val="24"/>
              </w:rPr>
              <w:t>)</w:t>
            </w:r>
          </w:p>
        </w:tc>
      </w:tr>
      <w:tr w:rsidR="00F32158" w:rsidRPr="000B1EFA" w:rsidTr="00BF1F99">
        <w:trPr>
          <w:jc w:val="center"/>
        </w:trPr>
        <w:tc>
          <w:tcPr>
            <w:tcW w:w="0" w:type="auto"/>
          </w:tcPr>
          <w:p w:rsidR="00F32158" w:rsidRPr="000B1EFA" w:rsidRDefault="00F32158" w:rsidP="000B1EFA">
            <w:pPr>
              <w:spacing w:line="360" w:lineRule="auto"/>
              <w:jc w:val="center"/>
              <w:rPr>
                <w:rFonts w:ascii="Times New Roman" w:hAnsi="Times New Roman"/>
                <w:sz w:val="24"/>
                <w:szCs w:val="24"/>
              </w:rPr>
            </w:pPr>
            <w:r w:rsidRPr="000B1EFA">
              <w:rPr>
                <w:rFonts w:ascii="Times New Roman" w:hAnsi="Times New Roman"/>
                <w:sz w:val="24"/>
                <w:szCs w:val="24"/>
              </w:rPr>
              <w:t>2010</w:t>
            </w:r>
          </w:p>
          <w:p w:rsidR="00F32158" w:rsidRPr="000B1EFA" w:rsidRDefault="00F32158" w:rsidP="000B1EFA">
            <w:pPr>
              <w:spacing w:line="360" w:lineRule="auto"/>
              <w:jc w:val="center"/>
              <w:rPr>
                <w:rFonts w:ascii="Times New Roman" w:hAnsi="Times New Roman"/>
                <w:sz w:val="24"/>
                <w:szCs w:val="24"/>
              </w:rPr>
            </w:pPr>
            <w:r w:rsidRPr="000B1EFA">
              <w:rPr>
                <w:rFonts w:ascii="Times New Roman" w:hAnsi="Times New Roman"/>
                <w:sz w:val="24"/>
                <w:szCs w:val="24"/>
              </w:rPr>
              <w:t>ДІ</w:t>
            </w:r>
          </w:p>
        </w:tc>
        <w:tc>
          <w:tcPr>
            <w:tcW w:w="0" w:type="auto"/>
          </w:tcPr>
          <w:p w:rsidR="00F32158" w:rsidRPr="000B1EFA" w:rsidRDefault="00F32158" w:rsidP="000B1EFA">
            <w:pPr>
              <w:spacing w:line="360" w:lineRule="auto"/>
              <w:jc w:val="center"/>
              <w:rPr>
                <w:rFonts w:ascii="Times New Roman" w:eastAsia="Times New Roman" w:hAnsi="Times New Roman"/>
                <w:sz w:val="24"/>
                <w:szCs w:val="24"/>
                <w:lang w:val="en-US"/>
              </w:rPr>
            </w:pPr>
            <w:r w:rsidRPr="000B1EFA">
              <w:rPr>
                <w:rFonts w:ascii="Times New Roman" w:eastAsia="Times New Roman" w:hAnsi="Times New Roman"/>
                <w:sz w:val="24"/>
                <w:szCs w:val="24"/>
                <w:lang w:val="en-US"/>
              </w:rPr>
              <w:t>2061314,43</w:t>
            </w:r>
          </w:p>
          <w:p w:rsidR="00F32158" w:rsidRPr="000B1EFA" w:rsidRDefault="00F32158" w:rsidP="000B1EFA">
            <w:pPr>
              <w:spacing w:line="360" w:lineRule="auto"/>
              <w:jc w:val="center"/>
              <w:rPr>
                <w:rFonts w:ascii="Times New Roman" w:eastAsia="Times New Roman" w:hAnsi="Times New Roman"/>
                <w:sz w:val="24"/>
                <w:szCs w:val="24"/>
              </w:rPr>
            </w:pPr>
            <w:r w:rsidRPr="000B1EFA">
              <w:rPr>
                <w:rFonts w:ascii="Times New Roman" w:eastAsia="Times New Roman" w:hAnsi="Times New Roman"/>
                <w:sz w:val="24"/>
                <w:szCs w:val="24"/>
              </w:rPr>
              <w:t>(</w:t>
            </w:r>
            <w:r w:rsidRPr="000B1EFA">
              <w:rPr>
                <w:rFonts w:ascii="Times New Roman" w:eastAsia="Times New Roman" w:hAnsi="Times New Roman"/>
                <w:sz w:val="24"/>
                <w:szCs w:val="24"/>
                <w:lang w:val="en-US"/>
              </w:rPr>
              <w:t>2228636,95</w:t>
            </w:r>
            <w:r w:rsidRPr="000B1EFA">
              <w:rPr>
                <w:rFonts w:ascii="Times New Roman" w:eastAsia="Times New Roman" w:hAnsi="Times New Roman"/>
                <w:sz w:val="24"/>
                <w:szCs w:val="24"/>
              </w:rPr>
              <w:t>-</w:t>
            </w:r>
            <w:r w:rsidRPr="000B1EFA">
              <w:rPr>
                <w:rFonts w:ascii="Times New Roman" w:eastAsia="Times New Roman" w:hAnsi="Times New Roman"/>
                <w:sz w:val="24"/>
                <w:szCs w:val="24"/>
                <w:lang w:val="en-US"/>
              </w:rPr>
              <w:t>1894434,09</w:t>
            </w:r>
            <w:r w:rsidRPr="000B1EFA">
              <w:rPr>
                <w:rFonts w:ascii="Times New Roman" w:eastAsia="Times New Roman" w:hAnsi="Times New Roman"/>
                <w:sz w:val="24"/>
                <w:szCs w:val="24"/>
              </w:rPr>
              <w:t>)</w:t>
            </w:r>
          </w:p>
        </w:tc>
        <w:tc>
          <w:tcPr>
            <w:tcW w:w="0" w:type="auto"/>
          </w:tcPr>
          <w:p w:rsidR="00F32158" w:rsidRPr="000B1EFA" w:rsidRDefault="00F32158" w:rsidP="000B1EFA">
            <w:pPr>
              <w:spacing w:line="360" w:lineRule="auto"/>
              <w:jc w:val="center"/>
              <w:rPr>
                <w:rFonts w:ascii="Times New Roman" w:eastAsia="Times New Roman" w:hAnsi="Times New Roman"/>
                <w:sz w:val="24"/>
                <w:szCs w:val="24"/>
                <w:lang w:val="en-US"/>
              </w:rPr>
            </w:pPr>
            <w:r w:rsidRPr="000B1EFA">
              <w:rPr>
                <w:rFonts w:ascii="Times New Roman" w:eastAsia="Times New Roman" w:hAnsi="Times New Roman"/>
                <w:sz w:val="24"/>
                <w:szCs w:val="24"/>
                <w:lang w:val="en-US"/>
              </w:rPr>
              <w:t>2820395,57</w:t>
            </w:r>
          </w:p>
          <w:p w:rsidR="00F32158" w:rsidRPr="000B1EFA" w:rsidRDefault="00F32158" w:rsidP="000B1EFA">
            <w:pPr>
              <w:spacing w:line="360" w:lineRule="auto"/>
              <w:jc w:val="center"/>
              <w:rPr>
                <w:rFonts w:ascii="Times New Roman" w:eastAsia="Times New Roman" w:hAnsi="Times New Roman"/>
                <w:sz w:val="24"/>
                <w:szCs w:val="24"/>
              </w:rPr>
            </w:pPr>
            <w:r w:rsidRPr="000B1EFA">
              <w:rPr>
                <w:rFonts w:ascii="Times New Roman" w:eastAsia="Times New Roman" w:hAnsi="Times New Roman"/>
                <w:sz w:val="24"/>
                <w:szCs w:val="24"/>
              </w:rPr>
              <w:t>(</w:t>
            </w:r>
            <w:r w:rsidRPr="000B1EFA">
              <w:rPr>
                <w:rFonts w:ascii="Times New Roman" w:eastAsia="Times New Roman" w:hAnsi="Times New Roman"/>
                <w:sz w:val="24"/>
                <w:szCs w:val="24"/>
                <w:lang w:val="en-US"/>
              </w:rPr>
              <w:t>3036411,60</w:t>
            </w:r>
            <w:r w:rsidRPr="000B1EFA">
              <w:rPr>
                <w:rFonts w:ascii="Times New Roman" w:eastAsia="Times New Roman" w:hAnsi="Times New Roman"/>
                <w:sz w:val="24"/>
                <w:szCs w:val="24"/>
              </w:rPr>
              <w:t>-</w:t>
            </w:r>
            <w:r w:rsidRPr="000B1EFA">
              <w:rPr>
                <w:rFonts w:ascii="Times New Roman" w:eastAsia="Times New Roman" w:hAnsi="Times New Roman"/>
                <w:sz w:val="24"/>
                <w:szCs w:val="24"/>
                <w:lang w:val="en-US"/>
              </w:rPr>
              <w:t>2594937,74</w:t>
            </w:r>
            <w:r w:rsidRPr="000B1EFA">
              <w:rPr>
                <w:rFonts w:ascii="Times New Roman" w:eastAsia="Times New Roman" w:hAnsi="Times New Roman"/>
                <w:sz w:val="24"/>
                <w:szCs w:val="24"/>
              </w:rPr>
              <w:t>)</w:t>
            </w:r>
          </w:p>
        </w:tc>
        <w:tc>
          <w:tcPr>
            <w:tcW w:w="0" w:type="auto"/>
          </w:tcPr>
          <w:p w:rsidR="00F32158" w:rsidRPr="000B1EFA" w:rsidRDefault="00F32158" w:rsidP="000B1EFA">
            <w:pPr>
              <w:shd w:val="clear" w:color="auto" w:fill="FFFFFF"/>
              <w:spacing w:line="360" w:lineRule="auto"/>
              <w:jc w:val="center"/>
              <w:rPr>
                <w:rFonts w:ascii="Times New Roman" w:eastAsia="Times New Roman" w:hAnsi="Times New Roman"/>
                <w:sz w:val="24"/>
                <w:szCs w:val="24"/>
                <w:lang w:val="en-US"/>
              </w:rPr>
            </w:pPr>
            <w:r w:rsidRPr="000B1EFA">
              <w:rPr>
                <w:rFonts w:ascii="Times New Roman" w:eastAsia="Times New Roman" w:hAnsi="Times New Roman"/>
                <w:sz w:val="24"/>
                <w:szCs w:val="24"/>
                <w:lang w:val="en-US"/>
              </w:rPr>
              <w:t>1250781,77</w:t>
            </w:r>
          </w:p>
          <w:p w:rsidR="00F32158" w:rsidRPr="000B1EFA" w:rsidRDefault="00F32158" w:rsidP="000B1EFA">
            <w:pPr>
              <w:shd w:val="clear" w:color="auto" w:fill="FFFFFF"/>
              <w:spacing w:line="360" w:lineRule="auto"/>
              <w:jc w:val="center"/>
              <w:rPr>
                <w:rFonts w:ascii="Times New Roman" w:eastAsia="Times New Roman" w:hAnsi="Times New Roman"/>
                <w:sz w:val="24"/>
                <w:szCs w:val="24"/>
              </w:rPr>
            </w:pPr>
            <w:r w:rsidRPr="000B1EFA">
              <w:rPr>
                <w:rFonts w:ascii="Times New Roman" w:eastAsia="Times New Roman" w:hAnsi="Times New Roman"/>
                <w:sz w:val="24"/>
                <w:szCs w:val="24"/>
              </w:rPr>
              <w:t>(</w:t>
            </w:r>
            <w:r w:rsidRPr="000B1EFA">
              <w:rPr>
                <w:rFonts w:ascii="Times New Roman" w:eastAsia="Times New Roman" w:hAnsi="Times New Roman"/>
                <w:sz w:val="24"/>
                <w:szCs w:val="24"/>
                <w:lang w:val="en-US"/>
              </w:rPr>
              <w:t>1419469,62</w:t>
            </w:r>
            <w:r w:rsidRPr="000B1EFA">
              <w:rPr>
                <w:rFonts w:ascii="Times New Roman" w:eastAsia="Times New Roman" w:hAnsi="Times New Roman"/>
                <w:sz w:val="24"/>
                <w:szCs w:val="24"/>
              </w:rPr>
              <w:t>-</w:t>
            </w:r>
            <w:r w:rsidRPr="000B1EFA">
              <w:rPr>
                <w:rFonts w:ascii="Times New Roman" w:eastAsia="Times New Roman" w:hAnsi="Times New Roman"/>
                <w:sz w:val="24"/>
                <w:szCs w:val="24"/>
                <w:lang w:val="en-US"/>
              </w:rPr>
              <w:t>1097981,59</w:t>
            </w:r>
            <w:r w:rsidRPr="000B1EFA">
              <w:rPr>
                <w:rFonts w:ascii="Times New Roman" w:eastAsia="Times New Roman" w:hAnsi="Times New Roman"/>
                <w:sz w:val="24"/>
                <w:szCs w:val="24"/>
              </w:rPr>
              <w:t>)</w:t>
            </w:r>
          </w:p>
        </w:tc>
      </w:tr>
      <w:tr w:rsidR="00F32158" w:rsidRPr="000B1EFA" w:rsidTr="00BF1F99">
        <w:trPr>
          <w:jc w:val="center"/>
        </w:trPr>
        <w:tc>
          <w:tcPr>
            <w:tcW w:w="0" w:type="auto"/>
          </w:tcPr>
          <w:p w:rsidR="00F32158" w:rsidRPr="000B1EFA" w:rsidRDefault="00F32158" w:rsidP="000B1EFA">
            <w:pPr>
              <w:spacing w:line="360" w:lineRule="auto"/>
              <w:jc w:val="center"/>
              <w:rPr>
                <w:rFonts w:ascii="Times New Roman" w:hAnsi="Times New Roman"/>
                <w:sz w:val="24"/>
                <w:szCs w:val="24"/>
              </w:rPr>
            </w:pPr>
            <w:r w:rsidRPr="000B1EFA">
              <w:rPr>
                <w:rFonts w:ascii="Times New Roman" w:hAnsi="Times New Roman"/>
                <w:sz w:val="24"/>
                <w:szCs w:val="24"/>
              </w:rPr>
              <w:t>2011</w:t>
            </w:r>
          </w:p>
          <w:p w:rsidR="00F32158" w:rsidRPr="000B1EFA" w:rsidRDefault="00F32158" w:rsidP="000B1EFA">
            <w:pPr>
              <w:spacing w:line="360" w:lineRule="auto"/>
              <w:jc w:val="center"/>
              <w:rPr>
                <w:rFonts w:ascii="Times New Roman" w:hAnsi="Times New Roman"/>
                <w:sz w:val="24"/>
                <w:szCs w:val="24"/>
              </w:rPr>
            </w:pPr>
            <w:r w:rsidRPr="000B1EFA">
              <w:rPr>
                <w:rFonts w:ascii="Times New Roman" w:hAnsi="Times New Roman"/>
                <w:sz w:val="24"/>
                <w:szCs w:val="24"/>
              </w:rPr>
              <w:t>ДІ</w:t>
            </w:r>
          </w:p>
        </w:tc>
        <w:tc>
          <w:tcPr>
            <w:tcW w:w="0" w:type="auto"/>
          </w:tcPr>
          <w:p w:rsidR="00F32158" w:rsidRPr="000B1EFA" w:rsidRDefault="00F32158" w:rsidP="000B1EFA">
            <w:pPr>
              <w:shd w:val="clear" w:color="auto" w:fill="FFFFFF"/>
              <w:spacing w:line="360" w:lineRule="auto"/>
              <w:jc w:val="center"/>
              <w:rPr>
                <w:rFonts w:ascii="Times New Roman" w:eastAsia="Times New Roman" w:hAnsi="Times New Roman"/>
                <w:sz w:val="24"/>
                <w:szCs w:val="24"/>
                <w:lang w:val="en-US"/>
              </w:rPr>
            </w:pPr>
            <w:r w:rsidRPr="000B1EFA">
              <w:rPr>
                <w:rFonts w:ascii="Times New Roman" w:eastAsia="Times New Roman" w:hAnsi="Times New Roman"/>
                <w:sz w:val="24"/>
                <w:szCs w:val="24"/>
                <w:lang w:val="en-US"/>
              </w:rPr>
              <w:t>1958538,50</w:t>
            </w:r>
          </w:p>
          <w:p w:rsidR="00F32158" w:rsidRPr="000B1EFA" w:rsidRDefault="00F32158" w:rsidP="000B1EFA">
            <w:pPr>
              <w:shd w:val="clear" w:color="auto" w:fill="FFFFFF"/>
              <w:spacing w:line="360" w:lineRule="auto"/>
              <w:jc w:val="center"/>
              <w:rPr>
                <w:rFonts w:ascii="Times New Roman" w:eastAsia="Times New Roman" w:hAnsi="Times New Roman"/>
                <w:sz w:val="24"/>
                <w:szCs w:val="24"/>
              </w:rPr>
            </w:pPr>
            <w:r w:rsidRPr="000B1EFA">
              <w:rPr>
                <w:rFonts w:ascii="Times New Roman" w:eastAsia="Times New Roman" w:hAnsi="Times New Roman"/>
                <w:sz w:val="24"/>
                <w:szCs w:val="24"/>
              </w:rPr>
              <w:t>(</w:t>
            </w:r>
            <w:r w:rsidRPr="000B1EFA">
              <w:rPr>
                <w:rFonts w:ascii="Times New Roman" w:eastAsia="Times New Roman" w:hAnsi="Times New Roman"/>
                <w:sz w:val="24"/>
                <w:szCs w:val="24"/>
                <w:lang w:val="en-US"/>
              </w:rPr>
              <w:t>2128958,30</w:t>
            </w:r>
            <w:r w:rsidRPr="000B1EFA">
              <w:rPr>
                <w:rFonts w:ascii="Times New Roman" w:eastAsia="Times New Roman" w:hAnsi="Times New Roman"/>
                <w:sz w:val="24"/>
                <w:szCs w:val="24"/>
              </w:rPr>
              <w:t>-</w:t>
            </w:r>
            <w:r w:rsidRPr="000B1EFA">
              <w:rPr>
                <w:rFonts w:ascii="Times New Roman" w:eastAsia="Times New Roman" w:hAnsi="Times New Roman"/>
                <w:sz w:val="24"/>
                <w:szCs w:val="24"/>
                <w:lang w:val="en-US"/>
              </w:rPr>
              <w:t>1796750,50</w:t>
            </w:r>
            <w:r w:rsidRPr="000B1EFA">
              <w:rPr>
                <w:rFonts w:ascii="Times New Roman" w:eastAsia="Times New Roman" w:hAnsi="Times New Roman"/>
                <w:sz w:val="24"/>
                <w:szCs w:val="24"/>
              </w:rPr>
              <w:t>)</w:t>
            </w:r>
          </w:p>
        </w:tc>
        <w:tc>
          <w:tcPr>
            <w:tcW w:w="0" w:type="auto"/>
          </w:tcPr>
          <w:p w:rsidR="00F32158" w:rsidRPr="000B1EFA" w:rsidRDefault="00F32158" w:rsidP="000B1EFA">
            <w:pPr>
              <w:shd w:val="clear" w:color="auto" w:fill="FFFFFF"/>
              <w:spacing w:line="360" w:lineRule="auto"/>
              <w:jc w:val="center"/>
              <w:rPr>
                <w:rFonts w:ascii="Times New Roman" w:eastAsia="Times New Roman" w:hAnsi="Times New Roman"/>
                <w:sz w:val="24"/>
                <w:szCs w:val="24"/>
                <w:lang w:val="en-US"/>
              </w:rPr>
            </w:pPr>
            <w:r w:rsidRPr="000B1EFA">
              <w:rPr>
                <w:rFonts w:ascii="Times New Roman" w:eastAsia="Times New Roman" w:hAnsi="Times New Roman"/>
                <w:sz w:val="24"/>
                <w:szCs w:val="24"/>
                <w:lang w:val="en-US"/>
              </w:rPr>
              <w:t>2680740,61</w:t>
            </w:r>
          </w:p>
          <w:p w:rsidR="00F32158" w:rsidRPr="000B1EFA" w:rsidRDefault="00F32158" w:rsidP="000B1EFA">
            <w:pPr>
              <w:shd w:val="clear" w:color="auto" w:fill="FFFFFF"/>
              <w:spacing w:line="360" w:lineRule="auto"/>
              <w:jc w:val="center"/>
              <w:rPr>
                <w:rFonts w:ascii="Times New Roman" w:eastAsia="Times New Roman" w:hAnsi="Times New Roman"/>
                <w:sz w:val="24"/>
                <w:szCs w:val="24"/>
              </w:rPr>
            </w:pPr>
            <w:r w:rsidRPr="000B1EFA">
              <w:rPr>
                <w:rFonts w:ascii="Times New Roman" w:eastAsia="Times New Roman" w:hAnsi="Times New Roman"/>
                <w:sz w:val="24"/>
                <w:szCs w:val="24"/>
              </w:rPr>
              <w:t>(</w:t>
            </w:r>
            <w:r w:rsidRPr="000B1EFA">
              <w:rPr>
                <w:rFonts w:ascii="Times New Roman" w:eastAsia="Times New Roman" w:hAnsi="Times New Roman"/>
                <w:sz w:val="24"/>
                <w:szCs w:val="24"/>
                <w:lang w:val="en-US"/>
              </w:rPr>
              <w:t>2909285,20</w:t>
            </w:r>
            <w:r w:rsidRPr="000B1EFA">
              <w:rPr>
                <w:rFonts w:ascii="Times New Roman" w:eastAsia="Times New Roman" w:hAnsi="Times New Roman"/>
                <w:sz w:val="24"/>
                <w:szCs w:val="24"/>
              </w:rPr>
              <w:t>-</w:t>
            </w:r>
            <w:r w:rsidRPr="000B1EFA">
              <w:rPr>
                <w:rFonts w:ascii="Times New Roman" w:eastAsia="Times New Roman" w:hAnsi="Times New Roman"/>
                <w:sz w:val="24"/>
                <w:szCs w:val="24"/>
                <w:lang w:val="en-US"/>
              </w:rPr>
              <w:t>2464667,94</w:t>
            </w:r>
            <w:r w:rsidRPr="000B1EFA">
              <w:rPr>
                <w:rFonts w:ascii="Times New Roman" w:eastAsia="Times New Roman" w:hAnsi="Times New Roman"/>
                <w:sz w:val="24"/>
                <w:szCs w:val="24"/>
              </w:rPr>
              <w:t>)</w:t>
            </w:r>
          </w:p>
        </w:tc>
        <w:tc>
          <w:tcPr>
            <w:tcW w:w="0" w:type="auto"/>
          </w:tcPr>
          <w:p w:rsidR="00F32158" w:rsidRPr="000B1EFA" w:rsidRDefault="00F32158" w:rsidP="000B1EFA">
            <w:pPr>
              <w:spacing w:line="360" w:lineRule="auto"/>
              <w:jc w:val="center"/>
              <w:rPr>
                <w:rFonts w:ascii="Times New Roman" w:eastAsia="Times New Roman" w:hAnsi="Times New Roman"/>
                <w:sz w:val="24"/>
                <w:szCs w:val="24"/>
                <w:lang w:val="en-US"/>
              </w:rPr>
            </w:pPr>
            <w:r w:rsidRPr="000B1EFA">
              <w:rPr>
                <w:rFonts w:ascii="Times New Roman" w:eastAsia="Times New Roman" w:hAnsi="Times New Roman"/>
                <w:sz w:val="24"/>
                <w:szCs w:val="24"/>
                <w:lang w:val="en-US"/>
              </w:rPr>
              <w:t>1188165,28</w:t>
            </w:r>
          </w:p>
          <w:p w:rsidR="00F32158" w:rsidRPr="000B1EFA" w:rsidRDefault="00F32158" w:rsidP="000B1EFA">
            <w:pPr>
              <w:spacing w:line="360" w:lineRule="auto"/>
              <w:jc w:val="center"/>
              <w:rPr>
                <w:rFonts w:ascii="Times New Roman" w:eastAsia="Times New Roman" w:hAnsi="Times New Roman"/>
                <w:sz w:val="24"/>
                <w:szCs w:val="24"/>
              </w:rPr>
            </w:pPr>
            <w:r w:rsidRPr="000B1EFA">
              <w:rPr>
                <w:rFonts w:ascii="Times New Roman" w:eastAsia="Times New Roman" w:hAnsi="Times New Roman"/>
                <w:sz w:val="24"/>
                <w:szCs w:val="24"/>
              </w:rPr>
              <w:t>(</w:t>
            </w:r>
            <w:r w:rsidRPr="000B1EFA">
              <w:rPr>
                <w:rFonts w:ascii="Times New Roman" w:eastAsia="Times New Roman" w:hAnsi="Times New Roman"/>
                <w:sz w:val="24"/>
                <w:szCs w:val="24"/>
                <w:lang w:val="en-US"/>
              </w:rPr>
              <w:t>1374276,20</w:t>
            </w:r>
            <w:r w:rsidRPr="000B1EFA">
              <w:rPr>
                <w:rFonts w:ascii="Times New Roman" w:eastAsia="Times New Roman" w:hAnsi="Times New Roman"/>
                <w:sz w:val="24"/>
                <w:szCs w:val="24"/>
              </w:rPr>
              <w:t>-</w:t>
            </w:r>
            <w:r w:rsidRPr="000B1EFA">
              <w:rPr>
                <w:rFonts w:ascii="Times New Roman" w:eastAsia="Times New Roman" w:hAnsi="Times New Roman"/>
                <w:sz w:val="24"/>
                <w:szCs w:val="24"/>
                <w:lang w:val="en-US"/>
              </w:rPr>
              <w:t>1018474,92</w:t>
            </w:r>
            <w:r w:rsidRPr="000B1EFA">
              <w:rPr>
                <w:rFonts w:ascii="Times New Roman" w:eastAsia="Times New Roman" w:hAnsi="Times New Roman"/>
                <w:sz w:val="24"/>
                <w:szCs w:val="24"/>
              </w:rPr>
              <w:t>)</w:t>
            </w:r>
          </w:p>
        </w:tc>
      </w:tr>
      <w:tr w:rsidR="00F32158" w:rsidRPr="000B1EFA" w:rsidTr="00BF1F99">
        <w:trPr>
          <w:jc w:val="center"/>
        </w:trPr>
        <w:tc>
          <w:tcPr>
            <w:tcW w:w="0" w:type="auto"/>
          </w:tcPr>
          <w:p w:rsidR="00F32158" w:rsidRPr="000B1EFA" w:rsidRDefault="00F32158" w:rsidP="000B1EFA">
            <w:pPr>
              <w:spacing w:line="360" w:lineRule="auto"/>
              <w:jc w:val="center"/>
              <w:rPr>
                <w:rFonts w:ascii="Times New Roman" w:hAnsi="Times New Roman"/>
                <w:sz w:val="24"/>
                <w:szCs w:val="24"/>
              </w:rPr>
            </w:pPr>
            <w:r w:rsidRPr="000B1EFA">
              <w:rPr>
                <w:rFonts w:ascii="Times New Roman" w:hAnsi="Times New Roman"/>
                <w:sz w:val="24"/>
                <w:szCs w:val="24"/>
              </w:rPr>
              <w:t>2012</w:t>
            </w:r>
          </w:p>
          <w:p w:rsidR="00F32158" w:rsidRPr="000B1EFA" w:rsidRDefault="00F32158" w:rsidP="000B1EFA">
            <w:pPr>
              <w:spacing w:line="360" w:lineRule="auto"/>
              <w:jc w:val="center"/>
              <w:rPr>
                <w:rFonts w:ascii="Times New Roman" w:hAnsi="Times New Roman"/>
                <w:sz w:val="24"/>
                <w:szCs w:val="24"/>
              </w:rPr>
            </w:pPr>
            <w:r w:rsidRPr="000B1EFA">
              <w:rPr>
                <w:rFonts w:ascii="Times New Roman" w:hAnsi="Times New Roman"/>
                <w:sz w:val="24"/>
                <w:szCs w:val="24"/>
              </w:rPr>
              <w:t>ДІ</w:t>
            </w:r>
          </w:p>
        </w:tc>
        <w:tc>
          <w:tcPr>
            <w:tcW w:w="0" w:type="auto"/>
          </w:tcPr>
          <w:p w:rsidR="00F32158" w:rsidRPr="000B1EFA" w:rsidRDefault="00F32158" w:rsidP="000B1EFA">
            <w:pPr>
              <w:shd w:val="clear" w:color="auto" w:fill="FFFFFF"/>
              <w:spacing w:line="360" w:lineRule="auto"/>
              <w:jc w:val="center"/>
              <w:rPr>
                <w:rFonts w:ascii="Times New Roman" w:eastAsia="Times New Roman" w:hAnsi="Times New Roman"/>
                <w:sz w:val="24"/>
                <w:szCs w:val="24"/>
                <w:lang w:val="en-US"/>
              </w:rPr>
            </w:pPr>
            <w:r w:rsidRPr="000B1EFA">
              <w:rPr>
                <w:rFonts w:ascii="Times New Roman" w:eastAsia="Times New Roman" w:hAnsi="Times New Roman"/>
                <w:sz w:val="24"/>
                <w:szCs w:val="24"/>
                <w:lang w:val="en-US"/>
              </w:rPr>
              <w:t>1880633,53</w:t>
            </w:r>
          </w:p>
          <w:p w:rsidR="00F32158" w:rsidRPr="000B1EFA" w:rsidRDefault="00F32158" w:rsidP="000B1EFA">
            <w:pPr>
              <w:shd w:val="clear" w:color="auto" w:fill="FFFFFF"/>
              <w:spacing w:line="360" w:lineRule="auto"/>
              <w:jc w:val="center"/>
              <w:rPr>
                <w:rFonts w:ascii="Times New Roman" w:eastAsia="Times New Roman" w:hAnsi="Times New Roman"/>
                <w:sz w:val="24"/>
                <w:szCs w:val="24"/>
              </w:rPr>
            </w:pPr>
            <w:r w:rsidRPr="000B1EFA">
              <w:rPr>
                <w:rFonts w:ascii="Times New Roman" w:eastAsia="Times New Roman" w:hAnsi="Times New Roman"/>
                <w:sz w:val="24"/>
                <w:szCs w:val="24"/>
              </w:rPr>
              <w:t>(</w:t>
            </w:r>
            <w:r w:rsidRPr="000B1EFA">
              <w:rPr>
                <w:rFonts w:ascii="Times New Roman" w:eastAsia="Times New Roman" w:hAnsi="Times New Roman"/>
                <w:sz w:val="24"/>
                <w:szCs w:val="24"/>
                <w:lang w:val="en-US"/>
              </w:rPr>
              <w:t>2052049,76</w:t>
            </w:r>
            <w:r w:rsidRPr="000B1EFA">
              <w:rPr>
                <w:rFonts w:ascii="Times New Roman" w:eastAsia="Times New Roman" w:hAnsi="Times New Roman"/>
                <w:sz w:val="24"/>
                <w:szCs w:val="24"/>
              </w:rPr>
              <w:t>-</w:t>
            </w:r>
            <w:r w:rsidRPr="000B1EFA">
              <w:rPr>
                <w:rFonts w:ascii="Times New Roman" w:eastAsia="Times New Roman" w:hAnsi="Times New Roman"/>
                <w:sz w:val="24"/>
                <w:szCs w:val="24"/>
                <w:lang w:val="en-US"/>
              </w:rPr>
              <w:t>1714410,39</w:t>
            </w:r>
            <w:r w:rsidRPr="000B1EFA">
              <w:rPr>
                <w:rFonts w:ascii="Times New Roman" w:eastAsia="Times New Roman" w:hAnsi="Times New Roman"/>
                <w:sz w:val="24"/>
                <w:szCs w:val="24"/>
              </w:rPr>
              <w:t>)</w:t>
            </w:r>
          </w:p>
        </w:tc>
        <w:tc>
          <w:tcPr>
            <w:tcW w:w="0" w:type="auto"/>
          </w:tcPr>
          <w:p w:rsidR="00F32158" w:rsidRPr="000B1EFA" w:rsidRDefault="00F32158" w:rsidP="000B1EFA">
            <w:pPr>
              <w:shd w:val="clear" w:color="auto" w:fill="FFFFFF"/>
              <w:spacing w:line="360" w:lineRule="auto"/>
              <w:jc w:val="center"/>
              <w:rPr>
                <w:rFonts w:ascii="Times New Roman" w:eastAsia="Times New Roman" w:hAnsi="Times New Roman"/>
                <w:sz w:val="24"/>
                <w:szCs w:val="24"/>
                <w:lang w:val="en-US"/>
              </w:rPr>
            </w:pPr>
            <w:r w:rsidRPr="000B1EFA">
              <w:rPr>
                <w:rFonts w:ascii="Times New Roman" w:eastAsia="Times New Roman" w:hAnsi="Times New Roman"/>
                <w:sz w:val="24"/>
                <w:szCs w:val="24"/>
                <w:lang w:val="en-US"/>
              </w:rPr>
              <w:t>2568668,16</w:t>
            </w:r>
          </w:p>
          <w:p w:rsidR="00F32158" w:rsidRPr="000B1EFA" w:rsidRDefault="00F32158" w:rsidP="000B1EFA">
            <w:pPr>
              <w:shd w:val="clear" w:color="auto" w:fill="FFFFFF"/>
              <w:spacing w:line="360" w:lineRule="auto"/>
              <w:jc w:val="center"/>
              <w:rPr>
                <w:rFonts w:ascii="Times New Roman" w:eastAsia="Times New Roman" w:hAnsi="Times New Roman"/>
                <w:sz w:val="24"/>
                <w:szCs w:val="24"/>
              </w:rPr>
            </w:pPr>
            <w:r w:rsidRPr="000B1EFA">
              <w:rPr>
                <w:rFonts w:ascii="Times New Roman" w:eastAsia="Times New Roman" w:hAnsi="Times New Roman"/>
                <w:sz w:val="24"/>
                <w:szCs w:val="24"/>
              </w:rPr>
              <w:t>(</w:t>
            </w:r>
            <w:r w:rsidRPr="000B1EFA">
              <w:rPr>
                <w:rFonts w:ascii="Times New Roman" w:eastAsia="Times New Roman" w:hAnsi="Times New Roman"/>
                <w:sz w:val="24"/>
                <w:szCs w:val="24"/>
                <w:lang w:val="en-US"/>
              </w:rPr>
              <w:t>2790974,25</w:t>
            </w:r>
            <w:r w:rsidRPr="000B1EFA">
              <w:rPr>
                <w:rFonts w:ascii="Times New Roman" w:eastAsia="Times New Roman" w:hAnsi="Times New Roman"/>
                <w:sz w:val="24"/>
                <w:szCs w:val="24"/>
              </w:rPr>
              <w:t>-</w:t>
            </w:r>
            <w:r w:rsidRPr="000B1EFA">
              <w:rPr>
                <w:rFonts w:ascii="Times New Roman" w:eastAsia="Times New Roman" w:hAnsi="Times New Roman"/>
                <w:sz w:val="24"/>
                <w:szCs w:val="24"/>
                <w:lang w:val="en-US"/>
              </w:rPr>
              <w:t>2331527,04</w:t>
            </w:r>
            <w:r w:rsidRPr="000B1EFA">
              <w:rPr>
                <w:rFonts w:ascii="Times New Roman" w:eastAsia="Times New Roman" w:hAnsi="Times New Roman"/>
                <w:sz w:val="24"/>
                <w:szCs w:val="24"/>
              </w:rPr>
              <w:t>)</w:t>
            </w:r>
          </w:p>
        </w:tc>
        <w:tc>
          <w:tcPr>
            <w:tcW w:w="0" w:type="auto"/>
          </w:tcPr>
          <w:p w:rsidR="00F32158" w:rsidRPr="000B1EFA" w:rsidRDefault="00F32158" w:rsidP="000B1EFA">
            <w:pPr>
              <w:spacing w:line="360" w:lineRule="auto"/>
              <w:jc w:val="center"/>
              <w:rPr>
                <w:rFonts w:ascii="Times New Roman" w:eastAsia="Times New Roman" w:hAnsi="Times New Roman"/>
                <w:sz w:val="24"/>
                <w:szCs w:val="24"/>
                <w:lang w:val="en-US"/>
              </w:rPr>
            </w:pPr>
            <w:r w:rsidRPr="000B1EFA">
              <w:rPr>
                <w:rFonts w:ascii="Times New Roman" w:eastAsia="Times New Roman" w:hAnsi="Times New Roman"/>
                <w:sz w:val="24"/>
                <w:szCs w:val="24"/>
                <w:lang w:val="en-US"/>
              </w:rPr>
              <w:t>1147176,21</w:t>
            </w:r>
          </w:p>
          <w:p w:rsidR="00F32158" w:rsidRPr="000B1EFA" w:rsidRDefault="00F32158" w:rsidP="000B1EFA">
            <w:pPr>
              <w:spacing w:line="360" w:lineRule="auto"/>
              <w:jc w:val="center"/>
              <w:rPr>
                <w:rFonts w:ascii="Times New Roman" w:eastAsia="Times New Roman" w:hAnsi="Times New Roman"/>
                <w:sz w:val="24"/>
                <w:szCs w:val="24"/>
              </w:rPr>
            </w:pPr>
            <w:r w:rsidRPr="000B1EFA">
              <w:rPr>
                <w:rFonts w:ascii="Times New Roman" w:eastAsia="Times New Roman" w:hAnsi="Times New Roman"/>
                <w:sz w:val="24"/>
                <w:szCs w:val="24"/>
              </w:rPr>
              <w:t>(</w:t>
            </w:r>
            <w:r w:rsidRPr="000B1EFA">
              <w:rPr>
                <w:rFonts w:ascii="Times New Roman" w:eastAsia="Times New Roman" w:hAnsi="Times New Roman"/>
                <w:sz w:val="24"/>
                <w:szCs w:val="24"/>
                <w:lang w:val="en-US"/>
              </w:rPr>
              <w:t>1342519,77</w:t>
            </w:r>
            <w:r w:rsidRPr="000B1EFA">
              <w:rPr>
                <w:rFonts w:ascii="Times New Roman" w:eastAsia="Times New Roman" w:hAnsi="Times New Roman"/>
                <w:sz w:val="24"/>
                <w:szCs w:val="24"/>
              </w:rPr>
              <w:t>-</w:t>
            </w:r>
            <w:r w:rsidRPr="000B1EFA">
              <w:rPr>
                <w:rFonts w:ascii="Times New Roman" w:eastAsia="Times New Roman" w:hAnsi="Times New Roman"/>
                <w:sz w:val="24"/>
                <w:szCs w:val="24"/>
                <w:lang w:val="en-US"/>
              </w:rPr>
              <w:t>959664,66</w:t>
            </w:r>
            <w:r w:rsidRPr="000B1EFA">
              <w:rPr>
                <w:rFonts w:ascii="Times New Roman" w:eastAsia="Times New Roman" w:hAnsi="Times New Roman"/>
                <w:sz w:val="24"/>
                <w:szCs w:val="24"/>
              </w:rPr>
              <w:t>)</w:t>
            </w:r>
          </w:p>
        </w:tc>
      </w:tr>
      <w:tr w:rsidR="00F32158" w:rsidRPr="000B1EFA" w:rsidTr="00BF1F99">
        <w:trPr>
          <w:jc w:val="center"/>
        </w:trPr>
        <w:tc>
          <w:tcPr>
            <w:tcW w:w="0" w:type="auto"/>
          </w:tcPr>
          <w:p w:rsidR="00F32158" w:rsidRPr="000B1EFA" w:rsidRDefault="00F32158" w:rsidP="000B1EFA">
            <w:pPr>
              <w:spacing w:line="360" w:lineRule="auto"/>
              <w:jc w:val="center"/>
              <w:rPr>
                <w:rFonts w:ascii="Times New Roman" w:hAnsi="Times New Roman"/>
                <w:sz w:val="24"/>
                <w:szCs w:val="24"/>
              </w:rPr>
            </w:pPr>
            <w:r w:rsidRPr="000B1EFA">
              <w:rPr>
                <w:rFonts w:ascii="Times New Roman" w:hAnsi="Times New Roman"/>
                <w:sz w:val="24"/>
                <w:szCs w:val="24"/>
              </w:rPr>
              <w:t>2013</w:t>
            </w:r>
          </w:p>
          <w:p w:rsidR="00F32158" w:rsidRPr="000B1EFA" w:rsidRDefault="00F32158" w:rsidP="000B1EFA">
            <w:pPr>
              <w:spacing w:line="360" w:lineRule="auto"/>
              <w:jc w:val="center"/>
              <w:rPr>
                <w:rFonts w:ascii="Times New Roman" w:hAnsi="Times New Roman"/>
                <w:sz w:val="24"/>
                <w:szCs w:val="24"/>
              </w:rPr>
            </w:pPr>
            <w:r w:rsidRPr="000B1EFA">
              <w:rPr>
                <w:rFonts w:ascii="Times New Roman" w:hAnsi="Times New Roman"/>
                <w:sz w:val="24"/>
                <w:szCs w:val="24"/>
              </w:rPr>
              <w:t>ДІ</w:t>
            </w:r>
          </w:p>
        </w:tc>
        <w:tc>
          <w:tcPr>
            <w:tcW w:w="0" w:type="auto"/>
          </w:tcPr>
          <w:p w:rsidR="00F32158" w:rsidRPr="000B1EFA" w:rsidRDefault="00F32158" w:rsidP="000B1EFA">
            <w:pPr>
              <w:spacing w:line="360" w:lineRule="auto"/>
              <w:jc w:val="center"/>
              <w:rPr>
                <w:rFonts w:ascii="Times New Roman" w:eastAsia="Times New Roman" w:hAnsi="Times New Roman"/>
                <w:sz w:val="24"/>
                <w:szCs w:val="24"/>
                <w:lang w:val="en-US"/>
              </w:rPr>
            </w:pPr>
            <w:r w:rsidRPr="000B1EFA">
              <w:rPr>
                <w:rFonts w:ascii="Times New Roman" w:eastAsia="Times New Roman" w:hAnsi="Times New Roman"/>
                <w:sz w:val="24"/>
                <w:szCs w:val="24"/>
                <w:lang w:val="en-US"/>
              </w:rPr>
              <w:t>1749948,11</w:t>
            </w:r>
          </w:p>
          <w:p w:rsidR="00F32158" w:rsidRPr="000B1EFA" w:rsidRDefault="00F32158" w:rsidP="000B1EFA">
            <w:pPr>
              <w:spacing w:line="360" w:lineRule="auto"/>
              <w:jc w:val="center"/>
              <w:rPr>
                <w:rFonts w:ascii="Times New Roman" w:eastAsia="Times New Roman" w:hAnsi="Times New Roman"/>
                <w:sz w:val="24"/>
                <w:szCs w:val="24"/>
              </w:rPr>
            </w:pPr>
            <w:r w:rsidRPr="000B1EFA">
              <w:rPr>
                <w:rFonts w:ascii="Times New Roman" w:eastAsia="Times New Roman" w:hAnsi="Times New Roman"/>
                <w:sz w:val="24"/>
                <w:szCs w:val="24"/>
              </w:rPr>
              <w:t>(</w:t>
            </w:r>
            <w:r w:rsidRPr="000B1EFA">
              <w:rPr>
                <w:rFonts w:ascii="Times New Roman" w:eastAsia="Times New Roman" w:hAnsi="Times New Roman"/>
                <w:sz w:val="24"/>
                <w:szCs w:val="24"/>
                <w:lang w:val="en-US"/>
              </w:rPr>
              <w:t>1900124,43</w:t>
            </w:r>
            <w:r w:rsidRPr="000B1EFA">
              <w:rPr>
                <w:rFonts w:ascii="Times New Roman" w:eastAsia="Times New Roman" w:hAnsi="Times New Roman"/>
                <w:sz w:val="24"/>
                <w:szCs w:val="24"/>
              </w:rPr>
              <w:t>-</w:t>
            </w:r>
            <w:r w:rsidRPr="000B1EFA">
              <w:rPr>
                <w:rFonts w:ascii="Times New Roman" w:eastAsia="Times New Roman" w:hAnsi="Times New Roman"/>
                <w:sz w:val="24"/>
                <w:szCs w:val="24"/>
                <w:lang w:val="en-US"/>
              </w:rPr>
              <w:t>1596981,49</w:t>
            </w:r>
            <w:r w:rsidRPr="000B1EFA">
              <w:rPr>
                <w:rFonts w:ascii="Times New Roman" w:eastAsia="Times New Roman" w:hAnsi="Times New Roman"/>
                <w:sz w:val="24"/>
                <w:szCs w:val="24"/>
              </w:rPr>
              <w:t>)</w:t>
            </w:r>
          </w:p>
        </w:tc>
        <w:tc>
          <w:tcPr>
            <w:tcW w:w="0" w:type="auto"/>
          </w:tcPr>
          <w:p w:rsidR="00F32158" w:rsidRPr="000B1EFA" w:rsidRDefault="00F32158" w:rsidP="000B1EFA">
            <w:pPr>
              <w:spacing w:line="360" w:lineRule="auto"/>
              <w:jc w:val="center"/>
              <w:rPr>
                <w:rFonts w:ascii="Times New Roman" w:eastAsia="Times New Roman" w:hAnsi="Times New Roman"/>
                <w:sz w:val="24"/>
                <w:szCs w:val="24"/>
                <w:lang w:val="en-US"/>
              </w:rPr>
            </w:pPr>
            <w:r w:rsidRPr="000B1EFA">
              <w:rPr>
                <w:rFonts w:ascii="Times New Roman" w:eastAsia="Times New Roman" w:hAnsi="Times New Roman"/>
                <w:sz w:val="24"/>
                <w:szCs w:val="24"/>
                <w:lang w:val="en-US"/>
              </w:rPr>
              <w:t>2385298,55</w:t>
            </w:r>
          </w:p>
          <w:p w:rsidR="00F32158" w:rsidRPr="000B1EFA" w:rsidRDefault="00F32158" w:rsidP="000B1EFA">
            <w:pPr>
              <w:spacing w:line="360" w:lineRule="auto"/>
              <w:jc w:val="center"/>
              <w:rPr>
                <w:rFonts w:ascii="Times New Roman" w:eastAsia="Times New Roman" w:hAnsi="Times New Roman"/>
                <w:sz w:val="24"/>
                <w:szCs w:val="24"/>
              </w:rPr>
            </w:pPr>
            <w:r w:rsidRPr="000B1EFA">
              <w:rPr>
                <w:rFonts w:ascii="Times New Roman" w:eastAsia="Times New Roman" w:hAnsi="Times New Roman"/>
                <w:sz w:val="24"/>
                <w:szCs w:val="24"/>
              </w:rPr>
              <w:t>(</w:t>
            </w:r>
            <w:r w:rsidRPr="000B1EFA">
              <w:rPr>
                <w:rFonts w:ascii="Times New Roman" w:eastAsia="Times New Roman" w:hAnsi="Times New Roman"/>
                <w:sz w:val="24"/>
                <w:szCs w:val="24"/>
                <w:lang w:val="en-US"/>
              </w:rPr>
              <w:t>2601341,08</w:t>
            </w:r>
            <w:r w:rsidRPr="000B1EFA">
              <w:rPr>
                <w:rFonts w:ascii="Times New Roman" w:eastAsia="Times New Roman" w:hAnsi="Times New Roman"/>
                <w:sz w:val="24"/>
                <w:szCs w:val="24"/>
              </w:rPr>
              <w:t>-</w:t>
            </w:r>
            <w:r w:rsidRPr="000B1EFA">
              <w:rPr>
                <w:rFonts w:ascii="Times New Roman" w:eastAsia="Times New Roman" w:hAnsi="Times New Roman"/>
                <w:sz w:val="24"/>
                <w:szCs w:val="24"/>
                <w:lang w:val="en-US"/>
              </w:rPr>
              <w:t>2146634,85</w:t>
            </w:r>
            <w:r w:rsidRPr="000B1EFA">
              <w:rPr>
                <w:rFonts w:ascii="Times New Roman" w:eastAsia="Times New Roman" w:hAnsi="Times New Roman"/>
                <w:sz w:val="24"/>
                <w:szCs w:val="24"/>
              </w:rPr>
              <w:t>)</w:t>
            </w:r>
          </w:p>
        </w:tc>
        <w:tc>
          <w:tcPr>
            <w:tcW w:w="0" w:type="auto"/>
          </w:tcPr>
          <w:p w:rsidR="00F32158" w:rsidRPr="000B1EFA" w:rsidRDefault="00F32158" w:rsidP="000B1EFA">
            <w:pPr>
              <w:shd w:val="clear" w:color="auto" w:fill="FFFFFF"/>
              <w:spacing w:line="360" w:lineRule="auto"/>
              <w:jc w:val="center"/>
              <w:rPr>
                <w:rFonts w:ascii="Times New Roman" w:eastAsia="Times New Roman" w:hAnsi="Times New Roman"/>
                <w:sz w:val="24"/>
                <w:szCs w:val="24"/>
                <w:lang w:val="en-US"/>
              </w:rPr>
            </w:pPr>
            <w:r w:rsidRPr="000B1EFA">
              <w:rPr>
                <w:rFonts w:ascii="Times New Roman" w:eastAsia="Times New Roman" w:hAnsi="Times New Roman"/>
                <w:sz w:val="24"/>
                <w:szCs w:val="24"/>
                <w:lang w:val="en-US"/>
              </w:rPr>
              <w:t>1072813,74</w:t>
            </w:r>
          </w:p>
          <w:p w:rsidR="00F32158" w:rsidRPr="000B1EFA" w:rsidRDefault="00F32158" w:rsidP="000B1EFA">
            <w:pPr>
              <w:shd w:val="clear" w:color="auto" w:fill="FFFFFF"/>
              <w:spacing w:line="360" w:lineRule="auto"/>
              <w:jc w:val="center"/>
              <w:rPr>
                <w:rFonts w:ascii="Times New Roman" w:eastAsia="Times New Roman" w:hAnsi="Times New Roman"/>
                <w:sz w:val="24"/>
                <w:szCs w:val="24"/>
              </w:rPr>
            </w:pPr>
            <w:r w:rsidRPr="000B1EFA">
              <w:rPr>
                <w:rFonts w:ascii="Times New Roman" w:eastAsia="Times New Roman" w:hAnsi="Times New Roman"/>
                <w:sz w:val="24"/>
                <w:szCs w:val="24"/>
              </w:rPr>
              <w:t>(</w:t>
            </w:r>
            <w:r w:rsidRPr="000B1EFA">
              <w:rPr>
                <w:rFonts w:ascii="Times New Roman" w:eastAsia="Times New Roman" w:hAnsi="Times New Roman"/>
                <w:sz w:val="24"/>
                <w:szCs w:val="24"/>
                <w:lang w:val="en-US"/>
              </w:rPr>
              <w:t>1259546,20</w:t>
            </w:r>
            <w:r w:rsidRPr="000B1EFA">
              <w:rPr>
                <w:rFonts w:ascii="Times New Roman" w:eastAsia="Times New Roman" w:hAnsi="Times New Roman"/>
                <w:sz w:val="24"/>
                <w:szCs w:val="24"/>
              </w:rPr>
              <w:t>-</w:t>
            </w:r>
            <w:r w:rsidRPr="000B1EFA">
              <w:rPr>
                <w:rFonts w:ascii="Times New Roman" w:eastAsia="Times New Roman" w:hAnsi="Times New Roman"/>
                <w:sz w:val="24"/>
                <w:szCs w:val="24"/>
                <w:lang w:val="en-US"/>
              </w:rPr>
              <w:t>884594,54</w:t>
            </w:r>
            <w:r w:rsidRPr="000B1EFA">
              <w:rPr>
                <w:rFonts w:ascii="Times New Roman" w:eastAsia="Times New Roman" w:hAnsi="Times New Roman"/>
                <w:sz w:val="24"/>
                <w:szCs w:val="24"/>
              </w:rPr>
              <w:t>)</w:t>
            </w:r>
          </w:p>
        </w:tc>
      </w:tr>
      <w:tr w:rsidR="00F32158" w:rsidRPr="000B1EFA" w:rsidTr="00BF1F99">
        <w:trPr>
          <w:jc w:val="center"/>
        </w:trPr>
        <w:tc>
          <w:tcPr>
            <w:tcW w:w="0" w:type="auto"/>
          </w:tcPr>
          <w:p w:rsidR="00F32158" w:rsidRPr="000B1EFA" w:rsidRDefault="00F32158" w:rsidP="000B1EFA">
            <w:pPr>
              <w:spacing w:line="360" w:lineRule="auto"/>
              <w:jc w:val="center"/>
              <w:rPr>
                <w:rFonts w:ascii="Times New Roman" w:hAnsi="Times New Roman"/>
                <w:sz w:val="24"/>
                <w:szCs w:val="24"/>
              </w:rPr>
            </w:pPr>
            <w:r w:rsidRPr="000B1EFA">
              <w:rPr>
                <w:rFonts w:ascii="Times New Roman" w:hAnsi="Times New Roman"/>
                <w:sz w:val="24"/>
                <w:szCs w:val="24"/>
              </w:rPr>
              <w:t>2014</w:t>
            </w:r>
          </w:p>
          <w:p w:rsidR="00F32158" w:rsidRPr="000B1EFA" w:rsidRDefault="00F32158" w:rsidP="000B1EFA">
            <w:pPr>
              <w:spacing w:line="360" w:lineRule="auto"/>
              <w:jc w:val="center"/>
              <w:rPr>
                <w:rFonts w:ascii="Times New Roman" w:hAnsi="Times New Roman"/>
                <w:sz w:val="24"/>
                <w:szCs w:val="24"/>
              </w:rPr>
            </w:pPr>
            <w:r w:rsidRPr="000B1EFA">
              <w:rPr>
                <w:rFonts w:ascii="Times New Roman" w:hAnsi="Times New Roman"/>
                <w:sz w:val="24"/>
                <w:szCs w:val="24"/>
              </w:rPr>
              <w:t>ДІ</w:t>
            </w:r>
          </w:p>
        </w:tc>
        <w:tc>
          <w:tcPr>
            <w:tcW w:w="0" w:type="auto"/>
          </w:tcPr>
          <w:p w:rsidR="00F32158" w:rsidRPr="000B1EFA" w:rsidRDefault="00F32158" w:rsidP="000B1EFA">
            <w:pPr>
              <w:shd w:val="clear" w:color="auto" w:fill="FFFFFF"/>
              <w:spacing w:line="360" w:lineRule="auto"/>
              <w:jc w:val="center"/>
              <w:rPr>
                <w:rFonts w:ascii="Times New Roman" w:eastAsia="Times New Roman" w:hAnsi="Times New Roman"/>
                <w:sz w:val="24"/>
                <w:szCs w:val="24"/>
                <w:lang w:val="en-US"/>
              </w:rPr>
            </w:pPr>
            <w:r w:rsidRPr="000B1EFA">
              <w:rPr>
                <w:rFonts w:ascii="Times New Roman" w:eastAsia="Times New Roman" w:hAnsi="Times New Roman"/>
                <w:sz w:val="24"/>
                <w:szCs w:val="24"/>
                <w:lang w:val="en-US"/>
              </w:rPr>
              <w:t>1771122,02</w:t>
            </w:r>
          </w:p>
          <w:p w:rsidR="00F32158" w:rsidRPr="000B1EFA" w:rsidRDefault="00F32158" w:rsidP="000B1EFA">
            <w:pPr>
              <w:shd w:val="clear" w:color="auto" w:fill="FFFFFF"/>
              <w:spacing w:line="360" w:lineRule="auto"/>
              <w:jc w:val="center"/>
              <w:rPr>
                <w:rFonts w:ascii="Times New Roman" w:eastAsia="Times New Roman" w:hAnsi="Times New Roman"/>
                <w:sz w:val="24"/>
                <w:szCs w:val="24"/>
              </w:rPr>
            </w:pPr>
            <w:r w:rsidRPr="000B1EFA">
              <w:rPr>
                <w:rFonts w:ascii="Times New Roman" w:eastAsia="Times New Roman" w:hAnsi="Times New Roman"/>
                <w:sz w:val="24"/>
                <w:szCs w:val="24"/>
              </w:rPr>
              <w:t>(</w:t>
            </w:r>
            <w:r w:rsidRPr="000B1EFA">
              <w:rPr>
                <w:rFonts w:ascii="Times New Roman" w:eastAsia="Times New Roman" w:hAnsi="Times New Roman"/>
                <w:sz w:val="24"/>
                <w:szCs w:val="24"/>
                <w:lang w:val="en-US"/>
              </w:rPr>
              <w:t>1930162,65</w:t>
            </w:r>
            <w:r w:rsidRPr="000B1EFA">
              <w:rPr>
                <w:rFonts w:ascii="Times New Roman" w:eastAsia="Times New Roman" w:hAnsi="Times New Roman"/>
                <w:sz w:val="24"/>
                <w:szCs w:val="24"/>
              </w:rPr>
              <w:t>-</w:t>
            </w:r>
            <w:r w:rsidRPr="000B1EFA">
              <w:rPr>
                <w:rFonts w:ascii="Times New Roman" w:eastAsia="Times New Roman" w:hAnsi="Times New Roman"/>
                <w:sz w:val="24"/>
                <w:szCs w:val="24"/>
                <w:lang w:val="en-US"/>
              </w:rPr>
              <w:t>1615806,75</w:t>
            </w:r>
          </w:p>
        </w:tc>
        <w:tc>
          <w:tcPr>
            <w:tcW w:w="0" w:type="auto"/>
          </w:tcPr>
          <w:p w:rsidR="00F32158" w:rsidRPr="000B1EFA" w:rsidRDefault="00F32158" w:rsidP="000B1EFA">
            <w:pPr>
              <w:shd w:val="clear" w:color="auto" w:fill="FFFFFF"/>
              <w:spacing w:line="360" w:lineRule="auto"/>
              <w:jc w:val="center"/>
              <w:rPr>
                <w:rFonts w:ascii="Times New Roman" w:eastAsia="Times New Roman" w:hAnsi="Times New Roman"/>
                <w:sz w:val="24"/>
                <w:szCs w:val="24"/>
                <w:lang w:val="en-US"/>
              </w:rPr>
            </w:pPr>
            <w:r w:rsidRPr="000B1EFA">
              <w:rPr>
                <w:rFonts w:ascii="Times New Roman" w:eastAsia="Times New Roman" w:hAnsi="Times New Roman"/>
                <w:sz w:val="24"/>
                <w:szCs w:val="24"/>
                <w:lang w:val="en-US"/>
              </w:rPr>
              <w:t>2402682,91</w:t>
            </w:r>
          </w:p>
          <w:p w:rsidR="00F32158" w:rsidRPr="000B1EFA" w:rsidRDefault="00F32158" w:rsidP="000B1EFA">
            <w:pPr>
              <w:shd w:val="clear" w:color="auto" w:fill="FFFFFF"/>
              <w:spacing w:line="360" w:lineRule="auto"/>
              <w:jc w:val="center"/>
              <w:rPr>
                <w:rFonts w:ascii="Times New Roman" w:eastAsia="Times New Roman" w:hAnsi="Times New Roman"/>
                <w:sz w:val="24"/>
                <w:szCs w:val="24"/>
              </w:rPr>
            </w:pPr>
            <w:r w:rsidRPr="000B1EFA">
              <w:rPr>
                <w:rFonts w:ascii="Times New Roman" w:eastAsia="Times New Roman" w:hAnsi="Times New Roman"/>
                <w:sz w:val="24"/>
                <w:szCs w:val="24"/>
              </w:rPr>
              <w:t>(</w:t>
            </w:r>
            <w:r w:rsidRPr="000B1EFA">
              <w:rPr>
                <w:rFonts w:ascii="Times New Roman" w:eastAsia="Times New Roman" w:hAnsi="Times New Roman"/>
                <w:sz w:val="24"/>
                <w:szCs w:val="24"/>
                <w:lang w:val="en-US"/>
              </w:rPr>
              <w:t>2668064,69</w:t>
            </w:r>
            <w:r w:rsidRPr="000B1EFA">
              <w:rPr>
                <w:rFonts w:ascii="Times New Roman" w:eastAsia="Times New Roman" w:hAnsi="Times New Roman"/>
                <w:sz w:val="24"/>
                <w:szCs w:val="24"/>
              </w:rPr>
              <w:t>-</w:t>
            </w:r>
            <w:r w:rsidRPr="000B1EFA">
              <w:rPr>
                <w:rFonts w:ascii="Times New Roman" w:eastAsia="Times New Roman" w:hAnsi="Times New Roman"/>
                <w:sz w:val="24"/>
                <w:szCs w:val="24"/>
                <w:lang w:val="en-US"/>
              </w:rPr>
              <w:t>2141015,08</w:t>
            </w:r>
            <w:r w:rsidRPr="000B1EFA">
              <w:rPr>
                <w:rFonts w:ascii="Times New Roman" w:eastAsia="Times New Roman" w:hAnsi="Times New Roman"/>
                <w:sz w:val="24"/>
                <w:szCs w:val="24"/>
              </w:rPr>
              <w:t>)</w:t>
            </w:r>
          </w:p>
        </w:tc>
        <w:tc>
          <w:tcPr>
            <w:tcW w:w="0" w:type="auto"/>
          </w:tcPr>
          <w:p w:rsidR="00F32158" w:rsidRPr="000B1EFA" w:rsidRDefault="00F32158" w:rsidP="000B1EFA">
            <w:pPr>
              <w:spacing w:line="360" w:lineRule="auto"/>
              <w:jc w:val="center"/>
              <w:rPr>
                <w:rFonts w:ascii="Times New Roman" w:eastAsia="Times New Roman" w:hAnsi="Times New Roman"/>
                <w:sz w:val="24"/>
                <w:szCs w:val="24"/>
                <w:lang w:val="en-US"/>
              </w:rPr>
            </w:pPr>
            <w:r w:rsidRPr="000B1EFA">
              <w:rPr>
                <w:rFonts w:ascii="Times New Roman" w:eastAsia="Times New Roman" w:hAnsi="Times New Roman"/>
                <w:sz w:val="24"/>
                <w:szCs w:val="24"/>
                <w:lang w:val="en-US"/>
              </w:rPr>
              <w:t>1098291,67</w:t>
            </w:r>
          </w:p>
          <w:p w:rsidR="00F32158" w:rsidRPr="000B1EFA" w:rsidRDefault="00F32158" w:rsidP="000B1EFA">
            <w:pPr>
              <w:spacing w:line="360" w:lineRule="auto"/>
              <w:jc w:val="center"/>
              <w:rPr>
                <w:rFonts w:ascii="Times New Roman" w:eastAsia="Times New Roman" w:hAnsi="Times New Roman"/>
                <w:sz w:val="24"/>
                <w:szCs w:val="24"/>
              </w:rPr>
            </w:pPr>
            <w:r w:rsidRPr="000B1EFA">
              <w:rPr>
                <w:rFonts w:ascii="Times New Roman" w:eastAsia="Times New Roman" w:hAnsi="Times New Roman"/>
                <w:sz w:val="24"/>
                <w:szCs w:val="24"/>
              </w:rPr>
              <w:t>(</w:t>
            </w:r>
            <w:r w:rsidRPr="000B1EFA">
              <w:rPr>
                <w:rFonts w:ascii="Times New Roman" w:eastAsia="Times New Roman" w:hAnsi="Times New Roman"/>
                <w:sz w:val="24"/>
                <w:szCs w:val="24"/>
                <w:lang w:val="en-US"/>
              </w:rPr>
              <w:t>1301077,88</w:t>
            </w:r>
            <w:r w:rsidRPr="000B1EFA">
              <w:rPr>
                <w:rFonts w:ascii="Times New Roman" w:eastAsia="Times New Roman" w:hAnsi="Times New Roman"/>
                <w:sz w:val="24"/>
                <w:szCs w:val="24"/>
              </w:rPr>
              <w:t>-</w:t>
            </w:r>
            <w:r w:rsidRPr="000B1EFA">
              <w:rPr>
                <w:rFonts w:ascii="Times New Roman" w:eastAsia="Times New Roman" w:hAnsi="Times New Roman"/>
                <w:sz w:val="24"/>
                <w:szCs w:val="24"/>
                <w:lang w:val="en-US"/>
              </w:rPr>
              <w:t>902971,82</w:t>
            </w:r>
            <w:r w:rsidRPr="000B1EFA">
              <w:rPr>
                <w:rFonts w:ascii="Times New Roman" w:eastAsia="Times New Roman" w:hAnsi="Times New Roman"/>
                <w:sz w:val="24"/>
                <w:szCs w:val="24"/>
              </w:rPr>
              <w:t>)</w:t>
            </w:r>
          </w:p>
        </w:tc>
      </w:tr>
      <w:tr w:rsidR="00F32158" w:rsidRPr="000B1EFA" w:rsidTr="00BF1F99">
        <w:trPr>
          <w:jc w:val="center"/>
        </w:trPr>
        <w:tc>
          <w:tcPr>
            <w:tcW w:w="0" w:type="auto"/>
          </w:tcPr>
          <w:p w:rsidR="00F32158" w:rsidRPr="000B1EFA" w:rsidRDefault="00F32158" w:rsidP="000B1EFA">
            <w:pPr>
              <w:spacing w:line="360" w:lineRule="auto"/>
              <w:jc w:val="center"/>
              <w:rPr>
                <w:rFonts w:ascii="Times New Roman" w:hAnsi="Times New Roman"/>
                <w:sz w:val="24"/>
                <w:szCs w:val="24"/>
              </w:rPr>
            </w:pPr>
            <w:r w:rsidRPr="000B1EFA">
              <w:rPr>
                <w:rFonts w:ascii="Times New Roman" w:hAnsi="Times New Roman"/>
                <w:sz w:val="24"/>
                <w:szCs w:val="24"/>
              </w:rPr>
              <w:t>2015</w:t>
            </w:r>
            <w:r w:rsidRPr="000B1EFA">
              <w:rPr>
                <w:rFonts w:ascii="Times New Roman" w:hAnsi="Times New Roman"/>
                <w:sz w:val="24"/>
                <w:szCs w:val="24"/>
              </w:rPr>
              <w:br/>
              <w:t>ДІ</w:t>
            </w:r>
          </w:p>
        </w:tc>
        <w:tc>
          <w:tcPr>
            <w:tcW w:w="0" w:type="auto"/>
          </w:tcPr>
          <w:p w:rsidR="00F32158" w:rsidRPr="000B1EFA" w:rsidRDefault="00F32158" w:rsidP="000B1EFA">
            <w:pPr>
              <w:spacing w:line="360" w:lineRule="auto"/>
              <w:jc w:val="center"/>
              <w:rPr>
                <w:rFonts w:ascii="Times New Roman" w:eastAsia="Times New Roman" w:hAnsi="Times New Roman"/>
                <w:sz w:val="24"/>
                <w:szCs w:val="24"/>
                <w:lang w:val="en-US"/>
              </w:rPr>
            </w:pPr>
            <w:r w:rsidRPr="000B1EFA">
              <w:rPr>
                <w:rFonts w:ascii="Times New Roman" w:eastAsia="Times New Roman" w:hAnsi="Times New Roman"/>
                <w:sz w:val="24"/>
                <w:szCs w:val="24"/>
                <w:lang w:val="en-US"/>
              </w:rPr>
              <w:t>1954354,56</w:t>
            </w:r>
          </w:p>
          <w:p w:rsidR="00F32158" w:rsidRPr="000B1EFA" w:rsidRDefault="00F32158" w:rsidP="000B1EFA">
            <w:pPr>
              <w:spacing w:line="360" w:lineRule="auto"/>
              <w:jc w:val="center"/>
              <w:rPr>
                <w:rFonts w:ascii="Times New Roman" w:eastAsia="Times New Roman" w:hAnsi="Times New Roman"/>
                <w:sz w:val="24"/>
                <w:szCs w:val="24"/>
              </w:rPr>
            </w:pPr>
            <w:r w:rsidRPr="000B1EFA">
              <w:rPr>
                <w:rFonts w:ascii="Times New Roman" w:eastAsia="Times New Roman" w:hAnsi="Times New Roman"/>
                <w:sz w:val="24"/>
                <w:szCs w:val="24"/>
              </w:rPr>
              <w:t>(</w:t>
            </w:r>
            <w:r w:rsidRPr="000B1EFA">
              <w:rPr>
                <w:rFonts w:ascii="Times New Roman" w:eastAsia="Times New Roman" w:hAnsi="Times New Roman"/>
                <w:sz w:val="24"/>
                <w:szCs w:val="24"/>
                <w:lang w:val="en-US"/>
              </w:rPr>
              <w:t>2145180,99</w:t>
            </w:r>
            <w:r w:rsidRPr="000B1EFA">
              <w:rPr>
                <w:rFonts w:ascii="Times New Roman" w:eastAsia="Times New Roman" w:hAnsi="Times New Roman"/>
                <w:sz w:val="24"/>
                <w:szCs w:val="24"/>
              </w:rPr>
              <w:t>-</w:t>
            </w:r>
            <w:r w:rsidRPr="000B1EFA">
              <w:rPr>
                <w:rFonts w:ascii="Times New Roman" w:eastAsia="Times New Roman" w:hAnsi="Times New Roman"/>
                <w:sz w:val="24"/>
                <w:szCs w:val="24"/>
                <w:lang w:val="en-US"/>
              </w:rPr>
              <w:t>1768472,94</w:t>
            </w:r>
          </w:p>
        </w:tc>
        <w:tc>
          <w:tcPr>
            <w:tcW w:w="0" w:type="auto"/>
          </w:tcPr>
          <w:p w:rsidR="00F32158" w:rsidRPr="000B1EFA" w:rsidRDefault="00F32158" w:rsidP="000B1EFA">
            <w:pPr>
              <w:spacing w:line="360" w:lineRule="auto"/>
              <w:jc w:val="center"/>
              <w:rPr>
                <w:rFonts w:ascii="Times New Roman" w:eastAsia="Times New Roman" w:hAnsi="Times New Roman"/>
                <w:sz w:val="24"/>
                <w:szCs w:val="24"/>
                <w:lang w:val="en-US"/>
              </w:rPr>
            </w:pPr>
            <w:r w:rsidRPr="000B1EFA">
              <w:rPr>
                <w:rFonts w:ascii="Times New Roman" w:eastAsia="Times New Roman" w:hAnsi="Times New Roman"/>
                <w:sz w:val="24"/>
                <w:szCs w:val="24"/>
                <w:lang w:val="en-US"/>
              </w:rPr>
              <w:t>2657784,70</w:t>
            </w:r>
          </w:p>
          <w:p w:rsidR="00F32158" w:rsidRPr="000B1EFA" w:rsidRDefault="00F32158" w:rsidP="000B1EFA">
            <w:pPr>
              <w:spacing w:line="360" w:lineRule="auto"/>
              <w:jc w:val="center"/>
              <w:rPr>
                <w:rFonts w:ascii="Times New Roman" w:eastAsia="Times New Roman" w:hAnsi="Times New Roman"/>
                <w:sz w:val="24"/>
                <w:szCs w:val="24"/>
              </w:rPr>
            </w:pPr>
            <w:r w:rsidRPr="000B1EFA">
              <w:rPr>
                <w:rFonts w:ascii="Times New Roman" w:eastAsia="Times New Roman" w:hAnsi="Times New Roman"/>
                <w:sz w:val="24"/>
                <w:szCs w:val="24"/>
              </w:rPr>
              <w:t>(</w:t>
            </w:r>
            <w:r w:rsidRPr="000B1EFA">
              <w:rPr>
                <w:rFonts w:ascii="Times New Roman" w:eastAsia="Times New Roman" w:hAnsi="Times New Roman"/>
                <w:sz w:val="24"/>
                <w:szCs w:val="24"/>
                <w:lang w:val="en-US"/>
              </w:rPr>
              <w:t>3001408,01</w:t>
            </w:r>
            <w:r w:rsidRPr="000B1EFA">
              <w:rPr>
                <w:rFonts w:ascii="Times New Roman" w:eastAsia="Times New Roman" w:hAnsi="Times New Roman"/>
                <w:sz w:val="24"/>
                <w:szCs w:val="24"/>
              </w:rPr>
              <w:t>-</w:t>
            </w:r>
            <w:r w:rsidRPr="000B1EFA">
              <w:rPr>
                <w:rFonts w:ascii="Times New Roman" w:eastAsia="Times New Roman" w:hAnsi="Times New Roman"/>
                <w:sz w:val="24"/>
                <w:szCs w:val="24"/>
                <w:lang w:val="en-US"/>
              </w:rPr>
              <w:t>2327922,16</w:t>
            </w:r>
            <w:r w:rsidRPr="000B1EFA">
              <w:rPr>
                <w:rFonts w:ascii="Times New Roman" w:eastAsia="Times New Roman" w:hAnsi="Times New Roman"/>
                <w:sz w:val="24"/>
                <w:szCs w:val="24"/>
              </w:rPr>
              <w:t>)</w:t>
            </w:r>
          </w:p>
        </w:tc>
        <w:tc>
          <w:tcPr>
            <w:tcW w:w="0" w:type="auto"/>
          </w:tcPr>
          <w:p w:rsidR="00F32158" w:rsidRPr="000B1EFA" w:rsidRDefault="00F32158" w:rsidP="000B1EFA">
            <w:pPr>
              <w:shd w:val="clear" w:color="auto" w:fill="FFFFFF"/>
              <w:spacing w:line="360" w:lineRule="auto"/>
              <w:jc w:val="center"/>
              <w:rPr>
                <w:rFonts w:ascii="Times New Roman" w:eastAsia="Times New Roman" w:hAnsi="Times New Roman"/>
                <w:sz w:val="24"/>
                <w:szCs w:val="24"/>
                <w:lang w:val="en-US"/>
              </w:rPr>
            </w:pPr>
            <w:r w:rsidRPr="000B1EFA">
              <w:rPr>
                <w:rFonts w:ascii="Times New Roman" w:eastAsia="Times New Roman" w:hAnsi="Times New Roman"/>
                <w:sz w:val="24"/>
                <w:szCs w:val="24"/>
                <w:lang w:val="en-US"/>
              </w:rPr>
              <w:t>1204760,21</w:t>
            </w:r>
          </w:p>
          <w:p w:rsidR="00F32158" w:rsidRPr="000B1EFA" w:rsidRDefault="00F32158" w:rsidP="000B1EFA">
            <w:pPr>
              <w:shd w:val="clear" w:color="auto" w:fill="FFFFFF"/>
              <w:spacing w:line="360" w:lineRule="auto"/>
              <w:jc w:val="center"/>
              <w:rPr>
                <w:rFonts w:ascii="Times New Roman" w:eastAsia="Times New Roman" w:hAnsi="Times New Roman"/>
                <w:sz w:val="24"/>
                <w:szCs w:val="24"/>
              </w:rPr>
            </w:pPr>
            <w:r w:rsidRPr="000B1EFA">
              <w:rPr>
                <w:rFonts w:ascii="Times New Roman" w:eastAsia="Times New Roman" w:hAnsi="Times New Roman"/>
                <w:sz w:val="24"/>
                <w:szCs w:val="24"/>
              </w:rPr>
              <w:t>(</w:t>
            </w:r>
            <w:r w:rsidRPr="000B1EFA">
              <w:rPr>
                <w:rFonts w:ascii="Times New Roman" w:eastAsia="Times New Roman" w:hAnsi="Times New Roman"/>
                <w:sz w:val="24"/>
                <w:szCs w:val="24"/>
                <w:lang w:val="en-US"/>
              </w:rPr>
              <w:t>1453963,03</w:t>
            </w:r>
            <w:r w:rsidRPr="000B1EFA">
              <w:rPr>
                <w:rFonts w:ascii="Times New Roman" w:eastAsia="Times New Roman" w:hAnsi="Times New Roman"/>
                <w:sz w:val="24"/>
                <w:szCs w:val="24"/>
              </w:rPr>
              <w:t>-</w:t>
            </w:r>
            <w:r w:rsidRPr="000B1EFA">
              <w:rPr>
                <w:rFonts w:ascii="Times New Roman" w:eastAsia="Times New Roman" w:hAnsi="Times New Roman"/>
                <w:sz w:val="24"/>
                <w:szCs w:val="24"/>
                <w:lang w:val="en-US"/>
              </w:rPr>
              <w:t>978574,74</w:t>
            </w:r>
            <w:r w:rsidRPr="000B1EFA">
              <w:rPr>
                <w:rFonts w:ascii="Times New Roman" w:eastAsia="Times New Roman" w:hAnsi="Times New Roman"/>
                <w:sz w:val="24"/>
                <w:szCs w:val="24"/>
              </w:rPr>
              <w:t>)</w:t>
            </w:r>
          </w:p>
        </w:tc>
      </w:tr>
      <w:tr w:rsidR="00F32158" w:rsidRPr="000B1EFA" w:rsidTr="00BF1F99">
        <w:trPr>
          <w:jc w:val="center"/>
        </w:trPr>
        <w:tc>
          <w:tcPr>
            <w:tcW w:w="0" w:type="auto"/>
          </w:tcPr>
          <w:p w:rsidR="00F32158" w:rsidRPr="000B1EFA" w:rsidRDefault="00F32158" w:rsidP="000B1EFA">
            <w:pPr>
              <w:spacing w:line="360" w:lineRule="auto"/>
              <w:jc w:val="center"/>
              <w:rPr>
                <w:rFonts w:ascii="Times New Roman" w:hAnsi="Times New Roman"/>
                <w:sz w:val="24"/>
                <w:szCs w:val="24"/>
              </w:rPr>
            </w:pPr>
            <w:r w:rsidRPr="000B1EFA">
              <w:rPr>
                <w:rFonts w:ascii="Times New Roman" w:hAnsi="Times New Roman"/>
                <w:sz w:val="24"/>
                <w:szCs w:val="24"/>
              </w:rPr>
              <w:t>2016</w:t>
            </w:r>
          </w:p>
          <w:p w:rsidR="00F32158" w:rsidRPr="000B1EFA" w:rsidRDefault="00F32158" w:rsidP="000B1EFA">
            <w:pPr>
              <w:spacing w:line="360" w:lineRule="auto"/>
              <w:jc w:val="center"/>
              <w:rPr>
                <w:rFonts w:ascii="Times New Roman" w:hAnsi="Times New Roman"/>
                <w:sz w:val="24"/>
                <w:szCs w:val="24"/>
              </w:rPr>
            </w:pPr>
            <w:r w:rsidRPr="000B1EFA">
              <w:rPr>
                <w:rFonts w:ascii="Times New Roman" w:hAnsi="Times New Roman"/>
                <w:sz w:val="24"/>
                <w:szCs w:val="24"/>
              </w:rPr>
              <w:t>ДІ</w:t>
            </w:r>
          </w:p>
        </w:tc>
        <w:tc>
          <w:tcPr>
            <w:tcW w:w="0" w:type="auto"/>
          </w:tcPr>
          <w:p w:rsidR="00F32158" w:rsidRPr="000B1EFA" w:rsidRDefault="00F32158" w:rsidP="000B1EFA">
            <w:pPr>
              <w:shd w:val="clear" w:color="auto" w:fill="FFFFFF"/>
              <w:spacing w:line="360" w:lineRule="auto"/>
              <w:jc w:val="center"/>
              <w:rPr>
                <w:rFonts w:ascii="Times New Roman" w:eastAsia="Times New Roman" w:hAnsi="Times New Roman"/>
                <w:sz w:val="24"/>
                <w:szCs w:val="24"/>
                <w:lang w:val="en-US"/>
              </w:rPr>
            </w:pPr>
            <w:r w:rsidRPr="000B1EFA">
              <w:rPr>
                <w:rFonts w:ascii="Times New Roman" w:eastAsia="Times New Roman" w:hAnsi="Times New Roman"/>
                <w:sz w:val="24"/>
                <w:szCs w:val="24"/>
                <w:lang w:val="en-US"/>
              </w:rPr>
              <w:t>1905679,84</w:t>
            </w:r>
          </w:p>
          <w:p w:rsidR="00F32158" w:rsidRPr="000B1EFA" w:rsidRDefault="00F32158" w:rsidP="000B1EFA">
            <w:pPr>
              <w:shd w:val="clear" w:color="auto" w:fill="FFFFFF"/>
              <w:spacing w:line="360" w:lineRule="auto"/>
              <w:jc w:val="center"/>
              <w:rPr>
                <w:rFonts w:ascii="Times New Roman" w:eastAsia="Times New Roman" w:hAnsi="Times New Roman"/>
                <w:sz w:val="24"/>
                <w:szCs w:val="24"/>
              </w:rPr>
            </w:pPr>
            <w:r w:rsidRPr="000B1EFA">
              <w:rPr>
                <w:rFonts w:ascii="Times New Roman" w:eastAsia="Times New Roman" w:hAnsi="Times New Roman"/>
                <w:sz w:val="24"/>
                <w:szCs w:val="24"/>
              </w:rPr>
              <w:t>(</w:t>
            </w:r>
            <w:r w:rsidRPr="000B1EFA">
              <w:rPr>
                <w:rFonts w:ascii="Times New Roman" w:eastAsia="Times New Roman" w:hAnsi="Times New Roman"/>
                <w:sz w:val="24"/>
                <w:szCs w:val="24"/>
                <w:lang w:val="en-US"/>
              </w:rPr>
              <w:t>2126628,60</w:t>
            </w:r>
            <w:r w:rsidRPr="000B1EFA">
              <w:rPr>
                <w:rFonts w:ascii="Times New Roman" w:eastAsia="Times New Roman" w:hAnsi="Times New Roman"/>
                <w:sz w:val="24"/>
                <w:szCs w:val="24"/>
              </w:rPr>
              <w:t>-</w:t>
            </w:r>
            <w:r w:rsidRPr="000B1EFA">
              <w:rPr>
                <w:rFonts w:ascii="Times New Roman" w:eastAsia="Times New Roman" w:hAnsi="Times New Roman"/>
                <w:sz w:val="24"/>
                <w:szCs w:val="24"/>
                <w:lang w:val="en-US"/>
              </w:rPr>
              <w:t>1677714,19</w:t>
            </w:r>
            <w:r w:rsidRPr="000B1EFA">
              <w:rPr>
                <w:rFonts w:ascii="Times New Roman" w:eastAsia="Times New Roman" w:hAnsi="Times New Roman"/>
                <w:sz w:val="24"/>
                <w:szCs w:val="24"/>
              </w:rPr>
              <w:t>)</w:t>
            </w:r>
          </w:p>
        </w:tc>
        <w:tc>
          <w:tcPr>
            <w:tcW w:w="0" w:type="auto"/>
          </w:tcPr>
          <w:p w:rsidR="00F32158" w:rsidRPr="000B1EFA" w:rsidRDefault="00F32158" w:rsidP="000B1EFA">
            <w:pPr>
              <w:shd w:val="clear" w:color="auto" w:fill="FFFFFF"/>
              <w:spacing w:line="360" w:lineRule="auto"/>
              <w:jc w:val="center"/>
              <w:rPr>
                <w:rFonts w:ascii="Times New Roman" w:eastAsia="Times New Roman" w:hAnsi="Times New Roman"/>
                <w:sz w:val="24"/>
                <w:szCs w:val="24"/>
                <w:lang w:val="en-US"/>
              </w:rPr>
            </w:pPr>
            <w:r w:rsidRPr="000B1EFA">
              <w:rPr>
                <w:rFonts w:ascii="Times New Roman" w:eastAsia="Times New Roman" w:hAnsi="Times New Roman"/>
                <w:sz w:val="24"/>
                <w:szCs w:val="24"/>
                <w:lang w:val="en-US"/>
              </w:rPr>
              <w:t>2589075,98</w:t>
            </w:r>
          </w:p>
          <w:p w:rsidR="00F32158" w:rsidRPr="000B1EFA" w:rsidRDefault="00F32158" w:rsidP="000B1EFA">
            <w:pPr>
              <w:shd w:val="clear" w:color="auto" w:fill="FFFFFF"/>
              <w:spacing w:line="360" w:lineRule="auto"/>
              <w:jc w:val="center"/>
              <w:rPr>
                <w:rFonts w:ascii="Times New Roman" w:eastAsia="Times New Roman" w:hAnsi="Times New Roman"/>
                <w:sz w:val="24"/>
                <w:szCs w:val="24"/>
              </w:rPr>
            </w:pPr>
            <w:r w:rsidRPr="000B1EFA">
              <w:rPr>
                <w:rFonts w:ascii="Times New Roman" w:eastAsia="Times New Roman" w:hAnsi="Times New Roman"/>
                <w:sz w:val="24"/>
                <w:szCs w:val="24"/>
              </w:rPr>
              <w:t>(</w:t>
            </w:r>
            <w:r w:rsidRPr="000B1EFA">
              <w:rPr>
                <w:rFonts w:ascii="Times New Roman" w:eastAsia="Times New Roman" w:hAnsi="Times New Roman"/>
                <w:sz w:val="24"/>
                <w:szCs w:val="24"/>
                <w:lang w:val="en-US"/>
              </w:rPr>
              <w:t>2952328,57</w:t>
            </w:r>
            <w:r w:rsidRPr="000B1EFA">
              <w:rPr>
                <w:rFonts w:ascii="Times New Roman" w:eastAsia="Times New Roman" w:hAnsi="Times New Roman"/>
                <w:sz w:val="24"/>
                <w:szCs w:val="24"/>
              </w:rPr>
              <w:t>-</w:t>
            </w:r>
            <w:r w:rsidRPr="000B1EFA">
              <w:rPr>
                <w:rFonts w:ascii="Times New Roman" w:eastAsia="Times New Roman" w:hAnsi="Times New Roman"/>
                <w:sz w:val="24"/>
                <w:szCs w:val="24"/>
                <w:lang w:val="en-US"/>
              </w:rPr>
              <w:t>2208404,11</w:t>
            </w:r>
            <w:r w:rsidRPr="000B1EFA">
              <w:rPr>
                <w:rFonts w:ascii="Times New Roman" w:eastAsia="Times New Roman" w:hAnsi="Times New Roman"/>
                <w:sz w:val="24"/>
                <w:szCs w:val="24"/>
              </w:rPr>
              <w:t>)</w:t>
            </w:r>
          </w:p>
        </w:tc>
        <w:tc>
          <w:tcPr>
            <w:tcW w:w="0" w:type="auto"/>
          </w:tcPr>
          <w:p w:rsidR="00F32158" w:rsidRPr="000B1EFA" w:rsidRDefault="00F32158" w:rsidP="000B1EFA">
            <w:pPr>
              <w:spacing w:line="360" w:lineRule="auto"/>
              <w:jc w:val="center"/>
              <w:rPr>
                <w:rFonts w:ascii="Times New Roman" w:eastAsia="Times New Roman" w:hAnsi="Times New Roman"/>
                <w:sz w:val="24"/>
                <w:szCs w:val="24"/>
                <w:lang w:val="en-US"/>
              </w:rPr>
            </w:pPr>
            <w:r w:rsidRPr="000B1EFA">
              <w:rPr>
                <w:rFonts w:ascii="Times New Roman" w:eastAsia="Times New Roman" w:hAnsi="Times New Roman"/>
                <w:sz w:val="24"/>
                <w:szCs w:val="24"/>
                <w:lang w:val="en-US"/>
              </w:rPr>
              <w:t>1176968,36</w:t>
            </w:r>
          </w:p>
          <w:p w:rsidR="00F32158" w:rsidRPr="000B1EFA" w:rsidRDefault="00F32158" w:rsidP="000B1EFA">
            <w:pPr>
              <w:spacing w:line="360" w:lineRule="auto"/>
              <w:jc w:val="center"/>
              <w:rPr>
                <w:rFonts w:ascii="Times New Roman" w:eastAsia="Times New Roman" w:hAnsi="Times New Roman"/>
                <w:sz w:val="24"/>
                <w:szCs w:val="24"/>
              </w:rPr>
            </w:pPr>
            <w:r w:rsidRPr="000B1EFA">
              <w:rPr>
                <w:rFonts w:ascii="Times New Roman" w:eastAsia="Times New Roman" w:hAnsi="Times New Roman"/>
                <w:sz w:val="24"/>
                <w:szCs w:val="24"/>
              </w:rPr>
              <w:t>(</w:t>
            </w:r>
            <w:r w:rsidRPr="000B1EFA">
              <w:rPr>
                <w:rFonts w:ascii="Times New Roman" w:eastAsia="Times New Roman" w:hAnsi="Times New Roman"/>
                <w:sz w:val="24"/>
                <w:szCs w:val="24"/>
                <w:lang w:val="en-US"/>
              </w:rPr>
              <w:t>1431455,67</w:t>
            </w:r>
            <w:r w:rsidRPr="000B1EFA">
              <w:rPr>
                <w:rFonts w:ascii="Times New Roman" w:eastAsia="Times New Roman" w:hAnsi="Times New Roman"/>
                <w:sz w:val="24"/>
                <w:szCs w:val="24"/>
              </w:rPr>
              <w:t>-</w:t>
            </w:r>
            <w:r w:rsidRPr="000B1EFA">
              <w:rPr>
                <w:rFonts w:ascii="Times New Roman" w:eastAsia="Times New Roman" w:hAnsi="Times New Roman"/>
                <w:sz w:val="24"/>
                <w:szCs w:val="24"/>
                <w:lang w:val="en-US"/>
              </w:rPr>
              <w:t>935156,83</w:t>
            </w:r>
            <w:r w:rsidRPr="000B1EFA">
              <w:rPr>
                <w:rFonts w:ascii="Times New Roman" w:eastAsia="Times New Roman" w:hAnsi="Times New Roman"/>
                <w:sz w:val="24"/>
                <w:szCs w:val="24"/>
              </w:rPr>
              <w:t>)</w:t>
            </w:r>
          </w:p>
        </w:tc>
      </w:tr>
      <w:tr w:rsidR="00F32158" w:rsidRPr="000B1EFA" w:rsidTr="00BF1F99">
        <w:trPr>
          <w:jc w:val="center"/>
        </w:trPr>
        <w:tc>
          <w:tcPr>
            <w:tcW w:w="0" w:type="auto"/>
          </w:tcPr>
          <w:p w:rsidR="00F32158" w:rsidRPr="000B1EFA" w:rsidRDefault="00F32158" w:rsidP="000B1EFA">
            <w:pPr>
              <w:spacing w:line="360" w:lineRule="auto"/>
              <w:jc w:val="center"/>
              <w:rPr>
                <w:rFonts w:ascii="Times New Roman" w:hAnsi="Times New Roman"/>
                <w:sz w:val="24"/>
                <w:szCs w:val="24"/>
              </w:rPr>
            </w:pPr>
            <w:r w:rsidRPr="000B1EFA">
              <w:rPr>
                <w:rFonts w:ascii="Times New Roman" w:hAnsi="Times New Roman"/>
                <w:sz w:val="24"/>
                <w:szCs w:val="24"/>
              </w:rPr>
              <w:t>2017</w:t>
            </w:r>
          </w:p>
          <w:p w:rsidR="00F32158" w:rsidRPr="000B1EFA" w:rsidRDefault="00F32158" w:rsidP="000B1EFA">
            <w:pPr>
              <w:spacing w:line="360" w:lineRule="auto"/>
              <w:jc w:val="center"/>
              <w:rPr>
                <w:rFonts w:ascii="Times New Roman" w:hAnsi="Times New Roman"/>
                <w:sz w:val="24"/>
                <w:szCs w:val="24"/>
              </w:rPr>
            </w:pPr>
            <w:r w:rsidRPr="000B1EFA">
              <w:rPr>
                <w:rFonts w:ascii="Times New Roman" w:hAnsi="Times New Roman"/>
                <w:sz w:val="24"/>
                <w:szCs w:val="24"/>
              </w:rPr>
              <w:t>ДІ</w:t>
            </w:r>
          </w:p>
        </w:tc>
        <w:tc>
          <w:tcPr>
            <w:tcW w:w="0" w:type="auto"/>
          </w:tcPr>
          <w:p w:rsidR="00F32158" w:rsidRPr="000B1EFA" w:rsidRDefault="00F32158" w:rsidP="000B1EFA">
            <w:pPr>
              <w:spacing w:line="360" w:lineRule="auto"/>
              <w:jc w:val="center"/>
              <w:rPr>
                <w:rFonts w:ascii="Times New Roman" w:eastAsia="Times New Roman" w:hAnsi="Times New Roman"/>
                <w:sz w:val="24"/>
                <w:szCs w:val="24"/>
                <w:lang w:val="en-US"/>
              </w:rPr>
            </w:pPr>
            <w:r w:rsidRPr="000B1EFA">
              <w:rPr>
                <w:rFonts w:ascii="Times New Roman" w:eastAsia="Times New Roman" w:hAnsi="Times New Roman"/>
                <w:sz w:val="24"/>
                <w:szCs w:val="24"/>
                <w:lang w:val="en-US"/>
              </w:rPr>
              <w:t>1813387,82</w:t>
            </w:r>
          </w:p>
          <w:p w:rsidR="00F32158" w:rsidRPr="000B1EFA" w:rsidRDefault="00F32158" w:rsidP="000B1EFA">
            <w:pPr>
              <w:spacing w:line="360" w:lineRule="auto"/>
              <w:jc w:val="center"/>
              <w:rPr>
                <w:rFonts w:ascii="Times New Roman" w:eastAsia="Times New Roman" w:hAnsi="Times New Roman"/>
                <w:sz w:val="24"/>
                <w:szCs w:val="24"/>
              </w:rPr>
            </w:pPr>
            <w:r w:rsidRPr="000B1EFA">
              <w:rPr>
                <w:rFonts w:ascii="Times New Roman" w:eastAsia="Times New Roman" w:hAnsi="Times New Roman"/>
                <w:sz w:val="24"/>
                <w:szCs w:val="24"/>
              </w:rPr>
              <w:t>(</w:t>
            </w:r>
            <w:r w:rsidRPr="000B1EFA">
              <w:rPr>
                <w:rFonts w:ascii="Times New Roman" w:eastAsia="Times New Roman" w:hAnsi="Times New Roman"/>
                <w:sz w:val="24"/>
                <w:szCs w:val="24"/>
                <w:lang w:val="en-US"/>
              </w:rPr>
              <w:t>2108833,67</w:t>
            </w:r>
            <w:r w:rsidRPr="000B1EFA">
              <w:rPr>
                <w:rFonts w:ascii="Times New Roman" w:eastAsia="Times New Roman" w:hAnsi="Times New Roman"/>
                <w:sz w:val="24"/>
                <w:szCs w:val="24"/>
              </w:rPr>
              <w:t>-</w:t>
            </w:r>
            <w:r w:rsidRPr="000B1EFA">
              <w:rPr>
                <w:rFonts w:ascii="Times New Roman" w:eastAsia="Times New Roman" w:hAnsi="Times New Roman"/>
                <w:sz w:val="24"/>
                <w:szCs w:val="24"/>
                <w:lang w:val="en-US"/>
              </w:rPr>
              <w:t>1545050,04</w:t>
            </w:r>
            <w:r w:rsidRPr="000B1EFA">
              <w:rPr>
                <w:rFonts w:ascii="Times New Roman" w:eastAsia="Times New Roman" w:hAnsi="Times New Roman"/>
                <w:sz w:val="24"/>
                <w:szCs w:val="24"/>
              </w:rPr>
              <w:t>)</w:t>
            </w:r>
          </w:p>
        </w:tc>
        <w:tc>
          <w:tcPr>
            <w:tcW w:w="0" w:type="auto"/>
          </w:tcPr>
          <w:p w:rsidR="00F32158" w:rsidRPr="000B1EFA" w:rsidRDefault="00F32158" w:rsidP="000B1EFA">
            <w:pPr>
              <w:spacing w:line="360" w:lineRule="auto"/>
              <w:jc w:val="center"/>
              <w:rPr>
                <w:rFonts w:ascii="Times New Roman" w:eastAsia="Times New Roman" w:hAnsi="Times New Roman"/>
                <w:sz w:val="24"/>
                <w:szCs w:val="24"/>
                <w:lang w:val="en-US"/>
              </w:rPr>
            </w:pPr>
            <w:r w:rsidRPr="000B1EFA">
              <w:rPr>
                <w:rFonts w:ascii="Times New Roman" w:eastAsia="Times New Roman" w:hAnsi="Times New Roman"/>
                <w:sz w:val="24"/>
                <w:szCs w:val="24"/>
                <w:lang w:val="en-US"/>
              </w:rPr>
              <w:t>2457273,02</w:t>
            </w:r>
          </w:p>
          <w:p w:rsidR="00F32158" w:rsidRPr="000B1EFA" w:rsidRDefault="00F32158" w:rsidP="000B1EFA">
            <w:pPr>
              <w:spacing w:line="360" w:lineRule="auto"/>
              <w:jc w:val="center"/>
              <w:rPr>
                <w:rFonts w:ascii="Times New Roman" w:eastAsia="Times New Roman" w:hAnsi="Times New Roman"/>
                <w:sz w:val="24"/>
                <w:szCs w:val="24"/>
              </w:rPr>
            </w:pPr>
            <w:r w:rsidRPr="000B1EFA">
              <w:rPr>
                <w:rFonts w:ascii="Times New Roman" w:eastAsia="Times New Roman" w:hAnsi="Times New Roman"/>
                <w:sz w:val="24"/>
                <w:szCs w:val="24"/>
              </w:rPr>
              <w:t>(</w:t>
            </w:r>
            <w:r w:rsidRPr="000B1EFA">
              <w:rPr>
                <w:rFonts w:ascii="Times New Roman" w:eastAsia="Times New Roman" w:hAnsi="Times New Roman"/>
                <w:sz w:val="24"/>
                <w:szCs w:val="24"/>
                <w:lang w:val="en-US"/>
              </w:rPr>
              <w:t>2871983,71</w:t>
            </w:r>
            <w:r w:rsidRPr="000B1EFA">
              <w:rPr>
                <w:rFonts w:ascii="Times New Roman" w:eastAsia="Times New Roman" w:hAnsi="Times New Roman"/>
                <w:sz w:val="24"/>
                <w:szCs w:val="24"/>
              </w:rPr>
              <w:t>-</w:t>
            </w:r>
            <w:r w:rsidRPr="000B1EFA">
              <w:rPr>
                <w:rFonts w:ascii="Times New Roman" w:eastAsia="Times New Roman" w:hAnsi="Times New Roman"/>
                <w:sz w:val="24"/>
                <w:szCs w:val="24"/>
                <w:lang w:val="en-US"/>
              </w:rPr>
              <w:t>2060655,49</w:t>
            </w:r>
            <w:r w:rsidRPr="000B1EFA">
              <w:rPr>
                <w:rFonts w:ascii="Times New Roman" w:eastAsia="Times New Roman" w:hAnsi="Times New Roman"/>
                <w:sz w:val="24"/>
                <w:szCs w:val="24"/>
              </w:rPr>
              <w:t>)</w:t>
            </w:r>
          </w:p>
        </w:tc>
        <w:tc>
          <w:tcPr>
            <w:tcW w:w="0" w:type="auto"/>
          </w:tcPr>
          <w:p w:rsidR="00F32158" w:rsidRPr="000B1EFA" w:rsidRDefault="00F32158" w:rsidP="000B1EFA">
            <w:pPr>
              <w:shd w:val="clear" w:color="auto" w:fill="FFFFFF"/>
              <w:spacing w:line="360" w:lineRule="auto"/>
              <w:jc w:val="center"/>
              <w:rPr>
                <w:rFonts w:ascii="Times New Roman" w:eastAsia="Times New Roman" w:hAnsi="Times New Roman"/>
                <w:sz w:val="24"/>
                <w:szCs w:val="24"/>
                <w:lang w:val="en-US"/>
              </w:rPr>
            </w:pPr>
            <w:r w:rsidRPr="000B1EFA">
              <w:rPr>
                <w:rFonts w:ascii="Times New Roman" w:eastAsia="Times New Roman" w:hAnsi="Times New Roman"/>
                <w:sz w:val="24"/>
                <w:szCs w:val="24"/>
                <w:lang w:val="en-US"/>
              </w:rPr>
              <w:t>1126379,43</w:t>
            </w:r>
          </w:p>
          <w:p w:rsidR="00F32158" w:rsidRPr="000B1EFA" w:rsidRDefault="00F32158" w:rsidP="000B1EFA">
            <w:pPr>
              <w:shd w:val="clear" w:color="auto" w:fill="FFFFFF"/>
              <w:spacing w:line="360" w:lineRule="auto"/>
              <w:jc w:val="center"/>
              <w:rPr>
                <w:rFonts w:ascii="Times New Roman" w:eastAsia="Times New Roman" w:hAnsi="Times New Roman"/>
                <w:sz w:val="24"/>
                <w:szCs w:val="24"/>
              </w:rPr>
            </w:pPr>
            <w:r w:rsidRPr="000B1EFA">
              <w:rPr>
                <w:rFonts w:ascii="Times New Roman" w:eastAsia="Times New Roman" w:hAnsi="Times New Roman"/>
                <w:sz w:val="24"/>
                <w:szCs w:val="24"/>
              </w:rPr>
              <w:t>(</w:t>
            </w:r>
            <w:r w:rsidRPr="000B1EFA">
              <w:rPr>
                <w:rFonts w:ascii="Times New Roman" w:eastAsia="Times New Roman" w:hAnsi="Times New Roman"/>
                <w:sz w:val="24"/>
                <w:szCs w:val="24"/>
                <w:lang w:val="en-US"/>
              </w:rPr>
              <w:t>1394986,29</w:t>
            </w:r>
            <w:r w:rsidRPr="000B1EFA">
              <w:rPr>
                <w:rFonts w:ascii="Times New Roman" w:eastAsia="Times New Roman" w:hAnsi="Times New Roman"/>
                <w:sz w:val="24"/>
                <w:szCs w:val="24"/>
              </w:rPr>
              <w:t>-</w:t>
            </w:r>
            <w:r w:rsidRPr="000B1EFA">
              <w:rPr>
                <w:rFonts w:ascii="Times New Roman" w:eastAsia="Times New Roman" w:hAnsi="Times New Roman"/>
                <w:sz w:val="24"/>
                <w:szCs w:val="24"/>
                <w:lang w:val="en-US"/>
              </w:rPr>
              <w:t>881957,76</w:t>
            </w:r>
            <w:r w:rsidRPr="000B1EFA">
              <w:rPr>
                <w:rFonts w:ascii="Times New Roman" w:eastAsia="Times New Roman" w:hAnsi="Times New Roman"/>
                <w:sz w:val="24"/>
                <w:szCs w:val="24"/>
              </w:rPr>
              <w:t>)</w:t>
            </w:r>
          </w:p>
        </w:tc>
      </w:tr>
      <w:tr w:rsidR="00F32158" w:rsidRPr="000B1EFA" w:rsidTr="00BF1F99">
        <w:trPr>
          <w:jc w:val="center"/>
        </w:trPr>
        <w:tc>
          <w:tcPr>
            <w:tcW w:w="0" w:type="auto"/>
          </w:tcPr>
          <w:p w:rsidR="00F32158" w:rsidRPr="000B1EFA" w:rsidRDefault="00F32158" w:rsidP="000B1EFA">
            <w:pPr>
              <w:spacing w:line="360" w:lineRule="auto"/>
              <w:jc w:val="center"/>
              <w:rPr>
                <w:rFonts w:ascii="Times New Roman" w:hAnsi="Times New Roman"/>
                <w:sz w:val="24"/>
                <w:szCs w:val="24"/>
              </w:rPr>
            </w:pPr>
            <w:r w:rsidRPr="000B1EFA">
              <w:rPr>
                <w:rFonts w:ascii="Times New Roman" w:hAnsi="Times New Roman"/>
                <w:sz w:val="24"/>
                <w:szCs w:val="24"/>
              </w:rPr>
              <w:t>2018</w:t>
            </w:r>
          </w:p>
          <w:p w:rsidR="00F32158" w:rsidRPr="000B1EFA" w:rsidRDefault="00F32158" w:rsidP="000B1EFA">
            <w:pPr>
              <w:spacing w:line="360" w:lineRule="auto"/>
              <w:jc w:val="center"/>
              <w:rPr>
                <w:rFonts w:ascii="Times New Roman" w:hAnsi="Times New Roman"/>
                <w:sz w:val="24"/>
                <w:szCs w:val="24"/>
              </w:rPr>
            </w:pPr>
            <w:r w:rsidRPr="000B1EFA">
              <w:rPr>
                <w:rFonts w:ascii="Times New Roman" w:hAnsi="Times New Roman"/>
                <w:sz w:val="24"/>
                <w:szCs w:val="24"/>
              </w:rPr>
              <w:t>ДІ</w:t>
            </w:r>
          </w:p>
        </w:tc>
        <w:tc>
          <w:tcPr>
            <w:tcW w:w="0" w:type="auto"/>
          </w:tcPr>
          <w:p w:rsidR="00F32158" w:rsidRPr="000B1EFA" w:rsidRDefault="00F32158" w:rsidP="000B1EFA">
            <w:pPr>
              <w:spacing w:line="360" w:lineRule="auto"/>
              <w:jc w:val="center"/>
              <w:rPr>
                <w:rFonts w:ascii="Times New Roman" w:eastAsia="Times New Roman" w:hAnsi="Times New Roman"/>
                <w:sz w:val="24"/>
                <w:szCs w:val="24"/>
                <w:lang w:val="en-US"/>
              </w:rPr>
            </w:pPr>
            <w:r w:rsidRPr="000B1EFA">
              <w:rPr>
                <w:rFonts w:ascii="Times New Roman" w:eastAsia="Times New Roman" w:hAnsi="Times New Roman"/>
                <w:sz w:val="24"/>
                <w:szCs w:val="24"/>
                <w:lang w:val="en-US"/>
              </w:rPr>
              <w:t>1745388,17</w:t>
            </w:r>
          </w:p>
          <w:p w:rsidR="00F32158" w:rsidRPr="000B1EFA" w:rsidRDefault="00F32158" w:rsidP="000B1EFA">
            <w:pPr>
              <w:spacing w:line="360" w:lineRule="auto"/>
              <w:jc w:val="center"/>
              <w:rPr>
                <w:rFonts w:ascii="Times New Roman" w:eastAsia="Times New Roman" w:hAnsi="Times New Roman"/>
                <w:sz w:val="24"/>
                <w:szCs w:val="24"/>
              </w:rPr>
            </w:pPr>
            <w:r w:rsidRPr="000B1EFA">
              <w:rPr>
                <w:rFonts w:ascii="Times New Roman" w:eastAsia="Times New Roman" w:hAnsi="Times New Roman"/>
                <w:sz w:val="24"/>
                <w:szCs w:val="24"/>
              </w:rPr>
              <w:t>(</w:t>
            </w:r>
            <w:r w:rsidRPr="000B1EFA">
              <w:rPr>
                <w:rFonts w:ascii="Times New Roman" w:eastAsia="Times New Roman" w:hAnsi="Times New Roman"/>
                <w:sz w:val="24"/>
                <w:szCs w:val="24"/>
                <w:lang w:val="en-US"/>
              </w:rPr>
              <w:t>2093003,12</w:t>
            </w:r>
            <w:r w:rsidRPr="000B1EFA">
              <w:rPr>
                <w:rFonts w:ascii="Times New Roman" w:eastAsia="Times New Roman" w:hAnsi="Times New Roman"/>
                <w:sz w:val="24"/>
                <w:szCs w:val="24"/>
              </w:rPr>
              <w:t>-</w:t>
            </w:r>
            <w:r w:rsidRPr="000B1EFA">
              <w:rPr>
                <w:rFonts w:ascii="Times New Roman" w:eastAsia="Times New Roman" w:hAnsi="Times New Roman"/>
                <w:sz w:val="24"/>
                <w:szCs w:val="24"/>
                <w:lang w:val="en-US"/>
              </w:rPr>
              <w:t>1461370,71</w:t>
            </w:r>
            <w:r w:rsidRPr="000B1EFA">
              <w:rPr>
                <w:rFonts w:ascii="Times New Roman" w:eastAsia="Times New Roman" w:hAnsi="Times New Roman"/>
                <w:sz w:val="24"/>
                <w:szCs w:val="24"/>
              </w:rPr>
              <w:t>)</w:t>
            </w:r>
          </w:p>
        </w:tc>
        <w:tc>
          <w:tcPr>
            <w:tcW w:w="0" w:type="auto"/>
          </w:tcPr>
          <w:p w:rsidR="00F32158" w:rsidRPr="000B1EFA" w:rsidRDefault="00F32158" w:rsidP="000B1EFA">
            <w:pPr>
              <w:spacing w:line="360" w:lineRule="auto"/>
              <w:jc w:val="center"/>
              <w:rPr>
                <w:rFonts w:ascii="Times New Roman" w:eastAsia="Times New Roman" w:hAnsi="Times New Roman"/>
                <w:sz w:val="24"/>
                <w:szCs w:val="24"/>
                <w:lang w:val="en-US"/>
              </w:rPr>
            </w:pPr>
            <w:r w:rsidRPr="000B1EFA">
              <w:rPr>
                <w:rFonts w:ascii="Times New Roman" w:eastAsia="Times New Roman" w:hAnsi="Times New Roman"/>
                <w:sz w:val="24"/>
                <w:szCs w:val="24"/>
                <w:lang w:val="en-US"/>
              </w:rPr>
              <w:t>2362835,87</w:t>
            </w:r>
          </w:p>
          <w:p w:rsidR="00F32158" w:rsidRPr="000B1EFA" w:rsidRDefault="00F32158" w:rsidP="000B1EFA">
            <w:pPr>
              <w:spacing w:line="360" w:lineRule="auto"/>
              <w:jc w:val="center"/>
              <w:rPr>
                <w:rFonts w:ascii="Times New Roman" w:eastAsia="Times New Roman" w:hAnsi="Times New Roman"/>
                <w:sz w:val="24"/>
                <w:szCs w:val="24"/>
              </w:rPr>
            </w:pPr>
            <w:r w:rsidRPr="000B1EFA">
              <w:rPr>
                <w:rFonts w:ascii="Times New Roman" w:eastAsia="Times New Roman" w:hAnsi="Times New Roman"/>
                <w:sz w:val="24"/>
                <w:szCs w:val="24"/>
              </w:rPr>
              <w:t>(</w:t>
            </w:r>
            <w:r w:rsidRPr="000B1EFA">
              <w:rPr>
                <w:rFonts w:ascii="Times New Roman" w:eastAsia="Times New Roman" w:hAnsi="Times New Roman"/>
                <w:sz w:val="24"/>
                <w:szCs w:val="24"/>
                <w:lang w:val="en-US"/>
              </w:rPr>
              <w:t>2848653,50</w:t>
            </w:r>
            <w:r w:rsidRPr="000B1EFA">
              <w:rPr>
                <w:rFonts w:ascii="Times New Roman" w:eastAsia="Times New Roman" w:hAnsi="Times New Roman"/>
                <w:sz w:val="24"/>
                <w:szCs w:val="24"/>
              </w:rPr>
              <w:t>-</w:t>
            </w:r>
            <w:r w:rsidRPr="000B1EFA">
              <w:rPr>
                <w:rFonts w:ascii="Times New Roman" w:eastAsia="Times New Roman" w:hAnsi="Times New Roman"/>
                <w:sz w:val="24"/>
                <w:szCs w:val="24"/>
                <w:lang w:val="en-US"/>
              </w:rPr>
              <w:t>1948870,58</w:t>
            </w:r>
            <w:r w:rsidRPr="000B1EFA">
              <w:rPr>
                <w:rFonts w:ascii="Times New Roman" w:eastAsia="Times New Roman" w:hAnsi="Times New Roman"/>
                <w:sz w:val="24"/>
                <w:szCs w:val="24"/>
              </w:rPr>
              <w:t>)</w:t>
            </w:r>
          </w:p>
        </w:tc>
        <w:tc>
          <w:tcPr>
            <w:tcW w:w="0" w:type="auto"/>
          </w:tcPr>
          <w:p w:rsidR="00F32158" w:rsidRPr="000B1EFA" w:rsidRDefault="00F32158" w:rsidP="000B1EFA">
            <w:pPr>
              <w:shd w:val="clear" w:color="auto" w:fill="FFFFFF"/>
              <w:spacing w:line="360" w:lineRule="auto"/>
              <w:jc w:val="center"/>
              <w:rPr>
                <w:rFonts w:ascii="Times New Roman" w:eastAsia="Times New Roman" w:hAnsi="Times New Roman"/>
                <w:sz w:val="24"/>
                <w:szCs w:val="24"/>
                <w:lang w:val="en-US"/>
              </w:rPr>
            </w:pPr>
            <w:r w:rsidRPr="000B1EFA">
              <w:rPr>
                <w:rFonts w:ascii="Times New Roman" w:eastAsia="Times New Roman" w:hAnsi="Times New Roman"/>
                <w:sz w:val="24"/>
                <w:szCs w:val="24"/>
                <w:lang w:val="en-US"/>
              </w:rPr>
              <w:t>1086519,24</w:t>
            </w:r>
          </w:p>
          <w:p w:rsidR="00F32158" w:rsidRPr="000B1EFA" w:rsidRDefault="00F32158" w:rsidP="000B1EFA">
            <w:pPr>
              <w:shd w:val="clear" w:color="auto" w:fill="FFFFFF"/>
              <w:spacing w:line="360" w:lineRule="auto"/>
              <w:jc w:val="center"/>
              <w:rPr>
                <w:rFonts w:ascii="Times New Roman" w:eastAsia="Times New Roman" w:hAnsi="Times New Roman"/>
                <w:sz w:val="24"/>
                <w:szCs w:val="24"/>
              </w:rPr>
            </w:pPr>
            <w:r w:rsidRPr="000B1EFA">
              <w:rPr>
                <w:rFonts w:ascii="Times New Roman" w:eastAsia="Times New Roman" w:hAnsi="Times New Roman"/>
                <w:sz w:val="24"/>
                <w:szCs w:val="24"/>
              </w:rPr>
              <w:t>(</w:t>
            </w:r>
            <w:r w:rsidRPr="000B1EFA">
              <w:rPr>
                <w:rFonts w:ascii="Times New Roman" w:eastAsia="Times New Roman" w:hAnsi="Times New Roman"/>
                <w:sz w:val="24"/>
                <w:szCs w:val="24"/>
                <w:lang w:val="en-US"/>
              </w:rPr>
              <w:t>1366719,07</w:t>
            </w:r>
            <w:r w:rsidRPr="000B1EFA">
              <w:rPr>
                <w:rFonts w:ascii="Times New Roman" w:eastAsia="Times New Roman" w:hAnsi="Times New Roman"/>
                <w:sz w:val="24"/>
                <w:szCs w:val="24"/>
              </w:rPr>
              <w:t>-</w:t>
            </w:r>
            <w:r w:rsidRPr="000B1EFA">
              <w:rPr>
                <w:rFonts w:ascii="Times New Roman" w:eastAsia="Times New Roman" w:hAnsi="Times New Roman"/>
                <w:sz w:val="24"/>
                <w:szCs w:val="24"/>
                <w:lang w:val="en-US"/>
              </w:rPr>
              <w:t>852116,71</w:t>
            </w:r>
            <w:r w:rsidRPr="000B1EFA">
              <w:rPr>
                <w:rFonts w:ascii="Times New Roman" w:eastAsia="Times New Roman" w:hAnsi="Times New Roman"/>
                <w:sz w:val="24"/>
                <w:szCs w:val="24"/>
              </w:rPr>
              <w:t>)</w:t>
            </w:r>
          </w:p>
        </w:tc>
      </w:tr>
      <w:tr w:rsidR="00F32158" w:rsidRPr="000B1EFA" w:rsidTr="00BF1F99">
        <w:trPr>
          <w:jc w:val="center"/>
        </w:trPr>
        <w:tc>
          <w:tcPr>
            <w:tcW w:w="0" w:type="auto"/>
          </w:tcPr>
          <w:p w:rsidR="00F32158" w:rsidRPr="000B1EFA" w:rsidRDefault="00F32158" w:rsidP="000B1EFA">
            <w:pPr>
              <w:spacing w:line="360" w:lineRule="auto"/>
              <w:jc w:val="center"/>
              <w:rPr>
                <w:rFonts w:ascii="Times New Roman" w:hAnsi="Times New Roman"/>
                <w:sz w:val="24"/>
                <w:szCs w:val="24"/>
              </w:rPr>
            </w:pPr>
            <w:r w:rsidRPr="000B1EFA">
              <w:rPr>
                <w:rFonts w:ascii="Times New Roman" w:hAnsi="Times New Roman"/>
                <w:sz w:val="24"/>
                <w:szCs w:val="24"/>
              </w:rPr>
              <w:t>2019</w:t>
            </w:r>
          </w:p>
          <w:p w:rsidR="00F32158" w:rsidRPr="000B1EFA" w:rsidRDefault="00F32158" w:rsidP="000B1EFA">
            <w:pPr>
              <w:spacing w:line="360" w:lineRule="auto"/>
              <w:jc w:val="center"/>
              <w:rPr>
                <w:rFonts w:ascii="Times New Roman" w:hAnsi="Times New Roman"/>
                <w:sz w:val="24"/>
                <w:szCs w:val="24"/>
              </w:rPr>
            </w:pPr>
            <w:r w:rsidRPr="000B1EFA">
              <w:rPr>
                <w:rFonts w:ascii="Times New Roman" w:hAnsi="Times New Roman"/>
                <w:sz w:val="24"/>
                <w:szCs w:val="24"/>
              </w:rPr>
              <w:t>ДІ</w:t>
            </w:r>
          </w:p>
        </w:tc>
        <w:tc>
          <w:tcPr>
            <w:tcW w:w="0" w:type="auto"/>
          </w:tcPr>
          <w:p w:rsidR="00F32158" w:rsidRPr="000B1EFA" w:rsidRDefault="00F32158" w:rsidP="000B1EFA">
            <w:pPr>
              <w:shd w:val="clear" w:color="auto" w:fill="FFFFFF"/>
              <w:spacing w:line="360" w:lineRule="auto"/>
              <w:jc w:val="center"/>
              <w:rPr>
                <w:rFonts w:ascii="Times New Roman" w:eastAsia="Times New Roman" w:hAnsi="Times New Roman"/>
                <w:sz w:val="24"/>
                <w:szCs w:val="24"/>
                <w:lang w:val="en-US"/>
              </w:rPr>
            </w:pPr>
            <w:r w:rsidRPr="000B1EFA">
              <w:rPr>
                <w:rFonts w:ascii="Times New Roman" w:eastAsia="Times New Roman" w:hAnsi="Times New Roman"/>
                <w:sz w:val="24"/>
                <w:szCs w:val="24"/>
                <w:lang w:val="en-US"/>
              </w:rPr>
              <w:t>1685452,18</w:t>
            </w:r>
          </w:p>
          <w:p w:rsidR="00F32158" w:rsidRPr="000B1EFA" w:rsidRDefault="00F32158" w:rsidP="000B1EFA">
            <w:pPr>
              <w:shd w:val="clear" w:color="auto" w:fill="FFFFFF"/>
              <w:spacing w:line="360" w:lineRule="auto"/>
              <w:jc w:val="center"/>
              <w:rPr>
                <w:rFonts w:ascii="Times New Roman" w:eastAsia="Times New Roman" w:hAnsi="Times New Roman"/>
                <w:sz w:val="24"/>
                <w:szCs w:val="24"/>
              </w:rPr>
            </w:pPr>
            <w:r w:rsidRPr="000B1EFA">
              <w:rPr>
                <w:rFonts w:ascii="Times New Roman" w:eastAsia="Times New Roman" w:hAnsi="Times New Roman"/>
                <w:sz w:val="24"/>
                <w:szCs w:val="24"/>
              </w:rPr>
              <w:t>(</w:t>
            </w:r>
            <w:r w:rsidRPr="000B1EFA">
              <w:rPr>
                <w:rFonts w:ascii="Times New Roman" w:eastAsia="Times New Roman" w:hAnsi="Times New Roman"/>
                <w:sz w:val="24"/>
                <w:szCs w:val="24"/>
                <w:lang w:val="en-US"/>
              </w:rPr>
              <w:t>2064803,79</w:t>
            </w:r>
            <w:r w:rsidRPr="000B1EFA">
              <w:rPr>
                <w:rFonts w:ascii="Times New Roman" w:eastAsia="Times New Roman" w:hAnsi="Times New Roman"/>
                <w:sz w:val="24"/>
                <w:szCs w:val="24"/>
              </w:rPr>
              <w:t>-</w:t>
            </w:r>
            <w:r w:rsidRPr="000B1EFA">
              <w:rPr>
                <w:rFonts w:ascii="Times New Roman" w:eastAsia="Times New Roman" w:hAnsi="Times New Roman"/>
                <w:sz w:val="24"/>
                <w:szCs w:val="24"/>
                <w:lang w:val="en-US"/>
              </w:rPr>
              <w:t>1383250,92</w:t>
            </w:r>
            <w:r w:rsidRPr="000B1EFA">
              <w:rPr>
                <w:rFonts w:ascii="Times New Roman" w:eastAsia="Times New Roman" w:hAnsi="Times New Roman"/>
                <w:sz w:val="24"/>
                <w:szCs w:val="24"/>
              </w:rPr>
              <w:t>)</w:t>
            </w:r>
          </w:p>
        </w:tc>
        <w:tc>
          <w:tcPr>
            <w:tcW w:w="0" w:type="auto"/>
          </w:tcPr>
          <w:p w:rsidR="00F32158" w:rsidRPr="000B1EFA" w:rsidRDefault="00F32158" w:rsidP="000B1EFA">
            <w:pPr>
              <w:shd w:val="clear" w:color="auto" w:fill="FFFFFF"/>
              <w:spacing w:line="360" w:lineRule="auto"/>
              <w:jc w:val="center"/>
              <w:rPr>
                <w:rFonts w:ascii="Times New Roman" w:eastAsia="Times New Roman" w:hAnsi="Times New Roman"/>
                <w:sz w:val="24"/>
                <w:szCs w:val="24"/>
                <w:lang w:val="en-US"/>
              </w:rPr>
            </w:pPr>
            <w:r w:rsidRPr="000B1EFA">
              <w:rPr>
                <w:rFonts w:ascii="Times New Roman" w:eastAsia="Times New Roman" w:hAnsi="Times New Roman"/>
                <w:sz w:val="24"/>
                <w:szCs w:val="24"/>
                <w:lang w:val="en-US"/>
              </w:rPr>
              <w:t>2280669,87</w:t>
            </w:r>
          </w:p>
          <w:p w:rsidR="00F32158" w:rsidRPr="000B1EFA" w:rsidRDefault="00F32158" w:rsidP="000B1EFA">
            <w:pPr>
              <w:shd w:val="clear" w:color="auto" w:fill="FFFFFF"/>
              <w:spacing w:line="360" w:lineRule="auto"/>
              <w:jc w:val="center"/>
              <w:rPr>
                <w:rFonts w:ascii="Times New Roman" w:eastAsia="Times New Roman" w:hAnsi="Times New Roman"/>
                <w:sz w:val="24"/>
                <w:szCs w:val="24"/>
              </w:rPr>
            </w:pPr>
            <w:r w:rsidRPr="000B1EFA">
              <w:rPr>
                <w:rFonts w:ascii="Times New Roman" w:eastAsia="Times New Roman" w:hAnsi="Times New Roman"/>
                <w:sz w:val="24"/>
                <w:szCs w:val="24"/>
              </w:rPr>
              <w:t>(</w:t>
            </w:r>
            <w:r w:rsidRPr="000B1EFA">
              <w:rPr>
                <w:rFonts w:ascii="Times New Roman" w:eastAsia="Times New Roman" w:hAnsi="Times New Roman"/>
                <w:sz w:val="24"/>
                <w:szCs w:val="24"/>
                <w:lang w:val="en-US"/>
              </w:rPr>
              <w:t>2826885,80</w:t>
            </w:r>
            <w:r w:rsidRPr="000B1EFA">
              <w:rPr>
                <w:rFonts w:ascii="Times New Roman" w:eastAsia="Times New Roman" w:hAnsi="Times New Roman"/>
                <w:sz w:val="24"/>
                <w:szCs w:val="24"/>
              </w:rPr>
              <w:t>-</w:t>
            </w:r>
            <w:r w:rsidRPr="000B1EFA">
              <w:rPr>
                <w:rFonts w:ascii="Times New Roman" w:eastAsia="Times New Roman" w:hAnsi="Times New Roman"/>
                <w:sz w:val="24"/>
                <w:szCs w:val="24"/>
                <w:lang w:val="en-US"/>
              </w:rPr>
              <w:t>1865940,27</w:t>
            </w:r>
            <w:r w:rsidRPr="000B1EFA">
              <w:rPr>
                <w:rFonts w:ascii="Times New Roman" w:eastAsia="Times New Roman" w:hAnsi="Times New Roman"/>
                <w:sz w:val="24"/>
                <w:szCs w:val="24"/>
              </w:rPr>
              <w:t>)</w:t>
            </w:r>
          </w:p>
        </w:tc>
        <w:tc>
          <w:tcPr>
            <w:tcW w:w="0" w:type="auto"/>
          </w:tcPr>
          <w:p w:rsidR="00F32158" w:rsidRPr="000B1EFA" w:rsidRDefault="00F32158" w:rsidP="000B1EFA">
            <w:pPr>
              <w:spacing w:line="360" w:lineRule="auto"/>
              <w:jc w:val="center"/>
              <w:rPr>
                <w:rFonts w:ascii="Times New Roman" w:eastAsia="Times New Roman" w:hAnsi="Times New Roman"/>
                <w:sz w:val="24"/>
                <w:szCs w:val="24"/>
                <w:lang w:val="en-US"/>
              </w:rPr>
            </w:pPr>
            <w:r w:rsidRPr="000B1EFA">
              <w:rPr>
                <w:rFonts w:ascii="Times New Roman" w:eastAsia="Times New Roman" w:hAnsi="Times New Roman"/>
                <w:sz w:val="24"/>
                <w:szCs w:val="24"/>
                <w:lang w:val="en-US"/>
              </w:rPr>
              <w:t>1050243,01</w:t>
            </w:r>
          </w:p>
          <w:p w:rsidR="00F32158" w:rsidRPr="000B1EFA" w:rsidRDefault="00F32158" w:rsidP="000B1EFA">
            <w:pPr>
              <w:spacing w:line="360" w:lineRule="auto"/>
              <w:jc w:val="center"/>
              <w:rPr>
                <w:rFonts w:ascii="Times New Roman" w:eastAsia="Times New Roman" w:hAnsi="Times New Roman"/>
                <w:sz w:val="24"/>
                <w:szCs w:val="24"/>
              </w:rPr>
            </w:pPr>
            <w:r w:rsidRPr="000B1EFA">
              <w:rPr>
                <w:rFonts w:ascii="Times New Roman" w:eastAsia="Times New Roman" w:hAnsi="Times New Roman"/>
                <w:sz w:val="24"/>
                <w:szCs w:val="24"/>
              </w:rPr>
              <w:t>(</w:t>
            </w:r>
            <w:r w:rsidRPr="000B1EFA">
              <w:rPr>
                <w:rFonts w:ascii="Times New Roman" w:eastAsia="Times New Roman" w:hAnsi="Times New Roman"/>
                <w:sz w:val="24"/>
                <w:szCs w:val="24"/>
                <w:lang w:val="en-US"/>
              </w:rPr>
              <w:t>1349563,30</w:t>
            </w:r>
            <w:r w:rsidRPr="000B1EFA">
              <w:rPr>
                <w:rFonts w:ascii="Times New Roman" w:eastAsia="Times New Roman" w:hAnsi="Times New Roman"/>
                <w:sz w:val="24"/>
                <w:szCs w:val="24"/>
              </w:rPr>
              <w:t>-</w:t>
            </w:r>
            <w:r w:rsidRPr="000B1EFA">
              <w:rPr>
                <w:rFonts w:ascii="Times New Roman" w:eastAsia="Times New Roman" w:hAnsi="Times New Roman"/>
                <w:sz w:val="24"/>
                <w:szCs w:val="24"/>
                <w:lang w:val="en-US"/>
              </w:rPr>
              <w:t>805279,41</w:t>
            </w:r>
            <w:r w:rsidRPr="000B1EFA">
              <w:rPr>
                <w:rFonts w:ascii="Times New Roman" w:eastAsia="Times New Roman" w:hAnsi="Times New Roman"/>
                <w:sz w:val="24"/>
                <w:szCs w:val="24"/>
              </w:rPr>
              <w:t>)</w:t>
            </w:r>
          </w:p>
        </w:tc>
      </w:tr>
    </w:tbl>
    <w:p w:rsidR="00F32158" w:rsidRPr="00F32158" w:rsidRDefault="00F32158" w:rsidP="00F32158">
      <w:pPr>
        <w:tabs>
          <w:tab w:val="left" w:pos="8133"/>
        </w:tabs>
        <w:spacing w:after="200" w:line="276" w:lineRule="auto"/>
        <w:jc w:val="right"/>
        <w:rPr>
          <w:rFonts w:eastAsia="Calibri"/>
          <w:szCs w:val="28"/>
        </w:rPr>
      </w:pPr>
    </w:p>
    <w:p w:rsidR="00F32158" w:rsidRPr="00F32158" w:rsidRDefault="00F32158" w:rsidP="00F32158">
      <w:pPr>
        <w:tabs>
          <w:tab w:val="left" w:pos="8133"/>
        </w:tabs>
        <w:spacing w:after="200" w:line="276" w:lineRule="auto"/>
        <w:jc w:val="right"/>
        <w:rPr>
          <w:rFonts w:eastAsia="Calibri"/>
          <w:szCs w:val="28"/>
        </w:rPr>
      </w:pPr>
    </w:p>
    <w:p w:rsidR="003D65CD" w:rsidRPr="000B1EFA" w:rsidRDefault="003D65CD" w:rsidP="000B1EFA">
      <w:pPr>
        <w:tabs>
          <w:tab w:val="left" w:pos="8133"/>
        </w:tabs>
        <w:spacing w:after="200" w:line="276" w:lineRule="auto"/>
        <w:rPr>
          <w:rFonts w:eastAsia="Calibri"/>
          <w:szCs w:val="28"/>
          <w:lang w:val="ru-RU"/>
        </w:rPr>
      </w:pPr>
    </w:p>
    <w:p w:rsidR="00D13BF8" w:rsidRDefault="00D13BF8" w:rsidP="00F32158">
      <w:pPr>
        <w:tabs>
          <w:tab w:val="left" w:pos="8133"/>
        </w:tabs>
        <w:spacing w:after="200" w:line="276" w:lineRule="auto"/>
        <w:jc w:val="right"/>
        <w:rPr>
          <w:rFonts w:eastAsia="Calibri"/>
          <w:szCs w:val="28"/>
        </w:rPr>
      </w:pPr>
    </w:p>
    <w:p w:rsidR="00F32158" w:rsidRPr="00F32158" w:rsidRDefault="00D32C4B" w:rsidP="00D13BF8">
      <w:pPr>
        <w:pageBreakBefore/>
        <w:tabs>
          <w:tab w:val="left" w:pos="8133"/>
        </w:tabs>
        <w:spacing w:after="200" w:line="276" w:lineRule="auto"/>
        <w:jc w:val="right"/>
        <w:rPr>
          <w:rFonts w:eastAsia="Calibri"/>
          <w:szCs w:val="28"/>
        </w:rPr>
      </w:pPr>
      <w:r>
        <w:rPr>
          <w:rFonts w:eastAsia="Calibri"/>
          <w:szCs w:val="28"/>
        </w:rPr>
        <w:lastRenderedPageBreak/>
        <w:t>Додаток Б</w:t>
      </w:r>
      <w:r w:rsidR="00F32158" w:rsidRPr="00F32158">
        <w:rPr>
          <w:rFonts w:eastAsia="Calibri"/>
          <w:szCs w:val="28"/>
        </w:rPr>
        <w:t>-23</w:t>
      </w:r>
    </w:p>
    <w:p w:rsidR="00F32158" w:rsidRPr="00F32158" w:rsidRDefault="00F32158" w:rsidP="00F32158">
      <w:pPr>
        <w:tabs>
          <w:tab w:val="left" w:pos="8133"/>
        </w:tabs>
        <w:spacing w:after="200" w:line="276" w:lineRule="auto"/>
        <w:jc w:val="center"/>
        <w:rPr>
          <w:rFonts w:eastAsia="Calibri"/>
          <w:szCs w:val="28"/>
        </w:rPr>
      </w:pPr>
      <w:r w:rsidRPr="00F32158">
        <w:rPr>
          <w:rFonts w:eastAsia="Calibri"/>
          <w:b/>
          <w:szCs w:val="28"/>
        </w:rPr>
        <w:t>Динаміка показника DALYs та років втраченого житя  YLL  в Україні за період 2009-2019 рр. (на 100 тис. осіб) у випадку пізньої неонатальної смертності</w:t>
      </w:r>
    </w:p>
    <w:tbl>
      <w:tblPr>
        <w:tblStyle w:val="3010"/>
        <w:tblW w:w="0" w:type="auto"/>
        <w:jc w:val="center"/>
        <w:tblLook w:val="04A0" w:firstRow="1" w:lastRow="0" w:firstColumn="1" w:lastColumn="0" w:noHBand="0" w:noVBand="1"/>
      </w:tblPr>
      <w:tblGrid>
        <w:gridCol w:w="939"/>
        <w:gridCol w:w="4955"/>
        <w:gridCol w:w="4861"/>
      </w:tblGrid>
      <w:tr w:rsidR="000B1EFA" w:rsidRPr="000B1EFA" w:rsidTr="00BF1F99">
        <w:trPr>
          <w:jc w:val="center"/>
        </w:trPr>
        <w:tc>
          <w:tcPr>
            <w:tcW w:w="939" w:type="dxa"/>
          </w:tcPr>
          <w:p w:rsidR="00F32158" w:rsidRPr="000B1EFA" w:rsidRDefault="00F32158" w:rsidP="000B1EFA">
            <w:pPr>
              <w:spacing w:line="360" w:lineRule="auto"/>
              <w:jc w:val="center"/>
              <w:rPr>
                <w:rFonts w:eastAsia="Calibri"/>
                <w:sz w:val="24"/>
                <w:szCs w:val="24"/>
                <w:lang w:val="uk-UA"/>
              </w:rPr>
            </w:pPr>
            <w:r w:rsidRPr="000B1EFA">
              <w:rPr>
                <w:rFonts w:eastAsia="Calibri"/>
                <w:sz w:val="24"/>
                <w:szCs w:val="24"/>
                <w:lang w:val="uk-UA"/>
              </w:rPr>
              <w:t>Рік</w:t>
            </w:r>
          </w:p>
        </w:tc>
        <w:tc>
          <w:tcPr>
            <w:tcW w:w="4955" w:type="dxa"/>
          </w:tcPr>
          <w:p w:rsidR="00F32158" w:rsidRPr="000B1EFA" w:rsidRDefault="00F32158" w:rsidP="000B1EFA">
            <w:pPr>
              <w:spacing w:line="360" w:lineRule="auto"/>
              <w:jc w:val="center"/>
              <w:rPr>
                <w:rFonts w:eastAsia="Calibri"/>
                <w:sz w:val="24"/>
                <w:szCs w:val="24"/>
                <w:lang w:val="uk-UA"/>
              </w:rPr>
            </w:pPr>
            <w:r w:rsidRPr="000B1EFA">
              <w:rPr>
                <w:rFonts w:eastAsia="Calibri"/>
                <w:sz w:val="24"/>
                <w:szCs w:val="24"/>
                <w:lang w:val="uk-UA"/>
              </w:rPr>
              <w:t>DALYs (пізня неонатальна смертність)</w:t>
            </w:r>
          </w:p>
          <w:p w:rsidR="00F32158" w:rsidRPr="000B1EFA" w:rsidRDefault="00F32158" w:rsidP="000B1EFA">
            <w:pPr>
              <w:spacing w:line="360" w:lineRule="auto"/>
              <w:jc w:val="center"/>
              <w:rPr>
                <w:rFonts w:eastAsia="Calibri"/>
                <w:sz w:val="24"/>
                <w:szCs w:val="24"/>
                <w:lang w:val="uk-UA"/>
              </w:rPr>
            </w:pPr>
            <w:r w:rsidRPr="000B1EFA">
              <w:rPr>
                <w:rFonts w:eastAsia="Calibri"/>
                <w:sz w:val="24"/>
                <w:szCs w:val="24"/>
                <w:lang w:val="uk-UA"/>
              </w:rPr>
              <w:t>Обидві статі</w:t>
            </w:r>
          </w:p>
        </w:tc>
        <w:tc>
          <w:tcPr>
            <w:tcW w:w="4861" w:type="dxa"/>
          </w:tcPr>
          <w:p w:rsidR="00F32158" w:rsidRPr="000B1EFA" w:rsidRDefault="00F32158" w:rsidP="000B1EFA">
            <w:pPr>
              <w:spacing w:line="360" w:lineRule="auto"/>
              <w:jc w:val="center"/>
              <w:rPr>
                <w:sz w:val="24"/>
                <w:szCs w:val="24"/>
                <w:lang w:val="uk-UA"/>
              </w:rPr>
            </w:pPr>
            <w:r w:rsidRPr="000B1EFA">
              <w:rPr>
                <w:sz w:val="24"/>
                <w:szCs w:val="24"/>
                <w:lang w:val="uk-UA"/>
              </w:rPr>
              <w:t>YLL (пізня неонатальна смертність)</w:t>
            </w:r>
          </w:p>
          <w:p w:rsidR="00F32158" w:rsidRPr="000B1EFA" w:rsidRDefault="00F32158" w:rsidP="000B1EFA">
            <w:pPr>
              <w:spacing w:line="360" w:lineRule="auto"/>
              <w:jc w:val="center"/>
              <w:rPr>
                <w:sz w:val="24"/>
                <w:szCs w:val="24"/>
                <w:lang w:val="uk-UA"/>
              </w:rPr>
            </w:pPr>
            <w:r w:rsidRPr="000B1EFA">
              <w:rPr>
                <w:sz w:val="24"/>
                <w:szCs w:val="24"/>
                <w:lang w:val="uk-UA"/>
              </w:rPr>
              <w:t>Обидві статі</w:t>
            </w:r>
          </w:p>
        </w:tc>
      </w:tr>
      <w:tr w:rsidR="000B1EFA" w:rsidRPr="000B1EFA" w:rsidTr="00BF1F99">
        <w:trPr>
          <w:trHeight w:val="577"/>
          <w:jc w:val="center"/>
        </w:trPr>
        <w:tc>
          <w:tcPr>
            <w:tcW w:w="939" w:type="dxa"/>
          </w:tcPr>
          <w:p w:rsidR="00F32158" w:rsidRPr="000B1EFA" w:rsidRDefault="00F32158" w:rsidP="000B1EFA">
            <w:pPr>
              <w:spacing w:line="360" w:lineRule="auto"/>
              <w:jc w:val="center"/>
              <w:rPr>
                <w:rFonts w:eastAsia="Calibri"/>
                <w:sz w:val="24"/>
                <w:szCs w:val="24"/>
                <w:lang w:val="uk-UA"/>
              </w:rPr>
            </w:pPr>
            <w:r w:rsidRPr="000B1EFA">
              <w:rPr>
                <w:rFonts w:eastAsia="Calibri"/>
                <w:sz w:val="24"/>
                <w:szCs w:val="24"/>
                <w:lang w:val="uk-UA"/>
              </w:rPr>
              <w:t>2009</w:t>
            </w:r>
          </w:p>
          <w:p w:rsidR="00F32158" w:rsidRPr="000B1EFA" w:rsidRDefault="00F32158" w:rsidP="000B1EFA">
            <w:pPr>
              <w:spacing w:line="360" w:lineRule="auto"/>
              <w:jc w:val="center"/>
              <w:rPr>
                <w:rFonts w:eastAsia="Calibri"/>
                <w:sz w:val="24"/>
                <w:szCs w:val="24"/>
                <w:lang w:val="uk-UA"/>
              </w:rPr>
            </w:pPr>
            <w:r w:rsidRPr="000B1EFA">
              <w:rPr>
                <w:rFonts w:eastAsia="Calibri"/>
                <w:sz w:val="24"/>
                <w:szCs w:val="24"/>
                <w:lang w:val="uk-UA"/>
              </w:rPr>
              <w:t>ДІ</w:t>
            </w:r>
          </w:p>
        </w:tc>
        <w:tc>
          <w:tcPr>
            <w:tcW w:w="4955" w:type="dxa"/>
          </w:tcPr>
          <w:p w:rsidR="00F32158" w:rsidRPr="000B1EFA" w:rsidRDefault="00F32158" w:rsidP="000B1EFA">
            <w:pPr>
              <w:spacing w:line="360" w:lineRule="auto"/>
              <w:jc w:val="center"/>
              <w:rPr>
                <w:sz w:val="24"/>
                <w:szCs w:val="24"/>
              </w:rPr>
            </w:pPr>
            <w:r w:rsidRPr="000B1EFA">
              <w:rPr>
                <w:sz w:val="24"/>
                <w:szCs w:val="24"/>
              </w:rPr>
              <w:t>168,047.60</w:t>
            </w:r>
          </w:p>
          <w:p w:rsidR="00F32158" w:rsidRPr="000B1EFA" w:rsidRDefault="00F32158" w:rsidP="000B1EFA">
            <w:pPr>
              <w:spacing w:line="360" w:lineRule="auto"/>
              <w:jc w:val="center"/>
              <w:rPr>
                <w:sz w:val="24"/>
                <w:szCs w:val="24"/>
                <w:lang w:val="uk-UA"/>
              </w:rPr>
            </w:pPr>
            <w:r w:rsidRPr="000B1EFA">
              <w:rPr>
                <w:sz w:val="24"/>
                <w:szCs w:val="24"/>
                <w:lang w:val="uk-UA"/>
              </w:rPr>
              <w:t>(</w:t>
            </w:r>
            <w:r w:rsidRPr="000B1EFA">
              <w:rPr>
                <w:sz w:val="24"/>
                <w:szCs w:val="24"/>
              </w:rPr>
              <w:t>235,665.55</w:t>
            </w:r>
            <w:r w:rsidRPr="000B1EFA">
              <w:rPr>
                <w:sz w:val="24"/>
                <w:szCs w:val="24"/>
                <w:lang w:val="uk-UA"/>
              </w:rPr>
              <w:t>-</w:t>
            </w:r>
            <w:r w:rsidRPr="000B1EFA">
              <w:rPr>
                <w:sz w:val="24"/>
                <w:szCs w:val="24"/>
              </w:rPr>
              <w:t>115,466.99</w:t>
            </w:r>
            <w:r w:rsidRPr="000B1EFA">
              <w:rPr>
                <w:sz w:val="24"/>
                <w:szCs w:val="24"/>
                <w:lang w:val="uk-UA"/>
              </w:rPr>
              <w:t>)</w:t>
            </w:r>
          </w:p>
        </w:tc>
        <w:tc>
          <w:tcPr>
            <w:tcW w:w="4861" w:type="dxa"/>
          </w:tcPr>
          <w:p w:rsidR="00F32158" w:rsidRPr="000B1EFA" w:rsidRDefault="00F32158" w:rsidP="000B1EFA">
            <w:pPr>
              <w:spacing w:line="360" w:lineRule="auto"/>
              <w:jc w:val="center"/>
              <w:rPr>
                <w:sz w:val="24"/>
                <w:szCs w:val="24"/>
              </w:rPr>
            </w:pPr>
            <w:r w:rsidRPr="000B1EFA">
              <w:rPr>
                <w:sz w:val="24"/>
                <w:szCs w:val="24"/>
              </w:rPr>
              <w:t>165,122.26</w:t>
            </w:r>
          </w:p>
          <w:p w:rsidR="00F32158" w:rsidRPr="000B1EFA" w:rsidRDefault="00F32158" w:rsidP="000B1EFA">
            <w:pPr>
              <w:spacing w:line="360" w:lineRule="auto"/>
              <w:jc w:val="center"/>
              <w:rPr>
                <w:sz w:val="24"/>
                <w:szCs w:val="24"/>
              </w:rPr>
            </w:pPr>
            <w:r w:rsidRPr="000B1EFA">
              <w:rPr>
                <w:sz w:val="24"/>
                <w:szCs w:val="24"/>
              </w:rPr>
              <w:t>(232,592.24-113,069.95)</w:t>
            </w:r>
          </w:p>
        </w:tc>
      </w:tr>
      <w:tr w:rsidR="000B1EFA" w:rsidRPr="000B1EFA" w:rsidTr="00BF1F99">
        <w:trPr>
          <w:jc w:val="center"/>
        </w:trPr>
        <w:tc>
          <w:tcPr>
            <w:tcW w:w="939" w:type="dxa"/>
          </w:tcPr>
          <w:p w:rsidR="00F32158" w:rsidRPr="000B1EFA" w:rsidRDefault="00F32158" w:rsidP="000B1EFA">
            <w:pPr>
              <w:spacing w:line="360" w:lineRule="auto"/>
              <w:jc w:val="center"/>
              <w:rPr>
                <w:rFonts w:eastAsia="Calibri"/>
                <w:sz w:val="24"/>
                <w:szCs w:val="24"/>
                <w:lang w:val="uk-UA"/>
              </w:rPr>
            </w:pPr>
            <w:r w:rsidRPr="000B1EFA">
              <w:rPr>
                <w:rFonts w:eastAsia="Calibri"/>
                <w:sz w:val="24"/>
                <w:szCs w:val="24"/>
                <w:lang w:val="uk-UA"/>
              </w:rPr>
              <w:t>2010</w:t>
            </w:r>
          </w:p>
          <w:p w:rsidR="00F32158" w:rsidRPr="000B1EFA" w:rsidRDefault="00F32158" w:rsidP="000B1EFA">
            <w:pPr>
              <w:spacing w:line="360" w:lineRule="auto"/>
              <w:jc w:val="center"/>
              <w:rPr>
                <w:rFonts w:eastAsia="Calibri"/>
                <w:sz w:val="24"/>
                <w:szCs w:val="24"/>
                <w:lang w:val="uk-UA"/>
              </w:rPr>
            </w:pPr>
            <w:r w:rsidRPr="000B1EFA">
              <w:rPr>
                <w:rFonts w:eastAsia="Calibri"/>
                <w:sz w:val="24"/>
                <w:szCs w:val="24"/>
                <w:lang w:val="uk-UA"/>
              </w:rPr>
              <w:t>ДІ</w:t>
            </w:r>
          </w:p>
        </w:tc>
        <w:tc>
          <w:tcPr>
            <w:tcW w:w="4955" w:type="dxa"/>
          </w:tcPr>
          <w:p w:rsidR="00F32158" w:rsidRPr="000B1EFA" w:rsidRDefault="00F32158" w:rsidP="000B1EFA">
            <w:pPr>
              <w:shd w:val="clear" w:color="auto" w:fill="FFFFFF"/>
              <w:spacing w:line="360" w:lineRule="auto"/>
              <w:jc w:val="center"/>
              <w:rPr>
                <w:sz w:val="24"/>
                <w:szCs w:val="24"/>
              </w:rPr>
            </w:pPr>
            <w:r w:rsidRPr="000B1EFA">
              <w:rPr>
                <w:sz w:val="24"/>
                <w:szCs w:val="24"/>
              </w:rPr>
              <w:t>161,339.49</w:t>
            </w:r>
          </w:p>
          <w:p w:rsidR="00F32158" w:rsidRPr="000B1EFA" w:rsidRDefault="00F32158" w:rsidP="000B1EFA">
            <w:pPr>
              <w:shd w:val="clear" w:color="auto" w:fill="FFFFFF"/>
              <w:spacing w:line="360" w:lineRule="auto"/>
              <w:jc w:val="center"/>
              <w:rPr>
                <w:sz w:val="24"/>
                <w:szCs w:val="24"/>
                <w:lang w:val="uk-UA"/>
              </w:rPr>
            </w:pPr>
            <w:r w:rsidRPr="000B1EFA">
              <w:rPr>
                <w:sz w:val="24"/>
                <w:szCs w:val="24"/>
                <w:lang w:val="uk-UA"/>
              </w:rPr>
              <w:t>(</w:t>
            </w:r>
            <w:r w:rsidRPr="000B1EFA">
              <w:rPr>
                <w:sz w:val="24"/>
                <w:szCs w:val="24"/>
              </w:rPr>
              <w:t>227,434.63</w:t>
            </w:r>
            <w:r w:rsidRPr="000B1EFA">
              <w:rPr>
                <w:sz w:val="24"/>
                <w:szCs w:val="24"/>
                <w:lang w:val="uk-UA"/>
              </w:rPr>
              <w:t>-</w:t>
            </w:r>
            <w:r w:rsidRPr="000B1EFA">
              <w:rPr>
                <w:sz w:val="24"/>
                <w:szCs w:val="24"/>
              </w:rPr>
              <w:t>111,391.27</w:t>
            </w:r>
            <w:r w:rsidRPr="000B1EFA">
              <w:rPr>
                <w:sz w:val="24"/>
                <w:szCs w:val="24"/>
                <w:lang w:val="uk-UA"/>
              </w:rPr>
              <w:t>)</w:t>
            </w:r>
          </w:p>
        </w:tc>
        <w:tc>
          <w:tcPr>
            <w:tcW w:w="4861" w:type="dxa"/>
          </w:tcPr>
          <w:p w:rsidR="00F32158" w:rsidRPr="000B1EFA" w:rsidRDefault="00F32158" w:rsidP="000B1EFA">
            <w:pPr>
              <w:shd w:val="clear" w:color="auto" w:fill="FFFFFF"/>
              <w:spacing w:line="360" w:lineRule="auto"/>
              <w:jc w:val="center"/>
              <w:rPr>
                <w:sz w:val="24"/>
                <w:szCs w:val="24"/>
              </w:rPr>
            </w:pPr>
            <w:r w:rsidRPr="000B1EFA">
              <w:rPr>
                <w:sz w:val="24"/>
                <w:szCs w:val="24"/>
              </w:rPr>
              <w:t>158,466.92</w:t>
            </w:r>
          </w:p>
          <w:p w:rsidR="00F32158" w:rsidRPr="000B1EFA" w:rsidRDefault="00F32158" w:rsidP="000B1EFA">
            <w:pPr>
              <w:shd w:val="clear" w:color="auto" w:fill="FFFFFF"/>
              <w:spacing w:line="360" w:lineRule="auto"/>
              <w:jc w:val="center"/>
              <w:rPr>
                <w:sz w:val="24"/>
                <w:szCs w:val="24"/>
              </w:rPr>
            </w:pPr>
            <w:r w:rsidRPr="000B1EFA">
              <w:rPr>
                <w:sz w:val="24"/>
                <w:szCs w:val="24"/>
              </w:rPr>
              <w:t>(224,200.73-108,507.57)</w:t>
            </w:r>
          </w:p>
        </w:tc>
      </w:tr>
      <w:tr w:rsidR="000B1EFA" w:rsidRPr="000B1EFA" w:rsidTr="00BF1F99">
        <w:trPr>
          <w:jc w:val="center"/>
        </w:trPr>
        <w:tc>
          <w:tcPr>
            <w:tcW w:w="939" w:type="dxa"/>
          </w:tcPr>
          <w:p w:rsidR="00F32158" w:rsidRPr="000B1EFA" w:rsidRDefault="00F32158" w:rsidP="000B1EFA">
            <w:pPr>
              <w:spacing w:line="360" w:lineRule="auto"/>
              <w:jc w:val="center"/>
              <w:rPr>
                <w:rFonts w:eastAsia="Calibri"/>
                <w:sz w:val="24"/>
                <w:szCs w:val="24"/>
                <w:lang w:val="uk-UA"/>
              </w:rPr>
            </w:pPr>
            <w:r w:rsidRPr="000B1EFA">
              <w:rPr>
                <w:rFonts w:eastAsia="Calibri"/>
                <w:sz w:val="24"/>
                <w:szCs w:val="24"/>
                <w:lang w:val="uk-UA"/>
              </w:rPr>
              <w:t>2011</w:t>
            </w:r>
          </w:p>
          <w:p w:rsidR="00F32158" w:rsidRPr="000B1EFA" w:rsidRDefault="00F32158" w:rsidP="000B1EFA">
            <w:pPr>
              <w:spacing w:line="360" w:lineRule="auto"/>
              <w:jc w:val="center"/>
              <w:rPr>
                <w:rFonts w:eastAsia="Calibri"/>
                <w:sz w:val="24"/>
                <w:szCs w:val="24"/>
                <w:lang w:val="uk-UA"/>
              </w:rPr>
            </w:pPr>
            <w:r w:rsidRPr="000B1EFA">
              <w:rPr>
                <w:rFonts w:eastAsia="Calibri"/>
                <w:sz w:val="24"/>
                <w:szCs w:val="24"/>
                <w:lang w:val="uk-UA"/>
              </w:rPr>
              <w:t>ДІ</w:t>
            </w:r>
          </w:p>
        </w:tc>
        <w:tc>
          <w:tcPr>
            <w:tcW w:w="4955" w:type="dxa"/>
          </w:tcPr>
          <w:p w:rsidR="00F32158" w:rsidRPr="000B1EFA" w:rsidRDefault="00F32158" w:rsidP="000B1EFA">
            <w:pPr>
              <w:spacing w:line="360" w:lineRule="auto"/>
              <w:jc w:val="center"/>
              <w:rPr>
                <w:sz w:val="24"/>
                <w:szCs w:val="24"/>
              </w:rPr>
            </w:pPr>
            <w:r w:rsidRPr="000B1EFA">
              <w:rPr>
                <w:sz w:val="24"/>
                <w:szCs w:val="24"/>
              </w:rPr>
              <w:t>156,000.97</w:t>
            </w:r>
          </w:p>
          <w:p w:rsidR="00F32158" w:rsidRPr="000B1EFA" w:rsidRDefault="00F32158" w:rsidP="000B1EFA">
            <w:pPr>
              <w:spacing w:line="360" w:lineRule="auto"/>
              <w:jc w:val="center"/>
              <w:rPr>
                <w:sz w:val="24"/>
                <w:szCs w:val="24"/>
                <w:lang w:val="uk-UA"/>
              </w:rPr>
            </w:pPr>
            <w:r w:rsidRPr="000B1EFA">
              <w:rPr>
                <w:sz w:val="24"/>
                <w:szCs w:val="24"/>
                <w:lang w:val="uk-UA"/>
              </w:rPr>
              <w:t>(</w:t>
            </w:r>
            <w:r w:rsidRPr="000B1EFA">
              <w:rPr>
                <w:sz w:val="24"/>
                <w:szCs w:val="24"/>
              </w:rPr>
              <w:t>219,021.99</w:t>
            </w:r>
            <w:r w:rsidRPr="000B1EFA">
              <w:rPr>
                <w:sz w:val="24"/>
                <w:szCs w:val="24"/>
                <w:lang w:val="uk-UA"/>
              </w:rPr>
              <w:t>-</w:t>
            </w:r>
            <w:r w:rsidRPr="000B1EFA">
              <w:rPr>
                <w:sz w:val="24"/>
                <w:szCs w:val="24"/>
              </w:rPr>
              <w:t>110,568.85</w:t>
            </w:r>
            <w:r w:rsidRPr="000B1EFA">
              <w:rPr>
                <w:sz w:val="24"/>
                <w:szCs w:val="24"/>
                <w:lang w:val="uk-UA"/>
              </w:rPr>
              <w:t>)</w:t>
            </w:r>
          </w:p>
        </w:tc>
        <w:tc>
          <w:tcPr>
            <w:tcW w:w="4861" w:type="dxa"/>
          </w:tcPr>
          <w:p w:rsidR="00F32158" w:rsidRPr="000B1EFA" w:rsidRDefault="00F32158" w:rsidP="000B1EFA">
            <w:pPr>
              <w:spacing w:line="360" w:lineRule="auto"/>
              <w:jc w:val="center"/>
              <w:rPr>
                <w:sz w:val="24"/>
                <w:szCs w:val="24"/>
              </w:rPr>
            </w:pPr>
            <w:r w:rsidRPr="000B1EFA">
              <w:rPr>
                <w:sz w:val="24"/>
                <w:szCs w:val="24"/>
              </w:rPr>
              <w:t>153,145.27</w:t>
            </w:r>
          </w:p>
          <w:p w:rsidR="00F32158" w:rsidRPr="000B1EFA" w:rsidRDefault="00F32158" w:rsidP="000B1EFA">
            <w:pPr>
              <w:spacing w:line="360" w:lineRule="auto"/>
              <w:jc w:val="center"/>
              <w:rPr>
                <w:sz w:val="24"/>
                <w:szCs w:val="24"/>
              </w:rPr>
            </w:pPr>
            <w:r w:rsidRPr="000B1EFA">
              <w:rPr>
                <w:sz w:val="24"/>
                <w:szCs w:val="24"/>
              </w:rPr>
              <w:t>(216,486.59-108,079.23)</w:t>
            </w:r>
          </w:p>
        </w:tc>
      </w:tr>
      <w:tr w:rsidR="000B1EFA" w:rsidRPr="000B1EFA" w:rsidTr="00BF1F99">
        <w:trPr>
          <w:jc w:val="center"/>
        </w:trPr>
        <w:tc>
          <w:tcPr>
            <w:tcW w:w="939" w:type="dxa"/>
          </w:tcPr>
          <w:p w:rsidR="00F32158" w:rsidRPr="000B1EFA" w:rsidRDefault="00F32158" w:rsidP="000B1EFA">
            <w:pPr>
              <w:spacing w:line="360" w:lineRule="auto"/>
              <w:jc w:val="center"/>
              <w:rPr>
                <w:rFonts w:eastAsia="Calibri"/>
                <w:sz w:val="24"/>
                <w:szCs w:val="24"/>
                <w:lang w:val="uk-UA"/>
              </w:rPr>
            </w:pPr>
            <w:r w:rsidRPr="000B1EFA">
              <w:rPr>
                <w:rFonts w:eastAsia="Calibri"/>
                <w:sz w:val="24"/>
                <w:szCs w:val="24"/>
                <w:lang w:val="uk-UA"/>
              </w:rPr>
              <w:t>2012</w:t>
            </w:r>
          </w:p>
          <w:p w:rsidR="00F32158" w:rsidRPr="000B1EFA" w:rsidRDefault="00F32158" w:rsidP="000B1EFA">
            <w:pPr>
              <w:spacing w:line="360" w:lineRule="auto"/>
              <w:jc w:val="center"/>
              <w:rPr>
                <w:rFonts w:eastAsia="Calibri"/>
                <w:sz w:val="24"/>
                <w:szCs w:val="24"/>
                <w:lang w:val="uk-UA"/>
              </w:rPr>
            </w:pPr>
            <w:r w:rsidRPr="000B1EFA">
              <w:rPr>
                <w:rFonts w:eastAsia="Calibri"/>
                <w:sz w:val="24"/>
                <w:szCs w:val="24"/>
                <w:lang w:val="uk-UA"/>
              </w:rPr>
              <w:t>ДІ</w:t>
            </w:r>
          </w:p>
        </w:tc>
        <w:tc>
          <w:tcPr>
            <w:tcW w:w="4955" w:type="dxa"/>
          </w:tcPr>
          <w:p w:rsidR="00F32158" w:rsidRPr="000B1EFA" w:rsidRDefault="00F32158" w:rsidP="000B1EFA">
            <w:pPr>
              <w:shd w:val="clear" w:color="auto" w:fill="FFFFFF"/>
              <w:spacing w:line="360" w:lineRule="auto"/>
              <w:jc w:val="center"/>
              <w:rPr>
                <w:sz w:val="24"/>
                <w:szCs w:val="24"/>
              </w:rPr>
            </w:pPr>
            <w:r w:rsidRPr="000B1EFA">
              <w:rPr>
                <w:sz w:val="24"/>
                <w:szCs w:val="24"/>
              </w:rPr>
              <w:t>150,808.48</w:t>
            </w:r>
          </w:p>
          <w:p w:rsidR="00F32158" w:rsidRPr="000B1EFA" w:rsidRDefault="00F32158" w:rsidP="000B1EFA">
            <w:pPr>
              <w:shd w:val="clear" w:color="auto" w:fill="FFFFFF"/>
              <w:spacing w:line="360" w:lineRule="auto"/>
              <w:jc w:val="center"/>
              <w:rPr>
                <w:sz w:val="24"/>
                <w:szCs w:val="24"/>
                <w:lang w:val="uk-UA"/>
              </w:rPr>
            </w:pPr>
            <w:r w:rsidRPr="000B1EFA">
              <w:rPr>
                <w:sz w:val="24"/>
                <w:szCs w:val="24"/>
                <w:lang w:val="uk-UA"/>
              </w:rPr>
              <w:t>(</w:t>
            </w:r>
            <w:r w:rsidRPr="000B1EFA">
              <w:rPr>
                <w:sz w:val="24"/>
                <w:szCs w:val="24"/>
              </w:rPr>
              <w:t>207,827.15</w:t>
            </w:r>
            <w:r w:rsidRPr="000B1EFA">
              <w:rPr>
                <w:sz w:val="24"/>
                <w:szCs w:val="24"/>
                <w:lang w:val="uk-UA"/>
              </w:rPr>
              <w:t>-</w:t>
            </w:r>
            <w:r w:rsidRPr="000B1EFA">
              <w:rPr>
                <w:sz w:val="24"/>
                <w:szCs w:val="24"/>
              </w:rPr>
              <w:t>107,731.16</w:t>
            </w:r>
            <w:r w:rsidRPr="000B1EFA">
              <w:rPr>
                <w:sz w:val="24"/>
                <w:szCs w:val="24"/>
                <w:lang w:val="uk-UA"/>
              </w:rPr>
              <w:t>)</w:t>
            </w:r>
          </w:p>
        </w:tc>
        <w:tc>
          <w:tcPr>
            <w:tcW w:w="4861" w:type="dxa"/>
          </w:tcPr>
          <w:p w:rsidR="00F32158" w:rsidRPr="000B1EFA" w:rsidRDefault="00F32158" w:rsidP="000B1EFA">
            <w:pPr>
              <w:shd w:val="clear" w:color="auto" w:fill="FFFFFF"/>
              <w:spacing w:line="360" w:lineRule="auto"/>
              <w:jc w:val="center"/>
              <w:rPr>
                <w:sz w:val="24"/>
                <w:szCs w:val="24"/>
              </w:rPr>
            </w:pPr>
            <w:r w:rsidRPr="000B1EFA">
              <w:rPr>
                <w:sz w:val="24"/>
                <w:szCs w:val="24"/>
              </w:rPr>
              <w:t>147,966.47</w:t>
            </w:r>
          </w:p>
          <w:p w:rsidR="00F32158" w:rsidRPr="000B1EFA" w:rsidRDefault="00F32158" w:rsidP="000B1EFA">
            <w:pPr>
              <w:shd w:val="clear" w:color="auto" w:fill="FFFFFF"/>
              <w:spacing w:line="360" w:lineRule="auto"/>
              <w:jc w:val="center"/>
              <w:rPr>
                <w:sz w:val="24"/>
                <w:szCs w:val="24"/>
              </w:rPr>
            </w:pPr>
            <w:r w:rsidRPr="000B1EFA">
              <w:rPr>
                <w:sz w:val="24"/>
                <w:szCs w:val="24"/>
              </w:rPr>
              <w:t>(204,544.96-104,979.63)</w:t>
            </w:r>
          </w:p>
        </w:tc>
      </w:tr>
      <w:tr w:rsidR="000B1EFA" w:rsidRPr="000B1EFA" w:rsidTr="00BF1F99">
        <w:trPr>
          <w:jc w:val="center"/>
        </w:trPr>
        <w:tc>
          <w:tcPr>
            <w:tcW w:w="939" w:type="dxa"/>
          </w:tcPr>
          <w:p w:rsidR="00F32158" w:rsidRPr="000B1EFA" w:rsidRDefault="00F32158" w:rsidP="000B1EFA">
            <w:pPr>
              <w:spacing w:line="360" w:lineRule="auto"/>
              <w:jc w:val="center"/>
              <w:rPr>
                <w:rFonts w:eastAsia="Calibri"/>
                <w:sz w:val="24"/>
                <w:szCs w:val="24"/>
                <w:lang w:val="uk-UA"/>
              </w:rPr>
            </w:pPr>
            <w:r w:rsidRPr="000B1EFA">
              <w:rPr>
                <w:rFonts w:eastAsia="Calibri"/>
                <w:sz w:val="24"/>
                <w:szCs w:val="24"/>
                <w:lang w:val="uk-UA"/>
              </w:rPr>
              <w:t>2013</w:t>
            </w:r>
          </w:p>
          <w:p w:rsidR="00F32158" w:rsidRPr="000B1EFA" w:rsidRDefault="00F32158" w:rsidP="000B1EFA">
            <w:pPr>
              <w:spacing w:line="360" w:lineRule="auto"/>
              <w:jc w:val="center"/>
              <w:rPr>
                <w:rFonts w:eastAsia="Calibri"/>
                <w:sz w:val="24"/>
                <w:szCs w:val="24"/>
                <w:lang w:val="uk-UA"/>
              </w:rPr>
            </w:pPr>
            <w:r w:rsidRPr="000B1EFA">
              <w:rPr>
                <w:rFonts w:eastAsia="Calibri"/>
                <w:sz w:val="24"/>
                <w:szCs w:val="24"/>
                <w:lang w:val="uk-UA"/>
              </w:rPr>
              <w:t>ДІ</w:t>
            </w:r>
          </w:p>
        </w:tc>
        <w:tc>
          <w:tcPr>
            <w:tcW w:w="4955" w:type="dxa"/>
          </w:tcPr>
          <w:p w:rsidR="00F32158" w:rsidRPr="000B1EFA" w:rsidRDefault="00F32158" w:rsidP="000B1EFA">
            <w:pPr>
              <w:spacing w:line="360" w:lineRule="auto"/>
              <w:jc w:val="center"/>
              <w:rPr>
                <w:sz w:val="24"/>
                <w:szCs w:val="24"/>
              </w:rPr>
            </w:pPr>
            <w:r w:rsidRPr="000B1EFA">
              <w:rPr>
                <w:sz w:val="24"/>
                <w:szCs w:val="24"/>
              </w:rPr>
              <w:t>140,150.25</w:t>
            </w:r>
          </w:p>
          <w:p w:rsidR="00F32158" w:rsidRPr="000B1EFA" w:rsidRDefault="00F32158" w:rsidP="000B1EFA">
            <w:pPr>
              <w:spacing w:line="360" w:lineRule="auto"/>
              <w:jc w:val="center"/>
              <w:rPr>
                <w:sz w:val="24"/>
                <w:szCs w:val="24"/>
                <w:lang w:val="uk-UA"/>
              </w:rPr>
            </w:pPr>
            <w:r w:rsidRPr="000B1EFA">
              <w:rPr>
                <w:sz w:val="24"/>
                <w:szCs w:val="24"/>
                <w:lang w:val="uk-UA"/>
              </w:rPr>
              <w:t>(</w:t>
            </w:r>
            <w:r w:rsidRPr="000B1EFA">
              <w:rPr>
                <w:sz w:val="24"/>
                <w:szCs w:val="24"/>
              </w:rPr>
              <w:t>193,557.28</w:t>
            </w:r>
            <w:r w:rsidRPr="000B1EFA">
              <w:rPr>
                <w:sz w:val="24"/>
                <w:szCs w:val="24"/>
                <w:lang w:val="uk-UA"/>
              </w:rPr>
              <w:t>-</w:t>
            </w:r>
            <w:r w:rsidRPr="000B1EFA">
              <w:rPr>
                <w:sz w:val="24"/>
                <w:szCs w:val="24"/>
              </w:rPr>
              <w:t>101,430.52</w:t>
            </w:r>
            <w:r w:rsidRPr="000B1EFA">
              <w:rPr>
                <w:sz w:val="24"/>
                <w:szCs w:val="24"/>
                <w:lang w:val="uk-UA"/>
              </w:rPr>
              <w:t>)</w:t>
            </w:r>
          </w:p>
        </w:tc>
        <w:tc>
          <w:tcPr>
            <w:tcW w:w="4861" w:type="dxa"/>
          </w:tcPr>
          <w:p w:rsidR="00F32158" w:rsidRPr="000B1EFA" w:rsidRDefault="00F32158" w:rsidP="000B1EFA">
            <w:pPr>
              <w:spacing w:line="360" w:lineRule="auto"/>
              <w:jc w:val="center"/>
              <w:rPr>
                <w:sz w:val="24"/>
                <w:szCs w:val="24"/>
              </w:rPr>
            </w:pPr>
            <w:r w:rsidRPr="000B1EFA">
              <w:rPr>
                <w:sz w:val="24"/>
                <w:szCs w:val="24"/>
              </w:rPr>
              <w:t>137,319.93</w:t>
            </w:r>
          </w:p>
          <w:p w:rsidR="00F32158" w:rsidRPr="000B1EFA" w:rsidRDefault="00F32158" w:rsidP="000B1EFA">
            <w:pPr>
              <w:spacing w:line="360" w:lineRule="auto"/>
              <w:jc w:val="center"/>
              <w:rPr>
                <w:sz w:val="24"/>
                <w:szCs w:val="24"/>
              </w:rPr>
            </w:pPr>
            <w:r w:rsidRPr="000B1EFA">
              <w:rPr>
                <w:sz w:val="24"/>
                <w:szCs w:val="24"/>
              </w:rPr>
              <w:t>(190,890.69-98,844.44)</w:t>
            </w:r>
          </w:p>
        </w:tc>
      </w:tr>
      <w:tr w:rsidR="000B1EFA" w:rsidRPr="000B1EFA" w:rsidTr="00BF1F99">
        <w:trPr>
          <w:jc w:val="center"/>
        </w:trPr>
        <w:tc>
          <w:tcPr>
            <w:tcW w:w="939" w:type="dxa"/>
          </w:tcPr>
          <w:p w:rsidR="00F32158" w:rsidRPr="000B1EFA" w:rsidRDefault="00F32158" w:rsidP="000B1EFA">
            <w:pPr>
              <w:spacing w:line="360" w:lineRule="auto"/>
              <w:jc w:val="center"/>
              <w:rPr>
                <w:rFonts w:eastAsia="Calibri"/>
                <w:sz w:val="24"/>
                <w:szCs w:val="24"/>
                <w:lang w:val="uk-UA"/>
              </w:rPr>
            </w:pPr>
            <w:r w:rsidRPr="000B1EFA">
              <w:rPr>
                <w:rFonts w:eastAsia="Calibri"/>
                <w:sz w:val="24"/>
                <w:szCs w:val="24"/>
                <w:lang w:val="uk-UA"/>
              </w:rPr>
              <w:t>2014</w:t>
            </w:r>
          </w:p>
          <w:p w:rsidR="00F32158" w:rsidRPr="000B1EFA" w:rsidRDefault="00F32158" w:rsidP="000B1EFA">
            <w:pPr>
              <w:spacing w:line="360" w:lineRule="auto"/>
              <w:jc w:val="center"/>
              <w:rPr>
                <w:rFonts w:eastAsia="Calibri"/>
                <w:sz w:val="24"/>
                <w:szCs w:val="24"/>
                <w:lang w:val="uk-UA"/>
              </w:rPr>
            </w:pPr>
            <w:r w:rsidRPr="000B1EFA">
              <w:rPr>
                <w:rFonts w:eastAsia="Calibri"/>
                <w:sz w:val="24"/>
                <w:szCs w:val="24"/>
                <w:lang w:val="uk-UA"/>
              </w:rPr>
              <w:t>ДІ</w:t>
            </w:r>
          </w:p>
        </w:tc>
        <w:tc>
          <w:tcPr>
            <w:tcW w:w="4955" w:type="dxa"/>
          </w:tcPr>
          <w:p w:rsidR="00F32158" w:rsidRPr="000B1EFA" w:rsidRDefault="00F32158" w:rsidP="000B1EFA">
            <w:pPr>
              <w:shd w:val="clear" w:color="auto" w:fill="FFFFFF"/>
              <w:spacing w:line="360" w:lineRule="auto"/>
              <w:jc w:val="center"/>
              <w:rPr>
                <w:sz w:val="24"/>
                <w:szCs w:val="24"/>
              </w:rPr>
            </w:pPr>
            <w:r w:rsidRPr="000B1EFA">
              <w:rPr>
                <w:sz w:val="24"/>
                <w:szCs w:val="24"/>
              </w:rPr>
              <w:t>140,091.45</w:t>
            </w:r>
          </w:p>
          <w:p w:rsidR="00F32158" w:rsidRPr="000B1EFA" w:rsidRDefault="00F32158" w:rsidP="000B1EFA">
            <w:pPr>
              <w:shd w:val="clear" w:color="auto" w:fill="FFFFFF"/>
              <w:spacing w:line="360" w:lineRule="auto"/>
              <w:jc w:val="center"/>
              <w:rPr>
                <w:sz w:val="24"/>
                <w:szCs w:val="24"/>
                <w:lang w:val="uk-UA"/>
              </w:rPr>
            </w:pPr>
            <w:r w:rsidRPr="000B1EFA">
              <w:rPr>
                <w:sz w:val="24"/>
                <w:szCs w:val="24"/>
                <w:lang w:val="uk-UA"/>
              </w:rPr>
              <w:t>(</w:t>
            </w:r>
            <w:r w:rsidRPr="000B1EFA">
              <w:rPr>
                <w:sz w:val="24"/>
                <w:szCs w:val="24"/>
              </w:rPr>
              <w:t>191,460.85</w:t>
            </w:r>
            <w:r w:rsidRPr="000B1EFA">
              <w:rPr>
                <w:sz w:val="24"/>
                <w:szCs w:val="24"/>
                <w:lang w:val="uk-UA"/>
              </w:rPr>
              <w:t>-</w:t>
            </w:r>
            <w:r w:rsidRPr="000B1EFA">
              <w:rPr>
                <w:sz w:val="24"/>
                <w:szCs w:val="24"/>
              </w:rPr>
              <w:t>103,058.97</w:t>
            </w:r>
            <w:r w:rsidRPr="000B1EFA">
              <w:rPr>
                <w:sz w:val="24"/>
                <w:szCs w:val="24"/>
                <w:lang w:val="uk-UA"/>
              </w:rPr>
              <w:t>)</w:t>
            </w:r>
          </w:p>
        </w:tc>
        <w:tc>
          <w:tcPr>
            <w:tcW w:w="4861" w:type="dxa"/>
          </w:tcPr>
          <w:p w:rsidR="00F32158" w:rsidRPr="000B1EFA" w:rsidRDefault="00F32158" w:rsidP="000B1EFA">
            <w:pPr>
              <w:shd w:val="clear" w:color="auto" w:fill="FFFFFF"/>
              <w:spacing w:line="360" w:lineRule="auto"/>
              <w:jc w:val="center"/>
              <w:rPr>
                <w:sz w:val="24"/>
                <w:szCs w:val="24"/>
              </w:rPr>
            </w:pPr>
            <w:r w:rsidRPr="000B1EFA">
              <w:rPr>
                <w:sz w:val="24"/>
                <w:szCs w:val="24"/>
              </w:rPr>
              <w:t>137,255.14</w:t>
            </w:r>
          </w:p>
          <w:p w:rsidR="00F32158" w:rsidRPr="000B1EFA" w:rsidRDefault="00F32158" w:rsidP="000B1EFA">
            <w:pPr>
              <w:shd w:val="clear" w:color="auto" w:fill="FFFFFF"/>
              <w:spacing w:line="360" w:lineRule="auto"/>
              <w:jc w:val="center"/>
              <w:rPr>
                <w:sz w:val="24"/>
                <w:szCs w:val="24"/>
              </w:rPr>
            </w:pPr>
            <w:r w:rsidRPr="000B1EFA">
              <w:rPr>
                <w:sz w:val="24"/>
                <w:szCs w:val="24"/>
              </w:rPr>
              <w:t>(188,358.70-100,382.96)</w:t>
            </w:r>
          </w:p>
        </w:tc>
      </w:tr>
      <w:tr w:rsidR="000B1EFA" w:rsidRPr="000B1EFA" w:rsidTr="00BF1F99">
        <w:trPr>
          <w:jc w:val="center"/>
        </w:trPr>
        <w:tc>
          <w:tcPr>
            <w:tcW w:w="939" w:type="dxa"/>
          </w:tcPr>
          <w:p w:rsidR="00F32158" w:rsidRPr="000B1EFA" w:rsidRDefault="00F32158" w:rsidP="000B1EFA">
            <w:pPr>
              <w:spacing w:line="360" w:lineRule="auto"/>
              <w:jc w:val="center"/>
              <w:rPr>
                <w:rFonts w:eastAsia="Calibri"/>
                <w:sz w:val="24"/>
                <w:szCs w:val="24"/>
                <w:lang w:val="uk-UA"/>
              </w:rPr>
            </w:pPr>
            <w:r w:rsidRPr="000B1EFA">
              <w:rPr>
                <w:rFonts w:eastAsia="Calibri"/>
                <w:sz w:val="24"/>
                <w:szCs w:val="24"/>
                <w:lang w:val="uk-UA"/>
              </w:rPr>
              <w:t>2015</w:t>
            </w:r>
          </w:p>
          <w:p w:rsidR="00F32158" w:rsidRPr="000B1EFA" w:rsidRDefault="00F32158" w:rsidP="000B1EFA">
            <w:pPr>
              <w:spacing w:line="360" w:lineRule="auto"/>
              <w:jc w:val="center"/>
              <w:rPr>
                <w:rFonts w:eastAsia="Calibri"/>
                <w:sz w:val="24"/>
                <w:szCs w:val="24"/>
                <w:lang w:val="uk-UA"/>
              </w:rPr>
            </w:pPr>
            <w:r w:rsidRPr="000B1EFA">
              <w:rPr>
                <w:rFonts w:eastAsia="Calibri"/>
                <w:sz w:val="24"/>
                <w:szCs w:val="24"/>
                <w:lang w:val="uk-UA"/>
              </w:rPr>
              <w:t>ДІ</w:t>
            </w:r>
          </w:p>
        </w:tc>
        <w:tc>
          <w:tcPr>
            <w:tcW w:w="4955" w:type="dxa"/>
          </w:tcPr>
          <w:p w:rsidR="00F32158" w:rsidRPr="000B1EFA" w:rsidRDefault="00F32158" w:rsidP="000B1EFA">
            <w:pPr>
              <w:spacing w:line="360" w:lineRule="auto"/>
              <w:jc w:val="center"/>
              <w:rPr>
                <w:sz w:val="24"/>
                <w:szCs w:val="24"/>
              </w:rPr>
            </w:pPr>
            <w:r w:rsidRPr="000B1EFA">
              <w:rPr>
                <w:sz w:val="24"/>
                <w:szCs w:val="24"/>
              </w:rPr>
              <w:t>149,410.28</w:t>
            </w:r>
          </w:p>
          <w:p w:rsidR="00F32158" w:rsidRPr="000B1EFA" w:rsidRDefault="00F32158" w:rsidP="000B1EFA">
            <w:pPr>
              <w:spacing w:line="360" w:lineRule="auto"/>
              <w:jc w:val="center"/>
              <w:rPr>
                <w:sz w:val="24"/>
                <w:szCs w:val="24"/>
                <w:lang w:val="uk-UA"/>
              </w:rPr>
            </w:pPr>
            <w:r w:rsidRPr="000B1EFA">
              <w:rPr>
                <w:sz w:val="24"/>
                <w:szCs w:val="24"/>
                <w:lang w:val="uk-UA"/>
              </w:rPr>
              <w:t>(</w:t>
            </w:r>
            <w:r w:rsidRPr="000B1EFA">
              <w:rPr>
                <w:sz w:val="24"/>
                <w:szCs w:val="24"/>
              </w:rPr>
              <w:t>202,096.28</w:t>
            </w:r>
            <w:r w:rsidRPr="000B1EFA">
              <w:rPr>
                <w:sz w:val="24"/>
                <w:szCs w:val="24"/>
                <w:lang w:val="uk-UA"/>
              </w:rPr>
              <w:t>-</w:t>
            </w:r>
            <w:r w:rsidRPr="000B1EFA">
              <w:rPr>
                <w:sz w:val="24"/>
                <w:szCs w:val="24"/>
              </w:rPr>
              <w:t>109,160.06</w:t>
            </w:r>
            <w:r w:rsidRPr="000B1EFA">
              <w:rPr>
                <w:sz w:val="24"/>
                <w:szCs w:val="24"/>
                <w:lang w:val="uk-UA"/>
              </w:rPr>
              <w:t>)</w:t>
            </w:r>
          </w:p>
        </w:tc>
        <w:tc>
          <w:tcPr>
            <w:tcW w:w="4861" w:type="dxa"/>
          </w:tcPr>
          <w:p w:rsidR="00F32158" w:rsidRPr="000B1EFA" w:rsidRDefault="00F32158" w:rsidP="000B1EFA">
            <w:pPr>
              <w:spacing w:line="360" w:lineRule="auto"/>
              <w:jc w:val="center"/>
              <w:rPr>
                <w:sz w:val="24"/>
                <w:szCs w:val="24"/>
              </w:rPr>
            </w:pPr>
            <w:r w:rsidRPr="000B1EFA">
              <w:rPr>
                <w:sz w:val="24"/>
                <w:szCs w:val="24"/>
              </w:rPr>
              <w:t>146,588.66</w:t>
            </w:r>
          </w:p>
          <w:p w:rsidR="00F32158" w:rsidRPr="000B1EFA" w:rsidRDefault="00F32158" w:rsidP="000B1EFA">
            <w:pPr>
              <w:spacing w:line="360" w:lineRule="auto"/>
              <w:jc w:val="center"/>
              <w:rPr>
                <w:sz w:val="24"/>
                <w:szCs w:val="24"/>
              </w:rPr>
            </w:pPr>
            <w:r w:rsidRPr="000B1EFA">
              <w:rPr>
                <w:sz w:val="24"/>
                <w:szCs w:val="24"/>
              </w:rPr>
              <w:t>(199,330.22-106,510.46)</w:t>
            </w:r>
          </w:p>
        </w:tc>
      </w:tr>
      <w:tr w:rsidR="000B1EFA" w:rsidRPr="000B1EFA" w:rsidTr="00BF1F99">
        <w:trPr>
          <w:jc w:val="center"/>
        </w:trPr>
        <w:tc>
          <w:tcPr>
            <w:tcW w:w="939" w:type="dxa"/>
          </w:tcPr>
          <w:p w:rsidR="00F32158" w:rsidRPr="000B1EFA" w:rsidRDefault="00F32158" w:rsidP="000B1EFA">
            <w:pPr>
              <w:spacing w:line="360" w:lineRule="auto"/>
              <w:jc w:val="center"/>
              <w:rPr>
                <w:rFonts w:eastAsia="Calibri"/>
                <w:sz w:val="24"/>
                <w:szCs w:val="24"/>
                <w:lang w:val="uk-UA"/>
              </w:rPr>
            </w:pPr>
            <w:r w:rsidRPr="000B1EFA">
              <w:rPr>
                <w:rFonts w:eastAsia="Calibri"/>
                <w:sz w:val="24"/>
                <w:szCs w:val="24"/>
                <w:lang w:val="uk-UA"/>
              </w:rPr>
              <w:t>2016</w:t>
            </w:r>
          </w:p>
          <w:p w:rsidR="00F32158" w:rsidRPr="000B1EFA" w:rsidRDefault="00F32158" w:rsidP="000B1EFA">
            <w:pPr>
              <w:spacing w:line="360" w:lineRule="auto"/>
              <w:jc w:val="center"/>
              <w:rPr>
                <w:rFonts w:eastAsia="Calibri"/>
                <w:sz w:val="24"/>
                <w:szCs w:val="24"/>
                <w:lang w:val="uk-UA"/>
              </w:rPr>
            </w:pPr>
            <w:r w:rsidRPr="000B1EFA">
              <w:rPr>
                <w:rFonts w:eastAsia="Calibri"/>
                <w:sz w:val="24"/>
                <w:szCs w:val="24"/>
                <w:lang w:val="uk-UA"/>
              </w:rPr>
              <w:t>ДІ</w:t>
            </w:r>
          </w:p>
        </w:tc>
        <w:tc>
          <w:tcPr>
            <w:tcW w:w="4955" w:type="dxa"/>
          </w:tcPr>
          <w:p w:rsidR="00F32158" w:rsidRPr="000B1EFA" w:rsidRDefault="00F32158" w:rsidP="000B1EFA">
            <w:pPr>
              <w:spacing w:line="360" w:lineRule="auto"/>
              <w:jc w:val="center"/>
              <w:rPr>
                <w:sz w:val="24"/>
                <w:szCs w:val="24"/>
              </w:rPr>
            </w:pPr>
            <w:r w:rsidRPr="000B1EFA">
              <w:rPr>
                <w:sz w:val="24"/>
                <w:szCs w:val="24"/>
              </w:rPr>
              <w:t>143,854.47</w:t>
            </w:r>
          </w:p>
          <w:p w:rsidR="00F32158" w:rsidRPr="000B1EFA" w:rsidRDefault="00F32158" w:rsidP="000B1EFA">
            <w:pPr>
              <w:spacing w:line="360" w:lineRule="auto"/>
              <w:jc w:val="center"/>
              <w:rPr>
                <w:sz w:val="24"/>
                <w:szCs w:val="24"/>
                <w:lang w:val="uk-UA"/>
              </w:rPr>
            </w:pPr>
            <w:r w:rsidRPr="000B1EFA">
              <w:rPr>
                <w:sz w:val="24"/>
                <w:szCs w:val="24"/>
                <w:lang w:val="uk-UA"/>
              </w:rPr>
              <w:t>(</w:t>
            </w:r>
            <w:r w:rsidRPr="000B1EFA">
              <w:rPr>
                <w:sz w:val="24"/>
                <w:szCs w:val="24"/>
              </w:rPr>
              <w:t>193,816.37</w:t>
            </w:r>
            <w:r w:rsidRPr="000B1EFA">
              <w:rPr>
                <w:sz w:val="24"/>
                <w:szCs w:val="24"/>
                <w:lang w:val="uk-UA"/>
              </w:rPr>
              <w:t>-</w:t>
            </w:r>
            <w:r w:rsidRPr="000B1EFA">
              <w:rPr>
                <w:sz w:val="24"/>
                <w:szCs w:val="24"/>
              </w:rPr>
              <w:t>105,791.56</w:t>
            </w:r>
            <w:r w:rsidRPr="000B1EFA">
              <w:rPr>
                <w:sz w:val="24"/>
                <w:szCs w:val="24"/>
                <w:lang w:val="uk-UA"/>
              </w:rPr>
              <w:t>)</w:t>
            </w:r>
          </w:p>
        </w:tc>
        <w:tc>
          <w:tcPr>
            <w:tcW w:w="4861" w:type="dxa"/>
          </w:tcPr>
          <w:p w:rsidR="00F32158" w:rsidRPr="000B1EFA" w:rsidRDefault="00F32158" w:rsidP="000B1EFA">
            <w:pPr>
              <w:shd w:val="clear" w:color="auto" w:fill="FFFFFF"/>
              <w:spacing w:line="360" w:lineRule="auto"/>
              <w:jc w:val="center"/>
              <w:rPr>
                <w:sz w:val="24"/>
                <w:szCs w:val="24"/>
              </w:rPr>
            </w:pPr>
            <w:r w:rsidRPr="000B1EFA">
              <w:rPr>
                <w:sz w:val="24"/>
                <w:szCs w:val="24"/>
              </w:rPr>
              <w:t>141,040.58</w:t>
            </w:r>
          </w:p>
          <w:p w:rsidR="00F32158" w:rsidRPr="000B1EFA" w:rsidRDefault="00F32158" w:rsidP="000B1EFA">
            <w:pPr>
              <w:shd w:val="clear" w:color="auto" w:fill="FFFFFF"/>
              <w:spacing w:line="360" w:lineRule="auto"/>
              <w:jc w:val="center"/>
              <w:rPr>
                <w:sz w:val="24"/>
                <w:szCs w:val="24"/>
              </w:rPr>
            </w:pPr>
            <w:r w:rsidRPr="000B1EFA">
              <w:rPr>
                <w:sz w:val="24"/>
                <w:szCs w:val="24"/>
              </w:rPr>
              <w:t>(191,229.27-102,758.86)</w:t>
            </w:r>
          </w:p>
        </w:tc>
      </w:tr>
      <w:tr w:rsidR="000B1EFA" w:rsidRPr="000B1EFA" w:rsidTr="00BF1F99">
        <w:trPr>
          <w:jc w:val="center"/>
        </w:trPr>
        <w:tc>
          <w:tcPr>
            <w:tcW w:w="939" w:type="dxa"/>
          </w:tcPr>
          <w:p w:rsidR="00F32158" w:rsidRPr="000B1EFA" w:rsidRDefault="00F32158" w:rsidP="000B1EFA">
            <w:pPr>
              <w:spacing w:line="360" w:lineRule="auto"/>
              <w:jc w:val="center"/>
              <w:rPr>
                <w:rFonts w:eastAsia="Calibri"/>
                <w:sz w:val="24"/>
                <w:szCs w:val="24"/>
                <w:lang w:val="uk-UA"/>
              </w:rPr>
            </w:pPr>
            <w:r w:rsidRPr="000B1EFA">
              <w:rPr>
                <w:rFonts w:eastAsia="Calibri"/>
                <w:sz w:val="24"/>
                <w:szCs w:val="24"/>
                <w:lang w:val="uk-UA"/>
              </w:rPr>
              <w:t>2017</w:t>
            </w:r>
          </w:p>
          <w:p w:rsidR="00F32158" w:rsidRPr="000B1EFA" w:rsidRDefault="00F32158" w:rsidP="000B1EFA">
            <w:pPr>
              <w:spacing w:line="360" w:lineRule="auto"/>
              <w:jc w:val="center"/>
              <w:rPr>
                <w:rFonts w:eastAsia="Calibri"/>
                <w:sz w:val="24"/>
                <w:szCs w:val="24"/>
                <w:lang w:val="uk-UA"/>
              </w:rPr>
            </w:pPr>
            <w:r w:rsidRPr="000B1EFA">
              <w:rPr>
                <w:rFonts w:eastAsia="Calibri"/>
                <w:sz w:val="24"/>
                <w:szCs w:val="24"/>
                <w:lang w:val="uk-UA"/>
              </w:rPr>
              <w:t>ДІ</w:t>
            </w:r>
          </w:p>
        </w:tc>
        <w:tc>
          <w:tcPr>
            <w:tcW w:w="4955" w:type="dxa"/>
          </w:tcPr>
          <w:p w:rsidR="00F32158" w:rsidRPr="000B1EFA" w:rsidRDefault="00F32158" w:rsidP="000B1EFA">
            <w:pPr>
              <w:shd w:val="clear" w:color="auto" w:fill="FFFFFF"/>
              <w:spacing w:line="360" w:lineRule="auto"/>
              <w:jc w:val="center"/>
              <w:rPr>
                <w:sz w:val="24"/>
                <w:szCs w:val="24"/>
              </w:rPr>
            </w:pPr>
            <w:r w:rsidRPr="000B1EFA">
              <w:rPr>
                <w:sz w:val="24"/>
                <w:szCs w:val="24"/>
              </w:rPr>
              <w:t>136,148.54</w:t>
            </w:r>
          </w:p>
          <w:p w:rsidR="00F32158" w:rsidRPr="000B1EFA" w:rsidRDefault="00F32158" w:rsidP="000B1EFA">
            <w:pPr>
              <w:shd w:val="clear" w:color="auto" w:fill="FFFFFF"/>
              <w:spacing w:line="360" w:lineRule="auto"/>
              <w:jc w:val="center"/>
              <w:rPr>
                <w:sz w:val="24"/>
                <w:szCs w:val="24"/>
                <w:lang w:val="uk-UA"/>
              </w:rPr>
            </w:pPr>
            <w:r w:rsidRPr="000B1EFA">
              <w:rPr>
                <w:sz w:val="24"/>
                <w:szCs w:val="24"/>
                <w:lang w:val="uk-UA"/>
              </w:rPr>
              <w:t>(</w:t>
            </w:r>
            <w:r w:rsidRPr="000B1EFA">
              <w:rPr>
                <w:sz w:val="24"/>
                <w:szCs w:val="24"/>
              </w:rPr>
              <w:t>182,714.70</w:t>
            </w:r>
            <w:r w:rsidRPr="000B1EFA">
              <w:rPr>
                <w:sz w:val="24"/>
                <w:szCs w:val="24"/>
                <w:lang w:val="uk-UA"/>
              </w:rPr>
              <w:t>-</w:t>
            </w:r>
            <w:r w:rsidRPr="000B1EFA">
              <w:rPr>
                <w:sz w:val="24"/>
                <w:szCs w:val="24"/>
              </w:rPr>
              <w:t>99,688.23</w:t>
            </w:r>
            <w:r w:rsidRPr="000B1EFA">
              <w:rPr>
                <w:sz w:val="24"/>
                <w:szCs w:val="24"/>
                <w:lang w:val="uk-UA"/>
              </w:rPr>
              <w:t>)</w:t>
            </w:r>
          </w:p>
        </w:tc>
        <w:tc>
          <w:tcPr>
            <w:tcW w:w="4861" w:type="dxa"/>
          </w:tcPr>
          <w:p w:rsidR="00F32158" w:rsidRPr="000B1EFA" w:rsidRDefault="00F32158" w:rsidP="000B1EFA">
            <w:pPr>
              <w:spacing w:line="360" w:lineRule="auto"/>
              <w:jc w:val="center"/>
              <w:rPr>
                <w:sz w:val="24"/>
                <w:szCs w:val="24"/>
              </w:rPr>
            </w:pPr>
            <w:r w:rsidRPr="000B1EFA">
              <w:rPr>
                <w:sz w:val="24"/>
                <w:szCs w:val="24"/>
              </w:rPr>
              <w:t>133,333.58</w:t>
            </w:r>
          </w:p>
          <w:p w:rsidR="00F32158" w:rsidRPr="000B1EFA" w:rsidRDefault="00F32158" w:rsidP="000B1EFA">
            <w:pPr>
              <w:tabs>
                <w:tab w:val="center" w:pos="1238"/>
                <w:tab w:val="right" w:pos="2477"/>
              </w:tabs>
              <w:spacing w:line="360" w:lineRule="auto"/>
              <w:jc w:val="center"/>
              <w:rPr>
                <w:sz w:val="24"/>
                <w:szCs w:val="24"/>
              </w:rPr>
            </w:pPr>
            <w:r w:rsidRPr="000B1EFA">
              <w:rPr>
                <w:sz w:val="24"/>
                <w:szCs w:val="24"/>
              </w:rPr>
              <w:t>(180,482.35-97,213.58)</w:t>
            </w:r>
          </w:p>
        </w:tc>
      </w:tr>
      <w:tr w:rsidR="000B1EFA" w:rsidRPr="000B1EFA" w:rsidTr="00BF1F99">
        <w:trPr>
          <w:jc w:val="center"/>
        </w:trPr>
        <w:tc>
          <w:tcPr>
            <w:tcW w:w="939" w:type="dxa"/>
          </w:tcPr>
          <w:p w:rsidR="00F32158" w:rsidRPr="000B1EFA" w:rsidRDefault="00F32158" w:rsidP="000B1EFA">
            <w:pPr>
              <w:spacing w:line="360" w:lineRule="auto"/>
              <w:jc w:val="center"/>
              <w:rPr>
                <w:rFonts w:eastAsia="Calibri"/>
                <w:sz w:val="24"/>
                <w:szCs w:val="24"/>
              </w:rPr>
            </w:pPr>
            <w:r w:rsidRPr="000B1EFA">
              <w:rPr>
                <w:rFonts w:eastAsia="Calibri"/>
                <w:sz w:val="24"/>
                <w:szCs w:val="24"/>
              </w:rPr>
              <w:t>2018</w:t>
            </w:r>
          </w:p>
          <w:p w:rsidR="00F32158" w:rsidRPr="000B1EFA" w:rsidRDefault="00F32158" w:rsidP="000B1EFA">
            <w:pPr>
              <w:spacing w:line="360" w:lineRule="auto"/>
              <w:jc w:val="center"/>
              <w:rPr>
                <w:rFonts w:eastAsia="Calibri"/>
                <w:sz w:val="24"/>
                <w:szCs w:val="24"/>
                <w:lang w:val="uk-UA"/>
              </w:rPr>
            </w:pPr>
            <w:r w:rsidRPr="000B1EFA">
              <w:rPr>
                <w:rFonts w:eastAsia="Calibri"/>
                <w:sz w:val="24"/>
                <w:szCs w:val="24"/>
              </w:rPr>
              <w:t>ДІ</w:t>
            </w:r>
          </w:p>
        </w:tc>
        <w:tc>
          <w:tcPr>
            <w:tcW w:w="4955" w:type="dxa"/>
          </w:tcPr>
          <w:p w:rsidR="00F32158" w:rsidRPr="000B1EFA" w:rsidRDefault="00F32158" w:rsidP="000B1EFA">
            <w:pPr>
              <w:shd w:val="clear" w:color="auto" w:fill="FFFFFF"/>
              <w:spacing w:line="360" w:lineRule="auto"/>
              <w:jc w:val="center"/>
              <w:rPr>
                <w:sz w:val="24"/>
                <w:szCs w:val="24"/>
              </w:rPr>
            </w:pPr>
            <w:r w:rsidRPr="000B1EFA">
              <w:rPr>
                <w:sz w:val="24"/>
                <w:szCs w:val="24"/>
              </w:rPr>
              <w:t>132,049.67</w:t>
            </w:r>
          </w:p>
          <w:p w:rsidR="00F32158" w:rsidRPr="000B1EFA" w:rsidRDefault="00F32158" w:rsidP="000B1EFA">
            <w:pPr>
              <w:shd w:val="clear" w:color="auto" w:fill="FFFFFF"/>
              <w:spacing w:line="360" w:lineRule="auto"/>
              <w:jc w:val="center"/>
              <w:rPr>
                <w:sz w:val="24"/>
                <w:szCs w:val="24"/>
                <w:lang w:val="uk-UA"/>
              </w:rPr>
            </w:pPr>
            <w:r w:rsidRPr="000B1EFA">
              <w:rPr>
                <w:sz w:val="24"/>
                <w:szCs w:val="24"/>
                <w:lang w:val="uk-UA"/>
              </w:rPr>
              <w:t>(</w:t>
            </w:r>
            <w:r w:rsidRPr="000B1EFA">
              <w:rPr>
                <w:sz w:val="24"/>
                <w:szCs w:val="24"/>
              </w:rPr>
              <w:t>179,604.95</w:t>
            </w:r>
            <w:r w:rsidRPr="000B1EFA">
              <w:rPr>
                <w:sz w:val="24"/>
                <w:szCs w:val="24"/>
                <w:lang w:val="uk-UA"/>
              </w:rPr>
              <w:t>-</w:t>
            </w:r>
            <w:r w:rsidRPr="000B1EFA">
              <w:rPr>
                <w:sz w:val="24"/>
                <w:szCs w:val="24"/>
              </w:rPr>
              <w:t>95,927.94</w:t>
            </w:r>
            <w:r w:rsidRPr="000B1EFA">
              <w:rPr>
                <w:sz w:val="24"/>
                <w:szCs w:val="24"/>
                <w:lang w:val="uk-UA"/>
              </w:rPr>
              <w:t>)</w:t>
            </w:r>
          </w:p>
        </w:tc>
        <w:tc>
          <w:tcPr>
            <w:tcW w:w="4861" w:type="dxa"/>
          </w:tcPr>
          <w:p w:rsidR="00F32158" w:rsidRPr="000B1EFA" w:rsidRDefault="00F32158" w:rsidP="000B1EFA">
            <w:pPr>
              <w:shd w:val="clear" w:color="auto" w:fill="FFFFFF"/>
              <w:spacing w:line="360" w:lineRule="auto"/>
              <w:jc w:val="center"/>
              <w:rPr>
                <w:sz w:val="24"/>
                <w:szCs w:val="24"/>
              </w:rPr>
            </w:pPr>
            <w:r w:rsidRPr="000B1EFA">
              <w:rPr>
                <w:sz w:val="24"/>
                <w:szCs w:val="24"/>
              </w:rPr>
              <w:t>129,228.89</w:t>
            </w:r>
          </w:p>
          <w:p w:rsidR="00F32158" w:rsidRPr="000B1EFA" w:rsidRDefault="00F32158" w:rsidP="000B1EFA">
            <w:pPr>
              <w:shd w:val="clear" w:color="auto" w:fill="FFFFFF"/>
              <w:spacing w:line="360" w:lineRule="auto"/>
              <w:jc w:val="center"/>
              <w:rPr>
                <w:sz w:val="24"/>
                <w:szCs w:val="24"/>
              </w:rPr>
            </w:pPr>
            <w:r w:rsidRPr="000B1EFA">
              <w:rPr>
                <w:sz w:val="24"/>
                <w:szCs w:val="24"/>
              </w:rPr>
              <w:t>(177,251.12-92,633.11)</w:t>
            </w:r>
          </w:p>
        </w:tc>
      </w:tr>
      <w:tr w:rsidR="000B1EFA" w:rsidRPr="000B1EFA" w:rsidTr="00BF1F99">
        <w:trPr>
          <w:jc w:val="center"/>
        </w:trPr>
        <w:tc>
          <w:tcPr>
            <w:tcW w:w="939" w:type="dxa"/>
          </w:tcPr>
          <w:p w:rsidR="00F32158" w:rsidRPr="000B1EFA" w:rsidRDefault="00F32158" w:rsidP="000B1EFA">
            <w:pPr>
              <w:spacing w:line="360" w:lineRule="auto"/>
              <w:jc w:val="center"/>
              <w:rPr>
                <w:rFonts w:eastAsia="Calibri"/>
                <w:sz w:val="24"/>
                <w:szCs w:val="24"/>
              </w:rPr>
            </w:pPr>
            <w:r w:rsidRPr="000B1EFA">
              <w:rPr>
                <w:rFonts w:eastAsia="Calibri"/>
                <w:sz w:val="24"/>
                <w:szCs w:val="24"/>
              </w:rPr>
              <w:t>2019</w:t>
            </w:r>
          </w:p>
          <w:p w:rsidR="00F32158" w:rsidRPr="000B1EFA" w:rsidRDefault="00F32158" w:rsidP="000B1EFA">
            <w:pPr>
              <w:spacing w:line="360" w:lineRule="auto"/>
              <w:jc w:val="center"/>
              <w:rPr>
                <w:rFonts w:eastAsia="Calibri"/>
                <w:sz w:val="24"/>
                <w:szCs w:val="24"/>
                <w:lang w:val="uk-UA"/>
              </w:rPr>
            </w:pPr>
            <w:r w:rsidRPr="000B1EFA">
              <w:rPr>
                <w:rFonts w:eastAsia="Calibri"/>
                <w:sz w:val="24"/>
                <w:szCs w:val="24"/>
              </w:rPr>
              <w:t>ДІ</w:t>
            </w:r>
          </w:p>
        </w:tc>
        <w:tc>
          <w:tcPr>
            <w:tcW w:w="4955" w:type="dxa"/>
          </w:tcPr>
          <w:p w:rsidR="00F32158" w:rsidRPr="000B1EFA" w:rsidRDefault="00F32158" w:rsidP="000B1EFA">
            <w:pPr>
              <w:spacing w:line="360" w:lineRule="auto"/>
              <w:jc w:val="center"/>
              <w:rPr>
                <w:sz w:val="24"/>
                <w:szCs w:val="24"/>
              </w:rPr>
            </w:pPr>
            <w:r w:rsidRPr="000B1EFA">
              <w:rPr>
                <w:sz w:val="24"/>
                <w:szCs w:val="24"/>
              </w:rPr>
              <w:t>128,709.72</w:t>
            </w:r>
          </w:p>
          <w:p w:rsidR="00F32158" w:rsidRPr="000B1EFA" w:rsidRDefault="00F32158" w:rsidP="000B1EFA">
            <w:pPr>
              <w:spacing w:line="360" w:lineRule="auto"/>
              <w:jc w:val="center"/>
              <w:rPr>
                <w:sz w:val="24"/>
                <w:szCs w:val="24"/>
                <w:lang w:val="uk-UA"/>
              </w:rPr>
            </w:pPr>
            <w:r w:rsidRPr="000B1EFA">
              <w:rPr>
                <w:sz w:val="24"/>
                <w:szCs w:val="24"/>
                <w:lang w:val="uk-UA"/>
              </w:rPr>
              <w:t>(</w:t>
            </w:r>
            <w:r w:rsidRPr="000B1EFA">
              <w:rPr>
                <w:sz w:val="24"/>
                <w:szCs w:val="24"/>
              </w:rPr>
              <w:t>175,193.02</w:t>
            </w:r>
            <w:r w:rsidRPr="000B1EFA">
              <w:rPr>
                <w:sz w:val="24"/>
                <w:szCs w:val="24"/>
                <w:lang w:val="uk-UA"/>
              </w:rPr>
              <w:t>-</w:t>
            </w:r>
            <w:r w:rsidRPr="000B1EFA">
              <w:rPr>
                <w:sz w:val="24"/>
                <w:szCs w:val="24"/>
              </w:rPr>
              <w:t>93,028.94</w:t>
            </w:r>
            <w:r w:rsidRPr="000B1EFA">
              <w:rPr>
                <w:sz w:val="24"/>
                <w:szCs w:val="24"/>
                <w:lang w:val="uk-UA"/>
              </w:rPr>
              <w:t>)</w:t>
            </w:r>
          </w:p>
        </w:tc>
        <w:tc>
          <w:tcPr>
            <w:tcW w:w="4861" w:type="dxa"/>
          </w:tcPr>
          <w:p w:rsidR="00F32158" w:rsidRPr="000B1EFA" w:rsidRDefault="00F32158" w:rsidP="000B1EFA">
            <w:pPr>
              <w:spacing w:line="360" w:lineRule="auto"/>
              <w:jc w:val="center"/>
              <w:rPr>
                <w:sz w:val="24"/>
                <w:szCs w:val="24"/>
              </w:rPr>
            </w:pPr>
            <w:r w:rsidRPr="000B1EFA">
              <w:rPr>
                <w:sz w:val="24"/>
                <w:szCs w:val="24"/>
              </w:rPr>
              <w:t>125,875.62</w:t>
            </w:r>
          </w:p>
          <w:p w:rsidR="00F32158" w:rsidRPr="000B1EFA" w:rsidRDefault="00F32158" w:rsidP="000B1EFA">
            <w:pPr>
              <w:spacing w:line="360" w:lineRule="auto"/>
              <w:jc w:val="center"/>
              <w:rPr>
                <w:sz w:val="24"/>
                <w:szCs w:val="24"/>
              </w:rPr>
            </w:pPr>
            <w:r w:rsidRPr="000B1EFA">
              <w:rPr>
                <w:sz w:val="24"/>
                <w:szCs w:val="24"/>
              </w:rPr>
              <w:t>(171,546.17-90,550.11)</w:t>
            </w:r>
          </w:p>
        </w:tc>
      </w:tr>
    </w:tbl>
    <w:p w:rsidR="00F32158" w:rsidRPr="00F32158" w:rsidRDefault="00F32158" w:rsidP="00F32158">
      <w:pPr>
        <w:tabs>
          <w:tab w:val="left" w:pos="8133"/>
        </w:tabs>
        <w:spacing w:after="200" w:line="276" w:lineRule="auto"/>
        <w:jc w:val="center"/>
        <w:rPr>
          <w:rFonts w:eastAsia="Calibri"/>
          <w:szCs w:val="28"/>
        </w:rPr>
      </w:pPr>
    </w:p>
    <w:p w:rsidR="00F32158" w:rsidRPr="00F32158" w:rsidRDefault="00F32158" w:rsidP="00F32158">
      <w:pPr>
        <w:tabs>
          <w:tab w:val="left" w:pos="8133"/>
        </w:tabs>
        <w:spacing w:after="200" w:line="276" w:lineRule="auto"/>
        <w:jc w:val="center"/>
        <w:rPr>
          <w:rFonts w:eastAsia="Calibri"/>
          <w:szCs w:val="28"/>
        </w:rPr>
      </w:pPr>
    </w:p>
    <w:p w:rsidR="00B04F55" w:rsidRDefault="00B04F55" w:rsidP="00D13BF8">
      <w:pPr>
        <w:tabs>
          <w:tab w:val="left" w:pos="8133"/>
        </w:tabs>
        <w:spacing w:after="200" w:line="276" w:lineRule="auto"/>
        <w:rPr>
          <w:rFonts w:eastAsia="Calibri"/>
          <w:szCs w:val="28"/>
          <w:lang w:val="ru-RU"/>
        </w:rPr>
      </w:pPr>
    </w:p>
    <w:p w:rsidR="00F32158" w:rsidRPr="00F32158" w:rsidRDefault="00E1576C" w:rsidP="00D13BF8">
      <w:pPr>
        <w:pageBreakBefore/>
        <w:tabs>
          <w:tab w:val="left" w:pos="8133"/>
        </w:tabs>
        <w:spacing w:after="200" w:line="276" w:lineRule="auto"/>
        <w:jc w:val="right"/>
        <w:rPr>
          <w:rFonts w:eastAsia="Calibri"/>
          <w:szCs w:val="28"/>
        </w:rPr>
      </w:pPr>
      <w:r>
        <w:rPr>
          <w:rFonts w:eastAsia="Calibri"/>
          <w:szCs w:val="28"/>
        </w:rPr>
        <w:lastRenderedPageBreak/>
        <w:t>Додаток Б</w:t>
      </w:r>
      <w:r w:rsidR="00F32158" w:rsidRPr="00F32158">
        <w:rPr>
          <w:rFonts w:eastAsia="Calibri"/>
          <w:szCs w:val="28"/>
        </w:rPr>
        <w:t>-24</w:t>
      </w:r>
    </w:p>
    <w:p w:rsidR="00F32158" w:rsidRPr="00F32158" w:rsidRDefault="00F32158" w:rsidP="000B1EFA">
      <w:pPr>
        <w:tabs>
          <w:tab w:val="left" w:pos="8133"/>
        </w:tabs>
        <w:spacing w:after="200" w:line="276" w:lineRule="auto"/>
        <w:jc w:val="center"/>
        <w:rPr>
          <w:rFonts w:eastAsia="Calibri"/>
          <w:szCs w:val="28"/>
        </w:rPr>
      </w:pPr>
      <w:r w:rsidRPr="00F32158">
        <w:rPr>
          <w:rFonts w:eastAsia="Calibri"/>
          <w:b/>
          <w:szCs w:val="28"/>
        </w:rPr>
        <w:t>Динаміка показника DALYs та років втраченого житя  YLL  в Україні за період 2009-2019 рр. (на 100 тис. осіб) у випадку постнеонатальної смертності</w:t>
      </w:r>
    </w:p>
    <w:tbl>
      <w:tblPr>
        <w:tblStyle w:val="3020"/>
        <w:tblW w:w="0" w:type="auto"/>
        <w:jc w:val="center"/>
        <w:tblInd w:w="-1722" w:type="dxa"/>
        <w:tblLook w:val="04A0" w:firstRow="1" w:lastRow="0" w:firstColumn="1" w:lastColumn="0" w:noHBand="0" w:noVBand="1"/>
      </w:tblPr>
      <w:tblGrid>
        <w:gridCol w:w="1038"/>
        <w:gridCol w:w="4632"/>
        <w:gridCol w:w="4393"/>
      </w:tblGrid>
      <w:tr w:rsidR="000B1EFA" w:rsidRPr="000B1EFA" w:rsidTr="00BF1F99">
        <w:trPr>
          <w:jc w:val="center"/>
        </w:trPr>
        <w:tc>
          <w:tcPr>
            <w:tcW w:w="1038" w:type="dxa"/>
          </w:tcPr>
          <w:p w:rsidR="00F32158" w:rsidRPr="000B1EFA" w:rsidRDefault="00F32158" w:rsidP="00F32158">
            <w:pPr>
              <w:spacing w:line="360" w:lineRule="auto"/>
              <w:jc w:val="center"/>
              <w:rPr>
                <w:rFonts w:eastAsia="Calibri"/>
                <w:sz w:val="24"/>
                <w:szCs w:val="24"/>
                <w:lang w:val="uk-UA"/>
              </w:rPr>
            </w:pPr>
            <w:r w:rsidRPr="000B1EFA">
              <w:rPr>
                <w:rFonts w:eastAsia="Calibri"/>
                <w:sz w:val="24"/>
                <w:szCs w:val="24"/>
                <w:lang w:val="uk-UA"/>
              </w:rPr>
              <w:t>Рік</w:t>
            </w:r>
          </w:p>
        </w:tc>
        <w:tc>
          <w:tcPr>
            <w:tcW w:w="4632" w:type="dxa"/>
          </w:tcPr>
          <w:p w:rsidR="00F32158" w:rsidRPr="000B1EFA" w:rsidRDefault="00F32158" w:rsidP="00F32158">
            <w:pPr>
              <w:spacing w:line="360" w:lineRule="auto"/>
              <w:jc w:val="center"/>
              <w:rPr>
                <w:rFonts w:eastAsia="Calibri"/>
                <w:sz w:val="24"/>
                <w:szCs w:val="24"/>
                <w:lang w:val="uk-UA"/>
              </w:rPr>
            </w:pPr>
            <w:r w:rsidRPr="000B1EFA">
              <w:rPr>
                <w:rFonts w:eastAsia="Calibri"/>
                <w:sz w:val="24"/>
                <w:szCs w:val="24"/>
                <w:lang w:val="uk-UA"/>
              </w:rPr>
              <w:t>DALYs (постнеонатальна смертність)</w:t>
            </w:r>
          </w:p>
          <w:p w:rsidR="00F32158" w:rsidRPr="000B1EFA" w:rsidRDefault="00F32158" w:rsidP="00F32158">
            <w:pPr>
              <w:spacing w:line="360" w:lineRule="auto"/>
              <w:jc w:val="center"/>
              <w:rPr>
                <w:rFonts w:eastAsia="Calibri"/>
                <w:sz w:val="24"/>
                <w:szCs w:val="24"/>
                <w:lang w:val="uk-UA"/>
              </w:rPr>
            </w:pPr>
            <w:r w:rsidRPr="000B1EFA">
              <w:rPr>
                <w:rFonts w:eastAsia="Calibri"/>
                <w:sz w:val="24"/>
                <w:szCs w:val="24"/>
                <w:lang w:val="uk-UA"/>
              </w:rPr>
              <w:t>Обидві статі</w:t>
            </w:r>
          </w:p>
        </w:tc>
        <w:tc>
          <w:tcPr>
            <w:tcW w:w="4393" w:type="dxa"/>
          </w:tcPr>
          <w:p w:rsidR="00F32158" w:rsidRPr="000B1EFA" w:rsidRDefault="00F32158" w:rsidP="00F32158">
            <w:pPr>
              <w:spacing w:line="360" w:lineRule="auto"/>
              <w:jc w:val="center"/>
              <w:rPr>
                <w:sz w:val="24"/>
                <w:szCs w:val="24"/>
                <w:lang w:val="uk-UA"/>
              </w:rPr>
            </w:pPr>
            <w:r w:rsidRPr="000B1EFA">
              <w:rPr>
                <w:sz w:val="24"/>
                <w:szCs w:val="24"/>
                <w:lang w:val="uk-UA"/>
              </w:rPr>
              <w:t>YLL (постнеонатальна смертність)</w:t>
            </w:r>
          </w:p>
          <w:p w:rsidR="00F32158" w:rsidRPr="000B1EFA" w:rsidRDefault="00F32158" w:rsidP="00F32158">
            <w:pPr>
              <w:spacing w:line="360" w:lineRule="auto"/>
              <w:jc w:val="center"/>
              <w:rPr>
                <w:sz w:val="24"/>
                <w:szCs w:val="24"/>
                <w:lang w:val="uk-UA"/>
              </w:rPr>
            </w:pPr>
            <w:r w:rsidRPr="000B1EFA">
              <w:rPr>
                <w:sz w:val="24"/>
                <w:szCs w:val="24"/>
                <w:lang w:val="uk-UA"/>
              </w:rPr>
              <w:t>Обидві статі</w:t>
            </w:r>
          </w:p>
        </w:tc>
      </w:tr>
      <w:tr w:rsidR="000B1EFA" w:rsidRPr="000B1EFA" w:rsidTr="00BF1F99">
        <w:trPr>
          <w:jc w:val="center"/>
        </w:trPr>
        <w:tc>
          <w:tcPr>
            <w:tcW w:w="1038" w:type="dxa"/>
          </w:tcPr>
          <w:p w:rsidR="00F32158" w:rsidRPr="000B1EFA" w:rsidRDefault="00F32158" w:rsidP="00F32158">
            <w:pPr>
              <w:spacing w:line="360" w:lineRule="auto"/>
              <w:jc w:val="center"/>
              <w:rPr>
                <w:rFonts w:eastAsia="Calibri"/>
                <w:sz w:val="24"/>
                <w:szCs w:val="24"/>
                <w:lang w:val="uk-UA"/>
              </w:rPr>
            </w:pPr>
            <w:r w:rsidRPr="000B1EFA">
              <w:rPr>
                <w:rFonts w:eastAsia="Calibri"/>
                <w:sz w:val="24"/>
                <w:szCs w:val="24"/>
                <w:lang w:val="uk-UA"/>
              </w:rPr>
              <w:t>2009</w:t>
            </w:r>
          </w:p>
          <w:p w:rsidR="00F32158" w:rsidRPr="000B1EFA" w:rsidRDefault="00F32158" w:rsidP="00F32158">
            <w:pPr>
              <w:spacing w:line="360" w:lineRule="auto"/>
              <w:jc w:val="center"/>
              <w:rPr>
                <w:rFonts w:eastAsia="Calibri"/>
                <w:sz w:val="24"/>
                <w:szCs w:val="24"/>
                <w:lang w:val="uk-UA"/>
              </w:rPr>
            </w:pPr>
            <w:r w:rsidRPr="000B1EFA">
              <w:rPr>
                <w:rFonts w:eastAsia="Calibri"/>
                <w:sz w:val="24"/>
                <w:szCs w:val="24"/>
                <w:lang w:val="uk-UA"/>
              </w:rPr>
              <w:t>ДІ</w:t>
            </w:r>
          </w:p>
        </w:tc>
        <w:tc>
          <w:tcPr>
            <w:tcW w:w="4632" w:type="dxa"/>
          </w:tcPr>
          <w:p w:rsidR="00F32158" w:rsidRPr="000B1EFA" w:rsidRDefault="00F32158" w:rsidP="00F32158">
            <w:pPr>
              <w:spacing w:line="360" w:lineRule="auto"/>
              <w:jc w:val="center"/>
              <w:rPr>
                <w:sz w:val="24"/>
                <w:szCs w:val="24"/>
              </w:rPr>
            </w:pPr>
            <w:r w:rsidRPr="000B1EFA">
              <w:rPr>
                <w:sz w:val="24"/>
                <w:szCs w:val="24"/>
              </w:rPr>
              <w:t>32,537.92</w:t>
            </w:r>
          </w:p>
          <w:p w:rsidR="00F32158" w:rsidRPr="000B1EFA" w:rsidRDefault="00F32158" w:rsidP="00F32158">
            <w:pPr>
              <w:spacing w:line="360" w:lineRule="auto"/>
              <w:jc w:val="center"/>
              <w:rPr>
                <w:sz w:val="24"/>
                <w:szCs w:val="24"/>
              </w:rPr>
            </w:pPr>
            <w:r w:rsidRPr="000B1EFA">
              <w:rPr>
                <w:sz w:val="24"/>
                <w:szCs w:val="24"/>
              </w:rPr>
              <w:t>(35,726.06-29,545.37)</w:t>
            </w:r>
          </w:p>
        </w:tc>
        <w:tc>
          <w:tcPr>
            <w:tcW w:w="4393" w:type="dxa"/>
          </w:tcPr>
          <w:p w:rsidR="00F32158" w:rsidRPr="000B1EFA" w:rsidRDefault="00F32158" w:rsidP="00F32158">
            <w:pPr>
              <w:spacing w:line="360" w:lineRule="auto"/>
              <w:jc w:val="center"/>
              <w:rPr>
                <w:sz w:val="24"/>
                <w:szCs w:val="24"/>
              </w:rPr>
            </w:pPr>
            <w:r w:rsidRPr="000B1EFA">
              <w:rPr>
                <w:sz w:val="24"/>
                <w:szCs w:val="24"/>
              </w:rPr>
              <w:t>30,348.87</w:t>
            </w:r>
          </w:p>
          <w:p w:rsidR="00F32158" w:rsidRPr="000B1EFA" w:rsidRDefault="00F32158" w:rsidP="00F32158">
            <w:pPr>
              <w:spacing w:line="360" w:lineRule="auto"/>
              <w:jc w:val="center"/>
              <w:rPr>
                <w:sz w:val="24"/>
                <w:szCs w:val="24"/>
              </w:rPr>
            </w:pPr>
            <w:r w:rsidRPr="000B1EFA">
              <w:rPr>
                <w:sz w:val="24"/>
                <w:szCs w:val="24"/>
              </w:rPr>
              <w:t>(33,481.91-27,313.30)</w:t>
            </w:r>
          </w:p>
        </w:tc>
      </w:tr>
      <w:tr w:rsidR="000B1EFA" w:rsidRPr="000B1EFA" w:rsidTr="00BF1F99">
        <w:trPr>
          <w:jc w:val="center"/>
        </w:trPr>
        <w:tc>
          <w:tcPr>
            <w:tcW w:w="1038" w:type="dxa"/>
          </w:tcPr>
          <w:p w:rsidR="00F32158" w:rsidRPr="000B1EFA" w:rsidRDefault="00F32158" w:rsidP="00F32158">
            <w:pPr>
              <w:spacing w:line="360" w:lineRule="auto"/>
              <w:jc w:val="center"/>
              <w:rPr>
                <w:rFonts w:eastAsia="Calibri"/>
                <w:sz w:val="24"/>
                <w:szCs w:val="24"/>
                <w:lang w:val="uk-UA"/>
              </w:rPr>
            </w:pPr>
            <w:r w:rsidRPr="000B1EFA">
              <w:rPr>
                <w:rFonts w:eastAsia="Calibri"/>
                <w:sz w:val="24"/>
                <w:szCs w:val="24"/>
                <w:lang w:val="uk-UA"/>
              </w:rPr>
              <w:t>2010</w:t>
            </w:r>
          </w:p>
          <w:p w:rsidR="00F32158" w:rsidRPr="000B1EFA" w:rsidRDefault="00F32158" w:rsidP="00F32158">
            <w:pPr>
              <w:spacing w:line="360" w:lineRule="auto"/>
              <w:jc w:val="center"/>
              <w:rPr>
                <w:rFonts w:eastAsia="Calibri"/>
                <w:sz w:val="24"/>
                <w:szCs w:val="24"/>
                <w:lang w:val="uk-UA"/>
              </w:rPr>
            </w:pPr>
            <w:r w:rsidRPr="000B1EFA">
              <w:rPr>
                <w:rFonts w:eastAsia="Calibri"/>
                <w:sz w:val="24"/>
                <w:szCs w:val="24"/>
                <w:lang w:val="uk-UA"/>
              </w:rPr>
              <w:t>ДІ</w:t>
            </w:r>
          </w:p>
        </w:tc>
        <w:tc>
          <w:tcPr>
            <w:tcW w:w="4632" w:type="dxa"/>
          </w:tcPr>
          <w:p w:rsidR="00F32158" w:rsidRPr="000B1EFA" w:rsidRDefault="00F32158" w:rsidP="00F32158">
            <w:pPr>
              <w:shd w:val="clear" w:color="auto" w:fill="FFFFFF"/>
              <w:spacing w:line="360" w:lineRule="auto"/>
              <w:jc w:val="center"/>
              <w:rPr>
                <w:sz w:val="24"/>
                <w:szCs w:val="24"/>
              </w:rPr>
            </w:pPr>
            <w:r w:rsidRPr="000B1EFA">
              <w:rPr>
                <w:sz w:val="24"/>
                <w:szCs w:val="24"/>
              </w:rPr>
              <w:t>31,048.46</w:t>
            </w:r>
          </w:p>
          <w:p w:rsidR="00F32158" w:rsidRPr="000B1EFA" w:rsidRDefault="00F32158" w:rsidP="00F32158">
            <w:pPr>
              <w:shd w:val="clear" w:color="auto" w:fill="FFFFFF"/>
              <w:spacing w:line="360" w:lineRule="auto"/>
              <w:jc w:val="center"/>
              <w:rPr>
                <w:sz w:val="24"/>
                <w:szCs w:val="24"/>
              </w:rPr>
            </w:pPr>
            <w:r w:rsidRPr="000B1EFA">
              <w:rPr>
                <w:sz w:val="24"/>
                <w:szCs w:val="24"/>
              </w:rPr>
              <w:t>(34,194.19-28,057.19)</w:t>
            </w:r>
          </w:p>
        </w:tc>
        <w:tc>
          <w:tcPr>
            <w:tcW w:w="4393" w:type="dxa"/>
          </w:tcPr>
          <w:p w:rsidR="00F32158" w:rsidRPr="000B1EFA" w:rsidRDefault="00F32158" w:rsidP="00F32158">
            <w:pPr>
              <w:shd w:val="clear" w:color="auto" w:fill="FFFFFF"/>
              <w:spacing w:line="360" w:lineRule="auto"/>
              <w:jc w:val="center"/>
              <w:rPr>
                <w:sz w:val="24"/>
                <w:szCs w:val="24"/>
              </w:rPr>
            </w:pPr>
            <w:r w:rsidRPr="000B1EFA">
              <w:rPr>
                <w:sz w:val="24"/>
                <w:szCs w:val="24"/>
              </w:rPr>
              <w:t>28,874.87</w:t>
            </w:r>
          </w:p>
          <w:p w:rsidR="00F32158" w:rsidRPr="000B1EFA" w:rsidRDefault="00F32158" w:rsidP="00F32158">
            <w:pPr>
              <w:shd w:val="clear" w:color="auto" w:fill="FFFFFF"/>
              <w:spacing w:line="360" w:lineRule="auto"/>
              <w:jc w:val="center"/>
              <w:rPr>
                <w:sz w:val="24"/>
                <w:szCs w:val="24"/>
              </w:rPr>
            </w:pPr>
            <w:r w:rsidRPr="000B1EFA">
              <w:rPr>
                <w:sz w:val="24"/>
                <w:szCs w:val="24"/>
              </w:rPr>
              <w:t>(31,918.03-25,935.75)</w:t>
            </w:r>
          </w:p>
        </w:tc>
      </w:tr>
      <w:tr w:rsidR="000B1EFA" w:rsidRPr="000B1EFA" w:rsidTr="00BF1F99">
        <w:trPr>
          <w:jc w:val="center"/>
        </w:trPr>
        <w:tc>
          <w:tcPr>
            <w:tcW w:w="1038" w:type="dxa"/>
          </w:tcPr>
          <w:p w:rsidR="00F32158" w:rsidRPr="000B1EFA" w:rsidRDefault="00F32158" w:rsidP="00F32158">
            <w:pPr>
              <w:spacing w:line="360" w:lineRule="auto"/>
              <w:jc w:val="center"/>
              <w:rPr>
                <w:rFonts w:eastAsia="Calibri"/>
                <w:sz w:val="24"/>
                <w:szCs w:val="24"/>
                <w:lang w:val="uk-UA"/>
              </w:rPr>
            </w:pPr>
            <w:r w:rsidRPr="000B1EFA">
              <w:rPr>
                <w:rFonts w:eastAsia="Calibri"/>
                <w:sz w:val="24"/>
                <w:szCs w:val="24"/>
                <w:lang w:val="uk-UA"/>
              </w:rPr>
              <w:t>2011</w:t>
            </w:r>
          </w:p>
          <w:p w:rsidR="00F32158" w:rsidRPr="000B1EFA" w:rsidRDefault="00F32158" w:rsidP="00F32158">
            <w:pPr>
              <w:spacing w:line="360" w:lineRule="auto"/>
              <w:jc w:val="center"/>
              <w:rPr>
                <w:rFonts w:eastAsia="Calibri"/>
                <w:sz w:val="24"/>
                <w:szCs w:val="24"/>
                <w:lang w:val="uk-UA"/>
              </w:rPr>
            </w:pPr>
            <w:r w:rsidRPr="000B1EFA">
              <w:rPr>
                <w:rFonts w:eastAsia="Calibri"/>
                <w:sz w:val="24"/>
                <w:szCs w:val="24"/>
                <w:lang w:val="uk-UA"/>
              </w:rPr>
              <w:t>ДІ</w:t>
            </w:r>
          </w:p>
        </w:tc>
        <w:tc>
          <w:tcPr>
            <w:tcW w:w="4632" w:type="dxa"/>
          </w:tcPr>
          <w:p w:rsidR="00F32158" w:rsidRPr="000B1EFA" w:rsidRDefault="00F32158" w:rsidP="00F32158">
            <w:pPr>
              <w:spacing w:line="360" w:lineRule="auto"/>
              <w:jc w:val="center"/>
              <w:rPr>
                <w:sz w:val="24"/>
                <w:szCs w:val="24"/>
              </w:rPr>
            </w:pPr>
            <w:r w:rsidRPr="000B1EFA">
              <w:rPr>
                <w:sz w:val="24"/>
                <w:szCs w:val="24"/>
              </w:rPr>
              <w:t>29,776.22</w:t>
            </w:r>
          </w:p>
          <w:p w:rsidR="00F32158" w:rsidRPr="000B1EFA" w:rsidRDefault="00F32158" w:rsidP="00F32158">
            <w:pPr>
              <w:spacing w:line="360" w:lineRule="auto"/>
              <w:jc w:val="center"/>
              <w:rPr>
                <w:sz w:val="24"/>
                <w:szCs w:val="24"/>
              </w:rPr>
            </w:pPr>
            <w:r w:rsidRPr="000B1EFA">
              <w:rPr>
                <w:sz w:val="24"/>
                <w:szCs w:val="24"/>
              </w:rPr>
              <w:t>(33,077.77-26,479.66)</w:t>
            </w:r>
          </w:p>
        </w:tc>
        <w:tc>
          <w:tcPr>
            <w:tcW w:w="4393" w:type="dxa"/>
          </w:tcPr>
          <w:p w:rsidR="00F32158" w:rsidRPr="000B1EFA" w:rsidRDefault="00F32158" w:rsidP="00F32158">
            <w:pPr>
              <w:spacing w:line="360" w:lineRule="auto"/>
              <w:jc w:val="center"/>
              <w:rPr>
                <w:sz w:val="24"/>
                <w:szCs w:val="24"/>
              </w:rPr>
            </w:pPr>
            <w:r w:rsidRPr="000B1EFA">
              <w:rPr>
                <w:sz w:val="24"/>
                <w:szCs w:val="24"/>
              </w:rPr>
              <w:t>27,600.42</w:t>
            </w:r>
          </w:p>
          <w:p w:rsidR="00F32158" w:rsidRPr="000B1EFA" w:rsidRDefault="00F32158" w:rsidP="00F32158">
            <w:pPr>
              <w:spacing w:line="360" w:lineRule="auto"/>
              <w:jc w:val="center"/>
              <w:rPr>
                <w:sz w:val="24"/>
                <w:szCs w:val="24"/>
              </w:rPr>
            </w:pPr>
            <w:r w:rsidRPr="000B1EFA">
              <w:rPr>
                <w:sz w:val="24"/>
                <w:szCs w:val="24"/>
              </w:rPr>
              <w:t>(30,853.09-24,235.64)</w:t>
            </w:r>
          </w:p>
        </w:tc>
      </w:tr>
      <w:tr w:rsidR="000B1EFA" w:rsidRPr="000B1EFA" w:rsidTr="00BF1F99">
        <w:trPr>
          <w:jc w:val="center"/>
        </w:trPr>
        <w:tc>
          <w:tcPr>
            <w:tcW w:w="1038" w:type="dxa"/>
          </w:tcPr>
          <w:p w:rsidR="00F32158" w:rsidRPr="000B1EFA" w:rsidRDefault="00F32158" w:rsidP="00F32158">
            <w:pPr>
              <w:spacing w:line="360" w:lineRule="auto"/>
              <w:jc w:val="center"/>
              <w:rPr>
                <w:rFonts w:eastAsia="Calibri"/>
                <w:sz w:val="24"/>
                <w:szCs w:val="24"/>
                <w:lang w:val="uk-UA"/>
              </w:rPr>
            </w:pPr>
            <w:r w:rsidRPr="000B1EFA">
              <w:rPr>
                <w:rFonts w:eastAsia="Calibri"/>
                <w:sz w:val="24"/>
                <w:szCs w:val="24"/>
                <w:lang w:val="uk-UA"/>
              </w:rPr>
              <w:t>2012</w:t>
            </w:r>
          </w:p>
          <w:p w:rsidR="00F32158" w:rsidRPr="000B1EFA" w:rsidRDefault="00F32158" w:rsidP="00F32158">
            <w:pPr>
              <w:spacing w:line="360" w:lineRule="auto"/>
              <w:jc w:val="center"/>
              <w:rPr>
                <w:rFonts w:eastAsia="Calibri"/>
                <w:sz w:val="24"/>
                <w:szCs w:val="24"/>
                <w:lang w:val="uk-UA"/>
              </w:rPr>
            </w:pPr>
            <w:r w:rsidRPr="000B1EFA">
              <w:rPr>
                <w:rFonts w:eastAsia="Calibri"/>
                <w:sz w:val="24"/>
                <w:szCs w:val="24"/>
                <w:lang w:val="uk-UA"/>
              </w:rPr>
              <w:t>ДІ</w:t>
            </w:r>
          </w:p>
        </w:tc>
        <w:tc>
          <w:tcPr>
            <w:tcW w:w="4632" w:type="dxa"/>
          </w:tcPr>
          <w:p w:rsidR="00F32158" w:rsidRPr="000B1EFA" w:rsidRDefault="00F32158" w:rsidP="00F32158">
            <w:pPr>
              <w:shd w:val="clear" w:color="auto" w:fill="FFFFFF"/>
              <w:spacing w:line="360" w:lineRule="auto"/>
              <w:jc w:val="center"/>
              <w:rPr>
                <w:sz w:val="24"/>
                <w:szCs w:val="24"/>
              </w:rPr>
            </w:pPr>
            <w:r w:rsidRPr="000B1EFA">
              <w:rPr>
                <w:sz w:val="24"/>
                <w:szCs w:val="24"/>
              </w:rPr>
              <w:t>28,659.10</w:t>
            </w:r>
          </w:p>
          <w:p w:rsidR="00F32158" w:rsidRPr="000B1EFA" w:rsidRDefault="00F32158" w:rsidP="00F32158">
            <w:pPr>
              <w:shd w:val="clear" w:color="auto" w:fill="FFFFFF"/>
              <w:spacing w:line="360" w:lineRule="auto"/>
              <w:jc w:val="center"/>
              <w:rPr>
                <w:sz w:val="24"/>
                <w:szCs w:val="24"/>
              </w:rPr>
            </w:pPr>
            <w:r w:rsidRPr="000B1EFA">
              <w:rPr>
                <w:sz w:val="24"/>
                <w:szCs w:val="24"/>
              </w:rPr>
              <w:t>(32,314.57-24,933.51)</w:t>
            </w:r>
          </w:p>
        </w:tc>
        <w:tc>
          <w:tcPr>
            <w:tcW w:w="4393" w:type="dxa"/>
          </w:tcPr>
          <w:p w:rsidR="00F32158" w:rsidRPr="000B1EFA" w:rsidRDefault="00F32158" w:rsidP="00F32158">
            <w:pPr>
              <w:shd w:val="clear" w:color="auto" w:fill="FFFFFF"/>
              <w:spacing w:line="360" w:lineRule="auto"/>
              <w:jc w:val="center"/>
              <w:rPr>
                <w:sz w:val="24"/>
                <w:szCs w:val="24"/>
              </w:rPr>
            </w:pPr>
            <w:r w:rsidRPr="000B1EFA">
              <w:rPr>
                <w:sz w:val="24"/>
                <w:szCs w:val="24"/>
              </w:rPr>
              <w:t>26,485.05</w:t>
            </w:r>
          </w:p>
          <w:p w:rsidR="00F32158" w:rsidRPr="000B1EFA" w:rsidRDefault="00F32158" w:rsidP="00F32158">
            <w:pPr>
              <w:shd w:val="clear" w:color="auto" w:fill="FFFFFF"/>
              <w:spacing w:line="360" w:lineRule="auto"/>
              <w:jc w:val="center"/>
              <w:rPr>
                <w:sz w:val="24"/>
                <w:szCs w:val="24"/>
              </w:rPr>
            </w:pPr>
            <w:r w:rsidRPr="000B1EFA">
              <w:rPr>
                <w:sz w:val="24"/>
                <w:szCs w:val="24"/>
              </w:rPr>
              <w:t>(30,080.06-22,642.20)</w:t>
            </w:r>
          </w:p>
        </w:tc>
      </w:tr>
      <w:tr w:rsidR="000B1EFA" w:rsidRPr="000B1EFA" w:rsidTr="00BF1F99">
        <w:trPr>
          <w:jc w:val="center"/>
        </w:trPr>
        <w:tc>
          <w:tcPr>
            <w:tcW w:w="1038" w:type="dxa"/>
          </w:tcPr>
          <w:p w:rsidR="00F32158" w:rsidRPr="000B1EFA" w:rsidRDefault="00F32158" w:rsidP="00F32158">
            <w:pPr>
              <w:spacing w:line="360" w:lineRule="auto"/>
              <w:jc w:val="center"/>
              <w:rPr>
                <w:rFonts w:eastAsia="Calibri"/>
                <w:sz w:val="24"/>
                <w:szCs w:val="24"/>
                <w:lang w:val="uk-UA"/>
              </w:rPr>
            </w:pPr>
            <w:r w:rsidRPr="000B1EFA">
              <w:rPr>
                <w:rFonts w:eastAsia="Calibri"/>
                <w:sz w:val="24"/>
                <w:szCs w:val="24"/>
                <w:lang w:val="uk-UA"/>
              </w:rPr>
              <w:t>2013</w:t>
            </w:r>
          </w:p>
          <w:p w:rsidR="00F32158" w:rsidRPr="000B1EFA" w:rsidRDefault="00F32158" w:rsidP="00F32158">
            <w:pPr>
              <w:spacing w:line="360" w:lineRule="auto"/>
              <w:jc w:val="center"/>
              <w:rPr>
                <w:rFonts w:eastAsia="Calibri"/>
                <w:sz w:val="24"/>
                <w:szCs w:val="24"/>
                <w:lang w:val="uk-UA"/>
              </w:rPr>
            </w:pPr>
            <w:r w:rsidRPr="000B1EFA">
              <w:rPr>
                <w:rFonts w:eastAsia="Calibri"/>
                <w:sz w:val="24"/>
                <w:szCs w:val="24"/>
                <w:lang w:val="uk-UA"/>
              </w:rPr>
              <w:t>ДІ</w:t>
            </w:r>
          </w:p>
        </w:tc>
        <w:tc>
          <w:tcPr>
            <w:tcW w:w="4632" w:type="dxa"/>
          </w:tcPr>
          <w:p w:rsidR="00F32158" w:rsidRPr="000B1EFA" w:rsidRDefault="00F32158" w:rsidP="00F32158">
            <w:pPr>
              <w:spacing w:line="360" w:lineRule="auto"/>
              <w:jc w:val="center"/>
              <w:rPr>
                <w:sz w:val="24"/>
                <w:szCs w:val="24"/>
              </w:rPr>
            </w:pPr>
            <w:r w:rsidRPr="000B1EFA">
              <w:rPr>
                <w:sz w:val="24"/>
                <w:szCs w:val="24"/>
              </w:rPr>
              <w:t>26,973.23</w:t>
            </w:r>
          </w:p>
          <w:p w:rsidR="00F32158" w:rsidRPr="000B1EFA" w:rsidRDefault="00F32158" w:rsidP="00F32158">
            <w:pPr>
              <w:spacing w:line="360" w:lineRule="auto"/>
              <w:jc w:val="center"/>
              <w:rPr>
                <w:sz w:val="24"/>
                <w:szCs w:val="24"/>
              </w:rPr>
            </w:pPr>
            <w:r w:rsidRPr="000B1EFA">
              <w:rPr>
                <w:sz w:val="24"/>
                <w:szCs w:val="24"/>
              </w:rPr>
              <w:t>(30,961.37-22,974.47)</w:t>
            </w:r>
          </w:p>
        </w:tc>
        <w:tc>
          <w:tcPr>
            <w:tcW w:w="4393" w:type="dxa"/>
          </w:tcPr>
          <w:p w:rsidR="00F32158" w:rsidRPr="000B1EFA" w:rsidRDefault="00F32158" w:rsidP="00F32158">
            <w:pPr>
              <w:spacing w:line="360" w:lineRule="auto"/>
              <w:jc w:val="center"/>
              <w:rPr>
                <w:sz w:val="24"/>
                <w:szCs w:val="24"/>
              </w:rPr>
            </w:pPr>
            <w:r w:rsidRPr="000B1EFA">
              <w:rPr>
                <w:sz w:val="24"/>
                <w:szCs w:val="24"/>
              </w:rPr>
              <w:t>24,799.33</w:t>
            </w:r>
          </w:p>
          <w:p w:rsidR="00F32158" w:rsidRPr="000B1EFA" w:rsidRDefault="00F32158" w:rsidP="00F32158">
            <w:pPr>
              <w:spacing w:line="360" w:lineRule="auto"/>
              <w:jc w:val="center"/>
              <w:rPr>
                <w:sz w:val="24"/>
                <w:szCs w:val="24"/>
              </w:rPr>
            </w:pPr>
            <w:r w:rsidRPr="000B1EFA">
              <w:rPr>
                <w:sz w:val="24"/>
                <w:szCs w:val="24"/>
              </w:rPr>
              <w:t>(28,670.76-20,748.22)</w:t>
            </w:r>
          </w:p>
        </w:tc>
      </w:tr>
      <w:tr w:rsidR="000B1EFA" w:rsidRPr="000B1EFA" w:rsidTr="00BF1F99">
        <w:trPr>
          <w:jc w:val="center"/>
        </w:trPr>
        <w:tc>
          <w:tcPr>
            <w:tcW w:w="1038" w:type="dxa"/>
          </w:tcPr>
          <w:p w:rsidR="00F32158" w:rsidRPr="000B1EFA" w:rsidRDefault="00F32158" w:rsidP="00F32158">
            <w:pPr>
              <w:spacing w:line="360" w:lineRule="auto"/>
              <w:jc w:val="center"/>
              <w:rPr>
                <w:rFonts w:eastAsia="Calibri"/>
                <w:sz w:val="24"/>
                <w:szCs w:val="24"/>
                <w:lang w:val="uk-UA"/>
              </w:rPr>
            </w:pPr>
            <w:r w:rsidRPr="000B1EFA">
              <w:rPr>
                <w:rFonts w:eastAsia="Calibri"/>
                <w:sz w:val="24"/>
                <w:szCs w:val="24"/>
                <w:lang w:val="uk-UA"/>
              </w:rPr>
              <w:t>2014</w:t>
            </w:r>
          </w:p>
          <w:p w:rsidR="00F32158" w:rsidRPr="000B1EFA" w:rsidRDefault="00F32158" w:rsidP="00F32158">
            <w:pPr>
              <w:spacing w:line="360" w:lineRule="auto"/>
              <w:jc w:val="center"/>
              <w:rPr>
                <w:rFonts w:eastAsia="Calibri"/>
                <w:sz w:val="24"/>
                <w:szCs w:val="24"/>
                <w:lang w:val="uk-UA"/>
              </w:rPr>
            </w:pPr>
            <w:r w:rsidRPr="000B1EFA">
              <w:rPr>
                <w:rFonts w:eastAsia="Calibri"/>
                <w:sz w:val="24"/>
                <w:szCs w:val="24"/>
                <w:lang w:val="uk-UA"/>
              </w:rPr>
              <w:t>ДІ</w:t>
            </w:r>
          </w:p>
        </w:tc>
        <w:tc>
          <w:tcPr>
            <w:tcW w:w="4632" w:type="dxa"/>
          </w:tcPr>
          <w:p w:rsidR="00F32158" w:rsidRPr="000B1EFA" w:rsidRDefault="00F32158" w:rsidP="00F32158">
            <w:pPr>
              <w:shd w:val="clear" w:color="auto" w:fill="FFFFFF"/>
              <w:spacing w:line="360" w:lineRule="auto"/>
              <w:jc w:val="center"/>
              <w:rPr>
                <w:sz w:val="24"/>
                <w:szCs w:val="24"/>
              </w:rPr>
            </w:pPr>
            <w:r w:rsidRPr="000B1EFA">
              <w:rPr>
                <w:sz w:val="24"/>
                <w:szCs w:val="24"/>
              </w:rPr>
              <w:t>27,885.04</w:t>
            </w:r>
          </w:p>
          <w:p w:rsidR="00F32158" w:rsidRPr="000B1EFA" w:rsidRDefault="00F32158" w:rsidP="00F32158">
            <w:pPr>
              <w:shd w:val="clear" w:color="auto" w:fill="FFFFFF"/>
              <w:spacing w:line="360" w:lineRule="auto"/>
              <w:jc w:val="center"/>
              <w:rPr>
                <w:sz w:val="24"/>
                <w:szCs w:val="24"/>
              </w:rPr>
            </w:pPr>
            <w:r w:rsidRPr="000B1EFA">
              <w:rPr>
                <w:sz w:val="24"/>
                <w:szCs w:val="24"/>
              </w:rPr>
              <w:t>(32,245.56-23,439.36)</w:t>
            </w:r>
          </w:p>
        </w:tc>
        <w:tc>
          <w:tcPr>
            <w:tcW w:w="4393" w:type="dxa"/>
          </w:tcPr>
          <w:p w:rsidR="00F32158" w:rsidRPr="000B1EFA" w:rsidRDefault="00F32158" w:rsidP="00F32158">
            <w:pPr>
              <w:shd w:val="clear" w:color="auto" w:fill="FFFFFF"/>
              <w:spacing w:line="360" w:lineRule="auto"/>
              <w:jc w:val="center"/>
              <w:rPr>
                <w:sz w:val="24"/>
                <w:szCs w:val="24"/>
              </w:rPr>
            </w:pPr>
            <w:r w:rsidRPr="000B1EFA">
              <w:rPr>
                <w:sz w:val="24"/>
                <w:szCs w:val="24"/>
              </w:rPr>
              <w:t>25,703.43</w:t>
            </w:r>
          </w:p>
          <w:p w:rsidR="00F32158" w:rsidRPr="000B1EFA" w:rsidRDefault="00F32158" w:rsidP="00F32158">
            <w:pPr>
              <w:shd w:val="clear" w:color="auto" w:fill="FFFFFF"/>
              <w:spacing w:line="360" w:lineRule="auto"/>
              <w:jc w:val="center"/>
              <w:rPr>
                <w:sz w:val="24"/>
                <w:szCs w:val="24"/>
              </w:rPr>
            </w:pPr>
            <w:r w:rsidRPr="000B1EFA">
              <w:rPr>
                <w:sz w:val="24"/>
                <w:szCs w:val="24"/>
              </w:rPr>
              <w:t>(30,112.30-21,138.59)</w:t>
            </w:r>
          </w:p>
        </w:tc>
      </w:tr>
      <w:tr w:rsidR="000B1EFA" w:rsidRPr="000B1EFA" w:rsidTr="00BF1F99">
        <w:trPr>
          <w:jc w:val="center"/>
        </w:trPr>
        <w:tc>
          <w:tcPr>
            <w:tcW w:w="1038" w:type="dxa"/>
          </w:tcPr>
          <w:p w:rsidR="00F32158" w:rsidRPr="000B1EFA" w:rsidRDefault="00F32158" w:rsidP="00F32158">
            <w:pPr>
              <w:spacing w:line="360" w:lineRule="auto"/>
              <w:jc w:val="center"/>
              <w:rPr>
                <w:rFonts w:eastAsia="Calibri"/>
                <w:sz w:val="24"/>
                <w:szCs w:val="24"/>
                <w:lang w:val="uk-UA"/>
              </w:rPr>
            </w:pPr>
            <w:r w:rsidRPr="000B1EFA">
              <w:rPr>
                <w:rFonts w:eastAsia="Calibri"/>
                <w:sz w:val="24"/>
                <w:szCs w:val="24"/>
                <w:lang w:val="uk-UA"/>
              </w:rPr>
              <w:t>2015</w:t>
            </w:r>
          </w:p>
          <w:p w:rsidR="00F32158" w:rsidRPr="000B1EFA" w:rsidRDefault="00F32158" w:rsidP="00F32158">
            <w:pPr>
              <w:spacing w:line="360" w:lineRule="auto"/>
              <w:jc w:val="center"/>
              <w:rPr>
                <w:rFonts w:eastAsia="Calibri"/>
                <w:sz w:val="24"/>
                <w:szCs w:val="24"/>
                <w:lang w:val="uk-UA"/>
              </w:rPr>
            </w:pPr>
            <w:r w:rsidRPr="000B1EFA">
              <w:rPr>
                <w:rFonts w:eastAsia="Calibri"/>
                <w:sz w:val="24"/>
                <w:szCs w:val="24"/>
                <w:lang w:val="uk-UA"/>
              </w:rPr>
              <w:t>ДІ</w:t>
            </w:r>
          </w:p>
        </w:tc>
        <w:tc>
          <w:tcPr>
            <w:tcW w:w="4632" w:type="dxa"/>
          </w:tcPr>
          <w:p w:rsidR="00F32158" w:rsidRPr="000B1EFA" w:rsidRDefault="00F32158" w:rsidP="00F32158">
            <w:pPr>
              <w:spacing w:line="360" w:lineRule="auto"/>
              <w:jc w:val="center"/>
              <w:rPr>
                <w:sz w:val="24"/>
                <w:szCs w:val="24"/>
              </w:rPr>
            </w:pPr>
            <w:r w:rsidRPr="000B1EFA">
              <w:rPr>
                <w:sz w:val="24"/>
                <w:szCs w:val="24"/>
              </w:rPr>
              <w:t>30,248.21</w:t>
            </w:r>
          </w:p>
          <w:p w:rsidR="00F32158" w:rsidRPr="000B1EFA" w:rsidRDefault="00F32158" w:rsidP="00F32158">
            <w:pPr>
              <w:spacing w:line="360" w:lineRule="auto"/>
              <w:jc w:val="center"/>
              <w:rPr>
                <w:sz w:val="24"/>
                <w:szCs w:val="24"/>
              </w:rPr>
            </w:pPr>
            <w:r w:rsidRPr="000B1EFA">
              <w:rPr>
                <w:sz w:val="24"/>
                <w:szCs w:val="24"/>
              </w:rPr>
              <w:t>(35,795.89-24,913.71)</w:t>
            </w:r>
          </w:p>
        </w:tc>
        <w:tc>
          <w:tcPr>
            <w:tcW w:w="4393" w:type="dxa"/>
          </w:tcPr>
          <w:p w:rsidR="00F32158" w:rsidRPr="000B1EFA" w:rsidRDefault="00F32158" w:rsidP="00F32158">
            <w:pPr>
              <w:spacing w:line="360" w:lineRule="auto"/>
              <w:jc w:val="center"/>
              <w:rPr>
                <w:sz w:val="24"/>
                <w:szCs w:val="24"/>
              </w:rPr>
            </w:pPr>
            <w:r w:rsidRPr="000B1EFA">
              <w:rPr>
                <w:sz w:val="24"/>
                <w:szCs w:val="24"/>
              </w:rPr>
              <w:t>28,054.19</w:t>
            </w:r>
          </w:p>
          <w:p w:rsidR="00F32158" w:rsidRPr="000B1EFA" w:rsidRDefault="00F32158" w:rsidP="00F32158">
            <w:pPr>
              <w:spacing w:line="360" w:lineRule="auto"/>
              <w:jc w:val="center"/>
              <w:rPr>
                <w:sz w:val="24"/>
                <w:szCs w:val="24"/>
              </w:rPr>
            </w:pPr>
            <w:r w:rsidRPr="000B1EFA">
              <w:rPr>
                <w:sz w:val="24"/>
                <w:szCs w:val="24"/>
              </w:rPr>
              <w:t>(33,493.10-22,692.49)</w:t>
            </w:r>
          </w:p>
        </w:tc>
      </w:tr>
      <w:tr w:rsidR="000B1EFA" w:rsidRPr="000B1EFA" w:rsidTr="00BF1F99">
        <w:trPr>
          <w:jc w:val="center"/>
        </w:trPr>
        <w:tc>
          <w:tcPr>
            <w:tcW w:w="1038" w:type="dxa"/>
          </w:tcPr>
          <w:p w:rsidR="00F32158" w:rsidRPr="000B1EFA" w:rsidRDefault="00F32158" w:rsidP="00F32158">
            <w:pPr>
              <w:spacing w:line="360" w:lineRule="auto"/>
              <w:jc w:val="center"/>
              <w:rPr>
                <w:rFonts w:eastAsia="Calibri"/>
                <w:sz w:val="24"/>
                <w:szCs w:val="24"/>
                <w:lang w:val="uk-UA"/>
              </w:rPr>
            </w:pPr>
            <w:r w:rsidRPr="000B1EFA">
              <w:rPr>
                <w:rFonts w:eastAsia="Calibri"/>
                <w:sz w:val="24"/>
                <w:szCs w:val="24"/>
                <w:lang w:val="uk-UA"/>
              </w:rPr>
              <w:t>2016</w:t>
            </w:r>
          </w:p>
          <w:p w:rsidR="00F32158" w:rsidRPr="000B1EFA" w:rsidRDefault="00F32158" w:rsidP="00F32158">
            <w:pPr>
              <w:spacing w:line="360" w:lineRule="auto"/>
              <w:jc w:val="center"/>
              <w:rPr>
                <w:rFonts w:eastAsia="Calibri"/>
                <w:sz w:val="24"/>
                <w:szCs w:val="24"/>
                <w:lang w:val="uk-UA"/>
              </w:rPr>
            </w:pPr>
            <w:r w:rsidRPr="000B1EFA">
              <w:rPr>
                <w:rFonts w:eastAsia="Calibri"/>
                <w:sz w:val="24"/>
                <w:szCs w:val="24"/>
                <w:lang w:val="uk-UA"/>
              </w:rPr>
              <w:t>ДІ</w:t>
            </w:r>
          </w:p>
        </w:tc>
        <w:tc>
          <w:tcPr>
            <w:tcW w:w="4632" w:type="dxa"/>
          </w:tcPr>
          <w:p w:rsidR="00F32158" w:rsidRPr="000B1EFA" w:rsidRDefault="00F32158" w:rsidP="00F32158">
            <w:pPr>
              <w:shd w:val="clear" w:color="auto" w:fill="FFFFFF"/>
              <w:spacing w:line="360" w:lineRule="auto"/>
              <w:jc w:val="center"/>
              <w:rPr>
                <w:sz w:val="24"/>
                <w:szCs w:val="24"/>
              </w:rPr>
            </w:pPr>
            <w:r w:rsidRPr="000B1EFA">
              <w:rPr>
                <w:sz w:val="24"/>
                <w:szCs w:val="24"/>
              </w:rPr>
              <w:t>29,600.17</w:t>
            </w:r>
          </w:p>
          <w:p w:rsidR="00F32158" w:rsidRPr="000B1EFA" w:rsidRDefault="00F32158" w:rsidP="00F32158">
            <w:pPr>
              <w:shd w:val="clear" w:color="auto" w:fill="FFFFFF"/>
              <w:spacing w:line="360" w:lineRule="auto"/>
              <w:jc w:val="center"/>
              <w:rPr>
                <w:sz w:val="24"/>
                <w:szCs w:val="24"/>
              </w:rPr>
            </w:pPr>
            <w:r w:rsidRPr="000B1EFA">
              <w:rPr>
                <w:sz w:val="24"/>
                <w:szCs w:val="24"/>
              </w:rPr>
              <w:t>(35,334.34-23,991.06)</w:t>
            </w:r>
          </w:p>
        </w:tc>
        <w:tc>
          <w:tcPr>
            <w:tcW w:w="4393" w:type="dxa"/>
          </w:tcPr>
          <w:p w:rsidR="00F32158" w:rsidRPr="000B1EFA" w:rsidRDefault="00F32158" w:rsidP="00F32158">
            <w:pPr>
              <w:shd w:val="clear" w:color="auto" w:fill="FFFFFF"/>
              <w:spacing w:line="360" w:lineRule="auto"/>
              <w:jc w:val="center"/>
              <w:rPr>
                <w:sz w:val="24"/>
                <w:szCs w:val="24"/>
              </w:rPr>
            </w:pPr>
            <w:r w:rsidRPr="000B1EFA">
              <w:rPr>
                <w:sz w:val="24"/>
                <w:szCs w:val="24"/>
              </w:rPr>
              <w:t>27,391.04</w:t>
            </w:r>
          </w:p>
          <w:p w:rsidR="00F32158" w:rsidRPr="000B1EFA" w:rsidRDefault="00F32158" w:rsidP="00F32158">
            <w:pPr>
              <w:shd w:val="clear" w:color="auto" w:fill="FFFFFF"/>
              <w:spacing w:line="360" w:lineRule="auto"/>
              <w:jc w:val="center"/>
              <w:rPr>
                <w:sz w:val="24"/>
                <w:szCs w:val="24"/>
              </w:rPr>
            </w:pPr>
            <w:r w:rsidRPr="000B1EFA">
              <w:rPr>
                <w:sz w:val="24"/>
                <w:szCs w:val="24"/>
              </w:rPr>
              <w:t>(32,999.80-21,813.61)</w:t>
            </w:r>
          </w:p>
        </w:tc>
      </w:tr>
      <w:tr w:rsidR="000B1EFA" w:rsidRPr="000B1EFA" w:rsidTr="00BF1F99">
        <w:trPr>
          <w:jc w:val="center"/>
        </w:trPr>
        <w:tc>
          <w:tcPr>
            <w:tcW w:w="1038" w:type="dxa"/>
          </w:tcPr>
          <w:p w:rsidR="00F32158" w:rsidRPr="000B1EFA" w:rsidRDefault="00F32158" w:rsidP="00F32158">
            <w:pPr>
              <w:spacing w:line="360" w:lineRule="auto"/>
              <w:jc w:val="center"/>
              <w:rPr>
                <w:rFonts w:eastAsia="Calibri"/>
                <w:sz w:val="24"/>
                <w:szCs w:val="24"/>
                <w:lang w:val="uk-UA"/>
              </w:rPr>
            </w:pPr>
            <w:r w:rsidRPr="000B1EFA">
              <w:rPr>
                <w:rFonts w:eastAsia="Calibri"/>
                <w:sz w:val="24"/>
                <w:szCs w:val="24"/>
                <w:lang w:val="uk-UA"/>
              </w:rPr>
              <w:t>2017</w:t>
            </w:r>
          </w:p>
          <w:p w:rsidR="00F32158" w:rsidRPr="000B1EFA" w:rsidRDefault="00F32158" w:rsidP="00F32158">
            <w:pPr>
              <w:spacing w:line="360" w:lineRule="auto"/>
              <w:jc w:val="center"/>
              <w:rPr>
                <w:rFonts w:eastAsia="Calibri"/>
                <w:sz w:val="24"/>
                <w:szCs w:val="24"/>
                <w:lang w:val="uk-UA"/>
              </w:rPr>
            </w:pPr>
            <w:r w:rsidRPr="000B1EFA">
              <w:rPr>
                <w:rFonts w:eastAsia="Calibri"/>
                <w:sz w:val="24"/>
                <w:szCs w:val="24"/>
                <w:lang w:val="uk-UA"/>
              </w:rPr>
              <w:t>ДІ</w:t>
            </w:r>
          </w:p>
        </w:tc>
        <w:tc>
          <w:tcPr>
            <w:tcW w:w="4632" w:type="dxa"/>
          </w:tcPr>
          <w:p w:rsidR="00F32158" w:rsidRPr="000B1EFA" w:rsidRDefault="00F32158" w:rsidP="00F32158">
            <w:pPr>
              <w:spacing w:line="360" w:lineRule="auto"/>
              <w:jc w:val="center"/>
              <w:rPr>
                <w:sz w:val="24"/>
                <w:szCs w:val="24"/>
              </w:rPr>
            </w:pPr>
            <w:r w:rsidRPr="000B1EFA">
              <w:rPr>
                <w:sz w:val="24"/>
                <w:szCs w:val="24"/>
              </w:rPr>
              <w:t>28,514.04</w:t>
            </w:r>
          </w:p>
          <w:p w:rsidR="00F32158" w:rsidRPr="000B1EFA" w:rsidRDefault="00F32158" w:rsidP="00F32158">
            <w:pPr>
              <w:spacing w:line="360" w:lineRule="auto"/>
              <w:jc w:val="center"/>
              <w:rPr>
                <w:sz w:val="24"/>
                <w:szCs w:val="24"/>
              </w:rPr>
            </w:pPr>
            <w:r w:rsidRPr="000B1EFA">
              <w:rPr>
                <w:sz w:val="24"/>
                <w:szCs w:val="24"/>
              </w:rPr>
              <w:t>(34,772.91-22,849.43)</w:t>
            </w:r>
          </w:p>
        </w:tc>
        <w:tc>
          <w:tcPr>
            <w:tcW w:w="4393" w:type="dxa"/>
          </w:tcPr>
          <w:p w:rsidR="00F32158" w:rsidRPr="000B1EFA" w:rsidRDefault="00F32158" w:rsidP="00F32158">
            <w:pPr>
              <w:spacing w:line="360" w:lineRule="auto"/>
              <w:jc w:val="center"/>
              <w:rPr>
                <w:sz w:val="24"/>
                <w:szCs w:val="24"/>
              </w:rPr>
            </w:pPr>
            <w:r w:rsidRPr="000B1EFA">
              <w:rPr>
                <w:sz w:val="24"/>
                <w:szCs w:val="24"/>
              </w:rPr>
              <w:t>26,293.20</w:t>
            </w:r>
          </w:p>
          <w:p w:rsidR="00F32158" w:rsidRPr="000B1EFA" w:rsidRDefault="00F32158" w:rsidP="00F32158">
            <w:pPr>
              <w:spacing w:line="360" w:lineRule="auto"/>
              <w:jc w:val="center"/>
              <w:rPr>
                <w:sz w:val="24"/>
                <w:szCs w:val="24"/>
              </w:rPr>
            </w:pPr>
            <w:r w:rsidRPr="000B1EFA">
              <w:rPr>
                <w:sz w:val="24"/>
                <w:szCs w:val="24"/>
              </w:rPr>
              <w:t>(32,433.32-20,393.86)</w:t>
            </w:r>
          </w:p>
        </w:tc>
      </w:tr>
      <w:tr w:rsidR="000B1EFA" w:rsidRPr="000B1EFA" w:rsidTr="00BF1F99">
        <w:trPr>
          <w:jc w:val="center"/>
        </w:trPr>
        <w:tc>
          <w:tcPr>
            <w:tcW w:w="1038" w:type="dxa"/>
          </w:tcPr>
          <w:p w:rsidR="00F32158" w:rsidRPr="000B1EFA" w:rsidRDefault="00F32158" w:rsidP="00F32158">
            <w:pPr>
              <w:spacing w:line="360" w:lineRule="auto"/>
              <w:jc w:val="center"/>
              <w:rPr>
                <w:rFonts w:eastAsia="Calibri"/>
                <w:sz w:val="24"/>
                <w:szCs w:val="24"/>
                <w:lang w:val="uk-UA"/>
              </w:rPr>
            </w:pPr>
            <w:r w:rsidRPr="000B1EFA">
              <w:rPr>
                <w:rFonts w:eastAsia="Calibri"/>
                <w:sz w:val="24"/>
                <w:szCs w:val="24"/>
                <w:lang w:val="uk-UA"/>
              </w:rPr>
              <w:t>2018</w:t>
            </w:r>
          </w:p>
          <w:p w:rsidR="00F32158" w:rsidRPr="000B1EFA" w:rsidRDefault="00F32158" w:rsidP="00F32158">
            <w:pPr>
              <w:spacing w:line="360" w:lineRule="auto"/>
              <w:jc w:val="center"/>
              <w:rPr>
                <w:rFonts w:eastAsia="Calibri"/>
                <w:sz w:val="24"/>
                <w:szCs w:val="24"/>
                <w:lang w:val="uk-UA"/>
              </w:rPr>
            </w:pPr>
            <w:r w:rsidRPr="000B1EFA">
              <w:rPr>
                <w:rFonts w:eastAsia="Calibri"/>
                <w:sz w:val="24"/>
                <w:szCs w:val="24"/>
              </w:rPr>
              <w:t>ДІ</w:t>
            </w:r>
          </w:p>
        </w:tc>
        <w:tc>
          <w:tcPr>
            <w:tcW w:w="4632" w:type="dxa"/>
          </w:tcPr>
          <w:p w:rsidR="00F32158" w:rsidRPr="000B1EFA" w:rsidRDefault="00F32158" w:rsidP="00F32158">
            <w:pPr>
              <w:shd w:val="clear" w:color="auto" w:fill="FFFFFF"/>
              <w:spacing w:line="360" w:lineRule="auto"/>
              <w:jc w:val="center"/>
              <w:rPr>
                <w:sz w:val="24"/>
                <w:szCs w:val="24"/>
              </w:rPr>
            </w:pPr>
            <w:r w:rsidRPr="000B1EFA">
              <w:rPr>
                <w:sz w:val="24"/>
                <w:szCs w:val="24"/>
              </w:rPr>
              <w:t>27,801.52</w:t>
            </w:r>
          </w:p>
          <w:p w:rsidR="00F32158" w:rsidRPr="000B1EFA" w:rsidRDefault="00F32158" w:rsidP="00F32158">
            <w:pPr>
              <w:shd w:val="clear" w:color="auto" w:fill="FFFFFF"/>
              <w:spacing w:line="360" w:lineRule="auto"/>
              <w:jc w:val="center"/>
              <w:rPr>
                <w:sz w:val="24"/>
                <w:szCs w:val="24"/>
              </w:rPr>
            </w:pPr>
            <w:r w:rsidRPr="000B1EFA">
              <w:rPr>
                <w:sz w:val="24"/>
                <w:szCs w:val="24"/>
              </w:rPr>
              <w:t>(34,112.94-21,898.88)</w:t>
            </w:r>
          </w:p>
        </w:tc>
        <w:tc>
          <w:tcPr>
            <w:tcW w:w="4393" w:type="dxa"/>
          </w:tcPr>
          <w:p w:rsidR="00F32158" w:rsidRPr="000B1EFA" w:rsidRDefault="00F32158" w:rsidP="00F32158">
            <w:pPr>
              <w:shd w:val="clear" w:color="auto" w:fill="FFFFFF"/>
              <w:spacing w:line="360" w:lineRule="auto"/>
              <w:jc w:val="center"/>
              <w:rPr>
                <w:sz w:val="24"/>
                <w:szCs w:val="24"/>
              </w:rPr>
            </w:pPr>
            <w:r w:rsidRPr="000B1EFA">
              <w:rPr>
                <w:sz w:val="24"/>
                <w:szCs w:val="24"/>
              </w:rPr>
              <w:t>25,564.37</w:t>
            </w:r>
          </w:p>
          <w:p w:rsidR="00F32158" w:rsidRPr="000B1EFA" w:rsidRDefault="00F32158" w:rsidP="00F32158">
            <w:pPr>
              <w:shd w:val="clear" w:color="auto" w:fill="FFFFFF"/>
              <w:spacing w:line="360" w:lineRule="auto"/>
              <w:jc w:val="center"/>
              <w:rPr>
                <w:sz w:val="24"/>
                <w:szCs w:val="24"/>
              </w:rPr>
            </w:pPr>
            <w:r w:rsidRPr="000B1EFA">
              <w:rPr>
                <w:sz w:val="24"/>
                <w:szCs w:val="24"/>
              </w:rPr>
              <w:t>(31,939.91-19,932.18)</w:t>
            </w:r>
          </w:p>
        </w:tc>
      </w:tr>
      <w:tr w:rsidR="000B1EFA" w:rsidRPr="000B1EFA" w:rsidTr="00BF1F99">
        <w:trPr>
          <w:jc w:val="center"/>
        </w:trPr>
        <w:tc>
          <w:tcPr>
            <w:tcW w:w="1038" w:type="dxa"/>
          </w:tcPr>
          <w:p w:rsidR="00F32158" w:rsidRPr="000B1EFA" w:rsidRDefault="00F32158" w:rsidP="00F32158">
            <w:pPr>
              <w:spacing w:line="360" w:lineRule="auto"/>
              <w:jc w:val="center"/>
              <w:rPr>
                <w:rFonts w:eastAsia="Calibri"/>
                <w:sz w:val="24"/>
                <w:szCs w:val="24"/>
                <w:lang w:val="uk-UA"/>
              </w:rPr>
            </w:pPr>
            <w:r w:rsidRPr="000B1EFA">
              <w:rPr>
                <w:rFonts w:eastAsia="Calibri"/>
                <w:sz w:val="24"/>
                <w:szCs w:val="24"/>
                <w:lang w:val="uk-UA"/>
              </w:rPr>
              <w:t>2019</w:t>
            </w:r>
          </w:p>
          <w:p w:rsidR="00F32158" w:rsidRPr="000B1EFA" w:rsidRDefault="00F32158" w:rsidP="00F32158">
            <w:pPr>
              <w:spacing w:line="360" w:lineRule="auto"/>
              <w:jc w:val="center"/>
              <w:rPr>
                <w:rFonts w:eastAsia="Calibri"/>
                <w:sz w:val="24"/>
                <w:szCs w:val="24"/>
                <w:lang w:val="uk-UA"/>
              </w:rPr>
            </w:pPr>
            <w:r w:rsidRPr="000B1EFA">
              <w:rPr>
                <w:rFonts w:eastAsia="Calibri"/>
                <w:sz w:val="24"/>
                <w:szCs w:val="24"/>
                <w:lang w:val="uk-UA"/>
              </w:rPr>
              <w:t>ДІ</w:t>
            </w:r>
          </w:p>
        </w:tc>
        <w:tc>
          <w:tcPr>
            <w:tcW w:w="4632" w:type="dxa"/>
          </w:tcPr>
          <w:p w:rsidR="00F32158" w:rsidRPr="000B1EFA" w:rsidRDefault="00F32158" w:rsidP="00F32158">
            <w:pPr>
              <w:spacing w:line="360" w:lineRule="auto"/>
              <w:jc w:val="center"/>
              <w:rPr>
                <w:sz w:val="24"/>
                <w:szCs w:val="24"/>
              </w:rPr>
            </w:pPr>
            <w:r w:rsidRPr="000B1EFA">
              <w:rPr>
                <w:sz w:val="24"/>
                <w:szCs w:val="24"/>
              </w:rPr>
              <w:t>26,926.68</w:t>
            </w:r>
          </w:p>
          <w:p w:rsidR="00F32158" w:rsidRPr="000B1EFA" w:rsidRDefault="00F32158" w:rsidP="00F32158">
            <w:pPr>
              <w:spacing w:line="360" w:lineRule="auto"/>
              <w:jc w:val="center"/>
              <w:rPr>
                <w:sz w:val="24"/>
                <w:szCs w:val="24"/>
              </w:rPr>
            </w:pPr>
            <w:r w:rsidRPr="000B1EFA">
              <w:rPr>
                <w:sz w:val="24"/>
                <w:szCs w:val="24"/>
              </w:rPr>
              <w:t>(33,922.47-21,476.56)</w:t>
            </w:r>
          </w:p>
        </w:tc>
        <w:tc>
          <w:tcPr>
            <w:tcW w:w="4393" w:type="dxa"/>
          </w:tcPr>
          <w:p w:rsidR="00F32158" w:rsidRPr="000B1EFA" w:rsidRDefault="00F32158" w:rsidP="00F32158">
            <w:pPr>
              <w:spacing w:line="360" w:lineRule="auto"/>
              <w:jc w:val="center"/>
              <w:rPr>
                <w:sz w:val="24"/>
                <w:szCs w:val="24"/>
              </w:rPr>
            </w:pPr>
            <w:r w:rsidRPr="000B1EFA">
              <w:rPr>
                <w:sz w:val="24"/>
                <w:szCs w:val="24"/>
              </w:rPr>
              <w:t>24,668.94</w:t>
            </w:r>
          </w:p>
          <w:p w:rsidR="00F32158" w:rsidRPr="000B1EFA" w:rsidRDefault="00F32158" w:rsidP="00F32158">
            <w:pPr>
              <w:spacing w:line="360" w:lineRule="auto"/>
              <w:jc w:val="center"/>
              <w:rPr>
                <w:sz w:val="24"/>
                <w:szCs w:val="24"/>
              </w:rPr>
            </w:pPr>
            <w:r w:rsidRPr="000B1EFA">
              <w:rPr>
                <w:sz w:val="24"/>
                <w:szCs w:val="24"/>
              </w:rPr>
              <w:t>(31,784.42-19,123.99)</w:t>
            </w:r>
          </w:p>
        </w:tc>
      </w:tr>
    </w:tbl>
    <w:p w:rsidR="00887B51" w:rsidRPr="00F32158" w:rsidRDefault="00887B51" w:rsidP="00F32158">
      <w:pPr>
        <w:spacing w:after="200"/>
        <w:jc w:val="left"/>
        <w:rPr>
          <w:rFonts w:eastAsia="Calibri"/>
          <w:b/>
          <w:szCs w:val="28"/>
        </w:rPr>
      </w:pPr>
    </w:p>
    <w:p w:rsidR="004561C3" w:rsidRDefault="004561C3" w:rsidP="00F32158">
      <w:pPr>
        <w:spacing w:after="200"/>
        <w:rPr>
          <w:rFonts w:eastAsia="Calibri"/>
          <w:b/>
          <w:szCs w:val="28"/>
          <w:u w:val="single"/>
          <w:lang w:val="ru-RU"/>
        </w:rPr>
      </w:pPr>
    </w:p>
    <w:p w:rsidR="003D65CD" w:rsidRDefault="003D65CD" w:rsidP="00887B51">
      <w:pPr>
        <w:spacing w:after="200"/>
        <w:jc w:val="right"/>
        <w:rPr>
          <w:rFonts w:eastAsia="Calibri"/>
          <w:szCs w:val="28"/>
        </w:rPr>
      </w:pPr>
    </w:p>
    <w:p w:rsidR="00887B51" w:rsidRPr="00C26252" w:rsidRDefault="002723E4" w:rsidP="00D13BF8">
      <w:pPr>
        <w:pageBreakBefore/>
        <w:spacing w:after="200"/>
        <w:jc w:val="right"/>
        <w:rPr>
          <w:rFonts w:eastAsia="Calibri"/>
          <w:szCs w:val="28"/>
        </w:rPr>
      </w:pPr>
      <w:r>
        <w:rPr>
          <w:rFonts w:eastAsia="Calibri"/>
          <w:szCs w:val="28"/>
        </w:rPr>
        <w:lastRenderedPageBreak/>
        <w:t>Додаток В</w:t>
      </w:r>
      <w:r w:rsidR="00887B51" w:rsidRPr="00C26252">
        <w:rPr>
          <w:rFonts w:eastAsia="Calibri"/>
          <w:szCs w:val="28"/>
        </w:rPr>
        <w:t>-1</w:t>
      </w:r>
    </w:p>
    <w:p w:rsidR="00887B51" w:rsidRPr="00887B51" w:rsidRDefault="00887B51" w:rsidP="000B1EFA">
      <w:pPr>
        <w:widowControl w:val="0"/>
        <w:jc w:val="center"/>
        <w:rPr>
          <w:rFonts w:eastAsia="Calibri"/>
          <w:b/>
          <w:color w:val="000000"/>
          <w:szCs w:val="28"/>
        </w:rPr>
      </w:pPr>
      <w:r w:rsidRPr="00887B51">
        <w:rPr>
          <w:rFonts w:eastAsia="Calibri"/>
          <w:b/>
          <w:color w:val="000000"/>
          <w:szCs w:val="28"/>
        </w:rPr>
        <w:t>Показники поширеності хвороб серед дітей віком 0–6 років життя включно за окремими класами зареєстрованих хвороб в Україні у 2013 р. і 2017 р. (на 1000 дітей відповідного віку, ‰)</w:t>
      </w:r>
    </w:p>
    <w:tbl>
      <w:tblPr>
        <w:tblW w:w="9525" w:type="dxa"/>
        <w:jc w:val="center"/>
        <w:tblInd w:w="-2096" w:type="dxa"/>
        <w:tblLook w:val="0000" w:firstRow="0" w:lastRow="0" w:firstColumn="0" w:lastColumn="0" w:noHBand="0" w:noVBand="0"/>
      </w:tblPr>
      <w:tblGrid>
        <w:gridCol w:w="7244"/>
        <w:gridCol w:w="1080"/>
        <w:gridCol w:w="1201"/>
      </w:tblGrid>
      <w:tr w:rsidR="00887B51" w:rsidRPr="000B1EFA" w:rsidTr="00153232">
        <w:trPr>
          <w:jc w:val="center"/>
        </w:trPr>
        <w:tc>
          <w:tcPr>
            <w:tcW w:w="7244" w:type="dxa"/>
            <w:vMerge w:val="restart"/>
            <w:tcBorders>
              <w:top w:val="single" w:sz="4" w:space="0" w:color="000000"/>
              <w:left w:val="single" w:sz="4" w:space="0" w:color="000000"/>
              <w:bottom w:val="single" w:sz="4" w:space="0" w:color="000000"/>
              <w:right w:val="single" w:sz="4" w:space="0" w:color="000000"/>
            </w:tcBorders>
            <w:vAlign w:val="center"/>
          </w:tcPr>
          <w:p w:rsidR="00887B51" w:rsidRPr="000B1EFA" w:rsidRDefault="00887B51" w:rsidP="00887B51">
            <w:pPr>
              <w:widowControl w:val="0"/>
              <w:spacing w:line="259" w:lineRule="auto"/>
              <w:jc w:val="center"/>
              <w:rPr>
                <w:rFonts w:eastAsia="Calibri"/>
                <w:sz w:val="24"/>
                <w:szCs w:val="24"/>
              </w:rPr>
            </w:pPr>
            <w:r w:rsidRPr="000B1EFA">
              <w:rPr>
                <w:rFonts w:eastAsia="Calibri"/>
                <w:sz w:val="24"/>
                <w:szCs w:val="24"/>
              </w:rPr>
              <w:t>Клас хвороб</w:t>
            </w:r>
          </w:p>
        </w:tc>
        <w:tc>
          <w:tcPr>
            <w:tcW w:w="2281" w:type="dxa"/>
            <w:gridSpan w:val="2"/>
            <w:tcBorders>
              <w:top w:val="single" w:sz="4" w:space="0" w:color="000000"/>
              <w:left w:val="single" w:sz="4" w:space="0" w:color="000000"/>
              <w:bottom w:val="single" w:sz="4" w:space="0" w:color="000000"/>
              <w:right w:val="single" w:sz="4" w:space="0" w:color="000000"/>
            </w:tcBorders>
            <w:vAlign w:val="center"/>
          </w:tcPr>
          <w:p w:rsidR="00887B51" w:rsidRPr="000B1EFA" w:rsidRDefault="00887B51" w:rsidP="00887B51">
            <w:pPr>
              <w:widowControl w:val="0"/>
              <w:spacing w:line="259" w:lineRule="auto"/>
              <w:jc w:val="center"/>
              <w:rPr>
                <w:rFonts w:eastAsia="Calibri"/>
                <w:sz w:val="24"/>
                <w:szCs w:val="24"/>
              </w:rPr>
            </w:pPr>
            <w:r w:rsidRPr="000B1EFA">
              <w:rPr>
                <w:rFonts w:eastAsia="Calibri"/>
                <w:sz w:val="24"/>
                <w:szCs w:val="24"/>
              </w:rPr>
              <w:t>Поширеність</w:t>
            </w:r>
          </w:p>
        </w:tc>
      </w:tr>
      <w:tr w:rsidR="00887B51" w:rsidRPr="000B1EFA" w:rsidTr="00153232">
        <w:trPr>
          <w:trHeight w:val="62"/>
          <w:jc w:val="center"/>
        </w:trPr>
        <w:tc>
          <w:tcPr>
            <w:tcW w:w="7244" w:type="dxa"/>
            <w:vMerge/>
            <w:tcBorders>
              <w:top w:val="single" w:sz="4" w:space="0" w:color="000000"/>
              <w:left w:val="single" w:sz="4" w:space="0" w:color="000000"/>
              <w:bottom w:val="single" w:sz="4" w:space="0" w:color="000000"/>
              <w:right w:val="single" w:sz="4" w:space="0" w:color="000000"/>
            </w:tcBorders>
            <w:vAlign w:val="center"/>
          </w:tcPr>
          <w:p w:rsidR="00887B51" w:rsidRPr="000B1EFA" w:rsidRDefault="00887B51" w:rsidP="00887B51">
            <w:pPr>
              <w:widowControl w:val="0"/>
              <w:spacing w:line="259" w:lineRule="auto"/>
              <w:jc w:val="left"/>
              <w:rPr>
                <w:rFonts w:eastAsia="Calibri"/>
                <w:sz w:val="24"/>
                <w:szCs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rsidR="00887B51" w:rsidRPr="000B1EFA" w:rsidRDefault="00887B51" w:rsidP="00887B51">
            <w:pPr>
              <w:widowControl w:val="0"/>
              <w:spacing w:line="259" w:lineRule="auto"/>
              <w:jc w:val="center"/>
              <w:rPr>
                <w:rFonts w:eastAsia="Calibri"/>
                <w:sz w:val="24"/>
                <w:szCs w:val="24"/>
              </w:rPr>
            </w:pPr>
            <w:r w:rsidRPr="000B1EFA">
              <w:rPr>
                <w:rFonts w:eastAsia="Calibri"/>
                <w:sz w:val="24"/>
                <w:szCs w:val="24"/>
              </w:rPr>
              <w:t>2013р.</w:t>
            </w:r>
          </w:p>
        </w:tc>
        <w:tc>
          <w:tcPr>
            <w:tcW w:w="1201" w:type="dxa"/>
            <w:tcBorders>
              <w:top w:val="single" w:sz="4" w:space="0" w:color="000000"/>
              <w:left w:val="single" w:sz="4" w:space="0" w:color="000000"/>
              <w:bottom w:val="single" w:sz="4" w:space="0" w:color="000000"/>
              <w:right w:val="single" w:sz="4" w:space="0" w:color="000000"/>
            </w:tcBorders>
            <w:vAlign w:val="center"/>
          </w:tcPr>
          <w:p w:rsidR="00887B51" w:rsidRPr="000B1EFA" w:rsidRDefault="00887B51" w:rsidP="00887B51">
            <w:pPr>
              <w:widowControl w:val="0"/>
              <w:spacing w:line="259" w:lineRule="auto"/>
              <w:jc w:val="center"/>
              <w:rPr>
                <w:rFonts w:eastAsia="Calibri"/>
                <w:sz w:val="24"/>
                <w:szCs w:val="24"/>
              </w:rPr>
            </w:pPr>
            <w:r w:rsidRPr="000B1EFA">
              <w:rPr>
                <w:rFonts w:eastAsia="Calibri"/>
                <w:sz w:val="24"/>
                <w:szCs w:val="24"/>
              </w:rPr>
              <w:t>2017 р.</w:t>
            </w:r>
          </w:p>
        </w:tc>
      </w:tr>
      <w:tr w:rsidR="00887B51" w:rsidRPr="000B1EFA" w:rsidTr="00153232">
        <w:trPr>
          <w:jc w:val="center"/>
        </w:trPr>
        <w:tc>
          <w:tcPr>
            <w:tcW w:w="7244" w:type="dxa"/>
            <w:tcBorders>
              <w:top w:val="single" w:sz="4" w:space="0" w:color="000000"/>
              <w:left w:val="single" w:sz="4" w:space="0" w:color="000000"/>
              <w:bottom w:val="single" w:sz="4" w:space="0" w:color="000000"/>
              <w:right w:val="single" w:sz="4" w:space="0" w:color="000000"/>
            </w:tcBorders>
            <w:vAlign w:val="center"/>
          </w:tcPr>
          <w:p w:rsidR="00887B51" w:rsidRPr="000B1EFA" w:rsidRDefault="00887B51" w:rsidP="00887B51">
            <w:pPr>
              <w:widowControl w:val="0"/>
              <w:spacing w:line="259" w:lineRule="auto"/>
              <w:jc w:val="left"/>
              <w:rPr>
                <w:rFonts w:eastAsia="Calibri"/>
                <w:sz w:val="24"/>
                <w:szCs w:val="24"/>
              </w:rPr>
            </w:pPr>
            <w:r w:rsidRPr="000B1EFA">
              <w:rPr>
                <w:rFonts w:eastAsia="Calibri"/>
                <w:sz w:val="24"/>
                <w:szCs w:val="24"/>
              </w:rPr>
              <w:t>Усього хвороб, у тому числі:</w:t>
            </w:r>
          </w:p>
        </w:tc>
        <w:tc>
          <w:tcPr>
            <w:tcW w:w="1080" w:type="dxa"/>
            <w:tcBorders>
              <w:top w:val="single" w:sz="4" w:space="0" w:color="000000"/>
              <w:left w:val="single" w:sz="4" w:space="0" w:color="000000"/>
              <w:bottom w:val="single" w:sz="4" w:space="0" w:color="000000"/>
              <w:right w:val="single" w:sz="4" w:space="0" w:color="000000"/>
            </w:tcBorders>
            <w:vAlign w:val="center"/>
          </w:tcPr>
          <w:p w:rsidR="00887B51" w:rsidRPr="000B1EFA" w:rsidRDefault="00887B51" w:rsidP="00887B51">
            <w:pPr>
              <w:widowControl w:val="0"/>
              <w:spacing w:line="259" w:lineRule="auto"/>
              <w:jc w:val="center"/>
              <w:rPr>
                <w:rFonts w:eastAsia="Calibri"/>
                <w:sz w:val="24"/>
                <w:szCs w:val="24"/>
              </w:rPr>
            </w:pPr>
            <w:r w:rsidRPr="000B1EFA">
              <w:rPr>
                <w:rFonts w:eastAsia="Calibri"/>
                <w:sz w:val="24"/>
                <w:szCs w:val="24"/>
              </w:rPr>
              <w:t>1780,24</w:t>
            </w:r>
          </w:p>
        </w:tc>
        <w:tc>
          <w:tcPr>
            <w:tcW w:w="1201" w:type="dxa"/>
            <w:tcBorders>
              <w:top w:val="single" w:sz="4" w:space="0" w:color="000000"/>
              <w:left w:val="single" w:sz="4" w:space="0" w:color="000000"/>
              <w:bottom w:val="single" w:sz="4" w:space="0" w:color="000000"/>
              <w:right w:val="single" w:sz="4" w:space="0" w:color="000000"/>
            </w:tcBorders>
            <w:vAlign w:val="center"/>
          </w:tcPr>
          <w:p w:rsidR="00887B51" w:rsidRPr="000B1EFA" w:rsidRDefault="00887B51" w:rsidP="00887B51">
            <w:pPr>
              <w:widowControl w:val="0"/>
              <w:spacing w:line="259" w:lineRule="auto"/>
              <w:jc w:val="center"/>
              <w:rPr>
                <w:rFonts w:eastAsia="Calibri"/>
                <w:sz w:val="24"/>
                <w:szCs w:val="24"/>
              </w:rPr>
            </w:pPr>
            <w:r w:rsidRPr="000B1EFA">
              <w:rPr>
                <w:rFonts w:eastAsia="Calibri"/>
                <w:sz w:val="24"/>
                <w:szCs w:val="24"/>
              </w:rPr>
              <w:t>1677,07</w:t>
            </w:r>
          </w:p>
        </w:tc>
      </w:tr>
      <w:tr w:rsidR="00887B51" w:rsidRPr="000B1EFA" w:rsidTr="00153232">
        <w:trPr>
          <w:jc w:val="center"/>
        </w:trPr>
        <w:tc>
          <w:tcPr>
            <w:tcW w:w="7244" w:type="dxa"/>
            <w:tcBorders>
              <w:top w:val="single" w:sz="4" w:space="0" w:color="000000"/>
              <w:left w:val="single" w:sz="4" w:space="0" w:color="000000"/>
              <w:bottom w:val="single" w:sz="4" w:space="0" w:color="000000"/>
              <w:right w:val="single" w:sz="4" w:space="0" w:color="000000"/>
            </w:tcBorders>
            <w:vAlign w:val="center"/>
          </w:tcPr>
          <w:p w:rsidR="00887B51" w:rsidRPr="000B1EFA" w:rsidRDefault="00887B51" w:rsidP="00887B51">
            <w:pPr>
              <w:widowControl w:val="0"/>
              <w:numPr>
                <w:ilvl w:val="0"/>
                <w:numId w:val="5"/>
              </w:numPr>
              <w:spacing w:after="160" w:line="276" w:lineRule="auto"/>
              <w:ind w:left="446" w:hanging="276"/>
              <w:jc w:val="left"/>
              <w:rPr>
                <w:rFonts w:eastAsia="Calibri"/>
                <w:sz w:val="24"/>
                <w:szCs w:val="24"/>
              </w:rPr>
            </w:pPr>
            <w:r w:rsidRPr="000B1EFA">
              <w:rPr>
                <w:rFonts w:eastAsia="Calibri"/>
                <w:sz w:val="24"/>
                <w:szCs w:val="24"/>
              </w:rPr>
              <w:t>деякі інфекційні та паразитарні хвороби</w:t>
            </w:r>
          </w:p>
        </w:tc>
        <w:tc>
          <w:tcPr>
            <w:tcW w:w="1080" w:type="dxa"/>
            <w:tcBorders>
              <w:top w:val="single" w:sz="4" w:space="0" w:color="000000"/>
              <w:left w:val="single" w:sz="4" w:space="0" w:color="000000"/>
              <w:bottom w:val="single" w:sz="4" w:space="0" w:color="000000"/>
              <w:right w:val="single" w:sz="4" w:space="0" w:color="000000"/>
            </w:tcBorders>
            <w:vAlign w:val="center"/>
          </w:tcPr>
          <w:p w:rsidR="00887B51" w:rsidRPr="000B1EFA" w:rsidRDefault="00887B51" w:rsidP="00887B51">
            <w:pPr>
              <w:widowControl w:val="0"/>
              <w:spacing w:line="259" w:lineRule="auto"/>
              <w:jc w:val="center"/>
              <w:rPr>
                <w:rFonts w:eastAsia="Calibri"/>
                <w:sz w:val="24"/>
                <w:szCs w:val="24"/>
              </w:rPr>
            </w:pPr>
            <w:r w:rsidRPr="000B1EFA">
              <w:rPr>
                <w:rFonts w:eastAsia="Calibri"/>
                <w:sz w:val="24"/>
                <w:szCs w:val="24"/>
              </w:rPr>
              <w:t>76,43</w:t>
            </w:r>
          </w:p>
        </w:tc>
        <w:tc>
          <w:tcPr>
            <w:tcW w:w="1201" w:type="dxa"/>
            <w:tcBorders>
              <w:top w:val="single" w:sz="4" w:space="0" w:color="000000"/>
              <w:left w:val="single" w:sz="4" w:space="0" w:color="000000"/>
              <w:bottom w:val="single" w:sz="4" w:space="0" w:color="000000"/>
              <w:right w:val="single" w:sz="4" w:space="0" w:color="000000"/>
            </w:tcBorders>
            <w:vAlign w:val="center"/>
          </w:tcPr>
          <w:p w:rsidR="00887B51" w:rsidRPr="000B1EFA" w:rsidRDefault="00887B51" w:rsidP="00887B51">
            <w:pPr>
              <w:widowControl w:val="0"/>
              <w:spacing w:line="259" w:lineRule="auto"/>
              <w:jc w:val="center"/>
              <w:rPr>
                <w:rFonts w:eastAsia="Calibri"/>
                <w:sz w:val="24"/>
                <w:szCs w:val="24"/>
              </w:rPr>
            </w:pPr>
            <w:r w:rsidRPr="000B1EFA">
              <w:rPr>
                <w:rFonts w:eastAsia="Calibri"/>
                <w:sz w:val="24"/>
                <w:szCs w:val="24"/>
              </w:rPr>
              <w:t>63,64</w:t>
            </w:r>
          </w:p>
        </w:tc>
      </w:tr>
      <w:tr w:rsidR="00887B51" w:rsidRPr="000B1EFA" w:rsidTr="00153232">
        <w:trPr>
          <w:jc w:val="center"/>
        </w:trPr>
        <w:tc>
          <w:tcPr>
            <w:tcW w:w="7244" w:type="dxa"/>
            <w:tcBorders>
              <w:top w:val="single" w:sz="4" w:space="0" w:color="000000"/>
              <w:left w:val="single" w:sz="4" w:space="0" w:color="000000"/>
              <w:bottom w:val="single" w:sz="4" w:space="0" w:color="000000"/>
              <w:right w:val="single" w:sz="4" w:space="0" w:color="000000"/>
            </w:tcBorders>
            <w:vAlign w:val="center"/>
          </w:tcPr>
          <w:p w:rsidR="00887B51" w:rsidRPr="000B1EFA" w:rsidRDefault="00887B51" w:rsidP="00887B51">
            <w:pPr>
              <w:widowControl w:val="0"/>
              <w:numPr>
                <w:ilvl w:val="0"/>
                <w:numId w:val="5"/>
              </w:numPr>
              <w:spacing w:after="160" w:line="276" w:lineRule="auto"/>
              <w:ind w:left="446" w:hanging="276"/>
              <w:jc w:val="left"/>
              <w:rPr>
                <w:rFonts w:eastAsia="Calibri"/>
                <w:sz w:val="24"/>
                <w:szCs w:val="24"/>
              </w:rPr>
            </w:pPr>
            <w:r w:rsidRPr="000B1EFA">
              <w:rPr>
                <w:rFonts w:eastAsia="Calibri"/>
                <w:sz w:val="24"/>
                <w:szCs w:val="24"/>
              </w:rPr>
              <w:t>новоутворення</w:t>
            </w:r>
          </w:p>
        </w:tc>
        <w:tc>
          <w:tcPr>
            <w:tcW w:w="1080" w:type="dxa"/>
            <w:tcBorders>
              <w:top w:val="single" w:sz="4" w:space="0" w:color="000000"/>
              <w:left w:val="single" w:sz="4" w:space="0" w:color="000000"/>
              <w:bottom w:val="single" w:sz="4" w:space="0" w:color="000000"/>
              <w:right w:val="single" w:sz="4" w:space="0" w:color="000000"/>
            </w:tcBorders>
            <w:vAlign w:val="center"/>
          </w:tcPr>
          <w:p w:rsidR="00887B51" w:rsidRPr="000B1EFA" w:rsidRDefault="00887B51" w:rsidP="00887B51">
            <w:pPr>
              <w:widowControl w:val="0"/>
              <w:spacing w:line="259" w:lineRule="auto"/>
              <w:jc w:val="center"/>
              <w:rPr>
                <w:rFonts w:eastAsia="Calibri"/>
                <w:sz w:val="24"/>
                <w:szCs w:val="24"/>
              </w:rPr>
            </w:pPr>
            <w:r w:rsidRPr="000B1EFA">
              <w:rPr>
                <w:rFonts w:eastAsia="Calibri"/>
                <w:sz w:val="24"/>
                <w:szCs w:val="24"/>
              </w:rPr>
              <w:t>8,47</w:t>
            </w:r>
          </w:p>
        </w:tc>
        <w:tc>
          <w:tcPr>
            <w:tcW w:w="1201" w:type="dxa"/>
            <w:tcBorders>
              <w:top w:val="single" w:sz="4" w:space="0" w:color="000000"/>
              <w:left w:val="single" w:sz="4" w:space="0" w:color="000000"/>
              <w:bottom w:val="single" w:sz="4" w:space="0" w:color="000000"/>
              <w:right w:val="single" w:sz="4" w:space="0" w:color="000000"/>
            </w:tcBorders>
            <w:vAlign w:val="center"/>
          </w:tcPr>
          <w:p w:rsidR="00887B51" w:rsidRPr="000B1EFA" w:rsidRDefault="00887B51" w:rsidP="00887B51">
            <w:pPr>
              <w:widowControl w:val="0"/>
              <w:spacing w:line="259" w:lineRule="auto"/>
              <w:jc w:val="center"/>
              <w:rPr>
                <w:rFonts w:eastAsia="Calibri"/>
                <w:sz w:val="24"/>
                <w:szCs w:val="24"/>
              </w:rPr>
            </w:pPr>
            <w:r w:rsidRPr="000B1EFA">
              <w:rPr>
                <w:rFonts w:eastAsia="Calibri"/>
                <w:sz w:val="24"/>
                <w:szCs w:val="24"/>
              </w:rPr>
              <w:t>8,06</w:t>
            </w:r>
          </w:p>
        </w:tc>
      </w:tr>
      <w:tr w:rsidR="00887B51" w:rsidRPr="000B1EFA" w:rsidTr="00153232">
        <w:trPr>
          <w:jc w:val="center"/>
        </w:trPr>
        <w:tc>
          <w:tcPr>
            <w:tcW w:w="7244" w:type="dxa"/>
            <w:tcBorders>
              <w:top w:val="single" w:sz="4" w:space="0" w:color="000000"/>
              <w:left w:val="single" w:sz="4" w:space="0" w:color="000000"/>
              <w:bottom w:val="single" w:sz="4" w:space="0" w:color="000000"/>
              <w:right w:val="single" w:sz="4" w:space="0" w:color="000000"/>
            </w:tcBorders>
            <w:vAlign w:val="center"/>
          </w:tcPr>
          <w:p w:rsidR="00887B51" w:rsidRPr="000B1EFA" w:rsidRDefault="00887B51" w:rsidP="00887B51">
            <w:pPr>
              <w:widowControl w:val="0"/>
              <w:numPr>
                <w:ilvl w:val="0"/>
                <w:numId w:val="5"/>
              </w:numPr>
              <w:spacing w:after="160" w:line="276" w:lineRule="auto"/>
              <w:ind w:left="446" w:hanging="276"/>
              <w:jc w:val="left"/>
              <w:rPr>
                <w:rFonts w:eastAsia="Calibri"/>
                <w:sz w:val="24"/>
                <w:szCs w:val="24"/>
              </w:rPr>
            </w:pPr>
            <w:r w:rsidRPr="000B1EFA">
              <w:rPr>
                <w:rFonts w:eastAsia="Calibri"/>
                <w:sz w:val="24"/>
                <w:szCs w:val="24"/>
              </w:rPr>
              <w:t>хвороби крові й кровотворних органів та окремі порушення із залученням імунного механізму</w:t>
            </w:r>
          </w:p>
        </w:tc>
        <w:tc>
          <w:tcPr>
            <w:tcW w:w="1080" w:type="dxa"/>
            <w:tcBorders>
              <w:top w:val="single" w:sz="4" w:space="0" w:color="000000"/>
              <w:left w:val="single" w:sz="4" w:space="0" w:color="000000"/>
              <w:bottom w:val="single" w:sz="4" w:space="0" w:color="000000"/>
              <w:right w:val="single" w:sz="4" w:space="0" w:color="000000"/>
            </w:tcBorders>
            <w:vAlign w:val="center"/>
          </w:tcPr>
          <w:p w:rsidR="00887B51" w:rsidRPr="000B1EFA" w:rsidRDefault="00887B51" w:rsidP="00887B51">
            <w:pPr>
              <w:widowControl w:val="0"/>
              <w:spacing w:line="259" w:lineRule="auto"/>
              <w:jc w:val="center"/>
              <w:rPr>
                <w:rFonts w:eastAsia="Calibri"/>
                <w:sz w:val="24"/>
                <w:szCs w:val="24"/>
              </w:rPr>
            </w:pPr>
            <w:r w:rsidRPr="000B1EFA">
              <w:rPr>
                <w:rFonts w:eastAsia="Calibri"/>
                <w:sz w:val="24"/>
                <w:szCs w:val="24"/>
              </w:rPr>
              <w:t>59,94</w:t>
            </w:r>
          </w:p>
        </w:tc>
        <w:tc>
          <w:tcPr>
            <w:tcW w:w="1201" w:type="dxa"/>
            <w:tcBorders>
              <w:top w:val="single" w:sz="4" w:space="0" w:color="000000"/>
              <w:left w:val="single" w:sz="4" w:space="0" w:color="000000"/>
              <w:bottom w:val="single" w:sz="4" w:space="0" w:color="000000"/>
              <w:right w:val="single" w:sz="4" w:space="0" w:color="000000"/>
            </w:tcBorders>
            <w:vAlign w:val="center"/>
          </w:tcPr>
          <w:p w:rsidR="00887B51" w:rsidRPr="000B1EFA" w:rsidRDefault="00887B51" w:rsidP="00887B51">
            <w:pPr>
              <w:widowControl w:val="0"/>
              <w:spacing w:line="259" w:lineRule="auto"/>
              <w:jc w:val="center"/>
              <w:rPr>
                <w:rFonts w:eastAsia="Calibri"/>
                <w:sz w:val="24"/>
                <w:szCs w:val="24"/>
              </w:rPr>
            </w:pPr>
            <w:r w:rsidRPr="000B1EFA">
              <w:rPr>
                <w:rFonts w:eastAsia="Calibri"/>
                <w:sz w:val="24"/>
                <w:szCs w:val="24"/>
              </w:rPr>
              <w:t>52,28</w:t>
            </w:r>
          </w:p>
        </w:tc>
      </w:tr>
      <w:tr w:rsidR="00887B51" w:rsidRPr="000B1EFA" w:rsidTr="00153232">
        <w:trPr>
          <w:jc w:val="center"/>
        </w:trPr>
        <w:tc>
          <w:tcPr>
            <w:tcW w:w="7244" w:type="dxa"/>
            <w:tcBorders>
              <w:top w:val="single" w:sz="4" w:space="0" w:color="000000"/>
              <w:left w:val="single" w:sz="4" w:space="0" w:color="000000"/>
              <w:bottom w:val="single" w:sz="4" w:space="0" w:color="000000"/>
              <w:right w:val="single" w:sz="4" w:space="0" w:color="000000"/>
            </w:tcBorders>
            <w:vAlign w:val="center"/>
          </w:tcPr>
          <w:p w:rsidR="00887B51" w:rsidRPr="000B1EFA" w:rsidRDefault="00887B51" w:rsidP="00887B51">
            <w:pPr>
              <w:widowControl w:val="0"/>
              <w:numPr>
                <w:ilvl w:val="0"/>
                <w:numId w:val="5"/>
              </w:numPr>
              <w:spacing w:after="160" w:line="276" w:lineRule="auto"/>
              <w:ind w:left="446" w:hanging="276"/>
              <w:jc w:val="left"/>
              <w:rPr>
                <w:rFonts w:eastAsia="Calibri"/>
                <w:sz w:val="24"/>
                <w:szCs w:val="24"/>
              </w:rPr>
            </w:pPr>
            <w:r w:rsidRPr="000B1EFA">
              <w:rPr>
                <w:rFonts w:eastAsia="Calibri"/>
                <w:sz w:val="24"/>
                <w:szCs w:val="24"/>
              </w:rPr>
              <w:t>ендокринні хвороби, розлади харчування та порушення обміну речовин</w:t>
            </w:r>
          </w:p>
        </w:tc>
        <w:tc>
          <w:tcPr>
            <w:tcW w:w="1080" w:type="dxa"/>
            <w:tcBorders>
              <w:top w:val="single" w:sz="4" w:space="0" w:color="000000"/>
              <w:left w:val="single" w:sz="4" w:space="0" w:color="000000"/>
              <w:bottom w:val="single" w:sz="4" w:space="0" w:color="000000"/>
              <w:right w:val="single" w:sz="4" w:space="0" w:color="000000"/>
            </w:tcBorders>
            <w:vAlign w:val="center"/>
          </w:tcPr>
          <w:p w:rsidR="00887B51" w:rsidRPr="000B1EFA" w:rsidRDefault="00887B51" w:rsidP="00887B51">
            <w:pPr>
              <w:widowControl w:val="0"/>
              <w:spacing w:line="259" w:lineRule="auto"/>
              <w:jc w:val="center"/>
              <w:rPr>
                <w:rFonts w:eastAsia="Calibri"/>
                <w:sz w:val="24"/>
                <w:szCs w:val="24"/>
              </w:rPr>
            </w:pPr>
            <w:r w:rsidRPr="000B1EFA">
              <w:rPr>
                <w:rFonts w:eastAsia="Calibri"/>
                <w:sz w:val="24"/>
                <w:szCs w:val="24"/>
              </w:rPr>
              <w:t>26,50</w:t>
            </w:r>
          </w:p>
        </w:tc>
        <w:tc>
          <w:tcPr>
            <w:tcW w:w="1201" w:type="dxa"/>
            <w:tcBorders>
              <w:top w:val="single" w:sz="4" w:space="0" w:color="000000"/>
              <w:left w:val="single" w:sz="4" w:space="0" w:color="000000"/>
              <w:bottom w:val="single" w:sz="4" w:space="0" w:color="000000"/>
              <w:right w:val="single" w:sz="4" w:space="0" w:color="000000"/>
            </w:tcBorders>
            <w:vAlign w:val="center"/>
          </w:tcPr>
          <w:p w:rsidR="00887B51" w:rsidRPr="000B1EFA" w:rsidRDefault="00887B51" w:rsidP="00887B51">
            <w:pPr>
              <w:widowControl w:val="0"/>
              <w:spacing w:line="259" w:lineRule="auto"/>
              <w:jc w:val="center"/>
              <w:rPr>
                <w:rFonts w:eastAsia="Calibri"/>
                <w:sz w:val="24"/>
                <w:szCs w:val="24"/>
              </w:rPr>
            </w:pPr>
            <w:r w:rsidRPr="000B1EFA">
              <w:rPr>
                <w:rFonts w:eastAsia="Calibri"/>
                <w:sz w:val="24"/>
                <w:szCs w:val="24"/>
              </w:rPr>
              <w:t>22,34</w:t>
            </w:r>
          </w:p>
        </w:tc>
      </w:tr>
      <w:tr w:rsidR="00887B51" w:rsidRPr="000B1EFA" w:rsidTr="00153232">
        <w:trPr>
          <w:jc w:val="center"/>
        </w:trPr>
        <w:tc>
          <w:tcPr>
            <w:tcW w:w="7244" w:type="dxa"/>
            <w:tcBorders>
              <w:top w:val="single" w:sz="4" w:space="0" w:color="000000"/>
              <w:left w:val="single" w:sz="4" w:space="0" w:color="000000"/>
              <w:bottom w:val="single" w:sz="4" w:space="0" w:color="000000"/>
              <w:right w:val="single" w:sz="4" w:space="0" w:color="000000"/>
            </w:tcBorders>
            <w:vAlign w:val="center"/>
          </w:tcPr>
          <w:p w:rsidR="00887B51" w:rsidRPr="000B1EFA" w:rsidRDefault="00887B51" w:rsidP="00887B51">
            <w:pPr>
              <w:widowControl w:val="0"/>
              <w:numPr>
                <w:ilvl w:val="0"/>
                <w:numId w:val="5"/>
              </w:numPr>
              <w:spacing w:after="160" w:line="276" w:lineRule="auto"/>
              <w:ind w:left="446" w:hanging="276"/>
              <w:jc w:val="left"/>
              <w:rPr>
                <w:rFonts w:eastAsia="Calibri"/>
                <w:sz w:val="24"/>
                <w:szCs w:val="24"/>
              </w:rPr>
            </w:pPr>
            <w:r w:rsidRPr="000B1EFA">
              <w:rPr>
                <w:rFonts w:eastAsia="Calibri"/>
                <w:sz w:val="24"/>
                <w:szCs w:val="24"/>
              </w:rPr>
              <w:t>розлади психіки та поведінки</w:t>
            </w:r>
          </w:p>
        </w:tc>
        <w:tc>
          <w:tcPr>
            <w:tcW w:w="1080" w:type="dxa"/>
            <w:tcBorders>
              <w:top w:val="single" w:sz="4" w:space="0" w:color="000000"/>
              <w:left w:val="single" w:sz="4" w:space="0" w:color="000000"/>
              <w:bottom w:val="single" w:sz="4" w:space="0" w:color="000000"/>
              <w:right w:val="single" w:sz="4" w:space="0" w:color="000000"/>
            </w:tcBorders>
            <w:vAlign w:val="center"/>
          </w:tcPr>
          <w:p w:rsidR="00887B51" w:rsidRPr="000B1EFA" w:rsidRDefault="00887B51" w:rsidP="00887B51">
            <w:pPr>
              <w:widowControl w:val="0"/>
              <w:spacing w:line="259" w:lineRule="auto"/>
              <w:jc w:val="center"/>
              <w:rPr>
                <w:rFonts w:eastAsia="Calibri"/>
                <w:sz w:val="24"/>
                <w:szCs w:val="24"/>
              </w:rPr>
            </w:pPr>
            <w:r w:rsidRPr="000B1EFA">
              <w:rPr>
                <w:rFonts w:eastAsia="Calibri"/>
                <w:sz w:val="24"/>
                <w:szCs w:val="24"/>
              </w:rPr>
              <w:t>16,89</w:t>
            </w:r>
          </w:p>
        </w:tc>
        <w:tc>
          <w:tcPr>
            <w:tcW w:w="1201" w:type="dxa"/>
            <w:tcBorders>
              <w:top w:val="single" w:sz="4" w:space="0" w:color="000000"/>
              <w:left w:val="single" w:sz="4" w:space="0" w:color="000000"/>
              <w:bottom w:val="single" w:sz="4" w:space="0" w:color="000000"/>
              <w:right w:val="single" w:sz="4" w:space="0" w:color="000000"/>
            </w:tcBorders>
            <w:vAlign w:val="center"/>
          </w:tcPr>
          <w:p w:rsidR="00887B51" w:rsidRPr="000B1EFA" w:rsidRDefault="00887B51" w:rsidP="00887B51">
            <w:pPr>
              <w:widowControl w:val="0"/>
              <w:spacing w:line="259" w:lineRule="auto"/>
              <w:jc w:val="center"/>
              <w:rPr>
                <w:rFonts w:eastAsia="Calibri"/>
                <w:sz w:val="24"/>
                <w:szCs w:val="24"/>
              </w:rPr>
            </w:pPr>
            <w:r w:rsidRPr="000B1EFA">
              <w:rPr>
                <w:rFonts w:eastAsia="Calibri"/>
                <w:sz w:val="24"/>
                <w:szCs w:val="24"/>
              </w:rPr>
              <w:t>14,49</w:t>
            </w:r>
          </w:p>
        </w:tc>
      </w:tr>
      <w:tr w:rsidR="00887B51" w:rsidRPr="000B1EFA" w:rsidTr="00153232">
        <w:trPr>
          <w:jc w:val="center"/>
        </w:trPr>
        <w:tc>
          <w:tcPr>
            <w:tcW w:w="7244" w:type="dxa"/>
            <w:tcBorders>
              <w:top w:val="single" w:sz="4" w:space="0" w:color="000000"/>
              <w:left w:val="single" w:sz="4" w:space="0" w:color="000000"/>
              <w:bottom w:val="single" w:sz="4" w:space="0" w:color="000000"/>
              <w:right w:val="single" w:sz="4" w:space="0" w:color="000000"/>
            </w:tcBorders>
            <w:vAlign w:val="center"/>
          </w:tcPr>
          <w:p w:rsidR="00887B51" w:rsidRPr="000B1EFA" w:rsidRDefault="00887B51" w:rsidP="00887B51">
            <w:pPr>
              <w:widowControl w:val="0"/>
              <w:numPr>
                <w:ilvl w:val="0"/>
                <w:numId w:val="5"/>
              </w:numPr>
              <w:spacing w:after="160" w:line="276" w:lineRule="auto"/>
              <w:ind w:left="446" w:hanging="276"/>
              <w:jc w:val="left"/>
              <w:rPr>
                <w:rFonts w:eastAsia="Calibri"/>
                <w:sz w:val="24"/>
                <w:szCs w:val="24"/>
              </w:rPr>
            </w:pPr>
            <w:r w:rsidRPr="000B1EFA">
              <w:rPr>
                <w:rFonts w:eastAsia="Calibri"/>
                <w:sz w:val="24"/>
                <w:szCs w:val="24"/>
              </w:rPr>
              <w:t>хвороби нервової системи</w:t>
            </w:r>
          </w:p>
        </w:tc>
        <w:tc>
          <w:tcPr>
            <w:tcW w:w="1080" w:type="dxa"/>
            <w:tcBorders>
              <w:top w:val="single" w:sz="4" w:space="0" w:color="000000"/>
              <w:left w:val="single" w:sz="4" w:space="0" w:color="000000"/>
              <w:bottom w:val="single" w:sz="4" w:space="0" w:color="000000"/>
              <w:right w:val="single" w:sz="4" w:space="0" w:color="000000"/>
            </w:tcBorders>
            <w:vAlign w:val="center"/>
          </w:tcPr>
          <w:p w:rsidR="00887B51" w:rsidRPr="000B1EFA" w:rsidRDefault="00887B51" w:rsidP="00887B51">
            <w:pPr>
              <w:widowControl w:val="0"/>
              <w:spacing w:line="259" w:lineRule="auto"/>
              <w:jc w:val="center"/>
              <w:rPr>
                <w:rFonts w:eastAsia="Calibri"/>
                <w:sz w:val="24"/>
                <w:szCs w:val="24"/>
              </w:rPr>
            </w:pPr>
            <w:r w:rsidRPr="000B1EFA">
              <w:rPr>
                <w:rFonts w:eastAsia="Calibri"/>
                <w:sz w:val="24"/>
                <w:szCs w:val="24"/>
              </w:rPr>
              <w:t>35,27</w:t>
            </w:r>
          </w:p>
        </w:tc>
        <w:tc>
          <w:tcPr>
            <w:tcW w:w="1201" w:type="dxa"/>
            <w:tcBorders>
              <w:top w:val="single" w:sz="4" w:space="0" w:color="000000"/>
              <w:left w:val="single" w:sz="4" w:space="0" w:color="000000"/>
              <w:bottom w:val="single" w:sz="4" w:space="0" w:color="000000"/>
              <w:right w:val="single" w:sz="4" w:space="0" w:color="000000"/>
            </w:tcBorders>
            <w:vAlign w:val="center"/>
          </w:tcPr>
          <w:p w:rsidR="00887B51" w:rsidRPr="000B1EFA" w:rsidRDefault="00887B51" w:rsidP="00887B51">
            <w:pPr>
              <w:widowControl w:val="0"/>
              <w:spacing w:line="259" w:lineRule="auto"/>
              <w:jc w:val="center"/>
              <w:rPr>
                <w:rFonts w:eastAsia="Calibri"/>
                <w:sz w:val="24"/>
                <w:szCs w:val="24"/>
              </w:rPr>
            </w:pPr>
            <w:r w:rsidRPr="000B1EFA">
              <w:rPr>
                <w:rFonts w:eastAsia="Calibri"/>
                <w:sz w:val="24"/>
                <w:szCs w:val="24"/>
              </w:rPr>
              <w:t>30,57</w:t>
            </w:r>
          </w:p>
        </w:tc>
      </w:tr>
      <w:tr w:rsidR="00887B51" w:rsidRPr="000B1EFA" w:rsidTr="00153232">
        <w:trPr>
          <w:jc w:val="center"/>
        </w:trPr>
        <w:tc>
          <w:tcPr>
            <w:tcW w:w="7244" w:type="dxa"/>
            <w:tcBorders>
              <w:top w:val="single" w:sz="4" w:space="0" w:color="000000"/>
              <w:left w:val="single" w:sz="4" w:space="0" w:color="000000"/>
              <w:bottom w:val="single" w:sz="4" w:space="0" w:color="000000"/>
              <w:right w:val="single" w:sz="4" w:space="0" w:color="000000"/>
            </w:tcBorders>
            <w:vAlign w:val="center"/>
          </w:tcPr>
          <w:p w:rsidR="00887B51" w:rsidRPr="000B1EFA" w:rsidRDefault="00887B51" w:rsidP="00887B51">
            <w:pPr>
              <w:widowControl w:val="0"/>
              <w:numPr>
                <w:ilvl w:val="0"/>
                <w:numId w:val="5"/>
              </w:numPr>
              <w:spacing w:after="160" w:line="276" w:lineRule="auto"/>
              <w:ind w:left="446" w:hanging="276"/>
              <w:jc w:val="left"/>
              <w:rPr>
                <w:rFonts w:eastAsia="Calibri"/>
                <w:sz w:val="24"/>
                <w:szCs w:val="24"/>
              </w:rPr>
            </w:pPr>
            <w:r w:rsidRPr="000B1EFA">
              <w:rPr>
                <w:rFonts w:eastAsia="Calibri"/>
                <w:sz w:val="24"/>
                <w:szCs w:val="24"/>
              </w:rPr>
              <w:t>хвороби ока та його придаткового апарату</w:t>
            </w:r>
          </w:p>
        </w:tc>
        <w:tc>
          <w:tcPr>
            <w:tcW w:w="1080" w:type="dxa"/>
            <w:tcBorders>
              <w:top w:val="single" w:sz="4" w:space="0" w:color="000000"/>
              <w:left w:val="single" w:sz="4" w:space="0" w:color="000000"/>
              <w:bottom w:val="single" w:sz="4" w:space="0" w:color="000000"/>
              <w:right w:val="single" w:sz="4" w:space="0" w:color="000000"/>
            </w:tcBorders>
            <w:vAlign w:val="center"/>
          </w:tcPr>
          <w:p w:rsidR="00887B51" w:rsidRPr="000B1EFA" w:rsidRDefault="00887B51" w:rsidP="00887B51">
            <w:pPr>
              <w:widowControl w:val="0"/>
              <w:spacing w:line="259" w:lineRule="auto"/>
              <w:jc w:val="center"/>
              <w:rPr>
                <w:rFonts w:eastAsia="Calibri"/>
                <w:sz w:val="24"/>
                <w:szCs w:val="24"/>
              </w:rPr>
            </w:pPr>
            <w:r w:rsidRPr="000B1EFA">
              <w:rPr>
                <w:rFonts w:eastAsia="Calibri"/>
                <w:sz w:val="24"/>
                <w:szCs w:val="24"/>
              </w:rPr>
              <w:t>56,15</w:t>
            </w:r>
          </w:p>
        </w:tc>
        <w:tc>
          <w:tcPr>
            <w:tcW w:w="1201" w:type="dxa"/>
            <w:tcBorders>
              <w:top w:val="single" w:sz="4" w:space="0" w:color="000000"/>
              <w:left w:val="single" w:sz="4" w:space="0" w:color="000000"/>
              <w:bottom w:val="single" w:sz="4" w:space="0" w:color="000000"/>
              <w:right w:val="single" w:sz="4" w:space="0" w:color="000000"/>
            </w:tcBorders>
            <w:vAlign w:val="center"/>
          </w:tcPr>
          <w:p w:rsidR="00887B51" w:rsidRPr="000B1EFA" w:rsidRDefault="00887B51" w:rsidP="00887B51">
            <w:pPr>
              <w:widowControl w:val="0"/>
              <w:spacing w:line="259" w:lineRule="auto"/>
              <w:jc w:val="center"/>
              <w:rPr>
                <w:rFonts w:eastAsia="Calibri"/>
                <w:sz w:val="24"/>
                <w:szCs w:val="24"/>
              </w:rPr>
            </w:pPr>
            <w:r w:rsidRPr="000B1EFA">
              <w:rPr>
                <w:rFonts w:eastAsia="Calibri"/>
                <w:sz w:val="24"/>
                <w:szCs w:val="24"/>
              </w:rPr>
              <w:t>49,65</w:t>
            </w:r>
          </w:p>
        </w:tc>
      </w:tr>
      <w:tr w:rsidR="00887B51" w:rsidRPr="000B1EFA" w:rsidTr="00153232">
        <w:trPr>
          <w:jc w:val="center"/>
        </w:trPr>
        <w:tc>
          <w:tcPr>
            <w:tcW w:w="7244" w:type="dxa"/>
            <w:tcBorders>
              <w:top w:val="single" w:sz="4" w:space="0" w:color="000000"/>
              <w:left w:val="single" w:sz="4" w:space="0" w:color="000000"/>
              <w:bottom w:val="single" w:sz="4" w:space="0" w:color="000000"/>
              <w:right w:val="single" w:sz="4" w:space="0" w:color="000000"/>
            </w:tcBorders>
            <w:vAlign w:val="center"/>
          </w:tcPr>
          <w:p w:rsidR="00887B51" w:rsidRPr="000B1EFA" w:rsidRDefault="00887B51" w:rsidP="00887B51">
            <w:pPr>
              <w:widowControl w:val="0"/>
              <w:numPr>
                <w:ilvl w:val="0"/>
                <w:numId w:val="5"/>
              </w:numPr>
              <w:spacing w:after="160" w:line="276" w:lineRule="auto"/>
              <w:ind w:left="446" w:hanging="276"/>
              <w:jc w:val="left"/>
              <w:rPr>
                <w:rFonts w:eastAsia="Calibri"/>
                <w:sz w:val="24"/>
                <w:szCs w:val="24"/>
              </w:rPr>
            </w:pPr>
            <w:r w:rsidRPr="000B1EFA">
              <w:rPr>
                <w:rFonts w:eastAsia="Calibri"/>
                <w:sz w:val="24"/>
                <w:szCs w:val="24"/>
              </w:rPr>
              <w:t xml:space="preserve">хвороби </w:t>
            </w:r>
            <w:r w:rsidRPr="000B1EFA">
              <w:rPr>
                <w:rFonts w:eastAsia="Calibri"/>
                <w:bCs/>
                <w:sz w:val="24"/>
                <w:szCs w:val="24"/>
              </w:rPr>
              <w:t>вуха</w:t>
            </w:r>
            <w:r w:rsidRPr="000B1EFA">
              <w:rPr>
                <w:rFonts w:eastAsia="Calibri"/>
                <w:sz w:val="24"/>
                <w:szCs w:val="24"/>
              </w:rPr>
              <w:t xml:space="preserve"> та соскоподібного відростка</w:t>
            </w:r>
          </w:p>
        </w:tc>
        <w:tc>
          <w:tcPr>
            <w:tcW w:w="1080" w:type="dxa"/>
            <w:tcBorders>
              <w:top w:val="single" w:sz="4" w:space="0" w:color="000000"/>
              <w:left w:val="single" w:sz="4" w:space="0" w:color="000000"/>
              <w:bottom w:val="single" w:sz="4" w:space="0" w:color="000000"/>
              <w:right w:val="single" w:sz="4" w:space="0" w:color="000000"/>
            </w:tcBorders>
            <w:vAlign w:val="center"/>
          </w:tcPr>
          <w:p w:rsidR="00887B51" w:rsidRPr="000B1EFA" w:rsidRDefault="00887B51" w:rsidP="00887B51">
            <w:pPr>
              <w:widowControl w:val="0"/>
              <w:spacing w:line="259" w:lineRule="auto"/>
              <w:jc w:val="center"/>
              <w:rPr>
                <w:rFonts w:eastAsia="Calibri"/>
                <w:sz w:val="24"/>
                <w:szCs w:val="24"/>
              </w:rPr>
            </w:pPr>
            <w:r w:rsidRPr="000B1EFA">
              <w:rPr>
                <w:rFonts w:eastAsia="Calibri"/>
                <w:sz w:val="24"/>
                <w:szCs w:val="24"/>
              </w:rPr>
              <w:t>53,27</w:t>
            </w:r>
          </w:p>
        </w:tc>
        <w:tc>
          <w:tcPr>
            <w:tcW w:w="1201" w:type="dxa"/>
            <w:tcBorders>
              <w:top w:val="single" w:sz="4" w:space="0" w:color="000000"/>
              <w:left w:val="single" w:sz="4" w:space="0" w:color="000000"/>
              <w:bottom w:val="single" w:sz="4" w:space="0" w:color="000000"/>
              <w:right w:val="single" w:sz="4" w:space="0" w:color="000000"/>
            </w:tcBorders>
            <w:vAlign w:val="center"/>
          </w:tcPr>
          <w:p w:rsidR="00887B51" w:rsidRPr="000B1EFA" w:rsidRDefault="00887B51" w:rsidP="00887B51">
            <w:pPr>
              <w:widowControl w:val="0"/>
              <w:spacing w:line="259" w:lineRule="auto"/>
              <w:jc w:val="center"/>
              <w:rPr>
                <w:rFonts w:eastAsia="Calibri"/>
                <w:sz w:val="24"/>
                <w:szCs w:val="24"/>
              </w:rPr>
            </w:pPr>
            <w:r w:rsidRPr="000B1EFA">
              <w:rPr>
                <w:rFonts w:eastAsia="Calibri"/>
                <w:sz w:val="24"/>
                <w:szCs w:val="24"/>
              </w:rPr>
              <w:t>45,7</w:t>
            </w:r>
          </w:p>
        </w:tc>
      </w:tr>
      <w:tr w:rsidR="00887B51" w:rsidRPr="000B1EFA" w:rsidTr="00153232">
        <w:trPr>
          <w:jc w:val="center"/>
        </w:trPr>
        <w:tc>
          <w:tcPr>
            <w:tcW w:w="7244" w:type="dxa"/>
            <w:tcBorders>
              <w:top w:val="single" w:sz="4" w:space="0" w:color="000000"/>
              <w:left w:val="single" w:sz="4" w:space="0" w:color="000000"/>
              <w:bottom w:val="single" w:sz="4" w:space="0" w:color="000000"/>
              <w:right w:val="single" w:sz="4" w:space="0" w:color="000000"/>
            </w:tcBorders>
            <w:vAlign w:val="center"/>
          </w:tcPr>
          <w:p w:rsidR="00887B51" w:rsidRPr="000B1EFA" w:rsidRDefault="00887B51" w:rsidP="00887B51">
            <w:pPr>
              <w:widowControl w:val="0"/>
              <w:numPr>
                <w:ilvl w:val="0"/>
                <w:numId w:val="5"/>
              </w:numPr>
              <w:spacing w:after="160" w:line="276" w:lineRule="auto"/>
              <w:ind w:left="446" w:hanging="276"/>
              <w:jc w:val="left"/>
              <w:rPr>
                <w:rFonts w:eastAsia="Calibri"/>
                <w:sz w:val="24"/>
                <w:szCs w:val="24"/>
              </w:rPr>
            </w:pPr>
            <w:r w:rsidRPr="000B1EFA">
              <w:rPr>
                <w:rFonts w:eastAsia="Calibri"/>
                <w:sz w:val="24"/>
                <w:szCs w:val="24"/>
              </w:rPr>
              <w:t>хвороби системи кровообігу</w:t>
            </w:r>
          </w:p>
        </w:tc>
        <w:tc>
          <w:tcPr>
            <w:tcW w:w="1080" w:type="dxa"/>
            <w:tcBorders>
              <w:top w:val="single" w:sz="4" w:space="0" w:color="000000"/>
              <w:left w:val="single" w:sz="4" w:space="0" w:color="000000"/>
              <w:bottom w:val="single" w:sz="4" w:space="0" w:color="000000"/>
              <w:right w:val="single" w:sz="4" w:space="0" w:color="000000"/>
            </w:tcBorders>
            <w:vAlign w:val="center"/>
          </w:tcPr>
          <w:p w:rsidR="00887B51" w:rsidRPr="000B1EFA" w:rsidRDefault="00887B51" w:rsidP="00887B51">
            <w:pPr>
              <w:widowControl w:val="0"/>
              <w:spacing w:line="259" w:lineRule="auto"/>
              <w:jc w:val="center"/>
              <w:rPr>
                <w:rFonts w:eastAsia="Calibri"/>
                <w:sz w:val="24"/>
                <w:szCs w:val="24"/>
              </w:rPr>
            </w:pPr>
            <w:r w:rsidRPr="000B1EFA">
              <w:rPr>
                <w:rFonts w:eastAsia="Calibri"/>
                <w:sz w:val="24"/>
                <w:szCs w:val="24"/>
              </w:rPr>
              <w:t>14,05</w:t>
            </w:r>
          </w:p>
        </w:tc>
        <w:tc>
          <w:tcPr>
            <w:tcW w:w="1201" w:type="dxa"/>
            <w:tcBorders>
              <w:top w:val="single" w:sz="4" w:space="0" w:color="000000"/>
              <w:left w:val="single" w:sz="4" w:space="0" w:color="000000"/>
              <w:bottom w:val="single" w:sz="4" w:space="0" w:color="000000"/>
              <w:right w:val="single" w:sz="4" w:space="0" w:color="000000"/>
            </w:tcBorders>
            <w:vAlign w:val="center"/>
          </w:tcPr>
          <w:p w:rsidR="00887B51" w:rsidRPr="000B1EFA" w:rsidRDefault="00887B51" w:rsidP="00887B51">
            <w:pPr>
              <w:widowControl w:val="0"/>
              <w:spacing w:line="259" w:lineRule="auto"/>
              <w:jc w:val="center"/>
              <w:rPr>
                <w:rFonts w:eastAsia="Calibri"/>
                <w:sz w:val="24"/>
                <w:szCs w:val="24"/>
              </w:rPr>
            </w:pPr>
            <w:r w:rsidRPr="000B1EFA">
              <w:rPr>
                <w:rFonts w:eastAsia="Calibri"/>
                <w:sz w:val="24"/>
                <w:szCs w:val="24"/>
              </w:rPr>
              <w:t>11,86</w:t>
            </w:r>
          </w:p>
        </w:tc>
      </w:tr>
      <w:tr w:rsidR="00887B51" w:rsidRPr="000B1EFA" w:rsidTr="00153232">
        <w:trPr>
          <w:jc w:val="center"/>
        </w:trPr>
        <w:tc>
          <w:tcPr>
            <w:tcW w:w="7244" w:type="dxa"/>
            <w:tcBorders>
              <w:top w:val="single" w:sz="4" w:space="0" w:color="000000"/>
              <w:left w:val="single" w:sz="4" w:space="0" w:color="000000"/>
              <w:bottom w:val="single" w:sz="4" w:space="0" w:color="000000"/>
              <w:right w:val="single" w:sz="4" w:space="0" w:color="000000"/>
            </w:tcBorders>
            <w:vAlign w:val="center"/>
          </w:tcPr>
          <w:p w:rsidR="00887B51" w:rsidRPr="000B1EFA" w:rsidRDefault="00887B51" w:rsidP="00887B51">
            <w:pPr>
              <w:widowControl w:val="0"/>
              <w:numPr>
                <w:ilvl w:val="0"/>
                <w:numId w:val="5"/>
              </w:numPr>
              <w:spacing w:after="160" w:line="276" w:lineRule="auto"/>
              <w:ind w:left="446" w:hanging="276"/>
              <w:jc w:val="left"/>
              <w:rPr>
                <w:rFonts w:eastAsia="Calibri"/>
                <w:sz w:val="24"/>
                <w:szCs w:val="24"/>
              </w:rPr>
            </w:pPr>
            <w:r w:rsidRPr="000B1EFA">
              <w:rPr>
                <w:rFonts w:eastAsia="Calibri"/>
                <w:sz w:val="24"/>
                <w:szCs w:val="24"/>
              </w:rPr>
              <w:t>хвороби органів дихання</w:t>
            </w:r>
          </w:p>
        </w:tc>
        <w:tc>
          <w:tcPr>
            <w:tcW w:w="1080" w:type="dxa"/>
            <w:tcBorders>
              <w:top w:val="single" w:sz="4" w:space="0" w:color="000000"/>
              <w:left w:val="single" w:sz="4" w:space="0" w:color="000000"/>
              <w:bottom w:val="single" w:sz="4" w:space="0" w:color="000000"/>
              <w:right w:val="single" w:sz="4" w:space="0" w:color="000000"/>
            </w:tcBorders>
            <w:vAlign w:val="center"/>
          </w:tcPr>
          <w:p w:rsidR="00887B51" w:rsidRPr="000B1EFA" w:rsidRDefault="00887B51" w:rsidP="00887B51">
            <w:pPr>
              <w:widowControl w:val="0"/>
              <w:spacing w:line="259" w:lineRule="auto"/>
              <w:jc w:val="center"/>
              <w:rPr>
                <w:rFonts w:eastAsia="Calibri"/>
                <w:sz w:val="24"/>
                <w:szCs w:val="24"/>
              </w:rPr>
            </w:pPr>
            <w:r w:rsidRPr="000B1EFA">
              <w:rPr>
                <w:rFonts w:eastAsia="Calibri"/>
                <w:sz w:val="24"/>
                <w:szCs w:val="24"/>
              </w:rPr>
              <w:t>1128,55</w:t>
            </w:r>
          </w:p>
        </w:tc>
        <w:tc>
          <w:tcPr>
            <w:tcW w:w="1201" w:type="dxa"/>
            <w:tcBorders>
              <w:top w:val="single" w:sz="4" w:space="0" w:color="000000"/>
              <w:left w:val="single" w:sz="4" w:space="0" w:color="000000"/>
              <w:bottom w:val="single" w:sz="4" w:space="0" w:color="000000"/>
              <w:right w:val="single" w:sz="4" w:space="0" w:color="000000"/>
            </w:tcBorders>
            <w:vAlign w:val="center"/>
          </w:tcPr>
          <w:p w:rsidR="00887B51" w:rsidRPr="000B1EFA" w:rsidRDefault="00887B51" w:rsidP="00887B51">
            <w:pPr>
              <w:widowControl w:val="0"/>
              <w:spacing w:line="259" w:lineRule="auto"/>
              <w:jc w:val="center"/>
              <w:rPr>
                <w:rFonts w:eastAsia="Calibri"/>
                <w:sz w:val="24"/>
                <w:szCs w:val="24"/>
              </w:rPr>
            </w:pPr>
            <w:r w:rsidRPr="000B1EFA">
              <w:rPr>
                <w:rFonts w:eastAsia="Calibri"/>
                <w:sz w:val="24"/>
                <w:szCs w:val="24"/>
              </w:rPr>
              <w:t>1092,31</w:t>
            </w:r>
          </w:p>
        </w:tc>
      </w:tr>
      <w:tr w:rsidR="00887B51" w:rsidRPr="000B1EFA" w:rsidTr="00153232">
        <w:trPr>
          <w:jc w:val="center"/>
        </w:trPr>
        <w:tc>
          <w:tcPr>
            <w:tcW w:w="7244" w:type="dxa"/>
            <w:tcBorders>
              <w:top w:val="single" w:sz="4" w:space="0" w:color="000000"/>
              <w:left w:val="single" w:sz="4" w:space="0" w:color="000000"/>
              <w:bottom w:val="single" w:sz="4" w:space="0" w:color="000000"/>
              <w:right w:val="single" w:sz="4" w:space="0" w:color="000000"/>
            </w:tcBorders>
            <w:vAlign w:val="center"/>
          </w:tcPr>
          <w:p w:rsidR="00887B51" w:rsidRPr="000B1EFA" w:rsidRDefault="00887B51" w:rsidP="00887B51">
            <w:pPr>
              <w:widowControl w:val="0"/>
              <w:numPr>
                <w:ilvl w:val="0"/>
                <w:numId w:val="5"/>
              </w:numPr>
              <w:spacing w:after="160" w:line="276" w:lineRule="auto"/>
              <w:ind w:left="446" w:hanging="276"/>
              <w:jc w:val="left"/>
              <w:rPr>
                <w:rFonts w:eastAsia="Calibri"/>
                <w:sz w:val="24"/>
                <w:szCs w:val="24"/>
              </w:rPr>
            </w:pPr>
            <w:r w:rsidRPr="000B1EFA">
              <w:rPr>
                <w:rFonts w:eastAsia="Calibri"/>
                <w:sz w:val="24"/>
                <w:szCs w:val="24"/>
              </w:rPr>
              <w:t>хвороби органів травлення</w:t>
            </w:r>
          </w:p>
        </w:tc>
        <w:tc>
          <w:tcPr>
            <w:tcW w:w="1080" w:type="dxa"/>
            <w:tcBorders>
              <w:top w:val="single" w:sz="4" w:space="0" w:color="000000"/>
              <w:left w:val="single" w:sz="4" w:space="0" w:color="000000"/>
              <w:bottom w:val="single" w:sz="4" w:space="0" w:color="000000"/>
              <w:right w:val="single" w:sz="4" w:space="0" w:color="000000"/>
            </w:tcBorders>
            <w:vAlign w:val="center"/>
          </w:tcPr>
          <w:p w:rsidR="00887B51" w:rsidRPr="000B1EFA" w:rsidRDefault="00887B51" w:rsidP="00887B51">
            <w:pPr>
              <w:widowControl w:val="0"/>
              <w:spacing w:line="259" w:lineRule="auto"/>
              <w:jc w:val="center"/>
              <w:rPr>
                <w:rFonts w:eastAsia="Calibri"/>
                <w:sz w:val="24"/>
                <w:szCs w:val="24"/>
              </w:rPr>
            </w:pPr>
            <w:r w:rsidRPr="000B1EFA">
              <w:rPr>
                <w:rFonts w:eastAsia="Calibri"/>
                <w:sz w:val="24"/>
                <w:szCs w:val="24"/>
              </w:rPr>
              <w:t>64,17</w:t>
            </w:r>
          </w:p>
        </w:tc>
        <w:tc>
          <w:tcPr>
            <w:tcW w:w="1201" w:type="dxa"/>
            <w:tcBorders>
              <w:top w:val="single" w:sz="4" w:space="0" w:color="000000"/>
              <w:left w:val="single" w:sz="4" w:space="0" w:color="000000"/>
              <w:bottom w:val="single" w:sz="4" w:space="0" w:color="000000"/>
              <w:right w:val="single" w:sz="4" w:space="0" w:color="000000"/>
            </w:tcBorders>
            <w:vAlign w:val="center"/>
          </w:tcPr>
          <w:p w:rsidR="00887B51" w:rsidRPr="000B1EFA" w:rsidRDefault="00887B51" w:rsidP="00887B51">
            <w:pPr>
              <w:widowControl w:val="0"/>
              <w:spacing w:line="259" w:lineRule="auto"/>
              <w:jc w:val="center"/>
              <w:rPr>
                <w:rFonts w:eastAsia="Calibri"/>
                <w:sz w:val="24"/>
                <w:szCs w:val="24"/>
              </w:rPr>
            </w:pPr>
            <w:r w:rsidRPr="000B1EFA">
              <w:rPr>
                <w:rFonts w:eastAsia="Calibri"/>
                <w:sz w:val="24"/>
                <w:szCs w:val="24"/>
              </w:rPr>
              <w:t>62,27</w:t>
            </w:r>
          </w:p>
        </w:tc>
      </w:tr>
      <w:tr w:rsidR="00887B51" w:rsidRPr="000B1EFA" w:rsidTr="00153232">
        <w:trPr>
          <w:jc w:val="center"/>
        </w:trPr>
        <w:tc>
          <w:tcPr>
            <w:tcW w:w="7244" w:type="dxa"/>
            <w:tcBorders>
              <w:top w:val="single" w:sz="4" w:space="0" w:color="000000"/>
              <w:left w:val="single" w:sz="4" w:space="0" w:color="000000"/>
              <w:bottom w:val="single" w:sz="4" w:space="0" w:color="000000"/>
              <w:right w:val="single" w:sz="4" w:space="0" w:color="000000"/>
            </w:tcBorders>
            <w:vAlign w:val="center"/>
          </w:tcPr>
          <w:p w:rsidR="00887B51" w:rsidRPr="000B1EFA" w:rsidRDefault="00887B51" w:rsidP="00887B51">
            <w:pPr>
              <w:widowControl w:val="0"/>
              <w:numPr>
                <w:ilvl w:val="0"/>
                <w:numId w:val="5"/>
              </w:numPr>
              <w:spacing w:after="160" w:line="276" w:lineRule="auto"/>
              <w:ind w:left="446" w:hanging="276"/>
              <w:jc w:val="left"/>
              <w:rPr>
                <w:rFonts w:eastAsia="Calibri"/>
                <w:sz w:val="24"/>
                <w:szCs w:val="24"/>
              </w:rPr>
            </w:pPr>
            <w:r w:rsidRPr="000B1EFA">
              <w:rPr>
                <w:rFonts w:eastAsia="Calibri"/>
                <w:sz w:val="24"/>
                <w:szCs w:val="24"/>
              </w:rPr>
              <w:t>хвороби шкіри та підшкірної клітковини</w:t>
            </w:r>
          </w:p>
        </w:tc>
        <w:tc>
          <w:tcPr>
            <w:tcW w:w="1080" w:type="dxa"/>
            <w:tcBorders>
              <w:top w:val="single" w:sz="4" w:space="0" w:color="000000"/>
              <w:left w:val="single" w:sz="4" w:space="0" w:color="000000"/>
              <w:bottom w:val="single" w:sz="4" w:space="0" w:color="000000"/>
              <w:right w:val="single" w:sz="4" w:space="0" w:color="000000"/>
            </w:tcBorders>
            <w:vAlign w:val="center"/>
          </w:tcPr>
          <w:p w:rsidR="00887B51" w:rsidRPr="000B1EFA" w:rsidRDefault="00887B51" w:rsidP="00887B51">
            <w:pPr>
              <w:widowControl w:val="0"/>
              <w:spacing w:line="259" w:lineRule="auto"/>
              <w:jc w:val="center"/>
              <w:rPr>
                <w:rFonts w:eastAsia="Calibri"/>
                <w:sz w:val="24"/>
                <w:szCs w:val="24"/>
              </w:rPr>
            </w:pPr>
            <w:r w:rsidRPr="000B1EFA">
              <w:rPr>
                <w:rFonts w:eastAsia="Calibri"/>
                <w:sz w:val="24"/>
                <w:szCs w:val="24"/>
              </w:rPr>
              <w:t>87,94</w:t>
            </w:r>
          </w:p>
        </w:tc>
        <w:tc>
          <w:tcPr>
            <w:tcW w:w="1201" w:type="dxa"/>
            <w:tcBorders>
              <w:top w:val="single" w:sz="4" w:space="0" w:color="000000"/>
              <w:left w:val="single" w:sz="4" w:space="0" w:color="000000"/>
              <w:bottom w:val="single" w:sz="4" w:space="0" w:color="000000"/>
              <w:right w:val="single" w:sz="4" w:space="0" w:color="000000"/>
            </w:tcBorders>
            <w:vAlign w:val="center"/>
          </w:tcPr>
          <w:p w:rsidR="00887B51" w:rsidRPr="000B1EFA" w:rsidRDefault="00887B51" w:rsidP="00887B51">
            <w:pPr>
              <w:widowControl w:val="0"/>
              <w:spacing w:line="259" w:lineRule="auto"/>
              <w:jc w:val="center"/>
              <w:rPr>
                <w:rFonts w:eastAsia="Calibri"/>
                <w:sz w:val="24"/>
                <w:szCs w:val="24"/>
              </w:rPr>
            </w:pPr>
            <w:r w:rsidRPr="000B1EFA">
              <w:rPr>
                <w:rFonts w:eastAsia="Calibri"/>
                <w:sz w:val="24"/>
                <w:szCs w:val="24"/>
              </w:rPr>
              <w:t>80,76</w:t>
            </w:r>
          </w:p>
        </w:tc>
      </w:tr>
      <w:tr w:rsidR="00887B51" w:rsidRPr="000B1EFA" w:rsidTr="00153232">
        <w:trPr>
          <w:jc w:val="center"/>
        </w:trPr>
        <w:tc>
          <w:tcPr>
            <w:tcW w:w="7244" w:type="dxa"/>
            <w:tcBorders>
              <w:top w:val="single" w:sz="4" w:space="0" w:color="000000"/>
              <w:left w:val="single" w:sz="4" w:space="0" w:color="000000"/>
              <w:bottom w:val="single" w:sz="4" w:space="0" w:color="000000"/>
              <w:right w:val="single" w:sz="4" w:space="0" w:color="000000"/>
            </w:tcBorders>
            <w:vAlign w:val="center"/>
          </w:tcPr>
          <w:p w:rsidR="00887B51" w:rsidRPr="000B1EFA" w:rsidRDefault="00887B51" w:rsidP="00887B51">
            <w:pPr>
              <w:widowControl w:val="0"/>
              <w:numPr>
                <w:ilvl w:val="0"/>
                <w:numId w:val="5"/>
              </w:numPr>
              <w:spacing w:after="160" w:line="276" w:lineRule="auto"/>
              <w:ind w:left="446" w:hanging="276"/>
              <w:jc w:val="left"/>
              <w:rPr>
                <w:rFonts w:eastAsia="Calibri"/>
                <w:sz w:val="24"/>
                <w:szCs w:val="24"/>
              </w:rPr>
            </w:pPr>
            <w:r w:rsidRPr="000B1EFA">
              <w:rPr>
                <w:rFonts w:eastAsia="Calibri"/>
                <w:sz w:val="24"/>
                <w:szCs w:val="24"/>
              </w:rPr>
              <w:t>хвороби кістково-м’язової системи та сполучної тканини</w:t>
            </w:r>
          </w:p>
        </w:tc>
        <w:tc>
          <w:tcPr>
            <w:tcW w:w="1080" w:type="dxa"/>
            <w:tcBorders>
              <w:top w:val="single" w:sz="4" w:space="0" w:color="000000"/>
              <w:left w:val="single" w:sz="4" w:space="0" w:color="000000"/>
              <w:bottom w:val="single" w:sz="4" w:space="0" w:color="000000"/>
              <w:right w:val="single" w:sz="4" w:space="0" w:color="000000"/>
            </w:tcBorders>
            <w:vAlign w:val="center"/>
          </w:tcPr>
          <w:p w:rsidR="00887B51" w:rsidRPr="000B1EFA" w:rsidRDefault="00887B51" w:rsidP="00887B51">
            <w:pPr>
              <w:widowControl w:val="0"/>
              <w:spacing w:line="259" w:lineRule="auto"/>
              <w:jc w:val="center"/>
              <w:rPr>
                <w:rFonts w:eastAsia="Calibri"/>
                <w:sz w:val="24"/>
                <w:szCs w:val="24"/>
              </w:rPr>
            </w:pPr>
            <w:r w:rsidRPr="000B1EFA">
              <w:rPr>
                <w:rFonts w:eastAsia="Calibri"/>
                <w:sz w:val="24"/>
                <w:szCs w:val="24"/>
              </w:rPr>
              <w:t>25,01</w:t>
            </w:r>
          </w:p>
        </w:tc>
        <w:tc>
          <w:tcPr>
            <w:tcW w:w="1201" w:type="dxa"/>
            <w:tcBorders>
              <w:top w:val="single" w:sz="4" w:space="0" w:color="000000"/>
              <w:left w:val="single" w:sz="4" w:space="0" w:color="000000"/>
              <w:bottom w:val="single" w:sz="4" w:space="0" w:color="000000"/>
              <w:right w:val="single" w:sz="4" w:space="0" w:color="000000"/>
            </w:tcBorders>
            <w:vAlign w:val="center"/>
          </w:tcPr>
          <w:p w:rsidR="00887B51" w:rsidRPr="000B1EFA" w:rsidRDefault="00887B51" w:rsidP="00887B51">
            <w:pPr>
              <w:widowControl w:val="0"/>
              <w:spacing w:line="259" w:lineRule="auto"/>
              <w:jc w:val="center"/>
              <w:rPr>
                <w:rFonts w:eastAsia="Calibri"/>
                <w:sz w:val="24"/>
                <w:szCs w:val="24"/>
              </w:rPr>
            </w:pPr>
            <w:r w:rsidRPr="000B1EFA">
              <w:rPr>
                <w:rFonts w:eastAsia="Calibri"/>
                <w:sz w:val="24"/>
                <w:szCs w:val="24"/>
              </w:rPr>
              <w:t>24,8</w:t>
            </w:r>
          </w:p>
        </w:tc>
      </w:tr>
      <w:tr w:rsidR="00887B51" w:rsidRPr="000B1EFA" w:rsidTr="00153232">
        <w:trPr>
          <w:jc w:val="center"/>
        </w:trPr>
        <w:tc>
          <w:tcPr>
            <w:tcW w:w="7244" w:type="dxa"/>
            <w:tcBorders>
              <w:top w:val="single" w:sz="4" w:space="0" w:color="000000"/>
              <w:left w:val="single" w:sz="4" w:space="0" w:color="000000"/>
              <w:bottom w:val="single" w:sz="4" w:space="0" w:color="000000"/>
              <w:right w:val="single" w:sz="4" w:space="0" w:color="000000"/>
            </w:tcBorders>
            <w:vAlign w:val="center"/>
          </w:tcPr>
          <w:p w:rsidR="00887B51" w:rsidRPr="000B1EFA" w:rsidRDefault="00887B51" w:rsidP="00887B51">
            <w:pPr>
              <w:widowControl w:val="0"/>
              <w:numPr>
                <w:ilvl w:val="0"/>
                <w:numId w:val="5"/>
              </w:numPr>
              <w:spacing w:after="160" w:line="276" w:lineRule="auto"/>
              <w:ind w:left="446" w:hanging="276"/>
              <w:jc w:val="left"/>
              <w:rPr>
                <w:rFonts w:eastAsia="Calibri"/>
                <w:sz w:val="24"/>
                <w:szCs w:val="24"/>
              </w:rPr>
            </w:pPr>
            <w:r w:rsidRPr="000B1EFA">
              <w:rPr>
                <w:rFonts w:eastAsia="Calibri"/>
                <w:sz w:val="24"/>
                <w:szCs w:val="24"/>
              </w:rPr>
              <w:t>хвороби сечостатевої системи</w:t>
            </w:r>
          </w:p>
        </w:tc>
        <w:tc>
          <w:tcPr>
            <w:tcW w:w="1080" w:type="dxa"/>
            <w:tcBorders>
              <w:top w:val="single" w:sz="4" w:space="0" w:color="000000"/>
              <w:left w:val="single" w:sz="4" w:space="0" w:color="000000"/>
              <w:bottom w:val="single" w:sz="4" w:space="0" w:color="000000"/>
              <w:right w:val="single" w:sz="4" w:space="0" w:color="000000"/>
            </w:tcBorders>
            <w:vAlign w:val="center"/>
          </w:tcPr>
          <w:p w:rsidR="00887B51" w:rsidRPr="000B1EFA" w:rsidRDefault="00887B51" w:rsidP="00887B51">
            <w:pPr>
              <w:widowControl w:val="0"/>
              <w:spacing w:line="259" w:lineRule="auto"/>
              <w:jc w:val="center"/>
              <w:rPr>
                <w:rFonts w:eastAsia="Calibri"/>
                <w:sz w:val="24"/>
                <w:szCs w:val="24"/>
              </w:rPr>
            </w:pPr>
            <w:r w:rsidRPr="000B1EFA">
              <w:rPr>
                <w:rFonts w:eastAsia="Calibri"/>
                <w:sz w:val="24"/>
                <w:szCs w:val="24"/>
              </w:rPr>
              <w:t>33,91</w:t>
            </w:r>
          </w:p>
        </w:tc>
        <w:tc>
          <w:tcPr>
            <w:tcW w:w="1201" w:type="dxa"/>
            <w:tcBorders>
              <w:top w:val="single" w:sz="4" w:space="0" w:color="000000"/>
              <w:left w:val="single" w:sz="4" w:space="0" w:color="000000"/>
              <w:bottom w:val="single" w:sz="4" w:space="0" w:color="000000"/>
              <w:right w:val="single" w:sz="4" w:space="0" w:color="000000"/>
            </w:tcBorders>
            <w:vAlign w:val="center"/>
          </w:tcPr>
          <w:p w:rsidR="00887B51" w:rsidRPr="000B1EFA" w:rsidRDefault="00887B51" w:rsidP="00887B51">
            <w:pPr>
              <w:widowControl w:val="0"/>
              <w:spacing w:line="259" w:lineRule="auto"/>
              <w:jc w:val="center"/>
              <w:rPr>
                <w:rFonts w:eastAsia="Calibri"/>
                <w:sz w:val="24"/>
                <w:szCs w:val="24"/>
              </w:rPr>
            </w:pPr>
            <w:r w:rsidRPr="000B1EFA">
              <w:rPr>
                <w:rFonts w:eastAsia="Calibri"/>
                <w:sz w:val="24"/>
                <w:szCs w:val="24"/>
              </w:rPr>
              <w:t>31,48</w:t>
            </w:r>
          </w:p>
        </w:tc>
      </w:tr>
      <w:tr w:rsidR="00887B51" w:rsidRPr="000B1EFA" w:rsidTr="00153232">
        <w:trPr>
          <w:jc w:val="center"/>
        </w:trPr>
        <w:tc>
          <w:tcPr>
            <w:tcW w:w="7244" w:type="dxa"/>
            <w:tcBorders>
              <w:top w:val="single" w:sz="4" w:space="0" w:color="000000"/>
              <w:left w:val="single" w:sz="4" w:space="0" w:color="000000"/>
              <w:bottom w:val="single" w:sz="4" w:space="0" w:color="000000"/>
              <w:right w:val="single" w:sz="4" w:space="0" w:color="000000"/>
            </w:tcBorders>
            <w:vAlign w:val="center"/>
          </w:tcPr>
          <w:p w:rsidR="00887B51" w:rsidRPr="000B1EFA" w:rsidRDefault="00887B51" w:rsidP="00887B51">
            <w:pPr>
              <w:widowControl w:val="0"/>
              <w:numPr>
                <w:ilvl w:val="0"/>
                <w:numId w:val="5"/>
              </w:numPr>
              <w:spacing w:after="160" w:line="276" w:lineRule="auto"/>
              <w:ind w:left="446" w:hanging="276"/>
              <w:jc w:val="left"/>
              <w:rPr>
                <w:rFonts w:eastAsia="Calibri"/>
                <w:sz w:val="24"/>
                <w:szCs w:val="24"/>
              </w:rPr>
            </w:pPr>
            <w:r w:rsidRPr="000B1EFA">
              <w:rPr>
                <w:rFonts w:eastAsia="Calibri"/>
                <w:sz w:val="24"/>
                <w:szCs w:val="24"/>
              </w:rPr>
              <w:t xml:space="preserve">природжені вади розвитку, деформації та хромосомні аномалії </w:t>
            </w:r>
          </w:p>
        </w:tc>
        <w:tc>
          <w:tcPr>
            <w:tcW w:w="1080" w:type="dxa"/>
            <w:tcBorders>
              <w:top w:val="single" w:sz="4" w:space="0" w:color="000000"/>
              <w:left w:val="single" w:sz="4" w:space="0" w:color="000000"/>
              <w:bottom w:val="single" w:sz="4" w:space="0" w:color="000000"/>
              <w:right w:val="single" w:sz="4" w:space="0" w:color="000000"/>
            </w:tcBorders>
            <w:vAlign w:val="center"/>
          </w:tcPr>
          <w:p w:rsidR="00887B51" w:rsidRPr="000B1EFA" w:rsidRDefault="00887B51" w:rsidP="00887B51">
            <w:pPr>
              <w:widowControl w:val="0"/>
              <w:spacing w:line="259" w:lineRule="auto"/>
              <w:jc w:val="center"/>
              <w:rPr>
                <w:rFonts w:eastAsia="Calibri"/>
                <w:sz w:val="24"/>
                <w:szCs w:val="24"/>
              </w:rPr>
            </w:pPr>
            <w:r w:rsidRPr="000B1EFA">
              <w:rPr>
                <w:rFonts w:eastAsia="Calibri"/>
                <w:sz w:val="24"/>
                <w:szCs w:val="24"/>
              </w:rPr>
              <w:t>34,35</w:t>
            </w:r>
          </w:p>
        </w:tc>
        <w:tc>
          <w:tcPr>
            <w:tcW w:w="1201" w:type="dxa"/>
            <w:tcBorders>
              <w:top w:val="single" w:sz="4" w:space="0" w:color="000000"/>
              <w:left w:val="single" w:sz="4" w:space="0" w:color="000000"/>
              <w:bottom w:val="single" w:sz="4" w:space="0" w:color="000000"/>
              <w:right w:val="single" w:sz="4" w:space="0" w:color="000000"/>
            </w:tcBorders>
            <w:vAlign w:val="center"/>
          </w:tcPr>
          <w:p w:rsidR="00887B51" w:rsidRPr="000B1EFA" w:rsidRDefault="00887B51" w:rsidP="00887B51">
            <w:pPr>
              <w:widowControl w:val="0"/>
              <w:spacing w:line="259" w:lineRule="auto"/>
              <w:jc w:val="center"/>
              <w:rPr>
                <w:rFonts w:eastAsia="Calibri"/>
                <w:sz w:val="24"/>
                <w:szCs w:val="24"/>
              </w:rPr>
            </w:pPr>
            <w:r w:rsidRPr="000B1EFA">
              <w:rPr>
                <w:rFonts w:eastAsia="Calibri"/>
                <w:sz w:val="24"/>
                <w:szCs w:val="24"/>
              </w:rPr>
              <w:t>32,96</w:t>
            </w:r>
          </w:p>
        </w:tc>
      </w:tr>
      <w:tr w:rsidR="00887B51" w:rsidRPr="000B1EFA" w:rsidTr="00153232">
        <w:trPr>
          <w:trHeight w:val="633"/>
          <w:jc w:val="center"/>
        </w:trPr>
        <w:tc>
          <w:tcPr>
            <w:tcW w:w="7244" w:type="dxa"/>
            <w:tcBorders>
              <w:top w:val="single" w:sz="4" w:space="0" w:color="000000"/>
              <w:left w:val="single" w:sz="4" w:space="0" w:color="000000"/>
              <w:bottom w:val="single" w:sz="4" w:space="0" w:color="000000"/>
              <w:right w:val="single" w:sz="4" w:space="0" w:color="000000"/>
            </w:tcBorders>
            <w:vAlign w:val="center"/>
          </w:tcPr>
          <w:p w:rsidR="00887B51" w:rsidRPr="000B1EFA" w:rsidRDefault="00887B51" w:rsidP="00887B51">
            <w:pPr>
              <w:widowControl w:val="0"/>
              <w:numPr>
                <w:ilvl w:val="0"/>
                <w:numId w:val="5"/>
              </w:numPr>
              <w:spacing w:after="160" w:line="276" w:lineRule="auto"/>
              <w:ind w:left="446" w:hanging="276"/>
              <w:jc w:val="left"/>
              <w:rPr>
                <w:rFonts w:eastAsia="Calibri"/>
                <w:sz w:val="24"/>
                <w:szCs w:val="24"/>
              </w:rPr>
            </w:pPr>
            <w:r w:rsidRPr="000B1EFA">
              <w:rPr>
                <w:rFonts w:eastAsia="Calibri"/>
                <w:sz w:val="24"/>
                <w:szCs w:val="24"/>
              </w:rPr>
              <w:t xml:space="preserve">симптоми, ознаки та відхилення від норми, </w:t>
            </w:r>
          </w:p>
          <w:p w:rsidR="00887B51" w:rsidRPr="000B1EFA" w:rsidRDefault="00887B51" w:rsidP="00887B51">
            <w:pPr>
              <w:widowControl w:val="0"/>
              <w:spacing w:line="259" w:lineRule="auto"/>
              <w:ind w:left="446" w:hanging="276"/>
              <w:jc w:val="left"/>
              <w:rPr>
                <w:rFonts w:eastAsia="Calibri"/>
                <w:sz w:val="24"/>
                <w:szCs w:val="24"/>
              </w:rPr>
            </w:pPr>
            <w:r w:rsidRPr="000B1EFA">
              <w:rPr>
                <w:rFonts w:eastAsia="Calibri"/>
                <w:sz w:val="24"/>
                <w:szCs w:val="24"/>
              </w:rPr>
              <w:t xml:space="preserve">      що виявлені при клінічних та лабораторних дослідженнях, не класифіковані </w:t>
            </w:r>
          </w:p>
          <w:p w:rsidR="00887B51" w:rsidRPr="000B1EFA" w:rsidRDefault="00887B51" w:rsidP="00887B51">
            <w:pPr>
              <w:widowControl w:val="0"/>
              <w:spacing w:line="259" w:lineRule="auto"/>
              <w:ind w:left="446" w:hanging="276"/>
              <w:jc w:val="left"/>
              <w:rPr>
                <w:rFonts w:eastAsia="Calibri"/>
                <w:sz w:val="24"/>
                <w:szCs w:val="24"/>
              </w:rPr>
            </w:pPr>
            <w:r w:rsidRPr="000B1EFA">
              <w:rPr>
                <w:rFonts w:eastAsia="Calibri"/>
                <w:sz w:val="24"/>
                <w:szCs w:val="24"/>
              </w:rPr>
              <w:t xml:space="preserve">      в інших рубриках</w:t>
            </w:r>
          </w:p>
        </w:tc>
        <w:tc>
          <w:tcPr>
            <w:tcW w:w="1080" w:type="dxa"/>
            <w:tcBorders>
              <w:top w:val="single" w:sz="4" w:space="0" w:color="000000"/>
              <w:left w:val="single" w:sz="4" w:space="0" w:color="000000"/>
              <w:bottom w:val="single" w:sz="4" w:space="0" w:color="000000"/>
              <w:right w:val="single" w:sz="4" w:space="0" w:color="000000"/>
            </w:tcBorders>
            <w:vAlign w:val="center"/>
          </w:tcPr>
          <w:p w:rsidR="00887B51" w:rsidRPr="000B1EFA" w:rsidRDefault="00887B51" w:rsidP="00887B51">
            <w:pPr>
              <w:widowControl w:val="0"/>
              <w:spacing w:line="259" w:lineRule="auto"/>
              <w:jc w:val="center"/>
              <w:rPr>
                <w:rFonts w:eastAsia="Calibri"/>
                <w:sz w:val="24"/>
                <w:szCs w:val="24"/>
              </w:rPr>
            </w:pPr>
            <w:r w:rsidRPr="000B1EFA">
              <w:rPr>
                <w:rFonts w:eastAsia="Calibri"/>
                <w:sz w:val="24"/>
                <w:szCs w:val="24"/>
              </w:rPr>
              <w:t>3,26</w:t>
            </w:r>
          </w:p>
        </w:tc>
        <w:tc>
          <w:tcPr>
            <w:tcW w:w="1201" w:type="dxa"/>
            <w:tcBorders>
              <w:top w:val="single" w:sz="4" w:space="0" w:color="000000"/>
              <w:left w:val="single" w:sz="4" w:space="0" w:color="000000"/>
              <w:bottom w:val="single" w:sz="4" w:space="0" w:color="000000"/>
              <w:right w:val="single" w:sz="4" w:space="0" w:color="000000"/>
            </w:tcBorders>
            <w:vAlign w:val="center"/>
          </w:tcPr>
          <w:p w:rsidR="00887B51" w:rsidRPr="000B1EFA" w:rsidRDefault="00887B51" w:rsidP="00887B51">
            <w:pPr>
              <w:widowControl w:val="0"/>
              <w:spacing w:line="259" w:lineRule="auto"/>
              <w:jc w:val="center"/>
              <w:rPr>
                <w:rFonts w:eastAsia="Calibri"/>
                <w:sz w:val="24"/>
                <w:szCs w:val="24"/>
              </w:rPr>
            </w:pPr>
            <w:r w:rsidRPr="000B1EFA">
              <w:rPr>
                <w:rFonts w:eastAsia="Calibri"/>
                <w:sz w:val="24"/>
                <w:szCs w:val="24"/>
              </w:rPr>
              <w:t>3,05</w:t>
            </w:r>
          </w:p>
        </w:tc>
      </w:tr>
      <w:tr w:rsidR="00887B51" w:rsidRPr="000B1EFA" w:rsidTr="00153232">
        <w:trPr>
          <w:jc w:val="center"/>
        </w:trPr>
        <w:tc>
          <w:tcPr>
            <w:tcW w:w="7244" w:type="dxa"/>
            <w:tcBorders>
              <w:top w:val="single" w:sz="4" w:space="0" w:color="000000"/>
              <w:left w:val="single" w:sz="4" w:space="0" w:color="000000"/>
              <w:bottom w:val="single" w:sz="4" w:space="0" w:color="000000"/>
              <w:right w:val="single" w:sz="4" w:space="0" w:color="000000"/>
            </w:tcBorders>
            <w:vAlign w:val="center"/>
          </w:tcPr>
          <w:p w:rsidR="00887B51" w:rsidRPr="000B1EFA" w:rsidRDefault="00887B51" w:rsidP="00887B51">
            <w:pPr>
              <w:widowControl w:val="0"/>
              <w:numPr>
                <w:ilvl w:val="0"/>
                <w:numId w:val="5"/>
              </w:numPr>
              <w:spacing w:after="160" w:line="276" w:lineRule="auto"/>
              <w:ind w:left="446" w:hanging="276"/>
              <w:jc w:val="left"/>
              <w:rPr>
                <w:rFonts w:eastAsia="Calibri"/>
                <w:sz w:val="24"/>
                <w:szCs w:val="24"/>
              </w:rPr>
            </w:pPr>
            <w:r w:rsidRPr="000B1EFA">
              <w:rPr>
                <w:rFonts w:eastAsia="Calibri"/>
                <w:sz w:val="24"/>
                <w:szCs w:val="24"/>
              </w:rPr>
              <w:t>травми, отруєння та деякі інші наслідки дії зовнішніх чинників</w:t>
            </w:r>
          </w:p>
        </w:tc>
        <w:tc>
          <w:tcPr>
            <w:tcW w:w="1080" w:type="dxa"/>
            <w:tcBorders>
              <w:top w:val="single" w:sz="4" w:space="0" w:color="000000"/>
              <w:left w:val="single" w:sz="4" w:space="0" w:color="000000"/>
              <w:bottom w:val="single" w:sz="4" w:space="0" w:color="000000"/>
              <w:right w:val="single" w:sz="4" w:space="0" w:color="000000"/>
            </w:tcBorders>
            <w:vAlign w:val="center"/>
          </w:tcPr>
          <w:p w:rsidR="00887B51" w:rsidRPr="000B1EFA" w:rsidRDefault="00887B51" w:rsidP="00887B51">
            <w:pPr>
              <w:widowControl w:val="0"/>
              <w:spacing w:line="259" w:lineRule="auto"/>
              <w:jc w:val="center"/>
              <w:rPr>
                <w:rFonts w:eastAsia="Calibri"/>
                <w:sz w:val="24"/>
                <w:szCs w:val="24"/>
              </w:rPr>
            </w:pPr>
            <w:r w:rsidRPr="000B1EFA">
              <w:rPr>
                <w:rFonts w:eastAsia="Calibri"/>
                <w:sz w:val="24"/>
                <w:szCs w:val="24"/>
              </w:rPr>
              <w:t>36,59</w:t>
            </w:r>
          </w:p>
        </w:tc>
        <w:tc>
          <w:tcPr>
            <w:tcW w:w="1201" w:type="dxa"/>
            <w:tcBorders>
              <w:top w:val="single" w:sz="4" w:space="0" w:color="000000"/>
              <w:left w:val="single" w:sz="4" w:space="0" w:color="000000"/>
              <w:bottom w:val="single" w:sz="4" w:space="0" w:color="000000"/>
              <w:right w:val="single" w:sz="4" w:space="0" w:color="000000"/>
            </w:tcBorders>
            <w:vAlign w:val="center"/>
          </w:tcPr>
          <w:p w:rsidR="00887B51" w:rsidRPr="000B1EFA" w:rsidRDefault="00887B51" w:rsidP="00887B51">
            <w:pPr>
              <w:widowControl w:val="0"/>
              <w:spacing w:line="259" w:lineRule="auto"/>
              <w:jc w:val="center"/>
              <w:rPr>
                <w:rFonts w:eastAsia="Calibri"/>
                <w:sz w:val="24"/>
                <w:szCs w:val="24"/>
              </w:rPr>
            </w:pPr>
            <w:r w:rsidRPr="000B1EFA">
              <w:rPr>
                <w:rFonts w:eastAsia="Calibri"/>
                <w:sz w:val="24"/>
                <w:szCs w:val="24"/>
              </w:rPr>
              <w:t>34,59</w:t>
            </w:r>
          </w:p>
        </w:tc>
      </w:tr>
    </w:tbl>
    <w:p w:rsidR="00887B51" w:rsidRDefault="00B90380" w:rsidP="00B90380">
      <w:pPr>
        <w:tabs>
          <w:tab w:val="left" w:pos="7920"/>
        </w:tabs>
        <w:spacing w:after="200"/>
        <w:jc w:val="left"/>
        <w:rPr>
          <w:rFonts w:eastAsia="Calibri"/>
          <w:b/>
          <w:szCs w:val="28"/>
          <w:lang w:val="ru-RU"/>
        </w:rPr>
      </w:pPr>
      <w:r>
        <w:rPr>
          <w:rFonts w:eastAsia="Calibri"/>
          <w:b/>
          <w:szCs w:val="28"/>
        </w:rPr>
        <w:tab/>
      </w:r>
    </w:p>
    <w:p w:rsidR="006B6A3E" w:rsidRPr="006B6A3E" w:rsidRDefault="005627AD" w:rsidP="00D13BF8">
      <w:pPr>
        <w:pageBreakBefore/>
        <w:tabs>
          <w:tab w:val="left" w:pos="7660"/>
        </w:tabs>
        <w:spacing w:after="200"/>
        <w:jc w:val="right"/>
        <w:rPr>
          <w:rFonts w:eastAsia="Calibri"/>
          <w:szCs w:val="28"/>
        </w:rPr>
      </w:pPr>
      <w:r>
        <w:rPr>
          <w:rFonts w:eastAsia="Calibri"/>
          <w:szCs w:val="28"/>
        </w:rPr>
        <w:lastRenderedPageBreak/>
        <w:t>Додаток Г</w:t>
      </w:r>
      <w:r w:rsidR="006B6A3E" w:rsidRPr="006B6A3E">
        <w:rPr>
          <w:rFonts w:eastAsia="Calibri"/>
          <w:szCs w:val="28"/>
        </w:rPr>
        <w:t>-1</w:t>
      </w:r>
    </w:p>
    <w:p w:rsidR="006B6A3E" w:rsidRPr="006B6A3E" w:rsidRDefault="006B6A3E" w:rsidP="006B6A3E">
      <w:pPr>
        <w:widowControl w:val="0"/>
        <w:jc w:val="center"/>
        <w:rPr>
          <w:rFonts w:eastAsia="Times New Roman"/>
          <w:szCs w:val="28"/>
          <w:lang w:eastAsia="ru-RU"/>
        </w:rPr>
      </w:pPr>
      <w:r w:rsidRPr="006B6A3E">
        <w:rPr>
          <w:rFonts w:eastAsia="Times New Roman"/>
          <w:b/>
          <w:bCs/>
          <w:szCs w:val="28"/>
          <w:lang w:eastAsia="ru-RU"/>
        </w:rPr>
        <w:t>Показники роботи денних стаціонарів України (2017 р.)</w:t>
      </w:r>
    </w:p>
    <w:tbl>
      <w:tblPr>
        <w:tblW w:w="0" w:type="auto"/>
        <w:tblInd w:w="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5"/>
        <w:gridCol w:w="1344"/>
        <w:gridCol w:w="1910"/>
        <w:gridCol w:w="1521"/>
        <w:gridCol w:w="1967"/>
      </w:tblGrid>
      <w:tr w:rsidR="006B6A3E" w:rsidRPr="000B1EFA" w:rsidTr="006E3A91">
        <w:trPr>
          <w:trHeight w:val="689"/>
        </w:trPr>
        <w:tc>
          <w:tcPr>
            <w:tcW w:w="0" w:type="auto"/>
            <w:tcBorders>
              <w:bottom w:val="single" w:sz="4" w:space="0" w:color="auto"/>
            </w:tcBorders>
            <w:shd w:val="clear" w:color="auto" w:fill="auto"/>
            <w:vAlign w:val="center"/>
          </w:tcPr>
          <w:p w:rsidR="006B6A3E" w:rsidRPr="000B1EFA" w:rsidRDefault="006B6A3E" w:rsidP="000B1EFA">
            <w:pPr>
              <w:widowControl w:val="0"/>
              <w:spacing w:line="276" w:lineRule="auto"/>
              <w:jc w:val="center"/>
              <w:rPr>
                <w:rFonts w:eastAsia="Times New Roman"/>
                <w:sz w:val="24"/>
                <w:szCs w:val="24"/>
                <w:lang w:eastAsia="ru-RU"/>
              </w:rPr>
            </w:pPr>
            <w:r w:rsidRPr="000B1EFA">
              <w:rPr>
                <w:rFonts w:eastAsia="Times New Roman"/>
                <w:bCs/>
                <w:sz w:val="24"/>
                <w:szCs w:val="24"/>
                <w:lang w:eastAsia="ru-RU"/>
              </w:rPr>
              <w:t>Адміністративно-територіальна одиниця</w:t>
            </w:r>
          </w:p>
        </w:tc>
        <w:tc>
          <w:tcPr>
            <w:tcW w:w="0" w:type="auto"/>
            <w:tcBorders>
              <w:bottom w:val="single" w:sz="4" w:space="0" w:color="auto"/>
            </w:tcBorders>
            <w:vAlign w:val="center"/>
          </w:tcPr>
          <w:p w:rsidR="006B6A3E" w:rsidRPr="000B1EFA" w:rsidRDefault="006B6A3E" w:rsidP="000B1EFA">
            <w:pPr>
              <w:widowControl w:val="0"/>
              <w:spacing w:line="276" w:lineRule="auto"/>
              <w:jc w:val="center"/>
              <w:rPr>
                <w:rFonts w:eastAsia="Times New Roman"/>
                <w:sz w:val="24"/>
                <w:szCs w:val="24"/>
                <w:lang w:eastAsia="ru-RU"/>
              </w:rPr>
            </w:pPr>
            <w:r w:rsidRPr="000B1EFA">
              <w:rPr>
                <w:rFonts w:eastAsia="Times New Roman"/>
                <w:sz w:val="24"/>
                <w:szCs w:val="24"/>
                <w:lang w:eastAsia="ru-RU"/>
              </w:rPr>
              <w:t>Число ліжок</w:t>
            </w:r>
          </w:p>
          <w:p w:rsidR="006B6A3E" w:rsidRPr="000B1EFA" w:rsidRDefault="006B6A3E" w:rsidP="000B1EFA">
            <w:pPr>
              <w:widowControl w:val="0"/>
              <w:spacing w:line="276" w:lineRule="auto"/>
              <w:jc w:val="center"/>
              <w:rPr>
                <w:rFonts w:eastAsia="Times New Roman"/>
                <w:sz w:val="24"/>
                <w:szCs w:val="24"/>
                <w:lang w:eastAsia="ru-RU"/>
              </w:rPr>
            </w:pPr>
            <w:r w:rsidRPr="000B1EFA">
              <w:rPr>
                <w:rFonts w:eastAsia="Times New Roman"/>
                <w:sz w:val="24"/>
                <w:szCs w:val="24"/>
                <w:lang w:eastAsia="ru-RU"/>
              </w:rPr>
              <w:t>для дітей</w:t>
            </w:r>
          </w:p>
        </w:tc>
        <w:tc>
          <w:tcPr>
            <w:tcW w:w="0" w:type="auto"/>
            <w:tcBorders>
              <w:bottom w:val="single" w:sz="4" w:space="0" w:color="auto"/>
            </w:tcBorders>
            <w:vAlign w:val="center"/>
          </w:tcPr>
          <w:p w:rsidR="006B6A3E" w:rsidRPr="000B1EFA" w:rsidRDefault="006B6A3E" w:rsidP="000B1EFA">
            <w:pPr>
              <w:widowControl w:val="0"/>
              <w:spacing w:line="276" w:lineRule="auto"/>
              <w:jc w:val="center"/>
              <w:rPr>
                <w:rFonts w:eastAsia="Times New Roman"/>
                <w:sz w:val="24"/>
                <w:szCs w:val="24"/>
                <w:lang w:eastAsia="ru-RU"/>
              </w:rPr>
            </w:pPr>
            <w:r w:rsidRPr="000B1EFA">
              <w:rPr>
                <w:rFonts w:eastAsia="Times New Roman"/>
                <w:sz w:val="24"/>
                <w:szCs w:val="24"/>
                <w:lang w:eastAsia="ru-RU"/>
              </w:rPr>
              <w:t xml:space="preserve">Забезпеченість </w:t>
            </w:r>
          </w:p>
          <w:p w:rsidR="006B6A3E" w:rsidRPr="000B1EFA" w:rsidRDefault="006B6A3E" w:rsidP="000B1EFA">
            <w:pPr>
              <w:widowControl w:val="0"/>
              <w:spacing w:line="276" w:lineRule="auto"/>
              <w:jc w:val="center"/>
              <w:rPr>
                <w:rFonts w:eastAsia="Times New Roman"/>
                <w:sz w:val="24"/>
                <w:szCs w:val="24"/>
                <w:lang w:eastAsia="ru-RU"/>
              </w:rPr>
            </w:pPr>
            <w:r w:rsidRPr="000B1EFA">
              <w:rPr>
                <w:rFonts w:eastAsia="Times New Roman"/>
                <w:sz w:val="24"/>
                <w:szCs w:val="24"/>
                <w:lang w:eastAsia="ru-RU"/>
              </w:rPr>
              <w:t xml:space="preserve">ліжками </w:t>
            </w:r>
          </w:p>
          <w:p w:rsidR="006B6A3E" w:rsidRPr="000B1EFA" w:rsidRDefault="006B6A3E" w:rsidP="000B1EFA">
            <w:pPr>
              <w:widowControl w:val="0"/>
              <w:spacing w:line="276" w:lineRule="auto"/>
              <w:jc w:val="center"/>
              <w:rPr>
                <w:rFonts w:eastAsia="Times New Roman"/>
                <w:sz w:val="24"/>
                <w:szCs w:val="24"/>
                <w:lang w:eastAsia="ru-RU"/>
              </w:rPr>
            </w:pPr>
            <w:r w:rsidRPr="000B1EFA">
              <w:rPr>
                <w:rFonts w:eastAsia="Times New Roman"/>
                <w:sz w:val="24"/>
                <w:szCs w:val="24"/>
                <w:lang w:eastAsia="ru-RU"/>
              </w:rPr>
              <w:t>(на 10 тис. дітей)</w:t>
            </w:r>
          </w:p>
        </w:tc>
        <w:tc>
          <w:tcPr>
            <w:tcW w:w="0" w:type="auto"/>
            <w:tcBorders>
              <w:bottom w:val="single" w:sz="4" w:space="0" w:color="auto"/>
            </w:tcBorders>
            <w:vAlign w:val="center"/>
          </w:tcPr>
          <w:p w:rsidR="006B6A3E" w:rsidRPr="000B1EFA" w:rsidRDefault="006B6A3E" w:rsidP="000B1EFA">
            <w:pPr>
              <w:widowControl w:val="0"/>
              <w:spacing w:line="276" w:lineRule="auto"/>
              <w:jc w:val="center"/>
              <w:rPr>
                <w:rFonts w:eastAsia="Times New Roman"/>
                <w:sz w:val="24"/>
                <w:szCs w:val="24"/>
                <w:lang w:eastAsia="ru-RU"/>
              </w:rPr>
            </w:pPr>
            <w:r w:rsidRPr="000B1EFA">
              <w:rPr>
                <w:rFonts w:eastAsia="Times New Roman"/>
                <w:sz w:val="24"/>
                <w:szCs w:val="24"/>
                <w:lang w:eastAsia="ru-RU"/>
              </w:rPr>
              <w:t xml:space="preserve">Проліковано </w:t>
            </w:r>
          </w:p>
          <w:p w:rsidR="006B6A3E" w:rsidRPr="000B1EFA" w:rsidRDefault="006B6A3E" w:rsidP="000B1EFA">
            <w:pPr>
              <w:widowControl w:val="0"/>
              <w:spacing w:line="276" w:lineRule="auto"/>
              <w:jc w:val="center"/>
              <w:rPr>
                <w:rFonts w:eastAsia="Times New Roman"/>
                <w:sz w:val="24"/>
                <w:szCs w:val="24"/>
                <w:lang w:eastAsia="ru-RU"/>
              </w:rPr>
            </w:pPr>
            <w:r w:rsidRPr="000B1EFA">
              <w:rPr>
                <w:rFonts w:eastAsia="Times New Roman"/>
                <w:sz w:val="24"/>
                <w:szCs w:val="24"/>
                <w:lang w:eastAsia="ru-RU"/>
              </w:rPr>
              <w:t>на 1ліжку</w:t>
            </w:r>
          </w:p>
        </w:tc>
        <w:tc>
          <w:tcPr>
            <w:tcW w:w="1967" w:type="dxa"/>
            <w:tcBorders>
              <w:bottom w:val="single" w:sz="4" w:space="0" w:color="auto"/>
            </w:tcBorders>
            <w:vAlign w:val="center"/>
          </w:tcPr>
          <w:p w:rsidR="006B6A3E" w:rsidRPr="000B1EFA" w:rsidRDefault="006B6A3E" w:rsidP="000B1EFA">
            <w:pPr>
              <w:widowControl w:val="0"/>
              <w:spacing w:line="276" w:lineRule="auto"/>
              <w:jc w:val="center"/>
              <w:rPr>
                <w:rFonts w:eastAsia="Times New Roman"/>
                <w:sz w:val="24"/>
                <w:szCs w:val="24"/>
                <w:lang w:eastAsia="ru-RU"/>
              </w:rPr>
            </w:pPr>
            <w:r w:rsidRPr="000B1EFA">
              <w:rPr>
                <w:rFonts w:eastAsia="Times New Roman"/>
                <w:sz w:val="24"/>
                <w:szCs w:val="24"/>
                <w:lang w:eastAsia="ru-RU"/>
              </w:rPr>
              <w:t xml:space="preserve">Проліковано </w:t>
            </w:r>
          </w:p>
          <w:p w:rsidR="006B6A3E" w:rsidRPr="000B1EFA" w:rsidRDefault="006B6A3E" w:rsidP="000B1EFA">
            <w:pPr>
              <w:widowControl w:val="0"/>
              <w:spacing w:line="276" w:lineRule="auto"/>
              <w:jc w:val="center"/>
              <w:rPr>
                <w:rFonts w:eastAsia="Times New Roman"/>
                <w:sz w:val="24"/>
                <w:szCs w:val="24"/>
                <w:lang w:eastAsia="ru-RU"/>
              </w:rPr>
            </w:pPr>
            <w:r w:rsidRPr="000B1EFA">
              <w:rPr>
                <w:rFonts w:eastAsia="Times New Roman"/>
                <w:sz w:val="24"/>
                <w:szCs w:val="24"/>
                <w:lang w:eastAsia="ru-RU"/>
              </w:rPr>
              <w:t>на 1000 захворювань</w:t>
            </w:r>
          </w:p>
        </w:tc>
      </w:tr>
      <w:tr w:rsidR="006B6A3E" w:rsidRPr="000B1EFA" w:rsidTr="006E3A91">
        <w:trPr>
          <w:trHeight w:val="40"/>
        </w:trPr>
        <w:tc>
          <w:tcPr>
            <w:tcW w:w="0" w:type="auto"/>
            <w:shd w:val="clear" w:color="auto" w:fill="auto"/>
          </w:tcPr>
          <w:p w:rsidR="006B6A3E" w:rsidRPr="000B1EFA" w:rsidRDefault="006B6A3E" w:rsidP="000B1EFA">
            <w:pPr>
              <w:widowControl w:val="0"/>
              <w:spacing w:line="276" w:lineRule="auto"/>
              <w:jc w:val="left"/>
              <w:rPr>
                <w:rFonts w:eastAsia="Times New Roman"/>
                <w:sz w:val="24"/>
                <w:szCs w:val="24"/>
                <w:lang w:eastAsia="ru-RU"/>
              </w:rPr>
            </w:pPr>
            <w:r w:rsidRPr="000B1EFA">
              <w:rPr>
                <w:rFonts w:eastAsia="Times New Roman"/>
                <w:sz w:val="24"/>
                <w:szCs w:val="24"/>
                <w:lang w:eastAsia="ru-RU"/>
              </w:rPr>
              <w:t xml:space="preserve">    Україна</w:t>
            </w:r>
          </w:p>
        </w:tc>
        <w:tc>
          <w:tcPr>
            <w:tcW w:w="0" w:type="auto"/>
            <w:vAlign w:val="center"/>
          </w:tcPr>
          <w:p w:rsidR="006B6A3E" w:rsidRPr="000B1EFA" w:rsidRDefault="006B6A3E" w:rsidP="000B1EFA">
            <w:pPr>
              <w:widowControl w:val="0"/>
              <w:spacing w:line="276" w:lineRule="auto"/>
              <w:jc w:val="center"/>
              <w:rPr>
                <w:rFonts w:eastAsia="Times New Roman"/>
                <w:bCs/>
                <w:sz w:val="24"/>
                <w:szCs w:val="24"/>
              </w:rPr>
            </w:pPr>
            <w:r w:rsidRPr="000B1EFA">
              <w:rPr>
                <w:rFonts w:eastAsia="Times New Roman"/>
                <w:bCs/>
                <w:sz w:val="24"/>
                <w:szCs w:val="24"/>
              </w:rPr>
              <w:t>5136</w:t>
            </w:r>
          </w:p>
        </w:tc>
        <w:tc>
          <w:tcPr>
            <w:tcW w:w="0" w:type="auto"/>
            <w:vAlign w:val="center"/>
          </w:tcPr>
          <w:p w:rsidR="006B6A3E" w:rsidRPr="000B1EFA" w:rsidRDefault="006B6A3E" w:rsidP="000B1EFA">
            <w:pPr>
              <w:widowControl w:val="0"/>
              <w:spacing w:line="276" w:lineRule="auto"/>
              <w:jc w:val="center"/>
              <w:rPr>
                <w:rFonts w:eastAsia="Times New Roman"/>
                <w:color w:val="000000"/>
                <w:sz w:val="24"/>
                <w:szCs w:val="24"/>
              </w:rPr>
            </w:pPr>
            <w:r w:rsidRPr="000B1EFA">
              <w:rPr>
                <w:rFonts w:eastAsia="Times New Roman"/>
                <w:color w:val="000000"/>
                <w:sz w:val="24"/>
                <w:szCs w:val="24"/>
              </w:rPr>
              <w:t>6,74</w:t>
            </w:r>
          </w:p>
        </w:tc>
        <w:tc>
          <w:tcPr>
            <w:tcW w:w="0" w:type="auto"/>
            <w:vAlign w:val="center"/>
          </w:tcPr>
          <w:p w:rsidR="006B6A3E" w:rsidRPr="000B1EFA" w:rsidRDefault="006B6A3E" w:rsidP="000B1EFA">
            <w:pPr>
              <w:widowControl w:val="0"/>
              <w:spacing w:line="276" w:lineRule="auto"/>
              <w:jc w:val="center"/>
              <w:rPr>
                <w:rFonts w:eastAsia="Times New Roman"/>
                <w:color w:val="000000"/>
                <w:sz w:val="24"/>
                <w:szCs w:val="24"/>
              </w:rPr>
            </w:pPr>
            <w:r w:rsidRPr="000B1EFA">
              <w:rPr>
                <w:rFonts w:eastAsia="Times New Roman"/>
                <w:color w:val="000000"/>
                <w:sz w:val="24"/>
                <w:szCs w:val="24"/>
              </w:rPr>
              <w:t>42,58</w:t>
            </w:r>
          </w:p>
        </w:tc>
        <w:tc>
          <w:tcPr>
            <w:tcW w:w="1967" w:type="dxa"/>
            <w:vAlign w:val="center"/>
          </w:tcPr>
          <w:p w:rsidR="006B6A3E" w:rsidRPr="000B1EFA" w:rsidRDefault="006B6A3E" w:rsidP="000B1EFA">
            <w:pPr>
              <w:widowControl w:val="0"/>
              <w:spacing w:line="276" w:lineRule="auto"/>
              <w:jc w:val="center"/>
              <w:rPr>
                <w:rFonts w:eastAsia="Times New Roman"/>
                <w:color w:val="000000"/>
                <w:sz w:val="24"/>
                <w:szCs w:val="24"/>
              </w:rPr>
            </w:pPr>
            <w:r w:rsidRPr="000B1EFA">
              <w:rPr>
                <w:rFonts w:eastAsia="Times New Roman"/>
                <w:color w:val="000000"/>
                <w:sz w:val="24"/>
                <w:szCs w:val="24"/>
              </w:rPr>
              <w:t>16,43</w:t>
            </w:r>
          </w:p>
        </w:tc>
      </w:tr>
      <w:tr w:rsidR="006B6A3E" w:rsidRPr="000B1EFA" w:rsidTr="006E3A91">
        <w:trPr>
          <w:trHeight w:val="40"/>
        </w:trPr>
        <w:tc>
          <w:tcPr>
            <w:tcW w:w="0" w:type="auto"/>
            <w:shd w:val="clear" w:color="auto" w:fill="auto"/>
          </w:tcPr>
          <w:p w:rsidR="006B6A3E" w:rsidRPr="000B1EFA" w:rsidRDefault="006B6A3E" w:rsidP="000B1EFA">
            <w:pPr>
              <w:widowControl w:val="0"/>
              <w:spacing w:line="276" w:lineRule="auto"/>
              <w:ind w:left="227"/>
              <w:jc w:val="left"/>
              <w:rPr>
                <w:rFonts w:eastAsia="Times New Roman"/>
                <w:sz w:val="24"/>
                <w:szCs w:val="24"/>
                <w:lang w:eastAsia="ru-RU"/>
              </w:rPr>
            </w:pPr>
            <w:r w:rsidRPr="000B1EFA">
              <w:rPr>
                <w:rFonts w:eastAsia="Times New Roman"/>
                <w:sz w:val="24"/>
                <w:szCs w:val="24"/>
                <w:lang w:eastAsia="ru-RU"/>
              </w:rPr>
              <w:t>Вінницька</w:t>
            </w:r>
          </w:p>
        </w:tc>
        <w:tc>
          <w:tcPr>
            <w:tcW w:w="0" w:type="auto"/>
            <w:vAlign w:val="center"/>
          </w:tcPr>
          <w:p w:rsidR="006B6A3E" w:rsidRPr="000B1EFA" w:rsidRDefault="006B6A3E" w:rsidP="000B1EFA">
            <w:pPr>
              <w:widowControl w:val="0"/>
              <w:spacing w:line="276" w:lineRule="auto"/>
              <w:jc w:val="center"/>
              <w:rPr>
                <w:rFonts w:eastAsia="Times New Roman"/>
                <w:sz w:val="24"/>
                <w:szCs w:val="24"/>
              </w:rPr>
            </w:pPr>
            <w:r w:rsidRPr="000B1EFA">
              <w:rPr>
                <w:rFonts w:eastAsia="Times New Roman"/>
                <w:sz w:val="24"/>
                <w:szCs w:val="24"/>
              </w:rPr>
              <w:t>101</w:t>
            </w:r>
          </w:p>
        </w:tc>
        <w:tc>
          <w:tcPr>
            <w:tcW w:w="0" w:type="auto"/>
            <w:vAlign w:val="center"/>
          </w:tcPr>
          <w:p w:rsidR="006B6A3E" w:rsidRPr="000B1EFA" w:rsidRDefault="006B6A3E" w:rsidP="000B1EFA">
            <w:pPr>
              <w:widowControl w:val="0"/>
              <w:spacing w:line="276" w:lineRule="auto"/>
              <w:jc w:val="center"/>
              <w:rPr>
                <w:rFonts w:eastAsia="Times New Roman"/>
                <w:color w:val="000000"/>
                <w:sz w:val="24"/>
                <w:szCs w:val="24"/>
              </w:rPr>
            </w:pPr>
            <w:r w:rsidRPr="000B1EFA">
              <w:rPr>
                <w:rFonts w:eastAsia="Times New Roman"/>
                <w:color w:val="000000"/>
                <w:sz w:val="24"/>
                <w:szCs w:val="24"/>
              </w:rPr>
              <w:t>3,47</w:t>
            </w:r>
          </w:p>
        </w:tc>
        <w:tc>
          <w:tcPr>
            <w:tcW w:w="0" w:type="auto"/>
            <w:vAlign w:val="center"/>
          </w:tcPr>
          <w:p w:rsidR="006B6A3E" w:rsidRPr="000B1EFA" w:rsidRDefault="006B6A3E" w:rsidP="000B1EFA">
            <w:pPr>
              <w:widowControl w:val="0"/>
              <w:spacing w:line="276" w:lineRule="auto"/>
              <w:jc w:val="center"/>
              <w:rPr>
                <w:rFonts w:eastAsia="Times New Roman"/>
                <w:color w:val="000000"/>
                <w:sz w:val="24"/>
                <w:szCs w:val="24"/>
              </w:rPr>
            </w:pPr>
            <w:r w:rsidRPr="000B1EFA">
              <w:rPr>
                <w:rFonts w:eastAsia="Times New Roman"/>
                <w:color w:val="000000"/>
                <w:sz w:val="24"/>
                <w:szCs w:val="24"/>
              </w:rPr>
              <w:t>58,35</w:t>
            </w:r>
          </w:p>
        </w:tc>
        <w:tc>
          <w:tcPr>
            <w:tcW w:w="1967" w:type="dxa"/>
            <w:vAlign w:val="center"/>
          </w:tcPr>
          <w:p w:rsidR="006B6A3E" w:rsidRPr="000B1EFA" w:rsidRDefault="006B6A3E" w:rsidP="000B1EFA">
            <w:pPr>
              <w:widowControl w:val="0"/>
              <w:spacing w:line="276" w:lineRule="auto"/>
              <w:jc w:val="center"/>
              <w:rPr>
                <w:rFonts w:eastAsia="Times New Roman"/>
                <w:color w:val="000000"/>
                <w:sz w:val="24"/>
                <w:szCs w:val="24"/>
              </w:rPr>
            </w:pPr>
            <w:r w:rsidRPr="000B1EFA">
              <w:rPr>
                <w:rFonts w:eastAsia="Times New Roman"/>
                <w:color w:val="000000"/>
                <w:sz w:val="24"/>
                <w:szCs w:val="24"/>
              </w:rPr>
              <w:t>10,35</w:t>
            </w:r>
          </w:p>
        </w:tc>
      </w:tr>
      <w:tr w:rsidR="006B6A3E" w:rsidRPr="000B1EFA" w:rsidTr="006E3A91">
        <w:trPr>
          <w:trHeight w:val="40"/>
        </w:trPr>
        <w:tc>
          <w:tcPr>
            <w:tcW w:w="0" w:type="auto"/>
            <w:shd w:val="clear" w:color="auto" w:fill="auto"/>
          </w:tcPr>
          <w:p w:rsidR="006B6A3E" w:rsidRPr="000B1EFA" w:rsidRDefault="006B6A3E" w:rsidP="000B1EFA">
            <w:pPr>
              <w:widowControl w:val="0"/>
              <w:spacing w:line="276" w:lineRule="auto"/>
              <w:ind w:left="227"/>
              <w:jc w:val="left"/>
              <w:rPr>
                <w:rFonts w:eastAsia="Times New Roman"/>
                <w:sz w:val="24"/>
                <w:szCs w:val="24"/>
                <w:lang w:eastAsia="ru-RU"/>
              </w:rPr>
            </w:pPr>
            <w:r w:rsidRPr="000B1EFA">
              <w:rPr>
                <w:rFonts w:eastAsia="Times New Roman"/>
                <w:sz w:val="24"/>
                <w:szCs w:val="24"/>
                <w:lang w:eastAsia="ru-RU"/>
              </w:rPr>
              <w:t>Волинська</w:t>
            </w:r>
          </w:p>
        </w:tc>
        <w:tc>
          <w:tcPr>
            <w:tcW w:w="0" w:type="auto"/>
            <w:vAlign w:val="center"/>
          </w:tcPr>
          <w:p w:rsidR="006B6A3E" w:rsidRPr="000B1EFA" w:rsidRDefault="006B6A3E" w:rsidP="000B1EFA">
            <w:pPr>
              <w:widowControl w:val="0"/>
              <w:spacing w:line="276" w:lineRule="auto"/>
              <w:jc w:val="center"/>
              <w:rPr>
                <w:rFonts w:eastAsia="Times New Roman"/>
                <w:sz w:val="24"/>
                <w:szCs w:val="24"/>
              </w:rPr>
            </w:pPr>
            <w:r w:rsidRPr="000B1EFA">
              <w:rPr>
                <w:rFonts w:eastAsia="Times New Roman"/>
                <w:sz w:val="24"/>
                <w:szCs w:val="24"/>
              </w:rPr>
              <w:t>80</w:t>
            </w:r>
          </w:p>
        </w:tc>
        <w:tc>
          <w:tcPr>
            <w:tcW w:w="0" w:type="auto"/>
            <w:vAlign w:val="center"/>
          </w:tcPr>
          <w:p w:rsidR="006B6A3E" w:rsidRPr="000B1EFA" w:rsidRDefault="006B6A3E" w:rsidP="000B1EFA">
            <w:pPr>
              <w:widowControl w:val="0"/>
              <w:spacing w:line="276" w:lineRule="auto"/>
              <w:jc w:val="center"/>
              <w:rPr>
                <w:rFonts w:eastAsia="Times New Roman"/>
                <w:color w:val="000000"/>
                <w:sz w:val="24"/>
                <w:szCs w:val="24"/>
              </w:rPr>
            </w:pPr>
            <w:r w:rsidRPr="000B1EFA">
              <w:rPr>
                <w:rFonts w:eastAsia="Times New Roman"/>
                <w:color w:val="000000"/>
                <w:sz w:val="24"/>
                <w:szCs w:val="24"/>
              </w:rPr>
              <w:t>3,34</w:t>
            </w:r>
          </w:p>
        </w:tc>
        <w:tc>
          <w:tcPr>
            <w:tcW w:w="0" w:type="auto"/>
            <w:vAlign w:val="center"/>
          </w:tcPr>
          <w:p w:rsidR="006B6A3E" w:rsidRPr="000B1EFA" w:rsidRDefault="006B6A3E" w:rsidP="000B1EFA">
            <w:pPr>
              <w:widowControl w:val="0"/>
              <w:spacing w:line="276" w:lineRule="auto"/>
              <w:jc w:val="center"/>
              <w:rPr>
                <w:rFonts w:eastAsia="Times New Roman"/>
                <w:color w:val="000000"/>
                <w:sz w:val="24"/>
                <w:szCs w:val="24"/>
              </w:rPr>
            </w:pPr>
            <w:r w:rsidRPr="000B1EFA">
              <w:rPr>
                <w:rFonts w:eastAsia="Times New Roman"/>
                <w:color w:val="000000"/>
                <w:sz w:val="24"/>
                <w:szCs w:val="24"/>
              </w:rPr>
              <w:t>46,94</w:t>
            </w:r>
          </w:p>
        </w:tc>
        <w:tc>
          <w:tcPr>
            <w:tcW w:w="1967" w:type="dxa"/>
            <w:vAlign w:val="center"/>
          </w:tcPr>
          <w:p w:rsidR="006B6A3E" w:rsidRPr="000B1EFA" w:rsidRDefault="006B6A3E" w:rsidP="000B1EFA">
            <w:pPr>
              <w:widowControl w:val="0"/>
              <w:spacing w:line="276" w:lineRule="auto"/>
              <w:jc w:val="center"/>
              <w:rPr>
                <w:rFonts w:eastAsia="Times New Roman"/>
                <w:color w:val="000000"/>
                <w:sz w:val="24"/>
                <w:szCs w:val="24"/>
              </w:rPr>
            </w:pPr>
            <w:r w:rsidRPr="000B1EFA">
              <w:rPr>
                <w:rFonts w:eastAsia="Times New Roman"/>
                <w:color w:val="000000"/>
                <w:sz w:val="24"/>
                <w:szCs w:val="24"/>
              </w:rPr>
              <w:t>8,81</w:t>
            </w:r>
          </w:p>
        </w:tc>
      </w:tr>
      <w:tr w:rsidR="006B6A3E" w:rsidRPr="000B1EFA" w:rsidTr="006E3A91">
        <w:trPr>
          <w:trHeight w:val="40"/>
        </w:trPr>
        <w:tc>
          <w:tcPr>
            <w:tcW w:w="0" w:type="auto"/>
            <w:shd w:val="clear" w:color="auto" w:fill="auto"/>
          </w:tcPr>
          <w:p w:rsidR="006B6A3E" w:rsidRPr="000B1EFA" w:rsidRDefault="006B6A3E" w:rsidP="000B1EFA">
            <w:pPr>
              <w:widowControl w:val="0"/>
              <w:spacing w:line="276" w:lineRule="auto"/>
              <w:ind w:left="227"/>
              <w:jc w:val="left"/>
              <w:rPr>
                <w:rFonts w:eastAsia="Times New Roman"/>
                <w:sz w:val="24"/>
                <w:szCs w:val="24"/>
                <w:lang w:eastAsia="ru-RU"/>
              </w:rPr>
            </w:pPr>
            <w:r w:rsidRPr="000B1EFA">
              <w:rPr>
                <w:rFonts w:eastAsia="Times New Roman"/>
                <w:sz w:val="24"/>
                <w:szCs w:val="24"/>
                <w:lang w:eastAsia="ru-RU"/>
              </w:rPr>
              <w:t>Дніпропетровська</w:t>
            </w:r>
          </w:p>
        </w:tc>
        <w:tc>
          <w:tcPr>
            <w:tcW w:w="0" w:type="auto"/>
            <w:vAlign w:val="center"/>
          </w:tcPr>
          <w:p w:rsidR="006B6A3E" w:rsidRPr="000B1EFA" w:rsidRDefault="006B6A3E" w:rsidP="000B1EFA">
            <w:pPr>
              <w:widowControl w:val="0"/>
              <w:spacing w:line="276" w:lineRule="auto"/>
              <w:jc w:val="center"/>
              <w:rPr>
                <w:rFonts w:eastAsia="Times New Roman"/>
                <w:sz w:val="24"/>
                <w:szCs w:val="24"/>
              </w:rPr>
            </w:pPr>
            <w:r w:rsidRPr="000B1EFA">
              <w:rPr>
                <w:rFonts w:eastAsia="Times New Roman"/>
                <w:sz w:val="24"/>
                <w:szCs w:val="24"/>
              </w:rPr>
              <w:t>460</w:t>
            </w:r>
          </w:p>
        </w:tc>
        <w:tc>
          <w:tcPr>
            <w:tcW w:w="0" w:type="auto"/>
            <w:vAlign w:val="center"/>
          </w:tcPr>
          <w:p w:rsidR="006B6A3E" w:rsidRPr="000B1EFA" w:rsidRDefault="006B6A3E" w:rsidP="000B1EFA">
            <w:pPr>
              <w:widowControl w:val="0"/>
              <w:spacing w:line="276" w:lineRule="auto"/>
              <w:jc w:val="center"/>
              <w:rPr>
                <w:rFonts w:eastAsia="Times New Roman"/>
                <w:color w:val="000000"/>
                <w:sz w:val="24"/>
                <w:szCs w:val="24"/>
              </w:rPr>
            </w:pPr>
            <w:r w:rsidRPr="000B1EFA">
              <w:rPr>
                <w:rFonts w:eastAsia="Times New Roman"/>
                <w:color w:val="000000"/>
                <w:sz w:val="24"/>
                <w:szCs w:val="24"/>
              </w:rPr>
              <w:t>8,00</w:t>
            </w:r>
          </w:p>
        </w:tc>
        <w:tc>
          <w:tcPr>
            <w:tcW w:w="0" w:type="auto"/>
            <w:vAlign w:val="center"/>
          </w:tcPr>
          <w:p w:rsidR="006B6A3E" w:rsidRPr="000B1EFA" w:rsidRDefault="006B6A3E" w:rsidP="000B1EFA">
            <w:pPr>
              <w:widowControl w:val="0"/>
              <w:spacing w:line="276" w:lineRule="auto"/>
              <w:jc w:val="center"/>
              <w:rPr>
                <w:rFonts w:eastAsia="Times New Roman"/>
                <w:color w:val="000000"/>
                <w:sz w:val="24"/>
                <w:szCs w:val="24"/>
              </w:rPr>
            </w:pPr>
            <w:r w:rsidRPr="000B1EFA">
              <w:rPr>
                <w:rFonts w:eastAsia="Times New Roman"/>
                <w:color w:val="000000"/>
                <w:sz w:val="24"/>
                <w:szCs w:val="24"/>
              </w:rPr>
              <w:t>41,65</w:t>
            </w:r>
          </w:p>
        </w:tc>
        <w:tc>
          <w:tcPr>
            <w:tcW w:w="1967" w:type="dxa"/>
            <w:vAlign w:val="center"/>
          </w:tcPr>
          <w:p w:rsidR="006B6A3E" w:rsidRPr="000B1EFA" w:rsidRDefault="006B6A3E" w:rsidP="000B1EFA">
            <w:pPr>
              <w:widowControl w:val="0"/>
              <w:spacing w:line="276" w:lineRule="auto"/>
              <w:jc w:val="center"/>
              <w:rPr>
                <w:rFonts w:eastAsia="Times New Roman"/>
                <w:color w:val="000000"/>
                <w:sz w:val="24"/>
                <w:szCs w:val="24"/>
              </w:rPr>
            </w:pPr>
            <w:r w:rsidRPr="000B1EFA">
              <w:rPr>
                <w:rFonts w:eastAsia="Times New Roman"/>
                <w:color w:val="000000"/>
                <w:sz w:val="24"/>
                <w:szCs w:val="24"/>
              </w:rPr>
              <w:t>16,93</w:t>
            </w:r>
          </w:p>
        </w:tc>
      </w:tr>
      <w:tr w:rsidR="006B6A3E" w:rsidRPr="000B1EFA" w:rsidTr="006E3A91">
        <w:trPr>
          <w:trHeight w:val="40"/>
        </w:trPr>
        <w:tc>
          <w:tcPr>
            <w:tcW w:w="0" w:type="auto"/>
            <w:shd w:val="clear" w:color="auto" w:fill="auto"/>
          </w:tcPr>
          <w:p w:rsidR="006B6A3E" w:rsidRPr="000B1EFA" w:rsidRDefault="006B6A3E" w:rsidP="000B1EFA">
            <w:pPr>
              <w:widowControl w:val="0"/>
              <w:spacing w:line="276" w:lineRule="auto"/>
              <w:ind w:left="227"/>
              <w:jc w:val="left"/>
              <w:rPr>
                <w:rFonts w:eastAsia="Times New Roman"/>
                <w:sz w:val="24"/>
                <w:szCs w:val="24"/>
                <w:lang w:eastAsia="ru-RU"/>
              </w:rPr>
            </w:pPr>
            <w:r w:rsidRPr="000B1EFA">
              <w:rPr>
                <w:rFonts w:eastAsia="Times New Roman"/>
                <w:sz w:val="24"/>
                <w:szCs w:val="24"/>
                <w:lang w:eastAsia="ru-RU"/>
              </w:rPr>
              <w:t>Донецька</w:t>
            </w:r>
          </w:p>
        </w:tc>
        <w:tc>
          <w:tcPr>
            <w:tcW w:w="0" w:type="auto"/>
            <w:vAlign w:val="center"/>
          </w:tcPr>
          <w:p w:rsidR="006B6A3E" w:rsidRPr="000B1EFA" w:rsidRDefault="006B6A3E" w:rsidP="000B1EFA">
            <w:pPr>
              <w:widowControl w:val="0"/>
              <w:spacing w:line="276" w:lineRule="auto"/>
              <w:jc w:val="center"/>
              <w:rPr>
                <w:rFonts w:eastAsia="Times New Roman"/>
                <w:sz w:val="24"/>
                <w:szCs w:val="24"/>
              </w:rPr>
            </w:pPr>
            <w:r w:rsidRPr="000B1EFA">
              <w:rPr>
                <w:rFonts w:eastAsia="Times New Roman"/>
                <w:sz w:val="24"/>
                <w:szCs w:val="24"/>
              </w:rPr>
              <w:t>253</w:t>
            </w:r>
          </w:p>
        </w:tc>
        <w:tc>
          <w:tcPr>
            <w:tcW w:w="0" w:type="auto"/>
            <w:vAlign w:val="center"/>
          </w:tcPr>
          <w:p w:rsidR="006B6A3E" w:rsidRPr="000B1EFA" w:rsidRDefault="006B6A3E" w:rsidP="000B1EFA">
            <w:pPr>
              <w:widowControl w:val="0"/>
              <w:spacing w:line="276" w:lineRule="auto"/>
              <w:jc w:val="center"/>
              <w:rPr>
                <w:rFonts w:eastAsia="Times New Roman"/>
                <w:color w:val="000000"/>
                <w:sz w:val="24"/>
                <w:szCs w:val="24"/>
              </w:rPr>
            </w:pPr>
            <w:r w:rsidRPr="000B1EFA">
              <w:rPr>
                <w:rFonts w:eastAsia="Times New Roman"/>
                <w:color w:val="000000"/>
                <w:sz w:val="24"/>
                <w:szCs w:val="24"/>
              </w:rPr>
              <w:t>8,24</w:t>
            </w:r>
          </w:p>
        </w:tc>
        <w:tc>
          <w:tcPr>
            <w:tcW w:w="0" w:type="auto"/>
            <w:vAlign w:val="center"/>
          </w:tcPr>
          <w:p w:rsidR="006B6A3E" w:rsidRPr="000B1EFA" w:rsidRDefault="006B6A3E" w:rsidP="000B1EFA">
            <w:pPr>
              <w:widowControl w:val="0"/>
              <w:spacing w:line="276" w:lineRule="auto"/>
              <w:jc w:val="center"/>
              <w:rPr>
                <w:rFonts w:eastAsia="Times New Roman"/>
                <w:color w:val="000000"/>
                <w:sz w:val="24"/>
                <w:szCs w:val="24"/>
              </w:rPr>
            </w:pPr>
            <w:r w:rsidRPr="000B1EFA">
              <w:rPr>
                <w:rFonts w:eastAsia="Times New Roman"/>
                <w:color w:val="000000"/>
                <w:sz w:val="24"/>
                <w:szCs w:val="24"/>
              </w:rPr>
              <w:t>22,81</w:t>
            </w:r>
          </w:p>
        </w:tc>
        <w:tc>
          <w:tcPr>
            <w:tcW w:w="1967" w:type="dxa"/>
            <w:vAlign w:val="center"/>
          </w:tcPr>
          <w:p w:rsidR="006B6A3E" w:rsidRPr="000B1EFA" w:rsidRDefault="006B6A3E" w:rsidP="000B1EFA">
            <w:pPr>
              <w:widowControl w:val="0"/>
              <w:spacing w:line="276" w:lineRule="auto"/>
              <w:jc w:val="center"/>
              <w:rPr>
                <w:rFonts w:eastAsia="Times New Roman"/>
                <w:color w:val="000000"/>
                <w:sz w:val="24"/>
                <w:szCs w:val="24"/>
              </w:rPr>
            </w:pPr>
            <w:r w:rsidRPr="000B1EFA">
              <w:rPr>
                <w:rFonts w:eastAsia="Times New Roman"/>
                <w:color w:val="000000"/>
                <w:sz w:val="24"/>
                <w:szCs w:val="24"/>
              </w:rPr>
              <w:t>10,29</w:t>
            </w:r>
          </w:p>
        </w:tc>
      </w:tr>
      <w:tr w:rsidR="006B6A3E" w:rsidRPr="000B1EFA" w:rsidTr="006E3A91">
        <w:trPr>
          <w:trHeight w:val="40"/>
        </w:trPr>
        <w:tc>
          <w:tcPr>
            <w:tcW w:w="0" w:type="auto"/>
            <w:shd w:val="clear" w:color="auto" w:fill="auto"/>
          </w:tcPr>
          <w:p w:rsidR="006B6A3E" w:rsidRPr="000B1EFA" w:rsidRDefault="006B6A3E" w:rsidP="000B1EFA">
            <w:pPr>
              <w:widowControl w:val="0"/>
              <w:spacing w:line="276" w:lineRule="auto"/>
              <w:ind w:left="227"/>
              <w:jc w:val="left"/>
              <w:rPr>
                <w:rFonts w:eastAsia="Times New Roman"/>
                <w:sz w:val="24"/>
                <w:szCs w:val="24"/>
                <w:lang w:eastAsia="ru-RU"/>
              </w:rPr>
            </w:pPr>
            <w:r w:rsidRPr="000B1EFA">
              <w:rPr>
                <w:rFonts w:eastAsia="Times New Roman"/>
                <w:sz w:val="24"/>
                <w:szCs w:val="24"/>
                <w:lang w:eastAsia="ru-RU"/>
              </w:rPr>
              <w:t>Житомирська</w:t>
            </w:r>
          </w:p>
        </w:tc>
        <w:tc>
          <w:tcPr>
            <w:tcW w:w="0" w:type="auto"/>
            <w:vAlign w:val="center"/>
          </w:tcPr>
          <w:p w:rsidR="006B6A3E" w:rsidRPr="000B1EFA" w:rsidRDefault="006B6A3E" w:rsidP="000B1EFA">
            <w:pPr>
              <w:widowControl w:val="0"/>
              <w:spacing w:line="276" w:lineRule="auto"/>
              <w:jc w:val="center"/>
              <w:rPr>
                <w:rFonts w:eastAsia="Times New Roman"/>
                <w:sz w:val="24"/>
                <w:szCs w:val="24"/>
              </w:rPr>
            </w:pPr>
            <w:r w:rsidRPr="000B1EFA">
              <w:rPr>
                <w:rFonts w:eastAsia="Times New Roman"/>
                <w:sz w:val="24"/>
                <w:szCs w:val="24"/>
              </w:rPr>
              <w:t>201</w:t>
            </w:r>
          </w:p>
        </w:tc>
        <w:tc>
          <w:tcPr>
            <w:tcW w:w="0" w:type="auto"/>
            <w:vAlign w:val="center"/>
          </w:tcPr>
          <w:p w:rsidR="006B6A3E" w:rsidRPr="000B1EFA" w:rsidRDefault="006B6A3E" w:rsidP="000B1EFA">
            <w:pPr>
              <w:widowControl w:val="0"/>
              <w:spacing w:line="276" w:lineRule="auto"/>
              <w:jc w:val="center"/>
              <w:rPr>
                <w:rFonts w:eastAsia="Times New Roman"/>
                <w:color w:val="000000"/>
                <w:sz w:val="24"/>
                <w:szCs w:val="24"/>
              </w:rPr>
            </w:pPr>
            <w:r w:rsidRPr="000B1EFA">
              <w:rPr>
                <w:rFonts w:eastAsia="Times New Roman"/>
                <w:color w:val="000000"/>
                <w:sz w:val="24"/>
                <w:szCs w:val="24"/>
              </w:rPr>
              <w:t>8,31</w:t>
            </w:r>
          </w:p>
        </w:tc>
        <w:tc>
          <w:tcPr>
            <w:tcW w:w="0" w:type="auto"/>
            <w:vAlign w:val="center"/>
          </w:tcPr>
          <w:p w:rsidR="006B6A3E" w:rsidRPr="000B1EFA" w:rsidRDefault="006B6A3E" w:rsidP="000B1EFA">
            <w:pPr>
              <w:widowControl w:val="0"/>
              <w:spacing w:line="276" w:lineRule="auto"/>
              <w:jc w:val="center"/>
              <w:rPr>
                <w:rFonts w:eastAsia="Times New Roman"/>
                <w:color w:val="000000"/>
                <w:sz w:val="24"/>
                <w:szCs w:val="24"/>
              </w:rPr>
            </w:pPr>
            <w:r w:rsidRPr="000B1EFA">
              <w:rPr>
                <w:rFonts w:eastAsia="Times New Roman"/>
                <w:color w:val="000000"/>
                <w:sz w:val="24"/>
                <w:szCs w:val="24"/>
              </w:rPr>
              <w:t>49,88</w:t>
            </w:r>
          </w:p>
        </w:tc>
        <w:tc>
          <w:tcPr>
            <w:tcW w:w="1967" w:type="dxa"/>
            <w:vAlign w:val="center"/>
          </w:tcPr>
          <w:p w:rsidR="006B6A3E" w:rsidRPr="000B1EFA" w:rsidRDefault="006B6A3E" w:rsidP="000B1EFA">
            <w:pPr>
              <w:widowControl w:val="0"/>
              <w:spacing w:line="276" w:lineRule="auto"/>
              <w:jc w:val="center"/>
              <w:rPr>
                <w:rFonts w:eastAsia="Times New Roman"/>
                <w:color w:val="000000"/>
                <w:sz w:val="24"/>
                <w:szCs w:val="24"/>
              </w:rPr>
            </w:pPr>
            <w:r w:rsidRPr="000B1EFA">
              <w:rPr>
                <w:rFonts w:eastAsia="Times New Roman"/>
                <w:color w:val="000000"/>
                <w:sz w:val="24"/>
                <w:szCs w:val="24"/>
              </w:rPr>
              <w:t>20,22</w:t>
            </w:r>
          </w:p>
        </w:tc>
      </w:tr>
      <w:tr w:rsidR="006B6A3E" w:rsidRPr="000B1EFA" w:rsidTr="006E3A91">
        <w:trPr>
          <w:trHeight w:val="40"/>
        </w:trPr>
        <w:tc>
          <w:tcPr>
            <w:tcW w:w="0" w:type="auto"/>
            <w:shd w:val="clear" w:color="auto" w:fill="auto"/>
          </w:tcPr>
          <w:p w:rsidR="006B6A3E" w:rsidRPr="000B1EFA" w:rsidRDefault="006B6A3E" w:rsidP="000B1EFA">
            <w:pPr>
              <w:widowControl w:val="0"/>
              <w:spacing w:line="276" w:lineRule="auto"/>
              <w:ind w:left="227"/>
              <w:jc w:val="left"/>
              <w:rPr>
                <w:rFonts w:eastAsia="Times New Roman"/>
                <w:sz w:val="24"/>
                <w:szCs w:val="24"/>
                <w:lang w:eastAsia="ru-RU"/>
              </w:rPr>
            </w:pPr>
            <w:r w:rsidRPr="000B1EFA">
              <w:rPr>
                <w:rFonts w:eastAsia="Times New Roman"/>
                <w:sz w:val="24"/>
                <w:szCs w:val="24"/>
                <w:lang w:eastAsia="ru-RU"/>
              </w:rPr>
              <w:t>Закарпатська</w:t>
            </w:r>
          </w:p>
        </w:tc>
        <w:tc>
          <w:tcPr>
            <w:tcW w:w="0" w:type="auto"/>
            <w:vAlign w:val="center"/>
          </w:tcPr>
          <w:p w:rsidR="006B6A3E" w:rsidRPr="000B1EFA" w:rsidRDefault="006B6A3E" w:rsidP="000B1EFA">
            <w:pPr>
              <w:widowControl w:val="0"/>
              <w:spacing w:line="276" w:lineRule="auto"/>
              <w:jc w:val="center"/>
              <w:rPr>
                <w:rFonts w:eastAsia="Times New Roman"/>
                <w:sz w:val="24"/>
                <w:szCs w:val="24"/>
              </w:rPr>
            </w:pPr>
            <w:r w:rsidRPr="000B1EFA">
              <w:rPr>
                <w:rFonts w:eastAsia="Times New Roman"/>
                <w:sz w:val="24"/>
                <w:szCs w:val="24"/>
              </w:rPr>
              <w:t>140</w:t>
            </w:r>
          </w:p>
        </w:tc>
        <w:tc>
          <w:tcPr>
            <w:tcW w:w="0" w:type="auto"/>
            <w:vAlign w:val="center"/>
          </w:tcPr>
          <w:p w:rsidR="006B6A3E" w:rsidRPr="000B1EFA" w:rsidRDefault="006B6A3E" w:rsidP="000B1EFA">
            <w:pPr>
              <w:widowControl w:val="0"/>
              <w:spacing w:line="276" w:lineRule="auto"/>
              <w:jc w:val="center"/>
              <w:rPr>
                <w:rFonts w:eastAsia="Times New Roman"/>
                <w:color w:val="000000"/>
                <w:sz w:val="24"/>
                <w:szCs w:val="24"/>
              </w:rPr>
            </w:pPr>
            <w:r w:rsidRPr="000B1EFA">
              <w:rPr>
                <w:rFonts w:eastAsia="Times New Roman"/>
                <w:color w:val="000000"/>
                <w:sz w:val="24"/>
                <w:szCs w:val="24"/>
              </w:rPr>
              <w:t>4,79</w:t>
            </w:r>
          </w:p>
        </w:tc>
        <w:tc>
          <w:tcPr>
            <w:tcW w:w="0" w:type="auto"/>
            <w:vAlign w:val="center"/>
          </w:tcPr>
          <w:p w:rsidR="006B6A3E" w:rsidRPr="000B1EFA" w:rsidRDefault="006B6A3E" w:rsidP="000B1EFA">
            <w:pPr>
              <w:widowControl w:val="0"/>
              <w:spacing w:line="276" w:lineRule="auto"/>
              <w:jc w:val="center"/>
              <w:rPr>
                <w:rFonts w:eastAsia="Times New Roman"/>
                <w:color w:val="000000"/>
                <w:sz w:val="24"/>
                <w:szCs w:val="24"/>
              </w:rPr>
            </w:pPr>
            <w:r w:rsidRPr="000B1EFA">
              <w:rPr>
                <w:rFonts w:eastAsia="Times New Roman"/>
                <w:color w:val="000000"/>
                <w:sz w:val="24"/>
                <w:szCs w:val="24"/>
              </w:rPr>
              <w:t>79,91</w:t>
            </w:r>
          </w:p>
        </w:tc>
        <w:tc>
          <w:tcPr>
            <w:tcW w:w="1967" w:type="dxa"/>
            <w:vAlign w:val="center"/>
          </w:tcPr>
          <w:p w:rsidR="006B6A3E" w:rsidRPr="000B1EFA" w:rsidRDefault="006B6A3E" w:rsidP="000B1EFA">
            <w:pPr>
              <w:widowControl w:val="0"/>
              <w:spacing w:line="276" w:lineRule="auto"/>
              <w:jc w:val="center"/>
              <w:rPr>
                <w:rFonts w:eastAsia="Times New Roman"/>
                <w:color w:val="000000"/>
                <w:sz w:val="24"/>
                <w:szCs w:val="24"/>
              </w:rPr>
            </w:pPr>
            <w:r w:rsidRPr="000B1EFA">
              <w:rPr>
                <w:rFonts w:eastAsia="Times New Roman"/>
                <w:color w:val="000000"/>
                <w:sz w:val="24"/>
                <w:szCs w:val="24"/>
              </w:rPr>
              <w:t>30,28</w:t>
            </w:r>
          </w:p>
        </w:tc>
      </w:tr>
      <w:tr w:rsidR="006B6A3E" w:rsidRPr="000B1EFA" w:rsidTr="006E3A91">
        <w:trPr>
          <w:trHeight w:val="40"/>
        </w:trPr>
        <w:tc>
          <w:tcPr>
            <w:tcW w:w="0" w:type="auto"/>
            <w:shd w:val="clear" w:color="auto" w:fill="auto"/>
          </w:tcPr>
          <w:p w:rsidR="006B6A3E" w:rsidRPr="000B1EFA" w:rsidRDefault="006B6A3E" w:rsidP="000B1EFA">
            <w:pPr>
              <w:widowControl w:val="0"/>
              <w:spacing w:line="276" w:lineRule="auto"/>
              <w:ind w:left="227"/>
              <w:jc w:val="left"/>
              <w:rPr>
                <w:rFonts w:eastAsia="Times New Roman"/>
                <w:sz w:val="24"/>
                <w:szCs w:val="24"/>
                <w:lang w:eastAsia="ru-RU"/>
              </w:rPr>
            </w:pPr>
            <w:r w:rsidRPr="000B1EFA">
              <w:rPr>
                <w:rFonts w:eastAsia="Times New Roman"/>
                <w:sz w:val="24"/>
                <w:szCs w:val="24"/>
                <w:lang w:eastAsia="ru-RU"/>
              </w:rPr>
              <w:t>Запорізька</w:t>
            </w:r>
          </w:p>
        </w:tc>
        <w:tc>
          <w:tcPr>
            <w:tcW w:w="0" w:type="auto"/>
            <w:vAlign w:val="center"/>
          </w:tcPr>
          <w:p w:rsidR="006B6A3E" w:rsidRPr="000B1EFA" w:rsidRDefault="006B6A3E" w:rsidP="000B1EFA">
            <w:pPr>
              <w:widowControl w:val="0"/>
              <w:spacing w:line="276" w:lineRule="auto"/>
              <w:jc w:val="center"/>
              <w:rPr>
                <w:rFonts w:eastAsia="Times New Roman"/>
                <w:sz w:val="24"/>
                <w:szCs w:val="24"/>
              </w:rPr>
            </w:pPr>
            <w:r w:rsidRPr="000B1EFA">
              <w:rPr>
                <w:rFonts w:eastAsia="Times New Roman"/>
                <w:sz w:val="24"/>
                <w:szCs w:val="24"/>
              </w:rPr>
              <w:t>287</w:t>
            </w:r>
          </w:p>
        </w:tc>
        <w:tc>
          <w:tcPr>
            <w:tcW w:w="0" w:type="auto"/>
            <w:vAlign w:val="center"/>
          </w:tcPr>
          <w:p w:rsidR="006B6A3E" w:rsidRPr="000B1EFA" w:rsidRDefault="006B6A3E" w:rsidP="000B1EFA">
            <w:pPr>
              <w:widowControl w:val="0"/>
              <w:spacing w:line="276" w:lineRule="auto"/>
              <w:ind w:left="572" w:hanging="572"/>
              <w:jc w:val="center"/>
              <w:rPr>
                <w:rFonts w:eastAsia="Times New Roman"/>
                <w:color w:val="000000"/>
                <w:sz w:val="24"/>
                <w:szCs w:val="24"/>
              </w:rPr>
            </w:pPr>
            <w:r w:rsidRPr="000B1EFA">
              <w:rPr>
                <w:rFonts w:eastAsia="Times New Roman"/>
                <w:color w:val="000000"/>
                <w:sz w:val="24"/>
                <w:szCs w:val="24"/>
              </w:rPr>
              <w:t>9,76</w:t>
            </w:r>
          </w:p>
        </w:tc>
        <w:tc>
          <w:tcPr>
            <w:tcW w:w="0" w:type="auto"/>
            <w:vAlign w:val="center"/>
          </w:tcPr>
          <w:p w:rsidR="006B6A3E" w:rsidRPr="000B1EFA" w:rsidRDefault="006B6A3E" w:rsidP="000B1EFA">
            <w:pPr>
              <w:widowControl w:val="0"/>
              <w:spacing w:line="276" w:lineRule="auto"/>
              <w:jc w:val="center"/>
              <w:rPr>
                <w:rFonts w:eastAsia="Times New Roman"/>
                <w:color w:val="000000"/>
                <w:sz w:val="24"/>
                <w:szCs w:val="24"/>
              </w:rPr>
            </w:pPr>
            <w:r w:rsidRPr="000B1EFA">
              <w:rPr>
                <w:rFonts w:eastAsia="Times New Roman"/>
                <w:color w:val="000000"/>
                <w:sz w:val="24"/>
                <w:szCs w:val="24"/>
              </w:rPr>
              <w:t>37,32</w:t>
            </w:r>
          </w:p>
        </w:tc>
        <w:tc>
          <w:tcPr>
            <w:tcW w:w="1967" w:type="dxa"/>
            <w:vAlign w:val="center"/>
          </w:tcPr>
          <w:p w:rsidR="006B6A3E" w:rsidRPr="000B1EFA" w:rsidRDefault="006B6A3E" w:rsidP="000B1EFA">
            <w:pPr>
              <w:widowControl w:val="0"/>
              <w:spacing w:line="276" w:lineRule="auto"/>
              <w:jc w:val="center"/>
              <w:rPr>
                <w:rFonts w:eastAsia="Times New Roman"/>
                <w:color w:val="000000"/>
                <w:sz w:val="24"/>
                <w:szCs w:val="24"/>
              </w:rPr>
            </w:pPr>
            <w:r w:rsidRPr="000B1EFA">
              <w:rPr>
                <w:rFonts w:eastAsia="Times New Roman"/>
                <w:color w:val="000000"/>
                <w:sz w:val="24"/>
                <w:szCs w:val="24"/>
              </w:rPr>
              <w:t>21,02</w:t>
            </w:r>
          </w:p>
        </w:tc>
      </w:tr>
      <w:tr w:rsidR="006B6A3E" w:rsidRPr="000B1EFA" w:rsidTr="006E3A91">
        <w:trPr>
          <w:trHeight w:val="40"/>
        </w:trPr>
        <w:tc>
          <w:tcPr>
            <w:tcW w:w="0" w:type="auto"/>
            <w:shd w:val="clear" w:color="auto" w:fill="auto"/>
          </w:tcPr>
          <w:p w:rsidR="006B6A3E" w:rsidRPr="000B1EFA" w:rsidRDefault="006B6A3E" w:rsidP="000B1EFA">
            <w:pPr>
              <w:widowControl w:val="0"/>
              <w:spacing w:line="276" w:lineRule="auto"/>
              <w:ind w:left="227"/>
              <w:jc w:val="left"/>
              <w:rPr>
                <w:rFonts w:eastAsia="Times New Roman"/>
                <w:sz w:val="24"/>
                <w:szCs w:val="24"/>
                <w:lang w:eastAsia="ru-RU"/>
              </w:rPr>
            </w:pPr>
            <w:r w:rsidRPr="000B1EFA">
              <w:rPr>
                <w:rFonts w:eastAsia="Times New Roman"/>
                <w:sz w:val="24"/>
                <w:szCs w:val="24"/>
                <w:lang w:eastAsia="ru-RU"/>
              </w:rPr>
              <w:t>Івано-Франківська</w:t>
            </w:r>
          </w:p>
        </w:tc>
        <w:tc>
          <w:tcPr>
            <w:tcW w:w="0" w:type="auto"/>
            <w:vAlign w:val="center"/>
          </w:tcPr>
          <w:p w:rsidR="006B6A3E" w:rsidRPr="000B1EFA" w:rsidRDefault="006B6A3E" w:rsidP="000B1EFA">
            <w:pPr>
              <w:widowControl w:val="0"/>
              <w:spacing w:line="276" w:lineRule="auto"/>
              <w:jc w:val="center"/>
              <w:rPr>
                <w:rFonts w:eastAsia="Times New Roman"/>
                <w:sz w:val="24"/>
                <w:szCs w:val="24"/>
              </w:rPr>
            </w:pPr>
            <w:r w:rsidRPr="000B1EFA">
              <w:rPr>
                <w:rFonts w:eastAsia="Times New Roman"/>
                <w:sz w:val="24"/>
                <w:szCs w:val="24"/>
              </w:rPr>
              <w:t>92</w:t>
            </w:r>
          </w:p>
        </w:tc>
        <w:tc>
          <w:tcPr>
            <w:tcW w:w="0" w:type="auto"/>
            <w:vAlign w:val="center"/>
          </w:tcPr>
          <w:p w:rsidR="006B6A3E" w:rsidRPr="000B1EFA" w:rsidRDefault="006B6A3E" w:rsidP="000B1EFA">
            <w:pPr>
              <w:widowControl w:val="0"/>
              <w:spacing w:line="276" w:lineRule="auto"/>
              <w:ind w:left="572" w:hanging="572"/>
              <w:jc w:val="center"/>
              <w:rPr>
                <w:rFonts w:eastAsia="Times New Roman"/>
                <w:color w:val="000000"/>
                <w:sz w:val="24"/>
                <w:szCs w:val="24"/>
              </w:rPr>
            </w:pPr>
            <w:r w:rsidRPr="000B1EFA">
              <w:rPr>
                <w:rFonts w:eastAsia="Times New Roman"/>
                <w:color w:val="000000"/>
                <w:sz w:val="24"/>
                <w:szCs w:val="24"/>
              </w:rPr>
              <w:t>3,30</w:t>
            </w:r>
          </w:p>
        </w:tc>
        <w:tc>
          <w:tcPr>
            <w:tcW w:w="0" w:type="auto"/>
            <w:vAlign w:val="center"/>
          </w:tcPr>
          <w:p w:rsidR="006B6A3E" w:rsidRPr="000B1EFA" w:rsidRDefault="006B6A3E" w:rsidP="000B1EFA">
            <w:pPr>
              <w:widowControl w:val="0"/>
              <w:spacing w:line="276" w:lineRule="auto"/>
              <w:jc w:val="center"/>
              <w:rPr>
                <w:rFonts w:eastAsia="Times New Roman"/>
                <w:color w:val="000000"/>
                <w:sz w:val="24"/>
                <w:szCs w:val="24"/>
              </w:rPr>
            </w:pPr>
            <w:r w:rsidRPr="000B1EFA">
              <w:rPr>
                <w:rFonts w:eastAsia="Times New Roman"/>
                <w:color w:val="000000"/>
                <w:sz w:val="24"/>
                <w:szCs w:val="24"/>
              </w:rPr>
              <w:t>65,12</w:t>
            </w:r>
          </w:p>
        </w:tc>
        <w:tc>
          <w:tcPr>
            <w:tcW w:w="1967" w:type="dxa"/>
            <w:vAlign w:val="center"/>
          </w:tcPr>
          <w:p w:rsidR="006B6A3E" w:rsidRPr="000B1EFA" w:rsidRDefault="006B6A3E" w:rsidP="000B1EFA">
            <w:pPr>
              <w:widowControl w:val="0"/>
              <w:spacing w:line="276" w:lineRule="auto"/>
              <w:jc w:val="center"/>
              <w:rPr>
                <w:rFonts w:eastAsia="Times New Roman"/>
                <w:color w:val="000000"/>
                <w:sz w:val="24"/>
                <w:szCs w:val="24"/>
              </w:rPr>
            </w:pPr>
            <w:r w:rsidRPr="000B1EFA">
              <w:rPr>
                <w:rFonts w:eastAsia="Times New Roman"/>
                <w:color w:val="000000"/>
                <w:sz w:val="24"/>
                <w:szCs w:val="24"/>
              </w:rPr>
              <w:t>10,32</w:t>
            </w:r>
          </w:p>
        </w:tc>
      </w:tr>
      <w:tr w:rsidR="006B6A3E" w:rsidRPr="000B1EFA" w:rsidTr="006E3A91">
        <w:trPr>
          <w:trHeight w:val="40"/>
        </w:trPr>
        <w:tc>
          <w:tcPr>
            <w:tcW w:w="0" w:type="auto"/>
            <w:shd w:val="clear" w:color="auto" w:fill="auto"/>
          </w:tcPr>
          <w:p w:rsidR="006B6A3E" w:rsidRPr="000B1EFA" w:rsidRDefault="006B6A3E" w:rsidP="000B1EFA">
            <w:pPr>
              <w:widowControl w:val="0"/>
              <w:spacing w:line="276" w:lineRule="auto"/>
              <w:ind w:left="227"/>
              <w:jc w:val="left"/>
              <w:rPr>
                <w:rFonts w:eastAsia="Times New Roman"/>
                <w:sz w:val="24"/>
                <w:szCs w:val="24"/>
                <w:lang w:eastAsia="ru-RU"/>
              </w:rPr>
            </w:pPr>
            <w:r w:rsidRPr="000B1EFA">
              <w:rPr>
                <w:rFonts w:eastAsia="Times New Roman"/>
                <w:sz w:val="24"/>
                <w:szCs w:val="24"/>
                <w:lang w:eastAsia="ru-RU"/>
              </w:rPr>
              <w:t>Київська</w:t>
            </w:r>
          </w:p>
        </w:tc>
        <w:tc>
          <w:tcPr>
            <w:tcW w:w="0" w:type="auto"/>
            <w:vAlign w:val="center"/>
          </w:tcPr>
          <w:p w:rsidR="006B6A3E" w:rsidRPr="000B1EFA" w:rsidRDefault="006B6A3E" w:rsidP="000B1EFA">
            <w:pPr>
              <w:widowControl w:val="0"/>
              <w:spacing w:line="276" w:lineRule="auto"/>
              <w:jc w:val="center"/>
              <w:rPr>
                <w:rFonts w:eastAsia="Times New Roman"/>
                <w:sz w:val="24"/>
                <w:szCs w:val="24"/>
              </w:rPr>
            </w:pPr>
            <w:r w:rsidRPr="000B1EFA">
              <w:rPr>
                <w:rFonts w:eastAsia="Times New Roman"/>
                <w:sz w:val="24"/>
                <w:szCs w:val="24"/>
              </w:rPr>
              <w:t>90</w:t>
            </w:r>
          </w:p>
        </w:tc>
        <w:tc>
          <w:tcPr>
            <w:tcW w:w="0" w:type="auto"/>
            <w:vAlign w:val="center"/>
          </w:tcPr>
          <w:p w:rsidR="006B6A3E" w:rsidRPr="000B1EFA" w:rsidRDefault="006B6A3E" w:rsidP="000B1EFA">
            <w:pPr>
              <w:widowControl w:val="0"/>
              <w:spacing w:line="276" w:lineRule="auto"/>
              <w:jc w:val="center"/>
              <w:rPr>
                <w:rFonts w:eastAsia="Times New Roman"/>
                <w:color w:val="000000"/>
                <w:sz w:val="24"/>
                <w:szCs w:val="24"/>
              </w:rPr>
            </w:pPr>
            <w:r w:rsidRPr="000B1EFA">
              <w:rPr>
                <w:rFonts w:eastAsia="Times New Roman"/>
                <w:color w:val="000000"/>
                <w:sz w:val="24"/>
                <w:szCs w:val="24"/>
              </w:rPr>
              <w:t>2,74</w:t>
            </w:r>
          </w:p>
        </w:tc>
        <w:tc>
          <w:tcPr>
            <w:tcW w:w="0" w:type="auto"/>
            <w:vAlign w:val="center"/>
          </w:tcPr>
          <w:p w:rsidR="006B6A3E" w:rsidRPr="000B1EFA" w:rsidRDefault="006B6A3E" w:rsidP="000B1EFA">
            <w:pPr>
              <w:widowControl w:val="0"/>
              <w:spacing w:line="276" w:lineRule="auto"/>
              <w:jc w:val="center"/>
              <w:rPr>
                <w:rFonts w:eastAsia="Times New Roman"/>
                <w:color w:val="000000"/>
                <w:sz w:val="24"/>
                <w:szCs w:val="24"/>
              </w:rPr>
            </w:pPr>
            <w:r w:rsidRPr="000B1EFA">
              <w:rPr>
                <w:rFonts w:eastAsia="Times New Roman"/>
                <w:color w:val="000000"/>
                <w:sz w:val="24"/>
                <w:szCs w:val="24"/>
              </w:rPr>
              <w:t>36,24</w:t>
            </w:r>
          </w:p>
        </w:tc>
        <w:tc>
          <w:tcPr>
            <w:tcW w:w="1967" w:type="dxa"/>
            <w:vAlign w:val="center"/>
          </w:tcPr>
          <w:p w:rsidR="006B6A3E" w:rsidRPr="000B1EFA" w:rsidRDefault="006B6A3E" w:rsidP="000B1EFA">
            <w:pPr>
              <w:widowControl w:val="0"/>
              <w:spacing w:line="276" w:lineRule="auto"/>
              <w:jc w:val="center"/>
              <w:rPr>
                <w:rFonts w:eastAsia="Times New Roman"/>
                <w:color w:val="000000"/>
                <w:sz w:val="24"/>
                <w:szCs w:val="24"/>
              </w:rPr>
            </w:pPr>
            <w:r w:rsidRPr="000B1EFA">
              <w:rPr>
                <w:rFonts w:eastAsia="Times New Roman"/>
                <w:color w:val="000000"/>
                <w:sz w:val="24"/>
                <w:szCs w:val="24"/>
              </w:rPr>
              <w:t>4,02</w:t>
            </w:r>
          </w:p>
        </w:tc>
      </w:tr>
      <w:tr w:rsidR="006B6A3E" w:rsidRPr="000B1EFA" w:rsidTr="006E3A91">
        <w:trPr>
          <w:trHeight w:val="40"/>
        </w:trPr>
        <w:tc>
          <w:tcPr>
            <w:tcW w:w="0" w:type="auto"/>
            <w:shd w:val="clear" w:color="auto" w:fill="auto"/>
          </w:tcPr>
          <w:p w:rsidR="006B6A3E" w:rsidRPr="000B1EFA" w:rsidRDefault="006B6A3E" w:rsidP="000B1EFA">
            <w:pPr>
              <w:widowControl w:val="0"/>
              <w:spacing w:line="276" w:lineRule="auto"/>
              <w:ind w:left="227"/>
              <w:jc w:val="left"/>
              <w:rPr>
                <w:rFonts w:eastAsia="Times New Roman"/>
                <w:sz w:val="24"/>
                <w:szCs w:val="24"/>
                <w:lang w:eastAsia="ru-RU"/>
              </w:rPr>
            </w:pPr>
            <w:r w:rsidRPr="000B1EFA">
              <w:rPr>
                <w:rFonts w:eastAsia="Times New Roman"/>
                <w:sz w:val="24"/>
                <w:szCs w:val="24"/>
                <w:lang w:eastAsia="ru-RU"/>
              </w:rPr>
              <w:t>Кіровоградська</w:t>
            </w:r>
          </w:p>
        </w:tc>
        <w:tc>
          <w:tcPr>
            <w:tcW w:w="0" w:type="auto"/>
            <w:vAlign w:val="center"/>
          </w:tcPr>
          <w:p w:rsidR="006B6A3E" w:rsidRPr="000B1EFA" w:rsidRDefault="006B6A3E" w:rsidP="000B1EFA">
            <w:pPr>
              <w:widowControl w:val="0"/>
              <w:spacing w:line="276" w:lineRule="auto"/>
              <w:jc w:val="center"/>
              <w:rPr>
                <w:rFonts w:eastAsia="Times New Roman"/>
                <w:sz w:val="24"/>
                <w:szCs w:val="24"/>
              </w:rPr>
            </w:pPr>
            <w:r w:rsidRPr="000B1EFA">
              <w:rPr>
                <w:rFonts w:eastAsia="Times New Roman"/>
                <w:sz w:val="24"/>
                <w:szCs w:val="24"/>
              </w:rPr>
              <w:t>153</w:t>
            </w:r>
          </w:p>
        </w:tc>
        <w:tc>
          <w:tcPr>
            <w:tcW w:w="0" w:type="auto"/>
            <w:vAlign w:val="center"/>
          </w:tcPr>
          <w:p w:rsidR="006B6A3E" w:rsidRPr="000B1EFA" w:rsidRDefault="006B6A3E" w:rsidP="000B1EFA">
            <w:pPr>
              <w:widowControl w:val="0"/>
              <w:spacing w:line="276" w:lineRule="auto"/>
              <w:jc w:val="center"/>
              <w:rPr>
                <w:rFonts w:eastAsia="Times New Roman"/>
                <w:color w:val="000000"/>
                <w:sz w:val="24"/>
                <w:szCs w:val="24"/>
              </w:rPr>
            </w:pPr>
            <w:r w:rsidRPr="000B1EFA">
              <w:rPr>
                <w:rFonts w:eastAsia="Times New Roman"/>
                <w:color w:val="000000"/>
                <w:sz w:val="24"/>
                <w:szCs w:val="24"/>
              </w:rPr>
              <w:t>8,97</w:t>
            </w:r>
          </w:p>
        </w:tc>
        <w:tc>
          <w:tcPr>
            <w:tcW w:w="0" w:type="auto"/>
            <w:vAlign w:val="center"/>
          </w:tcPr>
          <w:p w:rsidR="006B6A3E" w:rsidRPr="000B1EFA" w:rsidRDefault="006B6A3E" w:rsidP="000B1EFA">
            <w:pPr>
              <w:widowControl w:val="0"/>
              <w:spacing w:line="276" w:lineRule="auto"/>
              <w:jc w:val="center"/>
              <w:rPr>
                <w:rFonts w:eastAsia="Times New Roman"/>
                <w:color w:val="000000"/>
                <w:sz w:val="24"/>
                <w:szCs w:val="24"/>
              </w:rPr>
            </w:pPr>
            <w:r w:rsidRPr="000B1EFA">
              <w:rPr>
                <w:rFonts w:eastAsia="Times New Roman"/>
                <w:color w:val="000000"/>
                <w:sz w:val="24"/>
                <w:szCs w:val="24"/>
              </w:rPr>
              <w:t>30,84</w:t>
            </w:r>
          </w:p>
        </w:tc>
        <w:tc>
          <w:tcPr>
            <w:tcW w:w="1967" w:type="dxa"/>
            <w:vAlign w:val="center"/>
          </w:tcPr>
          <w:p w:rsidR="006B6A3E" w:rsidRPr="000B1EFA" w:rsidRDefault="006B6A3E" w:rsidP="000B1EFA">
            <w:pPr>
              <w:widowControl w:val="0"/>
              <w:spacing w:line="276" w:lineRule="auto"/>
              <w:jc w:val="center"/>
              <w:rPr>
                <w:rFonts w:eastAsia="Times New Roman"/>
                <w:color w:val="000000"/>
                <w:sz w:val="24"/>
                <w:szCs w:val="24"/>
              </w:rPr>
            </w:pPr>
            <w:r w:rsidRPr="000B1EFA">
              <w:rPr>
                <w:rFonts w:eastAsia="Times New Roman"/>
                <w:color w:val="000000"/>
                <w:sz w:val="24"/>
                <w:szCs w:val="24"/>
              </w:rPr>
              <w:t>15,31</w:t>
            </w:r>
          </w:p>
        </w:tc>
      </w:tr>
      <w:tr w:rsidR="006B6A3E" w:rsidRPr="000B1EFA" w:rsidTr="006E3A91">
        <w:trPr>
          <w:trHeight w:val="40"/>
        </w:trPr>
        <w:tc>
          <w:tcPr>
            <w:tcW w:w="0" w:type="auto"/>
            <w:shd w:val="clear" w:color="auto" w:fill="auto"/>
          </w:tcPr>
          <w:p w:rsidR="006B6A3E" w:rsidRPr="000B1EFA" w:rsidRDefault="006B6A3E" w:rsidP="000B1EFA">
            <w:pPr>
              <w:widowControl w:val="0"/>
              <w:spacing w:line="276" w:lineRule="auto"/>
              <w:ind w:left="227"/>
              <w:jc w:val="left"/>
              <w:rPr>
                <w:rFonts w:eastAsia="Times New Roman"/>
                <w:sz w:val="24"/>
                <w:szCs w:val="24"/>
                <w:lang w:eastAsia="ru-RU"/>
              </w:rPr>
            </w:pPr>
            <w:r w:rsidRPr="000B1EFA">
              <w:rPr>
                <w:rFonts w:eastAsia="Times New Roman"/>
                <w:sz w:val="24"/>
                <w:szCs w:val="24"/>
                <w:lang w:eastAsia="ru-RU"/>
              </w:rPr>
              <w:t>Луганська</w:t>
            </w:r>
          </w:p>
        </w:tc>
        <w:tc>
          <w:tcPr>
            <w:tcW w:w="0" w:type="auto"/>
            <w:vAlign w:val="center"/>
          </w:tcPr>
          <w:p w:rsidR="006B6A3E" w:rsidRPr="000B1EFA" w:rsidRDefault="006B6A3E" w:rsidP="000B1EFA">
            <w:pPr>
              <w:widowControl w:val="0"/>
              <w:spacing w:line="276" w:lineRule="auto"/>
              <w:jc w:val="center"/>
              <w:rPr>
                <w:rFonts w:eastAsia="Times New Roman"/>
                <w:sz w:val="24"/>
                <w:szCs w:val="24"/>
              </w:rPr>
            </w:pPr>
            <w:r w:rsidRPr="000B1EFA">
              <w:rPr>
                <w:rFonts w:eastAsia="Times New Roman"/>
                <w:sz w:val="24"/>
                <w:szCs w:val="24"/>
              </w:rPr>
              <w:t>120</w:t>
            </w:r>
          </w:p>
        </w:tc>
        <w:tc>
          <w:tcPr>
            <w:tcW w:w="0" w:type="auto"/>
            <w:vAlign w:val="center"/>
          </w:tcPr>
          <w:p w:rsidR="006B6A3E" w:rsidRPr="000B1EFA" w:rsidRDefault="006B6A3E" w:rsidP="000B1EFA">
            <w:pPr>
              <w:widowControl w:val="0"/>
              <w:spacing w:line="276" w:lineRule="auto"/>
              <w:jc w:val="center"/>
              <w:rPr>
                <w:rFonts w:eastAsia="Times New Roman"/>
                <w:color w:val="000000"/>
                <w:sz w:val="24"/>
                <w:szCs w:val="24"/>
              </w:rPr>
            </w:pPr>
            <w:r w:rsidRPr="000B1EFA">
              <w:rPr>
                <w:rFonts w:eastAsia="Times New Roman"/>
                <w:color w:val="000000"/>
                <w:sz w:val="24"/>
                <w:szCs w:val="24"/>
              </w:rPr>
              <w:t>11,07</w:t>
            </w:r>
          </w:p>
        </w:tc>
        <w:tc>
          <w:tcPr>
            <w:tcW w:w="0" w:type="auto"/>
            <w:vAlign w:val="center"/>
          </w:tcPr>
          <w:p w:rsidR="006B6A3E" w:rsidRPr="000B1EFA" w:rsidRDefault="006B6A3E" w:rsidP="000B1EFA">
            <w:pPr>
              <w:widowControl w:val="0"/>
              <w:spacing w:line="276" w:lineRule="auto"/>
              <w:jc w:val="center"/>
              <w:rPr>
                <w:rFonts w:eastAsia="Times New Roman"/>
                <w:color w:val="000000"/>
                <w:sz w:val="24"/>
                <w:szCs w:val="24"/>
              </w:rPr>
            </w:pPr>
            <w:r w:rsidRPr="000B1EFA">
              <w:rPr>
                <w:rFonts w:eastAsia="Times New Roman"/>
                <w:color w:val="000000"/>
                <w:sz w:val="24"/>
                <w:szCs w:val="24"/>
              </w:rPr>
              <w:t>26,94</w:t>
            </w:r>
          </w:p>
        </w:tc>
        <w:tc>
          <w:tcPr>
            <w:tcW w:w="1967" w:type="dxa"/>
            <w:vAlign w:val="center"/>
          </w:tcPr>
          <w:p w:rsidR="006B6A3E" w:rsidRPr="000B1EFA" w:rsidRDefault="006B6A3E" w:rsidP="000B1EFA">
            <w:pPr>
              <w:widowControl w:val="0"/>
              <w:spacing w:line="276" w:lineRule="auto"/>
              <w:jc w:val="center"/>
              <w:rPr>
                <w:rFonts w:eastAsia="Times New Roman"/>
                <w:color w:val="000000"/>
                <w:sz w:val="24"/>
                <w:szCs w:val="24"/>
              </w:rPr>
            </w:pPr>
            <w:r w:rsidRPr="000B1EFA">
              <w:rPr>
                <w:rFonts w:eastAsia="Times New Roman"/>
                <w:color w:val="000000"/>
                <w:sz w:val="24"/>
                <w:szCs w:val="24"/>
              </w:rPr>
              <w:t>17,88</w:t>
            </w:r>
          </w:p>
        </w:tc>
      </w:tr>
      <w:tr w:rsidR="006B6A3E" w:rsidRPr="000B1EFA" w:rsidTr="006E3A91">
        <w:trPr>
          <w:trHeight w:val="40"/>
        </w:trPr>
        <w:tc>
          <w:tcPr>
            <w:tcW w:w="0" w:type="auto"/>
            <w:shd w:val="clear" w:color="auto" w:fill="auto"/>
          </w:tcPr>
          <w:p w:rsidR="006B6A3E" w:rsidRPr="000B1EFA" w:rsidRDefault="006B6A3E" w:rsidP="000B1EFA">
            <w:pPr>
              <w:widowControl w:val="0"/>
              <w:spacing w:line="276" w:lineRule="auto"/>
              <w:ind w:left="227"/>
              <w:jc w:val="left"/>
              <w:rPr>
                <w:rFonts w:eastAsia="Times New Roman"/>
                <w:sz w:val="24"/>
                <w:szCs w:val="24"/>
                <w:lang w:eastAsia="ru-RU"/>
              </w:rPr>
            </w:pPr>
            <w:r w:rsidRPr="000B1EFA">
              <w:rPr>
                <w:rFonts w:eastAsia="Times New Roman"/>
                <w:sz w:val="24"/>
                <w:szCs w:val="24"/>
                <w:lang w:eastAsia="ru-RU"/>
              </w:rPr>
              <w:t>Львівська</w:t>
            </w:r>
          </w:p>
        </w:tc>
        <w:tc>
          <w:tcPr>
            <w:tcW w:w="0" w:type="auto"/>
            <w:vAlign w:val="center"/>
          </w:tcPr>
          <w:p w:rsidR="006B6A3E" w:rsidRPr="000B1EFA" w:rsidRDefault="006B6A3E" w:rsidP="000B1EFA">
            <w:pPr>
              <w:widowControl w:val="0"/>
              <w:spacing w:line="276" w:lineRule="auto"/>
              <w:jc w:val="center"/>
              <w:rPr>
                <w:rFonts w:eastAsia="Times New Roman"/>
                <w:sz w:val="24"/>
                <w:szCs w:val="24"/>
              </w:rPr>
            </w:pPr>
            <w:r w:rsidRPr="000B1EFA">
              <w:rPr>
                <w:rFonts w:eastAsia="Times New Roman"/>
                <w:sz w:val="24"/>
                <w:szCs w:val="24"/>
              </w:rPr>
              <w:t>174</w:t>
            </w:r>
          </w:p>
        </w:tc>
        <w:tc>
          <w:tcPr>
            <w:tcW w:w="0" w:type="auto"/>
            <w:vAlign w:val="center"/>
          </w:tcPr>
          <w:p w:rsidR="006B6A3E" w:rsidRPr="000B1EFA" w:rsidRDefault="006B6A3E" w:rsidP="000B1EFA">
            <w:pPr>
              <w:widowControl w:val="0"/>
              <w:spacing w:line="276" w:lineRule="auto"/>
              <w:jc w:val="center"/>
              <w:rPr>
                <w:rFonts w:eastAsia="Times New Roman"/>
                <w:color w:val="000000"/>
                <w:sz w:val="24"/>
                <w:szCs w:val="24"/>
              </w:rPr>
            </w:pPr>
            <w:r w:rsidRPr="000B1EFA">
              <w:rPr>
                <w:rFonts w:eastAsia="Times New Roman"/>
                <w:color w:val="000000"/>
                <w:sz w:val="24"/>
                <w:szCs w:val="24"/>
              </w:rPr>
              <w:t>3,59</w:t>
            </w:r>
          </w:p>
        </w:tc>
        <w:tc>
          <w:tcPr>
            <w:tcW w:w="0" w:type="auto"/>
            <w:vAlign w:val="center"/>
          </w:tcPr>
          <w:p w:rsidR="006B6A3E" w:rsidRPr="000B1EFA" w:rsidRDefault="006B6A3E" w:rsidP="000B1EFA">
            <w:pPr>
              <w:widowControl w:val="0"/>
              <w:spacing w:line="276" w:lineRule="auto"/>
              <w:jc w:val="center"/>
              <w:rPr>
                <w:rFonts w:eastAsia="Times New Roman"/>
                <w:color w:val="000000"/>
                <w:sz w:val="24"/>
                <w:szCs w:val="24"/>
              </w:rPr>
            </w:pPr>
            <w:r w:rsidRPr="000B1EFA">
              <w:rPr>
                <w:rFonts w:eastAsia="Times New Roman"/>
                <w:color w:val="000000"/>
                <w:sz w:val="24"/>
                <w:szCs w:val="24"/>
              </w:rPr>
              <w:t>59,36</w:t>
            </w:r>
          </w:p>
        </w:tc>
        <w:tc>
          <w:tcPr>
            <w:tcW w:w="1967" w:type="dxa"/>
            <w:vAlign w:val="center"/>
          </w:tcPr>
          <w:p w:rsidR="006B6A3E" w:rsidRPr="000B1EFA" w:rsidRDefault="006B6A3E" w:rsidP="000B1EFA">
            <w:pPr>
              <w:widowControl w:val="0"/>
              <w:spacing w:line="276" w:lineRule="auto"/>
              <w:jc w:val="center"/>
              <w:rPr>
                <w:rFonts w:eastAsia="Times New Roman"/>
                <w:color w:val="000000"/>
                <w:sz w:val="24"/>
                <w:szCs w:val="24"/>
              </w:rPr>
            </w:pPr>
            <w:r w:rsidRPr="000B1EFA">
              <w:rPr>
                <w:rFonts w:eastAsia="Times New Roman"/>
                <w:color w:val="000000"/>
                <w:sz w:val="24"/>
                <w:szCs w:val="24"/>
              </w:rPr>
              <w:t>11,56</w:t>
            </w:r>
          </w:p>
        </w:tc>
      </w:tr>
      <w:tr w:rsidR="006B6A3E" w:rsidRPr="000B1EFA" w:rsidTr="006E3A91">
        <w:trPr>
          <w:trHeight w:val="40"/>
        </w:trPr>
        <w:tc>
          <w:tcPr>
            <w:tcW w:w="0" w:type="auto"/>
            <w:shd w:val="clear" w:color="auto" w:fill="auto"/>
          </w:tcPr>
          <w:p w:rsidR="006B6A3E" w:rsidRPr="000B1EFA" w:rsidRDefault="006B6A3E" w:rsidP="000B1EFA">
            <w:pPr>
              <w:widowControl w:val="0"/>
              <w:spacing w:line="276" w:lineRule="auto"/>
              <w:ind w:left="227"/>
              <w:jc w:val="left"/>
              <w:rPr>
                <w:rFonts w:eastAsia="Times New Roman"/>
                <w:sz w:val="24"/>
                <w:szCs w:val="24"/>
                <w:lang w:eastAsia="ru-RU"/>
              </w:rPr>
            </w:pPr>
            <w:r w:rsidRPr="000B1EFA">
              <w:rPr>
                <w:rFonts w:eastAsia="Times New Roman"/>
                <w:sz w:val="24"/>
                <w:szCs w:val="24"/>
                <w:lang w:eastAsia="ru-RU"/>
              </w:rPr>
              <w:t>Миколаївська</w:t>
            </w:r>
          </w:p>
        </w:tc>
        <w:tc>
          <w:tcPr>
            <w:tcW w:w="0" w:type="auto"/>
            <w:vAlign w:val="center"/>
          </w:tcPr>
          <w:p w:rsidR="006B6A3E" w:rsidRPr="000B1EFA" w:rsidRDefault="006B6A3E" w:rsidP="000B1EFA">
            <w:pPr>
              <w:widowControl w:val="0"/>
              <w:spacing w:line="276" w:lineRule="auto"/>
              <w:jc w:val="center"/>
              <w:rPr>
                <w:rFonts w:eastAsia="Times New Roman"/>
                <w:sz w:val="24"/>
                <w:szCs w:val="24"/>
              </w:rPr>
            </w:pPr>
            <w:r w:rsidRPr="000B1EFA">
              <w:rPr>
                <w:rFonts w:eastAsia="Times New Roman"/>
                <w:sz w:val="24"/>
                <w:szCs w:val="24"/>
              </w:rPr>
              <w:t>152</w:t>
            </w:r>
          </w:p>
        </w:tc>
        <w:tc>
          <w:tcPr>
            <w:tcW w:w="0" w:type="auto"/>
            <w:vAlign w:val="center"/>
          </w:tcPr>
          <w:p w:rsidR="006B6A3E" w:rsidRPr="000B1EFA" w:rsidRDefault="006B6A3E" w:rsidP="000B1EFA">
            <w:pPr>
              <w:widowControl w:val="0"/>
              <w:spacing w:line="276" w:lineRule="auto"/>
              <w:jc w:val="center"/>
              <w:rPr>
                <w:rFonts w:eastAsia="Times New Roman"/>
                <w:color w:val="000000"/>
                <w:sz w:val="24"/>
                <w:szCs w:val="24"/>
              </w:rPr>
            </w:pPr>
            <w:r w:rsidRPr="000B1EFA">
              <w:rPr>
                <w:rFonts w:eastAsia="Times New Roman"/>
                <w:color w:val="000000"/>
                <w:sz w:val="24"/>
                <w:szCs w:val="24"/>
              </w:rPr>
              <w:t>7,29</w:t>
            </w:r>
          </w:p>
        </w:tc>
        <w:tc>
          <w:tcPr>
            <w:tcW w:w="0" w:type="auto"/>
            <w:vAlign w:val="center"/>
          </w:tcPr>
          <w:p w:rsidR="006B6A3E" w:rsidRPr="000B1EFA" w:rsidRDefault="006B6A3E" w:rsidP="000B1EFA">
            <w:pPr>
              <w:widowControl w:val="0"/>
              <w:spacing w:line="276" w:lineRule="auto"/>
              <w:jc w:val="center"/>
              <w:rPr>
                <w:rFonts w:eastAsia="Times New Roman"/>
                <w:color w:val="000000"/>
                <w:sz w:val="24"/>
                <w:szCs w:val="24"/>
              </w:rPr>
            </w:pPr>
            <w:r w:rsidRPr="000B1EFA">
              <w:rPr>
                <w:rFonts w:eastAsia="Times New Roman"/>
                <w:color w:val="000000"/>
                <w:sz w:val="24"/>
                <w:szCs w:val="24"/>
              </w:rPr>
              <w:t>50,83</w:t>
            </w:r>
          </w:p>
        </w:tc>
        <w:tc>
          <w:tcPr>
            <w:tcW w:w="1967" w:type="dxa"/>
            <w:vAlign w:val="center"/>
          </w:tcPr>
          <w:p w:rsidR="006B6A3E" w:rsidRPr="000B1EFA" w:rsidRDefault="006B6A3E" w:rsidP="000B1EFA">
            <w:pPr>
              <w:widowControl w:val="0"/>
              <w:spacing w:line="276" w:lineRule="auto"/>
              <w:jc w:val="center"/>
              <w:rPr>
                <w:rFonts w:eastAsia="Times New Roman"/>
                <w:color w:val="000000"/>
                <w:sz w:val="24"/>
                <w:szCs w:val="24"/>
              </w:rPr>
            </w:pPr>
            <w:r w:rsidRPr="000B1EFA">
              <w:rPr>
                <w:rFonts w:eastAsia="Times New Roman"/>
                <w:color w:val="000000"/>
                <w:sz w:val="24"/>
                <w:szCs w:val="24"/>
              </w:rPr>
              <w:t>21,53</w:t>
            </w:r>
          </w:p>
        </w:tc>
      </w:tr>
      <w:tr w:rsidR="006B6A3E" w:rsidRPr="000B1EFA" w:rsidTr="006E3A91">
        <w:trPr>
          <w:trHeight w:val="40"/>
        </w:trPr>
        <w:tc>
          <w:tcPr>
            <w:tcW w:w="0" w:type="auto"/>
            <w:shd w:val="clear" w:color="auto" w:fill="auto"/>
          </w:tcPr>
          <w:p w:rsidR="006B6A3E" w:rsidRPr="000B1EFA" w:rsidRDefault="006B6A3E" w:rsidP="000B1EFA">
            <w:pPr>
              <w:widowControl w:val="0"/>
              <w:spacing w:line="276" w:lineRule="auto"/>
              <w:ind w:left="227"/>
              <w:jc w:val="left"/>
              <w:rPr>
                <w:rFonts w:eastAsia="Times New Roman"/>
                <w:sz w:val="24"/>
                <w:szCs w:val="24"/>
                <w:lang w:eastAsia="ru-RU"/>
              </w:rPr>
            </w:pPr>
            <w:r w:rsidRPr="000B1EFA">
              <w:rPr>
                <w:rFonts w:eastAsia="Times New Roman"/>
                <w:sz w:val="24"/>
                <w:szCs w:val="24"/>
                <w:lang w:eastAsia="ru-RU"/>
              </w:rPr>
              <w:t>Одеська</w:t>
            </w:r>
          </w:p>
        </w:tc>
        <w:tc>
          <w:tcPr>
            <w:tcW w:w="0" w:type="auto"/>
            <w:vAlign w:val="center"/>
          </w:tcPr>
          <w:p w:rsidR="006B6A3E" w:rsidRPr="000B1EFA" w:rsidRDefault="006B6A3E" w:rsidP="000B1EFA">
            <w:pPr>
              <w:widowControl w:val="0"/>
              <w:spacing w:line="276" w:lineRule="auto"/>
              <w:jc w:val="center"/>
              <w:rPr>
                <w:rFonts w:eastAsia="Times New Roman"/>
                <w:sz w:val="24"/>
                <w:szCs w:val="24"/>
              </w:rPr>
            </w:pPr>
            <w:r w:rsidRPr="000B1EFA">
              <w:rPr>
                <w:rFonts w:eastAsia="Times New Roman"/>
                <w:sz w:val="24"/>
                <w:szCs w:val="24"/>
              </w:rPr>
              <w:t>180</w:t>
            </w:r>
          </w:p>
        </w:tc>
        <w:tc>
          <w:tcPr>
            <w:tcW w:w="0" w:type="auto"/>
            <w:vAlign w:val="center"/>
          </w:tcPr>
          <w:p w:rsidR="006B6A3E" w:rsidRPr="000B1EFA" w:rsidRDefault="006B6A3E" w:rsidP="000B1EFA">
            <w:pPr>
              <w:widowControl w:val="0"/>
              <w:spacing w:line="276" w:lineRule="auto"/>
              <w:jc w:val="center"/>
              <w:rPr>
                <w:rFonts w:eastAsia="Times New Roman"/>
                <w:color w:val="000000"/>
                <w:sz w:val="24"/>
                <w:szCs w:val="24"/>
              </w:rPr>
            </w:pPr>
            <w:r w:rsidRPr="000B1EFA">
              <w:rPr>
                <w:rFonts w:eastAsia="Times New Roman"/>
                <w:color w:val="000000"/>
                <w:sz w:val="24"/>
                <w:szCs w:val="24"/>
              </w:rPr>
              <w:t>3,92</w:t>
            </w:r>
          </w:p>
        </w:tc>
        <w:tc>
          <w:tcPr>
            <w:tcW w:w="0" w:type="auto"/>
            <w:vAlign w:val="center"/>
          </w:tcPr>
          <w:p w:rsidR="006B6A3E" w:rsidRPr="000B1EFA" w:rsidRDefault="006B6A3E" w:rsidP="000B1EFA">
            <w:pPr>
              <w:widowControl w:val="0"/>
              <w:spacing w:line="276" w:lineRule="auto"/>
              <w:jc w:val="center"/>
              <w:rPr>
                <w:rFonts w:eastAsia="Times New Roman"/>
                <w:color w:val="000000"/>
                <w:sz w:val="24"/>
                <w:szCs w:val="24"/>
              </w:rPr>
            </w:pPr>
            <w:r w:rsidRPr="000B1EFA">
              <w:rPr>
                <w:rFonts w:eastAsia="Times New Roman"/>
                <w:color w:val="000000"/>
                <w:sz w:val="24"/>
                <w:szCs w:val="24"/>
              </w:rPr>
              <w:t>32,69</w:t>
            </w:r>
          </w:p>
        </w:tc>
        <w:tc>
          <w:tcPr>
            <w:tcW w:w="1967" w:type="dxa"/>
            <w:vAlign w:val="center"/>
          </w:tcPr>
          <w:p w:rsidR="006B6A3E" w:rsidRPr="000B1EFA" w:rsidRDefault="006B6A3E" w:rsidP="000B1EFA">
            <w:pPr>
              <w:widowControl w:val="0"/>
              <w:spacing w:line="276" w:lineRule="auto"/>
              <w:jc w:val="center"/>
              <w:rPr>
                <w:rFonts w:eastAsia="Times New Roman"/>
                <w:color w:val="000000"/>
                <w:sz w:val="24"/>
                <w:szCs w:val="24"/>
              </w:rPr>
            </w:pPr>
            <w:r w:rsidRPr="000B1EFA">
              <w:rPr>
                <w:rFonts w:eastAsia="Times New Roman"/>
                <w:color w:val="000000"/>
                <w:sz w:val="24"/>
                <w:szCs w:val="24"/>
              </w:rPr>
              <w:t>7,98</w:t>
            </w:r>
          </w:p>
        </w:tc>
      </w:tr>
      <w:tr w:rsidR="006B6A3E" w:rsidRPr="000B1EFA" w:rsidTr="006E3A91">
        <w:trPr>
          <w:trHeight w:val="40"/>
        </w:trPr>
        <w:tc>
          <w:tcPr>
            <w:tcW w:w="0" w:type="auto"/>
            <w:shd w:val="clear" w:color="auto" w:fill="auto"/>
          </w:tcPr>
          <w:p w:rsidR="006B6A3E" w:rsidRPr="000B1EFA" w:rsidRDefault="006B6A3E" w:rsidP="000B1EFA">
            <w:pPr>
              <w:widowControl w:val="0"/>
              <w:spacing w:line="276" w:lineRule="auto"/>
              <w:ind w:left="227"/>
              <w:jc w:val="left"/>
              <w:rPr>
                <w:rFonts w:eastAsia="Times New Roman"/>
                <w:sz w:val="24"/>
                <w:szCs w:val="24"/>
                <w:lang w:eastAsia="ru-RU"/>
              </w:rPr>
            </w:pPr>
            <w:r w:rsidRPr="000B1EFA">
              <w:rPr>
                <w:rFonts w:eastAsia="Times New Roman"/>
                <w:sz w:val="24"/>
                <w:szCs w:val="24"/>
                <w:lang w:eastAsia="ru-RU"/>
              </w:rPr>
              <w:t>Полтавська</w:t>
            </w:r>
          </w:p>
        </w:tc>
        <w:tc>
          <w:tcPr>
            <w:tcW w:w="0" w:type="auto"/>
            <w:vAlign w:val="center"/>
          </w:tcPr>
          <w:p w:rsidR="006B6A3E" w:rsidRPr="000B1EFA" w:rsidRDefault="006B6A3E" w:rsidP="000B1EFA">
            <w:pPr>
              <w:widowControl w:val="0"/>
              <w:spacing w:line="276" w:lineRule="auto"/>
              <w:jc w:val="center"/>
              <w:rPr>
                <w:rFonts w:eastAsia="Times New Roman"/>
                <w:sz w:val="24"/>
                <w:szCs w:val="24"/>
              </w:rPr>
            </w:pPr>
            <w:r w:rsidRPr="000B1EFA">
              <w:rPr>
                <w:rFonts w:eastAsia="Times New Roman"/>
                <w:sz w:val="24"/>
                <w:szCs w:val="24"/>
              </w:rPr>
              <w:t>145</w:t>
            </w:r>
          </w:p>
        </w:tc>
        <w:tc>
          <w:tcPr>
            <w:tcW w:w="0" w:type="auto"/>
            <w:vAlign w:val="center"/>
          </w:tcPr>
          <w:p w:rsidR="006B6A3E" w:rsidRPr="000B1EFA" w:rsidRDefault="006B6A3E" w:rsidP="000B1EFA">
            <w:pPr>
              <w:widowControl w:val="0"/>
              <w:spacing w:line="276" w:lineRule="auto"/>
              <w:jc w:val="center"/>
              <w:rPr>
                <w:rFonts w:eastAsia="Times New Roman"/>
                <w:color w:val="000000"/>
                <w:sz w:val="24"/>
                <w:szCs w:val="24"/>
              </w:rPr>
            </w:pPr>
            <w:r w:rsidRPr="000B1EFA">
              <w:rPr>
                <w:rFonts w:eastAsia="Times New Roman"/>
                <w:color w:val="000000"/>
                <w:sz w:val="24"/>
                <w:szCs w:val="24"/>
              </w:rPr>
              <w:t>6,18</w:t>
            </w:r>
          </w:p>
        </w:tc>
        <w:tc>
          <w:tcPr>
            <w:tcW w:w="0" w:type="auto"/>
            <w:vAlign w:val="center"/>
          </w:tcPr>
          <w:p w:rsidR="006B6A3E" w:rsidRPr="000B1EFA" w:rsidRDefault="006B6A3E" w:rsidP="000B1EFA">
            <w:pPr>
              <w:widowControl w:val="0"/>
              <w:spacing w:line="276" w:lineRule="auto"/>
              <w:jc w:val="center"/>
              <w:rPr>
                <w:rFonts w:eastAsia="Times New Roman"/>
                <w:color w:val="000000"/>
                <w:sz w:val="24"/>
                <w:szCs w:val="24"/>
              </w:rPr>
            </w:pPr>
            <w:r w:rsidRPr="000B1EFA">
              <w:rPr>
                <w:rFonts w:eastAsia="Times New Roman"/>
                <w:color w:val="000000"/>
                <w:sz w:val="24"/>
                <w:szCs w:val="24"/>
              </w:rPr>
              <w:t>25,67</w:t>
            </w:r>
          </w:p>
        </w:tc>
        <w:tc>
          <w:tcPr>
            <w:tcW w:w="1967" w:type="dxa"/>
            <w:vAlign w:val="center"/>
          </w:tcPr>
          <w:p w:rsidR="006B6A3E" w:rsidRPr="000B1EFA" w:rsidRDefault="006B6A3E" w:rsidP="000B1EFA">
            <w:pPr>
              <w:widowControl w:val="0"/>
              <w:spacing w:line="276" w:lineRule="auto"/>
              <w:jc w:val="center"/>
              <w:rPr>
                <w:rFonts w:eastAsia="Times New Roman"/>
                <w:color w:val="000000"/>
                <w:sz w:val="24"/>
                <w:szCs w:val="24"/>
              </w:rPr>
            </w:pPr>
            <w:r w:rsidRPr="000B1EFA">
              <w:rPr>
                <w:rFonts w:eastAsia="Times New Roman"/>
                <w:color w:val="000000"/>
                <w:sz w:val="24"/>
                <w:szCs w:val="24"/>
              </w:rPr>
              <w:t>9,22</w:t>
            </w:r>
          </w:p>
        </w:tc>
      </w:tr>
      <w:tr w:rsidR="006B6A3E" w:rsidRPr="000B1EFA" w:rsidTr="006E3A91">
        <w:trPr>
          <w:trHeight w:val="40"/>
        </w:trPr>
        <w:tc>
          <w:tcPr>
            <w:tcW w:w="0" w:type="auto"/>
            <w:shd w:val="clear" w:color="auto" w:fill="auto"/>
          </w:tcPr>
          <w:p w:rsidR="006B6A3E" w:rsidRPr="000B1EFA" w:rsidRDefault="006B6A3E" w:rsidP="000B1EFA">
            <w:pPr>
              <w:widowControl w:val="0"/>
              <w:spacing w:line="276" w:lineRule="auto"/>
              <w:ind w:left="227"/>
              <w:jc w:val="left"/>
              <w:rPr>
                <w:rFonts w:eastAsia="Times New Roman"/>
                <w:sz w:val="24"/>
                <w:szCs w:val="24"/>
                <w:lang w:eastAsia="ru-RU"/>
              </w:rPr>
            </w:pPr>
            <w:r w:rsidRPr="000B1EFA">
              <w:rPr>
                <w:rFonts w:eastAsia="Times New Roman"/>
                <w:sz w:val="24"/>
                <w:szCs w:val="24"/>
                <w:lang w:eastAsia="ru-RU"/>
              </w:rPr>
              <w:t>Рівненська</w:t>
            </w:r>
          </w:p>
        </w:tc>
        <w:tc>
          <w:tcPr>
            <w:tcW w:w="0" w:type="auto"/>
            <w:vAlign w:val="center"/>
          </w:tcPr>
          <w:p w:rsidR="006B6A3E" w:rsidRPr="000B1EFA" w:rsidRDefault="006B6A3E" w:rsidP="000B1EFA">
            <w:pPr>
              <w:widowControl w:val="0"/>
              <w:spacing w:line="276" w:lineRule="auto"/>
              <w:jc w:val="center"/>
              <w:rPr>
                <w:rFonts w:eastAsia="Times New Roman"/>
                <w:sz w:val="24"/>
                <w:szCs w:val="24"/>
              </w:rPr>
            </w:pPr>
            <w:r w:rsidRPr="000B1EFA">
              <w:rPr>
                <w:rFonts w:eastAsia="Times New Roman"/>
                <w:sz w:val="24"/>
                <w:szCs w:val="24"/>
              </w:rPr>
              <w:t>58</w:t>
            </w:r>
          </w:p>
        </w:tc>
        <w:tc>
          <w:tcPr>
            <w:tcW w:w="0" w:type="auto"/>
            <w:vAlign w:val="center"/>
          </w:tcPr>
          <w:p w:rsidR="006B6A3E" w:rsidRPr="000B1EFA" w:rsidRDefault="006B6A3E" w:rsidP="000B1EFA">
            <w:pPr>
              <w:widowControl w:val="0"/>
              <w:spacing w:line="276" w:lineRule="auto"/>
              <w:jc w:val="center"/>
              <w:rPr>
                <w:rFonts w:eastAsia="Times New Roman"/>
                <w:color w:val="000000"/>
                <w:sz w:val="24"/>
                <w:szCs w:val="24"/>
              </w:rPr>
            </w:pPr>
            <w:r w:rsidRPr="000B1EFA">
              <w:rPr>
                <w:rFonts w:eastAsia="Times New Roman"/>
                <w:color w:val="000000"/>
                <w:sz w:val="24"/>
                <w:szCs w:val="24"/>
              </w:rPr>
              <w:t>2,08</w:t>
            </w:r>
          </w:p>
        </w:tc>
        <w:tc>
          <w:tcPr>
            <w:tcW w:w="0" w:type="auto"/>
            <w:vAlign w:val="center"/>
          </w:tcPr>
          <w:p w:rsidR="006B6A3E" w:rsidRPr="000B1EFA" w:rsidRDefault="006B6A3E" w:rsidP="000B1EFA">
            <w:pPr>
              <w:widowControl w:val="0"/>
              <w:spacing w:line="276" w:lineRule="auto"/>
              <w:jc w:val="center"/>
              <w:rPr>
                <w:rFonts w:eastAsia="Times New Roman"/>
                <w:color w:val="000000"/>
                <w:sz w:val="24"/>
                <w:szCs w:val="24"/>
              </w:rPr>
            </w:pPr>
            <w:r w:rsidRPr="000B1EFA">
              <w:rPr>
                <w:rFonts w:eastAsia="Times New Roman"/>
                <w:color w:val="000000"/>
                <w:sz w:val="24"/>
                <w:szCs w:val="24"/>
              </w:rPr>
              <w:t>152,10</w:t>
            </w:r>
          </w:p>
        </w:tc>
        <w:tc>
          <w:tcPr>
            <w:tcW w:w="1967" w:type="dxa"/>
            <w:vAlign w:val="center"/>
          </w:tcPr>
          <w:p w:rsidR="006B6A3E" w:rsidRPr="000B1EFA" w:rsidRDefault="006B6A3E" w:rsidP="000B1EFA">
            <w:pPr>
              <w:widowControl w:val="0"/>
              <w:spacing w:line="276" w:lineRule="auto"/>
              <w:jc w:val="center"/>
              <w:rPr>
                <w:rFonts w:eastAsia="Times New Roman"/>
                <w:color w:val="000000"/>
                <w:sz w:val="24"/>
                <w:szCs w:val="24"/>
              </w:rPr>
            </w:pPr>
            <w:r w:rsidRPr="000B1EFA">
              <w:rPr>
                <w:rFonts w:eastAsia="Times New Roman"/>
                <w:color w:val="000000"/>
                <w:sz w:val="24"/>
                <w:szCs w:val="24"/>
              </w:rPr>
              <w:t>15,75</w:t>
            </w:r>
          </w:p>
        </w:tc>
      </w:tr>
      <w:tr w:rsidR="006B6A3E" w:rsidRPr="000B1EFA" w:rsidTr="006E3A91">
        <w:trPr>
          <w:trHeight w:val="40"/>
        </w:trPr>
        <w:tc>
          <w:tcPr>
            <w:tcW w:w="0" w:type="auto"/>
            <w:shd w:val="clear" w:color="auto" w:fill="auto"/>
          </w:tcPr>
          <w:p w:rsidR="006B6A3E" w:rsidRPr="000B1EFA" w:rsidRDefault="006B6A3E" w:rsidP="000B1EFA">
            <w:pPr>
              <w:widowControl w:val="0"/>
              <w:spacing w:line="276" w:lineRule="auto"/>
              <w:ind w:left="227"/>
              <w:jc w:val="left"/>
              <w:rPr>
                <w:rFonts w:eastAsia="Times New Roman"/>
                <w:sz w:val="24"/>
                <w:szCs w:val="24"/>
                <w:lang w:eastAsia="ru-RU"/>
              </w:rPr>
            </w:pPr>
            <w:r w:rsidRPr="000B1EFA">
              <w:rPr>
                <w:rFonts w:eastAsia="Times New Roman"/>
                <w:sz w:val="24"/>
                <w:szCs w:val="24"/>
                <w:lang w:eastAsia="ru-RU"/>
              </w:rPr>
              <w:t>Сумська</w:t>
            </w:r>
          </w:p>
        </w:tc>
        <w:tc>
          <w:tcPr>
            <w:tcW w:w="0" w:type="auto"/>
            <w:vAlign w:val="center"/>
          </w:tcPr>
          <w:p w:rsidR="006B6A3E" w:rsidRPr="000B1EFA" w:rsidRDefault="006B6A3E" w:rsidP="000B1EFA">
            <w:pPr>
              <w:widowControl w:val="0"/>
              <w:spacing w:line="276" w:lineRule="auto"/>
              <w:jc w:val="center"/>
              <w:rPr>
                <w:rFonts w:eastAsia="Times New Roman"/>
                <w:sz w:val="24"/>
                <w:szCs w:val="24"/>
              </w:rPr>
            </w:pPr>
            <w:r w:rsidRPr="000B1EFA">
              <w:rPr>
                <w:rFonts w:eastAsia="Times New Roman"/>
                <w:sz w:val="24"/>
                <w:szCs w:val="24"/>
              </w:rPr>
              <w:t>151</w:t>
            </w:r>
          </w:p>
        </w:tc>
        <w:tc>
          <w:tcPr>
            <w:tcW w:w="0" w:type="auto"/>
            <w:vAlign w:val="center"/>
          </w:tcPr>
          <w:p w:rsidR="006B6A3E" w:rsidRPr="000B1EFA" w:rsidRDefault="006B6A3E" w:rsidP="000B1EFA">
            <w:pPr>
              <w:widowControl w:val="0"/>
              <w:spacing w:line="276" w:lineRule="auto"/>
              <w:jc w:val="center"/>
              <w:rPr>
                <w:rFonts w:eastAsia="Times New Roman"/>
                <w:color w:val="000000"/>
                <w:sz w:val="24"/>
                <w:szCs w:val="24"/>
              </w:rPr>
            </w:pPr>
            <w:r w:rsidRPr="000B1EFA">
              <w:rPr>
                <w:rFonts w:eastAsia="Times New Roman"/>
                <w:color w:val="000000"/>
                <w:sz w:val="24"/>
                <w:szCs w:val="24"/>
              </w:rPr>
              <w:t>8,71</w:t>
            </w:r>
          </w:p>
        </w:tc>
        <w:tc>
          <w:tcPr>
            <w:tcW w:w="0" w:type="auto"/>
            <w:vAlign w:val="center"/>
          </w:tcPr>
          <w:p w:rsidR="006B6A3E" w:rsidRPr="000B1EFA" w:rsidRDefault="006B6A3E" w:rsidP="000B1EFA">
            <w:pPr>
              <w:widowControl w:val="0"/>
              <w:spacing w:line="276" w:lineRule="auto"/>
              <w:jc w:val="center"/>
              <w:rPr>
                <w:rFonts w:eastAsia="Times New Roman"/>
                <w:color w:val="000000"/>
                <w:sz w:val="24"/>
                <w:szCs w:val="24"/>
              </w:rPr>
            </w:pPr>
            <w:r w:rsidRPr="000B1EFA">
              <w:rPr>
                <w:rFonts w:eastAsia="Times New Roman"/>
                <w:color w:val="000000"/>
                <w:sz w:val="24"/>
                <w:szCs w:val="24"/>
              </w:rPr>
              <w:t>24,84</w:t>
            </w:r>
          </w:p>
        </w:tc>
        <w:tc>
          <w:tcPr>
            <w:tcW w:w="1967" w:type="dxa"/>
            <w:vAlign w:val="center"/>
          </w:tcPr>
          <w:p w:rsidR="006B6A3E" w:rsidRPr="000B1EFA" w:rsidRDefault="006B6A3E" w:rsidP="000B1EFA">
            <w:pPr>
              <w:widowControl w:val="0"/>
              <w:spacing w:line="276" w:lineRule="auto"/>
              <w:jc w:val="center"/>
              <w:rPr>
                <w:rFonts w:eastAsia="Times New Roman"/>
                <w:color w:val="000000"/>
                <w:sz w:val="24"/>
                <w:szCs w:val="24"/>
              </w:rPr>
            </w:pPr>
            <w:r w:rsidRPr="000B1EFA">
              <w:rPr>
                <w:rFonts w:eastAsia="Times New Roman"/>
                <w:color w:val="000000"/>
                <w:sz w:val="24"/>
                <w:szCs w:val="24"/>
              </w:rPr>
              <w:t>13,01</w:t>
            </w:r>
          </w:p>
        </w:tc>
      </w:tr>
      <w:tr w:rsidR="006B6A3E" w:rsidRPr="000B1EFA" w:rsidTr="006E3A91">
        <w:trPr>
          <w:trHeight w:val="40"/>
        </w:trPr>
        <w:tc>
          <w:tcPr>
            <w:tcW w:w="0" w:type="auto"/>
            <w:shd w:val="clear" w:color="auto" w:fill="auto"/>
          </w:tcPr>
          <w:p w:rsidR="006B6A3E" w:rsidRPr="000B1EFA" w:rsidRDefault="006B6A3E" w:rsidP="000B1EFA">
            <w:pPr>
              <w:widowControl w:val="0"/>
              <w:spacing w:line="276" w:lineRule="auto"/>
              <w:ind w:left="227"/>
              <w:jc w:val="left"/>
              <w:rPr>
                <w:rFonts w:eastAsia="Times New Roman"/>
                <w:sz w:val="24"/>
                <w:szCs w:val="24"/>
                <w:lang w:eastAsia="ru-RU"/>
              </w:rPr>
            </w:pPr>
            <w:r w:rsidRPr="000B1EFA">
              <w:rPr>
                <w:rFonts w:eastAsia="Times New Roman"/>
                <w:sz w:val="24"/>
                <w:szCs w:val="24"/>
                <w:lang w:eastAsia="ru-RU"/>
              </w:rPr>
              <w:t>Тернопільська</w:t>
            </w:r>
          </w:p>
        </w:tc>
        <w:tc>
          <w:tcPr>
            <w:tcW w:w="0" w:type="auto"/>
            <w:vAlign w:val="center"/>
          </w:tcPr>
          <w:p w:rsidR="006B6A3E" w:rsidRPr="000B1EFA" w:rsidRDefault="006B6A3E" w:rsidP="000B1EFA">
            <w:pPr>
              <w:widowControl w:val="0"/>
              <w:spacing w:line="276" w:lineRule="auto"/>
              <w:jc w:val="center"/>
              <w:rPr>
                <w:rFonts w:eastAsia="Times New Roman"/>
                <w:sz w:val="24"/>
                <w:szCs w:val="24"/>
              </w:rPr>
            </w:pPr>
            <w:r w:rsidRPr="000B1EFA">
              <w:rPr>
                <w:rFonts w:eastAsia="Times New Roman"/>
                <w:sz w:val="24"/>
                <w:szCs w:val="24"/>
              </w:rPr>
              <w:t>205</w:t>
            </w:r>
          </w:p>
        </w:tc>
        <w:tc>
          <w:tcPr>
            <w:tcW w:w="0" w:type="auto"/>
            <w:vAlign w:val="center"/>
          </w:tcPr>
          <w:p w:rsidR="006B6A3E" w:rsidRPr="000B1EFA" w:rsidRDefault="006B6A3E" w:rsidP="000B1EFA">
            <w:pPr>
              <w:widowControl w:val="0"/>
              <w:spacing w:line="276" w:lineRule="auto"/>
              <w:jc w:val="center"/>
              <w:rPr>
                <w:rFonts w:eastAsia="Times New Roman"/>
                <w:color w:val="000000"/>
                <w:sz w:val="24"/>
                <w:szCs w:val="24"/>
              </w:rPr>
            </w:pPr>
            <w:r w:rsidRPr="000B1EFA">
              <w:rPr>
                <w:rFonts w:eastAsia="Times New Roman"/>
                <w:color w:val="000000"/>
                <w:sz w:val="24"/>
                <w:szCs w:val="24"/>
              </w:rPr>
              <w:t>10,28</w:t>
            </w:r>
          </w:p>
        </w:tc>
        <w:tc>
          <w:tcPr>
            <w:tcW w:w="0" w:type="auto"/>
            <w:vAlign w:val="center"/>
          </w:tcPr>
          <w:p w:rsidR="006B6A3E" w:rsidRPr="000B1EFA" w:rsidRDefault="006B6A3E" w:rsidP="000B1EFA">
            <w:pPr>
              <w:widowControl w:val="0"/>
              <w:spacing w:line="276" w:lineRule="auto"/>
              <w:jc w:val="center"/>
              <w:rPr>
                <w:rFonts w:eastAsia="Times New Roman"/>
                <w:color w:val="000000"/>
                <w:sz w:val="24"/>
                <w:szCs w:val="24"/>
              </w:rPr>
            </w:pPr>
            <w:r w:rsidRPr="000B1EFA">
              <w:rPr>
                <w:rFonts w:eastAsia="Times New Roman"/>
                <w:color w:val="000000"/>
                <w:sz w:val="24"/>
                <w:szCs w:val="24"/>
              </w:rPr>
              <w:t>62,89</w:t>
            </w:r>
          </w:p>
        </w:tc>
        <w:tc>
          <w:tcPr>
            <w:tcW w:w="1967" w:type="dxa"/>
            <w:vAlign w:val="center"/>
          </w:tcPr>
          <w:p w:rsidR="006B6A3E" w:rsidRPr="000B1EFA" w:rsidRDefault="006B6A3E" w:rsidP="000B1EFA">
            <w:pPr>
              <w:widowControl w:val="0"/>
              <w:spacing w:line="276" w:lineRule="auto"/>
              <w:jc w:val="center"/>
              <w:rPr>
                <w:rFonts w:eastAsia="Times New Roman"/>
                <w:color w:val="000000"/>
                <w:sz w:val="24"/>
                <w:szCs w:val="24"/>
              </w:rPr>
            </w:pPr>
            <w:r w:rsidRPr="000B1EFA">
              <w:rPr>
                <w:rFonts w:eastAsia="Times New Roman"/>
                <w:color w:val="000000"/>
                <w:sz w:val="24"/>
                <w:szCs w:val="24"/>
              </w:rPr>
              <w:t>34,88</w:t>
            </w:r>
          </w:p>
        </w:tc>
      </w:tr>
      <w:tr w:rsidR="006B6A3E" w:rsidRPr="000B1EFA" w:rsidTr="006E3A91">
        <w:trPr>
          <w:trHeight w:val="40"/>
        </w:trPr>
        <w:tc>
          <w:tcPr>
            <w:tcW w:w="0" w:type="auto"/>
            <w:shd w:val="clear" w:color="auto" w:fill="auto"/>
          </w:tcPr>
          <w:p w:rsidR="006B6A3E" w:rsidRPr="000B1EFA" w:rsidRDefault="006B6A3E" w:rsidP="000B1EFA">
            <w:pPr>
              <w:widowControl w:val="0"/>
              <w:spacing w:line="276" w:lineRule="auto"/>
              <w:ind w:left="227"/>
              <w:jc w:val="left"/>
              <w:rPr>
                <w:rFonts w:eastAsia="Times New Roman"/>
                <w:sz w:val="24"/>
                <w:szCs w:val="24"/>
                <w:lang w:eastAsia="ru-RU"/>
              </w:rPr>
            </w:pPr>
            <w:r w:rsidRPr="000B1EFA">
              <w:rPr>
                <w:rFonts w:eastAsia="Times New Roman"/>
                <w:sz w:val="24"/>
                <w:szCs w:val="24"/>
                <w:lang w:eastAsia="ru-RU"/>
              </w:rPr>
              <w:t>Харківська</w:t>
            </w:r>
          </w:p>
        </w:tc>
        <w:tc>
          <w:tcPr>
            <w:tcW w:w="0" w:type="auto"/>
            <w:vAlign w:val="center"/>
          </w:tcPr>
          <w:p w:rsidR="006B6A3E" w:rsidRPr="000B1EFA" w:rsidRDefault="006B6A3E" w:rsidP="000B1EFA">
            <w:pPr>
              <w:widowControl w:val="0"/>
              <w:spacing w:line="276" w:lineRule="auto"/>
              <w:jc w:val="center"/>
              <w:rPr>
                <w:rFonts w:eastAsia="Times New Roman"/>
                <w:sz w:val="24"/>
                <w:szCs w:val="24"/>
              </w:rPr>
            </w:pPr>
            <w:r w:rsidRPr="000B1EFA">
              <w:rPr>
                <w:rFonts w:eastAsia="Times New Roman"/>
                <w:sz w:val="24"/>
                <w:szCs w:val="24"/>
              </w:rPr>
              <w:t>493</w:t>
            </w:r>
          </w:p>
        </w:tc>
        <w:tc>
          <w:tcPr>
            <w:tcW w:w="0" w:type="auto"/>
            <w:vAlign w:val="center"/>
          </w:tcPr>
          <w:p w:rsidR="006B6A3E" w:rsidRPr="000B1EFA" w:rsidRDefault="006B6A3E" w:rsidP="000B1EFA">
            <w:pPr>
              <w:widowControl w:val="0"/>
              <w:spacing w:line="276" w:lineRule="auto"/>
              <w:jc w:val="center"/>
              <w:rPr>
                <w:rFonts w:eastAsia="Times New Roman"/>
                <w:color w:val="000000"/>
                <w:sz w:val="24"/>
                <w:szCs w:val="24"/>
              </w:rPr>
            </w:pPr>
            <w:r w:rsidRPr="000B1EFA">
              <w:rPr>
                <w:rFonts w:eastAsia="Times New Roman"/>
                <w:color w:val="000000"/>
                <w:sz w:val="24"/>
                <w:szCs w:val="24"/>
              </w:rPr>
              <w:t>11,57</w:t>
            </w:r>
          </w:p>
        </w:tc>
        <w:tc>
          <w:tcPr>
            <w:tcW w:w="0" w:type="auto"/>
            <w:vAlign w:val="center"/>
          </w:tcPr>
          <w:p w:rsidR="006B6A3E" w:rsidRPr="000B1EFA" w:rsidRDefault="006B6A3E" w:rsidP="000B1EFA">
            <w:pPr>
              <w:widowControl w:val="0"/>
              <w:spacing w:line="276" w:lineRule="auto"/>
              <w:jc w:val="center"/>
              <w:rPr>
                <w:rFonts w:eastAsia="Times New Roman"/>
                <w:color w:val="000000"/>
                <w:sz w:val="24"/>
                <w:szCs w:val="24"/>
              </w:rPr>
            </w:pPr>
            <w:r w:rsidRPr="000B1EFA">
              <w:rPr>
                <w:rFonts w:eastAsia="Times New Roman"/>
                <w:color w:val="000000"/>
                <w:sz w:val="24"/>
                <w:szCs w:val="24"/>
              </w:rPr>
              <w:t>33,31</w:t>
            </w:r>
          </w:p>
        </w:tc>
        <w:tc>
          <w:tcPr>
            <w:tcW w:w="1967" w:type="dxa"/>
            <w:vAlign w:val="center"/>
          </w:tcPr>
          <w:p w:rsidR="006B6A3E" w:rsidRPr="000B1EFA" w:rsidRDefault="006B6A3E" w:rsidP="000B1EFA">
            <w:pPr>
              <w:widowControl w:val="0"/>
              <w:spacing w:line="276" w:lineRule="auto"/>
              <w:jc w:val="center"/>
              <w:rPr>
                <w:rFonts w:eastAsia="Times New Roman"/>
                <w:color w:val="000000"/>
                <w:sz w:val="24"/>
                <w:szCs w:val="24"/>
              </w:rPr>
            </w:pPr>
            <w:r w:rsidRPr="000B1EFA">
              <w:rPr>
                <w:rFonts w:eastAsia="Times New Roman"/>
                <w:color w:val="000000"/>
                <w:sz w:val="24"/>
                <w:szCs w:val="24"/>
              </w:rPr>
              <w:t>19,57</w:t>
            </w:r>
          </w:p>
        </w:tc>
      </w:tr>
      <w:tr w:rsidR="006B6A3E" w:rsidRPr="000B1EFA" w:rsidTr="006E3A91">
        <w:trPr>
          <w:trHeight w:val="40"/>
        </w:trPr>
        <w:tc>
          <w:tcPr>
            <w:tcW w:w="0" w:type="auto"/>
            <w:shd w:val="clear" w:color="auto" w:fill="auto"/>
          </w:tcPr>
          <w:p w:rsidR="006B6A3E" w:rsidRPr="000B1EFA" w:rsidRDefault="006B6A3E" w:rsidP="000B1EFA">
            <w:pPr>
              <w:widowControl w:val="0"/>
              <w:spacing w:line="276" w:lineRule="auto"/>
              <w:ind w:left="227"/>
              <w:jc w:val="left"/>
              <w:rPr>
                <w:rFonts w:eastAsia="Times New Roman"/>
                <w:sz w:val="24"/>
                <w:szCs w:val="24"/>
                <w:lang w:eastAsia="ru-RU"/>
              </w:rPr>
            </w:pPr>
            <w:r w:rsidRPr="000B1EFA">
              <w:rPr>
                <w:rFonts w:eastAsia="Times New Roman"/>
                <w:sz w:val="24"/>
                <w:szCs w:val="24"/>
                <w:lang w:eastAsia="ru-RU"/>
              </w:rPr>
              <w:t>Херсонська</w:t>
            </w:r>
          </w:p>
        </w:tc>
        <w:tc>
          <w:tcPr>
            <w:tcW w:w="0" w:type="auto"/>
            <w:vAlign w:val="center"/>
          </w:tcPr>
          <w:p w:rsidR="006B6A3E" w:rsidRPr="000B1EFA" w:rsidRDefault="006B6A3E" w:rsidP="000B1EFA">
            <w:pPr>
              <w:widowControl w:val="0"/>
              <w:spacing w:line="276" w:lineRule="auto"/>
              <w:jc w:val="center"/>
              <w:rPr>
                <w:rFonts w:eastAsia="Times New Roman"/>
                <w:sz w:val="24"/>
                <w:szCs w:val="24"/>
              </w:rPr>
            </w:pPr>
            <w:r w:rsidRPr="000B1EFA">
              <w:rPr>
                <w:rFonts w:eastAsia="Times New Roman"/>
                <w:sz w:val="24"/>
                <w:szCs w:val="24"/>
              </w:rPr>
              <w:t>196</w:t>
            </w:r>
          </w:p>
        </w:tc>
        <w:tc>
          <w:tcPr>
            <w:tcW w:w="0" w:type="auto"/>
            <w:vAlign w:val="center"/>
          </w:tcPr>
          <w:p w:rsidR="006B6A3E" w:rsidRPr="000B1EFA" w:rsidRDefault="006B6A3E" w:rsidP="000B1EFA">
            <w:pPr>
              <w:widowControl w:val="0"/>
              <w:spacing w:line="276" w:lineRule="auto"/>
              <w:jc w:val="center"/>
              <w:rPr>
                <w:rFonts w:eastAsia="Times New Roman"/>
                <w:color w:val="000000"/>
                <w:sz w:val="24"/>
                <w:szCs w:val="24"/>
              </w:rPr>
            </w:pPr>
            <w:r w:rsidRPr="000B1EFA">
              <w:rPr>
                <w:rFonts w:eastAsia="Times New Roman"/>
                <w:color w:val="000000"/>
                <w:sz w:val="24"/>
                <w:szCs w:val="24"/>
              </w:rPr>
              <w:t>9,91</w:t>
            </w:r>
          </w:p>
        </w:tc>
        <w:tc>
          <w:tcPr>
            <w:tcW w:w="0" w:type="auto"/>
            <w:vAlign w:val="center"/>
          </w:tcPr>
          <w:p w:rsidR="006B6A3E" w:rsidRPr="000B1EFA" w:rsidRDefault="006B6A3E" w:rsidP="000B1EFA">
            <w:pPr>
              <w:widowControl w:val="0"/>
              <w:spacing w:line="276" w:lineRule="auto"/>
              <w:jc w:val="center"/>
              <w:rPr>
                <w:rFonts w:eastAsia="Times New Roman"/>
                <w:color w:val="000000"/>
                <w:sz w:val="24"/>
                <w:szCs w:val="24"/>
              </w:rPr>
            </w:pPr>
            <w:r w:rsidRPr="000B1EFA">
              <w:rPr>
                <w:rFonts w:eastAsia="Times New Roman"/>
                <w:color w:val="000000"/>
                <w:sz w:val="24"/>
                <w:szCs w:val="24"/>
              </w:rPr>
              <w:t>40,74</w:t>
            </w:r>
          </w:p>
        </w:tc>
        <w:tc>
          <w:tcPr>
            <w:tcW w:w="1967" w:type="dxa"/>
            <w:vAlign w:val="center"/>
          </w:tcPr>
          <w:p w:rsidR="006B6A3E" w:rsidRPr="000B1EFA" w:rsidRDefault="006B6A3E" w:rsidP="000B1EFA">
            <w:pPr>
              <w:widowControl w:val="0"/>
              <w:spacing w:line="276" w:lineRule="auto"/>
              <w:jc w:val="center"/>
              <w:rPr>
                <w:rFonts w:eastAsia="Times New Roman"/>
                <w:color w:val="000000"/>
                <w:sz w:val="24"/>
                <w:szCs w:val="24"/>
              </w:rPr>
            </w:pPr>
            <w:r w:rsidRPr="000B1EFA">
              <w:rPr>
                <w:rFonts w:eastAsia="Times New Roman"/>
                <w:color w:val="000000"/>
                <w:sz w:val="24"/>
                <w:szCs w:val="24"/>
              </w:rPr>
              <w:t>27,03</w:t>
            </w:r>
          </w:p>
        </w:tc>
      </w:tr>
      <w:tr w:rsidR="006B6A3E" w:rsidRPr="000B1EFA" w:rsidTr="006E3A91">
        <w:trPr>
          <w:trHeight w:val="40"/>
        </w:trPr>
        <w:tc>
          <w:tcPr>
            <w:tcW w:w="0" w:type="auto"/>
            <w:shd w:val="clear" w:color="auto" w:fill="auto"/>
          </w:tcPr>
          <w:p w:rsidR="006B6A3E" w:rsidRPr="000B1EFA" w:rsidRDefault="006B6A3E" w:rsidP="000B1EFA">
            <w:pPr>
              <w:widowControl w:val="0"/>
              <w:spacing w:line="276" w:lineRule="auto"/>
              <w:ind w:left="227"/>
              <w:jc w:val="left"/>
              <w:rPr>
                <w:rFonts w:eastAsia="Times New Roman"/>
                <w:sz w:val="24"/>
                <w:szCs w:val="24"/>
                <w:lang w:eastAsia="ru-RU"/>
              </w:rPr>
            </w:pPr>
            <w:r w:rsidRPr="000B1EFA">
              <w:rPr>
                <w:rFonts w:eastAsia="Times New Roman"/>
                <w:sz w:val="24"/>
                <w:szCs w:val="24"/>
                <w:lang w:eastAsia="ru-RU"/>
              </w:rPr>
              <w:t>Хмельницька</w:t>
            </w:r>
          </w:p>
        </w:tc>
        <w:tc>
          <w:tcPr>
            <w:tcW w:w="0" w:type="auto"/>
            <w:vAlign w:val="center"/>
          </w:tcPr>
          <w:p w:rsidR="006B6A3E" w:rsidRPr="000B1EFA" w:rsidRDefault="006B6A3E" w:rsidP="000B1EFA">
            <w:pPr>
              <w:widowControl w:val="0"/>
              <w:spacing w:line="276" w:lineRule="auto"/>
              <w:jc w:val="center"/>
              <w:rPr>
                <w:rFonts w:eastAsia="Times New Roman"/>
                <w:sz w:val="24"/>
                <w:szCs w:val="24"/>
              </w:rPr>
            </w:pPr>
            <w:r w:rsidRPr="000B1EFA">
              <w:rPr>
                <w:rFonts w:eastAsia="Times New Roman"/>
                <w:sz w:val="24"/>
                <w:szCs w:val="24"/>
              </w:rPr>
              <w:t>238</w:t>
            </w:r>
          </w:p>
        </w:tc>
        <w:tc>
          <w:tcPr>
            <w:tcW w:w="0" w:type="auto"/>
            <w:vAlign w:val="center"/>
          </w:tcPr>
          <w:p w:rsidR="006B6A3E" w:rsidRPr="000B1EFA" w:rsidRDefault="006B6A3E" w:rsidP="000B1EFA">
            <w:pPr>
              <w:widowControl w:val="0"/>
              <w:spacing w:line="276" w:lineRule="auto"/>
              <w:jc w:val="center"/>
              <w:rPr>
                <w:rFonts w:eastAsia="Times New Roman"/>
                <w:color w:val="000000"/>
                <w:sz w:val="24"/>
                <w:szCs w:val="24"/>
              </w:rPr>
            </w:pPr>
            <w:r w:rsidRPr="000B1EFA">
              <w:rPr>
                <w:rFonts w:eastAsia="Times New Roman"/>
                <w:color w:val="000000"/>
                <w:sz w:val="24"/>
                <w:szCs w:val="24"/>
              </w:rPr>
              <w:t>9,98</w:t>
            </w:r>
          </w:p>
        </w:tc>
        <w:tc>
          <w:tcPr>
            <w:tcW w:w="0" w:type="auto"/>
            <w:vAlign w:val="center"/>
          </w:tcPr>
          <w:p w:rsidR="006B6A3E" w:rsidRPr="000B1EFA" w:rsidRDefault="006B6A3E" w:rsidP="000B1EFA">
            <w:pPr>
              <w:widowControl w:val="0"/>
              <w:spacing w:line="276" w:lineRule="auto"/>
              <w:jc w:val="center"/>
              <w:rPr>
                <w:rFonts w:eastAsia="Times New Roman"/>
                <w:color w:val="000000"/>
                <w:sz w:val="24"/>
                <w:szCs w:val="24"/>
              </w:rPr>
            </w:pPr>
            <w:r w:rsidRPr="000B1EFA">
              <w:rPr>
                <w:rFonts w:eastAsia="Times New Roman"/>
                <w:color w:val="000000"/>
                <w:sz w:val="24"/>
                <w:szCs w:val="24"/>
              </w:rPr>
              <w:t>42,54</w:t>
            </w:r>
          </w:p>
        </w:tc>
        <w:tc>
          <w:tcPr>
            <w:tcW w:w="1967" w:type="dxa"/>
            <w:vAlign w:val="center"/>
          </w:tcPr>
          <w:p w:rsidR="006B6A3E" w:rsidRPr="000B1EFA" w:rsidRDefault="006B6A3E" w:rsidP="000B1EFA">
            <w:pPr>
              <w:widowControl w:val="0"/>
              <w:spacing w:line="276" w:lineRule="auto"/>
              <w:jc w:val="center"/>
              <w:rPr>
                <w:rFonts w:eastAsia="Times New Roman"/>
                <w:color w:val="000000"/>
                <w:sz w:val="24"/>
                <w:szCs w:val="24"/>
              </w:rPr>
            </w:pPr>
            <w:r w:rsidRPr="000B1EFA">
              <w:rPr>
                <w:rFonts w:eastAsia="Times New Roman"/>
                <w:color w:val="000000"/>
                <w:sz w:val="24"/>
                <w:szCs w:val="24"/>
              </w:rPr>
              <w:t>23,42</w:t>
            </w:r>
          </w:p>
        </w:tc>
      </w:tr>
      <w:tr w:rsidR="006B6A3E" w:rsidRPr="000B1EFA" w:rsidTr="006E3A91">
        <w:trPr>
          <w:trHeight w:val="40"/>
        </w:trPr>
        <w:tc>
          <w:tcPr>
            <w:tcW w:w="0" w:type="auto"/>
            <w:shd w:val="clear" w:color="auto" w:fill="auto"/>
          </w:tcPr>
          <w:p w:rsidR="006B6A3E" w:rsidRPr="000B1EFA" w:rsidRDefault="006B6A3E" w:rsidP="000B1EFA">
            <w:pPr>
              <w:widowControl w:val="0"/>
              <w:spacing w:line="276" w:lineRule="auto"/>
              <w:ind w:left="227"/>
              <w:jc w:val="left"/>
              <w:rPr>
                <w:rFonts w:eastAsia="Times New Roman"/>
                <w:sz w:val="24"/>
                <w:szCs w:val="24"/>
                <w:lang w:eastAsia="ru-RU"/>
              </w:rPr>
            </w:pPr>
            <w:r w:rsidRPr="000B1EFA">
              <w:rPr>
                <w:rFonts w:eastAsia="Times New Roman"/>
                <w:sz w:val="24"/>
                <w:szCs w:val="24"/>
                <w:lang w:eastAsia="ru-RU"/>
              </w:rPr>
              <w:t>Черкаська</w:t>
            </w:r>
          </w:p>
        </w:tc>
        <w:tc>
          <w:tcPr>
            <w:tcW w:w="0" w:type="auto"/>
            <w:vAlign w:val="center"/>
          </w:tcPr>
          <w:p w:rsidR="006B6A3E" w:rsidRPr="000B1EFA" w:rsidRDefault="006B6A3E" w:rsidP="000B1EFA">
            <w:pPr>
              <w:widowControl w:val="0"/>
              <w:spacing w:line="276" w:lineRule="auto"/>
              <w:jc w:val="center"/>
              <w:rPr>
                <w:rFonts w:eastAsia="Times New Roman"/>
                <w:sz w:val="24"/>
                <w:szCs w:val="24"/>
              </w:rPr>
            </w:pPr>
            <w:r w:rsidRPr="000B1EFA">
              <w:rPr>
                <w:rFonts w:eastAsia="Times New Roman"/>
                <w:sz w:val="24"/>
                <w:szCs w:val="24"/>
              </w:rPr>
              <w:t>190</w:t>
            </w:r>
          </w:p>
        </w:tc>
        <w:tc>
          <w:tcPr>
            <w:tcW w:w="0" w:type="auto"/>
            <w:vAlign w:val="center"/>
          </w:tcPr>
          <w:p w:rsidR="006B6A3E" w:rsidRPr="000B1EFA" w:rsidRDefault="006B6A3E" w:rsidP="000B1EFA">
            <w:pPr>
              <w:widowControl w:val="0"/>
              <w:spacing w:line="276" w:lineRule="auto"/>
              <w:jc w:val="center"/>
              <w:rPr>
                <w:rFonts w:eastAsia="Times New Roman"/>
                <w:color w:val="000000"/>
                <w:sz w:val="24"/>
                <w:szCs w:val="24"/>
              </w:rPr>
            </w:pPr>
            <w:r w:rsidRPr="000B1EFA">
              <w:rPr>
                <w:rFonts w:eastAsia="Times New Roman"/>
                <w:color w:val="000000"/>
                <w:sz w:val="24"/>
                <w:szCs w:val="24"/>
              </w:rPr>
              <w:t>9,36</w:t>
            </w:r>
          </w:p>
        </w:tc>
        <w:tc>
          <w:tcPr>
            <w:tcW w:w="0" w:type="auto"/>
            <w:vAlign w:val="center"/>
          </w:tcPr>
          <w:p w:rsidR="006B6A3E" w:rsidRPr="000B1EFA" w:rsidRDefault="006B6A3E" w:rsidP="000B1EFA">
            <w:pPr>
              <w:widowControl w:val="0"/>
              <w:spacing w:line="276" w:lineRule="auto"/>
              <w:jc w:val="center"/>
              <w:rPr>
                <w:rFonts w:eastAsia="Times New Roman"/>
                <w:color w:val="000000"/>
                <w:sz w:val="24"/>
                <w:szCs w:val="24"/>
              </w:rPr>
            </w:pPr>
            <w:r w:rsidRPr="000B1EFA">
              <w:rPr>
                <w:rFonts w:eastAsia="Times New Roman"/>
                <w:color w:val="000000"/>
                <w:sz w:val="24"/>
                <w:szCs w:val="24"/>
              </w:rPr>
              <w:t>28,50</w:t>
            </w:r>
          </w:p>
        </w:tc>
        <w:tc>
          <w:tcPr>
            <w:tcW w:w="1967" w:type="dxa"/>
            <w:vAlign w:val="center"/>
          </w:tcPr>
          <w:p w:rsidR="006B6A3E" w:rsidRPr="000B1EFA" w:rsidRDefault="006B6A3E" w:rsidP="000B1EFA">
            <w:pPr>
              <w:widowControl w:val="0"/>
              <w:spacing w:line="276" w:lineRule="auto"/>
              <w:jc w:val="center"/>
              <w:rPr>
                <w:rFonts w:eastAsia="Times New Roman"/>
                <w:color w:val="000000"/>
                <w:sz w:val="24"/>
                <w:szCs w:val="24"/>
              </w:rPr>
            </w:pPr>
            <w:r w:rsidRPr="000B1EFA">
              <w:rPr>
                <w:rFonts w:eastAsia="Times New Roman"/>
                <w:color w:val="000000"/>
                <w:sz w:val="24"/>
                <w:szCs w:val="24"/>
              </w:rPr>
              <w:t>13,86</w:t>
            </w:r>
          </w:p>
        </w:tc>
      </w:tr>
      <w:tr w:rsidR="006B6A3E" w:rsidRPr="000B1EFA" w:rsidTr="006E3A91">
        <w:trPr>
          <w:trHeight w:val="40"/>
        </w:trPr>
        <w:tc>
          <w:tcPr>
            <w:tcW w:w="0" w:type="auto"/>
            <w:shd w:val="clear" w:color="auto" w:fill="auto"/>
          </w:tcPr>
          <w:p w:rsidR="006B6A3E" w:rsidRPr="000B1EFA" w:rsidRDefault="006B6A3E" w:rsidP="000B1EFA">
            <w:pPr>
              <w:widowControl w:val="0"/>
              <w:spacing w:line="276" w:lineRule="auto"/>
              <w:ind w:left="227"/>
              <w:jc w:val="left"/>
              <w:rPr>
                <w:rFonts w:eastAsia="Times New Roman"/>
                <w:sz w:val="24"/>
                <w:szCs w:val="24"/>
                <w:lang w:eastAsia="ru-RU"/>
              </w:rPr>
            </w:pPr>
            <w:r w:rsidRPr="000B1EFA">
              <w:rPr>
                <w:rFonts w:eastAsia="Times New Roman"/>
                <w:sz w:val="24"/>
                <w:szCs w:val="24"/>
                <w:lang w:eastAsia="ru-RU"/>
              </w:rPr>
              <w:t>Чернівецька</w:t>
            </w:r>
          </w:p>
        </w:tc>
        <w:tc>
          <w:tcPr>
            <w:tcW w:w="0" w:type="auto"/>
            <w:vAlign w:val="center"/>
          </w:tcPr>
          <w:p w:rsidR="006B6A3E" w:rsidRPr="000B1EFA" w:rsidRDefault="006B6A3E" w:rsidP="000B1EFA">
            <w:pPr>
              <w:widowControl w:val="0"/>
              <w:spacing w:line="276" w:lineRule="auto"/>
              <w:jc w:val="center"/>
              <w:rPr>
                <w:rFonts w:eastAsia="Times New Roman"/>
                <w:sz w:val="24"/>
                <w:szCs w:val="24"/>
              </w:rPr>
            </w:pPr>
            <w:r w:rsidRPr="000B1EFA">
              <w:rPr>
                <w:rFonts w:eastAsia="Times New Roman"/>
                <w:sz w:val="24"/>
                <w:szCs w:val="24"/>
              </w:rPr>
              <w:t>276</w:t>
            </w:r>
          </w:p>
        </w:tc>
        <w:tc>
          <w:tcPr>
            <w:tcW w:w="0" w:type="auto"/>
            <w:vAlign w:val="center"/>
          </w:tcPr>
          <w:p w:rsidR="006B6A3E" w:rsidRPr="000B1EFA" w:rsidRDefault="006B6A3E" w:rsidP="000B1EFA">
            <w:pPr>
              <w:widowControl w:val="0"/>
              <w:spacing w:line="276" w:lineRule="auto"/>
              <w:jc w:val="center"/>
              <w:rPr>
                <w:rFonts w:eastAsia="Times New Roman"/>
                <w:color w:val="000000"/>
                <w:sz w:val="24"/>
                <w:szCs w:val="24"/>
              </w:rPr>
            </w:pPr>
            <w:r w:rsidRPr="000B1EFA">
              <w:rPr>
                <w:rFonts w:eastAsia="Times New Roman"/>
                <w:color w:val="000000"/>
                <w:sz w:val="24"/>
                <w:szCs w:val="24"/>
              </w:rPr>
              <w:t>14,96</w:t>
            </w:r>
          </w:p>
        </w:tc>
        <w:tc>
          <w:tcPr>
            <w:tcW w:w="0" w:type="auto"/>
            <w:vAlign w:val="center"/>
          </w:tcPr>
          <w:p w:rsidR="006B6A3E" w:rsidRPr="000B1EFA" w:rsidRDefault="006B6A3E" w:rsidP="000B1EFA">
            <w:pPr>
              <w:widowControl w:val="0"/>
              <w:spacing w:line="276" w:lineRule="auto"/>
              <w:jc w:val="center"/>
              <w:rPr>
                <w:rFonts w:eastAsia="Times New Roman"/>
                <w:color w:val="000000"/>
                <w:sz w:val="24"/>
                <w:szCs w:val="24"/>
              </w:rPr>
            </w:pPr>
            <w:r w:rsidRPr="000B1EFA">
              <w:rPr>
                <w:rFonts w:eastAsia="Times New Roman"/>
                <w:color w:val="000000"/>
                <w:sz w:val="24"/>
                <w:szCs w:val="24"/>
              </w:rPr>
              <w:t>39,60</w:t>
            </w:r>
          </w:p>
        </w:tc>
        <w:tc>
          <w:tcPr>
            <w:tcW w:w="1967" w:type="dxa"/>
            <w:vAlign w:val="center"/>
          </w:tcPr>
          <w:p w:rsidR="006B6A3E" w:rsidRPr="000B1EFA" w:rsidRDefault="006B6A3E" w:rsidP="000B1EFA">
            <w:pPr>
              <w:widowControl w:val="0"/>
              <w:spacing w:line="276" w:lineRule="auto"/>
              <w:jc w:val="center"/>
              <w:rPr>
                <w:rFonts w:eastAsia="Times New Roman"/>
                <w:color w:val="000000"/>
                <w:sz w:val="24"/>
                <w:szCs w:val="24"/>
              </w:rPr>
            </w:pPr>
            <w:r w:rsidRPr="000B1EFA">
              <w:rPr>
                <w:rFonts w:eastAsia="Times New Roman"/>
                <w:color w:val="000000"/>
                <w:sz w:val="24"/>
                <w:szCs w:val="24"/>
              </w:rPr>
              <w:t>34,66</w:t>
            </w:r>
          </w:p>
        </w:tc>
      </w:tr>
      <w:tr w:rsidR="006B6A3E" w:rsidRPr="000B1EFA" w:rsidTr="006E3A91">
        <w:trPr>
          <w:trHeight w:val="40"/>
        </w:trPr>
        <w:tc>
          <w:tcPr>
            <w:tcW w:w="0" w:type="auto"/>
            <w:shd w:val="clear" w:color="auto" w:fill="auto"/>
          </w:tcPr>
          <w:p w:rsidR="006B6A3E" w:rsidRPr="000B1EFA" w:rsidRDefault="006B6A3E" w:rsidP="000B1EFA">
            <w:pPr>
              <w:widowControl w:val="0"/>
              <w:spacing w:line="276" w:lineRule="auto"/>
              <w:ind w:left="227"/>
              <w:jc w:val="left"/>
              <w:rPr>
                <w:rFonts w:eastAsia="Times New Roman"/>
                <w:sz w:val="24"/>
                <w:szCs w:val="24"/>
                <w:lang w:eastAsia="ru-RU"/>
              </w:rPr>
            </w:pPr>
            <w:r w:rsidRPr="000B1EFA">
              <w:rPr>
                <w:rFonts w:eastAsia="Times New Roman"/>
                <w:sz w:val="24"/>
                <w:szCs w:val="24"/>
                <w:lang w:eastAsia="ru-RU"/>
              </w:rPr>
              <w:t>Чернігівська</w:t>
            </w:r>
          </w:p>
        </w:tc>
        <w:tc>
          <w:tcPr>
            <w:tcW w:w="0" w:type="auto"/>
            <w:vAlign w:val="center"/>
          </w:tcPr>
          <w:p w:rsidR="006B6A3E" w:rsidRPr="000B1EFA" w:rsidRDefault="006B6A3E" w:rsidP="000B1EFA">
            <w:pPr>
              <w:widowControl w:val="0"/>
              <w:spacing w:line="276" w:lineRule="auto"/>
              <w:jc w:val="center"/>
              <w:rPr>
                <w:rFonts w:eastAsia="Times New Roman"/>
                <w:sz w:val="24"/>
                <w:szCs w:val="24"/>
              </w:rPr>
            </w:pPr>
            <w:r w:rsidRPr="000B1EFA">
              <w:rPr>
                <w:rFonts w:eastAsia="Times New Roman"/>
                <w:sz w:val="24"/>
                <w:szCs w:val="24"/>
              </w:rPr>
              <w:t>220</w:t>
            </w:r>
          </w:p>
        </w:tc>
        <w:tc>
          <w:tcPr>
            <w:tcW w:w="0" w:type="auto"/>
            <w:vAlign w:val="center"/>
          </w:tcPr>
          <w:p w:rsidR="006B6A3E" w:rsidRPr="000B1EFA" w:rsidRDefault="006B6A3E" w:rsidP="000B1EFA">
            <w:pPr>
              <w:widowControl w:val="0"/>
              <w:spacing w:line="276" w:lineRule="auto"/>
              <w:jc w:val="center"/>
              <w:rPr>
                <w:rFonts w:eastAsia="Times New Roman"/>
                <w:color w:val="000000"/>
                <w:sz w:val="24"/>
                <w:szCs w:val="24"/>
              </w:rPr>
            </w:pPr>
            <w:r w:rsidRPr="000B1EFA">
              <w:rPr>
                <w:rFonts w:eastAsia="Times New Roman"/>
                <w:color w:val="000000"/>
                <w:sz w:val="24"/>
                <w:szCs w:val="24"/>
              </w:rPr>
              <w:t>13,37</w:t>
            </w:r>
          </w:p>
        </w:tc>
        <w:tc>
          <w:tcPr>
            <w:tcW w:w="0" w:type="auto"/>
            <w:vAlign w:val="center"/>
          </w:tcPr>
          <w:p w:rsidR="006B6A3E" w:rsidRPr="000B1EFA" w:rsidRDefault="006B6A3E" w:rsidP="000B1EFA">
            <w:pPr>
              <w:widowControl w:val="0"/>
              <w:spacing w:line="276" w:lineRule="auto"/>
              <w:jc w:val="center"/>
              <w:rPr>
                <w:rFonts w:eastAsia="Times New Roman"/>
                <w:color w:val="000000"/>
                <w:sz w:val="24"/>
                <w:szCs w:val="24"/>
              </w:rPr>
            </w:pPr>
            <w:r w:rsidRPr="000B1EFA">
              <w:rPr>
                <w:rFonts w:eastAsia="Times New Roman"/>
                <w:color w:val="000000"/>
                <w:sz w:val="24"/>
                <w:szCs w:val="24"/>
              </w:rPr>
              <w:t>48,79</w:t>
            </w:r>
          </w:p>
        </w:tc>
        <w:tc>
          <w:tcPr>
            <w:tcW w:w="1967" w:type="dxa"/>
            <w:vAlign w:val="center"/>
          </w:tcPr>
          <w:p w:rsidR="006B6A3E" w:rsidRPr="000B1EFA" w:rsidRDefault="006B6A3E" w:rsidP="000B1EFA">
            <w:pPr>
              <w:widowControl w:val="0"/>
              <w:spacing w:line="276" w:lineRule="auto"/>
              <w:jc w:val="center"/>
              <w:rPr>
                <w:rFonts w:eastAsia="Times New Roman"/>
                <w:color w:val="000000"/>
                <w:sz w:val="24"/>
                <w:szCs w:val="24"/>
              </w:rPr>
            </w:pPr>
            <w:r w:rsidRPr="000B1EFA">
              <w:rPr>
                <w:rFonts w:eastAsia="Times New Roman"/>
                <w:color w:val="000000"/>
                <w:sz w:val="24"/>
                <w:szCs w:val="24"/>
              </w:rPr>
              <w:t>30,94</w:t>
            </w:r>
          </w:p>
        </w:tc>
      </w:tr>
      <w:tr w:rsidR="006B6A3E" w:rsidRPr="000B1EFA" w:rsidTr="006E3A91">
        <w:trPr>
          <w:trHeight w:val="40"/>
        </w:trPr>
        <w:tc>
          <w:tcPr>
            <w:tcW w:w="0" w:type="auto"/>
            <w:shd w:val="clear" w:color="auto" w:fill="auto"/>
          </w:tcPr>
          <w:p w:rsidR="006B6A3E" w:rsidRPr="000B1EFA" w:rsidRDefault="006B6A3E" w:rsidP="000B1EFA">
            <w:pPr>
              <w:widowControl w:val="0"/>
              <w:spacing w:line="276" w:lineRule="auto"/>
              <w:jc w:val="left"/>
              <w:rPr>
                <w:rFonts w:eastAsia="Times New Roman"/>
                <w:sz w:val="24"/>
                <w:szCs w:val="24"/>
                <w:lang w:eastAsia="ru-RU"/>
              </w:rPr>
            </w:pPr>
            <w:r w:rsidRPr="000B1EFA">
              <w:rPr>
                <w:rFonts w:eastAsia="Times New Roman"/>
                <w:sz w:val="24"/>
                <w:szCs w:val="24"/>
                <w:lang w:eastAsia="ru-RU"/>
              </w:rPr>
              <w:t>м. Київ</w:t>
            </w:r>
          </w:p>
        </w:tc>
        <w:tc>
          <w:tcPr>
            <w:tcW w:w="0" w:type="auto"/>
            <w:vAlign w:val="center"/>
          </w:tcPr>
          <w:p w:rsidR="006B6A3E" w:rsidRPr="000B1EFA" w:rsidRDefault="006B6A3E" w:rsidP="000B1EFA">
            <w:pPr>
              <w:widowControl w:val="0"/>
              <w:spacing w:line="276" w:lineRule="auto"/>
              <w:jc w:val="center"/>
              <w:rPr>
                <w:rFonts w:eastAsia="Times New Roman"/>
                <w:sz w:val="24"/>
                <w:szCs w:val="24"/>
              </w:rPr>
            </w:pPr>
            <w:r w:rsidRPr="000B1EFA">
              <w:rPr>
                <w:rFonts w:eastAsia="Times New Roman"/>
                <w:sz w:val="24"/>
                <w:szCs w:val="24"/>
              </w:rPr>
              <w:t>481</w:t>
            </w:r>
          </w:p>
        </w:tc>
        <w:tc>
          <w:tcPr>
            <w:tcW w:w="0" w:type="auto"/>
            <w:vAlign w:val="center"/>
          </w:tcPr>
          <w:p w:rsidR="006B6A3E" w:rsidRPr="000B1EFA" w:rsidRDefault="006B6A3E" w:rsidP="000B1EFA">
            <w:pPr>
              <w:widowControl w:val="0"/>
              <w:spacing w:line="276" w:lineRule="auto"/>
              <w:jc w:val="center"/>
              <w:rPr>
                <w:rFonts w:eastAsia="Times New Roman"/>
                <w:color w:val="000000"/>
                <w:sz w:val="24"/>
                <w:szCs w:val="24"/>
              </w:rPr>
            </w:pPr>
            <w:r w:rsidRPr="000B1EFA">
              <w:rPr>
                <w:rFonts w:eastAsia="Times New Roman"/>
                <w:color w:val="000000"/>
                <w:sz w:val="24"/>
                <w:szCs w:val="24"/>
              </w:rPr>
              <w:t>9,16</w:t>
            </w:r>
          </w:p>
        </w:tc>
        <w:tc>
          <w:tcPr>
            <w:tcW w:w="0" w:type="auto"/>
            <w:vAlign w:val="center"/>
          </w:tcPr>
          <w:p w:rsidR="006B6A3E" w:rsidRPr="000B1EFA" w:rsidRDefault="006B6A3E" w:rsidP="000B1EFA">
            <w:pPr>
              <w:widowControl w:val="0"/>
              <w:spacing w:line="276" w:lineRule="auto"/>
              <w:jc w:val="center"/>
              <w:rPr>
                <w:rFonts w:eastAsia="Times New Roman"/>
                <w:color w:val="000000"/>
                <w:sz w:val="24"/>
                <w:szCs w:val="24"/>
              </w:rPr>
            </w:pPr>
            <w:r w:rsidRPr="000B1EFA">
              <w:rPr>
                <w:rFonts w:eastAsia="Times New Roman"/>
                <w:color w:val="000000"/>
                <w:sz w:val="24"/>
                <w:szCs w:val="24"/>
              </w:rPr>
              <w:t>42,05</w:t>
            </w:r>
          </w:p>
        </w:tc>
        <w:tc>
          <w:tcPr>
            <w:tcW w:w="1967" w:type="dxa"/>
            <w:vAlign w:val="center"/>
          </w:tcPr>
          <w:p w:rsidR="006B6A3E" w:rsidRPr="000B1EFA" w:rsidRDefault="006B6A3E" w:rsidP="000B1EFA">
            <w:pPr>
              <w:widowControl w:val="0"/>
              <w:spacing w:line="276" w:lineRule="auto"/>
              <w:jc w:val="center"/>
              <w:rPr>
                <w:rFonts w:eastAsia="Times New Roman"/>
                <w:color w:val="000000"/>
                <w:sz w:val="24"/>
                <w:szCs w:val="24"/>
              </w:rPr>
            </w:pPr>
            <w:r w:rsidRPr="000B1EFA">
              <w:rPr>
                <w:rFonts w:eastAsia="Times New Roman"/>
                <w:color w:val="000000"/>
                <w:sz w:val="24"/>
                <w:szCs w:val="24"/>
              </w:rPr>
              <w:t>17,85</w:t>
            </w:r>
          </w:p>
        </w:tc>
      </w:tr>
    </w:tbl>
    <w:p w:rsidR="006B6A3E" w:rsidRPr="006B6A3E" w:rsidRDefault="006B6A3E" w:rsidP="006B6A3E">
      <w:pPr>
        <w:rPr>
          <w:rFonts w:eastAsia="Times New Roman"/>
          <w:szCs w:val="28"/>
          <w:lang w:eastAsia="ru-RU"/>
        </w:rPr>
      </w:pPr>
    </w:p>
    <w:p w:rsidR="006B6A3E" w:rsidRPr="006B6A3E" w:rsidRDefault="006B6A3E" w:rsidP="006B6A3E">
      <w:pPr>
        <w:tabs>
          <w:tab w:val="left" w:pos="8900"/>
        </w:tabs>
        <w:spacing w:after="200"/>
        <w:jc w:val="left"/>
        <w:rPr>
          <w:rFonts w:eastAsia="Calibri"/>
          <w:b/>
          <w:szCs w:val="28"/>
        </w:rPr>
      </w:pPr>
      <w:r w:rsidRPr="006B6A3E">
        <w:rPr>
          <w:rFonts w:eastAsia="Calibri"/>
          <w:b/>
          <w:szCs w:val="28"/>
        </w:rPr>
        <w:tab/>
      </w:r>
    </w:p>
    <w:p w:rsidR="006B6A3E" w:rsidRPr="006B6A3E" w:rsidRDefault="006B6A3E" w:rsidP="006B6A3E">
      <w:pPr>
        <w:tabs>
          <w:tab w:val="left" w:pos="8900"/>
        </w:tabs>
        <w:spacing w:after="200"/>
        <w:jc w:val="left"/>
        <w:rPr>
          <w:rFonts w:eastAsia="Calibri"/>
          <w:b/>
          <w:szCs w:val="28"/>
        </w:rPr>
      </w:pPr>
    </w:p>
    <w:p w:rsidR="006B6A3E" w:rsidRPr="000B1EFA" w:rsidRDefault="006B6A3E" w:rsidP="006B6A3E">
      <w:pPr>
        <w:tabs>
          <w:tab w:val="left" w:pos="8900"/>
        </w:tabs>
        <w:spacing w:after="200"/>
        <w:jc w:val="left"/>
        <w:rPr>
          <w:rFonts w:eastAsia="Calibri"/>
          <w:b/>
          <w:szCs w:val="28"/>
          <w:lang w:val="ru-RU"/>
        </w:rPr>
      </w:pPr>
    </w:p>
    <w:p w:rsidR="006B6A3E" w:rsidRPr="006B6A3E" w:rsidRDefault="006B6A3E" w:rsidP="00D13BF8">
      <w:pPr>
        <w:pageBreakBefore/>
        <w:tabs>
          <w:tab w:val="left" w:pos="8900"/>
        </w:tabs>
        <w:spacing w:after="200"/>
        <w:jc w:val="left"/>
        <w:rPr>
          <w:rFonts w:eastAsia="Calibri"/>
          <w:szCs w:val="28"/>
        </w:rPr>
      </w:pPr>
      <w:r w:rsidRPr="006B6A3E">
        <w:rPr>
          <w:rFonts w:eastAsia="Calibri"/>
          <w:szCs w:val="28"/>
        </w:rPr>
        <w:lastRenderedPageBreak/>
        <w:t xml:space="preserve">                                                                                                   </w:t>
      </w:r>
      <w:r w:rsidR="005627AD">
        <w:rPr>
          <w:rFonts w:eastAsia="Calibri"/>
          <w:szCs w:val="28"/>
        </w:rPr>
        <w:t xml:space="preserve">                   </w:t>
      </w:r>
      <w:r w:rsidR="000B1EFA">
        <w:rPr>
          <w:rFonts w:eastAsia="Calibri"/>
          <w:szCs w:val="28"/>
          <w:lang w:val="ru-RU"/>
        </w:rPr>
        <w:t xml:space="preserve">      </w:t>
      </w:r>
      <w:r w:rsidR="005627AD">
        <w:rPr>
          <w:rFonts w:eastAsia="Calibri"/>
          <w:szCs w:val="28"/>
        </w:rPr>
        <w:t xml:space="preserve">    Додаток Г</w:t>
      </w:r>
      <w:r w:rsidRPr="006B6A3E">
        <w:rPr>
          <w:rFonts w:eastAsia="Calibri"/>
          <w:szCs w:val="28"/>
        </w:rPr>
        <w:t>-2</w:t>
      </w:r>
    </w:p>
    <w:p w:rsidR="006B6A3E" w:rsidRPr="006B6A3E" w:rsidRDefault="006B6A3E" w:rsidP="00FC0023">
      <w:pPr>
        <w:widowControl w:val="0"/>
        <w:spacing w:before="120" w:after="120"/>
        <w:ind w:left="23" w:right="23"/>
        <w:jc w:val="center"/>
        <w:rPr>
          <w:rFonts w:eastAsia="Times New Roman"/>
          <w:b/>
          <w:szCs w:val="28"/>
          <w:lang w:eastAsia="ru-RU"/>
        </w:rPr>
      </w:pPr>
      <w:r w:rsidRPr="006B6A3E">
        <w:rPr>
          <w:rFonts w:eastAsia="Times New Roman"/>
          <w:b/>
          <w:szCs w:val="28"/>
          <w:lang w:eastAsia="ru-RU"/>
        </w:rPr>
        <w:t>Показники використання дитячого ліжкового фонду за профілями надання медичної допомоги  ( 2014, 2018 рр.)</w:t>
      </w:r>
    </w:p>
    <w:tbl>
      <w:tblPr>
        <w:tblW w:w="0" w:type="auto"/>
        <w:tblInd w:w="108" w:type="dxa"/>
        <w:tblLook w:val="01E0" w:firstRow="1" w:lastRow="1" w:firstColumn="1" w:lastColumn="1" w:noHBand="0" w:noVBand="0"/>
      </w:tblPr>
      <w:tblGrid>
        <w:gridCol w:w="2864"/>
        <w:gridCol w:w="1843"/>
        <w:gridCol w:w="1984"/>
        <w:gridCol w:w="1792"/>
        <w:gridCol w:w="1938"/>
      </w:tblGrid>
      <w:tr w:rsidR="006B6A3E" w:rsidRPr="006B6A3E" w:rsidTr="006E3A91">
        <w:trPr>
          <w:trHeight w:val="85"/>
        </w:trPr>
        <w:tc>
          <w:tcPr>
            <w:tcW w:w="2864" w:type="dxa"/>
            <w:vMerge w:val="restart"/>
            <w:tcBorders>
              <w:top w:val="single" w:sz="4" w:space="0" w:color="auto"/>
              <w:left w:val="single" w:sz="4" w:space="0" w:color="auto"/>
              <w:bottom w:val="single" w:sz="4" w:space="0" w:color="auto"/>
              <w:right w:val="single" w:sz="4" w:space="0" w:color="auto"/>
            </w:tcBorders>
            <w:hideMark/>
          </w:tcPr>
          <w:p w:rsidR="006B6A3E" w:rsidRPr="006B6A3E" w:rsidRDefault="006B6A3E" w:rsidP="006B6A3E">
            <w:pPr>
              <w:tabs>
                <w:tab w:val="left" w:pos="993"/>
              </w:tabs>
              <w:spacing w:line="288" w:lineRule="auto"/>
              <w:jc w:val="left"/>
              <w:rPr>
                <w:rFonts w:eastAsia="Calibri"/>
                <w:sz w:val="24"/>
                <w:szCs w:val="24"/>
                <w:lang w:val="ru-RU"/>
              </w:rPr>
            </w:pPr>
            <w:r w:rsidRPr="006B6A3E">
              <w:rPr>
                <w:rFonts w:eastAsia="Calibri"/>
                <w:sz w:val="24"/>
                <w:szCs w:val="24"/>
                <w:lang w:val="ru-RU"/>
              </w:rPr>
              <w:t xml:space="preserve">       Профіль ліжок</w:t>
            </w:r>
          </w:p>
        </w:tc>
        <w:tc>
          <w:tcPr>
            <w:tcW w:w="3827" w:type="dxa"/>
            <w:gridSpan w:val="2"/>
            <w:tcBorders>
              <w:top w:val="single" w:sz="4" w:space="0" w:color="auto"/>
              <w:left w:val="single" w:sz="4" w:space="0" w:color="auto"/>
              <w:bottom w:val="single" w:sz="4" w:space="0" w:color="auto"/>
              <w:right w:val="single" w:sz="4" w:space="0" w:color="auto"/>
            </w:tcBorders>
            <w:hideMark/>
          </w:tcPr>
          <w:p w:rsidR="006B6A3E" w:rsidRPr="006B6A3E" w:rsidRDefault="006B6A3E" w:rsidP="006B6A3E">
            <w:pPr>
              <w:tabs>
                <w:tab w:val="left" w:pos="993"/>
              </w:tabs>
              <w:spacing w:line="288" w:lineRule="auto"/>
              <w:jc w:val="center"/>
              <w:rPr>
                <w:rFonts w:eastAsia="Calibri"/>
                <w:sz w:val="24"/>
                <w:szCs w:val="24"/>
                <w:lang w:val="ru-RU"/>
              </w:rPr>
            </w:pPr>
            <w:r w:rsidRPr="006B6A3E">
              <w:rPr>
                <w:rFonts w:eastAsia="Times New Roman"/>
                <w:bCs/>
                <w:sz w:val="24"/>
                <w:szCs w:val="24"/>
              </w:rPr>
              <w:t>Середньорічна   зайнятість ліжка  (у днях на рік)</w:t>
            </w:r>
          </w:p>
        </w:tc>
        <w:tc>
          <w:tcPr>
            <w:tcW w:w="3730" w:type="dxa"/>
            <w:gridSpan w:val="2"/>
            <w:tcBorders>
              <w:top w:val="single" w:sz="4" w:space="0" w:color="auto"/>
              <w:left w:val="single" w:sz="4" w:space="0" w:color="auto"/>
              <w:bottom w:val="single" w:sz="4" w:space="0" w:color="auto"/>
              <w:right w:val="single" w:sz="4" w:space="0" w:color="auto"/>
            </w:tcBorders>
            <w:hideMark/>
          </w:tcPr>
          <w:p w:rsidR="006B6A3E" w:rsidRPr="006B6A3E" w:rsidRDefault="006B6A3E" w:rsidP="006B6A3E">
            <w:pPr>
              <w:tabs>
                <w:tab w:val="left" w:pos="993"/>
              </w:tabs>
              <w:spacing w:line="288" w:lineRule="auto"/>
              <w:jc w:val="center"/>
              <w:rPr>
                <w:rFonts w:eastAsia="Calibri"/>
                <w:sz w:val="24"/>
                <w:szCs w:val="24"/>
                <w:lang w:val="ru-RU"/>
              </w:rPr>
            </w:pPr>
            <w:r w:rsidRPr="006B6A3E">
              <w:rPr>
                <w:rFonts w:eastAsia="Calibri"/>
                <w:sz w:val="24"/>
                <w:szCs w:val="24"/>
                <w:lang w:val="ru-RU"/>
              </w:rPr>
              <w:t>Середнє</w:t>
            </w:r>
            <w:r w:rsidRPr="006B6A3E">
              <w:rPr>
                <w:rFonts w:eastAsia="Calibri"/>
                <w:sz w:val="24"/>
                <w:szCs w:val="24"/>
              </w:rPr>
              <w:t xml:space="preserve"> </w:t>
            </w:r>
            <w:r w:rsidRPr="006B6A3E">
              <w:rPr>
                <w:rFonts w:eastAsia="Calibri"/>
                <w:sz w:val="24"/>
                <w:szCs w:val="24"/>
                <w:lang w:val="ru-RU"/>
              </w:rPr>
              <w:t xml:space="preserve">перебування хворих </w:t>
            </w:r>
            <w:r w:rsidRPr="006B6A3E">
              <w:rPr>
                <w:rFonts w:eastAsia="Calibri"/>
                <w:sz w:val="24"/>
                <w:szCs w:val="24"/>
              </w:rPr>
              <w:t xml:space="preserve"> </w:t>
            </w:r>
            <w:r w:rsidRPr="006B6A3E">
              <w:rPr>
                <w:rFonts w:eastAsia="Calibri"/>
                <w:sz w:val="24"/>
                <w:szCs w:val="24"/>
                <w:lang w:val="ru-RU"/>
              </w:rPr>
              <w:t>на ліжку</w:t>
            </w:r>
            <w:r w:rsidRPr="006B6A3E">
              <w:rPr>
                <w:rFonts w:eastAsia="Calibri"/>
                <w:sz w:val="24"/>
                <w:szCs w:val="24"/>
              </w:rPr>
              <w:t xml:space="preserve"> (днів)</w:t>
            </w:r>
          </w:p>
        </w:tc>
      </w:tr>
      <w:tr w:rsidR="006B6A3E" w:rsidRPr="006B6A3E" w:rsidTr="006E3A91">
        <w:trPr>
          <w:trHeight w:val="70"/>
        </w:trPr>
        <w:tc>
          <w:tcPr>
            <w:tcW w:w="2864" w:type="dxa"/>
            <w:vMerge/>
            <w:tcBorders>
              <w:top w:val="single" w:sz="4" w:space="0" w:color="auto"/>
              <w:left w:val="single" w:sz="4" w:space="0" w:color="auto"/>
              <w:bottom w:val="single" w:sz="4" w:space="0" w:color="auto"/>
              <w:right w:val="single" w:sz="4" w:space="0" w:color="auto"/>
            </w:tcBorders>
            <w:hideMark/>
          </w:tcPr>
          <w:p w:rsidR="006B6A3E" w:rsidRPr="006B6A3E" w:rsidRDefault="006B6A3E" w:rsidP="006B6A3E">
            <w:pPr>
              <w:tabs>
                <w:tab w:val="left" w:pos="993"/>
              </w:tabs>
              <w:spacing w:line="288" w:lineRule="auto"/>
              <w:ind w:firstLine="709"/>
              <w:jc w:val="left"/>
              <w:rPr>
                <w:rFonts w:eastAsia="Calibri"/>
                <w:sz w:val="24"/>
                <w:szCs w:val="24"/>
                <w:lang w:val="ru-RU"/>
              </w:rPr>
            </w:pPr>
          </w:p>
        </w:tc>
        <w:tc>
          <w:tcPr>
            <w:tcW w:w="1843" w:type="dxa"/>
            <w:tcBorders>
              <w:top w:val="single" w:sz="4" w:space="0" w:color="auto"/>
              <w:left w:val="single" w:sz="4" w:space="0" w:color="auto"/>
              <w:bottom w:val="single" w:sz="4" w:space="0" w:color="auto"/>
              <w:right w:val="single" w:sz="4" w:space="0" w:color="auto"/>
            </w:tcBorders>
            <w:hideMark/>
          </w:tcPr>
          <w:p w:rsidR="006B6A3E" w:rsidRPr="006B6A3E" w:rsidRDefault="006B6A3E" w:rsidP="006B6A3E">
            <w:pPr>
              <w:tabs>
                <w:tab w:val="left" w:pos="993"/>
              </w:tabs>
              <w:spacing w:line="288" w:lineRule="auto"/>
              <w:ind w:firstLine="709"/>
              <w:jc w:val="left"/>
              <w:rPr>
                <w:rFonts w:eastAsia="Calibri"/>
                <w:sz w:val="24"/>
                <w:szCs w:val="24"/>
                <w:lang w:val="ru-RU"/>
              </w:rPr>
            </w:pPr>
            <w:r w:rsidRPr="006B6A3E">
              <w:rPr>
                <w:rFonts w:eastAsia="Calibri"/>
                <w:sz w:val="24"/>
                <w:szCs w:val="24"/>
                <w:lang w:val="ru-RU"/>
              </w:rPr>
              <w:t>2014 р.</w:t>
            </w:r>
          </w:p>
        </w:tc>
        <w:tc>
          <w:tcPr>
            <w:tcW w:w="1984" w:type="dxa"/>
            <w:tcBorders>
              <w:top w:val="single" w:sz="4" w:space="0" w:color="auto"/>
              <w:left w:val="single" w:sz="4" w:space="0" w:color="auto"/>
              <w:bottom w:val="single" w:sz="4" w:space="0" w:color="auto"/>
              <w:right w:val="single" w:sz="4" w:space="0" w:color="auto"/>
            </w:tcBorders>
            <w:hideMark/>
          </w:tcPr>
          <w:p w:rsidR="006B6A3E" w:rsidRPr="006B6A3E" w:rsidRDefault="006B6A3E" w:rsidP="006B6A3E">
            <w:pPr>
              <w:tabs>
                <w:tab w:val="left" w:pos="993"/>
              </w:tabs>
              <w:spacing w:line="288" w:lineRule="auto"/>
              <w:ind w:firstLine="709"/>
              <w:jc w:val="left"/>
              <w:rPr>
                <w:rFonts w:eastAsia="Calibri"/>
                <w:sz w:val="24"/>
                <w:szCs w:val="24"/>
                <w:lang w:val="ru-RU"/>
              </w:rPr>
            </w:pPr>
            <w:r w:rsidRPr="006B6A3E">
              <w:rPr>
                <w:rFonts w:eastAsia="Calibri"/>
                <w:sz w:val="24"/>
                <w:szCs w:val="24"/>
                <w:lang w:val="ru-RU"/>
              </w:rPr>
              <w:t>2018</w:t>
            </w:r>
            <w:r w:rsidRPr="006B6A3E">
              <w:rPr>
                <w:rFonts w:eastAsia="Calibri"/>
                <w:sz w:val="24"/>
                <w:szCs w:val="24"/>
              </w:rPr>
              <w:t xml:space="preserve"> </w:t>
            </w:r>
            <w:r w:rsidRPr="006B6A3E">
              <w:rPr>
                <w:rFonts w:eastAsia="Calibri"/>
                <w:sz w:val="24"/>
                <w:szCs w:val="24"/>
                <w:lang w:val="ru-RU"/>
              </w:rPr>
              <w:t>р.</w:t>
            </w:r>
          </w:p>
        </w:tc>
        <w:tc>
          <w:tcPr>
            <w:tcW w:w="1792" w:type="dxa"/>
            <w:tcBorders>
              <w:top w:val="single" w:sz="4" w:space="0" w:color="auto"/>
              <w:left w:val="single" w:sz="4" w:space="0" w:color="auto"/>
              <w:bottom w:val="single" w:sz="4" w:space="0" w:color="auto"/>
              <w:right w:val="single" w:sz="4" w:space="0" w:color="auto"/>
            </w:tcBorders>
          </w:tcPr>
          <w:p w:rsidR="006B6A3E" w:rsidRPr="006B6A3E" w:rsidRDefault="006B6A3E" w:rsidP="006B6A3E">
            <w:pPr>
              <w:tabs>
                <w:tab w:val="left" w:pos="993"/>
              </w:tabs>
              <w:spacing w:line="288" w:lineRule="auto"/>
              <w:ind w:firstLine="709"/>
              <w:jc w:val="left"/>
              <w:rPr>
                <w:rFonts w:eastAsia="Calibri"/>
                <w:sz w:val="24"/>
                <w:szCs w:val="24"/>
              </w:rPr>
            </w:pPr>
            <w:r w:rsidRPr="006B6A3E">
              <w:rPr>
                <w:rFonts w:eastAsia="Calibri"/>
                <w:sz w:val="24"/>
                <w:szCs w:val="24"/>
                <w:lang w:val="ru-RU"/>
              </w:rPr>
              <w:t>2014</w:t>
            </w:r>
            <w:r w:rsidRPr="006B6A3E">
              <w:rPr>
                <w:rFonts w:eastAsia="Calibri"/>
                <w:sz w:val="24"/>
                <w:szCs w:val="24"/>
              </w:rPr>
              <w:t xml:space="preserve"> р.</w:t>
            </w:r>
          </w:p>
        </w:tc>
        <w:tc>
          <w:tcPr>
            <w:tcW w:w="0" w:type="auto"/>
            <w:tcBorders>
              <w:top w:val="single" w:sz="4" w:space="0" w:color="auto"/>
              <w:left w:val="single" w:sz="4" w:space="0" w:color="auto"/>
              <w:bottom w:val="single" w:sz="4" w:space="0" w:color="auto"/>
              <w:right w:val="single" w:sz="4" w:space="0" w:color="auto"/>
            </w:tcBorders>
            <w:hideMark/>
          </w:tcPr>
          <w:p w:rsidR="006B6A3E" w:rsidRPr="006B6A3E" w:rsidRDefault="006B6A3E" w:rsidP="006B6A3E">
            <w:pPr>
              <w:tabs>
                <w:tab w:val="left" w:pos="993"/>
              </w:tabs>
              <w:spacing w:line="288" w:lineRule="auto"/>
              <w:ind w:firstLine="709"/>
              <w:jc w:val="left"/>
              <w:rPr>
                <w:rFonts w:eastAsia="Calibri"/>
                <w:sz w:val="24"/>
                <w:szCs w:val="24"/>
                <w:lang w:val="ru-RU"/>
              </w:rPr>
            </w:pPr>
            <w:r w:rsidRPr="006B6A3E">
              <w:rPr>
                <w:rFonts w:eastAsia="Calibri"/>
                <w:sz w:val="24"/>
                <w:szCs w:val="24"/>
                <w:lang w:val="ru-RU"/>
              </w:rPr>
              <w:t>2018 р.</w:t>
            </w:r>
          </w:p>
        </w:tc>
      </w:tr>
      <w:tr w:rsidR="006B6A3E" w:rsidRPr="006B6A3E" w:rsidTr="006E3A91">
        <w:trPr>
          <w:trHeight w:val="70"/>
        </w:trPr>
        <w:tc>
          <w:tcPr>
            <w:tcW w:w="2864" w:type="dxa"/>
            <w:tcBorders>
              <w:top w:val="single" w:sz="4" w:space="0" w:color="auto"/>
              <w:left w:val="single" w:sz="4" w:space="0" w:color="auto"/>
              <w:bottom w:val="single" w:sz="4" w:space="0" w:color="auto"/>
              <w:right w:val="single" w:sz="4" w:space="0" w:color="auto"/>
            </w:tcBorders>
            <w:hideMark/>
          </w:tcPr>
          <w:p w:rsidR="006B6A3E" w:rsidRPr="006B6A3E" w:rsidRDefault="006B6A3E" w:rsidP="006B6A3E">
            <w:pPr>
              <w:tabs>
                <w:tab w:val="left" w:pos="993"/>
              </w:tabs>
              <w:spacing w:line="288" w:lineRule="auto"/>
              <w:rPr>
                <w:rFonts w:eastAsia="Calibri"/>
                <w:sz w:val="24"/>
                <w:szCs w:val="24"/>
                <w:lang w:val="ru-RU"/>
              </w:rPr>
            </w:pPr>
            <w:r w:rsidRPr="006B6A3E">
              <w:rPr>
                <w:rFonts w:eastAsia="Calibri"/>
                <w:sz w:val="24"/>
                <w:szCs w:val="24"/>
                <w:lang w:val="ru-RU"/>
              </w:rPr>
              <w:t>Усі дитячі ліжка, у т.ч.:</w:t>
            </w:r>
          </w:p>
        </w:tc>
        <w:tc>
          <w:tcPr>
            <w:tcW w:w="1843" w:type="dxa"/>
            <w:tcBorders>
              <w:top w:val="single" w:sz="4" w:space="0" w:color="auto"/>
              <w:left w:val="single" w:sz="4" w:space="0" w:color="auto"/>
              <w:bottom w:val="single" w:sz="4" w:space="0" w:color="auto"/>
              <w:right w:val="single" w:sz="4" w:space="0" w:color="auto"/>
            </w:tcBorders>
          </w:tcPr>
          <w:p w:rsidR="006B6A3E" w:rsidRPr="006B6A3E" w:rsidRDefault="006B6A3E" w:rsidP="006B6A3E">
            <w:pPr>
              <w:tabs>
                <w:tab w:val="left" w:pos="993"/>
              </w:tabs>
              <w:spacing w:line="288" w:lineRule="auto"/>
              <w:ind w:firstLine="709"/>
              <w:jc w:val="left"/>
              <w:rPr>
                <w:rFonts w:eastAsia="Calibri"/>
                <w:sz w:val="24"/>
                <w:szCs w:val="24"/>
                <w:lang w:val="ru-RU"/>
              </w:rPr>
            </w:pPr>
            <w:r w:rsidRPr="006B6A3E">
              <w:rPr>
                <w:rFonts w:eastAsia="Calibri"/>
                <w:sz w:val="24"/>
                <w:szCs w:val="24"/>
                <w:lang w:val="ru-RU"/>
              </w:rPr>
              <w:t>312,36</w:t>
            </w:r>
          </w:p>
        </w:tc>
        <w:tc>
          <w:tcPr>
            <w:tcW w:w="1984" w:type="dxa"/>
            <w:tcBorders>
              <w:top w:val="single" w:sz="4" w:space="0" w:color="auto"/>
              <w:left w:val="single" w:sz="4" w:space="0" w:color="auto"/>
              <w:bottom w:val="single" w:sz="4" w:space="0" w:color="auto"/>
              <w:right w:val="single" w:sz="4" w:space="0" w:color="auto"/>
            </w:tcBorders>
          </w:tcPr>
          <w:p w:rsidR="006B6A3E" w:rsidRPr="006B6A3E" w:rsidRDefault="006B6A3E" w:rsidP="006B6A3E">
            <w:pPr>
              <w:tabs>
                <w:tab w:val="left" w:pos="993"/>
              </w:tabs>
              <w:spacing w:line="288" w:lineRule="auto"/>
              <w:ind w:firstLine="709"/>
              <w:jc w:val="left"/>
              <w:rPr>
                <w:rFonts w:eastAsia="Calibri"/>
                <w:sz w:val="24"/>
                <w:szCs w:val="24"/>
                <w:lang w:val="ru-RU"/>
              </w:rPr>
            </w:pPr>
            <w:r w:rsidRPr="006B6A3E">
              <w:rPr>
                <w:rFonts w:eastAsia="Calibri"/>
                <w:sz w:val="24"/>
                <w:szCs w:val="24"/>
                <w:lang w:val="ru-RU"/>
              </w:rPr>
              <w:t>302, 5</w:t>
            </w:r>
          </w:p>
        </w:tc>
        <w:tc>
          <w:tcPr>
            <w:tcW w:w="1792" w:type="dxa"/>
            <w:tcBorders>
              <w:top w:val="single" w:sz="4" w:space="0" w:color="auto"/>
              <w:left w:val="single" w:sz="4" w:space="0" w:color="auto"/>
              <w:bottom w:val="single" w:sz="4" w:space="0" w:color="auto"/>
              <w:right w:val="single" w:sz="4" w:space="0" w:color="auto"/>
            </w:tcBorders>
          </w:tcPr>
          <w:p w:rsidR="006B6A3E" w:rsidRPr="006B6A3E" w:rsidRDefault="006B6A3E" w:rsidP="006B6A3E">
            <w:pPr>
              <w:tabs>
                <w:tab w:val="left" w:pos="993"/>
              </w:tabs>
              <w:spacing w:line="288" w:lineRule="auto"/>
              <w:ind w:firstLine="709"/>
              <w:jc w:val="left"/>
              <w:rPr>
                <w:rFonts w:eastAsia="Calibri"/>
                <w:sz w:val="24"/>
                <w:szCs w:val="24"/>
                <w:lang w:val="ru-RU"/>
              </w:rPr>
            </w:pPr>
            <w:r w:rsidRPr="006B6A3E">
              <w:rPr>
                <w:rFonts w:eastAsia="Calibri"/>
                <w:sz w:val="24"/>
                <w:szCs w:val="24"/>
                <w:lang w:val="ru-RU"/>
              </w:rPr>
              <w:t>9,49</w:t>
            </w:r>
          </w:p>
        </w:tc>
        <w:tc>
          <w:tcPr>
            <w:tcW w:w="0" w:type="auto"/>
            <w:tcBorders>
              <w:top w:val="single" w:sz="4" w:space="0" w:color="auto"/>
              <w:left w:val="single" w:sz="4" w:space="0" w:color="auto"/>
              <w:bottom w:val="single" w:sz="4" w:space="0" w:color="auto"/>
              <w:right w:val="single" w:sz="4" w:space="0" w:color="auto"/>
            </w:tcBorders>
          </w:tcPr>
          <w:p w:rsidR="006B6A3E" w:rsidRPr="006B6A3E" w:rsidRDefault="006B6A3E" w:rsidP="006B6A3E">
            <w:pPr>
              <w:tabs>
                <w:tab w:val="left" w:pos="993"/>
              </w:tabs>
              <w:spacing w:line="288" w:lineRule="auto"/>
              <w:ind w:firstLine="709"/>
              <w:jc w:val="left"/>
              <w:rPr>
                <w:rFonts w:eastAsia="Calibri"/>
                <w:sz w:val="24"/>
                <w:szCs w:val="24"/>
                <w:lang w:val="ru-RU"/>
              </w:rPr>
            </w:pPr>
            <w:r w:rsidRPr="006B6A3E">
              <w:rPr>
                <w:rFonts w:eastAsia="Calibri"/>
                <w:sz w:val="24"/>
                <w:szCs w:val="24"/>
                <w:lang w:val="ru-RU"/>
              </w:rPr>
              <w:t>8,89</w:t>
            </w:r>
          </w:p>
        </w:tc>
      </w:tr>
      <w:tr w:rsidR="006B6A3E" w:rsidRPr="006B6A3E" w:rsidTr="006E3A91">
        <w:trPr>
          <w:trHeight w:val="128"/>
        </w:trPr>
        <w:tc>
          <w:tcPr>
            <w:tcW w:w="2864" w:type="dxa"/>
            <w:tcBorders>
              <w:top w:val="single" w:sz="4" w:space="0" w:color="auto"/>
              <w:left w:val="single" w:sz="4" w:space="0" w:color="auto"/>
              <w:bottom w:val="single" w:sz="4" w:space="0" w:color="auto"/>
              <w:right w:val="single" w:sz="4" w:space="0" w:color="auto"/>
            </w:tcBorders>
            <w:hideMark/>
          </w:tcPr>
          <w:p w:rsidR="006B6A3E" w:rsidRPr="006B6A3E" w:rsidRDefault="006B6A3E" w:rsidP="006B6A3E">
            <w:pPr>
              <w:tabs>
                <w:tab w:val="left" w:pos="993"/>
              </w:tabs>
              <w:spacing w:line="288" w:lineRule="auto"/>
              <w:rPr>
                <w:rFonts w:eastAsia="Calibri"/>
                <w:sz w:val="24"/>
                <w:szCs w:val="24"/>
                <w:lang w:val="ru-RU"/>
              </w:rPr>
            </w:pPr>
            <w:r w:rsidRPr="006B6A3E">
              <w:rPr>
                <w:rFonts w:eastAsia="Calibri"/>
                <w:sz w:val="24"/>
                <w:szCs w:val="24"/>
                <w:lang w:val="ru-RU"/>
              </w:rPr>
              <w:t>Педіатричні соматичні</w:t>
            </w:r>
          </w:p>
        </w:tc>
        <w:tc>
          <w:tcPr>
            <w:tcW w:w="1843" w:type="dxa"/>
            <w:tcBorders>
              <w:top w:val="single" w:sz="4" w:space="0" w:color="auto"/>
              <w:left w:val="single" w:sz="4" w:space="0" w:color="auto"/>
              <w:bottom w:val="single" w:sz="4" w:space="0" w:color="auto"/>
              <w:right w:val="single" w:sz="4" w:space="0" w:color="auto"/>
            </w:tcBorders>
          </w:tcPr>
          <w:p w:rsidR="006B6A3E" w:rsidRPr="006B6A3E" w:rsidRDefault="006B6A3E" w:rsidP="006B6A3E">
            <w:pPr>
              <w:tabs>
                <w:tab w:val="left" w:pos="993"/>
              </w:tabs>
              <w:spacing w:line="288" w:lineRule="auto"/>
              <w:ind w:firstLine="709"/>
              <w:jc w:val="left"/>
              <w:rPr>
                <w:rFonts w:eastAsia="Calibri"/>
                <w:sz w:val="24"/>
                <w:szCs w:val="24"/>
                <w:lang w:val="ru-RU"/>
              </w:rPr>
            </w:pPr>
            <w:r w:rsidRPr="006B6A3E">
              <w:rPr>
                <w:rFonts w:eastAsia="Calibri"/>
                <w:sz w:val="24"/>
                <w:szCs w:val="24"/>
                <w:lang w:val="ru-RU"/>
              </w:rPr>
              <w:t>311,79</w:t>
            </w:r>
          </w:p>
        </w:tc>
        <w:tc>
          <w:tcPr>
            <w:tcW w:w="1984" w:type="dxa"/>
            <w:tcBorders>
              <w:top w:val="single" w:sz="4" w:space="0" w:color="auto"/>
              <w:left w:val="single" w:sz="4" w:space="0" w:color="auto"/>
              <w:bottom w:val="single" w:sz="4" w:space="0" w:color="auto"/>
              <w:right w:val="single" w:sz="4" w:space="0" w:color="auto"/>
            </w:tcBorders>
          </w:tcPr>
          <w:p w:rsidR="006B6A3E" w:rsidRPr="006B6A3E" w:rsidRDefault="006B6A3E" w:rsidP="006B6A3E">
            <w:pPr>
              <w:tabs>
                <w:tab w:val="left" w:pos="993"/>
              </w:tabs>
              <w:spacing w:line="288" w:lineRule="auto"/>
              <w:ind w:firstLine="709"/>
              <w:jc w:val="left"/>
              <w:rPr>
                <w:rFonts w:eastAsia="Calibri"/>
                <w:sz w:val="24"/>
                <w:szCs w:val="24"/>
                <w:lang w:val="ru-RU"/>
              </w:rPr>
            </w:pPr>
            <w:r w:rsidRPr="006B6A3E">
              <w:rPr>
                <w:rFonts w:eastAsia="Calibri"/>
                <w:sz w:val="24"/>
                <w:szCs w:val="24"/>
                <w:lang w:val="ru-RU"/>
              </w:rPr>
              <w:t>296,44</w:t>
            </w:r>
          </w:p>
        </w:tc>
        <w:tc>
          <w:tcPr>
            <w:tcW w:w="1792" w:type="dxa"/>
            <w:tcBorders>
              <w:top w:val="single" w:sz="4" w:space="0" w:color="auto"/>
              <w:left w:val="single" w:sz="4" w:space="0" w:color="auto"/>
              <w:bottom w:val="single" w:sz="4" w:space="0" w:color="auto"/>
              <w:right w:val="single" w:sz="4" w:space="0" w:color="auto"/>
            </w:tcBorders>
          </w:tcPr>
          <w:p w:rsidR="006B6A3E" w:rsidRPr="006B6A3E" w:rsidRDefault="006B6A3E" w:rsidP="006B6A3E">
            <w:pPr>
              <w:tabs>
                <w:tab w:val="left" w:pos="993"/>
              </w:tabs>
              <w:spacing w:line="288" w:lineRule="auto"/>
              <w:ind w:firstLine="709"/>
              <w:jc w:val="left"/>
              <w:rPr>
                <w:rFonts w:eastAsia="Calibri"/>
                <w:sz w:val="24"/>
                <w:szCs w:val="24"/>
                <w:lang w:val="ru-RU"/>
              </w:rPr>
            </w:pPr>
            <w:r w:rsidRPr="006B6A3E">
              <w:rPr>
                <w:rFonts w:eastAsia="Calibri"/>
                <w:sz w:val="24"/>
                <w:szCs w:val="24"/>
                <w:lang w:val="ru-RU"/>
              </w:rPr>
              <w:t>9,65</w:t>
            </w:r>
          </w:p>
        </w:tc>
        <w:tc>
          <w:tcPr>
            <w:tcW w:w="0" w:type="auto"/>
            <w:tcBorders>
              <w:top w:val="single" w:sz="4" w:space="0" w:color="auto"/>
              <w:left w:val="single" w:sz="4" w:space="0" w:color="auto"/>
              <w:bottom w:val="single" w:sz="4" w:space="0" w:color="auto"/>
              <w:right w:val="single" w:sz="4" w:space="0" w:color="auto"/>
            </w:tcBorders>
          </w:tcPr>
          <w:p w:rsidR="006B6A3E" w:rsidRPr="006B6A3E" w:rsidRDefault="006B6A3E" w:rsidP="006B6A3E">
            <w:pPr>
              <w:tabs>
                <w:tab w:val="left" w:pos="993"/>
              </w:tabs>
              <w:spacing w:line="288" w:lineRule="auto"/>
              <w:ind w:firstLine="709"/>
              <w:jc w:val="left"/>
              <w:rPr>
                <w:rFonts w:eastAsia="Calibri"/>
                <w:sz w:val="24"/>
                <w:szCs w:val="24"/>
                <w:lang w:val="ru-RU"/>
              </w:rPr>
            </w:pPr>
            <w:r w:rsidRPr="006B6A3E">
              <w:rPr>
                <w:rFonts w:eastAsia="Calibri"/>
                <w:sz w:val="24"/>
                <w:szCs w:val="24"/>
                <w:lang w:val="ru-RU"/>
              </w:rPr>
              <w:t>8,91</w:t>
            </w:r>
          </w:p>
        </w:tc>
      </w:tr>
      <w:tr w:rsidR="006B6A3E" w:rsidRPr="006B6A3E" w:rsidTr="006E3A91">
        <w:trPr>
          <w:trHeight w:val="193"/>
        </w:trPr>
        <w:tc>
          <w:tcPr>
            <w:tcW w:w="2864" w:type="dxa"/>
            <w:tcBorders>
              <w:top w:val="single" w:sz="4" w:space="0" w:color="auto"/>
              <w:left w:val="single" w:sz="4" w:space="0" w:color="auto"/>
              <w:bottom w:val="single" w:sz="4" w:space="0" w:color="auto"/>
              <w:right w:val="single" w:sz="4" w:space="0" w:color="auto"/>
            </w:tcBorders>
            <w:hideMark/>
          </w:tcPr>
          <w:p w:rsidR="006B6A3E" w:rsidRPr="006B6A3E" w:rsidRDefault="006B6A3E" w:rsidP="006B6A3E">
            <w:pPr>
              <w:tabs>
                <w:tab w:val="left" w:pos="993"/>
              </w:tabs>
              <w:spacing w:line="288" w:lineRule="auto"/>
              <w:rPr>
                <w:rFonts w:eastAsia="Calibri"/>
                <w:sz w:val="24"/>
                <w:szCs w:val="24"/>
                <w:lang w:val="ru-RU"/>
              </w:rPr>
            </w:pPr>
            <w:r w:rsidRPr="006B6A3E">
              <w:rPr>
                <w:rFonts w:eastAsia="Calibri"/>
                <w:sz w:val="24"/>
                <w:szCs w:val="24"/>
                <w:lang w:val="ru-RU"/>
              </w:rPr>
              <w:t>кардіоревматологічні</w:t>
            </w:r>
          </w:p>
        </w:tc>
        <w:tc>
          <w:tcPr>
            <w:tcW w:w="1843" w:type="dxa"/>
            <w:tcBorders>
              <w:top w:val="single" w:sz="4" w:space="0" w:color="auto"/>
              <w:left w:val="single" w:sz="4" w:space="0" w:color="auto"/>
              <w:bottom w:val="single" w:sz="4" w:space="0" w:color="auto"/>
              <w:right w:val="single" w:sz="4" w:space="0" w:color="auto"/>
            </w:tcBorders>
          </w:tcPr>
          <w:p w:rsidR="006B6A3E" w:rsidRPr="006B6A3E" w:rsidRDefault="006B6A3E" w:rsidP="006B6A3E">
            <w:pPr>
              <w:tabs>
                <w:tab w:val="left" w:pos="993"/>
              </w:tabs>
              <w:spacing w:line="288" w:lineRule="auto"/>
              <w:ind w:firstLine="709"/>
              <w:jc w:val="left"/>
              <w:rPr>
                <w:rFonts w:eastAsia="Calibri"/>
                <w:sz w:val="24"/>
                <w:szCs w:val="24"/>
                <w:lang w:val="ru-RU"/>
              </w:rPr>
            </w:pPr>
            <w:r w:rsidRPr="006B6A3E">
              <w:rPr>
                <w:rFonts w:eastAsia="Calibri"/>
                <w:sz w:val="24"/>
                <w:szCs w:val="24"/>
                <w:lang w:val="ru-RU"/>
              </w:rPr>
              <w:t>323,97</w:t>
            </w:r>
          </w:p>
        </w:tc>
        <w:tc>
          <w:tcPr>
            <w:tcW w:w="1984" w:type="dxa"/>
            <w:tcBorders>
              <w:top w:val="single" w:sz="4" w:space="0" w:color="auto"/>
              <w:left w:val="single" w:sz="4" w:space="0" w:color="auto"/>
              <w:bottom w:val="single" w:sz="4" w:space="0" w:color="auto"/>
              <w:right w:val="single" w:sz="4" w:space="0" w:color="auto"/>
            </w:tcBorders>
          </w:tcPr>
          <w:p w:rsidR="006B6A3E" w:rsidRPr="006B6A3E" w:rsidRDefault="006B6A3E" w:rsidP="006B6A3E">
            <w:pPr>
              <w:tabs>
                <w:tab w:val="left" w:pos="993"/>
              </w:tabs>
              <w:spacing w:line="288" w:lineRule="auto"/>
              <w:ind w:firstLine="709"/>
              <w:jc w:val="left"/>
              <w:rPr>
                <w:rFonts w:eastAsia="Calibri"/>
                <w:sz w:val="24"/>
                <w:szCs w:val="24"/>
                <w:lang w:val="ru-RU"/>
              </w:rPr>
            </w:pPr>
            <w:r w:rsidRPr="006B6A3E">
              <w:rPr>
                <w:rFonts w:eastAsia="Calibri"/>
                <w:sz w:val="24"/>
                <w:szCs w:val="24"/>
                <w:lang w:val="ru-RU"/>
              </w:rPr>
              <w:t>303,58</w:t>
            </w:r>
          </w:p>
        </w:tc>
        <w:tc>
          <w:tcPr>
            <w:tcW w:w="1792" w:type="dxa"/>
            <w:tcBorders>
              <w:top w:val="single" w:sz="4" w:space="0" w:color="auto"/>
              <w:left w:val="single" w:sz="4" w:space="0" w:color="auto"/>
              <w:bottom w:val="single" w:sz="4" w:space="0" w:color="auto"/>
              <w:right w:val="single" w:sz="4" w:space="0" w:color="auto"/>
            </w:tcBorders>
          </w:tcPr>
          <w:p w:rsidR="006B6A3E" w:rsidRPr="006B6A3E" w:rsidRDefault="006B6A3E" w:rsidP="006B6A3E">
            <w:pPr>
              <w:tabs>
                <w:tab w:val="left" w:pos="993"/>
              </w:tabs>
              <w:spacing w:line="288" w:lineRule="auto"/>
              <w:ind w:firstLine="709"/>
              <w:jc w:val="left"/>
              <w:rPr>
                <w:rFonts w:eastAsia="Calibri"/>
                <w:sz w:val="24"/>
                <w:szCs w:val="24"/>
                <w:lang w:val="ru-RU"/>
              </w:rPr>
            </w:pPr>
            <w:r w:rsidRPr="006B6A3E">
              <w:rPr>
                <w:rFonts w:eastAsia="Calibri"/>
                <w:sz w:val="24"/>
                <w:szCs w:val="24"/>
                <w:lang w:val="ru-RU"/>
              </w:rPr>
              <w:t>10,15</w:t>
            </w:r>
          </w:p>
        </w:tc>
        <w:tc>
          <w:tcPr>
            <w:tcW w:w="0" w:type="auto"/>
            <w:tcBorders>
              <w:top w:val="single" w:sz="4" w:space="0" w:color="auto"/>
              <w:left w:val="single" w:sz="4" w:space="0" w:color="auto"/>
              <w:bottom w:val="single" w:sz="4" w:space="0" w:color="auto"/>
              <w:right w:val="single" w:sz="4" w:space="0" w:color="auto"/>
            </w:tcBorders>
          </w:tcPr>
          <w:p w:rsidR="006B6A3E" w:rsidRPr="006B6A3E" w:rsidRDefault="006B6A3E" w:rsidP="006B6A3E">
            <w:pPr>
              <w:tabs>
                <w:tab w:val="left" w:pos="993"/>
              </w:tabs>
              <w:spacing w:line="288" w:lineRule="auto"/>
              <w:ind w:firstLine="709"/>
              <w:jc w:val="left"/>
              <w:rPr>
                <w:rFonts w:eastAsia="Calibri"/>
                <w:sz w:val="24"/>
                <w:szCs w:val="24"/>
                <w:lang w:val="ru-RU"/>
              </w:rPr>
            </w:pPr>
            <w:r w:rsidRPr="006B6A3E">
              <w:rPr>
                <w:rFonts w:eastAsia="Calibri"/>
                <w:sz w:val="24"/>
                <w:szCs w:val="24"/>
                <w:lang w:val="ru-RU"/>
              </w:rPr>
              <w:t>8,99</w:t>
            </w:r>
          </w:p>
        </w:tc>
      </w:tr>
      <w:tr w:rsidR="006B6A3E" w:rsidRPr="006B6A3E" w:rsidTr="006E3A91">
        <w:tc>
          <w:tcPr>
            <w:tcW w:w="2864" w:type="dxa"/>
            <w:tcBorders>
              <w:top w:val="single" w:sz="4" w:space="0" w:color="auto"/>
              <w:left w:val="single" w:sz="4" w:space="0" w:color="auto"/>
              <w:bottom w:val="single" w:sz="4" w:space="0" w:color="auto"/>
              <w:right w:val="single" w:sz="4" w:space="0" w:color="auto"/>
            </w:tcBorders>
            <w:hideMark/>
          </w:tcPr>
          <w:p w:rsidR="006B6A3E" w:rsidRPr="006B6A3E" w:rsidRDefault="006B6A3E" w:rsidP="006B6A3E">
            <w:pPr>
              <w:tabs>
                <w:tab w:val="left" w:pos="993"/>
              </w:tabs>
              <w:spacing w:line="288" w:lineRule="auto"/>
              <w:rPr>
                <w:rFonts w:eastAsia="Calibri"/>
                <w:sz w:val="24"/>
                <w:szCs w:val="24"/>
                <w:lang w:val="ru-RU"/>
              </w:rPr>
            </w:pPr>
            <w:r w:rsidRPr="006B6A3E">
              <w:rPr>
                <w:rFonts w:eastAsia="Calibri"/>
                <w:sz w:val="24"/>
                <w:szCs w:val="24"/>
                <w:lang w:val="ru-RU"/>
              </w:rPr>
              <w:t>ревматологічні</w:t>
            </w:r>
          </w:p>
        </w:tc>
        <w:tc>
          <w:tcPr>
            <w:tcW w:w="1843" w:type="dxa"/>
            <w:tcBorders>
              <w:top w:val="single" w:sz="4" w:space="0" w:color="auto"/>
              <w:left w:val="single" w:sz="4" w:space="0" w:color="auto"/>
              <w:bottom w:val="single" w:sz="4" w:space="0" w:color="auto"/>
              <w:right w:val="single" w:sz="4" w:space="0" w:color="auto"/>
            </w:tcBorders>
          </w:tcPr>
          <w:p w:rsidR="006B6A3E" w:rsidRPr="006B6A3E" w:rsidRDefault="006B6A3E" w:rsidP="006B6A3E">
            <w:pPr>
              <w:tabs>
                <w:tab w:val="left" w:pos="993"/>
              </w:tabs>
              <w:spacing w:line="288" w:lineRule="auto"/>
              <w:ind w:firstLine="709"/>
              <w:jc w:val="left"/>
              <w:rPr>
                <w:rFonts w:eastAsia="Calibri"/>
                <w:sz w:val="24"/>
                <w:szCs w:val="24"/>
                <w:lang w:val="ru-RU"/>
              </w:rPr>
            </w:pPr>
            <w:r w:rsidRPr="006B6A3E">
              <w:rPr>
                <w:rFonts w:eastAsia="Calibri"/>
                <w:sz w:val="24"/>
                <w:szCs w:val="24"/>
                <w:lang w:val="ru-RU"/>
              </w:rPr>
              <w:t>335,40</w:t>
            </w:r>
          </w:p>
        </w:tc>
        <w:tc>
          <w:tcPr>
            <w:tcW w:w="1984" w:type="dxa"/>
            <w:tcBorders>
              <w:top w:val="single" w:sz="4" w:space="0" w:color="auto"/>
              <w:left w:val="single" w:sz="4" w:space="0" w:color="auto"/>
              <w:bottom w:val="single" w:sz="4" w:space="0" w:color="auto"/>
              <w:right w:val="single" w:sz="4" w:space="0" w:color="auto"/>
            </w:tcBorders>
          </w:tcPr>
          <w:p w:rsidR="006B6A3E" w:rsidRPr="006B6A3E" w:rsidRDefault="006B6A3E" w:rsidP="006B6A3E">
            <w:pPr>
              <w:tabs>
                <w:tab w:val="left" w:pos="993"/>
              </w:tabs>
              <w:spacing w:line="288" w:lineRule="auto"/>
              <w:ind w:firstLine="709"/>
              <w:jc w:val="left"/>
              <w:rPr>
                <w:rFonts w:eastAsia="Calibri"/>
                <w:sz w:val="24"/>
                <w:szCs w:val="24"/>
                <w:lang w:val="ru-RU"/>
              </w:rPr>
            </w:pPr>
            <w:r w:rsidRPr="006B6A3E">
              <w:rPr>
                <w:rFonts w:eastAsia="Calibri"/>
                <w:sz w:val="24"/>
                <w:szCs w:val="24"/>
                <w:lang w:val="ru-RU"/>
              </w:rPr>
              <w:t>252,26</w:t>
            </w:r>
          </w:p>
        </w:tc>
        <w:tc>
          <w:tcPr>
            <w:tcW w:w="1792" w:type="dxa"/>
            <w:tcBorders>
              <w:top w:val="single" w:sz="4" w:space="0" w:color="auto"/>
              <w:left w:val="single" w:sz="4" w:space="0" w:color="auto"/>
              <w:bottom w:val="single" w:sz="4" w:space="0" w:color="auto"/>
              <w:right w:val="single" w:sz="4" w:space="0" w:color="auto"/>
            </w:tcBorders>
          </w:tcPr>
          <w:p w:rsidR="006B6A3E" w:rsidRPr="006B6A3E" w:rsidRDefault="006B6A3E" w:rsidP="006B6A3E">
            <w:pPr>
              <w:tabs>
                <w:tab w:val="left" w:pos="993"/>
              </w:tabs>
              <w:spacing w:line="288" w:lineRule="auto"/>
              <w:ind w:firstLine="709"/>
              <w:jc w:val="left"/>
              <w:rPr>
                <w:rFonts w:eastAsia="Calibri"/>
                <w:sz w:val="24"/>
                <w:szCs w:val="24"/>
                <w:lang w:val="ru-RU"/>
              </w:rPr>
            </w:pPr>
            <w:r w:rsidRPr="006B6A3E">
              <w:rPr>
                <w:rFonts w:eastAsia="Calibri"/>
                <w:sz w:val="24"/>
                <w:szCs w:val="24"/>
                <w:lang w:val="ru-RU"/>
              </w:rPr>
              <w:t>8,75</w:t>
            </w:r>
          </w:p>
        </w:tc>
        <w:tc>
          <w:tcPr>
            <w:tcW w:w="0" w:type="auto"/>
            <w:tcBorders>
              <w:top w:val="single" w:sz="4" w:space="0" w:color="auto"/>
              <w:left w:val="single" w:sz="4" w:space="0" w:color="auto"/>
              <w:bottom w:val="single" w:sz="4" w:space="0" w:color="auto"/>
              <w:right w:val="single" w:sz="4" w:space="0" w:color="auto"/>
            </w:tcBorders>
          </w:tcPr>
          <w:p w:rsidR="006B6A3E" w:rsidRPr="006B6A3E" w:rsidRDefault="006B6A3E" w:rsidP="006B6A3E">
            <w:pPr>
              <w:tabs>
                <w:tab w:val="left" w:pos="993"/>
              </w:tabs>
              <w:spacing w:line="288" w:lineRule="auto"/>
              <w:ind w:firstLine="709"/>
              <w:jc w:val="left"/>
              <w:rPr>
                <w:rFonts w:eastAsia="Calibri"/>
                <w:sz w:val="24"/>
                <w:szCs w:val="24"/>
                <w:lang w:val="ru-RU"/>
              </w:rPr>
            </w:pPr>
            <w:r w:rsidRPr="006B6A3E">
              <w:rPr>
                <w:rFonts w:eastAsia="Calibri"/>
                <w:sz w:val="24"/>
                <w:szCs w:val="24"/>
                <w:lang w:val="ru-RU"/>
              </w:rPr>
              <w:t>5,54</w:t>
            </w:r>
          </w:p>
        </w:tc>
      </w:tr>
      <w:tr w:rsidR="006B6A3E" w:rsidRPr="006B6A3E" w:rsidTr="006E3A91">
        <w:tc>
          <w:tcPr>
            <w:tcW w:w="2864" w:type="dxa"/>
            <w:tcBorders>
              <w:top w:val="single" w:sz="4" w:space="0" w:color="auto"/>
              <w:left w:val="single" w:sz="4" w:space="0" w:color="auto"/>
              <w:bottom w:val="single" w:sz="4" w:space="0" w:color="auto"/>
              <w:right w:val="single" w:sz="4" w:space="0" w:color="auto"/>
            </w:tcBorders>
            <w:hideMark/>
          </w:tcPr>
          <w:p w:rsidR="006B6A3E" w:rsidRPr="006B6A3E" w:rsidRDefault="006B6A3E" w:rsidP="006B6A3E">
            <w:pPr>
              <w:tabs>
                <w:tab w:val="left" w:pos="993"/>
              </w:tabs>
              <w:spacing w:line="288" w:lineRule="auto"/>
              <w:rPr>
                <w:rFonts w:eastAsia="Calibri"/>
                <w:sz w:val="24"/>
                <w:szCs w:val="24"/>
                <w:lang w:val="ru-RU"/>
              </w:rPr>
            </w:pPr>
            <w:r w:rsidRPr="006B6A3E">
              <w:rPr>
                <w:rFonts w:eastAsia="Calibri"/>
                <w:sz w:val="24"/>
                <w:szCs w:val="24"/>
                <w:lang w:val="ru-RU"/>
              </w:rPr>
              <w:t>пульмонологічні</w:t>
            </w:r>
          </w:p>
        </w:tc>
        <w:tc>
          <w:tcPr>
            <w:tcW w:w="1843" w:type="dxa"/>
            <w:tcBorders>
              <w:top w:val="single" w:sz="4" w:space="0" w:color="auto"/>
              <w:left w:val="single" w:sz="4" w:space="0" w:color="auto"/>
              <w:bottom w:val="single" w:sz="4" w:space="0" w:color="auto"/>
              <w:right w:val="single" w:sz="4" w:space="0" w:color="auto"/>
            </w:tcBorders>
          </w:tcPr>
          <w:p w:rsidR="006B6A3E" w:rsidRPr="006B6A3E" w:rsidRDefault="006B6A3E" w:rsidP="006B6A3E">
            <w:pPr>
              <w:tabs>
                <w:tab w:val="left" w:pos="993"/>
              </w:tabs>
              <w:spacing w:line="288" w:lineRule="auto"/>
              <w:ind w:firstLine="709"/>
              <w:jc w:val="left"/>
              <w:rPr>
                <w:rFonts w:eastAsia="Calibri"/>
                <w:sz w:val="24"/>
                <w:szCs w:val="24"/>
                <w:lang w:val="ru-RU"/>
              </w:rPr>
            </w:pPr>
            <w:r w:rsidRPr="006B6A3E">
              <w:rPr>
                <w:rFonts w:eastAsia="Calibri"/>
                <w:sz w:val="24"/>
                <w:szCs w:val="24"/>
                <w:lang w:val="ru-RU"/>
              </w:rPr>
              <w:t>326,95</w:t>
            </w:r>
          </w:p>
        </w:tc>
        <w:tc>
          <w:tcPr>
            <w:tcW w:w="1984" w:type="dxa"/>
            <w:tcBorders>
              <w:top w:val="single" w:sz="4" w:space="0" w:color="auto"/>
              <w:left w:val="single" w:sz="4" w:space="0" w:color="auto"/>
              <w:bottom w:val="single" w:sz="4" w:space="0" w:color="auto"/>
              <w:right w:val="single" w:sz="4" w:space="0" w:color="auto"/>
            </w:tcBorders>
          </w:tcPr>
          <w:p w:rsidR="006B6A3E" w:rsidRPr="006B6A3E" w:rsidRDefault="006B6A3E" w:rsidP="006B6A3E">
            <w:pPr>
              <w:tabs>
                <w:tab w:val="left" w:pos="993"/>
              </w:tabs>
              <w:spacing w:line="288" w:lineRule="auto"/>
              <w:ind w:firstLine="709"/>
              <w:jc w:val="left"/>
              <w:rPr>
                <w:rFonts w:eastAsia="Calibri"/>
                <w:sz w:val="24"/>
                <w:szCs w:val="24"/>
                <w:lang w:val="ru-RU"/>
              </w:rPr>
            </w:pPr>
            <w:r w:rsidRPr="006B6A3E">
              <w:rPr>
                <w:rFonts w:eastAsia="Calibri"/>
                <w:sz w:val="24"/>
                <w:szCs w:val="24"/>
                <w:lang w:val="ru-RU"/>
              </w:rPr>
              <w:t>321,76</w:t>
            </w:r>
          </w:p>
        </w:tc>
        <w:tc>
          <w:tcPr>
            <w:tcW w:w="1792" w:type="dxa"/>
            <w:tcBorders>
              <w:top w:val="single" w:sz="4" w:space="0" w:color="auto"/>
              <w:left w:val="single" w:sz="4" w:space="0" w:color="auto"/>
              <w:bottom w:val="single" w:sz="4" w:space="0" w:color="auto"/>
              <w:right w:val="single" w:sz="4" w:space="0" w:color="auto"/>
            </w:tcBorders>
          </w:tcPr>
          <w:p w:rsidR="006B6A3E" w:rsidRPr="006B6A3E" w:rsidRDefault="006B6A3E" w:rsidP="006B6A3E">
            <w:pPr>
              <w:tabs>
                <w:tab w:val="left" w:pos="993"/>
              </w:tabs>
              <w:spacing w:line="288" w:lineRule="auto"/>
              <w:ind w:firstLine="709"/>
              <w:jc w:val="left"/>
              <w:rPr>
                <w:rFonts w:eastAsia="Calibri"/>
                <w:sz w:val="24"/>
                <w:szCs w:val="24"/>
                <w:lang w:val="ru-RU"/>
              </w:rPr>
            </w:pPr>
            <w:r w:rsidRPr="006B6A3E">
              <w:rPr>
                <w:rFonts w:eastAsia="Calibri"/>
                <w:sz w:val="24"/>
                <w:szCs w:val="24"/>
                <w:lang w:val="ru-RU"/>
              </w:rPr>
              <w:t>10,46</w:t>
            </w:r>
          </w:p>
        </w:tc>
        <w:tc>
          <w:tcPr>
            <w:tcW w:w="0" w:type="auto"/>
            <w:tcBorders>
              <w:top w:val="single" w:sz="4" w:space="0" w:color="auto"/>
              <w:left w:val="single" w:sz="4" w:space="0" w:color="auto"/>
              <w:bottom w:val="single" w:sz="4" w:space="0" w:color="auto"/>
              <w:right w:val="single" w:sz="4" w:space="0" w:color="auto"/>
            </w:tcBorders>
          </w:tcPr>
          <w:p w:rsidR="006B6A3E" w:rsidRPr="006B6A3E" w:rsidRDefault="006B6A3E" w:rsidP="006B6A3E">
            <w:pPr>
              <w:tabs>
                <w:tab w:val="left" w:pos="993"/>
              </w:tabs>
              <w:spacing w:line="288" w:lineRule="auto"/>
              <w:ind w:firstLine="709"/>
              <w:jc w:val="left"/>
              <w:rPr>
                <w:rFonts w:eastAsia="Calibri"/>
                <w:sz w:val="24"/>
                <w:szCs w:val="24"/>
                <w:lang w:val="ru-RU"/>
              </w:rPr>
            </w:pPr>
            <w:r w:rsidRPr="006B6A3E">
              <w:rPr>
                <w:rFonts w:eastAsia="Calibri"/>
                <w:sz w:val="24"/>
                <w:szCs w:val="24"/>
                <w:lang w:val="ru-RU"/>
              </w:rPr>
              <w:t>9,54</w:t>
            </w:r>
          </w:p>
        </w:tc>
      </w:tr>
      <w:tr w:rsidR="006B6A3E" w:rsidRPr="006B6A3E" w:rsidTr="006E3A91">
        <w:tc>
          <w:tcPr>
            <w:tcW w:w="2864" w:type="dxa"/>
            <w:tcBorders>
              <w:top w:val="single" w:sz="4" w:space="0" w:color="auto"/>
              <w:left w:val="single" w:sz="4" w:space="0" w:color="auto"/>
              <w:bottom w:val="single" w:sz="4" w:space="0" w:color="auto"/>
              <w:right w:val="single" w:sz="4" w:space="0" w:color="auto"/>
            </w:tcBorders>
            <w:hideMark/>
          </w:tcPr>
          <w:p w:rsidR="006B6A3E" w:rsidRPr="006B6A3E" w:rsidRDefault="006B6A3E" w:rsidP="006B6A3E">
            <w:pPr>
              <w:tabs>
                <w:tab w:val="left" w:pos="993"/>
              </w:tabs>
              <w:spacing w:line="288" w:lineRule="auto"/>
              <w:rPr>
                <w:rFonts w:eastAsia="Calibri"/>
                <w:sz w:val="24"/>
                <w:szCs w:val="24"/>
                <w:lang w:val="ru-RU"/>
              </w:rPr>
            </w:pPr>
            <w:r w:rsidRPr="006B6A3E">
              <w:rPr>
                <w:rFonts w:eastAsia="Calibri"/>
                <w:sz w:val="24"/>
                <w:szCs w:val="24"/>
                <w:lang w:val="ru-RU"/>
              </w:rPr>
              <w:t>гастроентерологічні</w:t>
            </w:r>
          </w:p>
        </w:tc>
        <w:tc>
          <w:tcPr>
            <w:tcW w:w="1843" w:type="dxa"/>
            <w:tcBorders>
              <w:top w:val="single" w:sz="4" w:space="0" w:color="auto"/>
              <w:left w:val="single" w:sz="4" w:space="0" w:color="auto"/>
              <w:bottom w:val="single" w:sz="4" w:space="0" w:color="auto"/>
              <w:right w:val="single" w:sz="4" w:space="0" w:color="auto"/>
            </w:tcBorders>
          </w:tcPr>
          <w:p w:rsidR="006B6A3E" w:rsidRPr="006B6A3E" w:rsidRDefault="006B6A3E" w:rsidP="006B6A3E">
            <w:pPr>
              <w:tabs>
                <w:tab w:val="left" w:pos="993"/>
              </w:tabs>
              <w:spacing w:line="288" w:lineRule="auto"/>
              <w:ind w:firstLine="709"/>
              <w:jc w:val="left"/>
              <w:rPr>
                <w:rFonts w:eastAsia="Calibri"/>
                <w:sz w:val="24"/>
                <w:szCs w:val="24"/>
                <w:lang w:val="ru-RU"/>
              </w:rPr>
            </w:pPr>
            <w:r w:rsidRPr="006B6A3E">
              <w:rPr>
                <w:rFonts w:eastAsia="Calibri"/>
                <w:sz w:val="24"/>
                <w:szCs w:val="24"/>
                <w:lang w:val="ru-RU"/>
              </w:rPr>
              <w:t>327,15</w:t>
            </w:r>
          </w:p>
        </w:tc>
        <w:tc>
          <w:tcPr>
            <w:tcW w:w="1984" w:type="dxa"/>
            <w:tcBorders>
              <w:top w:val="single" w:sz="4" w:space="0" w:color="auto"/>
              <w:left w:val="single" w:sz="4" w:space="0" w:color="auto"/>
              <w:bottom w:val="single" w:sz="4" w:space="0" w:color="auto"/>
              <w:right w:val="single" w:sz="4" w:space="0" w:color="auto"/>
            </w:tcBorders>
          </w:tcPr>
          <w:p w:rsidR="006B6A3E" w:rsidRPr="006B6A3E" w:rsidRDefault="006B6A3E" w:rsidP="006B6A3E">
            <w:pPr>
              <w:tabs>
                <w:tab w:val="left" w:pos="993"/>
              </w:tabs>
              <w:spacing w:line="288" w:lineRule="auto"/>
              <w:ind w:firstLine="709"/>
              <w:jc w:val="left"/>
              <w:rPr>
                <w:rFonts w:eastAsia="Calibri"/>
                <w:sz w:val="24"/>
                <w:szCs w:val="24"/>
                <w:lang w:val="ru-RU"/>
              </w:rPr>
            </w:pPr>
            <w:r w:rsidRPr="006B6A3E">
              <w:rPr>
                <w:rFonts w:eastAsia="Calibri"/>
                <w:sz w:val="24"/>
                <w:szCs w:val="24"/>
                <w:lang w:val="ru-RU"/>
              </w:rPr>
              <w:t>317,38</w:t>
            </w:r>
          </w:p>
        </w:tc>
        <w:tc>
          <w:tcPr>
            <w:tcW w:w="1792" w:type="dxa"/>
            <w:tcBorders>
              <w:top w:val="single" w:sz="4" w:space="0" w:color="auto"/>
              <w:left w:val="single" w:sz="4" w:space="0" w:color="auto"/>
              <w:bottom w:val="single" w:sz="4" w:space="0" w:color="auto"/>
              <w:right w:val="single" w:sz="4" w:space="0" w:color="auto"/>
            </w:tcBorders>
          </w:tcPr>
          <w:p w:rsidR="006B6A3E" w:rsidRPr="006B6A3E" w:rsidRDefault="006B6A3E" w:rsidP="006B6A3E">
            <w:pPr>
              <w:tabs>
                <w:tab w:val="left" w:pos="993"/>
              </w:tabs>
              <w:spacing w:line="288" w:lineRule="auto"/>
              <w:ind w:firstLine="709"/>
              <w:jc w:val="left"/>
              <w:rPr>
                <w:rFonts w:eastAsia="Calibri"/>
                <w:sz w:val="24"/>
                <w:szCs w:val="24"/>
                <w:lang w:val="ru-RU"/>
              </w:rPr>
            </w:pPr>
            <w:r w:rsidRPr="006B6A3E">
              <w:rPr>
                <w:rFonts w:eastAsia="Calibri"/>
                <w:sz w:val="24"/>
                <w:szCs w:val="24"/>
                <w:lang w:val="ru-RU"/>
              </w:rPr>
              <w:t>11,20</w:t>
            </w:r>
          </w:p>
        </w:tc>
        <w:tc>
          <w:tcPr>
            <w:tcW w:w="0" w:type="auto"/>
            <w:tcBorders>
              <w:top w:val="single" w:sz="4" w:space="0" w:color="auto"/>
              <w:left w:val="single" w:sz="4" w:space="0" w:color="auto"/>
              <w:bottom w:val="single" w:sz="4" w:space="0" w:color="auto"/>
              <w:right w:val="single" w:sz="4" w:space="0" w:color="auto"/>
            </w:tcBorders>
          </w:tcPr>
          <w:p w:rsidR="006B6A3E" w:rsidRPr="006B6A3E" w:rsidRDefault="006B6A3E" w:rsidP="006B6A3E">
            <w:pPr>
              <w:tabs>
                <w:tab w:val="left" w:pos="993"/>
              </w:tabs>
              <w:spacing w:line="288" w:lineRule="auto"/>
              <w:ind w:firstLine="709"/>
              <w:jc w:val="left"/>
              <w:rPr>
                <w:rFonts w:eastAsia="Calibri"/>
                <w:sz w:val="24"/>
                <w:szCs w:val="24"/>
                <w:lang w:val="ru-RU"/>
              </w:rPr>
            </w:pPr>
            <w:r w:rsidRPr="006B6A3E">
              <w:rPr>
                <w:rFonts w:eastAsia="Calibri"/>
                <w:sz w:val="24"/>
                <w:szCs w:val="24"/>
                <w:lang w:val="ru-RU"/>
              </w:rPr>
              <w:t>10,62</w:t>
            </w:r>
          </w:p>
        </w:tc>
      </w:tr>
      <w:tr w:rsidR="006B6A3E" w:rsidRPr="006B6A3E" w:rsidTr="006E3A91">
        <w:tc>
          <w:tcPr>
            <w:tcW w:w="2864" w:type="dxa"/>
            <w:tcBorders>
              <w:top w:val="single" w:sz="4" w:space="0" w:color="auto"/>
              <w:left w:val="single" w:sz="4" w:space="0" w:color="auto"/>
              <w:bottom w:val="single" w:sz="4" w:space="0" w:color="auto"/>
              <w:right w:val="single" w:sz="4" w:space="0" w:color="auto"/>
            </w:tcBorders>
            <w:hideMark/>
          </w:tcPr>
          <w:p w:rsidR="006B6A3E" w:rsidRPr="006B6A3E" w:rsidRDefault="006B6A3E" w:rsidP="006B6A3E">
            <w:pPr>
              <w:tabs>
                <w:tab w:val="left" w:pos="993"/>
              </w:tabs>
              <w:spacing w:line="288" w:lineRule="auto"/>
              <w:rPr>
                <w:rFonts w:eastAsia="Calibri"/>
                <w:sz w:val="24"/>
                <w:szCs w:val="24"/>
                <w:lang w:val="ru-RU"/>
              </w:rPr>
            </w:pPr>
            <w:r w:rsidRPr="006B6A3E">
              <w:rPr>
                <w:rFonts w:eastAsia="Calibri"/>
                <w:sz w:val="24"/>
                <w:szCs w:val="24"/>
                <w:lang w:val="ru-RU"/>
              </w:rPr>
              <w:t>алергологічні</w:t>
            </w:r>
          </w:p>
        </w:tc>
        <w:tc>
          <w:tcPr>
            <w:tcW w:w="1843" w:type="dxa"/>
            <w:tcBorders>
              <w:top w:val="single" w:sz="4" w:space="0" w:color="auto"/>
              <w:left w:val="single" w:sz="4" w:space="0" w:color="auto"/>
              <w:bottom w:val="single" w:sz="4" w:space="0" w:color="auto"/>
              <w:right w:val="single" w:sz="4" w:space="0" w:color="auto"/>
            </w:tcBorders>
          </w:tcPr>
          <w:p w:rsidR="006B6A3E" w:rsidRPr="006B6A3E" w:rsidRDefault="006B6A3E" w:rsidP="006B6A3E">
            <w:pPr>
              <w:tabs>
                <w:tab w:val="left" w:pos="993"/>
              </w:tabs>
              <w:spacing w:line="288" w:lineRule="auto"/>
              <w:ind w:firstLine="709"/>
              <w:jc w:val="left"/>
              <w:rPr>
                <w:rFonts w:eastAsia="Calibri"/>
                <w:sz w:val="24"/>
                <w:szCs w:val="24"/>
                <w:lang w:val="ru-RU"/>
              </w:rPr>
            </w:pPr>
            <w:r w:rsidRPr="006B6A3E">
              <w:rPr>
                <w:rFonts w:eastAsia="Calibri"/>
                <w:sz w:val="24"/>
                <w:szCs w:val="24"/>
                <w:lang w:val="ru-RU"/>
              </w:rPr>
              <w:t>322,26</w:t>
            </w:r>
          </w:p>
        </w:tc>
        <w:tc>
          <w:tcPr>
            <w:tcW w:w="1984" w:type="dxa"/>
            <w:tcBorders>
              <w:top w:val="single" w:sz="4" w:space="0" w:color="auto"/>
              <w:left w:val="single" w:sz="4" w:space="0" w:color="auto"/>
              <w:bottom w:val="single" w:sz="4" w:space="0" w:color="auto"/>
              <w:right w:val="single" w:sz="4" w:space="0" w:color="auto"/>
            </w:tcBorders>
          </w:tcPr>
          <w:p w:rsidR="006B6A3E" w:rsidRPr="006B6A3E" w:rsidRDefault="006B6A3E" w:rsidP="006B6A3E">
            <w:pPr>
              <w:tabs>
                <w:tab w:val="left" w:pos="993"/>
              </w:tabs>
              <w:spacing w:line="288" w:lineRule="auto"/>
              <w:ind w:firstLine="709"/>
              <w:jc w:val="left"/>
              <w:rPr>
                <w:rFonts w:eastAsia="Calibri"/>
                <w:sz w:val="24"/>
                <w:szCs w:val="24"/>
                <w:lang w:val="ru-RU"/>
              </w:rPr>
            </w:pPr>
            <w:r w:rsidRPr="006B6A3E">
              <w:rPr>
                <w:rFonts w:eastAsia="Calibri"/>
                <w:sz w:val="24"/>
                <w:szCs w:val="24"/>
                <w:lang w:val="ru-RU"/>
              </w:rPr>
              <w:t>315,09</w:t>
            </w:r>
          </w:p>
        </w:tc>
        <w:tc>
          <w:tcPr>
            <w:tcW w:w="1792" w:type="dxa"/>
            <w:tcBorders>
              <w:top w:val="single" w:sz="4" w:space="0" w:color="auto"/>
              <w:left w:val="single" w:sz="4" w:space="0" w:color="auto"/>
              <w:bottom w:val="single" w:sz="4" w:space="0" w:color="auto"/>
              <w:right w:val="single" w:sz="4" w:space="0" w:color="auto"/>
            </w:tcBorders>
          </w:tcPr>
          <w:p w:rsidR="006B6A3E" w:rsidRPr="006B6A3E" w:rsidRDefault="006B6A3E" w:rsidP="006B6A3E">
            <w:pPr>
              <w:tabs>
                <w:tab w:val="left" w:pos="993"/>
              </w:tabs>
              <w:spacing w:line="288" w:lineRule="auto"/>
              <w:ind w:firstLine="709"/>
              <w:jc w:val="left"/>
              <w:rPr>
                <w:rFonts w:eastAsia="Calibri"/>
                <w:sz w:val="24"/>
                <w:szCs w:val="24"/>
                <w:lang w:val="ru-RU"/>
              </w:rPr>
            </w:pPr>
            <w:r w:rsidRPr="006B6A3E">
              <w:rPr>
                <w:rFonts w:eastAsia="Calibri"/>
                <w:sz w:val="24"/>
                <w:szCs w:val="24"/>
                <w:lang w:val="ru-RU"/>
              </w:rPr>
              <w:t>10,60</w:t>
            </w:r>
          </w:p>
        </w:tc>
        <w:tc>
          <w:tcPr>
            <w:tcW w:w="0" w:type="auto"/>
            <w:tcBorders>
              <w:top w:val="single" w:sz="4" w:space="0" w:color="auto"/>
              <w:left w:val="single" w:sz="4" w:space="0" w:color="auto"/>
              <w:bottom w:val="single" w:sz="4" w:space="0" w:color="auto"/>
              <w:right w:val="single" w:sz="4" w:space="0" w:color="auto"/>
            </w:tcBorders>
          </w:tcPr>
          <w:p w:rsidR="006B6A3E" w:rsidRPr="006B6A3E" w:rsidRDefault="006B6A3E" w:rsidP="006B6A3E">
            <w:pPr>
              <w:tabs>
                <w:tab w:val="left" w:pos="993"/>
              </w:tabs>
              <w:spacing w:line="288" w:lineRule="auto"/>
              <w:ind w:firstLine="709"/>
              <w:jc w:val="left"/>
              <w:rPr>
                <w:rFonts w:eastAsia="Calibri"/>
                <w:sz w:val="24"/>
                <w:szCs w:val="24"/>
                <w:lang w:val="ru-RU"/>
              </w:rPr>
            </w:pPr>
            <w:r w:rsidRPr="006B6A3E">
              <w:rPr>
                <w:rFonts w:eastAsia="Calibri"/>
                <w:sz w:val="24"/>
                <w:szCs w:val="24"/>
                <w:lang w:val="ru-RU"/>
              </w:rPr>
              <w:t>9,98</w:t>
            </w:r>
          </w:p>
        </w:tc>
      </w:tr>
      <w:tr w:rsidR="006B6A3E" w:rsidRPr="006B6A3E" w:rsidTr="006E3A91">
        <w:tc>
          <w:tcPr>
            <w:tcW w:w="2864" w:type="dxa"/>
            <w:tcBorders>
              <w:top w:val="single" w:sz="4" w:space="0" w:color="auto"/>
              <w:left w:val="single" w:sz="4" w:space="0" w:color="auto"/>
              <w:bottom w:val="single" w:sz="4" w:space="0" w:color="auto"/>
              <w:right w:val="single" w:sz="4" w:space="0" w:color="auto"/>
            </w:tcBorders>
            <w:hideMark/>
          </w:tcPr>
          <w:p w:rsidR="006B6A3E" w:rsidRPr="006B6A3E" w:rsidRDefault="006B6A3E" w:rsidP="006B6A3E">
            <w:pPr>
              <w:tabs>
                <w:tab w:val="left" w:pos="993"/>
              </w:tabs>
              <w:spacing w:line="288" w:lineRule="auto"/>
              <w:rPr>
                <w:rFonts w:eastAsia="Calibri"/>
                <w:sz w:val="24"/>
                <w:szCs w:val="24"/>
                <w:lang w:val="ru-RU"/>
              </w:rPr>
            </w:pPr>
            <w:r w:rsidRPr="006B6A3E">
              <w:rPr>
                <w:rFonts w:eastAsia="Calibri"/>
                <w:sz w:val="24"/>
                <w:szCs w:val="24"/>
                <w:lang w:val="ru-RU"/>
              </w:rPr>
              <w:t>ендокринологічні</w:t>
            </w:r>
          </w:p>
        </w:tc>
        <w:tc>
          <w:tcPr>
            <w:tcW w:w="1843" w:type="dxa"/>
            <w:tcBorders>
              <w:top w:val="single" w:sz="4" w:space="0" w:color="auto"/>
              <w:left w:val="single" w:sz="4" w:space="0" w:color="auto"/>
              <w:bottom w:val="single" w:sz="4" w:space="0" w:color="auto"/>
              <w:right w:val="single" w:sz="4" w:space="0" w:color="auto"/>
            </w:tcBorders>
          </w:tcPr>
          <w:p w:rsidR="006B6A3E" w:rsidRPr="006B6A3E" w:rsidRDefault="006B6A3E" w:rsidP="006B6A3E">
            <w:pPr>
              <w:tabs>
                <w:tab w:val="left" w:pos="993"/>
              </w:tabs>
              <w:spacing w:line="288" w:lineRule="auto"/>
              <w:ind w:firstLine="709"/>
              <w:jc w:val="left"/>
              <w:rPr>
                <w:rFonts w:eastAsia="Calibri"/>
                <w:sz w:val="24"/>
                <w:szCs w:val="24"/>
                <w:lang w:val="ru-RU"/>
              </w:rPr>
            </w:pPr>
            <w:r w:rsidRPr="006B6A3E">
              <w:rPr>
                <w:rFonts w:eastAsia="Calibri"/>
                <w:sz w:val="24"/>
                <w:szCs w:val="24"/>
                <w:lang w:val="ru-RU"/>
              </w:rPr>
              <w:t>310,10</w:t>
            </w:r>
          </w:p>
        </w:tc>
        <w:tc>
          <w:tcPr>
            <w:tcW w:w="1984" w:type="dxa"/>
            <w:tcBorders>
              <w:top w:val="single" w:sz="4" w:space="0" w:color="auto"/>
              <w:left w:val="single" w:sz="4" w:space="0" w:color="auto"/>
              <w:bottom w:val="single" w:sz="4" w:space="0" w:color="auto"/>
              <w:right w:val="single" w:sz="4" w:space="0" w:color="auto"/>
            </w:tcBorders>
          </w:tcPr>
          <w:p w:rsidR="006B6A3E" w:rsidRPr="006B6A3E" w:rsidRDefault="006B6A3E" w:rsidP="006B6A3E">
            <w:pPr>
              <w:tabs>
                <w:tab w:val="left" w:pos="993"/>
              </w:tabs>
              <w:spacing w:line="288" w:lineRule="auto"/>
              <w:ind w:firstLine="709"/>
              <w:jc w:val="left"/>
              <w:rPr>
                <w:rFonts w:eastAsia="Calibri"/>
                <w:sz w:val="24"/>
                <w:szCs w:val="24"/>
              </w:rPr>
            </w:pPr>
            <w:r w:rsidRPr="006B6A3E">
              <w:rPr>
                <w:rFonts w:eastAsia="Calibri"/>
                <w:sz w:val="24"/>
                <w:szCs w:val="24"/>
                <w:lang w:val="ru-RU"/>
              </w:rPr>
              <w:t>308,9</w:t>
            </w:r>
            <w:r w:rsidRPr="006B6A3E">
              <w:rPr>
                <w:rFonts w:eastAsia="Calibri"/>
                <w:sz w:val="24"/>
                <w:szCs w:val="24"/>
              </w:rPr>
              <w:t>0</w:t>
            </w:r>
          </w:p>
        </w:tc>
        <w:tc>
          <w:tcPr>
            <w:tcW w:w="1792" w:type="dxa"/>
            <w:tcBorders>
              <w:top w:val="single" w:sz="4" w:space="0" w:color="auto"/>
              <w:left w:val="single" w:sz="4" w:space="0" w:color="auto"/>
              <w:bottom w:val="single" w:sz="4" w:space="0" w:color="auto"/>
              <w:right w:val="single" w:sz="4" w:space="0" w:color="auto"/>
            </w:tcBorders>
          </w:tcPr>
          <w:p w:rsidR="006B6A3E" w:rsidRPr="006B6A3E" w:rsidRDefault="006B6A3E" w:rsidP="006B6A3E">
            <w:pPr>
              <w:tabs>
                <w:tab w:val="left" w:pos="993"/>
              </w:tabs>
              <w:spacing w:line="288" w:lineRule="auto"/>
              <w:ind w:firstLine="709"/>
              <w:jc w:val="left"/>
              <w:rPr>
                <w:rFonts w:eastAsia="Calibri"/>
                <w:sz w:val="24"/>
                <w:szCs w:val="24"/>
                <w:lang w:val="ru-RU"/>
              </w:rPr>
            </w:pPr>
            <w:r w:rsidRPr="006B6A3E">
              <w:rPr>
                <w:rFonts w:eastAsia="Calibri"/>
                <w:sz w:val="24"/>
                <w:szCs w:val="24"/>
                <w:lang w:val="ru-RU"/>
              </w:rPr>
              <w:t>10,97</w:t>
            </w:r>
          </w:p>
        </w:tc>
        <w:tc>
          <w:tcPr>
            <w:tcW w:w="0" w:type="auto"/>
            <w:tcBorders>
              <w:top w:val="single" w:sz="4" w:space="0" w:color="auto"/>
              <w:left w:val="single" w:sz="4" w:space="0" w:color="auto"/>
              <w:bottom w:val="single" w:sz="4" w:space="0" w:color="auto"/>
              <w:right w:val="single" w:sz="4" w:space="0" w:color="auto"/>
            </w:tcBorders>
          </w:tcPr>
          <w:p w:rsidR="006B6A3E" w:rsidRPr="006B6A3E" w:rsidRDefault="006B6A3E" w:rsidP="006B6A3E">
            <w:pPr>
              <w:tabs>
                <w:tab w:val="left" w:pos="993"/>
              </w:tabs>
              <w:spacing w:line="288" w:lineRule="auto"/>
              <w:ind w:firstLine="709"/>
              <w:jc w:val="left"/>
              <w:rPr>
                <w:rFonts w:eastAsia="Calibri"/>
                <w:sz w:val="24"/>
                <w:szCs w:val="24"/>
                <w:lang w:val="ru-RU"/>
              </w:rPr>
            </w:pPr>
            <w:r w:rsidRPr="006B6A3E">
              <w:rPr>
                <w:rFonts w:eastAsia="Calibri"/>
                <w:sz w:val="24"/>
                <w:szCs w:val="24"/>
                <w:lang w:val="ru-RU"/>
              </w:rPr>
              <w:t>9,76</w:t>
            </w:r>
          </w:p>
        </w:tc>
      </w:tr>
      <w:tr w:rsidR="006B6A3E" w:rsidRPr="006B6A3E" w:rsidTr="006E3A91">
        <w:tc>
          <w:tcPr>
            <w:tcW w:w="2864" w:type="dxa"/>
            <w:tcBorders>
              <w:top w:val="single" w:sz="4" w:space="0" w:color="auto"/>
              <w:left w:val="single" w:sz="4" w:space="0" w:color="auto"/>
              <w:bottom w:val="single" w:sz="4" w:space="0" w:color="auto"/>
              <w:right w:val="single" w:sz="4" w:space="0" w:color="auto"/>
            </w:tcBorders>
            <w:hideMark/>
          </w:tcPr>
          <w:p w:rsidR="006B6A3E" w:rsidRPr="006B6A3E" w:rsidRDefault="006B6A3E" w:rsidP="006B6A3E">
            <w:pPr>
              <w:tabs>
                <w:tab w:val="left" w:pos="993"/>
              </w:tabs>
              <w:spacing w:line="288" w:lineRule="auto"/>
              <w:rPr>
                <w:rFonts w:eastAsia="Calibri"/>
                <w:sz w:val="24"/>
                <w:szCs w:val="24"/>
                <w:lang w:val="ru-RU"/>
              </w:rPr>
            </w:pPr>
            <w:r w:rsidRPr="006B6A3E">
              <w:rPr>
                <w:rFonts w:eastAsia="Calibri"/>
                <w:sz w:val="24"/>
                <w:szCs w:val="24"/>
                <w:lang w:val="ru-RU"/>
              </w:rPr>
              <w:t>гематологічні</w:t>
            </w:r>
          </w:p>
        </w:tc>
        <w:tc>
          <w:tcPr>
            <w:tcW w:w="1843" w:type="dxa"/>
            <w:tcBorders>
              <w:top w:val="single" w:sz="4" w:space="0" w:color="auto"/>
              <w:left w:val="single" w:sz="4" w:space="0" w:color="auto"/>
              <w:bottom w:val="single" w:sz="4" w:space="0" w:color="auto"/>
              <w:right w:val="single" w:sz="4" w:space="0" w:color="auto"/>
            </w:tcBorders>
          </w:tcPr>
          <w:p w:rsidR="006B6A3E" w:rsidRPr="006B6A3E" w:rsidRDefault="006B6A3E" w:rsidP="006B6A3E">
            <w:pPr>
              <w:tabs>
                <w:tab w:val="left" w:pos="993"/>
              </w:tabs>
              <w:spacing w:line="288" w:lineRule="auto"/>
              <w:ind w:firstLine="709"/>
              <w:jc w:val="left"/>
              <w:rPr>
                <w:rFonts w:eastAsia="Calibri"/>
                <w:sz w:val="24"/>
                <w:szCs w:val="24"/>
                <w:lang w:val="ru-RU"/>
              </w:rPr>
            </w:pPr>
            <w:r w:rsidRPr="006B6A3E">
              <w:rPr>
                <w:rFonts w:eastAsia="Calibri"/>
                <w:sz w:val="24"/>
                <w:szCs w:val="24"/>
                <w:lang w:val="ru-RU"/>
              </w:rPr>
              <w:t>327,88</w:t>
            </w:r>
          </w:p>
        </w:tc>
        <w:tc>
          <w:tcPr>
            <w:tcW w:w="1984" w:type="dxa"/>
            <w:tcBorders>
              <w:top w:val="single" w:sz="4" w:space="0" w:color="auto"/>
              <w:left w:val="single" w:sz="4" w:space="0" w:color="auto"/>
              <w:bottom w:val="single" w:sz="4" w:space="0" w:color="auto"/>
              <w:right w:val="single" w:sz="4" w:space="0" w:color="auto"/>
            </w:tcBorders>
          </w:tcPr>
          <w:p w:rsidR="006B6A3E" w:rsidRPr="006B6A3E" w:rsidRDefault="006B6A3E" w:rsidP="006B6A3E">
            <w:pPr>
              <w:tabs>
                <w:tab w:val="left" w:pos="993"/>
              </w:tabs>
              <w:spacing w:line="288" w:lineRule="auto"/>
              <w:ind w:firstLine="709"/>
              <w:jc w:val="left"/>
              <w:rPr>
                <w:rFonts w:eastAsia="Calibri"/>
                <w:sz w:val="24"/>
                <w:szCs w:val="24"/>
                <w:lang w:val="ru-RU"/>
              </w:rPr>
            </w:pPr>
            <w:r w:rsidRPr="006B6A3E">
              <w:rPr>
                <w:rFonts w:eastAsia="Calibri"/>
                <w:sz w:val="24"/>
                <w:szCs w:val="24"/>
                <w:lang w:val="ru-RU"/>
              </w:rPr>
              <w:t>318,66</w:t>
            </w:r>
          </w:p>
        </w:tc>
        <w:tc>
          <w:tcPr>
            <w:tcW w:w="1792" w:type="dxa"/>
            <w:tcBorders>
              <w:top w:val="single" w:sz="4" w:space="0" w:color="auto"/>
              <w:left w:val="single" w:sz="4" w:space="0" w:color="auto"/>
              <w:bottom w:val="single" w:sz="4" w:space="0" w:color="auto"/>
              <w:right w:val="single" w:sz="4" w:space="0" w:color="auto"/>
            </w:tcBorders>
          </w:tcPr>
          <w:p w:rsidR="006B6A3E" w:rsidRPr="006B6A3E" w:rsidRDefault="006B6A3E" w:rsidP="006B6A3E">
            <w:pPr>
              <w:tabs>
                <w:tab w:val="left" w:pos="993"/>
              </w:tabs>
              <w:spacing w:line="288" w:lineRule="auto"/>
              <w:ind w:firstLine="709"/>
              <w:jc w:val="left"/>
              <w:rPr>
                <w:rFonts w:eastAsia="Calibri"/>
                <w:sz w:val="24"/>
                <w:szCs w:val="24"/>
                <w:lang w:val="ru-RU"/>
              </w:rPr>
            </w:pPr>
            <w:r w:rsidRPr="006B6A3E">
              <w:rPr>
                <w:rFonts w:eastAsia="Calibri"/>
                <w:sz w:val="24"/>
                <w:szCs w:val="24"/>
                <w:lang w:val="ru-RU"/>
              </w:rPr>
              <w:t>16,63</w:t>
            </w:r>
          </w:p>
        </w:tc>
        <w:tc>
          <w:tcPr>
            <w:tcW w:w="0" w:type="auto"/>
            <w:tcBorders>
              <w:top w:val="single" w:sz="4" w:space="0" w:color="auto"/>
              <w:left w:val="single" w:sz="4" w:space="0" w:color="auto"/>
              <w:bottom w:val="single" w:sz="4" w:space="0" w:color="auto"/>
              <w:right w:val="single" w:sz="4" w:space="0" w:color="auto"/>
            </w:tcBorders>
          </w:tcPr>
          <w:p w:rsidR="006B6A3E" w:rsidRPr="006B6A3E" w:rsidRDefault="006B6A3E" w:rsidP="006B6A3E">
            <w:pPr>
              <w:tabs>
                <w:tab w:val="left" w:pos="993"/>
              </w:tabs>
              <w:spacing w:line="288" w:lineRule="auto"/>
              <w:ind w:firstLine="709"/>
              <w:jc w:val="left"/>
              <w:rPr>
                <w:rFonts w:eastAsia="Calibri"/>
                <w:sz w:val="24"/>
                <w:szCs w:val="24"/>
                <w:lang w:val="ru-RU"/>
              </w:rPr>
            </w:pPr>
            <w:r w:rsidRPr="006B6A3E">
              <w:rPr>
                <w:rFonts w:eastAsia="Calibri"/>
                <w:sz w:val="24"/>
                <w:szCs w:val="24"/>
                <w:lang w:val="ru-RU"/>
              </w:rPr>
              <w:t>17,1</w:t>
            </w:r>
          </w:p>
        </w:tc>
      </w:tr>
      <w:tr w:rsidR="006B6A3E" w:rsidRPr="006B6A3E" w:rsidTr="006E3A91">
        <w:tc>
          <w:tcPr>
            <w:tcW w:w="2864" w:type="dxa"/>
            <w:tcBorders>
              <w:top w:val="single" w:sz="4" w:space="0" w:color="auto"/>
              <w:left w:val="single" w:sz="4" w:space="0" w:color="auto"/>
              <w:bottom w:val="single" w:sz="4" w:space="0" w:color="auto"/>
              <w:right w:val="single" w:sz="4" w:space="0" w:color="auto"/>
            </w:tcBorders>
            <w:hideMark/>
          </w:tcPr>
          <w:p w:rsidR="006B6A3E" w:rsidRPr="006B6A3E" w:rsidRDefault="006B6A3E" w:rsidP="006B6A3E">
            <w:pPr>
              <w:tabs>
                <w:tab w:val="left" w:pos="993"/>
              </w:tabs>
              <w:spacing w:line="288" w:lineRule="auto"/>
              <w:rPr>
                <w:rFonts w:eastAsia="Calibri"/>
                <w:sz w:val="24"/>
                <w:szCs w:val="24"/>
                <w:lang w:val="ru-RU"/>
              </w:rPr>
            </w:pPr>
            <w:r w:rsidRPr="006B6A3E">
              <w:rPr>
                <w:rFonts w:eastAsia="Calibri"/>
                <w:sz w:val="24"/>
                <w:szCs w:val="24"/>
                <w:lang w:val="ru-RU"/>
              </w:rPr>
              <w:t>нефрологічні</w:t>
            </w:r>
          </w:p>
        </w:tc>
        <w:tc>
          <w:tcPr>
            <w:tcW w:w="1843" w:type="dxa"/>
            <w:tcBorders>
              <w:top w:val="single" w:sz="4" w:space="0" w:color="auto"/>
              <w:left w:val="single" w:sz="4" w:space="0" w:color="auto"/>
              <w:bottom w:val="single" w:sz="4" w:space="0" w:color="auto"/>
              <w:right w:val="single" w:sz="4" w:space="0" w:color="auto"/>
            </w:tcBorders>
          </w:tcPr>
          <w:p w:rsidR="006B6A3E" w:rsidRPr="006B6A3E" w:rsidRDefault="006B6A3E" w:rsidP="006B6A3E">
            <w:pPr>
              <w:tabs>
                <w:tab w:val="left" w:pos="993"/>
              </w:tabs>
              <w:spacing w:line="288" w:lineRule="auto"/>
              <w:ind w:firstLine="709"/>
              <w:jc w:val="left"/>
              <w:rPr>
                <w:rFonts w:eastAsia="Calibri"/>
                <w:sz w:val="24"/>
                <w:szCs w:val="24"/>
                <w:lang w:val="ru-RU"/>
              </w:rPr>
            </w:pPr>
            <w:r w:rsidRPr="006B6A3E">
              <w:rPr>
                <w:rFonts w:eastAsia="Calibri"/>
                <w:sz w:val="24"/>
                <w:szCs w:val="24"/>
                <w:lang w:val="ru-RU"/>
              </w:rPr>
              <w:t>330,71</w:t>
            </w:r>
          </w:p>
        </w:tc>
        <w:tc>
          <w:tcPr>
            <w:tcW w:w="1984" w:type="dxa"/>
            <w:tcBorders>
              <w:top w:val="single" w:sz="4" w:space="0" w:color="auto"/>
              <w:left w:val="single" w:sz="4" w:space="0" w:color="auto"/>
              <w:bottom w:val="single" w:sz="4" w:space="0" w:color="auto"/>
              <w:right w:val="single" w:sz="4" w:space="0" w:color="auto"/>
            </w:tcBorders>
          </w:tcPr>
          <w:p w:rsidR="006B6A3E" w:rsidRPr="006B6A3E" w:rsidRDefault="006B6A3E" w:rsidP="006B6A3E">
            <w:pPr>
              <w:tabs>
                <w:tab w:val="left" w:pos="993"/>
              </w:tabs>
              <w:spacing w:line="288" w:lineRule="auto"/>
              <w:ind w:firstLine="709"/>
              <w:jc w:val="left"/>
              <w:rPr>
                <w:rFonts w:eastAsia="Calibri"/>
                <w:sz w:val="24"/>
                <w:szCs w:val="24"/>
                <w:lang w:val="ru-RU"/>
              </w:rPr>
            </w:pPr>
            <w:r w:rsidRPr="006B6A3E">
              <w:rPr>
                <w:rFonts w:eastAsia="Calibri"/>
                <w:sz w:val="24"/>
                <w:szCs w:val="24"/>
                <w:lang w:val="ru-RU"/>
              </w:rPr>
              <w:t>364,34</w:t>
            </w:r>
          </w:p>
        </w:tc>
        <w:tc>
          <w:tcPr>
            <w:tcW w:w="1792" w:type="dxa"/>
            <w:tcBorders>
              <w:top w:val="single" w:sz="4" w:space="0" w:color="auto"/>
              <w:left w:val="single" w:sz="4" w:space="0" w:color="auto"/>
              <w:bottom w:val="single" w:sz="4" w:space="0" w:color="auto"/>
              <w:right w:val="single" w:sz="4" w:space="0" w:color="auto"/>
            </w:tcBorders>
          </w:tcPr>
          <w:p w:rsidR="006B6A3E" w:rsidRPr="006B6A3E" w:rsidRDefault="006B6A3E" w:rsidP="006B6A3E">
            <w:pPr>
              <w:tabs>
                <w:tab w:val="left" w:pos="993"/>
              </w:tabs>
              <w:spacing w:line="288" w:lineRule="auto"/>
              <w:ind w:firstLine="709"/>
              <w:jc w:val="left"/>
              <w:rPr>
                <w:rFonts w:eastAsia="Calibri"/>
                <w:sz w:val="24"/>
                <w:szCs w:val="24"/>
                <w:lang w:val="ru-RU"/>
              </w:rPr>
            </w:pPr>
            <w:r w:rsidRPr="006B6A3E">
              <w:rPr>
                <w:rFonts w:eastAsia="Calibri"/>
                <w:sz w:val="24"/>
                <w:szCs w:val="24"/>
                <w:lang w:val="ru-RU"/>
              </w:rPr>
              <w:t>12,08</w:t>
            </w:r>
          </w:p>
        </w:tc>
        <w:tc>
          <w:tcPr>
            <w:tcW w:w="0" w:type="auto"/>
            <w:tcBorders>
              <w:top w:val="single" w:sz="4" w:space="0" w:color="auto"/>
              <w:left w:val="single" w:sz="4" w:space="0" w:color="auto"/>
              <w:bottom w:val="single" w:sz="4" w:space="0" w:color="auto"/>
              <w:right w:val="single" w:sz="4" w:space="0" w:color="auto"/>
            </w:tcBorders>
          </w:tcPr>
          <w:p w:rsidR="006B6A3E" w:rsidRPr="006B6A3E" w:rsidRDefault="006B6A3E" w:rsidP="006B6A3E">
            <w:pPr>
              <w:tabs>
                <w:tab w:val="left" w:pos="993"/>
              </w:tabs>
              <w:spacing w:line="288" w:lineRule="auto"/>
              <w:ind w:firstLine="709"/>
              <w:jc w:val="left"/>
              <w:rPr>
                <w:rFonts w:eastAsia="Calibri"/>
                <w:sz w:val="24"/>
                <w:szCs w:val="24"/>
                <w:lang w:val="ru-RU"/>
              </w:rPr>
            </w:pPr>
            <w:r w:rsidRPr="006B6A3E">
              <w:rPr>
                <w:rFonts w:eastAsia="Calibri"/>
                <w:sz w:val="24"/>
                <w:szCs w:val="24"/>
                <w:lang w:val="ru-RU"/>
              </w:rPr>
              <w:t>11,4</w:t>
            </w:r>
          </w:p>
        </w:tc>
      </w:tr>
      <w:tr w:rsidR="006B6A3E" w:rsidRPr="006B6A3E" w:rsidTr="006E3A91">
        <w:tc>
          <w:tcPr>
            <w:tcW w:w="2864" w:type="dxa"/>
            <w:tcBorders>
              <w:top w:val="single" w:sz="4" w:space="0" w:color="auto"/>
              <w:left w:val="single" w:sz="4" w:space="0" w:color="auto"/>
              <w:bottom w:val="single" w:sz="4" w:space="0" w:color="auto"/>
              <w:right w:val="single" w:sz="4" w:space="0" w:color="auto"/>
            </w:tcBorders>
            <w:hideMark/>
          </w:tcPr>
          <w:p w:rsidR="006B6A3E" w:rsidRPr="006B6A3E" w:rsidRDefault="006B6A3E" w:rsidP="006B6A3E">
            <w:pPr>
              <w:tabs>
                <w:tab w:val="left" w:pos="993"/>
              </w:tabs>
              <w:spacing w:line="288" w:lineRule="auto"/>
              <w:rPr>
                <w:rFonts w:eastAsia="Calibri"/>
                <w:sz w:val="24"/>
                <w:szCs w:val="24"/>
                <w:lang w:val="ru-RU"/>
              </w:rPr>
            </w:pPr>
            <w:r w:rsidRPr="006B6A3E">
              <w:rPr>
                <w:rFonts w:eastAsia="Calibri"/>
                <w:sz w:val="24"/>
                <w:szCs w:val="24"/>
                <w:lang w:val="ru-RU"/>
              </w:rPr>
              <w:t>інфекційні</w:t>
            </w:r>
          </w:p>
        </w:tc>
        <w:tc>
          <w:tcPr>
            <w:tcW w:w="1843" w:type="dxa"/>
            <w:tcBorders>
              <w:top w:val="single" w:sz="4" w:space="0" w:color="auto"/>
              <w:left w:val="single" w:sz="4" w:space="0" w:color="auto"/>
              <w:bottom w:val="single" w:sz="4" w:space="0" w:color="auto"/>
              <w:right w:val="single" w:sz="4" w:space="0" w:color="auto"/>
            </w:tcBorders>
          </w:tcPr>
          <w:p w:rsidR="006B6A3E" w:rsidRPr="006B6A3E" w:rsidRDefault="006B6A3E" w:rsidP="006B6A3E">
            <w:pPr>
              <w:tabs>
                <w:tab w:val="left" w:pos="993"/>
              </w:tabs>
              <w:spacing w:line="288" w:lineRule="auto"/>
              <w:ind w:firstLine="709"/>
              <w:jc w:val="left"/>
              <w:rPr>
                <w:rFonts w:eastAsia="Calibri"/>
                <w:sz w:val="24"/>
                <w:szCs w:val="24"/>
                <w:lang w:val="ru-RU"/>
              </w:rPr>
            </w:pPr>
            <w:r w:rsidRPr="006B6A3E">
              <w:rPr>
                <w:rFonts w:eastAsia="Calibri"/>
                <w:sz w:val="24"/>
                <w:szCs w:val="24"/>
                <w:lang w:val="ru-RU"/>
              </w:rPr>
              <w:t>275,55</w:t>
            </w:r>
          </w:p>
        </w:tc>
        <w:tc>
          <w:tcPr>
            <w:tcW w:w="1984" w:type="dxa"/>
            <w:tcBorders>
              <w:top w:val="single" w:sz="4" w:space="0" w:color="auto"/>
              <w:left w:val="single" w:sz="4" w:space="0" w:color="auto"/>
              <w:bottom w:val="single" w:sz="4" w:space="0" w:color="auto"/>
              <w:right w:val="single" w:sz="4" w:space="0" w:color="auto"/>
            </w:tcBorders>
          </w:tcPr>
          <w:p w:rsidR="006B6A3E" w:rsidRPr="006B6A3E" w:rsidRDefault="006B6A3E" w:rsidP="006B6A3E">
            <w:pPr>
              <w:tabs>
                <w:tab w:val="left" w:pos="993"/>
              </w:tabs>
              <w:spacing w:line="288" w:lineRule="auto"/>
              <w:ind w:firstLine="709"/>
              <w:jc w:val="left"/>
              <w:rPr>
                <w:rFonts w:eastAsia="Calibri"/>
                <w:sz w:val="24"/>
                <w:szCs w:val="24"/>
                <w:lang w:val="ru-RU"/>
              </w:rPr>
            </w:pPr>
            <w:r w:rsidRPr="006B6A3E">
              <w:rPr>
                <w:rFonts w:eastAsia="Calibri"/>
                <w:sz w:val="24"/>
                <w:szCs w:val="24"/>
                <w:lang w:val="ru-RU"/>
              </w:rPr>
              <w:t>269,98</w:t>
            </w:r>
          </w:p>
        </w:tc>
        <w:tc>
          <w:tcPr>
            <w:tcW w:w="1792" w:type="dxa"/>
            <w:tcBorders>
              <w:top w:val="single" w:sz="4" w:space="0" w:color="auto"/>
              <w:left w:val="single" w:sz="4" w:space="0" w:color="auto"/>
              <w:bottom w:val="single" w:sz="4" w:space="0" w:color="auto"/>
              <w:right w:val="single" w:sz="4" w:space="0" w:color="auto"/>
            </w:tcBorders>
          </w:tcPr>
          <w:p w:rsidR="006B6A3E" w:rsidRPr="006B6A3E" w:rsidRDefault="006B6A3E" w:rsidP="006B6A3E">
            <w:pPr>
              <w:tabs>
                <w:tab w:val="left" w:pos="993"/>
              </w:tabs>
              <w:spacing w:line="288" w:lineRule="auto"/>
              <w:ind w:firstLine="709"/>
              <w:jc w:val="left"/>
              <w:rPr>
                <w:rFonts w:eastAsia="Calibri"/>
                <w:sz w:val="24"/>
                <w:szCs w:val="24"/>
                <w:lang w:val="ru-RU"/>
              </w:rPr>
            </w:pPr>
            <w:r w:rsidRPr="006B6A3E">
              <w:rPr>
                <w:rFonts w:eastAsia="Calibri"/>
                <w:sz w:val="24"/>
                <w:szCs w:val="24"/>
                <w:lang w:val="ru-RU"/>
              </w:rPr>
              <w:t>7,19</w:t>
            </w:r>
          </w:p>
        </w:tc>
        <w:tc>
          <w:tcPr>
            <w:tcW w:w="0" w:type="auto"/>
            <w:tcBorders>
              <w:top w:val="single" w:sz="4" w:space="0" w:color="auto"/>
              <w:left w:val="single" w:sz="4" w:space="0" w:color="auto"/>
              <w:bottom w:val="single" w:sz="4" w:space="0" w:color="auto"/>
              <w:right w:val="single" w:sz="4" w:space="0" w:color="auto"/>
            </w:tcBorders>
          </w:tcPr>
          <w:p w:rsidR="006B6A3E" w:rsidRPr="006B6A3E" w:rsidRDefault="006B6A3E" w:rsidP="006B6A3E">
            <w:pPr>
              <w:tabs>
                <w:tab w:val="left" w:pos="993"/>
              </w:tabs>
              <w:spacing w:line="288" w:lineRule="auto"/>
              <w:ind w:firstLine="709"/>
              <w:jc w:val="left"/>
              <w:rPr>
                <w:rFonts w:eastAsia="Calibri"/>
                <w:sz w:val="24"/>
                <w:szCs w:val="24"/>
                <w:lang w:val="ru-RU"/>
              </w:rPr>
            </w:pPr>
            <w:r w:rsidRPr="006B6A3E">
              <w:rPr>
                <w:rFonts w:eastAsia="Calibri"/>
                <w:sz w:val="24"/>
                <w:szCs w:val="24"/>
                <w:lang w:val="ru-RU"/>
              </w:rPr>
              <w:t>6,8</w:t>
            </w:r>
          </w:p>
        </w:tc>
      </w:tr>
      <w:tr w:rsidR="006B6A3E" w:rsidRPr="006B6A3E" w:rsidTr="006E3A91">
        <w:tc>
          <w:tcPr>
            <w:tcW w:w="2864" w:type="dxa"/>
            <w:tcBorders>
              <w:top w:val="single" w:sz="4" w:space="0" w:color="auto"/>
              <w:left w:val="single" w:sz="4" w:space="0" w:color="auto"/>
              <w:bottom w:val="single" w:sz="4" w:space="0" w:color="auto"/>
              <w:right w:val="single" w:sz="4" w:space="0" w:color="auto"/>
            </w:tcBorders>
            <w:hideMark/>
          </w:tcPr>
          <w:p w:rsidR="006B6A3E" w:rsidRPr="006B6A3E" w:rsidRDefault="006B6A3E" w:rsidP="006B6A3E">
            <w:pPr>
              <w:tabs>
                <w:tab w:val="left" w:pos="993"/>
              </w:tabs>
              <w:spacing w:line="288" w:lineRule="auto"/>
              <w:rPr>
                <w:rFonts w:eastAsia="Calibri"/>
                <w:sz w:val="24"/>
                <w:szCs w:val="24"/>
                <w:lang w:val="ru-RU"/>
              </w:rPr>
            </w:pPr>
            <w:r w:rsidRPr="006B6A3E">
              <w:rPr>
                <w:rFonts w:eastAsia="Calibri"/>
                <w:sz w:val="24"/>
                <w:szCs w:val="24"/>
                <w:lang w:val="ru-RU"/>
              </w:rPr>
              <w:t>хірургічні</w:t>
            </w:r>
          </w:p>
        </w:tc>
        <w:tc>
          <w:tcPr>
            <w:tcW w:w="1843" w:type="dxa"/>
            <w:tcBorders>
              <w:top w:val="single" w:sz="4" w:space="0" w:color="auto"/>
              <w:left w:val="single" w:sz="4" w:space="0" w:color="auto"/>
              <w:bottom w:val="single" w:sz="4" w:space="0" w:color="auto"/>
              <w:right w:val="single" w:sz="4" w:space="0" w:color="auto"/>
            </w:tcBorders>
          </w:tcPr>
          <w:p w:rsidR="006B6A3E" w:rsidRPr="006B6A3E" w:rsidRDefault="006B6A3E" w:rsidP="006B6A3E">
            <w:pPr>
              <w:tabs>
                <w:tab w:val="left" w:pos="993"/>
              </w:tabs>
              <w:spacing w:line="288" w:lineRule="auto"/>
              <w:ind w:firstLine="709"/>
              <w:jc w:val="left"/>
              <w:rPr>
                <w:rFonts w:eastAsia="Calibri"/>
                <w:sz w:val="24"/>
                <w:szCs w:val="24"/>
                <w:lang w:val="ru-RU"/>
              </w:rPr>
            </w:pPr>
            <w:r w:rsidRPr="006B6A3E">
              <w:rPr>
                <w:rFonts w:eastAsia="Calibri"/>
                <w:sz w:val="24"/>
                <w:szCs w:val="24"/>
                <w:lang w:val="ru-RU"/>
              </w:rPr>
              <w:t>312,13</w:t>
            </w:r>
          </w:p>
        </w:tc>
        <w:tc>
          <w:tcPr>
            <w:tcW w:w="1984" w:type="dxa"/>
            <w:tcBorders>
              <w:top w:val="single" w:sz="4" w:space="0" w:color="auto"/>
              <w:left w:val="single" w:sz="4" w:space="0" w:color="auto"/>
              <w:bottom w:val="single" w:sz="4" w:space="0" w:color="auto"/>
              <w:right w:val="single" w:sz="4" w:space="0" w:color="auto"/>
            </w:tcBorders>
          </w:tcPr>
          <w:p w:rsidR="006B6A3E" w:rsidRPr="006B6A3E" w:rsidRDefault="006B6A3E" w:rsidP="006B6A3E">
            <w:pPr>
              <w:tabs>
                <w:tab w:val="left" w:pos="993"/>
              </w:tabs>
              <w:spacing w:line="288" w:lineRule="auto"/>
              <w:ind w:firstLine="709"/>
              <w:jc w:val="left"/>
              <w:rPr>
                <w:rFonts w:eastAsia="Calibri"/>
                <w:sz w:val="24"/>
                <w:szCs w:val="24"/>
                <w:lang w:val="ru-RU"/>
              </w:rPr>
            </w:pPr>
            <w:r w:rsidRPr="006B6A3E">
              <w:rPr>
                <w:rFonts w:eastAsia="Calibri"/>
                <w:sz w:val="24"/>
                <w:szCs w:val="24"/>
                <w:lang w:val="ru-RU"/>
              </w:rPr>
              <w:t>303,55</w:t>
            </w:r>
          </w:p>
        </w:tc>
        <w:tc>
          <w:tcPr>
            <w:tcW w:w="1792" w:type="dxa"/>
            <w:tcBorders>
              <w:top w:val="single" w:sz="4" w:space="0" w:color="auto"/>
              <w:left w:val="single" w:sz="4" w:space="0" w:color="auto"/>
              <w:bottom w:val="single" w:sz="4" w:space="0" w:color="auto"/>
              <w:right w:val="single" w:sz="4" w:space="0" w:color="auto"/>
            </w:tcBorders>
          </w:tcPr>
          <w:p w:rsidR="006B6A3E" w:rsidRPr="006B6A3E" w:rsidRDefault="006B6A3E" w:rsidP="006B6A3E">
            <w:pPr>
              <w:tabs>
                <w:tab w:val="left" w:pos="993"/>
              </w:tabs>
              <w:spacing w:line="288" w:lineRule="auto"/>
              <w:ind w:firstLine="709"/>
              <w:jc w:val="left"/>
              <w:rPr>
                <w:rFonts w:eastAsia="Calibri"/>
                <w:sz w:val="24"/>
                <w:szCs w:val="24"/>
                <w:lang w:val="ru-RU"/>
              </w:rPr>
            </w:pPr>
            <w:r w:rsidRPr="006B6A3E">
              <w:rPr>
                <w:rFonts w:eastAsia="Calibri"/>
                <w:sz w:val="24"/>
                <w:szCs w:val="24"/>
                <w:lang w:val="ru-RU"/>
              </w:rPr>
              <w:t>6,22</w:t>
            </w:r>
          </w:p>
        </w:tc>
        <w:tc>
          <w:tcPr>
            <w:tcW w:w="0" w:type="auto"/>
            <w:tcBorders>
              <w:top w:val="single" w:sz="4" w:space="0" w:color="auto"/>
              <w:left w:val="single" w:sz="4" w:space="0" w:color="auto"/>
              <w:bottom w:val="single" w:sz="4" w:space="0" w:color="auto"/>
              <w:right w:val="single" w:sz="4" w:space="0" w:color="auto"/>
            </w:tcBorders>
          </w:tcPr>
          <w:p w:rsidR="006B6A3E" w:rsidRPr="006B6A3E" w:rsidRDefault="006B6A3E" w:rsidP="006B6A3E">
            <w:pPr>
              <w:tabs>
                <w:tab w:val="left" w:pos="993"/>
              </w:tabs>
              <w:spacing w:line="288" w:lineRule="auto"/>
              <w:ind w:firstLine="709"/>
              <w:jc w:val="left"/>
              <w:rPr>
                <w:rFonts w:eastAsia="Calibri"/>
                <w:sz w:val="24"/>
                <w:szCs w:val="24"/>
                <w:lang w:val="ru-RU"/>
              </w:rPr>
            </w:pPr>
            <w:r w:rsidRPr="006B6A3E">
              <w:rPr>
                <w:rFonts w:eastAsia="Calibri"/>
                <w:sz w:val="24"/>
                <w:szCs w:val="24"/>
                <w:lang w:val="ru-RU"/>
              </w:rPr>
              <w:t>5,92</w:t>
            </w:r>
          </w:p>
        </w:tc>
      </w:tr>
      <w:tr w:rsidR="006B6A3E" w:rsidRPr="006B6A3E" w:rsidTr="006E3A91">
        <w:tc>
          <w:tcPr>
            <w:tcW w:w="2864" w:type="dxa"/>
            <w:tcBorders>
              <w:top w:val="single" w:sz="4" w:space="0" w:color="auto"/>
              <w:left w:val="single" w:sz="4" w:space="0" w:color="auto"/>
              <w:bottom w:val="single" w:sz="4" w:space="0" w:color="auto"/>
              <w:right w:val="single" w:sz="4" w:space="0" w:color="auto"/>
            </w:tcBorders>
            <w:hideMark/>
          </w:tcPr>
          <w:p w:rsidR="006B6A3E" w:rsidRPr="006B6A3E" w:rsidRDefault="006B6A3E" w:rsidP="006B6A3E">
            <w:pPr>
              <w:tabs>
                <w:tab w:val="left" w:pos="993"/>
              </w:tabs>
              <w:spacing w:line="288" w:lineRule="auto"/>
              <w:rPr>
                <w:rFonts w:eastAsia="Calibri"/>
                <w:sz w:val="24"/>
                <w:szCs w:val="24"/>
                <w:lang w:val="ru-RU"/>
              </w:rPr>
            </w:pPr>
            <w:r w:rsidRPr="006B6A3E">
              <w:rPr>
                <w:rFonts w:eastAsia="Calibri"/>
                <w:sz w:val="24"/>
                <w:szCs w:val="24"/>
                <w:lang w:val="ru-RU"/>
              </w:rPr>
              <w:t>нейрохірургічні</w:t>
            </w:r>
          </w:p>
        </w:tc>
        <w:tc>
          <w:tcPr>
            <w:tcW w:w="1843" w:type="dxa"/>
            <w:tcBorders>
              <w:top w:val="single" w:sz="4" w:space="0" w:color="auto"/>
              <w:left w:val="single" w:sz="4" w:space="0" w:color="auto"/>
              <w:bottom w:val="single" w:sz="4" w:space="0" w:color="auto"/>
              <w:right w:val="single" w:sz="4" w:space="0" w:color="auto"/>
            </w:tcBorders>
          </w:tcPr>
          <w:p w:rsidR="006B6A3E" w:rsidRPr="006B6A3E" w:rsidRDefault="006B6A3E" w:rsidP="006B6A3E">
            <w:pPr>
              <w:tabs>
                <w:tab w:val="left" w:pos="993"/>
              </w:tabs>
              <w:spacing w:line="288" w:lineRule="auto"/>
              <w:ind w:firstLine="709"/>
              <w:jc w:val="left"/>
              <w:rPr>
                <w:rFonts w:eastAsia="Calibri"/>
                <w:sz w:val="24"/>
                <w:szCs w:val="24"/>
                <w:lang w:val="ru-RU"/>
              </w:rPr>
            </w:pPr>
            <w:r w:rsidRPr="006B6A3E">
              <w:rPr>
                <w:rFonts w:eastAsia="Calibri"/>
                <w:sz w:val="24"/>
                <w:szCs w:val="24"/>
                <w:lang w:val="ru-RU"/>
              </w:rPr>
              <w:t>300,98</w:t>
            </w:r>
          </w:p>
        </w:tc>
        <w:tc>
          <w:tcPr>
            <w:tcW w:w="1984" w:type="dxa"/>
            <w:tcBorders>
              <w:top w:val="single" w:sz="4" w:space="0" w:color="auto"/>
              <w:left w:val="single" w:sz="4" w:space="0" w:color="auto"/>
              <w:bottom w:val="single" w:sz="4" w:space="0" w:color="auto"/>
              <w:right w:val="single" w:sz="4" w:space="0" w:color="auto"/>
            </w:tcBorders>
          </w:tcPr>
          <w:p w:rsidR="006B6A3E" w:rsidRPr="006B6A3E" w:rsidRDefault="006B6A3E" w:rsidP="006B6A3E">
            <w:pPr>
              <w:tabs>
                <w:tab w:val="left" w:pos="993"/>
              </w:tabs>
              <w:spacing w:line="288" w:lineRule="auto"/>
              <w:ind w:firstLine="709"/>
              <w:jc w:val="left"/>
              <w:rPr>
                <w:rFonts w:eastAsia="Calibri"/>
                <w:sz w:val="24"/>
                <w:szCs w:val="24"/>
                <w:lang w:val="ru-RU"/>
              </w:rPr>
            </w:pPr>
            <w:r w:rsidRPr="006B6A3E">
              <w:rPr>
                <w:rFonts w:eastAsia="Calibri"/>
                <w:sz w:val="24"/>
                <w:szCs w:val="24"/>
                <w:lang w:val="ru-RU"/>
              </w:rPr>
              <w:t>280,25</w:t>
            </w:r>
          </w:p>
        </w:tc>
        <w:tc>
          <w:tcPr>
            <w:tcW w:w="1792" w:type="dxa"/>
            <w:tcBorders>
              <w:top w:val="single" w:sz="4" w:space="0" w:color="auto"/>
              <w:left w:val="single" w:sz="4" w:space="0" w:color="auto"/>
              <w:bottom w:val="single" w:sz="4" w:space="0" w:color="auto"/>
              <w:right w:val="single" w:sz="4" w:space="0" w:color="auto"/>
            </w:tcBorders>
          </w:tcPr>
          <w:p w:rsidR="006B6A3E" w:rsidRPr="006B6A3E" w:rsidRDefault="006B6A3E" w:rsidP="006B6A3E">
            <w:pPr>
              <w:tabs>
                <w:tab w:val="left" w:pos="993"/>
              </w:tabs>
              <w:spacing w:line="288" w:lineRule="auto"/>
              <w:ind w:firstLine="709"/>
              <w:jc w:val="left"/>
              <w:rPr>
                <w:rFonts w:eastAsia="Calibri"/>
                <w:sz w:val="24"/>
                <w:szCs w:val="24"/>
                <w:lang w:val="ru-RU"/>
              </w:rPr>
            </w:pPr>
            <w:r w:rsidRPr="006B6A3E">
              <w:rPr>
                <w:rFonts w:eastAsia="Calibri"/>
                <w:sz w:val="24"/>
                <w:szCs w:val="24"/>
                <w:lang w:val="ru-RU"/>
              </w:rPr>
              <w:t>7,87</w:t>
            </w:r>
          </w:p>
        </w:tc>
        <w:tc>
          <w:tcPr>
            <w:tcW w:w="0" w:type="auto"/>
            <w:tcBorders>
              <w:top w:val="single" w:sz="4" w:space="0" w:color="auto"/>
              <w:left w:val="single" w:sz="4" w:space="0" w:color="auto"/>
              <w:bottom w:val="single" w:sz="4" w:space="0" w:color="auto"/>
              <w:right w:val="single" w:sz="4" w:space="0" w:color="auto"/>
            </w:tcBorders>
          </w:tcPr>
          <w:p w:rsidR="006B6A3E" w:rsidRPr="006B6A3E" w:rsidRDefault="006B6A3E" w:rsidP="006B6A3E">
            <w:pPr>
              <w:tabs>
                <w:tab w:val="left" w:pos="993"/>
              </w:tabs>
              <w:spacing w:line="288" w:lineRule="auto"/>
              <w:ind w:firstLine="709"/>
              <w:jc w:val="left"/>
              <w:rPr>
                <w:rFonts w:eastAsia="Calibri"/>
                <w:sz w:val="24"/>
                <w:szCs w:val="24"/>
                <w:lang w:val="ru-RU"/>
              </w:rPr>
            </w:pPr>
            <w:r w:rsidRPr="006B6A3E">
              <w:rPr>
                <w:rFonts w:eastAsia="Calibri"/>
                <w:sz w:val="24"/>
                <w:szCs w:val="24"/>
                <w:lang w:val="ru-RU"/>
              </w:rPr>
              <w:t>7,57</w:t>
            </w:r>
          </w:p>
        </w:tc>
      </w:tr>
      <w:tr w:rsidR="006B6A3E" w:rsidRPr="006B6A3E" w:rsidTr="006E3A91">
        <w:tc>
          <w:tcPr>
            <w:tcW w:w="2864" w:type="dxa"/>
            <w:tcBorders>
              <w:top w:val="single" w:sz="4" w:space="0" w:color="auto"/>
              <w:left w:val="single" w:sz="4" w:space="0" w:color="auto"/>
              <w:bottom w:val="single" w:sz="4" w:space="0" w:color="auto"/>
              <w:right w:val="single" w:sz="4" w:space="0" w:color="auto"/>
            </w:tcBorders>
            <w:hideMark/>
          </w:tcPr>
          <w:p w:rsidR="006B6A3E" w:rsidRPr="006B6A3E" w:rsidRDefault="006B6A3E" w:rsidP="006B6A3E">
            <w:pPr>
              <w:tabs>
                <w:tab w:val="left" w:pos="993"/>
              </w:tabs>
              <w:spacing w:line="288" w:lineRule="auto"/>
              <w:rPr>
                <w:rFonts w:eastAsia="Calibri"/>
                <w:sz w:val="24"/>
                <w:szCs w:val="24"/>
                <w:lang w:val="ru-RU"/>
              </w:rPr>
            </w:pPr>
            <w:r w:rsidRPr="006B6A3E">
              <w:rPr>
                <w:rFonts w:eastAsia="Calibri"/>
                <w:sz w:val="24"/>
                <w:szCs w:val="24"/>
                <w:lang w:val="ru-RU"/>
              </w:rPr>
              <w:t>торакальної хірургії</w:t>
            </w:r>
          </w:p>
        </w:tc>
        <w:tc>
          <w:tcPr>
            <w:tcW w:w="1843" w:type="dxa"/>
            <w:tcBorders>
              <w:top w:val="single" w:sz="4" w:space="0" w:color="auto"/>
              <w:left w:val="single" w:sz="4" w:space="0" w:color="auto"/>
              <w:bottom w:val="single" w:sz="4" w:space="0" w:color="auto"/>
              <w:right w:val="single" w:sz="4" w:space="0" w:color="auto"/>
            </w:tcBorders>
          </w:tcPr>
          <w:p w:rsidR="006B6A3E" w:rsidRPr="006B6A3E" w:rsidRDefault="006B6A3E" w:rsidP="006B6A3E">
            <w:pPr>
              <w:tabs>
                <w:tab w:val="left" w:pos="993"/>
              </w:tabs>
              <w:spacing w:line="288" w:lineRule="auto"/>
              <w:ind w:firstLine="709"/>
              <w:jc w:val="left"/>
              <w:rPr>
                <w:rFonts w:eastAsia="Calibri"/>
                <w:sz w:val="24"/>
                <w:szCs w:val="24"/>
                <w:lang w:val="ru-RU"/>
              </w:rPr>
            </w:pPr>
            <w:r w:rsidRPr="006B6A3E">
              <w:rPr>
                <w:rFonts w:eastAsia="Calibri"/>
                <w:sz w:val="24"/>
                <w:szCs w:val="24"/>
                <w:lang w:val="ru-RU"/>
              </w:rPr>
              <w:t>276,68</w:t>
            </w:r>
          </w:p>
        </w:tc>
        <w:tc>
          <w:tcPr>
            <w:tcW w:w="1984" w:type="dxa"/>
            <w:tcBorders>
              <w:top w:val="single" w:sz="4" w:space="0" w:color="auto"/>
              <w:left w:val="single" w:sz="4" w:space="0" w:color="auto"/>
              <w:bottom w:val="single" w:sz="4" w:space="0" w:color="auto"/>
              <w:right w:val="single" w:sz="4" w:space="0" w:color="auto"/>
            </w:tcBorders>
          </w:tcPr>
          <w:p w:rsidR="006B6A3E" w:rsidRPr="006B6A3E" w:rsidRDefault="006B6A3E" w:rsidP="006B6A3E">
            <w:pPr>
              <w:tabs>
                <w:tab w:val="left" w:pos="993"/>
              </w:tabs>
              <w:spacing w:line="288" w:lineRule="auto"/>
              <w:ind w:firstLine="709"/>
              <w:jc w:val="left"/>
              <w:rPr>
                <w:rFonts w:eastAsia="Calibri"/>
                <w:sz w:val="24"/>
                <w:szCs w:val="24"/>
                <w:lang w:val="ru-RU"/>
              </w:rPr>
            </w:pPr>
            <w:r w:rsidRPr="006B6A3E">
              <w:rPr>
                <w:rFonts w:eastAsia="Calibri"/>
                <w:sz w:val="24"/>
                <w:szCs w:val="24"/>
                <w:lang w:val="ru-RU"/>
              </w:rPr>
              <w:t>264,77</w:t>
            </w:r>
          </w:p>
        </w:tc>
        <w:tc>
          <w:tcPr>
            <w:tcW w:w="1792" w:type="dxa"/>
            <w:tcBorders>
              <w:top w:val="single" w:sz="4" w:space="0" w:color="auto"/>
              <w:left w:val="single" w:sz="4" w:space="0" w:color="auto"/>
              <w:bottom w:val="single" w:sz="4" w:space="0" w:color="auto"/>
              <w:right w:val="single" w:sz="4" w:space="0" w:color="auto"/>
            </w:tcBorders>
          </w:tcPr>
          <w:p w:rsidR="006B6A3E" w:rsidRPr="006B6A3E" w:rsidRDefault="006B6A3E" w:rsidP="006B6A3E">
            <w:pPr>
              <w:tabs>
                <w:tab w:val="left" w:pos="993"/>
              </w:tabs>
              <w:spacing w:line="288" w:lineRule="auto"/>
              <w:ind w:firstLine="709"/>
              <w:jc w:val="left"/>
              <w:rPr>
                <w:rFonts w:eastAsia="Calibri"/>
                <w:sz w:val="24"/>
                <w:szCs w:val="24"/>
                <w:lang w:val="ru-RU"/>
              </w:rPr>
            </w:pPr>
            <w:r w:rsidRPr="006B6A3E">
              <w:rPr>
                <w:rFonts w:eastAsia="Calibri"/>
                <w:sz w:val="24"/>
                <w:szCs w:val="24"/>
                <w:lang w:val="ru-RU"/>
              </w:rPr>
              <w:t>10,30</w:t>
            </w:r>
          </w:p>
        </w:tc>
        <w:tc>
          <w:tcPr>
            <w:tcW w:w="0" w:type="auto"/>
            <w:tcBorders>
              <w:top w:val="single" w:sz="4" w:space="0" w:color="auto"/>
              <w:left w:val="single" w:sz="4" w:space="0" w:color="auto"/>
              <w:bottom w:val="single" w:sz="4" w:space="0" w:color="auto"/>
              <w:right w:val="single" w:sz="4" w:space="0" w:color="auto"/>
            </w:tcBorders>
          </w:tcPr>
          <w:p w:rsidR="006B6A3E" w:rsidRPr="006B6A3E" w:rsidRDefault="006B6A3E" w:rsidP="006B6A3E">
            <w:pPr>
              <w:tabs>
                <w:tab w:val="left" w:pos="993"/>
              </w:tabs>
              <w:spacing w:line="288" w:lineRule="auto"/>
              <w:ind w:firstLine="709"/>
              <w:jc w:val="left"/>
              <w:rPr>
                <w:rFonts w:eastAsia="Calibri"/>
                <w:sz w:val="24"/>
                <w:szCs w:val="24"/>
                <w:lang w:val="ru-RU"/>
              </w:rPr>
            </w:pPr>
            <w:r w:rsidRPr="006B6A3E">
              <w:rPr>
                <w:rFonts w:eastAsia="Calibri"/>
                <w:sz w:val="24"/>
                <w:szCs w:val="24"/>
                <w:lang w:val="ru-RU"/>
              </w:rPr>
              <w:t>9,74</w:t>
            </w:r>
          </w:p>
        </w:tc>
      </w:tr>
      <w:tr w:rsidR="006B6A3E" w:rsidRPr="006B6A3E" w:rsidTr="006E3A91">
        <w:tc>
          <w:tcPr>
            <w:tcW w:w="2864" w:type="dxa"/>
            <w:tcBorders>
              <w:top w:val="single" w:sz="4" w:space="0" w:color="auto"/>
              <w:left w:val="single" w:sz="4" w:space="0" w:color="auto"/>
              <w:bottom w:val="single" w:sz="4" w:space="0" w:color="auto"/>
              <w:right w:val="single" w:sz="4" w:space="0" w:color="auto"/>
            </w:tcBorders>
            <w:hideMark/>
          </w:tcPr>
          <w:p w:rsidR="006B6A3E" w:rsidRPr="006B6A3E" w:rsidRDefault="006B6A3E" w:rsidP="006B6A3E">
            <w:pPr>
              <w:tabs>
                <w:tab w:val="left" w:pos="993"/>
              </w:tabs>
              <w:spacing w:line="288" w:lineRule="auto"/>
              <w:rPr>
                <w:rFonts w:eastAsia="Calibri"/>
                <w:sz w:val="24"/>
                <w:szCs w:val="24"/>
                <w:lang w:val="ru-RU"/>
              </w:rPr>
            </w:pPr>
            <w:r w:rsidRPr="006B6A3E">
              <w:rPr>
                <w:rFonts w:eastAsia="Calibri"/>
                <w:sz w:val="24"/>
                <w:szCs w:val="24"/>
                <w:lang w:val="ru-RU"/>
              </w:rPr>
              <w:t>гнійної хірургії</w:t>
            </w:r>
          </w:p>
        </w:tc>
        <w:tc>
          <w:tcPr>
            <w:tcW w:w="1843" w:type="dxa"/>
            <w:tcBorders>
              <w:top w:val="single" w:sz="4" w:space="0" w:color="auto"/>
              <w:left w:val="single" w:sz="4" w:space="0" w:color="auto"/>
              <w:bottom w:val="single" w:sz="4" w:space="0" w:color="auto"/>
              <w:right w:val="single" w:sz="4" w:space="0" w:color="auto"/>
            </w:tcBorders>
          </w:tcPr>
          <w:p w:rsidR="006B6A3E" w:rsidRPr="006B6A3E" w:rsidRDefault="006B6A3E" w:rsidP="006B6A3E">
            <w:pPr>
              <w:tabs>
                <w:tab w:val="left" w:pos="993"/>
              </w:tabs>
              <w:spacing w:line="288" w:lineRule="auto"/>
              <w:ind w:firstLine="709"/>
              <w:jc w:val="left"/>
              <w:rPr>
                <w:rFonts w:eastAsia="Calibri"/>
                <w:sz w:val="24"/>
                <w:szCs w:val="24"/>
                <w:lang w:val="ru-RU"/>
              </w:rPr>
            </w:pPr>
            <w:r w:rsidRPr="006B6A3E">
              <w:rPr>
                <w:rFonts w:eastAsia="Calibri"/>
                <w:sz w:val="24"/>
                <w:szCs w:val="24"/>
                <w:lang w:val="ru-RU"/>
              </w:rPr>
              <w:t>303,41</w:t>
            </w:r>
          </w:p>
        </w:tc>
        <w:tc>
          <w:tcPr>
            <w:tcW w:w="1984" w:type="dxa"/>
            <w:tcBorders>
              <w:top w:val="single" w:sz="4" w:space="0" w:color="auto"/>
              <w:left w:val="single" w:sz="4" w:space="0" w:color="auto"/>
              <w:bottom w:val="single" w:sz="4" w:space="0" w:color="auto"/>
              <w:right w:val="single" w:sz="4" w:space="0" w:color="auto"/>
            </w:tcBorders>
          </w:tcPr>
          <w:p w:rsidR="006B6A3E" w:rsidRPr="006B6A3E" w:rsidRDefault="006B6A3E" w:rsidP="006B6A3E">
            <w:pPr>
              <w:tabs>
                <w:tab w:val="left" w:pos="993"/>
              </w:tabs>
              <w:spacing w:line="288" w:lineRule="auto"/>
              <w:ind w:firstLine="709"/>
              <w:jc w:val="left"/>
              <w:rPr>
                <w:rFonts w:eastAsia="Calibri"/>
                <w:sz w:val="24"/>
                <w:szCs w:val="24"/>
                <w:lang w:val="ru-RU"/>
              </w:rPr>
            </w:pPr>
            <w:r w:rsidRPr="006B6A3E">
              <w:rPr>
                <w:rFonts w:eastAsia="Calibri"/>
                <w:sz w:val="24"/>
                <w:szCs w:val="24"/>
                <w:lang w:val="ru-RU"/>
              </w:rPr>
              <w:t>345,35</w:t>
            </w:r>
          </w:p>
        </w:tc>
        <w:tc>
          <w:tcPr>
            <w:tcW w:w="1792" w:type="dxa"/>
            <w:tcBorders>
              <w:top w:val="single" w:sz="4" w:space="0" w:color="auto"/>
              <w:left w:val="single" w:sz="4" w:space="0" w:color="auto"/>
              <w:bottom w:val="single" w:sz="4" w:space="0" w:color="auto"/>
              <w:right w:val="single" w:sz="4" w:space="0" w:color="auto"/>
            </w:tcBorders>
          </w:tcPr>
          <w:p w:rsidR="006B6A3E" w:rsidRPr="006B6A3E" w:rsidRDefault="006B6A3E" w:rsidP="006B6A3E">
            <w:pPr>
              <w:tabs>
                <w:tab w:val="left" w:pos="993"/>
              </w:tabs>
              <w:spacing w:line="288" w:lineRule="auto"/>
              <w:ind w:firstLine="709"/>
              <w:jc w:val="left"/>
              <w:rPr>
                <w:rFonts w:eastAsia="Calibri"/>
                <w:sz w:val="24"/>
                <w:szCs w:val="24"/>
                <w:lang w:val="ru-RU"/>
              </w:rPr>
            </w:pPr>
            <w:r w:rsidRPr="006B6A3E">
              <w:rPr>
                <w:rFonts w:eastAsia="Calibri"/>
                <w:sz w:val="24"/>
                <w:szCs w:val="24"/>
                <w:lang w:val="ru-RU"/>
              </w:rPr>
              <w:t>7,70</w:t>
            </w:r>
          </w:p>
        </w:tc>
        <w:tc>
          <w:tcPr>
            <w:tcW w:w="0" w:type="auto"/>
            <w:tcBorders>
              <w:top w:val="single" w:sz="4" w:space="0" w:color="auto"/>
              <w:left w:val="single" w:sz="4" w:space="0" w:color="auto"/>
              <w:bottom w:val="single" w:sz="4" w:space="0" w:color="auto"/>
              <w:right w:val="single" w:sz="4" w:space="0" w:color="auto"/>
            </w:tcBorders>
          </w:tcPr>
          <w:p w:rsidR="006B6A3E" w:rsidRPr="006B6A3E" w:rsidRDefault="006B6A3E" w:rsidP="006B6A3E">
            <w:pPr>
              <w:tabs>
                <w:tab w:val="left" w:pos="993"/>
              </w:tabs>
              <w:spacing w:line="288" w:lineRule="auto"/>
              <w:ind w:firstLine="709"/>
              <w:jc w:val="left"/>
              <w:rPr>
                <w:rFonts w:eastAsia="Calibri"/>
                <w:sz w:val="24"/>
                <w:szCs w:val="24"/>
                <w:lang w:val="ru-RU"/>
              </w:rPr>
            </w:pPr>
            <w:r w:rsidRPr="006B6A3E">
              <w:rPr>
                <w:rFonts w:eastAsia="Calibri"/>
                <w:sz w:val="24"/>
                <w:szCs w:val="24"/>
                <w:lang w:val="ru-RU"/>
              </w:rPr>
              <w:t>7,65</w:t>
            </w:r>
          </w:p>
        </w:tc>
      </w:tr>
      <w:tr w:rsidR="006B6A3E" w:rsidRPr="006B6A3E" w:rsidTr="006E3A91">
        <w:tc>
          <w:tcPr>
            <w:tcW w:w="2864" w:type="dxa"/>
            <w:tcBorders>
              <w:top w:val="single" w:sz="4" w:space="0" w:color="auto"/>
              <w:left w:val="single" w:sz="4" w:space="0" w:color="auto"/>
              <w:bottom w:val="single" w:sz="4" w:space="0" w:color="auto"/>
              <w:right w:val="single" w:sz="4" w:space="0" w:color="auto"/>
            </w:tcBorders>
            <w:hideMark/>
          </w:tcPr>
          <w:p w:rsidR="006B6A3E" w:rsidRPr="006B6A3E" w:rsidRDefault="006B6A3E" w:rsidP="006B6A3E">
            <w:pPr>
              <w:tabs>
                <w:tab w:val="left" w:pos="993"/>
              </w:tabs>
              <w:spacing w:line="288" w:lineRule="auto"/>
              <w:rPr>
                <w:rFonts w:eastAsia="Calibri"/>
                <w:sz w:val="24"/>
                <w:szCs w:val="24"/>
                <w:lang w:val="ru-RU"/>
              </w:rPr>
            </w:pPr>
            <w:r w:rsidRPr="006B6A3E">
              <w:rPr>
                <w:rFonts w:eastAsia="Calibri"/>
                <w:sz w:val="24"/>
                <w:szCs w:val="24"/>
                <w:lang w:val="ru-RU"/>
              </w:rPr>
              <w:t>травматологічні</w:t>
            </w:r>
          </w:p>
        </w:tc>
        <w:tc>
          <w:tcPr>
            <w:tcW w:w="1843" w:type="dxa"/>
            <w:tcBorders>
              <w:top w:val="single" w:sz="4" w:space="0" w:color="auto"/>
              <w:left w:val="single" w:sz="4" w:space="0" w:color="auto"/>
              <w:bottom w:val="single" w:sz="4" w:space="0" w:color="auto"/>
              <w:right w:val="single" w:sz="4" w:space="0" w:color="auto"/>
            </w:tcBorders>
          </w:tcPr>
          <w:p w:rsidR="006B6A3E" w:rsidRPr="006B6A3E" w:rsidRDefault="006B6A3E" w:rsidP="006B6A3E">
            <w:pPr>
              <w:tabs>
                <w:tab w:val="left" w:pos="993"/>
              </w:tabs>
              <w:spacing w:line="288" w:lineRule="auto"/>
              <w:ind w:firstLine="709"/>
              <w:jc w:val="left"/>
              <w:rPr>
                <w:rFonts w:eastAsia="Calibri"/>
                <w:sz w:val="24"/>
                <w:szCs w:val="24"/>
                <w:lang w:val="ru-RU"/>
              </w:rPr>
            </w:pPr>
            <w:r w:rsidRPr="006B6A3E">
              <w:rPr>
                <w:rFonts w:eastAsia="Calibri"/>
                <w:sz w:val="24"/>
                <w:szCs w:val="24"/>
                <w:lang w:val="ru-RU"/>
              </w:rPr>
              <w:t>341,41</w:t>
            </w:r>
          </w:p>
        </w:tc>
        <w:tc>
          <w:tcPr>
            <w:tcW w:w="1984" w:type="dxa"/>
            <w:tcBorders>
              <w:top w:val="single" w:sz="4" w:space="0" w:color="auto"/>
              <w:left w:val="single" w:sz="4" w:space="0" w:color="auto"/>
              <w:bottom w:val="single" w:sz="4" w:space="0" w:color="auto"/>
              <w:right w:val="single" w:sz="4" w:space="0" w:color="auto"/>
            </w:tcBorders>
          </w:tcPr>
          <w:p w:rsidR="006B6A3E" w:rsidRPr="006B6A3E" w:rsidRDefault="006B6A3E" w:rsidP="006B6A3E">
            <w:pPr>
              <w:tabs>
                <w:tab w:val="left" w:pos="993"/>
              </w:tabs>
              <w:spacing w:line="288" w:lineRule="auto"/>
              <w:ind w:firstLine="709"/>
              <w:jc w:val="left"/>
              <w:rPr>
                <w:rFonts w:eastAsia="Calibri"/>
                <w:sz w:val="24"/>
                <w:szCs w:val="24"/>
                <w:lang w:val="ru-RU"/>
              </w:rPr>
            </w:pPr>
            <w:r w:rsidRPr="006B6A3E">
              <w:rPr>
                <w:rFonts w:eastAsia="Calibri"/>
                <w:sz w:val="24"/>
                <w:szCs w:val="24"/>
                <w:lang w:val="ru-RU"/>
              </w:rPr>
              <w:t>324,25</w:t>
            </w:r>
          </w:p>
        </w:tc>
        <w:tc>
          <w:tcPr>
            <w:tcW w:w="1792" w:type="dxa"/>
            <w:tcBorders>
              <w:top w:val="single" w:sz="4" w:space="0" w:color="auto"/>
              <w:left w:val="single" w:sz="4" w:space="0" w:color="auto"/>
              <w:bottom w:val="single" w:sz="4" w:space="0" w:color="auto"/>
              <w:right w:val="single" w:sz="4" w:space="0" w:color="auto"/>
            </w:tcBorders>
          </w:tcPr>
          <w:p w:rsidR="006B6A3E" w:rsidRPr="006B6A3E" w:rsidRDefault="006B6A3E" w:rsidP="006B6A3E">
            <w:pPr>
              <w:tabs>
                <w:tab w:val="left" w:pos="993"/>
              </w:tabs>
              <w:spacing w:line="288" w:lineRule="auto"/>
              <w:ind w:firstLine="709"/>
              <w:jc w:val="left"/>
              <w:rPr>
                <w:rFonts w:eastAsia="Calibri"/>
                <w:sz w:val="24"/>
                <w:szCs w:val="24"/>
                <w:lang w:val="ru-RU"/>
              </w:rPr>
            </w:pPr>
            <w:r w:rsidRPr="006B6A3E">
              <w:rPr>
                <w:rFonts w:eastAsia="Calibri"/>
                <w:sz w:val="24"/>
                <w:szCs w:val="24"/>
                <w:lang w:val="ru-RU"/>
              </w:rPr>
              <w:t>10,31</w:t>
            </w:r>
          </w:p>
        </w:tc>
        <w:tc>
          <w:tcPr>
            <w:tcW w:w="0" w:type="auto"/>
            <w:tcBorders>
              <w:top w:val="single" w:sz="4" w:space="0" w:color="auto"/>
              <w:left w:val="single" w:sz="4" w:space="0" w:color="auto"/>
              <w:bottom w:val="single" w:sz="4" w:space="0" w:color="auto"/>
              <w:right w:val="single" w:sz="4" w:space="0" w:color="auto"/>
            </w:tcBorders>
          </w:tcPr>
          <w:p w:rsidR="006B6A3E" w:rsidRPr="006B6A3E" w:rsidRDefault="006B6A3E" w:rsidP="006B6A3E">
            <w:pPr>
              <w:tabs>
                <w:tab w:val="left" w:pos="993"/>
              </w:tabs>
              <w:spacing w:line="288" w:lineRule="auto"/>
              <w:ind w:firstLine="709"/>
              <w:jc w:val="left"/>
              <w:rPr>
                <w:rFonts w:eastAsia="Calibri"/>
                <w:sz w:val="24"/>
                <w:szCs w:val="24"/>
                <w:lang w:val="ru-RU"/>
              </w:rPr>
            </w:pPr>
            <w:r w:rsidRPr="006B6A3E">
              <w:rPr>
                <w:rFonts w:eastAsia="Calibri"/>
                <w:sz w:val="24"/>
                <w:szCs w:val="24"/>
                <w:lang w:val="ru-RU"/>
              </w:rPr>
              <w:t>9,89</w:t>
            </w:r>
          </w:p>
        </w:tc>
      </w:tr>
      <w:tr w:rsidR="006B6A3E" w:rsidRPr="006B6A3E" w:rsidTr="006E3A91">
        <w:tc>
          <w:tcPr>
            <w:tcW w:w="2864" w:type="dxa"/>
            <w:tcBorders>
              <w:top w:val="single" w:sz="4" w:space="0" w:color="auto"/>
              <w:left w:val="single" w:sz="4" w:space="0" w:color="auto"/>
              <w:bottom w:val="single" w:sz="4" w:space="0" w:color="auto"/>
              <w:right w:val="single" w:sz="4" w:space="0" w:color="auto"/>
            </w:tcBorders>
            <w:hideMark/>
          </w:tcPr>
          <w:p w:rsidR="006B6A3E" w:rsidRPr="006B6A3E" w:rsidRDefault="006B6A3E" w:rsidP="006B6A3E">
            <w:pPr>
              <w:tabs>
                <w:tab w:val="left" w:pos="993"/>
              </w:tabs>
              <w:spacing w:line="288" w:lineRule="auto"/>
              <w:rPr>
                <w:rFonts w:eastAsia="Calibri"/>
                <w:sz w:val="24"/>
                <w:szCs w:val="24"/>
                <w:lang w:val="ru-RU"/>
              </w:rPr>
            </w:pPr>
            <w:r w:rsidRPr="006B6A3E">
              <w:rPr>
                <w:rFonts w:eastAsia="Calibri"/>
                <w:sz w:val="24"/>
                <w:szCs w:val="24"/>
                <w:lang w:val="ru-RU"/>
              </w:rPr>
              <w:t>ортопедичні</w:t>
            </w:r>
          </w:p>
        </w:tc>
        <w:tc>
          <w:tcPr>
            <w:tcW w:w="1843" w:type="dxa"/>
            <w:tcBorders>
              <w:top w:val="single" w:sz="4" w:space="0" w:color="auto"/>
              <w:left w:val="single" w:sz="4" w:space="0" w:color="auto"/>
              <w:bottom w:val="single" w:sz="4" w:space="0" w:color="auto"/>
              <w:right w:val="single" w:sz="4" w:space="0" w:color="auto"/>
            </w:tcBorders>
          </w:tcPr>
          <w:p w:rsidR="006B6A3E" w:rsidRPr="006B6A3E" w:rsidRDefault="006B6A3E" w:rsidP="006B6A3E">
            <w:pPr>
              <w:tabs>
                <w:tab w:val="left" w:pos="993"/>
              </w:tabs>
              <w:spacing w:line="288" w:lineRule="auto"/>
              <w:ind w:firstLine="709"/>
              <w:jc w:val="left"/>
              <w:rPr>
                <w:rFonts w:eastAsia="Calibri"/>
                <w:sz w:val="24"/>
                <w:szCs w:val="24"/>
                <w:lang w:val="ru-RU"/>
              </w:rPr>
            </w:pPr>
            <w:r w:rsidRPr="006B6A3E">
              <w:rPr>
                <w:rFonts w:eastAsia="Calibri"/>
                <w:sz w:val="24"/>
                <w:szCs w:val="24"/>
                <w:lang w:val="ru-RU"/>
              </w:rPr>
              <w:t>326,73</w:t>
            </w:r>
          </w:p>
        </w:tc>
        <w:tc>
          <w:tcPr>
            <w:tcW w:w="1984" w:type="dxa"/>
            <w:tcBorders>
              <w:top w:val="single" w:sz="4" w:space="0" w:color="auto"/>
              <w:left w:val="single" w:sz="4" w:space="0" w:color="auto"/>
              <w:bottom w:val="single" w:sz="4" w:space="0" w:color="auto"/>
              <w:right w:val="single" w:sz="4" w:space="0" w:color="auto"/>
            </w:tcBorders>
          </w:tcPr>
          <w:p w:rsidR="006B6A3E" w:rsidRPr="006B6A3E" w:rsidRDefault="006B6A3E" w:rsidP="006B6A3E">
            <w:pPr>
              <w:tabs>
                <w:tab w:val="left" w:pos="993"/>
              </w:tabs>
              <w:spacing w:line="288" w:lineRule="auto"/>
              <w:ind w:firstLine="709"/>
              <w:jc w:val="left"/>
              <w:rPr>
                <w:rFonts w:eastAsia="Calibri"/>
                <w:sz w:val="24"/>
                <w:szCs w:val="24"/>
                <w:lang w:val="ru-RU"/>
              </w:rPr>
            </w:pPr>
            <w:r w:rsidRPr="006B6A3E">
              <w:rPr>
                <w:rFonts w:eastAsia="Calibri"/>
                <w:sz w:val="24"/>
                <w:szCs w:val="24"/>
                <w:lang w:val="ru-RU"/>
              </w:rPr>
              <w:t>312,22</w:t>
            </w:r>
          </w:p>
        </w:tc>
        <w:tc>
          <w:tcPr>
            <w:tcW w:w="1792" w:type="dxa"/>
            <w:tcBorders>
              <w:top w:val="single" w:sz="4" w:space="0" w:color="auto"/>
              <w:left w:val="single" w:sz="4" w:space="0" w:color="auto"/>
              <w:bottom w:val="single" w:sz="4" w:space="0" w:color="auto"/>
              <w:right w:val="single" w:sz="4" w:space="0" w:color="auto"/>
            </w:tcBorders>
          </w:tcPr>
          <w:p w:rsidR="006B6A3E" w:rsidRPr="006B6A3E" w:rsidRDefault="006B6A3E" w:rsidP="006B6A3E">
            <w:pPr>
              <w:tabs>
                <w:tab w:val="left" w:pos="993"/>
              </w:tabs>
              <w:spacing w:line="288" w:lineRule="auto"/>
              <w:ind w:firstLine="709"/>
              <w:jc w:val="left"/>
              <w:rPr>
                <w:rFonts w:eastAsia="Calibri"/>
                <w:sz w:val="24"/>
                <w:szCs w:val="24"/>
                <w:lang w:val="ru-RU"/>
              </w:rPr>
            </w:pPr>
            <w:r w:rsidRPr="006B6A3E">
              <w:rPr>
                <w:rFonts w:eastAsia="Calibri"/>
                <w:sz w:val="24"/>
                <w:szCs w:val="24"/>
                <w:lang w:val="ru-RU"/>
              </w:rPr>
              <w:t>12,95</w:t>
            </w:r>
          </w:p>
        </w:tc>
        <w:tc>
          <w:tcPr>
            <w:tcW w:w="0" w:type="auto"/>
            <w:tcBorders>
              <w:top w:val="single" w:sz="4" w:space="0" w:color="auto"/>
              <w:left w:val="single" w:sz="4" w:space="0" w:color="auto"/>
              <w:bottom w:val="single" w:sz="4" w:space="0" w:color="auto"/>
              <w:right w:val="single" w:sz="4" w:space="0" w:color="auto"/>
            </w:tcBorders>
          </w:tcPr>
          <w:p w:rsidR="006B6A3E" w:rsidRPr="006B6A3E" w:rsidRDefault="006B6A3E" w:rsidP="006B6A3E">
            <w:pPr>
              <w:tabs>
                <w:tab w:val="left" w:pos="993"/>
              </w:tabs>
              <w:spacing w:line="288" w:lineRule="auto"/>
              <w:ind w:firstLine="709"/>
              <w:jc w:val="left"/>
              <w:rPr>
                <w:rFonts w:eastAsia="Calibri"/>
                <w:sz w:val="24"/>
                <w:szCs w:val="24"/>
                <w:lang w:val="ru-RU"/>
              </w:rPr>
            </w:pPr>
            <w:r w:rsidRPr="006B6A3E">
              <w:rPr>
                <w:rFonts w:eastAsia="Calibri"/>
                <w:sz w:val="24"/>
                <w:szCs w:val="24"/>
                <w:lang w:val="ru-RU"/>
              </w:rPr>
              <w:t>11,56</w:t>
            </w:r>
          </w:p>
        </w:tc>
      </w:tr>
      <w:tr w:rsidR="006B6A3E" w:rsidRPr="006B6A3E" w:rsidTr="006E3A91">
        <w:tc>
          <w:tcPr>
            <w:tcW w:w="2864" w:type="dxa"/>
            <w:tcBorders>
              <w:top w:val="single" w:sz="4" w:space="0" w:color="auto"/>
              <w:left w:val="single" w:sz="4" w:space="0" w:color="auto"/>
              <w:bottom w:val="single" w:sz="4" w:space="0" w:color="auto"/>
              <w:right w:val="single" w:sz="4" w:space="0" w:color="auto"/>
            </w:tcBorders>
            <w:hideMark/>
          </w:tcPr>
          <w:p w:rsidR="006B6A3E" w:rsidRPr="006B6A3E" w:rsidRDefault="006B6A3E" w:rsidP="006B6A3E">
            <w:pPr>
              <w:tabs>
                <w:tab w:val="left" w:pos="993"/>
              </w:tabs>
              <w:spacing w:line="288" w:lineRule="auto"/>
              <w:rPr>
                <w:rFonts w:eastAsia="Calibri"/>
                <w:sz w:val="24"/>
                <w:szCs w:val="24"/>
                <w:lang w:val="ru-RU"/>
              </w:rPr>
            </w:pPr>
            <w:r w:rsidRPr="006B6A3E">
              <w:rPr>
                <w:rFonts w:eastAsia="Calibri"/>
                <w:sz w:val="24"/>
                <w:szCs w:val="24"/>
                <w:lang w:val="ru-RU"/>
              </w:rPr>
              <w:t>урологічні</w:t>
            </w:r>
          </w:p>
        </w:tc>
        <w:tc>
          <w:tcPr>
            <w:tcW w:w="1843" w:type="dxa"/>
            <w:tcBorders>
              <w:top w:val="single" w:sz="4" w:space="0" w:color="auto"/>
              <w:left w:val="single" w:sz="4" w:space="0" w:color="auto"/>
              <w:bottom w:val="single" w:sz="4" w:space="0" w:color="auto"/>
              <w:right w:val="single" w:sz="4" w:space="0" w:color="auto"/>
            </w:tcBorders>
          </w:tcPr>
          <w:p w:rsidR="006B6A3E" w:rsidRPr="006B6A3E" w:rsidRDefault="006B6A3E" w:rsidP="006B6A3E">
            <w:pPr>
              <w:tabs>
                <w:tab w:val="left" w:pos="993"/>
              </w:tabs>
              <w:spacing w:line="288" w:lineRule="auto"/>
              <w:ind w:firstLine="709"/>
              <w:jc w:val="left"/>
              <w:rPr>
                <w:rFonts w:eastAsia="Calibri"/>
                <w:sz w:val="24"/>
                <w:szCs w:val="24"/>
                <w:lang w:val="ru-RU"/>
              </w:rPr>
            </w:pPr>
            <w:r w:rsidRPr="006B6A3E">
              <w:rPr>
                <w:rFonts w:eastAsia="Calibri"/>
                <w:sz w:val="24"/>
                <w:szCs w:val="24"/>
                <w:lang w:val="ru-RU"/>
              </w:rPr>
              <w:t>320,50</w:t>
            </w:r>
          </w:p>
        </w:tc>
        <w:tc>
          <w:tcPr>
            <w:tcW w:w="1984" w:type="dxa"/>
            <w:tcBorders>
              <w:top w:val="single" w:sz="4" w:space="0" w:color="auto"/>
              <w:left w:val="single" w:sz="4" w:space="0" w:color="auto"/>
              <w:bottom w:val="single" w:sz="4" w:space="0" w:color="auto"/>
              <w:right w:val="single" w:sz="4" w:space="0" w:color="auto"/>
            </w:tcBorders>
          </w:tcPr>
          <w:p w:rsidR="006B6A3E" w:rsidRPr="006B6A3E" w:rsidRDefault="006B6A3E" w:rsidP="006B6A3E">
            <w:pPr>
              <w:tabs>
                <w:tab w:val="left" w:pos="993"/>
              </w:tabs>
              <w:spacing w:line="288" w:lineRule="auto"/>
              <w:ind w:firstLine="709"/>
              <w:jc w:val="left"/>
              <w:rPr>
                <w:rFonts w:eastAsia="Calibri"/>
                <w:sz w:val="24"/>
                <w:szCs w:val="24"/>
                <w:lang w:val="ru-RU"/>
              </w:rPr>
            </w:pPr>
            <w:r w:rsidRPr="006B6A3E">
              <w:rPr>
                <w:rFonts w:eastAsia="Calibri"/>
                <w:sz w:val="24"/>
                <w:szCs w:val="24"/>
                <w:lang w:val="ru-RU"/>
              </w:rPr>
              <w:t>305,62</w:t>
            </w:r>
          </w:p>
        </w:tc>
        <w:tc>
          <w:tcPr>
            <w:tcW w:w="1792" w:type="dxa"/>
            <w:tcBorders>
              <w:top w:val="single" w:sz="4" w:space="0" w:color="auto"/>
              <w:left w:val="single" w:sz="4" w:space="0" w:color="auto"/>
              <w:bottom w:val="single" w:sz="4" w:space="0" w:color="auto"/>
              <w:right w:val="single" w:sz="4" w:space="0" w:color="auto"/>
            </w:tcBorders>
          </w:tcPr>
          <w:p w:rsidR="006B6A3E" w:rsidRPr="006B6A3E" w:rsidRDefault="006B6A3E" w:rsidP="006B6A3E">
            <w:pPr>
              <w:tabs>
                <w:tab w:val="left" w:pos="993"/>
              </w:tabs>
              <w:spacing w:line="288" w:lineRule="auto"/>
              <w:ind w:firstLine="709"/>
              <w:jc w:val="left"/>
              <w:rPr>
                <w:rFonts w:eastAsia="Calibri"/>
                <w:sz w:val="24"/>
                <w:szCs w:val="24"/>
                <w:lang w:val="ru-RU"/>
              </w:rPr>
            </w:pPr>
            <w:r w:rsidRPr="006B6A3E">
              <w:rPr>
                <w:rFonts w:eastAsia="Calibri"/>
                <w:sz w:val="24"/>
                <w:szCs w:val="24"/>
                <w:lang w:val="ru-RU"/>
              </w:rPr>
              <w:t>7,86</w:t>
            </w:r>
          </w:p>
        </w:tc>
        <w:tc>
          <w:tcPr>
            <w:tcW w:w="0" w:type="auto"/>
            <w:tcBorders>
              <w:top w:val="single" w:sz="4" w:space="0" w:color="auto"/>
              <w:left w:val="single" w:sz="4" w:space="0" w:color="auto"/>
              <w:bottom w:val="single" w:sz="4" w:space="0" w:color="auto"/>
              <w:right w:val="single" w:sz="4" w:space="0" w:color="auto"/>
            </w:tcBorders>
          </w:tcPr>
          <w:p w:rsidR="006B6A3E" w:rsidRPr="006B6A3E" w:rsidRDefault="006B6A3E" w:rsidP="006B6A3E">
            <w:pPr>
              <w:tabs>
                <w:tab w:val="left" w:pos="993"/>
              </w:tabs>
              <w:spacing w:line="288" w:lineRule="auto"/>
              <w:ind w:firstLine="709"/>
              <w:jc w:val="left"/>
              <w:rPr>
                <w:rFonts w:eastAsia="Calibri"/>
                <w:sz w:val="24"/>
                <w:szCs w:val="24"/>
                <w:lang w:val="ru-RU"/>
              </w:rPr>
            </w:pPr>
            <w:r w:rsidRPr="006B6A3E">
              <w:rPr>
                <w:rFonts w:eastAsia="Calibri"/>
                <w:sz w:val="24"/>
                <w:szCs w:val="24"/>
                <w:lang w:val="ru-RU"/>
              </w:rPr>
              <w:t>7,36</w:t>
            </w:r>
          </w:p>
        </w:tc>
      </w:tr>
      <w:tr w:rsidR="006B6A3E" w:rsidRPr="006B6A3E" w:rsidTr="006E3A91">
        <w:tc>
          <w:tcPr>
            <w:tcW w:w="2864" w:type="dxa"/>
            <w:tcBorders>
              <w:top w:val="single" w:sz="4" w:space="0" w:color="auto"/>
              <w:left w:val="single" w:sz="4" w:space="0" w:color="auto"/>
              <w:bottom w:val="single" w:sz="4" w:space="0" w:color="auto"/>
              <w:right w:val="single" w:sz="4" w:space="0" w:color="auto"/>
            </w:tcBorders>
            <w:hideMark/>
          </w:tcPr>
          <w:p w:rsidR="006B6A3E" w:rsidRPr="006B6A3E" w:rsidRDefault="006B6A3E" w:rsidP="006B6A3E">
            <w:pPr>
              <w:tabs>
                <w:tab w:val="left" w:pos="993"/>
              </w:tabs>
              <w:spacing w:line="288" w:lineRule="auto"/>
              <w:rPr>
                <w:rFonts w:eastAsia="Calibri"/>
                <w:sz w:val="24"/>
                <w:szCs w:val="24"/>
                <w:lang w:val="ru-RU"/>
              </w:rPr>
            </w:pPr>
            <w:r w:rsidRPr="006B6A3E">
              <w:rPr>
                <w:rFonts w:eastAsia="Calibri"/>
                <w:sz w:val="24"/>
                <w:szCs w:val="24"/>
                <w:lang w:val="ru-RU"/>
              </w:rPr>
              <w:t>стоматологічні</w:t>
            </w:r>
          </w:p>
        </w:tc>
        <w:tc>
          <w:tcPr>
            <w:tcW w:w="1843" w:type="dxa"/>
            <w:tcBorders>
              <w:top w:val="single" w:sz="4" w:space="0" w:color="auto"/>
              <w:left w:val="single" w:sz="4" w:space="0" w:color="auto"/>
              <w:bottom w:val="single" w:sz="4" w:space="0" w:color="auto"/>
              <w:right w:val="single" w:sz="4" w:space="0" w:color="auto"/>
            </w:tcBorders>
          </w:tcPr>
          <w:p w:rsidR="006B6A3E" w:rsidRPr="006B6A3E" w:rsidRDefault="006B6A3E" w:rsidP="006B6A3E">
            <w:pPr>
              <w:tabs>
                <w:tab w:val="left" w:pos="993"/>
              </w:tabs>
              <w:spacing w:line="288" w:lineRule="auto"/>
              <w:ind w:firstLine="709"/>
              <w:jc w:val="left"/>
              <w:rPr>
                <w:rFonts w:eastAsia="Calibri"/>
                <w:sz w:val="24"/>
                <w:szCs w:val="24"/>
                <w:lang w:val="ru-RU"/>
              </w:rPr>
            </w:pPr>
            <w:r w:rsidRPr="006B6A3E">
              <w:rPr>
                <w:rFonts w:eastAsia="Calibri"/>
                <w:sz w:val="24"/>
                <w:szCs w:val="24"/>
                <w:lang w:val="ru-RU"/>
              </w:rPr>
              <w:t>265,89</w:t>
            </w:r>
          </w:p>
        </w:tc>
        <w:tc>
          <w:tcPr>
            <w:tcW w:w="1984" w:type="dxa"/>
            <w:tcBorders>
              <w:top w:val="single" w:sz="4" w:space="0" w:color="auto"/>
              <w:left w:val="single" w:sz="4" w:space="0" w:color="auto"/>
              <w:bottom w:val="single" w:sz="4" w:space="0" w:color="auto"/>
              <w:right w:val="single" w:sz="4" w:space="0" w:color="auto"/>
            </w:tcBorders>
          </w:tcPr>
          <w:p w:rsidR="006B6A3E" w:rsidRPr="006B6A3E" w:rsidRDefault="006B6A3E" w:rsidP="006B6A3E">
            <w:pPr>
              <w:tabs>
                <w:tab w:val="left" w:pos="993"/>
              </w:tabs>
              <w:spacing w:line="288" w:lineRule="auto"/>
              <w:ind w:firstLine="709"/>
              <w:jc w:val="left"/>
              <w:rPr>
                <w:rFonts w:eastAsia="Calibri"/>
                <w:sz w:val="24"/>
                <w:szCs w:val="24"/>
                <w:lang w:val="ru-RU"/>
              </w:rPr>
            </w:pPr>
            <w:r w:rsidRPr="006B6A3E">
              <w:rPr>
                <w:rFonts w:eastAsia="Calibri"/>
                <w:sz w:val="24"/>
                <w:szCs w:val="24"/>
                <w:lang w:val="ru-RU"/>
              </w:rPr>
              <w:t>354,14</w:t>
            </w:r>
          </w:p>
        </w:tc>
        <w:tc>
          <w:tcPr>
            <w:tcW w:w="1792" w:type="dxa"/>
            <w:tcBorders>
              <w:top w:val="single" w:sz="4" w:space="0" w:color="auto"/>
              <w:left w:val="single" w:sz="4" w:space="0" w:color="auto"/>
              <w:bottom w:val="single" w:sz="4" w:space="0" w:color="auto"/>
              <w:right w:val="single" w:sz="4" w:space="0" w:color="auto"/>
            </w:tcBorders>
          </w:tcPr>
          <w:p w:rsidR="006B6A3E" w:rsidRPr="006B6A3E" w:rsidRDefault="006B6A3E" w:rsidP="006B6A3E">
            <w:pPr>
              <w:tabs>
                <w:tab w:val="left" w:pos="993"/>
              </w:tabs>
              <w:spacing w:line="288" w:lineRule="auto"/>
              <w:ind w:firstLine="709"/>
              <w:jc w:val="left"/>
              <w:rPr>
                <w:rFonts w:eastAsia="Calibri"/>
                <w:sz w:val="24"/>
                <w:szCs w:val="24"/>
                <w:lang w:val="ru-RU"/>
              </w:rPr>
            </w:pPr>
            <w:r w:rsidRPr="006B6A3E">
              <w:rPr>
                <w:rFonts w:eastAsia="Calibri"/>
                <w:sz w:val="24"/>
                <w:szCs w:val="24"/>
                <w:lang w:val="ru-RU"/>
              </w:rPr>
              <w:t>5,60</w:t>
            </w:r>
          </w:p>
        </w:tc>
        <w:tc>
          <w:tcPr>
            <w:tcW w:w="0" w:type="auto"/>
            <w:tcBorders>
              <w:top w:val="single" w:sz="4" w:space="0" w:color="auto"/>
              <w:left w:val="single" w:sz="4" w:space="0" w:color="auto"/>
              <w:bottom w:val="single" w:sz="4" w:space="0" w:color="auto"/>
              <w:right w:val="single" w:sz="4" w:space="0" w:color="auto"/>
            </w:tcBorders>
          </w:tcPr>
          <w:p w:rsidR="006B6A3E" w:rsidRPr="006B6A3E" w:rsidRDefault="006B6A3E" w:rsidP="006B6A3E">
            <w:pPr>
              <w:tabs>
                <w:tab w:val="left" w:pos="993"/>
              </w:tabs>
              <w:spacing w:line="288" w:lineRule="auto"/>
              <w:ind w:firstLine="709"/>
              <w:jc w:val="left"/>
              <w:rPr>
                <w:rFonts w:eastAsia="Calibri"/>
                <w:sz w:val="24"/>
                <w:szCs w:val="24"/>
                <w:lang w:val="ru-RU"/>
              </w:rPr>
            </w:pPr>
            <w:r w:rsidRPr="006B6A3E">
              <w:rPr>
                <w:rFonts w:eastAsia="Calibri"/>
                <w:sz w:val="24"/>
                <w:szCs w:val="24"/>
                <w:lang w:val="ru-RU"/>
              </w:rPr>
              <w:t>5,25</w:t>
            </w:r>
          </w:p>
        </w:tc>
      </w:tr>
      <w:tr w:rsidR="006B6A3E" w:rsidRPr="006B6A3E" w:rsidTr="006E3A91">
        <w:tc>
          <w:tcPr>
            <w:tcW w:w="2864" w:type="dxa"/>
            <w:tcBorders>
              <w:top w:val="single" w:sz="4" w:space="0" w:color="auto"/>
              <w:left w:val="single" w:sz="4" w:space="0" w:color="auto"/>
              <w:bottom w:val="single" w:sz="4" w:space="0" w:color="auto"/>
              <w:right w:val="single" w:sz="4" w:space="0" w:color="auto"/>
            </w:tcBorders>
            <w:hideMark/>
          </w:tcPr>
          <w:p w:rsidR="006B6A3E" w:rsidRPr="006B6A3E" w:rsidRDefault="006B6A3E" w:rsidP="006B6A3E">
            <w:pPr>
              <w:tabs>
                <w:tab w:val="left" w:pos="993"/>
              </w:tabs>
              <w:spacing w:line="288" w:lineRule="auto"/>
              <w:rPr>
                <w:rFonts w:eastAsia="Calibri"/>
                <w:sz w:val="24"/>
                <w:szCs w:val="24"/>
                <w:lang w:val="ru-RU"/>
              </w:rPr>
            </w:pPr>
            <w:r w:rsidRPr="006B6A3E">
              <w:rPr>
                <w:rFonts w:eastAsia="Calibri"/>
                <w:sz w:val="24"/>
                <w:szCs w:val="24"/>
                <w:lang w:val="ru-RU"/>
              </w:rPr>
              <w:t>онкологічні</w:t>
            </w:r>
          </w:p>
        </w:tc>
        <w:tc>
          <w:tcPr>
            <w:tcW w:w="1843" w:type="dxa"/>
            <w:tcBorders>
              <w:top w:val="single" w:sz="4" w:space="0" w:color="auto"/>
              <w:left w:val="single" w:sz="4" w:space="0" w:color="auto"/>
              <w:bottom w:val="single" w:sz="4" w:space="0" w:color="auto"/>
              <w:right w:val="single" w:sz="4" w:space="0" w:color="auto"/>
            </w:tcBorders>
          </w:tcPr>
          <w:p w:rsidR="006B6A3E" w:rsidRPr="006B6A3E" w:rsidRDefault="006B6A3E" w:rsidP="006B6A3E">
            <w:pPr>
              <w:tabs>
                <w:tab w:val="left" w:pos="993"/>
              </w:tabs>
              <w:spacing w:line="288" w:lineRule="auto"/>
              <w:ind w:firstLine="709"/>
              <w:jc w:val="left"/>
              <w:rPr>
                <w:rFonts w:eastAsia="Calibri"/>
                <w:sz w:val="24"/>
                <w:szCs w:val="24"/>
                <w:lang w:val="ru-RU"/>
              </w:rPr>
            </w:pPr>
            <w:r w:rsidRPr="006B6A3E">
              <w:rPr>
                <w:rFonts w:eastAsia="Calibri"/>
                <w:sz w:val="24"/>
                <w:szCs w:val="24"/>
                <w:lang w:val="ru-RU"/>
              </w:rPr>
              <w:t>391,10</w:t>
            </w:r>
          </w:p>
        </w:tc>
        <w:tc>
          <w:tcPr>
            <w:tcW w:w="1984" w:type="dxa"/>
            <w:tcBorders>
              <w:top w:val="single" w:sz="4" w:space="0" w:color="auto"/>
              <w:left w:val="single" w:sz="4" w:space="0" w:color="auto"/>
              <w:bottom w:val="single" w:sz="4" w:space="0" w:color="auto"/>
              <w:right w:val="single" w:sz="4" w:space="0" w:color="auto"/>
            </w:tcBorders>
          </w:tcPr>
          <w:p w:rsidR="006B6A3E" w:rsidRPr="006B6A3E" w:rsidRDefault="006B6A3E" w:rsidP="006B6A3E">
            <w:pPr>
              <w:tabs>
                <w:tab w:val="left" w:pos="993"/>
              </w:tabs>
              <w:spacing w:line="288" w:lineRule="auto"/>
              <w:ind w:firstLine="709"/>
              <w:jc w:val="left"/>
              <w:rPr>
                <w:rFonts w:eastAsia="Calibri"/>
                <w:sz w:val="24"/>
                <w:szCs w:val="24"/>
                <w:lang w:val="ru-RU"/>
              </w:rPr>
            </w:pPr>
            <w:r w:rsidRPr="006B6A3E">
              <w:rPr>
                <w:rFonts w:eastAsia="Calibri"/>
                <w:sz w:val="24"/>
                <w:szCs w:val="24"/>
                <w:lang w:val="ru-RU"/>
              </w:rPr>
              <w:t>376,78</w:t>
            </w:r>
          </w:p>
        </w:tc>
        <w:tc>
          <w:tcPr>
            <w:tcW w:w="1792" w:type="dxa"/>
            <w:tcBorders>
              <w:top w:val="single" w:sz="4" w:space="0" w:color="auto"/>
              <w:left w:val="single" w:sz="4" w:space="0" w:color="auto"/>
              <w:bottom w:val="single" w:sz="4" w:space="0" w:color="auto"/>
              <w:right w:val="single" w:sz="4" w:space="0" w:color="auto"/>
            </w:tcBorders>
          </w:tcPr>
          <w:p w:rsidR="006B6A3E" w:rsidRPr="006B6A3E" w:rsidRDefault="006B6A3E" w:rsidP="006B6A3E">
            <w:pPr>
              <w:tabs>
                <w:tab w:val="left" w:pos="993"/>
              </w:tabs>
              <w:spacing w:line="288" w:lineRule="auto"/>
              <w:ind w:firstLine="709"/>
              <w:jc w:val="left"/>
              <w:rPr>
                <w:rFonts w:eastAsia="Calibri"/>
                <w:sz w:val="24"/>
                <w:szCs w:val="24"/>
                <w:lang w:val="ru-RU"/>
              </w:rPr>
            </w:pPr>
            <w:r w:rsidRPr="006B6A3E">
              <w:rPr>
                <w:rFonts w:eastAsia="Calibri"/>
                <w:sz w:val="24"/>
                <w:szCs w:val="24"/>
                <w:lang w:val="ru-RU"/>
              </w:rPr>
              <w:t>17,14</w:t>
            </w:r>
          </w:p>
        </w:tc>
        <w:tc>
          <w:tcPr>
            <w:tcW w:w="0" w:type="auto"/>
            <w:tcBorders>
              <w:top w:val="single" w:sz="4" w:space="0" w:color="auto"/>
              <w:left w:val="single" w:sz="4" w:space="0" w:color="auto"/>
              <w:bottom w:val="single" w:sz="4" w:space="0" w:color="auto"/>
              <w:right w:val="single" w:sz="4" w:space="0" w:color="auto"/>
            </w:tcBorders>
          </w:tcPr>
          <w:p w:rsidR="006B6A3E" w:rsidRPr="006B6A3E" w:rsidRDefault="006B6A3E" w:rsidP="006B6A3E">
            <w:pPr>
              <w:tabs>
                <w:tab w:val="left" w:pos="993"/>
              </w:tabs>
              <w:spacing w:line="288" w:lineRule="auto"/>
              <w:ind w:firstLine="709"/>
              <w:jc w:val="left"/>
              <w:rPr>
                <w:rFonts w:eastAsia="Calibri"/>
                <w:sz w:val="24"/>
                <w:szCs w:val="24"/>
                <w:lang w:val="ru-RU"/>
              </w:rPr>
            </w:pPr>
            <w:r w:rsidRPr="006B6A3E">
              <w:rPr>
                <w:rFonts w:eastAsia="Calibri"/>
                <w:sz w:val="24"/>
                <w:szCs w:val="24"/>
                <w:lang w:val="ru-RU"/>
              </w:rPr>
              <w:t>15,94</w:t>
            </w:r>
          </w:p>
        </w:tc>
      </w:tr>
      <w:tr w:rsidR="006B6A3E" w:rsidRPr="006B6A3E" w:rsidTr="006E3A91">
        <w:tc>
          <w:tcPr>
            <w:tcW w:w="2864" w:type="dxa"/>
            <w:tcBorders>
              <w:top w:val="single" w:sz="4" w:space="0" w:color="auto"/>
              <w:left w:val="single" w:sz="4" w:space="0" w:color="auto"/>
              <w:bottom w:val="single" w:sz="4" w:space="0" w:color="auto"/>
              <w:right w:val="single" w:sz="4" w:space="0" w:color="auto"/>
            </w:tcBorders>
            <w:hideMark/>
          </w:tcPr>
          <w:p w:rsidR="006B6A3E" w:rsidRPr="006B6A3E" w:rsidRDefault="006B6A3E" w:rsidP="006B6A3E">
            <w:pPr>
              <w:tabs>
                <w:tab w:val="left" w:pos="993"/>
              </w:tabs>
              <w:spacing w:line="288" w:lineRule="auto"/>
              <w:rPr>
                <w:rFonts w:eastAsia="Calibri"/>
                <w:sz w:val="24"/>
                <w:szCs w:val="24"/>
                <w:lang w:val="ru-RU"/>
              </w:rPr>
            </w:pPr>
            <w:r w:rsidRPr="006B6A3E">
              <w:rPr>
                <w:rFonts w:eastAsia="Calibri"/>
                <w:sz w:val="24"/>
                <w:szCs w:val="24"/>
                <w:lang w:val="ru-RU"/>
              </w:rPr>
              <w:t>неврологічні</w:t>
            </w:r>
          </w:p>
        </w:tc>
        <w:tc>
          <w:tcPr>
            <w:tcW w:w="1843" w:type="dxa"/>
            <w:tcBorders>
              <w:top w:val="single" w:sz="4" w:space="0" w:color="auto"/>
              <w:left w:val="single" w:sz="4" w:space="0" w:color="auto"/>
              <w:bottom w:val="single" w:sz="4" w:space="0" w:color="auto"/>
              <w:right w:val="single" w:sz="4" w:space="0" w:color="auto"/>
            </w:tcBorders>
          </w:tcPr>
          <w:p w:rsidR="006B6A3E" w:rsidRPr="006B6A3E" w:rsidRDefault="006B6A3E" w:rsidP="006B6A3E">
            <w:pPr>
              <w:tabs>
                <w:tab w:val="left" w:pos="993"/>
              </w:tabs>
              <w:spacing w:line="288" w:lineRule="auto"/>
              <w:ind w:firstLine="709"/>
              <w:jc w:val="left"/>
              <w:rPr>
                <w:rFonts w:eastAsia="Calibri"/>
                <w:sz w:val="24"/>
                <w:szCs w:val="24"/>
                <w:lang w:val="ru-RU"/>
              </w:rPr>
            </w:pPr>
            <w:r w:rsidRPr="006B6A3E">
              <w:rPr>
                <w:rFonts w:eastAsia="Calibri"/>
                <w:sz w:val="24"/>
                <w:szCs w:val="24"/>
                <w:lang w:val="ru-RU"/>
              </w:rPr>
              <w:t>340,88</w:t>
            </w:r>
          </w:p>
        </w:tc>
        <w:tc>
          <w:tcPr>
            <w:tcW w:w="1984" w:type="dxa"/>
            <w:tcBorders>
              <w:top w:val="single" w:sz="4" w:space="0" w:color="auto"/>
              <w:left w:val="single" w:sz="4" w:space="0" w:color="auto"/>
              <w:bottom w:val="single" w:sz="4" w:space="0" w:color="auto"/>
              <w:right w:val="single" w:sz="4" w:space="0" w:color="auto"/>
            </w:tcBorders>
          </w:tcPr>
          <w:p w:rsidR="006B6A3E" w:rsidRPr="006B6A3E" w:rsidRDefault="006B6A3E" w:rsidP="006B6A3E">
            <w:pPr>
              <w:tabs>
                <w:tab w:val="left" w:pos="993"/>
              </w:tabs>
              <w:spacing w:line="288" w:lineRule="auto"/>
              <w:ind w:firstLine="709"/>
              <w:jc w:val="left"/>
              <w:rPr>
                <w:rFonts w:eastAsia="Calibri"/>
                <w:sz w:val="24"/>
                <w:szCs w:val="24"/>
                <w:lang w:val="ru-RU"/>
              </w:rPr>
            </w:pPr>
            <w:r w:rsidRPr="006B6A3E">
              <w:rPr>
                <w:rFonts w:eastAsia="Calibri"/>
                <w:sz w:val="24"/>
                <w:szCs w:val="24"/>
                <w:lang w:val="ru-RU"/>
              </w:rPr>
              <w:t>326,62</w:t>
            </w:r>
          </w:p>
        </w:tc>
        <w:tc>
          <w:tcPr>
            <w:tcW w:w="1792" w:type="dxa"/>
            <w:tcBorders>
              <w:top w:val="single" w:sz="4" w:space="0" w:color="auto"/>
              <w:left w:val="single" w:sz="4" w:space="0" w:color="auto"/>
              <w:bottom w:val="single" w:sz="4" w:space="0" w:color="auto"/>
              <w:right w:val="single" w:sz="4" w:space="0" w:color="auto"/>
            </w:tcBorders>
          </w:tcPr>
          <w:p w:rsidR="006B6A3E" w:rsidRPr="006B6A3E" w:rsidRDefault="006B6A3E" w:rsidP="006B6A3E">
            <w:pPr>
              <w:tabs>
                <w:tab w:val="left" w:pos="993"/>
              </w:tabs>
              <w:spacing w:line="288" w:lineRule="auto"/>
              <w:ind w:firstLine="709"/>
              <w:jc w:val="left"/>
              <w:rPr>
                <w:rFonts w:eastAsia="Calibri"/>
                <w:sz w:val="24"/>
                <w:szCs w:val="24"/>
                <w:lang w:val="ru-RU"/>
              </w:rPr>
            </w:pPr>
            <w:r w:rsidRPr="006B6A3E">
              <w:rPr>
                <w:rFonts w:eastAsia="Calibri"/>
                <w:sz w:val="24"/>
                <w:szCs w:val="24"/>
                <w:lang w:val="ru-RU"/>
              </w:rPr>
              <w:t>11,48</w:t>
            </w:r>
          </w:p>
        </w:tc>
        <w:tc>
          <w:tcPr>
            <w:tcW w:w="0" w:type="auto"/>
            <w:tcBorders>
              <w:top w:val="single" w:sz="4" w:space="0" w:color="auto"/>
              <w:left w:val="single" w:sz="4" w:space="0" w:color="auto"/>
              <w:bottom w:val="single" w:sz="4" w:space="0" w:color="auto"/>
              <w:right w:val="single" w:sz="4" w:space="0" w:color="auto"/>
            </w:tcBorders>
          </w:tcPr>
          <w:p w:rsidR="006B6A3E" w:rsidRPr="006B6A3E" w:rsidRDefault="006B6A3E" w:rsidP="006B6A3E">
            <w:pPr>
              <w:tabs>
                <w:tab w:val="left" w:pos="993"/>
              </w:tabs>
              <w:spacing w:line="288" w:lineRule="auto"/>
              <w:ind w:firstLine="709"/>
              <w:jc w:val="left"/>
              <w:rPr>
                <w:rFonts w:eastAsia="Calibri"/>
                <w:sz w:val="24"/>
                <w:szCs w:val="24"/>
                <w:lang w:val="ru-RU"/>
              </w:rPr>
            </w:pPr>
            <w:r w:rsidRPr="006B6A3E">
              <w:rPr>
                <w:rFonts w:eastAsia="Calibri"/>
                <w:sz w:val="24"/>
                <w:szCs w:val="24"/>
                <w:lang w:val="ru-RU"/>
              </w:rPr>
              <w:t>10,65</w:t>
            </w:r>
          </w:p>
        </w:tc>
      </w:tr>
      <w:tr w:rsidR="006B6A3E" w:rsidRPr="006B6A3E" w:rsidTr="006E3A91">
        <w:tc>
          <w:tcPr>
            <w:tcW w:w="2864" w:type="dxa"/>
            <w:tcBorders>
              <w:top w:val="single" w:sz="4" w:space="0" w:color="auto"/>
              <w:left w:val="single" w:sz="4" w:space="0" w:color="auto"/>
              <w:bottom w:val="single" w:sz="4" w:space="0" w:color="auto"/>
              <w:right w:val="single" w:sz="4" w:space="0" w:color="auto"/>
            </w:tcBorders>
            <w:hideMark/>
          </w:tcPr>
          <w:p w:rsidR="006B6A3E" w:rsidRPr="006B6A3E" w:rsidRDefault="006B6A3E" w:rsidP="006B6A3E">
            <w:pPr>
              <w:tabs>
                <w:tab w:val="left" w:pos="993"/>
              </w:tabs>
              <w:spacing w:line="288" w:lineRule="auto"/>
              <w:rPr>
                <w:rFonts w:eastAsia="Calibri"/>
                <w:sz w:val="24"/>
                <w:szCs w:val="24"/>
                <w:lang w:val="ru-RU"/>
              </w:rPr>
            </w:pPr>
            <w:r w:rsidRPr="006B6A3E">
              <w:rPr>
                <w:rFonts w:eastAsia="Calibri"/>
                <w:sz w:val="24"/>
                <w:szCs w:val="24"/>
                <w:lang w:val="ru-RU"/>
              </w:rPr>
              <w:t>психіатричні</w:t>
            </w:r>
          </w:p>
        </w:tc>
        <w:tc>
          <w:tcPr>
            <w:tcW w:w="1843" w:type="dxa"/>
            <w:tcBorders>
              <w:top w:val="single" w:sz="4" w:space="0" w:color="auto"/>
              <w:left w:val="single" w:sz="4" w:space="0" w:color="auto"/>
              <w:bottom w:val="single" w:sz="4" w:space="0" w:color="auto"/>
              <w:right w:val="single" w:sz="4" w:space="0" w:color="auto"/>
            </w:tcBorders>
          </w:tcPr>
          <w:p w:rsidR="006B6A3E" w:rsidRPr="006B6A3E" w:rsidRDefault="006B6A3E" w:rsidP="006B6A3E">
            <w:pPr>
              <w:tabs>
                <w:tab w:val="left" w:pos="993"/>
              </w:tabs>
              <w:spacing w:line="288" w:lineRule="auto"/>
              <w:ind w:firstLine="709"/>
              <w:jc w:val="left"/>
              <w:rPr>
                <w:rFonts w:eastAsia="Calibri"/>
                <w:sz w:val="24"/>
                <w:szCs w:val="24"/>
                <w:lang w:val="ru-RU"/>
              </w:rPr>
            </w:pPr>
            <w:r w:rsidRPr="006B6A3E">
              <w:rPr>
                <w:rFonts w:eastAsia="Calibri"/>
                <w:sz w:val="24"/>
                <w:szCs w:val="24"/>
                <w:lang w:val="ru-RU"/>
              </w:rPr>
              <w:t>301,28</w:t>
            </w:r>
          </w:p>
        </w:tc>
        <w:tc>
          <w:tcPr>
            <w:tcW w:w="1984" w:type="dxa"/>
            <w:tcBorders>
              <w:top w:val="single" w:sz="4" w:space="0" w:color="auto"/>
              <w:left w:val="single" w:sz="4" w:space="0" w:color="auto"/>
              <w:bottom w:val="single" w:sz="4" w:space="0" w:color="auto"/>
              <w:right w:val="single" w:sz="4" w:space="0" w:color="auto"/>
            </w:tcBorders>
          </w:tcPr>
          <w:p w:rsidR="006B6A3E" w:rsidRPr="006B6A3E" w:rsidRDefault="006B6A3E" w:rsidP="006B6A3E">
            <w:pPr>
              <w:tabs>
                <w:tab w:val="left" w:pos="993"/>
              </w:tabs>
              <w:spacing w:line="288" w:lineRule="auto"/>
              <w:ind w:firstLine="709"/>
              <w:jc w:val="left"/>
              <w:rPr>
                <w:rFonts w:eastAsia="Calibri"/>
                <w:sz w:val="24"/>
                <w:szCs w:val="24"/>
              </w:rPr>
            </w:pPr>
            <w:r w:rsidRPr="006B6A3E">
              <w:rPr>
                <w:rFonts w:eastAsia="Calibri"/>
                <w:sz w:val="24"/>
                <w:szCs w:val="24"/>
                <w:lang w:val="ru-RU"/>
              </w:rPr>
              <w:t>327,8</w:t>
            </w:r>
            <w:r w:rsidRPr="006B6A3E">
              <w:rPr>
                <w:rFonts w:eastAsia="Calibri"/>
                <w:sz w:val="24"/>
                <w:szCs w:val="24"/>
              </w:rPr>
              <w:t>0</w:t>
            </w:r>
          </w:p>
        </w:tc>
        <w:tc>
          <w:tcPr>
            <w:tcW w:w="1792" w:type="dxa"/>
            <w:tcBorders>
              <w:top w:val="single" w:sz="4" w:space="0" w:color="auto"/>
              <w:left w:val="single" w:sz="4" w:space="0" w:color="auto"/>
              <w:bottom w:val="single" w:sz="4" w:space="0" w:color="auto"/>
              <w:right w:val="single" w:sz="4" w:space="0" w:color="auto"/>
            </w:tcBorders>
          </w:tcPr>
          <w:p w:rsidR="006B6A3E" w:rsidRPr="006B6A3E" w:rsidRDefault="006B6A3E" w:rsidP="006B6A3E">
            <w:pPr>
              <w:tabs>
                <w:tab w:val="left" w:pos="993"/>
              </w:tabs>
              <w:spacing w:line="288" w:lineRule="auto"/>
              <w:ind w:firstLine="709"/>
              <w:jc w:val="left"/>
              <w:rPr>
                <w:rFonts w:eastAsia="Calibri"/>
                <w:sz w:val="24"/>
                <w:szCs w:val="24"/>
                <w:lang w:val="ru-RU"/>
              </w:rPr>
            </w:pPr>
            <w:r w:rsidRPr="006B6A3E">
              <w:rPr>
                <w:rFonts w:eastAsia="Calibri"/>
                <w:sz w:val="24"/>
                <w:szCs w:val="24"/>
                <w:lang w:val="ru-RU"/>
              </w:rPr>
              <w:t>26,04</w:t>
            </w:r>
          </w:p>
        </w:tc>
        <w:tc>
          <w:tcPr>
            <w:tcW w:w="0" w:type="auto"/>
            <w:tcBorders>
              <w:top w:val="single" w:sz="4" w:space="0" w:color="auto"/>
              <w:left w:val="single" w:sz="4" w:space="0" w:color="auto"/>
              <w:bottom w:val="single" w:sz="4" w:space="0" w:color="auto"/>
              <w:right w:val="single" w:sz="4" w:space="0" w:color="auto"/>
            </w:tcBorders>
          </w:tcPr>
          <w:p w:rsidR="006B6A3E" w:rsidRPr="006B6A3E" w:rsidRDefault="006B6A3E" w:rsidP="006B6A3E">
            <w:pPr>
              <w:tabs>
                <w:tab w:val="left" w:pos="993"/>
              </w:tabs>
              <w:spacing w:line="288" w:lineRule="auto"/>
              <w:ind w:firstLine="709"/>
              <w:jc w:val="left"/>
              <w:rPr>
                <w:rFonts w:eastAsia="Calibri"/>
                <w:sz w:val="24"/>
                <w:szCs w:val="24"/>
                <w:lang w:val="ru-RU"/>
              </w:rPr>
            </w:pPr>
            <w:r w:rsidRPr="006B6A3E">
              <w:rPr>
                <w:rFonts w:eastAsia="Calibri"/>
                <w:sz w:val="24"/>
                <w:szCs w:val="24"/>
                <w:lang w:val="ru-RU"/>
              </w:rPr>
              <w:t>24,03</w:t>
            </w:r>
          </w:p>
        </w:tc>
      </w:tr>
      <w:tr w:rsidR="006B6A3E" w:rsidRPr="006B6A3E" w:rsidTr="006E3A91">
        <w:tc>
          <w:tcPr>
            <w:tcW w:w="2864" w:type="dxa"/>
            <w:tcBorders>
              <w:top w:val="single" w:sz="4" w:space="0" w:color="auto"/>
              <w:left w:val="single" w:sz="4" w:space="0" w:color="auto"/>
              <w:bottom w:val="single" w:sz="4" w:space="0" w:color="auto"/>
              <w:right w:val="single" w:sz="4" w:space="0" w:color="auto"/>
            </w:tcBorders>
            <w:hideMark/>
          </w:tcPr>
          <w:p w:rsidR="006B6A3E" w:rsidRPr="006B6A3E" w:rsidRDefault="006B6A3E" w:rsidP="006B6A3E">
            <w:pPr>
              <w:tabs>
                <w:tab w:val="left" w:pos="993"/>
              </w:tabs>
              <w:spacing w:line="288" w:lineRule="auto"/>
              <w:rPr>
                <w:rFonts w:eastAsia="Calibri"/>
                <w:sz w:val="24"/>
                <w:szCs w:val="24"/>
                <w:lang w:val="ru-RU"/>
              </w:rPr>
            </w:pPr>
            <w:r w:rsidRPr="006B6A3E">
              <w:rPr>
                <w:rFonts w:eastAsia="Calibri"/>
                <w:sz w:val="24"/>
                <w:szCs w:val="24"/>
                <w:lang w:val="ru-RU"/>
              </w:rPr>
              <w:t>офтальмологічні</w:t>
            </w:r>
          </w:p>
        </w:tc>
        <w:tc>
          <w:tcPr>
            <w:tcW w:w="1843" w:type="dxa"/>
            <w:tcBorders>
              <w:top w:val="single" w:sz="4" w:space="0" w:color="auto"/>
              <w:left w:val="single" w:sz="4" w:space="0" w:color="auto"/>
              <w:bottom w:val="single" w:sz="4" w:space="0" w:color="auto"/>
              <w:right w:val="single" w:sz="4" w:space="0" w:color="auto"/>
            </w:tcBorders>
          </w:tcPr>
          <w:p w:rsidR="006B6A3E" w:rsidRPr="006B6A3E" w:rsidRDefault="006B6A3E" w:rsidP="006B6A3E">
            <w:pPr>
              <w:tabs>
                <w:tab w:val="left" w:pos="993"/>
              </w:tabs>
              <w:spacing w:line="288" w:lineRule="auto"/>
              <w:ind w:firstLine="709"/>
              <w:jc w:val="left"/>
              <w:rPr>
                <w:rFonts w:eastAsia="Calibri"/>
                <w:sz w:val="24"/>
                <w:szCs w:val="24"/>
                <w:lang w:val="ru-RU"/>
              </w:rPr>
            </w:pPr>
            <w:r w:rsidRPr="006B6A3E">
              <w:rPr>
                <w:rFonts w:eastAsia="Calibri"/>
                <w:sz w:val="24"/>
                <w:szCs w:val="24"/>
                <w:lang w:val="ru-RU"/>
              </w:rPr>
              <w:t>341,30</w:t>
            </w:r>
          </w:p>
        </w:tc>
        <w:tc>
          <w:tcPr>
            <w:tcW w:w="1984" w:type="dxa"/>
            <w:tcBorders>
              <w:top w:val="single" w:sz="4" w:space="0" w:color="auto"/>
              <w:left w:val="single" w:sz="4" w:space="0" w:color="auto"/>
              <w:bottom w:val="single" w:sz="4" w:space="0" w:color="auto"/>
              <w:right w:val="single" w:sz="4" w:space="0" w:color="auto"/>
            </w:tcBorders>
          </w:tcPr>
          <w:p w:rsidR="006B6A3E" w:rsidRPr="006B6A3E" w:rsidRDefault="006B6A3E" w:rsidP="006B6A3E">
            <w:pPr>
              <w:tabs>
                <w:tab w:val="left" w:pos="993"/>
              </w:tabs>
              <w:spacing w:line="288" w:lineRule="auto"/>
              <w:ind w:firstLine="709"/>
              <w:jc w:val="left"/>
              <w:rPr>
                <w:rFonts w:eastAsia="Calibri"/>
                <w:sz w:val="24"/>
                <w:szCs w:val="24"/>
                <w:lang w:val="ru-RU"/>
              </w:rPr>
            </w:pPr>
            <w:r w:rsidRPr="006B6A3E">
              <w:rPr>
                <w:rFonts w:eastAsia="Calibri"/>
                <w:sz w:val="24"/>
                <w:szCs w:val="24"/>
                <w:lang w:val="ru-RU"/>
              </w:rPr>
              <w:t>329,54</w:t>
            </w:r>
          </w:p>
        </w:tc>
        <w:tc>
          <w:tcPr>
            <w:tcW w:w="1792" w:type="dxa"/>
            <w:tcBorders>
              <w:top w:val="single" w:sz="4" w:space="0" w:color="auto"/>
              <w:left w:val="single" w:sz="4" w:space="0" w:color="auto"/>
              <w:bottom w:val="single" w:sz="4" w:space="0" w:color="auto"/>
              <w:right w:val="single" w:sz="4" w:space="0" w:color="auto"/>
            </w:tcBorders>
          </w:tcPr>
          <w:p w:rsidR="006B6A3E" w:rsidRPr="006B6A3E" w:rsidRDefault="006B6A3E" w:rsidP="006B6A3E">
            <w:pPr>
              <w:tabs>
                <w:tab w:val="left" w:pos="993"/>
              </w:tabs>
              <w:spacing w:line="288" w:lineRule="auto"/>
              <w:ind w:firstLine="709"/>
              <w:jc w:val="left"/>
              <w:rPr>
                <w:rFonts w:eastAsia="Calibri"/>
                <w:sz w:val="24"/>
                <w:szCs w:val="24"/>
                <w:lang w:val="ru-RU"/>
              </w:rPr>
            </w:pPr>
            <w:r w:rsidRPr="006B6A3E">
              <w:rPr>
                <w:rFonts w:eastAsia="Calibri"/>
                <w:sz w:val="24"/>
                <w:szCs w:val="24"/>
                <w:lang w:val="ru-RU"/>
              </w:rPr>
              <w:t>6,90</w:t>
            </w:r>
          </w:p>
        </w:tc>
        <w:tc>
          <w:tcPr>
            <w:tcW w:w="0" w:type="auto"/>
            <w:tcBorders>
              <w:top w:val="single" w:sz="4" w:space="0" w:color="auto"/>
              <w:left w:val="single" w:sz="4" w:space="0" w:color="auto"/>
              <w:bottom w:val="single" w:sz="4" w:space="0" w:color="auto"/>
              <w:right w:val="single" w:sz="4" w:space="0" w:color="auto"/>
            </w:tcBorders>
          </w:tcPr>
          <w:p w:rsidR="006B6A3E" w:rsidRPr="006B6A3E" w:rsidRDefault="006B6A3E" w:rsidP="006B6A3E">
            <w:pPr>
              <w:tabs>
                <w:tab w:val="left" w:pos="993"/>
              </w:tabs>
              <w:spacing w:line="288" w:lineRule="auto"/>
              <w:ind w:firstLine="709"/>
              <w:jc w:val="left"/>
              <w:rPr>
                <w:rFonts w:eastAsia="Calibri"/>
                <w:sz w:val="24"/>
                <w:szCs w:val="24"/>
                <w:lang w:val="ru-RU"/>
              </w:rPr>
            </w:pPr>
            <w:r w:rsidRPr="006B6A3E">
              <w:rPr>
                <w:rFonts w:eastAsia="Calibri"/>
                <w:sz w:val="24"/>
                <w:szCs w:val="24"/>
                <w:lang w:val="ru-RU"/>
              </w:rPr>
              <w:t>6,97</w:t>
            </w:r>
          </w:p>
        </w:tc>
      </w:tr>
      <w:tr w:rsidR="006B6A3E" w:rsidRPr="006B6A3E" w:rsidTr="006E3A91">
        <w:tc>
          <w:tcPr>
            <w:tcW w:w="2864" w:type="dxa"/>
            <w:tcBorders>
              <w:top w:val="single" w:sz="4" w:space="0" w:color="auto"/>
              <w:left w:val="single" w:sz="4" w:space="0" w:color="auto"/>
              <w:bottom w:val="single" w:sz="4" w:space="0" w:color="auto"/>
              <w:right w:val="single" w:sz="4" w:space="0" w:color="auto"/>
            </w:tcBorders>
            <w:hideMark/>
          </w:tcPr>
          <w:p w:rsidR="006B6A3E" w:rsidRPr="006B6A3E" w:rsidRDefault="006B6A3E" w:rsidP="006B6A3E">
            <w:pPr>
              <w:tabs>
                <w:tab w:val="left" w:pos="993"/>
              </w:tabs>
              <w:spacing w:line="288" w:lineRule="auto"/>
              <w:rPr>
                <w:rFonts w:eastAsia="Calibri"/>
                <w:sz w:val="24"/>
                <w:szCs w:val="24"/>
                <w:lang w:val="ru-RU"/>
              </w:rPr>
            </w:pPr>
            <w:r w:rsidRPr="006B6A3E">
              <w:rPr>
                <w:rFonts w:eastAsia="Calibri"/>
                <w:sz w:val="24"/>
                <w:szCs w:val="24"/>
                <w:lang w:val="ru-RU"/>
              </w:rPr>
              <w:t>отоларингологічні</w:t>
            </w:r>
          </w:p>
        </w:tc>
        <w:tc>
          <w:tcPr>
            <w:tcW w:w="1843" w:type="dxa"/>
            <w:tcBorders>
              <w:top w:val="single" w:sz="4" w:space="0" w:color="auto"/>
              <w:left w:val="single" w:sz="4" w:space="0" w:color="auto"/>
              <w:bottom w:val="single" w:sz="4" w:space="0" w:color="auto"/>
              <w:right w:val="single" w:sz="4" w:space="0" w:color="auto"/>
            </w:tcBorders>
          </w:tcPr>
          <w:p w:rsidR="006B6A3E" w:rsidRPr="006B6A3E" w:rsidRDefault="006B6A3E" w:rsidP="006B6A3E">
            <w:pPr>
              <w:tabs>
                <w:tab w:val="left" w:pos="993"/>
              </w:tabs>
              <w:spacing w:line="288" w:lineRule="auto"/>
              <w:ind w:firstLine="709"/>
              <w:jc w:val="left"/>
              <w:rPr>
                <w:rFonts w:eastAsia="Calibri"/>
                <w:sz w:val="24"/>
                <w:szCs w:val="24"/>
                <w:lang w:val="ru-RU"/>
              </w:rPr>
            </w:pPr>
            <w:r w:rsidRPr="006B6A3E">
              <w:rPr>
                <w:rFonts w:eastAsia="Calibri"/>
                <w:sz w:val="24"/>
                <w:szCs w:val="24"/>
                <w:lang w:val="ru-RU"/>
              </w:rPr>
              <w:t>336,66</w:t>
            </w:r>
          </w:p>
        </w:tc>
        <w:tc>
          <w:tcPr>
            <w:tcW w:w="1984" w:type="dxa"/>
            <w:tcBorders>
              <w:top w:val="single" w:sz="4" w:space="0" w:color="auto"/>
              <w:left w:val="single" w:sz="4" w:space="0" w:color="auto"/>
              <w:bottom w:val="single" w:sz="4" w:space="0" w:color="auto"/>
              <w:right w:val="single" w:sz="4" w:space="0" w:color="auto"/>
            </w:tcBorders>
          </w:tcPr>
          <w:p w:rsidR="006B6A3E" w:rsidRPr="006B6A3E" w:rsidRDefault="006B6A3E" w:rsidP="006B6A3E">
            <w:pPr>
              <w:tabs>
                <w:tab w:val="left" w:pos="993"/>
              </w:tabs>
              <w:spacing w:line="288" w:lineRule="auto"/>
              <w:ind w:firstLine="709"/>
              <w:jc w:val="left"/>
              <w:rPr>
                <w:rFonts w:eastAsia="Calibri"/>
                <w:sz w:val="24"/>
                <w:szCs w:val="24"/>
                <w:lang w:val="ru-RU"/>
              </w:rPr>
            </w:pPr>
            <w:r w:rsidRPr="006B6A3E">
              <w:rPr>
                <w:rFonts w:eastAsia="Calibri"/>
                <w:sz w:val="24"/>
                <w:szCs w:val="24"/>
                <w:lang w:val="ru-RU"/>
              </w:rPr>
              <w:t>318,57</w:t>
            </w:r>
          </w:p>
        </w:tc>
        <w:tc>
          <w:tcPr>
            <w:tcW w:w="1792" w:type="dxa"/>
            <w:tcBorders>
              <w:top w:val="single" w:sz="4" w:space="0" w:color="auto"/>
              <w:left w:val="single" w:sz="4" w:space="0" w:color="auto"/>
              <w:bottom w:val="single" w:sz="4" w:space="0" w:color="auto"/>
              <w:right w:val="single" w:sz="4" w:space="0" w:color="auto"/>
            </w:tcBorders>
          </w:tcPr>
          <w:p w:rsidR="006B6A3E" w:rsidRPr="006B6A3E" w:rsidRDefault="006B6A3E" w:rsidP="006B6A3E">
            <w:pPr>
              <w:tabs>
                <w:tab w:val="left" w:pos="993"/>
              </w:tabs>
              <w:spacing w:line="288" w:lineRule="auto"/>
              <w:ind w:firstLine="709"/>
              <w:jc w:val="left"/>
              <w:rPr>
                <w:rFonts w:eastAsia="Calibri"/>
                <w:sz w:val="24"/>
                <w:szCs w:val="24"/>
                <w:lang w:val="ru-RU"/>
              </w:rPr>
            </w:pPr>
            <w:r w:rsidRPr="006B6A3E">
              <w:rPr>
                <w:rFonts w:eastAsia="Calibri"/>
                <w:sz w:val="24"/>
                <w:szCs w:val="24"/>
                <w:lang w:val="ru-RU"/>
              </w:rPr>
              <w:t>6,93</w:t>
            </w:r>
          </w:p>
        </w:tc>
        <w:tc>
          <w:tcPr>
            <w:tcW w:w="0" w:type="auto"/>
            <w:tcBorders>
              <w:top w:val="single" w:sz="4" w:space="0" w:color="auto"/>
              <w:left w:val="single" w:sz="4" w:space="0" w:color="auto"/>
              <w:bottom w:val="single" w:sz="4" w:space="0" w:color="auto"/>
              <w:right w:val="single" w:sz="4" w:space="0" w:color="auto"/>
            </w:tcBorders>
          </w:tcPr>
          <w:p w:rsidR="006B6A3E" w:rsidRPr="006B6A3E" w:rsidRDefault="006B6A3E" w:rsidP="006B6A3E">
            <w:pPr>
              <w:tabs>
                <w:tab w:val="left" w:pos="993"/>
              </w:tabs>
              <w:spacing w:line="288" w:lineRule="auto"/>
              <w:ind w:firstLine="709"/>
              <w:jc w:val="left"/>
              <w:rPr>
                <w:rFonts w:eastAsia="Calibri"/>
                <w:sz w:val="24"/>
                <w:szCs w:val="24"/>
                <w:lang w:val="ru-RU"/>
              </w:rPr>
            </w:pPr>
            <w:r w:rsidRPr="006B6A3E">
              <w:rPr>
                <w:rFonts w:eastAsia="Calibri"/>
                <w:sz w:val="24"/>
                <w:szCs w:val="24"/>
                <w:lang w:val="ru-RU"/>
              </w:rPr>
              <w:t>6,59</w:t>
            </w:r>
          </w:p>
        </w:tc>
      </w:tr>
      <w:tr w:rsidR="006B6A3E" w:rsidRPr="006B6A3E" w:rsidTr="006E3A91">
        <w:tc>
          <w:tcPr>
            <w:tcW w:w="2864" w:type="dxa"/>
            <w:tcBorders>
              <w:top w:val="single" w:sz="4" w:space="0" w:color="auto"/>
              <w:left w:val="single" w:sz="4" w:space="0" w:color="auto"/>
              <w:bottom w:val="single" w:sz="4" w:space="0" w:color="auto"/>
              <w:right w:val="single" w:sz="4" w:space="0" w:color="auto"/>
            </w:tcBorders>
            <w:hideMark/>
          </w:tcPr>
          <w:p w:rsidR="006B6A3E" w:rsidRPr="006B6A3E" w:rsidRDefault="006B6A3E" w:rsidP="006B6A3E">
            <w:pPr>
              <w:tabs>
                <w:tab w:val="left" w:pos="993"/>
              </w:tabs>
              <w:spacing w:line="288" w:lineRule="auto"/>
              <w:rPr>
                <w:rFonts w:eastAsia="Calibri"/>
                <w:sz w:val="24"/>
                <w:szCs w:val="24"/>
                <w:lang w:val="ru-RU"/>
              </w:rPr>
            </w:pPr>
            <w:r w:rsidRPr="006B6A3E">
              <w:rPr>
                <w:rFonts w:eastAsia="Calibri"/>
                <w:sz w:val="24"/>
                <w:szCs w:val="24"/>
                <w:lang w:val="ru-RU"/>
              </w:rPr>
              <w:t>дерматовенерологічні</w:t>
            </w:r>
          </w:p>
        </w:tc>
        <w:tc>
          <w:tcPr>
            <w:tcW w:w="1843" w:type="dxa"/>
            <w:tcBorders>
              <w:top w:val="single" w:sz="4" w:space="0" w:color="auto"/>
              <w:left w:val="single" w:sz="4" w:space="0" w:color="auto"/>
              <w:bottom w:val="single" w:sz="4" w:space="0" w:color="auto"/>
              <w:right w:val="single" w:sz="4" w:space="0" w:color="auto"/>
            </w:tcBorders>
          </w:tcPr>
          <w:p w:rsidR="006B6A3E" w:rsidRPr="006B6A3E" w:rsidRDefault="006B6A3E" w:rsidP="006B6A3E">
            <w:pPr>
              <w:tabs>
                <w:tab w:val="left" w:pos="993"/>
              </w:tabs>
              <w:spacing w:line="288" w:lineRule="auto"/>
              <w:ind w:firstLine="709"/>
              <w:jc w:val="left"/>
              <w:rPr>
                <w:rFonts w:eastAsia="Calibri"/>
                <w:sz w:val="24"/>
                <w:szCs w:val="24"/>
                <w:lang w:val="ru-RU"/>
              </w:rPr>
            </w:pPr>
            <w:r w:rsidRPr="006B6A3E">
              <w:rPr>
                <w:rFonts w:eastAsia="Calibri"/>
                <w:sz w:val="24"/>
                <w:szCs w:val="24"/>
                <w:lang w:val="ru-RU"/>
              </w:rPr>
              <w:t>305,30</w:t>
            </w:r>
          </w:p>
        </w:tc>
        <w:tc>
          <w:tcPr>
            <w:tcW w:w="1984" w:type="dxa"/>
            <w:tcBorders>
              <w:top w:val="single" w:sz="4" w:space="0" w:color="auto"/>
              <w:left w:val="single" w:sz="4" w:space="0" w:color="auto"/>
              <w:bottom w:val="single" w:sz="4" w:space="0" w:color="auto"/>
              <w:right w:val="single" w:sz="4" w:space="0" w:color="auto"/>
            </w:tcBorders>
          </w:tcPr>
          <w:p w:rsidR="006B6A3E" w:rsidRPr="006B6A3E" w:rsidRDefault="006B6A3E" w:rsidP="006B6A3E">
            <w:pPr>
              <w:tabs>
                <w:tab w:val="left" w:pos="993"/>
              </w:tabs>
              <w:spacing w:line="288" w:lineRule="auto"/>
              <w:ind w:firstLine="709"/>
              <w:jc w:val="left"/>
              <w:rPr>
                <w:rFonts w:eastAsia="Calibri"/>
                <w:sz w:val="24"/>
                <w:szCs w:val="24"/>
                <w:lang w:val="ru-RU"/>
              </w:rPr>
            </w:pPr>
            <w:r w:rsidRPr="006B6A3E">
              <w:rPr>
                <w:rFonts w:eastAsia="Calibri"/>
                <w:sz w:val="24"/>
                <w:szCs w:val="24"/>
                <w:lang w:val="ru-RU"/>
              </w:rPr>
              <w:t>353,34</w:t>
            </w:r>
          </w:p>
        </w:tc>
        <w:tc>
          <w:tcPr>
            <w:tcW w:w="1792" w:type="dxa"/>
            <w:tcBorders>
              <w:top w:val="single" w:sz="4" w:space="0" w:color="auto"/>
              <w:left w:val="single" w:sz="4" w:space="0" w:color="auto"/>
              <w:bottom w:val="single" w:sz="4" w:space="0" w:color="auto"/>
              <w:right w:val="single" w:sz="4" w:space="0" w:color="auto"/>
            </w:tcBorders>
          </w:tcPr>
          <w:p w:rsidR="006B6A3E" w:rsidRPr="006B6A3E" w:rsidRDefault="006B6A3E" w:rsidP="006B6A3E">
            <w:pPr>
              <w:tabs>
                <w:tab w:val="left" w:pos="993"/>
              </w:tabs>
              <w:spacing w:line="288" w:lineRule="auto"/>
              <w:ind w:firstLine="709"/>
              <w:jc w:val="left"/>
              <w:rPr>
                <w:rFonts w:eastAsia="Calibri"/>
                <w:sz w:val="24"/>
                <w:szCs w:val="24"/>
                <w:lang w:val="ru-RU"/>
              </w:rPr>
            </w:pPr>
            <w:r w:rsidRPr="006B6A3E">
              <w:rPr>
                <w:rFonts w:eastAsia="Calibri"/>
                <w:sz w:val="24"/>
                <w:szCs w:val="24"/>
                <w:lang w:val="ru-RU"/>
              </w:rPr>
              <w:t>15,59</w:t>
            </w:r>
          </w:p>
        </w:tc>
        <w:tc>
          <w:tcPr>
            <w:tcW w:w="0" w:type="auto"/>
            <w:tcBorders>
              <w:top w:val="single" w:sz="4" w:space="0" w:color="auto"/>
              <w:left w:val="single" w:sz="4" w:space="0" w:color="auto"/>
              <w:bottom w:val="single" w:sz="4" w:space="0" w:color="auto"/>
              <w:right w:val="single" w:sz="4" w:space="0" w:color="auto"/>
            </w:tcBorders>
          </w:tcPr>
          <w:p w:rsidR="006B6A3E" w:rsidRPr="006B6A3E" w:rsidRDefault="006B6A3E" w:rsidP="006B6A3E">
            <w:pPr>
              <w:tabs>
                <w:tab w:val="left" w:pos="993"/>
              </w:tabs>
              <w:spacing w:line="288" w:lineRule="auto"/>
              <w:ind w:firstLine="709"/>
              <w:jc w:val="left"/>
              <w:rPr>
                <w:rFonts w:eastAsia="Calibri"/>
                <w:sz w:val="24"/>
                <w:szCs w:val="24"/>
                <w:lang w:val="ru-RU"/>
              </w:rPr>
            </w:pPr>
            <w:r w:rsidRPr="006B6A3E">
              <w:rPr>
                <w:rFonts w:eastAsia="Calibri"/>
                <w:sz w:val="24"/>
                <w:szCs w:val="24"/>
                <w:lang w:val="ru-RU"/>
              </w:rPr>
              <w:t>16,31</w:t>
            </w:r>
          </w:p>
        </w:tc>
      </w:tr>
      <w:tr w:rsidR="006B6A3E" w:rsidRPr="006B6A3E" w:rsidTr="006E3A91">
        <w:tc>
          <w:tcPr>
            <w:tcW w:w="2864" w:type="dxa"/>
            <w:tcBorders>
              <w:top w:val="single" w:sz="4" w:space="0" w:color="auto"/>
              <w:left w:val="single" w:sz="4" w:space="0" w:color="auto"/>
              <w:bottom w:val="single" w:sz="4" w:space="0" w:color="auto"/>
              <w:right w:val="single" w:sz="4" w:space="0" w:color="auto"/>
            </w:tcBorders>
            <w:hideMark/>
          </w:tcPr>
          <w:p w:rsidR="006B6A3E" w:rsidRPr="006B6A3E" w:rsidRDefault="006B6A3E" w:rsidP="006B6A3E">
            <w:pPr>
              <w:tabs>
                <w:tab w:val="left" w:pos="993"/>
              </w:tabs>
              <w:spacing w:line="288" w:lineRule="auto"/>
              <w:rPr>
                <w:rFonts w:eastAsia="Calibri"/>
                <w:sz w:val="24"/>
                <w:szCs w:val="24"/>
                <w:lang w:val="ru-RU"/>
              </w:rPr>
            </w:pPr>
            <w:r w:rsidRPr="006B6A3E">
              <w:rPr>
                <w:rFonts w:eastAsia="Calibri"/>
                <w:sz w:val="24"/>
                <w:szCs w:val="24"/>
                <w:lang w:val="ru-RU"/>
              </w:rPr>
              <w:t>відновного лікування</w:t>
            </w:r>
          </w:p>
        </w:tc>
        <w:tc>
          <w:tcPr>
            <w:tcW w:w="1843" w:type="dxa"/>
            <w:tcBorders>
              <w:top w:val="single" w:sz="4" w:space="0" w:color="auto"/>
              <w:left w:val="single" w:sz="4" w:space="0" w:color="auto"/>
              <w:bottom w:val="single" w:sz="4" w:space="0" w:color="auto"/>
              <w:right w:val="single" w:sz="4" w:space="0" w:color="auto"/>
            </w:tcBorders>
          </w:tcPr>
          <w:p w:rsidR="006B6A3E" w:rsidRPr="006B6A3E" w:rsidRDefault="006B6A3E" w:rsidP="006B6A3E">
            <w:pPr>
              <w:tabs>
                <w:tab w:val="left" w:pos="993"/>
              </w:tabs>
              <w:spacing w:line="288" w:lineRule="auto"/>
              <w:ind w:firstLine="709"/>
              <w:jc w:val="left"/>
              <w:rPr>
                <w:rFonts w:eastAsia="Calibri"/>
                <w:sz w:val="24"/>
                <w:szCs w:val="24"/>
                <w:lang w:val="ru-RU"/>
              </w:rPr>
            </w:pPr>
            <w:r w:rsidRPr="006B6A3E">
              <w:rPr>
                <w:rFonts w:eastAsia="Calibri"/>
                <w:sz w:val="24"/>
                <w:szCs w:val="24"/>
                <w:lang w:val="ru-RU"/>
              </w:rPr>
              <w:t>311,00</w:t>
            </w:r>
          </w:p>
        </w:tc>
        <w:tc>
          <w:tcPr>
            <w:tcW w:w="1984" w:type="dxa"/>
            <w:tcBorders>
              <w:top w:val="single" w:sz="4" w:space="0" w:color="auto"/>
              <w:left w:val="single" w:sz="4" w:space="0" w:color="auto"/>
              <w:bottom w:val="single" w:sz="4" w:space="0" w:color="auto"/>
              <w:right w:val="single" w:sz="4" w:space="0" w:color="auto"/>
            </w:tcBorders>
          </w:tcPr>
          <w:p w:rsidR="006B6A3E" w:rsidRPr="006B6A3E" w:rsidRDefault="006B6A3E" w:rsidP="006B6A3E">
            <w:pPr>
              <w:tabs>
                <w:tab w:val="left" w:pos="993"/>
              </w:tabs>
              <w:spacing w:line="288" w:lineRule="auto"/>
              <w:ind w:firstLine="709"/>
              <w:jc w:val="left"/>
              <w:rPr>
                <w:rFonts w:eastAsia="Calibri"/>
                <w:sz w:val="24"/>
                <w:szCs w:val="24"/>
                <w:lang w:val="ru-RU"/>
              </w:rPr>
            </w:pPr>
            <w:r w:rsidRPr="006B6A3E">
              <w:rPr>
                <w:rFonts w:eastAsia="Calibri"/>
                <w:sz w:val="24"/>
                <w:szCs w:val="24"/>
                <w:lang w:val="ru-RU"/>
              </w:rPr>
              <w:t>385,87</w:t>
            </w:r>
          </w:p>
        </w:tc>
        <w:tc>
          <w:tcPr>
            <w:tcW w:w="1792" w:type="dxa"/>
            <w:tcBorders>
              <w:top w:val="single" w:sz="4" w:space="0" w:color="auto"/>
              <w:left w:val="single" w:sz="4" w:space="0" w:color="auto"/>
              <w:bottom w:val="single" w:sz="4" w:space="0" w:color="auto"/>
              <w:right w:val="single" w:sz="4" w:space="0" w:color="auto"/>
            </w:tcBorders>
          </w:tcPr>
          <w:p w:rsidR="006B6A3E" w:rsidRPr="006B6A3E" w:rsidRDefault="006B6A3E" w:rsidP="006B6A3E">
            <w:pPr>
              <w:tabs>
                <w:tab w:val="left" w:pos="993"/>
              </w:tabs>
              <w:spacing w:line="288" w:lineRule="auto"/>
              <w:ind w:firstLine="709"/>
              <w:jc w:val="left"/>
              <w:rPr>
                <w:rFonts w:eastAsia="Calibri"/>
                <w:sz w:val="24"/>
                <w:szCs w:val="24"/>
                <w:lang w:val="ru-RU"/>
              </w:rPr>
            </w:pPr>
            <w:r w:rsidRPr="006B6A3E">
              <w:rPr>
                <w:rFonts w:eastAsia="Calibri"/>
                <w:sz w:val="24"/>
                <w:szCs w:val="24"/>
                <w:lang w:val="ru-RU"/>
              </w:rPr>
              <w:t>14,83</w:t>
            </w:r>
          </w:p>
        </w:tc>
        <w:tc>
          <w:tcPr>
            <w:tcW w:w="0" w:type="auto"/>
            <w:tcBorders>
              <w:top w:val="single" w:sz="4" w:space="0" w:color="auto"/>
              <w:left w:val="single" w:sz="4" w:space="0" w:color="auto"/>
              <w:bottom w:val="single" w:sz="4" w:space="0" w:color="auto"/>
              <w:right w:val="single" w:sz="4" w:space="0" w:color="auto"/>
            </w:tcBorders>
          </w:tcPr>
          <w:p w:rsidR="006B6A3E" w:rsidRPr="006B6A3E" w:rsidRDefault="006B6A3E" w:rsidP="006B6A3E">
            <w:pPr>
              <w:tabs>
                <w:tab w:val="left" w:pos="993"/>
              </w:tabs>
              <w:spacing w:line="288" w:lineRule="auto"/>
              <w:ind w:firstLine="709"/>
              <w:jc w:val="left"/>
              <w:rPr>
                <w:rFonts w:eastAsia="Calibri"/>
                <w:sz w:val="24"/>
                <w:szCs w:val="24"/>
                <w:lang w:val="ru-RU"/>
              </w:rPr>
            </w:pPr>
            <w:r w:rsidRPr="006B6A3E">
              <w:rPr>
                <w:rFonts w:eastAsia="Calibri"/>
                <w:sz w:val="24"/>
                <w:szCs w:val="24"/>
                <w:lang w:val="ru-RU"/>
              </w:rPr>
              <w:t>14,45</w:t>
            </w:r>
          </w:p>
        </w:tc>
      </w:tr>
      <w:tr w:rsidR="006B6A3E" w:rsidRPr="006B6A3E" w:rsidTr="006E3A91">
        <w:tc>
          <w:tcPr>
            <w:tcW w:w="2864" w:type="dxa"/>
            <w:tcBorders>
              <w:top w:val="single" w:sz="4" w:space="0" w:color="auto"/>
              <w:left w:val="single" w:sz="4" w:space="0" w:color="auto"/>
              <w:bottom w:val="single" w:sz="4" w:space="0" w:color="auto"/>
              <w:right w:val="single" w:sz="4" w:space="0" w:color="auto"/>
            </w:tcBorders>
            <w:hideMark/>
          </w:tcPr>
          <w:p w:rsidR="006B6A3E" w:rsidRPr="006B6A3E" w:rsidRDefault="006B6A3E" w:rsidP="006B6A3E">
            <w:pPr>
              <w:tabs>
                <w:tab w:val="left" w:pos="993"/>
              </w:tabs>
              <w:spacing w:line="288" w:lineRule="auto"/>
              <w:rPr>
                <w:rFonts w:eastAsia="Calibri"/>
                <w:sz w:val="24"/>
                <w:szCs w:val="24"/>
                <w:lang w:val="ru-RU"/>
              </w:rPr>
            </w:pPr>
            <w:r w:rsidRPr="006B6A3E">
              <w:rPr>
                <w:rFonts w:eastAsia="Calibri"/>
                <w:sz w:val="24"/>
                <w:szCs w:val="24"/>
                <w:lang w:val="ru-RU"/>
              </w:rPr>
              <w:t>туберкульозні</w:t>
            </w:r>
          </w:p>
        </w:tc>
        <w:tc>
          <w:tcPr>
            <w:tcW w:w="1843" w:type="dxa"/>
            <w:tcBorders>
              <w:top w:val="single" w:sz="4" w:space="0" w:color="auto"/>
              <w:left w:val="single" w:sz="4" w:space="0" w:color="auto"/>
              <w:bottom w:val="single" w:sz="4" w:space="0" w:color="auto"/>
              <w:right w:val="single" w:sz="4" w:space="0" w:color="auto"/>
            </w:tcBorders>
          </w:tcPr>
          <w:p w:rsidR="006B6A3E" w:rsidRPr="006B6A3E" w:rsidRDefault="006B6A3E" w:rsidP="006B6A3E">
            <w:pPr>
              <w:tabs>
                <w:tab w:val="left" w:pos="993"/>
              </w:tabs>
              <w:spacing w:line="288" w:lineRule="auto"/>
              <w:ind w:firstLine="709"/>
              <w:jc w:val="left"/>
              <w:rPr>
                <w:rFonts w:eastAsia="Calibri"/>
                <w:sz w:val="24"/>
                <w:szCs w:val="24"/>
                <w:lang w:val="ru-RU"/>
              </w:rPr>
            </w:pPr>
            <w:r w:rsidRPr="006B6A3E">
              <w:rPr>
                <w:rFonts w:eastAsia="Calibri"/>
                <w:sz w:val="24"/>
                <w:szCs w:val="24"/>
                <w:lang w:val="ru-RU"/>
              </w:rPr>
              <w:t>260,07</w:t>
            </w:r>
          </w:p>
        </w:tc>
        <w:tc>
          <w:tcPr>
            <w:tcW w:w="1984" w:type="dxa"/>
            <w:tcBorders>
              <w:top w:val="single" w:sz="4" w:space="0" w:color="auto"/>
              <w:left w:val="single" w:sz="4" w:space="0" w:color="auto"/>
              <w:bottom w:val="single" w:sz="4" w:space="0" w:color="auto"/>
              <w:right w:val="single" w:sz="4" w:space="0" w:color="auto"/>
            </w:tcBorders>
          </w:tcPr>
          <w:p w:rsidR="006B6A3E" w:rsidRPr="006B6A3E" w:rsidRDefault="006B6A3E" w:rsidP="006B6A3E">
            <w:pPr>
              <w:tabs>
                <w:tab w:val="left" w:pos="993"/>
              </w:tabs>
              <w:spacing w:line="288" w:lineRule="auto"/>
              <w:ind w:firstLine="709"/>
              <w:jc w:val="left"/>
              <w:rPr>
                <w:rFonts w:eastAsia="Calibri"/>
                <w:sz w:val="24"/>
                <w:szCs w:val="24"/>
                <w:lang w:val="ru-RU"/>
              </w:rPr>
            </w:pPr>
            <w:r w:rsidRPr="006B6A3E">
              <w:rPr>
                <w:rFonts w:eastAsia="Calibri"/>
                <w:sz w:val="24"/>
                <w:szCs w:val="24"/>
                <w:lang w:val="ru-RU"/>
              </w:rPr>
              <w:t>242,75</w:t>
            </w:r>
          </w:p>
        </w:tc>
        <w:tc>
          <w:tcPr>
            <w:tcW w:w="1792" w:type="dxa"/>
            <w:tcBorders>
              <w:top w:val="single" w:sz="4" w:space="0" w:color="auto"/>
              <w:left w:val="single" w:sz="4" w:space="0" w:color="auto"/>
              <w:bottom w:val="single" w:sz="4" w:space="0" w:color="auto"/>
              <w:right w:val="single" w:sz="4" w:space="0" w:color="auto"/>
            </w:tcBorders>
          </w:tcPr>
          <w:p w:rsidR="006B6A3E" w:rsidRPr="006B6A3E" w:rsidRDefault="006B6A3E" w:rsidP="006B6A3E">
            <w:pPr>
              <w:tabs>
                <w:tab w:val="left" w:pos="993"/>
              </w:tabs>
              <w:spacing w:line="288" w:lineRule="auto"/>
              <w:ind w:firstLine="709"/>
              <w:jc w:val="left"/>
              <w:rPr>
                <w:rFonts w:eastAsia="Calibri"/>
                <w:sz w:val="24"/>
                <w:szCs w:val="24"/>
                <w:lang w:val="ru-RU"/>
              </w:rPr>
            </w:pPr>
            <w:r w:rsidRPr="006B6A3E">
              <w:rPr>
                <w:rFonts w:eastAsia="Calibri"/>
                <w:sz w:val="24"/>
                <w:szCs w:val="24"/>
                <w:lang w:val="ru-RU"/>
              </w:rPr>
              <w:t>77,77</w:t>
            </w:r>
          </w:p>
        </w:tc>
        <w:tc>
          <w:tcPr>
            <w:tcW w:w="0" w:type="auto"/>
            <w:tcBorders>
              <w:top w:val="single" w:sz="4" w:space="0" w:color="auto"/>
              <w:left w:val="single" w:sz="4" w:space="0" w:color="auto"/>
              <w:bottom w:val="single" w:sz="4" w:space="0" w:color="auto"/>
              <w:right w:val="single" w:sz="4" w:space="0" w:color="auto"/>
            </w:tcBorders>
          </w:tcPr>
          <w:p w:rsidR="006B6A3E" w:rsidRPr="006B6A3E" w:rsidRDefault="006B6A3E" w:rsidP="006B6A3E">
            <w:pPr>
              <w:tabs>
                <w:tab w:val="left" w:pos="993"/>
              </w:tabs>
              <w:spacing w:line="288" w:lineRule="auto"/>
              <w:ind w:firstLine="709"/>
              <w:jc w:val="left"/>
              <w:rPr>
                <w:rFonts w:eastAsia="Calibri"/>
                <w:sz w:val="24"/>
                <w:szCs w:val="24"/>
                <w:lang w:val="ru-RU"/>
              </w:rPr>
            </w:pPr>
            <w:r w:rsidRPr="006B6A3E">
              <w:rPr>
                <w:rFonts w:eastAsia="Calibri"/>
                <w:sz w:val="24"/>
                <w:szCs w:val="24"/>
                <w:lang w:val="ru-RU"/>
              </w:rPr>
              <w:t>80,77</w:t>
            </w:r>
          </w:p>
        </w:tc>
      </w:tr>
    </w:tbl>
    <w:p w:rsidR="006B6A3E" w:rsidRPr="006B6A3E" w:rsidRDefault="006B6A3E" w:rsidP="006B6A3E">
      <w:pPr>
        <w:tabs>
          <w:tab w:val="left" w:pos="8900"/>
        </w:tabs>
        <w:spacing w:after="200"/>
        <w:jc w:val="left"/>
        <w:rPr>
          <w:rFonts w:eastAsia="Calibri"/>
          <w:b/>
          <w:szCs w:val="28"/>
        </w:rPr>
      </w:pPr>
    </w:p>
    <w:p w:rsidR="006B6A3E" w:rsidRPr="006B6A3E" w:rsidRDefault="006B6A3E" w:rsidP="006B6A3E">
      <w:pPr>
        <w:tabs>
          <w:tab w:val="left" w:pos="8900"/>
        </w:tabs>
        <w:spacing w:after="200"/>
        <w:jc w:val="left"/>
        <w:rPr>
          <w:rFonts w:eastAsia="Calibri"/>
          <w:b/>
          <w:szCs w:val="28"/>
        </w:rPr>
      </w:pPr>
    </w:p>
    <w:p w:rsidR="006B6A3E" w:rsidRPr="006B6A3E" w:rsidRDefault="006B6A3E" w:rsidP="00D13BF8">
      <w:pPr>
        <w:pageBreakBefore/>
        <w:tabs>
          <w:tab w:val="left" w:pos="7843"/>
        </w:tabs>
        <w:spacing w:after="200"/>
        <w:jc w:val="right"/>
        <w:rPr>
          <w:rFonts w:eastAsia="Calibri"/>
          <w:szCs w:val="28"/>
        </w:rPr>
      </w:pPr>
      <w:r w:rsidRPr="006B6A3E">
        <w:rPr>
          <w:rFonts w:eastAsia="Calibri"/>
          <w:b/>
          <w:szCs w:val="28"/>
        </w:rPr>
        <w:lastRenderedPageBreak/>
        <w:tab/>
      </w:r>
      <w:r w:rsidR="005627AD">
        <w:rPr>
          <w:rFonts w:eastAsia="Calibri"/>
          <w:szCs w:val="28"/>
        </w:rPr>
        <w:t>Додаток Г</w:t>
      </w:r>
      <w:r w:rsidRPr="006B6A3E">
        <w:rPr>
          <w:rFonts w:eastAsia="Calibri"/>
          <w:szCs w:val="28"/>
        </w:rPr>
        <w:t>-3</w:t>
      </w:r>
    </w:p>
    <w:p w:rsidR="006B6A3E" w:rsidRPr="006B6A3E" w:rsidRDefault="006B6A3E" w:rsidP="00691330">
      <w:pPr>
        <w:tabs>
          <w:tab w:val="left" w:pos="993"/>
        </w:tabs>
        <w:spacing w:after="160" w:line="288" w:lineRule="auto"/>
        <w:jc w:val="center"/>
        <w:rPr>
          <w:rFonts w:eastAsia="Calibri"/>
          <w:b/>
          <w:szCs w:val="28"/>
        </w:rPr>
      </w:pPr>
      <w:r w:rsidRPr="006B6A3E">
        <w:rPr>
          <w:rFonts w:eastAsia="Calibri"/>
          <w:b/>
          <w:szCs w:val="28"/>
          <w:lang w:val="ru-RU"/>
        </w:rPr>
        <w:t>Характеристика госпіталізації дитячого населення України, 2014,2018</w:t>
      </w:r>
      <w:r w:rsidRPr="006B6A3E">
        <w:rPr>
          <w:rFonts w:eastAsia="Calibri"/>
          <w:b/>
          <w:szCs w:val="28"/>
        </w:rPr>
        <w:t xml:space="preserve"> </w:t>
      </w:r>
      <w:r w:rsidRPr="006B6A3E">
        <w:rPr>
          <w:rFonts w:eastAsia="Calibri"/>
          <w:b/>
          <w:szCs w:val="28"/>
          <w:lang w:val="ru-RU"/>
        </w:rPr>
        <w:t>рр.</w:t>
      </w:r>
    </w:p>
    <w:tbl>
      <w:tblPr>
        <w:tblW w:w="0" w:type="auto"/>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53"/>
        <w:gridCol w:w="1131"/>
        <w:gridCol w:w="1131"/>
        <w:gridCol w:w="932"/>
        <w:gridCol w:w="932"/>
        <w:gridCol w:w="2005"/>
        <w:gridCol w:w="2378"/>
      </w:tblGrid>
      <w:tr w:rsidR="006B6A3E" w:rsidRPr="00FC0023" w:rsidTr="006E3A91">
        <w:trPr>
          <w:trHeight w:val="225"/>
        </w:trPr>
        <w:tc>
          <w:tcPr>
            <w:tcW w:w="0" w:type="auto"/>
            <w:vMerge w:val="restart"/>
            <w:shd w:val="clear" w:color="auto" w:fill="auto"/>
            <w:vAlign w:val="center"/>
          </w:tcPr>
          <w:p w:rsidR="006B6A3E" w:rsidRPr="00FC0023" w:rsidRDefault="006B6A3E" w:rsidP="00FC0023">
            <w:pPr>
              <w:tabs>
                <w:tab w:val="left" w:pos="993"/>
              </w:tabs>
              <w:spacing w:line="276" w:lineRule="auto"/>
              <w:jc w:val="center"/>
              <w:rPr>
                <w:rFonts w:eastAsia="Calibri"/>
                <w:bCs/>
                <w:color w:val="000000"/>
                <w:sz w:val="24"/>
                <w:szCs w:val="24"/>
              </w:rPr>
            </w:pPr>
            <w:r w:rsidRPr="00FC0023">
              <w:rPr>
                <w:rFonts w:eastAsia="Calibri"/>
                <w:bCs/>
                <w:color w:val="000000"/>
                <w:sz w:val="24"/>
                <w:szCs w:val="24"/>
                <w:lang w:val="en-US"/>
              </w:rPr>
              <w:t>Адміністративна територія</w:t>
            </w:r>
          </w:p>
        </w:tc>
        <w:tc>
          <w:tcPr>
            <w:tcW w:w="0" w:type="auto"/>
            <w:gridSpan w:val="2"/>
            <w:vAlign w:val="center"/>
          </w:tcPr>
          <w:p w:rsidR="006B6A3E" w:rsidRPr="00FC0023" w:rsidRDefault="006B6A3E" w:rsidP="00FC0023">
            <w:pPr>
              <w:tabs>
                <w:tab w:val="left" w:pos="993"/>
              </w:tabs>
              <w:spacing w:line="276" w:lineRule="auto"/>
              <w:jc w:val="center"/>
              <w:rPr>
                <w:rFonts w:eastAsia="Calibri"/>
                <w:bCs/>
                <w:color w:val="000000"/>
                <w:sz w:val="24"/>
                <w:szCs w:val="24"/>
                <w:lang w:val="ru-RU"/>
              </w:rPr>
            </w:pPr>
            <w:r w:rsidRPr="00FC0023">
              <w:rPr>
                <w:rFonts w:eastAsia="Calibri"/>
                <w:bCs/>
                <w:color w:val="000000"/>
                <w:sz w:val="24"/>
                <w:szCs w:val="24"/>
                <w:lang w:val="ru-RU"/>
              </w:rPr>
              <w:t xml:space="preserve">Проліковано дітей на 1000 дитячого населення в </w:t>
            </w:r>
            <w:r w:rsidRPr="00FC0023">
              <w:rPr>
                <w:rFonts w:eastAsia="Calibri"/>
                <w:bCs/>
                <w:color w:val="000000"/>
                <w:sz w:val="24"/>
                <w:szCs w:val="24"/>
              </w:rPr>
              <w:t>цілодобових</w:t>
            </w:r>
            <w:r w:rsidRPr="00FC0023">
              <w:rPr>
                <w:rFonts w:eastAsia="Calibri"/>
                <w:bCs/>
                <w:color w:val="000000"/>
                <w:sz w:val="24"/>
                <w:szCs w:val="24"/>
                <w:lang w:val="ru-RU"/>
              </w:rPr>
              <w:t xml:space="preserve"> стаціонарах</w:t>
            </w:r>
          </w:p>
        </w:tc>
        <w:tc>
          <w:tcPr>
            <w:tcW w:w="0" w:type="auto"/>
            <w:gridSpan w:val="2"/>
            <w:vAlign w:val="center"/>
          </w:tcPr>
          <w:p w:rsidR="006B6A3E" w:rsidRPr="00FC0023" w:rsidRDefault="006B6A3E" w:rsidP="00FC0023">
            <w:pPr>
              <w:tabs>
                <w:tab w:val="left" w:pos="993"/>
              </w:tabs>
              <w:spacing w:line="276" w:lineRule="auto"/>
              <w:jc w:val="center"/>
              <w:rPr>
                <w:rFonts w:eastAsia="Calibri"/>
                <w:bCs/>
                <w:color w:val="FF0000"/>
                <w:sz w:val="24"/>
                <w:szCs w:val="24"/>
              </w:rPr>
            </w:pPr>
            <w:r w:rsidRPr="00FC0023">
              <w:rPr>
                <w:rFonts w:eastAsia="Calibri"/>
                <w:bCs/>
                <w:color w:val="000000"/>
                <w:sz w:val="24"/>
                <w:szCs w:val="24"/>
                <w:lang w:val="ru-RU"/>
              </w:rPr>
              <w:t>у т. ч. дітей до 1 року</w:t>
            </w:r>
            <w:r w:rsidRPr="00FC0023">
              <w:rPr>
                <w:rFonts w:eastAsia="Calibri"/>
                <w:bCs/>
                <w:color w:val="000000"/>
                <w:sz w:val="24"/>
                <w:szCs w:val="24"/>
              </w:rPr>
              <w:t xml:space="preserve"> </w:t>
            </w:r>
            <w:r w:rsidRPr="00FC0023">
              <w:rPr>
                <w:rFonts w:eastAsia="Calibri"/>
                <w:bCs/>
                <w:sz w:val="24"/>
                <w:szCs w:val="24"/>
              </w:rPr>
              <w:t>життя</w:t>
            </w:r>
          </w:p>
        </w:tc>
        <w:tc>
          <w:tcPr>
            <w:tcW w:w="0" w:type="auto"/>
            <w:vAlign w:val="center"/>
          </w:tcPr>
          <w:p w:rsidR="006B6A3E" w:rsidRPr="00FC0023" w:rsidRDefault="006B6A3E" w:rsidP="00FC0023">
            <w:pPr>
              <w:tabs>
                <w:tab w:val="left" w:pos="993"/>
              </w:tabs>
              <w:spacing w:line="276" w:lineRule="auto"/>
              <w:jc w:val="center"/>
              <w:rPr>
                <w:rFonts w:eastAsia="Calibri"/>
                <w:bCs/>
                <w:color w:val="000000"/>
                <w:sz w:val="24"/>
                <w:szCs w:val="24"/>
                <w:lang w:val="ru-RU"/>
              </w:rPr>
            </w:pPr>
            <w:r w:rsidRPr="00FC0023">
              <w:rPr>
                <w:rFonts w:eastAsia="Calibri"/>
                <w:bCs/>
                <w:color w:val="000000"/>
                <w:sz w:val="24"/>
                <w:szCs w:val="24"/>
                <w:lang w:val="ru-RU"/>
              </w:rPr>
              <w:t xml:space="preserve">Проліковано дітей </w:t>
            </w:r>
            <w:r w:rsidRPr="00FC0023">
              <w:rPr>
                <w:rFonts w:eastAsia="Calibri"/>
                <w:bCs/>
                <w:color w:val="000000"/>
                <w:sz w:val="24"/>
                <w:szCs w:val="24"/>
              </w:rPr>
              <w:t xml:space="preserve">в денних стаціонарах </w:t>
            </w:r>
            <w:r w:rsidRPr="00FC0023">
              <w:rPr>
                <w:rFonts w:eastAsia="Calibri"/>
                <w:bCs/>
                <w:color w:val="000000"/>
                <w:sz w:val="24"/>
                <w:szCs w:val="24"/>
                <w:lang w:val="ru-RU"/>
              </w:rPr>
              <w:t xml:space="preserve">на 1000 дитячого населення </w:t>
            </w:r>
          </w:p>
        </w:tc>
        <w:tc>
          <w:tcPr>
            <w:tcW w:w="0" w:type="auto"/>
            <w:vAlign w:val="center"/>
          </w:tcPr>
          <w:p w:rsidR="006B6A3E" w:rsidRPr="00FC0023" w:rsidRDefault="006B6A3E" w:rsidP="00FC0023">
            <w:pPr>
              <w:tabs>
                <w:tab w:val="left" w:pos="993"/>
              </w:tabs>
              <w:spacing w:line="276" w:lineRule="auto"/>
              <w:jc w:val="center"/>
              <w:rPr>
                <w:rFonts w:eastAsia="Calibri"/>
                <w:bCs/>
                <w:color w:val="000000"/>
                <w:sz w:val="24"/>
                <w:szCs w:val="24"/>
                <w:lang w:val="ru-RU"/>
              </w:rPr>
            </w:pPr>
            <w:r w:rsidRPr="00FC0023">
              <w:rPr>
                <w:rFonts w:eastAsia="Calibri"/>
                <w:bCs/>
                <w:color w:val="000000"/>
                <w:sz w:val="24"/>
                <w:szCs w:val="24"/>
                <w:lang w:val="ru-RU"/>
              </w:rPr>
              <w:t xml:space="preserve">Співвідношення </w:t>
            </w:r>
            <w:r w:rsidRPr="00FC0023">
              <w:rPr>
                <w:rFonts w:eastAsia="Calibri"/>
                <w:bCs/>
                <w:color w:val="000000"/>
                <w:sz w:val="24"/>
                <w:szCs w:val="24"/>
              </w:rPr>
              <w:t>пролікованих</w:t>
            </w:r>
            <w:r w:rsidRPr="00FC0023">
              <w:rPr>
                <w:rFonts w:eastAsia="Calibri"/>
                <w:bCs/>
                <w:color w:val="000000"/>
                <w:sz w:val="24"/>
                <w:szCs w:val="24"/>
                <w:lang w:val="ru-RU"/>
              </w:rPr>
              <w:t xml:space="preserve"> дітей в денн</w:t>
            </w:r>
            <w:r w:rsidRPr="00FC0023">
              <w:rPr>
                <w:rFonts w:eastAsia="Calibri"/>
                <w:bCs/>
                <w:color w:val="000000"/>
                <w:sz w:val="24"/>
                <w:szCs w:val="24"/>
              </w:rPr>
              <w:t xml:space="preserve">их </w:t>
            </w:r>
            <w:r w:rsidRPr="00FC0023">
              <w:rPr>
                <w:rFonts w:eastAsia="Calibri"/>
                <w:bCs/>
                <w:sz w:val="24"/>
                <w:szCs w:val="24"/>
              </w:rPr>
              <w:t>і цілодобових</w:t>
            </w:r>
            <w:r w:rsidRPr="00FC0023">
              <w:rPr>
                <w:rFonts w:eastAsia="Calibri"/>
                <w:bCs/>
                <w:color w:val="FF0000"/>
                <w:sz w:val="24"/>
                <w:szCs w:val="24"/>
              </w:rPr>
              <w:t xml:space="preserve"> </w:t>
            </w:r>
            <w:r w:rsidRPr="00FC0023">
              <w:rPr>
                <w:rFonts w:eastAsia="Calibri"/>
                <w:bCs/>
                <w:color w:val="000000"/>
                <w:sz w:val="24"/>
                <w:szCs w:val="24"/>
                <w:lang w:val="ru-RU"/>
              </w:rPr>
              <w:t>стаціонар</w:t>
            </w:r>
            <w:r w:rsidRPr="00FC0023">
              <w:rPr>
                <w:rFonts w:eastAsia="Calibri"/>
                <w:bCs/>
                <w:color w:val="000000"/>
                <w:sz w:val="24"/>
                <w:szCs w:val="24"/>
              </w:rPr>
              <w:t>ах</w:t>
            </w:r>
            <w:r w:rsidRPr="00FC0023">
              <w:rPr>
                <w:rFonts w:eastAsia="Calibri"/>
                <w:bCs/>
                <w:color w:val="000000"/>
                <w:sz w:val="24"/>
                <w:szCs w:val="24"/>
                <w:lang w:val="ru-RU"/>
              </w:rPr>
              <w:t xml:space="preserve"> </w:t>
            </w:r>
            <w:r w:rsidRPr="00FC0023">
              <w:rPr>
                <w:rFonts w:eastAsia="Calibri"/>
                <w:bCs/>
                <w:color w:val="000000"/>
                <w:sz w:val="24"/>
                <w:szCs w:val="24"/>
              </w:rPr>
              <w:t xml:space="preserve"> </w:t>
            </w:r>
            <w:r w:rsidRPr="00FC0023">
              <w:rPr>
                <w:rFonts w:eastAsia="Calibri"/>
                <w:bCs/>
                <w:color w:val="000000"/>
                <w:sz w:val="24"/>
                <w:szCs w:val="24"/>
                <w:lang w:val="ru-RU"/>
              </w:rPr>
              <w:t xml:space="preserve"> </w:t>
            </w:r>
          </w:p>
          <w:p w:rsidR="006B6A3E" w:rsidRPr="00FC0023" w:rsidRDefault="006B6A3E" w:rsidP="00FC0023">
            <w:pPr>
              <w:tabs>
                <w:tab w:val="left" w:pos="993"/>
              </w:tabs>
              <w:spacing w:line="276" w:lineRule="auto"/>
              <w:jc w:val="center"/>
              <w:rPr>
                <w:rFonts w:eastAsia="Calibri"/>
                <w:bCs/>
                <w:color w:val="000000"/>
                <w:sz w:val="24"/>
                <w:szCs w:val="24"/>
                <w:highlight w:val="yellow"/>
                <w:lang w:val="ru-RU"/>
              </w:rPr>
            </w:pPr>
          </w:p>
        </w:tc>
      </w:tr>
      <w:tr w:rsidR="006B6A3E" w:rsidRPr="00FC0023" w:rsidTr="006E3A91">
        <w:trPr>
          <w:trHeight w:val="225"/>
        </w:trPr>
        <w:tc>
          <w:tcPr>
            <w:tcW w:w="0" w:type="auto"/>
            <w:vMerge/>
            <w:shd w:val="clear" w:color="auto" w:fill="auto"/>
          </w:tcPr>
          <w:p w:rsidR="006B6A3E" w:rsidRPr="00FC0023" w:rsidRDefault="006B6A3E" w:rsidP="00FC0023">
            <w:pPr>
              <w:tabs>
                <w:tab w:val="left" w:pos="993"/>
              </w:tabs>
              <w:spacing w:line="276" w:lineRule="auto"/>
              <w:jc w:val="left"/>
              <w:rPr>
                <w:rFonts w:eastAsia="Calibri"/>
                <w:bCs/>
                <w:color w:val="000000"/>
                <w:sz w:val="24"/>
                <w:szCs w:val="24"/>
                <w:lang w:val="ru-RU"/>
              </w:rPr>
            </w:pPr>
          </w:p>
        </w:tc>
        <w:tc>
          <w:tcPr>
            <w:tcW w:w="0" w:type="auto"/>
          </w:tcPr>
          <w:p w:rsidR="006B6A3E" w:rsidRPr="00FC0023" w:rsidRDefault="006B6A3E" w:rsidP="00FC0023">
            <w:pPr>
              <w:tabs>
                <w:tab w:val="left" w:pos="993"/>
              </w:tabs>
              <w:spacing w:line="276" w:lineRule="auto"/>
              <w:jc w:val="center"/>
              <w:rPr>
                <w:rFonts w:eastAsia="Calibri"/>
                <w:bCs/>
                <w:color w:val="000000"/>
                <w:sz w:val="24"/>
                <w:szCs w:val="24"/>
                <w:lang w:val="en-US"/>
              </w:rPr>
            </w:pPr>
            <w:r w:rsidRPr="00FC0023">
              <w:rPr>
                <w:rFonts w:eastAsia="Calibri"/>
                <w:bCs/>
                <w:color w:val="000000"/>
                <w:sz w:val="24"/>
                <w:szCs w:val="24"/>
                <w:lang w:val="en-US"/>
              </w:rPr>
              <w:t>2014 р.</w:t>
            </w:r>
          </w:p>
        </w:tc>
        <w:tc>
          <w:tcPr>
            <w:tcW w:w="0" w:type="auto"/>
          </w:tcPr>
          <w:p w:rsidR="006B6A3E" w:rsidRPr="00FC0023" w:rsidRDefault="006B6A3E" w:rsidP="00FC0023">
            <w:pPr>
              <w:tabs>
                <w:tab w:val="left" w:pos="993"/>
              </w:tabs>
              <w:spacing w:line="276" w:lineRule="auto"/>
              <w:jc w:val="center"/>
              <w:rPr>
                <w:rFonts w:eastAsia="Calibri"/>
                <w:bCs/>
                <w:color w:val="000000"/>
                <w:sz w:val="24"/>
                <w:szCs w:val="24"/>
                <w:lang w:val="en-US"/>
              </w:rPr>
            </w:pPr>
            <w:r w:rsidRPr="00FC0023">
              <w:rPr>
                <w:rFonts w:eastAsia="Calibri"/>
                <w:bCs/>
                <w:color w:val="000000"/>
                <w:sz w:val="24"/>
                <w:szCs w:val="24"/>
                <w:lang w:val="en-US"/>
              </w:rPr>
              <w:t xml:space="preserve">2018 р. </w:t>
            </w:r>
          </w:p>
        </w:tc>
        <w:tc>
          <w:tcPr>
            <w:tcW w:w="0" w:type="auto"/>
          </w:tcPr>
          <w:p w:rsidR="006B6A3E" w:rsidRPr="00FC0023" w:rsidRDefault="006B6A3E" w:rsidP="00FC0023">
            <w:pPr>
              <w:tabs>
                <w:tab w:val="left" w:pos="993"/>
              </w:tabs>
              <w:spacing w:line="276" w:lineRule="auto"/>
              <w:jc w:val="center"/>
              <w:rPr>
                <w:rFonts w:eastAsia="Calibri"/>
                <w:bCs/>
                <w:color w:val="000000"/>
                <w:sz w:val="24"/>
                <w:szCs w:val="24"/>
                <w:lang w:val="en-US"/>
              </w:rPr>
            </w:pPr>
            <w:r w:rsidRPr="00FC0023">
              <w:rPr>
                <w:rFonts w:eastAsia="Calibri"/>
                <w:bCs/>
                <w:color w:val="000000"/>
                <w:sz w:val="24"/>
                <w:szCs w:val="24"/>
                <w:lang w:val="en-US"/>
              </w:rPr>
              <w:t>2014 р.</w:t>
            </w:r>
          </w:p>
        </w:tc>
        <w:tc>
          <w:tcPr>
            <w:tcW w:w="0" w:type="auto"/>
          </w:tcPr>
          <w:p w:rsidR="006B6A3E" w:rsidRPr="00FC0023" w:rsidRDefault="006B6A3E" w:rsidP="00FC0023">
            <w:pPr>
              <w:tabs>
                <w:tab w:val="left" w:pos="993"/>
              </w:tabs>
              <w:spacing w:line="276" w:lineRule="auto"/>
              <w:jc w:val="center"/>
              <w:rPr>
                <w:rFonts w:eastAsia="Calibri"/>
                <w:bCs/>
                <w:color w:val="000000"/>
                <w:sz w:val="24"/>
                <w:szCs w:val="24"/>
                <w:lang w:val="en-US"/>
              </w:rPr>
            </w:pPr>
            <w:r w:rsidRPr="00FC0023">
              <w:rPr>
                <w:rFonts w:eastAsia="Calibri"/>
                <w:bCs/>
                <w:color w:val="000000"/>
                <w:sz w:val="24"/>
                <w:szCs w:val="24"/>
                <w:lang w:val="en-US"/>
              </w:rPr>
              <w:t>2018 р.</w:t>
            </w:r>
          </w:p>
        </w:tc>
        <w:tc>
          <w:tcPr>
            <w:tcW w:w="0" w:type="auto"/>
          </w:tcPr>
          <w:p w:rsidR="006B6A3E" w:rsidRPr="00FC0023" w:rsidRDefault="006B6A3E" w:rsidP="00FC0023">
            <w:pPr>
              <w:tabs>
                <w:tab w:val="left" w:pos="993"/>
              </w:tabs>
              <w:spacing w:line="276" w:lineRule="auto"/>
              <w:jc w:val="center"/>
              <w:rPr>
                <w:rFonts w:eastAsia="Calibri"/>
                <w:bCs/>
                <w:color w:val="000000"/>
                <w:sz w:val="24"/>
                <w:szCs w:val="24"/>
                <w:lang w:val="en-US"/>
              </w:rPr>
            </w:pPr>
            <w:r w:rsidRPr="00FC0023">
              <w:rPr>
                <w:rFonts w:eastAsia="Calibri"/>
                <w:bCs/>
                <w:color w:val="000000"/>
                <w:sz w:val="24"/>
                <w:szCs w:val="24"/>
                <w:lang w:val="en-US"/>
              </w:rPr>
              <w:t>2018 р.</w:t>
            </w:r>
          </w:p>
        </w:tc>
        <w:tc>
          <w:tcPr>
            <w:tcW w:w="0" w:type="auto"/>
          </w:tcPr>
          <w:p w:rsidR="006B6A3E" w:rsidRPr="00FC0023" w:rsidRDefault="006B6A3E" w:rsidP="00FC0023">
            <w:pPr>
              <w:tabs>
                <w:tab w:val="left" w:pos="993"/>
              </w:tabs>
              <w:spacing w:line="276" w:lineRule="auto"/>
              <w:jc w:val="center"/>
              <w:rPr>
                <w:rFonts w:eastAsia="Calibri"/>
                <w:bCs/>
                <w:color w:val="000000"/>
                <w:sz w:val="24"/>
                <w:szCs w:val="24"/>
                <w:highlight w:val="yellow"/>
                <w:lang w:val="en-US"/>
              </w:rPr>
            </w:pPr>
            <w:r w:rsidRPr="00FC0023">
              <w:rPr>
                <w:rFonts w:eastAsia="Calibri"/>
                <w:bCs/>
                <w:color w:val="000000"/>
                <w:sz w:val="24"/>
                <w:szCs w:val="24"/>
                <w:lang w:val="en-US"/>
              </w:rPr>
              <w:t>2018 р.</w:t>
            </w:r>
          </w:p>
        </w:tc>
      </w:tr>
      <w:tr w:rsidR="006B6A3E" w:rsidRPr="00FC0023" w:rsidTr="006E3A91">
        <w:trPr>
          <w:trHeight w:val="225"/>
        </w:trPr>
        <w:tc>
          <w:tcPr>
            <w:tcW w:w="0" w:type="auto"/>
            <w:shd w:val="clear" w:color="auto" w:fill="auto"/>
            <w:hideMark/>
          </w:tcPr>
          <w:p w:rsidR="006B6A3E" w:rsidRPr="00FC0023" w:rsidRDefault="006B6A3E" w:rsidP="00FC0023">
            <w:pPr>
              <w:tabs>
                <w:tab w:val="left" w:pos="993"/>
              </w:tabs>
              <w:spacing w:line="276" w:lineRule="auto"/>
              <w:jc w:val="left"/>
              <w:rPr>
                <w:rFonts w:eastAsia="Calibri"/>
                <w:bCs/>
                <w:color w:val="000000"/>
                <w:sz w:val="24"/>
                <w:szCs w:val="24"/>
                <w:lang w:val="en-US"/>
              </w:rPr>
            </w:pPr>
            <w:r w:rsidRPr="00FC0023">
              <w:rPr>
                <w:rFonts w:eastAsia="Calibri"/>
                <w:bCs/>
                <w:color w:val="000000"/>
                <w:sz w:val="24"/>
                <w:szCs w:val="24"/>
                <w:lang w:val="en-US"/>
              </w:rPr>
              <w:t>Україна</w:t>
            </w:r>
          </w:p>
        </w:tc>
        <w:tc>
          <w:tcPr>
            <w:tcW w:w="0" w:type="auto"/>
          </w:tcPr>
          <w:p w:rsidR="006B6A3E" w:rsidRPr="00FC0023" w:rsidRDefault="006B6A3E" w:rsidP="00FC0023">
            <w:pPr>
              <w:tabs>
                <w:tab w:val="left" w:pos="993"/>
              </w:tabs>
              <w:spacing w:line="276" w:lineRule="auto"/>
              <w:jc w:val="center"/>
              <w:rPr>
                <w:rFonts w:eastAsia="Calibri"/>
                <w:bCs/>
                <w:color w:val="000000"/>
                <w:sz w:val="24"/>
                <w:szCs w:val="24"/>
                <w:lang w:val="en-US"/>
              </w:rPr>
            </w:pPr>
            <w:r w:rsidRPr="00FC0023">
              <w:rPr>
                <w:rFonts w:eastAsia="Calibri"/>
                <w:bCs/>
                <w:color w:val="000000"/>
                <w:sz w:val="24"/>
                <w:szCs w:val="24"/>
                <w:lang w:val="en-US"/>
              </w:rPr>
              <w:t>210,56</w:t>
            </w:r>
          </w:p>
        </w:tc>
        <w:tc>
          <w:tcPr>
            <w:tcW w:w="0" w:type="auto"/>
          </w:tcPr>
          <w:p w:rsidR="006B6A3E" w:rsidRPr="00FC0023" w:rsidRDefault="006B6A3E" w:rsidP="00FC0023">
            <w:pPr>
              <w:tabs>
                <w:tab w:val="left" w:pos="993"/>
              </w:tabs>
              <w:spacing w:line="276" w:lineRule="auto"/>
              <w:jc w:val="center"/>
              <w:rPr>
                <w:rFonts w:eastAsia="Calibri"/>
                <w:bCs/>
                <w:color w:val="000000"/>
                <w:sz w:val="24"/>
                <w:szCs w:val="24"/>
                <w:lang w:val="en-US"/>
              </w:rPr>
            </w:pPr>
            <w:r w:rsidRPr="00FC0023">
              <w:rPr>
                <w:rFonts w:eastAsia="Calibri"/>
                <w:bCs/>
                <w:color w:val="000000"/>
                <w:sz w:val="24"/>
                <w:szCs w:val="24"/>
                <w:lang w:val="en-US"/>
              </w:rPr>
              <w:t>195,84</w:t>
            </w:r>
          </w:p>
        </w:tc>
        <w:tc>
          <w:tcPr>
            <w:tcW w:w="0" w:type="auto"/>
          </w:tcPr>
          <w:p w:rsidR="006B6A3E" w:rsidRPr="00FC0023" w:rsidRDefault="006B6A3E" w:rsidP="00FC0023">
            <w:pPr>
              <w:tabs>
                <w:tab w:val="left" w:pos="993"/>
              </w:tabs>
              <w:spacing w:line="276" w:lineRule="auto"/>
              <w:jc w:val="center"/>
              <w:rPr>
                <w:rFonts w:eastAsia="Calibri"/>
                <w:bCs/>
                <w:color w:val="000000"/>
                <w:sz w:val="24"/>
                <w:szCs w:val="24"/>
                <w:lang w:val="en-US"/>
              </w:rPr>
            </w:pPr>
            <w:r w:rsidRPr="00FC0023">
              <w:rPr>
                <w:rFonts w:eastAsia="Calibri"/>
                <w:bCs/>
                <w:color w:val="000000"/>
                <w:sz w:val="24"/>
                <w:szCs w:val="24"/>
                <w:lang w:val="en-US"/>
              </w:rPr>
              <w:t>611,40</w:t>
            </w:r>
          </w:p>
        </w:tc>
        <w:tc>
          <w:tcPr>
            <w:tcW w:w="0" w:type="auto"/>
          </w:tcPr>
          <w:p w:rsidR="006B6A3E" w:rsidRPr="00FC0023" w:rsidRDefault="006B6A3E" w:rsidP="00FC0023">
            <w:pPr>
              <w:tabs>
                <w:tab w:val="left" w:pos="993"/>
              </w:tabs>
              <w:spacing w:line="276" w:lineRule="auto"/>
              <w:jc w:val="center"/>
              <w:rPr>
                <w:rFonts w:eastAsia="Calibri"/>
                <w:bCs/>
                <w:color w:val="000000"/>
                <w:sz w:val="24"/>
                <w:szCs w:val="24"/>
                <w:lang w:val="en-US"/>
              </w:rPr>
            </w:pPr>
            <w:r w:rsidRPr="00FC0023">
              <w:rPr>
                <w:rFonts w:eastAsia="Calibri"/>
                <w:bCs/>
                <w:color w:val="000000"/>
                <w:sz w:val="24"/>
                <w:szCs w:val="24"/>
                <w:lang w:val="en-US"/>
              </w:rPr>
              <w:t>596,55</w:t>
            </w:r>
          </w:p>
        </w:tc>
        <w:tc>
          <w:tcPr>
            <w:tcW w:w="0" w:type="auto"/>
            <w:vAlign w:val="center"/>
          </w:tcPr>
          <w:p w:rsidR="006B6A3E" w:rsidRPr="00FC0023" w:rsidRDefault="006B6A3E" w:rsidP="00FC0023">
            <w:pPr>
              <w:tabs>
                <w:tab w:val="left" w:pos="993"/>
              </w:tabs>
              <w:spacing w:line="276" w:lineRule="auto"/>
              <w:jc w:val="center"/>
              <w:rPr>
                <w:rFonts w:eastAsia="Calibri"/>
                <w:bCs/>
                <w:color w:val="000000"/>
                <w:sz w:val="24"/>
                <w:szCs w:val="24"/>
                <w:lang w:val="en-US"/>
              </w:rPr>
            </w:pPr>
            <w:r w:rsidRPr="00FC0023">
              <w:rPr>
                <w:rFonts w:eastAsia="Calibri"/>
                <w:bCs/>
                <w:color w:val="000000"/>
                <w:sz w:val="24"/>
                <w:szCs w:val="24"/>
                <w:lang w:val="en-US"/>
              </w:rPr>
              <w:t>28,88</w:t>
            </w:r>
          </w:p>
        </w:tc>
        <w:tc>
          <w:tcPr>
            <w:tcW w:w="0" w:type="auto"/>
            <w:vAlign w:val="center"/>
          </w:tcPr>
          <w:p w:rsidR="006B6A3E" w:rsidRPr="00FC0023" w:rsidRDefault="006B6A3E" w:rsidP="00FC0023">
            <w:pPr>
              <w:tabs>
                <w:tab w:val="left" w:pos="993"/>
              </w:tabs>
              <w:spacing w:line="276" w:lineRule="auto"/>
              <w:jc w:val="center"/>
              <w:rPr>
                <w:rFonts w:eastAsia="Calibri"/>
                <w:color w:val="000000"/>
                <w:sz w:val="24"/>
                <w:szCs w:val="24"/>
              </w:rPr>
            </w:pPr>
            <w:r w:rsidRPr="00FC0023">
              <w:rPr>
                <w:rFonts w:eastAsia="Calibri"/>
                <w:bCs/>
                <w:color w:val="000000"/>
                <w:sz w:val="24"/>
                <w:szCs w:val="24"/>
              </w:rPr>
              <w:t>1:7</w:t>
            </w:r>
          </w:p>
        </w:tc>
      </w:tr>
      <w:tr w:rsidR="006B6A3E" w:rsidRPr="00FC0023" w:rsidTr="006E3A91">
        <w:trPr>
          <w:trHeight w:val="225"/>
        </w:trPr>
        <w:tc>
          <w:tcPr>
            <w:tcW w:w="0" w:type="auto"/>
            <w:shd w:val="clear" w:color="auto" w:fill="auto"/>
            <w:hideMark/>
          </w:tcPr>
          <w:p w:rsidR="006B6A3E" w:rsidRPr="00FC0023" w:rsidRDefault="006B6A3E" w:rsidP="00FC0023">
            <w:pPr>
              <w:tabs>
                <w:tab w:val="left" w:pos="993"/>
              </w:tabs>
              <w:spacing w:line="276" w:lineRule="auto"/>
              <w:jc w:val="left"/>
              <w:rPr>
                <w:rFonts w:eastAsia="Calibri"/>
                <w:color w:val="000000"/>
                <w:sz w:val="24"/>
                <w:szCs w:val="24"/>
                <w:lang w:val="en-US"/>
              </w:rPr>
            </w:pPr>
            <w:r w:rsidRPr="00FC0023">
              <w:rPr>
                <w:rFonts w:eastAsia="Calibri"/>
                <w:color w:val="000000"/>
                <w:sz w:val="24"/>
                <w:szCs w:val="24"/>
                <w:lang w:val="en-US"/>
              </w:rPr>
              <w:t>Вінницька</w:t>
            </w:r>
          </w:p>
        </w:tc>
        <w:tc>
          <w:tcPr>
            <w:tcW w:w="0" w:type="auto"/>
          </w:tcPr>
          <w:p w:rsidR="006B6A3E" w:rsidRPr="00FC0023" w:rsidRDefault="006B6A3E" w:rsidP="00FC0023">
            <w:pPr>
              <w:tabs>
                <w:tab w:val="left" w:pos="993"/>
              </w:tabs>
              <w:spacing w:line="276" w:lineRule="auto"/>
              <w:jc w:val="center"/>
              <w:rPr>
                <w:rFonts w:eastAsia="Calibri"/>
                <w:color w:val="000000"/>
                <w:sz w:val="24"/>
                <w:szCs w:val="24"/>
                <w:lang w:val="en-US"/>
              </w:rPr>
            </w:pPr>
            <w:r w:rsidRPr="00FC0023">
              <w:rPr>
                <w:rFonts w:eastAsia="Calibri"/>
                <w:color w:val="000000"/>
                <w:sz w:val="24"/>
                <w:szCs w:val="24"/>
                <w:lang w:val="en-US"/>
              </w:rPr>
              <w:t>219,02</w:t>
            </w:r>
          </w:p>
        </w:tc>
        <w:tc>
          <w:tcPr>
            <w:tcW w:w="0" w:type="auto"/>
          </w:tcPr>
          <w:p w:rsidR="006B6A3E" w:rsidRPr="00FC0023" w:rsidRDefault="006B6A3E" w:rsidP="00FC0023">
            <w:pPr>
              <w:tabs>
                <w:tab w:val="left" w:pos="993"/>
              </w:tabs>
              <w:spacing w:line="276" w:lineRule="auto"/>
              <w:jc w:val="center"/>
              <w:rPr>
                <w:rFonts w:eastAsia="Calibri"/>
                <w:color w:val="000000"/>
                <w:sz w:val="24"/>
                <w:szCs w:val="24"/>
                <w:lang w:val="en-US"/>
              </w:rPr>
            </w:pPr>
            <w:r w:rsidRPr="00FC0023">
              <w:rPr>
                <w:rFonts w:eastAsia="Calibri"/>
                <w:color w:val="000000"/>
                <w:sz w:val="24"/>
                <w:szCs w:val="24"/>
                <w:lang w:val="en-US"/>
              </w:rPr>
              <w:t>217,15</w:t>
            </w:r>
          </w:p>
        </w:tc>
        <w:tc>
          <w:tcPr>
            <w:tcW w:w="0" w:type="auto"/>
          </w:tcPr>
          <w:p w:rsidR="006B6A3E" w:rsidRPr="00FC0023" w:rsidRDefault="006B6A3E" w:rsidP="00FC0023">
            <w:pPr>
              <w:tabs>
                <w:tab w:val="left" w:pos="993"/>
              </w:tabs>
              <w:spacing w:line="276" w:lineRule="auto"/>
              <w:jc w:val="center"/>
              <w:rPr>
                <w:rFonts w:eastAsia="Calibri"/>
                <w:color w:val="000000"/>
                <w:sz w:val="24"/>
                <w:szCs w:val="24"/>
                <w:lang w:val="en-US"/>
              </w:rPr>
            </w:pPr>
            <w:r w:rsidRPr="00FC0023">
              <w:rPr>
                <w:rFonts w:eastAsia="Calibri"/>
                <w:color w:val="000000"/>
                <w:sz w:val="24"/>
                <w:szCs w:val="24"/>
                <w:lang w:val="en-US"/>
              </w:rPr>
              <w:t>714,27</w:t>
            </w:r>
          </w:p>
        </w:tc>
        <w:tc>
          <w:tcPr>
            <w:tcW w:w="0" w:type="auto"/>
          </w:tcPr>
          <w:p w:rsidR="006B6A3E" w:rsidRPr="00FC0023" w:rsidRDefault="006B6A3E" w:rsidP="00FC0023">
            <w:pPr>
              <w:tabs>
                <w:tab w:val="left" w:pos="993"/>
              </w:tabs>
              <w:spacing w:line="276" w:lineRule="auto"/>
              <w:jc w:val="center"/>
              <w:rPr>
                <w:rFonts w:eastAsia="Calibri"/>
                <w:color w:val="000000"/>
                <w:sz w:val="24"/>
                <w:szCs w:val="24"/>
                <w:lang w:val="en-US"/>
              </w:rPr>
            </w:pPr>
            <w:r w:rsidRPr="00FC0023">
              <w:rPr>
                <w:rFonts w:eastAsia="Calibri"/>
                <w:color w:val="000000"/>
                <w:sz w:val="24"/>
                <w:szCs w:val="24"/>
                <w:lang w:val="en-US"/>
              </w:rPr>
              <w:t>668,97</w:t>
            </w:r>
          </w:p>
        </w:tc>
        <w:tc>
          <w:tcPr>
            <w:tcW w:w="0" w:type="auto"/>
            <w:vAlign w:val="center"/>
          </w:tcPr>
          <w:p w:rsidR="006B6A3E" w:rsidRPr="00FC0023" w:rsidRDefault="006B6A3E" w:rsidP="00FC0023">
            <w:pPr>
              <w:tabs>
                <w:tab w:val="left" w:pos="993"/>
              </w:tabs>
              <w:spacing w:line="276" w:lineRule="auto"/>
              <w:jc w:val="center"/>
              <w:rPr>
                <w:rFonts w:eastAsia="Calibri"/>
                <w:bCs/>
                <w:color w:val="000000"/>
                <w:sz w:val="24"/>
                <w:szCs w:val="24"/>
                <w:lang w:val="en-US"/>
              </w:rPr>
            </w:pPr>
            <w:r w:rsidRPr="00FC0023">
              <w:rPr>
                <w:rFonts w:eastAsia="Calibri"/>
                <w:bCs/>
                <w:color w:val="000000"/>
                <w:sz w:val="24"/>
                <w:szCs w:val="24"/>
                <w:lang w:val="en-US"/>
              </w:rPr>
              <w:t>18,36</w:t>
            </w:r>
          </w:p>
        </w:tc>
        <w:tc>
          <w:tcPr>
            <w:tcW w:w="0" w:type="auto"/>
            <w:vAlign w:val="center"/>
          </w:tcPr>
          <w:p w:rsidR="006B6A3E" w:rsidRPr="00FC0023" w:rsidRDefault="006B6A3E" w:rsidP="00FC0023">
            <w:pPr>
              <w:tabs>
                <w:tab w:val="left" w:pos="993"/>
              </w:tabs>
              <w:spacing w:line="276" w:lineRule="auto"/>
              <w:jc w:val="center"/>
              <w:rPr>
                <w:rFonts w:eastAsia="Calibri"/>
                <w:color w:val="000000"/>
                <w:sz w:val="24"/>
                <w:szCs w:val="24"/>
              </w:rPr>
            </w:pPr>
            <w:r w:rsidRPr="00FC0023">
              <w:rPr>
                <w:rFonts w:eastAsia="Calibri"/>
                <w:color w:val="000000"/>
                <w:sz w:val="24"/>
                <w:szCs w:val="24"/>
              </w:rPr>
              <w:t>1:12</w:t>
            </w:r>
          </w:p>
        </w:tc>
      </w:tr>
      <w:tr w:rsidR="006B6A3E" w:rsidRPr="00FC0023" w:rsidTr="006E3A91">
        <w:trPr>
          <w:trHeight w:val="225"/>
        </w:trPr>
        <w:tc>
          <w:tcPr>
            <w:tcW w:w="0" w:type="auto"/>
            <w:shd w:val="clear" w:color="auto" w:fill="auto"/>
            <w:hideMark/>
          </w:tcPr>
          <w:p w:rsidR="006B6A3E" w:rsidRPr="00FC0023" w:rsidRDefault="006B6A3E" w:rsidP="00FC0023">
            <w:pPr>
              <w:tabs>
                <w:tab w:val="left" w:pos="993"/>
              </w:tabs>
              <w:spacing w:line="276" w:lineRule="auto"/>
              <w:jc w:val="left"/>
              <w:rPr>
                <w:rFonts w:eastAsia="Calibri"/>
                <w:color w:val="000000"/>
                <w:sz w:val="24"/>
                <w:szCs w:val="24"/>
                <w:lang w:val="en-US"/>
              </w:rPr>
            </w:pPr>
            <w:r w:rsidRPr="00FC0023">
              <w:rPr>
                <w:rFonts w:eastAsia="Calibri"/>
                <w:color w:val="000000"/>
                <w:sz w:val="24"/>
                <w:szCs w:val="24"/>
                <w:lang w:val="en-US"/>
              </w:rPr>
              <w:t>Волинська</w:t>
            </w:r>
          </w:p>
        </w:tc>
        <w:tc>
          <w:tcPr>
            <w:tcW w:w="0" w:type="auto"/>
          </w:tcPr>
          <w:p w:rsidR="006B6A3E" w:rsidRPr="00FC0023" w:rsidRDefault="006B6A3E" w:rsidP="00FC0023">
            <w:pPr>
              <w:tabs>
                <w:tab w:val="left" w:pos="993"/>
              </w:tabs>
              <w:spacing w:line="276" w:lineRule="auto"/>
              <w:jc w:val="center"/>
              <w:rPr>
                <w:rFonts w:eastAsia="Calibri"/>
                <w:color w:val="000000"/>
                <w:sz w:val="24"/>
                <w:szCs w:val="24"/>
                <w:lang w:val="en-US"/>
              </w:rPr>
            </w:pPr>
            <w:r w:rsidRPr="00FC0023">
              <w:rPr>
                <w:rFonts w:eastAsia="Calibri"/>
                <w:color w:val="000000"/>
                <w:sz w:val="24"/>
                <w:szCs w:val="24"/>
                <w:lang w:val="en-US"/>
              </w:rPr>
              <w:t>193,03</w:t>
            </w:r>
          </w:p>
        </w:tc>
        <w:tc>
          <w:tcPr>
            <w:tcW w:w="0" w:type="auto"/>
          </w:tcPr>
          <w:p w:rsidR="006B6A3E" w:rsidRPr="00FC0023" w:rsidRDefault="006B6A3E" w:rsidP="00FC0023">
            <w:pPr>
              <w:tabs>
                <w:tab w:val="left" w:pos="993"/>
              </w:tabs>
              <w:spacing w:line="276" w:lineRule="auto"/>
              <w:jc w:val="center"/>
              <w:rPr>
                <w:rFonts w:eastAsia="Calibri"/>
                <w:color w:val="000000"/>
                <w:sz w:val="24"/>
                <w:szCs w:val="24"/>
                <w:lang w:val="en-US"/>
              </w:rPr>
            </w:pPr>
            <w:r w:rsidRPr="00FC0023">
              <w:rPr>
                <w:rFonts w:eastAsia="Calibri"/>
                <w:color w:val="000000"/>
                <w:sz w:val="24"/>
                <w:szCs w:val="24"/>
                <w:lang w:val="en-US"/>
              </w:rPr>
              <w:t>166,63</w:t>
            </w:r>
          </w:p>
        </w:tc>
        <w:tc>
          <w:tcPr>
            <w:tcW w:w="0" w:type="auto"/>
          </w:tcPr>
          <w:p w:rsidR="006B6A3E" w:rsidRPr="00FC0023" w:rsidRDefault="006B6A3E" w:rsidP="00FC0023">
            <w:pPr>
              <w:tabs>
                <w:tab w:val="left" w:pos="993"/>
              </w:tabs>
              <w:spacing w:line="276" w:lineRule="auto"/>
              <w:jc w:val="center"/>
              <w:rPr>
                <w:rFonts w:eastAsia="Calibri"/>
                <w:color w:val="000000"/>
                <w:sz w:val="24"/>
                <w:szCs w:val="24"/>
                <w:lang w:val="en-US"/>
              </w:rPr>
            </w:pPr>
            <w:r w:rsidRPr="00FC0023">
              <w:rPr>
                <w:rFonts w:eastAsia="Calibri"/>
                <w:color w:val="000000"/>
                <w:sz w:val="24"/>
                <w:szCs w:val="24"/>
                <w:lang w:val="en-US"/>
              </w:rPr>
              <w:t>623,18</w:t>
            </w:r>
          </w:p>
        </w:tc>
        <w:tc>
          <w:tcPr>
            <w:tcW w:w="0" w:type="auto"/>
          </w:tcPr>
          <w:p w:rsidR="006B6A3E" w:rsidRPr="00FC0023" w:rsidRDefault="006B6A3E" w:rsidP="00FC0023">
            <w:pPr>
              <w:tabs>
                <w:tab w:val="left" w:pos="993"/>
              </w:tabs>
              <w:spacing w:line="276" w:lineRule="auto"/>
              <w:jc w:val="center"/>
              <w:rPr>
                <w:rFonts w:eastAsia="Calibri"/>
                <w:color w:val="000000"/>
                <w:sz w:val="24"/>
                <w:szCs w:val="24"/>
                <w:lang w:val="en-US"/>
              </w:rPr>
            </w:pPr>
            <w:r w:rsidRPr="00FC0023">
              <w:rPr>
                <w:rFonts w:eastAsia="Calibri"/>
                <w:color w:val="000000"/>
                <w:sz w:val="24"/>
                <w:szCs w:val="24"/>
                <w:lang w:val="en-US"/>
              </w:rPr>
              <w:t>575,85</w:t>
            </w:r>
          </w:p>
        </w:tc>
        <w:tc>
          <w:tcPr>
            <w:tcW w:w="0" w:type="auto"/>
            <w:vAlign w:val="center"/>
          </w:tcPr>
          <w:p w:rsidR="006B6A3E" w:rsidRPr="00FC0023" w:rsidRDefault="006B6A3E" w:rsidP="00FC0023">
            <w:pPr>
              <w:tabs>
                <w:tab w:val="left" w:pos="993"/>
              </w:tabs>
              <w:spacing w:line="276" w:lineRule="auto"/>
              <w:jc w:val="center"/>
              <w:rPr>
                <w:rFonts w:eastAsia="Calibri"/>
                <w:bCs/>
                <w:color w:val="000000"/>
                <w:sz w:val="24"/>
                <w:szCs w:val="24"/>
                <w:lang w:val="en-US"/>
              </w:rPr>
            </w:pPr>
            <w:r w:rsidRPr="00FC0023">
              <w:rPr>
                <w:rFonts w:eastAsia="Calibri"/>
                <w:bCs/>
                <w:color w:val="000000"/>
                <w:sz w:val="24"/>
                <w:szCs w:val="24"/>
                <w:lang w:val="en-US"/>
              </w:rPr>
              <w:t>15,98</w:t>
            </w:r>
          </w:p>
        </w:tc>
        <w:tc>
          <w:tcPr>
            <w:tcW w:w="0" w:type="auto"/>
            <w:vAlign w:val="center"/>
          </w:tcPr>
          <w:p w:rsidR="006B6A3E" w:rsidRPr="00FC0023" w:rsidRDefault="006B6A3E" w:rsidP="00FC0023">
            <w:pPr>
              <w:tabs>
                <w:tab w:val="left" w:pos="993"/>
              </w:tabs>
              <w:spacing w:line="276" w:lineRule="auto"/>
              <w:jc w:val="center"/>
              <w:rPr>
                <w:rFonts w:eastAsia="Calibri"/>
                <w:color w:val="000000"/>
                <w:sz w:val="24"/>
                <w:szCs w:val="24"/>
              </w:rPr>
            </w:pPr>
            <w:r w:rsidRPr="00FC0023">
              <w:rPr>
                <w:rFonts w:eastAsia="Calibri"/>
                <w:color w:val="000000"/>
                <w:sz w:val="24"/>
                <w:szCs w:val="24"/>
              </w:rPr>
              <w:t>1:</w:t>
            </w:r>
            <w:r w:rsidRPr="00FC0023">
              <w:rPr>
                <w:rFonts w:eastAsia="Calibri"/>
                <w:color w:val="000000"/>
                <w:sz w:val="24"/>
                <w:szCs w:val="24"/>
                <w:lang w:val="en-US"/>
              </w:rPr>
              <w:t>10</w:t>
            </w:r>
          </w:p>
        </w:tc>
      </w:tr>
      <w:tr w:rsidR="006B6A3E" w:rsidRPr="00FC0023" w:rsidTr="006E3A91">
        <w:trPr>
          <w:trHeight w:val="225"/>
        </w:trPr>
        <w:tc>
          <w:tcPr>
            <w:tcW w:w="0" w:type="auto"/>
            <w:shd w:val="clear" w:color="auto" w:fill="auto"/>
            <w:hideMark/>
          </w:tcPr>
          <w:p w:rsidR="006B6A3E" w:rsidRPr="00FC0023" w:rsidRDefault="006B6A3E" w:rsidP="00FC0023">
            <w:pPr>
              <w:tabs>
                <w:tab w:val="left" w:pos="993"/>
              </w:tabs>
              <w:spacing w:line="276" w:lineRule="auto"/>
              <w:jc w:val="left"/>
              <w:rPr>
                <w:rFonts w:eastAsia="Calibri"/>
                <w:color w:val="000000"/>
                <w:sz w:val="24"/>
                <w:szCs w:val="24"/>
                <w:lang w:val="en-US"/>
              </w:rPr>
            </w:pPr>
            <w:r w:rsidRPr="00FC0023">
              <w:rPr>
                <w:rFonts w:eastAsia="Calibri"/>
                <w:color w:val="000000"/>
                <w:sz w:val="24"/>
                <w:szCs w:val="24"/>
                <w:lang w:val="en-US"/>
              </w:rPr>
              <w:t>Дніпропетровська</w:t>
            </w:r>
          </w:p>
        </w:tc>
        <w:tc>
          <w:tcPr>
            <w:tcW w:w="0" w:type="auto"/>
          </w:tcPr>
          <w:p w:rsidR="006B6A3E" w:rsidRPr="00FC0023" w:rsidRDefault="006B6A3E" w:rsidP="00FC0023">
            <w:pPr>
              <w:tabs>
                <w:tab w:val="left" w:pos="993"/>
              </w:tabs>
              <w:spacing w:line="276" w:lineRule="auto"/>
              <w:jc w:val="center"/>
              <w:rPr>
                <w:rFonts w:eastAsia="Calibri"/>
                <w:color w:val="000000"/>
                <w:sz w:val="24"/>
                <w:szCs w:val="24"/>
                <w:lang w:val="en-US"/>
              </w:rPr>
            </w:pPr>
            <w:r w:rsidRPr="00FC0023">
              <w:rPr>
                <w:rFonts w:eastAsia="Calibri"/>
                <w:color w:val="000000"/>
                <w:sz w:val="24"/>
                <w:szCs w:val="24"/>
                <w:lang w:val="en-US"/>
              </w:rPr>
              <w:t>226,58</w:t>
            </w:r>
          </w:p>
        </w:tc>
        <w:tc>
          <w:tcPr>
            <w:tcW w:w="0" w:type="auto"/>
          </w:tcPr>
          <w:p w:rsidR="006B6A3E" w:rsidRPr="00FC0023" w:rsidRDefault="006B6A3E" w:rsidP="00FC0023">
            <w:pPr>
              <w:tabs>
                <w:tab w:val="left" w:pos="993"/>
              </w:tabs>
              <w:spacing w:line="276" w:lineRule="auto"/>
              <w:jc w:val="center"/>
              <w:rPr>
                <w:rFonts w:eastAsia="Calibri"/>
                <w:color w:val="000000"/>
                <w:sz w:val="24"/>
                <w:szCs w:val="24"/>
                <w:lang w:val="en-US"/>
              </w:rPr>
            </w:pPr>
            <w:r w:rsidRPr="00FC0023">
              <w:rPr>
                <w:rFonts w:eastAsia="Calibri"/>
                <w:color w:val="000000"/>
                <w:sz w:val="24"/>
                <w:szCs w:val="24"/>
                <w:lang w:val="en-US"/>
              </w:rPr>
              <w:t>207,82</w:t>
            </w:r>
          </w:p>
        </w:tc>
        <w:tc>
          <w:tcPr>
            <w:tcW w:w="0" w:type="auto"/>
          </w:tcPr>
          <w:p w:rsidR="006B6A3E" w:rsidRPr="00FC0023" w:rsidRDefault="006B6A3E" w:rsidP="00FC0023">
            <w:pPr>
              <w:tabs>
                <w:tab w:val="left" w:pos="993"/>
              </w:tabs>
              <w:spacing w:line="276" w:lineRule="auto"/>
              <w:jc w:val="center"/>
              <w:rPr>
                <w:rFonts w:eastAsia="Calibri"/>
                <w:color w:val="000000"/>
                <w:sz w:val="24"/>
                <w:szCs w:val="24"/>
                <w:lang w:val="en-US"/>
              </w:rPr>
            </w:pPr>
            <w:r w:rsidRPr="00FC0023">
              <w:rPr>
                <w:rFonts w:eastAsia="Calibri"/>
                <w:color w:val="000000"/>
                <w:sz w:val="24"/>
                <w:szCs w:val="24"/>
                <w:lang w:val="en-US"/>
              </w:rPr>
              <w:t>598,05</w:t>
            </w:r>
          </w:p>
        </w:tc>
        <w:tc>
          <w:tcPr>
            <w:tcW w:w="0" w:type="auto"/>
          </w:tcPr>
          <w:p w:rsidR="006B6A3E" w:rsidRPr="00FC0023" w:rsidRDefault="006B6A3E" w:rsidP="00FC0023">
            <w:pPr>
              <w:tabs>
                <w:tab w:val="left" w:pos="993"/>
              </w:tabs>
              <w:spacing w:line="276" w:lineRule="auto"/>
              <w:jc w:val="center"/>
              <w:rPr>
                <w:rFonts w:eastAsia="Calibri"/>
                <w:color w:val="000000"/>
                <w:sz w:val="24"/>
                <w:szCs w:val="24"/>
                <w:lang w:val="en-US"/>
              </w:rPr>
            </w:pPr>
            <w:r w:rsidRPr="00FC0023">
              <w:rPr>
                <w:rFonts w:eastAsia="Calibri"/>
                <w:color w:val="000000"/>
                <w:sz w:val="24"/>
                <w:szCs w:val="24"/>
                <w:lang w:val="en-US"/>
              </w:rPr>
              <w:t>561,09</w:t>
            </w:r>
          </w:p>
        </w:tc>
        <w:tc>
          <w:tcPr>
            <w:tcW w:w="0" w:type="auto"/>
            <w:vAlign w:val="center"/>
          </w:tcPr>
          <w:p w:rsidR="006B6A3E" w:rsidRPr="00FC0023" w:rsidRDefault="006B6A3E" w:rsidP="00FC0023">
            <w:pPr>
              <w:tabs>
                <w:tab w:val="left" w:pos="993"/>
              </w:tabs>
              <w:spacing w:line="276" w:lineRule="auto"/>
              <w:jc w:val="center"/>
              <w:rPr>
                <w:rFonts w:eastAsia="Calibri"/>
                <w:bCs/>
                <w:color w:val="000000"/>
                <w:sz w:val="24"/>
                <w:szCs w:val="24"/>
                <w:lang w:val="en-US"/>
              </w:rPr>
            </w:pPr>
            <w:r w:rsidRPr="00FC0023">
              <w:rPr>
                <w:rFonts w:eastAsia="Calibri"/>
                <w:bCs/>
                <w:color w:val="000000"/>
                <w:sz w:val="24"/>
                <w:szCs w:val="24"/>
                <w:lang w:val="en-US"/>
              </w:rPr>
              <w:t>26,56</w:t>
            </w:r>
          </w:p>
        </w:tc>
        <w:tc>
          <w:tcPr>
            <w:tcW w:w="0" w:type="auto"/>
            <w:vAlign w:val="center"/>
          </w:tcPr>
          <w:p w:rsidR="006B6A3E" w:rsidRPr="00FC0023" w:rsidRDefault="006B6A3E" w:rsidP="00FC0023">
            <w:pPr>
              <w:tabs>
                <w:tab w:val="left" w:pos="993"/>
              </w:tabs>
              <w:spacing w:line="276" w:lineRule="auto"/>
              <w:jc w:val="center"/>
              <w:rPr>
                <w:rFonts w:eastAsia="Calibri"/>
                <w:color w:val="000000"/>
                <w:sz w:val="24"/>
                <w:szCs w:val="24"/>
              </w:rPr>
            </w:pPr>
            <w:r w:rsidRPr="00FC0023">
              <w:rPr>
                <w:rFonts w:eastAsia="Calibri"/>
                <w:color w:val="000000"/>
                <w:sz w:val="24"/>
                <w:szCs w:val="24"/>
              </w:rPr>
              <w:t>1:8</w:t>
            </w:r>
          </w:p>
        </w:tc>
      </w:tr>
      <w:tr w:rsidR="006B6A3E" w:rsidRPr="00FC0023" w:rsidTr="006E3A91">
        <w:trPr>
          <w:trHeight w:val="225"/>
        </w:trPr>
        <w:tc>
          <w:tcPr>
            <w:tcW w:w="0" w:type="auto"/>
            <w:shd w:val="clear" w:color="auto" w:fill="auto"/>
            <w:hideMark/>
          </w:tcPr>
          <w:p w:rsidR="006B6A3E" w:rsidRPr="00FC0023" w:rsidRDefault="006B6A3E" w:rsidP="00FC0023">
            <w:pPr>
              <w:tabs>
                <w:tab w:val="left" w:pos="993"/>
              </w:tabs>
              <w:spacing w:line="276" w:lineRule="auto"/>
              <w:jc w:val="left"/>
              <w:rPr>
                <w:rFonts w:eastAsia="Calibri"/>
                <w:color w:val="000000"/>
                <w:sz w:val="24"/>
                <w:szCs w:val="24"/>
                <w:lang w:val="en-US"/>
              </w:rPr>
            </w:pPr>
            <w:r w:rsidRPr="00FC0023">
              <w:rPr>
                <w:rFonts w:eastAsia="Calibri"/>
                <w:color w:val="000000"/>
                <w:sz w:val="24"/>
                <w:szCs w:val="24"/>
                <w:lang w:val="en-US"/>
              </w:rPr>
              <w:t>Донецька</w:t>
            </w:r>
          </w:p>
        </w:tc>
        <w:tc>
          <w:tcPr>
            <w:tcW w:w="0" w:type="auto"/>
          </w:tcPr>
          <w:p w:rsidR="006B6A3E" w:rsidRPr="00FC0023" w:rsidRDefault="006B6A3E" w:rsidP="00FC0023">
            <w:pPr>
              <w:tabs>
                <w:tab w:val="left" w:pos="993"/>
              </w:tabs>
              <w:spacing w:line="276" w:lineRule="auto"/>
              <w:jc w:val="center"/>
              <w:rPr>
                <w:rFonts w:eastAsia="Calibri"/>
                <w:color w:val="000000"/>
                <w:sz w:val="24"/>
                <w:szCs w:val="24"/>
                <w:lang w:val="en-US"/>
              </w:rPr>
            </w:pPr>
            <w:r w:rsidRPr="00FC0023">
              <w:rPr>
                <w:rFonts w:eastAsia="Calibri"/>
                <w:color w:val="000000"/>
                <w:sz w:val="24"/>
                <w:szCs w:val="24"/>
                <w:lang w:val="en-US"/>
              </w:rPr>
              <w:t>82,12</w:t>
            </w:r>
          </w:p>
        </w:tc>
        <w:tc>
          <w:tcPr>
            <w:tcW w:w="0" w:type="auto"/>
          </w:tcPr>
          <w:p w:rsidR="006B6A3E" w:rsidRPr="00FC0023" w:rsidRDefault="006B6A3E" w:rsidP="00FC0023">
            <w:pPr>
              <w:tabs>
                <w:tab w:val="left" w:pos="993"/>
              </w:tabs>
              <w:spacing w:line="276" w:lineRule="auto"/>
              <w:jc w:val="center"/>
              <w:rPr>
                <w:rFonts w:eastAsia="Calibri"/>
                <w:color w:val="000000"/>
                <w:sz w:val="24"/>
                <w:szCs w:val="24"/>
                <w:lang w:val="en-US"/>
              </w:rPr>
            </w:pPr>
            <w:r w:rsidRPr="00FC0023">
              <w:rPr>
                <w:rFonts w:eastAsia="Calibri"/>
                <w:color w:val="000000"/>
                <w:sz w:val="24"/>
                <w:szCs w:val="24"/>
                <w:lang w:val="en-US"/>
              </w:rPr>
              <w:t>173,12</w:t>
            </w:r>
          </w:p>
        </w:tc>
        <w:tc>
          <w:tcPr>
            <w:tcW w:w="0" w:type="auto"/>
          </w:tcPr>
          <w:p w:rsidR="006B6A3E" w:rsidRPr="00FC0023" w:rsidRDefault="006B6A3E" w:rsidP="00FC0023">
            <w:pPr>
              <w:tabs>
                <w:tab w:val="left" w:pos="993"/>
              </w:tabs>
              <w:spacing w:line="276" w:lineRule="auto"/>
              <w:jc w:val="center"/>
              <w:rPr>
                <w:rFonts w:eastAsia="Calibri"/>
                <w:color w:val="000000"/>
                <w:sz w:val="24"/>
                <w:szCs w:val="24"/>
                <w:lang w:val="en-US"/>
              </w:rPr>
            </w:pPr>
            <w:r w:rsidRPr="00FC0023">
              <w:rPr>
                <w:rFonts w:eastAsia="Calibri"/>
                <w:color w:val="000000"/>
                <w:sz w:val="24"/>
                <w:szCs w:val="24"/>
                <w:lang w:val="en-US"/>
              </w:rPr>
              <w:t>238,37</w:t>
            </w:r>
          </w:p>
        </w:tc>
        <w:tc>
          <w:tcPr>
            <w:tcW w:w="0" w:type="auto"/>
          </w:tcPr>
          <w:p w:rsidR="006B6A3E" w:rsidRPr="00FC0023" w:rsidRDefault="006B6A3E" w:rsidP="00FC0023">
            <w:pPr>
              <w:tabs>
                <w:tab w:val="left" w:pos="993"/>
              </w:tabs>
              <w:spacing w:line="276" w:lineRule="auto"/>
              <w:jc w:val="center"/>
              <w:rPr>
                <w:rFonts w:eastAsia="Calibri"/>
                <w:color w:val="000000"/>
                <w:sz w:val="24"/>
                <w:szCs w:val="24"/>
                <w:lang w:val="en-US"/>
              </w:rPr>
            </w:pPr>
            <w:r w:rsidRPr="00FC0023">
              <w:rPr>
                <w:rFonts w:eastAsia="Calibri"/>
                <w:color w:val="000000"/>
                <w:sz w:val="24"/>
                <w:szCs w:val="24"/>
                <w:lang w:val="en-US"/>
              </w:rPr>
              <w:t>582,92</w:t>
            </w:r>
          </w:p>
        </w:tc>
        <w:tc>
          <w:tcPr>
            <w:tcW w:w="0" w:type="auto"/>
            <w:vAlign w:val="center"/>
          </w:tcPr>
          <w:p w:rsidR="006B6A3E" w:rsidRPr="00FC0023" w:rsidRDefault="006B6A3E" w:rsidP="00FC0023">
            <w:pPr>
              <w:tabs>
                <w:tab w:val="left" w:pos="993"/>
              </w:tabs>
              <w:spacing w:line="276" w:lineRule="auto"/>
              <w:jc w:val="center"/>
              <w:rPr>
                <w:rFonts w:eastAsia="Calibri"/>
                <w:bCs/>
                <w:color w:val="000000"/>
                <w:sz w:val="24"/>
                <w:szCs w:val="24"/>
                <w:lang w:val="en-US"/>
              </w:rPr>
            </w:pPr>
            <w:r w:rsidRPr="00FC0023">
              <w:rPr>
                <w:rFonts w:eastAsia="Calibri"/>
                <w:bCs/>
                <w:color w:val="000000"/>
                <w:sz w:val="24"/>
                <w:szCs w:val="24"/>
                <w:lang w:val="en-US"/>
              </w:rPr>
              <w:t>17,78</w:t>
            </w:r>
          </w:p>
        </w:tc>
        <w:tc>
          <w:tcPr>
            <w:tcW w:w="0" w:type="auto"/>
            <w:vAlign w:val="center"/>
          </w:tcPr>
          <w:p w:rsidR="006B6A3E" w:rsidRPr="00FC0023" w:rsidRDefault="006B6A3E" w:rsidP="00FC0023">
            <w:pPr>
              <w:tabs>
                <w:tab w:val="left" w:pos="993"/>
              </w:tabs>
              <w:spacing w:line="276" w:lineRule="auto"/>
              <w:jc w:val="center"/>
              <w:rPr>
                <w:rFonts w:eastAsia="Calibri"/>
                <w:color w:val="000000"/>
                <w:sz w:val="24"/>
                <w:szCs w:val="24"/>
              </w:rPr>
            </w:pPr>
            <w:r w:rsidRPr="00FC0023">
              <w:rPr>
                <w:rFonts w:eastAsia="Calibri"/>
                <w:color w:val="000000"/>
                <w:sz w:val="24"/>
                <w:szCs w:val="24"/>
              </w:rPr>
              <w:t>1:10</w:t>
            </w:r>
          </w:p>
        </w:tc>
      </w:tr>
      <w:tr w:rsidR="006B6A3E" w:rsidRPr="00FC0023" w:rsidTr="006E3A91">
        <w:trPr>
          <w:trHeight w:val="225"/>
        </w:trPr>
        <w:tc>
          <w:tcPr>
            <w:tcW w:w="0" w:type="auto"/>
            <w:shd w:val="clear" w:color="auto" w:fill="auto"/>
            <w:hideMark/>
          </w:tcPr>
          <w:p w:rsidR="006B6A3E" w:rsidRPr="00FC0023" w:rsidRDefault="006B6A3E" w:rsidP="00FC0023">
            <w:pPr>
              <w:tabs>
                <w:tab w:val="left" w:pos="993"/>
              </w:tabs>
              <w:spacing w:line="276" w:lineRule="auto"/>
              <w:jc w:val="left"/>
              <w:rPr>
                <w:rFonts w:eastAsia="Calibri"/>
                <w:color w:val="000000"/>
                <w:sz w:val="24"/>
                <w:szCs w:val="24"/>
                <w:lang w:val="en-US"/>
              </w:rPr>
            </w:pPr>
            <w:r w:rsidRPr="00FC0023">
              <w:rPr>
                <w:rFonts w:eastAsia="Calibri"/>
                <w:color w:val="000000"/>
                <w:sz w:val="24"/>
                <w:szCs w:val="24"/>
                <w:lang w:val="en-US"/>
              </w:rPr>
              <w:t>Житомирська</w:t>
            </w:r>
          </w:p>
        </w:tc>
        <w:tc>
          <w:tcPr>
            <w:tcW w:w="0" w:type="auto"/>
          </w:tcPr>
          <w:p w:rsidR="006B6A3E" w:rsidRPr="00FC0023" w:rsidRDefault="006B6A3E" w:rsidP="00FC0023">
            <w:pPr>
              <w:tabs>
                <w:tab w:val="left" w:pos="993"/>
              </w:tabs>
              <w:spacing w:line="276" w:lineRule="auto"/>
              <w:jc w:val="center"/>
              <w:rPr>
                <w:rFonts w:eastAsia="Calibri"/>
                <w:color w:val="000000"/>
                <w:sz w:val="24"/>
                <w:szCs w:val="24"/>
                <w:lang w:val="en-US"/>
              </w:rPr>
            </w:pPr>
            <w:r w:rsidRPr="00FC0023">
              <w:rPr>
                <w:rFonts w:eastAsia="Calibri"/>
                <w:color w:val="000000"/>
                <w:sz w:val="24"/>
                <w:szCs w:val="24"/>
                <w:lang w:val="en-US"/>
              </w:rPr>
              <w:t>256,96</w:t>
            </w:r>
          </w:p>
        </w:tc>
        <w:tc>
          <w:tcPr>
            <w:tcW w:w="0" w:type="auto"/>
          </w:tcPr>
          <w:p w:rsidR="006B6A3E" w:rsidRPr="00FC0023" w:rsidRDefault="006B6A3E" w:rsidP="00FC0023">
            <w:pPr>
              <w:tabs>
                <w:tab w:val="left" w:pos="993"/>
              </w:tabs>
              <w:spacing w:line="276" w:lineRule="auto"/>
              <w:jc w:val="center"/>
              <w:rPr>
                <w:rFonts w:eastAsia="Calibri"/>
                <w:color w:val="000000"/>
                <w:sz w:val="24"/>
                <w:szCs w:val="24"/>
                <w:lang w:val="en-US"/>
              </w:rPr>
            </w:pPr>
            <w:r w:rsidRPr="00FC0023">
              <w:rPr>
                <w:rFonts w:eastAsia="Calibri"/>
                <w:color w:val="000000"/>
                <w:sz w:val="24"/>
                <w:szCs w:val="24"/>
                <w:lang w:val="en-US"/>
              </w:rPr>
              <w:t>242,57</w:t>
            </w:r>
          </w:p>
        </w:tc>
        <w:tc>
          <w:tcPr>
            <w:tcW w:w="0" w:type="auto"/>
          </w:tcPr>
          <w:p w:rsidR="006B6A3E" w:rsidRPr="00FC0023" w:rsidRDefault="006B6A3E" w:rsidP="00FC0023">
            <w:pPr>
              <w:tabs>
                <w:tab w:val="left" w:pos="993"/>
              </w:tabs>
              <w:spacing w:line="276" w:lineRule="auto"/>
              <w:jc w:val="center"/>
              <w:rPr>
                <w:rFonts w:eastAsia="Calibri"/>
                <w:color w:val="000000"/>
                <w:sz w:val="24"/>
                <w:szCs w:val="24"/>
                <w:lang w:val="en-US"/>
              </w:rPr>
            </w:pPr>
            <w:r w:rsidRPr="00FC0023">
              <w:rPr>
                <w:rFonts w:eastAsia="Calibri"/>
                <w:color w:val="000000"/>
                <w:sz w:val="24"/>
                <w:szCs w:val="24"/>
                <w:lang w:val="en-US"/>
              </w:rPr>
              <w:t>808,08</w:t>
            </w:r>
          </w:p>
        </w:tc>
        <w:tc>
          <w:tcPr>
            <w:tcW w:w="0" w:type="auto"/>
          </w:tcPr>
          <w:p w:rsidR="006B6A3E" w:rsidRPr="00FC0023" w:rsidRDefault="006B6A3E" w:rsidP="00FC0023">
            <w:pPr>
              <w:tabs>
                <w:tab w:val="left" w:pos="993"/>
              </w:tabs>
              <w:spacing w:line="276" w:lineRule="auto"/>
              <w:jc w:val="center"/>
              <w:rPr>
                <w:rFonts w:eastAsia="Calibri"/>
                <w:color w:val="000000"/>
                <w:sz w:val="24"/>
                <w:szCs w:val="24"/>
                <w:lang w:val="en-US"/>
              </w:rPr>
            </w:pPr>
            <w:r w:rsidRPr="00FC0023">
              <w:rPr>
                <w:rFonts w:eastAsia="Calibri"/>
                <w:color w:val="000000"/>
                <w:sz w:val="24"/>
                <w:szCs w:val="24"/>
                <w:lang w:val="en-US"/>
              </w:rPr>
              <w:t>783,35</w:t>
            </w:r>
          </w:p>
        </w:tc>
        <w:tc>
          <w:tcPr>
            <w:tcW w:w="0" w:type="auto"/>
            <w:vAlign w:val="center"/>
          </w:tcPr>
          <w:p w:rsidR="006B6A3E" w:rsidRPr="00FC0023" w:rsidRDefault="006B6A3E" w:rsidP="00FC0023">
            <w:pPr>
              <w:tabs>
                <w:tab w:val="left" w:pos="993"/>
              </w:tabs>
              <w:spacing w:line="276" w:lineRule="auto"/>
              <w:jc w:val="center"/>
              <w:rPr>
                <w:rFonts w:eastAsia="Calibri"/>
                <w:bCs/>
                <w:color w:val="000000"/>
                <w:sz w:val="24"/>
                <w:szCs w:val="24"/>
                <w:lang w:val="en-US"/>
              </w:rPr>
            </w:pPr>
            <w:r w:rsidRPr="00FC0023">
              <w:rPr>
                <w:rFonts w:eastAsia="Calibri"/>
                <w:bCs/>
                <w:color w:val="000000"/>
                <w:sz w:val="24"/>
                <w:szCs w:val="24"/>
                <w:lang w:val="en-US"/>
              </w:rPr>
              <w:t>39,63</w:t>
            </w:r>
          </w:p>
        </w:tc>
        <w:tc>
          <w:tcPr>
            <w:tcW w:w="0" w:type="auto"/>
            <w:vAlign w:val="center"/>
          </w:tcPr>
          <w:p w:rsidR="006B6A3E" w:rsidRPr="00FC0023" w:rsidRDefault="006B6A3E" w:rsidP="00FC0023">
            <w:pPr>
              <w:tabs>
                <w:tab w:val="left" w:pos="993"/>
              </w:tabs>
              <w:spacing w:line="276" w:lineRule="auto"/>
              <w:jc w:val="center"/>
              <w:rPr>
                <w:rFonts w:eastAsia="Calibri"/>
                <w:color w:val="000000"/>
                <w:sz w:val="24"/>
                <w:szCs w:val="24"/>
              </w:rPr>
            </w:pPr>
            <w:r w:rsidRPr="00FC0023">
              <w:rPr>
                <w:rFonts w:eastAsia="Calibri"/>
                <w:color w:val="000000"/>
                <w:sz w:val="24"/>
                <w:szCs w:val="24"/>
              </w:rPr>
              <w:t>1:</w:t>
            </w:r>
            <w:r w:rsidRPr="00FC0023">
              <w:rPr>
                <w:rFonts w:eastAsia="Calibri"/>
                <w:color w:val="000000"/>
                <w:sz w:val="24"/>
                <w:szCs w:val="24"/>
                <w:lang w:val="en-US"/>
              </w:rPr>
              <w:t>6</w:t>
            </w:r>
          </w:p>
        </w:tc>
      </w:tr>
      <w:tr w:rsidR="006B6A3E" w:rsidRPr="00FC0023" w:rsidTr="006E3A91">
        <w:trPr>
          <w:trHeight w:val="225"/>
        </w:trPr>
        <w:tc>
          <w:tcPr>
            <w:tcW w:w="0" w:type="auto"/>
            <w:shd w:val="clear" w:color="auto" w:fill="auto"/>
            <w:hideMark/>
          </w:tcPr>
          <w:p w:rsidR="006B6A3E" w:rsidRPr="00FC0023" w:rsidRDefault="006B6A3E" w:rsidP="00FC0023">
            <w:pPr>
              <w:tabs>
                <w:tab w:val="left" w:pos="993"/>
              </w:tabs>
              <w:spacing w:line="276" w:lineRule="auto"/>
              <w:jc w:val="left"/>
              <w:rPr>
                <w:rFonts w:eastAsia="Calibri"/>
                <w:color w:val="000000"/>
                <w:sz w:val="24"/>
                <w:szCs w:val="24"/>
                <w:lang w:val="en-US"/>
              </w:rPr>
            </w:pPr>
            <w:r w:rsidRPr="00FC0023">
              <w:rPr>
                <w:rFonts w:eastAsia="Calibri"/>
                <w:color w:val="000000"/>
                <w:sz w:val="24"/>
                <w:szCs w:val="24"/>
                <w:lang w:val="en-US"/>
              </w:rPr>
              <w:t>Закарпатська</w:t>
            </w:r>
          </w:p>
        </w:tc>
        <w:tc>
          <w:tcPr>
            <w:tcW w:w="0" w:type="auto"/>
          </w:tcPr>
          <w:p w:rsidR="006B6A3E" w:rsidRPr="00FC0023" w:rsidRDefault="006B6A3E" w:rsidP="00FC0023">
            <w:pPr>
              <w:tabs>
                <w:tab w:val="left" w:pos="993"/>
              </w:tabs>
              <w:spacing w:line="276" w:lineRule="auto"/>
              <w:jc w:val="center"/>
              <w:rPr>
                <w:rFonts w:eastAsia="Calibri"/>
                <w:color w:val="000000"/>
                <w:sz w:val="24"/>
                <w:szCs w:val="24"/>
                <w:lang w:val="en-US"/>
              </w:rPr>
            </w:pPr>
            <w:r w:rsidRPr="00FC0023">
              <w:rPr>
                <w:rFonts w:eastAsia="Calibri"/>
                <w:color w:val="000000"/>
                <w:sz w:val="24"/>
                <w:szCs w:val="24"/>
                <w:lang w:val="en-US"/>
              </w:rPr>
              <w:t>178,93</w:t>
            </w:r>
          </w:p>
        </w:tc>
        <w:tc>
          <w:tcPr>
            <w:tcW w:w="0" w:type="auto"/>
          </w:tcPr>
          <w:p w:rsidR="006B6A3E" w:rsidRPr="00FC0023" w:rsidRDefault="006B6A3E" w:rsidP="00FC0023">
            <w:pPr>
              <w:tabs>
                <w:tab w:val="left" w:pos="993"/>
              </w:tabs>
              <w:spacing w:line="276" w:lineRule="auto"/>
              <w:jc w:val="center"/>
              <w:rPr>
                <w:rFonts w:eastAsia="Calibri"/>
                <w:color w:val="000000"/>
                <w:sz w:val="24"/>
                <w:szCs w:val="24"/>
                <w:lang w:val="en-US"/>
              </w:rPr>
            </w:pPr>
            <w:r w:rsidRPr="00FC0023">
              <w:rPr>
                <w:rFonts w:eastAsia="Calibri"/>
                <w:color w:val="000000"/>
                <w:sz w:val="24"/>
                <w:szCs w:val="24"/>
                <w:lang w:val="en-US"/>
              </w:rPr>
              <w:t>167,96</w:t>
            </w:r>
          </w:p>
        </w:tc>
        <w:tc>
          <w:tcPr>
            <w:tcW w:w="0" w:type="auto"/>
          </w:tcPr>
          <w:p w:rsidR="006B6A3E" w:rsidRPr="00FC0023" w:rsidRDefault="006B6A3E" w:rsidP="00FC0023">
            <w:pPr>
              <w:tabs>
                <w:tab w:val="left" w:pos="993"/>
              </w:tabs>
              <w:spacing w:line="276" w:lineRule="auto"/>
              <w:jc w:val="center"/>
              <w:rPr>
                <w:rFonts w:eastAsia="Calibri"/>
                <w:color w:val="000000"/>
                <w:sz w:val="24"/>
                <w:szCs w:val="24"/>
                <w:lang w:val="en-US"/>
              </w:rPr>
            </w:pPr>
            <w:r w:rsidRPr="00FC0023">
              <w:rPr>
                <w:rFonts w:eastAsia="Calibri"/>
                <w:color w:val="000000"/>
                <w:sz w:val="24"/>
                <w:szCs w:val="24"/>
                <w:lang w:val="en-US"/>
              </w:rPr>
              <w:t>746,61</w:t>
            </w:r>
          </w:p>
        </w:tc>
        <w:tc>
          <w:tcPr>
            <w:tcW w:w="0" w:type="auto"/>
          </w:tcPr>
          <w:p w:rsidR="006B6A3E" w:rsidRPr="00FC0023" w:rsidRDefault="006B6A3E" w:rsidP="00FC0023">
            <w:pPr>
              <w:tabs>
                <w:tab w:val="left" w:pos="993"/>
              </w:tabs>
              <w:spacing w:line="276" w:lineRule="auto"/>
              <w:jc w:val="center"/>
              <w:rPr>
                <w:rFonts w:eastAsia="Calibri"/>
                <w:color w:val="000000"/>
                <w:sz w:val="24"/>
                <w:szCs w:val="24"/>
                <w:lang w:val="en-US"/>
              </w:rPr>
            </w:pPr>
            <w:r w:rsidRPr="00FC0023">
              <w:rPr>
                <w:rFonts w:eastAsia="Calibri"/>
                <w:color w:val="000000"/>
                <w:sz w:val="24"/>
                <w:szCs w:val="24"/>
                <w:lang w:val="en-US"/>
              </w:rPr>
              <w:t>752,98</w:t>
            </w:r>
          </w:p>
        </w:tc>
        <w:tc>
          <w:tcPr>
            <w:tcW w:w="0" w:type="auto"/>
            <w:vAlign w:val="center"/>
          </w:tcPr>
          <w:p w:rsidR="006B6A3E" w:rsidRPr="00FC0023" w:rsidRDefault="006B6A3E" w:rsidP="00FC0023">
            <w:pPr>
              <w:tabs>
                <w:tab w:val="left" w:pos="993"/>
              </w:tabs>
              <w:spacing w:line="276" w:lineRule="auto"/>
              <w:jc w:val="center"/>
              <w:rPr>
                <w:rFonts w:eastAsia="Calibri"/>
                <w:bCs/>
                <w:color w:val="000000"/>
                <w:sz w:val="24"/>
                <w:szCs w:val="24"/>
                <w:lang w:val="en-US"/>
              </w:rPr>
            </w:pPr>
            <w:r w:rsidRPr="00FC0023">
              <w:rPr>
                <w:rFonts w:eastAsia="Calibri"/>
                <w:bCs/>
                <w:color w:val="000000"/>
                <w:sz w:val="24"/>
                <w:szCs w:val="24"/>
                <w:lang w:val="en-US"/>
              </w:rPr>
              <w:t>29,33</w:t>
            </w:r>
          </w:p>
        </w:tc>
        <w:tc>
          <w:tcPr>
            <w:tcW w:w="0" w:type="auto"/>
            <w:vAlign w:val="center"/>
          </w:tcPr>
          <w:p w:rsidR="006B6A3E" w:rsidRPr="00FC0023" w:rsidRDefault="006B6A3E" w:rsidP="00FC0023">
            <w:pPr>
              <w:tabs>
                <w:tab w:val="left" w:pos="993"/>
              </w:tabs>
              <w:spacing w:line="276" w:lineRule="auto"/>
              <w:jc w:val="center"/>
              <w:rPr>
                <w:rFonts w:eastAsia="Calibri"/>
                <w:color w:val="000000"/>
                <w:sz w:val="24"/>
                <w:szCs w:val="24"/>
                <w:highlight w:val="yellow"/>
              </w:rPr>
            </w:pPr>
            <w:r w:rsidRPr="00FC0023">
              <w:rPr>
                <w:rFonts w:eastAsia="Calibri"/>
                <w:color w:val="000000"/>
                <w:sz w:val="24"/>
                <w:szCs w:val="24"/>
              </w:rPr>
              <w:t xml:space="preserve">1:6 </w:t>
            </w:r>
          </w:p>
        </w:tc>
      </w:tr>
      <w:tr w:rsidR="006B6A3E" w:rsidRPr="00FC0023" w:rsidTr="006E3A91">
        <w:trPr>
          <w:trHeight w:val="225"/>
        </w:trPr>
        <w:tc>
          <w:tcPr>
            <w:tcW w:w="0" w:type="auto"/>
            <w:shd w:val="clear" w:color="auto" w:fill="auto"/>
            <w:hideMark/>
          </w:tcPr>
          <w:p w:rsidR="006B6A3E" w:rsidRPr="00FC0023" w:rsidRDefault="006B6A3E" w:rsidP="00FC0023">
            <w:pPr>
              <w:tabs>
                <w:tab w:val="left" w:pos="993"/>
              </w:tabs>
              <w:spacing w:line="276" w:lineRule="auto"/>
              <w:jc w:val="left"/>
              <w:rPr>
                <w:rFonts w:eastAsia="Calibri"/>
                <w:color w:val="000000"/>
                <w:sz w:val="24"/>
                <w:szCs w:val="24"/>
                <w:lang w:val="en-US"/>
              </w:rPr>
            </w:pPr>
            <w:r w:rsidRPr="00FC0023">
              <w:rPr>
                <w:rFonts w:eastAsia="Calibri"/>
                <w:color w:val="000000"/>
                <w:sz w:val="24"/>
                <w:szCs w:val="24"/>
                <w:lang w:val="en-US"/>
              </w:rPr>
              <w:t>Запорізька</w:t>
            </w:r>
          </w:p>
        </w:tc>
        <w:tc>
          <w:tcPr>
            <w:tcW w:w="0" w:type="auto"/>
          </w:tcPr>
          <w:p w:rsidR="006B6A3E" w:rsidRPr="00FC0023" w:rsidRDefault="006B6A3E" w:rsidP="00FC0023">
            <w:pPr>
              <w:tabs>
                <w:tab w:val="left" w:pos="993"/>
              </w:tabs>
              <w:spacing w:line="276" w:lineRule="auto"/>
              <w:jc w:val="center"/>
              <w:rPr>
                <w:rFonts w:eastAsia="Calibri"/>
                <w:color w:val="000000"/>
                <w:sz w:val="24"/>
                <w:szCs w:val="24"/>
                <w:lang w:val="en-US"/>
              </w:rPr>
            </w:pPr>
            <w:r w:rsidRPr="00FC0023">
              <w:rPr>
                <w:rFonts w:eastAsia="Calibri"/>
                <w:color w:val="000000"/>
                <w:sz w:val="24"/>
                <w:szCs w:val="24"/>
                <w:lang w:val="en-US"/>
              </w:rPr>
              <w:t>251,04</w:t>
            </w:r>
          </w:p>
        </w:tc>
        <w:tc>
          <w:tcPr>
            <w:tcW w:w="0" w:type="auto"/>
          </w:tcPr>
          <w:p w:rsidR="006B6A3E" w:rsidRPr="00FC0023" w:rsidRDefault="006B6A3E" w:rsidP="00FC0023">
            <w:pPr>
              <w:tabs>
                <w:tab w:val="left" w:pos="993"/>
              </w:tabs>
              <w:spacing w:line="276" w:lineRule="auto"/>
              <w:jc w:val="center"/>
              <w:rPr>
                <w:rFonts w:eastAsia="Calibri"/>
                <w:color w:val="000000"/>
                <w:sz w:val="24"/>
                <w:szCs w:val="24"/>
                <w:lang w:val="en-US"/>
              </w:rPr>
            </w:pPr>
            <w:r w:rsidRPr="00FC0023">
              <w:rPr>
                <w:rFonts w:eastAsia="Calibri"/>
                <w:color w:val="000000"/>
                <w:sz w:val="24"/>
                <w:szCs w:val="24"/>
                <w:lang w:val="en-US"/>
              </w:rPr>
              <w:t>217,75</w:t>
            </w:r>
          </w:p>
        </w:tc>
        <w:tc>
          <w:tcPr>
            <w:tcW w:w="0" w:type="auto"/>
          </w:tcPr>
          <w:p w:rsidR="006B6A3E" w:rsidRPr="00FC0023" w:rsidRDefault="006B6A3E" w:rsidP="00FC0023">
            <w:pPr>
              <w:tabs>
                <w:tab w:val="left" w:pos="993"/>
              </w:tabs>
              <w:spacing w:line="276" w:lineRule="auto"/>
              <w:jc w:val="center"/>
              <w:rPr>
                <w:rFonts w:eastAsia="Calibri"/>
                <w:color w:val="000000"/>
                <w:sz w:val="24"/>
                <w:szCs w:val="24"/>
                <w:lang w:val="en-US"/>
              </w:rPr>
            </w:pPr>
            <w:r w:rsidRPr="00FC0023">
              <w:rPr>
                <w:rFonts w:eastAsia="Calibri"/>
                <w:color w:val="000000"/>
                <w:sz w:val="24"/>
                <w:szCs w:val="24"/>
                <w:lang w:val="en-US"/>
              </w:rPr>
              <w:t>752,71</w:t>
            </w:r>
          </w:p>
        </w:tc>
        <w:tc>
          <w:tcPr>
            <w:tcW w:w="0" w:type="auto"/>
          </w:tcPr>
          <w:p w:rsidR="006B6A3E" w:rsidRPr="00FC0023" w:rsidRDefault="006B6A3E" w:rsidP="00FC0023">
            <w:pPr>
              <w:tabs>
                <w:tab w:val="left" w:pos="993"/>
              </w:tabs>
              <w:spacing w:line="276" w:lineRule="auto"/>
              <w:jc w:val="center"/>
              <w:rPr>
                <w:rFonts w:eastAsia="Calibri"/>
                <w:color w:val="000000"/>
                <w:sz w:val="24"/>
                <w:szCs w:val="24"/>
                <w:lang w:val="en-US"/>
              </w:rPr>
            </w:pPr>
            <w:r w:rsidRPr="00FC0023">
              <w:rPr>
                <w:rFonts w:eastAsia="Calibri"/>
                <w:color w:val="000000"/>
                <w:sz w:val="24"/>
                <w:szCs w:val="24"/>
                <w:lang w:val="en-US"/>
              </w:rPr>
              <w:t>667,28</w:t>
            </w:r>
          </w:p>
        </w:tc>
        <w:tc>
          <w:tcPr>
            <w:tcW w:w="0" w:type="auto"/>
            <w:vAlign w:val="center"/>
          </w:tcPr>
          <w:p w:rsidR="006B6A3E" w:rsidRPr="00FC0023" w:rsidRDefault="006B6A3E" w:rsidP="00FC0023">
            <w:pPr>
              <w:tabs>
                <w:tab w:val="left" w:pos="993"/>
              </w:tabs>
              <w:spacing w:line="276" w:lineRule="auto"/>
              <w:jc w:val="center"/>
              <w:rPr>
                <w:rFonts w:eastAsia="Calibri"/>
                <w:bCs/>
                <w:color w:val="000000"/>
                <w:sz w:val="24"/>
                <w:szCs w:val="24"/>
                <w:lang w:val="en-US"/>
              </w:rPr>
            </w:pPr>
            <w:r w:rsidRPr="00FC0023">
              <w:rPr>
                <w:rFonts w:eastAsia="Calibri"/>
                <w:bCs/>
                <w:color w:val="000000"/>
                <w:sz w:val="24"/>
                <w:szCs w:val="24"/>
                <w:lang w:val="en-US"/>
              </w:rPr>
              <w:t>38,28</w:t>
            </w:r>
          </w:p>
        </w:tc>
        <w:tc>
          <w:tcPr>
            <w:tcW w:w="0" w:type="auto"/>
            <w:vAlign w:val="center"/>
          </w:tcPr>
          <w:p w:rsidR="006B6A3E" w:rsidRPr="00FC0023" w:rsidRDefault="006B6A3E" w:rsidP="00FC0023">
            <w:pPr>
              <w:tabs>
                <w:tab w:val="left" w:pos="993"/>
              </w:tabs>
              <w:spacing w:line="276" w:lineRule="auto"/>
              <w:jc w:val="center"/>
              <w:rPr>
                <w:rFonts w:eastAsia="Calibri"/>
                <w:color w:val="000000"/>
                <w:sz w:val="24"/>
                <w:szCs w:val="24"/>
                <w:highlight w:val="yellow"/>
              </w:rPr>
            </w:pPr>
            <w:r w:rsidRPr="00FC0023">
              <w:rPr>
                <w:rFonts w:eastAsia="Calibri"/>
                <w:color w:val="000000"/>
                <w:sz w:val="24"/>
                <w:szCs w:val="24"/>
              </w:rPr>
              <w:t>1:6</w:t>
            </w:r>
          </w:p>
        </w:tc>
      </w:tr>
      <w:tr w:rsidR="006B6A3E" w:rsidRPr="00FC0023" w:rsidTr="006E3A91">
        <w:trPr>
          <w:trHeight w:val="225"/>
        </w:trPr>
        <w:tc>
          <w:tcPr>
            <w:tcW w:w="0" w:type="auto"/>
            <w:shd w:val="clear" w:color="auto" w:fill="auto"/>
            <w:hideMark/>
          </w:tcPr>
          <w:p w:rsidR="006B6A3E" w:rsidRPr="00FC0023" w:rsidRDefault="006B6A3E" w:rsidP="00FC0023">
            <w:pPr>
              <w:tabs>
                <w:tab w:val="left" w:pos="993"/>
              </w:tabs>
              <w:spacing w:line="276" w:lineRule="auto"/>
              <w:jc w:val="left"/>
              <w:rPr>
                <w:rFonts w:eastAsia="Calibri"/>
                <w:color w:val="000000"/>
                <w:sz w:val="24"/>
                <w:szCs w:val="24"/>
                <w:lang w:val="en-US"/>
              </w:rPr>
            </w:pPr>
            <w:r w:rsidRPr="00FC0023">
              <w:rPr>
                <w:rFonts w:eastAsia="Calibri"/>
                <w:color w:val="000000"/>
                <w:sz w:val="24"/>
                <w:szCs w:val="24"/>
                <w:lang w:val="en-US"/>
              </w:rPr>
              <w:t>Івано-Франківська</w:t>
            </w:r>
          </w:p>
        </w:tc>
        <w:tc>
          <w:tcPr>
            <w:tcW w:w="0" w:type="auto"/>
          </w:tcPr>
          <w:p w:rsidR="006B6A3E" w:rsidRPr="00FC0023" w:rsidRDefault="006B6A3E" w:rsidP="00FC0023">
            <w:pPr>
              <w:tabs>
                <w:tab w:val="left" w:pos="993"/>
              </w:tabs>
              <w:spacing w:line="276" w:lineRule="auto"/>
              <w:jc w:val="center"/>
              <w:rPr>
                <w:rFonts w:eastAsia="Calibri"/>
                <w:color w:val="000000"/>
                <w:sz w:val="24"/>
                <w:szCs w:val="24"/>
                <w:lang w:val="en-US"/>
              </w:rPr>
            </w:pPr>
            <w:r w:rsidRPr="00FC0023">
              <w:rPr>
                <w:rFonts w:eastAsia="Calibri"/>
                <w:color w:val="000000"/>
                <w:sz w:val="24"/>
                <w:szCs w:val="24"/>
                <w:lang w:val="en-US"/>
              </w:rPr>
              <w:t>194,24</w:t>
            </w:r>
          </w:p>
        </w:tc>
        <w:tc>
          <w:tcPr>
            <w:tcW w:w="0" w:type="auto"/>
          </w:tcPr>
          <w:p w:rsidR="006B6A3E" w:rsidRPr="00FC0023" w:rsidRDefault="006B6A3E" w:rsidP="00FC0023">
            <w:pPr>
              <w:tabs>
                <w:tab w:val="left" w:pos="993"/>
              </w:tabs>
              <w:spacing w:line="276" w:lineRule="auto"/>
              <w:jc w:val="center"/>
              <w:rPr>
                <w:rFonts w:eastAsia="Calibri"/>
                <w:color w:val="000000"/>
                <w:sz w:val="24"/>
                <w:szCs w:val="24"/>
                <w:lang w:val="en-US"/>
              </w:rPr>
            </w:pPr>
            <w:r w:rsidRPr="00FC0023">
              <w:rPr>
                <w:rFonts w:eastAsia="Calibri"/>
                <w:color w:val="000000"/>
                <w:sz w:val="24"/>
                <w:szCs w:val="24"/>
                <w:lang w:val="en-US"/>
              </w:rPr>
              <w:t>187,60</w:t>
            </w:r>
          </w:p>
        </w:tc>
        <w:tc>
          <w:tcPr>
            <w:tcW w:w="0" w:type="auto"/>
          </w:tcPr>
          <w:p w:rsidR="006B6A3E" w:rsidRPr="00FC0023" w:rsidRDefault="006B6A3E" w:rsidP="00FC0023">
            <w:pPr>
              <w:tabs>
                <w:tab w:val="left" w:pos="993"/>
              </w:tabs>
              <w:spacing w:line="276" w:lineRule="auto"/>
              <w:jc w:val="center"/>
              <w:rPr>
                <w:rFonts w:eastAsia="Calibri"/>
                <w:color w:val="000000"/>
                <w:sz w:val="24"/>
                <w:szCs w:val="24"/>
                <w:lang w:val="en-US"/>
              </w:rPr>
            </w:pPr>
            <w:r w:rsidRPr="00FC0023">
              <w:rPr>
                <w:rFonts w:eastAsia="Calibri"/>
                <w:color w:val="000000"/>
                <w:sz w:val="24"/>
                <w:szCs w:val="24"/>
                <w:lang w:val="en-US"/>
              </w:rPr>
              <w:t>532,36</w:t>
            </w:r>
          </w:p>
        </w:tc>
        <w:tc>
          <w:tcPr>
            <w:tcW w:w="0" w:type="auto"/>
          </w:tcPr>
          <w:p w:rsidR="006B6A3E" w:rsidRPr="00FC0023" w:rsidRDefault="006B6A3E" w:rsidP="00FC0023">
            <w:pPr>
              <w:tabs>
                <w:tab w:val="left" w:pos="993"/>
              </w:tabs>
              <w:spacing w:line="276" w:lineRule="auto"/>
              <w:jc w:val="center"/>
              <w:rPr>
                <w:rFonts w:eastAsia="Calibri"/>
                <w:color w:val="000000"/>
                <w:sz w:val="24"/>
                <w:szCs w:val="24"/>
                <w:lang w:val="en-US"/>
              </w:rPr>
            </w:pPr>
            <w:r w:rsidRPr="00FC0023">
              <w:rPr>
                <w:rFonts w:eastAsia="Calibri"/>
                <w:color w:val="000000"/>
                <w:sz w:val="24"/>
                <w:szCs w:val="24"/>
                <w:lang w:val="en-US"/>
              </w:rPr>
              <w:t>499,74</w:t>
            </w:r>
          </w:p>
        </w:tc>
        <w:tc>
          <w:tcPr>
            <w:tcW w:w="0" w:type="auto"/>
            <w:vAlign w:val="center"/>
          </w:tcPr>
          <w:p w:rsidR="006B6A3E" w:rsidRPr="00FC0023" w:rsidRDefault="006B6A3E" w:rsidP="00FC0023">
            <w:pPr>
              <w:tabs>
                <w:tab w:val="left" w:pos="993"/>
              </w:tabs>
              <w:spacing w:line="276" w:lineRule="auto"/>
              <w:jc w:val="center"/>
              <w:rPr>
                <w:rFonts w:eastAsia="Calibri"/>
                <w:bCs/>
                <w:color w:val="000000"/>
                <w:sz w:val="24"/>
                <w:szCs w:val="24"/>
                <w:lang w:val="en-US"/>
              </w:rPr>
            </w:pPr>
            <w:r w:rsidRPr="00FC0023">
              <w:rPr>
                <w:rFonts w:eastAsia="Calibri"/>
                <w:bCs/>
                <w:color w:val="000000"/>
                <w:sz w:val="24"/>
                <w:szCs w:val="24"/>
                <w:lang w:val="en-US"/>
              </w:rPr>
              <w:t>19,53</w:t>
            </w:r>
          </w:p>
        </w:tc>
        <w:tc>
          <w:tcPr>
            <w:tcW w:w="0" w:type="auto"/>
            <w:vAlign w:val="center"/>
          </w:tcPr>
          <w:p w:rsidR="006B6A3E" w:rsidRPr="00FC0023" w:rsidRDefault="006B6A3E" w:rsidP="00FC0023">
            <w:pPr>
              <w:tabs>
                <w:tab w:val="left" w:pos="993"/>
              </w:tabs>
              <w:spacing w:line="276" w:lineRule="auto"/>
              <w:jc w:val="center"/>
              <w:rPr>
                <w:rFonts w:eastAsia="Calibri"/>
                <w:color w:val="000000"/>
                <w:sz w:val="24"/>
                <w:szCs w:val="24"/>
                <w:highlight w:val="yellow"/>
              </w:rPr>
            </w:pPr>
            <w:r w:rsidRPr="00FC0023">
              <w:rPr>
                <w:rFonts w:eastAsia="Calibri"/>
                <w:color w:val="000000"/>
                <w:sz w:val="24"/>
                <w:szCs w:val="24"/>
              </w:rPr>
              <w:t xml:space="preserve">1:10 </w:t>
            </w:r>
          </w:p>
        </w:tc>
      </w:tr>
      <w:tr w:rsidR="006B6A3E" w:rsidRPr="00FC0023" w:rsidTr="006E3A91">
        <w:trPr>
          <w:trHeight w:val="225"/>
        </w:trPr>
        <w:tc>
          <w:tcPr>
            <w:tcW w:w="0" w:type="auto"/>
            <w:shd w:val="clear" w:color="auto" w:fill="auto"/>
            <w:hideMark/>
          </w:tcPr>
          <w:p w:rsidR="006B6A3E" w:rsidRPr="00FC0023" w:rsidRDefault="006B6A3E" w:rsidP="00FC0023">
            <w:pPr>
              <w:tabs>
                <w:tab w:val="left" w:pos="993"/>
              </w:tabs>
              <w:spacing w:line="276" w:lineRule="auto"/>
              <w:jc w:val="left"/>
              <w:rPr>
                <w:rFonts w:eastAsia="Calibri"/>
                <w:color w:val="000000"/>
                <w:sz w:val="24"/>
                <w:szCs w:val="24"/>
                <w:lang w:val="en-US"/>
              </w:rPr>
            </w:pPr>
            <w:r w:rsidRPr="00FC0023">
              <w:rPr>
                <w:rFonts w:eastAsia="Calibri"/>
                <w:color w:val="000000"/>
                <w:sz w:val="24"/>
                <w:szCs w:val="24"/>
                <w:lang w:val="en-US"/>
              </w:rPr>
              <w:t>Київська</w:t>
            </w:r>
          </w:p>
        </w:tc>
        <w:tc>
          <w:tcPr>
            <w:tcW w:w="0" w:type="auto"/>
          </w:tcPr>
          <w:p w:rsidR="006B6A3E" w:rsidRPr="00FC0023" w:rsidRDefault="006B6A3E" w:rsidP="00FC0023">
            <w:pPr>
              <w:tabs>
                <w:tab w:val="left" w:pos="993"/>
              </w:tabs>
              <w:spacing w:line="276" w:lineRule="auto"/>
              <w:jc w:val="center"/>
              <w:rPr>
                <w:rFonts w:eastAsia="Calibri"/>
                <w:color w:val="000000"/>
                <w:sz w:val="24"/>
                <w:szCs w:val="24"/>
                <w:lang w:val="en-US"/>
              </w:rPr>
            </w:pPr>
            <w:r w:rsidRPr="00FC0023">
              <w:rPr>
                <w:rFonts w:eastAsia="Calibri"/>
                <w:color w:val="000000"/>
                <w:sz w:val="24"/>
                <w:szCs w:val="24"/>
                <w:lang w:val="en-US"/>
              </w:rPr>
              <w:t>224,97</w:t>
            </w:r>
          </w:p>
        </w:tc>
        <w:tc>
          <w:tcPr>
            <w:tcW w:w="0" w:type="auto"/>
          </w:tcPr>
          <w:p w:rsidR="006B6A3E" w:rsidRPr="00FC0023" w:rsidRDefault="006B6A3E" w:rsidP="00FC0023">
            <w:pPr>
              <w:tabs>
                <w:tab w:val="left" w:pos="993"/>
              </w:tabs>
              <w:spacing w:line="276" w:lineRule="auto"/>
              <w:jc w:val="center"/>
              <w:rPr>
                <w:rFonts w:eastAsia="Calibri"/>
                <w:color w:val="000000"/>
                <w:sz w:val="24"/>
                <w:szCs w:val="24"/>
                <w:lang w:val="en-US"/>
              </w:rPr>
            </w:pPr>
            <w:r w:rsidRPr="00FC0023">
              <w:rPr>
                <w:rFonts w:eastAsia="Calibri"/>
                <w:color w:val="000000"/>
                <w:sz w:val="24"/>
                <w:szCs w:val="24"/>
                <w:lang w:val="en-US"/>
              </w:rPr>
              <w:t>192,83</w:t>
            </w:r>
          </w:p>
        </w:tc>
        <w:tc>
          <w:tcPr>
            <w:tcW w:w="0" w:type="auto"/>
          </w:tcPr>
          <w:p w:rsidR="006B6A3E" w:rsidRPr="00FC0023" w:rsidRDefault="006B6A3E" w:rsidP="00FC0023">
            <w:pPr>
              <w:tabs>
                <w:tab w:val="left" w:pos="993"/>
              </w:tabs>
              <w:spacing w:line="276" w:lineRule="auto"/>
              <w:jc w:val="center"/>
              <w:rPr>
                <w:rFonts w:eastAsia="Calibri"/>
                <w:color w:val="000000"/>
                <w:sz w:val="24"/>
                <w:szCs w:val="24"/>
                <w:lang w:val="en-US"/>
              </w:rPr>
            </w:pPr>
            <w:r w:rsidRPr="00FC0023">
              <w:rPr>
                <w:rFonts w:eastAsia="Calibri"/>
                <w:color w:val="000000"/>
                <w:sz w:val="24"/>
                <w:szCs w:val="24"/>
                <w:lang w:val="en-US"/>
              </w:rPr>
              <w:t>589,79</w:t>
            </w:r>
          </w:p>
        </w:tc>
        <w:tc>
          <w:tcPr>
            <w:tcW w:w="0" w:type="auto"/>
          </w:tcPr>
          <w:p w:rsidR="006B6A3E" w:rsidRPr="00FC0023" w:rsidRDefault="006B6A3E" w:rsidP="00FC0023">
            <w:pPr>
              <w:tabs>
                <w:tab w:val="left" w:pos="993"/>
              </w:tabs>
              <w:spacing w:line="276" w:lineRule="auto"/>
              <w:jc w:val="center"/>
              <w:rPr>
                <w:rFonts w:eastAsia="Calibri"/>
                <w:color w:val="000000"/>
                <w:sz w:val="24"/>
                <w:szCs w:val="24"/>
                <w:lang w:val="en-US"/>
              </w:rPr>
            </w:pPr>
            <w:r w:rsidRPr="00FC0023">
              <w:rPr>
                <w:rFonts w:eastAsia="Calibri"/>
                <w:color w:val="000000"/>
                <w:sz w:val="24"/>
                <w:szCs w:val="24"/>
                <w:lang w:val="en-US"/>
              </w:rPr>
              <w:t>541,61</w:t>
            </w:r>
          </w:p>
        </w:tc>
        <w:tc>
          <w:tcPr>
            <w:tcW w:w="0" w:type="auto"/>
            <w:vAlign w:val="center"/>
          </w:tcPr>
          <w:p w:rsidR="006B6A3E" w:rsidRPr="00FC0023" w:rsidRDefault="006B6A3E" w:rsidP="00FC0023">
            <w:pPr>
              <w:tabs>
                <w:tab w:val="left" w:pos="993"/>
              </w:tabs>
              <w:spacing w:line="276" w:lineRule="auto"/>
              <w:jc w:val="center"/>
              <w:rPr>
                <w:rFonts w:eastAsia="Calibri"/>
                <w:bCs/>
                <w:color w:val="000000"/>
                <w:sz w:val="24"/>
                <w:szCs w:val="24"/>
                <w:lang w:val="en-US"/>
              </w:rPr>
            </w:pPr>
            <w:r w:rsidRPr="00FC0023">
              <w:rPr>
                <w:rFonts w:eastAsia="Calibri"/>
                <w:bCs/>
                <w:color w:val="000000"/>
                <w:sz w:val="24"/>
                <w:szCs w:val="24"/>
                <w:lang w:val="en-US"/>
              </w:rPr>
              <w:t>7,67</w:t>
            </w:r>
          </w:p>
        </w:tc>
        <w:tc>
          <w:tcPr>
            <w:tcW w:w="0" w:type="auto"/>
            <w:vAlign w:val="center"/>
          </w:tcPr>
          <w:p w:rsidR="006B6A3E" w:rsidRPr="00FC0023" w:rsidRDefault="006B6A3E" w:rsidP="00FC0023">
            <w:pPr>
              <w:tabs>
                <w:tab w:val="left" w:pos="993"/>
              </w:tabs>
              <w:spacing w:line="276" w:lineRule="auto"/>
              <w:jc w:val="center"/>
              <w:rPr>
                <w:rFonts w:eastAsia="Calibri"/>
                <w:color w:val="000000"/>
                <w:sz w:val="24"/>
                <w:szCs w:val="24"/>
                <w:highlight w:val="yellow"/>
              </w:rPr>
            </w:pPr>
            <w:r w:rsidRPr="00FC0023">
              <w:rPr>
                <w:rFonts w:eastAsia="Calibri"/>
                <w:color w:val="000000"/>
                <w:sz w:val="24"/>
                <w:szCs w:val="24"/>
              </w:rPr>
              <w:t>1:25</w:t>
            </w:r>
          </w:p>
        </w:tc>
      </w:tr>
      <w:tr w:rsidR="006B6A3E" w:rsidRPr="00FC0023" w:rsidTr="006E3A91">
        <w:trPr>
          <w:trHeight w:val="225"/>
        </w:trPr>
        <w:tc>
          <w:tcPr>
            <w:tcW w:w="0" w:type="auto"/>
            <w:shd w:val="clear" w:color="auto" w:fill="auto"/>
            <w:hideMark/>
          </w:tcPr>
          <w:p w:rsidR="006B6A3E" w:rsidRPr="00FC0023" w:rsidRDefault="006B6A3E" w:rsidP="00FC0023">
            <w:pPr>
              <w:tabs>
                <w:tab w:val="left" w:pos="993"/>
              </w:tabs>
              <w:spacing w:line="276" w:lineRule="auto"/>
              <w:jc w:val="left"/>
              <w:rPr>
                <w:rFonts w:eastAsia="Calibri"/>
                <w:color w:val="000000"/>
                <w:sz w:val="24"/>
                <w:szCs w:val="24"/>
                <w:lang w:val="en-US"/>
              </w:rPr>
            </w:pPr>
            <w:r w:rsidRPr="00FC0023">
              <w:rPr>
                <w:rFonts w:eastAsia="Calibri"/>
                <w:color w:val="000000"/>
                <w:sz w:val="24"/>
                <w:szCs w:val="24"/>
                <w:lang w:val="en-US"/>
              </w:rPr>
              <w:t>Кіровоградська</w:t>
            </w:r>
          </w:p>
        </w:tc>
        <w:tc>
          <w:tcPr>
            <w:tcW w:w="0" w:type="auto"/>
          </w:tcPr>
          <w:p w:rsidR="006B6A3E" w:rsidRPr="00FC0023" w:rsidRDefault="006B6A3E" w:rsidP="00FC0023">
            <w:pPr>
              <w:tabs>
                <w:tab w:val="left" w:pos="993"/>
              </w:tabs>
              <w:spacing w:line="276" w:lineRule="auto"/>
              <w:jc w:val="center"/>
              <w:rPr>
                <w:rFonts w:eastAsia="Calibri"/>
                <w:color w:val="000000"/>
                <w:sz w:val="24"/>
                <w:szCs w:val="24"/>
                <w:lang w:val="en-US"/>
              </w:rPr>
            </w:pPr>
            <w:r w:rsidRPr="00FC0023">
              <w:rPr>
                <w:rFonts w:eastAsia="Calibri"/>
                <w:color w:val="000000"/>
                <w:sz w:val="24"/>
                <w:szCs w:val="24"/>
                <w:lang w:val="en-US"/>
              </w:rPr>
              <w:t>261,85</w:t>
            </w:r>
          </w:p>
        </w:tc>
        <w:tc>
          <w:tcPr>
            <w:tcW w:w="0" w:type="auto"/>
          </w:tcPr>
          <w:p w:rsidR="006B6A3E" w:rsidRPr="00FC0023" w:rsidRDefault="006B6A3E" w:rsidP="00FC0023">
            <w:pPr>
              <w:tabs>
                <w:tab w:val="left" w:pos="993"/>
              </w:tabs>
              <w:spacing w:line="276" w:lineRule="auto"/>
              <w:jc w:val="center"/>
              <w:rPr>
                <w:rFonts w:eastAsia="Calibri"/>
                <w:color w:val="000000"/>
                <w:sz w:val="24"/>
                <w:szCs w:val="24"/>
                <w:lang w:val="en-US"/>
              </w:rPr>
            </w:pPr>
            <w:r w:rsidRPr="00FC0023">
              <w:rPr>
                <w:rFonts w:eastAsia="Calibri"/>
                <w:color w:val="000000"/>
                <w:sz w:val="24"/>
                <w:szCs w:val="24"/>
                <w:lang w:val="en-US"/>
              </w:rPr>
              <w:t>243,79</w:t>
            </w:r>
          </w:p>
        </w:tc>
        <w:tc>
          <w:tcPr>
            <w:tcW w:w="0" w:type="auto"/>
          </w:tcPr>
          <w:p w:rsidR="006B6A3E" w:rsidRPr="00FC0023" w:rsidRDefault="006B6A3E" w:rsidP="00FC0023">
            <w:pPr>
              <w:tabs>
                <w:tab w:val="left" w:pos="993"/>
              </w:tabs>
              <w:spacing w:line="276" w:lineRule="auto"/>
              <w:jc w:val="center"/>
              <w:rPr>
                <w:rFonts w:eastAsia="Calibri"/>
                <w:color w:val="000000"/>
                <w:sz w:val="24"/>
                <w:szCs w:val="24"/>
                <w:lang w:val="en-US"/>
              </w:rPr>
            </w:pPr>
            <w:r w:rsidRPr="00FC0023">
              <w:rPr>
                <w:rFonts w:eastAsia="Calibri"/>
                <w:color w:val="000000"/>
                <w:sz w:val="24"/>
                <w:szCs w:val="24"/>
                <w:lang w:val="en-US"/>
              </w:rPr>
              <w:t>693,47</w:t>
            </w:r>
          </w:p>
        </w:tc>
        <w:tc>
          <w:tcPr>
            <w:tcW w:w="0" w:type="auto"/>
          </w:tcPr>
          <w:p w:rsidR="006B6A3E" w:rsidRPr="00FC0023" w:rsidRDefault="006B6A3E" w:rsidP="00FC0023">
            <w:pPr>
              <w:tabs>
                <w:tab w:val="left" w:pos="993"/>
              </w:tabs>
              <w:spacing w:line="276" w:lineRule="auto"/>
              <w:jc w:val="center"/>
              <w:rPr>
                <w:rFonts w:eastAsia="Calibri"/>
                <w:color w:val="000000"/>
                <w:sz w:val="24"/>
                <w:szCs w:val="24"/>
                <w:lang w:val="en-US"/>
              </w:rPr>
            </w:pPr>
            <w:r w:rsidRPr="00FC0023">
              <w:rPr>
                <w:rFonts w:eastAsia="Calibri"/>
                <w:color w:val="000000"/>
                <w:sz w:val="24"/>
                <w:szCs w:val="24"/>
                <w:lang w:val="en-US"/>
              </w:rPr>
              <w:t>596,76</w:t>
            </w:r>
          </w:p>
        </w:tc>
        <w:tc>
          <w:tcPr>
            <w:tcW w:w="0" w:type="auto"/>
            <w:vAlign w:val="center"/>
          </w:tcPr>
          <w:p w:rsidR="006B6A3E" w:rsidRPr="00FC0023" w:rsidRDefault="006B6A3E" w:rsidP="00FC0023">
            <w:pPr>
              <w:tabs>
                <w:tab w:val="left" w:pos="993"/>
              </w:tabs>
              <w:spacing w:line="276" w:lineRule="auto"/>
              <w:jc w:val="center"/>
              <w:rPr>
                <w:rFonts w:eastAsia="Calibri"/>
                <w:bCs/>
                <w:color w:val="000000"/>
                <w:sz w:val="24"/>
                <w:szCs w:val="24"/>
                <w:lang w:val="en-US"/>
              </w:rPr>
            </w:pPr>
            <w:r w:rsidRPr="00FC0023">
              <w:rPr>
                <w:rFonts w:eastAsia="Calibri"/>
                <w:bCs/>
                <w:color w:val="000000"/>
                <w:sz w:val="24"/>
                <w:szCs w:val="24"/>
                <w:lang w:val="en-US"/>
              </w:rPr>
              <w:t>34,13</w:t>
            </w:r>
          </w:p>
        </w:tc>
        <w:tc>
          <w:tcPr>
            <w:tcW w:w="0" w:type="auto"/>
            <w:vAlign w:val="center"/>
          </w:tcPr>
          <w:p w:rsidR="006B6A3E" w:rsidRPr="00FC0023" w:rsidRDefault="006B6A3E" w:rsidP="00FC0023">
            <w:pPr>
              <w:tabs>
                <w:tab w:val="left" w:pos="993"/>
              </w:tabs>
              <w:spacing w:line="276" w:lineRule="auto"/>
              <w:jc w:val="center"/>
              <w:rPr>
                <w:rFonts w:eastAsia="Calibri"/>
                <w:color w:val="000000"/>
                <w:sz w:val="24"/>
                <w:szCs w:val="24"/>
                <w:lang w:val="en-US"/>
              </w:rPr>
            </w:pPr>
            <w:r w:rsidRPr="00FC0023">
              <w:rPr>
                <w:rFonts w:eastAsia="Calibri"/>
                <w:color w:val="000000"/>
                <w:sz w:val="24"/>
                <w:szCs w:val="24"/>
              </w:rPr>
              <w:t>1:7</w:t>
            </w:r>
          </w:p>
        </w:tc>
      </w:tr>
      <w:tr w:rsidR="006B6A3E" w:rsidRPr="00FC0023" w:rsidTr="006E3A91">
        <w:trPr>
          <w:trHeight w:val="225"/>
        </w:trPr>
        <w:tc>
          <w:tcPr>
            <w:tcW w:w="0" w:type="auto"/>
            <w:shd w:val="clear" w:color="auto" w:fill="auto"/>
            <w:hideMark/>
          </w:tcPr>
          <w:p w:rsidR="006B6A3E" w:rsidRPr="00FC0023" w:rsidRDefault="006B6A3E" w:rsidP="00FC0023">
            <w:pPr>
              <w:tabs>
                <w:tab w:val="left" w:pos="993"/>
              </w:tabs>
              <w:spacing w:line="276" w:lineRule="auto"/>
              <w:jc w:val="left"/>
              <w:rPr>
                <w:rFonts w:eastAsia="Calibri"/>
                <w:color w:val="000000"/>
                <w:sz w:val="24"/>
                <w:szCs w:val="24"/>
                <w:lang w:val="en-US"/>
              </w:rPr>
            </w:pPr>
            <w:r w:rsidRPr="00FC0023">
              <w:rPr>
                <w:rFonts w:eastAsia="Calibri"/>
                <w:color w:val="000000"/>
                <w:sz w:val="24"/>
                <w:szCs w:val="24"/>
                <w:lang w:val="en-US"/>
              </w:rPr>
              <w:t>Луганська</w:t>
            </w:r>
          </w:p>
        </w:tc>
        <w:tc>
          <w:tcPr>
            <w:tcW w:w="0" w:type="auto"/>
          </w:tcPr>
          <w:p w:rsidR="006B6A3E" w:rsidRPr="00FC0023" w:rsidRDefault="006B6A3E" w:rsidP="00FC0023">
            <w:pPr>
              <w:tabs>
                <w:tab w:val="left" w:pos="993"/>
              </w:tabs>
              <w:spacing w:line="276" w:lineRule="auto"/>
              <w:jc w:val="center"/>
              <w:rPr>
                <w:rFonts w:eastAsia="Calibri"/>
                <w:color w:val="000000"/>
                <w:sz w:val="24"/>
                <w:szCs w:val="24"/>
                <w:lang w:val="en-US"/>
              </w:rPr>
            </w:pPr>
            <w:r w:rsidRPr="00FC0023">
              <w:rPr>
                <w:rFonts w:eastAsia="Calibri"/>
                <w:color w:val="000000"/>
                <w:sz w:val="24"/>
                <w:szCs w:val="24"/>
                <w:lang w:val="en-US"/>
              </w:rPr>
              <w:t>64,63</w:t>
            </w:r>
          </w:p>
        </w:tc>
        <w:tc>
          <w:tcPr>
            <w:tcW w:w="0" w:type="auto"/>
          </w:tcPr>
          <w:p w:rsidR="006B6A3E" w:rsidRPr="00FC0023" w:rsidRDefault="006B6A3E" w:rsidP="00FC0023">
            <w:pPr>
              <w:tabs>
                <w:tab w:val="left" w:pos="993"/>
              </w:tabs>
              <w:spacing w:line="276" w:lineRule="auto"/>
              <w:jc w:val="center"/>
              <w:rPr>
                <w:rFonts w:eastAsia="Calibri"/>
                <w:color w:val="000000"/>
                <w:sz w:val="24"/>
                <w:szCs w:val="24"/>
                <w:lang w:val="en-US"/>
              </w:rPr>
            </w:pPr>
            <w:r w:rsidRPr="00FC0023">
              <w:rPr>
                <w:rFonts w:eastAsia="Calibri"/>
                <w:color w:val="000000"/>
                <w:sz w:val="24"/>
                <w:szCs w:val="24"/>
                <w:lang w:val="en-US"/>
              </w:rPr>
              <w:t>237,90</w:t>
            </w:r>
          </w:p>
        </w:tc>
        <w:tc>
          <w:tcPr>
            <w:tcW w:w="0" w:type="auto"/>
          </w:tcPr>
          <w:p w:rsidR="006B6A3E" w:rsidRPr="00FC0023" w:rsidRDefault="006B6A3E" w:rsidP="00FC0023">
            <w:pPr>
              <w:tabs>
                <w:tab w:val="left" w:pos="993"/>
              </w:tabs>
              <w:spacing w:line="276" w:lineRule="auto"/>
              <w:jc w:val="center"/>
              <w:rPr>
                <w:rFonts w:eastAsia="Calibri"/>
                <w:color w:val="000000"/>
                <w:sz w:val="24"/>
                <w:szCs w:val="24"/>
                <w:lang w:val="en-US"/>
              </w:rPr>
            </w:pPr>
            <w:r w:rsidRPr="00FC0023">
              <w:rPr>
                <w:rFonts w:eastAsia="Calibri"/>
                <w:color w:val="000000"/>
                <w:sz w:val="24"/>
                <w:szCs w:val="24"/>
                <w:lang w:val="en-US"/>
              </w:rPr>
              <w:t>190,24</w:t>
            </w:r>
          </w:p>
        </w:tc>
        <w:tc>
          <w:tcPr>
            <w:tcW w:w="0" w:type="auto"/>
          </w:tcPr>
          <w:p w:rsidR="006B6A3E" w:rsidRPr="00FC0023" w:rsidRDefault="006B6A3E" w:rsidP="00FC0023">
            <w:pPr>
              <w:tabs>
                <w:tab w:val="left" w:pos="993"/>
              </w:tabs>
              <w:spacing w:line="276" w:lineRule="auto"/>
              <w:jc w:val="center"/>
              <w:rPr>
                <w:rFonts w:eastAsia="Calibri"/>
                <w:color w:val="000000"/>
                <w:sz w:val="24"/>
                <w:szCs w:val="24"/>
                <w:lang w:val="en-US"/>
              </w:rPr>
            </w:pPr>
            <w:r w:rsidRPr="00FC0023">
              <w:rPr>
                <w:rFonts w:eastAsia="Calibri"/>
                <w:color w:val="000000"/>
                <w:sz w:val="24"/>
                <w:szCs w:val="24"/>
                <w:lang w:val="en-US"/>
              </w:rPr>
              <w:t>749,45</w:t>
            </w:r>
          </w:p>
        </w:tc>
        <w:tc>
          <w:tcPr>
            <w:tcW w:w="0" w:type="auto"/>
            <w:vAlign w:val="center"/>
          </w:tcPr>
          <w:p w:rsidR="006B6A3E" w:rsidRPr="00FC0023" w:rsidRDefault="006B6A3E" w:rsidP="00FC0023">
            <w:pPr>
              <w:tabs>
                <w:tab w:val="left" w:pos="993"/>
              </w:tabs>
              <w:spacing w:line="276" w:lineRule="auto"/>
              <w:jc w:val="center"/>
              <w:rPr>
                <w:rFonts w:eastAsia="Calibri"/>
                <w:bCs/>
                <w:color w:val="000000"/>
                <w:sz w:val="24"/>
                <w:szCs w:val="24"/>
                <w:lang w:val="en-US"/>
              </w:rPr>
            </w:pPr>
            <w:r w:rsidRPr="00FC0023">
              <w:rPr>
                <w:rFonts w:eastAsia="Calibri"/>
                <w:bCs/>
                <w:color w:val="000000"/>
                <w:sz w:val="24"/>
                <w:szCs w:val="24"/>
                <w:lang w:val="en-US"/>
              </w:rPr>
              <w:t>18,83</w:t>
            </w:r>
          </w:p>
        </w:tc>
        <w:tc>
          <w:tcPr>
            <w:tcW w:w="0" w:type="auto"/>
            <w:vAlign w:val="center"/>
          </w:tcPr>
          <w:p w:rsidR="006B6A3E" w:rsidRPr="00FC0023" w:rsidRDefault="006B6A3E" w:rsidP="00FC0023">
            <w:pPr>
              <w:tabs>
                <w:tab w:val="left" w:pos="993"/>
              </w:tabs>
              <w:spacing w:line="276" w:lineRule="auto"/>
              <w:jc w:val="center"/>
              <w:rPr>
                <w:rFonts w:eastAsia="Calibri"/>
                <w:color w:val="000000"/>
                <w:sz w:val="24"/>
                <w:szCs w:val="24"/>
              </w:rPr>
            </w:pPr>
            <w:r w:rsidRPr="00FC0023">
              <w:rPr>
                <w:rFonts w:eastAsia="Calibri"/>
                <w:color w:val="000000"/>
                <w:sz w:val="24"/>
                <w:szCs w:val="24"/>
              </w:rPr>
              <w:t>1:13</w:t>
            </w:r>
          </w:p>
        </w:tc>
      </w:tr>
      <w:tr w:rsidR="006B6A3E" w:rsidRPr="00FC0023" w:rsidTr="006E3A91">
        <w:trPr>
          <w:trHeight w:val="225"/>
        </w:trPr>
        <w:tc>
          <w:tcPr>
            <w:tcW w:w="0" w:type="auto"/>
            <w:shd w:val="clear" w:color="auto" w:fill="auto"/>
            <w:hideMark/>
          </w:tcPr>
          <w:p w:rsidR="006B6A3E" w:rsidRPr="00FC0023" w:rsidRDefault="006B6A3E" w:rsidP="00FC0023">
            <w:pPr>
              <w:tabs>
                <w:tab w:val="left" w:pos="993"/>
              </w:tabs>
              <w:spacing w:line="276" w:lineRule="auto"/>
              <w:jc w:val="left"/>
              <w:rPr>
                <w:rFonts w:eastAsia="Calibri"/>
                <w:color w:val="000000"/>
                <w:sz w:val="24"/>
                <w:szCs w:val="24"/>
                <w:lang w:val="en-US"/>
              </w:rPr>
            </w:pPr>
            <w:r w:rsidRPr="00FC0023">
              <w:rPr>
                <w:rFonts w:eastAsia="Calibri"/>
                <w:color w:val="000000"/>
                <w:sz w:val="24"/>
                <w:szCs w:val="24"/>
                <w:lang w:val="en-US"/>
              </w:rPr>
              <w:t>Львівська</w:t>
            </w:r>
          </w:p>
        </w:tc>
        <w:tc>
          <w:tcPr>
            <w:tcW w:w="0" w:type="auto"/>
          </w:tcPr>
          <w:p w:rsidR="006B6A3E" w:rsidRPr="00FC0023" w:rsidRDefault="006B6A3E" w:rsidP="00FC0023">
            <w:pPr>
              <w:tabs>
                <w:tab w:val="left" w:pos="993"/>
              </w:tabs>
              <w:spacing w:line="276" w:lineRule="auto"/>
              <w:jc w:val="center"/>
              <w:rPr>
                <w:rFonts w:eastAsia="Calibri"/>
                <w:color w:val="000000"/>
                <w:sz w:val="24"/>
                <w:szCs w:val="24"/>
                <w:lang w:val="en-US"/>
              </w:rPr>
            </w:pPr>
            <w:r w:rsidRPr="00FC0023">
              <w:rPr>
                <w:rFonts w:eastAsia="Calibri"/>
                <w:color w:val="000000"/>
                <w:sz w:val="24"/>
                <w:szCs w:val="24"/>
                <w:lang w:val="en-US"/>
              </w:rPr>
              <w:t>211,24</w:t>
            </w:r>
          </w:p>
        </w:tc>
        <w:tc>
          <w:tcPr>
            <w:tcW w:w="0" w:type="auto"/>
          </w:tcPr>
          <w:p w:rsidR="006B6A3E" w:rsidRPr="00FC0023" w:rsidRDefault="006B6A3E" w:rsidP="00FC0023">
            <w:pPr>
              <w:tabs>
                <w:tab w:val="left" w:pos="993"/>
              </w:tabs>
              <w:spacing w:line="276" w:lineRule="auto"/>
              <w:jc w:val="center"/>
              <w:rPr>
                <w:rFonts w:eastAsia="Calibri"/>
                <w:color w:val="000000"/>
                <w:sz w:val="24"/>
                <w:szCs w:val="24"/>
                <w:lang w:val="en-US"/>
              </w:rPr>
            </w:pPr>
            <w:r w:rsidRPr="00FC0023">
              <w:rPr>
                <w:rFonts w:eastAsia="Calibri"/>
                <w:color w:val="000000"/>
                <w:sz w:val="24"/>
                <w:szCs w:val="24"/>
                <w:lang w:val="en-US"/>
              </w:rPr>
              <w:t>209,25</w:t>
            </w:r>
          </w:p>
        </w:tc>
        <w:tc>
          <w:tcPr>
            <w:tcW w:w="0" w:type="auto"/>
          </w:tcPr>
          <w:p w:rsidR="006B6A3E" w:rsidRPr="00FC0023" w:rsidRDefault="006B6A3E" w:rsidP="00FC0023">
            <w:pPr>
              <w:tabs>
                <w:tab w:val="left" w:pos="993"/>
              </w:tabs>
              <w:spacing w:line="276" w:lineRule="auto"/>
              <w:jc w:val="center"/>
              <w:rPr>
                <w:rFonts w:eastAsia="Calibri"/>
                <w:color w:val="000000"/>
                <w:sz w:val="24"/>
                <w:szCs w:val="24"/>
                <w:lang w:val="en-US"/>
              </w:rPr>
            </w:pPr>
            <w:r w:rsidRPr="00FC0023">
              <w:rPr>
                <w:rFonts w:eastAsia="Calibri"/>
                <w:color w:val="000000"/>
                <w:sz w:val="24"/>
                <w:szCs w:val="24"/>
                <w:lang w:val="en-US"/>
              </w:rPr>
              <w:t>547,37</w:t>
            </w:r>
          </w:p>
        </w:tc>
        <w:tc>
          <w:tcPr>
            <w:tcW w:w="0" w:type="auto"/>
          </w:tcPr>
          <w:p w:rsidR="006B6A3E" w:rsidRPr="00FC0023" w:rsidRDefault="006B6A3E" w:rsidP="00FC0023">
            <w:pPr>
              <w:tabs>
                <w:tab w:val="left" w:pos="993"/>
              </w:tabs>
              <w:spacing w:line="276" w:lineRule="auto"/>
              <w:jc w:val="center"/>
              <w:rPr>
                <w:rFonts w:eastAsia="Calibri"/>
                <w:color w:val="000000"/>
                <w:sz w:val="24"/>
                <w:szCs w:val="24"/>
                <w:lang w:val="en-US"/>
              </w:rPr>
            </w:pPr>
            <w:r w:rsidRPr="00FC0023">
              <w:rPr>
                <w:rFonts w:eastAsia="Calibri"/>
                <w:color w:val="000000"/>
                <w:sz w:val="24"/>
                <w:szCs w:val="24"/>
                <w:lang w:val="en-US"/>
              </w:rPr>
              <w:t>534,52</w:t>
            </w:r>
          </w:p>
        </w:tc>
        <w:tc>
          <w:tcPr>
            <w:tcW w:w="0" w:type="auto"/>
            <w:vAlign w:val="center"/>
          </w:tcPr>
          <w:p w:rsidR="006B6A3E" w:rsidRPr="00FC0023" w:rsidRDefault="006B6A3E" w:rsidP="00FC0023">
            <w:pPr>
              <w:tabs>
                <w:tab w:val="left" w:pos="993"/>
              </w:tabs>
              <w:spacing w:line="276" w:lineRule="auto"/>
              <w:jc w:val="center"/>
              <w:rPr>
                <w:rFonts w:eastAsia="Calibri"/>
                <w:bCs/>
                <w:color w:val="000000"/>
                <w:sz w:val="24"/>
                <w:szCs w:val="24"/>
                <w:lang w:val="en-US"/>
              </w:rPr>
            </w:pPr>
            <w:r w:rsidRPr="00FC0023">
              <w:rPr>
                <w:rFonts w:eastAsia="Calibri"/>
                <w:bCs/>
                <w:color w:val="000000"/>
                <w:sz w:val="24"/>
                <w:szCs w:val="24"/>
                <w:lang w:val="en-US"/>
              </w:rPr>
              <w:t>22,37</w:t>
            </w:r>
          </w:p>
        </w:tc>
        <w:tc>
          <w:tcPr>
            <w:tcW w:w="0" w:type="auto"/>
            <w:vAlign w:val="center"/>
          </w:tcPr>
          <w:p w:rsidR="006B6A3E" w:rsidRPr="00FC0023" w:rsidRDefault="006B6A3E" w:rsidP="00FC0023">
            <w:pPr>
              <w:tabs>
                <w:tab w:val="left" w:pos="993"/>
              </w:tabs>
              <w:spacing w:line="276" w:lineRule="auto"/>
              <w:jc w:val="center"/>
              <w:rPr>
                <w:rFonts w:eastAsia="Calibri"/>
                <w:color w:val="000000"/>
                <w:sz w:val="24"/>
                <w:szCs w:val="24"/>
              </w:rPr>
            </w:pPr>
            <w:r w:rsidRPr="00FC0023">
              <w:rPr>
                <w:rFonts w:eastAsia="Calibri"/>
                <w:color w:val="000000"/>
                <w:sz w:val="24"/>
                <w:szCs w:val="24"/>
              </w:rPr>
              <w:t>1:</w:t>
            </w:r>
            <w:r w:rsidRPr="00FC0023">
              <w:rPr>
                <w:rFonts w:eastAsia="Calibri"/>
                <w:color w:val="000000"/>
                <w:sz w:val="24"/>
                <w:szCs w:val="24"/>
                <w:lang w:val="en-US"/>
              </w:rPr>
              <w:t>9</w:t>
            </w:r>
          </w:p>
        </w:tc>
      </w:tr>
      <w:tr w:rsidR="006B6A3E" w:rsidRPr="00FC0023" w:rsidTr="006E3A91">
        <w:trPr>
          <w:trHeight w:val="225"/>
        </w:trPr>
        <w:tc>
          <w:tcPr>
            <w:tcW w:w="0" w:type="auto"/>
            <w:shd w:val="clear" w:color="auto" w:fill="auto"/>
            <w:hideMark/>
          </w:tcPr>
          <w:p w:rsidR="006B6A3E" w:rsidRPr="00FC0023" w:rsidRDefault="006B6A3E" w:rsidP="00FC0023">
            <w:pPr>
              <w:tabs>
                <w:tab w:val="left" w:pos="993"/>
              </w:tabs>
              <w:spacing w:line="276" w:lineRule="auto"/>
              <w:jc w:val="left"/>
              <w:rPr>
                <w:rFonts w:eastAsia="Calibri"/>
                <w:color w:val="000000"/>
                <w:sz w:val="24"/>
                <w:szCs w:val="24"/>
                <w:lang w:val="en-US"/>
              </w:rPr>
            </w:pPr>
            <w:r w:rsidRPr="00FC0023">
              <w:rPr>
                <w:rFonts w:eastAsia="Calibri"/>
                <w:color w:val="000000"/>
                <w:sz w:val="24"/>
                <w:szCs w:val="24"/>
                <w:lang w:val="en-US"/>
              </w:rPr>
              <w:t>Миколаївська</w:t>
            </w:r>
          </w:p>
        </w:tc>
        <w:tc>
          <w:tcPr>
            <w:tcW w:w="0" w:type="auto"/>
          </w:tcPr>
          <w:p w:rsidR="006B6A3E" w:rsidRPr="00FC0023" w:rsidRDefault="006B6A3E" w:rsidP="00FC0023">
            <w:pPr>
              <w:tabs>
                <w:tab w:val="left" w:pos="993"/>
              </w:tabs>
              <w:spacing w:line="276" w:lineRule="auto"/>
              <w:jc w:val="center"/>
              <w:rPr>
                <w:rFonts w:eastAsia="Calibri"/>
                <w:color w:val="000000"/>
                <w:sz w:val="24"/>
                <w:szCs w:val="24"/>
                <w:lang w:val="en-US"/>
              </w:rPr>
            </w:pPr>
            <w:r w:rsidRPr="00FC0023">
              <w:rPr>
                <w:rFonts w:eastAsia="Calibri"/>
                <w:color w:val="000000"/>
                <w:sz w:val="24"/>
                <w:szCs w:val="24"/>
                <w:lang w:val="en-US"/>
              </w:rPr>
              <w:t>272,12</w:t>
            </w:r>
          </w:p>
        </w:tc>
        <w:tc>
          <w:tcPr>
            <w:tcW w:w="0" w:type="auto"/>
          </w:tcPr>
          <w:p w:rsidR="006B6A3E" w:rsidRPr="00FC0023" w:rsidRDefault="006B6A3E" w:rsidP="00FC0023">
            <w:pPr>
              <w:tabs>
                <w:tab w:val="left" w:pos="993"/>
              </w:tabs>
              <w:spacing w:line="276" w:lineRule="auto"/>
              <w:jc w:val="center"/>
              <w:rPr>
                <w:rFonts w:eastAsia="Calibri"/>
                <w:color w:val="000000"/>
                <w:sz w:val="24"/>
                <w:szCs w:val="24"/>
                <w:lang w:val="en-US"/>
              </w:rPr>
            </w:pPr>
            <w:r w:rsidRPr="00FC0023">
              <w:rPr>
                <w:rFonts w:eastAsia="Calibri"/>
                <w:color w:val="000000"/>
                <w:sz w:val="24"/>
                <w:szCs w:val="24"/>
                <w:lang w:val="en-US"/>
              </w:rPr>
              <w:t>238,17</w:t>
            </w:r>
          </w:p>
        </w:tc>
        <w:tc>
          <w:tcPr>
            <w:tcW w:w="0" w:type="auto"/>
          </w:tcPr>
          <w:p w:rsidR="006B6A3E" w:rsidRPr="00FC0023" w:rsidRDefault="006B6A3E" w:rsidP="00FC0023">
            <w:pPr>
              <w:tabs>
                <w:tab w:val="left" w:pos="993"/>
              </w:tabs>
              <w:spacing w:line="276" w:lineRule="auto"/>
              <w:jc w:val="center"/>
              <w:rPr>
                <w:rFonts w:eastAsia="Calibri"/>
                <w:color w:val="000000"/>
                <w:sz w:val="24"/>
                <w:szCs w:val="24"/>
                <w:lang w:val="en-US"/>
              </w:rPr>
            </w:pPr>
            <w:r w:rsidRPr="00FC0023">
              <w:rPr>
                <w:rFonts w:eastAsia="Calibri"/>
                <w:color w:val="000000"/>
                <w:sz w:val="24"/>
                <w:szCs w:val="24"/>
                <w:lang w:val="en-US"/>
              </w:rPr>
              <w:t>765,07</w:t>
            </w:r>
          </w:p>
        </w:tc>
        <w:tc>
          <w:tcPr>
            <w:tcW w:w="0" w:type="auto"/>
          </w:tcPr>
          <w:p w:rsidR="006B6A3E" w:rsidRPr="00FC0023" w:rsidRDefault="006B6A3E" w:rsidP="00FC0023">
            <w:pPr>
              <w:tabs>
                <w:tab w:val="left" w:pos="993"/>
              </w:tabs>
              <w:spacing w:line="276" w:lineRule="auto"/>
              <w:jc w:val="center"/>
              <w:rPr>
                <w:rFonts w:eastAsia="Calibri"/>
                <w:color w:val="000000"/>
                <w:sz w:val="24"/>
                <w:szCs w:val="24"/>
                <w:lang w:val="en-US"/>
              </w:rPr>
            </w:pPr>
            <w:r w:rsidRPr="00FC0023">
              <w:rPr>
                <w:rFonts w:eastAsia="Calibri"/>
                <w:color w:val="000000"/>
                <w:sz w:val="24"/>
                <w:szCs w:val="24"/>
                <w:lang w:val="en-US"/>
              </w:rPr>
              <w:t>692,18</w:t>
            </w:r>
          </w:p>
        </w:tc>
        <w:tc>
          <w:tcPr>
            <w:tcW w:w="0" w:type="auto"/>
            <w:vAlign w:val="center"/>
          </w:tcPr>
          <w:p w:rsidR="006B6A3E" w:rsidRPr="00FC0023" w:rsidRDefault="006B6A3E" w:rsidP="00FC0023">
            <w:pPr>
              <w:tabs>
                <w:tab w:val="left" w:pos="993"/>
              </w:tabs>
              <w:spacing w:line="276" w:lineRule="auto"/>
              <w:jc w:val="center"/>
              <w:rPr>
                <w:rFonts w:eastAsia="Calibri"/>
                <w:bCs/>
                <w:color w:val="000000"/>
                <w:sz w:val="24"/>
                <w:szCs w:val="24"/>
                <w:lang w:val="en-US"/>
              </w:rPr>
            </w:pPr>
            <w:r w:rsidRPr="00FC0023">
              <w:rPr>
                <w:rFonts w:eastAsia="Calibri"/>
                <w:bCs/>
                <w:color w:val="000000"/>
                <w:sz w:val="24"/>
                <w:szCs w:val="24"/>
                <w:lang w:val="en-US"/>
              </w:rPr>
              <w:t>30,21</w:t>
            </w:r>
          </w:p>
        </w:tc>
        <w:tc>
          <w:tcPr>
            <w:tcW w:w="0" w:type="auto"/>
            <w:vAlign w:val="center"/>
          </w:tcPr>
          <w:p w:rsidR="006B6A3E" w:rsidRPr="00FC0023" w:rsidRDefault="006B6A3E" w:rsidP="00FC0023">
            <w:pPr>
              <w:tabs>
                <w:tab w:val="left" w:pos="993"/>
              </w:tabs>
              <w:spacing w:line="276" w:lineRule="auto"/>
              <w:jc w:val="center"/>
              <w:rPr>
                <w:rFonts w:eastAsia="Calibri"/>
                <w:color w:val="000000"/>
                <w:sz w:val="24"/>
                <w:szCs w:val="24"/>
                <w:lang w:val="en-US"/>
              </w:rPr>
            </w:pPr>
            <w:r w:rsidRPr="00FC0023">
              <w:rPr>
                <w:rFonts w:eastAsia="Calibri"/>
                <w:color w:val="000000"/>
                <w:sz w:val="24"/>
                <w:szCs w:val="24"/>
              </w:rPr>
              <w:t>1:</w:t>
            </w:r>
            <w:r w:rsidRPr="00FC0023">
              <w:rPr>
                <w:rFonts w:eastAsia="Calibri"/>
                <w:color w:val="000000"/>
                <w:sz w:val="24"/>
                <w:szCs w:val="24"/>
                <w:lang w:val="en-US"/>
              </w:rPr>
              <w:t>8</w:t>
            </w:r>
          </w:p>
        </w:tc>
      </w:tr>
      <w:tr w:rsidR="006B6A3E" w:rsidRPr="00FC0023" w:rsidTr="006E3A91">
        <w:trPr>
          <w:trHeight w:val="225"/>
        </w:trPr>
        <w:tc>
          <w:tcPr>
            <w:tcW w:w="0" w:type="auto"/>
            <w:shd w:val="clear" w:color="auto" w:fill="auto"/>
            <w:hideMark/>
          </w:tcPr>
          <w:p w:rsidR="006B6A3E" w:rsidRPr="00FC0023" w:rsidRDefault="006B6A3E" w:rsidP="00FC0023">
            <w:pPr>
              <w:tabs>
                <w:tab w:val="left" w:pos="993"/>
              </w:tabs>
              <w:spacing w:line="276" w:lineRule="auto"/>
              <w:jc w:val="left"/>
              <w:rPr>
                <w:rFonts w:eastAsia="Calibri"/>
                <w:color w:val="000000"/>
                <w:sz w:val="24"/>
                <w:szCs w:val="24"/>
                <w:lang w:val="en-US"/>
              </w:rPr>
            </w:pPr>
            <w:r w:rsidRPr="00FC0023">
              <w:rPr>
                <w:rFonts w:eastAsia="Calibri"/>
                <w:color w:val="000000"/>
                <w:sz w:val="24"/>
                <w:szCs w:val="24"/>
                <w:lang w:val="en-US"/>
              </w:rPr>
              <w:t>Одеська</w:t>
            </w:r>
          </w:p>
        </w:tc>
        <w:tc>
          <w:tcPr>
            <w:tcW w:w="0" w:type="auto"/>
          </w:tcPr>
          <w:p w:rsidR="006B6A3E" w:rsidRPr="00FC0023" w:rsidRDefault="006B6A3E" w:rsidP="00FC0023">
            <w:pPr>
              <w:tabs>
                <w:tab w:val="left" w:pos="993"/>
              </w:tabs>
              <w:spacing w:line="276" w:lineRule="auto"/>
              <w:jc w:val="center"/>
              <w:rPr>
                <w:rFonts w:eastAsia="Calibri"/>
                <w:color w:val="000000"/>
                <w:sz w:val="24"/>
                <w:szCs w:val="24"/>
                <w:lang w:val="en-US"/>
              </w:rPr>
            </w:pPr>
            <w:r w:rsidRPr="00FC0023">
              <w:rPr>
                <w:rFonts w:eastAsia="Calibri"/>
                <w:color w:val="000000"/>
                <w:sz w:val="24"/>
                <w:szCs w:val="24"/>
                <w:lang w:val="en-US"/>
              </w:rPr>
              <w:t>214,61</w:t>
            </w:r>
          </w:p>
        </w:tc>
        <w:tc>
          <w:tcPr>
            <w:tcW w:w="0" w:type="auto"/>
          </w:tcPr>
          <w:p w:rsidR="006B6A3E" w:rsidRPr="00FC0023" w:rsidRDefault="006B6A3E" w:rsidP="00FC0023">
            <w:pPr>
              <w:tabs>
                <w:tab w:val="left" w:pos="993"/>
              </w:tabs>
              <w:spacing w:line="276" w:lineRule="auto"/>
              <w:jc w:val="center"/>
              <w:rPr>
                <w:rFonts w:eastAsia="Calibri"/>
                <w:color w:val="000000"/>
                <w:sz w:val="24"/>
                <w:szCs w:val="24"/>
                <w:lang w:val="en-US"/>
              </w:rPr>
            </w:pPr>
            <w:r w:rsidRPr="00FC0023">
              <w:rPr>
                <w:rFonts w:eastAsia="Calibri"/>
                <w:color w:val="000000"/>
                <w:sz w:val="24"/>
                <w:szCs w:val="24"/>
                <w:lang w:val="en-US"/>
              </w:rPr>
              <w:t>193,50</w:t>
            </w:r>
          </w:p>
        </w:tc>
        <w:tc>
          <w:tcPr>
            <w:tcW w:w="0" w:type="auto"/>
          </w:tcPr>
          <w:p w:rsidR="006B6A3E" w:rsidRPr="00FC0023" w:rsidRDefault="006B6A3E" w:rsidP="00FC0023">
            <w:pPr>
              <w:tabs>
                <w:tab w:val="left" w:pos="993"/>
              </w:tabs>
              <w:spacing w:line="276" w:lineRule="auto"/>
              <w:jc w:val="center"/>
              <w:rPr>
                <w:rFonts w:eastAsia="Calibri"/>
                <w:color w:val="000000"/>
                <w:sz w:val="24"/>
                <w:szCs w:val="24"/>
                <w:lang w:val="en-US"/>
              </w:rPr>
            </w:pPr>
            <w:r w:rsidRPr="00FC0023">
              <w:rPr>
                <w:rFonts w:eastAsia="Calibri"/>
                <w:color w:val="000000"/>
                <w:sz w:val="24"/>
                <w:szCs w:val="24"/>
                <w:lang w:val="en-US"/>
              </w:rPr>
              <w:t>720,88</w:t>
            </w:r>
          </w:p>
        </w:tc>
        <w:tc>
          <w:tcPr>
            <w:tcW w:w="0" w:type="auto"/>
          </w:tcPr>
          <w:p w:rsidR="006B6A3E" w:rsidRPr="00FC0023" w:rsidRDefault="006B6A3E" w:rsidP="00FC0023">
            <w:pPr>
              <w:tabs>
                <w:tab w:val="left" w:pos="993"/>
              </w:tabs>
              <w:spacing w:line="276" w:lineRule="auto"/>
              <w:jc w:val="center"/>
              <w:rPr>
                <w:rFonts w:eastAsia="Calibri"/>
                <w:color w:val="000000"/>
                <w:sz w:val="24"/>
                <w:szCs w:val="24"/>
                <w:lang w:val="en-US"/>
              </w:rPr>
            </w:pPr>
            <w:r w:rsidRPr="00FC0023">
              <w:rPr>
                <w:rFonts w:eastAsia="Calibri"/>
                <w:color w:val="000000"/>
                <w:sz w:val="24"/>
                <w:szCs w:val="24"/>
                <w:lang w:val="en-US"/>
              </w:rPr>
              <w:t>630,57</w:t>
            </w:r>
          </w:p>
        </w:tc>
        <w:tc>
          <w:tcPr>
            <w:tcW w:w="0" w:type="auto"/>
            <w:vAlign w:val="center"/>
          </w:tcPr>
          <w:p w:rsidR="006B6A3E" w:rsidRPr="00FC0023" w:rsidRDefault="006B6A3E" w:rsidP="00FC0023">
            <w:pPr>
              <w:tabs>
                <w:tab w:val="left" w:pos="993"/>
              </w:tabs>
              <w:spacing w:line="276" w:lineRule="auto"/>
              <w:jc w:val="center"/>
              <w:rPr>
                <w:rFonts w:eastAsia="Calibri"/>
                <w:bCs/>
                <w:color w:val="000000"/>
                <w:sz w:val="24"/>
                <w:szCs w:val="24"/>
                <w:lang w:val="en-US"/>
              </w:rPr>
            </w:pPr>
            <w:r w:rsidRPr="00FC0023">
              <w:rPr>
                <w:rFonts w:eastAsia="Calibri"/>
                <w:bCs/>
                <w:color w:val="000000"/>
                <w:sz w:val="24"/>
                <w:szCs w:val="24"/>
                <w:lang w:val="en-US"/>
              </w:rPr>
              <w:t>13,43</w:t>
            </w:r>
          </w:p>
        </w:tc>
        <w:tc>
          <w:tcPr>
            <w:tcW w:w="0" w:type="auto"/>
            <w:vAlign w:val="center"/>
          </w:tcPr>
          <w:p w:rsidR="006B6A3E" w:rsidRPr="00FC0023" w:rsidRDefault="006B6A3E" w:rsidP="00FC0023">
            <w:pPr>
              <w:tabs>
                <w:tab w:val="left" w:pos="993"/>
              </w:tabs>
              <w:spacing w:line="276" w:lineRule="auto"/>
              <w:jc w:val="center"/>
              <w:rPr>
                <w:rFonts w:eastAsia="Calibri"/>
                <w:color w:val="000000"/>
                <w:sz w:val="24"/>
                <w:szCs w:val="24"/>
              </w:rPr>
            </w:pPr>
            <w:r w:rsidRPr="00FC0023">
              <w:rPr>
                <w:rFonts w:eastAsia="Calibri"/>
                <w:color w:val="000000"/>
                <w:sz w:val="24"/>
                <w:szCs w:val="24"/>
              </w:rPr>
              <w:t>1:</w:t>
            </w:r>
            <w:r w:rsidRPr="00FC0023">
              <w:rPr>
                <w:rFonts w:eastAsia="Calibri"/>
                <w:color w:val="000000"/>
                <w:sz w:val="24"/>
                <w:szCs w:val="24"/>
                <w:lang w:val="en-US"/>
              </w:rPr>
              <w:t>14</w:t>
            </w:r>
          </w:p>
        </w:tc>
      </w:tr>
      <w:tr w:rsidR="006B6A3E" w:rsidRPr="00FC0023" w:rsidTr="006E3A91">
        <w:trPr>
          <w:trHeight w:val="225"/>
        </w:trPr>
        <w:tc>
          <w:tcPr>
            <w:tcW w:w="0" w:type="auto"/>
            <w:shd w:val="clear" w:color="auto" w:fill="auto"/>
            <w:hideMark/>
          </w:tcPr>
          <w:p w:rsidR="006B6A3E" w:rsidRPr="00FC0023" w:rsidRDefault="006B6A3E" w:rsidP="00FC0023">
            <w:pPr>
              <w:tabs>
                <w:tab w:val="left" w:pos="993"/>
              </w:tabs>
              <w:spacing w:line="276" w:lineRule="auto"/>
              <w:jc w:val="left"/>
              <w:rPr>
                <w:rFonts w:eastAsia="Calibri"/>
                <w:color w:val="000000"/>
                <w:sz w:val="24"/>
                <w:szCs w:val="24"/>
                <w:lang w:val="en-US"/>
              </w:rPr>
            </w:pPr>
            <w:r w:rsidRPr="00FC0023">
              <w:rPr>
                <w:rFonts w:eastAsia="Calibri"/>
                <w:color w:val="000000"/>
                <w:sz w:val="24"/>
                <w:szCs w:val="24"/>
                <w:lang w:val="en-US"/>
              </w:rPr>
              <w:t>Полтавська</w:t>
            </w:r>
          </w:p>
        </w:tc>
        <w:tc>
          <w:tcPr>
            <w:tcW w:w="0" w:type="auto"/>
          </w:tcPr>
          <w:p w:rsidR="006B6A3E" w:rsidRPr="00FC0023" w:rsidRDefault="006B6A3E" w:rsidP="00FC0023">
            <w:pPr>
              <w:tabs>
                <w:tab w:val="left" w:pos="993"/>
              </w:tabs>
              <w:spacing w:line="276" w:lineRule="auto"/>
              <w:jc w:val="center"/>
              <w:rPr>
                <w:rFonts w:eastAsia="Calibri"/>
                <w:color w:val="000000"/>
                <w:sz w:val="24"/>
                <w:szCs w:val="24"/>
                <w:lang w:val="en-US"/>
              </w:rPr>
            </w:pPr>
            <w:r w:rsidRPr="00FC0023">
              <w:rPr>
                <w:rFonts w:eastAsia="Calibri"/>
                <w:color w:val="000000"/>
                <w:sz w:val="24"/>
                <w:szCs w:val="24"/>
                <w:lang w:val="en-US"/>
              </w:rPr>
              <w:t>243,99</w:t>
            </w:r>
          </w:p>
        </w:tc>
        <w:tc>
          <w:tcPr>
            <w:tcW w:w="0" w:type="auto"/>
          </w:tcPr>
          <w:p w:rsidR="006B6A3E" w:rsidRPr="00FC0023" w:rsidRDefault="006B6A3E" w:rsidP="00FC0023">
            <w:pPr>
              <w:tabs>
                <w:tab w:val="left" w:pos="993"/>
              </w:tabs>
              <w:spacing w:line="276" w:lineRule="auto"/>
              <w:jc w:val="center"/>
              <w:rPr>
                <w:rFonts w:eastAsia="Calibri"/>
                <w:color w:val="000000"/>
                <w:sz w:val="24"/>
                <w:szCs w:val="24"/>
                <w:lang w:val="en-US"/>
              </w:rPr>
            </w:pPr>
            <w:r w:rsidRPr="00FC0023">
              <w:rPr>
                <w:rFonts w:eastAsia="Calibri"/>
                <w:color w:val="000000"/>
                <w:sz w:val="24"/>
                <w:szCs w:val="24"/>
                <w:lang w:val="en-US"/>
              </w:rPr>
              <w:t>223,18</w:t>
            </w:r>
          </w:p>
        </w:tc>
        <w:tc>
          <w:tcPr>
            <w:tcW w:w="0" w:type="auto"/>
          </w:tcPr>
          <w:p w:rsidR="006B6A3E" w:rsidRPr="00FC0023" w:rsidRDefault="006B6A3E" w:rsidP="00FC0023">
            <w:pPr>
              <w:tabs>
                <w:tab w:val="left" w:pos="993"/>
              </w:tabs>
              <w:spacing w:line="276" w:lineRule="auto"/>
              <w:jc w:val="center"/>
              <w:rPr>
                <w:rFonts w:eastAsia="Calibri"/>
                <w:color w:val="000000"/>
                <w:sz w:val="24"/>
                <w:szCs w:val="24"/>
                <w:lang w:val="en-US"/>
              </w:rPr>
            </w:pPr>
            <w:r w:rsidRPr="00FC0023">
              <w:rPr>
                <w:rFonts w:eastAsia="Calibri"/>
                <w:color w:val="000000"/>
                <w:sz w:val="24"/>
                <w:szCs w:val="24"/>
                <w:lang w:val="en-US"/>
              </w:rPr>
              <w:t>755,18</w:t>
            </w:r>
          </w:p>
        </w:tc>
        <w:tc>
          <w:tcPr>
            <w:tcW w:w="0" w:type="auto"/>
          </w:tcPr>
          <w:p w:rsidR="006B6A3E" w:rsidRPr="00FC0023" w:rsidRDefault="006B6A3E" w:rsidP="00FC0023">
            <w:pPr>
              <w:tabs>
                <w:tab w:val="left" w:pos="993"/>
              </w:tabs>
              <w:spacing w:line="276" w:lineRule="auto"/>
              <w:jc w:val="center"/>
              <w:rPr>
                <w:rFonts w:eastAsia="Calibri"/>
                <w:color w:val="000000"/>
                <w:sz w:val="24"/>
                <w:szCs w:val="24"/>
                <w:lang w:val="en-US"/>
              </w:rPr>
            </w:pPr>
            <w:r w:rsidRPr="00FC0023">
              <w:rPr>
                <w:rFonts w:eastAsia="Calibri"/>
                <w:color w:val="000000"/>
                <w:sz w:val="24"/>
                <w:szCs w:val="24"/>
                <w:lang w:val="en-US"/>
              </w:rPr>
              <w:t>707,07</w:t>
            </w:r>
          </w:p>
        </w:tc>
        <w:tc>
          <w:tcPr>
            <w:tcW w:w="0" w:type="auto"/>
            <w:vAlign w:val="center"/>
          </w:tcPr>
          <w:p w:rsidR="006B6A3E" w:rsidRPr="00FC0023" w:rsidRDefault="006B6A3E" w:rsidP="00FC0023">
            <w:pPr>
              <w:tabs>
                <w:tab w:val="left" w:pos="993"/>
              </w:tabs>
              <w:spacing w:line="276" w:lineRule="auto"/>
              <w:jc w:val="center"/>
              <w:rPr>
                <w:rFonts w:eastAsia="Calibri"/>
                <w:bCs/>
                <w:color w:val="000000"/>
                <w:sz w:val="24"/>
                <w:szCs w:val="24"/>
                <w:lang w:val="en-US"/>
              </w:rPr>
            </w:pPr>
            <w:r w:rsidRPr="00FC0023">
              <w:rPr>
                <w:rFonts w:eastAsia="Calibri"/>
                <w:bCs/>
                <w:color w:val="000000"/>
                <w:sz w:val="24"/>
                <w:szCs w:val="24"/>
                <w:lang w:val="en-US"/>
              </w:rPr>
              <w:t>15,91</w:t>
            </w:r>
          </w:p>
        </w:tc>
        <w:tc>
          <w:tcPr>
            <w:tcW w:w="0" w:type="auto"/>
            <w:vAlign w:val="center"/>
          </w:tcPr>
          <w:p w:rsidR="006B6A3E" w:rsidRPr="00FC0023" w:rsidRDefault="006B6A3E" w:rsidP="00FC0023">
            <w:pPr>
              <w:tabs>
                <w:tab w:val="left" w:pos="993"/>
              </w:tabs>
              <w:spacing w:line="276" w:lineRule="auto"/>
              <w:jc w:val="center"/>
              <w:rPr>
                <w:rFonts w:eastAsia="Calibri"/>
                <w:color w:val="000000"/>
                <w:sz w:val="24"/>
                <w:szCs w:val="24"/>
              </w:rPr>
            </w:pPr>
            <w:r w:rsidRPr="00FC0023">
              <w:rPr>
                <w:rFonts w:eastAsia="Calibri"/>
                <w:color w:val="000000"/>
                <w:sz w:val="24"/>
                <w:szCs w:val="24"/>
              </w:rPr>
              <w:t>1:</w:t>
            </w:r>
            <w:r w:rsidRPr="00FC0023">
              <w:rPr>
                <w:rFonts w:eastAsia="Calibri"/>
                <w:color w:val="000000"/>
                <w:sz w:val="24"/>
                <w:szCs w:val="24"/>
                <w:lang w:val="en-US"/>
              </w:rPr>
              <w:t>14</w:t>
            </w:r>
          </w:p>
        </w:tc>
      </w:tr>
      <w:tr w:rsidR="006B6A3E" w:rsidRPr="00FC0023" w:rsidTr="006E3A91">
        <w:trPr>
          <w:trHeight w:val="225"/>
        </w:trPr>
        <w:tc>
          <w:tcPr>
            <w:tcW w:w="0" w:type="auto"/>
            <w:shd w:val="clear" w:color="auto" w:fill="auto"/>
            <w:hideMark/>
          </w:tcPr>
          <w:p w:rsidR="006B6A3E" w:rsidRPr="00FC0023" w:rsidRDefault="006B6A3E" w:rsidP="00FC0023">
            <w:pPr>
              <w:tabs>
                <w:tab w:val="left" w:pos="993"/>
              </w:tabs>
              <w:spacing w:line="276" w:lineRule="auto"/>
              <w:jc w:val="left"/>
              <w:rPr>
                <w:rFonts w:eastAsia="Calibri"/>
                <w:color w:val="000000"/>
                <w:sz w:val="24"/>
                <w:szCs w:val="24"/>
                <w:lang w:val="en-US"/>
              </w:rPr>
            </w:pPr>
            <w:r w:rsidRPr="00FC0023">
              <w:rPr>
                <w:rFonts w:eastAsia="Calibri"/>
                <w:color w:val="000000"/>
                <w:sz w:val="24"/>
                <w:szCs w:val="24"/>
                <w:lang w:val="en-US"/>
              </w:rPr>
              <w:t>Рівненська</w:t>
            </w:r>
          </w:p>
        </w:tc>
        <w:tc>
          <w:tcPr>
            <w:tcW w:w="0" w:type="auto"/>
          </w:tcPr>
          <w:p w:rsidR="006B6A3E" w:rsidRPr="00FC0023" w:rsidRDefault="006B6A3E" w:rsidP="00FC0023">
            <w:pPr>
              <w:tabs>
                <w:tab w:val="left" w:pos="993"/>
              </w:tabs>
              <w:spacing w:line="276" w:lineRule="auto"/>
              <w:jc w:val="center"/>
              <w:rPr>
                <w:rFonts w:eastAsia="Calibri"/>
                <w:color w:val="000000"/>
                <w:sz w:val="24"/>
                <w:szCs w:val="24"/>
                <w:lang w:val="en-US"/>
              </w:rPr>
            </w:pPr>
            <w:r w:rsidRPr="00FC0023">
              <w:rPr>
                <w:rFonts w:eastAsia="Calibri"/>
                <w:color w:val="000000"/>
                <w:sz w:val="24"/>
                <w:szCs w:val="24"/>
                <w:lang w:val="en-US"/>
              </w:rPr>
              <w:t>200,51</w:t>
            </w:r>
          </w:p>
        </w:tc>
        <w:tc>
          <w:tcPr>
            <w:tcW w:w="0" w:type="auto"/>
          </w:tcPr>
          <w:p w:rsidR="006B6A3E" w:rsidRPr="00FC0023" w:rsidRDefault="006B6A3E" w:rsidP="00FC0023">
            <w:pPr>
              <w:tabs>
                <w:tab w:val="left" w:pos="993"/>
              </w:tabs>
              <w:spacing w:line="276" w:lineRule="auto"/>
              <w:jc w:val="center"/>
              <w:rPr>
                <w:rFonts w:eastAsia="Calibri"/>
                <w:color w:val="000000"/>
                <w:sz w:val="24"/>
                <w:szCs w:val="24"/>
                <w:lang w:val="en-US"/>
              </w:rPr>
            </w:pPr>
            <w:r w:rsidRPr="00FC0023">
              <w:rPr>
                <w:rFonts w:eastAsia="Calibri"/>
                <w:color w:val="000000"/>
                <w:sz w:val="24"/>
                <w:szCs w:val="24"/>
                <w:lang w:val="en-US"/>
              </w:rPr>
              <w:t>176,81</w:t>
            </w:r>
          </w:p>
        </w:tc>
        <w:tc>
          <w:tcPr>
            <w:tcW w:w="0" w:type="auto"/>
          </w:tcPr>
          <w:p w:rsidR="006B6A3E" w:rsidRPr="00FC0023" w:rsidRDefault="006B6A3E" w:rsidP="00FC0023">
            <w:pPr>
              <w:tabs>
                <w:tab w:val="left" w:pos="993"/>
              </w:tabs>
              <w:spacing w:line="276" w:lineRule="auto"/>
              <w:jc w:val="center"/>
              <w:rPr>
                <w:rFonts w:eastAsia="Calibri"/>
                <w:color w:val="000000"/>
                <w:sz w:val="24"/>
                <w:szCs w:val="24"/>
                <w:lang w:val="en-US"/>
              </w:rPr>
            </w:pPr>
            <w:r w:rsidRPr="00FC0023">
              <w:rPr>
                <w:rFonts w:eastAsia="Calibri"/>
                <w:color w:val="000000"/>
                <w:sz w:val="24"/>
                <w:szCs w:val="24"/>
                <w:lang w:val="en-US"/>
              </w:rPr>
              <w:t>624,95</w:t>
            </w:r>
          </w:p>
        </w:tc>
        <w:tc>
          <w:tcPr>
            <w:tcW w:w="0" w:type="auto"/>
          </w:tcPr>
          <w:p w:rsidR="006B6A3E" w:rsidRPr="00FC0023" w:rsidRDefault="006B6A3E" w:rsidP="00FC0023">
            <w:pPr>
              <w:tabs>
                <w:tab w:val="left" w:pos="993"/>
              </w:tabs>
              <w:spacing w:line="276" w:lineRule="auto"/>
              <w:jc w:val="center"/>
              <w:rPr>
                <w:rFonts w:eastAsia="Calibri"/>
                <w:color w:val="000000"/>
                <w:sz w:val="24"/>
                <w:szCs w:val="24"/>
                <w:lang w:val="en-US"/>
              </w:rPr>
            </w:pPr>
            <w:r w:rsidRPr="00FC0023">
              <w:rPr>
                <w:rFonts w:eastAsia="Calibri"/>
                <w:color w:val="000000"/>
                <w:sz w:val="24"/>
                <w:szCs w:val="24"/>
                <w:lang w:val="en-US"/>
              </w:rPr>
              <w:t>502,49</w:t>
            </w:r>
          </w:p>
        </w:tc>
        <w:tc>
          <w:tcPr>
            <w:tcW w:w="0" w:type="auto"/>
            <w:vAlign w:val="center"/>
          </w:tcPr>
          <w:p w:rsidR="006B6A3E" w:rsidRPr="00FC0023" w:rsidRDefault="006B6A3E" w:rsidP="00FC0023">
            <w:pPr>
              <w:tabs>
                <w:tab w:val="left" w:pos="993"/>
              </w:tabs>
              <w:spacing w:line="276" w:lineRule="auto"/>
              <w:jc w:val="center"/>
              <w:rPr>
                <w:rFonts w:eastAsia="Calibri"/>
                <w:bCs/>
                <w:color w:val="000000"/>
                <w:sz w:val="24"/>
                <w:szCs w:val="24"/>
                <w:lang w:val="en-US"/>
              </w:rPr>
            </w:pPr>
            <w:r w:rsidRPr="00FC0023">
              <w:rPr>
                <w:rFonts w:eastAsia="Calibri"/>
                <w:bCs/>
                <w:color w:val="000000"/>
                <w:sz w:val="24"/>
                <w:szCs w:val="24"/>
                <w:lang w:val="en-US"/>
              </w:rPr>
              <w:t>33,92</w:t>
            </w:r>
          </w:p>
        </w:tc>
        <w:tc>
          <w:tcPr>
            <w:tcW w:w="0" w:type="auto"/>
            <w:vAlign w:val="center"/>
          </w:tcPr>
          <w:p w:rsidR="006B6A3E" w:rsidRPr="00FC0023" w:rsidRDefault="006B6A3E" w:rsidP="00FC0023">
            <w:pPr>
              <w:tabs>
                <w:tab w:val="left" w:pos="993"/>
              </w:tabs>
              <w:spacing w:line="276" w:lineRule="auto"/>
              <w:jc w:val="center"/>
              <w:rPr>
                <w:rFonts w:eastAsia="Calibri"/>
                <w:color w:val="000000"/>
                <w:sz w:val="24"/>
                <w:szCs w:val="24"/>
              </w:rPr>
            </w:pPr>
            <w:r w:rsidRPr="00FC0023">
              <w:rPr>
                <w:rFonts w:eastAsia="Calibri"/>
                <w:color w:val="000000"/>
                <w:sz w:val="24"/>
                <w:szCs w:val="24"/>
              </w:rPr>
              <w:t>1:</w:t>
            </w:r>
            <w:r w:rsidRPr="00FC0023">
              <w:rPr>
                <w:rFonts w:eastAsia="Calibri"/>
                <w:color w:val="000000"/>
                <w:sz w:val="24"/>
                <w:szCs w:val="24"/>
                <w:lang w:val="en-US"/>
              </w:rPr>
              <w:t>5</w:t>
            </w:r>
          </w:p>
        </w:tc>
      </w:tr>
      <w:tr w:rsidR="006B6A3E" w:rsidRPr="00FC0023" w:rsidTr="006E3A91">
        <w:trPr>
          <w:trHeight w:val="225"/>
        </w:trPr>
        <w:tc>
          <w:tcPr>
            <w:tcW w:w="0" w:type="auto"/>
            <w:shd w:val="clear" w:color="auto" w:fill="auto"/>
            <w:hideMark/>
          </w:tcPr>
          <w:p w:rsidR="006B6A3E" w:rsidRPr="00FC0023" w:rsidRDefault="006B6A3E" w:rsidP="00FC0023">
            <w:pPr>
              <w:tabs>
                <w:tab w:val="left" w:pos="993"/>
              </w:tabs>
              <w:spacing w:line="276" w:lineRule="auto"/>
              <w:jc w:val="left"/>
              <w:rPr>
                <w:rFonts w:eastAsia="Calibri"/>
                <w:color w:val="000000"/>
                <w:sz w:val="24"/>
                <w:szCs w:val="24"/>
                <w:lang w:val="en-US"/>
              </w:rPr>
            </w:pPr>
            <w:r w:rsidRPr="00FC0023">
              <w:rPr>
                <w:rFonts w:eastAsia="Calibri"/>
                <w:color w:val="000000"/>
                <w:sz w:val="24"/>
                <w:szCs w:val="24"/>
                <w:lang w:val="en-US"/>
              </w:rPr>
              <w:t>Сумська</w:t>
            </w:r>
          </w:p>
        </w:tc>
        <w:tc>
          <w:tcPr>
            <w:tcW w:w="0" w:type="auto"/>
          </w:tcPr>
          <w:p w:rsidR="006B6A3E" w:rsidRPr="00FC0023" w:rsidRDefault="006B6A3E" w:rsidP="00FC0023">
            <w:pPr>
              <w:tabs>
                <w:tab w:val="left" w:pos="993"/>
              </w:tabs>
              <w:spacing w:line="276" w:lineRule="auto"/>
              <w:jc w:val="center"/>
              <w:rPr>
                <w:rFonts w:eastAsia="Calibri"/>
                <w:color w:val="000000"/>
                <w:sz w:val="24"/>
                <w:szCs w:val="24"/>
                <w:lang w:val="en-US"/>
              </w:rPr>
            </w:pPr>
            <w:r w:rsidRPr="00FC0023">
              <w:rPr>
                <w:rFonts w:eastAsia="Calibri"/>
                <w:color w:val="000000"/>
                <w:sz w:val="24"/>
                <w:szCs w:val="24"/>
                <w:lang w:val="en-US"/>
              </w:rPr>
              <w:t>268,51</w:t>
            </w:r>
          </w:p>
        </w:tc>
        <w:tc>
          <w:tcPr>
            <w:tcW w:w="0" w:type="auto"/>
          </w:tcPr>
          <w:p w:rsidR="006B6A3E" w:rsidRPr="00FC0023" w:rsidRDefault="006B6A3E" w:rsidP="00FC0023">
            <w:pPr>
              <w:tabs>
                <w:tab w:val="left" w:pos="993"/>
              </w:tabs>
              <w:spacing w:line="276" w:lineRule="auto"/>
              <w:jc w:val="center"/>
              <w:rPr>
                <w:rFonts w:eastAsia="Calibri"/>
                <w:color w:val="000000"/>
                <w:sz w:val="24"/>
                <w:szCs w:val="24"/>
                <w:lang w:val="en-US"/>
              </w:rPr>
            </w:pPr>
            <w:r w:rsidRPr="00FC0023">
              <w:rPr>
                <w:rFonts w:eastAsia="Calibri"/>
                <w:color w:val="000000"/>
                <w:sz w:val="24"/>
                <w:szCs w:val="24"/>
                <w:lang w:val="en-US"/>
              </w:rPr>
              <w:t>255,72</w:t>
            </w:r>
          </w:p>
        </w:tc>
        <w:tc>
          <w:tcPr>
            <w:tcW w:w="0" w:type="auto"/>
          </w:tcPr>
          <w:p w:rsidR="006B6A3E" w:rsidRPr="00FC0023" w:rsidRDefault="006B6A3E" w:rsidP="00FC0023">
            <w:pPr>
              <w:tabs>
                <w:tab w:val="left" w:pos="993"/>
              </w:tabs>
              <w:spacing w:line="276" w:lineRule="auto"/>
              <w:jc w:val="center"/>
              <w:rPr>
                <w:rFonts w:eastAsia="Calibri"/>
                <w:color w:val="000000"/>
                <w:sz w:val="24"/>
                <w:szCs w:val="24"/>
                <w:lang w:val="en-US"/>
              </w:rPr>
            </w:pPr>
            <w:r w:rsidRPr="00FC0023">
              <w:rPr>
                <w:rFonts w:eastAsia="Calibri"/>
                <w:color w:val="000000"/>
                <w:sz w:val="24"/>
                <w:szCs w:val="24"/>
                <w:lang w:val="en-US"/>
              </w:rPr>
              <w:t>734,26</w:t>
            </w:r>
          </w:p>
        </w:tc>
        <w:tc>
          <w:tcPr>
            <w:tcW w:w="0" w:type="auto"/>
          </w:tcPr>
          <w:p w:rsidR="006B6A3E" w:rsidRPr="00FC0023" w:rsidRDefault="006B6A3E" w:rsidP="00FC0023">
            <w:pPr>
              <w:tabs>
                <w:tab w:val="left" w:pos="993"/>
              </w:tabs>
              <w:spacing w:line="276" w:lineRule="auto"/>
              <w:jc w:val="center"/>
              <w:rPr>
                <w:rFonts w:eastAsia="Calibri"/>
                <w:color w:val="000000"/>
                <w:sz w:val="24"/>
                <w:szCs w:val="24"/>
                <w:lang w:val="en-US"/>
              </w:rPr>
            </w:pPr>
            <w:r w:rsidRPr="00FC0023">
              <w:rPr>
                <w:rFonts w:eastAsia="Calibri"/>
                <w:color w:val="000000"/>
                <w:sz w:val="24"/>
                <w:szCs w:val="24"/>
                <w:lang w:val="en-US"/>
              </w:rPr>
              <w:t>662,14</w:t>
            </w:r>
          </w:p>
        </w:tc>
        <w:tc>
          <w:tcPr>
            <w:tcW w:w="0" w:type="auto"/>
            <w:vAlign w:val="center"/>
          </w:tcPr>
          <w:p w:rsidR="006B6A3E" w:rsidRPr="00FC0023" w:rsidRDefault="006B6A3E" w:rsidP="00FC0023">
            <w:pPr>
              <w:tabs>
                <w:tab w:val="left" w:pos="993"/>
              </w:tabs>
              <w:spacing w:line="276" w:lineRule="auto"/>
              <w:jc w:val="center"/>
              <w:rPr>
                <w:rFonts w:eastAsia="Calibri"/>
                <w:bCs/>
                <w:color w:val="000000"/>
                <w:sz w:val="24"/>
                <w:szCs w:val="24"/>
                <w:lang w:val="en-US"/>
              </w:rPr>
            </w:pPr>
            <w:r w:rsidRPr="00FC0023">
              <w:rPr>
                <w:rFonts w:eastAsia="Calibri"/>
                <w:bCs/>
                <w:color w:val="000000"/>
                <w:sz w:val="24"/>
                <w:szCs w:val="24"/>
                <w:lang w:val="en-US"/>
              </w:rPr>
              <w:t>21,85</w:t>
            </w:r>
          </w:p>
        </w:tc>
        <w:tc>
          <w:tcPr>
            <w:tcW w:w="0" w:type="auto"/>
            <w:vAlign w:val="center"/>
          </w:tcPr>
          <w:p w:rsidR="006B6A3E" w:rsidRPr="00FC0023" w:rsidRDefault="006B6A3E" w:rsidP="00FC0023">
            <w:pPr>
              <w:tabs>
                <w:tab w:val="left" w:pos="993"/>
              </w:tabs>
              <w:spacing w:line="276" w:lineRule="auto"/>
              <w:jc w:val="center"/>
              <w:rPr>
                <w:rFonts w:eastAsia="Calibri"/>
                <w:color w:val="000000"/>
                <w:sz w:val="24"/>
                <w:szCs w:val="24"/>
              </w:rPr>
            </w:pPr>
            <w:r w:rsidRPr="00FC0023">
              <w:rPr>
                <w:rFonts w:eastAsia="Calibri"/>
                <w:color w:val="000000"/>
                <w:sz w:val="24"/>
                <w:szCs w:val="24"/>
              </w:rPr>
              <w:t>1:12</w:t>
            </w:r>
          </w:p>
        </w:tc>
      </w:tr>
      <w:tr w:rsidR="006B6A3E" w:rsidRPr="00FC0023" w:rsidTr="006E3A91">
        <w:trPr>
          <w:trHeight w:val="225"/>
        </w:trPr>
        <w:tc>
          <w:tcPr>
            <w:tcW w:w="0" w:type="auto"/>
            <w:shd w:val="clear" w:color="auto" w:fill="auto"/>
            <w:hideMark/>
          </w:tcPr>
          <w:p w:rsidR="006B6A3E" w:rsidRPr="00FC0023" w:rsidRDefault="006B6A3E" w:rsidP="00FC0023">
            <w:pPr>
              <w:tabs>
                <w:tab w:val="left" w:pos="993"/>
              </w:tabs>
              <w:spacing w:line="276" w:lineRule="auto"/>
              <w:jc w:val="left"/>
              <w:rPr>
                <w:rFonts w:eastAsia="Calibri"/>
                <w:color w:val="000000"/>
                <w:sz w:val="24"/>
                <w:szCs w:val="24"/>
                <w:lang w:val="en-US"/>
              </w:rPr>
            </w:pPr>
            <w:r w:rsidRPr="00FC0023">
              <w:rPr>
                <w:rFonts w:eastAsia="Calibri"/>
                <w:color w:val="000000"/>
                <w:sz w:val="24"/>
                <w:szCs w:val="24"/>
                <w:lang w:val="en-US"/>
              </w:rPr>
              <w:t>Тернопільська</w:t>
            </w:r>
          </w:p>
        </w:tc>
        <w:tc>
          <w:tcPr>
            <w:tcW w:w="0" w:type="auto"/>
          </w:tcPr>
          <w:p w:rsidR="006B6A3E" w:rsidRPr="00FC0023" w:rsidRDefault="006B6A3E" w:rsidP="00FC0023">
            <w:pPr>
              <w:tabs>
                <w:tab w:val="left" w:pos="993"/>
              </w:tabs>
              <w:spacing w:line="276" w:lineRule="auto"/>
              <w:jc w:val="center"/>
              <w:rPr>
                <w:rFonts w:eastAsia="Calibri"/>
                <w:color w:val="000000"/>
                <w:sz w:val="24"/>
                <w:szCs w:val="24"/>
                <w:lang w:val="en-US"/>
              </w:rPr>
            </w:pPr>
            <w:r w:rsidRPr="00FC0023">
              <w:rPr>
                <w:rFonts w:eastAsia="Calibri"/>
                <w:color w:val="000000"/>
                <w:sz w:val="24"/>
                <w:szCs w:val="24"/>
                <w:lang w:val="en-US"/>
              </w:rPr>
              <w:t>226,77</w:t>
            </w:r>
          </w:p>
        </w:tc>
        <w:tc>
          <w:tcPr>
            <w:tcW w:w="0" w:type="auto"/>
          </w:tcPr>
          <w:p w:rsidR="006B6A3E" w:rsidRPr="00FC0023" w:rsidRDefault="006B6A3E" w:rsidP="00FC0023">
            <w:pPr>
              <w:tabs>
                <w:tab w:val="left" w:pos="993"/>
              </w:tabs>
              <w:spacing w:line="276" w:lineRule="auto"/>
              <w:jc w:val="center"/>
              <w:rPr>
                <w:rFonts w:eastAsia="Calibri"/>
                <w:color w:val="000000"/>
                <w:sz w:val="24"/>
                <w:szCs w:val="24"/>
                <w:lang w:val="en-US"/>
              </w:rPr>
            </w:pPr>
            <w:r w:rsidRPr="00FC0023">
              <w:rPr>
                <w:rFonts w:eastAsia="Calibri"/>
                <w:color w:val="000000"/>
                <w:sz w:val="24"/>
                <w:szCs w:val="24"/>
                <w:lang w:val="en-US"/>
              </w:rPr>
              <w:t>221,64</w:t>
            </w:r>
          </w:p>
        </w:tc>
        <w:tc>
          <w:tcPr>
            <w:tcW w:w="0" w:type="auto"/>
          </w:tcPr>
          <w:p w:rsidR="006B6A3E" w:rsidRPr="00FC0023" w:rsidRDefault="006B6A3E" w:rsidP="00FC0023">
            <w:pPr>
              <w:tabs>
                <w:tab w:val="left" w:pos="993"/>
              </w:tabs>
              <w:spacing w:line="276" w:lineRule="auto"/>
              <w:jc w:val="center"/>
              <w:rPr>
                <w:rFonts w:eastAsia="Calibri"/>
                <w:color w:val="000000"/>
                <w:sz w:val="24"/>
                <w:szCs w:val="24"/>
                <w:lang w:val="en-US"/>
              </w:rPr>
            </w:pPr>
            <w:r w:rsidRPr="00FC0023">
              <w:rPr>
                <w:rFonts w:eastAsia="Calibri"/>
                <w:color w:val="000000"/>
                <w:sz w:val="24"/>
                <w:szCs w:val="24"/>
                <w:lang w:val="en-US"/>
              </w:rPr>
              <w:t>504,60</w:t>
            </w:r>
          </w:p>
        </w:tc>
        <w:tc>
          <w:tcPr>
            <w:tcW w:w="0" w:type="auto"/>
          </w:tcPr>
          <w:p w:rsidR="006B6A3E" w:rsidRPr="00FC0023" w:rsidRDefault="006B6A3E" w:rsidP="00FC0023">
            <w:pPr>
              <w:tabs>
                <w:tab w:val="left" w:pos="993"/>
              </w:tabs>
              <w:spacing w:line="276" w:lineRule="auto"/>
              <w:jc w:val="center"/>
              <w:rPr>
                <w:rFonts w:eastAsia="Calibri"/>
                <w:color w:val="000000"/>
                <w:sz w:val="24"/>
                <w:szCs w:val="24"/>
                <w:lang w:val="en-US"/>
              </w:rPr>
            </w:pPr>
            <w:r w:rsidRPr="00FC0023">
              <w:rPr>
                <w:rFonts w:eastAsia="Calibri"/>
                <w:color w:val="000000"/>
                <w:sz w:val="24"/>
                <w:szCs w:val="24"/>
                <w:lang w:val="en-US"/>
              </w:rPr>
              <w:t>499,78</w:t>
            </w:r>
          </w:p>
        </w:tc>
        <w:tc>
          <w:tcPr>
            <w:tcW w:w="0" w:type="auto"/>
            <w:vAlign w:val="center"/>
          </w:tcPr>
          <w:p w:rsidR="006B6A3E" w:rsidRPr="00FC0023" w:rsidRDefault="006B6A3E" w:rsidP="00FC0023">
            <w:pPr>
              <w:tabs>
                <w:tab w:val="left" w:pos="993"/>
              </w:tabs>
              <w:spacing w:line="276" w:lineRule="auto"/>
              <w:jc w:val="center"/>
              <w:rPr>
                <w:rFonts w:eastAsia="Calibri"/>
                <w:bCs/>
                <w:color w:val="000000"/>
                <w:sz w:val="24"/>
                <w:szCs w:val="24"/>
                <w:lang w:val="en-US"/>
              </w:rPr>
            </w:pPr>
            <w:r w:rsidRPr="00FC0023">
              <w:rPr>
                <w:rFonts w:eastAsia="Calibri"/>
                <w:bCs/>
                <w:color w:val="000000"/>
                <w:sz w:val="24"/>
                <w:szCs w:val="24"/>
                <w:lang w:val="en-US"/>
              </w:rPr>
              <w:t>70,23</w:t>
            </w:r>
          </w:p>
        </w:tc>
        <w:tc>
          <w:tcPr>
            <w:tcW w:w="0" w:type="auto"/>
            <w:vAlign w:val="center"/>
          </w:tcPr>
          <w:p w:rsidR="006B6A3E" w:rsidRPr="00FC0023" w:rsidRDefault="006B6A3E" w:rsidP="00FC0023">
            <w:pPr>
              <w:tabs>
                <w:tab w:val="left" w:pos="993"/>
              </w:tabs>
              <w:spacing w:line="276" w:lineRule="auto"/>
              <w:jc w:val="center"/>
              <w:rPr>
                <w:rFonts w:eastAsia="Calibri"/>
                <w:color w:val="000000"/>
                <w:sz w:val="24"/>
                <w:szCs w:val="24"/>
              </w:rPr>
            </w:pPr>
            <w:r w:rsidRPr="00FC0023">
              <w:rPr>
                <w:rFonts w:eastAsia="Calibri"/>
                <w:color w:val="000000"/>
                <w:sz w:val="24"/>
                <w:szCs w:val="24"/>
              </w:rPr>
              <w:t>1:</w:t>
            </w:r>
            <w:r w:rsidRPr="00FC0023">
              <w:rPr>
                <w:rFonts w:eastAsia="Calibri"/>
                <w:color w:val="000000"/>
                <w:sz w:val="24"/>
                <w:szCs w:val="24"/>
                <w:lang w:val="en-US"/>
              </w:rPr>
              <w:t>3</w:t>
            </w:r>
          </w:p>
        </w:tc>
      </w:tr>
      <w:tr w:rsidR="006B6A3E" w:rsidRPr="00FC0023" w:rsidTr="006E3A91">
        <w:trPr>
          <w:trHeight w:val="225"/>
        </w:trPr>
        <w:tc>
          <w:tcPr>
            <w:tcW w:w="0" w:type="auto"/>
            <w:shd w:val="clear" w:color="auto" w:fill="auto"/>
            <w:hideMark/>
          </w:tcPr>
          <w:p w:rsidR="006B6A3E" w:rsidRPr="00FC0023" w:rsidRDefault="006B6A3E" w:rsidP="00FC0023">
            <w:pPr>
              <w:tabs>
                <w:tab w:val="left" w:pos="993"/>
              </w:tabs>
              <w:spacing w:line="276" w:lineRule="auto"/>
              <w:jc w:val="left"/>
              <w:rPr>
                <w:rFonts w:eastAsia="Calibri"/>
                <w:color w:val="000000"/>
                <w:sz w:val="24"/>
                <w:szCs w:val="24"/>
                <w:lang w:val="en-US"/>
              </w:rPr>
            </w:pPr>
            <w:r w:rsidRPr="00FC0023">
              <w:rPr>
                <w:rFonts w:eastAsia="Calibri"/>
                <w:color w:val="000000"/>
                <w:sz w:val="24"/>
                <w:szCs w:val="24"/>
                <w:lang w:val="en-US"/>
              </w:rPr>
              <w:t>Харківська</w:t>
            </w:r>
          </w:p>
        </w:tc>
        <w:tc>
          <w:tcPr>
            <w:tcW w:w="0" w:type="auto"/>
          </w:tcPr>
          <w:p w:rsidR="006B6A3E" w:rsidRPr="00FC0023" w:rsidRDefault="006B6A3E" w:rsidP="00FC0023">
            <w:pPr>
              <w:tabs>
                <w:tab w:val="left" w:pos="993"/>
              </w:tabs>
              <w:spacing w:line="276" w:lineRule="auto"/>
              <w:jc w:val="center"/>
              <w:rPr>
                <w:rFonts w:eastAsia="Calibri"/>
                <w:color w:val="000000"/>
                <w:sz w:val="24"/>
                <w:szCs w:val="24"/>
                <w:lang w:val="en-US"/>
              </w:rPr>
            </w:pPr>
            <w:r w:rsidRPr="00FC0023">
              <w:rPr>
                <w:rFonts w:eastAsia="Calibri"/>
                <w:color w:val="000000"/>
                <w:sz w:val="24"/>
                <w:szCs w:val="24"/>
                <w:lang w:val="en-US"/>
              </w:rPr>
              <w:t>281,04</w:t>
            </w:r>
          </w:p>
        </w:tc>
        <w:tc>
          <w:tcPr>
            <w:tcW w:w="0" w:type="auto"/>
          </w:tcPr>
          <w:p w:rsidR="006B6A3E" w:rsidRPr="00FC0023" w:rsidRDefault="006B6A3E" w:rsidP="00FC0023">
            <w:pPr>
              <w:tabs>
                <w:tab w:val="left" w:pos="993"/>
              </w:tabs>
              <w:spacing w:line="276" w:lineRule="auto"/>
              <w:jc w:val="center"/>
              <w:rPr>
                <w:rFonts w:eastAsia="Calibri"/>
                <w:color w:val="000000"/>
                <w:sz w:val="24"/>
                <w:szCs w:val="24"/>
                <w:lang w:val="en-US"/>
              </w:rPr>
            </w:pPr>
            <w:r w:rsidRPr="00FC0023">
              <w:rPr>
                <w:rFonts w:eastAsia="Calibri"/>
                <w:color w:val="000000"/>
                <w:sz w:val="24"/>
                <w:szCs w:val="24"/>
                <w:lang w:val="en-US"/>
              </w:rPr>
              <w:t>246,80</w:t>
            </w:r>
          </w:p>
        </w:tc>
        <w:tc>
          <w:tcPr>
            <w:tcW w:w="0" w:type="auto"/>
          </w:tcPr>
          <w:p w:rsidR="006B6A3E" w:rsidRPr="00FC0023" w:rsidRDefault="006B6A3E" w:rsidP="00FC0023">
            <w:pPr>
              <w:tabs>
                <w:tab w:val="left" w:pos="993"/>
              </w:tabs>
              <w:spacing w:line="276" w:lineRule="auto"/>
              <w:jc w:val="center"/>
              <w:rPr>
                <w:rFonts w:eastAsia="Calibri"/>
                <w:color w:val="000000"/>
                <w:sz w:val="24"/>
                <w:szCs w:val="24"/>
                <w:lang w:val="en-US"/>
              </w:rPr>
            </w:pPr>
            <w:r w:rsidRPr="00FC0023">
              <w:rPr>
                <w:rFonts w:eastAsia="Calibri"/>
                <w:color w:val="000000"/>
                <w:sz w:val="24"/>
                <w:szCs w:val="24"/>
                <w:lang w:val="en-US"/>
              </w:rPr>
              <w:t>738,86</w:t>
            </w:r>
          </w:p>
        </w:tc>
        <w:tc>
          <w:tcPr>
            <w:tcW w:w="0" w:type="auto"/>
          </w:tcPr>
          <w:p w:rsidR="006B6A3E" w:rsidRPr="00FC0023" w:rsidRDefault="006B6A3E" w:rsidP="00FC0023">
            <w:pPr>
              <w:tabs>
                <w:tab w:val="left" w:pos="993"/>
              </w:tabs>
              <w:spacing w:line="276" w:lineRule="auto"/>
              <w:jc w:val="center"/>
              <w:rPr>
                <w:rFonts w:eastAsia="Calibri"/>
                <w:color w:val="000000"/>
                <w:sz w:val="24"/>
                <w:szCs w:val="24"/>
                <w:lang w:val="en-US"/>
              </w:rPr>
            </w:pPr>
            <w:r w:rsidRPr="00FC0023">
              <w:rPr>
                <w:rFonts w:eastAsia="Calibri"/>
                <w:color w:val="000000"/>
                <w:sz w:val="24"/>
                <w:szCs w:val="24"/>
                <w:lang w:val="en-US"/>
              </w:rPr>
              <w:t>655,80</w:t>
            </w:r>
          </w:p>
        </w:tc>
        <w:tc>
          <w:tcPr>
            <w:tcW w:w="0" w:type="auto"/>
            <w:vAlign w:val="center"/>
          </w:tcPr>
          <w:p w:rsidR="006B6A3E" w:rsidRPr="00FC0023" w:rsidRDefault="006B6A3E" w:rsidP="00FC0023">
            <w:pPr>
              <w:tabs>
                <w:tab w:val="left" w:pos="993"/>
              </w:tabs>
              <w:spacing w:line="276" w:lineRule="auto"/>
              <w:jc w:val="center"/>
              <w:rPr>
                <w:rFonts w:eastAsia="Calibri"/>
                <w:bCs/>
                <w:color w:val="000000"/>
                <w:sz w:val="24"/>
                <w:szCs w:val="24"/>
                <w:lang w:val="en-US"/>
              </w:rPr>
            </w:pPr>
            <w:r w:rsidRPr="00FC0023">
              <w:rPr>
                <w:rFonts w:eastAsia="Calibri"/>
                <w:bCs/>
                <w:color w:val="000000"/>
                <w:sz w:val="24"/>
                <w:szCs w:val="24"/>
                <w:lang w:val="en-US"/>
              </w:rPr>
              <w:t>37,11</w:t>
            </w:r>
          </w:p>
        </w:tc>
        <w:tc>
          <w:tcPr>
            <w:tcW w:w="0" w:type="auto"/>
            <w:vAlign w:val="center"/>
          </w:tcPr>
          <w:p w:rsidR="006B6A3E" w:rsidRPr="00FC0023" w:rsidRDefault="006B6A3E" w:rsidP="00FC0023">
            <w:pPr>
              <w:tabs>
                <w:tab w:val="left" w:pos="993"/>
              </w:tabs>
              <w:spacing w:line="276" w:lineRule="auto"/>
              <w:jc w:val="center"/>
              <w:rPr>
                <w:rFonts w:eastAsia="Calibri"/>
                <w:color w:val="000000"/>
                <w:sz w:val="24"/>
                <w:szCs w:val="24"/>
              </w:rPr>
            </w:pPr>
            <w:r w:rsidRPr="00FC0023">
              <w:rPr>
                <w:rFonts w:eastAsia="Calibri"/>
                <w:color w:val="000000"/>
                <w:sz w:val="24"/>
                <w:szCs w:val="24"/>
              </w:rPr>
              <w:t>1:7</w:t>
            </w:r>
          </w:p>
        </w:tc>
      </w:tr>
      <w:tr w:rsidR="006B6A3E" w:rsidRPr="00FC0023" w:rsidTr="006E3A91">
        <w:trPr>
          <w:trHeight w:val="225"/>
        </w:trPr>
        <w:tc>
          <w:tcPr>
            <w:tcW w:w="0" w:type="auto"/>
            <w:shd w:val="clear" w:color="auto" w:fill="auto"/>
            <w:hideMark/>
          </w:tcPr>
          <w:p w:rsidR="006B6A3E" w:rsidRPr="00FC0023" w:rsidRDefault="006B6A3E" w:rsidP="00FC0023">
            <w:pPr>
              <w:tabs>
                <w:tab w:val="left" w:pos="993"/>
              </w:tabs>
              <w:spacing w:line="276" w:lineRule="auto"/>
              <w:jc w:val="left"/>
              <w:rPr>
                <w:rFonts w:eastAsia="Calibri"/>
                <w:color w:val="000000"/>
                <w:sz w:val="24"/>
                <w:szCs w:val="24"/>
                <w:lang w:val="en-US"/>
              </w:rPr>
            </w:pPr>
            <w:r w:rsidRPr="00FC0023">
              <w:rPr>
                <w:rFonts w:eastAsia="Calibri"/>
                <w:color w:val="000000"/>
                <w:sz w:val="24"/>
                <w:szCs w:val="24"/>
                <w:lang w:val="en-US"/>
              </w:rPr>
              <w:t>Херсонська</w:t>
            </w:r>
          </w:p>
        </w:tc>
        <w:tc>
          <w:tcPr>
            <w:tcW w:w="0" w:type="auto"/>
          </w:tcPr>
          <w:p w:rsidR="006B6A3E" w:rsidRPr="00FC0023" w:rsidRDefault="006B6A3E" w:rsidP="00FC0023">
            <w:pPr>
              <w:tabs>
                <w:tab w:val="left" w:pos="993"/>
              </w:tabs>
              <w:spacing w:line="276" w:lineRule="auto"/>
              <w:jc w:val="center"/>
              <w:rPr>
                <w:rFonts w:eastAsia="Calibri"/>
                <w:color w:val="000000"/>
                <w:sz w:val="24"/>
                <w:szCs w:val="24"/>
                <w:lang w:val="en-US"/>
              </w:rPr>
            </w:pPr>
            <w:r w:rsidRPr="00FC0023">
              <w:rPr>
                <w:rFonts w:eastAsia="Calibri"/>
                <w:color w:val="000000"/>
                <w:sz w:val="24"/>
                <w:szCs w:val="24"/>
                <w:lang w:val="en-US"/>
              </w:rPr>
              <w:t>229,89</w:t>
            </w:r>
          </w:p>
        </w:tc>
        <w:tc>
          <w:tcPr>
            <w:tcW w:w="0" w:type="auto"/>
          </w:tcPr>
          <w:p w:rsidR="006B6A3E" w:rsidRPr="00FC0023" w:rsidRDefault="006B6A3E" w:rsidP="00FC0023">
            <w:pPr>
              <w:tabs>
                <w:tab w:val="left" w:pos="993"/>
              </w:tabs>
              <w:spacing w:line="276" w:lineRule="auto"/>
              <w:jc w:val="center"/>
              <w:rPr>
                <w:rFonts w:eastAsia="Calibri"/>
                <w:color w:val="000000"/>
                <w:sz w:val="24"/>
                <w:szCs w:val="24"/>
                <w:lang w:val="en-US"/>
              </w:rPr>
            </w:pPr>
            <w:r w:rsidRPr="00FC0023">
              <w:rPr>
                <w:rFonts w:eastAsia="Calibri"/>
                <w:color w:val="000000"/>
                <w:sz w:val="24"/>
                <w:szCs w:val="24"/>
                <w:lang w:val="en-US"/>
              </w:rPr>
              <w:t>205,54</w:t>
            </w:r>
          </w:p>
        </w:tc>
        <w:tc>
          <w:tcPr>
            <w:tcW w:w="0" w:type="auto"/>
          </w:tcPr>
          <w:p w:rsidR="006B6A3E" w:rsidRPr="00FC0023" w:rsidRDefault="006B6A3E" w:rsidP="00FC0023">
            <w:pPr>
              <w:tabs>
                <w:tab w:val="left" w:pos="993"/>
              </w:tabs>
              <w:spacing w:line="276" w:lineRule="auto"/>
              <w:jc w:val="center"/>
              <w:rPr>
                <w:rFonts w:eastAsia="Calibri"/>
                <w:color w:val="000000"/>
                <w:sz w:val="24"/>
                <w:szCs w:val="24"/>
                <w:lang w:val="en-US"/>
              </w:rPr>
            </w:pPr>
            <w:r w:rsidRPr="00FC0023">
              <w:rPr>
                <w:rFonts w:eastAsia="Calibri"/>
                <w:color w:val="000000"/>
                <w:sz w:val="24"/>
                <w:szCs w:val="24"/>
                <w:lang w:val="en-US"/>
              </w:rPr>
              <w:t>644,77</w:t>
            </w:r>
          </w:p>
        </w:tc>
        <w:tc>
          <w:tcPr>
            <w:tcW w:w="0" w:type="auto"/>
          </w:tcPr>
          <w:p w:rsidR="006B6A3E" w:rsidRPr="00FC0023" w:rsidRDefault="006B6A3E" w:rsidP="00FC0023">
            <w:pPr>
              <w:tabs>
                <w:tab w:val="left" w:pos="993"/>
              </w:tabs>
              <w:spacing w:line="276" w:lineRule="auto"/>
              <w:jc w:val="center"/>
              <w:rPr>
                <w:rFonts w:eastAsia="Calibri"/>
                <w:color w:val="000000"/>
                <w:sz w:val="24"/>
                <w:szCs w:val="24"/>
                <w:lang w:val="en-US"/>
              </w:rPr>
            </w:pPr>
            <w:r w:rsidRPr="00FC0023">
              <w:rPr>
                <w:rFonts w:eastAsia="Calibri"/>
                <w:color w:val="000000"/>
                <w:sz w:val="24"/>
                <w:szCs w:val="24"/>
                <w:lang w:val="en-US"/>
              </w:rPr>
              <w:t>598,91</w:t>
            </w:r>
          </w:p>
        </w:tc>
        <w:tc>
          <w:tcPr>
            <w:tcW w:w="0" w:type="auto"/>
            <w:vAlign w:val="center"/>
          </w:tcPr>
          <w:p w:rsidR="006B6A3E" w:rsidRPr="00FC0023" w:rsidRDefault="006B6A3E" w:rsidP="00FC0023">
            <w:pPr>
              <w:tabs>
                <w:tab w:val="left" w:pos="993"/>
              </w:tabs>
              <w:spacing w:line="276" w:lineRule="auto"/>
              <w:jc w:val="center"/>
              <w:rPr>
                <w:rFonts w:eastAsia="Calibri"/>
                <w:bCs/>
                <w:color w:val="000000"/>
                <w:sz w:val="24"/>
                <w:szCs w:val="24"/>
                <w:lang w:val="en-US"/>
              </w:rPr>
            </w:pPr>
            <w:r w:rsidRPr="00FC0023">
              <w:rPr>
                <w:rFonts w:eastAsia="Calibri"/>
                <w:bCs/>
                <w:color w:val="000000"/>
                <w:sz w:val="24"/>
                <w:szCs w:val="24"/>
                <w:lang w:val="en-US"/>
              </w:rPr>
              <w:t>39,76</w:t>
            </w:r>
          </w:p>
        </w:tc>
        <w:tc>
          <w:tcPr>
            <w:tcW w:w="0" w:type="auto"/>
            <w:vAlign w:val="center"/>
          </w:tcPr>
          <w:p w:rsidR="006B6A3E" w:rsidRPr="00FC0023" w:rsidRDefault="006B6A3E" w:rsidP="00FC0023">
            <w:pPr>
              <w:tabs>
                <w:tab w:val="left" w:pos="993"/>
              </w:tabs>
              <w:spacing w:line="276" w:lineRule="auto"/>
              <w:jc w:val="center"/>
              <w:rPr>
                <w:rFonts w:eastAsia="Calibri"/>
                <w:color w:val="000000"/>
                <w:sz w:val="24"/>
                <w:szCs w:val="24"/>
              </w:rPr>
            </w:pPr>
            <w:r w:rsidRPr="00FC0023">
              <w:rPr>
                <w:rFonts w:eastAsia="Calibri"/>
                <w:color w:val="000000"/>
                <w:sz w:val="24"/>
                <w:szCs w:val="24"/>
              </w:rPr>
              <w:t>1:5</w:t>
            </w:r>
          </w:p>
        </w:tc>
      </w:tr>
      <w:tr w:rsidR="006B6A3E" w:rsidRPr="00FC0023" w:rsidTr="006E3A91">
        <w:trPr>
          <w:trHeight w:val="225"/>
        </w:trPr>
        <w:tc>
          <w:tcPr>
            <w:tcW w:w="0" w:type="auto"/>
            <w:shd w:val="clear" w:color="auto" w:fill="auto"/>
            <w:hideMark/>
          </w:tcPr>
          <w:p w:rsidR="006B6A3E" w:rsidRPr="00FC0023" w:rsidRDefault="006B6A3E" w:rsidP="00FC0023">
            <w:pPr>
              <w:tabs>
                <w:tab w:val="left" w:pos="993"/>
              </w:tabs>
              <w:spacing w:line="276" w:lineRule="auto"/>
              <w:jc w:val="left"/>
              <w:rPr>
                <w:rFonts w:eastAsia="Calibri"/>
                <w:color w:val="000000"/>
                <w:sz w:val="24"/>
                <w:szCs w:val="24"/>
                <w:lang w:val="en-US"/>
              </w:rPr>
            </w:pPr>
            <w:r w:rsidRPr="00FC0023">
              <w:rPr>
                <w:rFonts w:eastAsia="Calibri"/>
                <w:color w:val="000000"/>
                <w:sz w:val="24"/>
                <w:szCs w:val="24"/>
                <w:lang w:val="en-US"/>
              </w:rPr>
              <w:t>Хмельницька</w:t>
            </w:r>
          </w:p>
        </w:tc>
        <w:tc>
          <w:tcPr>
            <w:tcW w:w="0" w:type="auto"/>
          </w:tcPr>
          <w:p w:rsidR="006B6A3E" w:rsidRPr="00FC0023" w:rsidRDefault="006B6A3E" w:rsidP="00FC0023">
            <w:pPr>
              <w:tabs>
                <w:tab w:val="left" w:pos="993"/>
              </w:tabs>
              <w:spacing w:line="276" w:lineRule="auto"/>
              <w:jc w:val="center"/>
              <w:rPr>
                <w:rFonts w:eastAsia="Calibri"/>
                <w:color w:val="000000"/>
                <w:sz w:val="24"/>
                <w:szCs w:val="24"/>
                <w:lang w:val="en-US"/>
              </w:rPr>
            </w:pPr>
            <w:r w:rsidRPr="00FC0023">
              <w:rPr>
                <w:rFonts w:eastAsia="Calibri"/>
                <w:color w:val="000000"/>
                <w:sz w:val="24"/>
                <w:szCs w:val="24"/>
                <w:lang w:val="en-US"/>
              </w:rPr>
              <w:t>243,11</w:t>
            </w:r>
          </w:p>
        </w:tc>
        <w:tc>
          <w:tcPr>
            <w:tcW w:w="0" w:type="auto"/>
          </w:tcPr>
          <w:p w:rsidR="006B6A3E" w:rsidRPr="00FC0023" w:rsidRDefault="006B6A3E" w:rsidP="00FC0023">
            <w:pPr>
              <w:tabs>
                <w:tab w:val="left" w:pos="993"/>
              </w:tabs>
              <w:spacing w:line="276" w:lineRule="auto"/>
              <w:jc w:val="center"/>
              <w:rPr>
                <w:rFonts w:eastAsia="Calibri"/>
                <w:color w:val="000000"/>
                <w:sz w:val="24"/>
                <w:szCs w:val="24"/>
                <w:lang w:val="en-US"/>
              </w:rPr>
            </w:pPr>
            <w:r w:rsidRPr="00FC0023">
              <w:rPr>
                <w:rFonts w:eastAsia="Calibri"/>
                <w:color w:val="000000"/>
                <w:sz w:val="24"/>
                <w:szCs w:val="24"/>
                <w:lang w:val="en-US"/>
              </w:rPr>
              <w:t>224,77</w:t>
            </w:r>
          </w:p>
        </w:tc>
        <w:tc>
          <w:tcPr>
            <w:tcW w:w="0" w:type="auto"/>
          </w:tcPr>
          <w:p w:rsidR="006B6A3E" w:rsidRPr="00FC0023" w:rsidRDefault="006B6A3E" w:rsidP="00FC0023">
            <w:pPr>
              <w:tabs>
                <w:tab w:val="left" w:pos="993"/>
              </w:tabs>
              <w:spacing w:line="276" w:lineRule="auto"/>
              <w:jc w:val="center"/>
              <w:rPr>
                <w:rFonts w:eastAsia="Calibri"/>
                <w:color w:val="000000"/>
                <w:sz w:val="24"/>
                <w:szCs w:val="24"/>
                <w:lang w:val="en-US"/>
              </w:rPr>
            </w:pPr>
            <w:r w:rsidRPr="00FC0023">
              <w:rPr>
                <w:rFonts w:eastAsia="Calibri"/>
                <w:color w:val="000000"/>
                <w:sz w:val="24"/>
                <w:szCs w:val="24"/>
                <w:lang w:val="en-US"/>
              </w:rPr>
              <w:t>744,93</w:t>
            </w:r>
          </w:p>
        </w:tc>
        <w:tc>
          <w:tcPr>
            <w:tcW w:w="0" w:type="auto"/>
          </w:tcPr>
          <w:p w:rsidR="006B6A3E" w:rsidRPr="00FC0023" w:rsidRDefault="006B6A3E" w:rsidP="00FC0023">
            <w:pPr>
              <w:tabs>
                <w:tab w:val="left" w:pos="993"/>
              </w:tabs>
              <w:spacing w:line="276" w:lineRule="auto"/>
              <w:jc w:val="center"/>
              <w:rPr>
                <w:rFonts w:eastAsia="Calibri"/>
                <w:color w:val="000000"/>
                <w:sz w:val="24"/>
                <w:szCs w:val="24"/>
                <w:lang w:val="en-US"/>
              </w:rPr>
            </w:pPr>
            <w:r w:rsidRPr="00FC0023">
              <w:rPr>
                <w:rFonts w:eastAsia="Calibri"/>
                <w:color w:val="000000"/>
                <w:sz w:val="24"/>
                <w:szCs w:val="24"/>
                <w:lang w:val="en-US"/>
              </w:rPr>
              <w:t>712,23</w:t>
            </w:r>
          </w:p>
        </w:tc>
        <w:tc>
          <w:tcPr>
            <w:tcW w:w="0" w:type="auto"/>
            <w:vAlign w:val="center"/>
          </w:tcPr>
          <w:p w:rsidR="006B6A3E" w:rsidRPr="00FC0023" w:rsidRDefault="006B6A3E" w:rsidP="00FC0023">
            <w:pPr>
              <w:tabs>
                <w:tab w:val="left" w:pos="993"/>
              </w:tabs>
              <w:spacing w:line="276" w:lineRule="auto"/>
              <w:jc w:val="center"/>
              <w:rPr>
                <w:rFonts w:eastAsia="Calibri"/>
                <w:bCs/>
                <w:color w:val="000000"/>
                <w:sz w:val="24"/>
                <w:szCs w:val="24"/>
                <w:lang w:val="en-US"/>
              </w:rPr>
            </w:pPr>
            <w:r w:rsidRPr="00FC0023">
              <w:rPr>
                <w:rFonts w:eastAsia="Calibri"/>
                <w:bCs/>
                <w:color w:val="000000"/>
                <w:sz w:val="24"/>
                <w:szCs w:val="24"/>
                <w:lang w:val="en-US"/>
              </w:rPr>
              <w:t>39,17</w:t>
            </w:r>
          </w:p>
        </w:tc>
        <w:tc>
          <w:tcPr>
            <w:tcW w:w="0" w:type="auto"/>
            <w:vAlign w:val="center"/>
          </w:tcPr>
          <w:p w:rsidR="006B6A3E" w:rsidRPr="00FC0023" w:rsidRDefault="006B6A3E" w:rsidP="00FC0023">
            <w:pPr>
              <w:tabs>
                <w:tab w:val="left" w:pos="993"/>
              </w:tabs>
              <w:spacing w:line="276" w:lineRule="auto"/>
              <w:jc w:val="center"/>
              <w:rPr>
                <w:rFonts w:eastAsia="Calibri"/>
                <w:color w:val="000000"/>
                <w:sz w:val="24"/>
                <w:szCs w:val="24"/>
              </w:rPr>
            </w:pPr>
            <w:r w:rsidRPr="00FC0023">
              <w:rPr>
                <w:rFonts w:eastAsia="Calibri"/>
                <w:color w:val="000000"/>
                <w:sz w:val="24"/>
                <w:szCs w:val="24"/>
              </w:rPr>
              <w:t>1:6</w:t>
            </w:r>
          </w:p>
        </w:tc>
      </w:tr>
      <w:tr w:rsidR="006B6A3E" w:rsidRPr="00FC0023" w:rsidTr="006E3A91">
        <w:trPr>
          <w:trHeight w:val="225"/>
        </w:trPr>
        <w:tc>
          <w:tcPr>
            <w:tcW w:w="0" w:type="auto"/>
            <w:shd w:val="clear" w:color="auto" w:fill="auto"/>
            <w:hideMark/>
          </w:tcPr>
          <w:p w:rsidR="006B6A3E" w:rsidRPr="00FC0023" w:rsidRDefault="006B6A3E" w:rsidP="00FC0023">
            <w:pPr>
              <w:tabs>
                <w:tab w:val="left" w:pos="993"/>
              </w:tabs>
              <w:spacing w:line="276" w:lineRule="auto"/>
              <w:jc w:val="left"/>
              <w:rPr>
                <w:rFonts w:eastAsia="Calibri"/>
                <w:color w:val="000000"/>
                <w:sz w:val="24"/>
                <w:szCs w:val="24"/>
                <w:lang w:val="en-US"/>
              </w:rPr>
            </w:pPr>
            <w:r w:rsidRPr="00FC0023">
              <w:rPr>
                <w:rFonts w:eastAsia="Calibri"/>
                <w:color w:val="000000"/>
                <w:sz w:val="24"/>
                <w:szCs w:val="24"/>
                <w:lang w:val="en-US"/>
              </w:rPr>
              <w:t>Черкаська</w:t>
            </w:r>
          </w:p>
        </w:tc>
        <w:tc>
          <w:tcPr>
            <w:tcW w:w="0" w:type="auto"/>
          </w:tcPr>
          <w:p w:rsidR="006B6A3E" w:rsidRPr="00FC0023" w:rsidRDefault="006B6A3E" w:rsidP="00FC0023">
            <w:pPr>
              <w:tabs>
                <w:tab w:val="left" w:pos="993"/>
              </w:tabs>
              <w:spacing w:line="276" w:lineRule="auto"/>
              <w:jc w:val="center"/>
              <w:rPr>
                <w:rFonts w:eastAsia="Calibri"/>
                <w:color w:val="000000"/>
                <w:sz w:val="24"/>
                <w:szCs w:val="24"/>
                <w:lang w:val="en-US"/>
              </w:rPr>
            </w:pPr>
            <w:r w:rsidRPr="00FC0023">
              <w:rPr>
                <w:rFonts w:eastAsia="Calibri"/>
                <w:color w:val="000000"/>
                <w:sz w:val="24"/>
                <w:szCs w:val="24"/>
                <w:lang w:val="en-US"/>
              </w:rPr>
              <w:t>273,26</w:t>
            </w:r>
          </w:p>
        </w:tc>
        <w:tc>
          <w:tcPr>
            <w:tcW w:w="0" w:type="auto"/>
          </w:tcPr>
          <w:p w:rsidR="006B6A3E" w:rsidRPr="00FC0023" w:rsidRDefault="006B6A3E" w:rsidP="00FC0023">
            <w:pPr>
              <w:tabs>
                <w:tab w:val="left" w:pos="993"/>
              </w:tabs>
              <w:spacing w:line="276" w:lineRule="auto"/>
              <w:jc w:val="center"/>
              <w:rPr>
                <w:rFonts w:eastAsia="Calibri"/>
                <w:color w:val="000000"/>
                <w:sz w:val="24"/>
                <w:szCs w:val="24"/>
                <w:lang w:val="en-US"/>
              </w:rPr>
            </w:pPr>
            <w:r w:rsidRPr="00FC0023">
              <w:rPr>
                <w:rFonts w:eastAsia="Calibri"/>
                <w:color w:val="000000"/>
                <w:sz w:val="24"/>
                <w:szCs w:val="24"/>
                <w:lang w:val="en-US"/>
              </w:rPr>
              <w:t>252,58</w:t>
            </w:r>
          </w:p>
        </w:tc>
        <w:tc>
          <w:tcPr>
            <w:tcW w:w="0" w:type="auto"/>
          </w:tcPr>
          <w:p w:rsidR="006B6A3E" w:rsidRPr="00FC0023" w:rsidRDefault="006B6A3E" w:rsidP="00FC0023">
            <w:pPr>
              <w:tabs>
                <w:tab w:val="left" w:pos="993"/>
              </w:tabs>
              <w:spacing w:line="276" w:lineRule="auto"/>
              <w:jc w:val="center"/>
              <w:rPr>
                <w:rFonts w:eastAsia="Calibri"/>
                <w:color w:val="000000"/>
                <w:sz w:val="24"/>
                <w:szCs w:val="24"/>
                <w:lang w:val="en-US"/>
              </w:rPr>
            </w:pPr>
            <w:r w:rsidRPr="00FC0023">
              <w:rPr>
                <w:rFonts w:eastAsia="Calibri"/>
                <w:color w:val="000000"/>
                <w:sz w:val="24"/>
                <w:szCs w:val="24"/>
                <w:lang w:val="en-US"/>
              </w:rPr>
              <w:t>870,45</w:t>
            </w:r>
          </w:p>
        </w:tc>
        <w:tc>
          <w:tcPr>
            <w:tcW w:w="0" w:type="auto"/>
          </w:tcPr>
          <w:p w:rsidR="006B6A3E" w:rsidRPr="00FC0023" w:rsidRDefault="006B6A3E" w:rsidP="00FC0023">
            <w:pPr>
              <w:tabs>
                <w:tab w:val="left" w:pos="993"/>
              </w:tabs>
              <w:spacing w:line="276" w:lineRule="auto"/>
              <w:jc w:val="center"/>
              <w:rPr>
                <w:rFonts w:eastAsia="Calibri"/>
                <w:color w:val="000000"/>
                <w:sz w:val="24"/>
                <w:szCs w:val="24"/>
                <w:lang w:val="en-US"/>
              </w:rPr>
            </w:pPr>
            <w:r w:rsidRPr="00FC0023">
              <w:rPr>
                <w:rFonts w:eastAsia="Calibri"/>
                <w:color w:val="000000"/>
                <w:sz w:val="24"/>
                <w:szCs w:val="24"/>
                <w:lang w:val="en-US"/>
              </w:rPr>
              <w:t>752,25</w:t>
            </w:r>
          </w:p>
        </w:tc>
        <w:tc>
          <w:tcPr>
            <w:tcW w:w="0" w:type="auto"/>
            <w:vAlign w:val="center"/>
          </w:tcPr>
          <w:p w:rsidR="006B6A3E" w:rsidRPr="00FC0023" w:rsidRDefault="006B6A3E" w:rsidP="00FC0023">
            <w:pPr>
              <w:tabs>
                <w:tab w:val="left" w:pos="993"/>
              </w:tabs>
              <w:spacing w:line="276" w:lineRule="auto"/>
              <w:jc w:val="center"/>
              <w:rPr>
                <w:rFonts w:eastAsia="Calibri"/>
                <w:bCs/>
                <w:color w:val="000000"/>
                <w:sz w:val="24"/>
                <w:szCs w:val="24"/>
                <w:lang w:val="en-US"/>
              </w:rPr>
            </w:pPr>
            <w:r w:rsidRPr="00FC0023">
              <w:rPr>
                <w:rFonts w:eastAsia="Calibri"/>
                <w:bCs/>
                <w:color w:val="000000"/>
                <w:sz w:val="24"/>
                <w:szCs w:val="24"/>
                <w:lang w:val="en-US"/>
              </w:rPr>
              <w:t>24,33</w:t>
            </w:r>
          </w:p>
        </w:tc>
        <w:tc>
          <w:tcPr>
            <w:tcW w:w="0" w:type="auto"/>
            <w:vAlign w:val="center"/>
          </w:tcPr>
          <w:p w:rsidR="006B6A3E" w:rsidRPr="00FC0023" w:rsidRDefault="006B6A3E" w:rsidP="00FC0023">
            <w:pPr>
              <w:tabs>
                <w:tab w:val="left" w:pos="993"/>
              </w:tabs>
              <w:spacing w:line="276" w:lineRule="auto"/>
              <w:jc w:val="center"/>
              <w:rPr>
                <w:rFonts w:eastAsia="Calibri"/>
                <w:color w:val="000000"/>
                <w:sz w:val="24"/>
                <w:szCs w:val="24"/>
              </w:rPr>
            </w:pPr>
            <w:r w:rsidRPr="00FC0023">
              <w:rPr>
                <w:rFonts w:eastAsia="Calibri"/>
                <w:color w:val="000000"/>
                <w:sz w:val="24"/>
                <w:szCs w:val="24"/>
              </w:rPr>
              <w:t>1:</w:t>
            </w:r>
            <w:r w:rsidRPr="00FC0023">
              <w:rPr>
                <w:rFonts w:eastAsia="Calibri"/>
                <w:color w:val="000000"/>
                <w:sz w:val="24"/>
                <w:szCs w:val="24"/>
                <w:lang w:val="en-US"/>
              </w:rPr>
              <w:t>10</w:t>
            </w:r>
          </w:p>
        </w:tc>
      </w:tr>
      <w:tr w:rsidR="006B6A3E" w:rsidRPr="00FC0023" w:rsidTr="006E3A91">
        <w:trPr>
          <w:trHeight w:val="225"/>
        </w:trPr>
        <w:tc>
          <w:tcPr>
            <w:tcW w:w="0" w:type="auto"/>
            <w:shd w:val="clear" w:color="auto" w:fill="auto"/>
            <w:hideMark/>
          </w:tcPr>
          <w:p w:rsidR="006B6A3E" w:rsidRPr="00FC0023" w:rsidRDefault="006B6A3E" w:rsidP="00FC0023">
            <w:pPr>
              <w:tabs>
                <w:tab w:val="left" w:pos="993"/>
              </w:tabs>
              <w:spacing w:line="276" w:lineRule="auto"/>
              <w:jc w:val="left"/>
              <w:rPr>
                <w:rFonts w:eastAsia="Calibri"/>
                <w:color w:val="000000"/>
                <w:sz w:val="24"/>
                <w:szCs w:val="24"/>
                <w:lang w:val="en-US"/>
              </w:rPr>
            </w:pPr>
            <w:r w:rsidRPr="00FC0023">
              <w:rPr>
                <w:rFonts w:eastAsia="Calibri"/>
                <w:color w:val="000000"/>
                <w:sz w:val="24"/>
                <w:szCs w:val="24"/>
                <w:lang w:val="en-US"/>
              </w:rPr>
              <w:t>Чернівецька</w:t>
            </w:r>
          </w:p>
        </w:tc>
        <w:tc>
          <w:tcPr>
            <w:tcW w:w="0" w:type="auto"/>
          </w:tcPr>
          <w:p w:rsidR="006B6A3E" w:rsidRPr="00FC0023" w:rsidRDefault="006B6A3E" w:rsidP="00FC0023">
            <w:pPr>
              <w:tabs>
                <w:tab w:val="left" w:pos="993"/>
              </w:tabs>
              <w:spacing w:line="276" w:lineRule="auto"/>
              <w:jc w:val="center"/>
              <w:rPr>
                <w:rFonts w:eastAsia="Calibri"/>
                <w:color w:val="000000"/>
                <w:sz w:val="24"/>
                <w:szCs w:val="24"/>
                <w:lang w:val="en-US"/>
              </w:rPr>
            </w:pPr>
            <w:r w:rsidRPr="00FC0023">
              <w:rPr>
                <w:rFonts w:eastAsia="Calibri"/>
                <w:color w:val="000000"/>
                <w:sz w:val="24"/>
                <w:szCs w:val="24"/>
                <w:lang w:val="en-US"/>
              </w:rPr>
              <w:t>217,45</w:t>
            </w:r>
          </w:p>
        </w:tc>
        <w:tc>
          <w:tcPr>
            <w:tcW w:w="0" w:type="auto"/>
          </w:tcPr>
          <w:p w:rsidR="006B6A3E" w:rsidRPr="00FC0023" w:rsidRDefault="006B6A3E" w:rsidP="00FC0023">
            <w:pPr>
              <w:tabs>
                <w:tab w:val="left" w:pos="993"/>
              </w:tabs>
              <w:spacing w:line="276" w:lineRule="auto"/>
              <w:jc w:val="center"/>
              <w:rPr>
                <w:rFonts w:eastAsia="Calibri"/>
                <w:color w:val="000000"/>
                <w:sz w:val="24"/>
                <w:szCs w:val="24"/>
                <w:lang w:val="en-US"/>
              </w:rPr>
            </w:pPr>
            <w:r w:rsidRPr="00FC0023">
              <w:rPr>
                <w:rFonts w:eastAsia="Calibri"/>
                <w:color w:val="000000"/>
                <w:sz w:val="24"/>
                <w:szCs w:val="24"/>
                <w:lang w:val="en-US"/>
              </w:rPr>
              <w:t>193,19</w:t>
            </w:r>
          </w:p>
        </w:tc>
        <w:tc>
          <w:tcPr>
            <w:tcW w:w="0" w:type="auto"/>
          </w:tcPr>
          <w:p w:rsidR="006B6A3E" w:rsidRPr="00FC0023" w:rsidRDefault="006B6A3E" w:rsidP="00FC0023">
            <w:pPr>
              <w:tabs>
                <w:tab w:val="left" w:pos="993"/>
              </w:tabs>
              <w:spacing w:line="276" w:lineRule="auto"/>
              <w:jc w:val="center"/>
              <w:rPr>
                <w:rFonts w:eastAsia="Calibri"/>
                <w:color w:val="000000"/>
                <w:sz w:val="24"/>
                <w:szCs w:val="24"/>
                <w:lang w:val="en-US"/>
              </w:rPr>
            </w:pPr>
            <w:r w:rsidRPr="00FC0023">
              <w:rPr>
                <w:rFonts w:eastAsia="Calibri"/>
                <w:color w:val="000000"/>
                <w:sz w:val="24"/>
                <w:szCs w:val="24"/>
                <w:lang w:val="en-US"/>
              </w:rPr>
              <w:t>577,77</w:t>
            </w:r>
          </w:p>
        </w:tc>
        <w:tc>
          <w:tcPr>
            <w:tcW w:w="0" w:type="auto"/>
          </w:tcPr>
          <w:p w:rsidR="006B6A3E" w:rsidRPr="00FC0023" w:rsidRDefault="006B6A3E" w:rsidP="00FC0023">
            <w:pPr>
              <w:tabs>
                <w:tab w:val="left" w:pos="993"/>
              </w:tabs>
              <w:spacing w:line="276" w:lineRule="auto"/>
              <w:jc w:val="center"/>
              <w:rPr>
                <w:rFonts w:eastAsia="Calibri"/>
                <w:color w:val="000000"/>
                <w:sz w:val="24"/>
                <w:szCs w:val="24"/>
                <w:lang w:val="en-US"/>
              </w:rPr>
            </w:pPr>
            <w:r w:rsidRPr="00FC0023">
              <w:rPr>
                <w:rFonts w:eastAsia="Calibri"/>
                <w:color w:val="000000"/>
                <w:sz w:val="24"/>
                <w:szCs w:val="24"/>
                <w:lang w:val="en-US"/>
              </w:rPr>
              <w:t>530,01</w:t>
            </w:r>
          </w:p>
        </w:tc>
        <w:tc>
          <w:tcPr>
            <w:tcW w:w="0" w:type="auto"/>
            <w:vAlign w:val="center"/>
          </w:tcPr>
          <w:p w:rsidR="006B6A3E" w:rsidRPr="00FC0023" w:rsidRDefault="006B6A3E" w:rsidP="00FC0023">
            <w:pPr>
              <w:tabs>
                <w:tab w:val="left" w:pos="993"/>
              </w:tabs>
              <w:spacing w:line="276" w:lineRule="auto"/>
              <w:jc w:val="center"/>
              <w:rPr>
                <w:rFonts w:eastAsia="Calibri"/>
                <w:bCs/>
                <w:color w:val="000000"/>
                <w:sz w:val="24"/>
                <w:szCs w:val="24"/>
                <w:lang w:val="en-US"/>
              </w:rPr>
            </w:pPr>
            <w:r w:rsidRPr="00FC0023">
              <w:rPr>
                <w:rFonts w:eastAsia="Calibri"/>
                <w:bCs/>
                <w:color w:val="000000"/>
                <w:sz w:val="24"/>
                <w:szCs w:val="24"/>
                <w:lang w:val="en-US"/>
              </w:rPr>
              <w:t>59,52</w:t>
            </w:r>
          </w:p>
        </w:tc>
        <w:tc>
          <w:tcPr>
            <w:tcW w:w="0" w:type="auto"/>
            <w:vAlign w:val="center"/>
          </w:tcPr>
          <w:p w:rsidR="006B6A3E" w:rsidRPr="00FC0023" w:rsidRDefault="006B6A3E" w:rsidP="00FC0023">
            <w:pPr>
              <w:tabs>
                <w:tab w:val="left" w:pos="993"/>
              </w:tabs>
              <w:spacing w:line="276" w:lineRule="auto"/>
              <w:jc w:val="center"/>
              <w:rPr>
                <w:rFonts w:eastAsia="Calibri"/>
                <w:color w:val="000000"/>
                <w:sz w:val="24"/>
                <w:szCs w:val="24"/>
                <w:highlight w:val="yellow"/>
              </w:rPr>
            </w:pPr>
            <w:r w:rsidRPr="00FC0023">
              <w:rPr>
                <w:rFonts w:eastAsia="Calibri"/>
                <w:color w:val="000000"/>
                <w:sz w:val="24"/>
                <w:szCs w:val="24"/>
              </w:rPr>
              <w:t>1:</w:t>
            </w:r>
            <w:r w:rsidRPr="00FC0023">
              <w:rPr>
                <w:rFonts w:eastAsia="Calibri"/>
                <w:color w:val="000000"/>
                <w:sz w:val="24"/>
                <w:szCs w:val="24"/>
                <w:lang w:val="en-US"/>
              </w:rPr>
              <w:t>3</w:t>
            </w:r>
          </w:p>
        </w:tc>
      </w:tr>
      <w:tr w:rsidR="006B6A3E" w:rsidRPr="00FC0023" w:rsidTr="006E3A91">
        <w:trPr>
          <w:trHeight w:val="225"/>
        </w:trPr>
        <w:tc>
          <w:tcPr>
            <w:tcW w:w="0" w:type="auto"/>
            <w:shd w:val="clear" w:color="auto" w:fill="auto"/>
            <w:hideMark/>
          </w:tcPr>
          <w:p w:rsidR="006B6A3E" w:rsidRPr="00FC0023" w:rsidRDefault="006B6A3E" w:rsidP="00FC0023">
            <w:pPr>
              <w:tabs>
                <w:tab w:val="left" w:pos="993"/>
              </w:tabs>
              <w:spacing w:line="276" w:lineRule="auto"/>
              <w:jc w:val="left"/>
              <w:rPr>
                <w:rFonts w:eastAsia="Calibri"/>
                <w:color w:val="000000"/>
                <w:sz w:val="24"/>
                <w:szCs w:val="24"/>
                <w:lang w:val="en-US"/>
              </w:rPr>
            </w:pPr>
            <w:r w:rsidRPr="00FC0023">
              <w:rPr>
                <w:rFonts w:eastAsia="Calibri"/>
                <w:color w:val="000000"/>
                <w:sz w:val="24"/>
                <w:szCs w:val="24"/>
                <w:lang w:val="en-US"/>
              </w:rPr>
              <w:t>Чернігівська</w:t>
            </w:r>
          </w:p>
        </w:tc>
        <w:tc>
          <w:tcPr>
            <w:tcW w:w="0" w:type="auto"/>
          </w:tcPr>
          <w:p w:rsidR="006B6A3E" w:rsidRPr="00FC0023" w:rsidRDefault="006B6A3E" w:rsidP="00FC0023">
            <w:pPr>
              <w:tabs>
                <w:tab w:val="left" w:pos="993"/>
              </w:tabs>
              <w:spacing w:line="276" w:lineRule="auto"/>
              <w:jc w:val="center"/>
              <w:rPr>
                <w:rFonts w:eastAsia="Calibri"/>
                <w:color w:val="000000"/>
                <w:sz w:val="24"/>
                <w:szCs w:val="24"/>
                <w:lang w:val="en-US"/>
              </w:rPr>
            </w:pPr>
            <w:r w:rsidRPr="00FC0023">
              <w:rPr>
                <w:rFonts w:eastAsia="Calibri"/>
                <w:color w:val="000000"/>
                <w:sz w:val="24"/>
                <w:szCs w:val="24"/>
                <w:lang w:val="en-US"/>
              </w:rPr>
              <w:t>269,38</w:t>
            </w:r>
          </w:p>
        </w:tc>
        <w:tc>
          <w:tcPr>
            <w:tcW w:w="0" w:type="auto"/>
          </w:tcPr>
          <w:p w:rsidR="006B6A3E" w:rsidRPr="00FC0023" w:rsidRDefault="006B6A3E" w:rsidP="00FC0023">
            <w:pPr>
              <w:tabs>
                <w:tab w:val="left" w:pos="993"/>
              </w:tabs>
              <w:spacing w:line="276" w:lineRule="auto"/>
              <w:jc w:val="center"/>
              <w:rPr>
                <w:rFonts w:eastAsia="Calibri"/>
                <w:color w:val="000000"/>
                <w:sz w:val="24"/>
                <w:szCs w:val="24"/>
                <w:lang w:val="en-US"/>
              </w:rPr>
            </w:pPr>
            <w:r w:rsidRPr="00FC0023">
              <w:rPr>
                <w:rFonts w:eastAsia="Calibri"/>
                <w:color w:val="000000"/>
                <w:sz w:val="24"/>
                <w:szCs w:val="24"/>
                <w:lang w:val="en-US"/>
              </w:rPr>
              <w:t>241,86</w:t>
            </w:r>
          </w:p>
        </w:tc>
        <w:tc>
          <w:tcPr>
            <w:tcW w:w="0" w:type="auto"/>
          </w:tcPr>
          <w:p w:rsidR="006B6A3E" w:rsidRPr="00FC0023" w:rsidRDefault="006B6A3E" w:rsidP="00FC0023">
            <w:pPr>
              <w:tabs>
                <w:tab w:val="left" w:pos="993"/>
              </w:tabs>
              <w:spacing w:line="276" w:lineRule="auto"/>
              <w:jc w:val="center"/>
              <w:rPr>
                <w:rFonts w:eastAsia="Calibri"/>
                <w:color w:val="000000"/>
                <w:sz w:val="24"/>
                <w:szCs w:val="24"/>
                <w:lang w:val="en-US"/>
              </w:rPr>
            </w:pPr>
            <w:r w:rsidRPr="00FC0023">
              <w:rPr>
                <w:rFonts w:eastAsia="Calibri"/>
                <w:color w:val="000000"/>
                <w:sz w:val="24"/>
                <w:szCs w:val="24"/>
                <w:lang w:val="en-US"/>
              </w:rPr>
              <w:t>741,47</w:t>
            </w:r>
          </w:p>
        </w:tc>
        <w:tc>
          <w:tcPr>
            <w:tcW w:w="0" w:type="auto"/>
          </w:tcPr>
          <w:p w:rsidR="006B6A3E" w:rsidRPr="00FC0023" w:rsidRDefault="006B6A3E" w:rsidP="00FC0023">
            <w:pPr>
              <w:tabs>
                <w:tab w:val="left" w:pos="993"/>
              </w:tabs>
              <w:spacing w:line="276" w:lineRule="auto"/>
              <w:jc w:val="center"/>
              <w:rPr>
                <w:rFonts w:eastAsia="Calibri"/>
                <w:color w:val="000000"/>
                <w:sz w:val="24"/>
                <w:szCs w:val="24"/>
                <w:lang w:val="en-US"/>
              </w:rPr>
            </w:pPr>
            <w:r w:rsidRPr="00FC0023">
              <w:rPr>
                <w:rFonts w:eastAsia="Calibri"/>
                <w:color w:val="000000"/>
                <w:sz w:val="24"/>
                <w:szCs w:val="24"/>
                <w:lang w:val="en-US"/>
              </w:rPr>
              <w:t>673,47</w:t>
            </w:r>
          </w:p>
        </w:tc>
        <w:tc>
          <w:tcPr>
            <w:tcW w:w="0" w:type="auto"/>
            <w:vAlign w:val="center"/>
          </w:tcPr>
          <w:p w:rsidR="006B6A3E" w:rsidRPr="00FC0023" w:rsidRDefault="006B6A3E" w:rsidP="00FC0023">
            <w:pPr>
              <w:tabs>
                <w:tab w:val="left" w:pos="993"/>
              </w:tabs>
              <w:spacing w:line="276" w:lineRule="auto"/>
              <w:jc w:val="center"/>
              <w:rPr>
                <w:rFonts w:eastAsia="Calibri"/>
                <w:bCs/>
                <w:color w:val="000000"/>
                <w:sz w:val="24"/>
                <w:szCs w:val="24"/>
                <w:lang w:val="en-US"/>
              </w:rPr>
            </w:pPr>
            <w:r w:rsidRPr="00FC0023">
              <w:rPr>
                <w:rFonts w:eastAsia="Calibri"/>
                <w:bCs/>
                <w:color w:val="000000"/>
                <w:sz w:val="24"/>
                <w:szCs w:val="24"/>
                <w:lang w:val="en-US"/>
              </w:rPr>
              <w:t>64,84</w:t>
            </w:r>
          </w:p>
        </w:tc>
        <w:tc>
          <w:tcPr>
            <w:tcW w:w="0" w:type="auto"/>
            <w:vAlign w:val="center"/>
          </w:tcPr>
          <w:p w:rsidR="006B6A3E" w:rsidRPr="00FC0023" w:rsidRDefault="006B6A3E" w:rsidP="00FC0023">
            <w:pPr>
              <w:tabs>
                <w:tab w:val="left" w:pos="993"/>
              </w:tabs>
              <w:spacing w:line="276" w:lineRule="auto"/>
              <w:jc w:val="center"/>
              <w:rPr>
                <w:rFonts w:eastAsia="Calibri"/>
                <w:color w:val="000000"/>
                <w:sz w:val="24"/>
                <w:szCs w:val="24"/>
                <w:highlight w:val="yellow"/>
              </w:rPr>
            </w:pPr>
            <w:r w:rsidRPr="00FC0023">
              <w:rPr>
                <w:rFonts w:eastAsia="Calibri"/>
                <w:color w:val="000000"/>
                <w:sz w:val="24"/>
                <w:szCs w:val="24"/>
              </w:rPr>
              <w:t>1:4</w:t>
            </w:r>
          </w:p>
        </w:tc>
      </w:tr>
      <w:tr w:rsidR="006B6A3E" w:rsidRPr="00FC0023" w:rsidTr="006E3A91">
        <w:trPr>
          <w:trHeight w:val="225"/>
        </w:trPr>
        <w:tc>
          <w:tcPr>
            <w:tcW w:w="0" w:type="auto"/>
            <w:shd w:val="clear" w:color="auto" w:fill="auto"/>
            <w:hideMark/>
          </w:tcPr>
          <w:p w:rsidR="006B6A3E" w:rsidRPr="00FC0023" w:rsidRDefault="006B6A3E" w:rsidP="00FC0023">
            <w:pPr>
              <w:tabs>
                <w:tab w:val="left" w:pos="993"/>
              </w:tabs>
              <w:spacing w:line="276" w:lineRule="auto"/>
              <w:jc w:val="left"/>
              <w:rPr>
                <w:rFonts w:eastAsia="Calibri"/>
                <w:color w:val="000000"/>
                <w:sz w:val="24"/>
                <w:szCs w:val="24"/>
                <w:lang w:val="en-US"/>
              </w:rPr>
            </w:pPr>
            <w:r w:rsidRPr="00FC0023">
              <w:rPr>
                <w:rFonts w:eastAsia="Calibri"/>
                <w:color w:val="000000"/>
                <w:sz w:val="24"/>
                <w:szCs w:val="24"/>
                <w:lang w:val="en-US"/>
              </w:rPr>
              <w:t>м.Київ</w:t>
            </w:r>
          </w:p>
        </w:tc>
        <w:tc>
          <w:tcPr>
            <w:tcW w:w="0" w:type="auto"/>
          </w:tcPr>
          <w:p w:rsidR="006B6A3E" w:rsidRPr="00FC0023" w:rsidRDefault="006B6A3E" w:rsidP="00FC0023">
            <w:pPr>
              <w:tabs>
                <w:tab w:val="left" w:pos="993"/>
              </w:tabs>
              <w:spacing w:line="276" w:lineRule="auto"/>
              <w:jc w:val="center"/>
              <w:rPr>
                <w:rFonts w:eastAsia="Calibri"/>
                <w:color w:val="000000"/>
                <w:sz w:val="24"/>
                <w:szCs w:val="24"/>
                <w:lang w:val="en-US"/>
              </w:rPr>
            </w:pPr>
            <w:r w:rsidRPr="00FC0023">
              <w:rPr>
                <w:rFonts w:eastAsia="Calibri"/>
                <w:color w:val="000000"/>
                <w:sz w:val="24"/>
                <w:szCs w:val="24"/>
                <w:lang w:val="en-US"/>
              </w:rPr>
              <w:t>221,21</w:t>
            </w:r>
          </w:p>
        </w:tc>
        <w:tc>
          <w:tcPr>
            <w:tcW w:w="0" w:type="auto"/>
          </w:tcPr>
          <w:p w:rsidR="006B6A3E" w:rsidRPr="00FC0023" w:rsidRDefault="006B6A3E" w:rsidP="00FC0023">
            <w:pPr>
              <w:tabs>
                <w:tab w:val="left" w:pos="993"/>
              </w:tabs>
              <w:spacing w:line="276" w:lineRule="auto"/>
              <w:jc w:val="center"/>
              <w:rPr>
                <w:rFonts w:eastAsia="Calibri"/>
                <w:color w:val="000000"/>
                <w:sz w:val="24"/>
                <w:szCs w:val="24"/>
                <w:lang w:val="en-US"/>
              </w:rPr>
            </w:pPr>
            <w:r w:rsidRPr="00FC0023">
              <w:rPr>
                <w:rFonts w:eastAsia="Calibri"/>
                <w:color w:val="000000"/>
                <w:sz w:val="24"/>
                <w:szCs w:val="24"/>
                <w:lang w:val="en-US"/>
              </w:rPr>
              <w:t>190,19</w:t>
            </w:r>
          </w:p>
        </w:tc>
        <w:tc>
          <w:tcPr>
            <w:tcW w:w="0" w:type="auto"/>
          </w:tcPr>
          <w:p w:rsidR="006B6A3E" w:rsidRPr="00FC0023" w:rsidRDefault="006B6A3E" w:rsidP="00FC0023">
            <w:pPr>
              <w:tabs>
                <w:tab w:val="left" w:pos="993"/>
              </w:tabs>
              <w:spacing w:line="276" w:lineRule="auto"/>
              <w:jc w:val="center"/>
              <w:rPr>
                <w:rFonts w:eastAsia="Calibri"/>
                <w:color w:val="000000"/>
                <w:sz w:val="24"/>
                <w:szCs w:val="24"/>
                <w:lang w:val="en-US"/>
              </w:rPr>
            </w:pPr>
            <w:r w:rsidRPr="00FC0023">
              <w:rPr>
                <w:rFonts w:eastAsia="Calibri"/>
                <w:color w:val="000000"/>
                <w:sz w:val="24"/>
                <w:szCs w:val="24"/>
                <w:lang w:val="en-US"/>
              </w:rPr>
              <w:t>609,19</w:t>
            </w:r>
          </w:p>
        </w:tc>
        <w:tc>
          <w:tcPr>
            <w:tcW w:w="0" w:type="auto"/>
          </w:tcPr>
          <w:p w:rsidR="006B6A3E" w:rsidRPr="00FC0023" w:rsidRDefault="006B6A3E" w:rsidP="00FC0023">
            <w:pPr>
              <w:tabs>
                <w:tab w:val="left" w:pos="993"/>
              </w:tabs>
              <w:spacing w:line="276" w:lineRule="auto"/>
              <w:jc w:val="center"/>
              <w:rPr>
                <w:rFonts w:eastAsia="Calibri"/>
                <w:color w:val="000000"/>
                <w:sz w:val="24"/>
                <w:szCs w:val="24"/>
                <w:lang w:val="en-US"/>
              </w:rPr>
            </w:pPr>
            <w:r w:rsidRPr="00FC0023">
              <w:rPr>
                <w:rFonts w:eastAsia="Calibri"/>
                <w:color w:val="000000"/>
                <w:sz w:val="24"/>
                <w:szCs w:val="24"/>
                <w:lang w:val="en-US"/>
              </w:rPr>
              <w:t>501,54</w:t>
            </w:r>
          </w:p>
        </w:tc>
        <w:tc>
          <w:tcPr>
            <w:tcW w:w="0" w:type="auto"/>
            <w:vAlign w:val="center"/>
          </w:tcPr>
          <w:p w:rsidR="006B6A3E" w:rsidRPr="00FC0023" w:rsidRDefault="006B6A3E" w:rsidP="00FC0023">
            <w:pPr>
              <w:tabs>
                <w:tab w:val="left" w:pos="993"/>
              </w:tabs>
              <w:spacing w:line="276" w:lineRule="auto"/>
              <w:jc w:val="center"/>
              <w:rPr>
                <w:rFonts w:eastAsia="Calibri"/>
                <w:bCs/>
                <w:color w:val="000000"/>
                <w:sz w:val="24"/>
                <w:szCs w:val="24"/>
                <w:lang w:val="en-US"/>
              </w:rPr>
            </w:pPr>
            <w:r w:rsidRPr="00FC0023">
              <w:rPr>
                <w:rFonts w:eastAsia="Calibri"/>
                <w:bCs/>
                <w:color w:val="000000"/>
                <w:sz w:val="24"/>
                <w:szCs w:val="24"/>
                <w:lang w:val="en-US"/>
              </w:rPr>
              <w:t>31,37</w:t>
            </w:r>
          </w:p>
        </w:tc>
        <w:tc>
          <w:tcPr>
            <w:tcW w:w="0" w:type="auto"/>
            <w:vAlign w:val="center"/>
          </w:tcPr>
          <w:p w:rsidR="006B6A3E" w:rsidRPr="00FC0023" w:rsidRDefault="006B6A3E" w:rsidP="00FC0023">
            <w:pPr>
              <w:tabs>
                <w:tab w:val="left" w:pos="993"/>
              </w:tabs>
              <w:spacing w:line="276" w:lineRule="auto"/>
              <w:jc w:val="center"/>
              <w:rPr>
                <w:rFonts w:eastAsia="Calibri"/>
                <w:color w:val="000000"/>
                <w:sz w:val="24"/>
                <w:szCs w:val="24"/>
              </w:rPr>
            </w:pPr>
            <w:r w:rsidRPr="00FC0023">
              <w:rPr>
                <w:rFonts w:eastAsia="Calibri"/>
                <w:color w:val="000000"/>
                <w:sz w:val="24"/>
                <w:szCs w:val="24"/>
              </w:rPr>
              <w:t>1:</w:t>
            </w:r>
            <w:r w:rsidRPr="00FC0023">
              <w:rPr>
                <w:rFonts w:eastAsia="Calibri"/>
                <w:color w:val="000000"/>
                <w:sz w:val="24"/>
                <w:szCs w:val="24"/>
                <w:lang w:val="en-US"/>
              </w:rPr>
              <w:t>6</w:t>
            </w:r>
          </w:p>
        </w:tc>
      </w:tr>
    </w:tbl>
    <w:p w:rsidR="006B6A3E" w:rsidRPr="006B6A3E" w:rsidRDefault="006B6A3E" w:rsidP="006B6A3E">
      <w:pPr>
        <w:tabs>
          <w:tab w:val="left" w:pos="7843"/>
        </w:tabs>
        <w:spacing w:after="200"/>
        <w:jc w:val="left"/>
        <w:rPr>
          <w:rFonts w:eastAsia="Calibri"/>
          <w:b/>
          <w:szCs w:val="28"/>
        </w:rPr>
      </w:pPr>
    </w:p>
    <w:p w:rsidR="006B6A3E" w:rsidRPr="00FC0023" w:rsidRDefault="006B6A3E" w:rsidP="006B6A3E">
      <w:pPr>
        <w:tabs>
          <w:tab w:val="left" w:pos="7843"/>
        </w:tabs>
        <w:spacing w:after="200"/>
        <w:jc w:val="left"/>
        <w:rPr>
          <w:rFonts w:eastAsia="Calibri"/>
          <w:b/>
          <w:szCs w:val="28"/>
          <w:lang w:val="ru-RU"/>
        </w:rPr>
      </w:pPr>
    </w:p>
    <w:p w:rsidR="006B6A3E" w:rsidRPr="006B6A3E" w:rsidRDefault="005627AD" w:rsidP="00D13BF8">
      <w:pPr>
        <w:pageBreakBefore/>
        <w:tabs>
          <w:tab w:val="left" w:pos="7843"/>
        </w:tabs>
        <w:spacing w:after="200"/>
        <w:jc w:val="right"/>
        <w:rPr>
          <w:rFonts w:eastAsia="Calibri"/>
          <w:szCs w:val="28"/>
        </w:rPr>
      </w:pPr>
      <w:r>
        <w:rPr>
          <w:rFonts w:eastAsia="Calibri"/>
          <w:szCs w:val="28"/>
        </w:rPr>
        <w:lastRenderedPageBreak/>
        <w:t>Додаток Г</w:t>
      </w:r>
      <w:r w:rsidR="006B6A3E" w:rsidRPr="006B6A3E">
        <w:rPr>
          <w:rFonts w:eastAsia="Calibri"/>
          <w:szCs w:val="28"/>
        </w:rPr>
        <w:t>-4</w:t>
      </w:r>
    </w:p>
    <w:p w:rsidR="006B6A3E" w:rsidRPr="006B6A3E" w:rsidRDefault="006B6A3E" w:rsidP="00691330">
      <w:pPr>
        <w:keepNext/>
        <w:jc w:val="center"/>
        <w:rPr>
          <w:rFonts w:eastAsia="Times New Roman"/>
          <w:b/>
          <w:spacing w:val="-2"/>
          <w:szCs w:val="28"/>
          <w:lang w:eastAsia="ru-RU"/>
        </w:rPr>
      </w:pPr>
      <w:r w:rsidRPr="006B6A3E">
        <w:rPr>
          <w:rFonts w:eastAsia="Times New Roman"/>
          <w:b/>
          <w:spacing w:val="-2"/>
          <w:szCs w:val="28"/>
          <w:lang w:eastAsia="ru-RU"/>
        </w:rPr>
        <w:t>Показники укомплектованості штатних посад та штатів (ЛЗП-СЛ) фізичними особами 2014, 2018 рр. (%)</w:t>
      </w:r>
    </w:p>
    <w:tbl>
      <w:tblPr>
        <w:tblStyle w:val="491"/>
        <w:tblW w:w="0" w:type="auto"/>
        <w:jc w:val="center"/>
        <w:tblLook w:val="04A0" w:firstRow="1" w:lastRow="0" w:firstColumn="1" w:lastColumn="0" w:noHBand="0" w:noVBand="1"/>
      </w:tblPr>
      <w:tblGrid>
        <w:gridCol w:w="2086"/>
        <w:gridCol w:w="1190"/>
        <w:gridCol w:w="1212"/>
        <w:gridCol w:w="1119"/>
        <w:gridCol w:w="1119"/>
        <w:gridCol w:w="1126"/>
        <w:gridCol w:w="1126"/>
        <w:gridCol w:w="932"/>
        <w:gridCol w:w="845"/>
      </w:tblGrid>
      <w:tr w:rsidR="006B6A3E" w:rsidRPr="00691330" w:rsidTr="006E3A91">
        <w:trPr>
          <w:trHeight w:val="292"/>
          <w:jc w:val="center"/>
        </w:trPr>
        <w:tc>
          <w:tcPr>
            <w:tcW w:w="0" w:type="auto"/>
            <w:vMerge w:val="restart"/>
          </w:tcPr>
          <w:p w:rsidR="006B6A3E" w:rsidRPr="00691330" w:rsidRDefault="006B6A3E" w:rsidP="00691330">
            <w:pPr>
              <w:spacing w:line="276" w:lineRule="auto"/>
              <w:jc w:val="center"/>
              <w:rPr>
                <w:rFonts w:ascii="Times New Roman" w:eastAsia="Calibri" w:hAnsi="Times New Roman"/>
                <w:sz w:val="24"/>
                <w:szCs w:val="24"/>
              </w:rPr>
            </w:pPr>
            <w:r w:rsidRPr="00691330">
              <w:rPr>
                <w:rFonts w:ascii="Times New Roman" w:eastAsia="Calibri" w:hAnsi="Times New Roman"/>
                <w:sz w:val="24"/>
                <w:szCs w:val="24"/>
              </w:rPr>
              <w:t>Адміністративна територія</w:t>
            </w:r>
          </w:p>
        </w:tc>
        <w:tc>
          <w:tcPr>
            <w:tcW w:w="0" w:type="auto"/>
            <w:vMerge w:val="restart"/>
          </w:tcPr>
          <w:p w:rsidR="006B6A3E" w:rsidRPr="00691330" w:rsidRDefault="006B6A3E" w:rsidP="00691330">
            <w:pPr>
              <w:spacing w:after="160" w:line="276" w:lineRule="auto"/>
              <w:jc w:val="center"/>
              <w:rPr>
                <w:rFonts w:ascii="Times New Roman" w:eastAsia="Calibri" w:hAnsi="Times New Roman"/>
                <w:sz w:val="24"/>
                <w:szCs w:val="24"/>
              </w:rPr>
            </w:pPr>
            <w:r w:rsidRPr="00691330">
              <w:rPr>
                <w:rFonts w:ascii="Times New Roman" w:hAnsi="Times New Roman"/>
                <w:bCs/>
                <w:color w:val="000000"/>
                <w:sz w:val="24"/>
                <w:szCs w:val="24"/>
                <w:lang w:eastAsia="ru-RU"/>
              </w:rPr>
              <w:t>Число фізичних осіб ЛЗП/СЛ, 2014 р.</w:t>
            </w:r>
          </w:p>
        </w:tc>
        <w:tc>
          <w:tcPr>
            <w:tcW w:w="0" w:type="auto"/>
            <w:vMerge w:val="restart"/>
          </w:tcPr>
          <w:p w:rsidR="006B6A3E" w:rsidRPr="00691330" w:rsidRDefault="006B6A3E" w:rsidP="00691330">
            <w:pPr>
              <w:spacing w:after="160" w:line="276" w:lineRule="auto"/>
              <w:jc w:val="center"/>
              <w:rPr>
                <w:rFonts w:ascii="Times New Roman" w:eastAsia="Calibri" w:hAnsi="Times New Roman"/>
                <w:sz w:val="24"/>
                <w:szCs w:val="24"/>
              </w:rPr>
            </w:pPr>
            <w:r w:rsidRPr="00691330">
              <w:rPr>
                <w:rFonts w:ascii="Times New Roman" w:hAnsi="Times New Roman"/>
                <w:bCs/>
                <w:color w:val="000000"/>
                <w:sz w:val="24"/>
                <w:szCs w:val="24"/>
                <w:lang w:eastAsia="ru-RU"/>
              </w:rPr>
              <w:t>Число фізичних осіб ЛЗП/СЛ,, 2018 р.</w:t>
            </w:r>
          </w:p>
        </w:tc>
        <w:tc>
          <w:tcPr>
            <w:tcW w:w="0" w:type="auto"/>
            <w:gridSpan w:val="2"/>
          </w:tcPr>
          <w:p w:rsidR="006B6A3E" w:rsidRPr="00691330" w:rsidRDefault="006B6A3E" w:rsidP="00691330">
            <w:pPr>
              <w:spacing w:line="276" w:lineRule="auto"/>
              <w:jc w:val="center"/>
              <w:rPr>
                <w:rFonts w:ascii="Times New Roman" w:eastAsia="Calibri" w:hAnsi="Times New Roman"/>
                <w:sz w:val="24"/>
                <w:szCs w:val="24"/>
              </w:rPr>
            </w:pPr>
            <w:r w:rsidRPr="00691330">
              <w:rPr>
                <w:rFonts w:ascii="Times New Roman" w:eastAsia="Calibri" w:hAnsi="Times New Roman"/>
                <w:sz w:val="24"/>
                <w:szCs w:val="24"/>
              </w:rPr>
              <w:t>Укомплектованість штатних посад (ЛЗП/СЛ), %</w:t>
            </w:r>
          </w:p>
        </w:tc>
        <w:tc>
          <w:tcPr>
            <w:tcW w:w="0" w:type="auto"/>
            <w:gridSpan w:val="2"/>
          </w:tcPr>
          <w:p w:rsidR="006B6A3E" w:rsidRPr="00691330" w:rsidRDefault="006B6A3E" w:rsidP="00691330">
            <w:pPr>
              <w:spacing w:line="276" w:lineRule="auto"/>
              <w:jc w:val="center"/>
              <w:rPr>
                <w:rFonts w:ascii="Times New Roman" w:eastAsia="Calibri" w:hAnsi="Times New Roman"/>
                <w:sz w:val="24"/>
                <w:szCs w:val="24"/>
              </w:rPr>
            </w:pPr>
            <w:r w:rsidRPr="00691330">
              <w:rPr>
                <w:rFonts w:ascii="Times New Roman" w:eastAsia="Calibri" w:hAnsi="Times New Roman"/>
                <w:sz w:val="24"/>
                <w:szCs w:val="24"/>
              </w:rPr>
              <w:t>Укомплектованість штатів фізичними особами (ЛЗП/СЛ), %</w:t>
            </w:r>
          </w:p>
        </w:tc>
        <w:tc>
          <w:tcPr>
            <w:tcW w:w="0" w:type="auto"/>
            <w:gridSpan w:val="2"/>
          </w:tcPr>
          <w:p w:rsidR="006B6A3E" w:rsidRPr="00691330" w:rsidRDefault="006B6A3E" w:rsidP="00691330">
            <w:pPr>
              <w:spacing w:after="160" w:line="276" w:lineRule="auto"/>
              <w:jc w:val="center"/>
              <w:rPr>
                <w:rFonts w:ascii="Times New Roman" w:eastAsia="Calibri" w:hAnsi="Times New Roman"/>
                <w:sz w:val="24"/>
                <w:szCs w:val="24"/>
              </w:rPr>
            </w:pPr>
            <w:r w:rsidRPr="00691330">
              <w:rPr>
                <w:rFonts w:ascii="Times New Roman" w:eastAsia="Calibri" w:hAnsi="Times New Roman"/>
                <w:sz w:val="24"/>
                <w:szCs w:val="24"/>
              </w:rPr>
              <w:t>Забезпеченість ЛЗП-СЛ на 10 тис. населення</w:t>
            </w:r>
          </w:p>
          <w:p w:rsidR="006B6A3E" w:rsidRPr="00691330" w:rsidRDefault="006B6A3E" w:rsidP="00691330">
            <w:pPr>
              <w:spacing w:line="276" w:lineRule="auto"/>
              <w:jc w:val="center"/>
              <w:rPr>
                <w:rFonts w:ascii="Times New Roman" w:eastAsia="Calibri" w:hAnsi="Times New Roman"/>
                <w:sz w:val="24"/>
                <w:szCs w:val="24"/>
              </w:rPr>
            </w:pPr>
          </w:p>
        </w:tc>
      </w:tr>
      <w:tr w:rsidR="006B6A3E" w:rsidRPr="00691330" w:rsidTr="006E3A91">
        <w:trPr>
          <w:trHeight w:val="266"/>
          <w:jc w:val="center"/>
        </w:trPr>
        <w:tc>
          <w:tcPr>
            <w:tcW w:w="0" w:type="auto"/>
            <w:vMerge/>
          </w:tcPr>
          <w:p w:rsidR="006B6A3E" w:rsidRPr="00691330" w:rsidRDefault="006B6A3E" w:rsidP="00691330">
            <w:pPr>
              <w:spacing w:line="276" w:lineRule="auto"/>
              <w:jc w:val="center"/>
              <w:rPr>
                <w:rFonts w:ascii="Times New Roman" w:eastAsia="Calibri" w:hAnsi="Times New Roman"/>
                <w:sz w:val="24"/>
                <w:szCs w:val="24"/>
              </w:rPr>
            </w:pPr>
          </w:p>
        </w:tc>
        <w:tc>
          <w:tcPr>
            <w:tcW w:w="0" w:type="auto"/>
            <w:vMerge/>
          </w:tcPr>
          <w:p w:rsidR="006B6A3E" w:rsidRPr="00691330" w:rsidRDefault="006B6A3E" w:rsidP="00691330">
            <w:pPr>
              <w:spacing w:line="276" w:lineRule="auto"/>
              <w:jc w:val="center"/>
              <w:rPr>
                <w:rFonts w:ascii="Times New Roman" w:eastAsia="Calibri" w:hAnsi="Times New Roman"/>
                <w:sz w:val="24"/>
                <w:szCs w:val="24"/>
              </w:rPr>
            </w:pPr>
          </w:p>
        </w:tc>
        <w:tc>
          <w:tcPr>
            <w:tcW w:w="0" w:type="auto"/>
            <w:vMerge/>
          </w:tcPr>
          <w:p w:rsidR="006B6A3E" w:rsidRPr="00691330" w:rsidRDefault="006B6A3E" w:rsidP="00691330">
            <w:pPr>
              <w:spacing w:line="276" w:lineRule="auto"/>
              <w:jc w:val="center"/>
              <w:rPr>
                <w:rFonts w:ascii="Times New Roman" w:eastAsia="Calibri" w:hAnsi="Times New Roman"/>
                <w:sz w:val="24"/>
                <w:szCs w:val="24"/>
              </w:rPr>
            </w:pPr>
          </w:p>
        </w:tc>
        <w:tc>
          <w:tcPr>
            <w:tcW w:w="0" w:type="auto"/>
          </w:tcPr>
          <w:p w:rsidR="006B6A3E" w:rsidRPr="00691330" w:rsidRDefault="006B6A3E" w:rsidP="00691330">
            <w:pPr>
              <w:spacing w:line="276" w:lineRule="auto"/>
              <w:jc w:val="center"/>
              <w:rPr>
                <w:rFonts w:ascii="Times New Roman" w:eastAsia="Calibri" w:hAnsi="Times New Roman"/>
                <w:sz w:val="24"/>
                <w:szCs w:val="24"/>
              </w:rPr>
            </w:pPr>
            <w:r w:rsidRPr="00691330">
              <w:rPr>
                <w:rFonts w:ascii="Times New Roman" w:eastAsia="Calibri" w:hAnsi="Times New Roman"/>
                <w:sz w:val="24"/>
                <w:szCs w:val="24"/>
              </w:rPr>
              <w:t>2014 р.</w:t>
            </w:r>
          </w:p>
        </w:tc>
        <w:tc>
          <w:tcPr>
            <w:tcW w:w="0" w:type="auto"/>
          </w:tcPr>
          <w:p w:rsidR="006B6A3E" w:rsidRPr="00691330" w:rsidRDefault="006B6A3E" w:rsidP="00691330">
            <w:pPr>
              <w:spacing w:line="276" w:lineRule="auto"/>
              <w:jc w:val="center"/>
              <w:rPr>
                <w:rFonts w:ascii="Times New Roman" w:eastAsia="Calibri" w:hAnsi="Times New Roman"/>
                <w:sz w:val="24"/>
                <w:szCs w:val="24"/>
              </w:rPr>
            </w:pPr>
            <w:r w:rsidRPr="00691330">
              <w:rPr>
                <w:rFonts w:ascii="Times New Roman" w:eastAsia="Calibri" w:hAnsi="Times New Roman"/>
                <w:sz w:val="24"/>
                <w:szCs w:val="24"/>
              </w:rPr>
              <w:t>2018 р.</w:t>
            </w:r>
          </w:p>
        </w:tc>
        <w:tc>
          <w:tcPr>
            <w:tcW w:w="0" w:type="auto"/>
          </w:tcPr>
          <w:p w:rsidR="006B6A3E" w:rsidRPr="00691330" w:rsidRDefault="006B6A3E" w:rsidP="00691330">
            <w:pPr>
              <w:spacing w:line="276" w:lineRule="auto"/>
              <w:jc w:val="center"/>
              <w:rPr>
                <w:rFonts w:ascii="Times New Roman" w:eastAsia="Calibri" w:hAnsi="Times New Roman"/>
                <w:sz w:val="24"/>
                <w:szCs w:val="24"/>
              </w:rPr>
            </w:pPr>
            <w:r w:rsidRPr="00691330">
              <w:rPr>
                <w:rFonts w:ascii="Times New Roman" w:eastAsia="Calibri" w:hAnsi="Times New Roman"/>
                <w:sz w:val="24"/>
                <w:szCs w:val="24"/>
              </w:rPr>
              <w:t>2014 р.</w:t>
            </w:r>
          </w:p>
        </w:tc>
        <w:tc>
          <w:tcPr>
            <w:tcW w:w="0" w:type="auto"/>
          </w:tcPr>
          <w:p w:rsidR="006B6A3E" w:rsidRPr="00691330" w:rsidRDefault="006B6A3E" w:rsidP="00691330">
            <w:pPr>
              <w:spacing w:line="276" w:lineRule="auto"/>
              <w:jc w:val="center"/>
              <w:rPr>
                <w:rFonts w:ascii="Times New Roman" w:eastAsia="Calibri" w:hAnsi="Times New Roman"/>
                <w:sz w:val="24"/>
                <w:szCs w:val="24"/>
              </w:rPr>
            </w:pPr>
            <w:r w:rsidRPr="00691330">
              <w:rPr>
                <w:rFonts w:ascii="Times New Roman" w:eastAsia="Calibri" w:hAnsi="Times New Roman"/>
                <w:sz w:val="24"/>
                <w:szCs w:val="24"/>
              </w:rPr>
              <w:t>2018 р.</w:t>
            </w:r>
          </w:p>
        </w:tc>
        <w:tc>
          <w:tcPr>
            <w:tcW w:w="0" w:type="auto"/>
          </w:tcPr>
          <w:p w:rsidR="006B6A3E" w:rsidRPr="00691330" w:rsidRDefault="006B6A3E" w:rsidP="00691330">
            <w:pPr>
              <w:spacing w:line="276" w:lineRule="auto"/>
              <w:jc w:val="center"/>
              <w:rPr>
                <w:rFonts w:ascii="Times New Roman" w:eastAsia="Calibri" w:hAnsi="Times New Roman"/>
                <w:sz w:val="24"/>
                <w:szCs w:val="24"/>
              </w:rPr>
            </w:pPr>
            <w:r w:rsidRPr="00691330">
              <w:rPr>
                <w:rFonts w:ascii="Times New Roman" w:eastAsia="Calibri" w:hAnsi="Times New Roman"/>
                <w:sz w:val="24"/>
                <w:szCs w:val="24"/>
              </w:rPr>
              <w:t xml:space="preserve">2014 р. </w:t>
            </w:r>
          </w:p>
        </w:tc>
        <w:tc>
          <w:tcPr>
            <w:tcW w:w="0" w:type="auto"/>
          </w:tcPr>
          <w:p w:rsidR="006B6A3E" w:rsidRPr="00691330" w:rsidRDefault="006B6A3E" w:rsidP="00691330">
            <w:pPr>
              <w:spacing w:line="276" w:lineRule="auto"/>
              <w:jc w:val="center"/>
              <w:rPr>
                <w:rFonts w:ascii="Times New Roman" w:eastAsia="Calibri" w:hAnsi="Times New Roman"/>
                <w:sz w:val="24"/>
                <w:szCs w:val="24"/>
              </w:rPr>
            </w:pPr>
            <w:r w:rsidRPr="00691330">
              <w:rPr>
                <w:rFonts w:ascii="Times New Roman" w:eastAsia="Calibri" w:hAnsi="Times New Roman"/>
                <w:sz w:val="24"/>
                <w:szCs w:val="24"/>
              </w:rPr>
              <w:t>2018 р.</w:t>
            </w:r>
          </w:p>
        </w:tc>
      </w:tr>
      <w:tr w:rsidR="006B6A3E" w:rsidRPr="00691330" w:rsidTr="006E3A91">
        <w:trPr>
          <w:jc w:val="center"/>
        </w:trPr>
        <w:tc>
          <w:tcPr>
            <w:tcW w:w="0" w:type="auto"/>
          </w:tcPr>
          <w:p w:rsidR="006B6A3E" w:rsidRPr="00691330" w:rsidRDefault="006B6A3E" w:rsidP="00691330">
            <w:pPr>
              <w:spacing w:line="276" w:lineRule="auto"/>
              <w:rPr>
                <w:rFonts w:ascii="Times New Roman" w:eastAsia="Calibri" w:hAnsi="Times New Roman"/>
              </w:rPr>
            </w:pPr>
            <w:r w:rsidRPr="00691330">
              <w:rPr>
                <w:rFonts w:ascii="Times New Roman" w:eastAsia="Calibri" w:hAnsi="Times New Roman"/>
              </w:rPr>
              <w:t>Україна</w:t>
            </w:r>
          </w:p>
        </w:tc>
        <w:tc>
          <w:tcPr>
            <w:tcW w:w="0" w:type="auto"/>
          </w:tcPr>
          <w:p w:rsidR="006B6A3E" w:rsidRPr="00691330" w:rsidRDefault="006B6A3E" w:rsidP="00691330">
            <w:pPr>
              <w:spacing w:line="276" w:lineRule="auto"/>
              <w:jc w:val="center"/>
              <w:rPr>
                <w:rFonts w:ascii="Times New Roman" w:hAnsi="Times New Roman"/>
                <w:bCs/>
                <w:color w:val="000000"/>
                <w:sz w:val="24"/>
                <w:szCs w:val="24"/>
                <w:lang w:eastAsia="ru-RU"/>
              </w:rPr>
            </w:pPr>
            <w:r w:rsidRPr="00691330">
              <w:rPr>
                <w:rFonts w:ascii="Times New Roman" w:hAnsi="Times New Roman"/>
                <w:bCs/>
                <w:color w:val="000000"/>
                <w:sz w:val="24"/>
                <w:szCs w:val="24"/>
                <w:lang w:eastAsia="ru-RU"/>
              </w:rPr>
              <w:t>11 873,00</w:t>
            </w:r>
          </w:p>
        </w:tc>
        <w:tc>
          <w:tcPr>
            <w:tcW w:w="0" w:type="auto"/>
          </w:tcPr>
          <w:p w:rsidR="006B6A3E" w:rsidRPr="00691330" w:rsidRDefault="006B6A3E" w:rsidP="00691330">
            <w:pPr>
              <w:spacing w:line="276" w:lineRule="auto"/>
              <w:jc w:val="center"/>
              <w:rPr>
                <w:rFonts w:ascii="Times New Roman" w:hAnsi="Times New Roman"/>
                <w:bCs/>
                <w:color w:val="000000"/>
                <w:sz w:val="24"/>
                <w:szCs w:val="24"/>
                <w:lang w:eastAsia="ru-RU"/>
              </w:rPr>
            </w:pPr>
            <w:r w:rsidRPr="00691330">
              <w:rPr>
                <w:rFonts w:ascii="Times New Roman" w:hAnsi="Times New Roman"/>
                <w:bCs/>
                <w:color w:val="000000"/>
                <w:sz w:val="24"/>
                <w:szCs w:val="24"/>
                <w:lang w:eastAsia="ru-RU"/>
              </w:rPr>
              <w:t>14 137,00</w:t>
            </w:r>
          </w:p>
        </w:tc>
        <w:tc>
          <w:tcPr>
            <w:tcW w:w="0" w:type="auto"/>
          </w:tcPr>
          <w:p w:rsidR="006B6A3E" w:rsidRPr="00691330" w:rsidRDefault="006B6A3E" w:rsidP="00691330">
            <w:pPr>
              <w:spacing w:line="276" w:lineRule="auto"/>
              <w:jc w:val="center"/>
              <w:rPr>
                <w:rFonts w:ascii="Times New Roman" w:eastAsia="Calibri" w:hAnsi="Times New Roman"/>
                <w:sz w:val="24"/>
                <w:szCs w:val="24"/>
              </w:rPr>
            </w:pPr>
            <w:r w:rsidRPr="00691330">
              <w:rPr>
                <w:rFonts w:ascii="Times New Roman" w:eastAsia="Calibri" w:hAnsi="Times New Roman"/>
                <w:sz w:val="24"/>
                <w:szCs w:val="24"/>
              </w:rPr>
              <w:t>85,86</w:t>
            </w:r>
          </w:p>
        </w:tc>
        <w:tc>
          <w:tcPr>
            <w:tcW w:w="0" w:type="auto"/>
          </w:tcPr>
          <w:p w:rsidR="006B6A3E" w:rsidRPr="00691330" w:rsidRDefault="006B6A3E" w:rsidP="00691330">
            <w:pPr>
              <w:spacing w:line="276" w:lineRule="auto"/>
              <w:jc w:val="center"/>
              <w:rPr>
                <w:rFonts w:ascii="Times New Roman" w:eastAsia="Calibri" w:hAnsi="Times New Roman"/>
                <w:sz w:val="24"/>
                <w:szCs w:val="24"/>
              </w:rPr>
            </w:pPr>
            <w:r w:rsidRPr="00691330">
              <w:rPr>
                <w:rFonts w:ascii="Times New Roman" w:eastAsia="Calibri" w:hAnsi="Times New Roman"/>
                <w:sz w:val="24"/>
                <w:szCs w:val="24"/>
              </w:rPr>
              <w:t>82,11</w:t>
            </w:r>
          </w:p>
        </w:tc>
        <w:tc>
          <w:tcPr>
            <w:tcW w:w="0" w:type="auto"/>
          </w:tcPr>
          <w:p w:rsidR="006B6A3E" w:rsidRPr="00691330" w:rsidRDefault="006B6A3E" w:rsidP="00691330">
            <w:pPr>
              <w:spacing w:line="276" w:lineRule="auto"/>
              <w:jc w:val="center"/>
              <w:rPr>
                <w:rFonts w:ascii="Times New Roman" w:eastAsia="Calibri" w:hAnsi="Times New Roman"/>
                <w:sz w:val="24"/>
                <w:szCs w:val="24"/>
              </w:rPr>
            </w:pPr>
            <w:r w:rsidRPr="00691330">
              <w:rPr>
                <w:rFonts w:ascii="Times New Roman" w:eastAsia="Calibri" w:hAnsi="Times New Roman"/>
                <w:sz w:val="24"/>
                <w:szCs w:val="24"/>
              </w:rPr>
              <w:t>73,04</w:t>
            </w:r>
          </w:p>
        </w:tc>
        <w:tc>
          <w:tcPr>
            <w:tcW w:w="0" w:type="auto"/>
          </w:tcPr>
          <w:p w:rsidR="006B6A3E" w:rsidRPr="00691330" w:rsidRDefault="006B6A3E" w:rsidP="00691330">
            <w:pPr>
              <w:spacing w:line="276" w:lineRule="auto"/>
              <w:jc w:val="center"/>
              <w:rPr>
                <w:rFonts w:ascii="Times New Roman" w:eastAsia="Calibri" w:hAnsi="Times New Roman"/>
                <w:sz w:val="24"/>
                <w:szCs w:val="24"/>
              </w:rPr>
            </w:pPr>
            <w:r w:rsidRPr="00691330">
              <w:rPr>
                <w:rFonts w:ascii="Times New Roman" w:eastAsia="Calibri" w:hAnsi="Times New Roman"/>
                <w:sz w:val="24"/>
                <w:szCs w:val="24"/>
              </w:rPr>
              <w:t>73,72</w:t>
            </w:r>
          </w:p>
        </w:tc>
        <w:tc>
          <w:tcPr>
            <w:tcW w:w="0" w:type="auto"/>
          </w:tcPr>
          <w:p w:rsidR="006B6A3E" w:rsidRPr="00691330" w:rsidRDefault="006B6A3E" w:rsidP="00691330">
            <w:pPr>
              <w:spacing w:line="276" w:lineRule="auto"/>
              <w:jc w:val="center"/>
              <w:rPr>
                <w:rFonts w:ascii="Times New Roman" w:eastAsia="Calibri" w:hAnsi="Times New Roman"/>
                <w:sz w:val="24"/>
                <w:szCs w:val="24"/>
              </w:rPr>
            </w:pPr>
            <w:r w:rsidRPr="00691330">
              <w:rPr>
                <w:rFonts w:ascii="Times New Roman" w:eastAsia="Calibri" w:hAnsi="Times New Roman"/>
                <w:sz w:val="24"/>
                <w:szCs w:val="24"/>
              </w:rPr>
              <w:t>2,89</w:t>
            </w:r>
          </w:p>
        </w:tc>
        <w:tc>
          <w:tcPr>
            <w:tcW w:w="0" w:type="auto"/>
          </w:tcPr>
          <w:p w:rsidR="006B6A3E" w:rsidRPr="00691330" w:rsidRDefault="006B6A3E" w:rsidP="00691330">
            <w:pPr>
              <w:spacing w:line="276" w:lineRule="auto"/>
              <w:jc w:val="center"/>
              <w:rPr>
                <w:rFonts w:ascii="Times New Roman" w:eastAsia="Calibri" w:hAnsi="Times New Roman"/>
                <w:sz w:val="24"/>
                <w:szCs w:val="24"/>
              </w:rPr>
            </w:pPr>
            <w:r w:rsidRPr="00691330">
              <w:rPr>
                <w:rFonts w:ascii="Times New Roman" w:eastAsia="Calibri" w:hAnsi="Times New Roman"/>
                <w:sz w:val="24"/>
                <w:szCs w:val="24"/>
              </w:rPr>
              <w:t>3,53</w:t>
            </w:r>
          </w:p>
        </w:tc>
      </w:tr>
      <w:tr w:rsidR="006B6A3E" w:rsidRPr="00691330" w:rsidTr="006E3A91">
        <w:trPr>
          <w:jc w:val="center"/>
        </w:trPr>
        <w:tc>
          <w:tcPr>
            <w:tcW w:w="0" w:type="auto"/>
          </w:tcPr>
          <w:p w:rsidR="006B6A3E" w:rsidRPr="00691330" w:rsidRDefault="006B6A3E" w:rsidP="00691330">
            <w:pPr>
              <w:spacing w:line="276" w:lineRule="auto"/>
              <w:rPr>
                <w:rFonts w:ascii="Times New Roman" w:eastAsia="Calibri" w:hAnsi="Times New Roman"/>
                <w:sz w:val="24"/>
                <w:szCs w:val="24"/>
              </w:rPr>
            </w:pPr>
            <w:r w:rsidRPr="00691330">
              <w:rPr>
                <w:rFonts w:ascii="Times New Roman" w:eastAsia="Calibri" w:hAnsi="Times New Roman"/>
                <w:sz w:val="24"/>
                <w:szCs w:val="24"/>
              </w:rPr>
              <w:t>Вінницька</w:t>
            </w:r>
          </w:p>
        </w:tc>
        <w:tc>
          <w:tcPr>
            <w:tcW w:w="0" w:type="auto"/>
          </w:tcPr>
          <w:p w:rsidR="006B6A3E" w:rsidRPr="00691330" w:rsidRDefault="006B6A3E" w:rsidP="00691330">
            <w:pPr>
              <w:spacing w:line="276" w:lineRule="auto"/>
              <w:jc w:val="center"/>
              <w:rPr>
                <w:rFonts w:ascii="Times New Roman" w:hAnsi="Times New Roman"/>
                <w:color w:val="000000"/>
                <w:sz w:val="24"/>
                <w:szCs w:val="24"/>
                <w:lang w:eastAsia="ru-RU"/>
              </w:rPr>
            </w:pPr>
            <w:r w:rsidRPr="00691330">
              <w:rPr>
                <w:rFonts w:ascii="Times New Roman" w:hAnsi="Times New Roman"/>
                <w:color w:val="000000"/>
                <w:sz w:val="24"/>
                <w:szCs w:val="24"/>
                <w:lang w:eastAsia="ru-RU"/>
              </w:rPr>
              <w:t>785,00</w:t>
            </w:r>
          </w:p>
        </w:tc>
        <w:tc>
          <w:tcPr>
            <w:tcW w:w="0" w:type="auto"/>
          </w:tcPr>
          <w:p w:rsidR="006B6A3E" w:rsidRPr="00691330" w:rsidRDefault="006B6A3E" w:rsidP="00691330">
            <w:pPr>
              <w:spacing w:line="276" w:lineRule="auto"/>
              <w:jc w:val="center"/>
              <w:rPr>
                <w:rFonts w:ascii="Times New Roman" w:hAnsi="Times New Roman"/>
                <w:color w:val="000000"/>
                <w:sz w:val="24"/>
                <w:szCs w:val="24"/>
                <w:lang w:eastAsia="ru-RU"/>
              </w:rPr>
            </w:pPr>
            <w:r w:rsidRPr="00691330">
              <w:rPr>
                <w:rFonts w:ascii="Times New Roman" w:hAnsi="Times New Roman"/>
                <w:color w:val="000000"/>
                <w:sz w:val="24"/>
                <w:szCs w:val="24"/>
                <w:lang w:eastAsia="ru-RU"/>
              </w:rPr>
              <w:t>773,00</w:t>
            </w:r>
          </w:p>
        </w:tc>
        <w:tc>
          <w:tcPr>
            <w:tcW w:w="0" w:type="auto"/>
          </w:tcPr>
          <w:p w:rsidR="006B6A3E" w:rsidRPr="00691330" w:rsidRDefault="006B6A3E" w:rsidP="00691330">
            <w:pPr>
              <w:spacing w:line="276" w:lineRule="auto"/>
              <w:jc w:val="center"/>
              <w:rPr>
                <w:rFonts w:ascii="Times New Roman" w:eastAsia="Calibri" w:hAnsi="Times New Roman"/>
                <w:sz w:val="24"/>
                <w:szCs w:val="24"/>
              </w:rPr>
            </w:pPr>
            <w:r w:rsidRPr="00691330">
              <w:rPr>
                <w:rFonts w:ascii="Times New Roman" w:eastAsia="Calibri" w:hAnsi="Times New Roman"/>
                <w:sz w:val="24"/>
                <w:szCs w:val="24"/>
              </w:rPr>
              <w:t>81,30</w:t>
            </w:r>
          </w:p>
        </w:tc>
        <w:tc>
          <w:tcPr>
            <w:tcW w:w="0" w:type="auto"/>
          </w:tcPr>
          <w:p w:rsidR="006B6A3E" w:rsidRPr="00691330" w:rsidRDefault="006B6A3E" w:rsidP="00691330">
            <w:pPr>
              <w:spacing w:line="276" w:lineRule="auto"/>
              <w:jc w:val="center"/>
              <w:rPr>
                <w:rFonts w:ascii="Times New Roman" w:eastAsia="Calibri" w:hAnsi="Times New Roman"/>
                <w:sz w:val="24"/>
                <w:szCs w:val="24"/>
              </w:rPr>
            </w:pPr>
            <w:r w:rsidRPr="00691330">
              <w:rPr>
                <w:rFonts w:ascii="Times New Roman" w:eastAsia="Calibri" w:hAnsi="Times New Roman"/>
                <w:sz w:val="24"/>
                <w:szCs w:val="24"/>
              </w:rPr>
              <w:t>83,09</w:t>
            </w:r>
          </w:p>
        </w:tc>
        <w:tc>
          <w:tcPr>
            <w:tcW w:w="0" w:type="auto"/>
          </w:tcPr>
          <w:p w:rsidR="006B6A3E" w:rsidRPr="00691330" w:rsidRDefault="006B6A3E" w:rsidP="00691330">
            <w:pPr>
              <w:spacing w:line="276" w:lineRule="auto"/>
              <w:jc w:val="center"/>
              <w:rPr>
                <w:rFonts w:ascii="Times New Roman" w:eastAsia="Calibri" w:hAnsi="Times New Roman"/>
                <w:sz w:val="24"/>
                <w:szCs w:val="24"/>
              </w:rPr>
            </w:pPr>
            <w:r w:rsidRPr="00691330">
              <w:rPr>
                <w:rFonts w:ascii="Times New Roman" w:eastAsia="Calibri" w:hAnsi="Times New Roman"/>
                <w:sz w:val="24"/>
                <w:szCs w:val="24"/>
              </w:rPr>
              <w:t>74,62</w:t>
            </w:r>
          </w:p>
        </w:tc>
        <w:tc>
          <w:tcPr>
            <w:tcW w:w="0" w:type="auto"/>
          </w:tcPr>
          <w:p w:rsidR="006B6A3E" w:rsidRPr="00691330" w:rsidRDefault="006B6A3E" w:rsidP="00691330">
            <w:pPr>
              <w:spacing w:line="276" w:lineRule="auto"/>
              <w:jc w:val="center"/>
              <w:rPr>
                <w:rFonts w:ascii="Times New Roman" w:eastAsia="Calibri" w:hAnsi="Times New Roman"/>
                <w:sz w:val="24"/>
                <w:szCs w:val="24"/>
              </w:rPr>
            </w:pPr>
            <w:r w:rsidRPr="00691330">
              <w:rPr>
                <w:rFonts w:ascii="Times New Roman" w:eastAsia="Calibri" w:hAnsi="Times New Roman"/>
                <w:sz w:val="24"/>
                <w:szCs w:val="24"/>
              </w:rPr>
              <w:t>79,96</w:t>
            </w:r>
          </w:p>
        </w:tc>
        <w:tc>
          <w:tcPr>
            <w:tcW w:w="0" w:type="auto"/>
          </w:tcPr>
          <w:p w:rsidR="006B6A3E" w:rsidRPr="00691330" w:rsidRDefault="006B6A3E" w:rsidP="00691330">
            <w:pPr>
              <w:spacing w:line="276" w:lineRule="auto"/>
              <w:jc w:val="center"/>
              <w:rPr>
                <w:rFonts w:ascii="Times New Roman" w:eastAsia="Calibri" w:hAnsi="Times New Roman"/>
                <w:sz w:val="24"/>
                <w:szCs w:val="24"/>
              </w:rPr>
            </w:pPr>
            <w:r w:rsidRPr="00691330">
              <w:rPr>
                <w:rFonts w:ascii="Times New Roman" w:eastAsia="Calibri" w:hAnsi="Times New Roman"/>
                <w:sz w:val="24"/>
                <w:szCs w:val="24"/>
              </w:rPr>
              <w:t>5,19</w:t>
            </w:r>
          </w:p>
        </w:tc>
        <w:tc>
          <w:tcPr>
            <w:tcW w:w="0" w:type="auto"/>
          </w:tcPr>
          <w:p w:rsidR="006B6A3E" w:rsidRPr="00691330" w:rsidRDefault="006B6A3E" w:rsidP="00691330">
            <w:pPr>
              <w:spacing w:line="276" w:lineRule="auto"/>
              <w:jc w:val="center"/>
              <w:rPr>
                <w:rFonts w:ascii="Times New Roman" w:eastAsia="Calibri" w:hAnsi="Times New Roman"/>
                <w:sz w:val="24"/>
                <w:szCs w:val="24"/>
              </w:rPr>
            </w:pPr>
            <w:r w:rsidRPr="00691330">
              <w:rPr>
                <w:rFonts w:ascii="Times New Roman" w:eastAsia="Calibri" w:hAnsi="Times New Roman"/>
                <w:sz w:val="24"/>
                <w:szCs w:val="24"/>
              </w:rPr>
              <w:t>5,37</w:t>
            </w:r>
          </w:p>
        </w:tc>
      </w:tr>
      <w:tr w:rsidR="006B6A3E" w:rsidRPr="00691330" w:rsidTr="006E3A91">
        <w:trPr>
          <w:jc w:val="center"/>
        </w:trPr>
        <w:tc>
          <w:tcPr>
            <w:tcW w:w="0" w:type="auto"/>
          </w:tcPr>
          <w:p w:rsidR="006B6A3E" w:rsidRPr="00691330" w:rsidRDefault="006B6A3E" w:rsidP="00691330">
            <w:pPr>
              <w:spacing w:line="276" w:lineRule="auto"/>
              <w:rPr>
                <w:rFonts w:ascii="Times New Roman" w:eastAsia="Calibri" w:hAnsi="Times New Roman"/>
                <w:sz w:val="24"/>
                <w:szCs w:val="24"/>
              </w:rPr>
            </w:pPr>
            <w:r w:rsidRPr="00691330">
              <w:rPr>
                <w:rFonts w:ascii="Times New Roman" w:eastAsia="Calibri" w:hAnsi="Times New Roman"/>
                <w:sz w:val="24"/>
                <w:szCs w:val="24"/>
              </w:rPr>
              <w:t>Волинська</w:t>
            </w:r>
          </w:p>
        </w:tc>
        <w:tc>
          <w:tcPr>
            <w:tcW w:w="0" w:type="auto"/>
          </w:tcPr>
          <w:p w:rsidR="006B6A3E" w:rsidRPr="00691330" w:rsidRDefault="006B6A3E" w:rsidP="00691330">
            <w:pPr>
              <w:spacing w:line="276" w:lineRule="auto"/>
              <w:jc w:val="center"/>
              <w:rPr>
                <w:rFonts w:ascii="Times New Roman" w:hAnsi="Times New Roman"/>
                <w:color w:val="000000"/>
                <w:sz w:val="24"/>
                <w:szCs w:val="24"/>
                <w:lang w:eastAsia="ru-RU"/>
              </w:rPr>
            </w:pPr>
            <w:r w:rsidRPr="00691330">
              <w:rPr>
                <w:rFonts w:ascii="Times New Roman" w:hAnsi="Times New Roman"/>
                <w:color w:val="000000"/>
                <w:sz w:val="24"/>
                <w:szCs w:val="24"/>
                <w:lang w:eastAsia="ru-RU"/>
              </w:rPr>
              <w:t>313,00</w:t>
            </w:r>
          </w:p>
        </w:tc>
        <w:tc>
          <w:tcPr>
            <w:tcW w:w="0" w:type="auto"/>
          </w:tcPr>
          <w:p w:rsidR="006B6A3E" w:rsidRPr="00691330" w:rsidRDefault="006B6A3E" w:rsidP="00691330">
            <w:pPr>
              <w:spacing w:line="276" w:lineRule="auto"/>
              <w:jc w:val="center"/>
              <w:rPr>
                <w:rFonts w:ascii="Times New Roman" w:hAnsi="Times New Roman"/>
                <w:color w:val="000000"/>
                <w:sz w:val="24"/>
                <w:szCs w:val="24"/>
                <w:lang w:eastAsia="ru-RU"/>
              </w:rPr>
            </w:pPr>
            <w:r w:rsidRPr="00691330">
              <w:rPr>
                <w:rFonts w:ascii="Times New Roman" w:hAnsi="Times New Roman"/>
                <w:color w:val="000000"/>
                <w:sz w:val="24"/>
                <w:szCs w:val="24"/>
                <w:lang w:eastAsia="ru-RU"/>
              </w:rPr>
              <w:t>429,00</w:t>
            </w:r>
          </w:p>
        </w:tc>
        <w:tc>
          <w:tcPr>
            <w:tcW w:w="0" w:type="auto"/>
          </w:tcPr>
          <w:p w:rsidR="006B6A3E" w:rsidRPr="00691330" w:rsidRDefault="006B6A3E" w:rsidP="00691330">
            <w:pPr>
              <w:spacing w:line="276" w:lineRule="auto"/>
              <w:jc w:val="center"/>
              <w:rPr>
                <w:rFonts w:ascii="Times New Roman" w:eastAsia="Calibri" w:hAnsi="Times New Roman"/>
                <w:sz w:val="24"/>
                <w:szCs w:val="24"/>
                <w:lang w:val="en-US"/>
              </w:rPr>
            </w:pPr>
            <w:r w:rsidRPr="00691330">
              <w:rPr>
                <w:rFonts w:ascii="Times New Roman" w:eastAsia="Calibri" w:hAnsi="Times New Roman"/>
                <w:sz w:val="24"/>
                <w:szCs w:val="24"/>
                <w:lang w:val="en-US"/>
              </w:rPr>
              <w:t>88,83</w:t>
            </w:r>
          </w:p>
        </w:tc>
        <w:tc>
          <w:tcPr>
            <w:tcW w:w="0" w:type="auto"/>
          </w:tcPr>
          <w:p w:rsidR="006B6A3E" w:rsidRPr="00691330" w:rsidRDefault="006B6A3E" w:rsidP="00691330">
            <w:pPr>
              <w:spacing w:line="276" w:lineRule="auto"/>
              <w:jc w:val="center"/>
              <w:rPr>
                <w:rFonts w:ascii="Times New Roman" w:eastAsia="Calibri" w:hAnsi="Times New Roman"/>
                <w:sz w:val="24"/>
                <w:szCs w:val="24"/>
                <w:lang w:val="en-US"/>
              </w:rPr>
            </w:pPr>
            <w:r w:rsidRPr="00691330">
              <w:rPr>
                <w:rFonts w:ascii="Times New Roman" w:eastAsia="Calibri" w:hAnsi="Times New Roman"/>
                <w:sz w:val="24"/>
                <w:szCs w:val="24"/>
                <w:lang w:val="en-US"/>
              </w:rPr>
              <w:t>87,73</w:t>
            </w:r>
          </w:p>
        </w:tc>
        <w:tc>
          <w:tcPr>
            <w:tcW w:w="0" w:type="auto"/>
          </w:tcPr>
          <w:p w:rsidR="006B6A3E" w:rsidRPr="00691330" w:rsidRDefault="006B6A3E" w:rsidP="00691330">
            <w:pPr>
              <w:spacing w:line="276" w:lineRule="auto"/>
              <w:jc w:val="center"/>
              <w:rPr>
                <w:rFonts w:ascii="Times New Roman" w:eastAsia="Calibri" w:hAnsi="Times New Roman"/>
                <w:sz w:val="24"/>
                <w:szCs w:val="24"/>
                <w:lang w:val="en-US"/>
              </w:rPr>
            </w:pPr>
            <w:r w:rsidRPr="00691330">
              <w:rPr>
                <w:rFonts w:ascii="Times New Roman" w:eastAsia="Calibri" w:hAnsi="Times New Roman"/>
                <w:sz w:val="24"/>
                <w:szCs w:val="24"/>
                <w:lang w:val="en-US"/>
              </w:rPr>
              <w:t>74,00</w:t>
            </w:r>
          </w:p>
        </w:tc>
        <w:tc>
          <w:tcPr>
            <w:tcW w:w="0" w:type="auto"/>
          </w:tcPr>
          <w:p w:rsidR="006B6A3E" w:rsidRPr="00691330" w:rsidRDefault="006B6A3E" w:rsidP="00691330">
            <w:pPr>
              <w:spacing w:line="276" w:lineRule="auto"/>
              <w:jc w:val="center"/>
              <w:rPr>
                <w:rFonts w:ascii="Times New Roman" w:eastAsia="Calibri" w:hAnsi="Times New Roman"/>
                <w:sz w:val="24"/>
                <w:szCs w:val="24"/>
                <w:lang w:val="en-US"/>
              </w:rPr>
            </w:pPr>
            <w:r w:rsidRPr="00691330">
              <w:rPr>
                <w:rFonts w:ascii="Times New Roman" w:eastAsia="Calibri" w:hAnsi="Times New Roman"/>
                <w:sz w:val="24"/>
                <w:szCs w:val="24"/>
                <w:lang w:val="en-US"/>
              </w:rPr>
              <w:t>80,33</w:t>
            </w:r>
          </w:p>
        </w:tc>
        <w:tc>
          <w:tcPr>
            <w:tcW w:w="0" w:type="auto"/>
          </w:tcPr>
          <w:p w:rsidR="006B6A3E" w:rsidRPr="00691330" w:rsidRDefault="006B6A3E" w:rsidP="00691330">
            <w:pPr>
              <w:spacing w:line="276" w:lineRule="auto"/>
              <w:jc w:val="center"/>
              <w:rPr>
                <w:rFonts w:ascii="Times New Roman" w:eastAsia="Calibri" w:hAnsi="Times New Roman"/>
                <w:sz w:val="24"/>
                <w:szCs w:val="24"/>
              </w:rPr>
            </w:pPr>
            <w:r w:rsidRPr="00691330">
              <w:rPr>
                <w:rFonts w:ascii="Times New Roman" w:eastAsia="Calibri" w:hAnsi="Times New Roman"/>
                <w:sz w:val="24"/>
                <w:szCs w:val="24"/>
              </w:rPr>
              <w:t>3,02</w:t>
            </w:r>
          </w:p>
        </w:tc>
        <w:tc>
          <w:tcPr>
            <w:tcW w:w="0" w:type="auto"/>
          </w:tcPr>
          <w:p w:rsidR="006B6A3E" w:rsidRPr="00691330" w:rsidRDefault="006B6A3E" w:rsidP="00691330">
            <w:pPr>
              <w:spacing w:line="276" w:lineRule="auto"/>
              <w:jc w:val="center"/>
              <w:rPr>
                <w:rFonts w:ascii="Times New Roman" w:eastAsia="Calibri" w:hAnsi="Times New Roman"/>
                <w:sz w:val="24"/>
                <w:szCs w:val="24"/>
              </w:rPr>
            </w:pPr>
            <w:r w:rsidRPr="00691330">
              <w:rPr>
                <w:rFonts w:ascii="Times New Roman" w:eastAsia="Calibri" w:hAnsi="Times New Roman"/>
                <w:sz w:val="24"/>
                <w:szCs w:val="24"/>
              </w:rPr>
              <w:t>4,28</w:t>
            </w:r>
          </w:p>
        </w:tc>
      </w:tr>
      <w:tr w:rsidR="006B6A3E" w:rsidRPr="00691330" w:rsidTr="006E3A91">
        <w:trPr>
          <w:jc w:val="center"/>
        </w:trPr>
        <w:tc>
          <w:tcPr>
            <w:tcW w:w="0" w:type="auto"/>
          </w:tcPr>
          <w:p w:rsidR="006B6A3E" w:rsidRPr="00691330" w:rsidRDefault="006B6A3E" w:rsidP="00691330">
            <w:pPr>
              <w:spacing w:line="276" w:lineRule="auto"/>
              <w:rPr>
                <w:rFonts w:ascii="Times New Roman" w:eastAsia="Calibri" w:hAnsi="Times New Roman"/>
                <w:sz w:val="24"/>
                <w:szCs w:val="24"/>
                <w:lang w:val="en-US"/>
              </w:rPr>
            </w:pPr>
            <w:r w:rsidRPr="00691330">
              <w:rPr>
                <w:rFonts w:ascii="Times New Roman" w:eastAsia="Calibri" w:hAnsi="Times New Roman"/>
                <w:sz w:val="24"/>
                <w:szCs w:val="24"/>
                <w:lang w:val="en-US"/>
              </w:rPr>
              <w:t>Дніпропетровська</w:t>
            </w:r>
          </w:p>
        </w:tc>
        <w:tc>
          <w:tcPr>
            <w:tcW w:w="0" w:type="auto"/>
          </w:tcPr>
          <w:p w:rsidR="006B6A3E" w:rsidRPr="00691330" w:rsidRDefault="006B6A3E" w:rsidP="00691330">
            <w:pPr>
              <w:spacing w:line="276" w:lineRule="auto"/>
              <w:jc w:val="center"/>
              <w:rPr>
                <w:rFonts w:ascii="Times New Roman" w:hAnsi="Times New Roman"/>
                <w:color w:val="000000"/>
                <w:sz w:val="24"/>
                <w:szCs w:val="24"/>
                <w:lang w:eastAsia="ru-RU"/>
              </w:rPr>
            </w:pPr>
            <w:r w:rsidRPr="00691330">
              <w:rPr>
                <w:rFonts w:ascii="Times New Roman" w:hAnsi="Times New Roman"/>
                <w:color w:val="000000"/>
                <w:sz w:val="24"/>
                <w:szCs w:val="24"/>
                <w:lang w:eastAsia="ru-RU"/>
              </w:rPr>
              <w:t>1 237,00</w:t>
            </w:r>
          </w:p>
        </w:tc>
        <w:tc>
          <w:tcPr>
            <w:tcW w:w="0" w:type="auto"/>
          </w:tcPr>
          <w:p w:rsidR="006B6A3E" w:rsidRPr="00691330" w:rsidRDefault="006B6A3E" w:rsidP="00691330">
            <w:pPr>
              <w:spacing w:line="276" w:lineRule="auto"/>
              <w:jc w:val="center"/>
              <w:rPr>
                <w:rFonts w:ascii="Times New Roman" w:hAnsi="Times New Roman"/>
                <w:color w:val="000000"/>
                <w:sz w:val="24"/>
                <w:szCs w:val="24"/>
                <w:lang w:eastAsia="ru-RU"/>
              </w:rPr>
            </w:pPr>
            <w:r w:rsidRPr="00691330">
              <w:rPr>
                <w:rFonts w:ascii="Times New Roman" w:hAnsi="Times New Roman"/>
                <w:color w:val="000000"/>
                <w:sz w:val="24"/>
                <w:szCs w:val="24"/>
                <w:lang w:eastAsia="ru-RU"/>
              </w:rPr>
              <w:t>1 336,00</w:t>
            </w:r>
          </w:p>
        </w:tc>
        <w:tc>
          <w:tcPr>
            <w:tcW w:w="0" w:type="auto"/>
          </w:tcPr>
          <w:p w:rsidR="006B6A3E" w:rsidRPr="00691330" w:rsidRDefault="006B6A3E" w:rsidP="00691330">
            <w:pPr>
              <w:spacing w:line="276" w:lineRule="auto"/>
              <w:jc w:val="center"/>
              <w:rPr>
                <w:rFonts w:ascii="Times New Roman" w:eastAsia="Calibri" w:hAnsi="Times New Roman"/>
                <w:sz w:val="24"/>
                <w:szCs w:val="24"/>
                <w:lang w:val="en-US"/>
              </w:rPr>
            </w:pPr>
            <w:r w:rsidRPr="00691330">
              <w:rPr>
                <w:rFonts w:ascii="Times New Roman" w:eastAsia="Calibri" w:hAnsi="Times New Roman"/>
                <w:sz w:val="24"/>
                <w:szCs w:val="24"/>
                <w:lang w:val="en-US"/>
              </w:rPr>
              <w:t>89,15</w:t>
            </w:r>
          </w:p>
        </w:tc>
        <w:tc>
          <w:tcPr>
            <w:tcW w:w="0" w:type="auto"/>
          </w:tcPr>
          <w:p w:rsidR="006B6A3E" w:rsidRPr="00691330" w:rsidRDefault="006B6A3E" w:rsidP="00691330">
            <w:pPr>
              <w:spacing w:line="276" w:lineRule="auto"/>
              <w:jc w:val="center"/>
              <w:rPr>
                <w:rFonts w:ascii="Times New Roman" w:eastAsia="Calibri" w:hAnsi="Times New Roman"/>
                <w:sz w:val="24"/>
                <w:szCs w:val="24"/>
                <w:lang w:val="en-US"/>
              </w:rPr>
            </w:pPr>
            <w:r w:rsidRPr="00691330">
              <w:rPr>
                <w:rFonts w:ascii="Times New Roman" w:eastAsia="Calibri" w:hAnsi="Times New Roman"/>
                <w:sz w:val="24"/>
                <w:szCs w:val="24"/>
                <w:lang w:val="en-US"/>
              </w:rPr>
              <w:t>82,10</w:t>
            </w:r>
          </w:p>
        </w:tc>
        <w:tc>
          <w:tcPr>
            <w:tcW w:w="0" w:type="auto"/>
          </w:tcPr>
          <w:p w:rsidR="006B6A3E" w:rsidRPr="00691330" w:rsidRDefault="006B6A3E" w:rsidP="00691330">
            <w:pPr>
              <w:spacing w:line="276" w:lineRule="auto"/>
              <w:jc w:val="center"/>
              <w:rPr>
                <w:rFonts w:ascii="Times New Roman" w:eastAsia="Calibri" w:hAnsi="Times New Roman"/>
                <w:sz w:val="24"/>
                <w:szCs w:val="24"/>
                <w:lang w:val="en-US"/>
              </w:rPr>
            </w:pPr>
            <w:r w:rsidRPr="00691330">
              <w:rPr>
                <w:rFonts w:ascii="Times New Roman" w:eastAsia="Calibri" w:hAnsi="Times New Roman"/>
                <w:sz w:val="24"/>
                <w:szCs w:val="24"/>
                <w:lang w:val="en-US"/>
              </w:rPr>
              <w:t>76,03</w:t>
            </w:r>
          </w:p>
        </w:tc>
        <w:tc>
          <w:tcPr>
            <w:tcW w:w="0" w:type="auto"/>
          </w:tcPr>
          <w:p w:rsidR="006B6A3E" w:rsidRPr="00691330" w:rsidRDefault="006B6A3E" w:rsidP="00691330">
            <w:pPr>
              <w:spacing w:line="276" w:lineRule="auto"/>
              <w:jc w:val="center"/>
              <w:rPr>
                <w:rFonts w:ascii="Times New Roman" w:eastAsia="Calibri" w:hAnsi="Times New Roman"/>
                <w:sz w:val="24"/>
                <w:szCs w:val="24"/>
                <w:lang w:val="en-US"/>
              </w:rPr>
            </w:pPr>
            <w:r w:rsidRPr="00691330">
              <w:rPr>
                <w:rFonts w:ascii="Times New Roman" w:eastAsia="Calibri" w:hAnsi="Times New Roman"/>
                <w:sz w:val="24"/>
                <w:szCs w:val="24"/>
                <w:lang w:val="en-US"/>
              </w:rPr>
              <w:t>71,81</w:t>
            </w:r>
          </w:p>
        </w:tc>
        <w:tc>
          <w:tcPr>
            <w:tcW w:w="0" w:type="auto"/>
          </w:tcPr>
          <w:p w:rsidR="006B6A3E" w:rsidRPr="00691330" w:rsidRDefault="006B6A3E" w:rsidP="00691330">
            <w:pPr>
              <w:spacing w:line="276" w:lineRule="auto"/>
              <w:jc w:val="center"/>
              <w:rPr>
                <w:rFonts w:ascii="Times New Roman" w:eastAsia="Calibri" w:hAnsi="Times New Roman"/>
                <w:sz w:val="24"/>
                <w:szCs w:val="24"/>
              </w:rPr>
            </w:pPr>
            <w:r w:rsidRPr="00691330">
              <w:rPr>
                <w:rFonts w:ascii="Times New Roman" w:eastAsia="Calibri" w:hAnsi="Times New Roman"/>
                <w:sz w:val="24"/>
                <w:szCs w:val="24"/>
              </w:rPr>
              <w:t>3,81</w:t>
            </w:r>
          </w:p>
        </w:tc>
        <w:tc>
          <w:tcPr>
            <w:tcW w:w="0" w:type="auto"/>
          </w:tcPr>
          <w:p w:rsidR="006B6A3E" w:rsidRPr="00691330" w:rsidRDefault="006B6A3E" w:rsidP="00691330">
            <w:pPr>
              <w:spacing w:line="276" w:lineRule="auto"/>
              <w:jc w:val="center"/>
              <w:rPr>
                <w:rFonts w:ascii="Times New Roman" w:eastAsia="Calibri" w:hAnsi="Times New Roman"/>
                <w:sz w:val="24"/>
                <w:szCs w:val="24"/>
              </w:rPr>
            </w:pPr>
            <w:r w:rsidRPr="00691330">
              <w:rPr>
                <w:rFonts w:ascii="Times New Roman" w:eastAsia="Calibri" w:hAnsi="Times New Roman"/>
                <w:sz w:val="24"/>
                <w:szCs w:val="24"/>
              </w:rPr>
              <w:t>4,29</w:t>
            </w:r>
          </w:p>
        </w:tc>
      </w:tr>
      <w:tr w:rsidR="006B6A3E" w:rsidRPr="00691330" w:rsidTr="006E3A91">
        <w:trPr>
          <w:jc w:val="center"/>
        </w:trPr>
        <w:tc>
          <w:tcPr>
            <w:tcW w:w="0" w:type="auto"/>
          </w:tcPr>
          <w:p w:rsidR="006B6A3E" w:rsidRPr="00691330" w:rsidRDefault="006B6A3E" w:rsidP="00691330">
            <w:pPr>
              <w:spacing w:line="276" w:lineRule="auto"/>
              <w:rPr>
                <w:rFonts w:ascii="Times New Roman" w:eastAsia="Calibri" w:hAnsi="Times New Roman"/>
                <w:sz w:val="24"/>
                <w:szCs w:val="24"/>
                <w:lang w:val="en-US"/>
              </w:rPr>
            </w:pPr>
            <w:r w:rsidRPr="00691330">
              <w:rPr>
                <w:rFonts w:ascii="Times New Roman" w:eastAsia="Calibri" w:hAnsi="Times New Roman"/>
                <w:sz w:val="24"/>
                <w:szCs w:val="24"/>
                <w:lang w:val="en-US"/>
              </w:rPr>
              <w:t>Донецька</w:t>
            </w:r>
          </w:p>
        </w:tc>
        <w:tc>
          <w:tcPr>
            <w:tcW w:w="0" w:type="auto"/>
          </w:tcPr>
          <w:p w:rsidR="006B6A3E" w:rsidRPr="00691330" w:rsidRDefault="006B6A3E" w:rsidP="00691330">
            <w:pPr>
              <w:spacing w:line="276" w:lineRule="auto"/>
              <w:jc w:val="center"/>
              <w:rPr>
                <w:rFonts w:ascii="Times New Roman" w:hAnsi="Times New Roman"/>
                <w:color w:val="000000"/>
                <w:sz w:val="24"/>
                <w:szCs w:val="24"/>
                <w:lang w:eastAsia="ru-RU"/>
              </w:rPr>
            </w:pPr>
            <w:r w:rsidRPr="00691330">
              <w:rPr>
                <w:rFonts w:ascii="Times New Roman" w:hAnsi="Times New Roman"/>
                <w:color w:val="000000"/>
                <w:sz w:val="24"/>
                <w:szCs w:val="24"/>
                <w:lang w:eastAsia="ru-RU"/>
              </w:rPr>
              <w:t>460,00</w:t>
            </w:r>
          </w:p>
        </w:tc>
        <w:tc>
          <w:tcPr>
            <w:tcW w:w="0" w:type="auto"/>
          </w:tcPr>
          <w:p w:rsidR="006B6A3E" w:rsidRPr="00691330" w:rsidRDefault="006B6A3E" w:rsidP="00691330">
            <w:pPr>
              <w:spacing w:line="276" w:lineRule="auto"/>
              <w:jc w:val="center"/>
              <w:rPr>
                <w:rFonts w:ascii="Times New Roman" w:hAnsi="Times New Roman"/>
                <w:color w:val="000000"/>
                <w:sz w:val="24"/>
                <w:szCs w:val="24"/>
                <w:lang w:eastAsia="ru-RU"/>
              </w:rPr>
            </w:pPr>
            <w:r w:rsidRPr="00691330">
              <w:rPr>
                <w:rFonts w:ascii="Times New Roman" w:hAnsi="Times New Roman"/>
                <w:color w:val="000000"/>
                <w:sz w:val="24"/>
                <w:szCs w:val="24"/>
                <w:lang w:eastAsia="ru-RU"/>
              </w:rPr>
              <w:t>523,00</w:t>
            </w:r>
          </w:p>
        </w:tc>
        <w:tc>
          <w:tcPr>
            <w:tcW w:w="0" w:type="auto"/>
          </w:tcPr>
          <w:p w:rsidR="006B6A3E" w:rsidRPr="00691330" w:rsidRDefault="006B6A3E" w:rsidP="00691330">
            <w:pPr>
              <w:spacing w:line="276" w:lineRule="auto"/>
              <w:jc w:val="center"/>
              <w:rPr>
                <w:rFonts w:ascii="Times New Roman" w:eastAsia="Calibri" w:hAnsi="Times New Roman"/>
                <w:sz w:val="24"/>
                <w:szCs w:val="24"/>
                <w:lang w:val="en-US"/>
              </w:rPr>
            </w:pPr>
            <w:r w:rsidRPr="00691330">
              <w:rPr>
                <w:rFonts w:ascii="Times New Roman" w:eastAsia="Calibri" w:hAnsi="Times New Roman"/>
                <w:sz w:val="24"/>
                <w:szCs w:val="24"/>
                <w:lang w:val="en-US"/>
              </w:rPr>
              <w:t>79,75</w:t>
            </w:r>
          </w:p>
        </w:tc>
        <w:tc>
          <w:tcPr>
            <w:tcW w:w="0" w:type="auto"/>
          </w:tcPr>
          <w:p w:rsidR="006B6A3E" w:rsidRPr="00691330" w:rsidRDefault="006B6A3E" w:rsidP="00691330">
            <w:pPr>
              <w:spacing w:line="276" w:lineRule="auto"/>
              <w:jc w:val="center"/>
              <w:rPr>
                <w:rFonts w:ascii="Times New Roman" w:eastAsia="Calibri" w:hAnsi="Times New Roman"/>
                <w:sz w:val="24"/>
                <w:szCs w:val="24"/>
                <w:lang w:val="en-US"/>
              </w:rPr>
            </w:pPr>
            <w:r w:rsidRPr="00691330">
              <w:rPr>
                <w:rFonts w:ascii="Times New Roman" w:eastAsia="Calibri" w:hAnsi="Times New Roman"/>
                <w:sz w:val="24"/>
                <w:szCs w:val="24"/>
                <w:lang w:val="en-US"/>
              </w:rPr>
              <w:t>74,43</w:t>
            </w:r>
          </w:p>
        </w:tc>
        <w:tc>
          <w:tcPr>
            <w:tcW w:w="0" w:type="auto"/>
          </w:tcPr>
          <w:p w:rsidR="006B6A3E" w:rsidRPr="00691330" w:rsidRDefault="006B6A3E" w:rsidP="00691330">
            <w:pPr>
              <w:spacing w:line="276" w:lineRule="auto"/>
              <w:jc w:val="center"/>
              <w:rPr>
                <w:rFonts w:ascii="Times New Roman" w:eastAsia="Calibri" w:hAnsi="Times New Roman"/>
                <w:sz w:val="24"/>
                <w:szCs w:val="24"/>
                <w:lang w:val="en-US"/>
              </w:rPr>
            </w:pPr>
            <w:r w:rsidRPr="00691330">
              <w:rPr>
                <w:rFonts w:ascii="Times New Roman" w:eastAsia="Calibri" w:hAnsi="Times New Roman"/>
                <w:sz w:val="24"/>
                <w:szCs w:val="24"/>
                <w:lang w:val="en-US"/>
              </w:rPr>
              <w:t>67,01</w:t>
            </w:r>
          </w:p>
        </w:tc>
        <w:tc>
          <w:tcPr>
            <w:tcW w:w="0" w:type="auto"/>
          </w:tcPr>
          <w:p w:rsidR="006B6A3E" w:rsidRPr="00691330" w:rsidRDefault="006B6A3E" w:rsidP="00691330">
            <w:pPr>
              <w:spacing w:line="276" w:lineRule="auto"/>
              <w:jc w:val="center"/>
              <w:rPr>
                <w:rFonts w:ascii="Times New Roman" w:eastAsia="Calibri" w:hAnsi="Times New Roman"/>
                <w:sz w:val="24"/>
                <w:szCs w:val="24"/>
                <w:lang w:val="en-US"/>
              </w:rPr>
            </w:pPr>
            <w:r w:rsidRPr="00691330">
              <w:rPr>
                <w:rFonts w:ascii="Times New Roman" w:eastAsia="Calibri" w:hAnsi="Times New Roman"/>
                <w:sz w:val="24"/>
                <w:szCs w:val="24"/>
                <w:lang w:val="en-US"/>
              </w:rPr>
              <w:t>65,40</w:t>
            </w:r>
          </w:p>
        </w:tc>
        <w:tc>
          <w:tcPr>
            <w:tcW w:w="0" w:type="auto"/>
          </w:tcPr>
          <w:p w:rsidR="006B6A3E" w:rsidRPr="00691330" w:rsidRDefault="006B6A3E" w:rsidP="00691330">
            <w:pPr>
              <w:spacing w:line="276" w:lineRule="auto"/>
              <w:jc w:val="center"/>
              <w:rPr>
                <w:rFonts w:ascii="Times New Roman" w:eastAsia="Calibri" w:hAnsi="Times New Roman"/>
                <w:sz w:val="24"/>
                <w:szCs w:val="24"/>
              </w:rPr>
            </w:pPr>
            <w:r w:rsidRPr="00691330">
              <w:rPr>
                <w:rFonts w:ascii="Times New Roman" w:eastAsia="Calibri" w:hAnsi="Times New Roman"/>
                <w:sz w:val="24"/>
                <w:szCs w:val="24"/>
              </w:rPr>
              <w:t>1,08</w:t>
            </w:r>
          </w:p>
        </w:tc>
        <w:tc>
          <w:tcPr>
            <w:tcW w:w="0" w:type="auto"/>
          </w:tcPr>
          <w:p w:rsidR="006B6A3E" w:rsidRPr="00691330" w:rsidRDefault="006B6A3E" w:rsidP="00691330">
            <w:pPr>
              <w:spacing w:line="276" w:lineRule="auto"/>
              <w:jc w:val="center"/>
              <w:rPr>
                <w:rFonts w:ascii="Times New Roman" w:eastAsia="Calibri" w:hAnsi="Times New Roman"/>
                <w:sz w:val="24"/>
                <w:szCs w:val="24"/>
              </w:rPr>
            </w:pPr>
            <w:r w:rsidRPr="00691330">
              <w:rPr>
                <w:rFonts w:ascii="Times New Roman" w:eastAsia="Calibri" w:hAnsi="Times New Roman"/>
                <w:sz w:val="24"/>
                <w:szCs w:val="24"/>
              </w:rPr>
              <w:t>2,80</w:t>
            </w:r>
          </w:p>
        </w:tc>
      </w:tr>
      <w:tr w:rsidR="006B6A3E" w:rsidRPr="00691330" w:rsidTr="006E3A91">
        <w:trPr>
          <w:jc w:val="center"/>
        </w:trPr>
        <w:tc>
          <w:tcPr>
            <w:tcW w:w="0" w:type="auto"/>
          </w:tcPr>
          <w:p w:rsidR="006B6A3E" w:rsidRPr="00691330" w:rsidRDefault="006B6A3E" w:rsidP="00691330">
            <w:pPr>
              <w:spacing w:line="276" w:lineRule="auto"/>
              <w:rPr>
                <w:rFonts w:ascii="Times New Roman" w:eastAsia="Calibri" w:hAnsi="Times New Roman"/>
                <w:sz w:val="24"/>
                <w:szCs w:val="24"/>
                <w:lang w:val="en-US"/>
              </w:rPr>
            </w:pPr>
            <w:r w:rsidRPr="00691330">
              <w:rPr>
                <w:rFonts w:ascii="Times New Roman" w:eastAsia="Calibri" w:hAnsi="Times New Roman"/>
                <w:sz w:val="24"/>
                <w:szCs w:val="24"/>
                <w:lang w:val="en-US"/>
              </w:rPr>
              <w:t>Житомирська</w:t>
            </w:r>
          </w:p>
        </w:tc>
        <w:tc>
          <w:tcPr>
            <w:tcW w:w="0" w:type="auto"/>
          </w:tcPr>
          <w:p w:rsidR="006B6A3E" w:rsidRPr="00691330" w:rsidRDefault="006B6A3E" w:rsidP="00691330">
            <w:pPr>
              <w:spacing w:line="276" w:lineRule="auto"/>
              <w:jc w:val="center"/>
              <w:rPr>
                <w:rFonts w:ascii="Times New Roman" w:hAnsi="Times New Roman"/>
                <w:color w:val="000000"/>
                <w:sz w:val="24"/>
                <w:szCs w:val="24"/>
                <w:lang w:eastAsia="ru-RU"/>
              </w:rPr>
            </w:pPr>
            <w:r w:rsidRPr="00691330">
              <w:rPr>
                <w:rFonts w:ascii="Times New Roman" w:hAnsi="Times New Roman"/>
                <w:color w:val="000000"/>
                <w:sz w:val="24"/>
                <w:szCs w:val="24"/>
                <w:lang w:eastAsia="ru-RU"/>
              </w:rPr>
              <w:t>512,00</w:t>
            </w:r>
          </w:p>
        </w:tc>
        <w:tc>
          <w:tcPr>
            <w:tcW w:w="0" w:type="auto"/>
          </w:tcPr>
          <w:p w:rsidR="006B6A3E" w:rsidRPr="00691330" w:rsidRDefault="006B6A3E" w:rsidP="00691330">
            <w:pPr>
              <w:spacing w:line="276" w:lineRule="auto"/>
              <w:jc w:val="center"/>
              <w:rPr>
                <w:rFonts w:ascii="Times New Roman" w:hAnsi="Times New Roman"/>
                <w:color w:val="000000"/>
                <w:sz w:val="24"/>
                <w:szCs w:val="24"/>
                <w:lang w:eastAsia="ru-RU"/>
              </w:rPr>
            </w:pPr>
            <w:r w:rsidRPr="00691330">
              <w:rPr>
                <w:rFonts w:ascii="Times New Roman" w:hAnsi="Times New Roman"/>
                <w:color w:val="000000"/>
                <w:sz w:val="24"/>
                <w:szCs w:val="24"/>
                <w:lang w:eastAsia="ru-RU"/>
              </w:rPr>
              <w:t>529,00</w:t>
            </w:r>
          </w:p>
        </w:tc>
        <w:tc>
          <w:tcPr>
            <w:tcW w:w="0" w:type="auto"/>
          </w:tcPr>
          <w:p w:rsidR="006B6A3E" w:rsidRPr="00691330" w:rsidRDefault="006B6A3E" w:rsidP="00691330">
            <w:pPr>
              <w:spacing w:line="276" w:lineRule="auto"/>
              <w:jc w:val="center"/>
              <w:rPr>
                <w:rFonts w:ascii="Times New Roman" w:eastAsia="Calibri" w:hAnsi="Times New Roman"/>
                <w:sz w:val="24"/>
                <w:szCs w:val="24"/>
                <w:lang w:val="en-US"/>
              </w:rPr>
            </w:pPr>
            <w:r w:rsidRPr="00691330">
              <w:rPr>
                <w:rFonts w:ascii="Times New Roman" w:eastAsia="Calibri" w:hAnsi="Times New Roman"/>
                <w:sz w:val="24"/>
                <w:szCs w:val="24"/>
                <w:lang w:val="en-US"/>
              </w:rPr>
              <w:t>90,81</w:t>
            </w:r>
          </w:p>
        </w:tc>
        <w:tc>
          <w:tcPr>
            <w:tcW w:w="0" w:type="auto"/>
          </w:tcPr>
          <w:p w:rsidR="006B6A3E" w:rsidRPr="00691330" w:rsidRDefault="006B6A3E" w:rsidP="00691330">
            <w:pPr>
              <w:spacing w:line="276" w:lineRule="auto"/>
              <w:jc w:val="center"/>
              <w:rPr>
                <w:rFonts w:ascii="Times New Roman" w:eastAsia="Calibri" w:hAnsi="Times New Roman"/>
                <w:sz w:val="24"/>
                <w:szCs w:val="24"/>
                <w:lang w:val="en-US"/>
              </w:rPr>
            </w:pPr>
            <w:r w:rsidRPr="00691330">
              <w:rPr>
                <w:rFonts w:ascii="Times New Roman" w:eastAsia="Calibri" w:hAnsi="Times New Roman"/>
                <w:sz w:val="24"/>
                <w:szCs w:val="24"/>
                <w:lang w:val="en-US"/>
              </w:rPr>
              <w:t>85,68</w:t>
            </w:r>
          </w:p>
        </w:tc>
        <w:tc>
          <w:tcPr>
            <w:tcW w:w="0" w:type="auto"/>
          </w:tcPr>
          <w:p w:rsidR="006B6A3E" w:rsidRPr="00691330" w:rsidRDefault="006B6A3E" w:rsidP="00691330">
            <w:pPr>
              <w:spacing w:line="276" w:lineRule="auto"/>
              <w:jc w:val="center"/>
              <w:rPr>
                <w:rFonts w:ascii="Times New Roman" w:eastAsia="Calibri" w:hAnsi="Times New Roman"/>
                <w:sz w:val="24"/>
                <w:szCs w:val="24"/>
                <w:lang w:val="en-US"/>
              </w:rPr>
            </w:pPr>
            <w:r w:rsidRPr="00691330">
              <w:rPr>
                <w:rFonts w:ascii="Times New Roman" w:eastAsia="Calibri" w:hAnsi="Times New Roman"/>
                <w:sz w:val="24"/>
                <w:szCs w:val="24"/>
                <w:lang w:val="en-US"/>
              </w:rPr>
              <w:t>72,09</w:t>
            </w:r>
          </w:p>
        </w:tc>
        <w:tc>
          <w:tcPr>
            <w:tcW w:w="0" w:type="auto"/>
          </w:tcPr>
          <w:p w:rsidR="006B6A3E" w:rsidRPr="00691330" w:rsidRDefault="006B6A3E" w:rsidP="00691330">
            <w:pPr>
              <w:spacing w:line="276" w:lineRule="auto"/>
              <w:jc w:val="center"/>
              <w:rPr>
                <w:rFonts w:ascii="Times New Roman" w:eastAsia="Calibri" w:hAnsi="Times New Roman"/>
                <w:sz w:val="24"/>
                <w:szCs w:val="24"/>
                <w:lang w:val="en-US"/>
              </w:rPr>
            </w:pPr>
            <w:r w:rsidRPr="00691330">
              <w:rPr>
                <w:rFonts w:ascii="Times New Roman" w:eastAsia="Calibri" w:hAnsi="Times New Roman"/>
                <w:sz w:val="24"/>
                <w:szCs w:val="24"/>
                <w:lang w:val="en-US"/>
              </w:rPr>
              <w:t>75,57</w:t>
            </w:r>
          </w:p>
        </w:tc>
        <w:tc>
          <w:tcPr>
            <w:tcW w:w="0" w:type="auto"/>
          </w:tcPr>
          <w:p w:rsidR="006B6A3E" w:rsidRPr="00691330" w:rsidRDefault="006B6A3E" w:rsidP="00691330">
            <w:pPr>
              <w:spacing w:line="276" w:lineRule="auto"/>
              <w:jc w:val="center"/>
              <w:rPr>
                <w:rFonts w:ascii="Times New Roman" w:eastAsia="Calibri" w:hAnsi="Times New Roman"/>
                <w:sz w:val="24"/>
                <w:szCs w:val="24"/>
              </w:rPr>
            </w:pPr>
            <w:r w:rsidRPr="00691330">
              <w:rPr>
                <w:rFonts w:ascii="Times New Roman" w:eastAsia="Calibri" w:hAnsi="Times New Roman"/>
                <w:sz w:val="24"/>
                <w:szCs w:val="24"/>
              </w:rPr>
              <w:t>4,27</w:t>
            </w:r>
          </w:p>
        </w:tc>
        <w:tc>
          <w:tcPr>
            <w:tcW w:w="0" w:type="auto"/>
          </w:tcPr>
          <w:p w:rsidR="006B6A3E" w:rsidRPr="00691330" w:rsidRDefault="006B6A3E" w:rsidP="00691330">
            <w:pPr>
              <w:spacing w:line="276" w:lineRule="auto"/>
              <w:jc w:val="center"/>
              <w:rPr>
                <w:rFonts w:ascii="Times New Roman" w:eastAsia="Calibri" w:hAnsi="Times New Roman"/>
                <w:sz w:val="24"/>
                <w:szCs w:val="24"/>
              </w:rPr>
            </w:pPr>
            <w:r w:rsidRPr="00691330">
              <w:rPr>
                <w:rFonts w:ascii="Times New Roman" w:eastAsia="Calibri" w:hAnsi="Times New Roman"/>
                <w:sz w:val="24"/>
                <w:szCs w:val="24"/>
              </w:rPr>
              <w:t>4,47</w:t>
            </w:r>
          </w:p>
        </w:tc>
      </w:tr>
      <w:tr w:rsidR="006B6A3E" w:rsidRPr="00691330" w:rsidTr="006E3A91">
        <w:trPr>
          <w:jc w:val="center"/>
        </w:trPr>
        <w:tc>
          <w:tcPr>
            <w:tcW w:w="0" w:type="auto"/>
          </w:tcPr>
          <w:p w:rsidR="006B6A3E" w:rsidRPr="00691330" w:rsidRDefault="006B6A3E" w:rsidP="00691330">
            <w:pPr>
              <w:spacing w:line="276" w:lineRule="auto"/>
              <w:rPr>
                <w:rFonts w:ascii="Times New Roman" w:eastAsia="Calibri" w:hAnsi="Times New Roman"/>
                <w:sz w:val="24"/>
                <w:szCs w:val="24"/>
                <w:lang w:val="en-US"/>
              </w:rPr>
            </w:pPr>
            <w:r w:rsidRPr="00691330">
              <w:rPr>
                <w:rFonts w:ascii="Times New Roman" w:eastAsia="Calibri" w:hAnsi="Times New Roman"/>
                <w:sz w:val="24"/>
                <w:szCs w:val="24"/>
                <w:lang w:val="en-US"/>
              </w:rPr>
              <w:t>Закарпатська</w:t>
            </w:r>
          </w:p>
        </w:tc>
        <w:tc>
          <w:tcPr>
            <w:tcW w:w="0" w:type="auto"/>
          </w:tcPr>
          <w:p w:rsidR="006B6A3E" w:rsidRPr="00691330" w:rsidRDefault="006B6A3E" w:rsidP="00691330">
            <w:pPr>
              <w:spacing w:line="276" w:lineRule="auto"/>
              <w:jc w:val="center"/>
              <w:rPr>
                <w:rFonts w:ascii="Times New Roman" w:hAnsi="Times New Roman"/>
                <w:color w:val="000000"/>
                <w:sz w:val="24"/>
                <w:szCs w:val="24"/>
                <w:lang w:eastAsia="ru-RU"/>
              </w:rPr>
            </w:pPr>
            <w:r w:rsidRPr="00691330">
              <w:rPr>
                <w:rFonts w:ascii="Times New Roman" w:hAnsi="Times New Roman"/>
                <w:color w:val="000000"/>
                <w:sz w:val="24"/>
                <w:szCs w:val="24"/>
                <w:lang w:eastAsia="ru-RU"/>
              </w:rPr>
              <w:t>570,00</w:t>
            </w:r>
          </w:p>
        </w:tc>
        <w:tc>
          <w:tcPr>
            <w:tcW w:w="0" w:type="auto"/>
          </w:tcPr>
          <w:p w:rsidR="006B6A3E" w:rsidRPr="00691330" w:rsidRDefault="006B6A3E" w:rsidP="00691330">
            <w:pPr>
              <w:spacing w:line="276" w:lineRule="auto"/>
              <w:jc w:val="center"/>
              <w:rPr>
                <w:rFonts w:ascii="Times New Roman" w:hAnsi="Times New Roman"/>
                <w:color w:val="000000"/>
                <w:sz w:val="24"/>
                <w:szCs w:val="24"/>
                <w:lang w:eastAsia="ru-RU"/>
              </w:rPr>
            </w:pPr>
            <w:r w:rsidRPr="00691330">
              <w:rPr>
                <w:rFonts w:ascii="Times New Roman" w:hAnsi="Times New Roman"/>
                <w:color w:val="000000"/>
                <w:sz w:val="24"/>
                <w:szCs w:val="24"/>
                <w:lang w:eastAsia="ru-RU"/>
              </w:rPr>
              <w:t>665,00</w:t>
            </w:r>
          </w:p>
        </w:tc>
        <w:tc>
          <w:tcPr>
            <w:tcW w:w="0" w:type="auto"/>
          </w:tcPr>
          <w:p w:rsidR="006B6A3E" w:rsidRPr="00691330" w:rsidRDefault="006B6A3E" w:rsidP="00691330">
            <w:pPr>
              <w:spacing w:line="276" w:lineRule="auto"/>
              <w:jc w:val="center"/>
              <w:rPr>
                <w:rFonts w:ascii="Times New Roman" w:eastAsia="Calibri" w:hAnsi="Times New Roman"/>
                <w:sz w:val="24"/>
                <w:szCs w:val="24"/>
                <w:lang w:val="en-US"/>
              </w:rPr>
            </w:pPr>
            <w:r w:rsidRPr="00691330">
              <w:rPr>
                <w:rFonts w:ascii="Times New Roman" w:eastAsia="Calibri" w:hAnsi="Times New Roman"/>
                <w:sz w:val="24"/>
                <w:szCs w:val="24"/>
                <w:lang w:val="en-US"/>
              </w:rPr>
              <w:t>91,99</w:t>
            </w:r>
          </w:p>
        </w:tc>
        <w:tc>
          <w:tcPr>
            <w:tcW w:w="0" w:type="auto"/>
          </w:tcPr>
          <w:p w:rsidR="006B6A3E" w:rsidRPr="00691330" w:rsidRDefault="006B6A3E" w:rsidP="00691330">
            <w:pPr>
              <w:spacing w:line="276" w:lineRule="auto"/>
              <w:jc w:val="center"/>
              <w:rPr>
                <w:rFonts w:ascii="Times New Roman" w:eastAsia="Calibri" w:hAnsi="Times New Roman"/>
                <w:sz w:val="24"/>
                <w:szCs w:val="24"/>
                <w:lang w:val="en-US"/>
              </w:rPr>
            </w:pPr>
            <w:r w:rsidRPr="00691330">
              <w:rPr>
                <w:rFonts w:ascii="Times New Roman" w:eastAsia="Calibri" w:hAnsi="Times New Roman"/>
                <w:sz w:val="24"/>
                <w:szCs w:val="24"/>
                <w:lang w:val="en-US"/>
              </w:rPr>
              <w:t>87,62</w:t>
            </w:r>
          </w:p>
        </w:tc>
        <w:tc>
          <w:tcPr>
            <w:tcW w:w="0" w:type="auto"/>
          </w:tcPr>
          <w:p w:rsidR="006B6A3E" w:rsidRPr="00691330" w:rsidRDefault="006B6A3E" w:rsidP="00691330">
            <w:pPr>
              <w:spacing w:line="276" w:lineRule="auto"/>
              <w:jc w:val="center"/>
              <w:rPr>
                <w:rFonts w:ascii="Times New Roman" w:eastAsia="Calibri" w:hAnsi="Times New Roman"/>
                <w:sz w:val="24"/>
                <w:szCs w:val="24"/>
                <w:lang w:val="en-US"/>
              </w:rPr>
            </w:pPr>
            <w:r w:rsidRPr="00691330">
              <w:rPr>
                <w:rFonts w:ascii="Times New Roman" w:eastAsia="Calibri" w:hAnsi="Times New Roman"/>
                <w:sz w:val="24"/>
                <w:szCs w:val="24"/>
                <w:lang w:val="en-US"/>
              </w:rPr>
              <w:t>87,39</w:t>
            </w:r>
          </w:p>
        </w:tc>
        <w:tc>
          <w:tcPr>
            <w:tcW w:w="0" w:type="auto"/>
          </w:tcPr>
          <w:p w:rsidR="006B6A3E" w:rsidRPr="00691330" w:rsidRDefault="006B6A3E" w:rsidP="00691330">
            <w:pPr>
              <w:spacing w:line="276" w:lineRule="auto"/>
              <w:jc w:val="center"/>
              <w:rPr>
                <w:rFonts w:ascii="Times New Roman" w:eastAsia="Calibri" w:hAnsi="Times New Roman"/>
                <w:sz w:val="24"/>
                <w:szCs w:val="24"/>
                <w:lang w:val="en-US"/>
              </w:rPr>
            </w:pPr>
            <w:r w:rsidRPr="00691330">
              <w:rPr>
                <w:rFonts w:ascii="Times New Roman" w:eastAsia="Calibri" w:hAnsi="Times New Roman"/>
                <w:sz w:val="24"/>
                <w:szCs w:val="24"/>
                <w:lang w:val="en-US"/>
              </w:rPr>
              <w:t>85,07</w:t>
            </w:r>
          </w:p>
        </w:tc>
        <w:tc>
          <w:tcPr>
            <w:tcW w:w="0" w:type="auto"/>
          </w:tcPr>
          <w:p w:rsidR="006B6A3E" w:rsidRPr="00691330" w:rsidRDefault="006B6A3E" w:rsidP="00691330">
            <w:pPr>
              <w:spacing w:line="276" w:lineRule="auto"/>
              <w:jc w:val="center"/>
              <w:rPr>
                <w:rFonts w:ascii="Times New Roman" w:eastAsia="Calibri" w:hAnsi="Times New Roman"/>
                <w:sz w:val="24"/>
                <w:szCs w:val="24"/>
              </w:rPr>
            </w:pPr>
            <w:r w:rsidRPr="00691330">
              <w:rPr>
                <w:rFonts w:ascii="Times New Roman" w:eastAsia="Calibri" w:hAnsi="Times New Roman"/>
                <w:sz w:val="24"/>
                <w:szCs w:val="24"/>
              </w:rPr>
              <w:t>4,68</w:t>
            </w:r>
          </w:p>
        </w:tc>
        <w:tc>
          <w:tcPr>
            <w:tcW w:w="0" w:type="auto"/>
          </w:tcPr>
          <w:p w:rsidR="006B6A3E" w:rsidRPr="00691330" w:rsidRDefault="006B6A3E" w:rsidP="00691330">
            <w:pPr>
              <w:spacing w:line="276" w:lineRule="auto"/>
              <w:jc w:val="center"/>
              <w:rPr>
                <w:rFonts w:ascii="Times New Roman" w:eastAsia="Calibri" w:hAnsi="Times New Roman"/>
                <w:sz w:val="24"/>
                <w:szCs w:val="24"/>
              </w:rPr>
            </w:pPr>
            <w:r w:rsidRPr="00691330">
              <w:rPr>
                <w:rFonts w:ascii="Times New Roman" w:eastAsia="Calibri" w:hAnsi="Times New Roman"/>
                <w:sz w:val="24"/>
                <w:szCs w:val="24"/>
              </w:rPr>
              <w:t>5,41</w:t>
            </w:r>
          </w:p>
        </w:tc>
      </w:tr>
      <w:tr w:rsidR="006B6A3E" w:rsidRPr="00691330" w:rsidTr="006E3A91">
        <w:trPr>
          <w:jc w:val="center"/>
        </w:trPr>
        <w:tc>
          <w:tcPr>
            <w:tcW w:w="0" w:type="auto"/>
          </w:tcPr>
          <w:p w:rsidR="006B6A3E" w:rsidRPr="00691330" w:rsidRDefault="006B6A3E" w:rsidP="00691330">
            <w:pPr>
              <w:spacing w:line="276" w:lineRule="auto"/>
              <w:rPr>
                <w:rFonts w:ascii="Times New Roman" w:eastAsia="Calibri" w:hAnsi="Times New Roman"/>
                <w:sz w:val="24"/>
                <w:szCs w:val="24"/>
                <w:lang w:val="en-US"/>
              </w:rPr>
            </w:pPr>
            <w:r w:rsidRPr="00691330">
              <w:rPr>
                <w:rFonts w:ascii="Times New Roman" w:eastAsia="Calibri" w:hAnsi="Times New Roman"/>
                <w:sz w:val="24"/>
                <w:szCs w:val="24"/>
                <w:lang w:val="en-US"/>
              </w:rPr>
              <w:t>Запорізька</w:t>
            </w:r>
          </w:p>
        </w:tc>
        <w:tc>
          <w:tcPr>
            <w:tcW w:w="0" w:type="auto"/>
          </w:tcPr>
          <w:p w:rsidR="006B6A3E" w:rsidRPr="00691330" w:rsidRDefault="006B6A3E" w:rsidP="00691330">
            <w:pPr>
              <w:spacing w:line="276" w:lineRule="auto"/>
              <w:jc w:val="center"/>
              <w:rPr>
                <w:rFonts w:ascii="Times New Roman" w:hAnsi="Times New Roman"/>
                <w:color w:val="000000"/>
                <w:sz w:val="24"/>
                <w:szCs w:val="24"/>
                <w:lang w:eastAsia="ru-RU"/>
              </w:rPr>
            </w:pPr>
            <w:r w:rsidRPr="00691330">
              <w:rPr>
                <w:rFonts w:ascii="Times New Roman" w:hAnsi="Times New Roman"/>
                <w:color w:val="000000"/>
                <w:sz w:val="24"/>
                <w:szCs w:val="24"/>
                <w:lang w:eastAsia="ru-RU"/>
              </w:rPr>
              <w:t>506,00</w:t>
            </w:r>
          </w:p>
        </w:tc>
        <w:tc>
          <w:tcPr>
            <w:tcW w:w="0" w:type="auto"/>
          </w:tcPr>
          <w:p w:rsidR="006B6A3E" w:rsidRPr="00691330" w:rsidRDefault="006B6A3E" w:rsidP="00691330">
            <w:pPr>
              <w:spacing w:line="276" w:lineRule="auto"/>
              <w:jc w:val="center"/>
              <w:rPr>
                <w:rFonts w:ascii="Times New Roman" w:hAnsi="Times New Roman"/>
                <w:color w:val="000000"/>
                <w:sz w:val="24"/>
                <w:szCs w:val="24"/>
                <w:lang w:eastAsia="ru-RU"/>
              </w:rPr>
            </w:pPr>
            <w:r w:rsidRPr="00691330">
              <w:rPr>
                <w:rFonts w:ascii="Times New Roman" w:hAnsi="Times New Roman"/>
                <w:color w:val="000000"/>
                <w:sz w:val="24"/>
                <w:szCs w:val="24"/>
                <w:lang w:eastAsia="ru-RU"/>
              </w:rPr>
              <w:t>670,00</w:t>
            </w:r>
          </w:p>
        </w:tc>
        <w:tc>
          <w:tcPr>
            <w:tcW w:w="0" w:type="auto"/>
          </w:tcPr>
          <w:p w:rsidR="006B6A3E" w:rsidRPr="00691330" w:rsidRDefault="006B6A3E" w:rsidP="00691330">
            <w:pPr>
              <w:spacing w:line="276" w:lineRule="auto"/>
              <w:jc w:val="center"/>
              <w:rPr>
                <w:rFonts w:ascii="Times New Roman" w:eastAsia="Calibri" w:hAnsi="Times New Roman"/>
                <w:sz w:val="24"/>
                <w:szCs w:val="24"/>
                <w:lang w:val="en-US"/>
              </w:rPr>
            </w:pPr>
            <w:r w:rsidRPr="00691330">
              <w:rPr>
                <w:rFonts w:ascii="Times New Roman" w:eastAsia="Calibri" w:hAnsi="Times New Roman"/>
                <w:sz w:val="24"/>
                <w:szCs w:val="24"/>
                <w:lang w:val="en-US"/>
              </w:rPr>
              <w:t>87,44</w:t>
            </w:r>
          </w:p>
        </w:tc>
        <w:tc>
          <w:tcPr>
            <w:tcW w:w="0" w:type="auto"/>
          </w:tcPr>
          <w:p w:rsidR="006B6A3E" w:rsidRPr="00691330" w:rsidRDefault="006B6A3E" w:rsidP="00691330">
            <w:pPr>
              <w:spacing w:line="276" w:lineRule="auto"/>
              <w:jc w:val="center"/>
              <w:rPr>
                <w:rFonts w:ascii="Times New Roman" w:eastAsia="Calibri" w:hAnsi="Times New Roman"/>
                <w:sz w:val="24"/>
                <w:szCs w:val="24"/>
                <w:lang w:val="en-US"/>
              </w:rPr>
            </w:pPr>
            <w:r w:rsidRPr="00691330">
              <w:rPr>
                <w:rFonts w:ascii="Times New Roman" w:eastAsia="Calibri" w:hAnsi="Times New Roman"/>
                <w:sz w:val="24"/>
                <w:szCs w:val="24"/>
                <w:lang w:val="en-US"/>
              </w:rPr>
              <w:t>83,85</w:t>
            </w:r>
          </w:p>
        </w:tc>
        <w:tc>
          <w:tcPr>
            <w:tcW w:w="0" w:type="auto"/>
          </w:tcPr>
          <w:p w:rsidR="006B6A3E" w:rsidRPr="00691330" w:rsidRDefault="006B6A3E" w:rsidP="00691330">
            <w:pPr>
              <w:spacing w:line="276" w:lineRule="auto"/>
              <w:jc w:val="center"/>
              <w:rPr>
                <w:rFonts w:ascii="Times New Roman" w:eastAsia="Calibri" w:hAnsi="Times New Roman"/>
                <w:sz w:val="24"/>
                <w:szCs w:val="24"/>
                <w:lang w:val="en-US"/>
              </w:rPr>
            </w:pPr>
            <w:r w:rsidRPr="00691330">
              <w:rPr>
                <w:rFonts w:ascii="Times New Roman" w:eastAsia="Calibri" w:hAnsi="Times New Roman"/>
                <w:sz w:val="24"/>
                <w:szCs w:val="24"/>
                <w:lang w:val="en-US"/>
              </w:rPr>
              <w:t>75,21</w:t>
            </w:r>
          </w:p>
        </w:tc>
        <w:tc>
          <w:tcPr>
            <w:tcW w:w="0" w:type="auto"/>
          </w:tcPr>
          <w:p w:rsidR="006B6A3E" w:rsidRPr="00691330" w:rsidRDefault="006B6A3E" w:rsidP="00691330">
            <w:pPr>
              <w:spacing w:line="276" w:lineRule="auto"/>
              <w:jc w:val="center"/>
              <w:rPr>
                <w:rFonts w:ascii="Times New Roman" w:eastAsia="Calibri" w:hAnsi="Times New Roman"/>
                <w:sz w:val="24"/>
                <w:szCs w:val="24"/>
                <w:lang w:val="en-US"/>
              </w:rPr>
            </w:pPr>
            <w:r w:rsidRPr="00691330">
              <w:rPr>
                <w:rFonts w:ascii="Times New Roman" w:eastAsia="Calibri" w:hAnsi="Times New Roman"/>
                <w:sz w:val="24"/>
                <w:szCs w:val="24"/>
                <w:lang w:val="en-US"/>
              </w:rPr>
              <w:t>70,84</w:t>
            </w:r>
          </w:p>
        </w:tc>
        <w:tc>
          <w:tcPr>
            <w:tcW w:w="0" w:type="auto"/>
          </w:tcPr>
          <w:p w:rsidR="006B6A3E" w:rsidRPr="00691330" w:rsidRDefault="006B6A3E" w:rsidP="00691330">
            <w:pPr>
              <w:spacing w:line="276" w:lineRule="auto"/>
              <w:jc w:val="center"/>
              <w:rPr>
                <w:rFonts w:ascii="Times New Roman" w:eastAsia="Calibri" w:hAnsi="Times New Roman"/>
                <w:sz w:val="24"/>
                <w:szCs w:val="24"/>
              </w:rPr>
            </w:pPr>
            <w:r w:rsidRPr="00691330">
              <w:rPr>
                <w:rFonts w:ascii="Times New Roman" w:eastAsia="Calibri" w:hAnsi="Times New Roman"/>
                <w:sz w:val="24"/>
                <w:szCs w:val="24"/>
              </w:rPr>
              <w:t>2,93</w:t>
            </w:r>
          </w:p>
        </w:tc>
        <w:tc>
          <w:tcPr>
            <w:tcW w:w="0" w:type="auto"/>
          </w:tcPr>
          <w:p w:rsidR="006B6A3E" w:rsidRPr="00691330" w:rsidRDefault="006B6A3E" w:rsidP="00691330">
            <w:pPr>
              <w:spacing w:line="276" w:lineRule="auto"/>
              <w:jc w:val="center"/>
              <w:rPr>
                <w:rFonts w:ascii="Times New Roman" w:eastAsia="Calibri" w:hAnsi="Times New Roman"/>
                <w:sz w:val="24"/>
                <w:szCs w:val="24"/>
              </w:rPr>
            </w:pPr>
            <w:r w:rsidRPr="00691330">
              <w:rPr>
                <w:rFonts w:ascii="Times New Roman" w:eastAsia="Calibri" w:hAnsi="Times New Roman"/>
                <w:sz w:val="24"/>
                <w:szCs w:val="24"/>
              </w:rPr>
              <w:t>3,99</w:t>
            </w:r>
          </w:p>
        </w:tc>
      </w:tr>
      <w:tr w:rsidR="006B6A3E" w:rsidRPr="00691330" w:rsidTr="006E3A91">
        <w:trPr>
          <w:jc w:val="center"/>
        </w:trPr>
        <w:tc>
          <w:tcPr>
            <w:tcW w:w="0" w:type="auto"/>
          </w:tcPr>
          <w:p w:rsidR="006B6A3E" w:rsidRPr="00691330" w:rsidRDefault="006B6A3E" w:rsidP="00691330">
            <w:pPr>
              <w:spacing w:line="276" w:lineRule="auto"/>
              <w:rPr>
                <w:rFonts w:ascii="Times New Roman" w:eastAsia="Calibri" w:hAnsi="Times New Roman"/>
                <w:sz w:val="24"/>
                <w:szCs w:val="24"/>
                <w:lang w:val="en-US"/>
              </w:rPr>
            </w:pPr>
            <w:r w:rsidRPr="00691330">
              <w:rPr>
                <w:rFonts w:ascii="Times New Roman" w:eastAsia="Calibri" w:hAnsi="Times New Roman"/>
                <w:sz w:val="24"/>
                <w:szCs w:val="24"/>
                <w:lang w:val="en-US"/>
              </w:rPr>
              <w:t>Івано-Франківська</w:t>
            </w:r>
          </w:p>
        </w:tc>
        <w:tc>
          <w:tcPr>
            <w:tcW w:w="0" w:type="auto"/>
          </w:tcPr>
          <w:p w:rsidR="006B6A3E" w:rsidRPr="00691330" w:rsidRDefault="006B6A3E" w:rsidP="00691330">
            <w:pPr>
              <w:spacing w:line="276" w:lineRule="auto"/>
              <w:jc w:val="center"/>
              <w:rPr>
                <w:rFonts w:ascii="Times New Roman" w:hAnsi="Times New Roman"/>
                <w:color w:val="000000"/>
                <w:sz w:val="24"/>
                <w:szCs w:val="24"/>
                <w:lang w:eastAsia="ru-RU"/>
              </w:rPr>
            </w:pPr>
            <w:r w:rsidRPr="00691330">
              <w:rPr>
                <w:rFonts w:ascii="Times New Roman" w:hAnsi="Times New Roman"/>
                <w:color w:val="000000"/>
                <w:sz w:val="24"/>
                <w:szCs w:val="24"/>
                <w:lang w:eastAsia="ru-RU"/>
              </w:rPr>
              <w:t>316,00</w:t>
            </w:r>
          </w:p>
        </w:tc>
        <w:tc>
          <w:tcPr>
            <w:tcW w:w="0" w:type="auto"/>
          </w:tcPr>
          <w:p w:rsidR="006B6A3E" w:rsidRPr="00691330" w:rsidRDefault="006B6A3E" w:rsidP="00691330">
            <w:pPr>
              <w:spacing w:line="276" w:lineRule="auto"/>
              <w:jc w:val="center"/>
              <w:rPr>
                <w:rFonts w:ascii="Times New Roman" w:hAnsi="Times New Roman"/>
                <w:color w:val="000000"/>
                <w:sz w:val="24"/>
                <w:szCs w:val="24"/>
                <w:lang w:eastAsia="ru-RU"/>
              </w:rPr>
            </w:pPr>
            <w:r w:rsidRPr="00691330">
              <w:rPr>
                <w:rFonts w:ascii="Times New Roman" w:hAnsi="Times New Roman"/>
                <w:color w:val="000000"/>
                <w:sz w:val="24"/>
                <w:szCs w:val="24"/>
                <w:lang w:eastAsia="ru-RU"/>
              </w:rPr>
              <w:t>476,00</w:t>
            </w:r>
          </w:p>
        </w:tc>
        <w:tc>
          <w:tcPr>
            <w:tcW w:w="0" w:type="auto"/>
          </w:tcPr>
          <w:p w:rsidR="006B6A3E" w:rsidRPr="00691330" w:rsidRDefault="006B6A3E" w:rsidP="00691330">
            <w:pPr>
              <w:spacing w:line="276" w:lineRule="auto"/>
              <w:jc w:val="center"/>
              <w:rPr>
                <w:rFonts w:ascii="Times New Roman" w:eastAsia="Calibri" w:hAnsi="Times New Roman"/>
                <w:sz w:val="24"/>
                <w:szCs w:val="24"/>
                <w:lang w:val="en-US"/>
              </w:rPr>
            </w:pPr>
            <w:r w:rsidRPr="00691330">
              <w:rPr>
                <w:rFonts w:ascii="Times New Roman" w:eastAsia="Calibri" w:hAnsi="Times New Roman"/>
                <w:sz w:val="24"/>
                <w:szCs w:val="24"/>
                <w:lang w:val="en-US"/>
              </w:rPr>
              <w:t>87,75</w:t>
            </w:r>
          </w:p>
        </w:tc>
        <w:tc>
          <w:tcPr>
            <w:tcW w:w="0" w:type="auto"/>
          </w:tcPr>
          <w:p w:rsidR="006B6A3E" w:rsidRPr="00691330" w:rsidRDefault="006B6A3E" w:rsidP="00691330">
            <w:pPr>
              <w:spacing w:line="276" w:lineRule="auto"/>
              <w:jc w:val="center"/>
              <w:rPr>
                <w:rFonts w:ascii="Times New Roman" w:eastAsia="Calibri" w:hAnsi="Times New Roman"/>
                <w:sz w:val="24"/>
                <w:szCs w:val="24"/>
                <w:lang w:val="en-US"/>
              </w:rPr>
            </w:pPr>
            <w:r w:rsidRPr="00691330">
              <w:rPr>
                <w:rFonts w:ascii="Times New Roman" w:eastAsia="Calibri" w:hAnsi="Times New Roman"/>
                <w:sz w:val="24"/>
                <w:szCs w:val="24"/>
                <w:lang w:val="en-US"/>
              </w:rPr>
              <w:t>87,73</w:t>
            </w:r>
          </w:p>
        </w:tc>
        <w:tc>
          <w:tcPr>
            <w:tcW w:w="0" w:type="auto"/>
          </w:tcPr>
          <w:p w:rsidR="006B6A3E" w:rsidRPr="00691330" w:rsidRDefault="006B6A3E" w:rsidP="00691330">
            <w:pPr>
              <w:spacing w:line="276" w:lineRule="auto"/>
              <w:jc w:val="center"/>
              <w:rPr>
                <w:rFonts w:ascii="Times New Roman" w:eastAsia="Calibri" w:hAnsi="Times New Roman"/>
                <w:sz w:val="24"/>
                <w:szCs w:val="24"/>
                <w:lang w:val="en-US"/>
              </w:rPr>
            </w:pPr>
            <w:r w:rsidRPr="00691330">
              <w:rPr>
                <w:rFonts w:ascii="Times New Roman" w:eastAsia="Calibri" w:hAnsi="Times New Roman"/>
                <w:sz w:val="24"/>
                <w:szCs w:val="24"/>
                <w:lang w:val="en-US"/>
              </w:rPr>
              <w:t>79,40</w:t>
            </w:r>
          </w:p>
        </w:tc>
        <w:tc>
          <w:tcPr>
            <w:tcW w:w="0" w:type="auto"/>
          </w:tcPr>
          <w:p w:rsidR="006B6A3E" w:rsidRPr="00691330" w:rsidRDefault="006B6A3E" w:rsidP="00691330">
            <w:pPr>
              <w:spacing w:line="276" w:lineRule="auto"/>
              <w:jc w:val="center"/>
              <w:rPr>
                <w:rFonts w:ascii="Times New Roman" w:eastAsia="Calibri" w:hAnsi="Times New Roman"/>
                <w:sz w:val="24"/>
                <w:szCs w:val="24"/>
                <w:lang w:val="en-US"/>
              </w:rPr>
            </w:pPr>
            <w:r w:rsidRPr="00691330">
              <w:rPr>
                <w:rFonts w:ascii="Times New Roman" w:eastAsia="Calibri" w:hAnsi="Times New Roman"/>
                <w:sz w:val="24"/>
                <w:szCs w:val="24"/>
                <w:lang w:val="en-US"/>
              </w:rPr>
              <w:t>86,55</w:t>
            </w:r>
          </w:p>
        </w:tc>
        <w:tc>
          <w:tcPr>
            <w:tcW w:w="0" w:type="auto"/>
          </w:tcPr>
          <w:p w:rsidR="006B6A3E" w:rsidRPr="00691330" w:rsidRDefault="006B6A3E" w:rsidP="00691330">
            <w:pPr>
              <w:spacing w:line="276" w:lineRule="auto"/>
              <w:jc w:val="center"/>
              <w:rPr>
                <w:rFonts w:ascii="Times New Roman" w:eastAsia="Calibri" w:hAnsi="Times New Roman"/>
                <w:sz w:val="24"/>
                <w:szCs w:val="24"/>
              </w:rPr>
            </w:pPr>
            <w:r w:rsidRPr="00691330">
              <w:rPr>
                <w:rFonts w:ascii="Times New Roman" w:eastAsia="Calibri" w:hAnsi="Times New Roman"/>
                <w:sz w:val="24"/>
                <w:szCs w:val="24"/>
              </w:rPr>
              <w:t>2,67</w:t>
            </w:r>
          </w:p>
        </w:tc>
        <w:tc>
          <w:tcPr>
            <w:tcW w:w="0" w:type="auto"/>
          </w:tcPr>
          <w:p w:rsidR="006B6A3E" w:rsidRPr="00691330" w:rsidRDefault="006B6A3E" w:rsidP="00691330">
            <w:pPr>
              <w:spacing w:line="276" w:lineRule="auto"/>
              <w:jc w:val="center"/>
              <w:rPr>
                <w:rFonts w:ascii="Times New Roman" w:eastAsia="Calibri" w:hAnsi="Times New Roman"/>
                <w:sz w:val="24"/>
                <w:szCs w:val="24"/>
              </w:rPr>
            </w:pPr>
            <w:r w:rsidRPr="00691330">
              <w:rPr>
                <w:rFonts w:ascii="Times New Roman" w:eastAsia="Calibri" w:hAnsi="Times New Roman"/>
                <w:sz w:val="24"/>
                <w:szCs w:val="24"/>
              </w:rPr>
              <w:t>3,69</w:t>
            </w:r>
          </w:p>
        </w:tc>
      </w:tr>
      <w:tr w:rsidR="006B6A3E" w:rsidRPr="00691330" w:rsidTr="006E3A91">
        <w:trPr>
          <w:jc w:val="center"/>
        </w:trPr>
        <w:tc>
          <w:tcPr>
            <w:tcW w:w="0" w:type="auto"/>
          </w:tcPr>
          <w:p w:rsidR="006B6A3E" w:rsidRPr="00691330" w:rsidRDefault="006B6A3E" w:rsidP="00691330">
            <w:pPr>
              <w:spacing w:line="276" w:lineRule="auto"/>
              <w:rPr>
                <w:rFonts w:ascii="Times New Roman" w:eastAsia="Calibri" w:hAnsi="Times New Roman"/>
                <w:sz w:val="24"/>
                <w:szCs w:val="24"/>
                <w:lang w:val="en-US"/>
              </w:rPr>
            </w:pPr>
            <w:r w:rsidRPr="00691330">
              <w:rPr>
                <w:rFonts w:ascii="Times New Roman" w:eastAsia="Calibri" w:hAnsi="Times New Roman"/>
                <w:sz w:val="24"/>
                <w:szCs w:val="24"/>
                <w:lang w:val="en-US"/>
              </w:rPr>
              <w:t>Київська</w:t>
            </w:r>
          </w:p>
        </w:tc>
        <w:tc>
          <w:tcPr>
            <w:tcW w:w="0" w:type="auto"/>
          </w:tcPr>
          <w:p w:rsidR="006B6A3E" w:rsidRPr="00691330" w:rsidRDefault="006B6A3E" w:rsidP="00691330">
            <w:pPr>
              <w:spacing w:line="276" w:lineRule="auto"/>
              <w:jc w:val="center"/>
              <w:rPr>
                <w:rFonts w:ascii="Times New Roman" w:hAnsi="Times New Roman"/>
                <w:color w:val="000000"/>
                <w:sz w:val="24"/>
                <w:szCs w:val="24"/>
                <w:lang w:eastAsia="ru-RU"/>
              </w:rPr>
            </w:pPr>
            <w:r w:rsidRPr="00691330">
              <w:rPr>
                <w:rFonts w:ascii="Times New Roman" w:hAnsi="Times New Roman"/>
                <w:color w:val="000000"/>
                <w:sz w:val="24"/>
                <w:szCs w:val="24"/>
                <w:lang w:eastAsia="ru-RU"/>
              </w:rPr>
              <w:t>438,00</w:t>
            </w:r>
          </w:p>
        </w:tc>
        <w:tc>
          <w:tcPr>
            <w:tcW w:w="0" w:type="auto"/>
          </w:tcPr>
          <w:p w:rsidR="006B6A3E" w:rsidRPr="00691330" w:rsidRDefault="006B6A3E" w:rsidP="00691330">
            <w:pPr>
              <w:spacing w:line="276" w:lineRule="auto"/>
              <w:jc w:val="center"/>
              <w:rPr>
                <w:rFonts w:ascii="Times New Roman" w:hAnsi="Times New Roman"/>
                <w:color w:val="000000"/>
                <w:sz w:val="24"/>
                <w:szCs w:val="24"/>
                <w:lang w:eastAsia="ru-RU"/>
              </w:rPr>
            </w:pPr>
            <w:r w:rsidRPr="00691330">
              <w:rPr>
                <w:rFonts w:ascii="Times New Roman" w:hAnsi="Times New Roman"/>
                <w:color w:val="000000"/>
                <w:sz w:val="24"/>
                <w:szCs w:val="24"/>
                <w:lang w:eastAsia="ru-RU"/>
              </w:rPr>
              <w:t>652,00</w:t>
            </w:r>
          </w:p>
        </w:tc>
        <w:tc>
          <w:tcPr>
            <w:tcW w:w="0" w:type="auto"/>
          </w:tcPr>
          <w:p w:rsidR="006B6A3E" w:rsidRPr="00691330" w:rsidRDefault="006B6A3E" w:rsidP="00691330">
            <w:pPr>
              <w:spacing w:line="276" w:lineRule="auto"/>
              <w:jc w:val="center"/>
              <w:rPr>
                <w:rFonts w:ascii="Times New Roman" w:eastAsia="Calibri" w:hAnsi="Times New Roman"/>
                <w:sz w:val="24"/>
                <w:szCs w:val="24"/>
                <w:lang w:val="en-US"/>
              </w:rPr>
            </w:pPr>
            <w:r w:rsidRPr="00691330">
              <w:rPr>
                <w:rFonts w:ascii="Times New Roman" w:eastAsia="Calibri" w:hAnsi="Times New Roman"/>
                <w:sz w:val="24"/>
                <w:szCs w:val="24"/>
                <w:lang w:val="en-US"/>
              </w:rPr>
              <w:t>84,11</w:t>
            </w:r>
          </w:p>
        </w:tc>
        <w:tc>
          <w:tcPr>
            <w:tcW w:w="0" w:type="auto"/>
          </w:tcPr>
          <w:p w:rsidR="006B6A3E" w:rsidRPr="00691330" w:rsidRDefault="006B6A3E" w:rsidP="00691330">
            <w:pPr>
              <w:spacing w:line="276" w:lineRule="auto"/>
              <w:jc w:val="center"/>
              <w:rPr>
                <w:rFonts w:ascii="Times New Roman" w:eastAsia="Calibri" w:hAnsi="Times New Roman"/>
                <w:sz w:val="24"/>
                <w:szCs w:val="24"/>
                <w:lang w:val="en-US"/>
              </w:rPr>
            </w:pPr>
            <w:r w:rsidRPr="00691330">
              <w:rPr>
                <w:rFonts w:ascii="Times New Roman" w:eastAsia="Calibri" w:hAnsi="Times New Roman"/>
                <w:sz w:val="24"/>
                <w:szCs w:val="24"/>
                <w:lang w:val="en-US"/>
              </w:rPr>
              <w:t>73,19</w:t>
            </w:r>
          </w:p>
        </w:tc>
        <w:tc>
          <w:tcPr>
            <w:tcW w:w="0" w:type="auto"/>
          </w:tcPr>
          <w:p w:rsidR="006B6A3E" w:rsidRPr="00691330" w:rsidRDefault="006B6A3E" w:rsidP="00691330">
            <w:pPr>
              <w:spacing w:line="276" w:lineRule="auto"/>
              <w:jc w:val="center"/>
              <w:rPr>
                <w:rFonts w:ascii="Times New Roman" w:eastAsia="Calibri" w:hAnsi="Times New Roman"/>
                <w:sz w:val="24"/>
                <w:szCs w:val="24"/>
                <w:lang w:val="en-US"/>
              </w:rPr>
            </w:pPr>
            <w:r w:rsidRPr="00691330">
              <w:rPr>
                <w:rFonts w:ascii="Times New Roman" w:eastAsia="Calibri" w:hAnsi="Times New Roman"/>
                <w:sz w:val="24"/>
                <w:szCs w:val="24"/>
                <w:lang w:val="en-US"/>
              </w:rPr>
              <w:t>67,10</w:t>
            </w:r>
          </w:p>
        </w:tc>
        <w:tc>
          <w:tcPr>
            <w:tcW w:w="0" w:type="auto"/>
          </w:tcPr>
          <w:p w:rsidR="006B6A3E" w:rsidRPr="00691330" w:rsidRDefault="006B6A3E" w:rsidP="00691330">
            <w:pPr>
              <w:spacing w:line="276" w:lineRule="auto"/>
              <w:jc w:val="center"/>
              <w:rPr>
                <w:rFonts w:ascii="Times New Roman" w:eastAsia="Calibri" w:hAnsi="Times New Roman"/>
                <w:sz w:val="24"/>
                <w:szCs w:val="24"/>
                <w:lang w:val="en-US"/>
              </w:rPr>
            </w:pPr>
            <w:r w:rsidRPr="00691330">
              <w:rPr>
                <w:rFonts w:ascii="Times New Roman" w:eastAsia="Calibri" w:hAnsi="Times New Roman"/>
                <w:sz w:val="24"/>
                <w:szCs w:val="24"/>
                <w:lang w:val="en-US"/>
              </w:rPr>
              <w:t>64,97</w:t>
            </w:r>
          </w:p>
        </w:tc>
        <w:tc>
          <w:tcPr>
            <w:tcW w:w="0" w:type="auto"/>
          </w:tcPr>
          <w:p w:rsidR="006B6A3E" w:rsidRPr="00691330" w:rsidRDefault="006B6A3E" w:rsidP="00691330">
            <w:pPr>
              <w:spacing w:line="276" w:lineRule="auto"/>
              <w:jc w:val="center"/>
              <w:rPr>
                <w:rFonts w:ascii="Times New Roman" w:eastAsia="Calibri" w:hAnsi="Times New Roman"/>
                <w:sz w:val="24"/>
                <w:szCs w:val="24"/>
              </w:rPr>
            </w:pPr>
            <w:r w:rsidRPr="00691330">
              <w:rPr>
                <w:rFonts w:ascii="Times New Roman" w:eastAsia="Calibri" w:hAnsi="Times New Roman"/>
                <w:sz w:val="24"/>
                <w:szCs w:val="24"/>
              </w:rPr>
              <w:t>2,46</w:t>
            </w:r>
          </w:p>
        </w:tc>
        <w:tc>
          <w:tcPr>
            <w:tcW w:w="0" w:type="auto"/>
          </w:tcPr>
          <w:p w:rsidR="006B6A3E" w:rsidRPr="00691330" w:rsidRDefault="006B6A3E" w:rsidP="00691330">
            <w:pPr>
              <w:spacing w:line="276" w:lineRule="auto"/>
              <w:jc w:val="center"/>
              <w:rPr>
                <w:rFonts w:ascii="Times New Roman" w:eastAsia="Calibri" w:hAnsi="Times New Roman"/>
                <w:sz w:val="24"/>
                <w:szCs w:val="24"/>
              </w:rPr>
            </w:pPr>
            <w:r w:rsidRPr="00691330">
              <w:rPr>
                <w:rFonts w:ascii="Times New Roman" w:eastAsia="Calibri" w:hAnsi="Times New Roman"/>
                <w:sz w:val="24"/>
                <w:szCs w:val="24"/>
              </w:rPr>
              <w:t>3,83</w:t>
            </w:r>
          </w:p>
        </w:tc>
      </w:tr>
      <w:tr w:rsidR="006B6A3E" w:rsidRPr="00691330" w:rsidTr="006E3A91">
        <w:trPr>
          <w:jc w:val="center"/>
        </w:trPr>
        <w:tc>
          <w:tcPr>
            <w:tcW w:w="0" w:type="auto"/>
          </w:tcPr>
          <w:p w:rsidR="006B6A3E" w:rsidRPr="00691330" w:rsidRDefault="006B6A3E" w:rsidP="00691330">
            <w:pPr>
              <w:spacing w:line="276" w:lineRule="auto"/>
              <w:rPr>
                <w:rFonts w:ascii="Times New Roman" w:eastAsia="Calibri" w:hAnsi="Times New Roman"/>
                <w:sz w:val="24"/>
                <w:szCs w:val="24"/>
                <w:lang w:val="en-US"/>
              </w:rPr>
            </w:pPr>
            <w:r w:rsidRPr="00691330">
              <w:rPr>
                <w:rFonts w:ascii="Times New Roman" w:eastAsia="Calibri" w:hAnsi="Times New Roman"/>
                <w:sz w:val="24"/>
                <w:szCs w:val="24"/>
                <w:lang w:val="en-US"/>
              </w:rPr>
              <w:t>Кіровоградська</w:t>
            </w:r>
          </w:p>
        </w:tc>
        <w:tc>
          <w:tcPr>
            <w:tcW w:w="0" w:type="auto"/>
          </w:tcPr>
          <w:p w:rsidR="006B6A3E" w:rsidRPr="00691330" w:rsidRDefault="006B6A3E" w:rsidP="00691330">
            <w:pPr>
              <w:spacing w:line="276" w:lineRule="auto"/>
              <w:jc w:val="center"/>
              <w:rPr>
                <w:rFonts w:ascii="Times New Roman" w:hAnsi="Times New Roman"/>
                <w:color w:val="000000"/>
                <w:sz w:val="24"/>
                <w:szCs w:val="24"/>
                <w:lang w:eastAsia="ru-RU"/>
              </w:rPr>
            </w:pPr>
            <w:r w:rsidRPr="00691330">
              <w:rPr>
                <w:rFonts w:ascii="Times New Roman" w:hAnsi="Times New Roman"/>
                <w:color w:val="000000"/>
                <w:sz w:val="24"/>
                <w:szCs w:val="24"/>
                <w:lang w:eastAsia="ru-RU"/>
              </w:rPr>
              <w:t>159,00</w:t>
            </w:r>
          </w:p>
        </w:tc>
        <w:tc>
          <w:tcPr>
            <w:tcW w:w="0" w:type="auto"/>
          </w:tcPr>
          <w:p w:rsidR="006B6A3E" w:rsidRPr="00691330" w:rsidRDefault="006B6A3E" w:rsidP="00691330">
            <w:pPr>
              <w:spacing w:line="276" w:lineRule="auto"/>
              <w:jc w:val="center"/>
              <w:rPr>
                <w:rFonts w:ascii="Times New Roman" w:hAnsi="Times New Roman"/>
                <w:color w:val="000000"/>
                <w:sz w:val="24"/>
                <w:szCs w:val="24"/>
                <w:lang w:eastAsia="ru-RU"/>
              </w:rPr>
            </w:pPr>
            <w:r w:rsidRPr="00691330">
              <w:rPr>
                <w:rFonts w:ascii="Times New Roman" w:hAnsi="Times New Roman"/>
                <w:color w:val="000000"/>
                <w:sz w:val="24"/>
                <w:szCs w:val="24"/>
                <w:lang w:eastAsia="ru-RU"/>
              </w:rPr>
              <w:t>256,00</w:t>
            </w:r>
          </w:p>
        </w:tc>
        <w:tc>
          <w:tcPr>
            <w:tcW w:w="0" w:type="auto"/>
          </w:tcPr>
          <w:p w:rsidR="006B6A3E" w:rsidRPr="00691330" w:rsidRDefault="006B6A3E" w:rsidP="00691330">
            <w:pPr>
              <w:spacing w:line="276" w:lineRule="auto"/>
              <w:jc w:val="center"/>
              <w:rPr>
                <w:rFonts w:ascii="Times New Roman" w:eastAsia="Calibri" w:hAnsi="Times New Roman"/>
                <w:sz w:val="24"/>
                <w:szCs w:val="24"/>
                <w:lang w:val="en-US"/>
              </w:rPr>
            </w:pPr>
            <w:r w:rsidRPr="00691330">
              <w:rPr>
                <w:rFonts w:ascii="Times New Roman" w:eastAsia="Calibri" w:hAnsi="Times New Roman"/>
                <w:sz w:val="24"/>
                <w:szCs w:val="24"/>
                <w:lang w:val="en-US"/>
              </w:rPr>
              <w:t>62,02</w:t>
            </w:r>
          </w:p>
        </w:tc>
        <w:tc>
          <w:tcPr>
            <w:tcW w:w="0" w:type="auto"/>
          </w:tcPr>
          <w:p w:rsidR="006B6A3E" w:rsidRPr="00691330" w:rsidRDefault="006B6A3E" w:rsidP="00691330">
            <w:pPr>
              <w:spacing w:line="276" w:lineRule="auto"/>
              <w:jc w:val="center"/>
              <w:rPr>
                <w:rFonts w:ascii="Times New Roman" w:eastAsia="Calibri" w:hAnsi="Times New Roman"/>
                <w:sz w:val="24"/>
                <w:szCs w:val="24"/>
                <w:lang w:val="en-US"/>
              </w:rPr>
            </w:pPr>
            <w:r w:rsidRPr="00691330">
              <w:rPr>
                <w:rFonts w:ascii="Times New Roman" w:eastAsia="Calibri" w:hAnsi="Times New Roman"/>
                <w:sz w:val="24"/>
                <w:szCs w:val="24"/>
                <w:lang w:val="en-US"/>
              </w:rPr>
              <w:t>75,47</w:t>
            </w:r>
          </w:p>
        </w:tc>
        <w:tc>
          <w:tcPr>
            <w:tcW w:w="0" w:type="auto"/>
          </w:tcPr>
          <w:p w:rsidR="006B6A3E" w:rsidRPr="00691330" w:rsidRDefault="006B6A3E" w:rsidP="00691330">
            <w:pPr>
              <w:spacing w:line="276" w:lineRule="auto"/>
              <w:jc w:val="center"/>
              <w:rPr>
                <w:rFonts w:ascii="Times New Roman" w:eastAsia="Calibri" w:hAnsi="Times New Roman"/>
                <w:sz w:val="24"/>
                <w:szCs w:val="24"/>
                <w:lang w:val="en-US"/>
              </w:rPr>
            </w:pPr>
            <w:r w:rsidRPr="00691330">
              <w:rPr>
                <w:rFonts w:ascii="Times New Roman" w:eastAsia="Calibri" w:hAnsi="Times New Roman"/>
                <w:sz w:val="24"/>
                <w:szCs w:val="24"/>
                <w:lang w:val="en-US"/>
              </w:rPr>
              <w:t>46,62</w:t>
            </w:r>
          </w:p>
        </w:tc>
        <w:tc>
          <w:tcPr>
            <w:tcW w:w="0" w:type="auto"/>
          </w:tcPr>
          <w:p w:rsidR="006B6A3E" w:rsidRPr="00691330" w:rsidRDefault="006B6A3E" w:rsidP="00691330">
            <w:pPr>
              <w:spacing w:line="276" w:lineRule="auto"/>
              <w:jc w:val="center"/>
              <w:rPr>
                <w:rFonts w:ascii="Times New Roman" w:eastAsia="Calibri" w:hAnsi="Times New Roman"/>
                <w:sz w:val="24"/>
                <w:szCs w:val="24"/>
                <w:lang w:val="en-US"/>
              </w:rPr>
            </w:pPr>
            <w:r w:rsidRPr="00691330">
              <w:rPr>
                <w:rFonts w:ascii="Times New Roman" w:eastAsia="Calibri" w:hAnsi="Times New Roman"/>
                <w:sz w:val="24"/>
                <w:szCs w:val="24"/>
                <w:lang w:val="en-US"/>
              </w:rPr>
              <w:t>59,67</w:t>
            </w:r>
          </w:p>
        </w:tc>
        <w:tc>
          <w:tcPr>
            <w:tcW w:w="0" w:type="auto"/>
          </w:tcPr>
          <w:p w:rsidR="006B6A3E" w:rsidRPr="00691330" w:rsidRDefault="006B6A3E" w:rsidP="00691330">
            <w:pPr>
              <w:spacing w:line="276" w:lineRule="auto"/>
              <w:jc w:val="center"/>
              <w:rPr>
                <w:rFonts w:ascii="Times New Roman" w:eastAsia="Calibri" w:hAnsi="Times New Roman"/>
                <w:sz w:val="24"/>
                <w:szCs w:val="24"/>
              </w:rPr>
            </w:pPr>
            <w:r w:rsidRPr="00691330">
              <w:rPr>
                <w:rFonts w:ascii="Times New Roman" w:eastAsia="Calibri" w:hAnsi="Times New Roman"/>
                <w:sz w:val="24"/>
                <w:szCs w:val="24"/>
              </w:rPr>
              <w:t>1,63</w:t>
            </w:r>
          </w:p>
        </w:tc>
        <w:tc>
          <w:tcPr>
            <w:tcW w:w="0" w:type="auto"/>
          </w:tcPr>
          <w:p w:rsidR="006B6A3E" w:rsidRPr="00691330" w:rsidRDefault="006B6A3E" w:rsidP="00691330">
            <w:pPr>
              <w:spacing w:line="276" w:lineRule="auto"/>
              <w:jc w:val="center"/>
              <w:rPr>
                <w:rFonts w:ascii="Times New Roman" w:eastAsia="Calibri" w:hAnsi="Times New Roman"/>
                <w:sz w:val="24"/>
                <w:szCs w:val="24"/>
              </w:rPr>
            </w:pPr>
            <w:r w:rsidRPr="00691330">
              <w:rPr>
                <w:rFonts w:ascii="Times New Roman" w:eastAsia="Calibri" w:hAnsi="Times New Roman"/>
                <w:sz w:val="24"/>
                <w:szCs w:val="24"/>
              </w:rPr>
              <w:t>2,73</w:t>
            </w:r>
          </w:p>
        </w:tc>
      </w:tr>
      <w:tr w:rsidR="006B6A3E" w:rsidRPr="00691330" w:rsidTr="006E3A91">
        <w:trPr>
          <w:jc w:val="center"/>
        </w:trPr>
        <w:tc>
          <w:tcPr>
            <w:tcW w:w="0" w:type="auto"/>
          </w:tcPr>
          <w:p w:rsidR="006B6A3E" w:rsidRPr="00691330" w:rsidRDefault="006B6A3E" w:rsidP="00691330">
            <w:pPr>
              <w:spacing w:line="276" w:lineRule="auto"/>
              <w:rPr>
                <w:rFonts w:ascii="Times New Roman" w:eastAsia="Calibri" w:hAnsi="Times New Roman"/>
                <w:sz w:val="24"/>
                <w:szCs w:val="24"/>
                <w:lang w:val="en-US"/>
              </w:rPr>
            </w:pPr>
            <w:r w:rsidRPr="00691330">
              <w:rPr>
                <w:rFonts w:ascii="Times New Roman" w:eastAsia="Calibri" w:hAnsi="Times New Roman"/>
                <w:sz w:val="24"/>
                <w:szCs w:val="24"/>
                <w:lang w:val="en-US"/>
              </w:rPr>
              <w:t>Луганська</w:t>
            </w:r>
          </w:p>
        </w:tc>
        <w:tc>
          <w:tcPr>
            <w:tcW w:w="0" w:type="auto"/>
          </w:tcPr>
          <w:p w:rsidR="006B6A3E" w:rsidRPr="00691330" w:rsidRDefault="006B6A3E" w:rsidP="00691330">
            <w:pPr>
              <w:spacing w:line="276" w:lineRule="auto"/>
              <w:jc w:val="center"/>
              <w:rPr>
                <w:rFonts w:ascii="Times New Roman" w:hAnsi="Times New Roman"/>
                <w:color w:val="000000"/>
                <w:sz w:val="24"/>
                <w:szCs w:val="24"/>
                <w:lang w:eastAsia="ru-RU"/>
              </w:rPr>
            </w:pPr>
            <w:r w:rsidRPr="00691330">
              <w:rPr>
                <w:rFonts w:ascii="Times New Roman" w:hAnsi="Times New Roman"/>
                <w:color w:val="000000"/>
                <w:sz w:val="24"/>
                <w:szCs w:val="24"/>
                <w:lang w:eastAsia="ru-RU"/>
              </w:rPr>
              <w:t>120,00</w:t>
            </w:r>
          </w:p>
        </w:tc>
        <w:tc>
          <w:tcPr>
            <w:tcW w:w="0" w:type="auto"/>
          </w:tcPr>
          <w:p w:rsidR="006B6A3E" w:rsidRPr="00691330" w:rsidRDefault="006B6A3E" w:rsidP="00691330">
            <w:pPr>
              <w:spacing w:line="276" w:lineRule="auto"/>
              <w:jc w:val="center"/>
              <w:rPr>
                <w:rFonts w:ascii="Times New Roman" w:hAnsi="Times New Roman"/>
                <w:color w:val="000000"/>
                <w:sz w:val="24"/>
                <w:szCs w:val="24"/>
                <w:lang w:eastAsia="ru-RU"/>
              </w:rPr>
            </w:pPr>
            <w:r w:rsidRPr="00691330">
              <w:rPr>
                <w:rFonts w:ascii="Times New Roman" w:hAnsi="Times New Roman"/>
                <w:color w:val="000000"/>
                <w:sz w:val="24"/>
                <w:szCs w:val="24"/>
                <w:lang w:eastAsia="ru-RU"/>
              </w:rPr>
              <w:t>144,00</w:t>
            </w:r>
          </w:p>
        </w:tc>
        <w:tc>
          <w:tcPr>
            <w:tcW w:w="0" w:type="auto"/>
          </w:tcPr>
          <w:p w:rsidR="006B6A3E" w:rsidRPr="00691330" w:rsidRDefault="006B6A3E" w:rsidP="00691330">
            <w:pPr>
              <w:spacing w:line="276" w:lineRule="auto"/>
              <w:jc w:val="center"/>
              <w:rPr>
                <w:rFonts w:ascii="Times New Roman" w:eastAsia="Calibri" w:hAnsi="Times New Roman"/>
                <w:sz w:val="24"/>
                <w:szCs w:val="24"/>
                <w:lang w:val="en-US"/>
              </w:rPr>
            </w:pPr>
            <w:r w:rsidRPr="00691330">
              <w:rPr>
                <w:rFonts w:ascii="Times New Roman" w:eastAsia="Calibri" w:hAnsi="Times New Roman"/>
                <w:sz w:val="24"/>
                <w:szCs w:val="24"/>
                <w:lang w:val="en-US"/>
              </w:rPr>
              <w:t>76,51</w:t>
            </w:r>
          </w:p>
        </w:tc>
        <w:tc>
          <w:tcPr>
            <w:tcW w:w="0" w:type="auto"/>
          </w:tcPr>
          <w:p w:rsidR="006B6A3E" w:rsidRPr="00691330" w:rsidRDefault="006B6A3E" w:rsidP="00691330">
            <w:pPr>
              <w:spacing w:line="276" w:lineRule="auto"/>
              <w:jc w:val="center"/>
              <w:rPr>
                <w:rFonts w:ascii="Times New Roman" w:eastAsia="Calibri" w:hAnsi="Times New Roman"/>
                <w:sz w:val="24"/>
                <w:szCs w:val="24"/>
                <w:lang w:val="en-US"/>
              </w:rPr>
            </w:pPr>
            <w:r w:rsidRPr="00691330">
              <w:rPr>
                <w:rFonts w:ascii="Times New Roman" w:eastAsia="Calibri" w:hAnsi="Times New Roman"/>
                <w:sz w:val="24"/>
                <w:szCs w:val="24"/>
                <w:lang w:val="en-US"/>
              </w:rPr>
              <w:t>76,14</w:t>
            </w:r>
          </w:p>
        </w:tc>
        <w:tc>
          <w:tcPr>
            <w:tcW w:w="0" w:type="auto"/>
          </w:tcPr>
          <w:p w:rsidR="006B6A3E" w:rsidRPr="00691330" w:rsidRDefault="006B6A3E" w:rsidP="00691330">
            <w:pPr>
              <w:spacing w:line="276" w:lineRule="auto"/>
              <w:jc w:val="center"/>
              <w:rPr>
                <w:rFonts w:ascii="Times New Roman" w:eastAsia="Calibri" w:hAnsi="Times New Roman"/>
                <w:sz w:val="24"/>
                <w:szCs w:val="24"/>
                <w:lang w:val="en-US"/>
              </w:rPr>
            </w:pPr>
            <w:r w:rsidRPr="00691330">
              <w:rPr>
                <w:rFonts w:ascii="Times New Roman" w:eastAsia="Calibri" w:hAnsi="Times New Roman"/>
                <w:sz w:val="24"/>
                <w:szCs w:val="24"/>
                <w:lang w:val="en-US"/>
              </w:rPr>
              <w:t>60,60</w:t>
            </w:r>
          </w:p>
        </w:tc>
        <w:tc>
          <w:tcPr>
            <w:tcW w:w="0" w:type="auto"/>
          </w:tcPr>
          <w:p w:rsidR="006B6A3E" w:rsidRPr="00691330" w:rsidRDefault="006B6A3E" w:rsidP="00691330">
            <w:pPr>
              <w:spacing w:line="276" w:lineRule="auto"/>
              <w:jc w:val="center"/>
              <w:rPr>
                <w:rFonts w:ascii="Times New Roman" w:eastAsia="Calibri" w:hAnsi="Times New Roman"/>
                <w:sz w:val="24"/>
                <w:szCs w:val="24"/>
                <w:lang w:val="en-US"/>
              </w:rPr>
            </w:pPr>
            <w:r w:rsidRPr="00691330">
              <w:rPr>
                <w:rFonts w:ascii="Times New Roman" w:eastAsia="Calibri" w:hAnsi="Times New Roman"/>
                <w:sz w:val="24"/>
                <w:szCs w:val="24"/>
                <w:lang w:val="en-US"/>
              </w:rPr>
              <w:t>64,21</w:t>
            </w:r>
          </w:p>
        </w:tc>
        <w:tc>
          <w:tcPr>
            <w:tcW w:w="0" w:type="auto"/>
          </w:tcPr>
          <w:p w:rsidR="006B6A3E" w:rsidRPr="00691330" w:rsidRDefault="006B6A3E" w:rsidP="00691330">
            <w:pPr>
              <w:spacing w:line="276" w:lineRule="auto"/>
              <w:jc w:val="center"/>
              <w:rPr>
                <w:rFonts w:ascii="Times New Roman" w:eastAsia="Calibri" w:hAnsi="Times New Roman"/>
                <w:sz w:val="24"/>
                <w:szCs w:val="24"/>
              </w:rPr>
            </w:pPr>
            <w:r w:rsidRPr="00691330">
              <w:rPr>
                <w:rFonts w:ascii="Times New Roman" w:eastAsia="Calibri" w:hAnsi="Times New Roman"/>
                <w:sz w:val="24"/>
                <w:szCs w:val="24"/>
              </w:rPr>
              <w:t>0,60</w:t>
            </w:r>
          </w:p>
        </w:tc>
        <w:tc>
          <w:tcPr>
            <w:tcW w:w="0" w:type="auto"/>
          </w:tcPr>
          <w:p w:rsidR="006B6A3E" w:rsidRPr="00691330" w:rsidRDefault="006B6A3E" w:rsidP="00691330">
            <w:pPr>
              <w:spacing w:line="276" w:lineRule="auto"/>
              <w:jc w:val="center"/>
              <w:rPr>
                <w:rFonts w:ascii="Times New Roman" w:eastAsia="Calibri" w:hAnsi="Times New Roman"/>
                <w:sz w:val="24"/>
                <w:szCs w:val="24"/>
              </w:rPr>
            </w:pPr>
            <w:r w:rsidRPr="00691330">
              <w:rPr>
                <w:rFonts w:ascii="Times New Roman" w:eastAsia="Calibri" w:hAnsi="Times New Roman"/>
                <w:sz w:val="24"/>
                <w:szCs w:val="24"/>
              </w:rPr>
              <w:t>2,16</w:t>
            </w:r>
          </w:p>
        </w:tc>
      </w:tr>
      <w:tr w:rsidR="006B6A3E" w:rsidRPr="00691330" w:rsidTr="006E3A91">
        <w:trPr>
          <w:jc w:val="center"/>
        </w:trPr>
        <w:tc>
          <w:tcPr>
            <w:tcW w:w="0" w:type="auto"/>
          </w:tcPr>
          <w:p w:rsidR="006B6A3E" w:rsidRPr="00691330" w:rsidRDefault="006B6A3E" w:rsidP="00691330">
            <w:pPr>
              <w:spacing w:line="276" w:lineRule="auto"/>
              <w:rPr>
                <w:rFonts w:ascii="Times New Roman" w:eastAsia="Calibri" w:hAnsi="Times New Roman"/>
                <w:sz w:val="24"/>
                <w:szCs w:val="24"/>
                <w:lang w:val="en-US"/>
              </w:rPr>
            </w:pPr>
            <w:r w:rsidRPr="00691330">
              <w:rPr>
                <w:rFonts w:ascii="Times New Roman" w:eastAsia="Calibri" w:hAnsi="Times New Roman"/>
                <w:sz w:val="24"/>
                <w:szCs w:val="24"/>
                <w:lang w:val="en-US"/>
              </w:rPr>
              <w:t>Львівська</w:t>
            </w:r>
          </w:p>
        </w:tc>
        <w:tc>
          <w:tcPr>
            <w:tcW w:w="0" w:type="auto"/>
          </w:tcPr>
          <w:p w:rsidR="006B6A3E" w:rsidRPr="00691330" w:rsidRDefault="006B6A3E" w:rsidP="00691330">
            <w:pPr>
              <w:spacing w:line="276" w:lineRule="auto"/>
              <w:jc w:val="center"/>
              <w:rPr>
                <w:rFonts w:ascii="Times New Roman" w:hAnsi="Times New Roman"/>
                <w:color w:val="000000"/>
                <w:sz w:val="24"/>
                <w:szCs w:val="24"/>
                <w:lang w:eastAsia="ru-RU"/>
              </w:rPr>
            </w:pPr>
            <w:r w:rsidRPr="00691330">
              <w:rPr>
                <w:rFonts w:ascii="Times New Roman" w:hAnsi="Times New Roman"/>
                <w:color w:val="000000"/>
                <w:sz w:val="24"/>
                <w:szCs w:val="24"/>
                <w:lang w:eastAsia="ru-RU"/>
              </w:rPr>
              <w:t>748,00</w:t>
            </w:r>
          </w:p>
        </w:tc>
        <w:tc>
          <w:tcPr>
            <w:tcW w:w="0" w:type="auto"/>
          </w:tcPr>
          <w:p w:rsidR="006B6A3E" w:rsidRPr="00691330" w:rsidRDefault="006B6A3E" w:rsidP="00691330">
            <w:pPr>
              <w:spacing w:line="276" w:lineRule="auto"/>
              <w:jc w:val="center"/>
              <w:rPr>
                <w:rFonts w:ascii="Times New Roman" w:hAnsi="Times New Roman"/>
                <w:color w:val="000000"/>
                <w:sz w:val="24"/>
                <w:szCs w:val="24"/>
                <w:lang w:eastAsia="ru-RU"/>
              </w:rPr>
            </w:pPr>
            <w:r w:rsidRPr="00691330">
              <w:rPr>
                <w:rFonts w:ascii="Times New Roman" w:hAnsi="Times New Roman"/>
                <w:color w:val="000000"/>
                <w:sz w:val="24"/>
                <w:szCs w:val="24"/>
                <w:lang w:eastAsia="ru-RU"/>
              </w:rPr>
              <w:t>1 055,00</w:t>
            </w:r>
          </w:p>
        </w:tc>
        <w:tc>
          <w:tcPr>
            <w:tcW w:w="0" w:type="auto"/>
          </w:tcPr>
          <w:p w:rsidR="006B6A3E" w:rsidRPr="00691330" w:rsidRDefault="006B6A3E" w:rsidP="00691330">
            <w:pPr>
              <w:spacing w:line="276" w:lineRule="auto"/>
              <w:jc w:val="center"/>
              <w:rPr>
                <w:rFonts w:ascii="Times New Roman" w:eastAsia="Calibri" w:hAnsi="Times New Roman"/>
                <w:sz w:val="24"/>
                <w:szCs w:val="24"/>
                <w:lang w:val="en-US"/>
              </w:rPr>
            </w:pPr>
            <w:r w:rsidRPr="00691330">
              <w:rPr>
                <w:rFonts w:ascii="Times New Roman" w:eastAsia="Calibri" w:hAnsi="Times New Roman"/>
                <w:sz w:val="24"/>
                <w:szCs w:val="24"/>
                <w:lang w:val="en-US"/>
              </w:rPr>
              <w:t>97,94</w:t>
            </w:r>
          </w:p>
        </w:tc>
        <w:tc>
          <w:tcPr>
            <w:tcW w:w="0" w:type="auto"/>
          </w:tcPr>
          <w:p w:rsidR="006B6A3E" w:rsidRPr="00691330" w:rsidRDefault="006B6A3E" w:rsidP="00691330">
            <w:pPr>
              <w:spacing w:line="276" w:lineRule="auto"/>
              <w:jc w:val="center"/>
              <w:rPr>
                <w:rFonts w:ascii="Times New Roman" w:eastAsia="Calibri" w:hAnsi="Times New Roman"/>
                <w:sz w:val="24"/>
                <w:szCs w:val="24"/>
                <w:lang w:val="en-US"/>
              </w:rPr>
            </w:pPr>
            <w:r w:rsidRPr="00691330">
              <w:rPr>
                <w:rFonts w:ascii="Times New Roman" w:eastAsia="Calibri" w:hAnsi="Times New Roman"/>
                <w:sz w:val="24"/>
                <w:szCs w:val="24"/>
                <w:lang w:val="en-US"/>
              </w:rPr>
              <w:t>96,34</w:t>
            </w:r>
          </w:p>
        </w:tc>
        <w:tc>
          <w:tcPr>
            <w:tcW w:w="0" w:type="auto"/>
          </w:tcPr>
          <w:p w:rsidR="006B6A3E" w:rsidRPr="00691330" w:rsidRDefault="006B6A3E" w:rsidP="00691330">
            <w:pPr>
              <w:spacing w:line="276" w:lineRule="auto"/>
              <w:jc w:val="center"/>
              <w:rPr>
                <w:rFonts w:ascii="Times New Roman" w:eastAsia="Calibri" w:hAnsi="Times New Roman"/>
                <w:sz w:val="24"/>
                <w:szCs w:val="24"/>
                <w:lang w:val="en-US"/>
              </w:rPr>
            </w:pPr>
            <w:r w:rsidRPr="00691330">
              <w:rPr>
                <w:rFonts w:ascii="Times New Roman" w:eastAsia="Calibri" w:hAnsi="Times New Roman"/>
                <w:sz w:val="24"/>
                <w:szCs w:val="24"/>
                <w:lang w:val="en-US"/>
              </w:rPr>
              <w:t>91,67</w:t>
            </w:r>
          </w:p>
        </w:tc>
        <w:tc>
          <w:tcPr>
            <w:tcW w:w="0" w:type="auto"/>
          </w:tcPr>
          <w:p w:rsidR="006B6A3E" w:rsidRPr="00691330" w:rsidRDefault="006B6A3E" w:rsidP="00691330">
            <w:pPr>
              <w:spacing w:line="276" w:lineRule="auto"/>
              <w:jc w:val="center"/>
              <w:rPr>
                <w:rFonts w:ascii="Times New Roman" w:eastAsia="Calibri" w:hAnsi="Times New Roman"/>
                <w:sz w:val="24"/>
                <w:szCs w:val="24"/>
                <w:lang w:val="en-US"/>
              </w:rPr>
            </w:pPr>
            <w:r w:rsidRPr="00691330">
              <w:rPr>
                <w:rFonts w:ascii="Times New Roman" w:eastAsia="Calibri" w:hAnsi="Times New Roman"/>
                <w:sz w:val="24"/>
                <w:szCs w:val="24"/>
                <w:lang w:val="en-US"/>
              </w:rPr>
              <w:t>90,85</w:t>
            </w:r>
          </w:p>
        </w:tc>
        <w:tc>
          <w:tcPr>
            <w:tcW w:w="0" w:type="auto"/>
          </w:tcPr>
          <w:p w:rsidR="006B6A3E" w:rsidRPr="00691330" w:rsidRDefault="006B6A3E" w:rsidP="00691330">
            <w:pPr>
              <w:spacing w:line="276" w:lineRule="auto"/>
              <w:jc w:val="center"/>
              <w:rPr>
                <w:rFonts w:ascii="Times New Roman" w:eastAsia="Calibri" w:hAnsi="Times New Roman"/>
                <w:sz w:val="24"/>
                <w:szCs w:val="24"/>
              </w:rPr>
            </w:pPr>
            <w:r w:rsidRPr="00691330">
              <w:rPr>
                <w:rFonts w:ascii="Times New Roman" w:eastAsia="Calibri" w:hAnsi="Times New Roman"/>
                <w:sz w:val="24"/>
                <w:szCs w:val="24"/>
              </w:rPr>
              <w:t>3,11</w:t>
            </w:r>
          </w:p>
        </w:tc>
        <w:tc>
          <w:tcPr>
            <w:tcW w:w="0" w:type="auto"/>
          </w:tcPr>
          <w:p w:rsidR="006B6A3E" w:rsidRPr="00691330" w:rsidRDefault="006B6A3E" w:rsidP="00691330">
            <w:pPr>
              <w:spacing w:line="276" w:lineRule="auto"/>
              <w:jc w:val="center"/>
              <w:rPr>
                <w:rFonts w:ascii="Times New Roman" w:eastAsia="Calibri" w:hAnsi="Times New Roman"/>
                <w:sz w:val="24"/>
                <w:szCs w:val="24"/>
              </w:rPr>
            </w:pPr>
            <w:r w:rsidRPr="00691330">
              <w:rPr>
                <w:rFonts w:ascii="Times New Roman" w:eastAsia="Calibri" w:hAnsi="Times New Roman"/>
                <w:sz w:val="24"/>
                <w:szCs w:val="24"/>
              </w:rPr>
              <w:t>4,42</w:t>
            </w:r>
          </w:p>
        </w:tc>
      </w:tr>
      <w:tr w:rsidR="006B6A3E" w:rsidRPr="00691330" w:rsidTr="006E3A91">
        <w:trPr>
          <w:jc w:val="center"/>
        </w:trPr>
        <w:tc>
          <w:tcPr>
            <w:tcW w:w="0" w:type="auto"/>
          </w:tcPr>
          <w:p w:rsidR="006B6A3E" w:rsidRPr="00691330" w:rsidRDefault="006B6A3E" w:rsidP="00691330">
            <w:pPr>
              <w:spacing w:line="276" w:lineRule="auto"/>
              <w:rPr>
                <w:rFonts w:ascii="Times New Roman" w:eastAsia="Calibri" w:hAnsi="Times New Roman"/>
                <w:sz w:val="24"/>
                <w:szCs w:val="24"/>
                <w:lang w:val="en-US"/>
              </w:rPr>
            </w:pPr>
            <w:r w:rsidRPr="00691330">
              <w:rPr>
                <w:rFonts w:ascii="Times New Roman" w:eastAsia="Calibri" w:hAnsi="Times New Roman"/>
                <w:sz w:val="24"/>
                <w:szCs w:val="24"/>
                <w:lang w:val="en-US"/>
              </w:rPr>
              <w:t>Миколаївська</w:t>
            </w:r>
          </w:p>
        </w:tc>
        <w:tc>
          <w:tcPr>
            <w:tcW w:w="0" w:type="auto"/>
          </w:tcPr>
          <w:p w:rsidR="006B6A3E" w:rsidRPr="00691330" w:rsidRDefault="006B6A3E" w:rsidP="00691330">
            <w:pPr>
              <w:spacing w:line="276" w:lineRule="auto"/>
              <w:jc w:val="center"/>
              <w:rPr>
                <w:rFonts w:ascii="Times New Roman" w:hAnsi="Times New Roman"/>
                <w:color w:val="000000"/>
                <w:sz w:val="24"/>
                <w:szCs w:val="24"/>
                <w:lang w:eastAsia="ru-RU"/>
              </w:rPr>
            </w:pPr>
            <w:r w:rsidRPr="00691330">
              <w:rPr>
                <w:rFonts w:ascii="Times New Roman" w:hAnsi="Times New Roman"/>
                <w:color w:val="000000"/>
                <w:sz w:val="24"/>
                <w:szCs w:val="24"/>
                <w:lang w:eastAsia="ru-RU"/>
              </w:rPr>
              <w:t>315,00</w:t>
            </w:r>
          </w:p>
        </w:tc>
        <w:tc>
          <w:tcPr>
            <w:tcW w:w="0" w:type="auto"/>
          </w:tcPr>
          <w:p w:rsidR="006B6A3E" w:rsidRPr="00691330" w:rsidRDefault="006B6A3E" w:rsidP="00691330">
            <w:pPr>
              <w:spacing w:line="276" w:lineRule="auto"/>
              <w:jc w:val="center"/>
              <w:rPr>
                <w:rFonts w:ascii="Times New Roman" w:hAnsi="Times New Roman"/>
                <w:color w:val="000000"/>
                <w:sz w:val="24"/>
                <w:szCs w:val="24"/>
                <w:lang w:eastAsia="ru-RU"/>
              </w:rPr>
            </w:pPr>
            <w:r w:rsidRPr="00691330">
              <w:rPr>
                <w:rFonts w:ascii="Times New Roman" w:hAnsi="Times New Roman"/>
                <w:color w:val="000000"/>
                <w:sz w:val="24"/>
                <w:szCs w:val="24"/>
                <w:lang w:eastAsia="ru-RU"/>
              </w:rPr>
              <w:t>367,00</w:t>
            </w:r>
          </w:p>
        </w:tc>
        <w:tc>
          <w:tcPr>
            <w:tcW w:w="0" w:type="auto"/>
          </w:tcPr>
          <w:p w:rsidR="006B6A3E" w:rsidRPr="00691330" w:rsidRDefault="006B6A3E" w:rsidP="00691330">
            <w:pPr>
              <w:spacing w:line="276" w:lineRule="auto"/>
              <w:jc w:val="center"/>
              <w:rPr>
                <w:rFonts w:ascii="Times New Roman" w:eastAsia="Calibri" w:hAnsi="Times New Roman"/>
                <w:sz w:val="24"/>
                <w:szCs w:val="24"/>
                <w:lang w:val="en-US"/>
              </w:rPr>
            </w:pPr>
            <w:r w:rsidRPr="00691330">
              <w:rPr>
                <w:rFonts w:ascii="Times New Roman" w:eastAsia="Calibri" w:hAnsi="Times New Roman"/>
                <w:sz w:val="24"/>
                <w:szCs w:val="24"/>
                <w:lang w:val="en-US"/>
              </w:rPr>
              <w:t>81,69</w:t>
            </w:r>
          </w:p>
        </w:tc>
        <w:tc>
          <w:tcPr>
            <w:tcW w:w="0" w:type="auto"/>
          </w:tcPr>
          <w:p w:rsidR="006B6A3E" w:rsidRPr="00691330" w:rsidRDefault="006B6A3E" w:rsidP="00691330">
            <w:pPr>
              <w:spacing w:line="276" w:lineRule="auto"/>
              <w:jc w:val="center"/>
              <w:rPr>
                <w:rFonts w:ascii="Times New Roman" w:eastAsia="Calibri" w:hAnsi="Times New Roman"/>
                <w:sz w:val="24"/>
                <w:szCs w:val="24"/>
                <w:lang w:val="en-US"/>
              </w:rPr>
            </w:pPr>
            <w:r w:rsidRPr="00691330">
              <w:rPr>
                <w:rFonts w:ascii="Times New Roman" w:eastAsia="Calibri" w:hAnsi="Times New Roman"/>
                <w:sz w:val="24"/>
                <w:szCs w:val="24"/>
                <w:lang w:val="en-US"/>
              </w:rPr>
              <w:t>73,50</w:t>
            </w:r>
          </w:p>
        </w:tc>
        <w:tc>
          <w:tcPr>
            <w:tcW w:w="0" w:type="auto"/>
          </w:tcPr>
          <w:p w:rsidR="006B6A3E" w:rsidRPr="00691330" w:rsidRDefault="006B6A3E" w:rsidP="00691330">
            <w:pPr>
              <w:spacing w:line="276" w:lineRule="auto"/>
              <w:jc w:val="center"/>
              <w:rPr>
                <w:rFonts w:ascii="Times New Roman" w:eastAsia="Calibri" w:hAnsi="Times New Roman"/>
                <w:sz w:val="24"/>
                <w:szCs w:val="24"/>
                <w:lang w:val="en-US"/>
              </w:rPr>
            </w:pPr>
            <w:r w:rsidRPr="00691330">
              <w:rPr>
                <w:rFonts w:ascii="Times New Roman" w:eastAsia="Calibri" w:hAnsi="Times New Roman"/>
                <w:sz w:val="24"/>
                <w:szCs w:val="24"/>
                <w:lang w:val="en-US"/>
              </w:rPr>
              <w:t>63,54</w:t>
            </w:r>
          </w:p>
        </w:tc>
        <w:tc>
          <w:tcPr>
            <w:tcW w:w="0" w:type="auto"/>
          </w:tcPr>
          <w:p w:rsidR="006B6A3E" w:rsidRPr="00691330" w:rsidRDefault="006B6A3E" w:rsidP="00691330">
            <w:pPr>
              <w:spacing w:line="276" w:lineRule="auto"/>
              <w:jc w:val="center"/>
              <w:rPr>
                <w:rFonts w:ascii="Times New Roman" w:eastAsia="Calibri" w:hAnsi="Times New Roman"/>
                <w:sz w:val="24"/>
                <w:szCs w:val="24"/>
                <w:lang w:val="en-US"/>
              </w:rPr>
            </w:pPr>
            <w:r w:rsidRPr="00691330">
              <w:rPr>
                <w:rFonts w:ascii="Times New Roman" w:eastAsia="Calibri" w:hAnsi="Times New Roman"/>
                <w:sz w:val="24"/>
                <w:szCs w:val="24"/>
                <w:lang w:val="en-US"/>
              </w:rPr>
              <w:t>58,93</w:t>
            </w:r>
          </w:p>
        </w:tc>
        <w:tc>
          <w:tcPr>
            <w:tcW w:w="0" w:type="auto"/>
          </w:tcPr>
          <w:p w:rsidR="006B6A3E" w:rsidRPr="00691330" w:rsidRDefault="006B6A3E" w:rsidP="00691330">
            <w:pPr>
              <w:spacing w:line="276" w:lineRule="auto"/>
              <w:jc w:val="center"/>
              <w:rPr>
                <w:rFonts w:ascii="Times New Roman" w:eastAsia="Calibri" w:hAnsi="Times New Roman"/>
                <w:sz w:val="24"/>
                <w:szCs w:val="24"/>
              </w:rPr>
            </w:pPr>
            <w:r w:rsidRPr="00691330">
              <w:rPr>
                <w:rFonts w:ascii="Times New Roman" w:eastAsia="Calibri" w:hAnsi="Times New Roman"/>
                <w:sz w:val="24"/>
                <w:szCs w:val="24"/>
              </w:rPr>
              <w:t>2,74</w:t>
            </w:r>
          </w:p>
        </w:tc>
        <w:tc>
          <w:tcPr>
            <w:tcW w:w="0" w:type="auto"/>
          </w:tcPr>
          <w:p w:rsidR="006B6A3E" w:rsidRPr="00691330" w:rsidRDefault="006B6A3E" w:rsidP="00691330">
            <w:pPr>
              <w:spacing w:line="276" w:lineRule="auto"/>
              <w:jc w:val="center"/>
              <w:rPr>
                <w:rFonts w:ascii="Times New Roman" w:eastAsia="Calibri" w:hAnsi="Times New Roman"/>
                <w:sz w:val="24"/>
                <w:szCs w:val="24"/>
              </w:rPr>
            </w:pPr>
            <w:r w:rsidRPr="00691330">
              <w:rPr>
                <w:rFonts w:ascii="Times New Roman" w:eastAsia="Calibri" w:hAnsi="Times New Roman"/>
                <w:sz w:val="24"/>
                <w:szCs w:val="24"/>
              </w:rPr>
              <w:t>3,42</w:t>
            </w:r>
          </w:p>
        </w:tc>
      </w:tr>
      <w:tr w:rsidR="006B6A3E" w:rsidRPr="00691330" w:rsidTr="006E3A91">
        <w:trPr>
          <w:jc w:val="center"/>
        </w:trPr>
        <w:tc>
          <w:tcPr>
            <w:tcW w:w="0" w:type="auto"/>
          </w:tcPr>
          <w:p w:rsidR="006B6A3E" w:rsidRPr="00691330" w:rsidRDefault="006B6A3E" w:rsidP="00691330">
            <w:pPr>
              <w:spacing w:line="276" w:lineRule="auto"/>
              <w:rPr>
                <w:rFonts w:ascii="Times New Roman" w:eastAsia="Calibri" w:hAnsi="Times New Roman"/>
                <w:sz w:val="24"/>
                <w:szCs w:val="24"/>
                <w:lang w:val="en-US"/>
              </w:rPr>
            </w:pPr>
            <w:r w:rsidRPr="00691330">
              <w:rPr>
                <w:rFonts w:ascii="Times New Roman" w:eastAsia="Calibri" w:hAnsi="Times New Roman"/>
                <w:sz w:val="24"/>
                <w:szCs w:val="24"/>
                <w:lang w:val="en-US"/>
              </w:rPr>
              <w:t>Одеська</w:t>
            </w:r>
          </w:p>
        </w:tc>
        <w:tc>
          <w:tcPr>
            <w:tcW w:w="0" w:type="auto"/>
          </w:tcPr>
          <w:p w:rsidR="006B6A3E" w:rsidRPr="00691330" w:rsidRDefault="006B6A3E" w:rsidP="00691330">
            <w:pPr>
              <w:spacing w:line="276" w:lineRule="auto"/>
              <w:jc w:val="center"/>
              <w:rPr>
                <w:rFonts w:ascii="Times New Roman" w:hAnsi="Times New Roman"/>
                <w:color w:val="000000"/>
                <w:sz w:val="24"/>
                <w:szCs w:val="24"/>
                <w:lang w:eastAsia="ru-RU"/>
              </w:rPr>
            </w:pPr>
            <w:r w:rsidRPr="00691330">
              <w:rPr>
                <w:rFonts w:ascii="Times New Roman" w:hAnsi="Times New Roman"/>
                <w:color w:val="000000"/>
                <w:sz w:val="24"/>
                <w:szCs w:val="24"/>
                <w:lang w:eastAsia="ru-RU"/>
              </w:rPr>
              <w:t>878,00</w:t>
            </w:r>
          </w:p>
        </w:tc>
        <w:tc>
          <w:tcPr>
            <w:tcW w:w="0" w:type="auto"/>
          </w:tcPr>
          <w:p w:rsidR="006B6A3E" w:rsidRPr="00691330" w:rsidRDefault="006B6A3E" w:rsidP="00691330">
            <w:pPr>
              <w:spacing w:line="276" w:lineRule="auto"/>
              <w:jc w:val="center"/>
              <w:rPr>
                <w:rFonts w:ascii="Times New Roman" w:hAnsi="Times New Roman"/>
                <w:color w:val="000000"/>
                <w:sz w:val="24"/>
                <w:szCs w:val="24"/>
                <w:lang w:eastAsia="ru-RU"/>
              </w:rPr>
            </w:pPr>
            <w:r w:rsidRPr="00691330">
              <w:rPr>
                <w:rFonts w:ascii="Times New Roman" w:hAnsi="Times New Roman"/>
                <w:color w:val="000000"/>
                <w:sz w:val="24"/>
                <w:szCs w:val="24"/>
                <w:lang w:eastAsia="ru-RU"/>
              </w:rPr>
              <w:t>923,00</w:t>
            </w:r>
          </w:p>
        </w:tc>
        <w:tc>
          <w:tcPr>
            <w:tcW w:w="0" w:type="auto"/>
          </w:tcPr>
          <w:p w:rsidR="006B6A3E" w:rsidRPr="00691330" w:rsidRDefault="006B6A3E" w:rsidP="00691330">
            <w:pPr>
              <w:spacing w:line="276" w:lineRule="auto"/>
              <w:jc w:val="center"/>
              <w:rPr>
                <w:rFonts w:ascii="Times New Roman" w:eastAsia="Calibri" w:hAnsi="Times New Roman"/>
                <w:sz w:val="24"/>
                <w:szCs w:val="24"/>
                <w:lang w:val="en-US"/>
              </w:rPr>
            </w:pPr>
            <w:r w:rsidRPr="00691330">
              <w:rPr>
                <w:rFonts w:ascii="Times New Roman" w:eastAsia="Calibri" w:hAnsi="Times New Roman"/>
                <w:sz w:val="24"/>
                <w:szCs w:val="24"/>
                <w:lang w:val="en-US"/>
              </w:rPr>
              <w:t>81,20</w:t>
            </w:r>
          </w:p>
        </w:tc>
        <w:tc>
          <w:tcPr>
            <w:tcW w:w="0" w:type="auto"/>
          </w:tcPr>
          <w:p w:rsidR="006B6A3E" w:rsidRPr="00691330" w:rsidRDefault="006B6A3E" w:rsidP="00691330">
            <w:pPr>
              <w:spacing w:line="276" w:lineRule="auto"/>
              <w:jc w:val="center"/>
              <w:rPr>
                <w:rFonts w:ascii="Times New Roman" w:eastAsia="Calibri" w:hAnsi="Times New Roman"/>
                <w:sz w:val="24"/>
                <w:szCs w:val="24"/>
                <w:lang w:val="en-US"/>
              </w:rPr>
            </w:pPr>
            <w:r w:rsidRPr="00691330">
              <w:rPr>
                <w:rFonts w:ascii="Times New Roman" w:eastAsia="Calibri" w:hAnsi="Times New Roman"/>
                <w:sz w:val="24"/>
                <w:szCs w:val="24"/>
                <w:lang w:val="en-US"/>
              </w:rPr>
              <w:t>80,41</w:t>
            </w:r>
          </w:p>
        </w:tc>
        <w:tc>
          <w:tcPr>
            <w:tcW w:w="0" w:type="auto"/>
          </w:tcPr>
          <w:p w:rsidR="006B6A3E" w:rsidRPr="00691330" w:rsidRDefault="006B6A3E" w:rsidP="00691330">
            <w:pPr>
              <w:spacing w:line="276" w:lineRule="auto"/>
              <w:jc w:val="center"/>
              <w:rPr>
                <w:rFonts w:ascii="Times New Roman" w:eastAsia="Calibri" w:hAnsi="Times New Roman"/>
                <w:sz w:val="24"/>
                <w:szCs w:val="24"/>
                <w:lang w:val="en-US"/>
              </w:rPr>
            </w:pPr>
            <w:r w:rsidRPr="00691330">
              <w:rPr>
                <w:rFonts w:ascii="Times New Roman" w:eastAsia="Calibri" w:hAnsi="Times New Roman"/>
                <w:sz w:val="24"/>
                <w:szCs w:val="24"/>
                <w:lang w:val="en-US"/>
              </w:rPr>
              <w:t>67,76</w:t>
            </w:r>
          </w:p>
        </w:tc>
        <w:tc>
          <w:tcPr>
            <w:tcW w:w="0" w:type="auto"/>
          </w:tcPr>
          <w:p w:rsidR="006B6A3E" w:rsidRPr="00691330" w:rsidRDefault="006B6A3E" w:rsidP="00691330">
            <w:pPr>
              <w:spacing w:line="276" w:lineRule="auto"/>
              <w:jc w:val="center"/>
              <w:rPr>
                <w:rFonts w:ascii="Times New Roman" w:eastAsia="Calibri" w:hAnsi="Times New Roman"/>
                <w:sz w:val="24"/>
                <w:szCs w:val="24"/>
                <w:lang w:val="en-US"/>
              </w:rPr>
            </w:pPr>
            <w:r w:rsidRPr="00691330">
              <w:rPr>
                <w:rFonts w:ascii="Times New Roman" w:eastAsia="Calibri" w:hAnsi="Times New Roman"/>
                <w:sz w:val="24"/>
                <w:szCs w:val="24"/>
                <w:lang w:val="en-US"/>
              </w:rPr>
              <w:t>69,87</w:t>
            </w:r>
          </w:p>
        </w:tc>
        <w:tc>
          <w:tcPr>
            <w:tcW w:w="0" w:type="auto"/>
          </w:tcPr>
          <w:p w:rsidR="006B6A3E" w:rsidRPr="00691330" w:rsidRDefault="006B6A3E" w:rsidP="00691330">
            <w:pPr>
              <w:spacing w:line="276" w:lineRule="auto"/>
              <w:jc w:val="center"/>
              <w:rPr>
                <w:rFonts w:ascii="Times New Roman" w:eastAsia="Calibri" w:hAnsi="Times New Roman"/>
                <w:sz w:val="24"/>
                <w:szCs w:val="24"/>
              </w:rPr>
            </w:pPr>
            <w:r w:rsidRPr="00691330">
              <w:rPr>
                <w:rFonts w:ascii="Times New Roman" w:eastAsia="Calibri" w:hAnsi="Times New Roman"/>
                <w:sz w:val="24"/>
                <w:szCs w:val="24"/>
              </w:rPr>
              <w:t>3,81</w:t>
            </w:r>
          </w:p>
        </w:tc>
        <w:tc>
          <w:tcPr>
            <w:tcW w:w="0" w:type="auto"/>
          </w:tcPr>
          <w:p w:rsidR="006B6A3E" w:rsidRPr="00691330" w:rsidRDefault="006B6A3E" w:rsidP="00691330">
            <w:pPr>
              <w:spacing w:line="276" w:lineRule="auto"/>
              <w:jc w:val="center"/>
              <w:rPr>
                <w:rFonts w:ascii="Times New Roman" w:eastAsia="Calibri" w:hAnsi="Times New Roman"/>
                <w:sz w:val="24"/>
                <w:szCs w:val="24"/>
              </w:rPr>
            </w:pPr>
            <w:r w:rsidRPr="00691330">
              <w:rPr>
                <w:rFonts w:ascii="Times New Roman" w:eastAsia="Calibri" w:hAnsi="Times New Roman"/>
                <w:sz w:val="24"/>
                <w:szCs w:val="24"/>
              </w:rPr>
              <w:t>4,16</w:t>
            </w:r>
          </w:p>
        </w:tc>
      </w:tr>
      <w:tr w:rsidR="006B6A3E" w:rsidRPr="00691330" w:rsidTr="006E3A91">
        <w:trPr>
          <w:jc w:val="center"/>
        </w:trPr>
        <w:tc>
          <w:tcPr>
            <w:tcW w:w="0" w:type="auto"/>
          </w:tcPr>
          <w:p w:rsidR="006B6A3E" w:rsidRPr="00691330" w:rsidRDefault="006B6A3E" w:rsidP="00691330">
            <w:pPr>
              <w:spacing w:line="276" w:lineRule="auto"/>
              <w:rPr>
                <w:rFonts w:ascii="Times New Roman" w:eastAsia="Calibri" w:hAnsi="Times New Roman"/>
                <w:sz w:val="24"/>
                <w:szCs w:val="24"/>
                <w:lang w:val="en-US"/>
              </w:rPr>
            </w:pPr>
            <w:r w:rsidRPr="00691330">
              <w:rPr>
                <w:rFonts w:ascii="Times New Roman" w:eastAsia="Calibri" w:hAnsi="Times New Roman"/>
                <w:sz w:val="24"/>
                <w:szCs w:val="24"/>
                <w:lang w:val="en-US"/>
              </w:rPr>
              <w:t>Полтавська</w:t>
            </w:r>
          </w:p>
        </w:tc>
        <w:tc>
          <w:tcPr>
            <w:tcW w:w="0" w:type="auto"/>
          </w:tcPr>
          <w:p w:rsidR="006B6A3E" w:rsidRPr="00691330" w:rsidRDefault="006B6A3E" w:rsidP="00691330">
            <w:pPr>
              <w:spacing w:line="276" w:lineRule="auto"/>
              <w:jc w:val="center"/>
              <w:rPr>
                <w:rFonts w:ascii="Times New Roman" w:hAnsi="Times New Roman"/>
                <w:color w:val="000000"/>
                <w:sz w:val="24"/>
                <w:szCs w:val="24"/>
                <w:lang w:eastAsia="ru-RU"/>
              </w:rPr>
            </w:pPr>
            <w:r w:rsidRPr="00691330">
              <w:rPr>
                <w:rFonts w:ascii="Times New Roman" w:hAnsi="Times New Roman"/>
                <w:color w:val="000000"/>
                <w:sz w:val="24"/>
                <w:szCs w:val="24"/>
                <w:lang w:eastAsia="ru-RU"/>
              </w:rPr>
              <w:t>567,00</w:t>
            </w:r>
          </w:p>
        </w:tc>
        <w:tc>
          <w:tcPr>
            <w:tcW w:w="0" w:type="auto"/>
          </w:tcPr>
          <w:p w:rsidR="006B6A3E" w:rsidRPr="00691330" w:rsidRDefault="006B6A3E" w:rsidP="00691330">
            <w:pPr>
              <w:spacing w:line="276" w:lineRule="auto"/>
              <w:jc w:val="center"/>
              <w:rPr>
                <w:rFonts w:ascii="Times New Roman" w:hAnsi="Times New Roman"/>
                <w:color w:val="000000"/>
                <w:sz w:val="24"/>
                <w:szCs w:val="24"/>
                <w:lang w:eastAsia="ru-RU"/>
              </w:rPr>
            </w:pPr>
            <w:r w:rsidRPr="00691330">
              <w:rPr>
                <w:rFonts w:ascii="Times New Roman" w:hAnsi="Times New Roman"/>
                <w:color w:val="000000"/>
                <w:sz w:val="24"/>
                <w:szCs w:val="24"/>
                <w:lang w:eastAsia="ru-RU"/>
              </w:rPr>
              <w:t>593,00</w:t>
            </w:r>
          </w:p>
        </w:tc>
        <w:tc>
          <w:tcPr>
            <w:tcW w:w="0" w:type="auto"/>
          </w:tcPr>
          <w:p w:rsidR="006B6A3E" w:rsidRPr="00691330" w:rsidRDefault="006B6A3E" w:rsidP="00691330">
            <w:pPr>
              <w:spacing w:line="276" w:lineRule="auto"/>
              <w:jc w:val="center"/>
              <w:rPr>
                <w:rFonts w:ascii="Times New Roman" w:eastAsia="Calibri" w:hAnsi="Times New Roman"/>
                <w:sz w:val="24"/>
                <w:szCs w:val="24"/>
                <w:lang w:val="en-US"/>
              </w:rPr>
            </w:pPr>
            <w:r w:rsidRPr="00691330">
              <w:rPr>
                <w:rFonts w:ascii="Times New Roman" w:eastAsia="Calibri" w:hAnsi="Times New Roman"/>
                <w:sz w:val="24"/>
                <w:szCs w:val="24"/>
                <w:lang w:val="en-US"/>
              </w:rPr>
              <w:t>82,42</w:t>
            </w:r>
          </w:p>
        </w:tc>
        <w:tc>
          <w:tcPr>
            <w:tcW w:w="0" w:type="auto"/>
          </w:tcPr>
          <w:p w:rsidR="006B6A3E" w:rsidRPr="00691330" w:rsidRDefault="006B6A3E" w:rsidP="00691330">
            <w:pPr>
              <w:spacing w:line="276" w:lineRule="auto"/>
              <w:jc w:val="center"/>
              <w:rPr>
                <w:rFonts w:ascii="Times New Roman" w:eastAsia="Calibri" w:hAnsi="Times New Roman"/>
                <w:sz w:val="24"/>
                <w:szCs w:val="24"/>
                <w:lang w:val="en-US"/>
              </w:rPr>
            </w:pPr>
            <w:r w:rsidRPr="00691330">
              <w:rPr>
                <w:rFonts w:ascii="Times New Roman" w:eastAsia="Calibri" w:hAnsi="Times New Roman"/>
                <w:sz w:val="24"/>
                <w:szCs w:val="24"/>
                <w:lang w:val="en-US"/>
              </w:rPr>
              <w:t>80,11</w:t>
            </w:r>
          </w:p>
        </w:tc>
        <w:tc>
          <w:tcPr>
            <w:tcW w:w="0" w:type="auto"/>
          </w:tcPr>
          <w:p w:rsidR="006B6A3E" w:rsidRPr="00691330" w:rsidRDefault="006B6A3E" w:rsidP="00691330">
            <w:pPr>
              <w:spacing w:line="276" w:lineRule="auto"/>
              <w:jc w:val="center"/>
              <w:rPr>
                <w:rFonts w:ascii="Times New Roman" w:eastAsia="Calibri" w:hAnsi="Times New Roman"/>
                <w:sz w:val="24"/>
                <w:szCs w:val="24"/>
                <w:lang w:val="en-US"/>
              </w:rPr>
            </w:pPr>
            <w:r w:rsidRPr="00691330">
              <w:rPr>
                <w:rFonts w:ascii="Times New Roman" w:eastAsia="Calibri" w:hAnsi="Times New Roman"/>
                <w:sz w:val="24"/>
                <w:szCs w:val="24"/>
                <w:lang w:val="en-US"/>
              </w:rPr>
              <w:t>68,27</w:t>
            </w:r>
          </w:p>
        </w:tc>
        <w:tc>
          <w:tcPr>
            <w:tcW w:w="0" w:type="auto"/>
          </w:tcPr>
          <w:p w:rsidR="006B6A3E" w:rsidRPr="00691330" w:rsidRDefault="006B6A3E" w:rsidP="00691330">
            <w:pPr>
              <w:spacing w:line="276" w:lineRule="auto"/>
              <w:jc w:val="center"/>
              <w:rPr>
                <w:rFonts w:ascii="Times New Roman" w:eastAsia="Calibri" w:hAnsi="Times New Roman"/>
                <w:sz w:val="24"/>
                <w:szCs w:val="24"/>
                <w:lang w:val="en-US"/>
              </w:rPr>
            </w:pPr>
            <w:r w:rsidRPr="00691330">
              <w:rPr>
                <w:rFonts w:ascii="Times New Roman" w:eastAsia="Calibri" w:hAnsi="Times New Roman"/>
                <w:sz w:val="24"/>
                <w:szCs w:val="24"/>
                <w:lang w:val="en-US"/>
              </w:rPr>
              <w:t>69,48</w:t>
            </w:r>
          </w:p>
        </w:tc>
        <w:tc>
          <w:tcPr>
            <w:tcW w:w="0" w:type="auto"/>
          </w:tcPr>
          <w:p w:rsidR="006B6A3E" w:rsidRPr="00691330" w:rsidRDefault="006B6A3E" w:rsidP="00691330">
            <w:pPr>
              <w:spacing w:line="276" w:lineRule="auto"/>
              <w:jc w:val="center"/>
              <w:rPr>
                <w:rFonts w:ascii="Times New Roman" w:eastAsia="Calibri" w:hAnsi="Times New Roman"/>
                <w:sz w:val="24"/>
                <w:szCs w:val="24"/>
              </w:rPr>
            </w:pPr>
            <w:r w:rsidRPr="00691330">
              <w:rPr>
                <w:rFonts w:ascii="Times New Roman" w:eastAsia="Calibri" w:hAnsi="Times New Roman"/>
                <w:sz w:val="24"/>
                <w:szCs w:val="24"/>
              </w:rPr>
              <w:t>4,02</w:t>
            </w:r>
          </w:p>
        </w:tc>
        <w:tc>
          <w:tcPr>
            <w:tcW w:w="0" w:type="auto"/>
          </w:tcPr>
          <w:p w:rsidR="006B6A3E" w:rsidRPr="00691330" w:rsidRDefault="006B6A3E" w:rsidP="00691330">
            <w:pPr>
              <w:spacing w:line="276" w:lineRule="auto"/>
              <w:jc w:val="center"/>
              <w:rPr>
                <w:rFonts w:ascii="Times New Roman" w:eastAsia="Calibri" w:hAnsi="Times New Roman"/>
                <w:sz w:val="24"/>
                <w:szCs w:val="24"/>
              </w:rPr>
            </w:pPr>
            <w:r w:rsidRPr="00691330">
              <w:rPr>
                <w:rFonts w:ascii="Times New Roman" w:eastAsia="Calibri" w:hAnsi="Times New Roman"/>
                <w:sz w:val="24"/>
                <w:szCs w:val="24"/>
              </w:rPr>
              <w:t>4,37</w:t>
            </w:r>
          </w:p>
        </w:tc>
      </w:tr>
      <w:tr w:rsidR="006B6A3E" w:rsidRPr="00691330" w:rsidTr="006E3A91">
        <w:trPr>
          <w:jc w:val="center"/>
        </w:trPr>
        <w:tc>
          <w:tcPr>
            <w:tcW w:w="0" w:type="auto"/>
          </w:tcPr>
          <w:p w:rsidR="006B6A3E" w:rsidRPr="00691330" w:rsidRDefault="006B6A3E" w:rsidP="00691330">
            <w:pPr>
              <w:spacing w:line="276" w:lineRule="auto"/>
              <w:rPr>
                <w:rFonts w:ascii="Times New Roman" w:eastAsia="Calibri" w:hAnsi="Times New Roman"/>
                <w:sz w:val="24"/>
                <w:szCs w:val="24"/>
                <w:lang w:val="en-US"/>
              </w:rPr>
            </w:pPr>
            <w:r w:rsidRPr="00691330">
              <w:rPr>
                <w:rFonts w:ascii="Times New Roman" w:eastAsia="Calibri" w:hAnsi="Times New Roman"/>
                <w:sz w:val="24"/>
                <w:szCs w:val="24"/>
                <w:lang w:val="en-US"/>
              </w:rPr>
              <w:t>Рівненська</w:t>
            </w:r>
          </w:p>
        </w:tc>
        <w:tc>
          <w:tcPr>
            <w:tcW w:w="0" w:type="auto"/>
          </w:tcPr>
          <w:p w:rsidR="006B6A3E" w:rsidRPr="00691330" w:rsidRDefault="006B6A3E" w:rsidP="00691330">
            <w:pPr>
              <w:spacing w:line="276" w:lineRule="auto"/>
              <w:jc w:val="center"/>
              <w:rPr>
                <w:rFonts w:ascii="Times New Roman" w:hAnsi="Times New Roman"/>
                <w:color w:val="000000"/>
                <w:sz w:val="24"/>
                <w:szCs w:val="24"/>
                <w:lang w:eastAsia="ru-RU"/>
              </w:rPr>
            </w:pPr>
            <w:r w:rsidRPr="00691330">
              <w:rPr>
                <w:rFonts w:ascii="Times New Roman" w:hAnsi="Times New Roman"/>
                <w:color w:val="000000"/>
                <w:sz w:val="24"/>
                <w:szCs w:val="24"/>
                <w:lang w:eastAsia="ru-RU"/>
              </w:rPr>
              <w:t>224,00</w:t>
            </w:r>
          </w:p>
        </w:tc>
        <w:tc>
          <w:tcPr>
            <w:tcW w:w="0" w:type="auto"/>
          </w:tcPr>
          <w:p w:rsidR="006B6A3E" w:rsidRPr="00691330" w:rsidRDefault="006B6A3E" w:rsidP="00691330">
            <w:pPr>
              <w:spacing w:line="276" w:lineRule="auto"/>
              <w:jc w:val="center"/>
              <w:rPr>
                <w:rFonts w:ascii="Times New Roman" w:hAnsi="Times New Roman"/>
                <w:color w:val="000000"/>
                <w:sz w:val="24"/>
                <w:szCs w:val="24"/>
                <w:lang w:eastAsia="ru-RU"/>
              </w:rPr>
            </w:pPr>
            <w:r w:rsidRPr="00691330">
              <w:rPr>
                <w:rFonts w:ascii="Times New Roman" w:hAnsi="Times New Roman"/>
                <w:color w:val="000000"/>
                <w:sz w:val="24"/>
                <w:szCs w:val="24"/>
                <w:lang w:eastAsia="ru-RU"/>
              </w:rPr>
              <w:t>426,00</w:t>
            </w:r>
          </w:p>
        </w:tc>
        <w:tc>
          <w:tcPr>
            <w:tcW w:w="0" w:type="auto"/>
          </w:tcPr>
          <w:p w:rsidR="006B6A3E" w:rsidRPr="00691330" w:rsidRDefault="006B6A3E" w:rsidP="00691330">
            <w:pPr>
              <w:spacing w:line="276" w:lineRule="auto"/>
              <w:jc w:val="center"/>
              <w:rPr>
                <w:rFonts w:ascii="Times New Roman" w:eastAsia="Calibri" w:hAnsi="Times New Roman"/>
                <w:sz w:val="24"/>
                <w:szCs w:val="24"/>
                <w:lang w:val="en-US"/>
              </w:rPr>
            </w:pPr>
            <w:r w:rsidRPr="00691330">
              <w:rPr>
                <w:rFonts w:ascii="Times New Roman" w:eastAsia="Calibri" w:hAnsi="Times New Roman"/>
                <w:sz w:val="24"/>
                <w:szCs w:val="24"/>
                <w:lang w:val="en-US"/>
              </w:rPr>
              <w:t>88,34</w:t>
            </w:r>
          </w:p>
        </w:tc>
        <w:tc>
          <w:tcPr>
            <w:tcW w:w="0" w:type="auto"/>
          </w:tcPr>
          <w:p w:rsidR="006B6A3E" w:rsidRPr="00691330" w:rsidRDefault="006B6A3E" w:rsidP="00691330">
            <w:pPr>
              <w:spacing w:line="276" w:lineRule="auto"/>
              <w:jc w:val="center"/>
              <w:rPr>
                <w:rFonts w:ascii="Times New Roman" w:eastAsia="Calibri" w:hAnsi="Times New Roman"/>
                <w:sz w:val="24"/>
                <w:szCs w:val="24"/>
                <w:lang w:val="en-US"/>
              </w:rPr>
            </w:pPr>
            <w:r w:rsidRPr="00691330">
              <w:rPr>
                <w:rFonts w:ascii="Times New Roman" w:eastAsia="Calibri" w:hAnsi="Times New Roman"/>
                <w:sz w:val="24"/>
                <w:szCs w:val="24"/>
                <w:lang w:val="en-US"/>
              </w:rPr>
              <w:t>84,81</w:t>
            </w:r>
          </w:p>
        </w:tc>
        <w:tc>
          <w:tcPr>
            <w:tcW w:w="0" w:type="auto"/>
          </w:tcPr>
          <w:p w:rsidR="006B6A3E" w:rsidRPr="00691330" w:rsidRDefault="006B6A3E" w:rsidP="00691330">
            <w:pPr>
              <w:spacing w:line="276" w:lineRule="auto"/>
              <w:jc w:val="center"/>
              <w:rPr>
                <w:rFonts w:ascii="Times New Roman" w:eastAsia="Calibri" w:hAnsi="Times New Roman"/>
                <w:sz w:val="24"/>
                <w:szCs w:val="24"/>
                <w:lang w:val="en-US"/>
              </w:rPr>
            </w:pPr>
            <w:r w:rsidRPr="00691330">
              <w:rPr>
                <w:rFonts w:ascii="Times New Roman" w:eastAsia="Calibri" w:hAnsi="Times New Roman"/>
                <w:sz w:val="24"/>
                <w:szCs w:val="24"/>
                <w:lang w:val="en-US"/>
              </w:rPr>
              <w:t>76,84</w:t>
            </w:r>
          </w:p>
        </w:tc>
        <w:tc>
          <w:tcPr>
            <w:tcW w:w="0" w:type="auto"/>
          </w:tcPr>
          <w:p w:rsidR="006B6A3E" w:rsidRPr="00691330" w:rsidRDefault="006B6A3E" w:rsidP="00691330">
            <w:pPr>
              <w:spacing w:line="276" w:lineRule="auto"/>
              <w:jc w:val="center"/>
              <w:rPr>
                <w:rFonts w:ascii="Times New Roman" w:eastAsia="Calibri" w:hAnsi="Times New Roman"/>
                <w:sz w:val="24"/>
                <w:szCs w:val="24"/>
                <w:lang w:val="en-US"/>
              </w:rPr>
            </w:pPr>
            <w:r w:rsidRPr="00691330">
              <w:rPr>
                <w:rFonts w:ascii="Times New Roman" w:eastAsia="Calibri" w:hAnsi="Times New Roman"/>
                <w:sz w:val="24"/>
                <w:szCs w:val="24"/>
                <w:lang w:val="en-US"/>
              </w:rPr>
              <w:t>80,60</w:t>
            </w:r>
          </w:p>
        </w:tc>
        <w:tc>
          <w:tcPr>
            <w:tcW w:w="0" w:type="auto"/>
          </w:tcPr>
          <w:p w:rsidR="006B6A3E" w:rsidRPr="00691330" w:rsidRDefault="006B6A3E" w:rsidP="00691330">
            <w:pPr>
              <w:spacing w:line="276" w:lineRule="auto"/>
              <w:jc w:val="center"/>
              <w:rPr>
                <w:rFonts w:ascii="Times New Roman" w:eastAsia="Calibri" w:hAnsi="Times New Roman"/>
                <w:sz w:val="24"/>
                <w:szCs w:val="24"/>
              </w:rPr>
            </w:pPr>
            <w:r w:rsidRPr="00691330">
              <w:rPr>
                <w:rFonts w:ascii="Times New Roman" w:eastAsia="Calibri" w:hAnsi="Times New Roman"/>
                <w:sz w:val="24"/>
                <w:szCs w:val="24"/>
              </w:rPr>
              <w:t>2,03</w:t>
            </w:r>
          </w:p>
        </w:tc>
        <w:tc>
          <w:tcPr>
            <w:tcW w:w="0" w:type="auto"/>
          </w:tcPr>
          <w:p w:rsidR="006B6A3E" w:rsidRPr="00691330" w:rsidRDefault="006B6A3E" w:rsidP="00691330">
            <w:pPr>
              <w:spacing w:line="276" w:lineRule="auto"/>
              <w:jc w:val="center"/>
              <w:rPr>
                <w:rFonts w:ascii="Times New Roman" w:eastAsia="Calibri" w:hAnsi="Times New Roman"/>
                <w:sz w:val="24"/>
                <w:szCs w:val="24"/>
              </w:rPr>
            </w:pPr>
            <w:r w:rsidRPr="00691330">
              <w:rPr>
                <w:rFonts w:ascii="Times New Roman" w:eastAsia="Calibri" w:hAnsi="Times New Roman"/>
                <w:sz w:val="24"/>
                <w:szCs w:val="24"/>
              </w:rPr>
              <w:t>3,87</w:t>
            </w:r>
          </w:p>
        </w:tc>
      </w:tr>
      <w:tr w:rsidR="006B6A3E" w:rsidRPr="00691330" w:rsidTr="006E3A91">
        <w:trPr>
          <w:jc w:val="center"/>
        </w:trPr>
        <w:tc>
          <w:tcPr>
            <w:tcW w:w="0" w:type="auto"/>
          </w:tcPr>
          <w:p w:rsidR="006B6A3E" w:rsidRPr="00691330" w:rsidRDefault="006B6A3E" w:rsidP="00691330">
            <w:pPr>
              <w:spacing w:line="276" w:lineRule="auto"/>
              <w:rPr>
                <w:rFonts w:ascii="Times New Roman" w:eastAsia="Calibri" w:hAnsi="Times New Roman"/>
                <w:sz w:val="24"/>
                <w:szCs w:val="24"/>
                <w:lang w:val="en-US"/>
              </w:rPr>
            </w:pPr>
            <w:r w:rsidRPr="00691330">
              <w:rPr>
                <w:rFonts w:ascii="Times New Roman" w:eastAsia="Calibri" w:hAnsi="Times New Roman"/>
                <w:sz w:val="24"/>
                <w:szCs w:val="24"/>
                <w:lang w:val="en-US"/>
              </w:rPr>
              <w:t>Сумська</w:t>
            </w:r>
          </w:p>
        </w:tc>
        <w:tc>
          <w:tcPr>
            <w:tcW w:w="0" w:type="auto"/>
          </w:tcPr>
          <w:p w:rsidR="006B6A3E" w:rsidRPr="00691330" w:rsidRDefault="006B6A3E" w:rsidP="00691330">
            <w:pPr>
              <w:spacing w:line="276" w:lineRule="auto"/>
              <w:jc w:val="center"/>
              <w:rPr>
                <w:rFonts w:ascii="Times New Roman" w:hAnsi="Times New Roman"/>
                <w:color w:val="000000"/>
                <w:sz w:val="24"/>
                <w:szCs w:val="24"/>
                <w:lang w:eastAsia="ru-RU"/>
              </w:rPr>
            </w:pPr>
            <w:r w:rsidRPr="00691330">
              <w:rPr>
                <w:rFonts w:ascii="Times New Roman" w:hAnsi="Times New Roman"/>
                <w:color w:val="000000"/>
                <w:sz w:val="24"/>
                <w:szCs w:val="24"/>
                <w:lang w:eastAsia="ru-RU"/>
              </w:rPr>
              <w:t>267,00</w:t>
            </w:r>
          </w:p>
        </w:tc>
        <w:tc>
          <w:tcPr>
            <w:tcW w:w="0" w:type="auto"/>
          </w:tcPr>
          <w:p w:rsidR="006B6A3E" w:rsidRPr="00691330" w:rsidRDefault="006B6A3E" w:rsidP="00691330">
            <w:pPr>
              <w:spacing w:line="276" w:lineRule="auto"/>
              <w:jc w:val="center"/>
              <w:rPr>
                <w:rFonts w:ascii="Times New Roman" w:hAnsi="Times New Roman"/>
                <w:color w:val="000000"/>
                <w:sz w:val="24"/>
                <w:szCs w:val="24"/>
                <w:lang w:eastAsia="ru-RU"/>
              </w:rPr>
            </w:pPr>
            <w:r w:rsidRPr="00691330">
              <w:rPr>
                <w:rFonts w:ascii="Times New Roman" w:hAnsi="Times New Roman"/>
                <w:color w:val="000000"/>
                <w:sz w:val="24"/>
                <w:szCs w:val="24"/>
                <w:lang w:eastAsia="ru-RU"/>
              </w:rPr>
              <w:t>348,00</w:t>
            </w:r>
          </w:p>
        </w:tc>
        <w:tc>
          <w:tcPr>
            <w:tcW w:w="0" w:type="auto"/>
          </w:tcPr>
          <w:p w:rsidR="006B6A3E" w:rsidRPr="00691330" w:rsidRDefault="006B6A3E" w:rsidP="00691330">
            <w:pPr>
              <w:spacing w:line="276" w:lineRule="auto"/>
              <w:jc w:val="center"/>
              <w:rPr>
                <w:rFonts w:ascii="Times New Roman" w:eastAsia="Calibri" w:hAnsi="Times New Roman"/>
                <w:sz w:val="24"/>
                <w:szCs w:val="24"/>
                <w:lang w:val="en-US"/>
              </w:rPr>
            </w:pPr>
            <w:r w:rsidRPr="00691330">
              <w:rPr>
                <w:rFonts w:ascii="Times New Roman" w:eastAsia="Calibri" w:hAnsi="Times New Roman"/>
                <w:sz w:val="24"/>
                <w:szCs w:val="24"/>
                <w:lang w:val="en-US"/>
              </w:rPr>
              <w:t>88,50</w:t>
            </w:r>
          </w:p>
        </w:tc>
        <w:tc>
          <w:tcPr>
            <w:tcW w:w="0" w:type="auto"/>
          </w:tcPr>
          <w:p w:rsidR="006B6A3E" w:rsidRPr="00691330" w:rsidRDefault="006B6A3E" w:rsidP="00691330">
            <w:pPr>
              <w:spacing w:line="276" w:lineRule="auto"/>
              <w:jc w:val="center"/>
              <w:rPr>
                <w:rFonts w:ascii="Times New Roman" w:eastAsia="Calibri" w:hAnsi="Times New Roman"/>
                <w:sz w:val="24"/>
                <w:szCs w:val="24"/>
                <w:lang w:val="en-US"/>
              </w:rPr>
            </w:pPr>
            <w:r w:rsidRPr="00691330">
              <w:rPr>
                <w:rFonts w:ascii="Times New Roman" w:eastAsia="Calibri" w:hAnsi="Times New Roman"/>
                <w:sz w:val="24"/>
                <w:szCs w:val="24"/>
                <w:lang w:val="en-US"/>
              </w:rPr>
              <w:t>86,52</w:t>
            </w:r>
          </w:p>
        </w:tc>
        <w:tc>
          <w:tcPr>
            <w:tcW w:w="0" w:type="auto"/>
          </w:tcPr>
          <w:p w:rsidR="006B6A3E" w:rsidRPr="00691330" w:rsidRDefault="006B6A3E" w:rsidP="00691330">
            <w:pPr>
              <w:spacing w:line="276" w:lineRule="auto"/>
              <w:jc w:val="center"/>
              <w:rPr>
                <w:rFonts w:ascii="Times New Roman" w:eastAsia="Calibri" w:hAnsi="Times New Roman"/>
                <w:sz w:val="24"/>
                <w:szCs w:val="24"/>
                <w:lang w:val="en-US"/>
              </w:rPr>
            </w:pPr>
            <w:r w:rsidRPr="00691330">
              <w:rPr>
                <w:rFonts w:ascii="Times New Roman" w:eastAsia="Calibri" w:hAnsi="Times New Roman"/>
                <w:sz w:val="24"/>
                <w:szCs w:val="24"/>
                <w:lang w:val="en-US"/>
              </w:rPr>
              <w:t>71,44</w:t>
            </w:r>
          </w:p>
        </w:tc>
        <w:tc>
          <w:tcPr>
            <w:tcW w:w="0" w:type="auto"/>
          </w:tcPr>
          <w:p w:rsidR="006B6A3E" w:rsidRPr="00691330" w:rsidRDefault="006B6A3E" w:rsidP="00691330">
            <w:pPr>
              <w:spacing w:line="276" w:lineRule="auto"/>
              <w:jc w:val="center"/>
              <w:rPr>
                <w:rFonts w:ascii="Times New Roman" w:eastAsia="Calibri" w:hAnsi="Times New Roman"/>
                <w:sz w:val="24"/>
                <w:szCs w:val="24"/>
                <w:lang w:val="en-US"/>
              </w:rPr>
            </w:pPr>
            <w:r w:rsidRPr="00691330">
              <w:rPr>
                <w:rFonts w:ascii="Times New Roman" w:eastAsia="Calibri" w:hAnsi="Times New Roman"/>
                <w:sz w:val="24"/>
                <w:szCs w:val="24"/>
                <w:lang w:val="en-US"/>
              </w:rPr>
              <w:t>76,61</w:t>
            </w:r>
          </w:p>
        </w:tc>
        <w:tc>
          <w:tcPr>
            <w:tcW w:w="0" w:type="auto"/>
          </w:tcPr>
          <w:p w:rsidR="006B6A3E" w:rsidRPr="00691330" w:rsidRDefault="006B6A3E" w:rsidP="00691330">
            <w:pPr>
              <w:spacing w:line="276" w:lineRule="auto"/>
              <w:jc w:val="center"/>
              <w:rPr>
                <w:rFonts w:ascii="Times New Roman" w:eastAsia="Calibri" w:hAnsi="Times New Roman"/>
                <w:sz w:val="24"/>
                <w:szCs w:val="24"/>
              </w:rPr>
            </w:pPr>
            <w:r w:rsidRPr="00691330">
              <w:rPr>
                <w:rFonts w:ascii="Times New Roman" w:eastAsia="Calibri" w:hAnsi="Times New Roman"/>
                <w:sz w:val="24"/>
                <w:szCs w:val="24"/>
              </w:rPr>
              <w:t>2,42</w:t>
            </w:r>
          </w:p>
        </w:tc>
        <w:tc>
          <w:tcPr>
            <w:tcW w:w="0" w:type="auto"/>
          </w:tcPr>
          <w:p w:rsidR="006B6A3E" w:rsidRPr="00691330" w:rsidRDefault="006B6A3E" w:rsidP="00691330">
            <w:pPr>
              <w:spacing w:line="276" w:lineRule="auto"/>
              <w:jc w:val="center"/>
              <w:rPr>
                <w:rFonts w:ascii="Times New Roman" w:eastAsia="Calibri" w:hAnsi="Times New Roman"/>
                <w:sz w:val="24"/>
                <w:szCs w:val="24"/>
              </w:rPr>
            </w:pPr>
            <w:r w:rsidRPr="00691330">
              <w:rPr>
                <w:rFonts w:ascii="Times New Roman" w:eastAsia="Calibri" w:hAnsi="Times New Roman"/>
                <w:sz w:val="24"/>
                <w:szCs w:val="24"/>
              </w:rPr>
              <w:t>3,30</w:t>
            </w:r>
          </w:p>
        </w:tc>
      </w:tr>
      <w:tr w:rsidR="006B6A3E" w:rsidRPr="00691330" w:rsidTr="006E3A91">
        <w:trPr>
          <w:jc w:val="center"/>
        </w:trPr>
        <w:tc>
          <w:tcPr>
            <w:tcW w:w="0" w:type="auto"/>
          </w:tcPr>
          <w:p w:rsidR="006B6A3E" w:rsidRPr="00691330" w:rsidRDefault="006B6A3E" w:rsidP="00691330">
            <w:pPr>
              <w:spacing w:line="276" w:lineRule="auto"/>
              <w:rPr>
                <w:rFonts w:ascii="Times New Roman" w:eastAsia="Calibri" w:hAnsi="Times New Roman"/>
                <w:sz w:val="24"/>
                <w:szCs w:val="24"/>
                <w:lang w:val="en-US"/>
              </w:rPr>
            </w:pPr>
            <w:r w:rsidRPr="00691330">
              <w:rPr>
                <w:rFonts w:ascii="Times New Roman" w:eastAsia="Calibri" w:hAnsi="Times New Roman"/>
                <w:sz w:val="24"/>
                <w:szCs w:val="24"/>
                <w:lang w:val="en-US"/>
              </w:rPr>
              <w:t>Тернопільська</w:t>
            </w:r>
          </w:p>
        </w:tc>
        <w:tc>
          <w:tcPr>
            <w:tcW w:w="0" w:type="auto"/>
          </w:tcPr>
          <w:p w:rsidR="006B6A3E" w:rsidRPr="00691330" w:rsidRDefault="006B6A3E" w:rsidP="00691330">
            <w:pPr>
              <w:spacing w:line="276" w:lineRule="auto"/>
              <w:jc w:val="center"/>
              <w:rPr>
                <w:rFonts w:ascii="Times New Roman" w:hAnsi="Times New Roman"/>
                <w:color w:val="000000"/>
                <w:sz w:val="24"/>
                <w:szCs w:val="24"/>
                <w:lang w:eastAsia="ru-RU"/>
              </w:rPr>
            </w:pPr>
            <w:r w:rsidRPr="00691330">
              <w:rPr>
                <w:rFonts w:ascii="Times New Roman" w:hAnsi="Times New Roman"/>
                <w:color w:val="000000"/>
                <w:sz w:val="24"/>
                <w:szCs w:val="24"/>
                <w:lang w:eastAsia="ru-RU"/>
              </w:rPr>
              <w:t>510,00</w:t>
            </w:r>
          </w:p>
        </w:tc>
        <w:tc>
          <w:tcPr>
            <w:tcW w:w="0" w:type="auto"/>
          </w:tcPr>
          <w:p w:rsidR="006B6A3E" w:rsidRPr="00691330" w:rsidRDefault="006B6A3E" w:rsidP="00691330">
            <w:pPr>
              <w:spacing w:line="276" w:lineRule="auto"/>
              <w:jc w:val="center"/>
              <w:rPr>
                <w:rFonts w:ascii="Times New Roman" w:hAnsi="Times New Roman"/>
                <w:color w:val="000000"/>
                <w:sz w:val="24"/>
                <w:szCs w:val="24"/>
                <w:lang w:eastAsia="ru-RU"/>
              </w:rPr>
            </w:pPr>
            <w:r w:rsidRPr="00691330">
              <w:rPr>
                <w:rFonts w:ascii="Times New Roman" w:hAnsi="Times New Roman"/>
                <w:color w:val="000000"/>
                <w:sz w:val="24"/>
                <w:szCs w:val="24"/>
                <w:lang w:eastAsia="ru-RU"/>
              </w:rPr>
              <w:t>531,00</w:t>
            </w:r>
          </w:p>
        </w:tc>
        <w:tc>
          <w:tcPr>
            <w:tcW w:w="0" w:type="auto"/>
          </w:tcPr>
          <w:p w:rsidR="006B6A3E" w:rsidRPr="00691330" w:rsidRDefault="006B6A3E" w:rsidP="00691330">
            <w:pPr>
              <w:spacing w:line="276" w:lineRule="auto"/>
              <w:jc w:val="center"/>
              <w:rPr>
                <w:rFonts w:ascii="Times New Roman" w:eastAsia="Calibri" w:hAnsi="Times New Roman"/>
                <w:sz w:val="24"/>
                <w:szCs w:val="24"/>
                <w:lang w:val="en-US"/>
              </w:rPr>
            </w:pPr>
            <w:r w:rsidRPr="00691330">
              <w:rPr>
                <w:rFonts w:ascii="Times New Roman" w:eastAsia="Calibri" w:hAnsi="Times New Roman"/>
                <w:sz w:val="24"/>
                <w:szCs w:val="24"/>
                <w:lang w:val="en-US"/>
              </w:rPr>
              <w:t>90,05</w:t>
            </w:r>
          </w:p>
        </w:tc>
        <w:tc>
          <w:tcPr>
            <w:tcW w:w="0" w:type="auto"/>
          </w:tcPr>
          <w:p w:rsidR="006B6A3E" w:rsidRPr="00691330" w:rsidRDefault="006B6A3E" w:rsidP="00691330">
            <w:pPr>
              <w:spacing w:line="276" w:lineRule="auto"/>
              <w:jc w:val="center"/>
              <w:rPr>
                <w:rFonts w:ascii="Times New Roman" w:eastAsia="Calibri" w:hAnsi="Times New Roman"/>
                <w:sz w:val="24"/>
                <w:szCs w:val="24"/>
                <w:lang w:val="en-US"/>
              </w:rPr>
            </w:pPr>
            <w:r w:rsidRPr="00691330">
              <w:rPr>
                <w:rFonts w:ascii="Times New Roman" w:eastAsia="Calibri" w:hAnsi="Times New Roman"/>
                <w:sz w:val="24"/>
                <w:szCs w:val="24"/>
                <w:lang w:val="en-US"/>
              </w:rPr>
              <w:t>88,75</w:t>
            </w:r>
          </w:p>
        </w:tc>
        <w:tc>
          <w:tcPr>
            <w:tcW w:w="0" w:type="auto"/>
          </w:tcPr>
          <w:p w:rsidR="006B6A3E" w:rsidRPr="00691330" w:rsidRDefault="006B6A3E" w:rsidP="00691330">
            <w:pPr>
              <w:spacing w:line="276" w:lineRule="auto"/>
              <w:jc w:val="center"/>
              <w:rPr>
                <w:rFonts w:ascii="Times New Roman" w:eastAsia="Calibri" w:hAnsi="Times New Roman"/>
                <w:sz w:val="24"/>
                <w:szCs w:val="24"/>
                <w:lang w:val="en-US"/>
              </w:rPr>
            </w:pPr>
            <w:r w:rsidRPr="00691330">
              <w:rPr>
                <w:rFonts w:ascii="Times New Roman" w:eastAsia="Calibri" w:hAnsi="Times New Roman"/>
                <w:sz w:val="24"/>
                <w:szCs w:val="24"/>
                <w:lang w:val="en-US"/>
              </w:rPr>
              <w:t>83,20</w:t>
            </w:r>
          </w:p>
        </w:tc>
        <w:tc>
          <w:tcPr>
            <w:tcW w:w="0" w:type="auto"/>
          </w:tcPr>
          <w:p w:rsidR="006B6A3E" w:rsidRPr="00691330" w:rsidRDefault="006B6A3E" w:rsidP="00691330">
            <w:pPr>
              <w:spacing w:line="276" w:lineRule="auto"/>
              <w:jc w:val="center"/>
              <w:rPr>
                <w:rFonts w:ascii="Times New Roman" w:eastAsia="Calibri" w:hAnsi="Times New Roman"/>
                <w:sz w:val="24"/>
                <w:szCs w:val="24"/>
                <w:lang w:val="en-US"/>
              </w:rPr>
            </w:pPr>
            <w:r w:rsidRPr="00691330">
              <w:rPr>
                <w:rFonts w:ascii="Times New Roman" w:eastAsia="Calibri" w:hAnsi="Times New Roman"/>
                <w:sz w:val="24"/>
                <w:szCs w:val="24"/>
                <w:lang w:val="en-US"/>
              </w:rPr>
              <w:t>85,96</w:t>
            </w:r>
          </w:p>
        </w:tc>
        <w:tc>
          <w:tcPr>
            <w:tcW w:w="0" w:type="auto"/>
          </w:tcPr>
          <w:p w:rsidR="006B6A3E" w:rsidRPr="00691330" w:rsidRDefault="006B6A3E" w:rsidP="00691330">
            <w:pPr>
              <w:spacing w:line="276" w:lineRule="auto"/>
              <w:jc w:val="center"/>
              <w:rPr>
                <w:rFonts w:ascii="Times New Roman" w:eastAsia="Calibri" w:hAnsi="Times New Roman"/>
                <w:sz w:val="24"/>
                <w:szCs w:val="24"/>
              </w:rPr>
            </w:pPr>
            <w:r w:rsidRPr="00691330">
              <w:rPr>
                <w:rFonts w:ascii="Times New Roman" w:eastAsia="Calibri" w:hAnsi="Times New Roman"/>
                <w:sz w:val="24"/>
                <w:szCs w:val="24"/>
              </w:rPr>
              <w:t>5,00</w:t>
            </w:r>
          </w:p>
        </w:tc>
        <w:tc>
          <w:tcPr>
            <w:tcW w:w="0" w:type="auto"/>
          </w:tcPr>
          <w:p w:rsidR="006B6A3E" w:rsidRPr="00691330" w:rsidRDefault="006B6A3E" w:rsidP="00691330">
            <w:pPr>
              <w:spacing w:line="276" w:lineRule="auto"/>
              <w:jc w:val="center"/>
              <w:rPr>
                <w:rFonts w:ascii="Times New Roman" w:eastAsia="Calibri" w:hAnsi="Times New Roman"/>
                <w:sz w:val="24"/>
                <w:szCs w:val="24"/>
              </w:rPr>
            </w:pPr>
            <w:r w:rsidRPr="00691330">
              <w:rPr>
                <w:rFonts w:ascii="Times New Roman" w:eastAsia="Calibri" w:hAnsi="Times New Roman"/>
                <w:sz w:val="24"/>
                <w:szCs w:val="24"/>
              </w:rPr>
              <w:t>5,35</w:t>
            </w:r>
          </w:p>
        </w:tc>
      </w:tr>
      <w:tr w:rsidR="006B6A3E" w:rsidRPr="00691330" w:rsidTr="006E3A91">
        <w:trPr>
          <w:jc w:val="center"/>
        </w:trPr>
        <w:tc>
          <w:tcPr>
            <w:tcW w:w="0" w:type="auto"/>
          </w:tcPr>
          <w:p w:rsidR="006B6A3E" w:rsidRPr="00691330" w:rsidRDefault="006B6A3E" w:rsidP="00691330">
            <w:pPr>
              <w:spacing w:line="276" w:lineRule="auto"/>
              <w:rPr>
                <w:rFonts w:ascii="Times New Roman" w:eastAsia="Calibri" w:hAnsi="Times New Roman"/>
                <w:sz w:val="24"/>
                <w:szCs w:val="24"/>
                <w:lang w:val="en-US"/>
              </w:rPr>
            </w:pPr>
            <w:r w:rsidRPr="00691330">
              <w:rPr>
                <w:rFonts w:ascii="Times New Roman" w:eastAsia="Calibri" w:hAnsi="Times New Roman"/>
                <w:sz w:val="24"/>
                <w:szCs w:val="24"/>
                <w:lang w:val="en-US"/>
              </w:rPr>
              <w:t>Харківська</w:t>
            </w:r>
          </w:p>
        </w:tc>
        <w:tc>
          <w:tcPr>
            <w:tcW w:w="0" w:type="auto"/>
          </w:tcPr>
          <w:p w:rsidR="006B6A3E" w:rsidRPr="00691330" w:rsidRDefault="006B6A3E" w:rsidP="00691330">
            <w:pPr>
              <w:spacing w:line="276" w:lineRule="auto"/>
              <w:jc w:val="center"/>
              <w:rPr>
                <w:rFonts w:ascii="Times New Roman" w:hAnsi="Times New Roman"/>
                <w:color w:val="000000"/>
                <w:sz w:val="24"/>
                <w:szCs w:val="24"/>
                <w:lang w:eastAsia="ru-RU"/>
              </w:rPr>
            </w:pPr>
            <w:r w:rsidRPr="00691330">
              <w:rPr>
                <w:rFonts w:ascii="Times New Roman" w:hAnsi="Times New Roman"/>
                <w:color w:val="000000"/>
                <w:sz w:val="24"/>
                <w:szCs w:val="24"/>
                <w:lang w:eastAsia="ru-RU"/>
              </w:rPr>
              <w:t>695,00</w:t>
            </w:r>
          </w:p>
        </w:tc>
        <w:tc>
          <w:tcPr>
            <w:tcW w:w="0" w:type="auto"/>
          </w:tcPr>
          <w:p w:rsidR="006B6A3E" w:rsidRPr="00691330" w:rsidRDefault="006B6A3E" w:rsidP="00691330">
            <w:pPr>
              <w:spacing w:line="276" w:lineRule="auto"/>
              <w:jc w:val="center"/>
              <w:rPr>
                <w:rFonts w:ascii="Times New Roman" w:hAnsi="Times New Roman"/>
                <w:color w:val="000000"/>
                <w:sz w:val="24"/>
                <w:szCs w:val="24"/>
                <w:lang w:eastAsia="ru-RU"/>
              </w:rPr>
            </w:pPr>
            <w:r w:rsidRPr="00691330">
              <w:rPr>
                <w:rFonts w:ascii="Times New Roman" w:hAnsi="Times New Roman"/>
                <w:color w:val="000000"/>
                <w:sz w:val="24"/>
                <w:szCs w:val="24"/>
                <w:lang w:eastAsia="ru-RU"/>
              </w:rPr>
              <w:t>693,00</w:t>
            </w:r>
          </w:p>
        </w:tc>
        <w:tc>
          <w:tcPr>
            <w:tcW w:w="0" w:type="auto"/>
          </w:tcPr>
          <w:p w:rsidR="006B6A3E" w:rsidRPr="00691330" w:rsidRDefault="006B6A3E" w:rsidP="00691330">
            <w:pPr>
              <w:spacing w:line="276" w:lineRule="auto"/>
              <w:jc w:val="center"/>
              <w:rPr>
                <w:rFonts w:ascii="Times New Roman" w:eastAsia="Calibri" w:hAnsi="Times New Roman"/>
                <w:sz w:val="24"/>
                <w:szCs w:val="24"/>
                <w:lang w:val="en-US"/>
              </w:rPr>
            </w:pPr>
            <w:r w:rsidRPr="00691330">
              <w:rPr>
                <w:rFonts w:ascii="Times New Roman" w:eastAsia="Calibri" w:hAnsi="Times New Roman"/>
                <w:sz w:val="24"/>
                <w:szCs w:val="24"/>
                <w:lang w:val="en-US"/>
              </w:rPr>
              <w:t>87,67</w:t>
            </w:r>
          </w:p>
        </w:tc>
        <w:tc>
          <w:tcPr>
            <w:tcW w:w="0" w:type="auto"/>
          </w:tcPr>
          <w:p w:rsidR="006B6A3E" w:rsidRPr="00691330" w:rsidRDefault="006B6A3E" w:rsidP="00691330">
            <w:pPr>
              <w:spacing w:line="276" w:lineRule="auto"/>
              <w:jc w:val="center"/>
              <w:rPr>
                <w:rFonts w:ascii="Times New Roman" w:eastAsia="Calibri" w:hAnsi="Times New Roman"/>
                <w:sz w:val="24"/>
                <w:szCs w:val="24"/>
                <w:lang w:val="en-US"/>
              </w:rPr>
            </w:pPr>
            <w:r w:rsidRPr="00691330">
              <w:rPr>
                <w:rFonts w:ascii="Times New Roman" w:eastAsia="Calibri" w:hAnsi="Times New Roman"/>
                <w:sz w:val="24"/>
                <w:szCs w:val="24"/>
                <w:lang w:val="en-US"/>
              </w:rPr>
              <w:t>79,22</w:t>
            </w:r>
          </w:p>
        </w:tc>
        <w:tc>
          <w:tcPr>
            <w:tcW w:w="0" w:type="auto"/>
          </w:tcPr>
          <w:p w:rsidR="006B6A3E" w:rsidRPr="00691330" w:rsidRDefault="006B6A3E" w:rsidP="00691330">
            <w:pPr>
              <w:spacing w:line="276" w:lineRule="auto"/>
              <w:jc w:val="center"/>
              <w:rPr>
                <w:rFonts w:ascii="Times New Roman" w:eastAsia="Calibri" w:hAnsi="Times New Roman"/>
                <w:sz w:val="24"/>
                <w:szCs w:val="24"/>
                <w:lang w:val="en-US"/>
              </w:rPr>
            </w:pPr>
            <w:r w:rsidRPr="00691330">
              <w:rPr>
                <w:rFonts w:ascii="Times New Roman" w:eastAsia="Calibri" w:hAnsi="Times New Roman"/>
                <w:sz w:val="24"/>
                <w:szCs w:val="24"/>
                <w:lang w:val="en-US"/>
              </w:rPr>
              <w:t>70,67</w:t>
            </w:r>
          </w:p>
        </w:tc>
        <w:tc>
          <w:tcPr>
            <w:tcW w:w="0" w:type="auto"/>
          </w:tcPr>
          <w:p w:rsidR="006B6A3E" w:rsidRPr="00691330" w:rsidRDefault="006B6A3E" w:rsidP="00691330">
            <w:pPr>
              <w:spacing w:line="276" w:lineRule="auto"/>
              <w:jc w:val="center"/>
              <w:rPr>
                <w:rFonts w:ascii="Times New Roman" w:eastAsia="Calibri" w:hAnsi="Times New Roman"/>
                <w:sz w:val="24"/>
                <w:szCs w:val="24"/>
                <w:lang w:val="en-US"/>
              </w:rPr>
            </w:pPr>
            <w:r w:rsidRPr="00691330">
              <w:rPr>
                <w:rFonts w:ascii="Times New Roman" w:eastAsia="Calibri" w:hAnsi="Times New Roman"/>
                <w:sz w:val="24"/>
                <w:szCs w:val="24"/>
                <w:lang w:val="en-US"/>
              </w:rPr>
              <w:t>71,11</w:t>
            </w:r>
          </w:p>
        </w:tc>
        <w:tc>
          <w:tcPr>
            <w:tcW w:w="0" w:type="auto"/>
          </w:tcPr>
          <w:p w:rsidR="006B6A3E" w:rsidRPr="00691330" w:rsidRDefault="006B6A3E" w:rsidP="00691330">
            <w:pPr>
              <w:spacing w:line="276" w:lineRule="auto"/>
              <w:jc w:val="center"/>
              <w:rPr>
                <w:rFonts w:ascii="Times New Roman" w:eastAsia="Calibri" w:hAnsi="Times New Roman"/>
                <w:sz w:val="24"/>
                <w:szCs w:val="24"/>
              </w:rPr>
            </w:pPr>
            <w:r w:rsidRPr="00691330">
              <w:rPr>
                <w:rFonts w:ascii="Times New Roman" w:eastAsia="Calibri" w:hAnsi="Times New Roman"/>
                <w:sz w:val="24"/>
                <w:szCs w:val="24"/>
              </w:rPr>
              <w:t>2,68</w:t>
            </w:r>
          </w:p>
        </w:tc>
        <w:tc>
          <w:tcPr>
            <w:tcW w:w="0" w:type="auto"/>
          </w:tcPr>
          <w:p w:rsidR="006B6A3E" w:rsidRPr="00691330" w:rsidRDefault="006B6A3E" w:rsidP="00691330">
            <w:pPr>
              <w:spacing w:line="276" w:lineRule="auto"/>
              <w:jc w:val="center"/>
              <w:rPr>
                <w:rFonts w:ascii="Times New Roman" w:eastAsia="Calibri" w:hAnsi="Times New Roman"/>
                <w:sz w:val="24"/>
                <w:szCs w:val="24"/>
              </w:rPr>
            </w:pPr>
            <w:r w:rsidRPr="00691330">
              <w:rPr>
                <w:rFonts w:ascii="Times New Roman" w:eastAsia="Calibri" w:hAnsi="Times New Roman"/>
                <w:sz w:val="24"/>
                <w:szCs w:val="24"/>
              </w:rPr>
              <w:t>2,73</w:t>
            </w:r>
          </w:p>
        </w:tc>
      </w:tr>
      <w:tr w:rsidR="006B6A3E" w:rsidRPr="00691330" w:rsidTr="006E3A91">
        <w:trPr>
          <w:jc w:val="center"/>
        </w:trPr>
        <w:tc>
          <w:tcPr>
            <w:tcW w:w="0" w:type="auto"/>
          </w:tcPr>
          <w:p w:rsidR="006B6A3E" w:rsidRPr="00691330" w:rsidRDefault="006B6A3E" w:rsidP="00691330">
            <w:pPr>
              <w:spacing w:line="276" w:lineRule="auto"/>
              <w:rPr>
                <w:rFonts w:ascii="Times New Roman" w:eastAsia="Calibri" w:hAnsi="Times New Roman"/>
                <w:sz w:val="24"/>
                <w:szCs w:val="24"/>
                <w:lang w:val="en-US"/>
              </w:rPr>
            </w:pPr>
            <w:r w:rsidRPr="00691330">
              <w:rPr>
                <w:rFonts w:ascii="Times New Roman" w:eastAsia="Calibri" w:hAnsi="Times New Roman"/>
                <w:sz w:val="24"/>
                <w:szCs w:val="24"/>
                <w:lang w:val="en-US"/>
              </w:rPr>
              <w:t>Херсонська</w:t>
            </w:r>
          </w:p>
        </w:tc>
        <w:tc>
          <w:tcPr>
            <w:tcW w:w="0" w:type="auto"/>
          </w:tcPr>
          <w:p w:rsidR="006B6A3E" w:rsidRPr="00691330" w:rsidRDefault="006B6A3E" w:rsidP="00691330">
            <w:pPr>
              <w:spacing w:line="276" w:lineRule="auto"/>
              <w:jc w:val="center"/>
              <w:rPr>
                <w:rFonts w:ascii="Times New Roman" w:hAnsi="Times New Roman"/>
                <w:color w:val="000000"/>
                <w:sz w:val="24"/>
                <w:szCs w:val="24"/>
                <w:lang w:eastAsia="ru-RU"/>
              </w:rPr>
            </w:pPr>
            <w:r w:rsidRPr="00691330">
              <w:rPr>
                <w:rFonts w:ascii="Times New Roman" w:hAnsi="Times New Roman"/>
                <w:color w:val="000000"/>
                <w:sz w:val="24"/>
                <w:szCs w:val="24"/>
                <w:lang w:eastAsia="ru-RU"/>
              </w:rPr>
              <w:t>172,00</w:t>
            </w:r>
          </w:p>
        </w:tc>
        <w:tc>
          <w:tcPr>
            <w:tcW w:w="0" w:type="auto"/>
          </w:tcPr>
          <w:p w:rsidR="006B6A3E" w:rsidRPr="00691330" w:rsidRDefault="006B6A3E" w:rsidP="00691330">
            <w:pPr>
              <w:spacing w:line="276" w:lineRule="auto"/>
              <w:jc w:val="center"/>
              <w:rPr>
                <w:rFonts w:ascii="Times New Roman" w:hAnsi="Times New Roman"/>
                <w:color w:val="000000"/>
                <w:sz w:val="24"/>
                <w:szCs w:val="24"/>
                <w:lang w:eastAsia="ru-RU"/>
              </w:rPr>
            </w:pPr>
            <w:r w:rsidRPr="00691330">
              <w:rPr>
                <w:rFonts w:ascii="Times New Roman" w:hAnsi="Times New Roman"/>
                <w:color w:val="000000"/>
                <w:sz w:val="24"/>
                <w:szCs w:val="24"/>
                <w:lang w:eastAsia="ru-RU"/>
              </w:rPr>
              <w:t>235,00</w:t>
            </w:r>
          </w:p>
        </w:tc>
        <w:tc>
          <w:tcPr>
            <w:tcW w:w="0" w:type="auto"/>
          </w:tcPr>
          <w:p w:rsidR="006B6A3E" w:rsidRPr="00691330" w:rsidRDefault="006B6A3E" w:rsidP="00691330">
            <w:pPr>
              <w:spacing w:line="276" w:lineRule="auto"/>
              <w:jc w:val="center"/>
              <w:rPr>
                <w:rFonts w:ascii="Times New Roman" w:eastAsia="Calibri" w:hAnsi="Times New Roman"/>
                <w:sz w:val="24"/>
                <w:szCs w:val="24"/>
                <w:lang w:val="en-US"/>
              </w:rPr>
            </w:pPr>
            <w:r w:rsidRPr="00691330">
              <w:rPr>
                <w:rFonts w:ascii="Times New Roman" w:eastAsia="Calibri" w:hAnsi="Times New Roman"/>
                <w:sz w:val="24"/>
                <w:szCs w:val="24"/>
                <w:lang w:val="en-US"/>
              </w:rPr>
              <w:t>72,69</w:t>
            </w:r>
          </w:p>
        </w:tc>
        <w:tc>
          <w:tcPr>
            <w:tcW w:w="0" w:type="auto"/>
          </w:tcPr>
          <w:p w:rsidR="006B6A3E" w:rsidRPr="00691330" w:rsidRDefault="006B6A3E" w:rsidP="00691330">
            <w:pPr>
              <w:spacing w:line="276" w:lineRule="auto"/>
              <w:jc w:val="center"/>
              <w:rPr>
                <w:rFonts w:ascii="Times New Roman" w:eastAsia="Calibri" w:hAnsi="Times New Roman"/>
                <w:sz w:val="24"/>
                <w:szCs w:val="24"/>
                <w:lang w:val="en-US"/>
              </w:rPr>
            </w:pPr>
            <w:r w:rsidRPr="00691330">
              <w:rPr>
                <w:rFonts w:ascii="Times New Roman" w:eastAsia="Calibri" w:hAnsi="Times New Roman"/>
                <w:sz w:val="24"/>
                <w:szCs w:val="24"/>
                <w:lang w:val="en-US"/>
              </w:rPr>
              <w:t>70,03</w:t>
            </w:r>
          </w:p>
        </w:tc>
        <w:tc>
          <w:tcPr>
            <w:tcW w:w="0" w:type="auto"/>
          </w:tcPr>
          <w:p w:rsidR="006B6A3E" w:rsidRPr="00691330" w:rsidRDefault="006B6A3E" w:rsidP="00691330">
            <w:pPr>
              <w:spacing w:line="276" w:lineRule="auto"/>
              <w:jc w:val="center"/>
              <w:rPr>
                <w:rFonts w:ascii="Times New Roman" w:eastAsia="Calibri" w:hAnsi="Times New Roman"/>
                <w:sz w:val="24"/>
                <w:szCs w:val="24"/>
                <w:lang w:val="en-US"/>
              </w:rPr>
            </w:pPr>
            <w:r w:rsidRPr="00691330">
              <w:rPr>
                <w:rFonts w:ascii="Times New Roman" w:eastAsia="Calibri" w:hAnsi="Times New Roman"/>
                <w:sz w:val="24"/>
                <w:szCs w:val="24"/>
                <w:lang w:val="en-US"/>
              </w:rPr>
              <w:t>54,78</w:t>
            </w:r>
          </w:p>
        </w:tc>
        <w:tc>
          <w:tcPr>
            <w:tcW w:w="0" w:type="auto"/>
          </w:tcPr>
          <w:p w:rsidR="006B6A3E" w:rsidRPr="00691330" w:rsidRDefault="006B6A3E" w:rsidP="00691330">
            <w:pPr>
              <w:spacing w:line="276" w:lineRule="auto"/>
              <w:jc w:val="center"/>
              <w:rPr>
                <w:rFonts w:ascii="Times New Roman" w:eastAsia="Calibri" w:hAnsi="Times New Roman"/>
                <w:sz w:val="24"/>
                <w:szCs w:val="24"/>
                <w:lang w:val="en-US"/>
              </w:rPr>
            </w:pPr>
            <w:r w:rsidRPr="00691330">
              <w:rPr>
                <w:rFonts w:ascii="Times New Roman" w:eastAsia="Calibri" w:hAnsi="Times New Roman"/>
                <w:sz w:val="24"/>
                <w:szCs w:val="24"/>
                <w:lang w:val="en-US"/>
              </w:rPr>
              <w:t>54,18</w:t>
            </w:r>
          </w:p>
        </w:tc>
        <w:tc>
          <w:tcPr>
            <w:tcW w:w="0" w:type="auto"/>
          </w:tcPr>
          <w:p w:rsidR="006B6A3E" w:rsidRPr="00691330" w:rsidRDefault="006B6A3E" w:rsidP="00691330">
            <w:pPr>
              <w:spacing w:line="276" w:lineRule="auto"/>
              <w:jc w:val="center"/>
              <w:rPr>
                <w:rFonts w:ascii="Times New Roman" w:eastAsia="Calibri" w:hAnsi="Times New Roman"/>
                <w:sz w:val="24"/>
                <w:szCs w:val="24"/>
              </w:rPr>
            </w:pPr>
            <w:r w:rsidRPr="00691330">
              <w:rPr>
                <w:rFonts w:ascii="Times New Roman" w:eastAsia="Calibri" w:hAnsi="Times New Roman"/>
                <w:sz w:val="24"/>
                <w:szCs w:val="24"/>
              </w:rPr>
              <w:t>1,65</w:t>
            </w:r>
          </w:p>
        </w:tc>
        <w:tc>
          <w:tcPr>
            <w:tcW w:w="0" w:type="auto"/>
          </w:tcPr>
          <w:p w:rsidR="006B6A3E" w:rsidRPr="00691330" w:rsidRDefault="006B6A3E" w:rsidP="00691330">
            <w:pPr>
              <w:spacing w:line="276" w:lineRule="auto"/>
              <w:jc w:val="center"/>
              <w:rPr>
                <w:rFonts w:ascii="Times New Roman" w:eastAsia="Calibri" w:hAnsi="Times New Roman"/>
                <w:sz w:val="24"/>
                <w:szCs w:val="24"/>
              </w:rPr>
            </w:pPr>
            <w:r w:rsidRPr="00691330">
              <w:rPr>
                <w:rFonts w:ascii="Times New Roman" w:eastAsia="Calibri" w:hAnsi="Times New Roman"/>
                <w:sz w:val="24"/>
                <w:szCs w:val="24"/>
              </w:rPr>
              <w:t>2,40</w:t>
            </w:r>
          </w:p>
        </w:tc>
      </w:tr>
      <w:tr w:rsidR="006B6A3E" w:rsidRPr="00691330" w:rsidTr="006E3A91">
        <w:trPr>
          <w:jc w:val="center"/>
        </w:trPr>
        <w:tc>
          <w:tcPr>
            <w:tcW w:w="0" w:type="auto"/>
          </w:tcPr>
          <w:p w:rsidR="006B6A3E" w:rsidRPr="00691330" w:rsidRDefault="006B6A3E" w:rsidP="00691330">
            <w:pPr>
              <w:spacing w:line="276" w:lineRule="auto"/>
              <w:rPr>
                <w:rFonts w:ascii="Times New Roman" w:eastAsia="Calibri" w:hAnsi="Times New Roman"/>
                <w:sz w:val="24"/>
                <w:szCs w:val="24"/>
                <w:lang w:val="en-US"/>
              </w:rPr>
            </w:pPr>
            <w:r w:rsidRPr="00691330">
              <w:rPr>
                <w:rFonts w:ascii="Times New Roman" w:eastAsia="Calibri" w:hAnsi="Times New Roman"/>
                <w:sz w:val="24"/>
                <w:szCs w:val="24"/>
                <w:lang w:val="en-US"/>
              </w:rPr>
              <w:t>Хмельницька</w:t>
            </w:r>
          </w:p>
        </w:tc>
        <w:tc>
          <w:tcPr>
            <w:tcW w:w="0" w:type="auto"/>
          </w:tcPr>
          <w:p w:rsidR="006B6A3E" w:rsidRPr="00691330" w:rsidRDefault="006B6A3E" w:rsidP="00691330">
            <w:pPr>
              <w:spacing w:line="276" w:lineRule="auto"/>
              <w:jc w:val="center"/>
              <w:rPr>
                <w:rFonts w:ascii="Times New Roman" w:hAnsi="Times New Roman"/>
                <w:color w:val="000000"/>
                <w:sz w:val="24"/>
                <w:szCs w:val="24"/>
                <w:lang w:eastAsia="ru-RU"/>
              </w:rPr>
            </w:pPr>
            <w:r w:rsidRPr="00691330">
              <w:rPr>
                <w:rFonts w:ascii="Times New Roman" w:hAnsi="Times New Roman"/>
                <w:color w:val="000000"/>
                <w:sz w:val="24"/>
                <w:szCs w:val="24"/>
                <w:lang w:eastAsia="ru-RU"/>
              </w:rPr>
              <w:t>398,00</w:t>
            </w:r>
          </w:p>
        </w:tc>
        <w:tc>
          <w:tcPr>
            <w:tcW w:w="0" w:type="auto"/>
          </w:tcPr>
          <w:p w:rsidR="006B6A3E" w:rsidRPr="00691330" w:rsidRDefault="006B6A3E" w:rsidP="00691330">
            <w:pPr>
              <w:spacing w:line="276" w:lineRule="auto"/>
              <w:jc w:val="center"/>
              <w:rPr>
                <w:rFonts w:ascii="Times New Roman" w:hAnsi="Times New Roman"/>
                <w:color w:val="000000"/>
                <w:sz w:val="24"/>
                <w:szCs w:val="24"/>
                <w:lang w:eastAsia="ru-RU"/>
              </w:rPr>
            </w:pPr>
            <w:r w:rsidRPr="00691330">
              <w:rPr>
                <w:rFonts w:ascii="Times New Roman" w:hAnsi="Times New Roman"/>
                <w:color w:val="000000"/>
                <w:sz w:val="24"/>
                <w:szCs w:val="24"/>
                <w:lang w:eastAsia="ru-RU"/>
              </w:rPr>
              <w:t>516,00</w:t>
            </w:r>
          </w:p>
        </w:tc>
        <w:tc>
          <w:tcPr>
            <w:tcW w:w="0" w:type="auto"/>
          </w:tcPr>
          <w:p w:rsidR="006B6A3E" w:rsidRPr="00691330" w:rsidRDefault="006B6A3E" w:rsidP="00691330">
            <w:pPr>
              <w:spacing w:line="276" w:lineRule="auto"/>
              <w:jc w:val="center"/>
              <w:rPr>
                <w:rFonts w:ascii="Times New Roman" w:eastAsia="Calibri" w:hAnsi="Times New Roman"/>
                <w:sz w:val="24"/>
                <w:szCs w:val="24"/>
                <w:lang w:val="en-US"/>
              </w:rPr>
            </w:pPr>
            <w:r w:rsidRPr="00691330">
              <w:rPr>
                <w:rFonts w:ascii="Times New Roman" w:eastAsia="Calibri" w:hAnsi="Times New Roman"/>
                <w:sz w:val="24"/>
                <w:szCs w:val="24"/>
                <w:lang w:val="en-US"/>
              </w:rPr>
              <w:t>90,31</w:t>
            </w:r>
          </w:p>
        </w:tc>
        <w:tc>
          <w:tcPr>
            <w:tcW w:w="0" w:type="auto"/>
          </w:tcPr>
          <w:p w:rsidR="006B6A3E" w:rsidRPr="00691330" w:rsidRDefault="006B6A3E" w:rsidP="00691330">
            <w:pPr>
              <w:spacing w:line="276" w:lineRule="auto"/>
              <w:jc w:val="center"/>
              <w:rPr>
                <w:rFonts w:ascii="Times New Roman" w:eastAsia="Calibri" w:hAnsi="Times New Roman"/>
                <w:sz w:val="24"/>
                <w:szCs w:val="24"/>
                <w:lang w:val="en-US"/>
              </w:rPr>
            </w:pPr>
            <w:r w:rsidRPr="00691330">
              <w:rPr>
                <w:rFonts w:ascii="Times New Roman" w:eastAsia="Calibri" w:hAnsi="Times New Roman"/>
                <w:sz w:val="24"/>
                <w:szCs w:val="24"/>
                <w:lang w:val="en-US"/>
              </w:rPr>
              <w:t>86,77</w:t>
            </w:r>
          </w:p>
        </w:tc>
        <w:tc>
          <w:tcPr>
            <w:tcW w:w="0" w:type="auto"/>
          </w:tcPr>
          <w:p w:rsidR="006B6A3E" w:rsidRPr="00691330" w:rsidRDefault="006B6A3E" w:rsidP="00691330">
            <w:pPr>
              <w:spacing w:line="276" w:lineRule="auto"/>
              <w:jc w:val="center"/>
              <w:rPr>
                <w:rFonts w:ascii="Times New Roman" w:eastAsia="Calibri" w:hAnsi="Times New Roman"/>
                <w:sz w:val="24"/>
                <w:szCs w:val="24"/>
                <w:lang w:val="en-US"/>
              </w:rPr>
            </w:pPr>
            <w:r w:rsidRPr="00691330">
              <w:rPr>
                <w:rFonts w:ascii="Times New Roman" w:eastAsia="Calibri" w:hAnsi="Times New Roman"/>
                <w:sz w:val="24"/>
                <w:szCs w:val="24"/>
                <w:lang w:val="en-US"/>
              </w:rPr>
              <w:t>79,13</w:t>
            </w:r>
          </w:p>
        </w:tc>
        <w:tc>
          <w:tcPr>
            <w:tcW w:w="0" w:type="auto"/>
          </w:tcPr>
          <w:p w:rsidR="006B6A3E" w:rsidRPr="00691330" w:rsidRDefault="006B6A3E" w:rsidP="00691330">
            <w:pPr>
              <w:spacing w:line="276" w:lineRule="auto"/>
              <w:jc w:val="center"/>
              <w:rPr>
                <w:rFonts w:ascii="Times New Roman" w:eastAsia="Calibri" w:hAnsi="Times New Roman"/>
                <w:sz w:val="24"/>
                <w:szCs w:val="24"/>
                <w:lang w:val="en-US"/>
              </w:rPr>
            </w:pPr>
            <w:r w:rsidRPr="00691330">
              <w:rPr>
                <w:rFonts w:ascii="Times New Roman" w:eastAsia="Calibri" w:hAnsi="Times New Roman"/>
                <w:sz w:val="24"/>
                <w:szCs w:val="24"/>
                <w:lang w:val="en-US"/>
              </w:rPr>
              <w:t>82,00</w:t>
            </w:r>
          </w:p>
        </w:tc>
        <w:tc>
          <w:tcPr>
            <w:tcW w:w="0" w:type="auto"/>
          </w:tcPr>
          <w:p w:rsidR="006B6A3E" w:rsidRPr="00691330" w:rsidRDefault="006B6A3E" w:rsidP="00691330">
            <w:pPr>
              <w:spacing w:line="276" w:lineRule="auto"/>
              <w:jc w:val="center"/>
              <w:rPr>
                <w:rFonts w:ascii="Times New Roman" w:eastAsia="Calibri" w:hAnsi="Times New Roman"/>
                <w:sz w:val="24"/>
                <w:szCs w:val="24"/>
              </w:rPr>
            </w:pPr>
            <w:r w:rsidRPr="00691330">
              <w:rPr>
                <w:rFonts w:ascii="Times New Roman" w:eastAsia="Calibri" w:hAnsi="Times New Roman"/>
                <w:sz w:val="24"/>
                <w:szCs w:val="24"/>
              </w:rPr>
              <w:t>3,13</w:t>
            </w:r>
          </w:p>
        </w:tc>
        <w:tc>
          <w:tcPr>
            <w:tcW w:w="0" w:type="auto"/>
          </w:tcPr>
          <w:p w:rsidR="006B6A3E" w:rsidRPr="00691330" w:rsidRDefault="006B6A3E" w:rsidP="00691330">
            <w:pPr>
              <w:spacing w:line="276" w:lineRule="auto"/>
              <w:jc w:val="center"/>
              <w:rPr>
                <w:rFonts w:ascii="Times New Roman" w:eastAsia="Calibri" w:hAnsi="Times New Roman"/>
                <w:sz w:val="24"/>
                <w:szCs w:val="24"/>
              </w:rPr>
            </w:pPr>
            <w:r w:rsidRPr="00691330">
              <w:rPr>
                <w:rFonts w:ascii="Times New Roman" w:eastAsia="Calibri" w:hAnsi="Times New Roman"/>
                <w:sz w:val="24"/>
                <w:szCs w:val="24"/>
              </w:rPr>
              <w:t>4,27</w:t>
            </w:r>
          </w:p>
        </w:tc>
      </w:tr>
      <w:tr w:rsidR="006B6A3E" w:rsidRPr="00691330" w:rsidTr="006E3A91">
        <w:trPr>
          <w:jc w:val="center"/>
        </w:trPr>
        <w:tc>
          <w:tcPr>
            <w:tcW w:w="0" w:type="auto"/>
          </w:tcPr>
          <w:p w:rsidR="006B6A3E" w:rsidRPr="00691330" w:rsidRDefault="006B6A3E" w:rsidP="00691330">
            <w:pPr>
              <w:spacing w:line="276" w:lineRule="auto"/>
              <w:rPr>
                <w:rFonts w:ascii="Times New Roman" w:eastAsia="Calibri" w:hAnsi="Times New Roman"/>
                <w:sz w:val="24"/>
                <w:szCs w:val="24"/>
                <w:lang w:val="en-US"/>
              </w:rPr>
            </w:pPr>
            <w:r w:rsidRPr="00691330">
              <w:rPr>
                <w:rFonts w:ascii="Times New Roman" w:eastAsia="Calibri" w:hAnsi="Times New Roman"/>
                <w:sz w:val="24"/>
                <w:szCs w:val="24"/>
                <w:lang w:val="en-US"/>
              </w:rPr>
              <w:t>Черкаська</w:t>
            </w:r>
          </w:p>
        </w:tc>
        <w:tc>
          <w:tcPr>
            <w:tcW w:w="0" w:type="auto"/>
          </w:tcPr>
          <w:p w:rsidR="006B6A3E" w:rsidRPr="00691330" w:rsidRDefault="006B6A3E" w:rsidP="00691330">
            <w:pPr>
              <w:spacing w:line="276" w:lineRule="auto"/>
              <w:jc w:val="center"/>
              <w:rPr>
                <w:rFonts w:ascii="Times New Roman" w:hAnsi="Times New Roman"/>
                <w:color w:val="000000"/>
                <w:sz w:val="24"/>
                <w:szCs w:val="24"/>
                <w:lang w:eastAsia="ru-RU"/>
              </w:rPr>
            </w:pPr>
            <w:r w:rsidRPr="00691330">
              <w:rPr>
                <w:rFonts w:ascii="Times New Roman" w:hAnsi="Times New Roman"/>
                <w:color w:val="000000"/>
                <w:sz w:val="24"/>
                <w:szCs w:val="24"/>
                <w:lang w:eastAsia="ru-RU"/>
              </w:rPr>
              <w:t>347,00</w:t>
            </w:r>
          </w:p>
        </w:tc>
        <w:tc>
          <w:tcPr>
            <w:tcW w:w="0" w:type="auto"/>
          </w:tcPr>
          <w:p w:rsidR="006B6A3E" w:rsidRPr="00691330" w:rsidRDefault="006B6A3E" w:rsidP="00691330">
            <w:pPr>
              <w:spacing w:line="276" w:lineRule="auto"/>
              <w:jc w:val="center"/>
              <w:rPr>
                <w:rFonts w:ascii="Times New Roman" w:hAnsi="Times New Roman"/>
                <w:color w:val="000000"/>
                <w:sz w:val="24"/>
                <w:szCs w:val="24"/>
                <w:lang w:eastAsia="ru-RU"/>
              </w:rPr>
            </w:pPr>
            <w:r w:rsidRPr="00691330">
              <w:rPr>
                <w:rFonts w:ascii="Times New Roman" w:hAnsi="Times New Roman"/>
                <w:color w:val="000000"/>
                <w:sz w:val="24"/>
                <w:szCs w:val="24"/>
                <w:lang w:eastAsia="ru-RU"/>
              </w:rPr>
              <w:t>399,00</w:t>
            </w:r>
          </w:p>
        </w:tc>
        <w:tc>
          <w:tcPr>
            <w:tcW w:w="0" w:type="auto"/>
          </w:tcPr>
          <w:p w:rsidR="006B6A3E" w:rsidRPr="00691330" w:rsidRDefault="006B6A3E" w:rsidP="00691330">
            <w:pPr>
              <w:spacing w:line="276" w:lineRule="auto"/>
              <w:jc w:val="center"/>
              <w:rPr>
                <w:rFonts w:ascii="Times New Roman" w:eastAsia="Calibri" w:hAnsi="Times New Roman"/>
                <w:sz w:val="24"/>
                <w:szCs w:val="24"/>
                <w:lang w:val="en-US"/>
              </w:rPr>
            </w:pPr>
            <w:r w:rsidRPr="00691330">
              <w:rPr>
                <w:rFonts w:ascii="Times New Roman" w:eastAsia="Calibri" w:hAnsi="Times New Roman"/>
                <w:sz w:val="24"/>
                <w:szCs w:val="24"/>
                <w:lang w:val="en-US"/>
              </w:rPr>
              <w:t>85,04</w:t>
            </w:r>
          </w:p>
        </w:tc>
        <w:tc>
          <w:tcPr>
            <w:tcW w:w="0" w:type="auto"/>
          </w:tcPr>
          <w:p w:rsidR="006B6A3E" w:rsidRPr="00691330" w:rsidRDefault="006B6A3E" w:rsidP="00691330">
            <w:pPr>
              <w:spacing w:line="276" w:lineRule="auto"/>
              <w:jc w:val="center"/>
              <w:rPr>
                <w:rFonts w:ascii="Times New Roman" w:eastAsia="Calibri" w:hAnsi="Times New Roman"/>
                <w:sz w:val="24"/>
                <w:szCs w:val="24"/>
                <w:lang w:val="en-US"/>
              </w:rPr>
            </w:pPr>
            <w:r w:rsidRPr="00691330">
              <w:rPr>
                <w:rFonts w:ascii="Times New Roman" w:eastAsia="Calibri" w:hAnsi="Times New Roman"/>
                <w:sz w:val="24"/>
                <w:szCs w:val="24"/>
                <w:lang w:val="en-US"/>
              </w:rPr>
              <w:t>78,27</w:t>
            </w:r>
          </w:p>
        </w:tc>
        <w:tc>
          <w:tcPr>
            <w:tcW w:w="0" w:type="auto"/>
          </w:tcPr>
          <w:p w:rsidR="006B6A3E" w:rsidRPr="00691330" w:rsidRDefault="006B6A3E" w:rsidP="00691330">
            <w:pPr>
              <w:spacing w:line="276" w:lineRule="auto"/>
              <w:jc w:val="center"/>
              <w:rPr>
                <w:rFonts w:ascii="Times New Roman" w:eastAsia="Calibri" w:hAnsi="Times New Roman"/>
                <w:sz w:val="24"/>
                <w:szCs w:val="24"/>
                <w:lang w:val="en-US"/>
              </w:rPr>
            </w:pPr>
            <w:r w:rsidRPr="00691330">
              <w:rPr>
                <w:rFonts w:ascii="Times New Roman" w:eastAsia="Calibri" w:hAnsi="Times New Roman"/>
                <w:sz w:val="24"/>
                <w:szCs w:val="24"/>
                <w:lang w:val="en-US"/>
              </w:rPr>
              <w:t>66,35</w:t>
            </w:r>
          </w:p>
        </w:tc>
        <w:tc>
          <w:tcPr>
            <w:tcW w:w="0" w:type="auto"/>
          </w:tcPr>
          <w:p w:rsidR="006B6A3E" w:rsidRPr="00691330" w:rsidRDefault="006B6A3E" w:rsidP="00691330">
            <w:pPr>
              <w:spacing w:line="276" w:lineRule="auto"/>
              <w:jc w:val="center"/>
              <w:rPr>
                <w:rFonts w:ascii="Times New Roman" w:eastAsia="Calibri" w:hAnsi="Times New Roman"/>
                <w:sz w:val="24"/>
                <w:szCs w:val="24"/>
                <w:lang w:val="en-US"/>
              </w:rPr>
            </w:pPr>
            <w:r w:rsidRPr="00691330">
              <w:rPr>
                <w:rFonts w:ascii="Times New Roman" w:eastAsia="Calibri" w:hAnsi="Times New Roman"/>
                <w:sz w:val="24"/>
                <w:szCs w:val="24"/>
                <w:lang w:val="en-US"/>
              </w:rPr>
              <w:t>66,83</w:t>
            </w:r>
          </w:p>
        </w:tc>
        <w:tc>
          <w:tcPr>
            <w:tcW w:w="0" w:type="auto"/>
          </w:tcPr>
          <w:p w:rsidR="006B6A3E" w:rsidRPr="00691330" w:rsidRDefault="006B6A3E" w:rsidP="00691330">
            <w:pPr>
              <w:spacing w:line="276" w:lineRule="auto"/>
              <w:jc w:val="center"/>
              <w:rPr>
                <w:rFonts w:ascii="Times New Roman" w:eastAsia="Calibri" w:hAnsi="Times New Roman"/>
                <w:sz w:val="24"/>
                <w:szCs w:val="24"/>
              </w:rPr>
            </w:pPr>
            <w:r w:rsidRPr="00691330">
              <w:rPr>
                <w:rFonts w:ascii="Times New Roman" w:eastAsia="Calibri" w:hAnsi="Times New Roman"/>
                <w:sz w:val="24"/>
                <w:szCs w:val="24"/>
              </w:rPr>
              <w:t>2,87</w:t>
            </w:r>
          </w:p>
        </w:tc>
        <w:tc>
          <w:tcPr>
            <w:tcW w:w="0" w:type="auto"/>
          </w:tcPr>
          <w:p w:rsidR="006B6A3E" w:rsidRPr="00691330" w:rsidRDefault="006B6A3E" w:rsidP="00691330">
            <w:pPr>
              <w:spacing w:line="276" w:lineRule="auto"/>
              <w:jc w:val="center"/>
              <w:rPr>
                <w:rFonts w:ascii="Times New Roman" w:eastAsia="Calibri" w:hAnsi="Times New Roman"/>
                <w:sz w:val="24"/>
                <w:szCs w:val="24"/>
              </w:rPr>
            </w:pPr>
            <w:r w:rsidRPr="00691330">
              <w:rPr>
                <w:rFonts w:ascii="Times New Roman" w:eastAsia="Calibri" w:hAnsi="Times New Roman"/>
                <w:sz w:val="24"/>
                <w:szCs w:val="24"/>
              </w:rPr>
              <w:t>3,46</w:t>
            </w:r>
          </w:p>
        </w:tc>
      </w:tr>
      <w:tr w:rsidR="006B6A3E" w:rsidRPr="00691330" w:rsidTr="006E3A91">
        <w:trPr>
          <w:jc w:val="center"/>
        </w:trPr>
        <w:tc>
          <w:tcPr>
            <w:tcW w:w="0" w:type="auto"/>
          </w:tcPr>
          <w:p w:rsidR="006B6A3E" w:rsidRPr="00691330" w:rsidRDefault="006B6A3E" w:rsidP="00691330">
            <w:pPr>
              <w:spacing w:line="276" w:lineRule="auto"/>
              <w:rPr>
                <w:rFonts w:ascii="Times New Roman" w:eastAsia="Calibri" w:hAnsi="Times New Roman"/>
                <w:sz w:val="24"/>
                <w:szCs w:val="24"/>
                <w:lang w:val="en-US"/>
              </w:rPr>
            </w:pPr>
            <w:r w:rsidRPr="00691330">
              <w:rPr>
                <w:rFonts w:ascii="Times New Roman" w:eastAsia="Calibri" w:hAnsi="Times New Roman"/>
                <w:sz w:val="24"/>
                <w:szCs w:val="24"/>
                <w:lang w:val="en-US"/>
              </w:rPr>
              <w:t>Чернівецька</w:t>
            </w:r>
          </w:p>
        </w:tc>
        <w:tc>
          <w:tcPr>
            <w:tcW w:w="0" w:type="auto"/>
          </w:tcPr>
          <w:p w:rsidR="006B6A3E" w:rsidRPr="00691330" w:rsidRDefault="006B6A3E" w:rsidP="00691330">
            <w:pPr>
              <w:spacing w:line="276" w:lineRule="auto"/>
              <w:jc w:val="center"/>
              <w:rPr>
                <w:rFonts w:ascii="Times New Roman" w:hAnsi="Times New Roman"/>
                <w:color w:val="000000"/>
                <w:sz w:val="24"/>
                <w:szCs w:val="24"/>
                <w:lang w:eastAsia="ru-RU"/>
              </w:rPr>
            </w:pPr>
            <w:r w:rsidRPr="00691330">
              <w:rPr>
                <w:rFonts w:ascii="Times New Roman" w:hAnsi="Times New Roman"/>
                <w:color w:val="000000"/>
                <w:sz w:val="24"/>
                <w:szCs w:val="24"/>
                <w:lang w:eastAsia="ru-RU"/>
              </w:rPr>
              <w:t>395,00</w:t>
            </w:r>
          </w:p>
        </w:tc>
        <w:tc>
          <w:tcPr>
            <w:tcW w:w="0" w:type="auto"/>
          </w:tcPr>
          <w:p w:rsidR="006B6A3E" w:rsidRPr="00691330" w:rsidRDefault="006B6A3E" w:rsidP="00691330">
            <w:pPr>
              <w:spacing w:line="276" w:lineRule="auto"/>
              <w:jc w:val="center"/>
              <w:rPr>
                <w:rFonts w:ascii="Times New Roman" w:hAnsi="Times New Roman"/>
                <w:color w:val="000000"/>
                <w:sz w:val="24"/>
                <w:szCs w:val="24"/>
                <w:lang w:eastAsia="ru-RU"/>
              </w:rPr>
            </w:pPr>
            <w:r w:rsidRPr="00691330">
              <w:rPr>
                <w:rFonts w:ascii="Times New Roman" w:hAnsi="Times New Roman"/>
                <w:color w:val="000000"/>
                <w:sz w:val="24"/>
                <w:szCs w:val="24"/>
                <w:lang w:eastAsia="ru-RU"/>
              </w:rPr>
              <w:t>393,00</w:t>
            </w:r>
          </w:p>
        </w:tc>
        <w:tc>
          <w:tcPr>
            <w:tcW w:w="0" w:type="auto"/>
          </w:tcPr>
          <w:p w:rsidR="006B6A3E" w:rsidRPr="00691330" w:rsidRDefault="006B6A3E" w:rsidP="00691330">
            <w:pPr>
              <w:spacing w:line="276" w:lineRule="auto"/>
              <w:jc w:val="center"/>
              <w:rPr>
                <w:rFonts w:ascii="Times New Roman" w:eastAsia="Calibri" w:hAnsi="Times New Roman"/>
                <w:sz w:val="24"/>
                <w:szCs w:val="24"/>
                <w:lang w:val="en-US"/>
              </w:rPr>
            </w:pPr>
            <w:r w:rsidRPr="00691330">
              <w:rPr>
                <w:rFonts w:ascii="Times New Roman" w:eastAsia="Calibri" w:hAnsi="Times New Roman"/>
                <w:sz w:val="24"/>
                <w:szCs w:val="24"/>
                <w:lang w:val="en-US"/>
              </w:rPr>
              <w:t>95,71</w:t>
            </w:r>
          </w:p>
        </w:tc>
        <w:tc>
          <w:tcPr>
            <w:tcW w:w="0" w:type="auto"/>
          </w:tcPr>
          <w:p w:rsidR="006B6A3E" w:rsidRPr="00691330" w:rsidRDefault="006B6A3E" w:rsidP="00691330">
            <w:pPr>
              <w:spacing w:line="276" w:lineRule="auto"/>
              <w:jc w:val="center"/>
              <w:rPr>
                <w:rFonts w:ascii="Times New Roman" w:eastAsia="Calibri" w:hAnsi="Times New Roman"/>
                <w:sz w:val="24"/>
                <w:szCs w:val="24"/>
                <w:lang w:val="en-US"/>
              </w:rPr>
            </w:pPr>
            <w:r w:rsidRPr="00691330">
              <w:rPr>
                <w:rFonts w:ascii="Times New Roman" w:eastAsia="Calibri" w:hAnsi="Times New Roman"/>
                <w:sz w:val="24"/>
                <w:szCs w:val="24"/>
                <w:lang w:val="en-US"/>
              </w:rPr>
              <w:t>89,04</w:t>
            </w:r>
          </w:p>
        </w:tc>
        <w:tc>
          <w:tcPr>
            <w:tcW w:w="0" w:type="auto"/>
          </w:tcPr>
          <w:p w:rsidR="006B6A3E" w:rsidRPr="00691330" w:rsidRDefault="006B6A3E" w:rsidP="00691330">
            <w:pPr>
              <w:spacing w:line="276" w:lineRule="auto"/>
              <w:jc w:val="center"/>
              <w:rPr>
                <w:rFonts w:ascii="Times New Roman" w:eastAsia="Calibri" w:hAnsi="Times New Roman"/>
                <w:sz w:val="24"/>
                <w:szCs w:val="24"/>
                <w:lang w:val="en-US"/>
              </w:rPr>
            </w:pPr>
            <w:r w:rsidRPr="00691330">
              <w:rPr>
                <w:rFonts w:ascii="Times New Roman" w:eastAsia="Calibri" w:hAnsi="Times New Roman"/>
                <w:sz w:val="24"/>
                <w:szCs w:val="24"/>
                <w:lang w:val="en-US"/>
              </w:rPr>
              <w:t>83,64</w:t>
            </w:r>
          </w:p>
        </w:tc>
        <w:tc>
          <w:tcPr>
            <w:tcW w:w="0" w:type="auto"/>
          </w:tcPr>
          <w:p w:rsidR="006B6A3E" w:rsidRPr="00691330" w:rsidRDefault="006B6A3E" w:rsidP="00691330">
            <w:pPr>
              <w:spacing w:line="276" w:lineRule="auto"/>
              <w:jc w:val="center"/>
              <w:rPr>
                <w:rFonts w:ascii="Times New Roman" w:eastAsia="Calibri" w:hAnsi="Times New Roman"/>
                <w:sz w:val="24"/>
                <w:szCs w:val="24"/>
                <w:lang w:val="en-US"/>
              </w:rPr>
            </w:pPr>
            <w:r w:rsidRPr="00691330">
              <w:rPr>
                <w:rFonts w:ascii="Times New Roman" w:eastAsia="Calibri" w:hAnsi="Times New Roman"/>
                <w:sz w:val="24"/>
                <w:szCs w:val="24"/>
                <w:lang w:val="en-US"/>
              </w:rPr>
              <w:t>83.62</w:t>
            </w:r>
          </w:p>
        </w:tc>
        <w:tc>
          <w:tcPr>
            <w:tcW w:w="0" w:type="auto"/>
          </w:tcPr>
          <w:p w:rsidR="006B6A3E" w:rsidRPr="00691330" w:rsidRDefault="006B6A3E" w:rsidP="00691330">
            <w:pPr>
              <w:spacing w:line="276" w:lineRule="auto"/>
              <w:jc w:val="center"/>
              <w:rPr>
                <w:rFonts w:ascii="Times New Roman" w:eastAsia="Calibri" w:hAnsi="Times New Roman"/>
                <w:sz w:val="24"/>
                <w:szCs w:val="24"/>
              </w:rPr>
            </w:pPr>
            <w:r w:rsidRPr="00691330">
              <w:rPr>
                <w:rFonts w:ascii="Times New Roman" w:eastAsia="Calibri" w:hAnsi="Times New Roman"/>
                <w:sz w:val="24"/>
                <w:szCs w:val="24"/>
              </w:rPr>
              <w:t>5,14</w:t>
            </w:r>
          </w:p>
        </w:tc>
        <w:tc>
          <w:tcPr>
            <w:tcW w:w="0" w:type="auto"/>
          </w:tcPr>
          <w:p w:rsidR="006B6A3E" w:rsidRPr="00691330" w:rsidRDefault="006B6A3E" w:rsidP="00691330">
            <w:pPr>
              <w:spacing w:line="276" w:lineRule="auto"/>
              <w:jc w:val="center"/>
              <w:rPr>
                <w:rFonts w:ascii="Times New Roman" w:eastAsia="Calibri" w:hAnsi="Times New Roman"/>
                <w:sz w:val="24"/>
                <w:szCs w:val="24"/>
              </w:rPr>
            </w:pPr>
            <w:r w:rsidRPr="00691330">
              <w:rPr>
                <w:rFonts w:ascii="Times New Roman" w:eastAsia="Calibri" w:hAnsi="Times New Roman"/>
                <w:sz w:val="24"/>
                <w:szCs w:val="24"/>
              </w:rPr>
              <w:t>5,05</w:t>
            </w:r>
          </w:p>
        </w:tc>
      </w:tr>
      <w:tr w:rsidR="006B6A3E" w:rsidRPr="00691330" w:rsidTr="006E3A91">
        <w:trPr>
          <w:jc w:val="center"/>
        </w:trPr>
        <w:tc>
          <w:tcPr>
            <w:tcW w:w="0" w:type="auto"/>
          </w:tcPr>
          <w:p w:rsidR="006B6A3E" w:rsidRPr="00691330" w:rsidRDefault="006B6A3E" w:rsidP="00691330">
            <w:pPr>
              <w:spacing w:line="276" w:lineRule="auto"/>
              <w:rPr>
                <w:rFonts w:ascii="Times New Roman" w:eastAsia="Calibri" w:hAnsi="Times New Roman"/>
                <w:sz w:val="24"/>
                <w:szCs w:val="24"/>
                <w:lang w:val="en-US"/>
              </w:rPr>
            </w:pPr>
            <w:r w:rsidRPr="00691330">
              <w:rPr>
                <w:rFonts w:ascii="Times New Roman" w:eastAsia="Calibri" w:hAnsi="Times New Roman"/>
                <w:sz w:val="24"/>
                <w:szCs w:val="24"/>
                <w:lang w:val="en-US"/>
              </w:rPr>
              <w:t>Чернігівська</w:t>
            </w:r>
          </w:p>
        </w:tc>
        <w:tc>
          <w:tcPr>
            <w:tcW w:w="0" w:type="auto"/>
          </w:tcPr>
          <w:p w:rsidR="006B6A3E" w:rsidRPr="00691330" w:rsidRDefault="006B6A3E" w:rsidP="00691330">
            <w:pPr>
              <w:spacing w:line="276" w:lineRule="auto"/>
              <w:jc w:val="center"/>
              <w:rPr>
                <w:rFonts w:ascii="Times New Roman" w:hAnsi="Times New Roman"/>
                <w:color w:val="000000"/>
                <w:sz w:val="24"/>
                <w:szCs w:val="24"/>
                <w:lang w:eastAsia="ru-RU"/>
              </w:rPr>
            </w:pPr>
            <w:r w:rsidRPr="00691330">
              <w:rPr>
                <w:rFonts w:ascii="Times New Roman" w:hAnsi="Times New Roman"/>
                <w:color w:val="000000"/>
                <w:sz w:val="24"/>
                <w:szCs w:val="24"/>
                <w:lang w:eastAsia="ru-RU"/>
              </w:rPr>
              <w:t>270,00</w:t>
            </w:r>
          </w:p>
        </w:tc>
        <w:tc>
          <w:tcPr>
            <w:tcW w:w="0" w:type="auto"/>
          </w:tcPr>
          <w:p w:rsidR="006B6A3E" w:rsidRPr="00691330" w:rsidRDefault="006B6A3E" w:rsidP="00691330">
            <w:pPr>
              <w:spacing w:line="276" w:lineRule="auto"/>
              <w:jc w:val="center"/>
              <w:rPr>
                <w:rFonts w:ascii="Times New Roman" w:hAnsi="Times New Roman"/>
                <w:color w:val="000000"/>
                <w:sz w:val="24"/>
                <w:szCs w:val="24"/>
                <w:lang w:eastAsia="ru-RU"/>
              </w:rPr>
            </w:pPr>
            <w:r w:rsidRPr="00691330">
              <w:rPr>
                <w:rFonts w:ascii="Times New Roman" w:hAnsi="Times New Roman"/>
                <w:color w:val="000000"/>
                <w:sz w:val="24"/>
                <w:szCs w:val="24"/>
                <w:lang w:eastAsia="ru-RU"/>
              </w:rPr>
              <w:t>320,00</w:t>
            </w:r>
          </w:p>
        </w:tc>
        <w:tc>
          <w:tcPr>
            <w:tcW w:w="0" w:type="auto"/>
          </w:tcPr>
          <w:p w:rsidR="006B6A3E" w:rsidRPr="00691330" w:rsidRDefault="006B6A3E" w:rsidP="00691330">
            <w:pPr>
              <w:spacing w:line="276" w:lineRule="auto"/>
              <w:jc w:val="center"/>
              <w:rPr>
                <w:rFonts w:ascii="Times New Roman" w:eastAsia="Calibri" w:hAnsi="Times New Roman"/>
                <w:sz w:val="24"/>
                <w:szCs w:val="24"/>
                <w:lang w:val="en-US"/>
              </w:rPr>
            </w:pPr>
            <w:r w:rsidRPr="00691330">
              <w:rPr>
                <w:rFonts w:ascii="Times New Roman" w:eastAsia="Calibri" w:hAnsi="Times New Roman"/>
                <w:sz w:val="24"/>
                <w:szCs w:val="24"/>
                <w:lang w:val="en-US"/>
              </w:rPr>
              <w:t>77,34</w:t>
            </w:r>
          </w:p>
        </w:tc>
        <w:tc>
          <w:tcPr>
            <w:tcW w:w="0" w:type="auto"/>
          </w:tcPr>
          <w:p w:rsidR="006B6A3E" w:rsidRPr="00691330" w:rsidRDefault="006B6A3E" w:rsidP="00691330">
            <w:pPr>
              <w:spacing w:line="276" w:lineRule="auto"/>
              <w:jc w:val="center"/>
              <w:rPr>
                <w:rFonts w:ascii="Times New Roman" w:eastAsia="Calibri" w:hAnsi="Times New Roman"/>
                <w:sz w:val="24"/>
                <w:szCs w:val="24"/>
                <w:lang w:val="en-US"/>
              </w:rPr>
            </w:pPr>
            <w:r w:rsidRPr="00691330">
              <w:rPr>
                <w:rFonts w:ascii="Times New Roman" w:eastAsia="Calibri" w:hAnsi="Times New Roman"/>
                <w:sz w:val="24"/>
                <w:szCs w:val="24"/>
                <w:lang w:val="en-US"/>
              </w:rPr>
              <w:t>79,76</w:t>
            </w:r>
          </w:p>
        </w:tc>
        <w:tc>
          <w:tcPr>
            <w:tcW w:w="0" w:type="auto"/>
          </w:tcPr>
          <w:p w:rsidR="006B6A3E" w:rsidRPr="00691330" w:rsidRDefault="006B6A3E" w:rsidP="00691330">
            <w:pPr>
              <w:spacing w:line="276" w:lineRule="auto"/>
              <w:jc w:val="center"/>
              <w:rPr>
                <w:rFonts w:ascii="Times New Roman" w:eastAsia="Calibri" w:hAnsi="Times New Roman"/>
                <w:sz w:val="24"/>
                <w:szCs w:val="24"/>
                <w:lang w:val="en-US"/>
              </w:rPr>
            </w:pPr>
            <w:r w:rsidRPr="00691330">
              <w:rPr>
                <w:rFonts w:ascii="Times New Roman" w:eastAsia="Calibri" w:hAnsi="Times New Roman"/>
                <w:sz w:val="24"/>
                <w:szCs w:val="24"/>
                <w:lang w:val="en-US"/>
              </w:rPr>
              <w:t>62,43</w:t>
            </w:r>
          </w:p>
        </w:tc>
        <w:tc>
          <w:tcPr>
            <w:tcW w:w="0" w:type="auto"/>
          </w:tcPr>
          <w:p w:rsidR="006B6A3E" w:rsidRPr="00691330" w:rsidRDefault="006B6A3E" w:rsidP="00691330">
            <w:pPr>
              <w:spacing w:line="276" w:lineRule="auto"/>
              <w:jc w:val="center"/>
              <w:rPr>
                <w:rFonts w:ascii="Times New Roman" w:eastAsia="Calibri" w:hAnsi="Times New Roman"/>
                <w:sz w:val="24"/>
                <w:szCs w:val="24"/>
                <w:lang w:val="en-US"/>
              </w:rPr>
            </w:pPr>
            <w:r w:rsidRPr="00691330">
              <w:rPr>
                <w:rFonts w:ascii="Times New Roman" w:eastAsia="Calibri" w:hAnsi="Times New Roman"/>
                <w:sz w:val="24"/>
                <w:szCs w:val="24"/>
                <w:lang w:val="en-US"/>
              </w:rPr>
              <w:t>70,41</w:t>
            </w:r>
          </w:p>
        </w:tc>
        <w:tc>
          <w:tcPr>
            <w:tcW w:w="0" w:type="auto"/>
          </w:tcPr>
          <w:p w:rsidR="006B6A3E" w:rsidRPr="00691330" w:rsidRDefault="006B6A3E" w:rsidP="00691330">
            <w:pPr>
              <w:spacing w:line="276" w:lineRule="auto"/>
              <w:jc w:val="center"/>
              <w:rPr>
                <w:rFonts w:ascii="Times New Roman" w:eastAsia="Calibri" w:hAnsi="Times New Roman"/>
                <w:sz w:val="24"/>
                <w:szCs w:val="24"/>
              </w:rPr>
            </w:pPr>
            <w:r w:rsidRPr="00691330">
              <w:rPr>
                <w:rFonts w:ascii="Times New Roman" w:eastAsia="Calibri" w:hAnsi="Times New Roman"/>
                <w:sz w:val="24"/>
                <w:szCs w:val="24"/>
              </w:rPr>
              <w:t>2,62</w:t>
            </w:r>
          </w:p>
        </w:tc>
        <w:tc>
          <w:tcPr>
            <w:tcW w:w="0" w:type="auto"/>
          </w:tcPr>
          <w:p w:rsidR="006B6A3E" w:rsidRPr="00691330" w:rsidRDefault="006B6A3E" w:rsidP="00691330">
            <w:pPr>
              <w:spacing w:line="276" w:lineRule="auto"/>
              <w:jc w:val="center"/>
              <w:rPr>
                <w:rFonts w:ascii="Times New Roman" w:eastAsia="Calibri" w:hAnsi="Times New Roman"/>
                <w:sz w:val="24"/>
                <w:szCs w:val="24"/>
              </w:rPr>
            </w:pPr>
            <w:r w:rsidRPr="00691330">
              <w:rPr>
                <w:rFonts w:ascii="Times New Roman" w:eastAsia="Calibri" w:hAnsi="Times New Roman"/>
                <w:sz w:val="24"/>
                <w:szCs w:val="24"/>
              </w:rPr>
              <w:t>3,23</w:t>
            </w:r>
          </w:p>
        </w:tc>
      </w:tr>
      <w:tr w:rsidR="006B6A3E" w:rsidRPr="00691330" w:rsidTr="006E3A91">
        <w:trPr>
          <w:jc w:val="center"/>
        </w:trPr>
        <w:tc>
          <w:tcPr>
            <w:tcW w:w="0" w:type="auto"/>
          </w:tcPr>
          <w:p w:rsidR="006B6A3E" w:rsidRPr="00691330" w:rsidRDefault="006B6A3E" w:rsidP="00691330">
            <w:pPr>
              <w:widowControl w:val="0"/>
              <w:spacing w:line="276" w:lineRule="auto"/>
              <w:rPr>
                <w:rFonts w:ascii="Times New Roman" w:eastAsia="Calibri" w:hAnsi="Times New Roman"/>
                <w:sz w:val="24"/>
                <w:szCs w:val="24"/>
                <w:lang w:val="en-US"/>
              </w:rPr>
            </w:pPr>
            <w:r w:rsidRPr="00691330">
              <w:rPr>
                <w:rFonts w:ascii="Times New Roman" w:eastAsia="Calibri" w:hAnsi="Times New Roman"/>
                <w:sz w:val="24"/>
                <w:szCs w:val="24"/>
                <w:lang w:val="en-US"/>
              </w:rPr>
              <w:t>м.Київ</w:t>
            </w:r>
          </w:p>
        </w:tc>
        <w:tc>
          <w:tcPr>
            <w:tcW w:w="0" w:type="auto"/>
          </w:tcPr>
          <w:p w:rsidR="006B6A3E" w:rsidRPr="00691330" w:rsidRDefault="006B6A3E" w:rsidP="00691330">
            <w:pPr>
              <w:spacing w:line="276" w:lineRule="auto"/>
              <w:jc w:val="center"/>
              <w:rPr>
                <w:rFonts w:ascii="Times New Roman" w:hAnsi="Times New Roman"/>
                <w:color w:val="000000"/>
                <w:sz w:val="24"/>
                <w:szCs w:val="24"/>
                <w:lang w:eastAsia="ru-RU"/>
              </w:rPr>
            </w:pPr>
            <w:r w:rsidRPr="00691330">
              <w:rPr>
                <w:rFonts w:ascii="Times New Roman" w:hAnsi="Times New Roman"/>
                <w:color w:val="000000"/>
                <w:sz w:val="24"/>
                <w:szCs w:val="24"/>
                <w:lang w:eastAsia="ru-RU"/>
              </w:rPr>
              <w:t>671,00</w:t>
            </w:r>
          </w:p>
        </w:tc>
        <w:tc>
          <w:tcPr>
            <w:tcW w:w="0" w:type="auto"/>
          </w:tcPr>
          <w:p w:rsidR="006B6A3E" w:rsidRPr="00691330" w:rsidRDefault="006B6A3E" w:rsidP="00691330">
            <w:pPr>
              <w:spacing w:line="276" w:lineRule="auto"/>
              <w:jc w:val="center"/>
              <w:rPr>
                <w:rFonts w:ascii="Times New Roman" w:hAnsi="Times New Roman"/>
                <w:color w:val="000000"/>
                <w:sz w:val="24"/>
                <w:szCs w:val="24"/>
                <w:lang w:eastAsia="ru-RU"/>
              </w:rPr>
            </w:pPr>
            <w:r w:rsidRPr="00691330">
              <w:rPr>
                <w:rFonts w:ascii="Times New Roman" w:hAnsi="Times New Roman"/>
                <w:color w:val="000000"/>
                <w:sz w:val="24"/>
                <w:szCs w:val="24"/>
                <w:lang w:eastAsia="ru-RU"/>
              </w:rPr>
              <w:t>885,00</w:t>
            </w:r>
          </w:p>
        </w:tc>
        <w:tc>
          <w:tcPr>
            <w:tcW w:w="0" w:type="auto"/>
          </w:tcPr>
          <w:p w:rsidR="006B6A3E" w:rsidRPr="00691330" w:rsidRDefault="006B6A3E" w:rsidP="00691330">
            <w:pPr>
              <w:spacing w:line="276" w:lineRule="auto"/>
              <w:jc w:val="center"/>
              <w:rPr>
                <w:rFonts w:ascii="Times New Roman" w:eastAsia="Calibri" w:hAnsi="Times New Roman"/>
                <w:sz w:val="24"/>
                <w:szCs w:val="24"/>
                <w:lang w:val="en-US"/>
              </w:rPr>
            </w:pPr>
            <w:r w:rsidRPr="00691330">
              <w:rPr>
                <w:rFonts w:ascii="Times New Roman" w:eastAsia="Calibri" w:hAnsi="Times New Roman"/>
                <w:sz w:val="24"/>
                <w:szCs w:val="24"/>
                <w:lang w:val="en-US"/>
              </w:rPr>
              <w:t>86,50</w:t>
            </w:r>
          </w:p>
        </w:tc>
        <w:tc>
          <w:tcPr>
            <w:tcW w:w="0" w:type="auto"/>
          </w:tcPr>
          <w:p w:rsidR="006B6A3E" w:rsidRPr="00691330" w:rsidRDefault="006B6A3E" w:rsidP="00691330">
            <w:pPr>
              <w:spacing w:line="276" w:lineRule="auto"/>
              <w:jc w:val="center"/>
              <w:rPr>
                <w:rFonts w:ascii="Times New Roman" w:eastAsia="Calibri" w:hAnsi="Times New Roman"/>
                <w:sz w:val="24"/>
                <w:szCs w:val="24"/>
                <w:lang w:val="en-US"/>
              </w:rPr>
            </w:pPr>
            <w:r w:rsidRPr="00691330">
              <w:rPr>
                <w:rFonts w:ascii="Times New Roman" w:eastAsia="Calibri" w:hAnsi="Times New Roman"/>
                <w:sz w:val="24"/>
                <w:szCs w:val="24"/>
                <w:lang w:val="en-US"/>
              </w:rPr>
              <w:t>77,71</w:t>
            </w:r>
          </w:p>
        </w:tc>
        <w:tc>
          <w:tcPr>
            <w:tcW w:w="0" w:type="auto"/>
          </w:tcPr>
          <w:p w:rsidR="006B6A3E" w:rsidRPr="00691330" w:rsidRDefault="006B6A3E" w:rsidP="00691330">
            <w:pPr>
              <w:spacing w:line="276" w:lineRule="auto"/>
              <w:jc w:val="center"/>
              <w:rPr>
                <w:rFonts w:ascii="Times New Roman" w:eastAsia="Calibri" w:hAnsi="Times New Roman"/>
                <w:sz w:val="24"/>
                <w:szCs w:val="24"/>
                <w:lang w:val="en-US"/>
              </w:rPr>
            </w:pPr>
            <w:r w:rsidRPr="00691330">
              <w:rPr>
                <w:rFonts w:ascii="Times New Roman" w:eastAsia="Calibri" w:hAnsi="Times New Roman"/>
                <w:sz w:val="24"/>
                <w:szCs w:val="24"/>
                <w:lang w:val="en-US"/>
              </w:rPr>
              <w:t>74,87</w:t>
            </w:r>
          </w:p>
        </w:tc>
        <w:tc>
          <w:tcPr>
            <w:tcW w:w="0" w:type="auto"/>
          </w:tcPr>
          <w:p w:rsidR="006B6A3E" w:rsidRPr="00691330" w:rsidRDefault="006B6A3E" w:rsidP="00691330">
            <w:pPr>
              <w:spacing w:line="276" w:lineRule="auto"/>
              <w:jc w:val="center"/>
              <w:rPr>
                <w:rFonts w:ascii="Times New Roman" w:eastAsia="Calibri" w:hAnsi="Times New Roman"/>
                <w:sz w:val="24"/>
                <w:szCs w:val="24"/>
                <w:lang w:val="en-US"/>
              </w:rPr>
            </w:pPr>
            <w:r w:rsidRPr="00691330">
              <w:rPr>
                <w:rFonts w:ascii="Times New Roman" w:eastAsia="Calibri" w:hAnsi="Times New Roman"/>
                <w:sz w:val="24"/>
                <w:szCs w:val="24"/>
                <w:lang w:val="en-US"/>
              </w:rPr>
              <w:t>70,15</w:t>
            </w:r>
          </w:p>
        </w:tc>
        <w:tc>
          <w:tcPr>
            <w:tcW w:w="0" w:type="auto"/>
          </w:tcPr>
          <w:p w:rsidR="006B6A3E" w:rsidRPr="00691330" w:rsidRDefault="006B6A3E" w:rsidP="00691330">
            <w:pPr>
              <w:spacing w:line="276" w:lineRule="auto"/>
              <w:jc w:val="center"/>
              <w:rPr>
                <w:rFonts w:ascii="Times New Roman" w:eastAsia="Calibri" w:hAnsi="Times New Roman"/>
                <w:sz w:val="24"/>
                <w:szCs w:val="24"/>
              </w:rPr>
            </w:pPr>
            <w:r w:rsidRPr="00691330">
              <w:rPr>
                <w:rFonts w:ascii="Times New Roman" w:eastAsia="Calibri" w:hAnsi="Times New Roman"/>
                <w:sz w:val="24"/>
                <w:szCs w:val="24"/>
              </w:rPr>
              <w:t>2,56</w:t>
            </w:r>
          </w:p>
        </w:tc>
        <w:tc>
          <w:tcPr>
            <w:tcW w:w="0" w:type="auto"/>
          </w:tcPr>
          <w:p w:rsidR="006B6A3E" w:rsidRPr="00691330" w:rsidRDefault="006B6A3E" w:rsidP="00691330">
            <w:pPr>
              <w:spacing w:line="276" w:lineRule="auto"/>
              <w:jc w:val="center"/>
              <w:rPr>
                <w:rFonts w:ascii="Times New Roman" w:eastAsia="Calibri" w:hAnsi="Times New Roman"/>
                <w:sz w:val="24"/>
                <w:szCs w:val="24"/>
              </w:rPr>
            </w:pPr>
            <w:r w:rsidRPr="00691330">
              <w:rPr>
                <w:rFonts w:ascii="Times New Roman" w:eastAsia="Calibri" w:hAnsi="Times New Roman"/>
                <w:sz w:val="24"/>
                <w:szCs w:val="24"/>
              </w:rPr>
              <w:t>3,36</w:t>
            </w:r>
          </w:p>
        </w:tc>
      </w:tr>
    </w:tbl>
    <w:p w:rsidR="006B6A3E" w:rsidRPr="00691330" w:rsidRDefault="006B6A3E" w:rsidP="006B6A3E">
      <w:pPr>
        <w:tabs>
          <w:tab w:val="left" w:pos="7843"/>
        </w:tabs>
        <w:spacing w:after="200"/>
        <w:jc w:val="left"/>
        <w:rPr>
          <w:rFonts w:eastAsia="Calibri"/>
          <w:b/>
          <w:szCs w:val="28"/>
          <w:lang w:val="ru-RU"/>
        </w:rPr>
      </w:pPr>
    </w:p>
    <w:p w:rsidR="006B6A3E" w:rsidRPr="006B6A3E" w:rsidRDefault="006B6A3E" w:rsidP="00D13BF8">
      <w:pPr>
        <w:pageBreakBefore/>
        <w:tabs>
          <w:tab w:val="left" w:pos="8701"/>
        </w:tabs>
        <w:spacing w:after="200"/>
        <w:jc w:val="right"/>
        <w:rPr>
          <w:rFonts w:eastAsia="Calibri"/>
          <w:szCs w:val="28"/>
        </w:rPr>
      </w:pPr>
      <w:r w:rsidRPr="006B6A3E">
        <w:rPr>
          <w:rFonts w:eastAsia="Calibri"/>
          <w:b/>
          <w:szCs w:val="28"/>
        </w:rPr>
        <w:lastRenderedPageBreak/>
        <w:tab/>
      </w:r>
      <w:r w:rsidR="005627AD">
        <w:rPr>
          <w:rFonts w:eastAsia="Calibri"/>
          <w:szCs w:val="28"/>
        </w:rPr>
        <w:t>Додаток Г</w:t>
      </w:r>
      <w:r w:rsidRPr="006B6A3E">
        <w:rPr>
          <w:rFonts w:eastAsia="Calibri"/>
          <w:szCs w:val="28"/>
        </w:rPr>
        <w:t>-5</w:t>
      </w:r>
    </w:p>
    <w:p w:rsidR="006B6A3E" w:rsidRPr="006B6A3E" w:rsidRDefault="006B6A3E" w:rsidP="00691330">
      <w:pPr>
        <w:jc w:val="center"/>
        <w:rPr>
          <w:rFonts w:eastAsia="Times New Roman"/>
          <w:b/>
          <w:bCs/>
          <w:color w:val="000000"/>
          <w:szCs w:val="28"/>
          <w:lang w:eastAsia="ru-RU"/>
        </w:rPr>
      </w:pPr>
      <w:r w:rsidRPr="006B6A3E">
        <w:rPr>
          <w:rFonts w:eastAsia="Times New Roman"/>
          <w:b/>
          <w:bCs/>
          <w:color w:val="000000"/>
          <w:szCs w:val="28"/>
          <w:lang w:eastAsia="ru-RU"/>
        </w:rPr>
        <w:t>Забезпеченість лікарями – педіатрами дитячого населення за регіонами України</w:t>
      </w:r>
    </w:p>
    <w:p w:rsidR="006B6A3E" w:rsidRPr="006B6A3E" w:rsidRDefault="006B6A3E" w:rsidP="00691330">
      <w:pPr>
        <w:jc w:val="center"/>
        <w:rPr>
          <w:rFonts w:eastAsia="Times New Roman"/>
          <w:b/>
          <w:bCs/>
          <w:color w:val="000000"/>
          <w:szCs w:val="28"/>
          <w:lang w:eastAsia="ru-RU"/>
        </w:rPr>
      </w:pPr>
      <w:r w:rsidRPr="006B6A3E">
        <w:rPr>
          <w:rFonts w:eastAsia="Times New Roman"/>
          <w:b/>
          <w:bCs/>
          <w:color w:val="000000"/>
          <w:szCs w:val="28"/>
          <w:lang w:eastAsia="ru-RU"/>
        </w:rPr>
        <w:t>(2014, 2018 рр., на 1000 дитячого населення)</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19"/>
        <w:gridCol w:w="876"/>
        <w:gridCol w:w="969"/>
        <w:gridCol w:w="1967"/>
        <w:gridCol w:w="1100"/>
        <w:gridCol w:w="1024"/>
        <w:gridCol w:w="2078"/>
      </w:tblGrid>
      <w:tr w:rsidR="006B6A3E" w:rsidRPr="00691330" w:rsidTr="006E3A91">
        <w:trPr>
          <w:trHeight w:val="300"/>
        </w:trPr>
        <w:tc>
          <w:tcPr>
            <w:tcW w:w="2419" w:type="dxa"/>
            <w:vMerge w:val="restart"/>
            <w:shd w:val="clear" w:color="auto" w:fill="auto"/>
            <w:hideMark/>
          </w:tcPr>
          <w:p w:rsidR="006B6A3E" w:rsidRPr="00691330" w:rsidRDefault="006B6A3E" w:rsidP="00691330">
            <w:pPr>
              <w:spacing w:line="276" w:lineRule="auto"/>
              <w:jc w:val="center"/>
              <w:rPr>
                <w:rFonts w:eastAsia="Times New Roman"/>
                <w:bCs/>
                <w:color w:val="000000"/>
                <w:sz w:val="24"/>
                <w:szCs w:val="24"/>
                <w:lang w:eastAsia="ru-RU"/>
              </w:rPr>
            </w:pPr>
            <w:r w:rsidRPr="00691330">
              <w:rPr>
                <w:rFonts w:eastAsia="Times New Roman"/>
                <w:bCs/>
                <w:color w:val="000000"/>
                <w:sz w:val="24"/>
                <w:szCs w:val="24"/>
                <w:lang w:eastAsia="ru-RU"/>
              </w:rPr>
              <w:t>Адміністративно-територіальна</w:t>
            </w:r>
          </w:p>
          <w:p w:rsidR="006B6A3E" w:rsidRPr="00691330" w:rsidRDefault="006B6A3E" w:rsidP="00691330">
            <w:pPr>
              <w:spacing w:line="276" w:lineRule="auto"/>
              <w:jc w:val="center"/>
              <w:rPr>
                <w:rFonts w:eastAsia="Times New Roman"/>
                <w:bCs/>
                <w:color w:val="000000"/>
                <w:sz w:val="24"/>
                <w:szCs w:val="24"/>
                <w:lang w:eastAsia="ru-RU"/>
              </w:rPr>
            </w:pPr>
            <w:r w:rsidRPr="00691330">
              <w:rPr>
                <w:rFonts w:eastAsia="Times New Roman"/>
                <w:bCs/>
                <w:color w:val="000000"/>
                <w:sz w:val="24"/>
                <w:szCs w:val="24"/>
                <w:lang w:eastAsia="ru-RU"/>
              </w:rPr>
              <w:t>одиниця</w:t>
            </w:r>
          </w:p>
        </w:tc>
        <w:tc>
          <w:tcPr>
            <w:tcW w:w="3812" w:type="dxa"/>
            <w:gridSpan w:val="3"/>
            <w:shd w:val="clear" w:color="auto" w:fill="auto"/>
            <w:hideMark/>
          </w:tcPr>
          <w:p w:rsidR="006B6A3E" w:rsidRPr="00691330" w:rsidRDefault="006B6A3E" w:rsidP="00691330">
            <w:pPr>
              <w:spacing w:line="276" w:lineRule="auto"/>
              <w:jc w:val="center"/>
              <w:rPr>
                <w:rFonts w:eastAsia="Times New Roman"/>
                <w:bCs/>
                <w:color w:val="000000"/>
                <w:sz w:val="24"/>
                <w:szCs w:val="24"/>
                <w:lang w:eastAsia="ru-RU"/>
              </w:rPr>
            </w:pPr>
            <w:r w:rsidRPr="00691330">
              <w:rPr>
                <w:rFonts w:eastAsia="Times New Roman"/>
                <w:bCs/>
                <w:color w:val="000000"/>
                <w:sz w:val="24"/>
                <w:szCs w:val="24"/>
                <w:lang w:eastAsia="ru-RU"/>
              </w:rPr>
              <w:t>Кількість лікарів-педіатрів</w:t>
            </w:r>
          </w:p>
        </w:tc>
        <w:tc>
          <w:tcPr>
            <w:tcW w:w="4180" w:type="dxa"/>
            <w:gridSpan w:val="3"/>
            <w:shd w:val="clear" w:color="auto" w:fill="auto"/>
            <w:hideMark/>
          </w:tcPr>
          <w:p w:rsidR="006B6A3E" w:rsidRPr="00691330" w:rsidRDefault="006B6A3E" w:rsidP="00691330">
            <w:pPr>
              <w:spacing w:line="276" w:lineRule="auto"/>
              <w:jc w:val="center"/>
              <w:rPr>
                <w:rFonts w:eastAsia="Times New Roman"/>
                <w:sz w:val="24"/>
                <w:szCs w:val="24"/>
                <w:lang w:eastAsia="ru-RU"/>
              </w:rPr>
            </w:pPr>
            <w:r w:rsidRPr="00691330">
              <w:rPr>
                <w:rFonts w:eastAsia="Times New Roman"/>
                <w:sz w:val="24"/>
                <w:szCs w:val="24"/>
                <w:lang w:eastAsia="ru-RU"/>
              </w:rPr>
              <w:t>Забезпеченість лікарями-педіатрами</w:t>
            </w:r>
          </w:p>
          <w:p w:rsidR="006B6A3E" w:rsidRPr="00691330" w:rsidRDefault="006B6A3E" w:rsidP="00691330">
            <w:pPr>
              <w:spacing w:line="276" w:lineRule="auto"/>
              <w:jc w:val="center"/>
              <w:rPr>
                <w:rFonts w:eastAsia="Times New Roman"/>
                <w:bCs/>
                <w:color w:val="000000"/>
                <w:sz w:val="24"/>
                <w:szCs w:val="24"/>
                <w:lang w:eastAsia="ru-RU"/>
              </w:rPr>
            </w:pPr>
            <w:r w:rsidRPr="00691330">
              <w:rPr>
                <w:rFonts w:eastAsia="Times New Roman"/>
                <w:sz w:val="24"/>
                <w:szCs w:val="24"/>
                <w:lang w:eastAsia="ru-RU"/>
              </w:rPr>
              <w:t>(на 1000 дитячого населення)</w:t>
            </w:r>
          </w:p>
        </w:tc>
      </w:tr>
      <w:tr w:rsidR="006B6A3E" w:rsidRPr="00691330" w:rsidTr="006E3A91">
        <w:trPr>
          <w:trHeight w:val="315"/>
        </w:trPr>
        <w:tc>
          <w:tcPr>
            <w:tcW w:w="2419" w:type="dxa"/>
            <w:vMerge/>
            <w:hideMark/>
          </w:tcPr>
          <w:p w:rsidR="006B6A3E" w:rsidRPr="00691330" w:rsidRDefault="006B6A3E" w:rsidP="00691330">
            <w:pPr>
              <w:spacing w:line="276" w:lineRule="auto"/>
              <w:jc w:val="left"/>
              <w:rPr>
                <w:rFonts w:eastAsia="Times New Roman"/>
                <w:b/>
                <w:bCs/>
                <w:color w:val="000000"/>
                <w:sz w:val="24"/>
                <w:szCs w:val="24"/>
                <w:lang w:eastAsia="ru-RU"/>
              </w:rPr>
            </w:pPr>
          </w:p>
        </w:tc>
        <w:tc>
          <w:tcPr>
            <w:tcW w:w="876" w:type="dxa"/>
            <w:shd w:val="clear" w:color="auto" w:fill="auto"/>
          </w:tcPr>
          <w:p w:rsidR="006B6A3E" w:rsidRPr="00691330" w:rsidRDefault="006B6A3E" w:rsidP="00691330">
            <w:pPr>
              <w:spacing w:line="276" w:lineRule="auto"/>
              <w:jc w:val="center"/>
              <w:rPr>
                <w:rFonts w:eastAsia="Times New Roman"/>
                <w:bCs/>
                <w:color w:val="000000"/>
                <w:sz w:val="24"/>
                <w:szCs w:val="24"/>
                <w:lang w:eastAsia="ru-RU"/>
              </w:rPr>
            </w:pPr>
            <w:r w:rsidRPr="00691330">
              <w:rPr>
                <w:rFonts w:eastAsia="Times New Roman"/>
                <w:bCs/>
                <w:color w:val="000000"/>
                <w:sz w:val="24"/>
                <w:szCs w:val="24"/>
                <w:lang w:eastAsia="ru-RU"/>
              </w:rPr>
              <w:t>2014р.</w:t>
            </w:r>
          </w:p>
        </w:tc>
        <w:tc>
          <w:tcPr>
            <w:tcW w:w="969" w:type="dxa"/>
          </w:tcPr>
          <w:p w:rsidR="006B6A3E" w:rsidRPr="00691330" w:rsidRDefault="006B6A3E" w:rsidP="00691330">
            <w:pPr>
              <w:spacing w:line="276" w:lineRule="auto"/>
              <w:jc w:val="center"/>
              <w:rPr>
                <w:rFonts w:eastAsia="Times New Roman"/>
                <w:bCs/>
                <w:color w:val="000000"/>
                <w:sz w:val="24"/>
                <w:szCs w:val="24"/>
                <w:lang w:eastAsia="ru-RU"/>
              </w:rPr>
            </w:pPr>
            <w:r w:rsidRPr="00691330">
              <w:rPr>
                <w:rFonts w:eastAsia="Times New Roman"/>
                <w:bCs/>
                <w:color w:val="000000"/>
                <w:sz w:val="24"/>
                <w:szCs w:val="24"/>
                <w:lang w:eastAsia="ru-RU"/>
              </w:rPr>
              <w:t>2018р.</w:t>
            </w:r>
          </w:p>
        </w:tc>
        <w:tc>
          <w:tcPr>
            <w:tcW w:w="1967" w:type="dxa"/>
            <w:shd w:val="clear" w:color="auto" w:fill="auto"/>
          </w:tcPr>
          <w:p w:rsidR="006B6A3E" w:rsidRPr="00691330" w:rsidRDefault="006B6A3E" w:rsidP="00691330">
            <w:pPr>
              <w:spacing w:line="276" w:lineRule="auto"/>
              <w:jc w:val="center"/>
              <w:rPr>
                <w:rFonts w:eastAsia="Times New Roman"/>
                <w:bCs/>
                <w:color w:val="000000"/>
                <w:sz w:val="24"/>
                <w:szCs w:val="24"/>
                <w:lang w:eastAsia="ru-RU"/>
              </w:rPr>
            </w:pPr>
            <w:r w:rsidRPr="00691330">
              <w:rPr>
                <w:rFonts w:eastAsia="Times New Roman"/>
                <w:bCs/>
                <w:color w:val="000000"/>
                <w:sz w:val="24"/>
                <w:szCs w:val="24"/>
                <w:lang w:eastAsia="ru-RU"/>
              </w:rPr>
              <w:t>Темп приросту, %</w:t>
            </w:r>
          </w:p>
        </w:tc>
        <w:tc>
          <w:tcPr>
            <w:tcW w:w="1100" w:type="dxa"/>
            <w:shd w:val="clear" w:color="auto" w:fill="auto"/>
            <w:hideMark/>
          </w:tcPr>
          <w:p w:rsidR="006B6A3E" w:rsidRPr="00691330" w:rsidRDefault="006B6A3E" w:rsidP="00691330">
            <w:pPr>
              <w:spacing w:line="276" w:lineRule="auto"/>
              <w:jc w:val="center"/>
              <w:rPr>
                <w:rFonts w:eastAsia="Times New Roman"/>
                <w:bCs/>
                <w:color w:val="000000"/>
                <w:sz w:val="24"/>
                <w:szCs w:val="24"/>
                <w:lang w:eastAsia="ru-RU"/>
              </w:rPr>
            </w:pPr>
            <w:r w:rsidRPr="00691330">
              <w:rPr>
                <w:rFonts w:eastAsia="Times New Roman"/>
                <w:bCs/>
                <w:color w:val="000000"/>
                <w:sz w:val="24"/>
                <w:szCs w:val="24"/>
                <w:lang w:eastAsia="ru-RU"/>
              </w:rPr>
              <w:t>2014р.</w:t>
            </w:r>
          </w:p>
        </w:tc>
        <w:tc>
          <w:tcPr>
            <w:tcW w:w="1024" w:type="dxa"/>
            <w:shd w:val="clear" w:color="auto" w:fill="auto"/>
          </w:tcPr>
          <w:p w:rsidR="006B6A3E" w:rsidRPr="00691330" w:rsidRDefault="006B6A3E" w:rsidP="00691330">
            <w:pPr>
              <w:spacing w:line="276" w:lineRule="auto"/>
              <w:jc w:val="center"/>
              <w:rPr>
                <w:rFonts w:eastAsia="Times New Roman"/>
                <w:bCs/>
                <w:color w:val="000000"/>
                <w:sz w:val="24"/>
                <w:szCs w:val="24"/>
                <w:lang w:eastAsia="ru-RU"/>
              </w:rPr>
            </w:pPr>
            <w:r w:rsidRPr="00691330">
              <w:rPr>
                <w:rFonts w:eastAsia="Times New Roman"/>
                <w:bCs/>
                <w:color w:val="000000"/>
                <w:sz w:val="24"/>
                <w:szCs w:val="24"/>
                <w:lang w:eastAsia="ru-RU"/>
              </w:rPr>
              <w:t>2018р.</w:t>
            </w:r>
          </w:p>
        </w:tc>
        <w:tc>
          <w:tcPr>
            <w:tcW w:w="0" w:type="auto"/>
            <w:shd w:val="clear" w:color="auto" w:fill="auto"/>
            <w:hideMark/>
          </w:tcPr>
          <w:p w:rsidR="006B6A3E" w:rsidRPr="00691330" w:rsidRDefault="006B6A3E" w:rsidP="00691330">
            <w:pPr>
              <w:spacing w:line="276" w:lineRule="auto"/>
              <w:jc w:val="center"/>
              <w:rPr>
                <w:rFonts w:eastAsia="Times New Roman"/>
                <w:b/>
                <w:bCs/>
                <w:color w:val="000000"/>
                <w:sz w:val="24"/>
                <w:szCs w:val="24"/>
                <w:lang w:eastAsia="ru-RU"/>
              </w:rPr>
            </w:pPr>
            <w:r w:rsidRPr="00691330">
              <w:rPr>
                <w:rFonts w:eastAsia="Times New Roman"/>
                <w:bCs/>
                <w:sz w:val="24"/>
                <w:szCs w:val="24"/>
                <w:lang w:eastAsia="ru-RU"/>
              </w:rPr>
              <w:t>Темп приросту, %</w:t>
            </w:r>
          </w:p>
        </w:tc>
      </w:tr>
      <w:tr w:rsidR="006B6A3E" w:rsidRPr="00691330" w:rsidTr="006E3A91">
        <w:trPr>
          <w:trHeight w:val="305"/>
        </w:trPr>
        <w:tc>
          <w:tcPr>
            <w:tcW w:w="2419" w:type="dxa"/>
            <w:shd w:val="clear" w:color="auto" w:fill="auto"/>
            <w:hideMark/>
          </w:tcPr>
          <w:p w:rsidR="006B6A3E" w:rsidRPr="00691330" w:rsidRDefault="006B6A3E" w:rsidP="00691330">
            <w:pPr>
              <w:spacing w:line="276" w:lineRule="auto"/>
              <w:jc w:val="left"/>
              <w:rPr>
                <w:rFonts w:eastAsia="Times New Roman"/>
                <w:bCs/>
                <w:color w:val="000000"/>
                <w:sz w:val="24"/>
                <w:szCs w:val="24"/>
                <w:lang w:eastAsia="ru-RU"/>
              </w:rPr>
            </w:pPr>
            <w:r w:rsidRPr="00691330">
              <w:rPr>
                <w:rFonts w:eastAsia="Times New Roman"/>
                <w:bCs/>
                <w:color w:val="000000"/>
                <w:sz w:val="24"/>
                <w:szCs w:val="24"/>
                <w:lang w:eastAsia="ru-RU"/>
              </w:rPr>
              <w:t>Україна</w:t>
            </w:r>
          </w:p>
        </w:tc>
        <w:tc>
          <w:tcPr>
            <w:tcW w:w="876" w:type="dxa"/>
            <w:shd w:val="clear" w:color="auto" w:fill="auto"/>
            <w:hideMark/>
          </w:tcPr>
          <w:p w:rsidR="006B6A3E" w:rsidRPr="00691330" w:rsidRDefault="006B6A3E" w:rsidP="00691330">
            <w:pPr>
              <w:spacing w:line="276" w:lineRule="auto"/>
              <w:jc w:val="center"/>
              <w:rPr>
                <w:rFonts w:eastAsia="Times New Roman"/>
                <w:bCs/>
                <w:sz w:val="24"/>
                <w:szCs w:val="24"/>
                <w:lang w:eastAsia="ru-RU"/>
              </w:rPr>
            </w:pPr>
            <w:r w:rsidRPr="00691330">
              <w:rPr>
                <w:rFonts w:eastAsia="Times New Roman"/>
                <w:bCs/>
                <w:sz w:val="24"/>
                <w:szCs w:val="24"/>
                <w:lang w:eastAsia="ru-RU"/>
              </w:rPr>
              <w:t>9 369</w:t>
            </w:r>
          </w:p>
        </w:tc>
        <w:tc>
          <w:tcPr>
            <w:tcW w:w="969" w:type="dxa"/>
          </w:tcPr>
          <w:p w:rsidR="006B6A3E" w:rsidRPr="00691330" w:rsidRDefault="006B6A3E" w:rsidP="00691330">
            <w:pPr>
              <w:spacing w:line="276" w:lineRule="auto"/>
              <w:jc w:val="center"/>
              <w:rPr>
                <w:rFonts w:eastAsia="Times New Roman"/>
                <w:bCs/>
                <w:color w:val="000000"/>
                <w:sz w:val="24"/>
                <w:szCs w:val="24"/>
                <w:lang w:val="en-US" w:eastAsia="ru-RU"/>
              </w:rPr>
            </w:pPr>
            <w:r w:rsidRPr="00691330">
              <w:rPr>
                <w:rFonts w:eastAsia="Times New Roman"/>
                <w:bCs/>
                <w:color w:val="000000"/>
                <w:sz w:val="24"/>
                <w:szCs w:val="24"/>
                <w:lang w:eastAsia="ru-RU"/>
              </w:rPr>
              <w:t>8241</w:t>
            </w:r>
          </w:p>
        </w:tc>
        <w:tc>
          <w:tcPr>
            <w:tcW w:w="1967" w:type="dxa"/>
            <w:shd w:val="clear" w:color="auto" w:fill="auto"/>
          </w:tcPr>
          <w:p w:rsidR="006B6A3E" w:rsidRPr="00691330" w:rsidRDefault="006B6A3E" w:rsidP="00691330">
            <w:pPr>
              <w:spacing w:line="276" w:lineRule="auto"/>
              <w:jc w:val="center"/>
              <w:rPr>
                <w:rFonts w:eastAsia="Times New Roman"/>
                <w:bCs/>
                <w:color w:val="000000"/>
                <w:sz w:val="24"/>
                <w:szCs w:val="24"/>
                <w:lang w:eastAsia="ru-RU"/>
              </w:rPr>
            </w:pPr>
            <w:r w:rsidRPr="00691330">
              <w:rPr>
                <w:rFonts w:eastAsia="Times New Roman"/>
                <w:bCs/>
                <w:color w:val="000000"/>
                <w:sz w:val="24"/>
                <w:szCs w:val="24"/>
                <w:lang w:eastAsia="ru-RU"/>
              </w:rPr>
              <w:t>-12,04</w:t>
            </w:r>
          </w:p>
        </w:tc>
        <w:tc>
          <w:tcPr>
            <w:tcW w:w="1100" w:type="dxa"/>
            <w:shd w:val="clear" w:color="auto" w:fill="auto"/>
          </w:tcPr>
          <w:p w:rsidR="006B6A3E" w:rsidRPr="00691330" w:rsidRDefault="006B6A3E" w:rsidP="00691330">
            <w:pPr>
              <w:spacing w:line="276" w:lineRule="auto"/>
              <w:jc w:val="center"/>
              <w:rPr>
                <w:rFonts w:eastAsia="Times New Roman"/>
                <w:bCs/>
                <w:sz w:val="24"/>
                <w:szCs w:val="24"/>
                <w:lang w:eastAsia="ru-RU"/>
              </w:rPr>
            </w:pPr>
            <w:r w:rsidRPr="00691330">
              <w:rPr>
                <w:rFonts w:eastAsia="Times New Roman"/>
                <w:bCs/>
                <w:sz w:val="24"/>
                <w:szCs w:val="24"/>
                <w:lang w:eastAsia="ru-RU"/>
              </w:rPr>
              <w:t>1,23</w:t>
            </w:r>
          </w:p>
        </w:tc>
        <w:tc>
          <w:tcPr>
            <w:tcW w:w="1024" w:type="dxa"/>
            <w:shd w:val="clear" w:color="auto" w:fill="auto"/>
            <w:hideMark/>
          </w:tcPr>
          <w:p w:rsidR="006B6A3E" w:rsidRPr="00691330" w:rsidRDefault="006B6A3E" w:rsidP="00691330">
            <w:pPr>
              <w:spacing w:line="276" w:lineRule="auto"/>
              <w:jc w:val="center"/>
              <w:rPr>
                <w:rFonts w:eastAsia="Times New Roman"/>
                <w:bCs/>
                <w:color w:val="000000"/>
                <w:sz w:val="24"/>
                <w:szCs w:val="24"/>
                <w:lang w:eastAsia="ru-RU"/>
              </w:rPr>
            </w:pPr>
            <w:r w:rsidRPr="00691330">
              <w:rPr>
                <w:rFonts w:eastAsia="Times New Roman"/>
                <w:bCs/>
                <w:color w:val="000000"/>
                <w:sz w:val="24"/>
                <w:szCs w:val="24"/>
                <w:lang w:eastAsia="ru-RU"/>
              </w:rPr>
              <w:t>1,08</w:t>
            </w:r>
          </w:p>
        </w:tc>
        <w:tc>
          <w:tcPr>
            <w:tcW w:w="0" w:type="auto"/>
            <w:shd w:val="clear" w:color="auto" w:fill="auto"/>
          </w:tcPr>
          <w:p w:rsidR="006B6A3E" w:rsidRPr="00691330" w:rsidRDefault="006B6A3E" w:rsidP="00691330">
            <w:pPr>
              <w:spacing w:line="276" w:lineRule="auto"/>
              <w:jc w:val="center"/>
              <w:rPr>
                <w:rFonts w:eastAsia="Times New Roman"/>
                <w:bCs/>
                <w:color w:val="000000"/>
                <w:sz w:val="24"/>
                <w:szCs w:val="24"/>
                <w:lang w:eastAsia="ru-RU"/>
              </w:rPr>
            </w:pPr>
            <w:r w:rsidRPr="00691330">
              <w:rPr>
                <w:rFonts w:eastAsia="Times New Roman"/>
                <w:bCs/>
                <w:color w:val="000000"/>
                <w:sz w:val="24"/>
                <w:szCs w:val="24"/>
                <w:lang w:eastAsia="ru-RU"/>
              </w:rPr>
              <w:t>-12,20</w:t>
            </w:r>
          </w:p>
        </w:tc>
      </w:tr>
      <w:tr w:rsidR="006B6A3E" w:rsidRPr="00691330" w:rsidTr="006E3A91">
        <w:trPr>
          <w:trHeight w:val="315"/>
        </w:trPr>
        <w:tc>
          <w:tcPr>
            <w:tcW w:w="2419" w:type="dxa"/>
            <w:shd w:val="clear" w:color="auto" w:fill="auto"/>
            <w:hideMark/>
          </w:tcPr>
          <w:p w:rsidR="006B6A3E" w:rsidRPr="00691330" w:rsidRDefault="006B6A3E" w:rsidP="00691330">
            <w:pPr>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Вінницька</w:t>
            </w:r>
          </w:p>
        </w:tc>
        <w:tc>
          <w:tcPr>
            <w:tcW w:w="876" w:type="dxa"/>
            <w:shd w:val="clear" w:color="auto" w:fill="auto"/>
            <w:hideMark/>
          </w:tcPr>
          <w:p w:rsidR="006B6A3E" w:rsidRPr="00691330" w:rsidRDefault="006B6A3E" w:rsidP="00691330">
            <w:pPr>
              <w:spacing w:line="276" w:lineRule="auto"/>
              <w:jc w:val="center"/>
              <w:rPr>
                <w:rFonts w:eastAsia="Times New Roman"/>
                <w:sz w:val="24"/>
                <w:szCs w:val="24"/>
                <w:lang w:eastAsia="ru-RU"/>
              </w:rPr>
            </w:pPr>
            <w:r w:rsidRPr="00691330">
              <w:rPr>
                <w:rFonts w:eastAsia="Times New Roman"/>
                <w:sz w:val="24"/>
                <w:szCs w:val="24"/>
                <w:lang w:eastAsia="ru-RU"/>
              </w:rPr>
              <w:t>305</w:t>
            </w:r>
          </w:p>
        </w:tc>
        <w:tc>
          <w:tcPr>
            <w:tcW w:w="969" w:type="dxa"/>
          </w:tcPr>
          <w:p w:rsidR="006B6A3E" w:rsidRPr="00691330" w:rsidRDefault="006B6A3E" w:rsidP="00691330">
            <w:pPr>
              <w:spacing w:line="276" w:lineRule="auto"/>
              <w:jc w:val="center"/>
              <w:rPr>
                <w:rFonts w:eastAsia="Times New Roman"/>
                <w:color w:val="000000"/>
                <w:sz w:val="24"/>
                <w:szCs w:val="24"/>
                <w:lang w:eastAsia="ru-RU"/>
              </w:rPr>
            </w:pPr>
            <w:r w:rsidRPr="00691330">
              <w:rPr>
                <w:rFonts w:eastAsia="Times New Roman"/>
                <w:color w:val="000000"/>
                <w:sz w:val="24"/>
                <w:szCs w:val="24"/>
                <w:lang w:eastAsia="ru-RU"/>
              </w:rPr>
              <w:t>254</w:t>
            </w:r>
          </w:p>
        </w:tc>
        <w:tc>
          <w:tcPr>
            <w:tcW w:w="1967" w:type="dxa"/>
            <w:shd w:val="clear" w:color="auto" w:fill="auto"/>
          </w:tcPr>
          <w:p w:rsidR="006B6A3E" w:rsidRPr="00691330" w:rsidRDefault="006B6A3E" w:rsidP="00691330">
            <w:pPr>
              <w:spacing w:line="276" w:lineRule="auto"/>
              <w:jc w:val="center"/>
              <w:rPr>
                <w:rFonts w:eastAsia="Times New Roman"/>
                <w:bCs/>
                <w:color w:val="000000"/>
                <w:sz w:val="24"/>
                <w:szCs w:val="24"/>
                <w:lang w:eastAsia="ru-RU"/>
              </w:rPr>
            </w:pPr>
            <w:r w:rsidRPr="00691330">
              <w:rPr>
                <w:rFonts w:eastAsia="Times New Roman"/>
                <w:bCs/>
                <w:color w:val="000000"/>
                <w:sz w:val="24"/>
                <w:szCs w:val="24"/>
                <w:lang w:eastAsia="ru-RU"/>
              </w:rPr>
              <w:t>-16,72</w:t>
            </w:r>
          </w:p>
        </w:tc>
        <w:tc>
          <w:tcPr>
            <w:tcW w:w="1100" w:type="dxa"/>
            <w:shd w:val="clear" w:color="auto" w:fill="auto"/>
          </w:tcPr>
          <w:p w:rsidR="006B6A3E" w:rsidRPr="00691330" w:rsidRDefault="006B6A3E" w:rsidP="00691330">
            <w:pPr>
              <w:spacing w:line="276" w:lineRule="auto"/>
              <w:jc w:val="center"/>
              <w:rPr>
                <w:rFonts w:eastAsia="Times New Roman"/>
                <w:sz w:val="24"/>
                <w:szCs w:val="24"/>
                <w:lang w:eastAsia="ru-RU"/>
              </w:rPr>
            </w:pPr>
            <w:r w:rsidRPr="00691330">
              <w:rPr>
                <w:rFonts w:eastAsia="Times New Roman"/>
                <w:sz w:val="24"/>
                <w:szCs w:val="24"/>
                <w:lang w:eastAsia="ru-RU"/>
              </w:rPr>
              <w:t>1,04</w:t>
            </w:r>
          </w:p>
        </w:tc>
        <w:tc>
          <w:tcPr>
            <w:tcW w:w="1024" w:type="dxa"/>
            <w:shd w:val="clear" w:color="auto" w:fill="auto"/>
            <w:hideMark/>
          </w:tcPr>
          <w:p w:rsidR="006B6A3E" w:rsidRPr="00691330" w:rsidRDefault="006B6A3E" w:rsidP="00691330">
            <w:pPr>
              <w:spacing w:line="276" w:lineRule="auto"/>
              <w:jc w:val="center"/>
              <w:rPr>
                <w:rFonts w:eastAsia="Times New Roman"/>
                <w:color w:val="000000"/>
                <w:sz w:val="24"/>
                <w:szCs w:val="24"/>
                <w:lang w:eastAsia="ru-RU"/>
              </w:rPr>
            </w:pPr>
            <w:r w:rsidRPr="00691330">
              <w:rPr>
                <w:rFonts w:eastAsia="Times New Roman"/>
                <w:color w:val="000000"/>
                <w:sz w:val="24"/>
                <w:szCs w:val="24"/>
                <w:lang w:eastAsia="ru-RU"/>
              </w:rPr>
              <w:t>0,88</w:t>
            </w:r>
          </w:p>
        </w:tc>
        <w:tc>
          <w:tcPr>
            <w:tcW w:w="0" w:type="auto"/>
            <w:shd w:val="clear" w:color="auto" w:fill="auto"/>
          </w:tcPr>
          <w:p w:rsidR="006B6A3E" w:rsidRPr="00691330" w:rsidRDefault="006B6A3E" w:rsidP="00691330">
            <w:pPr>
              <w:spacing w:line="276" w:lineRule="auto"/>
              <w:jc w:val="center"/>
              <w:rPr>
                <w:rFonts w:eastAsia="Times New Roman"/>
                <w:bCs/>
                <w:color w:val="000000"/>
                <w:sz w:val="24"/>
                <w:szCs w:val="24"/>
                <w:lang w:eastAsia="ru-RU"/>
              </w:rPr>
            </w:pPr>
            <w:r w:rsidRPr="00691330">
              <w:rPr>
                <w:rFonts w:eastAsia="Times New Roman"/>
                <w:bCs/>
                <w:color w:val="000000"/>
                <w:sz w:val="24"/>
                <w:szCs w:val="24"/>
                <w:lang w:eastAsia="ru-RU"/>
              </w:rPr>
              <w:t>-15,38</w:t>
            </w:r>
          </w:p>
        </w:tc>
      </w:tr>
      <w:tr w:rsidR="006B6A3E" w:rsidRPr="00691330" w:rsidTr="006E3A91">
        <w:trPr>
          <w:trHeight w:val="315"/>
        </w:trPr>
        <w:tc>
          <w:tcPr>
            <w:tcW w:w="2419" w:type="dxa"/>
            <w:shd w:val="clear" w:color="auto" w:fill="auto"/>
            <w:hideMark/>
          </w:tcPr>
          <w:p w:rsidR="006B6A3E" w:rsidRPr="00691330" w:rsidRDefault="006B6A3E" w:rsidP="00691330">
            <w:pPr>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Волинська</w:t>
            </w:r>
          </w:p>
        </w:tc>
        <w:tc>
          <w:tcPr>
            <w:tcW w:w="876" w:type="dxa"/>
            <w:shd w:val="clear" w:color="auto" w:fill="auto"/>
            <w:hideMark/>
          </w:tcPr>
          <w:p w:rsidR="006B6A3E" w:rsidRPr="00691330" w:rsidRDefault="006B6A3E" w:rsidP="00691330">
            <w:pPr>
              <w:spacing w:line="276" w:lineRule="auto"/>
              <w:jc w:val="center"/>
              <w:rPr>
                <w:rFonts w:eastAsia="Times New Roman"/>
                <w:sz w:val="24"/>
                <w:szCs w:val="24"/>
                <w:lang w:eastAsia="ru-RU"/>
              </w:rPr>
            </w:pPr>
            <w:r w:rsidRPr="00691330">
              <w:rPr>
                <w:rFonts w:eastAsia="Times New Roman"/>
                <w:sz w:val="24"/>
                <w:szCs w:val="24"/>
                <w:lang w:eastAsia="ru-RU"/>
              </w:rPr>
              <w:t>219</w:t>
            </w:r>
          </w:p>
        </w:tc>
        <w:tc>
          <w:tcPr>
            <w:tcW w:w="969" w:type="dxa"/>
          </w:tcPr>
          <w:p w:rsidR="006B6A3E" w:rsidRPr="00691330" w:rsidRDefault="006B6A3E" w:rsidP="00691330">
            <w:pPr>
              <w:spacing w:line="276" w:lineRule="auto"/>
              <w:jc w:val="center"/>
              <w:rPr>
                <w:rFonts w:eastAsia="Times New Roman"/>
                <w:color w:val="000000"/>
                <w:sz w:val="24"/>
                <w:szCs w:val="24"/>
                <w:lang w:eastAsia="ru-RU"/>
              </w:rPr>
            </w:pPr>
            <w:r w:rsidRPr="00691330">
              <w:rPr>
                <w:rFonts w:eastAsia="Times New Roman"/>
                <w:color w:val="000000"/>
                <w:sz w:val="24"/>
                <w:szCs w:val="24"/>
                <w:lang w:eastAsia="ru-RU"/>
              </w:rPr>
              <w:t>197</w:t>
            </w:r>
          </w:p>
        </w:tc>
        <w:tc>
          <w:tcPr>
            <w:tcW w:w="1967" w:type="dxa"/>
            <w:shd w:val="clear" w:color="auto" w:fill="auto"/>
          </w:tcPr>
          <w:p w:rsidR="006B6A3E" w:rsidRPr="00691330" w:rsidRDefault="006B6A3E" w:rsidP="00691330">
            <w:pPr>
              <w:spacing w:line="276" w:lineRule="auto"/>
              <w:jc w:val="center"/>
              <w:rPr>
                <w:rFonts w:eastAsia="Times New Roman"/>
                <w:bCs/>
                <w:color w:val="000000"/>
                <w:sz w:val="24"/>
                <w:szCs w:val="24"/>
                <w:lang w:eastAsia="ru-RU"/>
              </w:rPr>
            </w:pPr>
            <w:r w:rsidRPr="00691330">
              <w:rPr>
                <w:rFonts w:eastAsia="Times New Roman"/>
                <w:bCs/>
                <w:color w:val="000000"/>
                <w:sz w:val="24"/>
                <w:szCs w:val="24"/>
                <w:lang w:eastAsia="ru-RU"/>
              </w:rPr>
              <w:t>-10,05</w:t>
            </w:r>
          </w:p>
        </w:tc>
        <w:tc>
          <w:tcPr>
            <w:tcW w:w="1100" w:type="dxa"/>
            <w:shd w:val="clear" w:color="auto" w:fill="auto"/>
          </w:tcPr>
          <w:p w:rsidR="006B6A3E" w:rsidRPr="00691330" w:rsidRDefault="006B6A3E" w:rsidP="00691330">
            <w:pPr>
              <w:spacing w:line="276" w:lineRule="auto"/>
              <w:jc w:val="center"/>
              <w:rPr>
                <w:rFonts w:eastAsia="Times New Roman"/>
                <w:sz w:val="24"/>
                <w:szCs w:val="24"/>
                <w:lang w:eastAsia="ru-RU"/>
              </w:rPr>
            </w:pPr>
            <w:r w:rsidRPr="00691330">
              <w:rPr>
                <w:rFonts w:eastAsia="Times New Roman"/>
                <w:sz w:val="24"/>
                <w:szCs w:val="24"/>
                <w:lang w:eastAsia="ru-RU"/>
              </w:rPr>
              <w:t>0,93</w:t>
            </w:r>
          </w:p>
        </w:tc>
        <w:tc>
          <w:tcPr>
            <w:tcW w:w="1024" w:type="dxa"/>
            <w:shd w:val="clear" w:color="auto" w:fill="auto"/>
            <w:hideMark/>
          </w:tcPr>
          <w:p w:rsidR="006B6A3E" w:rsidRPr="00691330" w:rsidRDefault="006B6A3E" w:rsidP="00691330">
            <w:pPr>
              <w:spacing w:line="276" w:lineRule="auto"/>
              <w:jc w:val="center"/>
              <w:rPr>
                <w:rFonts w:eastAsia="Times New Roman"/>
                <w:color w:val="000000"/>
                <w:sz w:val="24"/>
                <w:szCs w:val="24"/>
                <w:lang w:eastAsia="ru-RU"/>
              </w:rPr>
            </w:pPr>
            <w:r w:rsidRPr="00691330">
              <w:rPr>
                <w:rFonts w:eastAsia="Times New Roman"/>
                <w:color w:val="000000"/>
                <w:sz w:val="24"/>
                <w:szCs w:val="24"/>
                <w:lang w:eastAsia="ru-RU"/>
              </w:rPr>
              <w:t>0,82</w:t>
            </w:r>
          </w:p>
        </w:tc>
        <w:tc>
          <w:tcPr>
            <w:tcW w:w="0" w:type="auto"/>
            <w:shd w:val="clear" w:color="auto" w:fill="auto"/>
          </w:tcPr>
          <w:p w:rsidR="006B6A3E" w:rsidRPr="00691330" w:rsidRDefault="006B6A3E" w:rsidP="00691330">
            <w:pPr>
              <w:spacing w:line="276" w:lineRule="auto"/>
              <w:jc w:val="center"/>
              <w:rPr>
                <w:rFonts w:eastAsia="Times New Roman"/>
                <w:bCs/>
                <w:color w:val="000000"/>
                <w:sz w:val="24"/>
                <w:szCs w:val="24"/>
                <w:lang w:eastAsia="ru-RU"/>
              </w:rPr>
            </w:pPr>
            <w:r w:rsidRPr="00691330">
              <w:rPr>
                <w:rFonts w:eastAsia="Times New Roman"/>
                <w:bCs/>
                <w:color w:val="000000"/>
                <w:sz w:val="24"/>
                <w:szCs w:val="24"/>
                <w:lang w:eastAsia="ru-RU"/>
              </w:rPr>
              <w:t>-11,83</w:t>
            </w:r>
          </w:p>
        </w:tc>
      </w:tr>
      <w:tr w:rsidR="006B6A3E" w:rsidRPr="00691330" w:rsidTr="006E3A91">
        <w:trPr>
          <w:trHeight w:val="315"/>
        </w:trPr>
        <w:tc>
          <w:tcPr>
            <w:tcW w:w="2419" w:type="dxa"/>
            <w:shd w:val="clear" w:color="auto" w:fill="auto"/>
            <w:hideMark/>
          </w:tcPr>
          <w:p w:rsidR="006B6A3E" w:rsidRPr="00691330" w:rsidRDefault="006B6A3E" w:rsidP="00691330">
            <w:pPr>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Дніпропетровська</w:t>
            </w:r>
          </w:p>
        </w:tc>
        <w:tc>
          <w:tcPr>
            <w:tcW w:w="876" w:type="dxa"/>
            <w:shd w:val="clear" w:color="auto" w:fill="auto"/>
            <w:hideMark/>
          </w:tcPr>
          <w:p w:rsidR="006B6A3E" w:rsidRPr="00691330" w:rsidRDefault="006B6A3E" w:rsidP="00691330">
            <w:pPr>
              <w:spacing w:line="276" w:lineRule="auto"/>
              <w:jc w:val="center"/>
              <w:rPr>
                <w:rFonts w:eastAsia="Times New Roman"/>
                <w:sz w:val="24"/>
                <w:szCs w:val="24"/>
                <w:lang w:eastAsia="ru-RU"/>
              </w:rPr>
            </w:pPr>
            <w:r w:rsidRPr="00691330">
              <w:rPr>
                <w:rFonts w:eastAsia="Times New Roman"/>
                <w:sz w:val="24"/>
                <w:szCs w:val="24"/>
                <w:lang w:eastAsia="ru-RU"/>
              </w:rPr>
              <w:t>566</w:t>
            </w:r>
          </w:p>
        </w:tc>
        <w:tc>
          <w:tcPr>
            <w:tcW w:w="969" w:type="dxa"/>
          </w:tcPr>
          <w:p w:rsidR="006B6A3E" w:rsidRPr="00691330" w:rsidRDefault="006B6A3E" w:rsidP="00691330">
            <w:pPr>
              <w:spacing w:line="276" w:lineRule="auto"/>
              <w:jc w:val="center"/>
              <w:rPr>
                <w:rFonts w:eastAsia="Times New Roman"/>
                <w:color w:val="000000"/>
                <w:sz w:val="24"/>
                <w:szCs w:val="24"/>
                <w:lang w:eastAsia="ru-RU"/>
              </w:rPr>
            </w:pPr>
            <w:r w:rsidRPr="00691330">
              <w:rPr>
                <w:rFonts w:eastAsia="Times New Roman"/>
                <w:color w:val="000000"/>
                <w:sz w:val="24"/>
                <w:szCs w:val="24"/>
                <w:lang w:eastAsia="ru-RU"/>
              </w:rPr>
              <w:t>487</w:t>
            </w:r>
          </w:p>
        </w:tc>
        <w:tc>
          <w:tcPr>
            <w:tcW w:w="1967" w:type="dxa"/>
            <w:shd w:val="clear" w:color="auto" w:fill="auto"/>
          </w:tcPr>
          <w:p w:rsidR="006B6A3E" w:rsidRPr="00691330" w:rsidRDefault="006B6A3E" w:rsidP="00691330">
            <w:pPr>
              <w:spacing w:line="276" w:lineRule="auto"/>
              <w:jc w:val="center"/>
              <w:rPr>
                <w:rFonts w:eastAsia="Times New Roman"/>
                <w:bCs/>
                <w:color w:val="000000"/>
                <w:sz w:val="24"/>
                <w:szCs w:val="24"/>
                <w:lang w:eastAsia="ru-RU"/>
              </w:rPr>
            </w:pPr>
            <w:r w:rsidRPr="00691330">
              <w:rPr>
                <w:rFonts w:eastAsia="Times New Roman"/>
                <w:bCs/>
                <w:color w:val="000000"/>
                <w:sz w:val="24"/>
                <w:szCs w:val="24"/>
                <w:lang w:eastAsia="ru-RU"/>
              </w:rPr>
              <w:t>-13,96</w:t>
            </w:r>
          </w:p>
        </w:tc>
        <w:tc>
          <w:tcPr>
            <w:tcW w:w="1100" w:type="dxa"/>
            <w:shd w:val="clear" w:color="auto" w:fill="auto"/>
          </w:tcPr>
          <w:p w:rsidR="006B6A3E" w:rsidRPr="00691330" w:rsidRDefault="006B6A3E" w:rsidP="00691330">
            <w:pPr>
              <w:spacing w:line="276" w:lineRule="auto"/>
              <w:jc w:val="center"/>
              <w:rPr>
                <w:rFonts w:eastAsia="Times New Roman"/>
                <w:sz w:val="24"/>
                <w:szCs w:val="24"/>
                <w:lang w:eastAsia="ru-RU"/>
              </w:rPr>
            </w:pPr>
            <w:r w:rsidRPr="00691330">
              <w:rPr>
                <w:rFonts w:eastAsia="Times New Roman"/>
                <w:sz w:val="24"/>
                <w:szCs w:val="24"/>
                <w:lang w:eastAsia="ru-RU"/>
              </w:rPr>
              <w:t>1,01</w:t>
            </w:r>
          </w:p>
        </w:tc>
        <w:tc>
          <w:tcPr>
            <w:tcW w:w="1024" w:type="dxa"/>
            <w:shd w:val="clear" w:color="auto" w:fill="auto"/>
            <w:hideMark/>
          </w:tcPr>
          <w:p w:rsidR="006B6A3E" w:rsidRPr="00691330" w:rsidRDefault="006B6A3E" w:rsidP="00691330">
            <w:pPr>
              <w:spacing w:line="276" w:lineRule="auto"/>
              <w:jc w:val="center"/>
              <w:rPr>
                <w:rFonts w:eastAsia="Times New Roman"/>
                <w:color w:val="000000"/>
                <w:sz w:val="24"/>
                <w:szCs w:val="24"/>
                <w:lang w:eastAsia="ru-RU"/>
              </w:rPr>
            </w:pPr>
            <w:r w:rsidRPr="00691330">
              <w:rPr>
                <w:rFonts w:eastAsia="Times New Roman"/>
                <w:color w:val="000000"/>
                <w:sz w:val="24"/>
                <w:szCs w:val="24"/>
                <w:lang w:eastAsia="ru-RU"/>
              </w:rPr>
              <w:t>0,84</w:t>
            </w:r>
          </w:p>
        </w:tc>
        <w:tc>
          <w:tcPr>
            <w:tcW w:w="0" w:type="auto"/>
            <w:shd w:val="clear" w:color="auto" w:fill="auto"/>
          </w:tcPr>
          <w:p w:rsidR="006B6A3E" w:rsidRPr="00691330" w:rsidRDefault="006B6A3E" w:rsidP="00691330">
            <w:pPr>
              <w:spacing w:line="276" w:lineRule="auto"/>
              <w:jc w:val="center"/>
              <w:rPr>
                <w:rFonts w:eastAsia="Times New Roman"/>
                <w:bCs/>
                <w:color w:val="000000"/>
                <w:sz w:val="24"/>
                <w:szCs w:val="24"/>
                <w:lang w:eastAsia="ru-RU"/>
              </w:rPr>
            </w:pPr>
            <w:r w:rsidRPr="00691330">
              <w:rPr>
                <w:rFonts w:eastAsia="Times New Roman"/>
                <w:bCs/>
                <w:color w:val="000000"/>
                <w:sz w:val="24"/>
                <w:szCs w:val="24"/>
                <w:lang w:eastAsia="ru-RU"/>
              </w:rPr>
              <w:t>-16,83</w:t>
            </w:r>
          </w:p>
        </w:tc>
      </w:tr>
      <w:tr w:rsidR="006B6A3E" w:rsidRPr="00691330" w:rsidTr="006E3A91">
        <w:trPr>
          <w:trHeight w:val="315"/>
        </w:trPr>
        <w:tc>
          <w:tcPr>
            <w:tcW w:w="2419" w:type="dxa"/>
            <w:shd w:val="clear" w:color="auto" w:fill="auto"/>
            <w:hideMark/>
          </w:tcPr>
          <w:p w:rsidR="006B6A3E" w:rsidRPr="00691330" w:rsidRDefault="006B6A3E" w:rsidP="00691330">
            <w:pPr>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Донецька*</w:t>
            </w:r>
          </w:p>
        </w:tc>
        <w:tc>
          <w:tcPr>
            <w:tcW w:w="876" w:type="dxa"/>
            <w:shd w:val="clear" w:color="auto" w:fill="auto"/>
            <w:hideMark/>
          </w:tcPr>
          <w:p w:rsidR="006B6A3E" w:rsidRPr="00691330" w:rsidRDefault="006B6A3E" w:rsidP="00691330">
            <w:pPr>
              <w:spacing w:line="276" w:lineRule="auto"/>
              <w:jc w:val="center"/>
              <w:rPr>
                <w:rFonts w:eastAsia="Times New Roman"/>
                <w:sz w:val="24"/>
                <w:szCs w:val="24"/>
                <w:lang w:eastAsia="ru-RU"/>
              </w:rPr>
            </w:pPr>
            <w:r w:rsidRPr="00691330">
              <w:rPr>
                <w:rFonts w:eastAsia="Times New Roman"/>
                <w:sz w:val="24"/>
                <w:szCs w:val="24"/>
                <w:lang w:eastAsia="ru-RU"/>
              </w:rPr>
              <w:t>299</w:t>
            </w:r>
          </w:p>
        </w:tc>
        <w:tc>
          <w:tcPr>
            <w:tcW w:w="969" w:type="dxa"/>
          </w:tcPr>
          <w:p w:rsidR="006B6A3E" w:rsidRPr="00691330" w:rsidRDefault="006B6A3E" w:rsidP="00691330">
            <w:pPr>
              <w:spacing w:line="276" w:lineRule="auto"/>
              <w:jc w:val="center"/>
              <w:rPr>
                <w:rFonts w:eastAsia="Times New Roman"/>
                <w:color w:val="000000"/>
                <w:sz w:val="24"/>
                <w:szCs w:val="24"/>
                <w:lang w:eastAsia="ru-RU"/>
              </w:rPr>
            </w:pPr>
            <w:r w:rsidRPr="00691330">
              <w:rPr>
                <w:rFonts w:eastAsia="Times New Roman"/>
                <w:color w:val="000000"/>
                <w:sz w:val="24"/>
                <w:szCs w:val="24"/>
                <w:lang w:eastAsia="ru-RU"/>
              </w:rPr>
              <w:t>281</w:t>
            </w:r>
          </w:p>
        </w:tc>
        <w:tc>
          <w:tcPr>
            <w:tcW w:w="1967" w:type="dxa"/>
            <w:shd w:val="clear" w:color="auto" w:fill="auto"/>
          </w:tcPr>
          <w:p w:rsidR="006B6A3E" w:rsidRPr="00691330" w:rsidRDefault="006B6A3E" w:rsidP="00691330">
            <w:pPr>
              <w:spacing w:line="276" w:lineRule="auto"/>
              <w:jc w:val="center"/>
              <w:rPr>
                <w:rFonts w:eastAsia="Times New Roman"/>
                <w:bCs/>
                <w:color w:val="000000"/>
                <w:sz w:val="24"/>
                <w:szCs w:val="24"/>
                <w:lang w:eastAsia="ru-RU"/>
              </w:rPr>
            </w:pPr>
            <w:r w:rsidRPr="00691330">
              <w:rPr>
                <w:rFonts w:eastAsia="Times New Roman"/>
                <w:bCs/>
                <w:color w:val="000000"/>
                <w:sz w:val="24"/>
                <w:szCs w:val="24"/>
                <w:lang w:eastAsia="ru-RU"/>
              </w:rPr>
              <w:t>-6,02</w:t>
            </w:r>
          </w:p>
        </w:tc>
        <w:tc>
          <w:tcPr>
            <w:tcW w:w="1100" w:type="dxa"/>
            <w:shd w:val="clear" w:color="auto" w:fill="auto"/>
          </w:tcPr>
          <w:p w:rsidR="006B6A3E" w:rsidRPr="00691330" w:rsidRDefault="006B6A3E" w:rsidP="00691330">
            <w:pPr>
              <w:spacing w:line="276" w:lineRule="auto"/>
              <w:jc w:val="center"/>
              <w:rPr>
                <w:rFonts w:eastAsia="Times New Roman"/>
                <w:sz w:val="24"/>
                <w:szCs w:val="24"/>
                <w:lang w:eastAsia="ru-RU"/>
              </w:rPr>
            </w:pPr>
            <w:r w:rsidRPr="00691330">
              <w:rPr>
                <w:rFonts w:eastAsia="Times New Roman"/>
                <w:sz w:val="24"/>
                <w:szCs w:val="24"/>
                <w:lang w:eastAsia="ru-RU"/>
              </w:rPr>
              <w:t>0,45</w:t>
            </w:r>
          </w:p>
        </w:tc>
        <w:tc>
          <w:tcPr>
            <w:tcW w:w="1024" w:type="dxa"/>
            <w:shd w:val="clear" w:color="auto" w:fill="auto"/>
            <w:hideMark/>
          </w:tcPr>
          <w:p w:rsidR="006B6A3E" w:rsidRPr="00691330" w:rsidRDefault="006B6A3E" w:rsidP="00691330">
            <w:pPr>
              <w:spacing w:line="276" w:lineRule="auto"/>
              <w:jc w:val="center"/>
              <w:rPr>
                <w:rFonts w:eastAsia="Times New Roman"/>
                <w:color w:val="000000"/>
                <w:sz w:val="24"/>
                <w:szCs w:val="24"/>
                <w:lang w:eastAsia="ru-RU"/>
              </w:rPr>
            </w:pPr>
            <w:r w:rsidRPr="00691330">
              <w:rPr>
                <w:rFonts w:eastAsia="Times New Roman"/>
                <w:color w:val="000000"/>
                <w:sz w:val="24"/>
                <w:szCs w:val="24"/>
                <w:lang w:eastAsia="ru-RU"/>
              </w:rPr>
              <w:t>0,92</w:t>
            </w:r>
          </w:p>
        </w:tc>
        <w:tc>
          <w:tcPr>
            <w:tcW w:w="0" w:type="auto"/>
            <w:shd w:val="clear" w:color="auto" w:fill="auto"/>
          </w:tcPr>
          <w:p w:rsidR="006B6A3E" w:rsidRPr="00691330" w:rsidRDefault="006B6A3E" w:rsidP="00691330">
            <w:pPr>
              <w:spacing w:line="276" w:lineRule="auto"/>
              <w:jc w:val="center"/>
              <w:rPr>
                <w:rFonts w:eastAsia="Times New Roman"/>
                <w:bCs/>
                <w:color w:val="000000"/>
                <w:sz w:val="24"/>
                <w:szCs w:val="24"/>
                <w:lang w:eastAsia="ru-RU"/>
              </w:rPr>
            </w:pPr>
            <w:r w:rsidRPr="00691330">
              <w:rPr>
                <w:rFonts w:eastAsia="Times New Roman"/>
                <w:bCs/>
                <w:color w:val="000000"/>
                <w:sz w:val="24"/>
                <w:szCs w:val="24"/>
                <w:lang w:eastAsia="ru-RU"/>
              </w:rPr>
              <w:t>104,44</w:t>
            </w:r>
          </w:p>
        </w:tc>
      </w:tr>
      <w:tr w:rsidR="006B6A3E" w:rsidRPr="00691330" w:rsidTr="006E3A91">
        <w:trPr>
          <w:trHeight w:val="315"/>
        </w:trPr>
        <w:tc>
          <w:tcPr>
            <w:tcW w:w="2419" w:type="dxa"/>
            <w:shd w:val="clear" w:color="auto" w:fill="auto"/>
            <w:hideMark/>
          </w:tcPr>
          <w:p w:rsidR="006B6A3E" w:rsidRPr="00691330" w:rsidRDefault="006B6A3E" w:rsidP="00691330">
            <w:pPr>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Житомирська</w:t>
            </w:r>
          </w:p>
        </w:tc>
        <w:tc>
          <w:tcPr>
            <w:tcW w:w="876" w:type="dxa"/>
            <w:shd w:val="clear" w:color="auto" w:fill="auto"/>
            <w:hideMark/>
          </w:tcPr>
          <w:p w:rsidR="006B6A3E" w:rsidRPr="00691330" w:rsidRDefault="006B6A3E" w:rsidP="00691330">
            <w:pPr>
              <w:spacing w:line="276" w:lineRule="auto"/>
              <w:jc w:val="center"/>
              <w:rPr>
                <w:rFonts w:eastAsia="Times New Roman"/>
                <w:sz w:val="24"/>
                <w:szCs w:val="24"/>
                <w:lang w:eastAsia="ru-RU"/>
              </w:rPr>
            </w:pPr>
            <w:r w:rsidRPr="00691330">
              <w:rPr>
                <w:rFonts w:eastAsia="Times New Roman"/>
                <w:sz w:val="24"/>
                <w:szCs w:val="24"/>
                <w:lang w:eastAsia="ru-RU"/>
              </w:rPr>
              <w:t>299</w:t>
            </w:r>
          </w:p>
        </w:tc>
        <w:tc>
          <w:tcPr>
            <w:tcW w:w="969" w:type="dxa"/>
          </w:tcPr>
          <w:p w:rsidR="006B6A3E" w:rsidRPr="00691330" w:rsidRDefault="006B6A3E" w:rsidP="00691330">
            <w:pPr>
              <w:spacing w:line="276" w:lineRule="auto"/>
              <w:jc w:val="center"/>
              <w:rPr>
                <w:rFonts w:eastAsia="Times New Roman"/>
                <w:color w:val="000000"/>
                <w:sz w:val="24"/>
                <w:szCs w:val="24"/>
                <w:lang w:eastAsia="ru-RU"/>
              </w:rPr>
            </w:pPr>
            <w:r w:rsidRPr="00691330">
              <w:rPr>
                <w:rFonts w:eastAsia="Times New Roman"/>
                <w:color w:val="000000"/>
                <w:sz w:val="24"/>
                <w:szCs w:val="24"/>
                <w:lang w:eastAsia="ru-RU"/>
              </w:rPr>
              <w:t>294</w:t>
            </w:r>
          </w:p>
        </w:tc>
        <w:tc>
          <w:tcPr>
            <w:tcW w:w="1967" w:type="dxa"/>
            <w:shd w:val="clear" w:color="auto" w:fill="auto"/>
          </w:tcPr>
          <w:p w:rsidR="006B6A3E" w:rsidRPr="00691330" w:rsidRDefault="006B6A3E" w:rsidP="00691330">
            <w:pPr>
              <w:spacing w:line="276" w:lineRule="auto"/>
              <w:jc w:val="center"/>
              <w:rPr>
                <w:rFonts w:eastAsia="Times New Roman"/>
                <w:bCs/>
                <w:color w:val="000000"/>
                <w:sz w:val="24"/>
                <w:szCs w:val="24"/>
                <w:lang w:eastAsia="ru-RU"/>
              </w:rPr>
            </w:pPr>
            <w:r w:rsidRPr="00691330">
              <w:rPr>
                <w:rFonts w:eastAsia="Times New Roman"/>
                <w:bCs/>
                <w:color w:val="000000"/>
                <w:sz w:val="24"/>
                <w:szCs w:val="24"/>
                <w:lang w:eastAsia="ru-RU"/>
              </w:rPr>
              <w:t>-1,67</w:t>
            </w:r>
          </w:p>
        </w:tc>
        <w:tc>
          <w:tcPr>
            <w:tcW w:w="1100" w:type="dxa"/>
            <w:shd w:val="clear" w:color="auto" w:fill="auto"/>
          </w:tcPr>
          <w:p w:rsidR="006B6A3E" w:rsidRPr="00691330" w:rsidRDefault="006B6A3E" w:rsidP="00691330">
            <w:pPr>
              <w:spacing w:line="276" w:lineRule="auto"/>
              <w:jc w:val="center"/>
              <w:rPr>
                <w:rFonts w:eastAsia="Times New Roman"/>
                <w:sz w:val="24"/>
                <w:szCs w:val="24"/>
                <w:lang w:eastAsia="ru-RU"/>
              </w:rPr>
            </w:pPr>
            <w:r w:rsidRPr="00691330">
              <w:rPr>
                <w:rFonts w:eastAsia="Times New Roman"/>
                <w:sz w:val="24"/>
                <w:szCs w:val="24"/>
                <w:lang w:eastAsia="ru-RU"/>
              </w:rPr>
              <w:t>1,23</w:t>
            </w:r>
          </w:p>
        </w:tc>
        <w:tc>
          <w:tcPr>
            <w:tcW w:w="1024" w:type="dxa"/>
            <w:shd w:val="clear" w:color="auto" w:fill="auto"/>
            <w:hideMark/>
          </w:tcPr>
          <w:p w:rsidR="006B6A3E" w:rsidRPr="00691330" w:rsidRDefault="006B6A3E" w:rsidP="00691330">
            <w:pPr>
              <w:spacing w:line="276" w:lineRule="auto"/>
              <w:jc w:val="center"/>
              <w:rPr>
                <w:rFonts w:eastAsia="Times New Roman"/>
                <w:color w:val="000000"/>
                <w:sz w:val="24"/>
                <w:szCs w:val="24"/>
                <w:lang w:eastAsia="ru-RU"/>
              </w:rPr>
            </w:pPr>
            <w:r w:rsidRPr="00691330">
              <w:rPr>
                <w:rFonts w:eastAsia="Times New Roman"/>
                <w:color w:val="000000"/>
                <w:sz w:val="24"/>
                <w:szCs w:val="24"/>
                <w:lang w:eastAsia="ru-RU"/>
              </w:rPr>
              <w:t>1,22</w:t>
            </w:r>
          </w:p>
        </w:tc>
        <w:tc>
          <w:tcPr>
            <w:tcW w:w="0" w:type="auto"/>
            <w:shd w:val="clear" w:color="auto" w:fill="auto"/>
          </w:tcPr>
          <w:p w:rsidR="006B6A3E" w:rsidRPr="00691330" w:rsidRDefault="006B6A3E" w:rsidP="00691330">
            <w:pPr>
              <w:spacing w:line="276" w:lineRule="auto"/>
              <w:jc w:val="center"/>
              <w:rPr>
                <w:rFonts w:eastAsia="Times New Roman"/>
                <w:bCs/>
                <w:color w:val="000000"/>
                <w:sz w:val="24"/>
                <w:szCs w:val="24"/>
                <w:lang w:eastAsia="ru-RU"/>
              </w:rPr>
            </w:pPr>
            <w:r w:rsidRPr="00691330">
              <w:rPr>
                <w:rFonts w:eastAsia="Times New Roman"/>
                <w:bCs/>
                <w:color w:val="000000"/>
                <w:sz w:val="24"/>
                <w:szCs w:val="24"/>
                <w:lang w:eastAsia="ru-RU"/>
              </w:rPr>
              <w:t>-0,81</w:t>
            </w:r>
          </w:p>
        </w:tc>
      </w:tr>
      <w:tr w:rsidR="006B6A3E" w:rsidRPr="00691330" w:rsidTr="006E3A91">
        <w:trPr>
          <w:trHeight w:val="315"/>
        </w:trPr>
        <w:tc>
          <w:tcPr>
            <w:tcW w:w="2419" w:type="dxa"/>
            <w:shd w:val="clear" w:color="auto" w:fill="auto"/>
            <w:hideMark/>
          </w:tcPr>
          <w:p w:rsidR="006B6A3E" w:rsidRPr="00691330" w:rsidRDefault="006B6A3E" w:rsidP="00691330">
            <w:pPr>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Закарпатська</w:t>
            </w:r>
          </w:p>
        </w:tc>
        <w:tc>
          <w:tcPr>
            <w:tcW w:w="876" w:type="dxa"/>
            <w:shd w:val="clear" w:color="auto" w:fill="auto"/>
            <w:hideMark/>
          </w:tcPr>
          <w:p w:rsidR="006B6A3E" w:rsidRPr="00691330" w:rsidRDefault="006B6A3E" w:rsidP="00691330">
            <w:pPr>
              <w:spacing w:line="276" w:lineRule="auto"/>
              <w:jc w:val="center"/>
              <w:rPr>
                <w:rFonts w:eastAsia="Times New Roman"/>
                <w:sz w:val="24"/>
                <w:szCs w:val="24"/>
                <w:lang w:eastAsia="ru-RU"/>
              </w:rPr>
            </w:pPr>
            <w:r w:rsidRPr="00691330">
              <w:rPr>
                <w:rFonts w:eastAsia="Times New Roman"/>
                <w:sz w:val="24"/>
                <w:szCs w:val="24"/>
                <w:lang w:eastAsia="ru-RU"/>
              </w:rPr>
              <w:t>193</w:t>
            </w:r>
          </w:p>
        </w:tc>
        <w:tc>
          <w:tcPr>
            <w:tcW w:w="969" w:type="dxa"/>
          </w:tcPr>
          <w:p w:rsidR="006B6A3E" w:rsidRPr="00691330" w:rsidRDefault="006B6A3E" w:rsidP="00691330">
            <w:pPr>
              <w:spacing w:line="276" w:lineRule="auto"/>
              <w:jc w:val="center"/>
              <w:rPr>
                <w:rFonts w:eastAsia="Times New Roman"/>
                <w:color w:val="000000"/>
                <w:sz w:val="24"/>
                <w:szCs w:val="24"/>
                <w:lang w:eastAsia="ru-RU"/>
              </w:rPr>
            </w:pPr>
            <w:r w:rsidRPr="00691330">
              <w:rPr>
                <w:rFonts w:eastAsia="Times New Roman"/>
                <w:color w:val="000000"/>
                <w:sz w:val="24"/>
                <w:szCs w:val="24"/>
                <w:lang w:eastAsia="ru-RU"/>
              </w:rPr>
              <w:t>137</w:t>
            </w:r>
          </w:p>
        </w:tc>
        <w:tc>
          <w:tcPr>
            <w:tcW w:w="1967" w:type="dxa"/>
            <w:shd w:val="clear" w:color="auto" w:fill="auto"/>
          </w:tcPr>
          <w:p w:rsidR="006B6A3E" w:rsidRPr="00691330" w:rsidRDefault="006B6A3E" w:rsidP="00691330">
            <w:pPr>
              <w:spacing w:line="276" w:lineRule="auto"/>
              <w:jc w:val="center"/>
              <w:rPr>
                <w:rFonts w:eastAsia="Times New Roman"/>
                <w:bCs/>
                <w:color w:val="000000"/>
                <w:sz w:val="24"/>
                <w:szCs w:val="24"/>
                <w:lang w:eastAsia="ru-RU"/>
              </w:rPr>
            </w:pPr>
            <w:r w:rsidRPr="00691330">
              <w:rPr>
                <w:rFonts w:eastAsia="Times New Roman"/>
                <w:bCs/>
                <w:color w:val="000000"/>
                <w:sz w:val="24"/>
                <w:szCs w:val="24"/>
                <w:lang w:eastAsia="ru-RU"/>
              </w:rPr>
              <w:t>-29,02</w:t>
            </w:r>
          </w:p>
        </w:tc>
        <w:tc>
          <w:tcPr>
            <w:tcW w:w="1100" w:type="dxa"/>
            <w:shd w:val="clear" w:color="auto" w:fill="auto"/>
          </w:tcPr>
          <w:p w:rsidR="006B6A3E" w:rsidRPr="00691330" w:rsidRDefault="006B6A3E" w:rsidP="00691330">
            <w:pPr>
              <w:spacing w:line="276" w:lineRule="auto"/>
              <w:jc w:val="center"/>
              <w:rPr>
                <w:rFonts w:eastAsia="Times New Roman"/>
                <w:sz w:val="24"/>
                <w:szCs w:val="24"/>
                <w:lang w:eastAsia="ru-RU"/>
              </w:rPr>
            </w:pPr>
            <w:r w:rsidRPr="00691330">
              <w:rPr>
                <w:rFonts w:eastAsia="Times New Roman"/>
                <w:sz w:val="24"/>
                <w:szCs w:val="24"/>
                <w:lang w:eastAsia="ru-RU"/>
              </w:rPr>
              <w:t>0,67</w:t>
            </w:r>
          </w:p>
        </w:tc>
        <w:tc>
          <w:tcPr>
            <w:tcW w:w="1024" w:type="dxa"/>
            <w:shd w:val="clear" w:color="auto" w:fill="auto"/>
            <w:hideMark/>
          </w:tcPr>
          <w:p w:rsidR="006B6A3E" w:rsidRPr="00691330" w:rsidRDefault="006B6A3E" w:rsidP="00691330">
            <w:pPr>
              <w:spacing w:line="276" w:lineRule="auto"/>
              <w:jc w:val="center"/>
              <w:rPr>
                <w:rFonts w:eastAsia="Times New Roman"/>
                <w:color w:val="000000"/>
                <w:sz w:val="24"/>
                <w:szCs w:val="24"/>
                <w:lang w:eastAsia="ru-RU"/>
              </w:rPr>
            </w:pPr>
            <w:r w:rsidRPr="00691330">
              <w:rPr>
                <w:rFonts w:eastAsia="Times New Roman"/>
                <w:color w:val="000000"/>
                <w:sz w:val="24"/>
                <w:szCs w:val="24"/>
                <w:lang w:eastAsia="ru-RU"/>
              </w:rPr>
              <w:t>0,47</w:t>
            </w:r>
          </w:p>
        </w:tc>
        <w:tc>
          <w:tcPr>
            <w:tcW w:w="0" w:type="auto"/>
            <w:shd w:val="clear" w:color="auto" w:fill="auto"/>
          </w:tcPr>
          <w:p w:rsidR="006B6A3E" w:rsidRPr="00691330" w:rsidRDefault="006B6A3E" w:rsidP="00691330">
            <w:pPr>
              <w:spacing w:line="276" w:lineRule="auto"/>
              <w:jc w:val="center"/>
              <w:rPr>
                <w:rFonts w:eastAsia="Times New Roman"/>
                <w:bCs/>
                <w:color w:val="000000"/>
                <w:sz w:val="24"/>
                <w:szCs w:val="24"/>
                <w:lang w:eastAsia="ru-RU"/>
              </w:rPr>
            </w:pPr>
            <w:r w:rsidRPr="00691330">
              <w:rPr>
                <w:rFonts w:eastAsia="Times New Roman"/>
                <w:bCs/>
                <w:color w:val="000000"/>
                <w:sz w:val="24"/>
                <w:szCs w:val="24"/>
                <w:lang w:eastAsia="ru-RU"/>
              </w:rPr>
              <w:t>-29,85</w:t>
            </w:r>
          </w:p>
        </w:tc>
      </w:tr>
      <w:tr w:rsidR="006B6A3E" w:rsidRPr="00691330" w:rsidTr="006E3A91">
        <w:trPr>
          <w:trHeight w:val="315"/>
        </w:trPr>
        <w:tc>
          <w:tcPr>
            <w:tcW w:w="2419" w:type="dxa"/>
            <w:shd w:val="clear" w:color="auto" w:fill="auto"/>
            <w:hideMark/>
          </w:tcPr>
          <w:p w:rsidR="006B6A3E" w:rsidRPr="00691330" w:rsidRDefault="006B6A3E" w:rsidP="00691330">
            <w:pPr>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Запорізька</w:t>
            </w:r>
          </w:p>
        </w:tc>
        <w:tc>
          <w:tcPr>
            <w:tcW w:w="876" w:type="dxa"/>
            <w:shd w:val="clear" w:color="auto" w:fill="auto"/>
            <w:hideMark/>
          </w:tcPr>
          <w:p w:rsidR="006B6A3E" w:rsidRPr="00691330" w:rsidRDefault="006B6A3E" w:rsidP="00691330">
            <w:pPr>
              <w:spacing w:line="276" w:lineRule="auto"/>
              <w:jc w:val="center"/>
              <w:rPr>
                <w:rFonts w:eastAsia="Times New Roman"/>
                <w:sz w:val="24"/>
                <w:szCs w:val="24"/>
                <w:lang w:eastAsia="ru-RU"/>
              </w:rPr>
            </w:pPr>
            <w:r w:rsidRPr="00691330">
              <w:rPr>
                <w:rFonts w:eastAsia="Times New Roman"/>
                <w:sz w:val="24"/>
                <w:szCs w:val="24"/>
                <w:lang w:eastAsia="ru-RU"/>
              </w:rPr>
              <w:t>554</w:t>
            </w:r>
          </w:p>
        </w:tc>
        <w:tc>
          <w:tcPr>
            <w:tcW w:w="969" w:type="dxa"/>
          </w:tcPr>
          <w:p w:rsidR="006B6A3E" w:rsidRPr="00691330" w:rsidRDefault="006B6A3E" w:rsidP="00691330">
            <w:pPr>
              <w:spacing w:line="276" w:lineRule="auto"/>
              <w:jc w:val="center"/>
              <w:rPr>
                <w:rFonts w:eastAsia="Times New Roman"/>
                <w:color w:val="000000"/>
                <w:sz w:val="24"/>
                <w:szCs w:val="24"/>
                <w:lang w:eastAsia="ru-RU"/>
              </w:rPr>
            </w:pPr>
            <w:r w:rsidRPr="00691330">
              <w:rPr>
                <w:rFonts w:eastAsia="Times New Roman"/>
                <w:color w:val="000000"/>
                <w:sz w:val="24"/>
                <w:szCs w:val="24"/>
                <w:lang w:eastAsia="ru-RU"/>
              </w:rPr>
              <w:t>473</w:t>
            </w:r>
          </w:p>
        </w:tc>
        <w:tc>
          <w:tcPr>
            <w:tcW w:w="1967" w:type="dxa"/>
            <w:shd w:val="clear" w:color="auto" w:fill="auto"/>
          </w:tcPr>
          <w:p w:rsidR="006B6A3E" w:rsidRPr="00691330" w:rsidRDefault="006B6A3E" w:rsidP="00691330">
            <w:pPr>
              <w:spacing w:line="276" w:lineRule="auto"/>
              <w:jc w:val="center"/>
              <w:rPr>
                <w:rFonts w:eastAsia="Times New Roman"/>
                <w:bCs/>
                <w:color w:val="000000"/>
                <w:sz w:val="24"/>
                <w:szCs w:val="24"/>
                <w:lang w:eastAsia="ru-RU"/>
              </w:rPr>
            </w:pPr>
            <w:r w:rsidRPr="00691330">
              <w:rPr>
                <w:rFonts w:eastAsia="Times New Roman"/>
                <w:bCs/>
                <w:color w:val="000000"/>
                <w:sz w:val="24"/>
                <w:szCs w:val="24"/>
                <w:lang w:eastAsia="ru-RU"/>
              </w:rPr>
              <w:t>-14,62</w:t>
            </w:r>
          </w:p>
        </w:tc>
        <w:tc>
          <w:tcPr>
            <w:tcW w:w="1100" w:type="dxa"/>
            <w:shd w:val="clear" w:color="auto" w:fill="auto"/>
          </w:tcPr>
          <w:p w:rsidR="006B6A3E" w:rsidRPr="00691330" w:rsidRDefault="006B6A3E" w:rsidP="00691330">
            <w:pPr>
              <w:spacing w:line="276" w:lineRule="auto"/>
              <w:jc w:val="center"/>
              <w:rPr>
                <w:rFonts w:eastAsia="Times New Roman"/>
                <w:sz w:val="24"/>
                <w:szCs w:val="24"/>
                <w:lang w:eastAsia="ru-RU"/>
              </w:rPr>
            </w:pPr>
            <w:r w:rsidRPr="00691330">
              <w:rPr>
                <w:rFonts w:eastAsia="Times New Roman"/>
                <w:sz w:val="24"/>
                <w:szCs w:val="24"/>
                <w:lang w:eastAsia="ru-RU"/>
              </w:rPr>
              <w:t>1,91</w:t>
            </w:r>
          </w:p>
        </w:tc>
        <w:tc>
          <w:tcPr>
            <w:tcW w:w="1024" w:type="dxa"/>
            <w:shd w:val="clear" w:color="auto" w:fill="auto"/>
            <w:hideMark/>
          </w:tcPr>
          <w:p w:rsidR="006B6A3E" w:rsidRPr="00691330" w:rsidRDefault="006B6A3E" w:rsidP="00691330">
            <w:pPr>
              <w:spacing w:line="276" w:lineRule="auto"/>
              <w:jc w:val="center"/>
              <w:rPr>
                <w:rFonts w:eastAsia="Times New Roman"/>
                <w:color w:val="000000"/>
                <w:sz w:val="24"/>
                <w:szCs w:val="24"/>
                <w:lang w:eastAsia="ru-RU"/>
              </w:rPr>
            </w:pPr>
            <w:r w:rsidRPr="00691330">
              <w:rPr>
                <w:rFonts w:eastAsia="Times New Roman"/>
                <w:color w:val="000000"/>
                <w:sz w:val="24"/>
                <w:szCs w:val="24"/>
                <w:lang w:eastAsia="ru-RU"/>
              </w:rPr>
              <w:t>1,61</w:t>
            </w:r>
          </w:p>
        </w:tc>
        <w:tc>
          <w:tcPr>
            <w:tcW w:w="0" w:type="auto"/>
            <w:shd w:val="clear" w:color="auto" w:fill="auto"/>
          </w:tcPr>
          <w:p w:rsidR="006B6A3E" w:rsidRPr="00691330" w:rsidRDefault="006B6A3E" w:rsidP="00691330">
            <w:pPr>
              <w:spacing w:line="276" w:lineRule="auto"/>
              <w:jc w:val="center"/>
              <w:rPr>
                <w:rFonts w:eastAsia="Times New Roman"/>
                <w:bCs/>
                <w:color w:val="000000"/>
                <w:sz w:val="24"/>
                <w:szCs w:val="24"/>
                <w:lang w:eastAsia="ru-RU"/>
              </w:rPr>
            </w:pPr>
            <w:r w:rsidRPr="00691330">
              <w:rPr>
                <w:rFonts w:eastAsia="Times New Roman"/>
                <w:bCs/>
                <w:color w:val="000000"/>
                <w:sz w:val="24"/>
                <w:szCs w:val="24"/>
                <w:lang w:eastAsia="ru-RU"/>
              </w:rPr>
              <w:t>-15,71</w:t>
            </w:r>
          </w:p>
        </w:tc>
      </w:tr>
      <w:tr w:rsidR="006B6A3E" w:rsidRPr="00691330" w:rsidTr="006E3A91">
        <w:trPr>
          <w:trHeight w:val="315"/>
        </w:trPr>
        <w:tc>
          <w:tcPr>
            <w:tcW w:w="2419" w:type="dxa"/>
            <w:shd w:val="clear" w:color="auto" w:fill="auto"/>
            <w:hideMark/>
          </w:tcPr>
          <w:p w:rsidR="006B6A3E" w:rsidRPr="00691330" w:rsidRDefault="006B6A3E" w:rsidP="00691330">
            <w:pPr>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Івано-Франківська</w:t>
            </w:r>
          </w:p>
        </w:tc>
        <w:tc>
          <w:tcPr>
            <w:tcW w:w="876" w:type="dxa"/>
            <w:shd w:val="clear" w:color="auto" w:fill="auto"/>
            <w:hideMark/>
          </w:tcPr>
          <w:p w:rsidR="006B6A3E" w:rsidRPr="00691330" w:rsidRDefault="006B6A3E" w:rsidP="00691330">
            <w:pPr>
              <w:spacing w:line="276" w:lineRule="auto"/>
              <w:jc w:val="center"/>
              <w:rPr>
                <w:rFonts w:eastAsia="Times New Roman"/>
                <w:sz w:val="24"/>
                <w:szCs w:val="24"/>
                <w:lang w:eastAsia="ru-RU"/>
              </w:rPr>
            </w:pPr>
            <w:r w:rsidRPr="00691330">
              <w:rPr>
                <w:rFonts w:eastAsia="Times New Roman"/>
                <w:sz w:val="24"/>
                <w:szCs w:val="24"/>
                <w:lang w:eastAsia="ru-RU"/>
              </w:rPr>
              <w:t>417</w:t>
            </w:r>
          </w:p>
        </w:tc>
        <w:tc>
          <w:tcPr>
            <w:tcW w:w="969" w:type="dxa"/>
          </w:tcPr>
          <w:p w:rsidR="006B6A3E" w:rsidRPr="00691330" w:rsidRDefault="006B6A3E" w:rsidP="00691330">
            <w:pPr>
              <w:spacing w:line="276" w:lineRule="auto"/>
              <w:jc w:val="center"/>
              <w:rPr>
                <w:rFonts w:eastAsia="Times New Roman"/>
                <w:color w:val="000000"/>
                <w:sz w:val="24"/>
                <w:szCs w:val="24"/>
                <w:lang w:eastAsia="ru-RU"/>
              </w:rPr>
            </w:pPr>
            <w:r w:rsidRPr="00691330">
              <w:rPr>
                <w:rFonts w:eastAsia="Times New Roman"/>
                <w:color w:val="000000"/>
                <w:sz w:val="24"/>
                <w:szCs w:val="24"/>
                <w:lang w:eastAsia="ru-RU"/>
              </w:rPr>
              <w:t>383</w:t>
            </w:r>
          </w:p>
        </w:tc>
        <w:tc>
          <w:tcPr>
            <w:tcW w:w="1967" w:type="dxa"/>
            <w:shd w:val="clear" w:color="auto" w:fill="auto"/>
          </w:tcPr>
          <w:p w:rsidR="006B6A3E" w:rsidRPr="00691330" w:rsidRDefault="006B6A3E" w:rsidP="00691330">
            <w:pPr>
              <w:spacing w:line="276" w:lineRule="auto"/>
              <w:jc w:val="center"/>
              <w:rPr>
                <w:rFonts w:eastAsia="Times New Roman"/>
                <w:bCs/>
                <w:color w:val="000000"/>
                <w:sz w:val="24"/>
                <w:szCs w:val="24"/>
                <w:lang w:eastAsia="ru-RU"/>
              </w:rPr>
            </w:pPr>
            <w:r w:rsidRPr="00691330">
              <w:rPr>
                <w:rFonts w:eastAsia="Times New Roman"/>
                <w:bCs/>
                <w:color w:val="000000"/>
                <w:sz w:val="24"/>
                <w:szCs w:val="24"/>
                <w:lang w:eastAsia="ru-RU"/>
              </w:rPr>
              <w:t>-8,15</w:t>
            </w:r>
          </w:p>
        </w:tc>
        <w:tc>
          <w:tcPr>
            <w:tcW w:w="1100" w:type="dxa"/>
            <w:shd w:val="clear" w:color="auto" w:fill="auto"/>
          </w:tcPr>
          <w:p w:rsidR="006B6A3E" w:rsidRPr="00691330" w:rsidRDefault="006B6A3E" w:rsidP="00691330">
            <w:pPr>
              <w:spacing w:line="276" w:lineRule="auto"/>
              <w:jc w:val="center"/>
              <w:rPr>
                <w:rFonts w:eastAsia="Times New Roman"/>
                <w:sz w:val="24"/>
                <w:szCs w:val="24"/>
                <w:lang w:eastAsia="ru-RU"/>
              </w:rPr>
            </w:pPr>
            <w:r w:rsidRPr="00691330">
              <w:rPr>
                <w:rFonts w:eastAsia="Times New Roman"/>
                <w:sz w:val="24"/>
                <w:szCs w:val="24"/>
                <w:lang w:eastAsia="ru-RU"/>
              </w:rPr>
              <w:t>1,49</w:t>
            </w:r>
          </w:p>
        </w:tc>
        <w:tc>
          <w:tcPr>
            <w:tcW w:w="1024" w:type="dxa"/>
            <w:shd w:val="clear" w:color="auto" w:fill="auto"/>
            <w:hideMark/>
          </w:tcPr>
          <w:p w:rsidR="006B6A3E" w:rsidRPr="00691330" w:rsidRDefault="006B6A3E" w:rsidP="00691330">
            <w:pPr>
              <w:spacing w:line="276" w:lineRule="auto"/>
              <w:jc w:val="center"/>
              <w:rPr>
                <w:rFonts w:eastAsia="Times New Roman"/>
                <w:color w:val="000000"/>
                <w:sz w:val="24"/>
                <w:szCs w:val="24"/>
                <w:lang w:eastAsia="ru-RU"/>
              </w:rPr>
            </w:pPr>
            <w:r w:rsidRPr="00691330">
              <w:rPr>
                <w:rFonts w:eastAsia="Times New Roman"/>
                <w:color w:val="000000"/>
                <w:sz w:val="24"/>
                <w:szCs w:val="24"/>
                <w:lang w:eastAsia="ru-RU"/>
              </w:rPr>
              <w:t>1,38</w:t>
            </w:r>
          </w:p>
        </w:tc>
        <w:tc>
          <w:tcPr>
            <w:tcW w:w="0" w:type="auto"/>
            <w:shd w:val="clear" w:color="auto" w:fill="auto"/>
          </w:tcPr>
          <w:p w:rsidR="006B6A3E" w:rsidRPr="00691330" w:rsidRDefault="006B6A3E" w:rsidP="00691330">
            <w:pPr>
              <w:spacing w:line="276" w:lineRule="auto"/>
              <w:jc w:val="center"/>
              <w:rPr>
                <w:rFonts w:eastAsia="Times New Roman"/>
                <w:bCs/>
                <w:color w:val="000000"/>
                <w:sz w:val="24"/>
                <w:szCs w:val="24"/>
                <w:lang w:eastAsia="ru-RU"/>
              </w:rPr>
            </w:pPr>
            <w:r w:rsidRPr="00691330">
              <w:rPr>
                <w:rFonts w:eastAsia="Times New Roman"/>
                <w:bCs/>
                <w:color w:val="000000"/>
                <w:sz w:val="24"/>
                <w:szCs w:val="24"/>
                <w:lang w:eastAsia="ru-RU"/>
              </w:rPr>
              <w:t>-7,38</w:t>
            </w:r>
          </w:p>
        </w:tc>
      </w:tr>
      <w:tr w:rsidR="006B6A3E" w:rsidRPr="00691330" w:rsidTr="006E3A91">
        <w:trPr>
          <w:trHeight w:val="315"/>
        </w:trPr>
        <w:tc>
          <w:tcPr>
            <w:tcW w:w="2419" w:type="dxa"/>
            <w:shd w:val="clear" w:color="auto" w:fill="auto"/>
            <w:hideMark/>
          </w:tcPr>
          <w:p w:rsidR="006B6A3E" w:rsidRPr="00691330" w:rsidRDefault="006B6A3E" w:rsidP="00691330">
            <w:pPr>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Київська</w:t>
            </w:r>
          </w:p>
        </w:tc>
        <w:tc>
          <w:tcPr>
            <w:tcW w:w="876" w:type="dxa"/>
            <w:shd w:val="clear" w:color="auto" w:fill="auto"/>
            <w:hideMark/>
          </w:tcPr>
          <w:p w:rsidR="006B6A3E" w:rsidRPr="00691330" w:rsidRDefault="006B6A3E" w:rsidP="00691330">
            <w:pPr>
              <w:spacing w:line="276" w:lineRule="auto"/>
              <w:jc w:val="center"/>
              <w:rPr>
                <w:rFonts w:eastAsia="Times New Roman"/>
                <w:sz w:val="24"/>
                <w:szCs w:val="24"/>
                <w:lang w:eastAsia="ru-RU"/>
              </w:rPr>
            </w:pPr>
            <w:r w:rsidRPr="00691330">
              <w:rPr>
                <w:rFonts w:eastAsia="Times New Roman"/>
                <w:sz w:val="24"/>
                <w:szCs w:val="24"/>
                <w:lang w:eastAsia="ru-RU"/>
              </w:rPr>
              <w:t>368</w:t>
            </w:r>
          </w:p>
        </w:tc>
        <w:tc>
          <w:tcPr>
            <w:tcW w:w="969" w:type="dxa"/>
          </w:tcPr>
          <w:p w:rsidR="006B6A3E" w:rsidRPr="00691330" w:rsidRDefault="006B6A3E" w:rsidP="00691330">
            <w:pPr>
              <w:spacing w:line="276" w:lineRule="auto"/>
              <w:jc w:val="center"/>
              <w:rPr>
                <w:rFonts w:eastAsia="Times New Roman"/>
                <w:color w:val="000000"/>
                <w:sz w:val="24"/>
                <w:szCs w:val="24"/>
                <w:lang w:eastAsia="ru-RU"/>
              </w:rPr>
            </w:pPr>
            <w:r w:rsidRPr="00691330">
              <w:rPr>
                <w:rFonts w:eastAsia="Times New Roman"/>
                <w:color w:val="000000"/>
                <w:sz w:val="24"/>
                <w:szCs w:val="24"/>
                <w:lang w:eastAsia="ru-RU"/>
              </w:rPr>
              <w:t>314</w:t>
            </w:r>
          </w:p>
        </w:tc>
        <w:tc>
          <w:tcPr>
            <w:tcW w:w="1967" w:type="dxa"/>
            <w:shd w:val="clear" w:color="auto" w:fill="auto"/>
          </w:tcPr>
          <w:p w:rsidR="006B6A3E" w:rsidRPr="00691330" w:rsidRDefault="006B6A3E" w:rsidP="00691330">
            <w:pPr>
              <w:spacing w:line="276" w:lineRule="auto"/>
              <w:jc w:val="center"/>
              <w:rPr>
                <w:rFonts w:eastAsia="Times New Roman"/>
                <w:bCs/>
                <w:color w:val="000000"/>
                <w:sz w:val="24"/>
                <w:szCs w:val="24"/>
                <w:lang w:eastAsia="ru-RU"/>
              </w:rPr>
            </w:pPr>
            <w:r w:rsidRPr="00691330">
              <w:rPr>
                <w:rFonts w:eastAsia="Times New Roman"/>
                <w:bCs/>
                <w:color w:val="000000"/>
                <w:sz w:val="24"/>
                <w:szCs w:val="24"/>
                <w:lang w:eastAsia="ru-RU"/>
              </w:rPr>
              <w:t>-14,67</w:t>
            </w:r>
          </w:p>
        </w:tc>
        <w:tc>
          <w:tcPr>
            <w:tcW w:w="1100" w:type="dxa"/>
            <w:shd w:val="clear" w:color="auto" w:fill="auto"/>
          </w:tcPr>
          <w:p w:rsidR="006B6A3E" w:rsidRPr="00691330" w:rsidRDefault="006B6A3E" w:rsidP="00691330">
            <w:pPr>
              <w:spacing w:line="276" w:lineRule="auto"/>
              <w:jc w:val="center"/>
              <w:rPr>
                <w:rFonts w:eastAsia="Times New Roman"/>
                <w:sz w:val="24"/>
                <w:szCs w:val="24"/>
                <w:lang w:eastAsia="ru-RU"/>
              </w:rPr>
            </w:pPr>
            <w:r w:rsidRPr="00691330">
              <w:rPr>
                <w:rFonts w:eastAsia="Times New Roman"/>
                <w:sz w:val="24"/>
                <w:szCs w:val="24"/>
                <w:lang w:eastAsia="ru-RU"/>
              </w:rPr>
              <w:t>1,18</w:t>
            </w:r>
          </w:p>
        </w:tc>
        <w:tc>
          <w:tcPr>
            <w:tcW w:w="1024" w:type="dxa"/>
            <w:shd w:val="clear" w:color="auto" w:fill="auto"/>
            <w:hideMark/>
          </w:tcPr>
          <w:p w:rsidR="006B6A3E" w:rsidRPr="00691330" w:rsidRDefault="006B6A3E" w:rsidP="00691330">
            <w:pPr>
              <w:spacing w:line="276" w:lineRule="auto"/>
              <w:jc w:val="center"/>
              <w:rPr>
                <w:rFonts w:eastAsia="Times New Roman"/>
                <w:color w:val="000000"/>
                <w:sz w:val="24"/>
                <w:szCs w:val="24"/>
                <w:lang w:eastAsia="ru-RU"/>
              </w:rPr>
            </w:pPr>
            <w:r w:rsidRPr="00691330">
              <w:rPr>
                <w:rFonts w:eastAsia="Times New Roman"/>
                <w:color w:val="000000"/>
                <w:sz w:val="24"/>
                <w:szCs w:val="24"/>
                <w:lang w:eastAsia="ru-RU"/>
              </w:rPr>
              <w:t>0,93</w:t>
            </w:r>
          </w:p>
        </w:tc>
        <w:tc>
          <w:tcPr>
            <w:tcW w:w="0" w:type="auto"/>
            <w:shd w:val="clear" w:color="auto" w:fill="auto"/>
          </w:tcPr>
          <w:p w:rsidR="006B6A3E" w:rsidRPr="00691330" w:rsidRDefault="006B6A3E" w:rsidP="00691330">
            <w:pPr>
              <w:spacing w:line="276" w:lineRule="auto"/>
              <w:jc w:val="center"/>
              <w:rPr>
                <w:rFonts w:eastAsia="Times New Roman"/>
                <w:bCs/>
                <w:color w:val="000000"/>
                <w:sz w:val="24"/>
                <w:szCs w:val="24"/>
                <w:lang w:eastAsia="ru-RU"/>
              </w:rPr>
            </w:pPr>
            <w:r w:rsidRPr="00691330">
              <w:rPr>
                <w:rFonts w:eastAsia="Times New Roman"/>
                <w:bCs/>
                <w:color w:val="000000"/>
                <w:sz w:val="24"/>
                <w:szCs w:val="24"/>
                <w:lang w:eastAsia="ru-RU"/>
              </w:rPr>
              <w:t>-21,19</w:t>
            </w:r>
          </w:p>
        </w:tc>
      </w:tr>
      <w:tr w:rsidR="006B6A3E" w:rsidRPr="00691330" w:rsidTr="006E3A91">
        <w:trPr>
          <w:trHeight w:val="315"/>
        </w:trPr>
        <w:tc>
          <w:tcPr>
            <w:tcW w:w="2419" w:type="dxa"/>
            <w:shd w:val="clear" w:color="auto" w:fill="auto"/>
            <w:hideMark/>
          </w:tcPr>
          <w:p w:rsidR="006B6A3E" w:rsidRPr="00691330" w:rsidRDefault="006B6A3E" w:rsidP="00691330">
            <w:pPr>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Кіровоградська</w:t>
            </w:r>
          </w:p>
        </w:tc>
        <w:tc>
          <w:tcPr>
            <w:tcW w:w="876" w:type="dxa"/>
            <w:shd w:val="clear" w:color="auto" w:fill="auto"/>
            <w:hideMark/>
          </w:tcPr>
          <w:p w:rsidR="006B6A3E" w:rsidRPr="00691330" w:rsidRDefault="006B6A3E" w:rsidP="00691330">
            <w:pPr>
              <w:spacing w:line="276" w:lineRule="auto"/>
              <w:jc w:val="center"/>
              <w:rPr>
                <w:rFonts w:eastAsia="Times New Roman"/>
                <w:sz w:val="24"/>
                <w:szCs w:val="24"/>
                <w:lang w:eastAsia="ru-RU"/>
              </w:rPr>
            </w:pPr>
            <w:r w:rsidRPr="00691330">
              <w:rPr>
                <w:rFonts w:eastAsia="Times New Roman"/>
                <w:sz w:val="24"/>
                <w:szCs w:val="24"/>
                <w:lang w:eastAsia="ru-RU"/>
              </w:rPr>
              <w:t>193</w:t>
            </w:r>
          </w:p>
        </w:tc>
        <w:tc>
          <w:tcPr>
            <w:tcW w:w="969" w:type="dxa"/>
          </w:tcPr>
          <w:p w:rsidR="006B6A3E" w:rsidRPr="00691330" w:rsidRDefault="006B6A3E" w:rsidP="00691330">
            <w:pPr>
              <w:spacing w:line="276" w:lineRule="auto"/>
              <w:jc w:val="center"/>
              <w:rPr>
                <w:rFonts w:eastAsia="Times New Roman"/>
                <w:color w:val="000000"/>
                <w:sz w:val="24"/>
                <w:szCs w:val="24"/>
                <w:lang w:eastAsia="ru-RU"/>
              </w:rPr>
            </w:pPr>
            <w:r w:rsidRPr="00691330">
              <w:rPr>
                <w:rFonts w:eastAsia="Times New Roman"/>
                <w:color w:val="000000"/>
                <w:sz w:val="24"/>
                <w:szCs w:val="24"/>
                <w:lang w:eastAsia="ru-RU"/>
              </w:rPr>
              <w:t>177</w:t>
            </w:r>
          </w:p>
        </w:tc>
        <w:tc>
          <w:tcPr>
            <w:tcW w:w="1967" w:type="dxa"/>
            <w:shd w:val="clear" w:color="auto" w:fill="auto"/>
          </w:tcPr>
          <w:p w:rsidR="006B6A3E" w:rsidRPr="00691330" w:rsidRDefault="006B6A3E" w:rsidP="00691330">
            <w:pPr>
              <w:spacing w:line="276" w:lineRule="auto"/>
              <w:jc w:val="center"/>
              <w:rPr>
                <w:rFonts w:eastAsia="Times New Roman"/>
                <w:bCs/>
                <w:color w:val="000000"/>
                <w:sz w:val="24"/>
                <w:szCs w:val="24"/>
                <w:lang w:eastAsia="ru-RU"/>
              </w:rPr>
            </w:pPr>
            <w:r w:rsidRPr="00691330">
              <w:rPr>
                <w:rFonts w:eastAsia="Times New Roman"/>
                <w:bCs/>
                <w:color w:val="000000"/>
                <w:sz w:val="24"/>
                <w:szCs w:val="24"/>
                <w:lang w:eastAsia="ru-RU"/>
              </w:rPr>
              <w:t>-8,29</w:t>
            </w:r>
          </w:p>
        </w:tc>
        <w:tc>
          <w:tcPr>
            <w:tcW w:w="1100" w:type="dxa"/>
            <w:shd w:val="clear" w:color="auto" w:fill="auto"/>
          </w:tcPr>
          <w:p w:rsidR="006B6A3E" w:rsidRPr="00691330" w:rsidRDefault="006B6A3E" w:rsidP="00691330">
            <w:pPr>
              <w:spacing w:line="276" w:lineRule="auto"/>
              <w:jc w:val="center"/>
              <w:rPr>
                <w:rFonts w:eastAsia="Times New Roman"/>
                <w:sz w:val="24"/>
                <w:szCs w:val="24"/>
                <w:lang w:eastAsia="ru-RU"/>
              </w:rPr>
            </w:pPr>
            <w:r w:rsidRPr="00691330">
              <w:rPr>
                <w:rFonts w:eastAsia="Times New Roman"/>
                <w:sz w:val="24"/>
                <w:szCs w:val="24"/>
                <w:lang w:eastAsia="ru-RU"/>
              </w:rPr>
              <w:t>1,13</w:t>
            </w:r>
          </w:p>
        </w:tc>
        <w:tc>
          <w:tcPr>
            <w:tcW w:w="1024" w:type="dxa"/>
            <w:shd w:val="clear" w:color="auto" w:fill="auto"/>
            <w:hideMark/>
          </w:tcPr>
          <w:p w:rsidR="006B6A3E" w:rsidRPr="00691330" w:rsidRDefault="006B6A3E" w:rsidP="00691330">
            <w:pPr>
              <w:spacing w:line="276" w:lineRule="auto"/>
              <w:jc w:val="center"/>
              <w:rPr>
                <w:rFonts w:eastAsia="Times New Roman"/>
                <w:color w:val="000000"/>
                <w:sz w:val="24"/>
                <w:szCs w:val="24"/>
                <w:lang w:eastAsia="ru-RU"/>
              </w:rPr>
            </w:pPr>
            <w:r w:rsidRPr="00691330">
              <w:rPr>
                <w:rFonts w:eastAsia="Times New Roman"/>
                <w:color w:val="000000"/>
                <w:sz w:val="24"/>
                <w:szCs w:val="24"/>
                <w:lang w:eastAsia="ru-RU"/>
              </w:rPr>
              <w:t>1,05</w:t>
            </w:r>
          </w:p>
        </w:tc>
        <w:tc>
          <w:tcPr>
            <w:tcW w:w="0" w:type="auto"/>
            <w:shd w:val="clear" w:color="auto" w:fill="auto"/>
          </w:tcPr>
          <w:p w:rsidR="006B6A3E" w:rsidRPr="00691330" w:rsidRDefault="006B6A3E" w:rsidP="00691330">
            <w:pPr>
              <w:spacing w:line="276" w:lineRule="auto"/>
              <w:jc w:val="center"/>
              <w:rPr>
                <w:rFonts w:eastAsia="Times New Roman"/>
                <w:bCs/>
                <w:color w:val="000000"/>
                <w:sz w:val="24"/>
                <w:szCs w:val="24"/>
                <w:lang w:eastAsia="ru-RU"/>
              </w:rPr>
            </w:pPr>
            <w:r w:rsidRPr="00691330">
              <w:rPr>
                <w:rFonts w:eastAsia="Times New Roman"/>
                <w:bCs/>
                <w:color w:val="000000"/>
                <w:sz w:val="24"/>
                <w:szCs w:val="24"/>
                <w:lang w:eastAsia="ru-RU"/>
              </w:rPr>
              <w:t>-7,08</w:t>
            </w:r>
          </w:p>
        </w:tc>
      </w:tr>
      <w:tr w:rsidR="006B6A3E" w:rsidRPr="00691330" w:rsidTr="006E3A91">
        <w:trPr>
          <w:trHeight w:val="315"/>
        </w:trPr>
        <w:tc>
          <w:tcPr>
            <w:tcW w:w="2419" w:type="dxa"/>
            <w:shd w:val="clear" w:color="auto" w:fill="auto"/>
            <w:hideMark/>
          </w:tcPr>
          <w:p w:rsidR="006B6A3E" w:rsidRPr="00691330" w:rsidRDefault="006B6A3E" w:rsidP="00691330">
            <w:pPr>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Луганська*</w:t>
            </w:r>
          </w:p>
        </w:tc>
        <w:tc>
          <w:tcPr>
            <w:tcW w:w="876" w:type="dxa"/>
            <w:shd w:val="clear" w:color="auto" w:fill="auto"/>
            <w:hideMark/>
          </w:tcPr>
          <w:p w:rsidR="006B6A3E" w:rsidRPr="00691330" w:rsidRDefault="006B6A3E" w:rsidP="00691330">
            <w:pPr>
              <w:spacing w:line="276" w:lineRule="auto"/>
              <w:jc w:val="center"/>
              <w:rPr>
                <w:rFonts w:eastAsia="Times New Roman"/>
                <w:sz w:val="24"/>
                <w:szCs w:val="24"/>
                <w:lang w:eastAsia="ru-RU"/>
              </w:rPr>
            </w:pPr>
            <w:r w:rsidRPr="00691330">
              <w:rPr>
                <w:rFonts w:eastAsia="Times New Roman"/>
                <w:sz w:val="24"/>
                <w:szCs w:val="24"/>
                <w:lang w:eastAsia="ru-RU"/>
              </w:rPr>
              <w:t>145</w:t>
            </w:r>
          </w:p>
        </w:tc>
        <w:tc>
          <w:tcPr>
            <w:tcW w:w="969" w:type="dxa"/>
          </w:tcPr>
          <w:p w:rsidR="006B6A3E" w:rsidRPr="00691330" w:rsidRDefault="006B6A3E" w:rsidP="00691330">
            <w:pPr>
              <w:spacing w:line="276" w:lineRule="auto"/>
              <w:jc w:val="center"/>
              <w:rPr>
                <w:rFonts w:eastAsia="Times New Roman"/>
                <w:color w:val="000000"/>
                <w:sz w:val="24"/>
                <w:szCs w:val="24"/>
                <w:lang w:eastAsia="ru-RU"/>
              </w:rPr>
            </w:pPr>
            <w:r w:rsidRPr="00691330">
              <w:rPr>
                <w:rFonts w:eastAsia="Times New Roman"/>
                <w:color w:val="000000"/>
                <w:sz w:val="24"/>
                <w:szCs w:val="24"/>
                <w:lang w:eastAsia="ru-RU"/>
              </w:rPr>
              <w:t>121</w:t>
            </w:r>
          </w:p>
        </w:tc>
        <w:tc>
          <w:tcPr>
            <w:tcW w:w="1967" w:type="dxa"/>
            <w:shd w:val="clear" w:color="auto" w:fill="auto"/>
          </w:tcPr>
          <w:p w:rsidR="006B6A3E" w:rsidRPr="00691330" w:rsidRDefault="006B6A3E" w:rsidP="00691330">
            <w:pPr>
              <w:spacing w:line="276" w:lineRule="auto"/>
              <w:jc w:val="center"/>
              <w:rPr>
                <w:rFonts w:eastAsia="Times New Roman"/>
                <w:bCs/>
                <w:color w:val="000000"/>
                <w:sz w:val="24"/>
                <w:szCs w:val="24"/>
                <w:lang w:eastAsia="ru-RU"/>
              </w:rPr>
            </w:pPr>
            <w:r w:rsidRPr="00691330">
              <w:rPr>
                <w:rFonts w:eastAsia="Times New Roman"/>
                <w:bCs/>
                <w:color w:val="000000"/>
                <w:sz w:val="24"/>
                <w:szCs w:val="24"/>
                <w:lang w:eastAsia="ru-RU"/>
              </w:rPr>
              <w:t>-16,55</w:t>
            </w:r>
          </w:p>
        </w:tc>
        <w:tc>
          <w:tcPr>
            <w:tcW w:w="1100" w:type="dxa"/>
            <w:shd w:val="clear" w:color="auto" w:fill="auto"/>
          </w:tcPr>
          <w:p w:rsidR="006B6A3E" w:rsidRPr="00691330" w:rsidRDefault="006B6A3E" w:rsidP="00691330">
            <w:pPr>
              <w:spacing w:line="276" w:lineRule="auto"/>
              <w:jc w:val="center"/>
              <w:rPr>
                <w:rFonts w:eastAsia="Times New Roman"/>
                <w:sz w:val="24"/>
                <w:szCs w:val="24"/>
                <w:lang w:eastAsia="ru-RU"/>
              </w:rPr>
            </w:pPr>
            <w:r w:rsidRPr="00691330">
              <w:rPr>
                <w:rFonts w:eastAsia="Times New Roman"/>
                <w:sz w:val="24"/>
                <w:szCs w:val="24"/>
                <w:lang w:eastAsia="ru-RU"/>
              </w:rPr>
              <w:t>0,43</w:t>
            </w:r>
          </w:p>
        </w:tc>
        <w:tc>
          <w:tcPr>
            <w:tcW w:w="1024" w:type="dxa"/>
            <w:shd w:val="clear" w:color="auto" w:fill="auto"/>
            <w:hideMark/>
          </w:tcPr>
          <w:p w:rsidR="006B6A3E" w:rsidRPr="00691330" w:rsidRDefault="006B6A3E" w:rsidP="00691330">
            <w:pPr>
              <w:spacing w:line="276" w:lineRule="auto"/>
              <w:jc w:val="center"/>
              <w:rPr>
                <w:rFonts w:eastAsia="Times New Roman"/>
                <w:color w:val="000000"/>
                <w:sz w:val="24"/>
                <w:szCs w:val="24"/>
                <w:lang w:eastAsia="ru-RU"/>
              </w:rPr>
            </w:pPr>
            <w:r w:rsidRPr="00691330">
              <w:rPr>
                <w:rFonts w:eastAsia="Times New Roman"/>
                <w:color w:val="000000"/>
                <w:sz w:val="24"/>
                <w:szCs w:val="24"/>
                <w:lang w:eastAsia="ru-RU"/>
              </w:rPr>
              <w:t>1,14</w:t>
            </w:r>
          </w:p>
        </w:tc>
        <w:tc>
          <w:tcPr>
            <w:tcW w:w="0" w:type="auto"/>
            <w:shd w:val="clear" w:color="auto" w:fill="auto"/>
          </w:tcPr>
          <w:p w:rsidR="006B6A3E" w:rsidRPr="00691330" w:rsidRDefault="006B6A3E" w:rsidP="00691330">
            <w:pPr>
              <w:spacing w:line="276" w:lineRule="auto"/>
              <w:jc w:val="center"/>
              <w:rPr>
                <w:rFonts w:eastAsia="Times New Roman"/>
                <w:bCs/>
                <w:color w:val="000000"/>
                <w:sz w:val="24"/>
                <w:szCs w:val="24"/>
                <w:lang w:eastAsia="ru-RU"/>
              </w:rPr>
            </w:pPr>
            <w:r w:rsidRPr="00691330">
              <w:rPr>
                <w:rFonts w:eastAsia="Times New Roman"/>
                <w:bCs/>
                <w:color w:val="000000"/>
                <w:sz w:val="24"/>
                <w:szCs w:val="24"/>
                <w:lang w:eastAsia="ru-RU"/>
              </w:rPr>
              <w:t>165,12</w:t>
            </w:r>
          </w:p>
        </w:tc>
      </w:tr>
      <w:tr w:rsidR="006B6A3E" w:rsidRPr="00691330" w:rsidTr="006E3A91">
        <w:trPr>
          <w:trHeight w:val="315"/>
        </w:trPr>
        <w:tc>
          <w:tcPr>
            <w:tcW w:w="2419" w:type="dxa"/>
            <w:shd w:val="clear" w:color="auto" w:fill="auto"/>
            <w:hideMark/>
          </w:tcPr>
          <w:p w:rsidR="006B6A3E" w:rsidRPr="00691330" w:rsidRDefault="006B6A3E" w:rsidP="00691330">
            <w:pPr>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Львівська</w:t>
            </w:r>
          </w:p>
        </w:tc>
        <w:tc>
          <w:tcPr>
            <w:tcW w:w="876" w:type="dxa"/>
            <w:shd w:val="clear" w:color="auto" w:fill="auto"/>
            <w:hideMark/>
          </w:tcPr>
          <w:p w:rsidR="006B6A3E" w:rsidRPr="00691330" w:rsidRDefault="006B6A3E" w:rsidP="00691330">
            <w:pPr>
              <w:spacing w:line="276" w:lineRule="auto"/>
              <w:jc w:val="center"/>
              <w:rPr>
                <w:rFonts w:eastAsia="Times New Roman"/>
                <w:sz w:val="24"/>
                <w:szCs w:val="24"/>
                <w:lang w:eastAsia="ru-RU"/>
              </w:rPr>
            </w:pPr>
            <w:r w:rsidRPr="00691330">
              <w:rPr>
                <w:rFonts w:eastAsia="Times New Roman"/>
                <w:sz w:val="24"/>
                <w:szCs w:val="24"/>
                <w:lang w:eastAsia="ru-RU"/>
              </w:rPr>
              <w:t>681</w:t>
            </w:r>
          </w:p>
        </w:tc>
        <w:tc>
          <w:tcPr>
            <w:tcW w:w="969" w:type="dxa"/>
          </w:tcPr>
          <w:p w:rsidR="006B6A3E" w:rsidRPr="00691330" w:rsidRDefault="006B6A3E" w:rsidP="00691330">
            <w:pPr>
              <w:spacing w:line="276" w:lineRule="auto"/>
              <w:jc w:val="center"/>
              <w:rPr>
                <w:rFonts w:eastAsia="Times New Roman"/>
                <w:color w:val="000000"/>
                <w:sz w:val="24"/>
                <w:szCs w:val="24"/>
                <w:lang w:eastAsia="ru-RU"/>
              </w:rPr>
            </w:pPr>
            <w:r w:rsidRPr="00691330">
              <w:rPr>
                <w:rFonts w:eastAsia="Times New Roman"/>
                <w:color w:val="000000"/>
                <w:sz w:val="24"/>
                <w:szCs w:val="24"/>
                <w:lang w:eastAsia="ru-RU"/>
              </w:rPr>
              <w:t>552</w:t>
            </w:r>
          </w:p>
        </w:tc>
        <w:tc>
          <w:tcPr>
            <w:tcW w:w="1967" w:type="dxa"/>
            <w:shd w:val="clear" w:color="auto" w:fill="auto"/>
          </w:tcPr>
          <w:p w:rsidR="006B6A3E" w:rsidRPr="00691330" w:rsidRDefault="006B6A3E" w:rsidP="00691330">
            <w:pPr>
              <w:spacing w:line="276" w:lineRule="auto"/>
              <w:jc w:val="center"/>
              <w:rPr>
                <w:rFonts w:eastAsia="Times New Roman"/>
                <w:bCs/>
                <w:color w:val="000000"/>
                <w:sz w:val="24"/>
                <w:szCs w:val="24"/>
                <w:lang w:eastAsia="ru-RU"/>
              </w:rPr>
            </w:pPr>
            <w:r w:rsidRPr="00691330">
              <w:rPr>
                <w:rFonts w:eastAsia="Times New Roman"/>
                <w:bCs/>
                <w:color w:val="000000"/>
                <w:sz w:val="24"/>
                <w:szCs w:val="24"/>
                <w:lang w:eastAsia="ru-RU"/>
              </w:rPr>
              <w:t>-18,94</w:t>
            </w:r>
          </w:p>
        </w:tc>
        <w:tc>
          <w:tcPr>
            <w:tcW w:w="1100" w:type="dxa"/>
            <w:shd w:val="clear" w:color="auto" w:fill="auto"/>
          </w:tcPr>
          <w:p w:rsidR="006B6A3E" w:rsidRPr="00691330" w:rsidRDefault="006B6A3E" w:rsidP="00691330">
            <w:pPr>
              <w:spacing w:line="276" w:lineRule="auto"/>
              <w:jc w:val="center"/>
              <w:rPr>
                <w:rFonts w:eastAsia="Times New Roman"/>
                <w:sz w:val="24"/>
                <w:szCs w:val="24"/>
                <w:lang w:eastAsia="ru-RU"/>
              </w:rPr>
            </w:pPr>
            <w:r w:rsidRPr="00691330">
              <w:rPr>
                <w:rFonts w:eastAsia="Times New Roman"/>
                <w:sz w:val="24"/>
                <w:szCs w:val="24"/>
                <w:lang w:eastAsia="ru-RU"/>
              </w:rPr>
              <w:t>1,41</w:t>
            </w:r>
          </w:p>
        </w:tc>
        <w:tc>
          <w:tcPr>
            <w:tcW w:w="1024" w:type="dxa"/>
            <w:shd w:val="clear" w:color="auto" w:fill="auto"/>
            <w:hideMark/>
          </w:tcPr>
          <w:p w:rsidR="006B6A3E" w:rsidRPr="00691330" w:rsidRDefault="006B6A3E" w:rsidP="00691330">
            <w:pPr>
              <w:spacing w:line="276" w:lineRule="auto"/>
              <w:jc w:val="center"/>
              <w:rPr>
                <w:rFonts w:eastAsia="Times New Roman"/>
                <w:color w:val="000000"/>
                <w:sz w:val="24"/>
                <w:szCs w:val="24"/>
                <w:lang w:eastAsia="ru-RU"/>
              </w:rPr>
            </w:pPr>
            <w:r w:rsidRPr="00691330">
              <w:rPr>
                <w:rFonts w:eastAsia="Times New Roman"/>
                <w:color w:val="000000"/>
                <w:sz w:val="24"/>
                <w:szCs w:val="24"/>
                <w:lang w:eastAsia="ru-RU"/>
              </w:rPr>
              <w:t>1,14</w:t>
            </w:r>
          </w:p>
        </w:tc>
        <w:tc>
          <w:tcPr>
            <w:tcW w:w="0" w:type="auto"/>
            <w:shd w:val="clear" w:color="auto" w:fill="auto"/>
          </w:tcPr>
          <w:p w:rsidR="006B6A3E" w:rsidRPr="00691330" w:rsidRDefault="006B6A3E" w:rsidP="00691330">
            <w:pPr>
              <w:spacing w:line="276" w:lineRule="auto"/>
              <w:jc w:val="center"/>
              <w:rPr>
                <w:rFonts w:eastAsia="Times New Roman"/>
                <w:bCs/>
                <w:color w:val="000000"/>
                <w:sz w:val="24"/>
                <w:szCs w:val="24"/>
                <w:lang w:eastAsia="ru-RU"/>
              </w:rPr>
            </w:pPr>
            <w:r w:rsidRPr="00691330">
              <w:rPr>
                <w:rFonts w:eastAsia="Times New Roman"/>
                <w:bCs/>
                <w:color w:val="000000"/>
                <w:sz w:val="24"/>
                <w:szCs w:val="24"/>
                <w:lang w:eastAsia="ru-RU"/>
              </w:rPr>
              <w:t>-19,15</w:t>
            </w:r>
          </w:p>
        </w:tc>
      </w:tr>
      <w:tr w:rsidR="006B6A3E" w:rsidRPr="00691330" w:rsidTr="006E3A91">
        <w:trPr>
          <w:trHeight w:val="315"/>
        </w:trPr>
        <w:tc>
          <w:tcPr>
            <w:tcW w:w="2419" w:type="dxa"/>
            <w:shd w:val="clear" w:color="auto" w:fill="auto"/>
            <w:hideMark/>
          </w:tcPr>
          <w:p w:rsidR="006B6A3E" w:rsidRPr="00691330" w:rsidRDefault="006B6A3E" w:rsidP="00691330">
            <w:pPr>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Миколаївська</w:t>
            </w:r>
          </w:p>
        </w:tc>
        <w:tc>
          <w:tcPr>
            <w:tcW w:w="876" w:type="dxa"/>
            <w:shd w:val="clear" w:color="auto" w:fill="auto"/>
            <w:hideMark/>
          </w:tcPr>
          <w:p w:rsidR="006B6A3E" w:rsidRPr="00691330" w:rsidRDefault="006B6A3E" w:rsidP="00691330">
            <w:pPr>
              <w:spacing w:line="276" w:lineRule="auto"/>
              <w:jc w:val="center"/>
              <w:rPr>
                <w:rFonts w:eastAsia="Times New Roman"/>
                <w:sz w:val="24"/>
                <w:szCs w:val="24"/>
                <w:lang w:eastAsia="ru-RU"/>
              </w:rPr>
            </w:pPr>
            <w:r w:rsidRPr="00691330">
              <w:rPr>
                <w:rFonts w:eastAsia="Times New Roman"/>
                <w:sz w:val="24"/>
                <w:szCs w:val="24"/>
                <w:lang w:eastAsia="ru-RU"/>
              </w:rPr>
              <w:t>193</w:t>
            </w:r>
          </w:p>
        </w:tc>
        <w:tc>
          <w:tcPr>
            <w:tcW w:w="969" w:type="dxa"/>
          </w:tcPr>
          <w:p w:rsidR="006B6A3E" w:rsidRPr="00691330" w:rsidRDefault="006B6A3E" w:rsidP="00691330">
            <w:pPr>
              <w:spacing w:line="276" w:lineRule="auto"/>
              <w:jc w:val="center"/>
              <w:rPr>
                <w:rFonts w:eastAsia="Times New Roman"/>
                <w:color w:val="000000"/>
                <w:sz w:val="24"/>
                <w:szCs w:val="24"/>
                <w:lang w:eastAsia="ru-RU"/>
              </w:rPr>
            </w:pPr>
            <w:r w:rsidRPr="00691330">
              <w:rPr>
                <w:rFonts w:eastAsia="Times New Roman"/>
                <w:color w:val="000000"/>
                <w:sz w:val="24"/>
                <w:szCs w:val="24"/>
                <w:lang w:eastAsia="ru-RU"/>
              </w:rPr>
              <w:t>161</w:t>
            </w:r>
          </w:p>
        </w:tc>
        <w:tc>
          <w:tcPr>
            <w:tcW w:w="1967" w:type="dxa"/>
            <w:shd w:val="clear" w:color="auto" w:fill="auto"/>
          </w:tcPr>
          <w:p w:rsidR="006B6A3E" w:rsidRPr="00691330" w:rsidRDefault="006B6A3E" w:rsidP="00691330">
            <w:pPr>
              <w:spacing w:line="276" w:lineRule="auto"/>
              <w:jc w:val="center"/>
              <w:rPr>
                <w:rFonts w:eastAsia="Times New Roman"/>
                <w:bCs/>
                <w:color w:val="000000"/>
                <w:sz w:val="24"/>
                <w:szCs w:val="24"/>
                <w:lang w:eastAsia="ru-RU"/>
              </w:rPr>
            </w:pPr>
            <w:r w:rsidRPr="00691330">
              <w:rPr>
                <w:rFonts w:eastAsia="Times New Roman"/>
                <w:bCs/>
                <w:color w:val="000000"/>
                <w:sz w:val="24"/>
                <w:szCs w:val="24"/>
                <w:lang w:eastAsia="ru-RU"/>
              </w:rPr>
              <w:t>-16,58</w:t>
            </w:r>
          </w:p>
        </w:tc>
        <w:tc>
          <w:tcPr>
            <w:tcW w:w="1100" w:type="dxa"/>
            <w:shd w:val="clear" w:color="auto" w:fill="auto"/>
          </w:tcPr>
          <w:p w:rsidR="006B6A3E" w:rsidRPr="00691330" w:rsidRDefault="006B6A3E" w:rsidP="00691330">
            <w:pPr>
              <w:spacing w:line="276" w:lineRule="auto"/>
              <w:jc w:val="center"/>
              <w:rPr>
                <w:rFonts w:eastAsia="Times New Roman"/>
                <w:sz w:val="24"/>
                <w:szCs w:val="24"/>
                <w:lang w:eastAsia="ru-RU"/>
              </w:rPr>
            </w:pPr>
            <w:r w:rsidRPr="00691330">
              <w:rPr>
                <w:rFonts w:eastAsia="Times New Roman"/>
                <w:sz w:val="24"/>
                <w:szCs w:val="24"/>
                <w:lang w:eastAsia="ru-RU"/>
              </w:rPr>
              <w:t>0,93</w:t>
            </w:r>
          </w:p>
        </w:tc>
        <w:tc>
          <w:tcPr>
            <w:tcW w:w="1024" w:type="dxa"/>
            <w:shd w:val="clear" w:color="auto" w:fill="auto"/>
            <w:hideMark/>
          </w:tcPr>
          <w:p w:rsidR="006B6A3E" w:rsidRPr="00691330" w:rsidRDefault="006B6A3E" w:rsidP="00691330">
            <w:pPr>
              <w:spacing w:line="276" w:lineRule="auto"/>
              <w:jc w:val="center"/>
              <w:rPr>
                <w:rFonts w:eastAsia="Times New Roman"/>
                <w:color w:val="000000"/>
                <w:sz w:val="24"/>
                <w:szCs w:val="24"/>
                <w:lang w:eastAsia="ru-RU"/>
              </w:rPr>
            </w:pPr>
            <w:r w:rsidRPr="00691330">
              <w:rPr>
                <w:rFonts w:eastAsia="Times New Roman"/>
                <w:color w:val="000000"/>
                <w:sz w:val="24"/>
                <w:szCs w:val="24"/>
                <w:lang w:eastAsia="ru-RU"/>
              </w:rPr>
              <w:t>0,77</w:t>
            </w:r>
          </w:p>
        </w:tc>
        <w:tc>
          <w:tcPr>
            <w:tcW w:w="0" w:type="auto"/>
            <w:shd w:val="clear" w:color="auto" w:fill="auto"/>
          </w:tcPr>
          <w:p w:rsidR="006B6A3E" w:rsidRPr="00691330" w:rsidRDefault="006B6A3E" w:rsidP="00691330">
            <w:pPr>
              <w:spacing w:line="276" w:lineRule="auto"/>
              <w:jc w:val="center"/>
              <w:rPr>
                <w:rFonts w:eastAsia="Times New Roman"/>
                <w:bCs/>
                <w:color w:val="000000"/>
                <w:sz w:val="24"/>
                <w:szCs w:val="24"/>
                <w:lang w:eastAsia="ru-RU"/>
              </w:rPr>
            </w:pPr>
            <w:r w:rsidRPr="00691330">
              <w:rPr>
                <w:rFonts w:eastAsia="Times New Roman"/>
                <w:bCs/>
                <w:color w:val="000000"/>
                <w:sz w:val="24"/>
                <w:szCs w:val="24"/>
                <w:lang w:eastAsia="ru-RU"/>
              </w:rPr>
              <w:t>-17,20</w:t>
            </w:r>
          </w:p>
        </w:tc>
      </w:tr>
      <w:tr w:rsidR="006B6A3E" w:rsidRPr="00691330" w:rsidTr="006E3A91">
        <w:trPr>
          <w:trHeight w:val="315"/>
        </w:trPr>
        <w:tc>
          <w:tcPr>
            <w:tcW w:w="2419" w:type="dxa"/>
            <w:shd w:val="clear" w:color="auto" w:fill="auto"/>
            <w:hideMark/>
          </w:tcPr>
          <w:p w:rsidR="006B6A3E" w:rsidRPr="00691330" w:rsidRDefault="006B6A3E" w:rsidP="00691330">
            <w:pPr>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Одеська</w:t>
            </w:r>
          </w:p>
        </w:tc>
        <w:tc>
          <w:tcPr>
            <w:tcW w:w="876" w:type="dxa"/>
            <w:shd w:val="clear" w:color="auto" w:fill="auto"/>
            <w:hideMark/>
          </w:tcPr>
          <w:p w:rsidR="006B6A3E" w:rsidRPr="00691330" w:rsidRDefault="006B6A3E" w:rsidP="00691330">
            <w:pPr>
              <w:spacing w:line="276" w:lineRule="auto"/>
              <w:jc w:val="center"/>
              <w:rPr>
                <w:rFonts w:eastAsia="Times New Roman"/>
                <w:sz w:val="24"/>
                <w:szCs w:val="24"/>
                <w:lang w:eastAsia="ru-RU"/>
              </w:rPr>
            </w:pPr>
            <w:r w:rsidRPr="00691330">
              <w:rPr>
                <w:rFonts w:eastAsia="Times New Roman"/>
                <w:sz w:val="24"/>
                <w:szCs w:val="24"/>
                <w:lang w:eastAsia="ru-RU"/>
              </w:rPr>
              <w:t>599</w:t>
            </w:r>
          </w:p>
        </w:tc>
        <w:tc>
          <w:tcPr>
            <w:tcW w:w="969" w:type="dxa"/>
          </w:tcPr>
          <w:p w:rsidR="006B6A3E" w:rsidRPr="00691330" w:rsidRDefault="006B6A3E" w:rsidP="00691330">
            <w:pPr>
              <w:spacing w:line="276" w:lineRule="auto"/>
              <w:jc w:val="center"/>
              <w:rPr>
                <w:rFonts w:eastAsia="Times New Roman"/>
                <w:color w:val="000000"/>
                <w:sz w:val="24"/>
                <w:szCs w:val="24"/>
                <w:lang w:eastAsia="ru-RU"/>
              </w:rPr>
            </w:pPr>
            <w:r w:rsidRPr="00691330">
              <w:rPr>
                <w:rFonts w:eastAsia="Times New Roman"/>
                <w:color w:val="000000"/>
                <w:sz w:val="24"/>
                <w:szCs w:val="24"/>
                <w:lang w:eastAsia="ru-RU"/>
              </w:rPr>
              <w:t>534</w:t>
            </w:r>
          </w:p>
        </w:tc>
        <w:tc>
          <w:tcPr>
            <w:tcW w:w="1967" w:type="dxa"/>
            <w:shd w:val="clear" w:color="auto" w:fill="auto"/>
          </w:tcPr>
          <w:p w:rsidR="006B6A3E" w:rsidRPr="00691330" w:rsidRDefault="006B6A3E" w:rsidP="00691330">
            <w:pPr>
              <w:spacing w:line="276" w:lineRule="auto"/>
              <w:jc w:val="center"/>
              <w:rPr>
                <w:rFonts w:eastAsia="Times New Roman"/>
                <w:bCs/>
                <w:color w:val="000000"/>
                <w:sz w:val="24"/>
                <w:szCs w:val="24"/>
                <w:lang w:eastAsia="ru-RU"/>
              </w:rPr>
            </w:pPr>
            <w:r w:rsidRPr="00691330">
              <w:rPr>
                <w:rFonts w:eastAsia="Times New Roman"/>
                <w:bCs/>
                <w:color w:val="000000"/>
                <w:sz w:val="24"/>
                <w:szCs w:val="24"/>
                <w:lang w:eastAsia="ru-RU"/>
              </w:rPr>
              <w:t>-10,85</w:t>
            </w:r>
          </w:p>
        </w:tc>
        <w:tc>
          <w:tcPr>
            <w:tcW w:w="1100" w:type="dxa"/>
            <w:shd w:val="clear" w:color="auto" w:fill="auto"/>
          </w:tcPr>
          <w:p w:rsidR="006B6A3E" w:rsidRPr="00691330" w:rsidRDefault="006B6A3E" w:rsidP="00691330">
            <w:pPr>
              <w:spacing w:line="276" w:lineRule="auto"/>
              <w:jc w:val="center"/>
              <w:rPr>
                <w:rFonts w:eastAsia="Times New Roman"/>
                <w:sz w:val="24"/>
                <w:szCs w:val="24"/>
                <w:lang w:eastAsia="ru-RU"/>
              </w:rPr>
            </w:pPr>
            <w:r w:rsidRPr="00691330">
              <w:rPr>
                <w:rFonts w:eastAsia="Times New Roman"/>
                <w:sz w:val="24"/>
                <w:szCs w:val="24"/>
                <w:lang w:eastAsia="ru-RU"/>
              </w:rPr>
              <w:t>1,34</w:t>
            </w:r>
          </w:p>
        </w:tc>
        <w:tc>
          <w:tcPr>
            <w:tcW w:w="1024" w:type="dxa"/>
            <w:shd w:val="clear" w:color="auto" w:fill="auto"/>
            <w:hideMark/>
          </w:tcPr>
          <w:p w:rsidR="006B6A3E" w:rsidRPr="00691330" w:rsidRDefault="006B6A3E" w:rsidP="00691330">
            <w:pPr>
              <w:spacing w:line="276" w:lineRule="auto"/>
              <w:jc w:val="center"/>
              <w:rPr>
                <w:rFonts w:eastAsia="Times New Roman"/>
                <w:color w:val="000000"/>
                <w:sz w:val="24"/>
                <w:szCs w:val="24"/>
                <w:lang w:eastAsia="ru-RU"/>
              </w:rPr>
            </w:pPr>
            <w:r w:rsidRPr="00691330">
              <w:rPr>
                <w:rFonts w:eastAsia="Times New Roman"/>
                <w:color w:val="000000"/>
                <w:sz w:val="24"/>
                <w:szCs w:val="24"/>
                <w:lang w:eastAsia="ru-RU"/>
              </w:rPr>
              <w:t>1,15</w:t>
            </w:r>
          </w:p>
        </w:tc>
        <w:tc>
          <w:tcPr>
            <w:tcW w:w="0" w:type="auto"/>
            <w:shd w:val="clear" w:color="auto" w:fill="auto"/>
          </w:tcPr>
          <w:p w:rsidR="006B6A3E" w:rsidRPr="00691330" w:rsidRDefault="006B6A3E" w:rsidP="00691330">
            <w:pPr>
              <w:spacing w:line="276" w:lineRule="auto"/>
              <w:jc w:val="center"/>
              <w:rPr>
                <w:rFonts w:eastAsia="Times New Roman"/>
                <w:bCs/>
                <w:color w:val="000000"/>
                <w:sz w:val="24"/>
                <w:szCs w:val="24"/>
                <w:lang w:eastAsia="ru-RU"/>
              </w:rPr>
            </w:pPr>
            <w:r w:rsidRPr="00691330">
              <w:rPr>
                <w:rFonts w:eastAsia="Times New Roman"/>
                <w:bCs/>
                <w:color w:val="000000"/>
                <w:sz w:val="24"/>
                <w:szCs w:val="24"/>
                <w:lang w:eastAsia="ru-RU"/>
              </w:rPr>
              <w:t>-14,18</w:t>
            </w:r>
          </w:p>
        </w:tc>
      </w:tr>
      <w:tr w:rsidR="006B6A3E" w:rsidRPr="00691330" w:rsidTr="006E3A91">
        <w:trPr>
          <w:trHeight w:val="315"/>
        </w:trPr>
        <w:tc>
          <w:tcPr>
            <w:tcW w:w="2419" w:type="dxa"/>
            <w:shd w:val="clear" w:color="auto" w:fill="auto"/>
            <w:hideMark/>
          </w:tcPr>
          <w:p w:rsidR="006B6A3E" w:rsidRPr="00691330" w:rsidRDefault="006B6A3E" w:rsidP="00691330">
            <w:pPr>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Полтавська</w:t>
            </w:r>
          </w:p>
        </w:tc>
        <w:tc>
          <w:tcPr>
            <w:tcW w:w="876" w:type="dxa"/>
            <w:shd w:val="clear" w:color="auto" w:fill="auto"/>
            <w:hideMark/>
          </w:tcPr>
          <w:p w:rsidR="006B6A3E" w:rsidRPr="00691330" w:rsidRDefault="006B6A3E" w:rsidP="00691330">
            <w:pPr>
              <w:spacing w:line="276" w:lineRule="auto"/>
              <w:jc w:val="center"/>
              <w:rPr>
                <w:rFonts w:eastAsia="Times New Roman"/>
                <w:sz w:val="24"/>
                <w:szCs w:val="24"/>
                <w:lang w:eastAsia="ru-RU"/>
              </w:rPr>
            </w:pPr>
            <w:r w:rsidRPr="00691330">
              <w:rPr>
                <w:rFonts w:eastAsia="Times New Roman"/>
                <w:sz w:val="24"/>
                <w:szCs w:val="24"/>
                <w:lang w:eastAsia="ru-RU"/>
              </w:rPr>
              <w:t>360</w:t>
            </w:r>
          </w:p>
        </w:tc>
        <w:tc>
          <w:tcPr>
            <w:tcW w:w="969" w:type="dxa"/>
          </w:tcPr>
          <w:p w:rsidR="006B6A3E" w:rsidRPr="00691330" w:rsidRDefault="006B6A3E" w:rsidP="00691330">
            <w:pPr>
              <w:spacing w:line="276" w:lineRule="auto"/>
              <w:jc w:val="center"/>
              <w:rPr>
                <w:rFonts w:eastAsia="Times New Roman"/>
                <w:color w:val="000000"/>
                <w:sz w:val="24"/>
                <w:szCs w:val="24"/>
                <w:lang w:eastAsia="ru-RU"/>
              </w:rPr>
            </w:pPr>
            <w:r w:rsidRPr="00691330">
              <w:rPr>
                <w:rFonts w:eastAsia="Times New Roman"/>
                <w:color w:val="000000"/>
                <w:sz w:val="24"/>
                <w:szCs w:val="24"/>
                <w:lang w:eastAsia="ru-RU"/>
              </w:rPr>
              <w:t>330</w:t>
            </w:r>
          </w:p>
        </w:tc>
        <w:tc>
          <w:tcPr>
            <w:tcW w:w="1967" w:type="dxa"/>
            <w:shd w:val="clear" w:color="auto" w:fill="auto"/>
          </w:tcPr>
          <w:p w:rsidR="006B6A3E" w:rsidRPr="00691330" w:rsidRDefault="006B6A3E" w:rsidP="00691330">
            <w:pPr>
              <w:spacing w:line="276" w:lineRule="auto"/>
              <w:jc w:val="center"/>
              <w:rPr>
                <w:rFonts w:eastAsia="Times New Roman"/>
                <w:bCs/>
                <w:color w:val="000000"/>
                <w:sz w:val="24"/>
                <w:szCs w:val="24"/>
                <w:lang w:eastAsia="ru-RU"/>
              </w:rPr>
            </w:pPr>
            <w:r w:rsidRPr="00691330">
              <w:rPr>
                <w:rFonts w:eastAsia="Times New Roman"/>
                <w:bCs/>
                <w:color w:val="000000"/>
                <w:sz w:val="24"/>
                <w:szCs w:val="24"/>
                <w:lang w:eastAsia="ru-RU"/>
              </w:rPr>
              <w:t>-8,33</w:t>
            </w:r>
          </w:p>
        </w:tc>
        <w:tc>
          <w:tcPr>
            <w:tcW w:w="1100" w:type="dxa"/>
            <w:shd w:val="clear" w:color="auto" w:fill="auto"/>
          </w:tcPr>
          <w:p w:rsidR="006B6A3E" w:rsidRPr="00691330" w:rsidRDefault="006B6A3E" w:rsidP="00691330">
            <w:pPr>
              <w:spacing w:line="276" w:lineRule="auto"/>
              <w:jc w:val="center"/>
              <w:rPr>
                <w:rFonts w:eastAsia="Times New Roman"/>
                <w:sz w:val="24"/>
                <w:szCs w:val="24"/>
                <w:lang w:eastAsia="ru-RU"/>
              </w:rPr>
            </w:pPr>
            <w:r w:rsidRPr="00691330">
              <w:rPr>
                <w:rFonts w:eastAsia="Times New Roman"/>
                <w:sz w:val="24"/>
                <w:szCs w:val="24"/>
                <w:lang w:eastAsia="ru-RU"/>
              </w:rPr>
              <w:t>1,53</w:t>
            </w:r>
          </w:p>
        </w:tc>
        <w:tc>
          <w:tcPr>
            <w:tcW w:w="1024" w:type="dxa"/>
            <w:shd w:val="clear" w:color="auto" w:fill="auto"/>
            <w:hideMark/>
          </w:tcPr>
          <w:p w:rsidR="006B6A3E" w:rsidRPr="00691330" w:rsidRDefault="006B6A3E" w:rsidP="00691330">
            <w:pPr>
              <w:spacing w:line="276" w:lineRule="auto"/>
              <w:jc w:val="center"/>
              <w:rPr>
                <w:rFonts w:eastAsia="Times New Roman"/>
                <w:color w:val="000000"/>
                <w:sz w:val="24"/>
                <w:szCs w:val="24"/>
                <w:lang w:eastAsia="ru-RU"/>
              </w:rPr>
            </w:pPr>
            <w:r w:rsidRPr="00691330">
              <w:rPr>
                <w:rFonts w:eastAsia="Times New Roman"/>
                <w:color w:val="000000"/>
                <w:sz w:val="24"/>
                <w:szCs w:val="24"/>
                <w:lang w:eastAsia="ru-RU"/>
              </w:rPr>
              <w:t>1,41</w:t>
            </w:r>
          </w:p>
        </w:tc>
        <w:tc>
          <w:tcPr>
            <w:tcW w:w="0" w:type="auto"/>
            <w:shd w:val="clear" w:color="auto" w:fill="auto"/>
          </w:tcPr>
          <w:p w:rsidR="006B6A3E" w:rsidRPr="00691330" w:rsidRDefault="006B6A3E" w:rsidP="00691330">
            <w:pPr>
              <w:spacing w:line="276" w:lineRule="auto"/>
              <w:jc w:val="center"/>
              <w:rPr>
                <w:rFonts w:eastAsia="Times New Roman"/>
                <w:bCs/>
                <w:color w:val="000000"/>
                <w:sz w:val="24"/>
                <w:szCs w:val="24"/>
                <w:lang w:eastAsia="ru-RU"/>
              </w:rPr>
            </w:pPr>
            <w:r w:rsidRPr="00691330">
              <w:rPr>
                <w:rFonts w:eastAsia="Times New Roman"/>
                <w:bCs/>
                <w:color w:val="000000"/>
                <w:sz w:val="24"/>
                <w:szCs w:val="24"/>
                <w:lang w:eastAsia="ru-RU"/>
              </w:rPr>
              <w:t>-7,84</w:t>
            </w:r>
          </w:p>
        </w:tc>
      </w:tr>
      <w:tr w:rsidR="006B6A3E" w:rsidRPr="00691330" w:rsidTr="006E3A91">
        <w:trPr>
          <w:trHeight w:val="315"/>
        </w:trPr>
        <w:tc>
          <w:tcPr>
            <w:tcW w:w="2419" w:type="dxa"/>
            <w:shd w:val="clear" w:color="auto" w:fill="auto"/>
            <w:hideMark/>
          </w:tcPr>
          <w:p w:rsidR="006B6A3E" w:rsidRPr="00691330" w:rsidRDefault="006B6A3E" w:rsidP="00691330">
            <w:pPr>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Рівненська</w:t>
            </w:r>
          </w:p>
        </w:tc>
        <w:tc>
          <w:tcPr>
            <w:tcW w:w="876" w:type="dxa"/>
            <w:shd w:val="clear" w:color="auto" w:fill="auto"/>
            <w:hideMark/>
          </w:tcPr>
          <w:p w:rsidR="006B6A3E" w:rsidRPr="00691330" w:rsidRDefault="006B6A3E" w:rsidP="00691330">
            <w:pPr>
              <w:spacing w:line="276" w:lineRule="auto"/>
              <w:jc w:val="center"/>
              <w:rPr>
                <w:rFonts w:eastAsia="Times New Roman"/>
                <w:sz w:val="24"/>
                <w:szCs w:val="24"/>
                <w:lang w:eastAsia="ru-RU"/>
              </w:rPr>
            </w:pPr>
            <w:r w:rsidRPr="00691330">
              <w:rPr>
                <w:rFonts w:eastAsia="Times New Roman"/>
                <w:sz w:val="24"/>
                <w:szCs w:val="24"/>
                <w:lang w:eastAsia="ru-RU"/>
              </w:rPr>
              <w:t>272</w:t>
            </w:r>
          </w:p>
        </w:tc>
        <w:tc>
          <w:tcPr>
            <w:tcW w:w="969" w:type="dxa"/>
          </w:tcPr>
          <w:p w:rsidR="006B6A3E" w:rsidRPr="00691330" w:rsidRDefault="006B6A3E" w:rsidP="00691330">
            <w:pPr>
              <w:spacing w:line="276" w:lineRule="auto"/>
              <w:jc w:val="center"/>
              <w:rPr>
                <w:rFonts w:eastAsia="Times New Roman"/>
                <w:color w:val="000000"/>
                <w:sz w:val="24"/>
                <w:szCs w:val="24"/>
                <w:lang w:eastAsia="ru-RU"/>
              </w:rPr>
            </w:pPr>
            <w:r w:rsidRPr="00691330">
              <w:rPr>
                <w:rFonts w:eastAsia="Times New Roman"/>
                <w:color w:val="000000"/>
                <w:sz w:val="24"/>
                <w:szCs w:val="24"/>
                <w:lang w:eastAsia="ru-RU"/>
              </w:rPr>
              <w:t>247</w:t>
            </w:r>
          </w:p>
        </w:tc>
        <w:tc>
          <w:tcPr>
            <w:tcW w:w="1967" w:type="dxa"/>
            <w:shd w:val="clear" w:color="auto" w:fill="auto"/>
          </w:tcPr>
          <w:p w:rsidR="006B6A3E" w:rsidRPr="00691330" w:rsidRDefault="006B6A3E" w:rsidP="00691330">
            <w:pPr>
              <w:spacing w:line="276" w:lineRule="auto"/>
              <w:jc w:val="center"/>
              <w:rPr>
                <w:rFonts w:eastAsia="Times New Roman"/>
                <w:bCs/>
                <w:color w:val="000000"/>
                <w:sz w:val="24"/>
                <w:szCs w:val="24"/>
                <w:lang w:eastAsia="ru-RU"/>
              </w:rPr>
            </w:pPr>
            <w:r w:rsidRPr="00691330">
              <w:rPr>
                <w:rFonts w:eastAsia="Times New Roman"/>
                <w:bCs/>
                <w:color w:val="000000"/>
                <w:sz w:val="24"/>
                <w:szCs w:val="24"/>
                <w:lang w:eastAsia="ru-RU"/>
              </w:rPr>
              <w:t>-9,19</w:t>
            </w:r>
          </w:p>
        </w:tc>
        <w:tc>
          <w:tcPr>
            <w:tcW w:w="1100" w:type="dxa"/>
            <w:shd w:val="clear" w:color="auto" w:fill="auto"/>
          </w:tcPr>
          <w:p w:rsidR="006B6A3E" w:rsidRPr="00691330" w:rsidRDefault="006B6A3E" w:rsidP="00691330">
            <w:pPr>
              <w:spacing w:line="276" w:lineRule="auto"/>
              <w:jc w:val="center"/>
              <w:rPr>
                <w:rFonts w:eastAsia="Times New Roman"/>
                <w:sz w:val="24"/>
                <w:szCs w:val="24"/>
                <w:lang w:eastAsia="ru-RU"/>
              </w:rPr>
            </w:pPr>
            <w:r w:rsidRPr="00691330">
              <w:rPr>
                <w:rFonts w:eastAsia="Times New Roman"/>
                <w:sz w:val="24"/>
                <w:szCs w:val="24"/>
                <w:lang w:eastAsia="ru-RU"/>
              </w:rPr>
              <w:t>0,99</w:t>
            </w:r>
          </w:p>
        </w:tc>
        <w:tc>
          <w:tcPr>
            <w:tcW w:w="1024" w:type="dxa"/>
            <w:shd w:val="clear" w:color="auto" w:fill="auto"/>
            <w:hideMark/>
          </w:tcPr>
          <w:p w:rsidR="006B6A3E" w:rsidRPr="00691330" w:rsidRDefault="006B6A3E" w:rsidP="00691330">
            <w:pPr>
              <w:spacing w:line="276" w:lineRule="auto"/>
              <w:jc w:val="center"/>
              <w:rPr>
                <w:rFonts w:eastAsia="Times New Roman"/>
                <w:color w:val="000000"/>
                <w:sz w:val="24"/>
                <w:szCs w:val="24"/>
                <w:lang w:eastAsia="ru-RU"/>
              </w:rPr>
            </w:pPr>
            <w:r w:rsidRPr="00691330">
              <w:rPr>
                <w:rFonts w:eastAsia="Times New Roman"/>
                <w:color w:val="000000"/>
                <w:sz w:val="24"/>
                <w:szCs w:val="24"/>
                <w:lang w:eastAsia="ru-RU"/>
              </w:rPr>
              <w:t>0,89</w:t>
            </w:r>
          </w:p>
        </w:tc>
        <w:tc>
          <w:tcPr>
            <w:tcW w:w="0" w:type="auto"/>
            <w:shd w:val="clear" w:color="auto" w:fill="auto"/>
          </w:tcPr>
          <w:p w:rsidR="006B6A3E" w:rsidRPr="00691330" w:rsidRDefault="006B6A3E" w:rsidP="00691330">
            <w:pPr>
              <w:spacing w:line="276" w:lineRule="auto"/>
              <w:jc w:val="center"/>
              <w:rPr>
                <w:rFonts w:eastAsia="Times New Roman"/>
                <w:bCs/>
                <w:color w:val="000000"/>
                <w:sz w:val="24"/>
                <w:szCs w:val="24"/>
                <w:lang w:eastAsia="ru-RU"/>
              </w:rPr>
            </w:pPr>
            <w:r w:rsidRPr="00691330">
              <w:rPr>
                <w:rFonts w:eastAsia="Times New Roman"/>
                <w:bCs/>
                <w:color w:val="000000"/>
                <w:sz w:val="24"/>
                <w:szCs w:val="24"/>
                <w:lang w:eastAsia="ru-RU"/>
              </w:rPr>
              <w:t>-10,10</w:t>
            </w:r>
          </w:p>
        </w:tc>
      </w:tr>
      <w:tr w:rsidR="006B6A3E" w:rsidRPr="00691330" w:rsidTr="006E3A91">
        <w:trPr>
          <w:trHeight w:val="315"/>
        </w:trPr>
        <w:tc>
          <w:tcPr>
            <w:tcW w:w="2419" w:type="dxa"/>
            <w:shd w:val="clear" w:color="auto" w:fill="auto"/>
            <w:hideMark/>
          </w:tcPr>
          <w:p w:rsidR="006B6A3E" w:rsidRPr="00691330" w:rsidRDefault="006B6A3E" w:rsidP="00691330">
            <w:pPr>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Сумська</w:t>
            </w:r>
          </w:p>
        </w:tc>
        <w:tc>
          <w:tcPr>
            <w:tcW w:w="876" w:type="dxa"/>
            <w:shd w:val="clear" w:color="auto" w:fill="auto"/>
            <w:hideMark/>
          </w:tcPr>
          <w:p w:rsidR="006B6A3E" w:rsidRPr="00691330" w:rsidRDefault="006B6A3E" w:rsidP="00691330">
            <w:pPr>
              <w:spacing w:line="276" w:lineRule="auto"/>
              <w:jc w:val="center"/>
              <w:rPr>
                <w:rFonts w:eastAsia="Times New Roman"/>
                <w:sz w:val="24"/>
                <w:szCs w:val="24"/>
                <w:lang w:eastAsia="ru-RU"/>
              </w:rPr>
            </w:pPr>
            <w:r w:rsidRPr="00691330">
              <w:rPr>
                <w:rFonts w:eastAsia="Times New Roman"/>
                <w:sz w:val="24"/>
                <w:szCs w:val="24"/>
                <w:lang w:eastAsia="ru-RU"/>
              </w:rPr>
              <w:t>234</w:t>
            </w:r>
          </w:p>
        </w:tc>
        <w:tc>
          <w:tcPr>
            <w:tcW w:w="969" w:type="dxa"/>
          </w:tcPr>
          <w:p w:rsidR="006B6A3E" w:rsidRPr="00691330" w:rsidRDefault="006B6A3E" w:rsidP="00691330">
            <w:pPr>
              <w:spacing w:line="276" w:lineRule="auto"/>
              <w:jc w:val="center"/>
              <w:rPr>
                <w:rFonts w:eastAsia="Times New Roman"/>
                <w:color w:val="000000"/>
                <w:sz w:val="24"/>
                <w:szCs w:val="24"/>
                <w:lang w:eastAsia="ru-RU"/>
              </w:rPr>
            </w:pPr>
            <w:r w:rsidRPr="00691330">
              <w:rPr>
                <w:rFonts w:eastAsia="Times New Roman"/>
                <w:color w:val="000000"/>
                <w:sz w:val="24"/>
                <w:szCs w:val="24"/>
                <w:lang w:eastAsia="ru-RU"/>
              </w:rPr>
              <w:t>214</w:t>
            </w:r>
          </w:p>
        </w:tc>
        <w:tc>
          <w:tcPr>
            <w:tcW w:w="1967" w:type="dxa"/>
            <w:shd w:val="clear" w:color="auto" w:fill="auto"/>
          </w:tcPr>
          <w:p w:rsidR="006B6A3E" w:rsidRPr="00691330" w:rsidRDefault="006B6A3E" w:rsidP="00691330">
            <w:pPr>
              <w:spacing w:line="276" w:lineRule="auto"/>
              <w:jc w:val="center"/>
              <w:rPr>
                <w:rFonts w:eastAsia="Times New Roman"/>
                <w:bCs/>
                <w:color w:val="000000"/>
                <w:sz w:val="24"/>
                <w:szCs w:val="24"/>
                <w:lang w:eastAsia="ru-RU"/>
              </w:rPr>
            </w:pPr>
            <w:r w:rsidRPr="00691330">
              <w:rPr>
                <w:rFonts w:eastAsia="Times New Roman"/>
                <w:bCs/>
                <w:color w:val="000000"/>
                <w:sz w:val="24"/>
                <w:szCs w:val="24"/>
                <w:lang w:eastAsia="ru-RU"/>
              </w:rPr>
              <w:t>-8,55</w:t>
            </w:r>
          </w:p>
        </w:tc>
        <w:tc>
          <w:tcPr>
            <w:tcW w:w="1100" w:type="dxa"/>
            <w:shd w:val="clear" w:color="auto" w:fill="auto"/>
          </w:tcPr>
          <w:p w:rsidR="006B6A3E" w:rsidRPr="00691330" w:rsidRDefault="006B6A3E" w:rsidP="00691330">
            <w:pPr>
              <w:spacing w:line="276" w:lineRule="auto"/>
              <w:jc w:val="center"/>
              <w:rPr>
                <w:rFonts w:eastAsia="Times New Roman"/>
                <w:sz w:val="24"/>
                <w:szCs w:val="24"/>
                <w:lang w:eastAsia="ru-RU"/>
              </w:rPr>
            </w:pPr>
            <w:r w:rsidRPr="00691330">
              <w:rPr>
                <w:rFonts w:eastAsia="Times New Roman"/>
                <w:sz w:val="24"/>
                <w:szCs w:val="24"/>
                <w:lang w:eastAsia="ru-RU"/>
              </w:rPr>
              <w:t>1,33</w:t>
            </w:r>
          </w:p>
        </w:tc>
        <w:tc>
          <w:tcPr>
            <w:tcW w:w="1024" w:type="dxa"/>
            <w:shd w:val="clear" w:color="auto" w:fill="auto"/>
            <w:hideMark/>
          </w:tcPr>
          <w:p w:rsidR="006B6A3E" w:rsidRPr="00691330" w:rsidRDefault="006B6A3E" w:rsidP="00691330">
            <w:pPr>
              <w:spacing w:line="276" w:lineRule="auto"/>
              <w:jc w:val="center"/>
              <w:rPr>
                <w:rFonts w:eastAsia="Times New Roman"/>
                <w:color w:val="000000"/>
                <w:sz w:val="24"/>
                <w:szCs w:val="24"/>
                <w:lang w:eastAsia="ru-RU"/>
              </w:rPr>
            </w:pPr>
            <w:r w:rsidRPr="00691330">
              <w:rPr>
                <w:rFonts w:eastAsia="Times New Roman"/>
                <w:color w:val="000000"/>
                <w:sz w:val="24"/>
                <w:szCs w:val="24"/>
                <w:lang w:eastAsia="ru-RU"/>
              </w:rPr>
              <w:t>1,25</w:t>
            </w:r>
          </w:p>
        </w:tc>
        <w:tc>
          <w:tcPr>
            <w:tcW w:w="0" w:type="auto"/>
            <w:shd w:val="clear" w:color="auto" w:fill="auto"/>
          </w:tcPr>
          <w:p w:rsidR="006B6A3E" w:rsidRPr="00691330" w:rsidRDefault="006B6A3E" w:rsidP="00691330">
            <w:pPr>
              <w:spacing w:line="276" w:lineRule="auto"/>
              <w:jc w:val="center"/>
              <w:rPr>
                <w:rFonts w:eastAsia="Times New Roman"/>
                <w:bCs/>
                <w:color w:val="000000"/>
                <w:sz w:val="24"/>
                <w:szCs w:val="24"/>
                <w:lang w:eastAsia="ru-RU"/>
              </w:rPr>
            </w:pPr>
            <w:r w:rsidRPr="00691330">
              <w:rPr>
                <w:rFonts w:eastAsia="Times New Roman"/>
                <w:bCs/>
                <w:color w:val="000000"/>
                <w:sz w:val="24"/>
                <w:szCs w:val="24"/>
                <w:lang w:eastAsia="ru-RU"/>
              </w:rPr>
              <w:t>-6,02</w:t>
            </w:r>
          </w:p>
        </w:tc>
      </w:tr>
      <w:tr w:rsidR="006B6A3E" w:rsidRPr="00691330" w:rsidTr="006E3A91">
        <w:trPr>
          <w:trHeight w:val="315"/>
        </w:trPr>
        <w:tc>
          <w:tcPr>
            <w:tcW w:w="2419" w:type="dxa"/>
            <w:shd w:val="clear" w:color="auto" w:fill="auto"/>
            <w:hideMark/>
          </w:tcPr>
          <w:p w:rsidR="006B6A3E" w:rsidRPr="00691330" w:rsidRDefault="006B6A3E" w:rsidP="00691330">
            <w:pPr>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Тернопільська</w:t>
            </w:r>
          </w:p>
        </w:tc>
        <w:tc>
          <w:tcPr>
            <w:tcW w:w="876" w:type="dxa"/>
            <w:shd w:val="clear" w:color="auto" w:fill="auto"/>
            <w:hideMark/>
          </w:tcPr>
          <w:p w:rsidR="006B6A3E" w:rsidRPr="00691330" w:rsidRDefault="006B6A3E" w:rsidP="00691330">
            <w:pPr>
              <w:spacing w:line="276" w:lineRule="auto"/>
              <w:jc w:val="center"/>
              <w:rPr>
                <w:rFonts w:eastAsia="Times New Roman"/>
                <w:sz w:val="24"/>
                <w:szCs w:val="24"/>
                <w:lang w:eastAsia="ru-RU"/>
              </w:rPr>
            </w:pPr>
            <w:r w:rsidRPr="00691330">
              <w:rPr>
                <w:rFonts w:eastAsia="Times New Roman"/>
                <w:sz w:val="24"/>
                <w:szCs w:val="24"/>
                <w:lang w:eastAsia="ru-RU"/>
              </w:rPr>
              <w:t>293</w:t>
            </w:r>
          </w:p>
        </w:tc>
        <w:tc>
          <w:tcPr>
            <w:tcW w:w="969" w:type="dxa"/>
          </w:tcPr>
          <w:p w:rsidR="006B6A3E" w:rsidRPr="00691330" w:rsidRDefault="006B6A3E" w:rsidP="00691330">
            <w:pPr>
              <w:spacing w:line="276" w:lineRule="auto"/>
              <w:jc w:val="center"/>
              <w:rPr>
                <w:rFonts w:eastAsia="Times New Roman"/>
                <w:color w:val="000000"/>
                <w:sz w:val="24"/>
                <w:szCs w:val="24"/>
                <w:lang w:eastAsia="ru-RU"/>
              </w:rPr>
            </w:pPr>
            <w:r w:rsidRPr="00691330">
              <w:rPr>
                <w:rFonts w:eastAsia="Times New Roman"/>
                <w:color w:val="000000"/>
                <w:sz w:val="24"/>
                <w:szCs w:val="24"/>
                <w:lang w:eastAsia="ru-RU"/>
              </w:rPr>
              <w:t>280</w:t>
            </w:r>
          </w:p>
        </w:tc>
        <w:tc>
          <w:tcPr>
            <w:tcW w:w="1967" w:type="dxa"/>
            <w:shd w:val="clear" w:color="auto" w:fill="auto"/>
          </w:tcPr>
          <w:p w:rsidR="006B6A3E" w:rsidRPr="00691330" w:rsidRDefault="006B6A3E" w:rsidP="00691330">
            <w:pPr>
              <w:spacing w:line="276" w:lineRule="auto"/>
              <w:jc w:val="center"/>
              <w:rPr>
                <w:rFonts w:eastAsia="Times New Roman"/>
                <w:bCs/>
                <w:color w:val="000000"/>
                <w:sz w:val="24"/>
                <w:szCs w:val="24"/>
                <w:lang w:eastAsia="ru-RU"/>
              </w:rPr>
            </w:pPr>
            <w:r w:rsidRPr="00691330">
              <w:rPr>
                <w:rFonts w:eastAsia="Times New Roman"/>
                <w:bCs/>
                <w:color w:val="000000"/>
                <w:sz w:val="24"/>
                <w:szCs w:val="24"/>
                <w:lang w:eastAsia="ru-RU"/>
              </w:rPr>
              <w:t>-4,44</w:t>
            </w:r>
          </w:p>
        </w:tc>
        <w:tc>
          <w:tcPr>
            <w:tcW w:w="1100" w:type="dxa"/>
            <w:shd w:val="clear" w:color="auto" w:fill="auto"/>
          </w:tcPr>
          <w:p w:rsidR="006B6A3E" w:rsidRPr="00691330" w:rsidRDefault="006B6A3E" w:rsidP="00691330">
            <w:pPr>
              <w:spacing w:line="276" w:lineRule="auto"/>
              <w:jc w:val="center"/>
              <w:rPr>
                <w:rFonts w:eastAsia="Times New Roman"/>
                <w:sz w:val="24"/>
                <w:szCs w:val="24"/>
                <w:lang w:eastAsia="ru-RU"/>
              </w:rPr>
            </w:pPr>
            <w:r w:rsidRPr="00691330">
              <w:rPr>
                <w:rFonts w:eastAsia="Times New Roman"/>
                <w:sz w:val="24"/>
                <w:szCs w:val="24"/>
                <w:lang w:eastAsia="ru-RU"/>
              </w:rPr>
              <w:t>1,43</w:t>
            </w:r>
          </w:p>
        </w:tc>
        <w:tc>
          <w:tcPr>
            <w:tcW w:w="1024" w:type="dxa"/>
            <w:shd w:val="clear" w:color="auto" w:fill="auto"/>
            <w:hideMark/>
          </w:tcPr>
          <w:p w:rsidR="006B6A3E" w:rsidRPr="00691330" w:rsidRDefault="006B6A3E" w:rsidP="00691330">
            <w:pPr>
              <w:spacing w:line="276" w:lineRule="auto"/>
              <w:jc w:val="center"/>
              <w:rPr>
                <w:rFonts w:eastAsia="Times New Roman"/>
                <w:color w:val="000000"/>
                <w:sz w:val="24"/>
                <w:szCs w:val="24"/>
                <w:lang w:eastAsia="ru-RU"/>
              </w:rPr>
            </w:pPr>
            <w:r w:rsidRPr="00691330">
              <w:rPr>
                <w:rFonts w:eastAsia="Times New Roman"/>
                <w:color w:val="000000"/>
                <w:sz w:val="24"/>
                <w:szCs w:val="24"/>
                <w:lang w:eastAsia="ru-RU"/>
              </w:rPr>
              <w:t>1,42</w:t>
            </w:r>
          </w:p>
        </w:tc>
        <w:tc>
          <w:tcPr>
            <w:tcW w:w="0" w:type="auto"/>
            <w:shd w:val="clear" w:color="auto" w:fill="auto"/>
          </w:tcPr>
          <w:p w:rsidR="006B6A3E" w:rsidRPr="00691330" w:rsidRDefault="006B6A3E" w:rsidP="00691330">
            <w:pPr>
              <w:spacing w:line="276" w:lineRule="auto"/>
              <w:jc w:val="center"/>
              <w:rPr>
                <w:rFonts w:eastAsia="Times New Roman"/>
                <w:bCs/>
                <w:color w:val="000000"/>
                <w:sz w:val="24"/>
                <w:szCs w:val="24"/>
                <w:lang w:eastAsia="ru-RU"/>
              </w:rPr>
            </w:pPr>
            <w:r w:rsidRPr="00691330">
              <w:rPr>
                <w:rFonts w:eastAsia="Times New Roman"/>
                <w:bCs/>
                <w:color w:val="000000"/>
                <w:sz w:val="24"/>
                <w:szCs w:val="24"/>
                <w:lang w:eastAsia="ru-RU"/>
              </w:rPr>
              <w:t>-0,70</w:t>
            </w:r>
          </w:p>
        </w:tc>
      </w:tr>
      <w:tr w:rsidR="006B6A3E" w:rsidRPr="00691330" w:rsidTr="006E3A91">
        <w:trPr>
          <w:trHeight w:val="315"/>
        </w:trPr>
        <w:tc>
          <w:tcPr>
            <w:tcW w:w="2419" w:type="dxa"/>
            <w:shd w:val="clear" w:color="auto" w:fill="auto"/>
            <w:hideMark/>
          </w:tcPr>
          <w:p w:rsidR="006B6A3E" w:rsidRPr="00691330" w:rsidRDefault="006B6A3E" w:rsidP="00691330">
            <w:pPr>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Харківська</w:t>
            </w:r>
          </w:p>
        </w:tc>
        <w:tc>
          <w:tcPr>
            <w:tcW w:w="876" w:type="dxa"/>
            <w:shd w:val="clear" w:color="auto" w:fill="auto"/>
            <w:hideMark/>
          </w:tcPr>
          <w:p w:rsidR="006B6A3E" w:rsidRPr="00691330" w:rsidRDefault="006B6A3E" w:rsidP="00691330">
            <w:pPr>
              <w:spacing w:line="276" w:lineRule="auto"/>
              <w:jc w:val="center"/>
              <w:rPr>
                <w:rFonts w:eastAsia="Times New Roman"/>
                <w:sz w:val="24"/>
                <w:szCs w:val="24"/>
                <w:lang w:eastAsia="ru-RU"/>
              </w:rPr>
            </w:pPr>
            <w:r w:rsidRPr="00691330">
              <w:rPr>
                <w:rFonts w:eastAsia="Times New Roman"/>
                <w:sz w:val="24"/>
                <w:szCs w:val="24"/>
                <w:lang w:eastAsia="ru-RU"/>
              </w:rPr>
              <w:t>743</w:t>
            </w:r>
          </w:p>
        </w:tc>
        <w:tc>
          <w:tcPr>
            <w:tcW w:w="969" w:type="dxa"/>
          </w:tcPr>
          <w:p w:rsidR="006B6A3E" w:rsidRPr="00691330" w:rsidRDefault="006B6A3E" w:rsidP="00691330">
            <w:pPr>
              <w:spacing w:line="276" w:lineRule="auto"/>
              <w:jc w:val="center"/>
              <w:rPr>
                <w:rFonts w:eastAsia="Times New Roman"/>
                <w:color w:val="000000"/>
                <w:sz w:val="24"/>
                <w:szCs w:val="24"/>
                <w:lang w:eastAsia="ru-RU"/>
              </w:rPr>
            </w:pPr>
            <w:r w:rsidRPr="00691330">
              <w:rPr>
                <w:rFonts w:eastAsia="Times New Roman"/>
                <w:color w:val="000000"/>
                <w:sz w:val="24"/>
                <w:szCs w:val="24"/>
                <w:lang w:eastAsia="ru-RU"/>
              </w:rPr>
              <w:t>636</w:t>
            </w:r>
          </w:p>
        </w:tc>
        <w:tc>
          <w:tcPr>
            <w:tcW w:w="1967" w:type="dxa"/>
            <w:shd w:val="clear" w:color="auto" w:fill="auto"/>
          </w:tcPr>
          <w:p w:rsidR="006B6A3E" w:rsidRPr="00691330" w:rsidRDefault="006B6A3E" w:rsidP="00691330">
            <w:pPr>
              <w:spacing w:line="276" w:lineRule="auto"/>
              <w:jc w:val="center"/>
              <w:rPr>
                <w:rFonts w:eastAsia="Times New Roman"/>
                <w:bCs/>
                <w:color w:val="000000"/>
                <w:sz w:val="24"/>
                <w:szCs w:val="24"/>
                <w:lang w:eastAsia="ru-RU"/>
              </w:rPr>
            </w:pPr>
            <w:r w:rsidRPr="00691330">
              <w:rPr>
                <w:rFonts w:eastAsia="Times New Roman"/>
                <w:bCs/>
                <w:color w:val="000000"/>
                <w:sz w:val="24"/>
                <w:szCs w:val="24"/>
                <w:lang w:eastAsia="ru-RU"/>
              </w:rPr>
              <w:t>-14,40</w:t>
            </w:r>
          </w:p>
        </w:tc>
        <w:tc>
          <w:tcPr>
            <w:tcW w:w="1100" w:type="dxa"/>
            <w:shd w:val="clear" w:color="auto" w:fill="auto"/>
          </w:tcPr>
          <w:p w:rsidR="006B6A3E" w:rsidRPr="00691330" w:rsidRDefault="006B6A3E" w:rsidP="00691330">
            <w:pPr>
              <w:spacing w:line="276" w:lineRule="auto"/>
              <w:jc w:val="center"/>
              <w:rPr>
                <w:rFonts w:eastAsia="Times New Roman"/>
                <w:sz w:val="24"/>
                <w:szCs w:val="24"/>
                <w:lang w:eastAsia="ru-RU"/>
              </w:rPr>
            </w:pPr>
            <w:r w:rsidRPr="00691330">
              <w:rPr>
                <w:rFonts w:eastAsia="Times New Roman"/>
                <w:sz w:val="24"/>
                <w:szCs w:val="24"/>
                <w:lang w:eastAsia="ru-RU"/>
              </w:rPr>
              <w:t>1,77</w:t>
            </w:r>
          </w:p>
        </w:tc>
        <w:tc>
          <w:tcPr>
            <w:tcW w:w="1024" w:type="dxa"/>
            <w:shd w:val="clear" w:color="auto" w:fill="auto"/>
            <w:hideMark/>
          </w:tcPr>
          <w:p w:rsidR="006B6A3E" w:rsidRPr="00691330" w:rsidRDefault="006B6A3E" w:rsidP="00691330">
            <w:pPr>
              <w:spacing w:line="276" w:lineRule="auto"/>
              <w:jc w:val="center"/>
              <w:rPr>
                <w:rFonts w:eastAsia="Times New Roman"/>
                <w:color w:val="000000"/>
                <w:sz w:val="24"/>
                <w:szCs w:val="24"/>
                <w:lang w:eastAsia="ru-RU"/>
              </w:rPr>
            </w:pPr>
            <w:r w:rsidRPr="00691330">
              <w:rPr>
                <w:rFonts w:eastAsia="Times New Roman"/>
                <w:color w:val="000000"/>
                <w:sz w:val="24"/>
                <w:szCs w:val="24"/>
                <w:lang w:eastAsia="ru-RU"/>
              </w:rPr>
              <w:t>1,47</w:t>
            </w:r>
          </w:p>
        </w:tc>
        <w:tc>
          <w:tcPr>
            <w:tcW w:w="0" w:type="auto"/>
            <w:shd w:val="clear" w:color="auto" w:fill="auto"/>
          </w:tcPr>
          <w:p w:rsidR="006B6A3E" w:rsidRPr="00691330" w:rsidRDefault="006B6A3E" w:rsidP="00691330">
            <w:pPr>
              <w:spacing w:line="276" w:lineRule="auto"/>
              <w:jc w:val="center"/>
              <w:rPr>
                <w:rFonts w:eastAsia="Times New Roman"/>
                <w:bCs/>
                <w:color w:val="000000"/>
                <w:sz w:val="24"/>
                <w:szCs w:val="24"/>
                <w:lang w:eastAsia="ru-RU"/>
              </w:rPr>
            </w:pPr>
            <w:r w:rsidRPr="00691330">
              <w:rPr>
                <w:rFonts w:eastAsia="Times New Roman"/>
                <w:bCs/>
                <w:color w:val="000000"/>
                <w:sz w:val="24"/>
                <w:szCs w:val="24"/>
                <w:lang w:eastAsia="ru-RU"/>
              </w:rPr>
              <w:t>-16,95</w:t>
            </w:r>
          </w:p>
        </w:tc>
      </w:tr>
      <w:tr w:rsidR="006B6A3E" w:rsidRPr="00691330" w:rsidTr="006E3A91">
        <w:trPr>
          <w:trHeight w:val="315"/>
        </w:trPr>
        <w:tc>
          <w:tcPr>
            <w:tcW w:w="2419" w:type="dxa"/>
            <w:shd w:val="clear" w:color="auto" w:fill="auto"/>
            <w:hideMark/>
          </w:tcPr>
          <w:p w:rsidR="006B6A3E" w:rsidRPr="00691330" w:rsidRDefault="006B6A3E" w:rsidP="00691330">
            <w:pPr>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Херсонська</w:t>
            </w:r>
          </w:p>
        </w:tc>
        <w:tc>
          <w:tcPr>
            <w:tcW w:w="876" w:type="dxa"/>
            <w:shd w:val="clear" w:color="auto" w:fill="auto"/>
            <w:hideMark/>
          </w:tcPr>
          <w:p w:rsidR="006B6A3E" w:rsidRPr="00691330" w:rsidRDefault="006B6A3E" w:rsidP="00691330">
            <w:pPr>
              <w:spacing w:line="276" w:lineRule="auto"/>
              <w:jc w:val="center"/>
              <w:rPr>
                <w:rFonts w:eastAsia="Times New Roman"/>
                <w:sz w:val="24"/>
                <w:szCs w:val="24"/>
                <w:lang w:eastAsia="ru-RU"/>
              </w:rPr>
            </w:pPr>
            <w:r w:rsidRPr="00691330">
              <w:rPr>
                <w:rFonts w:eastAsia="Times New Roman"/>
                <w:sz w:val="24"/>
                <w:szCs w:val="24"/>
                <w:lang w:eastAsia="ru-RU"/>
              </w:rPr>
              <w:t>243</w:t>
            </w:r>
          </w:p>
        </w:tc>
        <w:tc>
          <w:tcPr>
            <w:tcW w:w="969" w:type="dxa"/>
          </w:tcPr>
          <w:p w:rsidR="006B6A3E" w:rsidRPr="00691330" w:rsidRDefault="006B6A3E" w:rsidP="00691330">
            <w:pPr>
              <w:spacing w:line="276" w:lineRule="auto"/>
              <w:jc w:val="center"/>
              <w:rPr>
                <w:rFonts w:eastAsia="Times New Roman"/>
                <w:color w:val="000000"/>
                <w:sz w:val="24"/>
                <w:szCs w:val="24"/>
                <w:lang w:eastAsia="ru-RU"/>
              </w:rPr>
            </w:pPr>
            <w:r w:rsidRPr="00691330">
              <w:rPr>
                <w:rFonts w:eastAsia="Times New Roman"/>
                <w:color w:val="000000"/>
                <w:sz w:val="24"/>
                <w:szCs w:val="24"/>
                <w:lang w:eastAsia="ru-RU"/>
              </w:rPr>
              <w:t>226</w:t>
            </w:r>
          </w:p>
        </w:tc>
        <w:tc>
          <w:tcPr>
            <w:tcW w:w="1967" w:type="dxa"/>
            <w:shd w:val="clear" w:color="auto" w:fill="auto"/>
          </w:tcPr>
          <w:p w:rsidR="006B6A3E" w:rsidRPr="00691330" w:rsidRDefault="006B6A3E" w:rsidP="00691330">
            <w:pPr>
              <w:spacing w:line="276" w:lineRule="auto"/>
              <w:jc w:val="center"/>
              <w:rPr>
                <w:rFonts w:eastAsia="Times New Roman"/>
                <w:bCs/>
                <w:color w:val="000000"/>
                <w:sz w:val="24"/>
                <w:szCs w:val="24"/>
                <w:lang w:eastAsia="ru-RU"/>
              </w:rPr>
            </w:pPr>
            <w:r w:rsidRPr="00691330">
              <w:rPr>
                <w:rFonts w:eastAsia="Times New Roman"/>
                <w:bCs/>
                <w:color w:val="000000"/>
                <w:sz w:val="24"/>
                <w:szCs w:val="24"/>
                <w:lang w:eastAsia="ru-RU"/>
              </w:rPr>
              <w:t>-7,00</w:t>
            </w:r>
          </w:p>
        </w:tc>
        <w:tc>
          <w:tcPr>
            <w:tcW w:w="1100" w:type="dxa"/>
            <w:shd w:val="clear" w:color="auto" w:fill="auto"/>
          </w:tcPr>
          <w:p w:rsidR="006B6A3E" w:rsidRPr="00691330" w:rsidRDefault="006B6A3E" w:rsidP="00691330">
            <w:pPr>
              <w:spacing w:line="276" w:lineRule="auto"/>
              <w:jc w:val="center"/>
              <w:rPr>
                <w:rFonts w:eastAsia="Times New Roman"/>
                <w:sz w:val="24"/>
                <w:szCs w:val="24"/>
                <w:lang w:eastAsia="ru-RU"/>
              </w:rPr>
            </w:pPr>
            <w:r w:rsidRPr="00691330">
              <w:rPr>
                <w:rFonts w:eastAsia="Times New Roman"/>
                <w:sz w:val="24"/>
                <w:szCs w:val="24"/>
                <w:lang w:eastAsia="ru-RU"/>
              </w:rPr>
              <w:t>1,24</w:t>
            </w:r>
          </w:p>
        </w:tc>
        <w:tc>
          <w:tcPr>
            <w:tcW w:w="1024" w:type="dxa"/>
            <w:shd w:val="clear" w:color="auto" w:fill="auto"/>
            <w:hideMark/>
          </w:tcPr>
          <w:p w:rsidR="006B6A3E" w:rsidRPr="00691330" w:rsidRDefault="006B6A3E" w:rsidP="00691330">
            <w:pPr>
              <w:spacing w:line="276" w:lineRule="auto"/>
              <w:jc w:val="center"/>
              <w:rPr>
                <w:rFonts w:eastAsia="Times New Roman"/>
                <w:color w:val="000000"/>
                <w:sz w:val="24"/>
                <w:szCs w:val="24"/>
                <w:lang w:eastAsia="ru-RU"/>
              </w:rPr>
            </w:pPr>
            <w:r w:rsidRPr="00691330">
              <w:rPr>
                <w:rFonts w:eastAsia="Times New Roman"/>
                <w:color w:val="000000"/>
                <w:sz w:val="24"/>
                <w:szCs w:val="24"/>
                <w:lang w:eastAsia="ru-RU"/>
              </w:rPr>
              <w:t>1,14</w:t>
            </w:r>
          </w:p>
        </w:tc>
        <w:tc>
          <w:tcPr>
            <w:tcW w:w="0" w:type="auto"/>
            <w:shd w:val="clear" w:color="auto" w:fill="auto"/>
          </w:tcPr>
          <w:p w:rsidR="006B6A3E" w:rsidRPr="00691330" w:rsidRDefault="006B6A3E" w:rsidP="00691330">
            <w:pPr>
              <w:spacing w:line="276" w:lineRule="auto"/>
              <w:jc w:val="center"/>
              <w:rPr>
                <w:rFonts w:eastAsia="Times New Roman"/>
                <w:bCs/>
                <w:color w:val="000000"/>
                <w:sz w:val="24"/>
                <w:szCs w:val="24"/>
                <w:lang w:eastAsia="ru-RU"/>
              </w:rPr>
            </w:pPr>
            <w:r w:rsidRPr="00691330">
              <w:rPr>
                <w:rFonts w:eastAsia="Times New Roman"/>
                <w:bCs/>
                <w:color w:val="000000"/>
                <w:sz w:val="24"/>
                <w:szCs w:val="24"/>
                <w:lang w:eastAsia="ru-RU"/>
              </w:rPr>
              <w:t>-8,06</w:t>
            </w:r>
          </w:p>
        </w:tc>
      </w:tr>
      <w:tr w:rsidR="006B6A3E" w:rsidRPr="00691330" w:rsidTr="006E3A91">
        <w:trPr>
          <w:trHeight w:val="315"/>
        </w:trPr>
        <w:tc>
          <w:tcPr>
            <w:tcW w:w="2419" w:type="dxa"/>
            <w:shd w:val="clear" w:color="auto" w:fill="auto"/>
            <w:hideMark/>
          </w:tcPr>
          <w:p w:rsidR="006B6A3E" w:rsidRPr="00691330" w:rsidRDefault="006B6A3E" w:rsidP="00691330">
            <w:pPr>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Хмельницька</w:t>
            </w:r>
          </w:p>
        </w:tc>
        <w:tc>
          <w:tcPr>
            <w:tcW w:w="876" w:type="dxa"/>
            <w:shd w:val="clear" w:color="auto" w:fill="auto"/>
            <w:hideMark/>
          </w:tcPr>
          <w:p w:rsidR="006B6A3E" w:rsidRPr="00691330" w:rsidRDefault="006B6A3E" w:rsidP="00691330">
            <w:pPr>
              <w:spacing w:line="276" w:lineRule="auto"/>
              <w:jc w:val="center"/>
              <w:rPr>
                <w:rFonts w:eastAsia="Times New Roman"/>
                <w:sz w:val="24"/>
                <w:szCs w:val="24"/>
                <w:lang w:eastAsia="ru-RU"/>
              </w:rPr>
            </w:pPr>
            <w:r w:rsidRPr="00691330">
              <w:rPr>
                <w:rFonts w:eastAsia="Times New Roman"/>
                <w:sz w:val="24"/>
                <w:szCs w:val="24"/>
                <w:lang w:eastAsia="ru-RU"/>
              </w:rPr>
              <w:t>328</w:t>
            </w:r>
          </w:p>
        </w:tc>
        <w:tc>
          <w:tcPr>
            <w:tcW w:w="969" w:type="dxa"/>
          </w:tcPr>
          <w:p w:rsidR="006B6A3E" w:rsidRPr="00691330" w:rsidRDefault="006B6A3E" w:rsidP="00691330">
            <w:pPr>
              <w:spacing w:line="276" w:lineRule="auto"/>
              <w:jc w:val="center"/>
              <w:rPr>
                <w:rFonts w:eastAsia="Times New Roman"/>
                <w:color w:val="000000"/>
                <w:sz w:val="24"/>
                <w:szCs w:val="24"/>
                <w:lang w:eastAsia="ru-RU"/>
              </w:rPr>
            </w:pPr>
            <w:r w:rsidRPr="00691330">
              <w:rPr>
                <w:rFonts w:eastAsia="Times New Roman"/>
                <w:color w:val="000000"/>
                <w:sz w:val="24"/>
                <w:szCs w:val="24"/>
                <w:lang w:eastAsia="ru-RU"/>
              </w:rPr>
              <w:t>270</w:t>
            </w:r>
          </w:p>
        </w:tc>
        <w:tc>
          <w:tcPr>
            <w:tcW w:w="1967" w:type="dxa"/>
            <w:shd w:val="clear" w:color="auto" w:fill="auto"/>
          </w:tcPr>
          <w:p w:rsidR="006B6A3E" w:rsidRPr="00691330" w:rsidRDefault="006B6A3E" w:rsidP="00691330">
            <w:pPr>
              <w:spacing w:line="276" w:lineRule="auto"/>
              <w:jc w:val="center"/>
              <w:rPr>
                <w:rFonts w:eastAsia="Times New Roman"/>
                <w:bCs/>
                <w:color w:val="000000"/>
                <w:sz w:val="24"/>
                <w:szCs w:val="24"/>
                <w:lang w:eastAsia="ru-RU"/>
              </w:rPr>
            </w:pPr>
            <w:r w:rsidRPr="00691330">
              <w:rPr>
                <w:rFonts w:eastAsia="Times New Roman"/>
                <w:bCs/>
                <w:color w:val="000000"/>
                <w:sz w:val="24"/>
                <w:szCs w:val="24"/>
                <w:lang w:eastAsia="ru-RU"/>
              </w:rPr>
              <w:t>-17,68</w:t>
            </w:r>
          </w:p>
        </w:tc>
        <w:tc>
          <w:tcPr>
            <w:tcW w:w="1100" w:type="dxa"/>
            <w:shd w:val="clear" w:color="auto" w:fill="auto"/>
          </w:tcPr>
          <w:p w:rsidR="006B6A3E" w:rsidRPr="00691330" w:rsidRDefault="006B6A3E" w:rsidP="00691330">
            <w:pPr>
              <w:spacing w:line="276" w:lineRule="auto"/>
              <w:jc w:val="center"/>
              <w:rPr>
                <w:rFonts w:eastAsia="Times New Roman"/>
                <w:sz w:val="24"/>
                <w:szCs w:val="24"/>
                <w:lang w:eastAsia="ru-RU"/>
              </w:rPr>
            </w:pPr>
            <w:r w:rsidRPr="00691330">
              <w:rPr>
                <w:rFonts w:eastAsia="Times New Roman"/>
                <w:sz w:val="24"/>
                <w:szCs w:val="24"/>
                <w:lang w:eastAsia="ru-RU"/>
              </w:rPr>
              <w:t>1,37</w:t>
            </w:r>
          </w:p>
        </w:tc>
        <w:tc>
          <w:tcPr>
            <w:tcW w:w="1024" w:type="dxa"/>
            <w:shd w:val="clear" w:color="auto" w:fill="auto"/>
            <w:hideMark/>
          </w:tcPr>
          <w:p w:rsidR="006B6A3E" w:rsidRPr="00691330" w:rsidRDefault="006B6A3E" w:rsidP="00691330">
            <w:pPr>
              <w:spacing w:line="276" w:lineRule="auto"/>
              <w:jc w:val="center"/>
              <w:rPr>
                <w:rFonts w:eastAsia="Times New Roman"/>
                <w:color w:val="000000"/>
                <w:sz w:val="24"/>
                <w:szCs w:val="24"/>
                <w:lang w:eastAsia="ru-RU"/>
              </w:rPr>
            </w:pPr>
            <w:r w:rsidRPr="00691330">
              <w:rPr>
                <w:rFonts w:eastAsia="Times New Roman"/>
                <w:color w:val="000000"/>
                <w:sz w:val="24"/>
                <w:szCs w:val="24"/>
                <w:lang w:eastAsia="ru-RU"/>
              </w:rPr>
              <w:t>1,14</w:t>
            </w:r>
          </w:p>
        </w:tc>
        <w:tc>
          <w:tcPr>
            <w:tcW w:w="0" w:type="auto"/>
            <w:shd w:val="clear" w:color="auto" w:fill="auto"/>
          </w:tcPr>
          <w:p w:rsidR="006B6A3E" w:rsidRPr="00691330" w:rsidRDefault="006B6A3E" w:rsidP="00691330">
            <w:pPr>
              <w:spacing w:line="276" w:lineRule="auto"/>
              <w:jc w:val="center"/>
              <w:rPr>
                <w:rFonts w:eastAsia="Times New Roman"/>
                <w:bCs/>
                <w:color w:val="000000"/>
                <w:sz w:val="24"/>
                <w:szCs w:val="24"/>
                <w:lang w:eastAsia="ru-RU"/>
              </w:rPr>
            </w:pPr>
            <w:r w:rsidRPr="00691330">
              <w:rPr>
                <w:rFonts w:eastAsia="Times New Roman"/>
                <w:bCs/>
                <w:color w:val="000000"/>
                <w:sz w:val="24"/>
                <w:szCs w:val="24"/>
                <w:lang w:eastAsia="ru-RU"/>
              </w:rPr>
              <w:t>-16,79</w:t>
            </w:r>
          </w:p>
        </w:tc>
      </w:tr>
      <w:tr w:rsidR="006B6A3E" w:rsidRPr="00691330" w:rsidTr="006E3A91">
        <w:trPr>
          <w:trHeight w:val="315"/>
        </w:trPr>
        <w:tc>
          <w:tcPr>
            <w:tcW w:w="2419" w:type="dxa"/>
            <w:shd w:val="clear" w:color="auto" w:fill="auto"/>
            <w:hideMark/>
          </w:tcPr>
          <w:p w:rsidR="006B6A3E" w:rsidRPr="00691330" w:rsidRDefault="006B6A3E" w:rsidP="00691330">
            <w:pPr>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Черкаська</w:t>
            </w:r>
          </w:p>
        </w:tc>
        <w:tc>
          <w:tcPr>
            <w:tcW w:w="876" w:type="dxa"/>
            <w:shd w:val="clear" w:color="auto" w:fill="auto"/>
            <w:hideMark/>
          </w:tcPr>
          <w:p w:rsidR="006B6A3E" w:rsidRPr="00691330" w:rsidRDefault="006B6A3E" w:rsidP="00691330">
            <w:pPr>
              <w:spacing w:line="276" w:lineRule="auto"/>
              <w:jc w:val="center"/>
              <w:rPr>
                <w:rFonts w:eastAsia="Times New Roman"/>
                <w:sz w:val="24"/>
                <w:szCs w:val="24"/>
                <w:lang w:eastAsia="ru-RU"/>
              </w:rPr>
            </w:pPr>
            <w:r w:rsidRPr="00691330">
              <w:rPr>
                <w:rFonts w:eastAsia="Times New Roman"/>
                <w:sz w:val="24"/>
                <w:szCs w:val="24"/>
                <w:lang w:eastAsia="ru-RU"/>
              </w:rPr>
              <w:t>301</w:t>
            </w:r>
          </w:p>
        </w:tc>
        <w:tc>
          <w:tcPr>
            <w:tcW w:w="969" w:type="dxa"/>
          </w:tcPr>
          <w:p w:rsidR="006B6A3E" w:rsidRPr="00691330" w:rsidRDefault="006B6A3E" w:rsidP="00691330">
            <w:pPr>
              <w:spacing w:line="276" w:lineRule="auto"/>
              <w:jc w:val="center"/>
              <w:rPr>
                <w:rFonts w:eastAsia="Times New Roman"/>
                <w:color w:val="000000"/>
                <w:sz w:val="24"/>
                <w:szCs w:val="24"/>
                <w:lang w:eastAsia="ru-RU"/>
              </w:rPr>
            </w:pPr>
            <w:r w:rsidRPr="00691330">
              <w:rPr>
                <w:rFonts w:eastAsia="Times New Roman"/>
                <w:color w:val="000000"/>
                <w:sz w:val="24"/>
                <w:szCs w:val="24"/>
                <w:lang w:eastAsia="ru-RU"/>
              </w:rPr>
              <w:t>262</w:t>
            </w:r>
          </w:p>
        </w:tc>
        <w:tc>
          <w:tcPr>
            <w:tcW w:w="1967" w:type="dxa"/>
            <w:shd w:val="clear" w:color="auto" w:fill="auto"/>
          </w:tcPr>
          <w:p w:rsidR="006B6A3E" w:rsidRPr="00691330" w:rsidRDefault="006B6A3E" w:rsidP="00691330">
            <w:pPr>
              <w:spacing w:line="276" w:lineRule="auto"/>
              <w:jc w:val="center"/>
              <w:rPr>
                <w:rFonts w:eastAsia="Times New Roman"/>
                <w:bCs/>
                <w:color w:val="000000"/>
                <w:sz w:val="24"/>
                <w:szCs w:val="24"/>
                <w:lang w:eastAsia="ru-RU"/>
              </w:rPr>
            </w:pPr>
            <w:r w:rsidRPr="00691330">
              <w:rPr>
                <w:rFonts w:eastAsia="Times New Roman"/>
                <w:bCs/>
                <w:color w:val="000000"/>
                <w:sz w:val="24"/>
                <w:szCs w:val="24"/>
                <w:lang w:eastAsia="ru-RU"/>
              </w:rPr>
              <w:t>-12,96</w:t>
            </w:r>
          </w:p>
        </w:tc>
        <w:tc>
          <w:tcPr>
            <w:tcW w:w="1100" w:type="dxa"/>
            <w:shd w:val="clear" w:color="auto" w:fill="auto"/>
          </w:tcPr>
          <w:p w:rsidR="006B6A3E" w:rsidRPr="00691330" w:rsidRDefault="006B6A3E" w:rsidP="00691330">
            <w:pPr>
              <w:spacing w:line="276" w:lineRule="auto"/>
              <w:jc w:val="center"/>
              <w:rPr>
                <w:rFonts w:eastAsia="Times New Roman"/>
                <w:sz w:val="24"/>
                <w:szCs w:val="24"/>
                <w:lang w:eastAsia="ru-RU"/>
              </w:rPr>
            </w:pPr>
            <w:r w:rsidRPr="00691330">
              <w:rPr>
                <w:rFonts w:eastAsia="Times New Roman"/>
                <w:sz w:val="24"/>
                <w:szCs w:val="24"/>
                <w:lang w:eastAsia="ru-RU"/>
              </w:rPr>
              <w:t>1,45</w:t>
            </w:r>
          </w:p>
        </w:tc>
        <w:tc>
          <w:tcPr>
            <w:tcW w:w="1024" w:type="dxa"/>
            <w:shd w:val="clear" w:color="auto" w:fill="auto"/>
            <w:hideMark/>
          </w:tcPr>
          <w:p w:rsidR="006B6A3E" w:rsidRPr="00691330" w:rsidRDefault="006B6A3E" w:rsidP="00691330">
            <w:pPr>
              <w:spacing w:line="276" w:lineRule="auto"/>
              <w:jc w:val="center"/>
              <w:rPr>
                <w:rFonts w:eastAsia="Times New Roman"/>
                <w:color w:val="000000"/>
                <w:sz w:val="24"/>
                <w:szCs w:val="24"/>
                <w:lang w:eastAsia="ru-RU"/>
              </w:rPr>
            </w:pPr>
            <w:r w:rsidRPr="00691330">
              <w:rPr>
                <w:rFonts w:eastAsia="Times New Roman"/>
                <w:color w:val="000000"/>
                <w:sz w:val="24"/>
                <w:szCs w:val="24"/>
                <w:lang w:eastAsia="ru-RU"/>
              </w:rPr>
              <w:t>1,30</w:t>
            </w:r>
          </w:p>
        </w:tc>
        <w:tc>
          <w:tcPr>
            <w:tcW w:w="0" w:type="auto"/>
            <w:shd w:val="clear" w:color="auto" w:fill="auto"/>
          </w:tcPr>
          <w:p w:rsidR="006B6A3E" w:rsidRPr="00691330" w:rsidRDefault="006B6A3E" w:rsidP="00691330">
            <w:pPr>
              <w:spacing w:line="276" w:lineRule="auto"/>
              <w:jc w:val="center"/>
              <w:rPr>
                <w:rFonts w:eastAsia="Times New Roman"/>
                <w:bCs/>
                <w:color w:val="000000"/>
                <w:sz w:val="24"/>
                <w:szCs w:val="24"/>
                <w:lang w:eastAsia="ru-RU"/>
              </w:rPr>
            </w:pPr>
            <w:r w:rsidRPr="00691330">
              <w:rPr>
                <w:rFonts w:eastAsia="Times New Roman"/>
                <w:bCs/>
                <w:color w:val="000000"/>
                <w:sz w:val="24"/>
                <w:szCs w:val="24"/>
                <w:lang w:eastAsia="ru-RU"/>
              </w:rPr>
              <w:t>-10,34</w:t>
            </w:r>
          </w:p>
        </w:tc>
      </w:tr>
      <w:tr w:rsidR="006B6A3E" w:rsidRPr="00691330" w:rsidTr="006E3A91">
        <w:trPr>
          <w:trHeight w:val="315"/>
        </w:trPr>
        <w:tc>
          <w:tcPr>
            <w:tcW w:w="2419" w:type="dxa"/>
            <w:shd w:val="clear" w:color="auto" w:fill="auto"/>
            <w:hideMark/>
          </w:tcPr>
          <w:p w:rsidR="006B6A3E" w:rsidRPr="00691330" w:rsidRDefault="006B6A3E" w:rsidP="00691330">
            <w:pPr>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Чернівецька</w:t>
            </w:r>
          </w:p>
        </w:tc>
        <w:tc>
          <w:tcPr>
            <w:tcW w:w="876" w:type="dxa"/>
            <w:shd w:val="clear" w:color="auto" w:fill="auto"/>
            <w:hideMark/>
          </w:tcPr>
          <w:p w:rsidR="006B6A3E" w:rsidRPr="00691330" w:rsidRDefault="006B6A3E" w:rsidP="00691330">
            <w:pPr>
              <w:spacing w:line="276" w:lineRule="auto"/>
              <w:jc w:val="center"/>
              <w:rPr>
                <w:rFonts w:eastAsia="Times New Roman"/>
                <w:sz w:val="24"/>
                <w:szCs w:val="24"/>
                <w:lang w:eastAsia="ru-RU"/>
              </w:rPr>
            </w:pPr>
            <w:r w:rsidRPr="00691330">
              <w:rPr>
                <w:rFonts w:eastAsia="Times New Roman"/>
                <w:sz w:val="24"/>
                <w:szCs w:val="24"/>
                <w:lang w:eastAsia="ru-RU"/>
              </w:rPr>
              <w:t>240</w:t>
            </w:r>
          </w:p>
        </w:tc>
        <w:tc>
          <w:tcPr>
            <w:tcW w:w="969" w:type="dxa"/>
          </w:tcPr>
          <w:p w:rsidR="006B6A3E" w:rsidRPr="00691330" w:rsidRDefault="006B6A3E" w:rsidP="00691330">
            <w:pPr>
              <w:spacing w:line="276" w:lineRule="auto"/>
              <w:jc w:val="center"/>
              <w:rPr>
                <w:rFonts w:eastAsia="Times New Roman"/>
                <w:color w:val="000000"/>
                <w:sz w:val="24"/>
                <w:szCs w:val="24"/>
                <w:lang w:eastAsia="ru-RU"/>
              </w:rPr>
            </w:pPr>
            <w:r w:rsidRPr="00691330">
              <w:rPr>
                <w:rFonts w:eastAsia="Times New Roman"/>
                <w:color w:val="000000"/>
                <w:sz w:val="24"/>
                <w:szCs w:val="24"/>
                <w:lang w:eastAsia="ru-RU"/>
              </w:rPr>
              <w:t>243</w:t>
            </w:r>
          </w:p>
        </w:tc>
        <w:tc>
          <w:tcPr>
            <w:tcW w:w="1967" w:type="dxa"/>
            <w:shd w:val="clear" w:color="auto" w:fill="auto"/>
          </w:tcPr>
          <w:p w:rsidR="006B6A3E" w:rsidRPr="00691330" w:rsidRDefault="006B6A3E" w:rsidP="00691330">
            <w:pPr>
              <w:spacing w:line="276" w:lineRule="auto"/>
              <w:jc w:val="center"/>
              <w:rPr>
                <w:rFonts w:eastAsia="Times New Roman"/>
                <w:bCs/>
                <w:color w:val="000000"/>
                <w:sz w:val="24"/>
                <w:szCs w:val="24"/>
                <w:lang w:eastAsia="ru-RU"/>
              </w:rPr>
            </w:pPr>
            <w:r w:rsidRPr="00691330">
              <w:rPr>
                <w:rFonts w:eastAsia="Times New Roman"/>
                <w:bCs/>
                <w:color w:val="000000"/>
                <w:sz w:val="24"/>
                <w:szCs w:val="24"/>
                <w:lang w:eastAsia="ru-RU"/>
              </w:rPr>
              <w:t>1,25</w:t>
            </w:r>
          </w:p>
        </w:tc>
        <w:tc>
          <w:tcPr>
            <w:tcW w:w="1100" w:type="dxa"/>
            <w:shd w:val="clear" w:color="auto" w:fill="auto"/>
          </w:tcPr>
          <w:p w:rsidR="006B6A3E" w:rsidRPr="00691330" w:rsidRDefault="006B6A3E" w:rsidP="00691330">
            <w:pPr>
              <w:spacing w:line="276" w:lineRule="auto"/>
              <w:jc w:val="center"/>
              <w:rPr>
                <w:rFonts w:eastAsia="Times New Roman"/>
                <w:sz w:val="24"/>
                <w:szCs w:val="24"/>
                <w:lang w:eastAsia="ru-RU"/>
              </w:rPr>
            </w:pPr>
            <w:r w:rsidRPr="00691330">
              <w:rPr>
                <w:rFonts w:eastAsia="Times New Roman"/>
                <w:sz w:val="24"/>
                <w:szCs w:val="24"/>
                <w:lang w:eastAsia="ru-RU"/>
              </w:rPr>
              <w:t>1,30</w:t>
            </w:r>
          </w:p>
        </w:tc>
        <w:tc>
          <w:tcPr>
            <w:tcW w:w="1024" w:type="dxa"/>
            <w:shd w:val="clear" w:color="auto" w:fill="auto"/>
            <w:hideMark/>
          </w:tcPr>
          <w:p w:rsidR="006B6A3E" w:rsidRPr="00691330" w:rsidRDefault="006B6A3E" w:rsidP="00691330">
            <w:pPr>
              <w:spacing w:line="276" w:lineRule="auto"/>
              <w:jc w:val="center"/>
              <w:rPr>
                <w:rFonts w:eastAsia="Times New Roman"/>
                <w:color w:val="000000"/>
                <w:sz w:val="24"/>
                <w:szCs w:val="24"/>
                <w:lang w:eastAsia="ru-RU"/>
              </w:rPr>
            </w:pPr>
            <w:r w:rsidRPr="00691330">
              <w:rPr>
                <w:rFonts w:eastAsia="Times New Roman"/>
                <w:color w:val="000000"/>
                <w:sz w:val="24"/>
                <w:szCs w:val="24"/>
                <w:lang w:eastAsia="ru-RU"/>
              </w:rPr>
              <w:t>1,32</w:t>
            </w:r>
          </w:p>
        </w:tc>
        <w:tc>
          <w:tcPr>
            <w:tcW w:w="0" w:type="auto"/>
            <w:shd w:val="clear" w:color="auto" w:fill="auto"/>
          </w:tcPr>
          <w:p w:rsidR="006B6A3E" w:rsidRPr="00691330" w:rsidRDefault="006B6A3E" w:rsidP="00691330">
            <w:pPr>
              <w:spacing w:line="276" w:lineRule="auto"/>
              <w:jc w:val="center"/>
              <w:rPr>
                <w:rFonts w:eastAsia="Times New Roman"/>
                <w:bCs/>
                <w:color w:val="000000"/>
                <w:sz w:val="24"/>
                <w:szCs w:val="24"/>
                <w:lang w:eastAsia="ru-RU"/>
              </w:rPr>
            </w:pPr>
            <w:r w:rsidRPr="00691330">
              <w:rPr>
                <w:rFonts w:eastAsia="Times New Roman"/>
                <w:bCs/>
                <w:color w:val="000000"/>
                <w:sz w:val="24"/>
                <w:szCs w:val="24"/>
                <w:lang w:eastAsia="ru-RU"/>
              </w:rPr>
              <w:t>1,54</w:t>
            </w:r>
          </w:p>
        </w:tc>
      </w:tr>
      <w:tr w:rsidR="006B6A3E" w:rsidRPr="00691330" w:rsidTr="006E3A91">
        <w:trPr>
          <w:trHeight w:val="315"/>
        </w:trPr>
        <w:tc>
          <w:tcPr>
            <w:tcW w:w="2419" w:type="dxa"/>
            <w:shd w:val="clear" w:color="auto" w:fill="auto"/>
            <w:hideMark/>
          </w:tcPr>
          <w:p w:rsidR="006B6A3E" w:rsidRPr="00691330" w:rsidRDefault="006B6A3E" w:rsidP="00691330">
            <w:pPr>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Чернігівська</w:t>
            </w:r>
          </w:p>
        </w:tc>
        <w:tc>
          <w:tcPr>
            <w:tcW w:w="876" w:type="dxa"/>
            <w:shd w:val="clear" w:color="auto" w:fill="auto"/>
            <w:hideMark/>
          </w:tcPr>
          <w:p w:rsidR="006B6A3E" w:rsidRPr="00691330" w:rsidRDefault="006B6A3E" w:rsidP="00691330">
            <w:pPr>
              <w:spacing w:line="276" w:lineRule="auto"/>
              <w:jc w:val="center"/>
              <w:rPr>
                <w:rFonts w:eastAsia="Times New Roman"/>
                <w:sz w:val="24"/>
                <w:szCs w:val="24"/>
                <w:lang w:eastAsia="ru-RU"/>
              </w:rPr>
            </w:pPr>
            <w:r w:rsidRPr="00691330">
              <w:rPr>
                <w:rFonts w:eastAsia="Times New Roman"/>
                <w:sz w:val="24"/>
                <w:szCs w:val="24"/>
                <w:lang w:eastAsia="ru-RU"/>
              </w:rPr>
              <w:t>229</w:t>
            </w:r>
          </w:p>
        </w:tc>
        <w:tc>
          <w:tcPr>
            <w:tcW w:w="969" w:type="dxa"/>
          </w:tcPr>
          <w:p w:rsidR="006B6A3E" w:rsidRPr="00691330" w:rsidRDefault="006B6A3E" w:rsidP="00691330">
            <w:pPr>
              <w:spacing w:line="276" w:lineRule="auto"/>
              <w:jc w:val="center"/>
              <w:rPr>
                <w:rFonts w:eastAsia="Times New Roman"/>
                <w:color w:val="000000"/>
                <w:sz w:val="24"/>
                <w:szCs w:val="24"/>
                <w:lang w:eastAsia="ru-RU"/>
              </w:rPr>
            </w:pPr>
            <w:r w:rsidRPr="00691330">
              <w:rPr>
                <w:rFonts w:eastAsia="Times New Roman"/>
                <w:color w:val="000000"/>
                <w:sz w:val="24"/>
                <w:szCs w:val="24"/>
                <w:lang w:eastAsia="ru-RU"/>
              </w:rPr>
              <w:t>214</w:t>
            </w:r>
          </w:p>
        </w:tc>
        <w:tc>
          <w:tcPr>
            <w:tcW w:w="1967" w:type="dxa"/>
            <w:shd w:val="clear" w:color="auto" w:fill="auto"/>
          </w:tcPr>
          <w:p w:rsidR="006B6A3E" w:rsidRPr="00691330" w:rsidRDefault="006B6A3E" w:rsidP="00691330">
            <w:pPr>
              <w:spacing w:line="276" w:lineRule="auto"/>
              <w:jc w:val="center"/>
              <w:rPr>
                <w:rFonts w:eastAsia="Times New Roman"/>
                <w:bCs/>
                <w:color w:val="000000"/>
                <w:sz w:val="24"/>
                <w:szCs w:val="24"/>
                <w:lang w:eastAsia="ru-RU"/>
              </w:rPr>
            </w:pPr>
            <w:r w:rsidRPr="00691330">
              <w:rPr>
                <w:rFonts w:eastAsia="Times New Roman"/>
                <w:bCs/>
                <w:color w:val="000000"/>
                <w:sz w:val="24"/>
                <w:szCs w:val="24"/>
                <w:lang w:eastAsia="ru-RU"/>
              </w:rPr>
              <w:t>-6,55</w:t>
            </w:r>
          </w:p>
        </w:tc>
        <w:tc>
          <w:tcPr>
            <w:tcW w:w="1100" w:type="dxa"/>
            <w:shd w:val="clear" w:color="auto" w:fill="auto"/>
          </w:tcPr>
          <w:p w:rsidR="006B6A3E" w:rsidRPr="00691330" w:rsidRDefault="006B6A3E" w:rsidP="00691330">
            <w:pPr>
              <w:spacing w:line="276" w:lineRule="auto"/>
              <w:jc w:val="center"/>
              <w:rPr>
                <w:rFonts w:eastAsia="Times New Roman"/>
                <w:sz w:val="24"/>
                <w:szCs w:val="24"/>
                <w:lang w:eastAsia="ru-RU"/>
              </w:rPr>
            </w:pPr>
            <w:r w:rsidRPr="00691330">
              <w:rPr>
                <w:rFonts w:eastAsia="Times New Roman"/>
                <w:sz w:val="24"/>
                <w:szCs w:val="24"/>
                <w:lang w:eastAsia="ru-RU"/>
              </w:rPr>
              <w:t>1,37</w:t>
            </w:r>
          </w:p>
        </w:tc>
        <w:tc>
          <w:tcPr>
            <w:tcW w:w="1024" w:type="dxa"/>
            <w:shd w:val="clear" w:color="auto" w:fill="auto"/>
            <w:hideMark/>
          </w:tcPr>
          <w:p w:rsidR="006B6A3E" w:rsidRPr="00691330" w:rsidRDefault="006B6A3E" w:rsidP="00691330">
            <w:pPr>
              <w:spacing w:line="276" w:lineRule="auto"/>
              <w:jc w:val="center"/>
              <w:rPr>
                <w:rFonts w:eastAsia="Times New Roman"/>
                <w:color w:val="000000"/>
                <w:sz w:val="24"/>
                <w:szCs w:val="24"/>
                <w:lang w:eastAsia="ru-RU"/>
              </w:rPr>
            </w:pPr>
            <w:r w:rsidRPr="00691330">
              <w:rPr>
                <w:rFonts w:eastAsia="Times New Roman"/>
                <w:color w:val="000000"/>
                <w:sz w:val="24"/>
                <w:szCs w:val="24"/>
                <w:lang w:eastAsia="ru-RU"/>
              </w:rPr>
              <w:t>1,31</w:t>
            </w:r>
          </w:p>
        </w:tc>
        <w:tc>
          <w:tcPr>
            <w:tcW w:w="0" w:type="auto"/>
            <w:shd w:val="clear" w:color="auto" w:fill="auto"/>
          </w:tcPr>
          <w:p w:rsidR="006B6A3E" w:rsidRPr="00691330" w:rsidRDefault="006B6A3E" w:rsidP="00691330">
            <w:pPr>
              <w:spacing w:line="276" w:lineRule="auto"/>
              <w:jc w:val="center"/>
              <w:rPr>
                <w:rFonts w:eastAsia="Times New Roman"/>
                <w:bCs/>
                <w:color w:val="000000"/>
                <w:sz w:val="24"/>
                <w:szCs w:val="24"/>
                <w:lang w:eastAsia="ru-RU"/>
              </w:rPr>
            </w:pPr>
            <w:r w:rsidRPr="00691330">
              <w:rPr>
                <w:rFonts w:eastAsia="Times New Roman"/>
                <w:bCs/>
                <w:color w:val="000000"/>
                <w:sz w:val="24"/>
                <w:szCs w:val="24"/>
                <w:lang w:eastAsia="ru-RU"/>
              </w:rPr>
              <w:t>-4,38</w:t>
            </w:r>
          </w:p>
        </w:tc>
      </w:tr>
      <w:tr w:rsidR="006B6A3E" w:rsidRPr="00691330" w:rsidTr="006E3A91">
        <w:trPr>
          <w:trHeight w:val="315"/>
        </w:trPr>
        <w:tc>
          <w:tcPr>
            <w:tcW w:w="2419" w:type="dxa"/>
            <w:shd w:val="clear" w:color="auto" w:fill="auto"/>
            <w:hideMark/>
          </w:tcPr>
          <w:p w:rsidR="006B6A3E" w:rsidRPr="00691330" w:rsidRDefault="006B6A3E" w:rsidP="00691330">
            <w:pPr>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м.Київ</w:t>
            </w:r>
          </w:p>
        </w:tc>
        <w:tc>
          <w:tcPr>
            <w:tcW w:w="876" w:type="dxa"/>
            <w:shd w:val="clear" w:color="auto" w:fill="auto"/>
            <w:hideMark/>
          </w:tcPr>
          <w:p w:rsidR="006B6A3E" w:rsidRPr="00691330" w:rsidRDefault="006B6A3E" w:rsidP="00691330">
            <w:pPr>
              <w:spacing w:line="276" w:lineRule="auto"/>
              <w:jc w:val="center"/>
              <w:rPr>
                <w:rFonts w:eastAsia="Times New Roman"/>
                <w:sz w:val="24"/>
                <w:szCs w:val="24"/>
                <w:lang w:eastAsia="ru-RU"/>
              </w:rPr>
            </w:pPr>
            <w:r w:rsidRPr="00691330">
              <w:rPr>
                <w:rFonts w:eastAsia="Times New Roman"/>
                <w:sz w:val="24"/>
                <w:szCs w:val="24"/>
                <w:lang w:eastAsia="ru-RU"/>
              </w:rPr>
              <w:t>1 095</w:t>
            </w:r>
          </w:p>
        </w:tc>
        <w:tc>
          <w:tcPr>
            <w:tcW w:w="969" w:type="dxa"/>
          </w:tcPr>
          <w:p w:rsidR="006B6A3E" w:rsidRPr="00691330" w:rsidRDefault="006B6A3E" w:rsidP="00691330">
            <w:pPr>
              <w:spacing w:line="276" w:lineRule="auto"/>
              <w:jc w:val="center"/>
              <w:rPr>
                <w:rFonts w:eastAsia="Times New Roman"/>
                <w:color w:val="000000"/>
                <w:sz w:val="24"/>
                <w:szCs w:val="24"/>
                <w:lang w:eastAsia="ru-RU"/>
              </w:rPr>
            </w:pPr>
            <w:r w:rsidRPr="00691330">
              <w:rPr>
                <w:rFonts w:eastAsia="Times New Roman"/>
                <w:color w:val="000000"/>
                <w:sz w:val="24"/>
                <w:szCs w:val="24"/>
                <w:lang w:eastAsia="ru-RU"/>
              </w:rPr>
              <w:t>954</w:t>
            </w:r>
          </w:p>
        </w:tc>
        <w:tc>
          <w:tcPr>
            <w:tcW w:w="1967" w:type="dxa"/>
            <w:shd w:val="clear" w:color="auto" w:fill="auto"/>
          </w:tcPr>
          <w:p w:rsidR="006B6A3E" w:rsidRPr="00691330" w:rsidRDefault="006B6A3E" w:rsidP="00691330">
            <w:pPr>
              <w:spacing w:line="276" w:lineRule="auto"/>
              <w:jc w:val="center"/>
              <w:rPr>
                <w:rFonts w:eastAsia="Times New Roman"/>
                <w:bCs/>
                <w:color w:val="000000"/>
                <w:sz w:val="24"/>
                <w:szCs w:val="24"/>
                <w:lang w:eastAsia="ru-RU"/>
              </w:rPr>
            </w:pPr>
            <w:r w:rsidRPr="00691330">
              <w:rPr>
                <w:rFonts w:eastAsia="Times New Roman"/>
                <w:bCs/>
                <w:color w:val="000000"/>
                <w:sz w:val="24"/>
                <w:szCs w:val="24"/>
                <w:lang w:eastAsia="ru-RU"/>
              </w:rPr>
              <w:t>-12,88</w:t>
            </w:r>
          </w:p>
        </w:tc>
        <w:tc>
          <w:tcPr>
            <w:tcW w:w="1100" w:type="dxa"/>
            <w:shd w:val="clear" w:color="auto" w:fill="auto"/>
          </w:tcPr>
          <w:p w:rsidR="006B6A3E" w:rsidRPr="00691330" w:rsidRDefault="006B6A3E" w:rsidP="00691330">
            <w:pPr>
              <w:spacing w:line="276" w:lineRule="auto"/>
              <w:jc w:val="center"/>
              <w:rPr>
                <w:rFonts w:eastAsia="Times New Roman"/>
                <w:sz w:val="24"/>
                <w:szCs w:val="24"/>
                <w:lang w:eastAsia="ru-RU"/>
              </w:rPr>
            </w:pPr>
            <w:r w:rsidRPr="00691330">
              <w:rPr>
                <w:rFonts w:eastAsia="Times New Roman"/>
                <w:sz w:val="24"/>
                <w:szCs w:val="24"/>
                <w:lang w:eastAsia="ru-RU"/>
              </w:rPr>
              <w:t>2,27</w:t>
            </w:r>
          </w:p>
        </w:tc>
        <w:tc>
          <w:tcPr>
            <w:tcW w:w="1024" w:type="dxa"/>
            <w:shd w:val="clear" w:color="auto" w:fill="auto"/>
            <w:hideMark/>
          </w:tcPr>
          <w:p w:rsidR="006B6A3E" w:rsidRPr="00691330" w:rsidRDefault="006B6A3E" w:rsidP="00691330">
            <w:pPr>
              <w:spacing w:line="276" w:lineRule="auto"/>
              <w:jc w:val="center"/>
              <w:rPr>
                <w:rFonts w:eastAsia="Times New Roman"/>
                <w:color w:val="000000"/>
                <w:sz w:val="24"/>
                <w:szCs w:val="24"/>
                <w:lang w:eastAsia="ru-RU"/>
              </w:rPr>
            </w:pPr>
            <w:r w:rsidRPr="00691330">
              <w:rPr>
                <w:rFonts w:eastAsia="Times New Roman"/>
                <w:color w:val="000000"/>
                <w:sz w:val="24"/>
                <w:szCs w:val="24"/>
                <w:lang w:eastAsia="ru-RU"/>
              </w:rPr>
              <w:t>1,76</w:t>
            </w:r>
          </w:p>
        </w:tc>
        <w:tc>
          <w:tcPr>
            <w:tcW w:w="0" w:type="auto"/>
            <w:shd w:val="clear" w:color="auto" w:fill="auto"/>
          </w:tcPr>
          <w:p w:rsidR="006B6A3E" w:rsidRPr="00691330" w:rsidRDefault="006B6A3E" w:rsidP="00691330">
            <w:pPr>
              <w:spacing w:line="276" w:lineRule="auto"/>
              <w:jc w:val="center"/>
              <w:rPr>
                <w:rFonts w:eastAsia="Times New Roman"/>
                <w:bCs/>
                <w:color w:val="000000"/>
                <w:sz w:val="24"/>
                <w:szCs w:val="24"/>
                <w:lang w:eastAsia="ru-RU"/>
              </w:rPr>
            </w:pPr>
            <w:r w:rsidRPr="00691330">
              <w:rPr>
                <w:rFonts w:eastAsia="Times New Roman"/>
                <w:bCs/>
                <w:color w:val="000000"/>
                <w:sz w:val="24"/>
                <w:szCs w:val="24"/>
                <w:lang w:eastAsia="ru-RU"/>
              </w:rPr>
              <w:t>-22,47</w:t>
            </w:r>
          </w:p>
        </w:tc>
      </w:tr>
    </w:tbl>
    <w:p w:rsidR="006B6A3E" w:rsidRPr="006B6A3E" w:rsidRDefault="006B6A3E" w:rsidP="006B6A3E">
      <w:pPr>
        <w:spacing w:line="288" w:lineRule="auto"/>
        <w:ind w:firstLine="709"/>
        <w:rPr>
          <w:rFonts w:eastAsia="Times New Roman"/>
          <w:sz w:val="24"/>
          <w:szCs w:val="24"/>
          <w:lang w:eastAsia="ru-RU"/>
        </w:rPr>
      </w:pPr>
      <w:r w:rsidRPr="006B6A3E">
        <w:rPr>
          <w:rFonts w:eastAsia="Times New Roman"/>
          <w:sz w:val="24"/>
          <w:szCs w:val="24"/>
          <w:lang w:eastAsia="ru-RU"/>
        </w:rPr>
        <w:t>*дані некоректні</w:t>
      </w:r>
      <w:r w:rsidRPr="006B6A3E">
        <w:rPr>
          <w:rFonts w:eastAsia="Times New Roman"/>
          <w:sz w:val="24"/>
          <w:szCs w:val="24"/>
          <w:lang w:eastAsia="ru-RU"/>
        </w:rPr>
        <w:tab/>
      </w:r>
    </w:p>
    <w:p w:rsidR="006B6A3E" w:rsidRPr="006B6A3E" w:rsidRDefault="006B6A3E" w:rsidP="006B6A3E">
      <w:pPr>
        <w:tabs>
          <w:tab w:val="left" w:pos="8701"/>
        </w:tabs>
        <w:spacing w:after="200"/>
        <w:jc w:val="left"/>
        <w:rPr>
          <w:rFonts w:eastAsia="Calibri"/>
          <w:b/>
          <w:szCs w:val="28"/>
        </w:rPr>
      </w:pPr>
      <w:r w:rsidRPr="006B6A3E">
        <w:rPr>
          <w:rFonts w:eastAsia="Times New Roman"/>
          <w:sz w:val="24"/>
          <w:szCs w:val="24"/>
          <w:lang w:eastAsia="ru-RU"/>
        </w:rPr>
        <w:t xml:space="preserve">                                                                                                                               </w:t>
      </w:r>
    </w:p>
    <w:p w:rsidR="006B6A3E" w:rsidRPr="00691330" w:rsidRDefault="006B6A3E" w:rsidP="006B6A3E">
      <w:pPr>
        <w:tabs>
          <w:tab w:val="left" w:pos="8701"/>
        </w:tabs>
        <w:spacing w:after="200"/>
        <w:jc w:val="left"/>
        <w:rPr>
          <w:rFonts w:eastAsia="Calibri"/>
          <w:b/>
          <w:szCs w:val="28"/>
          <w:lang w:val="ru-RU"/>
        </w:rPr>
      </w:pPr>
    </w:p>
    <w:p w:rsidR="00B04F55" w:rsidRDefault="00B04F55" w:rsidP="00D01CF0">
      <w:pPr>
        <w:tabs>
          <w:tab w:val="left" w:pos="8701"/>
        </w:tabs>
        <w:spacing w:after="200"/>
        <w:jc w:val="right"/>
        <w:rPr>
          <w:rFonts w:eastAsia="Calibri"/>
          <w:szCs w:val="28"/>
          <w:lang w:val="ru-RU"/>
        </w:rPr>
      </w:pPr>
    </w:p>
    <w:p w:rsidR="006B6A3E" w:rsidRPr="006B6A3E" w:rsidRDefault="005627AD" w:rsidP="00D13BF8">
      <w:pPr>
        <w:pageBreakBefore/>
        <w:tabs>
          <w:tab w:val="left" w:pos="8701"/>
        </w:tabs>
        <w:spacing w:after="200"/>
        <w:jc w:val="right"/>
        <w:rPr>
          <w:rFonts w:eastAsia="Calibri"/>
          <w:szCs w:val="28"/>
        </w:rPr>
      </w:pPr>
      <w:r>
        <w:rPr>
          <w:rFonts w:eastAsia="Calibri"/>
          <w:szCs w:val="28"/>
        </w:rPr>
        <w:lastRenderedPageBreak/>
        <w:t>Додаток Г</w:t>
      </w:r>
      <w:r w:rsidR="006B6A3E" w:rsidRPr="006B6A3E">
        <w:rPr>
          <w:rFonts w:eastAsia="Calibri"/>
          <w:szCs w:val="28"/>
        </w:rPr>
        <w:t>-6</w:t>
      </w:r>
    </w:p>
    <w:p w:rsidR="006B6A3E" w:rsidRPr="006B6A3E" w:rsidRDefault="006B6A3E" w:rsidP="00691330">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8" w:lineRule="auto"/>
        <w:jc w:val="center"/>
        <w:rPr>
          <w:rFonts w:eastAsia="Times New Roman"/>
          <w:b/>
          <w:bCs/>
          <w:szCs w:val="28"/>
          <w:lang w:eastAsia="ru-RU"/>
        </w:rPr>
      </w:pPr>
      <w:r w:rsidRPr="006B6A3E">
        <w:rPr>
          <w:rFonts w:eastAsia="Times New Roman"/>
          <w:b/>
          <w:bCs/>
          <w:szCs w:val="28"/>
          <w:lang w:eastAsia="ru-RU"/>
        </w:rPr>
        <w:t>Динаміка чисельності дільничних лікарів-педіатрів міських дільниць та забезпеченості ними дитячого населення (2014, 2018 рр.)</w:t>
      </w:r>
    </w:p>
    <w:p w:rsidR="006B6A3E" w:rsidRPr="006B6A3E" w:rsidRDefault="006B6A3E" w:rsidP="006B6A3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8" w:lineRule="auto"/>
        <w:rPr>
          <w:rFonts w:eastAsia="Times New Roman"/>
          <w:b/>
          <w:bCs/>
          <w:color w:val="FF0000"/>
          <w:szCs w:val="28"/>
          <w:lang w:eastAsia="ru-RU"/>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50"/>
        <w:gridCol w:w="774"/>
        <w:gridCol w:w="774"/>
        <w:gridCol w:w="1286"/>
        <w:gridCol w:w="1371"/>
        <w:gridCol w:w="1371"/>
        <w:gridCol w:w="2121"/>
      </w:tblGrid>
      <w:tr w:rsidR="006B6A3E" w:rsidRPr="00691330" w:rsidTr="006E3A91">
        <w:trPr>
          <w:cantSplit/>
          <w:trHeight w:val="467"/>
          <w:tblHeader/>
        </w:trPr>
        <w:tc>
          <w:tcPr>
            <w:tcW w:w="0" w:type="auto"/>
            <w:vMerge w:val="restart"/>
            <w:shd w:val="clear" w:color="auto" w:fill="auto"/>
            <w:vAlign w:val="center"/>
          </w:tcPr>
          <w:p w:rsidR="006B6A3E" w:rsidRPr="00691330" w:rsidRDefault="006B6A3E" w:rsidP="006B6A3E">
            <w:pPr>
              <w:spacing w:line="240" w:lineRule="auto"/>
              <w:jc w:val="center"/>
              <w:rPr>
                <w:rFonts w:eastAsia="Times New Roman"/>
                <w:sz w:val="24"/>
                <w:szCs w:val="24"/>
                <w:lang w:eastAsia="ru-RU"/>
              </w:rPr>
            </w:pPr>
            <w:r w:rsidRPr="00691330">
              <w:rPr>
                <w:rFonts w:eastAsia="Times New Roman"/>
                <w:sz w:val="24"/>
                <w:szCs w:val="24"/>
                <w:lang w:eastAsia="ru-RU"/>
              </w:rPr>
              <w:t>Адміністративно-територіальна одиниця</w:t>
            </w:r>
          </w:p>
        </w:tc>
        <w:tc>
          <w:tcPr>
            <w:tcW w:w="0" w:type="auto"/>
            <w:gridSpan w:val="3"/>
            <w:shd w:val="clear" w:color="auto" w:fill="auto"/>
            <w:vAlign w:val="center"/>
          </w:tcPr>
          <w:p w:rsidR="006B6A3E" w:rsidRPr="00691330" w:rsidRDefault="006B6A3E" w:rsidP="006B6A3E">
            <w:pPr>
              <w:spacing w:line="240" w:lineRule="auto"/>
              <w:jc w:val="center"/>
              <w:rPr>
                <w:rFonts w:eastAsia="Times New Roman"/>
                <w:bCs/>
                <w:sz w:val="24"/>
                <w:szCs w:val="24"/>
                <w:lang w:eastAsia="ru-RU"/>
              </w:rPr>
            </w:pPr>
            <w:r w:rsidRPr="00691330">
              <w:rPr>
                <w:rFonts w:eastAsia="Times New Roman"/>
                <w:bCs/>
                <w:sz w:val="24"/>
                <w:szCs w:val="24"/>
                <w:lang w:eastAsia="ru-RU"/>
              </w:rPr>
              <w:t>Чисельність (осіб)</w:t>
            </w:r>
          </w:p>
        </w:tc>
        <w:tc>
          <w:tcPr>
            <w:tcW w:w="0" w:type="auto"/>
            <w:gridSpan w:val="3"/>
            <w:shd w:val="clear" w:color="auto" w:fill="auto"/>
            <w:vAlign w:val="center"/>
          </w:tcPr>
          <w:p w:rsidR="006B6A3E" w:rsidRPr="00691330" w:rsidRDefault="006B6A3E" w:rsidP="006B6A3E">
            <w:pPr>
              <w:spacing w:line="240" w:lineRule="auto"/>
              <w:jc w:val="center"/>
              <w:rPr>
                <w:rFonts w:eastAsia="Times New Roman"/>
                <w:bCs/>
                <w:sz w:val="24"/>
                <w:szCs w:val="24"/>
                <w:lang w:eastAsia="ru-RU"/>
              </w:rPr>
            </w:pPr>
            <w:r w:rsidRPr="00691330">
              <w:rPr>
                <w:rFonts w:eastAsia="Times New Roman"/>
                <w:bCs/>
                <w:sz w:val="24"/>
                <w:szCs w:val="24"/>
                <w:lang w:eastAsia="ru-RU"/>
              </w:rPr>
              <w:t xml:space="preserve">Забезпеченість дільничними лікарями-педіатрами, на 10 тис. дитячого міського населення </w:t>
            </w:r>
          </w:p>
        </w:tc>
      </w:tr>
      <w:tr w:rsidR="006B6A3E" w:rsidRPr="00691330" w:rsidTr="006E3A91">
        <w:trPr>
          <w:cantSplit/>
          <w:trHeight w:val="906"/>
          <w:tblHeader/>
        </w:trPr>
        <w:tc>
          <w:tcPr>
            <w:tcW w:w="0" w:type="auto"/>
            <w:vMerge/>
            <w:shd w:val="clear" w:color="auto" w:fill="auto"/>
            <w:vAlign w:val="center"/>
          </w:tcPr>
          <w:p w:rsidR="006B6A3E" w:rsidRPr="00691330" w:rsidRDefault="006B6A3E" w:rsidP="006B6A3E">
            <w:pPr>
              <w:spacing w:line="240" w:lineRule="auto"/>
              <w:jc w:val="center"/>
              <w:rPr>
                <w:rFonts w:eastAsia="Times New Roman"/>
                <w:sz w:val="24"/>
                <w:szCs w:val="24"/>
                <w:lang w:eastAsia="ru-RU"/>
              </w:rPr>
            </w:pPr>
          </w:p>
        </w:tc>
        <w:tc>
          <w:tcPr>
            <w:tcW w:w="0" w:type="auto"/>
            <w:shd w:val="clear" w:color="auto" w:fill="auto"/>
            <w:vAlign w:val="center"/>
          </w:tcPr>
          <w:p w:rsidR="006B6A3E" w:rsidRPr="00691330" w:rsidRDefault="006B6A3E" w:rsidP="006B6A3E">
            <w:pPr>
              <w:spacing w:line="240" w:lineRule="auto"/>
              <w:jc w:val="center"/>
              <w:rPr>
                <w:rFonts w:eastAsia="Times New Roman"/>
                <w:bCs/>
                <w:sz w:val="24"/>
                <w:szCs w:val="24"/>
                <w:lang w:eastAsia="ru-RU"/>
              </w:rPr>
            </w:pPr>
            <w:r w:rsidRPr="00691330">
              <w:rPr>
                <w:rFonts w:eastAsia="Times New Roman"/>
                <w:bCs/>
                <w:sz w:val="24"/>
                <w:szCs w:val="24"/>
                <w:lang w:eastAsia="ru-RU"/>
              </w:rPr>
              <w:t>2014 р.</w:t>
            </w:r>
          </w:p>
        </w:tc>
        <w:tc>
          <w:tcPr>
            <w:tcW w:w="0" w:type="auto"/>
            <w:shd w:val="clear" w:color="auto" w:fill="auto"/>
            <w:vAlign w:val="center"/>
          </w:tcPr>
          <w:p w:rsidR="006B6A3E" w:rsidRPr="00691330" w:rsidRDefault="006B6A3E" w:rsidP="006B6A3E">
            <w:pPr>
              <w:spacing w:line="240" w:lineRule="auto"/>
              <w:jc w:val="center"/>
              <w:rPr>
                <w:rFonts w:eastAsia="Times New Roman"/>
                <w:bCs/>
                <w:sz w:val="24"/>
                <w:szCs w:val="24"/>
                <w:lang w:eastAsia="ru-RU"/>
              </w:rPr>
            </w:pPr>
            <w:r w:rsidRPr="00691330">
              <w:rPr>
                <w:rFonts w:eastAsia="Times New Roman"/>
                <w:bCs/>
                <w:sz w:val="24"/>
                <w:szCs w:val="24"/>
                <w:lang w:eastAsia="ru-RU"/>
              </w:rPr>
              <w:t>2018 р.</w:t>
            </w:r>
          </w:p>
        </w:tc>
        <w:tc>
          <w:tcPr>
            <w:tcW w:w="0" w:type="auto"/>
            <w:shd w:val="clear" w:color="auto" w:fill="auto"/>
            <w:vAlign w:val="center"/>
          </w:tcPr>
          <w:p w:rsidR="006B6A3E" w:rsidRPr="00691330" w:rsidRDefault="006B6A3E" w:rsidP="006B6A3E">
            <w:pPr>
              <w:spacing w:line="240" w:lineRule="auto"/>
              <w:jc w:val="center"/>
              <w:rPr>
                <w:rFonts w:eastAsia="Times New Roman"/>
                <w:bCs/>
                <w:sz w:val="24"/>
                <w:szCs w:val="24"/>
                <w:lang w:eastAsia="ru-RU"/>
              </w:rPr>
            </w:pPr>
            <w:r w:rsidRPr="00691330">
              <w:rPr>
                <w:rFonts w:eastAsia="Times New Roman"/>
                <w:bCs/>
                <w:sz w:val="24"/>
                <w:szCs w:val="24"/>
                <w:lang w:eastAsia="ru-RU"/>
              </w:rPr>
              <w:t>Темп</w:t>
            </w:r>
          </w:p>
          <w:p w:rsidR="006B6A3E" w:rsidRPr="00691330" w:rsidRDefault="006B6A3E" w:rsidP="006B6A3E">
            <w:pPr>
              <w:spacing w:line="240" w:lineRule="auto"/>
              <w:jc w:val="center"/>
              <w:rPr>
                <w:rFonts w:eastAsia="Times New Roman"/>
                <w:bCs/>
                <w:sz w:val="24"/>
                <w:szCs w:val="24"/>
                <w:lang w:eastAsia="ru-RU"/>
              </w:rPr>
            </w:pPr>
            <w:r w:rsidRPr="00691330">
              <w:rPr>
                <w:rFonts w:eastAsia="Times New Roman"/>
                <w:bCs/>
                <w:sz w:val="24"/>
                <w:szCs w:val="24"/>
                <w:lang w:eastAsia="ru-RU"/>
              </w:rPr>
              <w:t>приросту\</w:t>
            </w:r>
          </w:p>
          <w:p w:rsidR="006B6A3E" w:rsidRPr="00691330" w:rsidRDefault="006B6A3E" w:rsidP="006B6A3E">
            <w:pPr>
              <w:spacing w:line="240" w:lineRule="auto"/>
              <w:jc w:val="center"/>
              <w:rPr>
                <w:rFonts w:eastAsia="Times New Roman"/>
                <w:bCs/>
                <w:sz w:val="24"/>
                <w:szCs w:val="24"/>
                <w:lang w:eastAsia="ru-RU"/>
              </w:rPr>
            </w:pPr>
            <w:r w:rsidRPr="00691330">
              <w:rPr>
                <w:rFonts w:eastAsia="Times New Roman"/>
                <w:bCs/>
                <w:sz w:val="24"/>
                <w:szCs w:val="24"/>
                <w:lang w:eastAsia="ru-RU"/>
              </w:rPr>
              <w:t>убутку  (%)</w:t>
            </w:r>
          </w:p>
        </w:tc>
        <w:tc>
          <w:tcPr>
            <w:tcW w:w="0" w:type="auto"/>
            <w:shd w:val="clear" w:color="auto" w:fill="auto"/>
            <w:vAlign w:val="center"/>
          </w:tcPr>
          <w:p w:rsidR="006B6A3E" w:rsidRPr="00691330" w:rsidRDefault="006B6A3E" w:rsidP="006B6A3E">
            <w:pPr>
              <w:spacing w:line="240" w:lineRule="auto"/>
              <w:jc w:val="center"/>
              <w:rPr>
                <w:rFonts w:eastAsia="Times New Roman"/>
                <w:bCs/>
                <w:sz w:val="24"/>
                <w:szCs w:val="24"/>
                <w:lang w:eastAsia="ru-RU"/>
              </w:rPr>
            </w:pPr>
            <w:r w:rsidRPr="00691330">
              <w:rPr>
                <w:rFonts w:eastAsia="Times New Roman"/>
                <w:bCs/>
                <w:sz w:val="24"/>
                <w:szCs w:val="24"/>
                <w:lang w:eastAsia="ru-RU"/>
              </w:rPr>
              <w:t>2014 р.</w:t>
            </w:r>
          </w:p>
        </w:tc>
        <w:tc>
          <w:tcPr>
            <w:tcW w:w="0" w:type="auto"/>
            <w:shd w:val="clear" w:color="auto" w:fill="auto"/>
            <w:vAlign w:val="center"/>
          </w:tcPr>
          <w:p w:rsidR="006B6A3E" w:rsidRPr="00691330" w:rsidRDefault="006B6A3E" w:rsidP="006B6A3E">
            <w:pPr>
              <w:spacing w:line="240" w:lineRule="auto"/>
              <w:jc w:val="center"/>
              <w:rPr>
                <w:rFonts w:eastAsia="Times New Roman"/>
                <w:bCs/>
                <w:sz w:val="24"/>
                <w:szCs w:val="24"/>
                <w:lang w:eastAsia="ru-RU"/>
              </w:rPr>
            </w:pPr>
            <w:r w:rsidRPr="00691330">
              <w:rPr>
                <w:rFonts w:eastAsia="Times New Roman"/>
                <w:bCs/>
                <w:sz w:val="24"/>
                <w:szCs w:val="24"/>
                <w:lang w:eastAsia="ru-RU"/>
              </w:rPr>
              <w:t>2018 р.</w:t>
            </w:r>
          </w:p>
        </w:tc>
        <w:tc>
          <w:tcPr>
            <w:tcW w:w="0" w:type="auto"/>
            <w:shd w:val="clear" w:color="auto" w:fill="auto"/>
            <w:vAlign w:val="center"/>
          </w:tcPr>
          <w:p w:rsidR="006B6A3E" w:rsidRPr="00691330" w:rsidRDefault="006B6A3E" w:rsidP="006B6A3E">
            <w:pPr>
              <w:spacing w:line="240" w:lineRule="auto"/>
              <w:jc w:val="center"/>
              <w:rPr>
                <w:rFonts w:eastAsia="Times New Roman"/>
                <w:bCs/>
                <w:sz w:val="24"/>
                <w:szCs w:val="24"/>
                <w:lang w:eastAsia="ru-RU"/>
              </w:rPr>
            </w:pPr>
            <w:r w:rsidRPr="00691330">
              <w:rPr>
                <w:rFonts w:eastAsia="Times New Roman"/>
                <w:bCs/>
                <w:sz w:val="24"/>
                <w:szCs w:val="24"/>
                <w:lang w:eastAsia="ru-RU"/>
              </w:rPr>
              <w:t>Темп</w:t>
            </w:r>
          </w:p>
          <w:p w:rsidR="006B6A3E" w:rsidRPr="00691330" w:rsidRDefault="006B6A3E" w:rsidP="006B6A3E">
            <w:pPr>
              <w:spacing w:line="240" w:lineRule="auto"/>
              <w:jc w:val="center"/>
              <w:rPr>
                <w:rFonts w:eastAsia="Times New Roman"/>
                <w:bCs/>
                <w:sz w:val="24"/>
                <w:szCs w:val="24"/>
                <w:lang w:eastAsia="ru-RU"/>
              </w:rPr>
            </w:pPr>
            <w:r w:rsidRPr="00691330">
              <w:rPr>
                <w:rFonts w:eastAsia="Times New Roman"/>
                <w:bCs/>
                <w:sz w:val="24"/>
                <w:szCs w:val="24"/>
                <w:lang w:eastAsia="ru-RU"/>
              </w:rPr>
              <w:t xml:space="preserve">приросту\ </w:t>
            </w:r>
          </w:p>
          <w:p w:rsidR="006B6A3E" w:rsidRPr="00691330" w:rsidRDefault="006B6A3E" w:rsidP="006B6A3E">
            <w:pPr>
              <w:spacing w:line="240" w:lineRule="auto"/>
              <w:jc w:val="center"/>
              <w:rPr>
                <w:rFonts w:eastAsia="Times New Roman"/>
                <w:bCs/>
                <w:sz w:val="24"/>
                <w:szCs w:val="24"/>
                <w:lang w:eastAsia="ru-RU"/>
              </w:rPr>
            </w:pPr>
            <w:r w:rsidRPr="00691330">
              <w:rPr>
                <w:rFonts w:eastAsia="Times New Roman"/>
                <w:bCs/>
                <w:sz w:val="24"/>
                <w:szCs w:val="24"/>
                <w:lang w:eastAsia="ru-RU"/>
              </w:rPr>
              <w:t>убутку (%)</w:t>
            </w:r>
          </w:p>
        </w:tc>
      </w:tr>
      <w:tr w:rsidR="006B6A3E" w:rsidRPr="00691330" w:rsidTr="006E3A91">
        <w:trPr>
          <w:cantSplit/>
          <w:trHeight w:val="426"/>
          <w:tblHeader/>
        </w:trPr>
        <w:tc>
          <w:tcPr>
            <w:tcW w:w="0" w:type="auto"/>
            <w:shd w:val="clear" w:color="auto" w:fill="auto"/>
          </w:tcPr>
          <w:p w:rsidR="006B6A3E" w:rsidRPr="00691330" w:rsidRDefault="006B6A3E" w:rsidP="006B6A3E">
            <w:pPr>
              <w:spacing w:line="240" w:lineRule="auto"/>
              <w:jc w:val="left"/>
              <w:rPr>
                <w:rFonts w:eastAsia="Times New Roman"/>
                <w:sz w:val="24"/>
                <w:szCs w:val="24"/>
                <w:lang w:eastAsia="ru-RU"/>
              </w:rPr>
            </w:pPr>
            <w:r w:rsidRPr="00691330">
              <w:rPr>
                <w:rFonts w:eastAsia="Times New Roman"/>
                <w:sz w:val="24"/>
                <w:szCs w:val="24"/>
                <w:lang w:eastAsia="ru-RU"/>
              </w:rPr>
              <w:t xml:space="preserve">   Україна</w:t>
            </w:r>
          </w:p>
        </w:tc>
        <w:tc>
          <w:tcPr>
            <w:tcW w:w="0" w:type="auto"/>
            <w:shd w:val="clear" w:color="auto" w:fill="auto"/>
          </w:tcPr>
          <w:p w:rsidR="006B6A3E" w:rsidRPr="00691330" w:rsidRDefault="006B6A3E" w:rsidP="006B6A3E">
            <w:pPr>
              <w:spacing w:line="240" w:lineRule="auto"/>
              <w:jc w:val="center"/>
              <w:rPr>
                <w:rFonts w:eastAsia="Times New Roman"/>
                <w:bCs/>
                <w:sz w:val="24"/>
                <w:szCs w:val="24"/>
                <w:lang w:eastAsia="ru-RU"/>
              </w:rPr>
            </w:pPr>
            <w:r w:rsidRPr="00691330">
              <w:rPr>
                <w:rFonts w:eastAsia="Times New Roman"/>
                <w:bCs/>
                <w:sz w:val="24"/>
                <w:szCs w:val="24"/>
                <w:lang w:eastAsia="ru-RU"/>
              </w:rPr>
              <w:t>3818</w:t>
            </w:r>
          </w:p>
        </w:tc>
        <w:tc>
          <w:tcPr>
            <w:tcW w:w="0" w:type="auto"/>
            <w:shd w:val="clear" w:color="auto" w:fill="auto"/>
          </w:tcPr>
          <w:p w:rsidR="006B6A3E" w:rsidRPr="00691330" w:rsidRDefault="006B6A3E" w:rsidP="006B6A3E">
            <w:pPr>
              <w:spacing w:line="240" w:lineRule="auto"/>
              <w:jc w:val="center"/>
              <w:rPr>
                <w:rFonts w:eastAsia="Times New Roman"/>
                <w:bCs/>
                <w:sz w:val="24"/>
                <w:szCs w:val="24"/>
                <w:lang w:eastAsia="ru-RU"/>
              </w:rPr>
            </w:pPr>
            <w:r w:rsidRPr="00691330">
              <w:rPr>
                <w:rFonts w:eastAsia="Times New Roman"/>
                <w:bCs/>
                <w:sz w:val="24"/>
                <w:szCs w:val="24"/>
                <w:lang w:eastAsia="ru-RU"/>
              </w:rPr>
              <w:t>3321</w:t>
            </w:r>
          </w:p>
        </w:tc>
        <w:tc>
          <w:tcPr>
            <w:tcW w:w="0" w:type="auto"/>
            <w:shd w:val="clear" w:color="auto" w:fill="auto"/>
          </w:tcPr>
          <w:p w:rsidR="006B6A3E" w:rsidRPr="00691330" w:rsidRDefault="006B6A3E" w:rsidP="006B6A3E">
            <w:pPr>
              <w:spacing w:line="240" w:lineRule="auto"/>
              <w:jc w:val="center"/>
              <w:rPr>
                <w:rFonts w:eastAsia="Times New Roman"/>
                <w:sz w:val="24"/>
                <w:szCs w:val="24"/>
                <w:lang w:eastAsia="ru-RU"/>
              </w:rPr>
            </w:pPr>
            <w:r w:rsidRPr="00691330">
              <w:rPr>
                <w:rFonts w:eastAsia="Times New Roman"/>
                <w:sz w:val="24"/>
                <w:szCs w:val="24"/>
                <w:lang w:eastAsia="ru-RU"/>
              </w:rPr>
              <w:t>-13,01</w:t>
            </w:r>
          </w:p>
        </w:tc>
        <w:tc>
          <w:tcPr>
            <w:tcW w:w="0" w:type="auto"/>
            <w:shd w:val="clear" w:color="auto" w:fill="auto"/>
          </w:tcPr>
          <w:p w:rsidR="006B6A3E" w:rsidRPr="00691330" w:rsidRDefault="006B6A3E" w:rsidP="006B6A3E">
            <w:pPr>
              <w:spacing w:line="240" w:lineRule="auto"/>
              <w:jc w:val="center"/>
              <w:rPr>
                <w:rFonts w:eastAsia="Times New Roman"/>
                <w:bCs/>
                <w:sz w:val="24"/>
                <w:szCs w:val="24"/>
                <w:lang w:eastAsia="ru-RU"/>
              </w:rPr>
            </w:pPr>
            <w:r w:rsidRPr="00691330">
              <w:rPr>
                <w:rFonts w:eastAsia="Times New Roman"/>
                <w:bCs/>
                <w:sz w:val="24"/>
                <w:szCs w:val="24"/>
                <w:lang w:eastAsia="ru-RU"/>
              </w:rPr>
              <w:t>7,7</w:t>
            </w:r>
          </w:p>
        </w:tc>
        <w:tc>
          <w:tcPr>
            <w:tcW w:w="0" w:type="auto"/>
            <w:shd w:val="clear" w:color="auto" w:fill="auto"/>
          </w:tcPr>
          <w:p w:rsidR="006B6A3E" w:rsidRPr="00691330" w:rsidRDefault="006B6A3E" w:rsidP="006B6A3E">
            <w:pPr>
              <w:spacing w:line="240" w:lineRule="auto"/>
              <w:jc w:val="center"/>
              <w:rPr>
                <w:rFonts w:eastAsia="Times New Roman"/>
                <w:bCs/>
                <w:color w:val="000000"/>
                <w:sz w:val="24"/>
                <w:szCs w:val="24"/>
                <w:lang w:eastAsia="ru-RU"/>
              </w:rPr>
            </w:pPr>
            <w:r w:rsidRPr="00691330">
              <w:rPr>
                <w:rFonts w:eastAsia="Times New Roman"/>
                <w:bCs/>
                <w:color w:val="000000"/>
                <w:sz w:val="24"/>
                <w:szCs w:val="24"/>
                <w:lang w:eastAsia="ru-RU"/>
              </w:rPr>
              <w:t>6,6</w:t>
            </w:r>
          </w:p>
        </w:tc>
        <w:tc>
          <w:tcPr>
            <w:tcW w:w="0" w:type="auto"/>
            <w:shd w:val="clear" w:color="auto" w:fill="auto"/>
          </w:tcPr>
          <w:p w:rsidR="006B6A3E" w:rsidRPr="00691330" w:rsidRDefault="006B6A3E" w:rsidP="006B6A3E">
            <w:pPr>
              <w:spacing w:line="240" w:lineRule="auto"/>
              <w:jc w:val="center"/>
              <w:rPr>
                <w:rFonts w:eastAsia="Times New Roman"/>
                <w:sz w:val="24"/>
                <w:szCs w:val="24"/>
                <w:lang w:eastAsia="ru-RU"/>
              </w:rPr>
            </w:pPr>
            <w:r w:rsidRPr="00691330">
              <w:rPr>
                <w:rFonts w:eastAsia="Times New Roman"/>
                <w:sz w:val="24"/>
                <w:szCs w:val="24"/>
                <w:lang w:eastAsia="ru-RU"/>
              </w:rPr>
              <w:t>-14,3</w:t>
            </w:r>
          </w:p>
        </w:tc>
      </w:tr>
      <w:tr w:rsidR="006B6A3E" w:rsidRPr="00691330" w:rsidTr="006E3A91">
        <w:tc>
          <w:tcPr>
            <w:tcW w:w="0" w:type="auto"/>
            <w:shd w:val="clear" w:color="auto" w:fill="auto"/>
          </w:tcPr>
          <w:p w:rsidR="006B6A3E" w:rsidRPr="00691330" w:rsidRDefault="006B6A3E" w:rsidP="006B6A3E">
            <w:pPr>
              <w:spacing w:line="240" w:lineRule="auto"/>
              <w:ind w:left="170"/>
              <w:jc w:val="left"/>
              <w:rPr>
                <w:rFonts w:eastAsia="Times New Roman"/>
                <w:sz w:val="24"/>
                <w:szCs w:val="24"/>
                <w:lang w:eastAsia="ru-RU"/>
              </w:rPr>
            </w:pPr>
            <w:r w:rsidRPr="00691330">
              <w:rPr>
                <w:rFonts w:eastAsia="Times New Roman"/>
                <w:sz w:val="24"/>
                <w:szCs w:val="24"/>
                <w:lang w:eastAsia="ru-RU"/>
              </w:rPr>
              <w:t>Вінницька</w:t>
            </w:r>
          </w:p>
        </w:tc>
        <w:tc>
          <w:tcPr>
            <w:tcW w:w="0" w:type="auto"/>
            <w:shd w:val="clear" w:color="auto" w:fill="auto"/>
          </w:tcPr>
          <w:p w:rsidR="006B6A3E" w:rsidRPr="00691330" w:rsidRDefault="006B6A3E" w:rsidP="006B6A3E">
            <w:pPr>
              <w:spacing w:line="240" w:lineRule="auto"/>
              <w:jc w:val="center"/>
              <w:rPr>
                <w:rFonts w:eastAsia="Times New Roman"/>
                <w:sz w:val="24"/>
                <w:szCs w:val="24"/>
                <w:lang w:eastAsia="ru-RU"/>
              </w:rPr>
            </w:pPr>
            <w:r w:rsidRPr="00691330">
              <w:rPr>
                <w:rFonts w:eastAsia="Times New Roman"/>
                <w:sz w:val="24"/>
                <w:szCs w:val="24"/>
                <w:lang w:eastAsia="ru-RU"/>
              </w:rPr>
              <w:t>50</w:t>
            </w:r>
          </w:p>
        </w:tc>
        <w:tc>
          <w:tcPr>
            <w:tcW w:w="0" w:type="auto"/>
            <w:shd w:val="clear" w:color="auto" w:fill="auto"/>
          </w:tcPr>
          <w:p w:rsidR="006B6A3E" w:rsidRPr="00691330" w:rsidRDefault="006B6A3E" w:rsidP="006B6A3E">
            <w:pPr>
              <w:spacing w:line="240" w:lineRule="auto"/>
              <w:jc w:val="center"/>
              <w:rPr>
                <w:rFonts w:eastAsia="Times New Roman"/>
                <w:sz w:val="24"/>
                <w:szCs w:val="24"/>
                <w:lang w:eastAsia="ru-RU"/>
              </w:rPr>
            </w:pPr>
            <w:r w:rsidRPr="00691330">
              <w:rPr>
                <w:rFonts w:eastAsia="Times New Roman"/>
                <w:sz w:val="24"/>
                <w:szCs w:val="24"/>
                <w:lang w:eastAsia="ru-RU"/>
              </w:rPr>
              <w:t>27</w:t>
            </w:r>
          </w:p>
        </w:tc>
        <w:tc>
          <w:tcPr>
            <w:tcW w:w="0" w:type="auto"/>
            <w:shd w:val="clear" w:color="auto" w:fill="auto"/>
            <w:vAlign w:val="center"/>
          </w:tcPr>
          <w:p w:rsidR="006B6A3E" w:rsidRPr="00691330" w:rsidRDefault="006B6A3E" w:rsidP="006B6A3E">
            <w:pPr>
              <w:spacing w:line="240" w:lineRule="auto"/>
              <w:jc w:val="center"/>
              <w:rPr>
                <w:rFonts w:eastAsia="Times New Roman"/>
                <w:sz w:val="24"/>
                <w:szCs w:val="24"/>
                <w:lang w:eastAsia="ru-RU"/>
              </w:rPr>
            </w:pPr>
            <w:r w:rsidRPr="00691330">
              <w:rPr>
                <w:rFonts w:eastAsia="Times New Roman"/>
                <w:sz w:val="24"/>
                <w:szCs w:val="24"/>
                <w:lang w:eastAsia="ru-RU"/>
              </w:rPr>
              <w:t>-46,0</w:t>
            </w:r>
          </w:p>
        </w:tc>
        <w:tc>
          <w:tcPr>
            <w:tcW w:w="0" w:type="auto"/>
            <w:shd w:val="clear" w:color="auto" w:fill="auto"/>
          </w:tcPr>
          <w:p w:rsidR="006B6A3E" w:rsidRPr="00691330" w:rsidRDefault="006B6A3E" w:rsidP="006B6A3E">
            <w:pPr>
              <w:spacing w:line="240" w:lineRule="auto"/>
              <w:jc w:val="center"/>
              <w:rPr>
                <w:rFonts w:eastAsia="Times New Roman"/>
                <w:sz w:val="24"/>
                <w:szCs w:val="24"/>
                <w:lang w:eastAsia="ru-RU"/>
              </w:rPr>
            </w:pPr>
            <w:r w:rsidRPr="00691330">
              <w:rPr>
                <w:rFonts w:eastAsia="Times New Roman"/>
                <w:sz w:val="24"/>
                <w:szCs w:val="24"/>
                <w:lang w:eastAsia="ru-RU"/>
              </w:rPr>
              <w:t>3,4</w:t>
            </w:r>
          </w:p>
        </w:tc>
        <w:tc>
          <w:tcPr>
            <w:tcW w:w="0" w:type="auto"/>
            <w:shd w:val="clear" w:color="auto" w:fill="auto"/>
          </w:tcPr>
          <w:p w:rsidR="006B6A3E" w:rsidRPr="00691330" w:rsidRDefault="006B6A3E" w:rsidP="006B6A3E">
            <w:pPr>
              <w:spacing w:line="240" w:lineRule="auto"/>
              <w:jc w:val="center"/>
              <w:rPr>
                <w:rFonts w:eastAsia="Times New Roman"/>
                <w:color w:val="000000"/>
                <w:sz w:val="24"/>
                <w:szCs w:val="24"/>
                <w:lang w:eastAsia="ru-RU"/>
              </w:rPr>
            </w:pPr>
            <w:r w:rsidRPr="00691330">
              <w:rPr>
                <w:rFonts w:eastAsia="Times New Roman"/>
                <w:color w:val="000000"/>
                <w:sz w:val="24"/>
                <w:szCs w:val="24"/>
                <w:lang w:eastAsia="ru-RU"/>
              </w:rPr>
              <w:t>1,8</w:t>
            </w:r>
          </w:p>
        </w:tc>
        <w:tc>
          <w:tcPr>
            <w:tcW w:w="0" w:type="auto"/>
            <w:shd w:val="clear" w:color="auto" w:fill="auto"/>
            <w:vAlign w:val="center"/>
          </w:tcPr>
          <w:p w:rsidR="006B6A3E" w:rsidRPr="00691330" w:rsidRDefault="006B6A3E" w:rsidP="006B6A3E">
            <w:pPr>
              <w:spacing w:line="240" w:lineRule="auto"/>
              <w:jc w:val="center"/>
              <w:rPr>
                <w:rFonts w:eastAsia="Times New Roman"/>
                <w:sz w:val="24"/>
                <w:szCs w:val="24"/>
                <w:lang w:eastAsia="ru-RU"/>
              </w:rPr>
            </w:pPr>
            <w:r w:rsidRPr="00691330">
              <w:rPr>
                <w:rFonts w:eastAsia="Times New Roman"/>
                <w:sz w:val="24"/>
                <w:szCs w:val="24"/>
                <w:lang w:eastAsia="ru-RU"/>
              </w:rPr>
              <w:t>-47,1</w:t>
            </w:r>
          </w:p>
        </w:tc>
      </w:tr>
      <w:tr w:rsidR="006B6A3E" w:rsidRPr="00691330" w:rsidTr="006E3A91">
        <w:tc>
          <w:tcPr>
            <w:tcW w:w="0" w:type="auto"/>
            <w:shd w:val="clear" w:color="auto" w:fill="auto"/>
          </w:tcPr>
          <w:p w:rsidR="006B6A3E" w:rsidRPr="00691330" w:rsidRDefault="006B6A3E" w:rsidP="006B6A3E">
            <w:pPr>
              <w:spacing w:line="240" w:lineRule="auto"/>
              <w:ind w:left="170"/>
              <w:jc w:val="left"/>
              <w:rPr>
                <w:rFonts w:eastAsia="Times New Roman"/>
                <w:sz w:val="24"/>
                <w:szCs w:val="24"/>
                <w:lang w:eastAsia="ru-RU"/>
              </w:rPr>
            </w:pPr>
            <w:r w:rsidRPr="00691330">
              <w:rPr>
                <w:rFonts w:eastAsia="Times New Roman"/>
                <w:sz w:val="24"/>
                <w:szCs w:val="24"/>
                <w:lang w:eastAsia="ru-RU"/>
              </w:rPr>
              <w:t>Волинська</w:t>
            </w:r>
          </w:p>
        </w:tc>
        <w:tc>
          <w:tcPr>
            <w:tcW w:w="0" w:type="auto"/>
            <w:shd w:val="clear" w:color="auto" w:fill="auto"/>
          </w:tcPr>
          <w:p w:rsidR="006B6A3E" w:rsidRPr="00691330" w:rsidRDefault="006B6A3E" w:rsidP="006B6A3E">
            <w:pPr>
              <w:spacing w:line="240" w:lineRule="auto"/>
              <w:jc w:val="center"/>
              <w:rPr>
                <w:rFonts w:eastAsia="Times New Roman"/>
                <w:sz w:val="24"/>
                <w:szCs w:val="24"/>
                <w:lang w:eastAsia="ru-RU"/>
              </w:rPr>
            </w:pPr>
            <w:r w:rsidRPr="00691330">
              <w:rPr>
                <w:rFonts w:eastAsia="Times New Roman"/>
                <w:sz w:val="24"/>
                <w:szCs w:val="24"/>
                <w:lang w:eastAsia="ru-RU"/>
              </w:rPr>
              <w:t>113</w:t>
            </w:r>
          </w:p>
        </w:tc>
        <w:tc>
          <w:tcPr>
            <w:tcW w:w="0" w:type="auto"/>
            <w:shd w:val="clear" w:color="auto" w:fill="auto"/>
          </w:tcPr>
          <w:p w:rsidR="006B6A3E" w:rsidRPr="00691330" w:rsidRDefault="006B6A3E" w:rsidP="006B6A3E">
            <w:pPr>
              <w:spacing w:line="240" w:lineRule="auto"/>
              <w:jc w:val="center"/>
              <w:rPr>
                <w:rFonts w:eastAsia="Times New Roman"/>
                <w:sz w:val="24"/>
                <w:szCs w:val="24"/>
                <w:lang w:eastAsia="ru-RU"/>
              </w:rPr>
            </w:pPr>
            <w:r w:rsidRPr="00691330">
              <w:rPr>
                <w:rFonts w:eastAsia="Times New Roman"/>
                <w:sz w:val="24"/>
                <w:szCs w:val="24"/>
                <w:lang w:eastAsia="ru-RU"/>
              </w:rPr>
              <w:t>91</w:t>
            </w:r>
          </w:p>
        </w:tc>
        <w:tc>
          <w:tcPr>
            <w:tcW w:w="0" w:type="auto"/>
            <w:shd w:val="clear" w:color="auto" w:fill="auto"/>
            <w:vAlign w:val="center"/>
          </w:tcPr>
          <w:p w:rsidR="006B6A3E" w:rsidRPr="00691330" w:rsidRDefault="006B6A3E" w:rsidP="006B6A3E">
            <w:pPr>
              <w:spacing w:line="240" w:lineRule="auto"/>
              <w:jc w:val="center"/>
              <w:rPr>
                <w:rFonts w:eastAsia="Times New Roman"/>
                <w:sz w:val="24"/>
                <w:szCs w:val="24"/>
                <w:lang w:eastAsia="ru-RU"/>
              </w:rPr>
            </w:pPr>
            <w:r w:rsidRPr="00691330">
              <w:rPr>
                <w:rFonts w:eastAsia="Times New Roman"/>
                <w:sz w:val="24"/>
                <w:szCs w:val="24"/>
                <w:lang w:eastAsia="ru-RU"/>
              </w:rPr>
              <w:t>-19,5</w:t>
            </w:r>
          </w:p>
        </w:tc>
        <w:tc>
          <w:tcPr>
            <w:tcW w:w="0" w:type="auto"/>
            <w:shd w:val="clear" w:color="auto" w:fill="auto"/>
          </w:tcPr>
          <w:p w:rsidR="006B6A3E" w:rsidRPr="00691330" w:rsidRDefault="006B6A3E" w:rsidP="006B6A3E">
            <w:pPr>
              <w:spacing w:line="240" w:lineRule="auto"/>
              <w:jc w:val="center"/>
              <w:rPr>
                <w:rFonts w:eastAsia="Times New Roman"/>
                <w:sz w:val="24"/>
                <w:szCs w:val="24"/>
                <w:lang w:eastAsia="ru-RU"/>
              </w:rPr>
            </w:pPr>
            <w:r w:rsidRPr="00691330">
              <w:rPr>
                <w:rFonts w:eastAsia="Times New Roman"/>
                <w:sz w:val="24"/>
                <w:szCs w:val="24"/>
                <w:lang w:eastAsia="ru-RU"/>
              </w:rPr>
              <w:t>10,1</w:t>
            </w:r>
          </w:p>
        </w:tc>
        <w:tc>
          <w:tcPr>
            <w:tcW w:w="0" w:type="auto"/>
            <w:shd w:val="clear" w:color="auto" w:fill="auto"/>
          </w:tcPr>
          <w:p w:rsidR="006B6A3E" w:rsidRPr="00691330" w:rsidRDefault="006B6A3E" w:rsidP="006B6A3E">
            <w:pPr>
              <w:spacing w:line="240" w:lineRule="auto"/>
              <w:jc w:val="center"/>
              <w:rPr>
                <w:rFonts w:eastAsia="Times New Roman"/>
                <w:color w:val="000000"/>
                <w:sz w:val="24"/>
                <w:szCs w:val="24"/>
                <w:lang w:eastAsia="ru-RU"/>
              </w:rPr>
            </w:pPr>
            <w:r w:rsidRPr="00691330">
              <w:rPr>
                <w:rFonts w:eastAsia="Times New Roman"/>
                <w:color w:val="000000"/>
                <w:sz w:val="24"/>
                <w:szCs w:val="24"/>
                <w:lang w:eastAsia="ru-RU"/>
              </w:rPr>
              <w:t>7,9</w:t>
            </w:r>
          </w:p>
        </w:tc>
        <w:tc>
          <w:tcPr>
            <w:tcW w:w="0" w:type="auto"/>
            <w:shd w:val="clear" w:color="auto" w:fill="auto"/>
            <w:vAlign w:val="center"/>
          </w:tcPr>
          <w:p w:rsidR="006B6A3E" w:rsidRPr="00691330" w:rsidRDefault="006B6A3E" w:rsidP="006B6A3E">
            <w:pPr>
              <w:spacing w:line="240" w:lineRule="auto"/>
              <w:jc w:val="center"/>
              <w:rPr>
                <w:rFonts w:eastAsia="Times New Roman"/>
                <w:sz w:val="24"/>
                <w:szCs w:val="24"/>
                <w:lang w:eastAsia="ru-RU"/>
              </w:rPr>
            </w:pPr>
            <w:r w:rsidRPr="00691330">
              <w:rPr>
                <w:rFonts w:eastAsia="Times New Roman"/>
                <w:sz w:val="24"/>
                <w:szCs w:val="24"/>
                <w:lang w:eastAsia="ru-RU"/>
              </w:rPr>
              <w:t>-21,8</w:t>
            </w:r>
          </w:p>
        </w:tc>
      </w:tr>
      <w:tr w:rsidR="006B6A3E" w:rsidRPr="00691330" w:rsidTr="006E3A91">
        <w:tc>
          <w:tcPr>
            <w:tcW w:w="0" w:type="auto"/>
            <w:shd w:val="clear" w:color="auto" w:fill="auto"/>
          </w:tcPr>
          <w:p w:rsidR="006B6A3E" w:rsidRPr="00691330" w:rsidRDefault="006B6A3E" w:rsidP="006B6A3E">
            <w:pPr>
              <w:spacing w:line="240" w:lineRule="auto"/>
              <w:ind w:left="170"/>
              <w:jc w:val="left"/>
              <w:rPr>
                <w:rFonts w:eastAsia="Times New Roman"/>
                <w:sz w:val="24"/>
                <w:szCs w:val="24"/>
                <w:lang w:eastAsia="ru-RU"/>
              </w:rPr>
            </w:pPr>
            <w:r w:rsidRPr="00691330">
              <w:rPr>
                <w:rFonts w:eastAsia="Times New Roman"/>
                <w:sz w:val="24"/>
                <w:szCs w:val="24"/>
                <w:lang w:eastAsia="ru-RU"/>
              </w:rPr>
              <w:t>Дніпропетровська</w:t>
            </w:r>
          </w:p>
        </w:tc>
        <w:tc>
          <w:tcPr>
            <w:tcW w:w="0" w:type="auto"/>
            <w:shd w:val="clear" w:color="auto" w:fill="auto"/>
          </w:tcPr>
          <w:p w:rsidR="006B6A3E" w:rsidRPr="00691330" w:rsidRDefault="006B6A3E" w:rsidP="006B6A3E">
            <w:pPr>
              <w:spacing w:line="240" w:lineRule="auto"/>
              <w:jc w:val="center"/>
              <w:rPr>
                <w:rFonts w:eastAsia="Times New Roman"/>
                <w:sz w:val="24"/>
                <w:szCs w:val="24"/>
                <w:lang w:eastAsia="ru-RU"/>
              </w:rPr>
            </w:pPr>
            <w:r w:rsidRPr="00691330">
              <w:rPr>
                <w:rFonts w:eastAsia="Times New Roman"/>
                <w:sz w:val="24"/>
                <w:szCs w:val="24"/>
                <w:lang w:eastAsia="ru-RU"/>
              </w:rPr>
              <w:t>163</w:t>
            </w:r>
          </w:p>
        </w:tc>
        <w:tc>
          <w:tcPr>
            <w:tcW w:w="0" w:type="auto"/>
            <w:shd w:val="clear" w:color="auto" w:fill="auto"/>
          </w:tcPr>
          <w:p w:rsidR="006B6A3E" w:rsidRPr="00691330" w:rsidRDefault="006B6A3E" w:rsidP="006B6A3E">
            <w:pPr>
              <w:spacing w:line="240" w:lineRule="auto"/>
              <w:jc w:val="center"/>
              <w:rPr>
                <w:rFonts w:eastAsia="Times New Roman"/>
                <w:color w:val="000000"/>
                <w:sz w:val="24"/>
                <w:szCs w:val="24"/>
                <w:lang w:eastAsia="ru-RU"/>
              </w:rPr>
            </w:pPr>
            <w:r w:rsidRPr="00691330">
              <w:rPr>
                <w:rFonts w:eastAsia="Times New Roman"/>
                <w:color w:val="000000"/>
                <w:sz w:val="24"/>
                <w:szCs w:val="24"/>
                <w:lang w:eastAsia="ru-RU"/>
              </w:rPr>
              <w:t>158</w:t>
            </w:r>
          </w:p>
        </w:tc>
        <w:tc>
          <w:tcPr>
            <w:tcW w:w="0" w:type="auto"/>
            <w:shd w:val="clear" w:color="auto" w:fill="auto"/>
            <w:vAlign w:val="center"/>
          </w:tcPr>
          <w:p w:rsidR="006B6A3E" w:rsidRPr="00691330" w:rsidRDefault="006B6A3E" w:rsidP="006B6A3E">
            <w:pPr>
              <w:spacing w:line="240" w:lineRule="auto"/>
              <w:jc w:val="center"/>
              <w:rPr>
                <w:rFonts w:eastAsia="Times New Roman"/>
                <w:sz w:val="24"/>
                <w:szCs w:val="24"/>
                <w:lang w:eastAsia="ru-RU"/>
              </w:rPr>
            </w:pPr>
            <w:r w:rsidRPr="00691330">
              <w:rPr>
                <w:rFonts w:eastAsia="Times New Roman"/>
                <w:sz w:val="24"/>
                <w:szCs w:val="24"/>
                <w:lang w:eastAsia="ru-RU"/>
              </w:rPr>
              <w:t>-3,1</w:t>
            </w:r>
          </w:p>
        </w:tc>
        <w:tc>
          <w:tcPr>
            <w:tcW w:w="0" w:type="auto"/>
            <w:shd w:val="clear" w:color="auto" w:fill="auto"/>
          </w:tcPr>
          <w:p w:rsidR="006B6A3E" w:rsidRPr="00691330" w:rsidRDefault="006B6A3E" w:rsidP="006B6A3E">
            <w:pPr>
              <w:spacing w:line="240" w:lineRule="auto"/>
              <w:jc w:val="center"/>
              <w:rPr>
                <w:rFonts w:eastAsia="Times New Roman"/>
                <w:sz w:val="24"/>
                <w:szCs w:val="24"/>
                <w:lang w:eastAsia="ru-RU"/>
              </w:rPr>
            </w:pPr>
            <w:r w:rsidRPr="00691330">
              <w:rPr>
                <w:rFonts w:eastAsia="Times New Roman"/>
                <w:sz w:val="24"/>
                <w:szCs w:val="24"/>
                <w:lang w:eastAsia="ru-RU"/>
              </w:rPr>
              <w:t>3,5</w:t>
            </w:r>
          </w:p>
        </w:tc>
        <w:tc>
          <w:tcPr>
            <w:tcW w:w="0" w:type="auto"/>
            <w:shd w:val="clear" w:color="auto" w:fill="auto"/>
          </w:tcPr>
          <w:p w:rsidR="006B6A3E" w:rsidRPr="00691330" w:rsidRDefault="006B6A3E" w:rsidP="006B6A3E">
            <w:pPr>
              <w:spacing w:line="240" w:lineRule="auto"/>
              <w:jc w:val="center"/>
              <w:rPr>
                <w:rFonts w:eastAsia="Times New Roman"/>
                <w:color w:val="000000"/>
                <w:sz w:val="24"/>
                <w:szCs w:val="24"/>
                <w:lang w:eastAsia="ru-RU"/>
              </w:rPr>
            </w:pPr>
            <w:r w:rsidRPr="00691330">
              <w:rPr>
                <w:rFonts w:eastAsia="Times New Roman"/>
                <w:color w:val="000000"/>
                <w:sz w:val="24"/>
                <w:szCs w:val="24"/>
                <w:lang w:eastAsia="ru-RU"/>
              </w:rPr>
              <w:t>3,3</w:t>
            </w:r>
          </w:p>
        </w:tc>
        <w:tc>
          <w:tcPr>
            <w:tcW w:w="0" w:type="auto"/>
            <w:shd w:val="clear" w:color="auto" w:fill="auto"/>
            <w:vAlign w:val="center"/>
          </w:tcPr>
          <w:p w:rsidR="006B6A3E" w:rsidRPr="00691330" w:rsidRDefault="006B6A3E" w:rsidP="006B6A3E">
            <w:pPr>
              <w:spacing w:line="240" w:lineRule="auto"/>
              <w:jc w:val="center"/>
              <w:rPr>
                <w:rFonts w:eastAsia="Times New Roman"/>
                <w:sz w:val="24"/>
                <w:szCs w:val="24"/>
                <w:lang w:eastAsia="ru-RU"/>
              </w:rPr>
            </w:pPr>
            <w:r w:rsidRPr="00691330">
              <w:rPr>
                <w:rFonts w:eastAsia="Times New Roman"/>
                <w:sz w:val="24"/>
                <w:szCs w:val="24"/>
                <w:lang w:eastAsia="ru-RU"/>
              </w:rPr>
              <w:t>-5,7</w:t>
            </w:r>
          </w:p>
        </w:tc>
      </w:tr>
      <w:tr w:rsidR="006B6A3E" w:rsidRPr="00691330" w:rsidTr="006E3A91">
        <w:tc>
          <w:tcPr>
            <w:tcW w:w="0" w:type="auto"/>
            <w:shd w:val="clear" w:color="auto" w:fill="auto"/>
          </w:tcPr>
          <w:p w:rsidR="006B6A3E" w:rsidRPr="00691330" w:rsidRDefault="006B6A3E" w:rsidP="006B6A3E">
            <w:pPr>
              <w:spacing w:line="240" w:lineRule="auto"/>
              <w:ind w:left="170"/>
              <w:jc w:val="left"/>
              <w:rPr>
                <w:rFonts w:eastAsia="Times New Roman"/>
                <w:sz w:val="24"/>
                <w:szCs w:val="24"/>
                <w:lang w:eastAsia="ru-RU"/>
              </w:rPr>
            </w:pPr>
            <w:r w:rsidRPr="00691330">
              <w:rPr>
                <w:rFonts w:eastAsia="Times New Roman"/>
                <w:sz w:val="24"/>
                <w:szCs w:val="24"/>
                <w:lang w:eastAsia="ru-RU"/>
              </w:rPr>
              <w:t>Донецька*</w:t>
            </w:r>
          </w:p>
        </w:tc>
        <w:tc>
          <w:tcPr>
            <w:tcW w:w="0" w:type="auto"/>
            <w:shd w:val="clear" w:color="auto" w:fill="auto"/>
          </w:tcPr>
          <w:p w:rsidR="006B6A3E" w:rsidRPr="00691330" w:rsidRDefault="006B6A3E" w:rsidP="006B6A3E">
            <w:pPr>
              <w:spacing w:line="240" w:lineRule="auto"/>
              <w:jc w:val="center"/>
              <w:rPr>
                <w:rFonts w:eastAsia="Times New Roman"/>
                <w:sz w:val="24"/>
                <w:szCs w:val="24"/>
                <w:lang w:eastAsia="ru-RU"/>
              </w:rPr>
            </w:pPr>
            <w:r w:rsidRPr="00691330">
              <w:rPr>
                <w:rFonts w:eastAsia="Times New Roman"/>
                <w:sz w:val="24"/>
                <w:szCs w:val="24"/>
                <w:lang w:eastAsia="ru-RU"/>
              </w:rPr>
              <w:t>166</w:t>
            </w:r>
          </w:p>
        </w:tc>
        <w:tc>
          <w:tcPr>
            <w:tcW w:w="0" w:type="auto"/>
            <w:shd w:val="clear" w:color="auto" w:fill="auto"/>
          </w:tcPr>
          <w:p w:rsidR="006B6A3E" w:rsidRPr="00691330" w:rsidRDefault="006B6A3E" w:rsidP="006B6A3E">
            <w:pPr>
              <w:spacing w:line="240" w:lineRule="auto"/>
              <w:jc w:val="center"/>
              <w:rPr>
                <w:rFonts w:eastAsia="Times New Roman"/>
                <w:color w:val="000000"/>
                <w:sz w:val="24"/>
                <w:szCs w:val="24"/>
                <w:lang w:eastAsia="ru-RU"/>
              </w:rPr>
            </w:pPr>
            <w:r w:rsidRPr="00691330">
              <w:rPr>
                <w:rFonts w:eastAsia="Times New Roman"/>
                <w:color w:val="000000"/>
                <w:sz w:val="24"/>
                <w:szCs w:val="24"/>
                <w:lang w:eastAsia="ru-RU"/>
              </w:rPr>
              <w:t>136</w:t>
            </w:r>
          </w:p>
        </w:tc>
        <w:tc>
          <w:tcPr>
            <w:tcW w:w="0" w:type="auto"/>
            <w:shd w:val="clear" w:color="auto" w:fill="auto"/>
            <w:vAlign w:val="center"/>
          </w:tcPr>
          <w:p w:rsidR="006B6A3E" w:rsidRPr="00691330" w:rsidRDefault="006B6A3E" w:rsidP="006B6A3E">
            <w:pPr>
              <w:spacing w:line="240" w:lineRule="auto"/>
              <w:jc w:val="center"/>
              <w:rPr>
                <w:rFonts w:eastAsia="Times New Roman"/>
                <w:sz w:val="24"/>
                <w:szCs w:val="24"/>
                <w:lang w:eastAsia="ru-RU"/>
              </w:rPr>
            </w:pPr>
            <w:r w:rsidRPr="00691330">
              <w:rPr>
                <w:rFonts w:eastAsia="Times New Roman"/>
                <w:sz w:val="24"/>
                <w:szCs w:val="24"/>
                <w:lang w:eastAsia="ru-RU"/>
              </w:rPr>
              <w:t>-18,1</w:t>
            </w:r>
          </w:p>
        </w:tc>
        <w:tc>
          <w:tcPr>
            <w:tcW w:w="0" w:type="auto"/>
            <w:shd w:val="clear" w:color="auto" w:fill="auto"/>
          </w:tcPr>
          <w:p w:rsidR="006B6A3E" w:rsidRPr="00691330" w:rsidRDefault="006B6A3E" w:rsidP="006B6A3E">
            <w:pPr>
              <w:spacing w:line="240" w:lineRule="auto"/>
              <w:jc w:val="center"/>
              <w:rPr>
                <w:rFonts w:eastAsia="Times New Roman"/>
                <w:sz w:val="24"/>
                <w:szCs w:val="24"/>
                <w:lang w:eastAsia="ru-RU"/>
              </w:rPr>
            </w:pPr>
            <w:r w:rsidRPr="00691330">
              <w:rPr>
                <w:rFonts w:eastAsia="Times New Roman"/>
                <w:sz w:val="24"/>
                <w:szCs w:val="24"/>
                <w:lang w:eastAsia="ru-RU"/>
              </w:rPr>
              <w:t>2,8</w:t>
            </w:r>
          </w:p>
        </w:tc>
        <w:tc>
          <w:tcPr>
            <w:tcW w:w="0" w:type="auto"/>
            <w:shd w:val="clear" w:color="auto" w:fill="auto"/>
          </w:tcPr>
          <w:p w:rsidR="006B6A3E" w:rsidRPr="00691330" w:rsidRDefault="006B6A3E" w:rsidP="006B6A3E">
            <w:pPr>
              <w:spacing w:line="240" w:lineRule="auto"/>
              <w:jc w:val="center"/>
              <w:rPr>
                <w:rFonts w:eastAsia="Times New Roman"/>
                <w:color w:val="000000"/>
                <w:sz w:val="24"/>
                <w:szCs w:val="24"/>
                <w:lang w:eastAsia="ru-RU"/>
              </w:rPr>
            </w:pPr>
            <w:r w:rsidRPr="00691330">
              <w:rPr>
                <w:rFonts w:eastAsia="Times New Roman"/>
                <w:color w:val="000000"/>
                <w:sz w:val="24"/>
                <w:szCs w:val="24"/>
                <w:lang w:eastAsia="ru-RU"/>
              </w:rPr>
              <w:t>5,3</w:t>
            </w:r>
          </w:p>
        </w:tc>
        <w:tc>
          <w:tcPr>
            <w:tcW w:w="0" w:type="auto"/>
            <w:shd w:val="clear" w:color="auto" w:fill="auto"/>
            <w:vAlign w:val="center"/>
          </w:tcPr>
          <w:p w:rsidR="006B6A3E" w:rsidRPr="00691330" w:rsidRDefault="006B6A3E" w:rsidP="006B6A3E">
            <w:pPr>
              <w:spacing w:line="240" w:lineRule="auto"/>
              <w:jc w:val="center"/>
              <w:rPr>
                <w:rFonts w:eastAsia="Times New Roman"/>
                <w:sz w:val="24"/>
                <w:szCs w:val="24"/>
                <w:lang w:eastAsia="ru-RU"/>
              </w:rPr>
            </w:pPr>
            <w:r w:rsidRPr="00691330">
              <w:rPr>
                <w:rFonts w:eastAsia="Times New Roman"/>
                <w:sz w:val="24"/>
                <w:szCs w:val="24"/>
                <w:lang w:eastAsia="ru-RU"/>
              </w:rPr>
              <w:t>189,3</w:t>
            </w:r>
          </w:p>
        </w:tc>
      </w:tr>
      <w:tr w:rsidR="006B6A3E" w:rsidRPr="00691330" w:rsidTr="006E3A91">
        <w:tc>
          <w:tcPr>
            <w:tcW w:w="0" w:type="auto"/>
            <w:shd w:val="clear" w:color="auto" w:fill="auto"/>
          </w:tcPr>
          <w:p w:rsidR="006B6A3E" w:rsidRPr="00691330" w:rsidRDefault="006B6A3E" w:rsidP="006B6A3E">
            <w:pPr>
              <w:spacing w:line="240" w:lineRule="auto"/>
              <w:ind w:left="170"/>
              <w:jc w:val="left"/>
              <w:rPr>
                <w:rFonts w:eastAsia="Times New Roman"/>
                <w:sz w:val="24"/>
                <w:szCs w:val="24"/>
                <w:lang w:eastAsia="ru-RU"/>
              </w:rPr>
            </w:pPr>
            <w:r w:rsidRPr="00691330">
              <w:rPr>
                <w:rFonts w:eastAsia="Times New Roman"/>
                <w:sz w:val="24"/>
                <w:szCs w:val="24"/>
                <w:lang w:eastAsia="ru-RU"/>
              </w:rPr>
              <w:t>Житомирська</w:t>
            </w:r>
          </w:p>
        </w:tc>
        <w:tc>
          <w:tcPr>
            <w:tcW w:w="0" w:type="auto"/>
            <w:shd w:val="clear" w:color="auto" w:fill="auto"/>
          </w:tcPr>
          <w:p w:rsidR="006B6A3E" w:rsidRPr="00691330" w:rsidRDefault="006B6A3E" w:rsidP="006B6A3E">
            <w:pPr>
              <w:spacing w:line="240" w:lineRule="auto"/>
              <w:jc w:val="center"/>
              <w:rPr>
                <w:rFonts w:eastAsia="Times New Roman"/>
                <w:sz w:val="24"/>
                <w:szCs w:val="24"/>
                <w:lang w:eastAsia="ru-RU"/>
              </w:rPr>
            </w:pPr>
            <w:r w:rsidRPr="00691330">
              <w:rPr>
                <w:rFonts w:eastAsia="Times New Roman"/>
                <w:sz w:val="24"/>
                <w:szCs w:val="24"/>
                <w:lang w:eastAsia="ru-RU"/>
              </w:rPr>
              <w:t>137</w:t>
            </w:r>
          </w:p>
        </w:tc>
        <w:tc>
          <w:tcPr>
            <w:tcW w:w="0" w:type="auto"/>
            <w:shd w:val="clear" w:color="auto" w:fill="auto"/>
          </w:tcPr>
          <w:p w:rsidR="006B6A3E" w:rsidRPr="00691330" w:rsidRDefault="006B6A3E" w:rsidP="006B6A3E">
            <w:pPr>
              <w:spacing w:line="240" w:lineRule="auto"/>
              <w:jc w:val="center"/>
              <w:rPr>
                <w:rFonts w:eastAsia="Times New Roman"/>
                <w:color w:val="000000"/>
                <w:sz w:val="24"/>
                <w:szCs w:val="24"/>
                <w:lang w:eastAsia="ru-RU"/>
              </w:rPr>
            </w:pPr>
            <w:r w:rsidRPr="00691330">
              <w:rPr>
                <w:rFonts w:eastAsia="Times New Roman"/>
                <w:color w:val="000000"/>
                <w:sz w:val="24"/>
                <w:szCs w:val="24"/>
                <w:lang w:eastAsia="ru-RU"/>
              </w:rPr>
              <w:t>128</w:t>
            </w:r>
          </w:p>
        </w:tc>
        <w:tc>
          <w:tcPr>
            <w:tcW w:w="0" w:type="auto"/>
            <w:shd w:val="clear" w:color="auto" w:fill="auto"/>
            <w:vAlign w:val="center"/>
          </w:tcPr>
          <w:p w:rsidR="006B6A3E" w:rsidRPr="00691330" w:rsidRDefault="006B6A3E" w:rsidP="006B6A3E">
            <w:pPr>
              <w:spacing w:line="240" w:lineRule="auto"/>
              <w:jc w:val="center"/>
              <w:rPr>
                <w:rFonts w:eastAsia="Times New Roman"/>
                <w:sz w:val="24"/>
                <w:szCs w:val="24"/>
                <w:lang w:eastAsia="ru-RU"/>
              </w:rPr>
            </w:pPr>
            <w:r w:rsidRPr="00691330">
              <w:rPr>
                <w:rFonts w:eastAsia="Times New Roman"/>
                <w:sz w:val="24"/>
                <w:szCs w:val="24"/>
                <w:lang w:eastAsia="ru-RU"/>
              </w:rPr>
              <w:t>-6,6</w:t>
            </w:r>
          </w:p>
        </w:tc>
        <w:tc>
          <w:tcPr>
            <w:tcW w:w="0" w:type="auto"/>
            <w:shd w:val="clear" w:color="auto" w:fill="auto"/>
          </w:tcPr>
          <w:p w:rsidR="006B6A3E" w:rsidRPr="00691330" w:rsidRDefault="006B6A3E" w:rsidP="006B6A3E">
            <w:pPr>
              <w:spacing w:line="240" w:lineRule="auto"/>
              <w:jc w:val="center"/>
              <w:rPr>
                <w:rFonts w:eastAsia="Times New Roman"/>
                <w:sz w:val="24"/>
                <w:szCs w:val="24"/>
                <w:lang w:eastAsia="ru-RU"/>
              </w:rPr>
            </w:pPr>
            <w:r w:rsidRPr="00691330">
              <w:rPr>
                <w:rFonts w:eastAsia="Times New Roman"/>
                <w:sz w:val="24"/>
                <w:szCs w:val="24"/>
                <w:lang w:eastAsia="ru-RU"/>
              </w:rPr>
              <w:t>9,8</w:t>
            </w:r>
          </w:p>
        </w:tc>
        <w:tc>
          <w:tcPr>
            <w:tcW w:w="0" w:type="auto"/>
            <w:shd w:val="clear" w:color="auto" w:fill="auto"/>
          </w:tcPr>
          <w:p w:rsidR="006B6A3E" w:rsidRPr="00691330" w:rsidRDefault="006B6A3E" w:rsidP="006B6A3E">
            <w:pPr>
              <w:spacing w:line="240" w:lineRule="auto"/>
              <w:jc w:val="center"/>
              <w:rPr>
                <w:rFonts w:eastAsia="Times New Roman"/>
                <w:color w:val="000000"/>
                <w:sz w:val="24"/>
                <w:szCs w:val="24"/>
                <w:lang w:eastAsia="ru-RU"/>
              </w:rPr>
            </w:pPr>
            <w:r w:rsidRPr="00691330">
              <w:rPr>
                <w:rFonts w:eastAsia="Times New Roman"/>
                <w:color w:val="000000"/>
                <w:sz w:val="24"/>
                <w:szCs w:val="24"/>
                <w:lang w:eastAsia="ru-RU"/>
              </w:rPr>
              <w:t>9,2</w:t>
            </w:r>
          </w:p>
        </w:tc>
        <w:tc>
          <w:tcPr>
            <w:tcW w:w="0" w:type="auto"/>
            <w:shd w:val="clear" w:color="auto" w:fill="auto"/>
            <w:vAlign w:val="center"/>
          </w:tcPr>
          <w:p w:rsidR="006B6A3E" w:rsidRPr="00691330" w:rsidRDefault="006B6A3E" w:rsidP="006B6A3E">
            <w:pPr>
              <w:spacing w:line="240" w:lineRule="auto"/>
              <w:jc w:val="center"/>
              <w:rPr>
                <w:rFonts w:eastAsia="Times New Roman"/>
                <w:sz w:val="24"/>
                <w:szCs w:val="24"/>
                <w:lang w:eastAsia="ru-RU"/>
              </w:rPr>
            </w:pPr>
            <w:r w:rsidRPr="00691330">
              <w:rPr>
                <w:rFonts w:eastAsia="Times New Roman"/>
                <w:sz w:val="24"/>
                <w:szCs w:val="24"/>
                <w:lang w:eastAsia="ru-RU"/>
              </w:rPr>
              <w:t>-6,1</w:t>
            </w:r>
          </w:p>
        </w:tc>
      </w:tr>
      <w:tr w:rsidR="006B6A3E" w:rsidRPr="00691330" w:rsidTr="006E3A91">
        <w:tc>
          <w:tcPr>
            <w:tcW w:w="0" w:type="auto"/>
            <w:shd w:val="clear" w:color="auto" w:fill="auto"/>
          </w:tcPr>
          <w:p w:rsidR="006B6A3E" w:rsidRPr="00691330" w:rsidRDefault="006B6A3E" w:rsidP="006B6A3E">
            <w:pPr>
              <w:spacing w:line="240" w:lineRule="auto"/>
              <w:ind w:left="170"/>
              <w:jc w:val="left"/>
              <w:rPr>
                <w:rFonts w:eastAsia="Times New Roman"/>
                <w:sz w:val="24"/>
                <w:szCs w:val="24"/>
                <w:lang w:eastAsia="ru-RU"/>
              </w:rPr>
            </w:pPr>
            <w:r w:rsidRPr="00691330">
              <w:rPr>
                <w:rFonts w:eastAsia="Times New Roman"/>
                <w:sz w:val="24"/>
                <w:szCs w:val="24"/>
                <w:lang w:eastAsia="ru-RU"/>
              </w:rPr>
              <w:t>Закарпатська</w:t>
            </w:r>
          </w:p>
        </w:tc>
        <w:tc>
          <w:tcPr>
            <w:tcW w:w="0" w:type="auto"/>
            <w:shd w:val="clear" w:color="auto" w:fill="auto"/>
          </w:tcPr>
          <w:p w:rsidR="006B6A3E" w:rsidRPr="00691330" w:rsidRDefault="006B6A3E" w:rsidP="006B6A3E">
            <w:pPr>
              <w:spacing w:line="240" w:lineRule="auto"/>
              <w:jc w:val="center"/>
              <w:rPr>
                <w:rFonts w:eastAsia="Times New Roman"/>
                <w:sz w:val="24"/>
                <w:szCs w:val="24"/>
                <w:lang w:eastAsia="ru-RU"/>
              </w:rPr>
            </w:pPr>
            <w:r w:rsidRPr="00691330">
              <w:rPr>
                <w:rFonts w:eastAsia="Times New Roman"/>
                <w:sz w:val="24"/>
                <w:szCs w:val="24"/>
                <w:lang w:eastAsia="ru-RU"/>
              </w:rPr>
              <w:t>36</w:t>
            </w:r>
          </w:p>
        </w:tc>
        <w:tc>
          <w:tcPr>
            <w:tcW w:w="0" w:type="auto"/>
            <w:shd w:val="clear" w:color="auto" w:fill="auto"/>
          </w:tcPr>
          <w:p w:rsidR="006B6A3E" w:rsidRPr="00691330" w:rsidRDefault="006B6A3E" w:rsidP="006B6A3E">
            <w:pPr>
              <w:spacing w:line="240" w:lineRule="auto"/>
              <w:jc w:val="center"/>
              <w:rPr>
                <w:rFonts w:eastAsia="Times New Roman"/>
                <w:color w:val="000000"/>
                <w:sz w:val="24"/>
                <w:szCs w:val="24"/>
                <w:lang w:eastAsia="ru-RU"/>
              </w:rPr>
            </w:pPr>
            <w:r w:rsidRPr="00691330">
              <w:rPr>
                <w:rFonts w:eastAsia="Times New Roman"/>
                <w:color w:val="000000"/>
                <w:sz w:val="24"/>
                <w:szCs w:val="24"/>
                <w:lang w:eastAsia="ru-RU"/>
              </w:rPr>
              <w:t>11</w:t>
            </w:r>
          </w:p>
        </w:tc>
        <w:tc>
          <w:tcPr>
            <w:tcW w:w="0" w:type="auto"/>
            <w:shd w:val="clear" w:color="auto" w:fill="auto"/>
            <w:vAlign w:val="center"/>
          </w:tcPr>
          <w:p w:rsidR="006B6A3E" w:rsidRPr="00691330" w:rsidRDefault="006B6A3E" w:rsidP="006B6A3E">
            <w:pPr>
              <w:spacing w:line="240" w:lineRule="auto"/>
              <w:jc w:val="center"/>
              <w:rPr>
                <w:rFonts w:eastAsia="Times New Roman"/>
                <w:sz w:val="24"/>
                <w:szCs w:val="24"/>
                <w:lang w:eastAsia="ru-RU"/>
              </w:rPr>
            </w:pPr>
            <w:r w:rsidRPr="00691330">
              <w:rPr>
                <w:rFonts w:eastAsia="Times New Roman"/>
                <w:sz w:val="24"/>
                <w:szCs w:val="24"/>
                <w:lang w:eastAsia="ru-RU"/>
              </w:rPr>
              <w:t>-69,4</w:t>
            </w:r>
          </w:p>
        </w:tc>
        <w:tc>
          <w:tcPr>
            <w:tcW w:w="0" w:type="auto"/>
            <w:shd w:val="clear" w:color="auto" w:fill="auto"/>
          </w:tcPr>
          <w:p w:rsidR="006B6A3E" w:rsidRPr="00691330" w:rsidRDefault="006B6A3E" w:rsidP="006B6A3E">
            <w:pPr>
              <w:spacing w:line="240" w:lineRule="auto"/>
              <w:jc w:val="center"/>
              <w:rPr>
                <w:rFonts w:eastAsia="Times New Roman"/>
                <w:sz w:val="24"/>
                <w:szCs w:val="24"/>
                <w:lang w:eastAsia="ru-RU"/>
              </w:rPr>
            </w:pPr>
            <w:r w:rsidRPr="00691330">
              <w:rPr>
                <w:rFonts w:eastAsia="Times New Roman"/>
                <w:sz w:val="24"/>
                <w:szCs w:val="24"/>
                <w:lang w:eastAsia="ru-RU"/>
              </w:rPr>
              <w:t>3,5</w:t>
            </w:r>
          </w:p>
        </w:tc>
        <w:tc>
          <w:tcPr>
            <w:tcW w:w="0" w:type="auto"/>
            <w:shd w:val="clear" w:color="auto" w:fill="auto"/>
          </w:tcPr>
          <w:p w:rsidR="006B6A3E" w:rsidRPr="00691330" w:rsidRDefault="006B6A3E" w:rsidP="006B6A3E">
            <w:pPr>
              <w:spacing w:line="240" w:lineRule="auto"/>
              <w:jc w:val="center"/>
              <w:rPr>
                <w:rFonts w:eastAsia="Times New Roman"/>
                <w:color w:val="000000"/>
                <w:sz w:val="24"/>
                <w:szCs w:val="24"/>
                <w:lang w:eastAsia="ru-RU"/>
              </w:rPr>
            </w:pPr>
            <w:r w:rsidRPr="00691330">
              <w:rPr>
                <w:rFonts w:eastAsia="Times New Roman"/>
                <w:color w:val="000000"/>
                <w:sz w:val="24"/>
                <w:szCs w:val="24"/>
                <w:lang w:eastAsia="ru-RU"/>
              </w:rPr>
              <w:t>1,0</w:t>
            </w:r>
          </w:p>
        </w:tc>
        <w:tc>
          <w:tcPr>
            <w:tcW w:w="0" w:type="auto"/>
            <w:shd w:val="clear" w:color="auto" w:fill="auto"/>
            <w:vAlign w:val="center"/>
          </w:tcPr>
          <w:p w:rsidR="006B6A3E" w:rsidRPr="00691330" w:rsidRDefault="006B6A3E" w:rsidP="006B6A3E">
            <w:pPr>
              <w:spacing w:line="240" w:lineRule="auto"/>
              <w:jc w:val="center"/>
              <w:rPr>
                <w:rFonts w:eastAsia="Times New Roman"/>
                <w:sz w:val="24"/>
                <w:szCs w:val="24"/>
                <w:lang w:eastAsia="ru-RU"/>
              </w:rPr>
            </w:pPr>
            <w:r w:rsidRPr="00691330">
              <w:rPr>
                <w:rFonts w:eastAsia="Times New Roman"/>
                <w:sz w:val="24"/>
                <w:szCs w:val="24"/>
                <w:lang w:eastAsia="ru-RU"/>
              </w:rPr>
              <w:t>-71,4</w:t>
            </w:r>
          </w:p>
        </w:tc>
      </w:tr>
      <w:tr w:rsidR="006B6A3E" w:rsidRPr="00691330" w:rsidTr="006E3A91">
        <w:tc>
          <w:tcPr>
            <w:tcW w:w="0" w:type="auto"/>
            <w:shd w:val="clear" w:color="auto" w:fill="auto"/>
          </w:tcPr>
          <w:p w:rsidR="006B6A3E" w:rsidRPr="00691330" w:rsidRDefault="006B6A3E" w:rsidP="006B6A3E">
            <w:pPr>
              <w:spacing w:line="240" w:lineRule="auto"/>
              <w:ind w:left="170"/>
              <w:jc w:val="left"/>
              <w:rPr>
                <w:rFonts w:eastAsia="Times New Roman"/>
                <w:sz w:val="24"/>
                <w:szCs w:val="24"/>
                <w:lang w:eastAsia="ru-RU"/>
              </w:rPr>
            </w:pPr>
            <w:r w:rsidRPr="00691330">
              <w:rPr>
                <w:rFonts w:eastAsia="Times New Roman"/>
                <w:sz w:val="24"/>
                <w:szCs w:val="24"/>
                <w:lang w:eastAsia="ru-RU"/>
              </w:rPr>
              <w:t>Запорізька</w:t>
            </w:r>
          </w:p>
        </w:tc>
        <w:tc>
          <w:tcPr>
            <w:tcW w:w="0" w:type="auto"/>
            <w:shd w:val="clear" w:color="auto" w:fill="auto"/>
          </w:tcPr>
          <w:p w:rsidR="006B6A3E" w:rsidRPr="00691330" w:rsidRDefault="006B6A3E" w:rsidP="006B6A3E">
            <w:pPr>
              <w:spacing w:line="240" w:lineRule="auto"/>
              <w:jc w:val="center"/>
              <w:rPr>
                <w:rFonts w:eastAsia="Times New Roman"/>
                <w:sz w:val="24"/>
                <w:szCs w:val="24"/>
                <w:lang w:eastAsia="ru-RU"/>
              </w:rPr>
            </w:pPr>
            <w:r w:rsidRPr="00691330">
              <w:rPr>
                <w:rFonts w:eastAsia="Times New Roman"/>
                <w:sz w:val="24"/>
                <w:szCs w:val="24"/>
                <w:lang w:eastAsia="ru-RU"/>
              </w:rPr>
              <w:t>201</w:t>
            </w:r>
          </w:p>
        </w:tc>
        <w:tc>
          <w:tcPr>
            <w:tcW w:w="0" w:type="auto"/>
            <w:shd w:val="clear" w:color="auto" w:fill="auto"/>
          </w:tcPr>
          <w:p w:rsidR="006B6A3E" w:rsidRPr="00691330" w:rsidRDefault="006B6A3E" w:rsidP="006B6A3E">
            <w:pPr>
              <w:spacing w:line="240" w:lineRule="auto"/>
              <w:jc w:val="center"/>
              <w:rPr>
                <w:rFonts w:eastAsia="Times New Roman"/>
                <w:color w:val="000000"/>
                <w:sz w:val="24"/>
                <w:szCs w:val="24"/>
                <w:lang w:eastAsia="ru-RU"/>
              </w:rPr>
            </w:pPr>
            <w:r w:rsidRPr="00691330">
              <w:rPr>
                <w:rFonts w:eastAsia="Times New Roman"/>
                <w:color w:val="000000"/>
                <w:sz w:val="24"/>
                <w:szCs w:val="24"/>
                <w:lang w:eastAsia="ru-RU"/>
              </w:rPr>
              <w:t>177</w:t>
            </w:r>
          </w:p>
        </w:tc>
        <w:tc>
          <w:tcPr>
            <w:tcW w:w="0" w:type="auto"/>
            <w:shd w:val="clear" w:color="auto" w:fill="auto"/>
            <w:vAlign w:val="center"/>
          </w:tcPr>
          <w:p w:rsidR="006B6A3E" w:rsidRPr="00691330" w:rsidRDefault="006B6A3E" w:rsidP="006B6A3E">
            <w:pPr>
              <w:spacing w:line="240" w:lineRule="auto"/>
              <w:jc w:val="center"/>
              <w:rPr>
                <w:rFonts w:eastAsia="Times New Roman"/>
                <w:sz w:val="24"/>
                <w:szCs w:val="24"/>
                <w:lang w:eastAsia="ru-RU"/>
              </w:rPr>
            </w:pPr>
            <w:r w:rsidRPr="00691330">
              <w:rPr>
                <w:rFonts w:eastAsia="Times New Roman"/>
                <w:sz w:val="24"/>
                <w:szCs w:val="24"/>
                <w:lang w:eastAsia="ru-RU"/>
              </w:rPr>
              <w:t>-11,9</w:t>
            </w:r>
          </w:p>
        </w:tc>
        <w:tc>
          <w:tcPr>
            <w:tcW w:w="0" w:type="auto"/>
            <w:shd w:val="clear" w:color="auto" w:fill="auto"/>
          </w:tcPr>
          <w:p w:rsidR="006B6A3E" w:rsidRPr="00691330" w:rsidRDefault="006B6A3E" w:rsidP="006B6A3E">
            <w:pPr>
              <w:spacing w:line="240" w:lineRule="auto"/>
              <w:jc w:val="center"/>
              <w:rPr>
                <w:rFonts w:eastAsia="Times New Roman"/>
                <w:sz w:val="24"/>
                <w:szCs w:val="24"/>
                <w:lang w:eastAsia="ru-RU"/>
              </w:rPr>
            </w:pPr>
            <w:r w:rsidRPr="00691330">
              <w:rPr>
                <w:rFonts w:eastAsia="Times New Roman"/>
                <w:sz w:val="24"/>
                <w:szCs w:val="24"/>
                <w:lang w:eastAsia="ru-RU"/>
              </w:rPr>
              <w:t>9,4</w:t>
            </w:r>
          </w:p>
        </w:tc>
        <w:tc>
          <w:tcPr>
            <w:tcW w:w="0" w:type="auto"/>
            <w:shd w:val="clear" w:color="auto" w:fill="auto"/>
          </w:tcPr>
          <w:p w:rsidR="006B6A3E" w:rsidRPr="00691330" w:rsidRDefault="006B6A3E" w:rsidP="006B6A3E">
            <w:pPr>
              <w:spacing w:line="240" w:lineRule="auto"/>
              <w:jc w:val="center"/>
              <w:rPr>
                <w:rFonts w:eastAsia="Times New Roman"/>
                <w:color w:val="000000"/>
                <w:sz w:val="24"/>
                <w:szCs w:val="24"/>
                <w:lang w:eastAsia="ru-RU"/>
              </w:rPr>
            </w:pPr>
            <w:r w:rsidRPr="00691330">
              <w:rPr>
                <w:rFonts w:eastAsia="Times New Roman"/>
                <w:color w:val="000000"/>
                <w:sz w:val="24"/>
                <w:szCs w:val="24"/>
                <w:lang w:eastAsia="ru-RU"/>
              </w:rPr>
              <w:t>8,1</w:t>
            </w:r>
          </w:p>
        </w:tc>
        <w:tc>
          <w:tcPr>
            <w:tcW w:w="0" w:type="auto"/>
            <w:shd w:val="clear" w:color="auto" w:fill="auto"/>
            <w:vAlign w:val="center"/>
          </w:tcPr>
          <w:p w:rsidR="006B6A3E" w:rsidRPr="00691330" w:rsidRDefault="006B6A3E" w:rsidP="006B6A3E">
            <w:pPr>
              <w:spacing w:line="240" w:lineRule="auto"/>
              <w:jc w:val="center"/>
              <w:rPr>
                <w:rFonts w:eastAsia="Times New Roman"/>
                <w:sz w:val="24"/>
                <w:szCs w:val="24"/>
                <w:lang w:eastAsia="ru-RU"/>
              </w:rPr>
            </w:pPr>
            <w:r w:rsidRPr="00691330">
              <w:rPr>
                <w:rFonts w:eastAsia="Times New Roman"/>
                <w:sz w:val="24"/>
                <w:szCs w:val="24"/>
                <w:lang w:eastAsia="ru-RU"/>
              </w:rPr>
              <w:t>-13,8</w:t>
            </w:r>
          </w:p>
        </w:tc>
      </w:tr>
      <w:tr w:rsidR="006B6A3E" w:rsidRPr="00691330" w:rsidTr="006E3A91">
        <w:tc>
          <w:tcPr>
            <w:tcW w:w="0" w:type="auto"/>
            <w:shd w:val="clear" w:color="auto" w:fill="auto"/>
          </w:tcPr>
          <w:p w:rsidR="006B6A3E" w:rsidRPr="00691330" w:rsidRDefault="006B6A3E" w:rsidP="006B6A3E">
            <w:pPr>
              <w:spacing w:line="240" w:lineRule="auto"/>
              <w:ind w:left="170"/>
              <w:jc w:val="left"/>
              <w:rPr>
                <w:rFonts w:eastAsia="Times New Roman"/>
                <w:sz w:val="24"/>
                <w:szCs w:val="24"/>
                <w:lang w:eastAsia="ru-RU"/>
              </w:rPr>
            </w:pPr>
            <w:r w:rsidRPr="00691330">
              <w:rPr>
                <w:rFonts w:eastAsia="Times New Roman"/>
                <w:sz w:val="24"/>
                <w:szCs w:val="24"/>
                <w:lang w:eastAsia="ru-RU"/>
              </w:rPr>
              <w:t>Івано-Франківська</w:t>
            </w:r>
          </w:p>
        </w:tc>
        <w:tc>
          <w:tcPr>
            <w:tcW w:w="0" w:type="auto"/>
            <w:shd w:val="clear" w:color="auto" w:fill="auto"/>
          </w:tcPr>
          <w:p w:rsidR="006B6A3E" w:rsidRPr="00691330" w:rsidRDefault="006B6A3E" w:rsidP="006B6A3E">
            <w:pPr>
              <w:spacing w:line="240" w:lineRule="auto"/>
              <w:jc w:val="center"/>
              <w:rPr>
                <w:rFonts w:eastAsia="Times New Roman"/>
                <w:sz w:val="24"/>
                <w:szCs w:val="24"/>
                <w:lang w:eastAsia="ru-RU"/>
              </w:rPr>
            </w:pPr>
            <w:r w:rsidRPr="00691330">
              <w:rPr>
                <w:rFonts w:eastAsia="Times New Roman"/>
                <w:sz w:val="24"/>
                <w:szCs w:val="24"/>
                <w:lang w:eastAsia="ru-RU"/>
              </w:rPr>
              <w:t>195</w:t>
            </w:r>
          </w:p>
        </w:tc>
        <w:tc>
          <w:tcPr>
            <w:tcW w:w="0" w:type="auto"/>
            <w:shd w:val="clear" w:color="auto" w:fill="auto"/>
          </w:tcPr>
          <w:p w:rsidR="006B6A3E" w:rsidRPr="00691330" w:rsidRDefault="006B6A3E" w:rsidP="006B6A3E">
            <w:pPr>
              <w:spacing w:line="240" w:lineRule="auto"/>
              <w:jc w:val="center"/>
              <w:rPr>
                <w:rFonts w:eastAsia="Times New Roman"/>
                <w:color w:val="000000"/>
                <w:sz w:val="24"/>
                <w:szCs w:val="24"/>
                <w:lang w:eastAsia="ru-RU"/>
              </w:rPr>
            </w:pPr>
            <w:r w:rsidRPr="00691330">
              <w:rPr>
                <w:rFonts w:eastAsia="Times New Roman"/>
                <w:color w:val="000000"/>
                <w:sz w:val="24"/>
                <w:szCs w:val="24"/>
                <w:lang w:eastAsia="ru-RU"/>
              </w:rPr>
              <w:t>162</w:t>
            </w:r>
          </w:p>
        </w:tc>
        <w:tc>
          <w:tcPr>
            <w:tcW w:w="0" w:type="auto"/>
            <w:shd w:val="clear" w:color="auto" w:fill="auto"/>
            <w:vAlign w:val="center"/>
          </w:tcPr>
          <w:p w:rsidR="006B6A3E" w:rsidRPr="00691330" w:rsidRDefault="006B6A3E" w:rsidP="006B6A3E">
            <w:pPr>
              <w:spacing w:line="240" w:lineRule="auto"/>
              <w:jc w:val="center"/>
              <w:rPr>
                <w:rFonts w:eastAsia="Times New Roman"/>
                <w:sz w:val="24"/>
                <w:szCs w:val="24"/>
                <w:lang w:eastAsia="ru-RU"/>
              </w:rPr>
            </w:pPr>
            <w:r w:rsidRPr="00691330">
              <w:rPr>
                <w:rFonts w:eastAsia="Times New Roman"/>
                <w:sz w:val="24"/>
                <w:szCs w:val="24"/>
                <w:lang w:eastAsia="ru-RU"/>
              </w:rPr>
              <w:t>-16,9</w:t>
            </w:r>
          </w:p>
        </w:tc>
        <w:tc>
          <w:tcPr>
            <w:tcW w:w="0" w:type="auto"/>
            <w:shd w:val="clear" w:color="auto" w:fill="auto"/>
          </w:tcPr>
          <w:p w:rsidR="006B6A3E" w:rsidRPr="00691330" w:rsidRDefault="006B6A3E" w:rsidP="006B6A3E">
            <w:pPr>
              <w:spacing w:line="240" w:lineRule="auto"/>
              <w:jc w:val="center"/>
              <w:rPr>
                <w:rFonts w:eastAsia="Times New Roman"/>
                <w:sz w:val="24"/>
                <w:szCs w:val="24"/>
                <w:lang w:eastAsia="ru-RU"/>
              </w:rPr>
            </w:pPr>
            <w:r w:rsidRPr="00691330">
              <w:rPr>
                <w:rFonts w:eastAsia="Times New Roman"/>
                <w:sz w:val="24"/>
                <w:szCs w:val="24"/>
                <w:lang w:eastAsia="ru-RU"/>
              </w:rPr>
              <w:t>17,1</w:t>
            </w:r>
          </w:p>
        </w:tc>
        <w:tc>
          <w:tcPr>
            <w:tcW w:w="0" w:type="auto"/>
            <w:shd w:val="clear" w:color="auto" w:fill="auto"/>
          </w:tcPr>
          <w:p w:rsidR="006B6A3E" w:rsidRPr="00691330" w:rsidRDefault="006B6A3E" w:rsidP="006B6A3E">
            <w:pPr>
              <w:spacing w:line="240" w:lineRule="auto"/>
              <w:jc w:val="center"/>
              <w:rPr>
                <w:rFonts w:eastAsia="Times New Roman"/>
                <w:color w:val="000000"/>
                <w:sz w:val="24"/>
                <w:szCs w:val="24"/>
                <w:lang w:eastAsia="ru-RU"/>
              </w:rPr>
            </w:pPr>
            <w:r w:rsidRPr="00691330">
              <w:rPr>
                <w:rFonts w:eastAsia="Times New Roman"/>
                <w:color w:val="000000"/>
                <w:sz w:val="24"/>
                <w:szCs w:val="24"/>
                <w:lang w:eastAsia="ru-RU"/>
              </w:rPr>
              <w:t>14,0</w:t>
            </w:r>
          </w:p>
        </w:tc>
        <w:tc>
          <w:tcPr>
            <w:tcW w:w="0" w:type="auto"/>
            <w:shd w:val="clear" w:color="auto" w:fill="auto"/>
            <w:vAlign w:val="center"/>
          </w:tcPr>
          <w:p w:rsidR="006B6A3E" w:rsidRPr="00691330" w:rsidRDefault="006B6A3E" w:rsidP="006B6A3E">
            <w:pPr>
              <w:spacing w:line="240" w:lineRule="auto"/>
              <w:jc w:val="center"/>
              <w:rPr>
                <w:rFonts w:eastAsia="Times New Roman"/>
                <w:sz w:val="24"/>
                <w:szCs w:val="24"/>
                <w:lang w:eastAsia="ru-RU"/>
              </w:rPr>
            </w:pPr>
            <w:r w:rsidRPr="00691330">
              <w:rPr>
                <w:rFonts w:eastAsia="Times New Roman"/>
                <w:sz w:val="24"/>
                <w:szCs w:val="24"/>
                <w:lang w:eastAsia="ru-RU"/>
              </w:rPr>
              <w:t>-18,1</w:t>
            </w:r>
          </w:p>
        </w:tc>
      </w:tr>
      <w:tr w:rsidR="006B6A3E" w:rsidRPr="00691330" w:rsidTr="006E3A91">
        <w:tc>
          <w:tcPr>
            <w:tcW w:w="0" w:type="auto"/>
            <w:shd w:val="clear" w:color="auto" w:fill="auto"/>
          </w:tcPr>
          <w:p w:rsidR="006B6A3E" w:rsidRPr="00691330" w:rsidRDefault="006B6A3E" w:rsidP="006B6A3E">
            <w:pPr>
              <w:spacing w:line="240" w:lineRule="auto"/>
              <w:ind w:left="170"/>
              <w:jc w:val="left"/>
              <w:rPr>
                <w:rFonts w:eastAsia="Times New Roman"/>
                <w:sz w:val="24"/>
                <w:szCs w:val="24"/>
                <w:lang w:eastAsia="ru-RU"/>
              </w:rPr>
            </w:pPr>
            <w:r w:rsidRPr="00691330">
              <w:rPr>
                <w:rFonts w:eastAsia="Times New Roman"/>
                <w:sz w:val="24"/>
                <w:szCs w:val="24"/>
                <w:lang w:eastAsia="ru-RU"/>
              </w:rPr>
              <w:t>Київська</w:t>
            </w:r>
          </w:p>
        </w:tc>
        <w:tc>
          <w:tcPr>
            <w:tcW w:w="0" w:type="auto"/>
            <w:shd w:val="clear" w:color="auto" w:fill="auto"/>
          </w:tcPr>
          <w:p w:rsidR="006B6A3E" w:rsidRPr="00691330" w:rsidRDefault="006B6A3E" w:rsidP="006B6A3E">
            <w:pPr>
              <w:spacing w:line="240" w:lineRule="auto"/>
              <w:jc w:val="center"/>
              <w:rPr>
                <w:rFonts w:eastAsia="Times New Roman"/>
                <w:sz w:val="24"/>
                <w:szCs w:val="24"/>
                <w:lang w:eastAsia="ru-RU"/>
              </w:rPr>
            </w:pPr>
            <w:r w:rsidRPr="00691330">
              <w:rPr>
                <w:rFonts w:eastAsia="Times New Roman"/>
                <w:sz w:val="24"/>
                <w:szCs w:val="24"/>
                <w:lang w:eastAsia="ru-RU"/>
              </w:rPr>
              <w:t>168</w:t>
            </w:r>
          </w:p>
        </w:tc>
        <w:tc>
          <w:tcPr>
            <w:tcW w:w="0" w:type="auto"/>
            <w:shd w:val="clear" w:color="auto" w:fill="auto"/>
          </w:tcPr>
          <w:p w:rsidR="006B6A3E" w:rsidRPr="00691330" w:rsidRDefault="006B6A3E" w:rsidP="006B6A3E">
            <w:pPr>
              <w:spacing w:line="240" w:lineRule="auto"/>
              <w:jc w:val="center"/>
              <w:rPr>
                <w:rFonts w:eastAsia="Times New Roman"/>
                <w:color w:val="000000"/>
                <w:sz w:val="24"/>
                <w:szCs w:val="24"/>
                <w:lang w:eastAsia="ru-RU"/>
              </w:rPr>
            </w:pPr>
            <w:r w:rsidRPr="00691330">
              <w:rPr>
                <w:rFonts w:eastAsia="Times New Roman"/>
                <w:color w:val="000000"/>
                <w:sz w:val="24"/>
                <w:szCs w:val="24"/>
                <w:lang w:eastAsia="ru-RU"/>
              </w:rPr>
              <w:t>148</w:t>
            </w:r>
          </w:p>
        </w:tc>
        <w:tc>
          <w:tcPr>
            <w:tcW w:w="0" w:type="auto"/>
            <w:shd w:val="clear" w:color="auto" w:fill="auto"/>
            <w:vAlign w:val="center"/>
          </w:tcPr>
          <w:p w:rsidR="006B6A3E" w:rsidRPr="00691330" w:rsidRDefault="006B6A3E" w:rsidP="006B6A3E">
            <w:pPr>
              <w:spacing w:line="240" w:lineRule="auto"/>
              <w:jc w:val="center"/>
              <w:rPr>
                <w:rFonts w:eastAsia="Times New Roman"/>
                <w:sz w:val="24"/>
                <w:szCs w:val="24"/>
                <w:lang w:eastAsia="ru-RU"/>
              </w:rPr>
            </w:pPr>
            <w:r w:rsidRPr="00691330">
              <w:rPr>
                <w:rFonts w:eastAsia="Times New Roman"/>
                <w:sz w:val="24"/>
                <w:szCs w:val="24"/>
                <w:lang w:eastAsia="ru-RU"/>
              </w:rPr>
              <w:t>-11,9</w:t>
            </w:r>
          </w:p>
        </w:tc>
        <w:tc>
          <w:tcPr>
            <w:tcW w:w="0" w:type="auto"/>
            <w:shd w:val="clear" w:color="auto" w:fill="auto"/>
          </w:tcPr>
          <w:p w:rsidR="006B6A3E" w:rsidRPr="00691330" w:rsidRDefault="006B6A3E" w:rsidP="006B6A3E">
            <w:pPr>
              <w:spacing w:line="240" w:lineRule="auto"/>
              <w:jc w:val="center"/>
              <w:rPr>
                <w:rFonts w:eastAsia="Times New Roman"/>
                <w:sz w:val="24"/>
                <w:szCs w:val="24"/>
                <w:lang w:eastAsia="ru-RU"/>
              </w:rPr>
            </w:pPr>
            <w:r w:rsidRPr="00691330">
              <w:rPr>
                <w:rFonts w:eastAsia="Times New Roman"/>
                <w:sz w:val="24"/>
                <w:szCs w:val="24"/>
                <w:lang w:eastAsia="ru-RU"/>
              </w:rPr>
              <w:t>8,7</w:t>
            </w:r>
          </w:p>
        </w:tc>
        <w:tc>
          <w:tcPr>
            <w:tcW w:w="0" w:type="auto"/>
            <w:shd w:val="clear" w:color="auto" w:fill="auto"/>
          </w:tcPr>
          <w:p w:rsidR="006B6A3E" w:rsidRPr="00691330" w:rsidRDefault="006B6A3E" w:rsidP="006B6A3E">
            <w:pPr>
              <w:spacing w:line="240" w:lineRule="auto"/>
              <w:jc w:val="center"/>
              <w:rPr>
                <w:rFonts w:eastAsia="Times New Roman"/>
                <w:color w:val="000000"/>
                <w:sz w:val="24"/>
                <w:szCs w:val="24"/>
                <w:lang w:eastAsia="ru-RU"/>
              </w:rPr>
            </w:pPr>
            <w:r w:rsidRPr="00691330">
              <w:rPr>
                <w:rFonts w:eastAsia="Times New Roman"/>
                <w:color w:val="000000"/>
                <w:sz w:val="24"/>
                <w:szCs w:val="24"/>
                <w:lang w:eastAsia="ru-RU"/>
              </w:rPr>
              <w:t>7,1</w:t>
            </w:r>
          </w:p>
        </w:tc>
        <w:tc>
          <w:tcPr>
            <w:tcW w:w="0" w:type="auto"/>
            <w:shd w:val="clear" w:color="auto" w:fill="auto"/>
            <w:vAlign w:val="center"/>
          </w:tcPr>
          <w:p w:rsidR="006B6A3E" w:rsidRPr="00691330" w:rsidRDefault="006B6A3E" w:rsidP="006B6A3E">
            <w:pPr>
              <w:spacing w:line="240" w:lineRule="auto"/>
              <w:jc w:val="center"/>
              <w:rPr>
                <w:rFonts w:eastAsia="Times New Roman"/>
                <w:sz w:val="24"/>
                <w:szCs w:val="24"/>
                <w:lang w:eastAsia="ru-RU"/>
              </w:rPr>
            </w:pPr>
            <w:r w:rsidRPr="00691330">
              <w:rPr>
                <w:rFonts w:eastAsia="Times New Roman"/>
                <w:sz w:val="24"/>
                <w:szCs w:val="24"/>
                <w:lang w:eastAsia="ru-RU"/>
              </w:rPr>
              <w:t>-18,4</w:t>
            </w:r>
          </w:p>
        </w:tc>
      </w:tr>
      <w:tr w:rsidR="006B6A3E" w:rsidRPr="00691330" w:rsidTr="006E3A91">
        <w:tc>
          <w:tcPr>
            <w:tcW w:w="0" w:type="auto"/>
            <w:shd w:val="clear" w:color="auto" w:fill="auto"/>
          </w:tcPr>
          <w:p w:rsidR="006B6A3E" w:rsidRPr="00691330" w:rsidRDefault="006B6A3E" w:rsidP="006B6A3E">
            <w:pPr>
              <w:spacing w:line="240" w:lineRule="auto"/>
              <w:ind w:left="170"/>
              <w:jc w:val="left"/>
              <w:rPr>
                <w:rFonts w:eastAsia="Times New Roman"/>
                <w:sz w:val="24"/>
                <w:szCs w:val="24"/>
                <w:lang w:eastAsia="ru-RU"/>
              </w:rPr>
            </w:pPr>
            <w:r w:rsidRPr="00691330">
              <w:rPr>
                <w:rFonts w:eastAsia="Times New Roman"/>
                <w:sz w:val="24"/>
                <w:szCs w:val="24"/>
                <w:lang w:eastAsia="ru-RU"/>
              </w:rPr>
              <w:t>Кіровоградська</w:t>
            </w:r>
          </w:p>
        </w:tc>
        <w:tc>
          <w:tcPr>
            <w:tcW w:w="0" w:type="auto"/>
            <w:shd w:val="clear" w:color="auto" w:fill="auto"/>
          </w:tcPr>
          <w:p w:rsidR="006B6A3E" w:rsidRPr="00691330" w:rsidRDefault="006B6A3E" w:rsidP="006B6A3E">
            <w:pPr>
              <w:spacing w:line="240" w:lineRule="auto"/>
              <w:jc w:val="center"/>
              <w:rPr>
                <w:rFonts w:eastAsia="Times New Roman"/>
                <w:sz w:val="24"/>
                <w:szCs w:val="24"/>
                <w:lang w:eastAsia="ru-RU"/>
              </w:rPr>
            </w:pPr>
            <w:r w:rsidRPr="00691330">
              <w:rPr>
                <w:rFonts w:eastAsia="Times New Roman"/>
                <w:sz w:val="24"/>
                <w:szCs w:val="24"/>
                <w:lang w:eastAsia="ru-RU"/>
              </w:rPr>
              <w:t>94</w:t>
            </w:r>
          </w:p>
        </w:tc>
        <w:tc>
          <w:tcPr>
            <w:tcW w:w="0" w:type="auto"/>
            <w:shd w:val="clear" w:color="auto" w:fill="auto"/>
          </w:tcPr>
          <w:p w:rsidR="006B6A3E" w:rsidRPr="00691330" w:rsidRDefault="006B6A3E" w:rsidP="006B6A3E">
            <w:pPr>
              <w:spacing w:line="240" w:lineRule="auto"/>
              <w:jc w:val="center"/>
              <w:rPr>
                <w:rFonts w:eastAsia="Times New Roman"/>
                <w:color w:val="000000"/>
                <w:sz w:val="24"/>
                <w:szCs w:val="24"/>
                <w:lang w:eastAsia="ru-RU"/>
              </w:rPr>
            </w:pPr>
            <w:r w:rsidRPr="00691330">
              <w:rPr>
                <w:rFonts w:eastAsia="Times New Roman"/>
                <w:color w:val="000000"/>
                <w:sz w:val="24"/>
                <w:szCs w:val="24"/>
                <w:lang w:eastAsia="ru-RU"/>
              </w:rPr>
              <w:t>93</w:t>
            </w:r>
          </w:p>
        </w:tc>
        <w:tc>
          <w:tcPr>
            <w:tcW w:w="0" w:type="auto"/>
            <w:shd w:val="clear" w:color="auto" w:fill="auto"/>
            <w:vAlign w:val="center"/>
          </w:tcPr>
          <w:p w:rsidR="006B6A3E" w:rsidRPr="00691330" w:rsidRDefault="006B6A3E" w:rsidP="006B6A3E">
            <w:pPr>
              <w:spacing w:line="240" w:lineRule="auto"/>
              <w:jc w:val="center"/>
              <w:rPr>
                <w:rFonts w:eastAsia="Times New Roman"/>
                <w:sz w:val="24"/>
                <w:szCs w:val="24"/>
                <w:lang w:eastAsia="ru-RU"/>
              </w:rPr>
            </w:pPr>
            <w:r w:rsidRPr="00691330">
              <w:rPr>
                <w:rFonts w:eastAsia="Times New Roman"/>
                <w:sz w:val="24"/>
                <w:szCs w:val="24"/>
                <w:lang w:eastAsia="ru-RU"/>
              </w:rPr>
              <w:t>-1,1</w:t>
            </w:r>
          </w:p>
        </w:tc>
        <w:tc>
          <w:tcPr>
            <w:tcW w:w="0" w:type="auto"/>
            <w:shd w:val="clear" w:color="auto" w:fill="auto"/>
          </w:tcPr>
          <w:p w:rsidR="006B6A3E" w:rsidRPr="00691330" w:rsidRDefault="006B6A3E" w:rsidP="006B6A3E">
            <w:pPr>
              <w:spacing w:line="240" w:lineRule="auto"/>
              <w:jc w:val="center"/>
              <w:rPr>
                <w:rFonts w:eastAsia="Times New Roman"/>
                <w:sz w:val="24"/>
                <w:szCs w:val="24"/>
                <w:lang w:eastAsia="ru-RU"/>
              </w:rPr>
            </w:pPr>
            <w:r w:rsidRPr="00691330">
              <w:rPr>
                <w:rFonts w:eastAsia="Times New Roman"/>
                <w:sz w:val="24"/>
                <w:szCs w:val="24"/>
                <w:lang w:eastAsia="ru-RU"/>
              </w:rPr>
              <w:t>9,2</w:t>
            </w:r>
          </w:p>
        </w:tc>
        <w:tc>
          <w:tcPr>
            <w:tcW w:w="0" w:type="auto"/>
            <w:shd w:val="clear" w:color="auto" w:fill="auto"/>
          </w:tcPr>
          <w:p w:rsidR="006B6A3E" w:rsidRPr="00691330" w:rsidRDefault="006B6A3E" w:rsidP="006B6A3E">
            <w:pPr>
              <w:spacing w:line="240" w:lineRule="auto"/>
              <w:jc w:val="center"/>
              <w:rPr>
                <w:rFonts w:eastAsia="Times New Roman"/>
                <w:color w:val="000000"/>
                <w:sz w:val="24"/>
                <w:szCs w:val="24"/>
                <w:lang w:eastAsia="ru-RU"/>
              </w:rPr>
            </w:pPr>
            <w:r w:rsidRPr="00691330">
              <w:rPr>
                <w:rFonts w:eastAsia="Times New Roman"/>
                <w:color w:val="000000"/>
                <w:sz w:val="24"/>
                <w:szCs w:val="24"/>
                <w:lang w:eastAsia="ru-RU"/>
              </w:rPr>
              <w:t>8,9</w:t>
            </w:r>
          </w:p>
        </w:tc>
        <w:tc>
          <w:tcPr>
            <w:tcW w:w="0" w:type="auto"/>
            <w:shd w:val="clear" w:color="auto" w:fill="auto"/>
            <w:vAlign w:val="center"/>
          </w:tcPr>
          <w:p w:rsidR="006B6A3E" w:rsidRPr="00691330" w:rsidRDefault="006B6A3E" w:rsidP="006B6A3E">
            <w:pPr>
              <w:spacing w:line="240" w:lineRule="auto"/>
              <w:jc w:val="center"/>
              <w:rPr>
                <w:rFonts w:eastAsia="Times New Roman"/>
                <w:sz w:val="24"/>
                <w:szCs w:val="24"/>
                <w:lang w:eastAsia="ru-RU"/>
              </w:rPr>
            </w:pPr>
            <w:r w:rsidRPr="00691330">
              <w:rPr>
                <w:rFonts w:eastAsia="Times New Roman"/>
                <w:sz w:val="24"/>
                <w:szCs w:val="24"/>
                <w:lang w:eastAsia="ru-RU"/>
              </w:rPr>
              <w:t>-3,3</w:t>
            </w:r>
          </w:p>
        </w:tc>
      </w:tr>
      <w:tr w:rsidR="006B6A3E" w:rsidRPr="00691330" w:rsidTr="006E3A91">
        <w:tc>
          <w:tcPr>
            <w:tcW w:w="0" w:type="auto"/>
            <w:shd w:val="clear" w:color="auto" w:fill="auto"/>
          </w:tcPr>
          <w:p w:rsidR="006B6A3E" w:rsidRPr="00691330" w:rsidRDefault="006B6A3E" w:rsidP="006B6A3E">
            <w:pPr>
              <w:spacing w:line="240" w:lineRule="auto"/>
              <w:ind w:left="170"/>
              <w:jc w:val="left"/>
              <w:rPr>
                <w:rFonts w:eastAsia="Times New Roman"/>
                <w:sz w:val="24"/>
                <w:szCs w:val="24"/>
                <w:lang w:eastAsia="ru-RU"/>
              </w:rPr>
            </w:pPr>
            <w:r w:rsidRPr="00691330">
              <w:rPr>
                <w:rFonts w:eastAsia="Times New Roman"/>
                <w:sz w:val="24"/>
                <w:szCs w:val="24"/>
                <w:lang w:eastAsia="ru-RU"/>
              </w:rPr>
              <w:t>Луганська*</w:t>
            </w:r>
          </w:p>
        </w:tc>
        <w:tc>
          <w:tcPr>
            <w:tcW w:w="0" w:type="auto"/>
            <w:shd w:val="clear" w:color="auto" w:fill="auto"/>
          </w:tcPr>
          <w:p w:rsidR="006B6A3E" w:rsidRPr="00691330" w:rsidRDefault="006B6A3E" w:rsidP="006B6A3E">
            <w:pPr>
              <w:spacing w:line="240" w:lineRule="auto"/>
              <w:jc w:val="center"/>
              <w:rPr>
                <w:rFonts w:eastAsia="Times New Roman"/>
                <w:sz w:val="24"/>
                <w:szCs w:val="24"/>
                <w:lang w:eastAsia="ru-RU"/>
              </w:rPr>
            </w:pPr>
            <w:r w:rsidRPr="00691330">
              <w:rPr>
                <w:rFonts w:eastAsia="Times New Roman"/>
                <w:sz w:val="24"/>
                <w:szCs w:val="24"/>
                <w:lang w:eastAsia="ru-RU"/>
              </w:rPr>
              <w:t>69</w:t>
            </w:r>
          </w:p>
        </w:tc>
        <w:tc>
          <w:tcPr>
            <w:tcW w:w="0" w:type="auto"/>
            <w:shd w:val="clear" w:color="auto" w:fill="auto"/>
          </w:tcPr>
          <w:p w:rsidR="006B6A3E" w:rsidRPr="00691330" w:rsidRDefault="006B6A3E" w:rsidP="006B6A3E">
            <w:pPr>
              <w:spacing w:line="240" w:lineRule="auto"/>
              <w:jc w:val="center"/>
              <w:rPr>
                <w:rFonts w:eastAsia="Times New Roman"/>
                <w:color w:val="000000"/>
                <w:sz w:val="24"/>
                <w:szCs w:val="24"/>
                <w:lang w:eastAsia="ru-RU"/>
              </w:rPr>
            </w:pPr>
            <w:r w:rsidRPr="00691330">
              <w:rPr>
                <w:rFonts w:eastAsia="Times New Roman"/>
                <w:color w:val="000000"/>
                <w:sz w:val="24"/>
                <w:szCs w:val="24"/>
                <w:lang w:eastAsia="ru-RU"/>
              </w:rPr>
              <w:t>57</w:t>
            </w:r>
          </w:p>
        </w:tc>
        <w:tc>
          <w:tcPr>
            <w:tcW w:w="0" w:type="auto"/>
            <w:shd w:val="clear" w:color="auto" w:fill="auto"/>
            <w:vAlign w:val="center"/>
          </w:tcPr>
          <w:p w:rsidR="006B6A3E" w:rsidRPr="00691330" w:rsidRDefault="006B6A3E" w:rsidP="006B6A3E">
            <w:pPr>
              <w:spacing w:line="240" w:lineRule="auto"/>
              <w:jc w:val="center"/>
              <w:rPr>
                <w:rFonts w:eastAsia="Times New Roman"/>
                <w:sz w:val="24"/>
                <w:szCs w:val="24"/>
                <w:lang w:eastAsia="ru-RU"/>
              </w:rPr>
            </w:pPr>
            <w:r w:rsidRPr="00691330">
              <w:rPr>
                <w:rFonts w:eastAsia="Times New Roman"/>
                <w:sz w:val="24"/>
                <w:szCs w:val="24"/>
                <w:lang w:eastAsia="ru-RU"/>
              </w:rPr>
              <w:t>-17,4</w:t>
            </w:r>
          </w:p>
        </w:tc>
        <w:tc>
          <w:tcPr>
            <w:tcW w:w="0" w:type="auto"/>
            <w:shd w:val="clear" w:color="auto" w:fill="auto"/>
          </w:tcPr>
          <w:p w:rsidR="006B6A3E" w:rsidRPr="00691330" w:rsidRDefault="006B6A3E" w:rsidP="006B6A3E">
            <w:pPr>
              <w:spacing w:line="240" w:lineRule="auto"/>
              <w:jc w:val="center"/>
              <w:rPr>
                <w:rFonts w:eastAsia="Times New Roman"/>
                <w:sz w:val="24"/>
                <w:szCs w:val="24"/>
                <w:lang w:eastAsia="ru-RU"/>
              </w:rPr>
            </w:pPr>
            <w:r w:rsidRPr="00691330">
              <w:rPr>
                <w:rFonts w:eastAsia="Times New Roman"/>
                <w:sz w:val="24"/>
                <w:szCs w:val="24"/>
                <w:lang w:eastAsia="ru-RU"/>
              </w:rPr>
              <w:t>2,4</w:t>
            </w:r>
          </w:p>
        </w:tc>
        <w:tc>
          <w:tcPr>
            <w:tcW w:w="0" w:type="auto"/>
            <w:shd w:val="clear" w:color="auto" w:fill="auto"/>
          </w:tcPr>
          <w:p w:rsidR="006B6A3E" w:rsidRPr="00691330" w:rsidRDefault="006B6A3E" w:rsidP="006B6A3E">
            <w:pPr>
              <w:spacing w:line="240" w:lineRule="auto"/>
              <w:jc w:val="center"/>
              <w:rPr>
                <w:rFonts w:eastAsia="Times New Roman"/>
                <w:color w:val="000000"/>
                <w:sz w:val="24"/>
                <w:szCs w:val="24"/>
                <w:lang w:eastAsia="ru-RU"/>
              </w:rPr>
            </w:pPr>
            <w:r w:rsidRPr="00691330">
              <w:rPr>
                <w:rFonts w:eastAsia="Times New Roman"/>
                <w:color w:val="000000"/>
                <w:sz w:val="24"/>
                <w:szCs w:val="24"/>
                <w:lang w:eastAsia="ru-RU"/>
              </w:rPr>
              <w:t>7,4</w:t>
            </w:r>
          </w:p>
        </w:tc>
        <w:tc>
          <w:tcPr>
            <w:tcW w:w="0" w:type="auto"/>
            <w:shd w:val="clear" w:color="auto" w:fill="auto"/>
            <w:vAlign w:val="center"/>
          </w:tcPr>
          <w:p w:rsidR="006B6A3E" w:rsidRPr="00691330" w:rsidRDefault="006B6A3E" w:rsidP="006B6A3E">
            <w:pPr>
              <w:spacing w:line="240" w:lineRule="auto"/>
              <w:jc w:val="center"/>
              <w:rPr>
                <w:rFonts w:eastAsia="Times New Roman"/>
                <w:sz w:val="24"/>
                <w:szCs w:val="24"/>
                <w:lang w:eastAsia="ru-RU"/>
              </w:rPr>
            </w:pPr>
            <w:r w:rsidRPr="00691330">
              <w:rPr>
                <w:rFonts w:eastAsia="Times New Roman"/>
                <w:sz w:val="24"/>
                <w:szCs w:val="24"/>
                <w:lang w:eastAsia="ru-RU"/>
              </w:rPr>
              <w:t>208,3</w:t>
            </w:r>
          </w:p>
        </w:tc>
      </w:tr>
      <w:tr w:rsidR="006B6A3E" w:rsidRPr="00691330" w:rsidTr="006E3A91">
        <w:tc>
          <w:tcPr>
            <w:tcW w:w="0" w:type="auto"/>
            <w:shd w:val="clear" w:color="auto" w:fill="auto"/>
          </w:tcPr>
          <w:p w:rsidR="006B6A3E" w:rsidRPr="00691330" w:rsidRDefault="006B6A3E" w:rsidP="006B6A3E">
            <w:pPr>
              <w:spacing w:line="240" w:lineRule="auto"/>
              <w:ind w:left="170"/>
              <w:jc w:val="left"/>
              <w:rPr>
                <w:rFonts w:eastAsia="Times New Roman"/>
                <w:sz w:val="24"/>
                <w:szCs w:val="24"/>
                <w:lang w:eastAsia="ru-RU"/>
              </w:rPr>
            </w:pPr>
            <w:r w:rsidRPr="00691330">
              <w:rPr>
                <w:rFonts w:eastAsia="Times New Roman"/>
                <w:sz w:val="24"/>
                <w:szCs w:val="24"/>
                <w:lang w:eastAsia="ru-RU"/>
              </w:rPr>
              <w:t>Львівська</w:t>
            </w:r>
          </w:p>
        </w:tc>
        <w:tc>
          <w:tcPr>
            <w:tcW w:w="0" w:type="auto"/>
            <w:shd w:val="clear" w:color="auto" w:fill="auto"/>
          </w:tcPr>
          <w:p w:rsidR="006B6A3E" w:rsidRPr="00691330" w:rsidRDefault="006B6A3E" w:rsidP="006B6A3E">
            <w:pPr>
              <w:spacing w:line="240" w:lineRule="auto"/>
              <w:jc w:val="center"/>
              <w:rPr>
                <w:rFonts w:eastAsia="Times New Roman"/>
                <w:sz w:val="24"/>
                <w:szCs w:val="24"/>
                <w:lang w:eastAsia="ru-RU"/>
              </w:rPr>
            </w:pPr>
            <w:r w:rsidRPr="00691330">
              <w:rPr>
                <w:rFonts w:eastAsia="Times New Roman"/>
                <w:sz w:val="24"/>
                <w:szCs w:val="24"/>
                <w:lang w:eastAsia="ru-RU"/>
              </w:rPr>
              <w:t>259</w:t>
            </w:r>
          </w:p>
        </w:tc>
        <w:tc>
          <w:tcPr>
            <w:tcW w:w="0" w:type="auto"/>
            <w:shd w:val="clear" w:color="auto" w:fill="auto"/>
          </w:tcPr>
          <w:p w:rsidR="006B6A3E" w:rsidRPr="00691330" w:rsidRDefault="006B6A3E" w:rsidP="006B6A3E">
            <w:pPr>
              <w:spacing w:line="240" w:lineRule="auto"/>
              <w:jc w:val="center"/>
              <w:rPr>
                <w:rFonts w:eastAsia="Times New Roman"/>
                <w:color w:val="000000"/>
                <w:sz w:val="24"/>
                <w:szCs w:val="24"/>
                <w:lang w:eastAsia="ru-RU"/>
              </w:rPr>
            </w:pPr>
            <w:r w:rsidRPr="00691330">
              <w:rPr>
                <w:rFonts w:eastAsia="Times New Roman"/>
                <w:color w:val="000000"/>
                <w:sz w:val="24"/>
                <w:szCs w:val="24"/>
                <w:lang w:eastAsia="ru-RU"/>
              </w:rPr>
              <w:t>183</w:t>
            </w:r>
          </w:p>
        </w:tc>
        <w:tc>
          <w:tcPr>
            <w:tcW w:w="0" w:type="auto"/>
            <w:shd w:val="clear" w:color="auto" w:fill="auto"/>
            <w:vAlign w:val="center"/>
          </w:tcPr>
          <w:p w:rsidR="006B6A3E" w:rsidRPr="00691330" w:rsidRDefault="006B6A3E" w:rsidP="006B6A3E">
            <w:pPr>
              <w:spacing w:line="240" w:lineRule="auto"/>
              <w:jc w:val="center"/>
              <w:rPr>
                <w:rFonts w:eastAsia="Times New Roman"/>
                <w:sz w:val="24"/>
                <w:szCs w:val="24"/>
                <w:lang w:eastAsia="ru-RU"/>
              </w:rPr>
            </w:pPr>
            <w:r w:rsidRPr="00691330">
              <w:rPr>
                <w:rFonts w:eastAsia="Times New Roman"/>
                <w:sz w:val="24"/>
                <w:szCs w:val="24"/>
                <w:lang w:eastAsia="ru-RU"/>
              </w:rPr>
              <w:t>-29,3</w:t>
            </w:r>
          </w:p>
        </w:tc>
        <w:tc>
          <w:tcPr>
            <w:tcW w:w="0" w:type="auto"/>
            <w:shd w:val="clear" w:color="auto" w:fill="auto"/>
          </w:tcPr>
          <w:p w:rsidR="006B6A3E" w:rsidRPr="00691330" w:rsidRDefault="006B6A3E" w:rsidP="006B6A3E">
            <w:pPr>
              <w:spacing w:line="240" w:lineRule="auto"/>
              <w:jc w:val="center"/>
              <w:rPr>
                <w:rFonts w:eastAsia="Times New Roman"/>
                <w:sz w:val="24"/>
                <w:szCs w:val="24"/>
                <w:lang w:eastAsia="ru-RU"/>
              </w:rPr>
            </w:pPr>
            <w:r w:rsidRPr="00691330">
              <w:rPr>
                <w:rFonts w:eastAsia="Times New Roman"/>
                <w:sz w:val="24"/>
                <w:szCs w:val="24"/>
                <w:lang w:eastAsia="ru-RU"/>
              </w:rPr>
              <w:t>9,3</w:t>
            </w:r>
          </w:p>
        </w:tc>
        <w:tc>
          <w:tcPr>
            <w:tcW w:w="0" w:type="auto"/>
            <w:shd w:val="clear" w:color="auto" w:fill="auto"/>
          </w:tcPr>
          <w:p w:rsidR="006B6A3E" w:rsidRPr="00691330" w:rsidRDefault="006B6A3E" w:rsidP="006B6A3E">
            <w:pPr>
              <w:spacing w:line="240" w:lineRule="auto"/>
              <w:jc w:val="center"/>
              <w:rPr>
                <w:rFonts w:eastAsia="Times New Roman"/>
                <w:color w:val="000000"/>
                <w:sz w:val="24"/>
                <w:szCs w:val="24"/>
                <w:lang w:eastAsia="ru-RU"/>
              </w:rPr>
            </w:pPr>
            <w:r w:rsidRPr="00691330">
              <w:rPr>
                <w:rFonts w:eastAsia="Times New Roman"/>
                <w:color w:val="000000"/>
                <w:sz w:val="24"/>
                <w:szCs w:val="24"/>
                <w:lang w:eastAsia="ru-RU"/>
              </w:rPr>
              <w:t>6,5</w:t>
            </w:r>
          </w:p>
        </w:tc>
        <w:tc>
          <w:tcPr>
            <w:tcW w:w="0" w:type="auto"/>
            <w:shd w:val="clear" w:color="auto" w:fill="auto"/>
            <w:vAlign w:val="center"/>
          </w:tcPr>
          <w:p w:rsidR="006B6A3E" w:rsidRPr="00691330" w:rsidRDefault="006B6A3E" w:rsidP="006B6A3E">
            <w:pPr>
              <w:spacing w:line="240" w:lineRule="auto"/>
              <w:jc w:val="center"/>
              <w:rPr>
                <w:rFonts w:eastAsia="Times New Roman"/>
                <w:sz w:val="24"/>
                <w:szCs w:val="24"/>
                <w:lang w:eastAsia="ru-RU"/>
              </w:rPr>
            </w:pPr>
            <w:r w:rsidRPr="00691330">
              <w:rPr>
                <w:rFonts w:eastAsia="Times New Roman"/>
                <w:sz w:val="24"/>
                <w:szCs w:val="24"/>
                <w:lang w:eastAsia="ru-RU"/>
              </w:rPr>
              <w:t>-30,1</w:t>
            </w:r>
          </w:p>
        </w:tc>
      </w:tr>
      <w:tr w:rsidR="006B6A3E" w:rsidRPr="00691330" w:rsidTr="006E3A91">
        <w:tc>
          <w:tcPr>
            <w:tcW w:w="0" w:type="auto"/>
            <w:shd w:val="clear" w:color="auto" w:fill="auto"/>
          </w:tcPr>
          <w:p w:rsidR="006B6A3E" w:rsidRPr="00691330" w:rsidRDefault="006B6A3E" w:rsidP="006B6A3E">
            <w:pPr>
              <w:spacing w:line="240" w:lineRule="auto"/>
              <w:ind w:left="170"/>
              <w:jc w:val="left"/>
              <w:rPr>
                <w:rFonts w:eastAsia="Times New Roman"/>
                <w:sz w:val="24"/>
                <w:szCs w:val="24"/>
                <w:lang w:eastAsia="ru-RU"/>
              </w:rPr>
            </w:pPr>
            <w:r w:rsidRPr="00691330">
              <w:rPr>
                <w:rFonts w:eastAsia="Times New Roman"/>
                <w:sz w:val="24"/>
                <w:szCs w:val="24"/>
                <w:lang w:eastAsia="ru-RU"/>
              </w:rPr>
              <w:t>Миколаївська</w:t>
            </w:r>
          </w:p>
        </w:tc>
        <w:tc>
          <w:tcPr>
            <w:tcW w:w="0" w:type="auto"/>
            <w:shd w:val="clear" w:color="auto" w:fill="auto"/>
          </w:tcPr>
          <w:p w:rsidR="006B6A3E" w:rsidRPr="00691330" w:rsidRDefault="006B6A3E" w:rsidP="006B6A3E">
            <w:pPr>
              <w:spacing w:line="240" w:lineRule="auto"/>
              <w:jc w:val="center"/>
              <w:rPr>
                <w:rFonts w:eastAsia="Times New Roman"/>
                <w:sz w:val="24"/>
                <w:szCs w:val="24"/>
                <w:lang w:eastAsia="ru-RU"/>
              </w:rPr>
            </w:pPr>
            <w:r w:rsidRPr="00691330">
              <w:rPr>
                <w:rFonts w:eastAsia="Times New Roman"/>
                <w:sz w:val="24"/>
                <w:szCs w:val="24"/>
                <w:lang w:eastAsia="ru-RU"/>
              </w:rPr>
              <w:t>71</w:t>
            </w:r>
          </w:p>
        </w:tc>
        <w:tc>
          <w:tcPr>
            <w:tcW w:w="0" w:type="auto"/>
            <w:shd w:val="clear" w:color="auto" w:fill="auto"/>
          </w:tcPr>
          <w:p w:rsidR="006B6A3E" w:rsidRPr="00691330" w:rsidRDefault="006B6A3E" w:rsidP="006B6A3E">
            <w:pPr>
              <w:spacing w:line="240" w:lineRule="auto"/>
              <w:jc w:val="center"/>
              <w:rPr>
                <w:rFonts w:eastAsia="Times New Roman"/>
                <w:color w:val="000000"/>
                <w:sz w:val="24"/>
                <w:szCs w:val="24"/>
                <w:lang w:eastAsia="ru-RU"/>
              </w:rPr>
            </w:pPr>
            <w:r w:rsidRPr="00691330">
              <w:rPr>
                <w:rFonts w:eastAsia="Times New Roman"/>
                <w:color w:val="000000"/>
                <w:sz w:val="24"/>
                <w:szCs w:val="24"/>
                <w:lang w:eastAsia="ru-RU"/>
              </w:rPr>
              <w:t>57</w:t>
            </w:r>
          </w:p>
        </w:tc>
        <w:tc>
          <w:tcPr>
            <w:tcW w:w="0" w:type="auto"/>
            <w:shd w:val="clear" w:color="auto" w:fill="auto"/>
            <w:vAlign w:val="center"/>
          </w:tcPr>
          <w:p w:rsidR="006B6A3E" w:rsidRPr="00691330" w:rsidRDefault="006B6A3E" w:rsidP="006B6A3E">
            <w:pPr>
              <w:spacing w:line="240" w:lineRule="auto"/>
              <w:jc w:val="center"/>
              <w:rPr>
                <w:rFonts w:eastAsia="Times New Roman"/>
                <w:sz w:val="24"/>
                <w:szCs w:val="24"/>
                <w:lang w:eastAsia="ru-RU"/>
              </w:rPr>
            </w:pPr>
            <w:r w:rsidRPr="00691330">
              <w:rPr>
                <w:rFonts w:eastAsia="Times New Roman"/>
                <w:sz w:val="24"/>
                <w:szCs w:val="24"/>
                <w:lang w:eastAsia="ru-RU"/>
              </w:rPr>
              <w:t>-19,7</w:t>
            </w:r>
          </w:p>
        </w:tc>
        <w:tc>
          <w:tcPr>
            <w:tcW w:w="0" w:type="auto"/>
            <w:shd w:val="clear" w:color="auto" w:fill="auto"/>
          </w:tcPr>
          <w:p w:rsidR="006B6A3E" w:rsidRPr="00691330" w:rsidRDefault="006B6A3E" w:rsidP="006B6A3E">
            <w:pPr>
              <w:spacing w:line="240" w:lineRule="auto"/>
              <w:jc w:val="center"/>
              <w:rPr>
                <w:rFonts w:eastAsia="Times New Roman"/>
                <w:sz w:val="24"/>
                <w:szCs w:val="24"/>
                <w:lang w:eastAsia="ru-RU"/>
              </w:rPr>
            </w:pPr>
            <w:r w:rsidRPr="00691330">
              <w:rPr>
                <w:rFonts w:eastAsia="Times New Roman"/>
                <w:sz w:val="24"/>
                <w:szCs w:val="24"/>
                <w:lang w:eastAsia="ru-RU"/>
              </w:rPr>
              <w:t>5,5</w:t>
            </w:r>
          </w:p>
        </w:tc>
        <w:tc>
          <w:tcPr>
            <w:tcW w:w="0" w:type="auto"/>
            <w:shd w:val="clear" w:color="auto" w:fill="auto"/>
          </w:tcPr>
          <w:p w:rsidR="006B6A3E" w:rsidRPr="00691330" w:rsidRDefault="006B6A3E" w:rsidP="006B6A3E">
            <w:pPr>
              <w:spacing w:line="240" w:lineRule="auto"/>
              <w:jc w:val="center"/>
              <w:rPr>
                <w:rFonts w:eastAsia="Times New Roman"/>
                <w:color w:val="000000"/>
                <w:sz w:val="24"/>
                <w:szCs w:val="24"/>
                <w:lang w:eastAsia="ru-RU"/>
              </w:rPr>
            </w:pPr>
            <w:r w:rsidRPr="00691330">
              <w:rPr>
                <w:rFonts w:eastAsia="Times New Roman"/>
                <w:color w:val="000000"/>
                <w:sz w:val="24"/>
                <w:szCs w:val="24"/>
                <w:lang w:eastAsia="ru-RU"/>
              </w:rPr>
              <w:t>4,3</w:t>
            </w:r>
          </w:p>
        </w:tc>
        <w:tc>
          <w:tcPr>
            <w:tcW w:w="0" w:type="auto"/>
            <w:shd w:val="clear" w:color="auto" w:fill="auto"/>
            <w:vAlign w:val="center"/>
          </w:tcPr>
          <w:p w:rsidR="006B6A3E" w:rsidRPr="00691330" w:rsidRDefault="006B6A3E" w:rsidP="006B6A3E">
            <w:pPr>
              <w:spacing w:line="240" w:lineRule="auto"/>
              <w:jc w:val="center"/>
              <w:rPr>
                <w:rFonts w:eastAsia="Times New Roman"/>
                <w:sz w:val="24"/>
                <w:szCs w:val="24"/>
                <w:lang w:eastAsia="ru-RU"/>
              </w:rPr>
            </w:pPr>
            <w:r w:rsidRPr="00691330">
              <w:rPr>
                <w:rFonts w:eastAsia="Times New Roman"/>
                <w:sz w:val="24"/>
                <w:szCs w:val="24"/>
                <w:lang w:eastAsia="ru-RU"/>
              </w:rPr>
              <w:t>-21,8</w:t>
            </w:r>
          </w:p>
        </w:tc>
      </w:tr>
      <w:tr w:rsidR="006B6A3E" w:rsidRPr="00691330" w:rsidTr="006E3A91">
        <w:tc>
          <w:tcPr>
            <w:tcW w:w="0" w:type="auto"/>
            <w:shd w:val="clear" w:color="auto" w:fill="auto"/>
          </w:tcPr>
          <w:p w:rsidR="006B6A3E" w:rsidRPr="00691330" w:rsidRDefault="006B6A3E" w:rsidP="006B6A3E">
            <w:pPr>
              <w:spacing w:line="240" w:lineRule="auto"/>
              <w:ind w:left="170"/>
              <w:jc w:val="left"/>
              <w:rPr>
                <w:rFonts w:eastAsia="Times New Roman"/>
                <w:sz w:val="24"/>
                <w:szCs w:val="24"/>
                <w:lang w:eastAsia="ru-RU"/>
              </w:rPr>
            </w:pPr>
            <w:r w:rsidRPr="00691330">
              <w:rPr>
                <w:rFonts w:eastAsia="Times New Roman"/>
                <w:sz w:val="24"/>
                <w:szCs w:val="24"/>
                <w:lang w:eastAsia="ru-RU"/>
              </w:rPr>
              <w:t>Одеська</w:t>
            </w:r>
          </w:p>
        </w:tc>
        <w:tc>
          <w:tcPr>
            <w:tcW w:w="0" w:type="auto"/>
            <w:shd w:val="clear" w:color="auto" w:fill="auto"/>
          </w:tcPr>
          <w:p w:rsidR="006B6A3E" w:rsidRPr="00691330" w:rsidRDefault="006B6A3E" w:rsidP="006B6A3E">
            <w:pPr>
              <w:spacing w:line="240" w:lineRule="auto"/>
              <w:jc w:val="center"/>
              <w:rPr>
                <w:rFonts w:eastAsia="Times New Roman"/>
                <w:sz w:val="24"/>
                <w:szCs w:val="24"/>
                <w:lang w:eastAsia="ru-RU"/>
              </w:rPr>
            </w:pPr>
            <w:r w:rsidRPr="00691330">
              <w:rPr>
                <w:rFonts w:eastAsia="Times New Roman"/>
                <w:sz w:val="24"/>
                <w:szCs w:val="24"/>
                <w:lang w:eastAsia="ru-RU"/>
              </w:rPr>
              <w:t>226</w:t>
            </w:r>
          </w:p>
        </w:tc>
        <w:tc>
          <w:tcPr>
            <w:tcW w:w="0" w:type="auto"/>
            <w:shd w:val="clear" w:color="auto" w:fill="auto"/>
          </w:tcPr>
          <w:p w:rsidR="006B6A3E" w:rsidRPr="00691330" w:rsidRDefault="006B6A3E" w:rsidP="006B6A3E">
            <w:pPr>
              <w:spacing w:line="240" w:lineRule="auto"/>
              <w:jc w:val="center"/>
              <w:rPr>
                <w:rFonts w:eastAsia="Times New Roman"/>
                <w:color w:val="000000"/>
                <w:sz w:val="24"/>
                <w:szCs w:val="24"/>
                <w:lang w:eastAsia="ru-RU"/>
              </w:rPr>
            </w:pPr>
            <w:r w:rsidRPr="00691330">
              <w:rPr>
                <w:rFonts w:eastAsia="Times New Roman"/>
                <w:color w:val="000000"/>
                <w:sz w:val="24"/>
                <w:szCs w:val="24"/>
                <w:lang w:eastAsia="ru-RU"/>
              </w:rPr>
              <w:t>232</w:t>
            </w:r>
          </w:p>
        </w:tc>
        <w:tc>
          <w:tcPr>
            <w:tcW w:w="0" w:type="auto"/>
            <w:shd w:val="clear" w:color="auto" w:fill="auto"/>
            <w:vAlign w:val="center"/>
          </w:tcPr>
          <w:p w:rsidR="006B6A3E" w:rsidRPr="00691330" w:rsidRDefault="006B6A3E" w:rsidP="006B6A3E">
            <w:pPr>
              <w:spacing w:line="240" w:lineRule="auto"/>
              <w:jc w:val="center"/>
              <w:rPr>
                <w:rFonts w:eastAsia="Times New Roman"/>
                <w:sz w:val="24"/>
                <w:szCs w:val="24"/>
                <w:lang w:eastAsia="ru-RU"/>
              </w:rPr>
            </w:pPr>
            <w:r w:rsidRPr="00691330">
              <w:rPr>
                <w:rFonts w:eastAsia="Times New Roman"/>
                <w:sz w:val="24"/>
                <w:szCs w:val="24"/>
                <w:lang w:eastAsia="ru-RU"/>
              </w:rPr>
              <w:t>2,7</w:t>
            </w:r>
          </w:p>
        </w:tc>
        <w:tc>
          <w:tcPr>
            <w:tcW w:w="0" w:type="auto"/>
            <w:shd w:val="clear" w:color="auto" w:fill="auto"/>
          </w:tcPr>
          <w:p w:rsidR="006B6A3E" w:rsidRPr="00691330" w:rsidRDefault="006B6A3E" w:rsidP="006B6A3E">
            <w:pPr>
              <w:spacing w:line="240" w:lineRule="auto"/>
              <w:jc w:val="center"/>
              <w:rPr>
                <w:rFonts w:eastAsia="Times New Roman"/>
                <w:sz w:val="24"/>
                <w:szCs w:val="24"/>
                <w:lang w:eastAsia="ru-RU"/>
              </w:rPr>
            </w:pPr>
            <w:r w:rsidRPr="00691330">
              <w:rPr>
                <w:rFonts w:eastAsia="Times New Roman"/>
                <w:sz w:val="24"/>
                <w:szCs w:val="24"/>
                <w:lang w:eastAsia="ru-RU"/>
              </w:rPr>
              <w:t>8,4</w:t>
            </w:r>
          </w:p>
        </w:tc>
        <w:tc>
          <w:tcPr>
            <w:tcW w:w="0" w:type="auto"/>
            <w:shd w:val="clear" w:color="auto" w:fill="auto"/>
          </w:tcPr>
          <w:p w:rsidR="006B6A3E" w:rsidRPr="00691330" w:rsidRDefault="006B6A3E" w:rsidP="006B6A3E">
            <w:pPr>
              <w:spacing w:line="240" w:lineRule="auto"/>
              <w:jc w:val="center"/>
              <w:rPr>
                <w:rFonts w:eastAsia="Times New Roman"/>
                <w:color w:val="000000"/>
                <w:sz w:val="24"/>
                <w:szCs w:val="24"/>
                <w:lang w:eastAsia="ru-RU"/>
              </w:rPr>
            </w:pPr>
            <w:r w:rsidRPr="00691330">
              <w:rPr>
                <w:rFonts w:eastAsia="Times New Roman"/>
                <w:color w:val="000000"/>
                <w:sz w:val="24"/>
                <w:szCs w:val="24"/>
                <w:lang w:eastAsia="ru-RU"/>
              </w:rPr>
              <w:t>8,2</w:t>
            </w:r>
          </w:p>
        </w:tc>
        <w:tc>
          <w:tcPr>
            <w:tcW w:w="0" w:type="auto"/>
            <w:shd w:val="clear" w:color="auto" w:fill="auto"/>
            <w:vAlign w:val="center"/>
          </w:tcPr>
          <w:p w:rsidR="006B6A3E" w:rsidRPr="00691330" w:rsidRDefault="006B6A3E" w:rsidP="006B6A3E">
            <w:pPr>
              <w:spacing w:line="240" w:lineRule="auto"/>
              <w:jc w:val="center"/>
              <w:rPr>
                <w:rFonts w:eastAsia="Times New Roman"/>
                <w:sz w:val="24"/>
                <w:szCs w:val="24"/>
                <w:lang w:eastAsia="ru-RU"/>
              </w:rPr>
            </w:pPr>
            <w:r w:rsidRPr="00691330">
              <w:rPr>
                <w:rFonts w:eastAsia="Times New Roman"/>
                <w:sz w:val="24"/>
                <w:szCs w:val="24"/>
                <w:lang w:eastAsia="ru-RU"/>
              </w:rPr>
              <w:t>-2,4</w:t>
            </w:r>
          </w:p>
        </w:tc>
      </w:tr>
      <w:tr w:rsidR="006B6A3E" w:rsidRPr="00691330" w:rsidTr="006E3A91">
        <w:tc>
          <w:tcPr>
            <w:tcW w:w="0" w:type="auto"/>
            <w:shd w:val="clear" w:color="auto" w:fill="auto"/>
          </w:tcPr>
          <w:p w:rsidR="006B6A3E" w:rsidRPr="00691330" w:rsidRDefault="006B6A3E" w:rsidP="006B6A3E">
            <w:pPr>
              <w:spacing w:line="240" w:lineRule="auto"/>
              <w:ind w:left="170"/>
              <w:jc w:val="left"/>
              <w:rPr>
                <w:rFonts w:eastAsia="Times New Roman"/>
                <w:sz w:val="24"/>
                <w:szCs w:val="24"/>
                <w:lang w:eastAsia="ru-RU"/>
              </w:rPr>
            </w:pPr>
            <w:r w:rsidRPr="00691330">
              <w:rPr>
                <w:rFonts w:eastAsia="Times New Roman"/>
                <w:sz w:val="24"/>
                <w:szCs w:val="24"/>
                <w:lang w:eastAsia="ru-RU"/>
              </w:rPr>
              <w:t>Полтавська</w:t>
            </w:r>
          </w:p>
        </w:tc>
        <w:tc>
          <w:tcPr>
            <w:tcW w:w="0" w:type="auto"/>
            <w:shd w:val="clear" w:color="auto" w:fill="auto"/>
          </w:tcPr>
          <w:p w:rsidR="006B6A3E" w:rsidRPr="00691330" w:rsidRDefault="006B6A3E" w:rsidP="006B6A3E">
            <w:pPr>
              <w:spacing w:line="240" w:lineRule="auto"/>
              <w:jc w:val="center"/>
              <w:rPr>
                <w:rFonts w:eastAsia="Times New Roman"/>
                <w:sz w:val="24"/>
                <w:szCs w:val="24"/>
                <w:lang w:eastAsia="ru-RU"/>
              </w:rPr>
            </w:pPr>
            <w:r w:rsidRPr="00691330">
              <w:rPr>
                <w:rFonts w:eastAsia="Times New Roman"/>
                <w:sz w:val="24"/>
                <w:szCs w:val="24"/>
                <w:lang w:eastAsia="ru-RU"/>
              </w:rPr>
              <w:t>142</w:t>
            </w:r>
          </w:p>
        </w:tc>
        <w:tc>
          <w:tcPr>
            <w:tcW w:w="0" w:type="auto"/>
            <w:shd w:val="clear" w:color="auto" w:fill="auto"/>
          </w:tcPr>
          <w:p w:rsidR="006B6A3E" w:rsidRPr="00691330" w:rsidRDefault="006B6A3E" w:rsidP="006B6A3E">
            <w:pPr>
              <w:spacing w:line="240" w:lineRule="auto"/>
              <w:jc w:val="center"/>
              <w:rPr>
                <w:rFonts w:eastAsia="Times New Roman"/>
                <w:color w:val="000000"/>
                <w:sz w:val="24"/>
                <w:szCs w:val="24"/>
                <w:lang w:eastAsia="ru-RU"/>
              </w:rPr>
            </w:pPr>
            <w:r w:rsidRPr="00691330">
              <w:rPr>
                <w:rFonts w:eastAsia="Times New Roman"/>
                <w:color w:val="000000"/>
                <w:sz w:val="24"/>
                <w:szCs w:val="24"/>
                <w:lang w:eastAsia="ru-RU"/>
              </w:rPr>
              <w:t>133</w:t>
            </w:r>
          </w:p>
        </w:tc>
        <w:tc>
          <w:tcPr>
            <w:tcW w:w="0" w:type="auto"/>
            <w:shd w:val="clear" w:color="auto" w:fill="auto"/>
            <w:vAlign w:val="center"/>
          </w:tcPr>
          <w:p w:rsidR="006B6A3E" w:rsidRPr="00691330" w:rsidRDefault="006B6A3E" w:rsidP="006B6A3E">
            <w:pPr>
              <w:spacing w:line="240" w:lineRule="auto"/>
              <w:jc w:val="center"/>
              <w:rPr>
                <w:rFonts w:eastAsia="Times New Roman"/>
                <w:sz w:val="24"/>
                <w:szCs w:val="24"/>
                <w:lang w:eastAsia="ru-RU"/>
              </w:rPr>
            </w:pPr>
            <w:r w:rsidRPr="00691330">
              <w:rPr>
                <w:rFonts w:eastAsia="Times New Roman"/>
                <w:sz w:val="24"/>
                <w:szCs w:val="24"/>
                <w:lang w:eastAsia="ru-RU"/>
              </w:rPr>
              <w:t>-6,3</w:t>
            </w:r>
          </w:p>
        </w:tc>
        <w:tc>
          <w:tcPr>
            <w:tcW w:w="0" w:type="auto"/>
            <w:shd w:val="clear" w:color="auto" w:fill="auto"/>
          </w:tcPr>
          <w:p w:rsidR="006B6A3E" w:rsidRPr="00691330" w:rsidRDefault="006B6A3E" w:rsidP="006B6A3E">
            <w:pPr>
              <w:spacing w:line="240" w:lineRule="auto"/>
              <w:jc w:val="center"/>
              <w:rPr>
                <w:rFonts w:eastAsia="Times New Roman"/>
                <w:sz w:val="24"/>
                <w:szCs w:val="24"/>
                <w:lang w:eastAsia="ru-RU"/>
              </w:rPr>
            </w:pPr>
            <w:r w:rsidRPr="00691330">
              <w:rPr>
                <w:rFonts w:eastAsia="Times New Roman"/>
                <w:sz w:val="24"/>
                <w:szCs w:val="24"/>
                <w:lang w:eastAsia="ru-RU"/>
              </w:rPr>
              <w:t>10,0</w:t>
            </w:r>
          </w:p>
        </w:tc>
        <w:tc>
          <w:tcPr>
            <w:tcW w:w="0" w:type="auto"/>
            <w:shd w:val="clear" w:color="auto" w:fill="auto"/>
          </w:tcPr>
          <w:p w:rsidR="006B6A3E" w:rsidRPr="00691330" w:rsidRDefault="006B6A3E" w:rsidP="006B6A3E">
            <w:pPr>
              <w:spacing w:line="240" w:lineRule="auto"/>
              <w:jc w:val="center"/>
              <w:rPr>
                <w:rFonts w:eastAsia="Times New Roman"/>
                <w:color w:val="000000"/>
                <w:sz w:val="24"/>
                <w:szCs w:val="24"/>
                <w:lang w:eastAsia="ru-RU"/>
              </w:rPr>
            </w:pPr>
            <w:r w:rsidRPr="00691330">
              <w:rPr>
                <w:rFonts w:eastAsia="Times New Roman"/>
                <w:color w:val="000000"/>
                <w:sz w:val="24"/>
                <w:szCs w:val="24"/>
                <w:lang w:eastAsia="ru-RU"/>
              </w:rPr>
              <w:t>9,3</w:t>
            </w:r>
          </w:p>
        </w:tc>
        <w:tc>
          <w:tcPr>
            <w:tcW w:w="0" w:type="auto"/>
            <w:shd w:val="clear" w:color="auto" w:fill="auto"/>
            <w:vAlign w:val="center"/>
          </w:tcPr>
          <w:p w:rsidR="006B6A3E" w:rsidRPr="00691330" w:rsidRDefault="006B6A3E" w:rsidP="006B6A3E">
            <w:pPr>
              <w:spacing w:line="240" w:lineRule="auto"/>
              <w:jc w:val="center"/>
              <w:rPr>
                <w:rFonts w:eastAsia="Times New Roman"/>
                <w:sz w:val="24"/>
                <w:szCs w:val="24"/>
                <w:lang w:eastAsia="ru-RU"/>
              </w:rPr>
            </w:pPr>
            <w:r w:rsidRPr="00691330">
              <w:rPr>
                <w:rFonts w:eastAsia="Times New Roman"/>
                <w:sz w:val="24"/>
                <w:szCs w:val="24"/>
                <w:lang w:eastAsia="ru-RU"/>
              </w:rPr>
              <w:t>-7,0</w:t>
            </w:r>
          </w:p>
        </w:tc>
      </w:tr>
      <w:tr w:rsidR="006B6A3E" w:rsidRPr="00691330" w:rsidTr="006E3A91">
        <w:tc>
          <w:tcPr>
            <w:tcW w:w="0" w:type="auto"/>
            <w:shd w:val="clear" w:color="auto" w:fill="auto"/>
          </w:tcPr>
          <w:p w:rsidR="006B6A3E" w:rsidRPr="00691330" w:rsidRDefault="006B6A3E" w:rsidP="006B6A3E">
            <w:pPr>
              <w:spacing w:line="240" w:lineRule="auto"/>
              <w:ind w:left="170"/>
              <w:jc w:val="left"/>
              <w:rPr>
                <w:rFonts w:eastAsia="Times New Roman"/>
                <w:sz w:val="24"/>
                <w:szCs w:val="24"/>
                <w:lang w:eastAsia="ru-RU"/>
              </w:rPr>
            </w:pPr>
            <w:r w:rsidRPr="00691330">
              <w:rPr>
                <w:rFonts w:eastAsia="Times New Roman"/>
                <w:sz w:val="24"/>
                <w:szCs w:val="24"/>
                <w:lang w:eastAsia="ru-RU"/>
              </w:rPr>
              <w:t>Рівненська</w:t>
            </w:r>
          </w:p>
        </w:tc>
        <w:tc>
          <w:tcPr>
            <w:tcW w:w="0" w:type="auto"/>
            <w:shd w:val="clear" w:color="auto" w:fill="auto"/>
          </w:tcPr>
          <w:p w:rsidR="006B6A3E" w:rsidRPr="00691330" w:rsidRDefault="006B6A3E" w:rsidP="006B6A3E">
            <w:pPr>
              <w:spacing w:line="240" w:lineRule="auto"/>
              <w:jc w:val="center"/>
              <w:rPr>
                <w:rFonts w:eastAsia="Times New Roman"/>
                <w:sz w:val="24"/>
                <w:szCs w:val="24"/>
                <w:lang w:eastAsia="ru-RU"/>
              </w:rPr>
            </w:pPr>
            <w:r w:rsidRPr="00691330">
              <w:rPr>
                <w:rFonts w:eastAsia="Times New Roman"/>
                <w:sz w:val="24"/>
                <w:szCs w:val="24"/>
                <w:lang w:eastAsia="ru-RU"/>
              </w:rPr>
              <w:t>134</w:t>
            </w:r>
          </w:p>
        </w:tc>
        <w:tc>
          <w:tcPr>
            <w:tcW w:w="0" w:type="auto"/>
            <w:shd w:val="clear" w:color="auto" w:fill="auto"/>
          </w:tcPr>
          <w:p w:rsidR="006B6A3E" w:rsidRPr="00691330" w:rsidRDefault="006B6A3E" w:rsidP="006B6A3E">
            <w:pPr>
              <w:spacing w:line="240" w:lineRule="auto"/>
              <w:jc w:val="center"/>
              <w:rPr>
                <w:rFonts w:eastAsia="Times New Roman"/>
                <w:color w:val="000000"/>
                <w:sz w:val="24"/>
                <w:szCs w:val="24"/>
                <w:lang w:eastAsia="ru-RU"/>
              </w:rPr>
            </w:pPr>
            <w:r w:rsidRPr="00691330">
              <w:rPr>
                <w:rFonts w:eastAsia="Times New Roman"/>
                <w:color w:val="000000"/>
                <w:sz w:val="24"/>
                <w:szCs w:val="24"/>
                <w:lang w:eastAsia="ru-RU"/>
              </w:rPr>
              <w:t>113</w:t>
            </w:r>
          </w:p>
        </w:tc>
        <w:tc>
          <w:tcPr>
            <w:tcW w:w="0" w:type="auto"/>
            <w:shd w:val="clear" w:color="auto" w:fill="auto"/>
            <w:vAlign w:val="center"/>
          </w:tcPr>
          <w:p w:rsidR="006B6A3E" w:rsidRPr="00691330" w:rsidRDefault="006B6A3E" w:rsidP="006B6A3E">
            <w:pPr>
              <w:spacing w:line="240" w:lineRule="auto"/>
              <w:jc w:val="center"/>
              <w:rPr>
                <w:rFonts w:eastAsia="Times New Roman"/>
                <w:sz w:val="24"/>
                <w:szCs w:val="24"/>
                <w:lang w:eastAsia="ru-RU"/>
              </w:rPr>
            </w:pPr>
            <w:r w:rsidRPr="00691330">
              <w:rPr>
                <w:rFonts w:eastAsia="Times New Roman"/>
                <w:sz w:val="24"/>
                <w:szCs w:val="24"/>
                <w:lang w:eastAsia="ru-RU"/>
              </w:rPr>
              <w:t>-15,7</w:t>
            </w:r>
          </w:p>
        </w:tc>
        <w:tc>
          <w:tcPr>
            <w:tcW w:w="0" w:type="auto"/>
            <w:shd w:val="clear" w:color="auto" w:fill="auto"/>
          </w:tcPr>
          <w:p w:rsidR="006B6A3E" w:rsidRPr="00691330" w:rsidRDefault="006B6A3E" w:rsidP="006B6A3E">
            <w:pPr>
              <w:spacing w:line="240" w:lineRule="auto"/>
              <w:jc w:val="center"/>
              <w:rPr>
                <w:rFonts w:eastAsia="Times New Roman"/>
                <w:sz w:val="24"/>
                <w:szCs w:val="24"/>
                <w:lang w:eastAsia="ru-RU"/>
              </w:rPr>
            </w:pPr>
            <w:r w:rsidRPr="00691330">
              <w:rPr>
                <w:rFonts w:eastAsia="Times New Roman"/>
                <w:sz w:val="24"/>
                <w:szCs w:val="24"/>
                <w:lang w:eastAsia="ru-RU"/>
              </w:rPr>
              <w:t>11,7</w:t>
            </w:r>
          </w:p>
        </w:tc>
        <w:tc>
          <w:tcPr>
            <w:tcW w:w="0" w:type="auto"/>
            <w:shd w:val="clear" w:color="auto" w:fill="auto"/>
          </w:tcPr>
          <w:p w:rsidR="006B6A3E" w:rsidRPr="00691330" w:rsidRDefault="006B6A3E" w:rsidP="006B6A3E">
            <w:pPr>
              <w:spacing w:line="240" w:lineRule="auto"/>
              <w:jc w:val="center"/>
              <w:rPr>
                <w:rFonts w:eastAsia="Times New Roman"/>
                <w:color w:val="000000"/>
                <w:sz w:val="24"/>
                <w:szCs w:val="24"/>
                <w:lang w:eastAsia="ru-RU"/>
              </w:rPr>
            </w:pPr>
            <w:r w:rsidRPr="00691330">
              <w:rPr>
                <w:rFonts w:eastAsia="Times New Roman"/>
                <w:color w:val="000000"/>
                <w:sz w:val="24"/>
                <w:szCs w:val="24"/>
                <w:lang w:eastAsia="ru-RU"/>
              </w:rPr>
              <w:t>9,8</w:t>
            </w:r>
          </w:p>
        </w:tc>
        <w:tc>
          <w:tcPr>
            <w:tcW w:w="0" w:type="auto"/>
            <w:shd w:val="clear" w:color="auto" w:fill="auto"/>
            <w:vAlign w:val="center"/>
          </w:tcPr>
          <w:p w:rsidR="006B6A3E" w:rsidRPr="00691330" w:rsidRDefault="006B6A3E" w:rsidP="006B6A3E">
            <w:pPr>
              <w:spacing w:line="240" w:lineRule="auto"/>
              <w:jc w:val="center"/>
              <w:rPr>
                <w:rFonts w:eastAsia="Times New Roman"/>
                <w:sz w:val="24"/>
                <w:szCs w:val="24"/>
                <w:lang w:eastAsia="ru-RU"/>
              </w:rPr>
            </w:pPr>
            <w:r w:rsidRPr="00691330">
              <w:rPr>
                <w:rFonts w:eastAsia="Times New Roman"/>
                <w:sz w:val="24"/>
                <w:szCs w:val="24"/>
                <w:lang w:eastAsia="ru-RU"/>
              </w:rPr>
              <w:t>-16,2</w:t>
            </w:r>
          </w:p>
        </w:tc>
      </w:tr>
      <w:tr w:rsidR="006B6A3E" w:rsidRPr="00691330" w:rsidTr="006E3A91">
        <w:tc>
          <w:tcPr>
            <w:tcW w:w="0" w:type="auto"/>
            <w:shd w:val="clear" w:color="auto" w:fill="auto"/>
          </w:tcPr>
          <w:p w:rsidR="006B6A3E" w:rsidRPr="00691330" w:rsidRDefault="006B6A3E" w:rsidP="006B6A3E">
            <w:pPr>
              <w:spacing w:line="240" w:lineRule="auto"/>
              <w:ind w:left="170"/>
              <w:jc w:val="left"/>
              <w:rPr>
                <w:rFonts w:eastAsia="Times New Roman"/>
                <w:sz w:val="24"/>
                <w:szCs w:val="24"/>
                <w:lang w:eastAsia="ru-RU"/>
              </w:rPr>
            </w:pPr>
            <w:r w:rsidRPr="00691330">
              <w:rPr>
                <w:rFonts w:eastAsia="Times New Roman"/>
                <w:sz w:val="24"/>
                <w:szCs w:val="24"/>
                <w:lang w:eastAsia="ru-RU"/>
              </w:rPr>
              <w:t>Сумська</w:t>
            </w:r>
          </w:p>
        </w:tc>
        <w:tc>
          <w:tcPr>
            <w:tcW w:w="0" w:type="auto"/>
            <w:shd w:val="clear" w:color="auto" w:fill="auto"/>
          </w:tcPr>
          <w:p w:rsidR="006B6A3E" w:rsidRPr="00691330" w:rsidRDefault="006B6A3E" w:rsidP="006B6A3E">
            <w:pPr>
              <w:spacing w:line="240" w:lineRule="auto"/>
              <w:jc w:val="center"/>
              <w:rPr>
                <w:rFonts w:eastAsia="Times New Roman"/>
                <w:sz w:val="24"/>
                <w:szCs w:val="24"/>
                <w:lang w:eastAsia="ru-RU"/>
              </w:rPr>
            </w:pPr>
            <w:r w:rsidRPr="00691330">
              <w:rPr>
                <w:rFonts w:eastAsia="Times New Roman"/>
                <w:sz w:val="24"/>
                <w:szCs w:val="24"/>
                <w:lang w:eastAsia="ru-RU"/>
              </w:rPr>
              <w:t>96</w:t>
            </w:r>
          </w:p>
        </w:tc>
        <w:tc>
          <w:tcPr>
            <w:tcW w:w="0" w:type="auto"/>
            <w:shd w:val="clear" w:color="auto" w:fill="auto"/>
          </w:tcPr>
          <w:p w:rsidR="006B6A3E" w:rsidRPr="00691330" w:rsidRDefault="006B6A3E" w:rsidP="006B6A3E">
            <w:pPr>
              <w:spacing w:line="240" w:lineRule="auto"/>
              <w:jc w:val="center"/>
              <w:rPr>
                <w:rFonts w:eastAsia="Times New Roman"/>
                <w:color w:val="000000"/>
                <w:sz w:val="24"/>
                <w:szCs w:val="24"/>
                <w:lang w:eastAsia="ru-RU"/>
              </w:rPr>
            </w:pPr>
            <w:r w:rsidRPr="00691330">
              <w:rPr>
                <w:rFonts w:eastAsia="Times New Roman"/>
                <w:color w:val="000000"/>
                <w:sz w:val="24"/>
                <w:szCs w:val="24"/>
                <w:lang w:eastAsia="ru-RU"/>
              </w:rPr>
              <w:t>103</w:t>
            </w:r>
          </w:p>
        </w:tc>
        <w:tc>
          <w:tcPr>
            <w:tcW w:w="0" w:type="auto"/>
            <w:shd w:val="clear" w:color="auto" w:fill="auto"/>
            <w:vAlign w:val="center"/>
          </w:tcPr>
          <w:p w:rsidR="006B6A3E" w:rsidRPr="00691330" w:rsidRDefault="006B6A3E" w:rsidP="006B6A3E">
            <w:pPr>
              <w:spacing w:line="240" w:lineRule="auto"/>
              <w:jc w:val="center"/>
              <w:rPr>
                <w:rFonts w:eastAsia="Times New Roman"/>
                <w:sz w:val="24"/>
                <w:szCs w:val="24"/>
                <w:lang w:eastAsia="ru-RU"/>
              </w:rPr>
            </w:pPr>
            <w:r w:rsidRPr="00691330">
              <w:rPr>
                <w:rFonts w:eastAsia="Times New Roman"/>
                <w:sz w:val="24"/>
                <w:szCs w:val="24"/>
                <w:lang w:eastAsia="ru-RU"/>
              </w:rPr>
              <w:t>7,3</w:t>
            </w:r>
          </w:p>
        </w:tc>
        <w:tc>
          <w:tcPr>
            <w:tcW w:w="0" w:type="auto"/>
            <w:shd w:val="clear" w:color="auto" w:fill="auto"/>
          </w:tcPr>
          <w:p w:rsidR="006B6A3E" w:rsidRPr="00691330" w:rsidRDefault="006B6A3E" w:rsidP="006B6A3E">
            <w:pPr>
              <w:spacing w:line="240" w:lineRule="auto"/>
              <w:jc w:val="center"/>
              <w:rPr>
                <w:rFonts w:eastAsia="Times New Roman"/>
                <w:sz w:val="24"/>
                <w:szCs w:val="24"/>
                <w:lang w:eastAsia="ru-RU"/>
              </w:rPr>
            </w:pPr>
            <w:r w:rsidRPr="00691330">
              <w:rPr>
                <w:rFonts w:eastAsia="Times New Roman"/>
                <w:sz w:val="24"/>
                <w:szCs w:val="24"/>
                <w:lang w:eastAsia="ru-RU"/>
              </w:rPr>
              <w:t>7,9</w:t>
            </w:r>
          </w:p>
        </w:tc>
        <w:tc>
          <w:tcPr>
            <w:tcW w:w="0" w:type="auto"/>
            <w:shd w:val="clear" w:color="auto" w:fill="auto"/>
          </w:tcPr>
          <w:p w:rsidR="006B6A3E" w:rsidRPr="00691330" w:rsidRDefault="006B6A3E" w:rsidP="006B6A3E">
            <w:pPr>
              <w:spacing w:line="240" w:lineRule="auto"/>
              <w:jc w:val="center"/>
              <w:rPr>
                <w:rFonts w:eastAsia="Times New Roman"/>
                <w:color w:val="000000"/>
                <w:sz w:val="24"/>
                <w:szCs w:val="24"/>
                <w:lang w:eastAsia="ru-RU"/>
              </w:rPr>
            </w:pPr>
            <w:r w:rsidRPr="00691330">
              <w:rPr>
                <w:rFonts w:eastAsia="Times New Roman"/>
                <w:color w:val="000000"/>
                <w:sz w:val="24"/>
                <w:szCs w:val="24"/>
                <w:lang w:eastAsia="ru-RU"/>
              </w:rPr>
              <w:t>8,6</w:t>
            </w:r>
          </w:p>
        </w:tc>
        <w:tc>
          <w:tcPr>
            <w:tcW w:w="0" w:type="auto"/>
            <w:shd w:val="clear" w:color="auto" w:fill="auto"/>
            <w:vAlign w:val="center"/>
          </w:tcPr>
          <w:p w:rsidR="006B6A3E" w:rsidRPr="00691330" w:rsidRDefault="006B6A3E" w:rsidP="006B6A3E">
            <w:pPr>
              <w:spacing w:line="240" w:lineRule="auto"/>
              <w:jc w:val="center"/>
              <w:rPr>
                <w:rFonts w:eastAsia="Times New Roman"/>
                <w:sz w:val="24"/>
                <w:szCs w:val="24"/>
                <w:lang w:eastAsia="ru-RU"/>
              </w:rPr>
            </w:pPr>
            <w:r w:rsidRPr="00691330">
              <w:rPr>
                <w:rFonts w:eastAsia="Times New Roman"/>
                <w:sz w:val="24"/>
                <w:szCs w:val="24"/>
                <w:lang w:eastAsia="ru-RU"/>
              </w:rPr>
              <w:t>8,9</w:t>
            </w:r>
          </w:p>
        </w:tc>
      </w:tr>
      <w:tr w:rsidR="006B6A3E" w:rsidRPr="00691330" w:rsidTr="006E3A91">
        <w:tc>
          <w:tcPr>
            <w:tcW w:w="0" w:type="auto"/>
            <w:shd w:val="clear" w:color="auto" w:fill="auto"/>
          </w:tcPr>
          <w:p w:rsidR="006B6A3E" w:rsidRPr="00691330" w:rsidRDefault="006B6A3E" w:rsidP="006B6A3E">
            <w:pPr>
              <w:spacing w:line="240" w:lineRule="auto"/>
              <w:ind w:left="170"/>
              <w:jc w:val="left"/>
              <w:rPr>
                <w:rFonts w:eastAsia="Times New Roman"/>
                <w:sz w:val="24"/>
                <w:szCs w:val="24"/>
                <w:lang w:eastAsia="ru-RU"/>
              </w:rPr>
            </w:pPr>
            <w:r w:rsidRPr="00691330">
              <w:rPr>
                <w:rFonts w:eastAsia="Times New Roman"/>
                <w:sz w:val="24"/>
                <w:szCs w:val="24"/>
                <w:lang w:eastAsia="ru-RU"/>
              </w:rPr>
              <w:t>Тернопільська</w:t>
            </w:r>
          </w:p>
        </w:tc>
        <w:tc>
          <w:tcPr>
            <w:tcW w:w="0" w:type="auto"/>
            <w:shd w:val="clear" w:color="auto" w:fill="auto"/>
          </w:tcPr>
          <w:p w:rsidR="006B6A3E" w:rsidRPr="00691330" w:rsidRDefault="006B6A3E" w:rsidP="006B6A3E">
            <w:pPr>
              <w:spacing w:line="240" w:lineRule="auto"/>
              <w:jc w:val="center"/>
              <w:rPr>
                <w:rFonts w:eastAsia="Times New Roman"/>
                <w:sz w:val="24"/>
                <w:szCs w:val="24"/>
                <w:lang w:eastAsia="ru-RU"/>
              </w:rPr>
            </w:pPr>
            <w:r w:rsidRPr="00691330">
              <w:rPr>
                <w:rFonts w:eastAsia="Times New Roman"/>
                <w:sz w:val="24"/>
                <w:szCs w:val="24"/>
                <w:lang w:eastAsia="ru-RU"/>
              </w:rPr>
              <w:t>107</w:t>
            </w:r>
          </w:p>
        </w:tc>
        <w:tc>
          <w:tcPr>
            <w:tcW w:w="0" w:type="auto"/>
            <w:shd w:val="clear" w:color="auto" w:fill="auto"/>
          </w:tcPr>
          <w:p w:rsidR="006B6A3E" w:rsidRPr="00691330" w:rsidRDefault="006B6A3E" w:rsidP="006B6A3E">
            <w:pPr>
              <w:spacing w:line="240" w:lineRule="auto"/>
              <w:jc w:val="center"/>
              <w:rPr>
                <w:rFonts w:eastAsia="Times New Roman"/>
                <w:color w:val="000000"/>
                <w:sz w:val="24"/>
                <w:szCs w:val="24"/>
                <w:lang w:eastAsia="ru-RU"/>
              </w:rPr>
            </w:pPr>
            <w:r w:rsidRPr="00691330">
              <w:rPr>
                <w:rFonts w:eastAsia="Times New Roman"/>
                <w:color w:val="000000"/>
                <w:sz w:val="24"/>
                <w:szCs w:val="24"/>
                <w:lang w:eastAsia="ru-RU"/>
              </w:rPr>
              <w:t>105</w:t>
            </w:r>
          </w:p>
        </w:tc>
        <w:tc>
          <w:tcPr>
            <w:tcW w:w="0" w:type="auto"/>
            <w:shd w:val="clear" w:color="auto" w:fill="auto"/>
            <w:vAlign w:val="center"/>
          </w:tcPr>
          <w:p w:rsidR="006B6A3E" w:rsidRPr="00691330" w:rsidRDefault="006B6A3E" w:rsidP="006B6A3E">
            <w:pPr>
              <w:spacing w:line="240" w:lineRule="auto"/>
              <w:jc w:val="center"/>
              <w:rPr>
                <w:rFonts w:eastAsia="Times New Roman"/>
                <w:sz w:val="24"/>
                <w:szCs w:val="24"/>
                <w:lang w:eastAsia="ru-RU"/>
              </w:rPr>
            </w:pPr>
            <w:r w:rsidRPr="00691330">
              <w:rPr>
                <w:rFonts w:eastAsia="Times New Roman"/>
                <w:sz w:val="24"/>
                <w:szCs w:val="24"/>
                <w:lang w:eastAsia="ru-RU"/>
              </w:rPr>
              <w:t>-1,9</w:t>
            </w:r>
          </w:p>
        </w:tc>
        <w:tc>
          <w:tcPr>
            <w:tcW w:w="0" w:type="auto"/>
            <w:shd w:val="clear" w:color="auto" w:fill="auto"/>
          </w:tcPr>
          <w:p w:rsidR="006B6A3E" w:rsidRPr="00691330" w:rsidRDefault="006B6A3E" w:rsidP="006B6A3E">
            <w:pPr>
              <w:spacing w:line="240" w:lineRule="auto"/>
              <w:jc w:val="center"/>
              <w:rPr>
                <w:rFonts w:eastAsia="Times New Roman"/>
                <w:sz w:val="24"/>
                <w:szCs w:val="24"/>
                <w:lang w:eastAsia="ru-RU"/>
              </w:rPr>
            </w:pPr>
            <w:r w:rsidRPr="00691330">
              <w:rPr>
                <w:rFonts w:eastAsia="Times New Roman"/>
                <w:sz w:val="24"/>
                <w:szCs w:val="24"/>
                <w:lang w:eastAsia="ru-RU"/>
              </w:rPr>
              <w:t>12,0</w:t>
            </w:r>
          </w:p>
        </w:tc>
        <w:tc>
          <w:tcPr>
            <w:tcW w:w="0" w:type="auto"/>
            <w:shd w:val="clear" w:color="auto" w:fill="auto"/>
          </w:tcPr>
          <w:p w:rsidR="006B6A3E" w:rsidRPr="00691330" w:rsidRDefault="006B6A3E" w:rsidP="006B6A3E">
            <w:pPr>
              <w:spacing w:line="240" w:lineRule="auto"/>
              <w:jc w:val="center"/>
              <w:rPr>
                <w:rFonts w:eastAsia="Times New Roman"/>
                <w:color w:val="000000"/>
                <w:sz w:val="24"/>
                <w:szCs w:val="24"/>
                <w:lang w:eastAsia="ru-RU"/>
              </w:rPr>
            </w:pPr>
            <w:r w:rsidRPr="00691330">
              <w:rPr>
                <w:rFonts w:eastAsia="Times New Roman"/>
                <w:color w:val="000000"/>
                <w:sz w:val="24"/>
                <w:szCs w:val="24"/>
                <w:lang w:eastAsia="ru-RU"/>
              </w:rPr>
              <w:t>11,8</w:t>
            </w:r>
          </w:p>
        </w:tc>
        <w:tc>
          <w:tcPr>
            <w:tcW w:w="0" w:type="auto"/>
            <w:shd w:val="clear" w:color="auto" w:fill="auto"/>
            <w:vAlign w:val="center"/>
          </w:tcPr>
          <w:p w:rsidR="006B6A3E" w:rsidRPr="00691330" w:rsidRDefault="006B6A3E" w:rsidP="006B6A3E">
            <w:pPr>
              <w:spacing w:line="240" w:lineRule="auto"/>
              <w:jc w:val="center"/>
              <w:rPr>
                <w:rFonts w:eastAsia="Times New Roman"/>
                <w:sz w:val="24"/>
                <w:szCs w:val="24"/>
                <w:lang w:eastAsia="ru-RU"/>
              </w:rPr>
            </w:pPr>
            <w:r w:rsidRPr="00691330">
              <w:rPr>
                <w:rFonts w:eastAsia="Times New Roman"/>
                <w:sz w:val="24"/>
                <w:szCs w:val="24"/>
                <w:lang w:eastAsia="ru-RU"/>
              </w:rPr>
              <w:t>-1,7</w:t>
            </w:r>
          </w:p>
        </w:tc>
      </w:tr>
      <w:tr w:rsidR="006B6A3E" w:rsidRPr="00691330" w:rsidTr="006E3A91">
        <w:tc>
          <w:tcPr>
            <w:tcW w:w="0" w:type="auto"/>
            <w:shd w:val="clear" w:color="auto" w:fill="auto"/>
          </w:tcPr>
          <w:p w:rsidR="006B6A3E" w:rsidRPr="00691330" w:rsidRDefault="006B6A3E" w:rsidP="006B6A3E">
            <w:pPr>
              <w:spacing w:line="240" w:lineRule="auto"/>
              <w:ind w:left="170"/>
              <w:jc w:val="left"/>
              <w:rPr>
                <w:rFonts w:eastAsia="Times New Roman"/>
                <w:sz w:val="24"/>
                <w:szCs w:val="24"/>
                <w:lang w:eastAsia="ru-RU"/>
              </w:rPr>
            </w:pPr>
            <w:r w:rsidRPr="00691330">
              <w:rPr>
                <w:rFonts w:eastAsia="Times New Roman"/>
                <w:sz w:val="24"/>
                <w:szCs w:val="24"/>
                <w:lang w:eastAsia="ru-RU"/>
              </w:rPr>
              <w:t>Харківська</w:t>
            </w:r>
          </w:p>
        </w:tc>
        <w:tc>
          <w:tcPr>
            <w:tcW w:w="0" w:type="auto"/>
            <w:shd w:val="clear" w:color="auto" w:fill="auto"/>
          </w:tcPr>
          <w:p w:rsidR="006B6A3E" w:rsidRPr="00691330" w:rsidRDefault="006B6A3E" w:rsidP="006B6A3E">
            <w:pPr>
              <w:spacing w:line="240" w:lineRule="auto"/>
              <w:jc w:val="center"/>
              <w:rPr>
                <w:rFonts w:eastAsia="Times New Roman"/>
                <w:sz w:val="24"/>
                <w:szCs w:val="24"/>
                <w:lang w:eastAsia="ru-RU"/>
              </w:rPr>
            </w:pPr>
            <w:r w:rsidRPr="00691330">
              <w:rPr>
                <w:rFonts w:eastAsia="Times New Roman"/>
                <w:sz w:val="24"/>
                <w:szCs w:val="24"/>
                <w:lang w:eastAsia="ru-RU"/>
              </w:rPr>
              <w:t>275</w:t>
            </w:r>
          </w:p>
        </w:tc>
        <w:tc>
          <w:tcPr>
            <w:tcW w:w="0" w:type="auto"/>
            <w:shd w:val="clear" w:color="auto" w:fill="auto"/>
          </w:tcPr>
          <w:p w:rsidR="006B6A3E" w:rsidRPr="00691330" w:rsidRDefault="006B6A3E" w:rsidP="006B6A3E">
            <w:pPr>
              <w:spacing w:line="240" w:lineRule="auto"/>
              <w:jc w:val="center"/>
              <w:rPr>
                <w:rFonts w:eastAsia="Times New Roman"/>
                <w:color w:val="000000"/>
                <w:sz w:val="24"/>
                <w:szCs w:val="24"/>
                <w:lang w:eastAsia="ru-RU"/>
              </w:rPr>
            </w:pPr>
            <w:r w:rsidRPr="00691330">
              <w:rPr>
                <w:rFonts w:eastAsia="Times New Roman"/>
                <w:color w:val="000000"/>
                <w:sz w:val="24"/>
                <w:szCs w:val="24"/>
                <w:lang w:eastAsia="ru-RU"/>
              </w:rPr>
              <w:t>273</w:t>
            </w:r>
          </w:p>
        </w:tc>
        <w:tc>
          <w:tcPr>
            <w:tcW w:w="0" w:type="auto"/>
            <w:shd w:val="clear" w:color="auto" w:fill="auto"/>
            <w:vAlign w:val="center"/>
          </w:tcPr>
          <w:p w:rsidR="006B6A3E" w:rsidRPr="00691330" w:rsidRDefault="006B6A3E" w:rsidP="006B6A3E">
            <w:pPr>
              <w:spacing w:line="240" w:lineRule="auto"/>
              <w:jc w:val="center"/>
              <w:rPr>
                <w:rFonts w:eastAsia="Times New Roman"/>
                <w:sz w:val="24"/>
                <w:szCs w:val="24"/>
                <w:lang w:eastAsia="ru-RU"/>
              </w:rPr>
            </w:pPr>
            <w:r w:rsidRPr="00691330">
              <w:rPr>
                <w:rFonts w:eastAsia="Times New Roman"/>
                <w:sz w:val="24"/>
                <w:szCs w:val="24"/>
                <w:lang w:eastAsia="ru-RU"/>
              </w:rPr>
              <w:t>-0,7</w:t>
            </w:r>
          </w:p>
        </w:tc>
        <w:tc>
          <w:tcPr>
            <w:tcW w:w="0" w:type="auto"/>
            <w:shd w:val="clear" w:color="auto" w:fill="auto"/>
          </w:tcPr>
          <w:p w:rsidR="006B6A3E" w:rsidRPr="00691330" w:rsidRDefault="006B6A3E" w:rsidP="006B6A3E">
            <w:pPr>
              <w:spacing w:line="240" w:lineRule="auto"/>
              <w:jc w:val="center"/>
              <w:rPr>
                <w:rFonts w:eastAsia="Times New Roman"/>
                <w:sz w:val="24"/>
                <w:szCs w:val="24"/>
                <w:lang w:eastAsia="ru-RU"/>
              </w:rPr>
            </w:pPr>
            <w:r w:rsidRPr="00691330">
              <w:rPr>
                <w:rFonts w:eastAsia="Times New Roman"/>
                <w:sz w:val="24"/>
                <w:szCs w:val="24"/>
                <w:lang w:eastAsia="ru-RU"/>
              </w:rPr>
              <w:t>8,4</w:t>
            </w:r>
          </w:p>
        </w:tc>
        <w:tc>
          <w:tcPr>
            <w:tcW w:w="0" w:type="auto"/>
            <w:shd w:val="clear" w:color="auto" w:fill="auto"/>
          </w:tcPr>
          <w:p w:rsidR="006B6A3E" w:rsidRPr="00691330" w:rsidRDefault="006B6A3E" w:rsidP="006B6A3E">
            <w:pPr>
              <w:spacing w:line="240" w:lineRule="auto"/>
              <w:jc w:val="center"/>
              <w:rPr>
                <w:rFonts w:eastAsia="Times New Roman"/>
                <w:color w:val="000000"/>
                <w:sz w:val="24"/>
                <w:szCs w:val="24"/>
                <w:lang w:eastAsia="ru-RU"/>
              </w:rPr>
            </w:pPr>
            <w:r w:rsidRPr="00691330">
              <w:rPr>
                <w:rFonts w:eastAsia="Times New Roman"/>
                <w:color w:val="000000"/>
                <w:sz w:val="24"/>
                <w:szCs w:val="24"/>
                <w:lang w:eastAsia="ru-RU"/>
              </w:rPr>
              <w:t>7,9</w:t>
            </w:r>
          </w:p>
        </w:tc>
        <w:tc>
          <w:tcPr>
            <w:tcW w:w="0" w:type="auto"/>
            <w:shd w:val="clear" w:color="auto" w:fill="auto"/>
            <w:vAlign w:val="center"/>
          </w:tcPr>
          <w:p w:rsidR="006B6A3E" w:rsidRPr="00691330" w:rsidRDefault="006B6A3E" w:rsidP="006B6A3E">
            <w:pPr>
              <w:spacing w:line="240" w:lineRule="auto"/>
              <w:jc w:val="center"/>
              <w:rPr>
                <w:rFonts w:eastAsia="Times New Roman"/>
                <w:sz w:val="24"/>
                <w:szCs w:val="24"/>
                <w:lang w:eastAsia="ru-RU"/>
              </w:rPr>
            </w:pPr>
            <w:r w:rsidRPr="00691330">
              <w:rPr>
                <w:rFonts w:eastAsia="Times New Roman"/>
                <w:sz w:val="24"/>
                <w:szCs w:val="24"/>
                <w:lang w:eastAsia="ru-RU"/>
              </w:rPr>
              <w:t>-6,0</w:t>
            </w:r>
          </w:p>
        </w:tc>
      </w:tr>
      <w:tr w:rsidR="006B6A3E" w:rsidRPr="00691330" w:rsidTr="006E3A91">
        <w:tc>
          <w:tcPr>
            <w:tcW w:w="0" w:type="auto"/>
            <w:shd w:val="clear" w:color="auto" w:fill="auto"/>
          </w:tcPr>
          <w:p w:rsidR="006B6A3E" w:rsidRPr="00691330" w:rsidRDefault="006B6A3E" w:rsidP="006B6A3E">
            <w:pPr>
              <w:spacing w:line="240" w:lineRule="auto"/>
              <w:ind w:left="170"/>
              <w:jc w:val="left"/>
              <w:rPr>
                <w:rFonts w:eastAsia="Times New Roman"/>
                <w:sz w:val="24"/>
                <w:szCs w:val="24"/>
                <w:lang w:eastAsia="ru-RU"/>
              </w:rPr>
            </w:pPr>
            <w:r w:rsidRPr="00691330">
              <w:rPr>
                <w:rFonts w:eastAsia="Times New Roman"/>
                <w:sz w:val="24"/>
                <w:szCs w:val="24"/>
                <w:lang w:eastAsia="ru-RU"/>
              </w:rPr>
              <w:t>Херсонська</w:t>
            </w:r>
          </w:p>
        </w:tc>
        <w:tc>
          <w:tcPr>
            <w:tcW w:w="0" w:type="auto"/>
            <w:shd w:val="clear" w:color="auto" w:fill="auto"/>
          </w:tcPr>
          <w:p w:rsidR="006B6A3E" w:rsidRPr="00691330" w:rsidRDefault="006B6A3E" w:rsidP="006B6A3E">
            <w:pPr>
              <w:spacing w:line="240" w:lineRule="auto"/>
              <w:jc w:val="center"/>
              <w:rPr>
                <w:rFonts w:eastAsia="Times New Roman"/>
                <w:sz w:val="24"/>
                <w:szCs w:val="24"/>
                <w:lang w:eastAsia="ru-RU"/>
              </w:rPr>
            </w:pPr>
            <w:r w:rsidRPr="00691330">
              <w:rPr>
                <w:rFonts w:eastAsia="Times New Roman"/>
                <w:sz w:val="24"/>
                <w:szCs w:val="24"/>
                <w:lang w:eastAsia="ru-RU"/>
              </w:rPr>
              <w:t>107</w:t>
            </w:r>
          </w:p>
        </w:tc>
        <w:tc>
          <w:tcPr>
            <w:tcW w:w="0" w:type="auto"/>
            <w:shd w:val="clear" w:color="auto" w:fill="auto"/>
          </w:tcPr>
          <w:p w:rsidR="006B6A3E" w:rsidRPr="00691330" w:rsidRDefault="006B6A3E" w:rsidP="006B6A3E">
            <w:pPr>
              <w:spacing w:line="240" w:lineRule="auto"/>
              <w:jc w:val="center"/>
              <w:rPr>
                <w:rFonts w:eastAsia="Times New Roman"/>
                <w:color w:val="000000"/>
                <w:sz w:val="24"/>
                <w:szCs w:val="24"/>
                <w:lang w:eastAsia="ru-RU"/>
              </w:rPr>
            </w:pPr>
            <w:r w:rsidRPr="00691330">
              <w:rPr>
                <w:rFonts w:eastAsia="Times New Roman"/>
                <w:color w:val="000000"/>
                <w:sz w:val="24"/>
                <w:szCs w:val="24"/>
                <w:lang w:eastAsia="ru-RU"/>
              </w:rPr>
              <w:t>105</w:t>
            </w:r>
          </w:p>
        </w:tc>
        <w:tc>
          <w:tcPr>
            <w:tcW w:w="0" w:type="auto"/>
            <w:shd w:val="clear" w:color="auto" w:fill="auto"/>
            <w:vAlign w:val="center"/>
          </w:tcPr>
          <w:p w:rsidR="006B6A3E" w:rsidRPr="00691330" w:rsidRDefault="006B6A3E" w:rsidP="006B6A3E">
            <w:pPr>
              <w:spacing w:line="240" w:lineRule="auto"/>
              <w:jc w:val="center"/>
              <w:rPr>
                <w:rFonts w:eastAsia="Times New Roman"/>
                <w:sz w:val="24"/>
                <w:szCs w:val="24"/>
                <w:lang w:eastAsia="ru-RU"/>
              </w:rPr>
            </w:pPr>
            <w:r w:rsidRPr="00691330">
              <w:rPr>
                <w:rFonts w:eastAsia="Times New Roman"/>
                <w:sz w:val="24"/>
                <w:szCs w:val="24"/>
                <w:lang w:eastAsia="ru-RU"/>
              </w:rPr>
              <w:t>-1,9</w:t>
            </w:r>
          </w:p>
        </w:tc>
        <w:tc>
          <w:tcPr>
            <w:tcW w:w="0" w:type="auto"/>
            <w:shd w:val="clear" w:color="auto" w:fill="auto"/>
          </w:tcPr>
          <w:p w:rsidR="006B6A3E" w:rsidRPr="00691330" w:rsidRDefault="006B6A3E" w:rsidP="006B6A3E">
            <w:pPr>
              <w:spacing w:line="240" w:lineRule="auto"/>
              <w:jc w:val="center"/>
              <w:rPr>
                <w:rFonts w:eastAsia="Times New Roman"/>
                <w:sz w:val="24"/>
                <w:szCs w:val="24"/>
                <w:lang w:eastAsia="ru-RU"/>
              </w:rPr>
            </w:pPr>
            <w:r w:rsidRPr="00691330">
              <w:rPr>
                <w:rFonts w:eastAsia="Times New Roman"/>
                <w:sz w:val="24"/>
                <w:szCs w:val="24"/>
                <w:lang w:eastAsia="ru-RU"/>
              </w:rPr>
              <w:t>9,5</w:t>
            </w:r>
          </w:p>
        </w:tc>
        <w:tc>
          <w:tcPr>
            <w:tcW w:w="0" w:type="auto"/>
            <w:shd w:val="clear" w:color="auto" w:fill="auto"/>
          </w:tcPr>
          <w:p w:rsidR="006B6A3E" w:rsidRPr="00691330" w:rsidRDefault="006B6A3E" w:rsidP="006B6A3E">
            <w:pPr>
              <w:spacing w:line="240" w:lineRule="auto"/>
              <w:jc w:val="center"/>
              <w:rPr>
                <w:rFonts w:eastAsia="Times New Roman"/>
                <w:color w:val="000000"/>
                <w:sz w:val="24"/>
                <w:szCs w:val="24"/>
                <w:lang w:eastAsia="ru-RU"/>
              </w:rPr>
            </w:pPr>
            <w:r w:rsidRPr="00691330">
              <w:rPr>
                <w:rFonts w:eastAsia="Times New Roman"/>
                <w:color w:val="000000"/>
                <w:sz w:val="24"/>
                <w:szCs w:val="24"/>
                <w:lang w:eastAsia="ru-RU"/>
              </w:rPr>
              <w:t>9,0</w:t>
            </w:r>
          </w:p>
        </w:tc>
        <w:tc>
          <w:tcPr>
            <w:tcW w:w="0" w:type="auto"/>
            <w:shd w:val="clear" w:color="auto" w:fill="auto"/>
            <w:vAlign w:val="center"/>
          </w:tcPr>
          <w:p w:rsidR="006B6A3E" w:rsidRPr="00691330" w:rsidRDefault="006B6A3E" w:rsidP="006B6A3E">
            <w:pPr>
              <w:spacing w:line="240" w:lineRule="auto"/>
              <w:jc w:val="center"/>
              <w:rPr>
                <w:rFonts w:eastAsia="Times New Roman"/>
                <w:sz w:val="24"/>
                <w:szCs w:val="24"/>
                <w:lang w:eastAsia="ru-RU"/>
              </w:rPr>
            </w:pPr>
            <w:r w:rsidRPr="00691330">
              <w:rPr>
                <w:rFonts w:eastAsia="Times New Roman"/>
                <w:sz w:val="24"/>
                <w:szCs w:val="24"/>
                <w:lang w:eastAsia="ru-RU"/>
              </w:rPr>
              <w:t>-5,3</w:t>
            </w:r>
          </w:p>
        </w:tc>
      </w:tr>
      <w:tr w:rsidR="006B6A3E" w:rsidRPr="00691330" w:rsidTr="006E3A91">
        <w:tc>
          <w:tcPr>
            <w:tcW w:w="0" w:type="auto"/>
            <w:shd w:val="clear" w:color="auto" w:fill="auto"/>
          </w:tcPr>
          <w:p w:rsidR="006B6A3E" w:rsidRPr="00691330" w:rsidRDefault="006B6A3E" w:rsidP="006B6A3E">
            <w:pPr>
              <w:spacing w:line="240" w:lineRule="auto"/>
              <w:ind w:left="170"/>
              <w:jc w:val="left"/>
              <w:rPr>
                <w:rFonts w:eastAsia="Times New Roman"/>
                <w:sz w:val="24"/>
                <w:szCs w:val="24"/>
                <w:lang w:eastAsia="ru-RU"/>
              </w:rPr>
            </w:pPr>
            <w:r w:rsidRPr="00691330">
              <w:rPr>
                <w:rFonts w:eastAsia="Times New Roman"/>
                <w:sz w:val="24"/>
                <w:szCs w:val="24"/>
                <w:lang w:eastAsia="ru-RU"/>
              </w:rPr>
              <w:t>Хмельницька</w:t>
            </w:r>
          </w:p>
        </w:tc>
        <w:tc>
          <w:tcPr>
            <w:tcW w:w="0" w:type="auto"/>
            <w:shd w:val="clear" w:color="auto" w:fill="auto"/>
          </w:tcPr>
          <w:p w:rsidR="006B6A3E" w:rsidRPr="00691330" w:rsidRDefault="006B6A3E" w:rsidP="006B6A3E">
            <w:pPr>
              <w:spacing w:line="240" w:lineRule="auto"/>
              <w:jc w:val="center"/>
              <w:rPr>
                <w:rFonts w:eastAsia="Times New Roman"/>
                <w:sz w:val="24"/>
                <w:szCs w:val="24"/>
                <w:lang w:eastAsia="ru-RU"/>
              </w:rPr>
            </w:pPr>
            <w:r w:rsidRPr="00691330">
              <w:rPr>
                <w:rFonts w:eastAsia="Times New Roman"/>
                <w:sz w:val="24"/>
                <w:szCs w:val="24"/>
                <w:lang w:eastAsia="ru-RU"/>
              </w:rPr>
              <w:t>200</w:t>
            </w:r>
          </w:p>
        </w:tc>
        <w:tc>
          <w:tcPr>
            <w:tcW w:w="0" w:type="auto"/>
            <w:shd w:val="clear" w:color="auto" w:fill="auto"/>
          </w:tcPr>
          <w:p w:rsidR="006B6A3E" w:rsidRPr="00691330" w:rsidRDefault="006B6A3E" w:rsidP="006B6A3E">
            <w:pPr>
              <w:spacing w:line="240" w:lineRule="auto"/>
              <w:jc w:val="center"/>
              <w:rPr>
                <w:rFonts w:eastAsia="Times New Roman"/>
                <w:color w:val="000000"/>
                <w:sz w:val="24"/>
                <w:szCs w:val="24"/>
                <w:lang w:eastAsia="ru-RU"/>
              </w:rPr>
            </w:pPr>
            <w:r w:rsidRPr="00691330">
              <w:rPr>
                <w:rFonts w:eastAsia="Times New Roman"/>
                <w:color w:val="000000"/>
                <w:sz w:val="24"/>
                <w:szCs w:val="24"/>
                <w:lang w:eastAsia="ru-RU"/>
              </w:rPr>
              <w:t>154</w:t>
            </w:r>
          </w:p>
        </w:tc>
        <w:tc>
          <w:tcPr>
            <w:tcW w:w="0" w:type="auto"/>
            <w:shd w:val="clear" w:color="auto" w:fill="auto"/>
            <w:vAlign w:val="center"/>
          </w:tcPr>
          <w:p w:rsidR="006B6A3E" w:rsidRPr="00691330" w:rsidRDefault="006B6A3E" w:rsidP="006B6A3E">
            <w:pPr>
              <w:spacing w:line="240" w:lineRule="auto"/>
              <w:jc w:val="center"/>
              <w:rPr>
                <w:rFonts w:eastAsia="Times New Roman"/>
                <w:sz w:val="24"/>
                <w:szCs w:val="24"/>
                <w:lang w:eastAsia="ru-RU"/>
              </w:rPr>
            </w:pPr>
            <w:r w:rsidRPr="00691330">
              <w:rPr>
                <w:rFonts w:eastAsia="Times New Roman"/>
                <w:sz w:val="24"/>
                <w:szCs w:val="24"/>
                <w:lang w:eastAsia="ru-RU"/>
              </w:rPr>
              <w:t>-23,0</w:t>
            </w:r>
          </w:p>
        </w:tc>
        <w:tc>
          <w:tcPr>
            <w:tcW w:w="0" w:type="auto"/>
            <w:shd w:val="clear" w:color="auto" w:fill="auto"/>
          </w:tcPr>
          <w:p w:rsidR="006B6A3E" w:rsidRPr="00691330" w:rsidRDefault="006B6A3E" w:rsidP="006B6A3E">
            <w:pPr>
              <w:spacing w:line="240" w:lineRule="auto"/>
              <w:jc w:val="center"/>
              <w:rPr>
                <w:rFonts w:eastAsia="Times New Roman"/>
                <w:sz w:val="24"/>
                <w:szCs w:val="24"/>
                <w:lang w:eastAsia="ru-RU"/>
              </w:rPr>
            </w:pPr>
            <w:r w:rsidRPr="00691330">
              <w:rPr>
                <w:rFonts w:eastAsia="Times New Roman"/>
                <w:sz w:val="24"/>
                <w:szCs w:val="24"/>
                <w:lang w:eastAsia="ru-RU"/>
              </w:rPr>
              <w:t>14,8</w:t>
            </w:r>
          </w:p>
        </w:tc>
        <w:tc>
          <w:tcPr>
            <w:tcW w:w="0" w:type="auto"/>
            <w:shd w:val="clear" w:color="auto" w:fill="auto"/>
          </w:tcPr>
          <w:p w:rsidR="006B6A3E" w:rsidRPr="00691330" w:rsidRDefault="006B6A3E" w:rsidP="006B6A3E">
            <w:pPr>
              <w:spacing w:line="240" w:lineRule="auto"/>
              <w:jc w:val="center"/>
              <w:rPr>
                <w:rFonts w:eastAsia="Times New Roman"/>
                <w:color w:val="000000"/>
                <w:sz w:val="24"/>
                <w:szCs w:val="24"/>
                <w:lang w:eastAsia="ru-RU"/>
              </w:rPr>
            </w:pPr>
            <w:r w:rsidRPr="00691330">
              <w:rPr>
                <w:rFonts w:eastAsia="Times New Roman"/>
                <w:color w:val="000000"/>
                <w:sz w:val="24"/>
                <w:szCs w:val="24"/>
                <w:lang w:eastAsia="ru-RU"/>
              </w:rPr>
              <w:t>11,2</w:t>
            </w:r>
          </w:p>
        </w:tc>
        <w:tc>
          <w:tcPr>
            <w:tcW w:w="0" w:type="auto"/>
            <w:shd w:val="clear" w:color="auto" w:fill="auto"/>
            <w:vAlign w:val="center"/>
          </w:tcPr>
          <w:p w:rsidR="006B6A3E" w:rsidRPr="00691330" w:rsidRDefault="006B6A3E" w:rsidP="006B6A3E">
            <w:pPr>
              <w:spacing w:line="240" w:lineRule="auto"/>
              <w:jc w:val="center"/>
              <w:rPr>
                <w:rFonts w:eastAsia="Times New Roman"/>
                <w:sz w:val="24"/>
                <w:szCs w:val="24"/>
                <w:lang w:eastAsia="ru-RU"/>
              </w:rPr>
            </w:pPr>
            <w:r w:rsidRPr="00691330">
              <w:rPr>
                <w:rFonts w:eastAsia="Times New Roman"/>
                <w:sz w:val="24"/>
                <w:szCs w:val="24"/>
                <w:lang w:eastAsia="ru-RU"/>
              </w:rPr>
              <w:t>-24,3</w:t>
            </w:r>
          </w:p>
        </w:tc>
      </w:tr>
      <w:tr w:rsidR="006B6A3E" w:rsidRPr="00691330" w:rsidTr="006E3A91">
        <w:tc>
          <w:tcPr>
            <w:tcW w:w="0" w:type="auto"/>
            <w:shd w:val="clear" w:color="auto" w:fill="auto"/>
          </w:tcPr>
          <w:p w:rsidR="006B6A3E" w:rsidRPr="00691330" w:rsidRDefault="006B6A3E" w:rsidP="006B6A3E">
            <w:pPr>
              <w:spacing w:line="240" w:lineRule="auto"/>
              <w:ind w:left="170"/>
              <w:jc w:val="left"/>
              <w:rPr>
                <w:rFonts w:eastAsia="Times New Roman"/>
                <w:sz w:val="24"/>
                <w:szCs w:val="24"/>
                <w:lang w:eastAsia="ru-RU"/>
              </w:rPr>
            </w:pPr>
            <w:r w:rsidRPr="00691330">
              <w:rPr>
                <w:rFonts w:eastAsia="Times New Roman"/>
                <w:sz w:val="24"/>
                <w:szCs w:val="24"/>
                <w:lang w:eastAsia="ru-RU"/>
              </w:rPr>
              <w:t>Черкаська</w:t>
            </w:r>
          </w:p>
        </w:tc>
        <w:tc>
          <w:tcPr>
            <w:tcW w:w="0" w:type="auto"/>
            <w:shd w:val="clear" w:color="auto" w:fill="auto"/>
          </w:tcPr>
          <w:p w:rsidR="006B6A3E" w:rsidRPr="00691330" w:rsidRDefault="006B6A3E" w:rsidP="006B6A3E">
            <w:pPr>
              <w:spacing w:line="240" w:lineRule="auto"/>
              <w:jc w:val="center"/>
              <w:rPr>
                <w:rFonts w:eastAsia="Times New Roman"/>
                <w:sz w:val="24"/>
                <w:szCs w:val="24"/>
                <w:lang w:eastAsia="ru-RU"/>
              </w:rPr>
            </w:pPr>
            <w:r w:rsidRPr="00691330">
              <w:rPr>
                <w:rFonts w:eastAsia="Times New Roman"/>
                <w:sz w:val="24"/>
                <w:szCs w:val="24"/>
                <w:lang w:eastAsia="ru-RU"/>
              </w:rPr>
              <w:t>147</w:t>
            </w:r>
          </w:p>
        </w:tc>
        <w:tc>
          <w:tcPr>
            <w:tcW w:w="0" w:type="auto"/>
            <w:shd w:val="clear" w:color="auto" w:fill="auto"/>
          </w:tcPr>
          <w:p w:rsidR="006B6A3E" w:rsidRPr="00691330" w:rsidRDefault="006B6A3E" w:rsidP="006B6A3E">
            <w:pPr>
              <w:spacing w:line="240" w:lineRule="auto"/>
              <w:jc w:val="center"/>
              <w:rPr>
                <w:rFonts w:eastAsia="Times New Roman"/>
                <w:color w:val="000000"/>
                <w:sz w:val="24"/>
                <w:szCs w:val="24"/>
                <w:lang w:eastAsia="ru-RU"/>
              </w:rPr>
            </w:pPr>
            <w:r w:rsidRPr="00691330">
              <w:rPr>
                <w:rFonts w:eastAsia="Times New Roman"/>
                <w:color w:val="000000"/>
                <w:sz w:val="24"/>
                <w:szCs w:val="24"/>
                <w:lang w:eastAsia="ru-RU"/>
              </w:rPr>
              <w:t>84</w:t>
            </w:r>
          </w:p>
        </w:tc>
        <w:tc>
          <w:tcPr>
            <w:tcW w:w="0" w:type="auto"/>
            <w:shd w:val="clear" w:color="auto" w:fill="auto"/>
            <w:vAlign w:val="center"/>
          </w:tcPr>
          <w:p w:rsidR="006B6A3E" w:rsidRPr="00691330" w:rsidRDefault="006B6A3E" w:rsidP="006B6A3E">
            <w:pPr>
              <w:spacing w:line="240" w:lineRule="auto"/>
              <w:jc w:val="center"/>
              <w:rPr>
                <w:rFonts w:eastAsia="Times New Roman"/>
                <w:sz w:val="24"/>
                <w:szCs w:val="24"/>
                <w:lang w:eastAsia="ru-RU"/>
              </w:rPr>
            </w:pPr>
            <w:r w:rsidRPr="00691330">
              <w:rPr>
                <w:rFonts w:eastAsia="Times New Roman"/>
                <w:sz w:val="24"/>
                <w:szCs w:val="24"/>
                <w:lang w:eastAsia="ru-RU"/>
              </w:rPr>
              <w:t>-42,9</w:t>
            </w:r>
          </w:p>
        </w:tc>
        <w:tc>
          <w:tcPr>
            <w:tcW w:w="0" w:type="auto"/>
            <w:shd w:val="clear" w:color="auto" w:fill="auto"/>
          </w:tcPr>
          <w:p w:rsidR="006B6A3E" w:rsidRPr="00691330" w:rsidRDefault="006B6A3E" w:rsidP="006B6A3E">
            <w:pPr>
              <w:spacing w:line="240" w:lineRule="auto"/>
              <w:jc w:val="center"/>
              <w:rPr>
                <w:rFonts w:eastAsia="Times New Roman"/>
                <w:sz w:val="24"/>
                <w:szCs w:val="24"/>
                <w:lang w:eastAsia="ru-RU"/>
              </w:rPr>
            </w:pPr>
            <w:r w:rsidRPr="00691330">
              <w:rPr>
                <w:rFonts w:eastAsia="Times New Roman"/>
                <w:sz w:val="24"/>
                <w:szCs w:val="24"/>
                <w:lang w:eastAsia="ru-RU"/>
              </w:rPr>
              <w:t>12,8</w:t>
            </w:r>
          </w:p>
        </w:tc>
        <w:tc>
          <w:tcPr>
            <w:tcW w:w="0" w:type="auto"/>
            <w:shd w:val="clear" w:color="auto" w:fill="auto"/>
          </w:tcPr>
          <w:p w:rsidR="006B6A3E" w:rsidRPr="00691330" w:rsidRDefault="006B6A3E" w:rsidP="006B6A3E">
            <w:pPr>
              <w:spacing w:line="240" w:lineRule="auto"/>
              <w:jc w:val="center"/>
              <w:rPr>
                <w:rFonts w:eastAsia="Times New Roman"/>
                <w:color w:val="000000"/>
                <w:sz w:val="24"/>
                <w:szCs w:val="24"/>
                <w:lang w:eastAsia="ru-RU"/>
              </w:rPr>
            </w:pPr>
            <w:r w:rsidRPr="00691330">
              <w:rPr>
                <w:rFonts w:eastAsia="Times New Roman"/>
                <w:color w:val="000000"/>
                <w:sz w:val="24"/>
                <w:szCs w:val="24"/>
                <w:lang w:eastAsia="ru-RU"/>
              </w:rPr>
              <w:t>7,4</w:t>
            </w:r>
          </w:p>
        </w:tc>
        <w:tc>
          <w:tcPr>
            <w:tcW w:w="0" w:type="auto"/>
            <w:shd w:val="clear" w:color="auto" w:fill="auto"/>
            <w:vAlign w:val="center"/>
          </w:tcPr>
          <w:p w:rsidR="006B6A3E" w:rsidRPr="00691330" w:rsidRDefault="006B6A3E" w:rsidP="006B6A3E">
            <w:pPr>
              <w:spacing w:line="240" w:lineRule="auto"/>
              <w:jc w:val="center"/>
              <w:rPr>
                <w:rFonts w:eastAsia="Times New Roman"/>
                <w:sz w:val="24"/>
                <w:szCs w:val="24"/>
                <w:lang w:eastAsia="ru-RU"/>
              </w:rPr>
            </w:pPr>
            <w:r w:rsidRPr="00691330">
              <w:rPr>
                <w:rFonts w:eastAsia="Times New Roman"/>
                <w:sz w:val="24"/>
                <w:szCs w:val="24"/>
                <w:lang w:eastAsia="ru-RU"/>
              </w:rPr>
              <w:t>-42,2</w:t>
            </w:r>
          </w:p>
        </w:tc>
      </w:tr>
      <w:tr w:rsidR="006B6A3E" w:rsidRPr="00691330" w:rsidTr="006E3A91">
        <w:tc>
          <w:tcPr>
            <w:tcW w:w="0" w:type="auto"/>
            <w:shd w:val="clear" w:color="auto" w:fill="auto"/>
          </w:tcPr>
          <w:p w:rsidR="006B6A3E" w:rsidRPr="00691330" w:rsidRDefault="006B6A3E" w:rsidP="006B6A3E">
            <w:pPr>
              <w:spacing w:line="240" w:lineRule="auto"/>
              <w:ind w:left="170"/>
              <w:jc w:val="left"/>
              <w:rPr>
                <w:rFonts w:eastAsia="Times New Roman"/>
                <w:sz w:val="24"/>
                <w:szCs w:val="24"/>
                <w:lang w:eastAsia="ru-RU"/>
              </w:rPr>
            </w:pPr>
            <w:r w:rsidRPr="00691330">
              <w:rPr>
                <w:rFonts w:eastAsia="Times New Roman"/>
                <w:sz w:val="24"/>
                <w:szCs w:val="24"/>
                <w:lang w:eastAsia="ru-RU"/>
              </w:rPr>
              <w:t>Чернівецька</w:t>
            </w:r>
          </w:p>
        </w:tc>
        <w:tc>
          <w:tcPr>
            <w:tcW w:w="0" w:type="auto"/>
            <w:shd w:val="clear" w:color="auto" w:fill="auto"/>
          </w:tcPr>
          <w:p w:rsidR="006B6A3E" w:rsidRPr="00691330" w:rsidRDefault="006B6A3E" w:rsidP="006B6A3E">
            <w:pPr>
              <w:spacing w:line="240" w:lineRule="auto"/>
              <w:jc w:val="center"/>
              <w:rPr>
                <w:rFonts w:eastAsia="Times New Roman"/>
                <w:sz w:val="24"/>
                <w:szCs w:val="24"/>
                <w:lang w:eastAsia="ru-RU"/>
              </w:rPr>
            </w:pPr>
            <w:r w:rsidRPr="00691330">
              <w:rPr>
                <w:rFonts w:eastAsia="Times New Roman"/>
                <w:sz w:val="24"/>
                <w:szCs w:val="24"/>
                <w:lang w:eastAsia="ru-RU"/>
              </w:rPr>
              <w:t>43</w:t>
            </w:r>
          </w:p>
        </w:tc>
        <w:tc>
          <w:tcPr>
            <w:tcW w:w="0" w:type="auto"/>
            <w:shd w:val="clear" w:color="auto" w:fill="auto"/>
          </w:tcPr>
          <w:p w:rsidR="006B6A3E" w:rsidRPr="00691330" w:rsidRDefault="006B6A3E" w:rsidP="006B6A3E">
            <w:pPr>
              <w:spacing w:line="240" w:lineRule="auto"/>
              <w:jc w:val="center"/>
              <w:rPr>
                <w:rFonts w:eastAsia="Times New Roman"/>
                <w:color w:val="000000"/>
                <w:sz w:val="24"/>
                <w:szCs w:val="24"/>
                <w:lang w:eastAsia="ru-RU"/>
              </w:rPr>
            </w:pPr>
            <w:r w:rsidRPr="00691330">
              <w:rPr>
                <w:rFonts w:eastAsia="Times New Roman"/>
                <w:color w:val="000000"/>
                <w:sz w:val="24"/>
                <w:szCs w:val="24"/>
                <w:lang w:eastAsia="ru-RU"/>
              </w:rPr>
              <w:t>1</w:t>
            </w:r>
          </w:p>
        </w:tc>
        <w:tc>
          <w:tcPr>
            <w:tcW w:w="0" w:type="auto"/>
            <w:shd w:val="clear" w:color="auto" w:fill="auto"/>
            <w:vAlign w:val="center"/>
          </w:tcPr>
          <w:p w:rsidR="006B6A3E" w:rsidRPr="00691330" w:rsidRDefault="006B6A3E" w:rsidP="006B6A3E">
            <w:pPr>
              <w:spacing w:line="240" w:lineRule="auto"/>
              <w:jc w:val="center"/>
              <w:rPr>
                <w:rFonts w:eastAsia="Times New Roman"/>
                <w:sz w:val="24"/>
                <w:szCs w:val="24"/>
                <w:lang w:eastAsia="ru-RU"/>
              </w:rPr>
            </w:pPr>
            <w:r w:rsidRPr="00691330">
              <w:rPr>
                <w:rFonts w:eastAsia="Times New Roman"/>
                <w:sz w:val="24"/>
                <w:szCs w:val="24"/>
                <w:lang w:eastAsia="ru-RU"/>
              </w:rPr>
              <w:t>97,67</w:t>
            </w:r>
          </w:p>
        </w:tc>
        <w:tc>
          <w:tcPr>
            <w:tcW w:w="0" w:type="auto"/>
            <w:shd w:val="clear" w:color="auto" w:fill="auto"/>
          </w:tcPr>
          <w:p w:rsidR="006B6A3E" w:rsidRPr="00691330" w:rsidRDefault="006B6A3E" w:rsidP="006B6A3E">
            <w:pPr>
              <w:spacing w:line="240" w:lineRule="auto"/>
              <w:jc w:val="center"/>
              <w:rPr>
                <w:rFonts w:eastAsia="Times New Roman"/>
                <w:sz w:val="24"/>
                <w:szCs w:val="24"/>
                <w:lang w:eastAsia="ru-RU"/>
              </w:rPr>
            </w:pPr>
            <w:r w:rsidRPr="00691330">
              <w:rPr>
                <w:rFonts w:eastAsia="Times New Roman"/>
                <w:sz w:val="24"/>
                <w:szCs w:val="24"/>
                <w:lang w:eastAsia="ru-RU"/>
              </w:rPr>
              <w:t>6,1</w:t>
            </w:r>
          </w:p>
        </w:tc>
        <w:tc>
          <w:tcPr>
            <w:tcW w:w="0" w:type="auto"/>
            <w:shd w:val="clear" w:color="auto" w:fill="auto"/>
          </w:tcPr>
          <w:p w:rsidR="006B6A3E" w:rsidRPr="00691330" w:rsidRDefault="006B6A3E" w:rsidP="006B6A3E">
            <w:pPr>
              <w:spacing w:line="240" w:lineRule="auto"/>
              <w:jc w:val="center"/>
              <w:rPr>
                <w:rFonts w:eastAsia="Times New Roman"/>
                <w:color w:val="000000"/>
                <w:sz w:val="24"/>
                <w:szCs w:val="24"/>
                <w:lang w:eastAsia="ru-RU"/>
              </w:rPr>
            </w:pPr>
            <w:r w:rsidRPr="00691330">
              <w:rPr>
                <w:rFonts w:eastAsia="Times New Roman"/>
                <w:color w:val="000000"/>
                <w:sz w:val="24"/>
                <w:szCs w:val="24"/>
                <w:lang w:eastAsia="ru-RU"/>
              </w:rPr>
              <w:t>0,1</w:t>
            </w:r>
          </w:p>
        </w:tc>
        <w:tc>
          <w:tcPr>
            <w:tcW w:w="0" w:type="auto"/>
            <w:shd w:val="clear" w:color="auto" w:fill="auto"/>
            <w:vAlign w:val="center"/>
          </w:tcPr>
          <w:p w:rsidR="006B6A3E" w:rsidRPr="00691330" w:rsidRDefault="006B6A3E" w:rsidP="006B6A3E">
            <w:pPr>
              <w:spacing w:line="240" w:lineRule="auto"/>
              <w:jc w:val="center"/>
              <w:rPr>
                <w:rFonts w:eastAsia="Times New Roman"/>
                <w:sz w:val="24"/>
                <w:szCs w:val="24"/>
                <w:lang w:eastAsia="ru-RU"/>
              </w:rPr>
            </w:pPr>
            <w:r w:rsidRPr="00691330">
              <w:rPr>
                <w:rFonts w:eastAsia="Times New Roman"/>
                <w:sz w:val="24"/>
                <w:szCs w:val="24"/>
                <w:lang w:eastAsia="ru-RU"/>
              </w:rPr>
              <w:t>-98,4</w:t>
            </w:r>
          </w:p>
        </w:tc>
      </w:tr>
      <w:tr w:rsidR="006B6A3E" w:rsidRPr="00691330" w:rsidTr="006E3A91">
        <w:tc>
          <w:tcPr>
            <w:tcW w:w="0" w:type="auto"/>
            <w:shd w:val="clear" w:color="auto" w:fill="auto"/>
          </w:tcPr>
          <w:p w:rsidR="006B6A3E" w:rsidRPr="00691330" w:rsidRDefault="006B6A3E" w:rsidP="006B6A3E">
            <w:pPr>
              <w:spacing w:line="240" w:lineRule="auto"/>
              <w:ind w:left="170"/>
              <w:jc w:val="left"/>
              <w:rPr>
                <w:rFonts w:eastAsia="Times New Roman"/>
                <w:sz w:val="24"/>
                <w:szCs w:val="24"/>
                <w:lang w:eastAsia="ru-RU"/>
              </w:rPr>
            </w:pPr>
            <w:r w:rsidRPr="00691330">
              <w:rPr>
                <w:rFonts w:eastAsia="Times New Roman"/>
                <w:sz w:val="24"/>
                <w:szCs w:val="24"/>
                <w:lang w:eastAsia="ru-RU"/>
              </w:rPr>
              <w:t>Чернігівська</w:t>
            </w:r>
          </w:p>
        </w:tc>
        <w:tc>
          <w:tcPr>
            <w:tcW w:w="0" w:type="auto"/>
            <w:shd w:val="clear" w:color="auto" w:fill="auto"/>
          </w:tcPr>
          <w:p w:rsidR="006B6A3E" w:rsidRPr="00691330" w:rsidRDefault="006B6A3E" w:rsidP="006B6A3E">
            <w:pPr>
              <w:spacing w:line="240" w:lineRule="auto"/>
              <w:jc w:val="center"/>
              <w:rPr>
                <w:rFonts w:eastAsia="Times New Roman"/>
                <w:sz w:val="24"/>
                <w:szCs w:val="24"/>
                <w:lang w:eastAsia="ru-RU"/>
              </w:rPr>
            </w:pPr>
            <w:r w:rsidRPr="00691330">
              <w:rPr>
                <w:rFonts w:eastAsia="Times New Roman"/>
                <w:sz w:val="24"/>
                <w:szCs w:val="24"/>
                <w:lang w:eastAsia="ru-RU"/>
              </w:rPr>
              <w:t>109</w:t>
            </w:r>
          </w:p>
        </w:tc>
        <w:tc>
          <w:tcPr>
            <w:tcW w:w="0" w:type="auto"/>
            <w:shd w:val="clear" w:color="auto" w:fill="auto"/>
          </w:tcPr>
          <w:p w:rsidR="006B6A3E" w:rsidRPr="00691330" w:rsidRDefault="006B6A3E" w:rsidP="006B6A3E">
            <w:pPr>
              <w:spacing w:line="240" w:lineRule="auto"/>
              <w:jc w:val="center"/>
              <w:rPr>
                <w:rFonts w:eastAsia="Times New Roman"/>
                <w:color w:val="000000"/>
                <w:sz w:val="24"/>
                <w:szCs w:val="24"/>
                <w:lang w:eastAsia="ru-RU"/>
              </w:rPr>
            </w:pPr>
            <w:r w:rsidRPr="00691330">
              <w:rPr>
                <w:rFonts w:eastAsia="Times New Roman"/>
                <w:color w:val="000000"/>
                <w:sz w:val="24"/>
                <w:szCs w:val="24"/>
                <w:lang w:eastAsia="ru-RU"/>
              </w:rPr>
              <w:t>104</w:t>
            </w:r>
          </w:p>
        </w:tc>
        <w:tc>
          <w:tcPr>
            <w:tcW w:w="0" w:type="auto"/>
            <w:shd w:val="clear" w:color="auto" w:fill="auto"/>
            <w:vAlign w:val="center"/>
          </w:tcPr>
          <w:p w:rsidR="006B6A3E" w:rsidRPr="00691330" w:rsidRDefault="006B6A3E" w:rsidP="006B6A3E">
            <w:pPr>
              <w:spacing w:line="240" w:lineRule="auto"/>
              <w:jc w:val="center"/>
              <w:rPr>
                <w:rFonts w:eastAsia="Times New Roman"/>
                <w:sz w:val="24"/>
                <w:szCs w:val="24"/>
                <w:lang w:eastAsia="ru-RU"/>
              </w:rPr>
            </w:pPr>
            <w:r w:rsidRPr="00691330">
              <w:rPr>
                <w:rFonts w:eastAsia="Times New Roman"/>
                <w:sz w:val="24"/>
                <w:szCs w:val="24"/>
                <w:lang w:eastAsia="ru-RU"/>
              </w:rPr>
              <w:t>-4,6</w:t>
            </w:r>
          </w:p>
        </w:tc>
        <w:tc>
          <w:tcPr>
            <w:tcW w:w="0" w:type="auto"/>
            <w:shd w:val="clear" w:color="auto" w:fill="auto"/>
          </w:tcPr>
          <w:p w:rsidR="006B6A3E" w:rsidRPr="00691330" w:rsidRDefault="006B6A3E" w:rsidP="006B6A3E">
            <w:pPr>
              <w:spacing w:line="240" w:lineRule="auto"/>
              <w:jc w:val="center"/>
              <w:rPr>
                <w:rFonts w:eastAsia="Times New Roman"/>
                <w:sz w:val="24"/>
                <w:szCs w:val="24"/>
                <w:lang w:eastAsia="ru-RU"/>
              </w:rPr>
            </w:pPr>
            <w:r w:rsidRPr="00691330">
              <w:rPr>
                <w:rFonts w:eastAsia="Times New Roman"/>
                <w:sz w:val="24"/>
                <w:szCs w:val="24"/>
                <w:lang w:eastAsia="ru-RU"/>
              </w:rPr>
              <w:t>10,1</w:t>
            </w:r>
          </w:p>
        </w:tc>
        <w:tc>
          <w:tcPr>
            <w:tcW w:w="0" w:type="auto"/>
            <w:shd w:val="clear" w:color="auto" w:fill="auto"/>
          </w:tcPr>
          <w:p w:rsidR="006B6A3E" w:rsidRPr="00691330" w:rsidRDefault="006B6A3E" w:rsidP="006B6A3E">
            <w:pPr>
              <w:spacing w:line="240" w:lineRule="auto"/>
              <w:jc w:val="center"/>
              <w:rPr>
                <w:rFonts w:eastAsia="Times New Roman"/>
                <w:color w:val="000000"/>
                <w:sz w:val="24"/>
                <w:szCs w:val="24"/>
                <w:lang w:eastAsia="ru-RU"/>
              </w:rPr>
            </w:pPr>
            <w:r w:rsidRPr="00691330">
              <w:rPr>
                <w:rFonts w:eastAsia="Times New Roman"/>
                <w:color w:val="000000"/>
                <w:sz w:val="24"/>
                <w:szCs w:val="24"/>
                <w:lang w:eastAsia="ru-RU"/>
              </w:rPr>
              <w:t>9,6</w:t>
            </w:r>
          </w:p>
        </w:tc>
        <w:tc>
          <w:tcPr>
            <w:tcW w:w="0" w:type="auto"/>
            <w:shd w:val="clear" w:color="auto" w:fill="auto"/>
            <w:vAlign w:val="center"/>
          </w:tcPr>
          <w:p w:rsidR="006B6A3E" w:rsidRPr="00691330" w:rsidRDefault="006B6A3E" w:rsidP="006B6A3E">
            <w:pPr>
              <w:spacing w:line="240" w:lineRule="auto"/>
              <w:jc w:val="center"/>
              <w:rPr>
                <w:rFonts w:eastAsia="Times New Roman"/>
                <w:sz w:val="24"/>
                <w:szCs w:val="24"/>
                <w:lang w:eastAsia="ru-RU"/>
              </w:rPr>
            </w:pPr>
            <w:r w:rsidRPr="00691330">
              <w:rPr>
                <w:rFonts w:eastAsia="Times New Roman"/>
                <w:sz w:val="24"/>
                <w:szCs w:val="24"/>
                <w:lang w:eastAsia="ru-RU"/>
              </w:rPr>
              <w:t>-5,0</w:t>
            </w:r>
          </w:p>
        </w:tc>
      </w:tr>
      <w:tr w:rsidR="006B6A3E" w:rsidRPr="00691330" w:rsidTr="006E3A91">
        <w:tc>
          <w:tcPr>
            <w:tcW w:w="0" w:type="auto"/>
            <w:shd w:val="clear" w:color="auto" w:fill="auto"/>
          </w:tcPr>
          <w:p w:rsidR="006B6A3E" w:rsidRPr="00691330" w:rsidRDefault="006B6A3E" w:rsidP="006B6A3E">
            <w:pPr>
              <w:spacing w:line="240" w:lineRule="auto"/>
              <w:ind w:left="170"/>
              <w:jc w:val="left"/>
              <w:rPr>
                <w:rFonts w:eastAsia="Times New Roman"/>
                <w:sz w:val="24"/>
                <w:szCs w:val="24"/>
                <w:lang w:eastAsia="ru-RU"/>
              </w:rPr>
            </w:pPr>
            <w:r w:rsidRPr="00691330">
              <w:rPr>
                <w:rFonts w:eastAsia="Times New Roman"/>
                <w:sz w:val="24"/>
                <w:szCs w:val="24"/>
                <w:lang w:eastAsia="ru-RU"/>
              </w:rPr>
              <w:t>Київ</w:t>
            </w:r>
          </w:p>
        </w:tc>
        <w:tc>
          <w:tcPr>
            <w:tcW w:w="0" w:type="auto"/>
            <w:shd w:val="clear" w:color="auto" w:fill="auto"/>
          </w:tcPr>
          <w:p w:rsidR="006B6A3E" w:rsidRPr="00691330" w:rsidRDefault="006B6A3E" w:rsidP="006B6A3E">
            <w:pPr>
              <w:spacing w:line="240" w:lineRule="auto"/>
              <w:jc w:val="center"/>
              <w:rPr>
                <w:rFonts w:eastAsia="Times New Roman"/>
                <w:sz w:val="24"/>
                <w:szCs w:val="24"/>
                <w:lang w:eastAsia="ru-RU"/>
              </w:rPr>
            </w:pPr>
            <w:r w:rsidRPr="00691330">
              <w:rPr>
                <w:rFonts w:eastAsia="Times New Roman"/>
                <w:sz w:val="24"/>
                <w:szCs w:val="24"/>
                <w:lang w:eastAsia="ru-RU"/>
              </w:rPr>
              <w:t>510</w:t>
            </w:r>
          </w:p>
        </w:tc>
        <w:tc>
          <w:tcPr>
            <w:tcW w:w="0" w:type="auto"/>
            <w:shd w:val="clear" w:color="auto" w:fill="auto"/>
          </w:tcPr>
          <w:p w:rsidR="006B6A3E" w:rsidRPr="00691330" w:rsidRDefault="006B6A3E" w:rsidP="006B6A3E">
            <w:pPr>
              <w:spacing w:line="240" w:lineRule="auto"/>
              <w:jc w:val="center"/>
              <w:rPr>
                <w:rFonts w:eastAsia="Times New Roman"/>
                <w:color w:val="000000"/>
                <w:sz w:val="24"/>
                <w:szCs w:val="24"/>
                <w:lang w:eastAsia="ru-RU"/>
              </w:rPr>
            </w:pPr>
            <w:r w:rsidRPr="00691330">
              <w:rPr>
                <w:rFonts w:eastAsia="Times New Roman"/>
                <w:color w:val="000000"/>
                <w:sz w:val="24"/>
                <w:szCs w:val="24"/>
                <w:lang w:eastAsia="ru-RU"/>
              </w:rPr>
              <w:t>486</w:t>
            </w:r>
          </w:p>
        </w:tc>
        <w:tc>
          <w:tcPr>
            <w:tcW w:w="0" w:type="auto"/>
            <w:shd w:val="clear" w:color="auto" w:fill="auto"/>
            <w:vAlign w:val="center"/>
          </w:tcPr>
          <w:p w:rsidR="006B6A3E" w:rsidRPr="00691330" w:rsidRDefault="006B6A3E" w:rsidP="006B6A3E">
            <w:pPr>
              <w:spacing w:line="240" w:lineRule="auto"/>
              <w:jc w:val="center"/>
              <w:rPr>
                <w:rFonts w:eastAsia="Times New Roman"/>
                <w:sz w:val="24"/>
                <w:szCs w:val="24"/>
                <w:lang w:eastAsia="ru-RU"/>
              </w:rPr>
            </w:pPr>
            <w:r w:rsidRPr="00691330">
              <w:rPr>
                <w:rFonts w:eastAsia="Times New Roman"/>
                <w:sz w:val="24"/>
                <w:szCs w:val="24"/>
                <w:lang w:eastAsia="ru-RU"/>
              </w:rPr>
              <w:t>-4,7</w:t>
            </w:r>
          </w:p>
        </w:tc>
        <w:tc>
          <w:tcPr>
            <w:tcW w:w="0" w:type="auto"/>
            <w:shd w:val="clear" w:color="auto" w:fill="auto"/>
          </w:tcPr>
          <w:p w:rsidR="006B6A3E" w:rsidRPr="00691330" w:rsidRDefault="006B6A3E" w:rsidP="006B6A3E">
            <w:pPr>
              <w:spacing w:line="240" w:lineRule="auto"/>
              <w:jc w:val="center"/>
              <w:rPr>
                <w:rFonts w:eastAsia="Times New Roman"/>
                <w:sz w:val="24"/>
                <w:szCs w:val="24"/>
                <w:lang w:eastAsia="ru-RU"/>
              </w:rPr>
            </w:pPr>
            <w:r w:rsidRPr="00691330">
              <w:rPr>
                <w:rFonts w:eastAsia="Times New Roman"/>
                <w:sz w:val="24"/>
                <w:szCs w:val="24"/>
                <w:lang w:eastAsia="ru-RU"/>
              </w:rPr>
              <w:t>10,6</w:t>
            </w:r>
          </w:p>
        </w:tc>
        <w:tc>
          <w:tcPr>
            <w:tcW w:w="0" w:type="auto"/>
            <w:shd w:val="clear" w:color="auto" w:fill="auto"/>
          </w:tcPr>
          <w:p w:rsidR="006B6A3E" w:rsidRPr="00691330" w:rsidRDefault="006B6A3E" w:rsidP="006B6A3E">
            <w:pPr>
              <w:spacing w:line="240" w:lineRule="auto"/>
              <w:jc w:val="center"/>
              <w:rPr>
                <w:rFonts w:eastAsia="Times New Roman"/>
                <w:color w:val="000000"/>
                <w:sz w:val="24"/>
                <w:szCs w:val="24"/>
                <w:lang w:eastAsia="ru-RU"/>
              </w:rPr>
            </w:pPr>
            <w:r w:rsidRPr="00691330">
              <w:rPr>
                <w:rFonts w:eastAsia="Times New Roman"/>
                <w:color w:val="000000"/>
                <w:sz w:val="24"/>
                <w:szCs w:val="24"/>
                <w:lang w:eastAsia="ru-RU"/>
              </w:rPr>
              <w:t>9,0</w:t>
            </w:r>
          </w:p>
        </w:tc>
        <w:tc>
          <w:tcPr>
            <w:tcW w:w="0" w:type="auto"/>
            <w:shd w:val="clear" w:color="auto" w:fill="auto"/>
            <w:vAlign w:val="center"/>
          </w:tcPr>
          <w:p w:rsidR="006B6A3E" w:rsidRPr="00691330" w:rsidRDefault="006B6A3E" w:rsidP="006B6A3E">
            <w:pPr>
              <w:spacing w:line="240" w:lineRule="auto"/>
              <w:jc w:val="center"/>
              <w:rPr>
                <w:rFonts w:eastAsia="Times New Roman"/>
                <w:sz w:val="24"/>
                <w:szCs w:val="24"/>
                <w:lang w:eastAsia="ru-RU"/>
              </w:rPr>
            </w:pPr>
            <w:r w:rsidRPr="00691330">
              <w:rPr>
                <w:rFonts w:eastAsia="Times New Roman"/>
                <w:sz w:val="24"/>
                <w:szCs w:val="24"/>
                <w:lang w:eastAsia="ru-RU"/>
              </w:rPr>
              <w:t>-15,1</w:t>
            </w:r>
          </w:p>
        </w:tc>
      </w:tr>
    </w:tbl>
    <w:p w:rsidR="006B6A3E" w:rsidRPr="006B6A3E" w:rsidRDefault="006B6A3E" w:rsidP="006B6A3E">
      <w:pPr>
        <w:jc w:val="left"/>
        <w:rPr>
          <w:rFonts w:eastAsia="Times New Roman"/>
          <w:sz w:val="20"/>
          <w:szCs w:val="20"/>
          <w:lang w:eastAsia="ru-RU"/>
        </w:rPr>
      </w:pPr>
      <w:r w:rsidRPr="006B6A3E">
        <w:rPr>
          <w:rFonts w:eastAsia="Times New Roman"/>
          <w:sz w:val="20"/>
          <w:szCs w:val="20"/>
          <w:lang w:eastAsia="ru-RU"/>
        </w:rPr>
        <w:t>*дані некоректні</w:t>
      </w:r>
      <w:r w:rsidRPr="006B6A3E">
        <w:rPr>
          <w:rFonts w:eastAsia="Times New Roman"/>
          <w:sz w:val="20"/>
          <w:szCs w:val="20"/>
          <w:lang w:eastAsia="ru-RU"/>
        </w:rPr>
        <w:tab/>
        <w:t xml:space="preserve">                                                                                                                                </w:t>
      </w:r>
    </w:p>
    <w:p w:rsidR="006B6A3E" w:rsidRPr="006B6A3E" w:rsidRDefault="006B6A3E" w:rsidP="006B6A3E">
      <w:pPr>
        <w:tabs>
          <w:tab w:val="left" w:pos="8471"/>
        </w:tabs>
        <w:spacing w:after="200"/>
        <w:jc w:val="left"/>
        <w:rPr>
          <w:rFonts w:eastAsia="Calibri"/>
          <w:b/>
          <w:szCs w:val="28"/>
          <w:lang w:val="ru-RU"/>
        </w:rPr>
        <w:sectPr w:rsidR="006B6A3E" w:rsidRPr="006B6A3E" w:rsidSect="006E3A91">
          <w:pgSz w:w="12240" w:h="15840"/>
          <w:pgMar w:top="1134" w:right="567" w:bottom="1134" w:left="1134" w:header="709" w:footer="709" w:gutter="0"/>
          <w:cols w:space="708"/>
          <w:docGrid w:linePitch="360"/>
        </w:sectPr>
      </w:pPr>
    </w:p>
    <w:p w:rsidR="006B6A3E" w:rsidRPr="00650544" w:rsidRDefault="006B6A3E" w:rsidP="00D13BF8">
      <w:pPr>
        <w:pageBreakBefore/>
        <w:tabs>
          <w:tab w:val="left" w:pos="8471"/>
        </w:tabs>
        <w:spacing w:after="200" w:line="240" w:lineRule="auto"/>
        <w:jc w:val="right"/>
        <w:rPr>
          <w:rFonts w:eastAsia="Calibri"/>
          <w:szCs w:val="28"/>
        </w:rPr>
      </w:pPr>
      <w:r w:rsidRPr="006B6A3E">
        <w:rPr>
          <w:rFonts w:eastAsia="Calibri"/>
          <w:b/>
          <w:szCs w:val="28"/>
        </w:rPr>
        <w:lastRenderedPageBreak/>
        <w:t xml:space="preserve">                                                                                                                                    </w:t>
      </w:r>
      <w:r w:rsidR="005627AD">
        <w:rPr>
          <w:rFonts w:eastAsia="Calibri"/>
          <w:szCs w:val="28"/>
        </w:rPr>
        <w:t>Додаток Г</w:t>
      </w:r>
      <w:r w:rsidRPr="00650544">
        <w:rPr>
          <w:rFonts w:eastAsia="Calibri"/>
          <w:szCs w:val="28"/>
        </w:rPr>
        <w:t>-7</w:t>
      </w:r>
    </w:p>
    <w:p w:rsidR="006B6A3E" w:rsidRPr="006B6A3E" w:rsidRDefault="006B6A3E" w:rsidP="00D13BF8">
      <w:pPr>
        <w:spacing w:line="240" w:lineRule="auto"/>
        <w:jc w:val="center"/>
        <w:rPr>
          <w:rFonts w:eastAsia="Calibri"/>
          <w:b/>
          <w:i/>
          <w:color w:val="FF0000"/>
          <w:szCs w:val="28"/>
        </w:rPr>
      </w:pPr>
      <w:r w:rsidRPr="006B6A3E">
        <w:rPr>
          <w:rFonts w:eastAsia="Calibri"/>
          <w:b/>
          <w:szCs w:val="28"/>
        </w:rPr>
        <w:t>Укомплектованість та забезпеченість дитячими лікарями-спеціалістами</w:t>
      </w:r>
      <w:r w:rsidRPr="006B6A3E">
        <w:rPr>
          <w:rFonts w:eastAsia="Calibri"/>
          <w:b/>
          <w:color w:val="FF0000"/>
          <w:szCs w:val="28"/>
        </w:rPr>
        <w:t xml:space="preserve"> </w:t>
      </w:r>
      <w:r w:rsidRPr="006B6A3E">
        <w:rPr>
          <w:rFonts w:eastAsia="Calibri"/>
          <w:b/>
          <w:szCs w:val="28"/>
        </w:rPr>
        <w:t>закладів охорони здоров’я України (2014 р., 2018 р.)</w:t>
      </w:r>
    </w:p>
    <w:tbl>
      <w:tblPr>
        <w:tblW w:w="14709" w:type="dxa"/>
        <w:jc w:val="center"/>
        <w:tblLayout w:type="fixed"/>
        <w:tblLook w:val="04A0" w:firstRow="1" w:lastRow="0" w:firstColumn="1" w:lastColumn="0" w:noHBand="0" w:noVBand="1"/>
      </w:tblPr>
      <w:tblGrid>
        <w:gridCol w:w="3688"/>
        <w:gridCol w:w="1559"/>
        <w:gridCol w:w="1701"/>
        <w:gridCol w:w="1559"/>
        <w:gridCol w:w="1560"/>
        <w:gridCol w:w="1381"/>
        <w:gridCol w:w="1028"/>
        <w:gridCol w:w="993"/>
        <w:gridCol w:w="1240"/>
      </w:tblGrid>
      <w:tr w:rsidR="006B6A3E" w:rsidRPr="006B6A3E" w:rsidTr="006E3A91">
        <w:trPr>
          <w:trHeight w:val="787"/>
          <w:jc w:val="center"/>
        </w:trPr>
        <w:tc>
          <w:tcPr>
            <w:tcW w:w="3688" w:type="dxa"/>
            <w:vMerge w:val="restart"/>
            <w:tcBorders>
              <w:top w:val="single" w:sz="4" w:space="0" w:color="auto"/>
              <w:left w:val="single" w:sz="4" w:space="0" w:color="auto"/>
              <w:bottom w:val="single" w:sz="4" w:space="0" w:color="000000"/>
              <w:right w:val="single" w:sz="4" w:space="0" w:color="auto"/>
            </w:tcBorders>
            <w:shd w:val="clear" w:color="auto" w:fill="auto"/>
            <w:hideMark/>
          </w:tcPr>
          <w:p w:rsidR="006B6A3E" w:rsidRPr="006B6A3E" w:rsidRDefault="006B6A3E" w:rsidP="000A4B79">
            <w:pPr>
              <w:widowControl w:val="0"/>
              <w:autoSpaceDE w:val="0"/>
              <w:autoSpaceDN w:val="0"/>
              <w:spacing w:line="240" w:lineRule="auto"/>
              <w:jc w:val="center"/>
              <w:rPr>
                <w:rFonts w:eastAsia="Times New Roman"/>
                <w:bCs/>
                <w:color w:val="000000"/>
                <w:sz w:val="24"/>
                <w:szCs w:val="24"/>
              </w:rPr>
            </w:pPr>
            <w:r w:rsidRPr="006B6A3E">
              <w:rPr>
                <w:rFonts w:eastAsia="Times New Roman"/>
                <w:bCs/>
                <w:color w:val="000000"/>
                <w:sz w:val="24"/>
                <w:szCs w:val="24"/>
              </w:rPr>
              <w:t>Найменування лікарської   посади (дитячі)</w:t>
            </w:r>
          </w:p>
          <w:p w:rsidR="006B6A3E" w:rsidRPr="006B6A3E" w:rsidRDefault="006B6A3E" w:rsidP="000A4B79">
            <w:pPr>
              <w:widowControl w:val="0"/>
              <w:autoSpaceDE w:val="0"/>
              <w:autoSpaceDN w:val="0"/>
              <w:spacing w:line="240" w:lineRule="auto"/>
              <w:jc w:val="center"/>
              <w:rPr>
                <w:rFonts w:eastAsia="Times New Roman"/>
                <w:bCs/>
                <w:color w:val="000000"/>
                <w:sz w:val="24"/>
                <w:szCs w:val="24"/>
              </w:rPr>
            </w:pPr>
          </w:p>
          <w:p w:rsidR="006B6A3E" w:rsidRPr="006B6A3E" w:rsidRDefault="006B6A3E" w:rsidP="000A4B79">
            <w:pPr>
              <w:widowControl w:val="0"/>
              <w:autoSpaceDE w:val="0"/>
              <w:autoSpaceDN w:val="0"/>
              <w:spacing w:line="240" w:lineRule="auto"/>
              <w:jc w:val="center"/>
              <w:rPr>
                <w:rFonts w:eastAsia="Times New Roman"/>
                <w:bCs/>
                <w:color w:val="000000"/>
                <w:sz w:val="24"/>
                <w:szCs w:val="24"/>
              </w:rPr>
            </w:pPr>
          </w:p>
        </w:tc>
        <w:tc>
          <w:tcPr>
            <w:tcW w:w="1559" w:type="dxa"/>
            <w:vMerge w:val="restart"/>
            <w:tcBorders>
              <w:top w:val="single" w:sz="4" w:space="0" w:color="auto"/>
              <w:left w:val="nil"/>
              <w:right w:val="single" w:sz="4" w:space="0" w:color="auto"/>
            </w:tcBorders>
            <w:shd w:val="clear" w:color="auto" w:fill="auto"/>
            <w:hideMark/>
          </w:tcPr>
          <w:p w:rsidR="006B6A3E" w:rsidRPr="006B6A3E" w:rsidRDefault="006B6A3E" w:rsidP="000A4B79">
            <w:pPr>
              <w:widowControl w:val="0"/>
              <w:autoSpaceDE w:val="0"/>
              <w:autoSpaceDN w:val="0"/>
              <w:spacing w:line="240" w:lineRule="auto"/>
              <w:jc w:val="center"/>
              <w:rPr>
                <w:rFonts w:eastAsia="Times New Roman"/>
                <w:bCs/>
                <w:color w:val="FF0000"/>
                <w:sz w:val="24"/>
                <w:szCs w:val="24"/>
                <w:highlight w:val="yellow"/>
              </w:rPr>
            </w:pPr>
            <w:r w:rsidRPr="006B6A3E">
              <w:rPr>
                <w:rFonts w:eastAsia="Times New Roman"/>
                <w:sz w:val="24"/>
                <w:szCs w:val="24"/>
              </w:rPr>
              <w:t>Укомплекто-ваність штатних посад (лікарями), %, 2014 р..</w:t>
            </w:r>
          </w:p>
        </w:tc>
        <w:tc>
          <w:tcPr>
            <w:tcW w:w="1701" w:type="dxa"/>
            <w:vMerge w:val="restart"/>
            <w:tcBorders>
              <w:top w:val="single" w:sz="4" w:space="0" w:color="auto"/>
              <w:left w:val="nil"/>
              <w:right w:val="single" w:sz="4" w:space="0" w:color="auto"/>
            </w:tcBorders>
            <w:shd w:val="clear" w:color="auto" w:fill="auto"/>
          </w:tcPr>
          <w:p w:rsidR="006B6A3E" w:rsidRPr="006B6A3E" w:rsidRDefault="006B6A3E" w:rsidP="000A4B79">
            <w:pPr>
              <w:widowControl w:val="0"/>
              <w:autoSpaceDE w:val="0"/>
              <w:autoSpaceDN w:val="0"/>
              <w:spacing w:line="240" w:lineRule="auto"/>
              <w:jc w:val="center"/>
              <w:rPr>
                <w:rFonts w:eastAsia="Times New Roman"/>
                <w:sz w:val="24"/>
                <w:szCs w:val="24"/>
              </w:rPr>
            </w:pPr>
            <w:r w:rsidRPr="006B6A3E">
              <w:rPr>
                <w:rFonts w:eastAsia="Times New Roman"/>
                <w:sz w:val="24"/>
                <w:szCs w:val="24"/>
              </w:rPr>
              <w:t>Укомплекто-ваність</w:t>
            </w:r>
          </w:p>
          <w:p w:rsidR="006B6A3E" w:rsidRPr="006B6A3E" w:rsidRDefault="006B6A3E" w:rsidP="000A4B79">
            <w:pPr>
              <w:widowControl w:val="0"/>
              <w:autoSpaceDE w:val="0"/>
              <w:autoSpaceDN w:val="0"/>
              <w:spacing w:line="240" w:lineRule="auto"/>
              <w:jc w:val="center"/>
              <w:rPr>
                <w:rFonts w:eastAsia="Times New Roman"/>
                <w:sz w:val="24"/>
                <w:szCs w:val="24"/>
              </w:rPr>
            </w:pPr>
            <w:r w:rsidRPr="006B6A3E">
              <w:rPr>
                <w:rFonts w:eastAsia="Times New Roman"/>
                <w:sz w:val="24"/>
                <w:szCs w:val="24"/>
              </w:rPr>
              <w:t xml:space="preserve"> штатних посад</w:t>
            </w:r>
          </w:p>
          <w:p w:rsidR="006B6A3E" w:rsidRPr="006B6A3E" w:rsidRDefault="006B6A3E" w:rsidP="000A4B79">
            <w:pPr>
              <w:widowControl w:val="0"/>
              <w:autoSpaceDE w:val="0"/>
              <w:autoSpaceDN w:val="0"/>
              <w:spacing w:line="240" w:lineRule="auto"/>
              <w:jc w:val="center"/>
              <w:rPr>
                <w:rFonts w:eastAsia="Times New Roman"/>
                <w:bCs/>
                <w:color w:val="FF0000"/>
                <w:sz w:val="24"/>
                <w:szCs w:val="24"/>
                <w:highlight w:val="yellow"/>
              </w:rPr>
            </w:pPr>
            <w:r w:rsidRPr="006B6A3E">
              <w:rPr>
                <w:rFonts w:eastAsia="Times New Roman"/>
                <w:sz w:val="24"/>
                <w:szCs w:val="24"/>
              </w:rPr>
              <w:t>(лікарями), %, 2018 р.</w:t>
            </w:r>
          </w:p>
        </w:tc>
        <w:tc>
          <w:tcPr>
            <w:tcW w:w="1559" w:type="dxa"/>
            <w:vMerge w:val="restart"/>
            <w:tcBorders>
              <w:top w:val="single" w:sz="4" w:space="0" w:color="auto"/>
              <w:left w:val="nil"/>
              <w:right w:val="single" w:sz="4" w:space="0" w:color="auto"/>
            </w:tcBorders>
            <w:shd w:val="clear" w:color="auto" w:fill="auto"/>
          </w:tcPr>
          <w:p w:rsidR="006B6A3E" w:rsidRPr="006B6A3E" w:rsidRDefault="006B6A3E" w:rsidP="000A4B79">
            <w:pPr>
              <w:widowControl w:val="0"/>
              <w:autoSpaceDE w:val="0"/>
              <w:autoSpaceDN w:val="0"/>
              <w:spacing w:line="240" w:lineRule="auto"/>
              <w:jc w:val="center"/>
              <w:rPr>
                <w:rFonts w:eastAsia="Times New Roman"/>
                <w:bCs/>
                <w:color w:val="FF0000"/>
                <w:sz w:val="24"/>
                <w:szCs w:val="24"/>
                <w:highlight w:val="yellow"/>
              </w:rPr>
            </w:pPr>
            <w:r w:rsidRPr="006B6A3E">
              <w:rPr>
                <w:rFonts w:eastAsia="Times New Roman"/>
                <w:bCs/>
                <w:color w:val="000000"/>
                <w:sz w:val="24"/>
                <w:szCs w:val="24"/>
              </w:rPr>
              <w:t>Укомплекто-ваність штатів фізичними особами (лікарями), %</w:t>
            </w:r>
            <w:r w:rsidRPr="006B6A3E">
              <w:rPr>
                <w:rFonts w:eastAsia="Times New Roman"/>
                <w:bCs/>
                <w:color w:val="000000"/>
                <w:sz w:val="24"/>
                <w:szCs w:val="24"/>
                <w:lang w:val="ru-RU"/>
              </w:rPr>
              <w:t>, 2014 р.</w:t>
            </w:r>
          </w:p>
        </w:tc>
        <w:tc>
          <w:tcPr>
            <w:tcW w:w="1560" w:type="dxa"/>
            <w:vMerge w:val="restart"/>
            <w:tcBorders>
              <w:top w:val="single" w:sz="4" w:space="0" w:color="auto"/>
              <w:left w:val="nil"/>
              <w:right w:val="single" w:sz="4" w:space="0" w:color="auto"/>
            </w:tcBorders>
            <w:shd w:val="clear" w:color="auto" w:fill="auto"/>
          </w:tcPr>
          <w:p w:rsidR="006B6A3E" w:rsidRPr="006B6A3E" w:rsidRDefault="006B6A3E" w:rsidP="000A4B79">
            <w:pPr>
              <w:widowControl w:val="0"/>
              <w:autoSpaceDE w:val="0"/>
              <w:autoSpaceDN w:val="0"/>
              <w:spacing w:line="240" w:lineRule="auto"/>
              <w:jc w:val="center"/>
              <w:rPr>
                <w:rFonts w:eastAsia="Times New Roman"/>
                <w:bCs/>
                <w:color w:val="FF0000"/>
                <w:sz w:val="24"/>
                <w:szCs w:val="24"/>
                <w:highlight w:val="yellow"/>
              </w:rPr>
            </w:pPr>
            <w:r w:rsidRPr="006B6A3E">
              <w:rPr>
                <w:rFonts w:eastAsia="Times New Roman"/>
                <w:sz w:val="24"/>
                <w:szCs w:val="24"/>
              </w:rPr>
              <w:t>Укомплекто-ваність штатів фізичними особами (лікарями), %</w:t>
            </w:r>
            <w:r w:rsidRPr="006B6A3E">
              <w:rPr>
                <w:rFonts w:eastAsia="Times New Roman"/>
                <w:sz w:val="24"/>
                <w:szCs w:val="24"/>
                <w:lang w:val="ru-RU"/>
              </w:rPr>
              <w:t>, 2018 р.</w:t>
            </w:r>
          </w:p>
        </w:tc>
        <w:tc>
          <w:tcPr>
            <w:tcW w:w="1381" w:type="dxa"/>
            <w:vMerge w:val="restart"/>
            <w:tcBorders>
              <w:top w:val="single" w:sz="4" w:space="0" w:color="auto"/>
              <w:left w:val="single" w:sz="4" w:space="0" w:color="auto"/>
              <w:right w:val="single" w:sz="4" w:space="0" w:color="000000"/>
            </w:tcBorders>
            <w:shd w:val="clear" w:color="auto" w:fill="auto"/>
          </w:tcPr>
          <w:p w:rsidR="006B6A3E" w:rsidRPr="006B6A3E" w:rsidRDefault="006B6A3E" w:rsidP="000A4B79">
            <w:pPr>
              <w:widowControl w:val="0"/>
              <w:autoSpaceDE w:val="0"/>
              <w:autoSpaceDN w:val="0"/>
              <w:spacing w:line="240" w:lineRule="auto"/>
              <w:jc w:val="center"/>
              <w:rPr>
                <w:rFonts w:eastAsia="Times New Roman"/>
                <w:bCs/>
                <w:color w:val="FF0000"/>
                <w:sz w:val="24"/>
                <w:szCs w:val="24"/>
                <w:highlight w:val="yellow"/>
              </w:rPr>
            </w:pPr>
            <w:r w:rsidRPr="006B6A3E">
              <w:rPr>
                <w:rFonts w:eastAsia="Times New Roman"/>
                <w:bCs/>
                <w:color w:val="000000"/>
                <w:sz w:val="24"/>
                <w:szCs w:val="24"/>
              </w:rPr>
              <w:t>Забезпе-ченість лікарями на 10 тис. населен-ня, 2018 р.</w:t>
            </w:r>
          </w:p>
        </w:tc>
        <w:tc>
          <w:tcPr>
            <w:tcW w:w="3261" w:type="dxa"/>
            <w:gridSpan w:val="3"/>
            <w:tcBorders>
              <w:top w:val="single" w:sz="4" w:space="0" w:color="auto"/>
              <w:left w:val="single" w:sz="4" w:space="0" w:color="auto"/>
              <w:bottom w:val="single" w:sz="4" w:space="0" w:color="auto"/>
              <w:right w:val="single" w:sz="4" w:space="0" w:color="auto"/>
            </w:tcBorders>
            <w:shd w:val="clear" w:color="auto" w:fill="auto"/>
            <w:hideMark/>
          </w:tcPr>
          <w:p w:rsidR="006B6A3E" w:rsidRPr="006B6A3E" w:rsidRDefault="006B6A3E" w:rsidP="000A4B79">
            <w:pPr>
              <w:widowControl w:val="0"/>
              <w:autoSpaceDE w:val="0"/>
              <w:autoSpaceDN w:val="0"/>
              <w:spacing w:line="240" w:lineRule="auto"/>
              <w:jc w:val="center"/>
              <w:rPr>
                <w:rFonts w:eastAsia="Times New Roman"/>
                <w:bCs/>
                <w:color w:val="000000"/>
                <w:sz w:val="24"/>
                <w:szCs w:val="24"/>
              </w:rPr>
            </w:pPr>
            <w:r w:rsidRPr="006B6A3E">
              <w:rPr>
                <w:rFonts w:eastAsia="Times New Roman"/>
                <w:bCs/>
                <w:color w:val="000000"/>
                <w:sz w:val="24"/>
                <w:szCs w:val="24"/>
              </w:rPr>
              <w:t>Число фізичних осіб основних працівників в цілому ЗОЗ</w:t>
            </w:r>
          </w:p>
        </w:tc>
      </w:tr>
      <w:tr w:rsidR="006B6A3E" w:rsidRPr="006B6A3E" w:rsidTr="006E3A91">
        <w:trPr>
          <w:trHeight w:val="931"/>
          <w:jc w:val="center"/>
        </w:trPr>
        <w:tc>
          <w:tcPr>
            <w:tcW w:w="3688" w:type="dxa"/>
            <w:vMerge/>
            <w:tcBorders>
              <w:top w:val="single" w:sz="4" w:space="0" w:color="auto"/>
              <w:left w:val="single" w:sz="4" w:space="0" w:color="auto"/>
              <w:bottom w:val="single" w:sz="4" w:space="0" w:color="000000"/>
              <w:right w:val="single" w:sz="4" w:space="0" w:color="auto"/>
            </w:tcBorders>
            <w:hideMark/>
          </w:tcPr>
          <w:p w:rsidR="006B6A3E" w:rsidRPr="006B6A3E" w:rsidRDefault="006B6A3E" w:rsidP="006B6A3E">
            <w:pPr>
              <w:widowControl w:val="0"/>
              <w:autoSpaceDE w:val="0"/>
              <w:autoSpaceDN w:val="0"/>
              <w:spacing w:line="240" w:lineRule="auto"/>
              <w:jc w:val="left"/>
              <w:rPr>
                <w:rFonts w:eastAsia="Times New Roman"/>
                <w:bCs/>
                <w:color w:val="000000"/>
                <w:sz w:val="24"/>
                <w:szCs w:val="24"/>
              </w:rPr>
            </w:pPr>
          </w:p>
        </w:tc>
        <w:tc>
          <w:tcPr>
            <w:tcW w:w="1559" w:type="dxa"/>
            <w:vMerge/>
            <w:tcBorders>
              <w:left w:val="nil"/>
              <w:bottom w:val="single" w:sz="4" w:space="0" w:color="auto"/>
              <w:right w:val="single" w:sz="4" w:space="0" w:color="auto"/>
            </w:tcBorders>
            <w:shd w:val="clear" w:color="auto" w:fill="auto"/>
            <w:hideMark/>
          </w:tcPr>
          <w:p w:rsidR="006B6A3E" w:rsidRPr="006B6A3E" w:rsidRDefault="006B6A3E" w:rsidP="006B6A3E">
            <w:pPr>
              <w:widowControl w:val="0"/>
              <w:autoSpaceDE w:val="0"/>
              <w:autoSpaceDN w:val="0"/>
              <w:spacing w:line="240" w:lineRule="auto"/>
              <w:jc w:val="left"/>
              <w:rPr>
                <w:rFonts w:eastAsia="Times New Roman"/>
                <w:sz w:val="24"/>
                <w:szCs w:val="24"/>
              </w:rPr>
            </w:pPr>
          </w:p>
        </w:tc>
        <w:tc>
          <w:tcPr>
            <w:tcW w:w="1701" w:type="dxa"/>
            <w:vMerge/>
            <w:tcBorders>
              <w:left w:val="nil"/>
              <w:bottom w:val="single" w:sz="4" w:space="0" w:color="auto"/>
              <w:right w:val="single" w:sz="4" w:space="0" w:color="auto"/>
            </w:tcBorders>
            <w:shd w:val="clear" w:color="auto" w:fill="auto"/>
            <w:hideMark/>
          </w:tcPr>
          <w:p w:rsidR="006B6A3E" w:rsidRPr="006B6A3E" w:rsidRDefault="006B6A3E" w:rsidP="006B6A3E">
            <w:pPr>
              <w:widowControl w:val="0"/>
              <w:autoSpaceDE w:val="0"/>
              <w:autoSpaceDN w:val="0"/>
              <w:spacing w:line="240" w:lineRule="auto"/>
              <w:jc w:val="left"/>
              <w:rPr>
                <w:rFonts w:eastAsia="Times New Roman"/>
                <w:sz w:val="24"/>
                <w:szCs w:val="24"/>
              </w:rPr>
            </w:pPr>
          </w:p>
        </w:tc>
        <w:tc>
          <w:tcPr>
            <w:tcW w:w="1559" w:type="dxa"/>
            <w:vMerge/>
            <w:tcBorders>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lang w:val="ru-RU"/>
              </w:rPr>
            </w:pPr>
          </w:p>
        </w:tc>
        <w:tc>
          <w:tcPr>
            <w:tcW w:w="1560" w:type="dxa"/>
            <w:vMerge/>
            <w:tcBorders>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left"/>
              <w:rPr>
                <w:rFonts w:eastAsia="Times New Roman"/>
                <w:sz w:val="24"/>
                <w:szCs w:val="24"/>
                <w:lang w:val="ru-RU"/>
              </w:rPr>
            </w:pPr>
          </w:p>
        </w:tc>
        <w:tc>
          <w:tcPr>
            <w:tcW w:w="1381" w:type="dxa"/>
            <w:vMerge/>
            <w:tcBorders>
              <w:left w:val="single" w:sz="4" w:space="0" w:color="auto"/>
              <w:bottom w:val="single" w:sz="4" w:space="0" w:color="auto"/>
              <w:right w:val="single" w:sz="4" w:space="0" w:color="000000"/>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rPr>
            </w:pPr>
          </w:p>
        </w:tc>
        <w:tc>
          <w:tcPr>
            <w:tcW w:w="1028" w:type="dxa"/>
            <w:tcBorders>
              <w:top w:val="nil"/>
              <w:left w:val="single" w:sz="4" w:space="0" w:color="000000"/>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rPr>
            </w:pPr>
            <w:r w:rsidRPr="006B6A3E">
              <w:rPr>
                <w:rFonts w:eastAsia="Times New Roman"/>
                <w:bCs/>
                <w:color w:val="000000"/>
                <w:sz w:val="24"/>
                <w:szCs w:val="24"/>
              </w:rPr>
              <w:t>2014 р.</w:t>
            </w:r>
          </w:p>
        </w:tc>
        <w:tc>
          <w:tcPr>
            <w:tcW w:w="993"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rPr>
            </w:pPr>
            <w:r w:rsidRPr="006B6A3E">
              <w:rPr>
                <w:rFonts w:eastAsia="Times New Roman"/>
                <w:bCs/>
                <w:color w:val="000000"/>
                <w:sz w:val="24"/>
                <w:szCs w:val="24"/>
              </w:rPr>
              <w:t>2018 р.</w:t>
            </w:r>
          </w:p>
        </w:tc>
        <w:tc>
          <w:tcPr>
            <w:tcW w:w="1240" w:type="dxa"/>
            <w:tcBorders>
              <w:top w:val="single" w:sz="4" w:space="0" w:color="auto"/>
              <w:left w:val="single" w:sz="4" w:space="0" w:color="auto"/>
              <w:bottom w:val="single" w:sz="4" w:space="0" w:color="000000"/>
              <w:right w:val="single" w:sz="4" w:space="0" w:color="auto"/>
            </w:tcBorders>
            <w:hideMark/>
          </w:tcPr>
          <w:p w:rsidR="006B6A3E" w:rsidRPr="006B6A3E" w:rsidRDefault="006B6A3E" w:rsidP="006B6A3E">
            <w:pPr>
              <w:widowControl w:val="0"/>
              <w:autoSpaceDE w:val="0"/>
              <w:autoSpaceDN w:val="0"/>
              <w:spacing w:after="160" w:line="240" w:lineRule="auto"/>
              <w:jc w:val="center"/>
              <w:rPr>
                <w:rFonts w:eastAsia="Times New Roman"/>
                <w:bCs/>
                <w:color w:val="000000"/>
                <w:sz w:val="24"/>
                <w:szCs w:val="24"/>
              </w:rPr>
            </w:pPr>
            <w:r w:rsidRPr="006B6A3E">
              <w:rPr>
                <w:rFonts w:eastAsia="Times New Roman"/>
                <w:bCs/>
                <w:color w:val="000000"/>
                <w:sz w:val="24"/>
                <w:szCs w:val="24"/>
              </w:rPr>
              <w:t>Темп прибутку, (%)</w:t>
            </w:r>
          </w:p>
        </w:tc>
      </w:tr>
      <w:tr w:rsidR="006B6A3E" w:rsidRPr="006B6A3E" w:rsidTr="006E3A91">
        <w:trPr>
          <w:trHeight w:val="210"/>
          <w:jc w:val="center"/>
        </w:trPr>
        <w:tc>
          <w:tcPr>
            <w:tcW w:w="3688" w:type="dxa"/>
            <w:tcBorders>
              <w:top w:val="single" w:sz="4" w:space="0" w:color="auto"/>
              <w:left w:val="single" w:sz="4" w:space="0" w:color="auto"/>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left"/>
              <w:rPr>
                <w:rFonts w:eastAsia="Times New Roman"/>
                <w:bCs/>
                <w:color w:val="FF0000"/>
                <w:sz w:val="24"/>
                <w:szCs w:val="24"/>
              </w:rPr>
            </w:pPr>
            <w:r w:rsidRPr="006B6A3E">
              <w:rPr>
                <w:rFonts w:eastAsia="Times New Roman"/>
                <w:bCs/>
                <w:sz w:val="24"/>
                <w:szCs w:val="24"/>
              </w:rPr>
              <w:t>Лікар-пульмонолог  дитячий</w:t>
            </w:r>
          </w:p>
        </w:tc>
        <w:tc>
          <w:tcPr>
            <w:tcW w:w="1559"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rPr>
            </w:pPr>
            <w:r w:rsidRPr="006B6A3E">
              <w:rPr>
                <w:rFonts w:eastAsia="Times New Roman"/>
                <w:bCs/>
                <w:color w:val="000000"/>
                <w:sz w:val="24"/>
                <w:szCs w:val="24"/>
              </w:rPr>
              <w:t>92,02</w:t>
            </w:r>
          </w:p>
        </w:tc>
        <w:tc>
          <w:tcPr>
            <w:tcW w:w="1701"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lang w:val="en-US"/>
              </w:rPr>
            </w:pPr>
            <w:r w:rsidRPr="006B6A3E">
              <w:rPr>
                <w:rFonts w:eastAsia="Times New Roman"/>
                <w:bCs/>
                <w:color w:val="000000"/>
                <w:sz w:val="24"/>
                <w:szCs w:val="24"/>
                <w:lang w:val="en-US"/>
              </w:rPr>
              <w:t>89,84</w:t>
            </w:r>
          </w:p>
        </w:tc>
        <w:tc>
          <w:tcPr>
            <w:tcW w:w="1559"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lang w:val="en-US"/>
              </w:rPr>
            </w:pPr>
            <w:r w:rsidRPr="006B6A3E">
              <w:rPr>
                <w:rFonts w:eastAsia="Times New Roman"/>
                <w:bCs/>
                <w:color w:val="000000"/>
                <w:sz w:val="24"/>
                <w:szCs w:val="24"/>
                <w:lang w:val="en-US"/>
              </w:rPr>
              <w:t>81,80</w:t>
            </w:r>
          </w:p>
        </w:tc>
        <w:tc>
          <w:tcPr>
            <w:tcW w:w="1560"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lang w:val="en-US"/>
              </w:rPr>
            </w:pPr>
            <w:r w:rsidRPr="006B6A3E">
              <w:rPr>
                <w:rFonts w:eastAsia="Times New Roman"/>
                <w:bCs/>
                <w:color w:val="000000"/>
                <w:sz w:val="24"/>
                <w:szCs w:val="24"/>
                <w:lang w:val="en-US"/>
              </w:rPr>
              <w:t>79,17</w:t>
            </w:r>
          </w:p>
        </w:tc>
        <w:tc>
          <w:tcPr>
            <w:tcW w:w="1381" w:type="dxa"/>
            <w:tcBorders>
              <w:top w:val="nil"/>
              <w:left w:val="nil"/>
              <w:bottom w:val="single" w:sz="4" w:space="0" w:color="auto"/>
              <w:right w:val="single" w:sz="4" w:space="0" w:color="auto"/>
            </w:tcBorders>
            <w:shd w:val="clear" w:color="auto" w:fill="auto"/>
          </w:tcPr>
          <w:p w:rsidR="006B6A3E" w:rsidRPr="00691330" w:rsidRDefault="006B6A3E" w:rsidP="006B6A3E">
            <w:pPr>
              <w:widowControl w:val="0"/>
              <w:autoSpaceDE w:val="0"/>
              <w:autoSpaceDN w:val="0"/>
              <w:spacing w:line="240" w:lineRule="auto"/>
              <w:jc w:val="center"/>
              <w:rPr>
                <w:rFonts w:eastAsia="Times New Roman"/>
                <w:bCs/>
                <w:sz w:val="24"/>
                <w:szCs w:val="24"/>
              </w:rPr>
            </w:pPr>
            <w:r w:rsidRPr="00691330">
              <w:rPr>
                <w:rFonts w:eastAsia="Times New Roman"/>
                <w:bCs/>
                <w:sz w:val="24"/>
                <w:szCs w:val="24"/>
              </w:rPr>
              <w:t>0,02</w:t>
            </w:r>
          </w:p>
        </w:tc>
        <w:tc>
          <w:tcPr>
            <w:tcW w:w="1028"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rPr>
            </w:pPr>
            <w:r w:rsidRPr="006B6A3E">
              <w:rPr>
                <w:rFonts w:eastAsia="Times New Roman"/>
                <w:bCs/>
                <w:color w:val="000000"/>
                <w:sz w:val="24"/>
                <w:szCs w:val="24"/>
              </w:rPr>
              <w:t>82,0</w:t>
            </w:r>
          </w:p>
        </w:tc>
        <w:tc>
          <w:tcPr>
            <w:tcW w:w="993"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rPr>
            </w:pPr>
            <w:r w:rsidRPr="006B6A3E">
              <w:rPr>
                <w:rFonts w:eastAsia="Times New Roman"/>
                <w:bCs/>
                <w:color w:val="000000"/>
                <w:sz w:val="24"/>
                <w:szCs w:val="24"/>
              </w:rPr>
              <w:t>76,0</w:t>
            </w:r>
          </w:p>
        </w:tc>
        <w:tc>
          <w:tcPr>
            <w:tcW w:w="1240"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lang w:val="en-US"/>
              </w:rPr>
            </w:pPr>
            <w:r w:rsidRPr="006B6A3E">
              <w:rPr>
                <w:rFonts w:eastAsia="Times New Roman"/>
                <w:bCs/>
                <w:color w:val="000000"/>
                <w:sz w:val="24"/>
                <w:szCs w:val="24"/>
                <w:lang w:val="en-US"/>
              </w:rPr>
              <w:t>- 7,31</w:t>
            </w:r>
          </w:p>
        </w:tc>
      </w:tr>
      <w:tr w:rsidR="006B6A3E" w:rsidRPr="006B6A3E" w:rsidTr="006E3A91">
        <w:trPr>
          <w:trHeight w:val="210"/>
          <w:jc w:val="center"/>
        </w:trPr>
        <w:tc>
          <w:tcPr>
            <w:tcW w:w="3688" w:type="dxa"/>
            <w:tcBorders>
              <w:top w:val="single" w:sz="4" w:space="0" w:color="auto"/>
              <w:left w:val="single" w:sz="4" w:space="0" w:color="auto"/>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left"/>
              <w:rPr>
                <w:rFonts w:eastAsia="Times New Roman"/>
                <w:bCs/>
                <w:sz w:val="24"/>
                <w:szCs w:val="24"/>
              </w:rPr>
            </w:pPr>
            <w:r w:rsidRPr="006B6A3E">
              <w:rPr>
                <w:rFonts w:eastAsia="Times New Roman"/>
                <w:bCs/>
                <w:sz w:val="24"/>
                <w:szCs w:val="24"/>
              </w:rPr>
              <w:t>Лікар педіатр-неонатолог</w:t>
            </w:r>
          </w:p>
        </w:tc>
        <w:tc>
          <w:tcPr>
            <w:tcW w:w="1559"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rPr>
            </w:pPr>
            <w:r w:rsidRPr="006B6A3E">
              <w:rPr>
                <w:rFonts w:eastAsia="Times New Roman"/>
                <w:bCs/>
                <w:color w:val="000000"/>
                <w:sz w:val="24"/>
                <w:szCs w:val="24"/>
              </w:rPr>
              <w:t>90,73</w:t>
            </w:r>
          </w:p>
        </w:tc>
        <w:tc>
          <w:tcPr>
            <w:tcW w:w="1701"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lang w:val="en-US"/>
              </w:rPr>
            </w:pPr>
            <w:r w:rsidRPr="006B6A3E">
              <w:rPr>
                <w:rFonts w:eastAsia="Times New Roman"/>
                <w:bCs/>
                <w:color w:val="000000"/>
                <w:sz w:val="24"/>
                <w:szCs w:val="24"/>
                <w:lang w:val="en-US"/>
              </w:rPr>
              <w:t>90,25</w:t>
            </w:r>
          </w:p>
        </w:tc>
        <w:tc>
          <w:tcPr>
            <w:tcW w:w="1559"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lang w:val="en-US"/>
              </w:rPr>
            </w:pPr>
            <w:r w:rsidRPr="006B6A3E">
              <w:rPr>
                <w:rFonts w:eastAsia="Times New Roman"/>
                <w:bCs/>
                <w:color w:val="000000"/>
                <w:sz w:val="24"/>
                <w:szCs w:val="24"/>
                <w:lang w:val="en-US"/>
              </w:rPr>
              <w:t>77,76</w:t>
            </w:r>
          </w:p>
        </w:tc>
        <w:tc>
          <w:tcPr>
            <w:tcW w:w="1560"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lang w:val="en-US"/>
              </w:rPr>
            </w:pPr>
            <w:r w:rsidRPr="006B6A3E">
              <w:rPr>
                <w:rFonts w:eastAsia="Times New Roman"/>
                <w:bCs/>
                <w:color w:val="000000"/>
                <w:sz w:val="24"/>
                <w:szCs w:val="24"/>
                <w:lang w:val="en-US"/>
              </w:rPr>
              <w:t>77,33</w:t>
            </w:r>
          </w:p>
        </w:tc>
        <w:tc>
          <w:tcPr>
            <w:tcW w:w="1381" w:type="dxa"/>
            <w:tcBorders>
              <w:top w:val="nil"/>
              <w:left w:val="nil"/>
              <w:bottom w:val="single" w:sz="4" w:space="0" w:color="auto"/>
              <w:right w:val="single" w:sz="4" w:space="0" w:color="auto"/>
            </w:tcBorders>
            <w:shd w:val="clear" w:color="auto" w:fill="auto"/>
          </w:tcPr>
          <w:p w:rsidR="006B6A3E" w:rsidRPr="00691330" w:rsidRDefault="006B6A3E" w:rsidP="006B6A3E">
            <w:pPr>
              <w:widowControl w:val="0"/>
              <w:autoSpaceDE w:val="0"/>
              <w:autoSpaceDN w:val="0"/>
              <w:spacing w:line="240" w:lineRule="auto"/>
              <w:jc w:val="center"/>
              <w:rPr>
                <w:rFonts w:eastAsia="Times New Roman"/>
                <w:bCs/>
                <w:sz w:val="24"/>
                <w:szCs w:val="24"/>
              </w:rPr>
            </w:pPr>
            <w:r w:rsidRPr="00691330">
              <w:rPr>
                <w:rFonts w:eastAsia="Times New Roman"/>
                <w:bCs/>
                <w:sz w:val="24"/>
                <w:szCs w:val="24"/>
              </w:rPr>
              <w:t>0,38</w:t>
            </w:r>
          </w:p>
        </w:tc>
        <w:tc>
          <w:tcPr>
            <w:tcW w:w="1028"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rPr>
            </w:pPr>
            <w:r w:rsidRPr="006B6A3E">
              <w:rPr>
                <w:rFonts w:eastAsia="Times New Roman"/>
                <w:bCs/>
                <w:color w:val="000000"/>
                <w:sz w:val="24"/>
                <w:szCs w:val="24"/>
              </w:rPr>
              <w:t>1144,0</w:t>
            </w:r>
          </w:p>
        </w:tc>
        <w:tc>
          <w:tcPr>
            <w:tcW w:w="993"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rPr>
            </w:pPr>
            <w:r w:rsidRPr="006B6A3E">
              <w:rPr>
                <w:rFonts w:eastAsia="Times New Roman"/>
                <w:bCs/>
                <w:color w:val="000000"/>
                <w:sz w:val="24"/>
                <w:szCs w:val="24"/>
              </w:rPr>
              <w:t>1452</w:t>
            </w:r>
          </w:p>
        </w:tc>
        <w:tc>
          <w:tcPr>
            <w:tcW w:w="1240"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left"/>
              <w:rPr>
                <w:rFonts w:eastAsia="Times New Roman"/>
                <w:bCs/>
                <w:color w:val="000000"/>
                <w:sz w:val="24"/>
                <w:szCs w:val="24"/>
              </w:rPr>
            </w:pPr>
            <w:r w:rsidRPr="006B6A3E">
              <w:rPr>
                <w:rFonts w:eastAsia="Times New Roman"/>
                <w:bCs/>
                <w:color w:val="000000"/>
                <w:sz w:val="24"/>
                <w:szCs w:val="24"/>
              </w:rPr>
              <w:t xml:space="preserve">   +26,92</w:t>
            </w:r>
          </w:p>
        </w:tc>
      </w:tr>
      <w:tr w:rsidR="006B6A3E" w:rsidRPr="006B6A3E" w:rsidTr="006E3A91">
        <w:trPr>
          <w:trHeight w:val="210"/>
          <w:jc w:val="center"/>
        </w:trPr>
        <w:tc>
          <w:tcPr>
            <w:tcW w:w="3688" w:type="dxa"/>
            <w:tcBorders>
              <w:top w:val="single" w:sz="4" w:space="0" w:color="auto"/>
              <w:left w:val="single" w:sz="4" w:space="0" w:color="auto"/>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left"/>
              <w:rPr>
                <w:rFonts w:eastAsia="Times New Roman"/>
                <w:bCs/>
                <w:color w:val="000000"/>
                <w:sz w:val="24"/>
                <w:szCs w:val="24"/>
              </w:rPr>
            </w:pPr>
            <w:r w:rsidRPr="006B6A3E">
              <w:rPr>
                <w:rFonts w:eastAsia="Times New Roman"/>
                <w:bCs/>
                <w:color w:val="000000"/>
                <w:sz w:val="24"/>
                <w:szCs w:val="24"/>
              </w:rPr>
              <w:t>Лікар-ревматолог дитячий</w:t>
            </w:r>
          </w:p>
        </w:tc>
        <w:tc>
          <w:tcPr>
            <w:tcW w:w="1559"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rPr>
            </w:pPr>
            <w:r w:rsidRPr="006B6A3E">
              <w:rPr>
                <w:rFonts w:eastAsia="Times New Roman"/>
                <w:bCs/>
                <w:color w:val="000000"/>
                <w:sz w:val="24"/>
                <w:szCs w:val="24"/>
              </w:rPr>
              <w:t>80,96</w:t>
            </w:r>
          </w:p>
        </w:tc>
        <w:tc>
          <w:tcPr>
            <w:tcW w:w="1701"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lang w:val="en-US"/>
              </w:rPr>
            </w:pPr>
            <w:r w:rsidRPr="006B6A3E">
              <w:rPr>
                <w:rFonts w:eastAsia="Times New Roman"/>
                <w:bCs/>
                <w:color w:val="000000"/>
                <w:sz w:val="24"/>
                <w:szCs w:val="24"/>
                <w:lang w:val="en-US"/>
              </w:rPr>
              <w:t>87,43</w:t>
            </w:r>
          </w:p>
        </w:tc>
        <w:tc>
          <w:tcPr>
            <w:tcW w:w="1559"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lang w:val="en-US"/>
              </w:rPr>
            </w:pPr>
            <w:r w:rsidRPr="006B6A3E">
              <w:rPr>
                <w:rFonts w:eastAsia="Times New Roman"/>
                <w:bCs/>
                <w:color w:val="000000"/>
                <w:sz w:val="24"/>
                <w:szCs w:val="24"/>
                <w:lang w:val="en-US"/>
              </w:rPr>
              <w:t>76,50</w:t>
            </w:r>
          </w:p>
        </w:tc>
        <w:tc>
          <w:tcPr>
            <w:tcW w:w="1560"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lang w:val="en-US"/>
              </w:rPr>
            </w:pPr>
            <w:r w:rsidRPr="006B6A3E">
              <w:rPr>
                <w:rFonts w:eastAsia="Times New Roman"/>
                <w:bCs/>
                <w:color w:val="000000"/>
                <w:sz w:val="24"/>
                <w:szCs w:val="24"/>
                <w:lang w:val="en-US"/>
              </w:rPr>
              <w:t>79,20</w:t>
            </w:r>
          </w:p>
        </w:tc>
        <w:tc>
          <w:tcPr>
            <w:tcW w:w="1381" w:type="dxa"/>
            <w:tcBorders>
              <w:top w:val="nil"/>
              <w:left w:val="nil"/>
              <w:bottom w:val="single" w:sz="4" w:space="0" w:color="auto"/>
              <w:right w:val="single" w:sz="4" w:space="0" w:color="auto"/>
            </w:tcBorders>
            <w:shd w:val="clear" w:color="auto" w:fill="auto"/>
          </w:tcPr>
          <w:p w:rsidR="006B6A3E" w:rsidRPr="00691330" w:rsidRDefault="006B6A3E" w:rsidP="006B6A3E">
            <w:pPr>
              <w:widowControl w:val="0"/>
              <w:autoSpaceDE w:val="0"/>
              <w:autoSpaceDN w:val="0"/>
              <w:spacing w:line="240" w:lineRule="auto"/>
              <w:jc w:val="center"/>
              <w:rPr>
                <w:rFonts w:eastAsia="Times New Roman"/>
                <w:bCs/>
                <w:sz w:val="24"/>
                <w:szCs w:val="24"/>
              </w:rPr>
            </w:pPr>
            <w:r w:rsidRPr="00691330">
              <w:rPr>
                <w:rFonts w:eastAsia="Times New Roman"/>
                <w:bCs/>
                <w:sz w:val="24"/>
                <w:szCs w:val="24"/>
              </w:rPr>
              <w:t>0,06</w:t>
            </w:r>
          </w:p>
        </w:tc>
        <w:tc>
          <w:tcPr>
            <w:tcW w:w="1028"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rPr>
            </w:pPr>
            <w:r w:rsidRPr="006B6A3E">
              <w:rPr>
                <w:rFonts w:eastAsia="Times New Roman"/>
                <w:bCs/>
                <w:color w:val="000000"/>
                <w:sz w:val="24"/>
                <w:szCs w:val="24"/>
              </w:rPr>
              <w:t>232,0</w:t>
            </w:r>
          </w:p>
        </w:tc>
        <w:tc>
          <w:tcPr>
            <w:tcW w:w="993"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rPr>
            </w:pPr>
            <w:r w:rsidRPr="006B6A3E">
              <w:rPr>
                <w:rFonts w:eastAsia="Times New Roman"/>
                <w:bCs/>
                <w:color w:val="000000"/>
                <w:sz w:val="24"/>
                <w:szCs w:val="24"/>
              </w:rPr>
              <w:t>241,0</w:t>
            </w:r>
          </w:p>
        </w:tc>
        <w:tc>
          <w:tcPr>
            <w:tcW w:w="1240"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lang w:val="en-US"/>
              </w:rPr>
            </w:pPr>
            <w:r w:rsidRPr="006B6A3E">
              <w:rPr>
                <w:rFonts w:eastAsia="Times New Roman"/>
                <w:bCs/>
                <w:color w:val="000000"/>
                <w:sz w:val="24"/>
                <w:szCs w:val="24"/>
                <w:lang w:val="en-US"/>
              </w:rPr>
              <w:t>+ 3,88</w:t>
            </w:r>
          </w:p>
        </w:tc>
      </w:tr>
      <w:tr w:rsidR="006B6A3E" w:rsidRPr="006B6A3E" w:rsidTr="006E3A91">
        <w:trPr>
          <w:trHeight w:val="210"/>
          <w:jc w:val="center"/>
        </w:trPr>
        <w:tc>
          <w:tcPr>
            <w:tcW w:w="3688" w:type="dxa"/>
            <w:tcBorders>
              <w:top w:val="single" w:sz="4" w:space="0" w:color="auto"/>
              <w:left w:val="single" w:sz="4" w:space="0" w:color="auto"/>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left"/>
              <w:rPr>
                <w:rFonts w:eastAsia="Times New Roman"/>
                <w:bCs/>
                <w:color w:val="000000"/>
                <w:sz w:val="24"/>
                <w:szCs w:val="24"/>
              </w:rPr>
            </w:pPr>
            <w:r w:rsidRPr="006B6A3E">
              <w:rPr>
                <w:rFonts w:eastAsia="Times New Roman"/>
                <w:bCs/>
                <w:color w:val="000000"/>
                <w:sz w:val="24"/>
                <w:szCs w:val="24"/>
              </w:rPr>
              <w:t>Лікар-гастроентеролог</w:t>
            </w:r>
            <w:r w:rsidRPr="006B6A3E">
              <w:rPr>
                <w:rFonts w:eastAsia="Times New Roman"/>
                <w:sz w:val="24"/>
                <w:szCs w:val="24"/>
              </w:rPr>
              <w:t xml:space="preserve"> </w:t>
            </w:r>
            <w:r w:rsidRPr="006B6A3E">
              <w:rPr>
                <w:rFonts w:eastAsia="Times New Roman"/>
                <w:bCs/>
                <w:color w:val="000000"/>
                <w:sz w:val="24"/>
                <w:szCs w:val="24"/>
              </w:rPr>
              <w:t>дитячий</w:t>
            </w:r>
          </w:p>
        </w:tc>
        <w:tc>
          <w:tcPr>
            <w:tcW w:w="1559"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rPr>
            </w:pPr>
            <w:r w:rsidRPr="006B6A3E">
              <w:rPr>
                <w:rFonts w:eastAsia="Times New Roman"/>
                <w:bCs/>
                <w:color w:val="000000"/>
                <w:sz w:val="24"/>
                <w:szCs w:val="24"/>
              </w:rPr>
              <w:t>88,57</w:t>
            </w:r>
          </w:p>
        </w:tc>
        <w:tc>
          <w:tcPr>
            <w:tcW w:w="1701"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lang w:val="en-US"/>
              </w:rPr>
            </w:pPr>
            <w:r w:rsidRPr="006B6A3E">
              <w:rPr>
                <w:rFonts w:eastAsia="Times New Roman"/>
                <w:bCs/>
                <w:color w:val="000000"/>
                <w:sz w:val="24"/>
                <w:szCs w:val="24"/>
                <w:lang w:val="en-US"/>
              </w:rPr>
              <w:t>89,20</w:t>
            </w:r>
          </w:p>
        </w:tc>
        <w:tc>
          <w:tcPr>
            <w:tcW w:w="1559"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lang w:val="en-US"/>
              </w:rPr>
            </w:pPr>
            <w:r w:rsidRPr="006B6A3E">
              <w:rPr>
                <w:rFonts w:eastAsia="Times New Roman"/>
                <w:bCs/>
                <w:color w:val="000000"/>
                <w:sz w:val="24"/>
                <w:szCs w:val="24"/>
                <w:lang w:val="en-US"/>
              </w:rPr>
              <w:t>80,99</w:t>
            </w:r>
          </w:p>
        </w:tc>
        <w:tc>
          <w:tcPr>
            <w:tcW w:w="1560"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lang w:val="en-US"/>
              </w:rPr>
            </w:pPr>
            <w:r w:rsidRPr="006B6A3E">
              <w:rPr>
                <w:rFonts w:eastAsia="Times New Roman"/>
                <w:bCs/>
                <w:color w:val="000000"/>
                <w:sz w:val="24"/>
                <w:szCs w:val="24"/>
                <w:lang w:val="en-US"/>
              </w:rPr>
              <w:t>80,79</w:t>
            </w:r>
          </w:p>
        </w:tc>
        <w:tc>
          <w:tcPr>
            <w:tcW w:w="1381" w:type="dxa"/>
            <w:tcBorders>
              <w:top w:val="nil"/>
              <w:left w:val="nil"/>
              <w:bottom w:val="single" w:sz="4" w:space="0" w:color="auto"/>
              <w:right w:val="single" w:sz="4" w:space="0" w:color="auto"/>
            </w:tcBorders>
            <w:shd w:val="clear" w:color="auto" w:fill="auto"/>
          </w:tcPr>
          <w:p w:rsidR="006B6A3E" w:rsidRPr="00691330" w:rsidRDefault="006B6A3E" w:rsidP="006B6A3E">
            <w:pPr>
              <w:widowControl w:val="0"/>
              <w:autoSpaceDE w:val="0"/>
              <w:autoSpaceDN w:val="0"/>
              <w:spacing w:line="240" w:lineRule="auto"/>
              <w:jc w:val="center"/>
              <w:rPr>
                <w:rFonts w:eastAsia="Times New Roman"/>
                <w:bCs/>
                <w:sz w:val="24"/>
                <w:szCs w:val="24"/>
              </w:rPr>
            </w:pPr>
            <w:r w:rsidRPr="00691330">
              <w:rPr>
                <w:rFonts w:eastAsia="Times New Roman"/>
                <w:bCs/>
                <w:sz w:val="24"/>
                <w:szCs w:val="24"/>
              </w:rPr>
              <w:t>0,04</w:t>
            </w:r>
          </w:p>
        </w:tc>
        <w:tc>
          <w:tcPr>
            <w:tcW w:w="1028"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rPr>
            </w:pPr>
            <w:r w:rsidRPr="006B6A3E">
              <w:rPr>
                <w:rFonts w:eastAsia="Times New Roman"/>
                <w:bCs/>
                <w:color w:val="000000"/>
                <w:sz w:val="24"/>
                <w:szCs w:val="24"/>
              </w:rPr>
              <w:t>147,0</w:t>
            </w:r>
          </w:p>
        </w:tc>
        <w:tc>
          <w:tcPr>
            <w:tcW w:w="993"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rPr>
            </w:pPr>
            <w:r w:rsidRPr="006B6A3E">
              <w:rPr>
                <w:rFonts w:eastAsia="Times New Roman"/>
                <w:bCs/>
                <w:color w:val="000000"/>
                <w:sz w:val="24"/>
                <w:szCs w:val="24"/>
              </w:rPr>
              <w:t>144,0</w:t>
            </w:r>
          </w:p>
        </w:tc>
        <w:tc>
          <w:tcPr>
            <w:tcW w:w="1240"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lang w:val="en-US"/>
              </w:rPr>
            </w:pPr>
            <w:r w:rsidRPr="006B6A3E">
              <w:rPr>
                <w:rFonts w:eastAsia="Times New Roman"/>
                <w:bCs/>
                <w:color w:val="000000"/>
                <w:sz w:val="24"/>
                <w:szCs w:val="24"/>
                <w:lang w:val="en-US"/>
              </w:rPr>
              <w:t>- 2,04</w:t>
            </w:r>
          </w:p>
        </w:tc>
      </w:tr>
      <w:tr w:rsidR="006B6A3E" w:rsidRPr="006B6A3E" w:rsidTr="006E3A91">
        <w:trPr>
          <w:trHeight w:val="210"/>
          <w:jc w:val="center"/>
        </w:trPr>
        <w:tc>
          <w:tcPr>
            <w:tcW w:w="3688" w:type="dxa"/>
            <w:tcBorders>
              <w:top w:val="single" w:sz="4" w:space="0" w:color="auto"/>
              <w:left w:val="single" w:sz="4" w:space="0" w:color="auto"/>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left"/>
              <w:rPr>
                <w:rFonts w:eastAsia="Times New Roman"/>
                <w:bCs/>
                <w:color w:val="000000"/>
                <w:sz w:val="24"/>
                <w:szCs w:val="24"/>
              </w:rPr>
            </w:pPr>
            <w:r w:rsidRPr="006B6A3E">
              <w:rPr>
                <w:rFonts w:eastAsia="Times New Roman"/>
                <w:bCs/>
                <w:color w:val="000000"/>
                <w:sz w:val="24"/>
                <w:szCs w:val="24"/>
              </w:rPr>
              <w:t>Лікар- нефролог</w:t>
            </w:r>
            <w:r w:rsidRPr="006B6A3E">
              <w:rPr>
                <w:rFonts w:eastAsia="Times New Roman"/>
                <w:sz w:val="24"/>
                <w:szCs w:val="24"/>
              </w:rPr>
              <w:t xml:space="preserve"> </w:t>
            </w:r>
            <w:r w:rsidRPr="006B6A3E">
              <w:rPr>
                <w:rFonts w:eastAsia="Times New Roman"/>
                <w:bCs/>
                <w:color w:val="000000"/>
                <w:sz w:val="24"/>
                <w:szCs w:val="24"/>
              </w:rPr>
              <w:t>дитячий</w:t>
            </w:r>
          </w:p>
        </w:tc>
        <w:tc>
          <w:tcPr>
            <w:tcW w:w="1559"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rPr>
            </w:pPr>
            <w:r w:rsidRPr="006B6A3E">
              <w:rPr>
                <w:rFonts w:eastAsia="Times New Roman"/>
                <w:bCs/>
                <w:color w:val="000000"/>
                <w:sz w:val="24"/>
                <w:szCs w:val="24"/>
              </w:rPr>
              <w:t>86,78</w:t>
            </w:r>
          </w:p>
        </w:tc>
        <w:tc>
          <w:tcPr>
            <w:tcW w:w="1701"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lang w:val="en-US"/>
              </w:rPr>
            </w:pPr>
            <w:r w:rsidRPr="006B6A3E">
              <w:rPr>
                <w:rFonts w:eastAsia="Times New Roman"/>
                <w:bCs/>
                <w:color w:val="000000"/>
                <w:sz w:val="24"/>
                <w:szCs w:val="24"/>
                <w:lang w:val="en-US"/>
              </w:rPr>
              <w:t>89,68</w:t>
            </w:r>
          </w:p>
        </w:tc>
        <w:tc>
          <w:tcPr>
            <w:tcW w:w="1559"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lang w:val="en-US"/>
              </w:rPr>
            </w:pPr>
            <w:r w:rsidRPr="006B6A3E">
              <w:rPr>
                <w:rFonts w:eastAsia="Times New Roman"/>
                <w:bCs/>
                <w:color w:val="000000"/>
                <w:sz w:val="24"/>
                <w:szCs w:val="24"/>
                <w:lang w:val="en-US"/>
              </w:rPr>
              <w:t>71,90</w:t>
            </w:r>
          </w:p>
        </w:tc>
        <w:tc>
          <w:tcPr>
            <w:tcW w:w="1560"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lang w:val="en-US"/>
              </w:rPr>
            </w:pPr>
            <w:r w:rsidRPr="006B6A3E">
              <w:rPr>
                <w:rFonts w:eastAsia="Times New Roman"/>
                <w:bCs/>
                <w:color w:val="000000"/>
                <w:sz w:val="24"/>
                <w:szCs w:val="24"/>
                <w:lang w:val="en-US"/>
              </w:rPr>
              <w:t>74,95</w:t>
            </w:r>
          </w:p>
        </w:tc>
        <w:tc>
          <w:tcPr>
            <w:tcW w:w="1381" w:type="dxa"/>
            <w:tcBorders>
              <w:top w:val="nil"/>
              <w:left w:val="nil"/>
              <w:bottom w:val="single" w:sz="4" w:space="0" w:color="auto"/>
              <w:right w:val="single" w:sz="4" w:space="0" w:color="auto"/>
            </w:tcBorders>
            <w:shd w:val="clear" w:color="auto" w:fill="auto"/>
          </w:tcPr>
          <w:p w:rsidR="006B6A3E" w:rsidRPr="00691330" w:rsidRDefault="006B6A3E" w:rsidP="006B6A3E">
            <w:pPr>
              <w:widowControl w:val="0"/>
              <w:autoSpaceDE w:val="0"/>
              <w:autoSpaceDN w:val="0"/>
              <w:spacing w:line="240" w:lineRule="auto"/>
              <w:jc w:val="center"/>
              <w:rPr>
                <w:rFonts w:eastAsia="Times New Roman"/>
                <w:bCs/>
                <w:sz w:val="24"/>
                <w:szCs w:val="24"/>
              </w:rPr>
            </w:pPr>
            <w:r w:rsidRPr="00691330">
              <w:rPr>
                <w:rFonts w:eastAsia="Times New Roman"/>
                <w:bCs/>
                <w:sz w:val="24"/>
                <w:szCs w:val="24"/>
              </w:rPr>
              <w:t>0,02</w:t>
            </w:r>
          </w:p>
        </w:tc>
        <w:tc>
          <w:tcPr>
            <w:tcW w:w="1028"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rPr>
            </w:pPr>
            <w:r w:rsidRPr="006B6A3E">
              <w:rPr>
                <w:rFonts w:eastAsia="Times New Roman"/>
                <w:bCs/>
                <w:color w:val="000000"/>
                <w:sz w:val="24"/>
                <w:szCs w:val="24"/>
              </w:rPr>
              <w:t>87,0</w:t>
            </w:r>
          </w:p>
        </w:tc>
        <w:tc>
          <w:tcPr>
            <w:tcW w:w="993"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rPr>
            </w:pPr>
            <w:r w:rsidRPr="006B6A3E">
              <w:rPr>
                <w:rFonts w:eastAsia="Times New Roman"/>
                <w:bCs/>
                <w:color w:val="000000"/>
                <w:sz w:val="24"/>
                <w:szCs w:val="24"/>
              </w:rPr>
              <w:t>89,0</w:t>
            </w:r>
          </w:p>
        </w:tc>
        <w:tc>
          <w:tcPr>
            <w:tcW w:w="1240"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lang w:val="en-US"/>
              </w:rPr>
            </w:pPr>
            <w:r w:rsidRPr="006B6A3E">
              <w:rPr>
                <w:rFonts w:eastAsia="Times New Roman"/>
                <w:bCs/>
                <w:color w:val="000000"/>
                <w:sz w:val="24"/>
                <w:szCs w:val="24"/>
                <w:lang w:val="en-US"/>
              </w:rPr>
              <w:t>+ 2,30</w:t>
            </w:r>
          </w:p>
        </w:tc>
      </w:tr>
      <w:tr w:rsidR="006B6A3E" w:rsidRPr="006B6A3E" w:rsidTr="006E3A91">
        <w:trPr>
          <w:trHeight w:val="210"/>
          <w:jc w:val="center"/>
        </w:trPr>
        <w:tc>
          <w:tcPr>
            <w:tcW w:w="3688" w:type="dxa"/>
            <w:tcBorders>
              <w:top w:val="single" w:sz="4" w:space="0" w:color="auto"/>
              <w:left w:val="single" w:sz="4" w:space="0" w:color="auto"/>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left"/>
              <w:rPr>
                <w:rFonts w:eastAsia="Times New Roman"/>
                <w:bCs/>
                <w:color w:val="000000"/>
                <w:sz w:val="24"/>
                <w:szCs w:val="24"/>
              </w:rPr>
            </w:pPr>
            <w:r w:rsidRPr="006B6A3E">
              <w:rPr>
                <w:rFonts w:eastAsia="Times New Roman"/>
                <w:bCs/>
                <w:color w:val="000000"/>
                <w:sz w:val="24"/>
                <w:szCs w:val="24"/>
              </w:rPr>
              <w:t>Лікар-ендокринолог</w:t>
            </w:r>
            <w:r w:rsidRPr="006B6A3E">
              <w:rPr>
                <w:rFonts w:eastAsia="Times New Roman"/>
                <w:sz w:val="24"/>
                <w:szCs w:val="24"/>
              </w:rPr>
              <w:t xml:space="preserve"> </w:t>
            </w:r>
            <w:r w:rsidRPr="006B6A3E">
              <w:rPr>
                <w:rFonts w:eastAsia="Times New Roman"/>
                <w:bCs/>
                <w:color w:val="000000"/>
                <w:sz w:val="24"/>
                <w:szCs w:val="24"/>
              </w:rPr>
              <w:t>дитячий</w:t>
            </w:r>
          </w:p>
        </w:tc>
        <w:tc>
          <w:tcPr>
            <w:tcW w:w="1559"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rPr>
            </w:pPr>
            <w:r w:rsidRPr="006B6A3E">
              <w:rPr>
                <w:rFonts w:eastAsia="Times New Roman"/>
                <w:bCs/>
                <w:color w:val="000000"/>
                <w:sz w:val="24"/>
                <w:szCs w:val="24"/>
              </w:rPr>
              <w:t>85,17</w:t>
            </w:r>
          </w:p>
        </w:tc>
        <w:tc>
          <w:tcPr>
            <w:tcW w:w="1701"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lang w:val="en-US"/>
              </w:rPr>
            </w:pPr>
            <w:r w:rsidRPr="006B6A3E">
              <w:rPr>
                <w:rFonts w:eastAsia="Times New Roman"/>
                <w:bCs/>
                <w:color w:val="000000"/>
                <w:sz w:val="24"/>
                <w:szCs w:val="24"/>
                <w:lang w:val="en-US"/>
              </w:rPr>
              <w:t>87,97</w:t>
            </w:r>
          </w:p>
        </w:tc>
        <w:tc>
          <w:tcPr>
            <w:tcW w:w="1559"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lang w:val="en-US"/>
              </w:rPr>
            </w:pPr>
            <w:r w:rsidRPr="006B6A3E">
              <w:rPr>
                <w:rFonts w:eastAsia="Times New Roman"/>
                <w:bCs/>
                <w:color w:val="000000"/>
                <w:sz w:val="24"/>
                <w:szCs w:val="24"/>
                <w:lang w:val="en-US"/>
              </w:rPr>
              <w:t>75,35</w:t>
            </w:r>
          </w:p>
        </w:tc>
        <w:tc>
          <w:tcPr>
            <w:tcW w:w="1560"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lang w:val="en-US"/>
              </w:rPr>
            </w:pPr>
            <w:r w:rsidRPr="006B6A3E">
              <w:rPr>
                <w:rFonts w:eastAsia="Times New Roman"/>
                <w:bCs/>
                <w:color w:val="000000"/>
                <w:sz w:val="24"/>
                <w:szCs w:val="24"/>
                <w:lang w:val="en-US"/>
              </w:rPr>
              <w:t>77,64</w:t>
            </w:r>
          </w:p>
        </w:tc>
        <w:tc>
          <w:tcPr>
            <w:tcW w:w="1381" w:type="dxa"/>
            <w:tcBorders>
              <w:top w:val="nil"/>
              <w:left w:val="nil"/>
              <w:bottom w:val="single" w:sz="4" w:space="0" w:color="auto"/>
              <w:right w:val="single" w:sz="4" w:space="0" w:color="auto"/>
            </w:tcBorders>
            <w:shd w:val="clear" w:color="auto" w:fill="auto"/>
          </w:tcPr>
          <w:p w:rsidR="006B6A3E" w:rsidRPr="00691330" w:rsidRDefault="006B6A3E" w:rsidP="006B6A3E">
            <w:pPr>
              <w:widowControl w:val="0"/>
              <w:autoSpaceDE w:val="0"/>
              <w:autoSpaceDN w:val="0"/>
              <w:spacing w:line="240" w:lineRule="auto"/>
              <w:jc w:val="center"/>
              <w:rPr>
                <w:rFonts w:eastAsia="Times New Roman"/>
                <w:bCs/>
                <w:sz w:val="24"/>
                <w:szCs w:val="24"/>
              </w:rPr>
            </w:pPr>
            <w:r w:rsidRPr="00691330">
              <w:rPr>
                <w:rFonts w:eastAsia="Times New Roman"/>
                <w:bCs/>
                <w:sz w:val="24"/>
                <w:szCs w:val="24"/>
              </w:rPr>
              <w:t>0,05</w:t>
            </w:r>
          </w:p>
        </w:tc>
        <w:tc>
          <w:tcPr>
            <w:tcW w:w="1028"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rPr>
            </w:pPr>
            <w:r w:rsidRPr="006B6A3E">
              <w:rPr>
                <w:rFonts w:eastAsia="Times New Roman"/>
                <w:bCs/>
                <w:color w:val="000000"/>
                <w:sz w:val="24"/>
                <w:szCs w:val="24"/>
              </w:rPr>
              <w:t>188,0</w:t>
            </w:r>
          </w:p>
        </w:tc>
        <w:tc>
          <w:tcPr>
            <w:tcW w:w="993"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rPr>
            </w:pPr>
            <w:r w:rsidRPr="006B6A3E">
              <w:rPr>
                <w:rFonts w:eastAsia="Times New Roman"/>
                <w:bCs/>
                <w:color w:val="000000"/>
                <w:sz w:val="24"/>
                <w:szCs w:val="24"/>
              </w:rPr>
              <w:t>184,0</w:t>
            </w:r>
          </w:p>
        </w:tc>
        <w:tc>
          <w:tcPr>
            <w:tcW w:w="1240"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lang w:val="en-US"/>
              </w:rPr>
            </w:pPr>
            <w:r w:rsidRPr="006B6A3E">
              <w:rPr>
                <w:rFonts w:eastAsia="Times New Roman"/>
                <w:bCs/>
                <w:color w:val="000000"/>
                <w:sz w:val="24"/>
                <w:szCs w:val="24"/>
                <w:lang w:val="en-US"/>
              </w:rPr>
              <w:t>- 2,12</w:t>
            </w:r>
          </w:p>
        </w:tc>
      </w:tr>
      <w:tr w:rsidR="006B6A3E" w:rsidRPr="006B6A3E" w:rsidTr="006E3A91">
        <w:trPr>
          <w:trHeight w:val="210"/>
          <w:jc w:val="center"/>
        </w:trPr>
        <w:tc>
          <w:tcPr>
            <w:tcW w:w="3688" w:type="dxa"/>
            <w:tcBorders>
              <w:top w:val="single" w:sz="4" w:space="0" w:color="auto"/>
              <w:left w:val="single" w:sz="4" w:space="0" w:color="auto"/>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left"/>
              <w:rPr>
                <w:rFonts w:eastAsia="Times New Roman"/>
                <w:bCs/>
                <w:color w:val="000000"/>
                <w:sz w:val="24"/>
                <w:szCs w:val="24"/>
              </w:rPr>
            </w:pPr>
            <w:r w:rsidRPr="006B6A3E">
              <w:rPr>
                <w:rFonts w:eastAsia="Times New Roman"/>
                <w:bCs/>
                <w:color w:val="000000"/>
                <w:sz w:val="24"/>
                <w:szCs w:val="24"/>
              </w:rPr>
              <w:t>Лікар-алерголог</w:t>
            </w:r>
            <w:r w:rsidRPr="006B6A3E">
              <w:rPr>
                <w:rFonts w:eastAsia="Times New Roman"/>
                <w:sz w:val="24"/>
                <w:szCs w:val="24"/>
              </w:rPr>
              <w:t xml:space="preserve"> </w:t>
            </w:r>
            <w:r w:rsidRPr="006B6A3E">
              <w:rPr>
                <w:rFonts w:eastAsia="Times New Roman"/>
                <w:bCs/>
                <w:color w:val="000000"/>
                <w:sz w:val="24"/>
                <w:szCs w:val="24"/>
              </w:rPr>
              <w:t>дитячий</w:t>
            </w:r>
          </w:p>
        </w:tc>
        <w:tc>
          <w:tcPr>
            <w:tcW w:w="1559"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rPr>
            </w:pPr>
            <w:r w:rsidRPr="006B6A3E">
              <w:rPr>
                <w:rFonts w:eastAsia="Times New Roman"/>
                <w:bCs/>
                <w:color w:val="000000"/>
                <w:sz w:val="24"/>
                <w:szCs w:val="24"/>
              </w:rPr>
              <w:t>90,69</w:t>
            </w:r>
          </w:p>
        </w:tc>
        <w:tc>
          <w:tcPr>
            <w:tcW w:w="1701"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lang w:val="en-US"/>
              </w:rPr>
            </w:pPr>
            <w:r w:rsidRPr="006B6A3E">
              <w:rPr>
                <w:rFonts w:eastAsia="Times New Roman"/>
                <w:bCs/>
                <w:color w:val="000000"/>
                <w:sz w:val="24"/>
                <w:szCs w:val="24"/>
                <w:lang w:val="en-US"/>
              </w:rPr>
              <w:t>88,34</w:t>
            </w:r>
          </w:p>
        </w:tc>
        <w:tc>
          <w:tcPr>
            <w:tcW w:w="1559"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lang w:val="en-US"/>
              </w:rPr>
            </w:pPr>
            <w:r w:rsidRPr="006B6A3E">
              <w:rPr>
                <w:rFonts w:eastAsia="Times New Roman"/>
                <w:bCs/>
                <w:color w:val="000000"/>
                <w:sz w:val="24"/>
                <w:szCs w:val="24"/>
                <w:lang w:val="en-US"/>
              </w:rPr>
              <w:t>88,31</w:t>
            </w:r>
          </w:p>
        </w:tc>
        <w:tc>
          <w:tcPr>
            <w:tcW w:w="1560"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lang w:val="en-US"/>
              </w:rPr>
            </w:pPr>
            <w:r w:rsidRPr="006B6A3E">
              <w:rPr>
                <w:rFonts w:eastAsia="Times New Roman"/>
                <w:bCs/>
                <w:color w:val="000000"/>
                <w:sz w:val="24"/>
                <w:szCs w:val="24"/>
                <w:lang w:val="en-US"/>
              </w:rPr>
              <w:t>88,34</w:t>
            </w:r>
          </w:p>
        </w:tc>
        <w:tc>
          <w:tcPr>
            <w:tcW w:w="1381" w:type="dxa"/>
            <w:tcBorders>
              <w:top w:val="nil"/>
              <w:left w:val="nil"/>
              <w:bottom w:val="single" w:sz="4" w:space="0" w:color="auto"/>
              <w:right w:val="single" w:sz="4" w:space="0" w:color="auto"/>
            </w:tcBorders>
            <w:shd w:val="clear" w:color="auto" w:fill="auto"/>
          </w:tcPr>
          <w:p w:rsidR="006B6A3E" w:rsidRPr="00691330" w:rsidRDefault="006B6A3E" w:rsidP="006B6A3E">
            <w:pPr>
              <w:widowControl w:val="0"/>
              <w:autoSpaceDE w:val="0"/>
              <w:autoSpaceDN w:val="0"/>
              <w:spacing w:line="240" w:lineRule="auto"/>
              <w:ind w:left="171" w:right="155"/>
              <w:jc w:val="center"/>
              <w:rPr>
                <w:rFonts w:eastAsia="Times New Roman"/>
                <w:sz w:val="24"/>
                <w:szCs w:val="24"/>
              </w:rPr>
            </w:pPr>
            <w:r w:rsidRPr="00691330">
              <w:rPr>
                <w:rFonts w:eastAsia="Times New Roman"/>
                <w:sz w:val="24"/>
                <w:szCs w:val="24"/>
              </w:rPr>
              <w:t>0,03</w:t>
            </w:r>
          </w:p>
        </w:tc>
        <w:tc>
          <w:tcPr>
            <w:tcW w:w="1028"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rPr>
            </w:pPr>
            <w:r w:rsidRPr="006B6A3E">
              <w:rPr>
                <w:rFonts w:eastAsia="Times New Roman"/>
                <w:bCs/>
                <w:color w:val="000000"/>
                <w:sz w:val="24"/>
                <w:szCs w:val="24"/>
              </w:rPr>
              <w:t>102,0</w:t>
            </w:r>
          </w:p>
        </w:tc>
        <w:tc>
          <w:tcPr>
            <w:tcW w:w="993"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rPr>
            </w:pPr>
            <w:r w:rsidRPr="006B6A3E">
              <w:rPr>
                <w:rFonts w:eastAsia="Times New Roman"/>
                <w:bCs/>
                <w:color w:val="000000"/>
                <w:sz w:val="24"/>
                <w:szCs w:val="24"/>
              </w:rPr>
              <w:t>108,0</w:t>
            </w:r>
          </w:p>
        </w:tc>
        <w:tc>
          <w:tcPr>
            <w:tcW w:w="1240"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lang w:val="en-US"/>
              </w:rPr>
            </w:pPr>
            <w:r w:rsidRPr="006B6A3E">
              <w:rPr>
                <w:rFonts w:eastAsia="Times New Roman"/>
                <w:bCs/>
                <w:color w:val="000000"/>
                <w:sz w:val="24"/>
                <w:szCs w:val="24"/>
                <w:lang w:val="en-US"/>
              </w:rPr>
              <w:t>+ 5,88</w:t>
            </w:r>
          </w:p>
        </w:tc>
      </w:tr>
      <w:tr w:rsidR="006B6A3E" w:rsidRPr="006B6A3E" w:rsidTr="006E3A91">
        <w:trPr>
          <w:trHeight w:val="210"/>
          <w:jc w:val="center"/>
        </w:trPr>
        <w:tc>
          <w:tcPr>
            <w:tcW w:w="3688" w:type="dxa"/>
            <w:tcBorders>
              <w:top w:val="single" w:sz="4" w:space="0" w:color="auto"/>
              <w:left w:val="single" w:sz="4" w:space="0" w:color="auto"/>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left"/>
              <w:rPr>
                <w:rFonts w:eastAsia="Times New Roman"/>
                <w:bCs/>
                <w:color w:val="000000"/>
                <w:sz w:val="24"/>
                <w:szCs w:val="24"/>
              </w:rPr>
            </w:pPr>
            <w:r w:rsidRPr="006B6A3E">
              <w:rPr>
                <w:rFonts w:eastAsia="Times New Roman"/>
                <w:bCs/>
                <w:color w:val="000000"/>
                <w:sz w:val="24"/>
                <w:szCs w:val="24"/>
              </w:rPr>
              <w:t>Лікар-гематолог</w:t>
            </w:r>
            <w:r w:rsidRPr="006B6A3E">
              <w:rPr>
                <w:rFonts w:eastAsia="Times New Roman"/>
                <w:sz w:val="24"/>
                <w:szCs w:val="24"/>
              </w:rPr>
              <w:t xml:space="preserve"> </w:t>
            </w:r>
            <w:r w:rsidRPr="006B6A3E">
              <w:rPr>
                <w:rFonts w:eastAsia="Times New Roman"/>
                <w:bCs/>
                <w:color w:val="000000"/>
                <w:sz w:val="24"/>
                <w:szCs w:val="24"/>
              </w:rPr>
              <w:t>дитячий</w:t>
            </w:r>
          </w:p>
        </w:tc>
        <w:tc>
          <w:tcPr>
            <w:tcW w:w="1559"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rPr>
            </w:pPr>
            <w:r w:rsidRPr="006B6A3E">
              <w:rPr>
                <w:rFonts w:eastAsia="Times New Roman"/>
                <w:bCs/>
                <w:color w:val="000000"/>
                <w:sz w:val="24"/>
                <w:szCs w:val="24"/>
              </w:rPr>
              <w:t>88,65</w:t>
            </w:r>
          </w:p>
        </w:tc>
        <w:tc>
          <w:tcPr>
            <w:tcW w:w="1701"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lang w:val="en-US"/>
              </w:rPr>
            </w:pPr>
            <w:r w:rsidRPr="006B6A3E">
              <w:rPr>
                <w:rFonts w:eastAsia="Times New Roman"/>
                <w:bCs/>
                <w:color w:val="000000"/>
                <w:sz w:val="24"/>
                <w:szCs w:val="24"/>
                <w:lang w:val="en-US"/>
              </w:rPr>
              <w:t>93,25</w:t>
            </w:r>
          </w:p>
        </w:tc>
        <w:tc>
          <w:tcPr>
            <w:tcW w:w="1559"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lang w:val="en-US"/>
              </w:rPr>
            </w:pPr>
            <w:r w:rsidRPr="006B6A3E">
              <w:rPr>
                <w:rFonts w:eastAsia="Times New Roman"/>
                <w:bCs/>
                <w:color w:val="000000"/>
                <w:sz w:val="24"/>
                <w:szCs w:val="24"/>
                <w:lang w:val="en-US"/>
              </w:rPr>
              <w:t>72,62</w:t>
            </w:r>
          </w:p>
        </w:tc>
        <w:tc>
          <w:tcPr>
            <w:tcW w:w="1560"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lang w:val="en-US"/>
              </w:rPr>
            </w:pPr>
            <w:r w:rsidRPr="006B6A3E">
              <w:rPr>
                <w:rFonts w:eastAsia="Times New Roman"/>
                <w:bCs/>
                <w:color w:val="000000"/>
                <w:sz w:val="24"/>
                <w:szCs w:val="24"/>
                <w:lang w:val="en-US"/>
              </w:rPr>
              <w:t>71,96</w:t>
            </w:r>
          </w:p>
        </w:tc>
        <w:tc>
          <w:tcPr>
            <w:tcW w:w="1381" w:type="dxa"/>
            <w:tcBorders>
              <w:top w:val="nil"/>
              <w:left w:val="nil"/>
              <w:bottom w:val="single" w:sz="4" w:space="0" w:color="auto"/>
              <w:right w:val="single" w:sz="4" w:space="0" w:color="auto"/>
            </w:tcBorders>
            <w:shd w:val="clear" w:color="auto" w:fill="auto"/>
          </w:tcPr>
          <w:p w:rsidR="006B6A3E" w:rsidRPr="00691330" w:rsidRDefault="006B6A3E" w:rsidP="006B6A3E">
            <w:pPr>
              <w:widowControl w:val="0"/>
              <w:autoSpaceDE w:val="0"/>
              <w:autoSpaceDN w:val="0"/>
              <w:spacing w:line="240" w:lineRule="auto"/>
              <w:ind w:left="171" w:right="155"/>
              <w:jc w:val="center"/>
              <w:rPr>
                <w:rFonts w:eastAsia="Times New Roman"/>
                <w:sz w:val="24"/>
                <w:szCs w:val="24"/>
              </w:rPr>
            </w:pPr>
            <w:r w:rsidRPr="00691330">
              <w:rPr>
                <w:rFonts w:eastAsia="Times New Roman"/>
                <w:sz w:val="24"/>
                <w:szCs w:val="24"/>
              </w:rPr>
              <w:t>0,03</w:t>
            </w:r>
          </w:p>
        </w:tc>
        <w:tc>
          <w:tcPr>
            <w:tcW w:w="1028"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rPr>
            </w:pPr>
            <w:r w:rsidRPr="006B6A3E">
              <w:rPr>
                <w:rFonts w:eastAsia="Times New Roman"/>
                <w:bCs/>
                <w:color w:val="000000"/>
                <w:sz w:val="24"/>
                <w:szCs w:val="24"/>
              </w:rPr>
              <w:t>120,0</w:t>
            </w:r>
          </w:p>
        </w:tc>
        <w:tc>
          <w:tcPr>
            <w:tcW w:w="993"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rPr>
            </w:pPr>
            <w:r w:rsidRPr="006B6A3E">
              <w:rPr>
                <w:rFonts w:eastAsia="Times New Roman"/>
                <w:bCs/>
                <w:color w:val="000000"/>
                <w:sz w:val="24"/>
                <w:szCs w:val="24"/>
              </w:rPr>
              <w:t>120,0</w:t>
            </w:r>
          </w:p>
        </w:tc>
        <w:tc>
          <w:tcPr>
            <w:tcW w:w="1240"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lang w:val="en-US"/>
              </w:rPr>
            </w:pPr>
            <w:r w:rsidRPr="006B6A3E">
              <w:rPr>
                <w:rFonts w:eastAsia="Times New Roman"/>
                <w:bCs/>
                <w:color w:val="000000"/>
                <w:sz w:val="24"/>
                <w:szCs w:val="24"/>
                <w:lang w:val="en-US"/>
              </w:rPr>
              <w:t>-</w:t>
            </w:r>
          </w:p>
        </w:tc>
      </w:tr>
      <w:tr w:rsidR="006B6A3E" w:rsidRPr="006B6A3E" w:rsidTr="006E3A91">
        <w:trPr>
          <w:trHeight w:val="210"/>
          <w:jc w:val="center"/>
        </w:trPr>
        <w:tc>
          <w:tcPr>
            <w:tcW w:w="3688" w:type="dxa"/>
            <w:tcBorders>
              <w:top w:val="single" w:sz="4" w:space="0" w:color="auto"/>
              <w:left w:val="single" w:sz="4" w:space="0" w:color="auto"/>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left"/>
              <w:rPr>
                <w:rFonts w:eastAsia="Times New Roman"/>
                <w:bCs/>
                <w:color w:val="000000"/>
                <w:sz w:val="24"/>
                <w:szCs w:val="24"/>
              </w:rPr>
            </w:pPr>
            <w:r w:rsidRPr="006B6A3E">
              <w:rPr>
                <w:rFonts w:eastAsia="Times New Roman"/>
                <w:bCs/>
                <w:color w:val="000000"/>
                <w:sz w:val="24"/>
                <w:szCs w:val="24"/>
              </w:rPr>
              <w:t>Лікар-інфекціоніст</w:t>
            </w:r>
            <w:r w:rsidRPr="006B6A3E">
              <w:rPr>
                <w:rFonts w:eastAsia="Times New Roman"/>
                <w:sz w:val="24"/>
                <w:szCs w:val="24"/>
              </w:rPr>
              <w:t xml:space="preserve"> </w:t>
            </w:r>
            <w:r w:rsidRPr="006B6A3E">
              <w:rPr>
                <w:rFonts w:eastAsia="Times New Roman"/>
                <w:bCs/>
                <w:color w:val="000000"/>
                <w:sz w:val="24"/>
                <w:szCs w:val="24"/>
              </w:rPr>
              <w:t>дитячий</w:t>
            </w:r>
          </w:p>
        </w:tc>
        <w:tc>
          <w:tcPr>
            <w:tcW w:w="1559"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lang w:val="en-US"/>
              </w:rPr>
            </w:pPr>
            <w:r w:rsidRPr="006B6A3E">
              <w:rPr>
                <w:rFonts w:eastAsia="Times New Roman"/>
                <w:bCs/>
                <w:color w:val="000000"/>
                <w:sz w:val="24"/>
                <w:szCs w:val="24"/>
              </w:rPr>
              <w:t>87,22</w:t>
            </w:r>
          </w:p>
        </w:tc>
        <w:tc>
          <w:tcPr>
            <w:tcW w:w="1701"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lang w:val="en-US"/>
              </w:rPr>
            </w:pPr>
            <w:r w:rsidRPr="006B6A3E">
              <w:rPr>
                <w:rFonts w:eastAsia="Times New Roman"/>
                <w:bCs/>
                <w:color w:val="000000"/>
                <w:sz w:val="24"/>
                <w:szCs w:val="24"/>
                <w:lang w:val="en-US"/>
              </w:rPr>
              <w:t>88,08</w:t>
            </w:r>
          </w:p>
        </w:tc>
        <w:tc>
          <w:tcPr>
            <w:tcW w:w="1559"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lang w:val="en-US"/>
              </w:rPr>
            </w:pPr>
            <w:r w:rsidRPr="006B6A3E">
              <w:rPr>
                <w:rFonts w:eastAsia="Times New Roman"/>
                <w:bCs/>
                <w:color w:val="000000"/>
                <w:sz w:val="24"/>
                <w:szCs w:val="24"/>
                <w:lang w:val="en-US"/>
              </w:rPr>
              <w:t>71,98</w:t>
            </w:r>
          </w:p>
        </w:tc>
        <w:tc>
          <w:tcPr>
            <w:tcW w:w="1560"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lang w:val="en-US"/>
              </w:rPr>
            </w:pPr>
            <w:r w:rsidRPr="006B6A3E">
              <w:rPr>
                <w:rFonts w:eastAsia="Times New Roman"/>
                <w:bCs/>
                <w:color w:val="000000"/>
                <w:sz w:val="24"/>
                <w:szCs w:val="24"/>
                <w:lang w:val="en-US"/>
              </w:rPr>
              <w:t>74,13</w:t>
            </w:r>
          </w:p>
        </w:tc>
        <w:tc>
          <w:tcPr>
            <w:tcW w:w="1381" w:type="dxa"/>
            <w:tcBorders>
              <w:top w:val="nil"/>
              <w:left w:val="nil"/>
              <w:bottom w:val="single" w:sz="4" w:space="0" w:color="auto"/>
              <w:right w:val="single" w:sz="4" w:space="0" w:color="auto"/>
            </w:tcBorders>
            <w:shd w:val="clear" w:color="auto" w:fill="auto"/>
          </w:tcPr>
          <w:p w:rsidR="006B6A3E" w:rsidRPr="00691330" w:rsidRDefault="006B6A3E" w:rsidP="006B6A3E">
            <w:pPr>
              <w:widowControl w:val="0"/>
              <w:autoSpaceDE w:val="0"/>
              <w:autoSpaceDN w:val="0"/>
              <w:spacing w:line="240" w:lineRule="auto"/>
              <w:ind w:left="171" w:right="155"/>
              <w:jc w:val="center"/>
              <w:rPr>
                <w:rFonts w:eastAsia="Times New Roman"/>
                <w:sz w:val="24"/>
                <w:szCs w:val="24"/>
              </w:rPr>
            </w:pPr>
            <w:r w:rsidRPr="00691330">
              <w:rPr>
                <w:rFonts w:eastAsia="Times New Roman"/>
                <w:sz w:val="24"/>
                <w:szCs w:val="24"/>
              </w:rPr>
              <w:t>0,12</w:t>
            </w:r>
          </w:p>
        </w:tc>
        <w:tc>
          <w:tcPr>
            <w:tcW w:w="1028"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rPr>
            </w:pPr>
            <w:r w:rsidRPr="006B6A3E">
              <w:rPr>
                <w:rFonts w:eastAsia="Times New Roman"/>
                <w:bCs/>
                <w:color w:val="000000"/>
                <w:sz w:val="24"/>
                <w:szCs w:val="24"/>
              </w:rPr>
              <w:t>438,0</w:t>
            </w:r>
          </w:p>
        </w:tc>
        <w:tc>
          <w:tcPr>
            <w:tcW w:w="993"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rPr>
            </w:pPr>
            <w:r w:rsidRPr="006B6A3E">
              <w:rPr>
                <w:rFonts w:eastAsia="Times New Roman"/>
                <w:bCs/>
                <w:color w:val="000000"/>
                <w:sz w:val="24"/>
                <w:szCs w:val="24"/>
              </w:rPr>
              <w:t>412,0</w:t>
            </w:r>
          </w:p>
        </w:tc>
        <w:tc>
          <w:tcPr>
            <w:tcW w:w="1240"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lang w:val="en-US"/>
              </w:rPr>
            </w:pPr>
            <w:r w:rsidRPr="006B6A3E">
              <w:rPr>
                <w:rFonts w:eastAsia="Times New Roman"/>
                <w:bCs/>
                <w:color w:val="000000"/>
                <w:sz w:val="24"/>
                <w:szCs w:val="24"/>
                <w:lang w:val="en-US"/>
              </w:rPr>
              <w:t>- 5,94</w:t>
            </w:r>
          </w:p>
        </w:tc>
      </w:tr>
      <w:tr w:rsidR="006B6A3E" w:rsidRPr="006B6A3E" w:rsidTr="006E3A91">
        <w:trPr>
          <w:trHeight w:val="210"/>
          <w:jc w:val="center"/>
        </w:trPr>
        <w:tc>
          <w:tcPr>
            <w:tcW w:w="3688" w:type="dxa"/>
            <w:tcBorders>
              <w:top w:val="single" w:sz="4" w:space="0" w:color="auto"/>
              <w:left w:val="single" w:sz="4" w:space="0" w:color="auto"/>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left"/>
              <w:rPr>
                <w:rFonts w:eastAsia="Times New Roman"/>
                <w:bCs/>
                <w:color w:val="000000"/>
                <w:sz w:val="24"/>
                <w:szCs w:val="24"/>
              </w:rPr>
            </w:pPr>
            <w:r w:rsidRPr="006B6A3E">
              <w:rPr>
                <w:rFonts w:eastAsia="Times New Roman"/>
                <w:bCs/>
                <w:color w:val="000000"/>
                <w:sz w:val="24"/>
                <w:szCs w:val="24"/>
              </w:rPr>
              <w:t>Лікар-хірург</w:t>
            </w:r>
            <w:r w:rsidRPr="006B6A3E">
              <w:rPr>
                <w:rFonts w:eastAsia="Times New Roman"/>
                <w:sz w:val="24"/>
                <w:szCs w:val="24"/>
              </w:rPr>
              <w:t xml:space="preserve"> </w:t>
            </w:r>
            <w:r w:rsidRPr="006B6A3E">
              <w:rPr>
                <w:rFonts w:eastAsia="Times New Roman"/>
                <w:bCs/>
                <w:color w:val="000000"/>
                <w:sz w:val="24"/>
                <w:szCs w:val="24"/>
              </w:rPr>
              <w:t>дитячий</w:t>
            </w:r>
          </w:p>
        </w:tc>
        <w:tc>
          <w:tcPr>
            <w:tcW w:w="1559"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lang w:val="en-US"/>
              </w:rPr>
            </w:pPr>
            <w:r w:rsidRPr="006B6A3E">
              <w:rPr>
                <w:rFonts w:eastAsia="Times New Roman"/>
                <w:bCs/>
                <w:color w:val="000000"/>
                <w:sz w:val="24"/>
                <w:szCs w:val="24"/>
                <w:lang w:val="en-US"/>
              </w:rPr>
              <w:t>91,21</w:t>
            </w:r>
          </w:p>
        </w:tc>
        <w:tc>
          <w:tcPr>
            <w:tcW w:w="1701"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lang w:val="en-US"/>
              </w:rPr>
            </w:pPr>
            <w:r w:rsidRPr="006B6A3E">
              <w:rPr>
                <w:rFonts w:eastAsia="Times New Roman"/>
                <w:bCs/>
                <w:color w:val="000000"/>
                <w:sz w:val="24"/>
                <w:szCs w:val="24"/>
                <w:lang w:val="en-US"/>
              </w:rPr>
              <w:t>90,22</w:t>
            </w:r>
          </w:p>
        </w:tc>
        <w:tc>
          <w:tcPr>
            <w:tcW w:w="1559"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lang w:val="en-US"/>
              </w:rPr>
            </w:pPr>
            <w:r w:rsidRPr="006B6A3E">
              <w:rPr>
                <w:rFonts w:eastAsia="Times New Roman"/>
                <w:bCs/>
                <w:color w:val="000000"/>
                <w:sz w:val="24"/>
                <w:szCs w:val="24"/>
                <w:lang w:val="en-US"/>
              </w:rPr>
              <w:t>75,30</w:t>
            </w:r>
          </w:p>
        </w:tc>
        <w:tc>
          <w:tcPr>
            <w:tcW w:w="1560"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lang w:val="en-US"/>
              </w:rPr>
            </w:pPr>
            <w:r w:rsidRPr="006B6A3E">
              <w:rPr>
                <w:rFonts w:eastAsia="Times New Roman"/>
                <w:bCs/>
                <w:color w:val="000000"/>
                <w:sz w:val="24"/>
                <w:szCs w:val="24"/>
                <w:lang w:val="en-US"/>
              </w:rPr>
              <w:t>73,19</w:t>
            </w:r>
          </w:p>
        </w:tc>
        <w:tc>
          <w:tcPr>
            <w:tcW w:w="1381" w:type="dxa"/>
            <w:tcBorders>
              <w:top w:val="nil"/>
              <w:left w:val="nil"/>
              <w:bottom w:val="single" w:sz="4" w:space="0" w:color="auto"/>
              <w:right w:val="single" w:sz="4" w:space="0" w:color="auto"/>
            </w:tcBorders>
            <w:shd w:val="clear" w:color="auto" w:fill="auto"/>
          </w:tcPr>
          <w:p w:rsidR="006B6A3E" w:rsidRPr="00691330" w:rsidRDefault="006B6A3E" w:rsidP="006B6A3E">
            <w:pPr>
              <w:widowControl w:val="0"/>
              <w:autoSpaceDE w:val="0"/>
              <w:autoSpaceDN w:val="0"/>
              <w:spacing w:line="240" w:lineRule="auto"/>
              <w:ind w:left="171" w:right="155"/>
              <w:jc w:val="center"/>
              <w:rPr>
                <w:rFonts w:eastAsia="Times New Roman"/>
                <w:sz w:val="24"/>
                <w:szCs w:val="24"/>
              </w:rPr>
            </w:pPr>
            <w:r w:rsidRPr="00691330">
              <w:rPr>
                <w:rFonts w:eastAsia="Times New Roman"/>
                <w:sz w:val="24"/>
                <w:szCs w:val="24"/>
              </w:rPr>
              <w:t>0,19</w:t>
            </w:r>
          </w:p>
        </w:tc>
        <w:tc>
          <w:tcPr>
            <w:tcW w:w="1028"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rPr>
            </w:pPr>
            <w:r w:rsidRPr="006B6A3E">
              <w:rPr>
                <w:rFonts w:eastAsia="Times New Roman"/>
                <w:bCs/>
                <w:color w:val="000000"/>
                <w:sz w:val="24"/>
                <w:szCs w:val="24"/>
              </w:rPr>
              <w:t>722,0</w:t>
            </w:r>
          </w:p>
        </w:tc>
        <w:tc>
          <w:tcPr>
            <w:tcW w:w="993"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rPr>
            </w:pPr>
            <w:r w:rsidRPr="006B6A3E">
              <w:rPr>
                <w:rFonts w:eastAsia="Times New Roman"/>
                <w:bCs/>
                <w:color w:val="000000"/>
                <w:sz w:val="24"/>
                <w:szCs w:val="24"/>
              </w:rPr>
              <w:t>677,0</w:t>
            </w:r>
          </w:p>
        </w:tc>
        <w:tc>
          <w:tcPr>
            <w:tcW w:w="1240"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lang w:val="en-US"/>
              </w:rPr>
            </w:pPr>
            <w:r w:rsidRPr="006B6A3E">
              <w:rPr>
                <w:rFonts w:eastAsia="Times New Roman"/>
                <w:bCs/>
                <w:color w:val="000000"/>
                <w:sz w:val="24"/>
                <w:szCs w:val="24"/>
                <w:lang w:val="en-US"/>
              </w:rPr>
              <w:t>- 6,23</w:t>
            </w:r>
          </w:p>
        </w:tc>
      </w:tr>
      <w:tr w:rsidR="006B6A3E" w:rsidRPr="006B6A3E" w:rsidTr="006E3A91">
        <w:trPr>
          <w:trHeight w:val="210"/>
          <w:jc w:val="center"/>
        </w:trPr>
        <w:tc>
          <w:tcPr>
            <w:tcW w:w="3688" w:type="dxa"/>
            <w:tcBorders>
              <w:top w:val="single" w:sz="4" w:space="0" w:color="auto"/>
              <w:left w:val="single" w:sz="4" w:space="0" w:color="auto"/>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left"/>
              <w:rPr>
                <w:rFonts w:eastAsia="Times New Roman"/>
                <w:bCs/>
                <w:color w:val="000000"/>
                <w:sz w:val="24"/>
                <w:szCs w:val="24"/>
              </w:rPr>
            </w:pPr>
            <w:r w:rsidRPr="006B6A3E">
              <w:rPr>
                <w:rFonts w:eastAsia="Times New Roman"/>
                <w:bCs/>
                <w:color w:val="000000"/>
                <w:sz w:val="24"/>
                <w:szCs w:val="24"/>
              </w:rPr>
              <w:t>Лікар-ортопед-травматолог</w:t>
            </w:r>
          </w:p>
        </w:tc>
        <w:tc>
          <w:tcPr>
            <w:tcW w:w="1559"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lang w:val="en-US"/>
              </w:rPr>
            </w:pPr>
            <w:r w:rsidRPr="006B6A3E">
              <w:rPr>
                <w:rFonts w:eastAsia="Times New Roman"/>
                <w:bCs/>
                <w:color w:val="000000"/>
                <w:sz w:val="24"/>
                <w:szCs w:val="24"/>
                <w:lang w:val="en-US"/>
              </w:rPr>
              <w:t>89,30</w:t>
            </w:r>
          </w:p>
        </w:tc>
        <w:tc>
          <w:tcPr>
            <w:tcW w:w="1701"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lang w:val="en-US"/>
              </w:rPr>
            </w:pPr>
            <w:r w:rsidRPr="006B6A3E">
              <w:rPr>
                <w:rFonts w:eastAsia="Times New Roman"/>
                <w:bCs/>
                <w:color w:val="000000"/>
                <w:sz w:val="24"/>
                <w:szCs w:val="24"/>
                <w:lang w:val="en-US"/>
              </w:rPr>
              <w:t>89,25</w:t>
            </w:r>
          </w:p>
        </w:tc>
        <w:tc>
          <w:tcPr>
            <w:tcW w:w="1559"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lang w:val="en-US"/>
              </w:rPr>
            </w:pPr>
            <w:r w:rsidRPr="006B6A3E">
              <w:rPr>
                <w:rFonts w:eastAsia="Times New Roman"/>
                <w:bCs/>
                <w:color w:val="000000"/>
                <w:sz w:val="24"/>
                <w:szCs w:val="24"/>
                <w:lang w:val="en-US"/>
              </w:rPr>
              <w:t>72,09</w:t>
            </w:r>
          </w:p>
        </w:tc>
        <w:tc>
          <w:tcPr>
            <w:tcW w:w="1560"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lang w:val="en-US"/>
              </w:rPr>
            </w:pPr>
            <w:r w:rsidRPr="006B6A3E">
              <w:rPr>
                <w:rFonts w:eastAsia="Times New Roman"/>
                <w:bCs/>
                <w:color w:val="000000"/>
                <w:sz w:val="24"/>
                <w:szCs w:val="24"/>
                <w:lang w:val="en-US"/>
              </w:rPr>
              <w:t>74,39</w:t>
            </w:r>
          </w:p>
        </w:tc>
        <w:tc>
          <w:tcPr>
            <w:tcW w:w="1381" w:type="dxa"/>
            <w:tcBorders>
              <w:top w:val="nil"/>
              <w:left w:val="nil"/>
              <w:bottom w:val="single" w:sz="4" w:space="0" w:color="auto"/>
              <w:right w:val="single" w:sz="4" w:space="0" w:color="auto"/>
            </w:tcBorders>
            <w:shd w:val="clear" w:color="auto" w:fill="auto"/>
          </w:tcPr>
          <w:p w:rsidR="006B6A3E" w:rsidRPr="00691330" w:rsidRDefault="006B6A3E" w:rsidP="006B6A3E">
            <w:pPr>
              <w:widowControl w:val="0"/>
              <w:autoSpaceDE w:val="0"/>
              <w:autoSpaceDN w:val="0"/>
              <w:spacing w:line="240" w:lineRule="auto"/>
              <w:ind w:left="171" w:right="155"/>
              <w:jc w:val="center"/>
              <w:rPr>
                <w:rFonts w:eastAsia="Times New Roman"/>
                <w:sz w:val="24"/>
                <w:szCs w:val="24"/>
              </w:rPr>
            </w:pPr>
            <w:r w:rsidRPr="00691330">
              <w:rPr>
                <w:rFonts w:eastAsia="Times New Roman"/>
                <w:sz w:val="24"/>
                <w:szCs w:val="24"/>
              </w:rPr>
              <w:t>0,10</w:t>
            </w:r>
          </w:p>
        </w:tc>
        <w:tc>
          <w:tcPr>
            <w:tcW w:w="1028"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rPr>
            </w:pPr>
            <w:r w:rsidRPr="006B6A3E">
              <w:rPr>
                <w:rFonts w:eastAsia="Times New Roman"/>
                <w:bCs/>
                <w:color w:val="000000"/>
                <w:sz w:val="24"/>
                <w:szCs w:val="24"/>
              </w:rPr>
              <w:t>399,0</w:t>
            </w:r>
          </w:p>
        </w:tc>
        <w:tc>
          <w:tcPr>
            <w:tcW w:w="993"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rPr>
            </w:pPr>
            <w:r w:rsidRPr="006B6A3E">
              <w:rPr>
                <w:rFonts w:eastAsia="Times New Roman"/>
                <w:bCs/>
                <w:color w:val="000000"/>
                <w:sz w:val="24"/>
                <w:szCs w:val="24"/>
              </w:rPr>
              <w:t>398,0</w:t>
            </w:r>
          </w:p>
        </w:tc>
        <w:tc>
          <w:tcPr>
            <w:tcW w:w="1240"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lang w:val="en-US"/>
              </w:rPr>
            </w:pPr>
            <w:r w:rsidRPr="006B6A3E">
              <w:rPr>
                <w:rFonts w:eastAsia="Times New Roman"/>
                <w:bCs/>
                <w:color w:val="000000"/>
                <w:sz w:val="24"/>
                <w:szCs w:val="24"/>
                <w:lang w:val="en-US"/>
              </w:rPr>
              <w:t>- 0,25</w:t>
            </w:r>
          </w:p>
        </w:tc>
      </w:tr>
      <w:tr w:rsidR="006B6A3E" w:rsidRPr="006B6A3E" w:rsidTr="006E3A91">
        <w:trPr>
          <w:trHeight w:val="210"/>
          <w:jc w:val="center"/>
        </w:trPr>
        <w:tc>
          <w:tcPr>
            <w:tcW w:w="3688" w:type="dxa"/>
            <w:tcBorders>
              <w:top w:val="single" w:sz="4" w:space="0" w:color="auto"/>
              <w:left w:val="single" w:sz="4" w:space="0" w:color="auto"/>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left"/>
              <w:rPr>
                <w:rFonts w:eastAsia="Times New Roman"/>
                <w:bCs/>
                <w:color w:val="000000"/>
                <w:sz w:val="24"/>
                <w:szCs w:val="24"/>
              </w:rPr>
            </w:pPr>
            <w:r w:rsidRPr="006B6A3E">
              <w:rPr>
                <w:rFonts w:eastAsia="Times New Roman"/>
                <w:bCs/>
                <w:color w:val="000000"/>
                <w:sz w:val="24"/>
                <w:szCs w:val="24"/>
              </w:rPr>
              <w:t>Лікар-уролог</w:t>
            </w:r>
            <w:r w:rsidRPr="006B6A3E">
              <w:rPr>
                <w:rFonts w:eastAsia="Times New Roman"/>
                <w:sz w:val="24"/>
                <w:szCs w:val="24"/>
              </w:rPr>
              <w:t xml:space="preserve"> </w:t>
            </w:r>
            <w:r w:rsidRPr="006B6A3E">
              <w:rPr>
                <w:rFonts w:eastAsia="Times New Roman"/>
                <w:bCs/>
                <w:color w:val="000000"/>
                <w:sz w:val="24"/>
                <w:szCs w:val="24"/>
              </w:rPr>
              <w:t>дитячий</w:t>
            </w:r>
          </w:p>
        </w:tc>
        <w:tc>
          <w:tcPr>
            <w:tcW w:w="1559"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lang w:val="en-US"/>
              </w:rPr>
            </w:pPr>
            <w:r w:rsidRPr="006B6A3E">
              <w:rPr>
                <w:rFonts w:eastAsia="Times New Roman"/>
                <w:bCs/>
                <w:color w:val="000000"/>
                <w:sz w:val="24"/>
                <w:szCs w:val="24"/>
                <w:lang w:val="en-US"/>
              </w:rPr>
              <w:t>86,01</w:t>
            </w:r>
          </w:p>
        </w:tc>
        <w:tc>
          <w:tcPr>
            <w:tcW w:w="1701"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lang w:val="en-US"/>
              </w:rPr>
            </w:pPr>
            <w:r w:rsidRPr="006B6A3E">
              <w:rPr>
                <w:rFonts w:eastAsia="Times New Roman"/>
                <w:bCs/>
                <w:color w:val="000000"/>
                <w:sz w:val="24"/>
                <w:szCs w:val="24"/>
                <w:lang w:val="en-US"/>
              </w:rPr>
              <w:t>88,49</w:t>
            </w:r>
          </w:p>
        </w:tc>
        <w:tc>
          <w:tcPr>
            <w:tcW w:w="1559"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lang w:val="en-US"/>
              </w:rPr>
            </w:pPr>
            <w:r w:rsidRPr="006B6A3E">
              <w:rPr>
                <w:rFonts w:eastAsia="Times New Roman"/>
                <w:bCs/>
                <w:color w:val="000000"/>
                <w:sz w:val="24"/>
                <w:szCs w:val="24"/>
                <w:lang w:val="en-US"/>
              </w:rPr>
              <w:t>67,13</w:t>
            </w:r>
          </w:p>
        </w:tc>
        <w:tc>
          <w:tcPr>
            <w:tcW w:w="1560"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lang w:val="en-US"/>
              </w:rPr>
            </w:pPr>
            <w:r w:rsidRPr="006B6A3E">
              <w:rPr>
                <w:rFonts w:eastAsia="Times New Roman"/>
                <w:bCs/>
                <w:color w:val="000000"/>
                <w:sz w:val="24"/>
                <w:szCs w:val="24"/>
                <w:lang w:val="en-US"/>
              </w:rPr>
              <w:t>73,66</w:t>
            </w:r>
          </w:p>
        </w:tc>
        <w:tc>
          <w:tcPr>
            <w:tcW w:w="1381" w:type="dxa"/>
            <w:tcBorders>
              <w:top w:val="nil"/>
              <w:left w:val="nil"/>
              <w:bottom w:val="single" w:sz="4" w:space="0" w:color="auto"/>
              <w:right w:val="single" w:sz="4" w:space="0" w:color="auto"/>
            </w:tcBorders>
            <w:shd w:val="clear" w:color="auto" w:fill="auto"/>
          </w:tcPr>
          <w:p w:rsidR="006B6A3E" w:rsidRPr="00691330" w:rsidRDefault="006B6A3E" w:rsidP="006B6A3E">
            <w:pPr>
              <w:widowControl w:val="0"/>
              <w:autoSpaceDE w:val="0"/>
              <w:autoSpaceDN w:val="0"/>
              <w:spacing w:line="240" w:lineRule="auto"/>
              <w:ind w:left="171" w:right="155"/>
              <w:jc w:val="center"/>
              <w:rPr>
                <w:rFonts w:eastAsia="Times New Roman"/>
                <w:sz w:val="24"/>
                <w:szCs w:val="24"/>
              </w:rPr>
            </w:pPr>
            <w:r w:rsidRPr="00691330">
              <w:rPr>
                <w:rFonts w:eastAsia="Times New Roman"/>
                <w:sz w:val="24"/>
                <w:szCs w:val="24"/>
              </w:rPr>
              <w:t>0,02</w:t>
            </w:r>
          </w:p>
        </w:tc>
        <w:tc>
          <w:tcPr>
            <w:tcW w:w="1028"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rPr>
            </w:pPr>
            <w:r w:rsidRPr="006B6A3E">
              <w:rPr>
                <w:rFonts w:eastAsia="Times New Roman"/>
                <w:bCs/>
                <w:color w:val="000000"/>
                <w:sz w:val="24"/>
                <w:szCs w:val="24"/>
              </w:rPr>
              <w:t>72,0</w:t>
            </w:r>
          </w:p>
        </w:tc>
        <w:tc>
          <w:tcPr>
            <w:tcW w:w="993"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rPr>
            </w:pPr>
            <w:r w:rsidRPr="006B6A3E">
              <w:rPr>
                <w:rFonts w:eastAsia="Times New Roman"/>
                <w:bCs/>
                <w:color w:val="000000"/>
                <w:sz w:val="24"/>
                <w:szCs w:val="24"/>
              </w:rPr>
              <w:t>72,0</w:t>
            </w:r>
          </w:p>
        </w:tc>
        <w:tc>
          <w:tcPr>
            <w:tcW w:w="1240"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lang w:val="en-US"/>
              </w:rPr>
            </w:pPr>
            <w:r w:rsidRPr="006B6A3E">
              <w:rPr>
                <w:rFonts w:eastAsia="Times New Roman"/>
                <w:bCs/>
                <w:color w:val="000000"/>
                <w:sz w:val="24"/>
                <w:szCs w:val="24"/>
                <w:lang w:val="en-US"/>
              </w:rPr>
              <w:t>-</w:t>
            </w:r>
          </w:p>
        </w:tc>
      </w:tr>
      <w:tr w:rsidR="006B6A3E" w:rsidRPr="006B6A3E" w:rsidTr="006E3A91">
        <w:trPr>
          <w:trHeight w:val="210"/>
          <w:jc w:val="center"/>
        </w:trPr>
        <w:tc>
          <w:tcPr>
            <w:tcW w:w="3688" w:type="dxa"/>
            <w:tcBorders>
              <w:top w:val="single" w:sz="4" w:space="0" w:color="auto"/>
              <w:left w:val="single" w:sz="4" w:space="0" w:color="auto"/>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left"/>
              <w:rPr>
                <w:rFonts w:eastAsia="Times New Roman"/>
                <w:bCs/>
                <w:color w:val="000000"/>
                <w:sz w:val="24"/>
                <w:szCs w:val="24"/>
              </w:rPr>
            </w:pPr>
            <w:r w:rsidRPr="006B6A3E">
              <w:rPr>
                <w:rFonts w:eastAsia="Times New Roman"/>
                <w:bCs/>
                <w:color w:val="000000"/>
                <w:sz w:val="24"/>
                <w:szCs w:val="24"/>
              </w:rPr>
              <w:t>Лікар-нейрохірург</w:t>
            </w:r>
            <w:r w:rsidRPr="006B6A3E">
              <w:rPr>
                <w:rFonts w:eastAsia="Times New Roman"/>
                <w:sz w:val="24"/>
                <w:szCs w:val="24"/>
              </w:rPr>
              <w:t xml:space="preserve"> </w:t>
            </w:r>
            <w:r w:rsidRPr="006B6A3E">
              <w:rPr>
                <w:rFonts w:eastAsia="Times New Roman"/>
                <w:bCs/>
                <w:color w:val="000000"/>
                <w:sz w:val="24"/>
                <w:szCs w:val="24"/>
              </w:rPr>
              <w:t>дитячий</w:t>
            </w:r>
          </w:p>
        </w:tc>
        <w:tc>
          <w:tcPr>
            <w:tcW w:w="1559"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lang w:val="en-US"/>
              </w:rPr>
            </w:pPr>
            <w:r w:rsidRPr="006B6A3E">
              <w:rPr>
                <w:rFonts w:eastAsia="Times New Roman"/>
                <w:bCs/>
                <w:color w:val="000000"/>
                <w:sz w:val="24"/>
                <w:szCs w:val="24"/>
                <w:lang w:val="en-US"/>
              </w:rPr>
              <w:t>81,50</w:t>
            </w:r>
          </w:p>
        </w:tc>
        <w:tc>
          <w:tcPr>
            <w:tcW w:w="1701"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lang w:val="en-US"/>
              </w:rPr>
            </w:pPr>
            <w:r w:rsidRPr="006B6A3E">
              <w:rPr>
                <w:rFonts w:eastAsia="Times New Roman"/>
                <w:bCs/>
                <w:color w:val="000000"/>
                <w:sz w:val="24"/>
                <w:szCs w:val="24"/>
                <w:lang w:val="en-US"/>
              </w:rPr>
              <w:t>89,67</w:t>
            </w:r>
          </w:p>
        </w:tc>
        <w:tc>
          <w:tcPr>
            <w:tcW w:w="1559"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lang w:val="en-US"/>
              </w:rPr>
            </w:pPr>
            <w:r w:rsidRPr="006B6A3E">
              <w:rPr>
                <w:rFonts w:eastAsia="Times New Roman"/>
                <w:bCs/>
                <w:color w:val="000000"/>
                <w:sz w:val="24"/>
                <w:szCs w:val="24"/>
                <w:lang w:val="en-US"/>
              </w:rPr>
              <w:t>67,49</w:t>
            </w:r>
          </w:p>
        </w:tc>
        <w:tc>
          <w:tcPr>
            <w:tcW w:w="1560"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lang w:val="en-US"/>
              </w:rPr>
            </w:pPr>
            <w:r w:rsidRPr="006B6A3E">
              <w:rPr>
                <w:rFonts w:eastAsia="Times New Roman"/>
                <w:bCs/>
                <w:color w:val="000000"/>
                <w:sz w:val="24"/>
                <w:szCs w:val="24"/>
                <w:lang w:val="en-US"/>
              </w:rPr>
              <w:t>69,37</w:t>
            </w:r>
          </w:p>
        </w:tc>
        <w:tc>
          <w:tcPr>
            <w:tcW w:w="1381" w:type="dxa"/>
            <w:tcBorders>
              <w:top w:val="nil"/>
              <w:left w:val="nil"/>
              <w:bottom w:val="single" w:sz="4" w:space="0" w:color="auto"/>
              <w:right w:val="single" w:sz="4" w:space="0" w:color="auto"/>
            </w:tcBorders>
            <w:shd w:val="clear" w:color="auto" w:fill="auto"/>
          </w:tcPr>
          <w:p w:rsidR="006B6A3E" w:rsidRPr="00691330" w:rsidRDefault="006B6A3E" w:rsidP="006B6A3E">
            <w:pPr>
              <w:widowControl w:val="0"/>
              <w:autoSpaceDE w:val="0"/>
              <w:autoSpaceDN w:val="0"/>
              <w:spacing w:line="240" w:lineRule="auto"/>
              <w:jc w:val="center"/>
              <w:rPr>
                <w:rFonts w:eastAsia="Times New Roman"/>
                <w:bCs/>
                <w:sz w:val="24"/>
                <w:szCs w:val="24"/>
              </w:rPr>
            </w:pPr>
            <w:r w:rsidRPr="00691330">
              <w:rPr>
                <w:rFonts w:eastAsia="Times New Roman"/>
                <w:bCs/>
                <w:sz w:val="24"/>
                <w:szCs w:val="24"/>
              </w:rPr>
              <w:t>0,01</w:t>
            </w:r>
          </w:p>
        </w:tc>
        <w:tc>
          <w:tcPr>
            <w:tcW w:w="1028"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rPr>
            </w:pPr>
            <w:r w:rsidRPr="006B6A3E">
              <w:rPr>
                <w:rFonts w:eastAsia="Times New Roman"/>
                <w:bCs/>
                <w:color w:val="000000"/>
                <w:sz w:val="24"/>
                <w:szCs w:val="24"/>
              </w:rPr>
              <w:t>41,0</w:t>
            </w:r>
          </w:p>
        </w:tc>
        <w:tc>
          <w:tcPr>
            <w:tcW w:w="993"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rPr>
            </w:pPr>
            <w:r w:rsidRPr="006B6A3E">
              <w:rPr>
                <w:rFonts w:eastAsia="Times New Roman"/>
                <w:bCs/>
                <w:color w:val="000000"/>
                <w:sz w:val="24"/>
                <w:szCs w:val="24"/>
              </w:rPr>
              <w:t>47,0</w:t>
            </w:r>
          </w:p>
        </w:tc>
        <w:tc>
          <w:tcPr>
            <w:tcW w:w="1240"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lang w:val="en-US"/>
              </w:rPr>
            </w:pPr>
            <w:r w:rsidRPr="006B6A3E">
              <w:rPr>
                <w:rFonts w:eastAsia="Times New Roman"/>
                <w:bCs/>
                <w:color w:val="000000"/>
                <w:sz w:val="24"/>
                <w:szCs w:val="24"/>
                <w:lang w:val="en-US"/>
              </w:rPr>
              <w:t>+ 14,63</w:t>
            </w:r>
          </w:p>
        </w:tc>
      </w:tr>
      <w:tr w:rsidR="006B6A3E" w:rsidRPr="006B6A3E" w:rsidTr="006E3A91">
        <w:trPr>
          <w:trHeight w:val="210"/>
          <w:jc w:val="center"/>
        </w:trPr>
        <w:tc>
          <w:tcPr>
            <w:tcW w:w="3688" w:type="dxa"/>
            <w:tcBorders>
              <w:top w:val="single" w:sz="4" w:space="0" w:color="auto"/>
              <w:left w:val="single" w:sz="4" w:space="0" w:color="auto"/>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left"/>
              <w:rPr>
                <w:rFonts w:eastAsia="Times New Roman"/>
                <w:bCs/>
                <w:color w:val="000000"/>
                <w:sz w:val="24"/>
                <w:szCs w:val="24"/>
              </w:rPr>
            </w:pPr>
            <w:r w:rsidRPr="006B6A3E">
              <w:rPr>
                <w:rFonts w:eastAsia="Times New Roman"/>
                <w:bCs/>
                <w:color w:val="000000"/>
                <w:sz w:val="24"/>
                <w:szCs w:val="24"/>
              </w:rPr>
              <w:t>Лікар-анестезіолог</w:t>
            </w:r>
            <w:r w:rsidRPr="006B6A3E">
              <w:rPr>
                <w:rFonts w:eastAsia="Times New Roman"/>
                <w:sz w:val="24"/>
                <w:szCs w:val="24"/>
              </w:rPr>
              <w:t xml:space="preserve"> </w:t>
            </w:r>
            <w:r w:rsidRPr="006B6A3E">
              <w:rPr>
                <w:rFonts w:eastAsia="Times New Roman"/>
                <w:bCs/>
                <w:color w:val="000000"/>
                <w:sz w:val="24"/>
                <w:szCs w:val="24"/>
              </w:rPr>
              <w:t>дитячий</w:t>
            </w:r>
          </w:p>
        </w:tc>
        <w:tc>
          <w:tcPr>
            <w:tcW w:w="1559"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lang w:val="en-US"/>
              </w:rPr>
            </w:pPr>
            <w:r w:rsidRPr="006B6A3E">
              <w:rPr>
                <w:rFonts w:eastAsia="Times New Roman"/>
                <w:bCs/>
                <w:color w:val="000000"/>
                <w:sz w:val="24"/>
                <w:szCs w:val="24"/>
                <w:lang w:val="en-US"/>
              </w:rPr>
              <w:t>84,02</w:t>
            </w:r>
          </w:p>
        </w:tc>
        <w:tc>
          <w:tcPr>
            <w:tcW w:w="1701"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lang w:val="en-US"/>
              </w:rPr>
            </w:pPr>
            <w:r w:rsidRPr="006B6A3E">
              <w:rPr>
                <w:rFonts w:eastAsia="Times New Roman"/>
                <w:bCs/>
                <w:color w:val="000000"/>
                <w:sz w:val="24"/>
                <w:szCs w:val="24"/>
                <w:lang w:val="en-US"/>
              </w:rPr>
              <w:t>87,51</w:t>
            </w:r>
          </w:p>
        </w:tc>
        <w:tc>
          <w:tcPr>
            <w:tcW w:w="1559"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lang w:val="en-US"/>
              </w:rPr>
            </w:pPr>
            <w:r w:rsidRPr="006B6A3E">
              <w:rPr>
                <w:rFonts w:eastAsia="Times New Roman"/>
                <w:bCs/>
                <w:color w:val="000000"/>
                <w:sz w:val="24"/>
                <w:szCs w:val="24"/>
                <w:lang w:val="en-US"/>
              </w:rPr>
              <w:t>63,77</w:t>
            </w:r>
          </w:p>
        </w:tc>
        <w:tc>
          <w:tcPr>
            <w:tcW w:w="1560"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lang w:val="en-US"/>
              </w:rPr>
            </w:pPr>
            <w:r w:rsidRPr="006B6A3E">
              <w:rPr>
                <w:rFonts w:eastAsia="Times New Roman"/>
                <w:bCs/>
                <w:color w:val="000000"/>
                <w:sz w:val="24"/>
                <w:szCs w:val="24"/>
                <w:lang w:val="en-US"/>
              </w:rPr>
              <w:t>67,95</w:t>
            </w:r>
          </w:p>
        </w:tc>
        <w:tc>
          <w:tcPr>
            <w:tcW w:w="1381" w:type="dxa"/>
            <w:tcBorders>
              <w:top w:val="nil"/>
              <w:left w:val="nil"/>
              <w:bottom w:val="single" w:sz="4" w:space="0" w:color="auto"/>
              <w:right w:val="single" w:sz="4" w:space="0" w:color="auto"/>
            </w:tcBorders>
            <w:shd w:val="clear" w:color="auto" w:fill="auto"/>
          </w:tcPr>
          <w:p w:rsidR="006B6A3E" w:rsidRPr="00691330" w:rsidRDefault="006B6A3E" w:rsidP="006B6A3E">
            <w:pPr>
              <w:widowControl w:val="0"/>
              <w:autoSpaceDE w:val="0"/>
              <w:autoSpaceDN w:val="0"/>
              <w:spacing w:line="240" w:lineRule="auto"/>
              <w:jc w:val="center"/>
              <w:rPr>
                <w:rFonts w:eastAsia="Times New Roman"/>
                <w:bCs/>
                <w:sz w:val="24"/>
                <w:szCs w:val="24"/>
              </w:rPr>
            </w:pPr>
            <w:r w:rsidRPr="00691330">
              <w:rPr>
                <w:rFonts w:eastAsia="Times New Roman"/>
                <w:bCs/>
                <w:sz w:val="24"/>
                <w:szCs w:val="24"/>
              </w:rPr>
              <w:t>0,28</w:t>
            </w:r>
          </w:p>
        </w:tc>
        <w:tc>
          <w:tcPr>
            <w:tcW w:w="1028"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rPr>
            </w:pPr>
            <w:r w:rsidRPr="006B6A3E">
              <w:rPr>
                <w:rFonts w:eastAsia="Times New Roman"/>
                <w:bCs/>
                <w:color w:val="000000"/>
                <w:sz w:val="24"/>
                <w:szCs w:val="24"/>
              </w:rPr>
              <w:t>1111,0</w:t>
            </w:r>
          </w:p>
        </w:tc>
        <w:tc>
          <w:tcPr>
            <w:tcW w:w="993"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rPr>
            </w:pPr>
            <w:r w:rsidRPr="006B6A3E">
              <w:rPr>
                <w:rFonts w:eastAsia="Times New Roman"/>
                <w:bCs/>
                <w:color w:val="000000"/>
                <w:sz w:val="24"/>
                <w:szCs w:val="24"/>
              </w:rPr>
              <w:t>1126,0</w:t>
            </w:r>
          </w:p>
        </w:tc>
        <w:tc>
          <w:tcPr>
            <w:tcW w:w="1240"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lang w:val="en-US"/>
              </w:rPr>
            </w:pPr>
            <w:r w:rsidRPr="006B6A3E">
              <w:rPr>
                <w:rFonts w:eastAsia="Times New Roman"/>
                <w:bCs/>
                <w:color w:val="000000"/>
                <w:sz w:val="24"/>
                <w:szCs w:val="24"/>
                <w:lang w:val="en-US"/>
              </w:rPr>
              <w:t>+1,35</w:t>
            </w:r>
          </w:p>
        </w:tc>
      </w:tr>
      <w:tr w:rsidR="006B6A3E" w:rsidRPr="006B6A3E" w:rsidTr="006E3A91">
        <w:trPr>
          <w:trHeight w:val="210"/>
          <w:jc w:val="center"/>
        </w:trPr>
        <w:tc>
          <w:tcPr>
            <w:tcW w:w="3688" w:type="dxa"/>
            <w:tcBorders>
              <w:top w:val="single" w:sz="4" w:space="0" w:color="auto"/>
              <w:left w:val="single" w:sz="4" w:space="0" w:color="auto"/>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left"/>
              <w:rPr>
                <w:rFonts w:eastAsia="Times New Roman"/>
                <w:bCs/>
                <w:color w:val="000000"/>
                <w:sz w:val="24"/>
                <w:szCs w:val="24"/>
              </w:rPr>
            </w:pPr>
            <w:r w:rsidRPr="006B6A3E">
              <w:rPr>
                <w:rFonts w:eastAsia="Times New Roman"/>
                <w:bCs/>
                <w:color w:val="000000"/>
                <w:sz w:val="24"/>
                <w:szCs w:val="24"/>
              </w:rPr>
              <w:t>Лікар-онколог</w:t>
            </w:r>
            <w:r w:rsidRPr="006B6A3E">
              <w:rPr>
                <w:rFonts w:eastAsia="Times New Roman"/>
                <w:sz w:val="24"/>
                <w:szCs w:val="24"/>
              </w:rPr>
              <w:t xml:space="preserve"> </w:t>
            </w:r>
            <w:r w:rsidRPr="006B6A3E">
              <w:rPr>
                <w:rFonts w:eastAsia="Times New Roman"/>
                <w:bCs/>
                <w:color w:val="000000"/>
                <w:sz w:val="24"/>
                <w:szCs w:val="24"/>
              </w:rPr>
              <w:t>дитячий</w:t>
            </w:r>
          </w:p>
        </w:tc>
        <w:tc>
          <w:tcPr>
            <w:tcW w:w="1559"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lang w:val="en-US"/>
              </w:rPr>
            </w:pPr>
            <w:r w:rsidRPr="006B6A3E">
              <w:rPr>
                <w:rFonts w:eastAsia="Times New Roman"/>
                <w:bCs/>
                <w:color w:val="000000"/>
                <w:sz w:val="24"/>
                <w:szCs w:val="24"/>
                <w:lang w:val="en-US"/>
              </w:rPr>
              <w:t>87,12</w:t>
            </w:r>
          </w:p>
        </w:tc>
        <w:tc>
          <w:tcPr>
            <w:tcW w:w="1701"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lang w:val="en-US"/>
              </w:rPr>
            </w:pPr>
            <w:r w:rsidRPr="006B6A3E">
              <w:rPr>
                <w:rFonts w:eastAsia="Times New Roman"/>
                <w:bCs/>
                <w:color w:val="000000"/>
                <w:sz w:val="24"/>
                <w:szCs w:val="24"/>
                <w:lang w:val="en-US"/>
              </w:rPr>
              <w:t>90,23</w:t>
            </w:r>
          </w:p>
        </w:tc>
        <w:tc>
          <w:tcPr>
            <w:tcW w:w="1559"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lang w:val="en-US"/>
              </w:rPr>
            </w:pPr>
            <w:r w:rsidRPr="006B6A3E">
              <w:rPr>
                <w:rFonts w:eastAsia="Times New Roman"/>
                <w:bCs/>
                <w:color w:val="000000"/>
                <w:sz w:val="24"/>
                <w:szCs w:val="24"/>
                <w:lang w:val="en-US"/>
              </w:rPr>
              <w:t>66,26</w:t>
            </w:r>
          </w:p>
        </w:tc>
        <w:tc>
          <w:tcPr>
            <w:tcW w:w="1560"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lang w:val="en-US"/>
              </w:rPr>
            </w:pPr>
            <w:r w:rsidRPr="006B6A3E">
              <w:rPr>
                <w:rFonts w:eastAsia="Times New Roman"/>
                <w:bCs/>
                <w:color w:val="000000"/>
                <w:sz w:val="24"/>
                <w:szCs w:val="24"/>
                <w:lang w:val="en-US"/>
              </w:rPr>
              <w:t>66,67</w:t>
            </w:r>
          </w:p>
        </w:tc>
        <w:tc>
          <w:tcPr>
            <w:tcW w:w="1381" w:type="dxa"/>
            <w:tcBorders>
              <w:top w:val="nil"/>
              <w:left w:val="nil"/>
              <w:bottom w:val="single" w:sz="4" w:space="0" w:color="auto"/>
              <w:right w:val="single" w:sz="4" w:space="0" w:color="auto"/>
            </w:tcBorders>
            <w:shd w:val="clear" w:color="auto" w:fill="auto"/>
          </w:tcPr>
          <w:p w:rsidR="006B6A3E" w:rsidRPr="00691330" w:rsidRDefault="006B6A3E" w:rsidP="006B6A3E">
            <w:pPr>
              <w:widowControl w:val="0"/>
              <w:autoSpaceDE w:val="0"/>
              <w:autoSpaceDN w:val="0"/>
              <w:spacing w:line="240" w:lineRule="auto"/>
              <w:jc w:val="center"/>
              <w:rPr>
                <w:rFonts w:eastAsia="Times New Roman"/>
                <w:bCs/>
                <w:sz w:val="24"/>
                <w:szCs w:val="24"/>
              </w:rPr>
            </w:pPr>
            <w:r w:rsidRPr="00691330">
              <w:rPr>
                <w:rFonts w:eastAsia="Times New Roman"/>
                <w:bCs/>
                <w:sz w:val="24"/>
                <w:szCs w:val="24"/>
              </w:rPr>
              <w:t>0,01</w:t>
            </w:r>
          </w:p>
        </w:tc>
        <w:tc>
          <w:tcPr>
            <w:tcW w:w="1028"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rPr>
            </w:pPr>
            <w:r w:rsidRPr="006B6A3E">
              <w:rPr>
                <w:rFonts w:eastAsia="Times New Roman"/>
                <w:bCs/>
                <w:color w:val="000000"/>
                <w:sz w:val="24"/>
                <w:szCs w:val="24"/>
              </w:rPr>
              <w:t>27,0</w:t>
            </w:r>
          </w:p>
        </w:tc>
        <w:tc>
          <w:tcPr>
            <w:tcW w:w="993"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rPr>
            </w:pPr>
            <w:r w:rsidRPr="006B6A3E">
              <w:rPr>
                <w:rFonts w:eastAsia="Times New Roman"/>
                <w:bCs/>
                <w:color w:val="000000"/>
                <w:sz w:val="24"/>
                <w:szCs w:val="24"/>
              </w:rPr>
              <w:t>29,0</w:t>
            </w:r>
          </w:p>
        </w:tc>
        <w:tc>
          <w:tcPr>
            <w:tcW w:w="1240"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lang w:val="en-US"/>
              </w:rPr>
            </w:pPr>
            <w:r w:rsidRPr="006B6A3E">
              <w:rPr>
                <w:rFonts w:eastAsia="Times New Roman"/>
                <w:bCs/>
                <w:color w:val="000000"/>
                <w:sz w:val="24"/>
                <w:szCs w:val="24"/>
                <w:lang w:val="en-US"/>
              </w:rPr>
              <w:t>+7,4</w:t>
            </w:r>
          </w:p>
        </w:tc>
      </w:tr>
      <w:tr w:rsidR="006B6A3E" w:rsidRPr="006B6A3E" w:rsidTr="006E3A91">
        <w:trPr>
          <w:trHeight w:val="210"/>
          <w:jc w:val="center"/>
        </w:trPr>
        <w:tc>
          <w:tcPr>
            <w:tcW w:w="3688" w:type="dxa"/>
            <w:tcBorders>
              <w:top w:val="single" w:sz="4" w:space="0" w:color="auto"/>
              <w:left w:val="single" w:sz="4" w:space="0" w:color="auto"/>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left"/>
              <w:rPr>
                <w:rFonts w:eastAsia="Times New Roman"/>
                <w:bCs/>
                <w:color w:val="000000"/>
                <w:sz w:val="24"/>
                <w:szCs w:val="24"/>
              </w:rPr>
            </w:pPr>
            <w:r w:rsidRPr="006B6A3E">
              <w:rPr>
                <w:rFonts w:eastAsia="Times New Roman"/>
                <w:bCs/>
                <w:color w:val="000000"/>
                <w:sz w:val="24"/>
                <w:szCs w:val="24"/>
              </w:rPr>
              <w:t>Лікар-стоматолог</w:t>
            </w:r>
            <w:r w:rsidRPr="006B6A3E">
              <w:rPr>
                <w:rFonts w:eastAsia="Times New Roman"/>
                <w:sz w:val="24"/>
                <w:szCs w:val="24"/>
              </w:rPr>
              <w:t xml:space="preserve"> </w:t>
            </w:r>
            <w:r w:rsidRPr="006B6A3E">
              <w:rPr>
                <w:rFonts w:eastAsia="Times New Roman"/>
                <w:bCs/>
                <w:color w:val="000000"/>
                <w:sz w:val="24"/>
                <w:szCs w:val="24"/>
              </w:rPr>
              <w:t>дитячий</w:t>
            </w:r>
          </w:p>
        </w:tc>
        <w:tc>
          <w:tcPr>
            <w:tcW w:w="1559"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lang w:val="en-US"/>
              </w:rPr>
            </w:pPr>
            <w:r w:rsidRPr="006B6A3E">
              <w:rPr>
                <w:rFonts w:eastAsia="Times New Roman"/>
                <w:bCs/>
                <w:color w:val="000000"/>
                <w:sz w:val="24"/>
                <w:szCs w:val="24"/>
                <w:lang w:val="en-US"/>
              </w:rPr>
              <w:t>92,72</w:t>
            </w:r>
          </w:p>
        </w:tc>
        <w:tc>
          <w:tcPr>
            <w:tcW w:w="1701"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lang w:val="en-US"/>
              </w:rPr>
            </w:pPr>
            <w:r w:rsidRPr="006B6A3E">
              <w:rPr>
                <w:rFonts w:eastAsia="Times New Roman"/>
                <w:bCs/>
                <w:color w:val="000000"/>
                <w:sz w:val="24"/>
                <w:szCs w:val="24"/>
                <w:lang w:val="en-US"/>
              </w:rPr>
              <w:t>91,83</w:t>
            </w:r>
          </w:p>
        </w:tc>
        <w:tc>
          <w:tcPr>
            <w:tcW w:w="1559"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lang w:val="en-US"/>
              </w:rPr>
            </w:pPr>
            <w:r w:rsidRPr="006B6A3E">
              <w:rPr>
                <w:rFonts w:eastAsia="Times New Roman"/>
                <w:bCs/>
                <w:color w:val="000000"/>
                <w:sz w:val="24"/>
                <w:szCs w:val="24"/>
                <w:lang w:val="en-US"/>
              </w:rPr>
              <w:t>97,56</w:t>
            </w:r>
          </w:p>
        </w:tc>
        <w:tc>
          <w:tcPr>
            <w:tcW w:w="1560"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lang w:val="en-US"/>
              </w:rPr>
            </w:pPr>
            <w:r w:rsidRPr="006B6A3E">
              <w:rPr>
                <w:rFonts w:eastAsia="Times New Roman"/>
                <w:bCs/>
                <w:color w:val="000000"/>
                <w:sz w:val="24"/>
                <w:szCs w:val="24"/>
                <w:lang w:val="en-US"/>
              </w:rPr>
              <w:t>93,85</w:t>
            </w:r>
          </w:p>
        </w:tc>
        <w:tc>
          <w:tcPr>
            <w:tcW w:w="1381" w:type="dxa"/>
            <w:tcBorders>
              <w:top w:val="nil"/>
              <w:left w:val="nil"/>
              <w:bottom w:val="single" w:sz="4" w:space="0" w:color="auto"/>
              <w:right w:val="single" w:sz="4" w:space="0" w:color="auto"/>
            </w:tcBorders>
            <w:shd w:val="clear" w:color="auto" w:fill="auto"/>
          </w:tcPr>
          <w:p w:rsidR="006B6A3E" w:rsidRPr="00691330" w:rsidRDefault="006B6A3E" w:rsidP="006B6A3E">
            <w:pPr>
              <w:widowControl w:val="0"/>
              <w:autoSpaceDE w:val="0"/>
              <w:autoSpaceDN w:val="0"/>
              <w:spacing w:line="240" w:lineRule="auto"/>
              <w:jc w:val="center"/>
              <w:rPr>
                <w:rFonts w:eastAsia="Times New Roman"/>
                <w:bCs/>
                <w:sz w:val="24"/>
                <w:szCs w:val="24"/>
              </w:rPr>
            </w:pPr>
            <w:r w:rsidRPr="00691330">
              <w:rPr>
                <w:rFonts w:eastAsia="Times New Roman"/>
                <w:bCs/>
                <w:sz w:val="24"/>
                <w:szCs w:val="24"/>
              </w:rPr>
              <w:t>0,40</w:t>
            </w:r>
          </w:p>
        </w:tc>
        <w:tc>
          <w:tcPr>
            <w:tcW w:w="1028"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rPr>
            </w:pPr>
            <w:r w:rsidRPr="006B6A3E">
              <w:rPr>
                <w:rFonts w:eastAsia="Times New Roman"/>
                <w:bCs/>
                <w:color w:val="000000"/>
                <w:sz w:val="24"/>
                <w:szCs w:val="24"/>
              </w:rPr>
              <w:t>1629,0</w:t>
            </w:r>
          </w:p>
        </w:tc>
        <w:tc>
          <w:tcPr>
            <w:tcW w:w="993"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rPr>
            </w:pPr>
            <w:r w:rsidRPr="006B6A3E">
              <w:rPr>
                <w:rFonts w:eastAsia="Times New Roman"/>
                <w:bCs/>
                <w:color w:val="000000"/>
                <w:sz w:val="24"/>
                <w:szCs w:val="24"/>
              </w:rPr>
              <w:t>1481,0</w:t>
            </w:r>
          </w:p>
        </w:tc>
        <w:tc>
          <w:tcPr>
            <w:tcW w:w="1240"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lang w:val="en-US"/>
              </w:rPr>
            </w:pPr>
            <w:r w:rsidRPr="006B6A3E">
              <w:rPr>
                <w:rFonts w:eastAsia="Times New Roman"/>
                <w:bCs/>
                <w:color w:val="000000"/>
                <w:sz w:val="24"/>
                <w:szCs w:val="24"/>
                <w:lang w:val="en-US"/>
              </w:rPr>
              <w:t>- 9,08</w:t>
            </w:r>
          </w:p>
        </w:tc>
      </w:tr>
      <w:tr w:rsidR="006B6A3E" w:rsidRPr="006B6A3E" w:rsidTr="006E3A91">
        <w:trPr>
          <w:trHeight w:val="210"/>
          <w:jc w:val="center"/>
        </w:trPr>
        <w:tc>
          <w:tcPr>
            <w:tcW w:w="3688" w:type="dxa"/>
            <w:tcBorders>
              <w:top w:val="single" w:sz="4" w:space="0" w:color="auto"/>
              <w:left w:val="single" w:sz="4" w:space="0" w:color="auto"/>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left"/>
              <w:rPr>
                <w:rFonts w:eastAsia="Times New Roman"/>
                <w:bCs/>
                <w:color w:val="000000"/>
                <w:sz w:val="24"/>
                <w:szCs w:val="24"/>
              </w:rPr>
            </w:pPr>
            <w:r w:rsidRPr="006B6A3E">
              <w:rPr>
                <w:rFonts w:eastAsia="Times New Roman"/>
                <w:bCs/>
                <w:color w:val="000000"/>
                <w:sz w:val="24"/>
                <w:szCs w:val="24"/>
              </w:rPr>
              <w:t>Лікар-гінеколог</w:t>
            </w:r>
            <w:r w:rsidRPr="006B6A3E">
              <w:rPr>
                <w:rFonts w:eastAsia="Times New Roman"/>
                <w:sz w:val="24"/>
                <w:szCs w:val="24"/>
              </w:rPr>
              <w:t xml:space="preserve"> </w:t>
            </w:r>
            <w:r w:rsidRPr="006B6A3E">
              <w:rPr>
                <w:rFonts w:eastAsia="Times New Roman"/>
                <w:bCs/>
                <w:color w:val="000000"/>
                <w:sz w:val="24"/>
                <w:szCs w:val="24"/>
              </w:rPr>
              <w:t>дитячий</w:t>
            </w:r>
          </w:p>
        </w:tc>
        <w:tc>
          <w:tcPr>
            <w:tcW w:w="1559"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lang w:val="en-US"/>
              </w:rPr>
            </w:pPr>
            <w:r w:rsidRPr="006B6A3E">
              <w:rPr>
                <w:rFonts w:eastAsia="Times New Roman"/>
                <w:bCs/>
                <w:color w:val="000000"/>
                <w:sz w:val="24"/>
                <w:szCs w:val="24"/>
                <w:lang w:val="en-US"/>
              </w:rPr>
              <w:t>85,97</w:t>
            </w:r>
          </w:p>
        </w:tc>
        <w:tc>
          <w:tcPr>
            <w:tcW w:w="1701"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lang w:val="en-US"/>
              </w:rPr>
            </w:pPr>
            <w:r w:rsidRPr="006B6A3E">
              <w:rPr>
                <w:rFonts w:eastAsia="Times New Roman"/>
                <w:bCs/>
                <w:color w:val="000000"/>
                <w:sz w:val="24"/>
                <w:szCs w:val="24"/>
                <w:lang w:val="en-US"/>
              </w:rPr>
              <w:t>83,22</w:t>
            </w:r>
          </w:p>
        </w:tc>
        <w:tc>
          <w:tcPr>
            <w:tcW w:w="1559"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lang w:val="en-US"/>
              </w:rPr>
            </w:pPr>
            <w:r w:rsidRPr="006B6A3E">
              <w:rPr>
                <w:rFonts w:eastAsia="Times New Roman"/>
                <w:bCs/>
                <w:color w:val="000000"/>
                <w:sz w:val="24"/>
                <w:szCs w:val="24"/>
                <w:lang w:val="en-US"/>
              </w:rPr>
              <w:t>72,56</w:t>
            </w:r>
          </w:p>
        </w:tc>
        <w:tc>
          <w:tcPr>
            <w:tcW w:w="1560"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lang w:val="en-US"/>
              </w:rPr>
            </w:pPr>
            <w:r w:rsidRPr="006B6A3E">
              <w:rPr>
                <w:rFonts w:eastAsia="Times New Roman"/>
                <w:bCs/>
                <w:color w:val="000000"/>
                <w:sz w:val="24"/>
                <w:szCs w:val="24"/>
                <w:lang w:val="en-US"/>
              </w:rPr>
              <w:t>71,81</w:t>
            </w:r>
          </w:p>
        </w:tc>
        <w:tc>
          <w:tcPr>
            <w:tcW w:w="1381" w:type="dxa"/>
            <w:tcBorders>
              <w:top w:val="nil"/>
              <w:left w:val="nil"/>
              <w:bottom w:val="single" w:sz="4" w:space="0" w:color="auto"/>
              <w:right w:val="single" w:sz="4" w:space="0" w:color="auto"/>
            </w:tcBorders>
            <w:shd w:val="clear" w:color="auto" w:fill="auto"/>
          </w:tcPr>
          <w:p w:rsidR="006B6A3E" w:rsidRPr="00691330" w:rsidRDefault="006B6A3E" w:rsidP="006B6A3E">
            <w:pPr>
              <w:widowControl w:val="0"/>
              <w:autoSpaceDE w:val="0"/>
              <w:autoSpaceDN w:val="0"/>
              <w:spacing w:line="240" w:lineRule="auto"/>
              <w:jc w:val="center"/>
              <w:rPr>
                <w:rFonts w:eastAsia="Times New Roman"/>
                <w:bCs/>
                <w:sz w:val="24"/>
                <w:szCs w:val="24"/>
              </w:rPr>
            </w:pPr>
            <w:r w:rsidRPr="00691330">
              <w:rPr>
                <w:rFonts w:eastAsia="Times New Roman"/>
                <w:bCs/>
                <w:sz w:val="24"/>
                <w:szCs w:val="24"/>
              </w:rPr>
              <w:t>0,06</w:t>
            </w:r>
          </w:p>
        </w:tc>
        <w:tc>
          <w:tcPr>
            <w:tcW w:w="1028"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rPr>
            </w:pPr>
            <w:r w:rsidRPr="006B6A3E">
              <w:rPr>
                <w:rFonts w:eastAsia="Times New Roman"/>
                <w:bCs/>
                <w:color w:val="000000"/>
                <w:sz w:val="24"/>
                <w:szCs w:val="24"/>
              </w:rPr>
              <w:t>234,0</w:t>
            </w:r>
          </w:p>
        </w:tc>
        <w:tc>
          <w:tcPr>
            <w:tcW w:w="993"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rPr>
            </w:pPr>
            <w:r w:rsidRPr="006B6A3E">
              <w:rPr>
                <w:rFonts w:eastAsia="Times New Roman"/>
                <w:bCs/>
                <w:color w:val="000000"/>
                <w:sz w:val="24"/>
                <w:szCs w:val="24"/>
              </w:rPr>
              <w:t>214,0</w:t>
            </w:r>
          </w:p>
        </w:tc>
        <w:tc>
          <w:tcPr>
            <w:tcW w:w="1240"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lang w:val="en-US"/>
              </w:rPr>
            </w:pPr>
            <w:r w:rsidRPr="006B6A3E">
              <w:rPr>
                <w:rFonts w:eastAsia="Times New Roman"/>
                <w:bCs/>
                <w:color w:val="000000"/>
                <w:sz w:val="24"/>
                <w:szCs w:val="24"/>
                <w:lang w:val="en-US"/>
              </w:rPr>
              <w:t>- 8,55</w:t>
            </w:r>
          </w:p>
        </w:tc>
      </w:tr>
      <w:tr w:rsidR="006B6A3E" w:rsidRPr="006B6A3E" w:rsidTr="006E3A91">
        <w:trPr>
          <w:trHeight w:val="210"/>
          <w:jc w:val="center"/>
        </w:trPr>
        <w:tc>
          <w:tcPr>
            <w:tcW w:w="3688" w:type="dxa"/>
            <w:tcBorders>
              <w:top w:val="single" w:sz="4" w:space="0" w:color="auto"/>
              <w:left w:val="single" w:sz="4" w:space="0" w:color="auto"/>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left"/>
              <w:rPr>
                <w:rFonts w:eastAsia="Times New Roman"/>
                <w:bCs/>
                <w:color w:val="000000"/>
                <w:sz w:val="24"/>
                <w:szCs w:val="24"/>
              </w:rPr>
            </w:pPr>
            <w:r w:rsidRPr="006B6A3E">
              <w:rPr>
                <w:rFonts w:eastAsia="Times New Roman"/>
                <w:bCs/>
                <w:color w:val="000000"/>
                <w:sz w:val="24"/>
                <w:szCs w:val="24"/>
              </w:rPr>
              <w:t>Лікар-офтальмолог дитячий</w:t>
            </w:r>
          </w:p>
        </w:tc>
        <w:tc>
          <w:tcPr>
            <w:tcW w:w="1559"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lang w:val="en-US"/>
              </w:rPr>
            </w:pPr>
            <w:r w:rsidRPr="006B6A3E">
              <w:rPr>
                <w:rFonts w:eastAsia="Times New Roman"/>
                <w:bCs/>
                <w:color w:val="000000"/>
                <w:sz w:val="24"/>
                <w:szCs w:val="24"/>
                <w:lang w:val="en-US"/>
              </w:rPr>
              <w:t>86,33</w:t>
            </w:r>
          </w:p>
        </w:tc>
        <w:tc>
          <w:tcPr>
            <w:tcW w:w="1701"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lang w:val="en-US"/>
              </w:rPr>
            </w:pPr>
            <w:r w:rsidRPr="006B6A3E">
              <w:rPr>
                <w:rFonts w:eastAsia="Times New Roman"/>
                <w:bCs/>
                <w:color w:val="000000"/>
                <w:sz w:val="24"/>
                <w:szCs w:val="24"/>
                <w:lang w:val="en-US"/>
              </w:rPr>
              <w:t>81,82</w:t>
            </w:r>
          </w:p>
        </w:tc>
        <w:tc>
          <w:tcPr>
            <w:tcW w:w="1559"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lang w:val="en-US"/>
              </w:rPr>
            </w:pPr>
            <w:r w:rsidRPr="006B6A3E">
              <w:rPr>
                <w:rFonts w:eastAsia="Times New Roman"/>
                <w:bCs/>
                <w:color w:val="000000"/>
                <w:sz w:val="24"/>
                <w:szCs w:val="24"/>
                <w:lang w:val="en-US"/>
              </w:rPr>
              <w:t>78,97</w:t>
            </w:r>
          </w:p>
        </w:tc>
        <w:tc>
          <w:tcPr>
            <w:tcW w:w="1560"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lang w:val="en-US"/>
              </w:rPr>
            </w:pPr>
            <w:r w:rsidRPr="006B6A3E">
              <w:rPr>
                <w:rFonts w:eastAsia="Times New Roman"/>
                <w:bCs/>
                <w:color w:val="000000"/>
                <w:sz w:val="24"/>
                <w:szCs w:val="24"/>
                <w:lang w:val="en-US"/>
              </w:rPr>
              <w:t>73,54</w:t>
            </w:r>
          </w:p>
        </w:tc>
        <w:tc>
          <w:tcPr>
            <w:tcW w:w="1381" w:type="dxa"/>
            <w:tcBorders>
              <w:top w:val="nil"/>
              <w:left w:val="nil"/>
              <w:bottom w:val="single" w:sz="4" w:space="0" w:color="auto"/>
              <w:right w:val="single" w:sz="4" w:space="0" w:color="auto"/>
            </w:tcBorders>
            <w:shd w:val="clear" w:color="auto" w:fill="auto"/>
          </w:tcPr>
          <w:p w:rsidR="006B6A3E" w:rsidRPr="00691330" w:rsidRDefault="006B6A3E" w:rsidP="006B6A3E">
            <w:pPr>
              <w:widowControl w:val="0"/>
              <w:autoSpaceDE w:val="0"/>
              <w:autoSpaceDN w:val="0"/>
              <w:spacing w:line="240" w:lineRule="auto"/>
              <w:jc w:val="center"/>
              <w:rPr>
                <w:rFonts w:eastAsia="Times New Roman"/>
                <w:bCs/>
                <w:sz w:val="24"/>
                <w:szCs w:val="24"/>
              </w:rPr>
            </w:pPr>
            <w:r w:rsidRPr="00691330">
              <w:rPr>
                <w:rFonts w:eastAsia="Times New Roman"/>
                <w:bCs/>
                <w:sz w:val="24"/>
                <w:szCs w:val="24"/>
              </w:rPr>
              <w:t>0,11</w:t>
            </w:r>
          </w:p>
        </w:tc>
        <w:tc>
          <w:tcPr>
            <w:tcW w:w="1028"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rPr>
            </w:pPr>
            <w:r w:rsidRPr="006B6A3E">
              <w:rPr>
                <w:rFonts w:eastAsia="Times New Roman"/>
                <w:bCs/>
                <w:color w:val="000000"/>
                <w:sz w:val="24"/>
                <w:szCs w:val="24"/>
              </w:rPr>
              <w:t>504,0</w:t>
            </w:r>
          </w:p>
        </w:tc>
        <w:tc>
          <w:tcPr>
            <w:tcW w:w="993"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rPr>
            </w:pPr>
            <w:r w:rsidRPr="006B6A3E">
              <w:rPr>
                <w:rFonts w:eastAsia="Times New Roman"/>
                <w:bCs/>
                <w:color w:val="000000"/>
                <w:sz w:val="24"/>
                <w:szCs w:val="24"/>
              </w:rPr>
              <w:t>446,0</w:t>
            </w:r>
          </w:p>
        </w:tc>
        <w:tc>
          <w:tcPr>
            <w:tcW w:w="1240"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lang w:val="en-US"/>
              </w:rPr>
            </w:pPr>
            <w:r w:rsidRPr="006B6A3E">
              <w:rPr>
                <w:rFonts w:eastAsia="Times New Roman"/>
                <w:bCs/>
                <w:color w:val="000000"/>
                <w:sz w:val="24"/>
                <w:szCs w:val="24"/>
                <w:lang w:val="en-US"/>
              </w:rPr>
              <w:t>- 11,51</w:t>
            </w:r>
          </w:p>
        </w:tc>
      </w:tr>
      <w:tr w:rsidR="006B6A3E" w:rsidRPr="006B6A3E" w:rsidTr="006E3A91">
        <w:trPr>
          <w:trHeight w:val="210"/>
          <w:jc w:val="center"/>
        </w:trPr>
        <w:tc>
          <w:tcPr>
            <w:tcW w:w="3688" w:type="dxa"/>
            <w:tcBorders>
              <w:top w:val="single" w:sz="4" w:space="0" w:color="auto"/>
              <w:left w:val="single" w:sz="4" w:space="0" w:color="auto"/>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left"/>
              <w:rPr>
                <w:rFonts w:eastAsia="Times New Roman"/>
                <w:bCs/>
                <w:color w:val="000000"/>
                <w:sz w:val="24"/>
                <w:szCs w:val="24"/>
              </w:rPr>
            </w:pPr>
            <w:r w:rsidRPr="006B6A3E">
              <w:rPr>
                <w:rFonts w:eastAsia="Times New Roman"/>
                <w:bCs/>
                <w:color w:val="000000"/>
                <w:sz w:val="24"/>
                <w:szCs w:val="24"/>
              </w:rPr>
              <w:t>Лікар-отоларинголог</w:t>
            </w:r>
            <w:r w:rsidRPr="006B6A3E">
              <w:rPr>
                <w:rFonts w:eastAsia="Times New Roman"/>
                <w:sz w:val="24"/>
                <w:szCs w:val="24"/>
              </w:rPr>
              <w:t xml:space="preserve"> </w:t>
            </w:r>
            <w:r w:rsidRPr="006B6A3E">
              <w:rPr>
                <w:rFonts w:eastAsia="Times New Roman"/>
                <w:bCs/>
                <w:color w:val="000000"/>
                <w:sz w:val="24"/>
                <w:szCs w:val="24"/>
              </w:rPr>
              <w:t>дитячий</w:t>
            </w:r>
          </w:p>
        </w:tc>
        <w:tc>
          <w:tcPr>
            <w:tcW w:w="1559"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lang w:val="en-US"/>
              </w:rPr>
            </w:pPr>
            <w:r w:rsidRPr="006B6A3E">
              <w:rPr>
                <w:rFonts w:eastAsia="Times New Roman"/>
                <w:bCs/>
                <w:color w:val="000000"/>
                <w:sz w:val="24"/>
                <w:szCs w:val="24"/>
                <w:lang w:val="en-US"/>
              </w:rPr>
              <w:t>90,46</w:t>
            </w:r>
          </w:p>
        </w:tc>
        <w:tc>
          <w:tcPr>
            <w:tcW w:w="1701"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lang w:val="en-US"/>
              </w:rPr>
            </w:pPr>
            <w:r w:rsidRPr="006B6A3E">
              <w:rPr>
                <w:rFonts w:eastAsia="Times New Roman"/>
                <w:bCs/>
                <w:color w:val="000000"/>
                <w:sz w:val="24"/>
                <w:szCs w:val="24"/>
                <w:lang w:val="en-US"/>
              </w:rPr>
              <w:t>90,22</w:t>
            </w:r>
          </w:p>
        </w:tc>
        <w:tc>
          <w:tcPr>
            <w:tcW w:w="1559"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lang w:val="en-US"/>
              </w:rPr>
            </w:pPr>
            <w:r w:rsidRPr="006B6A3E">
              <w:rPr>
                <w:rFonts w:eastAsia="Times New Roman"/>
                <w:bCs/>
                <w:color w:val="000000"/>
                <w:sz w:val="24"/>
                <w:szCs w:val="24"/>
                <w:lang w:val="en-US"/>
              </w:rPr>
              <w:t>80,78</w:t>
            </w:r>
          </w:p>
        </w:tc>
        <w:tc>
          <w:tcPr>
            <w:tcW w:w="1560"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lang w:val="en-US"/>
              </w:rPr>
            </w:pPr>
            <w:r w:rsidRPr="006B6A3E">
              <w:rPr>
                <w:rFonts w:eastAsia="Times New Roman"/>
                <w:bCs/>
                <w:color w:val="000000"/>
                <w:sz w:val="24"/>
                <w:szCs w:val="24"/>
                <w:lang w:val="en-US"/>
              </w:rPr>
              <w:t>82,26</w:t>
            </w:r>
          </w:p>
        </w:tc>
        <w:tc>
          <w:tcPr>
            <w:tcW w:w="1381" w:type="dxa"/>
            <w:tcBorders>
              <w:top w:val="nil"/>
              <w:left w:val="nil"/>
              <w:bottom w:val="single" w:sz="4" w:space="0" w:color="auto"/>
              <w:right w:val="single" w:sz="4" w:space="0" w:color="auto"/>
            </w:tcBorders>
            <w:shd w:val="clear" w:color="auto" w:fill="auto"/>
          </w:tcPr>
          <w:p w:rsidR="006B6A3E" w:rsidRPr="00691330" w:rsidRDefault="006B6A3E" w:rsidP="006B6A3E">
            <w:pPr>
              <w:widowControl w:val="0"/>
              <w:autoSpaceDE w:val="0"/>
              <w:autoSpaceDN w:val="0"/>
              <w:spacing w:line="240" w:lineRule="auto"/>
              <w:jc w:val="center"/>
              <w:rPr>
                <w:rFonts w:eastAsia="Times New Roman"/>
                <w:bCs/>
                <w:sz w:val="24"/>
                <w:szCs w:val="24"/>
              </w:rPr>
            </w:pPr>
            <w:r w:rsidRPr="00691330">
              <w:rPr>
                <w:rFonts w:eastAsia="Times New Roman"/>
                <w:bCs/>
                <w:sz w:val="24"/>
                <w:szCs w:val="24"/>
              </w:rPr>
              <w:t>0,14</w:t>
            </w:r>
          </w:p>
        </w:tc>
        <w:tc>
          <w:tcPr>
            <w:tcW w:w="1028"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rPr>
            </w:pPr>
            <w:r w:rsidRPr="006B6A3E">
              <w:rPr>
                <w:rFonts w:eastAsia="Times New Roman"/>
                <w:bCs/>
                <w:color w:val="000000"/>
                <w:sz w:val="24"/>
                <w:szCs w:val="24"/>
              </w:rPr>
              <w:t>561,0</w:t>
            </w:r>
          </w:p>
        </w:tc>
        <w:tc>
          <w:tcPr>
            <w:tcW w:w="993"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rPr>
            </w:pPr>
            <w:r w:rsidRPr="006B6A3E">
              <w:rPr>
                <w:rFonts w:eastAsia="Times New Roman"/>
                <w:bCs/>
                <w:color w:val="000000"/>
                <w:sz w:val="24"/>
                <w:szCs w:val="24"/>
              </w:rPr>
              <w:t>553,0</w:t>
            </w:r>
          </w:p>
        </w:tc>
        <w:tc>
          <w:tcPr>
            <w:tcW w:w="1240"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lang w:val="en-US"/>
              </w:rPr>
            </w:pPr>
            <w:r w:rsidRPr="006B6A3E">
              <w:rPr>
                <w:rFonts w:eastAsia="Times New Roman"/>
                <w:bCs/>
                <w:color w:val="000000"/>
                <w:sz w:val="24"/>
                <w:szCs w:val="24"/>
                <w:lang w:val="en-US"/>
              </w:rPr>
              <w:t>- 1,42</w:t>
            </w:r>
          </w:p>
        </w:tc>
      </w:tr>
      <w:tr w:rsidR="006B6A3E" w:rsidRPr="006B6A3E" w:rsidTr="006E3A91">
        <w:trPr>
          <w:trHeight w:val="210"/>
          <w:jc w:val="center"/>
        </w:trPr>
        <w:tc>
          <w:tcPr>
            <w:tcW w:w="3688" w:type="dxa"/>
            <w:tcBorders>
              <w:top w:val="single" w:sz="4" w:space="0" w:color="auto"/>
              <w:left w:val="single" w:sz="4" w:space="0" w:color="auto"/>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left"/>
              <w:rPr>
                <w:rFonts w:eastAsia="Times New Roman"/>
                <w:bCs/>
                <w:color w:val="000000"/>
                <w:sz w:val="24"/>
                <w:szCs w:val="24"/>
              </w:rPr>
            </w:pPr>
            <w:r w:rsidRPr="006B6A3E">
              <w:rPr>
                <w:rFonts w:eastAsia="Times New Roman"/>
                <w:bCs/>
                <w:color w:val="000000"/>
                <w:sz w:val="24"/>
                <w:szCs w:val="24"/>
              </w:rPr>
              <w:t>Лікар-фтизіатр</w:t>
            </w:r>
            <w:r w:rsidRPr="006B6A3E">
              <w:rPr>
                <w:rFonts w:eastAsia="Times New Roman"/>
                <w:sz w:val="24"/>
                <w:szCs w:val="24"/>
              </w:rPr>
              <w:t xml:space="preserve"> </w:t>
            </w:r>
            <w:r w:rsidRPr="006B6A3E">
              <w:rPr>
                <w:rFonts w:eastAsia="Times New Roman"/>
                <w:bCs/>
                <w:color w:val="000000"/>
                <w:sz w:val="24"/>
                <w:szCs w:val="24"/>
              </w:rPr>
              <w:t>дитячий</w:t>
            </w:r>
          </w:p>
        </w:tc>
        <w:tc>
          <w:tcPr>
            <w:tcW w:w="1559"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lang w:val="en-US"/>
              </w:rPr>
            </w:pPr>
            <w:r w:rsidRPr="006B6A3E">
              <w:rPr>
                <w:rFonts w:eastAsia="Times New Roman"/>
                <w:bCs/>
                <w:color w:val="000000"/>
                <w:sz w:val="24"/>
                <w:szCs w:val="24"/>
                <w:lang w:val="en-US"/>
              </w:rPr>
              <w:t>87,52</w:t>
            </w:r>
          </w:p>
        </w:tc>
        <w:tc>
          <w:tcPr>
            <w:tcW w:w="1701"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lang w:val="en-US"/>
              </w:rPr>
            </w:pPr>
            <w:r w:rsidRPr="006B6A3E">
              <w:rPr>
                <w:rFonts w:eastAsia="Times New Roman"/>
                <w:bCs/>
                <w:color w:val="000000"/>
                <w:sz w:val="24"/>
                <w:szCs w:val="24"/>
                <w:lang w:val="en-US"/>
              </w:rPr>
              <w:t>85,98</w:t>
            </w:r>
          </w:p>
        </w:tc>
        <w:tc>
          <w:tcPr>
            <w:tcW w:w="1559"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lang w:val="en-US"/>
              </w:rPr>
            </w:pPr>
            <w:r w:rsidRPr="006B6A3E">
              <w:rPr>
                <w:rFonts w:eastAsia="Times New Roman"/>
                <w:bCs/>
                <w:color w:val="000000"/>
                <w:sz w:val="24"/>
                <w:szCs w:val="24"/>
                <w:lang w:val="en-US"/>
              </w:rPr>
              <w:t>69,09</w:t>
            </w:r>
          </w:p>
        </w:tc>
        <w:tc>
          <w:tcPr>
            <w:tcW w:w="1560"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lang w:val="en-US"/>
              </w:rPr>
            </w:pPr>
            <w:r w:rsidRPr="006B6A3E">
              <w:rPr>
                <w:rFonts w:eastAsia="Times New Roman"/>
                <w:bCs/>
                <w:color w:val="000000"/>
                <w:sz w:val="24"/>
                <w:szCs w:val="24"/>
                <w:lang w:val="en-US"/>
              </w:rPr>
              <w:t>70,44</w:t>
            </w:r>
          </w:p>
        </w:tc>
        <w:tc>
          <w:tcPr>
            <w:tcW w:w="1381" w:type="dxa"/>
            <w:tcBorders>
              <w:top w:val="nil"/>
              <w:left w:val="nil"/>
              <w:bottom w:val="single" w:sz="4" w:space="0" w:color="auto"/>
              <w:right w:val="single" w:sz="4" w:space="0" w:color="auto"/>
            </w:tcBorders>
            <w:shd w:val="clear" w:color="auto" w:fill="auto"/>
          </w:tcPr>
          <w:p w:rsidR="006B6A3E" w:rsidRPr="00691330" w:rsidRDefault="006B6A3E" w:rsidP="006B6A3E">
            <w:pPr>
              <w:widowControl w:val="0"/>
              <w:autoSpaceDE w:val="0"/>
              <w:autoSpaceDN w:val="0"/>
              <w:spacing w:line="240" w:lineRule="auto"/>
              <w:jc w:val="center"/>
              <w:rPr>
                <w:rFonts w:eastAsia="Times New Roman"/>
                <w:bCs/>
                <w:sz w:val="24"/>
                <w:szCs w:val="24"/>
              </w:rPr>
            </w:pPr>
            <w:r w:rsidRPr="00691330">
              <w:rPr>
                <w:rFonts w:eastAsia="Times New Roman"/>
                <w:bCs/>
                <w:sz w:val="24"/>
                <w:szCs w:val="24"/>
              </w:rPr>
              <w:t>0,07</w:t>
            </w:r>
          </w:p>
        </w:tc>
        <w:tc>
          <w:tcPr>
            <w:tcW w:w="1028"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rPr>
            </w:pPr>
            <w:r w:rsidRPr="006B6A3E">
              <w:rPr>
                <w:rFonts w:eastAsia="Times New Roman"/>
                <w:bCs/>
                <w:color w:val="000000"/>
                <w:sz w:val="24"/>
                <w:szCs w:val="24"/>
              </w:rPr>
              <w:t>238,0</w:t>
            </w:r>
          </w:p>
        </w:tc>
        <w:tc>
          <w:tcPr>
            <w:tcW w:w="993"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rPr>
            </w:pPr>
            <w:r w:rsidRPr="006B6A3E">
              <w:rPr>
                <w:rFonts w:eastAsia="Times New Roman"/>
                <w:bCs/>
                <w:color w:val="000000"/>
                <w:sz w:val="24"/>
                <w:szCs w:val="24"/>
              </w:rPr>
              <w:t>221,0</w:t>
            </w:r>
          </w:p>
        </w:tc>
        <w:tc>
          <w:tcPr>
            <w:tcW w:w="1240"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lang w:val="en-US"/>
              </w:rPr>
            </w:pPr>
            <w:r w:rsidRPr="006B6A3E">
              <w:rPr>
                <w:rFonts w:eastAsia="Times New Roman"/>
                <w:bCs/>
                <w:color w:val="000000"/>
                <w:sz w:val="24"/>
                <w:szCs w:val="24"/>
                <w:lang w:val="en-US"/>
              </w:rPr>
              <w:t>- 7,14</w:t>
            </w:r>
          </w:p>
        </w:tc>
      </w:tr>
      <w:tr w:rsidR="006B6A3E" w:rsidRPr="006B6A3E" w:rsidTr="006E3A91">
        <w:trPr>
          <w:trHeight w:val="210"/>
          <w:jc w:val="center"/>
        </w:trPr>
        <w:tc>
          <w:tcPr>
            <w:tcW w:w="3688" w:type="dxa"/>
            <w:tcBorders>
              <w:top w:val="single" w:sz="4" w:space="0" w:color="auto"/>
              <w:left w:val="single" w:sz="4" w:space="0" w:color="auto"/>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left"/>
              <w:rPr>
                <w:rFonts w:eastAsia="Times New Roman"/>
                <w:bCs/>
                <w:color w:val="000000"/>
                <w:sz w:val="24"/>
                <w:szCs w:val="24"/>
              </w:rPr>
            </w:pPr>
            <w:r w:rsidRPr="006B6A3E">
              <w:rPr>
                <w:rFonts w:eastAsia="Times New Roman"/>
                <w:bCs/>
                <w:color w:val="000000"/>
                <w:sz w:val="24"/>
                <w:szCs w:val="24"/>
              </w:rPr>
              <w:t>Лікар-невропатолог</w:t>
            </w:r>
            <w:r w:rsidRPr="006B6A3E">
              <w:rPr>
                <w:rFonts w:eastAsia="Times New Roman"/>
                <w:sz w:val="24"/>
                <w:szCs w:val="24"/>
              </w:rPr>
              <w:t xml:space="preserve"> </w:t>
            </w:r>
            <w:r w:rsidRPr="006B6A3E">
              <w:rPr>
                <w:rFonts w:eastAsia="Times New Roman"/>
                <w:bCs/>
                <w:color w:val="000000"/>
                <w:sz w:val="24"/>
                <w:szCs w:val="24"/>
              </w:rPr>
              <w:t>дитячий</w:t>
            </w:r>
          </w:p>
        </w:tc>
        <w:tc>
          <w:tcPr>
            <w:tcW w:w="1559"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lang w:val="en-US"/>
              </w:rPr>
            </w:pPr>
            <w:r w:rsidRPr="006B6A3E">
              <w:rPr>
                <w:rFonts w:eastAsia="Times New Roman"/>
                <w:bCs/>
                <w:color w:val="000000"/>
                <w:sz w:val="24"/>
                <w:szCs w:val="24"/>
                <w:lang w:val="en-US"/>
              </w:rPr>
              <w:t>86,39</w:t>
            </w:r>
          </w:p>
        </w:tc>
        <w:tc>
          <w:tcPr>
            <w:tcW w:w="1701"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lang w:val="en-US"/>
              </w:rPr>
            </w:pPr>
            <w:r w:rsidRPr="006B6A3E">
              <w:rPr>
                <w:rFonts w:eastAsia="Times New Roman"/>
                <w:bCs/>
                <w:color w:val="000000"/>
                <w:sz w:val="24"/>
                <w:szCs w:val="24"/>
                <w:lang w:val="en-US"/>
              </w:rPr>
              <w:t>88,10</w:t>
            </w:r>
          </w:p>
        </w:tc>
        <w:tc>
          <w:tcPr>
            <w:tcW w:w="1559"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lang w:val="en-US"/>
              </w:rPr>
            </w:pPr>
            <w:r w:rsidRPr="006B6A3E">
              <w:rPr>
                <w:rFonts w:eastAsia="Times New Roman"/>
                <w:bCs/>
                <w:color w:val="000000"/>
                <w:sz w:val="24"/>
                <w:szCs w:val="24"/>
                <w:lang w:val="en-US"/>
              </w:rPr>
              <w:t>72,78</w:t>
            </w:r>
          </w:p>
        </w:tc>
        <w:tc>
          <w:tcPr>
            <w:tcW w:w="1560"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lang w:val="en-US"/>
              </w:rPr>
            </w:pPr>
            <w:r w:rsidRPr="006B6A3E">
              <w:rPr>
                <w:rFonts w:eastAsia="Times New Roman"/>
                <w:bCs/>
                <w:color w:val="000000"/>
                <w:sz w:val="24"/>
                <w:szCs w:val="24"/>
                <w:lang w:val="en-US"/>
              </w:rPr>
              <w:t>79,17</w:t>
            </w:r>
          </w:p>
        </w:tc>
        <w:tc>
          <w:tcPr>
            <w:tcW w:w="1381" w:type="dxa"/>
            <w:tcBorders>
              <w:top w:val="nil"/>
              <w:left w:val="nil"/>
              <w:bottom w:val="single" w:sz="4" w:space="0" w:color="auto"/>
              <w:right w:val="single" w:sz="4" w:space="0" w:color="auto"/>
            </w:tcBorders>
            <w:shd w:val="clear" w:color="auto" w:fill="auto"/>
          </w:tcPr>
          <w:p w:rsidR="006B6A3E" w:rsidRPr="00691330" w:rsidRDefault="006B6A3E" w:rsidP="006B6A3E">
            <w:pPr>
              <w:widowControl w:val="0"/>
              <w:autoSpaceDE w:val="0"/>
              <w:autoSpaceDN w:val="0"/>
              <w:spacing w:line="240" w:lineRule="auto"/>
              <w:jc w:val="center"/>
              <w:rPr>
                <w:rFonts w:eastAsia="Times New Roman"/>
                <w:bCs/>
                <w:sz w:val="24"/>
                <w:szCs w:val="24"/>
              </w:rPr>
            </w:pPr>
            <w:r w:rsidRPr="00691330">
              <w:rPr>
                <w:rFonts w:eastAsia="Times New Roman"/>
                <w:bCs/>
                <w:sz w:val="24"/>
                <w:szCs w:val="24"/>
              </w:rPr>
              <w:t>0,15</w:t>
            </w:r>
          </w:p>
        </w:tc>
        <w:tc>
          <w:tcPr>
            <w:tcW w:w="1028"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rPr>
            </w:pPr>
            <w:r w:rsidRPr="006B6A3E">
              <w:rPr>
                <w:rFonts w:eastAsia="Times New Roman"/>
                <w:bCs/>
                <w:color w:val="000000"/>
                <w:sz w:val="24"/>
                <w:szCs w:val="24"/>
              </w:rPr>
              <w:t>623,0</w:t>
            </w:r>
          </w:p>
        </w:tc>
        <w:tc>
          <w:tcPr>
            <w:tcW w:w="993"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rPr>
            </w:pPr>
            <w:r w:rsidRPr="006B6A3E">
              <w:rPr>
                <w:rFonts w:eastAsia="Times New Roman"/>
                <w:bCs/>
                <w:color w:val="000000"/>
                <w:sz w:val="24"/>
                <w:szCs w:val="24"/>
              </w:rPr>
              <w:t>588,0</w:t>
            </w:r>
          </w:p>
        </w:tc>
        <w:tc>
          <w:tcPr>
            <w:tcW w:w="1240"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lang w:val="en-US"/>
              </w:rPr>
            </w:pPr>
            <w:r w:rsidRPr="006B6A3E">
              <w:rPr>
                <w:rFonts w:eastAsia="Times New Roman"/>
                <w:bCs/>
                <w:color w:val="000000"/>
                <w:sz w:val="24"/>
                <w:szCs w:val="24"/>
                <w:lang w:val="en-US"/>
              </w:rPr>
              <w:t>- 5,62</w:t>
            </w:r>
          </w:p>
        </w:tc>
      </w:tr>
      <w:tr w:rsidR="006B6A3E" w:rsidRPr="006B6A3E" w:rsidTr="006E3A91">
        <w:trPr>
          <w:trHeight w:val="210"/>
          <w:jc w:val="center"/>
        </w:trPr>
        <w:tc>
          <w:tcPr>
            <w:tcW w:w="3688" w:type="dxa"/>
            <w:tcBorders>
              <w:top w:val="single" w:sz="4" w:space="0" w:color="auto"/>
              <w:left w:val="single" w:sz="4" w:space="0" w:color="auto"/>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left"/>
              <w:rPr>
                <w:rFonts w:eastAsia="Times New Roman"/>
                <w:bCs/>
                <w:color w:val="000000"/>
                <w:sz w:val="24"/>
                <w:szCs w:val="24"/>
              </w:rPr>
            </w:pPr>
            <w:r w:rsidRPr="006B6A3E">
              <w:rPr>
                <w:rFonts w:eastAsia="Times New Roman"/>
                <w:bCs/>
                <w:color w:val="000000"/>
                <w:sz w:val="24"/>
                <w:szCs w:val="24"/>
              </w:rPr>
              <w:t>Лікар-психіатр</w:t>
            </w:r>
            <w:r w:rsidRPr="006B6A3E">
              <w:rPr>
                <w:rFonts w:eastAsia="Times New Roman"/>
                <w:sz w:val="24"/>
                <w:szCs w:val="24"/>
              </w:rPr>
              <w:t xml:space="preserve"> </w:t>
            </w:r>
            <w:r w:rsidRPr="006B6A3E">
              <w:rPr>
                <w:rFonts w:eastAsia="Times New Roman"/>
                <w:bCs/>
                <w:color w:val="000000"/>
                <w:sz w:val="24"/>
                <w:szCs w:val="24"/>
              </w:rPr>
              <w:t>дитячий</w:t>
            </w:r>
          </w:p>
        </w:tc>
        <w:tc>
          <w:tcPr>
            <w:tcW w:w="1559"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lang w:val="en-US"/>
              </w:rPr>
            </w:pPr>
            <w:r w:rsidRPr="006B6A3E">
              <w:rPr>
                <w:rFonts w:eastAsia="Times New Roman"/>
                <w:bCs/>
                <w:color w:val="000000"/>
                <w:sz w:val="24"/>
                <w:szCs w:val="24"/>
                <w:lang w:val="en-US"/>
              </w:rPr>
              <w:t>86,32</w:t>
            </w:r>
          </w:p>
        </w:tc>
        <w:tc>
          <w:tcPr>
            <w:tcW w:w="1701"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lang w:val="en-US"/>
              </w:rPr>
            </w:pPr>
            <w:r w:rsidRPr="006B6A3E">
              <w:rPr>
                <w:rFonts w:eastAsia="Times New Roman"/>
                <w:bCs/>
                <w:color w:val="000000"/>
                <w:sz w:val="24"/>
                <w:szCs w:val="24"/>
                <w:lang w:val="en-US"/>
              </w:rPr>
              <w:t>83,86</w:t>
            </w:r>
          </w:p>
        </w:tc>
        <w:tc>
          <w:tcPr>
            <w:tcW w:w="1559"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lang w:val="en-US"/>
              </w:rPr>
            </w:pPr>
            <w:r w:rsidRPr="006B6A3E">
              <w:rPr>
                <w:rFonts w:eastAsia="Times New Roman"/>
                <w:bCs/>
                <w:color w:val="000000"/>
                <w:sz w:val="24"/>
                <w:szCs w:val="24"/>
                <w:lang w:val="en-US"/>
              </w:rPr>
              <w:t>75,53</w:t>
            </w:r>
          </w:p>
        </w:tc>
        <w:tc>
          <w:tcPr>
            <w:tcW w:w="1560"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lang w:val="en-US"/>
              </w:rPr>
            </w:pPr>
            <w:r w:rsidRPr="006B6A3E">
              <w:rPr>
                <w:rFonts w:eastAsia="Times New Roman"/>
                <w:bCs/>
                <w:color w:val="000000"/>
                <w:sz w:val="24"/>
                <w:szCs w:val="24"/>
                <w:lang w:val="en-US"/>
              </w:rPr>
              <w:t>72,90</w:t>
            </w:r>
          </w:p>
        </w:tc>
        <w:tc>
          <w:tcPr>
            <w:tcW w:w="1381" w:type="dxa"/>
            <w:tcBorders>
              <w:top w:val="nil"/>
              <w:left w:val="nil"/>
              <w:bottom w:val="single" w:sz="4" w:space="0" w:color="auto"/>
              <w:right w:val="single" w:sz="4" w:space="0" w:color="auto"/>
            </w:tcBorders>
            <w:shd w:val="clear" w:color="auto" w:fill="auto"/>
          </w:tcPr>
          <w:p w:rsidR="006B6A3E" w:rsidRPr="00691330" w:rsidRDefault="006B6A3E" w:rsidP="006B6A3E">
            <w:pPr>
              <w:widowControl w:val="0"/>
              <w:autoSpaceDE w:val="0"/>
              <w:autoSpaceDN w:val="0"/>
              <w:spacing w:line="240" w:lineRule="auto"/>
              <w:jc w:val="center"/>
              <w:rPr>
                <w:rFonts w:eastAsia="Times New Roman"/>
                <w:bCs/>
                <w:sz w:val="24"/>
                <w:szCs w:val="24"/>
              </w:rPr>
            </w:pPr>
            <w:r w:rsidRPr="00691330">
              <w:rPr>
                <w:rFonts w:eastAsia="Times New Roman"/>
                <w:bCs/>
                <w:sz w:val="24"/>
                <w:szCs w:val="24"/>
              </w:rPr>
              <w:t>0,08</w:t>
            </w:r>
          </w:p>
        </w:tc>
        <w:tc>
          <w:tcPr>
            <w:tcW w:w="1028"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rPr>
            </w:pPr>
            <w:r w:rsidRPr="006B6A3E">
              <w:rPr>
                <w:rFonts w:eastAsia="Times New Roman"/>
                <w:bCs/>
                <w:color w:val="000000"/>
                <w:sz w:val="24"/>
                <w:szCs w:val="24"/>
              </w:rPr>
              <w:t>301,0</w:t>
            </w:r>
          </w:p>
        </w:tc>
        <w:tc>
          <w:tcPr>
            <w:tcW w:w="993"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rPr>
            </w:pPr>
            <w:r w:rsidRPr="006B6A3E">
              <w:rPr>
                <w:rFonts w:eastAsia="Times New Roman"/>
                <w:bCs/>
                <w:color w:val="000000"/>
                <w:sz w:val="24"/>
                <w:szCs w:val="24"/>
              </w:rPr>
              <w:t>271,0</w:t>
            </w:r>
          </w:p>
        </w:tc>
        <w:tc>
          <w:tcPr>
            <w:tcW w:w="1240"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lang w:val="en-US"/>
              </w:rPr>
            </w:pPr>
            <w:r w:rsidRPr="006B6A3E">
              <w:rPr>
                <w:rFonts w:eastAsia="Times New Roman"/>
                <w:bCs/>
                <w:color w:val="000000"/>
                <w:sz w:val="24"/>
                <w:szCs w:val="24"/>
                <w:lang w:val="en-US"/>
              </w:rPr>
              <w:t>- 9,97</w:t>
            </w:r>
          </w:p>
        </w:tc>
      </w:tr>
      <w:tr w:rsidR="006B6A3E" w:rsidRPr="006B6A3E" w:rsidTr="006E3A91">
        <w:trPr>
          <w:trHeight w:val="210"/>
          <w:jc w:val="center"/>
        </w:trPr>
        <w:tc>
          <w:tcPr>
            <w:tcW w:w="3688" w:type="dxa"/>
            <w:tcBorders>
              <w:top w:val="single" w:sz="4" w:space="0" w:color="auto"/>
              <w:left w:val="single" w:sz="4" w:space="0" w:color="auto"/>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left"/>
              <w:rPr>
                <w:rFonts w:eastAsia="Times New Roman"/>
                <w:bCs/>
                <w:color w:val="000000"/>
                <w:sz w:val="24"/>
                <w:szCs w:val="24"/>
              </w:rPr>
            </w:pPr>
            <w:r w:rsidRPr="006B6A3E">
              <w:rPr>
                <w:rFonts w:eastAsia="Times New Roman"/>
                <w:bCs/>
                <w:color w:val="000000"/>
                <w:sz w:val="24"/>
                <w:szCs w:val="24"/>
              </w:rPr>
              <w:t>Лікар-дерматовенеролог дитячий</w:t>
            </w:r>
          </w:p>
        </w:tc>
        <w:tc>
          <w:tcPr>
            <w:tcW w:w="1559"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lang w:val="en-US"/>
              </w:rPr>
            </w:pPr>
            <w:r w:rsidRPr="006B6A3E">
              <w:rPr>
                <w:rFonts w:eastAsia="Times New Roman"/>
                <w:bCs/>
                <w:color w:val="000000"/>
                <w:sz w:val="24"/>
                <w:szCs w:val="24"/>
                <w:lang w:val="en-US"/>
              </w:rPr>
              <w:t>88,61</w:t>
            </w:r>
          </w:p>
        </w:tc>
        <w:tc>
          <w:tcPr>
            <w:tcW w:w="1701"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lang w:val="en-US"/>
              </w:rPr>
            </w:pPr>
            <w:r w:rsidRPr="006B6A3E">
              <w:rPr>
                <w:rFonts w:eastAsia="Times New Roman"/>
                <w:bCs/>
                <w:color w:val="000000"/>
                <w:sz w:val="24"/>
                <w:szCs w:val="24"/>
                <w:lang w:val="en-US"/>
              </w:rPr>
              <w:t>86,57</w:t>
            </w:r>
          </w:p>
        </w:tc>
        <w:tc>
          <w:tcPr>
            <w:tcW w:w="1559"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lang w:val="en-US"/>
              </w:rPr>
            </w:pPr>
            <w:r w:rsidRPr="006B6A3E">
              <w:rPr>
                <w:rFonts w:eastAsia="Times New Roman"/>
                <w:bCs/>
                <w:color w:val="000000"/>
                <w:sz w:val="24"/>
                <w:szCs w:val="24"/>
                <w:lang w:val="en-US"/>
              </w:rPr>
              <w:t>89,35</w:t>
            </w:r>
          </w:p>
        </w:tc>
        <w:tc>
          <w:tcPr>
            <w:tcW w:w="1560"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lang w:val="en-US"/>
              </w:rPr>
            </w:pPr>
            <w:r w:rsidRPr="006B6A3E">
              <w:rPr>
                <w:rFonts w:eastAsia="Times New Roman"/>
                <w:bCs/>
                <w:color w:val="000000"/>
                <w:sz w:val="24"/>
                <w:szCs w:val="24"/>
                <w:lang w:val="en-US"/>
              </w:rPr>
              <w:t>85,37</w:t>
            </w:r>
          </w:p>
        </w:tc>
        <w:tc>
          <w:tcPr>
            <w:tcW w:w="1381" w:type="dxa"/>
            <w:tcBorders>
              <w:top w:val="nil"/>
              <w:left w:val="nil"/>
              <w:bottom w:val="single" w:sz="4" w:space="0" w:color="auto"/>
              <w:right w:val="single" w:sz="4" w:space="0" w:color="auto"/>
            </w:tcBorders>
            <w:shd w:val="clear" w:color="auto" w:fill="auto"/>
          </w:tcPr>
          <w:p w:rsidR="006B6A3E" w:rsidRPr="00691330" w:rsidRDefault="006B6A3E" w:rsidP="006B6A3E">
            <w:pPr>
              <w:widowControl w:val="0"/>
              <w:autoSpaceDE w:val="0"/>
              <w:autoSpaceDN w:val="0"/>
              <w:spacing w:line="240" w:lineRule="auto"/>
              <w:jc w:val="center"/>
              <w:rPr>
                <w:rFonts w:eastAsia="Times New Roman"/>
                <w:bCs/>
                <w:sz w:val="24"/>
                <w:szCs w:val="24"/>
              </w:rPr>
            </w:pPr>
            <w:r w:rsidRPr="00691330">
              <w:rPr>
                <w:rFonts w:eastAsia="Times New Roman"/>
                <w:bCs/>
                <w:sz w:val="24"/>
                <w:szCs w:val="24"/>
              </w:rPr>
              <w:t>0,04</w:t>
            </w:r>
          </w:p>
        </w:tc>
        <w:tc>
          <w:tcPr>
            <w:tcW w:w="1028"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rPr>
            </w:pPr>
            <w:r w:rsidRPr="006B6A3E">
              <w:rPr>
                <w:rFonts w:eastAsia="Times New Roman"/>
                <w:bCs/>
                <w:color w:val="000000"/>
                <w:sz w:val="24"/>
                <w:szCs w:val="24"/>
              </w:rPr>
              <w:t>151,0</w:t>
            </w:r>
          </w:p>
        </w:tc>
        <w:tc>
          <w:tcPr>
            <w:tcW w:w="993"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rPr>
            </w:pPr>
            <w:r w:rsidRPr="006B6A3E">
              <w:rPr>
                <w:rFonts w:eastAsia="Times New Roman"/>
                <w:bCs/>
                <w:color w:val="000000"/>
                <w:sz w:val="24"/>
                <w:szCs w:val="24"/>
              </w:rPr>
              <w:t>143,0</w:t>
            </w:r>
          </w:p>
        </w:tc>
        <w:tc>
          <w:tcPr>
            <w:tcW w:w="1240"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lang w:val="en-US"/>
              </w:rPr>
            </w:pPr>
            <w:r w:rsidRPr="006B6A3E">
              <w:rPr>
                <w:rFonts w:eastAsia="Times New Roman"/>
                <w:bCs/>
                <w:color w:val="000000"/>
                <w:sz w:val="24"/>
                <w:szCs w:val="24"/>
                <w:lang w:val="en-US"/>
              </w:rPr>
              <w:t>- 5,30</w:t>
            </w:r>
          </w:p>
        </w:tc>
      </w:tr>
      <w:tr w:rsidR="006B6A3E" w:rsidRPr="006B6A3E" w:rsidTr="006E3A91">
        <w:trPr>
          <w:trHeight w:val="210"/>
          <w:jc w:val="center"/>
        </w:trPr>
        <w:tc>
          <w:tcPr>
            <w:tcW w:w="3688" w:type="dxa"/>
            <w:tcBorders>
              <w:top w:val="single" w:sz="4" w:space="0" w:color="auto"/>
              <w:left w:val="single" w:sz="4" w:space="0" w:color="auto"/>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left"/>
              <w:rPr>
                <w:rFonts w:eastAsia="Times New Roman"/>
                <w:bCs/>
                <w:color w:val="000000"/>
                <w:sz w:val="24"/>
                <w:szCs w:val="24"/>
              </w:rPr>
            </w:pPr>
            <w:r w:rsidRPr="006B6A3E">
              <w:rPr>
                <w:rFonts w:eastAsia="Times New Roman"/>
                <w:bCs/>
                <w:color w:val="000000"/>
                <w:sz w:val="24"/>
                <w:szCs w:val="24"/>
              </w:rPr>
              <w:t>Лікар-імунолог дитячий</w:t>
            </w:r>
          </w:p>
        </w:tc>
        <w:tc>
          <w:tcPr>
            <w:tcW w:w="1559"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lang w:val="en-US"/>
              </w:rPr>
            </w:pPr>
            <w:r w:rsidRPr="006B6A3E">
              <w:rPr>
                <w:rFonts w:eastAsia="Times New Roman"/>
                <w:bCs/>
                <w:color w:val="000000"/>
                <w:sz w:val="24"/>
                <w:szCs w:val="24"/>
                <w:lang w:val="en-US"/>
              </w:rPr>
              <w:t>76,10</w:t>
            </w:r>
          </w:p>
        </w:tc>
        <w:tc>
          <w:tcPr>
            <w:tcW w:w="1701"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lang w:val="en-US"/>
              </w:rPr>
            </w:pPr>
            <w:r w:rsidRPr="006B6A3E">
              <w:rPr>
                <w:rFonts w:eastAsia="Times New Roman"/>
                <w:bCs/>
                <w:color w:val="000000"/>
                <w:sz w:val="24"/>
                <w:szCs w:val="24"/>
                <w:lang w:val="en-US"/>
              </w:rPr>
              <w:t>83,38</w:t>
            </w:r>
          </w:p>
        </w:tc>
        <w:tc>
          <w:tcPr>
            <w:tcW w:w="1559"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lang w:val="en-US"/>
              </w:rPr>
            </w:pPr>
            <w:r w:rsidRPr="006B6A3E">
              <w:rPr>
                <w:rFonts w:eastAsia="Times New Roman"/>
                <w:bCs/>
                <w:color w:val="000000"/>
                <w:sz w:val="24"/>
                <w:szCs w:val="24"/>
                <w:lang w:val="en-US"/>
              </w:rPr>
              <w:t>58,24</w:t>
            </w:r>
          </w:p>
        </w:tc>
        <w:tc>
          <w:tcPr>
            <w:tcW w:w="1560"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lang w:val="en-US"/>
              </w:rPr>
            </w:pPr>
            <w:r w:rsidRPr="006B6A3E">
              <w:rPr>
                <w:rFonts w:eastAsia="Times New Roman"/>
                <w:bCs/>
                <w:color w:val="000000"/>
                <w:sz w:val="24"/>
                <w:szCs w:val="24"/>
                <w:lang w:val="en-US"/>
              </w:rPr>
              <w:t>66,46</w:t>
            </w:r>
          </w:p>
        </w:tc>
        <w:tc>
          <w:tcPr>
            <w:tcW w:w="1381" w:type="dxa"/>
            <w:tcBorders>
              <w:top w:val="nil"/>
              <w:left w:val="nil"/>
              <w:bottom w:val="single" w:sz="4" w:space="0" w:color="auto"/>
              <w:right w:val="single" w:sz="4" w:space="0" w:color="auto"/>
            </w:tcBorders>
            <w:shd w:val="clear" w:color="auto" w:fill="auto"/>
          </w:tcPr>
          <w:p w:rsidR="006B6A3E" w:rsidRPr="00691330" w:rsidRDefault="006B6A3E" w:rsidP="006B6A3E">
            <w:pPr>
              <w:widowControl w:val="0"/>
              <w:autoSpaceDE w:val="0"/>
              <w:autoSpaceDN w:val="0"/>
              <w:spacing w:line="240" w:lineRule="auto"/>
              <w:jc w:val="center"/>
              <w:rPr>
                <w:rFonts w:eastAsia="Times New Roman"/>
                <w:bCs/>
                <w:sz w:val="24"/>
                <w:szCs w:val="24"/>
              </w:rPr>
            </w:pPr>
            <w:r w:rsidRPr="00691330">
              <w:rPr>
                <w:rFonts w:eastAsia="Times New Roman"/>
                <w:bCs/>
                <w:sz w:val="24"/>
                <w:szCs w:val="24"/>
              </w:rPr>
              <w:t>0,01</w:t>
            </w:r>
          </w:p>
        </w:tc>
        <w:tc>
          <w:tcPr>
            <w:tcW w:w="1028"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rPr>
            </w:pPr>
            <w:r w:rsidRPr="006B6A3E">
              <w:rPr>
                <w:rFonts w:eastAsia="Times New Roman"/>
                <w:bCs/>
                <w:color w:val="000000"/>
                <w:sz w:val="24"/>
                <w:szCs w:val="24"/>
              </w:rPr>
              <w:t>53,0</w:t>
            </w:r>
          </w:p>
        </w:tc>
        <w:tc>
          <w:tcPr>
            <w:tcW w:w="993"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rPr>
            </w:pPr>
            <w:r w:rsidRPr="006B6A3E">
              <w:rPr>
                <w:rFonts w:eastAsia="Times New Roman"/>
                <w:bCs/>
                <w:color w:val="000000"/>
                <w:sz w:val="24"/>
                <w:szCs w:val="24"/>
              </w:rPr>
              <w:t>54,0</w:t>
            </w:r>
          </w:p>
        </w:tc>
        <w:tc>
          <w:tcPr>
            <w:tcW w:w="1240" w:type="dxa"/>
            <w:tcBorders>
              <w:top w:val="nil"/>
              <w:left w:val="nil"/>
              <w:bottom w:val="single" w:sz="4" w:space="0" w:color="auto"/>
              <w:right w:val="single" w:sz="4" w:space="0" w:color="auto"/>
            </w:tcBorders>
            <w:shd w:val="clear" w:color="auto" w:fill="auto"/>
          </w:tcPr>
          <w:p w:rsidR="006B6A3E" w:rsidRPr="006B6A3E" w:rsidRDefault="006B6A3E" w:rsidP="006B6A3E">
            <w:pPr>
              <w:widowControl w:val="0"/>
              <w:autoSpaceDE w:val="0"/>
              <w:autoSpaceDN w:val="0"/>
              <w:spacing w:line="240" w:lineRule="auto"/>
              <w:jc w:val="center"/>
              <w:rPr>
                <w:rFonts w:eastAsia="Times New Roman"/>
                <w:bCs/>
                <w:color w:val="000000"/>
                <w:sz w:val="24"/>
                <w:szCs w:val="24"/>
              </w:rPr>
            </w:pPr>
            <w:r w:rsidRPr="006B6A3E">
              <w:rPr>
                <w:rFonts w:eastAsia="Times New Roman"/>
                <w:bCs/>
                <w:color w:val="000000"/>
                <w:sz w:val="24"/>
                <w:szCs w:val="24"/>
              </w:rPr>
              <w:t>+ 1,88</w:t>
            </w:r>
          </w:p>
        </w:tc>
      </w:tr>
    </w:tbl>
    <w:p w:rsidR="00E8013F" w:rsidRDefault="00E8013F" w:rsidP="00E8013F">
      <w:pPr>
        <w:spacing w:after="200"/>
        <w:rPr>
          <w:rFonts w:eastAsia="Calibri"/>
          <w:b/>
          <w:szCs w:val="28"/>
          <w:u w:val="single"/>
        </w:rPr>
      </w:pPr>
    </w:p>
    <w:p w:rsidR="00E8013F" w:rsidRPr="006B6A3E" w:rsidRDefault="00E8013F" w:rsidP="006B6A3E">
      <w:pPr>
        <w:spacing w:after="200"/>
        <w:jc w:val="right"/>
        <w:rPr>
          <w:rFonts w:eastAsia="Calibri"/>
          <w:b/>
          <w:szCs w:val="28"/>
          <w:u w:val="single"/>
        </w:rPr>
        <w:sectPr w:rsidR="00E8013F" w:rsidRPr="006B6A3E" w:rsidSect="006E3A91">
          <w:pgSz w:w="15840" w:h="12240" w:orient="landscape"/>
          <w:pgMar w:top="1134" w:right="1134" w:bottom="567" w:left="1134" w:header="709" w:footer="709" w:gutter="0"/>
          <w:cols w:space="708"/>
          <w:docGrid w:linePitch="360"/>
        </w:sectPr>
      </w:pPr>
    </w:p>
    <w:p w:rsidR="00E8013F" w:rsidRPr="00650544" w:rsidRDefault="005627AD" w:rsidP="001F6DB4">
      <w:pPr>
        <w:pageBreakBefore/>
        <w:widowControl w:val="0"/>
        <w:ind w:firstLine="720"/>
        <w:jc w:val="right"/>
        <w:rPr>
          <w:rFonts w:eastAsia="Times New Roman"/>
          <w:i/>
          <w:szCs w:val="28"/>
          <w:lang w:val="ru-RU" w:eastAsia="ru-RU"/>
        </w:rPr>
      </w:pPr>
      <w:r>
        <w:rPr>
          <w:rFonts w:eastAsia="Times New Roman"/>
          <w:szCs w:val="28"/>
          <w:lang w:eastAsia="ru-RU"/>
        </w:rPr>
        <w:lastRenderedPageBreak/>
        <w:t>Додаток Г</w:t>
      </w:r>
      <w:r w:rsidR="00E8013F" w:rsidRPr="00650544">
        <w:rPr>
          <w:rFonts w:eastAsia="Times New Roman"/>
          <w:szCs w:val="28"/>
          <w:lang w:eastAsia="ru-RU"/>
        </w:rPr>
        <w:t>-8</w:t>
      </w:r>
    </w:p>
    <w:p w:rsidR="00E8013F" w:rsidRPr="00735C81" w:rsidRDefault="00E8013F" w:rsidP="001F6DB4">
      <w:pPr>
        <w:keepNext/>
        <w:jc w:val="center"/>
        <w:rPr>
          <w:rFonts w:eastAsia="Times New Roman"/>
          <w:b/>
          <w:szCs w:val="28"/>
          <w:lang w:eastAsia="ru-RU"/>
        </w:rPr>
      </w:pPr>
      <w:r w:rsidRPr="00735C81">
        <w:rPr>
          <w:rFonts w:eastAsia="Times New Roman"/>
          <w:b/>
          <w:szCs w:val="28"/>
          <w:lang w:eastAsia="ru-RU"/>
        </w:rPr>
        <w:t>Укомлектованість ЗОЗ педіатрами-неонатологами за регіонами України, 2018</w:t>
      </w:r>
      <w:r w:rsidR="005627AD">
        <w:rPr>
          <w:rFonts w:eastAsia="Times New Roman"/>
          <w:b/>
          <w:szCs w:val="28"/>
          <w:lang w:eastAsia="ru-RU"/>
        </w:rPr>
        <w:t> </w:t>
      </w:r>
      <w:r w:rsidR="001F6DB4">
        <w:rPr>
          <w:rFonts w:eastAsia="Times New Roman"/>
          <w:b/>
          <w:szCs w:val="28"/>
          <w:lang w:eastAsia="ru-RU"/>
        </w:rPr>
        <w:t xml:space="preserve">р. </w:t>
      </w:r>
    </w:p>
    <w:tbl>
      <w:tblPr>
        <w:tblW w:w="0" w:type="auto"/>
        <w:jc w:val="center"/>
        <w:tblLook w:val="04A0" w:firstRow="1" w:lastRow="0" w:firstColumn="1" w:lastColumn="0" w:noHBand="0" w:noVBand="1"/>
      </w:tblPr>
      <w:tblGrid>
        <w:gridCol w:w="2106"/>
        <w:gridCol w:w="1107"/>
        <w:gridCol w:w="1152"/>
        <w:gridCol w:w="1514"/>
        <w:gridCol w:w="2263"/>
        <w:gridCol w:w="2279"/>
      </w:tblGrid>
      <w:tr w:rsidR="00E8013F" w:rsidRPr="00691330" w:rsidTr="00223D4E">
        <w:trPr>
          <w:trHeight w:val="1348"/>
          <w:jc w:val="center"/>
        </w:trPr>
        <w:tc>
          <w:tcPr>
            <w:tcW w:w="0" w:type="auto"/>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E8013F" w:rsidRPr="00691330" w:rsidRDefault="00E8013F" w:rsidP="00691330">
            <w:pPr>
              <w:spacing w:line="276" w:lineRule="auto"/>
              <w:jc w:val="center"/>
              <w:rPr>
                <w:rFonts w:eastAsia="Times New Roman"/>
                <w:bCs/>
                <w:color w:val="000000"/>
                <w:sz w:val="24"/>
                <w:szCs w:val="24"/>
              </w:rPr>
            </w:pPr>
            <w:r w:rsidRPr="00691330">
              <w:rPr>
                <w:rFonts w:eastAsia="Times New Roman"/>
                <w:bCs/>
                <w:color w:val="000000"/>
                <w:sz w:val="24"/>
                <w:szCs w:val="24"/>
              </w:rPr>
              <w:t>Адміністративно-територіальна одиниця</w:t>
            </w:r>
          </w:p>
        </w:tc>
        <w:tc>
          <w:tcPr>
            <w:tcW w:w="0" w:type="auto"/>
            <w:gridSpan w:val="2"/>
            <w:tcBorders>
              <w:top w:val="single" w:sz="4" w:space="0" w:color="auto"/>
              <w:left w:val="nil"/>
              <w:bottom w:val="single" w:sz="4" w:space="0" w:color="auto"/>
              <w:right w:val="single" w:sz="4" w:space="0" w:color="000000"/>
            </w:tcBorders>
            <w:shd w:val="clear" w:color="auto" w:fill="auto"/>
            <w:vAlign w:val="center"/>
            <w:hideMark/>
          </w:tcPr>
          <w:p w:rsidR="00E8013F" w:rsidRPr="00691330" w:rsidRDefault="00E8013F" w:rsidP="00691330">
            <w:pPr>
              <w:spacing w:line="276" w:lineRule="auto"/>
              <w:jc w:val="center"/>
              <w:rPr>
                <w:rFonts w:eastAsia="Times New Roman"/>
                <w:bCs/>
                <w:color w:val="000000"/>
                <w:sz w:val="24"/>
                <w:szCs w:val="24"/>
              </w:rPr>
            </w:pPr>
            <w:r w:rsidRPr="00691330">
              <w:rPr>
                <w:rFonts w:eastAsia="Times New Roman"/>
                <w:bCs/>
                <w:color w:val="000000"/>
                <w:sz w:val="24"/>
                <w:szCs w:val="24"/>
              </w:rPr>
              <w:t xml:space="preserve">Число посад </w:t>
            </w:r>
            <w:r w:rsidRPr="00691330">
              <w:rPr>
                <w:rFonts w:eastAsia="Times New Roman"/>
                <w:bCs/>
                <w:sz w:val="24"/>
                <w:szCs w:val="24"/>
              </w:rPr>
              <w:t>в системі охорони здоров’я</w:t>
            </w:r>
          </w:p>
        </w:tc>
        <w:tc>
          <w:tcPr>
            <w:tcW w:w="0" w:type="auto"/>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E8013F" w:rsidRPr="00691330" w:rsidRDefault="00E8013F" w:rsidP="00691330">
            <w:pPr>
              <w:spacing w:line="276" w:lineRule="auto"/>
              <w:jc w:val="center"/>
              <w:rPr>
                <w:rFonts w:eastAsia="Times New Roman"/>
                <w:bCs/>
                <w:color w:val="000000"/>
                <w:sz w:val="24"/>
                <w:szCs w:val="24"/>
                <w:lang w:val="ru-RU"/>
              </w:rPr>
            </w:pPr>
            <w:r w:rsidRPr="00691330">
              <w:rPr>
                <w:rFonts w:eastAsia="Times New Roman"/>
                <w:bCs/>
                <w:color w:val="000000"/>
                <w:sz w:val="24"/>
                <w:szCs w:val="24"/>
                <w:lang w:val="ru-RU"/>
              </w:rPr>
              <w:t>Число фізичних осіб основних праців</w:t>
            </w:r>
            <w:r w:rsidRPr="00691330">
              <w:rPr>
                <w:rFonts w:eastAsia="Times New Roman"/>
                <w:bCs/>
                <w:color w:val="000000"/>
                <w:sz w:val="24"/>
                <w:szCs w:val="24"/>
              </w:rPr>
              <w:t>н</w:t>
            </w:r>
            <w:r w:rsidRPr="00691330">
              <w:rPr>
                <w:rFonts w:eastAsia="Times New Roman"/>
                <w:bCs/>
                <w:color w:val="000000"/>
                <w:sz w:val="24"/>
                <w:szCs w:val="24"/>
                <w:lang w:val="ru-RU"/>
              </w:rPr>
              <w:t>иків в цілому  на зайнятих посадах</w:t>
            </w:r>
          </w:p>
        </w:tc>
        <w:tc>
          <w:tcPr>
            <w:tcW w:w="0" w:type="auto"/>
            <w:vMerge w:val="restart"/>
            <w:tcBorders>
              <w:top w:val="single" w:sz="4" w:space="0" w:color="auto"/>
              <w:left w:val="single" w:sz="4" w:space="0" w:color="auto"/>
              <w:bottom w:val="single" w:sz="4" w:space="0" w:color="000000"/>
              <w:right w:val="single" w:sz="4" w:space="0" w:color="auto"/>
            </w:tcBorders>
            <w:shd w:val="clear" w:color="auto" w:fill="auto"/>
          </w:tcPr>
          <w:p w:rsidR="00E8013F" w:rsidRPr="00691330" w:rsidRDefault="00E8013F" w:rsidP="00691330">
            <w:pPr>
              <w:spacing w:after="200" w:line="276" w:lineRule="auto"/>
              <w:jc w:val="center"/>
              <w:rPr>
                <w:rFonts w:eastAsia="Calibri"/>
                <w:sz w:val="24"/>
                <w:szCs w:val="24"/>
                <w:lang w:val="ru-RU"/>
              </w:rPr>
            </w:pPr>
            <w:r w:rsidRPr="00691330">
              <w:rPr>
                <w:rFonts w:eastAsia="Calibri"/>
                <w:sz w:val="24"/>
                <w:szCs w:val="24"/>
                <w:lang w:val="ru-RU"/>
              </w:rPr>
              <w:t>Укомплектованість штатних посад (пед</w:t>
            </w:r>
            <w:r w:rsidRPr="00691330">
              <w:rPr>
                <w:rFonts w:eastAsia="Calibri"/>
                <w:sz w:val="24"/>
                <w:szCs w:val="24"/>
              </w:rPr>
              <w:t>іатри-неонатологи</w:t>
            </w:r>
            <w:r w:rsidRPr="00691330">
              <w:rPr>
                <w:rFonts w:eastAsia="Calibri"/>
                <w:sz w:val="24"/>
                <w:szCs w:val="24"/>
                <w:lang w:val="ru-RU"/>
              </w:rPr>
              <w:t>), %</w:t>
            </w:r>
          </w:p>
        </w:tc>
        <w:tc>
          <w:tcPr>
            <w:tcW w:w="0" w:type="auto"/>
            <w:vMerge w:val="restart"/>
            <w:tcBorders>
              <w:top w:val="single" w:sz="4" w:space="0" w:color="auto"/>
              <w:left w:val="single" w:sz="4" w:space="0" w:color="auto"/>
              <w:bottom w:val="single" w:sz="4" w:space="0" w:color="000000"/>
              <w:right w:val="single" w:sz="4" w:space="0" w:color="auto"/>
            </w:tcBorders>
            <w:shd w:val="clear" w:color="auto" w:fill="auto"/>
          </w:tcPr>
          <w:p w:rsidR="00E8013F" w:rsidRPr="00691330" w:rsidRDefault="00E8013F" w:rsidP="00691330">
            <w:pPr>
              <w:spacing w:after="200" w:line="276" w:lineRule="auto"/>
              <w:jc w:val="center"/>
              <w:rPr>
                <w:rFonts w:eastAsia="Calibri"/>
                <w:sz w:val="24"/>
                <w:szCs w:val="24"/>
                <w:lang w:val="ru-RU"/>
              </w:rPr>
            </w:pPr>
            <w:r w:rsidRPr="00691330">
              <w:rPr>
                <w:rFonts w:eastAsia="Calibri"/>
                <w:sz w:val="24"/>
                <w:szCs w:val="24"/>
                <w:lang w:val="ru-RU"/>
              </w:rPr>
              <w:t>Укомплектованість штатів фізичними особами (</w:t>
            </w:r>
            <w:r w:rsidRPr="00691330">
              <w:rPr>
                <w:rFonts w:eastAsia="Calibri"/>
                <w:sz w:val="24"/>
                <w:szCs w:val="24"/>
              </w:rPr>
              <w:t>педіатри-неонатологи</w:t>
            </w:r>
            <w:r w:rsidRPr="00691330">
              <w:rPr>
                <w:rFonts w:eastAsia="Calibri"/>
                <w:sz w:val="24"/>
                <w:szCs w:val="24"/>
                <w:lang w:val="ru-RU"/>
              </w:rPr>
              <w:t>), %</w:t>
            </w:r>
          </w:p>
        </w:tc>
      </w:tr>
      <w:tr w:rsidR="00E8013F" w:rsidRPr="00691330" w:rsidTr="00223D4E">
        <w:trPr>
          <w:trHeight w:val="54"/>
          <w:jc w:val="center"/>
        </w:trPr>
        <w:tc>
          <w:tcPr>
            <w:tcW w:w="0" w:type="auto"/>
            <w:vMerge/>
            <w:tcBorders>
              <w:top w:val="single" w:sz="4" w:space="0" w:color="auto"/>
              <w:left w:val="single" w:sz="4" w:space="0" w:color="auto"/>
              <w:bottom w:val="single" w:sz="4" w:space="0" w:color="000000"/>
              <w:right w:val="single" w:sz="4" w:space="0" w:color="auto"/>
            </w:tcBorders>
            <w:vAlign w:val="center"/>
            <w:hideMark/>
          </w:tcPr>
          <w:p w:rsidR="00E8013F" w:rsidRPr="00691330" w:rsidRDefault="00E8013F" w:rsidP="00691330">
            <w:pPr>
              <w:spacing w:line="276" w:lineRule="auto"/>
              <w:jc w:val="left"/>
              <w:rPr>
                <w:rFonts w:eastAsia="Times New Roman"/>
                <w:bCs/>
                <w:color w:val="000000"/>
                <w:sz w:val="24"/>
                <w:szCs w:val="24"/>
                <w:lang w:val="ru-RU"/>
              </w:rPr>
            </w:pPr>
          </w:p>
        </w:tc>
        <w:tc>
          <w:tcPr>
            <w:tcW w:w="0" w:type="auto"/>
            <w:tcBorders>
              <w:top w:val="nil"/>
              <w:left w:val="nil"/>
              <w:bottom w:val="single" w:sz="4" w:space="0" w:color="auto"/>
              <w:right w:val="single" w:sz="4" w:space="0" w:color="auto"/>
            </w:tcBorders>
            <w:shd w:val="clear" w:color="auto" w:fill="auto"/>
            <w:vAlign w:val="center"/>
            <w:hideMark/>
          </w:tcPr>
          <w:p w:rsidR="00E8013F" w:rsidRPr="00691330" w:rsidRDefault="00E8013F" w:rsidP="00691330">
            <w:pPr>
              <w:spacing w:line="276" w:lineRule="auto"/>
              <w:jc w:val="center"/>
              <w:rPr>
                <w:rFonts w:eastAsia="Times New Roman"/>
                <w:bCs/>
                <w:color w:val="000000"/>
                <w:sz w:val="24"/>
                <w:szCs w:val="24"/>
                <w:lang w:val="en-US"/>
              </w:rPr>
            </w:pPr>
            <w:r w:rsidRPr="00691330">
              <w:rPr>
                <w:rFonts w:eastAsia="Times New Roman"/>
                <w:bCs/>
                <w:color w:val="000000"/>
                <w:sz w:val="24"/>
                <w:szCs w:val="24"/>
                <w:lang w:val="en-US"/>
              </w:rPr>
              <w:t>штатних</w:t>
            </w:r>
          </w:p>
        </w:tc>
        <w:tc>
          <w:tcPr>
            <w:tcW w:w="0" w:type="auto"/>
            <w:tcBorders>
              <w:top w:val="nil"/>
              <w:left w:val="nil"/>
              <w:bottom w:val="single" w:sz="4" w:space="0" w:color="auto"/>
              <w:right w:val="single" w:sz="4" w:space="0" w:color="auto"/>
            </w:tcBorders>
            <w:shd w:val="clear" w:color="auto" w:fill="auto"/>
            <w:vAlign w:val="center"/>
            <w:hideMark/>
          </w:tcPr>
          <w:p w:rsidR="00E8013F" w:rsidRPr="00691330" w:rsidRDefault="00E8013F" w:rsidP="00691330">
            <w:pPr>
              <w:spacing w:line="276" w:lineRule="auto"/>
              <w:jc w:val="center"/>
              <w:rPr>
                <w:rFonts w:eastAsia="Times New Roman"/>
                <w:bCs/>
                <w:color w:val="000000"/>
                <w:sz w:val="24"/>
                <w:szCs w:val="24"/>
                <w:lang w:val="en-US"/>
              </w:rPr>
            </w:pPr>
            <w:r w:rsidRPr="00691330">
              <w:rPr>
                <w:rFonts w:eastAsia="Times New Roman"/>
                <w:bCs/>
                <w:color w:val="000000"/>
                <w:sz w:val="24"/>
                <w:szCs w:val="24"/>
                <w:lang w:val="en-US"/>
              </w:rPr>
              <w:t>зайнятих</w:t>
            </w:r>
          </w:p>
        </w:tc>
        <w:tc>
          <w:tcPr>
            <w:tcW w:w="0" w:type="auto"/>
            <w:vMerge/>
            <w:tcBorders>
              <w:top w:val="single" w:sz="4" w:space="0" w:color="auto"/>
              <w:left w:val="single" w:sz="4" w:space="0" w:color="auto"/>
              <w:bottom w:val="single" w:sz="4" w:space="0" w:color="000000"/>
              <w:right w:val="single" w:sz="4" w:space="0" w:color="auto"/>
            </w:tcBorders>
            <w:vAlign w:val="center"/>
            <w:hideMark/>
          </w:tcPr>
          <w:p w:rsidR="00E8013F" w:rsidRPr="00691330" w:rsidRDefault="00E8013F" w:rsidP="00691330">
            <w:pPr>
              <w:spacing w:line="276" w:lineRule="auto"/>
              <w:jc w:val="left"/>
              <w:rPr>
                <w:rFonts w:eastAsia="Times New Roman"/>
                <w:bCs/>
                <w:color w:val="000000"/>
                <w:sz w:val="24"/>
                <w:szCs w:val="24"/>
                <w:lang w:val="en-US"/>
              </w:rPr>
            </w:pPr>
          </w:p>
        </w:tc>
        <w:tc>
          <w:tcPr>
            <w:tcW w:w="0" w:type="auto"/>
            <w:vMerge/>
            <w:tcBorders>
              <w:top w:val="single" w:sz="4" w:space="0" w:color="auto"/>
              <w:left w:val="single" w:sz="4" w:space="0" w:color="auto"/>
              <w:bottom w:val="single" w:sz="4" w:space="0" w:color="000000"/>
              <w:right w:val="single" w:sz="4" w:space="0" w:color="auto"/>
            </w:tcBorders>
            <w:vAlign w:val="center"/>
          </w:tcPr>
          <w:p w:rsidR="00E8013F" w:rsidRPr="00691330" w:rsidRDefault="00E8013F" w:rsidP="00691330">
            <w:pPr>
              <w:spacing w:line="276" w:lineRule="auto"/>
              <w:jc w:val="left"/>
              <w:rPr>
                <w:rFonts w:eastAsia="Times New Roman"/>
                <w:bCs/>
                <w:color w:val="000000"/>
                <w:sz w:val="24"/>
                <w:szCs w:val="24"/>
                <w:lang w:val="en-US"/>
              </w:rPr>
            </w:pPr>
          </w:p>
        </w:tc>
        <w:tc>
          <w:tcPr>
            <w:tcW w:w="0" w:type="auto"/>
            <w:vMerge/>
            <w:tcBorders>
              <w:top w:val="single" w:sz="4" w:space="0" w:color="auto"/>
              <w:left w:val="single" w:sz="4" w:space="0" w:color="auto"/>
              <w:bottom w:val="single" w:sz="4" w:space="0" w:color="000000"/>
              <w:right w:val="single" w:sz="4" w:space="0" w:color="auto"/>
            </w:tcBorders>
            <w:vAlign w:val="center"/>
          </w:tcPr>
          <w:p w:rsidR="00E8013F" w:rsidRPr="00691330" w:rsidRDefault="00E8013F" w:rsidP="00691330">
            <w:pPr>
              <w:spacing w:line="276" w:lineRule="auto"/>
              <w:jc w:val="left"/>
              <w:rPr>
                <w:rFonts w:eastAsia="Times New Roman"/>
                <w:bCs/>
                <w:color w:val="000000"/>
                <w:sz w:val="24"/>
                <w:szCs w:val="24"/>
                <w:lang w:val="en-US"/>
              </w:rPr>
            </w:pPr>
          </w:p>
        </w:tc>
      </w:tr>
      <w:tr w:rsidR="00E8013F" w:rsidRPr="00691330" w:rsidTr="00223D4E">
        <w:trPr>
          <w:trHeight w:val="21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rsidR="00E8013F" w:rsidRPr="00691330" w:rsidRDefault="00E8013F" w:rsidP="00691330">
            <w:pPr>
              <w:spacing w:line="276" w:lineRule="auto"/>
              <w:jc w:val="left"/>
              <w:rPr>
                <w:rFonts w:eastAsia="Times New Roman"/>
                <w:bCs/>
                <w:color w:val="000000"/>
                <w:sz w:val="24"/>
                <w:szCs w:val="24"/>
                <w:lang w:val="en-US"/>
              </w:rPr>
            </w:pPr>
            <w:r w:rsidRPr="00691330">
              <w:rPr>
                <w:rFonts w:eastAsia="Times New Roman"/>
                <w:bCs/>
                <w:color w:val="000000"/>
                <w:sz w:val="24"/>
                <w:szCs w:val="24"/>
                <w:lang w:val="en-US"/>
              </w:rPr>
              <w:t>Україна</w:t>
            </w:r>
          </w:p>
        </w:tc>
        <w:tc>
          <w:tcPr>
            <w:tcW w:w="0" w:type="auto"/>
            <w:tcBorders>
              <w:top w:val="nil"/>
              <w:left w:val="nil"/>
              <w:bottom w:val="single" w:sz="4" w:space="0" w:color="auto"/>
              <w:right w:val="single" w:sz="4" w:space="0" w:color="auto"/>
            </w:tcBorders>
            <w:shd w:val="clear" w:color="auto" w:fill="auto"/>
            <w:vAlign w:val="center"/>
            <w:hideMark/>
          </w:tcPr>
          <w:p w:rsidR="00E8013F" w:rsidRPr="00691330" w:rsidRDefault="00E8013F" w:rsidP="00691330">
            <w:pPr>
              <w:spacing w:line="276" w:lineRule="auto"/>
              <w:jc w:val="center"/>
              <w:rPr>
                <w:rFonts w:eastAsia="Times New Roman"/>
                <w:bCs/>
                <w:color w:val="000000"/>
                <w:sz w:val="24"/>
                <w:szCs w:val="24"/>
                <w:lang w:val="en-US"/>
              </w:rPr>
            </w:pPr>
            <w:r w:rsidRPr="00691330">
              <w:rPr>
                <w:rFonts w:eastAsia="Times New Roman"/>
                <w:bCs/>
                <w:color w:val="000000"/>
                <w:sz w:val="24"/>
                <w:szCs w:val="24"/>
                <w:lang w:val="en-US"/>
              </w:rPr>
              <w:t>1 877,75</w:t>
            </w:r>
          </w:p>
        </w:tc>
        <w:tc>
          <w:tcPr>
            <w:tcW w:w="0" w:type="auto"/>
            <w:tcBorders>
              <w:top w:val="nil"/>
              <w:left w:val="nil"/>
              <w:bottom w:val="single" w:sz="4" w:space="0" w:color="auto"/>
              <w:right w:val="single" w:sz="4" w:space="0" w:color="auto"/>
            </w:tcBorders>
            <w:shd w:val="clear" w:color="auto" w:fill="auto"/>
            <w:vAlign w:val="center"/>
            <w:hideMark/>
          </w:tcPr>
          <w:p w:rsidR="00E8013F" w:rsidRPr="00691330" w:rsidRDefault="00E8013F" w:rsidP="00691330">
            <w:pPr>
              <w:spacing w:line="276" w:lineRule="auto"/>
              <w:jc w:val="center"/>
              <w:rPr>
                <w:rFonts w:eastAsia="Times New Roman"/>
                <w:bCs/>
                <w:color w:val="000000"/>
                <w:sz w:val="24"/>
                <w:szCs w:val="24"/>
                <w:lang w:val="en-US"/>
              </w:rPr>
            </w:pPr>
            <w:r w:rsidRPr="00691330">
              <w:rPr>
                <w:rFonts w:eastAsia="Times New Roman"/>
                <w:bCs/>
                <w:color w:val="000000"/>
                <w:sz w:val="24"/>
                <w:szCs w:val="24"/>
                <w:lang w:val="en-US"/>
              </w:rPr>
              <w:t>1 694,75</w:t>
            </w:r>
          </w:p>
        </w:tc>
        <w:tc>
          <w:tcPr>
            <w:tcW w:w="0" w:type="auto"/>
            <w:tcBorders>
              <w:top w:val="nil"/>
              <w:left w:val="nil"/>
              <w:bottom w:val="single" w:sz="4" w:space="0" w:color="auto"/>
              <w:right w:val="single" w:sz="4" w:space="0" w:color="auto"/>
            </w:tcBorders>
            <w:shd w:val="clear" w:color="auto" w:fill="auto"/>
            <w:vAlign w:val="center"/>
            <w:hideMark/>
          </w:tcPr>
          <w:p w:rsidR="00E8013F" w:rsidRPr="00691330" w:rsidRDefault="00E8013F" w:rsidP="00691330">
            <w:pPr>
              <w:spacing w:line="276" w:lineRule="auto"/>
              <w:jc w:val="center"/>
              <w:rPr>
                <w:rFonts w:eastAsia="Times New Roman"/>
                <w:bCs/>
                <w:color w:val="000000"/>
                <w:sz w:val="24"/>
                <w:szCs w:val="24"/>
                <w:lang w:val="en-US"/>
              </w:rPr>
            </w:pPr>
            <w:r w:rsidRPr="00691330">
              <w:rPr>
                <w:rFonts w:eastAsia="Times New Roman"/>
                <w:bCs/>
                <w:color w:val="000000"/>
                <w:sz w:val="24"/>
                <w:szCs w:val="24"/>
                <w:lang w:val="en-US"/>
              </w:rPr>
              <w:t>1 452,00</w:t>
            </w:r>
          </w:p>
        </w:tc>
        <w:tc>
          <w:tcPr>
            <w:tcW w:w="0" w:type="auto"/>
            <w:tcBorders>
              <w:top w:val="nil"/>
              <w:left w:val="nil"/>
              <w:bottom w:val="single" w:sz="4" w:space="0" w:color="auto"/>
              <w:right w:val="single" w:sz="4" w:space="0" w:color="auto"/>
            </w:tcBorders>
            <w:shd w:val="clear" w:color="auto" w:fill="auto"/>
            <w:vAlign w:val="center"/>
          </w:tcPr>
          <w:p w:rsidR="00E8013F" w:rsidRPr="00691330" w:rsidRDefault="00E8013F" w:rsidP="00691330">
            <w:pPr>
              <w:spacing w:line="276" w:lineRule="auto"/>
              <w:jc w:val="center"/>
              <w:rPr>
                <w:rFonts w:eastAsia="Times New Roman"/>
                <w:bCs/>
                <w:color w:val="000000"/>
                <w:sz w:val="24"/>
                <w:szCs w:val="24"/>
              </w:rPr>
            </w:pPr>
            <w:r w:rsidRPr="00691330">
              <w:rPr>
                <w:rFonts w:eastAsia="Times New Roman"/>
                <w:bCs/>
                <w:color w:val="000000"/>
                <w:sz w:val="24"/>
                <w:szCs w:val="24"/>
              </w:rPr>
              <w:t>90,25</w:t>
            </w:r>
          </w:p>
        </w:tc>
        <w:tc>
          <w:tcPr>
            <w:tcW w:w="0" w:type="auto"/>
            <w:tcBorders>
              <w:top w:val="nil"/>
              <w:left w:val="nil"/>
              <w:bottom w:val="single" w:sz="4" w:space="0" w:color="auto"/>
              <w:right w:val="single" w:sz="4" w:space="0" w:color="auto"/>
            </w:tcBorders>
            <w:shd w:val="clear" w:color="auto" w:fill="auto"/>
            <w:vAlign w:val="center"/>
          </w:tcPr>
          <w:p w:rsidR="00E8013F" w:rsidRPr="00691330" w:rsidRDefault="00E8013F" w:rsidP="00691330">
            <w:pPr>
              <w:spacing w:line="276" w:lineRule="auto"/>
              <w:jc w:val="center"/>
              <w:rPr>
                <w:rFonts w:eastAsia="Times New Roman"/>
                <w:bCs/>
                <w:color w:val="000000"/>
                <w:sz w:val="24"/>
                <w:szCs w:val="24"/>
              </w:rPr>
            </w:pPr>
            <w:r w:rsidRPr="00691330">
              <w:rPr>
                <w:rFonts w:eastAsia="Times New Roman"/>
                <w:bCs/>
                <w:color w:val="000000"/>
                <w:sz w:val="24"/>
                <w:szCs w:val="24"/>
              </w:rPr>
              <w:t>77,73</w:t>
            </w:r>
          </w:p>
        </w:tc>
      </w:tr>
      <w:tr w:rsidR="00E8013F" w:rsidRPr="00691330" w:rsidTr="00223D4E">
        <w:trPr>
          <w:trHeight w:val="21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rsidR="00E8013F" w:rsidRPr="00691330" w:rsidRDefault="00E8013F" w:rsidP="00691330">
            <w:pPr>
              <w:spacing w:line="276" w:lineRule="auto"/>
              <w:jc w:val="left"/>
              <w:rPr>
                <w:rFonts w:eastAsia="Times New Roman"/>
                <w:bCs/>
                <w:color w:val="000000"/>
                <w:sz w:val="24"/>
                <w:szCs w:val="24"/>
                <w:lang w:val="en-US"/>
              </w:rPr>
            </w:pPr>
            <w:r w:rsidRPr="00691330">
              <w:rPr>
                <w:rFonts w:eastAsia="Times New Roman"/>
                <w:bCs/>
                <w:color w:val="000000"/>
                <w:sz w:val="24"/>
                <w:szCs w:val="24"/>
                <w:lang w:val="en-US"/>
              </w:rPr>
              <w:t>Вінницька</w:t>
            </w:r>
          </w:p>
        </w:tc>
        <w:tc>
          <w:tcPr>
            <w:tcW w:w="0" w:type="auto"/>
            <w:tcBorders>
              <w:top w:val="nil"/>
              <w:left w:val="nil"/>
              <w:bottom w:val="single" w:sz="4" w:space="0" w:color="auto"/>
              <w:right w:val="single" w:sz="4" w:space="0" w:color="auto"/>
            </w:tcBorders>
            <w:shd w:val="clear" w:color="auto" w:fill="auto"/>
            <w:vAlign w:val="center"/>
            <w:hideMark/>
          </w:tcPr>
          <w:p w:rsidR="00E8013F" w:rsidRPr="00691330" w:rsidRDefault="00E8013F" w:rsidP="00691330">
            <w:pPr>
              <w:spacing w:line="276" w:lineRule="auto"/>
              <w:jc w:val="center"/>
              <w:rPr>
                <w:rFonts w:eastAsia="Times New Roman"/>
                <w:bCs/>
                <w:color w:val="000000"/>
                <w:sz w:val="24"/>
                <w:szCs w:val="24"/>
                <w:lang w:val="en-US"/>
              </w:rPr>
            </w:pPr>
            <w:r w:rsidRPr="00691330">
              <w:rPr>
                <w:rFonts w:eastAsia="Times New Roman"/>
                <w:bCs/>
                <w:color w:val="000000"/>
                <w:sz w:val="24"/>
                <w:szCs w:val="24"/>
                <w:lang w:val="en-US"/>
              </w:rPr>
              <w:t>77,75</w:t>
            </w:r>
          </w:p>
        </w:tc>
        <w:tc>
          <w:tcPr>
            <w:tcW w:w="0" w:type="auto"/>
            <w:tcBorders>
              <w:top w:val="nil"/>
              <w:left w:val="nil"/>
              <w:bottom w:val="single" w:sz="4" w:space="0" w:color="auto"/>
              <w:right w:val="single" w:sz="4" w:space="0" w:color="auto"/>
            </w:tcBorders>
            <w:shd w:val="clear" w:color="auto" w:fill="auto"/>
            <w:vAlign w:val="center"/>
            <w:hideMark/>
          </w:tcPr>
          <w:p w:rsidR="00E8013F" w:rsidRPr="00691330" w:rsidRDefault="00E8013F" w:rsidP="00691330">
            <w:pPr>
              <w:spacing w:line="276" w:lineRule="auto"/>
              <w:jc w:val="center"/>
              <w:rPr>
                <w:rFonts w:eastAsia="Times New Roman"/>
                <w:bCs/>
                <w:color w:val="000000"/>
                <w:sz w:val="24"/>
                <w:szCs w:val="24"/>
                <w:lang w:val="en-US"/>
              </w:rPr>
            </w:pPr>
            <w:r w:rsidRPr="00691330">
              <w:rPr>
                <w:rFonts w:eastAsia="Times New Roman"/>
                <w:bCs/>
                <w:color w:val="000000"/>
                <w:sz w:val="24"/>
                <w:szCs w:val="24"/>
                <w:lang w:val="en-US"/>
              </w:rPr>
              <w:t>68,50</w:t>
            </w:r>
          </w:p>
        </w:tc>
        <w:tc>
          <w:tcPr>
            <w:tcW w:w="0" w:type="auto"/>
            <w:tcBorders>
              <w:top w:val="nil"/>
              <w:left w:val="nil"/>
              <w:bottom w:val="single" w:sz="4" w:space="0" w:color="auto"/>
              <w:right w:val="single" w:sz="4" w:space="0" w:color="auto"/>
            </w:tcBorders>
            <w:shd w:val="clear" w:color="auto" w:fill="auto"/>
            <w:vAlign w:val="center"/>
            <w:hideMark/>
          </w:tcPr>
          <w:p w:rsidR="00E8013F" w:rsidRPr="00691330" w:rsidRDefault="00E8013F" w:rsidP="00691330">
            <w:pPr>
              <w:spacing w:line="276" w:lineRule="auto"/>
              <w:jc w:val="center"/>
              <w:rPr>
                <w:rFonts w:eastAsia="Times New Roman"/>
                <w:bCs/>
                <w:color w:val="000000"/>
                <w:sz w:val="24"/>
                <w:szCs w:val="24"/>
                <w:lang w:val="en-US"/>
              </w:rPr>
            </w:pPr>
            <w:r w:rsidRPr="00691330">
              <w:rPr>
                <w:rFonts w:eastAsia="Times New Roman"/>
                <w:bCs/>
                <w:color w:val="000000"/>
                <w:sz w:val="24"/>
                <w:szCs w:val="24"/>
                <w:lang w:val="en-US"/>
              </w:rPr>
              <w:t>64,00</w:t>
            </w:r>
          </w:p>
        </w:tc>
        <w:tc>
          <w:tcPr>
            <w:tcW w:w="0" w:type="auto"/>
            <w:tcBorders>
              <w:top w:val="nil"/>
              <w:left w:val="nil"/>
              <w:bottom w:val="single" w:sz="4" w:space="0" w:color="auto"/>
              <w:right w:val="single" w:sz="4" w:space="0" w:color="auto"/>
            </w:tcBorders>
            <w:shd w:val="clear" w:color="auto" w:fill="auto"/>
            <w:vAlign w:val="center"/>
          </w:tcPr>
          <w:p w:rsidR="00E8013F" w:rsidRPr="00691330" w:rsidRDefault="00E8013F" w:rsidP="00691330">
            <w:pPr>
              <w:spacing w:line="276" w:lineRule="auto"/>
              <w:jc w:val="center"/>
              <w:rPr>
                <w:rFonts w:eastAsia="Times New Roman"/>
                <w:bCs/>
                <w:color w:val="000000"/>
                <w:sz w:val="24"/>
                <w:szCs w:val="24"/>
              </w:rPr>
            </w:pPr>
            <w:r w:rsidRPr="00691330">
              <w:rPr>
                <w:rFonts w:eastAsia="Times New Roman"/>
                <w:bCs/>
                <w:color w:val="000000"/>
                <w:sz w:val="24"/>
                <w:szCs w:val="24"/>
              </w:rPr>
              <w:t>88,10</w:t>
            </w:r>
          </w:p>
        </w:tc>
        <w:tc>
          <w:tcPr>
            <w:tcW w:w="0" w:type="auto"/>
            <w:tcBorders>
              <w:top w:val="nil"/>
              <w:left w:val="nil"/>
              <w:bottom w:val="single" w:sz="4" w:space="0" w:color="auto"/>
              <w:right w:val="single" w:sz="4" w:space="0" w:color="auto"/>
            </w:tcBorders>
            <w:shd w:val="clear" w:color="auto" w:fill="auto"/>
            <w:vAlign w:val="center"/>
          </w:tcPr>
          <w:p w:rsidR="00E8013F" w:rsidRPr="00691330" w:rsidRDefault="00E8013F" w:rsidP="00691330">
            <w:pPr>
              <w:spacing w:line="276" w:lineRule="auto"/>
              <w:jc w:val="center"/>
              <w:rPr>
                <w:rFonts w:eastAsia="Times New Roman"/>
                <w:bCs/>
                <w:color w:val="000000"/>
                <w:sz w:val="24"/>
                <w:szCs w:val="24"/>
              </w:rPr>
            </w:pPr>
            <w:r w:rsidRPr="00691330">
              <w:rPr>
                <w:rFonts w:eastAsia="Times New Roman"/>
                <w:bCs/>
                <w:color w:val="000000"/>
                <w:sz w:val="24"/>
                <w:szCs w:val="24"/>
              </w:rPr>
              <w:t>82,32</w:t>
            </w:r>
          </w:p>
        </w:tc>
      </w:tr>
      <w:tr w:rsidR="00E8013F" w:rsidRPr="00691330" w:rsidTr="00223D4E">
        <w:trPr>
          <w:trHeight w:val="21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rsidR="00E8013F" w:rsidRPr="00691330" w:rsidRDefault="00E8013F" w:rsidP="00691330">
            <w:pPr>
              <w:spacing w:line="276" w:lineRule="auto"/>
              <w:jc w:val="left"/>
              <w:rPr>
                <w:rFonts w:eastAsia="Times New Roman"/>
                <w:bCs/>
                <w:color w:val="000000"/>
                <w:sz w:val="24"/>
                <w:szCs w:val="24"/>
                <w:lang w:val="en-US"/>
              </w:rPr>
            </w:pPr>
            <w:r w:rsidRPr="00691330">
              <w:rPr>
                <w:rFonts w:eastAsia="Times New Roman"/>
                <w:bCs/>
                <w:color w:val="000000"/>
                <w:sz w:val="24"/>
                <w:szCs w:val="24"/>
                <w:lang w:val="en-US"/>
              </w:rPr>
              <w:t>Волинська</w:t>
            </w:r>
          </w:p>
        </w:tc>
        <w:tc>
          <w:tcPr>
            <w:tcW w:w="0" w:type="auto"/>
            <w:tcBorders>
              <w:top w:val="nil"/>
              <w:left w:val="nil"/>
              <w:bottom w:val="single" w:sz="4" w:space="0" w:color="auto"/>
              <w:right w:val="single" w:sz="4" w:space="0" w:color="auto"/>
            </w:tcBorders>
            <w:shd w:val="clear" w:color="auto" w:fill="auto"/>
            <w:vAlign w:val="center"/>
            <w:hideMark/>
          </w:tcPr>
          <w:p w:rsidR="00E8013F" w:rsidRPr="00691330" w:rsidRDefault="00E8013F" w:rsidP="00691330">
            <w:pPr>
              <w:spacing w:line="276" w:lineRule="auto"/>
              <w:jc w:val="center"/>
              <w:rPr>
                <w:rFonts w:eastAsia="Times New Roman"/>
                <w:bCs/>
                <w:color w:val="000000"/>
                <w:sz w:val="24"/>
                <w:szCs w:val="24"/>
                <w:lang w:val="en-US"/>
              </w:rPr>
            </w:pPr>
            <w:r w:rsidRPr="00691330">
              <w:rPr>
                <w:rFonts w:eastAsia="Times New Roman"/>
                <w:bCs/>
                <w:color w:val="000000"/>
                <w:sz w:val="24"/>
                <w:szCs w:val="24"/>
                <w:lang w:val="en-US"/>
              </w:rPr>
              <w:t>52,25</w:t>
            </w:r>
          </w:p>
        </w:tc>
        <w:tc>
          <w:tcPr>
            <w:tcW w:w="0" w:type="auto"/>
            <w:tcBorders>
              <w:top w:val="nil"/>
              <w:left w:val="nil"/>
              <w:bottom w:val="single" w:sz="4" w:space="0" w:color="auto"/>
              <w:right w:val="single" w:sz="4" w:space="0" w:color="auto"/>
            </w:tcBorders>
            <w:shd w:val="clear" w:color="auto" w:fill="auto"/>
            <w:vAlign w:val="center"/>
            <w:hideMark/>
          </w:tcPr>
          <w:p w:rsidR="00E8013F" w:rsidRPr="00691330" w:rsidRDefault="00E8013F" w:rsidP="00691330">
            <w:pPr>
              <w:spacing w:line="276" w:lineRule="auto"/>
              <w:jc w:val="center"/>
              <w:rPr>
                <w:rFonts w:eastAsia="Times New Roman"/>
                <w:bCs/>
                <w:color w:val="000000"/>
                <w:sz w:val="24"/>
                <w:szCs w:val="24"/>
                <w:lang w:val="en-US"/>
              </w:rPr>
            </w:pPr>
            <w:r w:rsidRPr="00691330">
              <w:rPr>
                <w:rFonts w:eastAsia="Times New Roman"/>
                <w:bCs/>
                <w:color w:val="000000"/>
                <w:sz w:val="24"/>
                <w:szCs w:val="24"/>
                <w:lang w:val="en-US"/>
              </w:rPr>
              <w:t>33,50</w:t>
            </w:r>
          </w:p>
        </w:tc>
        <w:tc>
          <w:tcPr>
            <w:tcW w:w="0" w:type="auto"/>
            <w:tcBorders>
              <w:top w:val="nil"/>
              <w:left w:val="nil"/>
              <w:bottom w:val="single" w:sz="4" w:space="0" w:color="auto"/>
              <w:right w:val="single" w:sz="4" w:space="0" w:color="auto"/>
            </w:tcBorders>
            <w:shd w:val="clear" w:color="auto" w:fill="auto"/>
            <w:vAlign w:val="center"/>
            <w:hideMark/>
          </w:tcPr>
          <w:p w:rsidR="00E8013F" w:rsidRPr="00691330" w:rsidRDefault="00E8013F" w:rsidP="00691330">
            <w:pPr>
              <w:spacing w:line="276" w:lineRule="auto"/>
              <w:jc w:val="center"/>
              <w:rPr>
                <w:rFonts w:eastAsia="Times New Roman"/>
                <w:bCs/>
                <w:color w:val="000000"/>
                <w:sz w:val="24"/>
                <w:szCs w:val="24"/>
                <w:lang w:val="en-US"/>
              </w:rPr>
            </w:pPr>
            <w:r w:rsidRPr="00691330">
              <w:rPr>
                <w:rFonts w:eastAsia="Times New Roman"/>
                <w:bCs/>
                <w:color w:val="000000"/>
                <w:sz w:val="24"/>
                <w:szCs w:val="24"/>
                <w:lang w:val="en-US"/>
              </w:rPr>
              <w:t>33,00</w:t>
            </w:r>
          </w:p>
        </w:tc>
        <w:tc>
          <w:tcPr>
            <w:tcW w:w="0" w:type="auto"/>
            <w:tcBorders>
              <w:top w:val="nil"/>
              <w:left w:val="nil"/>
              <w:bottom w:val="single" w:sz="4" w:space="0" w:color="auto"/>
              <w:right w:val="single" w:sz="4" w:space="0" w:color="auto"/>
            </w:tcBorders>
            <w:shd w:val="clear" w:color="auto" w:fill="auto"/>
            <w:vAlign w:val="center"/>
          </w:tcPr>
          <w:p w:rsidR="00E8013F" w:rsidRPr="00691330" w:rsidRDefault="00E8013F" w:rsidP="00691330">
            <w:pPr>
              <w:spacing w:line="276" w:lineRule="auto"/>
              <w:jc w:val="center"/>
              <w:rPr>
                <w:rFonts w:eastAsia="Times New Roman"/>
                <w:bCs/>
                <w:color w:val="000000"/>
                <w:sz w:val="24"/>
                <w:szCs w:val="24"/>
              </w:rPr>
            </w:pPr>
            <w:r w:rsidRPr="00691330">
              <w:rPr>
                <w:rFonts w:eastAsia="Times New Roman"/>
                <w:bCs/>
                <w:color w:val="000000"/>
                <w:sz w:val="24"/>
                <w:szCs w:val="24"/>
              </w:rPr>
              <w:t>64,11</w:t>
            </w:r>
          </w:p>
        </w:tc>
        <w:tc>
          <w:tcPr>
            <w:tcW w:w="0" w:type="auto"/>
            <w:tcBorders>
              <w:top w:val="nil"/>
              <w:left w:val="nil"/>
              <w:bottom w:val="single" w:sz="4" w:space="0" w:color="auto"/>
              <w:right w:val="single" w:sz="4" w:space="0" w:color="auto"/>
            </w:tcBorders>
            <w:shd w:val="clear" w:color="auto" w:fill="auto"/>
            <w:vAlign w:val="center"/>
          </w:tcPr>
          <w:p w:rsidR="00E8013F" w:rsidRPr="00691330" w:rsidRDefault="00E8013F" w:rsidP="00691330">
            <w:pPr>
              <w:spacing w:line="276" w:lineRule="auto"/>
              <w:jc w:val="center"/>
              <w:rPr>
                <w:rFonts w:eastAsia="Times New Roman"/>
                <w:bCs/>
                <w:color w:val="000000"/>
                <w:sz w:val="24"/>
                <w:szCs w:val="24"/>
              </w:rPr>
            </w:pPr>
            <w:r w:rsidRPr="00691330">
              <w:rPr>
                <w:rFonts w:eastAsia="Times New Roman"/>
                <w:bCs/>
                <w:color w:val="000000"/>
                <w:sz w:val="24"/>
                <w:szCs w:val="24"/>
              </w:rPr>
              <w:t>63,16</w:t>
            </w:r>
          </w:p>
        </w:tc>
      </w:tr>
      <w:tr w:rsidR="00E8013F" w:rsidRPr="00691330" w:rsidTr="00223D4E">
        <w:trPr>
          <w:trHeight w:val="21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rsidR="00E8013F" w:rsidRPr="00691330" w:rsidRDefault="00E8013F" w:rsidP="00691330">
            <w:pPr>
              <w:spacing w:line="276" w:lineRule="auto"/>
              <w:jc w:val="left"/>
              <w:rPr>
                <w:rFonts w:eastAsia="Times New Roman"/>
                <w:bCs/>
                <w:color w:val="000000"/>
                <w:sz w:val="24"/>
                <w:szCs w:val="24"/>
                <w:lang w:val="en-US"/>
              </w:rPr>
            </w:pPr>
            <w:r w:rsidRPr="00691330">
              <w:rPr>
                <w:rFonts w:eastAsia="Times New Roman"/>
                <w:bCs/>
                <w:color w:val="000000"/>
                <w:sz w:val="24"/>
                <w:szCs w:val="24"/>
                <w:lang w:val="en-US"/>
              </w:rPr>
              <w:t>Дніпропетровська</w:t>
            </w:r>
          </w:p>
        </w:tc>
        <w:tc>
          <w:tcPr>
            <w:tcW w:w="0" w:type="auto"/>
            <w:tcBorders>
              <w:top w:val="nil"/>
              <w:left w:val="nil"/>
              <w:bottom w:val="single" w:sz="4" w:space="0" w:color="auto"/>
              <w:right w:val="single" w:sz="4" w:space="0" w:color="auto"/>
            </w:tcBorders>
            <w:shd w:val="clear" w:color="auto" w:fill="auto"/>
            <w:vAlign w:val="center"/>
            <w:hideMark/>
          </w:tcPr>
          <w:p w:rsidR="00E8013F" w:rsidRPr="00691330" w:rsidRDefault="00E8013F" w:rsidP="00691330">
            <w:pPr>
              <w:spacing w:line="276" w:lineRule="auto"/>
              <w:jc w:val="center"/>
              <w:rPr>
                <w:rFonts w:eastAsia="Times New Roman"/>
                <w:bCs/>
                <w:color w:val="000000"/>
                <w:sz w:val="24"/>
                <w:szCs w:val="24"/>
                <w:lang w:val="en-US"/>
              </w:rPr>
            </w:pPr>
            <w:r w:rsidRPr="00691330">
              <w:rPr>
                <w:rFonts w:eastAsia="Times New Roman"/>
                <w:bCs/>
                <w:color w:val="000000"/>
                <w:sz w:val="24"/>
                <w:szCs w:val="24"/>
                <w:lang w:val="en-US"/>
              </w:rPr>
              <w:t>126,50</w:t>
            </w:r>
          </w:p>
        </w:tc>
        <w:tc>
          <w:tcPr>
            <w:tcW w:w="0" w:type="auto"/>
            <w:tcBorders>
              <w:top w:val="nil"/>
              <w:left w:val="nil"/>
              <w:bottom w:val="single" w:sz="4" w:space="0" w:color="auto"/>
              <w:right w:val="single" w:sz="4" w:space="0" w:color="auto"/>
            </w:tcBorders>
            <w:shd w:val="clear" w:color="auto" w:fill="auto"/>
            <w:vAlign w:val="center"/>
            <w:hideMark/>
          </w:tcPr>
          <w:p w:rsidR="00E8013F" w:rsidRPr="00691330" w:rsidRDefault="00E8013F" w:rsidP="00691330">
            <w:pPr>
              <w:spacing w:line="276" w:lineRule="auto"/>
              <w:jc w:val="center"/>
              <w:rPr>
                <w:rFonts w:eastAsia="Times New Roman"/>
                <w:bCs/>
                <w:color w:val="000000"/>
                <w:sz w:val="24"/>
                <w:szCs w:val="24"/>
                <w:lang w:val="en-US"/>
              </w:rPr>
            </w:pPr>
            <w:r w:rsidRPr="00691330">
              <w:rPr>
                <w:rFonts w:eastAsia="Times New Roman"/>
                <w:bCs/>
                <w:color w:val="000000"/>
                <w:sz w:val="24"/>
                <w:szCs w:val="24"/>
                <w:lang w:val="en-US"/>
              </w:rPr>
              <w:t>108,75</w:t>
            </w:r>
          </w:p>
        </w:tc>
        <w:tc>
          <w:tcPr>
            <w:tcW w:w="0" w:type="auto"/>
            <w:tcBorders>
              <w:top w:val="nil"/>
              <w:left w:val="nil"/>
              <w:bottom w:val="single" w:sz="4" w:space="0" w:color="auto"/>
              <w:right w:val="single" w:sz="4" w:space="0" w:color="auto"/>
            </w:tcBorders>
            <w:shd w:val="clear" w:color="auto" w:fill="auto"/>
            <w:vAlign w:val="center"/>
            <w:hideMark/>
          </w:tcPr>
          <w:p w:rsidR="00E8013F" w:rsidRPr="00691330" w:rsidRDefault="00E8013F" w:rsidP="00691330">
            <w:pPr>
              <w:spacing w:line="276" w:lineRule="auto"/>
              <w:jc w:val="center"/>
              <w:rPr>
                <w:rFonts w:eastAsia="Times New Roman"/>
                <w:bCs/>
                <w:color w:val="000000"/>
                <w:sz w:val="24"/>
                <w:szCs w:val="24"/>
                <w:lang w:val="en-US"/>
              </w:rPr>
            </w:pPr>
            <w:r w:rsidRPr="00691330">
              <w:rPr>
                <w:rFonts w:eastAsia="Times New Roman"/>
                <w:bCs/>
                <w:color w:val="000000"/>
                <w:sz w:val="24"/>
                <w:szCs w:val="24"/>
                <w:lang w:val="en-US"/>
              </w:rPr>
              <w:t>93,00</w:t>
            </w:r>
          </w:p>
        </w:tc>
        <w:tc>
          <w:tcPr>
            <w:tcW w:w="0" w:type="auto"/>
            <w:tcBorders>
              <w:top w:val="nil"/>
              <w:left w:val="nil"/>
              <w:bottom w:val="single" w:sz="4" w:space="0" w:color="auto"/>
              <w:right w:val="single" w:sz="4" w:space="0" w:color="auto"/>
            </w:tcBorders>
            <w:shd w:val="clear" w:color="auto" w:fill="auto"/>
            <w:vAlign w:val="center"/>
          </w:tcPr>
          <w:p w:rsidR="00E8013F" w:rsidRPr="00691330" w:rsidRDefault="00E8013F" w:rsidP="00691330">
            <w:pPr>
              <w:spacing w:line="276" w:lineRule="auto"/>
              <w:jc w:val="center"/>
              <w:rPr>
                <w:rFonts w:eastAsia="Times New Roman"/>
                <w:bCs/>
                <w:color w:val="000000"/>
                <w:sz w:val="24"/>
                <w:szCs w:val="24"/>
              </w:rPr>
            </w:pPr>
            <w:r w:rsidRPr="00691330">
              <w:rPr>
                <w:rFonts w:eastAsia="Times New Roman"/>
                <w:bCs/>
                <w:color w:val="000000"/>
                <w:sz w:val="24"/>
                <w:szCs w:val="24"/>
              </w:rPr>
              <w:t>85,97</w:t>
            </w:r>
          </w:p>
        </w:tc>
        <w:tc>
          <w:tcPr>
            <w:tcW w:w="0" w:type="auto"/>
            <w:tcBorders>
              <w:top w:val="nil"/>
              <w:left w:val="nil"/>
              <w:bottom w:val="single" w:sz="4" w:space="0" w:color="auto"/>
              <w:right w:val="single" w:sz="4" w:space="0" w:color="auto"/>
            </w:tcBorders>
            <w:shd w:val="clear" w:color="auto" w:fill="auto"/>
            <w:vAlign w:val="center"/>
          </w:tcPr>
          <w:p w:rsidR="00E8013F" w:rsidRPr="00691330" w:rsidRDefault="00E8013F" w:rsidP="00691330">
            <w:pPr>
              <w:spacing w:line="276" w:lineRule="auto"/>
              <w:jc w:val="center"/>
              <w:rPr>
                <w:rFonts w:eastAsia="Times New Roman"/>
                <w:bCs/>
                <w:color w:val="000000"/>
                <w:sz w:val="24"/>
                <w:szCs w:val="24"/>
              </w:rPr>
            </w:pPr>
            <w:r w:rsidRPr="00691330">
              <w:rPr>
                <w:rFonts w:eastAsia="Times New Roman"/>
                <w:bCs/>
                <w:color w:val="000000"/>
                <w:sz w:val="24"/>
                <w:szCs w:val="24"/>
              </w:rPr>
              <w:t>73,52</w:t>
            </w:r>
          </w:p>
        </w:tc>
      </w:tr>
      <w:tr w:rsidR="00E8013F" w:rsidRPr="00691330" w:rsidTr="00223D4E">
        <w:trPr>
          <w:trHeight w:val="21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rsidR="00E8013F" w:rsidRPr="00691330" w:rsidRDefault="00E8013F" w:rsidP="00691330">
            <w:pPr>
              <w:spacing w:line="276" w:lineRule="auto"/>
              <w:jc w:val="left"/>
              <w:rPr>
                <w:rFonts w:eastAsia="Times New Roman"/>
                <w:bCs/>
                <w:color w:val="000000"/>
                <w:sz w:val="24"/>
                <w:szCs w:val="24"/>
                <w:lang w:val="en-US"/>
              </w:rPr>
            </w:pPr>
            <w:r w:rsidRPr="00691330">
              <w:rPr>
                <w:rFonts w:eastAsia="Times New Roman"/>
                <w:bCs/>
                <w:color w:val="000000"/>
                <w:sz w:val="24"/>
                <w:szCs w:val="24"/>
                <w:lang w:val="en-US"/>
              </w:rPr>
              <w:t>Донецька</w:t>
            </w:r>
          </w:p>
        </w:tc>
        <w:tc>
          <w:tcPr>
            <w:tcW w:w="0" w:type="auto"/>
            <w:tcBorders>
              <w:top w:val="nil"/>
              <w:left w:val="nil"/>
              <w:bottom w:val="single" w:sz="4" w:space="0" w:color="auto"/>
              <w:right w:val="single" w:sz="4" w:space="0" w:color="auto"/>
            </w:tcBorders>
            <w:shd w:val="clear" w:color="auto" w:fill="auto"/>
            <w:vAlign w:val="center"/>
            <w:hideMark/>
          </w:tcPr>
          <w:p w:rsidR="00E8013F" w:rsidRPr="00691330" w:rsidRDefault="00E8013F" w:rsidP="00691330">
            <w:pPr>
              <w:spacing w:line="276" w:lineRule="auto"/>
              <w:jc w:val="center"/>
              <w:rPr>
                <w:rFonts w:eastAsia="Times New Roman"/>
                <w:bCs/>
                <w:color w:val="000000"/>
                <w:sz w:val="24"/>
                <w:szCs w:val="24"/>
                <w:lang w:val="en-US"/>
              </w:rPr>
            </w:pPr>
            <w:r w:rsidRPr="00691330">
              <w:rPr>
                <w:rFonts w:eastAsia="Times New Roman"/>
                <w:bCs/>
                <w:color w:val="000000"/>
                <w:sz w:val="24"/>
                <w:szCs w:val="24"/>
                <w:lang w:val="en-US"/>
              </w:rPr>
              <w:t>86,00</w:t>
            </w:r>
          </w:p>
        </w:tc>
        <w:tc>
          <w:tcPr>
            <w:tcW w:w="0" w:type="auto"/>
            <w:tcBorders>
              <w:top w:val="nil"/>
              <w:left w:val="nil"/>
              <w:bottom w:val="single" w:sz="4" w:space="0" w:color="auto"/>
              <w:right w:val="single" w:sz="4" w:space="0" w:color="auto"/>
            </w:tcBorders>
            <w:shd w:val="clear" w:color="auto" w:fill="auto"/>
            <w:vAlign w:val="center"/>
            <w:hideMark/>
          </w:tcPr>
          <w:p w:rsidR="00E8013F" w:rsidRPr="00691330" w:rsidRDefault="00E8013F" w:rsidP="00691330">
            <w:pPr>
              <w:spacing w:line="276" w:lineRule="auto"/>
              <w:jc w:val="center"/>
              <w:rPr>
                <w:rFonts w:eastAsia="Times New Roman"/>
                <w:bCs/>
                <w:color w:val="000000"/>
                <w:sz w:val="24"/>
                <w:szCs w:val="24"/>
                <w:lang w:val="en-US"/>
              </w:rPr>
            </w:pPr>
            <w:r w:rsidRPr="00691330">
              <w:rPr>
                <w:rFonts w:eastAsia="Times New Roman"/>
                <w:bCs/>
                <w:color w:val="000000"/>
                <w:sz w:val="24"/>
                <w:szCs w:val="24"/>
                <w:lang w:val="en-US"/>
              </w:rPr>
              <w:t>72,75</w:t>
            </w:r>
          </w:p>
        </w:tc>
        <w:tc>
          <w:tcPr>
            <w:tcW w:w="0" w:type="auto"/>
            <w:tcBorders>
              <w:top w:val="nil"/>
              <w:left w:val="nil"/>
              <w:bottom w:val="single" w:sz="4" w:space="0" w:color="auto"/>
              <w:right w:val="single" w:sz="4" w:space="0" w:color="auto"/>
            </w:tcBorders>
            <w:shd w:val="clear" w:color="auto" w:fill="auto"/>
            <w:vAlign w:val="center"/>
            <w:hideMark/>
          </w:tcPr>
          <w:p w:rsidR="00E8013F" w:rsidRPr="00691330" w:rsidRDefault="00E8013F" w:rsidP="00691330">
            <w:pPr>
              <w:spacing w:line="276" w:lineRule="auto"/>
              <w:jc w:val="center"/>
              <w:rPr>
                <w:rFonts w:eastAsia="Times New Roman"/>
                <w:bCs/>
                <w:color w:val="000000"/>
                <w:sz w:val="24"/>
                <w:szCs w:val="24"/>
                <w:lang w:val="en-US"/>
              </w:rPr>
            </w:pPr>
            <w:r w:rsidRPr="00691330">
              <w:rPr>
                <w:rFonts w:eastAsia="Times New Roman"/>
                <w:bCs/>
                <w:color w:val="000000"/>
                <w:sz w:val="24"/>
                <w:szCs w:val="24"/>
                <w:lang w:val="en-US"/>
              </w:rPr>
              <w:t>57,00</w:t>
            </w:r>
          </w:p>
        </w:tc>
        <w:tc>
          <w:tcPr>
            <w:tcW w:w="0" w:type="auto"/>
            <w:tcBorders>
              <w:top w:val="nil"/>
              <w:left w:val="nil"/>
              <w:bottom w:val="single" w:sz="4" w:space="0" w:color="auto"/>
              <w:right w:val="single" w:sz="4" w:space="0" w:color="auto"/>
            </w:tcBorders>
            <w:shd w:val="clear" w:color="auto" w:fill="auto"/>
            <w:vAlign w:val="center"/>
          </w:tcPr>
          <w:p w:rsidR="00E8013F" w:rsidRPr="00691330" w:rsidRDefault="00E8013F" w:rsidP="00691330">
            <w:pPr>
              <w:spacing w:line="276" w:lineRule="auto"/>
              <w:jc w:val="center"/>
              <w:rPr>
                <w:rFonts w:eastAsia="Times New Roman"/>
                <w:bCs/>
                <w:color w:val="000000"/>
                <w:sz w:val="24"/>
                <w:szCs w:val="24"/>
              </w:rPr>
            </w:pPr>
            <w:r w:rsidRPr="00691330">
              <w:rPr>
                <w:rFonts w:eastAsia="Times New Roman"/>
                <w:bCs/>
                <w:color w:val="000000"/>
                <w:sz w:val="24"/>
                <w:szCs w:val="24"/>
              </w:rPr>
              <w:t>84,6</w:t>
            </w:r>
          </w:p>
        </w:tc>
        <w:tc>
          <w:tcPr>
            <w:tcW w:w="0" w:type="auto"/>
            <w:tcBorders>
              <w:top w:val="nil"/>
              <w:left w:val="nil"/>
              <w:bottom w:val="single" w:sz="4" w:space="0" w:color="auto"/>
              <w:right w:val="single" w:sz="4" w:space="0" w:color="auto"/>
            </w:tcBorders>
            <w:shd w:val="clear" w:color="auto" w:fill="auto"/>
            <w:vAlign w:val="center"/>
          </w:tcPr>
          <w:p w:rsidR="00E8013F" w:rsidRPr="00691330" w:rsidRDefault="00E8013F" w:rsidP="00691330">
            <w:pPr>
              <w:spacing w:line="276" w:lineRule="auto"/>
              <w:jc w:val="center"/>
              <w:rPr>
                <w:rFonts w:eastAsia="Times New Roman"/>
                <w:bCs/>
                <w:color w:val="000000"/>
                <w:sz w:val="24"/>
                <w:szCs w:val="24"/>
              </w:rPr>
            </w:pPr>
            <w:r w:rsidRPr="00691330">
              <w:rPr>
                <w:rFonts w:eastAsia="Times New Roman"/>
                <w:bCs/>
                <w:color w:val="000000"/>
                <w:sz w:val="24"/>
                <w:szCs w:val="24"/>
              </w:rPr>
              <w:t>66,28</w:t>
            </w:r>
          </w:p>
        </w:tc>
      </w:tr>
      <w:tr w:rsidR="00E8013F" w:rsidRPr="00691330" w:rsidTr="00223D4E">
        <w:trPr>
          <w:trHeight w:val="21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rsidR="00E8013F" w:rsidRPr="00691330" w:rsidRDefault="00E8013F" w:rsidP="00691330">
            <w:pPr>
              <w:spacing w:line="276" w:lineRule="auto"/>
              <w:jc w:val="left"/>
              <w:rPr>
                <w:rFonts w:eastAsia="Times New Roman"/>
                <w:bCs/>
                <w:color w:val="000000"/>
                <w:sz w:val="24"/>
                <w:szCs w:val="24"/>
                <w:lang w:val="en-US"/>
              </w:rPr>
            </w:pPr>
            <w:r w:rsidRPr="00691330">
              <w:rPr>
                <w:rFonts w:eastAsia="Times New Roman"/>
                <w:bCs/>
                <w:color w:val="000000"/>
                <w:sz w:val="24"/>
                <w:szCs w:val="24"/>
                <w:lang w:val="en-US"/>
              </w:rPr>
              <w:t>Житомирська</w:t>
            </w:r>
          </w:p>
        </w:tc>
        <w:tc>
          <w:tcPr>
            <w:tcW w:w="0" w:type="auto"/>
            <w:tcBorders>
              <w:top w:val="nil"/>
              <w:left w:val="nil"/>
              <w:bottom w:val="single" w:sz="4" w:space="0" w:color="auto"/>
              <w:right w:val="single" w:sz="4" w:space="0" w:color="auto"/>
            </w:tcBorders>
            <w:shd w:val="clear" w:color="auto" w:fill="auto"/>
            <w:vAlign w:val="center"/>
            <w:hideMark/>
          </w:tcPr>
          <w:p w:rsidR="00E8013F" w:rsidRPr="00691330" w:rsidRDefault="00E8013F" w:rsidP="00691330">
            <w:pPr>
              <w:spacing w:line="276" w:lineRule="auto"/>
              <w:jc w:val="center"/>
              <w:rPr>
                <w:rFonts w:eastAsia="Times New Roman"/>
                <w:bCs/>
                <w:color w:val="000000"/>
                <w:sz w:val="24"/>
                <w:szCs w:val="24"/>
                <w:lang w:val="en-US"/>
              </w:rPr>
            </w:pPr>
            <w:r w:rsidRPr="00691330">
              <w:rPr>
                <w:rFonts w:eastAsia="Times New Roman"/>
                <w:bCs/>
                <w:color w:val="000000"/>
                <w:sz w:val="24"/>
                <w:szCs w:val="24"/>
                <w:lang w:val="en-US"/>
              </w:rPr>
              <w:t>61,50</w:t>
            </w:r>
          </w:p>
        </w:tc>
        <w:tc>
          <w:tcPr>
            <w:tcW w:w="0" w:type="auto"/>
            <w:tcBorders>
              <w:top w:val="nil"/>
              <w:left w:val="nil"/>
              <w:bottom w:val="single" w:sz="4" w:space="0" w:color="auto"/>
              <w:right w:val="single" w:sz="4" w:space="0" w:color="auto"/>
            </w:tcBorders>
            <w:shd w:val="clear" w:color="auto" w:fill="auto"/>
            <w:vAlign w:val="center"/>
            <w:hideMark/>
          </w:tcPr>
          <w:p w:rsidR="00E8013F" w:rsidRPr="00691330" w:rsidRDefault="00E8013F" w:rsidP="00691330">
            <w:pPr>
              <w:spacing w:line="276" w:lineRule="auto"/>
              <w:jc w:val="center"/>
              <w:rPr>
                <w:rFonts w:eastAsia="Times New Roman"/>
                <w:bCs/>
                <w:color w:val="000000"/>
                <w:sz w:val="24"/>
                <w:szCs w:val="24"/>
                <w:lang w:val="en-US"/>
              </w:rPr>
            </w:pPr>
            <w:r w:rsidRPr="00691330">
              <w:rPr>
                <w:rFonts w:eastAsia="Times New Roman"/>
                <w:bCs/>
                <w:color w:val="000000"/>
                <w:sz w:val="24"/>
                <w:szCs w:val="24"/>
                <w:lang w:val="en-US"/>
              </w:rPr>
              <w:t>60,50</w:t>
            </w:r>
          </w:p>
        </w:tc>
        <w:tc>
          <w:tcPr>
            <w:tcW w:w="0" w:type="auto"/>
            <w:tcBorders>
              <w:top w:val="nil"/>
              <w:left w:val="nil"/>
              <w:bottom w:val="single" w:sz="4" w:space="0" w:color="auto"/>
              <w:right w:val="single" w:sz="4" w:space="0" w:color="auto"/>
            </w:tcBorders>
            <w:shd w:val="clear" w:color="auto" w:fill="auto"/>
            <w:vAlign w:val="center"/>
            <w:hideMark/>
          </w:tcPr>
          <w:p w:rsidR="00E8013F" w:rsidRPr="00691330" w:rsidRDefault="00E8013F" w:rsidP="00691330">
            <w:pPr>
              <w:spacing w:line="276" w:lineRule="auto"/>
              <w:jc w:val="center"/>
              <w:rPr>
                <w:rFonts w:eastAsia="Times New Roman"/>
                <w:bCs/>
                <w:color w:val="000000"/>
                <w:sz w:val="24"/>
                <w:szCs w:val="24"/>
                <w:lang w:val="en-US"/>
              </w:rPr>
            </w:pPr>
            <w:r w:rsidRPr="00691330">
              <w:rPr>
                <w:rFonts w:eastAsia="Times New Roman"/>
                <w:bCs/>
                <w:color w:val="000000"/>
                <w:sz w:val="24"/>
                <w:szCs w:val="24"/>
                <w:lang w:val="en-US"/>
              </w:rPr>
              <w:t>51,00</w:t>
            </w:r>
          </w:p>
        </w:tc>
        <w:tc>
          <w:tcPr>
            <w:tcW w:w="0" w:type="auto"/>
            <w:tcBorders>
              <w:top w:val="nil"/>
              <w:left w:val="nil"/>
              <w:bottom w:val="single" w:sz="4" w:space="0" w:color="auto"/>
              <w:right w:val="single" w:sz="4" w:space="0" w:color="auto"/>
            </w:tcBorders>
            <w:shd w:val="clear" w:color="auto" w:fill="auto"/>
            <w:vAlign w:val="center"/>
          </w:tcPr>
          <w:p w:rsidR="00E8013F" w:rsidRPr="00691330" w:rsidRDefault="00E8013F" w:rsidP="00691330">
            <w:pPr>
              <w:spacing w:line="276" w:lineRule="auto"/>
              <w:jc w:val="center"/>
              <w:rPr>
                <w:rFonts w:eastAsia="Times New Roman"/>
                <w:bCs/>
                <w:color w:val="000000"/>
                <w:sz w:val="24"/>
                <w:szCs w:val="24"/>
              </w:rPr>
            </w:pPr>
            <w:r w:rsidRPr="00691330">
              <w:rPr>
                <w:rFonts w:eastAsia="Times New Roman"/>
                <w:bCs/>
                <w:color w:val="000000"/>
                <w:sz w:val="24"/>
                <w:szCs w:val="24"/>
              </w:rPr>
              <w:t>98,37</w:t>
            </w:r>
          </w:p>
        </w:tc>
        <w:tc>
          <w:tcPr>
            <w:tcW w:w="0" w:type="auto"/>
            <w:tcBorders>
              <w:top w:val="nil"/>
              <w:left w:val="nil"/>
              <w:bottom w:val="single" w:sz="4" w:space="0" w:color="auto"/>
              <w:right w:val="single" w:sz="4" w:space="0" w:color="auto"/>
            </w:tcBorders>
            <w:shd w:val="clear" w:color="auto" w:fill="auto"/>
            <w:vAlign w:val="center"/>
          </w:tcPr>
          <w:p w:rsidR="00E8013F" w:rsidRPr="00691330" w:rsidRDefault="00E8013F" w:rsidP="00691330">
            <w:pPr>
              <w:spacing w:line="276" w:lineRule="auto"/>
              <w:jc w:val="center"/>
              <w:rPr>
                <w:rFonts w:eastAsia="Times New Roman"/>
                <w:bCs/>
                <w:color w:val="000000"/>
                <w:sz w:val="24"/>
                <w:szCs w:val="24"/>
              </w:rPr>
            </w:pPr>
            <w:r w:rsidRPr="00691330">
              <w:rPr>
                <w:rFonts w:eastAsia="Times New Roman"/>
                <w:bCs/>
                <w:color w:val="000000"/>
                <w:sz w:val="24"/>
                <w:szCs w:val="24"/>
              </w:rPr>
              <w:t>82,92</w:t>
            </w:r>
          </w:p>
        </w:tc>
      </w:tr>
      <w:tr w:rsidR="00E8013F" w:rsidRPr="00691330" w:rsidTr="00223D4E">
        <w:trPr>
          <w:trHeight w:val="21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rsidR="00E8013F" w:rsidRPr="00691330" w:rsidRDefault="00E8013F" w:rsidP="00691330">
            <w:pPr>
              <w:spacing w:line="276" w:lineRule="auto"/>
              <w:jc w:val="left"/>
              <w:rPr>
                <w:rFonts w:eastAsia="Times New Roman"/>
                <w:bCs/>
                <w:color w:val="000000"/>
                <w:sz w:val="24"/>
                <w:szCs w:val="24"/>
                <w:lang w:val="en-US"/>
              </w:rPr>
            </w:pPr>
            <w:r w:rsidRPr="00691330">
              <w:rPr>
                <w:rFonts w:eastAsia="Times New Roman"/>
                <w:bCs/>
                <w:color w:val="000000"/>
                <w:sz w:val="24"/>
                <w:szCs w:val="24"/>
                <w:lang w:val="en-US"/>
              </w:rPr>
              <w:t>Закарпатська</w:t>
            </w:r>
          </w:p>
        </w:tc>
        <w:tc>
          <w:tcPr>
            <w:tcW w:w="0" w:type="auto"/>
            <w:tcBorders>
              <w:top w:val="nil"/>
              <w:left w:val="nil"/>
              <w:bottom w:val="single" w:sz="4" w:space="0" w:color="auto"/>
              <w:right w:val="single" w:sz="4" w:space="0" w:color="auto"/>
            </w:tcBorders>
            <w:shd w:val="clear" w:color="auto" w:fill="auto"/>
            <w:vAlign w:val="center"/>
            <w:hideMark/>
          </w:tcPr>
          <w:p w:rsidR="00E8013F" w:rsidRPr="00691330" w:rsidRDefault="00E8013F" w:rsidP="00691330">
            <w:pPr>
              <w:spacing w:line="276" w:lineRule="auto"/>
              <w:jc w:val="center"/>
              <w:rPr>
                <w:rFonts w:eastAsia="Times New Roman"/>
                <w:bCs/>
                <w:color w:val="000000"/>
                <w:sz w:val="24"/>
                <w:szCs w:val="24"/>
                <w:lang w:val="en-US"/>
              </w:rPr>
            </w:pPr>
            <w:r w:rsidRPr="00691330">
              <w:rPr>
                <w:rFonts w:eastAsia="Times New Roman"/>
                <w:bCs/>
                <w:color w:val="000000"/>
                <w:sz w:val="24"/>
                <w:szCs w:val="24"/>
                <w:lang w:val="en-US"/>
              </w:rPr>
              <w:t>48,75</w:t>
            </w:r>
          </w:p>
        </w:tc>
        <w:tc>
          <w:tcPr>
            <w:tcW w:w="0" w:type="auto"/>
            <w:tcBorders>
              <w:top w:val="nil"/>
              <w:left w:val="nil"/>
              <w:bottom w:val="single" w:sz="4" w:space="0" w:color="auto"/>
              <w:right w:val="single" w:sz="4" w:space="0" w:color="auto"/>
            </w:tcBorders>
            <w:shd w:val="clear" w:color="auto" w:fill="auto"/>
            <w:vAlign w:val="center"/>
            <w:hideMark/>
          </w:tcPr>
          <w:p w:rsidR="00E8013F" w:rsidRPr="00691330" w:rsidRDefault="00E8013F" w:rsidP="00691330">
            <w:pPr>
              <w:spacing w:line="276" w:lineRule="auto"/>
              <w:jc w:val="center"/>
              <w:rPr>
                <w:rFonts w:eastAsia="Times New Roman"/>
                <w:bCs/>
                <w:color w:val="000000"/>
                <w:sz w:val="24"/>
                <w:szCs w:val="24"/>
                <w:lang w:val="en-US"/>
              </w:rPr>
            </w:pPr>
            <w:r w:rsidRPr="00691330">
              <w:rPr>
                <w:rFonts w:eastAsia="Times New Roman"/>
                <w:bCs/>
                <w:color w:val="000000"/>
                <w:sz w:val="24"/>
                <w:szCs w:val="24"/>
                <w:lang w:val="en-US"/>
              </w:rPr>
              <w:t>46,75</w:t>
            </w:r>
          </w:p>
        </w:tc>
        <w:tc>
          <w:tcPr>
            <w:tcW w:w="0" w:type="auto"/>
            <w:tcBorders>
              <w:top w:val="nil"/>
              <w:left w:val="nil"/>
              <w:bottom w:val="single" w:sz="4" w:space="0" w:color="auto"/>
              <w:right w:val="single" w:sz="4" w:space="0" w:color="auto"/>
            </w:tcBorders>
            <w:shd w:val="clear" w:color="auto" w:fill="auto"/>
            <w:vAlign w:val="center"/>
            <w:hideMark/>
          </w:tcPr>
          <w:p w:rsidR="00E8013F" w:rsidRPr="00691330" w:rsidRDefault="00E8013F" w:rsidP="00691330">
            <w:pPr>
              <w:spacing w:line="276" w:lineRule="auto"/>
              <w:jc w:val="center"/>
              <w:rPr>
                <w:rFonts w:eastAsia="Times New Roman"/>
                <w:bCs/>
                <w:color w:val="000000"/>
                <w:sz w:val="24"/>
                <w:szCs w:val="24"/>
                <w:lang w:val="en-US"/>
              </w:rPr>
            </w:pPr>
            <w:r w:rsidRPr="00691330">
              <w:rPr>
                <w:rFonts w:eastAsia="Times New Roman"/>
                <w:bCs/>
                <w:color w:val="000000"/>
                <w:sz w:val="24"/>
                <w:szCs w:val="24"/>
                <w:lang w:val="en-US"/>
              </w:rPr>
              <w:t>49,00</w:t>
            </w:r>
          </w:p>
        </w:tc>
        <w:tc>
          <w:tcPr>
            <w:tcW w:w="0" w:type="auto"/>
            <w:tcBorders>
              <w:top w:val="nil"/>
              <w:left w:val="nil"/>
              <w:bottom w:val="single" w:sz="4" w:space="0" w:color="auto"/>
              <w:right w:val="single" w:sz="4" w:space="0" w:color="auto"/>
            </w:tcBorders>
            <w:shd w:val="clear" w:color="auto" w:fill="auto"/>
            <w:vAlign w:val="center"/>
          </w:tcPr>
          <w:p w:rsidR="00E8013F" w:rsidRPr="00691330" w:rsidRDefault="00E8013F" w:rsidP="00691330">
            <w:pPr>
              <w:spacing w:line="276" w:lineRule="auto"/>
              <w:jc w:val="center"/>
              <w:rPr>
                <w:rFonts w:eastAsia="Times New Roman"/>
                <w:bCs/>
                <w:color w:val="000000"/>
                <w:sz w:val="24"/>
                <w:szCs w:val="24"/>
              </w:rPr>
            </w:pPr>
            <w:r w:rsidRPr="00691330">
              <w:rPr>
                <w:rFonts w:eastAsia="Times New Roman"/>
                <w:bCs/>
                <w:color w:val="000000"/>
                <w:sz w:val="24"/>
                <w:szCs w:val="24"/>
              </w:rPr>
              <w:t>95,90</w:t>
            </w:r>
          </w:p>
        </w:tc>
        <w:tc>
          <w:tcPr>
            <w:tcW w:w="0" w:type="auto"/>
            <w:tcBorders>
              <w:top w:val="nil"/>
              <w:left w:val="nil"/>
              <w:bottom w:val="single" w:sz="4" w:space="0" w:color="auto"/>
              <w:right w:val="single" w:sz="4" w:space="0" w:color="auto"/>
            </w:tcBorders>
            <w:shd w:val="clear" w:color="auto" w:fill="auto"/>
            <w:vAlign w:val="center"/>
          </w:tcPr>
          <w:p w:rsidR="00E8013F" w:rsidRPr="00691330" w:rsidRDefault="00E8013F" w:rsidP="00691330">
            <w:pPr>
              <w:spacing w:line="276" w:lineRule="auto"/>
              <w:jc w:val="center"/>
              <w:rPr>
                <w:rFonts w:eastAsia="Times New Roman"/>
                <w:bCs/>
                <w:color w:val="000000"/>
                <w:sz w:val="24"/>
                <w:szCs w:val="24"/>
              </w:rPr>
            </w:pPr>
            <w:r w:rsidRPr="00691330">
              <w:rPr>
                <w:rFonts w:eastAsia="Times New Roman"/>
                <w:bCs/>
                <w:color w:val="000000"/>
                <w:sz w:val="24"/>
                <w:szCs w:val="24"/>
              </w:rPr>
              <w:t>100,5</w:t>
            </w:r>
          </w:p>
        </w:tc>
      </w:tr>
      <w:tr w:rsidR="00E8013F" w:rsidRPr="00691330" w:rsidTr="00223D4E">
        <w:trPr>
          <w:trHeight w:val="21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rsidR="00E8013F" w:rsidRPr="00691330" w:rsidRDefault="00E8013F" w:rsidP="00691330">
            <w:pPr>
              <w:spacing w:line="276" w:lineRule="auto"/>
              <w:jc w:val="left"/>
              <w:rPr>
                <w:rFonts w:eastAsia="Times New Roman"/>
                <w:bCs/>
                <w:color w:val="000000"/>
                <w:sz w:val="24"/>
                <w:szCs w:val="24"/>
                <w:lang w:val="en-US"/>
              </w:rPr>
            </w:pPr>
            <w:r w:rsidRPr="00691330">
              <w:rPr>
                <w:rFonts w:eastAsia="Times New Roman"/>
                <w:bCs/>
                <w:color w:val="000000"/>
                <w:sz w:val="24"/>
                <w:szCs w:val="24"/>
                <w:lang w:val="en-US"/>
              </w:rPr>
              <w:t>Запорізька</w:t>
            </w:r>
          </w:p>
        </w:tc>
        <w:tc>
          <w:tcPr>
            <w:tcW w:w="0" w:type="auto"/>
            <w:tcBorders>
              <w:top w:val="nil"/>
              <w:left w:val="nil"/>
              <w:bottom w:val="single" w:sz="4" w:space="0" w:color="auto"/>
              <w:right w:val="single" w:sz="4" w:space="0" w:color="auto"/>
            </w:tcBorders>
            <w:shd w:val="clear" w:color="auto" w:fill="auto"/>
            <w:vAlign w:val="center"/>
            <w:hideMark/>
          </w:tcPr>
          <w:p w:rsidR="00E8013F" w:rsidRPr="00691330" w:rsidRDefault="00E8013F" w:rsidP="00691330">
            <w:pPr>
              <w:spacing w:line="276" w:lineRule="auto"/>
              <w:jc w:val="center"/>
              <w:rPr>
                <w:rFonts w:eastAsia="Times New Roman"/>
                <w:bCs/>
                <w:color w:val="000000"/>
                <w:sz w:val="24"/>
                <w:szCs w:val="24"/>
                <w:lang w:val="en-US"/>
              </w:rPr>
            </w:pPr>
            <w:r w:rsidRPr="00691330">
              <w:rPr>
                <w:rFonts w:eastAsia="Times New Roman"/>
                <w:bCs/>
                <w:color w:val="000000"/>
                <w:sz w:val="24"/>
                <w:szCs w:val="24"/>
                <w:lang w:val="en-US"/>
              </w:rPr>
              <w:t>78,75</w:t>
            </w:r>
          </w:p>
        </w:tc>
        <w:tc>
          <w:tcPr>
            <w:tcW w:w="0" w:type="auto"/>
            <w:tcBorders>
              <w:top w:val="nil"/>
              <w:left w:val="nil"/>
              <w:bottom w:val="single" w:sz="4" w:space="0" w:color="auto"/>
              <w:right w:val="single" w:sz="4" w:space="0" w:color="auto"/>
            </w:tcBorders>
            <w:shd w:val="clear" w:color="auto" w:fill="auto"/>
            <w:vAlign w:val="center"/>
            <w:hideMark/>
          </w:tcPr>
          <w:p w:rsidR="00E8013F" w:rsidRPr="00691330" w:rsidRDefault="00E8013F" w:rsidP="00691330">
            <w:pPr>
              <w:spacing w:line="276" w:lineRule="auto"/>
              <w:jc w:val="center"/>
              <w:rPr>
                <w:rFonts w:eastAsia="Times New Roman"/>
                <w:bCs/>
                <w:color w:val="000000"/>
                <w:sz w:val="24"/>
                <w:szCs w:val="24"/>
                <w:lang w:val="en-US"/>
              </w:rPr>
            </w:pPr>
            <w:r w:rsidRPr="00691330">
              <w:rPr>
                <w:rFonts w:eastAsia="Times New Roman"/>
                <w:bCs/>
                <w:color w:val="000000"/>
                <w:sz w:val="24"/>
                <w:szCs w:val="24"/>
                <w:lang w:val="en-US"/>
              </w:rPr>
              <w:t>75,50</w:t>
            </w:r>
          </w:p>
        </w:tc>
        <w:tc>
          <w:tcPr>
            <w:tcW w:w="0" w:type="auto"/>
            <w:tcBorders>
              <w:top w:val="nil"/>
              <w:left w:val="nil"/>
              <w:bottom w:val="single" w:sz="4" w:space="0" w:color="auto"/>
              <w:right w:val="single" w:sz="4" w:space="0" w:color="auto"/>
            </w:tcBorders>
            <w:shd w:val="clear" w:color="auto" w:fill="auto"/>
            <w:vAlign w:val="center"/>
            <w:hideMark/>
          </w:tcPr>
          <w:p w:rsidR="00E8013F" w:rsidRPr="00691330" w:rsidRDefault="00E8013F" w:rsidP="00691330">
            <w:pPr>
              <w:spacing w:line="276" w:lineRule="auto"/>
              <w:jc w:val="center"/>
              <w:rPr>
                <w:rFonts w:eastAsia="Times New Roman"/>
                <w:bCs/>
                <w:color w:val="000000"/>
                <w:sz w:val="24"/>
                <w:szCs w:val="24"/>
                <w:lang w:val="en-US"/>
              </w:rPr>
            </w:pPr>
            <w:r w:rsidRPr="00691330">
              <w:rPr>
                <w:rFonts w:eastAsia="Times New Roman"/>
                <w:bCs/>
                <w:color w:val="000000"/>
                <w:sz w:val="24"/>
                <w:szCs w:val="24"/>
                <w:lang w:val="en-US"/>
              </w:rPr>
              <w:t>67,00</w:t>
            </w:r>
          </w:p>
        </w:tc>
        <w:tc>
          <w:tcPr>
            <w:tcW w:w="0" w:type="auto"/>
            <w:tcBorders>
              <w:top w:val="nil"/>
              <w:left w:val="nil"/>
              <w:bottom w:val="single" w:sz="4" w:space="0" w:color="auto"/>
              <w:right w:val="single" w:sz="4" w:space="0" w:color="auto"/>
            </w:tcBorders>
            <w:shd w:val="clear" w:color="auto" w:fill="auto"/>
            <w:vAlign w:val="center"/>
          </w:tcPr>
          <w:p w:rsidR="00E8013F" w:rsidRPr="00691330" w:rsidRDefault="00E8013F" w:rsidP="00691330">
            <w:pPr>
              <w:spacing w:line="276" w:lineRule="auto"/>
              <w:jc w:val="center"/>
              <w:rPr>
                <w:rFonts w:eastAsia="Times New Roman"/>
                <w:bCs/>
                <w:color w:val="000000"/>
                <w:sz w:val="24"/>
                <w:szCs w:val="24"/>
              </w:rPr>
            </w:pPr>
            <w:r w:rsidRPr="00691330">
              <w:rPr>
                <w:rFonts w:eastAsia="Times New Roman"/>
                <w:bCs/>
                <w:color w:val="000000"/>
                <w:sz w:val="24"/>
                <w:szCs w:val="24"/>
              </w:rPr>
              <w:t>95,87</w:t>
            </w:r>
          </w:p>
        </w:tc>
        <w:tc>
          <w:tcPr>
            <w:tcW w:w="0" w:type="auto"/>
            <w:tcBorders>
              <w:top w:val="nil"/>
              <w:left w:val="nil"/>
              <w:bottom w:val="single" w:sz="4" w:space="0" w:color="auto"/>
              <w:right w:val="single" w:sz="4" w:space="0" w:color="auto"/>
            </w:tcBorders>
            <w:shd w:val="clear" w:color="auto" w:fill="auto"/>
            <w:vAlign w:val="center"/>
          </w:tcPr>
          <w:p w:rsidR="00E8013F" w:rsidRPr="00691330" w:rsidRDefault="00E8013F" w:rsidP="00691330">
            <w:pPr>
              <w:spacing w:line="276" w:lineRule="auto"/>
              <w:jc w:val="center"/>
              <w:rPr>
                <w:rFonts w:eastAsia="Times New Roman"/>
                <w:bCs/>
                <w:color w:val="000000"/>
                <w:sz w:val="24"/>
                <w:szCs w:val="24"/>
              </w:rPr>
            </w:pPr>
            <w:r w:rsidRPr="00691330">
              <w:rPr>
                <w:rFonts w:eastAsia="Times New Roman"/>
                <w:bCs/>
                <w:color w:val="000000"/>
                <w:sz w:val="24"/>
                <w:szCs w:val="24"/>
              </w:rPr>
              <w:t>85,08</w:t>
            </w:r>
          </w:p>
        </w:tc>
      </w:tr>
      <w:tr w:rsidR="00E8013F" w:rsidRPr="00691330" w:rsidTr="00223D4E">
        <w:trPr>
          <w:trHeight w:val="21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rsidR="00E8013F" w:rsidRPr="00691330" w:rsidRDefault="00E8013F" w:rsidP="00691330">
            <w:pPr>
              <w:spacing w:line="276" w:lineRule="auto"/>
              <w:jc w:val="left"/>
              <w:rPr>
                <w:rFonts w:eastAsia="Times New Roman"/>
                <w:bCs/>
                <w:color w:val="000000"/>
                <w:sz w:val="24"/>
                <w:szCs w:val="24"/>
                <w:lang w:val="en-US"/>
              </w:rPr>
            </w:pPr>
            <w:r w:rsidRPr="00691330">
              <w:rPr>
                <w:rFonts w:eastAsia="Times New Roman"/>
                <w:bCs/>
                <w:color w:val="000000"/>
                <w:sz w:val="24"/>
                <w:szCs w:val="24"/>
                <w:lang w:val="en-US"/>
              </w:rPr>
              <w:t>Івано-Франківська</w:t>
            </w:r>
          </w:p>
        </w:tc>
        <w:tc>
          <w:tcPr>
            <w:tcW w:w="0" w:type="auto"/>
            <w:tcBorders>
              <w:top w:val="nil"/>
              <w:left w:val="nil"/>
              <w:bottom w:val="single" w:sz="4" w:space="0" w:color="auto"/>
              <w:right w:val="single" w:sz="4" w:space="0" w:color="auto"/>
            </w:tcBorders>
            <w:shd w:val="clear" w:color="auto" w:fill="auto"/>
            <w:vAlign w:val="center"/>
            <w:hideMark/>
          </w:tcPr>
          <w:p w:rsidR="00E8013F" w:rsidRPr="00691330" w:rsidRDefault="00E8013F" w:rsidP="00691330">
            <w:pPr>
              <w:spacing w:line="276" w:lineRule="auto"/>
              <w:jc w:val="center"/>
              <w:rPr>
                <w:rFonts w:eastAsia="Times New Roman"/>
                <w:bCs/>
                <w:color w:val="000000"/>
                <w:sz w:val="24"/>
                <w:szCs w:val="24"/>
                <w:lang w:val="en-US"/>
              </w:rPr>
            </w:pPr>
            <w:r w:rsidRPr="00691330">
              <w:rPr>
                <w:rFonts w:eastAsia="Times New Roman"/>
                <w:bCs/>
                <w:color w:val="000000"/>
                <w:sz w:val="24"/>
                <w:szCs w:val="24"/>
                <w:lang w:val="en-US"/>
              </w:rPr>
              <w:t>109,50</w:t>
            </w:r>
          </w:p>
        </w:tc>
        <w:tc>
          <w:tcPr>
            <w:tcW w:w="0" w:type="auto"/>
            <w:tcBorders>
              <w:top w:val="nil"/>
              <w:left w:val="nil"/>
              <w:bottom w:val="single" w:sz="4" w:space="0" w:color="auto"/>
              <w:right w:val="single" w:sz="4" w:space="0" w:color="auto"/>
            </w:tcBorders>
            <w:shd w:val="clear" w:color="auto" w:fill="auto"/>
            <w:vAlign w:val="center"/>
            <w:hideMark/>
          </w:tcPr>
          <w:p w:rsidR="00E8013F" w:rsidRPr="00691330" w:rsidRDefault="00E8013F" w:rsidP="00691330">
            <w:pPr>
              <w:spacing w:line="276" w:lineRule="auto"/>
              <w:jc w:val="center"/>
              <w:rPr>
                <w:rFonts w:eastAsia="Times New Roman"/>
                <w:bCs/>
                <w:color w:val="000000"/>
                <w:sz w:val="24"/>
                <w:szCs w:val="24"/>
                <w:lang w:val="en-US"/>
              </w:rPr>
            </w:pPr>
            <w:r w:rsidRPr="00691330">
              <w:rPr>
                <w:rFonts w:eastAsia="Times New Roman"/>
                <w:bCs/>
                <w:color w:val="000000"/>
                <w:sz w:val="24"/>
                <w:szCs w:val="24"/>
                <w:lang w:val="en-US"/>
              </w:rPr>
              <w:t>103,00</w:t>
            </w:r>
          </w:p>
        </w:tc>
        <w:tc>
          <w:tcPr>
            <w:tcW w:w="0" w:type="auto"/>
            <w:tcBorders>
              <w:top w:val="nil"/>
              <w:left w:val="nil"/>
              <w:bottom w:val="single" w:sz="4" w:space="0" w:color="auto"/>
              <w:right w:val="single" w:sz="4" w:space="0" w:color="auto"/>
            </w:tcBorders>
            <w:shd w:val="clear" w:color="auto" w:fill="auto"/>
            <w:vAlign w:val="center"/>
            <w:hideMark/>
          </w:tcPr>
          <w:p w:rsidR="00E8013F" w:rsidRPr="00691330" w:rsidRDefault="00E8013F" w:rsidP="00691330">
            <w:pPr>
              <w:spacing w:line="276" w:lineRule="auto"/>
              <w:jc w:val="center"/>
              <w:rPr>
                <w:rFonts w:eastAsia="Times New Roman"/>
                <w:bCs/>
                <w:color w:val="000000"/>
                <w:sz w:val="24"/>
                <w:szCs w:val="24"/>
                <w:lang w:val="en-US"/>
              </w:rPr>
            </w:pPr>
            <w:r w:rsidRPr="00691330">
              <w:rPr>
                <w:rFonts w:eastAsia="Times New Roman"/>
                <w:bCs/>
                <w:color w:val="000000"/>
                <w:sz w:val="24"/>
                <w:szCs w:val="24"/>
                <w:lang w:val="en-US"/>
              </w:rPr>
              <w:t>101,00</w:t>
            </w:r>
          </w:p>
        </w:tc>
        <w:tc>
          <w:tcPr>
            <w:tcW w:w="0" w:type="auto"/>
            <w:tcBorders>
              <w:top w:val="nil"/>
              <w:left w:val="nil"/>
              <w:bottom w:val="single" w:sz="4" w:space="0" w:color="auto"/>
              <w:right w:val="single" w:sz="4" w:space="0" w:color="auto"/>
            </w:tcBorders>
            <w:shd w:val="clear" w:color="auto" w:fill="auto"/>
            <w:vAlign w:val="center"/>
          </w:tcPr>
          <w:p w:rsidR="00E8013F" w:rsidRPr="00691330" w:rsidRDefault="00E8013F" w:rsidP="00691330">
            <w:pPr>
              <w:spacing w:line="276" w:lineRule="auto"/>
              <w:jc w:val="center"/>
              <w:rPr>
                <w:rFonts w:eastAsia="Times New Roman"/>
                <w:bCs/>
                <w:color w:val="000000"/>
                <w:sz w:val="24"/>
                <w:szCs w:val="24"/>
              </w:rPr>
            </w:pPr>
            <w:r w:rsidRPr="00691330">
              <w:rPr>
                <w:rFonts w:eastAsia="Times New Roman"/>
                <w:bCs/>
                <w:color w:val="000000"/>
                <w:sz w:val="24"/>
                <w:szCs w:val="24"/>
              </w:rPr>
              <w:t>94,06</w:t>
            </w:r>
          </w:p>
        </w:tc>
        <w:tc>
          <w:tcPr>
            <w:tcW w:w="0" w:type="auto"/>
            <w:tcBorders>
              <w:top w:val="nil"/>
              <w:left w:val="nil"/>
              <w:bottom w:val="single" w:sz="4" w:space="0" w:color="auto"/>
              <w:right w:val="single" w:sz="4" w:space="0" w:color="auto"/>
            </w:tcBorders>
            <w:shd w:val="clear" w:color="auto" w:fill="auto"/>
            <w:vAlign w:val="center"/>
          </w:tcPr>
          <w:p w:rsidR="00E8013F" w:rsidRPr="00691330" w:rsidRDefault="00E8013F" w:rsidP="00691330">
            <w:pPr>
              <w:spacing w:line="276" w:lineRule="auto"/>
              <w:jc w:val="center"/>
              <w:rPr>
                <w:rFonts w:eastAsia="Times New Roman"/>
                <w:bCs/>
                <w:color w:val="000000"/>
                <w:sz w:val="24"/>
                <w:szCs w:val="24"/>
              </w:rPr>
            </w:pPr>
            <w:r w:rsidRPr="00691330">
              <w:rPr>
                <w:rFonts w:eastAsia="Times New Roman"/>
                <w:bCs/>
                <w:color w:val="000000"/>
                <w:sz w:val="24"/>
                <w:szCs w:val="24"/>
              </w:rPr>
              <w:t>92,24</w:t>
            </w:r>
          </w:p>
        </w:tc>
      </w:tr>
      <w:tr w:rsidR="00E8013F" w:rsidRPr="00691330" w:rsidTr="00223D4E">
        <w:trPr>
          <w:trHeight w:val="21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rsidR="00E8013F" w:rsidRPr="00691330" w:rsidRDefault="00E8013F" w:rsidP="00691330">
            <w:pPr>
              <w:spacing w:line="276" w:lineRule="auto"/>
              <w:jc w:val="left"/>
              <w:rPr>
                <w:rFonts w:eastAsia="Times New Roman"/>
                <w:bCs/>
                <w:color w:val="000000"/>
                <w:sz w:val="24"/>
                <w:szCs w:val="24"/>
                <w:lang w:val="en-US"/>
              </w:rPr>
            </w:pPr>
            <w:r w:rsidRPr="00691330">
              <w:rPr>
                <w:rFonts w:eastAsia="Times New Roman"/>
                <w:bCs/>
                <w:color w:val="000000"/>
                <w:sz w:val="24"/>
                <w:szCs w:val="24"/>
                <w:lang w:val="en-US"/>
              </w:rPr>
              <w:t>Київська</w:t>
            </w:r>
          </w:p>
        </w:tc>
        <w:tc>
          <w:tcPr>
            <w:tcW w:w="0" w:type="auto"/>
            <w:tcBorders>
              <w:top w:val="nil"/>
              <w:left w:val="nil"/>
              <w:bottom w:val="single" w:sz="4" w:space="0" w:color="auto"/>
              <w:right w:val="single" w:sz="4" w:space="0" w:color="auto"/>
            </w:tcBorders>
            <w:shd w:val="clear" w:color="auto" w:fill="auto"/>
            <w:vAlign w:val="center"/>
            <w:hideMark/>
          </w:tcPr>
          <w:p w:rsidR="00E8013F" w:rsidRPr="00691330" w:rsidRDefault="00E8013F" w:rsidP="00691330">
            <w:pPr>
              <w:spacing w:line="276" w:lineRule="auto"/>
              <w:jc w:val="center"/>
              <w:rPr>
                <w:rFonts w:eastAsia="Times New Roman"/>
                <w:bCs/>
                <w:color w:val="000000"/>
                <w:sz w:val="24"/>
                <w:szCs w:val="24"/>
                <w:lang w:val="en-US"/>
              </w:rPr>
            </w:pPr>
            <w:r w:rsidRPr="00691330">
              <w:rPr>
                <w:rFonts w:eastAsia="Times New Roman"/>
                <w:bCs/>
                <w:color w:val="000000"/>
                <w:sz w:val="24"/>
                <w:szCs w:val="24"/>
                <w:lang w:val="en-US"/>
              </w:rPr>
              <w:t>80,75</w:t>
            </w:r>
          </w:p>
        </w:tc>
        <w:tc>
          <w:tcPr>
            <w:tcW w:w="0" w:type="auto"/>
            <w:tcBorders>
              <w:top w:val="nil"/>
              <w:left w:val="nil"/>
              <w:bottom w:val="single" w:sz="4" w:space="0" w:color="auto"/>
              <w:right w:val="single" w:sz="4" w:space="0" w:color="auto"/>
            </w:tcBorders>
            <w:shd w:val="clear" w:color="auto" w:fill="auto"/>
            <w:vAlign w:val="center"/>
            <w:hideMark/>
          </w:tcPr>
          <w:p w:rsidR="00E8013F" w:rsidRPr="00691330" w:rsidRDefault="00E8013F" w:rsidP="00691330">
            <w:pPr>
              <w:spacing w:line="276" w:lineRule="auto"/>
              <w:jc w:val="center"/>
              <w:rPr>
                <w:rFonts w:eastAsia="Times New Roman"/>
                <w:bCs/>
                <w:color w:val="000000"/>
                <w:sz w:val="24"/>
                <w:szCs w:val="24"/>
                <w:lang w:val="en-US"/>
              </w:rPr>
            </w:pPr>
            <w:r w:rsidRPr="00691330">
              <w:rPr>
                <w:rFonts w:eastAsia="Times New Roman"/>
                <w:bCs/>
                <w:color w:val="000000"/>
                <w:sz w:val="24"/>
                <w:szCs w:val="24"/>
                <w:lang w:val="en-US"/>
              </w:rPr>
              <w:t>60,00</w:t>
            </w:r>
          </w:p>
        </w:tc>
        <w:tc>
          <w:tcPr>
            <w:tcW w:w="0" w:type="auto"/>
            <w:tcBorders>
              <w:top w:val="nil"/>
              <w:left w:val="nil"/>
              <w:bottom w:val="single" w:sz="4" w:space="0" w:color="auto"/>
              <w:right w:val="single" w:sz="4" w:space="0" w:color="auto"/>
            </w:tcBorders>
            <w:shd w:val="clear" w:color="auto" w:fill="auto"/>
            <w:vAlign w:val="center"/>
            <w:hideMark/>
          </w:tcPr>
          <w:p w:rsidR="00E8013F" w:rsidRPr="00691330" w:rsidRDefault="00E8013F" w:rsidP="00691330">
            <w:pPr>
              <w:spacing w:line="276" w:lineRule="auto"/>
              <w:jc w:val="center"/>
              <w:rPr>
                <w:rFonts w:eastAsia="Times New Roman"/>
                <w:bCs/>
                <w:color w:val="000000"/>
                <w:sz w:val="24"/>
                <w:szCs w:val="24"/>
                <w:lang w:val="en-US"/>
              </w:rPr>
            </w:pPr>
            <w:r w:rsidRPr="00691330">
              <w:rPr>
                <w:rFonts w:eastAsia="Times New Roman"/>
                <w:bCs/>
                <w:color w:val="000000"/>
                <w:sz w:val="24"/>
                <w:szCs w:val="24"/>
                <w:lang w:val="en-US"/>
              </w:rPr>
              <w:t>52,00</w:t>
            </w:r>
          </w:p>
        </w:tc>
        <w:tc>
          <w:tcPr>
            <w:tcW w:w="0" w:type="auto"/>
            <w:tcBorders>
              <w:top w:val="nil"/>
              <w:left w:val="nil"/>
              <w:bottom w:val="single" w:sz="4" w:space="0" w:color="auto"/>
              <w:right w:val="single" w:sz="4" w:space="0" w:color="auto"/>
            </w:tcBorders>
            <w:shd w:val="clear" w:color="auto" w:fill="auto"/>
            <w:vAlign w:val="center"/>
          </w:tcPr>
          <w:p w:rsidR="00E8013F" w:rsidRPr="00691330" w:rsidRDefault="00E8013F" w:rsidP="00691330">
            <w:pPr>
              <w:spacing w:line="276" w:lineRule="auto"/>
              <w:jc w:val="center"/>
              <w:rPr>
                <w:rFonts w:eastAsia="Times New Roman"/>
                <w:bCs/>
                <w:color w:val="000000"/>
                <w:sz w:val="24"/>
                <w:szCs w:val="24"/>
              </w:rPr>
            </w:pPr>
            <w:r w:rsidRPr="00691330">
              <w:rPr>
                <w:rFonts w:eastAsia="Times New Roman"/>
                <w:bCs/>
                <w:color w:val="000000"/>
                <w:sz w:val="24"/>
                <w:szCs w:val="24"/>
              </w:rPr>
              <w:t>74,30</w:t>
            </w:r>
          </w:p>
        </w:tc>
        <w:tc>
          <w:tcPr>
            <w:tcW w:w="0" w:type="auto"/>
            <w:tcBorders>
              <w:top w:val="nil"/>
              <w:left w:val="nil"/>
              <w:bottom w:val="single" w:sz="4" w:space="0" w:color="auto"/>
              <w:right w:val="single" w:sz="4" w:space="0" w:color="auto"/>
            </w:tcBorders>
            <w:shd w:val="clear" w:color="auto" w:fill="auto"/>
            <w:vAlign w:val="center"/>
          </w:tcPr>
          <w:p w:rsidR="00E8013F" w:rsidRPr="00691330" w:rsidRDefault="00E8013F" w:rsidP="00691330">
            <w:pPr>
              <w:spacing w:line="276" w:lineRule="auto"/>
              <w:jc w:val="center"/>
              <w:rPr>
                <w:rFonts w:eastAsia="Times New Roman"/>
                <w:bCs/>
                <w:color w:val="000000"/>
                <w:sz w:val="24"/>
                <w:szCs w:val="24"/>
              </w:rPr>
            </w:pPr>
            <w:r w:rsidRPr="00691330">
              <w:rPr>
                <w:rFonts w:eastAsia="Times New Roman"/>
                <w:bCs/>
                <w:color w:val="000000"/>
                <w:sz w:val="24"/>
                <w:szCs w:val="24"/>
              </w:rPr>
              <w:t>64,40</w:t>
            </w:r>
          </w:p>
        </w:tc>
      </w:tr>
      <w:tr w:rsidR="00E8013F" w:rsidRPr="00691330" w:rsidTr="00223D4E">
        <w:trPr>
          <w:trHeight w:val="21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rsidR="00E8013F" w:rsidRPr="00691330" w:rsidRDefault="00E8013F" w:rsidP="00691330">
            <w:pPr>
              <w:spacing w:line="276" w:lineRule="auto"/>
              <w:jc w:val="left"/>
              <w:rPr>
                <w:rFonts w:eastAsia="Times New Roman"/>
                <w:bCs/>
                <w:color w:val="000000"/>
                <w:sz w:val="24"/>
                <w:szCs w:val="24"/>
                <w:lang w:val="en-US"/>
              </w:rPr>
            </w:pPr>
            <w:r w:rsidRPr="00691330">
              <w:rPr>
                <w:rFonts w:eastAsia="Times New Roman"/>
                <w:bCs/>
                <w:color w:val="000000"/>
                <w:sz w:val="24"/>
                <w:szCs w:val="24"/>
                <w:lang w:val="en-US"/>
              </w:rPr>
              <w:t>Кіровоградська</w:t>
            </w:r>
          </w:p>
        </w:tc>
        <w:tc>
          <w:tcPr>
            <w:tcW w:w="0" w:type="auto"/>
            <w:tcBorders>
              <w:top w:val="nil"/>
              <w:left w:val="nil"/>
              <w:bottom w:val="single" w:sz="4" w:space="0" w:color="auto"/>
              <w:right w:val="single" w:sz="4" w:space="0" w:color="auto"/>
            </w:tcBorders>
            <w:shd w:val="clear" w:color="auto" w:fill="auto"/>
            <w:vAlign w:val="center"/>
            <w:hideMark/>
          </w:tcPr>
          <w:p w:rsidR="00E8013F" w:rsidRPr="00691330" w:rsidRDefault="00E8013F" w:rsidP="00691330">
            <w:pPr>
              <w:spacing w:line="276" w:lineRule="auto"/>
              <w:jc w:val="center"/>
              <w:rPr>
                <w:rFonts w:eastAsia="Times New Roman"/>
                <w:bCs/>
                <w:color w:val="000000"/>
                <w:sz w:val="24"/>
                <w:szCs w:val="24"/>
                <w:lang w:val="en-US"/>
              </w:rPr>
            </w:pPr>
            <w:r w:rsidRPr="00691330">
              <w:rPr>
                <w:rFonts w:eastAsia="Times New Roman"/>
                <w:bCs/>
                <w:color w:val="000000"/>
                <w:sz w:val="24"/>
                <w:szCs w:val="24"/>
                <w:lang w:val="en-US"/>
              </w:rPr>
              <w:t>56,50</w:t>
            </w:r>
          </w:p>
        </w:tc>
        <w:tc>
          <w:tcPr>
            <w:tcW w:w="0" w:type="auto"/>
            <w:tcBorders>
              <w:top w:val="nil"/>
              <w:left w:val="nil"/>
              <w:bottom w:val="single" w:sz="4" w:space="0" w:color="auto"/>
              <w:right w:val="single" w:sz="4" w:space="0" w:color="auto"/>
            </w:tcBorders>
            <w:shd w:val="clear" w:color="auto" w:fill="auto"/>
            <w:vAlign w:val="center"/>
            <w:hideMark/>
          </w:tcPr>
          <w:p w:rsidR="00E8013F" w:rsidRPr="00691330" w:rsidRDefault="00E8013F" w:rsidP="00691330">
            <w:pPr>
              <w:spacing w:line="276" w:lineRule="auto"/>
              <w:jc w:val="center"/>
              <w:rPr>
                <w:rFonts w:eastAsia="Times New Roman"/>
                <w:bCs/>
                <w:color w:val="000000"/>
                <w:sz w:val="24"/>
                <w:szCs w:val="24"/>
                <w:lang w:val="en-US"/>
              </w:rPr>
            </w:pPr>
            <w:r w:rsidRPr="00691330">
              <w:rPr>
                <w:rFonts w:eastAsia="Times New Roman"/>
                <w:bCs/>
                <w:color w:val="000000"/>
                <w:sz w:val="24"/>
                <w:szCs w:val="24"/>
                <w:lang w:val="en-US"/>
              </w:rPr>
              <w:t>49,25</w:t>
            </w:r>
          </w:p>
        </w:tc>
        <w:tc>
          <w:tcPr>
            <w:tcW w:w="0" w:type="auto"/>
            <w:tcBorders>
              <w:top w:val="nil"/>
              <w:left w:val="nil"/>
              <w:bottom w:val="single" w:sz="4" w:space="0" w:color="auto"/>
              <w:right w:val="single" w:sz="4" w:space="0" w:color="auto"/>
            </w:tcBorders>
            <w:shd w:val="clear" w:color="auto" w:fill="auto"/>
            <w:vAlign w:val="center"/>
            <w:hideMark/>
          </w:tcPr>
          <w:p w:rsidR="00E8013F" w:rsidRPr="00691330" w:rsidRDefault="00E8013F" w:rsidP="00691330">
            <w:pPr>
              <w:spacing w:line="276" w:lineRule="auto"/>
              <w:jc w:val="center"/>
              <w:rPr>
                <w:rFonts w:eastAsia="Times New Roman"/>
                <w:bCs/>
                <w:color w:val="000000"/>
                <w:sz w:val="24"/>
                <w:szCs w:val="24"/>
                <w:lang w:val="en-US"/>
              </w:rPr>
            </w:pPr>
            <w:r w:rsidRPr="00691330">
              <w:rPr>
                <w:rFonts w:eastAsia="Times New Roman"/>
                <w:bCs/>
                <w:color w:val="000000"/>
                <w:sz w:val="24"/>
                <w:szCs w:val="24"/>
                <w:lang w:val="en-US"/>
              </w:rPr>
              <w:t>34,00</w:t>
            </w:r>
          </w:p>
        </w:tc>
        <w:tc>
          <w:tcPr>
            <w:tcW w:w="0" w:type="auto"/>
            <w:tcBorders>
              <w:top w:val="nil"/>
              <w:left w:val="nil"/>
              <w:bottom w:val="single" w:sz="4" w:space="0" w:color="auto"/>
              <w:right w:val="single" w:sz="4" w:space="0" w:color="auto"/>
            </w:tcBorders>
            <w:shd w:val="clear" w:color="auto" w:fill="auto"/>
            <w:vAlign w:val="center"/>
          </w:tcPr>
          <w:p w:rsidR="00E8013F" w:rsidRPr="00691330" w:rsidRDefault="00E8013F" w:rsidP="00691330">
            <w:pPr>
              <w:spacing w:line="276" w:lineRule="auto"/>
              <w:jc w:val="center"/>
              <w:rPr>
                <w:rFonts w:eastAsia="Times New Roman"/>
                <w:bCs/>
                <w:color w:val="000000"/>
                <w:sz w:val="24"/>
                <w:szCs w:val="24"/>
              </w:rPr>
            </w:pPr>
            <w:r w:rsidRPr="00691330">
              <w:rPr>
                <w:rFonts w:eastAsia="Times New Roman"/>
                <w:bCs/>
                <w:color w:val="000000"/>
                <w:sz w:val="24"/>
                <w:szCs w:val="24"/>
              </w:rPr>
              <w:t>87,17</w:t>
            </w:r>
          </w:p>
        </w:tc>
        <w:tc>
          <w:tcPr>
            <w:tcW w:w="0" w:type="auto"/>
            <w:tcBorders>
              <w:top w:val="nil"/>
              <w:left w:val="nil"/>
              <w:bottom w:val="single" w:sz="4" w:space="0" w:color="auto"/>
              <w:right w:val="single" w:sz="4" w:space="0" w:color="auto"/>
            </w:tcBorders>
            <w:shd w:val="clear" w:color="auto" w:fill="auto"/>
            <w:vAlign w:val="center"/>
          </w:tcPr>
          <w:p w:rsidR="00E8013F" w:rsidRPr="00691330" w:rsidRDefault="00E8013F" w:rsidP="00691330">
            <w:pPr>
              <w:spacing w:line="276" w:lineRule="auto"/>
              <w:jc w:val="center"/>
              <w:rPr>
                <w:rFonts w:eastAsia="Times New Roman"/>
                <w:bCs/>
                <w:color w:val="000000"/>
                <w:sz w:val="24"/>
                <w:szCs w:val="24"/>
              </w:rPr>
            </w:pPr>
            <w:r w:rsidRPr="00691330">
              <w:rPr>
                <w:rFonts w:eastAsia="Times New Roman"/>
                <w:bCs/>
                <w:color w:val="000000"/>
                <w:sz w:val="24"/>
                <w:szCs w:val="24"/>
              </w:rPr>
              <w:t>60,18</w:t>
            </w:r>
          </w:p>
        </w:tc>
      </w:tr>
      <w:tr w:rsidR="00E8013F" w:rsidRPr="00691330" w:rsidTr="00223D4E">
        <w:trPr>
          <w:trHeight w:val="21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rsidR="00E8013F" w:rsidRPr="00691330" w:rsidRDefault="00E8013F" w:rsidP="00691330">
            <w:pPr>
              <w:spacing w:line="276" w:lineRule="auto"/>
              <w:jc w:val="left"/>
              <w:rPr>
                <w:rFonts w:eastAsia="Times New Roman"/>
                <w:bCs/>
                <w:color w:val="000000"/>
                <w:sz w:val="24"/>
                <w:szCs w:val="24"/>
                <w:lang w:val="en-US"/>
              </w:rPr>
            </w:pPr>
            <w:r w:rsidRPr="00691330">
              <w:rPr>
                <w:rFonts w:eastAsia="Times New Roman"/>
                <w:bCs/>
                <w:color w:val="000000"/>
                <w:sz w:val="24"/>
                <w:szCs w:val="24"/>
                <w:lang w:val="en-US"/>
              </w:rPr>
              <w:t>Луганська</w:t>
            </w:r>
          </w:p>
        </w:tc>
        <w:tc>
          <w:tcPr>
            <w:tcW w:w="0" w:type="auto"/>
            <w:tcBorders>
              <w:top w:val="nil"/>
              <w:left w:val="nil"/>
              <w:bottom w:val="single" w:sz="4" w:space="0" w:color="auto"/>
              <w:right w:val="single" w:sz="4" w:space="0" w:color="auto"/>
            </w:tcBorders>
            <w:shd w:val="clear" w:color="auto" w:fill="auto"/>
            <w:vAlign w:val="center"/>
            <w:hideMark/>
          </w:tcPr>
          <w:p w:rsidR="00E8013F" w:rsidRPr="00691330" w:rsidRDefault="00E8013F" w:rsidP="00691330">
            <w:pPr>
              <w:spacing w:line="276" w:lineRule="auto"/>
              <w:jc w:val="center"/>
              <w:rPr>
                <w:rFonts w:eastAsia="Times New Roman"/>
                <w:bCs/>
                <w:color w:val="000000"/>
                <w:sz w:val="24"/>
                <w:szCs w:val="24"/>
                <w:lang w:val="en-US"/>
              </w:rPr>
            </w:pPr>
            <w:r w:rsidRPr="00691330">
              <w:rPr>
                <w:rFonts w:eastAsia="Times New Roman"/>
                <w:bCs/>
                <w:color w:val="000000"/>
                <w:sz w:val="24"/>
                <w:szCs w:val="24"/>
                <w:lang w:val="en-US"/>
              </w:rPr>
              <w:t>31,50</w:t>
            </w:r>
          </w:p>
        </w:tc>
        <w:tc>
          <w:tcPr>
            <w:tcW w:w="0" w:type="auto"/>
            <w:tcBorders>
              <w:top w:val="nil"/>
              <w:left w:val="nil"/>
              <w:bottom w:val="single" w:sz="4" w:space="0" w:color="auto"/>
              <w:right w:val="single" w:sz="4" w:space="0" w:color="auto"/>
            </w:tcBorders>
            <w:shd w:val="clear" w:color="auto" w:fill="auto"/>
            <w:vAlign w:val="center"/>
            <w:hideMark/>
          </w:tcPr>
          <w:p w:rsidR="00E8013F" w:rsidRPr="00691330" w:rsidRDefault="00E8013F" w:rsidP="00691330">
            <w:pPr>
              <w:spacing w:line="276" w:lineRule="auto"/>
              <w:jc w:val="center"/>
              <w:rPr>
                <w:rFonts w:eastAsia="Times New Roman"/>
                <w:bCs/>
                <w:color w:val="000000"/>
                <w:sz w:val="24"/>
                <w:szCs w:val="24"/>
                <w:lang w:val="en-US"/>
              </w:rPr>
            </w:pPr>
            <w:r w:rsidRPr="00691330">
              <w:rPr>
                <w:rFonts w:eastAsia="Times New Roman"/>
                <w:bCs/>
                <w:color w:val="000000"/>
                <w:sz w:val="24"/>
                <w:szCs w:val="24"/>
                <w:lang w:val="en-US"/>
              </w:rPr>
              <w:t>25,25</w:t>
            </w:r>
          </w:p>
        </w:tc>
        <w:tc>
          <w:tcPr>
            <w:tcW w:w="0" w:type="auto"/>
            <w:tcBorders>
              <w:top w:val="nil"/>
              <w:left w:val="nil"/>
              <w:bottom w:val="single" w:sz="4" w:space="0" w:color="auto"/>
              <w:right w:val="single" w:sz="4" w:space="0" w:color="auto"/>
            </w:tcBorders>
            <w:shd w:val="clear" w:color="auto" w:fill="auto"/>
            <w:vAlign w:val="center"/>
            <w:hideMark/>
          </w:tcPr>
          <w:p w:rsidR="00E8013F" w:rsidRPr="00691330" w:rsidRDefault="00E8013F" w:rsidP="00691330">
            <w:pPr>
              <w:spacing w:line="276" w:lineRule="auto"/>
              <w:jc w:val="center"/>
              <w:rPr>
                <w:rFonts w:eastAsia="Times New Roman"/>
                <w:bCs/>
                <w:color w:val="000000"/>
                <w:sz w:val="24"/>
                <w:szCs w:val="24"/>
                <w:lang w:val="en-US"/>
              </w:rPr>
            </w:pPr>
            <w:r w:rsidRPr="00691330">
              <w:rPr>
                <w:rFonts w:eastAsia="Times New Roman"/>
                <w:bCs/>
                <w:color w:val="000000"/>
                <w:sz w:val="24"/>
                <w:szCs w:val="24"/>
                <w:lang w:val="en-US"/>
              </w:rPr>
              <w:t>16,00</w:t>
            </w:r>
          </w:p>
        </w:tc>
        <w:tc>
          <w:tcPr>
            <w:tcW w:w="0" w:type="auto"/>
            <w:tcBorders>
              <w:top w:val="nil"/>
              <w:left w:val="nil"/>
              <w:bottom w:val="single" w:sz="4" w:space="0" w:color="auto"/>
              <w:right w:val="single" w:sz="4" w:space="0" w:color="auto"/>
            </w:tcBorders>
            <w:shd w:val="clear" w:color="auto" w:fill="auto"/>
            <w:vAlign w:val="center"/>
          </w:tcPr>
          <w:p w:rsidR="00E8013F" w:rsidRPr="00691330" w:rsidRDefault="00E8013F" w:rsidP="00691330">
            <w:pPr>
              <w:spacing w:line="276" w:lineRule="auto"/>
              <w:jc w:val="center"/>
              <w:rPr>
                <w:rFonts w:eastAsia="Times New Roman"/>
                <w:bCs/>
                <w:color w:val="000000"/>
                <w:sz w:val="24"/>
                <w:szCs w:val="24"/>
              </w:rPr>
            </w:pPr>
            <w:r w:rsidRPr="00691330">
              <w:rPr>
                <w:rFonts w:eastAsia="Times New Roman"/>
                <w:bCs/>
                <w:color w:val="000000"/>
                <w:sz w:val="24"/>
                <w:szCs w:val="24"/>
              </w:rPr>
              <w:t>80,16</w:t>
            </w:r>
          </w:p>
        </w:tc>
        <w:tc>
          <w:tcPr>
            <w:tcW w:w="0" w:type="auto"/>
            <w:tcBorders>
              <w:top w:val="nil"/>
              <w:left w:val="nil"/>
              <w:bottom w:val="single" w:sz="4" w:space="0" w:color="auto"/>
              <w:right w:val="single" w:sz="4" w:space="0" w:color="auto"/>
            </w:tcBorders>
            <w:shd w:val="clear" w:color="auto" w:fill="auto"/>
            <w:vAlign w:val="center"/>
          </w:tcPr>
          <w:p w:rsidR="00E8013F" w:rsidRPr="00691330" w:rsidRDefault="00E8013F" w:rsidP="00691330">
            <w:pPr>
              <w:spacing w:line="276" w:lineRule="auto"/>
              <w:jc w:val="center"/>
              <w:rPr>
                <w:rFonts w:eastAsia="Times New Roman"/>
                <w:bCs/>
                <w:color w:val="000000"/>
                <w:sz w:val="24"/>
                <w:szCs w:val="24"/>
              </w:rPr>
            </w:pPr>
            <w:r w:rsidRPr="00691330">
              <w:rPr>
                <w:rFonts w:eastAsia="Times New Roman"/>
                <w:bCs/>
                <w:color w:val="000000"/>
                <w:sz w:val="24"/>
                <w:szCs w:val="24"/>
              </w:rPr>
              <w:t>50,80</w:t>
            </w:r>
          </w:p>
        </w:tc>
      </w:tr>
      <w:tr w:rsidR="00E8013F" w:rsidRPr="00691330" w:rsidTr="00223D4E">
        <w:trPr>
          <w:trHeight w:val="21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rsidR="00E8013F" w:rsidRPr="00691330" w:rsidRDefault="00E8013F" w:rsidP="00691330">
            <w:pPr>
              <w:spacing w:line="276" w:lineRule="auto"/>
              <w:jc w:val="left"/>
              <w:rPr>
                <w:rFonts w:eastAsia="Times New Roman"/>
                <w:bCs/>
                <w:color w:val="000000"/>
                <w:sz w:val="24"/>
                <w:szCs w:val="24"/>
                <w:lang w:val="en-US"/>
              </w:rPr>
            </w:pPr>
            <w:r w:rsidRPr="00691330">
              <w:rPr>
                <w:rFonts w:eastAsia="Times New Roman"/>
                <w:bCs/>
                <w:color w:val="000000"/>
                <w:sz w:val="24"/>
                <w:szCs w:val="24"/>
                <w:lang w:val="en-US"/>
              </w:rPr>
              <w:t>Львівська</w:t>
            </w:r>
          </w:p>
        </w:tc>
        <w:tc>
          <w:tcPr>
            <w:tcW w:w="0" w:type="auto"/>
            <w:tcBorders>
              <w:top w:val="nil"/>
              <w:left w:val="nil"/>
              <w:bottom w:val="single" w:sz="4" w:space="0" w:color="auto"/>
              <w:right w:val="single" w:sz="4" w:space="0" w:color="auto"/>
            </w:tcBorders>
            <w:shd w:val="clear" w:color="auto" w:fill="auto"/>
            <w:vAlign w:val="center"/>
            <w:hideMark/>
          </w:tcPr>
          <w:p w:rsidR="00E8013F" w:rsidRPr="00691330" w:rsidRDefault="00E8013F" w:rsidP="00691330">
            <w:pPr>
              <w:spacing w:line="276" w:lineRule="auto"/>
              <w:jc w:val="center"/>
              <w:rPr>
                <w:rFonts w:eastAsia="Times New Roman"/>
                <w:bCs/>
                <w:color w:val="000000"/>
                <w:sz w:val="24"/>
                <w:szCs w:val="24"/>
                <w:lang w:val="en-US"/>
              </w:rPr>
            </w:pPr>
            <w:r w:rsidRPr="00691330">
              <w:rPr>
                <w:rFonts w:eastAsia="Times New Roman"/>
                <w:bCs/>
                <w:color w:val="000000"/>
                <w:sz w:val="24"/>
                <w:szCs w:val="24"/>
                <w:lang w:val="en-US"/>
              </w:rPr>
              <w:t>126,25</w:t>
            </w:r>
          </w:p>
        </w:tc>
        <w:tc>
          <w:tcPr>
            <w:tcW w:w="0" w:type="auto"/>
            <w:tcBorders>
              <w:top w:val="nil"/>
              <w:left w:val="nil"/>
              <w:bottom w:val="single" w:sz="4" w:space="0" w:color="auto"/>
              <w:right w:val="single" w:sz="4" w:space="0" w:color="auto"/>
            </w:tcBorders>
            <w:shd w:val="clear" w:color="auto" w:fill="auto"/>
            <w:vAlign w:val="center"/>
            <w:hideMark/>
          </w:tcPr>
          <w:p w:rsidR="00E8013F" w:rsidRPr="00691330" w:rsidRDefault="00E8013F" w:rsidP="00691330">
            <w:pPr>
              <w:spacing w:line="276" w:lineRule="auto"/>
              <w:jc w:val="center"/>
              <w:rPr>
                <w:rFonts w:eastAsia="Times New Roman"/>
                <w:bCs/>
                <w:color w:val="000000"/>
                <w:sz w:val="24"/>
                <w:szCs w:val="24"/>
                <w:lang w:val="en-US"/>
              </w:rPr>
            </w:pPr>
            <w:r w:rsidRPr="00691330">
              <w:rPr>
                <w:rFonts w:eastAsia="Times New Roman"/>
                <w:bCs/>
                <w:color w:val="000000"/>
                <w:sz w:val="24"/>
                <w:szCs w:val="24"/>
                <w:lang w:val="en-US"/>
              </w:rPr>
              <w:t>125,25</w:t>
            </w:r>
          </w:p>
        </w:tc>
        <w:tc>
          <w:tcPr>
            <w:tcW w:w="0" w:type="auto"/>
            <w:tcBorders>
              <w:top w:val="nil"/>
              <w:left w:val="nil"/>
              <w:bottom w:val="single" w:sz="4" w:space="0" w:color="auto"/>
              <w:right w:val="single" w:sz="4" w:space="0" w:color="auto"/>
            </w:tcBorders>
            <w:shd w:val="clear" w:color="auto" w:fill="auto"/>
            <w:vAlign w:val="center"/>
            <w:hideMark/>
          </w:tcPr>
          <w:p w:rsidR="00E8013F" w:rsidRPr="00691330" w:rsidRDefault="00E8013F" w:rsidP="00691330">
            <w:pPr>
              <w:spacing w:line="276" w:lineRule="auto"/>
              <w:jc w:val="center"/>
              <w:rPr>
                <w:rFonts w:eastAsia="Times New Roman"/>
                <w:bCs/>
                <w:color w:val="000000"/>
                <w:sz w:val="24"/>
                <w:szCs w:val="24"/>
                <w:lang w:val="en-US"/>
              </w:rPr>
            </w:pPr>
            <w:r w:rsidRPr="00691330">
              <w:rPr>
                <w:rFonts w:eastAsia="Times New Roman"/>
                <w:bCs/>
                <w:color w:val="000000"/>
                <w:sz w:val="24"/>
                <w:szCs w:val="24"/>
                <w:lang w:val="en-US"/>
              </w:rPr>
              <w:t>129,00</w:t>
            </w:r>
          </w:p>
        </w:tc>
        <w:tc>
          <w:tcPr>
            <w:tcW w:w="0" w:type="auto"/>
            <w:tcBorders>
              <w:top w:val="nil"/>
              <w:left w:val="nil"/>
              <w:bottom w:val="single" w:sz="4" w:space="0" w:color="auto"/>
              <w:right w:val="single" w:sz="4" w:space="0" w:color="auto"/>
            </w:tcBorders>
            <w:shd w:val="clear" w:color="auto" w:fill="auto"/>
            <w:vAlign w:val="center"/>
          </w:tcPr>
          <w:p w:rsidR="00E8013F" w:rsidRPr="00691330" w:rsidRDefault="00E8013F" w:rsidP="00691330">
            <w:pPr>
              <w:spacing w:line="276" w:lineRule="auto"/>
              <w:jc w:val="center"/>
              <w:rPr>
                <w:rFonts w:eastAsia="Times New Roman"/>
                <w:bCs/>
                <w:color w:val="000000"/>
                <w:sz w:val="24"/>
                <w:szCs w:val="24"/>
              </w:rPr>
            </w:pPr>
            <w:r w:rsidRPr="00691330">
              <w:rPr>
                <w:rFonts w:eastAsia="Times New Roman"/>
                <w:bCs/>
                <w:color w:val="000000"/>
                <w:sz w:val="24"/>
                <w:szCs w:val="24"/>
              </w:rPr>
              <w:t>99,21</w:t>
            </w:r>
          </w:p>
        </w:tc>
        <w:tc>
          <w:tcPr>
            <w:tcW w:w="0" w:type="auto"/>
            <w:tcBorders>
              <w:top w:val="nil"/>
              <w:left w:val="nil"/>
              <w:bottom w:val="single" w:sz="4" w:space="0" w:color="auto"/>
              <w:right w:val="single" w:sz="4" w:space="0" w:color="auto"/>
            </w:tcBorders>
            <w:shd w:val="clear" w:color="auto" w:fill="auto"/>
            <w:vAlign w:val="center"/>
          </w:tcPr>
          <w:p w:rsidR="00E8013F" w:rsidRPr="00691330" w:rsidRDefault="00E8013F" w:rsidP="00691330">
            <w:pPr>
              <w:spacing w:line="276" w:lineRule="auto"/>
              <w:jc w:val="center"/>
              <w:rPr>
                <w:rFonts w:eastAsia="Times New Roman"/>
                <w:bCs/>
                <w:color w:val="000000"/>
                <w:sz w:val="24"/>
                <w:szCs w:val="24"/>
              </w:rPr>
            </w:pPr>
            <w:r w:rsidRPr="00691330">
              <w:rPr>
                <w:rFonts w:eastAsia="Times New Roman"/>
                <w:bCs/>
                <w:color w:val="000000"/>
                <w:sz w:val="24"/>
                <w:szCs w:val="24"/>
              </w:rPr>
              <w:t>102,18</w:t>
            </w:r>
          </w:p>
        </w:tc>
      </w:tr>
      <w:tr w:rsidR="00E8013F" w:rsidRPr="00691330" w:rsidTr="00223D4E">
        <w:trPr>
          <w:trHeight w:val="21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rsidR="00E8013F" w:rsidRPr="00691330" w:rsidRDefault="00E8013F" w:rsidP="00691330">
            <w:pPr>
              <w:spacing w:line="276" w:lineRule="auto"/>
              <w:jc w:val="left"/>
              <w:rPr>
                <w:rFonts w:eastAsia="Times New Roman"/>
                <w:bCs/>
                <w:color w:val="000000"/>
                <w:sz w:val="24"/>
                <w:szCs w:val="24"/>
                <w:lang w:val="en-US"/>
              </w:rPr>
            </w:pPr>
            <w:r w:rsidRPr="00691330">
              <w:rPr>
                <w:rFonts w:eastAsia="Times New Roman"/>
                <w:bCs/>
                <w:color w:val="000000"/>
                <w:sz w:val="24"/>
                <w:szCs w:val="24"/>
                <w:lang w:val="en-US"/>
              </w:rPr>
              <w:t>Миколаївська</w:t>
            </w:r>
          </w:p>
        </w:tc>
        <w:tc>
          <w:tcPr>
            <w:tcW w:w="0" w:type="auto"/>
            <w:tcBorders>
              <w:top w:val="nil"/>
              <w:left w:val="nil"/>
              <w:bottom w:val="single" w:sz="4" w:space="0" w:color="auto"/>
              <w:right w:val="single" w:sz="4" w:space="0" w:color="auto"/>
            </w:tcBorders>
            <w:shd w:val="clear" w:color="auto" w:fill="auto"/>
            <w:vAlign w:val="center"/>
            <w:hideMark/>
          </w:tcPr>
          <w:p w:rsidR="00E8013F" w:rsidRPr="00691330" w:rsidRDefault="00E8013F" w:rsidP="00691330">
            <w:pPr>
              <w:spacing w:line="276" w:lineRule="auto"/>
              <w:jc w:val="center"/>
              <w:rPr>
                <w:rFonts w:eastAsia="Times New Roman"/>
                <w:bCs/>
                <w:color w:val="000000"/>
                <w:sz w:val="24"/>
                <w:szCs w:val="24"/>
                <w:lang w:val="en-US"/>
              </w:rPr>
            </w:pPr>
            <w:r w:rsidRPr="00691330">
              <w:rPr>
                <w:rFonts w:eastAsia="Times New Roman"/>
                <w:bCs/>
                <w:color w:val="000000"/>
                <w:sz w:val="24"/>
                <w:szCs w:val="24"/>
                <w:lang w:val="en-US"/>
              </w:rPr>
              <w:t>47,75</w:t>
            </w:r>
          </w:p>
        </w:tc>
        <w:tc>
          <w:tcPr>
            <w:tcW w:w="0" w:type="auto"/>
            <w:tcBorders>
              <w:top w:val="nil"/>
              <w:left w:val="nil"/>
              <w:bottom w:val="single" w:sz="4" w:space="0" w:color="auto"/>
              <w:right w:val="single" w:sz="4" w:space="0" w:color="auto"/>
            </w:tcBorders>
            <w:shd w:val="clear" w:color="auto" w:fill="auto"/>
            <w:vAlign w:val="center"/>
            <w:hideMark/>
          </w:tcPr>
          <w:p w:rsidR="00E8013F" w:rsidRPr="00691330" w:rsidRDefault="00E8013F" w:rsidP="00691330">
            <w:pPr>
              <w:spacing w:line="276" w:lineRule="auto"/>
              <w:jc w:val="center"/>
              <w:rPr>
                <w:rFonts w:eastAsia="Times New Roman"/>
                <w:bCs/>
                <w:color w:val="000000"/>
                <w:sz w:val="24"/>
                <w:szCs w:val="24"/>
                <w:lang w:val="en-US"/>
              </w:rPr>
            </w:pPr>
            <w:r w:rsidRPr="00691330">
              <w:rPr>
                <w:rFonts w:eastAsia="Times New Roman"/>
                <w:bCs/>
                <w:color w:val="000000"/>
                <w:sz w:val="24"/>
                <w:szCs w:val="24"/>
                <w:lang w:val="en-US"/>
              </w:rPr>
              <w:t>40,00</w:t>
            </w:r>
          </w:p>
        </w:tc>
        <w:tc>
          <w:tcPr>
            <w:tcW w:w="0" w:type="auto"/>
            <w:tcBorders>
              <w:top w:val="nil"/>
              <w:left w:val="nil"/>
              <w:bottom w:val="single" w:sz="4" w:space="0" w:color="auto"/>
              <w:right w:val="single" w:sz="4" w:space="0" w:color="auto"/>
            </w:tcBorders>
            <w:shd w:val="clear" w:color="auto" w:fill="auto"/>
            <w:vAlign w:val="center"/>
            <w:hideMark/>
          </w:tcPr>
          <w:p w:rsidR="00E8013F" w:rsidRPr="00691330" w:rsidRDefault="00E8013F" w:rsidP="00691330">
            <w:pPr>
              <w:spacing w:line="276" w:lineRule="auto"/>
              <w:jc w:val="center"/>
              <w:rPr>
                <w:rFonts w:eastAsia="Times New Roman"/>
                <w:bCs/>
                <w:color w:val="000000"/>
                <w:sz w:val="24"/>
                <w:szCs w:val="24"/>
                <w:lang w:val="en-US"/>
              </w:rPr>
            </w:pPr>
            <w:r w:rsidRPr="00691330">
              <w:rPr>
                <w:rFonts w:eastAsia="Times New Roman"/>
                <w:bCs/>
                <w:color w:val="000000"/>
                <w:sz w:val="24"/>
                <w:szCs w:val="24"/>
                <w:lang w:val="en-US"/>
              </w:rPr>
              <w:t>26,00</w:t>
            </w:r>
          </w:p>
        </w:tc>
        <w:tc>
          <w:tcPr>
            <w:tcW w:w="0" w:type="auto"/>
            <w:tcBorders>
              <w:top w:val="nil"/>
              <w:left w:val="nil"/>
              <w:bottom w:val="single" w:sz="4" w:space="0" w:color="auto"/>
              <w:right w:val="single" w:sz="4" w:space="0" w:color="auto"/>
            </w:tcBorders>
            <w:shd w:val="clear" w:color="auto" w:fill="auto"/>
            <w:vAlign w:val="center"/>
          </w:tcPr>
          <w:p w:rsidR="00E8013F" w:rsidRPr="00691330" w:rsidRDefault="00E8013F" w:rsidP="00691330">
            <w:pPr>
              <w:spacing w:line="276" w:lineRule="auto"/>
              <w:jc w:val="center"/>
              <w:rPr>
                <w:rFonts w:eastAsia="Times New Roman"/>
                <w:bCs/>
                <w:color w:val="000000"/>
                <w:sz w:val="24"/>
                <w:szCs w:val="24"/>
              </w:rPr>
            </w:pPr>
            <w:r w:rsidRPr="00691330">
              <w:rPr>
                <w:rFonts w:eastAsia="Times New Roman"/>
                <w:bCs/>
                <w:color w:val="000000"/>
                <w:sz w:val="24"/>
                <w:szCs w:val="24"/>
              </w:rPr>
              <w:t>83,77</w:t>
            </w:r>
          </w:p>
        </w:tc>
        <w:tc>
          <w:tcPr>
            <w:tcW w:w="0" w:type="auto"/>
            <w:tcBorders>
              <w:top w:val="nil"/>
              <w:left w:val="nil"/>
              <w:bottom w:val="single" w:sz="4" w:space="0" w:color="auto"/>
              <w:right w:val="single" w:sz="4" w:space="0" w:color="auto"/>
            </w:tcBorders>
            <w:shd w:val="clear" w:color="auto" w:fill="auto"/>
            <w:vAlign w:val="center"/>
          </w:tcPr>
          <w:p w:rsidR="00E8013F" w:rsidRPr="00691330" w:rsidRDefault="00E8013F" w:rsidP="00691330">
            <w:pPr>
              <w:spacing w:line="276" w:lineRule="auto"/>
              <w:jc w:val="center"/>
              <w:rPr>
                <w:rFonts w:eastAsia="Times New Roman"/>
                <w:bCs/>
                <w:color w:val="000000"/>
                <w:sz w:val="24"/>
                <w:szCs w:val="24"/>
              </w:rPr>
            </w:pPr>
            <w:r w:rsidRPr="00691330">
              <w:rPr>
                <w:rFonts w:eastAsia="Times New Roman"/>
                <w:bCs/>
                <w:color w:val="000000"/>
                <w:sz w:val="24"/>
                <w:szCs w:val="24"/>
              </w:rPr>
              <w:t>54,45</w:t>
            </w:r>
          </w:p>
        </w:tc>
      </w:tr>
      <w:tr w:rsidR="00E8013F" w:rsidRPr="00691330" w:rsidTr="00223D4E">
        <w:trPr>
          <w:trHeight w:val="21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rsidR="00E8013F" w:rsidRPr="00691330" w:rsidRDefault="00E8013F" w:rsidP="00691330">
            <w:pPr>
              <w:spacing w:line="276" w:lineRule="auto"/>
              <w:jc w:val="left"/>
              <w:rPr>
                <w:rFonts w:eastAsia="Times New Roman"/>
                <w:bCs/>
                <w:color w:val="000000"/>
                <w:sz w:val="24"/>
                <w:szCs w:val="24"/>
                <w:lang w:val="en-US"/>
              </w:rPr>
            </w:pPr>
            <w:r w:rsidRPr="00691330">
              <w:rPr>
                <w:rFonts w:eastAsia="Times New Roman"/>
                <w:bCs/>
                <w:color w:val="000000"/>
                <w:sz w:val="24"/>
                <w:szCs w:val="24"/>
                <w:lang w:val="en-US"/>
              </w:rPr>
              <w:t>Одеська</w:t>
            </w:r>
          </w:p>
        </w:tc>
        <w:tc>
          <w:tcPr>
            <w:tcW w:w="0" w:type="auto"/>
            <w:tcBorders>
              <w:top w:val="nil"/>
              <w:left w:val="nil"/>
              <w:bottom w:val="single" w:sz="4" w:space="0" w:color="auto"/>
              <w:right w:val="single" w:sz="4" w:space="0" w:color="auto"/>
            </w:tcBorders>
            <w:shd w:val="clear" w:color="auto" w:fill="auto"/>
            <w:vAlign w:val="center"/>
            <w:hideMark/>
          </w:tcPr>
          <w:p w:rsidR="00E8013F" w:rsidRPr="00691330" w:rsidRDefault="00E8013F" w:rsidP="00691330">
            <w:pPr>
              <w:spacing w:line="276" w:lineRule="auto"/>
              <w:jc w:val="center"/>
              <w:rPr>
                <w:rFonts w:eastAsia="Times New Roman"/>
                <w:bCs/>
                <w:color w:val="000000"/>
                <w:sz w:val="24"/>
                <w:szCs w:val="24"/>
                <w:lang w:val="en-US"/>
              </w:rPr>
            </w:pPr>
            <w:r w:rsidRPr="00691330">
              <w:rPr>
                <w:rFonts w:eastAsia="Times New Roman"/>
                <w:bCs/>
                <w:color w:val="000000"/>
                <w:sz w:val="24"/>
                <w:szCs w:val="24"/>
                <w:lang w:val="en-US"/>
              </w:rPr>
              <w:t>95,00</w:t>
            </w:r>
          </w:p>
        </w:tc>
        <w:tc>
          <w:tcPr>
            <w:tcW w:w="0" w:type="auto"/>
            <w:tcBorders>
              <w:top w:val="nil"/>
              <w:left w:val="nil"/>
              <w:bottom w:val="single" w:sz="4" w:space="0" w:color="auto"/>
              <w:right w:val="single" w:sz="4" w:space="0" w:color="auto"/>
            </w:tcBorders>
            <w:shd w:val="clear" w:color="auto" w:fill="auto"/>
            <w:vAlign w:val="center"/>
            <w:hideMark/>
          </w:tcPr>
          <w:p w:rsidR="00E8013F" w:rsidRPr="00691330" w:rsidRDefault="00E8013F" w:rsidP="00691330">
            <w:pPr>
              <w:spacing w:line="276" w:lineRule="auto"/>
              <w:jc w:val="center"/>
              <w:rPr>
                <w:rFonts w:eastAsia="Times New Roman"/>
                <w:bCs/>
                <w:color w:val="000000"/>
                <w:sz w:val="24"/>
                <w:szCs w:val="24"/>
                <w:lang w:val="en-US"/>
              </w:rPr>
            </w:pPr>
            <w:r w:rsidRPr="00691330">
              <w:rPr>
                <w:rFonts w:eastAsia="Times New Roman"/>
                <w:bCs/>
                <w:color w:val="000000"/>
                <w:sz w:val="24"/>
                <w:szCs w:val="24"/>
                <w:lang w:val="en-US"/>
              </w:rPr>
              <w:t>83,75</w:t>
            </w:r>
          </w:p>
        </w:tc>
        <w:tc>
          <w:tcPr>
            <w:tcW w:w="0" w:type="auto"/>
            <w:tcBorders>
              <w:top w:val="nil"/>
              <w:left w:val="nil"/>
              <w:bottom w:val="single" w:sz="4" w:space="0" w:color="auto"/>
              <w:right w:val="single" w:sz="4" w:space="0" w:color="auto"/>
            </w:tcBorders>
            <w:shd w:val="clear" w:color="auto" w:fill="auto"/>
            <w:vAlign w:val="center"/>
            <w:hideMark/>
          </w:tcPr>
          <w:p w:rsidR="00E8013F" w:rsidRPr="00691330" w:rsidRDefault="00E8013F" w:rsidP="00691330">
            <w:pPr>
              <w:spacing w:line="276" w:lineRule="auto"/>
              <w:jc w:val="center"/>
              <w:rPr>
                <w:rFonts w:eastAsia="Times New Roman"/>
                <w:bCs/>
                <w:color w:val="000000"/>
                <w:sz w:val="24"/>
                <w:szCs w:val="24"/>
                <w:lang w:val="en-US"/>
              </w:rPr>
            </w:pPr>
            <w:r w:rsidRPr="00691330">
              <w:rPr>
                <w:rFonts w:eastAsia="Times New Roman"/>
                <w:bCs/>
                <w:color w:val="000000"/>
                <w:sz w:val="24"/>
                <w:szCs w:val="24"/>
                <w:lang w:val="en-US"/>
              </w:rPr>
              <w:t>71,00</w:t>
            </w:r>
          </w:p>
        </w:tc>
        <w:tc>
          <w:tcPr>
            <w:tcW w:w="0" w:type="auto"/>
            <w:tcBorders>
              <w:top w:val="nil"/>
              <w:left w:val="nil"/>
              <w:bottom w:val="single" w:sz="4" w:space="0" w:color="auto"/>
              <w:right w:val="single" w:sz="4" w:space="0" w:color="auto"/>
            </w:tcBorders>
            <w:shd w:val="clear" w:color="auto" w:fill="auto"/>
            <w:vAlign w:val="center"/>
          </w:tcPr>
          <w:p w:rsidR="00E8013F" w:rsidRPr="00691330" w:rsidRDefault="00E8013F" w:rsidP="00691330">
            <w:pPr>
              <w:spacing w:line="276" w:lineRule="auto"/>
              <w:jc w:val="center"/>
              <w:rPr>
                <w:rFonts w:eastAsia="Times New Roman"/>
                <w:bCs/>
                <w:color w:val="000000"/>
                <w:sz w:val="24"/>
                <w:szCs w:val="24"/>
              </w:rPr>
            </w:pPr>
            <w:r w:rsidRPr="00691330">
              <w:rPr>
                <w:rFonts w:eastAsia="Times New Roman"/>
                <w:bCs/>
                <w:color w:val="000000"/>
                <w:sz w:val="24"/>
                <w:szCs w:val="24"/>
              </w:rPr>
              <w:t>88,16</w:t>
            </w:r>
          </w:p>
        </w:tc>
        <w:tc>
          <w:tcPr>
            <w:tcW w:w="0" w:type="auto"/>
            <w:tcBorders>
              <w:top w:val="nil"/>
              <w:left w:val="nil"/>
              <w:bottom w:val="single" w:sz="4" w:space="0" w:color="auto"/>
              <w:right w:val="single" w:sz="4" w:space="0" w:color="auto"/>
            </w:tcBorders>
            <w:shd w:val="clear" w:color="auto" w:fill="auto"/>
            <w:vAlign w:val="center"/>
          </w:tcPr>
          <w:p w:rsidR="00E8013F" w:rsidRPr="00691330" w:rsidRDefault="00E8013F" w:rsidP="00691330">
            <w:pPr>
              <w:spacing w:line="276" w:lineRule="auto"/>
              <w:jc w:val="center"/>
              <w:rPr>
                <w:rFonts w:eastAsia="Times New Roman"/>
                <w:bCs/>
                <w:color w:val="000000"/>
                <w:sz w:val="24"/>
                <w:szCs w:val="24"/>
              </w:rPr>
            </w:pPr>
            <w:r w:rsidRPr="00691330">
              <w:rPr>
                <w:rFonts w:eastAsia="Times New Roman"/>
                <w:bCs/>
                <w:color w:val="000000"/>
                <w:sz w:val="24"/>
                <w:szCs w:val="24"/>
              </w:rPr>
              <w:t>74,74</w:t>
            </w:r>
          </w:p>
        </w:tc>
      </w:tr>
      <w:tr w:rsidR="00E8013F" w:rsidRPr="00691330" w:rsidTr="00223D4E">
        <w:trPr>
          <w:trHeight w:val="21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rsidR="00E8013F" w:rsidRPr="00691330" w:rsidRDefault="00E8013F" w:rsidP="00691330">
            <w:pPr>
              <w:spacing w:line="276" w:lineRule="auto"/>
              <w:jc w:val="left"/>
              <w:rPr>
                <w:rFonts w:eastAsia="Times New Roman"/>
                <w:bCs/>
                <w:color w:val="000000"/>
                <w:sz w:val="24"/>
                <w:szCs w:val="24"/>
                <w:lang w:val="en-US"/>
              </w:rPr>
            </w:pPr>
            <w:r w:rsidRPr="00691330">
              <w:rPr>
                <w:rFonts w:eastAsia="Times New Roman"/>
                <w:bCs/>
                <w:color w:val="000000"/>
                <w:sz w:val="24"/>
                <w:szCs w:val="24"/>
                <w:lang w:val="en-US"/>
              </w:rPr>
              <w:t>Полтавська</w:t>
            </w:r>
          </w:p>
        </w:tc>
        <w:tc>
          <w:tcPr>
            <w:tcW w:w="0" w:type="auto"/>
            <w:tcBorders>
              <w:top w:val="nil"/>
              <w:left w:val="nil"/>
              <w:bottom w:val="single" w:sz="4" w:space="0" w:color="auto"/>
              <w:right w:val="single" w:sz="4" w:space="0" w:color="auto"/>
            </w:tcBorders>
            <w:shd w:val="clear" w:color="auto" w:fill="auto"/>
            <w:vAlign w:val="center"/>
            <w:hideMark/>
          </w:tcPr>
          <w:p w:rsidR="00E8013F" w:rsidRPr="00691330" w:rsidRDefault="00E8013F" w:rsidP="00691330">
            <w:pPr>
              <w:spacing w:line="276" w:lineRule="auto"/>
              <w:jc w:val="center"/>
              <w:rPr>
                <w:rFonts w:eastAsia="Times New Roman"/>
                <w:bCs/>
                <w:color w:val="000000"/>
                <w:sz w:val="24"/>
                <w:szCs w:val="24"/>
                <w:lang w:val="en-US"/>
              </w:rPr>
            </w:pPr>
            <w:r w:rsidRPr="00691330">
              <w:rPr>
                <w:rFonts w:eastAsia="Times New Roman"/>
                <w:bCs/>
                <w:color w:val="000000"/>
                <w:sz w:val="24"/>
                <w:szCs w:val="24"/>
                <w:lang w:val="en-US"/>
              </w:rPr>
              <w:t>67,00</w:t>
            </w:r>
          </w:p>
        </w:tc>
        <w:tc>
          <w:tcPr>
            <w:tcW w:w="0" w:type="auto"/>
            <w:tcBorders>
              <w:top w:val="nil"/>
              <w:left w:val="nil"/>
              <w:bottom w:val="single" w:sz="4" w:space="0" w:color="auto"/>
              <w:right w:val="single" w:sz="4" w:space="0" w:color="auto"/>
            </w:tcBorders>
            <w:shd w:val="clear" w:color="auto" w:fill="auto"/>
            <w:vAlign w:val="center"/>
            <w:hideMark/>
          </w:tcPr>
          <w:p w:rsidR="00E8013F" w:rsidRPr="00691330" w:rsidRDefault="00E8013F" w:rsidP="00691330">
            <w:pPr>
              <w:spacing w:line="276" w:lineRule="auto"/>
              <w:jc w:val="center"/>
              <w:rPr>
                <w:rFonts w:eastAsia="Times New Roman"/>
                <w:bCs/>
                <w:color w:val="000000"/>
                <w:sz w:val="24"/>
                <w:szCs w:val="24"/>
                <w:lang w:val="en-US"/>
              </w:rPr>
            </w:pPr>
            <w:r w:rsidRPr="00691330">
              <w:rPr>
                <w:rFonts w:eastAsia="Times New Roman"/>
                <w:bCs/>
                <w:color w:val="000000"/>
                <w:sz w:val="24"/>
                <w:szCs w:val="24"/>
                <w:lang w:val="en-US"/>
              </w:rPr>
              <w:t>60,50</w:t>
            </w:r>
          </w:p>
        </w:tc>
        <w:tc>
          <w:tcPr>
            <w:tcW w:w="0" w:type="auto"/>
            <w:tcBorders>
              <w:top w:val="nil"/>
              <w:left w:val="nil"/>
              <w:bottom w:val="single" w:sz="4" w:space="0" w:color="auto"/>
              <w:right w:val="single" w:sz="4" w:space="0" w:color="auto"/>
            </w:tcBorders>
            <w:shd w:val="clear" w:color="auto" w:fill="auto"/>
            <w:vAlign w:val="center"/>
            <w:hideMark/>
          </w:tcPr>
          <w:p w:rsidR="00E8013F" w:rsidRPr="00691330" w:rsidRDefault="00E8013F" w:rsidP="00691330">
            <w:pPr>
              <w:spacing w:line="276" w:lineRule="auto"/>
              <w:jc w:val="center"/>
              <w:rPr>
                <w:rFonts w:eastAsia="Times New Roman"/>
                <w:bCs/>
                <w:color w:val="000000"/>
                <w:sz w:val="24"/>
                <w:szCs w:val="24"/>
                <w:lang w:val="en-US"/>
              </w:rPr>
            </w:pPr>
            <w:r w:rsidRPr="00691330">
              <w:rPr>
                <w:rFonts w:eastAsia="Times New Roman"/>
                <w:bCs/>
                <w:color w:val="000000"/>
                <w:sz w:val="24"/>
                <w:szCs w:val="24"/>
                <w:lang w:val="en-US"/>
              </w:rPr>
              <w:t>50,00</w:t>
            </w:r>
          </w:p>
        </w:tc>
        <w:tc>
          <w:tcPr>
            <w:tcW w:w="0" w:type="auto"/>
            <w:tcBorders>
              <w:top w:val="nil"/>
              <w:left w:val="nil"/>
              <w:bottom w:val="single" w:sz="4" w:space="0" w:color="auto"/>
              <w:right w:val="single" w:sz="4" w:space="0" w:color="auto"/>
            </w:tcBorders>
            <w:shd w:val="clear" w:color="auto" w:fill="auto"/>
            <w:vAlign w:val="center"/>
          </w:tcPr>
          <w:p w:rsidR="00E8013F" w:rsidRPr="00691330" w:rsidRDefault="00E8013F" w:rsidP="00691330">
            <w:pPr>
              <w:spacing w:line="276" w:lineRule="auto"/>
              <w:jc w:val="center"/>
              <w:rPr>
                <w:rFonts w:eastAsia="Times New Roman"/>
                <w:bCs/>
                <w:color w:val="000000"/>
                <w:sz w:val="24"/>
                <w:szCs w:val="24"/>
                <w:lang w:val="ru-RU"/>
              </w:rPr>
            </w:pPr>
            <w:r w:rsidRPr="00691330">
              <w:rPr>
                <w:rFonts w:eastAsia="Times New Roman"/>
                <w:bCs/>
                <w:color w:val="000000"/>
                <w:sz w:val="24"/>
                <w:szCs w:val="24"/>
                <w:lang w:val="ru-RU"/>
              </w:rPr>
              <w:t>90,30</w:t>
            </w:r>
          </w:p>
        </w:tc>
        <w:tc>
          <w:tcPr>
            <w:tcW w:w="0" w:type="auto"/>
            <w:tcBorders>
              <w:top w:val="nil"/>
              <w:left w:val="nil"/>
              <w:bottom w:val="single" w:sz="4" w:space="0" w:color="auto"/>
              <w:right w:val="single" w:sz="4" w:space="0" w:color="auto"/>
            </w:tcBorders>
            <w:shd w:val="clear" w:color="auto" w:fill="auto"/>
            <w:vAlign w:val="center"/>
          </w:tcPr>
          <w:p w:rsidR="00E8013F" w:rsidRPr="00691330" w:rsidRDefault="00E8013F" w:rsidP="00691330">
            <w:pPr>
              <w:spacing w:line="276" w:lineRule="auto"/>
              <w:jc w:val="center"/>
              <w:rPr>
                <w:rFonts w:eastAsia="Times New Roman"/>
                <w:bCs/>
                <w:color w:val="000000"/>
                <w:sz w:val="24"/>
                <w:szCs w:val="24"/>
                <w:lang w:val="ru-RU"/>
              </w:rPr>
            </w:pPr>
            <w:r w:rsidRPr="00691330">
              <w:rPr>
                <w:rFonts w:eastAsia="Times New Roman"/>
                <w:bCs/>
                <w:color w:val="000000"/>
                <w:sz w:val="24"/>
                <w:szCs w:val="24"/>
                <w:lang w:val="ru-RU"/>
              </w:rPr>
              <w:t>74,63</w:t>
            </w:r>
          </w:p>
        </w:tc>
      </w:tr>
      <w:tr w:rsidR="00E8013F" w:rsidRPr="00691330" w:rsidTr="00223D4E">
        <w:trPr>
          <w:trHeight w:val="21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rsidR="00E8013F" w:rsidRPr="00691330" w:rsidRDefault="00E8013F" w:rsidP="00691330">
            <w:pPr>
              <w:spacing w:line="276" w:lineRule="auto"/>
              <w:jc w:val="left"/>
              <w:rPr>
                <w:rFonts w:eastAsia="Times New Roman"/>
                <w:bCs/>
                <w:color w:val="000000"/>
                <w:sz w:val="24"/>
                <w:szCs w:val="24"/>
                <w:lang w:val="en-US"/>
              </w:rPr>
            </w:pPr>
            <w:r w:rsidRPr="00691330">
              <w:rPr>
                <w:rFonts w:eastAsia="Times New Roman"/>
                <w:bCs/>
                <w:color w:val="000000"/>
                <w:sz w:val="24"/>
                <w:szCs w:val="24"/>
                <w:lang w:val="en-US"/>
              </w:rPr>
              <w:t>Рівненська</w:t>
            </w:r>
          </w:p>
        </w:tc>
        <w:tc>
          <w:tcPr>
            <w:tcW w:w="0" w:type="auto"/>
            <w:tcBorders>
              <w:top w:val="nil"/>
              <w:left w:val="nil"/>
              <w:bottom w:val="single" w:sz="4" w:space="0" w:color="auto"/>
              <w:right w:val="single" w:sz="4" w:space="0" w:color="auto"/>
            </w:tcBorders>
            <w:shd w:val="clear" w:color="auto" w:fill="auto"/>
            <w:vAlign w:val="center"/>
            <w:hideMark/>
          </w:tcPr>
          <w:p w:rsidR="00E8013F" w:rsidRPr="00691330" w:rsidRDefault="00E8013F" w:rsidP="00691330">
            <w:pPr>
              <w:spacing w:line="276" w:lineRule="auto"/>
              <w:jc w:val="center"/>
              <w:rPr>
                <w:rFonts w:eastAsia="Times New Roman"/>
                <w:bCs/>
                <w:color w:val="000000"/>
                <w:sz w:val="24"/>
                <w:szCs w:val="24"/>
                <w:lang w:val="en-US"/>
              </w:rPr>
            </w:pPr>
            <w:r w:rsidRPr="00691330">
              <w:rPr>
                <w:rFonts w:eastAsia="Times New Roman"/>
                <w:bCs/>
                <w:color w:val="000000"/>
                <w:sz w:val="24"/>
                <w:szCs w:val="24"/>
                <w:lang w:val="en-US"/>
              </w:rPr>
              <w:t>65,25</w:t>
            </w:r>
          </w:p>
        </w:tc>
        <w:tc>
          <w:tcPr>
            <w:tcW w:w="0" w:type="auto"/>
            <w:tcBorders>
              <w:top w:val="nil"/>
              <w:left w:val="nil"/>
              <w:bottom w:val="single" w:sz="4" w:space="0" w:color="auto"/>
              <w:right w:val="single" w:sz="4" w:space="0" w:color="auto"/>
            </w:tcBorders>
            <w:shd w:val="clear" w:color="auto" w:fill="auto"/>
            <w:vAlign w:val="center"/>
            <w:hideMark/>
          </w:tcPr>
          <w:p w:rsidR="00E8013F" w:rsidRPr="00691330" w:rsidRDefault="00E8013F" w:rsidP="00691330">
            <w:pPr>
              <w:spacing w:line="276" w:lineRule="auto"/>
              <w:jc w:val="center"/>
              <w:rPr>
                <w:rFonts w:eastAsia="Times New Roman"/>
                <w:bCs/>
                <w:color w:val="000000"/>
                <w:sz w:val="24"/>
                <w:szCs w:val="24"/>
                <w:lang w:val="en-US"/>
              </w:rPr>
            </w:pPr>
            <w:r w:rsidRPr="00691330">
              <w:rPr>
                <w:rFonts w:eastAsia="Times New Roman"/>
                <w:bCs/>
                <w:color w:val="000000"/>
                <w:sz w:val="24"/>
                <w:szCs w:val="24"/>
                <w:lang w:val="en-US"/>
              </w:rPr>
              <w:t>63,25</w:t>
            </w:r>
          </w:p>
        </w:tc>
        <w:tc>
          <w:tcPr>
            <w:tcW w:w="0" w:type="auto"/>
            <w:tcBorders>
              <w:top w:val="nil"/>
              <w:left w:val="nil"/>
              <w:bottom w:val="single" w:sz="4" w:space="0" w:color="auto"/>
              <w:right w:val="single" w:sz="4" w:space="0" w:color="auto"/>
            </w:tcBorders>
            <w:shd w:val="clear" w:color="auto" w:fill="auto"/>
            <w:vAlign w:val="center"/>
            <w:hideMark/>
          </w:tcPr>
          <w:p w:rsidR="00E8013F" w:rsidRPr="00691330" w:rsidRDefault="00E8013F" w:rsidP="00691330">
            <w:pPr>
              <w:spacing w:line="276" w:lineRule="auto"/>
              <w:jc w:val="center"/>
              <w:rPr>
                <w:rFonts w:eastAsia="Times New Roman"/>
                <w:bCs/>
                <w:color w:val="000000"/>
                <w:sz w:val="24"/>
                <w:szCs w:val="24"/>
                <w:lang w:val="en-US"/>
              </w:rPr>
            </w:pPr>
            <w:r w:rsidRPr="00691330">
              <w:rPr>
                <w:rFonts w:eastAsia="Times New Roman"/>
                <w:bCs/>
                <w:color w:val="000000"/>
                <w:sz w:val="24"/>
                <w:szCs w:val="24"/>
                <w:lang w:val="en-US"/>
              </w:rPr>
              <w:t>52,00</w:t>
            </w:r>
          </w:p>
        </w:tc>
        <w:tc>
          <w:tcPr>
            <w:tcW w:w="0" w:type="auto"/>
            <w:tcBorders>
              <w:top w:val="nil"/>
              <w:left w:val="nil"/>
              <w:bottom w:val="single" w:sz="4" w:space="0" w:color="auto"/>
              <w:right w:val="single" w:sz="4" w:space="0" w:color="auto"/>
            </w:tcBorders>
            <w:shd w:val="clear" w:color="auto" w:fill="auto"/>
            <w:vAlign w:val="center"/>
          </w:tcPr>
          <w:p w:rsidR="00E8013F" w:rsidRPr="00691330" w:rsidRDefault="00E8013F" w:rsidP="00691330">
            <w:pPr>
              <w:spacing w:line="276" w:lineRule="auto"/>
              <w:jc w:val="center"/>
              <w:rPr>
                <w:rFonts w:eastAsia="Times New Roman"/>
                <w:bCs/>
                <w:color w:val="000000"/>
                <w:sz w:val="24"/>
                <w:szCs w:val="24"/>
                <w:lang w:val="ru-RU"/>
              </w:rPr>
            </w:pPr>
            <w:r w:rsidRPr="00691330">
              <w:rPr>
                <w:rFonts w:eastAsia="Times New Roman"/>
                <w:bCs/>
                <w:color w:val="000000"/>
                <w:sz w:val="24"/>
                <w:szCs w:val="24"/>
                <w:lang w:val="ru-RU"/>
              </w:rPr>
              <w:t>96,93</w:t>
            </w:r>
          </w:p>
        </w:tc>
        <w:tc>
          <w:tcPr>
            <w:tcW w:w="0" w:type="auto"/>
            <w:tcBorders>
              <w:top w:val="nil"/>
              <w:left w:val="nil"/>
              <w:bottom w:val="single" w:sz="4" w:space="0" w:color="auto"/>
              <w:right w:val="single" w:sz="4" w:space="0" w:color="auto"/>
            </w:tcBorders>
            <w:shd w:val="clear" w:color="auto" w:fill="auto"/>
            <w:vAlign w:val="center"/>
          </w:tcPr>
          <w:p w:rsidR="00E8013F" w:rsidRPr="00691330" w:rsidRDefault="00E8013F" w:rsidP="00691330">
            <w:pPr>
              <w:spacing w:line="276" w:lineRule="auto"/>
              <w:jc w:val="center"/>
              <w:rPr>
                <w:rFonts w:eastAsia="Times New Roman"/>
                <w:bCs/>
                <w:color w:val="000000"/>
                <w:sz w:val="24"/>
                <w:szCs w:val="24"/>
                <w:lang w:val="ru-RU"/>
              </w:rPr>
            </w:pPr>
            <w:r w:rsidRPr="00691330">
              <w:rPr>
                <w:rFonts w:eastAsia="Times New Roman"/>
                <w:bCs/>
                <w:color w:val="000000"/>
                <w:sz w:val="24"/>
                <w:szCs w:val="24"/>
                <w:lang w:val="ru-RU"/>
              </w:rPr>
              <w:t>79,69</w:t>
            </w:r>
          </w:p>
        </w:tc>
      </w:tr>
      <w:tr w:rsidR="00E8013F" w:rsidRPr="00691330" w:rsidTr="00223D4E">
        <w:trPr>
          <w:trHeight w:val="21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rsidR="00E8013F" w:rsidRPr="00691330" w:rsidRDefault="00E8013F" w:rsidP="00691330">
            <w:pPr>
              <w:spacing w:line="276" w:lineRule="auto"/>
              <w:jc w:val="left"/>
              <w:rPr>
                <w:rFonts w:eastAsia="Times New Roman"/>
                <w:bCs/>
                <w:color w:val="000000"/>
                <w:sz w:val="24"/>
                <w:szCs w:val="24"/>
                <w:lang w:val="en-US"/>
              </w:rPr>
            </w:pPr>
            <w:r w:rsidRPr="00691330">
              <w:rPr>
                <w:rFonts w:eastAsia="Times New Roman"/>
                <w:bCs/>
                <w:color w:val="000000"/>
                <w:sz w:val="24"/>
                <w:szCs w:val="24"/>
                <w:lang w:val="en-US"/>
              </w:rPr>
              <w:t>Сумська</w:t>
            </w:r>
          </w:p>
        </w:tc>
        <w:tc>
          <w:tcPr>
            <w:tcW w:w="0" w:type="auto"/>
            <w:tcBorders>
              <w:top w:val="nil"/>
              <w:left w:val="nil"/>
              <w:bottom w:val="single" w:sz="4" w:space="0" w:color="auto"/>
              <w:right w:val="single" w:sz="4" w:space="0" w:color="auto"/>
            </w:tcBorders>
            <w:shd w:val="clear" w:color="auto" w:fill="auto"/>
            <w:vAlign w:val="center"/>
            <w:hideMark/>
          </w:tcPr>
          <w:p w:rsidR="00E8013F" w:rsidRPr="00691330" w:rsidRDefault="00E8013F" w:rsidP="00691330">
            <w:pPr>
              <w:spacing w:line="276" w:lineRule="auto"/>
              <w:jc w:val="center"/>
              <w:rPr>
                <w:rFonts w:eastAsia="Times New Roman"/>
                <w:bCs/>
                <w:color w:val="000000"/>
                <w:sz w:val="24"/>
                <w:szCs w:val="24"/>
                <w:lang w:val="en-US"/>
              </w:rPr>
            </w:pPr>
            <w:r w:rsidRPr="00691330">
              <w:rPr>
                <w:rFonts w:eastAsia="Times New Roman"/>
                <w:bCs/>
                <w:color w:val="000000"/>
                <w:sz w:val="24"/>
                <w:szCs w:val="24"/>
                <w:lang w:val="en-US"/>
              </w:rPr>
              <w:t>61,50</w:t>
            </w:r>
          </w:p>
        </w:tc>
        <w:tc>
          <w:tcPr>
            <w:tcW w:w="0" w:type="auto"/>
            <w:tcBorders>
              <w:top w:val="nil"/>
              <w:left w:val="nil"/>
              <w:bottom w:val="single" w:sz="4" w:space="0" w:color="auto"/>
              <w:right w:val="single" w:sz="4" w:space="0" w:color="auto"/>
            </w:tcBorders>
            <w:shd w:val="clear" w:color="auto" w:fill="auto"/>
            <w:vAlign w:val="center"/>
            <w:hideMark/>
          </w:tcPr>
          <w:p w:rsidR="00E8013F" w:rsidRPr="00691330" w:rsidRDefault="00E8013F" w:rsidP="00691330">
            <w:pPr>
              <w:spacing w:line="276" w:lineRule="auto"/>
              <w:jc w:val="center"/>
              <w:rPr>
                <w:rFonts w:eastAsia="Times New Roman"/>
                <w:bCs/>
                <w:color w:val="000000"/>
                <w:sz w:val="24"/>
                <w:szCs w:val="24"/>
                <w:lang w:val="en-US"/>
              </w:rPr>
            </w:pPr>
            <w:r w:rsidRPr="00691330">
              <w:rPr>
                <w:rFonts w:eastAsia="Times New Roman"/>
                <w:bCs/>
                <w:color w:val="000000"/>
                <w:sz w:val="24"/>
                <w:szCs w:val="24"/>
                <w:lang w:val="en-US"/>
              </w:rPr>
              <w:t>54,75</w:t>
            </w:r>
          </w:p>
        </w:tc>
        <w:tc>
          <w:tcPr>
            <w:tcW w:w="0" w:type="auto"/>
            <w:tcBorders>
              <w:top w:val="nil"/>
              <w:left w:val="nil"/>
              <w:bottom w:val="single" w:sz="4" w:space="0" w:color="auto"/>
              <w:right w:val="single" w:sz="4" w:space="0" w:color="auto"/>
            </w:tcBorders>
            <w:shd w:val="clear" w:color="auto" w:fill="auto"/>
            <w:vAlign w:val="center"/>
            <w:hideMark/>
          </w:tcPr>
          <w:p w:rsidR="00E8013F" w:rsidRPr="00691330" w:rsidRDefault="00E8013F" w:rsidP="00691330">
            <w:pPr>
              <w:spacing w:line="276" w:lineRule="auto"/>
              <w:jc w:val="center"/>
              <w:rPr>
                <w:rFonts w:eastAsia="Times New Roman"/>
                <w:bCs/>
                <w:color w:val="000000"/>
                <w:sz w:val="24"/>
                <w:szCs w:val="24"/>
                <w:lang w:val="en-US"/>
              </w:rPr>
            </w:pPr>
            <w:r w:rsidRPr="00691330">
              <w:rPr>
                <w:rFonts w:eastAsia="Times New Roman"/>
                <w:bCs/>
                <w:color w:val="000000"/>
                <w:sz w:val="24"/>
                <w:szCs w:val="24"/>
                <w:lang w:val="en-US"/>
              </w:rPr>
              <w:t>42,00</w:t>
            </w:r>
          </w:p>
        </w:tc>
        <w:tc>
          <w:tcPr>
            <w:tcW w:w="0" w:type="auto"/>
            <w:tcBorders>
              <w:top w:val="nil"/>
              <w:left w:val="nil"/>
              <w:bottom w:val="single" w:sz="4" w:space="0" w:color="auto"/>
              <w:right w:val="single" w:sz="4" w:space="0" w:color="auto"/>
            </w:tcBorders>
            <w:shd w:val="clear" w:color="auto" w:fill="auto"/>
            <w:vAlign w:val="center"/>
          </w:tcPr>
          <w:p w:rsidR="00E8013F" w:rsidRPr="00691330" w:rsidRDefault="00E8013F" w:rsidP="00691330">
            <w:pPr>
              <w:spacing w:line="276" w:lineRule="auto"/>
              <w:jc w:val="center"/>
              <w:rPr>
                <w:rFonts w:eastAsia="Times New Roman"/>
                <w:bCs/>
                <w:color w:val="000000"/>
                <w:sz w:val="24"/>
                <w:szCs w:val="24"/>
                <w:lang w:val="ru-RU"/>
              </w:rPr>
            </w:pPr>
            <w:r w:rsidRPr="00691330">
              <w:rPr>
                <w:rFonts w:eastAsia="Times New Roman"/>
                <w:bCs/>
                <w:color w:val="000000"/>
                <w:sz w:val="24"/>
                <w:szCs w:val="24"/>
                <w:lang w:val="ru-RU"/>
              </w:rPr>
              <w:t>89,02</w:t>
            </w:r>
          </w:p>
        </w:tc>
        <w:tc>
          <w:tcPr>
            <w:tcW w:w="0" w:type="auto"/>
            <w:tcBorders>
              <w:top w:val="nil"/>
              <w:left w:val="nil"/>
              <w:bottom w:val="single" w:sz="4" w:space="0" w:color="auto"/>
              <w:right w:val="single" w:sz="4" w:space="0" w:color="auto"/>
            </w:tcBorders>
            <w:shd w:val="clear" w:color="auto" w:fill="auto"/>
            <w:vAlign w:val="center"/>
          </w:tcPr>
          <w:p w:rsidR="00E8013F" w:rsidRPr="00691330" w:rsidRDefault="00E8013F" w:rsidP="00691330">
            <w:pPr>
              <w:spacing w:line="276" w:lineRule="auto"/>
              <w:jc w:val="center"/>
              <w:rPr>
                <w:rFonts w:eastAsia="Times New Roman"/>
                <w:bCs/>
                <w:color w:val="000000"/>
                <w:sz w:val="24"/>
                <w:szCs w:val="24"/>
                <w:lang w:val="ru-RU"/>
              </w:rPr>
            </w:pPr>
            <w:r w:rsidRPr="00691330">
              <w:rPr>
                <w:rFonts w:eastAsia="Times New Roman"/>
                <w:bCs/>
                <w:color w:val="000000"/>
                <w:sz w:val="24"/>
                <w:szCs w:val="24"/>
                <w:lang w:val="ru-RU"/>
              </w:rPr>
              <w:t>68,30</w:t>
            </w:r>
          </w:p>
        </w:tc>
      </w:tr>
      <w:tr w:rsidR="00E8013F" w:rsidRPr="00691330" w:rsidTr="00223D4E">
        <w:trPr>
          <w:trHeight w:val="21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rsidR="00E8013F" w:rsidRPr="00691330" w:rsidRDefault="00E8013F" w:rsidP="00691330">
            <w:pPr>
              <w:spacing w:line="276" w:lineRule="auto"/>
              <w:jc w:val="left"/>
              <w:rPr>
                <w:rFonts w:eastAsia="Times New Roman"/>
                <w:bCs/>
                <w:color w:val="000000"/>
                <w:sz w:val="24"/>
                <w:szCs w:val="24"/>
                <w:lang w:val="en-US"/>
              </w:rPr>
            </w:pPr>
            <w:r w:rsidRPr="00691330">
              <w:rPr>
                <w:rFonts w:eastAsia="Times New Roman"/>
                <w:bCs/>
                <w:color w:val="000000"/>
                <w:sz w:val="24"/>
                <w:szCs w:val="24"/>
                <w:lang w:val="en-US"/>
              </w:rPr>
              <w:t>Тернопільська</w:t>
            </w:r>
          </w:p>
        </w:tc>
        <w:tc>
          <w:tcPr>
            <w:tcW w:w="0" w:type="auto"/>
            <w:tcBorders>
              <w:top w:val="nil"/>
              <w:left w:val="nil"/>
              <w:bottom w:val="single" w:sz="4" w:space="0" w:color="auto"/>
              <w:right w:val="single" w:sz="4" w:space="0" w:color="auto"/>
            </w:tcBorders>
            <w:shd w:val="clear" w:color="auto" w:fill="auto"/>
            <w:vAlign w:val="center"/>
            <w:hideMark/>
          </w:tcPr>
          <w:p w:rsidR="00E8013F" w:rsidRPr="00691330" w:rsidRDefault="00E8013F" w:rsidP="00691330">
            <w:pPr>
              <w:spacing w:line="276" w:lineRule="auto"/>
              <w:jc w:val="center"/>
              <w:rPr>
                <w:rFonts w:eastAsia="Times New Roman"/>
                <w:bCs/>
                <w:color w:val="000000"/>
                <w:sz w:val="24"/>
                <w:szCs w:val="24"/>
                <w:lang w:val="en-US"/>
              </w:rPr>
            </w:pPr>
            <w:r w:rsidRPr="00691330">
              <w:rPr>
                <w:rFonts w:eastAsia="Times New Roman"/>
                <w:bCs/>
                <w:color w:val="000000"/>
                <w:sz w:val="24"/>
                <w:szCs w:val="24"/>
                <w:lang w:val="en-US"/>
              </w:rPr>
              <w:t>44,50</w:t>
            </w:r>
          </w:p>
        </w:tc>
        <w:tc>
          <w:tcPr>
            <w:tcW w:w="0" w:type="auto"/>
            <w:tcBorders>
              <w:top w:val="nil"/>
              <w:left w:val="nil"/>
              <w:bottom w:val="single" w:sz="4" w:space="0" w:color="auto"/>
              <w:right w:val="single" w:sz="4" w:space="0" w:color="auto"/>
            </w:tcBorders>
            <w:shd w:val="clear" w:color="auto" w:fill="auto"/>
            <w:vAlign w:val="center"/>
            <w:hideMark/>
          </w:tcPr>
          <w:p w:rsidR="00E8013F" w:rsidRPr="00691330" w:rsidRDefault="00E8013F" w:rsidP="00691330">
            <w:pPr>
              <w:spacing w:line="276" w:lineRule="auto"/>
              <w:jc w:val="center"/>
              <w:rPr>
                <w:rFonts w:eastAsia="Times New Roman"/>
                <w:bCs/>
                <w:color w:val="000000"/>
                <w:sz w:val="24"/>
                <w:szCs w:val="24"/>
                <w:lang w:val="en-US"/>
              </w:rPr>
            </w:pPr>
            <w:r w:rsidRPr="00691330">
              <w:rPr>
                <w:rFonts w:eastAsia="Times New Roman"/>
                <w:bCs/>
                <w:color w:val="000000"/>
                <w:sz w:val="24"/>
                <w:szCs w:val="24"/>
                <w:lang w:val="en-US"/>
              </w:rPr>
              <w:t>44,50</w:t>
            </w:r>
          </w:p>
        </w:tc>
        <w:tc>
          <w:tcPr>
            <w:tcW w:w="0" w:type="auto"/>
            <w:tcBorders>
              <w:top w:val="nil"/>
              <w:left w:val="nil"/>
              <w:bottom w:val="single" w:sz="4" w:space="0" w:color="auto"/>
              <w:right w:val="single" w:sz="4" w:space="0" w:color="auto"/>
            </w:tcBorders>
            <w:shd w:val="clear" w:color="auto" w:fill="auto"/>
            <w:vAlign w:val="center"/>
            <w:hideMark/>
          </w:tcPr>
          <w:p w:rsidR="00E8013F" w:rsidRPr="00691330" w:rsidRDefault="00E8013F" w:rsidP="00691330">
            <w:pPr>
              <w:spacing w:line="276" w:lineRule="auto"/>
              <w:jc w:val="center"/>
              <w:rPr>
                <w:rFonts w:eastAsia="Times New Roman"/>
                <w:bCs/>
                <w:color w:val="000000"/>
                <w:sz w:val="24"/>
                <w:szCs w:val="24"/>
                <w:lang w:val="en-US"/>
              </w:rPr>
            </w:pPr>
            <w:r w:rsidRPr="00691330">
              <w:rPr>
                <w:rFonts w:eastAsia="Times New Roman"/>
                <w:bCs/>
                <w:color w:val="000000"/>
                <w:sz w:val="24"/>
                <w:szCs w:val="24"/>
                <w:lang w:val="en-US"/>
              </w:rPr>
              <w:t>42,00</w:t>
            </w:r>
          </w:p>
        </w:tc>
        <w:tc>
          <w:tcPr>
            <w:tcW w:w="0" w:type="auto"/>
            <w:tcBorders>
              <w:top w:val="nil"/>
              <w:left w:val="nil"/>
              <w:bottom w:val="single" w:sz="4" w:space="0" w:color="auto"/>
              <w:right w:val="single" w:sz="4" w:space="0" w:color="auto"/>
            </w:tcBorders>
            <w:shd w:val="clear" w:color="auto" w:fill="auto"/>
            <w:vAlign w:val="center"/>
          </w:tcPr>
          <w:p w:rsidR="00E8013F" w:rsidRPr="00691330" w:rsidRDefault="00E8013F" w:rsidP="00691330">
            <w:pPr>
              <w:spacing w:line="276" w:lineRule="auto"/>
              <w:jc w:val="center"/>
              <w:rPr>
                <w:rFonts w:eastAsia="Times New Roman"/>
                <w:bCs/>
                <w:color w:val="000000"/>
                <w:sz w:val="24"/>
                <w:szCs w:val="24"/>
                <w:lang w:val="ru-RU"/>
              </w:rPr>
            </w:pPr>
            <w:r w:rsidRPr="00691330">
              <w:rPr>
                <w:rFonts w:eastAsia="Times New Roman"/>
                <w:bCs/>
                <w:color w:val="000000"/>
                <w:sz w:val="24"/>
                <w:szCs w:val="24"/>
                <w:lang w:val="ru-RU"/>
              </w:rPr>
              <w:t>100,0</w:t>
            </w:r>
          </w:p>
        </w:tc>
        <w:tc>
          <w:tcPr>
            <w:tcW w:w="0" w:type="auto"/>
            <w:tcBorders>
              <w:top w:val="nil"/>
              <w:left w:val="nil"/>
              <w:bottom w:val="single" w:sz="4" w:space="0" w:color="auto"/>
              <w:right w:val="single" w:sz="4" w:space="0" w:color="auto"/>
            </w:tcBorders>
            <w:shd w:val="clear" w:color="auto" w:fill="auto"/>
            <w:vAlign w:val="center"/>
          </w:tcPr>
          <w:p w:rsidR="00E8013F" w:rsidRPr="00691330" w:rsidRDefault="00E8013F" w:rsidP="00691330">
            <w:pPr>
              <w:spacing w:line="276" w:lineRule="auto"/>
              <w:jc w:val="center"/>
              <w:rPr>
                <w:rFonts w:eastAsia="Times New Roman"/>
                <w:bCs/>
                <w:color w:val="000000"/>
                <w:sz w:val="24"/>
                <w:szCs w:val="24"/>
                <w:lang w:val="ru-RU"/>
              </w:rPr>
            </w:pPr>
            <w:r w:rsidRPr="00691330">
              <w:rPr>
                <w:rFonts w:eastAsia="Times New Roman"/>
                <w:bCs/>
                <w:color w:val="000000"/>
                <w:sz w:val="24"/>
                <w:szCs w:val="24"/>
                <w:lang w:val="ru-RU"/>
              </w:rPr>
              <w:t>94,40</w:t>
            </w:r>
          </w:p>
        </w:tc>
      </w:tr>
      <w:tr w:rsidR="00E8013F" w:rsidRPr="00691330" w:rsidTr="00223D4E">
        <w:trPr>
          <w:trHeight w:val="21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rsidR="00E8013F" w:rsidRPr="00691330" w:rsidRDefault="00E8013F" w:rsidP="00691330">
            <w:pPr>
              <w:spacing w:line="276" w:lineRule="auto"/>
              <w:jc w:val="left"/>
              <w:rPr>
                <w:rFonts w:eastAsia="Times New Roman"/>
                <w:bCs/>
                <w:color w:val="000000"/>
                <w:sz w:val="24"/>
                <w:szCs w:val="24"/>
                <w:lang w:val="en-US"/>
              </w:rPr>
            </w:pPr>
            <w:r w:rsidRPr="00691330">
              <w:rPr>
                <w:rFonts w:eastAsia="Times New Roman"/>
                <w:bCs/>
                <w:color w:val="000000"/>
                <w:sz w:val="24"/>
                <w:szCs w:val="24"/>
                <w:lang w:val="en-US"/>
              </w:rPr>
              <w:t>Харківська</w:t>
            </w:r>
          </w:p>
        </w:tc>
        <w:tc>
          <w:tcPr>
            <w:tcW w:w="0" w:type="auto"/>
            <w:tcBorders>
              <w:top w:val="nil"/>
              <w:left w:val="nil"/>
              <w:bottom w:val="single" w:sz="4" w:space="0" w:color="auto"/>
              <w:right w:val="single" w:sz="4" w:space="0" w:color="auto"/>
            </w:tcBorders>
            <w:shd w:val="clear" w:color="auto" w:fill="auto"/>
            <w:vAlign w:val="center"/>
            <w:hideMark/>
          </w:tcPr>
          <w:p w:rsidR="00E8013F" w:rsidRPr="00691330" w:rsidRDefault="00E8013F" w:rsidP="00691330">
            <w:pPr>
              <w:spacing w:line="276" w:lineRule="auto"/>
              <w:jc w:val="center"/>
              <w:rPr>
                <w:rFonts w:eastAsia="Times New Roman"/>
                <w:bCs/>
                <w:color w:val="000000"/>
                <w:sz w:val="24"/>
                <w:szCs w:val="24"/>
                <w:lang w:val="en-US"/>
              </w:rPr>
            </w:pPr>
            <w:r w:rsidRPr="00691330">
              <w:rPr>
                <w:rFonts w:eastAsia="Times New Roman"/>
                <w:bCs/>
                <w:color w:val="000000"/>
                <w:sz w:val="24"/>
                <w:szCs w:val="24"/>
                <w:lang w:val="en-US"/>
              </w:rPr>
              <w:t>136,00</w:t>
            </w:r>
          </w:p>
        </w:tc>
        <w:tc>
          <w:tcPr>
            <w:tcW w:w="0" w:type="auto"/>
            <w:tcBorders>
              <w:top w:val="nil"/>
              <w:left w:val="nil"/>
              <w:bottom w:val="single" w:sz="4" w:space="0" w:color="auto"/>
              <w:right w:val="single" w:sz="4" w:space="0" w:color="auto"/>
            </w:tcBorders>
            <w:shd w:val="clear" w:color="auto" w:fill="auto"/>
            <w:vAlign w:val="center"/>
            <w:hideMark/>
          </w:tcPr>
          <w:p w:rsidR="00E8013F" w:rsidRPr="00691330" w:rsidRDefault="00E8013F" w:rsidP="00691330">
            <w:pPr>
              <w:spacing w:line="276" w:lineRule="auto"/>
              <w:jc w:val="center"/>
              <w:rPr>
                <w:rFonts w:eastAsia="Times New Roman"/>
                <w:bCs/>
                <w:color w:val="000000"/>
                <w:sz w:val="24"/>
                <w:szCs w:val="24"/>
                <w:lang w:val="en-US"/>
              </w:rPr>
            </w:pPr>
            <w:r w:rsidRPr="00691330">
              <w:rPr>
                <w:rFonts w:eastAsia="Times New Roman"/>
                <w:bCs/>
                <w:color w:val="000000"/>
                <w:sz w:val="24"/>
                <w:szCs w:val="24"/>
                <w:lang w:val="en-US"/>
              </w:rPr>
              <w:t>123,00</w:t>
            </w:r>
          </w:p>
        </w:tc>
        <w:tc>
          <w:tcPr>
            <w:tcW w:w="0" w:type="auto"/>
            <w:tcBorders>
              <w:top w:val="nil"/>
              <w:left w:val="nil"/>
              <w:bottom w:val="single" w:sz="4" w:space="0" w:color="auto"/>
              <w:right w:val="single" w:sz="4" w:space="0" w:color="auto"/>
            </w:tcBorders>
            <w:shd w:val="clear" w:color="auto" w:fill="auto"/>
            <w:vAlign w:val="center"/>
            <w:hideMark/>
          </w:tcPr>
          <w:p w:rsidR="00E8013F" w:rsidRPr="00691330" w:rsidRDefault="00E8013F" w:rsidP="00691330">
            <w:pPr>
              <w:spacing w:line="276" w:lineRule="auto"/>
              <w:jc w:val="center"/>
              <w:rPr>
                <w:rFonts w:eastAsia="Times New Roman"/>
                <w:bCs/>
                <w:color w:val="000000"/>
                <w:sz w:val="24"/>
                <w:szCs w:val="24"/>
                <w:lang w:val="en-US"/>
              </w:rPr>
            </w:pPr>
            <w:r w:rsidRPr="00691330">
              <w:rPr>
                <w:rFonts w:eastAsia="Times New Roman"/>
                <w:bCs/>
                <w:color w:val="000000"/>
                <w:sz w:val="24"/>
                <w:szCs w:val="24"/>
                <w:lang w:val="en-US"/>
              </w:rPr>
              <w:t>106,00</w:t>
            </w:r>
          </w:p>
        </w:tc>
        <w:tc>
          <w:tcPr>
            <w:tcW w:w="0" w:type="auto"/>
            <w:tcBorders>
              <w:top w:val="nil"/>
              <w:left w:val="nil"/>
              <w:bottom w:val="single" w:sz="4" w:space="0" w:color="auto"/>
              <w:right w:val="single" w:sz="4" w:space="0" w:color="auto"/>
            </w:tcBorders>
            <w:shd w:val="clear" w:color="auto" w:fill="auto"/>
            <w:vAlign w:val="center"/>
          </w:tcPr>
          <w:p w:rsidR="00E8013F" w:rsidRPr="00691330" w:rsidRDefault="00E8013F" w:rsidP="00691330">
            <w:pPr>
              <w:spacing w:line="276" w:lineRule="auto"/>
              <w:jc w:val="center"/>
              <w:rPr>
                <w:rFonts w:eastAsia="Times New Roman"/>
                <w:bCs/>
                <w:color w:val="000000"/>
                <w:sz w:val="24"/>
                <w:szCs w:val="24"/>
                <w:lang w:val="ru-RU"/>
              </w:rPr>
            </w:pPr>
            <w:r w:rsidRPr="00691330">
              <w:rPr>
                <w:rFonts w:eastAsia="Times New Roman"/>
                <w:bCs/>
                <w:color w:val="000000"/>
                <w:sz w:val="24"/>
                <w:szCs w:val="24"/>
                <w:lang w:val="ru-RU"/>
              </w:rPr>
              <w:t>90,44</w:t>
            </w:r>
          </w:p>
        </w:tc>
        <w:tc>
          <w:tcPr>
            <w:tcW w:w="0" w:type="auto"/>
            <w:tcBorders>
              <w:top w:val="nil"/>
              <w:left w:val="nil"/>
              <w:bottom w:val="single" w:sz="4" w:space="0" w:color="auto"/>
              <w:right w:val="single" w:sz="4" w:space="0" w:color="auto"/>
            </w:tcBorders>
            <w:shd w:val="clear" w:color="auto" w:fill="auto"/>
            <w:vAlign w:val="center"/>
          </w:tcPr>
          <w:p w:rsidR="00E8013F" w:rsidRPr="00691330" w:rsidRDefault="00E8013F" w:rsidP="00691330">
            <w:pPr>
              <w:spacing w:line="276" w:lineRule="auto"/>
              <w:jc w:val="center"/>
              <w:rPr>
                <w:rFonts w:eastAsia="Times New Roman"/>
                <w:bCs/>
                <w:color w:val="000000"/>
                <w:sz w:val="24"/>
                <w:szCs w:val="24"/>
                <w:lang w:val="ru-RU"/>
              </w:rPr>
            </w:pPr>
            <w:r w:rsidRPr="00691330">
              <w:rPr>
                <w:rFonts w:eastAsia="Times New Roman"/>
                <w:bCs/>
                <w:color w:val="000000"/>
                <w:sz w:val="24"/>
                <w:szCs w:val="24"/>
                <w:lang w:val="ru-RU"/>
              </w:rPr>
              <w:t>77,94</w:t>
            </w:r>
          </w:p>
        </w:tc>
      </w:tr>
      <w:tr w:rsidR="00E8013F" w:rsidRPr="00691330" w:rsidTr="00223D4E">
        <w:trPr>
          <w:trHeight w:val="21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rsidR="00E8013F" w:rsidRPr="00691330" w:rsidRDefault="00E8013F" w:rsidP="00691330">
            <w:pPr>
              <w:spacing w:line="276" w:lineRule="auto"/>
              <w:jc w:val="left"/>
              <w:rPr>
                <w:rFonts w:eastAsia="Times New Roman"/>
                <w:bCs/>
                <w:color w:val="000000"/>
                <w:sz w:val="24"/>
                <w:szCs w:val="24"/>
                <w:lang w:val="en-US"/>
              </w:rPr>
            </w:pPr>
            <w:r w:rsidRPr="00691330">
              <w:rPr>
                <w:rFonts w:eastAsia="Times New Roman"/>
                <w:bCs/>
                <w:color w:val="000000"/>
                <w:sz w:val="24"/>
                <w:szCs w:val="24"/>
                <w:lang w:val="en-US"/>
              </w:rPr>
              <w:t>Херсонська</w:t>
            </w:r>
          </w:p>
        </w:tc>
        <w:tc>
          <w:tcPr>
            <w:tcW w:w="0" w:type="auto"/>
            <w:tcBorders>
              <w:top w:val="nil"/>
              <w:left w:val="nil"/>
              <w:bottom w:val="single" w:sz="4" w:space="0" w:color="auto"/>
              <w:right w:val="single" w:sz="4" w:space="0" w:color="auto"/>
            </w:tcBorders>
            <w:shd w:val="clear" w:color="auto" w:fill="auto"/>
            <w:vAlign w:val="center"/>
            <w:hideMark/>
          </w:tcPr>
          <w:p w:rsidR="00E8013F" w:rsidRPr="00691330" w:rsidRDefault="00E8013F" w:rsidP="00691330">
            <w:pPr>
              <w:spacing w:line="276" w:lineRule="auto"/>
              <w:jc w:val="center"/>
              <w:rPr>
                <w:rFonts w:eastAsia="Times New Roman"/>
                <w:bCs/>
                <w:color w:val="000000"/>
                <w:sz w:val="24"/>
                <w:szCs w:val="24"/>
                <w:lang w:val="en-US"/>
              </w:rPr>
            </w:pPr>
            <w:r w:rsidRPr="00691330">
              <w:rPr>
                <w:rFonts w:eastAsia="Times New Roman"/>
                <w:bCs/>
                <w:color w:val="000000"/>
                <w:sz w:val="24"/>
                <w:szCs w:val="24"/>
                <w:lang w:val="en-US"/>
              </w:rPr>
              <w:t>44,75</w:t>
            </w:r>
          </w:p>
        </w:tc>
        <w:tc>
          <w:tcPr>
            <w:tcW w:w="0" w:type="auto"/>
            <w:tcBorders>
              <w:top w:val="nil"/>
              <w:left w:val="nil"/>
              <w:bottom w:val="single" w:sz="4" w:space="0" w:color="auto"/>
              <w:right w:val="single" w:sz="4" w:space="0" w:color="auto"/>
            </w:tcBorders>
            <w:shd w:val="clear" w:color="auto" w:fill="auto"/>
            <w:vAlign w:val="center"/>
            <w:hideMark/>
          </w:tcPr>
          <w:p w:rsidR="00E8013F" w:rsidRPr="00691330" w:rsidRDefault="00E8013F" w:rsidP="00691330">
            <w:pPr>
              <w:spacing w:line="276" w:lineRule="auto"/>
              <w:jc w:val="center"/>
              <w:rPr>
                <w:rFonts w:eastAsia="Times New Roman"/>
                <w:bCs/>
                <w:color w:val="000000"/>
                <w:sz w:val="24"/>
                <w:szCs w:val="24"/>
                <w:lang w:val="en-US"/>
              </w:rPr>
            </w:pPr>
            <w:r w:rsidRPr="00691330">
              <w:rPr>
                <w:rFonts w:eastAsia="Times New Roman"/>
                <w:bCs/>
                <w:color w:val="000000"/>
                <w:sz w:val="24"/>
                <w:szCs w:val="24"/>
                <w:lang w:val="en-US"/>
              </w:rPr>
              <w:t>39,25</w:t>
            </w:r>
          </w:p>
        </w:tc>
        <w:tc>
          <w:tcPr>
            <w:tcW w:w="0" w:type="auto"/>
            <w:tcBorders>
              <w:top w:val="nil"/>
              <w:left w:val="nil"/>
              <w:bottom w:val="single" w:sz="4" w:space="0" w:color="auto"/>
              <w:right w:val="single" w:sz="4" w:space="0" w:color="auto"/>
            </w:tcBorders>
            <w:shd w:val="clear" w:color="auto" w:fill="auto"/>
            <w:vAlign w:val="center"/>
            <w:hideMark/>
          </w:tcPr>
          <w:p w:rsidR="00E8013F" w:rsidRPr="00691330" w:rsidRDefault="00E8013F" w:rsidP="00691330">
            <w:pPr>
              <w:spacing w:line="276" w:lineRule="auto"/>
              <w:jc w:val="center"/>
              <w:rPr>
                <w:rFonts w:eastAsia="Times New Roman"/>
                <w:bCs/>
                <w:color w:val="000000"/>
                <w:sz w:val="24"/>
                <w:szCs w:val="24"/>
                <w:lang w:val="en-US"/>
              </w:rPr>
            </w:pPr>
            <w:r w:rsidRPr="00691330">
              <w:rPr>
                <w:rFonts w:eastAsia="Times New Roman"/>
                <w:bCs/>
                <w:color w:val="000000"/>
                <w:sz w:val="24"/>
                <w:szCs w:val="24"/>
                <w:lang w:val="en-US"/>
              </w:rPr>
              <w:t>27,00</w:t>
            </w:r>
          </w:p>
        </w:tc>
        <w:tc>
          <w:tcPr>
            <w:tcW w:w="0" w:type="auto"/>
            <w:tcBorders>
              <w:top w:val="nil"/>
              <w:left w:val="nil"/>
              <w:bottom w:val="single" w:sz="4" w:space="0" w:color="auto"/>
              <w:right w:val="single" w:sz="4" w:space="0" w:color="auto"/>
            </w:tcBorders>
            <w:shd w:val="clear" w:color="auto" w:fill="auto"/>
            <w:vAlign w:val="center"/>
          </w:tcPr>
          <w:p w:rsidR="00E8013F" w:rsidRPr="00691330" w:rsidRDefault="00E8013F" w:rsidP="00691330">
            <w:pPr>
              <w:spacing w:line="276" w:lineRule="auto"/>
              <w:jc w:val="center"/>
              <w:rPr>
                <w:rFonts w:eastAsia="Times New Roman"/>
                <w:bCs/>
                <w:color w:val="000000"/>
                <w:sz w:val="24"/>
                <w:szCs w:val="24"/>
                <w:lang w:val="ru-RU"/>
              </w:rPr>
            </w:pPr>
            <w:r w:rsidRPr="00691330">
              <w:rPr>
                <w:rFonts w:eastAsia="Times New Roman"/>
                <w:bCs/>
                <w:color w:val="000000"/>
                <w:sz w:val="24"/>
                <w:szCs w:val="24"/>
                <w:lang w:val="ru-RU"/>
              </w:rPr>
              <w:t>87,71</w:t>
            </w:r>
          </w:p>
        </w:tc>
        <w:tc>
          <w:tcPr>
            <w:tcW w:w="0" w:type="auto"/>
            <w:tcBorders>
              <w:top w:val="nil"/>
              <w:left w:val="nil"/>
              <w:bottom w:val="single" w:sz="4" w:space="0" w:color="auto"/>
              <w:right w:val="single" w:sz="4" w:space="0" w:color="auto"/>
            </w:tcBorders>
            <w:shd w:val="clear" w:color="auto" w:fill="auto"/>
            <w:vAlign w:val="center"/>
          </w:tcPr>
          <w:p w:rsidR="00E8013F" w:rsidRPr="00691330" w:rsidRDefault="00E8013F" w:rsidP="00691330">
            <w:pPr>
              <w:spacing w:line="276" w:lineRule="auto"/>
              <w:jc w:val="center"/>
              <w:rPr>
                <w:rFonts w:eastAsia="Times New Roman"/>
                <w:bCs/>
                <w:color w:val="000000"/>
                <w:sz w:val="24"/>
                <w:szCs w:val="24"/>
                <w:lang w:val="ru-RU"/>
              </w:rPr>
            </w:pPr>
            <w:r w:rsidRPr="00691330">
              <w:rPr>
                <w:rFonts w:eastAsia="Times New Roman"/>
                <w:bCs/>
                <w:color w:val="000000"/>
                <w:sz w:val="24"/>
                <w:szCs w:val="24"/>
                <w:lang w:val="ru-RU"/>
              </w:rPr>
              <w:t>60,34</w:t>
            </w:r>
          </w:p>
        </w:tc>
      </w:tr>
      <w:tr w:rsidR="00E8013F" w:rsidRPr="00691330" w:rsidTr="00223D4E">
        <w:trPr>
          <w:trHeight w:val="21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rsidR="00E8013F" w:rsidRPr="00691330" w:rsidRDefault="00E8013F" w:rsidP="00691330">
            <w:pPr>
              <w:spacing w:line="276" w:lineRule="auto"/>
              <w:jc w:val="left"/>
              <w:rPr>
                <w:rFonts w:eastAsia="Times New Roman"/>
                <w:bCs/>
                <w:color w:val="000000"/>
                <w:sz w:val="24"/>
                <w:szCs w:val="24"/>
                <w:lang w:val="en-US"/>
              </w:rPr>
            </w:pPr>
            <w:r w:rsidRPr="00691330">
              <w:rPr>
                <w:rFonts w:eastAsia="Times New Roman"/>
                <w:bCs/>
                <w:color w:val="000000"/>
                <w:sz w:val="24"/>
                <w:szCs w:val="24"/>
                <w:lang w:val="en-US"/>
              </w:rPr>
              <w:t>Хмельницька</w:t>
            </w:r>
          </w:p>
        </w:tc>
        <w:tc>
          <w:tcPr>
            <w:tcW w:w="0" w:type="auto"/>
            <w:tcBorders>
              <w:top w:val="nil"/>
              <w:left w:val="nil"/>
              <w:bottom w:val="single" w:sz="4" w:space="0" w:color="auto"/>
              <w:right w:val="single" w:sz="4" w:space="0" w:color="auto"/>
            </w:tcBorders>
            <w:shd w:val="clear" w:color="auto" w:fill="auto"/>
            <w:vAlign w:val="center"/>
            <w:hideMark/>
          </w:tcPr>
          <w:p w:rsidR="00E8013F" w:rsidRPr="00691330" w:rsidRDefault="00E8013F" w:rsidP="00691330">
            <w:pPr>
              <w:spacing w:line="276" w:lineRule="auto"/>
              <w:jc w:val="center"/>
              <w:rPr>
                <w:rFonts w:eastAsia="Times New Roman"/>
                <w:bCs/>
                <w:color w:val="000000"/>
                <w:sz w:val="24"/>
                <w:szCs w:val="24"/>
                <w:lang w:val="en-US"/>
              </w:rPr>
            </w:pPr>
            <w:r w:rsidRPr="00691330">
              <w:rPr>
                <w:rFonts w:eastAsia="Times New Roman"/>
                <w:bCs/>
                <w:color w:val="000000"/>
                <w:sz w:val="24"/>
                <w:szCs w:val="24"/>
                <w:lang w:val="en-US"/>
              </w:rPr>
              <w:t>62,50</w:t>
            </w:r>
          </w:p>
        </w:tc>
        <w:tc>
          <w:tcPr>
            <w:tcW w:w="0" w:type="auto"/>
            <w:tcBorders>
              <w:top w:val="nil"/>
              <w:left w:val="nil"/>
              <w:bottom w:val="single" w:sz="4" w:space="0" w:color="auto"/>
              <w:right w:val="single" w:sz="4" w:space="0" w:color="auto"/>
            </w:tcBorders>
            <w:shd w:val="clear" w:color="auto" w:fill="auto"/>
            <w:vAlign w:val="center"/>
            <w:hideMark/>
          </w:tcPr>
          <w:p w:rsidR="00E8013F" w:rsidRPr="00691330" w:rsidRDefault="00E8013F" w:rsidP="00691330">
            <w:pPr>
              <w:spacing w:line="276" w:lineRule="auto"/>
              <w:jc w:val="center"/>
              <w:rPr>
                <w:rFonts w:eastAsia="Times New Roman"/>
                <w:bCs/>
                <w:color w:val="000000"/>
                <w:sz w:val="24"/>
                <w:szCs w:val="24"/>
                <w:lang w:val="en-US"/>
              </w:rPr>
            </w:pPr>
            <w:r w:rsidRPr="00691330">
              <w:rPr>
                <w:rFonts w:eastAsia="Times New Roman"/>
                <w:bCs/>
                <w:color w:val="000000"/>
                <w:sz w:val="24"/>
                <w:szCs w:val="24"/>
                <w:lang w:val="en-US"/>
              </w:rPr>
              <w:t>60,25</w:t>
            </w:r>
          </w:p>
        </w:tc>
        <w:tc>
          <w:tcPr>
            <w:tcW w:w="0" w:type="auto"/>
            <w:tcBorders>
              <w:top w:val="nil"/>
              <w:left w:val="nil"/>
              <w:bottom w:val="single" w:sz="4" w:space="0" w:color="auto"/>
              <w:right w:val="single" w:sz="4" w:space="0" w:color="auto"/>
            </w:tcBorders>
            <w:shd w:val="clear" w:color="auto" w:fill="auto"/>
            <w:vAlign w:val="center"/>
            <w:hideMark/>
          </w:tcPr>
          <w:p w:rsidR="00E8013F" w:rsidRPr="00691330" w:rsidRDefault="00E8013F" w:rsidP="00691330">
            <w:pPr>
              <w:spacing w:line="276" w:lineRule="auto"/>
              <w:jc w:val="center"/>
              <w:rPr>
                <w:rFonts w:eastAsia="Times New Roman"/>
                <w:bCs/>
                <w:color w:val="000000"/>
                <w:sz w:val="24"/>
                <w:szCs w:val="24"/>
                <w:lang w:val="en-US"/>
              </w:rPr>
            </w:pPr>
            <w:r w:rsidRPr="00691330">
              <w:rPr>
                <w:rFonts w:eastAsia="Times New Roman"/>
                <w:bCs/>
                <w:color w:val="000000"/>
                <w:sz w:val="24"/>
                <w:szCs w:val="24"/>
                <w:lang w:val="en-US"/>
              </w:rPr>
              <w:t>54,00</w:t>
            </w:r>
          </w:p>
        </w:tc>
        <w:tc>
          <w:tcPr>
            <w:tcW w:w="0" w:type="auto"/>
            <w:tcBorders>
              <w:top w:val="nil"/>
              <w:left w:val="nil"/>
              <w:bottom w:val="single" w:sz="4" w:space="0" w:color="auto"/>
              <w:right w:val="single" w:sz="4" w:space="0" w:color="auto"/>
            </w:tcBorders>
            <w:shd w:val="clear" w:color="auto" w:fill="auto"/>
            <w:vAlign w:val="center"/>
          </w:tcPr>
          <w:p w:rsidR="00E8013F" w:rsidRPr="00691330" w:rsidRDefault="00E8013F" w:rsidP="00691330">
            <w:pPr>
              <w:spacing w:line="276" w:lineRule="auto"/>
              <w:jc w:val="center"/>
              <w:rPr>
                <w:rFonts w:eastAsia="Times New Roman"/>
                <w:bCs/>
                <w:color w:val="000000"/>
                <w:sz w:val="24"/>
                <w:szCs w:val="24"/>
                <w:lang w:val="ru-RU"/>
              </w:rPr>
            </w:pPr>
            <w:r w:rsidRPr="00691330">
              <w:rPr>
                <w:rFonts w:eastAsia="Times New Roman"/>
                <w:bCs/>
                <w:color w:val="000000"/>
                <w:sz w:val="24"/>
                <w:szCs w:val="24"/>
                <w:lang w:val="ru-RU"/>
              </w:rPr>
              <w:t>96,40</w:t>
            </w:r>
          </w:p>
        </w:tc>
        <w:tc>
          <w:tcPr>
            <w:tcW w:w="0" w:type="auto"/>
            <w:tcBorders>
              <w:top w:val="nil"/>
              <w:left w:val="nil"/>
              <w:bottom w:val="single" w:sz="4" w:space="0" w:color="auto"/>
              <w:right w:val="single" w:sz="4" w:space="0" w:color="auto"/>
            </w:tcBorders>
            <w:shd w:val="clear" w:color="auto" w:fill="auto"/>
            <w:vAlign w:val="center"/>
          </w:tcPr>
          <w:p w:rsidR="00E8013F" w:rsidRPr="00691330" w:rsidRDefault="00E8013F" w:rsidP="00691330">
            <w:pPr>
              <w:spacing w:line="276" w:lineRule="auto"/>
              <w:jc w:val="center"/>
              <w:rPr>
                <w:rFonts w:eastAsia="Times New Roman"/>
                <w:bCs/>
                <w:color w:val="000000"/>
                <w:sz w:val="24"/>
                <w:szCs w:val="24"/>
                <w:lang w:val="ru-RU"/>
              </w:rPr>
            </w:pPr>
            <w:r w:rsidRPr="00691330">
              <w:rPr>
                <w:rFonts w:eastAsia="Times New Roman"/>
                <w:bCs/>
                <w:color w:val="000000"/>
                <w:sz w:val="24"/>
                <w:szCs w:val="24"/>
                <w:lang w:val="ru-RU"/>
              </w:rPr>
              <w:t>86,40</w:t>
            </w:r>
          </w:p>
        </w:tc>
      </w:tr>
      <w:tr w:rsidR="00E8013F" w:rsidRPr="00691330" w:rsidTr="00223D4E">
        <w:trPr>
          <w:trHeight w:val="21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rsidR="00E8013F" w:rsidRPr="00691330" w:rsidRDefault="00E8013F" w:rsidP="00691330">
            <w:pPr>
              <w:spacing w:line="276" w:lineRule="auto"/>
              <w:jc w:val="left"/>
              <w:rPr>
                <w:rFonts w:eastAsia="Times New Roman"/>
                <w:bCs/>
                <w:color w:val="000000"/>
                <w:sz w:val="24"/>
                <w:szCs w:val="24"/>
                <w:lang w:val="en-US"/>
              </w:rPr>
            </w:pPr>
            <w:r w:rsidRPr="00691330">
              <w:rPr>
                <w:rFonts w:eastAsia="Times New Roman"/>
                <w:bCs/>
                <w:color w:val="000000"/>
                <w:sz w:val="24"/>
                <w:szCs w:val="24"/>
                <w:lang w:val="en-US"/>
              </w:rPr>
              <w:t>Черкаська</w:t>
            </w:r>
          </w:p>
        </w:tc>
        <w:tc>
          <w:tcPr>
            <w:tcW w:w="0" w:type="auto"/>
            <w:tcBorders>
              <w:top w:val="nil"/>
              <w:left w:val="nil"/>
              <w:bottom w:val="single" w:sz="4" w:space="0" w:color="auto"/>
              <w:right w:val="single" w:sz="4" w:space="0" w:color="auto"/>
            </w:tcBorders>
            <w:shd w:val="clear" w:color="auto" w:fill="auto"/>
            <w:vAlign w:val="center"/>
            <w:hideMark/>
          </w:tcPr>
          <w:p w:rsidR="00E8013F" w:rsidRPr="00691330" w:rsidRDefault="00E8013F" w:rsidP="00691330">
            <w:pPr>
              <w:spacing w:line="276" w:lineRule="auto"/>
              <w:jc w:val="center"/>
              <w:rPr>
                <w:rFonts w:eastAsia="Times New Roman"/>
                <w:bCs/>
                <w:color w:val="000000"/>
                <w:sz w:val="24"/>
                <w:szCs w:val="24"/>
                <w:lang w:val="en-US"/>
              </w:rPr>
            </w:pPr>
            <w:r w:rsidRPr="00691330">
              <w:rPr>
                <w:rFonts w:eastAsia="Times New Roman"/>
                <w:bCs/>
                <w:color w:val="000000"/>
                <w:sz w:val="24"/>
                <w:szCs w:val="24"/>
                <w:lang w:val="en-US"/>
              </w:rPr>
              <w:t>70,75</w:t>
            </w:r>
          </w:p>
        </w:tc>
        <w:tc>
          <w:tcPr>
            <w:tcW w:w="0" w:type="auto"/>
            <w:tcBorders>
              <w:top w:val="nil"/>
              <w:left w:val="nil"/>
              <w:bottom w:val="single" w:sz="4" w:space="0" w:color="auto"/>
              <w:right w:val="single" w:sz="4" w:space="0" w:color="auto"/>
            </w:tcBorders>
            <w:shd w:val="clear" w:color="auto" w:fill="auto"/>
            <w:vAlign w:val="center"/>
            <w:hideMark/>
          </w:tcPr>
          <w:p w:rsidR="00E8013F" w:rsidRPr="00691330" w:rsidRDefault="00E8013F" w:rsidP="00691330">
            <w:pPr>
              <w:spacing w:line="276" w:lineRule="auto"/>
              <w:jc w:val="center"/>
              <w:rPr>
                <w:rFonts w:eastAsia="Times New Roman"/>
                <w:bCs/>
                <w:color w:val="000000"/>
                <w:sz w:val="24"/>
                <w:szCs w:val="24"/>
                <w:lang w:val="en-US"/>
              </w:rPr>
            </w:pPr>
            <w:r w:rsidRPr="00691330">
              <w:rPr>
                <w:rFonts w:eastAsia="Times New Roman"/>
                <w:bCs/>
                <w:color w:val="000000"/>
                <w:sz w:val="24"/>
                <w:szCs w:val="24"/>
                <w:lang w:val="en-US"/>
              </w:rPr>
              <w:t>66,75</w:t>
            </w:r>
          </w:p>
        </w:tc>
        <w:tc>
          <w:tcPr>
            <w:tcW w:w="0" w:type="auto"/>
            <w:tcBorders>
              <w:top w:val="nil"/>
              <w:left w:val="nil"/>
              <w:bottom w:val="single" w:sz="4" w:space="0" w:color="auto"/>
              <w:right w:val="single" w:sz="4" w:space="0" w:color="auto"/>
            </w:tcBorders>
            <w:shd w:val="clear" w:color="auto" w:fill="auto"/>
            <w:vAlign w:val="center"/>
            <w:hideMark/>
          </w:tcPr>
          <w:p w:rsidR="00E8013F" w:rsidRPr="00691330" w:rsidRDefault="00E8013F" w:rsidP="00691330">
            <w:pPr>
              <w:spacing w:line="276" w:lineRule="auto"/>
              <w:jc w:val="center"/>
              <w:rPr>
                <w:rFonts w:eastAsia="Times New Roman"/>
                <w:bCs/>
                <w:color w:val="000000"/>
                <w:sz w:val="24"/>
                <w:szCs w:val="24"/>
                <w:lang w:val="en-US"/>
              </w:rPr>
            </w:pPr>
            <w:r w:rsidRPr="00691330">
              <w:rPr>
                <w:rFonts w:eastAsia="Times New Roman"/>
                <w:bCs/>
                <w:color w:val="000000"/>
                <w:sz w:val="24"/>
                <w:szCs w:val="24"/>
                <w:lang w:val="en-US"/>
              </w:rPr>
              <w:t>49,00</w:t>
            </w:r>
          </w:p>
        </w:tc>
        <w:tc>
          <w:tcPr>
            <w:tcW w:w="0" w:type="auto"/>
            <w:tcBorders>
              <w:top w:val="nil"/>
              <w:left w:val="nil"/>
              <w:bottom w:val="single" w:sz="4" w:space="0" w:color="auto"/>
              <w:right w:val="single" w:sz="4" w:space="0" w:color="auto"/>
            </w:tcBorders>
            <w:shd w:val="clear" w:color="auto" w:fill="auto"/>
            <w:vAlign w:val="center"/>
          </w:tcPr>
          <w:p w:rsidR="00E8013F" w:rsidRPr="00691330" w:rsidRDefault="00E8013F" w:rsidP="00691330">
            <w:pPr>
              <w:spacing w:line="276" w:lineRule="auto"/>
              <w:jc w:val="center"/>
              <w:rPr>
                <w:rFonts w:eastAsia="Times New Roman"/>
                <w:bCs/>
                <w:color w:val="000000"/>
                <w:sz w:val="24"/>
                <w:szCs w:val="24"/>
                <w:lang w:val="ru-RU"/>
              </w:rPr>
            </w:pPr>
            <w:r w:rsidRPr="00691330">
              <w:rPr>
                <w:rFonts w:eastAsia="Times New Roman"/>
                <w:bCs/>
                <w:color w:val="000000"/>
                <w:sz w:val="24"/>
                <w:szCs w:val="24"/>
                <w:lang w:val="ru-RU"/>
              </w:rPr>
              <w:t>94,35</w:t>
            </w:r>
          </w:p>
        </w:tc>
        <w:tc>
          <w:tcPr>
            <w:tcW w:w="0" w:type="auto"/>
            <w:tcBorders>
              <w:top w:val="nil"/>
              <w:left w:val="nil"/>
              <w:bottom w:val="single" w:sz="4" w:space="0" w:color="auto"/>
              <w:right w:val="single" w:sz="4" w:space="0" w:color="auto"/>
            </w:tcBorders>
            <w:shd w:val="clear" w:color="auto" w:fill="auto"/>
            <w:vAlign w:val="center"/>
          </w:tcPr>
          <w:p w:rsidR="00E8013F" w:rsidRPr="00691330" w:rsidRDefault="00E8013F" w:rsidP="00691330">
            <w:pPr>
              <w:spacing w:line="276" w:lineRule="auto"/>
              <w:jc w:val="center"/>
              <w:rPr>
                <w:rFonts w:eastAsia="Times New Roman"/>
                <w:bCs/>
                <w:color w:val="000000"/>
                <w:sz w:val="24"/>
                <w:szCs w:val="24"/>
                <w:lang w:val="ru-RU"/>
              </w:rPr>
            </w:pPr>
            <w:r w:rsidRPr="00691330">
              <w:rPr>
                <w:rFonts w:eastAsia="Times New Roman"/>
                <w:bCs/>
                <w:color w:val="000000"/>
                <w:sz w:val="24"/>
                <w:szCs w:val="24"/>
                <w:lang w:val="ru-RU"/>
              </w:rPr>
              <w:t>69,26</w:t>
            </w:r>
          </w:p>
        </w:tc>
      </w:tr>
      <w:tr w:rsidR="00E8013F" w:rsidRPr="00691330" w:rsidTr="00223D4E">
        <w:trPr>
          <w:trHeight w:val="21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rsidR="00E8013F" w:rsidRPr="00691330" w:rsidRDefault="00E8013F" w:rsidP="00691330">
            <w:pPr>
              <w:spacing w:line="276" w:lineRule="auto"/>
              <w:jc w:val="left"/>
              <w:rPr>
                <w:rFonts w:eastAsia="Times New Roman"/>
                <w:bCs/>
                <w:color w:val="000000"/>
                <w:sz w:val="24"/>
                <w:szCs w:val="24"/>
                <w:lang w:val="en-US"/>
              </w:rPr>
            </w:pPr>
            <w:r w:rsidRPr="00691330">
              <w:rPr>
                <w:rFonts w:eastAsia="Times New Roman"/>
                <w:bCs/>
                <w:color w:val="000000"/>
                <w:sz w:val="24"/>
                <w:szCs w:val="24"/>
                <w:lang w:val="en-US"/>
              </w:rPr>
              <w:t>Чернівецька</w:t>
            </w:r>
          </w:p>
        </w:tc>
        <w:tc>
          <w:tcPr>
            <w:tcW w:w="0" w:type="auto"/>
            <w:tcBorders>
              <w:top w:val="nil"/>
              <w:left w:val="nil"/>
              <w:bottom w:val="single" w:sz="4" w:space="0" w:color="auto"/>
              <w:right w:val="single" w:sz="4" w:space="0" w:color="auto"/>
            </w:tcBorders>
            <w:shd w:val="clear" w:color="auto" w:fill="auto"/>
            <w:vAlign w:val="center"/>
            <w:hideMark/>
          </w:tcPr>
          <w:p w:rsidR="00E8013F" w:rsidRPr="00691330" w:rsidRDefault="00E8013F" w:rsidP="00691330">
            <w:pPr>
              <w:spacing w:line="276" w:lineRule="auto"/>
              <w:jc w:val="center"/>
              <w:rPr>
                <w:rFonts w:eastAsia="Times New Roman"/>
                <w:bCs/>
                <w:color w:val="000000"/>
                <w:sz w:val="24"/>
                <w:szCs w:val="24"/>
                <w:lang w:val="en-US"/>
              </w:rPr>
            </w:pPr>
            <w:r w:rsidRPr="00691330">
              <w:rPr>
                <w:rFonts w:eastAsia="Times New Roman"/>
                <w:bCs/>
                <w:color w:val="000000"/>
                <w:sz w:val="24"/>
                <w:szCs w:val="24"/>
                <w:lang w:val="en-US"/>
              </w:rPr>
              <w:t>45,25</w:t>
            </w:r>
          </w:p>
        </w:tc>
        <w:tc>
          <w:tcPr>
            <w:tcW w:w="0" w:type="auto"/>
            <w:tcBorders>
              <w:top w:val="nil"/>
              <w:left w:val="nil"/>
              <w:bottom w:val="single" w:sz="4" w:space="0" w:color="auto"/>
              <w:right w:val="single" w:sz="4" w:space="0" w:color="auto"/>
            </w:tcBorders>
            <w:shd w:val="clear" w:color="auto" w:fill="auto"/>
            <w:vAlign w:val="center"/>
            <w:hideMark/>
          </w:tcPr>
          <w:p w:rsidR="00E8013F" w:rsidRPr="00691330" w:rsidRDefault="00E8013F" w:rsidP="00691330">
            <w:pPr>
              <w:spacing w:line="276" w:lineRule="auto"/>
              <w:jc w:val="center"/>
              <w:rPr>
                <w:rFonts w:eastAsia="Times New Roman"/>
                <w:bCs/>
                <w:color w:val="000000"/>
                <w:sz w:val="24"/>
                <w:szCs w:val="24"/>
                <w:lang w:val="en-US"/>
              </w:rPr>
            </w:pPr>
            <w:r w:rsidRPr="00691330">
              <w:rPr>
                <w:rFonts w:eastAsia="Times New Roman"/>
                <w:bCs/>
                <w:color w:val="000000"/>
                <w:sz w:val="24"/>
                <w:szCs w:val="24"/>
                <w:lang w:val="en-US"/>
              </w:rPr>
              <w:t>39,75</w:t>
            </w:r>
          </w:p>
        </w:tc>
        <w:tc>
          <w:tcPr>
            <w:tcW w:w="0" w:type="auto"/>
            <w:tcBorders>
              <w:top w:val="nil"/>
              <w:left w:val="nil"/>
              <w:bottom w:val="single" w:sz="4" w:space="0" w:color="auto"/>
              <w:right w:val="single" w:sz="4" w:space="0" w:color="auto"/>
            </w:tcBorders>
            <w:shd w:val="clear" w:color="auto" w:fill="auto"/>
            <w:vAlign w:val="center"/>
            <w:hideMark/>
          </w:tcPr>
          <w:p w:rsidR="00E8013F" w:rsidRPr="00691330" w:rsidRDefault="00E8013F" w:rsidP="00691330">
            <w:pPr>
              <w:spacing w:line="276" w:lineRule="auto"/>
              <w:jc w:val="center"/>
              <w:rPr>
                <w:rFonts w:eastAsia="Times New Roman"/>
                <w:bCs/>
                <w:color w:val="000000"/>
                <w:sz w:val="24"/>
                <w:szCs w:val="24"/>
                <w:lang w:val="en-US"/>
              </w:rPr>
            </w:pPr>
            <w:r w:rsidRPr="00691330">
              <w:rPr>
                <w:rFonts w:eastAsia="Times New Roman"/>
                <w:bCs/>
                <w:color w:val="000000"/>
                <w:sz w:val="24"/>
                <w:szCs w:val="24"/>
                <w:lang w:val="en-US"/>
              </w:rPr>
              <w:t>35,00</w:t>
            </w:r>
          </w:p>
        </w:tc>
        <w:tc>
          <w:tcPr>
            <w:tcW w:w="0" w:type="auto"/>
            <w:tcBorders>
              <w:top w:val="nil"/>
              <w:left w:val="nil"/>
              <w:bottom w:val="single" w:sz="4" w:space="0" w:color="auto"/>
              <w:right w:val="single" w:sz="4" w:space="0" w:color="auto"/>
            </w:tcBorders>
            <w:shd w:val="clear" w:color="auto" w:fill="auto"/>
            <w:vAlign w:val="center"/>
          </w:tcPr>
          <w:p w:rsidR="00E8013F" w:rsidRPr="00691330" w:rsidRDefault="00E8013F" w:rsidP="00691330">
            <w:pPr>
              <w:spacing w:line="276" w:lineRule="auto"/>
              <w:jc w:val="center"/>
              <w:rPr>
                <w:rFonts w:eastAsia="Times New Roman"/>
                <w:bCs/>
                <w:color w:val="000000"/>
                <w:sz w:val="24"/>
                <w:szCs w:val="24"/>
                <w:lang w:val="ru-RU"/>
              </w:rPr>
            </w:pPr>
            <w:r w:rsidRPr="00691330">
              <w:rPr>
                <w:rFonts w:eastAsia="Times New Roman"/>
                <w:bCs/>
                <w:color w:val="000000"/>
                <w:sz w:val="24"/>
                <w:szCs w:val="24"/>
                <w:lang w:val="ru-RU"/>
              </w:rPr>
              <w:t>87,85</w:t>
            </w:r>
          </w:p>
        </w:tc>
        <w:tc>
          <w:tcPr>
            <w:tcW w:w="0" w:type="auto"/>
            <w:tcBorders>
              <w:top w:val="nil"/>
              <w:left w:val="nil"/>
              <w:bottom w:val="single" w:sz="4" w:space="0" w:color="auto"/>
              <w:right w:val="single" w:sz="4" w:space="0" w:color="auto"/>
            </w:tcBorders>
            <w:shd w:val="clear" w:color="auto" w:fill="auto"/>
            <w:vAlign w:val="center"/>
          </w:tcPr>
          <w:p w:rsidR="00E8013F" w:rsidRPr="00691330" w:rsidRDefault="00E8013F" w:rsidP="00691330">
            <w:pPr>
              <w:spacing w:line="276" w:lineRule="auto"/>
              <w:jc w:val="center"/>
              <w:rPr>
                <w:rFonts w:eastAsia="Times New Roman"/>
                <w:bCs/>
                <w:color w:val="000000"/>
                <w:sz w:val="24"/>
                <w:szCs w:val="24"/>
                <w:lang w:val="ru-RU"/>
              </w:rPr>
            </w:pPr>
            <w:r w:rsidRPr="00691330">
              <w:rPr>
                <w:rFonts w:eastAsia="Times New Roman"/>
                <w:bCs/>
                <w:color w:val="000000"/>
                <w:sz w:val="24"/>
                <w:szCs w:val="24"/>
                <w:lang w:val="ru-RU"/>
              </w:rPr>
              <w:t>77,35</w:t>
            </w:r>
          </w:p>
        </w:tc>
      </w:tr>
      <w:tr w:rsidR="00E8013F" w:rsidRPr="00691330" w:rsidTr="00223D4E">
        <w:trPr>
          <w:trHeight w:val="21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rsidR="00E8013F" w:rsidRPr="00691330" w:rsidRDefault="00E8013F" w:rsidP="00691330">
            <w:pPr>
              <w:spacing w:line="276" w:lineRule="auto"/>
              <w:jc w:val="left"/>
              <w:rPr>
                <w:rFonts w:eastAsia="Times New Roman"/>
                <w:bCs/>
                <w:color w:val="000000"/>
                <w:sz w:val="24"/>
                <w:szCs w:val="24"/>
                <w:lang w:val="en-US"/>
              </w:rPr>
            </w:pPr>
            <w:r w:rsidRPr="00691330">
              <w:rPr>
                <w:rFonts w:eastAsia="Times New Roman"/>
                <w:bCs/>
                <w:color w:val="000000"/>
                <w:sz w:val="24"/>
                <w:szCs w:val="24"/>
                <w:lang w:val="en-US"/>
              </w:rPr>
              <w:t>Чернігівська</w:t>
            </w:r>
          </w:p>
        </w:tc>
        <w:tc>
          <w:tcPr>
            <w:tcW w:w="0" w:type="auto"/>
            <w:tcBorders>
              <w:top w:val="nil"/>
              <w:left w:val="nil"/>
              <w:bottom w:val="single" w:sz="4" w:space="0" w:color="auto"/>
              <w:right w:val="single" w:sz="4" w:space="0" w:color="auto"/>
            </w:tcBorders>
            <w:shd w:val="clear" w:color="auto" w:fill="auto"/>
            <w:vAlign w:val="center"/>
            <w:hideMark/>
          </w:tcPr>
          <w:p w:rsidR="00E8013F" w:rsidRPr="00691330" w:rsidRDefault="00E8013F" w:rsidP="00691330">
            <w:pPr>
              <w:spacing w:line="276" w:lineRule="auto"/>
              <w:jc w:val="center"/>
              <w:rPr>
                <w:rFonts w:eastAsia="Times New Roman"/>
                <w:bCs/>
                <w:color w:val="000000"/>
                <w:sz w:val="24"/>
                <w:szCs w:val="24"/>
                <w:lang w:val="en-US"/>
              </w:rPr>
            </w:pPr>
            <w:r w:rsidRPr="00691330">
              <w:rPr>
                <w:rFonts w:eastAsia="Times New Roman"/>
                <w:bCs/>
                <w:color w:val="000000"/>
                <w:sz w:val="24"/>
                <w:szCs w:val="24"/>
                <w:lang w:val="en-US"/>
              </w:rPr>
              <w:t>36,50</w:t>
            </w:r>
          </w:p>
        </w:tc>
        <w:tc>
          <w:tcPr>
            <w:tcW w:w="0" w:type="auto"/>
            <w:tcBorders>
              <w:top w:val="nil"/>
              <w:left w:val="nil"/>
              <w:bottom w:val="single" w:sz="4" w:space="0" w:color="auto"/>
              <w:right w:val="single" w:sz="4" w:space="0" w:color="auto"/>
            </w:tcBorders>
            <w:shd w:val="clear" w:color="auto" w:fill="auto"/>
            <w:vAlign w:val="center"/>
            <w:hideMark/>
          </w:tcPr>
          <w:p w:rsidR="00E8013F" w:rsidRPr="00691330" w:rsidRDefault="00E8013F" w:rsidP="00691330">
            <w:pPr>
              <w:spacing w:line="276" w:lineRule="auto"/>
              <w:jc w:val="center"/>
              <w:rPr>
                <w:rFonts w:eastAsia="Times New Roman"/>
                <w:bCs/>
                <w:color w:val="000000"/>
                <w:sz w:val="24"/>
                <w:szCs w:val="24"/>
                <w:lang w:val="en-US"/>
              </w:rPr>
            </w:pPr>
            <w:r w:rsidRPr="00691330">
              <w:rPr>
                <w:rFonts w:eastAsia="Times New Roman"/>
                <w:bCs/>
                <w:color w:val="000000"/>
                <w:sz w:val="24"/>
                <w:szCs w:val="24"/>
                <w:lang w:val="en-US"/>
              </w:rPr>
              <w:t>33,00</w:t>
            </w:r>
          </w:p>
        </w:tc>
        <w:tc>
          <w:tcPr>
            <w:tcW w:w="0" w:type="auto"/>
            <w:tcBorders>
              <w:top w:val="nil"/>
              <w:left w:val="nil"/>
              <w:bottom w:val="single" w:sz="4" w:space="0" w:color="auto"/>
              <w:right w:val="single" w:sz="4" w:space="0" w:color="auto"/>
            </w:tcBorders>
            <w:shd w:val="clear" w:color="auto" w:fill="auto"/>
            <w:vAlign w:val="center"/>
            <w:hideMark/>
          </w:tcPr>
          <w:p w:rsidR="00E8013F" w:rsidRPr="00691330" w:rsidRDefault="00E8013F" w:rsidP="00691330">
            <w:pPr>
              <w:spacing w:line="276" w:lineRule="auto"/>
              <w:jc w:val="center"/>
              <w:rPr>
                <w:rFonts w:eastAsia="Times New Roman"/>
                <w:bCs/>
                <w:color w:val="000000"/>
                <w:sz w:val="24"/>
                <w:szCs w:val="24"/>
                <w:lang w:val="en-US"/>
              </w:rPr>
            </w:pPr>
            <w:r w:rsidRPr="00691330">
              <w:rPr>
                <w:rFonts w:eastAsia="Times New Roman"/>
                <w:bCs/>
                <w:color w:val="000000"/>
                <w:sz w:val="24"/>
                <w:szCs w:val="24"/>
                <w:lang w:val="en-US"/>
              </w:rPr>
              <w:t>27,00</w:t>
            </w:r>
          </w:p>
        </w:tc>
        <w:tc>
          <w:tcPr>
            <w:tcW w:w="0" w:type="auto"/>
            <w:tcBorders>
              <w:top w:val="nil"/>
              <w:left w:val="nil"/>
              <w:bottom w:val="single" w:sz="4" w:space="0" w:color="auto"/>
              <w:right w:val="single" w:sz="4" w:space="0" w:color="auto"/>
            </w:tcBorders>
            <w:shd w:val="clear" w:color="auto" w:fill="auto"/>
            <w:vAlign w:val="center"/>
          </w:tcPr>
          <w:p w:rsidR="00E8013F" w:rsidRPr="00691330" w:rsidRDefault="00E8013F" w:rsidP="00691330">
            <w:pPr>
              <w:spacing w:line="276" w:lineRule="auto"/>
              <w:jc w:val="center"/>
              <w:rPr>
                <w:rFonts w:eastAsia="Times New Roman"/>
                <w:bCs/>
                <w:color w:val="000000"/>
                <w:sz w:val="24"/>
                <w:szCs w:val="24"/>
                <w:lang w:val="ru-RU"/>
              </w:rPr>
            </w:pPr>
            <w:r w:rsidRPr="00691330">
              <w:rPr>
                <w:rFonts w:eastAsia="Times New Roman"/>
                <w:bCs/>
                <w:color w:val="000000"/>
                <w:sz w:val="24"/>
                <w:szCs w:val="24"/>
                <w:lang w:val="ru-RU"/>
              </w:rPr>
              <w:t>90,41</w:t>
            </w:r>
          </w:p>
        </w:tc>
        <w:tc>
          <w:tcPr>
            <w:tcW w:w="0" w:type="auto"/>
            <w:tcBorders>
              <w:top w:val="nil"/>
              <w:left w:val="nil"/>
              <w:bottom w:val="single" w:sz="4" w:space="0" w:color="auto"/>
              <w:right w:val="single" w:sz="4" w:space="0" w:color="auto"/>
            </w:tcBorders>
            <w:shd w:val="clear" w:color="auto" w:fill="auto"/>
            <w:vAlign w:val="center"/>
          </w:tcPr>
          <w:p w:rsidR="00E8013F" w:rsidRPr="00691330" w:rsidRDefault="00E8013F" w:rsidP="00691330">
            <w:pPr>
              <w:spacing w:line="276" w:lineRule="auto"/>
              <w:jc w:val="center"/>
              <w:rPr>
                <w:rFonts w:eastAsia="Times New Roman"/>
                <w:bCs/>
                <w:color w:val="000000"/>
                <w:sz w:val="24"/>
                <w:szCs w:val="24"/>
                <w:lang w:val="ru-RU"/>
              </w:rPr>
            </w:pPr>
            <w:r w:rsidRPr="00691330">
              <w:rPr>
                <w:rFonts w:eastAsia="Times New Roman"/>
                <w:bCs/>
                <w:color w:val="000000"/>
                <w:sz w:val="24"/>
                <w:szCs w:val="24"/>
                <w:lang w:val="ru-RU"/>
              </w:rPr>
              <w:t>73,97</w:t>
            </w:r>
          </w:p>
        </w:tc>
      </w:tr>
      <w:tr w:rsidR="00E8013F" w:rsidRPr="00691330" w:rsidTr="00223D4E">
        <w:trPr>
          <w:trHeight w:val="21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rsidR="00E8013F" w:rsidRPr="00691330" w:rsidRDefault="00E8013F" w:rsidP="00691330">
            <w:pPr>
              <w:spacing w:line="276" w:lineRule="auto"/>
              <w:jc w:val="left"/>
              <w:rPr>
                <w:rFonts w:eastAsia="Times New Roman"/>
                <w:bCs/>
                <w:color w:val="000000"/>
                <w:sz w:val="24"/>
                <w:szCs w:val="24"/>
                <w:lang w:val="en-US"/>
              </w:rPr>
            </w:pPr>
            <w:r w:rsidRPr="00691330">
              <w:rPr>
                <w:rFonts w:eastAsia="Times New Roman"/>
                <w:bCs/>
                <w:color w:val="000000"/>
                <w:sz w:val="24"/>
                <w:szCs w:val="24"/>
                <w:lang w:val="en-US"/>
              </w:rPr>
              <w:t>м.Київ</w:t>
            </w:r>
          </w:p>
        </w:tc>
        <w:tc>
          <w:tcPr>
            <w:tcW w:w="0" w:type="auto"/>
            <w:tcBorders>
              <w:top w:val="nil"/>
              <w:left w:val="nil"/>
              <w:bottom w:val="single" w:sz="4" w:space="0" w:color="auto"/>
              <w:right w:val="single" w:sz="4" w:space="0" w:color="auto"/>
            </w:tcBorders>
            <w:shd w:val="clear" w:color="auto" w:fill="auto"/>
            <w:vAlign w:val="center"/>
            <w:hideMark/>
          </w:tcPr>
          <w:p w:rsidR="00E8013F" w:rsidRPr="00691330" w:rsidRDefault="00E8013F" w:rsidP="00691330">
            <w:pPr>
              <w:spacing w:line="276" w:lineRule="auto"/>
              <w:jc w:val="center"/>
              <w:rPr>
                <w:rFonts w:eastAsia="Times New Roman"/>
                <w:bCs/>
                <w:color w:val="000000"/>
                <w:sz w:val="24"/>
                <w:szCs w:val="24"/>
                <w:lang w:val="en-US"/>
              </w:rPr>
            </w:pPr>
            <w:r w:rsidRPr="00691330">
              <w:rPr>
                <w:rFonts w:eastAsia="Times New Roman"/>
                <w:bCs/>
                <w:color w:val="000000"/>
                <w:sz w:val="24"/>
                <w:szCs w:val="24"/>
                <w:lang w:val="en-US"/>
              </w:rPr>
              <w:t>165,00</w:t>
            </w:r>
          </w:p>
        </w:tc>
        <w:tc>
          <w:tcPr>
            <w:tcW w:w="0" w:type="auto"/>
            <w:tcBorders>
              <w:top w:val="nil"/>
              <w:left w:val="nil"/>
              <w:bottom w:val="single" w:sz="4" w:space="0" w:color="auto"/>
              <w:right w:val="single" w:sz="4" w:space="0" w:color="auto"/>
            </w:tcBorders>
            <w:shd w:val="clear" w:color="auto" w:fill="auto"/>
            <w:vAlign w:val="center"/>
            <w:hideMark/>
          </w:tcPr>
          <w:p w:rsidR="00E8013F" w:rsidRPr="00691330" w:rsidRDefault="00E8013F" w:rsidP="00691330">
            <w:pPr>
              <w:spacing w:line="276" w:lineRule="auto"/>
              <w:jc w:val="center"/>
              <w:rPr>
                <w:rFonts w:eastAsia="Times New Roman"/>
                <w:bCs/>
                <w:color w:val="000000"/>
                <w:sz w:val="24"/>
                <w:szCs w:val="24"/>
                <w:lang w:val="en-US"/>
              </w:rPr>
            </w:pPr>
            <w:r w:rsidRPr="00691330">
              <w:rPr>
                <w:rFonts w:eastAsia="Times New Roman"/>
                <w:bCs/>
                <w:color w:val="000000"/>
                <w:sz w:val="24"/>
                <w:szCs w:val="24"/>
                <w:lang w:val="en-US"/>
              </w:rPr>
              <w:t>157,00</w:t>
            </w:r>
          </w:p>
        </w:tc>
        <w:tc>
          <w:tcPr>
            <w:tcW w:w="0" w:type="auto"/>
            <w:tcBorders>
              <w:top w:val="nil"/>
              <w:left w:val="nil"/>
              <w:bottom w:val="single" w:sz="4" w:space="0" w:color="auto"/>
              <w:right w:val="single" w:sz="4" w:space="0" w:color="auto"/>
            </w:tcBorders>
            <w:shd w:val="clear" w:color="auto" w:fill="auto"/>
            <w:vAlign w:val="center"/>
            <w:hideMark/>
          </w:tcPr>
          <w:p w:rsidR="00E8013F" w:rsidRPr="00691330" w:rsidRDefault="00E8013F" w:rsidP="00691330">
            <w:pPr>
              <w:spacing w:line="276" w:lineRule="auto"/>
              <w:jc w:val="center"/>
              <w:rPr>
                <w:rFonts w:eastAsia="Times New Roman"/>
                <w:bCs/>
                <w:color w:val="000000"/>
                <w:sz w:val="24"/>
                <w:szCs w:val="24"/>
                <w:lang w:val="en-US"/>
              </w:rPr>
            </w:pPr>
            <w:r w:rsidRPr="00691330">
              <w:rPr>
                <w:rFonts w:eastAsia="Times New Roman"/>
                <w:bCs/>
                <w:color w:val="000000"/>
                <w:sz w:val="24"/>
                <w:szCs w:val="24"/>
                <w:lang w:val="en-US"/>
              </w:rPr>
              <w:t>125,00</w:t>
            </w:r>
          </w:p>
        </w:tc>
        <w:tc>
          <w:tcPr>
            <w:tcW w:w="0" w:type="auto"/>
            <w:tcBorders>
              <w:top w:val="nil"/>
              <w:left w:val="nil"/>
              <w:bottom w:val="single" w:sz="4" w:space="0" w:color="auto"/>
              <w:right w:val="single" w:sz="4" w:space="0" w:color="auto"/>
            </w:tcBorders>
            <w:shd w:val="clear" w:color="auto" w:fill="auto"/>
            <w:vAlign w:val="center"/>
          </w:tcPr>
          <w:p w:rsidR="00E8013F" w:rsidRPr="00691330" w:rsidRDefault="00E8013F" w:rsidP="00691330">
            <w:pPr>
              <w:spacing w:line="276" w:lineRule="auto"/>
              <w:jc w:val="center"/>
              <w:rPr>
                <w:rFonts w:eastAsia="Times New Roman"/>
                <w:bCs/>
                <w:color w:val="000000"/>
                <w:sz w:val="24"/>
                <w:szCs w:val="24"/>
                <w:lang w:val="ru-RU"/>
              </w:rPr>
            </w:pPr>
            <w:r w:rsidRPr="00691330">
              <w:rPr>
                <w:rFonts w:eastAsia="Times New Roman"/>
                <w:bCs/>
                <w:color w:val="000000"/>
                <w:sz w:val="24"/>
                <w:szCs w:val="24"/>
                <w:lang w:val="ru-RU"/>
              </w:rPr>
              <w:t>95,15</w:t>
            </w:r>
          </w:p>
        </w:tc>
        <w:tc>
          <w:tcPr>
            <w:tcW w:w="0" w:type="auto"/>
            <w:tcBorders>
              <w:top w:val="nil"/>
              <w:left w:val="nil"/>
              <w:bottom w:val="single" w:sz="4" w:space="0" w:color="auto"/>
              <w:right w:val="single" w:sz="4" w:space="0" w:color="auto"/>
            </w:tcBorders>
            <w:shd w:val="clear" w:color="auto" w:fill="auto"/>
            <w:vAlign w:val="center"/>
          </w:tcPr>
          <w:p w:rsidR="00E8013F" w:rsidRPr="00691330" w:rsidRDefault="00E8013F" w:rsidP="00691330">
            <w:pPr>
              <w:spacing w:line="276" w:lineRule="auto"/>
              <w:jc w:val="center"/>
              <w:rPr>
                <w:rFonts w:eastAsia="Times New Roman"/>
                <w:bCs/>
                <w:color w:val="000000"/>
                <w:sz w:val="24"/>
                <w:szCs w:val="24"/>
                <w:lang w:val="ru-RU"/>
              </w:rPr>
            </w:pPr>
            <w:r w:rsidRPr="00691330">
              <w:rPr>
                <w:rFonts w:eastAsia="Times New Roman"/>
                <w:bCs/>
                <w:color w:val="000000"/>
                <w:sz w:val="24"/>
                <w:szCs w:val="24"/>
                <w:lang w:val="ru-RU"/>
              </w:rPr>
              <w:t>75,76</w:t>
            </w:r>
          </w:p>
        </w:tc>
      </w:tr>
    </w:tbl>
    <w:p w:rsidR="00E8013F" w:rsidRDefault="00E8013F" w:rsidP="006B6A3E">
      <w:pPr>
        <w:spacing w:line="276" w:lineRule="auto"/>
        <w:jc w:val="right"/>
        <w:rPr>
          <w:rFonts w:eastAsia="Calibri"/>
          <w:b/>
          <w:szCs w:val="28"/>
        </w:rPr>
      </w:pPr>
    </w:p>
    <w:p w:rsidR="00E8013F" w:rsidRPr="00691330" w:rsidRDefault="00E8013F" w:rsidP="009E1AFD">
      <w:pPr>
        <w:spacing w:line="276" w:lineRule="auto"/>
        <w:rPr>
          <w:rFonts w:eastAsia="Calibri"/>
          <w:b/>
          <w:szCs w:val="28"/>
          <w:lang w:val="ru-RU"/>
        </w:rPr>
      </w:pPr>
    </w:p>
    <w:p w:rsidR="00B04F55" w:rsidRDefault="00B04F55" w:rsidP="006B6A3E">
      <w:pPr>
        <w:spacing w:line="276" w:lineRule="auto"/>
        <w:jc w:val="right"/>
        <w:rPr>
          <w:rFonts w:eastAsia="Calibri"/>
          <w:b/>
          <w:szCs w:val="28"/>
          <w:lang w:val="ru-RU"/>
        </w:rPr>
      </w:pPr>
    </w:p>
    <w:p w:rsidR="001F6DB4" w:rsidRDefault="001F6DB4" w:rsidP="006B6A3E">
      <w:pPr>
        <w:spacing w:line="276" w:lineRule="auto"/>
        <w:jc w:val="right"/>
        <w:rPr>
          <w:rFonts w:eastAsia="Calibri"/>
          <w:b/>
          <w:szCs w:val="28"/>
        </w:rPr>
      </w:pPr>
    </w:p>
    <w:p w:rsidR="006B6A3E" w:rsidRPr="001F6DB4" w:rsidRDefault="00535BCC" w:rsidP="009114BF">
      <w:pPr>
        <w:pageBreakBefore/>
        <w:spacing w:line="276" w:lineRule="auto"/>
        <w:jc w:val="right"/>
        <w:rPr>
          <w:rFonts w:eastAsia="Calibri"/>
          <w:szCs w:val="28"/>
        </w:rPr>
      </w:pPr>
      <w:r w:rsidRPr="001F6DB4">
        <w:rPr>
          <w:rFonts w:eastAsia="Calibri"/>
          <w:szCs w:val="28"/>
        </w:rPr>
        <w:lastRenderedPageBreak/>
        <w:t>Додаток Д</w:t>
      </w:r>
      <w:r w:rsidR="006B6A3E" w:rsidRPr="001F6DB4">
        <w:rPr>
          <w:rFonts w:eastAsia="Calibri"/>
          <w:szCs w:val="28"/>
        </w:rPr>
        <w:t xml:space="preserve">-1 </w:t>
      </w:r>
    </w:p>
    <w:p w:rsidR="006B6A3E" w:rsidRPr="006B6A3E" w:rsidRDefault="006B6A3E" w:rsidP="006B6A3E">
      <w:pPr>
        <w:widowControl w:val="0"/>
        <w:shd w:val="clear" w:color="auto" w:fill="FFFFFF"/>
        <w:jc w:val="center"/>
        <w:rPr>
          <w:rFonts w:eastAsia="Calibri"/>
          <w:szCs w:val="28"/>
          <w:lang w:eastAsia="x-none"/>
        </w:rPr>
      </w:pPr>
      <w:r w:rsidRPr="006B6A3E">
        <w:rPr>
          <w:rFonts w:eastAsia="Calibri"/>
          <w:b/>
          <w:sz w:val="26"/>
          <w:szCs w:val="20"/>
          <w:lang w:eastAsia="ru-RU"/>
        </w:rPr>
        <w:t>Міністерство охорони здоров’я України</w:t>
      </w:r>
    </w:p>
    <w:p w:rsidR="006B6A3E" w:rsidRPr="006B6A3E" w:rsidRDefault="006B6A3E" w:rsidP="006B6A3E">
      <w:pPr>
        <w:widowControl w:val="0"/>
        <w:shd w:val="clear" w:color="auto" w:fill="FFFFFF"/>
        <w:jc w:val="center"/>
        <w:rPr>
          <w:rFonts w:eastAsia="Calibri"/>
          <w:szCs w:val="28"/>
          <w:lang w:eastAsia="x-none"/>
        </w:rPr>
      </w:pPr>
      <w:r w:rsidRPr="006B6A3E">
        <w:rPr>
          <w:rFonts w:eastAsia="Calibri"/>
          <w:bCs/>
          <w:caps/>
          <w:kern w:val="32"/>
          <w:sz w:val="26"/>
          <w:szCs w:val="32"/>
          <w:lang w:eastAsia="ru-RU"/>
        </w:rPr>
        <w:t>ДУ «Український інститут стратегічних досліджень»</w:t>
      </w:r>
    </w:p>
    <w:p w:rsidR="006B6A3E" w:rsidRPr="006B6A3E" w:rsidRDefault="006B6A3E" w:rsidP="006B6A3E">
      <w:pPr>
        <w:jc w:val="center"/>
        <w:rPr>
          <w:rFonts w:eastAsia="Calibri"/>
          <w:b/>
          <w:szCs w:val="28"/>
        </w:rPr>
      </w:pPr>
      <w:r w:rsidRPr="006B6A3E">
        <w:rPr>
          <w:rFonts w:eastAsia="Calibri"/>
          <w:b/>
          <w:szCs w:val="28"/>
        </w:rPr>
        <w:t>АНКЕТА БАТЬКІВ</w:t>
      </w:r>
    </w:p>
    <w:p w:rsidR="006B6A3E" w:rsidRPr="006B6A3E" w:rsidRDefault="006B6A3E" w:rsidP="006B6A3E">
      <w:pPr>
        <w:rPr>
          <w:rFonts w:eastAsia="Calibri"/>
          <w:szCs w:val="28"/>
        </w:rPr>
      </w:pPr>
      <w:r w:rsidRPr="006B6A3E">
        <w:rPr>
          <w:rFonts w:eastAsia="Calibri"/>
          <w:b/>
          <w:szCs w:val="28"/>
        </w:rPr>
        <w:t xml:space="preserve">   Шановний респонденте! </w:t>
      </w:r>
      <w:r w:rsidRPr="006B6A3E">
        <w:rPr>
          <w:rFonts w:eastAsia="Calibri"/>
          <w:szCs w:val="28"/>
        </w:rPr>
        <w:t xml:space="preserve">Ви маєте дитину у віці до 5-ти років життя, це дуже визначальний період у житті Вашої дитини, від якого залежить її майбутнє. Запрошуємо Вас взяти участь у вивченні Вашої оцінки та ставлення до здоров'я дитини, обізнаності здоров'язберігаючим технологіям на сімейному рівні, інформованості щодо попередження, виявлення загрозливих для дітей станів та тактиці дій при них. Анкета є анонімною, результати якої будуть узагальнені з метою визначення дієвих механізмів впливу та розробці заходів по збереженню здоров’я дітей та підвищення якості надання медичної допомоги. </w:t>
      </w:r>
    </w:p>
    <w:p w:rsidR="006B6A3E" w:rsidRPr="006B6A3E" w:rsidRDefault="006B6A3E" w:rsidP="006B6A3E">
      <w:pPr>
        <w:jc w:val="center"/>
        <w:rPr>
          <w:rFonts w:eastAsia="Calibri"/>
          <w:szCs w:val="28"/>
        </w:rPr>
      </w:pPr>
      <w:r w:rsidRPr="006B6A3E">
        <w:rPr>
          <w:rFonts w:eastAsia="Times New Roman"/>
          <w:b/>
          <w:bCs/>
          <w:color w:val="000000"/>
          <w:szCs w:val="28"/>
          <w:lang w:eastAsia="ru-RU"/>
        </w:rPr>
        <w:t>Заздалегідь дякуємо за участь!</w:t>
      </w:r>
    </w:p>
    <w:p w:rsidR="006B6A3E" w:rsidRPr="006B6A3E" w:rsidRDefault="006B6A3E" w:rsidP="0074719A">
      <w:pPr>
        <w:numPr>
          <w:ilvl w:val="0"/>
          <w:numId w:val="33"/>
        </w:numPr>
        <w:spacing w:after="200" w:line="259" w:lineRule="auto"/>
        <w:contextualSpacing/>
        <w:jc w:val="left"/>
        <w:rPr>
          <w:rFonts w:eastAsia="Calibri"/>
          <w:szCs w:val="28"/>
        </w:rPr>
      </w:pPr>
      <w:r w:rsidRPr="006B6A3E">
        <w:rPr>
          <w:rFonts w:eastAsia="Calibri"/>
          <w:szCs w:val="28"/>
        </w:rPr>
        <w:t>Ким Ви доводитесь дитині:</w:t>
      </w:r>
    </w:p>
    <w:p w:rsidR="006B6A3E" w:rsidRPr="006B6A3E" w:rsidRDefault="006B6A3E" w:rsidP="006B6A3E">
      <w:pPr>
        <w:spacing w:after="200"/>
        <w:ind w:left="644"/>
        <w:contextualSpacing/>
        <w:rPr>
          <w:rFonts w:eastAsia="Calibri"/>
          <w:szCs w:val="28"/>
        </w:rPr>
      </w:pPr>
      <w:r w:rsidRPr="006B6A3E">
        <w:rPr>
          <w:rFonts w:eastAsia="Calibri"/>
          <w:szCs w:val="28"/>
        </w:rPr>
        <w:t>001 мати</w:t>
      </w:r>
    </w:p>
    <w:p w:rsidR="006B6A3E" w:rsidRPr="006B6A3E" w:rsidRDefault="006B6A3E" w:rsidP="006B6A3E">
      <w:pPr>
        <w:spacing w:after="200"/>
        <w:ind w:left="644"/>
        <w:contextualSpacing/>
        <w:rPr>
          <w:rFonts w:eastAsia="Calibri"/>
          <w:szCs w:val="28"/>
        </w:rPr>
      </w:pPr>
      <w:r w:rsidRPr="006B6A3E">
        <w:rPr>
          <w:rFonts w:eastAsia="Calibri"/>
          <w:szCs w:val="28"/>
        </w:rPr>
        <w:t>002 батько</w:t>
      </w:r>
    </w:p>
    <w:p w:rsidR="006B6A3E" w:rsidRPr="006B6A3E" w:rsidRDefault="006B6A3E" w:rsidP="0074719A">
      <w:pPr>
        <w:numPr>
          <w:ilvl w:val="0"/>
          <w:numId w:val="33"/>
        </w:numPr>
        <w:spacing w:after="200" w:line="259" w:lineRule="auto"/>
        <w:contextualSpacing/>
        <w:jc w:val="left"/>
        <w:rPr>
          <w:rFonts w:eastAsia="Calibri"/>
          <w:szCs w:val="28"/>
        </w:rPr>
      </w:pPr>
      <w:r w:rsidRPr="006B6A3E">
        <w:rPr>
          <w:rFonts w:eastAsia="Calibri"/>
          <w:szCs w:val="28"/>
        </w:rPr>
        <w:t>Вкажіть Ваше місце мешкання:</w:t>
      </w:r>
    </w:p>
    <w:p w:rsidR="006B6A3E" w:rsidRPr="006B6A3E" w:rsidRDefault="006B6A3E" w:rsidP="006B6A3E">
      <w:pPr>
        <w:spacing w:after="200"/>
        <w:ind w:left="720"/>
        <w:contextualSpacing/>
        <w:rPr>
          <w:rFonts w:eastAsia="Calibri"/>
          <w:szCs w:val="28"/>
        </w:rPr>
      </w:pPr>
      <w:r w:rsidRPr="006B6A3E">
        <w:rPr>
          <w:rFonts w:eastAsia="Calibri"/>
          <w:szCs w:val="28"/>
        </w:rPr>
        <w:t>003 місто</w:t>
      </w:r>
    </w:p>
    <w:p w:rsidR="006B6A3E" w:rsidRPr="006B6A3E" w:rsidRDefault="006B6A3E" w:rsidP="006B6A3E">
      <w:pPr>
        <w:ind w:left="720"/>
        <w:contextualSpacing/>
        <w:rPr>
          <w:rFonts w:eastAsia="Calibri"/>
          <w:szCs w:val="28"/>
        </w:rPr>
      </w:pPr>
      <w:r w:rsidRPr="006B6A3E">
        <w:rPr>
          <w:rFonts w:eastAsia="Calibri"/>
          <w:szCs w:val="28"/>
        </w:rPr>
        <w:t>004 село (смт, тощо)</w:t>
      </w:r>
    </w:p>
    <w:p w:rsidR="006B6A3E" w:rsidRPr="006B6A3E" w:rsidRDefault="006B6A3E" w:rsidP="006B6A3E">
      <w:pPr>
        <w:rPr>
          <w:rFonts w:eastAsia="Calibri"/>
          <w:szCs w:val="28"/>
        </w:rPr>
      </w:pPr>
      <w:r w:rsidRPr="006B6A3E">
        <w:rPr>
          <w:rFonts w:eastAsia="Calibri"/>
          <w:szCs w:val="28"/>
        </w:rPr>
        <w:t xml:space="preserve">    3. Вкажіть Ваш вік:</w:t>
      </w:r>
    </w:p>
    <w:p w:rsidR="006B6A3E" w:rsidRPr="006B6A3E" w:rsidRDefault="006B6A3E" w:rsidP="006B6A3E">
      <w:pPr>
        <w:ind w:firstLine="720"/>
        <w:rPr>
          <w:rFonts w:eastAsia="Calibri"/>
          <w:szCs w:val="28"/>
        </w:rPr>
      </w:pPr>
      <w:r w:rsidRPr="006B6A3E">
        <w:rPr>
          <w:rFonts w:eastAsia="Calibri"/>
          <w:szCs w:val="28"/>
        </w:rPr>
        <w:t>005 до 25 років</w:t>
      </w:r>
    </w:p>
    <w:p w:rsidR="006B6A3E" w:rsidRPr="006B6A3E" w:rsidRDefault="006B6A3E" w:rsidP="006B6A3E">
      <w:pPr>
        <w:ind w:firstLine="720"/>
        <w:rPr>
          <w:rFonts w:eastAsia="Calibri"/>
          <w:szCs w:val="28"/>
        </w:rPr>
      </w:pPr>
      <w:r w:rsidRPr="006B6A3E">
        <w:rPr>
          <w:rFonts w:eastAsia="Calibri"/>
          <w:szCs w:val="28"/>
        </w:rPr>
        <w:t>006 26-35 років</w:t>
      </w:r>
    </w:p>
    <w:p w:rsidR="006B6A3E" w:rsidRPr="006B6A3E" w:rsidRDefault="006B6A3E" w:rsidP="006B6A3E">
      <w:pPr>
        <w:ind w:firstLine="720"/>
        <w:rPr>
          <w:rFonts w:eastAsia="Calibri"/>
          <w:szCs w:val="28"/>
        </w:rPr>
      </w:pPr>
      <w:r w:rsidRPr="006B6A3E">
        <w:rPr>
          <w:rFonts w:eastAsia="Calibri"/>
          <w:szCs w:val="28"/>
        </w:rPr>
        <w:t xml:space="preserve">007 36 і старше </w:t>
      </w:r>
    </w:p>
    <w:p w:rsidR="006B6A3E" w:rsidRPr="006B6A3E" w:rsidRDefault="006B6A3E" w:rsidP="006B6A3E">
      <w:pPr>
        <w:rPr>
          <w:rFonts w:eastAsia="Calibri"/>
          <w:szCs w:val="28"/>
        </w:rPr>
      </w:pPr>
      <w:r w:rsidRPr="006B6A3E">
        <w:rPr>
          <w:rFonts w:eastAsia="Calibri"/>
          <w:szCs w:val="28"/>
        </w:rPr>
        <w:t xml:space="preserve">    4. Ваша освіта:</w:t>
      </w:r>
    </w:p>
    <w:p w:rsidR="006B6A3E" w:rsidRPr="006B6A3E" w:rsidRDefault="006B6A3E" w:rsidP="006B6A3E">
      <w:pPr>
        <w:ind w:firstLine="720"/>
        <w:rPr>
          <w:rFonts w:eastAsia="Calibri"/>
          <w:szCs w:val="28"/>
        </w:rPr>
      </w:pPr>
      <w:r w:rsidRPr="006B6A3E">
        <w:rPr>
          <w:rFonts w:eastAsia="Calibri"/>
          <w:szCs w:val="28"/>
        </w:rPr>
        <w:t xml:space="preserve">008 загальна середня </w:t>
      </w:r>
    </w:p>
    <w:p w:rsidR="006B6A3E" w:rsidRPr="006B6A3E" w:rsidRDefault="006B6A3E" w:rsidP="006B6A3E">
      <w:pPr>
        <w:ind w:firstLine="720"/>
        <w:rPr>
          <w:rFonts w:eastAsia="Calibri"/>
          <w:szCs w:val="28"/>
        </w:rPr>
      </w:pPr>
      <w:r w:rsidRPr="006B6A3E">
        <w:rPr>
          <w:rFonts w:eastAsia="Calibri"/>
          <w:szCs w:val="28"/>
        </w:rPr>
        <w:t xml:space="preserve">009 середня спеціальна </w:t>
      </w:r>
    </w:p>
    <w:p w:rsidR="006B6A3E" w:rsidRPr="006B6A3E" w:rsidRDefault="006B6A3E" w:rsidP="006B6A3E">
      <w:pPr>
        <w:ind w:firstLine="720"/>
        <w:rPr>
          <w:rFonts w:eastAsia="Calibri"/>
          <w:szCs w:val="28"/>
        </w:rPr>
      </w:pPr>
      <w:r w:rsidRPr="006B6A3E">
        <w:rPr>
          <w:rFonts w:eastAsia="Calibri"/>
          <w:szCs w:val="28"/>
        </w:rPr>
        <w:t xml:space="preserve">010 вища </w:t>
      </w:r>
    </w:p>
    <w:p w:rsidR="006B6A3E" w:rsidRPr="006B6A3E" w:rsidRDefault="006B6A3E" w:rsidP="006B6A3E">
      <w:pPr>
        <w:rPr>
          <w:rFonts w:eastAsia="Calibri"/>
          <w:szCs w:val="28"/>
        </w:rPr>
      </w:pPr>
      <w:r w:rsidRPr="006B6A3E">
        <w:rPr>
          <w:rFonts w:eastAsia="Calibri"/>
          <w:szCs w:val="28"/>
        </w:rPr>
        <w:t xml:space="preserve">    5. Вкажіть Ваш рід занять:</w:t>
      </w:r>
    </w:p>
    <w:p w:rsidR="006B6A3E" w:rsidRPr="006B6A3E" w:rsidRDefault="006B6A3E" w:rsidP="006B6A3E">
      <w:pPr>
        <w:ind w:firstLine="720"/>
        <w:rPr>
          <w:rFonts w:eastAsia="Calibri"/>
          <w:szCs w:val="28"/>
        </w:rPr>
      </w:pPr>
      <w:r w:rsidRPr="006B6A3E">
        <w:rPr>
          <w:rFonts w:eastAsia="Calibri"/>
          <w:szCs w:val="28"/>
        </w:rPr>
        <w:t>011 тимчасово не працюю</w:t>
      </w:r>
    </w:p>
    <w:p w:rsidR="006B6A3E" w:rsidRPr="006B6A3E" w:rsidRDefault="006B6A3E" w:rsidP="006B6A3E">
      <w:pPr>
        <w:ind w:firstLine="720"/>
        <w:rPr>
          <w:rFonts w:eastAsia="Calibri"/>
          <w:szCs w:val="28"/>
        </w:rPr>
      </w:pPr>
      <w:r w:rsidRPr="006B6A3E">
        <w:rPr>
          <w:rFonts w:eastAsia="Calibri"/>
          <w:szCs w:val="28"/>
        </w:rPr>
        <w:t>012 студент</w:t>
      </w:r>
    </w:p>
    <w:p w:rsidR="006B6A3E" w:rsidRPr="006B6A3E" w:rsidRDefault="006B6A3E" w:rsidP="006B6A3E">
      <w:pPr>
        <w:ind w:firstLine="720"/>
        <w:rPr>
          <w:rFonts w:eastAsia="Calibri"/>
          <w:szCs w:val="28"/>
        </w:rPr>
      </w:pPr>
      <w:r w:rsidRPr="006B6A3E">
        <w:rPr>
          <w:rFonts w:eastAsia="Calibri"/>
          <w:szCs w:val="28"/>
        </w:rPr>
        <w:t>013 маю роботу (робочий)</w:t>
      </w:r>
    </w:p>
    <w:p w:rsidR="006B6A3E" w:rsidRPr="006B6A3E" w:rsidRDefault="006B6A3E" w:rsidP="006B6A3E">
      <w:pPr>
        <w:ind w:firstLine="720"/>
        <w:rPr>
          <w:rFonts w:eastAsia="Calibri"/>
          <w:szCs w:val="28"/>
        </w:rPr>
      </w:pPr>
      <w:r w:rsidRPr="006B6A3E">
        <w:rPr>
          <w:rFonts w:eastAsia="Calibri"/>
          <w:szCs w:val="28"/>
        </w:rPr>
        <w:lastRenderedPageBreak/>
        <w:t>014 маю роботу (службовець)</w:t>
      </w:r>
    </w:p>
    <w:p w:rsidR="006B6A3E" w:rsidRPr="006B6A3E" w:rsidRDefault="006B6A3E" w:rsidP="006B6A3E">
      <w:pPr>
        <w:ind w:firstLine="720"/>
        <w:rPr>
          <w:rFonts w:eastAsia="Calibri"/>
          <w:szCs w:val="28"/>
        </w:rPr>
      </w:pPr>
      <w:r w:rsidRPr="006B6A3E">
        <w:rPr>
          <w:rFonts w:eastAsia="Calibri"/>
          <w:szCs w:val="28"/>
        </w:rPr>
        <w:t>015 маю роботу (підприємець)</w:t>
      </w:r>
    </w:p>
    <w:p w:rsidR="006B6A3E" w:rsidRPr="006B6A3E" w:rsidRDefault="006B6A3E" w:rsidP="006B6A3E">
      <w:pPr>
        <w:ind w:firstLine="720"/>
        <w:rPr>
          <w:rFonts w:eastAsia="Calibri"/>
          <w:szCs w:val="28"/>
        </w:rPr>
      </w:pPr>
      <w:r w:rsidRPr="006B6A3E">
        <w:rPr>
          <w:rFonts w:eastAsia="Calibri"/>
          <w:szCs w:val="28"/>
        </w:rPr>
        <w:t>016 маю роботу (інше)</w:t>
      </w:r>
    </w:p>
    <w:p w:rsidR="006B6A3E" w:rsidRPr="006B6A3E" w:rsidRDefault="006B6A3E" w:rsidP="006B6A3E">
      <w:pPr>
        <w:rPr>
          <w:rFonts w:eastAsia="Calibri"/>
          <w:szCs w:val="28"/>
        </w:rPr>
      </w:pPr>
      <w:r w:rsidRPr="006B6A3E">
        <w:rPr>
          <w:rFonts w:eastAsia="Calibri"/>
          <w:szCs w:val="28"/>
        </w:rPr>
        <w:t xml:space="preserve">     6. Оцінить свій економічний стан:</w:t>
      </w:r>
    </w:p>
    <w:p w:rsidR="006B6A3E" w:rsidRPr="006B6A3E" w:rsidRDefault="006B6A3E" w:rsidP="006B6A3E">
      <w:pPr>
        <w:ind w:firstLine="720"/>
        <w:rPr>
          <w:rFonts w:eastAsia="Calibri"/>
          <w:szCs w:val="28"/>
        </w:rPr>
      </w:pPr>
      <w:r w:rsidRPr="006B6A3E">
        <w:rPr>
          <w:rFonts w:eastAsia="Calibri"/>
          <w:szCs w:val="28"/>
        </w:rPr>
        <w:t>017 повний достаток</w:t>
      </w:r>
    </w:p>
    <w:p w:rsidR="006B6A3E" w:rsidRPr="006B6A3E" w:rsidRDefault="006B6A3E" w:rsidP="006B6A3E">
      <w:pPr>
        <w:ind w:firstLine="720"/>
        <w:rPr>
          <w:rFonts w:eastAsia="Calibri"/>
          <w:szCs w:val="28"/>
        </w:rPr>
      </w:pPr>
      <w:r w:rsidRPr="006B6A3E">
        <w:rPr>
          <w:rFonts w:eastAsia="Calibri"/>
          <w:szCs w:val="28"/>
        </w:rPr>
        <w:t>018 достатній рівень для повного забезпечення</w:t>
      </w:r>
    </w:p>
    <w:p w:rsidR="006B6A3E" w:rsidRPr="006B6A3E" w:rsidRDefault="006B6A3E" w:rsidP="006B6A3E">
      <w:pPr>
        <w:ind w:firstLine="720"/>
        <w:rPr>
          <w:rFonts w:eastAsia="Calibri"/>
          <w:szCs w:val="28"/>
        </w:rPr>
      </w:pPr>
      <w:r w:rsidRPr="006B6A3E">
        <w:rPr>
          <w:rFonts w:eastAsia="Calibri"/>
          <w:szCs w:val="28"/>
        </w:rPr>
        <w:t>019 достатній рівень доходу для забезпечення сім’ї необхідним</w:t>
      </w:r>
    </w:p>
    <w:p w:rsidR="006B6A3E" w:rsidRPr="006B6A3E" w:rsidRDefault="006B6A3E" w:rsidP="006B6A3E">
      <w:pPr>
        <w:ind w:firstLine="720"/>
        <w:rPr>
          <w:rFonts w:eastAsia="Calibri"/>
          <w:szCs w:val="28"/>
        </w:rPr>
      </w:pPr>
      <w:r w:rsidRPr="006B6A3E">
        <w:rPr>
          <w:rFonts w:eastAsia="Calibri"/>
          <w:szCs w:val="28"/>
        </w:rPr>
        <w:t>020 незадовільний матеріальний стан (скрутне становище)</w:t>
      </w:r>
    </w:p>
    <w:p w:rsidR="006B6A3E" w:rsidRPr="006B6A3E" w:rsidRDefault="006B6A3E" w:rsidP="006B6A3E">
      <w:pPr>
        <w:ind w:firstLine="720"/>
        <w:rPr>
          <w:rFonts w:eastAsia="Calibri"/>
          <w:szCs w:val="28"/>
        </w:rPr>
      </w:pPr>
      <w:r w:rsidRPr="006B6A3E">
        <w:rPr>
          <w:rFonts w:eastAsia="Calibri"/>
          <w:szCs w:val="28"/>
        </w:rPr>
        <w:t>021 незадовільний матеріальний стан (взагалі не вистачає на необхідне)</w:t>
      </w:r>
    </w:p>
    <w:p w:rsidR="006B6A3E" w:rsidRPr="006B6A3E" w:rsidRDefault="006B6A3E" w:rsidP="006B6A3E">
      <w:pPr>
        <w:rPr>
          <w:rFonts w:eastAsia="Calibri"/>
          <w:szCs w:val="28"/>
        </w:rPr>
      </w:pPr>
      <w:r w:rsidRPr="006B6A3E">
        <w:rPr>
          <w:rFonts w:eastAsia="Calibri"/>
          <w:szCs w:val="28"/>
        </w:rPr>
        <w:t xml:space="preserve">      7. Кількість дітей у Вашій родині:</w:t>
      </w:r>
    </w:p>
    <w:p w:rsidR="006B6A3E" w:rsidRPr="006B6A3E" w:rsidRDefault="006B6A3E" w:rsidP="006B6A3E">
      <w:pPr>
        <w:ind w:firstLine="720"/>
        <w:rPr>
          <w:rFonts w:eastAsia="Calibri"/>
          <w:szCs w:val="28"/>
        </w:rPr>
      </w:pPr>
      <w:r w:rsidRPr="006B6A3E">
        <w:rPr>
          <w:rFonts w:eastAsia="Calibri"/>
          <w:szCs w:val="28"/>
        </w:rPr>
        <w:t>022 1 дитина</w:t>
      </w:r>
    </w:p>
    <w:p w:rsidR="006B6A3E" w:rsidRPr="006B6A3E" w:rsidRDefault="006B6A3E" w:rsidP="006B6A3E">
      <w:pPr>
        <w:ind w:firstLine="720"/>
        <w:rPr>
          <w:rFonts w:eastAsia="Calibri"/>
          <w:szCs w:val="28"/>
        </w:rPr>
      </w:pPr>
      <w:r w:rsidRPr="006B6A3E">
        <w:rPr>
          <w:rFonts w:eastAsia="Calibri"/>
          <w:szCs w:val="28"/>
        </w:rPr>
        <w:t>023 2 дитини</w:t>
      </w:r>
    </w:p>
    <w:p w:rsidR="006B6A3E" w:rsidRPr="006B6A3E" w:rsidRDefault="006B6A3E" w:rsidP="006B6A3E">
      <w:pPr>
        <w:ind w:firstLine="720"/>
        <w:rPr>
          <w:rFonts w:eastAsia="Calibri"/>
          <w:szCs w:val="28"/>
        </w:rPr>
      </w:pPr>
      <w:r w:rsidRPr="006B6A3E">
        <w:rPr>
          <w:rFonts w:eastAsia="Calibri"/>
          <w:szCs w:val="28"/>
        </w:rPr>
        <w:t>024 3 дитини</w:t>
      </w:r>
    </w:p>
    <w:p w:rsidR="006B6A3E" w:rsidRPr="006B6A3E" w:rsidRDefault="006B6A3E" w:rsidP="006B6A3E">
      <w:pPr>
        <w:ind w:firstLine="720"/>
        <w:rPr>
          <w:rFonts w:eastAsia="Calibri"/>
          <w:szCs w:val="28"/>
        </w:rPr>
      </w:pPr>
      <w:r w:rsidRPr="006B6A3E">
        <w:rPr>
          <w:rFonts w:eastAsia="Calibri"/>
          <w:szCs w:val="28"/>
        </w:rPr>
        <w:t>025  &gt; 3 дітей</w:t>
      </w:r>
    </w:p>
    <w:p w:rsidR="006B6A3E" w:rsidRPr="006B6A3E" w:rsidRDefault="006B6A3E" w:rsidP="006B6A3E">
      <w:pPr>
        <w:rPr>
          <w:rFonts w:eastAsia="Calibri"/>
          <w:szCs w:val="28"/>
        </w:rPr>
      </w:pPr>
      <w:r w:rsidRPr="006B6A3E">
        <w:rPr>
          <w:rFonts w:eastAsia="Calibri"/>
          <w:szCs w:val="28"/>
        </w:rPr>
        <w:t xml:space="preserve">      8. Оцініть стан здоров’я Вашої дитини:</w:t>
      </w:r>
    </w:p>
    <w:p w:rsidR="006B6A3E" w:rsidRPr="006B6A3E" w:rsidRDefault="006B6A3E" w:rsidP="006B6A3E">
      <w:pPr>
        <w:ind w:firstLine="720"/>
        <w:rPr>
          <w:rFonts w:eastAsia="Calibri"/>
          <w:szCs w:val="28"/>
        </w:rPr>
      </w:pPr>
      <w:r w:rsidRPr="006B6A3E">
        <w:rPr>
          <w:rFonts w:eastAsia="Calibri"/>
          <w:szCs w:val="28"/>
        </w:rPr>
        <w:t>026 повністю здорова</w:t>
      </w:r>
    </w:p>
    <w:p w:rsidR="006B6A3E" w:rsidRPr="006B6A3E" w:rsidRDefault="006B6A3E" w:rsidP="006B6A3E">
      <w:pPr>
        <w:ind w:firstLine="720"/>
        <w:rPr>
          <w:rFonts w:eastAsia="Calibri"/>
          <w:szCs w:val="28"/>
        </w:rPr>
      </w:pPr>
      <w:r w:rsidRPr="006B6A3E">
        <w:rPr>
          <w:rFonts w:eastAsia="Calibri"/>
          <w:szCs w:val="28"/>
        </w:rPr>
        <w:t>027 практично здорова</w:t>
      </w:r>
    </w:p>
    <w:p w:rsidR="006B6A3E" w:rsidRPr="006B6A3E" w:rsidRDefault="006B6A3E" w:rsidP="006B6A3E">
      <w:pPr>
        <w:ind w:firstLine="720"/>
        <w:rPr>
          <w:rFonts w:eastAsia="Calibri"/>
          <w:szCs w:val="28"/>
        </w:rPr>
      </w:pPr>
      <w:r w:rsidRPr="006B6A3E">
        <w:rPr>
          <w:rFonts w:eastAsia="Calibri"/>
          <w:szCs w:val="28"/>
        </w:rPr>
        <w:t>028 наявні проблеми неонатального періоду</w:t>
      </w:r>
    </w:p>
    <w:p w:rsidR="006B6A3E" w:rsidRPr="006B6A3E" w:rsidRDefault="006B6A3E" w:rsidP="006B6A3E">
      <w:pPr>
        <w:ind w:firstLine="720"/>
        <w:rPr>
          <w:rFonts w:eastAsia="Calibri"/>
          <w:szCs w:val="28"/>
        </w:rPr>
      </w:pPr>
      <w:r w:rsidRPr="006B6A3E">
        <w:rPr>
          <w:rFonts w:eastAsia="Calibri"/>
          <w:szCs w:val="28"/>
        </w:rPr>
        <w:t>029 наявні проблеми з фізичним розвитком</w:t>
      </w:r>
    </w:p>
    <w:p w:rsidR="006B6A3E" w:rsidRPr="006B6A3E" w:rsidRDefault="006B6A3E" w:rsidP="006B6A3E">
      <w:pPr>
        <w:ind w:firstLine="720"/>
        <w:rPr>
          <w:rFonts w:eastAsia="Calibri"/>
          <w:szCs w:val="28"/>
        </w:rPr>
      </w:pPr>
      <w:r w:rsidRPr="006B6A3E">
        <w:rPr>
          <w:rFonts w:eastAsia="Calibri"/>
          <w:szCs w:val="28"/>
        </w:rPr>
        <w:t>030 наявність вроджених вад розвитку</w:t>
      </w:r>
    </w:p>
    <w:p w:rsidR="006B6A3E" w:rsidRPr="006B6A3E" w:rsidRDefault="006B6A3E" w:rsidP="006B6A3E">
      <w:pPr>
        <w:ind w:firstLine="720"/>
        <w:rPr>
          <w:rFonts w:eastAsia="Calibri"/>
          <w:szCs w:val="28"/>
        </w:rPr>
      </w:pPr>
      <w:r w:rsidRPr="006B6A3E">
        <w:rPr>
          <w:rFonts w:eastAsia="Calibri"/>
          <w:szCs w:val="28"/>
        </w:rPr>
        <w:t>031 періодично виникають гострі захворювання</w:t>
      </w:r>
    </w:p>
    <w:p w:rsidR="006B6A3E" w:rsidRPr="006B6A3E" w:rsidRDefault="006B6A3E" w:rsidP="006B6A3E">
      <w:pPr>
        <w:ind w:firstLine="720"/>
        <w:rPr>
          <w:rFonts w:eastAsia="Calibri"/>
          <w:szCs w:val="28"/>
        </w:rPr>
      </w:pPr>
      <w:r w:rsidRPr="006B6A3E">
        <w:rPr>
          <w:rFonts w:eastAsia="Calibri"/>
          <w:szCs w:val="28"/>
        </w:rPr>
        <w:t>032 наявні хронічні захворювання</w:t>
      </w:r>
    </w:p>
    <w:p w:rsidR="006B6A3E" w:rsidRPr="006B6A3E" w:rsidRDefault="006B6A3E" w:rsidP="006B6A3E">
      <w:pPr>
        <w:rPr>
          <w:rFonts w:eastAsia="Calibri"/>
          <w:szCs w:val="28"/>
        </w:rPr>
      </w:pPr>
      <w:r w:rsidRPr="006B6A3E">
        <w:rPr>
          <w:rFonts w:eastAsia="Calibri"/>
          <w:szCs w:val="28"/>
        </w:rPr>
        <w:t xml:space="preserve">      9. Вкажіть основні  причини  за  якими  Ви  найчастіше  звертаєтесь  до  ЗОЗ  </w:t>
      </w:r>
    </w:p>
    <w:p w:rsidR="006B6A3E" w:rsidRPr="006B6A3E" w:rsidRDefault="006B6A3E" w:rsidP="006B6A3E">
      <w:pPr>
        <w:rPr>
          <w:rFonts w:eastAsia="Calibri"/>
          <w:szCs w:val="28"/>
        </w:rPr>
      </w:pPr>
      <w:r w:rsidRPr="006B6A3E">
        <w:rPr>
          <w:rFonts w:eastAsia="Calibri"/>
          <w:szCs w:val="28"/>
        </w:rPr>
        <w:t xml:space="preserve">          з приводу здоров’я дитини (може бути декілька відповідей):</w:t>
      </w:r>
    </w:p>
    <w:p w:rsidR="006B6A3E" w:rsidRPr="006B6A3E" w:rsidRDefault="006B6A3E" w:rsidP="006B6A3E">
      <w:pPr>
        <w:ind w:firstLine="720"/>
        <w:rPr>
          <w:rFonts w:eastAsia="Calibri"/>
          <w:szCs w:val="28"/>
        </w:rPr>
      </w:pPr>
      <w:r w:rsidRPr="006B6A3E">
        <w:rPr>
          <w:rFonts w:eastAsia="Calibri"/>
          <w:szCs w:val="28"/>
        </w:rPr>
        <w:t xml:space="preserve">033 регулярне звернення до лікаря загальної практики-сімейного лікаря з    </w:t>
      </w:r>
    </w:p>
    <w:p w:rsidR="006B6A3E" w:rsidRPr="006B6A3E" w:rsidRDefault="006B6A3E" w:rsidP="006B6A3E">
      <w:pPr>
        <w:ind w:firstLine="720"/>
        <w:rPr>
          <w:rFonts w:eastAsia="Calibri"/>
          <w:szCs w:val="28"/>
        </w:rPr>
      </w:pPr>
      <w:r w:rsidRPr="006B6A3E">
        <w:rPr>
          <w:rFonts w:eastAsia="Calibri"/>
          <w:szCs w:val="28"/>
        </w:rPr>
        <w:t xml:space="preserve">      профілактичною метою</w:t>
      </w:r>
    </w:p>
    <w:p w:rsidR="006B6A3E" w:rsidRPr="006B6A3E" w:rsidRDefault="006B6A3E" w:rsidP="006B6A3E">
      <w:pPr>
        <w:ind w:firstLine="720"/>
        <w:rPr>
          <w:rFonts w:eastAsia="Calibri"/>
          <w:szCs w:val="28"/>
        </w:rPr>
      </w:pPr>
      <w:r w:rsidRPr="006B6A3E">
        <w:rPr>
          <w:rFonts w:eastAsia="Calibri"/>
          <w:szCs w:val="28"/>
        </w:rPr>
        <w:t>034 регулярне звернення до  лікаря-педіатра з профілактичною метою</w:t>
      </w:r>
    </w:p>
    <w:p w:rsidR="006B6A3E" w:rsidRPr="006B6A3E" w:rsidRDefault="006B6A3E" w:rsidP="006B6A3E">
      <w:pPr>
        <w:ind w:firstLine="720"/>
        <w:rPr>
          <w:rFonts w:eastAsia="Calibri"/>
          <w:szCs w:val="28"/>
        </w:rPr>
      </w:pPr>
      <w:r w:rsidRPr="006B6A3E">
        <w:rPr>
          <w:rFonts w:eastAsia="Calibri"/>
          <w:szCs w:val="28"/>
        </w:rPr>
        <w:t xml:space="preserve">035 звернення до лікаря загальної практики-сімейного лікаря з метою </w:t>
      </w:r>
    </w:p>
    <w:p w:rsidR="006B6A3E" w:rsidRPr="006B6A3E" w:rsidRDefault="006B6A3E" w:rsidP="006B6A3E">
      <w:pPr>
        <w:ind w:firstLine="720"/>
        <w:rPr>
          <w:rFonts w:eastAsia="Calibri"/>
          <w:szCs w:val="28"/>
        </w:rPr>
      </w:pPr>
      <w:r w:rsidRPr="006B6A3E">
        <w:rPr>
          <w:rFonts w:eastAsia="Calibri"/>
          <w:szCs w:val="28"/>
        </w:rPr>
        <w:t xml:space="preserve">       проведення вакцинації</w:t>
      </w:r>
    </w:p>
    <w:p w:rsidR="006B6A3E" w:rsidRPr="006B6A3E" w:rsidRDefault="006B6A3E" w:rsidP="006B6A3E">
      <w:pPr>
        <w:ind w:firstLine="720"/>
        <w:rPr>
          <w:rFonts w:eastAsia="Calibri"/>
          <w:szCs w:val="28"/>
        </w:rPr>
      </w:pPr>
      <w:r w:rsidRPr="006B6A3E">
        <w:rPr>
          <w:rFonts w:eastAsia="Calibri"/>
          <w:szCs w:val="28"/>
        </w:rPr>
        <w:t>036 звернення з приводу хвороби дитини</w:t>
      </w:r>
    </w:p>
    <w:p w:rsidR="006B6A3E" w:rsidRPr="006B6A3E" w:rsidRDefault="006B6A3E" w:rsidP="006B6A3E">
      <w:pPr>
        <w:ind w:firstLine="720"/>
        <w:rPr>
          <w:rFonts w:eastAsia="Calibri"/>
          <w:szCs w:val="28"/>
        </w:rPr>
      </w:pPr>
      <w:r w:rsidRPr="006B6A3E">
        <w:rPr>
          <w:rFonts w:eastAsia="Calibri"/>
          <w:szCs w:val="28"/>
        </w:rPr>
        <w:lastRenderedPageBreak/>
        <w:t>037 звернення до лікаря загальної практики-сімейного лікаря при  появі ознак нездоров’я дитини</w:t>
      </w:r>
    </w:p>
    <w:p w:rsidR="006B6A3E" w:rsidRPr="006B6A3E" w:rsidRDefault="006B6A3E" w:rsidP="006B6A3E">
      <w:pPr>
        <w:ind w:firstLine="720"/>
        <w:rPr>
          <w:rFonts w:eastAsia="Calibri"/>
          <w:szCs w:val="28"/>
        </w:rPr>
      </w:pPr>
      <w:r w:rsidRPr="006B6A3E">
        <w:rPr>
          <w:rFonts w:eastAsia="Calibri"/>
          <w:szCs w:val="28"/>
        </w:rPr>
        <w:t xml:space="preserve">038 </w:t>
      </w:r>
      <w:r w:rsidRPr="006B6A3E">
        <w:rPr>
          <w:rFonts w:eastAsia="Calibri"/>
          <w:szCs w:val="28"/>
          <w:lang w:val="ru-RU"/>
        </w:rPr>
        <w:t>звернення до  лікаря-педіатра при появі  симптомів захворювання дитини</w:t>
      </w:r>
    </w:p>
    <w:p w:rsidR="006B6A3E" w:rsidRPr="006B6A3E" w:rsidRDefault="006B6A3E" w:rsidP="006B6A3E">
      <w:pPr>
        <w:ind w:firstLine="720"/>
        <w:rPr>
          <w:rFonts w:eastAsia="Calibri"/>
          <w:szCs w:val="28"/>
        </w:rPr>
      </w:pPr>
      <w:r w:rsidRPr="006B6A3E">
        <w:rPr>
          <w:rFonts w:eastAsia="Calibri"/>
          <w:szCs w:val="28"/>
        </w:rPr>
        <w:t>039 звернення до  послуг служби екстреної медичної допомоги при гострому  погіршенні стану здоров’я дитини</w:t>
      </w:r>
    </w:p>
    <w:p w:rsidR="006B6A3E" w:rsidRPr="006B6A3E" w:rsidRDefault="006B6A3E" w:rsidP="006B6A3E">
      <w:pPr>
        <w:ind w:firstLine="720"/>
        <w:rPr>
          <w:rFonts w:eastAsia="Calibri"/>
          <w:szCs w:val="28"/>
        </w:rPr>
      </w:pPr>
      <w:r w:rsidRPr="006B6A3E">
        <w:rPr>
          <w:rFonts w:eastAsia="Calibri"/>
          <w:szCs w:val="28"/>
        </w:rPr>
        <w:t>040 відвідування  лікаря загальної практики-сімейного лікаря за викликом</w:t>
      </w:r>
    </w:p>
    <w:p w:rsidR="006B6A3E" w:rsidRPr="006B6A3E" w:rsidRDefault="006B6A3E" w:rsidP="006B6A3E">
      <w:pPr>
        <w:ind w:firstLine="720"/>
        <w:rPr>
          <w:rFonts w:eastAsia="Calibri"/>
          <w:szCs w:val="28"/>
        </w:rPr>
      </w:pPr>
      <w:r w:rsidRPr="006B6A3E">
        <w:rPr>
          <w:rFonts w:eastAsia="Calibri"/>
          <w:szCs w:val="28"/>
        </w:rPr>
        <w:t xml:space="preserve">041 Відвідування лікаря-педіатра за викликом  </w:t>
      </w:r>
    </w:p>
    <w:p w:rsidR="006B6A3E" w:rsidRPr="006B6A3E" w:rsidRDefault="006B6A3E" w:rsidP="006B6A3E">
      <w:pPr>
        <w:ind w:firstLine="720"/>
        <w:rPr>
          <w:rFonts w:eastAsia="Calibri"/>
          <w:szCs w:val="28"/>
        </w:rPr>
      </w:pPr>
      <w:r w:rsidRPr="006B6A3E">
        <w:rPr>
          <w:rFonts w:eastAsia="Calibri"/>
          <w:szCs w:val="28"/>
        </w:rPr>
        <w:t xml:space="preserve">042 не звертаюсь </w:t>
      </w:r>
    </w:p>
    <w:p w:rsidR="006B6A3E" w:rsidRPr="006B6A3E" w:rsidRDefault="006B6A3E" w:rsidP="006B6A3E">
      <w:pPr>
        <w:ind w:firstLine="720"/>
        <w:rPr>
          <w:rFonts w:eastAsia="Calibri"/>
          <w:szCs w:val="28"/>
        </w:rPr>
      </w:pPr>
      <w:r w:rsidRPr="006B6A3E">
        <w:rPr>
          <w:rFonts w:eastAsia="Calibri"/>
          <w:szCs w:val="28"/>
        </w:rPr>
        <w:t>043 стаціонарне лікування за направленням лікаря загальної практики-</w:t>
      </w:r>
    </w:p>
    <w:p w:rsidR="006B6A3E" w:rsidRPr="006B6A3E" w:rsidRDefault="006B6A3E" w:rsidP="006B6A3E">
      <w:pPr>
        <w:ind w:firstLine="720"/>
        <w:rPr>
          <w:rFonts w:eastAsia="Calibri"/>
          <w:szCs w:val="28"/>
        </w:rPr>
      </w:pPr>
      <w:r w:rsidRPr="006B6A3E">
        <w:rPr>
          <w:rFonts w:eastAsia="Calibri"/>
          <w:szCs w:val="28"/>
        </w:rPr>
        <w:t xml:space="preserve">      сімейного лікаря або лікаря-педіатра </w:t>
      </w:r>
    </w:p>
    <w:p w:rsidR="006B6A3E" w:rsidRPr="006B6A3E" w:rsidRDefault="006B6A3E" w:rsidP="006B6A3E">
      <w:pPr>
        <w:ind w:firstLine="720"/>
        <w:rPr>
          <w:rFonts w:eastAsia="Calibri"/>
          <w:szCs w:val="28"/>
        </w:rPr>
      </w:pPr>
      <w:r w:rsidRPr="006B6A3E">
        <w:rPr>
          <w:rFonts w:eastAsia="Calibri"/>
          <w:szCs w:val="28"/>
        </w:rPr>
        <w:t>044 за направленням служби екстреної медичної допомоги</w:t>
      </w:r>
    </w:p>
    <w:p w:rsidR="006B6A3E" w:rsidRPr="006B6A3E" w:rsidRDefault="006B6A3E" w:rsidP="006B6A3E">
      <w:pPr>
        <w:ind w:firstLine="720"/>
        <w:rPr>
          <w:rFonts w:eastAsia="Calibri"/>
          <w:szCs w:val="28"/>
        </w:rPr>
      </w:pPr>
      <w:r w:rsidRPr="006B6A3E">
        <w:rPr>
          <w:rFonts w:eastAsia="Calibri"/>
          <w:szCs w:val="28"/>
        </w:rPr>
        <w:t>045 не звертались</w:t>
      </w:r>
    </w:p>
    <w:p w:rsidR="006B6A3E" w:rsidRPr="006B6A3E" w:rsidRDefault="006B6A3E" w:rsidP="006B6A3E">
      <w:pPr>
        <w:rPr>
          <w:rFonts w:eastAsia="Calibri"/>
          <w:szCs w:val="28"/>
        </w:rPr>
      </w:pPr>
      <w:r w:rsidRPr="006B6A3E">
        <w:rPr>
          <w:rFonts w:eastAsia="Calibri"/>
          <w:szCs w:val="28"/>
        </w:rPr>
        <w:t xml:space="preserve">    10.  Оцінить власний рівень знань щодо факторів, які формують здоров’я, на  </w:t>
      </w:r>
    </w:p>
    <w:p w:rsidR="006B6A3E" w:rsidRPr="006B6A3E" w:rsidRDefault="006B6A3E" w:rsidP="006B6A3E">
      <w:pPr>
        <w:rPr>
          <w:rFonts w:eastAsia="Calibri"/>
          <w:szCs w:val="28"/>
        </w:rPr>
      </w:pPr>
      <w:r w:rsidRPr="006B6A3E">
        <w:rPr>
          <w:rFonts w:eastAsia="Calibri"/>
          <w:szCs w:val="28"/>
        </w:rPr>
        <w:t xml:space="preserve">           рівні сім’ї та виявленні загрозливих для життя дітей станів і тактиці дій </w:t>
      </w:r>
    </w:p>
    <w:p w:rsidR="006B6A3E" w:rsidRPr="006B6A3E" w:rsidRDefault="006B6A3E" w:rsidP="006B6A3E">
      <w:pPr>
        <w:rPr>
          <w:rFonts w:eastAsia="Calibri"/>
          <w:szCs w:val="28"/>
        </w:rPr>
      </w:pPr>
      <w:r w:rsidRPr="006B6A3E">
        <w:rPr>
          <w:rFonts w:eastAsia="Calibri"/>
          <w:szCs w:val="28"/>
        </w:rPr>
        <w:t xml:space="preserve">           при них (виберіть ті варіанти, за якими Ви маєте достатній рівень знань):</w:t>
      </w:r>
    </w:p>
    <w:p w:rsidR="006B6A3E" w:rsidRPr="006B6A3E" w:rsidRDefault="006B6A3E" w:rsidP="006B6A3E">
      <w:pPr>
        <w:ind w:firstLine="720"/>
        <w:rPr>
          <w:rFonts w:eastAsia="Calibri"/>
          <w:szCs w:val="28"/>
        </w:rPr>
      </w:pPr>
      <w:r w:rsidRPr="006B6A3E">
        <w:rPr>
          <w:rFonts w:eastAsia="Calibri"/>
          <w:szCs w:val="28"/>
        </w:rPr>
        <w:t>046 необхідний дитині режим дня</w:t>
      </w:r>
    </w:p>
    <w:p w:rsidR="006B6A3E" w:rsidRPr="006B6A3E" w:rsidRDefault="006B6A3E" w:rsidP="006B6A3E">
      <w:pPr>
        <w:ind w:firstLine="720"/>
        <w:rPr>
          <w:rFonts w:eastAsia="Calibri"/>
          <w:szCs w:val="28"/>
          <w:lang w:val="ru-RU"/>
        </w:rPr>
      </w:pPr>
      <w:r w:rsidRPr="006B6A3E">
        <w:rPr>
          <w:rFonts w:eastAsia="Calibri"/>
          <w:szCs w:val="28"/>
        </w:rPr>
        <w:t xml:space="preserve">047 </w:t>
      </w:r>
      <w:r w:rsidRPr="006B6A3E">
        <w:rPr>
          <w:rFonts w:eastAsia="Calibri"/>
          <w:szCs w:val="28"/>
          <w:lang w:val="ru-RU"/>
        </w:rPr>
        <w:t>режим харчування дитини</w:t>
      </w:r>
    </w:p>
    <w:p w:rsidR="006B6A3E" w:rsidRPr="006B6A3E" w:rsidRDefault="006B6A3E" w:rsidP="006B6A3E">
      <w:pPr>
        <w:ind w:firstLine="720"/>
        <w:rPr>
          <w:rFonts w:eastAsia="Calibri"/>
          <w:szCs w:val="28"/>
        </w:rPr>
      </w:pPr>
      <w:r w:rsidRPr="006B6A3E">
        <w:rPr>
          <w:rFonts w:eastAsia="Calibri"/>
          <w:szCs w:val="28"/>
        </w:rPr>
        <w:t>048 фізичний розвиток дитини</w:t>
      </w:r>
    </w:p>
    <w:p w:rsidR="006B6A3E" w:rsidRPr="006B6A3E" w:rsidRDefault="006B6A3E" w:rsidP="006B6A3E">
      <w:pPr>
        <w:ind w:firstLine="720"/>
        <w:rPr>
          <w:rFonts w:eastAsia="Calibri"/>
          <w:szCs w:val="28"/>
        </w:rPr>
      </w:pPr>
      <w:r w:rsidRPr="006B6A3E">
        <w:rPr>
          <w:rFonts w:eastAsia="Calibri"/>
          <w:szCs w:val="28"/>
        </w:rPr>
        <w:t>049 тактика дій при високій температурі тіла</w:t>
      </w:r>
    </w:p>
    <w:p w:rsidR="006B6A3E" w:rsidRPr="006B6A3E" w:rsidRDefault="006B6A3E" w:rsidP="006B6A3E">
      <w:pPr>
        <w:ind w:firstLine="720"/>
        <w:rPr>
          <w:rFonts w:eastAsia="Calibri"/>
          <w:szCs w:val="28"/>
        </w:rPr>
      </w:pPr>
      <w:r w:rsidRPr="006B6A3E">
        <w:rPr>
          <w:rFonts w:eastAsia="Calibri"/>
          <w:szCs w:val="28"/>
        </w:rPr>
        <w:t>050 тактика дій при враженні електричним струмом</w:t>
      </w:r>
    </w:p>
    <w:p w:rsidR="006B6A3E" w:rsidRPr="006B6A3E" w:rsidRDefault="006B6A3E" w:rsidP="006B6A3E">
      <w:pPr>
        <w:ind w:firstLine="720"/>
        <w:rPr>
          <w:rFonts w:eastAsia="Calibri"/>
          <w:szCs w:val="28"/>
        </w:rPr>
      </w:pPr>
      <w:r w:rsidRPr="006B6A3E">
        <w:rPr>
          <w:rFonts w:eastAsia="Calibri"/>
          <w:szCs w:val="28"/>
        </w:rPr>
        <w:t>051 тактика дій при гострому болі в животі</w:t>
      </w:r>
    </w:p>
    <w:p w:rsidR="006B6A3E" w:rsidRPr="006B6A3E" w:rsidRDefault="006B6A3E" w:rsidP="006B6A3E">
      <w:pPr>
        <w:ind w:firstLine="720"/>
        <w:rPr>
          <w:rFonts w:eastAsia="Calibri"/>
          <w:szCs w:val="28"/>
        </w:rPr>
      </w:pPr>
      <w:r w:rsidRPr="006B6A3E">
        <w:rPr>
          <w:rFonts w:eastAsia="Calibri"/>
          <w:szCs w:val="28"/>
        </w:rPr>
        <w:t>052 тактика дій при вогнепальному пораненню</w:t>
      </w:r>
    </w:p>
    <w:p w:rsidR="006B6A3E" w:rsidRPr="006B6A3E" w:rsidRDefault="006B6A3E" w:rsidP="006B6A3E">
      <w:pPr>
        <w:ind w:firstLine="720"/>
        <w:rPr>
          <w:rFonts w:eastAsia="Calibri"/>
          <w:szCs w:val="28"/>
        </w:rPr>
      </w:pPr>
      <w:r w:rsidRPr="006B6A3E">
        <w:rPr>
          <w:rFonts w:eastAsia="Calibri"/>
          <w:szCs w:val="28"/>
        </w:rPr>
        <w:t>053 тактика дій при гострій асфіксії</w:t>
      </w:r>
    </w:p>
    <w:p w:rsidR="006B6A3E" w:rsidRPr="006B6A3E" w:rsidRDefault="006B6A3E" w:rsidP="006B6A3E">
      <w:pPr>
        <w:ind w:firstLine="720"/>
        <w:rPr>
          <w:rFonts w:eastAsia="Calibri"/>
          <w:szCs w:val="28"/>
        </w:rPr>
      </w:pPr>
      <w:r w:rsidRPr="006B6A3E">
        <w:rPr>
          <w:rFonts w:eastAsia="Calibri"/>
          <w:szCs w:val="28"/>
        </w:rPr>
        <w:t>054 тактика дій при судомах</w:t>
      </w:r>
    </w:p>
    <w:p w:rsidR="006B6A3E" w:rsidRPr="006B6A3E" w:rsidRDefault="006B6A3E" w:rsidP="006B6A3E">
      <w:pPr>
        <w:ind w:firstLine="720"/>
        <w:rPr>
          <w:rFonts w:eastAsia="Calibri"/>
          <w:szCs w:val="28"/>
        </w:rPr>
      </w:pPr>
      <w:r w:rsidRPr="006B6A3E">
        <w:rPr>
          <w:rFonts w:eastAsia="Calibri"/>
          <w:szCs w:val="28"/>
        </w:rPr>
        <w:t>055 тактика дій при падінні з висоти</w:t>
      </w:r>
    </w:p>
    <w:p w:rsidR="006B6A3E" w:rsidRPr="006B6A3E" w:rsidRDefault="006B6A3E" w:rsidP="006B6A3E">
      <w:pPr>
        <w:ind w:firstLine="720"/>
        <w:rPr>
          <w:rFonts w:eastAsia="Calibri"/>
          <w:szCs w:val="28"/>
        </w:rPr>
      </w:pPr>
      <w:r w:rsidRPr="006B6A3E">
        <w:rPr>
          <w:rFonts w:eastAsia="Calibri"/>
          <w:szCs w:val="28"/>
        </w:rPr>
        <w:t>056 тактика дій при травмі грудної  клітини</w:t>
      </w:r>
    </w:p>
    <w:p w:rsidR="006B6A3E" w:rsidRPr="006B6A3E" w:rsidRDefault="006B6A3E" w:rsidP="006B6A3E">
      <w:pPr>
        <w:ind w:firstLine="720"/>
        <w:rPr>
          <w:rFonts w:eastAsia="Calibri"/>
          <w:szCs w:val="28"/>
        </w:rPr>
      </w:pPr>
      <w:r w:rsidRPr="006B6A3E">
        <w:rPr>
          <w:rFonts w:eastAsia="Calibri"/>
          <w:szCs w:val="28"/>
        </w:rPr>
        <w:t>057 тактика дій при травмі живота</w:t>
      </w:r>
    </w:p>
    <w:p w:rsidR="006B6A3E" w:rsidRPr="006B6A3E" w:rsidRDefault="006B6A3E" w:rsidP="006B6A3E">
      <w:pPr>
        <w:ind w:firstLine="720"/>
        <w:rPr>
          <w:rFonts w:eastAsia="Calibri"/>
          <w:szCs w:val="28"/>
        </w:rPr>
      </w:pPr>
      <w:r w:rsidRPr="006B6A3E">
        <w:rPr>
          <w:rFonts w:eastAsia="Calibri"/>
          <w:szCs w:val="28"/>
        </w:rPr>
        <w:t xml:space="preserve">058 тактика дій при черепно-мозковій травмі  </w:t>
      </w:r>
    </w:p>
    <w:p w:rsidR="006B6A3E" w:rsidRPr="006B6A3E" w:rsidRDefault="006B6A3E" w:rsidP="006B6A3E">
      <w:pPr>
        <w:ind w:firstLine="720"/>
        <w:rPr>
          <w:rFonts w:eastAsia="Calibri"/>
          <w:szCs w:val="28"/>
        </w:rPr>
      </w:pPr>
      <w:r w:rsidRPr="006B6A3E">
        <w:rPr>
          <w:rFonts w:eastAsia="Calibri"/>
          <w:szCs w:val="28"/>
        </w:rPr>
        <w:t>059 тактика дій при опіках</w:t>
      </w:r>
    </w:p>
    <w:p w:rsidR="006B6A3E" w:rsidRPr="006B6A3E" w:rsidRDefault="006B6A3E" w:rsidP="006B6A3E">
      <w:pPr>
        <w:ind w:firstLine="720"/>
        <w:rPr>
          <w:rFonts w:eastAsia="Calibri"/>
          <w:szCs w:val="28"/>
        </w:rPr>
      </w:pPr>
      <w:r w:rsidRPr="006B6A3E">
        <w:rPr>
          <w:rFonts w:eastAsia="Calibri"/>
          <w:szCs w:val="28"/>
        </w:rPr>
        <w:t>060 тактика дій при блювоті</w:t>
      </w:r>
    </w:p>
    <w:p w:rsidR="006B6A3E" w:rsidRPr="006B6A3E" w:rsidRDefault="006B6A3E" w:rsidP="006B6A3E">
      <w:pPr>
        <w:rPr>
          <w:rFonts w:eastAsia="Calibri"/>
          <w:szCs w:val="28"/>
        </w:rPr>
      </w:pPr>
      <w:r w:rsidRPr="006B6A3E">
        <w:rPr>
          <w:rFonts w:eastAsia="Calibri"/>
          <w:szCs w:val="28"/>
        </w:rPr>
        <w:lastRenderedPageBreak/>
        <w:t xml:space="preserve">    11. Вкажіть основні джерела отримання Вами інформації (консультацій) з питань  збереження здоров’я дітей та попередження виникнення загрозливих станів для   їх здоров’я (вкажіть декілька основних):</w:t>
      </w:r>
    </w:p>
    <w:p w:rsidR="006B6A3E" w:rsidRPr="006B6A3E" w:rsidRDefault="006B6A3E" w:rsidP="006B6A3E">
      <w:pPr>
        <w:tabs>
          <w:tab w:val="left" w:pos="766"/>
        </w:tabs>
        <w:jc w:val="left"/>
        <w:rPr>
          <w:rFonts w:eastAsia="Calibri"/>
          <w:szCs w:val="28"/>
        </w:rPr>
      </w:pPr>
      <w:r w:rsidRPr="006B6A3E">
        <w:rPr>
          <w:rFonts w:eastAsia="Calibri"/>
          <w:b/>
          <w:szCs w:val="28"/>
        </w:rPr>
        <w:tab/>
      </w:r>
      <w:r w:rsidRPr="006B6A3E">
        <w:rPr>
          <w:rFonts w:eastAsia="Calibri"/>
          <w:szCs w:val="28"/>
        </w:rPr>
        <w:t>061</w:t>
      </w:r>
      <w:r w:rsidRPr="006B6A3E">
        <w:rPr>
          <w:rFonts w:eastAsia="Calibri"/>
          <w:b/>
          <w:szCs w:val="28"/>
        </w:rPr>
        <w:t xml:space="preserve"> </w:t>
      </w:r>
      <w:r w:rsidRPr="006B6A3E">
        <w:rPr>
          <w:rFonts w:eastAsia="Calibri"/>
          <w:szCs w:val="28"/>
        </w:rPr>
        <w:t>школа відповідального батьківства</w:t>
      </w:r>
    </w:p>
    <w:p w:rsidR="006B6A3E" w:rsidRPr="006B6A3E" w:rsidRDefault="006B6A3E" w:rsidP="006B6A3E">
      <w:pPr>
        <w:tabs>
          <w:tab w:val="left" w:pos="766"/>
        </w:tabs>
        <w:jc w:val="left"/>
        <w:rPr>
          <w:rFonts w:eastAsia="Calibri"/>
          <w:szCs w:val="28"/>
        </w:rPr>
      </w:pPr>
      <w:r w:rsidRPr="006B6A3E">
        <w:rPr>
          <w:rFonts w:eastAsia="Calibri"/>
          <w:szCs w:val="28"/>
        </w:rPr>
        <w:t xml:space="preserve">           062 консультативна інформація від ЛЗП-СЛ</w:t>
      </w:r>
    </w:p>
    <w:p w:rsidR="006B6A3E" w:rsidRPr="006B6A3E" w:rsidRDefault="006B6A3E" w:rsidP="006B6A3E">
      <w:pPr>
        <w:tabs>
          <w:tab w:val="left" w:pos="766"/>
        </w:tabs>
        <w:jc w:val="left"/>
        <w:rPr>
          <w:rFonts w:eastAsia="Calibri"/>
          <w:szCs w:val="28"/>
        </w:rPr>
      </w:pPr>
      <w:r w:rsidRPr="006B6A3E">
        <w:rPr>
          <w:rFonts w:eastAsia="Calibri"/>
          <w:szCs w:val="28"/>
        </w:rPr>
        <w:t xml:space="preserve">           063 консультативна інформація від сімейної медсестри</w:t>
      </w:r>
    </w:p>
    <w:p w:rsidR="006B6A3E" w:rsidRPr="006B6A3E" w:rsidRDefault="006B6A3E" w:rsidP="006B6A3E">
      <w:pPr>
        <w:tabs>
          <w:tab w:val="left" w:pos="766"/>
        </w:tabs>
        <w:jc w:val="left"/>
        <w:rPr>
          <w:rFonts w:eastAsia="Calibri"/>
          <w:szCs w:val="28"/>
        </w:rPr>
      </w:pPr>
      <w:r w:rsidRPr="006B6A3E">
        <w:rPr>
          <w:rFonts w:eastAsia="Calibri"/>
          <w:szCs w:val="28"/>
        </w:rPr>
        <w:t xml:space="preserve">           064 консультативна інформація від  лікаря-педіатра</w:t>
      </w:r>
    </w:p>
    <w:p w:rsidR="006B6A3E" w:rsidRPr="006B6A3E" w:rsidRDefault="006B6A3E" w:rsidP="006B6A3E">
      <w:pPr>
        <w:tabs>
          <w:tab w:val="left" w:pos="766"/>
        </w:tabs>
        <w:jc w:val="left"/>
        <w:rPr>
          <w:rFonts w:eastAsia="Calibri"/>
          <w:szCs w:val="28"/>
        </w:rPr>
      </w:pPr>
      <w:r w:rsidRPr="006B6A3E">
        <w:rPr>
          <w:rFonts w:eastAsia="Calibri"/>
          <w:szCs w:val="28"/>
        </w:rPr>
        <w:t xml:space="preserve">           065 інформація від  колег</w:t>
      </w:r>
    </w:p>
    <w:p w:rsidR="006B6A3E" w:rsidRPr="006B6A3E" w:rsidRDefault="006B6A3E" w:rsidP="006B6A3E">
      <w:pPr>
        <w:tabs>
          <w:tab w:val="left" w:pos="766"/>
        </w:tabs>
        <w:jc w:val="left"/>
        <w:rPr>
          <w:rFonts w:eastAsia="Calibri"/>
          <w:szCs w:val="28"/>
        </w:rPr>
      </w:pPr>
      <w:r w:rsidRPr="006B6A3E">
        <w:rPr>
          <w:rFonts w:eastAsia="Calibri"/>
          <w:szCs w:val="28"/>
        </w:rPr>
        <w:t xml:space="preserve">           066 інформація від   батьків</w:t>
      </w:r>
    </w:p>
    <w:p w:rsidR="006B6A3E" w:rsidRPr="006B6A3E" w:rsidRDefault="006B6A3E" w:rsidP="006B6A3E">
      <w:pPr>
        <w:tabs>
          <w:tab w:val="left" w:pos="766"/>
        </w:tabs>
        <w:jc w:val="left"/>
        <w:rPr>
          <w:rFonts w:eastAsia="Calibri"/>
          <w:szCs w:val="28"/>
        </w:rPr>
      </w:pPr>
      <w:r w:rsidRPr="006B6A3E">
        <w:rPr>
          <w:rFonts w:eastAsia="Calibri"/>
          <w:szCs w:val="28"/>
        </w:rPr>
        <w:t xml:space="preserve">           067 інформація від  друзів</w:t>
      </w:r>
    </w:p>
    <w:p w:rsidR="006B6A3E" w:rsidRPr="006B6A3E" w:rsidRDefault="006B6A3E" w:rsidP="006B6A3E">
      <w:pPr>
        <w:tabs>
          <w:tab w:val="left" w:pos="766"/>
        </w:tabs>
        <w:jc w:val="left"/>
        <w:rPr>
          <w:rFonts w:eastAsia="Calibri"/>
          <w:szCs w:val="28"/>
        </w:rPr>
      </w:pPr>
      <w:r w:rsidRPr="006B6A3E">
        <w:rPr>
          <w:rFonts w:eastAsia="Calibri"/>
          <w:szCs w:val="28"/>
        </w:rPr>
        <w:t xml:space="preserve">           068 з телебачення</w:t>
      </w:r>
    </w:p>
    <w:p w:rsidR="006B6A3E" w:rsidRPr="006B6A3E" w:rsidRDefault="006B6A3E" w:rsidP="006B6A3E">
      <w:pPr>
        <w:tabs>
          <w:tab w:val="left" w:pos="766"/>
        </w:tabs>
        <w:jc w:val="left"/>
        <w:rPr>
          <w:rFonts w:eastAsia="Calibri"/>
          <w:szCs w:val="28"/>
        </w:rPr>
      </w:pPr>
      <w:r w:rsidRPr="006B6A3E">
        <w:rPr>
          <w:rFonts w:eastAsia="Calibri"/>
          <w:szCs w:val="28"/>
        </w:rPr>
        <w:t xml:space="preserve">           069 Інтернет</w:t>
      </w:r>
    </w:p>
    <w:p w:rsidR="006B6A3E" w:rsidRPr="006B6A3E" w:rsidRDefault="006B6A3E" w:rsidP="006B6A3E">
      <w:pPr>
        <w:tabs>
          <w:tab w:val="left" w:pos="766"/>
        </w:tabs>
        <w:jc w:val="left"/>
        <w:rPr>
          <w:rFonts w:eastAsia="Calibri"/>
          <w:szCs w:val="28"/>
        </w:rPr>
      </w:pPr>
      <w:r w:rsidRPr="006B6A3E">
        <w:rPr>
          <w:rFonts w:eastAsia="Calibri"/>
          <w:szCs w:val="28"/>
        </w:rPr>
        <w:t xml:space="preserve">           070 методична література</w:t>
      </w:r>
    </w:p>
    <w:p w:rsidR="006B6A3E" w:rsidRPr="006B6A3E" w:rsidRDefault="006B6A3E" w:rsidP="006B6A3E">
      <w:pPr>
        <w:rPr>
          <w:rFonts w:eastAsia="Calibri"/>
          <w:szCs w:val="28"/>
        </w:rPr>
      </w:pPr>
      <w:r w:rsidRPr="006B6A3E">
        <w:rPr>
          <w:rFonts w:eastAsia="Calibri"/>
          <w:szCs w:val="28"/>
        </w:rPr>
        <w:t xml:space="preserve">     12. Чи маєте Ви бажання регулярно отримувати інформацію щодо збереження здоров’я дітей, попередження загрозливих станів та тактиці дій при них?: </w:t>
      </w:r>
    </w:p>
    <w:p w:rsidR="006B6A3E" w:rsidRPr="006B6A3E" w:rsidRDefault="006B6A3E" w:rsidP="006B6A3E">
      <w:pPr>
        <w:rPr>
          <w:rFonts w:eastAsia="Calibri"/>
          <w:szCs w:val="28"/>
        </w:rPr>
      </w:pPr>
      <w:r w:rsidRPr="006B6A3E">
        <w:rPr>
          <w:rFonts w:eastAsia="Calibri"/>
          <w:szCs w:val="28"/>
        </w:rPr>
        <w:t xml:space="preserve"> </w:t>
      </w:r>
      <w:r w:rsidRPr="006B6A3E">
        <w:rPr>
          <w:rFonts w:eastAsia="Calibri"/>
          <w:szCs w:val="28"/>
        </w:rPr>
        <w:tab/>
        <w:t xml:space="preserve"> 071 бажаю отримувати інформацію регулярно</w:t>
      </w:r>
    </w:p>
    <w:p w:rsidR="006B6A3E" w:rsidRPr="006B6A3E" w:rsidRDefault="006B6A3E" w:rsidP="006B6A3E">
      <w:pPr>
        <w:rPr>
          <w:rFonts w:eastAsia="Calibri"/>
          <w:szCs w:val="28"/>
        </w:rPr>
      </w:pPr>
      <w:r w:rsidRPr="006B6A3E">
        <w:rPr>
          <w:rFonts w:eastAsia="Calibri"/>
          <w:szCs w:val="28"/>
        </w:rPr>
        <w:t xml:space="preserve">           072 не бажаю отримувати інформацію</w:t>
      </w:r>
    </w:p>
    <w:p w:rsidR="006B6A3E" w:rsidRPr="006B6A3E" w:rsidRDefault="006B6A3E" w:rsidP="006B6A3E">
      <w:pPr>
        <w:rPr>
          <w:rFonts w:eastAsia="Calibri"/>
          <w:szCs w:val="28"/>
        </w:rPr>
      </w:pPr>
      <w:r w:rsidRPr="006B6A3E">
        <w:rPr>
          <w:rFonts w:eastAsia="Calibri"/>
          <w:szCs w:val="28"/>
        </w:rPr>
        <w:t xml:space="preserve">           073 не можу визначитись</w:t>
      </w:r>
    </w:p>
    <w:p w:rsidR="006B6A3E" w:rsidRPr="006B6A3E" w:rsidRDefault="006B6A3E" w:rsidP="006B6A3E">
      <w:pPr>
        <w:rPr>
          <w:rFonts w:eastAsia="Calibri"/>
          <w:szCs w:val="28"/>
        </w:rPr>
      </w:pPr>
      <w:r w:rsidRPr="006B6A3E">
        <w:rPr>
          <w:rFonts w:eastAsia="Calibri"/>
          <w:szCs w:val="28"/>
        </w:rPr>
        <w:t xml:space="preserve">      13. Перерахуйте які способи були б найбільш зручнішими для отримання Вами  інформації щодо збереження здоров’я  дітей,  попередження загрозливих  станів та тактиці дій при них? (вкажіть найбільш пріоритетні):</w:t>
      </w:r>
    </w:p>
    <w:p w:rsidR="006B6A3E" w:rsidRPr="006B6A3E" w:rsidRDefault="006B6A3E" w:rsidP="006B6A3E">
      <w:pPr>
        <w:rPr>
          <w:rFonts w:eastAsia="Calibri"/>
          <w:szCs w:val="28"/>
        </w:rPr>
      </w:pPr>
      <w:r w:rsidRPr="006B6A3E">
        <w:rPr>
          <w:rFonts w:eastAsia="Calibri"/>
          <w:szCs w:val="28"/>
        </w:rPr>
        <w:t xml:space="preserve">           074 школа відповідального батьківства</w:t>
      </w:r>
    </w:p>
    <w:p w:rsidR="006B6A3E" w:rsidRPr="006B6A3E" w:rsidRDefault="006B6A3E" w:rsidP="006B6A3E">
      <w:pPr>
        <w:rPr>
          <w:rFonts w:eastAsia="Calibri"/>
          <w:szCs w:val="28"/>
        </w:rPr>
      </w:pPr>
      <w:r w:rsidRPr="006B6A3E">
        <w:rPr>
          <w:rFonts w:eastAsia="Calibri"/>
          <w:szCs w:val="28"/>
        </w:rPr>
        <w:t xml:space="preserve">           075 індивідуальні консультації  ЛЗП-СЛ</w:t>
      </w:r>
    </w:p>
    <w:p w:rsidR="006B6A3E" w:rsidRPr="006B6A3E" w:rsidRDefault="006B6A3E" w:rsidP="006B6A3E">
      <w:pPr>
        <w:rPr>
          <w:rFonts w:eastAsia="Calibri"/>
          <w:szCs w:val="28"/>
        </w:rPr>
      </w:pPr>
      <w:r w:rsidRPr="006B6A3E">
        <w:rPr>
          <w:rFonts w:eastAsia="Calibri"/>
          <w:szCs w:val="28"/>
        </w:rPr>
        <w:t xml:space="preserve">           076 індивідуальні консультації   лікаря-педіатра</w:t>
      </w:r>
    </w:p>
    <w:p w:rsidR="006B6A3E" w:rsidRPr="006B6A3E" w:rsidRDefault="006B6A3E" w:rsidP="006B6A3E">
      <w:pPr>
        <w:rPr>
          <w:rFonts w:eastAsia="Calibri"/>
          <w:szCs w:val="28"/>
        </w:rPr>
      </w:pPr>
      <w:r w:rsidRPr="006B6A3E">
        <w:rPr>
          <w:rFonts w:eastAsia="Calibri"/>
          <w:szCs w:val="28"/>
        </w:rPr>
        <w:t xml:space="preserve">           077 спеціальна методична література для батьків</w:t>
      </w:r>
    </w:p>
    <w:p w:rsidR="006B6A3E" w:rsidRPr="006B6A3E" w:rsidRDefault="006B6A3E" w:rsidP="006B6A3E">
      <w:pPr>
        <w:rPr>
          <w:rFonts w:eastAsia="Calibri"/>
          <w:szCs w:val="28"/>
        </w:rPr>
      </w:pPr>
      <w:r w:rsidRPr="006B6A3E">
        <w:rPr>
          <w:rFonts w:eastAsia="Calibri"/>
          <w:szCs w:val="28"/>
        </w:rPr>
        <w:t xml:space="preserve">           078 сайт закладу охорони здоров’я</w:t>
      </w:r>
    </w:p>
    <w:p w:rsidR="006B6A3E" w:rsidRPr="006B6A3E" w:rsidRDefault="006B6A3E" w:rsidP="006B6A3E">
      <w:pPr>
        <w:rPr>
          <w:rFonts w:eastAsia="Calibri"/>
          <w:szCs w:val="28"/>
        </w:rPr>
      </w:pPr>
      <w:r w:rsidRPr="006B6A3E">
        <w:rPr>
          <w:rFonts w:eastAsia="Calibri"/>
          <w:szCs w:val="28"/>
        </w:rPr>
        <w:t xml:space="preserve">           079 тематичні  телевізійні передачі</w:t>
      </w:r>
    </w:p>
    <w:p w:rsidR="006B6A3E" w:rsidRPr="006B6A3E" w:rsidRDefault="006B6A3E" w:rsidP="006B6A3E">
      <w:pPr>
        <w:ind w:firstLine="709"/>
        <w:rPr>
          <w:rFonts w:eastAsia="Calibri"/>
          <w:color w:val="FF0000"/>
          <w:szCs w:val="28"/>
        </w:rPr>
      </w:pPr>
    </w:p>
    <w:p w:rsidR="006B6A3E" w:rsidRPr="006B6A3E" w:rsidRDefault="006B6A3E" w:rsidP="006B6A3E">
      <w:pPr>
        <w:spacing w:after="160" w:line="259" w:lineRule="auto"/>
        <w:rPr>
          <w:rFonts w:eastAsia="Calibri"/>
          <w:szCs w:val="28"/>
        </w:rPr>
      </w:pPr>
    </w:p>
    <w:p w:rsidR="00AF52BE" w:rsidRDefault="00AF52BE" w:rsidP="00AF52BE">
      <w:pPr>
        <w:spacing w:after="200" w:line="276" w:lineRule="auto"/>
        <w:rPr>
          <w:rFonts w:eastAsia="Calibri"/>
          <w:b/>
          <w:szCs w:val="28"/>
        </w:rPr>
      </w:pPr>
    </w:p>
    <w:p w:rsidR="006B6A3E" w:rsidRPr="00442EEC" w:rsidRDefault="00535BCC" w:rsidP="00442EEC">
      <w:pPr>
        <w:pageBreakBefore/>
        <w:spacing w:after="200" w:line="276" w:lineRule="auto"/>
        <w:jc w:val="right"/>
        <w:rPr>
          <w:rFonts w:eastAsia="Calibri"/>
          <w:szCs w:val="28"/>
        </w:rPr>
      </w:pPr>
      <w:r w:rsidRPr="00442EEC">
        <w:rPr>
          <w:rFonts w:eastAsia="Calibri"/>
          <w:szCs w:val="28"/>
        </w:rPr>
        <w:lastRenderedPageBreak/>
        <w:t>Додаток Д</w:t>
      </w:r>
      <w:r w:rsidR="006B6A3E" w:rsidRPr="00442EEC">
        <w:rPr>
          <w:rFonts w:eastAsia="Calibri"/>
          <w:szCs w:val="28"/>
        </w:rPr>
        <w:t>-2</w:t>
      </w:r>
    </w:p>
    <w:p w:rsidR="006B6A3E" w:rsidRPr="006B6A3E" w:rsidRDefault="006B6A3E" w:rsidP="006B6A3E">
      <w:pPr>
        <w:widowControl w:val="0"/>
        <w:shd w:val="clear" w:color="auto" w:fill="FFFFFF"/>
        <w:jc w:val="center"/>
        <w:rPr>
          <w:rFonts w:eastAsia="Calibri"/>
          <w:szCs w:val="28"/>
          <w:lang w:eastAsia="x-none"/>
        </w:rPr>
      </w:pPr>
      <w:r w:rsidRPr="006B6A3E">
        <w:rPr>
          <w:rFonts w:eastAsia="Calibri"/>
          <w:b/>
          <w:sz w:val="26"/>
          <w:szCs w:val="20"/>
          <w:lang w:eastAsia="ru-RU"/>
        </w:rPr>
        <w:t>Міністерство охорони здоров’я України</w:t>
      </w:r>
    </w:p>
    <w:p w:rsidR="006B6A3E" w:rsidRPr="006B6A3E" w:rsidRDefault="006B6A3E" w:rsidP="006B6A3E">
      <w:pPr>
        <w:widowControl w:val="0"/>
        <w:shd w:val="clear" w:color="auto" w:fill="FFFFFF"/>
        <w:jc w:val="center"/>
        <w:rPr>
          <w:rFonts w:eastAsia="Calibri"/>
          <w:b/>
          <w:szCs w:val="28"/>
          <w:lang w:eastAsia="x-none"/>
        </w:rPr>
      </w:pPr>
      <w:r w:rsidRPr="006B6A3E">
        <w:rPr>
          <w:rFonts w:eastAsia="Calibri"/>
          <w:b/>
          <w:bCs/>
          <w:caps/>
          <w:kern w:val="32"/>
          <w:sz w:val="26"/>
          <w:szCs w:val="32"/>
          <w:lang w:eastAsia="ru-RU"/>
        </w:rPr>
        <w:t>ДУ «Український інститут стратегічних досліджень»</w:t>
      </w:r>
    </w:p>
    <w:p w:rsidR="006B6A3E" w:rsidRPr="006B6A3E" w:rsidRDefault="006B6A3E" w:rsidP="006B6A3E">
      <w:pPr>
        <w:spacing w:after="200" w:line="276" w:lineRule="auto"/>
        <w:jc w:val="center"/>
        <w:rPr>
          <w:rFonts w:eastAsia="Calibri"/>
          <w:b/>
          <w:szCs w:val="28"/>
        </w:rPr>
      </w:pPr>
      <w:r w:rsidRPr="006B6A3E">
        <w:rPr>
          <w:rFonts w:eastAsia="Calibri"/>
          <w:b/>
          <w:szCs w:val="28"/>
        </w:rPr>
        <w:t>АНКЕТА ЛІКАРІВ ЗАГАЛЬНОЇ ПРАКТИКИ-СІМЕЙНИХ ЛІКАРІВ</w:t>
      </w:r>
    </w:p>
    <w:p w:rsidR="00FE196E" w:rsidRDefault="006B6A3E" w:rsidP="000A4B79">
      <w:pPr>
        <w:rPr>
          <w:rFonts w:eastAsia="Calibri"/>
          <w:szCs w:val="28"/>
        </w:rPr>
      </w:pPr>
      <w:r w:rsidRPr="006B6A3E">
        <w:rPr>
          <w:rFonts w:eastAsia="Calibri"/>
          <w:b/>
          <w:szCs w:val="28"/>
        </w:rPr>
        <w:t xml:space="preserve">   Шановний респонденте! </w:t>
      </w:r>
      <w:r w:rsidRPr="006B6A3E">
        <w:rPr>
          <w:rFonts w:eastAsia="Calibri"/>
          <w:szCs w:val="28"/>
        </w:rPr>
        <w:t xml:space="preserve">Запрошуємо Вас взяти участь у вивченні Вашої професійної готовності до попередження передчасної дитячої смертності за даними Вашої самооцінки. Анкета є анонімною, результати якої будуть узагальнені з метою визначення дієвих механізмів впливу та розробці заходів по збереженню здоров’я дітей та підвищення якості надання медичної допомоги. </w:t>
      </w:r>
    </w:p>
    <w:p w:rsidR="006B6A3E" w:rsidRPr="006B6A3E" w:rsidRDefault="006B6A3E" w:rsidP="006D1273">
      <w:pPr>
        <w:jc w:val="center"/>
        <w:rPr>
          <w:rFonts w:eastAsia="Times New Roman"/>
          <w:b/>
          <w:bCs/>
          <w:color w:val="000000"/>
          <w:szCs w:val="28"/>
          <w:lang w:eastAsia="ru-RU"/>
        </w:rPr>
      </w:pPr>
      <w:r w:rsidRPr="006B6A3E">
        <w:rPr>
          <w:rFonts w:eastAsia="Times New Roman"/>
          <w:b/>
          <w:bCs/>
          <w:color w:val="000000"/>
          <w:szCs w:val="28"/>
          <w:lang w:eastAsia="ru-RU"/>
        </w:rPr>
        <w:t>Заздалегідь дякуємо за участь!</w:t>
      </w:r>
    </w:p>
    <w:p w:rsidR="006B6A3E" w:rsidRPr="006B6A3E" w:rsidRDefault="006B6A3E" w:rsidP="0074719A">
      <w:pPr>
        <w:numPr>
          <w:ilvl w:val="0"/>
          <w:numId w:val="34"/>
        </w:numPr>
        <w:spacing w:after="160"/>
        <w:contextualSpacing/>
        <w:jc w:val="left"/>
        <w:rPr>
          <w:rFonts w:eastAsia="Calibri"/>
          <w:szCs w:val="28"/>
        </w:rPr>
      </w:pPr>
      <w:r w:rsidRPr="006B6A3E">
        <w:rPr>
          <w:rFonts w:eastAsia="Calibri"/>
          <w:szCs w:val="28"/>
        </w:rPr>
        <w:t>Вкажіть Ваше місце мешкання:</w:t>
      </w:r>
    </w:p>
    <w:p w:rsidR="006B6A3E" w:rsidRPr="006B6A3E" w:rsidRDefault="006B6A3E" w:rsidP="000A4B79">
      <w:pPr>
        <w:ind w:left="720"/>
        <w:contextualSpacing/>
        <w:rPr>
          <w:rFonts w:eastAsia="Calibri"/>
          <w:szCs w:val="28"/>
        </w:rPr>
      </w:pPr>
      <w:r w:rsidRPr="006B6A3E">
        <w:rPr>
          <w:rFonts w:eastAsia="Calibri"/>
          <w:szCs w:val="28"/>
        </w:rPr>
        <w:t>001 міська місцевість</w:t>
      </w:r>
    </w:p>
    <w:p w:rsidR="006B6A3E" w:rsidRPr="006B6A3E" w:rsidRDefault="006B6A3E" w:rsidP="000A4B79">
      <w:pPr>
        <w:ind w:left="720"/>
        <w:contextualSpacing/>
        <w:rPr>
          <w:rFonts w:eastAsia="Calibri"/>
          <w:szCs w:val="28"/>
        </w:rPr>
      </w:pPr>
      <w:r w:rsidRPr="006B6A3E">
        <w:rPr>
          <w:rFonts w:eastAsia="Calibri"/>
          <w:szCs w:val="28"/>
        </w:rPr>
        <w:t>002 сільська місцевість</w:t>
      </w:r>
    </w:p>
    <w:p w:rsidR="006B6A3E" w:rsidRPr="006B6A3E" w:rsidRDefault="006B6A3E" w:rsidP="0074719A">
      <w:pPr>
        <w:numPr>
          <w:ilvl w:val="0"/>
          <w:numId w:val="34"/>
        </w:numPr>
        <w:spacing w:after="160"/>
        <w:contextualSpacing/>
        <w:jc w:val="left"/>
        <w:rPr>
          <w:rFonts w:eastAsia="Calibri"/>
          <w:szCs w:val="28"/>
        </w:rPr>
      </w:pPr>
      <w:r w:rsidRPr="006B6A3E">
        <w:rPr>
          <w:rFonts w:eastAsia="Calibri"/>
          <w:szCs w:val="28"/>
        </w:rPr>
        <w:t>Ваш вік:</w:t>
      </w:r>
    </w:p>
    <w:p w:rsidR="006B6A3E" w:rsidRPr="006B6A3E" w:rsidRDefault="006B6A3E" w:rsidP="000A4B79">
      <w:pPr>
        <w:ind w:left="720"/>
        <w:contextualSpacing/>
        <w:rPr>
          <w:rFonts w:eastAsia="Calibri"/>
          <w:szCs w:val="28"/>
        </w:rPr>
      </w:pPr>
      <w:r w:rsidRPr="006B6A3E">
        <w:rPr>
          <w:rFonts w:eastAsia="Calibri"/>
          <w:szCs w:val="28"/>
        </w:rPr>
        <w:t>003 до 30 років</w:t>
      </w:r>
    </w:p>
    <w:p w:rsidR="006B6A3E" w:rsidRPr="006B6A3E" w:rsidRDefault="006B6A3E" w:rsidP="000A4B79">
      <w:pPr>
        <w:ind w:left="720"/>
        <w:contextualSpacing/>
        <w:rPr>
          <w:rFonts w:eastAsia="Calibri"/>
          <w:szCs w:val="28"/>
        </w:rPr>
      </w:pPr>
      <w:r w:rsidRPr="006B6A3E">
        <w:rPr>
          <w:rFonts w:eastAsia="Calibri"/>
          <w:szCs w:val="28"/>
        </w:rPr>
        <w:t>004 31-40 роки</w:t>
      </w:r>
    </w:p>
    <w:p w:rsidR="006B6A3E" w:rsidRPr="006B6A3E" w:rsidRDefault="006B6A3E" w:rsidP="000A4B79">
      <w:pPr>
        <w:ind w:left="720"/>
        <w:contextualSpacing/>
        <w:rPr>
          <w:rFonts w:eastAsia="Calibri"/>
          <w:szCs w:val="28"/>
        </w:rPr>
      </w:pPr>
      <w:r w:rsidRPr="006B6A3E">
        <w:rPr>
          <w:rFonts w:eastAsia="Calibri"/>
          <w:szCs w:val="28"/>
        </w:rPr>
        <w:t>005 41-50 роки</w:t>
      </w:r>
    </w:p>
    <w:p w:rsidR="006B6A3E" w:rsidRPr="006B6A3E" w:rsidRDefault="006B6A3E" w:rsidP="000A4B79">
      <w:pPr>
        <w:ind w:left="720"/>
        <w:contextualSpacing/>
        <w:rPr>
          <w:rFonts w:eastAsia="Calibri"/>
          <w:szCs w:val="28"/>
        </w:rPr>
      </w:pPr>
      <w:r w:rsidRPr="006B6A3E">
        <w:rPr>
          <w:rFonts w:eastAsia="Calibri"/>
          <w:szCs w:val="28"/>
        </w:rPr>
        <w:t>006 51-60 роки</w:t>
      </w:r>
    </w:p>
    <w:p w:rsidR="006B6A3E" w:rsidRPr="006B6A3E" w:rsidRDefault="006B6A3E" w:rsidP="000A4B79">
      <w:pPr>
        <w:ind w:left="720"/>
        <w:contextualSpacing/>
        <w:rPr>
          <w:rFonts w:eastAsia="Calibri"/>
          <w:szCs w:val="28"/>
        </w:rPr>
      </w:pPr>
      <w:r w:rsidRPr="006B6A3E">
        <w:rPr>
          <w:rFonts w:eastAsia="Calibri"/>
          <w:szCs w:val="28"/>
        </w:rPr>
        <w:t>007 61 роки і старше</w:t>
      </w:r>
    </w:p>
    <w:p w:rsidR="006B6A3E" w:rsidRPr="006B6A3E" w:rsidRDefault="006B6A3E" w:rsidP="0074719A">
      <w:pPr>
        <w:numPr>
          <w:ilvl w:val="0"/>
          <w:numId w:val="34"/>
        </w:numPr>
        <w:spacing w:after="160"/>
        <w:contextualSpacing/>
        <w:jc w:val="left"/>
        <w:rPr>
          <w:rFonts w:eastAsia="Calibri"/>
          <w:szCs w:val="28"/>
        </w:rPr>
      </w:pPr>
      <w:r w:rsidRPr="006B6A3E">
        <w:rPr>
          <w:rFonts w:eastAsia="Calibri"/>
          <w:szCs w:val="28"/>
        </w:rPr>
        <w:t>Вкажіть Вашу стать:</w:t>
      </w:r>
    </w:p>
    <w:p w:rsidR="006B6A3E" w:rsidRPr="006B6A3E" w:rsidRDefault="006B6A3E" w:rsidP="000A4B79">
      <w:pPr>
        <w:ind w:left="720"/>
        <w:contextualSpacing/>
        <w:rPr>
          <w:rFonts w:eastAsia="Calibri"/>
          <w:szCs w:val="28"/>
        </w:rPr>
      </w:pPr>
      <w:r w:rsidRPr="006B6A3E">
        <w:rPr>
          <w:rFonts w:eastAsia="Calibri"/>
          <w:szCs w:val="28"/>
        </w:rPr>
        <w:t>008 жіноча</w:t>
      </w:r>
    </w:p>
    <w:p w:rsidR="006B6A3E" w:rsidRPr="006B6A3E" w:rsidRDefault="006B6A3E" w:rsidP="000A4B79">
      <w:pPr>
        <w:ind w:left="720"/>
        <w:contextualSpacing/>
        <w:rPr>
          <w:rFonts w:eastAsia="Calibri"/>
          <w:szCs w:val="28"/>
        </w:rPr>
      </w:pPr>
      <w:r w:rsidRPr="006B6A3E">
        <w:rPr>
          <w:rFonts w:eastAsia="Calibri"/>
          <w:szCs w:val="28"/>
        </w:rPr>
        <w:t>009 чоловіча</w:t>
      </w:r>
    </w:p>
    <w:p w:rsidR="006B6A3E" w:rsidRPr="006B6A3E" w:rsidRDefault="006B6A3E" w:rsidP="00E14BA5">
      <w:pPr>
        <w:numPr>
          <w:ilvl w:val="0"/>
          <w:numId w:val="34"/>
        </w:numPr>
        <w:spacing w:after="160"/>
        <w:contextualSpacing/>
        <w:rPr>
          <w:rFonts w:eastAsia="Calibri"/>
          <w:szCs w:val="28"/>
        </w:rPr>
      </w:pPr>
      <w:r w:rsidRPr="006B6A3E">
        <w:rPr>
          <w:rFonts w:eastAsia="Calibri"/>
          <w:szCs w:val="28"/>
        </w:rPr>
        <w:t>Вкажіть, де Ви отримали підготовку за напрямом «сімейна медицина»:</w:t>
      </w:r>
    </w:p>
    <w:p w:rsidR="006B6A3E" w:rsidRPr="006B6A3E" w:rsidRDefault="006B6A3E" w:rsidP="000A4B79">
      <w:pPr>
        <w:ind w:left="720"/>
        <w:contextualSpacing/>
        <w:rPr>
          <w:rFonts w:eastAsia="Calibri"/>
          <w:szCs w:val="28"/>
        </w:rPr>
      </w:pPr>
      <w:r w:rsidRPr="006B6A3E">
        <w:rPr>
          <w:rFonts w:eastAsia="Calibri"/>
          <w:szCs w:val="28"/>
        </w:rPr>
        <w:t>010 курси спеціалізації</w:t>
      </w:r>
    </w:p>
    <w:p w:rsidR="006B6A3E" w:rsidRPr="006B6A3E" w:rsidRDefault="006B6A3E" w:rsidP="000A4B79">
      <w:pPr>
        <w:ind w:left="720"/>
        <w:contextualSpacing/>
        <w:rPr>
          <w:rFonts w:eastAsia="Calibri"/>
          <w:szCs w:val="28"/>
        </w:rPr>
      </w:pPr>
      <w:r w:rsidRPr="006B6A3E">
        <w:rPr>
          <w:rFonts w:eastAsia="Calibri"/>
          <w:szCs w:val="28"/>
        </w:rPr>
        <w:t>011 інтернатура</w:t>
      </w:r>
      <w:r w:rsidRPr="006B6A3E">
        <w:rPr>
          <w:rFonts w:ascii="Calibri" w:eastAsia="Calibri" w:hAnsi="Calibri"/>
          <w:sz w:val="22"/>
          <w:lang w:val="ru-RU"/>
        </w:rPr>
        <w:t xml:space="preserve"> </w:t>
      </w:r>
      <w:r w:rsidRPr="006B6A3E">
        <w:rPr>
          <w:rFonts w:eastAsia="Calibri"/>
          <w:szCs w:val="28"/>
        </w:rPr>
        <w:t>з загальної лікарської практики-сімейної медицини</w:t>
      </w:r>
    </w:p>
    <w:p w:rsidR="006B6A3E" w:rsidRPr="006B6A3E" w:rsidRDefault="006B6A3E" w:rsidP="00E14BA5">
      <w:pPr>
        <w:numPr>
          <w:ilvl w:val="0"/>
          <w:numId w:val="34"/>
        </w:numPr>
        <w:spacing w:after="160"/>
        <w:contextualSpacing/>
        <w:rPr>
          <w:rFonts w:eastAsia="Calibri"/>
          <w:szCs w:val="28"/>
        </w:rPr>
      </w:pPr>
      <w:r w:rsidRPr="006B6A3E">
        <w:rPr>
          <w:rFonts w:eastAsia="Calibri"/>
          <w:szCs w:val="28"/>
        </w:rPr>
        <w:t>Ваш рівень кваліфікації за напрямом «сімейна медицина»:</w:t>
      </w:r>
    </w:p>
    <w:p w:rsidR="006B6A3E" w:rsidRPr="006B6A3E" w:rsidRDefault="006B6A3E" w:rsidP="000A4B79">
      <w:pPr>
        <w:ind w:left="720"/>
        <w:contextualSpacing/>
        <w:rPr>
          <w:rFonts w:eastAsia="Calibri"/>
          <w:szCs w:val="28"/>
        </w:rPr>
      </w:pPr>
      <w:r w:rsidRPr="006B6A3E">
        <w:rPr>
          <w:rFonts w:eastAsia="Calibri"/>
          <w:szCs w:val="28"/>
        </w:rPr>
        <w:t>012 вища категорія</w:t>
      </w:r>
    </w:p>
    <w:p w:rsidR="006B6A3E" w:rsidRPr="006B6A3E" w:rsidRDefault="006B6A3E" w:rsidP="000A4B79">
      <w:pPr>
        <w:ind w:left="720"/>
        <w:contextualSpacing/>
        <w:rPr>
          <w:rFonts w:eastAsia="Calibri"/>
          <w:szCs w:val="28"/>
        </w:rPr>
      </w:pPr>
      <w:r w:rsidRPr="006B6A3E">
        <w:rPr>
          <w:rFonts w:eastAsia="Calibri"/>
          <w:szCs w:val="28"/>
        </w:rPr>
        <w:t>013 перша категорія</w:t>
      </w:r>
    </w:p>
    <w:p w:rsidR="006B6A3E" w:rsidRPr="006B6A3E" w:rsidRDefault="006B6A3E" w:rsidP="000A4B79">
      <w:pPr>
        <w:ind w:left="720"/>
        <w:contextualSpacing/>
        <w:rPr>
          <w:rFonts w:eastAsia="Calibri"/>
          <w:szCs w:val="28"/>
        </w:rPr>
      </w:pPr>
      <w:r w:rsidRPr="006B6A3E">
        <w:rPr>
          <w:rFonts w:eastAsia="Calibri"/>
          <w:szCs w:val="28"/>
        </w:rPr>
        <w:t>014 друга категорія</w:t>
      </w:r>
    </w:p>
    <w:p w:rsidR="006B6A3E" w:rsidRPr="006B6A3E" w:rsidRDefault="006B6A3E" w:rsidP="000A4B79">
      <w:pPr>
        <w:ind w:left="720"/>
        <w:contextualSpacing/>
        <w:rPr>
          <w:rFonts w:eastAsia="Calibri"/>
          <w:szCs w:val="28"/>
        </w:rPr>
      </w:pPr>
      <w:r w:rsidRPr="006B6A3E">
        <w:rPr>
          <w:rFonts w:eastAsia="Calibri"/>
          <w:szCs w:val="28"/>
        </w:rPr>
        <w:t>015 сертифікат лікаря-спеціаліста</w:t>
      </w:r>
    </w:p>
    <w:p w:rsidR="006B6A3E" w:rsidRPr="006B6A3E" w:rsidRDefault="006B6A3E" w:rsidP="006B6A3E">
      <w:pPr>
        <w:ind w:left="720"/>
        <w:contextualSpacing/>
        <w:rPr>
          <w:rFonts w:eastAsia="Calibri"/>
          <w:szCs w:val="28"/>
        </w:rPr>
      </w:pPr>
      <w:r w:rsidRPr="006B6A3E">
        <w:rPr>
          <w:rFonts w:eastAsia="Calibri"/>
          <w:szCs w:val="28"/>
        </w:rPr>
        <w:lastRenderedPageBreak/>
        <w:t>016 не атестований</w:t>
      </w:r>
    </w:p>
    <w:p w:rsidR="006B6A3E" w:rsidRPr="006B6A3E" w:rsidRDefault="006B6A3E" w:rsidP="0074719A">
      <w:pPr>
        <w:numPr>
          <w:ilvl w:val="0"/>
          <w:numId w:val="34"/>
        </w:numPr>
        <w:spacing w:after="160"/>
        <w:contextualSpacing/>
        <w:jc w:val="left"/>
        <w:rPr>
          <w:rFonts w:eastAsia="Calibri"/>
          <w:szCs w:val="28"/>
        </w:rPr>
      </w:pPr>
      <w:r w:rsidRPr="006B6A3E">
        <w:rPr>
          <w:rFonts w:eastAsia="Calibri"/>
          <w:szCs w:val="28"/>
        </w:rPr>
        <w:t>Вкажіть Ваше місце роботи:</w:t>
      </w:r>
    </w:p>
    <w:p w:rsidR="006B6A3E" w:rsidRPr="006B6A3E" w:rsidRDefault="006B6A3E" w:rsidP="000A4B79">
      <w:pPr>
        <w:ind w:left="720"/>
        <w:contextualSpacing/>
        <w:rPr>
          <w:rFonts w:eastAsia="Calibri"/>
          <w:szCs w:val="28"/>
        </w:rPr>
      </w:pPr>
      <w:r w:rsidRPr="006B6A3E">
        <w:rPr>
          <w:rFonts w:eastAsia="Calibri"/>
          <w:szCs w:val="28"/>
        </w:rPr>
        <w:t>017</w:t>
      </w:r>
      <w:r w:rsidRPr="006B6A3E">
        <w:rPr>
          <w:rFonts w:ascii="Calibri" w:eastAsia="Calibri" w:hAnsi="Calibri"/>
          <w:sz w:val="22"/>
          <w:lang w:val="ru-RU"/>
        </w:rPr>
        <w:t xml:space="preserve"> </w:t>
      </w:r>
      <w:r w:rsidRPr="006B6A3E">
        <w:rPr>
          <w:rFonts w:eastAsia="Calibri"/>
          <w:szCs w:val="28"/>
        </w:rPr>
        <w:t>лікарська амбулаторія</w:t>
      </w:r>
    </w:p>
    <w:p w:rsidR="006B6A3E" w:rsidRPr="006B6A3E" w:rsidRDefault="006B6A3E" w:rsidP="000A4B79">
      <w:pPr>
        <w:ind w:left="720"/>
        <w:contextualSpacing/>
        <w:rPr>
          <w:rFonts w:eastAsia="Calibri"/>
          <w:szCs w:val="28"/>
        </w:rPr>
      </w:pPr>
      <w:r w:rsidRPr="006B6A3E">
        <w:rPr>
          <w:rFonts w:eastAsia="Calibri"/>
          <w:szCs w:val="28"/>
        </w:rPr>
        <w:t>018 на базі поліклініки</w:t>
      </w:r>
    </w:p>
    <w:p w:rsidR="006B6A3E" w:rsidRPr="006B6A3E" w:rsidRDefault="006B6A3E" w:rsidP="0074719A">
      <w:pPr>
        <w:numPr>
          <w:ilvl w:val="0"/>
          <w:numId w:val="34"/>
        </w:numPr>
        <w:spacing w:after="160"/>
        <w:contextualSpacing/>
        <w:jc w:val="left"/>
        <w:rPr>
          <w:rFonts w:eastAsia="Calibri"/>
          <w:szCs w:val="28"/>
        </w:rPr>
      </w:pPr>
      <w:r w:rsidRPr="006B6A3E">
        <w:rPr>
          <w:rFonts w:eastAsia="Calibri"/>
          <w:szCs w:val="28"/>
        </w:rPr>
        <w:t>Оцініть рівень власних теоретичних знань</w:t>
      </w:r>
      <w:r w:rsidRPr="006B6A3E">
        <w:rPr>
          <w:rFonts w:ascii="Calibri" w:eastAsia="Calibri" w:hAnsi="Calibri"/>
          <w:sz w:val="22"/>
          <w:lang w:val="ru-RU"/>
        </w:rPr>
        <w:t xml:space="preserve"> </w:t>
      </w:r>
      <w:r w:rsidRPr="006B6A3E">
        <w:rPr>
          <w:rFonts w:eastAsia="Calibri"/>
          <w:szCs w:val="28"/>
        </w:rPr>
        <w:t>з попередження передчасної смерті дітей:</w:t>
      </w:r>
    </w:p>
    <w:p w:rsidR="006B6A3E" w:rsidRPr="006B6A3E" w:rsidRDefault="006B6A3E" w:rsidP="000A4B79">
      <w:pPr>
        <w:ind w:left="720"/>
        <w:contextualSpacing/>
        <w:rPr>
          <w:rFonts w:eastAsia="Calibri"/>
          <w:szCs w:val="28"/>
        </w:rPr>
      </w:pPr>
      <w:r w:rsidRPr="006B6A3E">
        <w:rPr>
          <w:rFonts w:eastAsia="Calibri"/>
          <w:szCs w:val="28"/>
        </w:rPr>
        <w:t>019 задовільний</w:t>
      </w:r>
    </w:p>
    <w:p w:rsidR="006B6A3E" w:rsidRPr="006B6A3E" w:rsidRDefault="006B6A3E" w:rsidP="000A4B79">
      <w:pPr>
        <w:ind w:left="720"/>
        <w:contextualSpacing/>
        <w:rPr>
          <w:rFonts w:eastAsia="Calibri"/>
          <w:szCs w:val="28"/>
        </w:rPr>
      </w:pPr>
      <w:r w:rsidRPr="006B6A3E">
        <w:rPr>
          <w:rFonts w:eastAsia="Calibri"/>
          <w:szCs w:val="28"/>
        </w:rPr>
        <w:t>020 недостатній</w:t>
      </w:r>
    </w:p>
    <w:p w:rsidR="006B6A3E" w:rsidRPr="006B6A3E" w:rsidRDefault="006B6A3E" w:rsidP="000A4B79">
      <w:pPr>
        <w:ind w:left="720"/>
        <w:contextualSpacing/>
        <w:rPr>
          <w:rFonts w:eastAsia="Calibri"/>
          <w:szCs w:val="28"/>
        </w:rPr>
      </w:pPr>
      <w:r w:rsidRPr="006B6A3E">
        <w:rPr>
          <w:rFonts w:eastAsia="Calibri"/>
          <w:szCs w:val="28"/>
        </w:rPr>
        <w:t>021 вкрай недостатній</w:t>
      </w:r>
    </w:p>
    <w:p w:rsidR="006B6A3E" w:rsidRPr="006B6A3E" w:rsidRDefault="006B6A3E" w:rsidP="0074719A">
      <w:pPr>
        <w:numPr>
          <w:ilvl w:val="0"/>
          <w:numId w:val="34"/>
        </w:numPr>
        <w:spacing w:after="200"/>
        <w:contextualSpacing/>
        <w:jc w:val="left"/>
        <w:rPr>
          <w:rFonts w:eastAsia="Calibri"/>
          <w:szCs w:val="28"/>
        </w:rPr>
      </w:pPr>
      <w:r w:rsidRPr="006B6A3E">
        <w:rPr>
          <w:rFonts w:eastAsia="Calibri"/>
          <w:szCs w:val="28"/>
        </w:rPr>
        <w:t>Оцініть рівень власних практичних знань з попередження передчасної смерті дітей:</w:t>
      </w:r>
    </w:p>
    <w:p w:rsidR="006B6A3E" w:rsidRPr="006B6A3E" w:rsidRDefault="006B6A3E" w:rsidP="000A4B79">
      <w:pPr>
        <w:ind w:left="720"/>
        <w:contextualSpacing/>
        <w:rPr>
          <w:rFonts w:eastAsia="Calibri"/>
          <w:szCs w:val="28"/>
        </w:rPr>
      </w:pPr>
      <w:r w:rsidRPr="006B6A3E">
        <w:rPr>
          <w:rFonts w:eastAsia="Calibri"/>
          <w:szCs w:val="28"/>
        </w:rPr>
        <w:t>019 задовільний</w:t>
      </w:r>
    </w:p>
    <w:p w:rsidR="006B6A3E" w:rsidRPr="006B6A3E" w:rsidRDefault="006B6A3E" w:rsidP="000A4B79">
      <w:pPr>
        <w:ind w:left="720"/>
        <w:contextualSpacing/>
        <w:rPr>
          <w:rFonts w:eastAsia="Calibri"/>
          <w:szCs w:val="28"/>
        </w:rPr>
      </w:pPr>
      <w:r w:rsidRPr="006B6A3E">
        <w:rPr>
          <w:rFonts w:eastAsia="Calibri"/>
          <w:szCs w:val="28"/>
        </w:rPr>
        <w:t>020 недостатній</w:t>
      </w:r>
    </w:p>
    <w:p w:rsidR="006B6A3E" w:rsidRPr="006B6A3E" w:rsidRDefault="006B6A3E" w:rsidP="000A4B79">
      <w:pPr>
        <w:ind w:left="720"/>
        <w:contextualSpacing/>
        <w:rPr>
          <w:rFonts w:eastAsia="Calibri"/>
          <w:szCs w:val="28"/>
        </w:rPr>
      </w:pPr>
      <w:r w:rsidRPr="006B6A3E">
        <w:rPr>
          <w:rFonts w:eastAsia="Calibri"/>
          <w:szCs w:val="28"/>
        </w:rPr>
        <w:t>021 вкрай недостатній</w:t>
      </w:r>
    </w:p>
    <w:p w:rsidR="006B6A3E" w:rsidRPr="006B6A3E" w:rsidRDefault="006B6A3E" w:rsidP="00E14BA5">
      <w:pPr>
        <w:numPr>
          <w:ilvl w:val="0"/>
          <w:numId w:val="34"/>
        </w:numPr>
        <w:spacing w:after="160"/>
        <w:contextualSpacing/>
        <w:rPr>
          <w:rFonts w:eastAsia="Calibri"/>
          <w:szCs w:val="28"/>
        </w:rPr>
      </w:pPr>
      <w:r w:rsidRPr="006B6A3E">
        <w:rPr>
          <w:rFonts w:eastAsia="Calibri"/>
          <w:szCs w:val="28"/>
        </w:rPr>
        <w:t xml:space="preserve">Оцініть свої теоретичні знання </w:t>
      </w:r>
      <w:r w:rsidRPr="006B6A3E">
        <w:rPr>
          <w:rFonts w:eastAsia="Calibri"/>
          <w:color w:val="000000"/>
          <w:szCs w:val="28"/>
        </w:rPr>
        <w:t>з тактики дій при окремих станах, які загрожують життю дітей:</w:t>
      </w:r>
    </w:p>
    <w:p w:rsidR="006B6A3E" w:rsidRPr="006B6A3E" w:rsidRDefault="006B6A3E" w:rsidP="000A4B79">
      <w:pPr>
        <w:ind w:left="720"/>
        <w:contextualSpacing/>
        <w:rPr>
          <w:rFonts w:eastAsia="Calibri"/>
          <w:szCs w:val="28"/>
        </w:rPr>
      </w:pPr>
      <w:r w:rsidRPr="006B6A3E">
        <w:rPr>
          <w:rFonts w:eastAsia="Calibri"/>
          <w:szCs w:val="28"/>
          <w:lang w:val="ru-RU"/>
        </w:rPr>
        <w:t>-</w:t>
      </w:r>
      <w:r w:rsidRPr="006B6A3E">
        <w:rPr>
          <w:rFonts w:eastAsia="Calibri"/>
          <w:szCs w:val="28"/>
        </w:rPr>
        <w:t xml:space="preserve"> </w:t>
      </w:r>
      <w:r w:rsidRPr="006B6A3E">
        <w:rPr>
          <w:rFonts w:eastAsia="Calibri"/>
          <w:szCs w:val="28"/>
          <w:lang w:val="ru-RU"/>
        </w:rPr>
        <w:t xml:space="preserve"> </w:t>
      </w:r>
      <w:r w:rsidRPr="006B6A3E">
        <w:rPr>
          <w:rFonts w:eastAsia="Calibri"/>
          <w:szCs w:val="28"/>
        </w:rPr>
        <w:t>анафілактичний шок</w:t>
      </w:r>
    </w:p>
    <w:p w:rsidR="006B6A3E" w:rsidRPr="006B6A3E" w:rsidRDefault="006B6A3E" w:rsidP="000A4B79">
      <w:pPr>
        <w:tabs>
          <w:tab w:val="left" w:pos="760"/>
        </w:tabs>
        <w:jc w:val="left"/>
        <w:rPr>
          <w:rFonts w:eastAsia="Calibri"/>
          <w:szCs w:val="28"/>
        </w:rPr>
      </w:pPr>
      <w:r w:rsidRPr="006B6A3E">
        <w:rPr>
          <w:rFonts w:eastAsia="Calibri"/>
          <w:szCs w:val="28"/>
        </w:rPr>
        <w:tab/>
        <w:t>022 добрі</w:t>
      </w:r>
    </w:p>
    <w:p w:rsidR="006B6A3E" w:rsidRPr="006B6A3E" w:rsidRDefault="006B6A3E" w:rsidP="000A4B79">
      <w:pPr>
        <w:tabs>
          <w:tab w:val="left" w:pos="760"/>
        </w:tabs>
        <w:jc w:val="left"/>
        <w:rPr>
          <w:rFonts w:eastAsia="Calibri"/>
          <w:szCs w:val="28"/>
        </w:rPr>
      </w:pPr>
      <w:r w:rsidRPr="006B6A3E">
        <w:rPr>
          <w:rFonts w:eastAsia="Calibri"/>
          <w:szCs w:val="28"/>
        </w:rPr>
        <w:t xml:space="preserve">           023 задовільні</w:t>
      </w:r>
    </w:p>
    <w:p w:rsidR="006B6A3E" w:rsidRPr="006B6A3E" w:rsidRDefault="006B6A3E" w:rsidP="000A4B79">
      <w:pPr>
        <w:tabs>
          <w:tab w:val="left" w:pos="760"/>
        </w:tabs>
        <w:jc w:val="left"/>
        <w:rPr>
          <w:rFonts w:eastAsia="Calibri"/>
          <w:szCs w:val="28"/>
        </w:rPr>
      </w:pPr>
      <w:r w:rsidRPr="006B6A3E">
        <w:rPr>
          <w:rFonts w:eastAsia="Calibri"/>
          <w:szCs w:val="28"/>
        </w:rPr>
        <w:t xml:space="preserve">           024 недостатні</w:t>
      </w:r>
    </w:p>
    <w:p w:rsidR="006B6A3E" w:rsidRPr="006B6A3E" w:rsidRDefault="006B6A3E" w:rsidP="000A4B79">
      <w:pPr>
        <w:tabs>
          <w:tab w:val="left" w:pos="760"/>
        </w:tabs>
        <w:jc w:val="left"/>
        <w:rPr>
          <w:rFonts w:eastAsia="Calibri"/>
          <w:szCs w:val="28"/>
        </w:rPr>
      </w:pPr>
      <w:r w:rsidRPr="006B6A3E">
        <w:rPr>
          <w:rFonts w:eastAsia="Calibri"/>
          <w:szCs w:val="28"/>
        </w:rPr>
        <w:t xml:space="preserve">           025 вкрай недостатні</w:t>
      </w:r>
    </w:p>
    <w:p w:rsidR="006B6A3E" w:rsidRPr="006B6A3E" w:rsidRDefault="006B6A3E" w:rsidP="0074719A">
      <w:pPr>
        <w:numPr>
          <w:ilvl w:val="0"/>
          <w:numId w:val="35"/>
        </w:numPr>
        <w:tabs>
          <w:tab w:val="left" w:pos="617"/>
        </w:tabs>
        <w:spacing w:after="160"/>
        <w:contextualSpacing/>
        <w:jc w:val="left"/>
        <w:rPr>
          <w:rFonts w:eastAsia="Calibri"/>
          <w:szCs w:val="28"/>
        </w:rPr>
      </w:pPr>
      <w:r w:rsidRPr="006B6A3E">
        <w:rPr>
          <w:rFonts w:eastAsia="Calibri"/>
          <w:szCs w:val="28"/>
        </w:rPr>
        <w:t>вогнепальне поранення</w:t>
      </w:r>
    </w:p>
    <w:p w:rsidR="006B6A3E" w:rsidRPr="006B6A3E" w:rsidRDefault="006B6A3E" w:rsidP="000A4B79">
      <w:pPr>
        <w:tabs>
          <w:tab w:val="left" w:pos="760"/>
        </w:tabs>
        <w:jc w:val="left"/>
        <w:rPr>
          <w:rFonts w:eastAsia="Calibri"/>
          <w:szCs w:val="28"/>
        </w:rPr>
      </w:pPr>
      <w:r w:rsidRPr="006B6A3E">
        <w:rPr>
          <w:rFonts w:eastAsia="Calibri"/>
          <w:szCs w:val="28"/>
        </w:rPr>
        <w:t xml:space="preserve">           026 добрі</w:t>
      </w:r>
    </w:p>
    <w:p w:rsidR="006B6A3E" w:rsidRPr="006B6A3E" w:rsidRDefault="006B6A3E" w:rsidP="000A4B79">
      <w:pPr>
        <w:tabs>
          <w:tab w:val="left" w:pos="760"/>
        </w:tabs>
        <w:jc w:val="left"/>
        <w:rPr>
          <w:rFonts w:eastAsia="Calibri"/>
          <w:szCs w:val="28"/>
        </w:rPr>
      </w:pPr>
      <w:r w:rsidRPr="006B6A3E">
        <w:rPr>
          <w:rFonts w:eastAsia="Calibri"/>
          <w:szCs w:val="28"/>
        </w:rPr>
        <w:t xml:space="preserve">           027 задовільні</w:t>
      </w:r>
    </w:p>
    <w:p w:rsidR="006B6A3E" w:rsidRPr="006B6A3E" w:rsidRDefault="006B6A3E" w:rsidP="000A4B79">
      <w:pPr>
        <w:tabs>
          <w:tab w:val="left" w:pos="760"/>
        </w:tabs>
        <w:jc w:val="left"/>
        <w:rPr>
          <w:rFonts w:eastAsia="Calibri"/>
          <w:szCs w:val="28"/>
        </w:rPr>
      </w:pPr>
      <w:r w:rsidRPr="006B6A3E">
        <w:rPr>
          <w:rFonts w:eastAsia="Calibri"/>
          <w:szCs w:val="28"/>
        </w:rPr>
        <w:t xml:space="preserve">           028 недостатні</w:t>
      </w:r>
    </w:p>
    <w:p w:rsidR="006B6A3E" w:rsidRPr="006B6A3E" w:rsidRDefault="006B6A3E" w:rsidP="000A4B79">
      <w:pPr>
        <w:tabs>
          <w:tab w:val="left" w:pos="760"/>
        </w:tabs>
        <w:jc w:val="left"/>
        <w:rPr>
          <w:rFonts w:eastAsia="Calibri"/>
          <w:szCs w:val="28"/>
        </w:rPr>
      </w:pPr>
      <w:r w:rsidRPr="006B6A3E">
        <w:rPr>
          <w:rFonts w:eastAsia="Calibri"/>
          <w:szCs w:val="28"/>
        </w:rPr>
        <w:t xml:space="preserve">           029 вкрай недостатні</w:t>
      </w:r>
    </w:p>
    <w:p w:rsidR="006B6A3E" w:rsidRPr="006B6A3E" w:rsidRDefault="006B6A3E" w:rsidP="000A4B79">
      <w:pPr>
        <w:tabs>
          <w:tab w:val="left" w:pos="617"/>
        </w:tabs>
        <w:ind w:firstLine="720"/>
        <w:rPr>
          <w:rFonts w:eastAsia="Calibri"/>
          <w:szCs w:val="28"/>
        </w:rPr>
      </w:pPr>
      <w:r w:rsidRPr="006B6A3E">
        <w:rPr>
          <w:rFonts w:eastAsia="Calibri"/>
          <w:szCs w:val="28"/>
          <w:lang w:val="ru-RU"/>
        </w:rPr>
        <w:t xml:space="preserve">- </w:t>
      </w:r>
      <w:r w:rsidRPr="006B6A3E">
        <w:rPr>
          <w:rFonts w:eastAsia="Calibri"/>
          <w:szCs w:val="28"/>
        </w:rPr>
        <w:t>враження електричним струмом</w:t>
      </w:r>
    </w:p>
    <w:p w:rsidR="006B6A3E" w:rsidRPr="006B6A3E" w:rsidRDefault="006B6A3E" w:rsidP="000A4B79">
      <w:pPr>
        <w:tabs>
          <w:tab w:val="left" w:pos="760"/>
        </w:tabs>
        <w:jc w:val="left"/>
        <w:rPr>
          <w:rFonts w:eastAsia="Calibri"/>
          <w:szCs w:val="28"/>
        </w:rPr>
      </w:pPr>
      <w:r w:rsidRPr="006B6A3E">
        <w:rPr>
          <w:rFonts w:eastAsia="Calibri"/>
          <w:szCs w:val="28"/>
        </w:rPr>
        <w:t xml:space="preserve">           030 добрі</w:t>
      </w:r>
    </w:p>
    <w:p w:rsidR="006B6A3E" w:rsidRPr="006B6A3E" w:rsidRDefault="006B6A3E" w:rsidP="000A4B79">
      <w:pPr>
        <w:tabs>
          <w:tab w:val="left" w:pos="760"/>
        </w:tabs>
        <w:jc w:val="left"/>
        <w:rPr>
          <w:rFonts w:eastAsia="Calibri"/>
          <w:szCs w:val="28"/>
        </w:rPr>
      </w:pPr>
      <w:r w:rsidRPr="006B6A3E">
        <w:rPr>
          <w:rFonts w:eastAsia="Calibri"/>
          <w:szCs w:val="28"/>
        </w:rPr>
        <w:t xml:space="preserve">           031 задовільні</w:t>
      </w:r>
    </w:p>
    <w:p w:rsidR="006B6A3E" w:rsidRPr="006B6A3E" w:rsidRDefault="006B6A3E" w:rsidP="000A4B79">
      <w:pPr>
        <w:tabs>
          <w:tab w:val="left" w:pos="760"/>
        </w:tabs>
        <w:jc w:val="left"/>
        <w:rPr>
          <w:rFonts w:eastAsia="Calibri"/>
          <w:szCs w:val="28"/>
        </w:rPr>
      </w:pPr>
      <w:r w:rsidRPr="006B6A3E">
        <w:rPr>
          <w:rFonts w:eastAsia="Calibri"/>
          <w:szCs w:val="28"/>
        </w:rPr>
        <w:t xml:space="preserve">           032 недостатні</w:t>
      </w:r>
    </w:p>
    <w:p w:rsidR="006B6A3E" w:rsidRPr="006B6A3E" w:rsidRDefault="006B6A3E" w:rsidP="000A4B79">
      <w:pPr>
        <w:tabs>
          <w:tab w:val="left" w:pos="760"/>
        </w:tabs>
        <w:jc w:val="left"/>
        <w:rPr>
          <w:rFonts w:eastAsia="Calibri"/>
          <w:szCs w:val="28"/>
        </w:rPr>
      </w:pPr>
      <w:r w:rsidRPr="006B6A3E">
        <w:rPr>
          <w:rFonts w:eastAsia="Calibri"/>
          <w:szCs w:val="28"/>
        </w:rPr>
        <w:lastRenderedPageBreak/>
        <w:t xml:space="preserve">           033 вкрай недостатні</w:t>
      </w:r>
    </w:p>
    <w:p w:rsidR="006B6A3E" w:rsidRPr="006B6A3E" w:rsidRDefault="006B6A3E" w:rsidP="000A4B79">
      <w:pPr>
        <w:tabs>
          <w:tab w:val="left" w:pos="617"/>
        </w:tabs>
        <w:rPr>
          <w:rFonts w:eastAsia="Calibri"/>
          <w:szCs w:val="28"/>
        </w:rPr>
      </w:pPr>
      <w:r w:rsidRPr="006B6A3E">
        <w:rPr>
          <w:rFonts w:eastAsia="Calibri"/>
          <w:szCs w:val="28"/>
        </w:rPr>
        <w:t xml:space="preserve">          </w:t>
      </w:r>
      <w:r w:rsidRPr="006B6A3E">
        <w:rPr>
          <w:rFonts w:eastAsia="Calibri"/>
          <w:szCs w:val="28"/>
          <w:lang w:val="ru-RU"/>
        </w:rPr>
        <w:t xml:space="preserve">- </w:t>
      </w:r>
      <w:r w:rsidRPr="006B6A3E">
        <w:rPr>
          <w:rFonts w:eastAsia="Calibri"/>
          <w:szCs w:val="28"/>
        </w:rPr>
        <w:t>гостра асфіксія</w:t>
      </w:r>
    </w:p>
    <w:p w:rsidR="006B6A3E" w:rsidRPr="006B6A3E" w:rsidRDefault="006B6A3E" w:rsidP="000A4B79">
      <w:pPr>
        <w:tabs>
          <w:tab w:val="left" w:pos="760"/>
        </w:tabs>
        <w:jc w:val="left"/>
        <w:rPr>
          <w:rFonts w:eastAsia="Calibri"/>
          <w:szCs w:val="28"/>
        </w:rPr>
      </w:pPr>
      <w:r w:rsidRPr="006B6A3E">
        <w:rPr>
          <w:rFonts w:eastAsia="Calibri"/>
          <w:szCs w:val="28"/>
        </w:rPr>
        <w:t xml:space="preserve">           034 добрі</w:t>
      </w:r>
    </w:p>
    <w:p w:rsidR="006B6A3E" w:rsidRPr="006B6A3E" w:rsidRDefault="006B6A3E" w:rsidP="000A4B79">
      <w:pPr>
        <w:tabs>
          <w:tab w:val="left" w:pos="760"/>
        </w:tabs>
        <w:jc w:val="left"/>
        <w:rPr>
          <w:rFonts w:eastAsia="Calibri"/>
          <w:szCs w:val="28"/>
        </w:rPr>
      </w:pPr>
      <w:r w:rsidRPr="006B6A3E">
        <w:rPr>
          <w:rFonts w:eastAsia="Calibri"/>
          <w:szCs w:val="28"/>
        </w:rPr>
        <w:t xml:space="preserve">           035 задовільні</w:t>
      </w:r>
    </w:p>
    <w:p w:rsidR="006B6A3E" w:rsidRPr="006B6A3E" w:rsidRDefault="006B6A3E" w:rsidP="000A4B79">
      <w:pPr>
        <w:tabs>
          <w:tab w:val="left" w:pos="760"/>
        </w:tabs>
        <w:jc w:val="left"/>
        <w:rPr>
          <w:rFonts w:eastAsia="Calibri"/>
          <w:szCs w:val="28"/>
        </w:rPr>
      </w:pPr>
      <w:r w:rsidRPr="006B6A3E">
        <w:rPr>
          <w:rFonts w:eastAsia="Calibri"/>
          <w:szCs w:val="28"/>
        </w:rPr>
        <w:t xml:space="preserve">           036 недостатні</w:t>
      </w:r>
    </w:p>
    <w:p w:rsidR="006B6A3E" w:rsidRPr="006B6A3E" w:rsidRDefault="006B6A3E" w:rsidP="000A4B79">
      <w:pPr>
        <w:tabs>
          <w:tab w:val="left" w:pos="760"/>
        </w:tabs>
        <w:jc w:val="left"/>
        <w:rPr>
          <w:rFonts w:eastAsia="Calibri"/>
          <w:szCs w:val="28"/>
        </w:rPr>
      </w:pPr>
      <w:r w:rsidRPr="006B6A3E">
        <w:rPr>
          <w:rFonts w:eastAsia="Calibri"/>
          <w:szCs w:val="28"/>
        </w:rPr>
        <w:t xml:space="preserve">           037 вкрай недостатні</w:t>
      </w:r>
    </w:p>
    <w:p w:rsidR="006B6A3E" w:rsidRPr="006B6A3E" w:rsidRDefault="006B6A3E" w:rsidP="000A4B79">
      <w:pPr>
        <w:tabs>
          <w:tab w:val="left" w:pos="617"/>
        </w:tabs>
        <w:rPr>
          <w:rFonts w:eastAsia="Calibri"/>
          <w:szCs w:val="28"/>
        </w:rPr>
      </w:pPr>
      <w:r w:rsidRPr="006B6A3E">
        <w:rPr>
          <w:rFonts w:eastAsia="Calibri"/>
          <w:szCs w:val="28"/>
        </w:rPr>
        <w:t xml:space="preserve">        </w:t>
      </w:r>
      <w:r w:rsidRPr="006B6A3E">
        <w:rPr>
          <w:rFonts w:eastAsia="Calibri"/>
          <w:szCs w:val="28"/>
          <w:lang w:val="ru-RU"/>
        </w:rPr>
        <w:t xml:space="preserve"> </w:t>
      </w:r>
      <w:r w:rsidRPr="006B6A3E">
        <w:rPr>
          <w:rFonts w:eastAsia="Calibri"/>
          <w:szCs w:val="28"/>
        </w:rPr>
        <w:t xml:space="preserve"> </w:t>
      </w:r>
      <w:r w:rsidRPr="006B6A3E">
        <w:rPr>
          <w:rFonts w:eastAsia="Calibri"/>
          <w:szCs w:val="28"/>
          <w:lang w:val="ru-RU"/>
        </w:rPr>
        <w:t xml:space="preserve">- </w:t>
      </w:r>
      <w:r w:rsidRPr="006B6A3E">
        <w:rPr>
          <w:rFonts w:eastAsia="Calibri"/>
          <w:szCs w:val="28"/>
        </w:rPr>
        <w:t>гостра дихальна недостатність</w:t>
      </w:r>
    </w:p>
    <w:p w:rsidR="006B6A3E" w:rsidRPr="006B6A3E" w:rsidRDefault="006B6A3E" w:rsidP="000A4B79">
      <w:pPr>
        <w:tabs>
          <w:tab w:val="left" w:pos="760"/>
        </w:tabs>
        <w:jc w:val="left"/>
        <w:rPr>
          <w:rFonts w:eastAsia="Calibri"/>
          <w:szCs w:val="28"/>
        </w:rPr>
      </w:pPr>
      <w:r w:rsidRPr="006B6A3E">
        <w:rPr>
          <w:rFonts w:eastAsia="Calibri"/>
          <w:szCs w:val="28"/>
        </w:rPr>
        <w:t xml:space="preserve">           038 добрі</w:t>
      </w:r>
    </w:p>
    <w:p w:rsidR="006B6A3E" w:rsidRPr="006B6A3E" w:rsidRDefault="006B6A3E" w:rsidP="000A4B79">
      <w:pPr>
        <w:tabs>
          <w:tab w:val="left" w:pos="760"/>
        </w:tabs>
        <w:jc w:val="left"/>
        <w:rPr>
          <w:rFonts w:eastAsia="Calibri"/>
          <w:szCs w:val="28"/>
        </w:rPr>
      </w:pPr>
      <w:r w:rsidRPr="006B6A3E">
        <w:rPr>
          <w:rFonts w:eastAsia="Calibri"/>
          <w:szCs w:val="28"/>
        </w:rPr>
        <w:t xml:space="preserve">           039 задовільні</w:t>
      </w:r>
    </w:p>
    <w:p w:rsidR="006B6A3E" w:rsidRPr="006B6A3E" w:rsidRDefault="006B6A3E" w:rsidP="000A4B79">
      <w:pPr>
        <w:tabs>
          <w:tab w:val="left" w:pos="760"/>
        </w:tabs>
        <w:jc w:val="left"/>
        <w:rPr>
          <w:rFonts w:eastAsia="Calibri"/>
          <w:szCs w:val="28"/>
        </w:rPr>
      </w:pPr>
      <w:r w:rsidRPr="006B6A3E">
        <w:rPr>
          <w:rFonts w:eastAsia="Calibri"/>
          <w:szCs w:val="28"/>
        </w:rPr>
        <w:t xml:space="preserve">           040 недостатні</w:t>
      </w:r>
    </w:p>
    <w:p w:rsidR="006B6A3E" w:rsidRPr="006B6A3E" w:rsidRDefault="006B6A3E" w:rsidP="000A4B79">
      <w:pPr>
        <w:tabs>
          <w:tab w:val="left" w:pos="760"/>
        </w:tabs>
        <w:jc w:val="left"/>
        <w:rPr>
          <w:rFonts w:eastAsia="Calibri"/>
          <w:szCs w:val="28"/>
        </w:rPr>
      </w:pPr>
      <w:r w:rsidRPr="006B6A3E">
        <w:rPr>
          <w:rFonts w:eastAsia="Calibri"/>
          <w:szCs w:val="28"/>
        </w:rPr>
        <w:t xml:space="preserve">           041 вкрай недостатні</w:t>
      </w:r>
    </w:p>
    <w:p w:rsidR="006B6A3E" w:rsidRPr="006B6A3E" w:rsidRDefault="006B6A3E" w:rsidP="000A4B79">
      <w:pPr>
        <w:tabs>
          <w:tab w:val="left" w:pos="617"/>
        </w:tabs>
        <w:rPr>
          <w:rFonts w:eastAsia="Calibri"/>
          <w:szCs w:val="28"/>
        </w:rPr>
      </w:pPr>
      <w:r w:rsidRPr="006B6A3E">
        <w:rPr>
          <w:rFonts w:eastAsia="Calibri"/>
          <w:szCs w:val="28"/>
        </w:rPr>
        <w:t xml:space="preserve">        </w:t>
      </w:r>
      <w:r w:rsidRPr="006B6A3E">
        <w:rPr>
          <w:rFonts w:eastAsia="Calibri"/>
          <w:szCs w:val="28"/>
          <w:lang w:val="ru-RU"/>
        </w:rPr>
        <w:t xml:space="preserve"> </w:t>
      </w:r>
      <w:r w:rsidRPr="006B6A3E">
        <w:rPr>
          <w:rFonts w:eastAsia="Calibri"/>
          <w:szCs w:val="28"/>
        </w:rPr>
        <w:t xml:space="preserve"> </w:t>
      </w:r>
      <w:r w:rsidRPr="006B6A3E">
        <w:rPr>
          <w:rFonts w:eastAsia="Calibri"/>
          <w:szCs w:val="28"/>
          <w:lang w:val="ru-RU"/>
        </w:rPr>
        <w:t xml:space="preserve">- </w:t>
      </w:r>
      <w:r w:rsidRPr="006B6A3E">
        <w:rPr>
          <w:rFonts w:eastAsia="Calibri"/>
          <w:szCs w:val="28"/>
        </w:rPr>
        <w:t>гострий біль в животі</w:t>
      </w:r>
    </w:p>
    <w:p w:rsidR="006B6A3E" w:rsidRPr="006B6A3E" w:rsidRDefault="006B6A3E" w:rsidP="000A4B79">
      <w:pPr>
        <w:tabs>
          <w:tab w:val="left" w:pos="760"/>
        </w:tabs>
        <w:jc w:val="left"/>
        <w:rPr>
          <w:rFonts w:eastAsia="Calibri"/>
          <w:szCs w:val="28"/>
        </w:rPr>
      </w:pPr>
      <w:r w:rsidRPr="006B6A3E">
        <w:rPr>
          <w:rFonts w:eastAsia="Calibri"/>
          <w:szCs w:val="28"/>
        </w:rPr>
        <w:t xml:space="preserve">           042 добрі</w:t>
      </w:r>
    </w:p>
    <w:p w:rsidR="006B6A3E" w:rsidRPr="006B6A3E" w:rsidRDefault="006B6A3E" w:rsidP="000A4B79">
      <w:pPr>
        <w:tabs>
          <w:tab w:val="left" w:pos="760"/>
        </w:tabs>
        <w:jc w:val="left"/>
        <w:rPr>
          <w:rFonts w:eastAsia="Calibri"/>
          <w:szCs w:val="28"/>
        </w:rPr>
      </w:pPr>
      <w:r w:rsidRPr="006B6A3E">
        <w:rPr>
          <w:rFonts w:eastAsia="Calibri"/>
          <w:szCs w:val="28"/>
        </w:rPr>
        <w:t xml:space="preserve">           043 задовільні</w:t>
      </w:r>
    </w:p>
    <w:p w:rsidR="006B6A3E" w:rsidRPr="006B6A3E" w:rsidRDefault="006B6A3E" w:rsidP="000A4B79">
      <w:pPr>
        <w:tabs>
          <w:tab w:val="left" w:pos="760"/>
        </w:tabs>
        <w:jc w:val="left"/>
        <w:rPr>
          <w:rFonts w:eastAsia="Calibri"/>
          <w:szCs w:val="28"/>
        </w:rPr>
      </w:pPr>
      <w:r w:rsidRPr="006B6A3E">
        <w:rPr>
          <w:rFonts w:eastAsia="Calibri"/>
          <w:szCs w:val="28"/>
        </w:rPr>
        <w:t xml:space="preserve">           044 недостатні</w:t>
      </w:r>
    </w:p>
    <w:p w:rsidR="006B6A3E" w:rsidRPr="006B6A3E" w:rsidRDefault="006B6A3E" w:rsidP="000A4B79">
      <w:pPr>
        <w:tabs>
          <w:tab w:val="left" w:pos="760"/>
        </w:tabs>
        <w:jc w:val="left"/>
        <w:rPr>
          <w:rFonts w:eastAsia="Calibri"/>
          <w:szCs w:val="28"/>
        </w:rPr>
      </w:pPr>
      <w:r w:rsidRPr="006B6A3E">
        <w:rPr>
          <w:rFonts w:eastAsia="Calibri"/>
          <w:szCs w:val="28"/>
        </w:rPr>
        <w:t xml:space="preserve">           045 вкрай недостатні</w:t>
      </w:r>
    </w:p>
    <w:p w:rsidR="006B6A3E" w:rsidRPr="006B6A3E" w:rsidRDefault="006B6A3E" w:rsidP="000A4B79">
      <w:pPr>
        <w:tabs>
          <w:tab w:val="left" w:pos="617"/>
        </w:tabs>
        <w:rPr>
          <w:rFonts w:eastAsia="Calibri"/>
          <w:szCs w:val="28"/>
        </w:rPr>
      </w:pPr>
      <w:r w:rsidRPr="006B6A3E">
        <w:rPr>
          <w:rFonts w:eastAsia="Calibri"/>
          <w:szCs w:val="28"/>
        </w:rPr>
        <w:t xml:space="preserve">          </w:t>
      </w:r>
      <w:r w:rsidRPr="006B6A3E">
        <w:rPr>
          <w:rFonts w:eastAsia="Calibri"/>
          <w:szCs w:val="28"/>
          <w:lang w:val="ru-RU"/>
        </w:rPr>
        <w:t xml:space="preserve">- </w:t>
      </w:r>
      <w:r w:rsidRPr="006B6A3E">
        <w:rPr>
          <w:rFonts w:eastAsia="Calibri"/>
          <w:szCs w:val="28"/>
        </w:rPr>
        <w:t>кровава блювота</w:t>
      </w:r>
    </w:p>
    <w:p w:rsidR="006B6A3E" w:rsidRPr="006B6A3E" w:rsidRDefault="006B6A3E" w:rsidP="000A4B79">
      <w:pPr>
        <w:tabs>
          <w:tab w:val="left" w:pos="760"/>
        </w:tabs>
        <w:jc w:val="left"/>
        <w:rPr>
          <w:rFonts w:eastAsia="Calibri"/>
          <w:szCs w:val="28"/>
        </w:rPr>
      </w:pPr>
      <w:r w:rsidRPr="006B6A3E">
        <w:rPr>
          <w:rFonts w:eastAsia="Calibri"/>
          <w:szCs w:val="28"/>
        </w:rPr>
        <w:t xml:space="preserve">           046 добрі</w:t>
      </w:r>
    </w:p>
    <w:p w:rsidR="006B6A3E" w:rsidRPr="006B6A3E" w:rsidRDefault="006B6A3E" w:rsidP="000A4B79">
      <w:pPr>
        <w:tabs>
          <w:tab w:val="left" w:pos="760"/>
        </w:tabs>
        <w:jc w:val="left"/>
        <w:rPr>
          <w:rFonts w:eastAsia="Calibri"/>
          <w:szCs w:val="28"/>
        </w:rPr>
      </w:pPr>
      <w:r w:rsidRPr="006B6A3E">
        <w:rPr>
          <w:rFonts w:eastAsia="Calibri"/>
          <w:szCs w:val="28"/>
        </w:rPr>
        <w:t xml:space="preserve">           047 задовільні</w:t>
      </w:r>
    </w:p>
    <w:p w:rsidR="006B6A3E" w:rsidRPr="006B6A3E" w:rsidRDefault="006B6A3E" w:rsidP="000A4B79">
      <w:pPr>
        <w:tabs>
          <w:tab w:val="left" w:pos="760"/>
        </w:tabs>
        <w:jc w:val="left"/>
        <w:rPr>
          <w:rFonts w:eastAsia="Calibri"/>
          <w:szCs w:val="28"/>
        </w:rPr>
      </w:pPr>
      <w:r w:rsidRPr="006B6A3E">
        <w:rPr>
          <w:rFonts w:eastAsia="Calibri"/>
          <w:szCs w:val="28"/>
        </w:rPr>
        <w:t xml:space="preserve">           048 недостатні</w:t>
      </w:r>
    </w:p>
    <w:p w:rsidR="006B6A3E" w:rsidRPr="006B6A3E" w:rsidRDefault="006B6A3E" w:rsidP="000A4B79">
      <w:pPr>
        <w:tabs>
          <w:tab w:val="left" w:pos="760"/>
        </w:tabs>
        <w:jc w:val="left"/>
        <w:rPr>
          <w:rFonts w:eastAsia="Calibri"/>
          <w:szCs w:val="28"/>
        </w:rPr>
      </w:pPr>
      <w:r w:rsidRPr="006B6A3E">
        <w:rPr>
          <w:rFonts w:eastAsia="Calibri"/>
          <w:szCs w:val="28"/>
        </w:rPr>
        <w:t xml:space="preserve">           049 вкрай недостатні</w:t>
      </w:r>
    </w:p>
    <w:p w:rsidR="006B6A3E" w:rsidRPr="006B6A3E" w:rsidRDefault="006B6A3E" w:rsidP="000A4B79">
      <w:pPr>
        <w:tabs>
          <w:tab w:val="left" w:pos="617"/>
        </w:tabs>
        <w:rPr>
          <w:rFonts w:eastAsia="Calibri"/>
          <w:szCs w:val="28"/>
        </w:rPr>
      </w:pPr>
      <w:r w:rsidRPr="006B6A3E">
        <w:rPr>
          <w:rFonts w:eastAsia="Calibri"/>
          <w:szCs w:val="28"/>
        </w:rPr>
        <w:t xml:space="preserve">          </w:t>
      </w:r>
      <w:r w:rsidRPr="006B6A3E">
        <w:rPr>
          <w:rFonts w:eastAsia="Calibri"/>
          <w:szCs w:val="28"/>
          <w:lang w:val="ru-RU"/>
        </w:rPr>
        <w:t xml:space="preserve">- </w:t>
      </w:r>
      <w:r w:rsidRPr="006B6A3E">
        <w:rPr>
          <w:rFonts w:eastAsia="Calibri"/>
          <w:szCs w:val="28"/>
        </w:rPr>
        <w:t>круп</w:t>
      </w:r>
    </w:p>
    <w:p w:rsidR="006B6A3E" w:rsidRPr="006B6A3E" w:rsidRDefault="006B6A3E" w:rsidP="000A4B79">
      <w:pPr>
        <w:tabs>
          <w:tab w:val="left" w:pos="760"/>
        </w:tabs>
        <w:jc w:val="left"/>
        <w:rPr>
          <w:rFonts w:eastAsia="Calibri"/>
          <w:szCs w:val="28"/>
        </w:rPr>
      </w:pPr>
      <w:r w:rsidRPr="006B6A3E">
        <w:rPr>
          <w:rFonts w:eastAsia="Calibri"/>
          <w:szCs w:val="28"/>
        </w:rPr>
        <w:t xml:space="preserve">           050 добрі</w:t>
      </w:r>
    </w:p>
    <w:p w:rsidR="006B6A3E" w:rsidRPr="006B6A3E" w:rsidRDefault="006B6A3E" w:rsidP="000A4B79">
      <w:pPr>
        <w:tabs>
          <w:tab w:val="left" w:pos="760"/>
        </w:tabs>
        <w:jc w:val="left"/>
        <w:rPr>
          <w:rFonts w:eastAsia="Calibri"/>
          <w:szCs w:val="28"/>
        </w:rPr>
      </w:pPr>
      <w:r w:rsidRPr="006B6A3E">
        <w:rPr>
          <w:rFonts w:eastAsia="Calibri"/>
          <w:szCs w:val="28"/>
        </w:rPr>
        <w:t xml:space="preserve">           051 задовільні</w:t>
      </w:r>
    </w:p>
    <w:p w:rsidR="006B6A3E" w:rsidRPr="006B6A3E" w:rsidRDefault="006B6A3E" w:rsidP="000A4B79">
      <w:pPr>
        <w:tabs>
          <w:tab w:val="left" w:pos="760"/>
        </w:tabs>
        <w:jc w:val="left"/>
        <w:rPr>
          <w:rFonts w:eastAsia="Calibri"/>
          <w:szCs w:val="28"/>
        </w:rPr>
      </w:pPr>
      <w:r w:rsidRPr="006B6A3E">
        <w:rPr>
          <w:rFonts w:eastAsia="Calibri"/>
          <w:szCs w:val="28"/>
        </w:rPr>
        <w:t xml:space="preserve">           052 недостатні</w:t>
      </w:r>
    </w:p>
    <w:p w:rsidR="006B6A3E" w:rsidRPr="006B6A3E" w:rsidRDefault="006B6A3E" w:rsidP="000A4B79">
      <w:pPr>
        <w:tabs>
          <w:tab w:val="left" w:pos="760"/>
        </w:tabs>
        <w:jc w:val="left"/>
        <w:rPr>
          <w:rFonts w:eastAsia="Calibri"/>
          <w:szCs w:val="28"/>
        </w:rPr>
      </w:pPr>
      <w:r w:rsidRPr="006B6A3E">
        <w:rPr>
          <w:rFonts w:eastAsia="Calibri"/>
          <w:szCs w:val="28"/>
        </w:rPr>
        <w:t xml:space="preserve">           053 вкрай недостатні</w:t>
      </w:r>
    </w:p>
    <w:p w:rsidR="006B6A3E" w:rsidRPr="006B6A3E" w:rsidRDefault="006B6A3E" w:rsidP="000A4B79">
      <w:pPr>
        <w:tabs>
          <w:tab w:val="left" w:pos="617"/>
        </w:tabs>
        <w:rPr>
          <w:rFonts w:eastAsia="Calibri"/>
          <w:szCs w:val="28"/>
        </w:rPr>
      </w:pPr>
      <w:r w:rsidRPr="006B6A3E">
        <w:rPr>
          <w:rFonts w:eastAsia="Calibri"/>
          <w:szCs w:val="28"/>
        </w:rPr>
        <w:t xml:space="preserve">          - опік дихальних шляхів</w:t>
      </w:r>
    </w:p>
    <w:p w:rsidR="006B6A3E" w:rsidRPr="006B6A3E" w:rsidRDefault="006B6A3E" w:rsidP="000A4B79">
      <w:pPr>
        <w:tabs>
          <w:tab w:val="left" w:pos="760"/>
        </w:tabs>
        <w:jc w:val="left"/>
        <w:rPr>
          <w:rFonts w:eastAsia="Calibri"/>
          <w:szCs w:val="28"/>
        </w:rPr>
      </w:pPr>
      <w:r w:rsidRPr="006B6A3E">
        <w:rPr>
          <w:rFonts w:eastAsia="Calibri"/>
          <w:szCs w:val="28"/>
        </w:rPr>
        <w:t xml:space="preserve">           054 добрі</w:t>
      </w:r>
    </w:p>
    <w:p w:rsidR="006B6A3E" w:rsidRPr="006B6A3E" w:rsidRDefault="006B6A3E" w:rsidP="000A4B79">
      <w:pPr>
        <w:tabs>
          <w:tab w:val="left" w:pos="760"/>
        </w:tabs>
        <w:jc w:val="left"/>
        <w:rPr>
          <w:rFonts w:eastAsia="Calibri"/>
          <w:szCs w:val="28"/>
        </w:rPr>
      </w:pPr>
      <w:r w:rsidRPr="006B6A3E">
        <w:rPr>
          <w:rFonts w:eastAsia="Calibri"/>
          <w:szCs w:val="28"/>
        </w:rPr>
        <w:t xml:space="preserve">           055 задовільні</w:t>
      </w:r>
    </w:p>
    <w:p w:rsidR="006B6A3E" w:rsidRPr="006B6A3E" w:rsidRDefault="006B6A3E" w:rsidP="000A4B79">
      <w:pPr>
        <w:tabs>
          <w:tab w:val="left" w:pos="760"/>
        </w:tabs>
        <w:jc w:val="left"/>
        <w:rPr>
          <w:rFonts w:eastAsia="Calibri"/>
          <w:szCs w:val="28"/>
        </w:rPr>
      </w:pPr>
      <w:r w:rsidRPr="006B6A3E">
        <w:rPr>
          <w:rFonts w:eastAsia="Calibri"/>
          <w:szCs w:val="28"/>
        </w:rPr>
        <w:t xml:space="preserve">           056 недостатні</w:t>
      </w:r>
    </w:p>
    <w:p w:rsidR="006B6A3E" w:rsidRPr="006B6A3E" w:rsidRDefault="006B6A3E" w:rsidP="000A4B79">
      <w:pPr>
        <w:tabs>
          <w:tab w:val="left" w:pos="760"/>
        </w:tabs>
        <w:jc w:val="left"/>
        <w:rPr>
          <w:rFonts w:eastAsia="Calibri"/>
          <w:szCs w:val="28"/>
        </w:rPr>
      </w:pPr>
      <w:r w:rsidRPr="006B6A3E">
        <w:rPr>
          <w:rFonts w:eastAsia="Calibri"/>
          <w:szCs w:val="28"/>
        </w:rPr>
        <w:lastRenderedPageBreak/>
        <w:t xml:space="preserve">           057 вкрай недостатні</w:t>
      </w:r>
    </w:p>
    <w:p w:rsidR="006B6A3E" w:rsidRPr="006B6A3E" w:rsidRDefault="006B6A3E" w:rsidP="000A4B79">
      <w:pPr>
        <w:tabs>
          <w:tab w:val="left" w:pos="617"/>
        </w:tabs>
        <w:rPr>
          <w:rFonts w:eastAsia="Calibri"/>
          <w:szCs w:val="28"/>
        </w:rPr>
      </w:pPr>
      <w:r w:rsidRPr="006B6A3E">
        <w:rPr>
          <w:rFonts w:eastAsia="Calibri"/>
          <w:szCs w:val="28"/>
        </w:rPr>
        <w:t xml:space="preserve">          - опіки</w:t>
      </w:r>
    </w:p>
    <w:p w:rsidR="006B6A3E" w:rsidRPr="006B6A3E" w:rsidRDefault="006B6A3E" w:rsidP="000A4B79">
      <w:pPr>
        <w:tabs>
          <w:tab w:val="left" w:pos="760"/>
        </w:tabs>
        <w:jc w:val="left"/>
        <w:rPr>
          <w:rFonts w:eastAsia="Calibri"/>
          <w:szCs w:val="28"/>
        </w:rPr>
      </w:pPr>
      <w:r w:rsidRPr="006B6A3E">
        <w:rPr>
          <w:rFonts w:eastAsia="Calibri"/>
          <w:szCs w:val="28"/>
        </w:rPr>
        <w:t xml:space="preserve">           058 добрі</w:t>
      </w:r>
    </w:p>
    <w:p w:rsidR="006B6A3E" w:rsidRPr="006B6A3E" w:rsidRDefault="006B6A3E" w:rsidP="000A4B79">
      <w:pPr>
        <w:tabs>
          <w:tab w:val="left" w:pos="760"/>
        </w:tabs>
        <w:jc w:val="left"/>
        <w:rPr>
          <w:rFonts w:eastAsia="Calibri"/>
          <w:szCs w:val="28"/>
        </w:rPr>
      </w:pPr>
      <w:r w:rsidRPr="006B6A3E">
        <w:rPr>
          <w:rFonts w:eastAsia="Calibri"/>
          <w:szCs w:val="28"/>
        </w:rPr>
        <w:t xml:space="preserve">           059 задовільні</w:t>
      </w:r>
    </w:p>
    <w:p w:rsidR="006B6A3E" w:rsidRPr="006B6A3E" w:rsidRDefault="006B6A3E" w:rsidP="000A4B79">
      <w:pPr>
        <w:tabs>
          <w:tab w:val="left" w:pos="760"/>
        </w:tabs>
        <w:jc w:val="left"/>
        <w:rPr>
          <w:rFonts w:eastAsia="Calibri"/>
          <w:szCs w:val="28"/>
        </w:rPr>
      </w:pPr>
      <w:r w:rsidRPr="006B6A3E">
        <w:rPr>
          <w:rFonts w:eastAsia="Calibri"/>
          <w:szCs w:val="28"/>
        </w:rPr>
        <w:t xml:space="preserve">           060 недостатні</w:t>
      </w:r>
    </w:p>
    <w:p w:rsidR="006B6A3E" w:rsidRPr="006B6A3E" w:rsidRDefault="006B6A3E" w:rsidP="006B6A3E">
      <w:pPr>
        <w:tabs>
          <w:tab w:val="left" w:pos="760"/>
        </w:tabs>
        <w:jc w:val="left"/>
        <w:rPr>
          <w:rFonts w:eastAsia="Calibri"/>
          <w:szCs w:val="28"/>
        </w:rPr>
      </w:pPr>
      <w:r w:rsidRPr="006B6A3E">
        <w:rPr>
          <w:rFonts w:eastAsia="Calibri"/>
          <w:szCs w:val="28"/>
        </w:rPr>
        <w:t xml:space="preserve">           061 вкрай недостатні</w:t>
      </w:r>
    </w:p>
    <w:p w:rsidR="006B6A3E" w:rsidRPr="006B6A3E" w:rsidRDefault="006B6A3E" w:rsidP="006B6A3E">
      <w:pPr>
        <w:tabs>
          <w:tab w:val="left" w:pos="617"/>
        </w:tabs>
        <w:rPr>
          <w:rFonts w:eastAsia="Calibri"/>
          <w:szCs w:val="28"/>
        </w:rPr>
      </w:pPr>
      <w:r w:rsidRPr="006B6A3E">
        <w:rPr>
          <w:rFonts w:eastAsia="Calibri"/>
          <w:szCs w:val="28"/>
        </w:rPr>
        <w:t xml:space="preserve">          - падіння з висоти</w:t>
      </w:r>
    </w:p>
    <w:p w:rsidR="006B6A3E" w:rsidRPr="006B6A3E" w:rsidRDefault="006B6A3E" w:rsidP="006B6A3E">
      <w:pPr>
        <w:tabs>
          <w:tab w:val="left" w:pos="760"/>
        </w:tabs>
        <w:jc w:val="left"/>
        <w:rPr>
          <w:rFonts w:eastAsia="Calibri"/>
          <w:szCs w:val="28"/>
        </w:rPr>
      </w:pPr>
      <w:r w:rsidRPr="006B6A3E">
        <w:rPr>
          <w:rFonts w:eastAsia="Calibri"/>
          <w:szCs w:val="28"/>
        </w:rPr>
        <w:t xml:space="preserve">           062 добрі</w:t>
      </w:r>
    </w:p>
    <w:p w:rsidR="006B6A3E" w:rsidRPr="006B6A3E" w:rsidRDefault="006B6A3E" w:rsidP="006B6A3E">
      <w:pPr>
        <w:tabs>
          <w:tab w:val="left" w:pos="760"/>
        </w:tabs>
        <w:jc w:val="left"/>
        <w:rPr>
          <w:rFonts w:eastAsia="Calibri"/>
          <w:szCs w:val="28"/>
        </w:rPr>
      </w:pPr>
      <w:r w:rsidRPr="006B6A3E">
        <w:rPr>
          <w:rFonts w:eastAsia="Calibri"/>
          <w:szCs w:val="28"/>
        </w:rPr>
        <w:t xml:space="preserve">           063 задовільні</w:t>
      </w:r>
    </w:p>
    <w:p w:rsidR="006B6A3E" w:rsidRPr="006B6A3E" w:rsidRDefault="006B6A3E" w:rsidP="006B6A3E">
      <w:pPr>
        <w:tabs>
          <w:tab w:val="left" w:pos="760"/>
        </w:tabs>
        <w:jc w:val="left"/>
        <w:rPr>
          <w:rFonts w:eastAsia="Calibri"/>
          <w:szCs w:val="28"/>
        </w:rPr>
      </w:pPr>
      <w:r w:rsidRPr="006B6A3E">
        <w:rPr>
          <w:rFonts w:eastAsia="Calibri"/>
          <w:szCs w:val="28"/>
        </w:rPr>
        <w:t xml:space="preserve">           064 недостатні</w:t>
      </w:r>
    </w:p>
    <w:p w:rsidR="006B6A3E" w:rsidRPr="006B6A3E" w:rsidRDefault="006B6A3E" w:rsidP="006B6A3E">
      <w:pPr>
        <w:tabs>
          <w:tab w:val="left" w:pos="760"/>
        </w:tabs>
        <w:jc w:val="left"/>
        <w:rPr>
          <w:rFonts w:eastAsia="Calibri"/>
          <w:szCs w:val="28"/>
        </w:rPr>
      </w:pPr>
      <w:r w:rsidRPr="006B6A3E">
        <w:rPr>
          <w:rFonts w:eastAsia="Calibri"/>
          <w:szCs w:val="28"/>
        </w:rPr>
        <w:t xml:space="preserve">           065 вкрай недостатні</w:t>
      </w:r>
    </w:p>
    <w:p w:rsidR="006B6A3E" w:rsidRPr="006B6A3E" w:rsidRDefault="006B6A3E" w:rsidP="006B6A3E">
      <w:pPr>
        <w:tabs>
          <w:tab w:val="left" w:pos="617"/>
        </w:tabs>
        <w:rPr>
          <w:rFonts w:eastAsia="Calibri"/>
          <w:szCs w:val="28"/>
        </w:rPr>
      </w:pPr>
      <w:r w:rsidRPr="006B6A3E">
        <w:rPr>
          <w:rFonts w:eastAsia="Calibri"/>
          <w:szCs w:val="28"/>
        </w:rPr>
        <w:t xml:space="preserve">          - блювота </w:t>
      </w:r>
    </w:p>
    <w:p w:rsidR="006B6A3E" w:rsidRPr="006B6A3E" w:rsidRDefault="006B6A3E" w:rsidP="006B6A3E">
      <w:pPr>
        <w:tabs>
          <w:tab w:val="left" w:pos="760"/>
        </w:tabs>
        <w:jc w:val="left"/>
        <w:rPr>
          <w:rFonts w:eastAsia="Calibri"/>
          <w:szCs w:val="28"/>
        </w:rPr>
      </w:pPr>
      <w:r w:rsidRPr="006B6A3E">
        <w:rPr>
          <w:rFonts w:eastAsia="Calibri"/>
          <w:szCs w:val="28"/>
        </w:rPr>
        <w:t xml:space="preserve">           066 добрі</w:t>
      </w:r>
    </w:p>
    <w:p w:rsidR="006B6A3E" w:rsidRPr="006B6A3E" w:rsidRDefault="006B6A3E" w:rsidP="006B6A3E">
      <w:pPr>
        <w:tabs>
          <w:tab w:val="left" w:pos="760"/>
        </w:tabs>
        <w:jc w:val="left"/>
        <w:rPr>
          <w:rFonts w:eastAsia="Calibri"/>
          <w:szCs w:val="28"/>
        </w:rPr>
      </w:pPr>
      <w:r w:rsidRPr="006B6A3E">
        <w:rPr>
          <w:rFonts w:eastAsia="Calibri"/>
          <w:szCs w:val="28"/>
        </w:rPr>
        <w:t xml:space="preserve">           067 задовільні</w:t>
      </w:r>
    </w:p>
    <w:p w:rsidR="006B6A3E" w:rsidRPr="006B6A3E" w:rsidRDefault="006B6A3E" w:rsidP="006B6A3E">
      <w:pPr>
        <w:tabs>
          <w:tab w:val="left" w:pos="760"/>
        </w:tabs>
        <w:jc w:val="left"/>
        <w:rPr>
          <w:rFonts w:eastAsia="Calibri"/>
          <w:szCs w:val="28"/>
        </w:rPr>
      </w:pPr>
      <w:r w:rsidRPr="006B6A3E">
        <w:rPr>
          <w:rFonts w:eastAsia="Calibri"/>
          <w:szCs w:val="28"/>
        </w:rPr>
        <w:t xml:space="preserve">           068 недостатні</w:t>
      </w:r>
    </w:p>
    <w:p w:rsidR="006B6A3E" w:rsidRPr="006B6A3E" w:rsidRDefault="006B6A3E" w:rsidP="006B6A3E">
      <w:pPr>
        <w:tabs>
          <w:tab w:val="left" w:pos="760"/>
        </w:tabs>
        <w:jc w:val="left"/>
        <w:rPr>
          <w:rFonts w:eastAsia="Calibri"/>
          <w:szCs w:val="28"/>
        </w:rPr>
      </w:pPr>
      <w:r w:rsidRPr="006B6A3E">
        <w:rPr>
          <w:rFonts w:eastAsia="Calibri"/>
          <w:szCs w:val="28"/>
        </w:rPr>
        <w:t xml:space="preserve">           069 вкрай недостатні</w:t>
      </w:r>
    </w:p>
    <w:p w:rsidR="006B6A3E" w:rsidRPr="006B6A3E" w:rsidRDefault="006B6A3E" w:rsidP="006B6A3E">
      <w:pPr>
        <w:tabs>
          <w:tab w:val="left" w:pos="617"/>
        </w:tabs>
        <w:rPr>
          <w:rFonts w:eastAsia="Calibri"/>
          <w:szCs w:val="28"/>
        </w:rPr>
      </w:pPr>
      <w:r w:rsidRPr="006B6A3E">
        <w:rPr>
          <w:rFonts w:eastAsia="Calibri"/>
          <w:szCs w:val="28"/>
        </w:rPr>
        <w:t xml:space="preserve">          - судоми </w:t>
      </w:r>
    </w:p>
    <w:p w:rsidR="006B6A3E" w:rsidRPr="006B6A3E" w:rsidRDefault="006B6A3E" w:rsidP="006B6A3E">
      <w:pPr>
        <w:tabs>
          <w:tab w:val="left" w:pos="760"/>
        </w:tabs>
        <w:jc w:val="left"/>
        <w:rPr>
          <w:rFonts w:eastAsia="Calibri"/>
          <w:szCs w:val="28"/>
        </w:rPr>
      </w:pPr>
      <w:r w:rsidRPr="006B6A3E">
        <w:rPr>
          <w:rFonts w:eastAsia="Calibri"/>
          <w:szCs w:val="28"/>
        </w:rPr>
        <w:t xml:space="preserve">           070 добрі</w:t>
      </w:r>
    </w:p>
    <w:p w:rsidR="006B6A3E" w:rsidRPr="006B6A3E" w:rsidRDefault="006B6A3E" w:rsidP="006B6A3E">
      <w:pPr>
        <w:tabs>
          <w:tab w:val="left" w:pos="760"/>
        </w:tabs>
        <w:jc w:val="left"/>
        <w:rPr>
          <w:rFonts w:eastAsia="Calibri"/>
          <w:szCs w:val="28"/>
        </w:rPr>
      </w:pPr>
      <w:r w:rsidRPr="006B6A3E">
        <w:rPr>
          <w:rFonts w:eastAsia="Calibri"/>
          <w:szCs w:val="28"/>
        </w:rPr>
        <w:t xml:space="preserve">           071 задовільні</w:t>
      </w:r>
    </w:p>
    <w:p w:rsidR="006B6A3E" w:rsidRPr="006B6A3E" w:rsidRDefault="006B6A3E" w:rsidP="006B6A3E">
      <w:pPr>
        <w:tabs>
          <w:tab w:val="left" w:pos="760"/>
        </w:tabs>
        <w:jc w:val="left"/>
        <w:rPr>
          <w:rFonts w:eastAsia="Calibri"/>
          <w:szCs w:val="28"/>
        </w:rPr>
      </w:pPr>
      <w:r w:rsidRPr="006B6A3E">
        <w:rPr>
          <w:rFonts w:eastAsia="Calibri"/>
          <w:szCs w:val="28"/>
        </w:rPr>
        <w:t xml:space="preserve">           072 недостатні</w:t>
      </w:r>
    </w:p>
    <w:p w:rsidR="006B6A3E" w:rsidRPr="006B6A3E" w:rsidRDefault="006B6A3E" w:rsidP="006B6A3E">
      <w:pPr>
        <w:tabs>
          <w:tab w:val="left" w:pos="760"/>
        </w:tabs>
        <w:jc w:val="left"/>
        <w:rPr>
          <w:rFonts w:eastAsia="Calibri"/>
          <w:szCs w:val="28"/>
        </w:rPr>
      </w:pPr>
      <w:r w:rsidRPr="006B6A3E">
        <w:rPr>
          <w:rFonts w:eastAsia="Calibri"/>
          <w:szCs w:val="28"/>
        </w:rPr>
        <w:t xml:space="preserve">           073 вкрай недостатні</w:t>
      </w:r>
    </w:p>
    <w:p w:rsidR="006B6A3E" w:rsidRPr="006B6A3E" w:rsidRDefault="006B6A3E" w:rsidP="006B6A3E">
      <w:pPr>
        <w:tabs>
          <w:tab w:val="left" w:pos="617"/>
        </w:tabs>
        <w:rPr>
          <w:rFonts w:eastAsia="Calibri"/>
          <w:szCs w:val="28"/>
        </w:rPr>
      </w:pPr>
      <w:r w:rsidRPr="006B6A3E">
        <w:rPr>
          <w:rFonts w:eastAsia="Calibri"/>
          <w:szCs w:val="28"/>
        </w:rPr>
        <w:t xml:space="preserve">          - травма грудної  клітки</w:t>
      </w:r>
    </w:p>
    <w:p w:rsidR="006B6A3E" w:rsidRPr="006B6A3E" w:rsidRDefault="006B6A3E" w:rsidP="006B6A3E">
      <w:pPr>
        <w:tabs>
          <w:tab w:val="left" w:pos="760"/>
        </w:tabs>
        <w:jc w:val="left"/>
        <w:rPr>
          <w:rFonts w:eastAsia="Calibri"/>
          <w:szCs w:val="28"/>
        </w:rPr>
      </w:pPr>
      <w:r w:rsidRPr="006B6A3E">
        <w:rPr>
          <w:rFonts w:eastAsia="Calibri"/>
          <w:szCs w:val="28"/>
        </w:rPr>
        <w:t xml:space="preserve">           074 добрі</w:t>
      </w:r>
    </w:p>
    <w:p w:rsidR="006B6A3E" w:rsidRPr="006B6A3E" w:rsidRDefault="006B6A3E" w:rsidP="006B6A3E">
      <w:pPr>
        <w:tabs>
          <w:tab w:val="left" w:pos="760"/>
        </w:tabs>
        <w:jc w:val="left"/>
        <w:rPr>
          <w:rFonts w:eastAsia="Calibri"/>
          <w:szCs w:val="28"/>
        </w:rPr>
      </w:pPr>
      <w:r w:rsidRPr="006B6A3E">
        <w:rPr>
          <w:rFonts w:eastAsia="Calibri"/>
          <w:szCs w:val="28"/>
        </w:rPr>
        <w:t xml:space="preserve">           075 задовільні</w:t>
      </w:r>
    </w:p>
    <w:p w:rsidR="006B6A3E" w:rsidRPr="006B6A3E" w:rsidRDefault="006B6A3E" w:rsidP="006B6A3E">
      <w:pPr>
        <w:tabs>
          <w:tab w:val="left" w:pos="760"/>
        </w:tabs>
        <w:jc w:val="left"/>
        <w:rPr>
          <w:rFonts w:eastAsia="Calibri"/>
          <w:szCs w:val="28"/>
        </w:rPr>
      </w:pPr>
      <w:r w:rsidRPr="006B6A3E">
        <w:rPr>
          <w:rFonts w:eastAsia="Calibri"/>
          <w:szCs w:val="28"/>
        </w:rPr>
        <w:t xml:space="preserve">           076 недостатні</w:t>
      </w:r>
    </w:p>
    <w:p w:rsidR="006B6A3E" w:rsidRPr="006B6A3E" w:rsidRDefault="006B6A3E" w:rsidP="006B6A3E">
      <w:pPr>
        <w:tabs>
          <w:tab w:val="left" w:pos="760"/>
        </w:tabs>
        <w:jc w:val="left"/>
        <w:rPr>
          <w:rFonts w:eastAsia="Calibri"/>
          <w:szCs w:val="28"/>
        </w:rPr>
      </w:pPr>
      <w:r w:rsidRPr="006B6A3E">
        <w:rPr>
          <w:rFonts w:eastAsia="Calibri"/>
          <w:szCs w:val="28"/>
        </w:rPr>
        <w:t xml:space="preserve">           077 вкрай недостатні</w:t>
      </w:r>
    </w:p>
    <w:p w:rsidR="006B6A3E" w:rsidRPr="006B6A3E" w:rsidRDefault="006B6A3E" w:rsidP="006B6A3E">
      <w:pPr>
        <w:tabs>
          <w:tab w:val="left" w:pos="617"/>
        </w:tabs>
        <w:rPr>
          <w:rFonts w:eastAsia="Calibri"/>
          <w:szCs w:val="28"/>
        </w:rPr>
      </w:pPr>
      <w:r w:rsidRPr="006B6A3E">
        <w:rPr>
          <w:rFonts w:eastAsia="Calibri"/>
          <w:szCs w:val="28"/>
        </w:rPr>
        <w:t xml:space="preserve">          - травма живота</w:t>
      </w:r>
    </w:p>
    <w:p w:rsidR="006B6A3E" w:rsidRPr="006B6A3E" w:rsidRDefault="006B6A3E" w:rsidP="006B6A3E">
      <w:pPr>
        <w:tabs>
          <w:tab w:val="left" w:pos="760"/>
        </w:tabs>
        <w:jc w:val="left"/>
        <w:rPr>
          <w:rFonts w:eastAsia="Calibri"/>
          <w:szCs w:val="28"/>
        </w:rPr>
      </w:pPr>
      <w:r w:rsidRPr="006B6A3E">
        <w:rPr>
          <w:rFonts w:eastAsia="Calibri"/>
          <w:szCs w:val="28"/>
        </w:rPr>
        <w:t xml:space="preserve">           078 добрі</w:t>
      </w:r>
    </w:p>
    <w:p w:rsidR="006B6A3E" w:rsidRPr="006B6A3E" w:rsidRDefault="006B6A3E" w:rsidP="006B6A3E">
      <w:pPr>
        <w:tabs>
          <w:tab w:val="left" w:pos="760"/>
        </w:tabs>
        <w:jc w:val="left"/>
        <w:rPr>
          <w:rFonts w:eastAsia="Calibri"/>
          <w:szCs w:val="28"/>
        </w:rPr>
      </w:pPr>
      <w:r w:rsidRPr="006B6A3E">
        <w:rPr>
          <w:rFonts w:eastAsia="Calibri"/>
          <w:szCs w:val="28"/>
        </w:rPr>
        <w:t xml:space="preserve">           079 задовільні</w:t>
      </w:r>
    </w:p>
    <w:p w:rsidR="006B6A3E" w:rsidRPr="006B6A3E" w:rsidRDefault="006B6A3E" w:rsidP="006B6A3E">
      <w:pPr>
        <w:tabs>
          <w:tab w:val="left" w:pos="760"/>
        </w:tabs>
        <w:jc w:val="left"/>
        <w:rPr>
          <w:rFonts w:eastAsia="Calibri"/>
          <w:szCs w:val="28"/>
        </w:rPr>
      </w:pPr>
      <w:r w:rsidRPr="006B6A3E">
        <w:rPr>
          <w:rFonts w:eastAsia="Calibri"/>
          <w:szCs w:val="28"/>
        </w:rPr>
        <w:t xml:space="preserve">           080 недостатні</w:t>
      </w:r>
    </w:p>
    <w:p w:rsidR="006B6A3E" w:rsidRPr="006B6A3E" w:rsidRDefault="006B6A3E" w:rsidP="006B6A3E">
      <w:pPr>
        <w:tabs>
          <w:tab w:val="left" w:pos="760"/>
        </w:tabs>
        <w:jc w:val="left"/>
        <w:rPr>
          <w:rFonts w:eastAsia="Calibri"/>
          <w:szCs w:val="28"/>
        </w:rPr>
      </w:pPr>
      <w:r w:rsidRPr="006B6A3E">
        <w:rPr>
          <w:rFonts w:eastAsia="Calibri"/>
          <w:szCs w:val="28"/>
        </w:rPr>
        <w:lastRenderedPageBreak/>
        <w:t xml:space="preserve">           081 вкрай недостатні</w:t>
      </w:r>
    </w:p>
    <w:p w:rsidR="006B6A3E" w:rsidRPr="006B6A3E" w:rsidRDefault="006B6A3E" w:rsidP="006B6A3E">
      <w:pPr>
        <w:tabs>
          <w:tab w:val="left" w:pos="617"/>
        </w:tabs>
        <w:rPr>
          <w:rFonts w:eastAsia="Calibri"/>
          <w:szCs w:val="28"/>
        </w:rPr>
      </w:pPr>
      <w:r w:rsidRPr="006B6A3E">
        <w:rPr>
          <w:rFonts w:eastAsia="Calibri"/>
          <w:szCs w:val="28"/>
        </w:rPr>
        <w:t xml:space="preserve">          - черепно-мозкова травма </w:t>
      </w:r>
    </w:p>
    <w:p w:rsidR="006B6A3E" w:rsidRPr="006B6A3E" w:rsidRDefault="006B6A3E" w:rsidP="006B6A3E">
      <w:pPr>
        <w:tabs>
          <w:tab w:val="left" w:pos="760"/>
        </w:tabs>
        <w:jc w:val="left"/>
        <w:rPr>
          <w:rFonts w:eastAsia="Calibri"/>
          <w:szCs w:val="28"/>
        </w:rPr>
      </w:pPr>
      <w:r w:rsidRPr="006B6A3E">
        <w:rPr>
          <w:rFonts w:eastAsia="Calibri"/>
          <w:szCs w:val="28"/>
        </w:rPr>
        <w:t xml:space="preserve">           082 добрі</w:t>
      </w:r>
    </w:p>
    <w:p w:rsidR="006B6A3E" w:rsidRPr="006B6A3E" w:rsidRDefault="006B6A3E" w:rsidP="006B6A3E">
      <w:pPr>
        <w:tabs>
          <w:tab w:val="left" w:pos="760"/>
        </w:tabs>
        <w:jc w:val="left"/>
        <w:rPr>
          <w:rFonts w:eastAsia="Calibri"/>
          <w:szCs w:val="28"/>
        </w:rPr>
      </w:pPr>
      <w:r w:rsidRPr="006B6A3E">
        <w:rPr>
          <w:rFonts w:eastAsia="Calibri"/>
          <w:szCs w:val="28"/>
        </w:rPr>
        <w:t xml:space="preserve">           083 задовільні</w:t>
      </w:r>
    </w:p>
    <w:p w:rsidR="006B6A3E" w:rsidRPr="006B6A3E" w:rsidRDefault="006B6A3E" w:rsidP="006B6A3E">
      <w:pPr>
        <w:tabs>
          <w:tab w:val="left" w:pos="760"/>
        </w:tabs>
        <w:jc w:val="left"/>
        <w:rPr>
          <w:rFonts w:eastAsia="Calibri"/>
          <w:szCs w:val="28"/>
        </w:rPr>
      </w:pPr>
      <w:r w:rsidRPr="006B6A3E">
        <w:rPr>
          <w:rFonts w:eastAsia="Calibri"/>
          <w:szCs w:val="28"/>
        </w:rPr>
        <w:t xml:space="preserve">           084 недостатні</w:t>
      </w:r>
    </w:p>
    <w:p w:rsidR="006B6A3E" w:rsidRPr="006B6A3E" w:rsidRDefault="006B6A3E" w:rsidP="000A4B79">
      <w:pPr>
        <w:tabs>
          <w:tab w:val="left" w:pos="760"/>
        </w:tabs>
        <w:jc w:val="left"/>
        <w:rPr>
          <w:rFonts w:eastAsia="Calibri"/>
          <w:szCs w:val="28"/>
        </w:rPr>
      </w:pPr>
      <w:r w:rsidRPr="006B6A3E">
        <w:rPr>
          <w:rFonts w:eastAsia="Calibri"/>
          <w:szCs w:val="28"/>
        </w:rPr>
        <w:t xml:space="preserve">           085 вкрай недостатні</w:t>
      </w:r>
    </w:p>
    <w:p w:rsidR="006B6A3E" w:rsidRPr="006B6A3E" w:rsidRDefault="006B6A3E" w:rsidP="00E14BA5">
      <w:pPr>
        <w:numPr>
          <w:ilvl w:val="0"/>
          <w:numId w:val="34"/>
        </w:numPr>
        <w:tabs>
          <w:tab w:val="left" w:pos="617"/>
        </w:tabs>
        <w:spacing w:after="160"/>
        <w:contextualSpacing/>
        <w:rPr>
          <w:rFonts w:eastAsia="Calibri"/>
          <w:szCs w:val="28"/>
        </w:rPr>
      </w:pPr>
      <w:r w:rsidRPr="006B6A3E">
        <w:rPr>
          <w:rFonts w:eastAsia="Calibri"/>
          <w:szCs w:val="28"/>
        </w:rPr>
        <w:t xml:space="preserve"> Оцініть свої практичні навички з тактики дій при окремих станах, які загрожують життю дітей:</w:t>
      </w:r>
    </w:p>
    <w:p w:rsidR="006B6A3E" w:rsidRPr="006B6A3E" w:rsidRDefault="006B6A3E" w:rsidP="000A4B79">
      <w:pPr>
        <w:ind w:left="720"/>
        <w:contextualSpacing/>
        <w:rPr>
          <w:rFonts w:eastAsia="Calibri"/>
          <w:szCs w:val="28"/>
        </w:rPr>
      </w:pPr>
      <w:r w:rsidRPr="006B6A3E">
        <w:rPr>
          <w:rFonts w:eastAsia="Calibri"/>
          <w:szCs w:val="28"/>
          <w:lang w:val="ru-RU"/>
        </w:rPr>
        <w:t>-</w:t>
      </w:r>
      <w:r w:rsidRPr="006B6A3E">
        <w:rPr>
          <w:rFonts w:eastAsia="Calibri"/>
          <w:szCs w:val="28"/>
        </w:rPr>
        <w:t xml:space="preserve"> </w:t>
      </w:r>
      <w:r w:rsidRPr="006B6A3E">
        <w:rPr>
          <w:rFonts w:eastAsia="Calibri"/>
          <w:szCs w:val="28"/>
          <w:lang w:val="ru-RU"/>
        </w:rPr>
        <w:t xml:space="preserve"> </w:t>
      </w:r>
      <w:r w:rsidRPr="006B6A3E">
        <w:rPr>
          <w:rFonts w:eastAsia="Calibri"/>
          <w:szCs w:val="28"/>
        </w:rPr>
        <w:t>анафілактичний шок</w:t>
      </w:r>
    </w:p>
    <w:p w:rsidR="006B6A3E" w:rsidRPr="006B6A3E" w:rsidRDefault="006B6A3E" w:rsidP="000A4B79">
      <w:pPr>
        <w:tabs>
          <w:tab w:val="left" w:pos="760"/>
        </w:tabs>
        <w:jc w:val="left"/>
        <w:rPr>
          <w:rFonts w:eastAsia="Calibri"/>
          <w:szCs w:val="28"/>
        </w:rPr>
      </w:pPr>
      <w:r w:rsidRPr="006B6A3E">
        <w:rPr>
          <w:rFonts w:eastAsia="Calibri"/>
          <w:szCs w:val="28"/>
        </w:rPr>
        <w:tab/>
        <w:t>086 добрі</w:t>
      </w:r>
    </w:p>
    <w:p w:rsidR="006B6A3E" w:rsidRPr="006B6A3E" w:rsidRDefault="006B6A3E" w:rsidP="000A4B79">
      <w:pPr>
        <w:tabs>
          <w:tab w:val="left" w:pos="760"/>
        </w:tabs>
        <w:jc w:val="left"/>
        <w:rPr>
          <w:rFonts w:eastAsia="Calibri"/>
          <w:szCs w:val="28"/>
        </w:rPr>
      </w:pPr>
      <w:r w:rsidRPr="006B6A3E">
        <w:rPr>
          <w:rFonts w:eastAsia="Calibri"/>
          <w:szCs w:val="28"/>
        </w:rPr>
        <w:t xml:space="preserve">           087 задовільні</w:t>
      </w:r>
    </w:p>
    <w:p w:rsidR="006B6A3E" w:rsidRPr="006B6A3E" w:rsidRDefault="006B6A3E" w:rsidP="000A4B79">
      <w:pPr>
        <w:tabs>
          <w:tab w:val="left" w:pos="760"/>
        </w:tabs>
        <w:jc w:val="left"/>
        <w:rPr>
          <w:rFonts w:eastAsia="Calibri"/>
          <w:szCs w:val="28"/>
        </w:rPr>
      </w:pPr>
      <w:r w:rsidRPr="006B6A3E">
        <w:rPr>
          <w:rFonts w:eastAsia="Calibri"/>
          <w:szCs w:val="28"/>
        </w:rPr>
        <w:t xml:space="preserve">           088 недостатні</w:t>
      </w:r>
    </w:p>
    <w:p w:rsidR="006B6A3E" w:rsidRPr="006B6A3E" w:rsidRDefault="006B6A3E" w:rsidP="000A4B79">
      <w:pPr>
        <w:tabs>
          <w:tab w:val="left" w:pos="760"/>
        </w:tabs>
        <w:jc w:val="left"/>
        <w:rPr>
          <w:rFonts w:eastAsia="Calibri"/>
          <w:szCs w:val="28"/>
        </w:rPr>
      </w:pPr>
      <w:r w:rsidRPr="006B6A3E">
        <w:rPr>
          <w:rFonts w:eastAsia="Calibri"/>
          <w:szCs w:val="28"/>
        </w:rPr>
        <w:t xml:space="preserve">           089 вкрай недостатні</w:t>
      </w:r>
    </w:p>
    <w:p w:rsidR="006B6A3E" w:rsidRPr="006B6A3E" w:rsidRDefault="006B6A3E" w:rsidP="0074719A">
      <w:pPr>
        <w:numPr>
          <w:ilvl w:val="0"/>
          <w:numId w:val="35"/>
        </w:numPr>
        <w:tabs>
          <w:tab w:val="left" w:pos="617"/>
        </w:tabs>
        <w:spacing w:after="160"/>
        <w:contextualSpacing/>
        <w:jc w:val="left"/>
        <w:rPr>
          <w:rFonts w:eastAsia="Calibri"/>
          <w:szCs w:val="28"/>
        </w:rPr>
      </w:pPr>
      <w:r w:rsidRPr="006B6A3E">
        <w:rPr>
          <w:rFonts w:eastAsia="Calibri"/>
          <w:szCs w:val="28"/>
        </w:rPr>
        <w:t>вогнепальне поранення</w:t>
      </w:r>
    </w:p>
    <w:p w:rsidR="006B6A3E" w:rsidRPr="006B6A3E" w:rsidRDefault="006B6A3E" w:rsidP="000A4B79">
      <w:pPr>
        <w:tabs>
          <w:tab w:val="left" w:pos="760"/>
        </w:tabs>
        <w:jc w:val="left"/>
        <w:rPr>
          <w:rFonts w:eastAsia="Calibri"/>
          <w:szCs w:val="28"/>
        </w:rPr>
      </w:pPr>
      <w:r w:rsidRPr="006B6A3E">
        <w:rPr>
          <w:rFonts w:eastAsia="Calibri"/>
          <w:szCs w:val="28"/>
        </w:rPr>
        <w:t xml:space="preserve">           090 добрі</w:t>
      </w:r>
    </w:p>
    <w:p w:rsidR="006B6A3E" w:rsidRPr="006B6A3E" w:rsidRDefault="006B6A3E" w:rsidP="000A4B79">
      <w:pPr>
        <w:tabs>
          <w:tab w:val="left" w:pos="760"/>
        </w:tabs>
        <w:jc w:val="left"/>
        <w:rPr>
          <w:rFonts w:eastAsia="Calibri"/>
          <w:szCs w:val="28"/>
        </w:rPr>
      </w:pPr>
      <w:r w:rsidRPr="006B6A3E">
        <w:rPr>
          <w:rFonts w:eastAsia="Calibri"/>
          <w:szCs w:val="28"/>
        </w:rPr>
        <w:t xml:space="preserve">           091 задовільні</w:t>
      </w:r>
    </w:p>
    <w:p w:rsidR="006B6A3E" w:rsidRPr="006B6A3E" w:rsidRDefault="006B6A3E" w:rsidP="000A4B79">
      <w:pPr>
        <w:tabs>
          <w:tab w:val="left" w:pos="760"/>
        </w:tabs>
        <w:jc w:val="left"/>
        <w:rPr>
          <w:rFonts w:eastAsia="Calibri"/>
          <w:szCs w:val="28"/>
        </w:rPr>
      </w:pPr>
      <w:r w:rsidRPr="006B6A3E">
        <w:rPr>
          <w:rFonts w:eastAsia="Calibri"/>
          <w:szCs w:val="28"/>
        </w:rPr>
        <w:t xml:space="preserve">           092 недостатні</w:t>
      </w:r>
    </w:p>
    <w:p w:rsidR="006B6A3E" w:rsidRPr="006B6A3E" w:rsidRDefault="006B6A3E" w:rsidP="000A4B79">
      <w:pPr>
        <w:tabs>
          <w:tab w:val="left" w:pos="760"/>
        </w:tabs>
        <w:jc w:val="left"/>
        <w:rPr>
          <w:rFonts w:eastAsia="Calibri"/>
          <w:szCs w:val="28"/>
        </w:rPr>
      </w:pPr>
      <w:r w:rsidRPr="006B6A3E">
        <w:rPr>
          <w:rFonts w:eastAsia="Calibri"/>
          <w:szCs w:val="28"/>
        </w:rPr>
        <w:t xml:space="preserve">           093 вкрай недостатні</w:t>
      </w:r>
    </w:p>
    <w:p w:rsidR="006B6A3E" w:rsidRPr="006B6A3E" w:rsidRDefault="006B6A3E" w:rsidP="000A4B79">
      <w:pPr>
        <w:tabs>
          <w:tab w:val="left" w:pos="617"/>
        </w:tabs>
        <w:ind w:firstLine="720"/>
        <w:rPr>
          <w:rFonts w:eastAsia="Calibri"/>
          <w:szCs w:val="28"/>
        </w:rPr>
      </w:pPr>
      <w:r w:rsidRPr="006B6A3E">
        <w:rPr>
          <w:rFonts w:eastAsia="Calibri"/>
          <w:szCs w:val="28"/>
          <w:lang w:val="ru-RU"/>
        </w:rPr>
        <w:t xml:space="preserve">- </w:t>
      </w:r>
      <w:r w:rsidRPr="006B6A3E">
        <w:rPr>
          <w:rFonts w:eastAsia="Calibri"/>
          <w:szCs w:val="28"/>
        </w:rPr>
        <w:t>враження електричним струмом</w:t>
      </w:r>
    </w:p>
    <w:p w:rsidR="006B6A3E" w:rsidRPr="006B6A3E" w:rsidRDefault="006B6A3E" w:rsidP="000A4B79">
      <w:pPr>
        <w:tabs>
          <w:tab w:val="left" w:pos="760"/>
        </w:tabs>
        <w:jc w:val="left"/>
        <w:rPr>
          <w:rFonts w:eastAsia="Calibri"/>
          <w:szCs w:val="28"/>
        </w:rPr>
      </w:pPr>
      <w:r w:rsidRPr="006B6A3E">
        <w:rPr>
          <w:rFonts w:eastAsia="Calibri"/>
          <w:szCs w:val="28"/>
        </w:rPr>
        <w:t xml:space="preserve">           094 добрі</w:t>
      </w:r>
    </w:p>
    <w:p w:rsidR="006B6A3E" w:rsidRPr="006B6A3E" w:rsidRDefault="006B6A3E" w:rsidP="006B6A3E">
      <w:pPr>
        <w:tabs>
          <w:tab w:val="left" w:pos="760"/>
        </w:tabs>
        <w:jc w:val="left"/>
        <w:rPr>
          <w:rFonts w:eastAsia="Calibri"/>
          <w:szCs w:val="28"/>
        </w:rPr>
      </w:pPr>
      <w:r w:rsidRPr="006B6A3E">
        <w:rPr>
          <w:rFonts w:eastAsia="Calibri"/>
          <w:szCs w:val="28"/>
        </w:rPr>
        <w:t xml:space="preserve">           095 задовільні</w:t>
      </w:r>
    </w:p>
    <w:p w:rsidR="006B6A3E" w:rsidRPr="006B6A3E" w:rsidRDefault="006B6A3E" w:rsidP="006B6A3E">
      <w:pPr>
        <w:tabs>
          <w:tab w:val="left" w:pos="760"/>
        </w:tabs>
        <w:jc w:val="left"/>
        <w:rPr>
          <w:rFonts w:eastAsia="Calibri"/>
          <w:szCs w:val="28"/>
        </w:rPr>
      </w:pPr>
      <w:r w:rsidRPr="006B6A3E">
        <w:rPr>
          <w:rFonts w:eastAsia="Calibri"/>
          <w:szCs w:val="28"/>
        </w:rPr>
        <w:t xml:space="preserve">           096 недостатні</w:t>
      </w:r>
    </w:p>
    <w:p w:rsidR="006B6A3E" w:rsidRPr="006B6A3E" w:rsidRDefault="006B6A3E" w:rsidP="006B6A3E">
      <w:pPr>
        <w:tabs>
          <w:tab w:val="left" w:pos="760"/>
        </w:tabs>
        <w:jc w:val="left"/>
        <w:rPr>
          <w:rFonts w:eastAsia="Calibri"/>
          <w:szCs w:val="28"/>
        </w:rPr>
      </w:pPr>
      <w:r w:rsidRPr="006B6A3E">
        <w:rPr>
          <w:rFonts w:eastAsia="Calibri"/>
          <w:szCs w:val="28"/>
        </w:rPr>
        <w:t xml:space="preserve">           097 вкрай недостатні</w:t>
      </w:r>
    </w:p>
    <w:p w:rsidR="006B6A3E" w:rsidRPr="006B6A3E" w:rsidRDefault="006B6A3E" w:rsidP="006B6A3E">
      <w:pPr>
        <w:tabs>
          <w:tab w:val="left" w:pos="617"/>
        </w:tabs>
        <w:rPr>
          <w:rFonts w:eastAsia="Calibri"/>
          <w:szCs w:val="28"/>
        </w:rPr>
      </w:pPr>
      <w:r w:rsidRPr="006B6A3E">
        <w:rPr>
          <w:rFonts w:eastAsia="Calibri"/>
          <w:szCs w:val="28"/>
        </w:rPr>
        <w:t xml:space="preserve">          </w:t>
      </w:r>
      <w:r w:rsidRPr="006B6A3E">
        <w:rPr>
          <w:rFonts w:eastAsia="Calibri"/>
          <w:szCs w:val="28"/>
          <w:lang w:val="ru-RU"/>
        </w:rPr>
        <w:t xml:space="preserve">- </w:t>
      </w:r>
      <w:r w:rsidRPr="006B6A3E">
        <w:rPr>
          <w:rFonts w:eastAsia="Calibri"/>
          <w:szCs w:val="28"/>
        </w:rPr>
        <w:t>гостра асфіксія</w:t>
      </w:r>
    </w:p>
    <w:p w:rsidR="006B6A3E" w:rsidRPr="006B6A3E" w:rsidRDefault="006B6A3E" w:rsidP="006B6A3E">
      <w:pPr>
        <w:tabs>
          <w:tab w:val="left" w:pos="760"/>
        </w:tabs>
        <w:jc w:val="left"/>
        <w:rPr>
          <w:rFonts w:eastAsia="Calibri"/>
          <w:szCs w:val="28"/>
        </w:rPr>
      </w:pPr>
      <w:r w:rsidRPr="006B6A3E">
        <w:rPr>
          <w:rFonts w:eastAsia="Calibri"/>
          <w:szCs w:val="28"/>
        </w:rPr>
        <w:t xml:space="preserve">           098 добрі</w:t>
      </w:r>
    </w:p>
    <w:p w:rsidR="006B6A3E" w:rsidRPr="006B6A3E" w:rsidRDefault="006B6A3E" w:rsidP="006B6A3E">
      <w:pPr>
        <w:tabs>
          <w:tab w:val="left" w:pos="760"/>
        </w:tabs>
        <w:jc w:val="left"/>
        <w:rPr>
          <w:rFonts w:eastAsia="Calibri"/>
          <w:szCs w:val="28"/>
        </w:rPr>
      </w:pPr>
      <w:r w:rsidRPr="006B6A3E">
        <w:rPr>
          <w:rFonts w:eastAsia="Calibri"/>
          <w:szCs w:val="28"/>
        </w:rPr>
        <w:t xml:space="preserve">           099 задовільні</w:t>
      </w:r>
    </w:p>
    <w:p w:rsidR="006B6A3E" w:rsidRPr="006B6A3E" w:rsidRDefault="006B6A3E" w:rsidP="006B6A3E">
      <w:pPr>
        <w:tabs>
          <w:tab w:val="left" w:pos="760"/>
        </w:tabs>
        <w:jc w:val="left"/>
        <w:rPr>
          <w:rFonts w:eastAsia="Calibri"/>
          <w:szCs w:val="28"/>
        </w:rPr>
      </w:pPr>
      <w:r w:rsidRPr="006B6A3E">
        <w:rPr>
          <w:rFonts w:eastAsia="Calibri"/>
          <w:szCs w:val="28"/>
        </w:rPr>
        <w:t xml:space="preserve">           100 недостатні</w:t>
      </w:r>
    </w:p>
    <w:p w:rsidR="006B6A3E" w:rsidRPr="006B6A3E" w:rsidRDefault="006B6A3E" w:rsidP="006B6A3E">
      <w:pPr>
        <w:tabs>
          <w:tab w:val="left" w:pos="760"/>
        </w:tabs>
        <w:jc w:val="left"/>
        <w:rPr>
          <w:rFonts w:eastAsia="Calibri"/>
          <w:szCs w:val="28"/>
        </w:rPr>
      </w:pPr>
      <w:r w:rsidRPr="006B6A3E">
        <w:rPr>
          <w:rFonts w:eastAsia="Calibri"/>
          <w:szCs w:val="28"/>
        </w:rPr>
        <w:t xml:space="preserve">           101 вкрай недостатні</w:t>
      </w:r>
    </w:p>
    <w:p w:rsidR="006B6A3E" w:rsidRPr="006B6A3E" w:rsidRDefault="006B6A3E" w:rsidP="006B6A3E">
      <w:pPr>
        <w:tabs>
          <w:tab w:val="left" w:pos="617"/>
        </w:tabs>
        <w:rPr>
          <w:rFonts w:eastAsia="Calibri"/>
          <w:szCs w:val="28"/>
        </w:rPr>
      </w:pPr>
      <w:r w:rsidRPr="006B6A3E">
        <w:rPr>
          <w:rFonts w:eastAsia="Calibri"/>
          <w:szCs w:val="28"/>
        </w:rPr>
        <w:t xml:space="preserve">        </w:t>
      </w:r>
      <w:r w:rsidRPr="006B6A3E">
        <w:rPr>
          <w:rFonts w:eastAsia="Calibri"/>
          <w:szCs w:val="28"/>
          <w:lang w:val="ru-RU"/>
        </w:rPr>
        <w:t xml:space="preserve"> </w:t>
      </w:r>
      <w:r w:rsidRPr="006B6A3E">
        <w:rPr>
          <w:rFonts w:eastAsia="Calibri"/>
          <w:szCs w:val="28"/>
        </w:rPr>
        <w:t xml:space="preserve"> </w:t>
      </w:r>
      <w:r w:rsidRPr="006B6A3E">
        <w:rPr>
          <w:rFonts w:eastAsia="Calibri"/>
          <w:szCs w:val="28"/>
          <w:lang w:val="ru-RU"/>
        </w:rPr>
        <w:t xml:space="preserve">- </w:t>
      </w:r>
      <w:r w:rsidRPr="006B6A3E">
        <w:rPr>
          <w:rFonts w:eastAsia="Calibri"/>
          <w:szCs w:val="28"/>
        </w:rPr>
        <w:t>гостра дихальна недостатність</w:t>
      </w:r>
    </w:p>
    <w:p w:rsidR="006B6A3E" w:rsidRPr="006B6A3E" w:rsidRDefault="006B6A3E" w:rsidP="006B6A3E">
      <w:pPr>
        <w:tabs>
          <w:tab w:val="left" w:pos="760"/>
        </w:tabs>
        <w:jc w:val="left"/>
        <w:rPr>
          <w:rFonts w:eastAsia="Calibri"/>
          <w:szCs w:val="28"/>
        </w:rPr>
      </w:pPr>
      <w:r w:rsidRPr="006B6A3E">
        <w:rPr>
          <w:rFonts w:eastAsia="Calibri"/>
          <w:szCs w:val="28"/>
        </w:rPr>
        <w:t xml:space="preserve">           102 добрі</w:t>
      </w:r>
    </w:p>
    <w:p w:rsidR="006B6A3E" w:rsidRPr="006B6A3E" w:rsidRDefault="006B6A3E" w:rsidP="006B6A3E">
      <w:pPr>
        <w:tabs>
          <w:tab w:val="left" w:pos="760"/>
        </w:tabs>
        <w:jc w:val="left"/>
        <w:rPr>
          <w:rFonts w:eastAsia="Calibri"/>
          <w:szCs w:val="28"/>
        </w:rPr>
      </w:pPr>
      <w:r w:rsidRPr="006B6A3E">
        <w:rPr>
          <w:rFonts w:eastAsia="Calibri"/>
          <w:szCs w:val="28"/>
        </w:rPr>
        <w:lastRenderedPageBreak/>
        <w:t xml:space="preserve">           103 задовільні</w:t>
      </w:r>
    </w:p>
    <w:p w:rsidR="006B6A3E" w:rsidRPr="006B6A3E" w:rsidRDefault="006B6A3E" w:rsidP="006B6A3E">
      <w:pPr>
        <w:tabs>
          <w:tab w:val="left" w:pos="760"/>
        </w:tabs>
        <w:jc w:val="left"/>
        <w:rPr>
          <w:rFonts w:eastAsia="Calibri"/>
          <w:szCs w:val="28"/>
        </w:rPr>
      </w:pPr>
      <w:r w:rsidRPr="006B6A3E">
        <w:rPr>
          <w:rFonts w:eastAsia="Calibri"/>
          <w:szCs w:val="28"/>
        </w:rPr>
        <w:t xml:space="preserve">           104 недостатні</w:t>
      </w:r>
    </w:p>
    <w:p w:rsidR="006B6A3E" w:rsidRPr="006B6A3E" w:rsidRDefault="006B6A3E" w:rsidP="006B6A3E">
      <w:pPr>
        <w:tabs>
          <w:tab w:val="left" w:pos="760"/>
        </w:tabs>
        <w:jc w:val="left"/>
        <w:rPr>
          <w:rFonts w:eastAsia="Calibri"/>
          <w:szCs w:val="28"/>
        </w:rPr>
      </w:pPr>
      <w:r w:rsidRPr="006B6A3E">
        <w:rPr>
          <w:rFonts w:eastAsia="Calibri"/>
          <w:szCs w:val="28"/>
        </w:rPr>
        <w:t xml:space="preserve">           105 вкрай недостатні</w:t>
      </w:r>
    </w:p>
    <w:p w:rsidR="006B6A3E" w:rsidRPr="006B6A3E" w:rsidRDefault="006B6A3E" w:rsidP="006B6A3E">
      <w:pPr>
        <w:tabs>
          <w:tab w:val="left" w:pos="617"/>
        </w:tabs>
        <w:rPr>
          <w:rFonts w:eastAsia="Calibri"/>
          <w:szCs w:val="28"/>
        </w:rPr>
      </w:pPr>
      <w:r w:rsidRPr="006B6A3E">
        <w:rPr>
          <w:rFonts w:eastAsia="Calibri"/>
          <w:szCs w:val="28"/>
        </w:rPr>
        <w:t xml:space="preserve">        </w:t>
      </w:r>
      <w:r w:rsidRPr="006B6A3E">
        <w:rPr>
          <w:rFonts w:eastAsia="Calibri"/>
          <w:szCs w:val="28"/>
          <w:lang w:val="ru-RU"/>
        </w:rPr>
        <w:t xml:space="preserve"> </w:t>
      </w:r>
      <w:r w:rsidRPr="006B6A3E">
        <w:rPr>
          <w:rFonts w:eastAsia="Calibri"/>
          <w:szCs w:val="28"/>
        </w:rPr>
        <w:t xml:space="preserve"> </w:t>
      </w:r>
      <w:r w:rsidRPr="006B6A3E">
        <w:rPr>
          <w:rFonts w:eastAsia="Calibri"/>
          <w:szCs w:val="28"/>
          <w:lang w:val="ru-RU"/>
        </w:rPr>
        <w:t xml:space="preserve">- </w:t>
      </w:r>
      <w:r w:rsidRPr="006B6A3E">
        <w:rPr>
          <w:rFonts w:eastAsia="Calibri"/>
          <w:szCs w:val="28"/>
        </w:rPr>
        <w:t>гострий біль в животі</w:t>
      </w:r>
    </w:p>
    <w:p w:rsidR="006B6A3E" w:rsidRPr="006B6A3E" w:rsidRDefault="006B6A3E" w:rsidP="006B6A3E">
      <w:pPr>
        <w:tabs>
          <w:tab w:val="left" w:pos="760"/>
        </w:tabs>
        <w:jc w:val="left"/>
        <w:rPr>
          <w:rFonts w:eastAsia="Calibri"/>
          <w:szCs w:val="28"/>
        </w:rPr>
      </w:pPr>
      <w:r w:rsidRPr="006B6A3E">
        <w:rPr>
          <w:rFonts w:eastAsia="Calibri"/>
          <w:szCs w:val="28"/>
        </w:rPr>
        <w:t xml:space="preserve">           106 добрі</w:t>
      </w:r>
    </w:p>
    <w:p w:rsidR="006B6A3E" w:rsidRPr="006B6A3E" w:rsidRDefault="006B6A3E" w:rsidP="006B6A3E">
      <w:pPr>
        <w:tabs>
          <w:tab w:val="left" w:pos="760"/>
        </w:tabs>
        <w:jc w:val="left"/>
        <w:rPr>
          <w:rFonts w:eastAsia="Calibri"/>
          <w:szCs w:val="28"/>
        </w:rPr>
      </w:pPr>
      <w:r w:rsidRPr="006B6A3E">
        <w:rPr>
          <w:rFonts w:eastAsia="Calibri"/>
          <w:szCs w:val="28"/>
        </w:rPr>
        <w:t xml:space="preserve">           107 задовільні</w:t>
      </w:r>
    </w:p>
    <w:p w:rsidR="006B6A3E" w:rsidRPr="006B6A3E" w:rsidRDefault="006B6A3E" w:rsidP="006B6A3E">
      <w:pPr>
        <w:tabs>
          <w:tab w:val="left" w:pos="760"/>
        </w:tabs>
        <w:jc w:val="left"/>
        <w:rPr>
          <w:rFonts w:eastAsia="Calibri"/>
          <w:szCs w:val="28"/>
        </w:rPr>
      </w:pPr>
      <w:r w:rsidRPr="006B6A3E">
        <w:rPr>
          <w:rFonts w:eastAsia="Calibri"/>
          <w:szCs w:val="28"/>
        </w:rPr>
        <w:t xml:space="preserve">           108 недостатні</w:t>
      </w:r>
    </w:p>
    <w:p w:rsidR="006B6A3E" w:rsidRPr="006B6A3E" w:rsidRDefault="006B6A3E" w:rsidP="006B6A3E">
      <w:pPr>
        <w:tabs>
          <w:tab w:val="left" w:pos="760"/>
        </w:tabs>
        <w:jc w:val="left"/>
        <w:rPr>
          <w:rFonts w:eastAsia="Calibri"/>
          <w:szCs w:val="28"/>
        </w:rPr>
      </w:pPr>
      <w:r w:rsidRPr="006B6A3E">
        <w:rPr>
          <w:rFonts w:eastAsia="Calibri"/>
          <w:szCs w:val="28"/>
        </w:rPr>
        <w:t xml:space="preserve">           109 вкрай недостатні</w:t>
      </w:r>
    </w:p>
    <w:p w:rsidR="006B6A3E" w:rsidRPr="006B6A3E" w:rsidRDefault="006B6A3E" w:rsidP="006B6A3E">
      <w:pPr>
        <w:tabs>
          <w:tab w:val="left" w:pos="617"/>
        </w:tabs>
        <w:rPr>
          <w:rFonts w:eastAsia="Calibri"/>
          <w:szCs w:val="28"/>
        </w:rPr>
      </w:pPr>
      <w:r w:rsidRPr="006B6A3E">
        <w:rPr>
          <w:rFonts w:eastAsia="Calibri"/>
          <w:szCs w:val="28"/>
        </w:rPr>
        <w:t xml:space="preserve">          </w:t>
      </w:r>
      <w:r w:rsidRPr="006B6A3E">
        <w:rPr>
          <w:rFonts w:eastAsia="Calibri"/>
          <w:szCs w:val="28"/>
          <w:lang w:val="ru-RU"/>
        </w:rPr>
        <w:t xml:space="preserve">- </w:t>
      </w:r>
      <w:r w:rsidRPr="006B6A3E">
        <w:rPr>
          <w:rFonts w:eastAsia="Calibri"/>
          <w:szCs w:val="28"/>
        </w:rPr>
        <w:t>кровава блювота</w:t>
      </w:r>
    </w:p>
    <w:p w:rsidR="006B6A3E" w:rsidRPr="006B6A3E" w:rsidRDefault="006B6A3E" w:rsidP="006B6A3E">
      <w:pPr>
        <w:tabs>
          <w:tab w:val="left" w:pos="760"/>
        </w:tabs>
        <w:jc w:val="left"/>
        <w:rPr>
          <w:rFonts w:eastAsia="Calibri"/>
          <w:szCs w:val="28"/>
        </w:rPr>
      </w:pPr>
      <w:r w:rsidRPr="006B6A3E">
        <w:rPr>
          <w:rFonts w:eastAsia="Calibri"/>
          <w:szCs w:val="28"/>
        </w:rPr>
        <w:t xml:space="preserve">           110 добрі</w:t>
      </w:r>
    </w:p>
    <w:p w:rsidR="006B6A3E" w:rsidRPr="006B6A3E" w:rsidRDefault="006B6A3E" w:rsidP="006B6A3E">
      <w:pPr>
        <w:tabs>
          <w:tab w:val="left" w:pos="760"/>
        </w:tabs>
        <w:jc w:val="left"/>
        <w:rPr>
          <w:rFonts w:eastAsia="Calibri"/>
          <w:szCs w:val="28"/>
        </w:rPr>
      </w:pPr>
      <w:r w:rsidRPr="006B6A3E">
        <w:rPr>
          <w:rFonts w:eastAsia="Calibri"/>
          <w:szCs w:val="28"/>
        </w:rPr>
        <w:t xml:space="preserve">           111 задовільні</w:t>
      </w:r>
    </w:p>
    <w:p w:rsidR="006B6A3E" w:rsidRPr="006B6A3E" w:rsidRDefault="006B6A3E" w:rsidP="006B6A3E">
      <w:pPr>
        <w:tabs>
          <w:tab w:val="left" w:pos="760"/>
        </w:tabs>
        <w:jc w:val="left"/>
        <w:rPr>
          <w:rFonts w:eastAsia="Calibri"/>
          <w:szCs w:val="28"/>
        </w:rPr>
      </w:pPr>
      <w:r w:rsidRPr="006B6A3E">
        <w:rPr>
          <w:rFonts w:eastAsia="Calibri"/>
          <w:szCs w:val="28"/>
        </w:rPr>
        <w:t xml:space="preserve">           112 недостатні</w:t>
      </w:r>
    </w:p>
    <w:p w:rsidR="006B6A3E" w:rsidRPr="006B6A3E" w:rsidRDefault="006B6A3E" w:rsidP="006B6A3E">
      <w:pPr>
        <w:tabs>
          <w:tab w:val="left" w:pos="760"/>
        </w:tabs>
        <w:jc w:val="left"/>
        <w:rPr>
          <w:rFonts w:eastAsia="Calibri"/>
          <w:szCs w:val="28"/>
        </w:rPr>
      </w:pPr>
      <w:r w:rsidRPr="006B6A3E">
        <w:rPr>
          <w:rFonts w:eastAsia="Calibri"/>
          <w:szCs w:val="28"/>
        </w:rPr>
        <w:t xml:space="preserve">           113 вкрай недостатні</w:t>
      </w:r>
    </w:p>
    <w:p w:rsidR="006B6A3E" w:rsidRPr="006B6A3E" w:rsidRDefault="006B6A3E" w:rsidP="006B6A3E">
      <w:pPr>
        <w:tabs>
          <w:tab w:val="left" w:pos="617"/>
        </w:tabs>
        <w:rPr>
          <w:rFonts w:eastAsia="Calibri"/>
          <w:szCs w:val="28"/>
        </w:rPr>
      </w:pPr>
      <w:r w:rsidRPr="006B6A3E">
        <w:rPr>
          <w:rFonts w:eastAsia="Calibri"/>
          <w:szCs w:val="28"/>
        </w:rPr>
        <w:t xml:space="preserve">          </w:t>
      </w:r>
      <w:r w:rsidRPr="006B6A3E">
        <w:rPr>
          <w:rFonts w:eastAsia="Calibri"/>
          <w:szCs w:val="28"/>
          <w:lang w:val="ru-RU"/>
        </w:rPr>
        <w:t xml:space="preserve">- </w:t>
      </w:r>
      <w:r w:rsidRPr="006B6A3E">
        <w:rPr>
          <w:rFonts w:eastAsia="Calibri"/>
          <w:szCs w:val="28"/>
        </w:rPr>
        <w:t>круп</w:t>
      </w:r>
    </w:p>
    <w:p w:rsidR="006B6A3E" w:rsidRPr="006B6A3E" w:rsidRDefault="006B6A3E" w:rsidP="006B6A3E">
      <w:pPr>
        <w:tabs>
          <w:tab w:val="left" w:pos="760"/>
        </w:tabs>
        <w:jc w:val="left"/>
        <w:rPr>
          <w:rFonts w:eastAsia="Calibri"/>
          <w:szCs w:val="28"/>
        </w:rPr>
      </w:pPr>
      <w:r w:rsidRPr="006B6A3E">
        <w:rPr>
          <w:rFonts w:eastAsia="Calibri"/>
          <w:szCs w:val="28"/>
        </w:rPr>
        <w:t xml:space="preserve">           114 добрі</w:t>
      </w:r>
    </w:p>
    <w:p w:rsidR="006B6A3E" w:rsidRPr="006B6A3E" w:rsidRDefault="006B6A3E" w:rsidP="006B6A3E">
      <w:pPr>
        <w:tabs>
          <w:tab w:val="left" w:pos="760"/>
        </w:tabs>
        <w:jc w:val="left"/>
        <w:rPr>
          <w:rFonts w:eastAsia="Calibri"/>
          <w:szCs w:val="28"/>
        </w:rPr>
      </w:pPr>
      <w:r w:rsidRPr="006B6A3E">
        <w:rPr>
          <w:rFonts w:eastAsia="Calibri"/>
          <w:szCs w:val="28"/>
        </w:rPr>
        <w:t xml:space="preserve">           115 задовільні</w:t>
      </w:r>
    </w:p>
    <w:p w:rsidR="006B6A3E" w:rsidRPr="006B6A3E" w:rsidRDefault="006B6A3E" w:rsidP="006B6A3E">
      <w:pPr>
        <w:tabs>
          <w:tab w:val="left" w:pos="760"/>
        </w:tabs>
        <w:jc w:val="left"/>
        <w:rPr>
          <w:rFonts w:eastAsia="Calibri"/>
          <w:szCs w:val="28"/>
        </w:rPr>
      </w:pPr>
      <w:r w:rsidRPr="006B6A3E">
        <w:rPr>
          <w:rFonts w:eastAsia="Calibri"/>
          <w:szCs w:val="28"/>
        </w:rPr>
        <w:t xml:space="preserve">           116 недостатні</w:t>
      </w:r>
    </w:p>
    <w:p w:rsidR="006B6A3E" w:rsidRPr="006B6A3E" w:rsidRDefault="006B6A3E" w:rsidP="006B6A3E">
      <w:pPr>
        <w:tabs>
          <w:tab w:val="left" w:pos="760"/>
        </w:tabs>
        <w:jc w:val="left"/>
        <w:rPr>
          <w:rFonts w:eastAsia="Calibri"/>
          <w:szCs w:val="28"/>
        </w:rPr>
      </w:pPr>
      <w:r w:rsidRPr="006B6A3E">
        <w:rPr>
          <w:rFonts w:eastAsia="Calibri"/>
          <w:szCs w:val="28"/>
        </w:rPr>
        <w:t xml:space="preserve">           117 вкрай недостатні</w:t>
      </w:r>
    </w:p>
    <w:p w:rsidR="006B6A3E" w:rsidRPr="006B6A3E" w:rsidRDefault="006B6A3E" w:rsidP="006B6A3E">
      <w:pPr>
        <w:tabs>
          <w:tab w:val="left" w:pos="617"/>
        </w:tabs>
        <w:rPr>
          <w:rFonts w:eastAsia="Calibri"/>
          <w:szCs w:val="28"/>
        </w:rPr>
      </w:pPr>
      <w:r w:rsidRPr="006B6A3E">
        <w:rPr>
          <w:rFonts w:eastAsia="Calibri"/>
          <w:szCs w:val="28"/>
        </w:rPr>
        <w:t xml:space="preserve">          - опік дихальних шляхів</w:t>
      </w:r>
    </w:p>
    <w:p w:rsidR="006B6A3E" w:rsidRPr="006B6A3E" w:rsidRDefault="006B6A3E" w:rsidP="006B6A3E">
      <w:pPr>
        <w:tabs>
          <w:tab w:val="left" w:pos="760"/>
        </w:tabs>
        <w:jc w:val="left"/>
        <w:rPr>
          <w:rFonts w:eastAsia="Calibri"/>
          <w:szCs w:val="28"/>
        </w:rPr>
      </w:pPr>
      <w:r w:rsidRPr="006B6A3E">
        <w:rPr>
          <w:rFonts w:eastAsia="Calibri"/>
          <w:szCs w:val="28"/>
        </w:rPr>
        <w:t xml:space="preserve">           118 добрі</w:t>
      </w:r>
    </w:p>
    <w:p w:rsidR="006B6A3E" w:rsidRPr="006B6A3E" w:rsidRDefault="006B6A3E" w:rsidP="006B6A3E">
      <w:pPr>
        <w:tabs>
          <w:tab w:val="left" w:pos="760"/>
        </w:tabs>
        <w:jc w:val="left"/>
        <w:rPr>
          <w:rFonts w:eastAsia="Calibri"/>
          <w:szCs w:val="28"/>
        </w:rPr>
      </w:pPr>
      <w:r w:rsidRPr="006B6A3E">
        <w:rPr>
          <w:rFonts w:eastAsia="Calibri"/>
          <w:szCs w:val="28"/>
        </w:rPr>
        <w:t xml:space="preserve">           119 задовільні</w:t>
      </w:r>
    </w:p>
    <w:p w:rsidR="006B6A3E" w:rsidRPr="006B6A3E" w:rsidRDefault="006B6A3E" w:rsidP="006B6A3E">
      <w:pPr>
        <w:tabs>
          <w:tab w:val="left" w:pos="760"/>
        </w:tabs>
        <w:jc w:val="left"/>
        <w:rPr>
          <w:rFonts w:eastAsia="Calibri"/>
          <w:szCs w:val="28"/>
        </w:rPr>
      </w:pPr>
      <w:r w:rsidRPr="006B6A3E">
        <w:rPr>
          <w:rFonts w:eastAsia="Calibri"/>
          <w:szCs w:val="28"/>
        </w:rPr>
        <w:t xml:space="preserve">           120 недостатні</w:t>
      </w:r>
    </w:p>
    <w:p w:rsidR="006B6A3E" w:rsidRPr="006B6A3E" w:rsidRDefault="006B6A3E" w:rsidP="006B6A3E">
      <w:pPr>
        <w:tabs>
          <w:tab w:val="left" w:pos="760"/>
        </w:tabs>
        <w:jc w:val="left"/>
        <w:rPr>
          <w:rFonts w:eastAsia="Calibri"/>
          <w:szCs w:val="28"/>
        </w:rPr>
      </w:pPr>
      <w:r w:rsidRPr="006B6A3E">
        <w:rPr>
          <w:rFonts w:eastAsia="Calibri"/>
          <w:szCs w:val="28"/>
        </w:rPr>
        <w:t xml:space="preserve">           121 вкрай недостатні</w:t>
      </w:r>
    </w:p>
    <w:p w:rsidR="006B6A3E" w:rsidRPr="006B6A3E" w:rsidRDefault="006B6A3E" w:rsidP="006B6A3E">
      <w:pPr>
        <w:tabs>
          <w:tab w:val="left" w:pos="617"/>
        </w:tabs>
        <w:rPr>
          <w:rFonts w:eastAsia="Calibri"/>
          <w:szCs w:val="28"/>
        </w:rPr>
      </w:pPr>
      <w:r w:rsidRPr="006B6A3E">
        <w:rPr>
          <w:rFonts w:eastAsia="Calibri"/>
          <w:szCs w:val="28"/>
        </w:rPr>
        <w:t xml:space="preserve">          - опіки</w:t>
      </w:r>
    </w:p>
    <w:p w:rsidR="006B6A3E" w:rsidRPr="006B6A3E" w:rsidRDefault="006B6A3E" w:rsidP="006B6A3E">
      <w:pPr>
        <w:tabs>
          <w:tab w:val="left" w:pos="760"/>
        </w:tabs>
        <w:jc w:val="left"/>
        <w:rPr>
          <w:rFonts w:eastAsia="Calibri"/>
          <w:szCs w:val="28"/>
        </w:rPr>
      </w:pPr>
      <w:r w:rsidRPr="006B6A3E">
        <w:rPr>
          <w:rFonts w:eastAsia="Calibri"/>
          <w:szCs w:val="28"/>
        </w:rPr>
        <w:t xml:space="preserve">           122 добрі</w:t>
      </w:r>
    </w:p>
    <w:p w:rsidR="006B6A3E" w:rsidRPr="006B6A3E" w:rsidRDefault="006B6A3E" w:rsidP="006B6A3E">
      <w:pPr>
        <w:tabs>
          <w:tab w:val="left" w:pos="760"/>
        </w:tabs>
        <w:jc w:val="left"/>
        <w:rPr>
          <w:rFonts w:eastAsia="Calibri"/>
          <w:szCs w:val="28"/>
        </w:rPr>
      </w:pPr>
      <w:r w:rsidRPr="006B6A3E">
        <w:rPr>
          <w:rFonts w:eastAsia="Calibri"/>
          <w:szCs w:val="28"/>
        </w:rPr>
        <w:t xml:space="preserve">           123 задовільні</w:t>
      </w:r>
    </w:p>
    <w:p w:rsidR="006B6A3E" w:rsidRPr="006B6A3E" w:rsidRDefault="006B6A3E" w:rsidP="006B6A3E">
      <w:pPr>
        <w:tabs>
          <w:tab w:val="left" w:pos="760"/>
        </w:tabs>
        <w:jc w:val="left"/>
        <w:rPr>
          <w:rFonts w:eastAsia="Calibri"/>
          <w:szCs w:val="28"/>
        </w:rPr>
      </w:pPr>
      <w:r w:rsidRPr="006B6A3E">
        <w:rPr>
          <w:rFonts w:eastAsia="Calibri"/>
          <w:szCs w:val="28"/>
        </w:rPr>
        <w:t xml:space="preserve">           124 недостатні</w:t>
      </w:r>
    </w:p>
    <w:p w:rsidR="006B6A3E" w:rsidRPr="006B6A3E" w:rsidRDefault="006B6A3E" w:rsidP="006B6A3E">
      <w:pPr>
        <w:tabs>
          <w:tab w:val="left" w:pos="760"/>
        </w:tabs>
        <w:jc w:val="left"/>
        <w:rPr>
          <w:rFonts w:eastAsia="Calibri"/>
          <w:szCs w:val="28"/>
        </w:rPr>
      </w:pPr>
      <w:r w:rsidRPr="006B6A3E">
        <w:rPr>
          <w:rFonts w:eastAsia="Calibri"/>
          <w:szCs w:val="28"/>
        </w:rPr>
        <w:t xml:space="preserve">           125 вкрай недостатні</w:t>
      </w:r>
    </w:p>
    <w:p w:rsidR="006B6A3E" w:rsidRPr="006B6A3E" w:rsidRDefault="006B6A3E" w:rsidP="006B6A3E">
      <w:pPr>
        <w:tabs>
          <w:tab w:val="left" w:pos="617"/>
        </w:tabs>
        <w:rPr>
          <w:rFonts w:eastAsia="Calibri"/>
          <w:szCs w:val="28"/>
        </w:rPr>
      </w:pPr>
      <w:r w:rsidRPr="006B6A3E">
        <w:rPr>
          <w:rFonts w:eastAsia="Calibri"/>
          <w:szCs w:val="28"/>
        </w:rPr>
        <w:t xml:space="preserve">          - падіння з висоти</w:t>
      </w:r>
    </w:p>
    <w:p w:rsidR="006B6A3E" w:rsidRPr="006B6A3E" w:rsidRDefault="006B6A3E" w:rsidP="006B6A3E">
      <w:pPr>
        <w:tabs>
          <w:tab w:val="left" w:pos="760"/>
        </w:tabs>
        <w:jc w:val="left"/>
        <w:rPr>
          <w:rFonts w:eastAsia="Calibri"/>
          <w:szCs w:val="28"/>
        </w:rPr>
      </w:pPr>
      <w:r w:rsidRPr="006B6A3E">
        <w:rPr>
          <w:rFonts w:eastAsia="Calibri"/>
          <w:szCs w:val="28"/>
        </w:rPr>
        <w:t xml:space="preserve">           126 добрі</w:t>
      </w:r>
    </w:p>
    <w:p w:rsidR="006B6A3E" w:rsidRPr="006B6A3E" w:rsidRDefault="006B6A3E" w:rsidP="006B6A3E">
      <w:pPr>
        <w:tabs>
          <w:tab w:val="left" w:pos="760"/>
        </w:tabs>
        <w:jc w:val="left"/>
        <w:rPr>
          <w:rFonts w:eastAsia="Calibri"/>
          <w:szCs w:val="28"/>
        </w:rPr>
      </w:pPr>
      <w:r w:rsidRPr="006B6A3E">
        <w:rPr>
          <w:rFonts w:eastAsia="Calibri"/>
          <w:szCs w:val="28"/>
        </w:rPr>
        <w:lastRenderedPageBreak/>
        <w:t xml:space="preserve">           127 задовільні</w:t>
      </w:r>
    </w:p>
    <w:p w:rsidR="006B6A3E" w:rsidRPr="006B6A3E" w:rsidRDefault="006B6A3E" w:rsidP="006B6A3E">
      <w:pPr>
        <w:tabs>
          <w:tab w:val="left" w:pos="760"/>
        </w:tabs>
        <w:jc w:val="left"/>
        <w:rPr>
          <w:rFonts w:eastAsia="Calibri"/>
          <w:szCs w:val="28"/>
        </w:rPr>
      </w:pPr>
      <w:r w:rsidRPr="006B6A3E">
        <w:rPr>
          <w:rFonts w:eastAsia="Calibri"/>
          <w:szCs w:val="28"/>
        </w:rPr>
        <w:t xml:space="preserve">           128 недостатні</w:t>
      </w:r>
    </w:p>
    <w:p w:rsidR="006B6A3E" w:rsidRPr="006B6A3E" w:rsidRDefault="006B6A3E" w:rsidP="006B6A3E">
      <w:pPr>
        <w:tabs>
          <w:tab w:val="left" w:pos="760"/>
        </w:tabs>
        <w:jc w:val="left"/>
        <w:rPr>
          <w:rFonts w:eastAsia="Calibri"/>
          <w:szCs w:val="28"/>
        </w:rPr>
      </w:pPr>
      <w:r w:rsidRPr="006B6A3E">
        <w:rPr>
          <w:rFonts w:eastAsia="Calibri"/>
          <w:szCs w:val="28"/>
        </w:rPr>
        <w:t xml:space="preserve">           129 вкрай недостатні</w:t>
      </w:r>
    </w:p>
    <w:p w:rsidR="006B6A3E" w:rsidRPr="006B6A3E" w:rsidRDefault="006B6A3E" w:rsidP="006B6A3E">
      <w:pPr>
        <w:tabs>
          <w:tab w:val="left" w:pos="617"/>
        </w:tabs>
        <w:rPr>
          <w:rFonts w:eastAsia="Calibri"/>
          <w:szCs w:val="28"/>
        </w:rPr>
      </w:pPr>
      <w:r w:rsidRPr="006B6A3E">
        <w:rPr>
          <w:rFonts w:eastAsia="Calibri"/>
          <w:szCs w:val="28"/>
        </w:rPr>
        <w:t xml:space="preserve">          - блювота </w:t>
      </w:r>
    </w:p>
    <w:p w:rsidR="006B6A3E" w:rsidRPr="006B6A3E" w:rsidRDefault="006B6A3E" w:rsidP="006B6A3E">
      <w:pPr>
        <w:tabs>
          <w:tab w:val="left" w:pos="760"/>
        </w:tabs>
        <w:jc w:val="left"/>
        <w:rPr>
          <w:rFonts w:eastAsia="Calibri"/>
          <w:szCs w:val="28"/>
        </w:rPr>
      </w:pPr>
      <w:r w:rsidRPr="006B6A3E">
        <w:rPr>
          <w:rFonts w:eastAsia="Calibri"/>
          <w:szCs w:val="28"/>
        </w:rPr>
        <w:t xml:space="preserve">           130 добрі</w:t>
      </w:r>
    </w:p>
    <w:p w:rsidR="006B6A3E" w:rsidRPr="006B6A3E" w:rsidRDefault="006B6A3E" w:rsidP="006B6A3E">
      <w:pPr>
        <w:tabs>
          <w:tab w:val="left" w:pos="760"/>
        </w:tabs>
        <w:jc w:val="left"/>
        <w:rPr>
          <w:rFonts w:eastAsia="Calibri"/>
          <w:szCs w:val="28"/>
        </w:rPr>
      </w:pPr>
      <w:r w:rsidRPr="006B6A3E">
        <w:rPr>
          <w:rFonts w:eastAsia="Calibri"/>
          <w:szCs w:val="28"/>
        </w:rPr>
        <w:t xml:space="preserve">           131 задовільні</w:t>
      </w:r>
    </w:p>
    <w:p w:rsidR="006B6A3E" w:rsidRPr="006B6A3E" w:rsidRDefault="006B6A3E" w:rsidP="006B6A3E">
      <w:pPr>
        <w:tabs>
          <w:tab w:val="left" w:pos="760"/>
        </w:tabs>
        <w:jc w:val="left"/>
        <w:rPr>
          <w:rFonts w:eastAsia="Calibri"/>
          <w:szCs w:val="28"/>
        </w:rPr>
      </w:pPr>
      <w:r w:rsidRPr="006B6A3E">
        <w:rPr>
          <w:rFonts w:eastAsia="Calibri"/>
          <w:szCs w:val="28"/>
        </w:rPr>
        <w:t xml:space="preserve">           132 недостатні</w:t>
      </w:r>
    </w:p>
    <w:p w:rsidR="006B6A3E" w:rsidRPr="006B6A3E" w:rsidRDefault="006B6A3E" w:rsidP="006B6A3E">
      <w:pPr>
        <w:tabs>
          <w:tab w:val="left" w:pos="760"/>
        </w:tabs>
        <w:jc w:val="left"/>
        <w:rPr>
          <w:rFonts w:eastAsia="Calibri"/>
          <w:szCs w:val="28"/>
        </w:rPr>
      </w:pPr>
      <w:r w:rsidRPr="006B6A3E">
        <w:rPr>
          <w:rFonts w:eastAsia="Calibri"/>
          <w:szCs w:val="28"/>
        </w:rPr>
        <w:t xml:space="preserve">           133 вкрай недостатні</w:t>
      </w:r>
    </w:p>
    <w:p w:rsidR="006B6A3E" w:rsidRPr="006B6A3E" w:rsidRDefault="006B6A3E" w:rsidP="006B6A3E">
      <w:pPr>
        <w:tabs>
          <w:tab w:val="left" w:pos="617"/>
        </w:tabs>
        <w:rPr>
          <w:rFonts w:eastAsia="Calibri"/>
          <w:szCs w:val="28"/>
        </w:rPr>
      </w:pPr>
      <w:r w:rsidRPr="006B6A3E">
        <w:rPr>
          <w:rFonts w:eastAsia="Calibri"/>
          <w:szCs w:val="28"/>
        </w:rPr>
        <w:t xml:space="preserve">          - судоми </w:t>
      </w:r>
    </w:p>
    <w:p w:rsidR="006B6A3E" w:rsidRPr="006B6A3E" w:rsidRDefault="006B6A3E" w:rsidP="006B6A3E">
      <w:pPr>
        <w:tabs>
          <w:tab w:val="left" w:pos="760"/>
        </w:tabs>
        <w:jc w:val="left"/>
        <w:rPr>
          <w:rFonts w:eastAsia="Calibri"/>
          <w:szCs w:val="28"/>
        </w:rPr>
      </w:pPr>
      <w:r w:rsidRPr="006B6A3E">
        <w:rPr>
          <w:rFonts w:eastAsia="Calibri"/>
          <w:szCs w:val="28"/>
        </w:rPr>
        <w:t xml:space="preserve">           134 добрі</w:t>
      </w:r>
    </w:p>
    <w:p w:rsidR="006B6A3E" w:rsidRPr="006B6A3E" w:rsidRDefault="006B6A3E" w:rsidP="006B6A3E">
      <w:pPr>
        <w:tabs>
          <w:tab w:val="left" w:pos="760"/>
        </w:tabs>
        <w:jc w:val="left"/>
        <w:rPr>
          <w:rFonts w:eastAsia="Calibri"/>
          <w:szCs w:val="28"/>
        </w:rPr>
      </w:pPr>
      <w:r w:rsidRPr="006B6A3E">
        <w:rPr>
          <w:rFonts w:eastAsia="Calibri"/>
          <w:szCs w:val="28"/>
        </w:rPr>
        <w:t xml:space="preserve">           135 задовільні</w:t>
      </w:r>
    </w:p>
    <w:p w:rsidR="006B6A3E" w:rsidRPr="006B6A3E" w:rsidRDefault="006B6A3E" w:rsidP="006B6A3E">
      <w:pPr>
        <w:tabs>
          <w:tab w:val="left" w:pos="760"/>
        </w:tabs>
        <w:jc w:val="left"/>
        <w:rPr>
          <w:rFonts w:eastAsia="Calibri"/>
          <w:szCs w:val="28"/>
        </w:rPr>
      </w:pPr>
      <w:r w:rsidRPr="006B6A3E">
        <w:rPr>
          <w:rFonts w:eastAsia="Calibri"/>
          <w:szCs w:val="28"/>
        </w:rPr>
        <w:t xml:space="preserve">           136 недостатні</w:t>
      </w:r>
    </w:p>
    <w:p w:rsidR="006B6A3E" w:rsidRPr="006B6A3E" w:rsidRDefault="006B6A3E" w:rsidP="006B6A3E">
      <w:pPr>
        <w:tabs>
          <w:tab w:val="left" w:pos="760"/>
        </w:tabs>
        <w:jc w:val="left"/>
        <w:rPr>
          <w:rFonts w:eastAsia="Calibri"/>
          <w:szCs w:val="28"/>
        </w:rPr>
      </w:pPr>
      <w:r w:rsidRPr="006B6A3E">
        <w:rPr>
          <w:rFonts w:eastAsia="Calibri"/>
          <w:szCs w:val="28"/>
        </w:rPr>
        <w:t xml:space="preserve">           137 вкрай недостатні</w:t>
      </w:r>
    </w:p>
    <w:p w:rsidR="006B6A3E" w:rsidRPr="006B6A3E" w:rsidRDefault="006B6A3E" w:rsidP="006B6A3E">
      <w:pPr>
        <w:tabs>
          <w:tab w:val="left" w:pos="617"/>
        </w:tabs>
        <w:rPr>
          <w:rFonts w:eastAsia="Calibri"/>
          <w:szCs w:val="28"/>
        </w:rPr>
      </w:pPr>
      <w:r w:rsidRPr="006B6A3E">
        <w:rPr>
          <w:rFonts w:eastAsia="Calibri"/>
          <w:szCs w:val="28"/>
        </w:rPr>
        <w:t xml:space="preserve">          - травма грудної  клітки</w:t>
      </w:r>
    </w:p>
    <w:p w:rsidR="006B6A3E" w:rsidRPr="006B6A3E" w:rsidRDefault="006B6A3E" w:rsidP="006B6A3E">
      <w:pPr>
        <w:tabs>
          <w:tab w:val="left" w:pos="760"/>
        </w:tabs>
        <w:jc w:val="left"/>
        <w:rPr>
          <w:rFonts w:eastAsia="Calibri"/>
          <w:szCs w:val="28"/>
        </w:rPr>
      </w:pPr>
      <w:r w:rsidRPr="006B6A3E">
        <w:rPr>
          <w:rFonts w:eastAsia="Calibri"/>
          <w:szCs w:val="28"/>
        </w:rPr>
        <w:t xml:space="preserve">           138 добрі</w:t>
      </w:r>
    </w:p>
    <w:p w:rsidR="006B6A3E" w:rsidRPr="006B6A3E" w:rsidRDefault="006B6A3E" w:rsidP="006B6A3E">
      <w:pPr>
        <w:tabs>
          <w:tab w:val="left" w:pos="760"/>
        </w:tabs>
        <w:jc w:val="left"/>
        <w:rPr>
          <w:rFonts w:eastAsia="Calibri"/>
          <w:szCs w:val="28"/>
        </w:rPr>
      </w:pPr>
      <w:r w:rsidRPr="006B6A3E">
        <w:rPr>
          <w:rFonts w:eastAsia="Calibri"/>
          <w:szCs w:val="28"/>
        </w:rPr>
        <w:t xml:space="preserve">           138 задовільні</w:t>
      </w:r>
    </w:p>
    <w:p w:rsidR="006B6A3E" w:rsidRPr="006B6A3E" w:rsidRDefault="006B6A3E" w:rsidP="006B6A3E">
      <w:pPr>
        <w:tabs>
          <w:tab w:val="left" w:pos="760"/>
        </w:tabs>
        <w:jc w:val="left"/>
        <w:rPr>
          <w:rFonts w:eastAsia="Calibri"/>
          <w:szCs w:val="28"/>
        </w:rPr>
      </w:pPr>
      <w:r w:rsidRPr="006B6A3E">
        <w:rPr>
          <w:rFonts w:eastAsia="Calibri"/>
          <w:szCs w:val="28"/>
        </w:rPr>
        <w:t xml:space="preserve">           140 недостатні</w:t>
      </w:r>
    </w:p>
    <w:p w:rsidR="006B6A3E" w:rsidRPr="006B6A3E" w:rsidRDefault="006B6A3E" w:rsidP="006B6A3E">
      <w:pPr>
        <w:tabs>
          <w:tab w:val="left" w:pos="760"/>
        </w:tabs>
        <w:jc w:val="left"/>
        <w:rPr>
          <w:rFonts w:eastAsia="Calibri"/>
          <w:szCs w:val="28"/>
        </w:rPr>
      </w:pPr>
      <w:r w:rsidRPr="006B6A3E">
        <w:rPr>
          <w:rFonts w:eastAsia="Calibri"/>
          <w:szCs w:val="28"/>
        </w:rPr>
        <w:t xml:space="preserve">           141 вкрай недостатні</w:t>
      </w:r>
    </w:p>
    <w:p w:rsidR="006B6A3E" w:rsidRPr="006B6A3E" w:rsidRDefault="006B6A3E" w:rsidP="006B6A3E">
      <w:pPr>
        <w:tabs>
          <w:tab w:val="left" w:pos="617"/>
        </w:tabs>
        <w:rPr>
          <w:rFonts w:eastAsia="Calibri"/>
          <w:szCs w:val="28"/>
        </w:rPr>
      </w:pPr>
      <w:r w:rsidRPr="006B6A3E">
        <w:rPr>
          <w:rFonts w:eastAsia="Calibri"/>
          <w:szCs w:val="28"/>
        </w:rPr>
        <w:t xml:space="preserve">          - травма живота</w:t>
      </w:r>
    </w:p>
    <w:p w:rsidR="006B6A3E" w:rsidRPr="006B6A3E" w:rsidRDefault="006B6A3E" w:rsidP="006B6A3E">
      <w:pPr>
        <w:tabs>
          <w:tab w:val="left" w:pos="760"/>
        </w:tabs>
        <w:jc w:val="left"/>
        <w:rPr>
          <w:rFonts w:eastAsia="Calibri"/>
          <w:szCs w:val="28"/>
        </w:rPr>
      </w:pPr>
      <w:r w:rsidRPr="006B6A3E">
        <w:rPr>
          <w:rFonts w:eastAsia="Calibri"/>
          <w:szCs w:val="28"/>
        </w:rPr>
        <w:t xml:space="preserve">           142 добрі</w:t>
      </w:r>
    </w:p>
    <w:p w:rsidR="006B6A3E" w:rsidRPr="006B6A3E" w:rsidRDefault="006B6A3E" w:rsidP="006B6A3E">
      <w:pPr>
        <w:tabs>
          <w:tab w:val="left" w:pos="760"/>
        </w:tabs>
        <w:jc w:val="left"/>
        <w:rPr>
          <w:rFonts w:eastAsia="Calibri"/>
          <w:szCs w:val="28"/>
        </w:rPr>
      </w:pPr>
      <w:r w:rsidRPr="006B6A3E">
        <w:rPr>
          <w:rFonts w:eastAsia="Calibri"/>
          <w:szCs w:val="28"/>
        </w:rPr>
        <w:t xml:space="preserve">           143 задовільні</w:t>
      </w:r>
    </w:p>
    <w:p w:rsidR="006B6A3E" w:rsidRPr="006B6A3E" w:rsidRDefault="006B6A3E" w:rsidP="006B6A3E">
      <w:pPr>
        <w:tabs>
          <w:tab w:val="left" w:pos="760"/>
        </w:tabs>
        <w:jc w:val="left"/>
        <w:rPr>
          <w:rFonts w:eastAsia="Calibri"/>
          <w:szCs w:val="28"/>
        </w:rPr>
      </w:pPr>
      <w:r w:rsidRPr="006B6A3E">
        <w:rPr>
          <w:rFonts w:eastAsia="Calibri"/>
          <w:szCs w:val="28"/>
        </w:rPr>
        <w:t xml:space="preserve">           144 недостатні</w:t>
      </w:r>
    </w:p>
    <w:p w:rsidR="006B6A3E" w:rsidRPr="006B6A3E" w:rsidRDefault="006B6A3E" w:rsidP="006B6A3E">
      <w:pPr>
        <w:tabs>
          <w:tab w:val="left" w:pos="760"/>
        </w:tabs>
        <w:jc w:val="left"/>
        <w:rPr>
          <w:rFonts w:eastAsia="Calibri"/>
          <w:szCs w:val="28"/>
        </w:rPr>
      </w:pPr>
      <w:r w:rsidRPr="006B6A3E">
        <w:rPr>
          <w:rFonts w:eastAsia="Calibri"/>
          <w:szCs w:val="28"/>
        </w:rPr>
        <w:t xml:space="preserve">           145 вкрай недостатні</w:t>
      </w:r>
    </w:p>
    <w:p w:rsidR="006B6A3E" w:rsidRPr="006B6A3E" w:rsidRDefault="006B6A3E" w:rsidP="006B6A3E">
      <w:pPr>
        <w:tabs>
          <w:tab w:val="left" w:pos="617"/>
        </w:tabs>
        <w:rPr>
          <w:rFonts w:eastAsia="Calibri"/>
          <w:szCs w:val="28"/>
        </w:rPr>
      </w:pPr>
      <w:r w:rsidRPr="006B6A3E">
        <w:rPr>
          <w:rFonts w:eastAsia="Calibri"/>
          <w:szCs w:val="28"/>
        </w:rPr>
        <w:t xml:space="preserve">          - черепно-мозкова травма </w:t>
      </w:r>
    </w:p>
    <w:p w:rsidR="006B6A3E" w:rsidRPr="006B6A3E" w:rsidRDefault="006B6A3E" w:rsidP="006B6A3E">
      <w:pPr>
        <w:tabs>
          <w:tab w:val="left" w:pos="760"/>
        </w:tabs>
        <w:jc w:val="left"/>
        <w:rPr>
          <w:rFonts w:eastAsia="Calibri"/>
          <w:szCs w:val="28"/>
        </w:rPr>
      </w:pPr>
      <w:r w:rsidRPr="006B6A3E">
        <w:rPr>
          <w:rFonts w:eastAsia="Calibri"/>
          <w:szCs w:val="28"/>
        </w:rPr>
        <w:t xml:space="preserve">           146 добрі</w:t>
      </w:r>
    </w:p>
    <w:p w:rsidR="006B6A3E" w:rsidRPr="006B6A3E" w:rsidRDefault="006B6A3E" w:rsidP="006B6A3E">
      <w:pPr>
        <w:tabs>
          <w:tab w:val="left" w:pos="760"/>
        </w:tabs>
        <w:jc w:val="left"/>
        <w:rPr>
          <w:rFonts w:eastAsia="Calibri"/>
          <w:szCs w:val="28"/>
        </w:rPr>
      </w:pPr>
      <w:r w:rsidRPr="006B6A3E">
        <w:rPr>
          <w:rFonts w:eastAsia="Calibri"/>
          <w:szCs w:val="28"/>
        </w:rPr>
        <w:t xml:space="preserve">           147 задовільні</w:t>
      </w:r>
    </w:p>
    <w:p w:rsidR="006B6A3E" w:rsidRPr="006B6A3E" w:rsidRDefault="006B6A3E" w:rsidP="006B6A3E">
      <w:pPr>
        <w:tabs>
          <w:tab w:val="left" w:pos="760"/>
        </w:tabs>
        <w:jc w:val="left"/>
        <w:rPr>
          <w:rFonts w:eastAsia="Calibri"/>
          <w:szCs w:val="28"/>
        </w:rPr>
      </w:pPr>
      <w:r w:rsidRPr="006B6A3E">
        <w:rPr>
          <w:rFonts w:eastAsia="Calibri"/>
          <w:szCs w:val="28"/>
        </w:rPr>
        <w:t xml:space="preserve">           148 недостатні</w:t>
      </w:r>
    </w:p>
    <w:p w:rsidR="006B6A3E" w:rsidRPr="006B6A3E" w:rsidRDefault="006B6A3E" w:rsidP="000A4B79">
      <w:pPr>
        <w:tabs>
          <w:tab w:val="left" w:pos="760"/>
        </w:tabs>
        <w:jc w:val="left"/>
        <w:rPr>
          <w:rFonts w:eastAsia="Calibri"/>
          <w:szCs w:val="28"/>
        </w:rPr>
      </w:pPr>
      <w:r w:rsidRPr="006B6A3E">
        <w:rPr>
          <w:rFonts w:eastAsia="Calibri"/>
          <w:szCs w:val="28"/>
        </w:rPr>
        <w:t xml:space="preserve">           149 вкрай недостатні</w:t>
      </w:r>
    </w:p>
    <w:p w:rsidR="006B6A3E" w:rsidRPr="006B6A3E" w:rsidRDefault="006B6A3E" w:rsidP="00E14BA5">
      <w:pPr>
        <w:numPr>
          <w:ilvl w:val="0"/>
          <w:numId w:val="34"/>
        </w:numPr>
        <w:tabs>
          <w:tab w:val="left" w:pos="617"/>
        </w:tabs>
        <w:spacing w:after="160"/>
        <w:contextualSpacing/>
        <w:rPr>
          <w:rFonts w:eastAsia="Calibri"/>
          <w:szCs w:val="28"/>
        </w:rPr>
      </w:pPr>
      <w:r w:rsidRPr="006B6A3E">
        <w:rPr>
          <w:rFonts w:eastAsia="Calibri"/>
          <w:szCs w:val="28"/>
        </w:rPr>
        <w:t xml:space="preserve"> Вкажіть основні джерела отримання Вами знань з  попередження   передчасної смерті дітей та тактики дій при станах, які загрожують їх життю:</w:t>
      </w:r>
    </w:p>
    <w:p w:rsidR="006B6A3E" w:rsidRPr="006B6A3E" w:rsidRDefault="006B6A3E" w:rsidP="000A4B79">
      <w:pPr>
        <w:tabs>
          <w:tab w:val="left" w:pos="617"/>
        </w:tabs>
        <w:ind w:left="720"/>
        <w:contextualSpacing/>
        <w:rPr>
          <w:rFonts w:eastAsia="Calibri"/>
          <w:szCs w:val="28"/>
        </w:rPr>
      </w:pPr>
      <w:r w:rsidRPr="006B6A3E">
        <w:rPr>
          <w:rFonts w:eastAsia="Calibri"/>
          <w:szCs w:val="28"/>
        </w:rPr>
        <w:lastRenderedPageBreak/>
        <w:t>150 в процесі навчання в інтернатурі</w:t>
      </w:r>
    </w:p>
    <w:p w:rsidR="006B6A3E" w:rsidRPr="006B6A3E" w:rsidRDefault="006B6A3E" w:rsidP="000A4B79">
      <w:pPr>
        <w:jc w:val="left"/>
        <w:rPr>
          <w:rFonts w:eastAsia="Calibri"/>
          <w:szCs w:val="28"/>
        </w:rPr>
      </w:pPr>
      <w:r w:rsidRPr="006B6A3E">
        <w:rPr>
          <w:rFonts w:eastAsia="Calibri"/>
          <w:szCs w:val="28"/>
        </w:rPr>
        <w:t xml:space="preserve">          151 в процесі проходження  спеціалізації</w:t>
      </w:r>
    </w:p>
    <w:p w:rsidR="006B6A3E" w:rsidRPr="006B6A3E" w:rsidRDefault="006B6A3E" w:rsidP="000A4B79">
      <w:pPr>
        <w:jc w:val="left"/>
        <w:rPr>
          <w:rFonts w:eastAsia="Calibri"/>
          <w:szCs w:val="28"/>
        </w:rPr>
      </w:pPr>
      <w:r w:rsidRPr="006B6A3E">
        <w:rPr>
          <w:rFonts w:eastAsia="Calibri"/>
          <w:szCs w:val="28"/>
        </w:rPr>
        <w:t xml:space="preserve">          152 курси тематичного удосконалення</w:t>
      </w:r>
    </w:p>
    <w:p w:rsidR="006B6A3E" w:rsidRPr="006B6A3E" w:rsidRDefault="006B6A3E" w:rsidP="000A4B79">
      <w:pPr>
        <w:jc w:val="left"/>
        <w:rPr>
          <w:rFonts w:eastAsia="Calibri"/>
          <w:szCs w:val="28"/>
        </w:rPr>
      </w:pPr>
      <w:r w:rsidRPr="006B6A3E">
        <w:rPr>
          <w:rFonts w:eastAsia="Calibri"/>
          <w:szCs w:val="28"/>
        </w:rPr>
        <w:t xml:space="preserve">          153 на передатестаційних циклах підвищення кваліфікації</w:t>
      </w:r>
    </w:p>
    <w:p w:rsidR="006B6A3E" w:rsidRPr="006B6A3E" w:rsidRDefault="006B6A3E" w:rsidP="000A4B79">
      <w:pPr>
        <w:jc w:val="left"/>
        <w:rPr>
          <w:rFonts w:eastAsia="Calibri"/>
          <w:szCs w:val="28"/>
        </w:rPr>
      </w:pPr>
      <w:r w:rsidRPr="006B6A3E">
        <w:rPr>
          <w:rFonts w:eastAsia="Calibri"/>
          <w:szCs w:val="28"/>
        </w:rPr>
        <w:t xml:space="preserve">          154 стажування на робочому місці</w:t>
      </w:r>
    </w:p>
    <w:p w:rsidR="006B6A3E" w:rsidRPr="006B6A3E" w:rsidRDefault="006B6A3E" w:rsidP="000A4B79">
      <w:pPr>
        <w:jc w:val="left"/>
        <w:rPr>
          <w:rFonts w:eastAsia="Calibri"/>
          <w:szCs w:val="28"/>
        </w:rPr>
      </w:pPr>
      <w:r w:rsidRPr="006B6A3E">
        <w:rPr>
          <w:rFonts w:eastAsia="Calibri"/>
          <w:szCs w:val="28"/>
        </w:rPr>
        <w:t xml:space="preserve">          155 спеціальні тренінги</w:t>
      </w:r>
    </w:p>
    <w:p w:rsidR="006B6A3E" w:rsidRPr="006B6A3E" w:rsidRDefault="006B6A3E" w:rsidP="000A4B79">
      <w:pPr>
        <w:jc w:val="left"/>
        <w:rPr>
          <w:rFonts w:eastAsia="Calibri"/>
          <w:szCs w:val="28"/>
        </w:rPr>
      </w:pPr>
      <w:r w:rsidRPr="006B6A3E">
        <w:rPr>
          <w:rFonts w:eastAsia="Calibri"/>
          <w:szCs w:val="28"/>
        </w:rPr>
        <w:t xml:space="preserve">          156 наукові конференції</w:t>
      </w:r>
    </w:p>
    <w:p w:rsidR="006B6A3E" w:rsidRPr="006B6A3E" w:rsidRDefault="006B6A3E" w:rsidP="000A4B79">
      <w:pPr>
        <w:jc w:val="left"/>
        <w:rPr>
          <w:rFonts w:eastAsia="Calibri"/>
          <w:szCs w:val="28"/>
        </w:rPr>
      </w:pPr>
      <w:r w:rsidRPr="006B6A3E">
        <w:rPr>
          <w:rFonts w:eastAsia="Calibri"/>
          <w:szCs w:val="28"/>
        </w:rPr>
        <w:t xml:space="preserve">          157 навчальна література</w:t>
      </w:r>
    </w:p>
    <w:p w:rsidR="006B6A3E" w:rsidRPr="006B6A3E" w:rsidRDefault="006B6A3E" w:rsidP="000A4B79">
      <w:pPr>
        <w:jc w:val="left"/>
        <w:rPr>
          <w:rFonts w:eastAsia="Calibri"/>
          <w:szCs w:val="28"/>
        </w:rPr>
      </w:pPr>
      <w:r w:rsidRPr="006B6A3E">
        <w:rPr>
          <w:rFonts w:eastAsia="Calibri"/>
          <w:szCs w:val="28"/>
        </w:rPr>
        <w:t xml:space="preserve">          158 наукова література</w:t>
      </w:r>
    </w:p>
    <w:p w:rsidR="006B6A3E" w:rsidRPr="006B6A3E" w:rsidRDefault="006B6A3E" w:rsidP="000A4B79">
      <w:pPr>
        <w:jc w:val="left"/>
        <w:rPr>
          <w:rFonts w:eastAsia="Calibri"/>
          <w:szCs w:val="28"/>
        </w:rPr>
      </w:pPr>
      <w:r w:rsidRPr="006B6A3E">
        <w:rPr>
          <w:rFonts w:eastAsia="Calibri"/>
          <w:szCs w:val="28"/>
        </w:rPr>
        <w:t xml:space="preserve">          159 методична література</w:t>
      </w:r>
    </w:p>
    <w:p w:rsidR="006B6A3E" w:rsidRPr="006B6A3E" w:rsidRDefault="006B6A3E" w:rsidP="0074719A">
      <w:pPr>
        <w:numPr>
          <w:ilvl w:val="0"/>
          <w:numId w:val="34"/>
        </w:numPr>
        <w:spacing w:after="160"/>
        <w:contextualSpacing/>
        <w:jc w:val="left"/>
        <w:rPr>
          <w:rFonts w:eastAsia="Calibri"/>
          <w:szCs w:val="28"/>
        </w:rPr>
      </w:pPr>
      <w:r w:rsidRPr="006B6A3E">
        <w:rPr>
          <w:rFonts w:eastAsia="Calibri"/>
          <w:szCs w:val="28"/>
        </w:rPr>
        <w:t xml:space="preserve">  Чи маєте Ви бажання отримувати знання з  попередження   передчасної смерті дітей та тактики дій при станах, які загрожують їх життю:</w:t>
      </w:r>
    </w:p>
    <w:p w:rsidR="006B6A3E" w:rsidRPr="006B6A3E" w:rsidRDefault="006B6A3E" w:rsidP="000A4B79">
      <w:pPr>
        <w:ind w:left="720"/>
        <w:contextualSpacing/>
        <w:jc w:val="left"/>
        <w:rPr>
          <w:rFonts w:eastAsia="Calibri"/>
          <w:szCs w:val="28"/>
        </w:rPr>
      </w:pPr>
      <w:r w:rsidRPr="006B6A3E">
        <w:rPr>
          <w:rFonts w:eastAsia="Calibri"/>
          <w:szCs w:val="28"/>
        </w:rPr>
        <w:t>160 маю</w:t>
      </w:r>
    </w:p>
    <w:p w:rsidR="006B6A3E" w:rsidRPr="006B6A3E" w:rsidRDefault="006B6A3E" w:rsidP="00E14BA5">
      <w:pPr>
        <w:jc w:val="left"/>
        <w:rPr>
          <w:rFonts w:eastAsia="Calibri"/>
          <w:szCs w:val="28"/>
        </w:rPr>
      </w:pPr>
      <w:r w:rsidRPr="006B6A3E">
        <w:rPr>
          <w:rFonts w:eastAsia="Calibri"/>
          <w:szCs w:val="28"/>
        </w:rPr>
        <w:t xml:space="preserve">          161 не маю</w:t>
      </w:r>
    </w:p>
    <w:p w:rsidR="006B6A3E" w:rsidRPr="006B6A3E" w:rsidRDefault="006B6A3E" w:rsidP="00E14BA5">
      <w:pPr>
        <w:jc w:val="left"/>
        <w:rPr>
          <w:rFonts w:eastAsia="Calibri"/>
          <w:szCs w:val="28"/>
        </w:rPr>
      </w:pPr>
      <w:r w:rsidRPr="006B6A3E">
        <w:rPr>
          <w:rFonts w:eastAsia="Calibri"/>
          <w:szCs w:val="28"/>
        </w:rPr>
        <w:t xml:space="preserve">          162 не визначився</w:t>
      </w:r>
    </w:p>
    <w:p w:rsidR="006B6A3E" w:rsidRPr="006B6A3E" w:rsidRDefault="006B6A3E" w:rsidP="0074719A">
      <w:pPr>
        <w:numPr>
          <w:ilvl w:val="0"/>
          <w:numId w:val="34"/>
        </w:numPr>
        <w:spacing w:after="160"/>
        <w:contextualSpacing/>
        <w:jc w:val="left"/>
        <w:rPr>
          <w:rFonts w:eastAsia="Calibri"/>
          <w:szCs w:val="28"/>
        </w:rPr>
      </w:pPr>
      <w:r w:rsidRPr="006B6A3E">
        <w:rPr>
          <w:rFonts w:eastAsia="Calibri"/>
          <w:szCs w:val="28"/>
        </w:rPr>
        <w:t xml:space="preserve"> Вкажіть який спосіб </w:t>
      </w:r>
      <w:r w:rsidRPr="006B6A3E">
        <w:rPr>
          <w:rFonts w:eastAsia="Calibri"/>
          <w:color w:val="000000"/>
          <w:szCs w:val="28"/>
        </w:rPr>
        <w:t>навчання з  попередження   передчасної смерті дітей та тактики дій при станах, які загрожують їх життю Ви вважаєте найзручнішими для себе (можливо обрати декілька найбільш зручних варіантів):</w:t>
      </w:r>
    </w:p>
    <w:p w:rsidR="006B6A3E" w:rsidRPr="006B6A3E" w:rsidRDefault="006B6A3E" w:rsidP="000A4B79">
      <w:pPr>
        <w:ind w:firstLine="720"/>
        <w:rPr>
          <w:rFonts w:eastAsia="Calibri"/>
          <w:szCs w:val="28"/>
        </w:rPr>
      </w:pPr>
      <w:r w:rsidRPr="006B6A3E">
        <w:rPr>
          <w:rFonts w:eastAsia="Calibri"/>
          <w:szCs w:val="28"/>
        </w:rPr>
        <w:t>163 курси тематичного удосконалення</w:t>
      </w:r>
    </w:p>
    <w:p w:rsidR="006B6A3E" w:rsidRPr="006B6A3E" w:rsidRDefault="006B6A3E" w:rsidP="000A4B79">
      <w:pPr>
        <w:ind w:firstLine="720"/>
        <w:rPr>
          <w:rFonts w:eastAsia="Calibri"/>
          <w:szCs w:val="28"/>
        </w:rPr>
      </w:pPr>
      <w:r w:rsidRPr="006B6A3E">
        <w:rPr>
          <w:rFonts w:eastAsia="Calibri"/>
          <w:szCs w:val="28"/>
        </w:rPr>
        <w:t>164 стажування на робочому місці</w:t>
      </w:r>
    </w:p>
    <w:p w:rsidR="006B6A3E" w:rsidRPr="006B6A3E" w:rsidRDefault="006B6A3E" w:rsidP="00161A02">
      <w:pPr>
        <w:ind w:firstLine="720"/>
        <w:jc w:val="left"/>
        <w:rPr>
          <w:rFonts w:eastAsia="Calibri"/>
          <w:szCs w:val="28"/>
        </w:rPr>
      </w:pPr>
      <w:r w:rsidRPr="006B6A3E">
        <w:rPr>
          <w:rFonts w:eastAsia="Calibri"/>
          <w:szCs w:val="28"/>
        </w:rPr>
        <w:t>165 спеціальні короткотривалі тренінги</w:t>
      </w:r>
    </w:p>
    <w:p w:rsidR="006B6A3E" w:rsidRPr="006B6A3E" w:rsidRDefault="006B6A3E" w:rsidP="00161A02">
      <w:pPr>
        <w:ind w:firstLine="720"/>
        <w:jc w:val="left"/>
        <w:rPr>
          <w:rFonts w:eastAsia="Calibri"/>
          <w:szCs w:val="28"/>
        </w:rPr>
      </w:pPr>
      <w:r w:rsidRPr="006B6A3E">
        <w:rPr>
          <w:rFonts w:eastAsia="Calibri"/>
          <w:szCs w:val="28"/>
        </w:rPr>
        <w:t>166 спеціальна методична література</w:t>
      </w:r>
    </w:p>
    <w:p w:rsidR="006B6A3E" w:rsidRPr="006B6A3E" w:rsidRDefault="006B6A3E" w:rsidP="00161A02">
      <w:pPr>
        <w:ind w:firstLine="720"/>
        <w:jc w:val="left"/>
        <w:rPr>
          <w:rFonts w:eastAsia="Calibri"/>
          <w:szCs w:val="28"/>
        </w:rPr>
      </w:pPr>
      <w:r w:rsidRPr="006B6A3E">
        <w:rPr>
          <w:rFonts w:eastAsia="Calibri"/>
          <w:szCs w:val="28"/>
        </w:rPr>
        <w:t>167 спеціальна навчальна література</w:t>
      </w:r>
    </w:p>
    <w:p w:rsidR="006B6A3E" w:rsidRPr="006B6A3E" w:rsidRDefault="006B6A3E" w:rsidP="000A4B79">
      <w:pPr>
        <w:ind w:firstLine="720"/>
        <w:rPr>
          <w:rFonts w:eastAsia="Calibri"/>
          <w:szCs w:val="28"/>
        </w:rPr>
      </w:pPr>
      <w:r w:rsidRPr="006B6A3E">
        <w:rPr>
          <w:rFonts w:eastAsia="Calibri"/>
          <w:szCs w:val="28"/>
        </w:rPr>
        <w:t>168 спеціальна наукова література</w:t>
      </w:r>
    </w:p>
    <w:p w:rsidR="006B6A3E" w:rsidRPr="006B6A3E" w:rsidRDefault="006B6A3E" w:rsidP="0074719A">
      <w:pPr>
        <w:numPr>
          <w:ilvl w:val="0"/>
          <w:numId w:val="34"/>
        </w:numPr>
        <w:spacing w:after="160"/>
        <w:contextualSpacing/>
        <w:jc w:val="left"/>
        <w:rPr>
          <w:rFonts w:eastAsia="Calibri"/>
          <w:szCs w:val="28"/>
        </w:rPr>
      </w:pPr>
      <w:r w:rsidRPr="006B6A3E">
        <w:rPr>
          <w:rFonts w:eastAsia="Calibri"/>
          <w:szCs w:val="28"/>
        </w:rPr>
        <w:t xml:space="preserve"> Чи організували Ви роботу школи відповідального батьківства?:</w:t>
      </w:r>
    </w:p>
    <w:p w:rsidR="006B6A3E" w:rsidRPr="006B6A3E" w:rsidRDefault="006B6A3E" w:rsidP="000A4B79">
      <w:pPr>
        <w:ind w:left="720"/>
        <w:contextualSpacing/>
        <w:rPr>
          <w:rFonts w:eastAsia="Calibri"/>
          <w:szCs w:val="28"/>
        </w:rPr>
      </w:pPr>
      <w:r w:rsidRPr="006B6A3E">
        <w:rPr>
          <w:rFonts w:eastAsia="Calibri"/>
          <w:szCs w:val="28"/>
        </w:rPr>
        <w:t>169 так</w:t>
      </w:r>
    </w:p>
    <w:p w:rsidR="006B6A3E" w:rsidRPr="006B6A3E" w:rsidRDefault="006B6A3E" w:rsidP="000A4B79">
      <w:pPr>
        <w:ind w:left="720"/>
        <w:contextualSpacing/>
        <w:rPr>
          <w:rFonts w:eastAsia="Calibri"/>
          <w:szCs w:val="28"/>
        </w:rPr>
      </w:pPr>
      <w:r w:rsidRPr="006B6A3E">
        <w:rPr>
          <w:rFonts w:eastAsia="Calibri"/>
          <w:szCs w:val="28"/>
        </w:rPr>
        <w:t>170 ні</w:t>
      </w:r>
    </w:p>
    <w:p w:rsidR="006B6A3E" w:rsidRPr="006B6A3E" w:rsidRDefault="006B6A3E" w:rsidP="00161A02">
      <w:pPr>
        <w:numPr>
          <w:ilvl w:val="0"/>
          <w:numId w:val="34"/>
        </w:numPr>
        <w:spacing w:after="160" w:line="276" w:lineRule="auto"/>
        <w:contextualSpacing/>
        <w:rPr>
          <w:rFonts w:eastAsia="Calibri"/>
          <w:szCs w:val="28"/>
        </w:rPr>
      </w:pPr>
      <w:r w:rsidRPr="006B6A3E">
        <w:rPr>
          <w:rFonts w:eastAsia="Calibri"/>
          <w:szCs w:val="28"/>
        </w:rPr>
        <w:t xml:space="preserve"> Чи проводили Ви  заняття в школі відповідального батьківства з навчання батьків  тактиці дій при загрозливих життю дітей станах:</w:t>
      </w:r>
    </w:p>
    <w:p w:rsidR="006B6A3E" w:rsidRPr="006B6A3E" w:rsidRDefault="006B6A3E" w:rsidP="00161A02">
      <w:pPr>
        <w:spacing w:line="276" w:lineRule="auto"/>
        <w:ind w:firstLine="720"/>
        <w:jc w:val="left"/>
        <w:rPr>
          <w:rFonts w:eastAsia="Calibri"/>
          <w:szCs w:val="28"/>
        </w:rPr>
      </w:pPr>
      <w:r w:rsidRPr="006B6A3E">
        <w:rPr>
          <w:rFonts w:eastAsia="Calibri"/>
          <w:szCs w:val="28"/>
        </w:rPr>
        <w:t>169. так</w:t>
      </w:r>
    </w:p>
    <w:p w:rsidR="00FD769A" w:rsidRPr="006C0CAE" w:rsidRDefault="006B6A3E" w:rsidP="006C0CAE">
      <w:pPr>
        <w:tabs>
          <w:tab w:val="left" w:pos="8133"/>
        </w:tabs>
        <w:spacing w:line="276" w:lineRule="auto"/>
        <w:jc w:val="left"/>
        <w:rPr>
          <w:rFonts w:eastAsia="Calibri"/>
          <w:szCs w:val="28"/>
          <w:lang w:val="ru-RU"/>
        </w:rPr>
      </w:pPr>
      <w:r w:rsidRPr="006B6A3E">
        <w:rPr>
          <w:rFonts w:eastAsia="Calibri"/>
          <w:szCs w:val="28"/>
        </w:rPr>
        <w:t xml:space="preserve">          170. н</w:t>
      </w:r>
      <w:r w:rsidR="00A365FC">
        <w:rPr>
          <w:rFonts w:eastAsia="Calibri"/>
          <w:szCs w:val="28"/>
        </w:rPr>
        <w:t>і</w:t>
      </w:r>
    </w:p>
    <w:p w:rsidR="00FC2E9D" w:rsidRPr="00442EEC" w:rsidRDefault="00535BCC" w:rsidP="00442EEC">
      <w:pPr>
        <w:pageBreakBefore/>
        <w:tabs>
          <w:tab w:val="left" w:pos="2264"/>
        </w:tabs>
        <w:spacing w:after="200" w:line="276" w:lineRule="auto"/>
        <w:jc w:val="right"/>
        <w:rPr>
          <w:rFonts w:eastAsia="Calibri"/>
          <w:szCs w:val="28"/>
        </w:rPr>
      </w:pPr>
      <w:r>
        <w:rPr>
          <w:rFonts w:eastAsia="Calibri"/>
          <w:b/>
          <w:szCs w:val="28"/>
        </w:rPr>
        <w:lastRenderedPageBreak/>
        <w:t xml:space="preserve"> </w:t>
      </w:r>
      <w:r w:rsidRPr="00442EEC">
        <w:rPr>
          <w:rFonts w:eastAsia="Calibri"/>
          <w:szCs w:val="28"/>
        </w:rPr>
        <w:t>Додаток Е</w:t>
      </w:r>
      <w:r w:rsidR="00FC2E9D" w:rsidRPr="00442EEC">
        <w:rPr>
          <w:rFonts w:eastAsia="Calibri"/>
          <w:szCs w:val="28"/>
        </w:rPr>
        <w:t>-1</w:t>
      </w:r>
    </w:p>
    <w:p w:rsidR="00FC2E9D" w:rsidRPr="00FC2E9D" w:rsidRDefault="00FC2E9D" w:rsidP="00FC2E9D">
      <w:pPr>
        <w:widowControl w:val="0"/>
        <w:spacing w:after="200"/>
        <w:jc w:val="center"/>
        <w:rPr>
          <w:rFonts w:eastAsia="Times New Roman"/>
          <w:b/>
          <w:szCs w:val="28"/>
          <w:lang w:eastAsia="ru-RU"/>
        </w:rPr>
      </w:pPr>
      <w:r w:rsidRPr="00FC2E9D">
        <w:rPr>
          <w:rFonts w:eastAsia="Times New Roman"/>
          <w:b/>
          <w:szCs w:val="28"/>
          <w:lang w:eastAsia="ru-RU"/>
        </w:rPr>
        <w:t xml:space="preserve">Порівняльна характеристика індикаторів якості перинатальної допомоги </w:t>
      </w:r>
    </w:p>
    <w:tbl>
      <w:tblPr>
        <w:tblW w:w="0" w:type="auto"/>
        <w:jc w:val="center"/>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3704"/>
        <w:gridCol w:w="3774"/>
      </w:tblGrid>
      <w:tr w:rsidR="00FC2E9D" w:rsidRPr="00691330" w:rsidTr="00B81470">
        <w:trPr>
          <w:jc w:val="center"/>
        </w:trPr>
        <w:tc>
          <w:tcPr>
            <w:tcW w:w="2693" w:type="dxa"/>
            <w:vAlign w:val="center"/>
          </w:tcPr>
          <w:p w:rsidR="00FC2E9D" w:rsidRPr="00691330" w:rsidRDefault="00FC2E9D" w:rsidP="00FC2E9D">
            <w:pPr>
              <w:widowControl w:val="0"/>
              <w:spacing w:line="276" w:lineRule="auto"/>
              <w:jc w:val="center"/>
              <w:rPr>
                <w:rFonts w:eastAsia="Times New Roman"/>
                <w:sz w:val="24"/>
                <w:szCs w:val="24"/>
                <w:lang w:eastAsia="ru-RU"/>
              </w:rPr>
            </w:pPr>
            <w:r w:rsidRPr="00691330">
              <w:rPr>
                <w:rFonts w:eastAsia="Times New Roman"/>
                <w:sz w:val="24"/>
                <w:szCs w:val="24"/>
                <w:lang w:eastAsia="ru-RU"/>
              </w:rPr>
              <w:t>РФ</w:t>
            </w:r>
          </w:p>
        </w:tc>
        <w:tc>
          <w:tcPr>
            <w:tcW w:w="3704" w:type="dxa"/>
            <w:vAlign w:val="center"/>
          </w:tcPr>
          <w:p w:rsidR="00FC2E9D" w:rsidRPr="00691330" w:rsidRDefault="00FC2E9D" w:rsidP="00FC2E9D">
            <w:pPr>
              <w:widowControl w:val="0"/>
              <w:spacing w:line="276" w:lineRule="auto"/>
              <w:jc w:val="center"/>
              <w:rPr>
                <w:rFonts w:eastAsia="Times New Roman"/>
                <w:sz w:val="24"/>
                <w:szCs w:val="24"/>
                <w:lang w:eastAsia="ru-RU"/>
              </w:rPr>
            </w:pPr>
            <w:r w:rsidRPr="00691330">
              <w:rPr>
                <w:rFonts w:eastAsia="Times New Roman"/>
                <w:sz w:val="24"/>
                <w:szCs w:val="24"/>
                <w:lang w:eastAsia="ru-RU"/>
              </w:rPr>
              <w:t>ВООЗ (ІОЯСДМ)</w:t>
            </w:r>
          </w:p>
        </w:tc>
        <w:tc>
          <w:tcPr>
            <w:tcW w:w="0" w:type="auto"/>
            <w:vAlign w:val="center"/>
          </w:tcPr>
          <w:p w:rsidR="00FC2E9D" w:rsidRPr="00691330" w:rsidRDefault="00FC2E9D" w:rsidP="00FC2E9D">
            <w:pPr>
              <w:widowControl w:val="0"/>
              <w:spacing w:line="276" w:lineRule="auto"/>
              <w:jc w:val="center"/>
              <w:rPr>
                <w:rFonts w:eastAsia="Times New Roman"/>
                <w:sz w:val="24"/>
                <w:szCs w:val="24"/>
                <w:lang w:eastAsia="ru-RU"/>
              </w:rPr>
            </w:pPr>
            <w:r w:rsidRPr="00691330">
              <w:rPr>
                <w:rFonts w:eastAsia="Times New Roman"/>
                <w:sz w:val="24"/>
                <w:szCs w:val="24"/>
                <w:lang w:eastAsia="ru-RU"/>
              </w:rPr>
              <w:t>ВООЗ ( ініціатива СПЕП)</w:t>
            </w:r>
          </w:p>
        </w:tc>
      </w:tr>
      <w:tr w:rsidR="00FC2E9D" w:rsidRPr="00691330" w:rsidTr="00B81470">
        <w:trPr>
          <w:jc w:val="center"/>
        </w:trPr>
        <w:tc>
          <w:tcPr>
            <w:tcW w:w="2693" w:type="dxa"/>
          </w:tcPr>
          <w:p w:rsidR="00FC2E9D" w:rsidRPr="00691330" w:rsidRDefault="00FC2E9D" w:rsidP="00FC2E9D">
            <w:pPr>
              <w:widowControl w:val="0"/>
              <w:spacing w:line="276" w:lineRule="auto"/>
              <w:rPr>
                <w:rFonts w:eastAsia="Times New Roman"/>
                <w:sz w:val="24"/>
                <w:szCs w:val="24"/>
                <w:lang w:eastAsia="ru-RU"/>
              </w:rPr>
            </w:pPr>
            <w:r w:rsidRPr="00691330">
              <w:rPr>
                <w:rFonts w:eastAsia="Times New Roman"/>
                <w:kern w:val="24"/>
                <w:sz w:val="24"/>
                <w:szCs w:val="24"/>
                <w:lang w:eastAsia="ru-RU"/>
              </w:rPr>
              <w:t xml:space="preserve">Число закладів (відділень) родопомочі, що надають </w:t>
            </w:r>
            <w:r w:rsidRPr="00691330">
              <w:rPr>
                <w:rFonts w:eastAsia="Times New Roman"/>
                <w:sz w:val="24"/>
                <w:szCs w:val="24"/>
                <w:lang w:eastAsia="ru-RU"/>
              </w:rPr>
              <w:t>стаціонарну акушерську допомогу</w:t>
            </w:r>
          </w:p>
        </w:tc>
        <w:tc>
          <w:tcPr>
            <w:tcW w:w="3704" w:type="dxa"/>
          </w:tcPr>
          <w:p w:rsidR="00FC2E9D" w:rsidRPr="00691330" w:rsidRDefault="00FC2E9D" w:rsidP="00FC2E9D">
            <w:pPr>
              <w:widowControl w:val="0"/>
              <w:spacing w:line="276" w:lineRule="auto"/>
              <w:rPr>
                <w:rFonts w:eastAsia="Times New Roman"/>
                <w:sz w:val="24"/>
                <w:szCs w:val="24"/>
                <w:lang w:eastAsia="ru-RU"/>
              </w:rPr>
            </w:pPr>
            <w:r w:rsidRPr="00691330">
              <w:rPr>
                <w:rFonts w:eastAsia="Times New Roman"/>
                <w:sz w:val="24"/>
                <w:szCs w:val="24"/>
                <w:lang w:eastAsia="ru-RU"/>
              </w:rPr>
              <w:t>Наявність і якість інформаційної системи, заснованої на використанні паперових носіїв, за найбільш важливими перинатальними показниками</w:t>
            </w:r>
          </w:p>
        </w:tc>
        <w:tc>
          <w:tcPr>
            <w:tcW w:w="0" w:type="auto"/>
          </w:tcPr>
          <w:p w:rsidR="00FC2E9D" w:rsidRPr="00691330" w:rsidRDefault="00FC2E9D" w:rsidP="00FC2E9D">
            <w:pPr>
              <w:widowControl w:val="0"/>
              <w:autoSpaceDE w:val="0"/>
              <w:autoSpaceDN w:val="0"/>
              <w:adjustRightInd w:val="0"/>
              <w:spacing w:line="276" w:lineRule="auto"/>
              <w:rPr>
                <w:rFonts w:eastAsia="Times New Roman"/>
                <w:sz w:val="24"/>
                <w:szCs w:val="24"/>
                <w:lang w:eastAsia="ru-RU"/>
              </w:rPr>
            </w:pPr>
            <w:r w:rsidRPr="00691330">
              <w:rPr>
                <w:rFonts w:eastAsia="Times New Roman"/>
                <w:sz w:val="24"/>
                <w:szCs w:val="24"/>
                <w:lang w:eastAsia="ru-RU"/>
              </w:rPr>
              <w:t>Кількість ЗОЗ, що надають основну акушерську допомогу (на 500,0</w:t>
            </w:r>
            <w:r w:rsidRPr="00691330">
              <w:rPr>
                <w:rFonts w:eastAsia="Times New Roman"/>
                <w:sz w:val="24"/>
                <w:szCs w:val="24"/>
                <w:lang w:eastAsia="ru-RU"/>
              </w:rPr>
              <w:tab/>
              <w:t>населення)</w:t>
            </w:r>
          </w:p>
        </w:tc>
      </w:tr>
      <w:tr w:rsidR="00FC2E9D" w:rsidRPr="00691330" w:rsidTr="00B81470">
        <w:trPr>
          <w:jc w:val="center"/>
        </w:trPr>
        <w:tc>
          <w:tcPr>
            <w:tcW w:w="2693" w:type="dxa"/>
          </w:tcPr>
          <w:p w:rsidR="00FC2E9D" w:rsidRPr="00691330" w:rsidRDefault="00FC2E9D" w:rsidP="00FC2E9D">
            <w:pPr>
              <w:widowControl w:val="0"/>
              <w:spacing w:line="276" w:lineRule="auto"/>
              <w:rPr>
                <w:rFonts w:eastAsia="Times New Roman"/>
                <w:sz w:val="24"/>
                <w:szCs w:val="24"/>
                <w:lang w:eastAsia="ru-RU"/>
              </w:rPr>
            </w:pPr>
            <w:r w:rsidRPr="00691330">
              <w:rPr>
                <w:rFonts w:eastAsia="Times New Roman"/>
                <w:kern w:val="24"/>
                <w:sz w:val="24"/>
                <w:szCs w:val="24"/>
                <w:lang w:eastAsia="ru-RU"/>
              </w:rPr>
              <w:t>Кількість ліжок для вагітних і роділь</w:t>
            </w:r>
          </w:p>
        </w:tc>
        <w:tc>
          <w:tcPr>
            <w:tcW w:w="3704" w:type="dxa"/>
          </w:tcPr>
          <w:p w:rsidR="00FC2E9D" w:rsidRPr="00691330" w:rsidRDefault="00FC2E9D" w:rsidP="00FC2E9D">
            <w:pPr>
              <w:widowControl w:val="0"/>
              <w:spacing w:line="276" w:lineRule="auto"/>
              <w:rPr>
                <w:rFonts w:eastAsia="Times New Roman"/>
                <w:sz w:val="24"/>
                <w:szCs w:val="24"/>
                <w:lang w:eastAsia="ru-RU"/>
              </w:rPr>
            </w:pPr>
            <w:r w:rsidRPr="00691330">
              <w:rPr>
                <w:rFonts w:eastAsia="Times New Roman"/>
                <w:sz w:val="24"/>
                <w:szCs w:val="24"/>
                <w:lang w:eastAsia="ru-RU"/>
              </w:rPr>
              <w:t>Наявність і якість комп'ютерної інформаційної системи за найбільш важливими перинатальними показниками</w:t>
            </w:r>
          </w:p>
        </w:tc>
        <w:tc>
          <w:tcPr>
            <w:tcW w:w="0" w:type="auto"/>
          </w:tcPr>
          <w:p w:rsidR="00FC2E9D" w:rsidRPr="00691330" w:rsidRDefault="00FC2E9D" w:rsidP="00FC2E9D">
            <w:pPr>
              <w:widowControl w:val="0"/>
              <w:autoSpaceDE w:val="0"/>
              <w:autoSpaceDN w:val="0"/>
              <w:adjustRightInd w:val="0"/>
              <w:spacing w:line="276" w:lineRule="auto"/>
              <w:rPr>
                <w:rFonts w:eastAsia="Times New Roman"/>
                <w:sz w:val="24"/>
                <w:szCs w:val="24"/>
                <w:lang w:eastAsia="ru-RU"/>
              </w:rPr>
            </w:pPr>
            <w:r w:rsidRPr="00691330">
              <w:rPr>
                <w:rFonts w:eastAsia="Times New Roman"/>
                <w:sz w:val="24"/>
                <w:szCs w:val="24"/>
                <w:lang w:eastAsia="ru-RU"/>
              </w:rPr>
              <w:t>Географічний розподіл основної акушерської допомоги</w:t>
            </w:r>
          </w:p>
          <w:p w:rsidR="00FC2E9D" w:rsidRPr="00691330" w:rsidRDefault="00FC2E9D" w:rsidP="00FC2E9D">
            <w:pPr>
              <w:widowControl w:val="0"/>
              <w:spacing w:line="276" w:lineRule="auto"/>
              <w:rPr>
                <w:rFonts w:eastAsia="Times New Roman"/>
                <w:sz w:val="24"/>
                <w:szCs w:val="24"/>
                <w:lang w:eastAsia="ru-RU"/>
              </w:rPr>
            </w:pPr>
          </w:p>
        </w:tc>
      </w:tr>
      <w:tr w:rsidR="00FC2E9D" w:rsidRPr="00691330" w:rsidTr="00B81470">
        <w:trPr>
          <w:jc w:val="center"/>
        </w:trPr>
        <w:tc>
          <w:tcPr>
            <w:tcW w:w="2693" w:type="dxa"/>
          </w:tcPr>
          <w:p w:rsidR="00FC2E9D" w:rsidRPr="00691330" w:rsidRDefault="00FC2E9D" w:rsidP="00FC2E9D">
            <w:pPr>
              <w:widowControl w:val="0"/>
              <w:spacing w:line="276" w:lineRule="auto"/>
              <w:rPr>
                <w:rFonts w:eastAsia="Times New Roman"/>
                <w:sz w:val="24"/>
                <w:szCs w:val="24"/>
                <w:lang w:eastAsia="ru-RU"/>
              </w:rPr>
            </w:pPr>
            <w:r w:rsidRPr="00691330">
              <w:rPr>
                <w:rFonts w:eastAsia="Times New Roman"/>
                <w:kern w:val="24"/>
                <w:sz w:val="24"/>
                <w:szCs w:val="24"/>
                <w:lang w:eastAsia="ru-RU"/>
              </w:rPr>
              <w:t>Кількість ліжок патології вагітності</w:t>
            </w:r>
          </w:p>
        </w:tc>
        <w:tc>
          <w:tcPr>
            <w:tcW w:w="3704" w:type="dxa"/>
          </w:tcPr>
          <w:p w:rsidR="00FC2E9D" w:rsidRPr="00691330" w:rsidRDefault="00FC2E9D" w:rsidP="00FC2E9D">
            <w:pPr>
              <w:widowControl w:val="0"/>
              <w:tabs>
                <w:tab w:val="left" w:pos="1395"/>
              </w:tabs>
              <w:spacing w:line="276" w:lineRule="auto"/>
              <w:rPr>
                <w:rFonts w:eastAsia="Times New Roman"/>
                <w:sz w:val="24"/>
                <w:szCs w:val="24"/>
                <w:lang w:eastAsia="ru-RU"/>
              </w:rPr>
            </w:pPr>
            <w:r w:rsidRPr="00691330">
              <w:rPr>
                <w:rFonts w:eastAsia="Times New Roman"/>
                <w:sz w:val="24"/>
                <w:szCs w:val="24"/>
                <w:lang w:eastAsia="ru-RU"/>
              </w:rPr>
              <w:t>Наявність комп'ютерної системи медичних записів</w:t>
            </w:r>
          </w:p>
        </w:tc>
        <w:tc>
          <w:tcPr>
            <w:tcW w:w="0" w:type="auto"/>
          </w:tcPr>
          <w:p w:rsidR="00FC2E9D" w:rsidRPr="00691330" w:rsidRDefault="00FC2E9D" w:rsidP="00FC2E9D">
            <w:pPr>
              <w:widowControl w:val="0"/>
              <w:spacing w:line="276" w:lineRule="auto"/>
              <w:rPr>
                <w:rFonts w:eastAsia="Times New Roman"/>
                <w:sz w:val="24"/>
                <w:szCs w:val="24"/>
                <w:lang w:eastAsia="ru-RU"/>
              </w:rPr>
            </w:pPr>
            <w:r w:rsidRPr="00691330">
              <w:rPr>
                <w:rFonts w:eastAsia="Times New Roman"/>
                <w:sz w:val="24"/>
                <w:szCs w:val="24"/>
                <w:lang w:eastAsia="ru-RU"/>
              </w:rPr>
              <w:t>Відсоток пологів за участю досвідченого медперсоналу</w:t>
            </w:r>
          </w:p>
        </w:tc>
      </w:tr>
      <w:tr w:rsidR="00FC2E9D" w:rsidRPr="00691330" w:rsidTr="00B81470">
        <w:trPr>
          <w:jc w:val="center"/>
        </w:trPr>
        <w:tc>
          <w:tcPr>
            <w:tcW w:w="2693" w:type="dxa"/>
          </w:tcPr>
          <w:p w:rsidR="00FC2E9D" w:rsidRPr="00691330" w:rsidRDefault="00FC2E9D" w:rsidP="00FC2E9D">
            <w:pPr>
              <w:widowControl w:val="0"/>
              <w:spacing w:line="276" w:lineRule="auto"/>
              <w:rPr>
                <w:rFonts w:eastAsia="Times New Roman"/>
                <w:sz w:val="24"/>
                <w:szCs w:val="24"/>
                <w:lang w:eastAsia="ru-RU"/>
              </w:rPr>
            </w:pPr>
          </w:p>
        </w:tc>
        <w:tc>
          <w:tcPr>
            <w:tcW w:w="3704" w:type="dxa"/>
          </w:tcPr>
          <w:p w:rsidR="00FC2E9D" w:rsidRPr="00691330" w:rsidRDefault="00FC2E9D" w:rsidP="00FC2E9D">
            <w:pPr>
              <w:widowControl w:val="0"/>
              <w:spacing w:line="276" w:lineRule="auto"/>
              <w:rPr>
                <w:rFonts w:eastAsia="Times New Roman"/>
                <w:sz w:val="24"/>
                <w:szCs w:val="24"/>
                <w:lang w:eastAsia="ru-RU"/>
              </w:rPr>
            </w:pPr>
            <w:r w:rsidRPr="00691330">
              <w:rPr>
                <w:rFonts w:eastAsia="Times New Roman"/>
                <w:sz w:val="24"/>
                <w:szCs w:val="24"/>
                <w:lang w:eastAsia="ru-RU"/>
              </w:rPr>
              <w:t>Періодичний аналіз і оцінка статистичних даних і показників відповідними професійними групами</w:t>
            </w:r>
          </w:p>
        </w:tc>
        <w:tc>
          <w:tcPr>
            <w:tcW w:w="0" w:type="auto"/>
          </w:tcPr>
          <w:p w:rsidR="00FC2E9D" w:rsidRPr="00691330" w:rsidRDefault="00FC2E9D" w:rsidP="00FC2E9D">
            <w:pPr>
              <w:widowControl w:val="0"/>
              <w:spacing w:line="276" w:lineRule="auto"/>
              <w:rPr>
                <w:rFonts w:eastAsia="Times New Roman"/>
                <w:sz w:val="24"/>
                <w:szCs w:val="24"/>
                <w:lang w:eastAsia="ru-RU"/>
              </w:rPr>
            </w:pPr>
            <w:r w:rsidRPr="00691330">
              <w:rPr>
                <w:rFonts w:eastAsia="Times New Roman"/>
                <w:sz w:val="24"/>
                <w:szCs w:val="24"/>
                <w:lang w:eastAsia="ru-RU"/>
              </w:rPr>
              <w:t>Відсоток навчених і компетентних спеціалістів, що надають медичну допомогу</w:t>
            </w:r>
          </w:p>
        </w:tc>
      </w:tr>
      <w:tr w:rsidR="00FC2E9D" w:rsidRPr="00691330" w:rsidTr="00B81470">
        <w:trPr>
          <w:jc w:val="center"/>
        </w:trPr>
        <w:tc>
          <w:tcPr>
            <w:tcW w:w="2693" w:type="dxa"/>
          </w:tcPr>
          <w:p w:rsidR="00FC2E9D" w:rsidRPr="00691330" w:rsidRDefault="00FC2E9D" w:rsidP="00FC2E9D">
            <w:pPr>
              <w:widowControl w:val="0"/>
              <w:spacing w:line="276" w:lineRule="auto"/>
              <w:rPr>
                <w:rFonts w:eastAsia="Times New Roman"/>
                <w:sz w:val="24"/>
                <w:szCs w:val="24"/>
                <w:lang w:eastAsia="ru-RU"/>
              </w:rPr>
            </w:pPr>
          </w:p>
        </w:tc>
        <w:tc>
          <w:tcPr>
            <w:tcW w:w="3704" w:type="dxa"/>
          </w:tcPr>
          <w:p w:rsidR="00FC2E9D" w:rsidRPr="00691330" w:rsidRDefault="00FC2E9D" w:rsidP="00FC2E9D">
            <w:pPr>
              <w:widowControl w:val="0"/>
              <w:spacing w:line="276" w:lineRule="auto"/>
              <w:rPr>
                <w:rFonts w:eastAsia="Times New Roman"/>
                <w:sz w:val="24"/>
                <w:szCs w:val="24"/>
                <w:lang w:eastAsia="ru-RU"/>
              </w:rPr>
            </w:pPr>
            <w:r w:rsidRPr="00691330">
              <w:rPr>
                <w:rFonts w:eastAsia="Times New Roman"/>
                <w:sz w:val="24"/>
                <w:szCs w:val="24"/>
                <w:lang w:eastAsia="ru-RU"/>
              </w:rPr>
              <w:t>Наявність відповідних статистичних даних і інформації</w:t>
            </w:r>
          </w:p>
        </w:tc>
        <w:tc>
          <w:tcPr>
            <w:tcW w:w="0" w:type="auto"/>
          </w:tcPr>
          <w:p w:rsidR="00FC2E9D" w:rsidRPr="00691330" w:rsidRDefault="00FC2E9D" w:rsidP="00FC2E9D">
            <w:pPr>
              <w:widowControl w:val="0"/>
              <w:autoSpaceDE w:val="0"/>
              <w:autoSpaceDN w:val="0"/>
              <w:adjustRightInd w:val="0"/>
              <w:spacing w:line="276" w:lineRule="auto"/>
              <w:rPr>
                <w:rFonts w:eastAsia="Times New Roman"/>
                <w:sz w:val="24"/>
                <w:szCs w:val="24"/>
                <w:lang w:eastAsia="ru-RU"/>
              </w:rPr>
            </w:pPr>
            <w:r w:rsidRPr="00691330">
              <w:rPr>
                <w:rFonts w:eastAsia="Times New Roman"/>
                <w:sz w:val="24"/>
                <w:szCs w:val="24"/>
                <w:lang w:eastAsia="ru-RU"/>
              </w:rPr>
              <w:t>Відсоток лікарень з протоколами по грудному вигодовуванню;</w:t>
            </w:r>
          </w:p>
        </w:tc>
      </w:tr>
      <w:tr w:rsidR="00FC2E9D" w:rsidRPr="00691330" w:rsidTr="00B81470">
        <w:trPr>
          <w:jc w:val="center"/>
        </w:trPr>
        <w:tc>
          <w:tcPr>
            <w:tcW w:w="2693" w:type="dxa"/>
          </w:tcPr>
          <w:p w:rsidR="00FC2E9D" w:rsidRPr="00691330" w:rsidRDefault="00FC2E9D" w:rsidP="00FC2E9D">
            <w:pPr>
              <w:widowControl w:val="0"/>
              <w:spacing w:line="276" w:lineRule="auto"/>
              <w:rPr>
                <w:rFonts w:eastAsia="Times New Roman"/>
                <w:sz w:val="24"/>
                <w:szCs w:val="24"/>
                <w:lang w:eastAsia="ru-RU"/>
              </w:rPr>
            </w:pPr>
          </w:p>
        </w:tc>
        <w:tc>
          <w:tcPr>
            <w:tcW w:w="3704" w:type="dxa"/>
          </w:tcPr>
          <w:p w:rsidR="00FC2E9D" w:rsidRPr="00691330" w:rsidRDefault="00FC2E9D" w:rsidP="00FC2E9D">
            <w:pPr>
              <w:widowControl w:val="0"/>
              <w:spacing w:line="276" w:lineRule="auto"/>
              <w:rPr>
                <w:rFonts w:eastAsia="Times New Roman"/>
                <w:sz w:val="24"/>
                <w:szCs w:val="24"/>
                <w:lang w:eastAsia="ru-RU"/>
              </w:rPr>
            </w:pPr>
            <w:r w:rsidRPr="00691330">
              <w:rPr>
                <w:rFonts w:eastAsia="Times New Roman"/>
                <w:sz w:val="24"/>
                <w:szCs w:val="24"/>
                <w:lang w:eastAsia="ru-RU"/>
              </w:rPr>
              <w:t>Обладнання й матеріали</w:t>
            </w:r>
          </w:p>
        </w:tc>
        <w:tc>
          <w:tcPr>
            <w:tcW w:w="0" w:type="auto"/>
          </w:tcPr>
          <w:p w:rsidR="00FC2E9D" w:rsidRPr="00691330" w:rsidRDefault="00FC2E9D" w:rsidP="00FC2E9D">
            <w:pPr>
              <w:widowControl w:val="0"/>
              <w:spacing w:line="276" w:lineRule="auto"/>
              <w:rPr>
                <w:rFonts w:eastAsia="Times New Roman"/>
                <w:sz w:val="24"/>
                <w:szCs w:val="24"/>
                <w:lang w:eastAsia="ru-RU"/>
              </w:rPr>
            </w:pPr>
            <w:r w:rsidRPr="00691330">
              <w:rPr>
                <w:rFonts w:eastAsia="Times New Roman"/>
                <w:sz w:val="24"/>
                <w:szCs w:val="24"/>
                <w:lang w:eastAsia="ru-RU"/>
              </w:rPr>
              <w:t>Число медпрацівників, що пройшли ефективний курс навчання</w:t>
            </w:r>
          </w:p>
        </w:tc>
      </w:tr>
      <w:tr w:rsidR="00FC2E9D" w:rsidRPr="00691330" w:rsidTr="00B81470">
        <w:trPr>
          <w:jc w:val="center"/>
        </w:trPr>
        <w:tc>
          <w:tcPr>
            <w:tcW w:w="2693" w:type="dxa"/>
          </w:tcPr>
          <w:p w:rsidR="00FC2E9D" w:rsidRPr="00691330" w:rsidRDefault="00FC2E9D" w:rsidP="00FC2E9D">
            <w:pPr>
              <w:widowControl w:val="0"/>
              <w:spacing w:line="276" w:lineRule="auto"/>
              <w:rPr>
                <w:rFonts w:eastAsia="Times New Roman"/>
                <w:sz w:val="24"/>
                <w:szCs w:val="24"/>
                <w:lang w:eastAsia="ru-RU"/>
              </w:rPr>
            </w:pPr>
          </w:p>
        </w:tc>
        <w:tc>
          <w:tcPr>
            <w:tcW w:w="3704" w:type="dxa"/>
          </w:tcPr>
          <w:p w:rsidR="00FC2E9D" w:rsidRPr="00691330" w:rsidRDefault="00FC2E9D" w:rsidP="00FC2E9D">
            <w:pPr>
              <w:widowControl w:val="0"/>
              <w:spacing w:line="276" w:lineRule="auto"/>
              <w:rPr>
                <w:rFonts w:eastAsia="Times New Roman"/>
                <w:sz w:val="24"/>
                <w:szCs w:val="24"/>
                <w:lang w:eastAsia="ru-RU"/>
              </w:rPr>
            </w:pPr>
            <w:r w:rsidRPr="00691330">
              <w:rPr>
                <w:rFonts w:eastAsia="Times New Roman"/>
                <w:sz w:val="24"/>
                <w:szCs w:val="24"/>
                <w:lang w:eastAsia="ru-RU"/>
              </w:rPr>
              <w:t>Лабораторна підтримка</w:t>
            </w:r>
          </w:p>
        </w:tc>
        <w:tc>
          <w:tcPr>
            <w:tcW w:w="0" w:type="auto"/>
          </w:tcPr>
          <w:p w:rsidR="00FC2E9D" w:rsidRPr="00691330" w:rsidRDefault="00FC2E9D" w:rsidP="00FC2E9D">
            <w:pPr>
              <w:widowControl w:val="0"/>
              <w:autoSpaceDE w:val="0"/>
              <w:autoSpaceDN w:val="0"/>
              <w:adjustRightInd w:val="0"/>
              <w:spacing w:line="276" w:lineRule="auto"/>
              <w:rPr>
                <w:rFonts w:eastAsia="Times New Roman"/>
                <w:sz w:val="24"/>
                <w:szCs w:val="24"/>
                <w:lang w:eastAsia="ru-RU"/>
              </w:rPr>
            </w:pPr>
            <w:r w:rsidRPr="00691330">
              <w:rPr>
                <w:rFonts w:eastAsia="Times New Roman"/>
                <w:sz w:val="24"/>
                <w:szCs w:val="24"/>
                <w:lang w:eastAsia="ru-RU"/>
              </w:rPr>
              <w:t>Число медичних учбових закладів з адекватним учбовим планом;</w:t>
            </w:r>
          </w:p>
        </w:tc>
      </w:tr>
      <w:tr w:rsidR="00FC2E9D" w:rsidRPr="00691330" w:rsidTr="00B81470">
        <w:trPr>
          <w:jc w:val="center"/>
        </w:trPr>
        <w:tc>
          <w:tcPr>
            <w:tcW w:w="2693" w:type="dxa"/>
          </w:tcPr>
          <w:p w:rsidR="00FC2E9D" w:rsidRPr="00691330" w:rsidRDefault="00FC2E9D" w:rsidP="00FC2E9D">
            <w:pPr>
              <w:widowControl w:val="0"/>
              <w:spacing w:line="276" w:lineRule="auto"/>
              <w:rPr>
                <w:rFonts w:eastAsia="Times New Roman"/>
                <w:sz w:val="24"/>
                <w:szCs w:val="24"/>
                <w:lang w:eastAsia="ru-RU"/>
              </w:rPr>
            </w:pPr>
          </w:p>
        </w:tc>
        <w:tc>
          <w:tcPr>
            <w:tcW w:w="3704" w:type="dxa"/>
          </w:tcPr>
          <w:p w:rsidR="00FC2E9D" w:rsidRPr="00691330" w:rsidRDefault="00FC2E9D" w:rsidP="00FC2E9D">
            <w:pPr>
              <w:widowControl w:val="0"/>
              <w:spacing w:line="276" w:lineRule="auto"/>
              <w:rPr>
                <w:rFonts w:eastAsia="Times New Roman"/>
                <w:sz w:val="24"/>
                <w:szCs w:val="24"/>
                <w:lang w:eastAsia="ru-RU"/>
              </w:rPr>
            </w:pPr>
            <w:r w:rsidRPr="00691330">
              <w:rPr>
                <w:rFonts w:eastAsia="Times New Roman"/>
                <w:sz w:val="24"/>
                <w:szCs w:val="24"/>
                <w:lang w:eastAsia="ru-RU"/>
              </w:rPr>
              <w:t>Базова інфраструктура медичної установи</w:t>
            </w:r>
          </w:p>
        </w:tc>
        <w:tc>
          <w:tcPr>
            <w:tcW w:w="0" w:type="auto"/>
          </w:tcPr>
          <w:p w:rsidR="00FC2E9D" w:rsidRPr="00691330" w:rsidRDefault="00FC2E9D" w:rsidP="00FC2E9D">
            <w:pPr>
              <w:widowControl w:val="0"/>
              <w:spacing w:line="276" w:lineRule="auto"/>
              <w:rPr>
                <w:rFonts w:eastAsia="Times New Roman"/>
                <w:sz w:val="24"/>
                <w:szCs w:val="24"/>
                <w:lang w:eastAsia="ru-RU"/>
              </w:rPr>
            </w:pPr>
            <w:r w:rsidRPr="00691330">
              <w:rPr>
                <w:rFonts w:eastAsia="Times New Roman"/>
                <w:sz w:val="24"/>
                <w:szCs w:val="24"/>
                <w:lang w:eastAsia="ru-RU"/>
              </w:rPr>
              <w:t>% навчених, компетентних в постановці діагнозу і веденні вагітності та пологів медичних працівників, що надають допомогу жінкам</w:t>
            </w:r>
          </w:p>
        </w:tc>
      </w:tr>
      <w:tr w:rsidR="00FC2E9D" w:rsidRPr="00691330" w:rsidTr="00B81470">
        <w:trPr>
          <w:jc w:val="center"/>
        </w:trPr>
        <w:tc>
          <w:tcPr>
            <w:tcW w:w="2693" w:type="dxa"/>
          </w:tcPr>
          <w:p w:rsidR="00FC2E9D" w:rsidRPr="00691330" w:rsidRDefault="00FC2E9D" w:rsidP="00FC2E9D">
            <w:pPr>
              <w:widowControl w:val="0"/>
              <w:spacing w:line="276" w:lineRule="auto"/>
              <w:rPr>
                <w:rFonts w:eastAsia="Times New Roman"/>
                <w:sz w:val="24"/>
                <w:szCs w:val="24"/>
                <w:lang w:eastAsia="ru-RU"/>
              </w:rPr>
            </w:pPr>
          </w:p>
        </w:tc>
        <w:tc>
          <w:tcPr>
            <w:tcW w:w="3704" w:type="dxa"/>
          </w:tcPr>
          <w:p w:rsidR="00FC2E9D" w:rsidRPr="00691330" w:rsidRDefault="00FC2E9D" w:rsidP="00FC2E9D">
            <w:pPr>
              <w:widowControl w:val="0"/>
              <w:spacing w:line="276" w:lineRule="auto"/>
              <w:rPr>
                <w:rFonts w:eastAsia="Times New Roman"/>
                <w:sz w:val="24"/>
                <w:szCs w:val="24"/>
                <w:lang w:eastAsia="ru-RU"/>
              </w:rPr>
            </w:pPr>
            <w:r w:rsidRPr="00691330">
              <w:rPr>
                <w:rFonts w:eastAsia="Times New Roman"/>
                <w:sz w:val="24"/>
                <w:szCs w:val="24"/>
                <w:lang w:eastAsia="ru-RU"/>
              </w:rPr>
              <w:t>Стандарти й критерії післяпологового відділення</w:t>
            </w:r>
          </w:p>
        </w:tc>
        <w:tc>
          <w:tcPr>
            <w:tcW w:w="0" w:type="auto"/>
          </w:tcPr>
          <w:p w:rsidR="00FC2E9D" w:rsidRPr="00691330" w:rsidRDefault="00FC2E9D" w:rsidP="00FC2E9D">
            <w:pPr>
              <w:widowControl w:val="0"/>
              <w:spacing w:line="276" w:lineRule="auto"/>
              <w:rPr>
                <w:rFonts w:eastAsia="Times New Roman"/>
                <w:sz w:val="24"/>
                <w:szCs w:val="24"/>
                <w:lang w:eastAsia="ru-RU"/>
              </w:rPr>
            </w:pPr>
          </w:p>
        </w:tc>
      </w:tr>
      <w:tr w:rsidR="00FC2E9D" w:rsidRPr="00691330" w:rsidTr="00B81470">
        <w:trPr>
          <w:trHeight w:val="463"/>
          <w:jc w:val="center"/>
        </w:trPr>
        <w:tc>
          <w:tcPr>
            <w:tcW w:w="2693" w:type="dxa"/>
          </w:tcPr>
          <w:p w:rsidR="00FC2E9D" w:rsidRPr="00691330" w:rsidRDefault="00FC2E9D" w:rsidP="00FC2E9D">
            <w:pPr>
              <w:widowControl w:val="0"/>
              <w:spacing w:line="276" w:lineRule="auto"/>
              <w:rPr>
                <w:rFonts w:eastAsia="Times New Roman"/>
                <w:sz w:val="24"/>
                <w:szCs w:val="24"/>
                <w:lang w:eastAsia="ru-RU"/>
              </w:rPr>
            </w:pPr>
          </w:p>
        </w:tc>
        <w:tc>
          <w:tcPr>
            <w:tcW w:w="3704" w:type="dxa"/>
          </w:tcPr>
          <w:p w:rsidR="00FC2E9D" w:rsidRPr="00691330" w:rsidRDefault="00FC2E9D" w:rsidP="00FC2E9D">
            <w:pPr>
              <w:widowControl w:val="0"/>
              <w:spacing w:line="276" w:lineRule="auto"/>
              <w:rPr>
                <w:rFonts w:eastAsia="Times New Roman"/>
                <w:sz w:val="24"/>
                <w:szCs w:val="24"/>
                <w:lang w:eastAsia="ru-RU"/>
              </w:rPr>
            </w:pPr>
            <w:r w:rsidRPr="00691330">
              <w:rPr>
                <w:rFonts w:eastAsia="Times New Roman"/>
                <w:sz w:val="24"/>
                <w:szCs w:val="24"/>
                <w:lang w:eastAsia="ru-RU"/>
              </w:rPr>
              <w:t>Доступність медичного персоналу</w:t>
            </w:r>
          </w:p>
        </w:tc>
        <w:tc>
          <w:tcPr>
            <w:tcW w:w="0" w:type="auto"/>
          </w:tcPr>
          <w:p w:rsidR="00FC2E9D" w:rsidRPr="00691330" w:rsidRDefault="00FC2E9D" w:rsidP="00FC2E9D">
            <w:pPr>
              <w:widowControl w:val="0"/>
              <w:spacing w:line="276" w:lineRule="auto"/>
              <w:rPr>
                <w:rFonts w:eastAsia="Times New Roman"/>
                <w:sz w:val="24"/>
                <w:szCs w:val="24"/>
                <w:lang w:eastAsia="ru-RU"/>
              </w:rPr>
            </w:pPr>
          </w:p>
        </w:tc>
      </w:tr>
      <w:tr w:rsidR="00FC2E9D" w:rsidRPr="00691330" w:rsidTr="00B81470">
        <w:trPr>
          <w:trHeight w:val="939"/>
          <w:jc w:val="center"/>
        </w:trPr>
        <w:tc>
          <w:tcPr>
            <w:tcW w:w="2693" w:type="dxa"/>
          </w:tcPr>
          <w:p w:rsidR="00FC2E9D" w:rsidRPr="00691330" w:rsidRDefault="00FC2E9D" w:rsidP="00FC2E9D">
            <w:pPr>
              <w:widowControl w:val="0"/>
              <w:spacing w:line="276" w:lineRule="auto"/>
              <w:textAlignment w:val="baseline"/>
              <w:rPr>
                <w:rFonts w:eastAsia="Times New Roman"/>
                <w:sz w:val="24"/>
                <w:szCs w:val="24"/>
                <w:lang w:eastAsia="ru-RU"/>
              </w:rPr>
            </w:pPr>
            <w:r w:rsidRPr="00691330">
              <w:rPr>
                <w:rFonts w:eastAsia="Times New Roman"/>
                <w:kern w:val="24"/>
                <w:sz w:val="24"/>
                <w:szCs w:val="24"/>
                <w:lang w:eastAsia="ru-RU"/>
              </w:rPr>
              <w:t xml:space="preserve">Народилось живими всього, з них масою тіла </w:t>
            </w:r>
            <w:r w:rsidRPr="00691330">
              <w:rPr>
                <w:rFonts w:eastAsia="Times New Roman"/>
                <w:sz w:val="24"/>
                <w:szCs w:val="24"/>
                <w:lang w:eastAsia="ru-RU"/>
              </w:rPr>
              <w:t>500-</w:t>
            </w:r>
            <w:smartTag w:uri="urn:schemas-microsoft-com:office:smarttags" w:element="metricconverter">
              <w:smartTagPr>
                <w:attr w:name="ProductID" w:val="999 г"/>
              </w:smartTagPr>
              <w:r w:rsidRPr="00691330">
                <w:rPr>
                  <w:rFonts w:eastAsia="Times New Roman"/>
                  <w:sz w:val="24"/>
                  <w:szCs w:val="24"/>
                  <w:lang w:eastAsia="ru-RU"/>
                </w:rPr>
                <w:t>999 г</w:t>
              </w:r>
            </w:smartTag>
            <w:r w:rsidRPr="00691330">
              <w:rPr>
                <w:rFonts w:eastAsia="Times New Roman"/>
                <w:sz w:val="24"/>
                <w:szCs w:val="24"/>
                <w:lang w:eastAsia="ru-RU"/>
              </w:rPr>
              <w:t>, 1000-</w:t>
            </w:r>
            <w:smartTag w:uri="urn:schemas-microsoft-com:office:smarttags" w:element="metricconverter">
              <w:smartTagPr>
                <w:attr w:name="ProductID" w:val="1499 г"/>
              </w:smartTagPr>
              <w:r w:rsidRPr="00691330">
                <w:rPr>
                  <w:rFonts w:eastAsia="Times New Roman"/>
                  <w:sz w:val="24"/>
                  <w:szCs w:val="24"/>
                  <w:lang w:eastAsia="ru-RU"/>
                </w:rPr>
                <w:t>1499 г</w:t>
              </w:r>
            </w:smartTag>
            <w:r w:rsidRPr="00691330">
              <w:rPr>
                <w:rFonts w:eastAsia="Times New Roman"/>
                <w:sz w:val="24"/>
                <w:szCs w:val="24"/>
                <w:lang w:eastAsia="ru-RU"/>
              </w:rPr>
              <w:t>, 1500-2499г.</w:t>
            </w:r>
          </w:p>
        </w:tc>
        <w:tc>
          <w:tcPr>
            <w:tcW w:w="3704" w:type="dxa"/>
          </w:tcPr>
          <w:p w:rsidR="00FC2E9D" w:rsidRPr="00691330" w:rsidRDefault="00FC2E9D" w:rsidP="00FC2E9D">
            <w:pPr>
              <w:widowControl w:val="0"/>
              <w:spacing w:line="276" w:lineRule="auto"/>
              <w:rPr>
                <w:rFonts w:eastAsia="Times New Roman"/>
                <w:sz w:val="24"/>
                <w:szCs w:val="24"/>
                <w:lang w:eastAsia="ru-RU"/>
              </w:rPr>
            </w:pPr>
            <w:r w:rsidRPr="00691330">
              <w:rPr>
                <w:rFonts w:eastAsia="Times New Roman"/>
                <w:sz w:val="24"/>
                <w:szCs w:val="24"/>
                <w:lang w:eastAsia="ru-RU"/>
              </w:rPr>
              <w:t>Кількість новонароджених з низькою масою тіла при народженні: &lt; 1000</w:t>
            </w:r>
            <w:r w:rsidR="00FD30D6">
              <w:rPr>
                <w:rFonts w:eastAsia="Times New Roman"/>
                <w:sz w:val="24"/>
                <w:szCs w:val="24"/>
                <w:lang w:val="ru-RU" w:eastAsia="ru-RU"/>
              </w:rPr>
              <w:t xml:space="preserve"> </w:t>
            </w:r>
            <w:r w:rsidRPr="00691330">
              <w:rPr>
                <w:rFonts w:eastAsia="Times New Roman"/>
                <w:sz w:val="24"/>
                <w:szCs w:val="24"/>
                <w:lang w:eastAsia="ru-RU"/>
              </w:rPr>
              <w:t>г, &lt; 1500</w:t>
            </w:r>
            <w:r w:rsidR="00FD30D6">
              <w:rPr>
                <w:rFonts w:eastAsia="Times New Roman"/>
                <w:sz w:val="24"/>
                <w:szCs w:val="24"/>
                <w:lang w:val="ru-RU" w:eastAsia="ru-RU"/>
              </w:rPr>
              <w:t xml:space="preserve"> </w:t>
            </w:r>
            <w:r w:rsidRPr="00691330">
              <w:rPr>
                <w:rFonts w:eastAsia="Times New Roman"/>
                <w:sz w:val="24"/>
                <w:szCs w:val="24"/>
                <w:lang w:eastAsia="ru-RU"/>
              </w:rPr>
              <w:t>г, &lt;</w:t>
            </w:r>
            <w:smartTag w:uri="urn:schemas-microsoft-com:office:smarttags" w:element="metricconverter">
              <w:smartTagPr>
                <w:attr w:name="ProductID" w:val="2500 г"/>
              </w:smartTagPr>
              <w:r w:rsidRPr="00691330">
                <w:rPr>
                  <w:rFonts w:eastAsia="Times New Roman"/>
                  <w:sz w:val="24"/>
                  <w:szCs w:val="24"/>
                  <w:lang w:eastAsia="ru-RU"/>
                </w:rPr>
                <w:t>2500 г</w:t>
              </w:r>
            </w:smartTag>
            <w:r w:rsidRPr="00691330">
              <w:rPr>
                <w:rFonts w:eastAsia="Times New Roman"/>
                <w:sz w:val="24"/>
                <w:szCs w:val="24"/>
                <w:lang w:eastAsia="ru-RU"/>
              </w:rPr>
              <w:t>.</w:t>
            </w:r>
          </w:p>
        </w:tc>
        <w:tc>
          <w:tcPr>
            <w:tcW w:w="0" w:type="auto"/>
          </w:tcPr>
          <w:p w:rsidR="00FC2E9D" w:rsidRPr="00691330" w:rsidRDefault="00FC2E9D" w:rsidP="00FC2E9D">
            <w:pPr>
              <w:widowControl w:val="0"/>
              <w:spacing w:line="276" w:lineRule="auto"/>
              <w:rPr>
                <w:rFonts w:eastAsia="Times New Roman"/>
                <w:sz w:val="24"/>
                <w:szCs w:val="24"/>
                <w:lang w:eastAsia="ru-RU"/>
              </w:rPr>
            </w:pPr>
            <w:r w:rsidRPr="00691330">
              <w:rPr>
                <w:rFonts w:eastAsia="Times New Roman"/>
                <w:sz w:val="24"/>
                <w:szCs w:val="24"/>
                <w:lang w:eastAsia="ru-RU"/>
              </w:rPr>
              <w:t>Присутність близької людини при пологах</w:t>
            </w:r>
          </w:p>
        </w:tc>
      </w:tr>
      <w:tr w:rsidR="00FC2E9D" w:rsidRPr="00691330" w:rsidTr="00B81470">
        <w:trPr>
          <w:jc w:val="center"/>
        </w:trPr>
        <w:tc>
          <w:tcPr>
            <w:tcW w:w="2693" w:type="dxa"/>
          </w:tcPr>
          <w:p w:rsidR="00FC2E9D" w:rsidRPr="00691330" w:rsidRDefault="00FC2E9D" w:rsidP="00FC2E9D">
            <w:pPr>
              <w:widowControl w:val="0"/>
              <w:spacing w:line="276" w:lineRule="auto"/>
              <w:rPr>
                <w:rFonts w:eastAsia="Times New Roman"/>
                <w:sz w:val="24"/>
                <w:szCs w:val="24"/>
                <w:lang w:eastAsia="ru-RU"/>
              </w:rPr>
            </w:pPr>
            <w:r w:rsidRPr="00691330">
              <w:rPr>
                <w:rFonts w:eastAsia="Times New Roman"/>
                <w:kern w:val="24"/>
                <w:sz w:val="24"/>
                <w:szCs w:val="24"/>
                <w:lang w:eastAsia="ru-RU"/>
              </w:rPr>
              <w:t xml:space="preserve">Народилось мертвими всього, з них масою тіла </w:t>
            </w:r>
            <w:r w:rsidRPr="00691330">
              <w:rPr>
                <w:rFonts w:eastAsia="Times New Roman"/>
                <w:sz w:val="24"/>
                <w:szCs w:val="24"/>
                <w:lang w:eastAsia="ru-RU"/>
              </w:rPr>
              <w:t>500-</w:t>
            </w:r>
            <w:smartTag w:uri="urn:schemas-microsoft-com:office:smarttags" w:element="metricconverter">
              <w:smartTagPr>
                <w:attr w:name="ProductID" w:val="999 г"/>
              </w:smartTagPr>
              <w:r w:rsidRPr="00691330">
                <w:rPr>
                  <w:rFonts w:eastAsia="Times New Roman"/>
                  <w:sz w:val="24"/>
                  <w:szCs w:val="24"/>
                  <w:lang w:eastAsia="ru-RU"/>
                </w:rPr>
                <w:t>999 г</w:t>
              </w:r>
            </w:smartTag>
            <w:r w:rsidRPr="00691330">
              <w:rPr>
                <w:rFonts w:eastAsia="Times New Roman"/>
                <w:sz w:val="24"/>
                <w:szCs w:val="24"/>
                <w:lang w:eastAsia="ru-RU"/>
              </w:rPr>
              <w:t>, 1000-</w:t>
            </w:r>
            <w:smartTag w:uri="urn:schemas-microsoft-com:office:smarttags" w:element="metricconverter">
              <w:smartTagPr>
                <w:attr w:name="ProductID" w:val="1499 г"/>
              </w:smartTagPr>
              <w:r w:rsidRPr="00691330">
                <w:rPr>
                  <w:rFonts w:eastAsia="Times New Roman"/>
                  <w:sz w:val="24"/>
                  <w:szCs w:val="24"/>
                  <w:lang w:eastAsia="ru-RU"/>
                </w:rPr>
                <w:t>1499 г</w:t>
              </w:r>
            </w:smartTag>
            <w:r w:rsidRPr="00691330">
              <w:rPr>
                <w:rFonts w:eastAsia="Times New Roman"/>
                <w:sz w:val="24"/>
                <w:szCs w:val="24"/>
                <w:lang w:eastAsia="ru-RU"/>
              </w:rPr>
              <w:t>, 1500-2499г</w:t>
            </w:r>
          </w:p>
        </w:tc>
        <w:tc>
          <w:tcPr>
            <w:tcW w:w="3704" w:type="dxa"/>
          </w:tcPr>
          <w:p w:rsidR="00FC2E9D" w:rsidRPr="00691330" w:rsidRDefault="00FC2E9D" w:rsidP="00FC2E9D">
            <w:pPr>
              <w:widowControl w:val="0"/>
              <w:spacing w:line="276" w:lineRule="auto"/>
              <w:rPr>
                <w:rFonts w:eastAsia="Times New Roman"/>
                <w:sz w:val="24"/>
                <w:szCs w:val="24"/>
                <w:lang w:eastAsia="ru-RU"/>
              </w:rPr>
            </w:pPr>
            <w:r w:rsidRPr="00691330">
              <w:rPr>
                <w:rFonts w:eastAsia="Times New Roman"/>
                <w:sz w:val="24"/>
                <w:szCs w:val="24"/>
                <w:lang w:eastAsia="ru-RU"/>
              </w:rPr>
              <w:t>Розродження шляхом кесаревого розтину</w:t>
            </w:r>
          </w:p>
        </w:tc>
        <w:tc>
          <w:tcPr>
            <w:tcW w:w="0" w:type="auto"/>
          </w:tcPr>
          <w:p w:rsidR="00FC2E9D" w:rsidRPr="00691330" w:rsidRDefault="00FC2E9D" w:rsidP="00FC2E9D">
            <w:pPr>
              <w:widowControl w:val="0"/>
              <w:spacing w:line="276" w:lineRule="auto"/>
              <w:rPr>
                <w:rFonts w:eastAsia="Times New Roman"/>
                <w:sz w:val="24"/>
                <w:szCs w:val="24"/>
                <w:lang w:eastAsia="ru-RU"/>
              </w:rPr>
            </w:pPr>
            <w:r w:rsidRPr="00691330">
              <w:rPr>
                <w:rFonts w:eastAsia="Times New Roman"/>
                <w:sz w:val="24"/>
                <w:szCs w:val="24"/>
                <w:lang w:eastAsia="ru-RU"/>
              </w:rPr>
              <w:t>Використання парторгами</w:t>
            </w:r>
          </w:p>
        </w:tc>
      </w:tr>
    </w:tbl>
    <w:p w:rsidR="00691330" w:rsidRDefault="00691330" w:rsidP="00691330">
      <w:pPr>
        <w:jc w:val="right"/>
        <w:rPr>
          <w:i/>
          <w:lang w:val="ru-RU"/>
        </w:rPr>
      </w:pPr>
    </w:p>
    <w:p w:rsidR="00691330" w:rsidRPr="00691330" w:rsidRDefault="00691330" w:rsidP="00442EEC">
      <w:pPr>
        <w:pageBreakBefore/>
        <w:jc w:val="right"/>
        <w:rPr>
          <w:i/>
          <w:lang w:val="ru-RU"/>
        </w:rPr>
      </w:pPr>
      <w:r w:rsidRPr="00691330">
        <w:rPr>
          <w:i/>
          <w:lang w:val="ru-RU"/>
        </w:rPr>
        <w:lastRenderedPageBreak/>
        <w:t>Продовження додаток Е-1</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16"/>
        <w:gridCol w:w="3987"/>
        <w:gridCol w:w="3318"/>
      </w:tblGrid>
      <w:tr w:rsidR="00FC2E9D" w:rsidRPr="00691330" w:rsidTr="006E3A91">
        <w:trPr>
          <w:jc w:val="center"/>
        </w:trPr>
        <w:tc>
          <w:tcPr>
            <w:tcW w:w="0" w:type="auto"/>
          </w:tcPr>
          <w:p w:rsidR="00FC2E9D" w:rsidRPr="00691330" w:rsidRDefault="00FC2E9D" w:rsidP="00FC2E9D">
            <w:pPr>
              <w:widowControl w:val="0"/>
              <w:spacing w:line="276" w:lineRule="auto"/>
              <w:rPr>
                <w:rFonts w:eastAsia="Times New Roman"/>
                <w:sz w:val="24"/>
                <w:szCs w:val="24"/>
                <w:lang w:eastAsia="ru-RU"/>
              </w:rPr>
            </w:pPr>
            <w:r w:rsidRPr="00691330">
              <w:rPr>
                <w:rFonts w:eastAsia="Times New Roman"/>
                <w:sz w:val="24"/>
                <w:szCs w:val="24"/>
                <w:lang w:eastAsia="ru-RU"/>
              </w:rPr>
              <w:t>Кесарів розтин</w:t>
            </w:r>
          </w:p>
        </w:tc>
        <w:tc>
          <w:tcPr>
            <w:tcW w:w="0" w:type="auto"/>
          </w:tcPr>
          <w:p w:rsidR="00FC2E9D" w:rsidRPr="00691330" w:rsidRDefault="00FC2E9D" w:rsidP="00FC2E9D">
            <w:pPr>
              <w:widowControl w:val="0"/>
              <w:spacing w:line="276" w:lineRule="auto"/>
              <w:rPr>
                <w:rFonts w:eastAsia="Times New Roman"/>
                <w:sz w:val="24"/>
                <w:szCs w:val="24"/>
                <w:lang w:eastAsia="ru-RU"/>
              </w:rPr>
            </w:pPr>
            <w:r w:rsidRPr="00691330">
              <w:rPr>
                <w:rFonts w:eastAsia="Times New Roman"/>
                <w:sz w:val="24"/>
                <w:szCs w:val="24"/>
                <w:lang w:eastAsia="ru-RU"/>
              </w:rPr>
              <w:t>Епізіотомія в пологах</w:t>
            </w:r>
          </w:p>
        </w:tc>
        <w:tc>
          <w:tcPr>
            <w:tcW w:w="0" w:type="auto"/>
          </w:tcPr>
          <w:p w:rsidR="00FC2E9D" w:rsidRPr="00691330" w:rsidRDefault="00FC2E9D" w:rsidP="00FC2E9D">
            <w:pPr>
              <w:widowControl w:val="0"/>
              <w:spacing w:line="276" w:lineRule="auto"/>
              <w:rPr>
                <w:rFonts w:eastAsia="Times New Roman"/>
                <w:sz w:val="24"/>
                <w:szCs w:val="24"/>
                <w:lang w:eastAsia="ru-RU"/>
              </w:rPr>
            </w:pPr>
            <w:r w:rsidRPr="00691330">
              <w:rPr>
                <w:rFonts w:eastAsia="Times New Roman"/>
                <w:sz w:val="24"/>
                <w:szCs w:val="24"/>
                <w:lang w:eastAsia="ru-RU"/>
              </w:rPr>
              <w:t>Застосування стимулювання (включаючи зовнішній механічний тиск)</w:t>
            </w:r>
          </w:p>
        </w:tc>
      </w:tr>
      <w:tr w:rsidR="00FC2E9D" w:rsidRPr="00691330" w:rsidTr="006E3A91">
        <w:trPr>
          <w:jc w:val="center"/>
        </w:trPr>
        <w:tc>
          <w:tcPr>
            <w:tcW w:w="0" w:type="auto"/>
          </w:tcPr>
          <w:p w:rsidR="00FC2E9D" w:rsidRPr="00691330" w:rsidRDefault="00FC2E9D" w:rsidP="00FC2E9D">
            <w:pPr>
              <w:widowControl w:val="0"/>
              <w:spacing w:line="276" w:lineRule="auto"/>
              <w:rPr>
                <w:rFonts w:eastAsia="Times New Roman"/>
                <w:sz w:val="24"/>
                <w:szCs w:val="24"/>
                <w:lang w:eastAsia="ru-RU"/>
              </w:rPr>
            </w:pPr>
            <w:r w:rsidRPr="00691330">
              <w:rPr>
                <w:rFonts w:eastAsia="Times New Roman"/>
                <w:sz w:val="24"/>
                <w:szCs w:val="24"/>
                <w:lang w:eastAsia="ru-RU"/>
              </w:rPr>
              <w:t>Акушерські щипці, плодоруйнівні операції</w:t>
            </w:r>
          </w:p>
        </w:tc>
        <w:tc>
          <w:tcPr>
            <w:tcW w:w="0" w:type="auto"/>
          </w:tcPr>
          <w:p w:rsidR="00FC2E9D" w:rsidRPr="00691330" w:rsidRDefault="00FC2E9D" w:rsidP="00FC2E9D">
            <w:pPr>
              <w:widowControl w:val="0"/>
              <w:spacing w:line="276" w:lineRule="auto"/>
              <w:rPr>
                <w:rFonts w:eastAsia="Times New Roman"/>
                <w:sz w:val="24"/>
                <w:szCs w:val="24"/>
                <w:lang w:eastAsia="ru-RU"/>
              </w:rPr>
            </w:pPr>
            <w:r w:rsidRPr="00691330">
              <w:rPr>
                <w:rFonts w:eastAsia="Times New Roman"/>
                <w:sz w:val="24"/>
                <w:szCs w:val="24"/>
                <w:lang w:eastAsia="ru-RU"/>
              </w:rPr>
              <w:t>Родостимуляція в пологах</w:t>
            </w:r>
          </w:p>
        </w:tc>
        <w:tc>
          <w:tcPr>
            <w:tcW w:w="0" w:type="auto"/>
          </w:tcPr>
          <w:p w:rsidR="00FC2E9D" w:rsidRPr="00691330" w:rsidRDefault="00FC2E9D" w:rsidP="00FC2E9D">
            <w:pPr>
              <w:widowControl w:val="0"/>
              <w:spacing w:line="276" w:lineRule="auto"/>
              <w:rPr>
                <w:rFonts w:eastAsia="Times New Roman"/>
                <w:sz w:val="24"/>
                <w:szCs w:val="24"/>
                <w:lang w:eastAsia="ru-RU"/>
              </w:rPr>
            </w:pPr>
            <w:r w:rsidRPr="00691330">
              <w:rPr>
                <w:rFonts w:eastAsia="Times New Roman"/>
                <w:sz w:val="24"/>
                <w:szCs w:val="24"/>
                <w:lang w:eastAsia="ru-RU"/>
              </w:rPr>
              <w:t>Положення лежачи на спині в пологах</w:t>
            </w:r>
          </w:p>
        </w:tc>
      </w:tr>
      <w:tr w:rsidR="00FC2E9D" w:rsidRPr="00691330" w:rsidTr="006E3A91">
        <w:trPr>
          <w:jc w:val="center"/>
        </w:trPr>
        <w:tc>
          <w:tcPr>
            <w:tcW w:w="0" w:type="auto"/>
          </w:tcPr>
          <w:p w:rsidR="00FC2E9D" w:rsidRPr="00691330" w:rsidRDefault="00FC2E9D" w:rsidP="00FC2E9D">
            <w:pPr>
              <w:widowControl w:val="0"/>
              <w:spacing w:line="276" w:lineRule="auto"/>
              <w:rPr>
                <w:rFonts w:eastAsia="Times New Roman"/>
                <w:sz w:val="24"/>
                <w:szCs w:val="24"/>
                <w:lang w:eastAsia="ru-RU"/>
              </w:rPr>
            </w:pPr>
            <w:r w:rsidRPr="00691330">
              <w:rPr>
                <w:rFonts w:eastAsia="Times New Roman"/>
                <w:sz w:val="24"/>
                <w:szCs w:val="24"/>
                <w:lang w:eastAsia="ru-RU"/>
              </w:rPr>
              <w:t>Кровотеча при вагітності, в пологах і післяпологовому періоді</w:t>
            </w:r>
          </w:p>
        </w:tc>
        <w:tc>
          <w:tcPr>
            <w:tcW w:w="0" w:type="auto"/>
          </w:tcPr>
          <w:p w:rsidR="00FC2E9D" w:rsidRPr="00691330" w:rsidRDefault="00FC2E9D" w:rsidP="00FC2E9D">
            <w:pPr>
              <w:widowControl w:val="0"/>
              <w:spacing w:line="276" w:lineRule="auto"/>
              <w:rPr>
                <w:rFonts w:eastAsia="Times New Roman"/>
                <w:sz w:val="24"/>
                <w:szCs w:val="24"/>
                <w:lang w:eastAsia="ru-RU"/>
              </w:rPr>
            </w:pPr>
            <w:r w:rsidRPr="00691330">
              <w:rPr>
                <w:rFonts w:eastAsia="Times New Roman"/>
                <w:sz w:val="24"/>
                <w:szCs w:val="24"/>
                <w:lang w:eastAsia="ru-RU"/>
              </w:rPr>
              <w:t>Інструментальні пологи</w:t>
            </w:r>
          </w:p>
        </w:tc>
        <w:tc>
          <w:tcPr>
            <w:tcW w:w="0" w:type="auto"/>
          </w:tcPr>
          <w:p w:rsidR="00FC2E9D" w:rsidRPr="00691330" w:rsidRDefault="00FC2E9D" w:rsidP="00FC2E9D">
            <w:pPr>
              <w:widowControl w:val="0"/>
              <w:spacing w:line="276" w:lineRule="auto"/>
              <w:rPr>
                <w:rFonts w:eastAsia="Times New Roman"/>
                <w:sz w:val="24"/>
                <w:szCs w:val="24"/>
                <w:lang w:eastAsia="ru-RU"/>
              </w:rPr>
            </w:pPr>
            <w:r w:rsidRPr="00691330">
              <w:rPr>
                <w:rFonts w:eastAsia="Times New Roman"/>
                <w:sz w:val="24"/>
                <w:szCs w:val="24"/>
                <w:lang w:eastAsia="ru-RU"/>
              </w:rPr>
              <w:t>Контакт «шкіра до шкіри»</w:t>
            </w:r>
          </w:p>
        </w:tc>
      </w:tr>
      <w:tr w:rsidR="00FC2E9D" w:rsidRPr="00691330" w:rsidTr="006E3A91">
        <w:trPr>
          <w:jc w:val="center"/>
        </w:trPr>
        <w:tc>
          <w:tcPr>
            <w:tcW w:w="0" w:type="auto"/>
          </w:tcPr>
          <w:p w:rsidR="00FC2E9D" w:rsidRPr="00691330" w:rsidRDefault="00FC2E9D" w:rsidP="00FC2E9D">
            <w:pPr>
              <w:widowControl w:val="0"/>
              <w:spacing w:line="276" w:lineRule="auto"/>
              <w:rPr>
                <w:rFonts w:eastAsia="Times New Roman"/>
                <w:sz w:val="24"/>
                <w:szCs w:val="24"/>
                <w:lang w:eastAsia="ru-RU"/>
              </w:rPr>
            </w:pPr>
            <w:r w:rsidRPr="00691330">
              <w:rPr>
                <w:rFonts w:eastAsia="Times New Roman"/>
                <w:sz w:val="24"/>
                <w:szCs w:val="24"/>
                <w:lang w:eastAsia="ru-RU"/>
              </w:rPr>
              <w:t>Еклампсія, прееклампсія важка форма</w:t>
            </w:r>
          </w:p>
        </w:tc>
        <w:tc>
          <w:tcPr>
            <w:tcW w:w="0" w:type="auto"/>
          </w:tcPr>
          <w:p w:rsidR="00FC2E9D" w:rsidRPr="00691330" w:rsidRDefault="00FC2E9D" w:rsidP="00FC2E9D">
            <w:pPr>
              <w:widowControl w:val="0"/>
              <w:spacing w:line="276" w:lineRule="auto"/>
              <w:rPr>
                <w:rFonts w:eastAsia="Times New Roman"/>
                <w:sz w:val="24"/>
                <w:szCs w:val="24"/>
                <w:lang w:eastAsia="ru-RU"/>
              </w:rPr>
            </w:pPr>
            <w:r w:rsidRPr="00691330">
              <w:rPr>
                <w:rFonts w:eastAsia="Times New Roman"/>
                <w:sz w:val="24"/>
                <w:szCs w:val="24"/>
                <w:lang w:eastAsia="ru-RU"/>
              </w:rPr>
              <w:t>Кількість пологів у жінок з важкою анемією: гемоглобін &lt;70 г/л (7г%)</w:t>
            </w:r>
          </w:p>
        </w:tc>
        <w:tc>
          <w:tcPr>
            <w:tcW w:w="0" w:type="auto"/>
          </w:tcPr>
          <w:p w:rsidR="00FC2E9D" w:rsidRPr="00691330" w:rsidRDefault="00FC2E9D" w:rsidP="00FC2E9D">
            <w:pPr>
              <w:widowControl w:val="0"/>
              <w:spacing w:line="276" w:lineRule="auto"/>
              <w:rPr>
                <w:rFonts w:eastAsia="Times New Roman"/>
                <w:sz w:val="24"/>
                <w:szCs w:val="24"/>
                <w:lang w:eastAsia="ru-RU"/>
              </w:rPr>
            </w:pPr>
            <w:r w:rsidRPr="00691330">
              <w:rPr>
                <w:rFonts w:eastAsia="Times New Roman"/>
                <w:sz w:val="24"/>
                <w:szCs w:val="24"/>
                <w:lang w:eastAsia="ru-RU"/>
              </w:rPr>
              <w:t>Кількість новонароджених, що отримали додаткове харчування</w:t>
            </w:r>
          </w:p>
        </w:tc>
      </w:tr>
      <w:tr w:rsidR="00FC2E9D" w:rsidRPr="00691330" w:rsidTr="006E3A91">
        <w:trPr>
          <w:jc w:val="center"/>
        </w:trPr>
        <w:tc>
          <w:tcPr>
            <w:tcW w:w="0" w:type="auto"/>
          </w:tcPr>
          <w:p w:rsidR="00FC2E9D" w:rsidRPr="00691330" w:rsidRDefault="00FC2E9D" w:rsidP="00FC2E9D">
            <w:pPr>
              <w:widowControl w:val="0"/>
              <w:autoSpaceDE w:val="0"/>
              <w:autoSpaceDN w:val="0"/>
              <w:adjustRightInd w:val="0"/>
              <w:spacing w:line="276" w:lineRule="auto"/>
              <w:rPr>
                <w:rFonts w:eastAsia="Times New Roman"/>
                <w:sz w:val="24"/>
                <w:szCs w:val="24"/>
                <w:lang w:eastAsia="ru-RU"/>
              </w:rPr>
            </w:pPr>
            <w:r w:rsidRPr="00691330">
              <w:rPr>
                <w:rFonts w:eastAsia="Times New Roman"/>
                <w:sz w:val="24"/>
                <w:szCs w:val="24"/>
                <w:lang w:eastAsia="ru-RU"/>
              </w:rPr>
              <w:t>Розрив матки</w:t>
            </w:r>
          </w:p>
        </w:tc>
        <w:tc>
          <w:tcPr>
            <w:tcW w:w="0" w:type="auto"/>
          </w:tcPr>
          <w:p w:rsidR="00FC2E9D" w:rsidRPr="00691330" w:rsidRDefault="00FC2E9D" w:rsidP="00FC2E9D">
            <w:pPr>
              <w:widowControl w:val="0"/>
              <w:spacing w:line="276" w:lineRule="auto"/>
              <w:rPr>
                <w:rFonts w:eastAsia="Times New Roman"/>
                <w:sz w:val="24"/>
                <w:szCs w:val="24"/>
                <w:lang w:eastAsia="ru-RU"/>
              </w:rPr>
            </w:pPr>
            <w:r w:rsidRPr="00691330">
              <w:rPr>
                <w:rFonts w:eastAsia="Times New Roman"/>
                <w:sz w:val="24"/>
                <w:szCs w:val="24"/>
                <w:lang w:eastAsia="ru-RU"/>
              </w:rPr>
              <w:t>Застосування партограми в пологах</w:t>
            </w:r>
          </w:p>
        </w:tc>
        <w:tc>
          <w:tcPr>
            <w:tcW w:w="0" w:type="auto"/>
          </w:tcPr>
          <w:p w:rsidR="00FC2E9D" w:rsidRPr="00691330" w:rsidRDefault="00FC2E9D" w:rsidP="00FC2E9D">
            <w:pPr>
              <w:widowControl w:val="0"/>
              <w:spacing w:line="276" w:lineRule="auto"/>
              <w:rPr>
                <w:rFonts w:eastAsia="Times New Roman"/>
                <w:sz w:val="24"/>
                <w:szCs w:val="24"/>
                <w:lang w:eastAsia="ru-RU"/>
              </w:rPr>
            </w:pPr>
          </w:p>
        </w:tc>
      </w:tr>
      <w:tr w:rsidR="00FC2E9D" w:rsidRPr="00691330" w:rsidTr="006E3A91">
        <w:trPr>
          <w:jc w:val="center"/>
        </w:trPr>
        <w:tc>
          <w:tcPr>
            <w:tcW w:w="0" w:type="auto"/>
          </w:tcPr>
          <w:p w:rsidR="00FC2E9D" w:rsidRPr="00691330" w:rsidRDefault="00FC2E9D" w:rsidP="00FC2E9D">
            <w:pPr>
              <w:widowControl w:val="0"/>
              <w:spacing w:line="276" w:lineRule="auto"/>
              <w:rPr>
                <w:rFonts w:eastAsia="Times New Roman"/>
                <w:sz w:val="24"/>
                <w:szCs w:val="24"/>
                <w:lang w:eastAsia="ru-RU"/>
              </w:rPr>
            </w:pPr>
            <w:r w:rsidRPr="00691330">
              <w:rPr>
                <w:rFonts w:eastAsia="Times New Roman"/>
                <w:sz w:val="24"/>
                <w:szCs w:val="24"/>
                <w:lang w:eastAsia="ru-RU"/>
              </w:rPr>
              <w:t>Післяпологовий сепсис, генералізована післяпологова інфекція</w:t>
            </w:r>
          </w:p>
        </w:tc>
        <w:tc>
          <w:tcPr>
            <w:tcW w:w="0" w:type="auto"/>
          </w:tcPr>
          <w:p w:rsidR="00FC2E9D" w:rsidRPr="00691330" w:rsidRDefault="00FC2E9D" w:rsidP="00FC2E9D">
            <w:pPr>
              <w:widowControl w:val="0"/>
              <w:spacing w:line="276" w:lineRule="auto"/>
              <w:rPr>
                <w:rFonts w:eastAsia="Times New Roman"/>
                <w:sz w:val="24"/>
                <w:szCs w:val="24"/>
                <w:lang w:eastAsia="ru-RU"/>
              </w:rPr>
            </w:pPr>
            <w:r w:rsidRPr="00691330">
              <w:rPr>
                <w:rFonts w:eastAsia="Times New Roman"/>
                <w:sz w:val="24"/>
                <w:szCs w:val="24"/>
                <w:lang w:eastAsia="ru-RU"/>
              </w:rPr>
              <w:t>Активне ведення ІІІ періоду пологів</w:t>
            </w:r>
          </w:p>
        </w:tc>
        <w:tc>
          <w:tcPr>
            <w:tcW w:w="0" w:type="auto"/>
          </w:tcPr>
          <w:p w:rsidR="00FC2E9D" w:rsidRPr="00691330" w:rsidRDefault="00FC2E9D" w:rsidP="00FC2E9D">
            <w:pPr>
              <w:widowControl w:val="0"/>
              <w:spacing w:line="276" w:lineRule="auto"/>
              <w:rPr>
                <w:rFonts w:eastAsia="Times New Roman"/>
                <w:sz w:val="24"/>
                <w:szCs w:val="24"/>
                <w:lang w:eastAsia="ru-RU"/>
              </w:rPr>
            </w:pPr>
          </w:p>
        </w:tc>
      </w:tr>
      <w:tr w:rsidR="00FC2E9D" w:rsidRPr="00691330" w:rsidTr="006E3A91">
        <w:trPr>
          <w:jc w:val="center"/>
        </w:trPr>
        <w:tc>
          <w:tcPr>
            <w:tcW w:w="0" w:type="auto"/>
          </w:tcPr>
          <w:p w:rsidR="00FC2E9D" w:rsidRPr="00691330" w:rsidRDefault="00FC2E9D" w:rsidP="00FC2E9D">
            <w:pPr>
              <w:widowControl w:val="0"/>
              <w:spacing w:line="276" w:lineRule="auto"/>
              <w:rPr>
                <w:rFonts w:eastAsia="Times New Roman"/>
                <w:sz w:val="24"/>
                <w:szCs w:val="24"/>
                <w:lang w:eastAsia="ru-RU"/>
              </w:rPr>
            </w:pPr>
            <w:r w:rsidRPr="00691330">
              <w:rPr>
                <w:rFonts w:eastAsia="Times New Roman"/>
                <w:sz w:val="24"/>
                <w:szCs w:val="24"/>
                <w:lang w:eastAsia="ru-RU"/>
              </w:rPr>
              <w:t>Кількість жінок переведених в інші стаціонари</w:t>
            </w:r>
          </w:p>
        </w:tc>
        <w:tc>
          <w:tcPr>
            <w:tcW w:w="0" w:type="auto"/>
          </w:tcPr>
          <w:p w:rsidR="00FC2E9D" w:rsidRPr="00691330" w:rsidRDefault="00FC2E9D" w:rsidP="00FC2E9D">
            <w:pPr>
              <w:widowControl w:val="0"/>
              <w:autoSpaceDE w:val="0"/>
              <w:autoSpaceDN w:val="0"/>
              <w:adjustRightInd w:val="0"/>
              <w:spacing w:line="276" w:lineRule="auto"/>
              <w:rPr>
                <w:rFonts w:eastAsia="Times New Roman"/>
                <w:sz w:val="24"/>
                <w:szCs w:val="24"/>
                <w:lang w:eastAsia="ru-RU"/>
              </w:rPr>
            </w:pPr>
            <w:r w:rsidRPr="00691330">
              <w:rPr>
                <w:rFonts w:eastAsia="Times New Roman"/>
                <w:sz w:val="24"/>
                <w:szCs w:val="24"/>
                <w:lang w:eastAsia="ru-RU"/>
              </w:rPr>
              <w:t>Ведення випадків материнських ускладнень: кровотечі, прееклампсії , еклампсії</w:t>
            </w:r>
          </w:p>
        </w:tc>
        <w:tc>
          <w:tcPr>
            <w:tcW w:w="0" w:type="auto"/>
          </w:tcPr>
          <w:p w:rsidR="00FC2E9D" w:rsidRPr="00691330" w:rsidRDefault="00FC2E9D" w:rsidP="00FC2E9D">
            <w:pPr>
              <w:widowControl w:val="0"/>
              <w:spacing w:line="276" w:lineRule="auto"/>
              <w:rPr>
                <w:rFonts w:eastAsia="Times New Roman"/>
                <w:sz w:val="24"/>
                <w:szCs w:val="24"/>
                <w:lang w:eastAsia="ru-RU"/>
              </w:rPr>
            </w:pPr>
          </w:p>
        </w:tc>
      </w:tr>
      <w:tr w:rsidR="00FC2E9D" w:rsidRPr="00691330" w:rsidTr="006E3A91">
        <w:trPr>
          <w:jc w:val="center"/>
        </w:trPr>
        <w:tc>
          <w:tcPr>
            <w:tcW w:w="0" w:type="auto"/>
          </w:tcPr>
          <w:p w:rsidR="00FC2E9D" w:rsidRPr="00691330" w:rsidRDefault="00FC2E9D" w:rsidP="00FC2E9D">
            <w:pPr>
              <w:widowControl w:val="0"/>
              <w:spacing w:line="276" w:lineRule="auto"/>
              <w:rPr>
                <w:rFonts w:eastAsia="Times New Roman"/>
                <w:sz w:val="24"/>
                <w:szCs w:val="24"/>
                <w:lang w:eastAsia="ru-RU"/>
              </w:rPr>
            </w:pPr>
            <w:r w:rsidRPr="00691330">
              <w:rPr>
                <w:rFonts w:eastAsia="Times New Roman"/>
                <w:sz w:val="24"/>
                <w:szCs w:val="24"/>
                <w:lang w:eastAsia="ru-RU"/>
              </w:rPr>
              <w:t>Кількість викликів виїзних бригад реанімаційної допомоги</w:t>
            </w:r>
          </w:p>
        </w:tc>
        <w:tc>
          <w:tcPr>
            <w:tcW w:w="0" w:type="auto"/>
          </w:tcPr>
          <w:p w:rsidR="00FC2E9D" w:rsidRPr="00691330" w:rsidRDefault="00FC2E9D" w:rsidP="00FC2E9D">
            <w:pPr>
              <w:widowControl w:val="0"/>
              <w:spacing w:line="276" w:lineRule="auto"/>
              <w:rPr>
                <w:rFonts w:eastAsia="Times New Roman"/>
                <w:sz w:val="24"/>
                <w:szCs w:val="24"/>
                <w:lang w:eastAsia="ru-RU"/>
              </w:rPr>
            </w:pPr>
            <w:r w:rsidRPr="00691330">
              <w:rPr>
                <w:rFonts w:eastAsia="Times New Roman"/>
                <w:sz w:val="24"/>
                <w:szCs w:val="24"/>
                <w:lang w:eastAsia="ru-RU"/>
              </w:rPr>
              <w:t>Звичайний і екстрений неонатальний догляд</w:t>
            </w:r>
          </w:p>
        </w:tc>
        <w:tc>
          <w:tcPr>
            <w:tcW w:w="0" w:type="auto"/>
          </w:tcPr>
          <w:p w:rsidR="00FC2E9D" w:rsidRPr="00691330" w:rsidRDefault="00FC2E9D" w:rsidP="00FC2E9D">
            <w:pPr>
              <w:widowControl w:val="0"/>
              <w:spacing w:line="276" w:lineRule="auto"/>
              <w:rPr>
                <w:rFonts w:eastAsia="Times New Roman"/>
                <w:sz w:val="24"/>
                <w:szCs w:val="24"/>
                <w:lang w:eastAsia="ru-RU"/>
              </w:rPr>
            </w:pPr>
          </w:p>
        </w:tc>
      </w:tr>
      <w:tr w:rsidR="00FC2E9D" w:rsidRPr="00691330" w:rsidTr="006E3A91">
        <w:trPr>
          <w:jc w:val="center"/>
        </w:trPr>
        <w:tc>
          <w:tcPr>
            <w:tcW w:w="0" w:type="auto"/>
          </w:tcPr>
          <w:p w:rsidR="00FC2E9D" w:rsidRPr="00691330" w:rsidRDefault="00FC2E9D" w:rsidP="00FC2E9D">
            <w:pPr>
              <w:widowControl w:val="0"/>
              <w:spacing w:line="276" w:lineRule="auto"/>
              <w:rPr>
                <w:rFonts w:eastAsia="Times New Roman"/>
                <w:sz w:val="24"/>
                <w:szCs w:val="24"/>
                <w:lang w:eastAsia="ru-RU"/>
              </w:rPr>
            </w:pPr>
          </w:p>
        </w:tc>
        <w:tc>
          <w:tcPr>
            <w:tcW w:w="0" w:type="auto"/>
          </w:tcPr>
          <w:p w:rsidR="00FC2E9D" w:rsidRPr="00691330" w:rsidRDefault="00FC2E9D" w:rsidP="00FC2E9D">
            <w:pPr>
              <w:widowControl w:val="0"/>
              <w:spacing w:line="276" w:lineRule="auto"/>
              <w:rPr>
                <w:rFonts w:eastAsia="Times New Roman"/>
                <w:sz w:val="24"/>
                <w:szCs w:val="24"/>
                <w:lang w:eastAsia="ru-RU"/>
              </w:rPr>
            </w:pPr>
            <w:r w:rsidRPr="00691330">
              <w:rPr>
                <w:rFonts w:eastAsia="Times New Roman"/>
                <w:sz w:val="24"/>
                <w:szCs w:val="24"/>
                <w:lang w:eastAsia="ru-RU"/>
              </w:rPr>
              <w:t>Управління випадками і догляд за хворими новонародженими</w:t>
            </w:r>
          </w:p>
        </w:tc>
        <w:tc>
          <w:tcPr>
            <w:tcW w:w="0" w:type="auto"/>
          </w:tcPr>
          <w:p w:rsidR="00FC2E9D" w:rsidRPr="00691330" w:rsidRDefault="00FC2E9D" w:rsidP="00FC2E9D">
            <w:pPr>
              <w:widowControl w:val="0"/>
              <w:spacing w:line="276" w:lineRule="auto"/>
              <w:rPr>
                <w:rFonts w:eastAsia="Times New Roman"/>
                <w:sz w:val="24"/>
                <w:szCs w:val="24"/>
                <w:lang w:eastAsia="ru-RU"/>
              </w:rPr>
            </w:pPr>
          </w:p>
        </w:tc>
      </w:tr>
      <w:tr w:rsidR="00FC2E9D" w:rsidRPr="00691330" w:rsidTr="006E3A91">
        <w:trPr>
          <w:jc w:val="center"/>
        </w:trPr>
        <w:tc>
          <w:tcPr>
            <w:tcW w:w="0" w:type="auto"/>
          </w:tcPr>
          <w:p w:rsidR="00FC2E9D" w:rsidRPr="00691330" w:rsidRDefault="00FC2E9D" w:rsidP="00FC2E9D">
            <w:pPr>
              <w:widowControl w:val="0"/>
              <w:spacing w:line="276" w:lineRule="auto"/>
              <w:rPr>
                <w:rFonts w:eastAsia="Times New Roman"/>
                <w:sz w:val="24"/>
                <w:szCs w:val="24"/>
                <w:lang w:eastAsia="ru-RU"/>
              </w:rPr>
            </w:pPr>
          </w:p>
        </w:tc>
        <w:tc>
          <w:tcPr>
            <w:tcW w:w="0" w:type="auto"/>
          </w:tcPr>
          <w:p w:rsidR="00FC2E9D" w:rsidRPr="00691330" w:rsidRDefault="00FC2E9D" w:rsidP="00FC2E9D">
            <w:pPr>
              <w:widowControl w:val="0"/>
              <w:autoSpaceDE w:val="0"/>
              <w:autoSpaceDN w:val="0"/>
              <w:adjustRightInd w:val="0"/>
              <w:spacing w:line="276" w:lineRule="auto"/>
              <w:rPr>
                <w:rFonts w:eastAsia="Times New Roman"/>
                <w:sz w:val="24"/>
                <w:szCs w:val="24"/>
                <w:lang w:eastAsia="ru-RU"/>
              </w:rPr>
            </w:pPr>
            <w:r w:rsidRPr="00691330">
              <w:rPr>
                <w:rFonts w:eastAsia="Times New Roman"/>
                <w:sz w:val="24"/>
                <w:szCs w:val="24"/>
                <w:lang w:eastAsia="ru-RU"/>
              </w:rPr>
              <w:t>Кількість жінок і новонароджених, переведених на вищий рівень надання медичної допомоги</w:t>
            </w:r>
          </w:p>
        </w:tc>
        <w:tc>
          <w:tcPr>
            <w:tcW w:w="0" w:type="auto"/>
          </w:tcPr>
          <w:p w:rsidR="00FC2E9D" w:rsidRPr="00691330" w:rsidRDefault="00FC2E9D" w:rsidP="00FC2E9D">
            <w:pPr>
              <w:widowControl w:val="0"/>
              <w:spacing w:line="276" w:lineRule="auto"/>
              <w:rPr>
                <w:rFonts w:eastAsia="Times New Roman"/>
                <w:sz w:val="24"/>
                <w:szCs w:val="24"/>
                <w:lang w:eastAsia="ru-RU"/>
              </w:rPr>
            </w:pPr>
          </w:p>
        </w:tc>
      </w:tr>
    </w:tbl>
    <w:p w:rsidR="00FC2E9D" w:rsidRPr="00FC2E9D" w:rsidRDefault="00FC2E9D" w:rsidP="00FC2E9D">
      <w:pPr>
        <w:widowControl w:val="0"/>
        <w:autoSpaceDE w:val="0"/>
        <w:autoSpaceDN w:val="0"/>
        <w:adjustRightInd w:val="0"/>
        <w:spacing w:line="312" w:lineRule="auto"/>
        <w:rPr>
          <w:rFonts w:eastAsia="Times New Roman"/>
          <w:szCs w:val="28"/>
          <w:lang w:eastAsia="ru-RU"/>
        </w:rPr>
      </w:pPr>
    </w:p>
    <w:p w:rsidR="00887B51" w:rsidRPr="00FC2E9D" w:rsidRDefault="00887B51" w:rsidP="00B90380">
      <w:pPr>
        <w:tabs>
          <w:tab w:val="left" w:pos="7920"/>
        </w:tabs>
        <w:spacing w:after="200"/>
        <w:jc w:val="left"/>
        <w:rPr>
          <w:rFonts w:eastAsia="Calibri"/>
          <w:b/>
          <w:szCs w:val="28"/>
        </w:rPr>
      </w:pPr>
    </w:p>
    <w:p w:rsidR="00887B51" w:rsidRDefault="00887B51" w:rsidP="00B90380">
      <w:pPr>
        <w:tabs>
          <w:tab w:val="left" w:pos="7920"/>
        </w:tabs>
        <w:spacing w:after="200"/>
        <w:jc w:val="left"/>
        <w:rPr>
          <w:rFonts w:eastAsia="Calibri"/>
          <w:b/>
          <w:szCs w:val="28"/>
          <w:lang w:val="ru-RU"/>
        </w:rPr>
      </w:pPr>
    </w:p>
    <w:p w:rsidR="00884D1A" w:rsidRDefault="00884D1A" w:rsidP="00B90380">
      <w:pPr>
        <w:tabs>
          <w:tab w:val="left" w:pos="7920"/>
        </w:tabs>
        <w:spacing w:after="200"/>
        <w:jc w:val="left"/>
        <w:rPr>
          <w:rFonts w:eastAsia="Calibri"/>
          <w:b/>
          <w:szCs w:val="28"/>
          <w:lang w:val="ru-RU"/>
        </w:rPr>
      </w:pPr>
    </w:p>
    <w:p w:rsidR="00884D1A" w:rsidRDefault="00884D1A" w:rsidP="00B90380">
      <w:pPr>
        <w:tabs>
          <w:tab w:val="left" w:pos="7920"/>
        </w:tabs>
        <w:spacing w:after="200"/>
        <w:jc w:val="left"/>
        <w:rPr>
          <w:rFonts w:eastAsia="Calibri"/>
          <w:b/>
          <w:szCs w:val="28"/>
          <w:lang w:val="ru-RU"/>
        </w:rPr>
      </w:pPr>
    </w:p>
    <w:p w:rsidR="00884D1A" w:rsidRDefault="00884D1A" w:rsidP="00B90380">
      <w:pPr>
        <w:tabs>
          <w:tab w:val="left" w:pos="7920"/>
        </w:tabs>
        <w:spacing w:after="200"/>
        <w:jc w:val="left"/>
        <w:rPr>
          <w:rFonts w:eastAsia="Calibri"/>
          <w:b/>
          <w:szCs w:val="28"/>
          <w:lang w:val="ru-RU"/>
        </w:rPr>
      </w:pPr>
    </w:p>
    <w:p w:rsidR="00884D1A" w:rsidRDefault="00884D1A" w:rsidP="00B90380">
      <w:pPr>
        <w:tabs>
          <w:tab w:val="left" w:pos="7920"/>
        </w:tabs>
        <w:spacing w:after="200"/>
        <w:jc w:val="left"/>
        <w:rPr>
          <w:rFonts w:eastAsia="Calibri"/>
          <w:b/>
          <w:szCs w:val="28"/>
          <w:lang w:val="ru-RU"/>
        </w:rPr>
      </w:pPr>
    </w:p>
    <w:p w:rsidR="00887B51" w:rsidRDefault="00887B51" w:rsidP="00B90380">
      <w:pPr>
        <w:tabs>
          <w:tab w:val="left" w:pos="7920"/>
        </w:tabs>
        <w:spacing w:after="200"/>
        <w:jc w:val="left"/>
        <w:rPr>
          <w:rFonts w:eastAsia="Calibri"/>
          <w:b/>
          <w:szCs w:val="28"/>
          <w:lang w:val="ru-RU"/>
        </w:rPr>
      </w:pPr>
    </w:p>
    <w:p w:rsidR="0038741F" w:rsidRDefault="0038741F" w:rsidP="00B90380">
      <w:pPr>
        <w:tabs>
          <w:tab w:val="left" w:pos="7920"/>
        </w:tabs>
        <w:spacing w:after="200"/>
        <w:jc w:val="left"/>
        <w:rPr>
          <w:rFonts w:eastAsia="Calibri"/>
          <w:b/>
          <w:szCs w:val="28"/>
          <w:lang w:val="ru-RU"/>
        </w:rPr>
      </w:pPr>
    </w:p>
    <w:p w:rsidR="00C43972" w:rsidRPr="00C43972" w:rsidRDefault="00535BCC" w:rsidP="00442EEC">
      <w:pPr>
        <w:pageBreakBefore/>
        <w:jc w:val="right"/>
        <w:rPr>
          <w:rFonts w:eastAsia="Calibri"/>
          <w:szCs w:val="28"/>
        </w:rPr>
      </w:pPr>
      <w:r>
        <w:rPr>
          <w:rFonts w:eastAsia="Calibri"/>
          <w:szCs w:val="28"/>
        </w:rPr>
        <w:lastRenderedPageBreak/>
        <w:t>Додаток Е</w:t>
      </w:r>
      <w:r w:rsidR="00C43972" w:rsidRPr="00C43972">
        <w:rPr>
          <w:rFonts w:eastAsia="Calibri"/>
          <w:szCs w:val="28"/>
        </w:rPr>
        <w:t>-2</w:t>
      </w:r>
    </w:p>
    <w:p w:rsidR="00C43972" w:rsidRPr="00C43972" w:rsidRDefault="00C43972" w:rsidP="00C43972">
      <w:pPr>
        <w:widowControl w:val="0"/>
        <w:shd w:val="clear" w:color="auto" w:fill="FFFFFF"/>
        <w:jc w:val="center"/>
        <w:rPr>
          <w:rFonts w:eastAsia="Calibri"/>
          <w:szCs w:val="28"/>
          <w:lang w:eastAsia="x-none"/>
        </w:rPr>
      </w:pPr>
      <w:r w:rsidRPr="00C43972">
        <w:rPr>
          <w:rFonts w:eastAsia="Calibri"/>
          <w:b/>
          <w:szCs w:val="28"/>
        </w:rPr>
        <w:tab/>
      </w:r>
      <w:r w:rsidRPr="00C43972">
        <w:rPr>
          <w:rFonts w:eastAsia="Calibri"/>
          <w:szCs w:val="28"/>
          <w:lang w:val="ru-RU" w:eastAsia="x-none"/>
        </w:rPr>
        <w:t xml:space="preserve">Орієнтовний перелік </w:t>
      </w:r>
      <w:r w:rsidRPr="00C43972">
        <w:rPr>
          <w:rFonts w:eastAsia="Calibri"/>
          <w:szCs w:val="28"/>
          <w:lang w:val="ru-RU"/>
        </w:rPr>
        <w:t xml:space="preserve">індикаторів </w:t>
      </w:r>
      <w:r w:rsidRPr="00C43972">
        <w:rPr>
          <w:rFonts w:eastAsia="Calibri"/>
          <w:szCs w:val="28"/>
          <w:lang w:val="ru-RU" w:eastAsia="x-none"/>
        </w:rPr>
        <w:t>діяльності закладів перинатальної допомоги</w:t>
      </w:r>
    </w:p>
    <w:p w:rsidR="00C43972" w:rsidRPr="00C43972" w:rsidRDefault="00C43972" w:rsidP="00C43972">
      <w:pPr>
        <w:widowControl w:val="0"/>
        <w:shd w:val="clear" w:color="auto" w:fill="FFFFFF"/>
        <w:jc w:val="center"/>
        <w:rPr>
          <w:rFonts w:eastAsia="Calibri"/>
          <w:szCs w:val="28"/>
          <w:lang w:eastAsia="x-none"/>
        </w:rPr>
      </w:pPr>
      <w:r w:rsidRPr="00C43972">
        <w:rPr>
          <w:rFonts w:eastAsia="Calibri"/>
          <w:b/>
          <w:sz w:val="26"/>
          <w:szCs w:val="20"/>
          <w:lang w:eastAsia="ru-RU"/>
        </w:rPr>
        <w:t>Міністерство охорони здоров’я України</w:t>
      </w:r>
    </w:p>
    <w:p w:rsidR="00C43972" w:rsidRPr="00C43972" w:rsidRDefault="00C43972" w:rsidP="00C43972">
      <w:pPr>
        <w:widowControl w:val="0"/>
        <w:shd w:val="clear" w:color="auto" w:fill="FFFFFF"/>
        <w:jc w:val="center"/>
        <w:rPr>
          <w:rFonts w:eastAsia="Calibri"/>
          <w:szCs w:val="28"/>
          <w:lang w:eastAsia="x-none"/>
        </w:rPr>
      </w:pPr>
      <w:r w:rsidRPr="00C43972">
        <w:rPr>
          <w:rFonts w:eastAsia="Calibri"/>
          <w:bCs/>
          <w:caps/>
          <w:kern w:val="32"/>
          <w:sz w:val="26"/>
          <w:szCs w:val="32"/>
          <w:lang w:eastAsia="ru-RU"/>
        </w:rPr>
        <w:t>ДУ «Український інститут стратегічних досліджень»</w:t>
      </w:r>
    </w:p>
    <w:p w:rsidR="00C43972" w:rsidRPr="00C43972" w:rsidRDefault="00C43972" w:rsidP="00C43972">
      <w:pPr>
        <w:widowControl w:val="0"/>
        <w:shd w:val="clear" w:color="auto" w:fill="FFFFFF"/>
        <w:jc w:val="center"/>
        <w:rPr>
          <w:rFonts w:eastAsia="Calibri"/>
          <w:b/>
          <w:szCs w:val="28"/>
          <w:lang w:eastAsia="x-none"/>
        </w:rPr>
      </w:pPr>
      <w:r w:rsidRPr="00C43972">
        <w:rPr>
          <w:rFonts w:eastAsia="Calibri"/>
          <w:b/>
          <w:szCs w:val="28"/>
          <w:lang w:eastAsia="x-none"/>
        </w:rPr>
        <w:t xml:space="preserve">Орієнтовний перелік </w:t>
      </w:r>
      <w:r w:rsidRPr="00C43972">
        <w:rPr>
          <w:rFonts w:eastAsia="Calibri"/>
          <w:b/>
          <w:szCs w:val="28"/>
        </w:rPr>
        <w:t xml:space="preserve">індикаторів </w:t>
      </w:r>
      <w:r w:rsidRPr="00C43972">
        <w:rPr>
          <w:rFonts w:eastAsia="Calibri"/>
          <w:b/>
          <w:szCs w:val="28"/>
          <w:lang w:eastAsia="x-none"/>
        </w:rPr>
        <w:t>діяльності закладів перинатальної допомоги (60 рекомендованих для обговорення індикатори)</w:t>
      </w:r>
    </w:p>
    <w:tbl>
      <w:tblPr>
        <w:tblW w:w="911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815"/>
        <w:gridCol w:w="1676"/>
        <w:gridCol w:w="1620"/>
      </w:tblGrid>
      <w:tr w:rsidR="00C43972" w:rsidRPr="00C43972" w:rsidTr="006E3A91">
        <w:trPr>
          <w:jc w:val="center"/>
        </w:trPr>
        <w:tc>
          <w:tcPr>
            <w:tcW w:w="5815" w:type="dxa"/>
            <w:vMerge w:val="restart"/>
            <w:shd w:val="clear" w:color="auto" w:fill="auto"/>
            <w:vAlign w:val="center"/>
          </w:tcPr>
          <w:p w:rsidR="00C43972" w:rsidRPr="00C43972" w:rsidRDefault="00C43972" w:rsidP="00C43972">
            <w:pPr>
              <w:widowControl w:val="0"/>
              <w:jc w:val="center"/>
              <w:rPr>
                <w:rFonts w:eastAsia="Times New Roman"/>
                <w:sz w:val="24"/>
                <w:szCs w:val="24"/>
                <w:lang w:eastAsia="ru-RU"/>
              </w:rPr>
            </w:pPr>
            <w:r w:rsidRPr="00C43972">
              <w:rPr>
                <w:rFonts w:eastAsia="Times New Roman"/>
                <w:sz w:val="24"/>
                <w:szCs w:val="24"/>
                <w:lang w:eastAsia="ru-RU"/>
              </w:rPr>
              <w:t>Найменування індикатора</w:t>
            </w:r>
          </w:p>
        </w:tc>
        <w:tc>
          <w:tcPr>
            <w:tcW w:w="3296" w:type="dxa"/>
            <w:gridSpan w:val="2"/>
            <w:shd w:val="clear" w:color="auto" w:fill="auto"/>
            <w:vAlign w:val="center"/>
          </w:tcPr>
          <w:p w:rsidR="00C43972" w:rsidRPr="00C43972" w:rsidRDefault="00C43972" w:rsidP="00C43972">
            <w:pPr>
              <w:widowControl w:val="0"/>
              <w:jc w:val="center"/>
              <w:rPr>
                <w:rFonts w:eastAsia="Times New Roman"/>
                <w:sz w:val="24"/>
                <w:szCs w:val="24"/>
                <w:lang w:eastAsia="ru-RU"/>
              </w:rPr>
            </w:pPr>
            <w:r w:rsidRPr="00C43972">
              <w:rPr>
                <w:rFonts w:eastAsia="Times New Roman"/>
                <w:sz w:val="24"/>
                <w:szCs w:val="24"/>
                <w:lang w:eastAsia="ru-RU"/>
              </w:rPr>
              <w:t>Рішення фокус групи</w:t>
            </w:r>
          </w:p>
        </w:tc>
      </w:tr>
      <w:tr w:rsidR="00C43972" w:rsidRPr="00C43972" w:rsidTr="006E3A91">
        <w:trPr>
          <w:jc w:val="center"/>
        </w:trPr>
        <w:tc>
          <w:tcPr>
            <w:tcW w:w="5815" w:type="dxa"/>
            <w:vMerge/>
            <w:shd w:val="clear" w:color="auto" w:fill="auto"/>
            <w:vAlign w:val="center"/>
          </w:tcPr>
          <w:p w:rsidR="00C43972" w:rsidRPr="00C43972" w:rsidRDefault="00C43972" w:rsidP="00C43972">
            <w:pPr>
              <w:widowControl w:val="0"/>
              <w:jc w:val="left"/>
              <w:rPr>
                <w:rFonts w:eastAsia="Times New Roman"/>
                <w:sz w:val="24"/>
                <w:szCs w:val="24"/>
                <w:lang w:eastAsia="ru-RU"/>
              </w:rPr>
            </w:pPr>
          </w:p>
        </w:tc>
        <w:tc>
          <w:tcPr>
            <w:tcW w:w="1676" w:type="dxa"/>
            <w:shd w:val="clear" w:color="auto" w:fill="auto"/>
            <w:vAlign w:val="center"/>
          </w:tcPr>
          <w:p w:rsidR="00C43972" w:rsidRPr="00C43972" w:rsidRDefault="00C43972" w:rsidP="00C43972">
            <w:pPr>
              <w:widowControl w:val="0"/>
              <w:jc w:val="center"/>
              <w:rPr>
                <w:rFonts w:eastAsia="Times New Roman"/>
                <w:sz w:val="24"/>
                <w:szCs w:val="24"/>
                <w:lang w:eastAsia="ru-RU"/>
              </w:rPr>
            </w:pPr>
            <w:r w:rsidRPr="00C43972">
              <w:rPr>
                <w:rFonts w:eastAsia="Times New Roman"/>
                <w:sz w:val="24"/>
                <w:szCs w:val="24"/>
                <w:lang w:eastAsia="ru-RU"/>
              </w:rPr>
              <w:t>Включити</w:t>
            </w:r>
          </w:p>
        </w:tc>
        <w:tc>
          <w:tcPr>
            <w:tcW w:w="1620" w:type="dxa"/>
            <w:shd w:val="clear" w:color="auto" w:fill="auto"/>
            <w:vAlign w:val="center"/>
          </w:tcPr>
          <w:p w:rsidR="00C43972" w:rsidRPr="00C43972" w:rsidRDefault="00C43972" w:rsidP="00C43972">
            <w:pPr>
              <w:widowControl w:val="0"/>
              <w:ind w:left="-116"/>
              <w:jc w:val="center"/>
              <w:rPr>
                <w:rFonts w:eastAsia="Times New Roman"/>
                <w:sz w:val="24"/>
                <w:szCs w:val="24"/>
                <w:lang w:eastAsia="ru-RU"/>
              </w:rPr>
            </w:pPr>
            <w:r w:rsidRPr="00C43972">
              <w:rPr>
                <w:rFonts w:eastAsia="Times New Roman"/>
                <w:sz w:val="24"/>
                <w:szCs w:val="24"/>
                <w:lang w:eastAsia="ru-RU"/>
              </w:rPr>
              <w:t>Ні</w:t>
            </w:r>
          </w:p>
        </w:tc>
      </w:tr>
      <w:tr w:rsidR="00C43972" w:rsidRPr="00C43972" w:rsidTr="006E3A91">
        <w:trPr>
          <w:jc w:val="center"/>
        </w:trPr>
        <w:tc>
          <w:tcPr>
            <w:tcW w:w="5815" w:type="dxa"/>
            <w:shd w:val="clear" w:color="auto" w:fill="auto"/>
            <w:vAlign w:val="center"/>
          </w:tcPr>
          <w:p w:rsidR="00C43972" w:rsidRPr="00C43972" w:rsidRDefault="00C43972" w:rsidP="00C43972">
            <w:pPr>
              <w:widowControl w:val="0"/>
              <w:jc w:val="left"/>
              <w:rPr>
                <w:rFonts w:eastAsia="Times New Roman"/>
                <w:sz w:val="24"/>
                <w:szCs w:val="24"/>
                <w:lang w:eastAsia="ru-RU"/>
              </w:rPr>
            </w:pPr>
            <w:r w:rsidRPr="00C43972">
              <w:rPr>
                <w:rFonts w:eastAsia="Times New Roman"/>
                <w:sz w:val="24"/>
                <w:szCs w:val="24"/>
                <w:lang w:eastAsia="ru-RU"/>
              </w:rPr>
              <w:t>Забезпеченість родильними ліжками (включаючи патологію вагітності)</w:t>
            </w:r>
          </w:p>
        </w:tc>
        <w:tc>
          <w:tcPr>
            <w:tcW w:w="1676" w:type="dxa"/>
            <w:shd w:val="clear" w:color="auto" w:fill="auto"/>
            <w:vAlign w:val="center"/>
          </w:tcPr>
          <w:p w:rsidR="00C43972" w:rsidRPr="00C43972" w:rsidRDefault="00C43972" w:rsidP="00C43972">
            <w:pPr>
              <w:widowControl w:val="0"/>
              <w:jc w:val="left"/>
              <w:rPr>
                <w:rFonts w:eastAsia="Times New Roman"/>
                <w:sz w:val="24"/>
                <w:szCs w:val="24"/>
                <w:lang w:eastAsia="ru-RU"/>
              </w:rPr>
            </w:pPr>
          </w:p>
        </w:tc>
        <w:tc>
          <w:tcPr>
            <w:tcW w:w="1620" w:type="dxa"/>
            <w:shd w:val="clear" w:color="auto" w:fill="auto"/>
            <w:vAlign w:val="center"/>
          </w:tcPr>
          <w:p w:rsidR="00C43972" w:rsidRPr="00C43972" w:rsidRDefault="00C43972" w:rsidP="00C43972">
            <w:pPr>
              <w:widowControl w:val="0"/>
              <w:ind w:left="-116"/>
              <w:jc w:val="left"/>
              <w:rPr>
                <w:rFonts w:eastAsia="Times New Roman"/>
                <w:sz w:val="24"/>
                <w:szCs w:val="24"/>
                <w:lang w:eastAsia="ru-RU"/>
              </w:rPr>
            </w:pPr>
          </w:p>
        </w:tc>
      </w:tr>
      <w:tr w:rsidR="00C43972" w:rsidRPr="00C43972" w:rsidTr="006E3A91">
        <w:trPr>
          <w:jc w:val="center"/>
        </w:trPr>
        <w:tc>
          <w:tcPr>
            <w:tcW w:w="5815" w:type="dxa"/>
            <w:shd w:val="clear" w:color="auto" w:fill="auto"/>
          </w:tcPr>
          <w:p w:rsidR="00C43972" w:rsidRPr="00C43972" w:rsidRDefault="00C43972" w:rsidP="00C43972">
            <w:pPr>
              <w:widowControl w:val="0"/>
              <w:rPr>
                <w:rFonts w:eastAsia="Times New Roman"/>
                <w:sz w:val="24"/>
                <w:szCs w:val="24"/>
                <w:lang w:eastAsia="ru-RU"/>
              </w:rPr>
            </w:pPr>
            <w:r w:rsidRPr="00C43972">
              <w:rPr>
                <w:rFonts w:eastAsia="Times New Roman"/>
                <w:kern w:val="24"/>
                <w:sz w:val="24"/>
                <w:szCs w:val="24"/>
                <w:lang w:eastAsia="ru-RU"/>
              </w:rPr>
              <w:t>Середнє число днів роботи акушерського ліжка</w:t>
            </w:r>
          </w:p>
        </w:tc>
        <w:tc>
          <w:tcPr>
            <w:tcW w:w="1676" w:type="dxa"/>
            <w:shd w:val="clear" w:color="auto" w:fill="auto"/>
            <w:vAlign w:val="center"/>
          </w:tcPr>
          <w:p w:rsidR="00C43972" w:rsidRPr="00C43972" w:rsidRDefault="00C43972" w:rsidP="00C43972">
            <w:pPr>
              <w:widowControl w:val="0"/>
              <w:jc w:val="left"/>
              <w:rPr>
                <w:rFonts w:eastAsia="Times New Roman"/>
                <w:sz w:val="24"/>
                <w:szCs w:val="24"/>
                <w:lang w:eastAsia="ru-RU"/>
              </w:rPr>
            </w:pPr>
          </w:p>
        </w:tc>
        <w:tc>
          <w:tcPr>
            <w:tcW w:w="1620" w:type="dxa"/>
            <w:shd w:val="clear" w:color="auto" w:fill="auto"/>
            <w:vAlign w:val="center"/>
          </w:tcPr>
          <w:p w:rsidR="00C43972" w:rsidRPr="00C43972" w:rsidRDefault="00C43972" w:rsidP="00C43972">
            <w:pPr>
              <w:widowControl w:val="0"/>
              <w:ind w:left="-116"/>
              <w:jc w:val="left"/>
              <w:rPr>
                <w:rFonts w:eastAsia="Times New Roman"/>
                <w:sz w:val="24"/>
                <w:szCs w:val="24"/>
                <w:lang w:eastAsia="ru-RU"/>
              </w:rPr>
            </w:pPr>
          </w:p>
        </w:tc>
      </w:tr>
      <w:tr w:rsidR="00C43972" w:rsidRPr="00C43972" w:rsidTr="006E3A91">
        <w:trPr>
          <w:jc w:val="center"/>
        </w:trPr>
        <w:tc>
          <w:tcPr>
            <w:tcW w:w="5815" w:type="dxa"/>
            <w:shd w:val="clear" w:color="auto" w:fill="auto"/>
          </w:tcPr>
          <w:p w:rsidR="00C43972" w:rsidRPr="00C43972" w:rsidRDefault="00C43972" w:rsidP="00C43972">
            <w:pPr>
              <w:widowControl w:val="0"/>
              <w:rPr>
                <w:rFonts w:eastAsia="Times New Roman"/>
                <w:kern w:val="24"/>
                <w:sz w:val="24"/>
                <w:szCs w:val="24"/>
                <w:lang w:eastAsia="ru-RU"/>
              </w:rPr>
            </w:pPr>
            <w:r w:rsidRPr="00C43972">
              <w:rPr>
                <w:rFonts w:eastAsia="Times New Roman"/>
                <w:kern w:val="24"/>
                <w:sz w:val="24"/>
                <w:szCs w:val="24"/>
                <w:lang w:eastAsia="ru-RU"/>
              </w:rPr>
              <w:t>Середнє перебування на акушерському ліжку</w:t>
            </w:r>
          </w:p>
        </w:tc>
        <w:tc>
          <w:tcPr>
            <w:tcW w:w="1676" w:type="dxa"/>
            <w:shd w:val="clear" w:color="auto" w:fill="auto"/>
            <w:vAlign w:val="center"/>
          </w:tcPr>
          <w:p w:rsidR="00C43972" w:rsidRPr="00C43972" w:rsidRDefault="00C43972" w:rsidP="00C43972">
            <w:pPr>
              <w:widowControl w:val="0"/>
              <w:jc w:val="left"/>
              <w:rPr>
                <w:rFonts w:eastAsia="Times New Roman"/>
                <w:sz w:val="24"/>
                <w:szCs w:val="24"/>
                <w:lang w:eastAsia="ru-RU"/>
              </w:rPr>
            </w:pPr>
          </w:p>
        </w:tc>
        <w:tc>
          <w:tcPr>
            <w:tcW w:w="1620" w:type="dxa"/>
            <w:shd w:val="clear" w:color="auto" w:fill="auto"/>
            <w:vAlign w:val="center"/>
          </w:tcPr>
          <w:p w:rsidR="00C43972" w:rsidRPr="00C43972" w:rsidRDefault="00C43972" w:rsidP="00C43972">
            <w:pPr>
              <w:widowControl w:val="0"/>
              <w:ind w:left="-116"/>
              <w:jc w:val="left"/>
              <w:rPr>
                <w:rFonts w:eastAsia="Times New Roman"/>
                <w:sz w:val="24"/>
                <w:szCs w:val="24"/>
                <w:lang w:eastAsia="ru-RU"/>
              </w:rPr>
            </w:pPr>
          </w:p>
        </w:tc>
      </w:tr>
      <w:tr w:rsidR="00C43972" w:rsidRPr="00C43972" w:rsidTr="006E3A91">
        <w:trPr>
          <w:jc w:val="center"/>
        </w:trPr>
        <w:tc>
          <w:tcPr>
            <w:tcW w:w="5815" w:type="dxa"/>
            <w:shd w:val="clear" w:color="auto" w:fill="auto"/>
          </w:tcPr>
          <w:p w:rsidR="00C43972" w:rsidRPr="00C43972" w:rsidRDefault="00C43972" w:rsidP="00C43972">
            <w:pPr>
              <w:widowControl w:val="0"/>
              <w:rPr>
                <w:rFonts w:eastAsia="Times New Roman"/>
                <w:sz w:val="24"/>
                <w:szCs w:val="24"/>
                <w:lang w:eastAsia="ru-RU"/>
              </w:rPr>
            </w:pPr>
            <w:r w:rsidRPr="00C43972">
              <w:rPr>
                <w:rFonts w:eastAsia="Times New Roman"/>
                <w:kern w:val="24"/>
                <w:sz w:val="24"/>
                <w:szCs w:val="24"/>
                <w:lang w:eastAsia="ru-RU"/>
              </w:rPr>
              <w:t>Забезпеченість ліжками для недоношених та хворих новонароджених / патології вагітності</w:t>
            </w:r>
          </w:p>
        </w:tc>
        <w:tc>
          <w:tcPr>
            <w:tcW w:w="1676" w:type="dxa"/>
            <w:shd w:val="clear" w:color="auto" w:fill="auto"/>
          </w:tcPr>
          <w:p w:rsidR="00C43972" w:rsidRPr="00C43972" w:rsidRDefault="00C43972" w:rsidP="00C43972">
            <w:pPr>
              <w:widowControl w:val="0"/>
              <w:jc w:val="left"/>
              <w:rPr>
                <w:rFonts w:eastAsia="Times New Roman"/>
                <w:sz w:val="24"/>
                <w:szCs w:val="24"/>
                <w:lang w:eastAsia="ru-RU"/>
              </w:rPr>
            </w:pPr>
          </w:p>
        </w:tc>
        <w:tc>
          <w:tcPr>
            <w:tcW w:w="1620" w:type="dxa"/>
            <w:shd w:val="clear" w:color="auto" w:fill="auto"/>
          </w:tcPr>
          <w:p w:rsidR="00C43972" w:rsidRPr="00C43972" w:rsidRDefault="00C43972" w:rsidP="00C43972">
            <w:pPr>
              <w:widowControl w:val="0"/>
              <w:rPr>
                <w:rFonts w:eastAsia="Times New Roman"/>
                <w:sz w:val="24"/>
                <w:szCs w:val="24"/>
                <w:lang w:eastAsia="ru-RU"/>
              </w:rPr>
            </w:pPr>
          </w:p>
        </w:tc>
      </w:tr>
      <w:tr w:rsidR="00C43972" w:rsidRPr="00C43972" w:rsidTr="006E3A91">
        <w:trPr>
          <w:jc w:val="center"/>
        </w:trPr>
        <w:tc>
          <w:tcPr>
            <w:tcW w:w="5815" w:type="dxa"/>
            <w:shd w:val="clear" w:color="auto" w:fill="auto"/>
          </w:tcPr>
          <w:p w:rsidR="00C43972" w:rsidRPr="00C43972" w:rsidRDefault="00C43972" w:rsidP="00C43972">
            <w:pPr>
              <w:widowControl w:val="0"/>
              <w:rPr>
                <w:rFonts w:eastAsia="Times New Roman"/>
                <w:kern w:val="24"/>
                <w:sz w:val="24"/>
                <w:szCs w:val="24"/>
                <w:lang w:eastAsia="ru-RU"/>
              </w:rPr>
            </w:pPr>
            <w:r w:rsidRPr="00C43972">
              <w:rPr>
                <w:rFonts w:eastAsia="Times New Roman"/>
                <w:sz w:val="24"/>
                <w:szCs w:val="24"/>
                <w:lang w:eastAsia="ru-RU"/>
              </w:rPr>
              <w:t>Укомплектованість кадрами лікарів</w:t>
            </w:r>
          </w:p>
        </w:tc>
        <w:tc>
          <w:tcPr>
            <w:tcW w:w="1676" w:type="dxa"/>
            <w:shd w:val="clear" w:color="auto" w:fill="auto"/>
          </w:tcPr>
          <w:p w:rsidR="00C43972" w:rsidRPr="00C43972" w:rsidRDefault="00C43972" w:rsidP="00C43972">
            <w:pPr>
              <w:widowControl w:val="0"/>
              <w:jc w:val="left"/>
              <w:rPr>
                <w:rFonts w:eastAsia="Times New Roman"/>
                <w:sz w:val="24"/>
                <w:szCs w:val="24"/>
                <w:lang w:eastAsia="ru-RU"/>
              </w:rPr>
            </w:pPr>
          </w:p>
        </w:tc>
        <w:tc>
          <w:tcPr>
            <w:tcW w:w="1620" w:type="dxa"/>
            <w:shd w:val="clear" w:color="auto" w:fill="auto"/>
          </w:tcPr>
          <w:p w:rsidR="00C43972" w:rsidRPr="00C43972" w:rsidRDefault="00C43972" w:rsidP="00C43972">
            <w:pPr>
              <w:widowControl w:val="0"/>
              <w:rPr>
                <w:rFonts w:eastAsia="Times New Roman"/>
                <w:sz w:val="24"/>
                <w:szCs w:val="24"/>
                <w:lang w:eastAsia="ru-RU"/>
              </w:rPr>
            </w:pPr>
          </w:p>
        </w:tc>
      </w:tr>
      <w:tr w:rsidR="00C43972" w:rsidRPr="00C43972" w:rsidTr="006E3A91">
        <w:trPr>
          <w:jc w:val="center"/>
        </w:trPr>
        <w:tc>
          <w:tcPr>
            <w:tcW w:w="5815" w:type="dxa"/>
            <w:shd w:val="clear" w:color="auto" w:fill="auto"/>
          </w:tcPr>
          <w:p w:rsidR="00C43972" w:rsidRPr="00C43972" w:rsidRDefault="00C43972" w:rsidP="00C43972">
            <w:pPr>
              <w:widowControl w:val="0"/>
              <w:jc w:val="left"/>
              <w:rPr>
                <w:rFonts w:eastAsia="Times New Roman"/>
                <w:sz w:val="24"/>
                <w:szCs w:val="24"/>
                <w:lang w:eastAsia="ru-RU"/>
              </w:rPr>
            </w:pPr>
            <w:r w:rsidRPr="00C43972">
              <w:rPr>
                <w:rFonts w:eastAsia="Times New Roman"/>
                <w:sz w:val="24"/>
                <w:szCs w:val="24"/>
                <w:lang w:eastAsia="ru-RU"/>
              </w:rPr>
              <w:t>Укомплектованість кадрами середнього медперсоналу</w:t>
            </w:r>
          </w:p>
        </w:tc>
        <w:tc>
          <w:tcPr>
            <w:tcW w:w="1676" w:type="dxa"/>
            <w:shd w:val="clear" w:color="auto" w:fill="auto"/>
          </w:tcPr>
          <w:p w:rsidR="00C43972" w:rsidRPr="00C43972" w:rsidRDefault="00C43972" w:rsidP="00C43972">
            <w:pPr>
              <w:widowControl w:val="0"/>
              <w:jc w:val="left"/>
              <w:rPr>
                <w:rFonts w:eastAsia="Times New Roman"/>
                <w:sz w:val="24"/>
                <w:szCs w:val="24"/>
                <w:lang w:eastAsia="ru-RU"/>
              </w:rPr>
            </w:pPr>
          </w:p>
        </w:tc>
        <w:tc>
          <w:tcPr>
            <w:tcW w:w="1620" w:type="dxa"/>
            <w:shd w:val="clear" w:color="auto" w:fill="auto"/>
          </w:tcPr>
          <w:p w:rsidR="00C43972" w:rsidRPr="00C43972" w:rsidRDefault="00C43972" w:rsidP="00C43972">
            <w:pPr>
              <w:widowControl w:val="0"/>
              <w:rPr>
                <w:rFonts w:eastAsia="Times New Roman"/>
                <w:sz w:val="24"/>
                <w:szCs w:val="24"/>
                <w:lang w:eastAsia="ru-RU"/>
              </w:rPr>
            </w:pPr>
          </w:p>
        </w:tc>
      </w:tr>
      <w:tr w:rsidR="00C43972" w:rsidRPr="00C43972" w:rsidTr="006E3A91">
        <w:trPr>
          <w:jc w:val="center"/>
        </w:trPr>
        <w:tc>
          <w:tcPr>
            <w:tcW w:w="5815" w:type="dxa"/>
            <w:shd w:val="clear" w:color="auto" w:fill="auto"/>
          </w:tcPr>
          <w:p w:rsidR="00C43972" w:rsidRPr="00C43972" w:rsidRDefault="00C43972" w:rsidP="00C43972">
            <w:pPr>
              <w:widowControl w:val="0"/>
              <w:ind w:left="-43"/>
              <w:rPr>
                <w:rFonts w:eastAsia="Times New Roman"/>
                <w:sz w:val="24"/>
                <w:szCs w:val="24"/>
                <w:lang w:eastAsia="ru-RU"/>
              </w:rPr>
            </w:pPr>
            <w:r w:rsidRPr="00C43972">
              <w:rPr>
                <w:rFonts w:eastAsia="Times New Roman"/>
                <w:sz w:val="24"/>
                <w:szCs w:val="24"/>
                <w:lang w:eastAsia="ru-RU"/>
              </w:rPr>
              <w:t>Питома вага лікарів, що мають атестаційну категорію</w:t>
            </w:r>
          </w:p>
        </w:tc>
        <w:tc>
          <w:tcPr>
            <w:tcW w:w="1676" w:type="dxa"/>
            <w:shd w:val="clear" w:color="auto" w:fill="auto"/>
          </w:tcPr>
          <w:p w:rsidR="00C43972" w:rsidRPr="00C43972" w:rsidRDefault="00C43972" w:rsidP="00C43972">
            <w:pPr>
              <w:widowControl w:val="0"/>
              <w:jc w:val="left"/>
              <w:rPr>
                <w:rFonts w:eastAsia="Times New Roman"/>
                <w:sz w:val="24"/>
                <w:szCs w:val="24"/>
                <w:lang w:eastAsia="ru-RU"/>
              </w:rPr>
            </w:pPr>
          </w:p>
        </w:tc>
        <w:tc>
          <w:tcPr>
            <w:tcW w:w="1620" w:type="dxa"/>
            <w:shd w:val="clear" w:color="auto" w:fill="auto"/>
          </w:tcPr>
          <w:p w:rsidR="00C43972" w:rsidRPr="00C43972" w:rsidRDefault="00C43972" w:rsidP="00C43972">
            <w:pPr>
              <w:widowControl w:val="0"/>
              <w:rPr>
                <w:rFonts w:eastAsia="Times New Roman"/>
                <w:sz w:val="24"/>
                <w:szCs w:val="24"/>
                <w:lang w:eastAsia="ru-RU"/>
              </w:rPr>
            </w:pPr>
          </w:p>
        </w:tc>
      </w:tr>
      <w:tr w:rsidR="00C43972" w:rsidRPr="00C43972" w:rsidTr="006E3A91">
        <w:trPr>
          <w:jc w:val="center"/>
        </w:trPr>
        <w:tc>
          <w:tcPr>
            <w:tcW w:w="5815" w:type="dxa"/>
            <w:shd w:val="clear" w:color="auto" w:fill="auto"/>
          </w:tcPr>
          <w:p w:rsidR="00C43972" w:rsidRPr="00C43972" w:rsidRDefault="00C43972" w:rsidP="00C43972">
            <w:pPr>
              <w:widowControl w:val="0"/>
              <w:ind w:left="-43"/>
              <w:rPr>
                <w:rFonts w:eastAsia="Times New Roman"/>
                <w:sz w:val="24"/>
                <w:szCs w:val="24"/>
                <w:lang w:eastAsia="ru-RU"/>
              </w:rPr>
            </w:pPr>
            <w:r w:rsidRPr="00C43972">
              <w:rPr>
                <w:rFonts w:eastAsia="Times New Roman"/>
                <w:sz w:val="24"/>
                <w:szCs w:val="24"/>
                <w:lang w:eastAsia="ru-RU"/>
              </w:rPr>
              <w:t>Питома вага середнього медперсоналу, що мають атестаційну категорію</w:t>
            </w:r>
          </w:p>
        </w:tc>
        <w:tc>
          <w:tcPr>
            <w:tcW w:w="1676" w:type="dxa"/>
            <w:shd w:val="clear" w:color="auto" w:fill="auto"/>
          </w:tcPr>
          <w:p w:rsidR="00C43972" w:rsidRPr="00C43972" w:rsidRDefault="00C43972" w:rsidP="00C43972">
            <w:pPr>
              <w:widowControl w:val="0"/>
              <w:ind w:left="-108"/>
              <w:jc w:val="left"/>
              <w:rPr>
                <w:rFonts w:eastAsia="Times New Roman"/>
                <w:sz w:val="24"/>
                <w:szCs w:val="24"/>
                <w:lang w:eastAsia="ru-RU"/>
              </w:rPr>
            </w:pPr>
          </w:p>
        </w:tc>
        <w:tc>
          <w:tcPr>
            <w:tcW w:w="1620" w:type="dxa"/>
            <w:shd w:val="clear" w:color="auto" w:fill="auto"/>
          </w:tcPr>
          <w:p w:rsidR="00C43972" w:rsidRPr="00C43972" w:rsidRDefault="00C43972" w:rsidP="00C43972">
            <w:pPr>
              <w:widowControl w:val="0"/>
              <w:jc w:val="left"/>
              <w:rPr>
                <w:rFonts w:eastAsia="Times New Roman"/>
                <w:sz w:val="24"/>
                <w:szCs w:val="24"/>
                <w:lang w:eastAsia="ru-RU"/>
              </w:rPr>
            </w:pPr>
          </w:p>
        </w:tc>
      </w:tr>
      <w:tr w:rsidR="00C43972" w:rsidRPr="00C43972" w:rsidTr="006E3A91">
        <w:trPr>
          <w:jc w:val="center"/>
        </w:trPr>
        <w:tc>
          <w:tcPr>
            <w:tcW w:w="5815" w:type="dxa"/>
            <w:shd w:val="clear" w:color="auto" w:fill="auto"/>
          </w:tcPr>
          <w:p w:rsidR="00C43972" w:rsidRPr="00C43972" w:rsidRDefault="00C43972" w:rsidP="00C43972">
            <w:pPr>
              <w:widowControl w:val="0"/>
              <w:ind w:left="-43"/>
              <w:rPr>
                <w:rFonts w:eastAsia="Times New Roman"/>
                <w:sz w:val="24"/>
                <w:szCs w:val="24"/>
                <w:lang w:eastAsia="ru-RU"/>
              </w:rPr>
            </w:pPr>
            <w:r w:rsidRPr="00C43972">
              <w:rPr>
                <w:rFonts w:eastAsia="Times New Roman"/>
                <w:sz w:val="24"/>
                <w:szCs w:val="24"/>
                <w:lang w:eastAsia="ru-RU"/>
              </w:rPr>
              <w:t>Наявність сучасного медичного обладнання для надання перинатальної допомоги відповідного рівня</w:t>
            </w:r>
          </w:p>
        </w:tc>
        <w:tc>
          <w:tcPr>
            <w:tcW w:w="1676" w:type="dxa"/>
            <w:shd w:val="clear" w:color="auto" w:fill="auto"/>
          </w:tcPr>
          <w:p w:rsidR="00C43972" w:rsidRPr="00C43972" w:rsidRDefault="00C43972" w:rsidP="00C43972">
            <w:pPr>
              <w:widowControl w:val="0"/>
              <w:ind w:left="-108"/>
              <w:jc w:val="left"/>
              <w:rPr>
                <w:rFonts w:eastAsia="Times New Roman"/>
                <w:sz w:val="24"/>
                <w:szCs w:val="24"/>
                <w:lang w:eastAsia="ru-RU"/>
              </w:rPr>
            </w:pPr>
          </w:p>
        </w:tc>
        <w:tc>
          <w:tcPr>
            <w:tcW w:w="1620" w:type="dxa"/>
            <w:shd w:val="clear" w:color="auto" w:fill="auto"/>
          </w:tcPr>
          <w:p w:rsidR="00C43972" w:rsidRPr="00C43972" w:rsidRDefault="00C43972" w:rsidP="00C43972">
            <w:pPr>
              <w:widowControl w:val="0"/>
              <w:jc w:val="left"/>
              <w:rPr>
                <w:rFonts w:eastAsia="Times New Roman"/>
                <w:sz w:val="24"/>
                <w:szCs w:val="24"/>
                <w:lang w:eastAsia="ru-RU"/>
              </w:rPr>
            </w:pPr>
          </w:p>
        </w:tc>
      </w:tr>
      <w:tr w:rsidR="00C43972" w:rsidRPr="00C43972" w:rsidTr="006E3A91">
        <w:trPr>
          <w:jc w:val="center"/>
        </w:trPr>
        <w:tc>
          <w:tcPr>
            <w:tcW w:w="5815" w:type="dxa"/>
            <w:shd w:val="clear" w:color="auto" w:fill="auto"/>
          </w:tcPr>
          <w:p w:rsidR="00C43972" w:rsidRPr="00C43972" w:rsidRDefault="00C43972" w:rsidP="00C43972">
            <w:pPr>
              <w:widowControl w:val="0"/>
              <w:ind w:left="-43"/>
              <w:rPr>
                <w:rFonts w:eastAsia="Times New Roman"/>
                <w:sz w:val="24"/>
                <w:szCs w:val="24"/>
                <w:lang w:eastAsia="ru-RU"/>
              </w:rPr>
            </w:pPr>
            <w:r w:rsidRPr="00C43972">
              <w:rPr>
                <w:rFonts w:eastAsia="Times New Roman"/>
                <w:sz w:val="24"/>
                <w:szCs w:val="24"/>
                <w:lang w:eastAsia="ru-RU"/>
              </w:rPr>
              <w:t>Кількість ультразвукових обстежень на один діючий апарат</w:t>
            </w:r>
          </w:p>
        </w:tc>
        <w:tc>
          <w:tcPr>
            <w:tcW w:w="1676" w:type="dxa"/>
            <w:shd w:val="clear" w:color="auto" w:fill="auto"/>
          </w:tcPr>
          <w:p w:rsidR="00C43972" w:rsidRPr="00C43972" w:rsidRDefault="00C43972" w:rsidP="00C43972">
            <w:pPr>
              <w:widowControl w:val="0"/>
              <w:ind w:left="-108"/>
              <w:jc w:val="left"/>
              <w:rPr>
                <w:rFonts w:eastAsia="Times New Roman"/>
                <w:sz w:val="24"/>
                <w:szCs w:val="24"/>
                <w:lang w:eastAsia="ru-RU"/>
              </w:rPr>
            </w:pPr>
          </w:p>
        </w:tc>
        <w:tc>
          <w:tcPr>
            <w:tcW w:w="1620" w:type="dxa"/>
            <w:shd w:val="clear" w:color="auto" w:fill="auto"/>
          </w:tcPr>
          <w:p w:rsidR="00C43972" w:rsidRPr="00C43972" w:rsidRDefault="00C43972" w:rsidP="00C43972">
            <w:pPr>
              <w:widowControl w:val="0"/>
              <w:jc w:val="left"/>
              <w:rPr>
                <w:rFonts w:eastAsia="Times New Roman"/>
                <w:sz w:val="24"/>
                <w:szCs w:val="24"/>
                <w:lang w:eastAsia="ru-RU"/>
              </w:rPr>
            </w:pPr>
          </w:p>
        </w:tc>
      </w:tr>
      <w:tr w:rsidR="00C43972" w:rsidRPr="00C43972" w:rsidTr="006E3A91">
        <w:trPr>
          <w:jc w:val="center"/>
        </w:trPr>
        <w:tc>
          <w:tcPr>
            <w:tcW w:w="5815" w:type="dxa"/>
            <w:shd w:val="clear" w:color="auto" w:fill="auto"/>
          </w:tcPr>
          <w:p w:rsidR="00C43972" w:rsidRPr="00C43972" w:rsidRDefault="00C43972" w:rsidP="00C43972">
            <w:pPr>
              <w:widowControl w:val="0"/>
              <w:jc w:val="left"/>
              <w:rPr>
                <w:rFonts w:eastAsia="Times New Roman"/>
                <w:sz w:val="24"/>
                <w:szCs w:val="24"/>
                <w:lang w:eastAsia="ru-RU"/>
              </w:rPr>
            </w:pPr>
            <w:r w:rsidRPr="00C43972">
              <w:rPr>
                <w:rFonts w:eastAsia="Times New Roman"/>
                <w:sz w:val="24"/>
                <w:szCs w:val="24"/>
                <w:lang w:eastAsia="ru-RU"/>
              </w:rPr>
              <w:t>Наявність електронної системи eHealth</w:t>
            </w:r>
          </w:p>
        </w:tc>
        <w:tc>
          <w:tcPr>
            <w:tcW w:w="1676" w:type="dxa"/>
            <w:shd w:val="clear" w:color="auto" w:fill="auto"/>
          </w:tcPr>
          <w:p w:rsidR="00C43972" w:rsidRPr="00C43972" w:rsidRDefault="00C43972" w:rsidP="00C43972">
            <w:pPr>
              <w:widowControl w:val="0"/>
              <w:ind w:left="-108"/>
              <w:jc w:val="left"/>
              <w:rPr>
                <w:rFonts w:eastAsia="Times New Roman"/>
                <w:sz w:val="24"/>
                <w:szCs w:val="24"/>
                <w:lang w:eastAsia="ru-RU"/>
              </w:rPr>
            </w:pPr>
          </w:p>
        </w:tc>
        <w:tc>
          <w:tcPr>
            <w:tcW w:w="1620" w:type="dxa"/>
            <w:shd w:val="clear" w:color="auto" w:fill="auto"/>
          </w:tcPr>
          <w:p w:rsidR="00C43972" w:rsidRPr="00C43972" w:rsidRDefault="00C43972" w:rsidP="00C43972">
            <w:pPr>
              <w:widowControl w:val="0"/>
              <w:jc w:val="left"/>
              <w:rPr>
                <w:rFonts w:eastAsia="Times New Roman"/>
                <w:sz w:val="24"/>
                <w:szCs w:val="24"/>
                <w:lang w:eastAsia="ru-RU"/>
              </w:rPr>
            </w:pPr>
          </w:p>
        </w:tc>
      </w:tr>
      <w:tr w:rsidR="00C43972" w:rsidRPr="00C43972" w:rsidTr="006E3A91">
        <w:trPr>
          <w:jc w:val="center"/>
        </w:trPr>
        <w:tc>
          <w:tcPr>
            <w:tcW w:w="5815" w:type="dxa"/>
            <w:shd w:val="clear" w:color="auto" w:fill="auto"/>
          </w:tcPr>
          <w:p w:rsidR="00C43972" w:rsidRPr="00C43972" w:rsidRDefault="00C43972" w:rsidP="00C43972">
            <w:pPr>
              <w:widowControl w:val="0"/>
              <w:jc w:val="left"/>
              <w:rPr>
                <w:rFonts w:eastAsia="Times New Roman"/>
                <w:sz w:val="24"/>
                <w:szCs w:val="24"/>
                <w:lang w:eastAsia="ru-RU"/>
              </w:rPr>
            </w:pPr>
            <w:r w:rsidRPr="00C43972">
              <w:rPr>
                <w:rFonts w:eastAsia="Times New Roman"/>
                <w:sz w:val="24"/>
                <w:szCs w:val="24"/>
                <w:lang w:eastAsia="ru-RU"/>
              </w:rPr>
              <w:t>Наявність статусу «Лікарня, доброзичлива до дитини»</w:t>
            </w:r>
          </w:p>
        </w:tc>
        <w:tc>
          <w:tcPr>
            <w:tcW w:w="1676" w:type="dxa"/>
            <w:shd w:val="clear" w:color="auto" w:fill="auto"/>
          </w:tcPr>
          <w:p w:rsidR="00C43972" w:rsidRPr="00C43972" w:rsidRDefault="00C43972" w:rsidP="00C43972">
            <w:pPr>
              <w:widowControl w:val="0"/>
              <w:jc w:val="left"/>
              <w:rPr>
                <w:rFonts w:eastAsia="Times New Roman"/>
                <w:sz w:val="24"/>
                <w:szCs w:val="24"/>
                <w:lang w:eastAsia="ru-RU"/>
              </w:rPr>
            </w:pPr>
          </w:p>
        </w:tc>
        <w:tc>
          <w:tcPr>
            <w:tcW w:w="1620" w:type="dxa"/>
            <w:shd w:val="clear" w:color="auto" w:fill="auto"/>
          </w:tcPr>
          <w:p w:rsidR="00C43972" w:rsidRPr="00C43972" w:rsidRDefault="00C43972" w:rsidP="00C43972">
            <w:pPr>
              <w:widowControl w:val="0"/>
              <w:jc w:val="left"/>
              <w:rPr>
                <w:rFonts w:eastAsia="Times New Roman"/>
                <w:sz w:val="24"/>
                <w:szCs w:val="24"/>
                <w:lang w:eastAsia="ru-RU"/>
              </w:rPr>
            </w:pPr>
          </w:p>
        </w:tc>
      </w:tr>
      <w:tr w:rsidR="00C43972" w:rsidRPr="00C43972" w:rsidTr="006E3A91">
        <w:trPr>
          <w:jc w:val="center"/>
        </w:trPr>
        <w:tc>
          <w:tcPr>
            <w:tcW w:w="5815" w:type="dxa"/>
            <w:shd w:val="clear" w:color="auto" w:fill="auto"/>
          </w:tcPr>
          <w:p w:rsidR="00C43972" w:rsidRPr="00C43972" w:rsidRDefault="00C43972" w:rsidP="00C43972">
            <w:pPr>
              <w:widowControl w:val="0"/>
              <w:jc w:val="left"/>
              <w:rPr>
                <w:rFonts w:eastAsia="Times New Roman"/>
                <w:sz w:val="24"/>
                <w:szCs w:val="24"/>
                <w:lang w:eastAsia="ru-RU"/>
              </w:rPr>
            </w:pPr>
            <w:r w:rsidRPr="00C43972">
              <w:rPr>
                <w:rFonts w:eastAsia="Times New Roman"/>
                <w:sz w:val="24"/>
                <w:szCs w:val="24"/>
                <w:lang w:eastAsia="ru-RU"/>
              </w:rPr>
              <w:t>Охоплення жінок скринінгом на рак шийки матки</w:t>
            </w:r>
          </w:p>
        </w:tc>
        <w:tc>
          <w:tcPr>
            <w:tcW w:w="1676" w:type="dxa"/>
            <w:shd w:val="clear" w:color="auto" w:fill="auto"/>
          </w:tcPr>
          <w:p w:rsidR="00C43972" w:rsidRPr="00C43972" w:rsidRDefault="00C43972" w:rsidP="00C43972">
            <w:pPr>
              <w:widowControl w:val="0"/>
              <w:jc w:val="left"/>
              <w:rPr>
                <w:rFonts w:eastAsia="Times New Roman"/>
                <w:sz w:val="24"/>
                <w:szCs w:val="24"/>
                <w:lang w:eastAsia="ru-RU"/>
              </w:rPr>
            </w:pPr>
          </w:p>
        </w:tc>
        <w:tc>
          <w:tcPr>
            <w:tcW w:w="1620" w:type="dxa"/>
            <w:shd w:val="clear" w:color="auto" w:fill="auto"/>
          </w:tcPr>
          <w:p w:rsidR="00C43972" w:rsidRPr="00C43972" w:rsidRDefault="00C43972" w:rsidP="00C43972">
            <w:pPr>
              <w:widowControl w:val="0"/>
              <w:jc w:val="left"/>
              <w:rPr>
                <w:rFonts w:eastAsia="Times New Roman"/>
                <w:sz w:val="24"/>
                <w:szCs w:val="24"/>
                <w:lang w:eastAsia="ru-RU"/>
              </w:rPr>
            </w:pPr>
          </w:p>
        </w:tc>
      </w:tr>
      <w:tr w:rsidR="00C43972" w:rsidRPr="00C43972" w:rsidTr="006E3A91">
        <w:trPr>
          <w:jc w:val="center"/>
        </w:trPr>
        <w:tc>
          <w:tcPr>
            <w:tcW w:w="5815" w:type="dxa"/>
            <w:shd w:val="clear" w:color="auto" w:fill="auto"/>
          </w:tcPr>
          <w:p w:rsidR="00C43972" w:rsidRPr="00C43972" w:rsidRDefault="00C43972" w:rsidP="00C43972">
            <w:pPr>
              <w:widowControl w:val="0"/>
              <w:jc w:val="left"/>
              <w:rPr>
                <w:rFonts w:eastAsia="Times New Roman"/>
                <w:sz w:val="24"/>
                <w:szCs w:val="24"/>
                <w:lang w:eastAsia="ru-RU"/>
              </w:rPr>
            </w:pPr>
            <w:r w:rsidRPr="00C43972">
              <w:rPr>
                <w:rFonts w:eastAsia="Times New Roman"/>
                <w:sz w:val="24"/>
                <w:szCs w:val="24"/>
                <w:lang w:eastAsia="ru-RU"/>
              </w:rPr>
              <w:t>Частота розладів менструацій у жінок фертильного віку</w:t>
            </w:r>
          </w:p>
        </w:tc>
        <w:tc>
          <w:tcPr>
            <w:tcW w:w="1676" w:type="dxa"/>
            <w:shd w:val="clear" w:color="auto" w:fill="auto"/>
          </w:tcPr>
          <w:p w:rsidR="00C43972" w:rsidRPr="00C43972" w:rsidRDefault="00C43972" w:rsidP="00C43972">
            <w:pPr>
              <w:widowControl w:val="0"/>
              <w:ind w:left="-108" w:firstLine="108"/>
              <w:jc w:val="left"/>
              <w:rPr>
                <w:rFonts w:eastAsia="Times New Roman"/>
                <w:sz w:val="24"/>
                <w:szCs w:val="24"/>
                <w:lang w:eastAsia="ru-RU"/>
              </w:rPr>
            </w:pPr>
          </w:p>
        </w:tc>
        <w:tc>
          <w:tcPr>
            <w:tcW w:w="1620" w:type="dxa"/>
            <w:shd w:val="clear" w:color="auto" w:fill="auto"/>
          </w:tcPr>
          <w:p w:rsidR="00C43972" w:rsidRPr="00C43972" w:rsidRDefault="00C43972" w:rsidP="00C43972">
            <w:pPr>
              <w:widowControl w:val="0"/>
              <w:jc w:val="left"/>
              <w:rPr>
                <w:rFonts w:eastAsia="Times New Roman"/>
                <w:sz w:val="24"/>
                <w:szCs w:val="24"/>
                <w:lang w:eastAsia="ru-RU"/>
              </w:rPr>
            </w:pPr>
          </w:p>
        </w:tc>
      </w:tr>
      <w:tr w:rsidR="00C43972" w:rsidRPr="00C43972" w:rsidTr="006E3A91">
        <w:trPr>
          <w:jc w:val="center"/>
        </w:trPr>
        <w:tc>
          <w:tcPr>
            <w:tcW w:w="5815" w:type="dxa"/>
            <w:shd w:val="clear" w:color="auto" w:fill="auto"/>
          </w:tcPr>
          <w:p w:rsidR="00C43972" w:rsidRPr="00C43972" w:rsidRDefault="00C43972" w:rsidP="00C43972">
            <w:pPr>
              <w:widowControl w:val="0"/>
              <w:jc w:val="left"/>
              <w:rPr>
                <w:rFonts w:eastAsia="Times New Roman"/>
                <w:iCs/>
                <w:kern w:val="28"/>
                <w:sz w:val="24"/>
                <w:szCs w:val="24"/>
                <w:lang w:eastAsia="ru-RU"/>
              </w:rPr>
            </w:pPr>
            <w:r w:rsidRPr="00C43972">
              <w:rPr>
                <w:rFonts w:eastAsia="Times New Roman"/>
                <w:sz w:val="24"/>
                <w:szCs w:val="24"/>
                <w:lang w:eastAsia="ru-RU"/>
              </w:rPr>
              <w:t>Частота сальпінгитів, оофоритів</w:t>
            </w:r>
          </w:p>
        </w:tc>
        <w:tc>
          <w:tcPr>
            <w:tcW w:w="1676" w:type="dxa"/>
            <w:shd w:val="clear" w:color="auto" w:fill="auto"/>
          </w:tcPr>
          <w:p w:rsidR="00C43972" w:rsidRPr="00C43972" w:rsidRDefault="00C43972" w:rsidP="00C43972">
            <w:pPr>
              <w:widowControl w:val="0"/>
              <w:ind w:left="-108" w:firstLine="108"/>
              <w:jc w:val="left"/>
              <w:rPr>
                <w:rFonts w:eastAsia="Times New Roman"/>
                <w:sz w:val="24"/>
                <w:szCs w:val="24"/>
                <w:lang w:eastAsia="ru-RU"/>
              </w:rPr>
            </w:pPr>
          </w:p>
        </w:tc>
        <w:tc>
          <w:tcPr>
            <w:tcW w:w="1620" w:type="dxa"/>
            <w:shd w:val="clear" w:color="auto" w:fill="auto"/>
          </w:tcPr>
          <w:p w:rsidR="00C43972" w:rsidRPr="00C43972" w:rsidRDefault="00C43972" w:rsidP="00C43972">
            <w:pPr>
              <w:widowControl w:val="0"/>
              <w:jc w:val="left"/>
              <w:rPr>
                <w:rFonts w:eastAsia="Times New Roman"/>
                <w:sz w:val="24"/>
                <w:szCs w:val="24"/>
                <w:lang w:eastAsia="ru-RU"/>
              </w:rPr>
            </w:pPr>
          </w:p>
        </w:tc>
      </w:tr>
      <w:tr w:rsidR="00C43972" w:rsidRPr="00C43972" w:rsidTr="006E3A91">
        <w:trPr>
          <w:jc w:val="center"/>
        </w:trPr>
        <w:tc>
          <w:tcPr>
            <w:tcW w:w="5815" w:type="dxa"/>
            <w:shd w:val="clear" w:color="auto" w:fill="auto"/>
          </w:tcPr>
          <w:p w:rsidR="00C43972" w:rsidRPr="00C43972" w:rsidRDefault="00C43972" w:rsidP="00C43972">
            <w:pPr>
              <w:widowControl w:val="0"/>
              <w:jc w:val="left"/>
              <w:rPr>
                <w:rFonts w:eastAsia="Times New Roman"/>
                <w:iCs/>
                <w:kern w:val="28"/>
                <w:sz w:val="24"/>
                <w:szCs w:val="24"/>
                <w:lang w:eastAsia="ru-RU"/>
              </w:rPr>
            </w:pPr>
            <w:r w:rsidRPr="00C43972">
              <w:rPr>
                <w:rFonts w:eastAsia="Times New Roman"/>
                <w:sz w:val="24"/>
                <w:szCs w:val="24"/>
                <w:lang w:eastAsia="ru-RU"/>
              </w:rPr>
              <w:t>Частота запальних хвороб шийки матки</w:t>
            </w:r>
          </w:p>
        </w:tc>
        <w:tc>
          <w:tcPr>
            <w:tcW w:w="1676" w:type="dxa"/>
            <w:shd w:val="clear" w:color="auto" w:fill="auto"/>
          </w:tcPr>
          <w:p w:rsidR="00C43972" w:rsidRPr="00C43972" w:rsidRDefault="00C43972" w:rsidP="00C43972">
            <w:pPr>
              <w:widowControl w:val="0"/>
              <w:ind w:left="-108" w:firstLine="108"/>
              <w:jc w:val="left"/>
              <w:rPr>
                <w:rFonts w:eastAsia="Times New Roman"/>
                <w:sz w:val="24"/>
                <w:szCs w:val="24"/>
                <w:lang w:eastAsia="ru-RU"/>
              </w:rPr>
            </w:pPr>
          </w:p>
        </w:tc>
        <w:tc>
          <w:tcPr>
            <w:tcW w:w="1620" w:type="dxa"/>
            <w:shd w:val="clear" w:color="auto" w:fill="auto"/>
          </w:tcPr>
          <w:p w:rsidR="00C43972" w:rsidRPr="00C43972" w:rsidRDefault="00C43972" w:rsidP="00C43972">
            <w:pPr>
              <w:widowControl w:val="0"/>
              <w:jc w:val="left"/>
              <w:rPr>
                <w:rFonts w:eastAsia="Times New Roman"/>
                <w:sz w:val="24"/>
                <w:szCs w:val="24"/>
                <w:lang w:eastAsia="ru-RU"/>
              </w:rPr>
            </w:pPr>
          </w:p>
        </w:tc>
      </w:tr>
      <w:tr w:rsidR="00C43972" w:rsidRPr="00C43972" w:rsidTr="006E3A91">
        <w:trPr>
          <w:jc w:val="center"/>
        </w:trPr>
        <w:tc>
          <w:tcPr>
            <w:tcW w:w="5815" w:type="dxa"/>
            <w:shd w:val="clear" w:color="auto" w:fill="auto"/>
          </w:tcPr>
          <w:p w:rsidR="00C43972" w:rsidRPr="00C43972" w:rsidRDefault="00C43972" w:rsidP="00C43972">
            <w:pPr>
              <w:widowControl w:val="0"/>
              <w:jc w:val="left"/>
              <w:rPr>
                <w:rFonts w:eastAsia="Times New Roman"/>
                <w:sz w:val="24"/>
                <w:szCs w:val="24"/>
                <w:lang w:eastAsia="ru-RU"/>
              </w:rPr>
            </w:pPr>
            <w:r w:rsidRPr="00C43972">
              <w:rPr>
                <w:rFonts w:eastAsia="Times New Roman"/>
                <w:sz w:val="24"/>
                <w:szCs w:val="24"/>
                <w:lang w:eastAsia="ru-RU"/>
              </w:rPr>
              <w:t>Захворюваність на ІПСШ;- сифіліс</w:t>
            </w:r>
          </w:p>
        </w:tc>
        <w:tc>
          <w:tcPr>
            <w:tcW w:w="1676" w:type="dxa"/>
            <w:shd w:val="clear" w:color="auto" w:fill="auto"/>
          </w:tcPr>
          <w:p w:rsidR="00C43972" w:rsidRPr="00C43972" w:rsidRDefault="00C43972" w:rsidP="00C43972">
            <w:pPr>
              <w:widowControl w:val="0"/>
              <w:ind w:left="-108" w:firstLine="108"/>
              <w:jc w:val="left"/>
              <w:rPr>
                <w:rFonts w:eastAsia="Times New Roman"/>
                <w:sz w:val="24"/>
                <w:szCs w:val="24"/>
                <w:lang w:eastAsia="ru-RU"/>
              </w:rPr>
            </w:pPr>
          </w:p>
        </w:tc>
        <w:tc>
          <w:tcPr>
            <w:tcW w:w="1620" w:type="dxa"/>
            <w:shd w:val="clear" w:color="auto" w:fill="auto"/>
          </w:tcPr>
          <w:p w:rsidR="00C43972" w:rsidRPr="00C43972" w:rsidRDefault="00C43972" w:rsidP="00C43972">
            <w:pPr>
              <w:widowControl w:val="0"/>
              <w:jc w:val="left"/>
              <w:rPr>
                <w:rFonts w:eastAsia="Times New Roman"/>
                <w:sz w:val="24"/>
                <w:szCs w:val="24"/>
                <w:lang w:eastAsia="ru-RU"/>
              </w:rPr>
            </w:pPr>
          </w:p>
        </w:tc>
      </w:tr>
      <w:tr w:rsidR="00C43972" w:rsidRPr="00C43972" w:rsidTr="006E3A91">
        <w:trPr>
          <w:trHeight w:val="429"/>
          <w:jc w:val="center"/>
        </w:trPr>
        <w:tc>
          <w:tcPr>
            <w:tcW w:w="5815" w:type="dxa"/>
            <w:shd w:val="clear" w:color="auto" w:fill="auto"/>
          </w:tcPr>
          <w:p w:rsidR="00C43972" w:rsidRPr="00C43972" w:rsidRDefault="00C43972" w:rsidP="00C43972">
            <w:pPr>
              <w:widowControl w:val="0"/>
              <w:jc w:val="left"/>
              <w:rPr>
                <w:rFonts w:eastAsia="Times New Roman"/>
                <w:sz w:val="24"/>
                <w:szCs w:val="24"/>
                <w:lang w:eastAsia="ru-RU"/>
              </w:rPr>
            </w:pPr>
            <w:r w:rsidRPr="00C43972">
              <w:rPr>
                <w:rFonts w:eastAsia="Times New Roman"/>
                <w:sz w:val="24"/>
                <w:szCs w:val="24"/>
                <w:lang w:eastAsia="ru-RU"/>
              </w:rPr>
              <w:t>- гонококову інфекцію</w:t>
            </w:r>
          </w:p>
        </w:tc>
        <w:tc>
          <w:tcPr>
            <w:tcW w:w="1676" w:type="dxa"/>
            <w:shd w:val="clear" w:color="auto" w:fill="auto"/>
          </w:tcPr>
          <w:p w:rsidR="00C43972" w:rsidRPr="00C43972" w:rsidRDefault="00C43972" w:rsidP="00C43972">
            <w:pPr>
              <w:widowControl w:val="0"/>
              <w:jc w:val="left"/>
              <w:rPr>
                <w:rFonts w:eastAsia="Times New Roman"/>
                <w:sz w:val="24"/>
                <w:szCs w:val="24"/>
                <w:lang w:eastAsia="ru-RU"/>
              </w:rPr>
            </w:pPr>
          </w:p>
        </w:tc>
        <w:tc>
          <w:tcPr>
            <w:tcW w:w="1620" w:type="dxa"/>
            <w:shd w:val="clear" w:color="auto" w:fill="auto"/>
          </w:tcPr>
          <w:p w:rsidR="00C43972" w:rsidRPr="00C43972" w:rsidRDefault="00C43972" w:rsidP="00C43972">
            <w:pPr>
              <w:widowControl w:val="0"/>
              <w:jc w:val="left"/>
              <w:rPr>
                <w:rFonts w:eastAsia="Times New Roman"/>
                <w:sz w:val="24"/>
                <w:szCs w:val="24"/>
                <w:lang w:eastAsia="ru-RU"/>
              </w:rPr>
            </w:pPr>
          </w:p>
        </w:tc>
      </w:tr>
    </w:tbl>
    <w:p w:rsidR="00FD769A" w:rsidRDefault="00FD769A" w:rsidP="00691330">
      <w:pPr>
        <w:jc w:val="right"/>
        <w:rPr>
          <w:i/>
          <w:lang w:val="ru-RU"/>
        </w:rPr>
      </w:pPr>
    </w:p>
    <w:p w:rsidR="00691330" w:rsidRPr="00691330" w:rsidRDefault="00691330" w:rsidP="00442EEC">
      <w:pPr>
        <w:pageBreakBefore/>
        <w:jc w:val="right"/>
        <w:rPr>
          <w:i/>
          <w:lang w:val="ru-RU"/>
        </w:rPr>
      </w:pPr>
      <w:r w:rsidRPr="00691330">
        <w:rPr>
          <w:i/>
          <w:lang w:val="ru-RU"/>
        </w:rPr>
        <w:lastRenderedPageBreak/>
        <w:t>Продовження додаток Е-2</w:t>
      </w:r>
    </w:p>
    <w:tbl>
      <w:tblPr>
        <w:tblW w:w="911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815"/>
        <w:gridCol w:w="1676"/>
        <w:gridCol w:w="1620"/>
      </w:tblGrid>
      <w:tr w:rsidR="00C43972" w:rsidRPr="00C43972" w:rsidTr="006E3A91">
        <w:trPr>
          <w:jc w:val="center"/>
        </w:trPr>
        <w:tc>
          <w:tcPr>
            <w:tcW w:w="5815" w:type="dxa"/>
            <w:shd w:val="clear" w:color="auto" w:fill="auto"/>
          </w:tcPr>
          <w:p w:rsidR="00C43972" w:rsidRPr="00C43972" w:rsidRDefault="00C43972" w:rsidP="00C43972">
            <w:pPr>
              <w:widowControl w:val="0"/>
              <w:jc w:val="left"/>
              <w:rPr>
                <w:rFonts w:eastAsia="Times New Roman"/>
                <w:sz w:val="24"/>
                <w:szCs w:val="24"/>
                <w:lang w:eastAsia="ru-RU"/>
              </w:rPr>
            </w:pPr>
            <w:r w:rsidRPr="00C43972">
              <w:rPr>
                <w:rFonts w:eastAsia="Times New Roman"/>
                <w:sz w:val="24"/>
                <w:szCs w:val="24"/>
                <w:lang w:eastAsia="ru-RU"/>
              </w:rPr>
              <w:t>- хламідійну інфекцію</w:t>
            </w:r>
          </w:p>
        </w:tc>
        <w:tc>
          <w:tcPr>
            <w:tcW w:w="1676" w:type="dxa"/>
            <w:shd w:val="clear" w:color="auto" w:fill="auto"/>
          </w:tcPr>
          <w:p w:rsidR="00C43972" w:rsidRPr="00C43972" w:rsidRDefault="00C43972" w:rsidP="00C43972">
            <w:pPr>
              <w:widowControl w:val="0"/>
              <w:jc w:val="left"/>
              <w:rPr>
                <w:rFonts w:eastAsia="Times New Roman"/>
                <w:sz w:val="24"/>
                <w:szCs w:val="24"/>
                <w:lang w:eastAsia="ru-RU"/>
              </w:rPr>
            </w:pPr>
          </w:p>
        </w:tc>
        <w:tc>
          <w:tcPr>
            <w:tcW w:w="1620" w:type="dxa"/>
            <w:shd w:val="clear" w:color="auto" w:fill="auto"/>
          </w:tcPr>
          <w:p w:rsidR="00C43972" w:rsidRPr="00C43972" w:rsidRDefault="00C43972" w:rsidP="00C43972">
            <w:pPr>
              <w:widowControl w:val="0"/>
              <w:jc w:val="left"/>
              <w:rPr>
                <w:rFonts w:eastAsia="Times New Roman"/>
                <w:sz w:val="24"/>
                <w:szCs w:val="24"/>
                <w:lang w:eastAsia="ru-RU"/>
              </w:rPr>
            </w:pPr>
          </w:p>
        </w:tc>
      </w:tr>
      <w:tr w:rsidR="00C43972" w:rsidRPr="00C43972" w:rsidTr="006E3A91">
        <w:trPr>
          <w:jc w:val="center"/>
        </w:trPr>
        <w:tc>
          <w:tcPr>
            <w:tcW w:w="5815" w:type="dxa"/>
            <w:shd w:val="clear" w:color="auto" w:fill="auto"/>
          </w:tcPr>
          <w:p w:rsidR="00C43972" w:rsidRPr="00C43972" w:rsidRDefault="00C43972" w:rsidP="00C43972">
            <w:pPr>
              <w:widowControl w:val="0"/>
              <w:jc w:val="left"/>
              <w:rPr>
                <w:rFonts w:eastAsia="Times New Roman"/>
                <w:sz w:val="24"/>
                <w:szCs w:val="24"/>
                <w:lang w:eastAsia="ru-RU"/>
              </w:rPr>
            </w:pPr>
            <w:r w:rsidRPr="00C43972">
              <w:rPr>
                <w:rFonts w:eastAsia="Times New Roman"/>
                <w:sz w:val="24"/>
                <w:szCs w:val="24"/>
                <w:lang w:eastAsia="ru-RU"/>
              </w:rPr>
              <w:t>- трихомоніаз</w:t>
            </w:r>
          </w:p>
        </w:tc>
        <w:tc>
          <w:tcPr>
            <w:tcW w:w="1676" w:type="dxa"/>
            <w:shd w:val="clear" w:color="auto" w:fill="auto"/>
          </w:tcPr>
          <w:p w:rsidR="00C43972" w:rsidRPr="00C43972" w:rsidRDefault="00C43972" w:rsidP="00C43972">
            <w:pPr>
              <w:widowControl w:val="0"/>
              <w:jc w:val="left"/>
              <w:rPr>
                <w:rFonts w:eastAsia="Times New Roman"/>
                <w:sz w:val="24"/>
                <w:szCs w:val="24"/>
                <w:lang w:eastAsia="ru-RU"/>
              </w:rPr>
            </w:pPr>
          </w:p>
        </w:tc>
        <w:tc>
          <w:tcPr>
            <w:tcW w:w="1620" w:type="dxa"/>
            <w:shd w:val="clear" w:color="auto" w:fill="auto"/>
          </w:tcPr>
          <w:p w:rsidR="00C43972" w:rsidRPr="00C43972" w:rsidRDefault="00C43972" w:rsidP="00C43972">
            <w:pPr>
              <w:widowControl w:val="0"/>
              <w:jc w:val="left"/>
              <w:rPr>
                <w:rFonts w:eastAsia="Times New Roman"/>
                <w:sz w:val="24"/>
                <w:szCs w:val="24"/>
                <w:lang w:eastAsia="ru-RU"/>
              </w:rPr>
            </w:pPr>
          </w:p>
        </w:tc>
      </w:tr>
      <w:tr w:rsidR="00C43972" w:rsidRPr="00C43972" w:rsidTr="006E3A91">
        <w:trPr>
          <w:jc w:val="center"/>
        </w:trPr>
        <w:tc>
          <w:tcPr>
            <w:tcW w:w="5815" w:type="dxa"/>
            <w:shd w:val="clear" w:color="auto" w:fill="auto"/>
          </w:tcPr>
          <w:p w:rsidR="00C43972" w:rsidRPr="00C43972" w:rsidRDefault="00C43972" w:rsidP="00C43972">
            <w:pPr>
              <w:widowControl w:val="0"/>
              <w:jc w:val="left"/>
              <w:rPr>
                <w:rFonts w:eastAsia="Times New Roman"/>
                <w:sz w:val="24"/>
                <w:szCs w:val="24"/>
                <w:lang w:eastAsia="ru-RU"/>
              </w:rPr>
            </w:pPr>
            <w:r w:rsidRPr="00C43972">
              <w:rPr>
                <w:rFonts w:eastAsia="Times New Roman"/>
                <w:sz w:val="24"/>
                <w:szCs w:val="24"/>
                <w:lang w:eastAsia="ru-RU"/>
              </w:rPr>
              <w:t>- урогенітальний мікоплакмоз</w:t>
            </w:r>
          </w:p>
        </w:tc>
        <w:tc>
          <w:tcPr>
            <w:tcW w:w="1676" w:type="dxa"/>
            <w:shd w:val="clear" w:color="auto" w:fill="auto"/>
          </w:tcPr>
          <w:p w:rsidR="00C43972" w:rsidRPr="00C43972" w:rsidRDefault="00C43972" w:rsidP="00C43972">
            <w:pPr>
              <w:widowControl w:val="0"/>
              <w:jc w:val="left"/>
              <w:rPr>
                <w:rFonts w:eastAsia="Times New Roman"/>
                <w:sz w:val="24"/>
                <w:szCs w:val="24"/>
                <w:lang w:eastAsia="ru-RU"/>
              </w:rPr>
            </w:pPr>
          </w:p>
        </w:tc>
        <w:tc>
          <w:tcPr>
            <w:tcW w:w="1620" w:type="dxa"/>
            <w:shd w:val="clear" w:color="auto" w:fill="auto"/>
          </w:tcPr>
          <w:p w:rsidR="00C43972" w:rsidRPr="00C43972" w:rsidRDefault="00C43972" w:rsidP="00C43972">
            <w:pPr>
              <w:widowControl w:val="0"/>
              <w:jc w:val="left"/>
              <w:rPr>
                <w:rFonts w:eastAsia="Times New Roman"/>
                <w:sz w:val="24"/>
                <w:szCs w:val="24"/>
                <w:lang w:eastAsia="ru-RU"/>
              </w:rPr>
            </w:pPr>
          </w:p>
        </w:tc>
      </w:tr>
      <w:tr w:rsidR="00C43972" w:rsidRPr="00C43972" w:rsidTr="006E3A91">
        <w:trPr>
          <w:jc w:val="center"/>
        </w:trPr>
        <w:tc>
          <w:tcPr>
            <w:tcW w:w="5815" w:type="dxa"/>
            <w:shd w:val="clear" w:color="auto" w:fill="auto"/>
          </w:tcPr>
          <w:p w:rsidR="00C43972" w:rsidRPr="00C43972" w:rsidRDefault="00C43972" w:rsidP="00C43972">
            <w:pPr>
              <w:widowControl w:val="0"/>
              <w:jc w:val="left"/>
              <w:rPr>
                <w:rFonts w:eastAsia="Times New Roman"/>
                <w:sz w:val="24"/>
                <w:szCs w:val="24"/>
                <w:lang w:eastAsia="ru-RU"/>
              </w:rPr>
            </w:pPr>
            <w:r w:rsidRPr="00C43972">
              <w:rPr>
                <w:rFonts w:eastAsia="Times New Roman"/>
                <w:sz w:val="24"/>
                <w:szCs w:val="24"/>
                <w:lang w:eastAsia="ru-RU"/>
              </w:rPr>
              <w:t>Частота переривань вагітності</w:t>
            </w:r>
          </w:p>
        </w:tc>
        <w:tc>
          <w:tcPr>
            <w:tcW w:w="1676" w:type="dxa"/>
            <w:shd w:val="clear" w:color="auto" w:fill="auto"/>
          </w:tcPr>
          <w:p w:rsidR="00C43972" w:rsidRPr="00C43972" w:rsidRDefault="00C43972" w:rsidP="00C43972">
            <w:pPr>
              <w:widowControl w:val="0"/>
              <w:jc w:val="left"/>
              <w:rPr>
                <w:rFonts w:eastAsia="Times New Roman"/>
                <w:sz w:val="24"/>
                <w:szCs w:val="24"/>
                <w:lang w:eastAsia="ru-RU"/>
              </w:rPr>
            </w:pPr>
          </w:p>
        </w:tc>
        <w:tc>
          <w:tcPr>
            <w:tcW w:w="1620" w:type="dxa"/>
            <w:shd w:val="clear" w:color="auto" w:fill="auto"/>
          </w:tcPr>
          <w:p w:rsidR="00C43972" w:rsidRPr="00C43972" w:rsidRDefault="00C43972" w:rsidP="00C43972">
            <w:pPr>
              <w:widowControl w:val="0"/>
              <w:jc w:val="left"/>
              <w:rPr>
                <w:rFonts w:eastAsia="Times New Roman"/>
                <w:sz w:val="24"/>
                <w:szCs w:val="24"/>
                <w:lang w:eastAsia="ru-RU"/>
              </w:rPr>
            </w:pPr>
          </w:p>
        </w:tc>
      </w:tr>
      <w:tr w:rsidR="00C43972" w:rsidRPr="00C43972" w:rsidTr="006E3A91">
        <w:trPr>
          <w:jc w:val="center"/>
        </w:trPr>
        <w:tc>
          <w:tcPr>
            <w:tcW w:w="5815" w:type="dxa"/>
            <w:shd w:val="clear" w:color="auto" w:fill="auto"/>
          </w:tcPr>
          <w:p w:rsidR="00C43972" w:rsidRPr="00C43972" w:rsidRDefault="00C43972" w:rsidP="00C43972">
            <w:pPr>
              <w:widowControl w:val="0"/>
              <w:ind w:left="-43"/>
              <w:jc w:val="left"/>
              <w:rPr>
                <w:rFonts w:eastAsia="Times New Roman"/>
                <w:sz w:val="24"/>
                <w:szCs w:val="24"/>
                <w:lang w:eastAsia="ru-RU"/>
              </w:rPr>
            </w:pPr>
            <w:r w:rsidRPr="00C43972">
              <w:rPr>
                <w:rFonts w:eastAsia="Times New Roman"/>
                <w:sz w:val="24"/>
                <w:szCs w:val="24"/>
                <w:lang w:eastAsia="ru-RU"/>
              </w:rPr>
              <w:t>Співвідношення безпечного і небезпечного методів переривання вагітності до 12 тижнів</w:t>
            </w:r>
          </w:p>
        </w:tc>
        <w:tc>
          <w:tcPr>
            <w:tcW w:w="1676" w:type="dxa"/>
            <w:shd w:val="clear" w:color="auto" w:fill="auto"/>
          </w:tcPr>
          <w:p w:rsidR="00C43972" w:rsidRPr="00C43972" w:rsidRDefault="00C43972" w:rsidP="00C43972">
            <w:pPr>
              <w:widowControl w:val="0"/>
              <w:jc w:val="left"/>
              <w:rPr>
                <w:rFonts w:eastAsia="Times New Roman"/>
                <w:sz w:val="24"/>
                <w:szCs w:val="24"/>
                <w:lang w:eastAsia="ru-RU"/>
              </w:rPr>
            </w:pPr>
          </w:p>
        </w:tc>
        <w:tc>
          <w:tcPr>
            <w:tcW w:w="1620" w:type="dxa"/>
            <w:shd w:val="clear" w:color="auto" w:fill="auto"/>
          </w:tcPr>
          <w:p w:rsidR="00C43972" w:rsidRPr="00C43972" w:rsidRDefault="00C43972" w:rsidP="00C43972">
            <w:pPr>
              <w:widowControl w:val="0"/>
              <w:jc w:val="left"/>
              <w:rPr>
                <w:rFonts w:eastAsia="Times New Roman"/>
                <w:sz w:val="24"/>
                <w:szCs w:val="24"/>
                <w:lang w:eastAsia="ru-RU"/>
              </w:rPr>
            </w:pPr>
          </w:p>
        </w:tc>
      </w:tr>
      <w:tr w:rsidR="00C43972" w:rsidRPr="00C43972" w:rsidTr="006E3A91">
        <w:trPr>
          <w:jc w:val="center"/>
        </w:trPr>
        <w:tc>
          <w:tcPr>
            <w:tcW w:w="5815" w:type="dxa"/>
            <w:shd w:val="clear" w:color="auto" w:fill="auto"/>
          </w:tcPr>
          <w:p w:rsidR="00C43972" w:rsidRPr="00C43972" w:rsidRDefault="00C43972" w:rsidP="00C43972">
            <w:pPr>
              <w:widowControl w:val="0"/>
              <w:ind w:left="-43"/>
              <w:jc w:val="left"/>
              <w:rPr>
                <w:rFonts w:eastAsia="Times New Roman"/>
                <w:sz w:val="24"/>
                <w:szCs w:val="24"/>
                <w:lang w:eastAsia="ru-RU"/>
              </w:rPr>
            </w:pPr>
            <w:r w:rsidRPr="00C43972">
              <w:rPr>
                <w:rFonts w:eastAsia="Times New Roman"/>
                <w:sz w:val="24"/>
                <w:szCs w:val="24"/>
                <w:lang w:eastAsia="ru-RU"/>
              </w:rPr>
              <w:t>Небажана вагітність</w:t>
            </w:r>
          </w:p>
        </w:tc>
        <w:tc>
          <w:tcPr>
            <w:tcW w:w="1676" w:type="dxa"/>
            <w:shd w:val="clear" w:color="auto" w:fill="auto"/>
          </w:tcPr>
          <w:p w:rsidR="00C43972" w:rsidRPr="00C43972" w:rsidRDefault="00C43972" w:rsidP="00C43972">
            <w:pPr>
              <w:widowControl w:val="0"/>
              <w:jc w:val="left"/>
              <w:rPr>
                <w:rFonts w:eastAsia="Times New Roman"/>
                <w:sz w:val="24"/>
                <w:szCs w:val="24"/>
                <w:lang w:eastAsia="ru-RU"/>
              </w:rPr>
            </w:pPr>
          </w:p>
        </w:tc>
        <w:tc>
          <w:tcPr>
            <w:tcW w:w="1620" w:type="dxa"/>
            <w:shd w:val="clear" w:color="auto" w:fill="auto"/>
          </w:tcPr>
          <w:p w:rsidR="00C43972" w:rsidRPr="00C43972" w:rsidRDefault="00C43972" w:rsidP="00C43972">
            <w:pPr>
              <w:widowControl w:val="0"/>
              <w:jc w:val="left"/>
              <w:rPr>
                <w:rFonts w:eastAsia="Times New Roman"/>
                <w:sz w:val="24"/>
                <w:szCs w:val="24"/>
                <w:lang w:eastAsia="ru-RU"/>
              </w:rPr>
            </w:pPr>
          </w:p>
        </w:tc>
      </w:tr>
      <w:tr w:rsidR="00C43972" w:rsidRPr="00C43972" w:rsidTr="006E3A91">
        <w:trPr>
          <w:jc w:val="center"/>
        </w:trPr>
        <w:tc>
          <w:tcPr>
            <w:tcW w:w="5815" w:type="dxa"/>
            <w:shd w:val="clear" w:color="auto" w:fill="auto"/>
          </w:tcPr>
          <w:p w:rsidR="00C43972" w:rsidRPr="00C43972" w:rsidRDefault="00C43972" w:rsidP="00C43972">
            <w:pPr>
              <w:widowControl w:val="0"/>
              <w:ind w:left="-43"/>
              <w:jc w:val="left"/>
              <w:rPr>
                <w:rFonts w:eastAsia="Times New Roman"/>
                <w:sz w:val="24"/>
                <w:szCs w:val="24"/>
                <w:lang w:eastAsia="ru-RU"/>
              </w:rPr>
            </w:pPr>
            <w:r w:rsidRPr="00C43972">
              <w:rPr>
                <w:rFonts w:eastAsia="Times New Roman"/>
                <w:sz w:val="24"/>
                <w:szCs w:val="24"/>
                <w:lang w:eastAsia="ru-RU"/>
              </w:rPr>
              <w:t>Знаходиться під диспансерним наглядом жінок: які мають ВМС,</w:t>
            </w:r>
          </w:p>
        </w:tc>
        <w:tc>
          <w:tcPr>
            <w:tcW w:w="1676" w:type="dxa"/>
            <w:shd w:val="clear" w:color="auto" w:fill="auto"/>
          </w:tcPr>
          <w:p w:rsidR="00C43972" w:rsidRPr="00C43972" w:rsidRDefault="00C43972" w:rsidP="00C43972">
            <w:pPr>
              <w:widowControl w:val="0"/>
              <w:jc w:val="left"/>
              <w:rPr>
                <w:rFonts w:eastAsia="Times New Roman"/>
                <w:sz w:val="24"/>
                <w:szCs w:val="24"/>
                <w:lang w:eastAsia="ru-RU"/>
              </w:rPr>
            </w:pPr>
          </w:p>
        </w:tc>
        <w:tc>
          <w:tcPr>
            <w:tcW w:w="1620" w:type="dxa"/>
            <w:shd w:val="clear" w:color="auto" w:fill="auto"/>
          </w:tcPr>
          <w:p w:rsidR="00C43972" w:rsidRPr="00C43972" w:rsidRDefault="00C43972" w:rsidP="00C43972">
            <w:pPr>
              <w:widowControl w:val="0"/>
              <w:jc w:val="left"/>
              <w:rPr>
                <w:rFonts w:eastAsia="Times New Roman"/>
                <w:sz w:val="24"/>
                <w:szCs w:val="24"/>
                <w:lang w:eastAsia="ru-RU"/>
              </w:rPr>
            </w:pPr>
          </w:p>
        </w:tc>
      </w:tr>
      <w:tr w:rsidR="00C43972" w:rsidRPr="00C43972" w:rsidTr="006E3A91">
        <w:trPr>
          <w:jc w:val="center"/>
        </w:trPr>
        <w:tc>
          <w:tcPr>
            <w:tcW w:w="5815" w:type="dxa"/>
            <w:shd w:val="clear" w:color="auto" w:fill="auto"/>
          </w:tcPr>
          <w:p w:rsidR="00C43972" w:rsidRPr="00C43972" w:rsidRDefault="00C43972" w:rsidP="00C43972">
            <w:pPr>
              <w:widowControl w:val="0"/>
              <w:ind w:left="-43"/>
              <w:jc w:val="left"/>
              <w:rPr>
                <w:rFonts w:eastAsia="Times New Roman"/>
                <w:sz w:val="24"/>
                <w:szCs w:val="24"/>
                <w:lang w:eastAsia="ru-RU"/>
              </w:rPr>
            </w:pPr>
            <w:r w:rsidRPr="00C43972">
              <w:rPr>
                <w:rFonts w:eastAsia="Times New Roman"/>
                <w:sz w:val="24"/>
                <w:szCs w:val="24"/>
                <w:lang w:eastAsia="ru-RU"/>
              </w:rPr>
              <w:t>- які користуються гормональною контрацепцією</w:t>
            </w:r>
          </w:p>
        </w:tc>
        <w:tc>
          <w:tcPr>
            <w:tcW w:w="1676" w:type="dxa"/>
            <w:shd w:val="clear" w:color="auto" w:fill="auto"/>
          </w:tcPr>
          <w:p w:rsidR="00C43972" w:rsidRPr="00C43972" w:rsidRDefault="00C43972" w:rsidP="00C43972">
            <w:pPr>
              <w:widowControl w:val="0"/>
              <w:jc w:val="left"/>
              <w:rPr>
                <w:rFonts w:eastAsia="Times New Roman"/>
                <w:sz w:val="24"/>
                <w:szCs w:val="24"/>
                <w:lang w:eastAsia="ru-RU"/>
              </w:rPr>
            </w:pPr>
          </w:p>
        </w:tc>
        <w:tc>
          <w:tcPr>
            <w:tcW w:w="1620" w:type="dxa"/>
            <w:shd w:val="clear" w:color="auto" w:fill="auto"/>
          </w:tcPr>
          <w:p w:rsidR="00C43972" w:rsidRPr="00C43972" w:rsidRDefault="00C43972" w:rsidP="00C43972">
            <w:pPr>
              <w:widowControl w:val="0"/>
              <w:jc w:val="left"/>
              <w:rPr>
                <w:rFonts w:eastAsia="Times New Roman"/>
                <w:sz w:val="24"/>
                <w:szCs w:val="24"/>
                <w:lang w:eastAsia="ru-RU"/>
              </w:rPr>
            </w:pPr>
          </w:p>
        </w:tc>
      </w:tr>
      <w:tr w:rsidR="00C43972" w:rsidRPr="00C43972" w:rsidTr="006E3A91">
        <w:trPr>
          <w:jc w:val="center"/>
        </w:trPr>
        <w:tc>
          <w:tcPr>
            <w:tcW w:w="5815" w:type="dxa"/>
            <w:shd w:val="clear" w:color="auto" w:fill="auto"/>
          </w:tcPr>
          <w:p w:rsidR="00C43972" w:rsidRPr="00C43972" w:rsidRDefault="00C43972" w:rsidP="00C43972">
            <w:pPr>
              <w:widowControl w:val="0"/>
              <w:jc w:val="left"/>
              <w:rPr>
                <w:rFonts w:eastAsia="Times New Roman"/>
                <w:iCs/>
                <w:kern w:val="28"/>
                <w:sz w:val="24"/>
                <w:szCs w:val="24"/>
                <w:lang w:eastAsia="ru-RU"/>
              </w:rPr>
            </w:pPr>
            <w:r w:rsidRPr="00C43972">
              <w:rPr>
                <w:rFonts w:eastAsia="Times New Roman"/>
                <w:iCs/>
                <w:kern w:val="28"/>
                <w:sz w:val="24"/>
                <w:szCs w:val="24"/>
                <w:lang w:eastAsia="ru-RU"/>
              </w:rPr>
              <w:t>Своєчасність постановки на облік вагітних</w:t>
            </w:r>
          </w:p>
        </w:tc>
        <w:tc>
          <w:tcPr>
            <w:tcW w:w="1676" w:type="dxa"/>
            <w:shd w:val="clear" w:color="auto" w:fill="auto"/>
          </w:tcPr>
          <w:p w:rsidR="00C43972" w:rsidRPr="00C43972" w:rsidRDefault="00C43972" w:rsidP="00C43972">
            <w:pPr>
              <w:widowControl w:val="0"/>
              <w:jc w:val="left"/>
              <w:rPr>
                <w:rFonts w:eastAsia="Times New Roman"/>
                <w:sz w:val="24"/>
                <w:szCs w:val="24"/>
                <w:lang w:eastAsia="ru-RU"/>
              </w:rPr>
            </w:pPr>
          </w:p>
        </w:tc>
        <w:tc>
          <w:tcPr>
            <w:tcW w:w="1620" w:type="dxa"/>
            <w:shd w:val="clear" w:color="auto" w:fill="auto"/>
          </w:tcPr>
          <w:p w:rsidR="00C43972" w:rsidRPr="00C43972" w:rsidRDefault="00C43972" w:rsidP="00C43972">
            <w:pPr>
              <w:widowControl w:val="0"/>
              <w:jc w:val="left"/>
              <w:rPr>
                <w:rFonts w:eastAsia="Times New Roman"/>
                <w:sz w:val="24"/>
                <w:szCs w:val="24"/>
                <w:lang w:eastAsia="ru-RU"/>
              </w:rPr>
            </w:pPr>
          </w:p>
        </w:tc>
      </w:tr>
      <w:tr w:rsidR="00C43972" w:rsidRPr="00C43972" w:rsidTr="006E3A91">
        <w:trPr>
          <w:jc w:val="center"/>
        </w:trPr>
        <w:tc>
          <w:tcPr>
            <w:tcW w:w="5815" w:type="dxa"/>
            <w:shd w:val="clear" w:color="auto" w:fill="auto"/>
          </w:tcPr>
          <w:p w:rsidR="00C43972" w:rsidRPr="00C43972" w:rsidRDefault="00C43972" w:rsidP="00C43972">
            <w:pPr>
              <w:widowControl w:val="0"/>
              <w:jc w:val="left"/>
              <w:rPr>
                <w:rFonts w:eastAsia="Times New Roman"/>
                <w:iCs/>
                <w:kern w:val="28"/>
                <w:sz w:val="24"/>
                <w:szCs w:val="24"/>
                <w:lang w:eastAsia="ru-RU"/>
              </w:rPr>
            </w:pPr>
            <w:r w:rsidRPr="00C43972">
              <w:rPr>
                <w:rFonts w:eastAsia="Times New Roman"/>
                <w:iCs/>
                <w:kern w:val="28"/>
                <w:sz w:val="24"/>
                <w:szCs w:val="24"/>
                <w:lang w:eastAsia="ru-RU"/>
              </w:rPr>
              <w:t>Ускладнення вагітності: - анемії</w:t>
            </w:r>
          </w:p>
        </w:tc>
        <w:tc>
          <w:tcPr>
            <w:tcW w:w="1676" w:type="dxa"/>
            <w:shd w:val="clear" w:color="auto" w:fill="auto"/>
          </w:tcPr>
          <w:p w:rsidR="00C43972" w:rsidRPr="00C43972" w:rsidRDefault="00C43972" w:rsidP="00C43972">
            <w:pPr>
              <w:widowControl w:val="0"/>
              <w:jc w:val="left"/>
              <w:rPr>
                <w:rFonts w:eastAsia="Times New Roman"/>
                <w:sz w:val="24"/>
                <w:szCs w:val="24"/>
                <w:lang w:eastAsia="ru-RU"/>
              </w:rPr>
            </w:pPr>
          </w:p>
        </w:tc>
        <w:tc>
          <w:tcPr>
            <w:tcW w:w="1620" w:type="dxa"/>
            <w:shd w:val="clear" w:color="auto" w:fill="auto"/>
          </w:tcPr>
          <w:p w:rsidR="00C43972" w:rsidRPr="00C43972" w:rsidRDefault="00C43972" w:rsidP="00C43972">
            <w:pPr>
              <w:widowControl w:val="0"/>
              <w:jc w:val="left"/>
              <w:rPr>
                <w:rFonts w:eastAsia="Times New Roman"/>
                <w:sz w:val="24"/>
                <w:szCs w:val="24"/>
                <w:lang w:eastAsia="ru-RU"/>
              </w:rPr>
            </w:pPr>
          </w:p>
        </w:tc>
      </w:tr>
      <w:tr w:rsidR="00C43972" w:rsidRPr="00C43972" w:rsidTr="006E3A91">
        <w:trPr>
          <w:jc w:val="center"/>
        </w:trPr>
        <w:tc>
          <w:tcPr>
            <w:tcW w:w="5815" w:type="dxa"/>
            <w:shd w:val="clear" w:color="auto" w:fill="auto"/>
          </w:tcPr>
          <w:p w:rsidR="00C43972" w:rsidRPr="00C43972" w:rsidRDefault="00C43972" w:rsidP="00C43972">
            <w:pPr>
              <w:widowControl w:val="0"/>
              <w:jc w:val="left"/>
              <w:rPr>
                <w:rFonts w:eastAsia="Times New Roman"/>
                <w:iCs/>
                <w:kern w:val="28"/>
                <w:sz w:val="24"/>
                <w:szCs w:val="24"/>
                <w:lang w:eastAsia="ru-RU"/>
              </w:rPr>
            </w:pPr>
            <w:r w:rsidRPr="00C43972">
              <w:rPr>
                <w:rFonts w:eastAsia="Times New Roman"/>
                <w:iCs/>
                <w:kern w:val="28"/>
                <w:sz w:val="24"/>
                <w:szCs w:val="24"/>
                <w:lang w:eastAsia="ru-RU"/>
              </w:rPr>
              <w:t>- токсикоз вагітності</w:t>
            </w:r>
          </w:p>
        </w:tc>
        <w:tc>
          <w:tcPr>
            <w:tcW w:w="1676" w:type="dxa"/>
            <w:shd w:val="clear" w:color="auto" w:fill="auto"/>
          </w:tcPr>
          <w:p w:rsidR="00C43972" w:rsidRPr="00C43972" w:rsidRDefault="00C43972" w:rsidP="00C43972">
            <w:pPr>
              <w:widowControl w:val="0"/>
              <w:jc w:val="left"/>
              <w:rPr>
                <w:rFonts w:eastAsia="Times New Roman"/>
                <w:sz w:val="24"/>
                <w:szCs w:val="24"/>
                <w:lang w:eastAsia="ru-RU"/>
              </w:rPr>
            </w:pPr>
          </w:p>
        </w:tc>
        <w:tc>
          <w:tcPr>
            <w:tcW w:w="1620" w:type="dxa"/>
            <w:shd w:val="clear" w:color="auto" w:fill="auto"/>
          </w:tcPr>
          <w:p w:rsidR="00C43972" w:rsidRPr="00C43972" w:rsidRDefault="00C43972" w:rsidP="00C43972">
            <w:pPr>
              <w:widowControl w:val="0"/>
              <w:jc w:val="left"/>
              <w:rPr>
                <w:rFonts w:eastAsia="Times New Roman"/>
                <w:sz w:val="24"/>
                <w:szCs w:val="24"/>
                <w:lang w:eastAsia="ru-RU"/>
              </w:rPr>
            </w:pPr>
          </w:p>
        </w:tc>
      </w:tr>
      <w:tr w:rsidR="00C43972" w:rsidRPr="00C43972" w:rsidTr="006E3A91">
        <w:trPr>
          <w:jc w:val="center"/>
        </w:trPr>
        <w:tc>
          <w:tcPr>
            <w:tcW w:w="5815" w:type="dxa"/>
            <w:shd w:val="clear" w:color="auto" w:fill="auto"/>
          </w:tcPr>
          <w:p w:rsidR="00C43972" w:rsidRPr="00C43972" w:rsidRDefault="00C43972" w:rsidP="00C43972">
            <w:pPr>
              <w:widowControl w:val="0"/>
              <w:jc w:val="left"/>
              <w:rPr>
                <w:rFonts w:eastAsia="Times New Roman"/>
                <w:iCs/>
                <w:kern w:val="28"/>
                <w:sz w:val="24"/>
                <w:szCs w:val="24"/>
                <w:lang w:eastAsia="ru-RU"/>
              </w:rPr>
            </w:pPr>
            <w:r w:rsidRPr="00C43972">
              <w:rPr>
                <w:rFonts w:eastAsia="Times New Roman"/>
                <w:iCs/>
                <w:kern w:val="28"/>
                <w:sz w:val="24"/>
                <w:szCs w:val="24"/>
                <w:lang w:eastAsia="ru-RU"/>
              </w:rPr>
              <w:t>Пре еклампсія і еклампсія</w:t>
            </w:r>
          </w:p>
        </w:tc>
        <w:tc>
          <w:tcPr>
            <w:tcW w:w="1676" w:type="dxa"/>
            <w:shd w:val="clear" w:color="auto" w:fill="auto"/>
          </w:tcPr>
          <w:p w:rsidR="00C43972" w:rsidRPr="00C43972" w:rsidRDefault="00C43972" w:rsidP="00C43972">
            <w:pPr>
              <w:widowControl w:val="0"/>
              <w:jc w:val="left"/>
              <w:rPr>
                <w:rFonts w:eastAsia="Times New Roman"/>
                <w:sz w:val="24"/>
                <w:szCs w:val="24"/>
                <w:lang w:eastAsia="ru-RU"/>
              </w:rPr>
            </w:pPr>
          </w:p>
        </w:tc>
        <w:tc>
          <w:tcPr>
            <w:tcW w:w="1620" w:type="dxa"/>
            <w:shd w:val="clear" w:color="auto" w:fill="auto"/>
          </w:tcPr>
          <w:p w:rsidR="00C43972" w:rsidRPr="00C43972" w:rsidRDefault="00C43972" w:rsidP="00C43972">
            <w:pPr>
              <w:widowControl w:val="0"/>
              <w:jc w:val="left"/>
              <w:rPr>
                <w:rFonts w:eastAsia="Times New Roman"/>
                <w:sz w:val="24"/>
                <w:szCs w:val="24"/>
                <w:lang w:eastAsia="ru-RU"/>
              </w:rPr>
            </w:pPr>
          </w:p>
        </w:tc>
      </w:tr>
      <w:tr w:rsidR="00C43972" w:rsidRPr="00C43972" w:rsidTr="006E3A91">
        <w:trPr>
          <w:jc w:val="center"/>
        </w:trPr>
        <w:tc>
          <w:tcPr>
            <w:tcW w:w="5815" w:type="dxa"/>
            <w:shd w:val="clear" w:color="auto" w:fill="auto"/>
          </w:tcPr>
          <w:p w:rsidR="00C43972" w:rsidRPr="00C43972" w:rsidRDefault="00C43972" w:rsidP="00C43972">
            <w:pPr>
              <w:widowControl w:val="0"/>
              <w:jc w:val="left"/>
              <w:rPr>
                <w:rFonts w:eastAsia="Times New Roman"/>
                <w:sz w:val="24"/>
                <w:szCs w:val="24"/>
                <w:lang w:eastAsia="ru-RU"/>
              </w:rPr>
            </w:pPr>
            <w:r w:rsidRPr="00C43972">
              <w:rPr>
                <w:rFonts w:eastAsia="Times New Roman"/>
                <w:sz w:val="24"/>
                <w:szCs w:val="24"/>
                <w:lang w:eastAsia="ru-RU"/>
              </w:rPr>
              <w:t>Частота нормальних пологів</w:t>
            </w:r>
          </w:p>
        </w:tc>
        <w:tc>
          <w:tcPr>
            <w:tcW w:w="1676" w:type="dxa"/>
            <w:shd w:val="clear" w:color="auto" w:fill="auto"/>
          </w:tcPr>
          <w:p w:rsidR="00C43972" w:rsidRPr="00C43972" w:rsidRDefault="00C43972" w:rsidP="00C43972">
            <w:pPr>
              <w:widowControl w:val="0"/>
              <w:jc w:val="left"/>
              <w:rPr>
                <w:rFonts w:eastAsia="Times New Roman"/>
                <w:sz w:val="24"/>
                <w:szCs w:val="24"/>
                <w:lang w:eastAsia="ru-RU"/>
              </w:rPr>
            </w:pPr>
          </w:p>
        </w:tc>
        <w:tc>
          <w:tcPr>
            <w:tcW w:w="1620" w:type="dxa"/>
            <w:shd w:val="clear" w:color="auto" w:fill="auto"/>
          </w:tcPr>
          <w:p w:rsidR="00C43972" w:rsidRPr="00C43972" w:rsidRDefault="00C43972" w:rsidP="00C43972">
            <w:pPr>
              <w:widowControl w:val="0"/>
              <w:jc w:val="left"/>
              <w:rPr>
                <w:rFonts w:eastAsia="Times New Roman"/>
                <w:sz w:val="24"/>
                <w:szCs w:val="24"/>
                <w:lang w:eastAsia="ru-RU"/>
              </w:rPr>
            </w:pPr>
          </w:p>
        </w:tc>
      </w:tr>
      <w:tr w:rsidR="00C43972" w:rsidRPr="00C43972" w:rsidTr="006E3A91">
        <w:trPr>
          <w:jc w:val="center"/>
        </w:trPr>
        <w:tc>
          <w:tcPr>
            <w:tcW w:w="5815" w:type="dxa"/>
            <w:shd w:val="clear" w:color="auto" w:fill="auto"/>
          </w:tcPr>
          <w:p w:rsidR="00C43972" w:rsidRPr="00C43972" w:rsidRDefault="00C43972" w:rsidP="00C43972">
            <w:pPr>
              <w:widowControl w:val="0"/>
              <w:jc w:val="left"/>
              <w:rPr>
                <w:rFonts w:eastAsia="Times New Roman"/>
                <w:sz w:val="24"/>
                <w:szCs w:val="24"/>
                <w:lang w:eastAsia="ru-RU"/>
              </w:rPr>
            </w:pPr>
            <w:r w:rsidRPr="00C43972">
              <w:rPr>
                <w:rFonts w:eastAsia="Times New Roman"/>
                <w:sz w:val="24"/>
                <w:szCs w:val="24"/>
                <w:lang w:eastAsia="ru-RU"/>
              </w:rPr>
              <w:t>Частота передчасних пологів</w:t>
            </w:r>
          </w:p>
        </w:tc>
        <w:tc>
          <w:tcPr>
            <w:tcW w:w="1676" w:type="dxa"/>
            <w:shd w:val="clear" w:color="auto" w:fill="auto"/>
          </w:tcPr>
          <w:p w:rsidR="00C43972" w:rsidRPr="00C43972" w:rsidRDefault="00C43972" w:rsidP="00C43972">
            <w:pPr>
              <w:widowControl w:val="0"/>
              <w:jc w:val="left"/>
              <w:rPr>
                <w:rFonts w:eastAsia="Times New Roman"/>
                <w:sz w:val="24"/>
                <w:szCs w:val="24"/>
                <w:lang w:eastAsia="ru-RU"/>
              </w:rPr>
            </w:pPr>
          </w:p>
        </w:tc>
        <w:tc>
          <w:tcPr>
            <w:tcW w:w="1620" w:type="dxa"/>
            <w:shd w:val="clear" w:color="auto" w:fill="auto"/>
          </w:tcPr>
          <w:p w:rsidR="00C43972" w:rsidRPr="00C43972" w:rsidRDefault="00C43972" w:rsidP="00C43972">
            <w:pPr>
              <w:widowControl w:val="0"/>
              <w:jc w:val="left"/>
              <w:rPr>
                <w:rFonts w:eastAsia="Times New Roman"/>
                <w:sz w:val="24"/>
                <w:szCs w:val="24"/>
                <w:lang w:eastAsia="ru-RU"/>
              </w:rPr>
            </w:pPr>
          </w:p>
        </w:tc>
      </w:tr>
      <w:tr w:rsidR="00C43972" w:rsidRPr="00C43972" w:rsidTr="006E3A91">
        <w:trPr>
          <w:jc w:val="center"/>
        </w:trPr>
        <w:tc>
          <w:tcPr>
            <w:tcW w:w="5815" w:type="dxa"/>
            <w:shd w:val="clear" w:color="auto" w:fill="auto"/>
          </w:tcPr>
          <w:p w:rsidR="00C43972" w:rsidRPr="00C43972" w:rsidRDefault="00C43972" w:rsidP="00C43972">
            <w:pPr>
              <w:widowControl w:val="0"/>
              <w:rPr>
                <w:rFonts w:eastAsia="Times New Roman"/>
                <w:sz w:val="24"/>
                <w:szCs w:val="24"/>
                <w:lang w:eastAsia="ru-RU"/>
              </w:rPr>
            </w:pPr>
            <w:r w:rsidRPr="00C43972">
              <w:rPr>
                <w:rFonts w:eastAsia="Times New Roman"/>
                <w:sz w:val="24"/>
                <w:szCs w:val="24"/>
                <w:lang w:eastAsia="ru-RU"/>
              </w:rPr>
              <w:t>Індекс концентрації розродження вагітних з вадами серця у ЗПД ІІІ рівня</w:t>
            </w:r>
          </w:p>
        </w:tc>
        <w:tc>
          <w:tcPr>
            <w:tcW w:w="1676" w:type="dxa"/>
            <w:shd w:val="clear" w:color="auto" w:fill="auto"/>
          </w:tcPr>
          <w:p w:rsidR="00C43972" w:rsidRPr="00C43972" w:rsidRDefault="00C43972" w:rsidP="00C43972">
            <w:pPr>
              <w:widowControl w:val="0"/>
              <w:jc w:val="left"/>
              <w:rPr>
                <w:rFonts w:eastAsia="Times New Roman"/>
                <w:sz w:val="24"/>
                <w:szCs w:val="24"/>
                <w:lang w:eastAsia="ru-RU"/>
              </w:rPr>
            </w:pPr>
          </w:p>
        </w:tc>
        <w:tc>
          <w:tcPr>
            <w:tcW w:w="1620" w:type="dxa"/>
            <w:shd w:val="clear" w:color="auto" w:fill="auto"/>
          </w:tcPr>
          <w:p w:rsidR="00C43972" w:rsidRPr="00C43972" w:rsidRDefault="00C43972" w:rsidP="00C43972">
            <w:pPr>
              <w:widowControl w:val="0"/>
              <w:jc w:val="left"/>
              <w:rPr>
                <w:rFonts w:eastAsia="Times New Roman"/>
                <w:sz w:val="24"/>
                <w:szCs w:val="24"/>
                <w:lang w:eastAsia="ru-RU"/>
              </w:rPr>
            </w:pPr>
          </w:p>
        </w:tc>
      </w:tr>
      <w:tr w:rsidR="00C43972" w:rsidRPr="00C43972" w:rsidTr="006E3A91">
        <w:trPr>
          <w:jc w:val="center"/>
        </w:trPr>
        <w:tc>
          <w:tcPr>
            <w:tcW w:w="5815" w:type="dxa"/>
            <w:shd w:val="clear" w:color="auto" w:fill="auto"/>
          </w:tcPr>
          <w:p w:rsidR="00C43972" w:rsidRPr="00C43972" w:rsidRDefault="00C43972" w:rsidP="00C43972">
            <w:pPr>
              <w:widowControl w:val="0"/>
              <w:jc w:val="left"/>
              <w:rPr>
                <w:rFonts w:eastAsia="Times New Roman"/>
                <w:sz w:val="24"/>
                <w:szCs w:val="24"/>
                <w:lang w:eastAsia="ru-RU"/>
              </w:rPr>
            </w:pPr>
            <w:r w:rsidRPr="00C43972">
              <w:rPr>
                <w:rFonts w:eastAsia="Times New Roman"/>
                <w:sz w:val="24"/>
                <w:szCs w:val="24"/>
                <w:lang w:eastAsia="ru-RU"/>
              </w:rPr>
              <w:t>Індекс концентрації розродження вагітних з цукровим діабетом у ЗПД ІІІ рівня</w:t>
            </w:r>
          </w:p>
        </w:tc>
        <w:tc>
          <w:tcPr>
            <w:tcW w:w="1676" w:type="dxa"/>
            <w:shd w:val="clear" w:color="auto" w:fill="auto"/>
          </w:tcPr>
          <w:p w:rsidR="00C43972" w:rsidRPr="00C43972" w:rsidRDefault="00C43972" w:rsidP="00C43972">
            <w:pPr>
              <w:widowControl w:val="0"/>
              <w:rPr>
                <w:rFonts w:eastAsia="Times New Roman"/>
                <w:sz w:val="24"/>
                <w:szCs w:val="24"/>
                <w:lang w:eastAsia="ru-RU"/>
              </w:rPr>
            </w:pPr>
          </w:p>
        </w:tc>
        <w:tc>
          <w:tcPr>
            <w:tcW w:w="1620" w:type="dxa"/>
            <w:shd w:val="clear" w:color="auto" w:fill="auto"/>
          </w:tcPr>
          <w:p w:rsidR="00C43972" w:rsidRPr="00C43972" w:rsidRDefault="00C43972" w:rsidP="00C43972">
            <w:pPr>
              <w:widowControl w:val="0"/>
              <w:rPr>
                <w:rFonts w:eastAsia="Times New Roman"/>
                <w:sz w:val="24"/>
                <w:szCs w:val="24"/>
                <w:lang w:eastAsia="ru-RU"/>
              </w:rPr>
            </w:pPr>
          </w:p>
        </w:tc>
      </w:tr>
      <w:tr w:rsidR="00C43972" w:rsidRPr="00C43972" w:rsidTr="006E3A91">
        <w:trPr>
          <w:jc w:val="center"/>
        </w:trPr>
        <w:tc>
          <w:tcPr>
            <w:tcW w:w="5815" w:type="dxa"/>
            <w:shd w:val="clear" w:color="auto" w:fill="auto"/>
          </w:tcPr>
          <w:p w:rsidR="00C43972" w:rsidRPr="00C43972" w:rsidRDefault="00C43972" w:rsidP="00C43972">
            <w:pPr>
              <w:widowControl w:val="0"/>
              <w:jc w:val="left"/>
              <w:rPr>
                <w:rFonts w:eastAsia="Times New Roman"/>
                <w:sz w:val="24"/>
                <w:szCs w:val="24"/>
                <w:lang w:eastAsia="ru-RU"/>
              </w:rPr>
            </w:pPr>
            <w:r w:rsidRPr="00C43972">
              <w:rPr>
                <w:rFonts w:eastAsia="Times New Roman"/>
                <w:sz w:val="24"/>
                <w:szCs w:val="24"/>
                <w:lang w:eastAsia="ru-RU"/>
              </w:rPr>
              <w:t>Індекс концентрації розродження вагітних з  пре - еклампсією і еклампсією у ЗПД ІІ-ІІІ рівнів</w:t>
            </w:r>
          </w:p>
        </w:tc>
        <w:tc>
          <w:tcPr>
            <w:tcW w:w="1676" w:type="dxa"/>
            <w:shd w:val="clear" w:color="auto" w:fill="auto"/>
          </w:tcPr>
          <w:p w:rsidR="00C43972" w:rsidRPr="00C43972" w:rsidRDefault="00C43972" w:rsidP="00C43972">
            <w:pPr>
              <w:widowControl w:val="0"/>
              <w:jc w:val="left"/>
              <w:rPr>
                <w:rFonts w:eastAsia="Times New Roman"/>
                <w:sz w:val="24"/>
                <w:szCs w:val="24"/>
                <w:lang w:eastAsia="ru-RU"/>
              </w:rPr>
            </w:pPr>
          </w:p>
        </w:tc>
        <w:tc>
          <w:tcPr>
            <w:tcW w:w="1620" w:type="dxa"/>
            <w:shd w:val="clear" w:color="auto" w:fill="auto"/>
          </w:tcPr>
          <w:p w:rsidR="00C43972" w:rsidRPr="00C43972" w:rsidRDefault="00C43972" w:rsidP="00C43972">
            <w:pPr>
              <w:widowControl w:val="0"/>
              <w:jc w:val="left"/>
              <w:rPr>
                <w:rFonts w:eastAsia="Times New Roman"/>
                <w:sz w:val="24"/>
                <w:szCs w:val="24"/>
                <w:lang w:eastAsia="ru-RU"/>
              </w:rPr>
            </w:pPr>
          </w:p>
        </w:tc>
      </w:tr>
      <w:tr w:rsidR="00C43972" w:rsidRPr="00C43972" w:rsidTr="006E3A91">
        <w:trPr>
          <w:jc w:val="center"/>
        </w:trPr>
        <w:tc>
          <w:tcPr>
            <w:tcW w:w="5815" w:type="dxa"/>
            <w:shd w:val="clear" w:color="auto" w:fill="auto"/>
          </w:tcPr>
          <w:p w:rsidR="00C43972" w:rsidRPr="00C43972" w:rsidRDefault="00C43972" w:rsidP="00C43972">
            <w:pPr>
              <w:widowControl w:val="0"/>
              <w:jc w:val="left"/>
              <w:rPr>
                <w:rFonts w:eastAsia="Times New Roman"/>
                <w:sz w:val="24"/>
                <w:szCs w:val="24"/>
                <w:lang w:eastAsia="ru-RU"/>
              </w:rPr>
            </w:pPr>
            <w:r w:rsidRPr="00C43972">
              <w:rPr>
                <w:rFonts w:eastAsia="Times New Roman"/>
                <w:sz w:val="24"/>
                <w:szCs w:val="24"/>
                <w:lang w:eastAsia="ru-RU"/>
              </w:rPr>
              <w:t>Частота розроджень вагітних шляхом кесаревого розтину</w:t>
            </w:r>
          </w:p>
        </w:tc>
        <w:tc>
          <w:tcPr>
            <w:tcW w:w="1676" w:type="dxa"/>
            <w:shd w:val="clear" w:color="auto" w:fill="auto"/>
          </w:tcPr>
          <w:p w:rsidR="00C43972" w:rsidRPr="00C43972" w:rsidRDefault="00C43972" w:rsidP="00C43972">
            <w:pPr>
              <w:widowControl w:val="0"/>
              <w:jc w:val="left"/>
              <w:rPr>
                <w:rFonts w:eastAsia="Times New Roman"/>
                <w:sz w:val="24"/>
                <w:szCs w:val="24"/>
                <w:lang w:eastAsia="ru-RU"/>
              </w:rPr>
            </w:pPr>
          </w:p>
        </w:tc>
        <w:tc>
          <w:tcPr>
            <w:tcW w:w="1620" w:type="dxa"/>
            <w:shd w:val="clear" w:color="auto" w:fill="auto"/>
          </w:tcPr>
          <w:p w:rsidR="00C43972" w:rsidRPr="00C43972" w:rsidRDefault="00C43972" w:rsidP="00C43972">
            <w:pPr>
              <w:widowControl w:val="0"/>
              <w:jc w:val="left"/>
              <w:rPr>
                <w:rFonts w:eastAsia="Times New Roman"/>
                <w:sz w:val="24"/>
                <w:szCs w:val="24"/>
                <w:lang w:eastAsia="ru-RU"/>
              </w:rPr>
            </w:pPr>
          </w:p>
        </w:tc>
      </w:tr>
      <w:tr w:rsidR="00C43972" w:rsidRPr="00C43972" w:rsidTr="006E3A91">
        <w:trPr>
          <w:jc w:val="center"/>
        </w:trPr>
        <w:tc>
          <w:tcPr>
            <w:tcW w:w="5815" w:type="dxa"/>
            <w:shd w:val="clear" w:color="auto" w:fill="auto"/>
          </w:tcPr>
          <w:p w:rsidR="00C43972" w:rsidRPr="00C43972" w:rsidRDefault="00C43972" w:rsidP="00C43972">
            <w:pPr>
              <w:widowControl w:val="0"/>
              <w:jc w:val="left"/>
              <w:rPr>
                <w:rFonts w:eastAsia="Times New Roman"/>
                <w:sz w:val="24"/>
                <w:szCs w:val="24"/>
                <w:lang w:eastAsia="ru-RU"/>
              </w:rPr>
            </w:pPr>
            <w:r w:rsidRPr="00C43972">
              <w:rPr>
                <w:rFonts w:eastAsia="Times New Roman"/>
                <w:sz w:val="24"/>
                <w:szCs w:val="24"/>
                <w:lang w:eastAsia="ru-RU"/>
              </w:rPr>
              <w:t>Частота родостимуляцій в пологах</w:t>
            </w:r>
          </w:p>
        </w:tc>
        <w:tc>
          <w:tcPr>
            <w:tcW w:w="1676" w:type="dxa"/>
            <w:shd w:val="clear" w:color="auto" w:fill="auto"/>
          </w:tcPr>
          <w:p w:rsidR="00C43972" w:rsidRPr="00C43972" w:rsidRDefault="00C43972" w:rsidP="00C43972">
            <w:pPr>
              <w:widowControl w:val="0"/>
              <w:jc w:val="left"/>
              <w:rPr>
                <w:rFonts w:eastAsia="Times New Roman"/>
                <w:sz w:val="24"/>
                <w:szCs w:val="24"/>
                <w:lang w:eastAsia="ru-RU"/>
              </w:rPr>
            </w:pPr>
          </w:p>
        </w:tc>
        <w:tc>
          <w:tcPr>
            <w:tcW w:w="1620" w:type="dxa"/>
            <w:shd w:val="clear" w:color="auto" w:fill="auto"/>
          </w:tcPr>
          <w:p w:rsidR="00C43972" w:rsidRPr="00C43972" w:rsidRDefault="00C43972" w:rsidP="00C43972">
            <w:pPr>
              <w:widowControl w:val="0"/>
              <w:jc w:val="left"/>
              <w:rPr>
                <w:rFonts w:eastAsia="Times New Roman"/>
                <w:sz w:val="24"/>
                <w:szCs w:val="24"/>
                <w:lang w:eastAsia="ru-RU"/>
              </w:rPr>
            </w:pPr>
          </w:p>
        </w:tc>
      </w:tr>
      <w:tr w:rsidR="00C43972" w:rsidRPr="00C43972" w:rsidTr="006E3A91">
        <w:trPr>
          <w:jc w:val="center"/>
        </w:trPr>
        <w:tc>
          <w:tcPr>
            <w:tcW w:w="5815" w:type="dxa"/>
            <w:shd w:val="clear" w:color="auto" w:fill="auto"/>
          </w:tcPr>
          <w:p w:rsidR="00C43972" w:rsidRPr="00C43972" w:rsidRDefault="00C43972" w:rsidP="00C43972">
            <w:pPr>
              <w:widowControl w:val="0"/>
              <w:jc w:val="left"/>
              <w:rPr>
                <w:rFonts w:eastAsia="Times New Roman"/>
                <w:sz w:val="24"/>
                <w:szCs w:val="24"/>
                <w:lang w:eastAsia="ru-RU"/>
              </w:rPr>
            </w:pPr>
            <w:r w:rsidRPr="00C43972">
              <w:rPr>
                <w:rFonts w:eastAsia="Times New Roman"/>
                <w:sz w:val="24"/>
                <w:szCs w:val="24"/>
                <w:lang w:eastAsia="ru-RU"/>
              </w:rPr>
              <w:t>Частота інструментальних пологів: вакуум-екстракція, акушерські щипці</w:t>
            </w:r>
          </w:p>
        </w:tc>
        <w:tc>
          <w:tcPr>
            <w:tcW w:w="1676" w:type="dxa"/>
            <w:shd w:val="clear" w:color="auto" w:fill="auto"/>
          </w:tcPr>
          <w:p w:rsidR="00C43972" w:rsidRPr="00C43972" w:rsidRDefault="00C43972" w:rsidP="00C43972">
            <w:pPr>
              <w:widowControl w:val="0"/>
              <w:jc w:val="left"/>
              <w:rPr>
                <w:rFonts w:eastAsia="Times New Roman"/>
                <w:sz w:val="24"/>
                <w:szCs w:val="24"/>
                <w:lang w:eastAsia="ru-RU"/>
              </w:rPr>
            </w:pPr>
          </w:p>
        </w:tc>
        <w:tc>
          <w:tcPr>
            <w:tcW w:w="1620" w:type="dxa"/>
            <w:shd w:val="clear" w:color="auto" w:fill="auto"/>
          </w:tcPr>
          <w:p w:rsidR="00C43972" w:rsidRPr="00C43972" w:rsidRDefault="00C43972" w:rsidP="00C43972">
            <w:pPr>
              <w:widowControl w:val="0"/>
              <w:jc w:val="left"/>
              <w:rPr>
                <w:rFonts w:eastAsia="Times New Roman"/>
                <w:sz w:val="24"/>
                <w:szCs w:val="24"/>
                <w:lang w:eastAsia="ru-RU"/>
              </w:rPr>
            </w:pPr>
          </w:p>
        </w:tc>
      </w:tr>
      <w:tr w:rsidR="00C43972" w:rsidRPr="00C43972" w:rsidTr="006E3A91">
        <w:trPr>
          <w:jc w:val="center"/>
        </w:trPr>
        <w:tc>
          <w:tcPr>
            <w:tcW w:w="5815" w:type="dxa"/>
            <w:shd w:val="clear" w:color="auto" w:fill="auto"/>
          </w:tcPr>
          <w:p w:rsidR="00C43972" w:rsidRPr="00C43972" w:rsidRDefault="00C43972" w:rsidP="00C43972">
            <w:pPr>
              <w:widowControl w:val="0"/>
              <w:jc w:val="left"/>
              <w:rPr>
                <w:rFonts w:eastAsia="Times New Roman"/>
                <w:sz w:val="24"/>
                <w:szCs w:val="24"/>
                <w:lang w:eastAsia="ru-RU"/>
              </w:rPr>
            </w:pPr>
            <w:r w:rsidRPr="00C43972">
              <w:rPr>
                <w:rFonts w:eastAsia="Times New Roman"/>
                <w:sz w:val="24"/>
                <w:szCs w:val="24"/>
                <w:lang w:eastAsia="ru-RU"/>
              </w:rPr>
              <w:t>Частота післяпологового сепсису і генералізованої післяпологової інфекції</w:t>
            </w:r>
          </w:p>
        </w:tc>
        <w:tc>
          <w:tcPr>
            <w:tcW w:w="1676" w:type="dxa"/>
            <w:shd w:val="clear" w:color="auto" w:fill="auto"/>
          </w:tcPr>
          <w:p w:rsidR="00C43972" w:rsidRPr="00C43972" w:rsidRDefault="00C43972" w:rsidP="00C43972">
            <w:pPr>
              <w:widowControl w:val="0"/>
              <w:jc w:val="left"/>
              <w:rPr>
                <w:rFonts w:eastAsia="Times New Roman"/>
                <w:sz w:val="24"/>
                <w:szCs w:val="24"/>
                <w:lang w:eastAsia="ru-RU"/>
              </w:rPr>
            </w:pPr>
          </w:p>
        </w:tc>
        <w:tc>
          <w:tcPr>
            <w:tcW w:w="1620" w:type="dxa"/>
            <w:shd w:val="clear" w:color="auto" w:fill="auto"/>
          </w:tcPr>
          <w:p w:rsidR="00C43972" w:rsidRPr="00C43972" w:rsidRDefault="00C43972" w:rsidP="00C43972">
            <w:pPr>
              <w:widowControl w:val="0"/>
              <w:jc w:val="left"/>
              <w:rPr>
                <w:rFonts w:eastAsia="Times New Roman"/>
                <w:sz w:val="24"/>
                <w:szCs w:val="24"/>
                <w:lang w:eastAsia="ru-RU"/>
              </w:rPr>
            </w:pPr>
          </w:p>
        </w:tc>
      </w:tr>
      <w:tr w:rsidR="00C43972" w:rsidRPr="00C43972" w:rsidTr="006E3A91">
        <w:trPr>
          <w:jc w:val="center"/>
        </w:trPr>
        <w:tc>
          <w:tcPr>
            <w:tcW w:w="5815" w:type="dxa"/>
            <w:shd w:val="clear" w:color="auto" w:fill="auto"/>
          </w:tcPr>
          <w:p w:rsidR="00C43972" w:rsidRPr="00C43972" w:rsidRDefault="00C43972" w:rsidP="00C43972">
            <w:pPr>
              <w:widowControl w:val="0"/>
              <w:jc w:val="left"/>
              <w:rPr>
                <w:rFonts w:eastAsia="Times New Roman"/>
                <w:sz w:val="24"/>
                <w:szCs w:val="24"/>
                <w:lang w:eastAsia="ru-RU"/>
              </w:rPr>
            </w:pPr>
            <w:r w:rsidRPr="00C43972">
              <w:rPr>
                <w:rFonts w:eastAsia="Times New Roman"/>
                <w:sz w:val="24"/>
                <w:szCs w:val="24"/>
                <w:lang w:eastAsia="ru-RU"/>
              </w:rPr>
              <w:t>Частота к</w:t>
            </w:r>
            <w:r w:rsidRPr="00C43972">
              <w:rPr>
                <w:rFonts w:eastAsia="Times New Roman"/>
                <w:kern w:val="24"/>
                <w:sz w:val="24"/>
                <w:szCs w:val="24"/>
                <w:lang w:eastAsia="ru-RU"/>
              </w:rPr>
              <w:t>ровотеч в послідовому і післяродовому періодах</w:t>
            </w:r>
          </w:p>
        </w:tc>
        <w:tc>
          <w:tcPr>
            <w:tcW w:w="1676" w:type="dxa"/>
            <w:shd w:val="clear" w:color="auto" w:fill="auto"/>
          </w:tcPr>
          <w:p w:rsidR="00C43972" w:rsidRPr="00C43972" w:rsidRDefault="00C43972" w:rsidP="00C43972">
            <w:pPr>
              <w:widowControl w:val="0"/>
              <w:jc w:val="left"/>
              <w:rPr>
                <w:rFonts w:eastAsia="Times New Roman"/>
                <w:sz w:val="24"/>
                <w:szCs w:val="24"/>
                <w:lang w:eastAsia="ru-RU"/>
              </w:rPr>
            </w:pPr>
          </w:p>
        </w:tc>
        <w:tc>
          <w:tcPr>
            <w:tcW w:w="1620" w:type="dxa"/>
            <w:shd w:val="clear" w:color="auto" w:fill="auto"/>
          </w:tcPr>
          <w:p w:rsidR="00C43972" w:rsidRPr="00C43972" w:rsidRDefault="00C43972" w:rsidP="00C43972">
            <w:pPr>
              <w:widowControl w:val="0"/>
              <w:jc w:val="left"/>
              <w:rPr>
                <w:rFonts w:eastAsia="Times New Roman"/>
                <w:sz w:val="24"/>
                <w:szCs w:val="24"/>
                <w:lang w:eastAsia="ru-RU"/>
              </w:rPr>
            </w:pPr>
          </w:p>
        </w:tc>
      </w:tr>
      <w:tr w:rsidR="00C43972" w:rsidRPr="00C43972" w:rsidTr="006E3A91">
        <w:trPr>
          <w:jc w:val="center"/>
        </w:trPr>
        <w:tc>
          <w:tcPr>
            <w:tcW w:w="5815" w:type="dxa"/>
            <w:shd w:val="clear" w:color="auto" w:fill="auto"/>
          </w:tcPr>
          <w:p w:rsidR="00C43972" w:rsidRPr="00C43972" w:rsidRDefault="00C43972" w:rsidP="00C43972">
            <w:pPr>
              <w:widowControl w:val="0"/>
              <w:jc w:val="left"/>
              <w:rPr>
                <w:rFonts w:eastAsia="Times New Roman"/>
                <w:sz w:val="24"/>
                <w:szCs w:val="24"/>
                <w:lang w:eastAsia="ru-RU"/>
              </w:rPr>
            </w:pPr>
            <w:r w:rsidRPr="00C43972">
              <w:rPr>
                <w:rFonts w:eastAsia="Times New Roman"/>
                <w:sz w:val="24"/>
                <w:szCs w:val="24"/>
                <w:lang w:eastAsia="ru-RU"/>
              </w:rPr>
              <w:t>Частота екстирпацій та надпіхвової ампутації матки</w:t>
            </w:r>
          </w:p>
        </w:tc>
        <w:tc>
          <w:tcPr>
            <w:tcW w:w="1676" w:type="dxa"/>
            <w:shd w:val="clear" w:color="auto" w:fill="auto"/>
          </w:tcPr>
          <w:p w:rsidR="00C43972" w:rsidRPr="00C43972" w:rsidRDefault="00C43972" w:rsidP="00C43972">
            <w:pPr>
              <w:widowControl w:val="0"/>
              <w:jc w:val="left"/>
              <w:rPr>
                <w:rFonts w:eastAsia="Times New Roman"/>
                <w:sz w:val="24"/>
                <w:szCs w:val="24"/>
                <w:lang w:eastAsia="ru-RU"/>
              </w:rPr>
            </w:pPr>
          </w:p>
        </w:tc>
        <w:tc>
          <w:tcPr>
            <w:tcW w:w="1620" w:type="dxa"/>
            <w:shd w:val="clear" w:color="auto" w:fill="auto"/>
          </w:tcPr>
          <w:p w:rsidR="00C43972" w:rsidRPr="00C43972" w:rsidRDefault="00C43972" w:rsidP="00C43972">
            <w:pPr>
              <w:widowControl w:val="0"/>
              <w:jc w:val="left"/>
              <w:rPr>
                <w:rFonts w:eastAsia="Times New Roman"/>
                <w:sz w:val="24"/>
                <w:szCs w:val="24"/>
                <w:lang w:eastAsia="ru-RU"/>
              </w:rPr>
            </w:pPr>
          </w:p>
        </w:tc>
      </w:tr>
    </w:tbl>
    <w:p w:rsidR="00FD769A" w:rsidRDefault="00FD769A" w:rsidP="00442EEC">
      <w:pPr>
        <w:rPr>
          <w:i/>
          <w:lang w:val="ru-RU"/>
        </w:rPr>
      </w:pPr>
    </w:p>
    <w:p w:rsidR="00691330" w:rsidRPr="00691330" w:rsidRDefault="00691330" w:rsidP="00442EEC">
      <w:pPr>
        <w:pageBreakBefore/>
        <w:jc w:val="right"/>
        <w:rPr>
          <w:i/>
          <w:lang w:val="ru-RU"/>
        </w:rPr>
      </w:pPr>
      <w:r w:rsidRPr="00691330">
        <w:rPr>
          <w:i/>
          <w:lang w:val="ru-RU"/>
        </w:rPr>
        <w:lastRenderedPageBreak/>
        <w:t>Продовження додаток Е-2</w:t>
      </w:r>
    </w:p>
    <w:tbl>
      <w:tblPr>
        <w:tblW w:w="911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815"/>
        <w:gridCol w:w="1676"/>
        <w:gridCol w:w="1620"/>
      </w:tblGrid>
      <w:tr w:rsidR="00C43972" w:rsidRPr="00C43972" w:rsidTr="006E3A91">
        <w:trPr>
          <w:jc w:val="center"/>
        </w:trPr>
        <w:tc>
          <w:tcPr>
            <w:tcW w:w="5815" w:type="dxa"/>
            <w:shd w:val="clear" w:color="auto" w:fill="auto"/>
          </w:tcPr>
          <w:p w:rsidR="00C43972" w:rsidRPr="00C43972" w:rsidRDefault="00C43972" w:rsidP="00C43972">
            <w:pPr>
              <w:widowControl w:val="0"/>
              <w:jc w:val="left"/>
              <w:rPr>
                <w:rFonts w:eastAsia="Times New Roman"/>
                <w:sz w:val="24"/>
                <w:szCs w:val="24"/>
                <w:lang w:eastAsia="ru-RU"/>
              </w:rPr>
            </w:pPr>
            <w:r w:rsidRPr="00C43972">
              <w:rPr>
                <w:rFonts w:eastAsia="Times New Roman"/>
                <w:sz w:val="24"/>
                <w:szCs w:val="24"/>
                <w:lang w:eastAsia="ru-RU"/>
              </w:rPr>
              <w:t>Частота епізіотомій</w:t>
            </w:r>
          </w:p>
        </w:tc>
        <w:tc>
          <w:tcPr>
            <w:tcW w:w="1676" w:type="dxa"/>
            <w:shd w:val="clear" w:color="auto" w:fill="auto"/>
          </w:tcPr>
          <w:p w:rsidR="00C43972" w:rsidRPr="00C43972" w:rsidRDefault="00C43972" w:rsidP="00C43972">
            <w:pPr>
              <w:widowControl w:val="0"/>
              <w:jc w:val="left"/>
              <w:rPr>
                <w:rFonts w:eastAsia="Times New Roman"/>
                <w:sz w:val="24"/>
                <w:szCs w:val="24"/>
                <w:lang w:eastAsia="ru-RU"/>
              </w:rPr>
            </w:pPr>
          </w:p>
        </w:tc>
        <w:tc>
          <w:tcPr>
            <w:tcW w:w="1620" w:type="dxa"/>
            <w:shd w:val="clear" w:color="auto" w:fill="auto"/>
          </w:tcPr>
          <w:p w:rsidR="00C43972" w:rsidRPr="00C43972" w:rsidRDefault="00C43972" w:rsidP="00C43972">
            <w:pPr>
              <w:widowControl w:val="0"/>
              <w:jc w:val="left"/>
              <w:rPr>
                <w:rFonts w:eastAsia="Times New Roman"/>
                <w:sz w:val="24"/>
                <w:szCs w:val="24"/>
                <w:lang w:eastAsia="ru-RU"/>
              </w:rPr>
            </w:pPr>
          </w:p>
        </w:tc>
      </w:tr>
      <w:tr w:rsidR="00C43972" w:rsidRPr="00C43972" w:rsidTr="006E3A91">
        <w:trPr>
          <w:jc w:val="center"/>
        </w:trPr>
        <w:tc>
          <w:tcPr>
            <w:tcW w:w="5815" w:type="dxa"/>
            <w:shd w:val="clear" w:color="auto" w:fill="auto"/>
          </w:tcPr>
          <w:p w:rsidR="00C43972" w:rsidRPr="00C43972" w:rsidRDefault="00C43972" w:rsidP="00C43972">
            <w:pPr>
              <w:widowControl w:val="0"/>
              <w:jc w:val="left"/>
              <w:rPr>
                <w:rFonts w:eastAsia="Times New Roman"/>
                <w:sz w:val="24"/>
                <w:szCs w:val="24"/>
                <w:lang w:eastAsia="ru-RU"/>
              </w:rPr>
            </w:pPr>
            <w:r w:rsidRPr="00C43972">
              <w:rPr>
                <w:rFonts w:eastAsia="Times New Roman"/>
                <w:sz w:val="24"/>
                <w:szCs w:val="24"/>
                <w:lang w:eastAsia="ru-RU"/>
              </w:rPr>
              <w:t>Індекс концентрації новонароджених масою тіла при народженні 500-</w:t>
            </w:r>
            <w:smartTag w:uri="urn:schemas-microsoft-com:office:smarttags" w:element="metricconverter">
              <w:smartTagPr>
                <w:attr w:name="ProductID" w:val="999 г"/>
              </w:smartTagPr>
              <w:r w:rsidRPr="00C43972">
                <w:rPr>
                  <w:rFonts w:eastAsia="Times New Roman"/>
                  <w:sz w:val="24"/>
                  <w:szCs w:val="24"/>
                  <w:lang w:eastAsia="ru-RU"/>
                </w:rPr>
                <w:t>999 г</w:t>
              </w:r>
            </w:smartTag>
            <w:r w:rsidRPr="00C43972">
              <w:rPr>
                <w:rFonts w:eastAsia="Times New Roman"/>
                <w:sz w:val="24"/>
                <w:szCs w:val="24"/>
                <w:lang w:eastAsia="ru-RU"/>
              </w:rPr>
              <w:t xml:space="preserve"> у ЗПД ІІІ рівня</w:t>
            </w:r>
          </w:p>
        </w:tc>
        <w:tc>
          <w:tcPr>
            <w:tcW w:w="1676" w:type="dxa"/>
            <w:shd w:val="clear" w:color="auto" w:fill="auto"/>
          </w:tcPr>
          <w:p w:rsidR="00C43972" w:rsidRPr="00C43972" w:rsidRDefault="00C43972" w:rsidP="00C43972">
            <w:pPr>
              <w:widowControl w:val="0"/>
              <w:jc w:val="left"/>
              <w:rPr>
                <w:rFonts w:eastAsia="Times New Roman"/>
                <w:sz w:val="24"/>
                <w:szCs w:val="24"/>
                <w:lang w:eastAsia="ru-RU"/>
              </w:rPr>
            </w:pPr>
          </w:p>
        </w:tc>
        <w:tc>
          <w:tcPr>
            <w:tcW w:w="1620" w:type="dxa"/>
            <w:shd w:val="clear" w:color="auto" w:fill="auto"/>
          </w:tcPr>
          <w:p w:rsidR="00C43972" w:rsidRPr="00C43972" w:rsidRDefault="00C43972" w:rsidP="00C43972">
            <w:pPr>
              <w:widowControl w:val="0"/>
              <w:jc w:val="left"/>
              <w:rPr>
                <w:rFonts w:eastAsia="Times New Roman"/>
                <w:sz w:val="24"/>
                <w:szCs w:val="24"/>
                <w:lang w:eastAsia="ru-RU"/>
              </w:rPr>
            </w:pPr>
          </w:p>
        </w:tc>
      </w:tr>
      <w:tr w:rsidR="00C43972" w:rsidRPr="00C43972" w:rsidTr="006E3A91">
        <w:trPr>
          <w:jc w:val="center"/>
        </w:trPr>
        <w:tc>
          <w:tcPr>
            <w:tcW w:w="5815" w:type="dxa"/>
            <w:shd w:val="clear" w:color="auto" w:fill="auto"/>
          </w:tcPr>
          <w:p w:rsidR="00C43972" w:rsidRPr="00C43972" w:rsidRDefault="00C43972" w:rsidP="00C43972">
            <w:pPr>
              <w:widowControl w:val="0"/>
              <w:jc w:val="left"/>
              <w:rPr>
                <w:rFonts w:eastAsia="Times New Roman"/>
                <w:sz w:val="24"/>
                <w:szCs w:val="24"/>
                <w:lang w:eastAsia="ru-RU"/>
              </w:rPr>
            </w:pPr>
            <w:r w:rsidRPr="00C43972">
              <w:rPr>
                <w:rFonts w:eastAsia="Times New Roman"/>
                <w:sz w:val="24"/>
                <w:szCs w:val="24"/>
                <w:lang w:eastAsia="ru-RU"/>
              </w:rPr>
              <w:t>Індекс концентрації новонароджених масою тіла при народженні 1000-</w:t>
            </w:r>
            <w:smartTag w:uri="urn:schemas-microsoft-com:office:smarttags" w:element="metricconverter">
              <w:smartTagPr>
                <w:attr w:name="ProductID" w:val="1499 г"/>
              </w:smartTagPr>
              <w:r w:rsidRPr="00C43972">
                <w:rPr>
                  <w:rFonts w:eastAsia="Times New Roman"/>
                  <w:sz w:val="24"/>
                  <w:szCs w:val="24"/>
                  <w:lang w:eastAsia="ru-RU"/>
                </w:rPr>
                <w:t>1499 г</w:t>
              </w:r>
            </w:smartTag>
            <w:r w:rsidRPr="00C43972">
              <w:rPr>
                <w:rFonts w:eastAsia="Times New Roman"/>
                <w:sz w:val="24"/>
                <w:szCs w:val="24"/>
                <w:lang w:eastAsia="ru-RU"/>
              </w:rPr>
              <w:t xml:space="preserve"> у ЗПД ІІІ рівня</w:t>
            </w:r>
          </w:p>
        </w:tc>
        <w:tc>
          <w:tcPr>
            <w:tcW w:w="1676" w:type="dxa"/>
            <w:shd w:val="clear" w:color="auto" w:fill="auto"/>
          </w:tcPr>
          <w:p w:rsidR="00C43972" w:rsidRPr="00C43972" w:rsidRDefault="00C43972" w:rsidP="00C43972">
            <w:pPr>
              <w:widowControl w:val="0"/>
              <w:jc w:val="left"/>
              <w:rPr>
                <w:rFonts w:eastAsia="Times New Roman"/>
                <w:sz w:val="24"/>
                <w:szCs w:val="24"/>
                <w:lang w:eastAsia="ru-RU"/>
              </w:rPr>
            </w:pPr>
          </w:p>
        </w:tc>
        <w:tc>
          <w:tcPr>
            <w:tcW w:w="1620" w:type="dxa"/>
            <w:shd w:val="clear" w:color="auto" w:fill="auto"/>
          </w:tcPr>
          <w:p w:rsidR="00C43972" w:rsidRPr="00C43972" w:rsidRDefault="00C43972" w:rsidP="00C43972">
            <w:pPr>
              <w:widowControl w:val="0"/>
              <w:jc w:val="left"/>
              <w:rPr>
                <w:rFonts w:eastAsia="Times New Roman"/>
                <w:sz w:val="24"/>
                <w:szCs w:val="24"/>
                <w:lang w:eastAsia="ru-RU"/>
              </w:rPr>
            </w:pPr>
          </w:p>
        </w:tc>
      </w:tr>
      <w:tr w:rsidR="00C43972" w:rsidRPr="00C43972" w:rsidTr="006E3A91">
        <w:trPr>
          <w:jc w:val="center"/>
        </w:trPr>
        <w:tc>
          <w:tcPr>
            <w:tcW w:w="5815" w:type="dxa"/>
            <w:shd w:val="clear" w:color="auto" w:fill="auto"/>
          </w:tcPr>
          <w:p w:rsidR="00C43972" w:rsidRPr="00C43972" w:rsidRDefault="00C43972" w:rsidP="00C43972">
            <w:pPr>
              <w:widowControl w:val="0"/>
              <w:jc w:val="left"/>
              <w:rPr>
                <w:rFonts w:eastAsia="Times New Roman"/>
                <w:sz w:val="24"/>
                <w:szCs w:val="24"/>
                <w:lang w:eastAsia="ru-RU"/>
              </w:rPr>
            </w:pPr>
            <w:r w:rsidRPr="00C43972">
              <w:rPr>
                <w:rFonts w:eastAsia="Times New Roman"/>
                <w:sz w:val="24"/>
                <w:szCs w:val="24"/>
                <w:lang w:eastAsia="ru-RU"/>
              </w:rPr>
              <w:t>Частота мало вагових новонароджених</w:t>
            </w:r>
          </w:p>
        </w:tc>
        <w:tc>
          <w:tcPr>
            <w:tcW w:w="1676" w:type="dxa"/>
            <w:shd w:val="clear" w:color="auto" w:fill="auto"/>
          </w:tcPr>
          <w:p w:rsidR="00C43972" w:rsidRPr="00C43972" w:rsidRDefault="00C43972" w:rsidP="00C43972">
            <w:pPr>
              <w:widowControl w:val="0"/>
              <w:jc w:val="left"/>
              <w:rPr>
                <w:rFonts w:eastAsia="Times New Roman"/>
                <w:sz w:val="24"/>
                <w:szCs w:val="24"/>
                <w:lang w:eastAsia="ru-RU"/>
              </w:rPr>
            </w:pPr>
          </w:p>
        </w:tc>
        <w:tc>
          <w:tcPr>
            <w:tcW w:w="1620" w:type="dxa"/>
            <w:shd w:val="clear" w:color="auto" w:fill="auto"/>
          </w:tcPr>
          <w:p w:rsidR="00C43972" w:rsidRPr="00C43972" w:rsidRDefault="00C43972" w:rsidP="00C43972">
            <w:pPr>
              <w:widowControl w:val="0"/>
              <w:jc w:val="left"/>
              <w:rPr>
                <w:rFonts w:eastAsia="Times New Roman"/>
                <w:sz w:val="24"/>
                <w:szCs w:val="24"/>
                <w:lang w:eastAsia="ru-RU"/>
              </w:rPr>
            </w:pPr>
          </w:p>
        </w:tc>
      </w:tr>
      <w:tr w:rsidR="00C43972" w:rsidRPr="00C43972" w:rsidTr="006E3A91">
        <w:trPr>
          <w:jc w:val="center"/>
        </w:trPr>
        <w:tc>
          <w:tcPr>
            <w:tcW w:w="5815" w:type="dxa"/>
            <w:shd w:val="clear" w:color="auto" w:fill="auto"/>
          </w:tcPr>
          <w:p w:rsidR="00C43972" w:rsidRPr="00C43972" w:rsidRDefault="00C43972" w:rsidP="00C43972">
            <w:pPr>
              <w:widowControl w:val="0"/>
              <w:jc w:val="left"/>
              <w:rPr>
                <w:rFonts w:eastAsia="Times New Roman"/>
                <w:sz w:val="24"/>
                <w:szCs w:val="24"/>
                <w:lang w:eastAsia="ru-RU"/>
              </w:rPr>
            </w:pPr>
            <w:r w:rsidRPr="00C43972">
              <w:rPr>
                <w:rFonts w:eastAsia="Times New Roman"/>
                <w:sz w:val="24"/>
                <w:szCs w:val="24"/>
                <w:lang w:eastAsia="ru-RU"/>
              </w:rPr>
              <w:t>Індекс неонатального трансферу</w:t>
            </w:r>
          </w:p>
        </w:tc>
        <w:tc>
          <w:tcPr>
            <w:tcW w:w="1676" w:type="dxa"/>
            <w:shd w:val="clear" w:color="auto" w:fill="auto"/>
          </w:tcPr>
          <w:p w:rsidR="00C43972" w:rsidRPr="00C43972" w:rsidRDefault="00C43972" w:rsidP="00C43972">
            <w:pPr>
              <w:widowControl w:val="0"/>
              <w:jc w:val="left"/>
              <w:rPr>
                <w:rFonts w:eastAsia="Times New Roman"/>
                <w:sz w:val="24"/>
                <w:szCs w:val="24"/>
                <w:lang w:eastAsia="ru-RU"/>
              </w:rPr>
            </w:pPr>
          </w:p>
        </w:tc>
        <w:tc>
          <w:tcPr>
            <w:tcW w:w="1620" w:type="dxa"/>
            <w:shd w:val="clear" w:color="auto" w:fill="auto"/>
          </w:tcPr>
          <w:p w:rsidR="00C43972" w:rsidRPr="00C43972" w:rsidRDefault="00C43972" w:rsidP="00C43972">
            <w:pPr>
              <w:widowControl w:val="0"/>
              <w:jc w:val="left"/>
              <w:rPr>
                <w:rFonts w:eastAsia="Times New Roman"/>
                <w:sz w:val="24"/>
                <w:szCs w:val="24"/>
                <w:lang w:eastAsia="ru-RU"/>
              </w:rPr>
            </w:pPr>
          </w:p>
        </w:tc>
      </w:tr>
      <w:tr w:rsidR="00C43972" w:rsidRPr="00C43972" w:rsidTr="006E3A91">
        <w:trPr>
          <w:jc w:val="center"/>
        </w:trPr>
        <w:tc>
          <w:tcPr>
            <w:tcW w:w="5815" w:type="dxa"/>
            <w:shd w:val="clear" w:color="auto" w:fill="auto"/>
          </w:tcPr>
          <w:p w:rsidR="00C43972" w:rsidRPr="00C43972" w:rsidRDefault="00C43972" w:rsidP="00C43972">
            <w:pPr>
              <w:widowControl w:val="0"/>
              <w:jc w:val="left"/>
              <w:rPr>
                <w:rFonts w:eastAsia="Times New Roman"/>
                <w:sz w:val="24"/>
                <w:szCs w:val="24"/>
                <w:lang w:eastAsia="ru-RU"/>
              </w:rPr>
            </w:pPr>
            <w:r w:rsidRPr="00C43972">
              <w:rPr>
                <w:rFonts w:eastAsia="Times New Roman"/>
                <w:sz w:val="24"/>
                <w:szCs w:val="24"/>
                <w:lang w:eastAsia="ru-RU"/>
              </w:rPr>
              <w:t>Виживання новонароджених з дуже малою масою тіла при народженні</w:t>
            </w:r>
          </w:p>
        </w:tc>
        <w:tc>
          <w:tcPr>
            <w:tcW w:w="1676" w:type="dxa"/>
            <w:shd w:val="clear" w:color="auto" w:fill="auto"/>
          </w:tcPr>
          <w:p w:rsidR="00C43972" w:rsidRPr="00C43972" w:rsidRDefault="00C43972" w:rsidP="00C43972">
            <w:pPr>
              <w:widowControl w:val="0"/>
              <w:jc w:val="left"/>
              <w:rPr>
                <w:rFonts w:eastAsia="Times New Roman"/>
                <w:sz w:val="24"/>
                <w:szCs w:val="24"/>
                <w:lang w:eastAsia="ru-RU"/>
              </w:rPr>
            </w:pPr>
          </w:p>
        </w:tc>
        <w:tc>
          <w:tcPr>
            <w:tcW w:w="1620" w:type="dxa"/>
            <w:shd w:val="clear" w:color="auto" w:fill="auto"/>
          </w:tcPr>
          <w:p w:rsidR="00C43972" w:rsidRPr="00C43972" w:rsidRDefault="00C43972" w:rsidP="00C43972">
            <w:pPr>
              <w:widowControl w:val="0"/>
              <w:jc w:val="left"/>
              <w:rPr>
                <w:rFonts w:eastAsia="Times New Roman"/>
                <w:sz w:val="24"/>
                <w:szCs w:val="24"/>
                <w:lang w:eastAsia="ru-RU"/>
              </w:rPr>
            </w:pPr>
          </w:p>
        </w:tc>
      </w:tr>
      <w:tr w:rsidR="00C43972" w:rsidRPr="00C43972" w:rsidTr="006E3A91">
        <w:trPr>
          <w:jc w:val="center"/>
        </w:trPr>
        <w:tc>
          <w:tcPr>
            <w:tcW w:w="5815" w:type="dxa"/>
            <w:shd w:val="clear" w:color="auto" w:fill="auto"/>
          </w:tcPr>
          <w:p w:rsidR="00C43972" w:rsidRPr="00C43972" w:rsidRDefault="00C43972" w:rsidP="00C43972">
            <w:pPr>
              <w:widowControl w:val="0"/>
              <w:jc w:val="left"/>
              <w:rPr>
                <w:rFonts w:eastAsia="Times New Roman"/>
                <w:sz w:val="24"/>
                <w:szCs w:val="24"/>
                <w:lang w:eastAsia="ru-RU"/>
              </w:rPr>
            </w:pPr>
            <w:r w:rsidRPr="00C43972">
              <w:rPr>
                <w:rFonts w:eastAsia="Times New Roman"/>
                <w:sz w:val="24"/>
                <w:szCs w:val="24"/>
                <w:lang w:eastAsia="ru-RU"/>
              </w:rPr>
              <w:t>Індекс здоров’я новонароджених</w:t>
            </w:r>
          </w:p>
        </w:tc>
        <w:tc>
          <w:tcPr>
            <w:tcW w:w="1676" w:type="dxa"/>
            <w:shd w:val="clear" w:color="auto" w:fill="auto"/>
          </w:tcPr>
          <w:p w:rsidR="00C43972" w:rsidRPr="00C43972" w:rsidRDefault="00C43972" w:rsidP="00C43972">
            <w:pPr>
              <w:widowControl w:val="0"/>
              <w:jc w:val="left"/>
              <w:rPr>
                <w:rFonts w:eastAsia="Times New Roman"/>
                <w:sz w:val="24"/>
                <w:szCs w:val="24"/>
                <w:lang w:eastAsia="ru-RU"/>
              </w:rPr>
            </w:pPr>
          </w:p>
        </w:tc>
        <w:tc>
          <w:tcPr>
            <w:tcW w:w="1620" w:type="dxa"/>
            <w:shd w:val="clear" w:color="auto" w:fill="auto"/>
          </w:tcPr>
          <w:p w:rsidR="00C43972" w:rsidRPr="00C43972" w:rsidRDefault="00C43972" w:rsidP="00C43972">
            <w:pPr>
              <w:widowControl w:val="0"/>
              <w:jc w:val="left"/>
              <w:rPr>
                <w:rFonts w:eastAsia="Times New Roman"/>
                <w:sz w:val="24"/>
                <w:szCs w:val="24"/>
                <w:lang w:eastAsia="ru-RU"/>
              </w:rPr>
            </w:pPr>
          </w:p>
        </w:tc>
      </w:tr>
      <w:tr w:rsidR="00C43972" w:rsidRPr="00C43972" w:rsidTr="006E3A91">
        <w:trPr>
          <w:jc w:val="center"/>
        </w:trPr>
        <w:tc>
          <w:tcPr>
            <w:tcW w:w="5815" w:type="dxa"/>
            <w:shd w:val="clear" w:color="auto" w:fill="auto"/>
          </w:tcPr>
          <w:p w:rsidR="00C43972" w:rsidRPr="00C43972" w:rsidRDefault="00C43972" w:rsidP="00C43972">
            <w:pPr>
              <w:widowControl w:val="0"/>
              <w:jc w:val="left"/>
              <w:rPr>
                <w:rFonts w:eastAsia="Times New Roman"/>
                <w:sz w:val="24"/>
                <w:szCs w:val="24"/>
                <w:lang w:eastAsia="ru-RU"/>
              </w:rPr>
            </w:pPr>
            <w:r w:rsidRPr="00C43972">
              <w:rPr>
                <w:rFonts w:eastAsia="Times New Roman"/>
                <w:sz w:val="24"/>
                <w:szCs w:val="24"/>
                <w:lang w:eastAsia="ru-RU"/>
              </w:rPr>
              <w:t>Захворюваність новонароджених: уродженими аномаліями, деформаціями та хромосомними порушеннями,</w:t>
            </w:r>
          </w:p>
        </w:tc>
        <w:tc>
          <w:tcPr>
            <w:tcW w:w="1676" w:type="dxa"/>
            <w:shd w:val="clear" w:color="auto" w:fill="auto"/>
          </w:tcPr>
          <w:p w:rsidR="00C43972" w:rsidRPr="00C43972" w:rsidRDefault="00C43972" w:rsidP="00C43972">
            <w:pPr>
              <w:widowControl w:val="0"/>
              <w:jc w:val="left"/>
              <w:rPr>
                <w:rFonts w:eastAsia="Times New Roman"/>
                <w:sz w:val="24"/>
                <w:szCs w:val="24"/>
                <w:lang w:eastAsia="ru-RU"/>
              </w:rPr>
            </w:pPr>
          </w:p>
        </w:tc>
        <w:tc>
          <w:tcPr>
            <w:tcW w:w="1620" w:type="dxa"/>
            <w:shd w:val="clear" w:color="auto" w:fill="auto"/>
          </w:tcPr>
          <w:p w:rsidR="00C43972" w:rsidRPr="00C43972" w:rsidRDefault="00C43972" w:rsidP="00C43972">
            <w:pPr>
              <w:widowControl w:val="0"/>
              <w:jc w:val="left"/>
              <w:rPr>
                <w:rFonts w:eastAsia="Times New Roman"/>
                <w:sz w:val="24"/>
                <w:szCs w:val="24"/>
                <w:lang w:eastAsia="ru-RU"/>
              </w:rPr>
            </w:pPr>
          </w:p>
        </w:tc>
      </w:tr>
      <w:tr w:rsidR="00C43972" w:rsidRPr="00C43972" w:rsidTr="006E3A91">
        <w:trPr>
          <w:jc w:val="center"/>
        </w:trPr>
        <w:tc>
          <w:tcPr>
            <w:tcW w:w="5815" w:type="dxa"/>
            <w:shd w:val="clear" w:color="auto" w:fill="auto"/>
          </w:tcPr>
          <w:p w:rsidR="00C43972" w:rsidRPr="00C43972" w:rsidRDefault="00C43972" w:rsidP="00C43972">
            <w:pPr>
              <w:widowControl w:val="0"/>
              <w:jc w:val="left"/>
              <w:rPr>
                <w:rFonts w:eastAsia="Times New Roman"/>
                <w:sz w:val="24"/>
                <w:szCs w:val="24"/>
                <w:lang w:eastAsia="ru-RU"/>
              </w:rPr>
            </w:pPr>
            <w:r w:rsidRPr="00C43972">
              <w:rPr>
                <w:rFonts w:eastAsia="Times New Roman"/>
                <w:sz w:val="24"/>
                <w:szCs w:val="24"/>
                <w:lang w:eastAsia="ru-RU"/>
              </w:rPr>
              <w:t>- внутрішньоутробною гіпоксією й асфіксією в пологах,</w:t>
            </w:r>
          </w:p>
        </w:tc>
        <w:tc>
          <w:tcPr>
            <w:tcW w:w="1676" w:type="dxa"/>
            <w:shd w:val="clear" w:color="auto" w:fill="auto"/>
          </w:tcPr>
          <w:p w:rsidR="00C43972" w:rsidRPr="00C43972" w:rsidRDefault="00C43972" w:rsidP="00C43972">
            <w:pPr>
              <w:widowControl w:val="0"/>
              <w:jc w:val="left"/>
              <w:rPr>
                <w:rFonts w:eastAsia="Times New Roman"/>
                <w:sz w:val="24"/>
                <w:szCs w:val="24"/>
                <w:lang w:eastAsia="ru-RU"/>
              </w:rPr>
            </w:pPr>
          </w:p>
        </w:tc>
        <w:tc>
          <w:tcPr>
            <w:tcW w:w="1620" w:type="dxa"/>
            <w:shd w:val="clear" w:color="auto" w:fill="auto"/>
          </w:tcPr>
          <w:p w:rsidR="00C43972" w:rsidRPr="00C43972" w:rsidRDefault="00C43972" w:rsidP="00C43972">
            <w:pPr>
              <w:widowControl w:val="0"/>
              <w:jc w:val="left"/>
              <w:rPr>
                <w:rFonts w:eastAsia="Times New Roman"/>
                <w:sz w:val="24"/>
                <w:szCs w:val="24"/>
                <w:lang w:eastAsia="ru-RU"/>
              </w:rPr>
            </w:pPr>
          </w:p>
        </w:tc>
      </w:tr>
      <w:tr w:rsidR="00C43972" w:rsidRPr="00C43972" w:rsidTr="006E3A91">
        <w:trPr>
          <w:jc w:val="center"/>
        </w:trPr>
        <w:tc>
          <w:tcPr>
            <w:tcW w:w="5815" w:type="dxa"/>
            <w:shd w:val="clear" w:color="auto" w:fill="auto"/>
          </w:tcPr>
          <w:p w:rsidR="00C43972" w:rsidRPr="00C43972" w:rsidRDefault="00C43972" w:rsidP="00C43972">
            <w:pPr>
              <w:widowControl w:val="0"/>
              <w:jc w:val="left"/>
              <w:rPr>
                <w:rFonts w:eastAsia="Times New Roman"/>
                <w:sz w:val="24"/>
                <w:szCs w:val="24"/>
                <w:lang w:eastAsia="ru-RU"/>
              </w:rPr>
            </w:pPr>
            <w:r w:rsidRPr="00C43972">
              <w:rPr>
                <w:rFonts w:eastAsia="Times New Roman"/>
                <w:sz w:val="24"/>
                <w:szCs w:val="24"/>
                <w:lang w:eastAsia="ru-RU"/>
              </w:rPr>
              <w:t>- синдром респіраторного розладу,</w:t>
            </w:r>
          </w:p>
        </w:tc>
        <w:tc>
          <w:tcPr>
            <w:tcW w:w="1676" w:type="dxa"/>
            <w:shd w:val="clear" w:color="auto" w:fill="auto"/>
          </w:tcPr>
          <w:p w:rsidR="00C43972" w:rsidRPr="00C43972" w:rsidRDefault="00C43972" w:rsidP="00C43972">
            <w:pPr>
              <w:widowControl w:val="0"/>
              <w:jc w:val="left"/>
              <w:rPr>
                <w:rFonts w:eastAsia="Times New Roman"/>
                <w:sz w:val="24"/>
                <w:szCs w:val="24"/>
                <w:lang w:eastAsia="ru-RU"/>
              </w:rPr>
            </w:pPr>
          </w:p>
        </w:tc>
        <w:tc>
          <w:tcPr>
            <w:tcW w:w="1620" w:type="dxa"/>
            <w:shd w:val="clear" w:color="auto" w:fill="auto"/>
          </w:tcPr>
          <w:p w:rsidR="00C43972" w:rsidRPr="00C43972" w:rsidRDefault="00C43972" w:rsidP="00C43972">
            <w:pPr>
              <w:widowControl w:val="0"/>
              <w:jc w:val="left"/>
              <w:rPr>
                <w:rFonts w:eastAsia="Times New Roman"/>
                <w:sz w:val="24"/>
                <w:szCs w:val="24"/>
                <w:lang w:eastAsia="ru-RU"/>
              </w:rPr>
            </w:pPr>
          </w:p>
        </w:tc>
      </w:tr>
      <w:tr w:rsidR="00C43972" w:rsidRPr="00C43972" w:rsidTr="006E3A91">
        <w:trPr>
          <w:jc w:val="center"/>
        </w:trPr>
        <w:tc>
          <w:tcPr>
            <w:tcW w:w="5815" w:type="dxa"/>
            <w:shd w:val="clear" w:color="auto" w:fill="auto"/>
          </w:tcPr>
          <w:p w:rsidR="00C43972" w:rsidRPr="00C43972" w:rsidRDefault="00C43972" w:rsidP="00C43972">
            <w:pPr>
              <w:widowControl w:val="0"/>
              <w:jc w:val="left"/>
              <w:rPr>
                <w:rFonts w:eastAsia="Times New Roman"/>
                <w:sz w:val="24"/>
                <w:szCs w:val="24"/>
                <w:lang w:eastAsia="ru-RU"/>
              </w:rPr>
            </w:pPr>
            <w:r w:rsidRPr="00C43972">
              <w:rPr>
                <w:rFonts w:eastAsia="Times New Roman"/>
                <w:sz w:val="24"/>
                <w:szCs w:val="24"/>
                <w:lang w:eastAsia="ru-RU"/>
              </w:rPr>
              <w:t>- внутрішньошлуночковими та субарахноїдальними крововиливами</w:t>
            </w:r>
          </w:p>
        </w:tc>
        <w:tc>
          <w:tcPr>
            <w:tcW w:w="1676" w:type="dxa"/>
            <w:shd w:val="clear" w:color="auto" w:fill="auto"/>
          </w:tcPr>
          <w:p w:rsidR="00C43972" w:rsidRPr="00C43972" w:rsidRDefault="00C43972" w:rsidP="00C43972">
            <w:pPr>
              <w:widowControl w:val="0"/>
              <w:jc w:val="left"/>
              <w:rPr>
                <w:rFonts w:eastAsia="Times New Roman"/>
                <w:sz w:val="24"/>
                <w:szCs w:val="24"/>
                <w:lang w:eastAsia="ru-RU"/>
              </w:rPr>
            </w:pPr>
          </w:p>
        </w:tc>
        <w:tc>
          <w:tcPr>
            <w:tcW w:w="1620" w:type="dxa"/>
            <w:shd w:val="clear" w:color="auto" w:fill="auto"/>
          </w:tcPr>
          <w:p w:rsidR="00C43972" w:rsidRPr="00C43972" w:rsidRDefault="00C43972" w:rsidP="00C43972">
            <w:pPr>
              <w:widowControl w:val="0"/>
              <w:jc w:val="left"/>
              <w:rPr>
                <w:rFonts w:eastAsia="Times New Roman"/>
                <w:sz w:val="24"/>
                <w:szCs w:val="24"/>
                <w:lang w:eastAsia="ru-RU"/>
              </w:rPr>
            </w:pPr>
          </w:p>
        </w:tc>
      </w:tr>
      <w:tr w:rsidR="00C43972" w:rsidRPr="00C43972" w:rsidTr="006E3A91">
        <w:trPr>
          <w:jc w:val="center"/>
        </w:trPr>
        <w:tc>
          <w:tcPr>
            <w:tcW w:w="5815" w:type="dxa"/>
            <w:shd w:val="clear" w:color="auto" w:fill="auto"/>
          </w:tcPr>
          <w:p w:rsidR="00C43972" w:rsidRPr="00C43972" w:rsidRDefault="00C43972" w:rsidP="00C43972">
            <w:pPr>
              <w:widowControl w:val="0"/>
              <w:jc w:val="left"/>
              <w:rPr>
                <w:rFonts w:eastAsia="Times New Roman"/>
                <w:sz w:val="24"/>
                <w:szCs w:val="24"/>
                <w:lang w:eastAsia="ru-RU"/>
              </w:rPr>
            </w:pPr>
            <w:r w:rsidRPr="00C43972">
              <w:rPr>
                <w:rFonts w:eastAsia="Times New Roman"/>
                <w:sz w:val="24"/>
                <w:szCs w:val="24"/>
                <w:lang w:eastAsia="ru-RU"/>
              </w:rPr>
              <w:t>Летальність новонароджених</w:t>
            </w:r>
          </w:p>
        </w:tc>
        <w:tc>
          <w:tcPr>
            <w:tcW w:w="1676" w:type="dxa"/>
            <w:shd w:val="clear" w:color="auto" w:fill="auto"/>
          </w:tcPr>
          <w:p w:rsidR="00C43972" w:rsidRPr="00C43972" w:rsidRDefault="00C43972" w:rsidP="00C43972">
            <w:pPr>
              <w:widowControl w:val="0"/>
              <w:jc w:val="left"/>
              <w:rPr>
                <w:rFonts w:eastAsia="Times New Roman"/>
                <w:sz w:val="24"/>
                <w:szCs w:val="24"/>
                <w:lang w:eastAsia="ru-RU"/>
              </w:rPr>
            </w:pPr>
          </w:p>
        </w:tc>
        <w:tc>
          <w:tcPr>
            <w:tcW w:w="1620" w:type="dxa"/>
            <w:shd w:val="clear" w:color="auto" w:fill="auto"/>
          </w:tcPr>
          <w:p w:rsidR="00C43972" w:rsidRPr="00C43972" w:rsidRDefault="00C43972" w:rsidP="00C43972">
            <w:pPr>
              <w:widowControl w:val="0"/>
              <w:jc w:val="left"/>
              <w:rPr>
                <w:rFonts w:eastAsia="Times New Roman"/>
                <w:sz w:val="24"/>
                <w:szCs w:val="24"/>
                <w:lang w:eastAsia="ru-RU"/>
              </w:rPr>
            </w:pPr>
          </w:p>
        </w:tc>
      </w:tr>
      <w:tr w:rsidR="00C43972" w:rsidRPr="00C43972" w:rsidTr="006E3A91">
        <w:trPr>
          <w:jc w:val="center"/>
        </w:trPr>
        <w:tc>
          <w:tcPr>
            <w:tcW w:w="5815" w:type="dxa"/>
            <w:shd w:val="clear" w:color="auto" w:fill="auto"/>
          </w:tcPr>
          <w:p w:rsidR="00C43972" w:rsidRPr="00C43972" w:rsidRDefault="00C43972" w:rsidP="00C43972">
            <w:pPr>
              <w:widowControl w:val="0"/>
              <w:jc w:val="left"/>
              <w:rPr>
                <w:rFonts w:eastAsia="Times New Roman"/>
                <w:sz w:val="24"/>
                <w:szCs w:val="24"/>
                <w:lang w:eastAsia="ru-RU"/>
              </w:rPr>
            </w:pPr>
            <w:r w:rsidRPr="00C43972">
              <w:rPr>
                <w:rFonts w:eastAsia="Times New Roman"/>
                <w:sz w:val="24"/>
                <w:szCs w:val="24"/>
                <w:lang w:eastAsia="ru-RU"/>
              </w:rPr>
              <w:t>Смертність новонароджених</w:t>
            </w:r>
          </w:p>
        </w:tc>
        <w:tc>
          <w:tcPr>
            <w:tcW w:w="1676" w:type="dxa"/>
            <w:shd w:val="clear" w:color="auto" w:fill="auto"/>
          </w:tcPr>
          <w:p w:rsidR="00C43972" w:rsidRPr="00C43972" w:rsidRDefault="00C43972" w:rsidP="00C43972">
            <w:pPr>
              <w:widowControl w:val="0"/>
              <w:jc w:val="left"/>
              <w:rPr>
                <w:rFonts w:eastAsia="Times New Roman"/>
                <w:sz w:val="24"/>
                <w:szCs w:val="24"/>
                <w:lang w:eastAsia="ru-RU"/>
              </w:rPr>
            </w:pPr>
          </w:p>
        </w:tc>
        <w:tc>
          <w:tcPr>
            <w:tcW w:w="1620" w:type="dxa"/>
            <w:shd w:val="clear" w:color="auto" w:fill="auto"/>
          </w:tcPr>
          <w:p w:rsidR="00C43972" w:rsidRPr="00C43972" w:rsidRDefault="00C43972" w:rsidP="00C43972">
            <w:pPr>
              <w:widowControl w:val="0"/>
              <w:jc w:val="left"/>
              <w:rPr>
                <w:rFonts w:eastAsia="Times New Roman"/>
                <w:sz w:val="24"/>
                <w:szCs w:val="24"/>
                <w:lang w:eastAsia="ru-RU"/>
              </w:rPr>
            </w:pPr>
          </w:p>
        </w:tc>
      </w:tr>
      <w:tr w:rsidR="00C43972" w:rsidRPr="00C43972" w:rsidTr="006E3A91">
        <w:trPr>
          <w:jc w:val="center"/>
        </w:trPr>
        <w:tc>
          <w:tcPr>
            <w:tcW w:w="5815" w:type="dxa"/>
            <w:shd w:val="clear" w:color="auto" w:fill="auto"/>
          </w:tcPr>
          <w:p w:rsidR="00C43972" w:rsidRPr="00C43972" w:rsidRDefault="00C43972" w:rsidP="00C43972">
            <w:pPr>
              <w:widowControl w:val="0"/>
              <w:jc w:val="left"/>
              <w:rPr>
                <w:rFonts w:eastAsia="Times New Roman"/>
                <w:sz w:val="24"/>
                <w:szCs w:val="24"/>
                <w:lang w:eastAsia="ru-RU"/>
              </w:rPr>
            </w:pPr>
            <w:r w:rsidRPr="00C43972">
              <w:rPr>
                <w:rFonts w:eastAsia="Times New Roman"/>
                <w:sz w:val="24"/>
                <w:szCs w:val="24"/>
                <w:lang w:eastAsia="ru-RU"/>
              </w:rPr>
              <w:t>Рівень перинатальної смертності у ЗПД</w:t>
            </w:r>
          </w:p>
        </w:tc>
        <w:tc>
          <w:tcPr>
            <w:tcW w:w="1676" w:type="dxa"/>
            <w:shd w:val="clear" w:color="auto" w:fill="auto"/>
          </w:tcPr>
          <w:p w:rsidR="00C43972" w:rsidRPr="00C43972" w:rsidRDefault="00C43972" w:rsidP="00C43972">
            <w:pPr>
              <w:widowControl w:val="0"/>
              <w:jc w:val="left"/>
              <w:rPr>
                <w:rFonts w:eastAsia="Times New Roman"/>
                <w:sz w:val="24"/>
                <w:szCs w:val="24"/>
                <w:lang w:eastAsia="ru-RU"/>
              </w:rPr>
            </w:pPr>
          </w:p>
        </w:tc>
        <w:tc>
          <w:tcPr>
            <w:tcW w:w="1620" w:type="dxa"/>
            <w:shd w:val="clear" w:color="auto" w:fill="auto"/>
          </w:tcPr>
          <w:p w:rsidR="00C43972" w:rsidRPr="00C43972" w:rsidRDefault="00C43972" w:rsidP="00C43972">
            <w:pPr>
              <w:widowControl w:val="0"/>
              <w:jc w:val="left"/>
              <w:rPr>
                <w:rFonts w:eastAsia="Times New Roman"/>
                <w:sz w:val="24"/>
                <w:szCs w:val="24"/>
                <w:lang w:eastAsia="ru-RU"/>
              </w:rPr>
            </w:pPr>
          </w:p>
        </w:tc>
      </w:tr>
      <w:tr w:rsidR="00C43972" w:rsidRPr="00C43972" w:rsidTr="006E3A91">
        <w:trPr>
          <w:jc w:val="center"/>
        </w:trPr>
        <w:tc>
          <w:tcPr>
            <w:tcW w:w="5815" w:type="dxa"/>
            <w:shd w:val="clear" w:color="auto" w:fill="auto"/>
          </w:tcPr>
          <w:p w:rsidR="00C43972" w:rsidRPr="00C43972" w:rsidRDefault="00C43972" w:rsidP="00C43972">
            <w:pPr>
              <w:widowControl w:val="0"/>
              <w:jc w:val="left"/>
              <w:rPr>
                <w:rFonts w:eastAsia="Times New Roman"/>
                <w:sz w:val="24"/>
                <w:szCs w:val="24"/>
                <w:lang w:eastAsia="ru-RU"/>
              </w:rPr>
            </w:pPr>
            <w:r w:rsidRPr="00C43972">
              <w:rPr>
                <w:rFonts w:eastAsia="Times New Roman"/>
                <w:sz w:val="24"/>
                <w:szCs w:val="24"/>
                <w:lang w:eastAsia="ru-RU"/>
              </w:rPr>
              <w:t>Мертвонародження, в т. ч:</w:t>
            </w:r>
          </w:p>
        </w:tc>
        <w:tc>
          <w:tcPr>
            <w:tcW w:w="1676" w:type="dxa"/>
            <w:shd w:val="clear" w:color="auto" w:fill="auto"/>
          </w:tcPr>
          <w:p w:rsidR="00C43972" w:rsidRPr="00C43972" w:rsidRDefault="00C43972" w:rsidP="00C43972">
            <w:pPr>
              <w:widowControl w:val="0"/>
              <w:jc w:val="left"/>
              <w:rPr>
                <w:rFonts w:eastAsia="Times New Roman"/>
                <w:sz w:val="24"/>
                <w:szCs w:val="24"/>
                <w:lang w:eastAsia="ru-RU"/>
              </w:rPr>
            </w:pPr>
          </w:p>
        </w:tc>
        <w:tc>
          <w:tcPr>
            <w:tcW w:w="1620" w:type="dxa"/>
            <w:shd w:val="clear" w:color="auto" w:fill="auto"/>
          </w:tcPr>
          <w:p w:rsidR="00C43972" w:rsidRPr="00C43972" w:rsidRDefault="00C43972" w:rsidP="00C43972">
            <w:pPr>
              <w:widowControl w:val="0"/>
              <w:jc w:val="left"/>
              <w:rPr>
                <w:rFonts w:eastAsia="Times New Roman"/>
                <w:sz w:val="24"/>
                <w:szCs w:val="24"/>
                <w:lang w:eastAsia="ru-RU"/>
              </w:rPr>
            </w:pPr>
          </w:p>
        </w:tc>
      </w:tr>
      <w:tr w:rsidR="00C43972" w:rsidRPr="00C43972" w:rsidTr="006E3A91">
        <w:trPr>
          <w:jc w:val="center"/>
        </w:trPr>
        <w:tc>
          <w:tcPr>
            <w:tcW w:w="5815" w:type="dxa"/>
            <w:shd w:val="clear" w:color="auto" w:fill="auto"/>
          </w:tcPr>
          <w:p w:rsidR="00C43972" w:rsidRPr="00C43972" w:rsidRDefault="00C43972" w:rsidP="00C43972">
            <w:pPr>
              <w:widowControl w:val="0"/>
              <w:jc w:val="left"/>
              <w:rPr>
                <w:rFonts w:eastAsia="Times New Roman"/>
                <w:sz w:val="24"/>
                <w:szCs w:val="24"/>
                <w:lang w:eastAsia="ru-RU"/>
              </w:rPr>
            </w:pPr>
            <w:r w:rsidRPr="00C43972">
              <w:rPr>
                <w:rFonts w:eastAsia="Times New Roman"/>
                <w:sz w:val="24"/>
                <w:szCs w:val="24"/>
                <w:lang w:eastAsia="ru-RU"/>
              </w:rPr>
              <w:t>- інтранатально</w:t>
            </w:r>
          </w:p>
        </w:tc>
        <w:tc>
          <w:tcPr>
            <w:tcW w:w="1676" w:type="dxa"/>
            <w:shd w:val="clear" w:color="auto" w:fill="auto"/>
          </w:tcPr>
          <w:p w:rsidR="00C43972" w:rsidRPr="00C43972" w:rsidRDefault="00C43972" w:rsidP="00C43972">
            <w:pPr>
              <w:widowControl w:val="0"/>
              <w:jc w:val="left"/>
              <w:rPr>
                <w:rFonts w:eastAsia="Times New Roman"/>
                <w:sz w:val="24"/>
                <w:szCs w:val="24"/>
                <w:lang w:eastAsia="ru-RU"/>
              </w:rPr>
            </w:pPr>
          </w:p>
        </w:tc>
        <w:tc>
          <w:tcPr>
            <w:tcW w:w="1620" w:type="dxa"/>
            <w:shd w:val="clear" w:color="auto" w:fill="auto"/>
          </w:tcPr>
          <w:p w:rsidR="00C43972" w:rsidRPr="00C43972" w:rsidRDefault="00C43972" w:rsidP="00C43972">
            <w:pPr>
              <w:widowControl w:val="0"/>
              <w:jc w:val="left"/>
              <w:rPr>
                <w:rFonts w:eastAsia="Times New Roman"/>
                <w:sz w:val="24"/>
                <w:szCs w:val="24"/>
                <w:lang w:eastAsia="ru-RU"/>
              </w:rPr>
            </w:pPr>
          </w:p>
        </w:tc>
      </w:tr>
      <w:tr w:rsidR="00C43972" w:rsidRPr="00C43972" w:rsidTr="006E3A91">
        <w:trPr>
          <w:jc w:val="center"/>
        </w:trPr>
        <w:tc>
          <w:tcPr>
            <w:tcW w:w="5815" w:type="dxa"/>
            <w:shd w:val="clear" w:color="auto" w:fill="auto"/>
          </w:tcPr>
          <w:p w:rsidR="00C43972" w:rsidRPr="00C43972" w:rsidRDefault="00C43972" w:rsidP="00C43972">
            <w:pPr>
              <w:widowControl w:val="0"/>
              <w:jc w:val="left"/>
              <w:rPr>
                <w:rFonts w:eastAsia="Times New Roman"/>
                <w:sz w:val="24"/>
                <w:szCs w:val="24"/>
                <w:lang w:eastAsia="ru-RU"/>
              </w:rPr>
            </w:pPr>
            <w:r w:rsidRPr="00C43972">
              <w:rPr>
                <w:rFonts w:eastAsia="Times New Roman"/>
                <w:sz w:val="24"/>
                <w:szCs w:val="24"/>
                <w:lang w:eastAsia="ru-RU"/>
              </w:rPr>
              <w:t>- антенатально</w:t>
            </w:r>
          </w:p>
        </w:tc>
        <w:tc>
          <w:tcPr>
            <w:tcW w:w="1676" w:type="dxa"/>
            <w:shd w:val="clear" w:color="auto" w:fill="auto"/>
          </w:tcPr>
          <w:p w:rsidR="00C43972" w:rsidRPr="00C43972" w:rsidRDefault="00C43972" w:rsidP="00C43972">
            <w:pPr>
              <w:widowControl w:val="0"/>
              <w:jc w:val="left"/>
              <w:rPr>
                <w:rFonts w:eastAsia="Times New Roman"/>
                <w:sz w:val="24"/>
                <w:szCs w:val="24"/>
                <w:lang w:eastAsia="ru-RU"/>
              </w:rPr>
            </w:pPr>
          </w:p>
        </w:tc>
        <w:tc>
          <w:tcPr>
            <w:tcW w:w="1620" w:type="dxa"/>
            <w:shd w:val="clear" w:color="auto" w:fill="auto"/>
          </w:tcPr>
          <w:p w:rsidR="00C43972" w:rsidRPr="00C43972" w:rsidRDefault="00C43972" w:rsidP="00C43972">
            <w:pPr>
              <w:widowControl w:val="0"/>
              <w:jc w:val="left"/>
              <w:rPr>
                <w:rFonts w:eastAsia="Times New Roman"/>
                <w:sz w:val="24"/>
                <w:szCs w:val="24"/>
                <w:lang w:eastAsia="ru-RU"/>
              </w:rPr>
            </w:pPr>
          </w:p>
        </w:tc>
      </w:tr>
      <w:tr w:rsidR="00C43972" w:rsidRPr="00C43972" w:rsidTr="006E3A91">
        <w:trPr>
          <w:jc w:val="center"/>
        </w:trPr>
        <w:tc>
          <w:tcPr>
            <w:tcW w:w="5815" w:type="dxa"/>
            <w:shd w:val="clear" w:color="auto" w:fill="auto"/>
          </w:tcPr>
          <w:p w:rsidR="00C43972" w:rsidRPr="00C43972" w:rsidRDefault="00C43972" w:rsidP="00C43972">
            <w:pPr>
              <w:widowControl w:val="0"/>
              <w:jc w:val="left"/>
              <w:rPr>
                <w:rFonts w:eastAsia="Times New Roman"/>
                <w:sz w:val="24"/>
                <w:szCs w:val="24"/>
                <w:lang w:eastAsia="ru-RU"/>
              </w:rPr>
            </w:pPr>
            <w:r w:rsidRPr="00C43972">
              <w:rPr>
                <w:rFonts w:eastAsia="Times New Roman"/>
                <w:sz w:val="24"/>
                <w:szCs w:val="24"/>
                <w:lang w:eastAsia="ru-RU"/>
              </w:rPr>
              <w:t xml:space="preserve">Рівень ранньої неонатальної смертності </w:t>
            </w:r>
          </w:p>
        </w:tc>
        <w:tc>
          <w:tcPr>
            <w:tcW w:w="1676" w:type="dxa"/>
            <w:shd w:val="clear" w:color="auto" w:fill="auto"/>
          </w:tcPr>
          <w:p w:rsidR="00C43972" w:rsidRPr="00C43972" w:rsidRDefault="00C43972" w:rsidP="00C43972">
            <w:pPr>
              <w:widowControl w:val="0"/>
              <w:ind w:left="-108" w:firstLine="108"/>
              <w:jc w:val="left"/>
              <w:rPr>
                <w:rFonts w:eastAsia="Times New Roman"/>
                <w:sz w:val="24"/>
                <w:szCs w:val="24"/>
                <w:lang w:eastAsia="ru-RU"/>
              </w:rPr>
            </w:pPr>
          </w:p>
        </w:tc>
        <w:tc>
          <w:tcPr>
            <w:tcW w:w="1620" w:type="dxa"/>
            <w:shd w:val="clear" w:color="auto" w:fill="auto"/>
          </w:tcPr>
          <w:p w:rsidR="00C43972" w:rsidRPr="00C43972" w:rsidRDefault="00C43972" w:rsidP="00C43972">
            <w:pPr>
              <w:widowControl w:val="0"/>
              <w:jc w:val="left"/>
              <w:rPr>
                <w:rFonts w:eastAsia="Times New Roman"/>
                <w:sz w:val="24"/>
                <w:szCs w:val="24"/>
                <w:lang w:eastAsia="ru-RU"/>
              </w:rPr>
            </w:pPr>
          </w:p>
        </w:tc>
      </w:tr>
      <w:tr w:rsidR="00C43972" w:rsidRPr="00C43972" w:rsidTr="006E3A91">
        <w:trPr>
          <w:jc w:val="center"/>
        </w:trPr>
        <w:tc>
          <w:tcPr>
            <w:tcW w:w="5815" w:type="dxa"/>
            <w:shd w:val="clear" w:color="auto" w:fill="auto"/>
          </w:tcPr>
          <w:p w:rsidR="00C43972" w:rsidRPr="00C43972" w:rsidRDefault="00C43972" w:rsidP="00C43972">
            <w:pPr>
              <w:widowControl w:val="0"/>
              <w:jc w:val="left"/>
              <w:rPr>
                <w:rFonts w:eastAsia="Times New Roman"/>
                <w:sz w:val="24"/>
                <w:szCs w:val="24"/>
                <w:lang w:eastAsia="ru-RU"/>
              </w:rPr>
            </w:pPr>
            <w:r w:rsidRPr="00C43972">
              <w:rPr>
                <w:rFonts w:eastAsia="Times New Roman"/>
                <w:sz w:val="24"/>
                <w:szCs w:val="24"/>
                <w:lang w:eastAsia="ru-RU"/>
              </w:rPr>
              <w:t>Рівень материнської смертності</w:t>
            </w:r>
          </w:p>
        </w:tc>
        <w:tc>
          <w:tcPr>
            <w:tcW w:w="1676" w:type="dxa"/>
            <w:shd w:val="clear" w:color="auto" w:fill="auto"/>
          </w:tcPr>
          <w:p w:rsidR="00C43972" w:rsidRPr="00C43972" w:rsidRDefault="00C43972" w:rsidP="00C43972">
            <w:pPr>
              <w:widowControl w:val="0"/>
              <w:ind w:left="-108" w:firstLine="108"/>
              <w:jc w:val="left"/>
              <w:rPr>
                <w:rFonts w:eastAsia="Times New Roman"/>
                <w:sz w:val="24"/>
                <w:szCs w:val="24"/>
                <w:lang w:eastAsia="ru-RU"/>
              </w:rPr>
            </w:pPr>
          </w:p>
        </w:tc>
        <w:tc>
          <w:tcPr>
            <w:tcW w:w="1620" w:type="dxa"/>
            <w:shd w:val="clear" w:color="auto" w:fill="auto"/>
          </w:tcPr>
          <w:p w:rsidR="00C43972" w:rsidRPr="00C43972" w:rsidRDefault="00C43972" w:rsidP="00C43972">
            <w:pPr>
              <w:widowControl w:val="0"/>
              <w:jc w:val="left"/>
              <w:rPr>
                <w:rFonts w:eastAsia="Times New Roman"/>
                <w:sz w:val="24"/>
                <w:szCs w:val="24"/>
                <w:lang w:eastAsia="ru-RU"/>
              </w:rPr>
            </w:pPr>
          </w:p>
        </w:tc>
      </w:tr>
    </w:tbl>
    <w:p w:rsidR="00C43972" w:rsidRPr="00C43972" w:rsidRDefault="00C43972" w:rsidP="00C43972">
      <w:pPr>
        <w:keepNext/>
        <w:spacing w:line="240" w:lineRule="auto"/>
        <w:jc w:val="left"/>
        <w:rPr>
          <w:rFonts w:eastAsia="Times New Roman"/>
          <w:i/>
          <w:sz w:val="26"/>
          <w:szCs w:val="24"/>
          <w:lang w:eastAsia="ru-RU"/>
        </w:rPr>
      </w:pPr>
      <w:r w:rsidRPr="00C43972">
        <w:rPr>
          <w:rFonts w:eastAsia="Times New Roman"/>
          <w:i/>
          <w:sz w:val="26"/>
          <w:szCs w:val="24"/>
          <w:lang w:eastAsia="ru-RU"/>
        </w:rPr>
        <w:t xml:space="preserve">          </w:t>
      </w:r>
    </w:p>
    <w:p w:rsidR="00C43972" w:rsidRPr="00C43972" w:rsidRDefault="00C43972" w:rsidP="00C43972">
      <w:pPr>
        <w:keepNext/>
        <w:spacing w:line="240" w:lineRule="auto"/>
        <w:jc w:val="left"/>
        <w:rPr>
          <w:rFonts w:eastAsia="Times New Roman"/>
          <w:i/>
          <w:sz w:val="26"/>
          <w:szCs w:val="24"/>
          <w:lang w:eastAsia="ru-RU"/>
        </w:rPr>
      </w:pPr>
      <w:r w:rsidRPr="00C43972">
        <w:rPr>
          <w:rFonts w:eastAsia="Times New Roman"/>
          <w:i/>
          <w:sz w:val="26"/>
          <w:szCs w:val="24"/>
          <w:lang w:eastAsia="ru-RU"/>
        </w:rPr>
        <w:t xml:space="preserve">    Дякуємо за підтримку і заповнення!</w:t>
      </w:r>
    </w:p>
    <w:p w:rsidR="00C43972" w:rsidRPr="00C43972" w:rsidRDefault="00C43972" w:rsidP="00C43972">
      <w:pPr>
        <w:jc w:val="left"/>
        <w:rPr>
          <w:rFonts w:eastAsia="Calibri"/>
          <w:b/>
          <w:szCs w:val="28"/>
        </w:rPr>
      </w:pPr>
    </w:p>
    <w:p w:rsidR="00C43972" w:rsidRPr="00C43972" w:rsidRDefault="00535BCC" w:rsidP="00442EEC">
      <w:pPr>
        <w:keepNext/>
        <w:pageBreakBefore/>
        <w:tabs>
          <w:tab w:val="left" w:pos="7450"/>
        </w:tabs>
        <w:autoSpaceDE w:val="0"/>
        <w:autoSpaceDN w:val="0"/>
        <w:adjustRightInd w:val="0"/>
        <w:spacing w:after="240" w:line="240" w:lineRule="auto"/>
        <w:jc w:val="right"/>
        <w:rPr>
          <w:rFonts w:eastAsia="Calibri"/>
          <w:szCs w:val="28"/>
        </w:rPr>
      </w:pPr>
      <w:r>
        <w:rPr>
          <w:rFonts w:eastAsia="Calibri"/>
          <w:szCs w:val="28"/>
        </w:rPr>
        <w:lastRenderedPageBreak/>
        <w:t>Додаток Е</w:t>
      </w:r>
      <w:r w:rsidR="00C43972" w:rsidRPr="00C43972">
        <w:rPr>
          <w:rFonts w:eastAsia="Calibri"/>
          <w:szCs w:val="28"/>
        </w:rPr>
        <w:t>-3</w:t>
      </w:r>
    </w:p>
    <w:p w:rsidR="00C43972" w:rsidRPr="00C43972" w:rsidRDefault="00C43972" w:rsidP="00C43972">
      <w:pPr>
        <w:keepNext/>
        <w:autoSpaceDE w:val="0"/>
        <w:autoSpaceDN w:val="0"/>
        <w:adjustRightInd w:val="0"/>
        <w:spacing w:after="240" w:line="240" w:lineRule="auto"/>
        <w:jc w:val="center"/>
        <w:rPr>
          <w:rFonts w:eastAsia="Calibri"/>
          <w:b/>
          <w:szCs w:val="28"/>
        </w:rPr>
      </w:pPr>
      <w:r w:rsidRPr="00C43972">
        <w:rPr>
          <w:rFonts w:eastAsia="Calibri"/>
          <w:b/>
          <w:szCs w:val="28"/>
        </w:rPr>
        <w:t>Індикатори діяльності закладів перинатальної допомоги</w:t>
      </w:r>
    </w:p>
    <w:tbl>
      <w:tblPr>
        <w:tblW w:w="0" w:type="auto"/>
        <w:jc w:val="center"/>
        <w:tblInd w:w="260" w:type="dxa"/>
        <w:tblLook w:val="01E0" w:firstRow="1" w:lastRow="1" w:firstColumn="1" w:lastColumn="1" w:noHBand="0" w:noVBand="0"/>
      </w:tblPr>
      <w:tblGrid>
        <w:gridCol w:w="2388"/>
        <w:gridCol w:w="2431"/>
        <w:gridCol w:w="2775"/>
        <w:gridCol w:w="683"/>
        <w:gridCol w:w="604"/>
        <w:gridCol w:w="683"/>
        <w:gridCol w:w="597"/>
      </w:tblGrid>
      <w:tr w:rsidR="00C43972" w:rsidRPr="00691330" w:rsidTr="0058411F">
        <w:trPr>
          <w:jc w:val="center"/>
        </w:trPr>
        <w:tc>
          <w:tcPr>
            <w:tcW w:w="2388" w:type="dxa"/>
            <w:vMerge w:val="restart"/>
            <w:tcBorders>
              <w:top w:val="single" w:sz="4" w:space="0" w:color="auto"/>
              <w:left w:val="single" w:sz="4" w:space="0" w:color="auto"/>
              <w:bottom w:val="single" w:sz="4" w:space="0" w:color="auto"/>
              <w:right w:val="single" w:sz="4" w:space="0" w:color="auto"/>
            </w:tcBorders>
            <w:vAlign w:val="center"/>
            <w:hideMark/>
          </w:tcPr>
          <w:p w:rsidR="00C43972" w:rsidRPr="00691330" w:rsidRDefault="00C43972" w:rsidP="00C43972">
            <w:pPr>
              <w:keepNext/>
              <w:spacing w:line="276" w:lineRule="auto"/>
              <w:jc w:val="center"/>
              <w:rPr>
                <w:rFonts w:eastAsia="Times New Roman"/>
                <w:color w:val="000000"/>
                <w:sz w:val="24"/>
                <w:szCs w:val="24"/>
                <w:lang w:eastAsia="ru-RU"/>
              </w:rPr>
            </w:pPr>
            <w:r w:rsidRPr="00691330">
              <w:rPr>
                <w:rFonts w:eastAsia="Times New Roman"/>
                <w:color w:val="000000"/>
                <w:sz w:val="24"/>
                <w:szCs w:val="24"/>
                <w:lang w:eastAsia="ru-RU"/>
              </w:rPr>
              <w:t>Найменування індикатора</w:t>
            </w:r>
          </w:p>
        </w:tc>
        <w:tc>
          <w:tcPr>
            <w:tcW w:w="2431" w:type="dxa"/>
            <w:vMerge w:val="restart"/>
            <w:tcBorders>
              <w:top w:val="single" w:sz="4" w:space="0" w:color="auto"/>
              <w:left w:val="single" w:sz="4" w:space="0" w:color="auto"/>
              <w:bottom w:val="single" w:sz="4" w:space="0" w:color="auto"/>
              <w:right w:val="single" w:sz="4" w:space="0" w:color="auto"/>
            </w:tcBorders>
            <w:vAlign w:val="center"/>
            <w:hideMark/>
          </w:tcPr>
          <w:p w:rsidR="00C43972" w:rsidRPr="00691330" w:rsidRDefault="00C43972" w:rsidP="00C43972">
            <w:pPr>
              <w:keepNext/>
              <w:spacing w:line="276" w:lineRule="auto"/>
              <w:jc w:val="center"/>
              <w:rPr>
                <w:rFonts w:eastAsia="Times New Roman"/>
                <w:color w:val="000000"/>
                <w:sz w:val="24"/>
                <w:szCs w:val="24"/>
                <w:lang w:eastAsia="ru-RU"/>
              </w:rPr>
            </w:pPr>
            <w:r w:rsidRPr="00691330">
              <w:rPr>
                <w:rFonts w:eastAsia="Times New Roman"/>
                <w:color w:val="000000"/>
                <w:sz w:val="24"/>
                <w:szCs w:val="24"/>
                <w:lang w:eastAsia="ru-RU"/>
              </w:rPr>
              <w:t>Джерело інформації</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rsidR="00C43972" w:rsidRPr="00691330" w:rsidRDefault="00C43972" w:rsidP="00C43972">
            <w:pPr>
              <w:keepNext/>
              <w:spacing w:line="276" w:lineRule="auto"/>
              <w:jc w:val="center"/>
              <w:rPr>
                <w:rFonts w:eastAsia="Times New Roman"/>
                <w:color w:val="000000"/>
                <w:sz w:val="24"/>
                <w:szCs w:val="24"/>
                <w:lang w:eastAsia="ru-RU"/>
              </w:rPr>
            </w:pPr>
            <w:r w:rsidRPr="00691330">
              <w:rPr>
                <w:rFonts w:eastAsia="Times New Roman"/>
                <w:color w:val="000000"/>
                <w:sz w:val="24"/>
                <w:szCs w:val="24"/>
                <w:lang w:eastAsia="ru-RU"/>
              </w:rPr>
              <w:t>Методика вимірювання (обчислення)</w:t>
            </w:r>
          </w:p>
        </w:tc>
        <w:tc>
          <w:tcPr>
            <w:tcW w:w="0" w:type="auto"/>
            <w:gridSpan w:val="4"/>
            <w:tcBorders>
              <w:top w:val="single" w:sz="4" w:space="0" w:color="auto"/>
              <w:left w:val="single" w:sz="4" w:space="0" w:color="auto"/>
              <w:bottom w:val="single" w:sz="4" w:space="0" w:color="auto"/>
              <w:right w:val="single" w:sz="4" w:space="0" w:color="auto"/>
            </w:tcBorders>
            <w:vAlign w:val="center"/>
            <w:hideMark/>
          </w:tcPr>
          <w:p w:rsidR="00C43972" w:rsidRPr="00691330" w:rsidRDefault="00C43972" w:rsidP="00C43972">
            <w:pPr>
              <w:keepNext/>
              <w:spacing w:line="276" w:lineRule="auto"/>
              <w:jc w:val="center"/>
              <w:rPr>
                <w:rFonts w:eastAsia="Times New Roman"/>
                <w:color w:val="000000"/>
                <w:sz w:val="24"/>
                <w:szCs w:val="24"/>
                <w:lang w:eastAsia="ru-RU"/>
              </w:rPr>
            </w:pPr>
            <w:r w:rsidRPr="00691330">
              <w:rPr>
                <w:rFonts w:eastAsia="Times New Roman"/>
                <w:color w:val="000000"/>
                <w:sz w:val="24"/>
                <w:szCs w:val="24"/>
                <w:lang w:eastAsia="ru-RU"/>
              </w:rPr>
              <w:t>Нормативні показники</w:t>
            </w:r>
          </w:p>
        </w:tc>
      </w:tr>
      <w:tr w:rsidR="00C43972" w:rsidRPr="00691330" w:rsidTr="0058411F">
        <w:trPr>
          <w:cantSplit/>
          <w:trHeight w:val="1014"/>
          <w:jc w:val="center"/>
        </w:trPr>
        <w:tc>
          <w:tcPr>
            <w:tcW w:w="2388" w:type="dxa"/>
            <w:vMerge/>
            <w:tcBorders>
              <w:top w:val="single" w:sz="4" w:space="0" w:color="auto"/>
              <w:left w:val="single" w:sz="4" w:space="0" w:color="auto"/>
              <w:bottom w:val="single" w:sz="4" w:space="0" w:color="auto"/>
              <w:right w:val="single" w:sz="4" w:space="0" w:color="auto"/>
            </w:tcBorders>
            <w:vAlign w:val="center"/>
            <w:hideMark/>
          </w:tcPr>
          <w:p w:rsidR="00C43972" w:rsidRPr="00691330" w:rsidRDefault="00C43972" w:rsidP="00C43972">
            <w:pPr>
              <w:keepNext/>
              <w:spacing w:line="276" w:lineRule="auto"/>
              <w:jc w:val="left"/>
              <w:rPr>
                <w:rFonts w:eastAsia="Times New Roman"/>
                <w:color w:val="000000"/>
                <w:sz w:val="24"/>
                <w:szCs w:val="24"/>
                <w:lang w:eastAsia="ru-RU"/>
              </w:rPr>
            </w:pPr>
          </w:p>
        </w:tc>
        <w:tc>
          <w:tcPr>
            <w:tcW w:w="2431" w:type="dxa"/>
            <w:vMerge/>
            <w:tcBorders>
              <w:top w:val="single" w:sz="4" w:space="0" w:color="auto"/>
              <w:left w:val="single" w:sz="4" w:space="0" w:color="auto"/>
              <w:bottom w:val="single" w:sz="4" w:space="0" w:color="auto"/>
              <w:right w:val="single" w:sz="4" w:space="0" w:color="auto"/>
            </w:tcBorders>
            <w:vAlign w:val="center"/>
            <w:hideMark/>
          </w:tcPr>
          <w:p w:rsidR="00C43972" w:rsidRPr="00691330" w:rsidRDefault="00C43972" w:rsidP="00C43972">
            <w:pPr>
              <w:keepNext/>
              <w:spacing w:line="276" w:lineRule="auto"/>
              <w:jc w:val="center"/>
              <w:rPr>
                <w:rFonts w:eastAsia="Times New Roman"/>
                <w:color w:val="000000"/>
                <w:sz w:val="24"/>
                <w:szCs w:val="24"/>
                <w:lang w:eastAsia="ru-RU"/>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C43972" w:rsidRPr="00691330" w:rsidRDefault="00C43972" w:rsidP="00C43972">
            <w:pPr>
              <w:keepNext/>
              <w:spacing w:line="276" w:lineRule="auto"/>
              <w:jc w:val="left"/>
              <w:rPr>
                <w:rFonts w:eastAsia="Times New Roman"/>
                <w:color w:val="000000"/>
                <w:sz w:val="24"/>
                <w:szCs w:val="24"/>
                <w:lang w:eastAsia="ru-RU"/>
              </w:rPr>
            </w:pPr>
          </w:p>
        </w:tc>
        <w:tc>
          <w:tcPr>
            <w:tcW w:w="0" w:type="auto"/>
            <w:tcBorders>
              <w:top w:val="single" w:sz="4" w:space="0" w:color="auto"/>
              <w:left w:val="single" w:sz="4" w:space="0" w:color="auto"/>
              <w:bottom w:val="single" w:sz="4" w:space="0" w:color="auto"/>
              <w:right w:val="single" w:sz="4" w:space="0" w:color="auto"/>
            </w:tcBorders>
            <w:textDirection w:val="btLr"/>
            <w:vAlign w:val="center"/>
            <w:hideMark/>
          </w:tcPr>
          <w:p w:rsidR="00C43972" w:rsidRPr="00691330" w:rsidRDefault="00C43972" w:rsidP="00691330">
            <w:pPr>
              <w:keepNext/>
              <w:spacing w:line="240" w:lineRule="auto"/>
              <w:jc w:val="center"/>
              <w:rPr>
                <w:rFonts w:eastAsia="Times New Roman"/>
                <w:sz w:val="24"/>
                <w:szCs w:val="24"/>
                <w:lang w:eastAsia="ru-RU"/>
              </w:rPr>
            </w:pPr>
            <w:r w:rsidRPr="00691330">
              <w:rPr>
                <w:rFonts w:eastAsia="Times New Roman"/>
                <w:sz w:val="24"/>
                <w:szCs w:val="24"/>
                <w:lang w:eastAsia="ru-RU"/>
              </w:rPr>
              <w:t>Всього у регіоні</w:t>
            </w:r>
          </w:p>
        </w:tc>
        <w:tc>
          <w:tcPr>
            <w:tcW w:w="0" w:type="auto"/>
            <w:tcBorders>
              <w:top w:val="single" w:sz="4" w:space="0" w:color="auto"/>
              <w:left w:val="single" w:sz="4" w:space="0" w:color="auto"/>
              <w:bottom w:val="single" w:sz="4" w:space="0" w:color="auto"/>
              <w:right w:val="single" w:sz="4" w:space="0" w:color="auto"/>
            </w:tcBorders>
            <w:textDirection w:val="btLr"/>
            <w:vAlign w:val="center"/>
            <w:hideMark/>
          </w:tcPr>
          <w:p w:rsidR="00C43972" w:rsidRPr="00691330" w:rsidRDefault="00C43972" w:rsidP="00691330">
            <w:pPr>
              <w:keepNext/>
              <w:spacing w:line="240" w:lineRule="auto"/>
              <w:jc w:val="center"/>
              <w:rPr>
                <w:rFonts w:eastAsia="Times New Roman"/>
                <w:sz w:val="24"/>
                <w:szCs w:val="24"/>
                <w:lang w:eastAsia="ru-RU"/>
              </w:rPr>
            </w:pPr>
            <w:r w:rsidRPr="00691330">
              <w:rPr>
                <w:rFonts w:eastAsia="Times New Roman"/>
                <w:sz w:val="24"/>
                <w:szCs w:val="24"/>
                <w:lang w:eastAsia="ru-RU"/>
              </w:rPr>
              <w:t>У ЗПД І рівня</w:t>
            </w:r>
          </w:p>
        </w:tc>
        <w:tc>
          <w:tcPr>
            <w:tcW w:w="0" w:type="auto"/>
            <w:tcBorders>
              <w:top w:val="single" w:sz="4" w:space="0" w:color="auto"/>
              <w:left w:val="single" w:sz="4" w:space="0" w:color="auto"/>
              <w:bottom w:val="single" w:sz="4" w:space="0" w:color="auto"/>
              <w:right w:val="single" w:sz="4" w:space="0" w:color="auto"/>
            </w:tcBorders>
            <w:textDirection w:val="btLr"/>
            <w:vAlign w:val="center"/>
            <w:hideMark/>
          </w:tcPr>
          <w:p w:rsidR="00C43972" w:rsidRPr="00691330" w:rsidRDefault="00C43972" w:rsidP="00691330">
            <w:pPr>
              <w:keepNext/>
              <w:spacing w:line="240" w:lineRule="auto"/>
              <w:jc w:val="center"/>
              <w:rPr>
                <w:rFonts w:eastAsia="Times New Roman"/>
                <w:sz w:val="24"/>
                <w:szCs w:val="24"/>
                <w:lang w:eastAsia="ru-RU"/>
              </w:rPr>
            </w:pPr>
            <w:r w:rsidRPr="00691330">
              <w:rPr>
                <w:rFonts w:eastAsia="Times New Roman"/>
                <w:sz w:val="24"/>
                <w:szCs w:val="24"/>
                <w:lang w:eastAsia="ru-RU"/>
              </w:rPr>
              <w:t>У ЗПД ІІ рівня</w:t>
            </w:r>
          </w:p>
        </w:tc>
        <w:tc>
          <w:tcPr>
            <w:tcW w:w="0" w:type="auto"/>
            <w:tcBorders>
              <w:top w:val="single" w:sz="4" w:space="0" w:color="auto"/>
              <w:left w:val="single" w:sz="4" w:space="0" w:color="auto"/>
              <w:bottom w:val="single" w:sz="4" w:space="0" w:color="auto"/>
              <w:right w:val="single" w:sz="4" w:space="0" w:color="auto"/>
            </w:tcBorders>
            <w:textDirection w:val="btLr"/>
            <w:vAlign w:val="center"/>
            <w:hideMark/>
          </w:tcPr>
          <w:p w:rsidR="00C43972" w:rsidRPr="00691330" w:rsidRDefault="00C43972" w:rsidP="00691330">
            <w:pPr>
              <w:keepNext/>
              <w:spacing w:line="240" w:lineRule="auto"/>
              <w:jc w:val="center"/>
              <w:rPr>
                <w:rFonts w:eastAsia="Times New Roman"/>
                <w:sz w:val="24"/>
                <w:szCs w:val="24"/>
                <w:lang w:eastAsia="ru-RU"/>
              </w:rPr>
            </w:pPr>
            <w:r w:rsidRPr="00691330">
              <w:rPr>
                <w:rFonts w:eastAsia="Times New Roman"/>
                <w:sz w:val="24"/>
                <w:szCs w:val="24"/>
                <w:lang w:eastAsia="ru-RU"/>
              </w:rPr>
              <w:t>У ЗПД ІІІ рівня</w:t>
            </w:r>
          </w:p>
        </w:tc>
      </w:tr>
      <w:tr w:rsidR="00C43972" w:rsidRPr="00691330" w:rsidTr="0058411F">
        <w:trPr>
          <w:cantSplit/>
          <w:trHeight w:val="697"/>
          <w:jc w:val="center"/>
        </w:trPr>
        <w:tc>
          <w:tcPr>
            <w:tcW w:w="2388" w:type="dxa"/>
            <w:tcBorders>
              <w:top w:val="single" w:sz="4" w:space="0" w:color="auto"/>
              <w:left w:val="single" w:sz="4" w:space="0" w:color="auto"/>
              <w:bottom w:val="single" w:sz="4" w:space="0" w:color="auto"/>
              <w:right w:val="single" w:sz="4" w:space="0" w:color="auto"/>
            </w:tcBorders>
            <w:vAlign w:val="center"/>
          </w:tcPr>
          <w:p w:rsidR="00C43972" w:rsidRPr="00691330" w:rsidRDefault="00C43972" w:rsidP="00C43972">
            <w:pPr>
              <w:keepNext/>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Забезпеченість родильними ліжками</w:t>
            </w:r>
          </w:p>
        </w:tc>
        <w:tc>
          <w:tcPr>
            <w:tcW w:w="2431" w:type="dxa"/>
            <w:tcBorders>
              <w:top w:val="single" w:sz="4" w:space="0" w:color="auto"/>
              <w:left w:val="single" w:sz="4" w:space="0" w:color="auto"/>
              <w:bottom w:val="single" w:sz="4" w:space="0" w:color="auto"/>
              <w:right w:val="single" w:sz="4" w:space="0" w:color="auto"/>
            </w:tcBorders>
            <w:vAlign w:val="center"/>
          </w:tcPr>
          <w:p w:rsidR="00C43972" w:rsidRPr="00691330" w:rsidRDefault="00C43972" w:rsidP="00C43972">
            <w:pPr>
              <w:keepNext/>
              <w:spacing w:line="276" w:lineRule="auto"/>
              <w:jc w:val="center"/>
              <w:rPr>
                <w:rFonts w:eastAsia="Times New Roman"/>
                <w:color w:val="000000"/>
                <w:sz w:val="24"/>
                <w:szCs w:val="24"/>
                <w:lang w:eastAsia="ru-RU"/>
              </w:rPr>
            </w:pPr>
            <w:r w:rsidRPr="00691330">
              <w:rPr>
                <w:rFonts w:eastAsia="Times New Roman"/>
                <w:color w:val="000000"/>
                <w:sz w:val="24"/>
                <w:szCs w:val="24"/>
                <w:lang w:eastAsia="ru-RU"/>
              </w:rPr>
              <w:t>Ф.47</w:t>
            </w:r>
          </w:p>
        </w:tc>
        <w:tc>
          <w:tcPr>
            <w:tcW w:w="0" w:type="auto"/>
            <w:tcBorders>
              <w:top w:val="single" w:sz="4" w:space="0" w:color="auto"/>
              <w:left w:val="single" w:sz="4" w:space="0" w:color="auto"/>
              <w:bottom w:val="single" w:sz="4" w:space="0" w:color="auto"/>
              <w:right w:val="single" w:sz="4" w:space="0" w:color="auto"/>
            </w:tcBorders>
            <w:vAlign w:val="center"/>
          </w:tcPr>
          <w:p w:rsidR="00C43972" w:rsidRPr="00691330" w:rsidRDefault="00C43972" w:rsidP="00C43972">
            <w:pPr>
              <w:keepNext/>
              <w:spacing w:line="276" w:lineRule="auto"/>
              <w:rPr>
                <w:rFonts w:eastAsia="Times New Roman"/>
                <w:color w:val="000000"/>
                <w:sz w:val="24"/>
                <w:szCs w:val="24"/>
                <w:lang w:eastAsia="ru-RU"/>
              </w:rPr>
            </w:pPr>
            <w:r w:rsidRPr="00691330">
              <w:rPr>
                <w:rFonts w:eastAsia="Times New Roman"/>
                <w:color w:val="000000"/>
                <w:sz w:val="24"/>
                <w:szCs w:val="24"/>
                <w:lang w:eastAsia="ru-RU"/>
              </w:rPr>
              <w:t>Кількість родильних (включаючи патологію вагітності) ліжок</w:t>
            </w:r>
            <w:r w:rsidR="00FD30D6">
              <w:rPr>
                <w:rFonts w:eastAsia="Times New Roman"/>
                <w:color w:val="000000"/>
                <w:kern w:val="28"/>
                <w:sz w:val="24"/>
                <w:szCs w:val="24"/>
                <w:lang w:eastAsia="ru-RU"/>
              </w:rPr>
              <w:t xml:space="preserve"> ×</w:t>
            </w:r>
            <w:r w:rsidRPr="00691330">
              <w:rPr>
                <w:rFonts w:eastAsia="Times New Roman"/>
                <w:color w:val="000000"/>
                <w:kern w:val="28"/>
                <w:sz w:val="24"/>
                <w:szCs w:val="24"/>
                <w:lang w:eastAsia="ru-RU"/>
              </w:rPr>
              <w:t xml:space="preserve"> 1000</w:t>
            </w:r>
            <w:r w:rsidR="00FD30D6">
              <w:rPr>
                <w:rFonts w:eastAsia="Times New Roman"/>
                <w:color w:val="000000"/>
                <w:kern w:val="28"/>
                <w:sz w:val="24"/>
                <w:szCs w:val="24"/>
                <w:lang w:val="ru-RU" w:eastAsia="ru-RU"/>
              </w:rPr>
              <w:t xml:space="preserve"> </w:t>
            </w:r>
            <w:r w:rsidRPr="00691330">
              <w:rPr>
                <w:rFonts w:eastAsia="Times New Roman"/>
                <w:color w:val="000000"/>
                <w:sz w:val="24"/>
                <w:szCs w:val="24"/>
                <w:lang w:eastAsia="ru-RU"/>
              </w:rPr>
              <w:t>/загальна кількість пологів в регіоні</w:t>
            </w:r>
          </w:p>
        </w:tc>
        <w:tc>
          <w:tcPr>
            <w:tcW w:w="0" w:type="auto"/>
            <w:tcBorders>
              <w:top w:val="single" w:sz="4" w:space="0" w:color="auto"/>
              <w:left w:val="single" w:sz="4" w:space="0" w:color="auto"/>
              <w:bottom w:val="single" w:sz="4" w:space="0" w:color="auto"/>
              <w:right w:val="single" w:sz="4" w:space="0" w:color="auto"/>
            </w:tcBorders>
            <w:vAlign w:val="center"/>
          </w:tcPr>
          <w:p w:rsidR="00C43972" w:rsidRPr="00691330" w:rsidRDefault="00C43972" w:rsidP="00C43972">
            <w:pPr>
              <w:keepNext/>
              <w:spacing w:line="276" w:lineRule="auto"/>
              <w:jc w:val="center"/>
              <w:rPr>
                <w:rFonts w:eastAsia="Times New Roman"/>
                <w:color w:val="000000"/>
                <w:sz w:val="24"/>
                <w:szCs w:val="24"/>
                <w:lang w:eastAsia="ru-RU"/>
              </w:rPr>
            </w:pPr>
            <w:r w:rsidRPr="00691330">
              <w:rPr>
                <w:rFonts w:eastAsia="Times New Roman"/>
                <w:color w:val="000000"/>
                <w:sz w:val="24"/>
                <w:szCs w:val="24"/>
                <w:lang w:eastAsia="ru-RU"/>
              </w:rPr>
              <w:t>≈30-35</w:t>
            </w:r>
          </w:p>
        </w:tc>
        <w:tc>
          <w:tcPr>
            <w:tcW w:w="0" w:type="auto"/>
            <w:tcBorders>
              <w:top w:val="single" w:sz="4" w:space="0" w:color="auto"/>
              <w:left w:val="single" w:sz="4" w:space="0" w:color="auto"/>
              <w:bottom w:val="single" w:sz="4" w:space="0" w:color="auto"/>
              <w:right w:val="single" w:sz="4" w:space="0" w:color="auto"/>
            </w:tcBorders>
            <w:vAlign w:val="center"/>
          </w:tcPr>
          <w:p w:rsidR="00C43972" w:rsidRPr="00691330" w:rsidRDefault="00C43972" w:rsidP="00C43972">
            <w:pPr>
              <w:keepNext/>
              <w:spacing w:line="276" w:lineRule="auto"/>
              <w:jc w:val="center"/>
              <w:rPr>
                <w:rFonts w:eastAsia="Times New Roman"/>
                <w:color w:val="000000"/>
                <w:sz w:val="24"/>
                <w:szCs w:val="24"/>
                <w:lang w:eastAsia="ru-RU"/>
              </w:rPr>
            </w:pPr>
            <w:r w:rsidRPr="00691330">
              <w:rPr>
                <w:rFonts w:eastAsia="Times New Roman"/>
                <w:color w:val="000000"/>
                <w:sz w:val="24"/>
                <w:szCs w:val="24"/>
                <w:lang w:eastAsia="ru-RU"/>
              </w:rPr>
              <w:t>≈9-11</w:t>
            </w:r>
          </w:p>
        </w:tc>
        <w:tc>
          <w:tcPr>
            <w:tcW w:w="0" w:type="auto"/>
            <w:tcBorders>
              <w:top w:val="single" w:sz="4" w:space="0" w:color="auto"/>
              <w:left w:val="single" w:sz="4" w:space="0" w:color="auto"/>
              <w:bottom w:val="single" w:sz="4" w:space="0" w:color="auto"/>
              <w:right w:val="single" w:sz="4" w:space="0" w:color="auto"/>
            </w:tcBorders>
            <w:vAlign w:val="center"/>
          </w:tcPr>
          <w:p w:rsidR="00C43972" w:rsidRPr="00691330" w:rsidRDefault="00C43972" w:rsidP="00C43972">
            <w:pPr>
              <w:keepNext/>
              <w:spacing w:line="276" w:lineRule="auto"/>
              <w:jc w:val="center"/>
              <w:rPr>
                <w:rFonts w:eastAsia="Times New Roman"/>
                <w:color w:val="000000"/>
                <w:sz w:val="24"/>
                <w:szCs w:val="24"/>
                <w:lang w:eastAsia="ru-RU"/>
              </w:rPr>
            </w:pPr>
            <w:r w:rsidRPr="00691330">
              <w:rPr>
                <w:rFonts w:eastAsia="Times New Roman"/>
                <w:color w:val="000000"/>
                <w:sz w:val="24"/>
                <w:szCs w:val="24"/>
                <w:lang w:eastAsia="ru-RU"/>
              </w:rPr>
              <w:t>≈15-18</w:t>
            </w:r>
          </w:p>
        </w:tc>
        <w:tc>
          <w:tcPr>
            <w:tcW w:w="0" w:type="auto"/>
            <w:tcBorders>
              <w:top w:val="single" w:sz="4" w:space="0" w:color="auto"/>
              <w:left w:val="single" w:sz="4" w:space="0" w:color="auto"/>
              <w:bottom w:val="single" w:sz="4" w:space="0" w:color="auto"/>
              <w:right w:val="single" w:sz="4" w:space="0" w:color="auto"/>
            </w:tcBorders>
            <w:vAlign w:val="center"/>
          </w:tcPr>
          <w:p w:rsidR="00C43972" w:rsidRPr="00691330" w:rsidRDefault="00C43972" w:rsidP="00C43972">
            <w:pPr>
              <w:keepNext/>
              <w:spacing w:line="276" w:lineRule="auto"/>
              <w:jc w:val="center"/>
              <w:rPr>
                <w:rFonts w:eastAsia="Times New Roman"/>
                <w:color w:val="000000"/>
                <w:sz w:val="24"/>
                <w:szCs w:val="24"/>
                <w:lang w:eastAsia="ru-RU"/>
              </w:rPr>
            </w:pPr>
            <w:r w:rsidRPr="00691330">
              <w:rPr>
                <w:rFonts w:eastAsia="Times New Roman"/>
                <w:color w:val="000000"/>
                <w:sz w:val="24"/>
                <w:szCs w:val="24"/>
                <w:lang w:eastAsia="ru-RU"/>
              </w:rPr>
              <w:t>≈6-7</w:t>
            </w:r>
          </w:p>
        </w:tc>
      </w:tr>
      <w:tr w:rsidR="00C43972" w:rsidRPr="00691330" w:rsidTr="0058411F">
        <w:trPr>
          <w:jc w:val="center"/>
        </w:trPr>
        <w:tc>
          <w:tcPr>
            <w:tcW w:w="2388" w:type="dxa"/>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Забезпеченість лікарями акушер-гінекологами</w:t>
            </w:r>
          </w:p>
        </w:tc>
        <w:tc>
          <w:tcPr>
            <w:tcW w:w="2431" w:type="dxa"/>
            <w:tcBorders>
              <w:top w:val="single" w:sz="4" w:space="0" w:color="auto"/>
              <w:left w:val="single" w:sz="4" w:space="0" w:color="auto"/>
              <w:bottom w:val="single" w:sz="4" w:space="0" w:color="auto"/>
              <w:right w:val="single" w:sz="4" w:space="0" w:color="auto"/>
            </w:tcBorders>
            <w:vAlign w:val="center"/>
          </w:tcPr>
          <w:p w:rsidR="00C43972" w:rsidRPr="00691330" w:rsidRDefault="00C43972" w:rsidP="00C43972">
            <w:pPr>
              <w:keepNext/>
              <w:spacing w:line="276" w:lineRule="auto"/>
              <w:jc w:val="center"/>
              <w:rPr>
                <w:rFonts w:eastAsia="Times New Roman"/>
                <w:color w:val="000000"/>
                <w:sz w:val="24"/>
                <w:szCs w:val="24"/>
                <w:lang w:eastAsia="ru-RU"/>
              </w:rPr>
            </w:pPr>
            <w:r w:rsidRPr="00691330">
              <w:rPr>
                <w:rFonts w:eastAsia="Times New Roman"/>
                <w:color w:val="000000"/>
                <w:sz w:val="24"/>
                <w:szCs w:val="24"/>
                <w:lang w:eastAsia="ru-RU"/>
              </w:rPr>
              <w:t>Ф.17</w:t>
            </w: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rPr>
                <w:rFonts w:eastAsia="Times New Roman"/>
                <w:color w:val="000000"/>
                <w:sz w:val="24"/>
                <w:szCs w:val="24"/>
                <w:lang w:eastAsia="ru-RU"/>
              </w:rPr>
            </w:pPr>
            <w:r w:rsidRPr="00691330">
              <w:rPr>
                <w:rFonts w:eastAsia="Times New Roman"/>
                <w:color w:val="000000"/>
                <w:sz w:val="24"/>
                <w:szCs w:val="24"/>
                <w:lang w:eastAsia="ru-RU"/>
              </w:rPr>
              <w:t xml:space="preserve">Кількість лікарів акушер-гінекологів </w:t>
            </w:r>
            <w:r w:rsidR="00FD30D6">
              <w:rPr>
                <w:rFonts w:eastAsia="Times New Roman"/>
                <w:color w:val="000000"/>
                <w:kern w:val="28"/>
                <w:sz w:val="24"/>
                <w:szCs w:val="24"/>
                <w:lang w:eastAsia="ru-RU"/>
              </w:rPr>
              <w:t>×</w:t>
            </w:r>
            <w:r w:rsidRPr="00691330">
              <w:rPr>
                <w:rFonts w:eastAsia="Times New Roman"/>
                <w:color w:val="000000"/>
                <w:kern w:val="28"/>
                <w:sz w:val="24"/>
                <w:szCs w:val="24"/>
                <w:lang w:eastAsia="ru-RU"/>
              </w:rPr>
              <w:t xml:space="preserve"> 10000</w:t>
            </w:r>
            <w:r w:rsidRPr="00691330">
              <w:rPr>
                <w:rFonts w:eastAsia="Times New Roman"/>
                <w:color w:val="000000"/>
                <w:sz w:val="24"/>
                <w:szCs w:val="24"/>
                <w:lang w:eastAsia="ru-RU"/>
              </w:rPr>
              <w:t>/загальна кількість жіночого населення</w:t>
            </w: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&gt;5,5</w:t>
            </w: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p>
        </w:tc>
      </w:tr>
      <w:tr w:rsidR="00C43972" w:rsidRPr="00691330" w:rsidTr="0058411F">
        <w:trPr>
          <w:jc w:val="center"/>
        </w:trPr>
        <w:tc>
          <w:tcPr>
            <w:tcW w:w="2388" w:type="dxa"/>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Забезпеченість лікарями педіатрами- неонатологами</w:t>
            </w:r>
          </w:p>
        </w:tc>
        <w:tc>
          <w:tcPr>
            <w:tcW w:w="2431" w:type="dxa"/>
            <w:tcBorders>
              <w:top w:val="single" w:sz="4" w:space="0" w:color="auto"/>
              <w:left w:val="single" w:sz="4" w:space="0" w:color="auto"/>
              <w:bottom w:val="single" w:sz="4" w:space="0" w:color="auto"/>
              <w:right w:val="single" w:sz="4" w:space="0" w:color="auto"/>
            </w:tcBorders>
            <w:vAlign w:val="center"/>
          </w:tcPr>
          <w:p w:rsidR="00C43972" w:rsidRPr="00691330" w:rsidRDefault="00C43972" w:rsidP="00C43972">
            <w:pPr>
              <w:keepNext/>
              <w:spacing w:line="276" w:lineRule="auto"/>
              <w:jc w:val="center"/>
              <w:rPr>
                <w:rFonts w:eastAsia="Times New Roman"/>
                <w:color w:val="000000"/>
                <w:sz w:val="24"/>
                <w:szCs w:val="24"/>
                <w:lang w:eastAsia="ru-RU"/>
              </w:rPr>
            </w:pPr>
            <w:r w:rsidRPr="00691330">
              <w:rPr>
                <w:rFonts w:eastAsia="Times New Roman"/>
                <w:color w:val="000000"/>
                <w:sz w:val="24"/>
                <w:szCs w:val="24"/>
                <w:lang w:eastAsia="ru-RU"/>
              </w:rPr>
              <w:t>Ф.17</w:t>
            </w: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rPr>
                <w:rFonts w:eastAsia="Times New Roman"/>
                <w:color w:val="000000"/>
                <w:sz w:val="24"/>
                <w:szCs w:val="24"/>
                <w:lang w:eastAsia="ru-RU"/>
              </w:rPr>
            </w:pPr>
            <w:r w:rsidRPr="00691330">
              <w:rPr>
                <w:rFonts w:eastAsia="Times New Roman"/>
                <w:color w:val="000000"/>
                <w:sz w:val="24"/>
                <w:szCs w:val="24"/>
                <w:lang w:eastAsia="ru-RU"/>
              </w:rPr>
              <w:t xml:space="preserve">Кількість </w:t>
            </w:r>
            <w:r w:rsidR="00FD30D6">
              <w:rPr>
                <w:rFonts w:eastAsia="Times New Roman"/>
                <w:color w:val="000000"/>
                <w:sz w:val="24"/>
                <w:szCs w:val="24"/>
                <w:lang w:eastAsia="ru-RU"/>
              </w:rPr>
              <w:t>лікарів педіатрів-неонатологів ×</w:t>
            </w:r>
            <w:r w:rsidRPr="00691330">
              <w:rPr>
                <w:rFonts w:eastAsia="Times New Roman"/>
                <w:color w:val="000000"/>
                <w:sz w:val="24"/>
                <w:szCs w:val="24"/>
                <w:lang w:eastAsia="ru-RU"/>
              </w:rPr>
              <w:t xml:space="preserve"> </w:t>
            </w:r>
            <w:r w:rsidRPr="00691330">
              <w:rPr>
                <w:rFonts w:eastAsia="Times New Roman"/>
                <w:color w:val="000000"/>
                <w:kern w:val="28"/>
                <w:sz w:val="24"/>
                <w:szCs w:val="24"/>
                <w:lang w:eastAsia="ru-RU"/>
              </w:rPr>
              <w:t>1000</w:t>
            </w:r>
            <w:r w:rsidRPr="00691330">
              <w:rPr>
                <w:rFonts w:eastAsia="Times New Roman"/>
                <w:color w:val="000000"/>
                <w:sz w:val="24"/>
                <w:szCs w:val="24"/>
                <w:lang w:eastAsia="ru-RU"/>
              </w:rPr>
              <w:t>/загальна кількість народжених живими</w:t>
            </w: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&gt;5,5</w:t>
            </w: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p>
        </w:tc>
      </w:tr>
      <w:tr w:rsidR="00C43972" w:rsidRPr="00691330" w:rsidTr="0058411F">
        <w:trPr>
          <w:jc w:val="center"/>
        </w:trPr>
        <w:tc>
          <w:tcPr>
            <w:tcW w:w="2388" w:type="dxa"/>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ind w:left="-43"/>
              <w:rPr>
                <w:rFonts w:eastAsia="Times New Roman"/>
                <w:color w:val="000000"/>
                <w:sz w:val="24"/>
                <w:szCs w:val="24"/>
                <w:lang w:eastAsia="ru-RU"/>
              </w:rPr>
            </w:pPr>
            <w:r w:rsidRPr="00691330">
              <w:rPr>
                <w:rFonts w:eastAsia="Times New Roman"/>
                <w:color w:val="000000"/>
                <w:sz w:val="24"/>
                <w:szCs w:val="24"/>
                <w:lang w:eastAsia="ru-RU"/>
              </w:rPr>
              <w:t>Наявність сучасного медичного обладнання для надання перинатальної допомоги відповідного рівня.</w:t>
            </w:r>
          </w:p>
        </w:tc>
        <w:tc>
          <w:tcPr>
            <w:tcW w:w="2431" w:type="dxa"/>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ind w:left="-108"/>
              <w:jc w:val="left"/>
              <w:rPr>
                <w:rFonts w:eastAsia="Times New Roman"/>
                <w:color w:val="000000"/>
                <w:sz w:val="24"/>
                <w:szCs w:val="24"/>
                <w:lang w:eastAsia="ru-RU"/>
              </w:rPr>
            </w:pPr>
            <w:r w:rsidRPr="00691330">
              <w:rPr>
                <w:rFonts w:eastAsia="Times New Roman"/>
                <w:color w:val="000000"/>
                <w:sz w:val="24"/>
                <w:szCs w:val="24"/>
                <w:lang w:eastAsia="ru-RU"/>
              </w:rPr>
              <w:t>Табелі оснащення ЗПД, затверджені відповідними наказами – №404 від 20.06.2006</w:t>
            </w:r>
            <w:r w:rsidR="00245E92" w:rsidRPr="00245E92">
              <w:rPr>
                <w:rFonts w:eastAsia="Times New Roman"/>
                <w:color w:val="000000"/>
                <w:sz w:val="24"/>
                <w:szCs w:val="24"/>
                <w:lang w:eastAsia="ru-RU"/>
              </w:rPr>
              <w:t xml:space="preserve"> </w:t>
            </w:r>
            <w:r w:rsidRPr="00691330">
              <w:rPr>
                <w:rFonts w:eastAsia="Times New Roman"/>
                <w:color w:val="000000"/>
                <w:sz w:val="24"/>
                <w:szCs w:val="24"/>
                <w:lang w:eastAsia="ru-RU"/>
              </w:rPr>
              <w:t>р.,№951 від 04.11.2010</w:t>
            </w:r>
            <w:r w:rsidR="00245E92" w:rsidRPr="00245E92">
              <w:rPr>
                <w:rFonts w:eastAsia="Times New Roman"/>
                <w:color w:val="000000"/>
                <w:sz w:val="24"/>
                <w:szCs w:val="24"/>
                <w:lang w:eastAsia="ru-RU"/>
              </w:rPr>
              <w:t xml:space="preserve"> </w:t>
            </w:r>
            <w:r w:rsidR="00F722E5">
              <w:rPr>
                <w:rFonts w:eastAsia="Times New Roman"/>
                <w:color w:val="000000"/>
                <w:sz w:val="24"/>
                <w:szCs w:val="24"/>
                <w:lang w:eastAsia="ru-RU"/>
              </w:rPr>
              <w:t>р,</w:t>
            </w:r>
            <w:r w:rsidR="00F722E5" w:rsidRPr="00F722E5">
              <w:rPr>
                <w:rFonts w:eastAsia="Times New Roman"/>
                <w:color w:val="000000"/>
                <w:sz w:val="24"/>
                <w:szCs w:val="24"/>
                <w:lang w:eastAsia="ru-RU"/>
              </w:rPr>
              <w:t xml:space="preserve"> </w:t>
            </w:r>
            <w:r w:rsidRPr="00691330">
              <w:rPr>
                <w:rFonts w:eastAsia="Times New Roman"/>
                <w:color w:val="000000"/>
                <w:sz w:val="24"/>
                <w:szCs w:val="24"/>
                <w:lang w:eastAsia="ru-RU"/>
              </w:rPr>
              <w:t>№783 від 14.11.2011</w:t>
            </w:r>
            <w:r w:rsidR="00245E92">
              <w:rPr>
                <w:rFonts w:eastAsia="Times New Roman"/>
                <w:color w:val="000000"/>
                <w:sz w:val="24"/>
                <w:szCs w:val="24"/>
                <w:lang w:val="ru-RU" w:eastAsia="ru-RU"/>
              </w:rPr>
              <w:t> </w:t>
            </w:r>
            <w:r w:rsidRPr="00691330">
              <w:rPr>
                <w:rFonts w:eastAsia="Times New Roman"/>
                <w:color w:val="000000"/>
                <w:sz w:val="24"/>
                <w:szCs w:val="24"/>
                <w:lang w:eastAsia="ru-RU"/>
              </w:rPr>
              <w:t>р.№640 від 25.07. 2013</w:t>
            </w:r>
            <w:r w:rsidR="00245E92" w:rsidRPr="00245E92">
              <w:rPr>
                <w:rFonts w:eastAsia="Times New Roman"/>
                <w:color w:val="000000"/>
                <w:sz w:val="24"/>
                <w:szCs w:val="24"/>
                <w:lang w:eastAsia="ru-RU"/>
              </w:rPr>
              <w:t xml:space="preserve"> </w:t>
            </w:r>
            <w:r w:rsidRPr="00691330">
              <w:rPr>
                <w:rFonts w:eastAsia="Times New Roman"/>
                <w:color w:val="000000"/>
                <w:sz w:val="24"/>
                <w:szCs w:val="24"/>
                <w:lang w:eastAsia="ru-RU"/>
              </w:rPr>
              <w:t>р</w:t>
            </w: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rPr>
                <w:rFonts w:eastAsia="Times New Roman"/>
                <w:color w:val="000000"/>
                <w:sz w:val="24"/>
                <w:szCs w:val="24"/>
                <w:lang w:eastAsia="ru-RU"/>
              </w:rPr>
            </w:pPr>
            <w:r w:rsidRPr="00691330">
              <w:rPr>
                <w:rFonts w:eastAsia="Times New Roman"/>
                <w:color w:val="000000"/>
                <w:sz w:val="24"/>
                <w:szCs w:val="24"/>
                <w:lang w:eastAsia="ru-RU"/>
              </w:rPr>
              <w:t xml:space="preserve">Кількість наявного передбаченого табелем оснащення сучасного медичного обладнання </w:t>
            </w:r>
            <w:r w:rsidR="00FD30D6">
              <w:rPr>
                <w:rFonts w:eastAsia="Times New Roman"/>
                <w:color w:val="000000"/>
                <w:kern w:val="28"/>
                <w:sz w:val="24"/>
                <w:szCs w:val="24"/>
                <w:lang w:eastAsia="ru-RU"/>
              </w:rPr>
              <w:t>×</w:t>
            </w:r>
            <w:r w:rsidRPr="00691330">
              <w:rPr>
                <w:rFonts w:eastAsia="Times New Roman"/>
                <w:color w:val="000000"/>
                <w:kern w:val="28"/>
                <w:sz w:val="24"/>
                <w:szCs w:val="24"/>
                <w:lang w:eastAsia="ru-RU"/>
              </w:rPr>
              <w:t xml:space="preserve"> 100</w:t>
            </w:r>
            <w:r w:rsidR="00FD30D6">
              <w:rPr>
                <w:rFonts w:eastAsia="Times New Roman"/>
                <w:color w:val="000000"/>
                <w:kern w:val="28"/>
                <w:sz w:val="24"/>
                <w:szCs w:val="24"/>
                <w:lang w:val="ru-RU" w:eastAsia="ru-RU"/>
              </w:rPr>
              <w:t xml:space="preserve"> </w:t>
            </w:r>
            <w:r w:rsidRPr="00691330">
              <w:rPr>
                <w:rFonts w:eastAsia="Times New Roman"/>
                <w:color w:val="000000"/>
                <w:sz w:val="24"/>
                <w:szCs w:val="24"/>
                <w:lang w:eastAsia="ru-RU"/>
              </w:rPr>
              <w:t>/ кількість передбаченого табелем оснащення сучасного медичного обладнання</w:t>
            </w: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&gt;95</w:t>
            </w: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&gt;95</w:t>
            </w: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&gt;95</w:t>
            </w: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&gt;95</w:t>
            </w:r>
          </w:p>
        </w:tc>
      </w:tr>
      <w:tr w:rsidR="00C43972" w:rsidRPr="00691330" w:rsidTr="0058411F">
        <w:trPr>
          <w:jc w:val="center"/>
        </w:trPr>
        <w:tc>
          <w:tcPr>
            <w:tcW w:w="2388" w:type="dxa"/>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val="en-US" w:eastAsia="ru-RU"/>
              </w:rPr>
            </w:pPr>
            <w:r w:rsidRPr="00691330">
              <w:rPr>
                <w:rFonts w:eastAsia="Times New Roman"/>
                <w:color w:val="000000"/>
                <w:sz w:val="24"/>
                <w:szCs w:val="24"/>
                <w:lang w:eastAsia="ru-RU"/>
              </w:rPr>
              <w:t xml:space="preserve">Наявність електронної системи </w:t>
            </w:r>
            <w:r w:rsidRPr="00691330">
              <w:rPr>
                <w:rFonts w:eastAsia="Times New Roman"/>
                <w:color w:val="000000"/>
                <w:sz w:val="24"/>
                <w:szCs w:val="24"/>
                <w:lang w:val="en-US" w:eastAsia="ru-RU"/>
              </w:rPr>
              <w:t>eHealth</w:t>
            </w:r>
          </w:p>
        </w:tc>
        <w:tc>
          <w:tcPr>
            <w:tcW w:w="2431" w:type="dxa"/>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p>
        </w:tc>
      </w:tr>
      <w:tr w:rsidR="00C43972" w:rsidRPr="00691330" w:rsidTr="0058411F">
        <w:trPr>
          <w:jc w:val="center"/>
        </w:trPr>
        <w:tc>
          <w:tcPr>
            <w:tcW w:w="2388" w:type="dxa"/>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Наявність статусу «Лікарня, доброзичлива до дитини»</w:t>
            </w:r>
          </w:p>
        </w:tc>
        <w:tc>
          <w:tcPr>
            <w:tcW w:w="2431" w:type="dxa"/>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autoSpaceDE w:val="0"/>
              <w:autoSpaceDN w:val="0"/>
              <w:adjustRightInd w:val="0"/>
              <w:spacing w:line="276" w:lineRule="auto"/>
              <w:ind w:left="-108" w:firstLine="108"/>
              <w:jc w:val="left"/>
              <w:rPr>
                <w:rFonts w:eastAsia="Times New Roman"/>
                <w:color w:val="000000"/>
                <w:sz w:val="24"/>
                <w:szCs w:val="24"/>
                <w:lang w:eastAsia="ru-RU"/>
              </w:rPr>
            </w:pPr>
            <w:r w:rsidRPr="00691330">
              <w:rPr>
                <w:rFonts w:eastAsia="Calibri"/>
                <w:color w:val="000000"/>
                <w:sz w:val="24"/>
                <w:szCs w:val="24"/>
              </w:rPr>
              <w:t>Дані методично- організаційного моніторингового центру НДСЛ «Охматдит»</w:t>
            </w: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rPr>
                <w:rFonts w:eastAsia="Times New Roman"/>
                <w:color w:val="000000"/>
                <w:sz w:val="24"/>
                <w:szCs w:val="24"/>
                <w:lang w:eastAsia="ru-RU"/>
              </w:rPr>
            </w:pPr>
            <w:r w:rsidRPr="00691330">
              <w:rPr>
                <w:rFonts w:eastAsia="Times New Roman"/>
                <w:color w:val="000000"/>
                <w:sz w:val="24"/>
                <w:szCs w:val="24"/>
                <w:lang w:eastAsia="ru-RU"/>
              </w:rPr>
              <w:t>Кількість ЗОЗ що мають сертифікат «Лікарня, доброзичлива до дитини»</w:t>
            </w:r>
            <w:r w:rsidR="00FD30D6">
              <w:rPr>
                <w:rFonts w:eastAsia="Times New Roman"/>
                <w:color w:val="000000"/>
                <w:kern w:val="28"/>
                <w:sz w:val="24"/>
                <w:szCs w:val="24"/>
                <w:lang w:eastAsia="ru-RU"/>
              </w:rPr>
              <w:t xml:space="preserve"> ×</w:t>
            </w:r>
            <w:r w:rsidRPr="00691330">
              <w:rPr>
                <w:rFonts w:eastAsia="Times New Roman"/>
                <w:color w:val="000000"/>
                <w:kern w:val="28"/>
                <w:sz w:val="24"/>
                <w:szCs w:val="24"/>
                <w:lang w:eastAsia="ru-RU"/>
              </w:rPr>
              <w:t xml:space="preserve"> 100</w:t>
            </w:r>
            <w:r w:rsidRPr="00691330">
              <w:rPr>
                <w:rFonts w:eastAsia="Times New Roman"/>
                <w:color w:val="000000"/>
                <w:sz w:val="24"/>
                <w:szCs w:val="24"/>
                <w:lang w:eastAsia="ru-RU"/>
              </w:rPr>
              <w:t>/ кількість ЗОЗ</w:t>
            </w: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&gt;90</w:t>
            </w: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&gt;85</w:t>
            </w: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&gt;95</w:t>
            </w: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&gt;95</w:t>
            </w:r>
          </w:p>
        </w:tc>
      </w:tr>
      <w:tr w:rsidR="00C43972" w:rsidRPr="00691330" w:rsidTr="0058411F">
        <w:trPr>
          <w:trHeight w:val="1765"/>
          <w:jc w:val="center"/>
        </w:trPr>
        <w:tc>
          <w:tcPr>
            <w:tcW w:w="2388" w:type="dxa"/>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r w:rsidRPr="00691330">
              <w:rPr>
                <w:rFonts w:eastAsia="Times New Roman"/>
                <w:iCs/>
                <w:color w:val="000000"/>
                <w:kern w:val="28"/>
                <w:sz w:val="24"/>
                <w:szCs w:val="24"/>
                <w:lang w:eastAsia="ru-RU"/>
              </w:rPr>
              <w:t xml:space="preserve">Своєчасність постановки на облік вагітних, </w:t>
            </w:r>
          </w:p>
        </w:tc>
        <w:tc>
          <w:tcPr>
            <w:tcW w:w="2431" w:type="dxa"/>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Ф.21</w:t>
            </w:r>
          </w:p>
        </w:tc>
        <w:tc>
          <w:tcPr>
            <w:tcW w:w="0" w:type="auto"/>
            <w:tcBorders>
              <w:top w:val="single" w:sz="4" w:space="0" w:color="auto"/>
              <w:left w:val="single" w:sz="4" w:space="0" w:color="auto"/>
              <w:bottom w:val="single" w:sz="4" w:space="0" w:color="auto"/>
              <w:right w:val="single" w:sz="4" w:space="0" w:color="auto"/>
            </w:tcBorders>
          </w:tcPr>
          <w:p w:rsidR="00691330" w:rsidRPr="0058411F" w:rsidRDefault="00C43972" w:rsidP="00C43972">
            <w:pPr>
              <w:keepNext/>
              <w:spacing w:line="276" w:lineRule="auto"/>
              <w:rPr>
                <w:rFonts w:eastAsia="Times New Roman"/>
                <w:iCs/>
                <w:color w:val="000000"/>
                <w:kern w:val="28"/>
                <w:sz w:val="24"/>
                <w:szCs w:val="24"/>
                <w:lang w:val="ru-RU" w:eastAsia="ru-RU"/>
              </w:rPr>
            </w:pPr>
            <w:r w:rsidRPr="00691330">
              <w:rPr>
                <w:rFonts w:eastAsia="Times New Roman"/>
                <w:iCs/>
                <w:color w:val="000000"/>
                <w:kern w:val="28"/>
                <w:sz w:val="24"/>
                <w:szCs w:val="24"/>
                <w:lang w:eastAsia="ru-RU"/>
              </w:rPr>
              <w:t xml:space="preserve">Кількість жінок, які поставлено на облік до 12 тижнів вагітності </w:t>
            </w:r>
            <w:r w:rsidR="00FD30D6">
              <w:rPr>
                <w:rFonts w:eastAsia="Times New Roman"/>
                <w:color w:val="000000"/>
                <w:kern w:val="28"/>
                <w:sz w:val="24"/>
                <w:szCs w:val="24"/>
                <w:lang w:eastAsia="ru-RU"/>
              </w:rPr>
              <w:t>×</w:t>
            </w:r>
            <w:r w:rsidRPr="00691330">
              <w:rPr>
                <w:rFonts w:eastAsia="Times New Roman"/>
                <w:color w:val="000000"/>
                <w:kern w:val="28"/>
                <w:sz w:val="24"/>
                <w:szCs w:val="24"/>
                <w:lang w:eastAsia="ru-RU"/>
              </w:rPr>
              <w:t xml:space="preserve"> 100</w:t>
            </w:r>
            <w:r w:rsidRPr="00691330">
              <w:rPr>
                <w:rFonts w:eastAsia="Times New Roman"/>
                <w:iCs/>
                <w:color w:val="000000"/>
                <w:kern w:val="28"/>
                <w:sz w:val="24"/>
                <w:szCs w:val="24"/>
                <w:lang w:eastAsia="ru-RU"/>
              </w:rPr>
              <w:t xml:space="preserve">/ загальна кількість жінок, які надійшли для нагляду </w:t>
            </w: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&gt;95</w:t>
            </w: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&gt;95</w:t>
            </w: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p>
        </w:tc>
      </w:tr>
    </w:tbl>
    <w:p w:rsidR="0058411F" w:rsidRDefault="0058411F" w:rsidP="0058411F">
      <w:pPr>
        <w:jc w:val="right"/>
        <w:rPr>
          <w:i/>
          <w:lang w:val="ru-RU"/>
        </w:rPr>
      </w:pPr>
    </w:p>
    <w:p w:rsidR="0058411F" w:rsidRPr="0058411F" w:rsidRDefault="0058411F" w:rsidP="00442EEC">
      <w:pPr>
        <w:pageBreakBefore/>
        <w:jc w:val="right"/>
        <w:rPr>
          <w:i/>
          <w:lang w:val="ru-RU"/>
        </w:rPr>
      </w:pPr>
      <w:r w:rsidRPr="0058411F">
        <w:rPr>
          <w:i/>
          <w:lang w:val="ru-RU"/>
        </w:rPr>
        <w:lastRenderedPageBreak/>
        <w:t>Продовження додаток Е-3</w:t>
      </w:r>
    </w:p>
    <w:tbl>
      <w:tblPr>
        <w:tblW w:w="0" w:type="auto"/>
        <w:jc w:val="center"/>
        <w:tblInd w:w="260" w:type="dxa"/>
        <w:tblLook w:val="01E0" w:firstRow="1" w:lastRow="1" w:firstColumn="1" w:lastColumn="1" w:noHBand="0" w:noVBand="0"/>
      </w:tblPr>
      <w:tblGrid>
        <w:gridCol w:w="1946"/>
        <w:gridCol w:w="1013"/>
        <w:gridCol w:w="4250"/>
        <w:gridCol w:w="772"/>
        <w:gridCol w:w="772"/>
        <w:gridCol w:w="772"/>
        <w:gridCol w:w="636"/>
      </w:tblGrid>
      <w:tr w:rsidR="00C43972" w:rsidRPr="00691330" w:rsidTr="0058411F">
        <w:trPr>
          <w:jc w:val="center"/>
        </w:trPr>
        <w:tc>
          <w:tcPr>
            <w:tcW w:w="1946" w:type="dxa"/>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tabs>
                <w:tab w:val="left" w:pos="42"/>
              </w:tabs>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Частота анемій вагітних</w:t>
            </w:r>
          </w:p>
          <w:p w:rsidR="00C43972" w:rsidRPr="00691330" w:rsidRDefault="00C43972" w:rsidP="00C43972">
            <w:pPr>
              <w:keepNext/>
              <w:tabs>
                <w:tab w:val="left" w:pos="42"/>
              </w:tabs>
              <w:spacing w:line="276" w:lineRule="auto"/>
              <w:jc w:val="left"/>
              <w:rPr>
                <w:rFonts w:eastAsia="Times New Roman"/>
                <w:color w:val="000000"/>
                <w:sz w:val="24"/>
                <w:szCs w:val="24"/>
                <w:lang w:eastAsia="ru-RU"/>
              </w:rPr>
            </w:pP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Ф.21</w:t>
            </w: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rPr>
                <w:rFonts w:eastAsia="Times New Roman"/>
                <w:color w:val="000000"/>
                <w:sz w:val="24"/>
                <w:szCs w:val="24"/>
                <w:lang w:eastAsia="ru-RU"/>
              </w:rPr>
            </w:pPr>
            <w:r w:rsidRPr="00691330">
              <w:rPr>
                <w:rFonts w:eastAsia="Times New Roman"/>
                <w:iCs/>
                <w:color w:val="000000"/>
                <w:kern w:val="28"/>
                <w:sz w:val="24"/>
                <w:szCs w:val="24"/>
                <w:lang w:eastAsia="ru-RU"/>
              </w:rPr>
              <w:t>Кількість жінок з закінченою вагітністю, у яких вагіт</w:t>
            </w:r>
            <w:r w:rsidR="00FD30D6">
              <w:rPr>
                <w:rFonts w:eastAsia="Times New Roman"/>
                <w:iCs/>
                <w:color w:val="000000"/>
                <w:kern w:val="28"/>
                <w:sz w:val="24"/>
                <w:szCs w:val="24"/>
                <w:lang w:eastAsia="ru-RU"/>
              </w:rPr>
              <w:t>ність супроводжувалася анемією ×</w:t>
            </w:r>
            <w:r w:rsidR="00FD30D6">
              <w:rPr>
                <w:rFonts w:eastAsia="Times New Roman"/>
                <w:iCs/>
                <w:color w:val="000000"/>
                <w:kern w:val="28"/>
                <w:sz w:val="24"/>
                <w:szCs w:val="24"/>
                <w:lang w:val="ru-RU" w:eastAsia="ru-RU"/>
              </w:rPr>
              <w:t xml:space="preserve"> </w:t>
            </w:r>
            <w:r w:rsidRPr="00691330">
              <w:rPr>
                <w:rFonts w:eastAsia="Times New Roman"/>
                <w:iCs/>
                <w:color w:val="000000"/>
                <w:kern w:val="28"/>
                <w:sz w:val="24"/>
                <w:szCs w:val="24"/>
                <w:lang w:eastAsia="ru-RU"/>
              </w:rPr>
              <w:t>100/ загальна кількість жінок, що закінчили вагітність</w:t>
            </w: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&lt;20,0</w:t>
            </w: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&lt;20,0</w:t>
            </w: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p>
        </w:tc>
      </w:tr>
      <w:tr w:rsidR="00C43972" w:rsidRPr="00691330" w:rsidTr="0058411F">
        <w:trPr>
          <w:jc w:val="center"/>
        </w:trPr>
        <w:tc>
          <w:tcPr>
            <w:tcW w:w="1946" w:type="dxa"/>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iCs/>
                <w:color w:val="000000"/>
                <w:kern w:val="28"/>
                <w:sz w:val="24"/>
                <w:szCs w:val="24"/>
                <w:lang w:eastAsia="ru-RU"/>
              </w:rPr>
            </w:pPr>
            <w:r w:rsidRPr="00691330">
              <w:rPr>
                <w:rFonts w:eastAsia="Times New Roman"/>
                <w:iCs/>
                <w:color w:val="000000"/>
                <w:kern w:val="28"/>
                <w:sz w:val="24"/>
                <w:szCs w:val="24"/>
                <w:lang w:eastAsia="ru-RU"/>
              </w:rPr>
              <w:t>Частота гестозів вагітних</w:t>
            </w: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Ф.21</w:t>
            </w: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rPr>
                <w:rFonts w:eastAsia="Times New Roman"/>
                <w:color w:val="000000"/>
                <w:sz w:val="24"/>
                <w:szCs w:val="24"/>
                <w:lang w:eastAsia="ru-RU"/>
              </w:rPr>
            </w:pPr>
            <w:r w:rsidRPr="00691330">
              <w:rPr>
                <w:rFonts w:eastAsia="Times New Roman"/>
                <w:iCs/>
                <w:color w:val="000000"/>
                <w:kern w:val="28"/>
                <w:sz w:val="24"/>
                <w:szCs w:val="24"/>
                <w:lang w:eastAsia="ru-RU"/>
              </w:rPr>
              <w:t>Кількість жінок з закінченою вагітністю, у яких вагітн</w:t>
            </w:r>
            <w:r w:rsidR="00FD30D6">
              <w:rPr>
                <w:rFonts w:eastAsia="Times New Roman"/>
                <w:iCs/>
                <w:color w:val="000000"/>
                <w:kern w:val="28"/>
                <w:sz w:val="24"/>
                <w:szCs w:val="24"/>
                <w:lang w:eastAsia="ru-RU"/>
              </w:rPr>
              <w:t>ість супроводжувалася гестозом ×</w:t>
            </w:r>
            <w:r w:rsidR="00FD30D6" w:rsidRPr="00FD30D6">
              <w:rPr>
                <w:rFonts w:eastAsia="Times New Roman"/>
                <w:iCs/>
                <w:color w:val="000000"/>
                <w:kern w:val="28"/>
                <w:sz w:val="24"/>
                <w:szCs w:val="24"/>
                <w:lang w:eastAsia="ru-RU"/>
              </w:rPr>
              <w:t xml:space="preserve"> </w:t>
            </w:r>
            <w:r w:rsidRPr="00691330">
              <w:rPr>
                <w:rFonts w:eastAsia="Times New Roman"/>
                <w:iCs/>
                <w:color w:val="000000"/>
                <w:kern w:val="28"/>
                <w:sz w:val="24"/>
                <w:szCs w:val="24"/>
                <w:lang w:eastAsia="ru-RU"/>
              </w:rPr>
              <w:t>100</w:t>
            </w:r>
            <w:r w:rsidR="00FD30D6" w:rsidRPr="00FD30D6">
              <w:rPr>
                <w:rFonts w:eastAsia="Times New Roman"/>
                <w:iCs/>
                <w:color w:val="000000"/>
                <w:kern w:val="28"/>
                <w:sz w:val="24"/>
                <w:szCs w:val="24"/>
                <w:lang w:eastAsia="ru-RU"/>
              </w:rPr>
              <w:t xml:space="preserve"> </w:t>
            </w:r>
            <w:r w:rsidRPr="00691330">
              <w:rPr>
                <w:rFonts w:eastAsia="Times New Roman"/>
                <w:iCs/>
                <w:color w:val="000000"/>
                <w:kern w:val="28"/>
                <w:sz w:val="24"/>
                <w:szCs w:val="24"/>
                <w:lang w:eastAsia="ru-RU"/>
              </w:rPr>
              <w:t>/ загальна кількість жінок, що закінчили вагітність</w:t>
            </w: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&lt;5</w:t>
            </w: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&lt; 5</w:t>
            </w: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p>
        </w:tc>
      </w:tr>
      <w:tr w:rsidR="00C43972" w:rsidRPr="00691330" w:rsidTr="0058411F">
        <w:trPr>
          <w:jc w:val="center"/>
        </w:trPr>
        <w:tc>
          <w:tcPr>
            <w:tcW w:w="1946" w:type="dxa"/>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iCs/>
                <w:color w:val="000000"/>
                <w:kern w:val="28"/>
                <w:sz w:val="24"/>
                <w:szCs w:val="24"/>
                <w:lang w:eastAsia="ru-RU"/>
              </w:rPr>
            </w:pPr>
            <w:r w:rsidRPr="00691330">
              <w:rPr>
                <w:rFonts w:eastAsia="Times New Roman"/>
                <w:iCs/>
                <w:color w:val="000000"/>
                <w:kern w:val="28"/>
                <w:sz w:val="24"/>
                <w:szCs w:val="24"/>
                <w:lang w:eastAsia="ru-RU"/>
              </w:rPr>
              <w:t>Частота прееклампсій та еклампсій вагітних</w:t>
            </w: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Ф.21</w:t>
            </w: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rPr>
                <w:rFonts w:eastAsia="Times New Roman"/>
                <w:color w:val="000000"/>
                <w:sz w:val="24"/>
                <w:szCs w:val="24"/>
                <w:lang w:eastAsia="ru-RU"/>
              </w:rPr>
            </w:pPr>
            <w:r w:rsidRPr="00691330">
              <w:rPr>
                <w:rFonts w:eastAsia="Times New Roman"/>
                <w:iCs/>
                <w:color w:val="000000"/>
                <w:kern w:val="28"/>
                <w:sz w:val="24"/>
                <w:szCs w:val="24"/>
                <w:lang w:eastAsia="ru-RU"/>
              </w:rPr>
              <w:t>Кількість жінок з закінченою вагітністю, у яких вагітність супроводжув</w:t>
            </w:r>
            <w:r w:rsidR="00FD30D6">
              <w:rPr>
                <w:rFonts w:eastAsia="Times New Roman"/>
                <w:iCs/>
                <w:color w:val="000000"/>
                <w:kern w:val="28"/>
                <w:sz w:val="24"/>
                <w:szCs w:val="24"/>
                <w:lang w:eastAsia="ru-RU"/>
              </w:rPr>
              <w:t>алася еклампсією та еклампсією ×</w:t>
            </w:r>
            <w:r w:rsidRPr="00691330">
              <w:rPr>
                <w:rFonts w:eastAsia="Times New Roman"/>
                <w:iCs/>
                <w:color w:val="000000"/>
                <w:kern w:val="28"/>
                <w:sz w:val="24"/>
                <w:szCs w:val="24"/>
                <w:lang w:eastAsia="ru-RU"/>
              </w:rPr>
              <w:t xml:space="preserve"> 100</w:t>
            </w:r>
            <w:r w:rsidR="00FD30D6">
              <w:rPr>
                <w:rFonts w:eastAsia="Times New Roman"/>
                <w:iCs/>
                <w:color w:val="000000"/>
                <w:kern w:val="28"/>
                <w:sz w:val="24"/>
                <w:szCs w:val="24"/>
                <w:lang w:val="ru-RU" w:eastAsia="ru-RU"/>
              </w:rPr>
              <w:t xml:space="preserve"> </w:t>
            </w:r>
            <w:r w:rsidRPr="00691330">
              <w:rPr>
                <w:rFonts w:eastAsia="Times New Roman"/>
                <w:iCs/>
                <w:color w:val="000000"/>
                <w:kern w:val="28"/>
                <w:sz w:val="24"/>
                <w:szCs w:val="24"/>
                <w:lang w:eastAsia="ru-RU"/>
              </w:rPr>
              <w:t>/ загальна кількість жінок, що закінчили вагітність</w:t>
            </w: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&lt;1,75</w:t>
            </w: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&lt;1,75</w:t>
            </w: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p>
        </w:tc>
      </w:tr>
      <w:tr w:rsidR="00C43972" w:rsidRPr="00691330" w:rsidTr="0058411F">
        <w:trPr>
          <w:jc w:val="center"/>
        </w:trPr>
        <w:tc>
          <w:tcPr>
            <w:tcW w:w="1946" w:type="dxa"/>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Частота переривань вагітності</w:t>
            </w: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Ф.13</w:t>
            </w: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rPr>
                <w:rFonts w:eastAsia="Times New Roman"/>
                <w:color w:val="000000"/>
                <w:sz w:val="24"/>
                <w:szCs w:val="24"/>
                <w:lang w:eastAsia="ru-RU"/>
              </w:rPr>
            </w:pPr>
            <w:r w:rsidRPr="00691330">
              <w:rPr>
                <w:rFonts w:eastAsia="Times New Roman"/>
                <w:color w:val="000000"/>
                <w:sz w:val="24"/>
                <w:szCs w:val="24"/>
                <w:lang w:eastAsia="ru-RU"/>
              </w:rPr>
              <w:t>Кількість жінок фертильного віку, у яких була перервана вагітність</w:t>
            </w:r>
            <w:r w:rsidR="00FD30D6">
              <w:rPr>
                <w:rFonts w:eastAsia="Times New Roman"/>
                <w:iCs/>
                <w:color w:val="000000"/>
                <w:kern w:val="28"/>
                <w:sz w:val="24"/>
                <w:szCs w:val="24"/>
                <w:lang w:eastAsia="ru-RU"/>
              </w:rPr>
              <w:t xml:space="preserve"> ×</w:t>
            </w:r>
            <w:r w:rsidRPr="00691330">
              <w:rPr>
                <w:rFonts w:eastAsia="Times New Roman"/>
                <w:iCs/>
                <w:color w:val="000000"/>
                <w:kern w:val="28"/>
                <w:sz w:val="24"/>
                <w:szCs w:val="24"/>
                <w:lang w:eastAsia="ru-RU"/>
              </w:rPr>
              <w:t xml:space="preserve"> 1000</w:t>
            </w:r>
            <w:r w:rsidR="00FD30D6">
              <w:rPr>
                <w:rFonts w:eastAsia="Times New Roman"/>
                <w:iCs/>
                <w:color w:val="000000"/>
                <w:kern w:val="28"/>
                <w:sz w:val="24"/>
                <w:szCs w:val="24"/>
                <w:lang w:val="ru-RU" w:eastAsia="ru-RU"/>
              </w:rPr>
              <w:t xml:space="preserve"> </w:t>
            </w:r>
            <w:r w:rsidRPr="00691330">
              <w:rPr>
                <w:rFonts w:eastAsia="Times New Roman"/>
                <w:iCs/>
                <w:color w:val="000000"/>
                <w:kern w:val="28"/>
                <w:sz w:val="24"/>
                <w:szCs w:val="24"/>
                <w:lang w:eastAsia="ru-RU"/>
              </w:rPr>
              <w:t xml:space="preserve">/ загальна  кількість жінок </w:t>
            </w:r>
            <w:r w:rsidRPr="00691330">
              <w:rPr>
                <w:rFonts w:eastAsia="Times New Roman"/>
                <w:color w:val="000000"/>
                <w:sz w:val="24"/>
                <w:szCs w:val="24"/>
                <w:lang w:eastAsia="ru-RU"/>
              </w:rPr>
              <w:t>фертильного віку</w:t>
            </w: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&lt; 7,5</w:t>
            </w: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&lt;7 ,5</w:t>
            </w: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&lt; 7,5</w:t>
            </w: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p>
        </w:tc>
      </w:tr>
      <w:tr w:rsidR="00C43972" w:rsidRPr="00691330" w:rsidTr="0058411F">
        <w:trPr>
          <w:jc w:val="center"/>
        </w:trPr>
        <w:tc>
          <w:tcPr>
            <w:tcW w:w="1946" w:type="dxa"/>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ind w:left="-43"/>
              <w:rPr>
                <w:rFonts w:eastAsia="Times New Roman"/>
                <w:color w:val="000000"/>
                <w:sz w:val="24"/>
                <w:szCs w:val="24"/>
                <w:lang w:eastAsia="ru-RU"/>
              </w:rPr>
            </w:pPr>
            <w:r w:rsidRPr="00691330">
              <w:rPr>
                <w:rFonts w:eastAsia="Times New Roman"/>
                <w:color w:val="000000"/>
                <w:sz w:val="24"/>
                <w:szCs w:val="24"/>
                <w:lang w:eastAsia="ru-RU"/>
              </w:rPr>
              <w:t xml:space="preserve">Співвідношення безпечного і небезпечного методів переривання вагітності </w:t>
            </w:r>
          </w:p>
          <w:p w:rsidR="00C43972" w:rsidRPr="00691330" w:rsidRDefault="00C43972" w:rsidP="00C43972">
            <w:pPr>
              <w:keepNext/>
              <w:spacing w:line="276" w:lineRule="auto"/>
              <w:ind w:left="-43"/>
              <w:jc w:val="left"/>
              <w:rPr>
                <w:rFonts w:eastAsia="Times New Roman"/>
                <w:color w:val="000000"/>
                <w:sz w:val="24"/>
                <w:szCs w:val="24"/>
                <w:lang w:eastAsia="ru-RU"/>
              </w:rPr>
            </w:pPr>
            <w:r w:rsidRPr="00691330">
              <w:rPr>
                <w:rFonts w:eastAsia="Times New Roman"/>
                <w:color w:val="000000"/>
                <w:sz w:val="24"/>
                <w:szCs w:val="24"/>
                <w:lang w:eastAsia="ru-RU"/>
              </w:rPr>
              <w:t>до 12 тижнів</w:t>
            </w: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Ф.13</w:t>
            </w:r>
          </w:p>
          <w:p w:rsidR="00C43972" w:rsidRPr="00691330" w:rsidRDefault="00C43972" w:rsidP="00C43972">
            <w:pPr>
              <w:keepNext/>
              <w:spacing w:line="276" w:lineRule="auto"/>
              <w:jc w:val="left"/>
              <w:rPr>
                <w:rFonts w:eastAsia="Times New Roman"/>
                <w:color w:val="000000"/>
                <w:sz w:val="24"/>
                <w:szCs w:val="24"/>
                <w:lang w:eastAsia="ru-RU"/>
              </w:rPr>
            </w:pPr>
          </w:p>
        </w:tc>
        <w:tc>
          <w:tcPr>
            <w:tcW w:w="0" w:type="auto"/>
            <w:tcBorders>
              <w:top w:val="single" w:sz="4" w:space="0" w:color="auto"/>
              <w:left w:val="single" w:sz="4" w:space="0" w:color="auto"/>
              <w:bottom w:val="single" w:sz="4" w:space="0" w:color="auto"/>
              <w:right w:val="single" w:sz="4" w:space="0" w:color="auto"/>
            </w:tcBorders>
          </w:tcPr>
          <w:p w:rsidR="00C43972" w:rsidRPr="00FD30D6" w:rsidRDefault="00C43972" w:rsidP="00C43972">
            <w:pPr>
              <w:keepNext/>
              <w:spacing w:line="276" w:lineRule="auto"/>
              <w:rPr>
                <w:rFonts w:eastAsia="Times New Roman"/>
                <w:color w:val="000000"/>
                <w:sz w:val="24"/>
                <w:szCs w:val="24"/>
                <w:lang w:eastAsia="ru-RU"/>
              </w:rPr>
            </w:pPr>
            <w:r w:rsidRPr="00691330">
              <w:rPr>
                <w:rFonts w:eastAsia="Times New Roman"/>
                <w:color w:val="000000"/>
                <w:sz w:val="24"/>
                <w:szCs w:val="24"/>
                <w:lang w:eastAsia="ru-RU"/>
              </w:rPr>
              <w:t xml:space="preserve">Кількість жінок фертильного віку, у яких була перервана вагітність безпечним методом / кількість жінок фертильного віку, у яких була перервана </w:t>
            </w:r>
            <w:r w:rsidR="00FD30D6">
              <w:rPr>
                <w:rFonts w:eastAsia="Times New Roman"/>
                <w:color w:val="000000"/>
                <w:sz w:val="24"/>
                <w:szCs w:val="24"/>
                <w:lang w:eastAsia="ru-RU"/>
              </w:rPr>
              <w:t xml:space="preserve">вагітність небезпечним методом </w:t>
            </w: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&gt;10,0</w:t>
            </w: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&gt;10,0</w:t>
            </w: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&gt;10,0</w:t>
            </w: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p>
        </w:tc>
      </w:tr>
      <w:tr w:rsidR="00C43972" w:rsidRPr="00691330" w:rsidTr="0058411F">
        <w:trPr>
          <w:trHeight w:val="1080"/>
          <w:jc w:val="center"/>
        </w:trPr>
        <w:tc>
          <w:tcPr>
            <w:tcW w:w="1946" w:type="dxa"/>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Частота нормальних пологів</w:t>
            </w: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Ф.21</w:t>
            </w: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Кількість нормальних пологів</w:t>
            </w:r>
            <w:r w:rsidR="00FD30D6">
              <w:rPr>
                <w:rFonts w:eastAsia="Times New Roman"/>
                <w:iCs/>
                <w:color w:val="000000"/>
                <w:kern w:val="28"/>
                <w:sz w:val="24"/>
                <w:szCs w:val="24"/>
                <w:lang w:eastAsia="ru-RU"/>
              </w:rPr>
              <w:t xml:space="preserve"> ×</w:t>
            </w:r>
            <w:r w:rsidRPr="00691330">
              <w:rPr>
                <w:rFonts w:eastAsia="Times New Roman"/>
                <w:iCs/>
                <w:color w:val="000000"/>
                <w:kern w:val="28"/>
                <w:sz w:val="24"/>
                <w:szCs w:val="24"/>
                <w:lang w:eastAsia="ru-RU"/>
              </w:rPr>
              <w:t xml:space="preserve"> 100</w:t>
            </w:r>
            <w:r w:rsidR="00FD30D6">
              <w:rPr>
                <w:rFonts w:eastAsia="Times New Roman"/>
                <w:iCs/>
                <w:color w:val="000000"/>
                <w:kern w:val="28"/>
                <w:sz w:val="24"/>
                <w:szCs w:val="24"/>
                <w:lang w:val="ru-RU" w:eastAsia="ru-RU"/>
              </w:rPr>
              <w:t xml:space="preserve"> </w:t>
            </w:r>
            <w:r w:rsidRPr="00691330">
              <w:rPr>
                <w:rFonts w:eastAsia="Times New Roman"/>
                <w:iCs/>
                <w:color w:val="000000"/>
                <w:kern w:val="28"/>
                <w:sz w:val="24"/>
                <w:szCs w:val="24"/>
                <w:lang w:eastAsia="ru-RU"/>
              </w:rPr>
              <w:t>/ загальна  кількість пологів</w:t>
            </w: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70,0</w:t>
            </w: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75,0</w:t>
            </w: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60,0</w:t>
            </w: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40,0</w:t>
            </w:r>
          </w:p>
        </w:tc>
      </w:tr>
      <w:tr w:rsidR="00C43972" w:rsidRPr="00691330" w:rsidTr="0058411F">
        <w:trPr>
          <w:trHeight w:val="1817"/>
          <w:jc w:val="center"/>
        </w:trPr>
        <w:tc>
          <w:tcPr>
            <w:tcW w:w="1946" w:type="dxa"/>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rPr>
                <w:rFonts w:eastAsia="Times New Roman"/>
                <w:color w:val="000000"/>
                <w:sz w:val="24"/>
                <w:szCs w:val="24"/>
                <w:lang w:eastAsia="ru-RU"/>
              </w:rPr>
            </w:pPr>
            <w:r w:rsidRPr="00691330">
              <w:rPr>
                <w:rFonts w:eastAsia="Times New Roman"/>
                <w:color w:val="000000"/>
                <w:sz w:val="24"/>
                <w:szCs w:val="24"/>
                <w:lang w:eastAsia="ru-RU"/>
              </w:rPr>
              <w:t>Індекс концентрації розродження вагітних з вадами серця</w:t>
            </w: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rPr>
                <w:rFonts w:eastAsia="Times New Roman"/>
                <w:color w:val="000000"/>
                <w:sz w:val="24"/>
                <w:szCs w:val="24"/>
                <w:lang w:eastAsia="ru-RU"/>
              </w:rPr>
            </w:pPr>
            <w:r w:rsidRPr="00691330">
              <w:rPr>
                <w:rFonts w:eastAsia="Times New Roman"/>
                <w:color w:val="000000"/>
                <w:sz w:val="24"/>
                <w:szCs w:val="24"/>
                <w:lang w:eastAsia="ru-RU"/>
              </w:rPr>
              <w:t>Ф.111/о</w:t>
            </w: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rPr>
                <w:rFonts w:eastAsia="Times New Roman"/>
                <w:color w:val="000000"/>
                <w:sz w:val="24"/>
                <w:szCs w:val="24"/>
                <w:lang w:eastAsia="ru-RU"/>
              </w:rPr>
            </w:pPr>
            <w:r w:rsidRPr="00691330">
              <w:rPr>
                <w:rFonts w:eastAsia="Times New Roman"/>
                <w:color w:val="000000"/>
                <w:sz w:val="24"/>
                <w:szCs w:val="24"/>
                <w:lang w:eastAsia="ru-RU"/>
              </w:rPr>
              <w:t xml:space="preserve">Кількість вагітних з вадами серця розроджених у ЗПД відповідного рівня </w:t>
            </w:r>
            <w:r w:rsidR="00FD30D6">
              <w:rPr>
                <w:rFonts w:eastAsia="Times New Roman"/>
                <w:iCs/>
                <w:color w:val="000000"/>
                <w:kern w:val="28"/>
                <w:sz w:val="24"/>
                <w:szCs w:val="24"/>
                <w:lang w:eastAsia="ru-RU"/>
              </w:rPr>
              <w:t>×</w:t>
            </w:r>
            <w:r w:rsidRPr="00691330">
              <w:rPr>
                <w:rFonts w:eastAsia="Times New Roman"/>
                <w:iCs/>
                <w:color w:val="000000"/>
                <w:kern w:val="28"/>
                <w:sz w:val="24"/>
                <w:szCs w:val="24"/>
                <w:lang w:eastAsia="ru-RU"/>
              </w:rPr>
              <w:t xml:space="preserve"> 100</w:t>
            </w:r>
            <w:r w:rsidR="00FD30D6" w:rsidRPr="00FD30D6">
              <w:rPr>
                <w:rFonts w:eastAsia="Times New Roman"/>
                <w:iCs/>
                <w:color w:val="000000"/>
                <w:kern w:val="28"/>
                <w:sz w:val="24"/>
                <w:szCs w:val="24"/>
                <w:lang w:eastAsia="ru-RU"/>
              </w:rPr>
              <w:t xml:space="preserve"> </w:t>
            </w:r>
            <w:r w:rsidRPr="00691330">
              <w:rPr>
                <w:rFonts w:eastAsia="Times New Roman"/>
                <w:iCs/>
                <w:color w:val="000000"/>
                <w:kern w:val="28"/>
                <w:sz w:val="24"/>
                <w:szCs w:val="24"/>
                <w:lang w:eastAsia="ru-RU"/>
              </w:rPr>
              <w:t>/ загальна кількість</w:t>
            </w:r>
            <w:r w:rsidRPr="00691330">
              <w:rPr>
                <w:rFonts w:eastAsia="Times New Roman"/>
                <w:color w:val="000000"/>
                <w:sz w:val="24"/>
                <w:szCs w:val="24"/>
                <w:lang w:eastAsia="ru-RU"/>
              </w:rPr>
              <w:t xml:space="preserve"> вагітних з вадами серця розроджених в регіоні </w:t>
            </w: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rPr>
                <w:rFonts w:eastAsia="Times New Roman"/>
                <w:color w:val="000000"/>
                <w:sz w:val="24"/>
                <w:szCs w:val="24"/>
                <w:lang w:eastAsia="ru-RU"/>
              </w:rPr>
            </w:pP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&lt;10</w:t>
            </w: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≥40</w:t>
            </w: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≥50</w:t>
            </w:r>
          </w:p>
        </w:tc>
      </w:tr>
      <w:tr w:rsidR="00C43972" w:rsidRPr="00691330" w:rsidTr="0058411F">
        <w:trPr>
          <w:trHeight w:val="2208"/>
          <w:jc w:val="center"/>
        </w:trPr>
        <w:tc>
          <w:tcPr>
            <w:tcW w:w="1946" w:type="dxa"/>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Індекс концентрації розродження вагітних з цукровим діабетом</w:t>
            </w: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Ф.21</w:t>
            </w: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rPr>
                <w:rFonts w:eastAsia="Times New Roman"/>
                <w:color w:val="000000"/>
                <w:sz w:val="24"/>
                <w:szCs w:val="24"/>
                <w:lang w:eastAsia="ru-RU"/>
              </w:rPr>
            </w:pPr>
            <w:r w:rsidRPr="00691330">
              <w:rPr>
                <w:rFonts w:eastAsia="Times New Roman"/>
                <w:color w:val="000000"/>
                <w:sz w:val="24"/>
                <w:szCs w:val="24"/>
                <w:lang w:eastAsia="ru-RU"/>
              </w:rPr>
              <w:t xml:space="preserve">Кількість вагітних з цукровим діабетом розроджених у ЗПД відповідного рівня </w:t>
            </w:r>
            <w:r w:rsidR="00FD30D6">
              <w:rPr>
                <w:rFonts w:eastAsia="Times New Roman"/>
                <w:iCs/>
                <w:color w:val="000000"/>
                <w:kern w:val="28"/>
                <w:sz w:val="24"/>
                <w:szCs w:val="24"/>
                <w:lang w:eastAsia="ru-RU"/>
              </w:rPr>
              <w:t>×</w:t>
            </w:r>
            <w:r w:rsidRPr="00691330">
              <w:rPr>
                <w:rFonts w:eastAsia="Times New Roman"/>
                <w:iCs/>
                <w:color w:val="000000"/>
                <w:kern w:val="28"/>
                <w:sz w:val="24"/>
                <w:szCs w:val="24"/>
                <w:lang w:eastAsia="ru-RU"/>
              </w:rPr>
              <w:t xml:space="preserve"> 100</w:t>
            </w:r>
            <w:r w:rsidR="00FD30D6" w:rsidRPr="00FD30D6">
              <w:rPr>
                <w:rFonts w:eastAsia="Times New Roman"/>
                <w:iCs/>
                <w:color w:val="000000"/>
                <w:kern w:val="28"/>
                <w:sz w:val="24"/>
                <w:szCs w:val="24"/>
                <w:lang w:eastAsia="ru-RU"/>
              </w:rPr>
              <w:t xml:space="preserve"> </w:t>
            </w:r>
            <w:r w:rsidRPr="00691330">
              <w:rPr>
                <w:rFonts w:eastAsia="Times New Roman"/>
                <w:iCs/>
                <w:color w:val="000000"/>
                <w:kern w:val="28"/>
                <w:sz w:val="24"/>
                <w:szCs w:val="24"/>
                <w:lang w:eastAsia="ru-RU"/>
              </w:rPr>
              <w:t>/ загальна кількість</w:t>
            </w:r>
            <w:r w:rsidRPr="00691330">
              <w:rPr>
                <w:rFonts w:eastAsia="Times New Roman"/>
                <w:color w:val="000000"/>
                <w:sz w:val="24"/>
                <w:szCs w:val="24"/>
                <w:lang w:eastAsia="ru-RU"/>
              </w:rPr>
              <w:t xml:space="preserve"> вагітних з цукровим діабетом розроджених в регіоні</w:t>
            </w: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&lt;2</w:t>
            </w: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center"/>
              <w:rPr>
                <w:rFonts w:eastAsia="Times New Roman"/>
                <w:color w:val="000000"/>
                <w:sz w:val="24"/>
                <w:szCs w:val="24"/>
                <w:lang w:eastAsia="ru-RU"/>
              </w:rPr>
            </w:pPr>
            <w:r w:rsidRPr="00691330">
              <w:rPr>
                <w:rFonts w:eastAsia="Times New Roman"/>
                <w:color w:val="000000"/>
                <w:sz w:val="24"/>
                <w:szCs w:val="24"/>
                <w:lang w:eastAsia="ru-RU"/>
              </w:rPr>
              <w:t>&lt;18</w:t>
            </w: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≥80</w:t>
            </w:r>
          </w:p>
        </w:tc>
      </w:tr>
    </w:tbl>
    <w:p w:rsidR="0058411F" w:rsidRDefault="0058411F" w:rsidP="0058411F">
      <w:pPr>
        <w:rPr>
          <w:i/>
          <w:lang w:val="ru-RU"/>
        </w:rPr>
      </w:pPr>
    </w:p>
    <w:p w:rsidR="0058411F" w:rsidRPr="0058411F" w:rsidRDefault="0058411F" w:rsidP="00442EEC">
      <w:pPr>
        <w:pageBreakBefore/>
        <w:jc w:val="right"/>
        <w:rPr>
          <w:i/>
          <w:lang w:val="ru-RU"/>
        </w:rPr>
      </w:pPr>
      <w:r w:rsidRPr="0058411F">
        <w:rPr>
          <w:i/>
          <w:lang w:val="ru-RU"/>
        </w:rPr>
        <w:lastRenderedPageBreak/>
        <w:t>Продовження додаток Е-3</w:t>
      </w:r>
    </w:p>
    <w:tbl>
      <w:tblPr>
        <w:tblW w:w="0" w:type="auto"/>
        <w:jc w:val="center"/>
        <w:tblInd w:w="260" w:type="dxa"/>
        <w:tblLook w:val="01E0" w:firstRow="1" w:lastRow="1" w:firstColumn="1" w:lastColumn="1" w:noHBand="0" w:noVBand="0"/>
      </w:tblPr>
      <w:tblGrid>
        <w:gridCol w:w="1946"/>
        <w:gridCol w:w="706"/>
        <w:gridCol w:w="4905"/>
        <w:gridCol w:w="601"/>
        <w:gridCol w:w="750"/>
        <w:gridCol w:w="652"/>
        <w:gridCol w:w="601"/>
      </w:tblGrid>
      <w:tr w:rsidR="00C43972" w:rsidRPr="00691330" w:rsidTr="0058411F">
        <w:trPr>
          <w:trHeight w:val="2154"/>
          <w:jc w:val="center"/>
        </w:trPr>
        <w:tc>
          <w:tcPr>
            <w:tcW w:w="1946" w:type="dxa"/>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Індекс концентрації розродження вагітних з прееклампсією і еклампсією</w:t>
            </w: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 18</w:t>
            </w: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rPr>
                <w:rFonts w:eastAsia="Times New Roman"/>
                <w:color w:val="000000"/>
                <w:sz w:val="24"/>
                <w:szCs w:val="24"/>
                <w:lang w:eastAsia="ru-RU"/>
              </w:rPr>
            </w:pPr>
            <w:r w:rsidRPr="00691330">
              <w:rPr>
                <w:rFonts w:eastAsia="Times New Roman"/>
                <w:color w:val="000000"/>
                <w:sz w:val="24"/>
                <w:szCs w:val="24"/>
                <w:lang w:eastAsia="ru-RU"/>
              </w:rPr>
              <w:t xml:space="preserve">Кількість вагітних з прееклампсією і еклампсією розроджених у ЗПД відповідного рівня </w:t>
            </w:r>
            <w:r w:rsidR="00FD30D6">
              <w:rPr>
                <w:rFonts w:eastAsia="Times New Roman"/>
                <w:iCs/>
                <w:color w:val="000000"/>
                <w:kern w:val="28"/>
                <w:sz w:val="24"/>
                <w:szCs w:val="24"/>
                <w:lang w:eastAsia="ru-RU"/>
              </w:rPr>
              <w:t>×</w:t>
            </w:r>
            <w:r w:rsidRPr="00691330">
              <w:rPr>
                <w:rFonts w:eastAsia="Times New Roman"/>
                <w:iCs/>
                <w:color w:val="000000"/>
                <w:kern w:val="28"/>
                <w:sz w:val="24"/>
                <w:szCs w:val="24"/>
                <w:lang w:eastAsia="ru-RU"/>
              </w:rPr>
              <w:t xml:space="preserve"> 100</w:t>
            </w:r>
            <w:r w:rsidR="00F722E5" w:rsidRPr="00F722E5">
              <w:rPr>
                <w:rFonts w:eastAsia="Times New Roman"/>
                <w:iCs/>
                <w:color w:val="000000"/>
                <w:kern w:val="28"/>
                <w:sz w:val="24"/>
                <w:szCs w:val="24"/>
                <w:lang w:eastAsia="ru-RU"/>
              </w:rPr>
              <w:t xml:space="preserve"> </w:t>
            </w:r>
            <w:r w:rsidRPr="00691330">
              <w:rPr>
                <w:rFonts w:eastAsia="Times New Roman"/>
                <w:iCs/>
                <w:color w:val="000000"/>
                <w:kern w:val="28"/>
                <w:sz w:val="24"/>
                <w:szCs w:val="24"/>
                <w:lang w:eastAsia="ru-RU"/>
              </w:rPr>
              <w:t>/ загальна кількість</w:t>
            </w:r>
            <w:r w:rsidRPr="00691330">
              <w:rPr>
                <w:rFonts w:eastAsia="Times New Roman"/>
                <w:color w:val="000000"/>
                <w:sz w:val="24"/>
                <w:szCs w:val="24"/>
                <w:lang w:eastAsia="ru-RU"/>
              </w:rPr>
              <w:t xml:space="preserve"> вагітних з прееклампсією і еклампсією розроджених в регіоні</w:t>
            </w: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&lt; 10</w:t>
            </w: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 40</w:t>
            </w: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≥50</w:t>
            </w:r>
          </w:p>
        </w:tc>
      </w:tr>
      <w:tr w:rsidR="00C43972" w:rsidRPr="00691330" w:rsidTr="004E78F6">
        <w:trPr>
          <w:trHeight w:val="2112"/>
          <w:jc w:val="center"/>
        </w:trPr>
        <w:tc>
          <w:tcPr>
            <w:tcW w:w="1946" w:type="dxa"/>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Частота розроджень вагітних шляхом кесаревого розтину</w:t>
            </w: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Ф.20</w:t>
            </w: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rPr>
                <w:rFonts w:eastAsia="Times New Roman"/>
                <w:color w:val="000000"/>
                <w:sz w:val="24"/>
                <w:szCs w:val="24"/>
                <w:lang w:eastAsia="ru-RU"/>
              </w:rPr>
            </w:pPr>
            <w:r w:rsidRPr="00691330">
              <w:rPr>
                <w:rFonts w:eastAsia="Times New Roman"/>
                <w:color w:val="000000"/>
                <w:sz w:val="24"/>
                <w:szCs w:val="24"/>
                <w:lang w:eastAsia="ru-RU"/>
              </w:rPr>
              <w:t>Кількість пологів шляхом кесаревого розтину</w:t>
            </w:r>
            <w:r w:rsidR="00FD30D6">
              <w:rPr>
                <w:rFonts w:eastAsia="Times New Roman"/>
                <w:iCs/>
                <w:color w:val="000000"/>
                <w:kern w:val="28"/>
                <w:sz w:val="24"/>
                <w:szCs w:val="24"/>
                <w:lang w:eastAsia="ru-RU"/>
              </w:rPr>
              <w:t xml:space="preserve"> ×</w:t>
            </w:r>
            <w:r w:rsidRPr="00691330">
              <w:rPr>
                <w:rFonts w:eastAsia="Times New Roman"/>
                <w:iCs/>
                <w:color w:val="000000"/>
                <w:kern w:val="28"/>
                <w:sz w:val="24"/>
                <w:szCs w:val="24"/>
                <w:lang w:eastAsia="ru-RU"/>
              </w:rPr>
              <w:t xml:space="preserve"> 100</w:t>
            </w:r>
            <w:r w:rsidR="00FD30D6">
              <w:rPr>
                <w:rFonts w:eastAsia="Times New Roman"/>
                <w:iCs/>
                <w:color w:val="000000"/>
                <w:kern w:val="28"/>
                <w:sz w:val="24"/>
                <w:szCs w:val="24"/>
                <w:lang w:val="ru-RU" w:eastAsia="ru-RU"/>
              </w:rPr>
              <w:t xml:space="preserve"> </w:t>
            </w:r>
            <w:r w:rsidRPr="00691330">
              <w:rPr>
                <w:rFonts w:eastAsia="Times New Roman"/>
                <w:iCs/>
                <w:color w:val="000000"/>
                <w:kern w:val="28"/>
                <w:sz w:val="24"/>
                <w:szCs w:val="24"/>
                <w:lang w:eastAsia="ru-RU"/>
              </w:rPr>
              <w:t>/ загальна кількість пологів</w:t>
            </w: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&lt; 16</w:t>
            </w: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&lt; 11</w:t>
            </w: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&lt;18</w:t>
            </w: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&lt;24</w:t>
            </w:r>
          </w:p>
        </w:tc>
      </w:tr>
      <w:tr w:rsidR="00C43972" w:rsidRPr="00691330" w:rsidTr="004E78F6">
        <w:trPr>
          <w:trHeight w:val="1687"/>
          <w:jc w:val="center"/>
        </w:trPr>
        <w:tc>
          <w:tcPr>
            <w:tcW w:w="1946" w:type="dxa"/>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Частота  кровотеч в послідовому і післяродовому періодах</w:t>
            </w: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Ф.21</w:t>
            </w: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rPr>
                <w:rFonts w:eastAsia="Times New Roman"/>
                <w:color w:val="000000"/>
                <w:sz w:val="24"/>
                <w:szCs w:val="24"/>
                <w:lang w:eastAsia="ru-RU"/>
              </w:rPr>
            </w:pPr>
            <w:r w:rsidRPr="00691330">
              <w:rPr>
                <w:rFonts w:eastAsia="Times New Roman"/>
                <w:color w:val="000000"/>
                <w:sz w:val="24"/>
                <w:szCs w:val="24"/>
                <w:lang w:eastAsia="ru-RU"/>
              </w:rPr>
              <w:t>Кількість пологів з кровотечею в послідовому і післяродовому періодах</w:t>
            </w:r>
            <w:r w:rsidR="00FD30D6">
              <w:rPr>
                <w:rFonts w:eastAsia="Times New Roman"/>
                <w:iCs/>
                <w:color w:val="000000"/>
                <w:kern w:val="28"/>
                <w:sz w:val="24"/>
                <w:szCs w:val="24"/>
                <w:lang w:eastAsia="ru-RU"/>
              </w:rPr>
              <w:t xml:space="preserve"> ×</w:t>
            </w:r>
            <w:r w:rsidRPr="00691330">
              <w:rPr>
                <w:rFonts w:eastAsia="Times New Roman"/>
                <w:iCs/>
                <w:color w:val="000000"/>
                <w:kern w:val="28"/>
                <w:sz w:val="24"/>
                <w:szCs w:val="24"/>
                <w:lang w:eastAsia="ru-RU"/>
              </w:rPr>
              <w:t xml:space="preserve"> 1000/ загальна кількість пологів</w:t>
            </w: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&lt; 5</w:t>
            </w: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&lt;2</w:t>
            </w: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&lt; 8</w:t>
            </w: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&lt; 15</w:t>
            </w:r>
          </w:p>
        </w:tc>
      </w:tr>
      <w:tr w:rsidR="00C43972" w:rsidRPr="00691330" w:rsidTr="004E78F6">
        <w:trPr>
          <w:trHeight w:val="2108"/>
          <w:jc w:val="center"/>
        </w:trPr>
        <w:tc>
          <w:tcPr>
            <w:tcW w:w="1946" w:type="dxa"/>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Індекс концентрації новонароджених масою тіла при народженні 500-999г</w:t>
            </w: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Ф.21</w:t>
            </w: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rPr>
                <w:rFonts w:eastAsia="Times New Roman"/>
                <w:color w:val="000000"/>
                <w:sz w:val="24"/>
                <w:szCs w:val="24"/>
                <w:lang w:eastAsia="ru-RU"/>
              </w:rPr>
            </w:pPr>
            <w:r w:rsidRPr="00691330">
              <w:rPr>
                <w:rFonts w:eastAsia="Times New Roman"/>
                <w:color w:val="000000"/>
                <w:sz w:val="24"/>
                <w:szCs w:val="24"/>
                <w:lang w:eastAsia="ru-RU"/>
              </w:rPr>
              <w:t>Кількість</w:t>
            </w:r>
            <w:r w:rsidRPr="00691330">
              <w:rPr>
                <w:rFonts w:eastAsia="Times New Roman"/>
                <w:iCs/>
                <w:color w:val="000000"/>
                <w:kern w:val="28"/>
                <w:sz w:val="24"/>
                <w:szCs w:val="24"/>
                <w:lang w:eastAsia="ru-RU"/>
              </w:rPr>
              <w:t xml:space="preserve"> </w:t>
            </w:r>
            <w:r w:rsidRPr="00691330">
              <w:rPr>
                <w:rFonts w:eastAsia="Times New Roman"/>
                <w:color w:val="000000"/>
                <w:sz w:val="24"/>
                <w:szCs w:val="24"/>
                <w:lang w:eastAsia="ru-RU"/>
              </w:rPr>
              <w:t>новонароджених масою тіла при народженні 500-999</w:t>
            </w:r>
            <w:r w:rsidR="00F722E5">
              <w:rPr>
                <w:rFonts w:eastAsia="Times New Roman"/>
                <w:color w:val="000000"/>
                <w:sz w:val="24"/>
                <w:szCs w:val="24"/>
                <w:lang w:val="ru-RU" w:eastAsia="ru-RU"/>
              </w:rPr>
              <w:t xml:space="preserve"> </w:t>
            </w:r>
            <w:r w:rsidRPr="00691330">
              <w:rPr>
                <w:rFonts w:eastAsia="Times New Roman"/>
                <w:color w:val="000000"/>
                <w:sz w:val="24"/>
                <w:szCs w:val="24"/>
                <w:lang w:eastAsia="ru-RU"/>
              </w:rPr>
              <w:t xml:space="preserve">г народжених у ЗПД відповідного рівня </w:t>
            </w:r>
            <w:r w:rsidR="00FD30D6">
              <w:rPr>
                <w:rFonts w:eastAsia="Times New Roman"/>
                <w:iCs/>
                <w:color w:val="000000"/>
                <w:kern w:val="28"/>
                <w:sz w:val="24"/>
                <w:szCs w:val="24"/>
                <w:lang w:eastAsia="ru-RU"/>
              </w:rPr>
              <w:t>×</w:t>
            </w:r>
            <w:r w:rsidRPr="00691330">
              <w:rPr>
                <w:rFonts w:eastAsia="Times New Roman"/>
                <w:iCs/>
                <w:color w:val="000000"/>
                <w:kern w:val="28"/>
                <w:sz w:val="24"/>
                <w:szCs w:val="24"/>
                <w:lang w:eastAsia="ru-RU"/>
              </w:rPr>
              <w:t xml:space="preserve"> 100</w:t>
            </w:r>
            <w:r w:rsidR="00FD30D6">
              <w:rPr>
                <w:rFonts w:eastAsia="Times New Roman"/>
                <w:iCs/>
                <w:color w:val="000000"/>
                <w:kern w:val="28"/>
                <w:sz w:val="24"/>
                <w:szCs w:val="24"/>
                <w:lang w:val="ru-RU" w:eastAsia="ru-RU"/>
              </w:rPr>
              <w:t xml:space="preserve"> </w:t>
            </w:r>
            <w:r w:rsidRPr="00691330">
              <w:rPr>
                <w:rFonts w:eastAsia="Times New Roman"/>
                <w:iCs/>
                <w:color w:val="000000"/>
                <w:kern w:val="28"/>
                <w:sz w:val="24"/>
                <w:szCs w:val="24"/>
                <w:lang w:eastAsia="ru-RU"/>
              </w:rPr>
              <w:t xml:space="preserve">/ загальна </w:t>
            </w:r>
            <w:r w:rsidRPr="00691330">
              <w:rPr>
                <w:rFonts w:eastAsia="Times New Roman"/>
                <w:color w:val="000000"/>
                <w:sz w:val="24"/>
                <w:szCs w:val="24"/>
                <w:lang w:eastAsia="ru-RU"/>
              </w:rPr>
              <w:t>кількість</w:t>
            </w:r>
            <w:r w:rsidRPr="00691330">
              <w:rPr>
                <w:rFonts w:eastAsia="Times New Roman"/>
                <w:iCs/>
                <w:color w:val="000000"/>
                <w:kern w:val="28"/>
                <w:sz w:val="24"/>
                <w:szCs w:val="24"/>
                <w:lang w:eastAsia="ru-RU"/>
              </w:rPr>
              <w:t xml:space="preserve"> </w:t>
            </w:r>
            <w:r w:rsidRPr="00691330">
              <w:rPr>
                <w:rFonts w:eastAsia="Times New Roman"/>
                <w:color w:val="000000"/>
                <w:sz w:val="24"/>
                <w:szCs w:val="24"/>
                <w:lang w:eastAsia="ru-RU"/>
              </w:rPr>
              <w:t>новонароджених масою тіла при народженні 500-999г народжених в регіоні</w:t>
            </w: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&lt; 5</w:t>
            </w: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&lt;15</w:t>
            </w: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&gt;80</w:t>
            </w:r>
          </w:p>
        </w:tc>
      </w:tr>
      <w:tr w:rsidR="00C43972" w:rsidRPr="00691330" w:rsidTr="004E78F6">
        <w:trPr>
          <w:trHeight w:val="2050"/>
          <w:jc w:val="center"/>
        </w:trPr>
        <w:tc>
          <w:tcPr>
            <w:tcW w:w="1946" w:type="dxa"/>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Індекс концентрації новонароджених масою тіла при народженні 1000-1499г</w:t>
            </w: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Ф.21</w:t>
            </w: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rPr>
                <w:rFonts w:eastAsia="Times New Roman"/>
                <w:color w:val="000000"/>
                <w:sz w:val="24"/>
                <w:szCs w:val="24"/>
                <w:lang w:eastAsia="ru-RU"/>
              </w:rPr>
            </w:pPr>
            <w:r w:rsidRPr="00691330">
              <w:rPr>
                <w:rFonts w:eastAsia="Times New Roman"/>
                <w:color w:val="000000"/>
                <w:sz w:val="24"/>
                <w:szCs w:val="24"/>
                <w:lang w:eastAsia="ru-RU"/>
              </w:rPr>
              <w:t>Кількість</w:t>
            </w:r>
            <w:r w:rsidRPr="00691330">
              <w:rPr>
                <w:rFonts w:eastAsia="Times New Roman"/>
                <w:iCs/>
                <w:color w:val="000000"/>
                <w:kern w:val="28"/>
                <w:sz w:val="24"/>
                <w:szCs w:val="24"/>
                <w:lang w:eastAsia="ru-RU"/>
              </w:rPr>
              <w:t xml:space="preserve"> </w:t>
            </w:r>
            <w:r w:rsidRPr="00691330">
              <w:rPr>
                <w:rFonts w:eastAsia="Times New Roman"/>
                <w:color w:val="000000"/>
                <w:sz w:val="24"/>
                <w:szCs w:val="24"/>
                <w:lang w:eastAsia="ru-RU"/>
              </w:rPr>
              <w:t>новонароджених масою тіла при народженні 1000-1499</w:t>
            </w:r>
            <w:r w:rsidR="00F722E5">
              <w:rPr>
                <w:rFonts w:eastAsia="Times New Roman"/>
                <w:color w:val="000000"/>
                <w:sz w:val="24"/>
                <w:szCs w:val="24"/>
                <w:lang w:val="ru-RU" w:eastAsia="ru-RU"/>
              </w:rPr>
              <w:t xml:space="preserve"> </w:t>
            </w:r>
            <w:r w:rsidRPr="00691330">
              <w:rPr>
                <w:rFonts w:eastAsia="Times New Roman"/>
                <w:color w:val="000000"/>
                <w:sz w:val="24"/>
                <w:szCs w:val="24"/>
                <w:lang w:eastAsia="ru-RU"/>
              </w:rPr>
              <w:t xml:space="preserve">г народжених у ЗПД відповідного рівня </w:t>
            </w:r>
            <w:r w:rsidR="00FD30D6">
              <w:rPr>
                <w:rFonts w:eastAsia="Times New Roman"/>
                <w:iCs/>
                <w:color w:val="000000"/>
                <w:kern w:val="28"/>
                <w:sz w:val="24"/>
                <w:szCs w:val="24"/>
                <w:lang w:eastAsia="ru-RU"/>
              </w:rPr>
              <w:t>×</w:t>
            </w:r>
            <w:r w:rsidRPr="00691330">
              <w:rPr>
                <w:rFonts w:eastAsia="Times New Roman"/>
                <w:iCs/>
                <w:color w:val="000000"/>
                <w:kern w:val="28"/>
                <w:sz w:val="24"/>
                <w:szCs w:val="24"/>
                <w:lang w:eastAsia="ru-RU"/>
              </w:rPr>
              <w:t xml:space="preserve"> 100</w:t>
            </w:r>
            <w:r w:rsidR="00FD30D6">
              <w:rPr>
                <w:rFonts w:eastAsia="Times New Roman"/>
                <w:iCs/>
                <w:color w:val="000000"/>
                <w:kern w:val="28"/>
                <w:sz w:val="24"/>
                <w:szCs w:val="24"/>
                <w:lang w:val="ru-RU" w:eastAsia="ru-RU"/>
              </w:rPr>
              <w:t xml:space="preserve"> </w:t>
            </w:r>
            <w:r w:rsidRPr="00691330">
              <w:rPr>
                <w:rFonts w:eastAsia="Times New Roman"/>
                <w:iCs/>
                <w:color w:val="000000"/>
                <w:kern w:val="28"/>
                <w:sz w:val="24"/>
                <w:szCs w:val="24"/>
                <w:lang w:eastAsia="ru-RU"/>
              </w:rPr>
              <w:t xml:space="preserve">/ загальна </w:t>
            </w:r>
            <w:r w:rsidRPr="00691330">
              <w:rPr>
                <w:rFonts w:eastAsia="Times New Roman"/>
                <w:color w:val="000000"/>
                <w:sz w:val="24"/>
                <w:szCs w:val="24"/>
                <w:lang w:eastAsia="ru-RU"/>
              </w:rPr>
              <w:t>кількість</w:t>
            </w:r>
            <w:r w:rsidRPr="00691330">
              <w:rPr>
                <w:rFonts w:eastAsia="Times New Roman"/>
                <w:iCs/>
                <w:color w:val="000000"/>
                <w:kern w:val="28"/>
                <w:sz w:val="24"/>
                <w:szCs w:val="24"/>
                <w:lang w:eastAsia="ru-RU"/>
              </w:rPr>
              <w:t xml:space="preserve"> </w:t>
            </w:r>
            <w:r w:rsidRPr="00691330">
              <w:rPr>
                <w:rFonts w:eastAsia="Times New Roman"/>
                <w:color w:val="000000"/>
                <w:sz w:val="24"/>
                <w:szCs w:val="24"/>
                <w:lang w:eastAsia="ru-RU"/>
              </w:rPr>
              <w:t>новонароджених масою тіла при народженні 1000-1499г народжених в регіоні</w:t>
            </w: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&lt; 8</w:t>
            </w: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&lt;22</w:t>
            </w: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&gt;70</w:t>
            </w:r>
          </w:p>
        </w:tc>
      </w:tr>
      <w:tr w:rsidR="00C43972" w:rsidRPr="00691330" w:rsidTr="004E78F6">
        <w:trPr>
          <w:trHeight w:val="1270"/>
          <w:jc w:val="center"/>
        </w:trPr>
        <w:tc>
          <w:tcPr>
            <w:tcW w:w="1946" w:type="dxa"/>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Частота мало вагових новонароджених</w:t>
            </w: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Ф.21</w:t>
            </w:r>
          </w:p>
          <w:p w:rsidR="00C43972" w:rsidRPr="00691330" w:rsidRDefault="00C43972" w:rsidP="00C43972">
            <w:pPr>
              <w:keepNext/>
              <w:spacing w:line="276" w:lineRule="auto"/>
              <w:jc w:val="left"/>
              <w:rPr>
                <w:rFonts w:eastAsia="Times New Roman"/>
                <w:color w:val="000000"/>
                <w:sz w:val="24"/>
                <w:szCs w:val="24"/>
                <w:lang w:eastAsia="ru-RU"/>
              </w:rPr>
            </w:pP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rPr>
                <w:rFonts w:eastAsia="Times New Roman"/>
                <w:color w:val="000000"/>
                <w:sz w:val="24"/>
                <w:szCs w:val="24"/>
                <w:lang w:eastAsia="ru-RU"/>
              </w:rPr>
            </w:pPr>
            <w:r w:rsidRPr="00691330">
              <w:rPr>
                <w:rFonts w:eastAsia="Times New Roman"/>
                <w:color w:val="000000"/>
                <w:sz w:val="24"/>
                <w:szCs w:val="24"/>
                <w:lang w:eastAsia="ru-RU"/>
              </w:rPr>
              <w:t>Кількість</w:t>
            </w:r>
            <w:r w:rsidRPr="00691330">
              <w:rPr>
                <w:rFonts w:eastAsia="Times New Roman"/>
                <w:iCs/>
                <w:color w:val="000000"/>
                <w:kern w:val="28"/>
                <w:sz w:val="24"/>
                <w:szCs w:val="24"/>
                <w:lang w:eastAsia="ru-RU"/>
              </w:rPr>
              <w:t xml:space="preserve"> </w:t>
            </w:r>
            <w:r w:rsidRPr="00691330">
              <w:rPr>
                <w:rFonts w:eastAsia="Times New Roman"/>
                <w:color w:val="000000"/>
                <w:sz w:val="24"/>
                <w:szCs w:val="24"/>
                <w:lang w:eastAsia="ru-RU"/>
              </w:rPr>
              <w:t>новонароджених масою тіла при народженні 500-2499</w:t>
            </w:r>
            <w:r w:rsidR="00FD30D6">
              <w:rPr>
                <w:rFonts w:eastAsia="Times New Roman"/>
                <w:color w:val="000000"/>
                <w:sz w:val="24"/>
                <w:szCs w:val="24"/>
                <w:lang w:val="ru-RU" w:eastAsia="ru-RU"/>
              </w:rPr>
              <w:t xml:space="preserve"> </w:t>
            </w:r>
            <w:r w:rsidRPr="00691330">
              <w:rPr>
                <w:rFonts w:eastAsia="Times New Roman"/>
                <w:color w:val="000000"/>
                <w:sz w:val="24"/>
                <w:szCs w:val="24"/>
                <w:lang w:eastAsia="ru-RU"/>
              </w:rPr>
              <w:t>г</w:t>
            </w:r>
            <w:r w:rsidR="00FD30D6">
              <w:rPr>
                <w:rFonts w:eastAsia="Times New Roman"/>
                <w:iCs/>
                <w:color w:val="000000"/>
                <w:kern w:val="28"/>
                <w:sz w:val="24"/>
                <w:szCs w:val="24"/>
                <w:lang w:eastAsia="ru-RU"/>
              </w:rPr>
              <w:t xml:space="preserve"> ×</w:t>
            </w:r>
            <w:r w:rsidRPr="00691330">
              <w:rPr>
                <w:rFonts w:eastAsia="Times New Roman"/>
                <w:iCs/>
                <w:color w:val="000000"/>
                <w:kern w:val="28"/>
                <w:sz w:val="24"/>
                <w:szCs w:val="24"/>
                <w:lang w:eastAsia="ru-RU"/>
              </w:rPr>
              <w:t xml:space="preserve"> 100</w:t>
            </w:r>
            <w:r w:rsidR="00FD30D6">
              <w:rPr>
                <w:rFonts w:eastAsia="Times New Roman"/>
                <w:iCs/>
                <w:color w:val="000000"/>
                <w:kern w:val="28"/>
                <w:sz w:val="24"/>
                <w:szCs w:val="24"/>
                <w:lang w:val="ru-RU" w:eastAsia="ru-RU"/>
              </w:rPr>
              <w:t xml:space="preserve"> </w:t>
            </w:r>
            <w:r w:rsidRPr="00691330">
              <w:rPr>
                <w:rFonts w:eastAsia="Times New Roman"/>
                <w:iCs/>
                <w:color w:val="000000"/>
                <w:kern w:val="28"/>
                <w:sz w:val="24"/>
                <w:szCs w:val="24"/>
                <w:lang w:eastAsia="ru-RU"/>
              </w:rPr>
              <w:t xml:space="preserve">/ загальна  </w:t>
            </w:r>
            <w:r w:rsidRPr="00691330">
              <w:rPr>
                <w:rFonts w:eastAsia="Times New Roman"/>
                <w:color w:val="000000"/>
                <w:sz w:val="24"/>
                <w:szCs w:val="24"/>
                <w:lang w:eastAsia="ru-RU"/>
              </w:rPr>
              <w:t>кількість</w:t>
            </w:r>
            <w:r w:rsidRPr="00691330">
              <w:rPr>
                <w:rFonts w:eastAsia="Times New Roman"/>
                <w:iCs/>
                <w:color w:val="000000"/>
                <w:kern w:val="28"/>
                <w:sz w:val="24"/>
                <w:szCs w:val="24"/>
                <w:lang w:eastAsia="ru-RU"/>
              </w:rPr>
              <w:t xml:space="preserve"> </w:t>
            </w:r>
            <w:r w:rsidRPr="00691330">
              <w:rPr>
                <w:rFonts w:eastAsia="Times New Roman"/>
                <w:color w:val="000000"/>
                <w:sz w:val="24"/>
                <w:szCs w:val="24"/>
                <w:lang w:eastAsia="ru-RU"/>
              </w:rPr>
              <w:t xml:space="preserve">новонароджених </w:t>
            </w: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&lt;4</w:t>
            </w: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&lt;2,5-3</w:t>
            </w: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&lt;5,5</w:t>
            </w: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&lt;12</w:t>
            </w:r>
          </w:p>
        </w:tc>
      </w:tr>
      <w:tr w:rsidR="00C43972" w:rsidRPr="00691330" w:rsidTr="004E78F6">
        <w:trPr>
          <w:trHeight w:val="1825"/>
          <w:jc w:val="center"/>
        </w:trPr>
        <w:tc>
          <w:tcPr>
            <w:tcW w:w="1946" w:type="dxa"/>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Виживання новонароджених з дуже малою масою тіла при народженні</w:t>
            </w: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Ф.21</w:t>
            </w:r>
          </w:p>
          <w:p w:rsidR="00C43972" w:rsidRPr="00691330" w:rsidRDefault="00C43972" w:rsidP="00C43972">
            <w:pPr>
              <w:keepNext/>
              <w:spacing w:line="276" w:lineRule="auto"/>
              <w:jc w:val="left"/>
              <w:rPr>
                <w:rFonts w:eastAsia="Times New Roman"/>
                <w:color w:val="000000"/>
                <w:sz w:val="24"/>
                <w:szCs w:val="24"/>
                <w:lang w:eastAsia="ru-RU"/>
              </w:rPr>
            </w:pP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rPr>
                <w:rFonts w:eastAsia="Times New Roman"/>
                <w:color w:val="000000"/>
                <w:sz w:val="24"/>
                <w:szCs w:val="24"/>
                <w:lang w:eastAsia="ru-RU"/>
              </w:rPr>
            </w:pPr>
            <w:r w:rsidRPr="00691330">
              <w:rPr>
                <w:rFonts w:eastAsia="Times New Roman"/>
                <w:color w:val="000000"/>
                <w:sz w:val="24"/>
                <w:szCs w:val="24"/>
                <w:lang w:eastAsia="ru-RU"/>
              </w:rPr>
              <w:t>Кількість новонароджених масою тіла при народженні 500-1499</w:t>
            </w:r>
            <w:r w:rsidR="00FD30D6">
              <w:rPr>
                <w:rFonts w:eastAsia="Times New Roman"/>
                <w:color w:val="000000"/>
                <w:sz w:val="24"/>
                <w:szCs w:val="24"/>
                <w:lang w:val="ru-RU" w:eastAsia="ru-RU"/>
              </w:rPr>
              <w:t xml:space="preserve"> </w:t>
            </w:r>
            <w:r w:rsidRPr="00691330">
              <w:rPr>
                <w:rFonts w:eastAsia="Times New Roman"/>
                <w:color w:val="000000"/>
                <w:sz w:val="24"/>
                <w:szCs w:val="24"/>
                <w:lang w:eastAsia="ru-RU"/>
              </w:rPr>
              <w:t xml:space="preserve">г, які вижили після 168годин життя </w:t>
            </w:r>
            <w:r w:rsidR="00FD30D6">
              <w:rPr>
                <w:rFonts w:eastAsia="Times New Roman"/>
                <w:iCs/>
                <w:color w:val="000000"/>
                <w:kern w:val="28"/>
                <w:sz w:val="24"/>
                <w:szCs w:val="24"/>
                <w:lang w:eastAsia="ru-RU"/>
              </w:rPr>
              <w:t>×</w:t>
            </w:r>
            <w:r w:rsidRPr="00691330">
              <w:rPr>
                <w:rFonts w:eastAsia="Times New Roman"/>
                <w:iCs/>
                <w:color w:val="000000"/>
                <w:kern w:val="28"/>
                <w:sz w:val="24"/>
                <w:szCs w:val="24"/>
                <w:lang w:eastAsia="ru-RU"/>
              </w:rPr>
              <w:t xml:space="preserve"> 100</w:t>
            </w:r>
            <w:r w:rsidR="00FD30D6">
              <w:rPr>
                <w:rFonts w:eastAsia="Times New Roman"/>
                <w:iCs/>
                <w:color w:val="000000"/>
                <w:kern w:val="28"/>
                <w:sz w:val="24"/>
                <w:szCs w:val="24"/>
                <w:lang w:val="ru-RU" w:eastAsia="ru-RU"/>
              </w:rPr>
              <w:t xml:space="preserve"> </w:t>
            </w:r>
            <w:r w:rsidRPr="00691330">
              <w:rPr>
                <w:rFonts w:eastAsia="Times New Roman"/>
                <w:iCs/>
                <w:color w:val="000000"/>
                <w:kern w:val="28"/>
                <w:sz w:val="24"/>
                <w:szCs w:val="24"/>
                <w:lang w:eastAsia="ru-RU"/>
              </w:rPr>
              <w:t>//</w:t>
            </w:r>
            <w:r w:rsidRPr="00691330">
              <w:rPr>
                <w:rFonts w:eastAsia="Times New Roman"/>
                <w:color w:val="000000"/>
                <w:sz w:val="24"/>
                <w:szCs w:val="24"/>
                <w:lang w:eastAsia="ru-RU"/>
              </w:rPr>
              <w:t>кількість</w:t>
            </w:r>
            <w:r w:rsidRPr="00691330">
              <w:rPr>
                <w:rFonts w:eastAsia="Times New Roman"/>
                <w:iCs/>
                <w:color w:val="000000"/>
                <w:kern w:val="28"/>
                <w:sz w:val="24"/>
                <w:szCs w:val="24"/>
                <w:lang w:eastAsia="ru-RU"/>
              </w:rPr>
              <w:t xml:space="preserve"> </w:t>
            </w:r>
            <w:r w:rsidRPr="00691330">
              <w:rPr>
                <w:rFonts w:eastAsia="Times New Roman"/>
                <w:color w:val="000000"/>
                <w:sz w:val="24"/>
                <w:szCs w:val="24"/>
                <w:lang w:eastAsia="ru-RU"/>
              </w:rPr>
              <w:t>новонароджених масою тіла при народженні 500-1499</w:t>
            </w:r>
            <w:r w:rsidR="00FD30D6">
              <w:rPr>
                <w:rFonts w:eastAsia="Times New Roman"/>
                <w:color w:val="000000"/>
                <w:sz w:val="24"/>
                <w:szCs w:val="24"/>
                <w:lang w:val="ru-RU" w:eastAsia="ru-RU"/>
              </w:rPr>
              <w:t xml:space="preserve"> </w:t>
            </w:r>
            <w:r w:rsidRPr="00691330">
              <w:rPr>
                <w:rFonts w:eastAsia="Times New Roman"/>
                <w:color w:val="000000"/>
                <w:sz w:val="24"/>
                <w:szCs w:val="24"/>
                <w:lang w:eastAsia="ru-RU"/>
              </w:rPr>
              <w:t>г</w:t>
            </w: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&gt;85</w:t>
            </w: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&gt;75</w:t>
            </w: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&gt;85</w:t>
            </w: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&gt;89</w:t>
            </w:r>
          </w:p>
        </w:tc>
      </w:tr>
    </w:tbl>
    <w:p w:rsidR="004E78F6" w:rsidRDefault="004E78F6" w:rsidP="004E78F6">
      <w:pPr>
        <w:jc w:val="right"/>
        <w:rPr>
          <w:i/>
          <w:lang w:val="ru-RU"/>
        </w:rPr>
      </w:pPr>
    </w:p>
    <w:p w:rsidR="0058411F" w:rsidRPr="004E78F6" w:rsidRDefault="004E78F6" w:rsidP="0035550D">
      <w:pPr>
        <w:pageBreakBefore/>
        <w:jc w:val="right"/>
        <w:rPr>
          <w:i/>
          <w:lang w:val="ru-RU"/>
        </w:rPr>
      </w:pPr>
      <w:r w:rsidRPr="004E78F6">
        <w:rPr>
          <w:i/>
          <w:lang w:val="ru-RU"/>
        </w:rPr>
        <w:lastRenderedPageBreak/>
        <w:t>Продовження додаток Е-3</w:t>
      </w:r>
    </w:p>
    <w:tbl>
      <w:tblPr>
        <w:tblW w:w="0" w:type="auto"/>
        <w:jc w:val="center"/>
        <w:tblInd w:w="260" w:type="dxa"/>
        <w:tblLook w:val="01E0" w:firstRow="1" w:lastRow="1" w:firstColumn="1" w:lastColumn="1" w:noHBand="0" w:noVBand="0"/>
      </w:tblPr>
      <w:tblGrid>
        <w:gridCol w:w="1946"/>
        <w:gridCol w:w="1473"/>
        <w:gridCol w:w="4189"/>
        <w:gridCol w:w="772"/>
        <w:gridCol w:w="592"/>
        <w:gridCol w:w="592"/>
        <w:gridCol w:w="597"/>
      </w:tblGrid>
      <w:tr w:rsidR="00C43972" w:rsidRPr="00691330" w:rsidTr="0058411F">
        <w:trPr>
          <w:jc w:val="center"/>
        </w:trPr>
        <w:tc>
          <w:tcPr>
            <w:tcW w:w="1946" w:type="dxa"/>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Індекс здоров’я новонароджених</w:t>
            </w: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Ф.21</w:t>
            </w:r>
          </w:p>
          <w:p w:rsidR="00C43972" w:rsidRPr="00691330" w:rsidRDefault="00C43972" w:rsidP="00C43972">
            <w:pPr>
              <w:keepNext/>
              <w:spacing w:line="276" w:lineRule="auto"/>
              <w:jc w:val="left"/>
              <w:rPr>
                <w:rFonts w:eastAsia="Times New Roman"/>
                <w:color w:val="000000"/>
                <w:sz w:val="24"/>
                <w:szCs w:val="24"/>
                <w:lang w:eastAsia="ru-RU"/>
              </w:rPr>
            </w:pP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rPr>
                <w:rFonts w:eastAsia="Times New Roman"/>
                <w:color w:val="000000"/>
                <w:sz w:val="24"/>
                <w:szCs w:val="24"/>
                <w:lang w:eastAsia="ru-RU"/>
              </w:rPr>
            </w:pPr>
            <w:r w:rsidRPr="00691330">
              <w:rPr>
                <w:rFonts w:eastAsia="Times New Roman"/>
                <w:color w:val="000000"/>
                <w:sz w:val="24"/>
                <w:szCs w:val="24"/>
                <w:lang w:eastAsia="ru-RU"/>
              </w:rPr>
              <w:t>Кількість народжених здоровими новонароджених</w:t>
            </w:r>
            <w:r w:rsidR="00FD30D6">
              <w:rPr>
                <w:rFonts w:eastAsia="Times New Roman"/>
                <w:iCs/>
                <w:color w:val="000000"/>
                <w:kern w:val="28"/>
                <w:sz w:val="24"/>
                <w:szCs w:val="24"/>
                <w:lang w:eastAsia="ru-RU"/>
              </w:rPr>
              <w:t xml:space="preserve"> ×</w:t>
            </w:r>
            <w:r w:rsidRPr="00691330">
              <w:rPr>
                <w:rFonts w:eastAsia="Times New Roman"/>
                <w:iCs/>
                <w:color w:val="000000"/>
                <w:kern w:val="28"/>
                <w:sz w:val="24"/>
                <w:szCs w:val="24"/>
                <w:lang w:eastAsia="ru-RU"/>
              </w:rPr>
              <w:t xml:space="preserve"> 100</w:t>
            </w:r>
            <w:r w:rsidR="00FD30D6">
              <w:rPr>
                <w:rFonts w:eastAsia="Times New Roman"/>
                <w:iCs/>
                <w:color w:val="000000"/>
                <w:kern w:val="28"/>
                <w:sz w:val="24"/>
                <w:szCs w:val="24"/>
                <w:lang w:val="ru-RU" w:eastAsia="ru-RU"/>
              </w:rPr>
              <w:t xml:space="preserve"> </w:t>
            </w:r>
            <w:r w:rsidRPr="00691330">
              <w:rPr>
                <w:rFonts w:eastAsia="Times New Roman"/>
                <w:iCs/>
                <w:color w:val="000000"/>
                <w:kern w:val="28"/>
                <w:sz w:val="24"/>
                <w:szCs w:val="24"/>
                <w:lang w:eastAsia="ru-RU"/>
              </w:rPr>
              <w:t xml:space="preserve">/ загальна  </w:t>
            </w:r>
            <w:r w:rsidRPr="00691330">
              <w:rPr>
                <w:rFonts w:eastAsia="Times New Roman"/>
                <w:color w:val="000000"/>
                <w:sz w:val="24"/>
                <w:szCs w:val="24"/>
                <w:lang w:eastAsia="ru-RU"/>
              </w:rPr>
              <w:t>кількість</w:t>
            </w:r>
            <w:r w:rsidRPr="00691330">
              <w:rPr>
                <w:rFonts w:eastAsia="Times New Roman"/>
                <w:iCs/>
                <w:color w:val="000000"/>
                <w:kern w:val="28"/>
                <w:sz w:val="24"/>
                <w:szCs w:val="24"/>
                <w:lang w:eastAsia="ru-RU"/>
              </w:rPr>
              <w:t xml:space="preserve"> </w:t>
            </w:r>
            <w:r w:rsidRPr="00691330">
              <w:rPr>
                <w:rFonts w:eastAsia="Times New Roman"/>
                <w:color w:val="000000"/>
                <w:sz w:val="24"/>
                <w:szCs w:val="24"/>
                <w:lang w:eastAsia="ru-RU"/>
              </w:rPr>
              <w:t>новонароджених</w:t>
            </w: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&gt;90</w:t>
            </w: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&gt;95</w:t>
            </w: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&gt;80</w:t>
            </w: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&gt;70</w:t>
            </w:r>
          </w:p>
        </w:tc>
      </w:tr>
      <w:tr w:rsidR="00C43972" w:rsidRPr="00691330" w:rsidTr="0058411F">
        <w:trPr>
          <w:jc w:val="center"/>
        </w:trPr>
        <w:tc>
          <w:tcPr>
            <w:tcW w:w="1946" w:type="dxa"/>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Рівень перинатальної смертності</w:t>
            </w: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ind w:left="-108" w:firstLine="108"/>
              <w:jc w:val="left"/>
              <w:rPr>
                <w:rFonts w:eastAsia="Times New Roman"/>
                <w:color w:val="000000"/>
                <w:sz w:val="24"/>
                <w:szCs w:val="24"/>
                <w:lang w:eastAsia="ru-RU"/>
              </w:rPr>
            </w:pPr>
            <w:r w:rsidRPr="00691330">
              <w:rPr>
                <w:rFonts w:eastAsia="Times New Roman"/>
                <w:color w:val="000000"/>
                <w:sz w:val="24"/>
                <w:szCs w:val="24"/>
                <w:lang w:eastAsia="ru-RU"/>
              </w:rPr>
              <w:t>Дані Державної служби статистики</w:t>
            </w: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rPr>
                <w:rFonts w:eastAsia="Times New Roman"/>
                <w:color w:val="000000"/>
                <w:sz w:val="24"/>
                <w:szCs w:val="24"/>
                <w:lang w:eastAsia="ru-RU"/>
              </w:rPr>
            </w:pPr>
            <w:r w:rsidRPr="00691330">
              <w:rPr>
                <w:rFonts w:eastAsia="Times New Roman"/>
                <w:color w:val="000000"/>
                <w:sz w:val="24"/>
                <w:szCs w:val="24"/>
                <w:lang w:eastAsia="ru-RU"/>
              </w:rPr>
              <w:t xml:space="preserve">Кількість народжених мертвими і померлих у перші 168 год. життя </w:t>
            </w:r>
            <w:r w:rsidRPr="00691330">
              <w:rPr>
                <w:rFonts w:eastAsia="Times New Roman"/>
                <w:color w:val="000000"/>
                <w:sz w:val="24"/>
                <w:szCs w:val="24"/>
                <w:lang w:eastAsia="ru-RU"/>
              </w:rPr>
              <w:br/>
            </w:r>
            <w:r w:rsidR="00FD30D6">
              <w:rPr>
                <w:rFonts w:eastAsia="Times New Roman"/>
                <w:iCs/>
                <w:color w:val="000000"/>
                <w:kern w:val="28"/>
                <w:sz w:val="24"/>
                <w:szCs w:val="24"/>
                <w:lang w:eastAsia="ru-RU"/>
              </w:rPr>
              <w:t>×</w:t>
            </w:r>
            <w:r w:rsidRPr="00691330">
              <w:rPr>
                <w:rFonts w:eastAsia="Times New Roman"/>
                <w:color w:val="000000"/>
                <w:sz w:val="24"/>
                <w:szCs w:val="24"/>
                <w:lang w:eastAsia="ru-RU"/>
              </w:rPr>
              <w:t xml:space="preserve"> 1000 / загальна кількість новонароджених</w:t>
            </w: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&lt; 8</w:t>
            </w: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&lt; 3</w:t>
            </w: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&lt; 6</w:t>
            </w: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&lt;12</w:t>
            </w:r>
          </w:p>
        </w:tc>
      </w:tr>
      <w:tr w:rsidR="00C43972" w:rsidRPr="00691330" w:rsidTr="0058411F">
        <w:trPr>
          <w:jc w:val="center"/>
        </w:trPr>
        <w:tc>
          <w:tcPr>
            <w:tcW w:w="1946" w:type="dxa"/>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Рівень неонатальної смертності</w:t>
            </w:r>
          </w:p>
          <w:p w:rsidR="00C43972" w:rsidRPr="00691330" w:rsidRDefault="00C43972" w:rsidP="00C43972">
            <w:pPr>
              <w:keepNext/>
              <w:spacing w:line="276" w:lineRule="auto"/>
              <w:jc w:val="left"/>
              <w:rPr>
                <w:rFonts w:eastAsia="Times New Roman"/>
                <w:color w:val="000000"/>
                <w:sz w:val="24"/>
                <w:szCs w:val="24"/>
                <w:lang w:eastAsia="ru-RU"/>
              </w:rPr>
            </w:pP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ind w:left="-108" w:firstLine="108"/>
              <w:jc w:val="left"/>
              <w:rPr>
                <w:rFonts w:eastAsia="Times New Roman"/>
                <w:color w:val="000000"/>
                <w:sz w:val="24"/>
                <w:szCs w:val="24"/>
                <w:lang w:eastAsia="ru-RU"/>
              </w:rPr>
            </w:pPr>
            <w:r w:rsidRPr="00691330">
              <w:rPr>
                <w:rFonts w:eastAsia="Times New Roman"/>
                <w:color w:val="000000"/>
                <w:sz w:val="24"/>
                <w:szCs w:val="24"/>
                <w:lang w:eastAsia="ru-RU"/>
              </w:rPr>
              <w:t>Дані Державної служби статистики</w:t>
            </w: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rPr>
                <w:rFonts w:eastAsia="Times New Roman"/>
                <w:color w:val="000000"/>
                <w:sz w:val="24"/>
                <w:szCs w:val="24"/>
                <w:lang w:eastAsia="ru-RU"/>
              </w:rPr>
            </w:pPr>
            <w:r w:rsidRPr="00691330">
              <w:rPr>
                <w:rFonts w:eastAsia="Times New Roman"/>
                <w:color w:val="000000"/>
                <w:sz w:val="24"/>
                <w:szCs w:val="24"/>
                <w:lang w:eastAsia="ru-RU"/>
              </w:rPr>
              <w:t xml:space="preserve">Кількість новонароджених, померлих у перші 168 год. життя </w:t>
            </w:r>
            <w:r w:rsidR="00FD30D6">
              <w:rPr>
                <w:rFonts w:eastAsia="Times New Roman"/>
                <w:iCs/>
                <w:color w:val="000000"/>
                <w:kern w:val="28"/>
                <w:sz w:val="24"/>
                <w:szCs w:val="24"/>
                <w:lang w:eastAsia="ru-RU"/>
              </w:rPr>
              <w:t>×</w:t>
            </w:r>
            <w:r w:rsidRPr="00691330">
              <w:rPr>
                <w:rFonts w:eastAsia="Times New Roman"/>
                <w:color w:val="000000"/>
                <w:sz w:val="24"/>
                <w:szCs w:val="24"/>
                <w:lang w:eastAsia="ru-RU"/>
              </w:rPr>
              <w:t xml:space="preserve"> 1000 / загальна кількість новонароджених</w:t>
            </w: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&lt; 4</w:t>
            </w: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&lt; 1</w:t>
            </w: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&lt; 3</w:t>
            </w: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&lt; 5</w:t>
            </w:r>
          </w:p>
        </w:tc>
      </w:tr>
      <w:tr w:rsidR="00C43972" w:rsidRPr="00691330" w:rsidTr="0058411F">
        <w:trPr>
          <w:jc w:val="center"/>
        </w:trPr>
        <w:tc>
          <w:tcPr>
            <w:tcW w:w="1946" w:type="dxa"/>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Рівень материнської смертності</w:t>
            </w: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ind w:left="-108" w:firstLine="108"/>
              <w:jc w:val="left"/>
              <w:rPr>
                <w:rFonts w:eastAsia="Times New Roman"/>
                <w:color w:val="000000"/>
                <w:sz w:val="24"/>
                <w:szCs w:val="24"/>
                <w:lang w:eastAsia="ru-RU"/>
              </w:rPr>
            </w:pPr>
            <w:r w:rsidRPr="00691330">
              <w:rPr>
                <w:rFonts w:eastAsia="Times New Roman"/>
                <w:color w:val="000000"/>
                <w:sz w:val="24"/>
                <w:szCs w:val="24"/>
                <w:lang w:eastAsia="ru-RU"/>
              </w:rPr>
              <w:t>Дані Державної служби статистики</w:t>
            </w: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rPr>
                <w:rFonts w:eastAsia="Times New Roman"/>
                <w:color w:val="000000"/>
                <w:sz w:val="24"/>
                <w:szCs w:val="24"/>
                <w:lang w:eastAsia="ru-RU"/>
              </w:rPr>
            </w:pPr>
            <w:r w:rsidRPr="00691330">
              <w:rPr>
                <w:rFonts w:eastAsia="Times New Roman"/>
                <w:color w:val="000000"/>
                <w:sz w:val="24"/>
                <w:szCs w:val="24"/>
                <w:lang w:eastAsia="ru-RU"/>
              </w:rPr>
              <w:t xml:space="preserve">Кількість жінок, що померли в період вагітності,пологів та протягом 42 днів після пологів  з будь-якої причини пов’язаної з вагітністю, обтяженою нею  або її веденням але не від нещасного випадку </w:t>
            </w:r>
            <w:r w:rsidR="00FD30D6">
              <w:rPr>
                <w:rFonts w:eastAsia="Times New Roman"/>
                <w:iCs/>
                <w:color w:val="000000"/>
                <w:kern w:val="28"/>
                <w:sz w:val="24"/>
                <w:szCs w:val="24"/>
                <w:lang w:eastAsia="ru-RU"/>
              </w:rPr>
              <w:t>×</w:t>
            </w:r>
            <w:r w:rsidRPr="00691330">
              <w:rPr>
                <w:rFonts w:eastAsia="Times New Roman"/>
                <w:color w:val="000000"/>
                <w:sz w:val="24"/>
                <w:szCs w:val="24"/>
                <w:lang w:eastAsia="ru-RU"/>
              </w:rPr>
              <w:t xml:space="preserve"> 100000 / загальна кількість новонароджених</w:t>
            </w: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&lt;11,0</w:t>
            </w: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&lt; 5</w:t>
            </w: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&lt; 7</w:t>
            </w:r>
          </w:p>
        </w:tc>
        <w:tc>
          <w:tcPr>
            <w:tcW w:w="0" w:type="auto"/>
            <w:tcBorders>
              <w:top w:val="single" w:sz="4" w:space="0" w:color="auto"/>
              <w:left w:val="single" w:sz="4" w:space="0" w:color="auto"/>
              <w:bottom w:val="single" w:sz="4" w:space="0" w:color="auto"/>
              <w:right w:val="single" w:sz="4" w:space="0" w:color="auto"/>
            </w:tcBorders>
          </w:tcPr>
          <w:p w:rsidR="00C43972" w:rsidRPr="00691330" w:rsidRDefault="00C43972" w:rsidP="00C43972">
            <w:pPr>
              <w:keepNext/>
              <w:spacing w:line="276" w:lineRule="auto"/>
              <w:jc w:val="left"/>
              <w:rPr>
                <w:rFonts w:eastAsia="Times New Roman"/>
                <w:color w:val="000000"/>
                <w:sz w:val="24"/>
                <w:szCs w:val="24"/>
                <w:lang w:eastAsia="ru-RU"/>
              </w:rPr>
            </w:pPr>
            <w:r w:rsidRPr="00691330">
              <w:rPr>
                <w:rFonts w:eastAsia="Times New Roman"/>
                <w:color w:val="000000"/>
                <w:sz w:val="24"/>
                <w:szCs w:val="24"/>
                <w:lang w:eastAsia="ru-RU"/>
              </w:rPr>
              <w:t>&lt; 15</w:t>
            </w:r>
          </w:p>
        </w:tc>
      </w:tr>
    </w:tbl>
    <w:p w:rsidR="00C43972" w:rsidRPr="00C43972" w:rsidRDefault="00C43972" w:rsidP="00C43972">
      <w:pPr>
        <w:jc w:val="right"/>
        <w:rPr>
          <w:rFonts w:eastAsia="Calibri"/>
          <w:b/>
          <w:szCs w:val="28"/>
        </w:rPr>
      </w:pPr>
    </w:p>
    <w:p w:rsidR="00C43972" w:rsidRPr="00C43972" w:rsidRDefault="00535BCC" w:rsidP="0035550D">
      <w:pPr>
        <w:keepNext/>
        <w:pageBreakBefore/>
        <w:spacing w:line="240" w:lineRule="auto"/>
        <w:jc w:val="right"/>
        <w:rPr>
          <w:rFonts w:eastAsia="Times New Roman"/>
          <w:szCs w:val="28"/>
          <w:lang w:eastAsia="ru-RU"/>
        </w:rPr>
      </w:pPr>
      <w:r>
        <w:rPr>
          <w:rFonts w:eastAsia="Times New Roman"/>
          <w:szCs w:val="28"/>
          <w:lang w:eastAsia="ru-RU"/>
        </w:rPr>
        <w:lastRenderedPageBreak/>
        <w:t>Додаток Е</w:t>
      </w:r>
      <w:r w:rsidR="00C43972" w:rsidRPr="00C43972">
        <w:rPr>
          <w:rFonts w:eastAsia="Times New Roman"/>
          <w:szCs w:val="28"/>
          <w:lang w:eastAsia="ru-RU"/>
        </w:rPr>
        <w:t>-4</w:t>
      </w:r>
    </w:p>
    <w:p w:rsidR="00C43972" w:rsidRPr="00C43972" w:rsidRDefault="00C43972" w:rsidP="00C43972">
      <w:pPr>
        <w:keepNext/>
        <w:spacing w:line="240" w:lineRule="auto"/>
        <w:jc w:val="left"/>
        <w:rPr>
          <w:rFonts w:eastAsia="Times New Roman"/>
          <w:sz w:val="24"/>
          <w:szCs w:val="24"/>
          <w:lang w:eastAsia="ru-RU"/>
        </w:rPr>
      </w:pPr>
    </w:p>
    <w:p w:rsidR="00C43972" w:rsidRPr="00C43972" w:rsidRDefault="00C43972" w:rsidP="00111929">
      <w:pPr>
        <w:keepNext/>
        <w:jc w:val="center"/>
        <w:rPr>
          <w:rFonts w:eastAsia="Times New Roman"/>
          <w:b/>
          <w:szCs w:val="28"/>
          <w:lang w:eastAsia="ru-RU"/>
        </w:rPr>
      </w:pPr>
      <w:r w:rsidRPr="00C43972">
        <w:rPr>
          <w:rFonts w:eastAsia="Times New Roman"/>
          <w:b/>
          <w:bCs/>
          <w:iCs/>
          <w:color w:val="000000"/>
          <w:szCs w:val="28"/>
          <w:lang w:eastAsia="uk-UA"/>
        </w:rPr>
        <w:t>Комплексна оцінка діяльності закладів перинатальної допомоги Вінницької області у 2017–2018 рр.</w:t>
      </w:r>
    </w:p>
    <w:tbl>
      <w:tblPr>
        <w:tblW w:w="9992" w:type="dxa"/>
        <w:jc w:val="right"/>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395"/>
        <w:gridCol w:w="968"/>
        <w:gridCol w:w="969"/>
        <w:gridCol w:w="968"/>
        <w:gridCol w:w="969"/>
        <w:gridCol w:w="873"/>
        <w:gridCol w:w="850"/>
      </w:tblGrid>
      <w:tr w:rsidR="004E78F6" w:rsidRPr="00C43972" w:rsidTr="001061D5">
        <w:trPr>
          <w:cantSplit/>
          <w:trHeight w:val="845"/>
          <w:jc w:val="right"/>
        </w:trPr>
        <w:tc>
          <w:tcPr>
            <w:tcW w:w="4395" w:type="dxa"/>
            <w:vMerge w:val="restart"/>
            <w:tcBorders>
              <w:top w:val="single" w:sz="4" w:space="0" w:color="auto"/>
              <w:left w:val="single" w:sz="4" w:space="0" w:color="auto"/>
              <w:right w:val="single" w:sz="4" w:space="0" w:color="auto"/>
            </w:tcBorders>
            <w:vAlign w:val="center"/>
            <w:hideMark/>
          </w:tcPr>
          <w:p w:rsidR="004E78F6" w:rsidRPr="00C43972" w:rsidRDefault="004E78F6" w:rsidP="00C43972">
            <w:pPr>
              <w:keepNext/>
              <w:spacing w:line="240" w:lineRule="auto"/>
              <w:ind w:right="57"/>
              <w:jc w:val="center"/>
              <w:rPr>
                <w:rFonts w:eastAsia="Times New Roman"/>
                <w:color w:val="000000"/>
                <w:sz w:val="20"/>
                <w:szCs w:val="20"/>
                <w:lang w:eastAsia="uk-UA"/>
              </w:rPr>
            </w:pPr>
            <w:r w:rsidRPr="00C43972">
              <w:rPr>
                <w:rFonts w:eastAsia="Times New Roman"/>
                <w:color w:val="000000"/>
                <w:sz w:val="20"/>
                <w:szCs w:val="20"/>
                <w:lang w:eastAsia="uk-UA"/>
              </w:rPr>
              <w:t>Індикатор якості</w:t>
            </w:r>
          </w:p>
        </w:tc>
        <w:tc>
          <w:tcPr>
            <w:tcW w:w="1937" w:type="dxa"/>
            <w:gridSpan w:val="2"/>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color w:val="000000"/>
                <w:sz w:val="20"/>
                <w:szCs w:val="20"/>
                <w:lang w:eastAsia="uk-UA"/>
              </w:rPr>
            </w:pPr>
            <w:r w:rsidRPr="00C43972">
              <w:rPr>
                <w:rFonts w:eastAsia="Times New Roman"/>
                <w:color w:val="000000"/>
                <w:sz w:val="20"/>
                <w:szCs w:val="20"/>
                <w:lang w:eastAsia="uk-UA"/>
              </w:rPr>
              <w:t xml:space="preserve">Фактичний показник, </w:t>
            </w:r>
            <w:r w:rsidRPr="00C43972">
              <w:rPr>
                <w:rFonts w:eastAsia="Times New Roman"/>
                <w:sz w:val="20"/>
                <w:szCs w:val="20"/>
                <w:lang w:eastAsia="uk-UA"/>
              </w:rPr>
              <w:t>Україна</w:t>
            </w:r>
          </w:p>
        </w:tc>
        <w:tc>
          <w:tcPr>
            <w:tcW w:w="1937" w:type="dxa"/>
            <w:gridSpan w:val="2"/>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color w:val="000000"/>
                <w:sz w:val="20"/>
                <w:szCs w:val="20"/>
                <w:lang w:eastAsia="uk-UA"/>
              </w:rPr>
            </w:pPr>
            <w:r w:rsidRPr="00C43972">
              <w:rPr>
                <w:rFonts w:eastAsia="Times New Roman"/>
                <w:color w:val="000000"/>
                <w:sz w:val="20"/>
                <w:szCs w:val="20"/>
                <w:lang w:eastAsia="uk-UA"/>
              </w:rPr>
              <w:t>Бальна оцінка фактичного показника</w:t>
            </w:r>
          </w:p>
        </w:tc>
        <w:tc>
          <w:tcPr>
            <w:tcW w:w="1723" w:type="dxa"/>
            <w:gridSpan w:val="2"/>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color w:val="000000"/>
                <w:sz w:val="20"/>
                <w:szCs w:val="20"/>
                <w:lang w:eastAsia="uk-UA"/>
              </w:rPr>
            </w:pPr>
            <w:r w:rsidRPr="00C43972">
              <w:rPr>
                <w:rFonts w:eastAsia="Times New Roman"/>
                <w:color w:val="000000"/>
                <w:sz w:val="20"/>
                <w:szCs w:val="20"/>
                <w:lang w:eastAsia="uk-UA"/>
              </w:rPr>
              <w:t>КДНЗ</w:t>
            </w:r>
          </w:p>
        </w:tc>
      </w:tr>
      <w:tr w:rsidR="004E78F6" w:rsidRPr="00C43972" w:rsidTr="001061D5">
        <w:trPr>
          <w:trHeight w:val="404"/>
          <w:jc w:val="right"/>
        </w:trPr>
        <w:tc>
          <w:tcPr>
            <w:tcW w:w="4395" w:type="dxa"/>
            <w:vMerge/>
            <w:tcBorders>
              <w:left w:val="single" w:sz="4" w:space="0" w:color="auto"/>
              <w:bottom w:val="single" w:sz="4" w:space="0" w:color="auto"/>
              <w:right w:val="single" w:sz="4" w:space="0" w:color="auto"/>
            </w:tcBorders>
            <w:vAlign w:val="bottom"/>
          </w:tcPr>
          <w:p w:rsidR="004E78F6" w:rsidRPr="00C43972" w:rsidRDefault="004E78F6" w:rsidP="00C43972">
            <w:pPr>
              <w:keepNext/>
              <w:spacing w:line="240" w:lineRule="auto"/>
              <w:ind w:right="57"/>
              <w:jc w:val="left"/>
              <w:rPr>
                <w:rFonts w:eastAsia="Times New Roman"/>
                <w:sz w:val="20"/>
                <w:szCs w:val="20"/>
                <w:lang w:eastAsia="ru-RU"/>
              </w:rPr>
            </w:pPr>
          </w:p>
        </w:tc>
        <w:tc>
          <w:tcPr>
            <w:tcW w:w="968"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sz w:val="20"/>
                <w:szCs w:val="20"/>
                <w:lang w:eastAsia="ru-RU"/>
              </w:rPr>
            </w:pPr>
            <w:r w:rsidRPr="00C43972">
              <w:rPr>
                <w:rFonts w:eastAsia="Times New Roman"/>
                <w:sz w:val="20"/>
                <w:szCs w:val="20"/>
                <w:lang w:eastAsia="ru-RU"/>
              </w:rPr>
              <w:t>2017 р.</w:t>
            </w:r>
          </w:p>
        </w:tc>
        <w:tc>
          <w:tcPr>
            <w:tcW w:w="969"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sz w:val="20"/>
                <w:szCs w:val="20"/>
                <w:lang w:eastAsia="ru-RU"/>
              </w:rPr>
            </w:pPr>
            <w:r w:rsidRPr="00C43972">
              <w:rPr>
                <w:rFonts w:eastAsia="Times New Roman"/>
                <w:sz w:val="20"/>
                <w:szCs w:val="20"/>
                <w:lang w:eastAsia="ru-RU"/>
              </w:rPr>
              <w:t>2018 р.</w:t>
            </w:r>
          </w:p>
        </w:tc>
        <w:tc>
          <w:tcPr>
            <w:tcW w:w="968"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sz w:val="20"/>
                <w:szCs w:val="20"/>
                <w:lang w:eastAsia="ru-RU"/>
              </w:rPr>
            </w:pPr>
            <w:r w:rsidRPr="00C43972">
              <w:rPr>
                <w:rFonts w:eastAsia="Times New Roman"/>
                <w:sz w:val="20"/>
                <w:szCs w:val="20"/>
                <w:lang w:eastAsia="ru-RU"/>
              </w:rPr>
              <w:t>2017 р.</w:t>
            </w:r>
          </w:p>
        </w:tc>
        <w:tc>
          <w:tcPr>
            <w:tcW w:w="969"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sz w:val="20"/>
                <w:szCs w:val="20"/>
                <w:lang w:eastAsia="ru-RU"/>
              </w:rPr>
            </w:pPr>
            <w:r w:rsidRPr="00C43972">
              <w:rPr>
                <w:rFonts w:eastAsia="Times New Roman"/>
                <w:sz w:val="20"/>
                <w:szCs w:val="20"/>
                <w:lang w:eastAsia="ru-RU"/>
              </w:rPr>
              <w:t>2018 р.</w:t>
            </w:r>
          </w:p>
        </w:tc>
        <w:tc>
          <w:tcPr>
            <w:tcW w:w="873"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sz w:val="20"/>
                <w:szCs w:val="20"/>
                <w:lang w:eastAsia="ru-RU"/>
              </w:rPr>
            </w:pPr>
            <w:r w:rsidRPr="00C43972">
              <w:rPr>
                <w:rFonts w:eastAsia="Times New Roman"/>
                <w:sz w:val="20"/>
                <w:szCs w:val="20"/>
                <w:lang w:eastAsia="ru-RU"/>
              </w:rPr>
              <w:t>2017 р.</w:t>
            </w:r>
          </w:p>
        </w:tc>
        <w:tc>
          <w:tcPr>
            <w:tcW w:w="850"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sz w:val="20"/>
                <w:szCs w:val="20"/>
                <w:lang w:eastAsia="ru-RU"/>
              </w:rPr>
            </w:pPr>
            <w:r w:rsidRPr="00C43972">
              <w:rPr>
                <w:rFonts w:eastAsia="Times New Roman"/>
                <w:sz w:val="20"/>
                <w:szCs w:val="20"/>
                <w:lang w:eastAsia="ru-RU"/>
              </w:rPr>
              <w:t>2018 р.</w:t>
            </w:r>
          </w:p>
        </w:tc>
      </w:tr>
      <w:tr w:rsidR="004E78F6" w:rsidRPr="00C43972" w:rsidTr="001061D5">
        <w:trPr>
          <w:trHeight w:val="404"/>
          <w:jc w:val="right"/>
        </w:trPr>
        <w:tc>
          <w:tcPr>
            <w:tcW w:w="4395"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left"/>
              <w:rPr>
                <w:rFonts w:eastAsia="Times New Roman"/>
                <w:sz w:val="20"/>
                <w:szCs w:val="20"/>
                <w:lang w:eastAsia="ru-RU"/>
              </w:rPr>
            </w:pPr>
            <w:r w:rsidRPr="00C43972">
              <w:rPr>
                <w:rFonts w:eastAsia="Times New Roman"/>
                <w:sz w:val="20"/>
                <w:szCs w:val="20"/>
                <w:lang w:eastAsia="ru-RU"/>
              </w:rPr>
              <w:t>Забезпеченість  лікарями акушер-гінекологами</w:t>
            </w:r>
          </w:p>
        </w:tc>
        <w:tc>
          <w:tcPr>
            <w:tcW w:w="968"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sz w:val="20"/>
                <w:szCs w:val="20"/>
                <w:lang w:eastAsia="ru-RU"/>
              </w:rPr>
            </w:pPr>
            <w:r w:rsidRPr="00C43972">
              <w:rPr>
                <w:rFonts w:eastAsia="Times New Roman"/>
                <w:sz w:val="20"/>
                <w:szCs w:val="20"/>
                <w:lang w:eastAsia="ru-RU"/>
              </w:rPr>
              <w:t>5,11</w:t>
            </w:r>
          </w:p>
        </w:tc>
        <w:tc>
          <w:tcPr>
            <w:tcW w:w="969"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sz w:val="20"/>
                <w:szCs w:val="20"/>
                <w:lang w:eastAsia="ru-RU"/>
              </w:rPr>
            </w:pPr>
            <w:r w:rsidRPr="00C43972">
              <w:rPr>
                <w:rFonts w:eastAsia="Times New Roman"/>
                <w:sz w:val="20"/>
                <w:szCs w:val="20"/>
                <w:lang w:eastAsia="ru-RU"/>
              </w:rPr>
              <w:t>5,09</w:t>
            </w:r>
          </w:p>
        </w:tc>
        <w:tc>
          <w:tcPr>
            <w:tcW w:w="968"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sz w:val="20"/>
                <w:szCs w:val="20"/>
                <w:lang w:eastAsia="ru-RU"/>
              </w:rPr>
            </w:pPr>
            <w:r w:rsidRPr="00C43972">
              <w:rPr>
                <w:rFonts w:eastAsia="Times New Roman"/>
                <w:sz w:val="20"/>
                <w:szCs w:val="20"/>
                <w:lang w:eastAsia="ru-RU"/>
              </w:rPr>
              <w:t>5,57</w:t>
            </w:r>
          </w:p>
        </w:tc>
        <w:tc>
          <w:tcPr>
            <w:tcW w:w="969"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sz w:val="20"/>
                <w:szCs w:val="20"/>
                <w:lang w:eastAsia="ru-RU"/>
              </w:rPr>
            </w:pPr>
            <w:r w:rsidRPr="00C43972">
              <w:rPr>
                <w:rFonts w:eastAsia="Times New Roman"/>
                <w:sz w:val="20"/>
                <w:szCs w:val="20"/>
                <w:lang w:eastAsia="ru-RU"/>
              </w:rPr>
              <w:t>5,55</w:t>
            </w:r>
          </w:p>
        </w:tc>
        <w:tc>
          <w:tcPr>
            <w:tcW w:w="873"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sz w:val="20"/>
                <w:szCs w:val="20"/>
                <w:lang w:eastAsia="ru-RU"/>
              </w:rPr>
            </w:pPr>
            <w:r w:rsidRPr="00C43972">
              <w:rPr>
                <w:rFonts w:eastAsia="Times New Roman"/>
                <w:sz w:val="20"/>
                <w:szCs w:val="20"/>
                <w:lang w:eastAsia="ru-RU"/>
              </w:rPr>
              <w:t>0,93</w:t>
            </w:r>
          </w:p>
        </w:tc>
        <w:tc>
          <w:tcPr>
            <w:tcW w:w="850"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color w:val="000000"/>
                <w:sz w:val="20"/>
                <w:szCs w:val="20"/>
                <w:lang w:eastAsia="ru-RU"/>
              </w:rPr>
            </w:pPr>
            <w:r w:rsidRPr="00C43972">
              <w:rPr>
                <w:rFonts w:eastAsia="Times New Roman"/>
                <w:color w:val="000000"/>
                <w:sz w:val="20"/>
                <w:szCs w:val="20"/>
                <w:lang w:eastAsia="ru-RU"/>
              </w:rPr>
              <w:t>0,93</w:t>
            </w:r>
          </w:p>
        </w:tc>
      </w:tr>
      <w:tr w:rsidR="004E78F6" w:rsidRPr="00C43972" w:rsidTr="001061D5">
        <w:trPr>
          <w:trHeight w:val="404"/>
          <w:jc w:val="right"/>
        </w:trPr>
        <w:tc>
          <w:tcPr>
            <w:tcW w:w="4395" w:type="dxa"/>
            <w:tcBorders>
              <w:top w:val="single" w:sz="4" w:space="0" w:color="auto"/>
              <w:left w:val="single" w:sz="4" w:space="0" w:color="auto"/>
              <w:bottom w:val="single" w:sz="4" w:space="0" w:color="auto"/>
              <w:right w:val="single" w:sz="4" w:space="0" w:color="auto"/>
            </w:tcBorders>
            <w:vAlign w:val="bottom"/>
          </w:tcPr>
          <w:p w:rsidR="004E78F6" w:rsidRPr="00C43972" w:rsidRDefault="004E78F6" w:rsidP="00C43972">
            <w:pPr>
              <w:keepNext/>
              <w:spacing w:line="240" w:lineRule="auto"/>
              <w:ind w:right="57"/>
              <w:jc w:val="left"/>
              <w:rPr>
                <w:rFonts w:eastAsia="Times New Roman"/>
                <w:sz w:val="20"/>
                <w:szCs w:val="20"/>
                <w:lang w:eastAsia="ru-RU"/>
              </w:rPr>
            </w:pPr>
            <w:r w:rsidRPr="00C43972">
              <w:rPr>
                <w:rFonts w:eastAsia="Times New Roman"/>
                <w:sz w:val="20"/>
                <w:szCs w:val="20"/>
                <w:lang w:eastAsia="ru-RU"/>
              </w:rPr>
              <w:t>Забезпеченість  лікарями  педіатрами-неонатологами</w:t>
            </w:r>
          </w:p>
        </w:tc>
        <w:tc>
          <w:tcPr>
            <w:tcW w:w="968"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sz w:val="20"/>
                <w:szCs w:val="20"/>
                <w:lang w:eastAsia="ru-RU"/>
              </w:rPr>
            </w:pPr>
            <w:r w:rsidRPr="00C43972">
              <w:rPr>
                <w:rFonts w:eastAsia="Times New Roman"/>
                <w:sz w:val="20"/>
                <w:szCs w:val="20"/>
                <w:lang w:eastAsia="ru-RU"/>
              </w:rPr>
              <w:t>4,99</w:t>
            </w:r>
          </w:p>
        </w:tc>
        <w:tc>
          <w:tcPr>
            <w:tcW w:w="969"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sz w:val="20"/>
                <w:szCs w:val="20"/>
                <w:lang w:eastAsia="ru-RU"/>
              </w:rPr>
            </w:pPr>
            <w:r w:rsidRPr="00C43972">
              <w:rPr>
                <w:rFonts w:eastAsia="Times New Roman"/>
                <w:sz w:val="20"/>
                <w:szCs w:val="20"/>
                <w:lang w:eastAsia="ru-RU"/>
              </w:rPr>
              <w:t>5,30</w:t>
            </w:r>
          </w:p>
        </w:tc>
        <w:tc>
          <w:tcPr>
            <w:tcW w:w="968"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sz w:val="20"/>
                <w:szCs w:val="20"/>
                <w:lang w:eastAsia="ru-RU"/>
              </w:rPr>
            </w:pPr>
            <w:r w:rsidRPr="00C43972">
              <w:rPr>
                <w:rFonts w:eastAsia="Times New Roman"/>
                <w:sz w:val="20"/>
                <w:szCs w:val="20"/>
                <w:lang w:eastAsia="ru-RU"/>
              </w:rPr>
              <w:t>5,44</w:t>
            </w:r>
          </w:p>
        </w:tc>
        <w:tc>
          <w:tcPr>
            <w:tcW w:w="969"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sz w:val="20"/>
                <w:szCs w:val="20"/>
                <w:lang w:eastAsia="ru-RU"/>
              </w:rPr>
            </w:pPr>
            <w:r w:rsidRPr="00C43972">
              <w:rPr>
                <w:rFonts w:eastAsia="Times New Roman"/>
                <w:sz w:val="20"/>
                <w:szCs w:val="20"/>
                <w:lang w:eastAsia="ru-RU"/>
              </w:rPr>
              <w:t>5,78</w:t>
            </w:r>
          </w:p>
        </w:tc>
        <w:tc>
          <w:tcPr>
            <w:tcW w:w="873"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sz w:val="20"/>
                <w:szCs w:val="20"/>
                <w:lang w:eastAsia="ru-RU"/>
              </w:rPr>
            </w:pPr>
            <w:r w:rsidRPr="00C43972">
              <w:rPr>
                <w:rFonts w:eastAsia="Times New Roman"/>
                <w:sz w:val="20"/>
                <w:szCs w:val="20"/>
                <w:lang w:eastAsia="ru-RU"/>
              </w:rPr>
              <w:t>0,91</w:t>
            </w:r>
          </w:p>
        </w:tc>
        <w:tc>
          <w:tcPr>
            <w:tcW w:w="850"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color w:val="000000"/>
                <w:sz w:val="20"/>
                <w:szCs w:val="20"/>
                <w:lang w:eastAsia="ru-RU"/>
              </w:rPr>
            </w:pPr>
            <w:r w:rsidRPr="00C43972">
              <w:rPr>
                <w:rFonts w:eastAsia="Times New Roman"/>
                <w:color w:val="000000"/>
                <w:sz w:val="20"/>
                <w:szCs w:val="20"/>
                <w:lang w:eastAsia="ru-RU"/>
              </w:rPr>
              <w:t>0,96</w:t>
            </w:r>
          </w:p>
        </w:tc>
      </w:tr>
      <w:tr w:rsidR="004E78F6" w:rsidRPr="00C43972" w:rsidTr="001061D5">
        <w:trPr>
          <w:trHeight w:val="404"/>
          <w:jc w:val="right"/>
        </w:trPr>
        <w:tc>
          <w:tcPr>
            <w:tcW w:w="4395" w:type="dxa"/>
            <w:tcBorders>
              <w:top w:val="single" w:sz="4" w:space="0" w:color="auto"/>
              <w:left w:val="single" w:sz="4" w:space="0" w:color="auto"/>
              <w:bottom w:val="single" w:sz="4" w:space="0" w:color="auto"/>
              <w:right w:val="single" w:sz="4" w:space="0" w:color="auto"/>
            </w:tcBorders>
            <w:vAlign w:val="bottom"/>
          </w:tcPr>
          <w:p w:rsidR="004E78F6" w:rsidRPr="00C43972" w:rsidRDefault="004E78F6" w:rsidP="00C43972">
            <w:pPr>
              <w:keepNext/>
              <w:spacing w:line="240" w:lineRule="auto"/>
              <w:ind w:right="57"/>
              <w:jc w:val="left"/>
              <w:rPr>
                <w:rFonts w:eastAsia="Times New Roman"/>
                <w:sz w:val="20"/>
                <w:szCs w:val="20"/>
                <w:lang w:eastAsia="ru-RU"/>
              </w:rPr>
            </w:pPr>
            <w:r w:rsidRPr="00C43972">
              <w:rPr>
                <w:rFonts w:eastAsia="Times New Roman"/>
                <w:sz w:val="20"/>
                <w:szCs w:val="20"/>
                <w:lang w:eastAsia="ru-RU"/>
              </w:rPr>
              <w:t>Питома вага атестованих лікарів акушер-гінекологів</w:t>
            </w:r>
          </w:p>
        </w:tc>
        <w:tc>
          <w:tcPr>
            <w:tcW w:w="968"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sz w:val="20"/>
                <w:szCs w:val="20"/>
                <w:lang w:eastAsia="ru-RU"/>
              </w:rPr>
            </w:pPr>
            <w:r w:rsidRPr="00C43972">
              <w:rPr>
                <w:rFonts w:eastAsia="Times New Roman"/>
                <w:sz w:val="20"/>
                <w:szCs w:val="20"/>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sz w:val="20"/>
                <w:szCs w:val="20"/>
                <w:lang w:eastAsia="ru-RU"/>
              </w:rPr>
            </w:pPr>
            <w:r w:rsidRPr="00C43972">
              <w:rPr>
                <w:rFonts w:eastAsia="Times New Roman"/>
                <w:sz w:val="20"/>
                <w:szCs w:val="20"/>
                <w:lang w:eastAsia="ru-RU"/>
              </w:rPr>
              <w:t>86,25</w:t>
            </w:r>
          </w:p>
        </w:tc>
        <w:tc>
          <w:tcPr>
            <w:tcW w:w="968"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sz w:val="20"/>
                <w:szCs w:val="20"/>
                <w:lang w:eastAsia="ru-RU"/>
              </w:rPr>
            </w:pPr>
            <w:r w:rsidRPr="00C43972">
              <w:rPr>
                <w:rFonts w:eastAsia="Times New Roman"/>
                <w:sz w:val="20"/>
                <w:szCs w:val="20"/>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sz w:val="20"/>
                <w:szCs w:val="20"/>
                <w:lang w:eastAsia="ru-RU"/>
              </w:rPr>
            </w:pPr>
            <w:r w:rsidRPr="00C43972">
              <w:rPr>
                <w:rFonts w:eastAsia="Times New Roman"/>
                <w:sz w:val="20"/>
                <w:szCs w:val="20"/>
                <w:lang w:eastAsia="ru-RU"/>
              </w:rPr>
              <w:t>5,75</w:t>
            </w:r>
          </w:p>
        </w:tc>
        <w:tc>
          <w:tcPr>
            <w:tcW w:w="873"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sz w:val="20"/>
                <w:szCs w:val="20"/>
                <w:lang w:eastAsia="ru-RU"/>
              </w:rPr>
            </w:pPr>
            <w:r w:rsidRPr="00C43972">
              <w:rPr>
                <w:rFonts w:eastAsia="Times New Roman"/>
                <w:sz w:val="20"/>
                <w:szCs w:val="20"/>
                <w:lang w:eastAsia="ru-RU"/>
              </w:rPr>
              <w:t>*</w:t>
            </w:r>
          </w:p>
        </w:tc>
        <w:tc>
          <w:tcPr>
            <w:tcW w:w="850"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color w:val="000000"/>
                <w:sz w:val="20"/>
                <w:szCs w:val="20"/>
                <w:lang w:eastAsia="ru-RU"/>
              </w:rPr>
            </w:pPr>
            <w:r w:rsidRPr="00C43972">
              <w:rPr>
                <w:rFonts w:eastAsia="Times New Roman"/>
                <w:color w:val="000000"/>
                <w:sz w:val="20"/>
                <w:szCs w:val="20"/>
                <w:lang w:eastAsia="ru-RU"/>
              </w:rPr>
              <w:t>0,96</w:t>
            </w:r>
          </w:p>
        </w:tc>
      </w:tr>
      <w:tr w:rsidR="004E78F6" w:rsidRPr="00C43972" w:rsidTr="001061D5">
        <w:trPr>
          <w:trHeight w:val="404"/>
          <w:jc w:val="right"/>
        </w:trPr>
        <w:tc>
          <w:tcPr>
            <w:tcW w:w="4395" w:type="dxa"/>
            <w:tcBorders>
              <w:top w:val="single" w:sz="4" w:space="0" w:color="auto"/>
              <w:left w:val="single" w:sz="4" w:space="0" w:color="auto"/>
              <w:bottom w:val="single" w:sz="4" w:space="0" w:color="auto"/>
              <w:right w:val="single" w:sz="4" w:space="0" w:color="auto"/>
            </w:tcBorders>
            <w:vAlign w:val="bottom"/>
          </w:tcPr>
          <w:p w:rsidR="004E78F6" w:rsidRPr="00C43972" w:rsidRDefault="004E78F6" w:rsidP="00C43972">
            <w:pPr>
              <w:keepNext/>
              <w:spacing w:line="240" w:lineRule="auto"/>
              <w:ind w:right="57"/>
              <w:jc w:val="left"/>
              <w:rPr>
                <w:rFonts w:eastAsia="Times New Roman"/>
                <w:sz w:val="20"/>
                <w:szCs w:val="20"/>
                <w:lang w:eastAsia="ru-RU"/>
              </w:rPr>
            </w:pPr>
            <w:r w:rsidRPr="00C43972">
              <w:rPr>
                <w:rFonts w:eastAsia="Times New Roman"/>
                <w:sz w:val="20"/>
                <w:szCs w:val="20"/>
                <w:lang w:eastAsia="ru-RU"/>
              </w:rPr>
              <w:t>Питома вага атестованих лікарів педіатрів-неонатологів</w:t>
            </w:r>
          </w:p>
        </w:tc>
        <w:tc>
          <w:tcPr>
            <w:tcW w:w="968"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sz w:val="20"/>
                <w:szCs w:val="20"/>
                <w:lang w:eastAsia="ru-RU"/>
              </w:rPr>
            </w:pPr>
            <w:r w:rsidRPr="00C43972">
              <w:rPr>
                <w:rFonts w:eastAsia="Times New Roman"/>
                <w:sz w:val="20"/>
                <w:szCs w:val="20"/>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sz w:val="20"/>
                <w:szCs w:val="20"/>
                <w:lang w:eastAsia="ru-RU"/>
              </w:rPr>
            </w:pPr>
            <w:r w:rsidRPr="00C43972">
              <w:rPr>
                <w:rFonts w:eastAsia="Times New Roman"/>
                <w:sz w:val="20"/>
                <w:szCs w:val="20"/>
                <w:lang w:eastAsia="ru-RU"/>
              </w:rPr>
              <w:t>73,13</w:t>
            </w:r>
          </w:p>
        </w:tc>
        <w:tc>
          <w:tcPr>
            <w:tcW w:w="968"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sz w:val="20"/>
                <w:szCs w:val="20"/>
                <w:lang w:eastAsia="ru-RU"/>
              </w:rPr>
            </w:pPr>
            <w:r w:rsidRPr="00C43972">
              <w:rPr>
                <w:rFonts w:eastAsia="Times New Roman"/>
                <w:sz w:val="20"/>
                <w:szCs w:val="20"/>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sz w:val="20"/>
                <w:szCs w:val="20"/>
                <w:lang w:eastAsia="ru-RU"/>
              </w:rPr>
            </w:pPr>
            <w:r w:rsidRPr="00C43972">
              <w:rPr>
                <w:rFonts w:eastAsia="Times New Roman"/>
                <w:sz w:val="20"/>
                <w:szCs w:val="20"/>
                <w:lang w:eastAsia="ru-RU"/>
              </w:rPr>
              <w:t>5,48</w:t>
            </w:r>
          </w:p>
        </w:tc>
        <w:tc>
          <w:tcPr>
            <w:tcW w:w="873"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sz w:val="20"/>
                <w:szCs w:val="20"/>
                <w:lang w:eastAsia="ru-RU"/>
              </w:rPr>
            </w:pPr>
            <w:r w:rsidRPr="00C43972">
              <w:rPr>
                <w:rFonts w:eastAsia="Times New Roman"/>
                <w:sz w:val="20"/>
                <w:szCs w:val="20"/>
                <w:lang w:eastAsia="ru-RU"/>
              </w:rPr>
              <w:t>*</w:t>
            </w:r>
          </w:p>
        </w:tc>
        <w:tc>
          <w:tcPr>
            <w:tcW w:w="850"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color w:val="000000"/>
                <w:sz w:val="20"/>
                <w:szCs w:val="20"/>
                <w:lang w:eastAsia="ru-RU"/>
              </w:rPr>
            </w:pPr>
            <w:r w:rsidRPr="00C43972">
              <w:rPr>
                <w:rFonts w:eastAsia="Times New Roman"/>
                <w:color w:val="000000"/>
                <w:sz w:val="20"/>
                <w:szCs w:val="20"/>
                <w:lang w:eastAsia="ru-RU"/>
              </w:rPr>
              <w:t>0,91</w:t>
            </w:r>
          </w:p>
        </w:tc>
      </w:tr>
      <w:tr w:rsidR="004E78F6" w:rsidRPr="00C43972" w:rsidTr="001061D5">
        <w:trPr>
          <w:trHeight w:val="319"/>
          <w:jc w:val="right"/>
        </w:trPr>
        <w:tc>
          <w:tcPr>
            <w:tcW w:w="4395"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left"/>
              <w:rPr>
                <w:rFonts w:eastAsia="Times New Roman"/>
                <w:sz w:val="20"/>
                <w:szCs w:val="20"/>
                <w:lang w:eastAsia="ru-RU"/>
              </w:rPr>
            </w:pPr>
            <w:r w:rsidRPr="00C43972">
              <w:rPr>
                <w:rFonts w:eastAsia="Times New Roman"/>
                <w:sz w:val="20"/>
                <w:szCs w:val="20"/>
                <w:lang w:eastAsia="ru-RU"/>
              </w:rPr>
              <w:t xml:space="preserve">Своєчасність постановки на облік вагітних </w:t>
            </w:r>
          </w:p>
        </w:tc>
        <w:tc>
          <w:tcPr>
            <w:tcW w:w="968"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sz w:val="20"/>
                <w:szCs w:val="20"/>
                <w:lang w:eastAsia="ru-RU"/>
              </w:rPr>
            </w:pPr>
            <w:r w:rsidRPr="00C43972">
              <w:rPr>
                <w:rFonts w:eastAsia="Times New Roman"/>
                <w:sz w:val="20"/>
                <w:szCs w:val="20"/>
                <w:lang w:eastAsia="ru-RU"/>
              </w:rPr>
              <w:t>74,24</w:t>
            </w:r>
          </w:p>
        </w:tc>
        <w:tc>
          <w:tcPr>
            <w:tcW w:w="969"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sz w:val="20"/>
                <w:szCs w:val="20"/>
                <w:lang w:eastAsia="ru-RU"/>
              </w:rPr>
            </w:pPr>
            <w:r w:rsidRPr="00C43972">
              <w:rPr>
                <w:rFonts w:eastAsia="Times New Roman"/>
                <w:sz w:val="20"/>
                <w:szCs w:val="20"/>
                <w:lang w:eastAsia="ru-RU"/>
              </w:rPr>
              <w:t>69,47</w:t>
            </w:r>
          </w:p>
        </w:tc>
        <w:tc>
          <w:tcPr>
            <w:tcW w:w="968"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sz w:val="20"/>
                <w:szCs w:val="20"/>
                <w:lang w:eastAsia="ru-RU"/>
              </w:rPr>
            </w:pPr>
            <w:r w:rsidRPr="00C43972">
              <w:rPr>
                <w:rFonts w:eastAsia="Times New Roman"/>
                <w:sz w:val="20"/>
                <w:szCs w:val="20"/>
                <w:lang w:eastAsia="ru-RU"/>
              </w:rPr>
              <w:t>5,47</w:t>
            </w:r>
          </w:p>
        </w:tc>
        <w:tc>
          <w:tcPr>
            <w:tcW w:w="969"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sz w:val="20"/>
                <w:szCs w:val="20"/>
                <w:lang w:eastAsia="ru-RU"/>
              </w:rPr>
            </w:pPr>
            <w:r w:rsidRPr="00C43972">
              <w:rPr>
                <w:rFonts w:eastAsia="Times New Roman"/>
                <w:sz w:val="20"/>
                <w:szCs w:val="20"/>
                <w:lang w:eastAsia="ru-RU"/>
              </w:rPr>
              <w:t>5,21</w:t>
            </w:r>
          </w:p>
        </w:tc>
        <w:tc>
          <w:tcPr>
            <w:tcW w:w="873"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sz w:val="20"/>
                <w:szCs w:val="20"/>
                <w:lang w:eastAsia="ru-RU"/>
              </w:rPr>
            </w:pPr>
            <w:r w:rsidRPr="00C43972">
              <w:rPr>
                <w:rFonts w:eastAsia="Times New Roman"/>
                <w:sz w:val="20"/>
                <w:szCs w:val="20"/>
                <w:lang w:eastAsia="ru-RU"/>
              </w:rPr>
              <w:t>0,78</w:t>
            </w:r>
          </w:p>
        </w:tc>
        <w:tc>
          <w:tcPr>
            <w:tcW w:w="850"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color w:val="000000"/>
                <w:sz w:val="20"/>
                <w:szCs w:val="20"/>
                <w:lang w:eastAsia="ru-RU"/>
              </w:rPr>
            </w:pPr>
            <w:r w:rsidRPr="00C43972">
              <w:rPr>
                <w:rFonts w:eastAsia="Times New Roman"/>
                <w:color w:val="000000"/>
                <w:sz w:val="20"/>
                <w:szCs w:val="20"/>
                <w:lang w:eastAsia="ru-RU"/>
              </w:rPr>
              <w:t>0,74</w:t>
            </w:r>
          </w:p>
        </w:tc>
      </w:tr>
      <w:tr w:rsidR="004E78F6" w:rsidRPr="00C43972" w:rsidTr="001061D5">
        <w:trPr>
          <w:trHeight w:val="365"/>
          <w:jc w:val="right"/>
        </w:trPr>
        <w:tc>
          <w:tcPr>
            <w:tcW w:w="4395"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left"/>
              <w:rPr>
                <w:rFonts w:eastAsia="Times New Roman"/>
                <w:sz w:val="20"/>
                <w:szCs w:val="20"/>
                <w:lang w:eastAsia="ru-RU"/>
              </w:rPr>
            </w:pPr>
            <w:r w:rsidRPr="00C43972">
              <w:rPr>
                <w:rFonts w:eastAsia="Times New Roman"/>
                <w:sz w:val="20"/>
                <w:szCs w:val="20"/>
                <w:lang w:eastAsia="ru-RU"/>
              </w:rPr>
              <w:t>Частота анемій вагітних</w:t>
            </w:r>
          </w:p>
        </w:tc>
        <w:tc>
          <w:tcPr>
            <w:tcW w:w="968"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sz w:val="20"/>
                <w:szCs w:val="20"/>
                <w:lang w:eastAsia="ru-RU"/>
              </w:rPr>
            </w:pPr>
            <w:r w:rsidRPr="00C43972">
              <w:rPr>
                <w:rFonts w:eastAsia="Times New Roman"/>
                <w:sz w:val="20"/>
                <w:szCs w:val="20"/>
                <w:lang w:eastAsia="ru-RU"/>
              </w:rPr>
              <w:t>23,94</w:t>
            </w:r>
          </w:p>
        </w:tc>
        <w:tc>
          <w:tcPr>
            <w:tcW w:w="969"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sz w:val="20"/>
                <w:szCs w:val="20"/>
                <w:lang w:eastAsia="ru-RU"/>
              </w:rPr>
            </w:pPr>
            <w:r w:rsidRPr="00C43972">
              <w:rPr>
                <w:rFonts w:eastAsia="Times New Roman"/>
                <w:sz w:val="20"/>
                <w:szCs w:val="20"/>
                <w:lang w:eastAsia="ru-RU"/>
              </w:rPr>
              <w:t>25,61</w:t>
            </w:r>
          </w:p>
        </w:tc>
        <w:tc>
          <w:tcPr>
            <w:tcW w:w="968"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sz w:val="20"/>
                <w:szCs w:val="20"/>
                <w:lang w:eastAsia="ru-RU"/>
              </w:rPr>
            </w:pPr>
            <w:r w:rsidRPr="00C43972">
              <w:rPr>
                <w:rFonts w:eastAsia="Times New Roman"/>
                <w:sz w:val="20"/>
                <w:szCs w:val="20"/>
                <w:lang w:eastAsia="ru-RU"/>
              </w:rPr>
              <w:t>3,21</w:t>
            </w:r>
          </w:p>
        </w:tc>
        <w:tc>
          <w:tcPr>
            <w:tcW w:w="969"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sz w:val="20"/>
                <w:szCs w:val="20"/>
                <w:lang w:eastAsia="ru-RU"/>
              </w:rPr>
            </w:pPr>
            <w:r w:rsidRPr="00C43972">
              <w:rPr>
                <w:rFonts w:eastAsia="Times New Roman"/>
                <w:sz w:val="20"/>
                <w:szCs w:val="20"/>
                <w:lang w:eastAsia="ru-RU"/>
              </w:rPr>
              <w:t>3,22</w:t>
            </w:r>
          </w:p>
        </w:tc>
        <w:tc>
          <w:tcPr>
            <w:tcW w:w="873"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sz w:val="20"/>
                <w:szCs w:val="20"/>
                <w:lang w:eastAsia="ru-RU"/>
              </w:rPr>
            </w:pPr>
            <w:r w:rsidRPr="00C43972">
              <w:rPr>
                <w:rFonts w:eastAsia="Times New Roman"/>
                <w:sz w:val="20"/>
                <w:szCs w:val="20"/>
                <w:lang w:eastAsia="ru-RU"/>
              </w:rPr>
              <w:t>0,80</w:t>
            </w:r>
          </w:p>
        </w:tc>
        <w:tc>
          <w:tcPr>
            <w:tcW w:w="850"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color w:val="000000"/>
                <w:sz w:val="20"/>
                <w:szCs w:val="20"/>
                <w:lang w:eastAsia="ru-RU"/>
              </w:rPr>
            </w:pPr>
            <w:r w:rsidRPr="00C43972">
              <w:rPr>
                <w:rFonts w:eastAsia="Times New Roman"/>
                <w:color w:val="000000"/>
                <w:sz w:val="20"/>
                <w:szCs w:val="20"/>
                <w:lang w:eastAsia="ru-RU"/>
              </w:rPr>
              <w:t>0,81</w:t>
            </w:r>
          </w:p>
        </w:tc>
      </w:tr>
      <w:tr w:rsidR="004E78F6" w:rsidRPr="00C43972" w:rsidTr="001061D5">
        <w:trPr>
          <w:trHeight w:val="340"/>
          <w:jc w:val="right"/>
        </w:trPr>
        <w:tc>
          <w:tcPr>
            <w:tcW w:w="4395"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left"/>
              <w:rPr>
                <w:rFonts w:eastAsia="Times New Roman"/>
                <w:sz w:val="20"/>
                <w:szCs w:val="20"/>
                <w:lang w:eastAsia="ru-RU"/>
              </w:rPr>
            </w:pPr>
            <w:r w:rsidRPr="00C43972">
              <w:rPr>
                <w:rFonts w:eastAsia="Times New Roman"/>
                <w:sz w:val="20"/>
                <w:szCs w:val="20"/>
                <w:lang w:eastAsia="ru-RU"/>
              </w:rPr>
              <w:t>Частота прееклампсій та еклампсій вагітних</w:t>
            </w:r>
          </w:p>
        </w:tc>
        <w:tc>
          <w:tcPr>
            <w:tcW w:w="968"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sz w:val="20"/>
                <w:szCs w:val="20"/>
                <w:lang w:eastAsia="ru-RU"/>
              </w:rPr>
            </w:pPr>
            <w:r w:rsidRPr="00C43972">
              <w:rPr>
                <w:rFonts w:eastAsia="Times New Roman"/>
                <w:sz w:val="20"/>
                <w:szCs w:val="20"/>
                <w:lang w:eastAsia="ru-RU"/>
              </w:rPr>
              <w:t>1,78</w:t>
            </w:r>
          </w:p>
        </w:tc>
        <w:tc>
          <w:tcPr>
            <w:tcW w:w="969"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sz w:val="20"/>
                <w:szCs w:val="20"/>
                <w:lang w:eastAsia="ru-RU"/>
              </w:rPr>
            </w:pPr>
            <w:r w:rsidRPr="00C43972">
              <w:rPr>
                <w:rFonts w:eastAsia="Times New Roman"/>
                <w:sz w:val="20"/>
                <w:szCs w:val="20"/>
                <w:lang w:eastAsia="ru-RU"/>
              </w:rPr>
              <w:t>1,67</w:t>
            </w:r>
          </w:p>
        </w:tc>
        <w:tc>
          <w:tcPr>
            <w:tcW w:w="968"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sz w:val="20"/>
                <w:szCs w:val="20"/>
                <w:lang w:eastAsia="ru-RU"/>
              </w:rPr>
            </w:pPr>
            <w:r w:rsidRPr="00C43972">
              <w:rPr>
                <w:rFonts w:eastAsia="Times New Roman"/>
                <w:sz w:val="20"/>
                <w:szCs w:val="20"/>
                <w:lang w:eastAsia="ru-RU"/>
              </w:rPr>
              <w:t>6,88</w:t>
            </w:r>
          </w:p>
        </w:tc>
        <w:tc>
          <w:tcPr>
            <w:tcW w:w="969"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sz w:val="20"/>
                <w:szCs w:val="20"/>
                <w:lang w:eastAsia="ru-RU"/>
              </w:rPr>
            </w:pPr>
            <w:r w:rsidRPr="00C43972">
              <w:rPr>
                <w:rFonts w:eastAsia="Times New Roman"/>
                <w:sz w:val="20"/>
                <w:szCs w:val="20"/>
                <w:lang w:eastAsia="ru-RU"/>
              </w:rPr>
              <w:t>7,0</w:t>
            </w:r>
          </w:p>
        </w:tc>
        <w:tc>
          <w:tcPr>
            <w:tcW w:w="873"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sz w:val="20"/>
                <w:szCs w:val="20"/>
                <w:lang w:eastAsia="ru-RU"/>
              </w:rPr>
            </w:pPr>
            <w:r w:rsidRPr="00C43972">
              <w:rPr>
                <w:rFonts w:eastAsia="Times New Roman"/>
                <w:sz w:val="20"/>
                <w:szCs w:val="20"/>
                <w:lang w:eastAsia="ru-RU"/>
              </w:rPr>
              <w:t>0,98</w:t>
            </w:r>
          </w:p>
        </w:tc>
        <w:tc>
          <w:tcPr>
            <w:tcW w:w="850"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color w:val="000000"/>
                <w:sz w:val="20"/>
                <w:szCs w:val="20"/>
                <w:lang w:eastAsia="ru-RU"/>
              </w:rPr>
            </w:pPr>
            <w:r w:rsidRPr="00C43972">
              <w:rPr>
                <w:rFonts w:eastAsia="Times New Roman"/>
                <w:color w:val="000000"/>
                <w:sz w:val="20"/>
                <w:szCs w:val="20"/>
                <w:lang w:eastAsia="ru-RU"/>
              </w:rPr>
              <w:t>1,00</w:t>
            </w:r>
          </w:p>
        </w:tc>
      </w:tr>
      <w:tr w:rsidR="004E78F6" w:rsidRPr="00C43972" w:rsidTr="001061D5">
        <w:trPr>
          <w:trHeight w:val="418"/>
          <w:jc w:val="right"/>
        </w:trPr>
        <w:tc>
          <w:tcPr>
            <w:tcW w:w="4395"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left"/>
              <w:rPr>
                <w:rFonts w:eastAsia="Times New Roman"/>
                <w:sz w:val="20"/>
                <w:szCs w:val="20"/>
                <w:lang w:eastAsia="ru-RU"/>
              </w:rPr>
            </w:pPr>
            <w:r w:rsidRPr="00C43972">
              <w:rPr>
                <w:rFonts w:eastAsia="Times New Roman"/>
                <w:sz w:val="20"/>
                <w:szCs w:val="20"/>
                <w:lang w:eastAsia="ru-RU"/>
              </w:rPr>
              <w:t>Співвідношення безпечних методів абортів до небезпечних</w:t>
            </w:r>
          </w:p>
        </w:tc>
        <w:tc>
          <w:tcPr>
            <w:tcW w:w="968"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sz w:val="20"/>
                <w:szCs w:val="20"/>
                <w:lang w:eastAsia="ru-RU"/>
              </w:rPr>
            </w:pPr>
            <w:r w:rsidRPr="00C43972">
              <w:rPr>
                <w:rFonts w:eastAsia="Times New Roman"/>
                <w:sz w:val="20"/>
                <w:szCs w:val="20"/>
                <w:lang w:eastAsia="ru-RU"/>
              </w:rPr>
              <w:t>339,0</w:t>
            </w:r>
          </w:p>
        </w:tc>
        <w:tc>
          <w:tcPr>
            <w:tcW w:w="969"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sz w:val="20"/>
                <w:szCs w:val="20"/>
                <w:lang w:eastAsia="ru-RU"/>
              </w:rPr>
            </w:pPr>
            <w:r w:rsidRPr="00C43972">
              <w:rPr>
                <w:rFonts w:eastAsia="Times New Roman"/>
                <w:sz w:val="20"/>
                <w:szCs w:val="20"/>
                <w:lang w:eastAsia="ru-RU"/>
              </w:rPr>
              <w:t>460,5</w:t>
            </w:r>
          </w:p>
        </w:tc>
        <w:tc>
          <w:tcPr>
            <w:tcW w:w="968"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sz w:val="20"/>
                <w:szCs w:val="20"/>
                <w:lang w:eastAsia="ru-RU"/>
              </w:rPr>
            </w:pPr>
            <w:r w:rsidRPr="00C43972">
              <w:rPr>
                <w:rFonts w:eastAsia="Times New Roman"/>
                <w:sz w:val="20"/>
                <w:szCs w:val="20"/>
                <w:lang w:eastAsia="ru-RU"/>
              </w:rPr>
              <w:t>6,0</w:t>
            </w:r>
          </w:p>
        </w:tc>
        <w:tc>
          <w:tcPr>
            <w:tcW w:w="969"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sz w:val="20"/>
                <w:szCs w:val="20"/>
                <w:lang w:eastAsia="ru-RU"/>
              </w:rPr>
            </w:pPr>
            <w:r w:rsidRPr="00C43972">
              <w:rPr>
                <w:rFonts w:eastAsia="Times New Roman"/>
                <w:sz w:val="20"/>
                <w:szCs w:val="20"/>
                <w:lang w:eastAsia="ru-RU"/>
              </w:rPr>
              <w:t>6,0</w:t>
            </w:r>
          </w:p>
        </w:tc>
        <w:tc>
          <w:tcPr>
            <w:tcW w:w="873"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sz w:val="20"/>
                <w:szCs w:val="20"/>
                <w:lang w:eastAsia="ru-RU"/>
              </w:rPr>
            </w:pPr>
            <w:r w:rsidRPr="00C43972">
              <w:rPr>
                <w:rFonts w:eastAsia="Times New Roman"/>
                <w:sz w:val="20"/>
                <w:szCs w:val="20"/>
                <w:lang w:eastAsia="ru-RU"/>
              </w:rPr>
              <w:t>1,00</w:t>
            </w:r>
          </w:p>
        </w:tc>
        <w:tc>
          <w:tcPr>
            <w:tcW w:w="850"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color w:val="000000"/>
                <w:sz w:val="20"/>
                <w:szCs w:val="20"/>
                <w:lang w:eastAsia="ru-RU"/>
              </w:rPr>
            </w:pPr>
            <w:r w:rsidRPr="00C43972">
              <w:rPr>
                <w:rFonts w:eastAsia="Times New Roman"/>
                <w:color w:val="000000"/>
                <w:sz w:val="20"/>
                <w:szCs w:val="20"/>
                <w:lang w:eastAsia="ru-RU"/>
              </w:rPr>
              <w:t>1,00</w:t>
            </w:r>
          </w:p>
        </w:tc>
      </w:tr>
      <w:tr w:rsidR="004E78F6" w:rsidRPr="00C43972" w:rsidTr="001061D5">
        <w:trPr>
          <w:trHeight w:val="600"/>
          <w:jc w:val="right"/>
        </w:trPr>
        <w:tc>
          <w:tcPr>
            <w:tcW w:w="4395" w:type="dxa"/>
            <w:tcBorders>
              <w:top w:val="single" w:sz="4" w:space="0" w:color="auto"/>
              <w:left w:val="single" w:sz="4" w:space="0" w:color="auto"/>
              <w:bottom w:val="single" w:sz="4" w:space="0" w:color="auto"/>
              <w:right w:val="single" w:sz="4" w:space="0" w:color="auto"/>
            </w:tcBorders>
            <w:vAlign w:val="bottom"/>
          </w:tcPr>
          <w:p w:rsidR="004E78F6" w:rsidRPr="00C43972" w:rsidRDefault="004E78F6" w:rsidP="00C43972">
            <w:pPr>
              <w:keepNext/>
              <w:spacing w:line="240" w:lineRule="auto"/>
              <w:ind w:right="57"/>
              <w:jc w:val="left"/>
              <w:rPr>
                <w:rFonts w:eastAsia="Times New Roman"/>
                <w:sz w:val="20"/>
                <w:szCs w:val="20"/>
                <w:lang w:eastAsia="ru-RU"/>
              </w:rPr>
            </w:pPr>
            <w:r w:rsidRPr="00C43972">
              <w:rPr>
                <w:rFonts w:eastAsia="Times New Roman"/>
                <w:sz w:val="20"/>
                <w:szCs w:val="20"/>
                <w:lang w:eastAsia="ru-RU"/>
              </w:rPr>
              <w:t>Питома вага хворих виявлення в ранніх стадіях (І – ІІ) серед хворих з вперше встановленим діагнозом онкологія молочної залози</w:t>
            </w:r>
          </w:p>
        </w:tc>
        <w:tc>
          <w:tcPr>
            <w:tcW w:w="968"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sz w:val="20"/>
                <w:szCs w:val="20"/>
                <w:lang w:eastAsia="ru-RU"/>
              </w:rPr>
            </w:pPr>
            <w:r w:rsidRPr="00C43972">
              <w:rPr>
                <w:rFonts w:eastAsia="Times New Roman"/>
                <w:sz w:val="20"/>
                <w:szCs w:val="20"/>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sz w:val="20"/>
                <w:szCs w:val="20"/>
                <w:lang w:eastAsia="ru-RU"/>
              </w:rPr>
            </w:pPr>
            <w:r w:rsidRPr="00C43972">
              <w:rPr>
                <w:rFonts w:eastAsia="Times New Roman"/>
                <w:sz w:val="20"/>
                <w:szCs w:val="20"/>
                <w:lang w:eastAsia="ru-RU"/>
              </w:rPr>
              <w:t>90,80</w:t>
            </w:r>
          </w:p>
        </w:tc>
        <w:tc>
          <w:tcPr>
            <w:tcW w:w="968"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sz w:val="20"/>
                <w:szCs w:val="20"/>
                <w:lang w:eastAsia="ru-RU"/>
              </w:rPr>
            </w:pPr>
            <w:r w:rsidRPr="00C43972">
              <w:rPr>
                <w:rFonts w:eastAsia="Times New Roman"/>
                <w:sz w:val="20"/>
                <w:szCs w:val="20"/>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sz w:val="20"/>
                <w:szCs w:val="20"/>
                <w:lang w:eastAsia="ru-RU"/>
              </w:rPr>
            </w:pPr>
            <w:r w:rsidRPr="00C43972">
              <w:rPr>
                <w:rFonts w:eastAsia="Times New Roman"/>
                <w:sz w:val="20"/>
                <w:szCs w:val="20"/>
                <w:lang w:eastAsia="ru-RU"/>
              </w:rPr>
              <w:t>6</w:t>
            </w:r>
          </w:p>
        </w:tc>
        <w:tc>
          <w:tcPr>
            <w:tcW w:w="873"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sz w:val="20"/>
                <w:szCs w:val="20"/>
                <w:lang w:eastAsia="ru-RU"/>
              </w:rPr>
            </w:pPr>
            <w:r w:rsidRPr="00C43972">
              <w:rPr>
                <w:rFonts w:eastAsia="Times New Roman"/>
                <w:sz w:val="20"/>
                <w:szCs w:val="20"/>
                <w:lang w:eastAsia="ru-RU"/>
              </w:rPr>
              <w:t>*</w:t>
            </w:r>
          </w:p>
        </w:tc>
        <w:tc>
          <w:tcPr>
            <w:tcW w:w="850"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color w:val="000000"/>
                <w:sz w:val="20"/>
                <w:szCs w:val="20"/>
                <w:lang w:eastAsia="ru-RU"/>
              </w:rPr>
            </w:pPr>
            <w:r w:rsidRPr="00C43972">
              <w:rPr>
                <w:rFonts w:eastAsia="Times New Roman"/>
                <w:color w:val="000000"/>
                <w:sz w:val="20"/>
                <w:szCs w:val="20"/>
                <w:lang w:eastAsia="ru-RU"/>
              </w:rPr>
              <w:t>1,00</w:t>
            </w:r>
          </w:p>
        </w:tc>
      </w:tr>
      <w:tr w:rsidR="004E78F6" w:rsidRPr="00C43972" w:rsidTr="001061D5">
        <w:trPr>
          <w:trHeight w:val="605"/>
          <w:jc w:val="right"/>
        </w:trPr>
        <w:tc>
          <w:tcPr>
            <w:tcW w:w="4395" w:type="dxa"/>
            <w:tcBorders>
              <w:top w:val="single" w:sz="4" w:space="0" w:color="auto"/>
              <w:left w:val="single" w:sz="4" w:space="0" w:color="auto"/>
              <w:bottom w:val="single" w:sz="4" w:space="0" w:color="auto"/>
              <w:right w:val="single" w:sz="4" w:space="0" w:color="auto"/>
            </w:tcBorders>
            <w:vAlign w:val="bottom"/>
          </w:tcPr>
          <w:p w:rsidR="004E78F6" w:rsidRPr="00C43972" w:rsidRDefault="004E78F6" w:rsidP="00C43972">
            <w:pPr>
              <w:keepNext/>
              <w:spacing w:line="240" w:lineRule="auto"/>
              <w:ind w:right="57"/>
              <w:jc w:val="left"/>
              <w:rPr>
                <w:rFonts w:eastAsia="Times New Roman"/>
                <w:sz w:val="20"/>
                <w:szCs w:val="20"/>
                <w:lang w:eastAsia="ru-RU"/>
              </w:rPr>
            </w:pPr>
            <w:r w:rsidRPr="00C43972">
              <w:rPr>
                <w:rFonts w:eastAsia="Times New Roman"/>
                <w:sz w:val="20"/>
                <w:szCs w:val="20"/>
                <w:lang w:eastAsia="ru-RU"/>
              </w:rPr>
              <w:t>Питома вага хворих виявлення в ранніх стадіях (І – ІІ) серед хворих з вперше встановленим діагнозом онкологія шийки матки</w:t>
            </w:r>
          </w:p>
        </w:tc>
        <w:tc>
          <w:tcPr>
            <w:tcW w:w="968"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sz w:val="20"/>
                <w:szCs w:val="20"/>
                <w:lang w:eastAsia="ru-RU"/>
              </w:rPr>
            </w:pPr>
            <w:r w:rsidRPr="00C43972">
              <w:rPr>
                <w:rFonts w:eastAsia="Times New Roman"/>
                <w:sz w:val="20"/>
                <w:szCs w:val="20"/>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sz w:val="20"/>
                <w:szCs w:val="20"/>
                <w:lang w:eastAsia="ru-RU"/>
              </w:rPr>
            </w:pPr>
            <w:r w:rsidRPr="00C43972">
              <w:rPr>
                <w:rFonts w:eastAsia="Times New Roman"/>
                <w:sz w:val="20"/>
                <w:szCs w:val="20"/>
                <w:lang w:eastAsia="ru-RU"/>
              </w:rPr>
              <w:t>90,10</w:t>
            </w:r>
          </w:p>
        </w:tc>
        <w:tc>
          <w:tcPr>
            <w:tcW w:w="968"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sz w:val="20"/>
                <w:szCs w:val="20"/>
                <w:lang w:eastAsia="ru-RU"/>
              </w:rPr>
            </w:pPr>
            <w:r w:rsidRPr="00C43972">
              <w:rPr>
                <w:rFonts w:eastAsia="Times New Roman"/>
                <w:sz w:val="20"/>
                <w:szCs w:val="20"/>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sz w:val="20"/>
                <w:szCs w:val="20"/>
                <w:lang w:eastAsia="ru-RU"/>
              </w:rPr>
            </w:pPr>
            <w:r w:rsidRPr="00C43972">
              <w:rPr>
                <w:rFonts w:eastAsia="Times New Roman"/>
                <w:sz w:val="20"/>
                <w:szCs w:val="20"/>
                <w:lang w:eastAsia="ru-RU"/>
              </w:rPr>
              <w:t>6</w:t>
            </w:r>
          </w:p>
        </w:tc>
        <w:tc>
          <w:tcPr>
            <w:tcW w:w="873"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sz w:val="20"/>
                <w:szCs w:val="20"/>
                <w:lang w:eastAsia="ru-RU"/>
              </w:rPr>
            </w:pPr>
            <w:r w:rsidRPr="00C43972">
              <w:rPr>
                <w:rFonts w:eastAsia="Times New Roman"/>
                <w:sz w:val="20"/>
                <w:szCs w:val="20"/>
                <w:lang w:eastAsia="ru-RU"/>
              </w:rPr>
              <w:t>*</w:t>
            </w:r>
          </w:p>
        </w:tc>
        <w:tc>
          <w:tcPr>
            <w:tcW w:w="850"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color w:val="000000"/>
                <w:sz w:val="20"/>
                <w:szCs w:val="20"/>
                <w:lang w:eastAsia="ru-RU"/>
              </w:rPr>
            </w:pPr>
            <w:r w:rsidRPr="00C43972">
              <w:rPr>
                <w:rFonts w:eastAsia="Times New Roman"/>
                <w:color w:val="000000"/>
                <w:sz w:val="20"/>
                <w:szCs w:val="20"/>
                <w:lang w:eastAsia="ru-RU"/>
              </w:rPr>
              <w:t>1,00</w:t>
            </w:r>
          </w:p>
        </w:tc>
      </w:tr>
      <w:tr w:rsidR="004E78F6" w:rsidRPr="00C43972" w:rsidTr="001061D5">
        <w:trPr>
          <w:trHeight w:val="384"/>
          <w:jc w:val="right"/>
        </w:trPr>
        <w:tc>
          <w:tcPr>
            <w:tcW w:w="4395" w:type="dxa"/>
            <w:tcBorders>
              <w:top w:val="single" w:sz="4" w:space="0" w:color="auto"/>
              <w:left w:val="single" w:sz="4" w:space="0" w:color="auto"/>
              <w:bottom w:val="single" w:sz="4" w:space="0" w:color="auto"/>
              <w:right w:val="single" w:sz="4" w:space="0" w:color="auto"/>
            </w:tcBorders>
          </w:tcPr>
          <w:p w:rsidR="004E78F6" w:rsidRPr="00C43972" w:rsidRDefault="004E78F6" w:rsidP="00C43972">
            <w:pPr>
              <w:keepNext/>
              <w:spacing w:line="240" w:lineRule="auto"/>
              <w:rPr>
                <w:rFonts w:eastAsia="Times New Roman"/>
                <w:color w:val="000000"/>
                <w:sz w:val="20"/>
                <w:szCs w:val="20"/>
                <w:lang w:eastAsia="uk-UA"/>
              </w:rPr>
            </w:pPr>
            <w:r w:rsidRPr="00C43972">
              <w:rPr>
                <w:rFonts w:eastAsia="Times New Roman"/>
                <w:color w:val="000000"/>
                <w:sz w:val="20"/>
                <w:szCs w:val="20"/>
                <w:lang w:eastAsia="uk-UA"/>
              </w:rPr>
              <w:t>Індекс концентрації розродження вагітних з цукровим діабетом у ЗПД ІІІ рівня</w:t>
            </w:r>
          </w:p>
        </w:tc>
        <w:tc>
          <w:tcPr>
            <w:tcW w:w="968"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jc w:val="center"/>
              <w:rPr>
                <w:rFonts w:eastAsia="Times New Roman"/>
                <w:color w:val="000000"/>
                <w:sz w:val="20"/>
                <w:szCs w:val="20"/>
                <w:lang w:eastAsia="ru-RU"/>
              </w:rPr>
            </w:pPr>
            <w:r w:rsidRPr="00C43972">
              <w:rPr>
                <w:rFonts w:eastAsia="Times New Roman"/>
                <w:color w:val="000000"/>
                <w:sz w:val="20"/>
                <w:szCs w:val="20"/>
                <w:lang w:eastAsia="ru-RU"/>
              </w:rPr>
              <w:t>68,89</w:t>
            </w:r>
          </w:p>
        </w:tc>
        <w:tc>
          <w:tcPr>
            <w:tcW w:w="969"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jc w:val="center"/>
              <w:rPr>
                <w:rFonts w:eastAsia="Times New Roman"/>
                <w:sz w:val="20"/>
                <w:szCs w:val="20"/>
                <w:lang w:eastAsia="ru-RU"/>
              </w:rPr>
            </w:pPr>
            <w:r w:rsidRPr="00C43972">
              <w:rPr>
                <w:rFonts w:eastAsia="Times New Roman"/>
                <w:sz w:val="20"/>
                <w:szCs w:val="20"/>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jc w:val="center"/>
              <w:rPr>
                <w:rFonts w:eastAsia="Times New Roman"/>
                <w:color w:val="000000"/>
                <w:sz w:val="20"/>
                <w:szCs w:val="20"/>
                <w:lang w:eastAsia="ru-RU"/>
              </w:rPr>
            </w:pPr>
            <w:r w:rsidRPr="00C43972">
              <w:rPr>
                <w:rFonts w:eastAsia="Times New Roman"/>
                <w:color w:val="000000"/>
                <w:sz w:val="20"/>
                <w:szCs w:val="20"/>
                <w:lang w:eastAsia="ru-RU"/>
              </w:rPr>
              <w:t>6,00</w:t>
            </w:r>
          </w:p>
        </w:tc>
        <w:tc>
          <w:tcPr>
            <w:tcW w:w="969"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jc w:val="center"/>
              <w:rPr>
                <w:rFonts w:eastAsia="Times New Roman"/>
                <w:sz w:val="20"/>
                <w:szCs w:val="20"/>
                <w:lang w:eastAsia="ru-RU"/>
              </w:rPr>
            </w:pPr>
            <w:r w:rsidRPr="00C43972">
              <w:rPr>
                <w:rFonts w:eastAsia="Times New Roman"/>
                <w:sz w:val="20"/>
                <w:szCs w:val="20"/>
                <w:lang w:eastAsia="ru-RU"/>
              </w:rPr>
              <w:t>**</w:t>
            </w:r>
          </w:p>
        </w:tc>
        <w:tc>
          <w:tcPr>
            <w:tcW w:w="873"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jc w:val="center"/>
              <w:rPr>
                <w:rFonts w:eastAsia="Times New Roman"/>
                <w:color w:val="000000"/>
                <w:sz w:val="20"/>
                <w:szCs w:val="20"/>
                <w:lang w:eastAsia="ru-RU"/>
              </w:rPr>
            </w:pPr>
            <w:r w:rsidRPr="00C43972">
              <w:rPr>
                <w:rFonts w:eastAsia="Times New Roman"/>
                <w:color w:val="000000"/>
                <w:sz w:val="20"/>
                <w:szCs w:val="20"/>
                <w:lang w:eastAsia="ru-RU"/>
              </w:rPr>
              <w:t>0,86</w:t>
            </w:r>
          </w:p>
        </w:tc>
        <w:tc>
          <w:tcPr>
            <w:tcW w:w="850"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jc w:val="center"/>
              <w:rPr>
                <w:rFonts w:eastAsia="Times New Roman"/>
                <w:color w:val="000000"/>
                <w:sz w:val="20"/>
                <w:szCs w:val="20"/>
                <w:lang w:eastAsia="ru-RU"/>
              </w:rPr>
            </w:pPr>
            <w:r w:rsidRPr="00C43972">
              <w:rPr>
                <w:rFonts w:eastAsia="Times New Roman"/>
                <w:color w:val="000000"/>
                <w:sz w:val="20"/>
                <w:szCs w:val="20"/>
                <w:lang w:eastAsia="ru-RU"/>
              </w:rPr>
              <w:t>**</w:t>
            </w:r>
          </w:p>
        </w:tc>
      </w:tr>
      <w:tr w:rsidR="004E78F6" w:rsidRPr="00C43972" w:rsidTr="001061D5">
        <w:trPr>
          <w:trHeight w:val="384"/>
          <w:jc w:val="right"/>
        </w:trPr>
        <w:tc>
          <w:tcPr>
            <w:tcW w:w="4395" w:type="dxa"/>
            <w:tcBorders>
              <w:top w:val="single" w:sz="4" w:space="0" w:color="auto"/>
              <w:left w:val="single" w:sz="4" w:space="0" w:color="auto"/>
              <w:bottom w:val="single" w:sz="4" w:space="0" w:color="auto"/>
              <w:right w:val="single" w:sz="4" w:space="0" w:color="auto"/>
            </w:tcBorders>
          </w:tcPr>
          <w:p w:rsidR="004E78F6" w:rsidRPr="00C43972" w:rsidRDefault="004E78F6" w:rsidP="00C43972">
            <w:pPr>
              <w:keepNext/>
              <w:spacing w:line="240" w:lineRule="auto"/>
              <w:rPr>
                <w:rFonts w:eastAsia="Times New Roman"/>
                <w:color w:val="000000"/>
                <w:sz w:val="20"/>
                <w:szCs w:val="20"/>
                <w:lang w:eastAsia="uk-UA"/>
              </w:rPr>
            </w:pPr>
            <w:r w:rsidRPr="00C43972">
              <w:rPr>
                <w:rFonts w:eastAsia="Times New Roman"/>
                <w:color w:val="000000"/>
                <w:sz w:val="20"/>
                <w:szCs w:val="20"/>
                <w:lang w:eastAsia="uk-UA"/>
              </w:rPr>
              <w:t>Індекс концентрації розродження вагітних з прееклампсією і еклампсією у ЗПД ІІ-ІІІ рівнів</w:t>
            </w:r>
          </w:p>
        </w:tc>
        <w:tc>
          <w:tcPr>
            <w:tcW w:w="968"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jc w:val="center"/>
              <w:rPr>
                <w:rFonts w:eastAsia="Times New Roman"/>
                <w:color w:val="000000"/>
                <w:sz w:val="20"/>
                <w:szCs w:val="20"/>
                <w:lang w:eastAsia="ru-RU"/>
              </w:rPr>
            </w:pPr>
            <w:r w:rsidRPr="00C43972">
              <w:rPr>
                <w:rFonts w:eastAsia="Times New Roman"/>
                <w:color w:val="000000"/>
                <w:sz w:val="20"/>
                <w:szCs w:val="20"/>
                <w:lang w:eastAsia="ru-RU"/>
              </w:rPr>
              <w:t>77,01</w:t>
            </w:r>
          </w:p>
        </w:tc>
        <w:tc>
          <w:tcPr>
            <w:tcW w:w="969"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jc w:val="center"/>
              <w:rPr>
                <w:rFonts w:eastAsia="Times New Roman"/>
                <w:sz w:val="20"/>
                <w:szCs w:val="20"/>
                <w:lang w:eastAsia="ru-RU"/>
              </w:rPr>
            </w:pPr>
            <w:r w:rsidRPr="00C43972">
              <w:rPr>
                <w:rFonts w:eastAsia="Times New Roman"/>
                <w:sz w:val="20"/>
                <w:szCs w:val="20"/>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jc w:val="center"/>
              <w:rPr>
                <w:rFonts w:eastAsia="Times New Roman"/>
                <w:color w:val="000000"/>
                <w:sz w:val="20"/>
                <w:szCs w:val="20"/>
                <w:lang w:eastAsia="ru-RU"/>
              </w:rPr>
            </w:pPr>
            <w:r w:rsidRPr="00C43972">
              <w:rPr>
                <w:rFonts w:eastAsia="Times New Roman"/>
                <w:color w:val="000000"/>
                <w:sz w:val="20"/>
                <w:szCs w:val="20"/>
                <w:lang w:eastAsia="ru-RU"/>
              </w:rPr>
              <w:t>5,99</w:t>
            </w:r>
          </w:p>
        </w:tc>
        <w:tc>
          <w:tcPr>
            <w:tcW w:w="969"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jc w:val="center"/>
              <w:rPr>
                <w:rFonts w:eastAsia="Times New Roman"/>
                <w:sz w:val="20"/>
                <w:szCs w:val="20"/>
                <w:lang w:eastAsia="ru-RU"/>
              </w:rPr>
            </w:pPr>
            <w:r w:rsidRPr="00C43972">
              <w:rPr>
                <w:rFonts w:eastAsia="Times New Roman"/>
                <w:sz w:val="20"/>
                <w:szCs w:val="20"/>
                <w:lang w:eastAsia="ru-RU"/>
              </w:rPr>
              <w:t>**</w:t>
            </w:r>
          </w:p>
        </w:tc>
        <w:tc>
          <w:tcPr>
            <w:tcW w:w="873"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jc w:val="center"/>
              <w:rPr>
                <w:rFonts w:eastAsia="Times New Roman"/>
                <w:color w:val="000000"/>
                <w:sz w:val="20"/>
                <w:szCs w:val="20"/>
                <w:lang w:eastAsia="ru-RU"/>
              </w:rPr>
            </w:pPr>
            <w:r w:rsidRPr="00C43972">
              <w:rPr>
                <w:rFonts w:eastAsia="Times New Roman"/>
                <w:color w:val="000000"/>
                <w:sz w:val="20"/>
                <w:szCs w:val="20"/>
                <w:lang w:eastAsia="ru-RU"/>
              </w:rPr>
              <w:t>0,86</w:t>
            </w:r>
          </w:p>
        </w:tc>
        <w:tc>
          <w:tcPr>
            <w:tcW w:w="850"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jc w:val="center"/>
              <w:rPr>
                <w:rFonts w:eastAsia="Times New Roman"/>
                <w:color w:val="000000"/>
                <w:sz w:val="20"/>
                <w:szCs w:val="20"/>
                <w:lang w:eastAsia="ru-RU"/>
              </w:rPr>
            </w:pPr>
            <w:r w:rsidRPr="00C43972">
              <w:rPr>
                <w:rFonts w:eastAsia="Times New Roman"/>
                <w:color w:val="000000"/>
                <w:sz w:val="20"/>
                <w:szCs w:val="20"/>
                <w:lang w:eastAsia="ru-RU"/>
              </w:rPr>
              <w:t>**</w:t>
            </w:r>
          </w:p>
        </w:tc>
      </w:tr>
      <w:tr w:rsidR="004E78F6" w:rsidRPr="00C43972" w:rsidTr="001061D5">
        <w:trPr>
          <w:trHeight w:val="384"/>
          <w:jc w:val="right"/>
        </w:trPr>
        <w:tc>
          <w:tcPr>
            <w:tcW w:w="4395" w:type="dxa"/>
            <w:tcBorders>
              <w:top w:val="single" w:sz="4" w:space="0" w:color="auto"/>
              <w:left w:val="single" w:sz="4" w:space="0" w:color="auto"/>
              <w:bottom w:val="single" w:sz="4" w:space="0" w:color="auto"/>
              <w:right w:val="single" w:sz="4" w:space="0" w:color="auto"/>
            </w:tcBorders>
          </w:tcPr>
          <w:p w:rsidR="004E78F6" w:rsidRPr="00C43972" w:rsidRDefault="004E78F6" w:rsidP="00C43972">
            <w:pPr>
              <w:keepNext/>
              <w:spacing w:line="240" w:lineRule="auto"/>
              <w:rPr>
                <w:rFonts w:eastAsia="Times New Roman"/>
                <w:color w:val="000000"/>
                <w:sz w:val="20"/>
                <w:szCs w:val="20"/>
                <w:lang w:eastAsia="uk-UA"/>
              </w:rPr>
            </w:pPr>
            <w:r w:rsidRPr="00C43972">
              <w:rPr>
                <w:rFonts w:eastAsia="Times New Roman"/>
                <w:color w:val="000000"/>
                <w:sz w:val="20"/>
                <w:szCs w:val="20"/>
                <w:lang w:eastAsia="uk-UA"/>
              </w:rPr>
              <w:t>Індекс концентрації новонароджених масою тіла при народженні 500-1499г у ЗПД ІІІ рівня</w:t>
            </w:r>
          </w:p>
        </w:tc>
        <w:tc>
          <w:tcPr>
            <w:tcW w:w="968"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jc w:val="center"/>
              <w:rPr>
                <w:rFonts w:eastAsia="Times New Roman"/>
                <w:color w:val="000000"/>
                <w:sz w:val="20"/>
                <w:szCs w:val="20"/>
                <w:lang w:eastAsia="ru-RU"/>
              </w:rPr>
            </w:pPr>
            <w:r w:rsidRPr="00C43972">
              <w:rPr>
                <w:rFonts w:eastAsia="Times New Roman"/>
                <w:color w:val="000000"/>
                <w:sz w:val="20"/>
                <w:szCs w:val="20"/>
                <w:lang w:eastAsia="ru-RU"/>
              </w:rPr>
              <w:t>52,17</w:t>
            </w:r>
          </w:p>
        </w:tc>
        <w:tc>
          <w:tcPr>
            <w:tcW w:w="969"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jc w:val="center"/>
              <w:rPr>
                <w:rFonts w:eastAsia="Times New Roman"/>
                <w:sz w:val="20"/>
                <w:szCs w:val="20"/>
                <w:lang w:eastAsia="ru-RU"/>
              </w:rPr>
            </w:pPr>
            <w:r w:rsidRPr="00C43972">
              <w:rPr>
                <w:rFonts w:eastAsia="Times New Roman"/>
                <w:sz w:val="20"/>
                <w:szCs w:val="20"/>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jc w:val="center"/>
              <w:rPr>
                <w:rFonts w:eastAsia="Times New Roman"/>
                <w:color w:val="000000"/>
                <w:sz w:val="20"/>
                <w:szCs w:val="20"/>
                <w:lang w:eastAsia="ru-RU"/>
              </w:rPr>
            </w:pPr>
            <w:r w:rsidRPr="00C43972">
              <w:rPr>
                <w:rFonts w:eastAsia="Times New Roman"/>
                <w:color w:val="000000"/>
                <w:sz w:val="20"/>
                <w:szCs w:val="20"/>
                <w:lang w:eastAsia="ru-RU"/>
              </w:rPr>
              <w:t>3,91</w:t>
            </w:r>
          </w:p>
        </w:tc>
        <w:tc>
          <w:tcPr>
            <w:tcW w:w="969"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jc w:val="center"/>
              <w:rPr>
                <w:rFonts w:eastAsia="Times New Roman"/>
                <w:sz w:val="20"/>
                <w:szCs w:val="20"/>
                <w:lang w:eastAsia="ru-RU"/>
              </w:rPr>
            </w:pPr>
            <w:r w:rsidRPr="00C43972">
              <w:rPr>
                <w:rFonts w:eastAsia="Times New Roman"/>
                <w:sz w:val="20"/>
                <w:szCs w:val="20"/>
                <w:lang w:eastAsia="ru-RU"/>
              </w:rPr>
              <w:t>**</w:t>
            </w:r>
          </w:p>
        </w:tc>
        <w:tc>
          <w:tcPr>
            <w:tcW w:w="873"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jc w:val="center"/>
              <w:rPr>
                <w:rFonts w:eastAsia="Times New Roman"/>
                <w:color w:val="000000"/>
                <w:sz w:val="20"/>
                <w:szCs w:val="20"/>
                <w:lang w:eastAsia="ru-RU"/>
              </w:rPr>
            </w:pPr>
            <w:r w:rsidRPr="00C43972">
              <w:rPr>
                <w:rFonts w:eastAsia="Times New Roman"/>
                <w:color w:val="000000"/>
                <w:sz w:val="20"/>
                <w:szCs w:val="20"/>
                <w:lang w:eastAsia="ru-RU"/>
              </w:rPr>
              <w:t>0,65</w:t>
            </w:r>
          </w:p>
        </w:tc>
        <w:tc>
          <w:tcPr>
            <w:tcW w:w="850"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jc w:val="center"/>
              <w:rPr>
                <w:rFonts w:eastAsia="Times New Roman"/>
                <w:color w:val="000000"/>
                <w:sz w:val="20"/>
                <w:szCs w:val="20"/>
                <w:lang w:eastAsia="ru-RU"/>
              </w:rPr>
            </w:pPr>
            <w:r w:rsidRPr="00C43972">
              <w:rPr>
                <w:rFonts w:eastAsia="Times New Roman"/>
                <w:color w:val="000000"/>
                <w:sz w:val="20"/>
                <w:szCs w:val="20"/>
                <w:lang w:eastAsia="ru-RU"/>
              </w:rPr>
              <w:t>**</w:t>
            </w:r>
          </w:p>
        </w:tc>
      </w:tr>
      <w:tr w:rsidR="004E78F6" w:rsidRPr="00C43972" w:rsidTr="001061D5">
        <w:trPr>
          <w:trHeight w:val="324"/>
          <w:jc w:val="right"/>
        </w:trPr>
        <w:tc>
          <w:tcPr>
            <w:tcW w:w="4395" w:type="dxa"/>
            <w:tcBorders>
              <w:top w:val="single" w:sz="4" w:space="0" w:color="auto"/>
              <w:left w:val="single" w:sz="4" w:space="0" w:color="auto"/>
              <w:bottom w:val="single" w:sz="4" w:space="0" w:color="auto"/>
              <w:right w:val="single" w:sz="4" w:space="0" w:color="auto"/>
            </w:tcBorders>
          </w:tcPr>
          <w:p w:rsidR="004E78F6" w:rsidRPr="00C43972" w:rsidRDefault="004E78F6" w:rsidP="00C43972">
            <w:pPr>
              <w:keepNext/>
              <w:spacing w:line="240" w:lineRule="auto"/>
              <w:rPr>
                <w:rFonts w:eastAsia="Times New Roman"/>
                <w:color w:val="000000"/>
                <w:sz w:val="20"/>
                <w:szCs w:val="20"/>
                <w:lang w:eastAsia="uk-UA"/>
              </w:rPr>
            </w:pPr>
            <w:r w:rsidRPr="00C43972">
              <w:rPr>
                <w:rFonts w:eastAsia="Times New Roman"/>
                <w:color w:val="000000"/>
                <w:sz w:val="20"/>
                <w:szCs w:val="20"/>
                <w:lang w:eastAsia="uk-UA"/>
              </w:rPr>
              <w:t>Індекс неонатального трансферу</w:t>
            </w:r>
          </w:p>
        </w:tc>
        <w:tc>
          <w:tcPr>
            <w:tcW w:w="968"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jc w:val="center"/>
              <w:rPr>
                <w:rFonts w:eastAsia="Times New Roman"/>
                <w:color w:val="000000"/>
                <w:sz w:val="20"/>
                <w:szCs w:val="20"/>
                <w:lang w:eastAsia="ru-RU"/>
              </w:rPr>
            </w:pPr>
            <w:r w:rsidRPr="00C43972">
              <w:rPr>
                <w:rFonts w:eastAsia="Times New Roman"/>
                <w:color w:val="000000"/>
                <w:sz w:val="20"/>
                <w:szCs w:val="20"/>
                <w:lang w:eastAsia="ru-RU"/>
              </w:rPr>
              <w:t>7,71</w:t>
            </w:r>
          </w:p>
        </w:tc>
        <w:tc>
          <w:tcPr>
            <w:tcW w:w="969"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jc w:val="center"/>
              <w:rPr>
                <w:rFonts w:eastAsia="Times New Roman"/>
                <w:sz w:val="20"/>
                <w:szCs w:val="20"/>
                <w:lang w:eastAsia="ru-RU"/>
              </w:rPr>
            </w:pPr>
            <w:r w:rsidRPr="00C43972">
              <w:rPr>
                <w:rFonts w:eastAsia="Times New Roman"/>
                <w:sz w:val="20"/>
                <w:szCs w:val="20"/>
                <w:lang w:eastAsia="ru-RU"/>
              </w:rPr>
              <w:t>8,38</w:t>
            </w:r>
          </w:p>
        </w:tc>
        <w:tc>
          <w:tcPr>
            <w:tcW w:w="968"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jc w:val="center"/>
              <w:rPr>
                <w:rFonts w:eastAsia="Times New Roman"/>
                <w:color w:val="000000"/>
                <w:sz w:val="20"/>
                <w:szCs w:val="20"/>
                <w:lang w:eastAsia="ru-RU"/>
              </w:rPr>
            </w:pPr>
            <w:r w:rsidRPr="00C43972">
              <w:rPr>
                <w:rFonts w:eastAsia="Times New Roman"/>
                <w:color w:val="000000"/>
                <w:sz w:val="20"/>
                <w:szCs w:val="20"/>
                <w:lang w:eastAsia="ru-RU"/>
              </w:rPr>
              <w:t>0,51</w:t>
            </w:r>
          </w:p>
        </w:tc>
        <w:tc>
          <w:tcPr>
            <w:tcW w:w="969"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jc w:val="center"/>
              <w:rPr>
                <w:rFonts w:eastAsia="Times New Roman"/>
                <w:sz w:val="20"/>
                <w:szCs w:val="20"/>
                <w:lang w:eastAsia="ru-RU"/>
              </w:rPr>
            </w:pPr>
            <w:r w:rsidRPr="00C43972">
              <w:rPr>
                <w:rFonts w:eastAsia="Times New Roman"/>
                <w:sz w:val="20"/>
                <w:szCs w:val="20"/>
                <w:lang w:eastAsia="ru-RU"/>
              </w:rPr>
              <w:t>2,27</w:t>
            </w:r>
          </w:p>
        </w:tc>
        <w:tc>
          <w:tcPr>
            <w:tcW w:w="873"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jc w:val="center"/>
              <w:rPr>
                <w:rFonts w:eastAsia="Times New Roman"/>
                <w:color w:val="000000"/>
                <w:sz w:val="20"/>
                <w:szCs w:val="20"/>
                <w:lang w:eastAsia="ru-RU"/>
              </w:rPr>
            </w:pPr>
            <w:r w:rsidRPr="00C43972">
              <w:rPr>
                <w:rFonts w:eastAsia="Times New Roman"/>
                <w:color w:val="000000"/>
                <w:sz w:val="20"/>
                <w:szCs w:val="20"/>
                <w:lang w:eastAsia="ru-RU"/>
              </w:rPr>
              <w:t>0,07</w:t>
            </w:r>
          </w:p>
        </w:tc>
        <w:tc>
          <w:tcPr>
            <w:tcW w:w="850"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jc w:val="center"/>
              <w:rPr>
                <w:rFonts w:eastAsia="Times New Roman"/>
                <w:color w:val="000000"/>
                <w:sz w:val="20"/>
                <w:szCs w:val="20"/>
                <w:lang w:eastAsia="ru-RU"/>
              </w:rPr>
            </w:pPr>
            <w:r w:rsidRPr="00C43972">
              <w:rPr>
                <w:rFonts w:eastAsia="Times New Roman"/>
                <w:color w:val="000000"/>
                <w:sz w:val="20"/>
                <w:szCs w:val="20"/>
                <w:lang w:eastAsia="ru-RU"/>
              </w:rPr>
              <w:t>0,32</w:t>
            </w:r>
          </w:p>
        </w:tc>
      </w:tr>
      <w:tr w:rsidR="004E78F6" w:rsidRPr="00C43972" w:rsidTr="001061D5">
        <w:trPr>
          <w:trHeight w:val="272"/>
          <w:jc w:val="right"/>
        </w:trPr>
        <w:tc>
          <w:tcPr>
            <w:tcW w:w="4395"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left"/>
              <w:rPr>
                <w:rFonts w:eastAsia="Times New Roman"/>
                <w:sz w:val="20"/>
                <w:szCs w:val="20"/>
                <w:lang w:eastAsia="ru-RU"/>
              </w:rPr>
            </w:pPr>
            <w:r w:rsidRPr="00C43972">
              <w:rPr>
                <w:rFonts w:eastAsia="Times New Roman"/>
                <w:sz w:val="20"/>
                <w:szCs w:val="20"/>
                <w:lang w:eastAsia="ru-RU"/>
              </w:rPr>
              <w:t>Частота нормальних пологів</w:t>
            </w:r>
          </w:p>
        </w:tc>
        <w:tc>
          <w:tcPr>
            <w:tcW w:w="968"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sz w:val="20"/>
                <w:szCs w:val="20"/>
                <w:lang w:eastAsia="ru-RU"/>
              </w:rPr>
            </w:pPr>
            <w:r w:rsidRPr="00C43972">
              <w:rPr>
                <w:rFonts w:eastAsia="Times New Roman"/>
                <w:sz w:val="20"/>
                <w:szCs w:val="20"/>
                <w:lang w:eastAsia="ru-RU"/>
              </w:rPr>
              <w:t>63,11</w:t>
            </w:r>
          </w:p>
        </w:tc>
        <w:tc>
          <w:tcPr>
            <w:tcW w:w="969"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sz w:val="20"/>
                <w:szCs w:val="20"/>
                <w:lang w:eastAsia="ru-RU"/>
              </w:rPr>
            </w:pPr>
            <w:r w:rsidRPr="00C43972">
              <w:rPr>
                <w:rFonts w:eastAsia="Times New Roman"/>
                <w:sz w:val="20"/>
                <w:szCs w:val="20"/>
                <w:lang w:eastAsia="ru-RU"/>
              </w:rPr>
              <w:t>59,24</w:t>
            </w:r>
          </w:p>
        </w:tc>
        <w:tc>
          <w:tcPr>
            <w:tcW w:w="968"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sz w:val="20"/>
                <w:szCs w:val="20"/>
                <w:lang w:eastAsia="ru-RU"/>
              </w:rPr>
            </w:pPr>
            <w:r w:rsidRPr="00C43972">
              <w:rPr>
                <w:rFonts w:eastAsia="Times New Roman"/>
                <w:sz w:val="20"/>
                <w:szCs w:val="20"/>
                <w:lang w:eastAsia="ru-RU"/>
              </w:rPr>
              <w:t>4,51</w:t>
            </w:r>
          </w:p>
        </w:tc>
        <w:tc>
          <w:tcPr>
            <w:tcW w:w="969"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sz w:val="20"/>
                <w:szCs w:val="20"/>
                <w:lang w:eastAsia="ru-RU"/>
              </w:rPr>
            </w:pPr>
            <w:r w:rsidRPr="00C43972">
              <w:rPr>
                <w:rFonts w:eastAsia="Times New Roman"/>
                <w:sz w:val="20"/>
                <w:szCs w:val="20"/>
                <w:lang w:eastAsia="ru-RU"/>
              </w:rPr>
              <w:t>4,46</w:t>
            </w:r>
          </w:p>
        </w:tc>
        <w:tc>
          <w:tcPr>
            <w:tcW w:w="873"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sz w:val="20"/>
                <w:szCs w:val="20"/>
                <w:lang w:eastAsia="ru-RU"/>
              </w:rPr>
            </w:pPr>
            <w:r w:rsidRPr="00C43972">
              <w:rPr>
                <w:rFonts w:eastAsia="Times New Roman"/>
                <w:sz w:val="20"/>
                <w:szCs w:val="20"/>
                <w:lang w:eastAsia="ru-RU"/>
              </w:rPr>
              <w:t>0,90</w:t>
            </w:r>
          </w:p>
        </w:tc>
        <w:tc>
          <w:tcPr>
            <w:tcW w:w="850"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color w:val="000000"/>
                <w:sz w:val="20"/>
                <w:szCs w:val="20"/>
                <w:lang w:eastAsia="ru-RU"/>
              </w:rPr>
            </w:pPr>
            <w:r w:rsidRPr="00C43972">
              <w:rPr>
                <w:rFonts w:eastAsia="Times New Roman"/>
                <w:color w:val="000000"/>
                <w:sz w:val="20"/>
                <w:szCs w:val="20"/>
                <w:lang w:eastAsia="ru-RU"/>
              </w:rPr>
              <w:t>0,89</w:t>
            </w:r>
          </w:p>
        </w:tc>
      </w:tr>
      <w:tr w:rsidR="004E78F6" w:rsidRPr="00C43972" w:rsidTr="001061D5">
        <w:trPr>
          <w:trHeight w:val="417"/>
          <w:jc w:val="right"/>
        </w:trPr>
        <w:tc>
          <w:tcPr>
            <w:tcW w:w="4395" w:type="dxa"/>
            <w:tcBorders>
              <w:top w:val="single" w:sz="4" w:space="0" w:color="auto"/>
              <w:left w:val="single" w:sz="4" w:space="0" w:color="auto"/>
              <w:bottom w:val="single" w:sz="4" w:space="0" w:color="auto"/>
              <w:right w:val="single" w:sz="4" w:space="0" w:color="auto"/>
            </w:tcBorders>
            <w:vAlign w:val="bottom"/>
          </w:tcPr>
          <w:p w:rsidR="004E78F6" w:rsidRPr="00C43972" w:rsidRDefault="004E78F6" w:rsidP="00C43972">
            <w:pPr>
              <w:keepNext/>
              <w:spacing w:line="240" w:lineRule="auto"/>
              <w:ind w:right="57"/>
              <w:jc w:val="left"/>
              <w:rPr>
                <w:rFonts w:eastAsia="Times New Roman"/>
                <w:sz w:val="20"/>
                <w:szCs w:val="20"/>
                <w:lang w:eastAsia="ru-RU"/>
              </w:rPr>
            </w:pPr>
            <w:r w:rsidRPr="00C43972">
              <w:rPr>
                <w:rFonts w:eastAsia="Times New Roman"/>
                <w:sz w:val="20"/>
                <w:szCs w:val="20"/>
                <w:lang w:eastAsia="ru-RU"/>
              </w:rPr>
              <w:t>Частота розроджень вагітних шляхом кесаревого розтину</w:t>
            </w:r>
          </w:p>
        </w:tc>
        <w:tc>
          <w:tcPr>
            <w:tcW w:w="968"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sz w:val="20"/>
                <w:szCs w:val="20"/>
                <w:lang w:eastAsia="ru-RU"/>
              </w:rPr>
            </w:pPr>
            <w:r w:rsidRPr="00C43972">
              <w:rPr>
                <w:rFonts w:eastAsia="Times New Roman"/>
                <w:sz w:val="20"/>
                <w:szCs w:val="20"/>
                <w:lang w:eastAsia="ru-RU"/>
              </w:rPr>
              <w:t>175,0</w:t>
            </w:r>
          </w:p>
        </w:tc>
        <w:tc>
          <w:tcPr>
            <w:tcW w:w="969"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sz w:val="20"/>
                <w:szCs w:val="20"/>
                <w:lang w:eastAsia="ru-RU"/>
              </w:rPr>
            </w:pPr>
            <w:r w:rsidRPr="00C43972">
              <w:rPr>
                <w:rFonts w:eastAsia="Times New Roman"/>
                <w:sz w:val="20"/>
                <w:szCs w:val="20"/>
                <w:lang w:eastAsia="ru-RU"/>
              </w:rPr>
              <w:t>182,25</w:t>
            </w:r>
          </w:p>
        </w:tc>
        <w:tc>
          <w:tcPr>
            <w:tcW w:w="968"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sz w:val="20"/>
                <w:szCs w:val="20"/>
                <w:lang w:eastAsia="ru-RU"/>
              </w:rPr>
            </w:pPr>
            <w:r w:rsidRPr="00C43972">
              <w:rPr>
                <w:rFonts w:eastAsia="Times New Roman"/>
                <w:sz w:val="20"/>
                <w:szCs w:val="20"/>
                <w:lang w:eastAsia="ru-RU"/>
              </w:rPr>
              <w:t>6,34</w:t>
            </w:r>
          </w:p>
        </w:tc>
        <w:tc>
          <w:tcPr>
            <w:tcW w:w="969"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sz w:val="20"/>
                <w:szCs w:val="20"/>
                <w:lang w:eastAsia="ru-RU"/>
              </w:rPr>
            </w:pPr>
            <w:r w:rsidRPr="00C43972">
              <w:rPr>
                <w:rFonts w:eastAsia="Times New Roman"/>
                <w:sz w:val="20"/>
                <w:szCs w:val="20"/>
                <w:lang w:eastAsia="ru-RU"/>
              </w:rPr>
              <w:t>6,91</w:t>
            </w:r>
          </w:p>
        </w:tc>
        <w:tc>
          <w:tcPr>
            <w:tcW w:w="873"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sz w:val="20"/>
                <w:szCs w:val="20"/>
                <w:lang w:eastAsia="ru-RU"/>
              </w:rPr>
            </w:pPr>
            <w:r w:rsidRPr="00C43972">
              <w:rPr>
                <w:rFonts w:eastAsia="Times New Roman"/>
                <w:sz w:val="20"/>
                <w:szCs w:val="20"/>
                <w:lang w:eastAsia="ru-RU"/>
              </w:rPr>
              <w:t>0,91</w:t>
            </w:r>
          </w:p>
        </w:tc>
        <w:tc>
          <w:tcPr>
            <w:tcW w:w="850"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color w:val="000000"/>
                <w:sz w:val="20"/>
                <w:szCs w:val="20"/>
                <w:lang w:eastAsia="ru-RU"/>
              </w:rPr>
            </w:pPr>
            <w:r w:rsidRPr="00C43972">
              <w:rPr>
                <w:rFonts w:eastAsia="Times New Roman"/>
                <w:color w:val="000000"/>
                <w:sz w:val="20"/>
                <w:szCs w:val="20"/>
                <w:lang w:eastAsia="ru-RU"/>
              </w:rPr>
              <w:t>0,99</w:t>
            </w:r>
          </w:p>
        </w:tc>
      </w:tr>
      <w:tr w:rsidR="004E78F6" w:rsidRPr="00C43972" w:rsidTr="001061D5">
        <w:trPr>
          <w:trHeight w:val="276"/>
          <w:jc w:val="right"/>
        </w:trPr>
        <w:tc>
          <w:tcPr>
            <w:tcW w:w="4395" w:type="dxa"/>
            <w:tcBorders>
              <w:top w:val="single" w:sz="4" w:space="0" w:color="auto"/>
              <w:left w:val="single" w:sz="4" w:space="0" w:color="auto"/>
              <w:bottom w:val="single" w:sz="4" w:space="0" w:color="auto"/>
              <w:right w:val="single" w:sz="4" w:space="0" w:color="auto"/>
            </w:tcBorders>
            <w:vAlign w:val="bottom"/>
          </w:tcPr>
          <w:p w:rsidR="004E78F6" w:rsidRPr="00C43972" w:rsidRDefault="004E78F6" w:rsidP="00C43972">
            <w:pPr>
              <w:keepNext/>
              <w:spacing w:line="240" w:lineRule="auto"/>
              <w:ind w:right="57"/>
              <w:jc w:val="left"/>
              <w:rPr>
                <w:rFonts w:eastAsia="Times New Roman"/>
                <w:sz w:val="20"/>
                <w:szCs w:val="20"/>
                <w:lang w:eastAsia="ru-RU"/>
              </w:rPr>
            </w:pPr>
            <w:r w:rsidRPr="00C43972">
              <w:rPr>
                <w:rFonts w:eastAsia="Times New Roman"/>
                <w:sz w:val="20"/>
                <w:szCs w:val="20"/>
                <w:lang w:eastAsia="ru-RU"/>
              </w:rPr>
              <w:t>Частота  кровотеч в послідовому і післяродовому періодах</w:t>
            </w:r>
          </w:p>
        </w:tc>
        <w:tc>
          <w:tcPr>
            <w:tcW w:w="968"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sz w:val="20"/>
                <w:szCs w:val="20"/>
                <w:lang w:eastAsia="ru-RU"/>
              </w:rPr>
            </w:pPr>
            <w:r w:rsidRPr="00C43972">
              <w:rPr>
                <w:rFonts w:eastAsia="Times New Roman"/>
                <w:sz w:val="20"/>
                <w:szCs w:val="20"/>
                <w:lang w:eastAsia="ru-RU"/>
              </w:rPr>
              <w:t>9,69</w:t>
            </w:r>
          </w:p>
        </w:tc>
        <w:tc>
          <w:tcPr>
            <w:tcW w:w="969"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sz w:val="20"/>
                <w:szCs w:val="20"/>
                <w:lang w:eastAsia="ru-RU"/>
              </w:rPr>
            </w:pPr>
            <w:r w:rsidRPr="00C43972">
              <w:rPr>
                <w:rFonts w:eastAsia="Times New Roman"/>
                <w:sz w:val="20"/>
                <w:szCs w:val="20"/>
                <w:lang w:eastAsia="ru-RU"/>
              </w:rPr>
              <w:t>10,05</w:t>
            </w:r>
          </w:p>
        </w:tc>
        <w:tc>
          <w:tcPr>
            <w:tcW w:w="968"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sz w:val="20"/>
                <w:szCs w:val="20"/>
                <w:lang w:eastAsia="ru-RU"/>
              </w:rPr>
            </w:pPr>
            <w:r w:rsidRPr="00C43972">
              <w:rPr>
                <w:rFonts w:eastAsia="Times New Roman"/>
                <w:sz w:val="20"/>
                <w:szCs w:val="20"/>
                <w:lang w:eastAsia="ru-RU"/>
              </w:rPr>
              <w:t>0,56</w:t>
            </w:r>
          </w:p>
        </w:tc>
        <w:tc>
          <w:tcPr>
            <w:tcW w:w="969"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sz w:val="20"/>
                <w:szCs w:val="20"/>
                <w:lang w:eastAsia="ru-RU"/>
              </w:rPr>
            </w:pPr>
            <w:r w:rsidRPr="00C43972">
              <w:rPr>
                <w:rFonts w:eastAsia="Times New Roman"/>
                <w:sz w:val="20"/>
                <w:szCs w:val="20"/>
                <w:lang w:eastAsia="ru-RU"/>
              </w:rPr>
              <w:t>2,93</w:t>
            </w:r>
          </w:p>
        </w:tc>
        <w:tc>
          <w:tcPr>
            <w:tcW w:w="873"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sz w:val="20"/>
                <w:szCs w:val="20"/>
                <w:lang w:eastAsia="ru-RU"/>
              </w:rPr>
            </w:pPr>
            <w:r w:rsidRPr="00C43972">
              <w:rPr>
                <w:rFonts w:eastAsia="Times New Roman"/>
                <w:sz w:val="20"/>
                <w:szCs w:val="20"/>
                <w:lang w:eastAsia="ru-RU"/>
              </w:rPr>
              <w:t>0,06</w:t>
            </w:r>
          </w:p>
        </w:tc>
        <w:tc>
          <w:tcPr>
            <w:tcW w:w="850"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color w:val="000000"/>
                <w:sz w:val="20"/>
                <w:szCs w:val="20"/>
                <w:lang w:eastAsia="ru-RU"/>
              </w:rPr>
            </w:pPr>
            <w:r w:rsidRPr="00C43972">
              <w:rPr>
                <w:rFonts w:eastAsia="Times New Roman"/>
                <w:color w:val="000000"/>
                <w:sz w:val="20"/>
                <w:szCs w:val="20"/>
                <w:lang w:eastAsia="ru-RU"/>
              </w:rPr>
              <w:t>0,33</w:t>
            </w:r>
          </w:p>
        </w:tc>
      </w:tr>
      <w:tr w:rsidR="004E78F6" w:rsidRPr="00C43972" w:rsidTr="001061D5">
        <w:trPr>
          <w:trHeight w:val="293"/>
          <w:jc w:val="right"/>
        </w:trPr>
        <w:tc>
          <w:tcPr>
            <w:tcW w:w="4395" w:type="dxa"/>
            <w:tcBorders>
              <w:top w:val="single" w:sz="4" w:space="0" w:color="auto"/>
              <w:left w:val="single" w:sz="4" w:space="0" w:color="auto"/>
              <w:bottom w:val="single" w:sz="4" w:space="0" w:color="auto"/>
              <w:right w:val="single" w:sz="4" w:space="0" w:color="auto"/>
            </w:tcBorders>
            <w:vAlign w:val="bottom"/>
          </w:tcPr>
          <w:p w:rsidR="004E78F6" w:rsidRPr="00C43972" w:rsidRDefault="004E78F6" w:rsidP="00C43972">
            <w:pPr>
              <w:keepNext/>
              <w:spacing w:line="240" w:lineRule="auto"/>
              <w:ind w:right="57"/>
              <w:jc w:val="left"/>
              <w:rPr>
                <w:rFonts w:eastAsia="Times New Roman"/>
                <w:sz w:val="20"/>
                <w:szCs w:val="20"/>
                <w:lang w:eastAsia="ru-RU"/>
              </w:rPr>
            </w:pPr>
            <w:r w:rsidRPr="00C43972">
              <w:rPr>
                <w:rFonts w:eastAsia="Times New Roman"/>
                <w:sz w:val="20"/>
                <w:szCs w:val="20"/>
                <w:lang w:eastAsia="ru-RU"/>
              </w:rPr>
              <w:t>Частота мало вагових новонароджених</w:t>
            </w:r>
          </w:p>
        </w:tc>
        <w:tc>
          <w:tcPr>
            <w:tcW w:w="968"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sz w:val="20"/>
                <w:szCs w:val="20"/>
                <w:lang w:eastAsia="ru-RU"/>
              </w:rPr>
            </w:pPr>
            <w:r w:rsidRPr="00C43972">
              <w:rPr>
                <w:rFonts w:eastAsia="Times New Roman"/>
                <w:sz w:val="20"/>
                <w:szCs w:val="20"/>
                <w:lang w:eastAsia="ru-RU"/>
              </w:rPr>
              <w:t>5,74</w:t>
            </w:r>
          </w:p>
        </w:tc>
        <w:tc>
          <w:tcPr>
            <w:tcW w:w="969"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sz w:val="20"/>
                <w:szCs w:val="20"/>
                <w:lang w:eastAsia="ru-RU"/>
              </w:rPr>
            </w:pPr>
            <w:r w:rsidRPr="00C43972">
              <w:rPr>
                <w:rFonts w:eastAsia="Times New Roman"/>
                <w:sz w:val="20"/>
                <w:szCs w:val="20"/>
                <w:lang w:eastAsia="ru-RU"/>
              </w:rPr>
              <w:t>4,81</w:t>
            </w:r>
          </w:p>
        </w:tc>
        <w:tc>
          <w:tcPr>
            <w:tcW w:w="968"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sz w:val="20"/>
                <w:szCs w:val="20"/>
                <w:lang w:eastAsia="ru-RU"/>
              </w:rPr>
            </w:pPr>
            <w:r w:rsidRPr="00C43972">
              <w:rPr>
                <w:rFonts w:eastAsia="Times New Roman"/>
                <w:sz w:val="20"/>
                <w:szCs w:val="20"/>
                <w:lang w:eastAsia="ru-RU"/>
              </w:rPr>
              <w:t>2,83</w:t>
            </w:r>
          </w:p>
        </w:tc>
        <w:tc>
          <w:tcPr>
            <w:tcW w:w="969"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sz w:val="20"/>
                <w:szCs w:val="20"/>
                <w:lang w:eastAsia="ru-RU"/>
              </w:rPr>
            </w:pPr>
            <w:r w:rsidRPr="00C43972">
              <w:rPr>
                <w:rFonts w:eastAsia="Times New Roman"/>
                <w:sz w:val="20"/>
                <w:szCs w:val="20"/>
                <w:lang w:eastAsia="ru-RU"/>
              </w:rPr>
              <w:t>4,19</w:t>
            </w:r>
          </w:p>
        </w:tc>
        <w:tc>
          <w:tcPr>
            <w:tcW w:w="873"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sz w:val="20"/>
                <w:szCs w:val="20"/>
                <w:lang w:eastAsia="ru-RU"/>
              </w:rPr>
            </w:pPr>
            <w:r w:rsidRPr="00C43972">
              <w:rPr>
                <w:rFonts w:eastAsia="Times New Roman"/>
                <w:sz w:val="20"/>
                <w:szCs w:val="20"/>
                <w:lang w:eastAsia="ru-RU"/>
              </w:rPr>
              <w:t>0,57</w:t>
            </w:r>
          </w:p>
        </w:tc>
        <w:tc>
          <w:tcPr>
            <w:tcW w:w="850"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color w:val="000000"/>
                <w:sz w:val="20"/>
                <w:szCs w:val="20"/>
                <w:lang w:eastAsia="ru-RU"/>
              </w:rPr>
            </w:pPr>
            <w:r w:rsidRPr="00C43972">
              <w:rPr>
                <w:rFonts w:eastAsia="Times New Roman"/>
                <w:color w:val="000000"/>
                <w:sz w:val="20"/>
                <w:szCs w:val="20"/>
                <w:lang w:eastAsia="ru-RU"/>
              </w:rPr>
              <w:t>0,84</w:t>
            </w:r>
          </w:p>
        </w:tc>
      </w:tr>
      <w:tr w:rsidR="004E78F6" w:rsidRPr="00C43972" w:rsidTr="001061D5">
        <w:trPr>
          <w:trHeight w:val="188"/>
          <w:jc w:val="right"/>
        </w:trPr>
        <w:tc>
          <w:tcPr>
            <w:tcW w:w="4395" w:type="dxa"/>
            <w:tcBorders>
              <w:top w:val="single" w:sz="4" w:space="0" w:color="auto"/>
              <w:left w:val="single" w:sz="4" w:space="0" w:color="auto"/>
              <w:bottom w:val="single" w:sz="4" w:space="0" w:color="auto"/>
              <w:right w:val="single" w:sz="4" w:space="0" w:color="auto"/>
            </w:tcBorders>
            <w:vAlign w:val="bottom"/>
          </w:tcPr>
          <w:p w:rsidR="004E78F6" w:rsidRPr="00C43972" w:rsidRDefault="004E78F6" w:rsidP="00C43972">
            <w:pPr>
              <w:keepNext/>
              <w:spacing w:line="240" w:lineRule="auto"/>
              <w:ind w:right="57"/>
              <w:jc w:val="left"/>
              <w:rPr>
                <w:rFonts w:eastAsia="Times New Roman"/>
                <w:sz w:val="20"/>
                <w:szCs w:val="20"/>
                <w:lang w:eastAsia="ru-RU"/>
              </w:rPr>
            </w:pPr>
            <w:r w:rsidRPr="00C43972">
              <w:rPr>
                <w:rFonts w:eastAsia="Times New Roman"/>
                <w:sz w:val="20"/>
                <w:szCs w:val="20"/>
                <w:lang w:eastAsia="ru-RU"/>
              </w:rPr>
              <w:t>Виживання новонароджених з дуже малою масою тіла при народженні</w:t>
            </w:r>
          </w:p>
        </w:tc>
        <w:tc>
          <w:tcPr>
            <w:tcW w:w="968"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sz w:val="20"/>
                <w:szCs w:val="20"/>
                <w:lang w:eastAsia="ru-RU"/>
              </w:rPr>
            </w:pPr>
            <w:r w:rsidRPr="00C43972">
              <w:rPr>
                <w:rFonts w:eastAsia="Times New Roman"/>
                <w:sz w:val="20"/>
                <w:szCs w:val="20"/>
                <w:lang w:eastAsia="ru-RU"/>
              </w:rPr>
              <w:t>83,48</w:t>
            </w:r>
          </w:p>
        </w:tc>
        <w:tc>
          <w:tcPr>
            <w:tcW w:w="969"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sz w:val="20"/>
                <w:szCs w:val="20"/>
                <w:lang w:eastAsia="ru-RU"/>
              </w:rPr>
            </w:pPr>
            <w:r w:rsidRPr="00C43972">
              <w:rPr>
                <w:rFonts w:eastAsia="Times New Roman"/>
                <w:sz w:val="20"/>
                <w:szCs w:val="20"/>
                <w:lang w:eastAsia="ru-RU"/>
              </w:rPr>
              <w:t>90,72</w:t>
            </w:r>
          </w:p>
        </w:tc>
        <w:tc>
          <w:tcPr>
            <w:tcW w:w="968"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sz w:val="20"/>
                <w:szCs w:val="20"/>
                <w:lang w:eastAsia="ru-RU"/>
              </w:rPr>
            </w:pPr>
            <w:r w:rsidRPr="00C43972">
              <w:rPr>
                <w:rFonts w:eastAsia="Times New Roman"/>
                <w:sz w:val="20"/>
                <w:szCs w:val="20"/>
                <w:lang w:eastAsia="ru-RU"/>
              </w:rPr>
              <w:t>7,42</w:t>
            </w:r>
          </w:p>
        </w:tc>
        <w:tc>
          <w:tcPr>
            <w:tcW w:w="969"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sz w:val="20"/>
                <w:szCs w:val="20"/>
                <w:lang w:eastAsia="ru-RU"/>
              </w:rPr>
            </w:pPr>
            <w:r w:rsidRPr="00C43972">
              <w:rPr>
                <w:rFonts w:eastAsia="Times New Roman"/>
                <w:sz w:val="20"/>
                <w:szCs w:val="20"/>
                <w:lang w:eastAsia="ru-RU"/>
              </w:rPr>
              <w:t>8,0</w:t>
            </w:r>
          </w:p>
        </w:tc>
        <w:tc>
          <w:tcPr>
            <w:tcW w:w="873"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sz w:val="20"/>
                <w:szCs w:val="20"/>
                <w:lang w:eastAsia="ru-RU"/>
              </w:rPr>
            </w:pPr>
            <w:r w:rsidRPr="00C43972">
              <w:rPr>
                <w:rFonts w:eastAsia="Times New Roman"/>
                <w:sz w:val="20"/>
                <w:szCs w:val="20"/>
                <w:lang w:eastAsia="ru-RU"/>
              </w:rPr>
              <w:t>0,93</w:t>
            </w:r>
          </w:p>
        </w:tc>
        <w:tc>
          <w:tcPr>
            <w:tcW w:w="850"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color w:val="000000"/>
                <w:sz w:val="20"/>
                <w:szCs w:val="20"/>
                <w:lang w:eastAsia="ru-RU"/>
              </w:rPr>
            </w:pPr>
            <w:r w:rsidRPr="00C43972">
              <w:rPr>
                <w:rFonts w:eastAsia="Times New Roman"/>
                <w:color w:val="000000"/>
                <w:sz w:val="20"/>
                <w:szCs w:val="20"/>
                <w:lang w:eastAsia="ru-RU"/>
              </w:rPr>
              <w:t>1,00</w:t>
            </w:r>
          </w:p>
        </w:tc>
      </w:tr>
      <w:tr w:rsidR="004E78F6" w:rsidRPr="00C43972" w:rsidTr="001061D5">
        <w:trPr>
          <w:trHeight w:val="226"/>
          <w:jc w:val="right"/>
        </w:trPr>
        <w:tc>
          <w:tcPr>
            <w:tcW w:w="4395" w:type="dxa"/>
            <w:tcBorders>
              <w:top w:val="single" w:sz="4" w:space="0" w:color="auto"/>
              <w:left w:val="single" w:sz="4" w:space="0" w:color="auto"/>
              <w:bottom w:val="single" w:sz="4" w:space="0" w:color="auto"/>
              <w:right w:val="single" w:sz="4" w:space="0" w:color="auto"/>
            </w:tcBorders>
            <w:vAlign w:val="bottom"/>
          </w:tcPr>
          <w:p w:rsidR="004E78F6" w:rsidRPr="00C43972" w:rsidRDefault="004E78F6" w:rsidP="00C43972">
            <w:pPr>
              <w:keepNext/>
              <w:spacing w:line="240" w:lineRule="auto"/>
              <w:ind w:right="57"/>
              <w:jc w:val="left"/>
              <w:rPr>
                <w:rFonts w:eastAsia="Times New Roman"/>
                <w:sz w:val="20"/>
                <w:szCs w:val="20"/>
                <w:lang w:eastAsia="ru-RU"/>
              </w:rPr>
            </w:pPr>
            <w:r w:rsidRPr="00C43972">
              <w:rPr>
                <w:rFonts w:eastAsia="Times New Roman"/>
                <w:sz w:val="20"/>
                <w:szCs w:val="20"/>
                <w:lang w:eastAsia="ru-RU"/>
              </w:rPr>
              <w:t>Індекс здоров’я новонароджених</w:t>
            </w:r>
          </w:p>
        </w:tc>
        <w:tc>
          <w:tcPr>
            <w:tcW w:w="968"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sz w:val="20"/>
                <w:szCs w:val="20"/>
                <w:lang w:eastAsia="ru-RU"/>
              </w:rPr>
            </w:pPr>
            <w:r w:rsidRPr="00C43972">
              <w:rPr>
                <w:rFonts w:eastAsia="Times New Roman"/>
                <w:sz w:val="20"/>
                <w:szCs w:val="20"/>
                <w:lang w:eastAsia="ru-RU"/>
              </w:rPr>
              <w:t>84,1</w:t>
            </w:r>
          </w:p>
        </w:tc>
        <w:tc>
          <w:tcPr>
            <w:tcW w:w="969"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sz w:val="20"/>
                <w:szCs w:val="20"/>
                <w:lang w:eastAsia="ru-RU"/>
              </w:rPr>
            </w:pPr>
            <w:r w:rsidRPr="00C43972">
              <w:rPr>
                <w:rFonts w:eastAsia="Times New Roman"/>
                <w:sz w:val="20"/>
                <w:szCs w:val="20"/>
                <w:lang w:eastAsia="ru-RU"/>
              </w:rPr>
              <w:t>84,14</w:t>
            </w:r>
          </w:p>
        </w:tc>
        <w:tc>
          <w:tcPr>
            <w:tcW w:w="968"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sz w:val="20"/>
                <w:szCs w:val="20"/>
                <w:lang w:eastAsia="ru-RU"/>
              </w:rPr>
            </w:pPr>
            <w:r w:rsidRPr="00C43972">
              <w:rPr>
                <w:rFonts w:eastAsia="Times New Roman"/>
                <w:sz w:val="20"/>
                <w:szCs w:val="20"/>
                <w:lang w:eastAsia="ru-RU"/>
              </w:rPr>
              <w:t>5,61</w:t>
            </w:r>
          </w:p>
        </w:tc>
        <w:tc>
          <w:tcPr>
            <w:tcW w:w="969"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sz w:val="20"/>
                <w:szCs w:val="20"/>
                <w:lang w:eastAsia="ru-RU"/>
              </w:rPr>
            </w:pPr>
            <w:r w:rsidRPr="00C43972">
              <w:rPr>
                <w:rFonts w:eastAsia="Times New Roman"/>
                <w:sz w:val="20"/>
                <w:szCs w:val="20"/>
                <w:lang w:eastAsia="ru-RU"/>
              </w:rPr>
              <w:t>5,94</w:t>
            </w:r>
          </w:p>
        </w:tc>
        <w:tc>
          <w:tcPr>
            <w:tcW w:w="873"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sz w:val="20"/>
                <w:szCs w:val="20"/>
                <w:lang w:eastAsia="ru-RU"/>
              </w:rPr>
            </w:pPr>
            <w:r w:rsidRPr="00C43972">
              <w:rPr>
                <w:rFonts w:eastAsia="Times New Roman"/>
                <w:sz w:val="20"/>
                <w:szCs w:val="20"/>
                <w:lang w:eastAsia="ru-RU"/>
              </w:rPr>
              <w:t>0,93</w:t>
            </w:r>
          </w:p>
        </w:tc>
        <w:tc>
          <w:tcPr>
            <w:tcW w:w="850"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color w:val="000000"/>
                <w:sz w:val="20"/>
                <w:szCs w:val="20"/>
                <w:lang w:eastAsia="ru-RU"/>
              </w:rPr>
            </w:pPr>
            <w:r w:rsidRPr="00C43972">
              <w:rPr>
                <w:rFonts w:eastAsia="Times New Roman"/>
                <w:color w:val="000000"/>
                <w:sz w:val="20"/>
                <w:szCs w:val="20"/>
                <w:lang w:eastAsia="ru-RU"/>
              </w:rPr>
              <w:t>0,99</w:t>
            </w:r>
          </w:p>
        </w:tc>
      </w:tr>
      <w:tr w:rsidR="004E78F6" w:rsidRPr="00C43972" w:rsidTr="001061D5">
        <w:trPr>
          <w:trHeight w:val="244"/>
          <w:jc w:val="right"/>
        </w:trPr>
        <w:tc>
          <w:tcPr>
            <w:tcW w:w="4395" w:type="dxa"/>
            <w:tcBorders>
              <w:top w:val="single" w:sz="4" w:space="0" w:color="auto"/>
              <w:left w:val="single" w:sz="4" w:space="0" w:color="auto"/>
              <w:bottom w:val="single" w:sz="4" w:space="0" w:color="auto"/>
              <w:right w:val="single" w:sz="4" w:space="0" w:color="auto"/>
            </w:tcBorders>
            <w:vAlign w:val="bottom"/>
          </w:tcPr>
          <w:p w:rsidR="004E78F6" w:rsidRPr="00C43972" w:rsidRDefault="004E78F6" w:rsidP="00C43972">
            <w:pPr>
              <w:keepNext/>
              <w:spacing w:line="240" w:lineRule="auto"/>
              <w:ind w:right="57"/>
              <w:jc w:val="left"/>
              <w:rPr>
                <w:rFonts w:eastAsia="Times New Roman"/>
                <w:sz w:val="20"/>
                <w:szCs w:val="20"/>
                <w:lang w:eastAsia="ru-RU"/>
              </w:rPr>
            </w:pPr>
            <w:r w:rsidRPr="00C43972">
              <w:rPr>
                <w:rFonts w:eastAsia="Times New Roman"/>
                <w:sz w:val="20"/>
                <w:szCs w:val="20"/>
                <w:lang w:eastAsia="ru-RU"/>
              </w:rPr>
              <w:t xml:space="preserve">Рівень перинатальної смертності </w:t>
            </w:r>
          </w:p>
        </w:tc>
        <w:tc>
          <w:tcPr>
            <w:tcW w:w="968"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sz w:val="20"/>
                <w:szCs w:val="20"/>
                <w:lang w:eastAsia="ru-RU"/>
              </w:rPr>
            </w:pPr>
            <w:r w:rsidRPr="00C43972">
              <w:rPr>
                <w:rFonts w:eastAsia="Times New Roman"/>
                <w:sz w:val="20"/>
                <w:szCs w:val="20"/>
                <w:lang w:eastAsia="ru-RU"/>
              </w:rPr>
              <w:t>9,21</w:t>
            </w:r>
          </w:p>
        </w:tc>
        <w:tc>
          <w:tcPr>
            <w:tcW w:w="969"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sz w:val="20"/>
                <w:szCs w:val="20"/>
                <w:lang w:eastAsia="ru-RU"/>
              </w:rPr>
            </w:pPr>
            <w:r w:rsidRPr="00C43972">
              <w:rPr>
                <w:rFonts w:eastAsia="Times New Roman"/>
                <w:sz w:val="20"/>
                <w:szCs w:val="20"/>
                <w:lang w:eastAsia="ru-RU"/>
              </w:rPr>
              <w:t>6,07</w:t>
            </w:r>
          </w:p>
        </w:tc>
        <w:tc>
          <w:tcPr>
            <w:tcW w:w="968"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sz w:val="20"/>
                <w:szCs w:val="20"/>
                <w:lang w:eastAsia="ru-RU"/>
              </w:rPr>
            </w:pPr>
            <w:r w:rsidRPr="00C43972">
              <w:rPr>
                <w:rFonts w:eastAsia="Times New Roman"/>
                <w:sz w:val="20"/>
                <w:szCs w:val="20"/>
                <w:lang w:eastAsia="ru-RU"/>
              </w:rPr>
              <w:t>5,09</w:t>
            </w:r>
          </w:p>
        </w:tc>
        <w:tc>
          <w:tcPr>
            <w:tcW w:w="969"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sz w:val="20"/>
                <w:szCs w:val="20"/>
                <w:lang w:eastAsia="ru-RU"/>
              </w:rPr>
            </w:pPr>
            <w:r w:rsidRPr="00C43972">
              <w:rPr>
                <w:rFonts w:eastAsia="Times New Roman"/>
                <w:sz w:val="20"/>
                <w:szCs w:val="20"/>
                <w:lang w:eastAsia="ru-RU"/>
              </w:rPr>
              <w:t>6,0</w:t>
            </w:r>
          </w:p>
        </w:tc>
        <w:tc>
          <w:tcPr>
            <w:tcW w:w="873"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sz w:val="20"/>
                <w:szCs w:val="20"/>
                <w:lang w:eastAsia="ru-RU"/>
              </w:rPr>
            </w:pPr>
            <w:r w:rsidRPr="00C43972">
              <w:rPr>
                <w:rFonts w:eastAsia="Times New Roman"/>
                <w:sz w:val="20"/>
                <w:szCs w:val="20"/>
                <w:lang w:eastAsia="ru-RU"/>
              </w:rPr>
              <w:t>0,85</w:t>
            </w:r>
          </w:p>
        </w:tc>
        <w:tc>
          <w:tcPr>
            <w:tcW w:w="850"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color w:val="000000"/>
                <w:sz w:val="20"/>
                <w:szCs w:val="20"/>
                <w:lang w:eastAsia="ru-RU"/>
              </w:rPr>
            </w:pPr>
            <w:r w:rsidRPr="00C43972">
              <w:rPr>
                <w:rFonts w:eastAsia="Times New Roman"/>
                <w:color w:val="000000"/>
                <w:sz w:val="20"/>
                <w:szCs w:val="20"/>
                <w:lang w:eastAsia="ru-RU"/>
              </w:rPr>
              <w:t>1,00</w:t>
            </w:r>
          </w:p>
        </w:tc>
      </w:tr>
      <w:tr w:rsidR="004E78F6" w:rsidRPr="00C43972" w:rsidTr="001061D5">
        <w:trPr>
          <w:trHeight w:val="254"/>
          <w:jc w:val="right"/>
        </w:trPr>
        <w:tc>
          <w:tcPr>
            <w:tcW w:w="4395"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rPr>
                <w:rFonts w:eastAsia="Times New Roman"/>
                <w:sz w:val="20"/>
                <w:szCs w:val="20"/>
                <w:lang w:eastAsia="ru-RU"/>
              </w:rPr>
            </w:pPr>
            <w:r w:rsidRPr="00C43972">
              <w:rPr>
                <w:rFonts w:eastAsia="Times New Roman"/>
                <w:sz w:val="20"/>
                <w:szCs w:val="20"/>
                <w:lang w:eastAsia="ru-RU"/>
              </w:rPr>
              <w:t>Рівень неонатальної смертності</w:t>
            </w:r>
          </w:p>
        </w:tc>
        <w:tc>
          <w:tcPr>
            <w:tcW w:w="968"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sz w:val="20"/>
                <w:szCs w:val="20"/>
                <w:lang w:eastAsia="ru-RU"/>
              </w:rPr>
            </w:pPr>
            <w:r w:rsidRPr="00C43972">
              <w:rPr>
                <w:rFonts w:eastAsia="Times New Roman"/>
                <w:sz w:val="20"/>
                <w:szCs w:val="20"/>
                <w:lang w:eastAsia="ru-RU"/>
              </w:rPr>
              <w:t>4,24</w:t>
            </w:r>
          </w:p>
        </w:tc>
        <w:tc>
          <w:tcPr>
            <w:tcW w:w="969"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sz w:val="20"/>
                <w:szCs w:val="20"/>
                <w:lang w:eastAsia="ru-RU"/>
              </w:rPr>
            </w:pPr>
            <w:r w:rsidRPr="00C43972">
              <w:rPr>
                <w:rFonts w:eastAsia="Times New Roman"/>
                <w:sz w:val="20"/>
                <w:szCs w:val="20"/>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sz w:val="20"/>
                <w:szCs w:val="20"/>
                <w:lang w:eastAsia="ru-RU"/>
              </w:rPr>
            </w:pPr>
            <w:r w:rsidRPr="00C43972">
              <w:rPr>
                <w:rFonts w:eastAsia="Times New Roman"/>
                <w:sz w:val="20"/>
                <w:szCs w:val="20"/>
                <w:lang w:eastAsia="ru-RU"/>
              </w:rPr>
              <w:t>5,64</w:t>
            </w:r>
          </w:p>
        </w:tc>
        <w:tc>
          <w:tcPr>
            <w:tcW w:w="969"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sz w:val="20"/>
                <w:szCs w:val="20"/>
                <w:lang w:eastAsia="ru-RU"/>
              </w:rPr>
            </w:pPr>
            <w:r w:rsidRPr="00C43972">
              <w:rPr>
                <w:rFonts w:eastAsia="Times New Roman"/>
                <w:sz w:val="20"/>
                <w:szCs w:val="20"/>
                <w:lang w:eastAsia="ru-RU"/>
              </w:rPr>
              <w:t>**</w:t>
            </w:r>
          </w:p>
        </w:tc>
        <w:tc>
          <w:tcPr>
            <w:tcW w:w="873"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sz w:val="20"/>
                <w:szCs w:val="20"/>
                <w:lang w:eastAsia="ru-RU"/>
              </w:rPr>
            </w:pPr>
            <w:r w:rsidRPr="00C43972">
              <w:rPr>
                <w:rFonts w:eastAsia="Times New Roman"/>
                <w:sz w:val="20"/>
                <w:szCs w:val="20"/>
                <w:lang w:eastAsia="ru-RU"/>
              </w:rPr>
              <w:t>0,94</w:t>
            </w:r>
          </w:p>
        </w:tc>
        <w:tc>
          <w:tcPr>
            <w:tcW w:w="850"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color w:val="000000"/>
                <w:sz w:val="20"/>
                <w:szCs w:val="20"/>
                <w:lang w:eastAsia="ru-RU"/>
              </w:rPr>
            </w:pPr>
            <w:r w:rsidRPr="00C43972">
              <w:rPr>
                <w:rFonts w:eastAsia="Times New Roman"/>
                <w:color w:val="000000"/>
                <w:sz w:val="20"/>
                <w:szCs w:val="20"/>
                <w:lang w:eastAsia="ru-RU"/>
              </w:rPr>
              <w:t>**</w:t>
            </w:r>
          </w:p>
        </w:tc>
      </w:tr>
      <w:tr w:rsidR="004E78F6" w:rsidRPr="00C43972" w:rsidTr="001061D5">
        <w:trPr>
          <w:trHeight w:val="216"/>
          <w:jc w:val="right"/>
        </w:trPr>
        <w:tc>
          <w:tcPr>
            <w:tcW w:w="4395"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rPr>
                <w:rFonts w:eastAsia="Times New Roman"/>
                <w:sz w:val="20"/>
                <w:szCs w:val="20"/>
                <w:lang w:eastAsia="ru-RU"/>
              </w:rPr>
            </w:pPr>
            <w:r w:rsidRPr="00C43972">
              <w:rPr>
                <w:rFonts w:eastAsia="Times New Roman"/>
                <w:sz w:val="20"/>
                <w:szCs w:val="20"/>
                <w:lang w:eastAsia="ru-RU"/>
              </w:rPr>
              <w:t>Співвідношення реального і фактичного показника ранньої неонатальної смертності</w:t>
            </w:r>
          </w:p>
        </w:tc>
        <w:tc>
          <w:tcPr>
            <w:tcW w:w="968"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sz w:val="20"/>
                <w:szCs w:val="20"/>
                <w:lang w:eastAsia="ru-RU"/>
              </w:rPr>
            </w:pPr>
            <w:r w:rsidRPr="00C43972">
              <w:rPr>
                <w:rFonts w:eastAsia="Times New Roman"/>
                <w:sz w:val="20"/>
                <w:szCs w:val="20"/>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sz w:val="20"/>
                <w:szCs w:val="20"/>
                <w:lang w:eastAsia="ru-RU"/>
              </w:rPr>
            </w:pPr>
            <w:r w:rsidRPr="00C43972">
              <w:rPr>
                <w:rFonts w:eastAsia="Times New Roman"/>
                <w:sz w:val="20"/>
                <w:szCs w:val="20"/>
                <w:lang w:eastAsia="ru-RU"/>
              </w:rPr>
              <w:t>3,56</w:t>
            </w:r>
          </w:p>
        </w:tc>
        <w:tc>
          <w:tcPr>
            <w:tcW w:w="968"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sz w:val="20"/>
                <w:szCs w:val="20"/>
                <w:lang w:eastAsia="ru-RU"/>
              </w:rPr>
            </w:pPr>
            <w:r w:rsidRPr="00C43972">
              <w:rPr>
                <w:rFonts w:eastAsia="Times New Roman"/>
                <w:sz w:val="20"/>
                <w:szCs w:val="20"/>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sz w:val="20"/>
                <w:szCs w:val="20"/>
                <w:lang w:eastAsia="ru-RU"/>
              </w:rPr>
            </w:pPr>
            <w:r w:rsidRPr="00C43972">
              <w:rPr>
                <w:rFonts w:eastAsia="Times New Roman"/>
                <w:sz w:val="20"/>
                <w:szCs w:val="20"/>
                <w:lang w:eastAsia="ru-RU"/>
              </w:rPr>
              <w:t>0,0</w:t>
            </w:r>
          </w:p>
        </w:tc>
        <w:tc>
          <w:tcPr>
            <w:tcW w:w="873"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sz w:val="20"/>
                <w:szCs w:val="20"/>
                <w:lang w:eastAsia="ru-RU"/>
              </w:rPr>
            </w:pPr>
            <w:r w:rsidRPr="00C43972">
              <w:rPr>
                <w:rFonts w:eastAsia="Times New Roman"/>
                <w:sz w:val="20"/>
                <w:szCs w:val="20"/>
                <w:lang w:eastAsia="ru-RU"/>
              </w:rPr>
              <w:t>*</w:t>
            </w:r>
          </w:p>
        </w:tc>
        <w:tc>
          <w:tcPr>
            <w:tcW w:w="850"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color w:val="000000"/>
                <w:sz w:val="20"/>
                <w:szCs w:val="20"/>
                <w:lang w:eastAsia="ru-RU"/>
              </w:rPr>
            </w:pPr>
            <w:r w:rsidRPr="00C43972">
              <w:rPr>
                <w:rFonts w:eastAsia="Times New Roman"/>
                <w:color w:val="000000"/>
                <w:sz w:val="20"/>
                <w:szCs w:val="20"/>
                <w:lang w:eastAsia="ru-RU"/>
              </w:rPr>
              <w:t>0,00</w:t>
            </w:r>
          </w:p>
        </w:tc>
      </w:tr>
      <w:tr w:rsidR="004E78F6" w:rsidRPr="00C43972" w:rsidTr="001061D5">
        <w:trPr>
          <w:trHeight w:val="216"/>
          <w:jc w:val="right"/>
        </w:trPr>
        <w:tc>
          <w:tcPr>
            <w:tcW w:w="4395"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left"/>
              <w:rPr>
                <w:rFonts w:eastAsia="Times New Roman"/>
                <w:sz w:val="20"/>
                <w:szCs w:val="20"/>
                <w:lang w:eastAsia="ru-RU"/>
              </w:rPr>
            </w:pPr>
            <w:r w:rsidRPr="00C43972">
              <w:rPr>
                <w:rFonts w:eastAsia="Times New Roman"/>
                <w:sz w:val="20"/>
                <w:szCs w:val="20"/>
                <w:lang w:eastAsia="ru-RU"/>
              </w:rPr>
              <w:t xml:space="preserve">Рівень ранньої неонатальної смертності </w:t>
            </w:r>
          </w:p>
        </w:tc>
        <w:tc>
          <w:tcPr>
            <w:tcW w:w="968"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sz w:val="20"/>
                <w:szCs w:val="20"/>
                <w:lang w:eastAsia="ru-RU"/>
              </w:rPr>
            </w:pPr>
            <w:r w:rsidRPr="00C43972">
              <w:rPr>
                <w:rFonts w:eastAsia="Times New Roman"/>
                <w:sz w:val="20"/>
                <w:szCs w:val="20"/>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sz w:val="20"/>
                <w:szCs w:val="20"/>
                <w:lang w:eastAsia="ru-RU"/>
              </w:rPr>
            </w:pPr>
            <w:r w:rsidRPr="00C43972">
              <w:rPr>
                <w:rFonts w:eastAsia="Times New Roman"/>
                <w:sz w:val="20"/>
                <w:szCs w:val="20"/>
                <w:lang w:eastAsia="ru-RU"/>
              </w:rPr>
              <w:t>1,81</w:t>
            </w:r>
          </w:p>
        </w:tc>
        <w:tc>
          <w:tcPr>
            <w:tcW w:w="968"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sz w:val="20"/>
                <w:szCs w:val="20"/>
                <w:lang w:eastAsia="ru-RU"/>
              </w:rPr>
            </w:pPr>
            <w:r w:rsidRPr="00C43972">
              <w:rPr>
                <w:rFonts w:eastAsia="Times New Roman"/>
                <w:sz w:val="20"/>
                <w:szCs w:val="20"/>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sz w:val="20"/>
                <w:szCs w:val="20"/>
                <w:lang w:eastAsia="ru-RU"/>
              </w:rPr>
            </w:pPr>
            <w:r w:rsidRPr="00C43972">
              <w:rPr>
                <w:rFonts w:eastAsia="Times New Roman"/>
                <w:sz w:val="20"/>
                <w:szCs w:val="20"/>
                <w:lang w:eastAsia="ru-RU"/>
              </w:rPr>
              <w:t>6,0</w:t>
            </w:r>
          </w:p>
        </w:tc>
        <w:tc>
          <w:tcPr>
            <w:tcW w:w="873"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sz w:val="20"/>
                <w:szCs w:val="20"/>
                <w:lang w:eastAsia="ru-RU"/>
              </w:rPr>
            </w:pPr>
            <w:r w:rsidRPr="00C43972">
              <w:rPr>
                <w:rFonts w:eastAsia="Times New Roman"/>
                <w:sz w:val="20"/>
                <w:szCs w:val="20"/>
                <w:lang w:eastAsia="ru-RU"/>
              </w:rPr>
              <w:t>*</w:t>
            </w:r>
          </w:p>
        </w:tc>
        <w:tc>
          <w:tcPr>
            <w:tcW w:w="850"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color w:val="000000"/>
                <w:sz w:val="20"/>
                <w:szCs w:val="20"/>
                <w:lang w:eastAsia="ru-RU"/>
              </w:rPr>
            </w:pPr>
            <w:r w:rsidRPr="00C43972">
              <w:rPr>
                <w:rFonts w:eastAsia="Times New Roman"/>
                <w:color w:val="000000"/>
                <w:sz w:val="20"/>
                <w:szCs w:val="20"/>
                <w:lang w:eastAsia="ru-RU"/>
              </w:rPr>
              <w:t>1,00</w:t>
            </w:r>
          </w:p>
        </w:tc>
      </w:tr>
      <w:tr w:rsidR="004E78F6" w:rsidRPr="00C43972" w:rsidTr="001061D5">
        <w:trPr>
          <w:trHeight w:val="216"/>
          <w:jc w:val="right"/>
        </w:trPr>
        <w:tc>
          <w:tcPr>
            <w:tcW w:w="4395" w:type="dxa"/>
            <w:tcBorders>
              <w:top w:val="single" w:sz="4" w:space="0" w:color="auto"/>
              <w:left w:val="single" w:sz="4" w:space="0" w:color="auto"/>
              <w:bottom w:val="single" w:sz="4" w:space="0" w:color="auto"/>
              <w:right w:val="single" w:sz="4" w:space="0" w:color="auto"/>
            </w:tcBorders>
            <w:vAlign w:val="bottom"/>
          </w:tcPr>
          <w:p w:rsidR="004E78F6" w:rsidRPr="00C43972" w:rsidRDefault="004E78F6" w:rsidP="00C43972">
            <w:pPr>
              <w:keepNext/>
              <w:spacing w:line="240" w:lineRule="auto"/>
              <w:ind w:right="57"/>
              <w:jc w:val="left"/>
              <w:rPr>
                <w:rFonts w:eastAsia="Times New Roman"/>
                <w:sz w:val="20"/>
                <w:szCs w:val="20"/>
                <w:lang w:eastAsia="ru-RU"/>
              </w:rPr>
            </w:pPr>
            <w:r w:rsidRPr="00C43972">
              <w:rPr>
                <w:rFonts w:eastAsia="Times New Roman"/>
                <w:sz w:val="20"/>
                <w:szCs w:val="20"/>
                <w:lang w:eastAsia="ru-RU"/>
              </w:rPr>
              <w:t xml:space="preserve">Рівень материнської смертності </w:t>
            </w:r>
          </w:p>
        </w:tc>
        <w:tc>
          <w:tcPr>
            <w:tcW w:w="968"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sz w:val="20"/>
                <w:szCs w:val="20"/>
                <w:lang w:eastAsia="ru-RU"/>
              </w:rPr>
            </w:pPr>
            <w:r w:rsidRPr="00C43972">
              <w:rPr>
                <w:rFonts w:eastAsia="Times New Roman"/>
                <w:sz w:val="20"/>
                <w:szCs w:val="20"/>
                <w:lang w:eastAsia="ru-RU"/>
              </w:rPr>
              <w:t>7,1</w:t>
            </w:r>
          </w:p>
        </w:tc>
        <w:tc>
          <w:tcPr>
            <w:tcW w:w="969"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sz w:val="20"/>
                <w:szCs w:val="20"/>
                <w:lang w:eastAsia="ru-RU"/>
              </w:rPr>
            </w:pPr>
            <w:r w:rsidRPr="00C43972">
              <w:rPr>
                <w:rFonts w:eastAsia="Times New Roman"/>
                <w:sz w:val="20"/>
                <w:szCs w:val="20"/>
                <w:lang w:eastAsia="ru-RU"/>
              </w:rPr>
              <w:t>31,3</w:t>
            </w:r>
          </w:p>
        </w:tc>
        <w:tc>
          <w:tcPr>
            <w:tcW w:w="968"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sz w:val="20"/>
                <w:szCs w:val="20"/>
                <w:lang w:eastAsia="ru-RU"/>
              </w:rPr>
            </w:pPr>
            <w:r w:rsidRPr="00C43972">
              <w:rPr>
                <w:rFonts w:eastAsia="Times New Roman"/>
                <w:sz w:val="20"/>
                <w:szCs w:val="20"/>
                <w:lang w:eastAsia="ru-RU"/>
              </w:rPr>
              <w:t>5,00</w:t>
            </w:r>
          </w:p>
        </w:tc>
        <w:tc>
          <w:tcPr>
            <w:tcW w:w="969"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sz w:val="20"/>
                <w:szCs w:val="20"/>
                <w:lang w:eastAsia="ru-RU"/>
              </w:rPr>
            </w:pPr>
            <w:r w:rsidRPr="00C43972">
              <w:rPr>
                <w:rFonts w:eastAsia="Times New Roman"/>
                <w:sz w:val="20"/>
                <w:szCs w:val="20"/>
                <w:lang w:eastAsia="ru-RU"/>
              </w:rPr>
              <w:t>0,0</w:t>
            </w:r>
          </w:p>
        </w:tc>
        <w:tc>
          <w:tcPr>
            <w:tcW w:w="873"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sz w:val="20"/>
                <w:szCs w:val="20"/>
                <w:lang w:eastAsia="ru-RU"/>
              </w:rPr>
            </w:pPr>
            <w:r w:rsidRPr="00C43972">
              <w:rPr>
                <w:rFonts w:eastAsia="Times New Roman"/>
                <w:sz w:val="20"/>
                <w:szCs w:val="20"/>
                <w:lang w:eastAsia="ru-RU"/>
              </w:rPr>
              <w:t>1,00</w:t>
            </w:r>
          </w:p>
        </w:tc>
        <w:tc>
          <w:tcPr>
            <w:tcW w:w="850"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color w:val="000000"/>
                <w:sz w:val="20"/>
                <w:szCs w:val="20"/>
                <w:lang w:eastAsia="ru-RU"/>
              </w:rPr>
            </w:pPr>
            <w:r w:rsidRPr="00C43972">
              <w:rPr>
                <w:rFonts w:eastAsia="Times New Roman"/>
                <w:color w:val="000000"/>
                <w:sz w:val="20"/>
                <w:szCs w:val="20"/>
                <w:lang w:eastAsia="ru-RU"/>
              </w:rPr>
              <w:t>0,00</w:t>
            </w:r>
          </w:p>
        </w:tc>
      </w:tr>
      <w:tr w:rsidR="004E78F6" w:rsidRPr="00C43972" w:rsidTr="001061D5">
        <w:trPr>
          <w:trHeight w:val="277"/>
          <w:jc w:val="right"/>
        </w:trPr>
        <w:tc>
          <w:tcPr>
            <w:tcW w:w="4395" w:type="dxa"/>
            <w:tcBorders>
              <w:top w:val="single" w:sz="4" w:space="0" w:color="auto"/>
              <w:left w:val="single" w:sz="4" w:space="0" w:color="auto"/>
              <w:bottom w:val="single" w:sz="4" w:space="0" w:color="auto"/>
              <w:right w:val="single" w:sz="4" w:space="0" w:color="auto"/>
            </w:tcBorders>
            <w:vAlign w:val="bottom"/>
          </w:tcPr>
          <w:p w:rsidR="004E78F6" w:rsidRPr="00C43972" w:rsidRDefault="004E78F6" w:rsidP="00C43972">
            <w:pPr>
              <w:keepNext/>
              <w:spacing w:line="240" w:lineRule="auto"/>
              <w:ind w:right="57"/>
              <w:jc w:val="left"/>
              <w:rPr>
                <w:rFonts w:eastAsia="Times New Roman"/>
                <w:sz w:val="20"/>
                <w:szCs w:val="20"/>
                <w:lang w:eastAsia="ru-RU"/>
              </w:rPr>
            </w:pPr>
          </w:p>
        </w:tc>
        <w:tc>
          <w:tcPr>
            <w:tcW w:w="968"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sz w:val="20"/>
                <w:szCs w:val="20"/>
                <w:lang w:eastAsia="ru-RU"/>
              </w:rPr>
            </w:pPr>
          </w:p>
        </w:tc>
        <w:tc>
          <w:tcPr>
            <w:tcW w:w="969"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color w:val="000000"/>
                <w:sz w:val="20"/>
                <w:szCs w:val="20"/>
                <w:lang w:eastAsia="ru-RU"/>
              </w:rPr>
            </w:pPr>
          </w:p>
        </w:tc>
        <w:tc>
          <w:tcPr>
            <w:tcW w:w="968"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color w:val="000000"/>
                <w:sz w:val="20"/>
                <w:szCs w:val="20"/>
                <w:lang w:eastAsia="ru-RU"/>
              </w:rPr>
            </w:pPr>
            <w:r w:rsidRPr="00C43972">
              <w:rPr>
                <w:rFonts w:eastAsia="Times New Roman"/>
                <w:color w:val="000000"/>
                <w:sz w:val="20"/>
                <w:szCs w:val="20"/>
                <w:lang w:eastAsia="ru-RU"/>
              </w:rPr>
              <w:t>91,98</w:t>
            </w:r>
          </w:p>
        </w:tc>
        <w:tc>
          <w:tcPr>
            <w:tcW w:w="969"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color w:val="000000"/>
                <w:sz w:val="20"/>
                <w:szCs w:val="20"/>
                <w:lang w:eastAsia="ru-RU"/>
              </w:rPr>
            </w:pPr>
            <w:r w:rsidRPr="00C43972">
              <w:rPr>
                <w:rFonts w:eastAsia="Times New Roman"/>
                <w:color w:val="000000"/>
                <w:sz w:val="20"/>
                <w:szCs w:val="20"/>
                <w:lang w:eastAsia="ru-RU"/>
              </w:rPr>
              <w:t>102,7</w:t>
            </w:r>
          </w:p>
        </w:tc>
        <w:tc>
          <w:tcPr>
            <w:tcW w:w="873"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color w:val="000000"/>
                <w:sz w:val="20"/>
                <w:szCs w:val="20"/>
                <w:lang w:eastAsia="ru-RU"/>
              </w:rPr>
            </w:pPr>
            <w:r w:rsidRPr="00C43972">
              <w:rPr>
                <w:rFonts w:eastAsia="Times New Roman"/>
                <w:color w:val="000000"/>
                <w:sz w:val="20"/>
                <w:szCs w:val="20"/>
                <w:lang w:eastAsia="ru-RU"/>
              </w:rPr>
              <w:t>0,77</w:t>
            </w:r>
          </w:p>
        </w:tc>
        <w:tc>
          <w:tcPr>
            <w:tcW w:w="850" w:type="dxa"/>
            <w:tcBorders>
              <w:top w:val="single" w:sz="4" w:space="0" w:color="auto"/>
              <w:left w:val="single" w:sz="4" w:space="0" w:color="auto"/>
              <w:bottom w:val="single" w:sz="4" w:space="0" w:color="auto"/>
              <w:right w:val="single" w:sz="4" w:space="0" w:color="auto"/>
            </w:tcBorders>
            <w:vAlign w:val="center"/>
          </w:tcPr>
          <w:p w:rsidR="004E78F6" w:rsidRPr="00C43972" w:rsidRDefault="004E78F6" w:rsidP="00C43972">
            <w:pPr>
              <w:keepNext/>
              <w:spacing w:line="240" w:lineRule="auto"/>
              <w:ind w:right="57"/>
              <w:jc w:val="center"/>
              <w:rPr>
                <w:rFonts w:eastAsia="Times New Roman"/>
                <w:color w:val="000000"/>
                <w:sz w:val="20"/>
                <w:szCs w:val="20"/>
                <w:lang w:eastAsia="ru-RU"/>
              </w:rPr>
            </w:pPr>
            <w:r w:rsidRPr="00C43972">
              <w:rPr>
                <w:rFonts w:eastAsia="Times New Roman"/>
                <w:color w:val="000000"/>
                <w:sz w:val="20"/>
                <w:szCs w:val="20"/>
                <w:lang w:eastAsia="ru-RU"/>
              </w:rPr>
              <w:t>0,79</w:t>
            </w:r>
          </w:p>
        </w:tc>
      </w:tr>
    </w:tbl>
    <w:p w:rsidR="00C43972" w:rsidRPr="008F3DBD" w:rsidRDefault="008F3DBD" w:rsidP="008F3DBD">
      <w:pPr>
        <w:keepNext/>
        <w:spacing w:line="240" w:lineRule="auto"/>
        <w:jc w:val="left"/>
        <w:rPr>
          <w:rFonts w:eastAsia="Times New Roman"/>
          <w:i/>
          <w:sz w:val="22"/>
        </w:rPr>
      </w:pPr>
      <w:r>
        <w:rPr>
          <w:rFonts w:eastAsia="Times New Roman"/>
          <w:i/>
          <w:sz w:val="24"/>
          <w:szCs w:val="24"/>
          <w:lang w:eastAsia="ru-RU"/>
        </w:rPr>
        <w:t xml:space="preserve">Для таблиць </w:t>
      </w:r>
      <w:r w:rsidR="00C43972" w:rsidRPr="00C43972">
        <w:rPr>
          <w:rFonts w:eastAsia="Times New Roman"/>
          <w:i/>
          <w:sz w:val="24"/>
          <w:szCs w:val="24"/>
          <w:lang w:eastAsia="ru-RU"/>
        </w:rPr>
        <w:t>: * – показник не оцінювався</w:t>
      </w:r>
      <w:r>
        <w:rPr>
          <w:rFonts w:eastAsia="Times New Roman"/>
          <w:i/>
          <w:sz w:val="22"/>
          <w:lang w:val="ru-RU"/>
        </w:rPr>
        <w:t xml:space="preserve">  </w:t>
      </w:r>
      <w:r w:rsidR="00C43972" w:rsidRPr="00C43972">
        <w:rPr>
          <w:rFonts w:eastAsia="Times New Roman"/>
          <w:i/>
          <w:sz w:val="24"/>
          <w:szCs w:val="24"/>
          <w:lang w:eastAsia="ru-RU"/>
        </w:rPr>
        <w:t>** – немає даних</w:t>
      </w:r>
    </w:p>
    <w:p w:rsidR="00991406" w:rsidRPr="00991406" w:rsidRDefault="00991406" w:rsidP="00C43972">
      <w:pPr>
        <w:keepNext/>
        <w:ind w:left="1416" w:firstLine="708"/>
        <w:jc w:val="right"/>
        <w:rPr>
          <w:rFonts w:eastAsia="Times New Roman"/>
          <w:bCs/>
          <w:iCs/>
          <w:color w:val="000000"/>
          <w:szCs w:val="28"/>
          <w:lang w:val="ru-RU" w:eastAsia="uk-UA"/>
        </w:rPr>
      </w:pPr>
    </w:p>
    <w:p w:rsidR="0035550D" w:rsidRDefault="0035550D" w:rsidP="00C43972">
      <w:pPr>
        <w:keepNext/>
        <w:ind w:left="1416" w:firstLine="708"/>
        <w:jc w:val="right"/>
        <w:rPr>
          <w:rFonts w:eastAsia="Times New Roman"/>
          <w:bCs/>
          <w:iCs/>
          <w:color w:val="000000"/>
          <w:szCs w:val="28"/>
          <w:lang w:eastAsia="uk-UA"/>
        </w:rPr>
      </w:pPr>
    </w:p>
    <w:p w:rsidR="00C43972" w:rsidRPr="00C43972" w:rsidRDefault="00535BCC" w:rsidP="0035550D">
      <w:pPr>
        <w:keepNext/>
        <w:pageBreakBefore/>
        <w:ind w:left="1418" w:firstLine="709"/>
        <w:jc w:val="right"/>
        <w:rPr>
          <w:rFonts w:eastAsia="Times New Roman"/>
          <w:bCs/>
          <w:iCs/>
          <w:color w:val="000000"/>
          <w:szCs w:val="28"/>
          <w:lang w:eastAsia="uk-UA"/>
        </w:rPr>
      </w:pPr>
      <w:r>
        <w:rPr>
          <w:rFonts w:eastAsia="Times New Roman"/>
          <w:bCs/>
          <w:iCs/>
          <w:color w:val="000000"/>
          <w:szCs w:val="28"/>
          <w:lang w:eastAsia="uk-UA"/>
        </w:rPr>
        <w:lastRenderedPageBreak/>
        <w:t>Додаток Е</w:t>
      </w:r>
      <w:r w:rsidR="00C43972" w:rsidRPr="00C43972">
        <w:rPr>
          <w:rFonts w:eastAsia="Times New Roman"/>
          <w:bCs/>
          <w:iCs/>
          <w:color w:val="000000"/>
          <w:szCs w:val="28"/>
          <w:lang w:eastAsia="uk-UA"/>
        </w:rPr>
        <w:t>-5</w:t>
      </w:r>
    </w:p>
    <w:p w:rsidR="00C43972" w:rsidRPr="00C43972" w:rsidRDefault="00C43972" w:rsidP="00111929">
      <w:pPr>
        <w:keepNext/>
        <w:jc w:val="center"/>
        <w:rPr>
          <w:rFonts w:eastAsia="Times New Roman"/>
          <w:b/>
          <w:sz w:val="24"/>
          <w:szCs w:val="24"/>
          <w:lang w:eastAsia="ru-RU"/>
        </w:rPr>
      </w:pPr>
      <w:r w:rsidRPr="00C43972">
        <w:rPr>
          <w:rFonts w:eastAsia="Times New Roman"/>
          <w:b/>
          <w:bCs/>
          <w:iCs/>
          <w:color w:val="000000"/>
          <w:szCs w:val="28"/>
          <w:lang w:eastAsia="uk-UA"/>
        </w:rPr>
        <w:t xml:space="preserve">Комплексна оцінка діяльності закладів перинатальної допомоги Волинької </w:t>
      </w:r>
      <w:r w:rsidRPr="00C43972">
        <w:rPr>
          <w:rFonts w:eastAsia="Times New Roman"/>
          <w:b/>
          <w:bCs/>
          <w:iCs/>
          <w:color w:val="000000"/>
          <w:sz w:val="26"/>
          <w:szCs w:val="26"/>
          <w:lang w:eastAsia="uk-UA"/>
        </w:rPr>
        <w:t xml:space="preserve">області у </w:t>
      </w:r>
      <w:r w:rsidRPr="00C43972">
        <w:rPr>
          <w:rFonts w:eastAsia="Times New Roman"/>
          <w:b/>
          <w:bCs/>
          <w:iCs/>
          <w:color w:val="000000"/>
          <w:szCs w:val="28"/>
          <w:lang w:eastAsia="uk-UA"/>
        </w:rPr>
        <w:t>2017–2018 рр.</w:t>
      </w:r>
    </w:p>
    <w:tbl>
      <w:tblPr>
        <w:tblW w:w="10206" w:type="dxa"/>
        <w:jc w:val="center"/>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395"/>
        <w:gridCol w:w="968"/>
        <w:gridCol w:w="969"/>
        <w:gridCol w:w="968"/>
        <w:gridCol w:w="969"/>
        <w:gridCol w:w="968"/>
        <w:gridCol w:w="969"/>
      </w:tblGrid>
      <w:tr w:rsidR="00111929" w:rsidRPr="00111929" w:rsidTr="00111929">
        <w:trPr>
          <w:cantSplit/>
          <w:trHeight w:val="1000"/>
          <w:jc w:val="center"/>
        </w:trPr>
        <w:tc>
          <w:tcPr>
            <w:tcW w:w="4395" w:type="dxa"/>
            <w:vMerge w:val="restart"/>
            <w:tcBorders>
              <w:top w:val="single" w:sz="4" w:space="0" w:color="auto"/>
              <w:left w:val="single" w:sz="4" w:space="0" w:color="auto"/>
              <w:right w:val="single" w:sz="4" w:space="0" w:color="auto"/>
            </w:tcBorders>
            <w:vAlign w:val="center"/>
            <w:hideMark/>
          </w:tcPr>
          <w:p w:rsidR="00111929" w:rsidRPr="00111929" w:rsidRDefault="00111929" w:rsidP="00C43972">
            <w:pPr>
              <w:keepNext/>
              <w:jc w:val="center"/>
              <w:rPr>
                <w:rFonts w:eastAsia="Times New Roman"/>
                <w:color w:val="000000"/>
                <w:sz w:val="24"/>
                <w:szCs w:val="24"/>
                <w:lang w:eastAsia="uk-UA"/>
              </w:rPr>
            </w:pPr>
            <w:r w:rsidRPr="00111929">
              <w:rPr>
                <w:rFonts w:eastAsia="Times New Roman"/>
                <w:color w:val="000000"/>
                <w:sz w:val="24"/>
                <w:szCs w:val="24"/>
                <w:lang w:eastAsia="uk-UA"/>
              </w:rPr>
              <w:t>Індикатор якості</w:t>
            </w:r>
          </w:p>
        </w:tc>
        <w:tc>
          <w:tcPr>
            <w:tcW w:w="1937" w:type="dxa"/>
            <w:gridSpan w:val="2"/>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jc w:val="center"/>
              <w:rPr>
                <w:rFonts w:eastAsia="Times New Roman"/>
                <w:color w:val="000000"/>
                <w:sz w:val="24"/>
                <w:szCs w:val="24"/>
                <w:lang w:eastAsia="uk-UA"/>
              </w:rPr>
            </w:pPr>
            <w:r w:rsidRPr="00111929">
              <w:rPr>
                <w:rFonts w:eastAsia="Times New Roman"/>
                <w:color w:val="000000"/>
                <w:sz w:val="24"/>
                <w:szCs w:val="24"/>
                <w:lang w:eastAsia="uk-UA"/>
              </w:rPr>
              <w:t xml:space="preserve">Фактичний показник, </w:t>
            </w:r>
            <w:r w:rsidRPr="00111929">
              <w:rPr>
                <w:rFonts w:eastAsia="Times New Roman"/>
                <w:sz w:val="24"/>
                <w:szCs w:val="24"/>
                <w:lang w:eastAsia="uk-UA"/>
              </w:rPr>
              <w:t>Україна</w:t>
            </w:r>
          </w:p>
        </w:tc>
        <w:tc>
          <w:tcPr>
            <w:tcW w:w="1937" w:type="dxa"/>
            <w:gridSpan w:val="2"/>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jc w:val="center"/>
              <w:rPr>
                <w:rFonts w:eastAsia="Times New Roman"/>
                <w:color w:val="000000"/>
                <w:sz w:val="24"/>
                <w:szCs w:val="24"/>
                <w:lang w:eastAsia="uk-UA"/>
              </w:rPr>
            </w:pPr>
            <w:r w:rsidRPr="00111929">
              <w:rPr>
                <w:rFonts w:eastAsia="Times New Roman"/>
                <w:color w:val="000000"/>
                <w:sz w:val="24"/>
                <w:szCs w:val="24"/>
                <w:lang w:eastAsia="uk-UA"/>
              </w:rPr>
              <w:t>Бальна оцінка фактичного показника</w:t>
            </w:r>
          </w:p>
        </w:tc>
        <w:tc>
          <w:tcPr>
            <w:tcW w:w="1937" w:type="dxa"/>
            <w:gridSpan w:val="2"/>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jc w:val="center"/>
              <w:rPr>
                <w:rFonts w:eastAsia="Times New Roman"/>
                <w:color w:val="000000"/>
                <w:sz w:val="24"/>
                <w:szCs w:val="24"/>
                <w:lang w:eastAsia="uk-UA"/>
              </w:rPr>
            </w:pPr>
            <w:r w:rsidRPr="00111929">
              <w:rPr>
                <w:rFonts w:eastAsia="Times New Roman"/>
                <w:color w:val="000000"/>
                <w:sz w:val="24"/>
                <w:szCs w:val="24"/>
                <w:lang w:eastAsia="uk-UA"/>
              </w:rPr>
              <w:t>КДНЗ</w:t>
            </w:r>
          </w:p>
        </w:tc>
      </w:tr>
      <w:tr w:rsidR="00111929" w:rsidRPr="00111929" w:rsidTr="00111929">
        <w:trPr>
          <w:trHeight w:val="404"/>
          <w:jc w:val="center"/>
        </w:trPr>
        <w:tc>
          <w:tcPr>
            <w:tcW w:w="4395" w:type="dxa"/>
            <w:vMerge/>
            <w:tcBorders>
              <w:left w:val="single" w:sz="4" w:space="0" w:color="auto"/>
              <w:bottom w:val="single" w:sz="4" w:space="0" w:color="auto"/>
              <w:right w:val="single" w:sz="4" w:space="0" w:color="auto"/>
            </w:tcBorders>
            <w:vAlign w:val="bottom"/>
          </w:tcPr>
          <w:p w:rsidR="00111929" w:rsidRPr="00111929" w:rsidRDefault="00111929" w:rsidP="00C43972">
            <w:pPr>
              <w:keepNext/>
              <w:jc w:val="left"/>
              <w:rPr>
                <w:rFonts w:eastAsia="Times New Roman"/>
                <w:sz w:val="24"/>
                <w:szCs w:val="24"/>
                <w:lang w:eastAsia="ru-RU"/>
              </w:rPr>
            </w:pPr>
          </w:p>
        </w:tc>
        <w:tc>
          <w:tcPr>
            <w:tcW w:w="968"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jc w:val="center"/>
              <w:rPr>
                <w:rFonts w:eastAsia="Times New Roman"/>
                <w:sz w:val="24"/>
                <w:szCs w:val="24"/>
                <w:lang w:eastAsia="ru-RU"/>
              </w:rPr>
            </w:pPr>
            <w:r w:rsidRPr="00111929">
              <w:rPr>
                <w:rFonts w:eastAsia="Times New Roman"/>
                <w:sz w:val="24"/>
                <w:szCs w:val="24"/>
                <w:lang w:eastAsia="ru-RU"/>
              </w:rPr>
              <w:t>2017 р.</w:t>
            </w:r>
          </w:p>
        </w:tc>
        <w:tc>
          <w:tcPr>
            <w:tcW w:w="969"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jc w:val="center"/>
              <w:rPr>
                <w:rFonts w:eastAsia="Times New Roman"/>
                <w:color w:val="000000"/>
                <w:sz w:val="24"/>
                <w:szCs w:val="24"/>
                <w:lang w:eastAsia="ru-RU"/>
              </w:rPr>
            </w:pPr>
            <w:r w:rsidRPr="00111929">
              <w:rPr>
                <w:rFonts w:eastAsia="Times New Roman"/>
                <w:color w:val="000000"/>
                <w:sz w:val="24"/>
                <w:szCs w:val="24"/>
                <w:lang w:eastAsia="ru-RU"/>
              </w:rPr>
              <w:t>2018 р.</w:t>
            </w:r>
          </w:p>
        </w:tc>
        <w:tc>
          <w:tcPr>
            <w:tcW w:w="968"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jc w:val="center"/>
              <w:rPr>
                <w:rFonts w:eastAsia="Times New Roman"/>
                <w:sz w:val="24"/>
                <w:szCs w:val="24"/>
                <w:lang w:eastAsia="ru-RU"/>
              </w:rPr>
            </w:pPr>
            <w:r w:rsidRPr="00111929">
              <w:rPr>
                <w:rFonts w:eastAsia="Times New Roman"/>
                <w:sz w:val="24"/>
                <w:szCs w:val="24"/>
                <w:lang w:eastAsia="ru-RU"/>
              </w:rPr>
              <w:t>2017 р.</w:t>
            </w:r>
          </w:p>
        </w:tc>
        <w:tc>
          <w:tcPr>
            <w:tcW w:w="969"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jc w:val="center"/>
              <w:rPr>
                <w:rFonts w:eastAsia="Times New Roman"/>
                <w:color w:val="000000"/>
                <w:sz w:val="24"/>
                <w:szCs w:val="24"/>
                <w:lang w:eastAsia="ru-RU"/>
              </w:rPr>
            </w:pPr>
            <w:r w:rsidRPr="00111929">
              <w:rPr>
                <w:rFonts w:eastAsia="Times New Roman"/>
                <w:color w:val="000000"/>
                <w:sz w:val="24"/>
                <w:szCs w:val="24"/>
                <w:lang w:eastAsia="ru-RU"/>
              </w:rPr>
              <w:t>2018 р.</w:t>
            </w:r>
          </w:p>
        </w:tc>
        <w:tc>
          <w:tcPr>
            <w:tcW w:w="968"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jc w:val="center"/>
              <w:rPr>
                <w:rFonts w:eastAsia="Times New Roman"/>
                <w:sz w:val="24"/>
                <w:szCs w:val="24"/>
                <w:lang w:eastAsia="ru-RU"/>
              </w:rPr>
            </w:pPr>
            <w:r w:rsidRPr="00111929">
              <w:rPr>
                <w:rFonts w:eastAsia="Times New Roman"/>
                <w:sz w:val="24"/>
                <w:szCs w:val="24"/>
                <w:lang w:eastAsia="ru-RU"/>
              </w:rPr>
              <w:t>2017 р.</w:t>
            </w:r>
          </w:p>
        </w:tc>
        <w:tc>
          <w:tcPr>
            <w:tcW w:w="969"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jc w:val="center"/>
              <w:rPr>
                <w:rFonts w:eastAsia="Times New Roman"/>
                <w:color w:val="000000"/>
                <w:sz w:val="24"/>
                <w:szCs w:val="24"/>
                <w:lang w:eastAsia="ru-RU"/>
              </w:rPr>
            </w:pPr>
            <w:r w:rsidRPr="00111929">
              <w:rPr>
                <w:rFonts w:eastAsia="Times New Roman"/>
                <w:color w:val="000000"/>
                <w:sz w:val="24"/>
                <w:szCs w:val="24"/>
                <w:lang w:eastAsia="ru-RU"/>
              </w:rPr>
              <w:t>2018 р.</w:t>
            </w:r>
          </w:p>
        </w:tc>
      </w:tr>
      <w:tr w:rsidR="00111929" w:rsidRPr="00111929" w:rsidTr="00111929">
        <w:trPr>
          <w:trHeight w:val="404"/>
          <w:jc w:val="center"/>
        </w:trPr>
        <w:tc>
          <w:tcPr>
            <w:tcW w:w="4395"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left"/>
              <w:rPr>
                <w:rFonts w:eastAsia="Times New Roman"/>
                <w:sz w:val="24"/>
                <w:szCs w:val="24"/>
                <w:lang w:eastAsia="ru-RU"/>
              </w:rPr>
            </w:pPr>
            <w:r w:rsidRPr="00111929">
              <w:rPr>
                <w:rFonts w:eastAsia="Times New Roman"/>
                <w:sz w:val="24"/>
                <w:szCs w:val="24"/>
                <w:lang w:eastAsia="ru-RU"/>
              </w:rPr>
              <w:t>Забезпеченість  лікарями акушер-гінекологами</w:t>
            </w:r>
          </w:p>
        </w:tc>
        <w:tc>
          <w:tcPr>
            <w:tcW w:w="968"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sz w:val="24"/>
                <w:szCs w:val="24"/>
                <w:lang w:eastAsia="ru-RU"/>
              </w:rPr>
            </w:pPr>
            <w:r w:rsidRPr="00111929">
              <w:rPr>
                <w:rFonts w:eastAsia="Times New Roman"/>
                <w:sz w:val="24"/>
                <w:szCs w:val="24"/>
                <w:lang w:eastAsia="ru-RU"/>
              </w:rPr>
              <w:t>4,96</w:t>
            </w:r>
          </w:p>
        </w:tc>
        <w:tc>
          <w:tcPr>
            <w:tcW w:w="969"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color w:val="000000"/>
                <w:sz w:val="24"/>
                <w:szCs w:val="24"/>
                <w:lang w:eastAsia="ru-RU"/>
              </w:rPr>
            </w:pPr>
            <w:r w:rsidRPr="00111929">
              <w:rPr>
                <w:rFonts w:eastAsia="Times New Roman"/>
                <w:color w:val="000000"/>
                <w:sz w:val="24"/>
                <w:szCs w:val="24"/>
                <w:lang w:eastAsia="ru-RU"/>
              </w:rPr>
              <w:t>4,72</w:t>
            </w:r>
          </w:p>
        </w:tc>
        <w:tc>
          <w:tcPr>
            <w:tcW w:w="968"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sz w:val="24"/>
                <w:szCs w:val="24"/>
                <w:lang w:eastAsia="ru-RU"/>
              </w:rPr>
            </w:pPr>
            <w:r w:rsidRPr="00111929">
              <w:rPr>
                <w:rFonts w:eastAsia="Times New Roman"/>
                <w:sz w:val="24"/>
                <w:szCs w:val="24"/>
                <w:lang w:eastAsia="ru-RU"/>
              </w:rPr>
              <w:t>5,41</w:t>
            </w:r>
          </w:p>
        </w:tc>
        <w:tc>
          <w:tcPr>
            <w:tcW w:w="969"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color w:val="000000"/>
                <w:sz w:val="24"/>
                <w:szCs w:val="24"/>
                <w:lang w:eastAsia="ru-RU"/>
              </w:rPr>
            </w:pPr>
            <w:r w:rsidRPr="00111929">
              <w:rPr>
                <w:rFonts w:eastAsia="Times New Roman"/>
                <w:color w:val="000000"/>
                <w:sz w:val="24"/>
                <w:szCs w:val="24"/>
                <w:lang w:eastAsia="ru-RU"/>
              </w:rPr>
              <w:t>5,15</w:t>
            </w:r>
          </w:p>
        </w:tc>
        <w:tc>
          <w:tcPr>
            <w:tcW w:w="968"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sz w:val="24"/>
                <w:szCs w:val="24"/>
                <w:lang w:eastAsia="ru-RU"/>
              </w:rPr>
            </w:pPr>
            <w:r w:rsidRPr="00111929">
              <w:rPr>
                <w:rFonts w:eastAsia="Times New Roman"/>
                <w:sz w:val="24"/>
                <w:szCs w:val="24"/>
                <w:lang w:eastAsia="ru-RU"/>
              </w:rPr>
              <w:t>0,90</w:t>
            </w:r>
          </w:p>
        </w:tc>
        <w:tc>
          <w:tcPr>
            <w:tcW w:w="969"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color w:val="000000"/>
                <w:sz w:val="24"/>
                <w:szCs w:val="24"/>
                <w:lang w:eastAsia="ru-RU"/>
              </w:rPr>
            </w:pPr>
            <w:r w:rsidRPr="00111929">
              <w:rPr>
                <w:rFonts w:eastAsia="Times New Roman"/>
                <w:color w:val="000000"/>
                <w:sz w:val="24"/>
                <w:szCs w:val="24"/>
                <w:lang w:eastAsia="ru-RU"/>
              </w:rPr>
              <w:t>0,86</w:t>
            </w:r>
          </w:p>
        </w:tc>
      </w:tr>
      <w:tr w:rsidR="00111929" w:rsidRPr="00111929" w:rsidTr="00111929">
        <w:trPr>
          <w:trHeight w:val="404"/>
          <w:jc w:val="center"/>
        </w:trPr>
        <w:tc>
          <w:tcPr>
            <w:tcW w:w="4395" w:type="dxa"/>
            <w:tcBorders>
              <w:top w:val="single" w:sz="4" w:space="0" w:color="auto"/>
              <w:left w:val="single" w:sz="4" w:space="0" w:color="auto"/>
              <w:bottom w:val="single" w:sz="4" w:space="0" w:color="auto"/>
              <w:right w:val="single" w:sz="4" w:space="0" w:color="auto"/>
            </w:tcBorders>
            <w:vAlign w:val="bottom"/>
          </w:tcPr>
          <w:p w:rsidR="00111929" w:rsidRPr="00111929" w:rsidRDefault="00111929" w:rsidP="00C43972">
            <w:pPr>
              <w:keepNext/>
              <w:spacing w:line="240" w:lineRule="auto"/>
              <w:jc w:val="left"/>
              <w:rPr>
                <w:rFonts w:eastAsia="Times New Roman"/>
                <w:sz w:val="24"/>
                <w:szCs w:val="24"/>
                <w:lang w:eastAsia="ru-RU"/>
              </w:rPr>
            </w:pPr>
            <w:r w:rsidRPr="00111929">
              <w:rPr>
                <w:rFonts w:eastAsia="Times New Roman"/>
                <w:sz w:val="24"/>
                <w:szCs w:val="24"/>
                <w:lang w:eastAsia="ru-RU"/>
              </w:rPr>
              <w:t>Забезпеченість  лікарями  педіатрами-неонатологами</w:t>
            </w:r>
          </w:p>
        </w:tc>
        <w:tc>
          <w:tcPr>
            <w:tcW w:w="968"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sz w:val="24"/>
                <w:szCs w:val="24"/>
                <w:lang w:eastAsia="ru-RU"/>
              </w:rPr>
            </w:pPr>
            <w:r w:rsidRPr="00111929">
              <w:rPr>
                <w:rFonts w:eastAsia="Times New Roman"/>
                <w:sz w:val="24"/>
                <w:szCs w:val="24"/>
                <w:lang w:eastAsia="ru-RU"/>
              </w:rPr>
              <w:t>2,99</w:t>
            </w:r>
          </w:p>
        </w:tc>
        <w:tc>
          <w:tcPr>
            <w:tcW w:w="969"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color w:val="000000"/>
                <w:sz w:val="24"/>
                <w:szCs w:val="24"/>
                <w:lang w:eastAsia="ru-RU"/>
              </w:rPr>
            </w:pPr>
            <w:r w:rsidRPr="00111929">
              <w:rPr>
                <w:rFonts w:eastAsia="Times New Roman"/>
                <w:color w:val="000000"/>
                <w:sz w:val="24"/>
                <w:szCs w:val="24"/>
                <w:lang w:eastAsia="ru-RU"/>
              </w:rPr>
              <w:t>2,98</w:t>
            </w:r>
          </w:p>
        </w:tc>
        <w:tc>
          <w:tcPr>
            <w:tcW w:w="968"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sz w:val="24"/>
                <w:szCs w:val="24"/>
                <w:lang w:eastAsia="ru-RU"/>
              </w:rPr>
            </w:pPr>
            <w:r w:rsidRPr="00111929">
              <w:rPr>
                <w:rFonts w:eastAsia="Times New Roman"/>
                <w:sz w:val="24"/>
                <w:szCs w:val="24"/>
                <w:lang w:eastAsia="ru-RU"/>
              </w:rPr>
              <w:t>3,26</w:t>
            </w:r>
          </w:p>
        </w:tc>
        <w:tc>
          <w:tcPr>
            <w:tcW w:w="969"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color w:val="000000"/>
                <w:sz w:val="24"/>
                <w:szCs w:val="24"/>
                <w:lang w:eastAsia="ru-RU"/>
              </w:rPr>
            </w:pPr>
            <w:r w:rsidRPr="00111929">
              <w:rPr>
                <w:rFonts w:eastAsia="Times New Roman"/>
                <w:color w:val="000000"/>
                <w:sz w:val="24"/>
                <w:szCs w:val="24"/>
                <w:lang w:eastAsia="ru-RU"/>
              </w:rPr>
              <w:t>3,25</w:t>
            </w:r>
          </w:p>
        </w:tc>
        <w:tc>
          <w:tcPr>
            <w:tcW w:w="968"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sz w:val="24"/>
                <w:szCs w:val="24"/>
                <w:lang w:eastAsia="ru-RU"/>
              </w:rPr>
            </w:pPr>
            <w:r w:rsidRPr="00111929">
              <w:rPr>
                <w:rFonts w:eastAsia="Times New Roman"/>
                <w:sz w:val="24"/>
                <w:szCs w:val="24"/>
                <w:lang w:eastAsia="ru-RU"/>
              </w:rPr>
              <w:t>0,54</w:t>
            </w:r>
          </w:p>
        </w:tc>
        <w:tc>
          <w:tcPr>
            <w:tcW w:w="969"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color w:val="000000"/>
                <w:sz w:val="24"/>
                <w:szCs w:val="24"/>
                <w:lang w:eastAsia="ru-RU"/>
              </w:rPr>
            </w:pPr>
            <w:r w:rsidRPr="00111929">
              <w:rPr>
                <w:rFonts w:eastAsia="Times New Roman"/>
                <w:color w:val="000000"/>
                <w:sz w:val="24"/>
                <w:szCs w:val="24"/>
                <w:lang w:eastAsia="ru-RU"/>
              </w:rPr>
              <w:t>0,54</w:t>
            </w:r>
          </w:p>
        </w:tc>
      </w:tr>
      <w:tr w:rsidR="00111929" w:rsidRPr="00111929" w:rsidTr="00111929">
        <w:trPr>
          <w:trHeight w:val="404"/>
          <w:jc w:val="center"/>
        </w:trPr>
        <w:tc>
          <w:tcPr>
            <w:tcW w:w="4395" w:type="dxa"/>
            <w:tcBorders>
              <w:top w:val="single" w:sz="4" w:space="0" w:color="auto"/>
              <w:left w:val="single" w:sz="4" w:space="0" w:color="auto"/>
              <w:bottom w:val="single" w:sz="4" w:space="0" w:color="auto"/>
              <w:right w:val="single" w:sz="4" w:space="0" w:color="auto"/>
            </w:tcBorders>
            <w:vAlign w:val="bottom"/>
          </w:tcPr>
          <w:p w:rsidR="00111929" w:rsidRPr="00111929" w:rsidRDefault="00111929" w:rsidP="00C43972">
            <w:pPr>
              <w:keepNext/>
              <w:spacing w:line="240" w:lineRule="auto"/>
              <w:jc w:val="left"/>
              <w:rPr>
                <w:rFonts w:eastAsia="Times New Roman"/>
                <w:sz w:val="24"/>
                <w:szCs w:val="24"/>
                <w:lang w:eastAsia="ru-RU"/>
              </w:rPr>
            </w:pPr>
            <w:r w:rsidRPr="00111929">
              <w:rPr>
                <w:rFonts w:eastAsia="Times New Roman"/>
                <w:sz w:val="24"/>
                <w:szCs w:val="24"/>
                <w:lang w:eastAsia="ru-RU"/>
              </w:rPr>
              <w:t>Питома вага атестованих лікарів акушер-гінекологів</w:t>
            </w:r>
          </w:p>
        </w:tc>
        <w:tc>
          <w:tcPr>
            <w:tcW w:w="968"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sz w:val="24"/>
                <w:szCs w:val="24"/>
                <w:lang w:eastAsia="ru-RU"/>
              </w:rPr>
            </w:pPr>
            <w:r w:rsidRPr="00111929">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color w:val="000000"/>
                <w:sz w:val="24"/>
                <w:szCs w:val="24"/>
                <w:lang w:eastAsia="ru-RU"/>
              </w:rPr>
            </w:pPr>
            <w:r w:rsidRPr="00111929">
              <w:rPr>
                <w:rFonts w:eastAsia="Times New Roman"/>
                <w:color w:val="000000"/>
                <w:sz w:val="24"/>
                <w:szCs w:val="24"/>
                <w:lang w:eastAsia="ru-RU"/>
              </w:rPr>
              <w:t>92,25</w:t>
            </w:r>
          </w:p>
        </w:tc>
        <w:tc>
          <w:tcPr>
            <w:tcW w:w="968"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sz w:val="24"/>
                <w:szCs w:val="24"/>
                <w:lang w:eastAsia="ru-RU"/>
              </w:rPr>
            </w:pPr>
            <w:r w:rsidRPr="00111929">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color w:val="000000"/>
                <w:sz w:val="24"/>
                <w:szCs w:val="24"/>
                <w:lang w:eastAsia="ru-RU"/>
              </w:rPr>
            </w:pPr>
            <w:r w:rsidRPr="00111929">
              <w:rPr>
                <w:rFonts w:eastAsia="Times New Roman"/>
                <w:color w:val="000000"/>
                <w:sz w:val="24"/>
                <w:szCs w:val="24"/>
                <w:lang w:eastAsia="ru-RU"/>
              </w:rPr>
              <w:t>6,0</w:t>
            </w:r>
          </w:p>
        </w:tc>
        <w:tc>
          <w:tcPr>
            <w:tcW w:w="968"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sz w:val="24"/>
                <w:szCs w:val="24"/>
                <w:lang w:eastAsia="ru-RU"/>
              </w:rPr>
            </w:pPr>
            <w:r w:rsidRPr="00111929">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color w:val="000000"/>
                <w:sz w:val="24"/>
                <w:szCs w:val="24"/>
                <w:lang w:eastAsia="ru-RU"/>
              </w:rPr>
            </w:pPr>
            <w:r w:rsidRPr="00111929">
              <w:rPr>
                <w:rFonts w:eastAsia="Times New Roman"/>
                <w:color w:val="000000"/>
                <w:sz w:val="24"/>
                <w:szCs w:val="24"/>
                <w:lang w:eastAsia="ru-RU"/>
              </w:rPr>
              <w:t>1,00</w:t>
            </w:r>
          </w:p>
        </w:tc>
      </w:tr>
      <w:tr w:rsidR="00111929" w:rsidRPr="00111929" w:rsidTr="00111929">
        <w:trPr>
          <w:trHeight w:val="404"/>
          <w:jc w:val="center"/>
        </w:trPr>
        <w:tc>
          <w:tcPr>
            <w:tcW w:w="4395" w:type="dxa"/>
            <w:tcBorders>
              <w:top w:val="single" w:sz="4" w:space="0" w:color="auto"/>
              <w:left w:val="single" w:sz="4" w:space="0" w:color="auto"/>
              <w:bottom w:val="single" w:sz="4" w:space="0" w:color="auto"/>
              <w:right w:val="single" w:sz="4" w:space="0" w:color="auto"/>
            </w:tcBorders>
            <w:vAlign w:val="bottom"/>
          </w:tcPr>
          <w:p w:rsidR="00111929" w:rsidRPr="00111929" w:rsidRDefault="00111929" w:rsidP="00C43972">
            <w:pPr>
              <w:keepNext/>
              <w:spacing w:line="240" w:lineRule="auto"/>
              <w:jc w:val="left"/>
              <w:rPr>
                <w:rFonts w:eastAsia="Times New Roman"/>
                <w:sz w:val="24"/>
                <w:szCs w:val="24"/>
                <w:lang w:eastAsia="ru-RU"/>
              </w:rPr>
            </w:pPr>
            <w:r w:rsidRPr="00111929">
              <w:rPr>
                <w:rFonts w:eastAsia="Times New Roman"/>
                <w:sz w:val="24"/>
                <w:szCs w:val="24"/>
                <w:lang w:eastAsia="ru-RU"/>
              </w:rPr>
              <w:t>Питома вага атестованих лікарів педіатрів-неонатологів</w:t>
            </w:r>
          </w:p>
        </w:tc>
        <w:tc>
          <w:tcPr>
            <w:tcW w:w="968"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sz w:val="24"/>
                <w:szCs w:val="24"/>
                <w:lang w:eastAsia="ru-RU"/>
              </w:rPr>
            </w:pPr>
            <w:r w:rsidRPr="00111929">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color w:val="000000"/>
                <w:sz w:val="24"/>
                <w:szCs w:val="24"/>
                <w:lang w:eastAsia="ru-RU"/>
              </w:rPr>
            </w:pPr>
            <w:r w:rsidRPr="00111929">
              <w:rPr>
                <w:rFonts w:eastAsia="Times New Roman"/>
                <w:color w:val="000000"/>
                <w:sz w:val="24"/>
                <w:szCs w:val="24"/>
                <w:lang w:eastAsia="ru-RU"/>
              </w:rPr>
              <w:t>79,41</w:t>
            </w:r>
          </w:p>
        </w:tc>
        <w:tc>
          <w:tcPr>
            <w:tcW w:w="968"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sz w:val="24"/>
                <w:szCs w:val="24"/>
                <w:lang w:eastAsia="ru-RU"/>
              </w:rPr>
            </w:pPr>
            <w:r w:rsidRPr="00111929">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color w:val="000000"/>
                <w:sz w:val="24"/>
                <w:szCs w:val="24"/>
                <w:lang w:eastAsia="ru-RU"/>
              </w:rPr>
            </w:pPr>
            <w:r w:rsidRPr="00111929">
              <w:rPr>
                <w:rFonts w:eastAsia="Times New Roman"/>
                <w:color w:val="000000"/>
                <w:sz w:val="24"/>
                <w:szCs w:val="24"/>
                <w:lang w:eastAsia="ru-RU"/>
              </w:rPr>
              <w:t>5,96</w:t>
            </w:r>
          </w:p>
        </w:tc>
        <w:tc>
          <w:tcPr>
            <w:tcW w:w="968"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sz w:val="24"/>
                <w:szCs w:val="24"/>
                <w:lang w:eastAsia="ru-RU"/>
              </w:rPr>
            </w:pPr>
            <w:r w:rsidRPr="00111929">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color w:val="000000"/>
                <w:sz w:val="24"/>
                <w:szCs w:val="24"/>
                <w:lang w:eastAsia="ru-RU"/>
              </w:rPr>
            </w:pPr>
            <w:r w:rsidRPr="00111929">
              <w:rPr>
                <w:rFonts w:eastAsia="Times New Roman"/>
                <w:color w:val="000000"/>
                <w:sz w:val="24"/>
                <w:szCs w:val="24"/>
                <w:lang w:eastAsia="ru-RU"/>
              </w:rPr>
              <w:t>0,99</w:t>
            </w:r>
          </w:p>
        </w:tc>
      </w:tr>
      <w:tr w:rsidR="00111929" w:rsidRPr="00111929" w:rsidTr="00111929">
        <w:trPr>
          <w:trHeight w:val="319"/>
          <w:jc w:val="center"/>
        </w:trPr>
        <w:tc>
          <w:tcPr>
            <w:tcW w:w="4395"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left"/>
              <w:rPr>
                <w:rFonts w:eastAsia="Times New Roman"/>
                <w:sz w:val="24"/>
                <w:szCs w:val="24"/>
                <w:lang w:eastAsia="ru-RU"/>
              </w:rPr>
            </w:pPr>
            <w:r w:rsidRPr="00111929">
              <w:rPr>
                <w:rFonts w:eastAsia="Times New Roman"/>
                <w:sz w:val="24"/>
                <w:szCs w:val="24"/>
                <w:lang w:eastAsia="ru-RU"/>
              </w:rPr>
              <w:t xml:space="preserve">Своєчасність постановки на облік вагітних </w:t>
            </w:r>
          </w:p>
        </w:tc>
        <w:tc>
          <w:tcPr>
            <w:tcW w:w="968"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sz w:val="24"/>
                <w:szCs w:val="24"/>
                <w:lang w:eastAsia="ru-RU"/>
              </w:rPr>
            </w:pPr>
            <w:r w:rsidRPr="00111929">
              <w:rPr>
                <w:rFonts w:eastAsia="Times New Roman"/>
                <w:sz w:val="24"/>
                <w:szCs w:val="24"/>
                <w:lang w:eastAsia="ru-RU"/>
              </w:rPr>
              <w:t>94,0</w:t>
            </w:r>
          </w:p>
        </w:tc>
        <w:tc>
          <w:tcPr>
            <w:tcW w:w="969"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color w:val="000000"/>
                <w:sz w:val="24"/>
                <w:szCs w:val="24"/>
                <w:lang w:eastAsia="ru-RU"/>
              </w:rPr>
            </w:pPr>
            <w:r w:rsidRPr="00111929">
              <w:rPr>
                <w:rFonts w:eastAsia="Times New Roman"/>
                <w:color w:val="000000"/>
                <w:sz w:val="24"/>
                <w:szCs w:val="24"/>
                <w:lang w:eastAsia="ru-RU"/>
              </w:rPr>
              <w:t>93,92</w:t>
            </w:r>
          </w:p>
        </w:tc>
        <w:tc>
          <w:tcPr>
            <w:tcW w:w="968"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sz w:val="24"/>
                <w:szCs w:val="24"/>
                <w:lang w:eastAsia="ru-RU"/>
              </w:rPr>
            </w:pPr>
            <w:r w:rsidRPr="00111929">
              <w:rPr>
                <w:rFonts w:eastAsia="Times New Roman"/>
                <w:sz w:val="24"/>
                <w:szCs w:val="24"/>
                <w:lang w:eastAsia="ru-RU"/>
              </w:rPr>
              <w:t>6,93</w:t>
            </w:r>
          </w:p>
        </w:tc>
        <w:tc>
          <w:tcPr>
            <w:tcW w:w="969"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color w:val="000000"/>
                <w:sz w:val="24"/>
                <w:szCs w:val="24"/>
                <w:lang w:eastAsia="ru-RU"/>
              </w:rPr>
            </w:pPr>
            <w:r w:rsidRPr="00111929">
              <w:rPr>
                <w:rFonts w:eastAsia="Times New Roman"/>
                <w:color w:val="000000"/>
                <w:sz w:val="24"/>
                <w:szCs w:val="24"/>
                <w:lang w:eastAsia="ru-RU"/>
              </w:rPr>
              <w:t>6,92</w:t>
            </w:r>
          </w:p>
        </w:tc>
        <w:tc>
          <w:tcPr>
            <w:tcW w:w="968"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sz w:val="24"/>
                <w:szCs w:val="24"/>
                <w:lang w:eastAsia="ru-RU"/>
              </w:rPr>
            </w:pPr>
            <w:r w:rsidRPr="00111929">
              <w:rPr>
                <w:rFonts w:eastAsia="Times New Roman"/>
                <w:sz w:val="24"/>
                <w:szCs w:val="24"/>
                <w:lang w:eastAsia="ru-RU"/>
              </w:rPr>
              <w:t>0,99</w:t>
            </w:r>
          </w:p>
        </w:tc>
        <w:tc>
          <w:tcPr>
            <w:tcW w:w="969"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color w:val="000000"/>
                <w:sz w:val="24"/>
                <w:szCs w:val="24"/>
                <w:lang w:eastAsia="ru-RU"/>
              </w:rPr>
            </w:pPr>
            <w:r w:rsidRPr="00111929">
              <w:rPr>
                <w:rFonts w:eastAsia="Times New Roman"/>
                <w:color w:val="000000"/>
                <w:sz w:val="24"/>
                <w:szCs w:val="24"/>
                <w:lang w:eastAsia="ru-RU"/>
              </w:rPr>
              <w:t>0,99</w:t>
            </w:r>
          </w:p>
        </w:tc>
      </w:tr>
      <w:tr w:rsidR="00111929" w:rsidRPr="00111929" w:rsidTr="00111929">
        <w:trPr>
          <w:trHeight w:val="284"/>
          <w:jc w:val="center"/>
        </w:trPr>
        <w:tc>
          <w:tcPr>
            <w:tcW w:w="4395"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left"/>
              <w:rPr>
                <w:rFonts w:eastAsia="Times New Roman"/>
                <w:sz w:val="24"/>
                <w:szCs w:val="24"/>
                <w:lang w:eastAsia="ru-RU"/>
              </w:rPr>
            </w:pPr>
            <w:r w:rsidRPr="00111929">
              <w:rPr>
                <w:rFonts w:eastAsia="Times New Roman"/>
                <w:sz w:val="24"/>
                <w:szCs w:val="24"/>
                <w:lang w:eastAsia="ru-RU"/>
              </w:rPr>
              <w:t>Частота анемій вагітних</w:t>
            </w:r>
          </w:p>
        </w:tc>
        <w:tc>
          <w:tcPr>
            <w:tcW w:w="968"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sz w:val="24"/>
                <w:szCs w:val="24"/>
                <w:lang w:eastAsia="ru-RU"/>
              </w:rPr>
            </w:pPr>
            <w:r w:rsidRPr="00111929">
              <w:rPr>
                <w:rFonts w:eastAsia="Times New Roman"/>
                <w:sz w:val="24"/>
                <w:szCs w:val="24"/>
                <w:lang w:eastAsia="ru-RU"/>
              </w:rPr>
              <w:t>19,74</w:t>
            </w:r>
          </w:p>
        </w:tc>
        <w:tc>
          <w:tcPr>
            <w:tcW w:w="969"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color w:val="000000"/>
                <w:sz w:val="24"/>
                <w:szCs w:val="24"/>
                <w:lang w:eastAsia="ru-RU"/>
              </w:rPr>
            </w:pPr>
            <w:r w:rsidRPr="00111929">
              <w:rPr>
                <w:rFonts w:eastAsia="Times New Roman"/>
                <w:color w:val="000000"/>
                <w:sz w:val="24"/>
                <w:szCs w:val="24"/>
                <w:lang w:eastAsia="ru-RU"/>
              </w:rPr>
              <w:t>17,85</w:t>
            </w:r>
          </w:p>
        </w:tc>
        <w:tc>
          <w:tcPr>
            <w:tcW w:w="968"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sz w:val="24"/>
                <w:szCs w:val="24"/>
                <w:lang w:eastAsia="ru-RU"/>
              </w:rPr>
            </w:pPr>
            <w:r w:rsidRPr="00111929">
              <w:rPr>
                <w:rFonts w:eastAsia="Times New Roman"/>
                <w:sz w:val="24"/>
                <w:szCs w:val="24"/>
                <w:lang w:eastAsia="ru-RU"/>
              </w:rPr>
              <w:t>4,00</w:t>
            </w:r>
          </w:p>
        </w:tc>
        <w:tc>
          <w:tcPr>
            <w:tcW w:w="969"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color w:val="000000"/>
                <w:sz w:val="24"/>
                <w:szCs w:val="24"/>
                <w:lang w:eastAsia="ru-RU"/>
              </w:rPr>
            </w:pPr>
            <w:r w:rsidRPr="00111929">
              <w:rPr>
                <w:rFonts w:eastAsia="Times New Roman"/>
                <w:color w:val="000000"/>
                <w:sz w:val="24"/>
                <w:szCs w:val="24"/>
                <w:lang w:eastAsia="ru-RU"/>
              </w:rPr>
              <w:t>4,0</w:t>
            </w:r>
          </w:p>
        </w:tc>
        <w:tc>
          <w:tcPr>
            <w:tcW w:w="968"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sz w:val="24"/>
                <w:szCs w:val="24"/>
                <w:lang w:eastAsia="ru-RU"/>
              </w:rPr>
            </w:pPr>
            <w:r w:rsidRPr="00111929">
              <w:rPr>
                <w:rFonts w:eastAsia="Times New Roman"/>
                <w:sz w:val="24"/>
                <w:szCs w:val="24"/>
                <w:lang w:eastAsia="ru-RU"/>
              </w:rPr>
              <w:t>1,00</w:t>
            </w:r>
          </w:p>
        </w:tc>
        <w:tc>
          <w:tcPr>
            <w:tcW w:w="969"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color w:val="000000"/>
                <w:sz w:val="24"/>
                <w:szCs w:val="24"/>
                <w:lang w:eastAsia="ru-RU"/>
              </w:rPr>
            </w:pPr>
            <w:r w:rsidRPr="00111929">
              <w:rPr>
                <w:rFonts w:eastAsia="Times New Roman"/>
                <w:color w:val="000000"/>
                <w:sz w:val="24"/>
                <w:szCs w:val="24"/>
                <w:lang w:eastAsia="ru-RU"/>
              </w:rPr>
              <w:t>1,00</w:t>
            </w:r>
          </w:p>
        </w:tc>
      </w:tr>
      <w:tr w:rsidR="00111929" w:rsidRPr="00111929" w:rsidTr="00111929">
        <w:trPr>
          <w:trHeight w:val="340"/>
          <w:jc w:val="center"/>
        </w:trPr>
        <w:tc>
          <w:tcPr>
            <w:tcW w:w="4395"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left"/>
              <w:rPr>
                <w:rFonts w:eastAsia="Times New Roman"/>
                <w:sz w:val="24"/>
                <w:szCs w:val="24"/>
                <w:lang w:eastAsia="ru-RU"/>
              </w:rPr>
            </w:pPr>
            <w:r w:rsidRPr="00111929">
              <w:rPr>
                <w:rFonts w:eastAsia="Times New Roman"/>
                <w:sz w:val="24"/>
                <w:szCs w:val="24"/>
                <w:lang w:eastAsia="ru-RU"/>
              </w:rPr>
              <w:t>Частота прееклампсій та еклампсій вагітних</w:t>
            </w:r>
          </w:p>
        </w:tc>
        <w:tc>
          <w:tcPr>
            <w:tcW w:w="968"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sz w:val="24"/>
                <w:szCs w:val="24"/>
                <w:lang w:eastAsia="ru-RU"/>
              </w:rPr>
            </w:pPr>
            <w:r w:rsidRPr="00111929">
              <w:rPr>
                <w:rFonts w:eastAsia="Times New Roman"/>
                <w:sz w:val="24"/>
                <w:szCs w:val="24"/>
                <w:lang w:eastAsia="ru-RU"/>
              </w:rPr>
              <w:t>3,13</w:t>
            </w:r>
          </w:p>
        </w:tc>
        <w:tc>
          <w:tcPr>
            <w:tcW w:w="969"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color w:val="000000"/>
                <w:sz w:val="24"/>
                <w:szCs w:val="24"/>
                <w:lang w:eastAsia="ru-RU"/>
              </w:rPr>
            </w:pPr>
            <w:r w:rsidRPr="00111929">
              <w:rPr>
                <w:rFonts w:eastAsia="Times New Roman"/>
                <w:color w:val="000000"/>
                <w:sz w:val="24"/>
                <w:szCs w:val="24"/>
                <w:lang w:eastAsia="ru-RU"/>
              </w:rPr>
              <w:t>3,31</w:t>
            </w:r>
          </w:p>
        </w:tc>
        <w:tc>
          <w:tcPr>
            <w:tcW w:w="968"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sz w:val="24"/>
                <w:szCs w:val="24"/>
                <w:lang w:eastAsia="ru-RU"/>
              </w:rPr>
            </w:pPr>
            <w:r w:rsidRPr="00111929">
              <w:rPr>
                <w:rFonts w:eastAsia="Times New Roman"/>
                <w:sz w:val="24"/>
                <w:szCs w:val="24"/>
                <w:lang w:eastAsia="ru-RU"/>
              </w:rPr>
              <w:t>1,48</w:t>
            </w:r>
          </w:p>
        </w:tc>
        <w:tc>
          <w:tcPr>
            <w:tcW w:w="969"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color w:val="000000"/>
                <w:sz w:val="24"/>
                <w:szCs w:val="24"/>
                <w:lang w:eastAsia="ru-RU"/>
              </w:rPr>
            </w:pPr>
            <w:r w:rsidRPr="00111929">
              <w:rPr>
                <w:rFonts w:eastAsia="Times New Roman"/>
                <w:color w:val="000000"/>
                <w:sz w:val="24"/>
                <w:szCs w:val="24"/>
                <w:lang w:eastAsia="ru-RU"/>
              </w:rPr>
              <w:t>0,76</w:t>
            </w:r>
          </w:p>
        </w:tc>
        <w:tc>
          <w:tcPr>
            <w:tcW w:w="968"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sz w:val="24"/>
                <w:szCs w:val="24"/>
                <w:lang w:eastAsia="ru-RU"/>
              </w:rPr>
            </w:pPr>
            <w:r w:rsidRPr="00111929">
              <w:rPr>
                <w:rFonts w:eastAsia="Times New Roman"/>
                <w:sz w:val="24"/>
                <w:szCs w:val="24"/>
                <w:lang w:eastAsia="ru-RU"/>
              </w:rPr>
              <w:t>0,21</w:t>
            </w:r>
          </w:p>
        </w:tc>
        <w:tc>
          <w:tcPr>
            <w:tcW w:w="969"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color w:val="000000"/>
                <w:sz w:val="24"/>
                <w:szCs w:val="24"/>
                <w:lang w:eastAsia="ru-RU"/>
              </w:rPr>
            </w:pPr>
            <w:r w:rsidRPr="00111929">
              <w:rPr>
                <w:rFonts w:eastAsia="Times New Roman"/>
                <w:color w:val="000000"/>
                <w:sz w:val="24"/>
                <w:szCs w:val="24"/>
                <w:lang w:eastAsia="ru-RU"/>
              </w:rPr>
              <w:t>0,11</w:t>
            </w:r>
          </w:p>
        </w:tc>
      </w:tr>
      <w:tr w:rsidR="00111929" w:rsidRPr="00111929" w:rsidTr="00111929">
        <w:trPr>
          <w:trHeight w:val="418"/>
          <w:jc w:val="center"/>
        </w:trPr>
        <w:tc>
          <w:tcPr>
            <w:tcW w:w="4395"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left"/>
              <w:rPr>
                <w:rFonts w:eastAsia="Times New Roman"/>
                <w:sz w:val="24"/>
                <w:szCs w:val="24"/>
                <w:lang w:eastAsia="ru-RU"/>
              </w:rPr>
            </w:pPr>
            <w:r w:rsidRPr="00111929">
              <w:rPr>
                <w:rFonts w:eastAsia="Times New Roman"/>
                <w:sz w:val="24"/>
                <w:szCs w:val="24"/>
                <w:lang w:eastAsia="ru-RU"/>
              </w:rPr>
              <w:t>Співвідношення безпечних методів абортів до небезпечних</w:t>
            </w:r>
          </w:p>
        </w:tc>
        <w:tc>
          <w:tcPr>
            <w:tcW w:w="968"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sz w:val="24"/>
                <w:szCs w:val="24"/>
                <w:lang w:eastAsia="ru-RU"/>
              </w:rPr>
            </w:pPr>
            <w:r w:rsidRPr="00111929">
              <w:rPr>
                <w:rFonts w:eastAsia="Times New Roman"/>
                <w:sz w:val="24"/>
                <w:szCs w:val="24"/>
                <w:lang w:eastAsia="ru-RU"/>
              </w:rPr>
              <w:t>25,06</w:t>
            </w:r>
          </w:p>
        </w:tc>
        <w:tc>
          <w:tcPr>
            <w:tcW w:w="969"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color w:val="000000"/>
                <w:sz w:val="24"/>
                <w:szCs w:val="24"/>
                <w:lang w:eastAsia="ru-RU"/>
              </w:rPr>
            </w:pPr>
            <w:r w:rsidRPr="00111929">
              <w:rPr>
                <w:rFonts w:eastAsia="Times New Roman"/>
                <w:color w:val="000000"/>
                <w:sz w:val="24"/>
                <w:szCs w:val="24"/>
                <w:lang w:eastAsia="ru-RU"/>
              </w:rPr>
              <w:t>29,14</w:t>
            </w:r>
          </w:p>
        </w:tc>
        <w:tc>
          <w:tcPr>
            <w:tcW w:w="968"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sz w:val="24"/>
                <w:szCs w:val="24"/>
                <w:lang w:eastAsia="ru-RU"/>
              </w:rPr>
            </w:pPr>
            <w:r w:rsidRPr="00111929">
              <w:rPr>
                <w:rFonts w:eastAsia="Times New Roman"/>
                <w:sz w:val="24"/>
                <w:szCs w:val="24"/>
                <w:lang w:eastAsia="ru-RU"/>
              </w:rPr>
              <w:t>6,00</w:t>
            </w:r>
          </w:p>
        </w:tc>
        <w:tc>
          <w:tcPr>
            <w:tcW w:w="969"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color w:val="000000"/>
                <w:sz w:val="24"/>
                <w:szCs w:val="24"/>
                <w:lang w:eastAsia="ru-RU"/>
              </w:rPr>
            </w:pPr>
            <w:r w:rsidRPr="00111929">
              <w:rPr>
                <w:rFonts w:eastAsia="Times New Roman"/>
                <w:color w:val="000000"/>
                <w:sz w:val="24"/>
                <w:szCs w:val="24"/>
                <w:lang w:eastAsia="ru-RU"/>
              </w:rPr>
              <w:t>6,0</w:t>
            </w:r>
          </w:p>
        </w:tc>
        <w:tc>
          <w:tcPr>
            <w:tcW w:w="968"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sz w:val="24"/>
                <w:szCs w:val="24"/>
                <w:lang w:eastAsia="ru-RU"/>
              </w:rPr>
            </w:pPr>
            <w:r w:rsidRPr="00111929">
              <w:rPr>
                <w:rFonts w:eastAsia="Times New Roman"/>
                <w:sz w:val="24"/>
                <w:szCs w:val="24"/>
                <w:lang w:eastAsia="ru-RU"/>
              </w:rPr>
              <w:t>1,00</w:t>
            </w:r>
          </w:p>
        </w:tc>
        <w:tc>
          <w:tcPr>
            <w:tcW w:w="969"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color w:val="000000"/>
                <w:sz w:val="24"/>
                <w:szCs w:val="24"/>
                <w:lang w:eastAsia="ru-RU"/>
              </w:rPr>
            </w:pPr>
            <w:r w:rsidRPr="00111929">
              <w:rPr>
                <w:rFonts w:eastAsia="Times New Roman"/>
                <w:color w:val="000000"/>
                <w:sz w:val="24"/>
                <w:szCs w:val="24"/>
                <w:lang w:eastAsia="ru-RU"/>
              </w:rPr>
              <w:t>1,00</w:t>
            </w:r>
          </w:p>
        </w:tc>
      </w:tr>
      <w:tr w:rsidR="00111929" w:rsidRPr="00111929" w:rsidTr="00111929">
        <w:trPr>
          <w:trHeight w:val="600"/>
          <w:jc w:val="center"/>
        </w:trPr>
        <w:tc>
          <w:tcPr>
            <w:tcW w:w="4395" w:type="dxa"/>
            <w:tcBorders>
              <w:top w:val="single" w:sz="4" w:space="0" w:color="auto"/>
              <w:left w:val="single" w:sz="4" w:space="0" w:color="auto"/>
              <w:bottom w:val="single" w:sz="4" w:space="0" w:color="auto"/>
              <w:right w:val="single" w:sz="4" w:space="0" w:color="auto"/>
            </w:tcBorders>
            <w:vAlign w:val="bottom"/>
          </w:tcPr>
          <w:p w:rsidR="00111929" w:rsidRPr="00111929" w:rsidRDefault="00111929" w:rsidP="00C43972">
            <w:pPr>
              <w:keepNext/>
              <w:spacing w:line="240" w:lineRule="auto"/>
              <w:jc w:val="left"/>
              <w:rPr>
                <w:rFonts w:eastAsia="Times New Roman"/>
                <w:sz w:val="24"/>
                <w:szCs w:val="24"/>
                <w:lang w:eastAsia="ru-RU"/>
              </w:rPr>
            </w:pPr>
            <w:r w:rsidRPr="00111929">
              <w:rPr>
                <w:rFonts w:eastAsia="Times New Roman"/>
                <w:sz w:val="24"/>
                <w:szCs w:val="24"/>
                <w:lang w:eastAsia="ru-RU"/>
              </w:rPr>
              <w:t>Питома вага хворих виявлення в ранніх стадіях (І – ІІ) серед хворих з вперше встановленим діагнозом онкологія молочної залози</w:t>
            </w:r>
          </w:p>
        </w:tc>
        <w:tc>
          <w:tcPr>
            <w:tcW w:w="968"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sz w:val="24"/>
                <w:szCs w:val="24"/>
                <w:lang w:eastAsia="ru-RU"/>
              </w:rPr>
            </w:pPr>
            <w:r w:rsidRPr="00111929">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color w:val="000000"/>
                <w:sz w:val="24"/>
                <w:szCs w:val="24"/>
                <w:lang w:eastAsia="ru-RU"/>
              </w:rPr>
            </w:pPr>
            <w:r w:rsidRPr="00111929">
              <w:rPr>
                <w:rFonts w:eastAsia="Times New Roman"/>
                <w:color w:val="000000"/>
                <w:sz w:val="24"/>
                <w:szCs w:val="24"/>
                <w:lang w:eastAsia="ru-RU"/>
              </w:rPr>
              <w:t>73,10</w:t>
            </w:r>
          </w:p>
        </w:tc>
        <w:tc>
          <w:tcPr>
            <w:tcW w:w="968"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sz w:val="24"/>
                <w:szCs w:val="24"/>
                <w:lang w:eastAsia="ru-RU"/>
              </w:rPr>
            </w:pPr>
            <w:r w:rsidRPr="00111929">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color w:val="000000"/>
                <w:sz w:val="24"/>
                <w:szCs w:val="24"/>
                <w:lang w:eastAsia="ru-RU"/>
              </w:rPr>
            </w:pPr>
            <w:r w:rsidRPr="00111929">
              <w:rPr>
                <w:rFonts w:eastAsia="Times New Roman"/>
                <w:color w:val="000000"/>
                <w:sz w:val="24"/>
                <w:szCs w:val="24"/>
                <w:lang w:eastAsia="ru-RU"/>
              </w:rPr>
              <w:t>5,52</w:t>
            </w:r>
          </w:p>
        </w:tc>
        <w:tc>
          <w:tcPr>
            <w:tcW w:w="968"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sz w:val="24"/>
                <w:szCs w:val="24"/>
                <w:lang w:eastAsia="ru-RU"/>
              </w:rPr>
            </w:pPr>
            <w:r w:rsidRPr="00111929">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color w:val="000000"/>
                <w:sz w:val="24"/>
                <w:szCs w:val="24"/>
                <w:lang w:eastAsia="ru-RU"/>
              </w:rPr>
            </w:pPr>
            <w:r w:rsidRPr="00111929">
              <w:rPr>
                <w:rFonts w:eastAsia="Times New Roman"/>
                <w:color w:val="000000"/>
                <w:sz w:val="24"/>
                <w:szCs w:val="24"/>
                <w:lang w:eastAsia="ru-RU"/>
              </w:rPr>
              <w:t>0,92</w:t>
            </w:r>
          </w:p>
        </w:tc>
      </w:tr>
      <w:tr w:rsidR="00111929" w:rsidRPr="00111929" w:rsidTr="00111929">
        <w:trPr>
          <w:trHeight w:val="605"/>
          <w:jc w:val="center"/>
        </w:trPr>
        <w:tc>
          <w:tcPr>
            <w:tcW w:w="4395" w:type="dxa"/>
            <w:tcBorders>
              <w:top w:val="single" w:sz="4" w:space="0" w:color="auto"/>
              <w:left w:val="single" w:sz="4" w:space="0" w:color="auto"/>
              <w:bottom w:val="single" w:sz="4" w:space="0" w:color="auto"/>
              <w:right w:val="single" w:sz="4" w:space="0" w:color="auto"/>
            </w:tcBorders>
            <w:vAlign w:val="bottom"/>
          </w:tcPr>
          <w:p w:rsidR="00111929" w:rsidRPr="00111929" w:rsidRDefault="00111929" w:rsidP="00C43972">
            <w:pPr>
              <w:keepNext/>
              <w:spacing w:line="240" w:lineRule="auto"/>
              <w:jc w:val="left"/>
              <w:rPr>
                <w:rFonts w:eastAsia="Times New Roman"/>
                <w:sz w:val="24"/>
                <w:szCs w:val="24"/>
                <w:lang w:eastAsia="ru-RU"/>
              </w:rPr>
            </w:pPr>
            <w:r w:rsidRPr="00111929">
              <w:rPr>
                <w:rFonts w:eastAsia="Times New Roman"/>
                <w:sz w:val="24"/>
                <w:szCs w:val="24"/>
                <w:lang w:eastAsia="ru-RU"/>
              </w:rPr>
              <w:t>Питома вага хворих виявлення в ранніх стадіях (І – ІІ) серед хворих з вперше встановленим діагнозом онкологія шийки матки</w:t>
            </w:r>
          </w:p>
        </w:tc>
        <w:tc>
          <w:tcPr>
            <w:tcW w:w="968"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sz w:val="24"/>
                <w:szCs w:val="24"/>
                <w:lang w:eastAsia="ru-RU"/>
              </w:rPr>
            </w:pPr>
            <w:r w:rsidRPr="00111929">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color w:val="000000"/>
                <w:sz w:val="24"/>
                <w:szCs w:val="24"/>
                <w:lang w:eastAsia="ru-RU"/>
              </w:rPr>
            </w:pPr>
            <w:r w:rsidRPr="00111929">
              <w:rPr>
                <w:rFonts w:eastAsia="Times New Roman"/>
                <w:color w:val="000000"/>
                <w:sz w:val="24"/>
                <w:szCs w:val="24"/>
                <w:lang w:eastAsia="ru-RU"/>
              </w:rPr>
              <w:t>77,00</w:t>
            </w:r>
          </w:p>
        </w:tc>
        <w:tc>
          <w:tcPr>
            <w:tcW w:w="968"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sz w:val="24"/>
                <w:szCs w:val="24"/>
                <w:lang w:eastAsia="ru-RU"/>
              </w:rPr>
            </w:pPr>
            <w:r w:rsidRPr="00111929">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color w:val="000000"/>
                <w:sz w:val="24"/>
                <w:szCs w:val="24"/>
                <w:lang w:eastAsia="ru-RU"/>
              </w:rPr>
            </w:pPr>
            <w:r w:rsidRPr="00111929">
              <w:rPr>
                <w:rFonts w:eastAsia="Times New Roman"/>
                <w:color w:val="000000"/>
                <w:sz w:val="24"/>
                <w:szCs w:val="24"/>
                <w:lang w:eastAsia="ru-RU"/>
              </w:rPr>
              <w:t>5,79</w:t>
            </w:r>
          </w:p>
        </w:tc>
        <w:tc>
          <w:tcPr>
            <w:tcW w:w="968"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sz w:val="24"/>
                <w:szCs w:val="24"/>
                <w:lang w:eastAsia="ru-RU"/>
              </w:rPr>
            </w:pPr>
            <w:r w:rsidRPr="00111929">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color w:val="000000"/>
                <w:sz w:val="24"/>
                <w:szCs w:val="24"/>
                <w:lang w:eastAsia="ru-RU"/>
              </w:rPr>
            </w:pPr>
            <w:r w:rsidRPr="00111929">
              <w:rPr>
                <w:rFonts w:eastAsia="Times New Roman"/>
                <w:color w:val="000000"/>
                <w:sz w:val="24"/>
                <w:szCs w:val="24"/>
                <w:lang w:eastAsia="ru-RU"/>
              </w:rPr>
              <w:t>0,97</w:t>
            </w:r>
          </w:p>
        </w:tc>
      </w:tr>
      <w:tr w:rsidR="00111929" w:rsidRPr="00111929" w:rsidTr="00111929">
        <w:trPr>
          <w:trHeight w:val="384"/>
          <w:jc w:val="center"/>
        </w:trPr>
        <w:tc>
          <w:tcPr>
            <w:tcW w:w="4395" w:type="dxa"/>
            <w:tcBorders>
              <w:top w:val="single" w:sz="4" w:space="0" w:color="auto"/>
              <w:left w:val="single" w:sz="4" w:space="0" w:color="auto"/>
              <w:bottom w:val="single" w:sz="4" w:space="0" w:color="auto"/>
              <w:right w:val="single" w:sz="4" w:space="0" w:color="auto"/>
            </w:tcBorders>
          </w:tcPr>
          <w:p w:rsidR="00111929" w:rsidRPr="00111929" w:rsidRDefault="00111929" w:rsidP="00C43972">
            <w:pPr>
              <w:keepNext/>
              <w:spacing w:line="240" w:lineRule="auto"/>
              <w:rPr>
                <w:rFonts w:eastAsia="Times New Roman"/>
                <w:color w:val="000000"/>
                <w:sz w:val="24"/>
                <w:szCs w:val="24"/>
                <w:lang w:eastAsia="uk-UA"/>
              </w:rPr>
            </w:pPr>
            <w:r w:rsidRPr="00111929">
              <w:rPr>
                <w:rFonts w:eastAsia="Times New Roman"/>
                <w:color w:val="000000"/>
                <w:sz w:val="24"/>
                <w:szCs w:val="24"/>
                <w:lang w:eastAsia="uk-UA"/>
              </w:rPr>
              <w:t>Індекс концентрації розродження вагітних з цукровим діабетом у ЗПД ІІІ рівня</w:t>
            </w:r>
          </w:p>
        </w:tc>
        <w:tc>
          <w:tcPr>
            <w:tcW w:w="968"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color w:val="000000"/>
                <w:sz w:val="24"/>
                <w:szCs w:val="24"/>
                <w:lang w:eastAsia="ru-RU"/>
              </w:rPr>
            </w:pPr>
            <w:r w:rsidRPr="00111929">
              <w:rPr>
                <w:rFonts w:eastAsia="Times New Roman"/>
                <w:color w:val="000000"/>
                <w:sz w:val="24"/>
                <w:szCs w:val="24"/>
                <w:lang w:eastAsia="ru-RU"/>
              </w:rPr>
              <w:t>0</w:t>
            </w:r>
          </w:p>
        </w:tc>
        <w:tc>
          <w:tcPr>
            <w:tcW w:w="969"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color w:val="000000"/>
                <w:sz w:val="24"/>
                <w:szCs w:val="24"/>
                <w:lang w:eastAsia="ru-RU"/>
              </w:rPr>
            </w:pPr>
            <w:r w:rsidRPr="00111929">
              <w:rPr>
                <w:rFonts w:eastAsia="Times New Roman"/>
                <w:color w:val="000000"/>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color w:val="000000"/>
                <w:sz w:val="24"/>
                <w:szCs w:val="24"/>
                <w:lang w:eastAsia="ru-RU"/>
              </w:rPr>
            </w:pPr>
            <w:r w:rsidRPr="00111929">
              <w:rPr>
                <w:rFonts w:eastAsia="Times New Roman"/>
                <w:color w:val="000000"/>
                <w:sz w:val="24"/>
                <w:szCs w:val="24"/>
                <w:lang w:eastAsia="ru-RU"/>
              </w:rPr>
              <w:t>0,00</w:t>
            </w:r>
          </w:p>
        </w:tc>
        <w:tc>
          <w:tcPr>
            <w:tcW w:w="969"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color w:val="000000"/>
                <w:sz w:val="24"/>
                <w:szCs w:val="24"/>
                <w:lang w:eastAsia="ru-RU"/>
              </w:rPr>
            </w:pPr>
            <w:r w:rsidRPr="00111929">
              <w:rPr>
                <w:rFonts w:eastAsia="Times New Roman"/>
                <w:color w:val="000000"/>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color w:val="000000"/>
                <w:sz w:val="24"/>
                <w:szCs w:val="24"/>
                <w:lang w:eastAsia="ru-RU"/>
              </w:rPr>
            </w:pPr>
            <w:r w:rsidRPr="00111929">
              <w:rPr>
                <w:rFonts w:eastAsia="Times New Roman"/>
                <w:color w:val="000000"/>
                <w:sz w:val="24"/>
                <w:szCs w:val="24"/>
                <w:lang w:eastAsia="ru-RU"/>
              </w:rPr>
              <w:t>0,00</w:t>
            </w:r>
          </w:p>
        </w:tc>
        <w:tc>
          <w:tcPr>
            <w:tcW w:w="969"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color w:val="000000"/>
                <w:sz w:val="24"/>
                <w:szCs w:val="24"/>
                <w:lang w:eastAsia="ru-RU"/>
              </w:rPr>
            </w:pPr>
            <w:r w:rsidRPr="00111929">
              <w:rPr>
                <w:rFonts w:eastAsia="Times New Roman"/>
                <w:color w:val="000000"/>
                <w:sz w:val="24"/>
                <w:szCs w:val="24"/>
                <w:lang w:eastAsia="ru-RU"/>
              </w:rPr>
              <w:t>**</w:t>
            </w:r>
          </w:p>
        </w:tc>
      </w:tr>
      <w:tr w:rsidR="00111929" w:rsidRPr="00111929" w:rsidTr="00111929">
        <w:trPr>
          <w:trHeight w:val="384"/>
          <w:jc w:val="center"/>
        </w:trPr>
        <w:tc>
          <w:tcPr>
            <w:tcW w:w="4395" w:type="dxa"/>
            <w:tcBorders>
              <w:top w:val="single" w:sz="4" w:space="0" w:color="auto"/>
              <w:left w:val="single" w:sz="4" w:space="0" w:color="auto"/>
              <w:bottom w:val="single" w:sz="4" w:space="0" w:color="auto"/>
              <w:right w:val="single" w:sz="4" w:space="0" w:color="auto"/>
            </w:tcBorders>
          </w:tcPr>
          <w:p w:rsidR="00111929" w:rsidRPr="00111929" w:rsidRDefault="00111929" w:rsidP="00C43972">
            <w:pPr>
              <w:keepNext/>
              <w:spacing w:line="240" w:lineRule="auto"/>
              <w:rPr>
                <w:rFonts w:eastAsia="Times New Roman"/>
                <w:color w:val="000000"/>
                <w:sz w:val="24"/>
                <w:szCs w:val="24"/>
                <w:lang w:eastAsia="uk-UA"/>
              </w:rPr>
            </w:pPr>
            <w:r w:rsidRPr="00111929">
              <w:rPr>
                <w:rFonts w:eastAsia="Times New Roman"/>
                <w:color w:val="000000"/>
                <w:sz w:val="24"/>
                <w:szCs w:val="24"/>
                <w:lang w:eastAsia="uk-UA"/>
              </w:rPr>
              <w:t>Індекс концентрації розродження вагітних з прееклампсією і еклампсією у ЗПД ІІ-ІІІ рівнів</w:t>
            </w:r>
          </w:p>
        </w:tc>
        <w:tc>
          <w:tcPr>
            <w:tcW w:w="968"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color w:val="000000"/>
                <w:sz w:val="24"/>
                <w:szCs w:val="24"/>
                <w:lang w:eastAsia="ru-RU"/>
              </w:rPr>
            </w:pPr>
            <w:r w:rsidRPr="00111929">
              <w:rPr>
                <w:rFonts w:eastAsia="Times New Roman"/>
                <w:color w:val="000000"/>
                <w:sz w:val="24"/>
                <w:szCs w:val="24"/>
                <w:lang w:eastAsia="ru-RU"/>
              </w:rPr>
              <w:t>68,55</w:t>
            </w:r>
          </w:p>
        </w:tc>
        <w:tc>
          <w:tcPr>
            <w:tcW w:w="969"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color w:val="000000"/>
                <w:sz w:val="24"/>
                <w:szCs w:val="24"/>
                <w:lang w:eastAsia="ru-RU"/>
              </w:rPr>
            </w:pPr>
            <w:r w:rsidRPr="00111929">
              <w:rPr>
                <w:rFonts w:eastAsia="Times New Roman"/>
                <w:color w:val="000000"/>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color w:val="000000"/>
                <w:sz w:val="24"/>
                <w:szCs w:val="24"/>
                <w:lang w:eastAsia="ru-RU"/>
              </w:rPr>
            </w:pPr>
            <w:r w:rsidRPr="00111929">
              <w:rPr>
                <w:rFonts w:eastAsia="Times New Roman"/>
                <w:color w:val="000000"/>
                <w:sz w:val="24"/>
                <w:szCs w:val="24"/>
                <w:lang w:eastAsia="ru-RU"/>
              </w:rPr>
              <w:t>5,33</w:t>
            </w:r>
          </w:p>
        </w:tc>
        <w:tc>
          <w:tcPr>
            <w:tcW w:w="969"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color w:val="000000"/>
                <w:sz w:val="24"/>
                <w:szCs w:val="24"/>
                <w:lang w:eastAsia="ru-RU"/>
              </w:rPr>
            </w:pPr>
            <w:r w:rsidRPr="00111929">
              <w:rPr>
                <w:rFonts w:eastAsia="Times New Roman"/>
                <w:color w:val="000000"/>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color w:val="000000"/>
                <w:sz w:val="24"/>
                <w:szCs w:val="24"/>
                <w:lang w:eastAsia="ru-RU"/>
              </w:rPr>
            </w:pPr>
            <w:r w:rsidRPr="00111929">
              <w:rPr>
                <w:rFonts w:eastAsia="Times New Roman"/>
                <w:color w:val="000000"/>
                <w:sz w:val="24"/>
                <w:szCs w:val="24"/>
                <w:lang w:eastAsia="ru-RU"/>
              </w:rPr>
              <w:t>0,76</w:t>
            </w:r>
          </w:p>
        </w:tc>
        <w:tc>
          <w:tcPr>
            <w:tcW w:w="969"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color w:val="000000"/>
                <w:sz w:val="24"/>
                <w:szCs w:val="24"/>
                <w:lang w:eastAsia="ru-RU"/>
              </w:rPr>
            </w:pPr>
            <w:r w:rsidRPr="00111929">
              <w:rPr>
                <w:rFonts w:eastAsia="Times New Roman"/>
                <w:color w:val="000000"/>
                <w:sz w:val="24"/>
                <w:szCs w:val="24"/>
                <w:lang w:eastAsia="ru-RU"/>
              </w:rPr>
              <w:t>**</w:t>
            </w:r>
          </w:p>
        </w:tc>
      </w:tr>
      <w:tr w:rsidR="00111929" w:rsidRPr="00111929" w:rsidTr="00111929">
        <w:trPr>
          <w:trHeight w:val="384"/>
          <w:jc w:val="center"/>
        </w:trPr>
        <w:tc>
          <w:tcPr>
            <w:tcW w:w="4395" w:type="dxa"/>
            <w:tcBorders>
              <w:top w:val="single" w:sz="4" w:space="0" w:color="auto"/>
              <w:left w:val="single" w:sz="4" w:space="0" w:color="auto"/>
              <w:bottom w:val="single" w:sz="4" w:space="0" w:color="auto"/>
              <w:right w:val="single" w:sz="4" w:space="0" w:color="auto"/>
            </w:tcBorders>
          </w:tcPr>
          <w:p w:rsidR="00111929" w:rsidRPr="00111929" w:rsidRDefault="00111929" w:rsidP="00C43972">
            <w:pPr>
              <w:keepNext/>
              <w:spacing w:line="240" w:lineRule="auto"/>
              <w:rPr>
                <w:rFonts w:eastAsia="Times New Roman"/>
                <w:color w:val="000000"/>
                <w:sz w:val="24"/>
                <w:szCs w:val="24"/>
                <w:lang w:eastAsia="uk-UA"/>
              </w:rPr>
            </w:pPr>
            <w:r w:rsidRPr="00111929">
              <w:rPr>
                <w:rFonts w:eastAsia="Times New Roman"/>
                <w:color w:val="000000"/>
                <w:sz w:val="24"/>
                <w:szCs w:val="24"/>
                <w:lang w:eastAsia="uk-UA"/>
              </w:rPr>
              <w:t>Індекс концентрації новонароджених масою тіла при народженні 500-1499г у ЗПД ІІІ рівня</w:t>
            </w:r>
          </w:p>
        </w:tc>
        <w:tc>
          <w:tcPr>
            <w:tcW w:w="968"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color w:val="000000"/>
                <w:sz w:val="24"/>
                <w:szCs w:val="24"/>
                <w:lang w:eastAsia="ru-RU"/>
              </w:rPr>
            </w:pPr>
            <w:r w:rsidRPr="00111929">
              <w:rPr>
                <w:rFonts w:eastAsia="Times New Roman"/>
                <w:color w:val="000000"/>
                <w:sz w:val="24"/>
                <w:szCs w:val="24"/>
                <w:lang w:eastAsia="ru-RU"/>
              </w:rPr>
              <w:t>0</w:t>
            </w:r>
          </w:p>
        </w:tc>
        <w:tc>
          <w:tcPr>
            <w:tcW w:w="969"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color w:val="000000"/>
                <w:sz w:val="24"/>
                <w:szCs w:val="24"/>
                <w:lang w:eastAsia="ru-RU"/>
              </w:rPr>
            </w:pPr>
            <w:r w:rsidRPr="00111929">
              <w:rPr>
                <w:rFonts w:eastAsia="Times New Roman"/>
                <w:color w:val="000000"/>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color w:val="000000"/>
                <w:sz w:val="24"/>
                <w:szCs w:val="24"/>
                <w:lang w:eastAsia="ru-RU"/>
              </w:rPr>
            </w:pPr>
            <w:r w:rsidRPr="00111929">
              <w:rPr>
                <w:rFonts w:eastAsia="Times New Roman"/>
                <w:color w:val="000000"/>
                <w:sz w:val="24"/>
                <w:szCs w:val="24"/>
                <w:lang w:eastAsia="ru-RU"/>
              </w:rPr>
              <w:t>0,00</w:t>
            </w:r>
          </w:p>
        </w:tc>
        <w:tc>
          <w:tcPr>
            <w:tcW w:w="969"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color w:val="000000"/>
                <w:sz w:val="24"/>
                <w:szCs w:val="24"/>
                <w:lang w:eastAsia="ru-RU"/>
              </w:rPr>
            </w:pPr>
            <w:r w:rsidRPr="00111929">
              <w:rPr>
                <w:rFonts w:eastAsia="Times New Roman"/>
                <w:color w:val="000000"/>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color w:val="000000"/>
                <w:sz w:val="24"/>
                <w:szCs w:val="24"/>
                <w:lang w:eastAsia="ru-RU"/>
              </w:rPr>
            </w:pPr>
            <w:r w:rsidRPr="00111929">
              <w:rPr>
                <w:rFonts w:eastAsia="Times New Roman"/>
                <w:color w:val="000000"/>
                <w:sz w:val="24"/>
                <w:szCs w:val="24"/>
                <w:lang w:eastAsia="ru-RU"/>
              </w:rPr>
              <w:t>0,00</w:t>
            </w:r>
          </w:p>
        </w:tc>
        <w:tc>
          <w:tcPr>
            <w:tcW w:w="969"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color w:val="000000"/>
                <w:sz w:val="24"/>
                <w:szCs w:val="24"/>
                <w:lang w:eastAsia="ru-RU"/>
              </w:rPr>
            </w:pPr>
            <w:r w:rsidRPr="00111929">
              <w:rPr>
                <w:rFonts w:eastAsia="Times New Roman"/>
                <w:color w:val="000000"/>
                <w:sz w:val="24"/>
                <w:szCs w:val="24"/>
                <w:lang w:eastAsia="ru-RU"/>
              </w:rPr>
              <w:t>**</w:t>
            </w:r>
          </w:p>
        </w:tc>
      </w:tr>
      <w:tr w:rsidR="00111929" w:rsidRPr="00111929" w:rsidTr="00111929">
        <w:trPr>
          <w:trHeight w:val="320"/>
          <w:jc w:val="center"/>
        </w:trPr>
        <w:tc>
          <w:tcPr>
            <w:tcW w:w="4395" w:type="dxa"/>
            <w:tcBorders>
              <w:top w:val="single" w:sz="4" w:space="0" w:color="auto"/>
              <w:left w:val="single" w:sz="4" w:space="0" w:color="auto"/>
              <w:bottom w:val="single" w:sz="4" w:space="0" w:color="auto"/>
              <w:right w:val="single" w:sz="4" w:space="0" w:color="auto"/>
            </w:tcBorders>
          </w:tcPr>
          <w:p w:rsidR="00111929" w:rsidRPr="00111929" w:rsidRDefault="00111929" w:rsidP="00C43972">
            <w:pPr>
              <w:keepNext/>
              <w:spacing w:line="240" w:lineRule="auto"/>
              <w:rPr>
                <w:rFonts w:eastAsia="Times New Roman"/>
                <w:color w:val="000000"/>
                <w:sz w:val="24"/>
                <w:szCs w:val="24"/>
                <w:lang w:eastAsia="uk-UA"/>
              </w:rPr>
            </w:pPr>
            <w:r w:rsidRPr="00111929">
              <w:rPr>
                <w:rFonts w:eastAsia="Times New Roman"/>
                <w:color w:val="000000"/>
                <w:sz w:val="24"/>
                <w:szCs w:val="24"/>
                <w:lang w:eastAsia="uk-UA"/>
              </w:rPr>
              <w:t>Індекс неонатального трансферу</w:t>
            </w:r>
          </w:p>
        </w:tc>
        <w:tc>
          <w:tcPr>
            <w:tcW w:w="968"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color w:val="000000"/>
                <w:sz w:val="24"/>
                <w:szCs w:val="24"/>
                <w:lang w:eastAsia="ru-RU"/>
              </w:rPr>
            </w:pPr>
            <w:r w:rsidRPr="00111929">
              <w:rPr>
                <w:rFonts w:eastAsia="Times New Roman"/>
                <w:color w:val="000000"/>
                <w:sz w:val="24"/>
                <w:szCs w:val="24"/>
                <w:lang w:eastAsia="ru-RU"/>
              </w:rPr>
              <w:t>8,04</w:t>
            </w:r>
          </w:p>
        </w:tc>
        <w:tc>
          <w:tcPr>
            <w:tcW w:w="969"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color w:val="000000"/>
                <w:sz w:val="24"/>
                <w:szCs w:val="24"/>
                <w:lang w:eastAsia="ru-RU"/>
              </w:rPr>
            </w:pPr>
            <w:r w:rsidRPr="00111929">
              <w:rPr>
                <w:rFonts w:eastAsia="Times New Roman"/>
                <w:color w:val="000000"/>
                <w:sz w:val="24"/>
                <w:szCs w:val="24"/>
                <w:lang w:eastAsia="ru-RU"/>
              </w:rPr>
              <w:t>8,26</w:t>
            </w:r>
          </w:p>
        </w:tc>
        <w:tc>
          <w:tcPr>
            <w:tcW w:w="968"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color w:val="000000"/>
                <w:sz w:val="24"/>
                <w:szCs w:val="24"/>
                <w:lang w:eastAsia="ru-RU"/>
              </w:rPr>
            </w:pPr>
            <w:r w:rsidRPr="00111929">
              <w:rPr>
                <w:rFonts w:eastAsia="Times New Roman"/>
                <w:color w:val="000000"/>
                <w:sz w:val="24"/>
                <w:szCs w:val="24"/>
                <w:lang w:eastAsia="ru-RU"/>
              </w:rPr>
              <w:t>0,00</w:t>
            </w:r>
          </w:p>
        </w:tc>
        <w:tc>
          <w:tcPr>
            <w:tcW w:w="969"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color w:val="000000"/>
                <w:sz w:val="24"/>
                <w:szCs w:val="24"/>
                <w:lang w:eastAsia="ru-RU"/>
              </w:rPr>
            </w:pPr>
            <w:r w:rsidRPr="00111929">
              <w:rPr>
                <w:rFonts w:eastAsia="Times New Roman"/>
                <w:color w:val="000000"/>
                <w:sz w:val="24"/>
                <w:szCs w:val="24"/>
                <w:lang w:eastAsia="ru-RU"/>
              </w:rPr>
              <w:t>2,44</w:t>
            </w:r>
          </w:p>
        </w:tc>
        <w:tc>
          <w:tcPr>
            <w:tcW w:w="968"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color w:val="000000"/>
                <w:sz w:val="24"/>
                <w:szCs w:val="24"/>
                <w:lang w:eastAsia="ru-RU"/>
              </w:rPr>
            </w:pPr>
            <w:r w:rsidRPr="00111929">
              <w:rPr>
                <w:rFonts w:eastAsia="Times New Roman"/>
                <w:color w:val="000000"/>
                <w:sz w:val="24"/>
                <w:szCs w:val="24"/>
                <w:lang w:eastAsia="ru-RU"/>
              </w:rPr>
              <w:t>0,00</w:t>
            </w:r>
          </w:p>
        </w:tc>
        <w:tc>
          <w:tcPr>
            <w:tcW w:w="969"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color w:val="000000"/>
                <w:sz w:val="24"/>
                <w:szCs w:val="24"/>
                <w:lang w:eastAsia="ru-RU"/>
              </w:rPr>
            </w:pPr>
            <w:r w:rsidRPr="00111929">
              <w:rPr>
                <w:rFonts w:eastAsia="Times New Roman"/>
                <w:color w:val="000000"/>
                <w:sz w:val="24"/>
                <w:szCs w:val="24"/>
                <w:lang w:eastAsia="ru-RU"/>
              </w:rPr>
              <w:t>0,35</w:t>
            </w:r>
          </w:p>
        </w:tc>
      </w:tr>
      <w:tr w:rsidR="00111929" w:rsidRPr="00111929" w:rsidTr="00111929">
        <w:trPr>
          <w:trHeight w:val="282"/>
          <w:jc w:val="center"/>
        </w:trPr>
        <w:tc>
          <w:tcPr>
            <w:tcW w:w="4395"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left"/>
              <w:rPr>
                <w:rFonts w:eastAsia="Times New Roman"/>
                <w:sz w:val="24"/>
                <w:szCs w:val="24"/>
                <w:lang w:eastAsia="ru-RU"/>
              </w:rPr>
            </w:pPr>
            <w:r w:rsidRPr="00111929">
              <w:rPr>
                <w:rFonts w:eastAsia="Times New Roman"/>
                <w:sz w:val="24"/>
                <w:szCs w:val="24"/>
                <w:lang w:eastAsia="ru-RU"/>
              </w:rPr>
              <w:t>Частота нормальних пологів</w:t>
            </w:r>
          </w:p>
        </w:tc>
        <w:tc>
          <w:tcPr>
            <w:tcW w:w="968"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sz w:val="24"/>
                <w:szCs w:val="24"/>
                <w:lang w:eastAsia="ru-RU"/>
              </w:rPr>
            </w:pPr>
            <w:r w:rsidRPr="00111929">
              <w:rPr>
                <w:rFonts w:eastAsia="Times New Roman"/>
                <w:sz w:val="24"/>
                <w:szCs w:val="24"/>
                <w:lang w:eastAsia="ru-RU"/>
              </w:rPr>
              <w:t>66,34</w:t>
            </w:r>
          </w:p>
        </w:tc>
        <w:tc>
          <w:tcPr>
            <w:tcW w:w="969"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color w:val="000000"/>
                <w:sz w:val="24"/>
                <w:szCs w:val="24"/>
                <w:lang w:eastAsia="ru-RU"/>
              </w:rPr>
            </w:pPr>
            <w:r w:rsidRPr="00111929">
              <w:rPr>
                <w:rFonts w:eastAsia="Times New Roman"/>
                <w:color w:val="000000"/>
                <w:sz w:val="24"/>
                <w:szCs w:val="24"/>
                <w:lang w:eastAsia="ru-RU"/>
              </w:rPr>
              <w:t>61,61</w:t>
            </w:r>
          </w:p>
        </w:tc>
        <w:tc>
          <w:tcPr>
            <w:tcW w:w="968"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sz w:val="24"/>
                <w:szCs w:val="24"/>
                <w:lang w:eastAsia="ru-RU"/>
              </w:rPr>
            </w:pPr>
            <w:r w:rsidRPr="00111929">
              <w:rPr>
                <w:rFonts w:eastAsia="Times New Roman"/>
                <w:sz w:val="24"/>
                <w:szCs w:val="24"/>
                <w:lang w:eastAsia="ru-RU"/>
              </w:rPr>
              <w:t>4,74</w:t>
            </w:r>
          </w:p>
        </w:tc>
        <w:tc>
          <w:tcPr>
            <w:tcW w:w="969"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color w:val="000000"/>
                <w:sz w:val="24"/>
                <w:szCs w:val="24"/>
                <w:lang w:eastAsia="ru-RU"/>
              </w:rPr>
            </w:pPr>
            <w:r w:rsidRPr="00111929">
              <w:rPr>
                <w:rFonts w:eastAsia="Times New Roman"/>
                <w:color w:val="000000"/>
                <w:sz w:val="24"/>
                <w:szCs w:val="24"/>
                <w:lang w:eastAsia="ru-RU"/>
              </w:rPr>
              <w:t>4,62</w:t>
            </w:r>
          </w:p>
        </w:tc>
        <w:tc>
          <w:tcPr>
            <w:tcW w:w="968"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sz w:val="24"/>
                <w:szCs w:val="24"/>
                <w:lang w:eastAsia="ru-RU"/>
              </w:rPr>
            </w:pPr>
            <w:r w:rsidRPr="00111929">
              <w:rPr>
                <w:rFonts w:eastAsia="Times New Roman"/>
                <w:sz w:val="24"/>
                <w:szCs w:val="24"/>
                <w:lang w:eastAsia="ru-RU"/>
              </w:rPr>
              <w:t>0,95</w:t>
            </w:r>
          </w:p>
        </w:tc>
        <w:tc>
          <w:tcPr>
            <w:tcW w:w="969"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color w:val="000000"/>
                <w:sz w:val="24"/>
                <w:szCs w:val="24"/>
                <w:lang w:eastAsia="ru-RU"/>
              </w:rPr>
            </w:pPr>
            <w:r w:rsidRPr="00111929">
              <w:rPr>
                <w:rFonts w:eastAsia="Times New Roman"/>
                <w:color w:val="000000"/>
                <w:sz w:val="24"/>
                <w:szCs w:val="24"/>
                <w:lang w:eastAsia="ru-RU"/>
              </w:rPr>
              <w:t>0,92</w:t>
            </w:r>
          </w:p>
        </w:tc>
      </w:tr>
      <w:tr w:rsidR="00111929" w:rsidRPr="00111929" w:rsidTr="00111929">
        <w:trPr>
          <w:trHeight w:val="553"/>
          <w:jc w:val="center"/>
        </w:trPr>
        <w:tc>
          <w:tcPr>
            <w:tcW w:w="4395" w:type="dxa"/>
            <w:tcBorders>
              <w:top w:val="single" w:sz="4" w:space="0" w:color="auto"/>
              <w:left w:val="single" w:sz="4" w:space="0" w:color="auto"/>
              <w:bottom w:val="single" w:sz="4" w:space="0" w:color="auto"/>
              <w:right w:val="single" w:sz="4" w:space="0" w:color="auto"/>
            </w:tcBorders>
            <w:vAlign w:val="bottom"/>
          </w:tcPr>
          <w:p w:rsidR="00111929" w:rsidRPr="00111929" w:rsidRDefault="00111929" w:rsidP="00C43972">
            <w:pPr>
              <w:keepNext/>
              <w:spacing w:line="240" w:lineRule="auto"/>
              <w:jc w:val="left"/>
              <w:rPr>
                <w:rFonts w:eastAsia="Times New Roman"/>
                <w:sz w:val="24"/>
                <w:szCs w:val="24"/>
                <w:lang w:eastAsia="ru-RU"/>
              </w:rPr>
            </w:pPr>
            <w:r w:rsidRPr="00111929">
              <w:rPr>
                <w:rFonts w:eastAsia="Times New Roman"/>
                <w:sz w:val="24"/>
                <w:szCs w:val="24"/>
                <w:lang w:eastAsia="ru-RU"/>
              </w:rPr>
              <w:t>Частота розроджень вагітних шляхом кесаревого розтину</w:t>
            </w:r>
          </w:p>
        </w:tc>
        <w:tc>
          <w:tcPr>
            <w:tcW w:w="968"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sz w:val="24"/>
                <w:szCs w:val="24"/>
                <w:lang w:eastAsia="ru-RU"/>
              </w:rPr>
            </w:pPr>
            <w:r w:rsidRPr="00111929">
              <w:rPr>
                <w:rFonts w:eastAsia="Times New Roman"/>
                <w:sz w:val="24"/>
                <w:szCs w:val="24"/>
                <w:lang w:eastAsia="ru-RU"/>
              </w:rPr>
              <w:t>220,9</w:t>
            </w:r>
          </w:p>
        </w:tc>
        <w:tc>
          <w:tcPr>
            <w:tcW w:w="969"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color w:val="000000"/>
                <w:sz w:val="24"/>
                <w:szCs w:val="24"/>
                <w:lang w:eastAsia="ru-RU"/>
              </w:rPr>
            </w:pPr>
            <w:r w:rsidRPr="00111929">
              <w:rPr>
                <w:rFonts w:eastAsia="Times New Roman"/>
                <w:color w:val="000000"/>
                <w:sz w:val="24"/>
                <w:szCs w:val="24"/>
                <w:lang w:eastAsia="ru-RU"/>
              </w:rPr>
              <w:t>404,75</w:t>
            </w:r>
          </w:p>
        </w:tc>
        <w:tc>
          <w:tcPr>
            <w:tcW w:w="968"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sz w:val="24"/>
                <w:szCs w:val="24"/>
                <w:lang w:eastAsia="ru-RU"/>
              </w:rPr>
            </w:pPr>
            <w:r w:rsidRPr="00111929">
              <w:rPr>
                <w:rFonts w:eastAsia="Times New Roman"/>
                <w:sz w:val="24"/>
                <w:szCs w:val="24"/>
                <w:lang w:eastAsia="ru-RU"/>
              </w:rPr>
              <w:t>4,34</w:t>
            </w:r>
          </w:p>
        </w:tc>
        <w:tc>
          <w:tcPr>
            <w:tcW w:w="969"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color w:val="000000"/>
                <w:sz w:val="24"/>
                <w:szCs w:val="24"/>
                <w:lang w:eastAsia="ru-RU"/>
              </w:rPr>
            </w:pPr>
            <w:r w:rsidRPr="00111929">
              <w:rPr>
                <w:rFonts w:eastAsia="Times New Roman"/>
                <w:color w:val="000000"/>
                <w:sz w:val="24"/>
                <w:szCs w:val="24"/>
                <w:lang w:eastAsia="ru-RU"/>
              </w:rPr>
              <w:t>0,0</w:t>
            </w:r>
          </w:p>
        </w:tc>
        <w:tc>
          <w:tcPr>
            <w:tcW w:w="968"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sz w:val="24"/>
                <w:szCs w:val="24"/>
                <w:lang w:eastAsia="ru-RU"/>
              </w:rPr>
            </w:pPr>
            <w:r w:rsidRPr="00111929">
              <w:rPr>
                <w:rFonts w:eastAsia="Times New Roman"/>
                <w:sz w:val="24"/>
                <w:szCs w:val="24"/>
                <w:lang w:eastAsia="ru-RU"/>
              </w:rPr>
              <w:t>0,62</w:t>
            </w:r>
          </w:p>
        </w:tc>
        <w:tc>
          <w:tcPr>
            <w:tcW w:w="969"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color w:val="000000"/>
                <w:sz w:val="24"/>
                <w:szCs w:val="24"/>
                <w:lang w:eastAsia="ru-RU"/>
              </w:rPr>
            </w:pPr>
            <w:r w:rsidRPr="00111929">
              <w:rPr>
                <w:rFonts w:eastAsia="Times New Roman"/>
                <w:color w:val="000000"/>
                <w:sz w:val="24"/>
                <w:szCs w:val="24"/>
                <w:lang w:eastAsia="ru-RU"/>
              </w:rPr>
              <w:t>0,00</w:t>
            </w:r>
          </w:p>
        </w:tc>
      </w:tr>
    </w:tbl>
    <w:p w:rsidR="00DD51BC" w:rsidRPr="00DD51BC" w:rsidRDefault="00DD51BC" w:rsidP="00DD51BC">
      <w:pPr>
        <w:rPr>
          <w:i/>
          <w:sz w:val="24"/>
          <w:szCs w:val="24"/>
        </w:rPr>
      </w:pPr>
      <w:r w:rsidRPr="00DD51BC">
        <w:rPr>
          <w:i/>
          <w:sz w:val="24"/>
          <w:szCs w:val="24"/>
        </w:rPr>
        <w:t>Для таблиць : * – показник не оцінювався</w:t>
      </w:r>
      <w:r w:rsidRPr="00DD51BC">
        <w:rPr>
          <w:i/>
          <w:sz w:val="24"/>
          <w:szCs w:val="24"/>
          <w:lang w:val="ru-RU"/>
        </w:rPr>
        <w:t xml:space="preserve">  </w:t>
      </w:r>
      <w:r w:rsidRPr="00DD51BC">
        <w:rPr>
          <w:i/>
          <w:sz w:val="24"/>
          <w:szCs w:val="24"/>
        </w:rPr>
        <w:t>** – немає даних</w:t>
      </w:r>
    </w:p>
    <w:p w:rsidR="00111929" w:rsidRPr="00DD51BC" w:rsidRDefault="00111929"/>
    <w:p w:rsidR="00111929" w:rsidRDefault="00111929">
      <w:pPr>
        <w:rPr>
          <w:lang w:val="ru-RU"/>
        </w:rPr>
      </w:pPr>
    </w:p>
    <w:p w:rsidR="00111929" w:rsidRPr="00111929" w:rsidRDefault="00111929" w:rsidP="00E278D0">
      <w:pPr>
        <w:pageBreakBefore/>
        <w:jc w:val="right"/>
        <w:rPr>
          <w:i/>
          <w:lang w:val="ru-RU"/>
        </w:rPr>
      </w:pPr>
      <w:r w:rsidRPr="00111929">
        <w:rPr>
          <w:i/>
          <w:lang w:val="ru-RU"/>
        </w:rPr>
        <w:lastRenderedPageBreak/>
        <w:t>Продовження додатка Е-5</w:t>
      </w:r>
    </w:p>
    <w:tbl>
      <w:tblPr>
        <w:tblW w:w="10206" w:type="dxa"/>
        <w:jc w:val="center"/>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395"/>
        <w:gridCol w:w="968"/>
        <w:gridCol w:w="969"/>
        <w:gridCol w:w="968"/>
        <w:gridCol w:w="969"/>
        <w:gridCol w:w="968"/>
        <w:gridCol w:w="969"/>
      </w:tblGrid>
      <w:tr w:rsidR="00111929" w:rsidRPr="00111929" w:rsidTr="00111929">
        <w:trPr>
          <w:trHeight w:val="276"/>
          <w:jc w:val="center"/>
        </w:trPr>
        <w:tc>
          <w:tcPr>
            <w:tcW w:w="4395" w:type="dxa"/>
            <w:tcBorders>
              <w:top w:val="single" w:sz="4" w:space="0" w:color="auto"/>
              <w:left w:val="single" w:sz="4" w:space="0" w:color="auto"/>
              <w:bottom w:val="single" w:sz="4" w:space="0" w:color="auto"/>
              <w:right w:val="single" w:sz="4" w:space="0" w:color="auto"/>
            </w:tcBorders>
            <w:vAlign w:val="bottom"/>
          </w:tcPr>
          <w:p w:rsidR="00111929" w:rsidRPr="00111929" w:rsidRDefault="00111929" w:rsidP="00C43972">
            <w:pPr>
              <w:keepNext/>
              <w:spacing w:line="240" w:lineRule="auto"/>
              <w:jc w:val="left"/>
              <w:rPr>
                <w:rFonts w:eastAsia="Times New Roman"/>
                <w:sz w:val="24"/>
                <w:szCs w:val="24"/>
                <w:lang w:eastAsia="ru-RU"/>
              </w:rPr>
            </w:pPr>
            <w:r w:rsidRPr="00111929">
              <w:rPr>
                <w:rFonts w:eastAsia="Times New Roman"/>
                <w:sz w:val="24"/>
                <w:szCs w:val="24"/>
                <w:lang w:eastAsia="ru-RU"/>
              </w:rPr>
              <w:t>Частота  кровотеч в послідовому і післяродовому періодах</w:t>
            </w:r>
          </w:p>
        </w:tc>
        <w:tc>
          <w:tcPr>
            <w:tcW w:w="968"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sz w:val="24"/>
                <w:szCs w:val="24"/>
                <w:lang w:eastAsia="ru-RU"/>
              </w:rPr>
            </w:pPr>
            <w:r w:rsidRPr="00111929">
              <w:rPr>
                <w:rFonts w:eastAsia="Times New Roman"/>
                <w:sz w:val="24"/>
                <w:szCs w:val="24"/>
                <w:lang w:eastAsia="ru-RU"/>
              </w:rPr>
              <w:t>7,85</w:t>
            </w:r>
          </w:p>
        </w:tc>
        <w:tc>
          <w:tcPr>
            <w:tcW w:w="969"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color w:val="000000"/>
                <w:sz w:val="24"/>
                <w:szCs w:val="24"/>
                <w:lang w:eastAsia="ru-RU"/>
              </w:rPr>
            </w:pPr>
            <w:r w:rsidRPr="00111929">
              <w:rPr>
                <w:rFonts w:eastAsia="Times New Roman"/>
                <w:color w:val="000000"/>
                <w:sz w:val="24"/>
                <w:szCs w:val="24"/>
                <w:lang w:eastAsia="ru-RU"/>
              </w:rPr>
              <w:t>8,66</w:t>
            </w:r>
          </w:p>
        </w:tc>
        <w:tc>
          <w:tcPr>
            <w:tcW w:w="968"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sz w:val="24"/>
                <w:szCs w:val="24"/>
                <w:lang w:eastAsia="ru-RU"/>
              </w:rPr>
            </w:pPr>
            <w:r w:rsidRPr="00111929">
              <w:rPr>
                <w:rFonts w:eastAsia="Times New Roman"/>
                <w:sz w:val="24"/>
                <w:szCs w:val="24"/>
                <w:lang w:eastAsia="ru-RU"/>
              </w:rPr>
              <w:t>3,87</w:t>
            </w:r>
          </w:p>
        </w:tc>
        <w:tc>
          <w:tcPr>
            <w:tcW w:w="969"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color w:val="000000"/>
                <w:sz w:val="24"/>
                <w:szCs w:val="24"/>
                <w:lang w:eastAsia="ru-RU"/>
              </w:rPr>
            </w:pPr>
            <w:r w:rsidRPr="00111929">
              <w:rPr>
                <w:rFonts w:eastAsia="Times New Roman"/>
                <w:color w:val="000000"/>
                <w:sz w:val="24"/>
                <w:szCs w:val="24"/>
                <w:lang w:eastAsia="ru-RU"/>
              </w:rPr>
              <w:t>5,01</w:t>
            </w:r>
          </w:p>
        </w:tc>
        <w:tc>
          <w:tcPr>
            <w:tcW w:w="968"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sz w:val="24"/>
                <w:szCs w:val="24"/>
                <w:lang w:eastAsia="ru-RU"/>
              </w:rPr>
            </w:pPr>
            <w:r w:rsidRPr="00111929">
              <w:rPr>
                <w:rFonts w:eastAsia="Times New Roman"/>
                <w:sz w:val="24"/>
                <w:szCs w:val="24"/>
                <w:lang w:eastAsia="ru-RU"/>
              </w:rPr>
              <w:t>0,43</w:t>
            </w:r>
          </w:p>
        </w:tc>
        <w:tc>
          <w:tcPr>
            <w:tcW w:w="969"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color w:val="000000"/>
                <w:sz w:val="24"/>
                <w:szCs w:val="24"/>
                <w:lang w:eastAsia="ru-RU"/>
              </w:rPr>
            </w:pPr>
            <w:r w:rsidRPr="00111929">
              <w:rPr>
                <w:rFonts w:eastAsia="Times New Roman"/>
                <w:color w:val="000000"/>
                <w:sz w:val="24"/>
                <w:szCs w:val="24"/>
                <w:lang w:eastAsia="ru-RU"/>
              </w:rPr>
              <w:t>0,56</w:t>
            </w:r>
          </w:p>
        </w:tc>
      </w:tr>
      <w:tr w:rsidR="00111929" w:rsidRPr="00111929" w:rsidTr="00111929">
        <w:trPr>
          <w:trHeight w:val="293"/>
          <w:jc w:val="center"/>
        </w:trPr>
        <w:tc>
          <w:tcPr>
            <w:tcW w:w="4395" w:type="dxa"/>
            <w:tcBorders>
              <w:top w:val="single" w:sz="4" w:space="0" w:color="auto"/>
              <w:left w:val="single" w:sz="4" w:space="0" w:color="auto"/>
              <w:bottom w:val="single" w:sz="4" w:space="0" w:color="auto"/>
              <w:right w:val="single" w:sz="4" w:space="0" w:color="auto"/>
            </w:tcBorders>
            <w:vAlign w:val="bottom"/>
          </w:tcPr>
          <w:p w:rsidR="00111929" w:rsidRPr="00111929" w:rsidRDefault="00111929" w:rsidP="00C43972">
            <w:pPr>
              <w:keepNext/>
              <w:spacing w:line="240" w:lineRule="auto"/>
              <w:jc w:val="left"/>
              <w:rPr>
                <w:rFonts w:eastAsia="Times New Roman"/>
                <w:sz w:val="24"/>
                <w:szCs w:val="24"/>
                <w:lang w:eastAsia="ru-RU"/>
              </w:rPr>
            </w:pPr>
            <w:r w:rsidRPr="00111929">
              <w:rPr>
                <w:rFonts w:eastAsia="Times New Roman"/>
                <w:sz w:val="24"/>
                <w:szCs w:val="24"/>
                <w:lang w:eastAsia="ru-RU"/>
              </w:rPr>
              <w:t>Частота мало вагових новонароджених</w:t>
            </w:r>
          </w:p>
        </w:tc>
        <w:tc>
          <w:tcPr>
            <w:tcW w:w="968"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sz w:val="24"/>
                <w:szCs w:val="24"/>
                <w:lang w:eastAsia="ru-RU"/>
              </w:rPr>
            </w:pPr>
            <w:r w:rsidRPr="00111929">
              <w:rPr>
                <w:rFonts w:eastAsia="Times New Roman"/>
                <w:sz w:val="24"/>
                <w:szCs w:val="24"/>
                <w:lang w:eastAsia="ru-RU"/>
              </w:rPr>
              <w:t>4,83</w:t>
            </w:r>
          </w:p>
        </w:tc>
        <w:tc>
          <w:tcPr>
            <w:tcW w:w="969"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color w:val="000000"/>
                <w:sz w:val="24"/>
                <w:szCs w:val="24"/>
                <w:lang w:eastAsia="ru-RU"/>
              </w:rPr>
            </w:pPr>
            <w:r w:rsidRPr="00111929">
              <w:rPr>
                <w:rFonts w:eastAsia="Times New Roman"/>
                <w:color w:val="000000"/>
                <w:sz w:val="24"/>
                <w:szCs w:val="24"/>
                <w:lang w:eastAsia="ru-RU"/>
              </w:rPr>
              <w:t>4,41</w:t>
            </w:r>
          </w:p>
        </w:tc>
        <w:tc>
          <w:tcPr>
            <w:tcW w:w="968"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sz w:val="24"/>
                <w:szCs w:val="24"/>
                <w:lang w:eastAsia="ru-RU"/>
              </w:rPr>
            </w:pPr>
            <w:r w:rsidRPr="00111929">
              <w:rPr>
                <w:rFonts w:eastAsia="Times New Roman"/>
                <w:sz w:val="24"/>
                <w:szCs w:val="24"/>
                <w:lang w:eastAsia="ru-RU"/>
              </w:rPr>
              <w:t>3,96</w:t>
            </w:r>
          </w:p>
        </w:tc>
        <w:tc>
          <w:tcPr>
            <w:tcW w:w="969"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color w:val="000000"/>
                <w:sz w:val="24"/>
                <w:szCs w:val="24"/>
                <w:lang w:eastAsia="ru-RU"/>
              </w:rPr>
            </w:pPr>
            <w:r w:rsidRPr="00111929">
              <w:rPr>
                <w:rFonts w:eastAsia="Times New Roman"/>
                <w:color w:val="000000"/>
                <w:sz w:val="24"/>
                <w:szCs w:val="24"/>
                <w:lang w:eastAsia="ru-RU"/>
              </w:rPr>
              <w:t>4,59</w:t>
            </w:r>
          </w:p>
        </w:tc>
        <w:tc>
          <w:tcPr>
            <w:tcW w:w="968"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sz w:val="24"/>
                <w:szCs w:val="24"/>
                <w:lang w:eastAsia="ru-RU"/>
              </w:rPr>
            </w:pPr>
            <w:r w:rsidRPr="00111929">
              <w:rPr>
                <w:rFonts w:eastAsia="Times New Roman"/>
                <w:sz w:val="24"/>
                <w:szCs w:val="24"/>
                <w:lang w:eastAsia="ru-RU"/>
              </w:rPr>
              <w:t>0,79</w:t>
            </w:r>
          </w:p>
        </w:tc>
        <w:tc>
          <w:tcPr>
            <w:tcW w:w="969"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color w:val="000000"/>
                <w:sz w:val="24"/>
                <w:szCs w:val="24"/>
                <w:lang w:eastAsia="ru-RU"/>
              </w:rPr>
            </w:pPr>
            <w:r w:rsidRPr="00111929">
              <w:rPr>
                <w:rFonts w:eastAsia="Times New Roman"/>
                <w:color w:val="000000"/>
                <w:sz w:val="24"/>
                <w:szCs w:val="24"/>
                <w:lang w:eastAsia="ru-RU"/>
              </w:rPr>
              <w:t>0,92</w:t>
            </w:r>
          </w:p>
        </w:tc>
      </w:tr>
      <w:tr w:rsidR="00111929" w:rsidRPr="00111929" w:rsidTr="00111929">
        <w:trPr>
          <w:trHeight w:val="344"/>
          <w:jc w:val="center"/>
        </w:trPr>
        <w:tc>
          <w:tcPr>
            <w:tcW w:w="4395" w:type="dxa"/>
            <w:tcBorders>
              <w:top w:val="single" w:sz="4" w:space="0" w:color="auto"/>
              <w:left w:val="single" w:sz="4" w:space="0" w:color="auto"/>
              <w:bottom w:val="single" w:sz="4" w:space="0" w:color="auto"/>
              <w:right w:val="single" w:sz="4" w:space="0" w:color="auto"/>
            </w:tcBorders>
            <w:vAlign w:val="bottom"/>
          </w:tcPr>
          <w:p w:rsidR="00111929" w:rsidRPr="00111929" w:rsidRDefault="00111929" w:rsidP="00C43972">
            <w:pPr>
              <w:keepNext/>
              <w:spacing w:line="240" w:lineRule="auto"/>
              <w:jc w:val="left"/>
              <w:rPr>
                <w:rFonts w:eastAsia="Times New Roman"/>
                <w:sz w:val="24"/>
                <w:szCs w:val="24"/>
                <w:lang w:eastAsia="ru-RU"/>
              </w:rPr>
            </w:pPr>
            <w:r w:rsidRPr="00111929">
              <w:rPr>
                <w:rFonts w:eastAsia="Times New Roman"/>
                <w:sz w:val="24"/>
                <w:szCs w:val="24"/>
                <w:lang w:eastAsia="ru-RU"/>
              </w:rPr>
              <w:t>Виживання новонароджених з дуже малою масою тіла при народженні</w:t>
            </w:r>
          </w:p>
        </w:tc>
        <w:tc>
          <w:tcPr>
            <w:tcW w:w="968"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sz w:val="24"/>
                <w:szCs w:val="24"/>
                <w:lang w:eastAsia="ru-RU"/>
              </w:rPr>
            </w:pPr>
            <w:r w:rsidRPr="00111929">
              <w:rPr>
                <w:rFonts w:eastAsia="Times New Roman"/>
                <w:sz w:val="24"/>
                <w:szCs w:val="24"/>
                <w:lang w:eastAsia="ru-RU"/>
              </w:rPr>
              <w:t>83,02</w:t>
            </w:r>
          </w:p>
        </w:tc>
        <w:tc>
          <w:tcPr>
            <w:tcW w:w="969"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color w:val="000000"/>
                <w:sz w:val="24"/>
                <w:szCs w:val="24"/>
                <w:lang w:eastAsia="ru-RU"/>
              </w:rPr>
            </w:pPr>
            <w:r w:rsidRPr="00111929">
              <w:rPr>
                <w:rFonts w:eastAsia="Times New Roman"/>
                <w:color w:val="000000"/>
                <w:sz w:val="24"/>
                <w:szCs w:val="24"/>
                <w:lang w:eastAsia="ru-RU"/>
              </w:rPr>
              <w:t>76,34</w:t>
            </w:r>
          </w:p>
        </w:tc>
        <w:tc>
          <w:tcPr>
            <w:tcW w:w="968"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sz w:val="24"/>
                <w:szCs w:val="24"/>
                <w:lang w:eastAsia="ru-RU"/>
              </w:rPr>
            </w:pPr>
            <w:r w:rsidRPr="00111929">
              <w:rPr>
                <w:rFonts w:eastAsia="Times New Roman"/>
                <w:sz w:val="24"/>
                <w:szCs w:val="24"/>
                <w:lang w:eastAsia="ru-RU"/>
              </w:rPr>
              <w:t>7,38</w:t>
            </w:r>
          </w:p>
        </w:tc>
        <w:tc>
          <w:tcPr>
            <w:tcW w:w="969"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color w:val="000000"/>
                <w:sz w:val="24"/>
                <w:szCs w:val="24"/>
                <w:lang w:eastAsia="ru-RU"/>
              </w:rPr>
            </w:pPr>
            <w:r w:rsidRPr="00111929">
              <w:rPr>
                <w:rFonts w:eastAsia="Times New Roman"/>
                <w:color w:val="000000"/>
                <w:sz w:val="24"/>
                <w:szCs w:val="24"/>
                <w:lang w:eastAsia="ru-RU"/>
              </w:rPr>
              <w:t>7,22</w:t>
            </w:r>
          </w:p>
        </w:tc>
        <w:tc>
          <w:tcPr>
            <w:tcW w:w="968"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sz w:val="24"/>
                <w:szCs w:val="24"/>
                <w:lang w:eastAsia="ru-RU"/>
              </w:rPr>
            </w:pPr>
            <w:r w:rsidRPr="00111929">
              <w:rPr>
                <w:rFonts w:eastAsia="Times New Roman"/>
                <w:sz w:val="24"/>
                <w:szCs w:val="24"/>
                <w:lang w:eastAsia="ru-RU"/>
              </w:rPr>
              <w:t>0,92</w:t>
            </w:r>
          </w:p>
        </w:tc>
        <w:tc>
          <w:tcPr>
            <w:tcW w:w="969"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color w:val="000000"/>
                <w:sz w:val="24"/>
                <w:szCs w:val="24"/>
                <w:lang w:eastAsia="ru-RU"/>
              </w:rPr>
            </w:pPr>
            <w:r w:rsidRPr="00111929">
              <w:rPr>
                <w:rFonts w:eastAsia="Times New Roman"/>
                <w:color w:val="000000"/>
                <w:sz w:val="24"/>
                <w:szCs w:val="24"/>
                <w:lang w:eastAsia="ru-RU"/>
              </w:rPr>
              <w:t>0,90</w:t>
            </w:r>
          </w:p>
        </w:tc>
      </w:tr>
      <w:tr w:rsidR="00111929" w:rsidRPr="00111929" w:rsidTr="00111929">
        <w:trPr>
          <w:trHeight w:val="226"/>
          <w:jc w:val="center"/>
        </w:trPr>
        <w:tc>
          <w:tcPr>
            <w:tcW w:w="4395" w:type="dxa"/>
            <w:tcBorders>
              <w:top w:val="single" w:sz="4" w:space="0" w:color="auto"/>
              <w:left w:val="single" w:sz="4" w:space="0" w:color="auto"/>
              <w:bottom w:val="single" w:sz="4" w:space="0" w:color="auto"/>
              <w:right w:val="single" w:sz="4" w:space="0" w:color="auto"/>
            </w:tcBorders>
            <w:vAlign w:val="bottom"/>
          </w:tcPr>
          <w:p w:rsidR="00111929" w:rsidRPr="00111929" w:rsidRDefault="00111929" w:rsidP="00C43972">
            <w:pPr>
              <w:keepNext/>
              <w:spacing w:line="240" w:lineRule="auto"/>
              <w:jc w:val="left"/>
              <w:rPr>
                <w:rFonts w:eastAsia="Times New Roman"/>
                <w:sz w:val="24"/>
                <w:szCs w:val="24"/>
                <w:lang w:eastAsia="ru-RU"/>
              </w:rPr>
            </w:pPr>
            <w:r w:rsidRPr="00111929">
              <w:rPr>
                <w:rFonts w:eastAsia="Times New Roman"/>
                <w:sz w:val="24"/>
                <w:szCs w:val="24"/>
                <w:lang w:eastAsia="ru-RU"/>
              </w:rPr>
              <w:t>Індекс здоров’я новонароджених</w:t>
            </w:r>
          </w:p>
        </w:tc>
        <w:tc>
          <w:tcPr>
            <w:tcW w:w="968"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sz w:val="24"/>
                <w:szCs w:val="24"/>
                <w:lang w:eastAsia="ru-RU"/>
              </w:rPr>
            </w:pPr>
            <w:r w:rsidRPr="00111929">
              <w:rPr>
                <w:rFonts w:eastAsia="Times New Roman"/>
                <w:sz w:val="24"/>
                <w:szCs w:val="24"/>
                <w:lang w:eastAsia="ru-RU"/>
              </w:rPr>
              <w:t>83,3</w:t>
            </w:r>
          </w:p>
        </w:tc>
        <w:tc>
          <w:tcPr>
            <w:tcW w:w="969"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color w:val="000000"/>
                <w:sz w:val="24"/>
                <w:szCs w:val="24"/>
                <w:lang w:eastAsia="ru-RU"/>
              </w:rPr>
            </w:pPr>
            <w:r w:rsidRPr="00111929">
              <w:rPr>
                <w:rFonts w:eastAsia="Times New Roman"/>
                <w:color w:val="000000"/>
                <w:sz w:val="24"/>
                <w:szCs w:val="24"/>
                <w:lang w:eastAsia="ru-RU"/>
              </w:rPr>
              <w:t>82,69</w:t>
            </w:r>
          </w:p>
        </w:tc>
        <w:tc>
          <w:tcPr>
            <w:tcW w:w="968"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sz w:val="24"/>
                <w:szCs w:val="24"/>
                <w:lang w:eastAsia="ru-RU"/>
              </w:rPr>
            </w:pPr>
            <w:r w:rsidRPr="00111929">
              <w:rPr>
                <w:rFonts w:eastAsia="Times New Roman"/>
                <w:sz w:val="24"/>
                <w:szCs w:val="24"/>
                <w:lang w:eastAsia="ru-RU"/>
              </w:rPr>
              <w:t>5,55</w:t>
            </w:r>
          </w:p>
        </w:tc>
        <w:tc>
          <w:tcPr>
            <w:tcW w:w="969"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color w:val="000000"/>
                <w:sz w:val="24"/>
                <w:szCs w:val="24"/>
                <w:lang w:eastAsia="ru-RU"/>
              </w:rPr>
            </w:pPr>
            <w:r w:rsidRPr="00111929">
              <w:rPr>
                <w:rFonts w:eastAsia="Times New Roman"/>
                <w:color w:val="000000"/>
                <w:sz w:val="24"/>
                <w:szCs w:val="24"/>
                <w:lang w:eastAsia="ru-RU"/>
              </w:rPr>
              <w:t>5,84</w:t>
            </w:r>
          </w:p>
        </w:tc>
        <w:tc>
          <w:tcPr>
            <w:tcW w:w="968"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sz w:val="24"/>
                <w:szCs w:val="24"/>
                <w:lang w:eastAsia="ru-RU"/>
              </w:rPr>
            </w:pPr>
            <w:r w:rsidRPr="00111929">
              <w:rPr>
                <w:rFonts w:eastAsia="Times New Roman"/>
                <w:sz w:val="24"/>
                <w:szCs w:val="24"/>
                <w:lang w:eastAsia="ru-RU"/>
              </w:rPr>
              <w:t>0,93</w:t>
            </w:r>
          </w:p>
        </w:tc>
        <w:tc>
          <w:tcPr>
            <w:tcW w:w="969"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color w:val="000000"/>
                <w:sz w:val="24"/>
                <w:szCs w:val="24"/>
                <w:lang w:eastAsia="ru-RU"/>
              </w:rPr>
            </w:pPr>
            <w:r w:rsidRPr="00111929">
              <w:rPr>
                <w:rFonts w:eastAsia="Times New Roman"/>
                <w:color w:val="000000"/>
                <w:sz w:val="24"/>
                <w:szCs w:val="24"/>
                <w:lang w:eastAsia="ru-RU"/>
              </w:rPr>
              <w:t>0,97</w:t>
            </w:r>
          </w:p>
        </w:tc>
      </w:tr>
      <w:tr w:rsidR="00111929" w:rsidRPr="00111929" w:rsidTr="00111929">
        <w:trPr>
          <w:trHeight w:val="244"/>
          <w:jc w:val="center"/>
        </w:trPr>
        <w:tc>
          <w:tcPr>
            <w:tcW w:w="4395" w:type="dxa"/>
            <w:tcBorders>
              <w:top w:val="single" w:sz="4" w:space="0" w:color="auto"/>
              <w:left w:val="single" w:sz="4" w:space="0" w:color="auto"/>
              <w:bottom w:val="single" w:sz="4" w:space="0" w:color="auto"/>
              <w:right w:val="single" w:sz="4" w:space="0" w:color="auto"/>
            </w:tcBorders>
            <w:vAlign w:val="bottom"/>
          </w:tcPr>
          <w:p w:rsidR="00111929" w:rsidRPr="00111929" w:rsidRDefault="00111929" w:rsidP="00C43972">
            <w:pPr>
              <w:keepNext/>
              <w:spacing w:line="240" w:lineRule="auto"/>
              <w:jc w:val="left"/>
              <w:rPr>
                <w:rFonts w:eastAsia="Times New Roman"/>
                <w:sz w:val="24"/>
                <w:szCs w:val="24"/>
                <w:lang w:eastAsia="ru-RU"/>
              </w:rPr>
            </w:pPr>
            <w:r w:rsidRPr="00111929">
              <w:rPr>
                <w:rFonts w:eastAsia="Times New Roman"/>
                <w:sz w:val="24"/>
                <w:szCs w:val="24"/>
                <w:lang w:eastAsia="ru-RU"/>
              </w:rPr>
              <w:t xml:space="preserve">Рівень перинатальної смертності </w:t>
            </w:r>
          </w:p>
        </w:tc>
        <w:tc>
          <w:tcPr>
            <w:tcW w:w="968"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sz w:val="24"/>
                <w:szCs w:val="24"/>
                <w:lang w:eastAsia="ru-RU"/>
              </w:rPr>
            </w:pPr>
            <w:r w:rsidRPr="00111929">
              <w:rPr>
                <w:rFonts w:eastAsia="Times New Roman"/>
                <w:sz w:val="24"/>
                <w:szCs w:val="24"/>
                <w:lang w:eastAsia="ru-RU"/>
              </w:rPr>
              <w:t>8,1</w:t>
            </w:r>
          </w:p>
        </w:tc>
        <w:tc>
          <w:tcPr>
            <w:tcW w:w="969"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color w:val="000000"/>
                <w:sz w:val="24"/>
                <w:szCs w:val="24"/>
                <w:lang w:eastAsia="ru-RU"/>
              </w:rPr>
            </w:pPr>
            <w:r w:rsidRPr="00111929">
              <w:rPr>
                <w:rFonts w:eastAsia="Times New Roman"/>
                <w:color w:val="000000"/>
                <w:sz w:val="24"/>
                <w:szCs w:val="24"/>
                <w:lang w:eastAsia="ru-RU"/>
              </w:rPr>
              <w:t>6,82</w:t>
            </w:r>
          </w:p>
        </w:tc>
        <w:tc>
          <w:tcPr>
            <w:tcW w:w="968"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sz w:val="24"/>
                <w:szCs w:val="24"/>
                <w:lang w:eastAsia="ru-RU"/>
              </w:rPr>
            </w:pPr>
            <w:r w:rsidRPr="00111929">
              <w:rPr>
                <w:rFonts w:eastAsia="Times New Roman"/>
                <w:sz w:val="24"/>
                <w:szCs w:val="24"/>
                <w:lang w:eastAsia="ru-RU"/>
              </w:rPr>
              <w:t>5,93</w:t>
            </w:r>
          </w:p>
        </w:tc>
        <w:tc>
          <w:tcPr>
            <w:tcW w:w="969"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color w:val="000000"/>
                <w:sz w:val="24"/>
                <w:szCs w:val="24"/>
                <w:lang w:eastAsia="ru-RU"/>
              </w:rPr>
            </w:pPr>
            <w:r w:rsidRPr="00111929">
              <w:rPr>
                <w:rFonts w:eastAsia="Times New Roman"/>
                <w:color w:val="000000"/>
                <w:sz w:val="24"/>
                <w:szCs w:val="24"/>
                <w:lang w:eastAsia="ru-RU"/>
              </w:rPr>
              <w:t>6,0</w:t>
            </w:r>
          </w:p>
        </w:tc>
        <w:tc>
          <w:tcPr>
            <w:tcW w:w="968"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sz w:val="24"/>
                <w:szCs w:val="24"/>
                <w:lang w:eastAsia="ru-RU"/>
              </w:rPr>
            </w:pPr>
            <w:r w:rsidRPr="00111929">
              <w:rPr>
                <w:rFonts w:eastAsia="Times New Roman"/>
                <w:sz w:val="24"/>
                <w:szCs w:val="24"/>
                <w:lang w:eastAsia="ru-RU"/>
              </w:rPr>
              <w:t>0,99</w:t>
            </w:r>
          </w:p>
        </w:tc>
        <w:tc>
          <w:tcPr>
            <w:tcW w:w="969"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color w:val="000000"/>
                <w:sz w:val="24"/>
                <w:szCs w:val="24"/>
                <w:lang w:eastAsia="ru-RU"/>
              </w:rPr>
            </w:pPr>
            <w:r w:rsidRPr="00111929">
              <w:rPr>
                <w:rFonts w:eastAsia="Times New Roman"/>
                <w:color w:val="000000"/>
                <w:sz w:val="24"/>
                <w:szCs w:val="24"/>
                <w:lang w:eastAsia="ru-RU"/>
              </w:rPr>
              <w:t>1,00</w:t>
            </w:r>
          </w:p>
        </w:tc>
      </w:tr>
      <w:tr w:rsidR="00111929" w:rsidRPr="00111929" w:rsidTr="00111929">
        <w:trPr>
          <w:trHeight w:val="375"/>
          <w:jc w:val="center"/>
        </w:trPr>
        <w:tc>
          <w:tcPr>
            <w:tcW w:w="4395"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rPr>
                <w:rFonts w:eastAsia="Times New Roman"/>
                <w:sz w:val="24"/>
                <w:szCs w:val="24"/>
                <w:lang w:eastAsia="ru-RU"/>
              </w:rPr>
            </w:pPr>
            <w:r w:rsidRPr="00111929">
              <w:rPr>
                <w:rFonts w:eastAsia="Times New Roman"/>
                <w:sz w:val="24"/>
                <w:szCs w:val="24"/>
                <w:lang w:eastAsia="ru-RU"/>
              </w:rPr>
              <w:t>Співвідношення реального і фактичного показника ранньої неонатальної смертності</w:t>
            </w:r>
          </w:p>
        </w:tc>
        <w:tc>
          <w:tcPr>
            <w:tcW w:w="968"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sz w:val="24"/>
                <w:szCs w:val="24"/>
                <w:lang w:eastAsia="ru-RU"/>
              </w:rPr>
            </w:pPr>
            <w:r w:rsidRPr="00111929">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color w:val="000000"/>
                <w:sz w:val="24"/>
                <w:szCs w:val="24"/>
                <w:lang w:eastAsia="ru-RU"/>
              </w:rPr>
            </w:pPr>
            <w:r w:rsidRPr="00111929">
              <w:rPr>
                <w:rFonts w:eastAsia="Times New Roman"/>
                <w:color w:val="000000"/>
                <w:sz w:val="24"/>
                <w:szCs w:val="24"/>
                <w:lang w:eastAsia="ru-RU"/>
              </w:rPr>
              <w:t>2,51</w:t>
            </w:r>
          </w:p>
        </w:tc>
        <w:tc>
          <w:tcPr>
            <w:tcW w:w="968"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sz w:val="24"/>
                <w:szCs w:val="24"/>
                <w:lang w:eastAsia="ru-RU"/>
              </w:rPr>
            </w:pPr>
            <w:r w:rsidRPr="00111929">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color w:val="000000"/>
                <w:sz w:val="24"/>
                <w:szCs w:val="24"/>
                <w:lang w:eastAsia="ru-RU"/>
              </w:rPr>
            </w:pPr>
            <w:r w:rsidRPr="00111929">
              <w:rPr>
                <w:rFonts w:eastAsia="Times New Roman"/>
                <w:color w:val="000000"/>
                <w:sz w:val="24"/>
                <w:szCs w:val="24"/>
                <w:lang w:eastAsia="ru-RU"/>
              </w:rPr>
              <w:t>1,96</w:t>
            </w:r>
          </w:p>
        </w:tc>
        <w:tc>
          <w:tcPr>
            <w:tcW w:w="968"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sz w:val="24"/>
                <w:szCs w:val="24"/>
                <w:lang w:eastAsia="ru-RU"/>
              </w:rPr>
            </w:pPr>
            <w:r w:rsidRPr="00111929">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color w:val="000000"/>
                <w:sz w:val="24"/>
                <w:szCs w:val="24"/>
                <w:lang w:eastAsia="ru-RU"/>
              </w:rPr>
            </w:pPr>
            <w:r w:rsidRPr="00111929">
              <w:rPr>
                <w:rFonts w:eastAsia="Times New Roman"/>
                <w:color w:val="000000"/>
                <w:sz w:val="24"/>
                <w:szCs w:val="24"/>
                <w:lang w:eastAsia="ru-RU"/>
              </w:rPr>
              <w:t>0,33</w:t>
            </w:r>
          </w:p>
        </w:tc>
      </w:tr>
      <w:tr w:rsidR="00111929" w:rsidRPr="00111929" w:rsidTr="00111929">
        <w:trPr>
          <w:trHeight w:val="216"/>
          <w:jc w:val="center"/>
        </w:trPr>
        <w:tc>
          <w:tcPr>
            <w:tcW w:w="4395"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left"/>
              <w:rPr>
                <w:rFonts w:eastAsia="Times New Roman"/>
                <w:sz w:val="24"/>
                <w:szCs w:val="24"/>
                <w:lang w:eastAsia="ru-RU"/>
              </w:rPr>
            </w:pPr>
            <w:r w:rsidRPr="00111929">
              <w:rPr>
                <w:rFonts w:eastAsia="Times New Roman"/>
                <w:sz w:val="24"/>
                <w:szCs w:val="24"/>
                <w:lang w:eastAsia="ru-RU"/>
              </w:rPr>
              <w:t>Рівень неонатальної смертності</w:t>
            </w:r>
          </w:p>
        </w:tc>
        <w:tc>
          <w:tcPr>
            <w:tcW w:w="968"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sz w:val="24"/>
                <w:szCs w:val="24"/>
                <w:lang w:eastAsia="ru-RU"/>
              </w:rPr>
            </w:pPr>
            <w:r w:rsidRPr="00111929">
              <w:rPr>
                <w:rFonts w:eastAsia="Times New Roman"/>
                <w:sz w:val="24"/>
                <w:szCs w:val="24"/>
                <w:lang w:eastAsia="ru-RU"/>
              </w:rPr>
              <w:t>4,03</w:t>
            </w:r>
          </w:p>
        </w:tc>
        <w:tc>
          <w:tcPr>
            <w:tcW w:w="969"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color w:val="000000"/>
                <w:sz w:val="24"/>
                <w:szCs w:val="24"/>
                <w:lang w:eastAsia="ru-RU"/>
              </w:rPr>
            </w:pPr>
            <w:r w:rsidRPr="00111929">
              <w:rPr>
                <w:rFonts w:eastAsia="Times New Roman"/>
                <w:color w:val="000000"/>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sz w:val="24"/>
                <w:szCs w:val="24"/>
                <w:lang w:eastAsia="ru-RU"/>
              </w:rPr>
            </w:pPr>
            <w:r w:rsidRPr="00111929">
              <w:rPr>
                <w:rFonts w:eastAsia="Times New Roman"/>
                <w:sz w:val="24"/>
                <w:szCs w:val="24"/>
                <w:lang w:eastAsia="ru-RU"/>
              </w:rPr>
              <w:t>5,96</w:t>
            </w:r>
          </w:p>
        </w:tc>
        <w:tc>
          <w:tcPr>
            <w:tcW w:w="969"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color w:val="000000"/>
                <w:sz w:val="24"/>
                <w:szCs w:val="24"/>
                <w:lang w:eastAsia="ru-RU"/>
              </w:rPr>
            </w:pPr>
            <w:r w:rsidRPr="00111929">
              <w:rPr>
                <w:rFonts w:eastAsia="Times New Roman"/>
                <w:color w:val="000000"/>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sz w:val="24"/>
                <w:szCs w:val="24"/>
                <w:lang w:eastAsia="ru-RU"/>
              </w:rPr>
            </w:pPr>
            <w:r w:rsidRPr="00111929">
              <w:rPr>
                <w:rFonts w:eastAsia="Times New Roman"/>
                <w:sz w:val="24"/>
                <w:szCs w:val="24"/>
                <w:lang w:eastAsia="ru-RU"/>
              </w:rPr>
              <w:t>0,99</w:t>
            </w:r>
          </w:p>
        </w:tc>
        <w:tc>
          <w:tcPr>
            <w:tcW w:w="969"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color w:val="000000"/>
                <w:sz w:val="24"/>
                <w:szCs w:val="24"/>
                <w:lang w:eastAsia="ru-RU"/>
              </w:rPr>
            </w:pPr>
            <w:r w:rsidRPr="00111929">
              <w:rPr>
                <w:rFonts w:eastAsia="Times New Roman"/>
                <w:color w:val="000000"/>
                <w:sz w:val="24"/>
                <w:szCs w:val="24"/>
                <w:lang w:eastAsia="ru-RU"/>
              </w:rPr>
              <w:t>**</w:t>
            </w:r>
          </w:p>
        </w:tc>
      </w:tr>
      <w:tr w:rsidR="00111929" w:rsidRPr="00111929" w:rsidTr="00111929">
        <w:trPr>
          <w:trHeight w:val="266"/>
          <w:jc w:val="center"/>
        </w:trPr>
        <w:tc>
          <w:tcPr>
            <w:tcW w:w="4395"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left"/>
              <w:rPr>
                <w:rFonts w:eastAsia="Times New Roman"/>
                <w:sz w:val="24"/>
                <w:szCs w:val="24"/>
                <w:lang w:eastAsia="ru-RU"/>
              </w:rPr>
            </w:pPr>
            <w:r w:rsidRPr="00111929">
              <w:rPr>
                <w:rFonts w:eastAsia="Times New Roman"/>
                <w:sz w:val="24"/>
                <w:szCs w:val="24"/>
                <w:lang w:eastAsia="ru-RU"/>
              </w:rPr>
              <w:t xml:space="preserve">Рівень ранньої неонатальної смертності </w:t>
            </w:r>
          </w:p>
        </w:tc>
        <w:tc>
          <w:tcPr>
            <w:tcW w:w="968"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sz w:val="24"/>
                <w:szCs w:val="24"/>
                <w:lang w:eastAsia="ru-RU"/>
              </w:rPr>
            </w:pPr>
            <w:r w:rsidRPr="00111929">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color w:val="000000"/>
                <w:sz w:val="24"/>
                <w:szCs w:val="24"/>
                <w:lang w:eastAsia="ru-RU"/>
              </w:rPr>
            </w:pPr>
            <w:r w:rsidRPr="00111929">
              <w:rPr>
                <w:rFonts w:eastAsia="Times New Roman"/>
                <w:color w:val="000000"/>
                <w:sz w:val="24"/>
                <w:szCs w:val="24"/>
                <w:lang w:eastAsia="ru-RU"/>
              </w:rPr>
              <w:t>3,23</w:t>
            </w:r>
          </w:p>
        </w:tc>
        <w:tc>
          <w:tcPr>
            <w:tcW w:w="968"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sz w:val="24"/>
                <w:szCs w:val="24"/>
                <w:lang w:eastAsia="ru-RU"/>
              </w:rPr>
            </w:pPr>
            <w:r w:rsidRPr="00111929">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color w:val="000000"/>
                <w:sz w:val="24"/>
                <w:szCs w:val="24"/>
                <w:lang w:eastAsia="ru-RU"/>
              </w:rPr>
            </w:pPr>
            <w:r w:rsidRPr="00111929">
              <w:rPr>
                <w:rFonts w:eastAsia="Times New Roman"/>
                <w:color w:val="000000"/>
                <w:sz w:val="24"/>
                <w:szCs w:val="24"/>
                <w:lang w:eastAsia="ru-RU"/>
              </w:rPr>
              <w:t>5,06</w:t>
            </w:r>
          </w:p>
        </w:tc>
        <w:tc>
          <w:tcPr>
            <w:tcW w:w="968"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sz w:val="24"/>
                <w:szCs w:val="24"/>
                <w:lang w:eastAsia="ru-RU"/>
              </w:rPr>
            </w:pPr>
            <w:r w:rsidRPr="00111929">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color w:val="000000"/>
                <w:sz w:val="24"/>
                <w:szCs w:val="24"/>
                <w:lang w:eastAsia="ru-RU"/>
              </w:rPr>
            </w:pPr>
            <w:r w:rsidRPr="00111929">
              <w:rPr>
                <w:rFonts w:eastAsia="Times New Roman"/>
                <w:color w:val="000000"/>
                <w:sz w:val="24"/>
                <w:szCs w:val="24"/>
                <w:lang w:eastAsia="ru-RU"/>
              </w:rPr>
              <w:t>0,84</w:t>
            </w:r>
          </w:p>
        </w:tc>
      </w:tr>
      <w:tr w:rsidR="00111929" w:rsidRPr="00111929" w:rsidTr="00111929">
        <w:trPr>
          <w:trHeight w:val="270"/>
          <w:jc w:val="center"/>
        </w:trPr>
        <w:tc>
          <w:tcPr>
            <w:tcW w:w="4395" w:type="dxa"/>
            <w:tcBorders>
              <w:top w:val="single" w:sz="4" w:space="0" w:color="auto"/>
              <w:left w:val="single" w:sz="4" w:space="0" w:color="auto"/>
              <w:bottom w:val="single" w:sz="4" w:space="0" w:color="auto"/>
              <w:right w:val="single" w:sz="4" w:space="0" w:color="auto"/>
            </w:tcBorders>
            <w:vAlign w:val="bottom"/>
          </w:tcPr>
          <w:p w:rsidR="00111929" w:rsidRPr="00111929" w:rsidRDefault="00111929" w:rsidP="00C43972">
            <w:pPr>
              <w:keepNext/>
              <w:spacing w:line="240" w:lineRule="auto"/>
              <w:jc w:val="left"/>
              <w:rPr>
                <w:rFonts w:eastAsia="Times New Roman"/>
                <w:sz w:val="24"/>
                <w:szCs w:val="24"/>
                <w:lang w:eastAsia="ru-RU"/>
              </w:rPr>
            </w:pPr>
            <w:r w:rsidRPr="00111929">
              <w:rPr>
                <w:rFonts w:eastAsia="Times New Roman"/>
                <w:sz w:val="24"/>
                <w:szCs w:val="24"/>
                <w:lang w:eastAsia="ru-RU"/>
              </w:rPr>
              <w:t xml:space="preserve">Рівень материнської смертності </w:t>
            </w:r>
          </w:p>
        </w:tc>
        <w:tc>
          <w:tcPr>
            <w:tcW w:w="968"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sz w:val="24"/>
                <w:szCs w:val="24"/>
                <w:lang w:eastAsia="ru-RU"/>
              </w:rPr>
            </w:pPr>
            <w:r w:rsidRPr="00111929">
              <w:rPr>
                <w:rFonts w:eastAsia="Times New Roman"/>
                <w:sz w:val="24"/>
                <w:szCs w:val="24"/>
                <w:lang w:eastAsia="ru-RU"/>
              </w:rPr>
              <w:t>8,4</w:t>
            </w:r>
          </w:p>
        </w:tc>
        <w:tc>
          <w:tcPr>
            <w:tcW w:w="969"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color w:val="000000"/>
                <w:sz w:val="24"/>
                <w:szCs w:val="24"/>
                <w:lang w:eastAsia="ru-RU"/>
              </w:rPr>
            </w:pPr>
            <w:r w:rsidRPr="00111929">
              <w:rPr>
                <w:rFonts w:eastAsia="Times New Roman"/>
                <w:color w:val="000000"/>
                <w:sz w:val="24"/>
                <w:szCs w:val="24"/>
                <w:lang w:eastAsia="ru-RU"/>
              </w:rPr>
              <w:t>26,6</w:t>
            </w:r>
          </w:p>
        </w:tc>
        <w:tc>
          <w:tcPr>
            <w:tcW w:w="968"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sz w:val="24"/>
                <w:szCs w:val="24"/>
                <w:lang w:eastAsia="ru-RU"/>
              </w:rPr>
            </w:pPr>
            <w:r w:rsidRPr="00111929">
              <w:rPr>
                <w:rFonts w:eastAsia="Times New Roman"/>
                <w:sz w:val="24"/>
                <w:szCs w:val="24"/>
                <w:lang w:eastAsia="ru-RU"/>
              </w:rPr>
              <w:t>5,00</w:t>
            </w:r>
          </w:p>
        </w:tc>
        <w:tc>
          <w:tcPr>
            <w:tcW w:w="969"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color w:val="000000"/>
                <w:sz w:val="24"/>
                <w:szCs w:val="24"/>
                <w:lang w:eastAsia="ru-RU"/>
              </w:rPr>
            </w:pPr>
            <w:r w:rsidRPr="00111929">
              <w:rPr>
                <w:rFonts w:eastAsia="Times New Roman"/>
                <w:color w:val="000000"/>
                <w:sz w:val="24"/>
                <w:szCs w:val="24"/>
                <w:lang w:eastAsia="ru-RU"/>
              </w:rPr>
              <w:t>0,0</w:t>
            </w:r>
          </w:p>
        </w:tc>
        <w:tc>
          <w:tcPr>
            <w:tcW w:w="968"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sz w:val="24"/>
                <w:szCs w:val="24"/>
                <w:lang w:eastAsia="ru-RU"/>
              </w:rPr>
            </w:pPr>
            <w:r w:rsidRPr="00111929">
              <w:rPr>
                <w:rFonts w:eastAsia="Times New Roman"/>
                <w:sz w:val="24"/>
                <w:szCs w:val="24"/>
                <w:lang w:eastAsia="ru-RU"/>
              </w:rPr>
              <w:t>1,00</w:t>
            </w:r>
          </w:p>
        </w:tc>
        <w:tc>
          <w:tcPr>
            <w:tcW w:w="969"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color w:val="000000"/>
                <w:sz w:val="24"/>
                <w:szCs w:val="24"/>
                <w:lang w:eastAsia="ru-RU"/>
              </w:rPr>
            </w:pPr>
            <w:r w:rsidRPr="00111929">
              <w:rPr>
                <w:rFonts w:eastAsia="Times New Roman"/>
                <w:color w:val="000000"/>
                <w:sz w:val="24"/>
                <w:szCs w:val="24"/>
                <w:lang w:eastAsia="ru-RU"/>
              </w:rPr>
              <w:t>0,00</w:t>
            </w:r>
          </w:p>
        </w:tc>
      </w:tr>
      <w:tr w:rsidR="00111929" w:rsidRPr="00111929" w:rsidTr="00111929">
        <w:trPr>
          <w:trHeight w:val="274"/>
          <w:jc w:val="center"/>
        </w:trPr>
        <w:tc>
          <w:tcPr>
            <w:tcW w:w="4395" w:type="dxa"/>
            <w:tcBorders>
              <w:top w:val="single" w:sz="4" w:space="0" w:color="auto"/>
              <w:left w:val="single" w:sz="4" w:space="0" w:color="auto"/>
              <w:bottom w:val="single" w:sz="4" w:space="0" w:color="auto"/>
              <w:right w:val="single" w:sz="4" w:space="0" w:color="auto"/>
            </w:tcBorders>
            <w:vAlign w:val="bottom"/>
          </w:tcPr>
          <w:p w:rsidR="00111929" w:rsidRPr="00111929" w:rsidRDefault="00111929" w:rsidP="00C43972">
            <w:pPr>
              <w:keepNext/>
              <w:spacing w:line="240" w:lineRule="auto"/>
              <w:jc w:val="left"/>
              <w:rPr>
                <w:rFonts w:eastAsia="Times New Roman"/>
                <w:sz w:val="24"/>
                <w:szCs w:val="24"/>
                <w:lang w:eastAsia="ru-RU"/>
              </w:rPr>
            </w:pPr>
          </w:p>
        </w:tc>
        <w:tc>
          <w:tcPr>
            <w:tcW w:w="968"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sz w:val="24"/>
                <w:szCs w:val="24"/>
                <w:lang w:eastAsia="ru-RU"/>
              </w:rPr>
            </w:pPr>
          </w:p>
        </w:tc>
        <w:tc>
          <w:tcPr>
            <w:tcW w:w="969"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color w:val="000000"/>
                <w:sz w:val="24"/>
                <w:szCs w:val="24"/>
                <w:lang w:eastAsia="ru-RU"/>
              </w:rPr>
            </w:pPr>
          </w:p>
        </w:tc>
        <w:tc>
          <w:tcPr>
            <w:tcW w:w="968"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color w:val="000000"/>
                <w:sz w:val="24"/>
                <w:szCs w:val="24"/>
                <w:lang w:eastAsia="ru-RU"/>
              </w:rPr>
            </w:pPr>
            <w:r w:rsidRPr="00111929">
              <w:rPr>
                <w:rFonts w:eastAsia="Times New Roman"/>
                <w:color w:val="000000"/>
                <w:sz w:val="24"/>
                <w:szCs w:val="24"/>
                <w:lang w:eastAsia="ru-RU"/>
              </w:rPr>
              <w:t>79,13</w:t>
            </w:r>
          </w:p>
        </w:tc>
        <w:tc>
          <w:tcPr>
            <w:tcW w:w="969"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color w:val="000000"/>
                <w:sz w:val="24"/>
                <w:szCs w:val="24"/>
                <w:lang w:eastAsia="ru-RU"/>
              </w:rPr>
            </w:pPr>
            <w:r w:rsidRPr="00111929">
              <w:rPr>
                <w:rFonts w:eastAsia="Times New Roman"/>
                <w:color w:val="000000"/>
                <w:sz w:val="24"/>
                <w:szCs w:val="24"/>
                <w:lang w:eastAsia="ru-RU"/>
              </w:rPr>
              <w:t>92,09</w:t>
            </w:r>
          </w:p>
        </w:tc>
        <w:tc>
          <w:tcPr>
            <w:tcW w:w="968"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color w:val="000000"/>
                <w:sz w:val="24"/>
                <w:szCs w:val="24"/>
                <w:lang w:eastAsia="ru-RU"/>
              </w:rPr>
            </w:pPr>
            <w:r w:rsidRPr="00111929">
              <w:rPr>
                <w:rFonts w:eastAsia="Times New Roman"/>
                <w:color w:val="000000"/>
                <w:sz w:val="24"/>
                <w:szCs w:val="24"/>
                <w:lang w:eastAsia="ru-RU"/>
              </w:rPr>
              <w:t>0,66</w:t>
            </w:r>
          </w:p>
        </w:tc>
        <w:tc>
          <w:tcPr>
            <w:tcW w:w="969" w:type="dxa"/>
            <w:tcBorders>
              <w:top w:val="single" w:sz="4" w:space="0" w:color="auto"/>
              <w:left w:val="single" w:sz="4" w:space="0" w:color="auto"/>
              <w:bottom w:val="single" w:sz="4" w:space="0" w:color="auto"/>
              <w:right w:val="single" w:sz="4" w:space="0" w:color="auto"/>
            </w:tcBorders>
            <w:vAlign w:val="center"/>
          </w:tcPr>
          <w:p w:rsidR="00111929" w:rsidRPr="00111929" w:rsidRDefault="00111929" w:rsidP="00C43972">
            <w:pPr>
              <w:keepNext/>
              <w:spacing w:line="240" w:lineRule="auto"/>
              <w:jc w:val="center"/>
              <w:rPr>
                <w:rFonts w:eastAsia="Times New Roman"/>
                <w:color w:val="000000"/>
                <w:sz w:val="24"/>
                <w:szCs w:val="24"/>
                <w:lang w:eastAsia="ru-RU"/>
              </w:rPr>
            </w:pPr>
            <w:r w:rsidRPr="00111929">
              <w:rPr>
                <w:rFonts w:eastAsia="Times New Roman"/>
                <w:color w:val="000000"/>
                <w:sz w:val="24"/>
                <w:szCs w:val="24"/>
                <w:lang w:eastAsia="ru-RU"/>
              </w:rPr>
              <w:t>0,71</w:t>
            </w:r>
          </w:p>
        </w:tc>
      </w:tr>
    </w:tbl>
    <w:p w:rsidR="00C43972" w:rsidRPr="00C43972" w:rsidRDefault="00535BCC" w:rsidP="00E278D0">
      <w:pPr>
        <w:pageBreakBefore/>
        <w:widowControl w:val="0"/>
        <w:tabs>
          <w:tab w:val="left" w:pos="1881"/>
          <w:tab w:val="right" w:pos="10205"/>
        </w:tabs>
        <w:jc w:val="right"/>
        <w:rPr>
          <w:rFonts w:eastAsia="Times New Roman"/>
          <w:bCs/>
          <w:i/>
          <w:iCs/>
          <w:color w:val="000000"/>
          <w:szCs w:val="28"/>
          <w:lang w:eastAsia="uk-UA"/>
        </w:rPr>
      </w:pPr>
      <w:r>
        <w:rPr>
          <w:rFonts w:eastAsia="Times New Roman"/>
          <w:szCs w:val="28"/>
          <w:lang w:eastAsia="ru-RU"/>
        </w:rPr>
        <w:lastRenderedPageBreak/>
        <w:t>Додаток Е</w:t>
      </w:r>
      <w:r w:rsidR="00C43972" w:rsidRPr="00C43972">
        <w:rPr>
          <w:rFonts w:eastAsia="Times New Roman"/>
          <w:szCs w:val="28"/>
          <w:lang w:eastAsia="ru-RU"/>
        </w:rPr>
        <w:t>-6</w:t>
      </w:r>
    </w:p>
    <w:p w:rsidR="00C43972" w:rsidRPr="00C43972" w:rsidRDefault="00C43972" w:rsidP="00CC2659">
      <w:pPr>
        <w:keepNext/>
        <w:jc w:val="center"/>
        <w:rPr>
          <w:rFonts w:eastAsia="Times New Roman"/>
          <w:b/>
          <w:sz w:val="24"/>
          <w:szCs w:val="24"/>
          <w:lang w:eastAsia="ru-RU"/>
        </w:rPr>
      </w:pPr>
      <w:r w:rsidRPr="00C43972">
        <w:rPr>
          <w:rFonts w:eastAsia="Times New Roman"/>
          <w:b/>
          <w:bCs/>
          <w:iCs/>
          <w:color w:val="000000"/>
          <w:szCs w:val="28"/>
          <w:lang w:eastAsia="uk-UA"/>
        </w:rPr>
        <w:t xml:space="preserve">Комплексна оцінка діяльності закладів перинатальної допомоги Дніпропетровської </w:t>
      </w:r>
      <w:r w:rsidRPr="00C43972">
        <w:rPr>
          <w:rFonts w:eastAsia="Times New Roman"/>
          <w:b/>
          <w:bCs/>
          <w:iCs/>
          <w:color w:val="000000"/>
          <w:sz w:val="26"/>
          <w:szCs w:val="26"/>
          <w:lang w:eastAsia="uk-UA"/>
        </w:rPr>
        <w:t xml:space="preserve">області у </w:t>
      </w:r>
      <w:r w:rsidRPr="00C43972">
        <w:rPr>
          <w:rFonts w:eastAsia="Times New Roman"/>
          <w:b/>
          <w:bCs/>
          <w:iCs/>
          <w:color w:val="000000"/>
          <w:szCs w:val="28"/>
          <w:lang w:eastAsia="uk-UA"/>
        </w:rPr>
        <w:t>2017–2018 рр.</w:t>
      </w:r>
    </w:p>
    <w:tbl>
      <w:tblPr>
        <w:tblW w:w="10205" w:type="dxa"/>
        <w:jc w:val="center"/>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394"/>
        <w:gridCol w:w="968"/>
        <w:gridCol w:w="969"/>
        <w:gridCol w:w="968"/>
        <w:gridCol w:w="969"/>
        <w:gridCol w:w="968"/>
        <w:gridCol w:w="969"/>
      </w:tblGrid>
      <w:tr w:rsidR="00CC2659" w:rsidRPr="00AA5C00" w:rsidTr="00CC2659">
        <w:trPr>
          <w:cantSplit/>
          <w:trHeight w:val="743"/>
          <w:jc w:val="center"/>
        </w:trPr>
        <w:tc>
          <w:tcPr>
            <w:tcW w:w="4394" w:type="dxa"/>
            <w:vMerge w:val="restart"/>
            <w:tcBorders>
              <w:top w:val="single" w:sz="4" w:space="0" w:color="auto"/>
              <w:left w:val="single" w:sz="4" w:space="0" w:color="auto"/>
              <w:right w:val="single" w:sz="4" w:space="0" w:color="auto"/>
            </w:tcBorders>
            <w:vAlign w:val="center"/>
            <w:hideMark/>
          </w:tcPr>
          <w:p w:rsidR="00CC2659" w:rsidRPr="00AA5C00" w:rsidRDefault="00CC2659" w:rsidP="00CC2659">
            <w:pPr>
              <w:keepNext/>
              <w:jc w:val="center"/>
              <w:rPr>
                <w:rFonts w:eastAsia="Times New Roman"/>
                <w:color w:val="000000"/>
                <w:sz w:val="24"/>
                <w:szCs w:val="24"/>
                <w:lang w:eastAsia="uk-UA"/>
              </w:rPr>
            </w:pPr>
            <w:r w:rsidRPr="00AA5C00">
              <w:rPr>
                <w:rFonts w:eastAsia="Times New Roman"/>
                <w:color w:val="000000"/>
                <w:sz w:val="24"/>
                <w:szCs w:val="24"/>
                <w:lang w:eastAsia="uk-UA"/>
              </w:rPr>
              <w:t>Індикатор якості</w:t>
            </w:r>
          </w:p>
        </w:tc>
        <w:tc>
          <w:tcPr>
            <w:tcW w:w="1937" w:type="dxa"/>
            <w:gridSpan w:val="2"/>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color w:val="000000"/>
                <w:sz w:val="24"/>
                <w:szCs w:val="24"/>
                <w:lang w:eastAsia="uk-UA"/>
              </w:rPr>
            </w:pPr>
            <w:r w:rsidRPr="00AA5C00">
              <w:rPr>
                <w:rFonts w:eastAsia="Times New Roman"/>
                <w:color w:val="000000"/>
                <w:sz w:val="24"/>
                <w:szCs w:val="24"/>
                <w:lang w:eastAsia="uk-UA"/>
              </w:rPr>
              <w:t xml:space="preserve">Фактичний показник , </w:t>
            </w:r>
            <w:r w:rsidRPr="00AA5C00">
              <w:rPr>
                <w:rFonts w:eastAsia="Times New Roman"/>
                <w:sz w:val="24"/>
                <w:szCs w:val="24"/>
                <w:lang w:eastAsia="uk-UA"/>
              </w:rPr>
              <w:t>Україна</w:t>
            </w:r>
          </w:p>
        </w:tc>
        <w:tc>
          <w:tcPr>
            <w:tcW w:w="1937" w:type="dxa"/>
            <w:gridSpan w:val="2"/>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color w:val="000000"/>
                <w:sz w:val="24"/>
                <w:szCs w:val="24"/>
                <w:lang w:eastAsia="uk-UA"/>
              </w:rPr>
            </w:pPr>
            <w:r w:rsidRPr="00AA5C00">
              <w:rPr>
                <w:rFonts w:eastAsia="Times New Roman"/>
                <w:color w:val="000000"/>
                <w:sz w:val="24"/>
                <w:szCs w:val="24"/>
                <w:lang w:eastAsia="uk-UA"/>
              </w:rPr>
              <w:t>Бальна оцінка фактичного показника</w:t>
            </w:r>
          </w:p>
        </w:tc>
        <w:tc>
          <w:tcPr>
            <w:tcW w:w="1937" w:type="dxa"/>
            <w:gridSpan w:val="2"/>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color w:val="000000"/>
                <w:sz w:val="24"/>
                <w:szCs w:val="24"/>
                <w:lang w:eastAsia="uk-UA"/>
              </w:rPr>
            </w:pPr>
            <w:r w:rsidRPr="00AA5C00">
              <w:rPr>
                <w:rFonts w:eastAsia="Times New Roman"/>
                <w:color w:val="000000"/>
                <w:sz w:val="24"/>
                <w:szCs w:val="24"/>
                <w:lang w:eastAsia="uk-UA"/>
              </w:rPr>
              <w:t>КДНЗ</w:t>
            </w:r>
          </w:p>
        </w:tc>
      </w:tr>
      <w:tr w:rsidR="00CC2659" w:rsidRPr="00AA5C00" w:rsidTr="00CC2659">
        <w:trPr>
          <w:trHeight w:val="404"/>
          <w:jc w:val="center"/>
        </w:trPr>
        <w:tc>
          <w:tcPr>
            <w:tcW w:w="4394" w:type="dxa"/>
            <w:vMerge/>
            <w:tcBorders>
              <w:left w:val="single" w:sz="4" w:space="0" w:color="auto"/>
              <w:bottom w:val="single" w:sz="4" w:space="0" w:color="auto"/>
              <w:right w:val="single" w:sz="4" w:space="0" w:color="auto"/>
            </w:tcBorders>
            <w:vAlign w:val="bottom"/>
          </w:tcPr>
          <w:p w:rsidR="00CC2659" w:rsidRPr="00AA5C00" w:rsidRDefault="00CC2659" w:rsidP="00CC2659">
            <w:pPr>
              <w:keepNext/>
              <w:jc w:val="left"/>
              <w:rPr>
                <w:rFonts w:eastAsia="Times New Roman"/>
                <w:sz w:val="24"/>
                <w:szCs w:val="24"/>
                <w:lang w:eastAsia="ru-RU"/>
              </w:rPr>
            </w:pPr>
          </w:p>
        </w:tc>
        <w:tc>
          <w:tcPr>
            <w:tcW w:w="968"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sz w:val="24"/>
                <w:szCs w:val="24"/>
                <w:lang w:eastAsia="ru-RU"/>
              </w:rPr>
            </w:pPr>
            <w:r w:rsidRPr="00AA5C00">
              <w:rPr>
                <w:rFonts w:eastAsia="Times New Roman"/>
                <w:sz w:val="24"/>
                <w:szCs w:val="24"/>
                <w:lang w:eastAsia="ru-RU"/>
              </w:rPr>
              <w:t>2017 р.</w:t>
            </w:r>
          </w:p>
        </w:tc>
        <w:tc>
          <w:tcPr>
            <w:tcW w:w="969"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color w:val="000000"/>
                <w:sz w:val="24"/>
                <w:szCs w:val="24"/>
                <w:lang w:eastAsia="ru-RU"/>
              </w:rPr>
            </w:pPr>
            <w:r w:rsidRPr="00AA5C00">
              <w:rPr>
                <w:rFonts w:eastAsia="Times New Roman"/>
                <w:color w:val="000000"/>
                <w:sz w:val="24"/>
                <w:szCs w:val="24"/>
                <w:lang w:eastAsia="ru-RU"/>
              </w:rPr>
              <w:t>2018 р.</w:t>
            </w:r>
          </w:p>
        </w:tc>
        <w:tc>
          <w:tcPr>
            <w:tcW w:w="968"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sz w:val="24"/>
                <w:szCs w:val="24"/>
                <w:lang w:eastAsia="ru-RU"/>
              </w:rPr>
            </w:pPr>
            <w:r w:rsidRPr="00AA5C00">
              <w:rPr>
                <w:rFonts w:eastAsia="Times New Roman"/>
                <w:sz w:val="24"/>
                <w:szCs w:val="24"/>
                <w:lang w:eastAsia="ru-RU"/>
              </w:rPr>
              <w:t>2017 р.</w:t>
            </w:r>
          </w:p>
        </w:tc>
        <w:tc>
          <w:tcPr>
            <w:tcW w:w="969"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color w:val="000000"/>
                <w:sz w:val="24"/>
                <w:szCs w:val="24"/>
                <w:lang w:eastAsia="ru-RU"/>
              </w:rPr>
            </w:pPr>
            <w:r w:rsidRPr="00AA5C00">
              <w:rPr>
                <w:rFonts w:eastAsia="Times New Roman"/>
                <w:color w:val="000000"/>
                <w:sz w:val="24"/>
                <w:szCs w:val="24"/>
                <w:lang w:eastAsia="ru-RU"/>
              </w:rPr>
              <w:t>2018 р.</w:t>
            </w:r>
          </w:p>
        </w:tc>
        <w:tc>
          <w:tcPr>
            <w:tcW w:w="968"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sz w:val="24"/>
                <w:szCs w:val="24"/>
                <w:lang w:eastAsia="ru-RU"/>
              </w:rPr>
            </w:pPr>
            <w:r w:rsidRPr="00AA5C00">
              <w:rPr>
                <w:rFonts w:eastAsia="Times New Roman"/>
                <w:sz w:val="24"/>
                <w:szCs w:val="24"/>
                <w:lang w:eastAsia="ru-RU"/>
              </w:rPr>
              <w:t>2017 р.</w:t>
            </w:r>
          </w:p>
        </w:tc>
        <w:tc>
          <w:tcPr>
            <w:tcW w:w="969"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color w:val="000000"/>
                <w:sz w:val="24"/>
                <w:szCs w:val="24"/>
                <w:lang w:eastAsia="ru-RU"/>
              </w:rPr>
            </w:pPr>
            <w:r w:rsidRPr="00AA5C00">
              <w:rPr>
                <w:rFonts w:eastAsia="Times New Roman"/>
                <w:color w:val="000000"/>
                <w:sz w:val="24"/>
                <w:szCs w:val="24"/>
                <w:lang w:eastAsia="ru-RU"/>
              </w:rPr>
              <w:t>2018 р.</w:t>
            </w:r>
          </w:p>
        </w:tc>
      </w:tr>
      <w:tr w:rsidR="00CC2659" w:rsidRPr="00AA5C00" w:rsidTr="00CC2659">
        <w:trPr>
          <w:trHeight w:val="404"/>
          <w:jc w:val="center"/>
        </w:trPr>
        <w:tc>
          <w:tcPr>
            <w:tcW w:w="4394"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left"/>
              <w:rPr>
                <w:rFonts w:eastAsia="Times New Roman"/>
                <w:sz w:val="24"/>
                <w:szCs w:val="24"/>
                <w:lang w:eastAsia="ru-RU"/>
              </w:rPr>
            </w:pPr>
            <w:r w:rsidRPr="00AA5C00">
              <w:rPr>
                <w:rFonts w:eastAsia="Times New Roman"/>
                <w:sz w:val="24"/>
                <w:szCs w:val="24"/>
                <w:lang w:eastAsia="ru-RU"/>
              </w:rPr>
              <w:t>Забезпеченість  лікарями акушер-гінекологами</w:t>
            </w:r>
          </w:p>
        </w:tc>
        <w:tc>
          <w:tcPr>
            <w:tcW w:w="968"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sz w:val="24"/>
                <w:szCs w:val="24"/>
                <w:lang w:eastAsia="ru-RU"/>
              </w:rPr>
            </w:pPr>
            <w:r w:rsidRPr="00AA5C00">
              <w:rPr>
                <w:rFonts w:eastAsia="Times New Roman"/>
                <w:sz w:val="24"/>
                <w:szCs w:val="24"/>
                <w:lang w:eastAsia="ru-RU"/>
              </w:rPr>
              <w:t>4,45</w:t>
            </w:r>
          </w:p>
        </w:tc>
        <w:tc>
          <w:tcPr>
            <w:tcW w:w="969"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color w:val="000000"/>
                <w:sz w:val="24"/>
                <w:szCs w:val="24"/>
                <w:lang w:eastAsia="ru-RU"/>
              </w:rPr>
            </w:pPr>
            <w:r w:rsidRPr="00AA5C00">
              <w:rPr>
                <w:rFonts w:eastAsia="Times New Roman"/>
                <w:color w:val="000000"/>
                <w:sz w:val="24"/>
                <w:szCs w:val="24"/>
                <w:lang w:eastAsia="ru-RU"/>
              </w:rPr>
              <w:t>4,29</w:t>
            </w:r>
          </w:p>
        </w:tc>
        <w:tc>
          <w:tcPr>
            <w:tcW w:w="968"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sz w:val="24"/>
                <w:szCs w:val="24"/>
                <w:lang w:eastAsia="ru-RU"/>
              </w:rPr>
            </w:pPr>
            <w:r w:rsidRPr="00AA5C00">
              <w:rPr>
                <w:rFonts w:eastAsia="Times New Roman"/>
                <w:sz w:val="24"/>
                <w:szCs w:val="24"/>
                <w:lang w:eastAsia="ru-RU"/>
              </w:rPr>
              <w:t>4,85</w:t>
            </w:r>
          </w:p>
        </w:tc>
        <w:tc>
          <w:tcPr>
            <w:tcW w:w="969"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color w:val="000000"/>
                <w:sz w:val="24"/>
                <w:szCs w:val="24"/>
                <w:lang w:eastAsia="ru-RU"/>
              </w:rPr>
            </w:pPr>
            <w:r w:rsidRPr="00AA5C00">
              <w:rPr>
                <w:rFonts w:eastAsia="Times New Roman"/>
                <w:color w:val="000000"/>
                <w:sz w:val="24"/>
                <w:szCs w:val="24"/>
                <w:lang w:eastAsia="ru-RU"/>
              </w:rPr>
              <w:t>4,68</w:t>
            </w:r>
          </w:p>
        </w:tc>
        <w:tc>
          <w:tcPr>
            <w:tcW w:w="968"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sz w:val="24"/>
                <w:szCs w:val="24"/>
                <w:lang w:eastAsia="ru-RU"/>
              </w:rPr>
            </w:pPr>
            <w:r w:rsidRPr="00AA5C00">
              <w:rPr>
                <w:rFonts w:eastAsia="Times New Roman"/>
                <w:sz w:val="24"/>
                <w:szCs w:val="24"/>
                <w:lang w:eastAsia="ru-RU"/>
              </w:rPr>
              <w:t>0,81</w:t>
            </w:r>
          </w:p>
        </w:tc>
        <w:tc>
          <w:tcPr>
            <w:tcW w:w="969"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color w:val="000000"/>
                <w:sz w:val="24"/>
                <w:szCs w:val="24"/>
                <w:lang w:eastAsia="ru-RU"/>
              </w:rPr>
            </w:pPr>
            <w:r w:rsidRPr="00AA5C00">
              <w:rPr>
                <w:rFonts w:eastAsia="Times New Roman"/>
                <w:color w:val="000000"/>
                <w:sz w:val="24"/>
                <w:szCs w:val="24"/>
                <w:lang w:eastAsia="ru-RU"/>
              </w:rPr>
              <w:t>0,78</w:t>
            </w:r>
          </w:p>
        </w:tc>
      </w:tr>
      <w:tr w:rsidR="00CC2659" w:rsidRPr="00AA5C00" w:rsidTr="00CC2659">
        <w:trPr>
          <w:trHeight w:val="404"/>
          <w:jc w:val="center"/>
        </w:trPr>
        <w:tc>
          <w:tcPr>
            <w:tcW w:w="4394" w:type="dxa"/>
            <w:tcBorders>
              <w:top w:val="single" w:sz="4" w:space="0" w:color="auto"/>
              <w:left w:val="single" w:sz="4" w:space="0" w:color="auto"/>
              <w:bottom w:val="single" w:sz="4" w:space="0" w:color="auto"/>
              <w:right w:val="single" w:sz="4" w:space="0" w:color="auto"/>
            </w:tcBorders>
            <w:vAlign w:val="bottom"/>
          </w:tcPr>
          <w:p w:rsidR="00CC2659" w:rsidRPr="00AA5C00" w:rsidRDefault="00CC2659" w:rsidP="00CC2659">
            <w:pPr>
              <w:keepNext/>
              <w:jc w:val="left"/>
              <w:rPr>
                <w:rFonts w:eastAsia="Times New Roman"/>
                <w:sz w:val="24"/>
                <w:szCs w:val="24"/>
                <w:lang w:eastAsia="ru-RU"/>
              </w:rPr>
            </w:pPr>
            <w:r w:rsidRPr="00AA5C00">
              <w:rPr>
                <w:rFonts w:eastAsia="Times New Roman"/>
                <w:sz w:val="24"/>
                <w:szCs w:val="24"/>
                <w:lang w:eastAsia="ru-RU"/>
              </w:rPr>
              <w:t>Забезпеченість  лікарями  педіатрами-неонатологами</w:t>
            </w:r>
          </w:p>
        </w:tc>
        <w:tc>
          <w:tcPr>
            <w:tcW w:w="968"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sz w:val="24"/>
                <w:szCs w:val="24"/>
                <w:lang w:eastAsia="ru-RU"/>
              </w:rPr>
            </w:pPr>
            <w:r w:rsidRPr="00AA5C00">
              <w:rPr>
                <w:rFonts w:eastAsia="Times New Roman"/>
                <w:sz w:val="24"/>
                <w:szCs w:val="24"/>
                <w:lang w:eastAsia="ru-RU"/>
              </w:rPr>
              <w:t>3,9</w:t>
            </w:r>
          </w:p>
        </w:tc>
        <w:tc>
          <w:tcPr>
            <w:tcW w:w="969"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color w:val="000000"/>
                <w:sz w:val="24"/>
                <w:szCs w:val="24"/>
                <w:lang w:eastAsia="ru-RU"/>
              </w:rPr>
            </w:pPr>
            <w:r w:rsidRPr="00AA5C00">
              <w:rPr>
                <w:rFonts w:eastAsia="Times New Roman"/>
                <w:color w:val="000000"/>
                <w:sz w:val="24"/>
                <w:szCs w:val="24"/>
                <w:lang w:eastAsia="ru-RU"/>
              </w:rPr>
              <w:t>4,20</w:t>
            </w:r>
          </w:p>
        </w:tc>
        <w:tc>
          <w:tcPr>
            <w:tcW w:w="968"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sz w:val="24"/>
                <w:szCs w:val="24"/>
                <w:lang w:eastAsia="ru-RU"/>
              </w:rPr>
            </w:pPr>
            <w:r w:rsidRPr="00AA5C00">
              <w:rPr>
                <w:rFonts w:eastAsia="Times New Roman"/>
                <w:sz w:val="24"/>
                <w:szCs w:val="24"/>
                <w:lang w:eastAsia="ru-RU"/>
              </w:rPr>
              <w:t>4,25</w:t>
            </w:r>
          </w:p>
        </w:tc>
        <w:tc>
          <w:tcPr>
            <w:tcW w:w="969"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color w:val="000000"/>
                <w:sz w:val="24"/>
                <w:szCs w:val="24"/>
                <w:lang w:eastAsia="ru-RU"/>
              </w:rPr>
            </w:pPr>
            <w:r w:rsidRPr="00AA5C00">
              <w:rPr>
                <w:rFonts w:eastAsia="Times New Roman"/>
                <w:color w:val="000000"/>
                <w:sz w:val="24"/>
                <w:szCs w:val="24"/>
                <w:lang w:eastAsia="ru-RU"/>
              </w:rPr>
              <w:t>4,58</w:t>
            </w:r>
          </w:p>
        </w:tc>
        <w:tc>
          <w:tcPr>
            <w:tcW w:w="968"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sz w:val="24"/>
                <w:szCs w:val="24"/>
                <w:lang w:eastAsia="ru-RU"/>
              </w:rPr>
            </w:pPr>
            <w:r w:rsidRPr="00AA5C00">
              <w:rPr>
                <w:rFonts w:eastAsia="Times New Roman"/>
                <w:sz w:val="24"/>
                <w:szCs w:val="24"/>
                <w:lang w:eastAsia="ru-RU"/>
              </w:rPr>
              <w:t>0,71</w:t>
            </w:r>
          </w:p>
        </w:tc>
        <w:tc>
          <w:tcPr>
            <w:tcW w:w="969"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color w:val="000000"/>
                <w:sz w:val="24"/>
                <w:szCs w:val="24"/>
                <w:lang w:eastAsia="ru-RU"/>
              </w:rPr>
            </w:pPr>
            <w:r w:rsidRPr="00AA5C00">
              <w:rPr>
                <w:rFonts w:eastAsia="Times New Roman"/>
                <w:color w:val="000000"/>
                <w:sz w:val="24"/>
                <w:szCs w:val="24"/>
                <w:lang w:eastAsia="ru-RU"/>
              </w:rPr>
              <w:t>0,76</w:t>
            </w:r>
          </w:p>
        </w:tc>
      </w:tr>
      <w:tr w:rsidR="00CC2659" w:rsidRPr="00AA5C00" w:rsidTr="00CC2659">
        <w:trPr>
          <w:trHeight w:val="404"/>
          <w:jc w:val="center"/>
        </w:trPr>
        <w:tc>
          <w:tcPr>
            <w:tcW w:w="4394" w:type="dxa"/>
            <w:tcBorders>
              <w:top w:val="single" w:sz="4" w:space="0" w:color="auto"/>
              <w:left w:val="single" w:sz="4" w:space="0" w:color="auto"/>
              <w:bottom w:val="single" w:sz="4" w:space="0" w:color="auto"/>
              <w:right w:val="single" w:sz="4" w:space="0" w:color="auto"/>
            </w:tcBorders>
            <w:vAlign w:val="bottom"/>
          </w:tcPr>
          <w:p w:rsidR="00CC2659" w:rsidRPr="00AA5C00" w:rsidRDefault="00CC2659" w:rsidP="00CC2659">
            <w:pPr>
              <w:keepNext/>
              <w:jc w:val="left"/>
              <w:rPr>
                <w:rFonts w:eastAsia="Times New Roman"/>
                <w:sz w:val="24"/>
                <w:szCs w:val="24"/>
                <w:lang w:eastAsia="ru-RU"/>
              </w:rPr>
            </w:pPr>
            <w:r w:rsidRPr="00AA5C00">
              <w:rPr>
                <w:rFonts w:eastAsia="Times New Roman"/>
                <w:sz w:val="24"/>
                <w:szCs w:val="24"/>
                <w:lang w:eastAsia="ru-RU"/>
              </w:rPr>
              <w:t>Питома вага атестованих лікарів акушер-гінекологів</w:t>
            </w:r>
          </w:p>
        </w:tc>
        <w:tc>
          <w:tcPr>
            <w:tcW w:w="968"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sz w:val="24"/>
                <w:szCs w:val="24"/>
                <w:lang w:eastAsia="ru-RU"/>
              </w:rPr>
            </w:pPr>
            <w:r w:rsidRPr="00AA5C00">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color w:val="000000"/>
                <w:sz w:val="24"/>
                <w:szCs w:val="24"/>
                <w:lang w:eastAsia="ru-RU"/>
              </w:rPr>
            </w:pPr>
            <w:r w:rsidRPr="00AA5C00">
              <w:rPr>
                <w:rFonts w:eastAsia="Times New Roman"/>
                <w:color w:val="000000"/>
                <w:sz w:val="24"/>
                <w:szCs w:val="24"/>
                <w:lang w:eastAsia="ru-RU"/>
              </w:rPr>
              <w:t>88,83</w:t>
            </w:r>
          </w:p>
        </w:tc>
        <w:tc>
          <w:tcPr>
            <w:tcW w:w="968"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sz w:val="24"/>
                <w:szCs w:val="24"/>
                <w:lang w:eastAsia="ru-RU"/>
              </w:rPr>
            </w:pPr>
            <w:r w:rsidRPr="00AA5C00">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color w:val="000000"/>
                <w:sz w:val="24"/>
                <w:szCs w:val="24"/>
                <w:lang w:eastAsia="ru-RU"/>
              </w:rPr>
            </w:pPr>
            <w:r w:rsidRPr="00AA5C00">
              <w:rPr>
                <w:rFonts w:eastAsia="Times New Roman"/>
                <w:color w:val="000000"/>
                <w:sz w:val="24"/>
                <w:szCs w:val="24"/>
                <w:lang w:eastAsia="ru-RU"/>
              </w:rPr>
              <w:t>5,92</w:t>
            </w:r>
          </w:p>
        </w:tc>
        <w:tc>
          <w:tcPr>
            <w:tcW w:w="968"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sz w:val="24"/>
                <w:szCs w:val="24"/>
                <w:lang w:eastAsia="ru-RU"/>
              </w:rPr>
            </w:pPr>
            <w:r w:rsidRPr="00AA5C00">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color w:val="000000"/>
                <w:sz w:val="24"/>
                <w:szCs w:val="24"/>
                <w:lang w:eastAsia="ru-RU"/>
              </w:rPr>
            </w:pPr>
            <w:r w:rsidRPr="00AA5C00">
              <w:rPr>
                <w:rFonts w:eastAsia="Times New Roman"/>
                <w:color w:val="000000"/>
                <w:sz w:val="24"/>
                <w:szCs w:val="24"/>
                <w:lang w:eastAsia="ru-RU"/>
              </w:rPr>
              <w:t>0,99</w:t>
            </w:r>
          </w:p>
        </w:tc>
      </w:tr>
      <w:tr w:rsidR="00CC2659" w:rsidRPr="00AA5C00" w:rsidTr="00CC2659">
        <w:trPr>
          <w:trHeight w:val="404"/>
          <w:jc w:val="center"/>
        </w:trPr>
        <w:tc>
          <w:tcPr>
            <w:tcW w:w="4394" w:type="dxa"/>
            <w:tcBorders>
              <w:top w:val="single" w:sz="4" w:space="0" w:color="auto"/>
              <w:left w:val="single" w:sz="4" w:space="0" w:color="auto"/>
              <w:bottom w:val="single" w:sz="4" w:space="0" w:color="auto"/>
              <w:right w:val="single" w:sz="4" w:space="0" w:color="auto"/>
            </w:tcBorders>
            <w:vAlign w:val="bottom"/>
          </w:tcPr>
          <w:p w:rsidR="00CC2659" w:rsidRPr="00AA5C00" w:rsidRDefault="00CC2659" w:rsidP="00CC2659">
            <w:pPr>
              <w:keepNext/>
              <w:jc w:val="left"/>
              <w:rPr>
                <w:rFonts w:eastAsia="Times New Roman"/>
                <w:sz w:val="24"/>
                <w:szCs w:val="24"/>
                <w:lang w:eastAsia="ru-RU"/>
              </w:rPr>
            </w:pPr>
            <w:r w:rsidRPr="00AA5C00">
              <w:rPr>
                <w:rFonts w:eastAsia="Times New Roman"/>
                <w:sz w:val="24"/>
                <w:szCs w:val="24"/>
                <w:lang w:eastAsia="ru-RU"/>
              </w:rPr>
              <w:t>Питома вага атестованих лікарів педіатрів-неонатологів</w:t>
            </w:r>
          </w:p>
        </w:tc>
        <w:tc>
          <w:tcPr>
            <w:tcW w:w="968"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sz w:val="24"/>
                <w:szCs w:val="24"/>
                <w:lang w:eastAsia="ru-RU"/>
              </w:rPr>
            </w:pPr>
            <w:r w:rsidRPr="00AA5C00">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color w:val="000000"/>
                <w:sz w:val="24"/>
                <w:szCs w:val="24"/>
                <w:lang w:eastAsia="ru-RU"/>
              </w:rPr>
            </w:pPr>
            <w:r w:rsidRPr="00AA5C00">
              <w:rPr>
                <w:rFonts w:eastAsia="Times New Roman"/>
                <w:color w:val="000000"/>
                <w:sz w:val="24"/>
                <w:szCs w:val="24"/>
                <w:lang w:eastAsia="ru-RU"/>
              </w:rPr>
              <w:t>65,05</w:t>
            </w:r>
          </w:p>
        </w:tc>
        <w:tc>
          <w:tcPr>
            <w:tcW w:w="968"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sz w:val="24"/>
                <w:szCs w:val="24"/>
                <w:lang w:eastAsia="ru-RU"/>
              </w:rPr>
            </w:pPr>
            <w:r w:rsidRPr="00AA5C00">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color w:val="000000"/>
                <w:sz w:val="24"/>
                <w:szCs w:val="24"/>
                <w:lang w:eastAsia="ru-RU"/>
              </w:rPr>
            </w:pPr>
            <w:r w:rsidRPr="00AA5C00">
              <w:rPr>
                <w:rFonts w:eastAsia="Times New Roman"/>
                <w:color w:val="000000"/>
                <w:sz w:val="24"/>
                <w:szCs w:val="24"/>
                <w:lang w:eastAsia="ru-RU"/>
              </w:rPr>
              <w:t>4,88</w:t>
            </w:r>
          </w:p>
        </w:tc>
        <w:tc>
          <w:tcPr>
            <w:tcW w:w="968"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sz w:val="24"/>
                <w:szCs w:val="24"/>
                <w:lang w:eastAsia="ru-RU"/>
              </w:rPr>
            </w:pPr>
            <w:r w:rsidRPr="00AA5C00">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color w:val="000000"/>
                <w:sz w:val="24"/>
                <w:szCs w:val="24"/>
                <w:lang w:eastAsia="ru-RU"/>
              </w:rPr>
            </w:pPr>
            <w:r w:rsidRPr="00AA5C00">
              <w:rPr>
                <w:rFonts w:eastAsia="Times New Roman"/>
                <w:color w:val="000000"/>
                <w:sz w:val="24"/>
                <w:szCs w:val="24"/>
                <w:lang w:eastAsia="ru-RU"/>
              </w:rPr>
              <w:t>0,81</w:t>
            </w:r>
          </w:p>
        </w:tc>
      </w:tr>
      <w:tr w:rsidR="00CC2659" w:rsidRPr="00AA5C00" w:rsidTr="00CC2659">
        <w:trPr>
          <w:trHeight w:val="319"/>
          <w:jc w:val="center"/>
        </w:trPr>
        <w:tc>
          <w:tcPr>
            <w:tcW w:w="4394"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left"/>
              <w:rPr>
                <w:rFonts w:eastAsia="Times New Roman"/>
                <w:sz w:val="24"/>
                <w:szCs w:val="24"/>
                <w:lang w:eastAsia="ru-RU"/>
              </w:rPr>
            </w:pPr>
            <w:r w:rsidRPr="00AA5C00">
              <w:rPr>
                <w:rFonts w:eastAsia="Times New Roman"/>
                <w:sz w:val="24"/>
                <w:szCs w:val="24"/>
                <w:lang w:eastAsia="ru-RU"/>
              </w:rPr>
              <w:t xml:space="preserve">Своєчасність постановки на облік вагітних </w:t>
            </w:r>
          </w:p>
        </w:tc>
        <w:tc>
          <w:tcPr>
            <w:tcW w:w="968"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sz w:val="24"/>
                <w:szCs w:val="24"/>
                <w:lang w:eastAsia="ru-RU"/>
              </w:rPr>
            </w:pPr>
            <w:r w:rsidRPr="00AA5C00">
              <w:rPr>
                <w:rFonts w:eastAsia="Times New Roman"/>
                <w:sz w:val="24"/>
                <w:szCs w:val="24"/>
                <w:lang w:eastAsia="ru-RU"/>
              </w:rPr>
              <w:t>91,48</w:t>
            </w:r>
          </w:p>
        </w:tc>
        <w:tc>
          <w:tcPr>
            <w:tcW w:w="969"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color w:val="000000"/>
                <w:sz w:val="24"/>
                <w:szCs w:val="24"/>
                <w:lang w:eastAsia="ru-RU"/>
              </w:rPr>
            </w:pPr>
            <w:r w:rsidRPr="00AA5C00">
              <w:rPr>
                <w:rFonts w:eastAsia="Times New Roman"/>
                <w:color w:val="000000"/>
                <w:sz w:val="24"/>
                <w:szCs w:val="24"/>
                <w:lang w:eastAsia="ru-RU"/>
              </w:rPr>
              <w:t>91,09</w:t>
            </w:r>
          </w:p>
        </w:tc>
        <w:tc>
          <w:tcPr>
            <w:tcW w:w="968"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sz w:val="24"/>
                <w:szCs w:val="24"/>
                <w:lang w:eastAsia="ru-RU"/>
              </w:rPr>
            </w:pPr>
            <w:r w:rsidRPr="00AA5C00">
              <w:rPr>
                <w:rFonts w:eastAsia="Times New Roman"/>
                <w:sz w:val="24"/>
                <w:szCs w:val="24"/>
                <w:lang w:eastAsia="ru-RU"/>
              </w:rPr>
              <w:t>6,74</w:t>
            </w:r>
          </w:p>
        </w:tc>
        <w:tc>
          <w:tcPr>
            <w:tcW w:w="969"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color w:val="000000"/>
                <w:sz w:val="24"/>
                <w:szCs w:val="24"/>
                <w:lang w:eastAsia="ru-RU"/>
              </w:rPr>
            </w:pPr>
            <w:r w:rsidRPr="00AA5C00">
              <w:rPr>
                <w:rFonts w:eastAsia="Times New Roman"/>
                <w:color w:val="000000"/>
                <w:sz w:val="24"/>
                <w:szCs w:val="24"/>
                <w:lang w:eastAsia="ru-RU"/>
              </w:rPr>
              <w:t>6,73</w:t>
            </w:r>
          </w:p>
        </w:tc>
        <w:tc>
          <w:tcPr>
            <w:tcW w:w="968"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sz w:val="24"/>
                <w:szCs w:val="24"/>
                <w:lang w:eastAsia="ru-RU"/>
              </w:rPr>
            </w:pPr>
            <w:r w:rsidRPr="00AA5C00">
              <w:rPr>
                <w:rFonts w:eastAsia="Times New Roman"/>
                <w:sz w:val="24"/>
                <w:szCs w:val="24"/>
                <w:lang w:eastAsia="ru-RU"/>
              </w:rPr>
              <w:t>0,96</w:t>
            </w:r>
          </w:p>
        </w:tc>
        <w:tc>
          <w:tcPr>
            <w:tcW w:w="969"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color w:val="000000"/>
                <w:sz w:val="24"/>
                <w:szCs w:val="24"/>
                <w:lang w:eastAsia="ru-RU"/>
              </w:rPr>
            </w:pPr>
            <w:r w:rsidRPr="00AA5C00">
              <w:rPr>
                <w:rFonts w:eastAsia="Times New Roman"/>
                <w:color w:val="000000"/>
                <w:sz w:val="24"/>
                <w:szCs w:val="24"/>
                <w:lang w:eastAsia="ru-RU"/>
              </w:rPr>
              <w:t>0,96</w:t>
            </w:r>
          </w:p>
        </w:tc>
      </w:tr>
      <w:tr w:rsidR="00CC2659" w:rsidRPr="00AA5C00" w:rsidTr="00CC2659">
        <w:trPr>
          <w:trHeight w:val="284"/>
          <w:jc w:val="center"/>
        </w:trPr>
        <w:tc>
          <w:tcPr>
            <w:tcW w:w="4394"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left"/>
              <w:rPr>
                <w:rFonts w:eastAsia="Times New Roman"/>
                <w:sz w:val="24"/>
                <w:szCs w:val="24"/>
                <w:lang w:eastAsia="ru-RU"/>
              </w:rPr>
            </w:pPr>
            <w:r w:rsidRPr="00AA5C00">
              <w:rPr>
                <w:rFonts w:eastAsia="Times New Roman"/>
                <w:sz w:val="24"/>
                <w:szCs w:val="24"/>
                <w:lang w:eastAsia="ru-RU"/>
              </w:rPr>
              <w:t>Частота анемій вагітних</w:t>
            </w:r>
          </w:p>
        </w:tc>
        <w:tc>
          <w:tcPr>
            <w:tcW w:w="968"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sz w:val="24"/>
                <w:szCs w:val="24"/>
                <w:lang w:eastAsia="ru-RU"/>
              </w:rPr>
            </w:pPr>
            <w:r w:rsidRPr="00AA5C00">
              <w:rPr>
                <w:rFonts w:eastAsia="Times New Roman"/>
                <w:sz w:val="24"/>
                <w:szCs w:val="24"/>
                <w:lang w:eastAsia="ru-RU"/>
              </w:rPr>
              <w:t>29,7</w:t>
            </w:r>
          </w:p>
        </w:tc>
        <w:tc>
          <w:tcPr>
            <w:tcW w:w="969"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color w:val="000000"/>
                <w:sz w:val="24"/>
                <w:szCs w:val="24"/>
                <w:lang w:eastAsia="ru-RU"/>
              </w:rPr>
            </w:pPr>
            <w:r w:rsidRPr="00AA5C00">
              <w:rPr>
                <w:rFonts w:eastAsia="Times New Roman"/>
                <w:color w:val="000000"/>
                <w:sz w:val="24"/>
                <w:szCs w:val="24"/>
                <w:lang w:eastAsia="ru-RU"/>
              </w:rPr>
              <w:t>28,86</w:t>
            </w:r>
          </w:p>
        </w:tc>
        <w:tc>
          <w:tcPr>
            <w:tcW w:w="968"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sz w:val="24"/>
                <w:szCs w:val="24"/>
                <w:lang w:eastAsia="ru-RU"/>
              </w:rPr>
            </w:pPr>
            <w:r w:rsidRPr="00AA5C00">
              <w:rPr>
                <w:rFonts w:eastAsia="Times New Roman"/>
                <w:sz w:val="24"/>
                <w:szCs w:val="24"/>
                <w:lang w:eastAsia="ru-RU"/>
              </w:rPr>
              <w:t>2,06</w:t>
            </w:r>
          </w:p>
        </w:tc>
        <w:tc>
          <w:tcPr>
            <w:tcW w:w="969"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color w:val="000000"/>
                <w:sz w:val="24"/>
                <w:szCs w:val="24"/>
                <w:lang w:eastAsia="ru-RU"/>
              </w:rPr>
            </w:pPr>
            <w:r w:rsidRPr="00AA5C00">
              <w:rPr>
                <w:rFonts w:eastAsia="Times New Roman"/>
                <w:color w:val="000000"/>
                <w:sz w:val="24"/>
                <w:szCs w:val="24"/>
                <w:lang w:eastAsia="ru-RU"/>
              </w:rPr>
              <w:t>2,60</w:t>
            </w:r>
          </w:p>
        </w:tc>
        <w:tc>
          <w:tcPr>
            <w:tcW w:w="968"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sz w:val="24"/>
                <w:szCs w:val="24"/>
                <w:lang w:eastAsia="ru-RU"/>
              </w:rPr>
            </w:pPr>
            <w:r w:rsidRPr="00AA5C00">
              <w:rPr>
                <w:rFonts w:eastAsia="Times New Roman"/>
                <w:sz w:val="24"/>
                <w:szCs w:val="24"/>
                <w:lang w:eastAsia="ru-RU"/>
              </w:rPr>
              <w:t>0,52</w:t>
            </w:r>
          </w:p>
        </w:tc>
        <w:tc>
          <w:tcPr>
            <w:tcW w:w="969"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color w:val="000000"/>
                <w:sz w:val="24"/>
                <w:szCs w:val="24"/>
                <w:lang w:eastAsia="ru-RU"/>
              </w:rPr>
            </w:pPr>
            <w:r w:rsidRPr="00AA5C00">
              <w:rPr>
                <w:rFonts w:eastAsia="Times New Roman"/>
                <w:color w:val="000000"/>
                <w:sz w:val="24"/>
                <w:szCs w:val="24"/>
                <w:lang w:eastAsia="ru-RU"/>
              </w:rPr>
              <w:t>0,65</w:t>
            </w:r>
          </w:p>
        </w:tc>
      </w:tr>
      <w:tr w:rsidR="00CC2659" w:rsidRPr="00AA5C00" w:rsidTr="00CC2659">
        <w:trPr>
          <w:trHeight w:val="340"/>
          <w:jc w:val="center"/>
        </w:trPr>
        <w:tc>
          <w:tcPr>
            <w:tcW w:w="4394"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left"/>
              <w:rPr>
                <w:rFonts w:eastAsia="Times New Roman"/>
                <w:sz w:val="24"/>
                <w:szCs w:val="24"/>
                <w:lang w:eastAsia="ru-RU"/>
              </w:rPr>
            </w:pPr>
            <w:r w:rsidRPr="00AA5C00">
              <w:rPr>
                <w:rFonts w:eastAsia="Times New Roman"/>
                <w:sz w:val="24"/>
                <w:szCs w:val="24"/>
                <w:lang w:eastAsia="ru-RU"/>
              </w:rPr>
              <w:t>Частота прееклампсій та еклампсій вагітних</w:t>
            </w:r>
          </w:p>
        </w:tc>
        <w:tc>
          <w:tcPr>
            <w:tcW w:w="968"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sz w:val="24"/>
                <w:szCs w:val="24"/>
                <w:lang w:eastAsia="ru-RU"/>
              </w:rPr>
            </w:pPr>
            <w:r w:rsidRPr="00AA5C00">
              <w:rPr>
                <w:rFonts w:eastAsia="Times New Roman"/>
                <w:sz w:val="24"/>
                <w:szCs w:val="24"/>
                <w:lang w:eastAsia="ru-RU"/>
              </w:rPr>
              <w:t>1,17</w:t>
            </w:r>
          </w:p>
        </w:tc>
        <w:tc>
          <w:tcPr>
            <w:tcW w:w="969"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color w:val="000000"/>
                <w:sz w:val="24"/>
                <w:szCs w:val="24"/>
                <w:lang w:eastAsia="ru-RU"/>
              </w:rPr>
            </w:pPr>
            <w:r w:rsidRPr="00AA5C00">
              <w:rPr>
                <w:rFonts w:eastAsia="Times New Roman"/>
                <w:color w:val="000000"/>
                <w:sz w:val="24"/>
                <w:szCs w:val="24"/>
                <w:lang w:eastAsia="ru-RU"/>
              </w:rPr>
              <w:t>1,14</w:t>
            </w:r>
          </w:p>
        </w:tc>
        <w:tc>
          <w:tcPr>
            <w:tcW w:w="968"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sz w:val="24"/>
                <w:szCs w:val="24"/>
                <w:lang w:eastAsia="ru-RU"/>
              </w:rPr>
            </w:pPr>
            <w:r w:rsidRPr="00AA5C00">
              <w:rPr>
                <w:rFonts w:eastAsia="Times New Roman"/>
                <w:sz w:val="24"/>
                <w:szCs w:val="24"/>
                <w:lang w:eastAsia="ru-RU"/>
              </w:rPr>
              <w:t>7,00</w:t>
            </w:r>
          </w:p>
        </w:tc>
        <w:tc>
          <w:tcPr>
            <w:tcW w:w="969"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color w:val="000000"/>
                <w:sz w:val="24"/>
                <w:szCs w:val="24"/>
                <w:lang w:eastAsia="ru-RU"/>
              </w:rPr>
            </w:pPr>
            <w:r w:rsidRPr="00AA5C00">
              <w:rPr>
                <w:rFonts w:eastAsia="Times New Roman"/>
                <w:color w:val="000000"/>
                <w:sz w:val="24"/>
                <w:szCs w:val="24"/>
                <w:lang w:eastAsia="ru-RU"/>
              </w:rPr>
              <w:t>7,0</w:t>
            </w:r>
          </w:p>
        </w:tc>
        <w:tc>
          <w:tcPr>
            <w:tcW w:w="968"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sz w:val="24"/>
                <w:szCs w:val="24"/>
                <w:lang w:eastAsia="ru-RU"/>
              </w:rPr>
            </w:pPr>
            <w:r w:rsidRPr="00AA5C00">
              <w:rPr>
                <w:rFonts w:eastAsia="Times New Roman"/>
                <w:sz w:val="24"/>
                <w:szCs w:val="24"/>
                <w:lang w:eastAsia="ru-RU"/>
              </w:rPr>
              <w:t>1,00</w:t>
            </w:r>
          </w:p>
        </w:tc>
        <w:tc>
          <w:tcPr>
            <w:tcW w:w="969"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color w:val="000000"/>
                <w:sz w:val="24"/>
                <w:szCs w:val="24"/>
                <w:lang w:eastAsia="ru-RU"/>
              </w:rPr>
            </w:pPr>
            <w:r w:rsidRPr="00AA5C00">
              <w:rPr>
                <w:rFonts w:eastAsia="Times New Roman"/>
                <w:color w:val="000000"/>
                <w:sz w:val="24"/>
                <w:szCs w:val="24"/>
                <w:lang w:eastAsia="ru-RU"/>
              </w:rPr>
              <w:t>1,00</w:t>
            </w:r>
          </w:p>
        </w:tc>
      </w:tr>
      <w:tr w:rsidR="00CC2659" w:rsidRPr="00AA5C00" w:rsidTr="00CC2659">
        <w:trPr>
          <w:trHeight w:val="418"/>
          <w:jc w:val="center"/>
        </w:trPr>
        <w:tc>
          <w:tcPr>
            <w:tcW w:w="4394"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left"/>
              <w:rPr>
                <w:rFonts w:eastAsia="Times New Roman"/>
                <w:sz w:val="24"/>
                <w:szCs w:val="24"/>
                <w:lang w:eastAsia="ru-RU"/>
              </w:rPr>
            </w:pPr>
            <w:r w:rsidRPr="00AA5C00">
              <w:rPr>
                <w:rFonts w:eastAsia="Times New Roman"/>
                <w:sz w:val="24"/>
                <w:szCs w:val="24"/>
                <w:lang w:eastAsia="ru-RU"/>
              </w:rPr>
              <w:t>Співвідношення безпечних методів абортів до небезпечних</w:t>
            </w:r>
          </w:p>
        </w:tc>
        <w:tc>
          <w:tcPr>
            <w:tcW w:w="968"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sz w:val="24"/>
                <w:szCs w:val="24"/>
                <w:lang w:eastAsia="ru-RU"/>
              </w:rPr>
            </w:pPr>
            <w:r w:rsidRPr="00AA5C00">
              <w:rPr>
                <w:rFonts w:eastAsia="Times New Roman"/>
                <w:sz w:val="24"/>
                <w:szCs w:val="24"/>
                <w:lang w:eastAsia="ru-RU"/>
              </w:rPr>
              <w:t>5,24</w:t>
            </w:r>
          </w:p>
        </w:tc>
        <w:tc>
          <w:tcPr>
            <w:tcW w:w="969"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color w:val="000000"/>
                <w:sz w:val="24"/>
                <w:szCs w:val="24"/>
                <w:lang w:eastAsia="ru-RU"/>
              </w:rPr>
            </w:pPr>
            <w:r w:rsidRPr="00AA5C00">
              <w:rPr>
                <w:rFonts w:eastAsia="Times New Roman"/>
                <w:color w:val="000000"/>
                <w:sz w:val="24"/>
                <w:szCs w:val="24"/>
                <w:lang w:eastAsia="ru-RU"/>
              </w:rPr>
              <w:t>5,62</w:t>
            </w:r>
          </w:p>
        </w:tc>
        <w:tc>
          <w:tcPr>
            <w:tcW w:w="968"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sz w:val="24"/>
                <w:szCs w:val="24"/>
                <w:lang w:eastAsia="ru-RU"/>
              </w:rPr>
            </w:pPr>
            <w:r w:rsidRPr="00AA5C00">
              <w:rPr>
                <w:rFonts w:eastAsia="Times New Roman"/>
                <w:sz w:val="24"/>
                <w:szCs w:val="24"/>
                <w:lang w:eastAsia="ru-RU"/>
              </w:rPr>
              <w:t>3,14</w:t>
            </w:r>
          </w:p>
        </w:tc>
        <w:tc>
          <w:tcPr>
            <w:tcW w:w="969"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color w:val="000000"/>
                <w:sz w:val="24"/>
                <w:szCs w:val="24"/>
                <w:lang w:eastAsia="ru-RU"/>
              </w:rPr>
            </w:pPr>
            <w:r w:rsidRPr="00AA5C00">
              <w:rPr>
                <w:rFonts w:eastAsia="Times New Roman"/>
                <w:color w:val="000000"/>
                <w:sz w:val="24"/>
                <w:szCs w:val="24"/>
                <w:lang w:eastAsia="ru-RU"/>
              </w:rPr>
              <w:t>4,22</w:t>
            </w:r>
          </w:p>
        </w:tc>
        <w:tc>
          <w:tcPr>
            <w:tcW w:w="968"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sz w:val="24"/>
                <w:szCs w:val="24"/>
                <w:lang w:eastAsia="ru-RU"/>
              </w:rPr>
            </w:pPr>
            <w:r w:rsidRPr="00AA5C00">
              <w:rPr>
                <w:rFonts w:eastAsia="Times New Roman"/>
                <w:sz w:val="24"/>
                <w:szCs w:val="24"/>
                <w:lang w:eastAsia="ru-RU"/>
              </w:rPr>
              <w:t>0,52</w:t>
            </w:r>
          </w:p>
        </w:tc>
        <w:tc>
          <w:tcPr>
            <w:tcW w:w="969"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color w:val="000000"/>
                <w:sz w:val="24"/>
                <w:szCs w:val="24"/>
                <w:lang w:eastAsia="ru-RU"/>
              </w:rPr>
            </w:pPr>
            <w:r w:rsidRPr="00AA5C00">
              <w:rPr>
                <w:rFonts w:eastAsia="Times New Roman"/>
                <w:color w:val="000000"/>
                <w:sz w:val="24"/>
                <w:szCs w:val="24"/>
                <w:lang w:eastAsia="ru-RU"/>
              </w:rPr>
              <w:t>0,70</w:t>
            </w:r>
          </w:p>
        </w:tc>
      </w:tr>
      <w:tr w:rsidR="00CC2659" w:rsidRPr="00AA5C00" w:rsidTr="00CC2659">
        <w:trPr>
          <w:trHeight w:val="600"/>
          <w:jc w:val="center"/>
        </w:trPr>
        <w:tc>
          <w:tcPr>
            <w:tcW w:w="4394" w:type="dxa"/>
            <w:tcBorders>
              <w:top w:val="single" w:sz="4" w:space="0" w:color="auto"/>
              <w:left w:val="single" w:sz="4" w:space="0" w:color="auto"/>
              <w:bottom w:val="single" w:sz="4" w:space="0" w:color="auto"/>
              <w:right w:val="single" w:sz="4" w:space="0" w:color="auto"/>
            </w:tcBorders>
            <w:vAlign w:val="bottom"/>
          </w:tcPr>
          <w:p w:rsidR="00CC2659" w:rsidRPr="00AA5C00" w:rsidRDefault="00CC2659" w:rsidP="00CC2659">
            <w:pPr>
              <w:keepNext/>
              <w:jc w:val="left"/>
              <w:rPr>
                <w:rFonts w:eastAsia="Times New Roman"/>
                <w:sz w:val="24"/>
                <w:szCs w:val="24"/>
                <w:lang w:eastAsia="ru-RU"/>
              </w:rPr>
            </w:pPr>
            <w:r w:rsidRPr="00AA5C00">
              <w:rPr>
                <w:rFonts w:eastAsia="Times New Roman"/>
                <w:sz w:val="24"/>
                <w:szCs w:val="24"/>
                <w:lang w:eastAsia="ru-RU"/>
              </w:rPr>
              <w:t>Питома вага хворих виявлення в ранніх стадіях (І – ІІ) серед хворих з вперше встановленим діагнозом онкологія молочної залози</w:t>
            </w:r>
          </w:p>
        </w:tc>
        <w:tc>
          <w:tcPr>
            <w:tcW w:w="968"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sz w:val="24"/>
                <w:szCs w:val="24"/>
                <w:lang w:eastAsia="ru-RU"/>
              </w:rPr>
            </w:pPr>
            <w:r w:rsidRPr="00AA5C00">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color w:val="000000"/>
                <w:sz w:val="24"/>
                <w:szCs w:val="24"/>
                <w:lang w:eastAsia="ru-RU"/>
              </w:rPr>
            </w:pPr>
            <w:r w:rsidRPr="00AA5C00">
              <w:rPr>
                <w:rFonts w:eastAsia="Times New Roman"/>
                <w:color w:val="000000"/>
                <w:sz w:val="24"/>
                <w:szCs w:val="24"/>
                <w:lang w:eastAsia="ru-RU"/>
              </w:rPr>
              <w:t>66,4</w:t>
            </w:r>
          </w:p>
        </w:tc>
        <w:tc>
          <w:tcPr>
            <w:tcW w:w="968"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sz w:val="24"/>
                <w:szCs w:val="24"/>
                <w:lang w:eastAsia="ru-RU"/>
              </w:rPr>
            </w:pPr>
            <w:r w:rsidRPr="00AA5C00">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color w:val="000000"/>
                <w:sz w:val="24"/>
                <w:szCs w:val="24"/>
                <w:lang w:eastAsia="ru-RU"/>
              </w:rPr>
            </w:pPr>
            <w:r w:rsidRPr="00AA5C00">
              <w:rPr>
                <w:rFonts w:eastAsia="Times New Roman"/>
                <w:color w:val="000000"/>
                <w:sz w:val="24"/>
                <w:szCs w:val="24"/>
                <w:lang w:eastAsia="ru-RU"/>
              </w:rPr>
              <w:t>5,05</w:t>
            </w:r>
          </w:p>
        </w:tc>
        <w:tc>
          <w:tcPr>
            <w:tcW w:w="968"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sz w:val="24"/>
                <w:szCs w:val="24"/>
                <w:lang w:eastAsia="ru-RU"/>
              </w:rPr>
            </w:pPr>
            <w:r w:rsidRPr="00AA5C00">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color w:val="000000"/>
                <w:sz w:val="24"/>
                <w:szCs w:val="24"/>
                <w:lang w:eastAsia="ru-RU"/>
              </w:rPr>
            </w:pPr>
            <w:r w:rsidRPr="00AA5C00">
              <w:rPr>
                <w:rFonts w:eastAsia="Times New Roman"/>
                <w:color w:val="000000"/>
                <w:sz w:val="24"/>
                <w:szCs w:val="24"/>
                <w:lang w:eastAsia="ru-RU"/>
              </w:rPr>
              <w:t>0,84</w:t>
            </w:r>
          </w:p>
        </w:tc>
      </w:tr>
      <w:tr w:rsidR="00CC2659" w:rsidRPr="00AA5C00" w:rsidTr="00CC2659">
        <w:trPr>
          <w:trHeight w:val="605"/>
          <w:jc w:val="center"/>
        </w:trPr>
        <w:tc>
          <w:tcPr>
            <w:tcW w:w="4394" w:type="dxa"/>
            <w:tcBorders>
              <w:top w:val="single" w:sz="4" w:space="0" w:color="auto"/>
              <w:left w:val="single" w:sz="4" w:space="0" w:color="auto"/>
              <w:bottom w:val="single" w:sz="4" w:space="0" w:color="auto"/>
              <w:right w:val="single" w:sz="4" w:space="0" w:color="auto"/>
            </w:tcBorders>
            <w:vAlign w:val="bottom"/>
          </w:tcPr>
          <w:p w:rsidR="00CC2659" w:rsidRPr="00AA5C00" w:rsidRDefault="00CC2659" w:rsidP="00CC2659">
            <w:pPr>
              <w:keepNext/>
              <w:jc w:val="left"/>
              <w:rPr>
                <w:rFonts w:eastAsia="Times New Roman"/>
                <w:sz w:val="24"/>
                <w:szCs w:val="24"/>
                <w:lang w:eastAsia="ru-RU"/>
              </w:rPr>
            </w:pPr>
            <w:r w:rsidRPr="00AA5C00">
              <w:rPr>
                <w:rFonts w:eastAsia="Times New Roman"/>
                <w:sz w:val="24"/>
                <w:szCs w:val="24"/>
                <w:lang w:eastAsia="ru-RU"/>
              </w:rPr>
              <w:t>Питома вага хворих виявлення в ранніх стадіях (І – ІІ) серед хворих з вперше встановленим діагнозом онкологія шийки матки</w:t>
            </w:r>
          </w:p>
        </w:tc>
        <w:tc>
          <w:tcPr>
            <w:tcW w:w="968"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sz w:val="24"/>
                <w:szCs w:val="24"/>
                <w:lang w:eastAsia="ru-RU"/>
              </w:rPr>
            </w:pPr>
            <w:r w:rsidRPr="00AA5C00">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color w:val="000000"/>
                <w:sz w:val="24"/>
                <w:szCs w:val="24"/>
                <w:lang w:eastAsia="ru-RU"/>
              </w:rPr>
            </w:pPr>
            <w:r w:rsidRPr="00AA5C00">
              <w:rPr>
                <w:rFonts w:eastAsia="Times New Roman"/>
                <w:color w:val="000000"/>
                <w:sz w:val="24"/>
                <w:szCs w:val="24"/>
                <w:lang w:eastAsia="ru-RU"/>
              </w:rPr>
              <w:t>65,8</w:t>
            </w:r>
          </w:p>
        </w:tc>
        <w:tc>
          <w:tcPr>
            <w:tcW w:w="968"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sz w:val="24"/>
                <w:szCs w:val="24"/>
                <w:lang w:eastAsia="ru-RU"/>
              </w:rPr>
            </w:pPr>
            <w:r w:rsidRPr="00AA5C00">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color w:val="000000"/>
                <w:sz w:val="24"/>
                <w:szCs w:val="24"/>
                <w:lang w:eastAsia="ru-RU"/>
              </w:rPr>
            </w:pPr>
            <w:r w:rsidRPr="00AA5C00">
              <w:rPr>
                <w:rFonts w:eastAsia="Times New Roman"/>
                <w:color w:val="000000"/>
                <w:sz w:val="24"/>
                <w:szCs w:val="24"/>
                <w:lang w:eastAsia="ru-RU"/>
              </w:rPr>
              <w:t>5,01</w:t>
            </w:r>
          </w:p>
        </w:tc>
        <w:tc>
          <w:tcPr>
            <w:tcW w:w="968"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sz w:val="24"/>
                <w:szCs w:val="24"/>
                <w:lang w:eastAsia="ru-RU"/>
              </w:rPr>
            </w:pPr>
            <w:r w:rsidRPr="00AA5C00">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color w:val="000000"/>
                <w:sz w:val="24"/>
                <w:szCs w:val="24"/>
                <w:lang w:eastAsia="ru-RU"/>
              </w:rPr>
            </w:pPr>
            <w:r w:rsidRPr="00AA5C00">
              <w:rPr>
                <w:rFonts w:eastAsia="Times New Roman"/>
                <w:color w:val="000000"/>
                <w:sz w:val="24"/>
                <w:szCs w:val="24"/>
                <w:lang w:eastAsia="ru-RU"/>
              </w:rPr>
              <w:t>0,84</w:t>
            </w:r>
          </w:p>
        </w:tc>
      </w:tr>
      <w:tr w:rsidR="00CC2659" w:rsidRPr="00AA5C00" w:rsidTr="00CC2659">
        <w:trPr>
          <w:trHeight w:val="426"/>
          <w:jc w:val="center"/>
        </w:trPr>
        <w:tc>
          <w:tcPr>
            <w:tcW w:w="4394" w:type="dxa"/>
            <w:tcBorders>
              <w:top w:val="single" w:sz="4" w:space="0" w:color="auto"/>
              <w:left w:val="single" w:sz="4" w:space="0" w:color="auto"/>
              <w:bottom w:val="single" w:sz="4" w:space="0" w:color="auto"/>
              <w:right w:val="single" w:sz="4" w:space="0" w:color="auto"/>
            </w:tcBorders>
          </w:tcPr>
          <w:p w:rsidR="00CC2659" w:rsidRPr="00AA5C00" w:rsidRDefault="00CC2659" w:rsidP="00CC2659">
            <w:pPr>
              <w:keepNext/>
              <w:rPr>
                <w:rFonts w:eastAsia="Times New Roman"/>
                <w:color w:val="000000"/>
                <w:sz w:val="24"/>
                <w:szCs w:val="24"/>
                <w:lang w:eastAsia="uk-UA"/>
              </w:rPr>
            </w:pPr>
            <w:r w:rsidRPr="00AA5C00">
              <w:rPr>
                <w:rFonts w:eastAsia="Times New Roman"/>
                <w:color w:val="000000"/>
                <w:sz w:val="24"/>
                <w:szCs w:val="24"/>
                <w:lang w:eastAsia="uk-UA"/>
              </w:rPr>
              <w:t>Індекс концентрації розродження вагітних з цукровим діабетом у ЗПД ІІІ рівня</w:t>
            </w:r>
          </w:p>
        </w:tc>
        <w:tc>
          <w:tcPr>
            <w:tcW w:w="968"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color w:val="000000"/>
                <w:sz w:val="24"/>
                <w:szCs w:val="24"/>
                <w:lang w:eastAsia="ru-RU"/>
              </w:rPr>
            </w:pPr>
            <w:r w:rsidRPr="00AA5C00">
              <w:rPr>
                <w:rFonts w:eastAsia="Times New Roman"/>
                <w:color w:val="000000"/>
                <w:sz w:val="24"/>
                <w:szCs w:val="24"/>
                <w:lang w:eastAsia="ru-RU"/>
              </w:rPr>
              <w:t>51,08</w:t>
            </w:r>
          </w:p>
        </w:tc>
        <w:tc>
          <w:tcPr>
            <w:tcW w:w="969"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color w:val="000000"/>
                <w:sz w:val="24"/>
                <w:szCs w:val="24"/>
                <w:lang w:eastAsia="ru-RU"/>
              </w:rPr>
            </w:pPr>
            <w:r w:rsidRPr="00AA5C00">
              <w:rPr>
                <w:rFonts w:eastAsia="Times New Roman"/>
                <w:color w:val="000000"/>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color w:val="000000"/>
                <w:sz w:val="24"/>
                <w:szCs w:val="24"/>
                <w:lang w:eastAsia="ru-RU"/>
              </w:rPr>
            </w:pPr>
            <w:r w:rsidRPr="00AA5C00">
              <w:rPr>
                <w:rFonts w:eastAsia="Times New Roman"/>
                <w:color w:val="000000"/>
                <w:sz w:val="24"/>
                <w:szCs w:val="24"/>
                <w:lang w:eastAsia="ru-RU"/>
              </w:rPr>
              <w:t>5,11</w:t>
            </w:r>
          </w:p>
        </w:tc>
        <w:tc>
          <w:tcPr>
            <w:tcW w:w="969"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color w:val="000000"/>
                <w:sz w:val="24"/>
                <w:szCs w:val="24"/>
                <w:lang w:eastAsia="ru-RU"/>
              </w:rPr>
            </w:pPr>
            <w:r w:rsidRPr="00AA5C00">
              <w:rPr>
                <w:rFonts w:eastAsia="Times New Roman"/>
                <w:color w:val="000000"/>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color w:val="000000"/>
                <w:sz w:val="24"/>
                <w:szCs w:val="24"/>
                <w:lang w:eastAsia="ru-RU"/>
              </w:rPr>
            </w:pPr>
            <w:r w:rsidRPr="00AA5C00">
              <w:rPr>
                <w:rFonts w:eastAsia="Times New Roman"/>
                <w:color w:val="000000"/>
                <w:sz w:val="24"/>
                <w:szCs w:val="24"/>
                <w:lang w:eastAsia="ru-RU"/>
              </w:rPr>
              <w:t>0,73</w:t>
            </w:r>
          </w:p>
        </w:tc>
        <w:tc>
          <w:tcPr>
            <w:tcW w:w="969"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color w:val="000000"/>
                <w:sz w:val="24"/>
                <w:szCs w:val="24"/>
                <w:lang w:eastAsia="ru-RU"/>
              </w:rPr>
            </w:pPr>
            <w:r w:rsidRPr="00AA5C00">
              <w:rPr>
                <w:rFonts w:eastAsia="Times New Roman"/>
                <w:color w:val="000000"/>
                <w:sz w:val="24"/>
                <w:szCs w:val="24"/>
                <w:lang w:eastAsia="ru-RU"/>
              </w:rPr>
              <w:t>**</w:t>
            </w:r>
          </w:p>
        </w:tc>
      </w:tr>
    </w:tbl>
    <w:p w:rsidR="00CC2659" w:rsidRPr="00036CEE" w:rsidRDefault="00036CEE">
      <w:pPr>
        <w:rPr>
          <w:i/>
          <w:sz w:val="24"/>
          <w:szCs w:val="24"/>
        </w:rPr>
      </w:pPr>
      <w:r w:rsidRPr="00DD51BC">
        <w:rPr>
          <w:i/>
          <w:sz w:val="24"/>
          <w:szCs w:val="24"/>
        </w:rPr>
        <w:t>Для таблиць : * – показник не оцінювався</w:t>
      </w:r>
      <w:r w:rsidRPr="00DD51BC">
        <w:rPr>
          <w:i/>
          <w:sz w:val="24"/>
          <w:szCs w:val="24"/>
          <w:lang w:val="ru-RU"/>
        </w:rPr>
        <w:t xml:space="preserve">  </w:t>
      </w:r>
      <w:r w:rsidRPr="00DD51BC">
        <w:rPr>
          <w:i/>
          <w:sz w:val="24"/>
          <w:szCs w:val="24"/>
        </w:rPr>
        <w:t>** – немає даних</w:t>
      </w:r>
    </w:p>
    <w:p w:rsidR="00CC2659" w:rsidRPr="00CC2659" w:rsidRDefault="00CC2659" w:rsidP="00036CEE">
      <w:pPr>
        <w:pageBreakBefore/>
        <w:jc w:val="right"/>
        <w:rPr>
          <w:i/>
          <w:lang w:val="ru-RU"/>
        </w:rPr>
      </w:pPr>
      <w:r w:rsidRPr="00CC2659">
        <w:rPr>
          <w:i/>
          <w:lang w:val="ru-RU"/>
        </w:rPr>
        <w:lastRenderedPageBreak/>
        <w:t>Продовження додаток Е-6</w:t>
      </w:r>
    </w:p>
    <w:tbl>
      <w:tblPr>
        <w:tblW w:w="10205" w:type="dxa"/>
        <w:jc w:val="center"/>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394"/>
        <w:gridCol w:w="968"/>
        <w:gridCol w:w="969"/>
        <w:gridCol w:w="968"/>
        <w:gridCol w:w="969"/>
        <w:gridCol w:w="968"/>
        <w:gridCol w:w="969"/>
      </w:tblGrid>
      <w:tr w:rsidR="00CC2659" w:rsidRPr="00AA5C00" w:rsidTr="00CC2659">
        <w:trPr>
          <w:trHeight w:val="426"/>
          <w:jc w:val="center"/>
        </w:trPr>
        <w:tc>
          <w:tcPr>
            <w:tcW w:w="4394" w:type="dxa"/>
            <w:tcBorders>
              <w:top w:val="single" w:sz="4" w:space="0" w:color="auto"/>
              <w:left w:val="single" w:sz="4" w:space="0" w:color="auto"/>
              <w:bottom w:val="single" w:sz="4" w:space="0" w:color="auto"/>
              <w:right w:val="single" w:sz="4" w:space="0" w:color="auto"/>
            </w:tcBorders>
          </w:tcPr>
          <w:p w:rsidR="00CC2659" w:rsidRPr="00AA5C00" w:rsidRDefault="00CC2659" w:rsidP="00CC2659">
            <w:pPr>
              <w:keepNext/>
              <w:rPr>
                <w:rFonts w:eastAsia="Times New Roman"/>
                <w:color w:val="000000"/>
                <w:sz w:val="24"/>
                <w:szCs w:val="24"/>
                <w:lang w:eastAsia="uk-UA"/>
              </w:rPr>
            </w:pPr>
            <w:r w:rsidRPr="00AA5C00">
              <w:rPr>
                <w:rFonts w:eastAsia="Times New Roman"/>
                <w:color w:val="000000"/>
                <w:sz w:val="24"/>
                <w:szCs w:val="24"/>
                <w:lang w:eastAsia="uk-UA"/>
              </w:rPr>
              <w:t>Індекс концентрації розродження вагітних з  пре- еклампсією і еклампсією  у ЗПД ІІ-ІІІ рівнів</w:t>
            </w:r>
          </w:p>
        </w:tc>
        <w:tc>
          <w:tcPr>
            <w:tcW w:w="968"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color w:val="000000"/>
                <w:sz w:val="24"/>
                <w:szCs w:val="24"/>
                <w:lang w:eastAsia="ru-RU"/>
              </w:rPr>
            </w:pPr>
            <w:r w:rsidRPr="00AA5C00">
              <w:rPr>
                <w:rFonts w:eastAsia="Times New Roman"/>
                <w:color w:val="000000"/>
                <w:sz w:val="24"/>
                <w:szCs w:val="24"/>
                <w:lang w:eastAsia="ru-RU"/>
              </w:rPr>
              <w:t>98,71</w:t>
            </w:r>
          </w:p>
        </w:tc>
        <w:tc>
          <w:tcPr>
            <w:tcW w:w="969"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color w:val="000000"/>
                <w:sz w:val="24"/>
                <w:szCs w:val="24"/>
                <w:lang w:eastAsia="ru-RU"/>
              </w:rPr>
            </w:pPr>
            <w:r w:rsidRPr="00AA5C00">
              <w:rPr>
                <w:rFonts w:eastAsia="Times New Roman"/>
                <w:color w:val="000000"/>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color w:val="000000"/>
                <w:sz w:val="24"/>
                <w:szCs w:val="24"/>
                <w:lang w:eastAsia="ru-RU"/>
              </w:rPr>
            </w:pPr>
            <w:r w:rsidRPr="00AA5C00">
              <w:rPr>
                <w:rFonts w:eastAsia="Times New Roman"/>
                <w:color w:val="000000"/>
                <w:sz w:val="24"/>
                <w:szCs w:val="24"/>
                <w:lang w:eastAsia="ru-RU"/>
              </w:rPr>
              <w:t>7,00</w:t>
            </w:r>
          </w:p>
        </w:tc>
        <w:tc>
          <w:tcPr>
            <w:tcW w:w="969"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color w:val="000000"/>
                <w:sz w:val="24"/>
                <w:szCs w:val="24"/>
                <w:lang w:eastAsia="ru-RU"/>
              </w:rPr>
            </w:pPr>
            <w:r w:rsidRPr="00AA5C00">
              <w:rPr>
                <w:rFonts w:eastAsia="Times New Roman"/>
                <w:color w:val="000000"/>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color w:val="000000"/>
                <w:sz w:val="24"/>
                <w:szCs w:val="24"/>
                <w:lang w:eastAsia="ru-RU"/>
              </w:rPr>
            </w:pPr>
            <w:r w:rsidRPr="00AA5C00">
              <w:rPr>
                <w:rFonts w:eastAsia="Times New Roman"/>
                <w:color w:val="000000"/>
                <w:sz w:val="24"/>
                <w:szCs w:val="24"/>
                <w:lang w:eastAsia="ru-RU"/>
              </w:rPr>
              <w:t>1,00</w:t>
            </w:r>
          </w:p>
        </w:tc>
        <w:tc>
          <w:tcPr>
            <w:tcW w:w="969"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color w:val="000000"/>
                <w:sz w:val="24"/>
                <w:szCs w:val="24"/>
                <w:lang w:eastAsia="ru-RU"/>
              </w:rPr>
            </w:pPr>
            <w:r w:rsidRPr="00AA5C00">
              <w:rPr>
                <w:rFonts w:eastAsia="Times New Roman"/>
                <w:color w:val="000000"/>
                <w:sz w:val="24"/>
                <w:szCs w:val="24"/>
                <w:lang w:eastAsia="ru-RU"/>
              </w:rPr>
              <w:t>**</w:t>
            </w:r>
          </w:p>
        </w:tc>
      </w:tr>
      <w:tr w:rsidR="00CC2659" w:rsidRPr="00AA5C00" w:rsidTr="00CC2659">
        <w:trPr>
          <w:trHeight w:val="426"/>
          <w:jc w:val="center"/>
        </w:trPr>
        <w:tc>
          <w:tcPr>
            <w:tcW w:w="4394" w:type="dxa"/>
            <w:tcBorders>
              <w:top w:val="single" w:sz="4" w:space="0" w:color="auto"/>
              <w:left w:val="single" w:sz="4" w:space="0" w:color="auto"/>
              <w:bottom w:val="single" w:sz="4" w:space="0" w:color="auto"/>
              <w:right w:val="single" w:sz="4" w:space="0" w:color="auto"/>
            </w:tcBorders>
          </w:tcPr>
          <w:p w:rsidR="00CC2659" w:rsidRPr="00AA5C00" w:rsidRDefault="00CC2659" w:rsidP="00CC2659">
            <w:pPr>
              <w:keepNext/>
              <w:rPr>
                <w:rFonts w:eastAsia="Times New Roman"/>
                <w:color w:val="000000"/>
                <w:sz w:val="24"/>
                <w:szCs w:val="24"/>
                <w:lang w:eastAsia="uk-UA"/>
              </w:rPr>
            </w:pPr>
            <w:r w:rsidRPr="00AA5C00">
              <w:rPr>
                <w:rFonts w:eastAsia="Times New Roman"/>
                <w:color w:val="000000"/>
                <w:sz w:val="24"/>
                <w:szCs w:val="24"/>
                <w:lang w:eastAsia="uk-UA"/>
              </w:rPr>
              <w:t>Індекс концентрації новонароджених масою тіла при народженні 500-1499г у ЗПД ІІІ рівня</w:t>
            </w:r>
          </w:p>
        </w:tc>
        <w:tc>
          <w:tcPr>
            <w:tcW w:w="968"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color w:val="000000"/>
                <w:sz w:val="24"/>
                <w:szCs w:val="24"/>
                <w:lang w:eastAsia="ru-RU"/>
              </w:rPr>
            </w:pPr>
            <w:r w:rsidRPr="00AA5C00">
              <w:rPr>
                <w:rFonts w:eastAsia="Times New Roman"/>
                <w:color w:val="000000"/>
                <w:sz w:val="24"/>
                <w:szCs w:val="24"/>
                <w:lang w:eastAsia="ru-RU"/>
              </w:rPr>
              <w:t>46,69</w:t>
            </w:r>
          </w:p>
        </w:tc>
        <w:tc>
          <w:tcPr>
            <w:tcW w:w="969"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color w:val="000000"/>
                <w:sz w:val="24"/>
                <w:szCs w:val="24"/>
                <w:lang w:eastAsia="ru-RU"/>
              </w:rPr>
            </w:pPr>
            <w:r w:rsidRPr="00AA5C00">
              <w:rPr>
                <w:rFonts w:eastAsia="Times New Roman"/>
                <w:color w:val="000000"/>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color w:val="000000"/>
                <w:sz w:val="24"/>
                <w:szCs w:val="24"/>
                <w:lang w:eastAsia="ru-RU"/>
              </w:rPr>
            </w:pPr>
            <w:r w:rsidRPr="00AA5C00">
              <w:rPr>
                <w:rFonts w:eastAsia="Times New Roman"/>
                <w:color w:val="000000"/>
                <w:sz w:val="24"/>
                <w:szCs w:val="24"/>
                <w:lang w:eastAsia="ru-RU"/>
              </w:rPr>
              <w:t>3,50</w:t>
            </w:r>
          </w:p>
        </w:tc>
        <w:tc>
          <w:tcPr>
            <w:tcW w:w="969"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color w:val="000000"/>
                <w:sz w:val="24"/>
                <w:szCs w:val="24"/>
                <w:lang w:eastAsia="ru-RU"/>
              </w:rPr>
            </w:pPr>
            <w:r w:rsidRPr="00AA5C00">
              <w:rPr>
                <w:rFonts w:eastAsia="Times New Roman"/>
                <w:color w:val="000000"/>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color w:val="000000"/>
                <w:sz w:val="24"/>
                <w:szCs w:val="24"/>
                <w:lang w:eastAsia="ru-RU"/>
              </w:rPr>
            </w:pPr>
            <w:r w:rsidRPr="00AA5C00">
              <w:rPr>
                <w:rFonts w:eastAsia="Times New Roman"/>
                <w:color w:val="000000"/>
                <w:sz w:val="24"/>
                <w:szCs w:val="24"/>
                <w:lang w:eastAsia="ru-RU"/>
              </w:rPr>
              <w:t>0,58</w:t>
            </w:r>
          </w:p>
        </w:tc>
        <w:tc>
          <w:tcPr>
            <w:tcW w:w="969"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color w:val="000000"/>
                <w:sz w:val="24"/>
                <w:szCs w:val="24"/>
                <w:lang w:eastAsia="ru-RU"/>
              </w:rPr>
            </w:pPr>
            <w:r w:rsidRPr="00AA5C00">
              <w:rPr>
                <w:rFonts w:eastAsia="Times New Roman"/>
                <w:color w:val="000000"/>
                <w:sz w:val="24"/>
                <w:szCs w:val="24"/>
                <w:lang w:eastAsia="ru-RU"/>
              </w:rPr>
              <w:t>**</w:t>
            </w:r>
          </w:p>
        </w:tc>
      </w:tr>
      <w:tr w:rsidR="00CC2659" w:rsidRPr="00AA5C00" w:rsidTr="00CC2659">
        <w:trPr>
          <w:trHeight w:val="288"/>
          <w:jc w:val="center"/>
        </w:trPr>
        <w:tc>
          <w:tcPr>
            <w:tcW w:w="4394" w:type="dxa"/>
            <w:tcBorders>
              <w:top w:val="single" w:sz="4" w:space="0" w:color="auto"/>
              <w:left w:val="single" w:sz="4" w:space="0" w:color="auto"/>
              <w:bottom w:val="single" w:sz="4" w:space="0" w:color="auto"/>
              <w:right w:val="single" w:sz="4" w:space="0" w:color="auto"/>
            </w:tcBorders>
            <w:vAlign w:val="bottom"/>
          </w:tcPr>
          <w:p w:rsidR="00CC2659" w:rsidRPr="00AA5C00" w:rsidRDefault="00CC2659" w:rsidP="00CC2659">
            <w:pPr>
              <w:keepNext/>
              <w:jc w:val="left"/>
              <w:rPr>
                <w:rFonts w:eastAsia="Times New Roman"/>
                <w:sz w:val="24"/>
                <w:szCs w:val="24"/>
                <w:lang w:eastAsia="ru-RU"/>
              </w:rPr>
            </w:pPr>
            <w:r w:rsidRPr="00AA5C00">
              <w:rPr>
                <w:rFonts w:eastAsia="Times New Roman"/>
                <w:sz w:val="24"/>
                <w:szCs w:val="24"/>
                <w:lang w:eastAsia="ru-RU"/>
              </w:rPr>
              <w:t>Індекс неонатального трансферу</w:t>
            </w:r>
          </w:p>
        </w:tc>
        <w:tc>
          <w:tcPr>
            <w:tcW w:w="968"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sz w:val="24"/>
                <w:szCs w:val="24"/>
                <w:lang w:eastAsia="ru-RU"/>
              </w:rPr>
            </w:pPr>
            <w:r w:rsidRPr="00AA5C00">
              <w:rPr>
                <w:rFonts w:eastAsia="Times New Roman"/>
                <w:sz w:val="24"/>
                <w:szCs w:val="24"/>
                <w:lang w:eastAsia="ru-RU"/>
              </w:rPr>
              <w:t>8,0</w:t>
            </w:r>
          </w:p>
        </w:tc>
        <w:tc>
          <w:tcPr>
            <w:tcW w:w="969"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color w:val="000000"/>
                <w:sz w:val="24"/>
                <w:szCs w:val="24"/>
                <w:lang w:eastAsia="ru-RU"/>
              </w:rPr>
            </w:pPr>
            <w:r w:rsidRPr="00AA5C00">
              <w:rPr>
                <w:rFonts w:eastAsia="Times New Roman"/>
                <w:color w:val="000000"/>
                <w:sz w:val="24"/>
                <w:szCs w:val="24"/>
                <w:lang w:eastAsia="ru-RU"/>
              </w:rPr>
              <w:t>7,98</w:t>
            </w:r>
          </w:p>
        </w:tc>
        <w:tc>
          <w:tcPr>
            <w:tcW w:w="968"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sz w:val="24"/>
                <w:szCs w:val="24"/>
                <w:lang w:eastAsia="ru-RU"/>
              </w:rPr>
            </w:pPr>
            <w:r w:rsidRPr="00AA5C00">
              <w:rPr>
                <w:rFonts w:eastAsia="Times New Roman"/>
                <w:sz w:val="24"/>
                <w:szCs w:val="24"/>
                <w:lang w:eastAsia="ru-RU"/>
              </w:rPr>
              <w:t>0,00</w:t>
            </w:r>
          </w:p>
        </w:tc>
        <w:tc>
          <w:tcPr>
            <w:tcW w:w="969"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color w:val="000000"/>
                <w:sz w:val="24"/>
                <w:szCs w:val="24"/>
                <w:lang w:eastAsia="ru-RU"/>
              </w:rPr>
            </w:pPr>
            <w:r w:rsidRPr="00AA5C00">
              <w:rPr>
                <w:rFonts w:eastAsia="Times New Roman"/>
                <w:color w:val="000000"/>
                <w:sz w:val="24"/>
                <w:szCs w:val="24"/>
                <w:lang w:eastAsia="ru-RU"/>
              </w:rPr>
              <w:t>2,83</w:t>
            </w:r>
          </w:p>
        </w:tc>
        <w:tc>
          <w:tcPr>
            <w:tcW w:w="968"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sz w:val="24"/>
                <w:szCs w:val="24"/>
                <w:lang w:eastAsia="ru-RU"/>
              </w:rPr>
            </w:pPr>
            <w:r w:rsidRPr="00AA5C00">
              <w:rPr>
                <w:rFonts w:eastAsia="Times New Roman"/>
                <w:sz w:val="24"/>
                <w:szCs w:val="24"/>
                <w:lang w:eastAsia="ru-RU"/>
              </w:rPr>
              <w:t>0,00</w:t>
            </w:r>
          </w:p>
        </w:tc>
        <w:tc>
          <w:tcPr>
            <w:tcW w:w="969"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color w:val="000000"/>
                <w:sz w:val="24"/>
                <w:szCs w:val="24"/>
                <w:lang w:eastAsia="ru-RU"/>
              </w:rPr>
            </w:pPr>
            <w:r w:rsidRPr="00AA5C00">
              <w:rPr>
                <w:rFonts w:eastAsia="Times New Roman"/>
                <w:color w:val="000000"/>
                <w:sz w:val="24"/>
                <w:szCs w:val="24"/>
                <w:lang w:eastAsia="ru-RU"/>
              </w:rPr>
              <w:t>0,40</w:t>
            </w:r>
          </w:p>
        </w:tc>
      </w:tr>
      <w:tr w:rsidR="00CC2659" w:rsidRPr="00AA5C00" w:rsidTr="00CC2659">
        <w:trPr>
          <w:trHeight w:val="264"/>
          <w:jc w:val="center"/>
        </w:trPr>
        <w:tc>
          <w:tcPr>
            <w:tcW w:w="4394"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left"/>
              <w:rPr>
                <w:rFonts w:eastAsia="Times New Roman"/>
                <w:sz w:val="24"/>
                <w:szCs w:val="24"/>
                <w:lang w:eastAsia="ru-RU"/>
              </w:rPr>
            </w:pPr>
            <w:r w:rsidRPr="00AA5C00">
              <w:rPr>
                <w:rFonts w:eastAsia="Times New Roman"/>
                <w:sz w:val="24"/>
                <w:szCs w:val="24"/>
                <w:lang w:eastAsia="ru-RU"/>
              </w:rPr>
              <w:t>Частота нормальних пологів</w:t>
            </w:r>
          </w:p>
        </w:tc>
        <w:tc>
          <w:tcPr>
            <w:tcW w:w="968"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sz w:val="24"/>
                <w:szCs w:val="24"/>
                <w:lang w:eastAsia="ru-RU"/>
              </w:rPr>
            </w:pPr>
            <w:r w:rsidRPr="00AA5C00">
              <w:rPr>
                <w:rFonts w:eastAsia="Times New Roman"/>
                <w:sz w:val="24"/>
                <w:szCs w:val="24"/>
                <w:lang w:eastAsia="ru-RU"/>
              </w:rPr>
              <w:t>61,09</w:t>
            </w:r>
          </w:p>
        </w:tc>
        <w:tc>
          <w:tcPr>
            <w:tcW w:w="969"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color w:val="000000"/>
                <w:sz w:val="24"/>
                <w:szCs w:val="24"/>
                <w:lang w:eastAsia="ru-RU"/>
              </w:rPr>
            </w:pPr>
            <w:r w:rsidRPr="00AA5C00">
              <w:rPr>
                <w:rFonts w:eastAsia="Times New Roman"/>
                <w:color w:val="000000"/>
                <w:sz w:val="24"/>
                <w:szCs w:val="24"/>
                <w:lang w:eastAsia="ru-RU"/>
              </w:rPr>
              <w:t>59,64</w:t>
            </w:r>
          </w:p>
        </w:tc>
        <w:tc>
          <w:tcPr>
            <w:tcW w:w="968"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sz w:val="24"/>
                <w:szCs w:val="24"/>
                <w:lang w:eastAsia="ru-RU"/>
              </w:rPr>
            </w:pPr>
            <w:r w:rsidRPr="00AA5C00">
              <w:rPr>
                <w:rFonts w:eastAsia="Times New Roman"/>
                <w:sz w:val="24"/>
                <w:szCs w:val="24"/>
                <w:lang w:eastAsia="ru-RU"/>
              </w:rPr>
              <w:t>4,36</w:t>
            </w:r>
          </w:p>
        </w:tc>
        <w:tc>
          <w:tcPr>
            <w:tcW w:w="969"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color w:val="000000"/>
                <w:sz w:val="24"/>
                <w:szCs w:val="24"/>
                <w:lang w:eastAsia="ru-RU"/>
              </w:rPr>
            </w:pPr>
            <w:r w:rsidRPr="00AA5C00">
              <w:rPr>
                <w:rFonts w:eastAsia="Times New Roman"/>
                <w:color w:val="000000"/>
                <w:sz w:val="24"/>
                <w:szCs w:val="24"/>
                <w:lang w:eastAsia="ru-RU"/>
              </w:rPr>
              <w:t>4,48</w:t>
            </w:r>
          </w:p>
        </w:tc>
        <w:tc>
          <w:tcPr>
            <w:tcW w:w="968"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sz w:val="24"/>
                <w:szCs w:val="24"/>
                <w:lang w:eastAsia="ru-RU"/>
              </w:rPr>
            </w:pPr>
            <w:r w:rsidRPr="00AA5C00">
              <w:rPr>
                <w:rFonts w:eastAsia="Times New Roman"/>
                <w:sz w:val="24"/>
                <w:szCs w:val="24"/>
                <w:lang w:eastAsia="ru-RU"/>
              </w:rPr>
              <w:t>0,87</w:t>
            </w:r>
          </w:p>
        </w:tc>
        <w:tc>
          <w:tcPr>
            <w:tcW w:w="969"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color w:val="000000"/>
                <w:sz w:val="24"/>
                <w:szCs w:val="24"/>
                <w:lang w:eastAsia="ru-RU"/>
              </w:rPr>
            </w:pPr>
            <w:r w:rsidRPr="00AA5C00">
              <w:rPr>
                <w:rFonts w:eastAsia="Times New Roman"/>
                <w:color w:val="000000"/>
                <w:sz w:val="24"/>
                <w:szCs w:val="24"/>
                <w:lang w:eastAsia="ru-RU"/>
              </w:rPr>
              <w:t>0,90</w:t>
            </w:r>
          </w:p>
        </w:tc>
      </w:tr>
      <w:tr w:rsidR="00CC2659" w:rsidRPr="00AA5C00" w:rsidTr="00CC2659">
        <w:trPr>
          <w:trHeight w:val="553"/>
          <w:jc w:val="center"/>
        </w:trPr>
        <w:tc>
          <w:tcPr>
            <w:tcW w:w="4394" w:type="dxa"/>
            <w:tcBorders>
              <w:top w:val="single" w:sz="4" w:space="0" w:color="auto"/>
              <w:left w:val="single" w:sz="4" w:space="0" w:color="auto"/>
              <w:bottom w:val="single" w:sz="4" w:space="0" w:color="auto"/>
              <w:right w:val="single" w:sz="4" w:space="0" w:color="auto"/>
            </w:tcBorders>
            <w:vAlign w:val="bottom"/>
          </w:tcPr>
          <w:p w:rsidR="00CC2659" w:rsidRPr="00AA5C00" w:rsidRDefault="00CC2659" w:rsidP="00CC2659">
            <w:pPr>
              <w:keepNext/>
              <w:jc w:val="left"/>
              <w:rPr>
                <w:rFonts w:eastAsia="Times New Roman"/>
                <w:sz w:val="24"/>
                <w:szCs w:val="24"/>
                <w:lang w:eastAsia="ru-RU"/>
              </w:rPr>
            </w:pPr>
            <w:r w:rsidRPr="00AA5C00">
              <w:rPr>
                <w:rFonts w:eastAsia="Times New Roman"/>
                <w:sz w:val="24"/>
                <w:szCs w:val="24"/>
                <w:lang w:eastAsia="ru-RU"/>
              </w:rPr>
              <w:t>Частота розроджень вагітних шляхом кесаревого розтину</w:t>
            </w:r>
          </w:p>
        </w:tc>
        <w:tc>
          <w:tcPr>
            <w:tcW w:w="968"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sz w:val="24"/>
                <w:szCs w:val="24"/>
                <w:lang w:eastAsia="ru-RU"/>
              </w:rPr>
            </w:pPr>
            <w:r w:rsidRPr="00AA5C00">
              <w:rPr>
                <w:rFonts w:eastAsia="Times New Roman"/>
                <w:sz w:val="24"/>
                <w:szCs w:val="24"/>
                <w:lang w:eastAsia="ru-RU"/>
              </w:rPr>
              <w:t>184,9</w:t>
            </w:r>
          </w:p>
        </w:tc>
        <w:tc>
          <w:tcPr>
            <w:tcW w:w="969"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color w:val="000000"/>
                <w:sz w:val="24"/>
                <w:szCs w:val="24"/>
                <w:lang w:eastAsia="ru-RU"/>
              </w:rPr>
            </w:pPr>
            <w:r w:rsidRPr="00AA5C00">
              <w:rPr>
                <w:rFonts w:eastAsia="Times New Roman"/>
                <w:color w:val="000000"/>
                <w:sz w:val="24"/>
                <w:szCs w:val="24"/>
                <w:lang w:eastAsia="ru-RU"/>
              </w:rPr>
              <w:t>197,30</w:t>
            </w:r>
          </w:p>
        </w:tc>
        <w:tc>
          <w:tcPr>
            <w:tcW w:w="968"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sz w:val="24"/>
                <w:szCs w:val="24"/>
                <w:lang w:eastAsia="ru-RU"/>
              </w:rPr>
            </w:pPr>
            <w:r w:rsidRPr="00AA5C00">
              <w:rPr>
                <w:rFonts w:eastAsia="Times New Roman"/>
                <w:sz w:val="24"/>
                <w:szCs w:val="24"/>
                <w:lang w:eastAsia="ru-RU"/>
              </w:rPr>
              <w:t>5,91</w:t>
            </w:r>
          </w:p>
        </w:tc>
        <w:tc>
          <w:tcPr>
            <w:tcW w:w="969"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color w:val="000000"/>
                <w:sz w:val="24"/>
                <w:szCs w:val="24"/>
                <w:lang w:eastAsia="ru-RU"/>
              </w:rPr>
            </w:pPr>
            <w:r w:rsidRPr="00AA5C00">
              <w:rPr>
                <w:rFonts w:eastAsia="Times New Roman"/>
                <w:color w:val="000000"/>
                <w:sz w:val="24"/>
                <w:szCs w:val="24"/>
                <w:lang w:eastAsia="ru-RU"/>
              </w:rPr>
              <w:t>6,31</w:t>
            </w:r>
          </w:p>
        </w:tc>
        <w:tc>
          <w:tcPr>
            <w:tcW w:w="968"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sz w:val="24"/>
                <w:szCs w:val="24"/>
                <w:lang w:eastAsia="ru-RU"/>
              </w:rPr>
            </w:pPr>
            <w:r w:rsidRPr="00AA5C00">
              <w:rPr>
                <w:rFonts w:eastAsia="Times New Roman"/>
                <w:sz w:val="24"/>
                <w:szCs w:val="24"/>
                <w:lang w:eastAsia="ru-RU"/>
              </w:rPr>
              <w:t>0,84</w:t>
            </w:r>
          </w:p>
        </w:tc>
        <w:tc>
          <w:tcPr>
            <w:tcW w:w="969"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color w:val="000000"/>
                <w:sz w:val="24"/>
                <w:szCs w:val="24"/>
                <w:lang w:eastAsia="ru-RU"/>
              </w:rPr>
            </w:pPr>
            <w:r w:rsidRPr="00AA5C00">
              <w:rPr>
                <w:rFonts w:eastAsia="Times New Roman"/>
                <w:color w:val="000000"/>
                <w:sz w:val="24"/>
                <w:szCs w:val="24"/>
                <w:lang w:eastAsia="ru-RU"/>
              </w:rPr>
              <w:t>0,90</w:t>
            </w:r>
          </w:p>
        </w:tc>
      </w:tr>
      <w:tr w:rsidR="00CC2659" w:rsidRPr="00AA5C00" w:rsidTr="00CC2659">
        <w:trPr>
          <w:trHeight w:val="276"/>
          <w:jc w:val="center"/>
        </w:trPr>
        <w:tc>
          <w:tcPr>
            <w:tcW w:w="4394" w:type="dxa"/>
            <w:tcBorders>
              <w:top w:val="single" w:sz="4" w:space="0" w:color="auto"/>
              <w:left w:val="single" w:sz="4" w:space="0" w:color="auto"/>
              <w:bottom w:val="single" w:sz="4" w:space="0" w:color="auto"/>
              <w:right w:val="single" w:sz="4" w:space="0" w:color="auto"/>
            </w:tcBorders>
            <w:vAlign w:val="bottom"/>
          </w:tcPr>
          <w:p w:rsidR="00CC2659" w:rsidRPr="00AA5C00" w:rsidRDefault="00CC2659" w:rsidP="00CC2659">
            <w:pPr>
              <w:keepNext/>
              <w:jc w:val="left"/>
              <w:rPr>
                <w:rFonts w:eastAsia="Times New Roman"/>
                <w:sz w:val="24"/>
                <w:szCs w:val="24"/>
                <w:lang w:eastAsia="ru-RU"/>
              </w:rPr>
            </w:pPr>
            <w:r w:rsidRPr="00AA5C00">
              <w:rPr>
                <w:rFonts w:eastAsia="Times New Roman"/>
                <w:sz w:val="24"/>
                <w:szCs w:val="24"/>
                <w:lang w:eastAsia="ru-RU"/>
              </w:rPr>
              <w:t>Частота  кровотеч в послідовому і післяродовому періодах</w:t>
            </w:r>
          </w:p>
        </w:tc>
        <w:tc>
          <w:tcPr>
            <w:tcW w:w="968"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sz w:val="24"/>
                <w:szCs w:val="24"/>
                <w:lang w:eastAsia="ru-RU"/>
              </w:rPr>
            </w:pPr>
            <w:r w:rsidRPr="00AA5C00">
              <w:rPr>
                <w:rFonts w:eastAsia="Times New Roman"/>
                <w:sz w:val="24"/>
                <w:szCs w:val="24"/>
                <w:lang w:eastAsia="ru-RU"/>
              </w:rPr>
              <w:t>6,14</w:t>
            </w:r>
          </w:p>
        </w:tc>
        <w:tc>
          <w:tcPr>
            <w:tcW w:w="969"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color w:val="000000"/>
                <w:sz w:val="24"/>
                <w:szCs w:val="24"/>
                <w:lang w:eastAsia="ru-RU"/>
              </w:rPr>
            </w:pPr>
            <w:r w:rsidRPr="00AA5C00">
              <w:rPr>
                <w:rFonts w:eastAsia="Times New Roman"/>
                <w:color w:val="000000"/>
                <w:sz w:val="24"/>
                <w:szCs w:val="24"/>
                <w:lang w:eastAsia="ru-RU"/>
              </w:rPr>
              <w:t>7,13</w:t>
            </w:r>
          </w:p>
        </w:tc>
        <w:tc>
          <w:tcPr>
            <w:tcW w:w="968"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sz w:val="24"/>
                <w:szCs w:val="24"/>
                <w:lang w:eastAsia="ru-RU"/>
              </w:rPr>
            </w:pPr>
            <w:r w:rsidRPr="00AA5C00">
              <w:rPr>
                <w:rFonts w:eastAsia="Times New Roman"/>
                <w:sz w:val="24"/>
                <w:szCs w:val="24"/>
                <w:lang w:eastAsia="ru-RU"/>
              </w:rPr>
              <w:t>6,95</w:t>
            </w:r>
          </w:p>
        </w:tc>
        <w:tc>
          <w:tcPr>
            <w:tcW w:w="969"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color w:val="000000"/>
                <w:sz w:val="24"/>
                <w:szCs w:val="24"/>
                <w:lang w:eastAsia="ru-RU"/>
              </w:rPr>
            </w:pPr>
            <w:r w:rsidRPr="00AA5C00">
              <w:rPr>
                <w:rFonts w:eastAsia="Times New Roman"/>
                <w:color w:val="000000"/>
                <w:sz w:val="24"/>
                <w:szCs w:val="24"/>
                <w:lang w:eastAsia="ru-RU"/>
              </w:rPr>
              <w:t>7,31</w:t>
            </w:r>
          </w:p>
        </w:tc>
        <w:tc>
          <w:tcPr>
            <w:tcW w:w="968"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sz w:val="24"/>
                <w:szCs w:val="24"/>
                <w:lang w:eastAsia="ru-RU"/>
              </w:rPr>
            </w:pPr>
            <w:r w:rsidRPr="00AA5C00">
              <w:rPr>
                <w:rFonts w:eastAsia="Times New Roman"/>
                <w:sz w:val="24"/>
                <w:szCs w:val="24"/>
                <w:lang w:eastAsia="ru-RU"/>
              </w:rPr>
              <w:t>0,77</w:t>
            </w:r>
          </w:p>
        </w:tc>
        <w:tc>
          <w:tcPr>
            <w:tcW w:w="969"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color w:val="000000"/>
                <w:sz w:val="24"/>
                <w:szCs w:val="24"/>
                <w:lang w:eastAsia="ru-RU"/>
              </w:rPr>
            </w:pPr>
            <w:r w:rsidRPr="00AA5C00">
              <w:rPr>
                <w:rFonts w:eastAsia="Times New Roman"/>
                <w:color w:val="000000"/>
                <w:sz w:val="24"/>
                <w:szCs w:val="24"/>
                <w:lang w:eastAsia="ru-RU"/>
              </w:rPr>
              <w:t>0,81</w:t>
            </w:r>
          </w:p>
        </w:tc>
      </w:tr>
      <w:tr w:rsidR="00CC2659" w:rsidRPr="00AA5C00" w:rsidTr="00CC2659">
        <w:trPr>
          <w:trHeight w:val="293"/>
          <w:jc w:val="center"/>
        </w:trPr>
        <w:tc>
          <w:tcPr>
            <w:tcW w:w="4394" w:type="dxa"/>
            <w:tcBorders>
              <w:top w:val="single" w:sz="4" w:space="0" w:color="auto"/>
              <w:left w:val="single" w:sz="4" w:space="0" w:color="auto"/>
              <w:bottom w:val="single" w:sz="4" w:space="0" w:color="auto"/>
              <w:right w:val="single" w:sz="4" w:space="0" w:color="auto"/>
            </w:tcBorders>
            <w:vAlign w:val="bottom"/>
          </w:tcPr>
          <w:p w:rsidR="00CC2659" w:rsidRPr="00AA5C00" w:rsidRDefault="00CC2659" w:rsidP="00CC2659">
            <w:pPr>
              <w:keepNext/>
              <w:jc w:val="left"/>
              <w:rPr>
                <w:rFonts w:eastAsia="Times New Roman"/>
                <w:sz w:val="24"/>
                <w:szCs w:val="24"/>
                <w:lang w:eastAsia="ru-RU"/>
              </w:rPr>
            </w:pPr>
            <w:r w:rsidRPr="00AA5C00">
              <w:rPr>
                <w:rFonts w:eastAsia="Times New Roman"/>
                <w:sz w:val="24"/>
                <w:szCs w:val="24"/>
                <w:lang w:eastAsia="ru-RU"/>
              </w:rPr>
              <w:t>Частота мало вагових новонароджених</w:t>
            </w:r>
          </w:p>
        </w:tc>
        <w:tc>
          <w:tcPr>
            <w:tcW w:w="968"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sz w:val="24"/>
                <w:szCs w:val="24"/>
                <w:lang w:eastAsia="ru-RU"/>
              </w:rPr>
            </w:pPr>
            <w:r w:rsidRPr="00AA5C00">
              <w:rPr>
                <w:rFonts w:eastAsia="Times New Roman"/>
                <w:sz w:val="24"/>
                <w:szCs w:val="24"/>
                <w:lang w:eastAsia="ru-RU"/>
              </w:rPr>
              <w:t>6,21</w:t>
            </w:r>
          </w:p>
        </w:tc>
        <w:tc>
          <w:tcPr>
            <w:tcW w:w="969"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color w:val="000000"/>
                <w:sz w:val="24"/>
                <w:szCs w:val="24"/>
                <w:lang w:eastAsia="ru-RU"/>
              </w:rPr>
            </w:pPr>
            <w:r w:rsidRPr="00AA5C00">
              <w:rPr>
                <w:rFonts w:eastAsia="Times New Roman"/>
                <w:color w:val="000000"/>
                <w:sz w:val="24"/>
                <w:szCs w:val="24"/>
                <w:lang w:eastAsia="ru-RU"/>
              </w:rPr>
              <w:t>5,43</w:t>
            </w:r>
          </w:p>
        </w:tc>
        <w:tc>
          <w:tcPr>
            <w:tcW w:w="968"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sz w:val="24"/>
                <w:szCs w:val="24"/>
                <w:lang w:eastAsia="ru-RU"/>
              </w:rPr>
            </w:pPr>
            <w:r w:rsidRPr="00AA5C00">
              <w:rPr>
                <w:rFonts w:eastAsia="Times New Roman"/>
                <w:sz w:val="24"/>
                <w:szCs w:val="24"/>
                <w:lang w:eastAsia="ru-RU"/>
              </w:rPr>
              <w:t>2,24</w:t>
            </w:r>
          </w:p>
        </w:tc>
        <w:tc>
          <w:tcPr>
            <w:tcW w:w="969"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color w:val="000000"/>
                <w:sz w:val="24"/>
                <w:szCs w:val="24"/>
                <w:lang w:eastAsia="ru-RU"/>
              </w:rPr>
            </w:pPr>
            <w:r w:rsidRPr="00AA5C00">
              <w:rPr>
                <w:rFonts w:eastAsia="Times New Roman"/>
                <w:color w:val="000000"/>
                <w:sz w:val="24"/>
                <w:szCs w:val="24"/>
                <w:lang w:eastAsia="ru-RU"/>
              </w:rPr>
              <w:t>3,57</w:t>
            </w:r>
          </w:p>
        </w:tc>
        <w:tc>
          <w:tcPr>
            <w:tcW w:w="968"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sz w:val="24"/>
                <w:szCs w:val="24"/>
                <w:lang w:eastAsia="ru-RU"/>
              </w:rPr>
            </w:pPr>
            <w:r w:rsidRPr="00AA5C00">
              <w:rPr>
                <w:rFonts w:eastAsia="Times New Roman"/>
                <w:sz w:val="24"/>
                <w:szCs w:val="24"/>
                <w:lang w:eastAsia="ru-RU"/>
              </w:rPr>
              <w:t>0,45</w:t>
            </w:r>
          </w:p>
        </w:tc>
        <w:tc>
          <w:tcPr>
            <w:tcW w:w="969"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color w:val="000000"/>
                <w:sz w:val="24"/>
                <w:szCs w:val="24"/>
                <w:lang w:eastAsia="ru-RU"/>
              </w:rPr>
            </w:pPr>
            <w:r w:rsidRPr="00AA5C00">
              <w:rPr>
                <w:rFonts w:eastAsia="Times New Roman"/>
                <w:color w:val="000000"/>
                <w:sz w:val="24"/>
                <w:szCs w:val="24"/>
                <w:lang w:eastAsia="ru-RU"/>
              </w:rPr>
              <w:t>0,71</w:t>
            </w:r>
          </w:p>
        </w:tc>
      </w:tr>
      <w:tr w:rsidR="00CC2659" w:rsidRPr="00AA5C00" w:rsidTr="00CC2659">
        <w:trPr>
          <w:trHeight w:val="344"/>
          <w:jc w:val="center"/>
        </w:trPr>
        <w:tc>
          <w:tcPr>
            <w:tcW w:w="4394" w:type="dxa"/>
            <w:tcBorders>
              <w:top w:val="single" w:sz="4" w:space="0" w:color="auto"/>
              <w:left w:val="single" w:sz="4" w:space="0" w:color="auto"/>
              <w:bottom w:val="single" w:sz="4" w:space="0" w:color="auto"/>
              <w:right w:val="single" w:sz="4" w:space="0" w:color="auto"/>
            </w:tcBorders>
            <w:vAlign w:val="bottom"/>
          </w:tcPr>
          <w:p w:rsidR="00CC2659" w:rsidRPr="00AA5C00" w:rsidRDefault="00CC2659" w:rsidP="00CC2659">
            <w:pPr>
              <w:keepNext/>
              <w:jc w:val="left"/>
              <w:rPr>
                <w:rFonts w:eastAsia="Times New Roman"/>
                <w:sz w:val="24"/>
                <w:szCs w:val="24"/>
                <w:lang w:eastAsia="ru-RU"/>
              </w:rPr>
            </w:pPr>
            <w:r w:rsidRPr="00AA5C00">
              <w:rPr>
                <w:rFonts w:eastAsia="Times New Roman"/>
                <w:sz w:val="24"/>
                <w:szCs w:val="24"/>
                <w:lang w:eastAsia="ru-RU"/>
              </w:rPr>
              <w:t>Виживання новонароджених з дуже малою масою тіла при народженні</w:t>
            </w:r>
          </w:p>
        </w:tc>
        <w:tc>
          <w:tcPr>
            <w:tcW w:w="968"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sz w:val="24"/>
                <w:szCs w:val="24"/>
                <w:lang w:eastAsia="ru-RU"/>
              </w:rPr>
            </w:pPr>
            <w:r w:rsidRPr="00AA5C00">
              <w:rPr>
                <w:rFonts w:eastAsia="Times New Roman"/>
                <w:sz w:val="24"/>
                <w:szCs w:val="24"/>
                <w:lang w:eastAsia="ru-RU"/>
              </w:rPr>
              <w:t>85,12</w:t>
            </w:r>
          </w:p>
        </w:tc>
        <w:tc>
          <w:tcPr>
            <w:tcW w:w="969"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color w:val="000000"/>
                <w:sz w:val="24"/>
                <w:szCs w:val="24"/>
                <w:lang w:eastAsia="ru-RU"/>
              </w:rPr>
            </w:pPr>
            <w:r w:rsidRPr="00AA5C00">
              <w:rPr>
                <w:rFonts w:eastAsia="Times New Roman"/>
                <w:color w:val="000000"/>
                <w:sz w:val="24"/>
                <w:szCs w:val="24"/>
                <w:lang w:eastAsia="ru-RU"/>
              </w:rPr>
              <w:t>79,42</w:t>
            </w:r>
          </w:p>
        </w:tc>
        <w:tc>
          <w:tcPr>
            <w:tcW w:w="968"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sz w:val="24"/>
                <w:szCs w:val="24"/>
                <w:lang w:eastAsia="ru-RU"/>
              </w:rPr>
            </w:pPr>
            <w:r w:rsidRPr="00AA5C00">
              <w:rPr>
                <w:rFonts w:eastAsia="Times New Roman"/>
                <w:sz w:val="24"/>
                <w:szCs w:val="24"/>
                <w:lang w:eastAsia="ru-RU"/>
              </w:rPr>
              <w:t>7,57</w:t>
            </w:r>
          </w:p>
        </w:tc>
        <w:tc>
          <w:tcPr>
            <w:tcW w:w="969"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color w:val="000000"/>
                <w:sz w:val="24"/>
                <w:szCs w:val="24"/>
                <w:lang w:eastAsia="ru-RU"/>
              </w:rPr>
            </w:pPr>
            <w:r w:rsidRPr="00AA5C00">
              <w:rPr>
                <w:rFonts w:eastAsia="Times New Roman"/>
                <w:color w:val="000000"/>
                <w:sz w:val="24"/>
                <w:szCs w:val="24"/>
                <w:lang w:eastAsia="ru-RU"/>
              </w:rPr>
              <w:t>7,50</w:t>
            </w:r>
          </w:p>
        </w:tc>
        <w:tc>
          <w:tcPr>
            <w:tcW w:w="968"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sz w:val="24"/>
                <w:szCs w:val="24"/>
                <w:lang w:eastAsia="ru-RU"/>
              </w:rPr>
            </w:pPr>
            <w:r w:rsidRPr="00AA5C00">
              <w:rPr>
                <w:rFonts w:eastAsia="Times New Roman"/>
                <w:sz w:val="24"/>
                <w:szCs w:val="24"/>
                <w:lang w:eastAsia="ru-RU"/>
              </w:rPr>
              <w:t>0,95</w:t>
            </w:r>
          </w:p>
        </w:tc>
        <w:tc>
          <w:tcPr>
            <w:tcW w:w="969"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color w:val="000000"/>
                <w:sz w:val="24"/>
                <w:szCs w:val="24"/>
                <w:lang w:eastAsia="ru-RU"/>
              </w:rPr>
            </w:pPr>
            <w:r w:rsidRPr="00AA5C00">
              <w:rPr>
                <w:rFonts w:eastAsia="Times New Roman"/>
                <w:color w:val="000000"/>
                <w:sz w:val="24"/>
                <w:szCs w:val="24"/>
                <w:lang w:eastAsia="ru-RU"/>
              </w:rPr>
              <w:t>0,94</w:t>
            </w:r>
          </w:p>
        </w:tc>
      </w:tr>
      <w:tr w:rsidR="00CC2659" w:rsidRPr="00AA5C00" w:rsidTr="00CC2659">
        <w:trPr>
          <w:trHeight w:val="226"/>
          <w:jc w:val="center"/>
        </w:trPr>
        <w:tc>
          <w:tcPr>
            <w:tcW w:w="4394" w:type="dxa"/>
            <w:tcBorders>
              <w:top w:val="single" w:sz="4" w:space="0" w:color="auto"/>
              <w:left w:val="single" w:sz="4" w:space="0" w:color="auto"/>
              <w:bottom w:val="single" w:sz="4" w:space="0" w:color="auto"/>
              <w:right w:val="single" w:sz="4" w:space="0" w:color="auto"/>
            </w:tcBorders>
            <w:vAlign w:val="bottom"/>
          </w:tcPr>
          <w:p w:rsidR="00CC2659" w:rsidRPr="00AA5C00" w:rsidRDefault="00CC2659" w:rsidP="00CC2659">
            <w:pPr>
              <w:keepNext/>
              <w:jc w:val="left"/>
              <w:rPr>
                <w:rFonts w:eastAsia="Times New Roman"/>
                <w:sz w:val="24"/>
                <w:szCs w:val="24"/>
                <w:lang w:eastAsia="ru-RU"/>
              </w:rPr>
            </w:pPr>
            <w:r w:rsidRPr="00AA5C00">
              <w:rPr>
                <w:rFonts w:eastAsia="Times New Roman"/>
                <w:sz w:val="24"/>
                <w:szCs w:val="24"/>
                <w:lang w:eastAsia="ru-RU"/>
              </w:rPr>
              <w:t>Індекс здоров’я новонароджених</w:t>
            </w:r>
          </w:p>
        </w:tc>
        <w:tc>
          <w:tcPr>
            <w:tcW w:w="968"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sz w:val="24"/>
                <w:szCs w:val="24"/>
                <w:lang w:eastAsia="ru-RU"/>
              </w:rPr>
            </w:pPr>
            <w:r w:rsidRPr="00AA5C00">
              <w:rPr>
                <w:rFonts w:eastAsia="Times New Roman"/>
                <w:sz w:val="24"/>
                <w:szCs w:val="24"/>
                <w:lang w:eastAsia="ru-RU"/>
              </w:rPr>
              <w:t>85,5</w:t>
            </w:r>
          </w:p>
        </w:tc>
        <w:tc>
          <w:tcPr>
            <w:tcW w:w="969"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color w:val="000000"/>
                <w:sz w:val="24"/>
                <w:szCs w:val="24"/>
                <w:lang w:eastAsia="ru-RU"/>
              </w:rPr>
            </w:pPr>
            <w:r w:rsidRPr="00AA5C00">
              <w:rPr>
                <w:rFonts w:eastAsia="Times New Roman"/>
                <w:color w:val="000000"/>
                <w:sz w:val="24"/>
                <w:szCs w:val="24"/>
                <w:lang w:eastAsia="ru-RU"/>
              </w:rPr>
              <w:t>84,64</w:t>
            </w:r>
          </w:p>
        </w:tc>
        <w:tc>
          <w:tcPr>
            <w:tcW w:w="968"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sz w:val="24"/>
                <w:szCs w:val="24"/>
                <w:lang w:eastAsia="ru-RU"/>
              </w:rPr>
            </w:pPr>
            <w:r w:rsidRPr="00AA5C00">
              <w:rPr>
                <w:rFonts w:eastAsia="Times New Roman"/>
                <w:sz w:val="24"/>
                <w:szCs w:val="24"/>
                <w:lang w:eastAsia="ru-RU"/>
              </w:rPr>
              <w:t>5,70</w:t>
            </w:r>
          </w:p>
        </w:tc>
        <w:tc>
          <w:tcPr>
            <w:tcW w:w="969"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color w:val="000000"/>
                <w:sz w:val="24"/>
                <w:szCs w:val="24"/>
                <w:lang w:eastAsia="ru-RU"/>
              </w:rPr>
            </w:pPr>
            <w:r w:rsidRPr="00AA5C00">
              <w:rPr>
                <w:rFonts w:eastAsia="Times New Roman"/>
                <w:color w:val="000000"/>
                <w:sz w:val="24"/>
                <w:szCs w:val="24"/>
                <w:lang w:eastAsia="ru-RU"/>
              </w:rPr>
              <w:t>5,97</w:t>
            </w:r>
          </w:p>
        </w:tc>
        <w:tc>
          <w:tcPr>
            <w:tcW w:w="968"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sz w:val="24"/>
                <w:szCs w:val="24"/>
                <w:lang w:eastAsia="ru-RU"/>
              </w:rPr>
            </w:pPr>
            <w:r w:rsidRPr="00AA5C00">
              <w:rPr>
                <w:rFonts w:eastAsia="Times New Roman"/>
                <w:sz w:val="24"/>
                <w:szCs w:val="24"/>
                <w:lang w:eastAsia="ru-RU"/>
              </w:rPr>
              <w:t>0,95</w:t>
            </w:r>
          </w:p>
        </w:tc>
        <w:tc>
          <w:tcPr>
            <w:tcW w:w="969"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color w:val="000000"/>
                <w:sz w:val="24"/>
                <w:szCs w:val="24"/>
                <w:lang w:eastAsia="ru-RU"/>
              </w:rPr>
            </w:pPr>
            <w:r w:rsidRPr="00AA5C00">
              <w:rPr>
                <w:rFonts w:eastAsia="Times New Roman"/>
                <w:color w:val="000000"/>
                <w:sz w:val="24"/>
                <w:szCs w:val="24"/>
                <w:lang w:eastAsia="ru-RU"/>
              </w:rPr>
              <w:t>1,00</w:t>
            </w:r>
          </w:p>
        </w:tc>
      </w:tr>
      <w:tr w:rsidR="00CC2659" w:rsidRPr="00AA5C00" w:rsidTr="00CC2659">
        <w:trPr>
          <w:trHeight w:val="244"/>
          <w:jc w:val="center"/>
        </w:trPr>
        <w:tc>
          <w:tcPr>
            <w:tcW w:w="4394" w:type="dxa"/>
            <w:tcBorders>
              <w:top w:val="single" w:sz="4" w:space="0" w:color="auto"/>
              <w:left w:val="single" w:sz="4" w:space="0" w:color="auto"/>
              <w:bottom w:val="single" w:sz="4" w:space="0" w:color="auto"/>
              <w:right w:val="single" w:sz="4" w:space="0" w:color="auto"/>
            </w:tcBorders>
            <w:vAlign w:val="bottom"/>
          </w:tcPr>
          <w:p w:rsidR="00CC2659" w:rsidRPr="00AA5C00" w:rsidRDefault="00CC2659" w:rsidP="00CC2659">
            <w:pPr>
              <w:keepNext/>
              <w:jc w:val="left"/>
              <w:rPr>
                <w:rFonts w:eastAsia="Times New Roman"/>
                <w:sz w:val="24"/>
                <w:szCs w:val="24"/>
                <w:lang w:eastAsia="ru-RU"/>
              </w:rPr>
            </w:pPr>
            <w:r w:rsidRPr="00AA5C00">
              <w:rPr>
                <w:rFonts w:eastAsia="Times New Roman"/>
                <w:sz w:val="24"/>
                <w:szCs w:val="24"/>
                <w:lang w:eastAsia="ru-RU"/>
              </w:rPr>
              <w:t xml:space="preserve">Рівень перинатальної смертності </w:t>
            </w:r>
          </w:p>
        </w:tc>
        <w:tc>
          <w:tcPr>
            <w:tcW w:w="968"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sz w:val="24"/>
                <w:szCs w:val="24"/>
                <w:lang w:eastAsia="ru-RU"/>
              </w:rPr>
            </w:pPr>
            <w:r w:rsidRPr="00AA5C00">
              <w:rPr>
                <w:rFonts w:eastAsia="Times New Roman"/>
                <w:sz w:val="24"/>
                <w:szCs w:val="24"/>
                <w:lang w:eastAsia="ru-RU"/>
              </w:rPr>
              <w:t>11,25</w:t>
            </w:r>
          </w:p>
        </w:tc>
        <w:tc>
          <w:tcPr>
            <w:tcW w:w="969"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color w:val="000000"/>
                <w:sz w:val="24"/>
                <w:szCs w:val="24"/>
                <w:lang w:eastAsia="ru-RU"/>
              </w:rPr>
            </w:pPr>
            <w:r w:rsidRPr="00AA5C00">
              <w:rPr>
                <w:rFonts w:eastAsia="Times New Roman"/>
                <w:color w:val="000000"/>
                <w:sz w:val="24"/>
                <w:szCs w:val="24"/>
                <w:lang w:eastAsia="ru-RU"/>
              </w:rPr>
              <w:t>11,50</w:t>
            </w:r>
          </w:p>
        </w:tc>
        <w:tc>
          <w:tcPr>
            <w:tcW w:w="968"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sz w:val="24"/>
                <w:szCs w:val="24"/>
                <w:lang w:eastAsia="ru-RU"/>
              </w:rPr>
            </w:pPr>
            <w:r w:rsidRPr="00AA5C00">
              <w:rPr>
                <w:rFonts w:eastAsia="Times New Roman"/>
                <w:sz w:val="24"/>
                <w:szCs w:val="24"/>
                <w:lang w:eastAsia="ru-RU"/>
              </w:rPr>
              <w:t>3,56</w:t>
            </w:r>
          </w:p>
        </w:tc>
        <w:tc>
          <w:tcPr>
            <w:tcW w:w="969"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color w:val="000000"/>
                <w:sz w:val="24"/>
                <w:szCs w:val="24"/>
                <w:lang w:eastAsia="ru-RU"/>
              </w:rPr>
            </w:pPr>
            <w:r w:rsidRPr="00AA5C00">
              <w:rPr>
                <w:rFonts w:eastAsia="Times New Roman"/>
                <w:color w:val="000000"/>
                <w:sz w:val="24"/>
                <w:szCs w:val="24"/>
                <w:lang w:eastAsia="ru-RU"/>
              </w:rPr>
              <w:t>3,38</w:t>
            </w:r>
          </w:p>
        </w:tc>
        <w:tc>
          <w:tcPr>
            <w:tcW w:w="968"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sz w:val="24"/>
                <w:szCs w:val="24"/>
                <w:lang w:eastAsia="ru-RU"/>
              </w:rPr>
            </w:pPr>
            <w:r w:rsidRPr="00AA5C00">
              <w:rPr>
                <w:rFonts w:eastAsia="Times New Roman"/>
                <w:sz w:val="24"/>
                <w:szCs w:val="24"/>
                <w:lang w:eastAsia="ru-RU"/>
              </w:rPr>
              <w:t>0,59</w:t>
            </w:r>
          </w:p>
        </w:tc>
        <w:tc>
          <w:tcPr>
            <w:tcW w:w="969"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color w:val="000000"/>
                <w:sz w:val="24"/>
                <w:szCs w:val="24"/>
                <w:lang w:eastAsia="ru-RU"/>
              </w:rPr>
            </w:pPr>
            <w:r w:rsidRPr="00AA5C00">
              <w:rPr>
                <w:rFonts w:eastAsia="Times New Roman"/>
                <w:color w:val="000000"/>
                <w:sz w:val="24"/>
                <w:szCs w:val="24"/>
                <w:lang w:eastAsia="ru-RU"/>
              </w:rPr>
              <w:t>0,56</w:t>
            </w:r>
          </w:p>
        </w:tc>
      </w:tr>
      <w:tr w:rsidR="00CC2659" w:rsidRPr="00AA5C00" w:rsidTr="00CC2659">
        <w:trPr>
          <w:trHeight w:val="450"/>
          <w:jc w:val="center"/>
        </w:trPr>
        <w:tc>
          <w:tcPr>
            <w:tcW w:w="4394"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rPr>
                <w:rFonts w:eastAsia="Times New Roman"/>
                <w:sz w:val="24"/>
                <w:szCs w:val="24"/>
                <w:lang w:eastAsia="ru-RU"/>
              </w:rPr>
            </w:pPr>
            <w:r w:rsidRPr="00AA5C00">
              <w:rPr>
                <w:rFonts w:eastAsia="Times New Roman"/>
                <w:sz w:val="24"/>
                <w:szCs w:val="24"/>
                <w:lang w:eastAsia="ru-RU"/>
              </w:rPr>
              <w:t>Співвідношення реального і фактичного показника ранньої неонатальної смертності</w:t>
            </w:r>
          </w:p>
        </w:tc>
        <w:tc>
          <w:tcPr>
            <w:tcW w:w="968"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sz w:val="24"/>
                <w:szCs w:val="24"/>
                <w:lang w:eastAsia="ru-RU"/>
              </w:rPr>
            </w:pPr>
            <w:r w:rsidRPr="00AA5C00">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color w:val="000000"/>
                <w:sz w:val="24"/>
                <w:szCs w:val="24"/>
                <w:lang w:eastAsia="ru-RU"/>
              </w:rPr>
            </w:pPr>
            <w:r w:rsidRPr="00AA5C00">
              <w:rPr>
                <w:rFonts w:eastAsia="Times New Roman"/>
                <w:color w:val="000000"/>
                <w:sz w:val="24"/>
                <w:szCs w:val="24"/>
                <w:lang w:eastAsia="ru-RU"/>
              </w:rPr>
              <w:t>1,65</w:t>
            </w:r>
          </w:p>
        </w:tc>
        <w:tc>
          <w:tcPr>
            <w:tcW w:w="968"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sz w:val="24"/>
                <w:szCs w:val="24"/>
                <w:lang w:eastAsia="ru-RU"/>
              </w:rPr>
            </w:pPr>
            <w:r w:rsidRPr="00AA5C00">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color w:val="000000"/>
                <w:sz w:val="24"/>
                <w:szCs w:val="24"/>
                <w:lang w:eastAsia="ru-RU"/>
              </w:rPr>
            </w:pPr>
            <w:r w:rsidRPr="00AA5C00">
              <w:rPr>
                <w:rFonts w:eastAsia="Times New Roman"/>
                <w:color w:val="000000"/>
                <w:sz w:val="24"/>
                <w:szCs w:val="24"/>
                <w:lang w:eastAsia="ru-RU"/>
              </w:rPr>
              <w:t>5,40</w:t>
            </w:r>
          </w:p>
        </w:tc>
        <w:tc>
          <w:tcPr>
            <w:tcW w:w="968"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sz w:val="24"/>
                <w:szCs w:val="24"/>
                <w:lang w:eastAsia="ru-RU"/>
              </w:rPr>
            </w:pPr>
            <w:r w:rsidRPr="00AA5C00">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color w:val="000000"/>
                <w:sz w:val="24"/>
                <w:szCs w:val="24"/>
                <w:lang w:eastAsia="ru-RU"/>
              </w:rPr>
            </w:pPr>
            <w:r w:rsidRPr="00AA5C00">
              <w:rPr>
                <w:rFonts w:eastAsia="Times New Roman"/>
                <w:color w:val="000000"/>
                <w:sz w:val="24"/>
                <w:szCs w:val="24"/>
                <w:lang w:eastAsia="ru-RU"/>
              </w:rPr>
              <w:t>0,90</w:t>
            </w:r>
          </w:p>
        </w:tc>
      </w:tr>
      <w:tr w:rsidR="00CC2659" w:rsidRPr="00AA5C00" w:rsidTr="00CC2659">
        <w:trPr>
          <w:trHeight w:val="216"/>
          <w:jc w:val="center"/>
        </w:trPr>
        <w:tc>
          <w:tcPr>
            <w:tcW w:w="4394"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left"/>
              <w:rPr>
                <w:rFonts w:eastAsia="Times New Roman"/>
                <w:sz w:val="24"/>
                <w:szCs w:val="24"/>
                <w:lang w:eastAsia="ru-RU"/>
              </w:rPr>
            </w:pPr>
            <w:r w:rsidRPr="00AA5C00">
              <w:rPr>
                <w:rFonts w:eastAsia="Times New Roman"/>
                <w:sz w:val="24"/>
                <w:szCs w:val="24"/>
                <w:lang w:eastAsia="ru-RU"/>
              </w:rPr>
              <w:t>Рівень неонатальної смертності</w:t>
            </w:r>
          </w:p>
        </w:tc>
        <w:tc>
          <w:tcPr>
            <w:tcW w:w="968"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sz w:val="24"/>
                <w:szCs w:val="24"/>
                <w:lang w:eastAsia="ru-RU"/>
              </w:rPr>
            </w:pPr>
            <w:r w:rsidRPr="00AA5C00">
              <w:rPr>
                <w:rFonts w:eastAsia="Times New Roman"/>
                <w:sz w:val="24"/>
                <w:szCs w:val="24"/>
                <w:lang w:eastAsia="ru-RU"/>
              </w:rPr>
              <w:t>4,69</w:t>
            </w:r>
          </w:p>
        </w:tc>
        <w:tc>
          <w:tcPr>
            <w:tcW w:w="969"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color w:val="000000"/>
                <w:sz w:val="24"/>
                <w:szCs w:val="24"/>
                <w:lang w:eastAsia="ru-RU"/>
              </w:rPr>
            </w:pPr>
            <w:r w:rsidRPr="00AA5C00">
              <w:rPr>
                <w:rFonts w:eastAsia="Times New Roman"/>
                <w:color w:val="000000"/>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sz w:val="24"/>
                <w:szCs w:val="24"/>
                <w:lang w:eastAsia="ru-RU"/>
              </w:rPr>
            </w:pPr>
            <w:r w:rsidRPr="00AA5C00">
              <w:rPr>
                <w:rFonts w:eastAsia="Times New Roman"/>
                <w:sz w:val="24"/>
                <w:szCs w:val="24"/>
                <w:lang w:eastAsia="ru-RU"/>
              </w:rPr>
              <w:t>4,97</w:t>
            </w:r>
          </w:p>
        </w:tc>
        <w:tc>
          <w:tcPr>
            <w:tcW w:w="969"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color w:val="000000"/>
                <w:sz w:val="24"/>
                <w:szCs w:val="24"/>
                <w:lang w:eastAsia="ru-RU"/>
              </w:rPr>
            </w:pPr>
            <w:r w:rsidRPr="00AA5C00">
              <w:rPr>
                <w:rFonts w:eastAsia="Times New Roman"/>
                <w:color w:val="000000"/>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sz w:val="24"/>
                <w:szCs w:val="24"/>
                <w:lang w:eastAsia="ru-RU"/>
              </w:rPr>
            </w:pPr>
            <w:r w:rsidRPr="00AA5C00">
              <w:rPr>
                <w:rFonts w:eastAsia="Times New Roman"/>
                <w:sz w:val="24"/>
                <w:szCs w:val="24"/>
                <w:lang w:eastAsia="ru-RU"/>
              </w:rPr>
              <w:t>0,83</w:t>
            </w:r>
          </w:p>
        </w:tc>
        <w:tc>
          <w:tcPr>
            <w:tcW w:w="969"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color w:val="000000"/>
                <w:sz w:val="24"/>
                <w:szCs w:val="24"/>
                <w:lang w:eastAsia="ru-RU"/>
              </w:rPr>
            </w:pPr>
            <w:r w:rsidRPr="00AA5C00">
              <w:rPr>
                <w:rFonts w:eastAsia="Times New Roman"/>
                <w:color w:val="000000"/>
                <w:sz w:val="24"/>
                <w:szCs w:val="24"/>
                <w:lang w:eastAsia="ru-RU"/>
              </w:rPr>
              <w:t>**</w:t>
            </w:r>
          </w:p>
        </w:tc>
      </w:tr>
      <w:tr w:rsidR="00CC2659" w:rsidRPr="00AA5C00" w:rsidTr="00CC2659">
        <w:trPr>
          <w:trHeight w:val="328"/>
          <w:jc w:val="center"/>
        </w:trPr>
        <w:tc>
          <w:tcPr>
            <w:tcW w:w="4394"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left"/>
              <w:rPr>
                <w:rFonts w:eastAsia="Times New Roman"/>
                <w:sz w:val="24"/>
                <w:szCs w:val="24"/>
                <w:lang w:eastAsia="ru-RU"/>
              </w:rPr>
            </w:pPr>
            <w:r w:rsidRPr="00AA5C00">
              <w:rPr>
                <w:rFonts w:eastAsia="Times New Roman"/>
                <w:sz w:val="24"/>
                <w:szCs w:val="24"/>
                <w:lang w:eastAsia="ru-RU"/>
              </w:rPr>
              <w:t xml:space="preserve">Рівень ранньої неонатальної смертності </w:t>
            </w:r>
          </w:p>
        </w:tc>
        <w:tc>
          <w:tcPr>
            <w:tcW w:w="968"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sz w:val="24"/>
                <w:szCs w:val="24"/>
                <w:lang w:eastAsia="ru-RU"/>
              </w:rPr>
            </w:pPr>
            <w:r w:rsidRPr="00AA5C00">
              <w:rPr>
                <w:rFonts w:eastAsia="Times New Roman"/>
                <w:sz w:val="24"/>
                <w:szCs w:val="24"/>
                <w:lang w:eastAsia="ru-RU"/>
              </w:rPr>
              <w:t>4,69</w:t>
            </w:r>
          </w:p>
        </w:tc>
        <w:tc>
          <w:tcPr>
            <w:tcW w:w="969"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color w:val="000000"/>
                <w:sz w:val="24"/>
                <w:szCs w:val="24"/>
                <w:lang w:eastAsia="ru-RU"/>
              </w:rPr>
            </w:pPr>
            <w:r w:rsidRPr="00AA5C00">
              <w:rPr>
                <w:rFonts w:eastAsia="Times New Roman"/>
                <w:color w:val="000000"/>
                <w:sz w:val="24"/>
                <w:szCs w:val="24"/>
                <w:lang w:eastAsia="ru-RU"/>
              </w:rPr>
              <w:t>3,85</w:t>
            </w:r>
          </w:p>
        </w:tc>
        <w:tc>
          <w:tcPr>
            <w:tcW w:w="968"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sz w:val="24"/>
                <w:szCs w:val="24"/>
                <w:lang w:eastAsia="ru-RU"/>
              </w:rPr>
            </w:pPr>
            <w:r w:rsidRPr="00AA5C00">
              <w:rPr>
                <w:rFonts w:eastAsia="Times New Roman"/>
                <w:sz w:val="24"/>
                <w:szCs w:val="24"/>
                <w:lang w:eastAsia="ru-RU"/>
              </w:rPr>
              <w:t>4,97</w:t>
            </w:r>
          </w:p>
        </w:tc>
        <w:tc>
          <w:tcPr>
            <w:tcW w:w="969"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color w:val="000000"/>
                <w:sz w:val="24"/>
                <w:szCs w:val="24"/>
                <w:lang w:eastAsia="ru-RU"/>
              </w:rPr>
            </w:pPr>
            <w:r w:rsidRPr="00AA5C00">
              <w:rPr>
                <w:rFonts w:eastAsia="Times New Roman"/>
                <w:color w:val="000000"/>
                <w:sz w:val="24"/>
                <w:szCs w:val="24"/>
                <w:lang w:eastAsia="ru-RU"/>
              </w:rPr>
              <w:t>4,13</w:t>
            </w:r>
          </w:p>
        </w:tc>
        <w:tc>
          <w:tcPr>
            <w:tcW w:w="968"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sz w:val="24"/>
                <w:szCs w:val="24"/>
                <w:lang w:eastAsia="ru-RU"/>
              </w:rPr>
            </w:pPr>
            <w:r w:rsidRPr="00AA5C00">
              <w:rPr>
                <w:rFonts w:eastAsia="Times New Roman"/>
                <w:sz w:val="24"/>
                <w:szCs w:val="24"/>
                <w:lang w:eastAsia="ru-RU"/>
              </w:rPr>
              <w:t>0,83</w:t>
            </w:r>
          </w:p>
        </w:tc>
        <w:tc>
          <w:tcPr>
            <w:tcW w:w="969"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color w:val="000000"/>
                <w:sz w:val="24"/>
                <w:szCs w:val="24"/>
                <w:lang w:eastAsia="ru-RU"/>
              </w:rPr>
            </w:pPr>
            <w:r w:rsidRPr="00AA5C00">
              <w:rPr>
                <w:rFonts w:eastAsia="Times New Roman"/>
                <w:color w:val="000000"/>
                <w:sz w:val="24"/>
                <w:szCs w:val="24"/>
                <w:lang w:eastAsia="ru-RU"/>
              </w:rPr>
              <w:t>0,69</w:t>
            </w:r>
          </w:p>
        </w:tc>
      </w:tr>
      <w:tr w:rsidR="00CC2659" w:rsidRPr="00AA5C00" w:rsidTr="00CC2659">
        <w:trPr>
          <w:trHeight w:val="275"/>
          <w:jc w:val="center"/>
        </w:trPr>
        <w:tc>
          <w:tcPr>
            <w:tcW w:w="4394" w:type="dxa"/>
            <w:tcBorders>
              <w:top w:val="single" w:sz="4" w:space="0" w:color="auto"/>
              <w:left w:val="single" w:sz="4" w:space="0" w:color="auto"/>
              <w:bottom w:val="single" w:sz="4" w:space="0" w:color="auto"/>
              <w:right w:val="single" w:sz="4" w:space="0" w:color="auto"/>
            </w:tcBorders>
            <w:vAlign w:val="bottom"/>
          </w:tcPr>
          <w:p w:rsidR="00CC2659" w:rsidRPr="00AA5C00" w:rsidRDefault="00CC2659" w:rsidP="00CC2659">
            <w:pPr>
              <w:keepNext/>
              <w:jc w:val="left"/>
              <w:rPr>
                <w:rFonts w:eastAsia="Times New Roman"/>
                <w:sz w:val="24"/>
                <w:szCs w:val="24"/>
                <w:lang w:eastAsia="ru-RU"/>
              </w:rPr>
            </w:pPr>
            <w:r w:rsidRPr="00AA5C00">
              <w:rPr>
                <w:rFonts w:eastAsia="Times New Roman"/>
                <w:sz w:val="24"/>
                <w:szCs w:val="24"/>
                <w:lang w:eastAsia="ru-RU"/>
              </w:rPr>
              <w:t xml:space="preserve">Рівень материнської смертності </w:t>
            </w:r>
          </w:p>
        </w:tc>
        <w:tc>
          <w:tcPr>
            <w:tcW w:w="968"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sz w:val="24"/>
                <w:szCs w:val="24"/>
                <w:lang w:eastAsia="ru-RU"/>
              </w:rPr>
            </w:pPr>
            <w:r w:rsidRPr="00AA5C00">
              <w:rPr>
                <w:rFonts w:eastAsia="Times New Roman"/>
                <w:sz w:val="24"/>
                <w:szCs w:val="24"/>
                <w:lang w:eastAsia="ru-RU"/>
              </w:rPr>
              <w:t>10,9</w:t>
            </w:r>
          </w:p>
        </w:tc>
        <w:tc>
          <w:tcPr>
            <w:tcW w:w="969"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color w:val="000000"/>
                <w:sz w:val="24"/>
                <w:szCs w:val="24"/>
                <w:lang w:eastAsia="ru-RU"/>
              </w:rPr>
            </w:pPr>
            <w:r w:rsidRPr="00AA5C00">
              <w:rPr>
                <w:rFonts w:eastAsia="Times New Roman"/>
                <w:color w:val="000000"/>
                <w:sz w:val="24"/>
                <w:szCs w:val="24"/>
                <w:lang w:eastAsia="ru-RU"/>
              </w:rPr>
              <w:t>15,9</w:t>
            </w:r>
          </w:p>
        </w:tc>
        <w:tc>
          <w:tcPr>
            <w:tcW w:w="968"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sz w:val="24"/>
                <w:szCs w:val="24"/>
                <w:lang w:eastAsia="ru-RU"/>
              </w:rPr>
            </w:pPr>
            <w:r w:rsidRPr="00AA5C00">
              <w:rPr>
                <w:rFonts w:eastAsia="Times New Roman"/>
                <w:sz w:val="24"/>
                <w:szCs w:val="24"/>
                <w:lang w:eastAsia="ru-RU"/>
              </w:rPr>
              <w:t>5,00</w:t>
            </w:r>
          </w:p>
        </w:tc>
        <w:tc>
          <w:tcPr>
            <w:tcW w:w="969"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color w:val="000000"/>
                <w:sz w:val="24"/>
                <w:szCs w:val="24"/>
                <w:lang w:eastAsia="ru-RU"/>
              </w:rPr>
            </w:pPr>
            <w:r w:rsidRPr="00AA5C00">
              <w:rPr>
                <w:rFonts w:eastAsia="Times New Roman"/>
                <w:color w:val="000000"/>
                <w:sz w:val="24"/>
                <w:szCs w:val="24"/>
                <w:lang w:eastAsia="ru-RU"/>
              </w:rPr>
              <w:t>2,8</w:t>
            </w:r>
          </w:p>
        </w:tc>
        <w:tc>
          <w:tcPr>
            <w:tcW w:w="968"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sz w:val="24"/>
                <w:szCs w:val="24"/>
                <w:lang w:eastAsia="ru-RU"/>
              </w:rPr>
            </w:pPr>
            <w:r w:rsidRPr="00AA5C00">
              <w:rPr>
                <w:rFonts w:eastAsia="Times New Roman"/>
                <w:sz w:val="24"/>
                <w:szCs w:val="24"/>
                <w:lang w:eastAsia="ru-RU"/>
              </w:rPr>
              <w:t>1,00</w:t>
            </w:r>
          </w:p>
        </w:tc>
        <w:tc>
          <w:tcPr>
            <w:tcW w:w="969"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color w:val="000000"/>
                <w:sz w:val="24"/>
                <w:szCs w:val="24"/>
                <w:lang w:eastAsia="ru-RU"/>
              </w:rPr>
            </w:pPr>
            <w:r w:rsidRPr="00AA5C00">
              <w:rPr>
                <w:rFonts w:eastAsia="Times New Roman"/>
                <w:color w:val="000000"/>
                <w:sz w:val="24"/>
                <w:szCs w:val="24"/>
                <w:lang w:eastAsia="ru-RU"/>
              </w:rPr>
              <w:t>0,56</w:t>
            </w:r>
          </w:p>
        </w:tc>
      </w:tr>
      <w:tr w:rsidR="00CC2659" w:rsidRPr="00AA5C00" w:rsidTr="00CC2659">
        <w:trPr>
          <w:trHeight w:val="275"/>
          <w:jc w:val="center"/>
        </w:trPr>
        <w:tc>
          <w:tcPr>
            <w:tcW w:w="4394" w:type="dxa"/>
            <w:tcBorders>
              <w:top w:val="single" w:sz="4" w:space="0" w:color="auto"/>
              <w:left w:val="single" w:sz="4" w:space="0" w:color="auto"/>
              <w:bottom w:val="single" w:sz="4" w:space="0" w:color="auto"/>
              <w:right w:val="single" w:sz="4" w:space="0" w:color="auto"/>
            </w:tcBorders>
            <w:vAlign w:val="bottom"/>
          </w:tcPr>
          <w:p w:rsidR="00CC2659" w:rsidRPr="00AA5C00" w:rsidRDefault="00CC2659" w:rsidP="00CC2659">
            <w:pPr>
              <w:keepNext/>
              <w:jc w:val="left"/>
              <w:rPr>
                <w:rFonts w:eastAsia="Times New Roman"/>
                <w:sz w:val="24"/>
                <w:szCs w:val="24"/>
                <w:lang w:eastAsia="ru-RU"/>
              </w:rPr>
            </w:pPr>
          </w:p>
        </w:tc>
        <w:tc>
          <w:tcPr>
            <w:tcW w:w="968"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sz w:val="24"/>
                <w:szCs w:val="24"/>
                <w:lang w:eastAsia="ru-RU"/>
              </w:rPr>
            </w:pPr>
          </w:p>
        </w:tc>
        <w:tc>
          <w:tcPr>
            <w:tcW w:w="969"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color w:val="000000"/>
                <w:sz w:val="24"/>
                <w:szCs w:val="24"/>
                <w:lang w:eastAsia="ru-RU"/>
              </w:rPr>
            </w:pPr>
          </w:p>
        </w:tc>
        <w:tc>
          <w:tcPr>
            <w:tcW w:w="968"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sz w:val="24"/>
                <w:szCs w:val="24"/>
                <w:lang w:eastAsia="ru-RU"/>
              </w:rPr>
            </w:pPr>
            <w:r w:rsidRPr="00AA5C00">
              <w:rPr>
                <w:rFonts w:eastAsia="Times New Roman"/>
                <w:sz w:val="24"/>
                <w:szCs w:val="24"/>
                <w:lang w:eastAsia="ru-RU"/>
              </w:rPr>
              <w:t>89,92</w:t>
            </w:r>
          </w:p>
        </w:tc>
        <w:tc>
          <w:tcPr>
            <w:tcW w:w="969"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color w:val="000000"/>
                <w:sz w:val="24"/>
                <w:szCs w:val="24"/>
                <w:lang w:eastAsia="ru-RU"/>
              </w:rPr>
            </w:pPr>
            <w:r w:rsidRPr="00AA5C00">
              <w:rPr>
                <w:rFonts w:eastAsia="Times New Roman"/>
                <w:color w:val="000000"/>
                <w:sz w:val="24"/>
                <w:szCs w:val="24"/>
                <w:lang w:eastAsia="ru-RU"/>
              </w:rPr>
              <w:t>104,4</w:t>
            </w:r>
          </w:p>
        </w:tc>
        <w:tc>
          <w:tcPr>
            <w:tcW w:w="968"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sz w:val="24"/>
                <w:szCs w:val="24"/>
                <w:lang w:eastAsia="ru-RU"/>
              </w:rPr>
            </w:pPr>
            <w:r w:rsidRPr="00AA5C00">
              <w:rPr>
                <w:rFonts w:eastAsia="Times New Roman"/>
                <w:sz w:val="24"/>
                <w:szCs w:val="24"/>
                <w:lang w:eastAsia="ru-RU"/>
              </w:rPr>
              <w:t>0,75</w:t>
            </w:r>
          </w:p>
        </w:tc>
        <w:tc>
          <w:tcPr>
            <w:tcW w:w="969" w:type="dxa"/>
            <w:tcBorders>
              <w:top w:val="single" w:sz="4" w:space="0" w:color="auto"/>
              <w:left w:val="single" w:sz="4" w:space="0" w:color="auto"/>
              <w:bottom w:val="single" w:sz="4" w:space="0" w:color="auto"/>
              <w:right w:val="single" w:sz="4" w:space="0" w:color="auto"/>
            </w:tcBorders>
            <w:vAlign w:val="center"/>
          </w:tcPr>
          <w:p w:rsidR="00CC2659" w:rsidRPr="00AA5C00" w:rsidRDefault="00CC2659" w:rsidP="00CC2659">
            <w:pPr>
              <w:keepNext/>
              <w:jc w:val="center"/>
              <w:rPr>
                <w:rFonts w:eastAsia="Times New Roman"/>
                <w:color w:val="000000"/>
                <w:sz w:val="24"/>
                <w:szCs w:val="24"/>
                <w:lang w:eastAsia="ru-RU"/>
              </w:rPr>
            </w:pPr>
            <w:r w:rsidRPr="00AA5C00">
              <w:rPr>
                <w:rFonts w:eastAsia="Times New Roman"/>
                <w:color w:val="000000"/>
                <w:sz w:val="24"/>
                <w:szCs w:val="24"/>
                <w:lang w:eastAsia="ru-RU"/>
              </w:rPr>
              <w:t>0,80</w:t>
            </w:r>
          </w:p>
        </w:tc>
      </w:tr>
    </w:tbl>
    <w:p w:rsidR="00C43972" w:rsidRPr="00C43972" w:rsidRDefault="00C43972" w:rsidP="00C43972">
      <w:pPr>
        <w:tabs>
          <w:tab w:val="left" w:pos="7619"/>
        </w:tabs>
        <w:spacing w:after="160" w:line="259" w:lineRule="auto"/>
        <w:jc w:val="left"/>
        <w:rPr>
          <w:rFonts w:eastAsia="Calibri"/>
          <w:b/>
          <w:szCs w:val="28"/>
        </w:rPr>
      </w:pPr>
    </w:p>
    <w:p w:rsidR="00C43972" w:rsidRPr="00C43972" w:rsidRDefault="00C43972" w:rsidP="00C46251">
      <w:pPr>
        <w:keepNext/>
        <w:jc w:val="right"/>
        <w:rPr>
          <w:rFonts w:eastAsia="Times New Roman"/>
          <w:bCs/>
          <w:i/>
          <w:iCs/>
          <w:color w:val="000000"/>
          <w:szCs w:val="28"/>
          <w:lang w:eastAsia="uk-UA"/>
        </w:rPr>
      </w:pPr>
      <w:r w:rsidRPr="00C43972">
        <w:rPr>
          <w:rFonts w:eastAsia="Times New Roman"/>
          <w:sz w:val="24"/>
          <w:szCs w:val="24"/>
          <w:lang w:eastAsia="ru-RU"/>
        </w:rPr>
        <w:lastRenderedPageBreak/>
        <w:t xml:space="preserve">                                                                           </w:t>
      </w:r>
      <w:r w:rsidR="00535BCC">
        <w:rPr>
          <w:rFonts w:eastAsia="Times New Roman"/>
          <w:szCs w:val="28"/>
          <w:lang w:eastAsia="ru-RU"/>
        </w:rPr>
        <w:t>Додаток Е</w:t>
      </w:r>
      <w:r w:rsidRPr="00C43972">
        <w:rPr>
          <w:rFonts w:eastAsia="Times New Roman"/>
          <w:szCs w:val="28"/>
          <w:lang w:eastAsia="ru-RU"/>
        </w:rPr>
        <w:t>-7</w:t>
      </w:r>
    </w:p>
    <w:p w:rsidR="00C43972" w:rsidRPr="00C43972" w:rsidRDefault="00C43972" w:rsidP="00C46251">
      <w:pPr>
        <w:keepNext/>
        <w:jc w:val="center"/>
        <w:rPr>
          <w:rFonts w:eastAsia="Times New Roman"/>
          <w:b/>
          <w:sz w:val="24"/>
          <w:szCs w:val="24"/>
          <w:lang w:eastAsia="ru-RU"/>
        </w:rPr>
      </w:pPr>
      <w:r w:rsidRPr="00C43972">
        <w:rPr>
          <w:rFonts w:eastAsia="Times New Roman"/>
          <w:b/>
          <w:bCs/>
          <w:iCs/>
          <w:color w:val="000000"/>
          <w:szCs w:val="28"/>
          <w:lang w:eastAsia="uk-UA"/>
        </w:rPr>
        <w:t xml:space="preserve">Комплексна оцінка діяльності закладів перинатальної допомоги Донецької </w:t>
      </w:r>
      <w:r w:rsidRPr="00C43972">
        <w:rPr>
          <w:rFonts w:eastAsia="Times New Roman"/>
          <w:b/>
          <w:bCs/>
          <w:iCs/>
          <w:color w:val="000000"/>
          <w:sz w:val="26"/>
          <w:szCs w:val="26"/>
          <w:lang w:eastAsia="uk-UA"/>
        </w:rPr>
        <w:t xml:space="preserve">області у </w:t>
      </w:r>
      <w:r w:rsidRPr="00C43972">
        <w:rPr>
          <w:rFonts w:eastAsia="Times New Roman"/>
          <w:b/>
          <w:bCs/>
          <w:iCs/>
          <w:color w:val="000000"/>
          <w:szCs w:val="28"/>
          <w:lang w:eastAsia="uk-UA"/>
        </w:rPr>
        <w:t>2017–2018 рр.</w:t>
      </w:r>
    </w:p>
    <w:tbl>
      <w:tblPr>
        <w:tblW w:w="10277" w:type="dxa"/>
        <w:jc w:val="center"/>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36"/>
        <w:gridCol w:w="968"/>
        <w:gridCol w:w="969"/>
        <w:gridCol w:w="968"/>
        <w:gridCol w:w="969"/>
        <w:gridCol w:w="968"/>
        <w:gridCol w:w="899"/>
      </w:tblGrid>
      <w:tr w:rsidR="00547F1A" w:rsidRPr="00547F1A" w:rsidTr="004B24A2">
        <w:trPr>
          <w:cantSplit/>
          <w:trHeight w:val="652"/>
          <w:jc w:val="center"/>
        </w:trPr>
        <w:tc>
          <w:tcPr>
            <w:tcW w:w="4536" w:type="dxa"/>
            <w:vMerge w:val="restart"/>
            <w:tcBorders>
              <w:top w:val="single" w:sz="4" w:space="0" w:color="auto"/>
              <w:left w:val="single" w:sz="4" w:space="0" w:color="auto"/>
              <w:right w:val="single" w:sz="4" w:space="0" w:color="auto"/>
            </w:tcBorders>
            <w:vAlign w:val="center"/>
            <w:hideMark/>
          </w:tcPr>
          <w:p w:rsidR="00547F1A" w:rsidRPr="00547F1A" w:rsidRDefault="00547F1A" w:rsidP="00EC0FF2">
            <w:pPr>
              <w:keepNext/>
              <w:spacing w:line="240" w:lineRule="auto"/>
              <w:jc w:val="center"/>
              <w:rPr>
                <w:rFonts w:eastAsia="Times New Roman"/>
                <w:color w:val="000000"/>
                <w:sz w:val="24"/>
                <w:szCs w:val="24"/>
                <w:lang w:eastAsia="uk-UA"/>
              </w:rPr>
            </w:pPr>
            <w:r w:rsidRPr="00547F1A">
              <w:rPr>
                <w:rFonts w:eastAsia="Times New Roman"/>
                <w:color w:val="000000"/>
                <w:sz w:val="24"/>
                <w:szCs w:val="24"/>
                <w:lang w:eastAsia="uk-UA"/>
              </w:rPr>
              <w:t>Індикатор якості</w:t>
            </w:r>
          </w:p>
        </w:tc>
        <w:tc>
          <w:tcPr>
            <w:tcW w:w="1937" w:type="dxa"/>
            <w:gridSpan w:val="2"/>
            <w:tcBorders>
              <w:top w:val="single" w:sz="4" w:space="0" w:color="auto"/>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jc w:val="center"/>
              <w:rPr>
                <w:rFonts w:eastAsia="Times New Roman"/>
                <w:color w:val="000000"/>
                <w:sz w:val="24"/>
                <w:szCs w:val="24"/>
                <w:lang w:eastAsia="uk-UA"/>
              </w:rPr>
            </w:pPr>
            <w:r w:rsidRPr="00547F1A">
              <w:rPr>
                <w:rFonts w:eastAsia="Times New Roman"/>
                <w:color w:val="000000"/>
                <w:sz w:val="24"/>
                <w:szCs w:val="24"/>
                <w:lang w:eastAsia="uk-UA"/>
              </w:rPr>
              <w:t xml:space="preserve">Фактичний показник, </w:t>
            </w:r>
            <w:r w:rsidRPr="00547F1A">
              <w:rPr>
                <w:rFonts w:eastAsia="Times New Roman"/>
                <w:sz w:val="24"/>
                <w:szCs w:val="24"/>
                <w:lang w:eastAsia="uk-UA"/>
              </w:rPr>
              <w:t>Україна</w:t>
            </w:r>
          </w:p>
        </w:tc>
        <w:tc>
          <w:tcPr>
            <w:tcW w:w="1937" w:type="dxa"/>
            <w:gridSpan w:val="2"/>
            <w:tcBorders>
              <w:top w:val="single" w:sz="4" w:space="0" w:color="auto"/>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jc w:val="center"/>
              <w:rPr>
                <w:rFonts w:eastAsia="Times New Roman"/>
                <w:color w:val="000000"/>
                <w:sz w:val="24"/>
                <w:szCs w:val="24"/>
                <w:lang w:eastAsia="uk-UA"/>
              </w:rPr>
            </w:pPr>
            <w:r w:rsidRPr="00547F1A">
              <w:rPr>
                <w:rFonts w:eastAsia="Times New Roman"/>
                <w:color w:val="000000"/>
                <w:sz w:val="24"/>
                <w:szCs w:val="24"/>
                <w:lang w:eastAsia="uk-UA"/>
              </w:rPr>
              <w:t>Бальна оцінка фактичного показника</w:t>
            </w:r>
          </w:p>
        </w:tc>
        <w:tc>
          <w:tcPr>
            <w:tcW w:w="1867" w:type="dxa"/>
            <w:gridSpan w:val="2"/>
            <w:tcBorders>
              <w:top w:val="single" w:sz="4" w:space="0" w:color="auto"/>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jc w:val="center"/>
              <w:rPr>
                <w:rFonts w:eastAsia="Times New Roman"/>
                <w:color w:val="000000"/>
                <w:sz w:val="24"/>
                <w:szCs w:val="24"/>
                <w:lang w:eastAsia="uk-UA"/>
              </w:rPr>
            </w:pPr>
            <w:r w:rsidRPr="00547F1A">
              <w:rPr>
                <w:rFonts w:eastAsia="Times New Roman"/>
                <w:color w:val="000000"/>
                <w:sz w:val="24"/>
                <w:szCs w:val="24"/>
                <w:lang w:eastAsia="uk-UA"/>
              </w:rPr>
              <w:t>КДНЗ</w:t>
            </w:r>
          </w:p>
        </w:tc>
      </w:tr>
      <w:tr w:rsidR="00547F1A" w:rsidRPr="00547F1A" w:rsidTr="004B24A2">
        <w:trPr>
          <w:trHeight w:val="404"/>
          <w:jc w:val="center"/>
        </w:trPr>
        <w:tc>
          <w:tcPr>
            <w:tcW w:w="4536" w:type="dxa"/>
            <w:vMerge/>
            <w:tcBorders>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jc w:val="left"/>
              <w:rPr>
                <w:rFonts w:eastAsia="Times New Roman"/>
                <w:sz w:val="24"/>
                <w:szCs w:val="24"/>
                <w:lang w:eastAsia="ru-RU"/>
              </w:rPr>
            </w:pPr>
          </w:p>
        </w:tc>
        <w:tc>
          <w:tcPr>
            <w:tcW w:w="968" w:type="dxa"/>
            <w:tcBorders>
              <w:top w:val="single" w:sz="4" w:space="0" w:color="auto"/>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jc w:val="center"/>
              <w:rPr>
                <w:rFonts w:eastAsia="Times New Roman"/>
                <w:sz w:val="24"/>
                <w:szCs w:val="24"/>
                <w:lang w:eastAsia="ru-RU"/>
              </w:rPr>
            </w:pPr>
            <w:r w:rsidRPr="00547F1A">
              <w:rPr>
                <w:rFonts w:eastAsia="Times New Roman"/>
                <w:sz w:val="24"/>
                <w:szCs w:val="24"/>
                <w:lang w:eastAsia="ru-RU"/>
              </w:rPr>
              <w:t>2017 р.</w:t>
            </w:r>
          </w:p>
        </w:tc>
        <w:tc>
          <w:tcPr>
            <w:tcW w:w="969" w:type="dxa"/>
            <w:tcBorders>
              <w:top w:val="single" w:sz="4" w:space="0" w:color="auto"/>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jc w:val="center"/>
              <w:rPr>
                <w:rFonts w:eastAsia="Times New Roman"/>
                <w:color w:val="000000"/>
                <w:sz w:val="24"/>
                <w:szCs w:val="24"/>
                <w:lang w:eastAsia="ru-RU"/>
              </w:rPr>
            </w:pPr>
            <w:r w:rsidRPr="00547F1A">
              <w:rPr>
                <w:rFonts w:eastAsia="Times New Roman"/>
                <w:color w:val="000000"/>
                <w:sz w:val="24"/>
                <w:szCs w:val="24"/>
                <w:lang w:eastAsia="ru-RU"/>
              </w:rPr>
              <w:t>2018 р.</w:t>
            </w:r>
          </w:p>
        </w:tc>
        <w:tc>
          <w:tcPr>
            <w:tcW w:w="968" w:type="dxa"/>
            <w:tcBorders>
              <w:top w:val="single" w:sz="4" w:space="0" w:color="auto"/>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jc w:val="center"/>
              <w:rPr>
                <w:rFonts w:eastAsia="Times New Roman"/>
                <w:sz w:val="24"/>
                <w:szCs w:val="24"/>
                <w:lang w:eastAsia="ru-RU"/>
              </w:rPr>
            </w:pPr>
            <w:r w:rsidRPr="00547F1A">
              <w:rPr>
                <w:rFonts w:eastAsia="Times New Roman"/>
                <w:sz w:val="24"/>
                <w:szCs w:val="24"/>
                <w:lang w:eastAsia="ru-RU"/>
              </w:rPr>
              <w:t>2017 р.</w:t>
            </w:r>
          </w:p>
        </w:tc>
        <w:tc>
          <w:tcPr>
            <w:tcW w:w="969" w:type="dxa"/>
            <w:tcBorders>
              <w:top w:val="single" w:sz="4" w:space="0" w:color="auto"/>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jc w:val="center"/>
              <w:rPr>
                <w:rFonts w:eastAsia="Times New Roman"/>
                <w:sz w:val="24"/>
                <w:szCs w:val="24"/>
                <w:lang w:eastAsia="ru-RU"/>
              </w:rPr>
            </w:pPr>
            <w:r w:rsidRPr="00547F1A">
              <w:rPr>
                <w:rFonts w:eastAsia="Times New Roman"/>
                <w:sz w:val="24"/>
                <w:szCs w:val="24"/>
                <w:lang w:eastAsia="ru-RU"/>
              </w:rPr>
              <w:t>2017 р.</w:t>
            </w:r>
          </w:p>
        </w:tc>
        <w:tc>
          <w:tcPr>
            <w:tcW w:w="968" w:type="dxa"/>
            <w:tcBorders>
              <w:top w:val="single" w:sz="4" w:space="0" w:color="auto"/>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jc w:val="center"/>
              <w:rPr>
                <w:rFonts w:eastAsia="Times New Roman"/>
                <w:color w:val="000000"/>
                <w:sz w:val="24"/>
                <w:szCs w:val="24"/>
                <w:lang w:eastAsia="ru-RU"/>
              </w:rPr>
            </w:pPr>
            <w:r w:rsidRPr="00547F1A">
              <w:rPr>
                <w:rFonts w:eastAsia="Times New Roman"/>
                <w:color w:val="000000"/>
                <w:sz w:val="24"/>
                <w:szCs w:val="24"/>
                <w:lang w:eastAsia="ru-RU"/>
              </w:rPr>
              <w:t>2018 р.</w:t>
            </w:r>
          </w:p>
        </w:tc>
        <w:tc>
          <w:tcPr>
            <w:tcW w:w="899" w:type="dxa"/>
            <w:tcBorders>
              <w:top w:val="single" w:sz="4" w:space="0" w:color="auto"/>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jc w:val="center"/>
              <w:rPr>
                <w:rFonts w:eastAsia="Times New Roman"/>
                <w:sz w:val="24"/>
                <w:szCs w:val="24"/>
                <w:lang w:eastAsia="ru-RU"/>
              </w:rPr>
            </w:pPr>
            <w:r w:rsidRPr="00547F1A">
              <w:rPr>
                <w:rFonts w:eastAsia="Times New Roman"/>
                <w:sz w:val="24"/>
                <w:szCs w:val="24"/>
                <w:lang w:eastAsia="ru-RU"/>
              </w:rPr>
              <w:t>2017 р.</w:t>
            </w:r>
          </w:p>
        </w:tc>
      </w:tr>
      <w:tr w:rsidR="00547F1A" w:rsidRPr="00547F1A" w:rsidTr="004B24A2">
        <w:trPr>
          <w:trHeight w:val="404"/>
          <w:jc w:val="center"/>
        </w:trPr>
        <w:tc>
          <w:tcPr>
            <w:tcW w:w="4536" w:type="dxa"/>
            <w:tcBorders>
              <w:top w:val="single" w:sz="4" w:space="0" w:color="auto"/>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jc w:val="left"/>
              <w:rPr>
                <w:rFonts w:eastAsia="Times New Roman"/>
                <w:sz w:val="24"/>
                <w:szCs w:val="24"/>
                <w:lang w:eastAsia="ru-RU"/>
              </w:rPr>
            </w:pPr>
            <w:r w:rsidRPr="00547F1A">
              <w:rPr>
                <w:rFonts w:eastAsia="Times New Roman"/>
                <w:sz w:val="24"/>
                <w:szCs w:val="24"/>
                <w:lang w:eastAsia="ru-RU"/>
              </w:rPr>
              <w:t>Забезпеченість  лікарями акушер-гінекологами</w:t>
            </w:r>
          </w:p>
        </w:tc>
        <w:tc>
          <w:tcPr>
            <w:tcW w:w="968" w:type="dxa"/>
            <w:tcBorders>
              <w:top w:val="single" w:sz="4" w:space="0" w:color="auto"/>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jc w:val="center"/>
              <w:rPr>
                <w:rFonts w:eastAsia="Times New Roman"/>
                <w:sz w:val="24"/>
                <w:szCs w:val="24"/>
                <w:lang w:eastAsia="ru-RU"/>
              </w:rPr>
            </w:pPr>
            <w:r w:rsidRPr="00547F1A">
              <w:rPr>
                <w:rFonts w:eastAsia="Times New Roman"/>
                <w:sz w:val="24"/>
                <w:szCs w:val="24"/>
                <w:lang w:eastAsia="ru-RU"/>
              </w:rPr>
              <w:t>3,24</w:t>
            </w:r>
          </w:p>
        </w:tc>
        <w:tc>
          <w:tcPr>
            <w:tcW w:w="969" w:type="dxa"/>
            <w:tcBorders>
              <w:top w:val="single" w:sz="4" w:space="0" w:color="auto"/>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jc w:val="center"/>
              <w:rPr>
                <w:rFonts w:eastAsia="Times New Roman"/>
                <w:sz w:val="24"/>
                <w:szCs w:val="24"/>
                <w:lang w:eastAsia="ru-RU"/>
              </w:rPr>
            </w:pPr>
            <w:r w:rsidRPr="00547F1A">
              <w:rPr>
                <w:rFonts w:eastAsia="Times New Roman"/>
                <w:sz w:val="24"/>
                <w:szCs w:val="24"/>
                <w:lang w:eastAsia="ru-RU"/>
              </w:rPr>
              <w:t>3,09</w:t>
            </w:r>
          </w:p>
        </w:tc>
        <w:tc>
          <w:tcPr>
            <w:tcW w:w="968" w:type="dxa"/>
            <w:tcBorders>
              <w:top w:val="single" w:sz="4" w:space="0" w:color="auto"/>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jc w:val="center"/>
              <w:rPr>
                <w:rFonts w:eastAsia="Times New Roman"/>
                <w:sz w:val="24"/>
                <w:szCs w:val="24"/>
                <w:lang w:eastAsia="ru-RU"/>
              </w:rPr>
            </w:pPr>
            <w:r w:rsidRPr="00547F1A">
              <w:rPr>
                <w:rFonts w:eastAsia="Times New Roman"/>
                <w:sz w:val="24"/>
                <w:szCs w:val="24"/>
                <w:lang w:eastAsia="ru-RU"/>
              </w:rPr>
              <w:t>3,53</w:t>
            </w:r>
          </w:p>
        </w:tc>
        <w:tc>
          <w:tcPr>
            <w:tcW w:w="969" w:type="dxa"/>
            <w:tcBorders>
              <w:top w:val="single" w:sz="4" w:space="0" w:color="auto"/>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jc w:val="center"/>
              <w:rPr>
                <w:rFonts w:eastAsia="Times New Roman"/>
                <w:sz w:val="24"/>
                <w:szCs w:val="24"/>
                <w:lang w:eastAsia="ru-RU"/>
              </w:rPr>
            </w:pPr>
            <w:r w:rsidRPr="00547F1A">
              <w:rPr>
                <w:rFonts w:eastAsia="Times New Roman"/>
                <w:sz w:val="24"/>
                <w:szCs w:val="24"/>
                <w:lang w:eastAsia="ru-RU"/>
              </w:rPr>
              <w:t>3,37</w:t>
            </w:r>
          </w:p>
        </w:tc>
        <w:tc>
          <w:tcPr>
            <w:tcW w:w="968" w:type="dxa"/>
            <w:tcBorders>
              <w:top w:val="single" w:sz="4" w:space="0" w:color="auto"/>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jc w:val="center"/>
              <w:rPr>
                <w:rFonts w:eastAsia="Times New Roman"/>
                <w:sz w:val="24"/>
                <w:szCs w:val="24"/>
                <w:lang w:eastAsia="ru-RU"/>
              </w:rPr>
            </w:pPr>
            <w:r w:rsidRPr="00547F1A">
              <w:rPr>
                <w:rFonts w:eastAsia="Times New Roman"/>
                <w:sz w:val="24"/>
                <w:szCs w:val="24"/>
                <w:lang w:eastAsia="ru-RU"/>
              </w:rPr>
              <w:t>0,59</w:t>
            </w:r>
          </w:p>
        </w:tc>
        <w:tc>
          <w:tcPr>
            <w:tcW w:w="899" w:type="dxa"/>
            <w:tcBorders>
              <w:top w:val="single" w:sz="4" w:space="0" w:color="auto"/>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jc w:val="center"/>
              <w:rPr>
                <w:rFonts w:eastAsia="Times New Roman"/>
                <w:sz w:val="24"/>
                <w:szCs w:val="24"/>
                <w:lang w:eastAsia="ru-RU"/>
              </w:rPr>
            </w:pPr>
            <w:r w:rsidRPr="00547F1A">
              <w:rPr>
                <w:rFonts w:eastAsia="Times New Roman"/>
                <w:sz w:val="24"/>
                <w:szCs w:val="24"/>
                <w:lang w:eastAsia="ru-RU"/>
              </w:rPr>
              <w:t>0,56</w:t>
            </w:r>
          </w:p>
        </w:tc>
      </w:tr>
      <w:tr w:rsidR="00547F1A" w:rsidRPr="00547F1A" w:rsidTr="004B24A2">
        <w:trPr>
          <w:trHeight w:val="404"/>
          <w:jc w:val="center"/>
        </w:trPr>
        <w:tc>
          <w:tcPr>
            <w:tcW w:w="4536" w:type="dxa"/>
            <w:tcBorders>
              <w:top w:val="single" w:sz="4" w:space="0" w:color="auto"/>
              <w:left w:val="single" w:sz="4" w:space="0" w:color="auto"/>
              <w:bottom w:val="single" w:sz="4" w:space="0" w:color="auto"/>
              <w:right w:val="single" w:sz="4" w:space="0" w:color="auto"/>
            </w:tcBorders>
            <w:vAlign w:val="bottom"/>
          </w:tcPr>
          <w:p w:rsidR="00547F1A" w:rsidRPr="00547F1A" w:rsidRDefault="00547F1A" w:rsidP="00EC0FF2">
            <w:pPr>
              <w:keepNext/>
              <w:spacing w:line="240" w:lineRule="auto"/>
              <w:jc w:val="left"/>
              <w:rPr>
                <w:rFonts w:eastAsia="Times New Roman"/>
                <w:sz w:val="24"/>
                <w:szCs w:val="24"/>
                <w:lang w:eastAsia="ru-RU"/>
              </w:rPr>
            </w:pPr>
            <w:r w:rsidRPr="00547F1A">
              <w:rPr>
                <w:rFonts w:eastAsia="Times New Roman"/>
                <w:sz w:val="24"/>
                <w:szCs w:val="24"/>
                <w:lang w:eastAsia="ru-RU"/>
              </w:rPr>
              <w:t>Забезпеченість  лікарями  педіатрами-неонатологами5</w:t>
            </w:r>
          </w:p>
        </w:tc>
        <w:tc>
          <w:tcPr>
            <w:tcW w:w="968" w:type="dxa"/>
            <w:tcBorders>
              <w:top w:val="single" w:sz="4" w:space="0" w:color="auto"/>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jc w:val="center"/>
              <w:rPr>
                <w:rFonts w:eastAsia="Times New Roman"/>
                <w:sz w:val="24"/>
                <w:szCs w:val="24"/>
                <w:lang w:eastAsia="ru-RU"/>
              </w:rPr>
            </w:pPr>
            <w:r w:rsidRPr="00547F1A">
              <w:rPr>
                <w:rFonts w:eastAsia="Times New Roman"/>
                <w:sz w:val="24"/>
                <w:szCs w:val="24"/>
                <w:lang w:eastAsia="ru-RU"/>
              </w:rPr>
              <w:t>3,93</w:t>
            </w:r>
          </w:p>
        </w:tc>
        <w:tc>
          <w:tcPr>
            <w:tcW w:w="969" w:type="dxa"/>
            <w:tcBorders>
              <w:top w:val="single" w:sz="4" w:space="0" w:color="auto"/>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ind w:left="-108" w:firstLine="108"/>
              <w:jc w:val="center"/>
              <w:rPr>
                <w:rFonts w:eastAsia="Times New Roman"/>
                <w:sz w:val="24"/>
                <w:szCs w:val="24"/>
                <w:lang w:eastAsia="ru-RU"/>
              </w:rPr>
            </w:pPr>
            <w:r w:rsidRPr="00547F1A">
              <w:rPr>
                <w:rFonts w:eastAsia="Times New Roman"/>
                <w:sz w:val="24"/>
                <w:szCs w:val="24"/>
                <w:lang w:eastAsia="ru-RU"/>
              </w:rPr>
              <w:t>5,59</w:t>
            </w:r>
          </w:p>
        </w:tc>
        <w:tc>
          <w:tcPr>
            <w:tcW w:w="968" w:type="dxa"/>
            <w:tcBorders>
              <w:top w:val="single" w:sz="4" w:space="0" w:color="auto"/>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jc w:val="center"/>
              <w:rPr>
                <w:rFonts w:eastAsia="Times New Roman"/>
                <w:sz w:val="24"/>
                <w:szCs w:val="24"/>
                <w:lang w:eastAsia="ru-RU"/>
              </w:rPr>
            </w:pPr>
            <w:r w:rsidRPr="00547F1A">
              <w:rPr>
                <w:rFonts w:eastAsia="Times New Roman"/>
                <w:sz w:val="24"/>
                <w:szCs w:val="24"/>
                <w:lang w:eastAsia="ru-RU"/>
              </w:rPr>
              <w:t>4,29</w:t>
            </w:r>
          </w:p>
        </w:tc>
        <w:tc>
          <w:tcPr>
            <w:tcW w:w="969" w:type="dxa"/>
            <w:tcBorders>
              <w:top w:val="single" w:sz="4" w:space="0" w:color="auto"/>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jc w:val="center"/>
              <w:rPr>
                <w:rFonts w:eastAsia="Times New Roman"/>
                <w:sz w:val="24"/>
                <w:szCs w:val="24"/>
                <w:lang w:eastAsia="ru-RU"/>
              </w:rPr>
            </w:pPr>
            <w:r w:rsidRPr="00547F1A">
              <w:rPr>
                <w:rFonts w:eastAsia="Times New Roman"/>
                <w:sz w:val="24"/>
                <w:szCs w:val="24"/>
                <w:lang w:eastAsia="ru-RU"/>
              </w:rPr>
              <w:t>6,0</w:t>
            </w:r>
          </w:p>
        </w:tc>
        <w:tc>
          <w:tcPr>
            <w:tcW w:w="968" w:type="dxa"/>
            <w:tcBorders>
              <w:top w:val="single" w:sz="4" w:space="0" w:color="auto"/>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jc w:val="center"/>
              <w:rPr>
                <w:rFonts w:eastAsia="Times New Roman"/>
                <w:sz w:val="24"/>
                <w:szCs w:val="24"/>
                <w:lang w:eastAsia="ru-RU"/>
              </w:rPr>
            </w:pPr>
            <w:r w:rsidRPr="00547F1A">
              <w:rPr>
                <w:rFonts w:eastAsia="Times New Roman"/>
                <w:sz w:val="24"/>
                <w:szCs w:val="24"/>
                <w:lang w:eastAsia="ru-RU"/>
              </w:rPr>
              <w:t>0,71</w:t>
            </w:r>
          </w:p>
        </w:tc>
        <w:tc>
          <w:tcPr>
            <w:tcW w:w="899" w:type="dxa"/>
            <w:tcBorders>
              <w:top w:val="single" w:sz="4" w:space="0" w:color="auto"/>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jc w:val="center"/>
              <w:rPr>
                <w:rFonts w:eastAsia="Times New Roman"/>
                <w:sz w:val="24"/>
                <w:szCs w:val="24"/>
                <w:lang w:eastAsia="ru-RU"/>
              </w:rPr>
            </w:pPr>
            <w:r w:rsidRPr="00547F1A">
              <w:rPr>
                <w:rFonts w:eastAsia="Times New Roman"/>
                <w:sz w:val="24"/>
                <w:szCs w:val="24"/>
                <w:lang w:eastAsia="ru-RU"/>
              </w:rPr>
              <w:t>1,00</w:t>
            </w:r>
          </w:p>
        </w:tc>
      </w:tr>
      <w:tr w:rsidR="00547F1A" w:rsidRPr="00547F1A" w:rsidTr="004B24A2">
        <w:trPr>
          <w:trHeight w:val="404"/>
          <w:jc w:val="center"/>
        </w:trPr>
        <w:tc>
          <w:tcPr>
            <w:tcW w:w="4536" w:type="dxa"/>
            <w:tcBorders>
              <w:top w:val="single" w:sz="4" w:space="0" w:color="auto"/>
              <w:left w:val="single" w:sz="4" w:space="0" w:color="auto"/>
              <w:bottom w:val="single" w:sz="4" w:space="0" w:color="auto"/>
              <w:right w:val="single" w:sz="4" w:space="0" w:color="auto"/>
            </w:tcBorders>
            <w:vAlign w:val="bottom"/>
          </w:tcPr>
          <w:p w:rsidR="00547F1A" w:rsidRPr="00547F1A" w:rsidRDefault="00547F1A" w:rsidP="00EC0FF2">
            <w:pPr>
              <w:keepNext/>
              <w:spacing w:line="240" w:lineRule="auto"/>
              <w:jc w:val="left"/>
              <w:rPr>
                <w:rFonts w:eastAsia="Times New Roman"/>
                <w:sz w:val="24"/>
                <w:szCs w:val="24"/>
                <w:lang w:eastAsia="ru-RU"/>
              </w:rPr>
            </w:pPr>
            <w:r w:rsidRPr="00547F1A">
              <w:rPr>
                <w:rFonts w:eastAsia="Times New Roman"/>
                <w:sz w:val="24"/>
                <w:szCs w:val="24"/>
                <w:lang w:eastAsia="ru-RU"/>
              </w:rPr>
              <w:t>Питома вага атестованих лікарів акушер-гінекологів</w:t>
            </w:r>
          </w:p>
        </w:tc>
        <w:tc>
          <w:tcPr>
            <w:tcW w:w="968" w:type="dxa"/>
            <w:tcBorders>
              <w:top w:val="single" w:sz="4" w:space="0" w:color="auto"/>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jc w:val="center"/>
              <w:rPr>
                <w:rFonts w:eastAsia="Times New Roman"/>
                <w:sz w:val="24"/>
                <w:szCs w:val="24"/>
                <w:lang w:eastAsia="ru-RU"/>
              </w:rPr>
            </w:pPr>
            <w:r w:rsidRPr="00547F1A">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jc w:val="center"/>
              <w:rPr>
                <w:rFonts w:eastAsia="Times New Roman"/>
                <w:sz w:val="24"/>
                <w:szCs w:val="24"/>
                <w:lang w:eastAsia="ru-RU"/>
              </w:rPr>
            </w:pPr>
            <w:r w:rsidRPr="00547F1A">
              <w:rPr>
                <w:rFonts w:eastAsia="Times New Roman"/>
                <w:sz w:val="24"/>
                <w:szCs w:val="24"/>
                <w:lang w:eastAsia="ru-RU"/>
              </w:rPr>
              <w:t>89,44</w:t>
            </w:r>
          </w:p>
        </w:tc>
        <w:tc>
          <w:tcPr>
            <w:tcW w:w="968" w:type="dxa"/>
            <w:tcBorders>
              <w:top w:val="single" w:sz="4" w:space="0" w:color="auto"/>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jc w:val="center"/>
              <w:rPr>
                <w:rFonts w:eastAsia="Times New Roman"/>
                <w:sz w:val="24"/>
                <w:szCs w:val="24"/>
                <w:lang w:eastAsia="ru-RU"/>
              </w:rPr>
            </w:pPr>
            <w:r w:rsidRPr="00547F1A">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jc w:val="center"/>
              <w:rPr>
                <w:rFonts w:eastAsia="Times New Roman"/>
                <w:sz w:val="24"/>
                <w:szCs w:val="24"/>
                <w:lang w:eastAsia="ru-RU"/>
              </w:rPr>
            </w:pPr>
            <w:r w:rsidRPr="00547F1A">
              <w:rPr>
                <w:rFonts w:eastAsia="Times New Roman"/>
                <w:sz w:val="24"/>
                <w:szCs w:val="24"/>
                <w:lang w:eastAsia="ru-RU"/>
              </w:rPr>
              <w:t>5,96</w:t>
            </w:r>
          </w:p>
        </w:tc>
        <w:tc>
          <w:tcPr>
            <w:tcW w:w="968" w:type="dxa"/>
            <w:tcBorders>
              <w:top w:val="single" w:sz="4" w:space="0" w:color="auto"/>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jc w:val="center"/>
              <w:rPr>
                <w:rFonts w:eastAsia="Times New Roman"/>
                <w:sz w:val="24"/>
                <w:szCs w:val="24"/>
                <w:lang w:eastAsia="ru-RU"/>
              </w:rPr>
            </w:pPr>
            <w:r w:rsidRPr="00547F1A">
              <w:rPr>
                <w:rFonts w:eastAsia="Times New Roman"/>
                <w:sz w:val="24"/>
                <w:szCs w:val="24"/>
                <w:lang w:eastAsia="ru-RU"/>
              </w:rPr>
              <w:t>*</w:t>
            </w:r>
          </w:p>
        </w:tc>
        <w:tc>
          <w:tcPr>
            <w:tcW w:w="899" w:type="dxa"/>
            <w:tcBorders>
              <w:top w:val="single" w:sz="4" w:space="0" w:color="auto"/>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jc w:val="center"/>
              <w:rPr>
                <w:rFonts w:eastAsia="Times New Roman"/>
                <w:sz w:val="24"/>
                <w:szCs w:val="24"/>
                <w:lang w:eastAsia="ru-RU"/>
              </w:rPr>
            </w:pPr>
            <w:r w:rsidRPr="00547F1A">
              <w:rPr>
                <w:rFonts w:eastAsia="Times New Roman"/>
                <w:sz w:val="24"/>
                <w:szCs w:val="24"/>
                <w:lang w:eastAsia="ru-RU"/>
              </w:rPr>
              <w:t>0,99</w:t>
            </w:r>
          </w:p>
        </w:tc>
      </w:tr>
      <w:tr w:rsidR="00547F1A" w:rsidRPr="00547F1A" w:rsidTr="004B24A2">
        <w:trPr>
          <w:trHeight w:val="404"/>
          <w:jc w:val="center"/>
        </w:trPr>
        <w:tc>
          <w:tcPr>
            <w:tcW w:w="4536" w:type="dxa"/>
            <w:tcBorders>
              <w:top w:val="single" w:sz="4" w:space="0" w:color="auto"/>
              <w:left w:val="single" w:sz="4" w:space="0" w:color="auto"/>
              <w:bottom w:val="single" w:sz="4" w:space="0" w:color="auto"/>
              <w:right w:val="single" w:sz="4" w:space="0" w:color="auto"/>
            </w:tcBorders>
            <w:vAlign w:val="bottom"/>
          </w:tcPr>
          <w:p w:rsidR="00547F1A" w:rsidRPr="00547F1A" w:rsidRDefault="00547F1A" w:rsidP="00EC0FF2">
            <w:pPr>
              <w:keepNext/>
              <w:spacing w:line="240" w:lineRule="auto"/>
              <w:jc w:val="left"/>
              <w:rPr>
                <w:rFonts w:eastAsia="Times New Roman"/>
                <w:sz w:val="24"/>
                <w:szCs w:val="24"/>
                <w:lang w:eastAsia="ru-RU"/>
              </w:rPr>
            </w:pPr>
            <w:r w:rsidRPr="00547F1A">
              <w:rPr>
                <w:rFonts w:eastAsia="Times New Roman"/>
                <w:sz w:val="24"/>
                <w:szCs w:val="24"/>
                <w:lang w:eastAsia="ru-RU"/>
              </w:rPr>
              <w:t>Питома вага атестованих лікарів педіатрів-неонатологів</w:t>
            </w:r>
          </w:p>
        </w:tc>
        <w:tc>
          <w:tcPr>
            <w:tcW w:w="968" w:type="dxa"/>
            <w:tcBorders>
              <w:top w:val="single" w:sz="4" w:space="0" w:color="auto"/>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jc w:val="center"/>
              <w:rPr>
                <w:rFonts w:eastAsia="Times New Roman"/>
                <w:sz w:val="24"/>
                <w:szCs w:val="24"/>
                <w:lang w:eastAsia="ru-RU"/>
              </w:rPr>
            </w:pPr>
            <w:r w:rsidRPr="00547F1A">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jc w:val="center"/>
              <w:rPr>
                <w:rFonts w:eastAsia="Times New Roman"/>
                <w:sz w:val="24"/>
                <w:szCs w:val="24"/>
                <w:lang w:eastAsia="ru-RU"/>
              </w:rPr>
            </w:pPr>
            <w:r w:rsidRPr="00547F1A">
              <w:rPr>
                <w:rFonts w:eastAsia="Times New Roman"/>
                <w:sz w:val="24"/>
                <w:szCs w:val="24"/>
                <w:lang w:eastAsia="ru-RU"/>
              </w:rPr>
              <w:t>70,77</w:t>
            </w:r>
          </w:p>
        </w:tc>
        <w:tc>
          <w:tcPr>
            <w:tcW w:w="968" w:type="dxa"/>
            <w:tcBorders>
              <w:top w:val="single" w:sz="4" w:space="0" w:color="auto"/>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jc w:val="center"/>
              <w:rPr>
                <w:rFonts w:eastAsia="Times New Roman"/>
                <w:sz w:val="24"/>
                <w:szCs w:val="24"/>
                <w:lang w:eastAsia="ru-RU"/>
              </w:rPr>
            </w:pPr>
            <w:r w:rsidRPr="00547F1A">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jc w:val="center"/>
              <w:rPr>
                <w:rFonts w:eastAsia="Times New Roman"/>
                <w:sz w:val="24"/>
                <w:szCs w:val="24"/>
                <w:lang w:eastAsia="ru-RU"/>
              </w:rPr>
            </w:pPr>
            <w:r w:rsidRPr="00547F1A">
              <w:rPr>
                <w:rFonts w:eastAsia="Times New Roman"/>
                <w:sz w:val="24"/>
                <w:szCs w:val="24"/>
                <w:lang w:eastAsia="ru-RU"/>
              </w:rPr>
              <w:t>5,31</w:t>
            </w:r>
          </w:p>
        </w:tc>
        <w:tc>
          <w:tcPr>
            <w:tcW w:w="968" w:type="dxa"/>
            <w:tcBorders>
              <w:top w:val="single" w:sz="4" w:space="0" w:color="auto"/>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jc w:val="center"/>
              <w:rPr>
                <w:rFonts w:eastAsia="Times New Roman"/>
                <w:sz w:val="24"/>
                <w:szCs w:val="24"/>
                <w:lang w:eastAsia="ru-RU"/>
              </w:rPr>
            </w:pPr>
            <w:r w:rsidRPr="00547F1A">
              <w:rPr>
                <w:rFonts w:eastAsia="Times New Roman"/>
                <w:sz w:val="24"/>
                <w:szCs w:val="24"/>
                <w:lang w:eastAsia="ru-RU"/>
              </w:rPr>
              <w:t>*</w:t>
            </w:r>
          </w:p>
        </w:tc>
        <w:tc>
          <w:tcPr>
            <w:tcW w:w="899" w:type="dxa"/>
            <w:tcBorders>
              <w:top w:val="single" w:sz="4" w:space="0" w:color="auto"/>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jc w:val="center"/>
              <w:rPr>
                <w:rFonts w:eastAsia="Times New Roman"/>
                <w:sz w:val="24"/>
                <w:szCs w:val="24"/>
                <w:lang w:eastAsia="ru-RU"/>
              </w:rPr>
            </w:pPr>
            <w:r w:rsidRPr="00547F1A">
              <w:rPr>
                <w:rFonts w:eastAsia="Times New Roman"/>
                <w:sz w:val="24"/>
                <w:szCs w:val="24"/>
                <w:lang w:eastAsia="ru-RU"/>
              </w:rPr>
              <w:t>0,89</w:t>
            </w:r>
          </w:p>
        </w:tc>
      </w:tr>
      <w:tr w:rsidR="00547F1A" w:rsidRPr="00547F1A" w:rsidTr="004B24A2">
        <w:trPr>
          <w:trHeight w:val="319"/>
          <w:jc w:val="center"/>
        </w:trPr>
        <w:tc>
          <w:tcPr>
            <w:tcW w:w="4536" w:type="dxa"/>
            <w:tcBorders>
              <w:top w:val="single" w:sz="4" w:space="0" w:color="auto"/>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jc w:val="left"/>
              <w:rPr>
                <w:rFonts w:eastAsia="Times New Roman"/>
                <w:sz w:val="24"/>
                <w:szCs w:val="24"/>
                <w:lang w:eastAsia="ru-RU"/>
              </w:rPr>
            </w:pPr>
            <w:r w:rsidRPr="00547F1A">
              <w:rPr>
                <w:rFonts w:eastAsia="Times New Roman"/>
                <w:sz w:val="24"/>
                <w:szCs w:val="24"/>
                <w:lang w:eastAsia="ru-RU"/>
              </w:rPr>
              <w:t xml:space="preserve">Своєчасність постановки на облік вагітних </w:t>
            </w:r>
          </w:p>
        </w:tc>
        <w:tc>
          <w:tcPr>
            <w:tcW w:w="968" w:type="dxa"/>
            <w:tcBorders>
              <w:top w:val="single" w:sz="4" w:space="0" w:color="auto"/>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jc w:val="center"/>
              <w:rPr>
                <w:rFonts w:eastAsia="Times New Roman"/>
                <w:sz w:val="24"/>
                <w:szCs w:val="24"/>
                <w:lang w:eastAsia="ru-RU"/>
              </w:rPr>
            </w:pPr>
            <w:r w:rsidRPr="00547F1A">
              <w:rPr>
                <w:rFonts w:eastAsia="Times New Roman"/>
                <w:sz w:val="24"/>
                <w:szCs w:val="24"/>
                <w:lang w:eastAsia="ru-RU"/>
              </w:rPr>
              <w:t>92,44</w:t>
            </w:r>
          </w:p>
        </w:tc>
        <w:tc>
          <w:tcPr>
            <w:tcW w:w="969" w:type="dxa"/>
            <w:tcBorders>
              <w:top w:val="single" w:sz="4" w:space="0" w:color="auto"/>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jc w:val="center"/>
              <w:rPr>
                <w:rFonts w:eastAsia="Times New Roman"/>
                <w:sz w:val="24"/>
                <w:szCs w:val="24"/>
                <w:lang w:eastAsia="ru-RU"/>
              </w:rPr>
            </w:pPr>
            <w:r w:rsidRPr="00547F1A">
              <w:rPr>
                <w:rFonts w:eastAsia="Times New Roman"/>
                <w:sz w:val="24"/>
                <w:szCs w:val="24"/>
                <w:lang w:eastAsia="ru-RU"/>
              </w:rPr>
              <w:t>92,50</w:t>
            </w:r>
          </w:p>
        </w:tc>
        <w:tc>
          <w:tcPr>
            <w:tcW w:w="968" w:type="dxa"/>
            <w:tcBorders>
              <w:top w:val="single" w:sz="4" w:space="0" w:color="auto"/>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jc w:val="center"/>
              <w:rPr>
                <w:rFonts w:eastAsia="Times New Roman"/>
                <w:sz w:val="24"/>
                <w:szCs w:val="24"/>
                <w:lang w:eastAsia="ru-RU"/>
              </w:rPr>
            </w:pPr>
            <w:r w:rsidRPr="00547F1A">
              <w:rPr>
                <w:rFonts w:eastAsia="Times New Roman"/>
                <w:sz w:val="24"/>
                <w:szCs w:val="24"/>
                <w:lang w:eastAsia="ru-RU"/>
              </w:rPr>
              <w:t>6,81</w:t>
            </w:r>
          </w:p>
        </w:tc>
        <w:tc>
          <w:tcPr>
            <w:tcW w:w="969" w:type="dxa"/>
            <w:tcBorders>
              <w:top w:val="single" w:sz="4" w:space="0" w:color="auto"/>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jc w:val="center"/>
              <w:rPr>
                <w:rFonts w:eastAsia="Times New Roman"/>
                <w:sz w:val="24"/>
                <w:szCs w:val="24"/>
                <w:lang w:eastAsia="ru-RU"/>
              </w:rPr>
            </w:pPr>
            <w:r w:rsidRPr="00547F1A">
              <w:rPr>
                <w:rFonts w:eastAsia="Times New Roman"/>
                <w:sz w:val="24"/>
                <w:szCs w:val="24"/>
                <w:lang w:eastAsia="ru-RU"/>
              </w:rPr>
              <w:t>6,83</w:t>
            </w:r>
          </w:p>
        </w:tc>
        <w:tc>
          <w:tcPr>
            <w:tcW w:w="968" w:type="dxa"/>
            <w:tcBorders>
              <w:top w:val="single" w:sz="4" w:space="0" w:color="auto"/>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jc w:val="center"/>
              <w:rPr>
                <w:rFonts w:eastAsia="Times New Roman"/>
                <w:sz w:val="24"/>
                <w:szCs w:val="24"/>
                <w:lang w:eastAsia="ru-RU"/>
              </w:rPr>
            </w:pPr>
            <w:r w:rsidRPr="00547F1A">
              <w:rPr>
                <w:rFonts w:eastAsia="Times New Roman"/>
                <w:sz w:val="24"/>
                <w:szCs w:val="24"/>
                <w:lang w:eastAsia="ru-RU"/>
              </w:rPr>
              <w:t>0,97</w:t>
            </w:r>
          </w:p>
        </w:tc>
        <w:tc>
          <w:tcPr>
            <w:tcW w:w="899" w:type="dxa"/>
            <w:tcBorders>
              <w:top w:val="single" w:sz="4" w:space="0" w:color="auto"/>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jc w:val="center"/>
              <w:rPr>
                <w:rFonts w:eastAsia="Times New Roman"/>
                <w:sz w:val="24"/>
                <w:szCs w:val="24"/>
                <w:lang w:eastAsia="ru-RU"/>
              </w:rPr>
            </w:pPr>
            <w:r w:rsidRPr="00547F1A">
              <w:rPr>
                <w:rFonts w:eastAsia="Times New Roman"/>
                <w:sz w:val="24"/>
                <w:szCs w:val="24"/>
                <w:lang w:eastAsia="ru-RU"/>
              </w:rPr>
              <w:t>0,98</w:t>
            </w:r>
          </w:p>
        </w:tc>
      </w:tr>
      <w:tr w:rsidR="00547F1A" w:rsidRPr="00547F1A" w:rsidTr="004B24A2">
        <w:trPr>
          <w:trHeight w:val="284"/>
          <w:jc w:val="center"/>
        </w:trPr>
        <w:tc>
          <w:tcPr>
            <w:tcW w:w="4536" w:type="dxa"/>
            <w:tcBorders>
              <w:top w:val="single" w:sz="4" w:space="0" w:color="auto"/>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jc w:val="left"/>
              <w:rPr>
                <w:rFonts w:eastAsia="Times New Roman"/>
                <w:sz w:val="24"/>
                <w:szCs w:val="24"/>
                <w:lang w:eastAsia="ru-RU"/>
              </w:rPr>
            </w:pPr>
            <w:r w:rsidRPr="00547F1A">
              <w:rPr>
                <w:rFonts w:eastAsia="Times New Roman"/>
                <w:sz w:val="24"/>
                <w:szCs w:val="24"/>
                <w:lang w:eastAsia="ru-RU"/>
              </w:rPr>
              <w:t>Частота анемій вагітних</w:t>
            </w:r>
          </w:p>
        </w:tc>
        <w:tc>
          <w:tcPr>
            <w:tcW w:w="968" w:type="dxa"/>
            <w:tcBorders>
              <w:top w:val="single" w:sz="4" w:space="0" w:color="auto"/>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jc w:val="center"/>
              <w:rPr>
                <w:rFonts w:eastAsia="Times New Roman"/>
                <w:sz w:val="24"/>
                <w:szCs w:val="24"/>
                <w:lang w:eastAsia="ru-RU"/>
              </w:rPr>
            </w:pPr>
            <w:r w:rsidRPr="00547F1A">
              <w:rPr>
                <w:rFonts w:eastAsia="Times New Roman"/>
                <w:sz w:val="24"/>
                <w:szCs w:val="24"/>
                <w:lang w:eastAsia="ru-RU"/>
              </w:rPr>
              <w:t>31,82</w:t>
            </w:r>
          </w:p>
        </w:tc>
        <w:tc>
          <w:tcPr>
            <w:tcW w:w="969" w:type="dxa"/>
            <w:tcBorders>
              <w:top w:val="single" w:sz="4" w:space="0" w:color="auto"/>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jc w:val="center"/>
              <w:rPr>
                <w:rFonts w:eastAsia="Times New Roman"/>
                <w:sz w:val="24"/>
                <w:szCs w:val="24"/>
                <w:lang w:eastAsia="ru-RU"/>
              </w:rPr>
            </w:pPr>
            <w:r w:rsidRPr="00547F1A">
              <w:rPr>
                <w:rFonts w:eastAsia="Times New Roman"/>
                <w:sz w:val="24"/>
                <w:szCs w:val="24"/>
                <w:lang w:eastAsia="ru-RU"/>
              </w:rPr>
              <w:t>36,24</w:t>
            </w:r>
          </w:p>
        </w:tc>
        <w:tc>
          <w:tcPr>
            <w:tcW w:w="968" w:type="dxa"/>
            <w:tcBorders>
              <w:top w:val="single" w:sz="4" w:space="0" w:color="auto"/>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jc w:val="center"/>
              <w:rPr>
                <w:rFonts w:eastAsia="Times New Roman"/>
                <w:sz w:val="24"/>
                <w:szCs w:val="24"/>
                <w:lang w:eastAsia="ru-RU"/>
              </w:rPr>
            </w:pPr>
            <w:r w:rsidRPr="00547F1A">
              <w:rPr>
                <w:rFonts w:eastAsia="Times New Roman"/>
                <w:sz w:val="24"/>
                <w:szCs w:val="24"/>
                <w:lang w:eastAsia="ru-RU"/>
              </w:rPr>
              <w:t>1,64</w:t>
            </w:r>
          </w:p>
        </w:tc>
        <w:tc>
          <w:tcPr>
            <w:tcW w:w="969" w:type="dxa"/>
            <w:tcBorders>
              <w:top w:val="single" w:sz="4" w:space="0" w:color="auto"/>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jc w:val="center"/>
              <w:rPr>
                <w:rFonts w:eastAsia="Times New Roman"/>
                <w:sz w:val="24"/>
                <w:szCs w:val="24"/>
                <w:lang w:eastAsia="ru-RU"/>
              </w:rPr>
            </w:pPr>
            <w:r w:rsidRPr="00547F1A">
              <w:rPr>
                <w:rFonts w:eastAsia="Times New Roman"/>
                <w:sz w:val="24"/>
                <w:szCs w:val="24"/>
                <w:lang w:eastAsia="ru-RU"/>
              </w:rPr>
              <w:t>1,20</w:t>
            </w:r>
          </w:p>
        </w:tc>
        <w:tc>
          <w:tcPr>
            <w:tcW w:w="968" w:type="dxa"/>
            <w:tcBorders>
              <w:top w:val="single" w:sz="4" w:space="0" w:color="auto"/>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jc w:val="center"/>
              <w:rPr>
                <w:rFonts w:eastAsia="Times New Roman"/>
                <w:sz w:val="24"/>
                <w:szCs w:val="24"/>
                <w:lang w:eastAsia="ru-RU"/>
              </w:rPr>
            </w:pPr>
            <w:r w:rsidRPr="00547F1A">
              <w:rPr>
                <w:rFonts w:eastAsia="Times New Roman"/>
                <w:sz w:val="24"/>
                <w:szCs w:val="24"/>
                <w:lang w:eastAsia="ru-RU"/>
              </w:rPr>
              <w:t>0,41</w:t>
            </w:r>
          </w:p>
        </w:tc>
        <w:tc>
          <w:tcPr>
            <w:tcW w:w="899" w:type="dxa"/>
            <w:tcBorders>
              <w:top w:val="single" w:sz="4" w:space="0" w:color="auto"/>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jc w:val="center"/>
              <w:rPr>
                <w:rFonts w:eastAsia="Times New Roman"/>
                <w:sz w:val="24"/>
                <w:szCs w:val="24"/>
                <w:lang w:eastAsia="ru-RU"/>
              </w:rPr>
            </w:pPr>
            <w:r w:rsidRPr="00547F1A">
              <w:rPr>
                <w:rFonts w:eastAsia="Times New Roman"/>
                <w:sz w:val="24"/>
                <w:szCs w:val="24"/>
                <w:lang w:eastAsia="ru-RU"/>
              </w:rPr>
              <w:t>0,30</w:t>
            </w:r>
          </w:p>
        </w:tc>
      </w:tr>
      <w:tr w:rsidR="00547F1A" w:rsidRPr="00547F1A" w:rsidTr="004B24A2">
        <w:trPr>
          <w:trHeight w:val="340"/>
          <w:jc w:val="center"/>
        </w:trPr>
        <w:tc>
          <w:tcPr>
            <w:tcW w:w="4536" w:type="dxa"/>
            <w:tcBorders>
              <w:top w:val="single" w:sz="4" w:space="0" w:color="auto"/>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jc w:val="left"/>
              <w:rPr>
                <w:rFonts w:eastAsia="Times New Roman"/>
                <w:sz w:val="24"/>
                <w:szCs w:val="24"/>
                <w:lang w:eastAsia="ru-RU"/>
              </w:rPr>
            </w:pPr>
            <w:r w:rsidRPr="00547F1A">
              <w:rPr>
                <w:rFonts w:eastAsia="Times New Roman"/>
                <w:sz w:val="24"/>
                <w:szCs w:val="24"/>
                <w:lang w:eastAsia="ru-RU"/>
              </w:rPr>
              <w:t>Частота прееклампсій та еклампсій вагітних</w:t>
            </w:r>
          </w:p>
        </w:tc>
        <w:tc>
          <w:tcPr>
            <w:tcW w:w="968" w:type="dxa"/>
            <w:tcBorders>
              <w:top w:val="single" w:sz="4" w:space="0" w:color="auto"/>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jc w:val="center"/>
              <w:rPr>
                <w:rFonts w:eastAsia="Times New Roman"/>
                <w:sz w:val="24"/>
                <w:szCs w:val="24"/>
                <w:lang w:eastAsia="ru-RU"/>
              </w:rPr>
            </w:pPr>
            <w:r w:rsidRPr="00547F1A">
              <w:rPr>
                <w:rFonts w:eastAsia="Times New Roman"/>
                <w:sz w:val="24"/>
                <w:szCs w:val="24"/>
                <w:lang w:eastAsia="ru-RU"/>
              </w:rPr>
              <w:t>2,46</w:t>
            </w:r>
          </w:p>
        </w:tc>
        <w:tc>
          <w:tcPr>
            <w:tcW w:w="969" w:type="dxa"/>
            <w:tcBorders>
              <w:top w:val="single" w:sz="4" w:space="0" w:color="auto"/>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jc w:val="center"/>
              <w:rPr>
                <w:rFonts w:eastAsia="Times New Roman"/>
                <w:sz w:val="24"/>
                <w:szCs w:val="24"/>
                <w:lang w:eastAsia="ru-RU"/>
              </w:rPr>
            </w:pPr>
            <w:r w:rsidRPr="00547F1A">
              <w:rPr>
                <w:rFonts w:eastAsia="Times New Roman"/>
                <w:sz w:val="24"/>
                <w:szCs w:val="24"/>
                <w:lang w:eastAsia="ru-RU"/>
              </w:rPr>
              <w:t>2,48</w:t>
            </w:r>
          </w:p>
        </w:tc>
        <w:tc>
          <w:tcPr>
            <w:tcW w:w="968" w:type="dxa"/>
            <w:tcBorders>
              <w:top w:val="single" w:sz="4" w:space="0" w:color="auto"/>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jc w:val="center"/>
              <w:rPr>
                <w:rFonts w:eastAsia="Times New Roman"/>
                <w:sz w:val="24"/>
                <w:szCs w:val="24"/>
                <w:lang w:eastAsia="ru-RU"/>
              </w:rPr>
            </w:pPr>
            <w:r w:rsidRPr="00547F1A">
              <w:rPr>
                <w:rFonts w:eastAsia="Times New Roman"/>
                <w:sz w:val="24"/>
                <w:szCs w:val="24"/>
                <w:lang w:eastAsia="ru-RU"/>
              </w:rPr>
              <w:t>4,16</w:t>
            </w:r>
          </w:p>
        </w:tc>
        <w:tc>
          <w:tcPr>
            <w:tcW w:w="969" w:type="dxa"/>
            <w:tcBorders>
              <w:top w:val="single" w:sz="4" w:space="0" w:color="auto"/>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jc w:val="center"/>
              <w:rPr>
                <w:rFonts w:eastAsia="Times New Roman"/>
                <w:sz w:val="24"/>
                <w:szCs w:val="24"/>
                <w:lang w:eastAsia="ru-RU"/>
              </w:rPr>
            </w:pPr>
            <w:r w:rsidRPr="00547F1A">
              <w:rPr>
                <w:rFonts w:eastAsia="Times New Roman"/>
                <w:sz w:val="24"/>
                <w:szCs w:val="24"/>
                <w:lang w:eastAsia="ru-RU"/>
              </w:rPr>
              <w:t>4,08</w:t>
            </w:r>
          </w:p>
        </w:tc>
        <w:tc>
          <w:tcPr>
            <w:tcW w:w="968" w:type="dxa"/>
            <w:tcBorders>
              <w:top w:val="single" w:sz="4" w:space="0" w:color="auto"/>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jc w:val="center"/>
              <w:rPr>
                <w:rFonts w:eastAsia="Times New Roman"/>
                <w:sz w:val="24"/>
                <w:szCs w:val="24"/>
                <w:lang w:eastAsia="ru-RU"/>
              </w:rPr>
            </w:pPr>
            <w:r w:rsidRPr="00547F1A">
              <w:rPr>
                <w:rFonts w:eastAsia="Times New Roman"/>
                <w:sz w:val="24"/>
                <w:szCs w:val="24"/>
                <w:lang w:eastAsia="ru-RU"/>
              </w:rPr>
              <w:t>0,59</w:t>
            </w:r>
          </w:p>
        </w:tc>
        <w:tc>
          <w:tcPr>
            <w:tcW w:w="899" w:type="dxa"/>
            <w:tcBorders>
              <w:top w:val="single" w:sz="4" w:space="0" w:color="auto"/>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jc w:val="center"/>
              <w:rPr>
                <w:rFonts w:eastAsia="Times New Roman"/>
                <w:sz w:val="24"/>
                <w:szCs w:val="24"/>
                <w:lang w:eastAsia="ru-RU"/>
              </w:rPr>
            </w:pPr>
            <w:r w:rsidRPr="00547F1A">
              <w:rPr>
                <w:rFonts w:eastAsia="Times New Roman"/>
                <w:sz w:val="24"/>
                <w:szCs w:val="24"/>
                <w:lang w:eastAsia="ru-RU"/>
              </w:rPr>
              <w:t>0,58</w:t>
            </w:r>
          </w:p>
        </w:tc>
      </w:tr>
      <w:tr w:rsidR="00547F1A" w:rsidRPr="00547F1A" w:rsidTr="004B24A2">
        <w:trPr>
          <w:trHeight w:val="418"/>
          <w:jc w:val="center"/>
        </w:trPr>
        <w:tc>
          <w:tcPr>
            <w:tcW w:w="4536" w:type="dxa"/>
            <w:tcBorders>
              <w:top w:val="single" w:sz="4" w:space="0" w:color="auto"/>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jc w:val="left"/>
              <w:rPr>
                <w:rFonts w:eastAsia="Times New Roman"/>
                <w:sz w:val="24"/>
                <w:szCs w:val="24"/>
                <w:lang w:eastAsia="ru-RU"/>
              </w:rPr>
            </w:pPr>
            <w:r w:rsidRPr="00547F1A">
              <w:rPr>
                <w:rFonts w:eastAsia="Times New Roman"/>
                <w:sz w:val="24"/>
                <w:szCs w:val="24"/>
                <w:lang w:eastAsia="ru-RU"/>
              </w:rPr>
              <w:t>Співвідношення безпечних методів абортів до небезпечних</w:t>
            </w:r>
          </w:p>
        </w:tc>
        <w:tc>
          <w:tcPr>
            <w:tcW w:w="968" w:type="dxa"/>
            <w:tcBorders>
              <w:top w:val="single" w:sz="4" w:space="0" w:color="auto"/>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jc w:val="center"/>
              <w:rPr>
                <w:rFonts w:eastAsia="Times New Roman"/>
                <w:sz w:val="24"/>
                <w:szCs w:val="24"/>
                <w:lang w:eastAsia="ru-RU"/>
              </w:rPr>
            </w:pPr>
            <w:r w:rsidRPr="00547F1A">
              <w:rPr>
                <w:rFonts w:eastAsia="Times New Roman"/>
                <w:sz w:val="24"/>
                <w:szCs w:val="24"/>
                <w:lang w:eastAsia="ru-RU"/>
              </w:rPr>
              <w:t>12,48</w:t>
            </w:r>
          </w:p>
        </w:tc>
        <w:tc>
          <w:tcPr>
            <w:tcW w:w="969" w:type="dxa"/>
            <w:tcBorders>
              <w:top w:val="single" w:sz="4" w:space="0" w:color="auto"/>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jc w:val="center"/>
              <w:rPr>
                <w:rFonts w:eastAsia="Times New Roman"/>
                <w:sz w:val="24"/>
                <w:szCs w:val="24"/>
                <w:lang w:eastAsia="ru-RU"/>
              </w:rPr>
            </w:pPr>
            <w:r w:rsidRPr="00547F1A">
              <w:rPr>
                <w:rFonts w:eastAsia="Times New Roman"/>
                <w:sz w:val="24"/>
                <w:szCs w:val="24"/>
                <w:lang w:eastAsia="ru-RU"/>
              </w:rPr>
              <w:t>10,23</w:t>
            </w:r>
          </w:p>
        </w:tc>
        <w:tc>
          <w:tcPr>
            <w:tcW w:w="968" w:type="dxa"/>
            <w:tcBorders>
              <w:top w:val="single" w:sz="4" w:space="0" w:color="auto"/>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jc w:val="center"/>
              <w:rPr>
                <w:rFonts w:eastAsia="Times New Roman"/>
                <w:sz w:val="24"/>
                <w:szCs w:val="24"/>
                <w:lang w:eastAsia="ru-RU"/>
              </w:rPr>
            </w:pPr>
            <w:r w:rsidRPr="00547F1A">
              <w:rPr>
                <w:rFonts w:eastAsia="Times New Roman"/>
                <w:sz w:val="24"/>
                <w:szCs w:val="24"/>
                <w:lang w:eastAsia="ru-RU"/>
              </w:rPr>
              <w:t>6,00</w:t>
            </w:r>
          </w:p>
        </w:tc>
        <w:tc>
          <w:tcPr>
            <w:tcW w:w="969" w:type="dxa"/>
            <w:tcBorders>
              <w:top w:val="single" w:sz="4" w:space="0" w:color="auto"/>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jc w:val="center"/>
              <w:rPr>
                <w:rFonts w:eastAsia="Times New Roman"/>
                <w:sz w:val="24"/>
                <w:szCs w:val="24"/>
                <w:lang w:eastAsia="ru-RU"/>
              </w:rPr>
            </w:pPr>
            <w:r w:rsidRPr="00547F1A">
              <w:rPr>
                <w:rFonts w:eastAsia="Times New Roman"/>
                <w:sz w:val="24"/>
                <w:szCs w:val="24"/>
                <w:lang w:eastAsia="ru-RU"/>
              </w:rPr>
              <w:t>6,0</w:t>
            </w:r>
          </w:p>
        </w:tc>
        <w:tc>
          <w:tcPr>
            <w:tcW w:w="968" w:type="dxa"/>
            <w:tcBorders>
              <w:top w:val="single" w:sz="4" w:space="0" w:color="auto"/>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jc w:val="center"/>
              <w:rPr>
                <w:rFonts w:eastAsia="Times New Roman"/>
                <w:sz w:val="24"/>
                <w:szCs w:val="24"/>
                <w:lang w:eastAsia="ru-RU"/>
              </w:rPr>
            </w:pPr>
            <w:r w:rsidRPr="00547F1A">
              <w:rPr>
                <w:rFonts w:eastAsia="Times New Roman"/>
                <w:sz w:val="24"/>
                <w:szCs w:val="24"/>
                <w:lang w:eastAsia="ru-RU"/>
              </w:rPr>
              <w:t>1,00</w:t>
            </w:r>
          </w:p>
        </w:tc>
        <w:tc>
          <w:tcPr>
            <w:tcW w:w="899" w:type="dxa"/>
            <w:tcBorders>
              <w:top w:val="single" w:sz="4" w:space="0" w:color="auto"/>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jc w:val="center"/>
              <w:rPr>
                <w:rFonts w:eastAsia="Times New Roman"/>
                <w:sz w:val="24"/>
                <w:szCs w:val="24"/>
                <w:lang w:eastAsia="ru-RU"/>
              </w:rPr>
            </w:pPr>
            <w:r w:rsidRPr="00547F1A">
              <w:rPr>
                <w:rFonts w:eastAsia="Times New Roman"/>
                <w:sz w:val="24"/>
                <w:szCs w:val="24"/>
                <w:lang w:eastAsia="ru-RU"/>
              </w:rPr>
              <w:t>1,00</w:t>
            </w:r>
          </w:p>
        </w:tc>
      </w:tr>
      <w:tr w:rsidR="00547F1A" w:rsidRPr="00547F1A" w:rsidTr="004B24A2">
        <w:trPr>
          <w:trHeight w:val="600"/>
          <w:jc w:val="center"/>
        </w:trPr>
        <w:tc>
          <w:tcPr>
            <w:tcW w:w="4536" w:type="dxa"/>
            <w:tcBorders>
              <w:top w:val="single" w:sz="4" w:space="0" w:color="auto"/>
              <w:left w:val="single" w:sz="4" w:space="0" w:color="auto"/>
              <w:bottom w:val="single" w:sz="4" w:space="0" w:color="auto"/>
              <w:right w:val="single" w:sz="4" w:space="0" w:color="auto"/>
            </w:tcBorders>
            <w:vAlign w:val="bottom"/>
          </w:tcPr>
          <w:p w:rsidR="00547F1A" w:rsidRPr="00547F1A" w:rsidRDefault="00547F1A" w:rsidP="00EC0FF2">
            <w:pPr>
              <w:keepNext/>
              <w:spacing w:line="240" w:lineRule="auto"/>
              <w:jc w:val="left"/>
              <w:rPr>
                <w:rFonts w:eastAsia="Times New Roman"/>
                <w:sz w:val="24"/>
                <w:szCs w:val="24"/>
                <w:lang w:eastAsia="ru-RU"/>
              </w:rPr>
            </w:pPr>
            <w:r w:rsidRPr="00547F1A">
              <w:rPr>
                <w:rFonts w:eastAsia="Times New Roman"/>
                <w:sz w:val="24"/>
                <w:szCs w:val="24"/>
                <w:lang w:eastAsia="ru-RU"/>
              </w:rPr>
              <w:t>Питома вага хворих виявлення в ранніх стадіях (І – ІІ) серед хворих з вперше встановленим діагнозом онкологія молочної залози</w:t>
            </w:r>
          </w:p>
        </w:tc>
        <w:tc>
          <w:tcPr>
            <w:tcW w:w="968" w:type="dxa"/>
            <w:tcBorders>
              <w:top w:val="single" w:sz="4" w:space="0" w:color="auto"/>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jc w:val="center"/>
              <w:rPr>
                <w:rFonts w:eastAsia="Times New Roman"/>
                <w:sz w:val="24"/>
                <w:szCs w:val="24"/>
                <w:lang w:eastAsia="ru-RU"/>
              </w:rPr>
            </w:pPr>
            <w:r w:rsidRPr="00547F1A">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jc w:val="center"/>
              <w:rPr>
                <w:rFonts w:eastAsia="Times New Roman"/>
                <w:sz w:val="24"/>
                <w:szCs w:val="24"/>
                <w:lang w:eastAsia="ru-RU"/>
              </w:rPr>
            </w:pPr>
            <w:r w:rsidRPr="00547F1A">
              <w:rPr>
                <w:rFonts w:eastAsia="Times New Roman"/>
                <w:sz w:val="24"/>
                <w:szCs w:val="24"/>
                <w:lang w:eastAsia="ru-RU"/>
              </w:rPr>
              <w:t>64,90</w:t>
            </w:r>
          </w:p>
        </w:tc>
        <w:tc>
          <w:tcPr>
            <w:tcW w:w="968" w:type="dxa"/>
            <w:tcBorders>
              <w:top w:val="single" w:sz="4" w:space="0" w:color="auto"/>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jc w:val="center"/>
              <w:rPr>
                <w:rFonts w:eastAsia="Times New Roman"/>
                <w:sz w:val="24"/>
                <w:szCs w:val="24"/>
                <w:lang w:eastAsia="ru-RU"/>
              </w:rPr>
            </w:pPr>
            <w:r w:rsidRPr="00547F1A">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jc w:val="center"/>
              <w:rPr>
                <w:rFonts w:eastAsia="Times New Roman"/>
                <w:sz w:val="24"/>
                <w:szCs w:val="24"/>
                <w:lang w:eastAsia="ru-RU"/>
              </w:rPr>
            </w:pPr>
            <w:r w:rsidRPr="00547F1A">
              <w:rPr>
                <w:rFonts w:eastAsia="Times New Roman"/>
                <w:sz w:val="24"/>
                <w:szCs w:val="24"/>
                <w:lang w:eastAsia="ru-RU"/>
              </w:rPr>
              <w:t>4,94</w:t>
            </w:r>
          </w:p>
        </w:tc>
        <w:tc>
          <w:tcPr>
            <w:tcW w:w="968" w:type="dxa"/>
            <w:tcBorders>
              <w:top w:val="single" w:sz="4" w:space="0" w:color="auto"/>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jc w:val="center"/>
              <w:rPr>
                <w:rFonts w:eastAsia="Times New Roman"/>
                <w:sz w:val="24"/>
                <w:szCs w:val="24"/>
                <w:lang w:eastAsia="ru-RU"/>
              </w:rPr>
            </w:pPr>
            <w:r w:rsidRPr="00547F1A">
              <w:rPr>
                <w:rFonts w:eastAsia="Times New Roman"/>
                <w:sz w:val="24"/>
                <w:szCs w:val="24"/>
                <w:lang w:eastAsia="ru-RU"/>
              </w:rPr>
              <w:t>*</w:t>
            </w:r>
          </w:p>
        </w:tc>
        <w:tc>
          <w:tcPr>
            <w:tcW w:w="899" w:type="dxa"/>
            <w:tcBorders>
              <w:top w:val="single" w:sz="4" w:space="0" w:color="auto"/>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jc w:val="center"/>
              <w:rPr>
                <w:rFonts w:eastAsia="Times New Roman"/>
                <w:sz w:val="24"/>
                <w:szCs w:val="24"/>
                <w:lang w:eastAsia="ru-RU"/>
              </w:rPr>
            </w:pPr>
            <w:r w:rsidRPr="00547F1A">
              <w:rPr>
                <w:rFonts w:eastAsia="Times New Roman"/>
                <w:sz w:val="24"/>
                <w:szCs w:val="24"/>
                <w:lang w:eastAsia="ru-RU"/>
              </w:rPr>
              <w:t>0,82</w:t>
            </w:r>
          </w:p>
        </w:tc>
      </w:tr>
      <w:tr w:rsidR="00547F1A" w:rsidRPr="00547F1A" w:rsidTr="004B24A2">
        <w:trPr>
          <w:trHeight w:val="605"/>
          <w:jc w:val="center"/>
        </w:trPr>
        <w:tc>
          <w:tcPr>
            <w:tcW w:w="4536" w:type="dxa"/>
            <w:tcBorders>
              <w:top w:val="single" w:sz="4" w:space="0" w:color="auto"/>
              <w:left w:val="single" w:sz="4" w:space="0" w:color="auto"/>
              <w:bottom w:val="single" w:sz="4" w:space="0" w:color="auto"/>
              <w:right w:val="single" w:sz="4" w:space="0" w:color="auto"/>
            </w:tcBorders>
            <w:vAlign w:val="bottom"/>
          </w:tcPr>
          <w:p w:rsidR="00547F1A" w:rsidRPr="00547F1A" w:rsidRDefault="00547F1A" w:rsidP="00EC0FF2">
            <w:pPr>
              <w:keepNext/>
              <w:spacing w:line="240" w:lineRule="auto"/>
              <w:jc w:val="left"/>
              <w:rPr>
                <w:rFonts w:eastAsia="Times New Roman"/>
                <w:sz w:val="24"/>
                <w:szCs w:val="24"/>
                <w:lang w:eastAsia="ru-RU"/>
              </w:rPr>
            </w:pPr>
            <w:r w:rsidRPr="00547F1A">
              <w:rPr>
                <w:rFonts w:eastAsia="Times New Roman"/>
                <w:sz w:val="24"/>
                <w:szCs w:val="24"/>
                <w:lang w:eastAsia="ru-RU"/>
              </w:rPr>
              <w:t>Питома вага хворих виявлення в ранніх стадіях (І – ІІ) серед хворих з вперше встановленим діагнозом онкологія шийки матки</w:t>
            </w:r>
          </w:p>
        </w:tc>
        <w:tc>
          <w:tcPr>
            <w:tcW w:w="968" w:type="dxa"/>
            <w:tcBorders>
              <w:top w:val="single" w:sz="4" w:space="0" w:color="auto"/>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jc w:val="center"/>
              <w:rPr>
                <w:rFonts w:eastAsia="Times New Roman"/>
                <w:sz w:val="24"/>
                <w:szCs w:val="24"/>
                <w:lang w:eastAsia="ru-RU"/>
              </w:rPr>
            </w:pPr>
            <w:r w:rsidRPr="00547F1A">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jc w:val="center"/>
              <w:rPr>
                <w:rFonts w:eastAsia="Times New Roman"/>
                <w:sz w:val="24"/>
                <w:szCs w:val="24"/>
                <w:lang w:eastAsia="ru-RU"/>
              </w:rPr>
            </w:pPr>
            <w:r w:rsidRPr="00547F1A">
              <w:rPr>
                <w:rFonts w:eastAsia="Times New Roman"/>
                <w:sz w:val="24"/>
                <w:szCs w:val="24"/>
                <w:lang w:eastAsia="ru-RU"/>
              </w:rPr>
              <w:t>70,90</w:t>
            </w:r>
          </w:p>
        </w:tc>
        <w:tc>
          <w:tcPr>
            <w:tcW w:w="968" w:type="dxa"/>
            <w:tcBorders>
              <w:top w:val="single" w:sz="4" w:space="0" w:color="auto"/>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jc w:val="center"/>
              <w:rPr>
                <w:rFonts w:eastAsia="Times New Roman"/>
                <w:sz w:val="24"/>
                <w:szCs w:val="24"/>
                <w:lang w:eastAsia="ru-RU"/>
              </w:rPr>
            </w:pPr>
            <w:r w:rsidRPr="00547F1A">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jc w:val="center"/>
              <w:rPr>
                <w:rFonts w:eastAsia="Times New Roman"/>
                <w:sz w:val="24"/>
                <w:szCs w:val="24"/>
                <w:lang w:eastAsia="ru-RU"/>
              </w:rPr>
            </w:pPr>
            <w:r w:rsidRPr="00547F1A">
              <w:rPr>
                <w:rFonts w:eastAsia="Times New Roman"/>
                <w:sz w:val="24"/>
                <w:szCs w:val="24"/>
                <w:lang w:eastAsia="ru-RU"/>
              </w:rPr>
              <w:t>5,36</w:t>
            </w:r>
          </w:p>
        </w:tc>
        <w:tc>
          <w:tcPr>
            <w:tcW w:w="968" w:type="dxa"/>
            <w:tcBorders>
              <w:top w:val="single" w:sz="4" w:space="0" w:color="auto"/>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jc w:val="center"/>
              <w:rPr>
                <w:rFonts w:eastAsia="Times New Roman"/>
                <w:sz w:val="24"/>
                <w:szCs w:val="24"/>
                <w:lang w:eastAsia="ru-RU"/>
              </w:rPr>
            </w:pPr>
            <w:r w:rsidRPr="00547F1A">
              <w:rPr>
                <w:rFonts w:eastAsia="Times New Roman"/>
                <w:sz w:val="24"/>
                <w:szCs w:val="24"/>
                <w:lang w:eastAsia="ru-RU"/>
              </w:rPr>
              <w:t>*</w:t>
            </w:r>
          </w:p>
        </w:tc>
        <w:tc>
          <w:tcPr>
            <w:tcW w:w="899" w:type="dxa"/>
            <w:tcBorders>
              <w:top w:val="single" w:sz="4" w:space="0" w:color="auto"/>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jc w:val="center"/>
              <w:rPr>
                <w:rFonts w:eastAsia="Times New Roman"/>
                <w:sz w:val="24"/>
                <w:szCs w:val="24"/>
                <w:lang w:eastAsia="ru-RU"/>
              </w:rPr>
            </w:pPr>
            <w:r w:rsidRPr="00547F1A">
              <w:rPr>
                <w:rFonts w:eastAsia="Times New Roman"/>
                <w:sz w:val="24"/>
                <w:szCs w:val="24"/>
                <w:lang w:eastAsia="ru-RU"/>
              </w:rPr>
              <w:t>0,89</w:t>
            </w:r>
          </w:p>
        </w:tc>
      </w:tr>
      <w:tr w:rsidR="00547F1A" w:rsidRPr="00547F1A" w:rsidTr="004B24A2">
        <w:trPr>
          <w:trHeight w:val="404"/>
          <w:jc w:val="center"/>
        </w:trPr>
        <w:tc>
          <w:tcPr>
            <w:tcW w:w="4536" w:type="dxa"/>
            <w:tcBorders>
              <w:top w:val="single" w:sz="4" w:space="0" w:color="auto"/>
              <w:left w:val="single" w:sz="4" w:space="0" w:color="auto"/>
              <w:bottom w:val="single" w:sz="4" w:space="0" w:color="auto"/>
              <w:right w:val="single" w:sz="4" w:space="0" w:color="auto"/>
            </w:tcBorders>
          </w:tcPr>
          <w:p w:rsidR="00547F1A" w:rsidRPr="00547F1A" w:rsidRDefault="00547F1A" w:rsidP="00EC0FF2">
            <w:pPr>
              <w:keepNext/>
              <w:spacing w:line="240" w:lineRule="auto"/>
              <w:rPr>
                <w:rFonts w:eastAsia="Times New Roman"/>
                <w:color w:val="000000"/>
                <w:sz w:val="24"/>
                <w:szCs w:val="24"/>
                <w:lang w:eastAsia="uk-UA"/>
              </w:rPr>
            </w:pPr>
            <w:r w:rsidRPr="00547F1A">
              <w:rPr>
                <w:rFonts w:eastAsia="Times New Roman"/>
                <w:color w:val="000000"/>
                <w:sz w:val="24"/>
                <w:szCs w:val="24"/>
                <w:lang w:eastAsia="uk-UA"/>
              </w:rPr>
              <w:t>Індекс концентрації розродження вагітних з цукровим діабетом у ЗПД ІІІ рівня</w:t>
            </w:r>
          </w:p>
        </w:tc>
        <w:tc>
          <w:tcPr>
            <w:tcW w:w="968" w:type="dxa"/>
            <w:tcBorders>
              <w:top w:val="single" w:sz="4" w:space="0" w:color="auto"/>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jc w:val="center"/>
              <w:rPr>
                <w:rFonts w:eastAsia="Times New Roman"/>
                <w:sz w:val="24"/>
                <w:szCs w:val="24"/>
                <w:lang w:eastAsia="ru-RU"/>
              </w:rPr>
            </w:pPr>
            <w:r w:rsidRPr="00547F1A">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jc w:val="center"/>
              <w:rPr>
                <w:rFonts w:eastAsia="Times New Roman"/>
                <w:sz w:val="24"/>
                <w:szCs w:val="24"/>
                <w:lang w:eastAsia="ru-RU"/>
              </w:rPr>
            </w:pPr>
            <w:r w:rsidRPr="00547F1A">
              <w:rPr>
                <w:rFonts w:eastAsia="Times New Roman"/>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jc w:val="center"/>
              <w:rPr>
                <w:rFonts w:eastAsia="Times New Roman"/>
                <w:sz w:val="24"/>
                <w:szCs w:val="24"/>
                <w:lang w:eastAsia="ru-RU"/>
              </w:rPr>
            </w:pPr>
            <w:r w:rsidRPr="00547F1A">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jc w:val="center"/>
              <w:rPr>
                <w:rFonts w:eastAsia="Times New Roman"/>
                <w:sz w:val="24"/>
                <w:szCs w:val="24"/>
                <w:lang w:eastAsia="ru-RU"/>
              </w:rPr>
            </w:pPr>
            <w:r w:rsidRPr="00547F1A">
              <w:rPr>
                <w:rFonts w:eastAsia="Times New Roman"/>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jc w:val="center"/>
              <w:rPr>
                <w:rFonts w:eastAsia="Times New Roman"/>
                <w:sz w:val="24"/>
                <w:szCs w:val="24"/>
                <w:lang w:eastAsia="ru-RU"/>
              </w:rPr>
            </w:pPr>
            <w:r w:rsidRPr="00547F1A">
              <w:rPr>
                <w:rFonts w:eastAsia="Times New Roman"/>
                <w:sz w:val="24"/>
                <w:szCs w:val="24"/>
                <w:lang w:eastAsia="ru-RU"/>
              </w:rPr>
              <w:t>*</w:t>
            </w:r>
          </w:p>
        </w:tc>
        <w:tc>
          <w:tcPr>
            <w:tcW w:w="899" w:type="dxa"/>
            <w:tcBorders>
              <w:top w:val="single" w:sz="4" w:space="0" w:color="auto"/>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jc w:val="center"/>
              <w:rPr>
                <w:rFonts w:eastAsia="Times New Roman"/>
                <w:sz w:val="24"/>
                <w:szCs w:val="24"/>
                <w:lang w:eastAsia="ru-RU"/>
              </w:rPr>
            </w:pPr>
            <w:r w:rsidRPr="00547F1A">
              <w:rPr>
                <w:rFonts w:eastAsia="Times New Roman"/>
                <w:sz w:val="24"/>
                <w:szCs w:val="24"/>
                <w:lang w:eastAsia="ru-RU"/>
              </w:rPr>
              <w:t>**</w:t>
            </w:r>
          </w:p>
        </w:tc>
      </w:tr>
      <w:tr w:rsidR="00547F1A" w:rsidRPr="00547F1A" w:rsidTr="004B24A2">
        <w:trPr>
          <w:trHeight w:val="411"/>
          <w:jc w:val="center"/>
        </w:trPr>
        <w:tc>
          <w:tcPr>
            <w:tcW w:w="4536" w:type="dxa"/>
            <w:tcBorders>
              <w:top w:val="single" w:sz="4" w:space="0" w:color="auto"/>
              <w:left w:val="single" w:sz="4" w:space="0" w:color="auto"/>
              <w:bottom w:val="single" w:sz="4" w:space="0" w:color="auto"/>
              <w:right w:val="single" w:sz="4" w:space="0" w:color="auto"/>
            </w:tcBorders>
          </w:tcPr>
          <w:p w:rsidR="00547F1A" w:rsidRPr="00547F1A" w:rsidRDefault="00547F1A" w:rsidP="00EC0FF2">
            <w:pPr>
              <w:keepNext/>
              <w:spacing w:line="240" w:lineRule="auto"/>
              <w:rPr>
                <w:rFonts w:eastAsia="Times New Roman"/>
                <w:color w:val="000000"/>
                <w:sz w:val="24"/>
                <w:szCs w:val="24"/>
                <w:lang w:eastAsia="uk-UA"/>
              </w:rPr>
            </w:pPr>
            <w:r w:rsidRPr="00547F1A">
              <w:rPr>
                <w:rFonts w:eastAsia="Times New Roman"/>
                <w:color w:val="000000"/>
                <w:sz w:val="24"/>
                <w:szCs w:val="24"/>
                <w:lang w:eastAsia="uk-UA"/>
              </w:rPr>
              <w:t>Індекс концентрації розродження вагітних з  пре- еклампсією і еклампсією  у ЗПД ІІ-ІІІ рівнів</w:t>
            </w:r>
          </w:p>
        </w:tc>
        <w:tc>
          <w:tcPr>
            <w:tcW w:w="968" w:type="dxa"/>
            <w:tcBorders>
              <w:top w:val="single" w:sz="4" w:space="0" w:color="auto"/>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jc w:val="center"/>
              <w:rPr>
                <w:rFonts w:eastAsia="Times New Roman"/>
                <w:sz w:val="24"/>
                <w:szCs w:val="24"/>
                <w:lang w:eastAsia="ru-RU"/>
              </w:rPr>
            </w:pPr>
            <w:r w:rsidRPr="00547F1A">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jc w:val="center"/>
              <w:rPr>
                <w:rFonts w:eastAsia="Times New Roman"/>
                <w:sz w:val="24"/>
                <w:szCs w:val="24"/>
                <w:lang w:eastAsia="ru-RU"/>
              </w:rPr>
            </w:pPr>
            <w:r w:rsidRPr="00547F1A">
              <w:rPr>
                <w:rFonts w:eastAsia="Times New Roman"/>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jc w:val="center"/>
              <w:rPr>
                <w:rFonts w:eastAsia="Times New Roman"/>
                <w:sz w:val="24"/>
                <w:szCs w:val="24"/>
                <w:lang w:eastAsia="ru-RU"/>
              </w:rPr>
            </w:pPr>
            <w:r w:rsidRPr="00547F1A">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jc w:val="center"/>
              <w:rPr>
                <w:rFonts w:eastAsia="Times New Roman"/>
                <w:sz w:val="24"/>
                <w:szCs w:val="24"/>
                <w:lang w:eastAsia="ru-RU"/>
              </w:rPr>
            </w:pPr>
            <w:r w:rsidRPr="00547F1A">
              <w:rPr>
                <w:rFonts w:eastAsia="Times New Roman"/>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jc w:val="center"/>
              <w:rPr>
                <w:rFonts w:eastAsia="Times New Roman"/>
                <w:sz w:val="24"/>
                <w:szCs w:val="24"/>
                <w:lang w:eastAsia="ru-RU"/>
              </w:rPr>
            </w:pPr>
            <w:r w:rsidRPr="00547F1A">
              <w:rPr>
                <w:rFonts w:eastAsia="Times New Roman"/>
                <w:sz w:val="24"/>
                <w:szCs w:val="24"/>
                <w:lang w:eastAsia="ru-RU"/>
              </w:rPr>
              <w:t>*</w:t>
            </w:r>
          </w:p>
        </w:tc>
        <w:tc>
          <w:tcPr>
            <w:tcW w:w="899" w:type="dxa"/>
            <w:tcBorders>
              <w:top w:val="single" w:sz="4" w:space="0" w:color="auto"/>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jc w:val="center"/>
              <w:rPr>
                <w:rFonts w:eastAsia="Times New Roman"/>
                <w:sz w:val="24"/>
                <w:szCs w:val="24"/>
                <w:lang w:eastAsia="ru-RU"/>
              </w:rPr>
            </w:pPr>
            <w:r w:rsidRPr="00547F1A">
              <w:rPr>
                <w:rFonts w:eastAsia="Times New Roman"/>
                <w:sz w:val="24"/>
                <w:szCs w:val="24"/>
                <w:lang w:eastAsia="ru-RU"/>
              </w:rPr>
              <w:t>**</w:t>
            </w:r>
          </w:p>
        </w:tc>
      </w:tr>
      <w:tr w:rsidR="00547F1A" w:rsidRPr="00547F1A" w:rsidTr="004B24A2">
        <w:trPr>
          <w:trHeight w:val="384"/>
          <w:jc w:val="center"/>
        </w:trPr>
        <w:tc>
          <w:tcPr>
            <w:tcW w:w="4536" w:type="dxa"/>
            <w:tcBorders>
              <w:top w:val="single" w:sz="4" w:space="0" w:color="auto"/>
              <w:left w:val="single" w:sz="4" w:space="0" w:color="auto"/>
              <w:bottom w:val="single" w:sz="4" w:space="0" w:color="auto"/>
              <w:right w:val="single" w:sz="4" w:space="0" w:color="auto"/>
            </w:tcBorders>
          </w:tcPr>
          <w:p w:rsidR="00547F1A" w:rsidRPr="00547F1A" w:rsidRDefault="00547F1A" w:rsidP="00EC0FF2">
            <w:pPr>
              <w:keepNext/>
              <w:spacing w:line="240" w:lineRule="auto"/>
              <w:rPr>
                <w:rFonts w:eastAsia="Times New Roman"/>
                <w:color w:val="000000"/>
                <w:sz w:val="24"/>
                <w:szCs w:val="24"/>
                <w:lang w:eastAsia="uk-UA"/>
              </w:rPr>
            </w:pPr>
            <w:r w:rsidRPr="00547F1A">
              <w:rPr>
                <w:rFonts w:eastAsia="Times New Roman"/>
                <w:color w:val="000000"/>
                <w:sz w:val="24"/>
                <w:szCs w:val="24"/>
                <w:lang w:eastAsia="uk-UA"/>
              </w:rPr>
              <w:t>Індекс концентрації новонароджених масою тіла при народженні 500-1499г у ЗПД ІІІ рівня</w:t>
            </w:r>
          </w:p>
        </w:tc>
        <w:tc>
          <w:tcPr>
            <w:tcW w:w="968" w:type="dxa"/>
            <w:tcBorders>
              <w:top w:val="single" w:sz="4" w:space="0" w:color="auto"/>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jc w:val="center"/>
              <w:rPr>
                <w:rFonts w:eastAsia="Times New Roman"/>
                <w:sz w:val="24"/>
                <w:szCs w:val="24"/>
                <w:lang w:eastAsia="ru-RU"/>
              </w:rPr>
            </w:pPr>
            <w:r w:rsidRPr="00547F1A">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jc w:val="center"/>
              <w:rPr>
                <w:rFonts w:eastAsia="Times New Roman"/>
                <w:sz w:val="24"/>
                <w:szCs w:val="24"/>
                <w:lang w:eastAsia="ru-RU"/>
              </w:rPr>
            </w:pPr>
            <w:r w:rsidRPr="00547F1A">
              <w:rPr>
                <w:rFonts w:eastAsia="Times New Roman"/>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jc w:val="center"/>
              <w:rPr>
                <w:rFonts w:eastAsia="Times New Roman"/>
                <w:sz w:val="24"/>
                <w:szCs w:val="24"/>
                <w:lang w:eastAsia="ru-RU"/>
              </w:rPr>
            </w:pPr>
            <w:r w:rsidRPr="00547F1A">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jc w:val="center"/>
              <w:rPr>
                <w:rFonts w:eastAsia="Times New Roman"/>
                <w:sz w:val="24"/>
                <w:szCs w:val="24"/>
                <w:lang w:eastAsia="ru-RU"/>
              </w:rPr>
            </w:pPr>
            <w:r w:rsidRPr="00547F1A">
              <w:rPr>
                <w:rFonts w:eastAsia="Times New Roman"/>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jc w:val="center"/>
              <w:rPr>
                <w:rFonts w:eastAsia="Times New Roman"/>
                <w:sz w:val="24"/>
                <w:szCs w:val="24"/>
                <w:lang w:eastAsia="ru-RU"/>
              </w:rPr>
            </w:pPr>
            <w:r w:rsidRPr="00547F1A">
              <w:rPr>
                <w:rFonts w:eastAsia="Times New Roman"/>
                <w:sz w:val="24"/>
                <w:szCs w:val="24"/>
                <w:lang w:eastAsia="ru-RU"/>
              </w:rPr>
              <w:t>*</w:t>
            </w:r>
          </w:p>
        </w:tc>
        <w:tc>
          <w:tcPr>
            <w:tcW w:w="899" w:type="dxa"/>
            <w:tcBorders>
              <w:top w:val="single" w:sz="4" w:space="0" w:color="auto"/>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jc w:val="center"/>
              <w:rPr>
                <w:rFonts w:eastAsia="Times New Roman"/>
                <w:sz w:val="24"/>
                <w:szCs w:val="24"/>
                <w:lang w:eastAsia="ru-RU"/>
              </w:rPr>
            </w:pPr>
            <w:r w:rsidRPr="00547F1A">
              <w:rPr>
                <w:rFonts w:eastAsia="Times New Roman"/>
                <w:sz w:val="24"/>
                <w:szCs w:val="24"/>
                <w:lang w:eastAsia="ru-RU"/>
              </w:rPr>
              <w:t>**</w:t>
            </w:r>
          </w:p>
        </w:tc>
      </w:tr>
      <w:tr w:rsidR="00547F1A" w:rsidRPr="00547F1A" w:rsidTr="004B24A2">
        <w:trPr>
          <w:trHeight w:val="286"/>
          <w:jc w:val="center"/>
        </w:trPr>
        <w:tc>
          <w:tcPr>
            <w:tcW w:w="4536" w:type="dxa"/>
            <w:tcBorders>
              <w:top w:val="single" w:sz="4" w:space="0" w:color="auto"/>
              <w:left w:val="single" w:sz="4" w:space="0" w:color="auto"/>
              <w:bottom w:val="single" w:sz="4" w:space="0" w:color="auto"/>
              <w:right w:val="single" w:sz="4" w:space="0" w:color="auto"/>
            </w:tcBorders>
            <w:vAlign w:val="bottom"/>
          </w:tcPr>
          <w:p w:rsidR="00547F1A" w:rsidRPr="00547F1A" w:rsidRDefault="00547F1A" w:rsidP="00EC0FF2">
            <w:pPr>
              <w:keepNext/>
              <w:spacing w:line="240" w:lineRule="auto"/>
              <w:jc w:val="left"/>
              <w:rPr>
                <w:rFonts w:eastAsia="Times New Roman"/>
                <w:sz w:val="24"/>
                <w:szCs w:val="24"/>
                <w:lang w:eastAsia="ru-RU"/>
              </w:rPr>
            </w:pPr>
            <w:r w:rsidRPr="00547F1A">
              <w:rPr>
                <w:rFonts w:eastAsia="Times New Roman"/>
                <w:sz w:val="24"/>
                <w:szCs w:val="24"/>
                <w:lang w:eastAsia="ru-RU"/>
              </w:rPr>
              <w:t>Індекс неонатального трансферу</w:t>
            </w:r>
          </w:p>
        </w:tc>
        <w:tc>
          <w:tcPr>
            <w:tcW w:w="968" w:type="dxa"/>
            <w:tcBorders>
              <w:top w:val="single" w:sz="4" w:space="0" w:color="auto"/>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jc w:val="center"/>
              <w:rPr>
                <w:rFonts w:eastAsia="Times New Roman"/>
                <w:sz w:val="24"/>
                <w:szCs w:val="24"/>
                <w:lang w:eastAsia="ru-RU"/>
              </w:rPr>
            </w:pPr>
            <w:r w:rsidRPr="00547F1A">
              <w:rPr>
                <w:rFonts w:eastAsia="Times New Roman"/>
                <w:sz w:val="24"/>
                <w:szCs w:val="24"/>
                <w:lang w:eastAsia="ru-RU"/>
              </w:rPr>
              <w:t>6,44</w:t>
            </w:r>
          </w:p>
        </w:tc>
        <w:tc>
          <w:tcPr>
            <w:tcW w:w="969" w:type="dxa"/>
            <w:tcBorders>
              <w:top w:val="single" w:sz="4" w:space="0" w:color="auto"/>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jc w:val="center"/>
              <w:rPr>
                <w:rFonts w:eastAsia="Times New Roman"/>
                <w:sz w:val="24"/>
                <w:szCs w:val="24"/>
                <w:lang w:eastAsia="ru-RU"/>
              </w:rPr>
            </w:pPr>
            <w:r w:rsidRPr="00547F1A">
              <w:rPr>
                <w:rFonts w:eastAsia="Times New Roman"/>
                <w:sz w:val="24"/>
                <w:szCs w:val="24"/>
                <w:lang w:eastAsia="ru-RU"/>
              </w:rPr>
              <w:t>5,91</w:t>
            </w:r>
          </w:p>
        </w:tc>
        <w:tc>
          <w:tcPr>
            <w:tcW w:w="968" w:type="dxa"/>
            <w:tcBorders>
              <w:top w:val="single" w:sz="4" w:space="0" w:color="auto"/>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jc w:val="center"/>
              <w:rPr>
                <w:rFonts w:eastAsia="Times New Roman"/>
                <w:sz w:val="24"/>
                <w:szCs w:val="24"/>
                <w:lang w:eastAsia="ru-RU"/>
              </w:rPr>
            </w:pPr>
            <w:r w:rsidRPr="00547F1A">
              <w:rPr>
                <w:rFonts w:eastAsia="Times New Roman"/>
                <w:sz w:val="24"/>
                <w:szCs w:val="24"/>
                <w:lang w:eastAsia="ru-RU"/>
              </w:rPr>
              <w:t>2,73</w:t>
            </w:r>
          </w:p>
        </w:tc>
        <w:tc>
          <w:tcPr>
            <w:tcW w:w="969" w:type="dxa"/>
            <w:tcBorders>
              <w:top w:val="single" w:sz="4" w:space="0" w:color="auto"/>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jc w:val="center"/>
              <w:rPr>
                <w:rFonts w:eastAsia="Times New Roman"/>
                <w:sz w:val="24"/>
                <w:szCs w:val="24"/>
                <w:lang w:eastAsia="ru-RU"/>
              </w:rPr>
            </w:pPr>
            <w:r w:rsidRPr="00547F1A">
              <w:rPr>
                <w:rFonts w:eastAsia="Times New Roman"/>
                <w:sz w:val="24"/>
                <w:szCs w:val="24"/>
                <w:lang w:eastAsia="ru-RU"/>
              </w:rPr>
              <w:t>5,73</w:t>
            </w:r>
          </w:p>
        </w:tc>
        <w:tc>
          <w:tcPr>
            <w:tcW w:w="968" w:type="dxa"/>
            <w:tcBorders>
              <w:top w:val="single" w:sz="4" w:space="0" w:color="auto"/>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jc w:val="center"/>
              <w:rPr>
                <w:rFonts w:eastAsia="Times New Roman"/>
                <w:sz w:val="24"/>
                <w:szCs w:val="24"/>
                <w:lang w:eastAsia="ru-RU"/>
              </w:rPr>
            </w:pPr>
            <w:r w:rsidRPr="00547F1A">
              <w:rPr>
                <w:rFonts w:eastAsia="Times New Roman"/>
                <w:sz w:val="24"/>
                <w:szCs w:val="24"/>
                <w:lang w:eastAsia="ru-RU"/>
              </w:rPr>
              <w:t>0,39</w:t>
            </w:r>
          </w:p>
        </w:tc>
        <w:tc>
          <w:tcPr>
            <w:tcW w:w="899" w:type="dxa"/>
            <w:tcBorders>
              <w:top w:val="single" w:sz="4" w:space="0" w:color="auto"/>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jc w:val="center"/>
              <w:rPr>
                <w:rFonts w:eastAsia="Times New Roman"/>
                <w:sz w:val="24"/>
                <w:szCs w:val="24"/>
                <w:lang w:eastAsia="ru-RU"/>
              </w:rPr>
            </w:pPr>
            <w:r w:rsidRPr="00547F1A">
              <w:rPr>
                <w:rFonts w:eastAsia="Times New Roman"/>
                <w:sz w:val="24"/>
                <w:szCs w:val="24"/>
                <w:lang w:eastAsia="ru-RU"/>
              </w:rPr>
              <w:t>0,82</w:t>
            </w:r>
          </w:p>
        </w:tc>
      </w:tr>
      <w:tr w:rsidR="00547F1A" w:rsidRPr="00547F1A" w:rsidTr="004B24A2">
        <w:trPr>
          <w:trHeight w:val="384"/>
          <w:jc w:val="center"/>
        </w:trPr>
        <w:tc>
          <w:tcPr>
            <w:tcW w:w="4536" w:type="dxa"/>
            <w:tcBorders>
              <w:top w:val="single" w:sz="4" w:space="0" w:color="auto"/>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jc w:val="left"/>
              <w:rPr>
                <w:rFonts w:eastAsia="Times New Roman"/>
                <w:sz w:val="24"/>
                <w:szCs w:val="24"/>
                <w:lang w:eastAsia="ru-RU"/>
              </w:rPr>
            </w:pPr>
            <w:r w:rsidRPr="00547F1A">
              <w:rPr>
                <w:rFonts w:eastAsia="Times New Roman"/>
                <w:sz w:val="24"/>
                <w:szCs w:val="24"/>
                <w:lang w:eastAsia="ru-RU"/>
              </w:rPr>
              <w:t>Частота нормальних пологів</w:t>
            </w:r>
          </w:p>
        </w:tc>
        <w:tc>
          <w:tcPr>
            <w:tcW w:w="968" w:type="dxa"/>
            <w:tcBorders>
              <w:top w:val="single" w:sz="4" w:space="0" w:color="auto"/>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jc w:val="center"/>
              <w:rPr>
                <w:rFonts w:eastAsia="Times New Roman"/>
                <w:sz w:val="24"/>
                <w:szCs w:val="24"/>
                <w:lang w:eastAsia="ru-RU"/>
              </w:rPr>
            </w:pPr>
            <w:r w:rsidRPr="00547F1A">
              <w:rPr>
                <w:rFonts w:eastAsia="Times New Roman"/>
                <w:sz w:val="24"/>
                <w:szCs w:val="24"/>
                <w:lang w:eastAsia="ru-RU"/>
              </w:rPr>
              <w:t>65,79</w:t>
            </w:r>
          </w:p>
        </w:tc>
        <w:tc>
          <w:tcPr>
            <w:tcW w:w="969" w:type="dxa"/>
            <w:tcBorders>
              <w:top w:val="single" w:sz="4" w:space="0" w:color="auto"/>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jc w:val="center"/>
              <w:rPr>
                <w:rFonts w:eastAsia="Times New Roman"/>
                <w:sz w:val="24"/>
                <w:szCs w:val="24"/>
                <w:lang w:eastAsia="ru-RU"/>
              </w:rPr>
            </w:pPr>
            <w:r w:rsidRPr="00547F1A">
              <w:rPr>
                <w:rFonts w:eastAsia="Times New Roman"/>
                <w:sz w:val="24"/>
                <w:szCs w:val="24"/>
                <w:lang w:eastAsia="ru-RU"/>
              </w:rPr>
              <w:t>66,29</w:t>
            </w:r>
          </w:p>
        </w:tc>
        <w:tc>
          <w:tcPr>
            <w:tcW w:w="968" w:type="dxa"/>
            <w:tcBorders>
              <w:top w:val="single" w:sz="4" w:space="0" w:color="auto"/>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jc w:val="center"/>
              <w:rPr>
                <w:rFonts w:eastAsia="Times New Roman"/>
                <w:sz w:val="24"/>
                <w:szCs w:val="24"/>
                <w:lang w:eastAsia="ru-RU"/>
              </w:rPr>
            </w:pPr>
            <w:r w:rsidRPr="00547F1A">
              <w:rPr>
                <w:rFonts w:eastAsia="Times New Roman"/>
                <w:sz w:val="24"/>
                <w:szCs w:val="24"/>
                <w:lang w:eastAsia="ru-RU"/>
              </w:rPr>
              <w:t>4,70</w:t>
            </w:r>
          </w:p>
        </w:tc>
        <w:tc>
          <w:tcPr>
            <w:tcW w:w="969" w:type="dxa"/>
            <w:tcBorders>
              <w:top w:val="single" w:sz="4" w:space="0" w:color="auto"/>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jc w:val="center"/>
              <w:rPr>
                <w:rFonts w:eastAsia="Times New Roman"/>
                <w:sz w:val="24"/>
                <w:szCs w:val="24"/>
                <w:lang w:eastAsia="ru-RU"/>
              </w:rPr>
            </w:pPr>
            <w:r w:rsidRPr="00547F1A">
              <w:rPr>
                <w:rFonts w:eastAsia="Times New Roman"/>
                <w:sz w:val="24"/>
                <w:szCs w:val="24"/>
                <w:lang w:eastAsia="ru-RU"/>
              </w:rPr>
              <w:t>4,95</w:t>
            </w:r>
          </w:p>
        </w:tc>
        <w:tc>
          <w:tcPr>
            <w:tcW w:w="968" w:type="dxa"/>
            <w:tcBorders>
              <w:top w:val="single" w:sz="4" w:space="0" w:color="auto"/>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jc w:val="center"/>
              <w:rPr>
                <w:rFonts w:eastAsia="Times New Roman"/>
                <w:sz w:val="24"/>
                <w:szCs w:val="24"/>
                <w:lang w:eastAsia="ru-RU"/>
              </w:rPr>
            </w:pPr>
            <w:r w:rsidRPr="00547F1A">
              <w:rPr>
                <w:rFonts w:eastAsia="Times New Roman"/>
                <w:sz w:val="24"/>
                <w:szCs w:val="24"/>
                <w:lang w:eastAsia="ru-RU"/>
              </w:rPr>
              <w:t>0,94</w:t>
            </w:r>
          </w:p>
        </w:tc>
        <w:tc>
          <w:tcPr>
            <w:tcW w:w="899" w:type="dxa"/>
            <w:tcBorders>
              <w:top w:val="single" w:sz="4" w:space="0" w:color="auto"/>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jc w:val="center"/>
              <w:rPr>
                <w:rFonts w:eastAsia="Times New Roman"/>
                <w:sz w:val="24"/>
                <w:szCs w:val="24"/>
                <w:lang w:eastAsia="ru-RU"/>
              </w:rPr>
            </w:pPr>
            <w:r w:rsidRPr="00547F1A">
              <w:rPr>
                <w:rFonts w:eastAsia="Times New Roman"/>
                <w:sz w:val="24"/>
                <w:szCs w:val="24"/>
                <w:lang w:eastAsia="ru-RU"/>
              </w:rPr>
              <w:t>0,99</w:t>
            </w:r>
          </w:p>
        </w:tc>
      </w:tr>
      <w:tr w:rsidR="00547F1A" w:rsidRPr="00547F1A" w:rsidTr="004B24A2">
        <w:trPr>
          <w:trHeight w:val="553"/>
          <w:jc w:val="center"/>
        </w:trPr>
        <w:tc>
          <w:tcPr>
            <w:tcW w:w="4536" w:type="dxa"/>
            <w:tcBorders>
              <w:top w:val="single" w:sz="4" w:space="0" w:color="auto"/>
              <w:left w:val="single" w:sz="4" w:space="0" w:color="auto"/>
              <w:bottom w:val="single" w:sz="4" w:space="0" w:color="auto"/>
              <w:right w:val="single" w:sz="4" w:space="0" w:color="auto"/>
            </w:tcBorders>
            <w:vAlign w:val="bottom"/>
          </w:tcPr>
          <w:p w:rsidR="00547F1A" w:rsidRPr="00547F1A" w:rsidRDefault="00547F1A" w:rsidP="00EC0FF2">
            <w:pPr>
              <w:keepNext/>
              <w:spacing w:line="240" w:lineRule="auto"/>
              <w:jc w:val="left"/>
              <w:rPr>
                <w:rFonts w:eastAsia="Times New Roman"/>
                <w:sz w:val="24"/>
                <w:szCs w:val="24"/>
                <w:lang w:eastAsia="ru-RU"/>
              </w:rPr>
            </w:pPr>
            <w:r w:rsidRPr="00547F1A">
              <w:rPr>
                <w:rFonts w:eastAsia="Times New Roman"/>
                <w:sz w:val="24"/>
                <w:szCs w:val="24"/>
                <w:lang w:eastAsia="ru-RU"/>
              </w:rPr>
              <w:t>Частота розроджень вагітних шляхом кесаревого розтину</w:t>
            </w:r>
          </w:p>
        </w:tc>
        <w:tc>
          <w:tcPr>
            <w:tcW w:w="968" w:type="dxa"/>
            <w:tcBorders>
              <w:top w:val="single" w:sz="4" w:space="0" w:color="auto"/>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jc w:val="center"/>
              <w:rPr>
                <w:rFonts w:eastAsia="Times New Roman"/>
                <w:sz w:val="24"/>
                <w:szCs w:val="24"/>
                <w:lang w:eastAsia="ru-RU"/>
              </w:rPr>
            </w:pPr>
            <w:r w:rsidRPr="00547F1A">
              <w:rPr>
                <w:rFonts w:eastAsia="Times New Roman"/>
                <w:sz w:val="24"/>
                <w:szCs w:val="24"/>
                <w:lang w:eastAsia="ru-RU"/>
              </w:rPr>
              <w:t>237,4</w:t>
            </w:r>
          </w:p>
        </w:tc>
        <w:tc>
          <w:tcPr>
            <w:tcW w:w="969" w:type="dxa"/>
            <w:tcBorders>
              <w:top w:val="single" w:sz="4" w:space="0" w:color="auto"/>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jc w:val="center"/>
              <w:rPr>
                <w:rFonts w:eastAsia="Times New Roman"/>
                <w:sz w:val="24"/>
                <w:szCs w:val="24"/>
                <w:lang w:eastAsia="ru-RU"/>
              </w:rPr>
            </w:pPr>
            <w:r w:rsidRPr="00547F1A">
              <w:rPr>
                <w:rFonts w:eastAsia="Times New Roman"/>
                <w:sz w:val="24"/>
                <w:szCs w:val="24"/>
                <w:lang w:eastAsia="ru-RU"/>
              </w:rPr>
              <w:t>236,26</w:t>
            </w:r>
          </w:p>
        </w:tc>
        <w:tc>
          <w:tcPr>
            <w:tcW w:w="968" w:type="dxa"/>
            <w:tcBorders>
              <w:top w:val="single" w:sz="4" w:space="0" w:color="auto"/>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jc w:val="center"/>
              <w:rPr>
                <w:rFonts w:eastAsia="Times New Roman"/>
                <w:sz w:val="24"/>
                <w:szCs w:val="24"/>
                <w:lang w:eastAsia="ru-RU"/>
              </w:rPr>
            </w:pPr>
            <w:r w:rsidRPr="00547F1A">
              <w:rPr>
                <w:rFonts w:eastAsia="Times New Roman"/>
                <w:sz w:val="24"/>
                <w:szCs w:val="24"/>
                <w:lang w:eastAsia="ru-RU"/>
              </w:rPr>
              <w:t>3,61</w:t>
            </w:r>
          </w:p>
        </w:tc>
        <w:tc>
          <w:tcPr>
            <w:tcW w:w="969" w:type="dxa"/>
            <w:tcBorders>
              <w:top w:val="single" w:sz="4" w:space="0" w:color="auto"/>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jc w:val="center"/>
              <w:rPr>
                <w:rFonts w:eastAsia="Times New Roman"/>
                <w:sz w:val="24"/>
                <w:szCs w:val="24"/>
                <w:lang w:eastAsia="ru-RU"/>
              </w:rPr>
            </w:pPr>
            <w:r w:rsidRPr="00547F1A">
              <w:rPr>
                <w:rFonts w:eastAsia="Times New Roman"/>
                <w:sz w:val="24"/>
                <w:szCs w:val="24"/>
                <w:lang w:eastAsia="ru-RU"/>
              </w:rPr>
              <w:t>4,75</w:t>
            </w:r>
          </w:p>
        </w:tc>
        <w:tc>
          <w:tcPr>
            <w:tcW w:w="968" w:type="dxa"/>
            <w:tcBorders>
              <w:top w:val="single" w:sz="4" w:space="0" w:color="auto"/>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jc w:val="center"/>
              <w:rPr>
                <w:rFonts w:eastAsia="Times New Roman"/>
                <w:sz w:val="24"/>
                <w:szCs w:val="24"/>
                <w:lang w:eastAsia="ru-RU"/>
              </w:rPr>
            </w:pPr>
            <w:r w:rsidRPr="00547F1A">
              <w:rPr>
                <w:rFonts w:eastAsia="Times New Roman"/>
                <w:sz w:val="24"/>
                <w:szCs w:val="24"/>
                <w:lang w:eastAsia="ru-RU"/>
              </w:rPr>
              <w:t>0,52</w:t>
            </w:r>
          </w:p>
        </w:tc>
        <w:tc>
          <w:tcPr>
            <w:tcW w:w="899" w:type="dxa"/>
            <w:tcBorders>
              <w:top w:val="single" w:sz="4" w:space="0" w:color="auto"/>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jc w:val="center"/>
              <w:rPr>
                <w:rFonts w:eastAsia="Times New Roman"/>
                <w:sz w:val="24"/>
                <w:szCs w:val="24"/>
                <w:lang w:eastAsia="ru-RU"/>
              </w:rPr>
            </w:pPr>
            <w:r w:rsidRPr="00547F1A">
              <w:rPr>
                <w:rFonts w:eastAsia="Times New Roman"/>
                <w:sz w:val="24"/>
                <w:szCs w:val="24"/>
                <w:lang w:eastAsia="ru-RU"/>
              </w:rPr>
              <w:t>0,68</w:t>
            </w:r>
          </w:p>
        </w:tc>
      </w:tr>
      <w:tr w:rsidR="00547F1A" w:rsidRPr="00547F1A" w:rsidTr="004B24A2">
        <w:trPr>
          <w:trHeight w:val="276"/>
          <w:jc w:val="center"/>
        </w:trPr>
        <w:tc>
          <w:tcPr>
            <w:tcW w:w="4536" w:type="dxa"/>
            <w:tcBorders>
              <w:top w:val="single" w:sz="4" w:space="0" w:color="auto"/>
              <w:left w:val="single" w:sz="4" w:space="0" w:color="auto"/>
              <w:bottom w:val="single" w:sz="4" w:space="0" w:color="auto"/>
              <w:right w:val="single" w:sz="4" w:space="0" w:color="auto"/>
            </w:tcBorders>
            <w:vAlign w:val="bottom"/>
          </w:tcPr>
          <w:p w:rsidR="00547F1A" w:rsidRPr="00547F1A" w:rsidRDefault="00547F1A" w:rsidP="00EC0FF2">
            <w:pPr>
              <w:keepNext/>
              <w:spacing w:line="240" w:lineRule="auto"/>
              <w:jc w:val="left"/>
              <w:rPr>
                <w:rFonts w:eastAsia="Times New Roman"/>
                <w:sz w:val="24"/>
                <w:szCs w:val="24"/>
                <w:lang w:eastAsia="ru-RU"/>
              </w:rPr>
            </w:pPr>
            <w:r w:rsidRPr="00547F1A">
              <w:rPr>
                <w:rFonts w:eastAsia="Times New Roman"/>
                <w:sz w:val="24"/>
                <w:szCs w:val="24"/>
                <w:lang w:eastAsia="ru-RU"/>
              </w:rPr>
              <w:t>Частота  кровотеч в послідовому і післяродовому періодах</w:t>
            </w:r>
          </w:p>
        </w:tc>
        <w:tc>
          <w:tcPr>
            <w:tcW w:w="968" w:type="dxa"/>
            <w:tcBorders>
              <w:top w:val="single" w:sz="4" w:space="0" w:color="auto"/>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jc w:val="center"/>
              <w:rPr>
                <w:rFonts w:eastAsia="Times New Roman"/>
                <w:sz w:val="24"/>
                <w:szCs w:val="24"/>
                <w:lang w:eastAsia="ru-RU"/>
              </w:rPr>
            </w:pPr>
            <w:r w:rsidRPr="00547F1A">
              <w:rPr>
                <w:rFonts w:eastAsia="Times New Roman"/>
                <w:sz w:val="24"/>
                <w:szCs w:val="24"/>
                <w:lang w:eastAsia="ru-RU"/>
              </w:rPr>
              <w:t>9,24</w:t>
            </w:r>
          </w:p>
        </w:tc>
        <w:tc>
          <w:tcPr>
            <w:tcW w:w="969" w:type="dxa"/>
            <w:tcBorders>
              <w:top w:val="single" w:sz="4" w:space="0" w:color="auto"/>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jc w:val="center"/>
              <w:rPr>
                <w:rFonts w:eastAsia="Times New Roman"/>
                <w:sz w:val="24"/>
                <w:szCs w:val="24"/>
                <w:lang w:eastAsia="ru-RU"/>
              </w:rPr>
            </w:pPr>
            <w:r w:rsidRPr="00547F1A">
              <w:rPr>
                <w:rFonts w:eastAsia="Times New Roman"/>
                <w:sz w:val="24"/>
                <w:szCs w:val="24"/>
                <w:lang w:eastAsia="ru-RU"/>
              </w:rPr>
              <w:t>7,86</w:t>
            </w:r>
          </w:p>
        </w:tc>
        <w:tc>
          <w:tcPr>
            <w:tcW w:w="968" w:type="dxa"/>
            <w:tcBorders>
              <w:top w:val="single" w:sz="4" w:space="0" w:color="auto"/>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jc w:val="center"/>
              <w:rPr>
                <w:rFonts w:eastAsia="Times New Roman"/>
                <w:sz w:val="24"/>
                <w:szCs w:val="24"/>
                <w:lang w:eastAsia="ru-RU"/>
              </w:rPr>
            </w:pPr>
            <w:r w:rsidRPr="00547F1A">
              <w:rPr>
                <w:rFonts w:eastAsia="Times New Roman"/>
                <w:sz w:val="24"/>
                <w:szCs w:val="24"/>
                <w:lang w:eastAsia="ru-RU"/>
              </w:rPr>
              <w:t>1,37</w:t>
            </w:r>
          </w:p>
        </w:tc>
        <w:tc>
          <w:tcPr>
            <w:tcW w:w="969" w:type="dxa"/>
            <w:tcBorders>
              <w:top w:val="single" w:sz="4" w:space="0" w:color="auto"/>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jc w:val="center"/>
              <w:rPr>
                <w:rFonts w:eastAsia="Times New Roman"/>
                <w:sz w:val="24"/>
                <w:szCs w:val="24"/>
                <w:lang w:eastAsia="ru-RU"/>
              </w:rPr>
            </w:pPr>
            <w:r w:rsidRPr="00547F1A">
              <w:rPr>
                <w:rFonts w:eastAsia="Times New Roman"/>
                <w:sz w:val="24"/>
                <w:szCs w:val="24"/>
                <w:lang w:eastAsia="ru-RU"/>
              </w:rPr>
              <w:t>6,21</w:t>
            </w:r>
          </w:p>
        </w:tc>
        <w:tc>
          <w:tcPr>
            <w:tcW w:w="968" w:type="dxa"/>
            <w:tcBorders>
              <w:top w:val="single" w:sz="4" w:space="0" w:color="auto"/>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jc w:val="center"/>
              <w:rPr>
                <w:rFonts w:eastAsia="Times New Roman"/>
                <w:sz w:val="24"/>
                <w:szCs w:val="24"/>
                <w:lang w:eastAsia="ru-RU"/>
              </w:rPr>
            </w:pPr>
            <w:r w:rsidRPr="00547F1A">
              <w:rPr>
                <w:rFonts w:eastAsia="Times New Roman"/>
                <w:sz w:val="24"/>
                <w:szCs w:val="24"/>
                <w:lang w:eastAsia="ru-RU"/>
              </w:rPr>
              <w:t>0,15</w:t>
            </w:r>
          </w:p>
        </w:tc>
        <w:tc>
          <w:tcPr>
            <w:tcW w:w="899" w:type="dxa"/>
            <w:tcBorders>
              <w:top w:val="single" w:sz="4" w:space="0" w:color="auto"/>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jc w:val="center"/>
              <w:rPr>
                <w:rFonts w:eastAsia="Times New Roman"/>
                <w:sz w:val="24"/>
                <w:szCs w:val="24"/>
                <w:lang w:eastAsia="ru-RU"/>
              </w:rPr>
            </w:pPr>
            <w:r w:rsidRPr="00547F1A">
              <w:rPr>
                <w:rFonts w:eastAsia="Times New Roman"/>
                <w:sz w:val="24"/>
                <w:szCs w:val="24"/>
                <w:lang w:eastAsia="ru-RU"/>
              </w:rPr>
              <w:t>0,69</w:t>
            </w:r>
          </w:p>
        </w:tc>
      </w:tr>
      <w:tr w:rsidR="00547F1A" w:rsidRPr="00547F1A" w:rsidTr="004B24A2">
        <w:trPr>
          <w:trHeight w:val="293"/>
          <w:jc w:val="center"/>
        </w:trPr>
        <w:tc>
          <w:tcPr>
            <w:tcW w:w="4536" w:type="dxa"/>
            <w:tcBorders>
              <w:top w:val="single" w:sz="4" w:space="0" w:color="auto"/>
              <w:left w:val="single" w:sz="4" w:space="0" w:color="auto"/>
              <w:bottom w:val="single" w:sz="4" w:space="0" w:color="auto"/>
              <w:right w:val="single" w:sz="4" w:space="0" w:color="auto"/>
            </w:tcBorders>
            <w:vAlign w:val="bottom"/>
          </w:tcPr>
          <w:p w:rsidR="00547F1A" w:rsidRPr="00547F1A" w:rsidRDefault="00547F1A" w:rsidP="00EC0FF2">
            <w:pPr>
              <w:keepNext/>
              <w:spacing w:line="240" w:lineRule="auto"/>
              <w:jc w:val="left"/>
              <w:rPr>
                <w:rFonts w:eastAsia="Times New Roman"/>
                <w:sz w:val="24"/>
                <w:szCs w:val="24"/>
                <w:lang w:eastAsia="ru-RU"/>
              </w:rPr>
            </w:pPr>
            <w:r w:rsidRPr="00547F1A">
              <w:rPr>
                <w:rFonts w:eastAsia="Times New Roman"/>
                <w:sz w:val="24"/>
                <w:szCs w:val="24"/>
                <w:lang w:eastAsia="ru-RU"/>
              </w:rPr>
              <w:t>Частота мало вагових новонароджених</w:t>
            </w:r>
          </w:p>
        </w:tc>
        <w:tc>
          <w:tcPr>
            <w:tcW w:w="968" w:type="dxa"/>
            <w:tcBorders>
              <w:top w:val="single" w:sz="4" w:space="0" w:color="auto"/>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jc w:val="center"/>
              <w:rPr>
                <w:rFonts w:eastAsia="Times New Roman"/>
                <w:sz w:val="24"/>
                <w:szCs w:val="24"/>
                <w:lang w:eastAsia="ru-RU"/>
              </w:rPr>
            </w:pPr>
            <w:r w:rsidRPr="00547F1A">
              <w:rPr>
                <w:rFonts w:eastAsia="Times New Roman"/>
                <w:sz w:val="24"/>
                <w:szCs w:val="24"/>
                <w:lang w:eastAsia="ru-RU"/>
              </w:rPr>
              <w:t>5,76</w:t>
            </w:r>
          </w:p>
        </w:tc>
        <w:tc>
          <w:tcPr>
            <w:tcW w:w="969" w:type="dxa"/>
            <w:tcBorders>
              <w:top w:val="single" w:sz="4" w:space="0" w:color="auto"/>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jc w:val="center"/>
              <w:rPr>
                <w:rFonts w:eastAsia="Times New Roman"/>
                <w:sz w:val="24"/>
                <w:szCs w:val="24"/>
                <w:lang w:eastAsia="ru-RU"/>
              </w:rPr>
            </w:pPr>
            <w:r w:rsidRPr="00547F1A">
              <w:rPr>
                <w:rFonts w:eastAsia="Times New Roman"/>
                <w:sz w:val="24"/>
                <w:szCs w:val="24"/>
                <w:lang w:eastAsia="ru-RU"/>
              </w:rPr>
              <w:t>5,47</w:t>
            </w:r>
          </w:p>
        </w:tc>
        <w:tc>
          <w:tcPr>
            <w:tcW w:w="968" w:type="dxa"/>
            <w:tcBorders>
              <w:top w:val="single" w:sz="4" w:space="0" w:color="auto"/>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jc w:val="center"/>
              <w:rPr>
                <w:rFonts w:eastAsia="Times New Roman"/>
                <w:sz w:val="24"/>
                <w:szCs w:val="24"/>
                <w:lang w:eastAsia="ru-RU"/>
              </w:rPr>
            </w:pPr>
            <w:r w:rsidRPr="00547F1A">
              <w:rPr>
                <w:rFonts w:eastAsia="Times New Roman"/>
                <w:sz w:val="24"/>
                <w:szCs w:val="24"/>
                <w:lang w:eastAsia="ru-RU"/>
              </w:rPr>
              <w:t>2,80</w:t>
            </w:r>
          </w:p>
        </w:tc>
        <w:tc>
          <w:tcPr>
            <w:tcW w:w="969" w:type="dxa"/>
            <w:tcBorders>
              <w:top w:val="single" w:sz="4" w:space="0" w:color="auto"/>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jc w:val="center"/>
              <w:rPr>
                <w:rFonts w:eastAsia="Times New Roman"/>
                <w:sz w:val="24"/>
                <w:szCs w:val="24"/>
                <w:lang w:eastAsia="ru-RU"/>
              </w:rPr>
            </w:pPr>
            <w:r w:rsidRPr="00547F1A">
              <w:rPr>
                <w:rFonts w:eastAsia="Times New Roman"/>
                <w:sz w:val="24"/>
                <w:szCs w:val="24"/>
                <w:lang w:eastAsia="ru-RU"/>
              </w:rPr>
              <w:t>3,53</w:t>
            </w:r>
          </w:p>
        </w:tc>
        <w:tc>
          <w:tcPr>
            <w:tcW w:w="968" w:type="dxa"/>
            <w:tcBorders>
              <w:top w:val="single" w:sz="4" w:space="0" w:color="auto"/>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jc w:val="center"/>
              <w:rPr>
                <w:rFonts w:eastAsia="Times New Roman"/>
                <w:sz w:val="24"/>
                <w:szCs w:val="24"/>
                <w:lang w:eastAsia="ru-RU"/>
              </w:rPr>
            </w:pPr>
            <w:r w:rsidRPr="00547F1A">
              <w:rPr>
                <w:rFonts w:eastAsia="Times New Roman"/>
                <w:sz w:val="24"/>
                <w:szCs w:val="24"/>
                <w:lang w:eastAsia="ru-RU"/>
              </w:rPr>
              <w:t>0,56</w:t>
            </w:r>
          </w:p>
        </w:tc>
        <w:tc>
          <w:tcPr>
            <w:tcW w:w="899" w:type="dxa"/>
            <w:tcBorders>
              <w:top w:val="single" w:sz="4" w:space="0" w:color="auto"/>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jc w:val="center"/>
              <w:rPr>
                <w:rFonts w:eastAsia="Times New Roman"/>
                <w:sz w:val="24"/>
                <w:szCs w:val="24"/>
                <w:lang w:eastAsia="ru-RU"/>
              </w:rPr>
            </w:pPr>
            <w:r w:rsidRPr="00547F1A">
              <w:rPr>
                <w:rFonts w:eastAsia="Times New Roman"/>
                <w:sz w:val="24"/>
                <w:szCs w:val="24"/>
                <w:lang w:eastAsia="ru-RU"/>
              </w:rPr>
              <w:t>0,71</w:t>
            </w:r>
          </w:p>
        </w:tc>
      </w:tr>
      <w:tr w:rsidR="00547F1A" w:rsidRPr="00547F1A" w:rsidTr="004B24A2">
        <w:trPr>
          <w:trHeight w:val="344"/>
          <w:jc w:val="center"/>
        </w:trPr>
        <w:tc>
          <w:tcPr>
            <w:tcW w:w="4536" w:type="dxa"/>
            <w:tcBorders>
              <w:top w:val="single" w:sz="4" w:space="0" w:color="auto"/>
              <w:left w:val="single" w:sz="4" w:space="0" w:color="auto"/>
              <w:bottom w:val="single" w:sz="4" w:space="0" w:color="auto"/>
              <w:right w:val="single" w:sz="4" w:space="0" w:color="auto"/>
            </w:tcBorders>
            <w:vAlign w:val="bottom"/>
          </w:tcPr>
          <w:p w:rsidR="00547F1A" w:rsidRPr="00547F1A" w:rsidRDefault="00547F1A" w:rsidP="00EC0FF2">
            <w:pPr>
              <w:keepNext/>
              <w:spacing w:line="240" w:lineRule="auto"/>
              <w:jc w:val="left"/>
              <w:rPr>
                <w:rFonts w:eastAsia="Times New Roman"/>
                <w:sz w:val="24"/>
                <w:szCs w:val="24"/>
                <w:lang w:eastAsia="ru-RU"/>
              </w:rPr>
            </w:pPr>
            <w:r w:rsidRPr="00547F1A">
              <w:rPr>
                <w:rFonts w:eastAsia="Times New Roman"/>
                <w:sz w:val="24"/>
                <w:szCs w:val="24"/>
                <w:lang w:eastAsia="ru-RU"/>
              </w:rPr>
              <w:t>Виживання новонароджених з дуже малою масою тіла при народженні</w:t>
            </w:r>
          </w:p>
        </w:tc>
        <w:tc>
          <w:tcPr>
            <w:tcW w:w="968" w:type="dxa"/>
            <w:tcBorders>
              <w:top w:val="single" w:sz="4" w:space="0" w:color="auto"/>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jc w:val="center"/>
              <w:rPr>
                <w:rFonts w:eastAsia="Times New Roman"/>
                <w:sz w:val="24"/>
                <w:szCs w:val="24"/>
                <w:lang w:eastAsia="ru-RU"/>
              </w:rPr>
            </w:pPr>
            <w:r w:rsidRPr="00547F1A">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jc w:val="center"/>
              <w:rPr>
                <w:rFonts w:eastAsia="Times New Roman"/>
                <w:sz w:val="24"/>
                <w:szCs w:val="24"/>
                <w:lang w:eastAsia="ru-RU"/>
              </w:rPr>
            </w:pPr>
            <w:r w:rsidRPr="00547F1A">
              <w:rPr>
                <w:rFonts w:eastAsia="Times New Roman"/>
                <w:sz w:val="24"/>
                <w:szCs w:val="24"/>
                <w:lang w:eastAsia="ru-RU"/>
              </w:rPr>
              <w:t>61,73</w:t>
            </w:r>
          </w:p>
        </w:tc>
        <w:tc>
          <w:tcPr>
            <w:tcW w:w="968" w:type="dxa"/>
            <w:tcBorders>
              <w:top w:val="single" w:sz="4" w:space="0" w:color="auto"/>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jc w:val="center"/>
              <w:rPr>
                <w:rFonts w:eastAsia="Times New Roman"/>
                <w:sz w:val="24"/>
                <w:szCs w:val="24"/>
                <w:lang w:eastAsia="ru-RU"/>
              </w:rPr>
            </w:pPr>
            <w:r w:rsidRPr="00547F1A">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jc w:val="center"/>
              <w:rPr>
                <w:rFonts w:eastAsia="Times New Roman"/>
                <w:sz w:val="24"/>
                <w:szCs w:val="24"/>
                <w:lang w:eastAsia="ru-RU"/>
              </w:rPr>
            </w:pPr>
            <w:r w:rsidRPr="00547F1A">
              <w:rPr>
                <w:rFonts w:eastAsia="Times New Roman"/>
                <w:sz w:val="24"/>
                <w:szCs w:val="24"/>
                <w:lang w:eastAsia="ru-RU"/>
              </w:rPr>
              <w:t>5,91</w:t>
            </w:r>
          </w:p>
        </w:tc>
        <w:tc>
          <w:tcPr>
            <w:tcW w:w="968" w:type="dxa"/>
            <w:tcBorders>
              <w:top w:val="single" w:sz="4" w:space="0" w:color="auto"/>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jc w:val="center"/>
              <w:rPr>
                <w:rFonts w:eastAsia="Times New Roman"/>
                <w:sz w:val="24"/>
                <w:szCs w:val="24"/>
                <w:lang w:eastAsia="ru-RU"/>
              </w:rPr>
            </w:pPr>
            <w:r w:rsidRPr="00547F1A">
              <w:rPr>
                <w:rFonts w:eastAsia="Times New Roman"/>
                <w:sz w:val="24"/>
                <w:szCs w:val="24"/>
                <w:lang w:eastAsia="ru-RU"/>
              </w:rPr>
              <w:t>*</w:t>
            </w:r>
          </w:p>
        </w:tc>
        <w:tc>
          <w:tcPr>
            <w:tcW w:w="899" w:type="dxa"/>
            <w:tcBorders>
              <w:top w:val="single" w:sz="4" w:space="0" w:color="auto"/>
              <w:left w:val="single" w:sz="4" w:space="0" w:color="auto"/>
              <w:bottom w:val="single" w:sz="4" w:space="0" w:color="auto"/>
              <w:right w:val="single" w:sz="4" w:space="0" w:color="auto"/>
            </w:tcBorders>
            <w:vAlign w:val="center"/>
          </w:tcPr>
          <w:p w:rsidR="00547F1A" w:rsidRPr="00547F1A" w:rsidRDefault="00547F1A" w:rsidP="00EC0FF2">
            <w:pPr>
              <w:keepNext/>
              <w:spacing w:line="240" w:lineRule="auto"/>
              <w:jc w:val="center"/>
              <w:rPr>
                <w:rFonts w:eastAsia="Times New Roman"/>
                <w:sz w:val="24"/>
                <w:szCs w:val="24"/>
                <w:lang w:eastAsia="ru-RU"/>
              </w:rPr>
            </w:pPr>
            <w:r w:rsidRPr="00547F1A">
              <w:rPr>
                <w:rFonts w:eastAsia="Times New Roman"/>
                <w:sz w:val="24"/>
                <w:szCs w:val="24"/>
                <w:lang w:eastAsia="ru-RU"/>
              </w:rPr>
              <w:t>0,74</w:t>
            </w:r>
          </w:p>
        </w:tc>
      </w:tr>
    </w:tbl>
    <w:tbl>
      <w:tblPr>
        <w:tblpPr w:leftFromText="180" w:rightFromText="180" w:vertAnchor="text" w:horzAnchor="margin" w:tblpY="645"/>
        <w:tblW w:w="10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394"/>
        <w:gridCol w:w="968"/>
        <w:gridCol w:w="969"/>
        <w:gridCol w:w="968"/>
        <w:gridCol w:w="969"/>
        <w:gridCol w:w="968"/>
        <w:gridCol w:w="969"/>
      </w:tblGrid>
      <w:tr w:rsidR="00E47872" w:rsidRPr="00547F1A" w:rsidTr="00E47872">
        <w:trPr>
          <w:trHeight w:val="226"/>
        </w:trPr>
        <w:tc>
          <w:tcPr>
            <w:tcW w:w="4394" w:type="dxa"/>
            <w:tcBorders>
              <w:top w:val="single" w:sz="4" w:space="0" w:color="auto"/>
              <w:left w:val="single" w:sz="4" w:space="0" w:color="auto"/>
              <w:bottom w:val="single" w:sz="4" w:space="0" w:color="auto"/>
              <w:right w:val="single" w:sz="4" w:space="0" w:color="auto"/>
            </w:tcBorders>
            <w:vAlign w:val="bottom"/>
          </w:tcPr>
          <w:p w:rsidR="00E47872" w:rsidRPr="00547F1A" w:rsidRDefault="00E47872" w:rsidP="00E47872">
            <w:pPr>
              <w:keepNext/>
              <w:spacing w:line="240" w:lineRule="auto"/>
              <w:jc w:val="left"/>
              <w:rPr>
                <w:rFonts w:eastAsia="Times New Roman"/>
                <w:sz w:val="24"/>
                <w:szCs w:val="24"/>
                <w:lang w:eastAsia="ru-RU"/>
              </w:rPr>
            </w:pPr>
            <w:r w:rsidRPr="00547F1A">
              <w:rPr>
                <w:rFonts w:eastAsia="Times New Roman"/>
                <w:sz w:val="24"/>
                <w:szCs w:val="24"/>
                <w:lang w:eastAsia="ru-RU"/>
              </w:rPr>
              <w:lastRenderedPageBreak/>
              <w:t>Індекс здоров’я новонароджених</w:t>
            </w:r>
          </w:p>
        </w:tc>
        <w:tc>
          <w:tcPr>
            <w:tcW w:w="968" w:type="dxa"/>
            <w:tcBorders>
              <w:top w:val="single" w:sz="4" w:space="0" w:color="auto"/>
              <w:left w:val="single" w:sz="4" w:space="0" w:color="auto"/>
              <w:bottom w:val="single" w:sz="4" w:space="0" w:color="auto"/>
              <w:right w:val="single" w:sz="4" w:space="0" w:color="auto"/>
            </w:tcBorders>
            <w:vAlign w:val="center"/>
          </w:tcPr>
          <w:p w:rsidR="00E47872" w:rsidRPr="00547F1A" w:rsidRDefault="00E47872" w:rsidP="00E47872">
            <w:pPr>
              <w:keepNext/>
              <w:spacing w:line="240" w:lineRule="auto"/>
              <w:jc w:val="center"/>
              <w:rPr>
                <w:rFonts w:eastAsia="Times New Roman"/>
                <w:sz w:val="24"/>
                <w:szCs w:val="24"/>
                <w:lang w:eastAsia="ru-RU"/>
              </w:rPr>
            </w:pPr>
            <w:r w:rsidRPr="00547F1A">
              <w:rPr>
                <w:rFonts w:eastAsia="Times New Roman"/>
                <w:sz w:val="24"/>
                <w:szCs w:val="24"/>
                <w:lang w:eastAsia="ru-RU"/>
              </w:rPr>
              <w:t>82,4</w:t>
            </w:r>
          </w:p>
        </w:tc>
        <w:tc>
          <w:tcPr>
            <w:tcW w:w="969" w:type="dxa"/>
            <w:tcBorders>
              <w:top w:val="single" w:sz="4" w:space="0" w:color="auto"/>
              <w:left w:val="single" w:sz="4" w:space="0" w:color="auto"/>
              <w:bottom w:val="single" w:sz="4" w:space="0" w:color="auto"/>
              <w:right w:val="single" w:sz="4" w:space="0" w:color="auto"/>
            </w:tcBorders>
            <w:vAlign w:val="center"/>
          </w:tcPr>
          <w:p w:rsidR="00E47872" w:rsidRPr="00547F1A" w:rsidRDefault="00E47872" w:rsidP="00E47872">
            <w:pPr>
              <w:keepNext/>
              <w:spacing w:line="240" w:lineRule="auto"/>
              <w:jc w:val="center"/>
              <w:rPr>
                <w:rFonts w:eastAsia="Times New Roman"/>
                <w:sz w:val="24"/>
                <w:szCs w:val="24"/>
                <w:lang w:eastAsia="ru-RU"/>
              </w:rPr>
            </w:pPr>
            <w:r w:rsidRPr="00547F1A">
              <w:rPr>
                <w:rFonts w:eastAsia="Times New Roman"/>
                <w:sz w:val="24"/>
                <w:szCs w:val="24"/>
                <w:lang w:eastAsia="ru-RU"/>
              </w:rPr>
              <w:t>82,04</w:t>
            </w:r>
          </w:p>
        </w:tc>
        <w:tc>
          <w:tcPr>
            <w:tcW w:w="968" w:type="dxa"/>
            <w:tcBorders>
              <w:top w:val="single" w:sz="4" w:space="0" w:color="auto"/>
              <w:left w:val="single" w:sz="4" w:space="0" w:color="auto"/>
              <w:bottom w:val="single" w:sz="4" w:space="0" w:color="auto"/>
              <w:right w:val="single" w:sz="4" w:space="0" w:color="auto"/>
            </w:tcBorders>
            <w:vAlign w:val="center"/>
          </w:tcPr>
          <w:p w:rsidR="00E47872" w:rsidRPr="00547F1A" w:rsidRDefault="00E47872" w:rsidP="00E47872">
            <w:pPr>
              <w:keepNext/>
              <w:spacing w:line="240" w:lineRule="auto"/>
              <w:jc w:val="center"/>
              <w:rPr>
                <w:rFonts w:eastAsia="Times New Roman"/>
                <w:sz w:val="24"/>
                <w:szCs w:val="24"/>
                <w:lang w:eastAsia="ru-RU"/>
              </w:rPr>
            </w:pPr>
            <w:r w:rsidRPr="00547F1A">
              <w:rPr>
                <w:rFonts w:eastAsia="Times New Roman"/>
                <w:sz w:val="24"/>
                <w:szCs w:val="24"/>
                <w:lang w:eastAsia="ru-RU"/>
              </w:rPr>
              <w:t>5,49</w:t>
            </w:r>
          </w:p>
        </w:tc>
        <w:tc>
          <w:tcPr>
            <w:tcW w:w="969" w:type="dxa"/>
            <w:tcBorders>
              <w:top w:val="single" w:sz="4" w:space="0" w:color="auto"/>
              <w:left w:val="single" w:sz="4" w:space="0" w:color="auto"/>
              <w:bottom w:val="single" w:sz="4" w:space="0" w:color="auto"/>
              <w:right w:val="single" w:sz="4" w:space="0" w:color="auto"/>
            </w:tcBorders>
            <w:vAlign w:val="center"/>
          </w:tcPr>
          <w:p w:rsidR="00E47872" w:rsidRPr="00547F1A" w:rsidRDefault="00E47872" w:rsidP="00E47872">
            <w:pPr>
              <w:keepNext/>
              <w:spacing w:line="240" w:lineRule="auto"/>
              <w:jc w:val="center"/>
              <w:rPr>
                <w:rFonts w:eastAsia="Times New Roman"/>
                <w:sz w:val="24"/>
                <w:szCs w:val="24"/>
                <w:lang w:eastAsia="ru-RU"/>
              </w:rPr>
            </w:pPr>
            <w:r w:rsidRPr="00547F1A">
              <w:rPr>
                <w:rFonts w:eastAsia="Times New Roman"/>
                <w:sz w:val="24"/>
                <w:szCs w:val="24"/>
                <w:lang w:eastAsia="ru-RU"/>
              </w:rPr>
              <w:t>5,79</w:t>
            </w:r>
          </w:p>
        </w:tc>
        <w:tc>
          <w:tcPr>
            <w:tcW w:w="968" w:type="dxa"/>
            <w:tcBorders>
              <w:top w:val="single" w:sz="4" w:space="0" w:color="auto"/>
              <w:left w:val="single" w:sz="4" w:space="0" w:color="auto"/>
              <w:bottom w:val="single" w:sz="4" w:space="0" w:color="auto"/>
              <w:right w:val="single" w:sz="4" w:space="0" w:color="auto"/>
            </w:tcBorders>
            <w:vAlign w:val="center"/>
          </w:tcPr>
          <w:p w:rsidR="00E47872" w:rsidRPr="00547F1A" w:rsidRDefault="00E47872" w:rsidP="00E47872">
            <w:pPr>
              <w:keepNext/>
              <w:spacing w:line="240" w:lineRule="auto"/>
              <w:jc w:val="center"/>
              <w:rPr>
                <w:rFonts w:eastAsia="Times New Roman"/>
                <w:sz w:val="24"/>
                <w:szCs w:val="24"/>
                <w:lang w:eastAsia="ru-RU"/>
              </w:rPr>
            </w:pPr>
            <w:r w:rsidRPr="00547F1A">
              <w:rPr>
                <w:rFonts w:eastAsia="Times New Roman"/>
                <w:sz w:val="24"/>
                <w:szCs w:val="24"/>
                <w:lang w:eastAsia="ru-RU"/>
              </w:rPr>
              <w:t>0,92</w:t>
            </w:r>
          </w:p>
        </w:tc>
        <w:tc>
          <w:tcPr>
            <w:tcW w:w="969" w:type="dxa"/>
            <w:tcBorders>
              <w:top w:val="single" w:sz="4" w:space="0" w:color="auto"/>
              <w:left w:val="single" w:sz="4" w:space="0" w:color="auto"/>
              <w:bottom w:val="single" w:sz="4" w:space="0" w:color="auto"/>
              <w:right w:val="single" w:sz="4" w:space="0" w:color="auto"/>
            </w:tcBorders>
            <w:vAlign w:val="center"/>
          </w:tcPr>
          <w:p w:rsidR="00E47872" w:rsidRPr="00547F1A" w:rsidRDefault="00E47872" w:rsidP="00E47872">
            <w:pPr>
              <w:keepNext/>
              <w:spacing w:line="240" w:lineRule="auto"/>
              <w:jc w:val="center"/>
              <w:rPr>
                <w:rFonts w:eastAsia="Times New Roman"/>
                <w:sz w:val="24"/>
                <w:szCs w:val="24"/>
                <w:lang w:eastAsia="ru-RU"/>
              </w:rPr>
            </w:pPr>
            <w:r w:rsidRPr="00547F1A">
              <w:rPr>
                <w:rFonts w:eastAsia="Times New Roman"/>
                <w:sz w:val="24"/>
                <w:szCs w:val="24"/>
                <w:lang w:eastAsia="ru-RU"/>
              </w:rPr>
              <w:t>0,97</w:t>
            </w:r>
          </w:p>
        </w:tc>
      </w:tr>
      <w:tr w:rsidR="00E47872" w:rsidRPr="00547F1A" w:rsidTr="00E47872">
        <w:trPr>
          <w:trHeight w:val="244"/>
        </w:trPr>
        <w:tc>
          <w:tcPr>
            <w:tcW w:w="4394" w:type="dxa"/>
            <w:tcBorders>
              <w:top w:val="single" w:sz="4" w:space="0" w:color="auto"/>
              <w:left w:val="single" w:sz="4" w:space="0" w:color="auto"/>
              <w:bottom w:val="single" w:sz="4" w:space="0" w:color="auto"/>
              <w:right w:val="single" w:sz="4" w:space="0" w:color="auto"/>
            </w:tcBorders>
            <w:vAlign w:val="bottom"/>
          </w:tcPr>
          <w:p w:rsidR="00E47872" w:rsidRPr="00547F1A" w:rsidRDefault="00E47872" w:rsidP="00E47872">
            <w:pPr>
              <w:keepNext/>
              <w:spacing w:line="240" w:lineRule="auto"/>
              <w:jc w:val="left"/>
              <w:rPr>
                <w:rFonts w:eastAsia="Times New Roman"/>
                <w:sz w:val="24"/>
                <w:szCs w:val="24"/>
                <w:lang w:eastAsia="ru-RU"/>
              </w:rPr>
            </w:pPr>
            <w:r w:rsidRPr="00547F1A">
              <w:rPr>
                <w:rFonts w:eastAsia="Times New Roman"/>
                <w:sz w:val="24"/>
                <w:szCs w:val="24"/>
                <w:lang w:eastAsia="ru-RU"/>
              </w:rPr>
              <w:t xml:space="preserve">Рівень перинатальної смертності </w:t>
            </w:r>
          </w:p>
        </w:tc>
        <w:tc>
          <w:tcPr>
            <w:tcW w:w="968" w:type="dxa"/>
            <w:tcBorders>
              <w:top w:val="single" w:sz="4" w:space="0" w:color="auto"/>
              <w:left w:val="single" w:sz="4" w:space="0" w:color="auto"/>
              <w:bottom w:val="single" w:sz="4" w:space="0" w:color="auto"/>
              <w:right w:val="single" w:sz="4" w:space="0" w:color="auto"/>
            </w:tcBorders>
            <w:vAlign w:val="center"/>
          </w:tcPr>
          <w:p w:rsidR="00E47872" w:rsidRPr="00547F1A" w:rsidRDefault="00E47872" w:rsidP="00E47872">
            <w:pPr>
              <w:keepNext/>
              <w:spacing w:line="240" w:lineRule="auto"/>
              <w:jc w:val="center"/>
              <w:rPr>
                <w:rFonts w:eastAsia="Times New Roman"/>
                <w:sz w:val="24"/>
                <w:szCs w:val="24"/>
                <w:lang w:eastAsia="ru-RU"/>
              </w:rPr>
            </w:pPr>
            <w:r w:rsidRPr="00547F1A">
              <w:rPr>
                <w:rFonts w:eastAsia="Times New Roman"/>
                <w:sz w:val="24"/>
                <w:szCs w:val="24"/>
                <w:lang w:eastAsia="ru-RU"/>
              </w:rPr>
              <w:t>8,72</w:t>
            </w:r>
          </w:p>
        </w:tc>
        <w:tc>
          <w:tcPr>
            <w:tcW w:w="969" w:type="dxa"/>
            <w:tcBorders>
              <w:top w:val="single" w:sz="4" w:space="0" w:color="auto"/>
              <w:left w:val="single" w:sz="4" w:space="0" w:color="auto"/>
              <w:bottom w:val="single" w:sz="4" w:space="0" w:color="auto"/>
              <w:right w:val="single" w:sz="4" w:space="0" w:color="auto"/>
            </w:tcBorders>
            <w:vAlign w:val="center"/>
          </w:tcPr>
          <w:p w:rsidR="00E47872" w:rsidRPr="00547F1A" w:rsidRDefault="00E47872" w:rsidP="00E47872">
            <w:pPr>
              <w:keepNext/>
              <w:spacing w:line="240" w:lineRule="auto"/>
              <w:jc w:val="center"/>
              <w:rPr>
                <w:rFonts w:eastAsia="Times New Roman"/>
                <w:sz w:val="24"/>
                <w:szCs w:val="24"/>
                <w:lang w:eastAsia="ru-RU"/>
              </w:rPr>
            </w:pPr>
            <w:r w:rsidRPr="00547F1A">
              <w:rPr>
                <w:rFonts w:eastAsia="Times New Roman"/>
                <w:sz w:val="24"/>
                <w:szCs w:val="24"/>
                <w:lang w:eastAsia="ru-RU"/>
              </w:rPr>
              <w:t>11,46</w:t>
            </w:r>
          </w:p>
        </w:tc>
        <w:tc>
          <w:tcPr>
            <w:tcW w:w="968" w:type="dxa"/>
            <w:tcBorders>
              <w:top w:val="single" w:sz="4" w:space="0" w:color="auto"/>
              <w:left w:val="single" w:sz="4" w:space="0" w:color="auto"/>
              <w:bottom w:val="single" w:sz="4" w:space="0" w:color="auto"/>
              <w:right w:val="single" w:sz="4" w:space="0" w:color="auto"/>
            </w:tcBorders>
            <w:vAlign w:val="center"/>
          </w:tcPr>
          <w:p w:rsidR="00E47872" w:rsidRPr="00547F1A" w:rsidRDefault="00E47872" w:rsidP="00E47872">
            <w:pPr>
              <w:keepNext/>
              <w:spacing w:line="240" w:lineRule="auto"/>
              <w:jc w:val="center"/>
              <w:rPr>
                <w:rFonts w:eastAsia="Times New Roman"/>
                <w:sz w:val="24"/>
                <w:szCs w:val="24"/>
                <w:lang w:eastAsia="ru-RU"/>
              </w:rPr>
            </w:pPr>
            <w:r w:rsidRPr="00547F1A">
              <w:rPr>
                <w:rFonts w:eastAsia="Times New Roman"/>
                <w:sz w:val="24"/>
                <w:szCs w:val="24"/>
                <w:lang w:eastAsia="ru-RU"/>
              </w:rPr>
              <w:t>5,46</w:t>
            </w:r>
          </w:p>
        </w:tc>
        <w:tc>
          <w:tcPr>
            <w:tcW w:w="969" w:type="dxa"/>
            <w:tcBorders>
              <w:top w:val="single" w:sz="4" w:space="0" w:color="auto"/>
              <w:left w:val="single" w:sz="4" w:space="0" w:color="auto"/>
              <w:bottom w:val="single" w:sz="4" w:space="0" w:color="auto"/>
              <w:right w:val="single" w:sz="4" w:space="0" w:color="auto"/>
            </w:tcBorders>
            <w:vAlign w:val="center"/>
          </w:tcPr>
          <w:p w:rsidR="00E47872" w:rsidRPr="00547F1A" w:rsidRDefault="00E47872" w:rsidP="00E47872">
            <w:pPr>
              <w:keepNext/>
              <w:spacing w:line="240" w:lineRule="auto"/>
              <w:jc w:val="center"/>
              <w:rPr>
                <w:rFonts w:eastAsia="Times New Roman"/>
                <w:sz w:val="24"/>
                <w:szCs w:val="24"/>
                <w:lang w:eastAsia="ru-RU"/>
              </w:rPr>
            </w:pPr>
            <w:r w:rsidRPr="00547F1A">
              <w:rPr>
                <w:rFonts w:eastAsia="Times New Roman"/>
                <w:sz w:val="24"/>
                <w:szCs w:val="24"/>
                <w:lang w:eastAsia="ru-RU"/>
              </w:rPr>
              <w:t>3,41</w:t>
            </w:r>
          </w:p>
        </w:tc>
        <w:tc>
          <w:tcPr>
            <w:tcW w:w="968" w:type="dxa"/>
            <w:tcBorders>
              <w:top w:val="single" w:sz="4" w:space="0" w:color="auto"/>
              <w:left w:val="single" w:sz="4" w:space="0" w:color="auto"/>
              <w:bottom w:val="single" w:sz="4" w:space="0" w:color="auto"/>
              <w:right w:val="single" w:sz="4" w:space="0" w:color="auto"/>
            </w:tcBorders>
            <w:vAlign w:val="center"/>
          </w:tcPr>
          <w:p w:rsidR="00E47872" w:rsidRPr="00547F1A" w:rsidRDefault="00E47872" w:rsidP="00E47872">
            <w:pPr>
              <w:keepNext/>
              <w:spacing w:line="240" w:lineRule="auto"/>
              <w:jc w:val="center"/>
              <w:rPr>
                <w:rFonts w:eastAsia="Times New Roman"/>
                <w:sz w:val="24"/>
                <w:szCs w:val="24"/>
                <w:lang w:eastAsia="ru-RU"/>
              </w:rPr>
            </w:pPr>
            <w:r w:rsidRPr="00547F1A">
              <w:rPr>
                <w:rFonts w:eastAsia="Times New Roman"/>
                <w:sz w:val="24"/>
                <w:szCs w:val="24"/>
                <w:lang w:eastAsia="ru-RU"/>
              </w:rPr>
              <w:t>0,91</w:t>
            </w:r>
          </w:p>
        </w:tc>
        <w:tc>
          <w:tcPr>
            <w:tcW w:w="969" w:type="dxa"/>
            <w:tcBorders>
              <w:top w:val="single" w:sz="4" w:space="0" w:color="auto"/>
              <w:left w:val="single" w:sz="4" w:space="0" w:color="auto"/>
              <w:bottom w:val="single" w:sz="4" w:space="0" w:color="auto"/>
              <w:right w:val="single" w:sz="4" w:space="0" w:color="auto"/>
            </w:tcBorders>
            <w:vAlign w:val="center"/>
          </w:tcPr>
          <w:p w:rsidR="00E47872" w:rsidRPr="00547F1A" w:rsidRDefault="00E47872" w:rsidP="00E47872">
            <w:pPr>
              <w:keepNext/>
              <w:spacing w:line="240" w:lineRule="auto"/>
              <w:jc w:val="center"/>
              <w:rPr>
                <w:rFonts w:eastAsia="Times New Roman"/>
                <w:sz w:val="24"/>
                <w:szCs w:val="24"/>
                <w:lang w:eastAsia="ru-RU"/>
              </w:rPr>
            </w:pPr>
            <w:r w:rsidRPr="00547F1A">
              <w:rPr>
                <w:rFonts w:eastAsia="Times New Roman"/>
                <w:sz w:val="24"/>
                <w:szCs w:val="24"/>
                <w:lang w:eastAsia="ru-RU"/>
              </w:rPr>
              <w:t>0,57</w:t>
            </w:r>
          </w:p>
        </w:tc>
      </w:tr>
      <w:tr w:rsidR="00E47872" w:rsidRPr="00547F1A" w:rsidTr="00E47872">
        <w:trPr>
          <w:trHeight w:val="450"/>
        </w:trPr>
        <w:tc>
          <w:tcPr>
            <w:tcW w:w="4394" w:type="dxa"/>
            <w:tcBorders>
              <w:top w:val="single" w:sz="4" w:space="0" w:color="auto"/>
              <w:left w:val="single" w:sz="4" w:space="0" w:color="auto"/>
              <w:bottom w:val="single" w:sz="4" w:space="0" w:color="auto"/>
              <w:right w:val="single" w:sz="4" w:space="0" w:color="auto"/>
            </w:tcBorders>
            <w:vAlign w:val="center"/>
          </w:tcPr>
          <w:p w:rsidR="00E47872" w:rsidRPr="00547F1A" w:rsidRDefault="00E47872" w:rsidP="00E47872">
            <w:pPr>
              <w:keepNext/>
              <w:spacing w:line="240" w:lineRule="auto"/>
              <w:rPr>
                <w:rFonts w:eastAsia="Times New Roman"/>
                <w:sz w:val="24"/>
                <w:szCs w:val="24"/>
                <w:lang w:eastAsia="ru-RU"/>
              </w:rPr>
            </w:pPr>
            <w:r w:rsidRPr="00547F1A">
              <w:rPr>
                <w:rFonts w:eastAsia="Times New Roman"/>
                <w:sz w:val="24"/>
                <w:szCs w:val="24"/>
                <w:lang w:eastAsia="ru-RU"/>
              </w:rPr>
              <w:t>Співвідношення реального і фактичного показника ранньої неонатальної смертності</w:t>
            </w:r>
          </w:p>
        </w:tc>
        <w:tc>
          <w:tcPr>
            <w:tcW w:w="968" w:type="dxa"/>
            <w:tcBorders>
              <w:top w:val="single" w:sz="4" w:space="0" w:color="auto"/>
              <w:left w:val="single" w:sz="4" w:space="0" w:color="auto"/>
              <w:bottom w:val="single" w:sz="4" w:space="0" w:color="auto"/>
              <w:right w:val="single" w:sz="4" w:space="0" w:color="auto"/>
            </w:tcBorders>
            <w:vAlign w:val="center"/>
          </w:tcPr>
          <w:p w:rsidR="00E47872" w:rsidRPr="00547F1A" w:rsidRDefault="00E47872" w:rsidP="00E47872">
            <w:pPr>
              <w:keepNext/>
              <w:spacing w:line="240" w:lineRule="auto"/>
              <w:jc w:val="center"/>
              <w:rPr>
                <w:rFonts w:eastAsia="Times New Roman"/>
                <w:sz w:val="24"/>
                <w:szCs w:val="24"/>
                <w:lang w:eastAsia="ru-RU"/>
              </w:rPr>
            </w:pPr>
            <w:r w:rsidRPr="00547F1A">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E47872" w:rsidRPr="00547F1A" w:rsidRDefault="00E47872" w:rsidP="00E47872">
            <w:pPr>
              <w:keepNext/>
              <w:spacing w:line="240" w:lineRule="auto"/>
              <w:jc w:val="center"/>
              <w:rPr>
                <w:rFonts w:eastAsia="Times New Roman"/>
                <w:sz w:val="24"/>
                <w:szCs w:val="24"/>
                <w:lang w:eastAsia="ru-RU"/>
              </w:rPr>
            </w:pPr>
            <w:r w:rsidRPr="00547F1A">
              <w:rPr>
                <w:rFonts w:eastAsia="Times New Roman"/>
                <w:sz w:val="24"/>
                <w:szCs w:val="24"/>
                <w:lang w:eastAsia="ru-RU"/>
              </w:rPr>
              <w:t>1,94</w:t>
            </w:r>
          </w:p>
        </w:tc>
        <w:tc>
          <w:tcPr>
            <w:tcW w:w="968" w:type="dxa"/>
            <w:tcBorders>
              <w:top w:val="single" w:sz="4" w:space="0" w:color="auto"/>
              <w:left w:val="single" w:sz="4" w:space="0" w:color="auto"/>
              <w:bottom w:val="single" w:sz="4" w:space="0" w:color="auto"/>
              <w:right w:val="single" w:sz="4" w:space="0" w:color="auto"/>
            </w:tcBorders>
            <w:vAlign w:val="center"/>
          </w:tcPr>
          <w:p w:rsidR="00E47872" w:rsidRPr="00547F1A" w:rsidRDefault="00E47872" w:rsidP="00E47872">
            <w:pPr>
              <w:keepNext/>
              <w:spacing w:line="240" w:lineRule="auto"/>
              <w:jc w:val="center"/>
              <w:rPr>
                <w:rFonts w:eastAsia="Times New Roman"/>
                <w:sz w:val="24"/>
                <w:szCs w:val="24"/>
                <w:lang w:eastAsia="ru-RU"/>
              </w:rPr>
            </w:pPr>
            <w:r w:rsidRPr="00547F1A">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E47872" w:rsidRPr="00547F1A" w:rsidRDefault="00E47872" w:rsidP="00E47872">
            <w:pPr>
              <w:keepNext/>
              <w:spacing w:line="240" w:lineRule="auto"/>
              <w:jc w:val="center"/>
              <w:rPr>
                <w:rFonts w:eastAsia="Times New Roman"/>
                <w:sz w:val="24"/>
                <w:szCs w:val="24"/>
                <w:lang w:eastAsia="ru-RU"/>
              </w:rPr>
            </w:pPr>
            <w:r w:rsidRPr="00547F1A">
              <w:rPr>
                <w:rFonts w:eastAsia="Times New Roman"/>
                <w:sz w:val="24"/>
                <w:szCs w:val="24"/>
                <w:lang w:eastAsia="ru-RU"/>
              </w:rPr>
              <w:t>4,24</w:t>
            </w:r>
          </w:p>
        </w:tc>
        <w:tc>
          <w:tcPr>
            <w:tcW w:w="968" w:type="dxa"/>
            <w:tcBorders>
              <w:top w:val="single" w:sz="4" w:space="0" w:color="auto"/>
              <w:left w:val="single" w:sz="4" w:space="0" w:color="auto"/>
              <w:bottom w:val="single" w:sz="4" w:space="0" w:color="auto"/>
              <w:right w:val="single" w:sz="4" w:space="0" w:color="auto"/>
            </w:tcBorders>
            <w:vAlign w:val="center"/>
          </w:tcPr>
          <w:p w:rsidR="00E47872" w:rsidRPr="00547F1A" w:rsidRDefault="00E47872" w:rsidP="00E47872">
            <w:pPr>
              <w:keepNext/>
              <w:spacing w:line="240" w:lineRule="auto"/>
              <w:jc w:val="center"/>
              <w:rPr>
                <w:rFonts w:eastAsia="Times New Roman"/>
                <w:sz w:val="24"/>
                <w:szCs w:val="24"/>
                <w:lang w:eastAsia="ru-RU"/>
              </w:rPr>
            </w:pPr>
            <w:r w:rsidRPr="00547F1A">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E47872" w:rsidRPr="00547F1A" w:rsidRDefault="00E47872" w:rsidP="00E47872">
            <w:pPr>
              <w:keepNext/>
              <w:spacing w:line="240" w:lineRule="auto"/>
              <w:jc w:val="center"/>
              <w:rPr>
                <w:rFonts w:eastAsia="Times New Roman"/>
                <w:sz w:val="24"/>
                <w:szCs w:val="24"/>
                <w:lang w:eastAsia="ru-RU"/>
              </w:rPr>
            </w:pPr>
            <w:r w:rsidRPr="00547F1A">
              <w:rPr>
                <w:rFonts w:eastAsia="Times New Roman"/>
                <w:sz w:val="24"/>
                <w:szCs w:val="24"/>
                <w:lang w:eastAsia="ru-RU"/>
              </w:rPr>
              <w:t>0,71</w:t>
            </w:r>
          </w:p>
        </w:tc>
      </w:tr>
      <w:tr w:rsidR="00E47872" w:rsidRPr="00547F1A" w:rsidTr="00E47872">
        <w:trPr>
          <w:trHeight w:val="216"/>
        </w:trPr>
        <w:tc>
          <w:tcPr>
            <w:tcW w:w="4394" w:type="dxa"/>
            <w:tcBorders>
              <w:top w:val="single" w:sz="4" w:space="0" w:color="auto"/>
              <w:left w:val="single" w:sz="4" w:space="0" w:color="auto"/>
              <w:bottom w:val="single" w:sz="4" w:space="0" w:color="auto"/>
              <w:right w:val="single" w:sz="4" w:space="0" w:color="auto"/>
            </w:tcBorders>
            <w:vAlign w:val="center"/>
          </w:tcPr>
          <w:p w:rsidR="00E47872" w:rsidRPr="00547F1A" w:rsidRDefault="00E47872" w:rsidP="00E47872">
            <w:pPr>
              <w:keepNext/>
              <w:spacing w:line="240" w:lineRule="auto"/>
              <w:rPr>
                <w:rFonts w:eastAsia="Times New Roman"/>
                <w:sz w:val="24"/>
                <w:szCs w:val="24"/>
                <w:lang w:eastAsia="ru-RU"/>
              </w:rPr>
            </w:pPr>
            <w:r w:rsidRPr="00547F1A">
              <w:rPr>
                <w:rFonts w:eastAsia="Times New Roman"/>
                <w:sz w:val="24"/>
                <w:szCs w:val="24"/>
                <w:lang w:eastAsia="ru-RU"/>
              </w:rPr>
              <w:t>Рівень неонатальної смертності</w:t>
            </w:r>
          </w:p>
        </w:tc>
        <w:tc>
          <w:tcPr>
            <w:tcW w:w="968" w:type="dxa"/>
            <w:tcBorders>
              <w:top w:val="single" w:sz="4" w:space="0" w:color="auto"/>
              <w:left w:val="single" w:sz="4" w:space="0" w:color="auto"/>
              <w:bottom w:val="single" w:sz="4" w:space="0" w:color="auto"/>
              <w:right w:val="single" w:sz="4" w:space="0" w:color="auto"/>
            </w:tcBorders>
            <w:vAlign w:val="center"/>
          </w:tcPr>
          <w:p w:rsidR="00E47872" w:rsidRPr="00547F1A" w:rsidRDefault="00E47872" w:rsidP="00E47872">
            <w:pPr>
              <w:keepNext/>
              <w:spacing w:line="240" w:lineRule="auto"/>
              <w:jc w:val="center"/>
              <w:rPr>
                <w:rFonts w:eastAsia="Times New Roman"/>
                <w:sz w:val="24"/>
                <w:szCs w:val="24"/>
                <w:lang w:eastAsia="ru-RU"/>
              </w:rPr>
            </w:pPr>
            <w:r w:rsidRPr="00547F1A">
              <w:rPr>
                <w:rFonts w:eastAsia="Times New Roman"/>
                <w:sz w:val="24"/>
                <w:szCs w:val="24"/>
                <w:lang w:eastAsia="ru-RU"/>
              </w:rPr>
              <w:t>5,37</w:t>
            </w:r>
          </w:p>
        </w:tc>
        <w:tc>
          <w:tcPr>
            <w:tcW w:w="969" w:type="dxa"/>
            <w:tcBorders>
              <w:top w:val="single" w:sz="4" w:space="0" w:color="auto"/>
              <w:left w:val="single" w:sz="4" w:space="0" w:color="auto"/>
              <w:bottom w:val="single" w:sz="4" w:space="0" w:color="auto"/>
              <w:right w:val="single" w:sz="4" w:space="0" w:color="auto"/>
            </w:tcBorders>
            <w:vAlign w:val="center"/>
          </w:tcPr>
          <w:p w:rsidR="00E47872" w:rsidRPr="00547F1A" w:rsidRDefault="00E47872" w:rsidP="00E47872">
            <w:pPr>
              <w:keepNext/>
              <w:spacing w:line="240" w:lineRule="auto"/>
              <w:jc w:val="center"/>
              <w:rPr>
                <w:rFonts w:eastAsia="Times New Roman"/>
                <w:sz w:val="24"/>
                <w:szCs w:val="24"/>
                <w:lang w:eastAsia="ru-RU"/>
              </w:rPr>
            </w:pPr>
            <w:r w:rsidRPr="00547F1A">
              <w:rPr>
                <w:rFonts w:eastAsia="Times New Roman"/>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E47872" w:rsidRPr="00547F1A" w:rsidRDefault="00E47872" w:rsidP="00E47872">
            <w:pPr>
              <w:keepNext/>
              <w:spacing w:line="240" w:lineRule="auto"/>
              <w:jc w:val="center"/>
              <w:rPr>
                <w:rFonts w:eastAsia="Times New Roman"/>
                <w:sz w:val="24"/>
                <w:szCs w:val="24"/>
                <w:lang w:eastAsia="ru-RU"/>
              </w:rPr>
            </w:pPr>
            <w:r w:rsidRPr="00547F1A">
              <w:rPr>
                <w:rFonts w:eastAsia="Times New Roman"/>
                <w:sz w:val="24"/>
                <w:szCs w:val="24"/>
                <w:lang w:eastAsia="ru-RU"/>
              </w:rPr>
              <w:t>3,95</w:t>
            </w:r>
          </w:p>
        </w:tc>
        <w:tc>
          <w:tcPr>
            <w:tcW w:w="969" w:type="dxa"/>
            <w:tcBorders>
              <w:top w:val="single" w:sz="4" w:space="0" w:color="auto"/>
              <w:left w:val="single" w:sz="4" w:space="0" w:color="auto"/>
              <w:bottom w:val="single" w:sz="4" w:space="0" w:color="auto"/>
              <w:right w:val="single" w:sz="4" w:space="0" w:color="auto"/>
            </w:tcBorders>
            <w:vAlign w:val="center"/>
          </w:tcPr>
          <w:p w:rsidR="00E47872" w:rsidRPr="00547F1A" w:rsidRDefault="00E47872" w:rsidP="00E47872">
            <w:pPr>
              <w:keepNext/>
              <w:spacing w:line="240" w:lineRule="auto"/>
              <w:jc w:val="center"/>
              <w:rPr>
                <w:rFonts w:eastAsia="Times New Roman"/>
                <w:sz w:val="24"/>
                <w:szCs w:val="24"/>
                <w:lang w:eastAsia="ru-RU"/>
              </w:rPr>
            </w:pPr>
            <w:r w:rsidRPr="00547F1A">
              <w:rPr>
                <w:rFonts w:eastAsia="Times New Roman"/>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E47872" w:rsidRPr="00547F1A" w:rsidRDefault="00E47872" w:rsidP="00E47872">
            <w:pPr>
              <w:keepNext/>
              <w:spacing w:line="240" w:lineRule="auto"/>
              <w:jc w:val="center"/>
              <w:rPr>
                <w:rFonts w:eastAsia="Times New Roman"/>
                <w:sz w:val="24"/>
                <w:szCs w:val="24"/>
                <w:lang w:eastAsia="ru-RU"/>
              </w:rPr>
            </w:pPr>
            <w:r w:rsidRPr="00547F1A">
              <w:rPr>
                <w:rFonts w:eastAsia="Times New Roman"/>
                <w:sz w:val="24"/>
                <w:szCs w:val="24"/>
                <w:lang w:eastAsia="ru-RU"/>
              </w:rPr>
              <w:t>0,66</w:t>
            </w:r>
          </w:p>
        </w:tc>
        <w:tc>
          <w:tcPr>
            <w:tcW w:w="969" w:type="dxa"/>
            <w:tcBorders>
              <w:top w:val="single" w:sz="4" w:space="0" w:color="auto"/>
              <w:left w:val="single" w:sz="4" w:space="0" w:color="auto"/>
              <w:bottom w:val="single" w:sz="4" w:space="0" w:color="auto"/>
              <w:right w:val="single" w:sz="4" w:space="0" w:color="auto"/>
            </w:tcBorders>
            <w:vAlign w:val="center"/>
          </w:tcPr>
          <w:p w:rsidR="00E47872" w:rsidRPr="00547F1A" w:rsidRDefault="00E47872" w:rsidP="00E47872">
            <w:pPr>
              <w:keepNext/>
              <w:spacing w:line="240" w:lineRule="auto"/>
              <w:jc w:val="center"/>
              <w:rPr>
                <w:rFonts w:eastAsia="Times New Roman"/>
                <w:sz w:val="24"/>
                <w:szCs w:val="24"/>
                <w:lang w:eastAsia="ru-RU"/>
              </w:rPr>
            </w:pPr>
            <w:r w:rsidRPr="00547F1A">
              <w:rPr>
                <w:rFonts w:eastAsia="Times New Roman"/>
                <w:sz w:val="24"/>
                <w:szCs w:val="24"/>
                <w:lang w:eastAsia="ru-RU"/>
              </w:rPr>
              <w:t>**</w:t>
            </w:r>
          </w:p>
        </w:tc>
      </w:tr>
      <w:tr w:rsidR="00E47872" w:rsidRPr="00547F1A" w:rsidTr="00E47872">
        <w:trPr>
          <w:trHeight w:val="370"/>
        </w:trPr>
        <w:tc>
          <w:tcPr>
            <w:tcW w:w="4394" w:type="dxa"/>
            <w:tcBorders>
              <w:top w:val="single" w:sz="4" w:space="0" w:color="auto"/>
              <w:left w:val="single" w:sz="4" w:space="0" w:color="auto"/>
              <w:bottom w:val="single" w:sz="4" w:space="0" w:color="auto"/>
              <w:right w:val="single" w:sz="4" w:space="0" w:color="auto"/>
            </w:tcBorders>
            <w:vAlign w:val="center"/>
          </w:tcPr>
          <w:p w:rsidR="00E47872" w:rsidRPr="00547F1A" w:rsidRDefault="00E47872" w:rsidP="00E47872">
            <w:pPr>
              <w:keepNext/>
              <w:spacing w:line="240" w:lineRule="auto"/>
              <w:jc w:val="left"/>
              <w:rPr>
                <w:rFonts w:eastAsia="Times New Roman"/>
                <w:sz w:val="24"/>
                <w:szCs w:val="24"/>
                <w:lang w:eastAsia="ru-RU"/>
              </w:rPr>
            </w:pPr>
            <w:r w:rsidRPr="00547F1A">
              <w:rPr>
                <w:rFonts w:eastAsia="Times New Roman"/>
                <w:sz w:val="24"/>
                <w:szCs w:val="24"/>
                <w:lang w:eastAsia="ru-RU"/>
              </w:rPr>
              <w:t xml:space="preserve">Рівень ранньої неонатальної смертності </w:t>
            </w:r>
          </w:p>
        </w:tc>
        <w:tc>
          <w:tcPr>
            <w:tcW w:w="968" w:type="dxa"/>
            <w:tcBorders>
              <w:top w:val="single" w:sz="4" w:space="0" w:color="auto"/>
              <w:left w:val="single" w:sz="4" w:space="0" w:color="auto"/>
              <w:bottom w:val="single" w:sz="4" w:space="0" w:color="auto"/>
              <w:right w:val="single" w:sz="4" w:space="0" w:color="auto"/>
            </w:tcBorders>
            <w:vAlign w:val="center"/>
          </w:tcPr>
          <w:p w:rsidR="00E47872" w:rsidRPr="00547F1A" w:rsidRDefault="00E47872" w:rsidP="00E47872">
            <w:pPr>
              <w:keepNext/>
              <w:spacing w:line="240" w:lineRule="auto"/>
              <w:jc w:val="center"/>
              <w:rPr>
                <w:rFonts w:eastAsia="Times New Roman"/>
                <w:sz w:val="24"/>
                <w:szCs w:val="24"/>
                <w:lang w:eastAsia="ru-RU"/>
              </w:rPr>
            </w:pPr>
            <w:r w:rsidRPr="00547F1A">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E47872" w:rsidRPr="00547F1A" w:rsidRDefault="00E47872" w:rsidP="00E47872">
            <w:pPr>
              <w:keepNext/>
              <w:spacing w:line="240" w:lineRule="auto"/>
              <w:jc w:val="center"/>
              <w:rPr>
                <w:rFonts w:eastAsia="Times New Roman"/>
                <w:sz w:val="24"/>
                <w:szCs w:val="24"/>
                <w:lang w:eastAsia="ru-RU"/>
              </w:rPr>
            </w:pPr>
            <w:r w:rsidRPr="00547F1A">
              <w:rPr>
                <w:rFonts w:eastAsia="Times New Roman"/>
                <w:sz w:val="24"/>
                <w:szCs w:val="24"/>
                <w:lang w:eastAsia="ru-RU"/>
              </w:rPr>
              <w:t>5,39</w:t>
            </w:r>
          </w:p>
        </w:tc>
        <w:tc>
          <w:tcPr>
            <w:tcW w:w="968" w:type="dxa"/>
            <w:tcBorders>
              <w:top w:val="single" w:sz="4" w:space="0" w:color="auto"/>
              <w:left w:val="single" w:sz="4" w:space="0" w:color="auto"/>
              <w:bottom w:val="single" w:sz="4" w:space="0" w:color="auto"/>
              <w:right w:val="single" w:sz="4" w:space="0" w:color="auto"/>
            </w:tcBorders>
            <w:vAlign w:val="center"/>
          </w:tcPr>
          <w:p w:rsidR="00E47872" w:rsidRPr="00547F1A" w:rsidRDefault="00E47872" w:rsidP="00E47872">
            <w:pPr>
              <w:keepNext/>
              <w:spacing w:line="240" w:lineRule="auto"/>
              <w:jc w:val="center"/>
              <w:rPr>
                <w:rFonts w:eastAsia="Times New Roman"/>
                <w:sz w:val="24"/>
                <w:szCs w:val="24"/>
                <w:lang w:eastAsia="ru-RU"/>
              </w:rPr>
            </w:pPr>
            <w:r w:rsidRPr="00547F1A">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E47872" w:rsidRPr="00547F1A" w:rsidRDefault="00E47872" w:rsidP="00E47872">
            <w:pPr>
              <w:keepNext/>
              <w:spacing w:line="240" w:lineRule="auto"/>
              <w:jc w:val="center"/>
              <w:rPr>
                <w:rFonts w:eastAsia="Times New Roman"/>
                <w:sz w:val="24"/>
                <w:szCs w:val="24"/>
                <w:lang w:eastAsia="ru-RU"/>
              </w:rPr>
            </w:pPr>
            <w:r w:rsidRPr="00547F1A">
              <w:rPr>
                <w:rFonts w:eastAsia="Times New Roman"/>
                <w:sz w:val="24"/>
                <w:szCs w:val="24"/>
                <w:lang w:eastAsia="ru-RU"/>
              </w:rPr>
              <w:t>1,82</w:t>
            </w:r>
          </w:p>
        </w:tc>
        <w:tc>
          <w:tcPr>
            <w:tcW w:w="968" w:type="dxa"/>
            <w:tcBorders>
              <w:top w:val="single" w:sz="4" w:space="0" w:color="auto"/>
              <w:left w:val="single" w:sz="4" w:space="0" w:color="auto"/>
              <w:bottom w:val="single" w:sz="4" w:space="0" w:color="auto"/>
              <w:right w:val="single" w:sz="4" w:space="0" w:color="auto"/>
            </w:tcBorders>
            <w:vAlign w:val="center"/>
          </w:tcPr>
          <w:p w:rsidR="00E47872" w:rsidRPr="00547F1A" w:rsidRDefault="00E47872" w:rsidP="00E47872">
            <w:pPr>
              <w:keepNext/>
              <w:spacing w:line="240" w:lineRule="auto"/>
              <w:jc w:val="center"/>
              <w:rPr>
                <w:rFonts w:eastAsia="Times New Roman"/>
                <w:sz w:val="24"/>
                <w:szCs w:val="24"/>
                <w:lang w:eastAsia="ru-RU"/>
              </w:rPr>
            </w:pPr>
            <w:r w:rsidRPr="00547F1A">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E47872" w:rsidRPr="00547F1A" w:rsidRDefault="00E47872" w:rsidP="00E47872">
            <w:pPr>
              <w:keepNext/>
              <w:spacing w:line="240" w:lineRule="auto"/>
              <w:jc w:val="center"/>
              <w:rPr>
                <w:rFonts w:eastAsia="Times New Roman"/>
                <w:sz w:val="24"/>
                <w:szCs w:val="24"/>
                <w:lang w:eastAsia="ru-RU"/>
              </w:rPr>
            </w:pPr>
            <w:r w:rsidRPr="00547F1A">
              <w:rPr>
                <w:rFonts w:eastAsia="Times New Roman"/>
                <w:sz w:val="24"/>
                <w:szCs w:val="24"/>
                <w:lang w:eastAsia="ru-RU"/>
              </w:rPr>
              <w:t>0,30</w:t>
            </w:r>
          </w:p>
        </w:tc>
      </w:tr>
      <w:tr w:rsidR="00E47872" w:rsidRPr="00547F1A" w:rsidTr="00E47872">
        <w:trPr>
          <w:trHeight w:val="252"/>
        </w:trPr>
        <w:tc>
          <w:tcPr>
            <w:tcW w:w="4394" w:type="dxa"/>
            <w:tcBorders>
              <w:top w:val="single" w:sz="4" w:space="0" w:color="auto"/>
              <w:left w:val="single" w:sz="4" w:space="0" w:color="auto"/>
              <w:bottom w:val="single" w:sz="4" w:space="0" w:color="auto"/>
              <w:right w:val="single" w:sz="4" w:space="0" w:color="auto"/>
            </w:tcBorders>
            <w:vAlign w:val="bottom"/>
          </w:tcPr>
          <w:p w:rsidR="00E47872" w:rsidRPr="00547F1A" w:rsidRDefault="00E47872" w:rsidP="00E47872">
            <w:pPr>
              <w:keepNext/>
              <w:spacing w:line="240" w:lineRule="auto"/>
              <w:jc w:val="left"/>
              <w:rPr>
                <w:rFonts w:eastAsia="Times New Roman"/>
                <w:sz w:val="24"/>
                <w:szCs w:val="24"/>
                <w:lang w:eastAsia="ru-RU"/>
              </w:rPr>
            </w:pPr>
            <w:r w:rsidRPr="00547F1A">
              <w:rPr>
                <w:rFonts w:eastAsia="Times New Roman"/>
                <w:sz w:val="24"/>
                <w:szCs w:val="24"/>
                <w:lang w:eastAsia="ru-RU"/>
              </w:rPr>
              <w:t xml:space="preserve">Рівень материнської смертності </w:t>
            </w:r>
          </w:p>
        </w:tc>
        <w:tc>
          <w:tcPr>
            <w:tcW w:w="968" w:type="dxa"/>
            <w:tcBorders>
              <w:top w:val="single" w:sz="4" w:space="0" w:color="auto"/>
              <w:left w:val="single" w:sz="4" w:space="0" w:color="auto"/>
              <w:bottom w:val="single" w:sz="4" w:space="0" w:color="auto"/>
              <w:right w:val="single" w:sz="4" w:space="0" w:color="auto"/>
            </w:tcBorders>
            <w:vAlign w:val="center"/>
          </w:tcPr>
          <w:p w:rsidR="00E47872" w:rsidRPr="00547F1A" w:rsidRDefault="00E47872" w:rsidP="00E47872">
            <w:pPr>
              <w:keepNext/>
              <w:spacing w:line="240" w:lineRule="auto"/>
              <w:jc w:val="center"/>
              <w:rPr>
                <w:rFonts w:eastAsia="Times New Roman"/>
                <w:sz w:val="24"/>
                <w:szCs w:val="24"/>
                <w:lang w:eastAsia="ru-RU"/>
              </w:rPr>
            </w:pPr>
            <w:r w:rsidRPr="00547F1A">
              <w:rPr>
                <w:rFonts w:eastAsia="Times New Roman"/>
                <w:sz w:val="24"/>
                <w:szCs w:val="24"/>
                <w:lang w:eastAsia="ru-RU"/>
              </w:rPr>
              <w:t>5,7</w:t>
            </w:r>
          </w:p>
        </w:tc>
        <w:tc>
          <w:tcPr>
            <w:tcW w:w="969" w:type="dxa"/>
            <w:tcBorders>
              <w:top w:val="single" w:sz="4" w:space="0" w:color="auto"/>
              <w:left w:val="single" w:sz="4" w:space="0" w:color="auto"/>
              <w:bottom w:val="single" w:sz="4" w:space="0" w:color="auto"/>
              <w:right w:val="single" w:sz="4" w:space="0" w:color="auto"/>
            </w:tcBorders>
            <w:vAlign w:val="center"/>
          </w:tcPr>
          <w:p w:rsidR="00E47872" w:rsidRPr="00547F1A" w:rsidRDefault="00E47872" w:rsidP="00E47872">
            <w:pPr>
              <w:keepNext/>
              <w:spacing w:line="240" w:lineRule="auto"/>
              <w:jc w:val="center"/>
              <w:rPr>
                <w:rFonts w:eastAsia="Times New Roman"/>
                <w:sz w:val="24"/>
                <w:szCs w:val="24"/>
                <w:lang w:eastAsia="ru-RU"/>
              </w:rPr>
            </w:pPr>
            <w:r w:rsidRPr="00547F1A">
              <w:rPr>
                <w:rFonts w:eastAsia="Times New Roman"/>
                <w:sz w:val="24"/>
                <w:szCs w:val="24"/>
                <w:lang w:eastAsia="ru-RU"/>
              </w:rPr>
              <w:t>18,9</w:t>
            </w:r>
          </w:p>
        </w:tc>
        <w:tc>
          <w:tcPr>
            <w:tcW w:w="968" w:type="dxa"/>
            <w:tcBorders>
              <w:top w:val="single" w:sz="4" w:space="0" w:color="auto"/>
              <w:left w:val="single" w:sz="4" w:space="0" w:color="auto"/>
              <w:bottom w:val="single" w:sz="4" w:space="0" w:color="auto"/>
              <w:right w:val="single" w:sz="4" w:space="0" w:color="auto"/>
            </w:tcBorders>
            <w:vAlign w:val="center"/>
          </w:tcPr>
          <w:p w:rsidR="00E47872" w:rsidRPr="00547F1A" w:rsidRDefault="00E47872" w:rsidP="00E47872">
            <w:pPr>
              <w:keepNext/>
              <w:spacing w:line="240" w:lineRule="auto"/>
              <w:jc w:val="center"/>
              <w:rPr>
                <w:rFonts w:eastAsia="Times New Roman"/>
                <w:sz w:val="24"/>
                <w:szCs w:val="24"/>
                <w:lang w:eastAsia="ru-RU"/>
              </w:rPr>
            </w:pPr>
            <w:r w:rsidRPr="00547F1A">
              <w:rPr>
                <w:rFonts w:eastAsia="Times New Roman"/>
                <w:sz w:val="24"/>
                <w:szCs w:val="24"/>
                <w:lang w:eastAsia="ru-RU"/>
              </w:rPr>
              <w:t>5,00</w:t>
            </w:r>
          </w:p>
        </w:tc>
        <w:tc>
          <w:tcPr>
            <w:tcW w:w="969" w:type="dxa"/>
            <w:tcBorders>
              <w:top w:val="single" w:sz="4" w:space="0" w:color="auto"/>
              <w:left w:val="single" w:sz="4" w:space="0" w:color="auto"/>
              <w:bottom w:val="single" w:sz="4" w:space="0" w:color="auto"/>
              <w:right w:val="single" w:sz="4" w:space="0" w:color="auto"/>
            </w:tcBorders>
            <w:vAlign w:val="center"/>
          </w:tcPr>
          <w:p w:rsidR="00E47872" w:rsidRPr="00547F1A" w:rsidRDefault="00E47872" w:rsidP="00E47872">
            <w:pPr>
              <w:keepNext/>
              <w:spacing w:line="240" w:lineRule="auto"/>
              <w:jc w:val="center"/>
              <w:rPr>
                <w:rFonts w:eastAsia="Times New Roman"/>
                <w:sz w:val="24"/>
                <w:szCs w:val="24"/>
                <w:lang w:eastAsia="ru-RU"/>
              </w:rPr>
            </w:pPr>
            <w:r w:rsidRPr="00547F1A">
              <w:rPr>
                <w:rFonts w:eastAsia="Times New Roman"/>
                <w:sz w:val="24"/>
                <w:szCs w:val="24"/>
                <w:lang w:eastAsia="ru-RU"/>
              </w:rPr>
              <w:t>1,45</w:t>
            </w:r>
          </w:p>
        </w:tc>
        <w:tc>
          <w:tcPr>
            <w:tcW w:w="968" w:type="dxa"/>
            <w:tcBorders>
              <w:top w:val="single" w:sz="4" w:space="0" w:color="auto"/>
              <w:left w:val="single" w:sz="4" w:space="0" w:color="auto"/>
              <w:bottom w:val="single" w:sz="4" w:space="0" w:color="auto"/>
              <w:right w:val="single" w:sz="4" w:space="0" w:color="auto"/>
            </w:tcBorders>
            <w:vAlign w:val="center"/>
          </w:tcPr>
          <w:p w:rsidR="00E47872" w:rsidRPr="00547F1A" w:rsidRDefault="00E47872" w:rsidP="00E47872">
            <w:pPr>
              <w:keepNext/>
              <w:spacing w:line="240" w:lineRule="auto"/>
              <w:jc w:val="center"/>
              <w:rPr>
                <w:rFonts w:eastAsia="Times New Roman"/>
                <w:sz w:val="24"/>
                <w:szCs w:val="24"/>
                <w:lang w:eastAsia="ru-RU"/>
              </w:rPr>
            </w:pPr>
            <w:r w:rsidRPr="00547F1A">
              <w:rPr>
                <w:rFonts w:eastAsia="Times New Roman"/>
                <w:sz w:val="24"/>
                <w:szCs w:val="24"/>
                <w:lang w:eastAsia="ru-RU"/>
              </w:rPr>
              <w:t>1,00</w:t>
            </w:r>
          </w:p>
        </w:tc>
        <w:tc>
          <w:tcPr>
            <w:tcW w:w="969" w:type="dxa"/>
            <w:tcBorders>
              <w:top w:val="single" w:sz="4" w:space="0" w:color="auto"/>
              <w:left w:val="single" w:sz="4" w:space="0" w:color="auto"/>
              <w:bottom w:val="single" w:sz="4" w:space="0" w:color="auto"/>
              <w:right w:val="single" w:sz="4" w:space="0" w:color="auto"/>
            </w:tcBorders>
            <w:vAlign w:val="center"/>
          </w:tcPr>
          <w:p w:rsidR="00E47872" w:rsidRPr="00547F1A" w:rsidRDefault="00E47872" w:rsidP="00E47872">
            <w:pPr>
              <w:keepNext/>
              <w:spacing w:line="240" w:lineRule="auto"/>
              <w:jc w:val="center"/>
              <w:rPr>
                <w:rFonts w:eastAsia="Times New Roman"/>
                <w:sz w:val="24"/>
                <w:szCs w:val="24"/>
                <w:lang w:eastAsia="ru-RU"/>
              </w:rPr>
            </w:pPr>
            <w:r w:rsidRPr="00547F1A">
              <w:rPr>
                <w:rFonts w:eastAsia="Times New Roman"/>
                <w:sz w:val="24"/>
                <w:szCs w:val="24"/>
                <w:lang w:eastAsia="ru-RU"/>
              </w:rPr>
              <w:t>0,29</w:t>
            </w:r>
          </w:p>
        </w:tc>
      </w:tr>
      <w:tr w:rsidR="00E47872" w:rsidRPr="00547F1A" w:rsidTr="00E47872">
        <w:trPr>
          <w:trHeight w:val="300"/>
        </w:trPr>
        <w:tc>
          <w:tcPr>
            <w:tcW w:w="4394" w:type="dxa"/>
            <w:tcBorders>
              <w:top w:val="single" w:sz="4" w:space="0" w:color="auto"/>
              <w:left w:val="single" w:sz="4" w:space="0" w:color="auto"/>
              <w:bottom w:val="single" w:sz="4" w:space="0" w:color="auto"/>
              <w:right w:val="single" w:sz="4" w:space="0" w:color="auto"/>
            </w:tcBorders>
            <w:noWrap/>
            <w:vAlign w:val="bottom"/>
            <w:hideMark/>
          </w:tcPr>
          <w:p w:rsidR="00E47872" w:rsidRPr="00547F1A" w:rsidRDefault="00E47872" w:rsidP="00E47872">
            <w:pPr>
              <w:keepNext/>
              <w:spacing w:line="240" w:lineRule="auto"/>
              <w:jc w:val="left"/>
              <w:rPr>
                <w:rFonts w:eastAsia="Times New Roman"/>
                <w:sz w:val="24"/>
                <w:szCs w:val="24"/>
                <w:lang w:eastAsia="ru-RU"/>
              </w:rPr>
            </w:pPr>
          </w:p>
        </w:tc>
        <w:tc>
          <w:tcPr>
            <w:tcW w:w="968" w:type="dxa"/>
            <w:tcBorders>
              <w:top w:val="single" w:sz="4" w:space="0" w:color="auto"/>
              <w:left w:val="single" w:sz="4" w:space="0" w:color="auto"/>
              <w:bottom w:val="single" w:sz="4" w:space="0" w:color="auto"/>
              <w:right w:val="single" w:sz="4" w:space="0" w:color="auto"/>
            </w:tcBorders>
            <w:noWrap/>
            <w:vAlign w:val="center"/>
          </w:tcPr>
          <w:p w:rsidR="00E47872" w:rsidRPr="00547F1A" w:rsidRDefault="00E47872" w:rsidP="00E47872">
            <w:pPr>
              <w:keepNext/>
              <w:spacing w:line="240" w:lineRule="auto"/>
              <w:jc w:val="center"/>
              <w:rPr>
                <w:rFonts w:eastAsia="Times New Roman"/>
                <w:sz w:val="24"/>
                <w:szCs w:val="24"/>
                <w:lang w:eastAsia="ru-RU"/>
              </w:rPr>
            </w:pPr>
          </w:p>
        </w:tc>
        <w:tc>
          <w:tcPr>
            <w:tcW w:w="969" w:type="dxa"/>
            <w:tcBorders>
              <w:top w:val="single" w:sz="4" w:space="0" w:color="auto"/>
              <w:left w:val="single" w:sz="4" w:space="0" w:color="auto"/>
              <w:bottom w:val="single" w:sz="4" w:space="0" w:color="auto"/>
              <w:right w:val="single" w:sz="4" w:space="0" w:color="auto"/>
            </w:tcBorders>
            <w:vAlign w:val="center"/>
          </w:tcPr>
          <w:p w:rsidR="00E47872" w:rsidRPr="00547F1A" w:rsidRDefault="00E47872" w:rsidP="00E47872">
            <w:pPr>
              <w:keepNext/>
              <w:spacing w:line="240" w:lineRule="auto"/>
              <w:jc w:val="center"/>
              <w:rPr>
                <w:rFonts w:eastAsia="Times New Roman"/>
                <w:color w:val="000000"/>
                <w:sz w:val="24"/>
                <w:szCs w:val="24"/>
                <w:lang w:eastAsia="ru-RU"/>
              </w:rPr>
            </w:pPr>
          </w:p>
        </w:tc>
        <w:tc>
          <w:tcPr>
            <w:tcW w:w="968" w:type="dxa"/>
            <w:tcBorders>
              <w:top w:val="single" w:sz="4" w:space="0" w:color="auto"/>
              <w:left w:val="single" w:sz="4" w:space="0" w:color="auto"/>
              <w:bottom w:val="single" w:sz="4" w:space="0" w:color="auto"/>
              <w:right w:val="single" w:sz="4" w:space="0" w:color="auto"/>
            </w:tcBorders>
            <w:noWrap/>
            <w:vAlign w:val="center"/>
          </w:tcPr>
          <w:p w:rsidR="00E47872" w:rsidRPr="00547F1A" w:rsidRDefault="00E47872" w:rsidP="00E47872">
            <w:pPr>
              <w:keepNext/>
              <w:spacing w:line="240" w:lineRule="auto"/>
              <w:jc w:val="center"/>
              <w:rPr>
                <w:rFonts w:eastAsia="Times New Roman"/>
                <w:color w:val="000000"/>
                <w:sz w:val="24"/>
                <w:szCs w:val="24"/>
                <w:lang w:eastAsia="ru-RU"/>
              </w:rPr>
            </w:pPr>
            <w:r w:rsidRPr="00547F1A">
              <w:rPr>
                <w:rFonts w:eastAsia="Times New Roman"/>
                <w:color w:val="000000"/>
                <w:sz w:val="24"/>
                <w:szCs w:val="24"/>
                <w:lang w:eastAsia="ru-RU"/>
              </w:rPr>
              <w:t>99,01</w:t>
            </w:r>
          </w:p>
        </w:tc>
        <w:tc>
          <w:tcPr>
            <w:tcW w:w="969" w:type="dxa"/>
            <w:tcBorders>
              <w:top w:val="single" w:sz="4" w:space="0" w:color="auto"/>
              <w:left w:val="single" w:sz="4" w:space="0" w:color="auto"/>
              <w:bottom w:val="single" w:sz="4" w:space="0" w:color="auto"/>
              <w:right w:val="single" w:sz="4" w:space="0" w:color="auto"/>
            </w:tcBorders>
            <w:vAlign w:val="center"/>
          </w:tcPr>
          <w:p w:rsidR="00E47872" w:rsidRPr="00547F1A" w:rsidRDefault="00E47872" w:rsidP="00E47872">
            <w:pPr>
              <w:keepNext/>
              <w:spacing w:line="240" w:lineRule="auto"/>
              <w:jc w:val="center"/>
              <w:rPr>
                <w:rFonts w:eastAsia="Times New Roman"/>
                <w:color w:val="000000"/>
                <w:sz w:val="24"/>
                <w:szCs w:val="24"/>
                <w:lang w:eastAsia="ru-RU"/>
              </w:rPr>
            </w:pPr>
            <w:r w:rsidRPr="00547F1A">
              <w:rPr>
                <w:rFonts w:eastAsia="Times New Roman"/>
                <w:color w:val="000000"/>
                <w:sz w:val="24"/>
                <w:szCs w:val="24"/>
                <w:lang w:eastAsia="ru-RU"/>
              </w:rPr>
              <w:t>96,84</w:t>
            </w:r>
          </w:p>
        </w:tc>
        <w:tc>
          <w:tcPr>
            <w:tcW w:w="968" w:type="dxa"/>
            <w:tcBorders>
              <w:top w:val="single" w:sz="4" w:space="0" w:color="auto"/>
              <w:left w:val="single" w:sz="4" w:space="0" w:color="auto"/>
              <w:bottom w:val="single" w:sz="4" w:space="0" w:color="auto"/>
              <w:right w:val="single" w:sz="4" w:space="0" w:color="auto"/>
            </w:tcBorders>
            <w:noWrap/>
            <w:vAlign w:val="center"/>
          </w:tcPr>
          <w:p w:rsidR="00E47872" w:rsidRPr="00547F1A" w:rsidRDefault="00E47872" w:rsidP="00E47872">
            <w:pPr>
              <w:keepNext/>
              <w:spacing w:line="240" w:lineRule="auto"/>
              <w:jc w:val="center"/>
              <w:rPr>
                <w:rFonts w:eastAsia="Times New Roman"/>
                <w:color w:val="000000"/>
                <w:sz w:val="24"/>
                <w:szCs w:val="24"/>
                <w:lang w:eastAsia="ru-RU"/>
              </w:rPr>
            </w:pPr>
            <w:r w:rsidRPr="00547F1A">
              <w:rPr>
                <w:rFonts w:eastAsia="Times New Roman"/>
                <w:color w:val="000000"/>
                <w:sz w:val="24"/>
                <w:szCs w:val="24"/>
                <w:lang w:eastAsia="ru-RU"/>
              </w:rPr>
              <w:t>0,67</w:t>
            </w:r>
          </w:p>
        </w:tc>
        <w:tc>
          <w:tcPr>
            <w:tcW w:w="969" w:type="dxa"/>
            <w:tcBorders>
              <w:top w:val="single" w:sz="4" w:space="0" w:color="auto"/>
              <w:left w:val="single" w:sz="4" w:space="0" w:color="auto"/>
              <w:bottom w:val="single" w:sz="4" w:space="0" w:color="auto"/>
              <w:right w:val="single" w:sz="4" w:space="0" w:color="auto"/>
            </w:tcBorders>
            <w:vAlign w:val="center"/>
          </w:tcPr>
          <w:p w:rsidR="00E47872" w:rsidRPr="00547F1A" w:rsidRDefault="00E47872" w:rsidP="00E47872">
            <w:pPr>
              <w:keepNext/>
              <w:spacing w:line="240" w:lineRule="auto"/>
              <w:jc w:val="center"/>
              <w:rPr>
                <w:rFonts w:eastAsia="Times New Roman"/>
                <w:color w:val="000000"/>
                <w:sz w:val="24"/>
                <w:szCs w:val="24"/>
                <w:lang w:eastAsia="ru-RU"/>
              </w:rPr>
            </w:pPr>
            <w:r w:rsidRPr="00547F1A">
              <w:rPr>
                <w:rFonts w:eastAsia="Times New Roman"/>
                <w:color w:val="000000"/>
                <w:sz w:val="24"/>
                <w:szCs w:val="24"/>
                <w:lang w:eastAsia="ru-RU"/>
              </w:rPr>
              <w:t>0,75</w:t>
            </w:r>
          </w:p>
        </w:tc>
      </w:tr>
    </w:tbl>
    <w:p w:rsidR="004B24A2" w:rsidRDefault="00547F1A" w:rsidP="00502855">
      <w:pPr>
        <w:jc w:val="right"/>
        <w:rPr>
          <w:i/>
          <w:lang w:val="ru-RU"/>
        </w:rPr>
      </w:pPr>
      <w:r w:rsidRPr="00547F1A">
        <w:rPr>
          <w:i/>
          <w:lang w:val="ru-RU"/>
        </w:rPr>
        <w:t>Продовження додаток Е-7</w:t>
      </w:r>
    </w:p>
    <w:p w:rsidR="004B24A2" w:rsidRPr="00036CEE" w:rsidRDefault="004B24A2" w:rsidP="004B24A2">
      <w:pPr>
        <w:rPr>
          <w:i/>
          <w:sz w:val="24"/>
          <w:szCs w:val="24"/>
        </w:rPr>
      </w:pPr>
      <w:r w:rsidRPr="00DD51BC">
        <w:rPr>
          <w:i/>
          <w:sz w:val="24"/>
          <w:szCs w:val="24"/>
        </w:rPr>
        <w:t>Для таблиць : * – показник не оцінювався</w:t>
      </w:r>
      <w:r w:rsidRPr="00DD51BC">
        <w:rPr>
          <w:i/>
          <w:sz w:val="24"/>
          <w:szCs w:val="24"/>
          <w:lang w:val="ru-RU"/>
        </w:rPr>
        <w:t xml:space="preserve">  </w:t>
      </w:r>
      <w:r w:rsidRPr="00DD51BC">
        <w:rPr>
          <w:i/>
          <w:sz w:val="24"/>
          <w:szCs w:val="24"/>
        </w:rPr>
        <w:t>** – немає даних</w:t>
      </w:r>
    </w:p>
    <w:p w:rsidR="004B24A2" w:rsidRPr="004B24A2" w:rsidRDefault="004B24A2" w:rsidP="004B24A2">
      <w:pPr>
        <w:ind w:firstLine="708"/>
      </w:pPr>
    </w:p>
    <w:p w:rsidR="004B24A2" w:rsidRPr="004B24A2" w:rsidRDefault="004B24A2" w:rsidP="004B24A2">
      <w:pPr>
        <w:rPr>
          <w:lang w:val="ru-RU"/>
        </w:rPr>
      </w:pPr>
    </w:p>
    <w:p w:rsidR="004B24A2" w:rsidRPr="004B24A2" w:rsidRDefault="004B24A2" w:rsidP="004B24A2">
      <w:pPr>
        <w:rPr>
          <w:lang w:val="ru-RU"/>
        </w:rPr>
      </w:pPr>
    </w:p>
    <w:p w:rsidR="004B24A2" w:rsidRPr="004B24A2" w:rsidRDefault="004B24A2" w:rsidP="004B24A2">
      <w:pPr>
        <w:rPr>
          <w:lang w:val="ru-RU"/>
        </w:rPr>
      </w:pPr>
    </w:p>
    <w:p w:rsidR="004B24A2" w:rsidRPr="004B24A2" w:rsidRDefault="004B24A2" w:rsidP="004B24A2">
      <w:pPr>
        <w:rPr>
          <w:lang w:val="ru-RU"/>
        </w:rPr>
      </w:pPr>
    </w:p>
    <w:p w:rsidR="00991406" w:rsidRPr="004B24A2" w:rsidRDefault="00991406" w:rsidP="004B24A2">
      <w:pPr>
        <w:rPr>
          <w:lang w:val="ru-RU"/>
        </w:rPr>
      </w:pPr>
    </w:p>
    <w:p w:rsidR="00C43972" w:rsidRPr="00502855" w:rsidRDefault="00535BCC" w:rsidP="004D31AB">
      <w:pPr>
        <w:keepNext/>
        <w:pageBreakBefore/>
        <w:widowControl w:val="0"/>
        <w:jc w:val="right"/>
        <w:rPr>
          <w:rFonts w:eastAsia="Times New Roman"/>
          <w:bCs/>
          <w:iCs/>
          <w:color w:val="000000"/>
          <w:szCs w:val="28"/>
          <w:lang w:eastAsia="uk-UA"/>
        </w:rPr>
      </w:pPr>
      <w:r w:rsidRPr="00502855">
        <w:rPr>
          <w:rFonts w:eastAsia="Times New Roman"/>
          <w:bCs/>
          <w:iCs/>
          <w:color w:val="000000"/>
          <w:szCs w:val="28"/>
          <w:lang w:eastAsia="uk-UA"/>
        </w:rPr>
        <w:lastRenderedPageBreak/>
        <w:t>Додаток Е</w:t>
      </w:r>
      <w:r w:rsidR="00C43972" w:rsidRPr="00502855">
        <w:rPr>
          <w:rFonts w:eastAsia="Times New Roman"/>
          <w:bCs/>
          <w:iCs/>
          <w:color w:val="000000"/>
          <w:szCs w:val="28"/>
          <w:lang w:eastAsia="uk-UA"/>
        </w:rPr>
        <w:t>-8</w:t>
      </w:r>
    </w:p>
    <w:p w:rsidR="00C43972" w:rsidRPr="00502855" w:rsidRDefault="00C43972" w:rsidP="00502855">
      <w:pPr>
        <w:keepNext/>
        <w:jc w:val="center"/>
        <w:rPr>
          <w:rFonts w:eastAsia="Times New Roman"/>
          <w:b/>
          <w:sz w:val="24"/>
          <w:szCs w:val="24"/>
          <w:lang w:eastAsia="ru-RU"/>
        </w:rPr>
      </w:pPr>
      <w:r w:rsidRPr="00502855">
        <w:rPr>
          <w:rFonts w:eastAsia="Times New Roman"/>
          <w:b/>
          <w:bCs/>
          <w:iCs/>
          <w:color w:val="000000"/>
          <w:szCs w:val="28"/>
          <w:lang w:eastAsia="uk-UA"/>
        </w:rPr>
        <w:t xml:space="preserve">Комплексна оцінка діяльності закладів перинатальної допомоги Житомирської </w:t>
      </w:r>
      <w:r w:rsidRPr="00502855">
        <w:rPr>
          <w:rFonts w:eastAsia="Times New Roman"/>
          <w:b/>
          <w:bCs/>
          <w:iCs/>
          <w:color w:val="000000"/>
          <w:sz w:val="26"/>
          <w:szCs w:val="26"/>
          <w:lang w:eastAsia="uk-UA"/>
        </w:rPr>
        <w:t xml:space="preserve">області у </w:t>
      </w:r>
      <w:r w:rsidRPr="00502855">
        <w:rPr>
          <w:rFonts w:eastAsia="Times New Roman"/>
          <w:b/>
          <w:bCs/>
          <w:iCs/>
          <w:color w:val="000000"/>
          <w:szCs w:val="28"/>
          <w:lang w:eastAsia="uk-UA"/>
        </w:rPr>
        <w:t>2017–2018 рр.</w:t>
      </w:r>
    </w:p>
    <w:tbl>
      <w:tblPr>
        <w:tblW w:w="10205" w:type="dxa"/>
        <w:jc w:val="center"/>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394"/>
        <w:gridCol w:w="968"/>
        <w:gridCol w:w="969"/>
        <w:gridCol w:w="968"/>
        <w:gridCol w:w="969"/>
        <w:gridCol w:w="968"/>
        <w:gridCol w:w="969"/>
      </w:tblGrid>
      <w:tr w:rsidR="00502855" w:rsidRPr="00502855" w:rsidTr="00502855">
        <w:trPr>
          <w:cantSplit/>
          <w:trHeight w:val="652"/>
          <w:jc w:val="center"/>
        </w:trPr>
        <w:tc>
          <w:tcPr>
            <w:tcW w:w="4394" w:type="dxa"/>
            <w:vMerge w:val="restart"/>
            <w:tcBorders>
              <w:top w:val="single" w:sz="4" w:space="0" w:color="auto"/>
              <w:left w:val="single" w:sz="4" w:space="0" w:color="auto"/>
              <w:right w:val="single" w:sz="4" w:space="0" w:color="auto"/>
            </w:tcBorders>
            <w:vAlign w:val="center"/>
            <w:hideMark/>
          </w:tcPr>
          <w:p w:rsidR="00502855" w:rsidRPr="00502855" w:rsidRDefault="00502855" w:rsidP="00502855">
            <w:pPr>
              <w:keepNext/>
              <w:spacing w:line="276" w:lineRule="auto"/>
              <w:jc w:val="center"/>
              <w:rPr>
                <w:rFonts w:eastAsia="Times New Roman"/>
                <w:color w:val="000000"/>
                <w:sz w:val="24"/>
                <w:szCs w:val="24"/>
                <w:lang w:eastAsia="uk-UA"/>
              </w:rPr>
            </w:pPr>
            <w:r w:rsidRPr="00502855">
              <w:rPr>
                <w:rFonts w:eastAsia="Times New Roman"/>
                <w:color w:val="000000"/>
                <w:sz w:val="24"/>
                <w:szCs w:val="24"/>
                <w:lang w:eastAsia="uk-UA"/>
              </w:rPr>
              <w:t>Індикатор якості</w:t>
            </w:r>
          </w:p>
        </w:tc>
        <w:tc>
          <w:tcPr>
            <w:tcW w:w="1937" w:type="dxa"/>
            <w:gridSpan w:val="2"/>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color w:val="000000"/>
                <w:sz w:val="24"/>
                <w:szCs w:val="24"/>
                <w:lang w:eastAsia="uk-UA"/>
              </w:rPr>
            </w:pPr>
            <w:r w:rsidRPr="00502855">
              <w:rPr>
                <w:rFonts w:eastAsia="Times New Roman"/>
                <w:color w:val="000000"/>
                <w:sz w:val="24"/>
                <w:szCs w:val="24"/>
                <w:lang w:eastAsia="uk-UA"/>
              </w:rPr>
              <w:t xml:space="preserve">Фактичний показник, </w:t>
            </w:r>
            <w:r w:rsidRPr="00502855">
              <w:rPr>
                <w:rFonts w:eastAsia="Times New Roman"/>
                <w:sz w:val="24"/>
                <w:szCs w:val="24"/>
                <w:lang w:eastAsia="uk-UA"/>
              </w:rPr>
              <w:t>Україна</w:t>
            </w:r>
          </w:p>
        </w:tc>
        <w:tc>
          <w:tcPr>
            <w:tcW w:w="1937" w:type="dxa"/>
            <w:gridSpan w:val="2"/>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color w:val="000000"/>
                <w:sz w:val="24"/>
                <w:szCs w:val="24"/>
                <w:lang w:eastAsia="uk-UA"/>
              </w:rPr>
            </w:pPr>
            <w:r w:rsidRPr="00502855">
              <w:rPr>
                <w:rFonts w:eastAsia="Times New Roman"/>
                <w:color w:val="000000"/>
                <w:sz w:val="24"/>
                <w:szCs w:val="24"/>
                <w:lang w:eastAsia="uk-UA"/>
              </w:rPr>
              <w:t>Бальна оцінка фактичного показника</w:t>
            </w:r>
          </w:p>
        </w:tc>
        <w:tc>
          <w:tcPr>
            <w:tcW w:w="1937" w:type="dxa"/>
            <w:gridSpan w:val="2"/>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color w:val="000000"/>
                <w:sz w:val="24"/>
                <w:szCs w:val="24"/>
                <w:lang w:eastAsia="uk-UA"/>
              </w:rPr>
            </w:pPr>
            <w:r w:rsidRPr="00502855">
              <w:rPr>
                <w:rFonts w:eastAsia="Times New Roman"/>
                <w:color w:val="000000"/>
                <w:sz w:val="24"/>
                <w:szCs w:val="24"/>
                <w:lang w:eastAsia="uk-UA"/>
              </w:rPr>
              <w:t>КДНЗ</w:t>
            </w:r>
          </w:p>
        </w:tc>
      </w:tr>
      <w:tr w:rsidR="00502855" w:rsidRPr="00502855" w:rsidTr="00502855">
        <w:trPr>
          <w:trHeight w:val="404"/>
          <w:jc w:val="center"/>
        </w:trPr>
        <w:tc>
          <w:tcPr>
            <w:tcW w:w="4394" w:type="dxa"/>
            <w:vMerge/>
            <w:tcBorders>
              <w:left w:val="single" w:sz="4" w:space="0" w:color="auto"/>
              <w:bottom w:val="single" w:sz="4" w:space="0" w:color="auto"/>
              <w:right w:val="single" w:sz="4" w:space="0" w:color="auto"/>
            </w:tcBorders>
            <w:vAlign w:val="bottom"/>
          </w:tcPr>
          <w:p w:rsidR="00502855" w:rsidRPr="00502855" w:rsidRDefault="00502855" w:rsidP="00502855">
            <w:pPr>
              <w:keepNext/>
              <w:spacing w:line="276" w:lineRule="auto"/>
              <w:jc w:val="left"/>
              <w:rPr>
                <w:rFonts w:eastAsia="Times New Roman"/>
                <w:sz w:val="24"/>
                <w:szCs w:val="24"/>
                <w:lang w:eastAsia="ru-RU"/>
              </w:rPr>
            </w:pPr>
          </w:p>
        </w:tc>
        <w:tc>
          <w:tcPr>
            <w:tcW w:w="968"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sz w:val="24"/>
                <w:szCs w:val="24"/>
                <w:lang w:eastAsia="ru-RU"/>
              </w:rPr>
            </w:pPr>
            <w:r w:rsidRPr="00502855">
              <w:rPr>
                <w:rFonts w:eastAsia="Times New Roman"/>
                <w:sz w:val="24"/>
                <w:szCs w:val="24"/>
                <w:lang w:eastAsia="ru-RU"/>
              </w:rPr>
              <w:t>2017 р.</w:t>
            </w:r>
          </w:p>
        </w:tc>
        <w:tc>
          <w:tcPr>
            <w:tcW w:w="969"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color w:val="000000"/>
                <w:sz w:val="24"/>
                <w:szCs w:val="24"/>
                <w:lang w:eastAsia="ru-RU"/>
              </w:rPr>
            </w:pPr>
            <w:r w:rsidRPr="00502855">
              <w:rPr>
                <w:rFonts w:eastAsia="Times New Roman"/>
                <w:color w:val="000000"/>
                <w:sz w:val="24"/>
                <w:szCs w:val="24"/>
                <w:lang w:eastAsia="ru-RU"/>
              </w:rPr>
              <w:t>2018 р.</w:t>
            </w:r>
          </w:p>
        </w:tc>
        <w:tc>
          <w:tcPr>
            <w:tcW w:w="968"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sz w:val="24"/>
                <w:szCs w:val="24"/>
                <w:lang w:eastAsia="ru-RU"/>
              </w:rPr>
            </w:pPr>
            <w:r w:rsidRPr="00502855">
              <w:rPr>
                <w:rFonts w:eastAsia="Times New Roman"/>
                <w:sz w:val="24"/>
                <w:szCs w:val="24"/>
                <w:lang w:eastAsia="ru-RU"/>
              </w:rPr>
              <w:t>2017 р.</w:t>
            </w:r>
          </w:p>
        </w:tc>
        <w:tc>
          <w:tcPr>
            <w:tcW w:w="969"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sz w:val="24"/>
                <w:szCs w:val="24"/>
                <w:lang w:eastAsia="ru-RU"/>
              </w:rPr>
            </w:pPr>
            <w:r w:rsidRPr="00502855">
              <w:rPr>
                <w:rFonts w:eastAsia="Times New Roman"/>
                <w:sz w:val="24"/>
                <w:szCs w:val="24"/>
                <w:lang w:eastAsia="ru-RU"/>
              </w:rPr>
              <w:t>2017 р.</w:t>
            </w:r>
          </w:p>
        </w:tc>
        <w:tc>
          <w:tcPr>
            <w:tcW w:w="968"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color w:val="000000"/>
                <w:sz w:val="24"/>
                <w:szCs w:val="24"/>
                <w:lang w:eastAsia="ru-RU"/>
              </w:rPr>
            </w:pPr>
            <w:r w:rsidRPr="00502855">
              <w:rPr>
                <w:rFonts w:eastAsia="Times New Roman"/>
                <w:color w:val="000000"/>
                <w:sz w:val="24"/>
                <w:szCs w:val="24"/>
                <w:lang w:eastAsia="ru-RU"/>
              </w:rPr>
              <w:t>2018 р.</w:t>
            </w:r>
          </w:p>
        </w:tc>
        <w:tc>
          <w:tcPr>
            <w:tcW w:w="969"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sz w:val="24"/>
                <w:szCs w:val="24"/>
                <w:lang w:eastAsia="ru-RU"/>
              </w:rPr>
            </w:pPr>
            <w:r w:rsidRPr="00502855">
              <w:rPr>
                <w:rFonts w:eastAsia="Times New Roman"/>
                <w:sz w:val="24"/>
                <w:szCs w:val="24"/>
                <w:lang w:eastAsia="ru-RU"/>
              </w:rPr>
              <w:t>2017 р.</w:t>
            </w:r>
          </w:p>
        </w:tc>
      </w:tr>
      <w:tr w:rsidR="00502855" w:rsidRPr="00502855" w:rsidTr="00502855">
        <w:trPr>
          <w:trHeight w:val="404"/>
          <w:jc w:val="center"/>
        </w:trPr>
        <w:tc>
          <w:tcPr>
            <w:tcW w:w="4394"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left"/>
              <w:rPr>
                <w:rFonts w:eastAsia="Times New Roman"/>
                <w:sz w:val="24"/>
                <w:szCs w:val="24"/>
                <w:lang w:eastAsia="ru-RU"/>
              </w:rPr>
            </w:pPr>
            <w:r w:rsidRPr="00502855">
              <w:rPr>
                <w:rFonts w:eastAsia="Times New Roman"/>
                <w:sz w:val="24"/>
                <w:szCs w:val="24"/>
                <w:lang w:eastAsia="ru-RU"/>
              </w:rPr>
              <w:t>Забезпеченість  лікарями акушер-гінекологами</w:t>
            </w:r>
          </w:p>
        </w:tc>
        <w:tc>
          <w:tcPr>
            <w:tcW w:w="968"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sz w:val="24"/>
                <w:szCs w:val="24"/>
                <w:lang w:eastAsia="ru-RU"/>
              </w:rPr>
            </w:pPr>
            <w:r w:rsidRPr="00502855">
              <w:rPr>
                <w:rFonts w:eastAsia="Times New Roman"/>
                <w:sz w:val="24"/>
                <w:szCs w:val="24"/>
                <w:lang w:eastAsia="ru-RU"/>
              </w:rPr>
              <w:t>4,14</w:t>
            </w:r>
          </w:p>
        </w:tc>
        <w:tc>
          <w:tcPr>
            <w:tcW w:w="969"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color w:val="000000"/>
                <w:sz w:val="24"/>
                <w:szCs w:val="24"/>
                <w:lang w:eastAsia="ru-RU"/>
              </w:rPr>
            </w:pPr>
            <w:r w:rsidRPr="00502855">
              <w:rPr>
                <w:rFonts w:eastAsia="Times New Roman"/>
                <w:color w:val="000000"/>
                <w:sz w:val="24"/>
                <w:szCs w:val="24"/>
                <w:lang w:eastAsia="ru-RU"/>
              </w:rPr>
              <w:t>4,16</w:t>
            </w:r>
          </w:p>
        </w:tc>
        <w:tc>
          <w:tcPr>
            <w:tcW w:w="968"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sz w:val="24"/>
                <w:szCs w:val="24"/>
                <w:lang w:eastAsia="ru-RU"/>
              </w:rPr>
            </w:pPr>
            <w:r w:rsidRPr="00502855">
              <w:rPr>
                <w:rFonts w:eastAsia="Times New Roman"/>
                <w:sz w:val="24"/>
                <w:szCs w:val="24"/>
                <w:lang w:eastAsia="ru-RU"/>
              </w:rPr>
              <w:t>4,52</w:t>
            </w:r>
          </w:p>
        </w:tc>
        <w:tc>
          <w:tcPr>
            <w:tcW w:w="969"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color w:val="000000"/>
                <w:sz w:val="24"/>
                <w:szCs w:val="24"/>
                <w:lang w:eastAsia="ru-RU"/>
              </w:rPr>
            </w:pPr>
            <w:r w:rsidRPr="00502855">
              <w:rPr>
                <w:rFonts w:eastAsia="Times New Roman"/>
                <w:color w:val="000000"/>
                <w:sz w:val="24"/>
                <w:szCs w:val="24"/>
                <w:lang w:eastAsia="ru-RU"/>
              </w:rPr>
              <w:t>4,54</w:t>
            </w:r>
          </w:p>
        </w:tc>
        <w:tc>
          <w:tcPr>
            <w:tcW w:w="968"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sz w:val="24"/>
                <w:szCs w:val="24"/>
                <w:lang w:eastAsia="ru-RU"/>
              </w:rPr>
            </w:pPr>
            <w:r w:rsidRPr="00502855">
              <w:rPr>
                <w:rFonts w:eastAsia="Times New Roman"/>
                <w:sz w:val="24"/>
                <w:szCs w:val="24"/>
                <w:lang w:eastAsia="ru-RU"/>
              </w:rPr>
              <w:t>0,75</w:t>
            </w:r>
          </w:p>
        </w:tc>
        <w:tc>
          <w:tcPr>
            <w:tcW w:w="969"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color w:val="000000"/>
                <w:sz w:val="24"/>
                <w:szCs w:val="24"/>
                <w:lang w:eastAsia="ru-RU"/>
              </w:rPr>
            </w:pPr>
            <w:r w:rsidRPr="00502855">
              <w:rPr>
                <w:rFonts w:eastAsia="Times New Roman"/>
                <w:color w:val="000000"/>
                <w:sz w:val="24"/>
                <w:szCs w:val="24"/>
                <w:lang w:eastAsia="ru-RU"/>
              </w:rPr>
              <w:t>0,76</w:t>
            </w:r>
          </w:p>
        </w:tc>
      </w:tr>
      <w:tr w:rsidR="00502855" w:rsidRPr="00502855" w:rsidTr="00502855">
        <w:trPr>
          <w:trHeight w:val="404"/>
          <w:jc w:val="center"/>
        </w:trPr>
        <w:tc>
          <w:tcPr>
            <w:tcW w:w="4394" w:type="dxa"/>
            <w:tcBorders>
              <w:top w:val="single" w:sz="4" w:space="0" w:color="auto"/>
              <w:left w:val="single" w:sz="4" w:space="0" w:color="auto"/>
              <w:bottom w:val="single" w:sz="4" w:space="0" w:color="auto"/>
              <w:right w:val="single" w:sz="4" w:space="0" w:color="auto"/>
            </w:tcBorders>
            <w:vAlign w:val="bottom"/>
          </w:tcPr>
          <w:p w:rsidR="00502855" w:rsidRPr="00502855" w:rsidRDefault="00502855" w:rsidP="00502855">
            <w:pPr>
              <w:keepNext/>
              <w:spacing w:line="276" w:lineRule="auto"/>
              <w:jc w:val="left"/>
              <w:rPr>
                <w:rFonts w:eastAsia="Times New Roman"/>
                <w:sz w:val="24"/>
                <w:szCs w:val="24"/>
                <w:lang w:eastAsia="ru-RU"/>
              </w:rPr>
            </w:pPr>
            <w:r w:rsidRPr="00502855">
              <w:rPr>
                <w:rFonts w:eastAsia="Times New Roman"/>
                <w:sz w:val="24"/>
                <w:szCs w:val="24"/>
                <w:lang w:eastAsia="ru-RU"/>
              </w:rPr>
              <w:t>Забезпеченість  лікарями  педіатрами-неонатологами</w:t>
            </w:r>
          </w:p>
        </w:tc>
        <w:tc>
          <w:tcPr>
            <w:tcW w:w="968"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sz w:val="24"/>
                <w:szCs w:val="24"/>
                <w:lang w:eastAsia="ru-RU"/>
              </w:rPr>
            </w:pPr>
            <w:r w:rsidRPr="00502855">
              <w:rPr>
                <w:rFonts w:eastAsia="Times New Roman"/>
                <w:sz w:val="24"/>
                <w:szCs w:val="24"/>
                <w:lang w:eastAsia="ru-RU"/>
              </w:rPr>
              <w:t>4,27</w:t>
            </w:r>
          </w:p>
        </w:tc>
        <w:tc>
          <w:tcPr>
            <w:tcW w:w="969"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color w:val="000000"/>
                <w:sz w:val="24"/>
                <w:szCs w:val="24"/>
                <w:lang w:eastAsia="ru-RU"/>
              </w:rPr>
            </w:pPr>
            <w:r w:rsidRPr="00502855">
              <w:rPr>
                <w:rFonts w:eastAsia="Times New Roman"/>
                <w:color w:val="000000"/>
                <w:sz w:val="24"/>
                <w:szCs w:val="24"/>
                <w:lang w:eastAsia="ru-RU"/>
              </w:rPr>
              <w:t>4,83</w:t>
            </w:r>
          </w:p>
        </w:tc>
        <w:tc>
          <w:tcPr>
            <w:tcW w:w="968"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sz w:val="24"/>
                <w:szCs w:val="24"/>
                <w:lang w:eastAsia="ru-RU"/>
              </w:rPr>
            </w:pPr>
            <w:r w:rsidRPr="00502855">
              <w:rPr>
                <w:rFonts w:eastAsia="Times New Roman"/>
                <w:sz w:val="24"/>
                <w:szCs w:val="24"/>
                <w:lang w:eastAsia="ru-RU"/>
              </w:rPr>
              <w:t>4,66</w:t>
            </w:r>
          </w:p>
        </w:tc>
        <w:tc>
          <w:tcPr>
            <w:tcW w:w="969"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color w:val="000000"/>
                <w:sz w:val="24"/>
                <w:szCs w:val="24"/>
                <w:lang w:eastAsia="ru-RU"/>
              </w:rPr>
            </w:pPr>
            <w:r w:rsidRPr="00502855">
              <w:rPr>
                <w:rFonts w:eastAsia="Times New Roman"/>
                <w:color w:val="000000"/>
                <w:sz w:val="24"/>
                <w:szCs w:val="24"/>
                <w:lang w:eastAsia="ru-RU"/>
              </w:rPr>
              <w:t>5,27</w:t>
            </w:r>
          </w:p>
        </w:tc>
        <w:tc>
          <w:tcPr>
            <w:tcW w:w="968"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sz w:val="24"/>
                <w:szCs w:val="24"/>
                <w:lang w:eastAsia="ru-RU"/>
              </w:rPr>
            </w:pPr>
            <w:r w:rsidRPr="00502855">
              <w:rPr>
                <w:rFonts w:eastAsia="Times New Roman"/>
                <w:sz w:val="24"/>
                <w:szCs w:val="24"/>
                <w:lang w:eastAsia="ru-RU"/>
              </w:rPr>
              <w:t>0,78</w:t>
            </w:r>
          </w:p>
        </w:tc>
        <w:tc>
          <w:tcPr>
            <w:tcW w:w="969"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color w:val="000000"/>
                <w:sz w:val="24"/>
                <w:szCs w:val="24"/>
                <w:lang w:eastAsia="ru-RU"/>
              </w:rPr>
            </w:pPr>
            <w:r w:rsidRPr="00502855">
              <w:rPr>
                <w:rFonts w:eastAsia="Times New Roman"/>
                <w:color w:val="000000"/>
                <w:sz w:val="24"/>
                <w:szCs w:val="24"/>
                <w:lang w:eastAsia="ru-RU"/>
              </w:rPr>
              <w:t>0,88</w:t>
            </w:r>
          </w:p>
        </w:tc>
      </w:tr>
      <w:tr w:rsidR="00502855" w:rsidRPr="00502855" w:rsidTr="00502855">
        <w:trPr>
          <w:trHeight w:val="404"/>
          <w:jc w:val="center"/>
        </w:trPr>
        <w:tc>
          <w:tcPr>
            <w:tcW w:w="4394" w:type="dxa"/>
            <w:tcBorders>
              <w:top w:val="single" w:sz="4" w:space="0" w:color="auto"/>
              <w:left w:val="single" w:sz="4" w:space="0" w:color="auto"/>
              <w:bottom w:val="single" w:sz="4" w:space="0" w:color="auto"/>
              <w:right w:val="single" w:sz="4" w:space="0" w:color="auto"/>
            </w:tcBorders>
            <w:vAlign w:val="bottom"/>
          </w:tcPr>
          <w:p w:rsidR="00502855" w:rsidRPr="00502855" w:rsidRDefault="00502855" w:rsidP="00502855">
            <w:pPr>
              <w:keepNext/>
              <w:spacing w:line="276" w:lineRule="auto"/>
              <w:jc w:val="left"/>
              <w:rPr>
                <w:rFonts w:eastAsia="Times New Roman"/>
                <w:sz w:val="24"/>
                <w:szCs w:val="24"/>
                <w:lang w:eastAsia="ru-RU"/>
              </w:rPr>
            </w:pPr>
            <w:r w:rsidRPr="00502855">
              <w:rPr>
                <w:rFonts w:eastAsia="Times New Roman"/>
                <w:sz w:val="24"/>
                <w:szCs w:val="24"/>
                <w:lang w:eastAsia="ru-RU"/>
              </w:rPr>
              <w:t>Питома вага атестованих лікарів акушер-гінекологів</w:t>
            </w:r>
          </w:p>
        </w:tc>
        <w:tc>
          <w:tcPr>
            <w:tcW w:w="968"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sz w:val="24"/>
                <w:szCs w:val="24"/>
                <w:lang w:eastAsia="ru-RU"/>
              </w:rPr>
            </w:pPr>
            <w:r w:rsidRPr="00502855">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color w:val="000000"/>
                <w:sz w:val="24"/>
                <w:szCs w:val="24"/>
                <w:lang w:eastAsia="ru-RU"/>
              </w:rPr>
            </w:pPr>
            <w:r w:rsidRPr="00502855">
              <w:rPr>
                <w:rFonts w:eastAsia="Times New Roman"/>
                <w:color w:val="000000"/>
                <w:sz w:val="24"/>
                <w:szCs w:val="24"/>
                <w:lang w:eastAsia="ru-RU"/>
              </w:rPr>
              <w:t>86,86</w:t>
            </w:r>
          </w:p>
        </w:tc>
        <w:tc>
          <w:tcPr>
            <w:tcW w:w="968"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sz w:val="24"/>
                <w:szCs w:val="24"/>
                <w:lang w:eastAsia="ru-RU"/>
              </w:rPr>
            </w:pPr>
            <w:r w:rsidRPr="00502855">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color w:val="000000"/>
                <w:sz w:val="24"/>
                <w:szCs w:val="24"/>
                <w:lang w:eastAsia="ru-RU"/>
              </w:rPr>
            </w:pPr>
            <w:r w:rsidRPr="00502855">
              <w:rPr>
                <w:rFonts w:eastAsia="Times New Roman"/>
                <w:color w:val="000000"/>
                <w:sz w:val="24"/>
                <w:szCs w:val="24"/>
                <w:lang w:eastAsia="ru-RU"/>
              </w:rPr>
              <w:t>5,79</w:t>
            </w:r>
          </w:p>
        </w:tc>
        <w:tc>
          <w:tcPr>
            <w:tcW w:w="968"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sz w:val="24"/>
                <w:szCs w:val="24"/>
                <w:lang w:eastAsia="ru-RU"/>
              </w:rPr>
            </w:pPr>
            <w:r w:rsidRPr="00502855">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color w:val="000000"/>
                <w:sz w:val="24"/>
                <w:szCs w:val="24"/>
                <w:lang w:eastAsia="ru-RU"/>
              </w:rPr>
            </w:pPr>
            <w:r w:rsidRPr="00502855">
              <w:rPr>
                <w:rFonts w:eastAsia="Times New Roman"/>
                <w:color w:val="000000"/>
                <w:sz w:val="24"/>
                <w:szCs w:val="24"/>
                <w:lang w:eastAsia="ru-RU"/>
              </w:rPr>
              <w:t>0,97</w:t>
            </w:r>
          </w:p>
        </w:tc>
      </w:tr>
      <w:tr w:rsidR="00502855" w:rsidRPr="00502855" w:rsidTr="00502855">
        <w:trPr>
          <w:trHeight w:val="404"/>
          <w:jc w:val="center"/>
        </w:trPr>
        <w:tc>
          <w:tcPr>
            <w:tcW w:w="4394" w:type="dxa"/>
            <w:tcBorders>
              <w:top w:val="single" w:sz="4" w:space="0" w:color="auto"/>
              <w:left w:val="single" w:sz="4" w:space="0" w:color="auto"/>
              <w:bottom w:val="single" w:sz="4" w:space="0" w:color="auto"/>
              <w:right w:val="single" w:sz="4" w:space="0" w:color="auto"/>
            </w:tcBorders>
            <w:vAlign w:val="bottom"/>
          </w:tcPr>
          <w:p w:rsidR="00502855" w:rsidRPr="00502855" w:rsidRDefault="00502855" w:rsidP="00502855">
            <w:pPr>
              <w:keepNext/>
              <w:spacing w:line="276" w:lineRule="auto"/>
              <w:jc w:val="left"/>
              <w:rPr>
                <w:rFonts w:eastAsia="Times New Roman"/>
                <w:sz w:val="24"/>
                <w:szCs w:val="24"/>
                <w:lang w:eastAsia="ru-RU"/>
              </w:rPr>
            </w:pPr>
            <w:r w:rsidRPr="00502855">
              <w:rPr>
                <w:rFonts w:eastAsia="Times New Roman"/>
                <w:sz w:val="24"/>
                <w:szCs w:val="24"/>
                <w:lang w:eastAsia="ru-RU"/>
              </w:rPr>
              <w:t>Питома вага атестованих лікарів педіатрів-неонатологів</w:t>
            </w:r>
          </w:p>
        </w:tc>
        <w:tc>
          <w:tcPr>
            <w:tcW w:w="968"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sz w:val="24"/>
                <w:szCs w:val="24"/>
                <w:lang w:eastAsia="ru-RU"/>
              </w:rPr>
            </w:pPr>
            <w:r w:rsidRPr="00502855">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color w:val="000000"/>
                <w:sz w:val="24"/>
                <w:szCs w:val="24"/>
                <w:lang w:eastAsia="ru-RU"/>
              </w:rPr>
            </w:pPr>
            <w:r w:rsidRPr="00502855">
              <w:rPr>
                <w:rFonts w:eastAsia="Times New Roman"/>
                <w:color w:val="000000"/>
                <w:sz w:val="24"/>
                <w:szCs w:val="24"/>
                <w:lang w:eastAsia="ru-RU"/>
              </w:rPr>
              <w:t>82,69</w:t>
            </w:r>
          </w:p>
        </w:tc>
        <w:tc>
          <w:tcPr>
            <w:tcW w:w="968"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sz w:val="24"/>
                <w:szCs w:val="24"/>
                <w:lang w:eastAsia="ru-RU"/>
              </w:rPr>
            </w:pPr>
            <w:r w:rsidRPr="00502855">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color w:val="000000"/>
                <w:sz w:val="24"/>
                <w:szCs w:val="24"/>
                <w:lang w:eastAsia="ru-RU"/>
              </w:rPr>
            </w:pPr>
            <w:r w:rsidRPr="00502855">
              <w:rPr>
                <w:rFonts w:eastAsia="Times New Roman"/>
                <w:color w:val="000000"/>
                <w:sz w:val="24"/>
                <w:szCs w:val="24"/>
                <w:lang w:eastAsia="ru-RU"/>
              </w:rPr>
              <w:t>6,0</w:t>
            </w:r>
          </w:p>
        </w:tc>
        <w:tc>
          <w:tcPr>
            <w:tcW w:w="968"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sz w:val="24"/>
                <w:szCs w:val="24"/>
                <w:lang w:eastAsia="ru-RU"/>
              </w:rPr>
            </w:pPr>
            <w:r w:rsidRPr="00502855">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color w:val="000000"/>
                <w:sz w:val="24"/>
                <w:szCs w:val="24"/>
                <w:lang w:eastAsia="ru-RU"/>
              </w:rPr>
            </w:pPr>
            <w:r w:rsidRPr="00502855">
              <w:rPr>
                <w:rFonts w:eastAsia="Times New Roman"/>
                <w:color w:val="000000"/>
                <w:sz w:val="24"/>
                <w:szCs w:val="24"/>
                <w:lang w:eastAsia="ru-RU"/>
              </w:rPr>
              <w:t>1,00</w:t>
            </w:r>
          </w:p>
        </w:tc>
      </w:tr>
      <w:tr w:rsidR="00502855" w:rsidRPr="00502855" w:rsidTr="00502855">
        <w:trPr>
          <w:trHeight w:val="244"/>
          <w:jc w:val="center"/>
        </w:trPr>
        <w:tc>
          <w:tcPr>
            <w:tcW w:w="4394"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left"/>
              <w:rPr>
                <w:rFonts w:eastAsia="Times New Roman"/>
                <w:sz w:val="24"/>
                <w:szCs w:val="24"/>
                <w:lang w:eastAsia="ru-RU"/>
              </w:rPr>
            </w:pPr>
            <w:r w:rsidRPr="00502855">
              <w:rPr>
                <w:rFonts w:eastAsia="Times New Roman"/>
                <w:sz w:val="24"/>
                <w:szCs w:val="24"/>
                <w:lang w:eastAsia="ru-RU"/>
              </w:rPr>
              <w:t xml:space="preserve">Своєчасність постановки на облік вагітних </w:t>
            </w:r>
          </w:p>
        </w:tc>
        <w:tc>
          <w:tcPr>
            <w:tcW w:w="968"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sz w:val="24"/>
                <w:szCs w:val="24"/>
                <w:lang w:eastAsia="ru-RU"/>
              </w:rPr>
            </w:pPr>
            <w:r w:rsidRPr="00502855">
              <w:rPr>
                <w:rFonts w:eastAsia="Times New Roman"/>
                <w:sz w:val="24"/>
                <w:szCs w:val="24"/>
                <w:lang w:eastAsia="ru-RU"/>
              </w:rPr>
              <w:t>97,55</w:t>
            </w:r>
          </w:p>
        </w:tc>
        <w:tc>
          <w:tcPr>
            <w:tcW w:w="969"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color w:val="000000"/>
                <w:sz w:val="24"/>
                <w:szCs w:val="24"/>
                <w:lang w:eastAsia="ru-RU"/>
              </w:rPr>
            </w:pPr>
            <w:r w:rsidRPr="00502855">
              <w:rPr>
                <w:rFonts w:eastAsia="Times New Roman"/>
                <w:color w:val="000000"/>
                <w:sz w:val="24"/>
                <w:szCs w:val="24"/>
                <w:lang w:eastAsia="ru-RU"/>
              </w:rPr>
              <w:t>97,71</w:t>
            </w:r>
          </w:p>
        </w:tc>
        <w:tc>
          <w:tcPr>
            <w:tcW w:w="968"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sz w:val="24"/>
                <w:szCs w:val="24"/>
                <w:lang w:eastAsia="ru-RU"/>
              </w:rPr>
            </w:pPr>
            <w:r w:rsidRPr="00502855">
              <w:rPr>
                <w:rFonts w:eastAsia="Times New Roman"/>
                <w:sz w:val="24"/>
                <w:szCs w:val="24"/>
                <w:lang w:eastAsia="ru-RU"/>
              </w:rPr>
              <w:t>7,00</w:t>
            </w:r>
          </w:p>
        </w:tc>
        <w:tc>
          <w:tcPr>
            <w:tcW w:w="969"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color w:val="000000"/>
                <w:sz w:val="24"/>
                <w:szCs w:val="24"/>
                <w:lang w:eastAsia="ru-RU"/>
              </w:rPr>
            </w:pPr>
            <w:r w:rsidRPr="00502855">
              <w:rPr>
                <w:rFonts w:eastAsia="Times New Roman"/>
                <w:color w:val="000000"/>
                <w:sz w:val="24"/>
                <w:szCs w:val="24"/>
                <w:lang w:eastAsia="ru-RU"/>
              </w:rPr>
              <w:t>7,0</w:t>
            </w:r>
          </w:p>
        </w:tc>
        <w:tc>
          <w:tcPr>
            <w:tcW w:w="968"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sz w:val="24"/>
                <w:szCs w:val="24"/>
                <w:lang w:eastAsia="ru-RU"/>
              </w:rPr>
            </w:pPr>
            <w:r w:rsidRPr="00502855">
              <w:rPr>
                <w:rFonts w:eastAsia="Times New Roman"/>
                <w:sz w:val="24"/>
                <w:szCs w:val="24"/>
                <w:lang w:eastAsia="ru-RU"/>
              </w:rPr>
              <w:t>1,00</w:t>
            </w:r>
          </w:p>
        </w:tc>
        <w:tc>
          <w:tcPr>
            <w:tcW w:w="969"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color w:val="000000"/>
                <w:sz w:val="24"/>
                <w:szCs w:val="24"/>
                <w:lang w:eastAsia="ru-RU"/>
              </w:rPr>
            </w:pPr>
            <w:r w:rsidRPr="00502855">
              <w:rPr>
                <w:rFonts w:eastAsia="Times New Roman"/>
                <w:color w:val="000000"/>
                <w:sz w:val="24"/>
                <w:szCs w:val="24"/>
                <w:lang w:eastAsia="ru-RU"/>
              </w:rPr>
              <w:t>1,00</w:t>
            </w:r>
          </w:p>
        </w:tc>
      </w:tr>
      <w:tr w:rsidR="00502855" w:rsidRPr="00502855" w:rsidTr="00502855">
        <w:trPr>
          <w:trHeight w:val="261"/>
          <w:jc w:val="center"/>
        </w:trPr>
        <w:tc>
          <w:tcPr>
            <w:tcW w:w="4394"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left"/>
              <w:rPr>
                <w:rFonts w:eastAsia="Times New Roman"/>
                <w:sz w:val="24"/>
                <w:szCs w:val="24"/>
                <w:lang w:eastAsia="ru-RU"/>
              </w:rPr>
            </w:pPr>
            <w:r w:rsidRPr="00502855">
              <w:rPr>
                <w:rFonts w:eastAsia="Times New Roman"/>
                <w:sz w:val="24"/>
                <w:szCs w:val="24"/>
                <w:lang w:eastAsia="ru-RU"/>
              </w:rPr>
              <w:t>Частота анемій вагітних</w:t>
            </w:r>
          </w:p>
        </w:tc>
        <w:tc>
          <w:tcPr>
            <w:tcW w:w="968"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sz w:val="24"/>
                <w:szCs w:val="24"/>
                <w:lang w:eastAsia="ru-RU"/>
              </w:rPr>
            </w:pPr>
            <w:r w:rsidRPr="00502855">
              <w:rPr>
                <w:rFonts w:eastAsia="Times New Roman"/>
                <w:sz w:val="24"/>
                <w:szCs w:val="24"/>
                <w:lang w:eastAsia="ru-RU"/>
              </w:rPr>
              <w:t>19,5</w:t>
            </w:r>
          </w:p>
        </w:tc>
        <w:tc>
          <w:tcPr>
            <w:tcW w:w="969"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color w:val="000000"/>
                <w:sz w:val="24"/>
                <w:szCs w:val="24"/>
                <w:lang w:eastAsia="ru-RU"/>
              </w:rPr>
            </w:pPr>
            <w:r w:rsidRPr="00502855">
              <w:rPr>
                <w:rFonts w:eastAsia="Times New Roman"/>
                <w:color w:val="000000"/>
                <w:sz w:val="24"/>
                <w:szCs w:val="24"/>
                <w:lang w:eastAsia="ru-RU"/>
              </w:rPr>
              <w:t>19,57</w:t>
            </w:r>
          </w:p>
        </w:tc>
        <w:tc>
          <w:tcPr>
            <w:tcW w:w="968"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sz w:val="24"/>
                <w:szCs w:val="24"/>
                <w:lang w:eastAsia="ru-RU"/>
              </w:rPr>
            </w:pPr>
            <w:r w:rsidRPr="00502855">
              <w:rPr>
                <w:rFonts w:eastAsia="Times New Roman"/>
                <w:sz w:val="24"/>
                <w:szCs w:val="24"/>
                <w:lang w:eastAsia="ru-RU"/>
              </w:rPr>
              <w:t>4,00</w:t>
            </w:r>
          </w:p>
        </w:tc>
        <w:tc>
          <w:tcPr>
            <w:tcW w:w="969"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color w:val="000000"/>
                <w:sz w:val="24"/>
                <w:szCs w:val="24"/>
                <w:lang w:eastAsia="ru-RU"/>
              </w:rPr>
            </w:pPr>
            <w:r w:rsidRPr="00502855">
              <w:rPr>
                <w:rFonts w:eastAsia="Times New Roman"/>
                <w:color w:val="000000"/>
                <w:sz w:val="24"/>
                <w:szCs w:val="24"/>
                <w:lang w:eastAsia="ru-RU"/>
              </w:rPr>
              <w:t>4,0</w:t>
            </w:r>
          </w:p>
        </w:tc>
        <w:tc>
          <w:tcPr>
            <w:tcW w:w="968"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sz w:val="24"/>
                <w:szCs w:val="24"/>
                <w:lang w:eastAsia="ru-RU"/>
              </w:rPr>
            </w:pPr>
            <w:r w:rsidRPr="00502855">
              <w:rPr>
                <w:rFonts w:eastAsia="Times New Roman"/>
                <w:sz w:val="24"/>
                <w:szCs w:val="24"/>
                <w:lang w:eastAsia="ru-RU"/>
              </w:rPr>
              <w:t>1,00</w:t>
            </w:r>
          </w:p>
        </w:tc>
        <w:tc>
          <w:tcPr>
            <w:tcW w:w="969"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color w:val="000000"/>
                <w:sz w:val="24"/>
                <w:szCs w:val="24"/>
                <w:lang w:eastAsia="ru-RU"/>
              </w:rPr>
            </w:pPr>
            <w:r w:rsidRPr="00502855">
              <w:rPr>
                <w:rFonts w:eastAsia="Times New Roman"/>
                <w:color w:val="000000"/>
                <w:sz w:val="24"/>
                <w:szCs w:val="24"/>
                <w:lang w:eastAsia="ru-RU"/>
              </w:rPr>
              <w:t>1,00</w:t>
            </w:r>
          </w:p>
        </w:tc>
      </w:tr>
      <w:tr w:rsidR="00502855" w:rsidRPr="00502855" w:rsidTr="00502855">
        <w:trPr>
          <w:trHeight w:val="319"/>
          <w:jc w:val="center"/>
        </w:trPr>
        <w:tc>
          <w:tcPr>
            <w:tcW w:w="4394"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left"/>
              <w:rPr>
                <w:rFonts w:eastAsia="Times New Roman"/>
                <w:sz w:val="24"/>
                <w:szCs w:val="24"/>
                <w:lang w:eastAsia="ru-RU"/>
              </w:rPr>
            </w:pPr>
            <w:r w:rsidRPr="00502855">
              <w:rPr>
                <w:rFonts w:eastAsia="Times New Roman"/>
                <w:sz w:val="24"/>
                <w:szCs w:val="24"/>
                <w:lang w:eastAsia="ru-RU"/>
              </w:rPr>
              <w:t>Частота прееклампсій та еклампсій вагітних</w:t>
            </w:r>
          </w:p>
        </w:tc>
        <w:tc>
          <w:tcPr>
            <w:tcW w:w="968"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sz w:val="24"/>
                <w:szCs w:val="24"/>
                <w:lang w:eastAsia="ru-RU"/>
              </w:rPr>
            </w:pPr>
            <w:r w:rsidRPr="00502855">
              <w:rPr>
                <w:rFonts w:eastAsia="Times New Roman"/>
                <w:sz w:val="24"/>
                <w:szCs w:val="24"/>
                <w:lang w:eastAsia="ru-RU"/>
              </w:rPr>
              <w:t>1,86</w:t>
            </w:r>
          </w:p>
        </w:tc>
        <w:tc>
          <w:tcPr>
            <w:tcW w:w="969"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color w:val="000000"/>
                <w:sz w:val="24"/>
                <w:szCs w:val="24"/>
                <w:lang w:eastAsia="ru-RU"/>
              </w:rPr>
            </w:pPr>
            <w:r w:rsidRPr="00502855">
              <w:rPr>
                <w:rFonts w:eastAsia="Times New Roman"/>
                <w:color w:val="000000"/>
                <w:sz w:val="24"/>
                <w:szCs w:val="24"/>
                <w:lang w:eastAsia="ru-RU"/>
              </w:rPr>
              <w:t>1,65</w:t>
            </w:r>
          </w:p>
        </w:tc>
        <w:tc>
          <w:tcPr>
            <w:tcW w:w="968"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sz w:val="24"/>
                <w:szCs w:val="24"/>
                <w:lang w:eastAsia="ru-RU"/>
              </w:rPr>
            </w:pPr>
            <w:r w:rsidRPr="00502855">
              <w:rPr>
                <w:rFonts w:eastAsia="Times New Roman"/>
                <w:sz w:val="24"/>
                <w:szCs w:val="24"/>
                <w:lang w:eastAsia="ru-RU"/>
              </w:rPr>
              <w:t>6,56</w:t>
            </w:r>
          </w:p>
        </w:tc>
        <w:tc>
          <w:tcPr>
            <w:tcW w:w="969"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color w:val="000000"/>
                <w:sz w:val="24"/>
                <w:szCs w:val="24"/>
                <w:lang w:eastAsia="ru-RU"/>
              </w:rPr>
            </w:pPr>
            <w:r w:rsidRPr="00502855">
              <w:rPr>
                <w:rFonts w:eastAsia="Times New Roman"/>
                <w:color w:val="000000"/>
                <w:sz w:val="24"/>
                <w:szCs w:val="24"/>
                <w:lang w:eastAsia="ru-RU"/>
              </w:rPr>
              <w:t>7,0</w:t>
            </w:r>
          </w:p>
        </w:tc>
        <w:tc>
          <w:tcPr>
            <w:tcW w:w="968"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sz w:val="24"/>
                <w:szCs w:val="24"/>
                <w:lang w:eastAsia="ru-RU"/>
              </w:rPr>
            </w:pPr>
            <w:r w:rsidRPr="00502855">
              <w:rPr>
                <w:rFonts w:eastAsia="Times New Roman"/>
                <w:sz w:val="24"/>
                <w:szCs w:val="24"/>
                <w:lang w:eastAsia="ru-RU"/>
              </w:rPr>
              <w:t>0,94</w:t>
            </w:r>
          </w:p>
        </w:tc>
        <w:tc>
          <w:tcPr>
            <w:tcW w:w="969"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color w:val="000000"/>
                <w:sz w:val="24"/>
                <w:szCs w:val="24"/>
                <w:lang w:eastAsia="ru-RU"/>
              </w:rPr>
            </w:pPr>
            <w:r w:rsidRPr="00502855">
              <w:rPr>
                <w:rFonts w:eastAsia="Times New Roman"/>
                <w:color w:val="000000"/>
                <w:sz w:val="24"/>
                <w:szCs w:val="24"/>
                <w:lang w:eastAsia="ru-RU"/>
              </w:rPr>
              <w:t>1,00</w:t>
            </w:r>
          </w:p>
        </w:tc>
      </w:tr>
      <w:tr w:rsidR="00502855" w:rsidRPr="00502855" w:rsidTr="00502855">
        <w:trPr>
          <w:trHeight w:val="284"/>
          <w:jc w:val="center"/>
        </w:trPr>
        <w:tc>
          <w:tcPr>
            <w:tcW w:w="4394"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left"/>
              <w:rPr>
                <w:rFonts w:eastAsia="Times New Roman"/>
                <w:sz w:val="24"/>
                <w:szCs w:val="24"/>
                <w:lang w:eastAsia="ru-RU"/>
              </w:rPr>
            </w:pPr>
            <w:r w:rsidRPr="00502855">
              <w:rPr>
                <w:rFonts w:eastAsia="Times New Roman"/>
                <w:sz w:val="24"/>
                <w:szCs w:val="24"/>
                <w:lang w:eastAsia="ru-RU"/>
              </w:rPr>
              <w:t>Співвідношення безпечних методів абортів до небезпечних</w:t>
            </w:r>
          </w:p>
        </w:tc>
        <w:tc>
          <w:tcPr>
            <w:tcW w:w="968"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sz w:val="24"/>
                <w:szCs w:val="24"/>
                <w:lang w:eastAsia="ru-RU"/>
              </w:rPr>
            </w:pPr>
            <w:r w:rsidRPr="00502855">
              <w:rPr>
                <w:rFonts w:eastAsia="Times New Roman"/>
                <w:sz w:val="24"/>
                <w:szCs w:val="24"/>
                <w:lang w:eastAsia="ru-RU"/>
              </w:rPr>
              <w:t>18,9</w:t>
            </w:r>
          </w:p>
        </w:tc>
        <w:tc>
          <w:tcPr>
            <w:tcW w:w="969"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color w:val="000000"/>
                <w:sz w:val="24"/>
                <w:szCs w:val="24"/>
                <w:lang w:eastAsia="ru-RU"/>
              </w:rPr>
            </w:pPr>
            <w:r w:rsidRPr="00502855">
              <w:rPr>
                <w:rFonts w:eastAsia="Times New Roman"/>
                <w:color w:val="000000"/>
                <w:sz w:val="24"/>
                <w:szCs w:val="24"/>
                <w:lang w:eastAsia="ru-RU"/>
              </w:rPr>
              <w:t>18,79</w:t>
            </w:r>
          </w:p>
        </w:tc>
        <w:tc>
          <w:tcPr>
            <w:tcW w:w="968"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sz w:val="24"/>
                <w:szCs w:val="24"/>
                <w:lang w:eastAsia="ru-RU"/>
              </w:rPr>
            </w:pPr>
            <w:r w:rsidRPr="00502855">
              <w:rPr>
                <w:rFonts w:eastAsia="Times New Roman"/>
                <w:sz w:val="24"/>
                <w:szCs w:val="24"/>
                <w:lang w:eastAsia="ru-RU"/>
              </w:rPr>
              <w:t>6,00</w:t>
            </w:r>
          </w:p>
        </w:tc>
        <w:tc>
          <w:tcPr>
            <w:tcW w:w="969"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color w:val="000000"/>
                <w:sz w:val="24"/>
                <w:szCs w:val="24"/>
                <w:lang w:eastAsia="ru-RU"/>
              </w:rPr>
            </w:pPr>
            <w:r w:rsidRPr="00502855">
              <w:rPr>
                <w:rFonts w:eastAsia="Times New Roman"/>
                <w:color w:val="000000"/>
                <w:sz w:val="24"/>
                <w:szCs w:val="24"/>
                <w:lang w:eastAsia="ru-RU"/>
              </w:rPr>
              <w:t>6,0</w:t>
            </w:r>
          </w:p>
        </w:tc>
        <w:tc>
          <w:tcPr>
            <w:tcW w:w="968"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sz w:val="24"/>
                <w:szCs w:val="24"/>
                <w:lang w:eastAsia="ru-RU"/>
              </w:rPr>
            </w:pPr>
            <w:r w:rsidRPr="00502855">
              <w:rPr>
                <w:rFonts w:eastAsia="Times New Roman"/>
                <w:sz w:val="24"/>
                <w:szCs w:val="24"/>
                <w:lang w:eastAsia="ru-RU"/>
              </w:rPr>
              <w:t>1,00</w:t>
            </w:r>
          </w:p>
        </w:tc>
        <w:tc>
          <w:tcPr>
            <w:tcW w:w="969"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color w:val="000000"/>
                <w:sz w:val="24"/>
                <w:szCs w:val="24"/>
                <w:lang w:eastAsia="ru-RU"/>
              </w:rPr>
            </w:pPr>
            <w:r w:rsidRPr="00502855">
              <w:rPr>
                <w:rFonts w:eastAsia="Times New Roman"/>
                <w:color w:val="000000"/>
                <w:sz w:val="24"/>
                <w:szCs w:val="24"/>
                <w:lang w:eastAsia="ru-RU"/>
              </w:rPr>
              <w:t>1,00</w:t>
            </w:r>
          </w:p>
        </w:tc>
      </w:tr>
      <w:tr w:rsidR="00502855" w:rsidRPr="00502855" w:rsidTr="00502855">
        <w:trPr>
          <w:trHeight w:val="340"/>
          <w:jc w:val="center"/>
        </w:trPr>
        <w:tc>
          <w:tcPr>
            <w:tcW w:w="4394" w:type="dxa"/>
            <w:tcBorders>
              <w:top w:val="single" w:sz="4" w:space="0" w:color="auto"/>
              <w:left w:val="single" w:sz="4" w:space="0" w:color="auto"/>
              <w:bottom w:val="single" w:sz="4" w:space="0" w:color="auto"/>
              <w:right w:val="single" w:sz="4" w:space="0" w:color="auto"/>
            </w:tcBorders>
            <w:vAlign w:val="bottom"/>
          </w:tcPr>
          <w:p w:rsidR="00502855" w:rsidRPr="00502855" w:rsidRDefault="00502855" w:rsidP="00502855">
            <w:pPr>
              <w:keepNext/>
              <w:spacing w:line="276" w:lineRule="auto"/>
              <w:jc w:val="left"/>
              <w:rPr>
                <w:rFonts w:eastAsia="Times New Roman"/>
                <w:sz w:val="24"/>
                <w:szCs w:val="24"/>
                <w:lang w:eastAsia="ru-RU"/>
              </w:rPr>
            </w:pPr>
            <w:r w:rsidRPr="00502855">
              <w:rPr>
                <w:rFonts w:eastAsia="Times New Roman"/>
                <w:sz w:val="24"/>
                <w:szCs w:val="24"/>
                <w:lang w:eastAsia="ru-RU"/>
              </w:rPr>
              <w:t>Питома вага хворих виявлення в ранніх стадіях (І – ІІ) серед хворих з вперше встановленим діагнозом онкологія молочної залози</w:t>
            </w:r>
          </w:p>
        </w:tc>
        <w:tc>
          <w:tcPr>
            <w:tcW w:w="968"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sz w:val="24"/>
                <w:szCs w:val="24"/>
                <w:lang w:eastAsia="ru-RU"/>
              </w:rPr>
            </w:pPr>
            <w:r w:rsidRPr="00502855">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color w:val="000000"/>
                <w:sz w:val="24"/>
                <w:szCs w:val="24"/>
                <w:lang w:eastAsia="ru-RU"/>
              </w:rPr>
            </w:pPr>
            <w:r w:rsidRPr="00502855">
              <w:rPr>
                <w:rFonts w:eastAsia="Times New Roman"/>
                <w:color w:val="000000"/>
                <w:sz w:val="24"/>
                <w:szCs w:val="24"/>
                <w:lang w:eastAsia="ru-RU"/>
              </w:rPr>
              <w:t>69,70</w:t>
            </w:r>
          </w:p>
        </w:tc>
        <w:tc>
          <w:tcPr>
            <w:tcW w:w="968"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sz w:val="24"/>
                <w:szCs w:val="24"/>
                <w:lang w:eastAsia="ru-RU"/>
              </w:rPr>
            </w:pPr>
            <w:r w:rsidRPr="00502855">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color w:val="000000"/>
                <w:sz w:val="24"/>
                <w:szCs w:val="24"/>
                <w:lang w:eastAsia="ru-RU"/>
              </w:rPr>
            </w:pPr>
            <w:r w:rsidRPr="00502855">
              <w:rPr>
                <w:rFonts w:eastAsia="Times New Roman"/>
                <w:color w:val="000000"/>
                <w:sz w:val="24"/>
                <w:szCs w:val="24"/>
                <w:lang w:eastAsia="ru-RU"/>
              </w:rPr>
              <w:t>5,28</w:t>
            </w:r>
          </w:p>
        </w:tc>
        <w:tc>
          <w:tcPr>
            <w:tcW w:w="968"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sz w:val="24"/>
                <w:szCs w:val="24"/>
                <w:lang w:eastAsia="ru-RU"/>
              </w:rPr>
            </w:pPr>
            <w:r w:rsidRPr="00502855">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color w:val="000000"/>
                <w:sz w:val="24"/>
                <w:szCs w:val="24"/>
                <w:lang w:eastAsia="ru-RU"/>
              </w:rPr>
            </w:pPr>
            <w:r w:rsidRPr="00502855">
              <w:rPr>
                <w:rFonts w:eastAsia="Times New Roman"/>
                <w:color w:val="000000"/>
                <w:sz w:val="24"/>
                <w:szCs w:val="24"/>
                <w:lang w:eastAsia="ru-RU"/>
              </w:rPr>
              <w:t>0,88</w:t>
            </w:r>
          </w:p>
        </w:tc>
      </w:tr>
      <w:tr w:rsidR="00502855" w:rsidRPr="00502855" w:rsidTr="00502855">
        <w:trPr>
          <w:trHeight w:val="418"/>
          <w:jc w:val="center"/>
        </w:trPr>
        <w:tc>
          <w:tcPr>
            <w:tcW w:w="4394" w:type="dxa"/>
            <w:tcBorders>
              <w:top w:val="single" w:sz="4" w:space="0" w:color="auto"/>
              <w:left w:val="single" w:sz="4" w:space="0" w:color="auto"/>
              <w:bottom w:val="single" w:sz="4" w:space="0" w:color="auto"/>
              <w:right w:val="single" w:sz="4" w:space="0" w:color="auto"/>
            </w:tcBorders>
            <w:vAlign w:val="bottom"/>
          </w:tcPr>
          <w:p w:rsidR="00502855" w:rsidRPr="00502855" w:rsidRDefault="00502855" w:rsidP="00502855">
            <w:pPr>
              <w:keepNext/>
              <w:spacing w:line="276" w:lineRule="auto"/>
              <w:jc w:val="left"/>
              <w:rPr>
                <w:rFonts w:eastAsia="Times New Roman"/>
                <w:sz w:val="24"/>
                <w:szCs w:val="24"/>
                <w:lang w:eastAsia="ru-RU"/>
              </w:rPr>
            </w:pPr>
            <w:r w:rsidRPr="00502855">
              <w:rPr>
                <w:rFonts w:eastAsia="Times New Roman"/>
                <w:sz w:val="24"/>
                <w:szCs w:val="24"/>
                <w:lang w:eastAsia="ru-RU"/>
              </w:rPr>
              <w:t>Питома вага хворих виявлення в ранніх стадіях (І – ІІ) серед хворих з вперше встановленим діагнозом онкологія шийки матки</w:t>
            </w:r>
          </w:p>
        </w:tc>
        <w:tc>
          <w:tcPr>
            <w:tcW w:w="968"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sz w:val="24"/>
                <w:szCs w:val="24"/>
                <w:lang w:eastAsia="ru-RU"/>
              </w:rPr>
            </w:pPr>
            <w:r w:rsidRPr="00502855">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color w:val="000000"/>
                <w:sz w:val="24"/>
                <w:szCs w:val="24"/>
                <w:lang w:eastAsia="ru-RU"/>
              </w:rPr>
            </w:pPr>
            <w:r w:rsidRPr="00502855">
              <w:rPr>
                <w:rFonts w:eastAsia="Times New Roman"/>
                <w:color w:val="000000"/>
                <w:sz w:val="24"/>
                <w:szCs w:val="24"/>
                <w:lang w:eastAsia="ru-RU"/>
              </w:rPr>
              <w:t>71,90</w:t>
            </w:r>
          </w:p>
        </w:tc>
        <w:tc>
          <w:tcPr>
            <w:tcW w:w="968"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sz w:val="24"/>
                <w:szCs w:val="24"/>
                <w:lang w:eastAsia="ru-RU"/>
              </w:rPr>
            </w:pPr>
            <w:r w:rsidRPr="00502855">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color w:val="000000"/>
                <w:sz w:val="24"/>
                <w:szCs w:val="24"/>
                <w:lang w:eastAsia="ru-RU"/>
              </w:rPr>
            </w:pPr>
            <w:r w:rsidRPr="00502855">
              <w:rPr>
                <w:rFonts w:eastAsia="Times New Roman"/>
                <w:color w:val="000000"/>
                <w:sz w:val="24"/>
                <w:szCs w:val="24"/>
                <w:lang w:eastAsia="ru-RU"/>
              </w:rPr>
              <w:t>5,43</w:t>
            </w:r>
          </w:p>
        </w:tc>
        <w:tc>
          <w:tcPr>
            <w:tcW w:w="968"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sz w:val="24"/>
                <w:szCs w:val="24"/>
                <w:lang w:eastAsia="ru-RU"/>
              </w:rPr>
            </w:pPr>
            <w:r w:rsidRPr="00502855">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color w:val="000000"/>
                <w:sz w:val="24"/>
                <w:szCs w:val="24"/>
                <w:lang w:eastAsia="ru-RU"/>
              </w:rPr>
            </w:pPr>
            <w:r w:rsidRPr="00502855">
              <w:rPr>
                <w:rFonts w:eastAsia="Times New Roman"/>
                <w:color w:val="000000"/>
                <w:sz w:val="24"/>
                <w:szCs w:val="24"/>
                <w:lang w:eastAsia="ru-RU"/>
              </w:rPr>
              <w:t>0,91</w:t>
            </w:r>
          </w:p>
        </w:tc>
      </w:tr>
      <w:tr w:rsidR="00502855" w:rsidRPr="00502855" w:rsidTr="00502855">
        <w:trPr>
          <w:trHeight w:val="600"/>
          <w:jc w:val="center"/>
        </w:trPr>
        <w:tc>
          <w:tcPr>
            <w:tcW w:w="4394" w:type="dxa"/>
            <w:tcBorders>
              <w:top w:val="single" w:sz="4" w:space="0" w:color="auto"/>
              <w:left w:val="single" w:sz="4" w:space="0" w:color="auto"/>
              <w:bottom w:val="single" w:sz="4" w:space="0" w:color="auto"/>
              <w:right w:val="single" w:sz="4" w:space="0" w:color="auto"/>
            </w:tcBorders>
          </w:tcPr>
          <w:p w:rsidR="00502855" w:rsidRPr="00502855" w:rsidRDefault="00502855" w:rsidP="00502855">
            <w:pPr>
              <w:keepNext/>
              <w:spacing w:line="276" w:lineRule="auto"/>
              <w:rPr>
                <w:rFonts w:eastAsia="Times New Roman"/>
                <w:color w:val="000000"/>
                <w:sz w:val="24"/>
                <w:szCs w:val="24"/>
                <w:lang w:eastAsia="uk-UA"/>
              </w:rPr>
            </w:pPr>
            <w:r w:rsidRPr="00502855">
              <w:rPr>
                <w:rFonts w:eastAsia="Times New Roman"/>
                <w:color w:val="000000"/>
                <w:sz w:val="24"/>
                <w:szCs w:val="24"/>
                <w:lang w:eastAsia="uk-UA"/>
              </w:rPr>
              <w:t>Індекс концентрації розродження вагітних з цукровим діабетом у ЗПД ІІІ рівня</w:t>
            </w:r>
          </w:p>
        </w:tc>
        <w:tc>
          <w:tcPr>
            <w:tcW w:w="968"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sz w:val="24"/>
                <w:szCs w:val="24"/>
                <w:lang w:eastAsia="ru-RU"/>
              </w:rPr>
            </w:pPr>
            <w:r w:rsidRPr="00502855">
              <w:rPr>
                <w:rFonts w:eastAsia="Times New Roman"/>
                <w:sz w:val="24"/>
                <w:szCs w:val="24"/>
                <w:lang w:eastAsia="ru-RU"/>
              </w:rPr>
              <w:t>97,06</w:t>
            </w:r>
          </w:p>
        </w:tc>
        <w:tc>
          <w:tcPr>
            <w:tcW w:w="969"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color w:val="000000"/>
                <w:sz w:val="24"/>
                <w:szCs w:val="24"/>
                <w:lang w:eastAsia="ru-RU"/>
              </w:rPr>
            </w:pPr>
            <w:r w:rsidRPr="00502855">
              <w:rPr>
                <w:rFonts w:eastAsia="Times New Roman"/>
                <w:color w:val="000000"/>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sz w:val="24"/>
                <w:szCs w:val="24"/>
                <w:lang w:eastAsia="ru-RU"/>
              </w:rPr>
            </w:pPr>
            <w:r w:rsidRPr="00502855">
              <w:rPr>
                <w:rFonts w:eastAsia="Times New Roman"/>
                <w:sz w:val="24"/>
                <w:szCs w:val="24"/>
                <w:lang w:eastAsia="ru-RU"/>
              </w:rPr>
              <w:t>7,00</w:t>
            </w:r>
          </w:p>
        </w:tc>
        <w:tc>
          <w:tcPr>
            <w:tcW w:w="969"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color w:val="000000"/>
                <w:sz w:val="24"/>
                <w:szCs w:val="24"/>
                <w:lang w:eastAsia="ru-RU"/>
              </w:rPr>
            </w:pPr>
            <w:r w:rsidRPr="00502855">
              <w:rPr>
                <w:rFonts w:eastAsia="Times New Roman"/>
                <w:color w:val="000000"/>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sz w:val="24"/>
                <w:szCs w:val="24"/>
                <w:lang w:eastAsia="ru-RU"/>
              </w:rPr>
            </w:pPr>
            <w:r w:rsidRPr="00502855">
              <w:rPr>
                <w:rFonts w:eastAsia="Times New Roman"/>
                <w:sz w:val="24"/>
                <w:szCs w:val="24"/>
                <w:lang w:eastAsia="ru-RU"/>
              </w:rPr>
              <w:t>1,00</w:t>
            </w:r>
          </w:p>
        </w:tc>
        <w:tc>
          <w:tcPr>
            <w:tcW w:w="969"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color w:val="000000"/>
                <w:sz w:val="24"/>
                <w:szCs w:val="24"/>
                <w:lang w:eastAsia="ru-RU"/>
              </w:rPr>
            </w:pPr>
            <w:r w:rsidRPr="00502855">
              <w:rPr>
                <w:rFonts w:eastAsia="Times New Roman"/>
                <w:color w:val="000000"/>
                <w:sz w:val="24"/>
                <w:szCs w:val="24"/>
                <w:lang w:eastAsia="ru-RU"/>
              </w:rPr>
              <w:t>**</w:t>
            </w:r>
          </w:p>
        </w:tc>
      </w:tr>
      <w:tr w:rsidR="00502855" w:rsidRPr="00502855" w:rsidTr="00502855">
        <w:trPr>
          <w:trHeight w:val="600"/>
          <w:jc w:val="center"/>
        </w:trPr>
        <w:tc>
          <w:tcPr>
            <w:tcW w:w="4394" w:type="dxa"/>
            <w:tcBorders>
              <w:top w:val="single" w:sz="4" w:space="0" w:color="auto"/>
              <w:left w:val="single" w:sz="4" w:space="0" w:color="auto"/>
              <w:bottom w:val="single" w:sz="4" w:space="0" w:color="auto"/>
              <w:right w:val="single" w:sz="4" w:space="0" w:color="auto"/>
            </w:tcBorders>
          </w:tcPr>
          <w:p w:rsidR="00502855" w:rsidRPr="00502855" w:rsidRDefault="00502855" w:rsidP="00502855">
            <w:pPr>
              <w:keepNext/>
              <w:spacing w:line="276" w:lineRule="auto"/>
              <w:rPr>
                <w:rFonts w:eastAsia="Times New Roman"/>
                <w:color w:val="000000"/>
                <w:sz w:val="24"/>
                <w:szCs w:val="24"/>
                <w:lang w:eastAsia="uk-UA"/>
              </w:rPr>
            </w:pPr>
            <w:r w:rsidRPr="00502855">
              <w:rPr>
                <w:rFonts w:eastAsia="Times New Roman"/>
                <w:color w:val="000000"/>
                <w:sz w:val="24"/>
                <w:szCs w:val="24"/>
                <w:lang w:eastAsia="uk-UA"/>
              </w:rPr>
              <w:t>Індекс концентрації розродження вагітних з  пре- еклампсією і еклампсією у ЗПД ІІ-ІІІ рівнів</w:t>
            </w:r>
          </w:p>
        </w:tc>
        <w:tc>
          <w:tcPr>
            <w:tcW w:w="968"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sz w:val="24"/>
                <w:szCs w:val="24"/>
                <w:lang w:eastAsia="ru-RU"/>
              </w:rPr>
            </w:pPr>
            <w:r w:rsidRPr="00502855">
              <w:rPr>
                <w:rFonts w:eastAsia="Times New Roman"/>
                <w:sz w:val="24"/>
                <w:szCs w:val="24"/>
                <w:lang w:eastAsia="ru-RU"/>
              </w:rPr>
              <w:t>47,69</w:t>
            </w:r>
          </w:p>
        </w:tc>
        <w:tc>
          <w:tcPr>
            <w:tcW w:w="969"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color w:val="000000"/>
                <w:sz w:val="24"/>
                <w:szCs w:val="24"/>
                <w:lang w:eastAsia="ru-RU"/>
              </w:rPr>
            </w:pPr>
            <w:r w:rsidRPr="00502855">
              <w:rPr>
                <w:rFonts w:eastAsia="Times New Roman"/>
                <w:color w:val="000000"/>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sz w:val="24"/>
                <w:szCs w:val="24"/>
                <w:lang w:eastAsia="ru-RU"/>
              </w:rPr>
            </w:pPr>
            <w:r w:rsidRPr="00502855">
              <w:rPr>
                <w:rFonts w:eastAsia="Times New Roman"/>
                <w:sz w:val="24"/>
                <w:szCs w:val="24"/>
                <w:lang w:eastAsia="ru-RU"/>
              </w:rPr>
              <w:t>3,71</w:t>
            </w:r>
          </w:p>
        </w:tc>
        <w:tc>
          <w:tcPr>
            <w:tcW w:w="969"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color w:val="000000"/>
                <w:sz w:val="24"/>
                <w:szCs w:val="24"/>
                <w:lang w:eastAsia="ru-RU"/>
              </w:rPr>
            </w:pPr>
            <w:r w:rsidRPr="00502855">
              <w:rPr>
                <w:rFonts w:eastAsia="Times New Roman"/>
                <w:color w:val="000000"/>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sz w:val="24"/>
                <w:szCs w:val="24"/>
                <w:lang w:eastAsia="ru-RU"/>
              </w:rPr>
            </w:pPr>
            <w:r w:rsidRPr="00502855">
              <w:rPr>
                <w:rFonts w:eastAsia="Times New Roman"/>
                <w:sz w:val="24"/>
                <w:szCs w:val="24"/>
                <w:lang w:eastAsia="ru-RU"/>
              </w:rPr>
              <w:t>0,53</w:t>
            </w:r>
          </w:p>
        </w:tc>
        <w:tc>
          <w:tcPr>
            <w:tcW w:w="969"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color w:val="000000"/>
                <w:sz w:val="24"/>
                <w:szCs w:val="24"/>
                <w:lang w:eastAsia="ru-RU"/>
              </w:rPr>
            </w:pPr>
            <w:r w:rsidRPr="00502855">
              <w:rPr>
                <w:rFonts w:eastAsia="Times New Roman"/>
                <w:color w:val="000000"/>
                <w:sz w:val="24"/>
                <w:szCs w:val="24"/>
                <w:lang w:eastAsia="ru-RU"/>
              </w:rPr>
              <w:t>**</w:t>
            </w:r>
          </w:p>
        </w:tc>
      </w:tr>
      <w:tr w:rsidR="00502855" w:rsidRPr="00502855" w:rsidTr="00502855">
        <w:trPr>
          <w:trHeight w:val="600"/>
          <w:jc w:val="center"/>
        </w:trPr>
        <w:tc>
          <w:tcPr>
            <w:tcW w:w="4394" w:type="dxa"/>
            <w:tcBorders>
              <w:top w:val="single" w:sz="4" w:space="0" w:color="auto"/>
              <w:left w:val="single" w:sz="4" w:space="0" w:color="auto"/>
              <w:bottom w:val="single" w:sz="4" w:space="0" w:color="auto"/>
              <w:right w:val="single" w:sz="4" w:space="0" w:color="auto"/>
            </w:tcBorders>
          </w:tcPr>
          <w:p w:rsidR="00502855" w:rsidRPr="00502855" w:rsidRDefault="00502855" w:rsidP="00502855">
            <w:pPr>
              <w:keepNext/>
              <w:spacing w:line="276" w:lineRule="auto"/>
              <w:rPr>
                <w:rFonts w:eastAsia="Times New Roman"/>
                <w:color w:val="000000"/>
                <w:sz w:val="24"/>
                <w:szCs w:val="24"/>
                <w:lang w:eastAsia="uk-UA"/>
              </w:rPr>
            </w:pPr>
            <w:r w:rsidRPr="00502855">
              <w:rPr>
                <w:rFonts w:eastAsia="Times New Roman"/>
                <w:color w:val="000000"/>
                <w:sz w:val="24"/>
                <w:szCs w:val="24"/>
                <w:lang w:eastAsia="uk-UA"/>
              </w:rPr>
              <w:t>Індекс концентрації новонароджених масою тіла при народженні 500-1499г у ЗПД ІІІ рівня</w:t>
            </w:r>
          </w:p>
        </w:tc>
        <w:tc>
          <w:tcPr>
            <w:tcW w:w="968"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sz w:val="24"/>
                <w:szCs w:val="24"/>
                <w:lang w:eastAsia="ru-RU"/>
              </w:rPr>
            </w:pPr>
            <w:r w:rsidRPr="00502855">
              <w:rPr>
                <w:rFonts w:eastAsia="Times New Roman"/>
                <w:sz w:val="24"/>
                <w:szCs w:val="24"/>
                <w:lang w:eastAsia="ru-RU"/>
              </w:rPr>
              <w:t>80,95</w:t>
            </w:r>
          </w:p>
        </w:tc>
        <w:tc>
          <w:tcPr>
            <w:tcW w:w="969"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color w:val="000000"/>
                <w:sz w:val="24"/>
                <w:szCs w:val="24"/>
                <w:lang w:eastAsia="ru-RU"/>
              </w:rPr>
            </w:pPr>
            <w:r w:rsidRPr="00502855">
              <w:rPr>
                <w:rFonts w:eastAsia="Times New Roman"/>
                <w:color w:val="000000"/>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sz w:val="24"/>
                <w:szCs w:val="24"/>
                <w:lang w:eastAsia="ru-RU"/>
              </w:rPr>
            </w:pPr>
            <w:r w:rsidRPr="00502855">
              <w:rPr>
                <w:rFonts w:eastAsia="Times New Roman"/>
                <w:sz w:val="24"/>
                <w:szCs w:val="24"/>
                <w:lang w:eastAsia="ru-RU"/>
              </w:rPr>
              <w:t>7,00</w:t>
            </w:r>
          </w:p>
        </w:tc>
        <w:tc>
          <w:tcPr>
            <w:tcW w:w="969"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color w:val="000000"/>
                <w:sz w:val="24"/>
                <w:szCs w:val="24"/>
                <w:lang w:eastAsia="ru-RU"/>
              </w:rPr>
            </w:pPr>
            <w:r w:rsidRPr="00502855">
              <w:rPr>
                <w:rFonts w:eastAsia="Times New Roman"/>
                <w:color w:val="000000"/>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sz w:val="24"/>
                <w:szCs w:val="24"/>
                <w:lang w:eastAsia="ru-RU"/>
              </w:rPr>
            </w:pPr>
            <w:r w:rsidRPr="00502855">
              <w:rPr>
                <w:rFonts w:eastAsia="Times New Roman"/>
                <w:sz w:val="24"/>
                <w:szCs w:val="24"/>
                <w:lang w:eastAsia="ru-RU"/>
              </w:rPr>
              <w:t>1,00</w:t>
            </w:r>
          </w:p>
        </w:tc>
        <w:tc>
          <w:tcPr>
            <w:tcW w:w="969"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color w:val="000000"/>
                <w:sz w:val="24"/>
                <w:szCs w:val="24"/>
                <w:lang w:eastAsia="ru-RU"/>
              </w:rPr>
            </w:pPr>
            <w:r w:rsidRPr="00502855">
              <w:rPr>
                <w:rFonts w:eastAsia="Times New Roman"/>
                <w:color w:val="000000"/>
                <w:sz w:val="24"/>
                <w:szCs w:val="24"/>
                <w:lang w:eastAsia="ru-RU"/>
              </w:rPr>
              <w:t>**</w:t>
            </w:r>
          </w:p>
        </w:tc>
      </w:tr>
      <w:tr w:rsidR="00502855" w:rsidRPr="00502855" w:rsidTr="00502855">
        <w:trPr>
          <w:trHeight w:val="288"/>
          <w:jc w:val="center"/>
        </w:trPr>
        <w:tc>
          <w:tcPr>
            <w:tcW w:w="4394" w:type="dxa"/>
            <w:tcBorders>
              <w:top w:val="single" w:sz="4" w:space="0" w:color="auto"/>
              <w:left w:val="single" w:sz="4" w:space="0" w:color="auto"/>
              <w:bottom w:val="single" w:sz="4" w:space="0" w:color="auto"/>
              <w:right w:val="single" w:sz="4" w:space="0" w:color="auto"/>
            </w:tcBorders>
            <w:vAlign w:val="bottom"/>
          </w:tcPr>
          <w:p w:rsidR="00502855" w:rsidRPr="00502855" w:rsidRDefault="00502855" w:rsidP="00502855">
            <w:pPr>
              <w:keepNext/>
              <w:spacing w:line="276" w:lineRule="auto"/>
              <w:jc w:val="left"/>
              <w:rPr>
                <w:rFonts w:eastAsia="Times New Roman"/>
                <w:sz w:val="24"/>
                <w:szCs w:val="24"/>
                <w:lang w:eastAsia="ru-RU"/>
              </w:rPr>
            </w:pPr>
            <w:r w:rsidRPr="00502855">
              <w:rPr>
                <w:rFonts w:eastAsia="Times New Roman"/>
                <w:sz w:val="24"/>
                <w:szCs w:val="24"/>
                <w:lang w:eastAsia="ru-RU"/>
              </w:rPr>
              <w:t>Індекс неонатального трансферу</w:t>
            </w:r>
          </w:p>
        </w:tc>
        <w:tc>
          <w:tcPr>
            <w:tcW w:w="968"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sz w:val="24"/>
                <w:szCs w:val="24"/>
                <w:lang w:eastAsia="ru-RU"/>
              </w:rPr>
            </w:pPr>
            <w:r w:rsidRPr="00502855">
              <w:rPr>
                <w:rFonts w:eastAsia="Times New Roman"/>
                <w:sz w:val="24"/>
                <w:szCs w:val="24"/>
                <w:lang w:eastAsia="ru-RU"/>
              </w:rPr>
              <w:t>7,7</w:t>
            </w:r>
          </w:p>
        </w:tc>
        <w:tc>
          <w:tcPr>
            <w:tcW w:w="969"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color w:val="000000"/>
                <w:sz w:val="24"/>
                <w:szCs w:val="24"/>
                <w:lang w:eastAsia="ru-RU"/>
              </w:rPr>
            </w:pPr>
            <w:r w:rsidRPr="00502855">
              <w:rPr>
                <w:rFonts w:eastAsia="Times New Roman"/>
                <w:color w:val="000000"/>
                <w:sz w:val="24"/>
                <w:szCs w:val="24"/>
                <w:lang w:eastAsia="ru-RU"/>
              </w:rPr>
              <w:t>9,10</w:t>
            </w:r>
          </w:p>
        </w:tc>
        <w:tc>
          <w:tcPr>
            <w:tcW w:w="968"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sz w:val="24"/>
                <w:szCs w:val="24"/>
                <w:lang w:eastAsia="ru-RU"/>
              </w:rPr>
            </w:pPr>
            <w:r w:rsidRPr="00502855">
              <w:rPr>
                <w:rFonts w:eastAsia="Times New Roman"/>
                <w:sz w:val="24"/>
                <w:szCs w:val="24"/>
                <w:lang w:eastAsia="ru-RU"/>
              </w:rPr>
              <w:t>0,52</w:t>
            </w:r>
          </w:p>
        </w:tc>
        <w:tc>
          <w:tcPr>
            <w:tcW w:w="969"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color w:val="000000"/>
                <w:sz w:val="24"/>
                <w:szCs w:val="24"/>
                <w:lang w:eastAsia="ru-RU"/>
              </w:rPr>
            </w:pPr>
            <w:r w:rsidRPr="00502855">
              <w:rPr>
                <w:rFonts w:eastAsia="Times New Roman"/>
                <w:color w:val="000000"/>
                <w:sz w:val="24"/>
                <w:szCs w:val="24"/>
                <w:lang w:eastAsia="ru-RU"/>
              </w:rPr>
              <w:t>1,26</w:t>
            </w:r>
          </w:p>
        </w:tc>
        <w:tc>
          <w:tcPr>
            <w:tcW w:w="968"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sz w:val="24"/>
                <w:szCs w:val="24"/>
                <w:lang w:eastAsia="ru-RU"/>
              </w:rPr>
            </w:pPr>
            <w:r w:rsidRPr="00502855">
              <w:rPr>
                <w:rFonts w:eastAsia="Times New Roman"/>
                <w:sz w:val="24"/>
                <w:szCs w:val="24"/>
                <w:lang w:eastAsia="ru-RU"/>
              </w:rPr>
              <w:t>0,07</w:t>
            </w:r>
          </w:p>
        </w:tc>
        <w:tc>
          <w:tcPr>
            <w:tcW w:w="969"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color w:val="000000"/>
                <w:sz w:val="24"/>
                <w:szCs w:val="24"/>
                <w:lang w:eastAsia="ru-RU"/>
              </w:rPr>
            </w:pPr>
            <w:r w:rsidRPr="00502855">
              <w:rPr>
                <w:rFonts w:eastAsia="Times New Roman"/>
                <w:color w:val="000000"/>
                <w:sz w:val="24"/>
                <w:szCs w:val="24"/>
                <w:lang w:eastAsia="ru-RU"/>
              </w:rPr>
              <w:t>0,18</w:t>
            </w:r>
          </w:p>
        </w:tc>
      </w:tr>
      <w:tr w:rsidR="00502855" w:rsidRPr="00502855" w:rsidTr="00502855">
        <w:trPr>
          <w:trHeight w:val="384"/>
          <w:jc w:val="center"/>
        </w:trPr>
        <w:tc>
          <w:tcPr>
            <w:tcW w:w="4394"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left"/>
              <w:rPr>
                <w:rFonts w:eastAsia="Times New Roman"/>
                <w:sz w:val="24"/>
                <w:szCs w:val="24"/>
                <w:lang w:eastAsia="ru-RU"/>
              </w:rPr>
            </w:pPr>
            <w:r w:rsidRPr="00502855">
              <w:rPr>
                <w:rFonts w:eastAsia="Times New Roman"/>
                <w:sz w:val="24"/>
                <w:szCs w:val="24"/>
                <w:lang w:eastAsia="ru-RU"/>
              </w:rPr>
              <w:t>Частота нормальних пологів</w:t>
            </w:r>
          </w:p>
        </w:tc>
        <w:tc>
          <w:tcPr>
            <w:tcW w:w="968"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sz w:val="24"/>
                <w:szCs w:val="24"/>
                <w:lang w:eastAsia="ru-RU"/>
              </w:rPr>
            </w:pPr>
            <w:r w:rsidRPr="00502855">
              <w:rPr>
                <w:rFonts w:eastAsia="Times New Roman"/>
                <w:sz w:val="24"/>
                <w:szCs w:val="24"/>
                <w:lang w:eastAsia="ru-RU"/>
              </w:rPr>
              <w:t>64,1</w:t>
            </w:r>
          </w:p>
        </w:tc>
        <w:tc>
          <w:tcPr>
            <w:tcW w:w="969"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color w:val="000000"/>
                <w:sz w:val="24"/>
                <w:szCs w:val="24"/>
                <w:lang w:eastAsia="ru-RU"/>
              </w:rPr>
            </w:pPr>
            <w:r w:rsidRPr="00502855">
              <w:rPr>
                <w:rFonts w:eastAsia="Times New Roman"/>
                <w:color w:val="000000"/>
                <w:sz w:val="24"/>
                <w:szCs w:val="24"/>
                <w:lang w:eastAsia="ru-RU"/>
              </w:rPr>
              <w:t>64,28</w:t>
            </w:r>
          </w:p>
        </w:tc>
        <w:tc>
          <w:tcPr>
            <w:tcW w:w="968"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sz w:val="24"/>
                <w:szCs w:val="24"/>
                <w:lang w:eastAsia="ru-RU"/>
              </w:rPr>
            </w:pPr>
            <w:r w:rsidRPr="00502855">
              <w:rPr>
                <w:rFonts w:eastAsia="Times New Roman"/>
                <w:sz w:val="24"/>
                <w:szCs w:val="24"/>
                <w:lang w:eastAsia="ru-RU"/>
              </w:rPr>
              <w:t>4,58</w:t>
            </w:r>
          </w:p>
        </w:tc>
        <w:tc>
          <w:tcPr>
            <w:tcW w:w="969"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color w:val="000000"/>
                <w:sz w:val="24"/>
                <w:szCs w:val="24"/>
                <w:lang w:eastAsia="ru-RU"/>
              </w:rPr>
            </w:pPr>
            <w:r w:rsidRPr="00502855">
              <w:rPr>
                <w:rFonts w:eastAsia="Times New Roman"/>
                <w:color w:val="000000"/>
                <w:sz w:val="24"/>
                <w:szCs w:val="24"/>
                <w:lang w:eastAsia="ru-RU"/>
              </w:rPr>
              <w:t>4,81</w:t>
            </w:r>
          </w:p>
        </w:tc>
        <w:tc>
          <w:tcPr>
            <w:tcW w:w="968"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sz w:val="24"/>
                <w:szCs w:val="24"/>
                <w:lang w:eastAsia="ru-RU"/>
              </w:rPr>
            </w:pPr>
            <w:r w:rsidRPr="00502855">
              <w:rPr>
                <w:rFonts w:eastAsia="Times New Roman"/>
                <w:sz w:val="24"/>
                <w:szCs w:val="24"/>
                <w:lang w:eastAsia="ru-RU"/>
              </w:rPr>
              <w:t>0,92</w:t>
            </w:r>
          </w:p>
        </w:tc>
        <w:tc>
          <w:tcPr>
            <w:tcW w:w="969"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color w:val="000000"/>
                <w:sz w:val="24"/>
                <w:szCs w:val="24"/>
                <w:lang w:eastAsia="ru-RU"/>
              </w:rPr>
            </w:pPr>
            <w:r w:rsidRPr="00502855">
              <w:rPr>
                <w:rFonts w:eastAsia="Times New Roman"/>
                <w:color w:val="000000"/>
                <w:sz w:val="24"/>
                <w:szCs w:val="24"/>
                <w:lang w:eastAsia="ru-RU"/>
              </w:rPr>
              <w:t>0,96</w:t>
            </w:r>
          </w:p>
        </w:tc>
      </w:tr>
    </w:tbl>
    <w:p w:rsidR="00502855" w:rsidRPr="00EC0FF2" w:rsidRDefault="00EC0FF2">
      <w:pPr>
        <w:rPr>
          <w:i/>
          <w:sz w:val="24"/>
          <w:szCs w:val="24"/>
        </w:rPr>
      </w:pPr>
      <w:r w:rsidRPr="00DD51BC">
        <w:rPr>
          <w:i/>
          <w:sz w:val="24"/>
          <w:szCs w:val="24"/>
        </w:rPr>
        <w:t>Для таблиць : * – показник не оцінювався</w:t>
      </w:r>
      <w:r w:rsidRPr="00DD51BC">
        <w:rPr>
          <w:i/>
          <w:sz w:val="24"/>
          <w:szCs w:val="24"/>
          <w:lang w:val="ru-RU"/>
        </w:rPr>
        <w:t xml:space="preserve">  </w:t>
      </w:r>
      <w:r w:rsidRPr="00DD51BC">
        <w:rPr>
          <w:i/>
          <w:sz w:val="24"/>
          <w:szCs w:val="24"/>
        </w:rPr>
        <w:t>** – немає даних</w:t>
      </w:r>
    </w:p>
    <w:tbl>
      <w:tblPr>
        <w:tblpPr w:leftFromText="180" w:rightFromText="180" w:vertAnchor="text" w:horzAnchor="margin" w:tblpY="954"/>
        <w:tblW w:w="10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394"/>
        <w:gridCol w:w="968"/>
        <w:gridCol w:w="969"/>
        <w:gridCol w:w="968"/>
        <w:gridCol w:w="969"/>
        <w:gridCol w:w="968"/>
        <w:gridCol w:w="969"/>
      </w:tblGrid>
      <w:tr w:rsidR="00502855" w:rsidRPr="00502855" w:rsidTr="00502855">
        <w:trPr>
          <w:trHeight w:val="553"/>
        </w:trPr>
        <w:tc>
          <w:tcPr>
            <w:tcW w:w="4394" w:type="dxa"/>
            <w:tcBorders>
              <w:top w:val="single" w:sz="4" w:space="0" w:color="auto"/>
              <w:left w:val="single" w:sz="4" w:space="0" w:color="auto"/>
              <w:bottom w:val="single" w:sz="4" w:space="0" w:color="auto"/>
              <w:right w:val="single" w:sz="4" w:space="0" w:color="auto"/>
            </w:tcBorders>
            <w:vAlign w:val="bottom"/>
          </w:tcPr>
          <w:p w:rsidR="00502855" w:rsidRPr="00502855" w:rsidRDefault="00502855" w:rsidP="00502855">
            <w:pPr>
              <w:keepNext/>
              <w:spacing w:line="276" w:lineRule="auto"/>
              <w:jc w:val="left"/>
              <w:rPr>
                <w:rFonts w:eastAsia="Times New Roman"/>
                <w:sz w:val="24"/>
                <w:szCs w:val="24"/>
                <w:lang w:eastAsia="ru-RU"/>
              </w:rPr>
            </w:pPr>
            <w:r w:rsidRPr="00502855">
              <w:rPr>
                <w:rFonts w:eastAsia="Times New Roman"/>
                <w:sz w:val="24"/>
                <w:szCs w:val="24"/>
                <w:lang w:eastAsia="ru-RU"/>
              </w:rPr>
              <w:lastRenderedPageBreak/>
              <w:t>Частота розроджень вагітних шляхом кесаревого розтину</w:t>
            </w:r>
          </w:p>
        </w:tc>
        <w:tc>
          <w:tcPr>
            <w:tcW w:w="968"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sz w:val="24"/>
                <w:szCs w:val="24"/>
                <w:lang w:eastAsia="ru-RU"/>
              </w:rPr>
            </w:pPr>
            <w:r w:rsidRPr="00502855">
              <w:rPr>
                <w:rFonts w:eastAsia="Times New Roman"/>
                <w:sz w:val="24"/>
                <w:szCs w:val="24"/>
                <w:lang w:eastAsia="ru-RU"/>
              </w:rPr>
              <w:t>208,72</w:t>
            </w:r>
          </w:p>
        </w:tc>
        <w:tc>
          <w:tcPr>
            <w:tcW w:w="969"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color w:val="000000"/>
                <w:sz w:val="24"/>
                <w:szCs w:val="24"/>
                <w:lang w:eastAsia="ru-RU"/>
              </w:rPr>
            </w:pPr>
            <w:r w:rsidRPr="00502855">
              <w:rPr>
                <w:rFonts w:eastAsia="Times New Roman"/>
                <w:color w:val="000000"/>
                <w:sz w:val="24"/>
                <w:szCs w:val="24"/>
                <w:lang w:eastAsia="ru-RU"/>
              </w:rPr>
              <w:t>245,83</w:t>
            </w:r>
          </w:p>
        </w:tc>
        <w:tc>
          <w:tcPr>
            <w:tcW w:w="968"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sz w:val="24"/>
                <w:szCs w:val="24"/>
                <w:lang w:eastAsia="ru-RU"/>
              </w:rPr>
            </w:pPr>
            <w:r w:rsidRPr="00502855">
              <w:rPr>
                <w:rFonts w:eastAsia="Times New Roman"/>
                <w:sz w:val="24"/>
                <w:szCs w:val="24"/>
                <w:lang w:eastAsia="ru-RU"/>
              </w:rPr>
              <w:t>4,87</w:t>
            </w:r>
          </w:p>
        </w:tc>
        <w:tc>
          <w:tcPr>
            <w:tcW w:w="969"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color w:val="000000"/>
                <w:sz w:val="24"/>
                <w:szCs w:val="24"/>
                <w:lang w:eastAsia="ru-RU"/>
              </w:rPr>
            </w:pPr>
            <w:r w:rsidRPr="00502855">
              <w:rPr>
                <w:rFonts w:eastAsia="Times New Roman"/>
                <w:color w:val="000000"/>
                <w:sz w:val="24"/>
                <w:szCs w:val="24"/>
                <w:lang w:eastAsia="ru-RU"/>
              </w:rPr>
              <w:t>4,37</w:t>
            </w:r>
          </w:p>
        </w:tc>
        <w:tc>
          <w:tcPr>
            <w:tcW w:w="968"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sz w:val="24"/>
                <w:szCs w:val="24"/>
                <w:lang w:eastAsia="ru-RU"/>
              </w:rPr>
            </w:pPr>
            <w:r w:rsidRPr="00502855">
              <w:rPr>
                <w:rFonts w:eastAsia="Times New Roman"/>
                <w:sz w:val="24"/>
                <w:szCs w:val="24"/>
                <w:lang w:eastAsia="ru-RU"/>
              </w:rPr>
              <w:t>0,70</w:t>
            </w:r>
          </w:p>
        </w:tc>
        <w:tc>
          <w:tcPr>
            <w:tcW w:w="969"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color w:val="000000"/>
                <w:sz w:val="24"/>
                <w:szCs w:val="24"/>
                <w:lang w:eastAsia="ru-RU"/>
              </w:rPr>
            </w:pPr>
            <w:r w:rsidRPr="00502855">
              <w:rPr>
                <w:rFonts w:eastAsia="Times New Roman"/>
                <w:color w:val="000000"/>
                <w:sz w:val="24"/>
                <w:szCs w:val="24"/>
                <w:lang w:eastAsia="ru-RU"/>
              </w:rPr>
              <w:t>0,62</w:t>
            </w:r>
          </w:p>
        </w:tc>
      </w:tr>
      <w:tr w:rsidR="00502855" w:rsidRPr="00502855" w:rsidTr="00502855">
        <w:trPr>
          <w:trHeight w:val="276"/>
        </w:trPr>
        <w:tc>
          <w:tcPr>
            <w:tcW w:w="4394" w:type="dxa"/>
            <w:tcBorders>
              <w:top w:val="single" w:sz="4" w:space="0" w:color="auto"/>
              <w:left w:val="single" w:sz="4" w:space="0" w:color="auto"/>
              <w:bottom w:val="single" w:sz="4" w:space="0" w:color="auto"/>
              <w:right w:val="single" w:sz="4" w:space="0" w:color="auto"/>
            </w:tcBorders>
            <w:vAlign w:val="bottom"/>
          </w:tcPr>
          <w:p w:rsidR="00502855" w:rsidRPr="00502855" w:rsidRDefault="00502855" w:rsidP="00502855">
            <w:pPr>
              <w:keepNext/>
              <w:spacing w:line="276" w:lineRule="auto"/>
              <w:jc w:val="left"/>
              <w:rPr>
                <w:rFonts w:eastAsia="Times New Roman"/>
                <w:sz w:val="24"/>
                <w:szCs w:val="24"/>
                <w:lang w:eastAsia="ru-RU"/>
              </w:rPr>
            </w:pPr>
            <w:r w:rsidRPr="00502855">
              <w:rPr>
                <w:rFonts w:eastAsia="Times New Roman"/>
                <w:sz w:val="24"/>
                <w:szCs w:val="24"/>
                <w:lang w:eastAsia="ru-RU"/>
              </w:rPr>
              <w:t>Частота  кровотеч в послідовому і післяродовому періодах</w:t>
            </w:r>
          </w:p>
        </w:tc>
        <w:tc>
          <w:tcPr>
            <w:tcW w:w="968"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sz w:val="24"/>
                <w:szCs w:val="24"/>
                <w:lang w:eastAsia="ru-RU"/>
              </w:rPr>
            </w:pPr>
            <w:r w:rsidRPr="00502855">
              <w:rPr>
                <w:rFonts w:eastAsia="Times New Roman"/>
                <w:sz w:val="24"/>
                <w:szCs w:val="24"/>
                <w:lang w:eastAsia="ru-RU"/>
              </w:rPr>
              <w:t>5,97</w:t>
            </w:r>
          </w:p>
        </w:tc>
        <w:tc>
          <w:tcPr>
            <w:tcW w:w="969"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color w:val="000000"/>
                <w:sz w:val="24"/>
                <w:szCs w:val="24"/>
                <w:lang w:eastAsia="ru-RU"/>
              </w:rPr>
            </w:pPr>
            <w:r w:rsidRPr="00502855">
              <w:rPr>
                <w:rFonts w:eastAsia="Times New Roman"/>
                <w:color w:val="000000"/>
                <w:sz w:val="24"/>
                <w:szCs w:val="24"/>
                <w:lang w:eastAsia="ru-RU"/>
              </w:rPr>
              <w:t>7,68</w:t>
            </w:r>
          </w:p>
        </w:tc>
        <w:tc>
          <w:tcPr>
            <w:tcW w:w="968"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sz w:val="24"/>
                <w:szCs w:val="24"/>
                <w:lang w:eastAsia="ru-RU"/>
              </w:rPr>
            </w:pPr>
            <w:r w:rsidRPr="00502855">
              <w:rPr>
                <w:rFonts w:eastAsia="Times New Roman"/>
                <w:sz w:val="24"/>
                <w:szCs w:val="24"/>
                <w:lang w:eastAsia="ru-RU"/>
              </w:rPr>
              <w:t>7,25</w:t>
            </w:r>
          </w:p>
        </w:tc>
        <w:tc>
          <w:tcPr>
            <w:tcW w:w="969"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color w:val="000000"/>
                <w:sz w:val="24"/>
                <w:szCs w:val="24"/>
                <w:lang w:eastAsia="ru-RU"/>
              </w:rPr>
            </w:pPr>
            <w:r w:rsidRPr="00502855">
              <w:rPr>
                <w:rFonts w:eastAsia="Times New Roman"/>
                <w:color w:val="000000"/>
                <w:sz w:val="24"/>
                <w:szCs w:val="24"/>
                <w:lang w:eastAsia="ru-RU"/>
              </w:rPr>
              <w:t>6,48</w:t>
            </w:r>
          </w:p>
        </w:tc>
        <w:tc>
          <w:tcPr>
            <w:tcW w:w="968"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sz w:val="24"/>
                <w:szCs w:val="24"/>
                <w:lang w:eastAsia="ru-RU"/>
              </w:rPr>
            </w:pPr>
            <w:r w:rsidRPr="00502855">
              <w:rPr>
                <w:rFonts w:eastAsia="Times New Roman"/>
                <w:sz w:val="24"/>
                <w:szCs w:val="24"/>
                <w:lang w:eastAsia="ru-RU"/>
              </w:rPr>
              <w:t>0,81</w:t>
            </w:r>
          </w:p>
        </w:tc>
        <w:tc>
          <w:tcPr>
            <w:tcW w:w="969"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color w:val="000000"/>
                <w:sz w:val="24"/>
                <w:szCs w:val="24"/>
                <w:lang w:eastAsia="ru-RU"/>
              </w:rPr>
            </w:pPr>
            <w:r w:rsidRPr="00502855">
              <w:rPr>
                <w:rFonts w:eastAsia="Times New Roman"/>
                <w:color w:val="000000"/>
                <w:sz w:val="24"/>
                <w:szCs w:val="24"/>
                <w:lang w:eastAsia="ru-RU"/>
              </w:rPr>
              <w:t>0,72</w:t>
            </w:r>
          </w:p>
        </w:tc>
      </w:tr>
      <w:tr w:rsidR="00502855" w:rsidRPr="00502855" w:rsidTr="00502855">
        <w:trPr>
          <w:trHeight w:val="293"/>
        </w:trPr>
        <w:tc>
          <w:tcPr>
            <w:tcW w:w="4394" w:type="dxa"/>
            <w:tcBorders>
              <w:top w:val="single" w:sz="4" w:space="0" w:color="auto"/>
              <w:left w:val="single" w:sz="4" w:space="0" w:color="auto"/>
              <w:bottom w:val="single" w:sz="4" w:space="0" w:color="auto"/>
              <w:right w:val="single" w:sz="4" w:space="0" w:color="auto"/>
            </w:tcBorders>
            <w:vAlign w:val="bottom"/>
          </w:tcPr>
          <w:p w:rsidR="00502855" w:rsidRPr="00502855" w:rsidRDefault="00502855" w:rsidP="00502855">
            <w:pPr>
              <w:keepNext/>
              <w:spacing w:line="276" w:lineRule="auto"/>
              <w:jc w:val="left"/>
              <w:rPr>
                <w:rFonts w:eastAsia="Times New Roman"/>
                <w:sz w:val="24"/>
                <w:szCs w:val="24"/>
                <w:lang w:eastAsia="ru-RU"/>
              </w:rPr>
            </w:pPr>
            <w:r w:rsidRPr="00502855">
              <w:rPr>
                <w:rFonts w:eastAsia="Times New Roman"/>
                <w:sz w:val="24"/>
                <w:szCs w:val="24"/>
                <w:lang w:eastAsia="ru-RU"/>
              </w:rPr>
              <w:t>Частота мало вагових новонароджених</w:t>
            </w:r>
          </w:p>
        </w:tc>
        <w:tc>
          <w:tcPr>
            <w:tcW w:w="968"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sz w:val="24"/>
                <w:szCs w:val="24"/>
                <w:lang w:eastAsia="ru-RU"/>
              </w:rPr>
            </w:pPr>
            <w:r w:rsidRPr="00502855">
              <w:rPr>
                <w:rFonts w:eastAsia="Times New Roman"/>
                <w:sz w:val="24"/>
                <w:szCs w:val="24"/>
                <w:lang w:eastAsia="ru-RU"/>
              </w:rPr>
              <w:t>5,11</w:t>
            </w:r>
          </w:p>
        </w:tc>
        <w:tc>
          <w:tcPr>
            <w:tcW w:w="969"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color w:val="000000"/>
                <w:sz w:val="24"/>
                <w:szCs w:val="24"/>
                <w:lang w:eastAsia="ru-RU"/>
              </w:rPr>
            </w:pPr>
            <w:r w:rsidRPr="00502855">
              <w:rPr>
                <w:rFonts w:eastAsia="Times New Roman"/>
                <w:color w:val="000000"/>
                <w:sz w:val="24"/>
                <w:szCs w:val="24"/>
                <w:lang w:eastAsia="ru-RU"/>
              </w:rPr>
              <w:t>4,84</w:t>
            </w:r>
          </w:p>
        </w:tc>
        <w:tc>
          <w:tcPr>
            <w:tcW w:w="968"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sz w:val="24"/>
                <w:szCs w:val="24"/>
                <w:lang w:eastAsia="ru-RU"/>
              </w:rPr>
            </w:pPr>
            <w:r w:rsidRPr="00502855">
              <w:rPr>
                <w:rFonts w:eastAsia="Times New Roman"/>
                <w:sz w:val="24"/>
                <w:szCs w:val="24"/>
                <w:lang w:eastAsia="ru-RU"/>
              </w:rPr>
              <w:t>3,61</w:t>
            </w:r>
          </w:p>
        </w:tc>
        <w:tc>
          <w:tcPr>
            <w:tcW w:w="969"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color w:val="000000"/>
                <w:sz w:val="24"/>
                <w:szCs w:val="24"/>
                <w:lang w:eastAsia="ru-RU"/>
              </w:rPr>
            </w:pPr>
            <w:r w:rsidRPr="00502855">
              <w:rPr>
                <w:rFonts w:eastAsia="Times New Roman"/>
                <w:color w:val="000000"/>
                <w:sz w:val="24"/>
                <w:szCs w:val="24"/>
                <w:lang w:eastAsia="ru-RU"/>
              </w:rPr>
              <w:t>4,16</w:t>
            </w:r>
          </w:p>
        </w:tc>
        <w:tc>
          <w:tcPr>
            <w:tcW w:w="968"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sz w:val="24"/>
                <w:szCs w:val="24"/>
                <w:lang w:eastAsia="ru-RU"/>
              </w:rPr>
            </w:pPr>
            <w:r w:rsidRPr="00502855">
              <w:rPr>
                <w:rFonts w:eastAsia="Times New Roman"/>
                <w:sz w:val="24"/>
                <w:szCs w:val="24"/>
                <w:lang w:eastAsia="ru-RU"/>
              </w:rPr>
              <w:t>0,72</w:t>
            </w:r>
          </w:p>
        </w:tc>
        <w:tc>
          <w:tcPr>
            <w:tcW w:w="969"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color w:val="000000"/>
                <w:sz w:val="24"/>
                <w:szCs w:val="24"/>
                <w:lang w:eastAsia="ru-RU"/>
              </w:rPr>
            </w:pPr>
            <w:r w:rsidRPr="00502855">
              <w:rPr>
                <w:rFonts w:eastAsia="Times New Roman"/>
                <w:color w:val="000000"/>
                <w:sz w:val="24"/>
                <w:szCs w:val="24"/>
                <w:lang w:eastAsia="ru-RU"/>
              </w:rPr>
              <w:t>0,83</w:t>
            </w:r>
          </w:p>
        </w:tc>
      </w:tr>
      <w:tr w:rsidR="00502855" w:rsidRPr="00502855" w:rsidTr="00502855">
        <w:trPr>
          <w:trHeight w:val="344"/>
        </w:trPr>
        <w:tc>
          <w:tcPr>
            <w:tcW w:w="4394" w:type="dxa"/>
            <w:tcBorders>
              <w:top w:val="single" w:sz="4" w:space="0" w:color="auto"/>
              <w:left w:val="single" w:sz="4" w:space="0" w:color="auto"/>
              <w:bottom w:val="single" w:sz="4" w:space="0" w:color="auto"/>
              <w:right w:val="single" w:sz="4" w:space="0" w:color="auto"/>
            </w:tcBorders>
            <w:vAlign w:val="bottom"/>
          </w:tcPr>
          <w:p w:rsidR="00502855" w:rsidRPr="00502855" w:rsidRDefault="00502855" w:rsidP="00502855">
            <w:pPr>
              <w:keepNext/>
              <w:spacing w:line="276" w:lineRule="auto"/>
              <w:jc w:val="left"/>
              <w:rPr>
                <w:rFonts w:eastAsia="Times New Roman"/>
                <w:sz w:val="24"/>
                <w:szCs w:val="24"/>
                <w:lang w:eastAsia="ru-RU"/>
              </w:rPr>
            </w:pPr>
            <w:r w:rsidRPr="00502855">
              <w:rPr>
                <w:rFonts w:eastAsia="Times New Roman"/>
                <w:sz w:val="24"/>
                <w:szCs w:val="24"/>
                <w:lang w:eastAsia="ru-RU"/>
              </w:rPr>
              <w:t>Виживання новонароджених з дуже малою масою тіла при народженні</w:t>
            </w:r>
          </w:p>
        </w:tc>
        <w:tc>
          <w:tcPr>
            <w:tcW w:w="968"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sz w:val="24"/>
                <w:szCs w:val="24"/>
                <w:lang w:eastAsia="ru-RU"/>
              </w:rPr>
            </w:pPr>
            <w:r w:rsidRPr="00502855">
              <w:rPr>
                <w:rFonts w:eastAsia="Times New Roman"/>
                <w:sz w:val="24"/>
                <w:szCs w:val="24"/>
                <w:lang w:eastAsia="ru-RU"/>
              </w:rPr>
              <w:t>84,13</w:t>
            </w:r>
          </w:p>
        </w:tc>
        <w:tc>
          <w:tcPr>
            <w:tcW w:w="969"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color w:val="000000"/>
                <w:sz w:val="24"/>
                <w:szCs w:val="24"/>
                <w:lang w:eastAsia="ru-RU"/>
              </w:rPr>
            </w:pPr>
            <w:r w:rsidRPr="00502855">
              <w:rPr>
                <w:rFonts w:eastAsia="Times New Roman"/>
                <w:color w:val="000000"/>
                <w:sz w:val="24"/>
                <w:szCs w:val="24"/>
                <w:lang w:eastAsia="ru-RU"/>
              </w:rPr>
              <w:t>85,94</w:t>
            </w:r>
          </w:p>
        </w:tc>
        <w:tc>
          <w:tcPr>
            <w:tcW w:w="968"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sz w:val="24"/>
                <w:szCs w:val="24"/>
                <w:lang w:eastAsia="ru-RU"/>
              </w:rPr>
            </w:pPr>
            <w:r w:rsidRPr="00502855">
              <w:rPr>
                <w:rFonts w:eastAsia="Times New Roman"/>
                <w:sz w:val="24"/>
                <w:szCs w:val="24"/>
                <w:lang w:eastAsia="ru-RU"/>
              </w:rPr>
              <w:t>7,48</w:t>
            </w:r>
          </w:p>
        </w:tc>
        <w:tc>
          <w:tcPr>
            <w:tcW w:w="969"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color w:val="000000"/>
                <w:sz w:val="24"/>
                <w:szCs w:val="24"/>
                <w:lang w:eastAsia="ru-RU"/>
              </w:rPr>
            </w:pPr>
            <w:r w:rsidRPr="00502855">
              <w:rPr>
                <w:rFonts w:eastAsia="Times New Roman"/>
                <w:color w:val="000000"/>
                <w:sz w:val="24"/>
                <w:szCs w:val="24"/>
                <w:lang w:eastAsia="ru-RU"/>
              </w:rPr>
              <w:t>8,0</w:t>
            </w:r>
          </w:p>
        </w:tc>
        <w:tc>
          <w:tcPr>
            <w:tcW w:w="968"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sz w:val="24"/>
                <w:szCs w:val="24"/>
                <w:lang w:eastAsia="ru-RU"/>
              </w:rPr>
            </w:pPr>
            <w:r w:rsidRPr="00502855">
              <w:rPr>
                <w:rFonts w:eastAsia="Times New Roman"/>
                <w:sz w:val="24"/>
                <w:szCs w:val="24"/>
                <w:lang w:eastAsia="ru-RU"/>
              </w:rPr>
              <w:t>0,93</w:t>
            </w:r>
          </w:p>
        </w:tc>
        <w:tc>
          <w:tcPr>
            <w:tcW w:w="969"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color w:val="000000"/>
                <w:sz w:val="24"/>
                <w:szCs w:val="24"/>
                <w:lang w:eastAsia="ru-RU"/>
              </w:rPr>
            </w:pPr>
            <w:r w:rsidRPr="00502855">
              <w:rPr>
                <w:rFonts w:eastAsia="Times New Roman"/>
                <w:color w:val="000000"/>
                <w:sz w:val="24"/>
                <w:szCs w:val="24"/>
                <w:lang w:eastAsia="ru-RU"/>
              </w:rPr>
              <w:t>1,00</w:t>
            </w:r>
          </w:p>
        </w:tc>
      </w:tr>
      <w:tr w:rsidR="00502855" w:rsidRPr="00502855" w:rsidTr="00502855">
        <w:trPr>
          <w:trHeight w:val="226"/>
        </w:trPr>
        <w:tc>
          <w:tcPr>
            <w:tcW w:w="4394" w:type="dxa"/>
            <w:tcBorders>
              <w:top w:val="single" w:sz="4" w:space="0" w:color="auto"/>
              <w:left w:val="single" w:sz="4" w:space="0" w:color="auto"/>
              <w:bottom w:val="single" w:sz="4" w:space="0" w:color="auto"/>
              <w:right w:val="single" w:sz="4" w:space="0" w:color="auto"/>
            </w:tcBorders>
            <w:vAlign w:val="bottom"/>
          </w:tcPr>
          <w:p w:rsidR="00502855" w:rsidRPr="00502855" w:rsidRDefault="00502855" w:rsidP="00502855">
            <w:pPr>
              <w:keepNext/>
              <w:spacing w:line="276" w:lineRule="auto"/>
              <w:jc w:val="left"/>
              <w:rPr>
                <w:rFonts w:eastAsia="Times New Roman"/>
                <w:sz w:val="24"/>
                <w:szCs w:val="24"/>
                <w:lang w:eastAsia="ru-RU"/>
              </w:rPr>
            </w:pPr>
            <w:r w:rsidRPr="00502855">
              <w:rPr>
                <w:rFonts w:eastAsia="Times New Roman"/>
                <w:sz w:val="24"/>
                <w:szCs w:val="24"/>
                <w:lang w:eastAsia="ru-RU"/>
              </w:rPr>
              <w:t>Індекс здоров’я новонароджених</w:t>
            </w:r>
          </w:p>
        </w:tc>
        <w:tc>
          <w:tcPr>
            <w:tcW w:w="968"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sz w:val="24"/>
                <w:szCs w:val="24"/>
                <w:lang w:eastAsia="ru-RU"/>
              </w:rPr>
            </w:pPr>
            <w:r w:rsidRPr="00502855">
              <w:rPr>
                <w:rFonts w:eastAsia="Times New Roman"/>
                <w:sz w:val="24"/>
                <w:szCs w:val="24"/>
                <w:lang w:eastAsia="ru-RU"/>
              </w:rPr>
              <w:t>81,8</w:t>
            </w:r>
          </w:p>
        </w:tc>
        <w:tc>
          <w:tcPr>
            <w:tcW w:w="969"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color w:val="000000"/>
                <w:sz w:val="24"/>
                <w:szCs w:val="24"/>
                <w:lang w:eastAsia="ru-RU"/>
              </w:rPr>
            </w:pPr>
            <w:r w:rsidRPr="00502855">
              <w:rPr>
                <w:rFonts w:eastAsia="Times New Roman"/>
                <w:color w:val="000000"/>
                <w:sz w:val="24"/>
                <w:szCs w:val="24"/>
                <w:lang w:eastAsia="ru-RU"/>
              </w:rPr>
              <w:t>80,44</w:t>
            </w:r>
          </w:p>
        </w:tc>
        <w:tc>
          <w:tcPr>
            <w:tcW w:w="968"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sz w:val="24"/>
                <w:szCs w:val="24"/>
                <w:lang w:eastAsia="ru-RU"/>
              </w:rPr>
            </w:pPr>
            <w:r w:rsidRPr="00502855">
              <w:rPr>
                <w:rFonts w:eastAsia="Times New Roman"/>
                <w:sz w:val="24"/>
                <w:szCs w:val="24"/>
                <w:lang w:eastAsia="ru-RU"/>
              </w:rPr>
              <w:t>5,45</w:t>
            </w:r>
          </w:p>
        </w:tc>
        <w:tc>
          <w:tcPr>
            <w:tcW w:w="969"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color w:val="000000"/>
                <w:sz w:val="24"/>
                <w:szCs w:val="24"/>
                <w:lang w:eastAsia="ru-RU"/>
              </w:rPr>
            </w:pPr>
            <w:r w:rsidRPr="00502855">
              <w:rPr>
                <w:rFonts w:eastAsia="Times New Roman"/>
                <w:color w:val="000000"/>
                <w:sz w:val="24"/>
                <w:szCs w:val="24"/>
                <w:lang w:eastAsia="ru-RU"/>
              </w:rPr>
              <w:t>5,68</w:t>
            </w:r>
          </w:p>
        </w:tc>
        <w:tc>
          <w:tcPr>
            <w:tcW w:w="968"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sz w:val="24"/>
                <w:szCs w:val="24"/>
                <w:lang w:eastAsia="ru-RU"/>
              </w:rPr>
            </w:pPr>
            <w:r w:rsidRPr="00502855">
              <w:rPr>
                <w:rFonts w:eastAsia="Times New Roman"/>
                <w:sz w:val="24"/>
                <w:szCs w:val="24"/>
                <w:lang w:eastAsia="ru-RU"/>
              </w:rPr>
              <w:t>0,91</w:t>
            </w:r>
          </w:p>
        </w:tc>
        <w:tc>
          <w:tcPr>
            <w:tcW w:w="969"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color w:val="000000"/>
                <w:sz w:val="24"/>
                <w:szCs w:val="24"/>
                <w:lang w:eastAsia="ru-RU"/>
              </w:rPr>
            </w:pPr>
            <w:r w:rsidRPr="00502855">
              <w:rPr>
                <w:rFonts w:eastAsia="Times New Roman"/>
                <w:color w:val="000000"/>
                <w:sz w:val="24"/>
                <w:szCs w:val="24"/>
                <w:lang w:eastAsia="ru-RU"/>
              </w:rPr>
              <w:t>0,95</w:t>
            </w:r>
          </w:p>
        </w:tc>
      </w:tr>
      <w:tr w:rsidR="00502855" w:rsidRPr="00502855" w:rsidTr="00502855">
        <w:trPr>
          <w:trHeight w:val="244"/>
        </w:trPr>
        <w:tc>
          <w:tcPr>
            <w:tcW w:w="4394" w:type="dxa"/>
            <w:tcBorders>
              <w:top w:val="single" w:sz="4" w:space="0" w:color="auto"/>
              <w:left w:val="single" w:sz="4" w:space="0" w:color="auto"/>
              <w:bottom w:val="single" w:sz="4" w:space="0" w:color="auto"/>
              <w:right w:val="single" w:sz="4" w:space="0" w:color="auto"/>
            </w:tcBorders>
            <w:vAlign w:val="bottom"/>
          </w:tcPr>
          <w:p w:rsidR="00502855" w:rsidRPr="00502855" w:rsidRDefault="00502855" w:rsidP="00502855">
            <w:pPr>
              <w:keepNext/>
              <w:spacing w:line="276" w:lineRule="auto"/>
              <w:jc w:val="left"/>
              <w:rPr>
                <w:rFonts w:eastAsia="Times New Roman"/>
                <w:sz w:val="24"/>
                <w:szCs w:val="24"/>
                <w:lang w:eastAsia="ru-RU"/>
              </w:rPr>
            </w:pPr>
            <w:r w:rsidRPr="00502855">
              <w:rPr>
                <w:rFonts w:eastAsia="Times New Roman"/>
                <w:sz w:val="24"/>
                <w:szCs w:val="24"/>
                <w:lang w:eastAsia="ru-RU"/>
              </w:rPr>
              <w:t xml:space="preserve">Рівень перинатальної смертності </w:t>
            </w:r>
          </w:p>
        </w:tc>
        <w:tc>
          <w:tcPr>
            <w:tcW w:w="968"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sz w:val="24"/>
                <w:szCs w:val="24"/>
                <w:lang w:eastAsia="ru-RU"/>
              </w:rPr>
            </w:pPr>
            <w:r w:rsidRPr="00502855">
              <w:rPr>
                <w:rFonts w:eastAsia="Times New Roman"/>
                <w:sz w:val="24"/>
                <w:szCs w:val="24"/>
                <w:lang w:eastAsia="ru-RU"/>
              </w:rPr>
              <w:t>7,77</w:t>
            </w:r>
          </w:p>
        </w:tc>
        <w:tc>
          <w:tcPr>
            <w:tcW w:w="969"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color w:val="000000"/>
                <w:sz w:val="24"/>
                <w:szCs w:val="24"/>
                <w:lang w:eastAsia="ru-RU"/>
              </w:rPr>
            </w:pPr>
            <w:r w:rsidRPr="00502855">
              <w:rPr>
                <w:rFonts w:eastAsia="Times New Roman"/>
                <w:color w:val="000000"/>
                <w:sz w:val="24"/>
                <w:szCs w:val="24"/>
                <w:lang w:eastAsia="ru-RU"/>
              </w:rPr>
              <w:t>6,94</w:t>
            </w:r>
          </w:p>
        </w:tc>
        <w:tc>
          <w:tcPr>
            <w:tcW w:w="968"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sz w:val="24"/>
                <w:szCs w:val="24"/>
                <w:lang w:eastAsia="ru-RU"/>
              </w:rPr>
            </w:pPr>
            <w:r w:rsidRPr="00502855">
              <w:rPr>
                <w:rFonts w:eastAsia="Times New Roman"/>
                <w:sz w:val="24"/>
                <w:szCs w:val="24"/>
                <w:lang w:eastAsia="ru-RU"/>
              </w:rPr>
              <w:t>6,00</w:t>
            </w:r>
          </w:p>
        </w:tc>
        <w:tc>
          <w:tcPr>
            <w:tcW w:w="969"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color w:val="000000"/>
                <w:sz w:val="24"/>
                <w:szCs w:val="24"/>
                <w:lang w:eastAsia="ru-RU"/>
              </w:rPr>
            </w:pPr>
            <w:r w:rsidRPr="00502855">
              <w:rPr>
                <w:rFonts w:eastAsia="Times New Roman"/>
                <w:color w:val="000000"/>
                <w:sz w:val="24"/>
                <w:szCs w:val="24"/>
                <w:lang w:eastAsia="ru-RU"/>
              </w:rPr>
              <w:t>6,0</w:t>
            </w:r>
          </w:p>
        </w:tc>
        <w:tc>
          <w:tcPr>
            <w:tcW w:w="968"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sz w:val="24"/>
                <w:szCs w:val="24"/>
                <w:lang w:eastAsia="ru-RU"/>
              </w:rPr>
            </w:pPr>
            <w:r w:rsidRPr="00502855">
              <w:rPr>
                <w:rFonts w:eastAsia="Times New Roman"/>
                <w:sz w:val="24"/>
                <w:szCs w:val="24"/>
                <w:lang w:eastAsia="ru-RU"/>
              </w:rPr>
              <w:t>1,00</w:t>
            </w:r>
          </w:p>
        </w:tc>
        <w:tc>
          <w:tcPr>
            <w:tcW w:w="969"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color w:val="000000"/>
                <w:sz w:val="24"/>
                <w:szCs w:val="24"/>
                <w:lang w:eastAsia="ru-RU"/>
              </w:rPr>
            </w:pPr>
            <w:r w:rsidRPr="00502855">
              <w:rPr>
                <w:rFonts w:eastAsia="Times New Roman"/>
                <w:color w:val="000000"/>
                <w:sz w:val="24"/>
                <w:szCs w:val="24"/>
                <w:lang w:eastAsia="ru-RU"/>
              </w:rPr>
              <w:t>1,00</w:t>
            </w:r>
          </w:p>
        </w:tc>
      </w:tr>
      <w:tr w:rsidR="00502855" w:rsidRPr="00502855" w:rsidTr="00502855">
        <w:trPr>
          <w:trHeight w:val="450"/>
        </w:trPr>
        <w:tc>
          <w:tcPr>
            <w:tcW w:w="4394"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rPr>
                <w:rFonts w:eastAsia="Times New Roman"/>
                <w:sz w:val="24"/>
                <w:szCs w:val="24"/>
                <w:lang w:eastAsia="ru-RU"/>
              </w:rPr>
            </w:pPr>
            <w:r w:rsidRPr="00502855">
              <w:rPr>
                <w:rFonts w:eastAsia="Times New Roman"/>
                <w:sz w:val="24"/>
                <w:szCs w:val="24"/>
                <w:lang w:eastAsia="ru-RU"/>
              </w:rPr>
              <w:t>Співвідношення реального і фактичного показника ранньої неонатальної смертності</w:t>
            </w:r>
          </w:p>
        </w:tc>
        <w:tc>
          <w:tcPr>
            <w:tcW w:w="968"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sz w:val="24"/>
                <w:szCs w:val="24"/>
                <w:lang w:eastAsia="ru-RU"/>
              </w:rPr>
            </w:pPr>
            <w:r w:rsidRPr="00502855">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color w:val="000000"/>
                <w:sz w:val="24"/>
                <w:szCs w:val="24"/>
                <w:lang w:eastAsia="ru-RU"/>
              </w:rPr>
            </w:pPr>
            <w:r w:rsidRPr="00502855">
              <w:rPr>
                <w:rFonts w:eastAsia="Times New Roman"/>
                <w:color w:val="000000"/>
                <w:sz w:val="24"/>
                <w:szCs w:val="24"/>
                <w:lang w:eastAsia="ru-RU"/>
              </w:rPr>
              <w:t>2,92</w:t>
            </w:r>
          </w:p>
        </w:tc>
        <w:tc>
          <w:tcPr>
            <w:tcW w:w="968"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sz w:val="24"/>
                <w:szCs w:val="24"/>
                <w:lang w:eastAsia="ru-RU"/>
              </w:rPr>
            </w:pPr>
            <w:r w:rsidRPr="00502855">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color w:val="000000"/>
                <w:sz w:val="24"/>
                <w:szCs w:val="24"/>
                <w:lang w:eastAsia="ru-RU"/>
              </w:rPr>
            </w:pPr>
            <w:r w:rsidRPr="00502855">
              <w:rPr>
                <w:rFonts w:eastAsia="Times New Roman"/>
                <w:color w:val="000000"/>
                <w:sz w:val="24"/>
                <w:szCs w:val="24"/>
                <w:lang w:eastAsia="ru-RU"/>
              </w:rPr>
              <w:t>0,32</w:t>
            </w:r>
          </w:p>
        </w:tc>
        <w:tc>
          <w:tcPr>
            <w:tcW w:w="968"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sz w:val="24"/>
                <w:szCs w:val="24"/>
                <w:lang w:eastAsia="ru-RU"/>
              </w:rPr>
            </w:pPr>
            <w:r w:rsidRPr="00502855">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color w:val="000000"/>
                <w:sz w:val="24"/>
                <w:szCs w:val="24"/>
                <w:lang w:eastAsia="ru-RU"/>
              </w:rPr>
            </w:pPr>
            <w:r w:rsidRPr="00502855">
              <w:rPr>
                <w:rFonts w:eastAsia="Times New Roman"/>
                <w:color w:val="000000"/>
                <w:sz w:val="24"/>
                <w:szCs w:val="24"/>
                <w:lang w:eastAsia="ru-RU"/>
              </w:rPr>
              <w:t>0,05</w:t>
            </w:r>
          </w:p>
        </w:tc>
      </w:tr>
      <w:tr w:rsidR="00502855" w:rsidRPr="00502855" w:rsidTr="00502855">
        <w:trPr>
          <w:trHeight w:val="216"/>
        </w:trPr>
        <w:tc>
          <w:tcPr>
            <w:tcW w:w="4394"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rPr>
                <w:rFonts w:eastAsia="Times New Roman"/>
                <w:sz w:val="24"/>
                <w:szCs w:val="24"/>
                <w:lang w:eastAsia="ru-RU"/>
              </w:rPr>
            </w:pPr>
            <w:r w:rsidRPr="00502855">
              <w:rPr>
                <w:rFonts w:eastAsia="Times New Roman"/>
                <w:sz w:val="24"/>
                <w:szCs w:val="24"/>
                <w:lang w:eastAsia="ru-RU"/>
              </w:rPr>
              <w:t>Рівень неонатальної смертності</w:t>
            </w:r>
          </w:p>
        </w:tc>
        <w:tc>
          <w:tcPr>
            <w:tcW w:w="968"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sz w:val="24"/>
                <w:szCs w:val="24"/>
                <w:lang w:eastAsia="ru-RU"/>
              </w:rPr>
            </w:pPr>
            <w:r w:rsidRPr="00502855">
              <w:rPr>
                <w:rFonts w:eastAsia="Times New Roman"/>
                <w:sz w:val="24"/>
                <w:szCs w:val="24"/>
                <w:lang w:eastAsia="ru-RU"/>
              </w:rPr>
              <w:t>3,95</w:t>
            </w:r>
          </w:p>
        </w:tc>
        <w:tc>
          <w:tcPr>
            <w:tcW w:w="969"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color w:val="000000"/>
                <w:sz w:val="24"/>
                <w:szCs w:val="24"/>
                <w:lang w:eastAsia="ru-RU"/>
              </w:rPr>
            </w:pPr>
            <w:r w:rsidRPr="00502855">
              <w:rPr>
                <w:rFonts w:eastAsia="Times New Roman"/>
                <w:color w:val="000000"/>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sz w:val="24"/>
                <w:szCs w:val="24"/>
                <w:lang w:eastAsia="ru-RU"/>
              </w:rPr>
            </w:pPr>
            <w:r w:rsidRPr="00502855">
              <w:rPr>
                <w:rFonts w:eastAsia="Times New Roman"/>
                <w:sz w:val="24"/>
                <w:szCs w:val="24"/>
                <w:lang w:eastAsia="ru-RU"/>
              </w:rPr>
              <w:t>6,00</w:t>
            </w:r>
          </w:p>
        </w:tc>
        <w:tc>
          <w:tcPr>
            <w:tcW w:w="969"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color w:val="000000"/>
                <w:sz w:val="24"/>
                <w:szCs w:val="24"/>
                <w:lang w:eastAsia="ru-RU"/>
              </w:rPr>
            </w:pPr>
            <w:r w:rsidRPr="00502855">
              <w:rPr>
                <w:rFonts w:eastAsia="Times New Roman"/>
                <w:color w:val="000000"/>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sz w:val="24"/>
                <w:szCs w:val="24"/>
                <w:lang w:eastAsia="ru-RU"/>
              </w:rPr>
            </w:pPr>
            <w:r w:rsidRPr="00502855">
              <w:rPr>
                <w:rFonts w:eastAsia="Times New Roman"/>
                <w:sz w:val="24"/>
                <w:szCs w:val="24"/>
                <w:lang w:eastAsia="ru-RU"/>
              </w:rPr>
              <w:t>1,00</w:t>
            </w:r>
          </w:p>
        </w:tc>
        <w:tc>
          <w:tcPr>
            <w:tcW w:w="969"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color w:val="000000"/>
                <w:sz w:val="24"/>
                <w:szCs w:val="24"/>
                <w:lang w:eastAsia="ru-RU"/>
              </w:rPr>
            </w:pPr>
            <w:r w:rsidRPr="00502855">
              <w:rPr>
                <w:rFonts w:eastAsia="Times New Roman"/>
                <w:color w:val="000000"/>
                <w:sz w:val="24"/>
                <w:szCs w:val="24"/>
                <w:lang w:eastAsia="ru-RU"/>
              </w:rPr>
              <w:t>**</w:t>
            </w:r>
          </w:p>
        </w:tc>
      </w:tr>
      <w:tr w:rsidR="00502855" w:rsidRPr="00502855" w:rsidTr="00502855">
        <w:trPr>
          <w:trHeight w:val="216"/>
        </w:trPr>
        <w:tc>
          <w:tcPr>
            <w:tcW w:w="4394"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left"/>
              <w:rPr>
                <w:rFonts w:eastAsia="Times New Roman"/>
                <w:sz w:val="24"/>
                <w:szCs w:val="24"/>
                <w:lang w:eastAsia="ru-RU"/>
              </w:rPr>
            </w:pPr>
            <w:r w:rsidRPr="00502855">
              <w:rPr>
                <w:rFonts w:eastAsia="Times New Roman"/>
                <w:sz w:val="24"/>
                <w:szCs w:val="24"/>
                <w:lang w:eastAsia="ru-RU"/>
              </w:rPr>
              <w:t xml:space="preserve">Рівень ранньої неонатальної смертності </w:t>
            </w:r>
          </w:p>
        </w:tc>
        <w:tc>
          <w:tcPr>
            <w:tcW w:w="968"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sz w:val="24"/>
                <w:szCs w:val="24"/>
                <w:lang w:eastAsia="ru-RU"/>
              </w:rPr>
            </w:pPr>
            <w:r w:rsidRPr="00502855">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color w:val="000000"/>
                <w:sz w:val="24"/>
                <w:szCs w:val="24"/>
                <w:lang w:eastAsia="ru-RU"/>
              </w:rPr>
            </w:pPr>
            <w:r w:rsidRPr="00502855">
              <w:rPr>
                <w:rFonts w:eastAsia="Times New Roman"/>
                <w:color w:val="000000"/>
                <w:sz w:val="24"/>
                <w:szCs w:val="24"/>
                <w:lang w:eastAsia="ru-RU"/>
              </w:rPr>
              <w:t>2,77</w:t>
            </w:r>
          </w:p>
        </w:tc>
        <w:tc>
          <w:tcPr>
            <w:tcW w:w="968"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sz w:val="24"/>
                <w:szCs w:val="24"/>
                <w:lang w:eastAsia="ru-RU"/>
              </w:rPr>
            </w:pPr>
            <w:r w:rsidRPr="00502855">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color w:val="000000"/>
                <w:sz w:val="24"/>
                <w:szCs w:val="24"/>
                <w:lang w:eastAsia="ru-RU"/>
              </w:rPr>
            </w:pPr>
            <w:r w:rsidRPr="00502855">
              <w:rPr>
                <w:rFonts w:eastAsia="Times New Roman"/>
                <w:color w:val="000000"/>
                <w:sz w:val="24"/>
                <w:szCs w:val="24"/>
                <w:lang w:eastAsia="ru-RU"/>
              </w:rPr>
              <w:t>5,75</w:t>
            </w:r>
          </w:p>
        </w:tc>
        <w:tc>
          <w:tcPr>
            <w:tcW w:w="968"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sz w:val="24"/>
                <w:szCs w:val="24"/>
                <w:lang w:eastAsia="ru-RU"/>
              </w:rPr>
            </w:pPr>
            <w:r w:rsidRPr="00502855">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color w:val="000000"/>
                <w:sz w:val="24"/>
                <w:szCs w:val="24"/>
                <w:lang w:eastAsia="ru-RU"/>
              </w:rPr>
            </w:pPr>
            <w:r w:rsidRPr="00502855">
              <w:rPr>
                <w:rFonts w:eastAsia="Times New Roman"/>
                <w:color w:val="000000"/>
                <w:sz w:val="24"/>
                <w:szCs w:val="24"/>
                <w:lang w:eastAsia="ru-RU"/>
              </w:rPr>
              <w:t>0,96</w:t>
            </w:r>
          </w:p>
        </w:tc>
      </w:tr>
      <w:tr w:rsidR="00502855" w:rsidRPr="00502855" w:rsidTr="00502855">
        <w:trPr>
          <w:trHeight w:val="234"/>
        </w:trPr>
        <w:tc>
          <w:tcPr>
            <w:tcW w:w="4394" w:type="dxa"/>
            <w:tcBorders>
              <w:top w:val="single" w:sz="4" w:space="0" w:color="auto"/>
              <w:left w:val="single" w:sz="4" w:space="0" w:color="auto"/>
              <w:bottom w:val="single" w:sz="4" w:space="0" w:color="auto"/>
              <w:right w:val="single" w:sz="4" w:space="0" w:color="auto"/>
            </w:tcBorders>
            <w:vAlign w:val="bottom"/>
          </w:tcPr>
          <w:p w:rsidR="00502855" w:rsidRPr="00502855" w:rsidRDefault="00502855" w:rsidP="00502855">
            <w:pPr>
              <w:keepNext/>
              <w:spacing w:line="276" w:lineRule="auto"/>
              <w:jc w:val="left"/>
              <w:rPr>
                <w:rFonts w:eastAsia="Times New Roman"/>
                <w:sz w:val="24"/>
                <w:szCs w:val="24"/>
                <w:lang w:eastAsia="ru-RU"/>
              </w:rPr>
            </w:pPr>
            <w:r w:rsidRPr="00502855">
              <w:rPr>
                <w:rFonts w:eastAsia="Times New Roman"/>
                <w:sz w:val="24"/>
                <w:szCs w:val="24"/>
                <w:lang w:eastAsia="ru-RU"/>
              </w:rPr>
              <w:t xml:space="preserve">Рівень материнської смертності </w:t>
            </w:r>
          </w:p>
        </w:tc>
        <w:tc>
          <w:tcPr>
            <w:tcW w:w="968"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sz w:val="24"/>
                <w:szCs w:val="24"/>
                <w:lang w:eastAsia="ru-RU"/>
              </w:rPr>
            </w:pPr>
            <w:r w:rsidRPr="00502855">
              <w:rPr>
                <w:rFonts w:eastAsia="Times New Roman"/>
                <w:sz w:val="24"/>
                <w:szCs w:val="24"/>
                <w:lang w:eastAsia="ru-RU"/>
              </w:rPr>
              <w:t>8,6</w:t>
            </w:r>
          </w:p>
        </w:tc>
        <w:tc>
          <w:tcPr>
            <w:tcW w:w="969"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color w:val="000000"/>
                <w:sz w:val="24"/>
                <w:szCs w:val="24"/>
                <w:lang w:eastAsia="ru-RU"/>
              </w:rPr>
            </w:pPr>
            <w:r w:rsidRPr="00502855">
              <w:rPr>
                <w:rFonts w:eastAsia="Times New Roman"/>
                <w:color w:val="000000"/>
                <w:sz w:val="24"/>
                <w:szCs w:val="24"/>
                <w:lang w:eastAsia="ru-RU"/>
              </w:rPr>
              <w:t>9,4</w:t>
            </w:r>
          </w:p>
        </w:tc>
        <w:tc>
          <w:tcPr>
            <w:tcW w:w="968"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sz w:val="24"/>
                <w:szCs w:val="24"/>
                <w:lang w:eastAsia="ru-RU"/>
              </w:rPr>
            </w:pPr>
            <w:r w:rsidRPr="00502855">
              <w:rPr>
                <w:rFonts w:eastAsia="Times New Roman"/>
                <w:sz w:val="24"/>
                <w:szCs w:val="24"/>
                <w:lang w:eastAsia="ru-RU"/>
              </w:rPr>
              <w:t>5,00</w:t>
            </w:r>
          </w:p>
        </w:tc>
        <w:tc>
          <w:tcPr>
            <w:tcW w:w="969"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color w:val="000000"/>
                <w:sz w:val="24"/>
                <w:szCs w:val="24"/>
                <w:lang w:eastAsia="ru-RU"/>
              </w:rPr>
            </w:pPr>
            <w:r w:rsidRPr="00502855">
              <w:rPr>
                <w:rFonts w:eastAsia="Times New Roman"/>
                <w:color w:val="000000"/>
                <w:sz w:val="24"/>
                <w:szCs w:val="24"/>
                <w:lang w:eastAsia="ru-RU"/>
              </w:rPr>
              <w:t>5,0</w:t>
            </w:r>
          </w:p>
        </w:tc>
        <w:tc>
          <w:tcPr>
            <w:tcW w:w="968"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sz w:val="24"/>
                <w:szCs w:val="24"/>
                <w:lang w:eastAsia="ru-RU"/>
              </w:rPr>
            </w:pPr>
            <w:r w:rsidRPr="00502855">
              <w:rPr>
                <w:rFonts w:eastAsia="Times New Roman"/>
                <w:sz w:val="24"/>
                <w:szCs w:val="24"/>
                <w:lang w:eastAsia="ru-RU"/>
              </w:rPr>
              <w:t>1,00</w:t>
            </w:r>
          </w:p>
        </w:tc>
        <w:tc>
          <w:tcPr>
            <w:tcW w:w="969"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color w:val="000000"/>
                <w:sz w:val="24"/>
                <w:szCs w:val="24"/>
                <w:lang w:eastAsia="ru-RU"/>
              </w:rPr>
            </w:pPr>
            <w:r w:rsidRPr="00502855">
              <w:rPr>
                <w:rFonts w:eastAsia="Times New Roman"/>
                <w:color w:val="000000"/>
                <w:sz w:val="24"/>
                <w:szCs w:val="24"/>
                <w:lang w:eastAsia="ru-RU"/>
              </w:rPr>
              <w:t>1,00</w:t>
            </w:r>
          </w:p>
        </w:tc>
      </w:tr>
      <w:tr w:rsidR="00502855" w:rsidRPr="00502855" w:rsidTr="00502855">
        <w:trPr>
          <w:trHeight w:val="300"/>
        </w:trPr>
        <w:tc>
          <w:tcPr>
            <w:tcW w:w="4394" w:type="dxa"/>
            <w:tcBorders>
              <w:top w:val="single" w:sz="4" w:space="0" w:color="auto"/>
              <w:left w:val="single" w:sz="4" w:space="0" w:color="auto"/>
              <w:bottom w:val="single" w:sz="4" w:space="0" w:color="auto"/>
              <w:right w:val="single" w:sz="4" w:space="0" w:color="auto"/>
            </w:tcBorders>
            <w:noWrap/>
            <w:vAlign w:val="bottom"/>
            <w:hideMark/>
          </w:tcPr>
          <w:p w:rsidR="00502855" w:rsidRPr="00502855" w:rsidRDefault="00502855" w:rsidP="00502855">
            <w:pPr>
              <w:keepNext/>
              <w:spacing w:line="276" w:lineRule="auto"/>
              <w:jc w:val="left"/>
              <w:rPr>
                <w:rFonts w:eastAsia="Times New Roman"/>
                <w:sz w:val="24"/>
                <w:szCs w:val="24"/>
                <w:lang w:eastAsia="ru-RU"/>
              </w:rPr>
            </w:pPr>
          </w:p>
        </w:tc>
        <w:tc>
          <w:tcPr>
            <w:tcW w:w="968" w:type="dxa"/>
            <w:tcBorders>
              <w:top w:val="single" w:sz="4" w:space="0" w:color="auto"/>
              <w:left w:val="single" w:sz="4" w:space="0" w:color="auto"/>
              <w:bottom w:val="single" w:sz="4" w:space="0" w:color="auto"/>
              <w:right w:val="single" w:sz="4" w:space="0" w:color="auto"/>
            </w:tcBorders>
            <w:noWrap/>
            <w:vAlign w:val="center"/>
          </w:tcPr>
          <w:p w:rsidR="00502855" w:rsidRPr="00502855" w:rsidRDefault="00502855" w:rsidP="00502855">
            <w:pPr>
              <w:keepNext/>
              <w:spacing w:line="276" w:lineRule="auto"/>
              <w:jc w:val="center"/>
              <w:rPr>
                <w:rFonts w:eastAsia="Times New Roman"/>
                <w:sz w:val="24"/>
                <w:szCs w:val="24"/>
                <w:lang w:eastAsia="ru-RU"/>
              </w:rPr>
            </w:pPr>
          </w:p>
        </w:tc>
        <w:tc>
          <w:tcPr>
            <w:tcW w:w="969"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color w:val="000000"/>
                <w:sz w:val="24"/>
                <w:szCs w:val="24"/>
                <w:lang w:eastAsia="ru-RU"/>
              </w:rPr>
            </w:pPr>
          </w:p>
        </w:tc>
        <w:tc>
          <w:tcPr>
            <w:tcW w:w="968" w:type="dxa"/>
            <w:tcBorders>
              <w:top w:val="single" w:sz="4" w:space="0" w:color="auto"/>
              <w:left w:val="single" w:sz="4" w:space="0" w:color="auto"/>
              <w:bottom w:val="single" w:sz="4" w:space="0" w:color="auto"/>
              <w:right w:val="single" w:sz="4" w:space="0" w:color="auto"/>
            </w:tcBorders>
            <w:noWrap/>
            <w:vAlign w:val="center"/>
          </w:tcPr>
          <w:p w:rsidR="00502855" w:rsidRPr="00502855" w:rsidRDefault="00502855" w:rsidP="00502855">
            <w:pPr>
              <w:keepNext/>
              <w:spacing w:line="276" w:lineRule="auto"/>
              <w:jc w:val="center"/>
              <w:rPr>
                <w:rFonts w:eastAsia="Times New Roman"/>
                <w:color w:val="000000"/>
                <w:sz w:val="24"/>
                <w:szCs w:val="24"/>
                <w:lang w:eastAsia="ru-RU"/>
              </w:rPr>
            </w:pPr>
            <w:r w:rsidRPr="00502855">
              <w:rPr>
                <w:rFonts w:eastAsia="Times New Roman"/>
                <w:color w:val="000000"/>
                <w:sz w:val="24"/>
                <w:szCs w:val="24"/>
                <w:lang w:eastAsia="ru-RU"/>
              </w:rPr>
              <w:t>101,21</w:t>
            </w:r>
          </w:p>
        </w:tc>
        <w:tc>
          <w:tcPr>
            <w:tcW w:w="969"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color w:val="000000"/>
                <w:sz w:val="24"/>
                <w:szCs w:val="24"/>
                <w:lang w:eastAsia="ru-RU"/>
              </w:rPr>
            </w:pPr>
            <w:r w:rsidRPr="00502855">
              <w:rPr>
                <w:rFonts w:eastAsia="Times New Roman"/>
                <w:color w:val="000000"/>
                <w:sz w:val="24"/>
                <w:szCs w:val="24"/>
                <w:lang w:eastAsia="ru-RU"/>
              </w:rPr>
              <w:t>108,1</w:t>
            </w:r>
          </w:p>
        </w:tc>
        <w:tc>
          <w:tcPr>
            <w:tcW w:w="968" w:type="dxa"/>
            <w:tcBorders>
              <w:top w:val="single" w:sz="4" w:space="0" w:color="auto"/>
              <w:left w:val="single" w:sz="4" w:space="0" w:color="auto"/>
              <w:bottom w:val="single" w:sz="4" w:space="0" w:color="auto"/>
              <w:right w:val="single" w:sz="4" w:space="0" w:color="auto"/>
            </w:tcBorders>
            <w:noWrap/>
            <w:vAlign w:val="center"/>
          </w:tcPr>
          <w:p w:rsidR="00502855" w:rsidRPr="00502855" w:rsidRDefault="00502855" w:rsidP="00502855">
            <w:pPr>
              <w:keepNext/>
              <w:spacing w:line="276" w:lineRule="auto"/>
              <w:jc w:val="center"/>
              <w:rPr>
                <w:rFonts w:eastAsia="Times New Roman"/>
                <w:color w:val="000000"/>
                <w:sz w:val="24"/>
                <w:szCs w:val="24"/>
                <w:lang w:eastAsia="ru-RU"/>
              </w:rPr>
            </w:pPr>
            <w:r w:rsidRPr="00502855">
              <w:rPr>
                <w:rFonts w:eastAsia="Times New Roman"/>
                <w:color w:val="000000"/>
                <w:sz w:val="24"/>
                <w:szCs w:val="24"/>
                <w:lang w:eastAsia="ru-RU"/>
              </w:rPr>
              <w:t>0,84</w:t>
            </w:r>
          </w:p>
        </w:tc>
        <w:tc>
          <w:tcPr>
            <w:tcW w:w="969" w:type="dxa"/>
            <w:tcBorders>
              <w:top w:val="single" w:sz="4" w:space="0" w:color="auto"/>
              <w:left w:val="single" w:sz="4" w:space="0" w:color="auto"/>
              <w:bottom w:val="single" w:sz="4" w:space="0" w:color="auto"/>
              <w:right w:val="single" w:sz="4" w:space="0" w:color="auto"/>
            </w:tcBorders>
            <w:vAlign w:val="center"/>
          </w:tcPr>
          <w:p w:rsidR="00502855" w:rsidRPr="00502855" w:rsidRDefault="00502855" w:rsidP="00502855">
            <w:pPr>
              <w:keepNext/>
              <w:spacing w:line="276" w:lineRule="auto"/>
              <w:jc w:val="center"/>
              <w:rPr>
                <w:rFonts w:eastAsia="Times New Roman"/>
                <w:color w:val="000000"/>
                <w:sz w:val="24"/>
                <w:szCs w:val="24"/>
                <w:lang w:eastAsia="ru-RU"/>
              </w:rPr>
            </w:pPr>
            <w:r w:rsidRPr="00502855">
              <w:rPr>
                <w:rFonts w:eastAsia="Times New Roman"/>
                <w:color w:val="000000"/>
                <w:sz w:val="24"/>
                <w:szCs w:val="24"/>
                <w:lang w:eastAsia="ru-RU"/>
              </w:rPr>
              <w:t>0,83</w:t>
            </w:r>
          </w:p>
        </w:tc>
      </w:tr>
    </w:tbl>
    <w:p w:rsidR="00991406" w:rsidRPr="00290D3B" w:rsidRDefault="00290D3B" w:rsidP="00290D3B">
      <w:pPr>
        <w:jc w:val="right"/>
        <w:rPr>
          <w:i/>
          <w:lang w:val="ru-RU"/>
        </w:rPr>
      </w:pPr>
      <w:r>
        <w:rPr>
          <w:i/>
          <w:lang w:val="ru-RU"/>
        </w:rPr>
        <w:t>Продовження додаток Е-</w:t>
      </w:r>
      <w:r w:rsidR="00150E80">
        <w:rPr>
          <w:i/>
          <w:lang w:val="ru-RU"/>
        </w:rPr>
        <w:t>8</w:t>
      </w:r>
    </w:p>
    <w:p w:rsidR="00C43972" w:rsidRPr="00290D3B" w:rsidRDefault="00C43972" w:rsidP="004D31AB">
      <w:pPr>
        <w:pageBreakBefore/>
        <w:widowControl w:val="0"/>
        <w:jc w:val="right"/>
        <w:rPr>
          <w:rFonts w:eastAsia="Times New Roman"/>
          <w:bCs/>
          <w:iCs/>
          <w:color w:val="000000"/>
          <w:szCs w:val="28"/>
          <w:lang w:val="ru-RU" w:eastAsia="uk-UA"/>
        </w:rPr>
      </w:pPr>
      <w:r w:rsidRPr="00290D3B">
        <w:rPr>
          <w:rFonts w:eastAsia="Times New Roman"/>
          <w:bCs/>
          <w:iCs/>
          <w:color w:val="000000"/>
          <w:szCs w:val="28"/>
          <w:lang w:val="ru-RU" w:eastAsia="uk-UA"/>
        </w:rPr>
        <w:lastRenderedPageBreak/>
        <w:t xml:space="preserve">Додаток </w:t>
      </w:r>
      <w:r w:rsidR="00535BCC" w:rsidRPr="00290D3B">
        <w:rPr>
          <w:rFonts w:eastAsia="Times New Roman"/>
          <w:bCs/>
          <w:iCs/>
          <w:color w:val="000000"/>
          <w:szCs w:val="28"/>
          <w:lang w:eastAsia="uk-UA"/>
        </w:rPr>
        <w:t>Е</w:t>
      </w:r>
      <w:r w:rsidRPr="00290D3B">
        <w:rPr>
          <w:rFonts w:eastAsia="Times New Roman"/>
          <w:bCs/>
          <w:iCs/>
          <w:color w:val="000000"/>
          <w:szCs w:val="28"/>
          <w:lang w:eastAsia="uk-UA"/>
        </w:rPr>
        <w:t>-9</w:t>
      </w:r>
    </w:p>
    <w:p w:rsidR="00C43972" w:rsidRPr="00290D3B" w:rsidRDefault="00C43972" w:rsidP="00290D3B">
      <w:pPr>
        <w:keepNext/>
        <w:jc w:val="center"/>
        <w:rPr>
          <w:rFonts w:eastAsia="Times New Roman"/>
          <w:b/>
          <w:sz w:val="24"/>
          <w:szCs w:val="24"/>
          <w:lang w:eastAsia="ru-RU"/>
        </w:rPr>
      </w:pPr>
      <w:r w:rsidRPr="00290D3B">
        <w:rPr>
          <w:rFonts w:eastAsia="Times New Roman"/>
          <w:b/>
          <w:bCs/>
          <w:iCs/>
          <w:color w:val="000000"/>
          <w:szCs w:val="28"/>
          <w:lang w:eastAsia="uk-UA"/>
        </w:rPr>
        <w:t xml:space="preserve">Комплексна оцінка діяльності закладів перинатальної допомоги Закарпатської </w:t>
      </w:r>
      <w:r w:rsidRPr="00290D3B">
        <w:rPr>
          <w:rFonts w:eastAsia="Times New Roman"/>
          <w:b/>
          <w:bCs/>
          <w:iCs/>
          <w:color w:val="000000"/>
          <w:sz w:val="26"/>
          <w:szCs w:val="26"/>
          <w:lang w:eastAsia="uk-UA"/>
        </w:rPr>
        <w:t xml:space="preserve">області у </w:t>
      </w:r>
      <w:r w:rsidRPr="00290D3B">
        <w:rPr>
          <w:rFonts w:eastAsia="Times New Roman"/>
          <w:b/>
          <w:bCs/>
          <w:iCs/>
          <w:color w:val="000000"/>
          <w:szCs w:val="28"/>
          <w:lang w:eastAsia="uk-UA"/>
        </w:rPr>
        <w:t>2017–2018 рр.</w:t>
      </w:r>
    </w:p>
    <w:tbl>
      <w:tblPr>
        <w:tblW w:w="10206" w:type="dxa"/>
        <w:jc w:val="center"/>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395"/>
        <w:gridCol w:w="968"/>
        <w:gridCol w:w="969"/>
        <w:gridCol w:w="968"/>
        <w:gridCol w:w="969"/>
        <w:gridCol w:w="968"/>
        <w:gridCol w:w="969"/>
      </w:tblGrid>
      <w:tr w:rsidR="00DD32B8" w:rsidRPr="00AA5C00" w:rsidTr="00DD32B8">
        <w:trPr>
          <w:cantSplit/>
          <w:trHeight w:val="652"/>
          <w:jc w:val="center"/>
        </w:trPr>
        <w:tc>
          <w:tcPr>
            <w:tcW w:w="4395" w:type="dxa"/>
            <w:vMerge w:val="restart"/>
            <w:tcBorders>
              <w:top w:val="single" w:sz="4" w:space="0" w:color="auto"/>
              <w:left w:val="single" w:sz="4" w:space="0" w:color="auto"/>
              <w:right w:val="single" w:sz="4" w:space="0" w:color="auto"/>
            </w:tcBorders>
            <w:vAlign w:val="center"/>
            <w:hideMark/>
          </w:tcPr>
          <w:p w:rsidR="00DD32B8" w:rsidRPr="00AA5C00" w:rsidRDefault="00DD32B8" w:rsidP="000A3CA3">
            <w:pPr>
              <w:keepNext/>
              <w:spacing w:line="240" w:lineRule="auto"/>
              <w:jc w:val="center"/>
              <w:rPr>
                <w:rFonts w:eastAsia="Times New Roman"/>
                <w:color w:val="000000"/>
                <w:sz w:val="24"/>
                <w:szCs w:val="24"/>
                <w:lang w:eastAsia="uk-UA"/>
              </w:rPr>
            </w:pPr>
            <w:r w:rsidRPr="00AA5C00">
              <w:rPr>
                <w:rFonts w:eastAsia="Times New Roman"/>
                <w:color w:val="000000"/>
                <w:sz w:val="24"/>
                <w:szCs w:val="24"/>
                <w:lang w:eastAsia="uk-UA"/>
              </w:rPr>
              <w:t>Індикатор якості</w:t>
            </w:r>
          </w:p>
        </w:tc>
        <w:tc>
          <w:tcPr>
            <w:tcW w:w="1937" w:type="dxa"/>
            <w:gridSpan w:val="2"/>
            <w:tcBorders>
              <w:top w:val="single" w:sz="4" w:space="0" w:color="auto"/>
              <w:left w:val="single" w:sz="4" w:space="0" w:color="auto"/>
              <w:bottom w:val="single" w:sz="4" w:space="0" w:color="auto"/>
              <w:right w:val="single" w:sz="4" w:space="0" w:color="auto"/>
            </w:tcBorders>
            <w:vAlign w:val="center"/>
          </w:tcPr>
          <w:p w:rsidR="00DD32B8" w:rsidRPr="00AA5C00" w:rsidRDefault="00DD32B8" w:rsidP="000A3CA3">
            <w:pPr>
              <w:keepNext/>
              <w:spacing w:line="240" w:lineRule="auto"/>
              <w:jc w:val="center"/>
              <w:rPr>
                <w:rFonts w:eastAsia="Times New Roman"/>
                <w:color w:val="000000"/>
                <w:sz w:val="24"/>
                <w:szCs w:val="24"/>
                <w:lang w:eastAsia="uk-UA"/>
              </w:rPr>
            </w:pPr>
            <w:r w:rsidRPr="00AA5C00">
              <w:rPr>
                <w:rFonts w:eastAsia="Times New Roman"/>
                <w:color w:val="000000"/>
                <w:sz w:val="24"/>
                <w:szCs w:val="24"/>
                <w:lang w:eastAsia="uk-UA"/>
              </w:rPr>
              <w:t xml:space="preserve">Фактичний показник, </w:t>
            </w:r>
            <w:r w:rsidRPr="00AA5C00">
              <w:rPr>
                <w:rFonts w:eastAsia="Times New Roman"/>
                <w:sz w:val="24"/>
                <w:szCs w:val="24"/>
                <w:lang w:eastAsia="uk-UA"/>
              </w:rPr>
              <w:t xml:space="preserve">Україна </w:t>
            </w:r>
          </w:p>
        </w:tc>
        <w:tc>
          <w:tcPr>
            <w:tcW w:w="1937" w:type="dxa"/>
            <w:gridSpan w:val="2"/>
            <w:tcBorders>
              <w:top w:val="single" w:sz="4" w:space="0" w:color="auto"/>
              <w:left w:val="single" w:sz="4" w:space="0" w:color="auto"/>
              <w:bottom w:val="single" w:sz="4" w:space="0" w:color="auto"/>
              <w:right w:val="single" w:sz="4" w:space="0" w:color="auto"/>
            </w:tcBorders>
            <w:vAlign w:val="center"/>
          </w:tcPr>
          <w:p w:rsidR="00DD32B8" w:rsidRPr="00AA5C00" w:rsidRDefault="00DD32B8" w:rsidP="000A3CA3">
            <w:pPr>
              <w:keepNext/>
              <w:spacing w:line="240" w:lineRule="auto"/>
              <w:jc w:val="center"/>
              <w:rPr>
                <w:rFonts w:eastAsia="Times New Roman"/>
                <w:color w:val="000000"/>
                <w:sz w:val="24"/>
                <w:szCs w:val="24"/>
                <w:lang w:eastAsia="uk-UA"/>
              </w:rPr>
            </w:pPr>
            <w:r w:rsidRPr="00AA5C00">
              <w:rPr>
                <w:rFonts w:eastAsia="Times New Roman"/>
                <w:color w:val="000000"/>
                <w:sz w:val="24"/>
                <w:szCs w:val="24"/>
                <w:lang w:eastAsia="uk-UA"/>
              </w:rPr>
              <w:t>Бальна оцінка фактичного показника</w:t>
            </w:r>
          </w:p>
        </w:tc>
        <w:tc>
          <w:tcPr>
            <w:tcW w:w="1937" w:type="dxa"/>
            <w:gridSpan w:val="2"/>
            <w:tcBorders>
              <w:top w:val="single" w:sz="4" w:space="0" w:color="auto"/>
              <w:left w:val="single" w:sz="4" w:space="0" w:color="auto"/>
              <w:bottom w:val="single" w:sz="4" w:space="0" w:color="auto"/>
              <w:right w:val="single" w:sz="4" w:space="0" w:color="auto"/>
            </w:tcBorders>
            <w:vAlign w:val="center"/>
          </w:tcPr>
          <w:p w:rsidR="00DD32B8" w:rsidRPr="00AA5C00" w:rsidRDefault="00DD32B8" w:rsidP="000A3CA3">
            <w:pPr>
              <w:keepNext/>
              <w:spacing w:line="240" w:lineRule="auto"/>
              <w:jc w:val="center"/>
              <w:rPr>
                <w:rFonts w:eastAsia="Times New Roman"/>
                <w:color w:val="000000"/>
                <w:sz w:val="24"/>
                <w:szCs w:val="24"/>
                <w:lang w:eastAsia="uk-UA"/>
              </w:rPr>
            </w:pPr>
            <w:r w:rsidRPr="00AA5C00">
              <w:rPr>
                <w:rFonts w:eastAsia="Times New Roman"/>
                <w:color w:val="000000"/>
                <w:sz w:val="24"/>
                <w:szCs w:val="24"/>
                <w:lang w:eastAsia="uk-UA"/>
              </w:rPr>
              <w:t>КДНЗ</w:t>
            </w:r>
          </w:p>
        </w:tc>
      </w:tr>
      <w:tr w:rsidR="00DD32B8" w:rsidRPr="00AA5C00" w:rsidTr="00DD32B8">
        <w:trPr>
          <w:trHeight w:val="404"/>
          <w:jc w:val="center"/>
        </w:trPr>
        <w:tc>
          <w:tcPr>
            <w:tcW w:w="4395" w:type="dxa"/>
            <w:vMerge/>
            <w:tcBorders>
              <w:left w:val="single" w:sz="4" w:space="0" w:color="auto"/>
              <w:bottom w:val="single" w:sz="4" w:space="0" w:color="auto"/>
              <w:right w:val="single" w:sz="4" w:space="0" w:color="auto"/>
            </w:tcBorders>
            <w:vAlign w:val="bottom"/>
          </w:tcPr>
          <w:p w:rsidR="00DD32B8" w:rsidRPr="00AA5C00" w:rsidRDefault="00DD32B8" w:rsidP="000A3CA3">
            <w:pPr>
              <w:keepNext/>
              <w:spacing w:line="240" w:lineRule="auto"/>
              <w:jc w:val="left"/>
              <w:rPr>
                <w:rFonts w:eastAsia="Times New Roman"/>
                <w:sz w:val="24"/>
                <w:szCs w:val="24"/>
                <w:lang w:eastAsia="ru-RU"/>
              </w:rPr>
            </w:pPr>
          </w:p>
        </w:tc>
        <w:tc>
          <w:tcPr>
            <w:tcW w:w="968" w:type="dxa"/>
            <w:tcBorders>
              <w:top w:val="single" w:sz="4" w:space="0" w:color="auto"/>
              <w:left w:val="single" w:sz="4" w:space="0" w:color="auto"/>
              <w:bottom w:val="single" w:sz="4" w:space="0" w:color="auto"/>
              <w:right w:val="single" w:sz="4" w:space="0" w:color="auto"/>
            </w:tcBorders>
            <w:vAlign w:val="center"/>
          </w:tcPr>
          <w:p w:rsidR="00DD32B8" w:rsidRPr="00AA5C00" w:rsidRDefault="00DD32B8" w:rsidP="000A3CA3">
            <w:pPr>
              <w:keepNext/>
              <w:spacing w:line="240" w:lineRule="auto"/>
              <w:jc w:val="center"/>
              <w:rPr>
                <w:rFonts w:eastAsia="Times New Roman"/>
                <w:sz w:val="24"/>
                <w:szCs w:val="24"/>
                <w:lang w:eastAsia="ru-RU"/>
              </w:rPr>
            </w:pPr>
            <w:r w:rsidRPr="00AA5C00">
              <w:rPr>
                <w:rFonts w:eastAsia="Times New Roman"/>
                <w:sz w:val="24"/>
                <w:szCs w:val="24"/>
                <w:lang w:eastAsia="ru-RU"/>
              </w:rPr>
              <w:t>2017 р.</w:t>
            </w:r>
          </w:p>
        </w:tc>
        <w:tc>
          <w:tcPr>
            <w:tcW w:w="969" w:type="dxa"/>
            <w:tcBorders>
              <w:top w:val="single" w:sz="4" w:space="0" w:color="auto"/>
              <w:left w:val="single" w:sz="4" w:space="0" w:color="auto"/>
              <w:bottom w:val="single" w:sz="4" w:space="0" w:color="auto"/>
              <w:right w:val="single" w:sz="4" w:space="0" w:color="auto"/>
            </w:tcBorders>
            <w:vAlign w:val="center"/>
          </w:tcPr>
          <w:p w:rsidR="00DD32B8" w:rsidRPr="00AA5C00" w:rsidRDefault="00DD32B8" w:rsidP="000A3CA3">
            <w:pPr>
              <w:keepNext/>
              <w:spacing w:line="240" w:lineRule="auto"/>
              <w:jc w:val="center"/>
              <w:rPr>
                <w:rFonts w:eastAsia="Times New Roman"/>
                <w:color w:val="000000"/>
                <w:sz w:val="24"/>
                <w:szCs w:val="24"/>
                <w:lang w:eastAsia="ru-RU"/>
              </w:rPr>
            </w:pPr>
            <w:r w:rsidRPr="00AA5C00">
              <w:rPr>
                <w:rFonts w:eastAsia="Times New Roman"/>
                <w:color w:val="000000"/>
                <w:sz w:val="24"/>
                <w:szCs w:val="24"/>
                <w:lang w:eastAsia="ru-RU"/>
              </w:rPr>
              <w:t>2018 р.</w:t>
            </w:r>
          </w:p>
        </w:tc>
        <w:tc>
          <w:tcPr>
            <w:tcW w:w="968" w:type="dxa"/>
            <w:tcBorders>
              <w:top w:val="single" w:sz="4" w:space="0" w:color="auto"/>
              <w:left w:val="single" w:sz="4" w:space="0" w:color="auto"/>
              <w:bottom w:val="single" w:sz="4" w:space="0" w:color="auto"/>
              <w:right w:val="single" w:sz="4" w:space="0" w:color="auto"/>
            </w:tcBorders>
            <w:vAlign w:val="center"/>
          </w:tcPr>
          <w:p w:rsidR="00DD32B8" w:rsidRPr="00AA5C00" w:rsidRDefault="00DD32B8" w:rsidP="000A3CA3">
            <w:pPr>
              <w:keepNext/>
              <w:spacing w:line="240" w:lineRule="auto"/>
              <w:jc w:val="center"/>
              <w:rPr>
                <w:rFonts w:eastAsia="Times New Roman"/>
                <w:sz w:val="24"/>
                <w:szCs w:val="24"/>
                <w:lang w:eastAsia="ru-RU"/>
              </w:rPr>
            </w:pPr>
            <w:r w:rsidRPr="00AA5C00">
              <w:rPr>
                <w:rFonts w:eastAsia="Times New Roman"/>
                <w:sz w:val="24"/>
                <w:szCs w:val="24"/>
                <w:lang w:eastAsia="ru-RU"/>
              </w:rPr>
              <w:t>2017 р.</w:t>
            </w:r>
          </w:p>
        </w:tc>
        <w:tc>
          <w:tcPr>
            <w:tcW w:w="969" w:type="dxa"/>
            <w:tcBorders>
              <w:top w:val="single" w:sz="4" w:space="0" w:color="auto"/>
              <w:left w:val="single" w:sz="4" w:space="0" w:color="auto"/>
              <w:bottom w:val="single" w:sz="4" w:space="0" w:color="auto"/>
              <w:right w:val="single" w:sz="4" w:space="0" w:color="auto"/>
            </w:tcBorders>
            <w:vAlign w:val="center"/>
          </w:tcPr>
          <w:p w:rsidR="00DD32B8" w:rsidRPr="00AA5C00" w:rsidRDefault="00DD32B8" w:rsidP="000A3CA3">
            <w:pPr>
              <w:keepNext/>
              <w:spacing w:line="240" w:lineRule="auto"/>
              <w:jc w:val="center"/>
              <w:rPr>
                <w:rFonts w:eastAsia="Times New Roman"/>
                <w:sz w:val="24"/>
                <w:szCs w:val="24"/>
                <w:lang w:eastAsia="ru-RU"/>
              </w:rPr>
            </w:pPr>
            <w:r w:rsidRPr="00AA5C00">
              <w:rPr>
                <w:rFonts w:eastAsia="Times New Roman"/>
                <w:sz w:val="24"/>
                <w:szCs w:val="24"/>
                <w:lang w:eastAsia="ru-RU"/>
              </w:rPr>
              <w:t>2017 р.</w:t>
            </w:r>
          </w:p>
        </w:tc>
        <w:tc>
          <w:tcPr>
            <w:tcW w:w="968" w:type="dxa"/>
            <w:tcBorders>
              <w:top w:val="single" w:sz="4" w:space="0" w:color="auto"/>
              <w:left w:val="single" w:sz="4" w:space="0" w:color="auto"/>
              <w:bottom w:val="single" w:sz="4" w:space="0" w:color="auto"/>
              <w:right w:val="single" w:sz="4" w:space="0" w:color="auto"/>
            </w:tcBorders>
            <w:vAlign w:val="center"/>
          </w:tcPr>
          <w:p w:rsidR="00DD32B8" w:rsidRPr="00AA5C00" w:rsidRDefault="00DD32B8" w:rsidP="000A3CA3">
            <w:pPr>
              <w:keepNext/>
              <w:spacing w:line="240" w:lineRule="auto"/>
              <w:jc w:val="center"/>
              <w:rPr>
                <w:rFonts w:eastAsia="Times New Roman"/>
                <w:color w:val="000000"/>
                <w:sz w:val="24"/>
                <w:szCs w:val="24"/>
                <w:lang w:eastAsia="ru-RU"/>
              </w:rPr>
            </w:pPr>
            <w:r w:rsidRPr="00AA5C00">
              <w:rPr>
                <w:rFonts w:eastAsia="Times New Roman"/>
                <w:color w:val="000000"/>
                <w:sz w:val="24"/>
                <w:szCs w:val="24"/>
                <w:lang w:eastAsia="ru-RU"/>
              </w:rPr>
              <w:t>2018 р.</w:t>
            </w:r>
          </w:p>
        </w:tc>
        <w:tc>
          <w:tcPr>
            <w:tcW w:w="969" w:type="dxa"/>
            <w:tcBorders>
              <w:top w:val="single" w:sz="4" w:space="0" w:color="auto"/>
              <w:left w:val="single" w:sz="4" w:space="0" w:color="auto"/>
              <w:bottom w:val="single" w:sz="4" w:space="0" w:color="auto"/>
              <w:right w:val="single" w:sz="4" w:space="0" w:color="auto"/>
            </w:tcBorders>
            <w:vAlign w:val="center"/>
          </w:tcPr>
          <w:p w:rsidR="00DD32B8" w:rsidRPr="00AA5C00" w:rsidRDefault="00DD32B8" w:rsidP="000A3CA3">
            <w:pPr>
              <w:keepNext/>
              <w:spacing w:line="240" w:lineRule="auto"/>
              <w:jc w:val="center"/>
              <w:rPr>
                <w:rFonts w:eastAsia="Times New Roman"/>
                <w:sz w:val="24"/>
                <w:szCs w:val="24"/>
                <w:lang w:eastAsia="ru-RU"/>
              </w:rPr>
            </w:pPr>
            <w:r w:rsidRPr="00AA5C00">
              <w:rPr>
                <w:rFonts w:eastAsia="Times New Roman"/>
                <w:sz w:val="24"/>
                <w:szCs w:val="24"/>
                <w:lang w:eastAsia="ru-RU"/>
              </w:rPr>
              <w:t>2017 р.</w:t>
            </w:r>
          </w:p>
        </w:tc>
      </w:tr>
      <w:tr w:rsidR="00DD32B8" w:rsidRPr="00AA5C00" w:rsidTr="00DD32B8">
        <w:trPr>
          <w:trHeight w:val="404"/>
          <w:jc w:val="center"/>
        </w:trPr>
        <w:tc>
          <w:tcPr>
            <w:tcW w:w="4395" w:type="dxa"/>
            <w:tcBorders>
              <w:top w:val="single" w:sz="4" w:space="0" w:color="auto"/>
              <w:left w:val="single" w:sz="4" w:space="0" w:color="auto"/>
              <w:bottom w:val="single" w:sz="4" w:space="0" w:color="auto"/>
              <w:right w:val="single" w:sz="4" w:space="0" w:color="auto"/>
            </w:tcBorders>
            <w:vAlign w:val="center"/>
          </w:tcPr>
          <w:p w:rsidR="00DD32B8" w:rsidRPr="00AA5C00" w:rsidRDefault="00DD32B8" w:rsidP="000A3CA3">
            <w:pPr>
              <w:keepNext/>
              <w:spacing w:line="240" w:lineRule="auto"/>
              <w:jc w:val="left"/>
              <w:rPr>
                <w:rFonts w:eastAsia="Times New Roman"/>
                <w:sz w:val="24"/>
                <w:szCs w:val="24"/>
                <w:lang w:eastAsia="ru-RU"/>
              </w:rPr>
            </w:pPr>
            <w:r w:rsidRPr="00AA5C00">
              <w:rPr>
                <w:rFonts w:eastAsia="Times New Roman"/>
                <w:sz w:val="24"/>
                <w:szCs w:val="24"/>
                <w:lang w:eastAsia="ru-RU"/>
              </w:rPr>
              <w:t>Забезпеченість  лікарями акушер-гінекологами</w:t>
            </w:r>
          </w:p>
        </w:tc>
        <w:tc>
          <w:tcPr>
            <w:tcW w:w="968" w:type="dxa"/>
            <w:tcBorders>
              <w:top w:val="single" w:sz="4" w:space="0" w:color="auto"/>
              <w:left w:val="single" w:sz="4" w:space="0" w:color="auto"/>
              <w:bottom w:val="single" w:sz="4" w:space="0" w:color="auto"/>
              <w:right w:val="single" w:sz="4" w:space="0" w:color="auto"/>
            </w:tcBorders>
            <w:vAlign w:val="center"/>
          </w:tcPr>
          <w:p w:rsidR="00DD32B8" w:rsidRPr="00AA5C00" w:rsidRDefault="00DD32B8" w:rsidP="000A3CA3">
            <w:pPr>
              <w:keepNext/>
              <w:spacing w:line="240" w:lineRule="auto"/>
              <w:jc w:val="center"/>
              <w:rPr>
                <w:rFonts w:eastAsia="Times New Roman"/>
                <w:sz w:val="24"/>
                <w:szCs w:val="24"/>
                <w:lang w:eastAsia="ru-RU"/>
              </w:rPr>
            </w:pPr>
            <w:r w:rsidRPr="00AA5C00">
              <w:rPr>
                <w:rFonts w:eastAsia="Times New Roman"/>
                <w:sz w:val="24"/>
                <w:szCs w:val="24"/>
                <w:lang w:eastAsia="ru-RU"/>
              </w:rPr>
              <w:t>4,15</w:t>
            </w:r>
          </w:p>
        </w:tc>
        <w:tc>
          <w:tcPr>
            <w:tcW w:w="969" w:type="dxa"/>
            <w:tcBorders>
              <w:top w:val="single" w:sz="4" w:space="0" w:color="auto"/>
              <w:left w:val="single" w:sz="4" w:space="0" w:color="auto"/>
              <w:bottom w:val="single" w:sz="4" w:space="0" w:color="auto"/>
              <w:right w:val="single" w:sz="4" w:space="0" w:color="auto"/>
            </w:tcBorders>
            <w:vAlign w:val="center"/>
          </w:tcPr>
          <w:p w:rsidR="00DD32B8" w:rsidRPr="00AA5C00" w:rsidRDefault="00DD32B8" w:rsidP="000A3CA3">
            <w:pPr>
              <w:keepNext/>
              <w:spacing w:line="240" w:lineRule="auto"/>
              <w:jc w:val="center"/>
              <w:rPr>
                <w:rFonts w:eastAsia="Times New Roman"/>
                <w:sz w:val="24"/>
                <w:szCs w:val="24"/>
                <w:lang w:eastAsia="ru-RU"/>
              </w:rPr>
            </w:pPr>
            <w:r w:rsidRPr="00AA5C00">
              <w:rPr>
                <w:rFonts w:eastAsia="Times New Roman"/>
                <w:sz w:val="24"/>
                <w:szCs w:val="24"/>
                <w:lang w:eastAsia="ru-RU"/>
              </w:rPr>
              <w:t>4,05</w:t>
            </w:r>
          </w:p>
        </w:tc>
        <w:tc>
          <w:tcPr>
            <w:tcW w:w="968" w:type="dxa"/>
            <w:tcBorders>
              <w:top w:val="single" w:sz="4" w:space="0" w:color="auto"/>
              <w:left w:val="single" w:sz="4" w:space="0" w:color="auto"/>
              <w:bottom w:val="single" w:sz="4" w:space="0" w:color="auto"/>
              <w:right w:val="single" w:sz="4" w:space="0" w:color="auto"/>
            </w:tcBorders>
            <w:vAlign w:val="center"/>
          </w:tcPr>
          <w:p w:rsidR="00DD32B8" w:rsidRPr="00AA5C00" w:rsidRDefault="00DD32B8" w:rsidP="000A3CA3">
            <w:pPr>
              <w:keepNext/>
              <w:spacing w:line="240" w:lineRule="auto"/>
              <w:jc w:val="center"/>
              <w:rPr>
                <w:rFonts w:eastAsia="Times New Roman"/>
                <w:sz w:val="24"/>
                <w:szCs w:val="24"/>
                <w:lang w:eastAsia="ru-RU"/>
              </w:rPr>
            </w:pPr>
            <w:r w:rsidRPr="00AA5C00">
              <w:rPr>
                <w:rFonts w:eastAsia="Times New Roman"/>
                <w:sz w:val="24"/>
                <w:szCs w:val="24"/>
                <w:lang w:eastAsia="ru-RU"/>
              </w:rPr>
              <w:t>4,53</w:t>
            </w:r>
          </w:p>
        </w:tc>
        <w:tc>
          <w:tcPr>
            <w:tcW w:w="969" w:type="dxa"/>
            <w:tcBorders>
              <w:top w:val="single" w:sz="4" w:space="0" w:color="auto"/>
              <w:left w:val="single" w:sz="4" w:space="0" w:color="auto"/>
              <w:bottom w:val="single" w:sz="4" w:space="0" w:color="auto"/>
              <w:right w:val="single" w:sz="4" w:space="0" w:color="auto"/>
            </w:tcBorders>
            <w:vAlign w:val="center"/>
          </w:tcPr>
          <w:p w:rsidR="00DD32B8" w:rsidRPr="00AA5C00" w:rsidRDefault="00DD32B8" w:rsidP="000A3CA3">
            <w:pPr>
              <w:keepNext/>
              <w:spacing w:line="240" w:lineRule="auto"/>
              <w:jc w:val="center"/>
              <w:rPr>
                <w:rFonts w:eastAsia="Times New Roman"/>
                <w:sz w:val="24"/>
                <w:szCs w:val="24"/>
                <w:lang w:eastAsia="ru-RU"/>
              </w:rPr>
            </w:pPr>
            <w:r w:rsidRPr="00AA5C00">
              <w:rPr>
                <w:rFonts w:eastAsia="Times New Roman"/>
                <w:sz w:val="24"/>
                <w:szCs w:val="24"/>
                <w:lang w:eastAsia="ru-RU"/>
              </w:rPr>
              <w:t>4,42</w:t>
            </w:r>
          </w:p>
        </w:tc>
        <w:tc>
          <w:tcPr>
            <w:tcW w:w="968" w:type="dxa"/>
            <w:tcBorders>
              <w:top w:val="single" w:sz="4" w:space="0" w:color="auto"/>
              <w:left w:val="single" w:sz="4" w:space="0" w:color="auto"/>
              <w:bottom w:val="single" w:sz="4" w:space="0" w:color="auto"/>
              <w:right w:val="single" w:sz="4" w:space="0" w:color="auto"/>
            </w:tcBorders>
            <w:vAlign w:val="center"/>
          </w:tcPr>
          <w:p w:rsidR="00DD32B8" w:rsidRPr="00AA5C00" w:rsidRDefault="00DD32B8" w:rsidP="000A3CA3">
            <w:pPr>
              <w:keepNext/>
              <w:spacing w:line="240" w:lineRule="auto"/>
              <w:jc w:val="center"/>
              <w:rPr>
                <w:rFonts w:eastAsia="Times New Roman"/>
                <w:sz w:val="24"/>
                <w:szCs w:val="24"/>
                <w:lang w:eastAsia="ru-RU"/>
              </w:rPr>
            </w:pPr>
            <w:r w:rsidRPr="00AA5C00">
              <w:rPr>
                <w:rFonts w:eastAsia="Times New Roman"/>
                <w:sz w:val="24"/>
                <w:szCs w:val="24"/>
                <w:lang w:eastAsia="ru-RU"/>
              </w:rPr>
              <w:t>0,75</w:t>
            </w:r>
          </w:p>
        </w:tc>
        <w:tc>
          <w:tcPr>
            <w:tcW w:w="969" w:type="dxa"/>
            <w:tcBorders>
              <w:top w:val="single" w:sz="4" w:space="0" w:color="auto"/>
              <w:left w:val="single" w:sz="4" w:space="0" w:color="auto"/>
              <w:bottom w:val="single" w:sz="4" w:space="0" w:color="auto"/>
              <w:right w:val="single" w:sz="4" w:space="0" w:color="auto"/>
            </w:tcBorders>
            <w:vAlign w:val="center"/>
          </w:tcPr>
          <w:p w:rsidR="00DD32B8" w:rsidRPr="00AA5C00" w:rsidRDefault="00DD32B8" w:rsidP="000A3CA3">
            <w:pPr>
              <w:keepNext/>
              <w:spacing w:line="240" w:lineRule="auto"/>
              <w:jc w:val="center"/>
              <w:rPr>
                <w:rFonts w:eastAsia="Times New Roman"/>
                <w:sz w:val="24"/>
                <w:szCs w:val="24"/>
                <w:lang w:eastAsia="ru-RU"/>
              </w:rPr>
            </w:pPr>
            <w:r w:rsidRPr="00AA5C00">
              <w:rPr>
                <w:rFonts w:eastAsia="Times New Roman"/>
                <w:sz w:val="24"/>
                <w:szCs w:val="24"/>
                <w:lang w:eastAsia="ru-RU"/>
              </w:rPr>
              <w:t>0,74</w:t>
            </w:r>
          </w:p>
        </w:tc>
      </w:tr>
      <w:tr w:rsidR="00DD32B8" w:rsidRPr="00AA5C00" w:rsidTr="00DD32B8">
        <w:trPr>
          <w:trHeight w:val="404"/>
          <w:jc w:val="center"/>
        </w:trPr>
        <w:tc>
          <w:tcPr>
            <w:tcW w:w="4395" w:type="dxa"/>
            <w:tcBorders>
              <w:top w:val="single" w:sz="4" w:space="0" w:color="auto"/>
              <w:left w:val="single" w:sz="4" w:space="0" w:color="auto"/>
              <w:bottom w:val="single" w:sz="4" w:space="0" w:color="auto"/>
              <w:right w:val="single" w:sz="4" w:space="0" w:color="auto"/>
            </w:tcBorders>
            <w:vAlign w:val="bottom"/>
          </w:tcPr>
          <w:p w:rsidR="00DD32B8" w:rsidRPr="00AA5C00" w:rsidRDefault="00DD32B8" w:rsidP="000A3CA3">
            <w:pPr>
              <w:keepNext/>
              <w:spacing w:line="240" w:lineRule="auto"/>
              <w:jc w:val="left"/>
              <w:rPr>
                <w:rFonts w:eastAsia="Times New Roman"/>
                <w:sz w:val="24"/>
                <w:szCs w:val="24"/>
                <w:lang w:eastAsia="ru-RU"/>
              </w:rPr>
            </w:pPr>
            <w:r w:rsidRPr="00AA5C00">
              <w:rPr>
                <w:rFonts w:eastAsia="Times New Roman"/>
                <w:sz w:val="24"/>
                <w:szCs w:val="24"/>
                <w:lang w:eastAsia="ru-RU"/>
              </w:rPr>
              <w:t>Забезпеченість  лікарями  педіатрами-неонатологами</w:t>
            </w:r>
          </w:p>
        </w:tc>
        <w:tc>
          <w:tcPr>
            <w:tcW w:w="968" w:type="dxa"/>
            <w:tcBorders>
              <w:top w:val="single" w:sz="4" w:space="0" w:color="auto"/>
              <w:left w:val="single" w:sz="4" w:space="0" w:color="auto"/>
              <w:bottom w:val="single" w:sz="4" w:space="0" w:color="auto"/>
              <w:right w:val="single" w:sz="4" w:space="0" w:color="auto"/>
            </w:tcBorders>
            <w:vAlign w:val="center"/>
          </w:tcPr>
          <w:p w:rsidR="00DD32B8" w:rsidRPr="00AA5C00" w:rsidRDefault="00DD32B8" w:rsidP="000A3CA3">
            <w:pPr>
              <w:keepNext/>
              <w:spacing w:line="240" w:lineRule="auto"/>
              <w:jc w:val="center"/>
              <w:rPr>
                <w:rFonts w:eastAsia="Times New Roman"/>
                <w:sz w:val="24"/>
                <w:szCs w:val="24"/>
                <w:lang w:eastAsia="ru-RU"/>
              </w:rPr>
            </w:pPr>
            <w:r w:rsidRPr="00AA5C00">
              <w:rPr>
                <w:rFonts w:eastAsia="Times New Roman"/>
                <w:sz w:val="24"/>
                <w:szCs w:val="24"/>
                <w:lang w:eastAsia="ru-RU"/>
              </w:rPr>
              <w:t>3,44</w:t>
            </w:r>
          </w:p>
        </w:tc>
        <w:tc>
          <w:tcPr>
            <w:tcW w:w="969" w:type="dxa"/>
            <w:tcBorders>
              <w:top w:val="single" w:sz="4" w:space="0" w:color="auto"/>
              <w:left w:val="single" w:sz="4" w:space="0" w:color="auto"/>
              <w:bottom w:val="single" w:sz="4" w:space="0" w:color="auto"/>
              <w:right w:val="single" w:sz="4" w:space="0" w:color="auto"/>
            </w:tcBorders>
            <w:vAlign w:val="center"/>
          </w:tcPr>
          <w:p w:rsidR="00DD32B8" w:rsidRPr="00AA5C00" w:rsidRDefault="00DD32B8" w:rsidP="000A3CA3">
            <w:pPr>
              <w:keepNext/>
              <w:spacing w:line="240" w:lineRule="auto"/>
              <w:jc w:val="center"/>
              <w:rPr>
                <w:rFonts w:eastAsia="Times New Roman"/>
                <w:sz w:val="24"/>
                <w:szCs w:val="24"/>
                <w:lang w:eastAsia="ru-RU"/>
              </w:rPr>
            </w:pPr>
            <w:r w:rsidRPr="00AA5C00">
              <w:rPr>
                <w:rFonts w:eastAsia="Times New Roman"/>
                <w:sz w:val="24"/>
                <w:szCs w:val="24"/>
                <w:lang w:eastAsia="ru-RU"/>
              </w:rPr>
              <w:t>3,50</w:t>
            </w:r>
          </w:p>
        </w:tc>
        <w:tc>
          <w:tcPr>
            <w:tcW w:w="968" w:type="dxa"/>
            <w:tcBorders>
              <w:top w:val="single" w:sz="4" w:space="0" w:color="auto"/>
              <w:left w:val="single" w:sz="4" w:space="0" w:color="auto"/>
              <w:bottom w:val="single" w:sz="4" w:space="0" w:color="auto"/>
              <w:right w:val="single" w:sz="4" w:space="0" w:color="auto"/>
            </w:tcBorders>
            <w:vAlign w:val="center"/>
          </w:tcPr>
          <w:p w:rsidR="00DD32B8" w:rsidRPr="00AA5C00" w:rsidRDefault="00DD32B8" w:rsidP="000A3CA3">
            <w:pPr>
              <w:keepNext/>
              <w:spacing w:line="240" w:lineRule="auto"/>
              <w:jc w:val="center"/>
              <w:rPr>
                <w:rFonts w:eastAsia="Times New Roman"/>
                <w:sz w:val="24"/>
                <w:szCs w:val="24"/>
                <w:lang w:eastAsia="ru-RU"/>
              </w:rPr>
            </w:pPr>
            <w:r w:rsidRPr="00AA5C00">
              <w:rPr>
                <w:rFonts w:eastAsia="Times New Roman"/>
                <w:sz w:val="24"/>
                <w:szCs w:val="24"/>
                <w:lang w:eastAsia="ru-RU"/>
              </w:rPr>
              <w:t>3,75</w:t>
            </w:r>
          </w:p>
        </w:tc>
        <w:tc>
          <w:tcPr>
            <w:tcW w:w="969" w:type="dxa"/>
            <w:tcBorders>
              <w:top w:val="single" w:sz="4" w:space="0" w:color="auto"/>
              <w:left w:val="single" w:sz="4" w:space="0" w:color="auto"/>
              <w:bottom w:val="single" w:sz="4" w:space="0" w:color="auto"/>
              <w:right w:val="single" w:sz="4" w:space="0" w:color="auto"/>
            </w:tcBorders>
            <w:vAlign w:val="center"/>
          </w:tcPr>
          <w:p w:rsidR="00DD32B8" w:rsidRPr="00AA5C00" w:rsidRDefault="00DD32B8" w:rsidP="000A3CA3">
            <w:pPr>
              <w:keepNext/>
              <w:spacing w:line="240" w:lineRule="auto"/>
              <w:jc w:val="center"/>
              <w:rPr>
                <w:rFonts w:eastAsia="Times New Roman"/>
                <w:sz w:val="24"/>
                <w:szCs w:val="24"/>
                <w:lang w:eastAsia="ru-RU"/>
              </w:rPr>
            </w:pPr>
            <w:r w:rsidRPr="00AA5C00">
              <w:rPr>
                <w:rFonts w:eastAsia="Times New Roman"/>
                <w:sz w:val="24"/>
                <w:szCs w:val="24"/>
                <w:lang w:eastAsia="ru-RU"/>
              </w:rPr>
              <w:t>3,82</w:t>
            </w:r>
          </w:p>
        </w:tc>
        <w:tc>
          <w:tcPr>
            <w:tcW w:w="968" w:type="dxa"/>
            <w:tcBorders>
              <w:top w:val="single" w:sz="4" w:space="0" w:color="auto"/>
              <w:left w:val="single" w:sz="4" w:space="0" w:color="auto"/>
              <w:bottom w:val="single" w:sz="4" w:space="0" w:color="auto"/>
              <w:right w:val="single" w:sz="4" w:space="0" w:color="auto"/>
            </w:tcBorders>
            <w:vAlign w:val="center"/>
          </w:tcPr>
          <w:p w:rsidR="00DD32B8" w:rsidRPr="00AA5C00" w:rsidRDefault="00DD32B8" w:rsidP="000A3CA3">
            <w:pPr>
              <w:keepNext/>
              <w:spacing w:line="240" w:lineRule="auto"/>
              <w:jc w:val="center"/>
              <w:rPr>
                <w:rFonts w:eastAsia="Times New Roman"/>
                <w:sz w:val="24"/>
                <w:szCs w:val="24"/>
                <w:lang w:eastAsia="ru-RU"/>
              </w:rPr>
            </w:pPr>
            <w:r w:rsidRPr="00AA5C00">
              <w:rPr>
                <w:rFonts w:eastAsia="Times New Roman"/>
                <w:sz w:val="24"/>
                <w:szCs w:val="24"/>
                <w:lang w:eastAsia="ru-RU"/>
              </w:rPr>
              <w:t>0,63</w:t>
            </w:r>
          </w:p>
        </w:tc>
        <w:tc>
          <w:tcPr>
            <w:tcW w:w="969" w:type="dxa"/>
            <w:tcBorders>
              <w:top w:val="single" w:sz="4" w:space="0" w:color="auto"/>
              <w:left w:val="single" w:sz="4" w:space="0" w:color="auto"/>
              <w:bottom w:val="single" w:sz="4" w:space="0" w:color="auto"/>
              <w:right w:val="single" w:sz="4" w:space="0" w:color="auto"/>
            </w:tcBorders>
            <w:vAlign w:val="center"/>
          </w:tcPr>
          <w:p w:rsidR="00DD32B8" w:rsidRPr="00AA5C00" w:rsidRDefault="00DD32B8" w:rsidP="000A3CA3">
            <w:pPr>
              <w:keepNext/>
              <w:spacing w:line="240" w:lineRule="auto"/>
              <w:jc w:val="center"/>
              <w:rPr>
                <w:rFonts w:eastAsia="Times New Roman"/>
                <w:sz w:val="24"/>
                <w:szCs w:val="24"/>
                <w:lang w:eastAsia="ru-RU"/>
              </w:rPr>
            </w:pPr>
            <w:r w:rsidRPr="00AA5C00">
              <w:rPr>
                <w:rFonts w:eastAsia="Times New Roman"/>
                <w:sz w:val="24"/>
                <w:szCs w:val="24"/>
                <w:lang w:eastAsia="ru-RU"/>
              </w:rPr>
              <w:t>0,64</w:t>
            </w:r>
          </w:p>
        </w:tc>
      </w:tr>
      <w:tr w:rsidR="00DD32B8" w:rsidRPr="00AA5C00" w:rsidTr="00DD32B8">
        <w:trPr>
          <w:trHeight w:val="404"/>
          <w:jc w:val="center"/>
        </w:trPr>
        <w:tc>
          <w:tcPr>
            <w:tcW w:w="4395" w:type="dxa"/>
            <w:tcBorders>
              <w:top w:val="single" w:sz="4" w:space="0" w:color="auto"/>
              <w:left w:val="single" w:sz="4" w:space="0" w:color="auto"/>
              <w:bottom w:val="single" w:sz="4" w:space="0" w:color="auto"/>
              <w:right w:val="single" w:sz="4" w:space="0" w:color="auto"/>
            </w:tcBorders>
            <w:vAlign w:val="bottom"/>
          </w:tcPr>
          <w:p w:rsidR="00DD32B8" w:rsidRPr="00AA5C00" w:rsidRDefault="00DD32B8" w:rsidP="000A3CA3">
            <w:pPr>
              <w:keepNext/>
              <w:spacing w:line="240" w:lineRule="auto"/>
              <w:jc w:val="left"/>
              <w:rPr>
                <w:rFonts w:eastAsia="Times New Roman"/>
                <w:sz w:val="24"/>
                <w:szCs w:val="24"/>
                <w:lang w:eastAsia="ru-RU"/>
              </w:rPr>
            </w:pPr>
            <w:r w:rsidRPr="00AA5C00">
              <w:rPr>
                <w:rFonts w:eastAsia="Times New Roman"/>
                <w:sz w:val="24"/>
                <w:szCs w:val="24"/>
                <w:lang w:eastAsia="ru-RU"/>
              </w:rPr>
              <w:t>Питома вага атестованих лікарів акушер-гінекологів</w:t>
            </w:r>
          </w:p>
        </w:tc>
        <w:tc>
          <w:tcPr>
            <w:tcW w:w="968" w:type="dxa"/>
            <w:tcBorders>
              <w:top w:val="single" w:sz="4" w:space="0" w:color="auto"/>
              <w:left w:val="single" w:sz="4" w:space="0" w:color="auto"/>
              <w:bottom w:val="single" w:sz="4" w:space="0" w:color="auto"/>
              <w:right w:val="single" w:sz="4" w:space="0" w:color="auto"/>
            </w:tcBorders>
            <w:vAlign w:val="center"/>
          </w:tcPr>
          <w:p w:rsidR="00DD32B8" w:rsidRPr="00AA5C00" w:rsidRDefault="00DD32B8" w:rsidP="000A3CA3">
            <w:pPr>
              <w:keepNext/>
              <w:spacing w:line="240" w:lineRule="auto"/>
              <w:jc w:val="center"/>
              <w:rPr>
                <w:rFonts w:eastAsia="Times New Roman"/>
                <w:sz w:val="24"/>
                <w:szCs w:val="24"/>
                <w:lang w:eastAsia="ru-RU"/>
              </w:rPr>
            </w:pPr>
            <w:r w:rsidRPr="00AA5C00">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DD32B8" w:rsidRPr="00AA5C00" w:rsidRDefault="00DD32B8" w:rsidP="000A3CA3">
            <w:pPr>
              <w:keepNext/>
              <w:spacing w:line="240" w:lineRule="auto"/>
              <w:jc w:val="center"/>
              <w:rPr>
                <w:rFonts w:eastAsia="Times New Roman"/>
                <w:sz w:val="24"/>
                <w:szCs w:val="24"/>
                <w:lang w:eastAsia="ru-RU"/>
              </w:rPr>
            </w:pPr>
            <w:r w:rsidRPr="00AA5C00">
              <w:rPr>
                <w:rFonts w:eastAsia="Times New Roman"/>
                <w:sz w:val="24"/>
                <w:szCs w:val="24"/>
                <w:lang w:eastAsia="ru-RU"/>
              </w:rPr>
              <w:t>86,36</w:t>
            </w:r>
          </w:p>
        </w:tc>
        <w:tc>
          <w:tcPr>
            <w:tcW w:w="968" w:type="dxa"/>
            <w:tcBorders>
              <w:top w:val="single" w:sz="4" w:space="0" w:color="auto"/>
              <w:left w:val="single" w:sz="4" w:space="0" w:color="auto"/>
              <w:bottom w:val="single" w:sz="4" w:space="0" w:color="auto"/>
              <w:right w:val="single" w:sz="4" w:space="0" w:color="auto"/>
            </w:tcBorders>
            <w:vAlign w:val="center"/>
          </w:tcPr>
          <w:p w:rsidR="00DD32B8" w:rsidRPr="00AA5C00" w:rsidRDefault="00DD32B8" w:rsidP="000A3CA3">
            <w:pPr>
              <w:keepNext/>
              <w:spacing w:line="240" w:lineRule="auto"/>
              <w:jc w:val="center"/>
              <w:rPr>
                <w:rFonts w:eastAsia="Times New Roman"/>
                <w:sz w:val="24"/>
                <w:szCs w:val="24"/>
                <w:lang w:eastAsia="ru-RU"/>
              </w:rPr>
            </w:pPr>
            <w:r w:rsidRPr="00AA5C00">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DD32B8" w:rsidRPr="00AA5C00" w:rsidRDefault="00DD32B8" w:rsidP="000A3CA3">
            <w:pPr>
              <w:keepNext/>
              <w:spacing w:line="240" w:lineRule="auto"/>
              <w:jc w:val="center"/>
              <w:rPr>
                <w:rFonts w:eastAsia="Times New Roman"/>
                <w:sz w:val="24"/>
                <w:szCs w:val="24"/>
                <w:lang w:eastAsia="ru-RU"/>
              </w:rPr>
            </w:pPr>
            <w:r w:rsidRPr="00AA5C00">
              <w:rPr>
                <w:rFonts w:eastAsia="Times New Roman"/>
                <w:sz w:val="24"/>
                <w:szCs w:val="24"/>
                <w:lang w:eastAsia="ru-RU"/>
              </w:rPr>
              <w:t>5,76</w:t>
            </w:r>
          </w:p>
        </w:tc>
        <w:tc>
          <w:tcPr>
            <w:tcW w:w="968" w:type="dxa"/>
            <w:tcBorders>
              <w:top w:val="single" w:sz="4" w:space="0" w:color="auto"/>
              <w:left w:val="single" w:sz="4" w:space="0" w:color="auto"/>
              <w:bottom w:val="single" w:sz="4" w:space="0" w:color="auto"/>
              <w:right w:val="single" w:sz="4" w:space="0" w:color="auto"/>
            </w:tcBorders>
            <w:vAlign w:val="center"/>
          </w:tcPr>
          <w:p w:rsidR="00DD32B8" w:rsidRPr="00AA5C00" w:rsidRDefault="00DD32B8" w:rsidP="000A3CA3">
            <w:pPr>
              <w:keepNext/>
              <w:spacing w:line="240" w:lineRule="auto"/>
              <w:jc w:val="center"/>
              <w:rPr>
                <w:rFonts w:eastAsia="Times New Roman"/>
                <w:sz w:val="24"/>
                <w:szCs w:val="24"/>
                <w:lang w:eastAsia="ru-RU"/>
              </w:rPr>
            </w:pPr>
            <w:r w:rsidRPr="00AA5C00">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DD32B8" w:rsidRPr="00AA5C00" w:rsidRDefault="00DD32B8" w:rsidP="000A3CA3">
            <w:pPr>
              <w:keepNext/>
              <w:spacing w:line="240" w:lineRule="auto"/>
              <w:jc w:val="center"/>
              <w:rPr>
                <w:rFonts w:eastAsia="Times New Roman"/>
                <w:sz w:val="24"/>
                <w:szCs w:val="24"/>
                <w:lang w:eastAsia="ru-RU"/>
              </w:rPr>
            </w:pPr>
            <w:r w:rsidRPr="00AA5C00">
              <w:rPr>
                <w:rFonts w:eastAsia="Times New Roman"/>
                <w:sz w:val="24"/>
                <w:szCs w:val="24"/>
                <w:lang w:eastAsia="ru-RU"/>
              </w:rPr>
              <w:t>0,96</w:t>
            </w:r>
          </w:p>
        </w:tc>
      </w:tr>
      <w:tr w:rsidR="00DD32B8" w:rsidRPr="00AA5C00" w:rsidTr="00DD32B8">
        <w:trPr>
          <w:trHeight w:val="404"/>
          <w:jc w:val="center"/>
        </w:trPr>
        <w:tc>
          <w:tcPr>
            <w:tcW w:w="4395" w:type="dxa"/>
            <w:tcBorders>
              <w:top w:val="single" w:sz="4" w:space="0" w:color="auto"/>
              <w:left w:val="single" w:sz="4" w:space="0" w:color="auto"/>
              <w:bottom w:val="single" w:sz="4" w:space="0" w:color="auto"/>
              <w:right w:val="single" w:sz="4" w:space="0" w:color="auto"/>
            </w:tcBorders>
            <w:vAlign w:val="bottom"/>
          </w:tcPr>
          <w:p w:rsidR="00DD32B8" w:rsidRPr="00AA5C00" w:rsidRDefault="00DD32B8" w:rsidP="000A3CA3">
            <w:pPr>
              <w:keepNext/>
              <w:spacing w:line="240" w:lineRule="auto"/>
              <w:jc w:val="left"/>
              <w:rPr>
                <w:rFonts w:eastAsia="Times New Roman"/>
                <w:sz w:val="24"/>
                <w:szCs w:val="24"/>
                <w:lang w:eastAsia="ru-RU"/>
              </w:rPr>
            </w:pPr>
            <w:r w:rsidRPr="00AA5C00">
              <w:rPr>
                <w:rFonts w:eastAsia="Times New Roman"/>
                <w:sz w:val="24"/>
                <w:szCs w:val="24"/>
                <w:lang w:eastAsia="ru-RU"/>
              </w:rPr>
              <w:t>Питома вага атестованих лікарів педіатрів-неонатологів</w:t>
            </w:r>
          </w:p>
        </w:tc>
        <w:tc>
          <w:tcPr>
            <w:tcW w:w="968" w:type="dxa"/>
            <w:tcBorders>
              <w:top w:val="single" w:sz="4" w:space="0" w:color="auto"/>
              <w:left w:val="single" w:sz="4" w:space="0" w:color="auto"/>
              <w:bottom w:val="single" w:sz="4" w:space="0" w:color="auto"/>
              <w:right w:val="single" w:sz="4" w:space="0" w:color="auto"/>
            </w:tcBorders>
            <w:vAlign w:val="center"/>
          </w:tcPr>
          <w:p w:rsidR="00DD32B8" w:rsidRPr="00AA5C00" w:rsidRDefault="00DD32B8" w:rsidP="000A3CA3">
            <w:pPr>
              <w:keepNext/>
              <w:spacing w:line="240" w:lineRule="auto"/>
              <w:jc w:val="center"/>
              <w:rPr>
                <w:rFonts w:eastAsia="Times New Roman"/>
                <w:sz w:val="24"/>
                <w:szCs w:val="24"/>
                <w:lang w:eastAsia="ru-RU"/>
              </w:rPr>
            </w:pPr>
            <w:r w:rsidRPr="00AA5C00">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DD32B8" w:rsidRPr="00AA5C00" w:rsidRDefault="00DD32B8" w:rsidP="000A3CA3">
            <w:pPr>
              <w:keepNext/>
              <w:spacing w:line="240" w:lineRule="auto"/>
              <w:jc w:val="center"/>
              <w:rPr>
                <w:rFonts w:eastAsia="Times New Roman"/>
                <w:sz w:val="24"/>
                <w:szCs w:val="24"/>
                <w:lang w:eastAsia="ru-RU"/>
              </w:rPr>
            </w:pPr>
            <w:r w:rsidRPr="00AA5C00">
              <w:rPr>
                <w:rFonts w:eastAsia="Times New Roman"/>
                <w:sz w:val="24"/>
                <w:szCs w:val="24"/>
                <w:lang w:eastAsia="ru-RU"/>
              </w:rPr>
              <w:t>89,58</w:t>
            </w:r>
          </w:p>
        </w:tc>
        <w:tc>
          <w:tcPr>
            <w:tcW w:w="968" w:type="dxa"/>
            <w:tcBorders>
              <w:top w:val="single" w:sz="4" w:space="0" w:color="auto"/>
              <w:left w:val="single" w:sz="4" w:space="0" w:color="auto"/>
              <w:bottom w:val="single" w:sz="4" w:space="0" w:color="auto"/>
              <w:right w:val="single" w:sz="4" w:space="0" w:color="auto"/>
            </w:tcBorders>
            <w:vAlign w:val="center"/>
          </w:tcPr>
          <w:p w:rsidR="00DD32B8" w:rsidRPr="00AA5C00" w:rsidRDefault="00DD32B8" w:rsidP="000A3CA3">
            <w:pPr>
              <w:keepNext/>
              <w:spacing w:line="240" w:lineRule="auto"/>
              <w:jc w:val="center"/>
              <w:rPr>
                <w:rFonts w:eastAsia="Times New Roman"/>
                <w:sz w:val="24"/>
                <w:szCs w:val="24"/>
                <w:lang w:eastAsia="ru-RU"/>
              </w:rPr>
            </w:pPr>
            <w:r w:rsidRPr="00AA5C00">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DD32B8" w:rsidRPr="00AA5C00" w:rsidRDefault="00DD32B8" w:rsidP="000A3CA3">
            <w:pPr>
              <w:keepNext/>
              <w:spacing w:line="240" w:lineRule="auto"/>
              <w:jc w:val="center"/>
              <w:rPr>
                <w:rFonts w:eastAsia="Times New Roman"/>
                <w:sz w:val="24"/>
                <w:szCs w:val="24"/>
                <w:lang w:eastAsia="ru-RU"/>
              </w:rPr>
            </w:pPr>
            <w:r w:rsidRPr="00AA5C00">
              <w:rPr>
                <w:rFonts w:eastAsia="Times New Roman"/>
                <w:sz w:val="24"/>
                <w:szCs w:val="24"/>
                <w:lang w:eastAsia="ru-RU"/>
              </w:rPr>
              <w:t>6,0</w:t>
            </w:r>
          </w:p>
        </w:tc>
        <w:tc>
          <w:tcPr>
            <w:tcW w:w="968" w:type="dxa"/>
            <w:tcBorders>
              <w:top w:val="single" w:sz="4" w:space="0" w:color="auto"/>
              <w:left w:val="single" w:sz="4" w:space="0" w:color="auto"/>
              <w:bottom w:val="single" w:sz="4" w:space="0" w:color="auto"/>
              <w:right w:val="single" w:sz="4" w:space="0" w:color="auto"/>
            </w:tcBorders>
            <w:vAlign w:val="center"/>
          </w:tcPr>
          <w:p w:rsidR="00DD32B8" w:rsidRPr="00AA5C00" w:rsidRDefault="00DD32B8" w:rsidP="000A3CA3">
            <w:pPr>
              <w:keepNext/>
              <w:spacing w:line="240" w:lineRule="auto"/>
              <w:jc w:val="center"/>
              <w:rPr>
                <w:rFonts w:eastAsia="Times New Roman"/>
                <w:sz w:val="24"/>
                <w:szCs w:val="24"/>
                <w:lang w:eastAsia="ru-RU"/>
              </w:rPr>
            </w:pPr>
            <w:r w:rsidRPr="00AA5C00">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DD32B8" w:rsidRPr="00AA5C00" w:rsidRDefault="00DD32B8" w:rsidP="000A3CA3">
            <w:pPr>
              <w:keepNext/>
              <w:spacing w:line="240" w:lineRule="auto"/>
              <w:jc w:val="center"/>
              <w:rPr>
                <w:rFonts w:eastAsia="Times New Roman"/>
                <w:sz w:val="24"/>
                <w:szCs w:val="24"/>
                <w:lang w:eastAsia="ru-RU"/>
              </w:rPr>
            </w:pPr>
            <w:r w:rsidRPr="00AA5C00">
              <w:rPr>
                <w:rFonts w:eastAsia="Times New Roman"/>
                <w:sz w:val="24"/>
                <w:szCs w:val="24"/>
                <w:lang w:eastAsia="ru-RU"/>
              </w:rPr>
              <w:t>1,00</w:t>
            </w:r>
          </w:p>
        </w:tc>
      </w:tr>
      <w:tr w:rsidR="00DD32B8" w:rsidRPr="00AA5C00" w:rsidTr="00DD32B8">
        <w:trPr>
          <w:trHeight w:val="244"/>
          <w:jc w:val="center"/>
        </w:trPr>
        <w:tc>
          <w:tcPr>
            <w:tcW w:w="4395" w:type="dxa"/>
            <w:tcBorders>
              <w:top w:val="single" w:sz="4" w:space="0" w:color="auto"/>
              <w:left w:val="single" w:sz="4" w:space="0" w:color="auto"/>
              <w:bottom w:val="single" w:sz="4" w:space="0" w:color="auto"/>
              <w:right w:val="single" w:sz="4" w:space="0" w:color="auto"/>
            </w:tcBorders>
            <w:vAlign w:val="center"/>
          </w:tcPr>
          <w:p w:rsidR="00DD32B8" w:rsidRPr="00AA5C00" w:rsidRDefault="00DD32B8" w:rsidP="000A3CA3">
            <w:pPr>
              <w:keepNext/>
              <w:spacing w:line="240" w:lineRule="auto"/>
              <w:jc w:val="left"/>
              <w:rPr>
                <w:rFonts w:eastAsia="Times New Roman"/>
                <w:sz w:val="24"/>
                <w:szCs w:val="24"/>
                <w:lang w:eastAsia="ru-RU"/>
              </w:rPr>
            </w:pPr>
            <w:r w:rsidRPr="00AA5C00">
              <w:rPr>
                <w:rFonts w:eastAsia="Times New Roman"/>
                <w:sz w:val="24"/>
                <w:szCs w:val="24"/>
                <w:lang w:eastAsia="ru-RU"/>
              </w:rPr>
              <w:t xml:space="preserve">Своєчасність постановки на облік вагітних </w:t>
            </w:r>
          </w:p>
        </w:tc>
        <w:tc>
          <w:tcPr>
            <w:tcW w:w="968" w:type="dxa"/>
            <w:tcBorders>
              <w:top w:val="single" w:sz="4" w:space="0" w:color="auto"/>
              <w:left w:val="single" w:sz="4" w:space="0" w:color="auto"/>
              <w:bottom w:val="single" w:sz="4" w:space="0" w:color="auto"/>
              <w:right w:val="single" w:sz="4" w:space="0" w:color="auto"/>
            </w:tcBorders>
            <w:vAlign w:val="center"/>
          </w:tcPr>
          <w:p w:rsidR="00DD32B8" w:rsidRPr="00AA5C00" w:rsidRDefault="00DD32B8" w:rsidP="000A3CA3">
            <w:pPr>
              <w:keepNext/>
              <w:spacing w:line="240" w:lineRule="auto"/>
              <w:jc w:val="center"/>
              <w:rPr>
                <w:rFonts w:eastAsia="Times New Roman"/>
                <w:sz w:val="24"/>
                <w:szCs w:val="24"/>
                <w:lang w:eastAsia="ru-RU"/>
              </w:rPr>
            </w:pPr>
            <w:r w:rsidRPr="00AA5C00">
              <w:rPr>
                <w:rFonts w:eastAsia="Times New Roman"/>
                <w:sz w:val="24"/>
                <w:szCs w:val="24"/>
                <w:lang w:eastAsia="ru-RU"/>
              </w:rPr>
              <w:t>92,58</w:t>
            </w:r>
          </w:p>
        </w:tc>
        <w:tc>
          <w:tcPr>
            <w:tcW w:w="969" w:type="dxa"/>
            <w:tcBorders>
              <w:top w:val="single" w:sz="4" w:space="0" w:color="auto"/>
              <w:left w:val="single" w:sz="4" w:space="0" w:color="auto"/>
              <w:bottom w:val="single" w:sz="4" w:space="0" w:color="auto"/>
              <w:right w:val="single" w:sz="4" w:space="0" w:color="auto"/>
            </w:tcBorders>
            <w:vAlign w:val="center"/>
          </w:tcPr>
          <w:p w:rsidR="00DD32B8" w:rsidRPr="00AA5C00" w:rsidRDefault="00DD32B8" w:rsidP="000A3CA3">
            <w:pPr>
              <w:keepNext/>
              <w:spacing w:line="240" w:lineRule="auto"/>
              <w:jc w:val="center"/>
              <w:rPr>
                <w:rFonts w:eastAsia="Times New Roman"/>
                <w:sz w:val="24"/>
                <w:szCs w:val="24"/>
                <w:lang w:eastAsia="ru-RU"/>
              </w:rPr>
            </w:pPr>
            <w:r w:rsidRPr="00AA5C00">
              <w:rPr>
                <w:rFonts w:eastAsia="Times New Roman"/>
                <w:sz w:val="24"/>
                <w:szCs w:val="24"/>
                <w:lang w:eastAsia="ru-RU"/>
              </w:rPr>
              <w:t>87,63</w:t>
            </w:r>
          </w:p>
        </w:tc>
        <w:tc>
          <w:tcPr>
            <w:tcW w:w="968" w:type="dxa"/>
            <w:tcBorders>
              <w:top w:val="single" w:sz="4" w:space="0" w:color="auto"/>
              <w:left w:val="single" w:sz="4" w:space="0" w:color="auto"/>
              <w:bottom w:val="single" w:sz="4" w:space="0" w:color="auto"/>
              <w:right w:val="single" w:sz="4" w:space="0" w:color="auto"/>
            </w:tcBorders>
            <w:vAlign w:val="center"/>
          </w:tcPr>
          <w:p w:rsidR="00DD32B8" w:rsidRPr="00AA5C00" w:rsidRDefault="00DD32B8" w:rsidP="000A3CA3">
            <w:pPr>
              <w:keepNext/>
              <w:spacing w:line="240" w:lineRule="auto"/>
              <w:jc w:val="center"/>
              <w:rPr>
                <w:rFonts w:eastAsia="Times New Roman"/>
                <w:sz w:val="24"/>
                <w:szCs w:val="24"/>
                <w:lang w:eastAsia="ru-RU"/>
              </w:rPr>
            </w:pPr>
            <w:r w:rsidRPr="00AA5C00">
              <w:rPr>
                <w:rFonts w:eastAsia="Times New Roman"/>
                <w:sz w:val="24"/>
                <w:szCs w:val="24"/>
                <w:lang w:eastAsia="ru-RU"/>
              </w:rPr>
              <w:t>6,82</w:t>
            </w:r>
          </w:p>
        </w:tc>
        <w:tc>
          <w:tcPr>
            <w:tcW w:w="969" w:type="dxa"/>
            <w:tcBorders>
              <w:top w:val="single" w:sz="4" w:space="0" w:color="auto"/>
              <w:left w:val="single" w:sz="4" w:space="0" w:color="auto"/>
              <w:bottom w:val="single" w:sz="4" w:space="0" w:color="auto"/>
              <w:right w:val="single" w:sz="4" w:space="0" w:color="auto"/>
            </w:tcBorders>
            <w:vAlign w:val="center"/>
          </w:tcPr>
          <w:p w:rsidR="00DD32B8" w:rsidRPr="00AA5C00" w:rsidRDefault="00DD32B8" w:rsidP="000A3CA3">
            <w:pPr>
              <w:keepNext/>
              <w:spacing w:line="240" w:lineRule="auto"/>
              <w:jc w:val="center"/>
              <w:rPr>
                <w:rFonts w:eastAsia="Times New Roman"/>
                <w:sz w:val="24"/>
                <w:szCs w:val="24"/>
                <w:lang w:eastAsia="ru-RU"/>
              </w:rPr>
            </w:pPr>
            <w:r w:rsidRPr="00AA5C00">
              <w:rPr>
                <w:rFonts w:eastAsia="Times New Roman"/>
                <w:sz w:val="24"/>
                <w:szCs w:val="24"/>
                <w:lang w:eastAsia="ru-RU"/>
              </w:rPr>
              <w:t>6,48</w:t>
            </w:r>
          </w:p>
        </w:tc>
        <w:tc>
          <w:tcPr>
            <w:tcW w:w="968" w:type="dxa"/>
            <w:tcBorders>
              <w:top w:val="single" w:sz="4" w:space="0" w:color="auto"/>
              <w:left w:val="single" w:sz="4" w:space="0" w:color="auto"/>
              <w:bottom w:val="single" w:sz="4" w:space="0" w:color="auto"/>
              <w:right w:val="single" w:sz="4" w:space="0" w:color="auto"/>
            </w:tcBorders>
            <w:vAlign w:val="center"/>
          </w:tcPr>
          <w:p w:rsidR="00DD32B8" w:rsidRPr="00AA5C00" w:rsidRDefault="00DD32B8" w:rsidP="000A3CA3">
            <w:pPr>
              <w:keepNext/>
              <w:spacing w:line="240" w:lineRule="auto"/>
              <w:jc w:val="center"/>
              <w:rPr>
                <w:rFonts w:eastAsia="Times New Roman"/>
                <w:sz w:val="24"/>
                <w:szCs w:val="24"/>
                <w:lang w:eastAsia="ru-RU"/>
              </w:rPr>
            </w:pPr>
            <w:r w:rsidRPr="00AA5C00">
              <w:rPr>
                <w:rFonts w:eastAsia="Times New Roman"/>
                <w:sz w:val="24"/>
                <w:szCs w:val="24"/>
                <w:lang w:eastAsia="ru-RU"/>
              </w:rPr>
              <w:t>0,97</w:t>
            </w:r>
          </w:p>
        </w:tc>
        <w:tc>
          <w:tcPr>
            <w:tcW w:w="969" w:type="dxa"/>
            <w:tcBorders>
              <w:top w:val="single" w:sz="4" w:space="0" w:color="auto"/>
              <w:left w:val="single" w:sz="4" w:space="0" w:color="auto"/>
              <w:bottom w:val="single" w:sz="4" w:space="0" w:color="auto"/>
              <w:right w:val="single" w:sz="4" w:space="0" w:color="auto"/>
            </w:tcBorders>
            <w:vAlign w:val="center"/>
          </w:tcPr>
          <w:p w:rsidR="00DD32B8" w:rsidRPr="00AA5C00" w:rsidRDefault="00DD32B8" w:rsidP="000A3CA3">
            <w:pPr>
              <w:keepNext/>
              <w:spacing w:line="240" w:lineRule="auto"/>
              <w:jc w:val="center"/>
              <w:rPr>
                <w:rFonts w:eastAsia="Times New Roman"/>
                <w:sz w:val="24"/>
                <w:szCs w:val="24"/>
                <w:lang w:eastAsia="ru-RU"/>
              </w:rPr>
            </w:pPr>
            <w:r w:rsidRPr="00AA5C00">
              <w:rPr>
                <w:rFonts w:eastAsia="Times New Roman"/>
                <w:sz w:val="24"/>
                <w:szCs w:val="24"/>
                <w:lang w:eastAsia="ru-RU"/>
              </w:rPr>
              <w:t>0,93</w:t>
            </w:r>
          </w:p>
        </w:tc>
      </w:tr>
      <w:tr w:rsidR="00DD32B8" w:rsidRPr="00AA5C00" w:rsidTr="00DD32B8">
        <w:trPr>
          <w:trHeight w:val="261"/>
          <w:jc w:val="center"/>
        </w:trPr>
        <w:tc>
          <w:tcPr>
            <w:tcW w:w="4395" w:type="dxa"/>
            <w:tcBorders>
              <w:top w:val="single" w:sz="4" w:space="0" w:color="auto"/>
              <w:left w:val="single" w:sz="4" w:space="0" w:color="auto"/>
              <w:bottom w:val="single" w:sz="4" w:space="0" w:color="auto"/>
              <w:right w:val="single" w:sz="4" w:space="0" w:color="auto"/>
            </w:tcBorders>
            <w:vAlign w:val="center"/>
          </w:tcPr>
          <w:p w:rsidR="00DD32B8" w:rsidRPr="00AA5C00" w:rsidRDefault="00DD32B8" w:rsidP="000A3CA3">
            <w:pPr>
              <w:keepNext/>
              <w:spacing w:line="240" w:lineRule="auto"/>
              <w:jc w:val="left"/>
              <w:rPr>
                <w:rFonts w:eastAsia="Times New Roman"/>
                <w:sz w:val="24"/>
                <w:szCs w:val="24"/>
                <w:lang w:eastAsia="ru-RU"/>
              </w:rPr>
            </w:pPr>
            <w:r w:rsidRPr="00AA5C00">
              <w:rPr>
                <w:rFonts w:eastAsia="Times New Roman"/>
                <w:sz w:val="24"/>
                <w:szCs w:val="24"/>
                <w:lang w:eastAsia="ru-RU"/>
              </w:rPr>
              <w:t>Частота анемій вагітних</w:t>
            </w:r>
          </w:p>
        </w:tc>
        <w:tc>
          <w:tcPr>
            <w:tcW w:w="968" w:type="dxa"/>
            <w:tcBorders>
              <w:top w:val="single" w:sz="4" w:space="0" w:color="auto"/>
              <w:left w:val="single" w:sz="4" w:space="0" w:color="auto"/>
              <w:bottom w:val="single" w:sz="4" w:space="0" w:color="auto"/>
              <w:right w:val="single" w:sz="4" w:space="0" w:color="auto"/>
            </w:tcBorders>
            <w:vAlign w:val="center"/>
          </w:tcPr>
          <w:p w:rsidR="00DD32B8" w:rsidRPr="00AA5C00" w:rsidRDefault="00DD32B8" w:rsidP="000A3CA3">
            <w:pPr>
              <w:keepNext/>
              <w:spacing w:line="240" w:lineRule="auto"/>
              <w:jc w:val="center"/>
              <w:rPr>
                <w:rFonts w:eastAsia="Times New Roman"/>
                <w:sz w:val="24"/>
                <w:szCs w:val="24"/>
                <w:lang w:eastAsia="ru-RU"/>
              </w:rPr>
            </w:pPr>
            <w:r w:rsidRPr="00AA5C00">
              <w:rPr>
                <w:rFonts w:eastAsia="Times New Roman"/>
                <w:sz w:val="24"/>
                <w:szCs w:val="24"/>
                <w:lang w:eastAsia="ru-RU"/>
              </w:rPr>
              <w:t>18,52</w:t>
            </w:r>
          </w:p>
        </w:tc>
        <w:tc>
          <w:tcPr>
            <w:tcW w:w="969" w:type="dxa"/>
            <w:tcBorders>
              <w:top w:val="single" w:sz="4" w:space="0" w:color="auto"/>
              <w:left w:val="single" w:sz="4" w:space="0" w:color="auto"/>
              <w:bottom w:val="single" w:sz="4" w:space="0" w:color="auto"/>
              <w:right w:val="single" w:sz="4" w:space="0" w:color="auto"/>
            </w:tcBorders>
            <w:vAlign w:val="center"/>
          </w:tcPr>
          <w:p w:rsidR="00DD32B8" w:rsidRPr="00AA5C00" w:rsidRDefault="00DD32B8" w:rsidP="000A3CA3">
            <w:pPr>
              <w:keepNext/>
              <w:spacing w:line="240" w:lineRule="auto"/>
              <w:jc w:val="center"/>
              <w:rPr>
                <w:rFonts w:eastAsia="Times New Roman"/>
                <w:sz w:val="24"/>
                <w:szCs w:val="24"/>
                <w:lang w:eastAsia="ru-RU"/>
              </w:rPr>
            </w:pPr>
            <w:r w:rsidRPr="00AA5C00">
              <w:rPr>
                <w:rFonts w:eastAsia="Times New Roman"/>
                <w:sz w:val="24"/>
                <w:szCs w:val="24"/>
                <w:lang w:eastAsia="ru-RU"/>
              </w:rPr>
              <w:t>20,29</w:t>
            </w:r>
          </w:p>
        </w:tc>
        <w:tc>
          <w:tcPr>
            <w:tcW w:w="968" w:type="dxa"/>
            <w:tcBorders>
              <w:top w:val="single" w:sz="4" w:space="0" w:color="auto"/>
              <w:left w:val="single" w:sz="4" w:space="0" w:color="auto"/>
              <w:bottom w:val="single" w:sz="4" w:space="0" w:color="auto"/>
              <w:right w:val="single" w:sz="4" w:space="0" w:color="auto"/>
            </w:tcBorders>
            <w:vAlign w:val="center"/>
          </w:tcPr>
          <w:p w:rsidR="00DD32B8" w:rsidRPr="00AA5C00" w:rsidRDefault="00DD32B8" w:rsidP="000A3CA3">
            <w:pPr>
              <w:keepNext/>
              <w:spacing w:line="240" w:lineRule="auto"/>
              <w:jc w:val="center"/>
              <w:rPr>
                <w:rFonts w:eastAsia="Times New Roman"/>
                <w:sz w:val="24"/>
                <w:szCs w:val="24"/>
                <w:lang w:eastAsia="ru-RU"/>
              </w:rPr>
            </w:pPr>
            <w:r w:rsidRPr="00AA5C00">
              <w:rPr>
                <w:rFonts w:eastAsia="Times New Roman"/>
                <w:sz w:val="24"/>
                <w:szCs w:val="24"/>
                <w:lang w:eastAsia="ru-RU"/>
              </w:rPr>
              <w:t>4,00</w:t>
            </w:r>
          </w:p>
        </w:tc>
        <w:tc>
          <w:tcPr>
            <w:tcW w:w="969" w:type="dxa"/>
            <w:tcBorders>
              <w:top w:val="single" w:sz="4" w:space="0" w:color="auto"/>
              <w:left w:val="single" w:sz="4" w:space="0" w:color="auto"/>
              <w:bottom w:val="single" w:sz="4" w:space="0" w:color="auto"/>
              <w:right w:val="single" w:sz="4" w:space="0" w:color="auto"/>
            </w:tcBorders>
            <w:vAlign w:val="center"/>
          </w:tcPr>
          <w:p w:rsidR="00DD32B8" w:rsidRPr="00AA5C00" w:rsidRDefault="00DD32B8" w:rsidP="000A3CA3">
            <w:pPr>
              <w:keepNext/>
              <w:spacing w:line="240" w:lineRule="auto"/>
              <w:jc w:val="center"/>
              <w:rPr>
                <w:rFonts w:eastAsia="Times New Roman"/>
                <w:sz w:val="24"/>
                <w:szCs w:val="24"/>
                <w:lang w:eastAsia="ru-RU"/>
              </w:rPr>
            </w:pPr>
            <w:r w:rsidRPr="00AA5C00">
              <w:rPr>
                <w:rFonts w:eastAsia="Times New Roman"/>
                <w:sz w:val="24"/>
                <w:szCs w:val="24"/>
                <w:lang w:eastAsia="ru-RU"/>
              </w:rPr>
              <w:t>4,0</w:t>
            </w:r>
          </w:p>
        </w:tc>
        <w:tc>
          <w:tcPr>
            <w:tcW w:w="968" w:type="dxa"/>
            <w:tcBorders>
              <w:top w:val="single" w:sz="4" w:space="0" w:color="auto"/>
              <w:left w:val="single" w:sz="4" w:space="0" w:color="auto"/>
              <w:bottom w:val="single" w:sz="4" w:space="0" w:color="auto"/>
              <w:right w:val="single" w:sz="4" w:space="0" w:color="auto"/>
            </w:tcBorders>
            <w:vAlign w:val="center"/>
          </w:tcPr>
          <w:p w:rsidR="00DD32B8" w:rsidRPr="00AA5C00" w:rsidRDefault="00DD32B8" w:rsidP="000A3CA3">
            <w:pPr>
              <w:keepNext/>
              <w:spacing w:line="240" w:lineRule="auto"/>
              <w:jc w:val="center"/>
              <w:rPr>
                <w:rFonts w:eastAsia="Times New Roman"/>
                <w:sz w:val="24"/>
                <w:szCs w:val="24"/>
                <w:lang w:eastAsia="ru-RU"/>
              </w:rPr>
            </w:pPr>
            <w:r w:rsidRPr="00AA5C00">
              <w:rPr>
                <w:rFonts w:eastAsia="Times New Roman"/>
                <w:sz w:val="24"/>
                <w:szCs w:val="24"/>
                <w:lang w:eastAsia="ru-RU"/>
              </w:rPr>
              <w:t>1,00</w:t>
            </w:r>
          </w:p>
        </w:tc>
        <w:tc>
          <w:tcPr>
            <w:tcW w:w="969" w:type="dxa"/>
            <w:tcBorders>
              <w:top w:val="single" w:sz="4" w:space="0" w:color="auto"/>
              <w:left w:val="single" w:sz="4" w:space="0" w:color="auto"/>
              <w:bottom w:val="single" w:sz="4" w:space="0" w:color="auto"/>
              <w:right w:val="single" w:sz="4" w:space="0" w:color="auto"/>
            </w:tcBorders>
            <w:vAlign w:val="center"/>
          </w:tcPr>
          <w:p w:rsidR="00DD32B8" w:rsidRPr="00AA5C00" w:rsidRDefault="00DD32B8" w:rsidP="000A3CA3">
            <w:pPr>
              <w:keepNext/>
              <w:spacing w:line="240" w:lineRule="auto"/>
              <w:jc w:val="center"/>
              <w:rPr>
                <w:rFonts w:eastAsia="Times New Roman"/>
                <w:sz w:val="24"/>
                <w:szCs w:val="24"/>
                <w:lang w:eastAsia="ru-RU"/>
              </w:rPr>
            </w:pPr>
            <w:r w:rsidRPr="00AA5C00">
              <w:rPr>
                <w:rFonts w:eastAsia="Times New Roman"/>
                <w:sz w:val="24"/>
                <w:szCs w:val="24"/>
                <w:lang w:eastAsia="ru-RU"/>
              </w:rPr>
              <w:t>1,00</w:t>
            </w:r>
          </w:p>
        </w:tc>
      </w:tr>
      <w:tr w:rsidR="00DD32B8" w:rsidRPr="00AA5C00" w:rsidTr="00DD32B8">
        <w:trPr>
          <w:trHeight w:val="319"/>
          <w:jc w:val="center"/>
        </w:trPr>
        <w:tc>
          <w:tcPr>
            <w:tcW w:w="4395" w:type="dxa"/>
            <w:tcBorders>
              <w:top w:val="single" w:sz="4" w:space="0" w:color="auto"/>
              <w:left w:val="single" w:sz="4" w:space="0" w:color="auto"/>
              <w:bottom w:val="single" w:sz="4" w:space="0" w:color="auto"/>
              <w:right w:val="single" w:sz="4" w:space="0" w:color="auto"/>
            </w:tcBorders>
            <w:vAlign w:val="center"/>
          </w:tcPr>
          <w:p w:rsidR="00DD32B8" w:rsidRPr="00AA5C00" w:rsidRDefault="00DD32B8" w:rsidP="000A3CA3">
            <w:pPr>
              <w:keepNext/>
              <w:spacing w:line="240" w:lineRule="auto"/>
              <w:jc w:val="left"/>
              <w:rPr>
                <w:rFonts w:eastAsia="Times New Roman"/>
                <w:sz w:val="24"/>
                <w:szCs w:val="24"/>
                <w:lang w:eastAsia="ru-RU"/>
              </w:rPr>
            </w:pPr>
            <w:r w:rsidRPr="00AA5C00">
              <w:rPr>
                <w:rFonts w:eastAsia="Times New Roman"/>
                <w:sz w:val="24"/>
                <w:szCs w:val="24"/>
                <w:lang w:eastAsia="ru-RU"/>
              </w:rPr>
              <w:t>Частота прееклампсій та еклампсій вагітних</w:t>
            </w:r>
          </w:p>
        </w:tc>
        <w:tc>
          <w:tcPr>
            <w:tcW w:w="968" w:type="dxa"/>
            <w:tcBorders>
              <w:top w:val="single" w:sz="4" w:space="0" w:color="auto"/>
              <w:left w:val="single" w:sz="4" w:space="0" w:color="auto"/>
              <w:bottom w:val="single" w:sz="4" w:space="0" w:color="auto"/>
              <w:right w:val="single" w:sz="4" w:space="0" w:color="auto"/>
            </w:tcBorders>
            <w:vAlign w:val="center"/>
          </w:tcPr>
          <w:p w:rsidR="00DD32B8" w:rsidRPr="00AA5C00" w:rsidRDefault="00DD32B8" w:rsidP="000A3CA3">
            <w:pPr>
              <w:keepNext/>
              <w:spacing w:line="240" w:lineRule="auto"/>
              <w:jc w:val="center"/>
              <w:rPr>
                <w:rFonts w:eastAsia="Times New Roman"/>
                <w:sz w:val="24"/>
                <w:szCs w:val="24"/>
                <w:lang w:eastAsia="ru-RU"/>
              </w:rPr>
            </w:pPr>
            <w:r w:rsidRPr="00AA5C00">
              <w:rPr>
                <w:rFonts w:eastAsia="Times New Roman"/>
                <w:sz w:val="24"/>
                <w:szCs w:val="24"/>
                <w:lang w:eastAsia="ru-RU"/>
              </w:rPr>
              <w:t>1,84</w:t>
            </w:r>
          </w:p>
        </w:tc>
        <w:tc>
          <w:tcPr>
            <w:tcW w:w="969" w:type="dxa"/>
            <w:tcBorders>
              <w:top w:val="single" w:sz="4" w:space="0" w:color="auto"/>
              <w:left w:val="single" w:sz="4" w:space="0" w:color="auto"/>
              <w:bottom w:val="single" w:sz="4" w:space="0" w:color="auto"/>
              <w:right w:val="single" w:sz="4" w:space="0" w:color="auto"/>
            </w:tcBorders>
            <w:vAlign w:val="center"/>
          </w:tcPr>
          <w:p w:rsidR="00DD32B8" w:rsidRPr="00AA5C00" w:rsidRDefault="00DD32B8" w:rsidP="000A3CA3">
            <w:pPr>
              <w:keepNext/>
              <w:spacing w:line="240" w:lineRule="auto"/>
              <w:jc w:val="center"/>
              <w:rPr>
                <w:rFonts w:eastAsia="Times New Roman"/>
                <w:sz w:val="24"/>
                <w:szCs w:val="24"/>
                <w:lang w:eastAsia="ru-RU"/>
              </w:rPr>
            </w:pPr>
            <w:r w:rsidRPr="00AA5C00">
              <w:rPr>
                <w:rFonts w:eastAsia="Times New Roman"/>
                <w:sz w:val="24"/>
                <w:szCs w:val="24"/>
                <w:lang w:eastAsia="ru-RU"/>
              </w:rPr>
              <w:t>2,02</w:t>
            </w:r>
          </w:p>
        </w:tc>
        <w:tc>
          <w:tcPr>
            <w:tcW w:w="968" w:type="dxa"/>
            <w:tcBorders>
              <w:top w:val="single" w:sz="4" w:space="0" w:color="auto"/>
              <w:left w:val="single" w:sz="4" w:space="0" w:color="auto"/>
              <w:bottom w:val="single" w:sz="4" w:space="0" w:color="auto"/>
              <w:right w:val="single" w:sz="4" w:space="0" w:color="auto"/>
            </w:tcBorders>
            <w:vAlign w:val="center"/>
          </w:tcPr>
          <w:p w:rsidR="00DD32B8" w:rsidRPr="00AA5C00" w:rsidRDefault="00DD32B8" w:rsidP="000A3CA3">
            <w:pPr>
              <w:keepNext/>
              <w:spacing w:line="240" w:lineRule="auto"/>
              <w:jc w:val="center"/>
              <w:rPr>
                <w:rFonts w:eastAsia="Times New Roman"/>
                <w:sz w:val="24"/>
                <w:szCs w:val="24"/>
                <w:lang w:eastAsia="ru-RU"/>
              </w:rPr>
            </w:pPr>
            <w:r w:rsidRPr="00AA5C00">
              <w:rPr>
                <w:rFonts w:eastAsia="Times New Roman"/>
                <w:sz w:val="24"/>
                <w:szCs w:val="24"/>
                <w:lang w:eastAsia="ru-RU"/>
              </w:rPr>
              <w:t>6,64</w:t>
            </w:r>
          </w:p>
        </w:tc>
        <w:tc>
          <w:tcPr>
            <w:tcW w:w="969" w:type="dxa"/>
            <w:tcBorders>
              <w:top w:val="single" w:sz="4" w:space="0" w:color="auto"/>
              <w:left w:val="single" w:sz="4" w:space="0" w:color="auto"/>
              <w:bottom w:val="single" w:sz="4" w:space="0" w:color="auto"/>
              <w:right w:val="single" w:sz="4" w:space="0" w:color="auto"/>
            </w:tcBorders>
            <w:vAlign w:val="center"/>
          </w:tcPr>
          <w:p w:rsidR="00DD32B8" w:rsidRPr="00AA5C00" w:rsidRDefault="00DD32B8" w:rsidP="000A3CA3">
            <w:pPr>
              <w:keepNext/>
              <w:spacing w:line="240" w:lineRule="auto"/>
              <w:jc w:val="center"/>
              <w:rPr>
                <w:rFonts w:eastAsia="Times New Roman"/>
                <w:sz w:val="24"/>
                <w:szCs w:val="24"/>
                <w:lang w:eastAsia="ru-RU"/>
              </w:rPr>
            </w:pPr>
            <w:r w:rsidRPr="00AA5C00">
              <w:rPr>
                <w:rFonts w:eastAsia="Times New Roman"/>
                <w:sz w:val="24"/>
                <w:szCs w:val="24"/>
                <w:lang w:eastAsia="ru-RU"/>
              </w:rPr>
              <w:t>5,92</w:t>
            </w:r>
          </w:p>
        </w:tc>
        <w:tc>
          <w:tcPr>
            <w:tcW w:w="968" w:type="dxa"/>
            <w:tcBorders>
              <w:top w:val="single" w:sz="4" w:space="0" w:color="auto"/>
              <w:left w:val="single" w:sz="4" w:space="0" w:color="auto"/>
              <w:bottom w:val="single" w:sz="4" w:space="0" w:color="auto"/>
              <w:right w:val="single" w:sz="4" w:space="0" w:color="auto"/>
            </w:tcBorders>
            <w:vAlign w:val="center"/>
          </w:tcPr>
          <w:p w:rsidR="00DD32B8" w:rsidRPr="00AA5C00" w:rsidRDefault="00DD32B8" w:rsidP="000A3CA3">
            <w:pPr>
              <w:keepNext/>
              <w:spacing w:line="240" w:lineRule="auto"/>
              <w:jc w:val="center"/>
              <w:rPr>
                <w:rFonts w:eastAsia="Times New Roman"/>
                <w:sz w:val="24"/>
                <w:szCs w:val="24"/>
                <w:lang w:eastAsia="ru-RU"/>
              </w:rPr>
            </w:pPr>
            <w:r w:rsidRPr="00AA5C00">
              <w:rPr>
                <w:rFonts w:eastAsia="Times New Roman"/>
                <w:sz w:val="24"/>
                <w:szCs w:val="24"/>
                <w:lang w:eastAsia="ru-RU"/>
              </w:rPr>
              <w:t>0,95</w:t>
            </w:r>
          </w:p>
        </w:tc>
        <w:tc>
          <w:tcPr>
            <w:tcW w:w="969" w:type="dxa"/>
            <w:tcBorders>
              <w:top w:val="single" w:sz="4" w:space="0" w:color="auto"/>
              <w:left w:val="single" w:sz="4" w:space="0" w:color="auto"/>
              <w:bottom w:val="single" w:sz="4" w:space="0" w:color="auto"/>
              <w:right w:val="single" w:sz="4" w:space="0" w:color="auto"/>
            </w:tcBorders>
            <w:vAlign w:val="center"/>
          </w:tcPr>
          <w:p w:rsidR="00DD32B8" w:rsidRPr="00AA5C00" w:rsidRDefault="00DD32B8" w:rsidP="000A3CA3">
            <w:pPr>
              <w:keepNext/>
              <w:spacing w:line="240" w:lineRule="auto"/>
              <w:jc w:val="center"/>
              <w:rPr>
                <w:rFonts w:eastAsia="Times New Roman"/>
                <w:sz w:val="24"/>
                <w:szCs w:val="24"/>
                <w:lang w:eastAsia="ru-RU"/>
              </w:rPr>
            </w:pPr>
            <w:r w:rsidRPr="00AA5C00">
              <w:rPr>
                <w:rFonts w:eastAsia="Times New Roman"/>
                <w:sz w:val="24"/>
                <w:szCs w:val="24"/>
                <w:lang w:eastAsia="ru-RU"/>
              </w:rPr>
              <w:t>0,85</w:t>
            </w:r>
          </w:p>
        </w:tc>
      </w:tr>
      <w:tr w:rsidR="00DD32B8" w:rsidRPr="00AA5C00" w:rsidTr="00DD32B8">
        <w:trPr>
          <w:trHeight w:val="284"/>
          <w:jc w:val="center"/>
        </w:trPr>
        <w:tc>
          <w:tcPr>
            <w:tcW w:w="4395" w:type="dxa"/>
            <w:tcBorders>
              <w:top w:val="single" w:sz="4" w:space="0" w:color="auto"/>
              <w:left w:val="single" w:sz="4" w:space="0" w:color="auto"/>
              <w:bottom w:val="single" w:sz="4" w:space="0" w:color="auto"/>
              <w:right w:val="single" w:sz="4" w:space="0" w:color="auto"/>
            </w:tcBorders>
            <w:vAlign w:val="center"/>
          </w:tcPr>
          <w:p w:rsidR="00DD32B8" w:rsidRPr="00AA5C00" w:rsidRDefault="00DD32B8" w:rsidP="000A3CA3">
            <w:pPr>
              <w:keepNext/>
              <w:spacing w:line="240" w:lineRule="auto"/>
              <w:jc w:val="left"/>
              <w:rPr>
                <w:rFonts w:eastAsia="Times New Roman"/>
                <w:sz w:val="24"/>
                <w:szCs w:val="24"/>
                <w:lang w:eastAsia="ru-RU"/>
              </w:rPr>
            </w:pPr>
            <w:r w:rsidRPr="00AA5C00">
              <w:rPr>
                <w:rFonts w:eastAsia="Times New Roman"/>
                <w:sz w:val="24"/>
                <w:szCs w:val="24"/>
                <w:lang w:eastAsia="ru-RU"/>
              </w:rPr>
              <w:t>Співвідношення безпечних методів абортів до небезпечних</w:t>
            </w:r>
          </w:p>
        </w:tc>
        <w:tc>
          <w:tcPr>
            <w:tcW w:w="968" w:type="dxa"/>
            <w:tcBorders>
              <w:top w:val="single" w:sz="4" w:space="0" w:color="auto"/>
              <w:left w:val="single" w:sz="4" w:space="0" w:color="auto"/>
              <w:bottom w:val="single" w:sz="4" w:space="0" w:color="auto"/>
              <w:right w:val="single" w:sz="4" w:space="0" w:color="auto"/>
            </w:tcBorders>
            <w:vAlign w:val="center"/>
          </w:tcPr>
          <w:p w:rsidR="00DD32B8" w:rsidRPr="00AA5C00" w:rsidRDefault="00DD32B8" w:rsidP="000A3CA3">
            <w:pPr>
              <w:keepNext/>
              <w:spacing w:line="240" w:lineRule="auto"/>
              <w:jc w:val="center"/>
              <w:rPr>
                <w:rFonts w:eastAsia="Times New Roman"/>
                <w:sz w:val="24"/>
                <w:szCs w:val="24"/>
                <w:lang w:eastAsia="ru-RU"/>
              </w:rPr>
            </w:pPr>
            <w:r w:rsidRPr="00AA5C00">
              <w:rPr>
                <w:rFonts w:eastAsia="Times New Roman"/>
                <w:sz w:val="24"/>
                <w:szCs w:val="24"/>
                <w:lang w:eastAsia="ru-RU"/>
              </w:rPr>
              <w:t>5,29</w:t>
            </w:r>
          </w:p>
        </w:tc>
        <w:tc>
          <w:tcPr>
            <w:tcW w:w="969" w:type="dxa"/>
            <w:tcBorders>
              <w:top w:val="single" w:sz="4" w:space="0" w:color="auto"/>
              <w:left w:val="single" w:sz="4" w:space="0" w:color="auto"/>
              <w:bottom w:val="single" w:sz="4" w:space="0" w:color="auto"/>
              <w:right w:val="single" w:sz="4" w:space="0" w:color="auto"/>
            </w:tcBorders>
            <w:vAlign w:val="center"/>
          </w:tcPr>
          <w:p w:rsidR="00DD32B8" w:rsidRPr="00AA5C00" w:rsidRDefault="00DD32B8" w:rsidP="000A3CA3">
            <w:pPr>
              <w:keepNext/>
              <w:spacing w:line="240" w:lineRule="auto"/>
              <w:jc w:val="center"/>
              <w:rPr>
                <w:rFonts w:eastAsia="Times New Roman"/>
                <w:sz w:val="24"/>
                <w:szCs w:val="24"/>
                <w:lang w:eastAsia="ru-RU"/>
              </w:rPr>
            </w:pPr>
            <w:r w:rsidRPr="00AA5C00">
              <w:rPr>
                <w:rFonts w:eastAsia="Times New Roman"/>
                <w:sz w:val="24"/>
                <w:szCs w:val="24"/>
                <w:lang w:eastAsia="ru-RU"/>
              </w:rPr>
              <w:t>3,95</w:t>
            </w:r>
          </w:p>
        </w:tc>
        <w:tc>
          <w:tcPr>
            <w:tcW w:w="968" w:type="dxa"/>
            <w:tcBorders>
              <w:top w:val="single" w:sz="4" w:space="0" w:color="auto"/>
              <w:left w:val="single" w:sz="4" w:space="0" w:color="auto"/>
              <w:bottom w:val="single" w:sz="4" w:space="0" w:color="auto"/>
              <w:right w:val="single" w:sz="4" w:space="0" w:color="auto"/>
            </w:tcBorders>
            <w:vAlign w:val="center"/>
          </w:tcPr>
          <w:p w:rsidR="00DD32B8" w:rsidRPr="00AA5C00" w:rsidRDefault="00DD32B8" w:rsidP="000A3CA3">
            <w:pPr>
              <w:keepNext/>
              <w:spacing w:line="240" w:lineRule="auto"/>
              <w:jc w:val="center"/>
              <w:rPr>
                <w:rFonts w:eastAsia="Times New Roman"/>
                <w:sz w:val="24"/>
                <w:szCs w:val="24"/>
                <w:lang w:eastAsia="ru-RU"/>
              </w:rPr>
            </w:pPr>
            <w:r w:rsidRPr="00AA5C00">
              <w:rPr>
                <w:rFonts w:eastAsia="Times New Roman"/>
                <w:sz w:val="24"/>
                <w:szCs w:val="24"/>
                <w:lang w:eastAsia="ru-RU"/>
              </w:rPr>
              <w:t>3,14</w:t>
            </w:r>
          </w:p>
        </w:tc>
        <w:tc>
          <w:tcPr>
            <w:tcW w:w="969" w:type="dxa"/>
            <w:tcBorders>
              <w:top w:val="single" w:sz="4" w:space="0" w:color="auto"/>
              <w:left w:val="single" w:sz="4" w:space="0" w:color="auto"/>
              <w:bottom w:val="single" w:sz="4" w:space="0" w:color="auto"/>
              <w:right w:val="single" w:sz="4" w:space="0" w:color="auto"/>
            </w:tcBorders>
            <w:vAlign w:val="center"/>
          </w:tcPr>
          <w:p w:rsidR="00DD32B8" w:rsidRPr="00AA5C00" w:rsidRDefault="00DD32B8" w:rsidP="000A3CA3">
            <w:pPr>
              <w:keepNext/>
              <w:spacing w:line="240" w:lineRule="auto"/>
              <w:jc w:val="center"/>
              <w:rPr>
                <w:rFonts w:eastAsia="Times New Roman"/>
                <w:sz w:val="24"/>
                <w:szCs w:val="24"/>
                <w:lang w:eastAsia="ru-RU"/>
              </w:rPr>
            </w:pPr>
            <w:r w:rsidRPr="00AA5C00">
              <w:rPr>
                <w:rFonts w:eastAsia="Times New Roman"/>
                <w:sz w:val="24"/>
                <w:szCs w:val="24"/>
                <w:lang w:eastAsia="ru-RU"/>
              </w:rPr>
              <w:t>2,96</w:t>
            </w:r>
          </w:p>
        </w:tc>
        <w:tc>
          <w:tcPr>
            <w:tcW w:w="968" w:type="dxa"/>
            <w:tcBorders>
              <w:top w:val="single" w:sz="4" w:space="0" w:color="auto"/>
              <w:left w:val="single" w:sz="4" w:space="0" w:color="auto"/>
              <w:bottom w:val="single" w:sz="4" w:space="0" w:color="auto"/>
              <w:right w:val="single" w:sz="4" w:space="0" w:color="auto"/>
            </w:tcBorders>
            <w:vAlign w:val="center"/>
          </w:tcPr>
          <w:p w:rsidR="00DD32B8" w:rsidRPr="00AA5C00" w:rsidRDefault="00DD32B8" w:rsidP="000A3CA3">
            <w:pPr>
              <w:keepNext/>
              <w:spacing w:line="240" w:lineRule="auto"/>
              <w:jc w:val="center"/>
              <w:rPr>
                <w:rFonts w:eastAsia="Times New Roman"/>
                <w:sz w:val="24"/>
                <w:szCs w:val="24"/>
                <w:lang w:eastAsia="ru-RU"/>
              </w:rPr>
            </w:pPr>
            <w:r w:rsidRPr="00AA5C00">
              <w:rPr>
                <w:rFonts w:eastAsia="Times New Roman"/>
                <w:sz w:val="24"/>
                <w:szCs w:val="24"/>
                <w:lang w:eastAsia="ru-RU"/>
              </w:rPr>
              <w:t>0,53</w:t>
            </w:r>
          </w:p>
        </w:tc>
        <w:tc>
          <w:tcPr>
            <w:tcW w:w="969" w:type="dxa"/>
            <w:tcBorders>
              <w:top w:val="single" w:sz="4" w:space="0" w:color="auto"/>
              <w:left w:val="single" w:sz="4" w:space="0" w:color="auto"/>
              <w:bottom w:val="single" w:sz="4" w:space="0" w:color="auto"/>
              <w:right w:val="single" w:sz="4" w:space="0" w:color="auto"/>
            </w:tcBorders>
            <w:vAlign w:val="center"/>
          </w:tcPr>
          <w:p w:rsidR="00DD32B8" w:rsidRPr="00AA5C00" w:rsidRDefault="00DD32B8" w:rsidP="000A3CA3">
            <w:pPr>
              <w:keepNext/>
              <w:spacing w:line="240" w:lineRule="auto"/>
              <w:jc w:val="center"/>
              <w:rPr>
                <w:rFonts w:eastAsia="Times New Roman"/>
                <w:sz w:val="24"/>
                <w:szCs w:val="24"/>
                <w:lang w:eastAsia="ru-RU"/>
              </w:rPr>
            </w:pPr>
            <w:r w:rsidRPr="00AA5C00">
              <w:rPr>
                <w:rFonts w:eastAsia="Times New Roman"/>
                <w:sz w:val="24"/>
                <w:szCs w:val="24"/>
                <w:lang w:eastAsia="ru-RU"/>
              </w:rPr>
              <w:t>0,49</w:t>
            </w:r>
          </w:p>
        </w:tc>
      </w:tr>
      <w:tr w:rsidR="00DD32B8" w:rsidRPr="00AA5C00" w:rsidTr="00DD32B8">
        <w:trPr>
          <w:trHeight w:val="340"/>
          <w:jc w:val="center"/>
        </w:trPr>
        <w:tc>
          <w:tcPr>
            <w:tcW w:w="4395" w:type="dxa"/>
            <w:tcBorders>
              <w:top w:val="single" w:sz="4" w:space="0" w:color="auto"/>
              <w:left w:val="single" w:sz="4" w:space="0" w:color="auto"/>
              <w:bottom w:val="single" w:sz="4" w:space="0" w:color="auto"/>
              <w:right w:val="single" w:sz="4" w:space="0" w:color="auto"/>
            </w:tcBorders>
            <w:vAlign w:val="bottom"/>
          </w:tcPr>
          <w:p w:rsidR="00DD32B8" w:rsidRPr="00AA5C00" w:rsidRDefault="00DD32B8" w:rsidP="000A3CA3">
            <w:pPr>
              <w:keepNext/>
              <w:spacing w:line="240" w:lineRule="auto"/>
              <w:jc w:val="left"/>
              <w:rPr>
                <w:rFonts w:eastAsia="Times New Roman"/>
                <w:sz w:val="24"/>
                <w:szCs w:val="24"/>
                <w:lang w:eastAsia="ru-RU"/>
              </w:rPr>
            </w:pPr>
            <w:r w:rsidRPr="00AA5C00">
              <w:rPr>
                <w:rFonts w:eastAsia="Times New Roman"/>
                <w:sz w:val="24"/>
                <w:szCs w:val="24"/>
                <w:lang w:eastAsia="ru-RU"/>
              </w:rPr>
              <w:t>Питома вага хворих виявлення в ранніх стадіях (І – ІІ) серед хворих з вперше встановленим діагнозом онкологія молочної залози</w:t>
            </w:r>
          </w:p>
        </w:tc>
        <w:tc>
          <w:tcPr>
            <w:tcW w:w="968" w:type="dxa"/>
            <w:tcBorders>
              <w:top w:val="single" w:sz="4" w:space="0" w:color="auto"/>
              <w:left w:val="single" w:sz="4" w:space="0" w:color="auto"/>
              <w:bottom w:val="single" w:sz="4" w:space="0" w:color="auto"/>
              <w:right w:val="single" w:sz="4" w:space="0" w:color="auto"/>
            </w:tcBorders>
            <w:vAlign w:val="center"/>
          </w:tcPr>
          <w:p w:rsidR="00DD32B8" w:rsidRPr="00AA5C00" w:rsidRDefault="00DD32B8" w:rsidP="000A3CA3">
            <w:pPr>
              <w:keepNext/>
              <w:spacing w:line="240" w:lineRule="auto"/>
              <w:jc w:val="center"/>
              <w:rPr>
                <w:rFonts w:eastAsia="Times New Roman"/>
                <w:sz w:val="24"/>
                <w:szCs w:val="24"/>
                <w:lang w:eastAsia="ru-RU"/>
              </w:rPr>
            </w:pPr>
            <w:r w:rsidRPr="00AA5C00">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DD32B8" w:rsidRPr="00AA5C00" w:rsidRDefault="00DD32B8" w:rsidP="000A3CA3">
            <w:pPr>
              <w:keepNext/>
              <w:spacing w:line="240" w:lineRule="auto"/>
              <w:jc w:val="center"/>
              <w:rPr>
                <w:rFonts w:eastAsia="Times New Roman"/>
                <w:sz w:val="24"/>
                <w:szCs w:val="24"/>
                <w:lang w:eastAsia="ru-RU"/>
              </w:rPr>
            </w:pPr>
            <w:r w:rsidRPr="00AA5C00">
              <w:rPr>
                <w:rFonts w:eastAsia="Times New Roman"/>
                <w:sz w:val="24"/>
                <w:szCs w:val="24"/>
                <w:lang w:eastAsia="ru-RU"/>
              </w:rPr>
              <w:t>70,90</w:t>
            </w:r>
          </w:p>
        </w:tc>
        <w:tc>
          <w:tcPr>
            <w:tcW w:w="968" w:type="dxa"/>
            <w:tcBorders>
              <w:top w:val="single" w:sz="4" w:space="0" w:color="auto"/>
              <w:left w:val="single" w:sz="4" w:space="0" w:color="auto"/>
              <w:bottom w:val="single" w:sz="4" w:space="0" w:color="auto"/>
              <w:right w:val="single" w:sz="4" w:space="0" w:color="auto"/>
            </w:tcBorders>
            <w:vAlign w:val="center"/>
          </w:tcPr>
          <w:p w:rsidR="00DD32B8" w:rsidRPr="00AA5C00" w:rsidRDefault="00DD32B8" w:rsidP="000A3CA3">
            <w:pPr>
              <w:keepNext/>
              <w:spacing w:line="240" w:lineRule="auto"/>
              <w:jc w:val="center"/>
              <w:rPr>
                <w:rFonts w:eastAsia="Times New Roman"/>
                <w:sz w:val="24"/>
                <w:szCs w:val="24"/>
                <w:lang w:eastAsia="ru-RU"/>
              </w:rPr>
            </w:pPr>
            <w:r w:rsidRPr="00AA5C00">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DD32B8" w:rsidRPr="00AA5C00" w:rsidRDefault="00DD32B8" w:rsidP="000A3CA3">
            <w:pPr>
              <w:keepNext/>
              <w:spacing w:line="240" w:lineRule="auto"/>
              <w:jc w:val="center"/>
              <w:rPr>
                <w:rFonts w:eastAsia="Times New Roman"/>
                <w:sz w:val="24"/>
                <w:szCs w:val="24"/>
                <w:lang w:eastAsia="ru-RU"/>
              </w:rPr>
            </w:pPr>
            <w:r w:rsidRPr="00AA5C00">
              <w:rPr>
                <w:rFonts w:eastAsia="Times New Roman"/>
                <w:sz w:val="24"/>
                <w:szCs w:val="24"/>
                <w:lang w:eastAsia="ru-RU"/>
              </w:rPr>
              <w:t>5,36</w:t>
            </w:r>
          </w:p>
        </w:tc>
        <w:tc>
          <w:tcPr>
            <w:tcW w:w="968" w:type="dxa"/>
            <w:tcBorders>
              <w:top w:val="single" w:sz="4" w:space="0" w:color="auto"/>
              <w:left w:val="single" w:sz="4" w:space="0" w:color="auto"/>
              <w:bottom w:val="single" w:sz="4" w:space="0" w:color="auto"/>
              <w:right w:val="single" w:sz="4" w:space="0" w:color="auto"/>
            </w:tcBorders>
            <w:vAlign w:val="center"/>
          </w:tcPr>
          <w:p w:rsidR="00DD32B8" w:rsidRPr="00AA5C00" w:rsidRDefault="00DD32B8" w:rsidP="000A3CA3">
            <w:pPr>
              <w:keepNext/>
              <w:spacing w:line="240" w:lineRule="auto"/>
              <w:jc w:val="center"/>
              <w:rPr>
                <w:rFonts w:eastAsia="Times New Roman"/>
                <w:sz w:val="24"/>
                <w:szCs w:val="24"/>
                <w:lang w:eastAsia="ru-RU"/>
              </w:rPr>
            </w:pPr>
            <w:r w:rsidRPr="00AA5C00">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DD32B8" w:rsidRPr="00AA5C00" w:rsidRDefault="00DD32B8" w:rsidP="000A3CA3">
            <w:pPr>
              <w:keepNext/>
              <w:spacing w:line="240" w:lineRule="auto"/>
              <w:jc w:val="center"/>
              <w:rPr>
                <w:rFonts w:eastAsia="Times New Roman"/>
                <w:sz w:val="24"/>
                <w:szCs w:val="24"/>
                <w:lang w:eastAsia="ru-RU"/>
              </w:rPr>
            </w:pPr>
            <w:r w:rsidRPr="00AA5C00">
              <w:rPr>
                <w:rFonts w:eastAsia="Times New Roman"/>
                <w:sz w:val="24"/>
                <w:szCs w:val="24"/>
                <w:lang w:eastAsia="ru-RU"/>
              </w:rPr>
              <w:t>0,89</w:t>
            </w:r>
          </w:p>
        </w:tc>
      </w:tr>
      <w:tr w:rsidR="00DD32B8" w:rsidRPr="00AA5C00" w:rsidTr="00DD32B8">
        <w:trPr>
          <w:trHeight w:val="418"/>
          <w:jc w:val="center"/>
        </w:trPr>
        <w:tc>
          <w:tcPr>
            <w:tcW w:w="4395" w:type="dxa"/>
            <w:tcBorders>
              <w:top w:val="single" w:sz="4" w:space="0" w:color="auto"/>
              <w:left w:val="single" w:sz="4" w:space="0" w:color="auto"/>
              <w:bottom w:val="single" w:sz="4" w:space="0" w:color="auto"/>
              <w:right w:val="single" w:sz="4" w:space="0" w:color="auto"/>
            </w:tcBorders>
            <w:vAlign w:val="bottom"/>
          </w:tcPr>
          <w:p w:rsidR="00DD32B8" w:rsidRPr="00AA5C00" w:rsidRDefault="00DD32B8" w:rsidP="000A3CA3">
            <w:pPr>
              <w:keepNext/>
              <w:spacing w:line="240" w:lineRule="auto"/>
              <w:jc w:val="left"/>
              <w:rPr>
                <w:rFonts w:eastAsia="Times New Roman"/>
                <w:sz w:val="24"/>
                <w:szCs w:val="24"/>
                <w:lang w:eastAsia="ru-RU"/>
              </w:rPr>
            </w:pPr>
            <w:r w:rsidRPr="00AA5C00">
              <w:rPr>
                <w:rFonts w:eastAsia="Times New Roman"/>
                <w:sz w:val="24"/>
                <w:szCs w:val="24"/>
                <w:lang w:eastAsia="ru-RU"/>
              </w:rPr>
              <w:t>Питома вага хворих виявлення в ранніх стадіях (І – ІІ) серед хворих з вперше встановленим діагнозом онкологія шийки матки</w:t>
            </w:r>
          </w:p>
        </w:tc>
        <w:tc>
          <w:tcPr>
            <w:tcW w:w="968" w:type="dxa"/>
            <w:tcBorders>
              <w:top w:val="single" w:sz="4" w:space="0" w:color="auto"/>
              <w:left w:val="single" w:sz="4" w:space="0" w:color="auto"/>
              <w:bottom w:val="single" w:sz="4" w:space="0" w:color="auto"/>
              <w:right w:val="single" w:sz="4" w:space="0" w:color="auto"/>
            </w:tcBorders>
            <w:vAlign w:val="center"/>
          </w:tcPr>
          <w:p w:rsidR="00DD32B8" w:rsidRPr="00AA5C00" w:rsidRDefault="00DD32B8" w:rsidP="000A3CA3">
            <w:pPr>
              <w:keepNext/>
              <w:spacing w:line="240" w:lineRule="auto"/>
              <w:jc w:val="center"/>
              <w:rPr>
                <w:rFonts w:eastAsia="Times New Roman"/>
                <w:sz w:val="24"/>
                <w:szCs w:val="24"/>
                <w:lang w:eastAsia="ru-RU"/>
              </w:rPr>
            </w:pPr>
            <w:r w:rsidRPr="00AA5C00">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DD32B8" w:rsidRPr="00AA5C00" w:rsidRDefault="00DD32B8" w:rsidP="000A3CA3">
            <w:pPr>
              <w:keepNext/>
              <w:spacing w:line="240" w:lineRule="auto"/>
              <w:jc w:val="center"/>
              <w:rPr>
                <w:rFonts w:eastAsia="Times New Roman"/>
                <w:sz w:val="24"/>
                <w:szCs w:val="24"/>
                <w:lang w:eastAsia="ru-RU"/>
              </w:rPr>
            </w:pPr>
            <w:r w:rsidRPr="00AA5C00">
              <w:rPr>
                <w:rFonts w:eastAsia="Times New Roman"/>
                <w:sz w:val="24"/>
                <w:szCs w:val="24"/>
                <w:lang w:eastAsia="ru-RU"/>
              </w:rPr>
              <w:t>51,90</w:t>
            </w:r>
          </w:p>
        </w:tc>
        <w:tc>
          <w:tcPr>
            <w:tcW w:w="968" w:type="dxa"/>
            <w:tcBorders>
              <w:top w:val="single" w:sz="4" w:space="0" w:color="auto"/>
              <w:left w:val="single" w:sz="4" w:space="0" w:color="auto"/>
              <w:bottom w:val="single" w:sz="4" w:space="0" w:color="auto"/>
              <w:right w:val="single" w:sz="4" w:space="0" w:color="auto"/>
            </w:tcBorders>
            <w:vAlign w:val="center"/>
          </w:tcPr>
          <w:p w:rsidR="00DD32B8" w:rsidRPr="00AA5C00" w:rsidRDefault="00DD32B8" w:rsidP="000A3CA3">
            <w:pPr>
              <w:keepNext/>
              <w:spacing w:line="240" w:lineRule="auto"/>
              <w:jc w:val="center"/>
              <w:rPr>
                <w:rFonts w:eastAsia="Times New Roman"/>
                <w:sz w:val="24"/>
                <w:szCs w:val="24"/>
                <w:lang w:eastAsia="ru-RU"/>
              </w:rPr>
            </w:pPr>
            <w:r w:rsidRPr="00AA5C00">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DD32B8" w:rsidRPr="00AA5C00" w:rsidRDefault="00DD32B8" w:rsidP="000A3CA3">
            <w:pPr>
              <w:keepNext/>
              <w:spacing w:line="240" w:lineRule="auto"/>
              <w:jc w:val="center"/>
              <w:rPr>
                <w:rFonts w:eastAsia="Times New Roman"/>
                <w:sz w:val="24"/>
                <w:szCs w:val="24"/>
                <w:lang w:eastAsia="ru-RU"/>
              </w:rPr>
            </w:pPr>
            <w:r w:rsidRPr="00AA5C00">
              <w:rPr>
                <w:rFonts w:eastAsia="Times New Roman"/>
                <w:sz w:val="24"/>
                <w:szCs w:val="24"/>
                <w:lang w:eastAsia="ru-RU"/>
              </w:rPr>
              <w:t>4,03</w:t>
            </w:r>
          </w:p>
        </w:tc>
        <w:tc>
          <w:tcPr>
            <w:tcW w:w="968" w:type="dxa"/>
            <w:tcBorders>
              <w:top w:val="single" w:sz="4" w:space="0" w:color="auto"/>
              <w:left w:val="single" w:sz="4" w:space="0" w:color="auto"/>
              <w:bottom w:val="single" w:sz="4" w:space="0" w:color="auto"/>
              <w:right w:val="single" w:sz="4" w:space="0" w:color="auto"/>
            </w:tcBorders>
            <w:vAlign w:val="center"/>
          </w:tcPr>
          <w:p w:rsidR="00DD32B8" w:rsidRPr="00AA5C00" w:rsidRDefault="00DD32B8" w:rsidP="000A3CA3">
            <w:pPr>
              <w:keepNext/>
              <w:spacing w:line="240" w:lineRule="auto"/>
              <w:jc w:val="center"/>
              <w:rPr>
                <w:rFonts w:eastAsia="Times New Roman"/>
                <w:sz w:val="24"/>
                <w:szCs w:val="24"/>
                <w:lang w:eastAsia="ru-RU"/>
              </w:rPr>
            </w:pPr>
            <w:r w:rsidRPr="00AA5C00">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DD32B8" w:rsidRPr="00AA5C00" w:rsidRDefault="00DD32B8" w:rsidP="000A3CA3">
            <w:pPr>
              <w:keepNext/>
              <w:spacing w:line="240" w:lineRule="auto"/>
              <w:jc w:val="center"/>
              <w:rPr>
                <w:rFonts w:eastAsia="Times New Roman"/>
                <w:sz w:val="24"/>
                <w:szCs w:val="24"/>
                <w:lang w:eastAsia="ru-RU"/>
              </w:rPr>
            </w:pPr>
            <w:r w:rsidRPr="00AA5C00">
              <w:rPr>
                <w:rFonts w:eastAsia="Times New Roman"/>
                <w:sz w:val="24"/>
                <w:szCs w:val="24"/>
                <w:lang w:eastAsia="ru-RU"/>
              </w:rPr>
              <w:t>0,67</w:t>
            </w:r>
          </w:p>
        </w:tc>
      </w:tr>
      <w:tr w:rsidR="00DD32B8" w:rsidRPr="00AA5C00" w:rsidTr="00DD32B8">
        <w:trPr>
          <w:trHeight w:val="506"/>
          <w:jc w:val="center"/>
        </w:trPr>
        <w:tc>
          <w:tcPr>
            <w:tcW w:w="4395" w:type="dxa"/>
            <w:tcBorders>
              <w:top w:val="single" w:sz="4" w:space="0" w:color="auto"/>
              <w:left w:val="single" w:sz="4" w:space="0" w:color="auto"/>
              <w:bottom w:val="single" w:sz="4" w:space="0" w:color="auto"/>
              <w:right w:val="single" w:sz="4" w:space="0" w:color="auto"/>
            </w:tcBorders>
          </w:tcPr>
          <w:p w:rsidR="00DD32B8" w:rsidRPr="00AA5C00" w:rsidRDefault="00DD32B8" w:rsidP="000A3CA3">
            <w:pPr>
              <w:keepNext/>
              <w:spacing w:line="240" w:lineRule="auto"/>
              <w:rPr>
                <w:rFonts w:eastAsia="Times New Roman"/>
                <w:color w:val="000000"/>
                <w:sz w:val="24"/>
                <w:szCs w:val="24"/>
                <w:lang w:eastAsia="uk-UA"/>
              </w:rPr>
            </w:pPr>
            <w:r w:rsidRPr="00AA5C00">
              <w:rPr>
                <w:rFonts w:eastAsia="Times New Roman"/>
                <w:color w:val="000000"/>
                <w:sz w:val="24"/>
                <w:szCs w:val="24"/>
                <w:lang w:eastAsia="uk-UA"/>
              </w:rPr>
              <w:t>Індекс концентрації розродження вагітних з цукровим діабетом у ЗПД ІІІ рівня</w:t>
            </w:r>
          </w:p>
        </w:tc>
        <w:tc>
          <w:tcPr>
            <w:tcW w:w="968" w:type="dxa"/>
            <w:tcBorders>
              <w:top w:val="single" w:sz="4" w:space="0" w:color="auto"/>
              <w:left w:val="single" w:sz="4" w:space="0" w:color="auto"/>
              <w:bottom w:val="single" w:sz="4" w:space="0" w:color="auto"/>
              <w:right w:val="single" w:sz="4" w:space="0" w:color="auto"/>
            </w:tcBorders>
            <w:vAlign w:val="center"/>
          </w:tcPr>
          <w:p w:rsidR="00DD32B8" w:rsidRPr="00AA5C00" w:rsidRDefault="00DD32B8" w:rsidP="000A3CA3">
            <w:pPr>
              <w:keepNext/>
              <w:spacing w:line="240" w:lineRule="auto"/>
              <w:jc w:val="center"/>
              <w:rPr>
                <w:rFonts w:eastAsia="Times New Roman"/>
                <w:sz w:val="24"/>
                <w:szCs w:val="24"/>
                <w:lang w:eastAsia="ru-RU"/>
              </w:rPr>
            </w:pPr>
            <w:r w:rsidRPr="00AA5C00">
              <w:rPr>
                <w:rFonts w:eastAsia="Times New Roman"/>
                <w:sz w:val="24"/>
                <w:szCs w:val="24"/>
                <w:lang w:eastAsia="ru-RU"/>
              </w:rPr>
              <w:t>0</w:t>
            </w:r>
          </w:p>
        </w:tc>
        <w:tc>
          <w:tcPr>
            <w:tcW w:w="969" w:type="dxa"/>
            <w:tcBorders>
              <w:top w:val="single" w:sz="4" w:space="0" w:color="auto"/>
              <w:left w:val="single" w:sz="4" w:space="0" w:color="auto"/>
              <w:bottom w:val="single" w:sz="4" w:space="0" w:color="auto"/>
              <w:right w:val="single" w:sz="4" w:space="0" w:color="auto"/>
            </w:tcBorders>
            <w:vAlign w:val="center"/>
          </w:tcPr>
          <w:p w:rsidR="00DD32B8" w:rsidRPr="00AA5C00" w:rsidRDefault="00DD32B8" w:rsidP="000A3CA3">
            <w:pPr>
              <w:keepNext/>
              <w:spacing w:line="240" w:lineRule="auto"/>
              <w:jc w:val="center"/>
              <w:rPr>
                <w:rFonts w:eastAsia="Times New Roman"/>
                <w:sz w:val="24"/>
                <w:szCs w:val="24"/>
                <w:lang w:eastAsia="ru-RU"/>
              </w:rPr>
            </w:pPr>
            <w:r w:rsidRPr="00AA5C00">
              <w:rPr>
                <w:rFonts w:eastAsia="Times New Roman"/>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DD32B8" w:rsidRPr="00AA5C00" w:rsidRDefault="00DD32B8" w:rsidP="000A3CA3">
            <w:pPr>
              <w:keepNext/>
              <w:spacing w:line="240" w:lineRule="auto"/>
              <w:jc w:val="center"/>
              <w:rPr>
                <w:rFonts w:eastAsia="Times New Roman"/>
                <w:sz w:val="24"/>
                <w:szCs w:val="24"/>
                <w:lang w:eastAsia="ru-RU"/>
              </w:rPr>
            </w:pPr>
            <w:r w:rsidRPr="00AA5C00">
              <w:rPr>
                <w:rFonts w:eastAsia="Times New Roman"/>
                <w:sz w:val="24"/>
                <w:szCs w:val="24"/>
                <w:lang w:eastAsia="ru-RU"/>
              </w:rPr>
              <w:t>0</w:t>
            </w:r>
          </w:p>
        </w:tc>
        <w:tc>
          <w:tcPr>
            <w:tcW w:w="969" w:type="dxa"/>
            <w:tcBorders>
              <w:top w:val="single" w:sz="4" w:space="0" w:color="auto"/>
              <w:left w:val="single" w:sz="4" w:space="0" w:color="auto"/>
              <w:bottom w:val="single" w:sz="4" w:space="0" w:color="auto"/>
              <w:right w:val="single" w:sz="4" w:space="0" w:color="auto"/>
            </w:tcBorders>
            <w:vAlign w:val="center"/>
          </w:tcPr>
          <w:p w:rsidR="00DD32B8" w:rsidRPr="00AA5C00" w:rsidRDefault="00DD32B8" w:rsidP="000A3CA3">
            <w:pPr>
              <w:keepNext/>
              <w:spacing w:line="240" w:lineRule="auto"/>
              <w:jc w:val="center"/>
              <w:rPr>
                <w:rFonts w:eastAsia="Times New Roman"/>
                <w:sz w:val="24"/>
                <w:szCs w:val="24"/>
                <w:lang w:eastAsia="ru-RU"/>
              </w:rPr>
            </w:pPr>
            <w:r w:rsidRPr="00AA5C00">
              <w:rPr>
                <w:rFonts w:eastAsia="Times New Roman"/>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DD32B8" w:rsidRPr="00AA5C00" w:rsidRDefault="00DD32B8" w:rsidP="000A3CA3">
            <w:pPr>
              <w:keepNext/>
              <w:spacing w:line="240" w:lineRule="auto"/>
              <w:jc w:val="center"/>
              <w:rPr>
                <w:rFonts w:eastAsia="Times New Roman"/>
                <w:sz w:val="24"/>
                <w:szCs w:val="24"/>
                <w:lang w:eastAsia="ru-RU"/>
              </w:rPr>
            </w:pPr>
            <w:r w:rsidRPr="00AA5C00">
              <w:rPr>
                <w:rFonts w:eastAsia="Times New Roman"/>
                <w:sz w:val="24"/>
                <w:szCs w:val="24"/>
                <w:lang w:eastAsia="ru-RU"/>
              </w:rPr>
              <w:t>0</w:t>
            </w:r>
          </w:p>
        </w:tc>
        <w:tc>
          <w:tcPr>
            <w:tcW w:w="969" w:type="dxa"/>
            <w:tcBorders>
              <w:top w:val="single" w:sz="4" w:space="0" w:color="auto"/>
              <w:left w:val="single" w:sz="4" w:space="0" w:color="auto"/>
              <w:bottom w:val="single" w:sz="4" w:space="0" w:color="auto"/>
              <w:right w:val="single" w:sz="4" w:space="0" w:color="auto"/>
            </w:tcBorders>
            <w:vAlign w:val="center"/>
          </w:tcPr>
          <w:p w:rsidR="00DD32B8" w:rsidRPr="00AA5C00" w:rsidRDefault="00DD32B8" w:rsidP="000A3CA3">
            <w:pPr>
              <w:keepNext/>
              <w:spacing w:line="240" w:lineRule="auto"/>
              <w:jc w:val="center"/>
              <w:rPr>
                <w:rFonts w:eastAsia="Times New Roman"/>
                <w:sz w:val="24"/>
                <w:szCs w:val="24"/>
                <w:lang w:eastAsia="ru-RU"/>
              </w:rPr>
            </w:pPr>
            <w:r w:rsidRPr="00AA5C00">
              <w:rPr>
                <w:rFonts w:eastAsia="Times New Roman"/>
                <w:sz w:val="24"/>
                <w:szCs w:val="24"/>
                <w:lang w:eastAsia="ru-RU"/>
              </w:rPr>
              <w:t>**</w:t>
            </w:r>
          </w:p>
        </w:tc>
      </w:tr>
      <w:tr w:rsidR="00DD32B8" w:rsidRPr="00AA5C00" w:rsidTr="00DD32B8">
        <w:trPr>
          <w:trHeight w:val="600"/>
          <w:jc w:val="center"/>
        </w:trPr>
        <w:tc>
          <w:tcPr>
            <w:tcW w:w="4395" w:type="dxa"/>
            <w:tcBorders>
              <w:top w:val="single" w:sz="4" w:space="0" w:color="auto"/>
              <w:left w:val="single" w:sz="4" w:space="0" w:color="auto"/>
              <w:bottom w:val="single" w:sz="4" w:space="0" w:color="auto"/>
              <w:right w:val="single" w:sz="4" w:space="0" w:color="auto"/>
            </w:tcBorders>
          </w:tcPr>
          <w:p w:rsidR="00DD32B8" w:rsidRPr="00AA5C00" w:rsidRDefault="00DD32B8" w:rsidP="000A3CA3">
            <w:pPr>
              <w:keepNext/>
              <w:spacing w:line="240" w:lineRule="auto"/>
              <w:rPr>
                <w:rFonts w:eastAsia="Times New Roman"/>
                <w:color w:val="000000"/>
                <w:sz w:val="24"/>
                <w:szCs w:val="24"/>
                <w:lang w:eastAsia="uk-UA"/>
              </w:rPr>
            </w:pPr>
            <w:r w:rsidRPr="00AA5C00">
              <w:rPr>
                <w:rFonts w:eastAsia="Times New Roman"/>
                <w:color w:val="000000"/>
                <w:sz w:val="24"/>
                <w:szCs w:val="24"/>
                <w:lang w:eastAsia="uk-UA"/>
              </w:rPr>
              <w:t>Індекс концентрації розродження вагітних з пре- еклампсією і еклампсією у ЗПД ІІ-ІІІ рівнів</w:t>
            </w:r>
          </w:p>
        </w:tc>
        <w:tc>
          <w:tcPr>
            <w:tcW w:w="968" w:type="dxa"/>
            <w:tcBorders>
              <w:top w:val="single" w:sz="4" w:space="0" w:color="auto"/>
              <w:left w:val="single" w:sz="4" w:space="0" w:color="auto"/>
              <w:bottom w:val="single" w:sz="4" w:space="0" w:color="auto"/>
              <w:right w:val="single" w:sz="4" w:space="0" w:color="auto"/>
            </w:tcBorders>
            <w:vAlign w:val="center"/>
          </w:tcPr>
          <w:p w:rsidR="00DD32B8" w:rsidRPr="00AA5C00" w:rsidRDefault="00DD32B8" w:rsidP="000A3CA3">
            <w:pPr>
              <w:keepNext/>
              <w:spacing w:line="240" w:lineRule="auto"/>
              <w:jc w:val="center"/>
              <w:rPr>
                <w:rFonts w:eastAsia="Times New Roman"/>
                <w:sz w:val="24"/>
                <w:szCs w:val="24"/>
                <w:lang w:eastAsia="ru-RU"/>
              </w:rPr>
            </w:pPr>
            <w:r w:rsidRPr="00AA5C00">
              <w:rPr>
                <w:rFonts w:eastAsia="Times New Roman"/>
                <w:sz w:val="24"/>
                <w:szCs w:val="24"/>
                <w:lang w:eastAsia="ru-RU"/>
              </w:rPr>
              <w:t>46,15</w:t>
            </w:r>
          </w:p>
        </w:tc>
        <w:tc>
          <w:tcPr>
            <w:tcW w:w="969" w:type="dxa"/>
            <w:tcBorders>
              <w:top w:val="single" w:sz="4" w:space="0" w:color="auto"/>
              <w:left w:val="single" w:sz="4" w:space="0" w:color="auto"/>
              <w:bottom w:val="single" w:sz="4" w:space="0" w:color="auto"/>
              <w:right w:val="single" w:sz="4" w:space="0" w:color="auto"/>
            </w:tcBorders>
            <w:vAlign w:val="center"/>
          </w:tcPr>
          <w:p w:rsidR="00DD32B8" w:rsidRPr="00AA5C00" w:rsidRDefault="00DD32B8" w:rsidP="000A3CA3">
            <w:pPr>
              <w:keepNext/>
              <w:spacing w:line="240" w:lineRule="auto"/>
              <w:jc w:val="center"/>
              <w:rPr>
                <w:rFonts w:eastAsia="Times New Roman"/>
                <w:sz w:val="24"/>
                <w:szCs w:val="24"/>
                <w:lang w:eastAsia="ru-RU"/>
              </w:rPr>
            </w:pPr>
            <w:r w:rsidRPr="00AA5C00">
              <w:rPr>
                <w:rFonts w:eastAsia="Times New Roman"/>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DD32B8" w:rsidRPr="00AA5C00" w:rsidRDefault="00DD32B8" w:rsidP="000A3CA3">
            <w:pPr>
              <w:keepNext/>
              <w:spacing w:line="240" w:lineRule="auto"/>
              <w:jc w:val="center"/>
              <w:rPr>
                <w:rFonts w:eastAsia="Times New Roman"/>
                <w:sz w:val="24"/>
                <w:szCs w:val="24"/>
                <w:lang w:eastAsia="ru-RU"/>
              </w:rPr>
            </w:pPr>
            <w:r w:rsidRPr="00AA5C00">
              <w:rPr>
                <w:rFonts w:eastAsia="Times New Roman"/>
                <w:sz w:val="24"/>
                <w:szCs w:val="24"/>
                <w:lang w:eastAsia="ru-RU"/>
              </w:rPr>
              <w:t>3,59</w:t>
            </w:r>
          </w:p>
        </w:tc>
        <w:tc>
          <w:tcPr>
            <w:tcW w:w="969" w:type="dxa"/>
            <w:tcBorders>
              <w:top w:val="single" w:sz="4" w:space="0" w:color="auto"/>
              <w:left w:val="single" w:sz="4" w:space="0" w:color="auto"/>
              <w:bottom w:val="single" w:sz="4" w:space="0" w:color="auto"/>
              <w:right w:val="single" w:sz="4" w:space="0" w:color="auto"/>
            </w:tcBorders>
            <w:vAlign w:val="center"/>
          </w:tcPr>
          <w:p w:rsidR="00DD32B8" w:rsidRPr="00AA5C00" w:rsidRDefault="00DD32B8" w:rsidP="000A3CA3">
            <w:pPr>
              <w:keepNext/>
              <w:spacing w:line="240" w:lineRule="auto"/>
              <w:jc w:val="center"/>
              <w:rPr>
                <w:rFonts w:eastAsia="Times New Roman"/>
                <w:sz w:val="24"/>
                <w:szCs w:val="24"/>
                <w:lang w:eastAsia="ru-RU"/>
              </w:rPr>
            </w:pPr>
            <w:r w:rsidRPr="00AA5C00">
              <w:rPr>
                <w:rFonts w:eastAsia="Times New Roman"/>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DD32B8" w:rsidRPr="00AA5C00" w:rsidRDefault="00DD32B8" w:rsidP="000A3CA3">
            <w:pPr>
              <w:keepNext/>
              <w:spacing w:line="240" w:lineRule="auto"/>
              <w:jc w:val="center"/>
              <w:rPr>
                <w:rFonts w:eastAsia="Times New Roman"/>
                <w:sz w:val="24"/>
                <w:szCs w:val="24"/>
                <w:lang w:eastAsia="ru-RU"/>
              </w:rPr>
            </w:pPr>
            <w:r w:rsidRPr="00AA5C00">
              <w:rPr>
                <w:rFonts w:eastAsia="Times New Roman"/>
                <w:sz w:val="24"/>
                <w:szCs w:val="24"/>
                <w:lang w:eastAsia="ru-RU"/>
              </w:rPr>
              <w:t>0,51</w:t>
            </w:r>
          </w:p>
        </w:tc>
        <w:tc>
          <w:tcPr>
            <w:tcW w:w="969" w:type="dxa"/>
            <w:tcBorders>
              <w:top w:val="single" w:sz="4" w:space="0" w:color="auto"/>
              <w:left w:val="single" w:sz="4" w:space="0" w:color="auto"/>
              <w:bottom w:val="single" w:sz="4" w:space="0" w:color="auto"/>
              <w:right w:val="single" w:sz="4" w:space="0" w:color="auto"/>
            </w:tcBorders>
            <w:vAlign w:val="center"/>
          </w:tcPr>
          <w:p w:rsidR="00DD32B8" w:rsidRPr="00AA5C00" w:rsidRDefault="00DD32B8" w:rsidP="000A3CA3">
            <w:pPr>
              <w:keepNext/>
              <w:spacing w:line="240" w:lineRule="auto"/>
              <w:jc w:val="center"/>
              <w:rPr>
                <w:rFonts w:eastAsia="Times New Roman"/>
                <w:sz w:val="24"/>
                <w:szCs w:val="24"/>
                <w:lang w:eastAsia="ru-RU"/>
              </w:rPr>
            </w:pPr>
            <w:r w:rsidRPr="00AA5C00">
              <w:rPr>
                <w:rFonts w:eastAsia="Times New Roman"/>
                <w:sz w:val="24"/>
                <w:szCs w:val="24"/>
                <w:lang w:eastAsia="ru-RU"/>
              </w:rPr>
              <w:t>**</w:t>
            </w:r>
          </w:p>
        </w:tc>
      </w:tr>
      <w:tr w:rsidR="00DD32B8" w:rsidRPr="00AA5C00" w:rsidTr="00DD32B8">
        <w:trPr>
          <w:trHeight w:val="600"/>
          <w:jc w:val="center"/>
        </w:trPr>
        <w:tc>
          <w:tcPr>
            <w:tcW w:w="4395" w:type="dxa"/>
            <w:tcBorders>
              <w:top w:val="single" w:sz="4" w:space="0" w:color="auto"/>
              <w:left w:val="single" w:sz="4" w:space="0" w:color="auto"/>
              <w:bottom w:val="single" w:sz="4" w:space="0" w:color="auto"/>
              <w:right w:val="single" w:sz="4" w:space="0" w:color="auto"/>
            </w:tcBorders>
          </w:tcPr>
          <w:p w:rsidR="00DD32B8" w:rsidRPr="00AA5C00" w:rsidRDefault="00DD32B8" w:rsidP="000A3CA3">
            <w:pPr>
              <w:keepNext/>
              <w:spacing w:line="240" w:lineRule="auto"/>
              <w:rPr>
                <w:rFonts w:eastAsia="Times New Roman"/>
                <w:color w:val="000000"/>
                <w:sz w:val="24"/>
                <w:szCs w:val="24"/>
                <w:lang w:eastAsia="uk-UA"/>
              </w:rPr>
            </w:pPr>
            <w:r w:rsidRPr="00AA5C00">
              <w:rPr>
                <w:rFonts w:eastAsia="Times New Roman"/>
                <w:color w:val="000000"/>
                <w:sz w:val="24"/>
                <w:szCs w:val="24"/>
                <w:lang w:eastAsia="uk-UA"/>
              </w:rPr>
              <w:t>Індекс концентрації новонароджених масою тіла при народженні 500-1499г у ЗПД ІІІ рівня</w:t>
            </w:r>
          </w:p>
        </w:tc>
        <w:tc>
          <w:tcPr>
            <w:tcW w:w="968" w:type="dxa"/>
            <w:tcBorders>
              <w:top w:val="single" w:sz="4" w:space="0" w:color="auto"/>
              <w:left w:val="single" w:sz="4" w:space="0" w:color="auto"/>
              <w:bottom w:val="single" w:sz="4" w:space="0" w:color="auto"/>
              <w:right w:val="single" w:sz="4" w:space="0" w:color="auto"/>
            </w:tcBorders>
            <w:vAlign w:val="center"/>
          </w:tcPr>
          <w:p w:rsidR="00DD32B8" w:rsidRPr="00AA5C00" w:rsidRDefault="00DD32B8" w:rsidP="000A3CA3">
            <w:pPr>
              <w:keepNext/>
              <w:spacing w:line="240" w:lineRule="auto"/>
              <w:jc w:val="center"/>
              <w:rPr>
                <w:rFonts w:eastAsia="Times New Roman"/>
                <w:sz w:val="24"/>
                <w:szCs w:val="24"/>
                <w:lang w:eastAsia="ru-RU"/>
              </w:rPr>
            </w:pPr>
            <w:r w:rsidRPr="00AA5C00">
              <w:rPr>
                <w:rFonts w:eastAsia="Times New Roman"/>
                <w:sz w:val="24"/>
                <w:szCs w:val="24"/>
                <w:lang w:eastAsia="ru-RU"/>
              </w:rPr>
              <w:t>0</w:t>
            </w:r>
          </w:p>
        </w:tc>
        <w:tc>
          <w:tcPr>
            <w:tcW w:w="969" w:type="dxa"/>
            <w:tcBorders>
              <w:top w:val="single" w:sz="4" w:space="0" w:color="auto"/>
              <w:left w:val="single" w:sz="4" w:space="0" w:color="auto"/>
              <w:bottom w:val="single" w:sz="4" w:space="0" w:color="auto"/>
              <w:right w:val="single" w:sz="4" w:space="0" w:color="auto"/>
            </w:tcBorders>
            <w:vAlign w:val="center"/>
          </w:tcPr>
          <w:p w:rsidR="00DD32B8" w:rsidRPr="00AA5C00" w:rsidRDefault="00DD32B8" w:rsidP="000A3CA3">
            <w:pPr>
              <w:keepNext/>
              <w:spacing w:line="240" w:lineRule="auto"/>
              <w:jc w:val="center"/>
              <w:rPr>
                <w:rFonts w:eastAsia="Times New Roman"/>
                <w:sz w:val="24"/>
                <w:szCs w:val="24"/>
                <w:lang w:eastAsia="ru-RU"/>
              </w:rPr>
            </w:pPr>
            <w:r w:rsidRPr="00AA5C00">
              <w:rPr>
                <w:rFonts w:eastAsia="Times New Roman"/>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DD32B8" w:rsidRPr="00AA5C00" w:rsidRDefault="00DD32B8" w:rsidP="000A3CA3">
            <w:pPr>
              <w:keepNext/>
              <w:spacing w:line="240" w:lineRule="auto"/>
              <w:jc w:val="center"/>
              <w:rPr>
                <w:rFonts w:eastAsia="Times New Roman"/>
                <w:sz w:val="24"/>
                <w:szCs w:val="24"/>
                <w:lang w:eastAsia="ru-RU"/>
              </w:rPr>
            </w:pPr>
            <w:r w:rsidRPr="00AA5C00">
              <w:rPr>
                <w:rFonts w:eastAsia="Times New Roman"/>
                <w:sz w:val="24"/>
                <w:szCs w:val="24"/>
                <w:lang w:eastAsia="ru-RU"/>
              </w:rPr>
              <w:t>0</w:t>
            </w:r>
          </w:p>
        </w:tc>
        <w:tc>
          <w:tcPr>
            <w:tcW w:w="969" w:type="dxa"/>
            <w:tcBorders>
              <w:top w:val="single" w:sz="4" w:space="0" w:color="auto"/>
              <w:left w:val="single" w:sz="4" w:space="0" w:color="auto"/>
              <w:bottom w:val="single" w:sz="4" w:space="0" w:color="auto"/>
              <w:right w:val="single" w:sz="4" w:space="0" w:color="auto"/>
            </w:tcBorders>
            <w:vAlign w:val="center"/>
          </w:tcPr>
          <w:p w:rsidR="00DD32B8" w:rsidRPr="00AA5C00" w:rsidRDefault="00DD32B8" w:rsidP="000A3CA3">
            <w:pPr>
              <w:keepNext/>
              <w:spacing w:line="240" w:lineRule="auto"/>
              <w:jc w:val="center"/>
              <w:rPr>
                <w:rFonts w:eastAsia="Times New Roman"/>
                <w:sz w:val="24"/>
                <w:szCs w:val="24"/>
                <w:lang w:eastAsia="ru-RU"/>
              </w:rPr>
            </w:pPr>
            <w:r w:rsidRPr="00AA5C00">
              <w:rPr>
                <w:rFonts w:eastAsia="Times New Roman"/>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DD32B8" w:rsidRPr="00AA5C00" w:rsidRDefault="00DD32B8" w:rsidP="000A3CA3">
            <w:pPr>
              <w:keepNext/>
              <w:spacing w:line="240" w:lineRule="auto"/>
              <w:jc w:val="center"/>
              <w:rPr>
                <w:rFonts w:eastAsia="Times New Roman"/>
                <w:sz w:val="24"/>
                <w:szCs w:val="24"/>
                <w:lang w:eastAsia="ru-RU"/>
              </w:rPr>
            </w:pPr>
            <w:r w:rsidRPr="00AA5C00">
              <w:rPr>
                <w:rFonts w:eastAsia="Times New Roman"/>
                <w:sz w:val="24"/>
                <w:szCs w:val="24"/>
                <w:lang w:eastAsia="ru-RU"/>
              </w:rPr>
              <w:t>0</w:t>
            </w:r>
          </w:p>
        </w:tc>
        <w:tc>
          <w:tcPr>
            <w:tcW w:w="969" w:type="dxa"/>
            <w:tcBorders>
              <w:top w:val="single" w:sz="4" w:space="0" w:color="auto"/>
              <w:left w:val="single" w:sz="4" w:space="0" w:color="auto"/>
              <w:bottom w:val="single" w:sz="4" w:space="0" w:color="auto"/>
              <w:right w:val="single" w:sz="4" w:space="0" w:color="auto"/>
            </w:tcBorders>
            <w:vAlign w:val="center"/>
          </w:tcPr>
          <w:p w:rsidR="00DD32B8" w:rsidRPr="00AA5C00" w:rsidRDefault="00DD32B8" w:rsidP="000A3CA3">
            <w:pPr>
              <w:keepNext/>
              <w:spacing w:line="240" w:lineRule="auto"/>
              <w:jc w:val="center"/>
              <w:rPr>
                <w:rFonts w:eastAsia="Times New Roman"/>
                <w:sz w:val="24"/>
                <w:szCs w:val="24"/>
                <w:lang w:eastAsia="ru-RU"/>
              </w:rPr>
            </w:pPr>
            <w:r w:rsidRPr="00AA5C00">
              <w:rPr>
                <w:rFonts w:eastAsia="Times New Roman"/>
                <w:sz w:val="24"/>
                <w:szCs w:val="24"/>
                <w:lang w:eastAsia="ru-RU"/>
              </w:rPr>
              <w:t>**</w:t>
            </w:r>
          </w:p>
        </w:tc>
      </w:tr>
      <w:tr w:rsidR="00DD32B8" w:rsidRPr="00AA5C00" w:rsidTr="00DD32B8">
        <w:trPr>
          <w:trHeight w:val="288"/>
          <w:jc w:val="center"/>
        </w:trPr>
        <w:tc>
          <w:tcPr>
            <w:tcW w:w="4395" w:type="dxa"/>
            <w:tcBorders>
              <w:top w:val="single" w:sz="4" w:space="0" w:color="auto"/>
              <w:left w:val="single" w:sz="4" w:space="0" w:color="auto"/>
              <w:bottom w:val="single" w:sz="4" w:space="0" w:color="auto"/>
              <w:right w:val="single" w:sz="4" w:space="0" w:color="auto"/>
            </w:tcBorders>
            <w:vAlign w:val="bottom"/>
          </w:tcPr>
          <w:p w:rsidR="00DD32B8" w:rsidRPr="00AA5C00" w:rsidRDefault="00DD32B8" w:rsidP="000A3CA3">
            <w:pPr>
              <w:keepNext/>
              <w:spacing w:line="240" w:lineRule="auto"/>
              <w:jc w:val="left"/>
              <w:rPr>
                <w:rFonts w:eastAsia="Times New Roman"/>
                <w:sz w:val="24"/>
                <w:szCs w:val="24"/>
                <w:lang w:eastAsia="ru-RU"/>
              </w:rPr>
            </w:pPr>
            <w:r w:rsidRPr="00AA5C00">
              <w:rPr>
                <w:rFonts w:eastAsia="Times New Roman"/>
                <w:sz w:val="24"/>
                <w:szCs w:val="24"/>
                <w:lang w:eastAsia="ru-RU"/>
              </w:rPr>
              <w:t>Індекс неонатального трансферу</w:t>
            </w:r>
          </w:p>
        </w:tc>
        <w:tc>
          <w:tcPr>
            <w:tcW w:w="968" w:type="dxa"/>
            <w:tcBorders>
              <w:top w:val="single" w:sz="4" w:space="0" w:color="auto"/>
              <w:left w:val="single" w:sz="4" w:space="0" w:color="auto"/>
              <w:bottom w:val="single" w:sz="4" w:space="0" w:color="auto"/>
              <w:right w:val="single" w:sz="4" w:space="0" w:color="auto"/>
            </w:tcBorders>
            <w:vAlign w:val="center"/>
          </w:tcPr>
          <w:p w:rsidR="00DD32B8" w:rsidRPr="00AA5C00" w:rsidRDefault="00DD32B8" w:rsidP="000A3CA3">
            <w:pPr>
              <w:keepNext/>
              <w:spacing w:line="240" w:lineRule="auto"/>
              <w:jc w:val="center"/>
              <w:rPr>
                <w:rFonts w:eastAsia="Times New Roman"/>
                <w:sz w:val="24"/>
                <w:szCs w:val="24"/>
                <w:lang w:eastAsia="ru-RU"/>
              </w:rPr>
            </w:pPr>
            <w:r w:rsidRPr="00AA5C00">
              <w:rPr>
                <w:rFonts w:eastAsia="Times New Roman"/>
                <w:sz w:val="24"/>
                <w:szCs w:val="24"/>
                <w:lang w:eastAsia="ru-RU"/>
              </w:rPr>
              <w:t>3,65</w:t>
            </w:r>
          </w:p>
        </w:tc>
        <w:tc>
          <w:tcPr>
            <w:tcW w:w="969" w:type="dxa"/>
            <w:tcBorders>
              <w:top w:val="single" w:sz="4" w:space="0" w:color="auto"/>
              <w:left w:val="single" w:sz="4" w:space="0" w:color="auto"/>
              <w:bottom w:val="single" w:sz="4" w:space="0" w:color="auto"/>
              <w:right w:val="single" w:sz="4" w:space="0" w:color="auto"/>
            </w:tcBorders>
            <w:vAlign w:val="center"/>
          </w:tcPr>
          <w:p w:rsidR="00DD32B8" w:rsidRPr="00AA5C00" w:rsidRDefault="00DD32B8" w:rsidP="000A3CA3">
            <w:pPr>
              <w:keepNext/>
              <w:spacing w:line="240" w:lineRule="auto"/>
              <w:jc w:val="center"/>
              <w:rPr>
                <w:rFonts w:eastAsia="Times New Roman"/>
                <w:sz w:val="24"/>
                <w:szCs w:val="24"/>
                <w:lang w:eastAsia="ru-RU"/>
              </w:rPr>
            </w:pPr>
            <w:r w:rsidRPr="00AA5C00">
              <w:rPr>
                <w:rFonts w:eastAsia="Times New Roman"/>
                <w:sz w:val="24"/>
                <w:szCs w:val="24"/>
                <w:lang w:eastAsia="ru-RU"/>
              </w:rPr>
              <w:t>3,55</w:t>
            </w:r>
          </w:p>
        </w:tc>
        <w:tc>
          <w:tcPr>
            <w:tcW w:w="968" w:type="dxa"/>
            <w:tcBorders>
              <w:top w:val="single" w:sz="4" w:space="0" w:color="auto"/>
              <w:left w:val="single" w:sz="4" w:space="0" w:color="auto"/>
              <w:bottom w:val="single" w:sz="4" w:space="0" w:color="auto"/>
              <w:right w:val="single" w:sz="4" w:space="0" w:color="auto"/>
            </w:tcBorders>
            <w:vAlign w:val="center"/>
          </w:tcPr>
          <w:p w:rsidR="00DD32B8" w:rsidRPr="00AA5C00" w:rsidRDefault="00DD32B8" w:rsidP="000A3CA3">
            <w:pPr>
              <w:keepNext/>
              <w:spacing w:line="240" w:lineRule="auto"/>
              <w:jc w:val="center"/>
              <w:rPr>
                <w:rFonts w:eastAsia="Times New Roman"/>
                <w:sz w:val="24"/>
                <w:szCs w:val="24"/>
                <w:lang w:eastAsia="ru-RU"/>
              </w:rPr>
            </w:pPr>
            <w:r w:rsidRPr="00AA5C00">
              <w:rPr>
                <w:rFonts w:eastAsia="Times New Roman"/>
                <w:sz w:val="24"/>
                <w:szCs w:val="24"/>
                <w:lang w:eastAsia="ru-RU"/>
              </w:rPr>
              <w:t>7,00</w:t>
            </w:r>
          </w:p>
        </w:tc>
        <w:tc>
          <w:tcPr>
            <w:tcW w:w="969" w:type="dxa"/>
            <w:tcBorders>
              <w:top w:val="single" w:sz="4" w:space="0" w:color="auto"/>
              <w:left w:val="single" w:sz="4" w:space="0" w:color="auto"/>
              <w:bottom w:val="single" w:sz="4" w:space="0" w:color="auto"/>
              <w:right w:val="single" w:sz="4" w:space="0" w:color="auto"/>
            </w:tcBorders>
            <w:vAlign w:val="center"/>
          </w:tcPr>
          <w:p w:rsidR="00DD32B8" w:rsidRPr="00AA5C00" w:rsidRDefault="00DD32B8" w:rsidP="000A3CA3">
            <w:pPr>
              <w:keepNext/>
              <w:spacing w:line="240" w:lineRule="auto"/>
              <w:jc w:val="center"/>
              <w:rPr>
                <w:rFonts w:eastAsia="Times New Roman"/>
                <w:sz w:val="24"/>
                <w:szCs w:val="24"/>
                <w:lang w:eastAsia="ru-RU"/>
              </w:rPr>
            </w:pPr>
            <w:r w:rsidRPr="00AA5C00">
              <w:rPr>
                <w:rFonts w:eastAsia="Times New Roman"/>
                <w:sz w:val="24"/>
                <w:szCs w:val="24"/>
                <w:lang w:eastAsia="ru-RU"/>
              </w:rPr>
              <w:t>7,0</w:t>
            </w:r>
          </w:p>
        </w:tc>
        <w:tc>
          <w:tcPr>
            <w:tcW w:w="968" w:type="dxa"/>
            <w:tcBorders>
              <w:top w:val="single" w:sz="4" w:space="0" w:color="auto"/>
              <w:left w:val="single" w:sz="4" w:space="0" w:color="auto"/>
              <w:bottom w:val="single" w:sz="4" w:space="0" w:color="auto"/>
              <w:right w:val="single" w:sz="4" w:space="0" w:color="auto"/>
            </w:tcBorders>
            <w:vAlign w:val="center"/>
          </w:tcPr>
          <w:p w:rsidR="00DD32B8" w:rsidRPr="00AA5C00" w:rsidRDefault="00DD32B8" w:rsidP="000A3CA3">
            <w:pPr>
              <w:keepNext/>
              <w:spacing w:line="240" w:lineRule="auto"/>
              <w:jc w:val="center"/>
              <w:rPr>
                <w:rFonts w:eastAsia="Times New Roman"/>
                <w:sz w:val="24"/>
                <w:szCs w:val="24"/>
                <w:lang w:eastAsia="ru-RU"/>
              </w:rPr>
            </w:pPr>
            <w:r w:rsidRPr="00AA5C00">
              <w:rPr>
                <w:rFonts w:eastAsia="Times New Roman"/>
                <w:sz w:val="24"/>
                <w:szCs w:val="24"/>
                <w:lang w:eastAsia="ru-RU"/>
              </w:rPr>
              <w:t>1,00</w:t>
            </w:r>
          </w:p>
        </w:tc>
        <w:tc>
          <w:tcPr>
            <w:tcW w:w="969" w:type="dxa"/>
            <w:tcBorders>
              <w:top w:val="single" w:sz="4" w:space="0" w:color="auto"/>
              <w:left w:val="single" w:sz="4" w:space="0" w:color="auto"/>
              <w:bottom w:val="single" w:sz="4" w:space="0" w:color="auto"/>
              <w:right w:val="single" w:sz="4" w:space="0" w:color="auto"/>
            </w:tcBorders>
            <w:vAlign w:val="center"/>
          </w:tcPr>
          <w:p w:rsidR="00DD32B8" w:rsidRPr="00AA5C00" w:rsidRDefault="00DD32B8" w:rsidP="000A3CA3">
            <w:pPr>
              <w:keepNext/>
              <w:spacing w:line="240" w:lineRule="auto"/>
              <w:jc w:val="center"/>
              <w:rPr>
                <w:rFonts w:eastAsia="Times New Roman"/>
                <w:sz w:val="24"/>
                <w:szCs w:val="24"/>
                <w:lang w:eastAsia="ru-RU"/>
              </w:rPr>
            </w:pPr>
            <w:r w:rsidRPr="00AA5C00">
              <w:rPr>
                <w:rFonts w:eastAsia="Times New Roman"/>
                <w:sz w:val="24"/>
                <w:szCs w:val="24"/>
                <w:lang w:eastAsia="ru-RU"/>
              </w:rPr>
              <w:t>1,00</w:t>
            </w:r>
          </w:p>
        </w:tc>
      </w:tr>
      <w:tr w:rsidR="00DD32B8" w:rsidRPr="00AA5C00" w:rsidTr="00DD32B8">
        <w:trPr>
          <w:trHeight w:val="264"/>
          <w:jc w:val="center"/>
        </w:trPr>
        <w:tc>
          <w:tcPr>
            <w:tcW w:w="4395" w:type="dxa"/>
            <w:tcBorders>
              <w:top w:val="single" w:sz="4" w:space="0" w:color="auto"/>
              <w:left w:val="single" w:sz="4" w:space="0" w:color="auto"/>
              <w:bottom w:val="single" w:sz="4" w:space="0" w:color="auto"/>
              <w:right w:val="single" w:sz="4" w:space="0" w:color="auto"/>
            </w:tcBorders>
            <w:vAlign w:val="center"/>
          </w:tcPr>
          <w:p w:rsidR="00DD32B8" w:rsidRPr="00AA5C00" w:rsidRDefault="00DD32B8" w:rsidP="000A3CA3">
            <w:pPr>
              <w:keepNext/>
              <w:spacing w:line="240" w:lineRule="auto"/>
              <w:jc w:val="left"/>
              <w:rPr>
                <w:rFonts w:eastAsia="Times New Roman"/>
                <w:sz w:val="24"/>
                <w:szCs w:val="24"/>
                <w:lang w:eastAsia="ru-RU"/>
              </w:rPr>
            </w:pPr>
            <w:r w:rsidRPr="00AA5C00">
              <w:rPr>
                <w:rFonts w:eastAsia="Times New Roman"/>
                <w:sz w:val="24"/>
                <w:szCs w:val="24"/>
                <w:lang w:eastAsia="ru-RU"/>
              </w:rPr>
              <w:t>Частота нормальних пологів</w:t>
            </w:r>
          </w:p>
        </w:tc>
        <w:tc>
          <w:tcPr>
            <w:tcW w:w="968" w:type="dxa"/>
            <w:tcBorders>
              <w:top w:val="single" w:sz="4" w:space="0" w:color="auto"/>
              <w:left w:val="single" w:sz="4" w:space="0" w:color="auto"/>
              <w:bottom w:val="single" w:sz="4" w:space="0" w:color="auto"/>
              <w:right w:val="single" w:sz="4" w:space="0" w:color="auto"/>
            </w:tcBorders>
            <w:vAlign w:val="center"/>
          </w:tcPr>
          <w:p w:rsidR="00DD32B8" w:rsidRPr="00AA5C00" w:rsidRDefault="00DD32B8" w:rsidP="000A3CA3">
            <w:pPr>
              <w:keepNext/>
              <w:spacing w:line="240" w:lineRule="auto"/>
              <w:jc w:val="center"/>
              <w:rPr>
                <w:rFonts w:eastAsia="Times New Roman"/>
                <w:sz w:val="24"/>
                <w:szCs w:val="24"/>
                <w:lang w:eastAsia="ru-RU"/>
              </w:rPr>
            </w:pPr>
            <w:r w:rsidRPr="00AA5C00">
              <w:rPr>
                <w:rFonts w:eastAsia="Times New Roman"/>
                <w:sz w:val="24"/>
                <w:szCs w:val="24"/>
                <w:lang w:eastAsia="ru-RU"/>
              </w:rPr>
              <w:t>67,32</w:t>
            </w:r>
          </w:p>
        </w:tc>
        <w:tc>
          <w:tcPr>
            <w:tcW w:w="969" w:type="dxa"/>
            <w:tcBorders>
              <w:top w:val="single" w:sz="4" w:space="0" w:color="auto"/>
              <w:left w:val="single" w:sz="4" w:space="0" w:color="auto"/>
              <w:bottom w:val="single" w:sz="4" w:space="0" w:color="auto"/>
              <w:right w:val="single" w:sz="4" w:space="0" w:color="auto"/>
            </w:tcBorders>
            <w:vAlign w:val="center"/>
          </w:tcPr>
          <w:p w:rsidR="00DD32B8" w:rsidRPr="00AA5C00" w:rsidRDefault="00DD32B8" w:rsidP="000A3CA3">
            <w:pPr>
              <w:keepNext/>
              <w:spacing w:line="240" w:lineRule="auto"/>
              <w:jc w:val="center"/>
              <w:rPr>
                <w:rFonts w:eastAsia="Times New Roman"/>
                <w:sz w:val="24"/>
                <w:szCs w:val="24"/>
                <w:lang w:eastAsia="ru-RU"/>
              </w:rPr>
            </w:pPr>
            <w:r w:rsidRPr="00AA5C00">
              <w:rPr>
                <w:rFonts w:eastAsia="Times New Roman"/>
                <w:sz w:val="24"/>
                <w:szCs w:val="24"/>
                <w:lang w:eastAsia="ru-RU"/>
              </w:rPr>
              <w:t>66,33</w:t>
            </w:r>
          </w:p>
        </w:tc>
        <w:tc>
          <w:tcPr>
            <w:tcW w:w="968" w:type="dxa"/>
            <w:tcBorders>
              <w:top w:val="single" w:sz="4" w:space="0" w:color="auto"/>
              <w:left w:val="single" w:sz="4" w:space="0" w:color="auto"/>
              <w:bottom w:val="single" w:sz="4" w:space="0" w:color="auto"/>
              <w:right w:val="single" w:sz="4" w:space="0" w:color="auto"/>
            </w:tcBorders>
            <w:vAlign w:val="center"/>
          </w:tcPr>
          <w:p w:rsidR="00DD32B8" w:rsidRPr="00AA5C00" w:rsidRDefault="00DD32B8" w:rsidP="000A3CA3">
            <w:pPr>
              <w:keepNext/>
              <w:spacing w:line="240" w:lineRule="auto"/>
              <w:jc w:val="center"/>
              <w:rPr>
                <w:rFonts w:eastAsia="Times New Roman"/>
                <w:sz w:val="24"/>
                <w:szCs w:val="24"/>
                <w:lang w:eastAsia="ru-RU"/>
              </w:rPr>
            </w:pPr>
            <w:r w:rsidRPr="00AA5C00">
              <w:rPr>
                <w:rFonts w:eastAsia="Times New Roman"/>
                <w:sz w:val="24"/>
                <w:szCs w:val="24"/>
                <w:lang w:eastAsia="ru-RU"/>
              </w:rPr>
              <w:t>4,81</w:t>
            </w:r>
          </w:p>
        </w:tc>
        <w:tc>
          <w:tcPr>
            <w:tcW w:w="969" w:type="dxa"/>
            <w:tcBorders>
              <w:top w:val="single" w:sz="4" w:space="0" w:color="auto"/>
              <w:left w:val="single" w:sz="4" w:space="0" w:color="auto"/>
              <w:bottom w:val="single" w:sz="4" w:space="0" w:color="auto"/>
              <w:right w:val="single" w:sz="4" w:space="0" w:color="auto"/>
            </w:tcBorders>
            <w:vAlign w:val="center"/>
          </w:tcPr>
          <w:p w:rsidR="00DD32B8" w:rsidRPr="00AA5C00" w:rsidRDefault="00DD32B8" w:rsidP="000A3CA3">
            <w:pPr>
              <w:keepNext/>
              <w:spacing w:line="240" w:lineRule="auto"/>
              <w:jc w:val="center"/>
              <w:rPr>
                <w:rFonts w:eastAsia="Times New Roman"/>
                <w:sz w:val="24"/>
                <w:szCs w:val="24"/>
                <w:lang w:eastAsia="ru-RU"/>
              </w:rPr>
            </w:pPr>
            <w:r w:rsidRPr="00AA5C00">
              <w:rPr>
                <w:rFonts w:eastAsia="Times New Roman"/>
                <w:sz w:val="24"/>
                <w:szCs w:val="24"/>
                <w:lang w:eastAsia="ru-RU"/>
              </w:rPr>
              <w:t>4,95</w:t>
            </w:r>
          </w:p>
        </w:tc>
        <w:tc>
          <w:tcPr>
            <w:tcW w:w="968" w:type="dxa"/>
            <w:tcBorders>
              <w:top w:val="single" w:sz="4" w:space="0" w:color="auto"/>
              <w:left w:val="single" w:sz="4" w:space="0" w:color="auto"/>
              <w:bottom w:val="single" w:sz="4" w:space="0" w:color="auto"/>
              <w:right w:val="single" w:sz="4" w:space="0" w:color="auto"/>
            </w:tcBorders>
            <w:vAlign w:val="center"/>
          </w:tcPr>
          <w:p w:rsidR="00DD32B8" w:rsidRPr="00AA5C00" w:rsidRDefault="00DD32B8" w:rsidP="000A3CA3">
            <w:pPr>
              <w:keepNext/>
              <w:spacing w:line="240" w:lineRule="auto"/>
              <w:jc w:val="center"/>
              <w:rPr>
                <w:rFonts w:eastAsia="Times New Roman"/>
                <w:sz w:val="24"/>
                <w:szCs w:val="24"/>
                <w:lang w:eastAsia="ru-RU"/>
              </w:rPr>
            </w:pPr>
            <w:r w:rsidRPr="00AA5C00">
              <w:rPr>
                <w:rFonts w:eastAsia="Times New Roman"/>
                <w:sz w:val="24"/>
                <w:szCs w:val="24"/>
                <w:lang w:eastAsia="ru-RU"/>
              </w:rPr>
              <w:t>0,96</w:t>
            </w:r>
          </w:p>
        </w:tc>
        <w:tc>
          <w:tcPr>
            <w:tcW w:w="969" w:type="dxa"/>
            <w:tcBorders>
              <w:top w:val="single" w:sz="4" w:space="0" w:color="auto"/>
              <w:left w:val="single" w:sz="4" w:space="0" w:color="auto"/>
              <w:bottom w:val="single" w:sz="4" w:space="0" w:color="auto"/>
              <w:right w:val="single" w:sz="4" w:space="0" w:color="auto"/>
            </w:tcBorders>
            <w:vAlign w:val="center"/>
          </w:tcPr>
          <w:p w:rsidR="00DD32B8" w:rsidRPr="00AA5C00" w:rsidRDefault="00DD32B8" w:rsidP="000A3CA3">
            <w:pPr>
              <w:keepNext/>
              <w:spacing w:line="240" w:lineRule="auto"/>
              <w:jc w:val="center"/>
              <w:rPr>
                <w:rFonts w:eastAsia="Times New Roman"/>
                <w:sz w:val="24"/>
                <w:szCs w:val="24"/>
                <w:lang w:eastAsia="ru-RU"/>
              </w:rPr>
            </w:pPr>
            <w:r w:rsidRPr="00AA5C00">
              <w:rPr>
                <w:rFonts w:eastAsia="Times New Roman"/>
                <w:sz w:val="24"/>
                <w:szCs w:val="24"/>
                <w:lang w:eastAsia="ru-RU"/>
              </w:rPr>
              <w:t>0,99</w:t>
            </w:r>
          </w:p>
        </w:tc>
      </w:tr>
      <w:tr w:rsidR="00DD32B8" w:rsidRPr="00AA5C00" w:rsidTr="00DD32B8">
        <w:trPr>
          <w:trHeight w:val="553"/>
          <w:jc w:val="center"/>
        </w:trPr>
        <w:tc>
          <w:tcPr>
            <w:tcW w:w="4395" w:type="dxa"/>
            <w:tcBorders>
              <w:top w:val="single" w:sz="4" w:space="0" w:color="auto"/>
              <w:left w:val="single" w:sz="4" w:space="0" w:color="auto"/>
              <w:bottom w:val="single" w:sz="4" w:space="0" w:color="auto"/>
              <w:right w:val="single" w:sz="4" w:space="0" w:color="auto"/>
            </w:tcBorders>
            <w:vAlign w:val="bottom"/>
          </w:tcPr>
          <w:p w:rsidR="00DD32B8" w:rsidRPr="00AA5C00" w:rsidRDefault="00DD32B8" w:rsidP="000A3CA3">
            <w:pPr>
              <w:keepNext/>
              <w:spacing w:line="240" w:lineRule="auto"/>
              <w:jc w:val="left"/>
              <w:rPr>
                <w:rFonts w:eastAsia="Times New Roman"/>
                <w:sz w:val="24"/>
                <w:szCs w:val="24"/>
                <w:lang w:eastAsia="ru-RU"/>
              </w:rPr>
            </w:pPr>
            <w:r w:rsidRPr="00AA5C00">
              <w:rPr>
                <w:rFonts w:eastAsia="Times New Roman"/>
                <w:sz w:val="24"/>
                <w:szCs w:val="24"/>
                <w:lang w:eastAsia="ru-RU"/>
              </w:rPr>
              <w:t>Частота розроджень вагітних шляхом кесаревого розтину</w:t>
            </w:r>
          </w:p>
        </w:tc>
        <w:tc>
          <w:tcPr>
            <w:tcW w:w="968" w:type="dxa"/>
            <w:tcBorders>
              <w:top w:val="single" w:sz="4" w:space="0" w:color="auto"/>
              <w:left w:val="single" w:sz="4" w:space="0" w:color="auto"/>
              <w:bottom w:val="single" w:sz="4" w:space="0" w:color="auto"/>
              <w:right w:val="single" w:sz="4" w:space="0" w:color="auto"/>
            </w:tcBorders>
            <w:vAlign w:val="center"/>
          </w:tcPr>
          <w:p w:rsidR="00DD32B8" w:rsidRPr="00AA5C00" w:rsidRDefault="00DD32B8" w:rsidP="000A3CA3">
            <w:pPr>
              <w:keepNext/>
              <w:spacing w:line="240" w:lineRule="auto"/>
              <w:jc w:val="center"/>
              <w:rPr>
                <w:rFonts w:eastAsia="Times New Roman"/>
                <w:sz w:val="24"/>
                <w:szCs w:val="24"/>
                <w:lang w:eastAsia="ru-RU"/>
              </w:rPr>
            </w:pPr>
            <w:r w:rsidRPr="00AA5C00">
              <w:rPr>
                <w:rFonts w:eastAsia="Times New Roman"/>
                <w:sz w:val="24"/>
                <w:szCs w:val="24"/>
                <w:lang w:eastAsia="ru-RU"/>
              </w:rPr>
              <w:t>222,9</w:t>
            </w:r>
          </w:p>
        </w:tc>
        <w:tc>
          <w:tcPr>
            <w:tcW w:w="969" w:type="dxa"/>
            <w:tcBorders>
              <w:top w:val="single" w:sz="4" w:space="0" w:color="auto"/>
              <w:left w:val="single" w:sz="4" w:space="0" w:color="auto"/>
              <w:bottom w:val="single" w:sz="4" w:space="0" w:color="auto"/>
              <w:right w:val="single" w:sz="4" w:space="0" w:color="auto"/>
            </w:tcBorders>
            <w:vAlign w:val="center"/>
          </w:tcPr>
          <w:p w:rsidR="00DD32B8" w:rsidRPr="00AA5C00" w:rsidRDefault="00DD32B8" w:rsidP="000A3CA3">
            <w:pPr>
              <w:keepNext/>
              <w:spacing w:line="240" w:lineRule="auto"/>
              <w:jc w:val="center"/>
              <w:rPr>
                <w:rFonts w:eastAsia="Times New Roman"/>
                <w:sz w:val="24"/>
                <w:szCs w:val="24"/>
                <w:lang w:eastAsia="ru-RU"/>
              </w:rPr>
            </w:pPr>
            <w:r w:rsidRPr="00AA5C00">
              <w:rPr>
                <w:rFonts w:eastAsia="Times New Roman"/>
                <w:sz w:val="24"/>
                <w:szCs w:val="24"/>
                <w:lang w:eastAsia="ru-RU"/>
              </w:rPr>
              <w:t>234,73</w:t>
            </w:r>
          </w:p>
        </w:tc>
        <w:tc>
          <w:tcPr>
            <w:tcW w:w="968" w:type="dxa"/>
            <w:tcBorders>
              <w:top w:val="single" w:sz="4" w:space="0" w:color="auto"/>
              <w:left w:val="single" w:sz="4" w:space="0" w:color="auto"/>
              <w:bottom w:val="single" w:sz="4" w:space="0" w:color="auto"/>
              <w:right w:val="single" w:sz="4" w:space="0" w:color="auto"/>
            </w:tcBorders>
            <w:vAlign w:val="center"/>
          </w:tcPr>
          <w:p w:rsidR="00DD32B8" w:rsidRPr="00AA5C00" w:rsidRDefault="00DD32B8" w:rsidP="000A3CA3">
            <w:pPr>
              <w:keepNext/>
              <w:spacing w:line="240" w:lineRule="auto"/>
              <w:jc w:val="center"/>
              <w:rPr>
                <w:rFonts w:eastAsia="Times New Roman"/>
                <w:sz w:val="24"/>
                <w:szCs w:val="24"/>
                <w:lang w:eastAsia="ru-RU"/>
              </w:rPr>
            </w:pPr>
            <w:r w:rsidRPr="00AA5C00">
              <w:rPr>
                <w:rFonts w:eastAsia="Times New Roman"/>
                <w:sz w:val="24"/>
                <w:szCs w:val="24"/>
                <w:lang w:eastAsia="ru-RU"/>
              </w:rPr>
              <w:t>4,25</w:t>
            </w:r>
          </w:p>
        </w:tc>
        <w:tc>
          <w:tcPr>
            <w:tcW w:w="969" w:type="dxa"/>
            <w:tcBorders>
              <w:top w:val="single" w:sz="4" w:space="0" w:color="auto"/>
              <w:left w:val="single" w:sz="4" w:space="0" w:color="auto"/>
              <w:bottom w:val="single" w:sz="4" w:space="0" w:color="auto"/>
              <w:right w:val="single" w:sz="4" w:space="0" w:color="auto"/>
            </w:tcBorders>
            <w:vAlign w:val="center"/>
          </w:tcPr>
          <w:p w:rsidR="00DD32B8" w:rsidRPr="00AA5C00" w:rsidRDefault="00DD32B8" w:rsidP="000A3CA3">
            <w:pPr>
              <w:keepNext/>
              <w:spacing w:line="240" w:lineRule="auto"/>
              <w:jc w:val="center"/>
              <w:rPr>
                <w:rFonts w:eastAsia="Times New Roman"/>
                <w:sz w:val="24"/>
                <w:szCs w:val="24"/>
                <w:lang w:eastAsia="ru-RU"/>
              </w:rPr>
            </w:pPr>
            <w:r w:rsidRPr="00AA5C00">
              <w:rPr>
                <w:rFonts w:eastAsia="Times New Roman"/>
                <w:sz w:val="24"/>
                <w:szCs w:val="24"/>
                <w:lang w:eastAsia="ru-RU"/>
              </w:rPr>
              <w:t>4,81</w:t>
            </w:r>
          </w:p>
        </w:tc>
        <w:tc>
          <w:tcPr>
            <w:tcW w:w="968" w:type="dxa"/>
            <w:tcBorders>
              <w:top w:val="single" w:sz="4" w:space="0" w:color="auto"/>
              <w:left w:val="single" w:sz="4" w:space="0" w:color="auto"/>
              <w:bottom w:val="single" w:sz="4" w:space="0" w:color="auto"/>
              <w:right w:val="single" w:sz="4" w:space="0" w:color="auto"/>
            </w:tcBorders>
            <w:vAlign w:val="center"/>
          </w:tcPr>
          <w:p w:rsidR="00DD32B8" w:rsidRPr="00AA5C00" w:rsidRDefault="00DD32B8" w:rsidP="000A3CA3">
            <w:pPr>
              <w:keepNext/>
              <w:spacing w:line="240" w:lineRule="auto"/>
              <w:jc w:val="center"/>
              <w:rPr>
                <w:rFonts w:eastAsia="Times New Roman"/>
                <w:sz w:val="24"/>
                <w:szCs w:val="24"/>
                <w:lang w:eastAsia="ru-RU"/>
              </w:rPr>
            </w:pPr>
            <w:r w:rsidRPr="00AA5C00">
              <w:rPr>
                <w:rFonts w:eastAsia="Times New Roman"/>
                <w:sz w:val="24"/>
                <w:szCs w:val="24"/>
                <w:lang w:eastAsia="ru-RU"/>
              </w:rPr>
              <w:t>0,61</w:t>
            </w:r>
          </w:p>
        </w:tc>
        <w:tc>
          <w:tcPr>
            <w:tcW w:w="969" w:type="dxa"/>
            <w:tcBorders>
              <w:top w:val="single" w:sz="4" w:space="0" w:color="auto"/>
              <w:left w:val="single" w:sz="4" w:space="0" w:color="auto"/>
              <w:bottom w:val="single" w:sz="4" w:space="0" w:color="auto"/>
              <w:right w:val="single" w:sz="4" w:space="0" w:color="auto"/>
            </w:tcBorders>
            <w:vAlign w:val="center"/>
          </w:tcPr>
          <w:p w:rsidR="00DD32B8" w:rsidRPr="00AA5C00" w:rsidRDefault="00DD32B8" w:rsidP="000A3CA3">
            <w:pPr>
              <w:keepNext/>
              <w:spacing w:line="240" w:lineRule="auto"/>
              <w:jc w:val="center"/>
              <w:rPr>
                <w:rFonts w:eastAsia="Times New Roman"/>
                <w:sz w:val="24"/>
                <w:szCs w:val="24"/>
                <w:lang w:eastAsia="ru-RU"/>
              </w:rPr>
            </w:pPr>
            <w:r w:rsidRPr="00AA5C00">
              <w:rPr>
                <w:rFonts w:eastAsia="Times New Roman"/>
                <w:sz w:val="24"/>
                <w:szCs w:val="24"/>
                <w:lang w:eastAsia="ru-RU"/>
              </w:rPr>
              <w:t>0,69</w:t>
            </w:r>
          </w:p>
        </w:tc>
      </w:tr>
      <w:tr w:rsidR="00DD32B8" w:rsidRPr="00AA5C00" w:rsidTr="00DD32B8">
        <w:trPr>
          <w:trHeight w:val="276"/>
          <w:jc w:val="center"/>
        </w:trPr>
        <w:tc>
          <w:tcPr>
            <w:tcW w:w="4395" w:type="dxa"/>
            <w:tcBorders>
              <w:top w:val="single" w:sz="4" w:space="0" w:color="auto"/>
              <w:left w:val="single" w:sz="4" w:space="0" w:color="auto"/>
              <w:bottom w:val="single" w:sz="4" w:space="0" w:color="auto"/>
              <w:right w:val="single" w:sz="4" w:space="0" w:color="auto"/>
            </w:tcBorders>
            <w:vAlign w:val="bottom"/>
          </w:tcPr>
          <w:p w:rsidR="00DD32B8" w:rsidRPr="00AA5C00" w:rsidRDefault="00DD32B8" w:rsidP="000A3CA3">
            <w:pPr>
              <w:keepNext/>
              <w:spacing w:line="240" w:lineRule="auto"/>
              <w:jc w:val="left"/>
              <w:rPr>
                <w:rFonts w:eastAsia="Times New Roman"/>
                <w:sz w:val="24"/>
                <w:szCs w:val="24"/>
                <w:lang w:eastAsia="ru-RU"/>
              </w:rPr>
            </w:pPr>
            <w:r w:rsidRPr="00AA5C00">
              <w:rPr>
                <w:rFonts w:eastAsia="Times New Roman"/>
                <w:sz w:val="24"/>
                <w:szCs w:val="24"/>
                <w:lang w:eastAsia="ru-RU"/>
              </w:rPr>
              <w:t>Частота  кровотеч в послідовому і післяродовому періодах</w:t>
            </w:r>
          </w:p>
        </w:tc>
        <w:tc>
          <w:tcPr>
            <w:tcW w:w="968" w:type="dxa"/>
            <w:tcBorders>
              <w:top w:val="single" w:sz="4" w:space="0" w:color="auto"/>
              <w:left w:val="single" w:sz="4" w:space="0" w:color="auto"/>
              <w:bottom w:val="single" w:sz="4" w:space="0" w:color="auto"/>
              <w:right w:val="single" w:sz="4" w:space="0" w:color="auto"/>
            </w:tcBorders>
            <w:vAlign w:val="center"/>
          </w:tcPr>
          <w:p w:rsidR="00DD32B8" w:rsidRPr="00AA5C00" w:rsidRDefault="00DD32B8" w:rsidP="000A3CA3">
            <w:pPr>
              <w:keepNext/>
              <w:spacing w:line="240" w:lineRule="auto"/>
              <w:jc w:val="center"/>
              <w:rPr>
                <w:rFonts w:eastAsia="Times New Roman"/>
                <w:sz w:val="24"/>
                <w:szCs w:val="24"/>
                <w:lang w:eastAsia="ru-RU"/>
              </w:rPr>
            </w:pPr>
            <w:r w:rsidRPr="00AA5C00">
              <w:rPr>
                <w:rFonts w:eastAsia="Times New Roman"/>
                <w:sz w:val="24"/>
                <w:szCs w:val="24"/>
                <w:lang w:eastAsia="ru-RU"/>
              </w:rPr>
              <w:t>10,5</w:t>
            </w:r>
          </w:p>
        </w:tc>
        <w:tc>
          <w:tcPr>
            <w:tcW w:w="969" w:type="dxa"/>
            <w:tcBorders>
              <w:top w:val="single" w:sz="4" w:space="0" w:color="auto"/>
              <w:left w:val="single" w:sz="4" w:space="0" w:color="auto"/>
              <w:bottom w:val="single" w:sz="4" w:space="0" w:color="auto"/>
              <w:right w:val="single" w:sz="4" w:space="0" w:color="auto"/>
            </w:tcBorders>
            <w:vAlign w:val="center"/>
          </w:tcPr>
          <w:p w:rsidR="00DD32B8" w:rsidRPr="00AA5C00" w:rsidRDefault="00DD32B8" w:rsidP="000A3CA3">
            <w:pPr>
              <w:keepNext/>
              <w:spacing w:line="240" w:lineRule="auto"/>
              <w:jc w:val="center"/>
              <w:rPr>
                <w:rFonts w:eastAsia="Times New Roman"/>
                <w:sz w:val="24"/>
                <w:szCs w:val="24"/>
                <w:lang w:eastAsia="ru-RU"/>
              </w:rPr>
            </w:pPr>
            <w:r w:rsidRPr="00AA5C00">
              <w:rPr>
                <w:rFonts w:eastAsia="Times New Roman"/>
                <w:sz w:val="24"/>
                <w:szCs w:val="24"/>
                <w:lang w:eastAsia="ru-RU"/>
              </w:rPr>
              <w:t>9,79</w:t>
            </w:r>
          </w:p>
        </w:tc>
        <w:tc>
          <w:tcPr>
            <w:tcW w:w="968" w:type="dxa"/>
            <w:tcBorders>
              <w:top w:val="single" w:sz="4" w:space="0" w:color="auto"/>
              <w:left w:val="single" w:sz="4" w:space="0" w:color="auto"/>
              <w:bottom w:val="single" w:sz="4" w:space="0" w:color="auto"/>
              <w:right w:val="single" w:sz="4" w:space="0" w:color="auto"/>
            </w:tcBorders>
            <w:vAlign w:val="center"/>
          </w:tcPr>
          <w:p w:rsidR="00DD32B8" w:rsidRPr="00AA5C00" w:rsidRDefault="00DD32B8" w:rsidP="000A3CA3">
            <w:pPr>
              <w:keepNext/>
              <w:spacing w:line="240" w:lineRule="auto"/>
              <w:jc w:val="center"/>
              <w:rPr>
                <w:rFonts w:eastAsia="Times New Roman"/>
                <w:sz w:val="24"/>
                <w:szCs w:val="24"/>
                <w:lang w:eastAsia="ru-RU"/>
              </w:rPr>
            </w:pPr>
            <w:r w:rsidRPr="00AA5C00">
              <w:rPr>
                <w:rFonts w:eastAsia="Times New Roman"/>
                <w:sz w:val="24"/>
                <w:szCs w:val="24"/>
                <w:lang w:eastAsia="ru-RU"/>
              </w:rPr>
              <w:t>0,00</w:t>
            </w:r>
          </w:p>
        </w:tc>
        <w:tc>
          <w:tcPr>
            <w:tcW w:w="969" w:type="dxa"/>
            <w:tcBorders>
              <w:top w:val="single" w:sz="4" w:space="0" w:color="auto"/>
              <w:left w:val="single" w:sz="4" w:space="0" w:color="auto"/>
              <w:bottom w:val="single" w:sz="4" w:space="0" w:color="auto"/>
              <w:right w:val="single" w:sz="4" w:space="0" w:color="auto"/>
            </w:tcBorders>
            <w:vAlign w:val="center"/>
          </w:tcPr>
          <w:p w:rsidR="00DD32B8" w:rsidRPr="00AA5C00" w:rsidRDefault="00DD32B8" w:rsidP="000A3CA3">
            <w:pPr>
              <w:keepNext/>
              <w:spacing w:line="240" w:lineRule="auto"/>
              <w:jc w:val="center"/>
              <w:rPr>
                <w:rFonts w:eastAsia="Times New Roman"/>
                <w:sz w:val="24"/>
                <w:szCs w:val="24"/>
                <w:lang w:eastAsia="ru-RU"/>
              </w:rPr>
            </w:pPr>
            <w:r w:rsidRPr="00AA5C00">
              <w:rPr>
                <w:rFonts w:eastAsia="Times New Roman"/>
                <w:sz w:val="24"/>
                <w:szCs w:val="24"/>
                <w:lang w:eastAsia="ru-RU"/>
              </w:rPr>
              <w:t>3,32</w:t>
            </w:r>
          </w:p>
        </w:tc>
        <w:tc>
          <w:tcPr>
            <w:tcW w:w="968" w:type="dxa"/>
            <w:tcBorders>
              <w:top w:val="single" w:sz="4" w:space="0" w:color="auto"/>
              <w:left w:val="single" w:sz="4" w:space="0" w:color="auto"/>
              <w:bottom w:val="single" w:sz="4" w:space="0" w:color="auto"/>
              <w:right w:val="single" w:sz="4" w:space="0" w:color="auto"/>
            </w:tcBorders>
            <w:vAlign w:val="center"/>
          </w:tcPr>
          <w:p w:rsidR="00DD32B8" w:rsidRPr="00AA5C00" w:rsidRDefault="00DD32B8" w:rsidP="000A3CA3">
            <w:pPr>
              <w:keepNext/>
              <w:spacing w:line="240" w:lineRule="auto"/>
              <w:jc w:val="center"/>
              <w:rPr>
                <w:rFonts w:eastAsia="Times New Roman"/>
                <w:sz w:val="24"/>
                <w:szCs w:val="24"/>
                <w:lang w:eastAsia="ru-RU"/>
              </w:rPr>
            </w:pPr>
            <w:r w:rsidRPr="00AA5C00">
              <w:rPr>
                <w:rFonts w:eastAsia="Times New Roman"/>
                <w:sz w:val="24"/>
                <w:szCs w:val="24"/>
                <w:lang w:eastAsia="ru-RU"/>
              </w:rPr>
              <w:t>0,00</w:t>
            </w:r>
          </w:p>
        </w:tc>
        <w:tc>
          <w:tcPr>
            <w:tcW w:w="969" w:type="dxa"/>
            <w:tcBorders>
              <w:top w:val="single" w:sz="4" w:space="0" w:color="auto"/>
              <w:left w:val="single" w:sz="4" w:space="0" w:color="auto"/>
              <w:bottom w:val="single" w:sz="4" w:space="0" w:color="auto"/>
              <w:right w:val="single" w:sz="4" w:space="0" w:color="auto"/>
            </w:tcBorders>
            <w:vAlign w:val="center"/>
          </w:tcPr>
          <w:p w:rsidR="00DD32B8" w:rsidRPr="00AA5C00" w:rsidRDefault="00DD32B8" w:rsidP="000A3CA3">
            <w:pPr>
              <w:keepNext/>
              <w:spacing w:line="240" w:lineRule="auto"/>
              <w:jc w:val="center"/>
              <w:rPr>
                <w:rFonts w:eastAsia="Times New Roman"/>
                <w:sz w:val="24"/>
                <w:szCs w:val="24"/>
                <w:lang w:eastAsia="ru-RU"/>
              </w:rPr>
            </w:pPr>
            <w:r w:rsidRPr="00AA5C00">
              <w:rPr>
                <w:rFonts w:eastAsia="Times New Roman"/>
                <w:sz w:val="24"/>
                <w:szCs w:val="24"/>
                <w:lang w:eastAsia="ru-RU"/>
              </w:rPr>
              <w:t>0,37</w:t>
            </w:r>
          </w:p>
        </w:tc>
      </w:tr>
      <w:tr w:rsidR="00DD32B8" w:rsidRPr="00AA5C00" w:rsidTr="00DD32B8">
        <w:trPr>
          <w:trHeight w:val="293"/>
          <w:jc w:val="center"/>
        </w:trPr>
        <w:tc>
          <w:tcPr>
            <w:tcW w:w="4395" w:type="dxa"/>
            <w:tcBorders>
              <w:top w:val="single" w:sz="4" w:space="0" w:color="auto"/>
              <w:left w:val="single" w:sz="4" w:space="0" w:color="auto"/>
              <w:bottom w:val="single" w:sz="4" w:space="0" w:color="auto"/>
              <w:right w:val="single" w:sz="4" w:space="0" w:color="auto"/>
            </w:tcBorders>
            <w:vAlign w:val="bottom"/>
          </w:tcPr>
          <w:p w:rsidR="00DD32B8" w:rsidRPr="00AA5C00" w:rsidRDefault="00DD32B8" w:rsidP="000A3CA3">
            <w:pPr>
              <w:keepNext/>
              <w:spacing w:line="240" w:lineRule="auto"/>
              <w:jc w:val="left"/>
              <w:rPr>
                <w:rFonts w:eastAsia="Times New Roman"/>
                <w:sz w:val="24"/>
                <w:szCs w:val="24"/>
                <w:lang w:eastAsia="ru-RU"/>
              </w:rPr>
            </w:pPr>
            <w:r w:rsidRPr="00AA5C00">
              <w:rPr>
                <w:rFonts w:eastAsia="Times New Roman"/>
                <w:sz w:val="24"/>
                <w:szCs w:val="24"/>
                <w:lang w:eastAsia="ru-RU"/>
              </w:rPr>
              <w:t>Частота мало вагових новонароджених</w:t>
            </w:r>
          </w:p>
        </w:tc>
        <w:tc>
          <w:tcPr>
            <w:tcW w:w="968" w:type="dxa"/>
            <w:tcBorders>
              <w:top w:val="single" w:sz="4" w:space="0" w:color="auto"/>
              <w:left w:val="single" w:sz="4" w:space="0" w:color="auto"/>
              <w:bottom w:val="single" w:sz="4" w:space="0" w:color="auto"/>
              <w:right w:val="single" w:sz="4" w:space="0" w:color="auto"/>
            </w:tcBorders>
            <w:vAlign w:val="center"/>
          </w:tcPr>
          <w:p w:rsidR="00DD32B8" w:rsidRPr="00AA5C00" w:rsidRDefault="00DD32B8" w:rsidP="000A3CA3">
            <w:pPr>
              <w:keepNext/>
              <w:spacing w:line="240" w:lineRule="auto"/>
              <w:jc w:val="center"/>
              <w:rPr>
                <w:rFonts w:eastAsia="Times New Roman"/>
                <w:sz w:val="24"/>
                <w:szCs w:val="24"/>
                <w:lang w:eastAsia="ru-RU"/>
              </w:rPr>
            </w:pPr>
            <w:r w:rsidRPr="00AA5C00">
              <w:rPr>
                <w:rFonts w:eastAsia="Times New Roman"/>
                <w:sz w:val="24"/>
                <w:szCs w:val="24"/>
                <w:lang w:eastAsia="ru-RU"/>
              </w:rPr>
              <w:t>7,11</w:t>
            </w:r>
          </w:p>
        </w:tc>
        <w:tc>
          <w:tcPr>
            <w:tcW w:w="969" w:type="dxa"/>
            <w:tcBorders>
              <w:top w:val="single" w:sz="4" w:space="0" w:color="auto"/>
              <w:left w:val="single" w:sz="4" w:space="0" w:color="auto"/>
              <w:bottom w:val="single" w:sz="4" w:space="0" w:color="auto"/>
              <w:right w:val="single" w:sz="4" w:space="0" w:color="auto"/>
            </w:tcBorders>
            <w:vAlign w:val="center"/>
          </w:tcPr>
          <w:p w:rsidR="00DD32B8" w:rsidRPr="00AA5C00" w:rsidRDefault="00DD32B8" w:rsidP="000A3CA3">
            <w:pPr>
              <w:keepNext/>
              <w:spacing w:line="240" w:lineRule="auto"/>
              <w:jc w:val="center"/>
              <w:rPr>
                <w:rFonts w:eastAsia="Times New Roman"/>
                <w:sz w:val="24"/>
                <w:szCs w:val="24"/>
                <w:lang w:eastAsia="ru-RU"/>
              </w:rPr>
            </w:pPr>
            <w:r w:rsidRPr="00AA5C00">
              <w:rPr>
                <w:rFonts w:eastAsia="Times New Roman"/>
                <w:sz w:val="24"/>
                <w:szCs w:val="24"/>
                <w:lang w:eastAsia="ru-RU"/>
              </w:rPr>
              <w:t>5,84</w:t>
            </w:r>
          </w:p>
        </w:tc>
        <w:tc>
          <w:tcPr>
            <w:tcW w:w="968" w:type="dxa"/>
            <w:tcBorders>
              <w:top w:val="single" w:sz="4" w:space="0" w:color="auto"/>
              <w:left w:val="single" w:sz="4" w:space="0" w:color="auto"/>
              <w:bottom w:val="single" w:sz="4" w:space="0" w:color="auto"/>
              <w:right w:val="single" w:sz="4" w:space="0" w:color="auto"/>
            </w:tcBorders>
            <w:vAlign w:val="center"/>
          </w:tcPr>
          <w:p w:rsidR="00DD32B8" w:rsidRPr="00AA5C00" w:rsidRDefault="00DD32B8" w:rsidP="000A3CA3">
            <w:pPr>
              <w:keepNext/>
              <w:spacing w:line="240" w:lineRule="auto"/>
              <w:jc w:val="center"/>
              <w:rPr>
                <w:rFonts w:eastAsia="Times New Roman"/>
                <w:sz w:val="24"/>
                <w:szCs w:val="24"/>
                <w:lang w:eastAsia="ru-RU"/>
              </w:rPr>
            </w:pPr>
            <w:r w:rsidRPr="00AA5C00">
              <w:rPr>
                <w:rFonts w:eastAsia="Times New Roman"/>
                <w:sz w:val="24"/>
                <w:szCs w:val="24"/>
                <w:lang w:eastAsia="ru-RU"/>
              </w:rPr>
              <w:t>1,00</w:t>
            </w:r>
          </w:p>
        </w:tc>
        <w:tc>
          <w:tcPr>
            <w:tcW w:w="969" w:type="dxa"/>
            <w:tcBorders>
              <w:top w:val="single" w:sz="4" w:space="0" w:color="auto"/>
              <w:left w:val="single" w:sz="4" w:space="0" w:color="auto"/>
              <w:bottom w:val="single" w:sz="4" w:space="0" w:color="auto"/>
              <w:right w:val="single" w:sz="4" w:space="0" w:color="auto"/>
            </w:tcBorders>
            <w:vAlign w:val="center"/>
          </w:tcPr>
          <w:p w:rsidR="00DD32B8" w:rsidRPr="00AA5C00" w:rsidRDefault="00DD32B8" w:rsidP="000A3CA3">
            <w:pPr>
              <w:keepNext/>
              <w:spacing w:line="240" w:lineRule="auto"/>
              <w:jc w:val="center"/>
              <w:rPr>
                <w:rFonts w:eastAsia="Times New Roman"/>
                <w:sz w:val="24"/>
                <w:szCs w:val="24"/>
                <w:lang w:eastAsia="ru-RU"/>
              </w:rPr>
            </w:pPr>
            <w:r w:rsidRPr="00AA5C00">
              <w:rPr>
                <w:rFonts w:eastAsia="Times New Roman"/>
                <w:sz w:val="24"/>
                <w:szCs w:val="24"/>
                <w:lang w:eastAsia="ru-RU"/>
              </w:rPr>
              <w:t>3,16</w:t>
            </w:r>
          </w:p>
        </w:tc>
        <w:tc>
          <w:tcPr>
            <w:tcW w:w="968" w:type="dxa"/>
            <w:tcBorders>
              <w:top w:val="single" w:sz="4" w:space="0" w:color="auto"/>
              <w:left w:val="single" w:sz="4" w:space="0" w:color="auto"/>
              <w:bottom w:val="single" w:sz="4" w:space="0" w:color="auto"/>
              <w:right w:val="single" w:sz="4" w:space="0" w:color="auto"/>
            </w:tcBorders>
            <w:vAlign w:val="center"/>
          </w:tcPr>
          <w:p w:rsidR="00DD32B8" w:rsidRPr="00AA5C00" w:rsidRDefault="00DD32B8" w:rsidP="000A3CA3">
            <w:pPr>
              <w:keepNext/>
              <w:spacing w:line="240" w:lineRule="auto"/>
              <w:jc w:val="center"/>
              <w:rPr>
                <w:rFonts w:eastAsia="Times New Roman"/>
                <w:sz w:val="24"/>
                <w:szCs w:val="24"/>
                <w:lang w:eastAsia="ru-RU"/>
              </w:rPr>
            </w:pPr>
            <w:r w:rsidRPr="00AA5C00">
              <w:rPr>
                <w:rFonts w:eastAsia="Times New Roman"/>
                <w:sz w:val="24"/>
                <w:szCs w:val="24"/>
                <w:lang w:eastAsia="ru-RU"/>
              </w:rPr>
              <w:t>0,22</w:t>
            </w:r>
          </w:p>
        </w:tc>
        <w:tc>
          <w:tcPr>
            <w:tcW w:w="969" w:type="dxa"/>
            <w:tcBorders>
              <w:top w:val="single" w:sz="4" w:space="0" w:color="auto"/>
              <w:left w:val="single" w:sz="4" w:space="0" w:color="auto"/>
              <w:bottom w:val="single" w:sz="4" w:space="0" w:color="auto"/>
              <w:right w:val="single" w:sz="4" w:space="0" w:color="auto"/>
            </w:tcBorders>
            <w:vAlign w:val="center"/>
          </w:tcPr>
          <w:p w:rsidR="00DD32B8" w:rsidRPr="00AA5C00" w:rsidRDefault="00DD32B8" w:rsidP="000A3CA3">
            <w:pPr>
              <w:keepNext/>
              <w:spacing w:line="240" w:lineRule="auto"/>
              <w:jc w:val="center"/>
              <w:rPr>
                <w:rFonts w:eastAsia="Times New Roman"/>
                <w:sz w:val="24"/>
                <w:szCs w:val="24"/>
                <w:lang w:eastAsia="ru-RU"/>
              </w:rPr>
            </w:pPr>
            <w:r w:rsidRPr="00AA5C00">
              <w:rPr>
                <w:rFonts w:eastAsia="Times New Roman"/>
                <w:sz w:val="24"/>
                <w:szCs w:val="24"/>
                <w:lang w:eastAsia="ru-RU"/>
              </w:rPr>
              <w:t>0,63</w:t>
            </w:r>
          </w:p>
        </w:tc>
      </w:tr>
      <w:tr w:rsidR="00DD32B8" w:rsidRPr="00AA5C00" w:rsidTr="00DD32B8">
        <w:trPr>
          <w:trHeight w:val="344"/>
          <w:jc w:val="center"/>
        </w:trPr>
        <w:tc>
          <w:tcPr>
            <w:tcW w:w="4395" w:type="dxa"/>
            <w:tcBorders>
              <w:top w:val="single" w:sz="4" w:space="0" w:color="auto"/>
              <w:left w:val="single" w:sz="4" w:space="0" w:color="auto"/>
              <w:bottom w:val="single" w:sz="4" w:space="0" w:color="auto"/>
              <w:right w:val="single" w:sz="4" w:space="0" w:color="auto"/>
            </w:tcBorders>
            <w:vAlign w:val="bottom"/>
          </w:tcPr>
          <w:p w:rsidR="00DD32B8" w:rsidRPr="00AA5C00" w:rsidRDefault="00DD32B8" w:rsidP="000A3CA3">
            <w:pPr>
              <w:keepNext/>
              <w:spacing w:line="240" w:lineRule="auto"/>
              <w:jc w:val="left"/>
              <w:rPr>
                <w:rFonts w:eastAsia="Times New Roman"/>
                <w:sz w:val="24"/>
                <w:szCs w:val="24"/>
                <w:lang w:eastAsia="ru-RU"/>
              </w:rPr>
            </w:pPr>
            <w:r w:rsidRPr="00AA5C00">
              <w:rPr>
                <w:rFonts w:eastAsia="Times New Roman"/>
                <w:sz w:val="24"/>
                <w:szCs w:val="24"/>
                <w:lang w:eastAsia="ru-RU"/>
              </w:rPr>
              <w:t>Виживання новонароджених з дуже малою масою тіла при народженні</w:t>
            </w:r>
          </w:p>
        </w:tc>
        <w:tc>
          <w:tcPr>
            <w:tcW w:w="968" w:type="dxa"/>
            <w:tcBorders>
              <w:top w:val="single" w:sz="4" w:space="0" w:color="auto"/>
              <w:left w:val="single" w:sz="4" w:space="0" w:color="auto"/>
              <w:bottom w:val="single" w:sz="4" w:space="0" w:color="auto"/>
              <w:right w:val="single" w:sz="4" w:space="0" w:color="auto"/>
            </w:tcBorders>
            <w:vAlign w:val="center"/>
          </w:tcPr>
          <w:p w:rsidR="00DD32B8" w:rsidRPr="00AA5C00" w:rsidRDefault="00DD32B8" w:rsidP="000A3CA3">
            <w:pPr>
              <w:keepNext/>
              <w:spacing w:line="240" w:lineRule="auto"/>
              <w:jc w:val="center"/>
              <w:rPr>
                <w:rFonts w:eastAsia="Times New Roman"/>
                <w:sz w:val="24"/>
                <w:szCs w:val="24"/>
                <w:lang w:eastAsia="ru-RU"/>
              </w:rPr>
            </w:pPr>
            <w:r w:rsidRPr="00AA5C00">
              <w:rPr>
                <w:rFonts w:eastAsia="Times New Roman"/>
                <w:sz w:val="24"/>
                <w:szCs w:val="24"/>
                <w:lang w:eastAsia="ru-RU"/>
              </w:rPr>
              <w:t>86,0</w:t>
            </w:r>
          </w:p>
        </w:tc>
        <w:tc>
          <w:tcPr>
            <w:tcW w:w="969" w:type="dxa"/>
            <w:tcBorders>
              <w:top w:val="single" w:sz="4" w:space="0" w:color="auto"/>
              <w:left w:val="single" w:sz="4" w:space="0" w:color="auto"/>
              <w:bottom w:val="single" w:sz="4" w:space="0" w:color="auto"/>
              <w:right w:val="single" w:sz="4" w:space="0" w:color="auto"/>
            </w:tcBorders>
            <w:vAlign w:val="center"/>
          </w:tcPr>
          <w:p w:rsidR="00DD32B8" w:rsidRPr="00AA5C00" w:rsidRDefault="00DD32B8" w:rsidP="000A3CA3">
            <w:pPr>
              <w:keepNext/>
              <w:spacing w:line="240" w:lineRule="auto"/>
              <w:jc w:val="center"/>
              <w:rPr>
                <w:rFonts w:eastAsia="Times New Roman"/>
                <w:sz w:val="24"/>
                <w:szCs w:val="24"/>
                <w:lang w:eastAsia="ru-RU"/>
              </w:rPr>
            </w:pPr>
            <w:r w:rsidRPr="00AA5C00">
              <w:rPr>
                <w:rFonts w:eastAsia="Times New Roman"/>
                <w:sz w:val="24"/>
                <w:szCs w:val="24"/>
                <w:lang w:eastAsia="ru-RU"/>
              </w:rPr>
              <w:t>87,16</w:t>
            </w:r>
          </w:p>
        </w:tc>
        <w:tc>
          <w:tcPr>
            <w:tcW w:w="968" w:type="dxa"/>
            <w:tcBorders>
              <w:top w:val="single" w:sz="4" w:space="0" w:color="auto"/>
              <w:left w:val="single" w:sz="4" w:space="0" w:color="auto"/>
              <w:bottom w:val="single" w:sz="4" w:space="0" w:color="auto"/>
              <w:right w:val="single" w:sz="4" w:space="0" w:color="auto"/>
            </w:tcBorders>
            <w:vAlign w:val="center"/>
          </w:tcPr>
          <w:p w:rsidR="00DD32B8" w:rsidRPr="00AA5C00" w:rsidRDefault="00DD32B8" w:rsidP="000A3CA3">
            <w:pPr>
              <w:keepNext/>
              <w:spacing w:line="240" w:lineRule="auto"/>
              <w:jc w:val="center"/>
              <w:rPr>
                <w:rFonts w:eastAsia="Times New Roman"/>
                <w:sz w:val="24"/>
                <w:szCs w:val="24"/>
                <w:lang w:eastAsia="ru-RU"/>
              </w:rPr>
            </w:pPr>
            <w:r w:rsidRPr="00AA5C00">
              <w:rPr>
                <w:rFonts w:eastAsia="Times New Roman"/>
                <w:sz w:val="24"/>
                <w:szCs w:val="24"/>
                <w:lang w:eastAsia="ru-RU"/>
              </w:rPr>
              <w:t>7,64</w:t>
            </w:r>
          </w:p>
        </w:tc>
        <w:tc>
          <w:tcPr>
            <w:tcW w:w="969" w:type="dxa"/>
            <w:tcBorders>
              <w:top w:val="single" w:sz="4" w:space="0" w:color="auto"/>
              <w:left w:val="single" w:sz="4" w:space="0" w:color="auto"/>
              <w:bottom w:val="single" w:sz="4" w:space="0" w:color="auto"/>
              <w:right w:val="single" w:sz="4" w:space="0" w:color="auto"/>
            </w:tcBorders>
            <w:vAlign w:val="center"/>
          </w:tcPr>
          <w:p w:rsidR="00DD32B8" w:rsidRPr="00AA5C00" w:rsidRDefault="00DD32B8" w:rsidP="000A3CA3">
            <w:pPr>
              <w:keepNext/>
              <w:spacing w:line="240" w:lineRule="auto"/>
              <w:jc w:val="center"/>
              <w:rPr>
                <w:rFonts w:eastAsia="Times New Roman"/>
                <w:sz w:val="24"/>
                <w:szCs w:val="24"/>
                <w:lang w:eastAsia="ru-RU"/>
              </w:rPr>
            </w:pPr>
            <w:r w:rsidRPr="00AA5C00">
              <w:rPr>
                <w:rFonts w:eastAsia="Times New Roman"/>
                <w:sz w:val="24"/>
                <w:szCs w:val="24"/>
                <w:lang w:eastAsia="ru-RU"/>
              </w:rPr>
              <w:t>8,0</w:t>
            </w:r>
          </w:p>
        </w:tc>
        <w:tc>
          <w:tcPr>
            <w:tcW w:w="968" w:type="dxa"/>
            <w:tcBorders>
              <w:top w:val="single" w:sz="4" w:space="0" w:color="auto"/>
              <w:left w:val="single" w:sz="4" w:space="0" w:color="auto"/>
              <w:bottom w:val="single" w:sz="4" w:space="0" w:color="auto"/>
              <w:right w:val="single" w:sz="4" w:space="0" w:color="auto"/>
            </w:tcBorders>
            <w:vAlign w:val="center"/>
          </w:tcPr>
          <w:p w:rsidR="00DD32B8" w:rsidRPr="00AA5C00" w:rsidRDefault="00DD32B8" w:rsidP="000A3CA3">
            <w:pPr>
              <w:keepNext/>
              <w:spacing w:line="240" w:lineRule="auto"/>
              <w:jc w:val="center"/>
              <w:rPr>
                <w:rFonts w:eastAsia="Times New Roman"/>
                <w:sz w:val="24"/>
                <w:szCs w:val="24"/>
                <w:lang w:eastAsia="ru-RU"/>
              </w:rPr>
            </w:pPr>
            <w:r w:rsidRPr="00AA5C00">
              <w:rPr>
                <w:rFonts w:eastAsia="Times New Roman"/>
                <w:sz w:val="24"/>
                <w:szCs w:val="24"/>
                <w:lang w:eastAsia="ru-RU"/>
              </w:rPr>
              <w:t>0,96</w:t>
            </w:r>
          </w:p>
        </w:tc>
        <w:tc>
          <w:tcPr>
            <w:tcW w:w="969" w:type="dxa"/>
            <w:tcBorders>
              <w:top w:val="single" w:sz="4" w:space="0" w:color="auto"/>
              <w:left w:val="single" w:sz="4" w:space="0" w:color="auto"/>
              <w:bottom w:val="single" w:sz="4" w:space="0" w:color="auto"/>
              <w:right w:val="single" w:sz="4" w:space="0" w:color="auto"/>
            </w:tcBorders>
            <w:vAlign w:val="center"/>
          </w:tcPr>
          <w:p w:rsidR="00DD32B8" w:rsidRPr="00AA5C00" w:rsidRDefault="00DD32B8" w:rsidP="000A3CA3">
            <w:pPr>
              <w:keepNext/>
              <w:spacing w:line="240" w:lineRule="auto"/>
              <w:jc w:val="center"/>
              <w:rPr>
                <w:rFonts w:eastAsia="Times New Roman"/>
                <w:sz w:val="24"/>
                <w:szCs w:val="24"/>
                <w:lang w:eastAsia="ru-RU"/>
              </w:rPr>
            </w:pPr>
            <w:r w:rsidRPr="00AA5C00">
              <w:rPr>
                <w:rFonts w:eastAsia="Times New Roman"/>
                <w:sz w:val="24"/>
                <w:szCs w:val="24"/>
                <w:lang w:eastAsia="ru-RU"/>
              </w:rPr>
              <w:t>1,00</w:t>
            </w:r>
          </w:p>
        </w:tc>
      </w:tr>
    </w:tbl>
    <w:p w:rsidR="000A3CA3" w:rsidRPr="004B24A2" w:rsidRDefault="004B24A2" w:rsidP="000A3CA3">
      <w:pPr>
        <w:rPr>
          <w:i/>
          <w:sz w:val="20"/>
          <w:szCs w:val="20"/>
        </w:rPr>
      </w:pPr>
      <w:r w:rsidRPr="004B24A2">
        <w:rPr>
          <w:i/>
          <w:sz w:val="20"/>
          <w:szCs w:val="20"/>
        </w:rPr>
        <w:t>Для таблиць : * – показник не оцінювався</w:t>
      </w:r>
      <w:r w:rsidRPr="004B24A2">
        <w:rPr>
          <w:i/>
          <w:sz w:val="20"/>
          <w:szCs w:val="20"/>
          <w:lang w:val="ru-RU"/>
        </w:rPr>
        <w:t xml:space="preserve">  </w:t>
      </w:r>
      <w:r w:rsidRPr="004B24A2">
        <w:rPr>
          <w:i/>
          <w:sz w:val="20"/>
          <w:szCs w:val="20"/>
        </w:rPr>
        <w:t>** – немає даних</w:t>
      </w:r>
    </w:p>
    <w:tbl>
      <w:tblPr>
        <w:tblpPr w:leftFromText="180" w:rightFromText="180" w:vertAnchor="text" w:horzAnchor="margin" w:tblpY="572"/>
        <w:tblW w:w="10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395"/>
        <w:gridCol w:w="968"/>
        <w:gridCol w:w="969"/>
        <w:gridCol w:w="968"/>
        <w:gridCol w:w="969"/>
        <w:gridCol w:w="968"/>
        <w:gridCol w:w="969"/>
      </w:tblGrid>
      <w:tr w:rsidR="000A3CA3" w:rsidRPr="00AA5C00" w:rsidTr="000A3CA3">
        <w:trPr>
          <w:trHeight w:val="226"/>
        </w:trPr>
        <w:tc>
          <w:tcPr>
            <w:tcW w:w="4395" w:type="dxa"/>
            <w:tcBorders>
              <w:top w:val="single" w:sz="4" w:space="0" w:color="auto"/>
              <w:left w:val="single" w:sz="4" w:space="0" w:color="auto"/>
              <w:bottom w:val="single" w:sz="4" w:space="0" w:color="auto"/>
              <w:right w:val="single" w:sz="4" w:space="0" w:color="auto"/>
            </w:tcBorders>
            <w:vAlign w:val="bottom"/>
          </w:tcPr>
          <w:p w:rsidR="000A3CA3" w:rsidRPr="00AA5C00" w:rsidRDefault="000A3CA3" w:rsidP="000A3CA3">
            <w:pPr>
              <w:keepNext/>
              <w:spacing w:line="240" w:lineRule="auto"/>
              <w:jc w:val="left"/>
              <w:rPr>
                <w:rFonts w:eastAsia="Times New Roman"/>
                <w:sz w:val="24"/>
                <w:szCs w:val="24"/>
                <w:lang w:eastAsia="ru-RU"/>
              </w:rPr>
            </w:pPr>
            <w:r w:rsidRPr="00AA5C00">
              <w:rPr>
                <w:rFonts w:eastAsia="Times New Roman"/>
                <w:sz w:val="24"/>
                <w:szCs w:val="24"/>
                <w:lang w:eastAsia="ru-RU"/>
              </w:rPr>
              <w:lastRenderedPageBreak/>
              <w:t>Індекс здоров’я новонароджених</w:t>
            </w:r>
          </w:p>
        </w:tc>
        <w:tc>
          <w:tcPr>
            <w:tcW w:w="968" w:type="dxa"/>
            <w:tcBorders>
              <w:top w:val="single" w:sz="4" w:space="0" w:color="auto"/>
              <w:left w:val="single" w:sz="4" w:space="0" w:color="auto"/>
              <w:bottom w:val="single" w:sz="4" w:space="0" w:color="auto"/>
              <w:right w:val="single" w:sz="4" w:space="0" w:color="auto"/>
            </w:tcBorders>
            <w:vAlign w:val="center"/>
          </w:tcPr>
          <w:p w:rsidR="000A3CA3" w:rsidRPr="00AA5C00" w:rsidRDefault="000A3CA3" w:rsidP="000A3CA3">
            <w:pPr>
              <w:keepNext/>
              <w:spacing w:line="240" w:lineRule="auto"/>
              <w:jc w:val="center"/>
              <w:rPr>
                <w:rFonts w:eastAsia="Times New Roman"/>
                <w:sz w:val="24"/>
                <w:szCs w:val="24"/>
                <w:lang w:eastAsia="ru-RU"/>
              </w:rPr>
            </w:pPr>
            <w:r w:rsidRPr="00AA5C00">
              <w:rPr>
                <w:rFonts w:eastAsia="Times New Roman"/>
                <w:sz w:val="24"/>
                <w:szCs w:val="24"/>
                <w:lang w:eastAsia="ru-RU"/>
              </w:rPr>
              <w:t>84,7</w:t>
            </w:r>
          </w:p>
        </w:tc>
        <w:tc>
          <w:tcPr>
            <w:tcW w:w="969" w:type="dxa"/>
            <w:tcBorders>
              <w:top w:val="single" w:sz="4" w:space="0" w:color="auto"/>
              <w:left w:val="single" w:sz="4" w:space="0" w:color="auto"/>
              <w:bottom w:val="single" w:sz="4" w:space="0" w:color="auto"/>
              <w:right w:val="single" w:sz="4" w:space="0" w:color="auto"/>
            </w:tcBorders>
            <w:vAlign w:val="center"/>
          </w:tcPr>
          <w:p w:rsidR="000A3CA3" w:rsidRPr="00AA5C00" w:rsidRDefault="000A3CA3" w:rsidP="000A3CA3">
            <w:pPr>
              <w:keepNext/>
              <w:spacing w:line="240" w:lineRule="auto"/>
              <w:jc w:val="center"/>
              <w:rPr>
                <w:rFonts w:eastAsia="Times New Roman"/>
                <w:sz w:val="24"/>
                <w:szCs w:val="24"/>
                <w:lang w:eastAsia="ru-RU"/>
              </w:rPr>
            </w:pPr>
            <w:r w:rsidRPr="00AA5C00">
              <w:rPr>
                <w:rFonts w:eastAsia="Times New Roman"/>
                <w:sz w:val="24"/>
                <w:szCs w:val="24"/>
                <w:lang w:eastAsia="ru-RU"/>
              </w:rPr>
              <w:t>86,49</w:t>
            </w:r>
          </w:p>
        </w:tc>
        <w:tc>
          <w:tcPr>
            <w:tcW w:w="968" w:type="dxa"/>
            <w:tcBorders>
              <w:top w:val="single" w:sz="4" w:space="0" w:color="auto"/>
              <w:left w:val="single" w:sz="4" w:space="0" w:color="auto"/>
              <w:bottom w:val="single" w:sz="4" w:space="0" w:color="auto"/>
              <w:right w:val="single" w:sz="4" w:space="0" w:color="auto"/>
            </w:tcBorders>
            <w:vAlign w:val="center"/>
          </w:tcPr>
          <w:p w:rsidR="000A3CA3" w:rsidRPr="00AA5C00" w:rsidRDefault="000A3CA3" w:rsidP="000A3CA3">
            <w:pPr>
              <w:keepNext/>
              <w:spacing w:line="240" w:lineRule="auto"/>
              <w:jc w:val="center"/>
              <w:rPr>
                <w:rFonts w:eastAsia="Times New Roman"/>
                <w:sz w:val="24"/>
                <w:szCs w:val="24"/>
                <w:lang w:eastAsia="ru-RU"/>
              </w:rPr>
            </w:pPr>
            <w:r w:rsidRPr="00AA5C00">
              <w:rPr>
                <w:rFonts w:eastAsia="Times New Roman"/>
                <w:sz w:val="24"/>
                <w:szCs w:val="24"/>
                <w:lang w:eastAsia="ru-RU"/>
              </w:rPr>
              <w:t>5,65</w:t>
            </w:r>
          </w:p>
        </w:tc>
        <w:tc>
          <w:tcPr>
            <w:tcW w:w="969" w:type="dxa"/>
            <w:tcBorders>
              <w:top w:val="single" w:sz="4" w:space="0" w:color="auto"/>
              <w:left w:val="single" w:sz="4" w:space="0" w:color="auto"/>
              <w:bottom w:val="single" w:sz="4" w:space="0" w:color="auto"/>
              <w:right w:val="single" w:sz="4" w:space="0" w:color="auto"/>
            </w:tcBorders>
            <w:vAlign w:val="center"/>
          </w:tcPr>
          <w:p w:rsidR="000A3CA3" w:rsidRPr="00AA5C00" w:rsidRDefault="000A3CA3" w:rsidP="000A3CA3">
            <w:pPr>
              <w:keepNext/>
              <w:spacing w:line="240" w:lineRule="auto"/>
              <w:jc w:val="center"/>
              <w:rPr>
                <w:rFonts w:eastAsia="Times New Roman"/>
                <w:sz w:val="24"/>
                <w:szCs w:val="24"/>
                <w:lang w:eastAsia="ru-RU"/>
              </w:rPr>
            </w:pPr>
            <w:r w:rsidRPr="00AA5C00">
              <w:rPr>
                <w:rFonts w:eastAsia="Times New Roman"/>
                <w:sz w:val="24"/>
                <w:szCs w:val="24"/>
                <w:lang w:eastAsia="ru-RU"/>
              </w:rPr>
              <w:t>6,0</w:t>
            </w:r>
          </w:p>
        </w:tc>
        <w:tc>
          <w:tcPr>
            <w:tcW w:w="968" w:type="dxa"/>
            <w:tcBorders>
              <w:top w:val="single" w:sz="4" w:space="0" w:color="auto"/>
              <w:left w:val="single" w:sz="4" w:space="0" w:color="auto"/>
              <w:bottom w:val="single" w:sz="4" w:space="0" w:color="auto"/>
              <w:right w:val="single" w:sz="4" w:space="0" w:color="auto"/>
            </w:tcBorders>
            <w:vAlign w:val="center"/>
          </w:tcPr>
          <w:p w:rsidR="000A3CA3" w:rsidRPr="00AA5C00" w:rsidRDefault="000A3CA3" w:rsidP="000A3CA3">
            <w:pPr>
              <w:keepNext/>
              <w:spacing w:line="240" w:lineRule="auto"/>
              <w:jc w:val="center"/>
              <w:rPr>
                <w:rFonts w:eastAsia="Times New Roman"/>
                <w:sz w:val="24"/>
                <w:szCs w:val="24"/>
                <w:lang w:eastAsia="ru-RU"/>
              </w:rPr>
            </w:pPr>
            <w:r w:rsidRPr="00AA5C00">
              <w:rPr>
                <w:rFonts w:eastAsia="Times New Roman"/>
                <w:sz w:val="24"/>
                <w:szCs w:val="24"/>
                <w:lang w:eastAsia="ru-RU"/>
              </w:rPr>
              <w:t>0,94</w:t>
            </w:r>
          </w:p>
        </w:tc>
        <w:tc>
          <w:tcPr>
            <w:tcW w:w="969" w:type="dxa"/>
            <w:tcBorders>
              <w:top w:val="single" w:sz="4" w:space="0" w:color="auto"/>
              <w:left w:val="single" w:sz="4" w:space="0" w:color="auto"/>
              <w:bottom w:val="single" w:sz="4" w:space="0" w:color="auto"/>
              <w:right w:val="single" w:sz="4" w:space="0" w:color="auto"/>
            </w:tcBorders>
            <w:vAlign w:val="center"/>
          </w:tcPr>
          <w:p w:rsidR="000A3CA3" w:rsidRPr="00AA5C00" w:rsidRDefault="000A3CA3" w:rsidP="000A3CA3">
            <w:pPr>
              <w:keepNext/>
              <w:spacing w:line="240" w:lineRule="auto"/>
              <w:jc w:val="center"/>
              <w:rPr>
                <w:rFonts w:eastAsia="Times New Roman"/>
                <w:sz w:val="24"/>
                <w:szCs w:val="24"/>
                <w:lang w:eastAsia="ru-RU"/>
              </w:rPr>
            </w:pPr>
            <w:r w:rsidRPr="00AA5C00">
              <w:rPr>
                <w:rFonts w:eastAsia="Times New Roman"/>
                <w:sz w:val="24"/>
                <w:szCs w:val="24"/>
                <w:lang w:eastAsia="ru-RU"/>
              </w:rPr>
              <w:t>1,00</w:t>
            </w:r>
          </w:p>
        </w:tc>
      </w:tr>
      <w:tr w:rsidR="000A3CA3" w:rsidRPr="00AA5C00" w:rsidTr="000A3CA3">
        <w:trPr>
          <w:trHeight w:val="244"/>
        </w:trPr>
        <w:tc>
          <w:tcPr>
            <w:tcW w:w="4395" w:type="dxa"/>
            <w:tcBorders>
              <w:top w:val="single" w:sz="4" w:space="0" w:color="auto"/>
              <w:left w:val="single" w:sz="4" w:space="0" w:color="auto"/>
              <w:bottom w:val="single" w:sz="4" w:space="0" w:color="auto"/>
              <w:right w:val="single" w:sz="4" w:space="0" w:color="auto"/>
            </w:tcBorders>
            <w:vAlign w:val="bottom"/>
          </w:tcPr>
          <w:p w:rsidR="000A3CA3" w:rsidRPr="00AA5C00" w:rsidRDefault="000A3CA3" w:rsidP="000A3CA3">
            <w:pPr>
              <w:keepNext/>
              <w:spacing w:line="240" w:lineRule="auto"/>
              <w:jc w:val="left"/>
              <w:rPr>
                <w:rFonts w:eastAsia="Times New Roman"/>
                <w:sz w:val="24"/>
                <w:szCs w:val="24"/>
                <w:lang w:eastAsia="ru-RU"/>
              </w:rPr>
            </w:pPr>
            <w:r w:rsidRPr="00AA5C00">
              <w:rPr>
                <w:rFonts w:eastAsia="Times New Roman"/>
                <w:sz w:val="24"/>
                <w:szCs w:val="24"/>
                <w:lang w:eastAsia="ru-RU"/>
              </w:rPr>
              <w:t xml:space="preserve">Рівень перинатальної смертності </w:t>
            </w:r>
          </w:p>
        </w:tc>
        <w:tc>
          <w:tcPr>
            <w:tcW w:w="968" w:type="dxa"/>
            <w:tcBorders>
              <w:top w:val="single" w:sz="4" w:space="0" w:color="auto"/>
              <w:left w:val="single" w:sz="4" w:space="0" w:color="auto"/>
              <w:bottom w:val="single" w:sz="4" w:space="0" w:color="auto"/>
              <w:right w:val="single" w:sz="4" w:space="0" w:color="auto"/>
            </w:tcBorders>
            <w:vAlign w:val="center"/>
          </w:tcPr>
          <w:p w:rsidR="000A3CA3" w:rsidRPr="00AA5C00" w:rsidRDefault="000A3CA3" w:rsidP="000A3CA3">
            <w:pPr>
              <w:keepNext/>
              <w:spacing w:line="240" w:lineRule="auto"/>
              <w:jc w:val="center"/>
              <w:rPr>
                <w:rFonts w:eastAsia="Times New Roman"/>
                <w:sz w:val="24"/>
                <w:szCs w:val="24"/>
                <w:lang w:eastAsia="ru-RU"/>
              </w:rPr>
            </w:pPr>
            <w:r w:rsidRPr="00AA5C00">
              <w:rPr>
                <w:rFonts w:eastAsia="Times New Roman"/>
                <w:sz w:val="24"/>
                <w:szCs w:val="24"/>
                <w:lang w:eastAsia="ru-RU"/>
              </w:rPr>
              <w:t>9,56</w:t>
            </w:r>
          </w:p>
        </w:tc>
        <w:tc>
          <w:tcPr>
            <w:tcW w:w="969" w:type="dxa"/>
            <w:tcBorders>
              <w:top w:val="single" w:sz="4" w:space="0" w:color="auto"/>
              <w:left w:val="single" w:sz="4" w:space="0" w:color="auto"/>
              <w:bottom w:val="single" w:sz="4" w:space="0" w:color="auto"/>
              <w:right w:val="single" w:sz="4" w:space="0" w:color="auto"/>
            </w:tcBorders>
            <w:vAlign w:val="center"/>
          </w:tcPr>
          <w:p w:rsidR="000A3CA3" w:rsidRPr="00AA5C00" w:rsidRDefault="000A3CA3" w:rsidP="000A3CA3">
            <w:pPr>
              <w:keepNext/>
              <w:spacing w:line="240" w:lineRule="auto"/>
              <w:jc w:val="center"/>
              <w:rPr>
                <w:rFonts w:eastAsia="Times New Roman"/>
                <w:sz w:val="24"/>
                <w:szCs w:val="24"/>
                <w:lang w:eastAsia="ru-RU"/>
              </w:rPr>
            </w:pPr>
            <w:r w:rsidRPr="00AA5C00">
              <w:rPr>
                <w:rFonts w:eastAsia="Times New Roman"/>
                <w:sz w:val="24"/>
                <w:szCs w:val="24"/>
                <w:lang w:eastAsia="ru-RU"/>
              </w:rPr>
              <w:t>10,26</w:t>
            </w:r>
          </w:p>
        </w:tc>
        <w:tc>
          <w:tcPr>
            <w:tcW w:w="968" w:type="dxa"/>
            <w:tcBorders>
              <w:top w:val="single" w:sz="4" w:space="0" w:color="auto"/>
              <w:left w:val="single" w:sz="4" w:space="0" w:color="auto"/>
              <w:bottom w:val="single" w:sz="4" w:space="0" w:color="auto"/>
              <w:right w:val="single" w:sz="4" w:space="0" w:color="auto"/>
            </w:tcBorders>
            <w:vAlign w:val="center"/>
          </w:tcPr>
          <w:p w:rsidR="000A3CA3" w:rsidRPr="00AA5C00" w:rsidRDefault="000A3CA3" w:rsidP="000A3CA3">
            <w:pPr>
              <w:keepNext/>
              <w:spacing w:line="240" w:lineRule="auto"/>
              <w:jc w:val="center"/>
              <w:rPr>
                <w:rFonts w:eastAsia="Times New Roman"/>
                <w:sz w:val="24"/>
                <w:szCs w:val="24"/>
                <w:lang w:eastAsia="ru-RU"/>
              </w:rPr>
            </w:pPr>
            <w:r w:rsidRPr="00AA5C00">
              <w:rPr>
                <w:rFonts w:eastAsia="Times New Roman"/>
                <w:sz w:val="24"/>
                <w:szCs w:val="24"/>
                <w:lang w:eastAsia="ru-RU"/>
              </w:rPr>
              <w:t>4,83</w:t>
            </w:r>
          </w:p>
        </w:tc>
        <w:tc>
          <w:tcPr>
            <w:tcW w:w="969" w:type="dxa"/>
            <w:tcBorders>
              <w:top w:val="single" w:sz="4" w:space="0" w:color="auto"/>
              <w:left w:val="single" w:sz="4" w:space="0" w:color="auto"/>
              <w:bottom w:val="single" w:sz="4" w:space="0" w:color="auto"/>
              <w:right w:val="single" w:sz="4" w:space="0" w:color="auto"/>
            </w:tcBorders>
            <w:vAlign w:val="center"/>
          </w:tcPr>
          <w:p w:rsidR="000A3CA3" w:rsidRPr="00AA5C00" w:rsidRDefault="000A3CA3" w:rsidP="000A3CA3">
            <w:pPr>
              <w:keepNext/>
              <w:spacing w:line="240" w:lineRule="auto"/>
              <w:jc w:val="center"/>
              <w:rPr>
                <w:rFonts w:eastAsia="Times New Roman"/>
                <w:sz w:val="24"/>
                <w:szCs w:val="24"/>
                <w:lang w:eastAsia="ru-RU"/>
              </w:rPr>
            </w:pPr>
            <w:r w:rsidRPr="00AA5C00">
              <w:rPr>
                <w:rFonts w:eastAsia="Times New Roman"/>
                <w:sz w:val="24"/>
                <w:szCs w:val="24"/>
                <w:lang w:eastAsia="ru-RU"/>
              </w:rPr>
              <w:t>4,31</w:t>
            </w:r>
          </w:p>
        </w:tc>
        <w:tc>
          <w:tcPr>
            <w:tcW w:w="968" w:type="dxa"/>
            <w:tcBorders>
              <w:top w:val="single" w:sz="4" w:space="0" w:color="auto"/>
              <w:left w:val="single" w:sz="4" w:space="0" w:color="auto"/>
              <w:bottom w:val="single" w:sz="4" w:space="0" w:color="auto"/>
              <w:right w:val="single" w:sz="4" w:space="0" w:color="auto"/>
            </w:tcBorders>
            <w:vAlign w:val="center"/>
          </w:tcPr>
          <w:p w:rsidR="000A3CA3" w:rsidRPr="00AA5C00" w:rsidRDefault="000A3CA3" w:rsidP="000A3CA3">
            <w:pPr>
              <w:keepNext/>
              <w:spacing w:line="240" w:lineRule="auto"/>
              <w:jc w:val="center"/>
              <w:rPr>
                <w:rFonts w:eastAsia="Times New Roman"/>
                <w:sz w:val="24"/>
                <w:szCs w:val="24"/>
                <w:lang w:eastAsia="ru-RU"/>
              </w:rPr>
            </w:pPr>
            <w:r w:rsidRPr="00AA5C00">
              <w:rPr>
                <w:rFonts w:eastAsia="Times New Roman"/>
                <w:sz w:val="24"/>
                <w:szCs w:val="24"/>
                <w:lang w:eastAsia="ru-RU"/>
              </w:rPr>
              <w:t>0,81</w:t>
            </w:r>
          </w:p>
        </w:tc>
        <w:tc>
          <w:tcPr>
            <w:tcW w:w="969" w:type="dxa"/>
            <w:tcBorders>
              <w:top w:val="single" w:sz="4" w:space="0" w:color="auto"/>
              <w:left w:val="single" w:sz="4" w:space="0" w:color="auto"/>
              <w:bottom w:val="single" w:sz="4" w:space="0" w:color="auto"/>
              <w:right w:val="single" w:sz="4" w:space="0" w:color="auto"/>
            </w:tcBorders>
            <w:vAlign w:val="center"/>
          </w:tcPr>
          <w:p w:rsidR="000A3CA3" w:rsidRPr="00AA5C00" w:rsidRDefault="000A3CA3" w:rsidP="000A3CA3">
            <w:pPr>
              <w:keepNext/>
              <w:spacing w:line="240" w:lineRule="auto"/>
              <w:jc w:val="center"/>
              <w:rPr>
                <w:rFonts w:eastAsia="Times New Roman"/>
                <w:sz w:val="24"/>
                <w:szCs w:val="24"/>
                <w:lang w:eastAsia="ru-RU"/>
              </w:rPr>
            </w:pPr>
            <w:r w:rsidRPr="00AA5C00">
              <w:rPr>
                <w:rFonts w:eastAsia="Times New Roman"/>
                <w:sz w:val="24"/>
                <w:szCs w:val="24"/>
                <w:lang w:eastAsia="ru-RU"/>
              </w:rPr>
              <w:t>0,72</w:t>
            </w:r>
          </w:p>
        </w:tc>
      </w:tr>
      <w:tr w:rsidR="000A3CA3" w:rsidRPr="00AA5C00" w:rsidTr="000A3CA3">
        <w:trPr>
          <w:trHeight w:val="450"/>
        </w:trPr>
        <w:tc>
          <w:tcPr>
            <w:tcW w:w="4395" w:type="dxa"/>
            <w:tcBorders>
              <w:top w:val="single" w:sz="4" w:space="0" w:color="auto"/>
              <w:left w:val="single" w:sz="4" w:space="0" w:color="auto"/>
              <w:bottom w:val="single" w:sz="4" w:space="0" w:color="auto"/>
              <w:right w:val="single" w:sz="4" w:space="0" w:color="auto"/>
            </w:tcBorders>
            <w:vAlign w:val="center"/>
          </w:tcPr>
          <w:p w:rsidR="000A3CA3" w:rsidRPr="00AA5C00" w:rsidRDefault="000A3CA3" w:rsidP="000A3CA3">
            <w:pPr>
              <w:keepNext/>
              <w:spacing w:line="240" w:lineRule="auto"/>
              <w:rPr>
                <w:rFonts w:eastAsia="Times New Roman"/>
                <w:sz w:val="24"/>
                <w:szCs w:val="24"/>
                <w:lang w:eastAsia="ru-RU"/>
              </w:rPr>
            </w:pPr>
            <w:r w:rsidRPr="00AA5C00">
              <w:rPr>
                <w:rFonts w:eastAsia="Times New Roman"/>
                <w:sz w:val="24"/>
                <w:szCs w:val="24"/>
                <w:lang w:eastAsia="ru-RU"/>
              </w:rPr>
              <w:t>Співвідношення реального і фактичного показника ранньої неонатальної смертності</w:t>
            </w:r>
          </w:p>
        </w:tc>
        <w:tc>
          <w:tcPr>
            <w:tcW w:w="968" w:type="dxa"/>
            <w:tcBorders>
              <w:top w:val="single" w:sz="4" w:space="0" w:color="auto"/>
              <w:left w:val="single" w:sz="4" w:space="0" w:color="auto"/>
              <w:bottom w:val="single" w:sz="4" w:space="0" w:color="auto"/>
              <w:right w:val="single" w:sz="4" w:space="0" w:color="auto"/>
            </w:tcBorders>
            <w:vAlign w:val="center"/>
          </w:tcPr>
          <w:p w:rsidR="000A3CA3" w:rsidRPr="00AA5C00" w:rsidRDefault="000A3CA3" w:rsidP="000A3CA3">
            <w:pPr>
              <w:keepNext/>
              <w:spacing w:line="240" w:lineRule="auto"/>
              <w:jc w:val="center"/>
              <w:rPr>
                <w:rFonts w:eastAsia="Times New Roman"/>
                <w:sz w:val="24"/>
                <w:szCs w:val="24"/>
                <w:lang w:eastAsia="ru-RU"/>
              </w:rPr>
            </w:pPr>
            <w:r w:rsidRPr="00AA5C00">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0A3CA3" w:rsidRPr="00AA5C00" w:rsidRDefault="000A3CA3" w:rsidP="000A3CA3">
            <w:pPr>
              <w:keepNext/>
              <w:spacing w:line="240" w:lineRule="auto"/>
              <w:jc w:val="center"/>
              <w:rPr>
                <w:rFonts w:eastAsia="Times New Roman"/>
                <w:sz w:val="24"/>
                <w:szCs w:val="24"/>
                <w:lang w:eastAsia="ru-RU"/>
              </w:rPr>
            </w:pPr>
            <w:r w:rsidRPr="00AA5C00">
              <w:rPr>
                <w:rFonts w:eastAsia="Times New Roman"/>
                <w:sz w:val="24"/>
                <w:szCs w:val="24"/>
                <w:lang w:eastAsia="ru-RU"/>
              </w:rPr>
              <w:t>2,34</w:t>
            </w:r>
          </w:p>
        </w:tc>
        <w:tc>
          <w:tcPr>
            <w:tcW w:w="968" w:type="dxa"/>
            <w:tcBorders>
              <w:top w:val="single" w:sz="4" w:space="0" w:color="auto"/>
              <w:left w:val="single" w:sz="4" w:space="0" w:color="auto"/>
              <w:bottom w:val="single" w:sz="4" w:space="0" w:color="auto"/>
              <w:right w:val="single" w:sz="4" w:space="0" w:color="auto"/>
            </w:tcBorders>
            <w:vAlign w:val="center"/>
          </w:tcPr>
          <w:p w:rsidR="000A3CA3" w:rsidRPr="00AA5C00" w:rsidRDefault="000A3CA3" w:rsidP="000A3CA3">
            <w:pPr>
              <w:keepNext/>
              <w:spacing w:line="240" w:lineRule="auto"/>
              <w:jc w:val="center"/>
              <w:rPr>
                <w:rFonts w:eastAsia="Times New Roman"/>
                <w:sz w:val="24"/>
                <w:szCs w:val="24"/>
                <w:lang w:eastAsia="ru-RU"/>
              </w:rPr>
            </w:pPr>
            <w:r w:rsidRPr="00AA5C00">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0A3CA3" w:rsidRPr="00AA5C00" w:rsidRDefault="000A3CA3" w:rsidP="000A3CA3">
            <w:pPr>
              <w:keepNext/>
              <w:spacing w:line="240" w:lineRule="auto"/>
              <w:jc w:val="center"/>
              <w:rPr>
                <w:rFonts w:eastAsia="Times New Roman"/>
                <w:sz w:val="24"/>
                <w:szCs w:val="24"/>
                <w:lang w:eastAsia="ru-RU"/>
              </w:rPr>
            </w:pPr>
            <w:r w:rsidRPr="00AA5C00">
              <w:rPr>
                <w:rFonts w:eastAsia="Times New Roman"/>
                <w:sz w:val="24"/>
                <w:szCs w:val="24"/>
                <w:lang w:eastAsia="ru-RU"/>
              </w:rPr>
              <w:t>2,64</w:t>
            </w:r>
          </w:p>
        </w:tc>
        <w:tc>
          <w:tcPr>
            <w:tcW w:w="968" w:type="dxa"/>
            <w:tcBorders>
              <w:top w:val="single" w:sz="4" w:space="0" w:color="auto"/>
              <w:left w:val="single" w:sz="4" w:space="0" w:color="auto"/>
              <w:bottom w:val="single" w:sz="4" w:space="0" w:color="auto"/>
              <w:right w:val="single" w:sz="4" w:space="0" w:color="auto"/>
            </w:tcBorders>
            <w:vAlign w:val="center"/>
          </w:tcPr>
          <w:p w:rsidR="000A3CA3" w:rsidRPr="00AA5C00" w:rsidRDefault="000A3CA3" w:rsidP="000A3CA3">
            <w:pPr>
              <w:keepNext/>
              <w:spacing w:line="240" w:lineRule="auto"/>
              <w:jc w:val="center"/>
              <w:rPr>
                <w:rFonts w:eastAsia="Times New Roman"/>
                <w:sz w:val="24"/>
                <w:szCs w:val="24"/>
                <w:lang w:eastAsia="ru-RU"/>
              </w:rPr>
            </w:pPr>
            <w:r w:rsidRPr="00AA5C00">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0A3CA3" w:rsidRPr="00AA5C00" w:rsidRDefault="000A3CA3" w:rsidP="000A3CA3">
            <w:pPr>
              <w:keepNext/>
              <w:spacing w:line="240" w:lineRule="auto"/>
              <w:jc w:val="center"/>
              <w:rPr>
                <w:rFonts w:eastAsia="Times New Roman"/>
                <w:sz w:val="24"/>
                <w:szCs w:val="24"/>
                <w:lang w:eastAsia="ru-RU"/>
              </w:rPr>
            </w:pPr>
            <w:r w:rsidRPr="00AA5C00">
              <w:rPr>
                <w:rFonts w:eastAsia="Times New Roman"/>
                <w:sz w:val="24"/>
                <w:szCs w:val="24"/>
                <w:lang w:eastAsia="ru-RU"/>
              </w:rPr>
              <w:t>0,44</w:t>
            </w:r>
          </w:p>
        </w:tc>
      </w:tr>
      <w:tr w:rsidR="000A3CA3" w:rsidRPr="00AA5C00" w:rsidTr="000A3CA3">
        <w:trPr>
          <w:trHeight w:val="216"/>
        </w:trPr>
        <w:tc>
          <w:tcPr>
            <w:tcW w:w="4395" w:type="dxa"/>
            <w:tcBorders>
              <w:top w:val="single" w:sz="4" w:space="0" w:color="auto"/>
              <w:left w:val="single" w:sz="4" w:space="0" w:color="auto"/>
              <w:bottom w:val="single" w:sz="4" w:space="0" w:color="auto"/>
              <w:right w:val="single" w:sz="4" w:space="0" w:color="auto"/>
            </w:tcBorders>
            <w:vAlign w:val="center"/>
          </w:tcPr>
          <w:p w:rsidR="000A3CA3" w:rsidRPr="00AA5C00" w:rsidRDefault="000A3CA3" w:rsidP="000A3CA3">
            <w:pPr>
              <w:keepNext/>
              <w:spacing w:line="240" w:lineRule="auto"/>
              <w:rPr>
                <w:rFonts w:eastAsia="Times New Roman"/>
                <w:sz w:val="24"/>
                <w:szCs w:val="24"/>
                <w:lang w:eastAsia="ru-RU"/>
              </w:rPr>
            </w:pPr>
            <w:r w:rsidRPr="00AA5C00">
              <w:rPr>
                <w:rFonts w:eastAsia="Times New Roman"/>
                <w:sz w:val="24"/>
                <w:szCs w:val="24"/>
                <w:lang w:eastAsia="ru-RU"/>
              </w:rPr>
              <w:t>Рівень неонатальної смертності</w:t>
            </w:r>
          </w:p>
        </w:tc>
        <w:tc>
          <w:tcPr>
            <w:tcW w:w="968" w:type="dxa"/>
            <w:tcBorders>
              <w:top w:val="single" w:sz="4" w:space="0" w:color="auto"/>
              <w:left w:val="single" w:sz="4" w:space="0" w:color="auto"/>
              <w:bottom w:val="single" w:sz="4" w:space="0" w:color="auto"/>
              <w:right w:val="single" w:sz="4" w:space="0" w:color="auto"/>
            </w:tcBorders>
            <w:vAlign w:val="center"/>
          </w:tcPr>
          <w:p w:rsidR="000A3CA3" w:rsidRPr="00AA5C00" w:rsidRDefault="000A3CA3" w:rsidP="000A3CA3">
            <w:pPr>
              <w:keepNext/>
              <w:spacing w:line="240" w:lineRule="auto"/>
              <w:jc w:val="center"/>
              <w:rPr>
                <w:rFonts w:eastAsia="Times New Roman"/>
                <w:sz w:val="24"/>
                <w:szCs w:val="24"/>
                <w:lang w:eastAsia="ru-RU"/>
              </w:rPr>
            </w:pPr>
            <w:r w:rsidRPr="00AA5C00">
              <w:rPr>
                <w:rFonts w:eastAsia="Times New Roman"/>
                <w:sz w:val="24"/>
                <w:szCs w:val="24"/>
                <w:lang w:eastAsia="ru-RU"/>
              </w:rPr>
              <w:t>5,15</w:t>
            </w:r>
          </w:p>
        </w:tc>
        <w:tc>
          <w:tcPr>
            <w:tcW w:w="969" w:type="dxa"/>
            <w:tcBorders>
              <w:top w:val="single" w:sz="4" w:space="0" w:color="auto"/>
              <w:left w:val="single" w:sz="4" w:space="0" w:color="auto"/>
              <w:bottom w:val="single" w:sz="4" w:space="0" w:color="auto"/>
              <w:right w:val="single" w:sz="4" w:space="0" w:color="auto"/>
            </w:tcBorders>
            <w:vAlign w:val="center"/>
          </w:tcPr>
          <w:p w:rsidR="000A3CA3" w:rsidRPr="00AA5C00" w:rsidRDefault="000A3CA3" w:rsidP="000A3CA3">
            <w:pPr>
              <w:keepNext/>
              <w:spacing w:line="240" w:lineRule="auto"/>
              <w:jc w:val="center"/>
              <w:rPr>
                <w:rFonts w:eastAsia="Times New Roman"/>
                <w:sz w:val="24"/>
                <w:szCs w:val="24"/>
                <w:lang w:eastAsia="ru-RU"/>
              </w:rPr>
            </w:pPr>
            <w:r w:rsidRPr="00AA5C00">
              <w:rPr>
                <w:rFonts w:eastAsia="Times New Roman"/>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0A3CA3" w:rsidRPr="00AA5C00" w:rsidRDefault="000A3CA3" w:rsidP="000A3CA3">
            <w:pPr>
              <w:keepNext/>
              <w:spacing w:line="240" w:lineRule="auto"/>
              <w:jc w:val="center"/>
              <w:rPr>
                <w:rFonts w:eastAsia="Times New Roman"/>
                <w:sz w:val="24"/>
                <w:szCs w:val="24"/>
                <w:lang w:eastAsia="ru-RU"/>
              </w:rPr>
            </w:pPr>
            <w:r w:rsidRPr="00AA5C00">
              <w:rPr>
                <w:rFonts w:eastAsia="Times New Roman"/>
                <w:sz w:val="24"/>
                <w:szCs w:val="24"/>
                <w:lang w:eastAsia="ru-RU"/>
              </w:rPr>
              <w:t>4,28</w:t>
            </w:r>
          </w:p>
        </w:tc>
        <w:tc>
          <w:tcPr>
            <w:tcW w:w="969" w:type="dxa"/>
            <w:tcBorders>
              <w:top w:val="single" w:sz="4" w:space="0" w:color="auto"/>
              <w:left w:val="single" w:sz="4" w:space="0" w:color="auto"/>
              <w:bottom w:val="single" w:sz="4" w:space="0" w:color="auto"/>
              <w:right w:val="single" w:sz="4" w:space="0" w:color="auto"/>
            </w:tcBorders>
            <w:vAlign w:val="center"/>
          </w:tcPr>
          <w:p w:rsidR="000A3CA3" w:rsidRPr="00AA5C00" w:rsidRDefault="000A3CA3" w:rsidP="000A3CA3">
            <w:pPr>
              <w:keepNext/>
              <w:spacing w:line="240" w:lineRule="auto"/>
              <w:jc w:val="center"/>
              <w:rPr>
                <w:rFonts w:eastAsia="Times New Roman"/>
                <w:sz w:val="24"/>
                <w:szCs w:val="24"/>
                <w:lang w:eastAsia="ru-RU"/>
              </w:rPr>
            </w:pPr>
            <w:r w:rsidRPr="00AA5C00">
              <w:rPr>
                <w:rFonts w:eastAsia="Times New Roman"/>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0A3CA3" w:rsidRPr="00AA5C00" w:rsidRDefault="000A3CA3" w:rsidP="000A3CA3">
            <w:pPr>
              <w:keepNext/>
              <w:spacing w:line="240" w:lineRule="auto"/>
              <w:jc w:val="center"/>
              <w:rPr>
                <w:rFonts w:eastAsia="Times New Roman"/>
                <w:sz w:val="24"/>
                <w:szCs w:val="24"/>
                <w:lang w:eastAsia="ru-RU"/>
              </w:rPr>
            </w:pPr>
            <w:r w:rsidRPr="00AA5C00">
              <w:rPr>
                <w:rFonts w:eastAsia="Times New Roman"/>
                <w:sz w:val="24"/>
                <w:szCs w:val="24"/>
                <w:lang w:eastAsia="ru-RU"/>
              </w:rPr>
              <w:t>0,71</w:t>
            </w:r>
          </w:p>
        </w:tc>
        <w:tc>
          <w:tcPr>
            <w:tcW w:w="969" w:type="dxa"/>
            <w:tcBorders>
              <w:top w:val="single" w:sz="4" w:space="0" w:color="auto"/>
              <w:left w:val="single" w:sz="4" w:space="0" w:color="auto"/>
              <w:bottom w:val="single" w:sz="4" w:space="0" w:color="auto"/>
              <w:right w:val="single" w:sz="4" w:space="0" w:color="auto"/>
            </w:tcBorders>
            <w:vAlign w:val="center"/>
          </w:tcPr>
          <w:p w:rsidR="000A3CA3" w:rsidRPr="00AA5C00" w:rsidRDefault="000A3CA3" w:rsidP="000A3CA3">
            <w:pPr>
              <w:keepNext/>
              <w:spacing w:line="240" w:lineRule="auto"/>
              <w:jc w:val="center"/>
              <w:rPr>
                <w:rFonts w:eastAsia="Times New Roman"/>
                <w:sz w:val="24"/>
                <w:szCs w:val="24"/>
                <w:lang w:eastAsia="ru-RU"/>
              </w:rPr>
            </w:pPr>
            <w:r w:rsidRPr="00AA5C00">
              <w:rPr>
                <w:rFonts w:eastAsia="Times New Roman"/>
                <w:sz w:val="24"/>
                <w:szCs w:val="24"/>
                <w:lang w:eastAsia="ru-RU"/>
              </w:rPr>
              <w:t>**</w:t>
            </w:r>
          </w:p>
        </w:tc>
      </w:tr>
      <w:tr w:rsidR="000A3CA3" w:rsidRPr="00AA5C00" w:rsidTr="000A3CA3">
        <w:trPr>
          <w:trHeight w:val="328"/>
        </w:trPr>
        <w:tc>
          <w:tcPr>
            <w:tcW w:w="4395" w:type="dxa"/>
            <w:tcBorders>
              <w:top w:val="single" w:sz="4" w:space="0" w:color="auto"/>
              <w:left w:val="single" w:sz="4" w:space="0" w:color="auto"/>
              <w:bottom w:val="single" w:sz="4" w:space="0" w:color="auto"/>
              <w:right w:val="single" w:sz="4" w:space="0" w:color="auto"/>
            </w:tcBorders>
            <w:vAlign w:val="center"/>
          </w:tcPr>
          <w:p w:rsidR="000A3CA3" w:rsidRPr="00AA5C00" w:rsidRDefault="000A3CA3" w:rsidP="000A3CA3">
            <w:pPr>
              <w:keepNext/>
              <w:spacing w:line="240" w:lineRule="auto"/>
              <w:jc w:val="left"/>
              <w:rPr>
                <w:rFonts w:eastAsia="Times New Roman"/>
                <w:sz w:val="24"/>
                <w:szCs w:val="24"/>
                <w:lang w:eastAsia="ru-RU"/>
              </w:rPr>
            </w:pPr>
            <w:r w:rsidRPr="00AA5C00">
              <w:rPr>
                <w:rFonts w:eastAsia="Times New Roman"/>
                <w:sz w:val="24"/>
                <w:szCs w:val="24"/>
                <w:lang w:eastAsia="ru-RU"/>
              </w:rPr>
              <w:t xml:space="preserve">Рівень ранньої неонатальної смертності </w:t>
            </w:r>
          </w:p>
        </w:tc>
        <w:tc>
          <w:tcPr>
            <w:tcW w:w="968" w:type="dxa"/>
            <w:tcBorders>
              <w:top w:val="single" w:sz="4" w:space="0" w:color="auto"/>
              <w:left w:val="single" w:sz="4" w:space="0" w:color="auto"/>
              <w:bottom w:val="single" w:sz="4" w:space="0" w:color="auto"/>
              <w:right w:val="single" w:sz="4" w:space="0" w:color="auto"/>
            </w:tcBorders>
            <w:vAlign w:val="center"/>
          </w:tcPr>
          <w:p w:rsidR="000A3CA3" w:rsidRPr="00AA5C00" w:rsidRDefault="000A3CA3" w:rsidP="000A3CA3">
            <w:pPr>
              <w:keepNext/>
              <w:spacing w:line="240" w:lineRule="auto"/>
              <w:jc w:val="center"/>
              <w:rPr>
                <w:rFonts w:eastAsia="Times New Roman"/>
                <w:sz w:val="24"/>
                <w:szCs w:val="24"/>
                <w:lang w:eastAsia="ru-RU"/>
              </w:rPr>
            </w:pPr>
            <w:r w:rsidRPr="00AA5C00">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0A3CA3" w:rsidRPr="00AA5C00" w:rsidRDefault="000A3CA3" w:rsidP="000A3CA3">
            <w:pPr>
              <w:keepNext/>
              <w:spacing w:line="240" w:lineRule="auto"/>
              <w:jc w:val="center"/>
              <w:rPr>
                <w:rFonts w:eastAsia="Times New Roman"/>
                <w:sz w:val="24"/>
                <w:szCs w:val="24"/>
                <w:lang w:eastAsia="ru-RU"/>
              </w:rPr>
            </w:pPr>
            <w:r w:rsidRPr="00AA5C00">
              <w:rPr>
                <w:rFonts w:eastAsia="Times New Roman"/>
                <w:sz w:val="24"/>
                <w:szCs w:val="24"/>
                <w:lang w:eastAsia="ru-RU"/>
              </w:rPr>
              <w:t>2,31</w:t>
            </w:r>
          </w:p>
        </w:tc>
        <w:tc>
          <w:tcPr>
            <w:tcW w:w="968" w:type="dxa"/>
            <w:tcBorders>
              <w:top w:val="single" w:sz="4" w:space="0" w:color="auto"/>
              <w:left w:val="single" w:sz="4" w:space="0" w:color="auto"/>
              <w:bottom w:val="single" w:sz="4" w:space="0" w:color="auto"/>
              <w:right w:val="single" w:sz="4" w:space="0" w:color="auto"/>
            </w:tcBorders>
            <w:vAlign w:val="center"/>
          </w:tcPr>
          <w:p w:rsidR="000A3CA3" w:rsidRPr="00AA5C00" w:rsidRDefault="000A3CA3" w:rsidP="000A3CA3">
            <w:pPr>
              <w:keepNext/>
              <w:spacing w:line="240" w:lineRule="auto"/>
              <w:jc w:val="center"/>
              <w:rPr>
                <w:rFonts w:eastAsia="Times New Roman"/>
                <w:sz w:val="24"/>
                <w:szCs w:val="24"/>
                <w:lang w:eastAsia="ru-RU"/>
              </w:rPr>
            </w:pPr>
            <w:r w:rsidRPr="00AA5C00">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0A3CA3" w:rsidRPr="00AA5C00" w:rsidRDefault="000A3CA3" w:rsidP="000A3CA3">
            <w:pPr>
              <w:keepNext/>
              <w:spacing w:line="240" w:lineRule="auto"/>
              <w:jc w:val="center"/>
              <w:rPr>
                <w:rFonts w:eastAsia="Times New Roman"/>
                <w:sz w:val="24"/>
                <w:szCs w:val="24"/>
                <w:lang w:eastAsia="ru-RU"/>
              </w:rPr>
            </w:pPr>
            <w:r w:rsidRPr="00AA5C00">
              <w:rPr>
                <w:rFonts w:eastAsia="Times New Roman"/>
                <w:sz w:val="24"/>
                <w:szCs w:val="24"/>
                <w:lang w:eastAsia="ru-RU"/>
              </w:rPr>
              <w:t>6,0</w:t>
            </w:r>
          </w:p>
        </w:tc>
        <w:tc>
          <w:tcPr>
            <w:tcW w:w="968" w:type="dxa"/>
            <w:tcBorders>
              <w:top w:val="single" w:sz="4" w:space="0" w:color="auto"/>
              <w:left w:val="single" w:sz="4" w:space="0" w:color="auto"/>
              <w:bottom w:val="single" w:sz="4" w:space="0" w:color="auto"/>
              <w:right w:val="single" w:sz="4" w:space="0" w:color="auto"/>
            </w:tcBorders>
            <w:vAlign w:val="center"/>
          </w:tcPr>
          <w:p w:rsidR="000A3CA3" w:rsidRPr="00AA5C00" w:rsidRDefault="000A3CA3" w:rsidP="000A3CA3">
            <w:pPr>
              <w:keepNext/>
              <w:spacing w:line="240" w:lineRule="auto"/>
              <w:jc w:val="center"/>
              <w:rPr>
                <w:rFonts w:eastAsia="Times New Roman"/>
                <w:sz w:val="24"/>
                <w:szCs w:val="24"/>
                <w:lang w:eastAsia="ru-RU"/>
              </w:rPr>
            </w:pPr>
            <w:r w:rsidRPr="00AA5C00">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0A3CA3" w:rsidRPr="00AA5C00" w:rsidRDefault="000A3CA3" w:rsidP="000A3CA3">
            <w:pPr>
              <w:keepNext/>
              <w:spacing w:line="240" w:lineRule="auto"/>
              <w:jc w:val="center"/>
              <w:rPr>
                <w:rFonts w:eastAsia="Times New Roman"/>
                <w:sz w:val="24"/>
                <w:szCs w:val="24"/>
                <w:lang w:eastAsia="ru-RU"/>
              </w:rPr>
            </w:pPr>
            <w:r w:rsidRPr="00AA5C00">
              <w:rPr>
                <w:rFonts w:eastAsia="Times New Roman"/>
                <w:sz w:val="24"/>
                <w:szCs w:val="24"/>
                <w:lang w:eastAsia="ru-RU"/>
              </w:rPr>
              <w:t>1,00</w:t>
            </w:r>
          </w:p>
        </w:tc>
      </w:tr>
      <w:tr w:rsidR="000A3CA3" w:rsidRPr="00AA5C00" w:rsidTr="000A3CA3">
        <w:trPr>
          <w:trHeight w:val="276"/>
        </w:trPr>
        <w:tc>
          <w:tcPr>
            <w:tcW w:w="4395" w:type="dxa"/>
            <w:tcBorders>
              <w:top w:val="single" w:sz="4" w:space="0" w:color="auto"/>
              <w:left w:val="single" w:sz="4" w:space="0" w:color="auto"/>
              <w:bottom w:val="single" w:sz="4" w:space="0" w:color="auto"/>
              <w:right w:val="single" w:sz="4" w:space="0" w:color="auto"/>
            </w:tcBorders>
            <w:vAlign w:val="bottom"/>
          </w:tcPr>
          <w:p w:rsidR="000A3CA3" w:rsidRPr="00AA5C00" w:rsidRDefault="000A3CA3" w:rsidP="000A3CA3">
            <w:pPr>
              <w:keepNext/>
              <w:spacing w:line="240" w:lineRule="auto"/>
              <w:jc w:val="left"/>
              <w:rPr>
                <w:rFonts w:eastAsia="Times New Roman"/>
                <w:sz w:val="24"/>
                <w:szCs w:val="24"/>
                <w:lang w:eastAsia="ru-RU"/>
              </w:rPr>
            </w:pPr>
            <w:r w:rsidRPr="00AA5C00">
              <w:rPr>
                <w:rFonts w:eastAsia="Times New Roman"/>
                <w:sz w:val="24"/>
                <w:szCs w:val="24"/>
                <w:lang w:eastAsia="ru-RU"/>
              </w:rPr>
              <w:t xml:space="preserve">Рівень материнської смертності </w:t>
            </w:r>
          </w:p>
        </w:tc>
        <w:tc>
          <w:tcPr>
            <w:tcW w:w="968" w:type="dxa"/>
            <w:tcBorders>
              <w:top w:val="single" w:sz="4" w:space="0" w:color="auto"/>
              <w:left w:val="single" w:sz="4" w:space="0" w:color="auto"/>
              <w:bottom w:val="single" w:sz="4" w:space="0" w:color="auto"/>
              <w:right w:val="single" w:sz="4" w:space="0" w:color="auto"/>
            </w:tcBorders>
            <w:vAlign w:val="center"/>
          </w:tcPr>
          <w:p w:rsidR="000A3CA3" w:rsidRPr="00AA5C00" w:rsidRDefault="000A3CA3" w:rsidP="000A3CA3">
            <w:pPr>
              <w:keepNext/>
              <w:spacing w:line="240" w:lineRule="auto"/>
              <w:jc w:val="center"/>
              <w:rPr>
                <w:rFonts w:eastAsia="Times New Roman"/>
                <w:sz w:val="24"/>
                <w:szCs w:val="24"/>
                <w:lang w:eastAsia="ru-RU"/>
              </w:rPr>
            </w:pPr>
            <w:r w:rsidRPr="00AA5C00">
              <w:rPr>
                <w:rFonts w:eastAsia="Times New Roman"/>
                <w:sz w:val="24"/>
                <w:szCs w:val="24"/>
                <w:lang w:eastAsia="ru-RU"/>
              </w:rPr>
              <w:t>6,9</w:t>
            </w:r>
          </w:p>
        </w:tc>
        <w:tc>
          <w:tcPr>
            <w:tcW w:w="969" w:type="dxa"/>
            <w:tcBorders>
              <w:top w:val="single" w:sz="4" w:space="0" w:color="auto"/>
              <w:left w:val="single" w:sz="4" w:space="0" w:color="auto"/>
              <w:bottom w:val="single" w:sz="4" w:space="0" w:color="auto"/>
              <w:right w:val="single" w:sz="4" w:space="0" w:color="auto"/>
            </w:tcBorders>
            <w:vAlign w:val="center"/>
          </w:tcPr>
          <w:p w:rsidR="000A3CA3" w:rsidRPr="00AA5C00" w:rsidRDefault="000A3CA3" w:rsidP="000A3CA3">
            <w:pPr>
              <w:keepNext/>
              <w:spacing w:line="240" w:lineRule="auto"/>
              <w:jc w:val="center"/>
              <w:rPr>
                <w:rFonts w:eastAsia="Times New Roman"/>
                <w:sz w:val="24"/>
                <w:szCs w:val="24"/>
                <w:lang w:eastAsia="ru-RU"/>
              </w:rPr>
            </w:pPr>
            <w:r w:rsidRPr="00AA5C00">
              <w:rPr>
                <w:rFonts w:eastAsia="Times New Roman"/>
                <w:sz w:val="24"/>
                <w:szCs w:val="24"/>
                <w:lang w:eastAsia="ru-RU"/>
              </w:rPr>
              <w:t>0,00</w:t>
            </w:r>
          </w:p>
        </w:tc>
        <w:tc>
          <w:tcPr>
            <w:tcW w:w="968" w:type="dxa"/>
            <w:tcBorders>
              <w:top w:val="single" w:sz="4" w:space="0" w:color="auto"/>
              <w:left w:val="single" w:sz="4" w:space="0" w:color="auto"/>
              <w:bottom w:val="single" w:sz="4" w:space="0" w:color="auto"/>
              <w:right w:val="single" w:sz="4" w:space="0" w:color="auto"/>
            </w:tcBorders>
            <w:vAlign w:val="center"/>
          </w:tcPr>
          <w:p w:rsidR="000A3CA3" w:rsidRPr="00AA5C00" w:rsidRDefault="000A3CA3" w:rsidP="000A3CA3">
            <w:pPr>
              <w:keepNext/>
              <w:spacing w:line="240" w:lineRule="auto"/>
              <w:jc w:val="center"/>
              <w:rPr>
                <w:rFonts w:eastAsia="Times New Roman"/>
                <w:sz w:val="24"/>
                <w:szCs w:val="24"/>
                <w:lang w:eastAsia="ru-RU"/>
              </w:rPr>
            </w:pPr>
            <w:r w:rsidRPr="00AA5C00">
              <w:rPr>
                <w:rFonts w:eastAsia="Times New Roman"/>
                <w:sz w:val="24"/>
                <w:szCs w:val="24"/>
                <w:lang w:eastAsia="ru-RU"/>
              </w:rPr>
              <w:t>5,00</w:t>
            </w:r>
          </w:p>
        </w:tc>
        <w:tc>
          <w:tcPr>
            <w:tcW w:w="969" w:type="dxa"/>
            <w:tcBorders>
              <w:top w:val="single" w:sz="4" w:space="0" w:color="auto"/>
              <w:left w:val="single" w:sz="4" w:space="0" w:color="auto"/>
              <w:bottom w:val="single" w:sz="4" w:space="0" w:color="auto"/>
              <w:right w:val="single" w:sz="4" w:space="0" w:color="auto"/>
            </w:tcBorders>
            <w:vAlign w:val="center"/>
          </w:tcPr>
          <w:p w:rsidR="000A3CA3" w:rsidRPr="00AA5C00" w:rsidRDefault="000A3CA3" w:rsidP="000A3CA3">
            <w:pPr>
              <w:keepNext/>
              <w:spacing w:line="240" w:lineRule="auto"/>
              <w:jc w:val="center"/>
              <w:rPr>
                <w:rFonts w:eastAsia="Times New Roman"/>
                <w:sz w:val="24"/>
                <w:szCs w:val="24"/>
                <w:lang w:eastAsia="ru-RU"/>
              </w:rPr>
            </w:pPr>
            <w:r w:rsidRPr="00AA5C00">
              <w:rPr>
                <w:rFonts w:eastAsia="Times New Roman"/>
                <w:sz w:val="24"/>
                <w:szCs w:val="24"/>
                <w:lang w:eastAsia="ru-RU"/>
              </w:rPr>
              <w:t>5,0</w:t>
            </w:r>
          </w:p>
        </w:tc>
        <w:tc>
          <w:tcPr>
            <w:tcW w:w="968" w:type="dxa"/>
            <w:tcBorders>
              <w:top w:val="single" w:sz="4" w:space="0" w:color="auto"/>
              <w:left w:val="single" w:sz="4" w:space="0" w:color="auto"/>
              <w:bottom w:val="single" w:sz="4" w:space="0" w:color="auto"/>
              <w:right w:val="single" w:sz="4" w:space="0" w:color="auto"/>
            </w:tcBorders>
            <w:vAlign w:val="center"/>
          </w:tcPr>
          <w:p w:rsidR="000A3CA3" w:rsidRPr="00AA5C00" w:rsidRDefault="000A3CA3" w:rsidP="000A3CA3">
            <w:pPr>
              <w:keepNext/>
              <w:spacing w:line="240" w:lineRule="auto"/>
              <w:jc w:val="center"/>
              <w:rPr>
                <w:rFonts w:eastAsia="Times New Roman"/>
                <w:sz w:val="24"/>
                <w:szCs w:val="24"/>
                <w:lang w:eastAsia="ru-RU"/>
              </w:rPr>
            </w:pPr>
            <w:r w:rsidRPr="00AA5C00">
              <w:rPr>
                <w:rFonts w:eastAsia="Times New Roman"/>
                <w:sz w:val="24"/>
                <w:szCs w:val="24"/>
                <w:lang w:eastAsia="ru-RU"/>
              </w:rPr>
              <w:t>1,00</w:t>
            </w:r>
          </w:p>
        </w:tc>
        <w:tc>
          <w:tcPr>
            <w:tcW w:w="969" w:type="dxa"/>
            <w:tcBorders>
              <w:top w:val="single" w:sz="4" w:space="0" w:color="auto"/>
              <w:left w:val="single" w:sz="4" w:space="0" w:color="auto"/>
              <w:bottom w:val="single" w:sz="4" w:space="0" w:color="auto"/>
              <w:right w:val="single" w:sz="4" w:space="0" w:color="auto"/>
            </w:tcBorders>
            <w:vAlign w:val="center"/>
          </w:tcPr>
          <w:p w:rsidR="000A3CA3" w:rsidRPr="00AA5C00" w:rsidRDefault="000A3CA3" w:rsidP="000A3CA3">
            <w:pPr>
              <w:keepNext/>
              <w:spacing w:line="240" w:lineRule="auto"/>
              <w:jc w:val="center"/>
              <w:rPr>
                <w:rFonts w:eastAsia="Times New Roman"/>
                <w:sz w:val="24"/>
                <w:szCs w:val="24"/>
                <w:lang w:eastAsia="ru-RU"/>
              </w:rPr>
            </w:pPr>
            <w:r w:rsidRPr="00AA5C00">
              <w:rPr>
                <w:rFonts w:eastAsia="Times New Roman"/>
                <w:sz w:val="24"/>
                <w:szCs w:val="24"/>
                <w:lang w:eastAsia="ru-RU"/>
              </w:rPr>
              <w:t>1,00</w:t>
            </w:r>
          </w:p>
        </w:tc>
      </w:tr>
      <w:tr w:rsidR="000A3CA3" w:rsidRPr="00AA5C00" w:rsidTr="000A3CA3">
        <w:trPr>
          <w:trHeight w:val="300"/>
        </w:trPr>
        <w:tc>
          <w:tcPr>
            <w:tcW w:w="4395" w:type="dxa"/>
            <w:tcBorders>
              <w:top w:val="single" w:sz="4" w:space="0" w:color="auto"/>
              <w:left w:val="single" w:sz="4" w:space="0" w:color="auto"/>
              <w:bottom w:val="single" w:sz="4" w:space="0" w:color="auto"/>
              <w:right w:val="single" w:sz="4" w:space="0" w:color="auto"/>
            </w:tcBorders>
            <w:noWrap/>
            <w:vAlign w:val="bottom"/>
            <w:hideMark/>
          </w:tcPr>
          <w:p w:rsidR="000A3CA3" w:rsidRPr="00AA5C00" w:rsidRDefault="000A3CA3" w:rsidP="000A3CA3">
            <w:pPr>
              <w:keepNext/>
              <w:spacing w:line="240" w:lineRule="auto"/>
              <w:jc w:val="left"/>
              <w:rPr>
                <w:rFonts w:eastAsia="Times New Roman"/>
                <w:sz w:val="24"/>
                <w:szCs w:val="24"/>
                <w:lang w:eastAsia="ru-RU"/>
              </w:rPr>
            </w:pPr>
          </w:p>
        </w:tc>
        <w:tc>
          <w:tcPr>
            <w:tcW w:w="968" w:type="dxa"/>
            <w:tcBorders>
              <w:top w:val="single" w:sz="4" w:space="0" w:color="auto"/>
              <w:left w:val="single" w:sz="4" w:space="0" w:color="auto"/>
              <w:bottom w:val="single" w:sz="4" w:space="0" w:color="auto"/>
              <w:right w:val="single" w:sz="4" w:space="0" w:color="auto"/>
            </w:tcBorders>
            <w:noWrap/>
            <w:vAlign w:val="center"/>
          </w:tcPr>
          <w:p w:rsidR="000A3CA3" w:rsidRPr="00AA5C00" w:rsidRDefault="000A3CA3" w:rsidP="000A3CA3">
            <w:pPr>
              <w:keepNext/>
              <w:spacing w:line="240" w:lineRule="auto"/>
              <w:jc w:val="center"/>
              <w:rPr>
                <w:rFonts w:eastAsia="Times New Roman"/>
                <w:sz w:val="24"/>
                <w:szCs w:val="24"/>
                <w:lang w:eastAsia="ru-RU"/>
              </w:rPr>
            </w:pPr>
          </w:p>
        </w:tc>
        <w:tc>
          <w:tcPr>
            <w:tcW w:w="969" w:type="dxa"/>
            <w:tcBorders>
              <w:top w:val="single" w:sz="4" w:space="0" w:color="auto"/>
              <w:left w:val="single" w:sz="4" w:space="0" w:color="auto"/>
              <w:bottom w:val="single" w:sz="4" w:space="0" w:color="auto"/>
              <w:right w:val="single" w:sz="4" w:space="0" w:color="auto"/>
            </w:tcBorders>
            <w:vAlign w:val="center"/>
          </w:tcPr>
          <w:p w:rsidR="000A3CA3" w:rsidRPr="00AA5C00" w:rsidRDefault="000A3CA3" w:rsidP="000A3CA3">
            <w:pPr>
              <w:keepNext/>
              <w:spacing w:line="240" w:lineRule="auto"/>
              <w:jc w:val="center"/>
              <w:rPr>
                <w:rFonts w:eastAsia="Times New Roman"/>
                <w:color w:val="000000"/>
                <w:sz w:val="24"/>
                <w:szCs w:val="24"/>
                <w:lang w:eastAsia="ru-RU"/>
              </w:rPr>
            </w:pPr>
          </w:p>
        </w:tc>
        <w:tc>
          <w:tcPr>
            <w:tcW w:w="968" w:type="dxa"/>
            <w:tcBorders>
              <w:top w:val="single" w:sz="4" w:space="0" w:color="auto"/>
              <w:left w:val="single" w:sz="4" w:space="0" w:color="auto"/>
              <w:bottom w:val="single" w:sz="4" w:space="0" w:color="auto"/>
              <w:right w:val="single" w:sz="4" w:space="0" w:color="auto"/>
            </w:tcBorders>
            <w:noWrap/>
            <w:vAlign w:val="center"/>
          </w:tcPr>
          <w:p w:rsidR="000A3CA3" w:rsidRPr="00AA5C00" w:rsidRDefault="000A3CA3" w:rsidP="000A3CA3">
            <w:pPr>
              <w:keepNext/>
              <w:spacing w:line="240" w:lineRule="auto"/>
              <w:jc w:val="center"/>
              <w:rPr>
                <w:rFonts w:eastAsia="Times New Roman"/>
                <w:color w:val="000000"/>
                <w:sz w:val="24"/>
                <w:szCs w:val="24"/>
                <w:lang w:eastAsia="ru-RU"/>
              </w:rPr>
            </w:pPr>
            <w:r w:rsidRPr="00AA5C00">
              <w:rPr>
                <w:rFonts w:eastAsia="Times New Roman"/>
                <w:color w:val="000000"/>
                <w:sz w:val="24"/>
                <w:szCs w:val="24"/>
                <w:lang w:eastAsia="ru-RU"/>
              </w:rPr>
              <w:t>77,07</w:t>
            </w:r>
          </w:p>
        </w:tc>
        <w:tc>
          <w:tcPr>
            <w:tcW w:w="969" w:type="dxa"/>
            <w:tcBorders>
              <w:top w:val="single" w:sz="4" w:space="0" w:color="auto"/>
              <w:left w:val="single" w:sz="4" w:space="0" w:color="auto"/>
              <w:bottom w:val="single" w:sz="4" w:space="0" w:color="auto"/>
              <w:right w:val="single" w:sz="4" w:space="0" w:color="auto"/>
            </w:tcBorders>
            <w:vAlign w:val="center"/>
          </w:tcPr>
          <w:p w:rsidR="000A3CA3" w:rsidRPr="00AA5C00" w:rsidRDefault="000A3CA3" w:rsidP="000A3CA3">
            <w:pPr>
              <w:keepNext/>
              <w:spacing w:line="240" w:lineRule="auto"/>
              <w:jc w:val="center"/>
              <w:rPr>
                <w:rFonts w:eastAsia="Times New Roman"/>
                <w:color w:val="000000"/>
                <w:sz w:val="24"/>
                <w:szCs w:val="24"/>
                <w:lang w:eastAsia="ru-RU"/>
              </w:rPr>
            </w:pPr>
            <w:r w:rsidRPr="00AA5C00">
              <w:rPr>
                <w:rFonts w:eastAsia="Times New Roman"/>
                <w:color w:val="000000"/>
                <w:sz w:val="24"/>
                <w:szCs w:val="24"/>
                <w:lang w:eastAsia="ru-RU"/>
              </w:rPr>
              <w:t>103,9</w:t>
            </w:r>
          </w:p>
        </w:tc>
        <w:tc>
          <w:tcPr>
            <w:tcW w:w="968" w:type="dxa"/>
            <w:tcBorders>
              <w:top w:val="single" w:sz="4" w:space="0" w:color="auto"/>
              <w:left w:val="single" w:sz="4" w:space="0" w:color="auto"/>
              <w:bottom w:val="single" w:sz="4" w:space="0" w:color="auto"/>
              <w:right w:val="single" w:sz="4" w:space="0" w:color="auto"/>
            </w:tcBorders>
            <w:noWrap/>
            <w:vAlign w:val="center"/>
          </w:tcPr>
          <w:p w:rsidR="000A3CA3" w:rsidRPr="00AA5C00" w:rsidRDefault="000A3CA3" w:rsidP="000A3CA3">
            <w:pPr>
              <w:keepNext/>
              <w:spacing w:line="240" w:lineRule="auto"/>
              <w:jc w:val="center"/>
              <w:rPr>
                <w:rFonts w:eastAsia="Times New Roman"/>
                <w:color w:val="000000"/>
                <w:sz w:val="24"/>
                <w:szCs w:val="24"/>
                <w:lang w:eastAsia="ru-RU"/>
              </w:rPr>
            </w:pPr>
            <w:r w:rsidRPr="00AA5C00">
              <w:rPr>
                <w:rFonts w:eastAsia="Times New Roman"/>
                <w:color w:val="000000"/>
                <w:sz w:val="24"/>
                <w:szCs w:val="24"/>
                <w:lang w:eastAsia="ru-RU"/>
              </w:rPr>
              <w:t>0,64</w:t>
            </w:r>
          </w:p>
        </w:tc>
        <w:tc>
          <w:tcPr>
            <w:tcW w:w="969" w:type="dxa"/>
            <w:tcBorders>
              <w:top w:val="single" w:sz="4" w:space="0" w:color="auto"/>
              <w:left w:val="single" w:sz="4" w:space="0" w:color="auto"/>
              <w:bottom w:val="single" w:sz="4" w:space="0" w:color="auto"/>
              <w:right w:val="single" w:sz="4" w:space="0" w:color="auto"/>
            </w:tcBorders>
            <w:vAlign w:val="center"/>
          </w:tcPr>
          <w:p w:rsidR="000A3CA3" w:rsidRPr="00AA5C00" w:rsidRDefault="000A3CA3" w:rsidP="000A3CA3">
            <w:pPr>
              <w:keepNext/>
              <w:spacing w:line="240" w:lineRule="auto"/>
              <w:jc w:val="center"/>
              <w:rPr>
                <w:rFonts w:eastAsia="Times New Roman"/>
                <w:color w:val="000000"/>
                <w:sz w:val="24"/>
                <w:szCs w:val="24"/>
                <w:lang w:eastAsia="ru-RU"/>
              </w:rPr>
            </w:pPr>
            <w:r w:rsidRPr="00AA5C00">
              <w:rPr>
                <w:rFonts w:eastAsia="Times New Roman"/>
                <w:color w:val="000000"/>
                <w:sz w:val="24"/>
                <w:szCs w:val="24"/>
                <w:lang w:eastAsia="ru-RU"/>
              </w:rPr>
              <w:t>0,80</w:t>
            </w:r>
          </w:p>
        </w:tc>
      </w:tr>
    </w:tbl>
    <w:p w:rsidR="00991406" w:rsidRPr="00DD32B8" w:rsidRDefault="00DD32B8" w:rsidP="00DD32B8">
      <w:pPr>
        <w:jc w:val="right"/>
        <w:rPr>
          <w:i/>
          <w:lang w:val="ru-RU"/>
        </w:rPr>
      </w:pPr>
      <w:r w:rsidRPr="00DD32B8">
        <w:rPr>
          <w:i/>
          <w:lang w:val="ru-RU"/>
        </w:rPr>
        <w:t>Продовження до</w:t>
      </w:r>
      <w:r>
        <w:rPr>
          <w:i/>
          <w:lang w:val="ru-RU"/>
        </w:rPr>
        <w:t>д</w:t>
      </w:r>
      <w:r w:rsidRPr="00DD32B8">
        <w:rPr>
          <w:i/>
          <w:lang w:val="ru-RU"/>
        </w:rPr>
        <w:t>аток Е</w:t>
      </w:r>
      <w:r>
        <w:rPr>
          <w:i/>
          <w:lang w:val="ru-RU"/>
        </w:rPr>
        <w:t>-</w:t>
      </w:r>
      <w:r w:rsidR="00150E80">
        <w:rPr>
          <w:i/>
          <w:lang w:val="ru-RU"/>
        </w:rPr>
        <w:t>9</w:t>
      </w:r>
    </w:p>
    <w:p w:rsidR="00C43972" w:rsidRPr="00DD32B8" w:rsidRDefault="00535BCC" w:rsidP="00474500">
      <w:pPr>
        <w:pageBreakBefore/>
        <w:widowControl w:val="0"/>
        <w:jc w:val="right"/>
        <w:rPr>
          <w:rFonts w:eastAsia="Times New Roman"/>
          <w:bCs/>
          <w:iCs/>
          <w:color w:val="000000"/>
          <w:szCs w:val="28"/>
          <w:lang w:eastAsia="uk-UA"/>
        </w:rPr>
      </w:pPr>
      <w:r w:rsidRPr="00DD32B8">
        <w:rPr>
          <w:rFonts w:eastAsia="Times New Roman"/>
          <w:bCs/>
          <w:iCs/>
          <w:color w:val="000000"/>
          <w:szCs w:val="28"/>
          <w:lang w:eastAsia="uk-UA"/>
        </w:rPr>
        <w:lastRenderedPageBreak/>
        <w:t>Додаток Е</w:t>
      </w:r>
      <w:r w:rsidR="00C43972" w:rsidRPr="00DD32B8">
        <w:rPr>
          <w:rFonts w:eastAsia="Times New Roman"/>
          <w:bCs/>
          <w:iCs/>
          <w:color w:val="000000"/>
          <w:szCs w:val="28"/>
          <w:lang w:eastAsia="uk-UA"/>
        </w:rPr>
        <w:t>-10</w:t>
      </w:r>
    </w:p>
    <w:p w:rsidR="00C43972" w:rsidRPr="00DD32B8" w:rsidRDefault="00C43972" w:rsidP="00DD32B8">
      <w:pPr>
        <w:keepNext/>
        <w:jc w:val="center"/>
        <w:rPr>
          <w:rFonts w:eastAsia="Times New Roman"/>
          <w:b/>
          <w:sz w:val="24"/>
          <w:szCs w:val="24"/>
          <w:lang w:eastAsia="ru-RU"/>
        </w:rPr>
      </w:pPr>
      <w:r w:rsidRPr="00DD32B8">
        <w:rPr>
          <w:rFonts w:eastAsia="Times New Roman"/>
          <w:b/>
          <w:bCs/>
          <w:iCs/>
          <w:color w:val="000000"/>
          <w:szCs w:val="28"/>
          <w:lang w:eastAsia="uk-UA"/>
        </w:rPr>
        <w:t xml:space="preserve">Комплексна оцінка діяльності закладів перинатальної допомоги Запорізької </w:t>
      </w:r>
      <w:r w:rsidRPr="00DD32B8">
        <w:rPr>
          <w:rFonts w:eastAsia="Times New Roman"/>
          <w:b/>
          <w:bCs/>
          <w:iCs/>
          <w:color w:val="000000"/>
          <w:sz w:val="26"/>
          <w:szCs w:val="26"/>
          <w:lang w:eastAsia="uk-UA"/>
        </w:rPr>
        <w:t xml:space="preserve">області у </w:t>
      </w:r>
      <w:r w:rsidRPr="00DD32B8">
        <w:rPr>
          <w:rFonts w:eastAsia="Times New Roman"/>
          <w:b/>
          <w:bCs/>
          <w:iCs/>
          <w:color w:val="000000"/>
          <w:szCs w:val="28"/>
          <w:lang w:eastAsia="uk-UA"/>
        </w:rPr>
        <w:t>2017–2018 рр.</w:t>
      </w:r>
    </w:p>
    <w:tbl>
      <w:tblPr>
        <w:tblW w:w="10347" w:type="dxa"/>
        <w:jc w:val="center"/>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36"/>
        <w:gridCol w:w="968"/>
        <w:gridCol w:w="969"/>
        <w:gridCol w:w="968"/>
        <w:gridCol w:w="969"/>
        <w:gridCol w:w="968"/>
        <w:gridCol w:w="969"/>
      </w:tblGrid>
      <w:tr w:rsidR="00DD32B8" w:rsidRPr="000C6B60" w:rsidTr="00DD32B8">
        <w:trPr>
          <w:cantSplit/>
          <w:trHeight w:val="510"/>
          <w:jc w:val="center"/>
        </w:trPr>
        <w:tc>
          <w:tcPr>
            <w:tcW w:w="4536" w:type="dxa"/>
            <w:vMerge w:val="restart"/>
            <w:tcBorders>
              <w:top w:val="single" w:sz="4" w:space="0" w:color="auto"/>
              <w:left w:val="single" w:sz="4" w:space="0" w:color="auto"/>
              <w:right w:val="single" w:sz="4" w:space="0" w:color="auto"/>
            </w:tcBorders>
            <w:vAlign w:val="center"/>
            <w:hideMark/>
          </w:tcPr>
          <w:p w:rsidR="00DD32B8" w:rsidRPr="000C6B60" w:rsidRDefault="00DD32B8" w:rsidP="00FD4B48">
            <w:pPr>
              <w:keepNext/>
              <w:spacing w:line="276" w:lineRule="auto"/>
              <w:jc w:val="center"/>
              <w:rPr>
                <w:rFonts w:eastAsia="Times New Roman"/>
                <w:color w:val="000000"/>
                <w:sz w:val="24"/>
                <w:szCs w:val="24"/>
                <w:lang w:eastAsia="uk-UA"/>
              </w:rPr>
            </w:pPr>
            <w:r w:rsidRPr="000C6B60">
              <w:rPr>
                <w:rFonts w:eastAsia="Times New Roman"/>
                <w:color w:val="000000"/>
                <w:sz w:val="24"/>
                <w:szCs w:val="24"/>
                <w:lang w:eastAsia="uk-UA"/>
              </w:rPr>
              <w:t>Індикатор якості</w:t>
            </w:r>
          </w:p>
        </w:tc>
        <w:tc>
          <w:tcPr>
            <w:tcW w:w="1937" w:type="dxa"/>
            <w:gridSpan w:val="2"/>
            <w:tcBorders>
              <w:top w:val="single" w:sz="4" w:space="0" w:color="auto"/>
              <w:left w:val="single" w:sz="4" w:space="0" w:color="auto"/>
              <w:bottom w:val="single" w:sz="4" w:space="0" w:color="auto"/>
              <w:right w:val="single" w:sz="4" w:space="0" w:color="auto"/>
            </w:tcBorders>
            <w:vAlign w:val="center"/>
          </w:tcPr>
          <w:p w:rsidR="00DD32B8" w:rsidRPr="000C6B60" w:rsidRDefault="00DD32B8" w:rsidP="00FD4B48">
            <w:pPr>
              <w:keepNext/>
              <w:spacing w:line="276" w:lineRule="auto"/>
              <w:jc w:val="center"/>
              <w:rPr>
                <w:rFonts w:eastAsia="Times New Roman"/>
                <w:color w:val="000000"/>
                <w:sz w:val="24"/>
                <w:szCs w:val="24"/>
                <w:lang w:eastAsia="uk-UA"/>
              </w:rPr>
            </w:pPr>
            <w:r w:rsidRPr="000C6B60">
              <w:rPr>
                <w:rFonts w:eastAsia="Times New Roman"/>
                <w:color w:val="000000"/>
                <w:sz w:val="24"/>
                <w:szCs w:val="24"/>
                <w:lang w:eastAsia="uk-UA"/>
              </w:rPr>
              <w:t xml:space="preserve">Фактичний показник, </w:t>
            </w:r>
            <w:r w:rsidRPr="000C6B60">
              <w:rPr>
                <w:rFonts w:eastAsia="Times New Roman"/>
                <w:sz w:val="24"/>
                <w:szCs w:val="24"/>
                <w:lang w:eastAsia="uk-UA"/>
              </w:rPr>
              <w:t>Україна</w:t>
            </w:r>
          </w:p>
        </w:tc>
        <w:tc>
          <w:tcPr>
            <w:tcW w:w="1937" w:type="dxa"/>
            <w:gridSpan w:val="2"/>
            <w:tcBorders>
              <w:top w:val="single" w:sz="4" w:space="0" w:color="auto"/>
              <w:left w:val="single" w:sz="4" w:space="0" w:color="auto"/>
              <w:bottom w:val="single" w:sz="4" w:space="0" w:color="auto"/>
              <w:right w:val="single" w:sz="4" w:space="0" w:color="auto"/>
            </w:tcBorders>
            <w:vAlign w:val="center"/>
          </w:tcPr>
          <w:p w:rsidR="00DD32B8" w:rsidRPr="000C6B60" w:rsidRDefault="00DD32B8" w:rsidP="00FD4B48">
            <w:pPr>
              <w:keepNext/>
              <w:spacing w:line="276" w:lineRule="auto"/>
              <w:jc w:val="center"/>
              <w:rPr>
                <w:rFonts w:eastAsia="Times New Roman"/>
                <w:color w:val="000000"/>
                <w:sz w:val="24"/>
                <w:szCs w:val="24"/>
                <w:lang w:eastAsia="uk-UA"/>
              </w:rPr>
            </w:pPr>
            <w:r w:rsidRPr="000C6B60">
              <w:rPr>
                <w:rFonts w:eastAsia="Times New Roman"/>
                <w:color w:val="000000"/>
                <w:sz w:val="24"/>
                <w:szCs w:val="24"/>
                <w:lang w:eastAsia="uk-UA"/>
              </w:rPr>
              <w:t>Бальна оцінка фактичного показника</w:t>
            </w:r>
          </w:p>
        </w:tc>
        <w:tc>
          <w:tcPr>
            <w:tcW w:w="1937" w:type="dxa"/>
            <w:gridSpan w:val="2"/>
            <w:tcBorders>
              <w:top w:val="single" w:sz="4" w:space="0" w:color="auto"/>
              <w:left w:val="single" w:sz="4" w:space="0" w:color="auto"/>
              <w:bottom w:val="single" w:sz="4" w:space="0" w:color="auto"/>
              <w:right w:val="single" w:sz="4" w:space="0" w:color="auto"/>
            </w:tcBorders>
            <w:vAlign w:val="center"/>
          </w:tcPr>
          <w:p w:rsidR="00DD32B8" w:rsidRPr="000C6B60" w:rsidRDefault="00DD32B8" w:rsidP="00FD4B48">
            <w:pPr>
              <w:keepNext/>
              <w:spacing w:line="276" w:lineRule="auto"/>
              <w:jc w:val="center"/>
              <w:rPr>
                <w:rFonts w:eastAsia="Times New Roman"/>
                <w:color w:val="000000"/>
                <w:sz w:val="24"/>
                <w:szCs w:val="24"/>
                <w:lang w:eastAsia="uk-UA"/>
              </w:rPr>
            </w:pPr>
            <w:r w:rsidRPr="000C6B60">
              <w:rPr>
                <w:rFonts w:eastAsia="Times New Roman"/>
                <w:color w:val="000000"/>
                <w:sz w:val="24"/>
                <w:szCs w:val="24"/>
                <w:lang w:eastAsia="uk-UA"/>
              </w:rPr>
              <w:t>КДНЗ</w:t>
            </w:r>
          </w:p>
        </w:tc>
      </w:tr>
      <w:tr w:rsidR="00DD32B8" w:rsidRPr="000C6B60" w:rsidTr="00DD32B8">
        <w:trPr>
          <w:trHeight w:val="404"/>
          <w:jc w:val="center"/>
        </w:trPr>
        <w:tc>
          <w:tcPr>
            <w:tcW w:w="4536" w:type="dxa"/>
            <w:vMerge/>
            <w:tcBorders>
              <w:left w:val="single" w:sz="4" w:space="0" w:color="auto"/>
              <w:bottom w:val="single" w:sz="4" w:space="0" w:color="auto"/>
              <w:right w:val="single" w:sz="4" w:space="0" w:color="auto"/>
            </w:tcBorders>
            <w:vAlign w:val="bottom"/>
          </w:tcPr>
          <w:p w:rsidR="00DD32B8" w:rsidRPr="000C6B60" w:rsidRDefault="00DD32B8" w:rsidP="00FD4B48">
            <w:pPr>
              <w:keepNext/>
              <w:spacing w:line="276" w:lineRule="auto"/>
              <w:jc w:val="left"/>
              <w:rPr>
                <w:rFonts w:eastAsia="Times New Roman"/>
                <w:sz w:val="24"/>
                <w:szCs w:val="24"/>
                <w:lang w:eastAsia="ru-RU"/>
              </w:rPr>
            </w:pPr>
          </w:p>
        </w:tc>
        <w:tc>
          <w:tcPr>
            <w:tcW w:w="968" w:type="dxa"/>
            <w:tcBorders>
              <w:top w:val="single" w:sz="4" w:space="0" w:color="auto"/>
              <w:left w:val="single" w:sz="4" w:space="0" w:color="auto"/>
              <w:bottom w:val="single" w:sz="4" w:space="0" w:color="auto"/>
              <w:right w:val="single" w:sz="4" w:space="0" w:color="auto"/>
            </w:tcBorders>
            <w:vAlign w:val="center"/>
          </w:tcPr>
          <w:p w:rsidR="00DD32B8" w:rsidRPr="000C6B60" w:rsidRDefault="00DD32B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2017 р.</w:t>
            </w:r>
          </w:p>
        </w:tc>
        <w:tc>
          <w:tcPr>
            <w:tcW w:w="969" w:type="dxa"/>
            <w:tcBorders>
              <w:top w:val="single" w:sz="4" w:space="0" w:color="auto"/>
              <w:left w:val="single" w:sz="4" w:space="0" w:color="auto"/>
              <w:bottom w:val="single" w:sz="4" w:space="0" w:color="auto"/>
              <w:right w:val="single" w:sz="4" w:space="0" w:color="auto"/>
            </w:tcBorders>
            <w:vAlign w:val="center"/>
          </w:tcPr>
          <w:p w:rsidR="00DD32B8" w:rsidRPr="000C6B60" w:rsidRDefault="00DD32B8" w:rsidP="00FD4B48">
            <w:pPr>
              <w:keepNext/>
              <w:spacing w:line="276" w:lineRule="auto"/>
              <w:jc w:val="center"/>
              <w:rPr>
                <w:rFonts w:eastAsia="Times New Roman"/>
                <w:color w:val="000000"/>
                <w:sz w:val="24"/>
                <w:szCs w:val="24"/>
                <w:lang w:eastAsia="ru-RU"/>
              </w:rPr>
            </w:pPr>
            <w:r w:rsidRPr="000C6B60">
              <w:rPr>
                <w:rFonts w:eastAsia="Times New Roman"/>
                <w:color w:val="000000"/>
                <w:sz w:val="24"/>
                <w:szCs w:val="24"/>
                <w:lang w:eastAsia="ru-RU"/>
              </w:rPr>
              <w:t>2018 р.</w:t>
            </w:r>
          </w:p>
        </w:tc>
        <w:tc>
          <w:tcPr>
            <w:tcW w:w="968" w:type="dxa"/>
            <w:tcBorders>
              <w:top w:val="single" w:sz="4" w:space="0" w:color="auto"/>
              <w:left w:val="single" w:sz="4" w:space="0" w:color="auto"/>
              <w:bottom w:val="single" w:sz="4" w:space="0" w:color="auto"/>
              <w:right w:val="single" w:sz="4" w:space="0" w:color="auto"/>
            </w:tcBorders>
            <w:vAlign w:val="center"/>
          </w:tcPr>
          <w:p w:rsidR="00DD32B8" w:rsidRPr="000C6B60" w:rsidRDefault="00DD32B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2017 р.</w:t>
            </w:r>
          </w:p>
        </w:tc>
        <w:tc>
          <w:tcPr>
            <w:tcW w:w="969" w:type="dxa"/>
            <w:tcBorders>
              <w:top w:val="single" w:sz="4" w:space="0" w:color="auto"/>
              <w:left w:val="single" w:sz="4" w:space="0" w:color="auto"/>
              <w:bottom w:val="single" w:sz="4" w:space="0" w:color="auto"/>
              <w:right w:val="single" w:sz="4" w:space="0" w:color="auto"/>
            </w:tcBorders>
            <w:vAlign w:val="center"/>
          </w:tcPr>
          <w:p w:rsidR="00DD32B8" w:rsidRPr="000C6B60" w:rsidRDefault="00DD32B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2017 р.</w:t>
            </w:r>
          </w:p>
        </w:tc>
        <w:tc>
          <w:tcPr>
            <w:tcW w:w="968" w:type="dxa"/>
            <w:tcBorders>
              <w:top w:val="single" w:sz="4" w:space="0" w:color="auto"/>
              <w:left w:val="single" w:sz="4" w:space="0" w:color="auto"/>
              <w:bottom w:val="single" w:sz="4" w:space="0" w:color="auto"/>
              <w:right w:val="single" w:sz="4" w:space="0" w:color="auto"/>
            </w:tcBorders>
            <w:vAlign w:val="center"/>
          </w:tcPr>
          <w:p w:rsidR="00DD32B8" w:rsidRPr="000C6B60" w:rsidRDefault="00DD32B8" w:rsidP="00FD4B48">
            <w:pPr>
              <w:keepNext/>
              <w:spacing w:line="276" w:lineRule="auto"/>
              <w:jc w:val="center"/>
              <w:rPr>
                <w:rFonts w:eastAsia="Times New Roman"/>
                <w:color w:val="000000"/>
                <w:sz w:val="24"/>
                <w:szCs w:val="24"/>
                <w:lang w:eastAsia="ru-RU"/>
              </w:rPr>
            </w:pPr>
            <w:r w:rsidRPr="000C6B60">
              <w:rPr>
                <w:rFonts w:eastAsia="Times New Roman"/>
                <w:color w:val="000000"/>
                <w:sz w:val="24"/>
                <w:szCs w:val="24"/>
                <w:lang w:eastAsia="ru-RU"/>
              </w:rPr>
              <w:t>2018 р.</w:t>
            </w:r>
          </w:p>
        </w:tc>
        <w:tc>
          <w:tcPr>
            <w:tcW w:w="969" w:type="dxa"/>
            <w:tcBorders>
              <w:top w:val="single" w:sz="4" w:space="0" w:color="auto"/>
              <w:left w:val="single" w:sz="4" w:space="0" w:color="auto"/>
              <w:bottom w:val="single" w:sz="4" w:space="0" w:color="auto"/>
              <w:right w:val="single" w:sz="4" w:space="0" w:color="auto"/>
            </w:tcBorders>
            <w:vAlign w:val="center"/>
          </w:tcPr>
          <w:p w:rsidR="00DD32B8" w:rsidRPr="000C6B60" w:rsidRDefault="00DD32B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2017 р.</w:t>
            </w:r>
          </w:p>
        </w:tc>
      </w:tr>
      <w:tr w:rsidR="00DD32B8" w:rsidRPr="000C6B60" w:rsidTr="00DD32B8">
        <w:trPr>
          <w:trHeight w:val="404"/>
          <w:jc w:val="center"/>
        </w:trPr>
        <w:tc>
          <w:tcPr>
            <w:tcW w:w="4536" w:type="dxa"/>
            <w:tcBorders>
              <w:top w:val="single" w:sz="4" w:space="0" w:color="auto"/>
              <w:left w:val="single" w:sz="4" w:space="0" w:color="auto"/>
              <w:bottom w:val="single" w:sz="4" w:space="0" w:color="auto"/>
              <w:right w:val="single" w:sz="4" w:space="0" w:color="auto"/>
            </w:tcBorders>
            <w:vAlign w:val="center"/>
          </w:tcPr>
          <w:p w:rsidR="00DD32B8" w:rsidRPr="000C6B60" w:rsidRDefault="00DD32B8" w:rsidP="00FD4B48">
            <w:pPr>
              <w:keepNext/>
              <w:spacing w:line="276" w:lineRule="auto"/>
              <w:jc w:val="left"/>
              <w:rPr>
                <w:rFonts w:eastAsia="Times New Roman"/>
                <w:sz w:val="24"/>
                <w:szCs w:val="24"/>
                <w:lang w:eastAsia="ru-RU"/>
              </w:rPr>
            </w:pPr>
            <w:r w:rsidRPr="000C6B60">
              <w:rPr>
                <w:rFonts w:eastAsia="Times New Roman"/>
                <w:sz w:val="24"/>
                <w:szCs w:val="24"/>
                <w:lang w:eastAsia="ru-RU"/>
              </w:rPr>
              <w:t>Забезпеченість  лікарями акушер-гінекологами</w:t>
            </w:r>
          </w:p>
        </w:tc>
        <w:tc>
          <w:tcPr>
            <w:tcW w:w="968" w:type="dxa"/>
            <w:tcBorders>
              <w:top w:val="single" w:sz="4" w:space="0" w:color="auto"/>
              <w:left w:val="single" w:sz="4" w:space="0" w:color="auto"/>
              <w:bottom w:val="single" w:sz="4" w:space="0" w:color="auto"/>
              <w:right w:val="single" w:sz="4" w:space="0" w:color="auto"/>
            </w:tcBorders>
            <w:vAlign w:val="center"/>
          </w:tcPr>
          <w:p w:rsidR="00DD32B8" w:rsidRPr="000C6B60" w:rsidRDefault="00DD32B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4,87</w:t>
            </w:r>
          </w:p>
        </w:tc>
        <w:tc>
          <w:tcPr>
            <w:tcW w:w="969" w:type="dxa"/>
            <w:tcBorders>
              <w:top w:val="single" w:sz="4" w:space="0" w:color="auto"/>
              <w:left w:val="single" w:sz="4" w:space="0" w:color="auto"/>
              <w:bottom w:val="single" w:sz="4" w:space="0" w:color="auto"/>
              <w:right w:val="single" w:sz="4" w:space="0" w:color="auto"/>
            </w:tcBorders>
            <w:vAlign w:val="center"/>
          </w:tcPr>
          <w:p w:rsidR="00DD32B8" w:rsidRPr="000C6B60" w:rsidRDefault="00DD32B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4,80</w:t>
            </w:r>
          </w:p>
        </w:tc>
        <w:tc>
          <w:tcPr>
            <w:tcW w:w="968" w:type="dxa"/>
            <w:tcBorders>
              <w:top w:val="single" w:sz="4" w:space="0" w:color="auto"/>
              <w:left w:val="single" w:sz="4" w:space="0" w:color="auto"/>
              <w:bottom w:val="single" w:sz="4" w:space="0" w:color="auto"/>
              <w:right w:val="single" w:sz="4" w:space="0" w:color="auto"/>
            </w:tcBorders>
            <w:vAlign w:val="center"/>
          </w:tcPr>
          <w:p w:rsidR="00DD32B8" w:rsidRPr="000C6B60" w:rsidRDefault="00DD32B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5,31</w:t>
            </w:r>
          </w:p>
        </w:tc>
        <w:tc>
          <w:tcPr>
            <w:tcW w:w="969" w:type="dxa"/>
            <w:tcBorders>
              <w:top w:val="single" w:sz="4" w:space="0" w:color="auto"/>
              <w:left w:val="single" w:sz="4" w:space="0" w:color="auto"/>
              <w:bottom w:val="single" w:sz="4" w:space="0" w:color="auto"/>
              <w:right w:val="single" w:sz="4" w:space="0" w:color="auto"/>
            </w:tcBorders>
            <w:vAlign w:val="center"/>
          </w:tcPr>
          <w:p w:rsidR="00DD32B8" w:rsidRPr="000C6B60" w:rsidRDefault="00DD32B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5,24</w:t>
            </w:r>
          </w:p>
        </w:tc>
        <w:tc>
          <w:tcPr>
            <w:tcW w:w="968" w:type="dxa"/>
            <w:tcBorders>
              <w:top w:val="single" w:sz="4" w:space="0" w:color="auto"/>
              <w:left w:val="single" w:sz="4" w:space="0" w:color="auto"/>
              <w:bottom w:val="single" w:sz="4" w:space="0" w:color="auto"/>
              <w:right w:val="single" w:sz="4" w:space="0" w:color="auto"/>
            </w:tcBorders>
            <w:vAlign w:val="center"/>
          </w:tcPr>
          <w:p w:rsidR="00DD32B8" w:rsidRPr="000C6B60" w:rsidRDefault="00DD32B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0,89</w:t>
            </w:r>
          </w:p>
        </w:tc>
        <w:tc>
          <w:tcPr>
            <w:tcW w:w="969" w:type="dxa"/>
            <w:tcBorders>
              <w:top w:val="single" w:sz="4" w:space="0" w:color="auto"/>
              <w:left w:val="single" w:sz="4" w:space="0" w:color="auto"/>
              <w:bottom w:val="single" w:sz="4" w:space="0" w:color="auto"/>
              <w:right w:val="single" w:sz="4" w:space="0" w:color="auto"/>
            </w:tcBorders>
            <w:vAlign w:val="center"/>
          </w:tcPr>
          <w:p w:rsidR="00DD32B8" w:rsidRPr="000C6B60" w:rsidRDefault="00DD32B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0,87</w:t>
            </w:r>
          </w:p>
        </w:tc>
      </w:tr>
      <w:tr w:rsidR="00DD32B8" w:rsidRPr="000C6B60" w:rsidTr="00DD32B8">
        <w:trPr>
          <w:trHeight w:val="404"/>
          <w:jc w:val="center"/>
        </w:trPr>
        <w:tc>
          <w:tcPr>
            <w:tcW w:w="4536" w:type="dxa"/>
            <w:tcBorders>
              <w:top w:val="single" w:sz="4" w:space="0" w:color="auto"/>
              <w:left w:val="single" w:sz="4" w:space="0" w:color="auto"/>
              <w:bottom w:val="single" w:sz="4" w:space="0" w:color="auto"/>
              <w:right w:val="single" w:sz="4" w:space="0" w:color="auto"/>
            </w:tcBorders>
            <w:vAlign w:val="bottom"/>
          </w:tcPr>
          <w:p w:rsidR="00DD32B8" w:rsidRPr="000C6B60" w:rsidRDefault="00DD32B8" w:rsidP="00FD4B48">
            <w:pPr>
              <w:keepNext/>
              <w:spacing w:line="276" w:lineRule="auto"/>
              <w:jc w:val="left"/>
              <w:rPr>
                <w:rFonts w:eastAsia="Times New Roman"/>
                <w:sz w:val="24"/>
                <w:szCs w:val="24"/>
                <w:lang w:eastAsia="ru-RU"/>
              </w:rPr>
            </w:pPr>
            <w:r w:rsidRPr="000C6B60">
              <w:rPr>
                <w:rFonts w:eastAsia="Times New Roman"/>
                <w:sz w:val="24"/>
                <w:szCs w:val="24"/>
                <w:lang w:eastAsia="ru-RU"/>
              </w:rPr>
              <w:t>Забезпеченість  лікарями  педіатрами-неонатологами</w:t>
            </w:r>
          </w:p>
        </w:tc>
        <w:tc>
          <w:tcPr>
            <w:tcW w:w="968" w:type="dxa"/>
            <w:tcBorders>
              <w:top w:val="single" w:sz="4" w:space="0" w:color="auto"/>
              <w:left w:val="single" w:sz="4" w:space="0" w:color="auto"/>
              <w:bottom w:val="single" w:sz="4" w:space="0" w:color="auto"/>
              <w:right w:val="single" w:sz="4" w:space="0" w:color="auto"/>
            </w:tcBorders>
            <w:vAlign w:val="center"/>
          </w:tcPr>
          <w:p w:rsidR="00DD32B8" w:rsidRPr="000C6B60" w:rsidRDefault="00DD32B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4,84</w:t>
            </w:r>
          </w:p>
        </w:tc>
        <w:tc>
          <w:tcPr>
            <w:tcW w:w="969" w:type="dxa"/>
            <w:tcBorders>
              <w:top w:val="single" w:sz="4" w:space="0" w:color="auto"/>
              <w:left w:val="single" w:sz="4" w:space="0" w:color="auto"/>
              <w:bottom w:val="single" w:sz="4" w:space="0" w:color="auto"/>
              <w:right w:val="single" w:sz="4" w:space="0" w:color="auto"/>
            </w:tcBorders>
            <w:vAlign w:val="center"/>
          </w:tcPr>
          <w:p w:rsidR="00DD32B8" w:rsidRPr="000C6B60" w:rsidRDefault="00DD32B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5,64</w:t>
            </w:r>
          </w:p>
        </w:tc>
        <w:tc>
          <w:tcPr>
            <w:tcW w:w="968" w:type="dxa"/>
            <w:tcBorders>
              <w:top w:val="single" w:sz="4" w:space="0" w:color="auto"/>
              <w:left w:val="single" w:sz="4" w:space="0" w:color="auto"/>
              <w:bottom w:val="single" w:sz="4" w:space="0" w:color="auto"/>
              <w:right w:val="single" w:sz="4" w:space="0" w:color="auto"/>
            </w:tcBorders>
            <w:vAlign w:val="center"/>
          </w:tcPr>
          <w:p w:rsidR="00DD32B8" w:rsidRPr="000C6B60" w:rsidRDefault="00DD32B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5,28</w:t>
            </w:r>
          </w:p>
        </w:tc>
        <w:tc>
          <w:tcPr>
            <w:tcW w:w="969" w:type="dxa"/>
            <w:tcBorders>
              <w:top w:val="single" w:sz="4" w:space="0" w:color="auto"/>
              <w:left w:val="single" w:sz="4" w:space="0" w:color="auto"/>
              <w:bottom w:val="single" w:sz="4" w:space="0" w:color="auto"/>
              <w:right w:val="single" w:sz="4" w:space="0" w:color="auto"/>
            </w:tcBorders>
            <w:vAlign w:val="center"/>
          </w:tcPr>
          <w:p w:rsidR="00DD32B8" w:rsidRPr="000C6B60" w:rsidRDefault="00DD32B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6,0</w:t>
            </w:r>
          </w:p>
        </w:tc>
        <w:tc>
          <w:tcPr>
            <w:tcW w:w="968" w:type="dxa"/>
            <w:tcBorders>
              <w:top w:val="single" w:sz="4" w:space="0" w:color="auto"/>
              <w:left w:val="single" w:sz="4" w:space="0" w:color="auto"/>
              <w:bottom w:val="single" w:sz="4" w:space="0" w:color="auto"/>
              <w:right w:val="single" w:sz="4" w:space="0" w:color="auto"/>
            </w:tcBorders>
            <w:vAlign w:val="center"/>
          </w:tcPr>
          <w:p w:rsidR="00DD32B8" w:rsidRPr="000C6B60" w:rsidRDefault="00DD32B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0,89</w:t>
            </w:r>
          </w:p>
        </w:tc>
        <w:tc>
          <w:tcPr>
            <w:tcW w:w="969" w:type="dxa"/>
            <w:tcBorders>
              <w:top w:val="single" w:sz="4" w:space="0" w:color="auto"/>
              <w:left w:val="single" w:sz="4" w:space="0" w:color="auto"/>
              <w:bottom w:val="single" w:sz="4" w:space="0" w:color="auto"/>
              <w:right w:val="single" w:sz="4" w:space="0" w:color="auto"/>
            </w:tcBorders>
            <w:vAlign w:val="center"/>
          </w:tcPr>
          <w:p w:rsidR="00DD32B8" w:rsidRPr="000C6B60" w:rsidRDefault="00DD32B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1,00</w:t>
            </w:r>
          </w:p>
        </w:tc>
      </w:tr>
      <w:tr w:rsidR="00DD32B8" w:rsidRPr="000C6B60" w:rsidTr="00DD32B8">
        <w:trPr>
          <w:trHeight w:val="404"/>
          <w:jc w:val="center"/>
        </w:trPr>
        <w:tc>
          <w:tcPr>
            <w:tcW w:w="4536" w:type="dxa"/>
            <w:tcBorders>
              <w:top w:val="single" w:sz="4" w:space="0" w:color="auto"/>
              <w:left w:val="single" w:sz="4" w:space="0" w:color="auto"/>
              <w:bottom w:val="single" w:sz="4" w:space="0" w:color="auto"/>
              <w:right w:val="single" w:sz="4" w:space="0" w:color="auto"/>
            </w:tcBorders>
            <w:vAlign w:val="bottom"/>
          </w:tcPr>
          <w:p w:rsidR="00DD32B8" w:rsidRPr="000C6B60" w:rsidRDefault="00DD32B8" w:rsidP="00FD4B48">
            <w:pPr>
              <w:keepNext/>
              <w:spacing w:line="276" w:lineRule="auto"/>
              <w:jc w:val="left"/>
              <w:rPr>
                <w:rFonts w:eastAsia="Times New Roman"/>
                <w:sz w:val="24"/>
                <w:szCs w:val="24"/>
                <w:lang w:eastAsia="ru-RU"/>
              </w:rPr>
            </w:pPr>
            <w:r w:rsidRPr="000C6B60">
              <w:rPr>
                <w:rFonts w:eastAsia="Times New Roman"/>
                <w:sz w:val="24"/>
                <w:szCs w:val="24"/>
                <w:lang w:eastAsia="ru-RU"/>
              </w:rPr>
              <w:t>Питома вага атестованих лікарів акушер-гінекологів</w:t>
            </w:r>
          </w:p>
        </w:tc>
        <w:tc>
          <w:tcPr>
            <w:tcW w:w="968" w:type="dxa"/>
            <w:tcBorders>
              <w:top w:val="single" w:sz="4" w:space="0" w:color="auto"/>
              <w:left w:val="single" w:sz="4" w:space="0" w:color="auto"/>
              <w:bottom w:val="single" w:sz="4" w:space="0" w:color="auto"/>
              <w:right w:val="single" w:sz="4" w:space="0" w:color="auto"/>
            </w:tcBorders>
            <w:vAlign w:val="center"/>
          </w:tcPr>
          <w:p w:rsidR="00DD32B8" w:rsidRPr="000C6B60" w:rsidRDefault="00DD32B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DD32B8" w:rsidRPr="000C6B60" w:rsidRDefault="00DD32B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84,63</w:t>
            </w:r>
          </w:p>
        </w:tc>
        <w:tc>
          <w:tcPr>
            <w:tcW w:w="968" w:type="dxa"/>
            <w:tcBorders>
              <w:top w:val="single" w:sz="4" w:space="0" w:color="auto"/>
              <w:left w:val="single" w:sz="4" w:space="0" w:color="auto"/>
              <w:bottom w:val="single" w:sz="4" w:space="0" w:color="auto"/>
              <w:right w:val="single" w:sz="4" w:space="0" w:color="auto"/>
            </w:tcBorders>
            <w:vAlign w:val="center"/>
          </w:tcPr>
          <w:p w:rsidR="00DD32B8" w:rsidRPr="000C6B60" w:rsidRDefault="00DD32B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DD32B8" w:rsidRPr="000C6B60" w:rsidRDefault="00DD32B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5,64</w:t>
            </w:r>
          </w:p>
        </w:tc>
        <w:tc>
          <w:tcPr>
            <w:tcW w:w="968" w:type="dxa"/>
            <w:tcBorders>
              <w:top w:val="single" w:sz="4" w:space="0" w:color="auto"/>
              <w:left w:val="single" w:sz="4" w:space="0" w:color="auto"/>
              <w:bottom w:val="single" w:sz="4" w:space="0" w:color="auto"/>
              <w:right w:val="single" w:sz="4" w:space="0" w:color="auto"/>
            </w:tcBorders>
            <w:vAlign w:val="center"/>
          </w:tcPr>
          <w:p w:rsidR="00DD32B8" w:rsidRPr="000C6B60" w:rsidRDefault="00DD32B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DD32B8" w:rsidRPr="000C6B60" w:rsidRDefault="00DD32B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0,94</w:t>
            </w:r>
          </w:p>
        </w:tc>
      </w:tr>
      <w:tr w:rsidR="00DD32B8" w:rsidRPr="000C6B60" w:rsidTr="00DD32B8">
        <w:trPr>
          <w:trHeight w:val="404"/>
          <w:jc w:val="center"/>
        </w:trPr>
        <w:tc>
          <w:tcPr>
            <w:tcW w:w="4536" w:type="dxa"/>
            <w:tcBorders>
              <w:top w:val="single" w:sz="4" w:space="0" w:color="auto"/>
              <w:left w:val="single" w:sz="4" w:space="0" w:color="auto"/>
              <w:bottom w:val="single" w:sz="4" w:space="0" w:color="auto"/>
              <w:right w:val="single" w:sz="4" w:space="0" w:color="auto"/>
            </w:tcBorders>
            <w:vAlign w:val="bottom"/>
          </w:tcPr>
          <w:p w:rsidR="00DD32B8" w:rsidRPr="000C6B60" w:rsidRDefault="00DD32B8" w:rsidP="00FD4B48">
            <w:pPr>
              <w:keepNext/>
              <w:spacing w:line="276" w:lineRule="auto"/>
              <w:jc w:val="left"/>
              <w:rPr>
                <w:rFonts w:eastAsia="Times New Roman"/>
                <w:sz w:val="24"/>
                <w:szCs w:val="24"/>
                <w:lang w:eastAsia="ru-RU"/>
              </w:rPr>
            </w:pPr>
            <w:r w:rsidRPr="000C6B60">
              <w:rPr>
                <w:rFonts w:eastAsia="Times New Roman"/>
                <w:sz w:val="24"/>
                <w:szCs w:val="24"/>
                <w:lang w:eastAsia="ru-RU"/>
              </w:rPr>
              <w:t>Питома вага атестованих лікарів педіатрів-неонатологів</w:t>
            </w:r>
          </w:p>
        </w:tc>
        <w:tc>
          <w:tcPr>
            <w:tcW w:w="968" w:type="dxa"/>
            <w:tcBorders>
              <w:top w:val="single" w:sz="4" w:space="0" w:color="auto"/>
              <w:left w:val="single" w:sz="4" w:space="0" w:color="auto"/>
              <w:bottom w:val="single" w:sz="4" w:space="0" w:color="auto"/>
              <w:right w:val="single" w:sz="4" w:space="0" w:color="auto"/>
            </w:tcBorders>
            <w:vAlign w:val="center"/>
          </w:tcPr>
          <w:p w:rsidR="00DD32B8" w:rsidRPr="000C6B60" w:rsidRDefault="00DD32B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DD32B8" w:rsidRPr="000C6B60" w:rsidRDefault="00DD32B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81,16</w:t>
            </w:r>
          </w:p>
        </w:tc>
        <w:tc>
          <w:tcPr>
            <w:tcW w:w="968" w:type="dxa"/>
            <w:tcBorders>
              <w:top w:val="single" w:sz="4" w:space="0" w:color="auto"/>
              <w:left w:val="single" w:sz="4" w:space="0" w:color="auto"/>
              <w:bottom w:val="single" w:sz="4" w:space="0" w:color="auto"/>
              <w:right w:val="single" w:sz="4" w:space="0" w:color="auto"/>
            </w:tcBorders>
            <w:vAlign w:val="center"/>
          </w:tcPr>
          <w:p w:rsidR="00DD32B8" w:rsidRPr="000C6B60" w:rsidRDefault="00DD32B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DD32B8" w:rsidRPr="000C6B60" w:rsidRDefault="00DD32B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6,0</w:t>
            </w:r>
          </w:p>
        </w:tc>
        <w:tc>
          <w:tcPr>
            <w:tcW w:w="968" w:type="dxa"/>
            <w:tcBorders>
              <w:top w:val="single" w:sz="4" w:space="0" w:color="auto"/>
              <w:left w:val="single" w:sz="4" w:space="0" w:color="auto"/>
              <w:bottom w:val="single" w:sz="4" w:space="0" w:color="auto"/>
              <w:right w:val="single" w:sz="4" w:space="0" w:color="auto"/>
            </w:tcBorders>
            <w:vAlign w:val="center"/>
          </w:tcPr>
          <w:p w:rsidR="00DD32B8" w:rsidRPr="000C6B60" w:rsidRDefault="00DD32B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DD32B8" w:rsidRPr="000C6B60" w:rsidRDefault="00DD32B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1,00</w:t>
            </w:r>
          </w:p>
        </w:tc>
      </w:tr>
      <w:tr w:rsidR="00DD32B8" w:rsidRPr="000C6B60" w:rsidTr="00DD32B8">
        <w:trPr>
          <w:trHeight w:val="218"/>
          <w:jc w:val="center"/>
        </w:trPr>
        <w:tc>
          <w:tcPr>
            <w:tcW w:w="4536" w:type="dxa"/>
            <w:tcBorders>
              <w:top w:val="single" w:sz="4" w:space="0" w:color="auto"/>
              <w:left w:val="single" w:sz="4" w:space="0" w:color="auto"/>
              <w:bottom w:val="single" w:sz="4" w:space="0" w:color="auto"/>
              <w:right w:val="single" w:sz="4" w:space="0" w:color="auto"/>
            </w:tcBorders>
            <w:vAlign w:val="center"/>
          </w:tcPr>
          <w:p w:rsidR="00DD32B8" w:rsidRPr="000C6B60" w:rsidRDefault="00DD32B8" w:rsidP="00FD4B48">
            <w:pPr>
              <w:keepNext/>
              <w:spacing w:line="276" w:lineRule="auto"/>
              <w:jc w:val="left"/>
              <w:rPr>
                <w:rFonts w:eastAsia="Times New Roman"/>
                <w:sz w:val="24"/>
                <w:szCs w:val="24"/>
                <w:lang w:eastAsia="ru-RU"/>
              </w:rPr>
            </w:pPr>
            <w:r w:rsidRPr="000C6B60">
              <w:rPr>
                <w:rFonts w:eastAsia="Times New Roman"/>
                <w:sz w:val="24"/>
                <w:szCs w:val="24"/>
                <w:lang w:eastAsia="ru-RU"/>
              </w:rPr>
              <w:t xml:space="preserve">Своєчасність постановки на облік вагітних </w:t>
            </w:r>
          </w:p>
        </w:tc>
        <w:tc>
          <w:tcPr>
            <w:tcW w:w="968" w:type="dxa"/>
            <w:tcBorders>
              <w:top w:val="single" w:sz="4" w:space="0" w:color="auto"/>
              <w:left w:val="single" w:sz="4" w:space="0" w:color="auto"/>
              <w:bottom w:val="single" w:sz="4" w:space="0" w:color="auto"/>
              <w:right w:val="single" w:sz="4" w:space="0" w:color="auto"/>
            </w:tcBorders>
            <w:vAlign w:val="center"/>
          </w:tcPr>
          <w:p w:rsidR="00DD32B8" w:rsidRPr="000C6B60" w:rsidRDefault="00DD32B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90,82</w:t>
            </w:r>
          </w:p>
        </w:tc>
        <w:tc>
          <w:tcPr>
            <w:tcW w:w="969" w:type="dxa"/>
            <w:tcBorders>
              <w:top w:val="single" w:sz="4" w:space="0" w:color="auto"/>
              <w:left w:val="single" w:sz="4" w:space="0" w:color="auto"/>
              <w:bottom w:val="single" w:sz="4" w:space="0" w:color="auto"/>
              <w:right w:val="single" w:sz="4" w:space="0" w:color="auto"/>
            </w:tcBorders>
            <w:vAlign w:val="center"/>
          </w:tcPr>
          <w:p w:rsidR="00DD32B8" w:rsidRPr="000C6B60" w:rsidRDefault="00DD32B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93,33</w:t>
            </w:r>
          </w:p>
        </w:tc>
        <w:tc>
          <w:tcPr>
            <w:tcW w:w="968" w:type="dxa"/>
            <w:tcBorders>
              <w:top w:val="single" w:sz="4" w:space="0" w:color="auto"/>
              <w:left w:val="single" w:sz="4" w:space="0" w:color="auto"/>
              <w:bottom w:val="single" w:sz="4" w:space="0" w:color="auto"/>
              <w:right w:val="single" w:sz="4" w:space="0" w:color="auto"/>
            </w:tcBorders>
            <w:vAlign w:val="center"/>
          </w:tcPr>
          <w:p w:rsidR="00DD32B8" w:rsidRPr="000C6B60" w:rsidRDefault="00DD32B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6,69</w:t>
            </w:r>
          </w:p>
        </w:tc>
        <w:tc>
          <w:tcPr>
            <w:tcW w:w="969" w:type="dxa"/>
            <w:tcBorders>
              <w:top w:val="single" w:sz="4" w:space="0" w:color="auto"/>
              <w:left w:val="single" w:sz="4" w:space="0" w:color="auto"/>
              <w:bottom w:val="single" w:sz="4" w:space="0" w:color="auto"/>
              <w:right w:val="single" w:sz="4" w:space="0" w:color="auto"/>
            </w:tcBorders>
            <w:vAlign w:val="center"/>
          </w:tcPr>
          <w:p w:rsidR="00DD32B8" w:rsidRPr="000C6B60" w:rsidRDefault="00DD32B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6,88</w:t>
            </w:r>
          </w:p>
        </w:tc>
        <w:tc>
          <w:tcPr>
            <w:tcW w:w="968" w:type="dxa"/>
            <w:tcBorders>
              <w:top w:val="single" w:sz="4" w:space="0" w:color="auto"/>
              <w:left w:val="single" w:sz="4" w:space="0" w:color="auto"/>
              <w:bottom w:val="single" w:sz="4" w:space="0" w:color="auto"/>
              <w:right w:val="single" w:sz="4" w:space="0" w:color="auto"/>
            </w:tcBorders>
            <w:vAlign w:val="center"/>
          </w:tcPr>
          <w:p w:rsidR="00DD32B8" w:rsidRPr="000C6B60" w:rsidRDefault="00DD32B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0,96</w:t>
            </w:r>
          </w:p>
        </w:tc>
        <w:tc>
          <w:tcPr>
            <w:tcW w:w="969" w:type="dxa"/>
            <w:tcBorders>
              <w:top w:val="single" w:sz="4" w:space="0" w:color="auto"/>
              <w:left w:val="single" w:sz="4" w:space="0" w:color="auto"/>
              <w:bottom w:val="single" w:sz="4" w:space="0" w:color="auto"/>
              <w:right w:val="single" w:sz="4" w:space="0" w:color="auto"/>
            </w:tcBorders>
            <w:vAlign w:val="center"/>
          </w:tcPr>
          <w:p w:rsidR="00DD32B8" w:rsidRPr="000C6B60" w:rsidRDefault="00DD32B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0,98</w:t>
            </w:r>
          </w:p>
        </w:tc>
      </w:tr>
      <w:tr w:rsidR="00DD32B8" w:rsidRPr="000C6B60" w:rsidTr="00DD32B8">
        <w:trPr>
          <w:trHeight w:val="222"/>
          <w:jc w:val="center"/>
        </w:trPr>
        <w:tc>
          <w:tcPr>
            <w:tcW w:w="4536" w:type="dxa"/>
            <w:tcBorders>
              <w:top w:val="single" w:sz="4" w:space="0" w:color="auto"/>
              <w:left w:val="single" w:sz="4" w:space="0" w:color="auto"/>
              <w:bottom w:val="single" w:sz="4" w:space="0" w:color="auto"/>
              <w:right w:val="single" w:sz="4" w:space="0" w:color="auto"/>
            </w:tcBorders>
            <w:vAlign w:val="center"/>
          </w:tcPr>
          <w:p w:rsidR="00DD32B8" w:rsidRPr="000C6B60" w:rsidRDefault="00DD32B8" w:rsidP="00FD4B48">
            <w:pPr>
              <w:keepNext/>
              <w:spacing w:line="276" w:lineRule="auto"/>
              <w:jc w:val="left"/>
              <w:rPr>
                <w:rFonts w:eastAsia="Times New Roman"/>
                <w:sz w:val="24"/>
                <w:szCs w:val="24"/>
                <w:lang w:eastAsia="ru-RU"/>
              </w:rPr>
            </w:pPr>
            <w:r w:rsidRPr="000C6B60">
              <w:rPr>
                <w:rFonts w:eastAsia="Times New Roman"/>
                <w:sz w:val="24"/>
                <w:szCs w:val="24"/>
                <w:lang w:eastAsia="ru-RU"/>
              </w:rPr>
              <w:t>Частота анемій вагітних</w:t>
            </w:r>
          </w:p>
        </w:tc>
        <w:tc>
          <w:tcPr>
            <w:tcW w:w="968" w:type="dxa"/>
            <w:tcBorders>
              <w:top w:val="single" w:sz="4" w:space="0" w:color="auto"/>
              <w:left w:val="single" w:sz="4" w:space="0" w:color="auto"/>
              <w:bottom w:val="single" w:sz="4" w:space="0" w:color="auto"/>
              <w:right w:val="single" w:sz="4" w:space="0" w:color="auto"/>
            </w:tcBorders>
            <w:vAlign w:val="center"/>
          </w:tcPr>
          <w:p w:rsidR="00DD32B8" w:rsidRPr="000C6B60" w:rsidRDefault="00DD32B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18,57</w:t>
            </w:r>
          </w:p>
        </w:tc>
        <w:tc>
          <w:tcPr>
            <w:tcW w:w="969" w:type="dxa"/>
            <w:tcBorders>
              <w:top w:val="single" w:sz="4" w:space="0" w:color="auto"/>
              <w:left w:val="single" w:sz="4" w:space="0" w:color="auto"/>
              <w:bottom w:val="single" w:sz="4" w:space="0" w:color="auto"/>
              <w:right w:val="single" w:sz="4" w:space="0" w:color="auto"/>
            </w:tcBorders>
            <w:vAlign w:val="center"/>
          </w:tcPr>
          <w:p w:rsidR="00DD32B8" w:rsidRPr="000C6B60" w:rsidRDefault="00DD32B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20,78</w:t>
            </w:r>
          </w:p>
        </w:tc>
        <w:tc>
          <w:tcPr>
            <w:tcW w:w="968" w:type="dxa"/>
            <w:tcBorders>
              <w:top w:val="single" w:sz="4" w:space="0" w:color="auto"/>
              <w:left w:val="single" w:sz="4" w:space="0" w:color="auto"/>
              <w:bottom w:val="single" w:sz="4" w:space="0" w:color="auto"/>
              <w:right w:val="single" w:sz="4" w:space="0" w:color="auto"/>
            </w:tcBorders>
            <w:vAlign w:val="center"/>
          </w:tcPr>
          <w:p w:rsidR="00DD32B8" w:rsidRPr="000C6B60" w:rsidRDefault="00DD32B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4,00</w:t>
            </w:r>
          </w:p>
        </w:tc>
        <w:tc>
          <w:tcPr>
            <w:tcW w:w="969" w:type="dxa"/>
            <w:tcBorders>
              <w:top w:val="single" w:sz="4" w:space="0" w:color="auto"/>
              <w:left w:val="single" w:sz="4" w:space="0" w:color="auto"/>
              <w:bottom w:val="single" w:sz="4" w:space="0" w:color="auto"/>
              <w:right w:val="single" w:sz="4" w:space="0" w:color="auto"/>
            </w:tcBorders>
            <w:vAlign w:val="center"/>
          </w:tcPr>
          <w:p w:rsidR="00DD32B8" w:rsidRPr="000C6B60" w:rsidRDefault="00DD32B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4,0</w:t>
            </w:r>
          </w:p>
        </w:tc>
        <w:tc>
          <w:tcPr>
            <w:tcW w:w="968" w:type="dxa"/>
            <w:tcBorders>
              <w:top w:val="single" w:sz="4" w:space="0" w:color="auto"/>
              <w:left w:val="single" w:sz="4" w:space="0" w:color="auto"/>
              <w:bottom w:val="single" w:sz="4" w:space="0" w:color="auto"/>
              <w:right w:val="single" w:sz="4" w:space="0" w:color="auto"/>
            </w:tcBorders>
            <w:vAlign w:val="center"/>
          </w:tcPr>
          <w:p w:rsidR="00DD32B8" w:rsidRPr="000C6B60" w:rsidRDefault="00DD32B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1,00</w:t>
            </w:r>
          </w:p>
        </w:tc>
        <w:tc>
          <w:tcPr>
            <w:tcW w:w="969" w:type="dxa"/>
            <w:tcBorders>
              <w:top w:val="single" w:sz="4" w:space="0" w:color="auto"/>
              <w:left w:val="single" w:sz="4" w:space="0" w:color="auto"/>
              <w:bottom w:val="single" w:sz="4" w:space="0" w:color="auto"/>
              <w:right w:val="single" w:sz="4" w:space="0" w:color="auto"/>
            </w:tcBorders>
            <w:vAlign w:val="center"/>
          </w:tcPr>
          <w:p w:rsidR="00DD32B8" w:rsidRPr="000C6B60" w:rsidRDefault="00DD32B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1,00</w:t>
            </w:r>
          </w:p>
        </w:tc>
      </w:tr>
      <w:tr w:rsidR="00DD32B8" w:rsidRPr="000C6B60" w:rsidTr="00DD32B8">
        <w:trPr>
          <w:trHeight w:val="319"/>
          <w:jc w:val="center"/>
        </w:trPr>
        <w:tc>
          <w:tcPr>
            <w:tcW w:w="4536" w:type="dxa"/>
            <w:tcBorders>
              <w:top w:val="single" w:sz="4" w:space="0" w:color="auto"/>
              <w:left w:val="single" w:sz="4" w:space="0" w:color="auto"/>
              <w:bottom w:val="single" w:sz="4" w:space="0" w:color="auto"/>
              <w:right w:val="single" w:sz="4" w:space="0" w:color="auto"/>
            </w:tcBorders>
            <w:vAlign w:val="center"/>
          </w:tcPr>
          <w:p w:rsidR="00DD32B8" w:rsidRPr="000C6B60" w:rsidRDefault="00DD32B8" w:rsidP="00FD4B48">
            <w:pPr>
              <w:keepNext/>
              <w:spacing w:line="276" w:lineRule="auto"/>
              <w:jc w:val="left"/>
              <w:rPr>
                <w:rFonts w:eastAsia="Times New Roman"/>
                <w:sz w:val="24"/>
                <w:szCs w:val="24"/>
                <w:lang w:eastAsia="ru-RU"/>
              </w:rPr>
            </w:pPr>
            <w:r w:rsidRPr="000C6B60">
              <w:rPr>
                <w:rFonts w:eastAsia="Times New Roman"/>
                <w:sz w:val="24"/>
                <w:szCs w:val="24"/>
                <w:lang w:eastAsia="ru-RU"/>
              </w:rPr>
              <w:t>Частота прееклампсій та еклампсій вагітних</w:t>
            </w:r>
          </w:p>
        </w:tc>
        <w:tc>
          <w:tcPr>
            <w:tcW w:w="968" w:type="dxa"/>
            <w:tcBorders>
              <w:top w:val="single" w:sz="4" w:space="0" w:color="auto"/>
              <w:left w:val="single" w:sz="4" w:space="0" w:color="auto"/>
              <w:bottom w:val="single" w:sz="4" w:space="0" w:color="auto"/>
              <w:right w:val="single" w:sz="4" w:space="0" w:color="auto"/>
            </w:tcBorders>
            <w:vAlign w:val="center"/>
          </w:tcPr>
          <w:p w:rsidR="00DD32B8" w:rsidRPr="000C6B60" w:rsidRDefault="00DD32B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1,75</w:t>
            </w:r>
          </w:p>
        </w:tc>
        <w:tc>
          <w:tcPr>
            <w:tcW w:w="969" w:type="dxa"/>
            <w:tcBorders>
              <w:top w:val="single" w:sz="4" w:space="0" w:color="auto"/>
              <w:left w:val="single" w:sz="4" w:space="0" w:color="auto"/>
              <w:bottom w:val="single" w:sz="4" w:space="0" w:color="auto"/>
              <w:right w:val="single" w:sz="4" w:space="0" w:color="auto"/>
            </w:tcBorders>
            <w:vAlign w:val="center"/>
          </w:tcPr>
          <w:p w:rsidR="00DD32B8" w:rsidRPr="000C6B60" w:rsidRDefault="00DD32B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1,56</w:t>
            </w:r>
          </w:p>
        </w:tc>
        <w:tc>
          <w:tcPr>
            <w:tcW w:w="968" w:type="dxa"/>
            <w:tcBorders>
              <w:top w:val="single" w:sz="4" w:space="0" w:color="auto"/>
              <w:left w:val="single" w:sz="4" w:space="0" w:color="auto"/>
              <w:bottom w:val="single" w:sz="4" w:space="0" w:color="auto"/>
              <w:right w:val="single" w:sz="4" w:space="0" w:color="auto"/>
            </w:tcBorders>
            <w:vAlign w:val="center"/>
          </w:tcPr>
          <w:p w:rsidR="00DD32B8" w:rsidRPr="000C6B60" w:rsidRDefault="00DD32B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7,00</w:t>
            </w:r>
          </w:p>
        </w:tc>
        <w:tc>
          <w:tcPr>
            <w:tcW w:w="969" w:type="dxa"/>
            <w:tcBorders>
              <w:top w:val="single" w:sz="4" w:space="0" w:color="auto"/>
              <w:left w:val="single" w:sz="4" w:space="0" w:color="auto"/>
              <w:bottom w:val="single" w:sz="4" w:space="0" w:color="auto"/>
              <w:right w:val="single" w:sz="4" w:space="0" w:color="auto"/>
            </w:tcBorders>
            <w:vAlign w:val="center"/>
          </w:tcPr>
          <w:p w:rsidR="00DD32B8" w:rsidRPr="000C6B60" w:rsidRDefault="00DD32B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7,0</w:t>
            </w:r>
          </w:p>
        </w:tc>
        <w:tc>
          <w:tcPr>
            <w:tcW w:w="968" w:type="dxa"/>
            <w:tcBorders>
              <w:top w:val="single" w:sz="4" w:space="0" w:color="auto"/>
              <w:left w:val="single" w:sz="4" w:space="0" w:color="auto"/>
              <w:bottom w:val="single" w:sz="4" w:space="0" w:color="auto"/>
              <w:right w:val="single" w:sz="4" w:space="0" w:color="auto"/>
            </w:tcBorders>
            <w:vAlign w:val="center"/>
          </w:tcPr>
          <w:p w:rsidR="00DD32B8" w:rsidRPr="000C6B60" w:rsidRDefault="00DD32B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1,00</w:t>
            </w:r>
          </w:p>
        </w:tc>
        <w:tc>
          <w:tcPr>
            <w:tcW w:w="969" w:type="dxa"/>
            <w:tcBorders>
              <w:top w:val="single" w:sz="4" w:space="0" w:color="auto"/>
              <w:left w:val="single" w:sz="4" w:space="0" w:color="auto"/>
              <w:bottom w:val="single" w:sz="4" w:space="0" w:color="auto"/>
              <w:right w:val="single" w:sz="4" w:space="0" w:color="auto"/>
            </w:tcBorders>
            <w:vAlign w:val="center"/>
          </w:tcPr>
          <w:p w:rsidR="00DD32B8" w:rsidRPr="000C6B60" w:rsidRDefault="00DD32B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1,00</w:t>
            </w:r>
          </w:p>
        </w:tc>
      </w:tr>
      <w:tr w:rsidR="00DD32B8" w:rsidRPr="000C6B60" w:rsidTr="00DD32B8">
        <w:trPr>
          <w:trHeight w:val="284"/>
          <w:jc w:val="center"/>
        </w:trPr>
        <w:tc>
          <w:tcPr>
            <w:tcW w:w="4536" w:type="dxa"/>
            <w:tcBorders>
              <w:top w:val="single" w:sz="4" w:space="0" w:color="auto"/>
              <w:left w:val="single" w:sz="4" w:space="0" w:color="auto"/>
              <w:bottom w:val="single" w:sz="4" w:space="0" w:color="auto"/>
              <w:right w:val="single" w:sz="4" w:space="0" w:color="auto"/>
            </w:tcBorders>
            <w:vAlign w:val="center"/>
          </w:tcPr>
          <w:p w:rsidR="00DD32B8" w:rsidRPr="000C6B60" w:rsidRDefault="00DD32B8" w:rsidP="00FD4B48">
            <w:pPr>
              <w:keepNext/>
              <w:spacing w:line="276" w:lineRule="auto"/>
              <w:jc w:val="left"/>
              <w:rPr>
                <w:rFonts w:eastAsia="Times New Roman"/>
                <w:sz w:val="24"/>
                <w:szCs w:val="24"/>
                <w:lang w:eastAsia="ru-RU"/>
              </w:rPr>
            </w:pPr>
            <w:r w:rsidRPr="000C6B60">
              <w:rPr>
                <w:rFonts w:eastAsia="Times New Roman"/>
                <w:sz w:val="24"/>
                <w:szCs w:val="24"/>
                <w:lang w:eastAsia="ru-RU"/>
              </w:rPr>
              <w:t>Співвідношення безпечних методів абортів до небезпечних</w:t>
            </w:r>
          </w:p>
        </w:tc>
        <w:tc>
          <w:tcPr>
            <w:tcW w:w="968" w:type="dxa"/>
            <w:tcBorders>
              <w:top w:val="single" w:sz="4" w:space="0" w:color="auto"/>
              <w:left w:val="single" w:sz="4" w:space="0" w:color="auto"/>
              <w:bottom w:val="single" w:sz="4" w:space="0" w:color="auto"/>
              <w:right w:val="single" w:sz="4" w:space="0" w:color="auto"/>
            </w:tcBorders>
            <w:vAlign w:val="center"/>
          </w:tcPr>
          <w:p w:rsidR="00DD32B8" w:rsidRPr="000C6B60" w:rsidRDefault="00DD32B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4,63</w:t>
            </w:r>
          </w:p>
        </w:tc>
        <w:tc>
          <w:tcPr>
            <w:tcW w:w="969" w:type="dxa"/>
            <w:tcBorders>
              <w:top w:val="single" w:sz="4" w:space="0" w:color="auto"/>
              <w:left w:val="single" w:sz="4" w:space="0" w:color="auto"/>
              <w:bottom w:val="single" w:sz="4" w:space="0" w:color="auto"/>
              <w:right w:val="single" w:sz="4" w:space="0" w:color="auto"/>
            </w:tcBorders>
            <w:vAlign w:val="center"/>
          </w:tcPr>
          <w:p w:rsidR="00DD32B8" w:rsidRPr="000C6B60" w:rsidRDefault="00DD32B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5,55</w:t>
            </w:r>
          </w:p>
        </w:tc>
        <w:tc>
          <w:tcPr>
            <w:tcW w:w="968" w:type="dxa"/>
            <w:tcBorders>
              <w:top w:val="single" w:sz="4" w:space="0" w:color="auto"/>
              <w:left w:val="single" w:sz="4" w:space="0" w:color="auto"/>
              <w:bottom w:val="single" w:sz="4" w:space="0" w:color="auto"/>
              <w:right w:val="single" w:sz="4" w:space="0" w:color="auto"/>
            </w:tcBorders>
            <w:vAlign w:val="center"/>
          </w:tcPr>
          <w:p w:rsidR="00DD32B8" w:rsidRPr="000C6B60" w:rsidRDefault="00DD32B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2,78</w:t>
            </w:r>
          </w:p>
        </w:tc>
        <w:tc>
          <w:tcPr>
            <w:tcW w:w="969" w:type="dxa"/>
            <w:tcBorders>
              <w:top w:val="single" w:sz="4" w:space="0" w:color="auto"/>
              <w:left w:val="single" w:sz="4" w:space="0" w:color="auto"/>
              <w:bottom w:val="single" w:sz="4" w:space="0" w:color="auto"/>
              <w:right w:val="single" w:sz="4" w:space="0" w:color="auto"/>
            </w:tcBorders>
            <w:vAlign w:val="center"/>
          </w:tcPr>
          <w:p w:rsidR="00DD32B8" w:rsidRPr="000C6B60" w:rsidRDefault="00DD32B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4,16</w:t>
            </w:r>
          </w:p>
        </w:tc>
        <w:tc>
          <w:tcPr>
            <w:tcW w:w="968" w:type="dxa"/>
            <w:tcBorders>
              <w:top w:val="single" w:sz="4" w:space="0" w:color="auto"/>
              <w:left w:val="single" w:sz="4" w:space="0" w:color="auto"/>
              <w:bottom w:val="single" w:sz="4" w:space="0" w:color="auto"/>
              <w:right w:val="single" w:sz="4" w:space="0" w:color="auto"/>
            </w:tcBorders>
            <w:vAlign w:val="center"/>
          </w:tcPr>
          <w:p w:rsidR="00DD32B8" w:rsidRPr="000C6B60" w:rsidRDefault="00DD32B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1,46</w:t>
            </w:r>
          </w:p>
        </w:tc>
        <w:tc>
          <w:tcPr>
            <w:tcW w:w="969" w:type="dxa"/>
            <w:tcBorders>
              <w:top w:val="single" w:sz="4" w:space="0" w:color="auto"/>
              <w:left w:val="single" w:sz="4" w:space="0" w:color="auto"/>
              <w:bottom w:val="single" w:sz="4" w:space="0" w:color="auto"/>
              <w:right w:val="single" w:sz="4" w:space="0" w:color="auto"/>
            </w:tcBorders>
            <w:vAlign w:val="center"/>
          </w:tcPr>
          <w:p w:rsidR="00DD32B8" w:rsidRPr="000C6B60" w:rsidRDefault="00DD32B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0,69</w:t>
            </w:r>
          </w:p>
        </w:tc>
      </w:tr>
      <w:tr w:rsidR="00DD32B8" w:rsidRPr="000C6B60" w:rsidTr="00DD32B8">
        <w:trPr>
          <w:trHeight w:val="340"/>
          <w:jc w:val="center"/>
        </w:trPr>
        <w:tc>
          <w:tcPr>
            <w:tcW w:w="4536" w:type="dxa"/>
            <w:tcBorders>
              <w:top w:val="single" w:sz="4" w:space="0" w:color="auto"/>
              <w:left w:val="single" w:sz="4" w:space="0" w:color="auto"/>
              <w:bottom w:val="single" w:sz="4" w:space="0" w:color="auto"/>
              <w:right w:val="single" w:sz="4" w:space="0" w:color="auto"/>
            </w:tcBorders>
            <w:vAlign w:val="bottom"/>
          </w:tcPr>
          <w:p w:rsidR="00DD32B8" w:rsidRPr="000C6B60" w:rsidRDefault="00DD32B8" w:rsidP="00FD4B48">
            <w:pPr>
              <w:keepNext/>
              <w:spacing w:line="276" w:lineRule="auto"/>
              <w:jc w:val="left"/>
              <w:rPr>
                <w:rFonts w:eastAsia="Times New Roman"/>
                <w:sz w:val="24"/>
                <w:szCs w:val="24"/>
                <w:lang w:eastAsia="ru-RU"/>
              </w:rPr>
            </w:pPr>
            <w:r w:rsidRPr="000C6B60">
              <w:rPr>
                <w:rFonts w:eastAsia="Times New Roman"/>
                <w:sz w:val="24"/>
                <w:szCs w:val="24"/>
                <w:lang w:eastAsia="ru-RU"/>
              </w:rPr>
              <w:t>Питома вага хворих виявлення в ранніх стадіях (І – ІІ) серед хворих з вперше встановленим діагнозом онкологія молочної залози</w:t>
            </w:r>
          </w:p>
        </w:tc>
        <w:tc>
          <w:tcPr>
            <w:tcW w:w="968" w:type="dxa"/>
            <w:tcBorders>
              <w:top w:val="single" w:sz="4" w:space="0" w:color="auto"/>
              <w:left w:val="single" w:sz="4" w:space="0" w:color="auto"/>
              <w:bottom w:val="single" w:sz="4" w:space="0" w:color="auto"/>
              <w:right w:val="single" w:sz="4" w:space="0" w:color="auto"/>
            </w:tcBorders>
            <w:vAlign w:val="center"/>
          </w:tcPr>
          <w:p w:rsidR="00DD32B8" w:rsidRPr="000C6B60" w:rsidRDefault="00DD32B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DD32B8" w:rsidRPr="000C6B60" w:rsidRDefault="00DD32B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73,00</w:t>
            </w:r>
          </w:p>
        </w:tc>
        <w:tc>
          <w:tcPr>
            <w:tcW w:w="968" w:type="dxa"/>
            <w:tcBorders>
              <w:top w:val="single" w:sz="4" w:space="0" w:color="auto"/>
              <w:left w:val="single" w:sz="4" w:space="0" w:color="auto"/>
              <w:bottom w:val="single" w:sz="4" w:space="0" w:color="auto"/>
              <w:right w:val="single" w:sz="4" w:space="0" w:color="auto"/>
            </w:tcBorders>
            <w:vAlign w:val="center"/>
          </w:tcPr>
          <w:p w:rsidR="00DD32B8" w:rsidRPr="000C6B60" w:rsidRDefault="00DD32B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DD32B8" w:rsidRPr="000C6B60" w:rsidRDefault="00DD32B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5,51</w:t>
            </w:r>
          </w:p>
        </w:tc>
        <w:tc>
          <w:tcPr>
            <w:tcW w:w="968" w:type="dxa"/>
            <w:tcBorders>
              <w:top w:val="single" w:sz="4" w:space="0" w:color="auto"/>
              <w:left w:val="single" w:sz="4" w:space="0" w:color="auto"/>
              <w:bottom w:val="single" w:sz="4" w:space="0" w:color="auto"/>
              <w:right w:val="single" w:sz="4" w:space="0" w:color="auto"/>
            </w:tcBorders>
            <w:vAlign w:val="center"/>
          </w:tcPr>
          <w:p w:rsidR="00DD32B8" w:rsidRPr="000C6B60" w:rsidRDefault="00DD32B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DD32B8" w:rsidRPr="000C6B60" w:rsidRDefault="00DD32B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0,92</w:t>
            </w:r>
          </w:p>
        </w:tc>
      </w:tr>
      <w:tr w:rsidR="00DD32B8" w:rsidRPr="000C6B60" w:rsidTr="00DD32B8">
        <w:trPr>
          <w:trHeight w:val="418"/>
          <w:jc w:val="center"/>
        </w:trPr>
        <w:tc>
          <w:tcPr>
            <w:tcW w:w="4536" w:type="dxa"/>
            <w:tcBorders>
              <w:top w:val="single" w:sz="4" w:space="0" w:color="auto"/>
              <w:left w:val="single" w:sz="4" w:space="0" w:color="auto"/>
              <w:bottom w:val="single" w:sz="4" w:space="0" w:color="auto"/>
              <w:right w:val="single" w:sz="4" w:space="0" w:color="auto"/>
            </w:tcBorders>
            <w:vAlign w:val="bottom"/>
          </w:tcPr>
          <w:p w:rsidR="00DD32B8" w:rsidRPr="000C6B60" w:rsidRDefault="00DD32B8" w:rsidP="00FD4B48">
            <w:pPr>
              <w:keepNext/>
              <w:spacing w:line="276" w:lineRule="auto"/>
              <w:jc w:val="left"/>
              <w:rPr>
                <w:rFonts w:eastAsia="Times New Roman"/>
                <w:sz w:val="24"/>
                <w:szCs w:val="24"/>
                <w:lang w:eastAsia="ru-RU"/>
              </w:rPr>
            </w:pPr>
            <w:r w:rsidRPr="000C6B60">
              <w:rPr>
                <w:rFonts w:eastAsia="Times New Roman"/>
                <w:sz w:val="24"/>
                <w:szCs w:val="24"/>
                <w:lang w:eastAsia="ru-RU"/>
              </w:rPr>
              <w:t>Питома вага хворих виявлення в ранніх стадіях (І – ІІ) серед хворих з вперше встановленим діагнозом онкологія шийки матки</w:t>
            </w:r>
          </w:p>
        </w:tc>
        <w:tc>
          <w:tcPr>
            <w:tcW w:w="968" w:type="dxa"/>
            <w:tcBorders>
              <w:top w:val="single" w:sz="4" w:space="0" w:color="auto"/>
              <w:left w:val="single" w:sz="4" w:space="0" w:color="auto"/>
              <w:bottom w:val="single" w:sz="4" w:space="0" w:color="auto"/>
              <w:right w:val="single" w:sz="4" w:space="0" w:color="auto"/>
            </w:tcBorders>
            <w:vAlign w:val="center"/>
          </w:tcPr>
          <w:p w:rsidR="00DD32B8" w:rsidRPr="000C6B60" w:rsidRDefault="00DD32B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DD32B8" w:rsidRPr="000C6B60" w:rsidRDefault="00DD32B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63,90</w:t>
            </w:r>
          </w:p>
        </w:tc>
        <w:tc>
          <w:tcPr>
            <w:tcW w:w="968" w:type="dxa"/>
            <w:tcBorders>
              <w:top w:val="single" w:sz="4" w:space="0" w:color="auto"/>
              <w:left w:val="single" w:sz="4" w:space="0" w:color="auto"/>
              <w:bottom w:val="single" w:sz="4" w:space="0" w:color="auto"/>
              <w:right w:val="single" w:sz="4" w:space="0" w:color="auto"/>
            </w:tcBorders>
            <w:vAlign w:val="center"/>
          </w:tcPr>
          <w:p w:rsidR="00DD32B8" w:rsidRPr="000C6B60" w:rsidRDefault="00DD32B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DD32B8" w:rsidRPr="000C6B60" w:rsidRDefault="00DD32B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4,87</w:t>
            </w:r>
          </w:p>
        </w:tc>
        <w:tc>
          <w:tcPr>
            <w:tcW w:w="968" w:type="dxa"/>
            <w:tcBorders>
              <w:top w:val="single" w:sz="4" w:space="0" w:color="auto"/>
              <w:left w:val="single" w:sz="4" w:space="0" w:color="auto"/>
              <w:bottom w:val="single" w:sz="4" w:space="0" w:color="auto"/>
              <w:right w:val="single" w:sz="4" w:space="0" w:color="auto"/>
            </w:tcBorders>
            <w:vAlign w:val="center"/>
          </w:tcPr>
          <w:p w:rsidR="00DD32B8" w:rsidRPr="000C6B60" w:rsidRDefault="00DD32B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DD32B8" w:rsidRPr="000C6B60" w:rsidRDefault="00DD32B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0,81</w:t>
            </w:r>
          </w:p>
        </w:tc>
      </w:tr>
      <w:tr w:rsidR="00DD32B8" w:rsidRPr="000C6B60" w:rsidTr="00DD32B8">
        <w:trPr>
          <w:trHeight w:val="600"/>
          <w:jc w:val="center"/>
        </w:trPr>
        <w:tc>
          <w:tcPr>
            <w:tcW w:w="4536" w:type="dxa"/>
            <w:tcBorders>
              <w:top w:val="single" w:sz="4" w:space="0" w:color="auto"/>
              <w:left w:val="single" w:sz="4" w:space="0" w:color="auto"/>
              <w:bottom w:val="single" w:sz="4" w:space="0" w:color="auto"/>
              <w:right w:val="single" w:sz="4" w:space="0" w:color="auto"/>
            </w:tcBorders>
          </w:tcPr>
          <w:p w:rsidR="00DD32B8" w:rsidRPr="000C6B60" w:rsidRDefault="00DD32B8" w:rsidP="00FD4B48">
            <w:pPr>
              <w:keepNext/>
              <w:spacing w:line="276" w:lineRule="auto"/>
              <w:rPr>
                <w:rFonts w:eastAsia="Times New Roman"/>
                <w:color w:val="000000"/>
                <w:sz w:val="24"/>
                <w:szCs w:val="24"/>
                <w:lang w:eastAsia="uk-UA"/>
              </w:rPr>
            </w:pPr>
            <w:r w:rsidRPr="000C6B60">
              <w:rPr>
                <w:rFonts w:eastAsia="Times New Roman"/>
                <w:color w:val="000000"/>
                <w:sz w:val="24"/>
                <w:szCs w:val="24"/>
                <w:lang w:eastAsia="uk-UA"/>
              </w:rPr>
              <w:t>Індекс концентрації розродження вагітних з цукровим діабетом у ЗПД ІІІ рівня</w:t>
            </w:r>
          </w:p>
        </w:tc>
        <w:tc>
          <w:tcPr>
            <w:tcW w:w="968" w:type="dxa"/>
            <w:tcBorders>
              <w:top w:val="single" w:sz="4" w:space="0" w:color="auto"/>
              <w:left w:val="single" w:sz="4" w:space="0" w:color="auto"/>
              <w:bottom w:val="single" w:sz="4" w:space="0" w:color="auto"/>
              <w:right w:val="single" w:sz="4" w:space="0" w:color="auto"/>
            </w:tcBorders>
            <w:vAlign w:val="center"/>
          </w:tcPr>
          <w:p w:rsidR="00DD32B8" w:rsidRPr="000C6B60" w:rsidRDefault="00DD32B8" w:rsidP="00FD4B48">
            <w:pPr>
              <w:keepNext/>
              <w:spacing w:line="276" w:lineRule="auto"/>
              <w:jc w:val="center"/>
              <w:rPr>
                <w:rFonts w:eastAsia="Times New Roman"/>
                <w:color w:val="000000"/>
                <w:sz w:val="24"/>
                <w:szCs w:val="24"/>
                <w:lang w:eastAsia="ru-RU"/>
              </w:rPr>
            </w:pPr>
            <w:r w:rsidRPr="000C6B60">
              <w:rPr>
                <w:rFonts w:eastAsia="Times New Roman"/>
                <w:color w:val="000000"/>
                <w:sz w:val="24"/>
                <w:szCs w:val="24"/>
                <w:lang w:eastAsia="ru-RU"/>
              </w:rPr>
              <w:t>85,11</w:t>
            </w:r>
          </w:p>
        </w:tc>
        <w:tc>
          <w:tcPr>
            <w:tcW w:w="969" w:type="dxa"/>
            <w:tcBorders>
              <w:top w:val="single" w:sz="4" w:space="0" w:color="auto"/>
              <w:left w:val="single" w:sz="4" w:space="0" w:color="auto"/>
              <w:bottom w:val="single" w:sz="4" w:space="0" w:color="auto"/>
              <w:right w:val="single" w:sz="4" w:space="0" w:color="auto"/>
            </w:tcBorders>
            <w:vAlign w:val="center"/>
          </w:tcPr>
          <w:p w:rsidR="00DD32B8" w:rsidRPr="000C6B60" w:rsidRDefault="00DD32B8" w:rsidP="00FD4B48">
            <w:pPr>
              <w:keepNext/>
              <w:spacing w:line="276" w:lineRule="auto"/>
              <w:jc w:val="center"/>
              <w:rPr>
                <w:rFonts w:eastAsia="Times New Roman"/>
                <w:color w:val="000000"/>
                <w:sz w:val="24"/>
                <w:szCs w:val="24"/>
                <w:lang w:eastAsia="ru-RU"/>
              </w:rPr>
            </w:pPr>
            <w:r w:rsidRPr="000C6B60">
              <w:rPr>
                <w:rFonts w:eastAsia="Times New Roman"/>
                <w:color w:val="000000"/>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DD32B8" w:rsidRPr="000C6B60" w:rsidRDefault="00DD32B8" w:rsidP="00FD4B48">
            <w:pPr>
              <w:keepNext/>
              <w:spacing w:line="276" w:lineRule="auto"/>
              <w:jc w:val="center"/>
              <w:rPr>
                <w:rFonts w:eastAsia="Times New Roman"/>
                <w:color w:val="000000"/>
                <w:sz w:val="24"/>
                <w:szCs w:val="24"/>
                <w:lang w:eastAsia="ru-RU"/>
              </w:rPr>
            </w:pPr>
            <w:r w:rsidRPr="000C6B60">
              <w:rPr>
                <w:rFonts w:eastAsia="Times New Roman"/>
                <w:color w:val="000000"/>
                <w:sz w:val="24"/>
                <w:szCs w:val="24"/>
                <w:lang w:eastAsia="ru-RU"/>
              </w:rPr>
              <w:t>7,00</w:t>
            </w:r>
          </w:p>
        </w:tc>
        <w:tc>
          <w:tcPr>
            <w:tcW w:w="969" w:type="dxa"/>
            <w:tcBorders>
              <w:top w:val="single" w:sz="4" w:space="0" w:color="auto"/>
              <w:left w:val="single" w:sz="4" w:space="0" w:color="auto"/>
              <w:bottom w:val="single" w:sz="4" w:space="0" w:color="auto"/>
              <w:right w:val="single" w:sz="4" w:space="0" w:color="auto"/>
            </w:tcBorders>
            <w:vAlign w:val="center"/>
          </w:tcPr>
          <w:p w:rsidR="00DD32B8" w:rsidRPr="000C6B60" w:rsidRDefault="00DD32B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DD32B8" w:rsidRPr="000C6B60" w:rsidRDefault="00DD32B8" w:rsidP="00FD4B48">
            <w:pPr>
              <w:keepNext/>
              <w:spacing w:line="276" w:lineRule="auto"/>
              <w:jc w:val="center"/>
              <w:rPr>
                <w:rFonts w:eastAsia="Times New Roman"/>
                <w:color w:val="000000"/>
                <w:sz w:val="24"/>
                <w:szCs w:val="24"/>
                <w:lang w:eastAsia="ru-RU"/>
              </w:rPr>
            </w:pPr>
            <w:r w:rsidRPr="000C6B60">
              <w:rPr>
                <w:rFonts w:eastAsia="Times New Roman"/>
                <w:color w:val="000000"/>
                <w:sz w:val="24"/>
                <w:szCs w:val="24"/>
                <w:lang w:eastAsia="ru-RU"/>
              </w:rPr>
              <w:t>1,00</w:t>
            </w:r>
          </w:p>
        </w:tc>
        <w:tc>
          <w:tcPr>
            <w:tcW w:w="969" w:type="dxa"/>
            <w:tcBorders>
              <w:top w:val="single" w:sz="4" w:space="0" w:color="auto"/>
              <w:left w:val="single" w:sz="4" w:space="0" w:color="auto"/>
              <w:bottom w:val="single" w:sz="4" w:space="0" w:color="auto"/>
              <w:right w:val="single" w:sz="4" w:space="0" w:color="auto"/>
            </w:tcBorders>
            <w:vAlign w:val="center"/>
          </w:tcPr>
          <w:p w:rsidR="00DD32B8" w:rsidRPr="000C6B60" w:rsidRDefault="00DD32B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w:t>
            </w:r>
          </w:p>
        </w:tc>
      </w:tr>
      <w:tr w:rsidR="00DD32B8" w:rsidRPr="000C6B60" w:rsidTr="00DD32B8">
        <w:trPr>
          <w:trHeight w:val="600"/>
          <w:jc w:val="center"/>
        </w:trPr>
        <w:tc>
          <w:tcPr>
            <w:tcW w:w="4536" w:type="dxa"/>
            <w:tcBorders>
              <w:top w:val="single" w:sz="4" w:space="0" w:color="auto"/>
              <w:left w:val="single" w:sz="4" w:space="0" w:color="auto"/>
              <w:bottom w:val="single" w:sz="4" w:space="0" w:color="auto"/>
              <w:right w:val="single" w:sz="4" w:space="0" w:color="auto"/>
            </w:tcBorders>
          </w:tcPr>
          <w:p w:rsidR="00DD32B8" w:rsidRPr="000C6B60" w:rsidRDefault="00DD32B8" w:rsidP="00FD4B48">
            <w:pPr>
              <w:keepNext/>
              <w:spacing w:line="276" w:lineRule="auto"/>
              <w:rPr>
                <w:rFonts w:eastAsia="Times New Roman"/>
                <w:color w:val="000000"/>
                <w:sz w:val="24"/>
                <w:szCs w:val="24"/>
                <w:lang w:eastAsia="uk-UA"/>
              </w:rPr>
            </w:pPr>
            <w:r w:rsidRPr="000C6B60">
              <w:rPr>
                <w:rFonts w:eastAsia="Times New Roman"/>
                <w:color w:val="000000"/>
                <w:sz w:val="24"/>
                <w:szCs w:val="24"/>
                <w:lang w:eastAsia="uk-UA"/>
              </w:rPr>
              <w:t>Індекс концентрації розродження вагітних з  пре- еклампсією і еклампсією  у ЗПД ІІ-ІІІ рівнів</w:t>
            </w:r>
          </w:p>
        </w:tc>
        <w:tc>
          <w:tcPr>
            <w:tcW w:w="968" w:type="dxa"/>
            <w:tcBorders>
              <w:top w:val="single" w:sz="4" w:space="0" w:color="auto"/>
              <w:left w:val="single" w:sz="4" w:space="0" w:color="auto"/>
              <w:bottom w:val="single" w:sz="4" w:space="0" w:color="auto"/>
              <w:right w:val="single" w:sz="4" w:space="0" w:color="auto"/>
            </w:tcBorders>
            <w:vAlign w:val="center"/>
          </w:tcPr>
          <w:p w:rsidR="00DD32B8" w:rsidRPr="000C6B60" w:rsidRDefault="00DD32B8" w:rsidP="00FD4B48">
            <w:pPr>
              <w:keepNext/>
              <w:spacing w:line="276" w:lineRule="auto"/>
              <w:jc w:val="center"/>
              <w:rPr>
                <w:rFonts w:eastAsia="Times New Roman"/>
                <w:color w:val="000000"/>
                <w:sz w:val="24"/>
                <w:szCs w:val="24"/>
                <w:lang w:eastAsia="ru-RU"/>
              </w:rPr>
            </w:pPr>
            <w:r w:rsidRPr="000C6B60">
              <w:rPr>
                <w:rFonts w:eastAsia="Times New Roman"/>
                <w:color w:val="000000"/>
                <w:sz w:val="24"/>
                <w:szCs w:val="24"/>
                <w:lang w:eastAsia="ru-RU"/>
              </w:rPr>
              <w:t>89,29</w:t>
            </w:r>
          </w:p>
        </w:tc>
        <w:tc>
          <w:tcPr>
            <w:tcW w:w="969" w:type="dxa"/>
            <w:tcBorders>
              <w:top w:val="single" w:sz="4" w:space="0" w:color="auto"/>
              <w:left w:val="single" w:sz="4" w:space="0" w:color="auto"/>
              <w:bottom w:val="single" w:sz="4" w:space="0" w:color="auto"/>
              <w:right w:val="single" w:sz="4" w:space="0" w:color="auto"/>
            </w:tcBorders>
            <w:vAlign w:val="center"/>
          </w:tcPr>
          <w:p w:rsidR="00DD32B8" w:rsidRPr="000C6B60" w:rsidRDefault="00DD32B8" w:rsidP="00FD4B48">
            <w:pPr>
              <w:keepNext/>
              <w:spacing w:line="276" w:lineRule="auto"/>
              <w:jc w:val="center"/>
              <w:rPr>
                <w:rFonts w:eastAsia="Times New Roman"/>
                <w:color w:val="000000"/>
                <w:sz w:val="24"/>
                <w:szCs w:val="24"/>
                <w:lang w:eastAsia="ru-RU"/>
              </w:rPr>
            </w:pPr>
            <w:r w:rsidRPr="000C6B60">
              <w:rPr>
                <w:rFonts w:eastAsia="Times New Roman"/>
                <w:color w:val="000000"/>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DD32B8" w:rsidRPr="000C6B60" w:rsidRDefault="00DD32B8" w:rsidP="00FD4B48">
            <w:pPr>
              <w:keepNext/>
              <w:spacing w:line="276" w:lineRule="auto"/>
              <w:jc w:val="center"/>
              <w:rPr>
                <w:rFonts w:eastAsia="Times New Roman"/>
                <w:color w:val="000000"/>
                <w:sz w:val="24"/>
                <w:szCs w:val="24"/>
                <w:lang w:eastAsia="ru-RU"/>
              </w:rPr>
            </w:pPr>
            <w:r w:rsidRPr="000C6B60">
              <w:rPr>
                <w:rFonts w:eastAsia="Times New Roman"/>
                <w:color w:val="000000"/>
                <w:sz w:val="24"/>
                <w:szCs w:val="24"/>
                <w:lang w:eastAsia="ru-RU"/>
              </w:rPr>
              <w:t>6,94</w:t>
            </w:r>
          </w:p>
        </w:tc>
        <w:tc>
          <w:tcPr>
            <w:tcW w:w="969" w:type="dxa"/>
            <w:tcBorders>
              <w:top w:val="single" w:sz="4" w:space="0" w:color="auto"/>
              <w:left w:val="single" w:sz="4" w:space="0" w:color="auto"/>
              <w:bottom w:val="single" w:sz="4" w:space="0" w:color="auto"/>
              <w:right w:val="single" w:sz="4" w:space="0" w:color="auto"/>
            </w:tcBorders>
            <w:vAlign w:val="center"/>
          </w:tcPr>
          <w:p w:rsidR="00DD32B8" w:rsidRPr="000C6B60" w:rsidRDefault="00DD32B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DD32B8" w:rsidRPr="000C6B60" w:rsidRDefault="00DD32B8" w:rsidP="00FD4B48">
            <w:pPr>
              <w:keepNext/>
              <w:spacing w:line="276" w:lineRule="auto"/>
              <w:jc w:val="center"/>
              <w:rPr>
                <w:rFonts w:eastAsia="Times New Roman"/>
                <w:color w:val="000000"/>
                <w:sz w:val="24"/>
                <w:szCs w:val="24"/>
                <w:lang w:eastAsia="ru-RU"/>
              </w:rPr>
            </w:pPr>
            <w:r w:rsidRPr="000C6B60">
              <w:rPr>
                <w:rFonts w:eastAsia="Times New Roman"/>
                <w:color w:val="000000"/>
                <w:sz w:val="24"/>
                <w:szCs w:val="24"/>
                <w:lang w:eastAsia="ru-RU"/>
              </w:rPr>
              <w:t>0,99</w:t>
            </w:r>
          </w:p>
        </w:tc>
        <w:tc>
          <w:tcPr>
            <w:tcW w:w="969" w:type="dxa"/>
            <w:tcBorders>
              <w:top w:val="single" w:sz="4" w:space="0" w:color="auto"/>
              <w:left w:val="single" w:sz="4" w:space="0" w:color="auto"/>
              <w:bottom w:val="single" w:sz="4" w:space="0" w:color="auto"/>
              <w:right w:val="single" w:sz="4" w:space="0" w:color="auto"/>
            </w:tcBorders>
            <w:vAlign w:val="center"/>
          </w:tcPr>
          <w:p w:rsidR="00DD32B8" w:rsidRPr="000C6B60" w:rsidRDefault="00DD32B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w:t>
            </w:r>
          </w:p>
        </w:tc>
      </w:tr>
      <w:tr w:rsidR="00DD32B8" w:rsidRPr="000C6B60" w:rsidTr="00DD32B8">
        <w:trPr>
          <w:trHeight w:val="600"/>
          <w:jc w:val="center"/>
        </w:trPr>
        <w:tc>
          <w:tcPr>
            <w:tcW w:w="4536" w:type="dxa"/>
            <w:tcBorders>
              <w:top w:val="single" w:sz="4" w:space="0" w:color="auto"/>
              <w:left w:val="single" w:sz="4" w:space="0" w:color="auto"/>
              <w:bottom w:val="single" w:sz="4" w:space="0" w:color="auto"/>
              <w:right w:val="single" w:sz="4" w:space="0" w:color="auto"/>
            </w:tcBorders>
          </w:tcPr>
          <w:p w:rsidR="00DD32B8" w:rsidRPr="000C6B60" w:rsidRDefault="00DD32B8" w:rsidP="00FD4B48">
            <w:pPr>
              <w:keepNext/>
              <w:spacing w:line="276" w:lineRule="auto"/>
              <w:rPr>
                <w:rFonts w:eastAsia="Times New Roman"/>
                <w:color w:val="000000"/>
                <w:sz w:val="24"/>
                <w:szCs w:val="24"/>
                <w:lang w:eastAsia="uk-UA"/>
              </w:rPr>
            </w:pPr>
            <w:r w:rsidRPr="000C6B60">
              <w:rPr>
                <w:rFonts w:eastAsia="Times New Roman"/>
                <w:color w:val="000000"/>
                <w:sz w:val="24"/>
                <w:szCs w:val="24"/>
                <w:lang w:eastAsia="uk-UA"/>
              </w:rPr>
              <w:t>Індекс концентрації новонароджених масою тіла при народженні 500-1499г у ЗПД ІІІ рівня</w:t>
            </w:r>
          </w:p>
        </w:tc>
        <w:tc>
          <w:tcPr>
            <w:tcW w:w="968" w:type="dxa"/>
            <w:tcBorders>
              <w:top w:val="single" w:sz="4" w:space="0" w:color="auto"/>
              <w:left w:val="single" w:sz="4" w:space="0" w:color="auto"/>
              <w:bottom w:val="single" w:sz="4" w:space="0" w:color="auto"/>
              <w:right w:val="single" w:sz="4" w:space="0" w:color="auto"/>
            </w:tcBorders>
            <w:vAlign w:val="center"/>
          </w:tcPr>
          <w:p w:rsidR="00DD32B8" w:rsidRPr="000C6B60" w:rsidRDefault="00DD32B8" w:rsidP="00FD4B48">
            <w:pPr>
              <w:keepNext/>
              <w:spacing w:line="276" w:lineRule="auto"/>
              <w:jc w:val="center"/>
              <w:rPr>
                <w:rFonts w:eastAsia="Times New Roman"/>
                <w:color w:val="000000"/>
                <w:sz w:val="24"/>
                <w:szCs w:val="24"/>
                <w:lang w:eastAsia="ru-RU"/>
              </w:rPr>
            </w:pPr>
            <w:r w:rsidRPr="000C6B60">
              <w:rPr>
                <w:rFonts w:eastAsia="Times New Roman"/>
                <w:color w:val="000000"/>
                <w:sz w:val="24"/>
                <w:szCs w:val="24"/>
                <w:lang w:eastAsia="ru-RU"/>
              </w:rPr>
              <w:t>79,26</w:t>
            </w:r>
          </w:p>
        </w:tc>
        <w:tc>
          <w:tcPr>
            <w:tcW w:w="969" w:type="dxa"/>
            <w:tcBorders>
              <w:top w:val="single" w:sz="4" w:space="0" w:color="auto"/>
              <w:left w:val="single" w:sz="4" w:space="0" w:color="auto"/>
              <w:bottom w:val="single" w:sz="4" w:space="0" w:color="auto"/>
              <w:right w:val="single" w:sz="4" w:space="0" w:color="auto"/>
            </w:tcBorders>
            <w:vAlign w:val="center"/>
          </w:tcPr>
          <w:p w:rsidR="00DD32B8" w:rsidRPr="000C6B60" w:rsidRDefault="00DD32B8" w:rsidP="00FD4B48">
            <w:pPr>
              <w:keepNext/>
              <w:spacing w:line="276" w:lineRule="auto"/>
              <w:jc w:val="center"/>
              <w:rPr>
                <w:rFonts w:eastAsia="Times New Roman"/>
                <w:color w:val="000000"/>
                <w:sz w:val="24"/>
                <w:szCs w:val="24"/>
                <w:lang w:eastAsia="ru-RU"/>
              </w:rPr>
            </w:pPr>
            <w:r w:rsidRPr="000C6B60">
              <w:rPr>
                <w:rFonts w:eastAsia="Times New Roman"/>
                <w:color w:val="000000"/>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DD32B8" w:rsidRPr="000C6B60" w:rsidRDefault="00DD32B8" w:rsidP="00FD4B48">
            <w:pPr>
              <w:keepNext/>
              <w:spacing w:line="276" w:lineRule="auto"/>
              <w:jc w:val="center"/>
              <w:rPr>
                <w:rFonts w:eastAsia="Times New Roman"/>
                <w:color w:val="000000"/>
                <w:sz w:val="24"/>
                <w:szCs w:val="24"/>
                <w:lang w:eastAsia="ru-RU"/>
              </w:rPr>
            </w:pPr>
            <w:r w:rsidRPr="000C6B60">
              <w:rPr>
                <w:rFonts w:eastAsia="Times New Roman"/>
                <w:color w:val="000000"/>
                <w:sz w:val="24"/>
                <w:szCs w:val="24"/>
                <w:lang w:eastAsia="ru-RU"/>
              </w:rPr>
              <w:t>5,94</w:t>
            </w:r>
          </w:p>
        </w:tc>
        <w:tc>
          <w:tcPr>
            <w:tcW w:w="969" w:type="dxa"/>
            <w:tcBorders>
              <w:top w:val="single" w:sz="4" w:space="0" w:color="auto"/>
              <w:left w:val="single" w:sz="4" w:space="0" w:color="auto"/>
              <w:bottom w:val="single" w:sz="4" w:space="0" w:color="auto"/>
              <w:right w:val="single" w:sz="4" w:space="0" w:color="auto"/>
            </w:tcBorders>
            <w:vAlign w:val="center"/>
          </w:tcPr>
          <w:p w:rsidR="00DD32B8" w:rsidRPr="000C6B60" w:rsidRDefault="00DD32B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DD32B8" w:rsidRPr="000C6B60" w:rsidRDefault="00DD32B8" w:rsidP="00FD4B48">
            <w:pPr>
              <w:keepNext/>
              <w:spacing w:line="276" w:lineRule="auto"/>
              <w:jc w:val="center"/>
              <w:rPr>
                <w:rFonts w:eastAsia="Times New Roman"/>
                <w:color w:val="000000"/>
                <w:sz w:val="24"/>
                <w:szCs w:val="24"/>
                <w:lang w:eastAsia="ru-RU"/>
              </w:rPr>
            </w:pPr>
            <w:r w:rsidRPr="000C6B60">
              <w:rPr>
                <w:rFonts w:eastAsia="Times New Roman"/>
                <w:color w:val="000000"/>
                <w:sz w:val="24"/>
                <w:szCs w:val="24"/>
                <w:lang w:eastAsia="ru-RU"/>
              </w:rPr>
              <w:t>0,99</w:t>
            </w:r>
          </w:p>
        </w:tc>
        <w:tc>
          <w:tcPr>
            <w:tcW w:w="969" w:type="dxa"/>
            <w:tcBorders>
              <w:top w:val="single" w:sz="4" w:space="0" w:color="auto"/>
              <w:left w:val="single" w:sz="4" w:space="0" w:color="auto"/>
              <w:bottom w:val="single" w:sz="4" w:space="0" w:color="auto"/>
              <w:right w:val="single" w:sz="4" w:space="0" w:color="auto"/>
            </w:tcBorders>
            <w:vAlign w:val="center"/>
          </w:tcPr>
          <w:p w:rsidR="00DD32B8" w:rsidRPr="000C6B60" w:rsidRDefault="00DD32B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w:t>
            </w:r>
          </w:p>
        </w:tc>
      </w:tr>
      <w:tr w:rsidR="00DD32B8" w:rsidRPr="000C6B60" w:rsidTr="00DD32B8">
        <w:trPr>
          <w:trHeight w:val="326"/>
          <w:jc w:val="center"/>
        </w:trPr>
        <w:tc>
          <w:tcPr>
            <w:tcW w:w="4536" w:type="dxa"/>
            <w:tcBorders>
              <w:top w:val="single" w:sz="4" w:space="0" w:color="auto"/>
              <w:left w:val="single" w:sz="4" w:space="0" w:color="auto"/>
              <w:bottom w:val="single" w:sz="4" w:space="0" w:color="auto"/>
              <w:right w:val="single" w:sz="4" w:space="0" w:color="auto"/>
            </w:tcBorders>
            <w:vAlign w:val="bottom"/>
          </w:tcPr>
          <w:p w:rsidR="00DD32B8" w:rsidRPr="000C6B60" w:rsidRDefault="00DD32B8" w:rsidP="00FD4B48">
            <w:pPr>
              <w:keepNext/>
              <w:spacing w:line="276" w:lineRule="auto"/>
              <w:jc w:val="left"/>
              <w:rPr>
                <w:rFonts w:eastAsia="Times New Roman"/>
                <w:sz w:val="24"/>
                <w:szCs w:val="24"/>
                <w:lang w:eastAsia="ru-RU"/>
              </w:rPr>
            </w:pPr>
            <w:r w:rsidRPr="000C6B60">
              <w:rPr>
                <w:rFonts w:eastAsia="Times New Roman"/>
                <w:sz w:val="24"/>
                <w:szCs w:val="24"/>
                <w:lang w:eastAsia="ru-RU"/>
              </w:rPr>
              <w:t>Індекс неонатального трансферу</w:t>
            </w:r>
          </w:p>
        </w:tc>
        <w:tc>
          <w:tcPr>
            <w:tcW w:w="968" w:type="dxa"/>
            <w:tcBorders>
              <w:top w:val="single" w:sz="4" w:space="0" w:color="auto"/>
              <w:left w:val="single" w:sz="4" w:space="0" w:color="auto"/>
              <w:bottom w:val="single" w:sz="4" w:space="0" w:color="auto"/>
              <w:right w:val="single" w:sz="4" w:space="0" w:color="auto"/>
            </w:tcBorders>
            <w:vAlign w:val="center"/>
          </w:tcPr>
          <w:p w:rsidR="00DD32B8" w:rsidRPr="000C6B60" w:rsidRDefault="00DD32B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11,23</w:t>
            </w:r>
          </w:p>
        </w:tc>
        <w:tc>
          <w:tcPr>
            <w:tcW w:w="969" w:type="dxa"/>
            <w:tcBorders>
              <w:top w:val="single" w:sz="4" w:space="0" w:color="auto"/>
              <w:left w:val="single" w:sz="4" w:space="0" w:color="auto"/>
              <w:bottom w:val="single" w:sz="4" w:space="0" w:color="auto"/>
              <w:right w:val="single" w:sz="4" w:space="0" w:color="auto"/>
            </w:tcBorders>
            <w:vAlign w:val="center"/>
          </w:tcPr>
          <w:p w:rsidR="00DD32B8" w:rsidRPr="000C6B60" w:rsidRDefault="00DD32B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10,84</w:t>
            </w:r>
          </w:p>
        </w:tc>
        <w:tc>
          <w:tcPr>
            <w:tcW w:w="968" w:type="dxa"/>
            <w:tcBorders>
              <w:top w:val="single" w:sz="4" w:space="0" w:color="auto"/>
              <w:left w:val="single" w:sz="4" w:space="0" w:color="auto"/>
              <w:bottom w:val="single" w:sz="4" w:space="0" w:color="auto"/>
              <w:right w:val="single" w:sz="4" w:space="0" w:color="auto"/>
            </w:tcBorders>
            <w:vAlign w:val="center"/>
          </w:tcPr>
          <w:p w:rsidR="00DD32B8" w:rsidRPr="000C6B60" w:rsidRDefault="00DD32B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0,0</w:t>
            </w:r>
          </w:p>
        </w:tc>
        <w:tc>
          <w:tcPr>
            <w:tcW w:w="969" w:type="dxa"/>
            <w:tcBorders>
              <w:top w:val="single" w:sz="4" w:space="0" w:color="auto"/>
              <w:left w:val="single" w:sz="4" w:space="0" w:color="auto"/>
              <w:bottom w:val="single" w:sz="4" w:space="0" w:color="auto"/>
              <w:right w:val="single" w:sz="4" w:space="0" w:color="auto"/>
            </w:tcBorders>
            <w:vAlign w:val="center"/>
          </w:tcPr>
          <w:p w:rsidR="00DD32B8" w:rsidRPr="000C6B60" w:rsidRDefault="00DD32B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0,0</w:t>
            </w:r>
          </w:p>
        </w:tc>
        <w:tc>
          <w:tcPr>
            <w:tcW w:w="968" w:type="dxa"/>
            <w:tcBorders>
              <w:top w:val="single" w:sz="4" w:space="0" w:color="auto"/>
              <w:left w:val="single" w:sz="4" w:space="0" w:color="auto"/>
              <w:bottom w:val="single" w:sz="4" w:space="0" w:color="auto"/>
              <w:right w:val="single" w:sz="4" w:space="0" w:color="auto"/>
            </w:tcBorders>
            <w:vAlign w:val="center"/>
          </w:tcPr>
          <w:p w:rsidR="00DD32B8" w:rsidRPr="000C6B60" w:rsidRDefault="00DD32B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0,0</w:t>
            </w:r>
          </w:p>
        </w:tc>
        <w:tc>
          <w:tcPr>
            <w:tcW w:w="969" w:type="dxa"/>
            <w:tcBorders>
              <w:top w:val="single" w:sz="4" w:space="0" w:color="auto"/>
              <w:left w:val="single" w:sz="4" w:space="0" w:color="auto"/>
              <w:bottom w:val="single" w:sz="4" w:space="0" w:color="auto"/>
              <w:right w:val="single" w:sz="4" w:space="0" w:color="auto"/>
            </w:tcBorders>
            <w:vAlign w:val="center"/>
          </w:tcPr>
          <w:p w:rsidR="00DD32B8" w:rsidRPr="000C6B60" w:rsidRDefault="00DD32B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0,0</w:t>
            </w:r>
          </w:p>
        </w:tc>
      </w:tr>
      <w:tr w:rsidR="00DD32B8" w:rsidRPr="000C6B60" w:rsidTr="00DD32B8">
        <w:trPr>
          <w:trHeight w:val="274"/>
          <w:jc w:val="center"/>
        </w:trPr>
        <w:tc>
          <w:tcPr>
            <w:tcW w:w="4536" w:type="dxa"/>
            <w:tcBorders>
              <w:top w:val="single" w:sz="4" w:space="0" w:color="auto"/>
              <w:left w:val="single" w:sz="4" w:space="0" w:color="auto"/>
              <w:bottom w:val="single" w:sz="4" w:space="0" w:color="auto"/>
              <w:right w:val="single" w:sz="4" w:space="0" w:color="auto"/>
            </w:tcBorders>
            <w:vAlign w:val="center"/>
          </w:tcPr>
          <w:p w:rsidR="00DD32B8" w:rsidRPr="000C6B60" w:rsidRDefault="00DD32B8" w:rsidP="00FD4B48">
            <w:pPr>
              <w:keepNext/>
              <w:spacing w:line="276" w:lineRule="auto"/>
              <w:jc w:val="left"/>
              <w:rPr>
                <w:rFonts w:eastAsia="Times New Roman"/>
                <w:sz w:val="24"/>
                <w:szCs w:val="24"/>
                <w:lang w:eastAsia="ru-RU"/>
              </w:rPr>
            </w:pPr>
            <w:r w:rsidRPr="000C6B60">
              <w:rPr>
                <w:rFonts w:eastAsia="Times New Roman"/>
                <w:sz w:val="24"/>
                <w:szCs w:val="24"/>
                <w:lang w:eastAsia="ru-RU"/>
              </w:rPr>
              <w:t>Частота нормальних пологів</w:t>
            </w:r>
          </w:p>
        </w:tc>
        <w:tc>
          <w:tcPr>
            <w:tcW w:w="968" w:type="dxa"/>
            <w:tcBorders>
              <w:top w:val="single" w:sz="4" w:space="0" w:color="auto"/>
              <w:left w:val="single" w:sz="4" w:space="0" w:color="auto"/>
              <w:bottom w:val="single" w:sz="4" w:space="0" w:color="auto"/>
              <w:right w:val="single" w:sz="4" w:space="0" w:color="auto"/>
            </w:tcBorders>
            <w:vAlign w:val="center"/>
          </w:tcPr>
          <w:p w:rsidR="00DD32B8" w:rsidRPr="000C6B60" w:rsidRDefault="00DD32B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74,38</w:t>
            </w:r>
          </w:p>
        </w:tc>
        <w:tc>
          <w:tcPr>
            <w:tcW w:w="969" w:type="dxa"/>
            <w:tcBorders>
              <w:top w:val="single" w:sz="4" w:space="0" w:color="auto"/>
              <w:left w:val="single" w:sz="4" w:space="0" w:color="auto"/>
              <w:bottom w:val="single" w:sz="4" w:space="0" w:color="auto"/>
              <w:right w:val="single" w:sz="4" w:space="0" w:color="auto"/>
            </w:tcBorders>
            <w:vAlign w:val="center"/>
          </w:tcPr>
          <w:p w:rsidR="00DD32B8" w:rsidRPr="000C6B60" w:rsidRDefault="00DD32B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73,74</w:t>
            </w:r>
          </w:p>
        </w:tc>
        <w:tc>
          <w:tcPr>
            <w:tcW w:w="968" w:type="dxa"/>
            <w:tcBorders>
              <w:top w:val="single" w:sz="4" w:space="0" w:color="auto"/>
              <w:left w:val="single" w:sz="4" w:space="0" w:color="auto"/>
              <w:bottom w:val="single" w:sz="4" w:space="0" w:color="auto"/>
              <w:right w:val="single" w:sz="4" w:space="0" w:color="auto"/>
            </w:tcBorders>
            <w:vAlign w:val="center"/>
          </w:tcPr>
          <w:p w:rsidR="00DD32B8" w:rsidRPr="000C6B60" w:rsidRDefault="00DD32B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5,00</w:t>
            </w:r>
          </w:p>
        </w:tc>
        <w:tc>
          <w:tcPr>
            <w:tcW w:w="969" w:type="dxa"/>
            <w:tcBorders>
              <w:top w:val="single" w:sz="4" w:space="0" w:color="auto"/>
              <w:left w:val="single" w:sz="4" w:space="0" w:color="auto"/>
              <w:bottom w:val="single" w:sz="4" w:space="0" w:color="auto"/>
              <w:right w:val="single" w:sz="4" w:space="0" w:color="auto"/>
            </w:tcBorders>
            <w:vAlign w:val="center"/>
          </w:tcPr>
          <w:p w:rsidR="00DD32B8" w:rsidRPr="000C6B60" w:rsidRDefault="00DD32B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5,0</w:t>
            </w:r>
          </w:p>
        </w:tc>
        <w:tc>
          <w:tcPr>
            <w:tcW w:w="968" w:type="dxa"/>
            <w:tcBorders>
              <w:top w:val="single" w:sz="4" w:space="0" w:color="auto"/>
              <w:left w:val="single" w:sz="4" w:space="0" w:color="auto"/>
              <w:bottom w:val="single" w:sz="4" w:space="0" w:color="auto"/>
              <w:right w:val="single" w:sz="4" w:space="0" w:color="auto"/>
            </w:tcBorders>
            <w:vAlign w:val="center"/>
          </w:tcPr>
          <w:p w:rsidR="00DD32B8" w:rsidRPr="000C6B60" w:rsidRDefault="00DD32B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1,00</w:t>
            </w:r>
          </w:p>
        </w:tc>
        <w:tc>
          <w:tcPr>
            <w:tcW w:w="969" w:type="dxa"/>
            <w:tcBorders>
              <w:top w:val="single" w:sz="4" w:space="0" w:color="auto"/>
              <w:left w:val="single" w:sz="4" w:space="0" w:color="auto"/>
              <w:bottom w:val="single" w:sz="4" w:space="0" w:color="auto"/>
              <w:right w:val="single" w:sz="4" w:space="0" w:color="auto"/>
            </w:tcBorders>
            <w:vAlign w:val="center"/>
          </w:tcPr>
          <w:p w:rsidR="00DD32B8" w:rsidRPr="000C6B60" w:rsidRDefault="00DD32B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1,00</w:t>
            </w:r>
          </w:p>
        </w:tc>
      </w:tr>
    </w:tbl>
    <w:p w:rsidR="004B24A2" w:rsidRPr="004B24A2" w:rsidRDefault="004B24A2" w:rsidP="004B24A2">
      <w:pPr>
        <w:rPr>
          <w:i/>
          <w:sz w:val="20"/>
          <w:szCs w:val="20"/>
        </w:rPr>
      </w:pPr>
      <w:r w:rsidRPr="004B24A2">
        <w:rPr>
          <w:i/>
          <w:sz w:val="20"/>
          <w:szCs w:val="20"/>
        </w:rPr>
        <w:t>Для таблиць : * – показник не оцінювався</w:t>
      </w:r>
      <w:r w:rsidRPr="004B24A2">
        <w:rPr>
          <w:i/>
          <w:sz w:val="20"/>
          <w:szCs w:val="20"/>
          <w:lang w:val="ru-RU"/>
        </w:rPr>
        <w:t xml:space="preserve">  </w:t>
      </w:r>
      <w:r w:rsidRPr="004B24A2">
        <w:rPr>
          <w:i/>
          <w:sz w:val="20"/>
          <w:szCs w:val="20"/>
        </w:rPr>
        <w:t>** – немає даних</w:t>
      </w:r>
    </w:p>
    <w:p w:rsidR="00FD4B48" w:rsidRPr="004B24A2" w:rsidRDefault="00FD4B48"/>
    <w:tbl>
      <w:tblPr>
        <w:tblpPr w:leftFromText="180" w:rightFromText="180" w:vertAnchor="text" w:horzAnchor="margin" w:tblpY="829"/>
        <w:tblW w:w="103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36"/>
        <w:gridCol w:w="968"/>
        <w:gridCol w:w="969"/>
        <w:gridCol w:w="968"/>
        <w:gridCol w:w="969"/>
        <w:gridCol w:w="968"/>
        <w:gridCol w:w="969"/>
      </w:tblGrid>
      <w:tr w:rsidR="00FD4B48" w:rsidRPr="000C6B60" w:rsidTr="00FD4B48">
        <w:trPr>
          <w:trHeight w:val="553"/>
        </w:trPr>
        <w:tc>
          <w:tcPr>
            <w:tcW w:w="4536" w:type="dxa"/>
            <w:tcBorders>
              <w:top w:val="single" w:sz="4" w:space="0" w:color="auto"/>
              <w:left w:val="single" w:sz="4" w:space="0" w:color="auto"/>
              <w:bottom w:val="single" w:sz="4" w:space="0" w:color="auto"/>
              <w:right w:val="single" w:sz="4" w:space="0" w:color="auto"/>
            </w:tcBorders>
            <w:vAlign w:val="bottom"/>
          </w:tcPr>
          <w:p w:rsidR="00FD4B48" w:rsidRPr="000C6B60" w:rsidRDefault="00FD4B48" w:rsidP="00FD4B48">
            <w:pPr>
              <w:keepNext/>
              <w:spacing w:line="276" w:lineRule="auto"/>
              <w:jc w:val="left"/>
              <w:rPr>
                <w:rFonts w:eastAsia="Times New Roman"/>
                <w:sz w:val="24"/>
                <w:szCs w:val="24"/>
                <w:lang w:eastAsia="ru-RU"/>
              </w:rPr>
            </w:pPr>
            <w:r w:rsidRPr="000C6B60">
              <w:rPr>
                <w:rFonts w:eastAsia="Times New Roman"/>
                <w:sz w:val="24"/>
                <w:szCs w:val="24"/>
                <w:lang w:eastAsia="ru-RU"/>
              </w:rPr>
              <w:lastRenderedPageBreak/>
              <w:t>Частота розроджень вагітних шляхом кесаревого розтину</w:t>
            </w:r>
          </w:p>
        </w:tc>
        <w:tc>
          <w:tcPr>
            <w:tcW w:w="968" w:type="dxa"/>
            <w:tcBorders>
              <w:top w:val="single" w:sz="4" w:space="0" w:color="auto"/>
              <w:left w:val="single" w:sz="4" w:space="0" w:color="auto"/>
              <w:bottom w:val="single" w:sz="4" w:space="0" w:color="auto"/>
              <w:right w:val="single" w:sz="4" w:space="0" w:color="auto"/>
            </w:tcBorders>
            <w:vAlign w:val="center"/>
          </w:tcPr>
          <w:p w:rsidR="00FD4B48" w:rsidRPr="000C6B60" w:rsidRDefault="00FD4B4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186,4</w:t>
            </w:r>
          </w:p>
        </w:tc>
        <w:tc>
          <w:tcPr>
            <w:tcW w:w="969" w:type="dxa"/>
            <w:tcBorders>
              <w:top w:val="single" w:sz="4" w:space="0" w:color="auto"/>
              <w:left w:val="single" w:sz="4" w:space="0" w:color="auto"/>
              <w:bottom w:val="single" w:sz="4" w:space="0" w:color="auto"/>
              <w:right w:val="single" w:sz="4" w:space="0" w:color="auto"/>
            </w:tcBorders>
            <w:vAlign w:val="center"/>
          </w:tcPr>
          <w:p w:rsidR="00FD4B48" w:rsidRPr="000C6B60" w:rsidRDefault="00FD4B4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200,41</w:t>
            </w:r>
          </w:p>
        </w:tc>
        <w:tc>
          <w:tcPr>
            <w:tcW w:w="968" w:type="dxa"/>
            <w:tcBorders>
              <w:top w:val="single" w:sz="4" w:space="0" w:color="auto"/>
              <w:left w:val="single" w:sz="4" w:space="0" w:color="auto"/>
              <w:bottom w:val="single" w:sz="4" w:space="0" w:color="auto"/>
              <w:right w:val="single" w:sz="4" w:space="0" w:color="auto"/>
            </w:tcBorders>
            <w:vAlign w:val="center"/>
          </w:tcPr>
          <w:p w:rsidR="00FD4B48" w:rsidRPr="000C6B60" w:rsidRDefault="00FD4B4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5,85</w:t>
            </w:r>
          </w:p>
        </w:tc>
        <w:tc>
          <w:tcPr>
            <w:tcW w:w="969" w:type="dxa"/>
            <w:tcBorders>
              <w:top w:val="single" w:sz="4" w:space="0" w:color="auto"/>
              <w:left w:val="single" w:sz="4" w:space="0" w:color="auto"/>
              <w:bottom w:val="single" w:sz="4" w:space="0" w:color="auto"/>
              <w:right w:val="single" w:sz="4" w:space="0" w:color="auto"/>
            </w:tcBorders>
            <w:vAlign w:val="center"/>
          </w:tcPr>
          <w:p w:rsidR="00FD4B48" w:rsidRPr="000C6B60" w:rsidRDefault="00FD4B4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6,18</w:t>
            </w:r>
          </w:p>
        </w:tc>
        <w:tc>
          <w:tcPr>
            <w:tcW w:w="968" w:type="dxa"/>
            <w:tcBorders>
              <w:top w:val="single" w:sz="4" w:space="0" w:color="auto"/>
              <w:left w:val="single" w:sz="4" w:space="0" w:color="auto"/>
              <w:bottom w:val="single" w:sz="4" w:space="0" w:color="auto"/>
              <w:right w:val="single" w:sz="4" w:space="0" w:color="auto"/>
            </w:tcBorders>
            <w:vAlign w:val="center"/>
          </w:tcPr>
          <w:p w:rsidR="00FD4B48" w:rsidRPr="000C6B60" w:rsidRDefault="00FD4B4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0,84</w:t>
            </w:r>
          </w:p>
        </w:tc>
        <w:tc>
          <w:tcPr>
            <w:tcW w:w="969" w:type="dxa"/>
            <w:tcBorders>
              <w:top w:val="single" w:sz="4" w:space="0" w:color="auto"/>
              <w:left w:val="single" w:sz="4" w:space="0" w:color="auto"/>
              <w:bottom w:val="single" w:sz="4" w:space="0" w:color="auto"/>
              <w:right w:val="single" w:sz="4" w:space="0" w:color="auto"/>
            </w:tcBorders>
            <w:vAlign w:val="center"/>
          </w:tcPr>
          <w:p w:rsidR="00FD4B48" w:rsidRPr="000C6B60" w:rsidRDefault="00FD4B4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0,88</w:t>
            </w:r>
          </w:p>
        </w:tc>
      </w:tr>
      <w:tr w:rsidR="00FD4B48" w:rsidRPr="000C6B60" w:rsidTr="00FD4B48">
        <w:trPr>
          <w:trHeight w:val="276"/>
        </w:trPr>
        <w:tc>
          <w:tcPr>
            <w:tcW w:w="4536" w:type="dxa"/>
            <w:tcBorders>
              <w:top w:val="single" w:sz="4" w:space="0" w:color="auto"/>
              <w:left w:val="single" w:sz="4" w:space="0" w:color="auto"/>
              <w:bottom w:val="single" w:sz="4" w:space="0" w:color="auto"/>
              <w:right w:val="single" w:sz="4" w:space="0" w:color="auto"/>
            </w:tcBorders>
            <w:vAlign w:val="bottom"/>
          </w:tcPr>
          <w:p w:rsidR="00FD4B48" w:rsidRPr="000C6B60" w:rsidRDefault="00FD4B48" w:rsidP="00FD4B48">
            <w:pPr>
              <w:keepNext/>
              <w:spacing w:line="276" w:lineRule="auto"/>
              <w:jc w:val="left"/>
              <w:rPr>
                <w:rFonts w:eastAsia="Times New Roman"/>
                <w:sz w:val="24"/>
                <w:szCs w:val="24"/>
                <w:lang w:eastAsia="ru-RU"/>
              </w:rPr>
            </w:pPr>
            <w:r w:rsidRPr="000C6B60">
              <w:rPr>
                <w:rFonts w:eastAsia="Times New Roman"/>
                <w:sz w:val="24"/>
                <w:szCs w:val="24"/>
                <w:lang w:eastAsia="ru-RU"/>
              </w:rPr>
              <w:t>Частота  кровотеч в послідовому і післяродовому періодах</w:t>
            </w:r>
          </w:p>
        </w:tc>
        <w:tc>
          <w:tcPr>
            <w:tcW w:w="968" w:type="dxa"/>
            <w:tcBorders>
              <w:top w:val="single" w:sz="4" w:space="0" w:color="auto"/>
              <w:left w:val="single" w:sz="4" w:space="0" w:color="auto"/>
              <w:bottom w:val="single" w:sz="4" w:space="0" w:color="auto"/>
              <w:right w:val="single" w:sz="4" w:space="0" w:color="auto"/>
            </w:tcBorders>
            <w:vAlign w:val="center"/>
          </w:tcPr>
          <w:p w:rsidR="00FD4B48" w:rsidRPr="000C6B60" w:rsidRDefault="00FD4B4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4,06</w:t>
            </w:r>
          </w:p>
        </w:tc>
        <w:tc>
          <w:tcPr>
            <w:tcW w:w="969" w:type="dxa"/>
            <w:tcBorders>
              <w:top w:val="single" w:sz="4" w:space="0" w:color="auto"/>
              <w:left w:val="single" w:sz="4" w:space="0" w:color="auto"/>
              <w:bottom w:val="single" w:sz="4" w:space="0" w:color="auto"/>
              <w:right w:val="single" w:sz="4" w:space="0" w:color="auto"/>
            </w:tcBorders>
            <w:vAlign w:val="center"/>
          </w:tcPr>
          <w:p w:rsidR="00FD4B48" w:rsidRPr="000C6B60" w:rsidRDefault="00FD4B4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3,45</w:t>
            </w:r>
          </w:p>
        </w:tc>
        <w:tc>
          <w:tcPr>
            <w:tcW w:w="968" w:type="dxa"/>
            <w:tcBorders>
              <w:top w:val="single" w:sz="4" w:space="0" w:color="auto"/>
              <w:left w:val="single" w:sz="4" w:space="0" w:color="auto"/>
              <w:bottom w:val="single" w:sz="4" w:space="0" w:color="auto"/>
              <w:right w:val="single" w:sz="4" w:space="0" w:color="auto"/>
            </w:tcBorders>
            <w:vAlign w:val="center"/>
          </w:tcPr>
          <w:p w:rsidR="00FD4B48" w:rsidRPr="000C6B60" w:rsidRDefault="00FD4B4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9,00</w:t>
            </w:r>
          </w:p>
        </w:tc>
        <w:tc>
          <w:tcPr>
            <w:tcW w:w="969" w:type="dxa"/>
            <w:tcBorders>
              <w:top w:val="single" w:sz="4" w:space="0" w:color="auto"/>
              <w:left w:val="single" w:sz="4" w:space="0" w:color="auto"/>
              <w:bottom w:val="single" w:sz="4" w:space="0" w:color="auto"/>
              <w:right w:val="single" w:sz="4" w:space="0" w:color="auto"/>
            </w:tcBorders>
            <w:vAlign w:val="center"/>
          </w:tcPr>
          <w:p w:rsidR="00FD4B48" w:rsidRPr="000C6B60" w:rsidRDefault="00FD4B4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9,0</w:t>
            </w:r>
          </w:p>
        </w:tc>
        <w:tc>
          <w:tcPr>
            <w:tcW w:w="968" w:type="dxa"/>
            <w:tcBorders>
              <w:top w:val="single" w:sz="4" w:space="0" w:color="auto"/>
              <w:left w:val="single" w:sz="4" w:space="0" w:color="auto"/>
              <w:bottom w:val="single" w:sz="4" w:space="0" w:color="auto"/>
              <w:right w:val="single" w:sz="4" w:space="0" w:color="auto"/>
            </w:tcBorders>
            <w:vAlign w:val="center"/>
          </w:tcPr>
          <w:p w:rsidR="00FD4B48" w:rsidRPr="000C6B60" w:rsidRDefault="00FD4B4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1,00</w:t>
            </w:r>
          </w:p>
        </w:tc>
        <w:tc>
          <w:tcPr>
            <w:tcW w:w="969" w:type="dxa"/>
            <w:tcBorders>
              <w:top w:val="single" w:sz="4" w:space="0" w:color="auto"/>
              <w:left w:val="single" w:sz="4" w:space="0" w:color="auto"/>
              <w:bottom w:val="single" w:sz="4" w:space="0" w:color="auto"/>
              <w:right w:val="single" w:sz="4" w:space="0" w:color="auto"/>
            </w:tcBorders>
            <w:vAlign w:val="center"/>
          </w:tcPr>
          <w:p w:rsidR="00FD4B48" w:rsidRPr="000C6B60" w:rsidRDefault="00FD4B4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1,00</w:t>
            </w:r>
          </w:p>
        </w:tc>
      </w:tr>
      <w:tr w:rsidR="00FD4B48" w:rsidRPr="000C6B60" w:rsidTr="00FD4B48">
        <w:trPr>
          <w:trHeight w:val="293"/>
        </w:trPr>
        <w:tc>
          <w:tcPr>
            <w:tcW w:w="4536" w:type="dxa"/>
            <w:tcBorders>
              <w:top w:val="single" w:sz="4" w:space="0" w:color="auto"/>
              <w:left w:val="single" w:sz="4" w:space="0" w:color="auto"/>
              <w:bottom w:val="single" w:sz="4" w:space="0" w:color="auto"/>
              <w:right w:val="single" w:sz="4" w:space="0" w:color="auto"/>
            </w:tcBorders>
            <w:vAlign w:val="bottom"/>
          </w:tcPr>
          <w:p w:rsidR="00FD4B48" w:rsidRPr="000C6B60" w:rsidRDefault="00FD4B48" w:rsidP="00FD4B48">
            <w:pPr>
              <w:keepNext/>
              <w:spacing w:line="276" w:lineRule="auto"/>
              <w:jc w:val="left"/>
              <w:rPr>
                <w:rFonts w:eastAsia="Times New Roman"/>
                <w:sz w:val="24"/>
                <w:szCs w:val="24"/>
                <w:lang w:eastAsia="ru-RU"/>
              </w:rPr>
            </w:pPr>
            <w:r w:rsidRPr="000C6B60">
              <w:rPr>
                <w:rFonts w:eastAsia="Times New Roman"/>
                <w:sz w:val="24"/>
                <w:szCs w:val="24"/>
                <w:lang w:eastAsia="ru-RU"/>
              </w:rPr>
              <w:t>Частота мало вагових новонароджених</w:t>
            </w:r>
          </w:p>
        </w:tc>
        <w:tc>
          <w:tcPr>
            <w:tcW w:w="968" w:type="dxa"/>
            <w:tcBorders>
              <w:top w:val="single" w:sz="4" w:space="0" w:color="auto"/>
              <w:left w:val="single" w:sz="4" w:space="0" w:color="auto"/>
              <w:bottom w:val="single" w:sz="4" w:space="0" w:color="auto"/>
              <w:right w:val="single" w:sz="4" w:space="0" w:color="auto"/>
            </w:tcBorders>
            <w:vAlign w:val="center"/>
          </w:tcPr>
          <w:p w:rsidR="00FD4B48" w:rsidRPr="000C6B60" w:rsidRDefault="00FD4B4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6,12</w:t>
            </w:r>
          </w:p>
        </w:tc>
        <w:tc>
          <w:tcPr>
            <w:tcW w:w="969" w:type="dxa"/>
            <w:tcBorders>
              <w:top w:val="single" w:sz="4" w:space="0" w:color="auto"/>
              <w:left w:val="single" w:sz="4" w:space="0" w:color="auto"/>
              <w:bottom w:val="single" w:sz="4" w:space="0" w:color="auto"/>
              <w:right w:val="single" w:sz="4" w:space="0" w:color="auto"/>
            </w:tcBorders>
            <w:vAlign w:val="center"/>
          </w:tcPr>
          <w:p w:rsidR="00FD4B48" w:rsidRPr="000C6B60" w:rsidRDefault="00FD4B4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5,36</w:t>
            </w:r>
          </w:p>
        </w:tc>
        <w:tc>
          <w:tcPr>
            <w:tcW w:w="968" w:type="dxa"/>
            <w:tcBorders>
              <w:top w:val="single" w:sz="4" w:space="0" w:color="auto"/>
              <w:left w:val="single" w:sz="4" w:space="0" w:color="auto"/>
              <w:bottom w:val="single" w:sz="4" w:space="0" w:color="auto"/>
              <w:right w:val="single" w:sz="4" w:space="0" w:color="auto"/>
            </w:tcBorders>
            <w:vAlign w:val="center"/>
          </w:tcPr>
          <w:p w:rsidR="00FD4B48" w:rsidRPr="000C6B60" w:rsidRDefault="00FD4B4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2,35</w:t>
            </w:r>
          </w:p>
        </w:tc>
        <w:tc>
          <w:tcPr>
            <w:tcW w:w="969" w:type="dxa"/>
            <w:tcBorders>
              <w:top w:val="single" w:sz="4" w:space="0" w:color="auto"/>
              <w:left w:val="single" w:sz="4" w:space="0" w:color="auto"/>
              <w:bottom w:val="single" w:sz="4" w:space="0" w:color="auto"/>
              <w:right w:val="single" w:sz="4" w:space="0" w:color="auto"/>
            </w:tcBorders>
            <w:vAlign w:val="center"/>
          </w:tcPr>
          <w:p w:rsidR="00FD4B48" w:rsidRPr="000C6B60" w:rsidRDefault="00FD4B4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3,64</w:t>
            </w:r>
          </w:p>
        </w:tc>
        <w:tc>
          <w:tcPr>
            <w:tcW w:w="968" w:type="dxa"/>
            <w:tcBorders>
              <w:top w:val="single" w:sz="4" w:space="0" w:color="auto"/>
              <w:left w:val="single" w:sz="4" w:space="0" w:color="auto"/>
              <w:bottom w:val="single" w:sz="4" w:space="0" w:color="auto"/>
              <w:right w:val="single" w:sz="4" w:space="0" w:color="auto"/>
            </w:tcBorders>
            <w:vAlign w:val="center"/>
          </w:tcPr>
          <w:p w:rsidR="00FD4B48" w:rsidRPr="000C6B60" w:rsidRDefault="00FD4B4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0,47</w:t>
            </w:r>
          </w:p>
        </w:tc>
        <w:tc>
          <w:tcPr>
            <w:tcW w:w="969" w:type="dxa"/>
            <w:tcBorders>
              <w:top w:val="single" w:sz="4" w:space="0" w:color="auto"/>
              <w:left w:val="single" w:sz="4" w:space="0" w:color="auto"/>
              <w:bottom w:val="single" w:sz="4" w:space="0" w:color="auto"/>
              <w:right w:val="single" w:sz="4" w:space="0" w:color="auto"/>
            </w:tcBorders>
            <w:vAlign w:val="center"/>
          </w:tcPr>
          <w:p w:rsidR="00FD4B48" w:rsidRPr="000C6B60" w:rsidRDefault="00FD4B4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0,73</w:t>
            </w:r>
          </w:p>
        </w:tc>
      </w:tr>
      <w:tr w:rsidR="00FD4B48" w:rsidRPr="000C6B60" w:rsidTr="00FD4B48">
        <w:trPr>
          <w:trHeight w:val="344"/>
        </w:trPr>
        <w:tc>
          <w:tcPr>
            <w:tcW w:w="4536" w:type="dxa"/>
            <w:tcBorders>
              <w:top w:val="single" w:sz="4" w:space="0" w:color="auto"/>
              <w:left w:val="single" w:sz="4" w:space="0" w:color="auto"/>
              <w:bottom w:val="single" w:sz="4" w:space="0" w:color="auto"/>
              <w:right w:val="single" w:sz="4" w:space="0" w:color="auto"/>
            </w:tcBorders>
            <w:vAlign w:val="bottom"/>
          </w:tcPr>
          <w:p w:rsidR="00FD4B48" w:rsidRPr="000C6B60" w:rsidRDefault="00FD4B48" w:rsidP="00FD4B48">
            <w:pPr>
              <w:keepNext/>
              <w:spacing w:line="276" w:lineRule="auto"/>
              <w:jc w:val="left"/>
              <w:rPr>
                <w:rFonts w:eastAsia="Times New Roman"/>
                <w:sz w:val="24"/>
                <w:szCs w:val="24"/>
                <w:lang w:eastAsia="ru-RU"/>
              </w:rPr>
            </w:pPr>
            <w:r w:rsidRPr="000C6B60">
              <w:rPr>
                <w:rFonts w:eastAsia="Times New Roman"/>
                <w:sz w:val="24"/>
                <w:szCs w:val="24"/>
                <w:lang w:eastAsia="ru-RU"/>
              </w:rPr>
              <w:t>Виживання новонароджених з дуже малою масою тіла при народженні</w:t>
            </w:r>
          </w:p>
        </w:tc>
        <w:tc>
          <w:tcPr>
            <w:tcW w:w="968" w:type="dxa"/>
            <w:tcBorders>
              <w:top w:val="single" w:sz="4" w:space="0" w:color="auto"/>
              <w:left w:val="single" w:sz="4" w:space="0" w:color="auto"/>
              <w:bottom w:val="single" w:sz="4" w:space="0" w:color="auto"/>
              <w:right w:val="single" w:sz="4" w:space="0" w:color="auto"/>
            </w:tcBorders>
            <w:vAlign w:val="center"/>
          </w:tcPr>
          <w:p w:rsidR="00FD4B48" w:rsidRPr="000C6B60" w:rsidRDefault="00FD4B4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86,67</w:t>
            </w:r>
          </w:p>
        </w:tc>
        <w:tc>
          <w:tcPr>
            <w:tcW w:w="969" w:type="dxa"/>
            <w:tcBorders>
              <w:top w:val="single" w:sz="4" w:space="0" w:color="auto"/>
              <w:left w:val="single" w:sz="4" w:space="0" w:color="auto"/>
              <w:bottom w:val="single" w:sz="4" w:space="0" w:color="auto"/>
              <w:right w:val="single" w:sz="4" w:space="0" w:color="auto"/>
            </w:tcBorders>
            <w:vAlign w:val="center"/>
          </w:tcPr>
          <w:p w:rsidR="00FD4B48" w:rsidRPr="000C6B60" w:rsidRDefault="00FD4B4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80,67</w:t>
            </w:r>
          </w:p>
        </w:tc>
        <w:tc>
          <w:tcPr>
            <w:tcW w:w="968" w:type="dxa"/>
            <w:tcBorders>
              <w:top w:val="single" w:sz="4" w:space="0" w:color="auto"/>
              <w:left w:val="single" w:sz="4" w:space="0" w:color="auto"/>
              <w:bottom w:val="single" w:sz="4" w:space="0" w:color="auto"/>
              <w:right w:val="single" w:sz="4" w:space="0" w:color="auto"/>
            </w:tcBorders>
            <w:vAlign w:val="center"/>
          </w:tcPr>
          <w:p w:rsidR="00FD4B48" w:rsidRPr="000C6B60" w:rsidRDefault="00FD4B4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7,70</w:t>
            </w:r>
          </w:p>
        </w:tc>
        <w:tc>
          <w:tcPr>
            <w:tcW w:w="969" w:type="dxa"/>
            <w:tcBorders>
              <w:top w:val="single" w:sz="4" w:space="0" w:color="auto"/>
              <w:left w:val="single" w:sz="4" w:space="0" w:color="auto"/>
              <w:bottom w:val="single" w:sz="4" w:space="0" w:color="auto"/>
              <w:right w:val="single" w:sz="4" w:space="0" w:color="auto"/>
            </w:tcBorders>
            <w:vAlign w:val="center"/>
          </w:tcPr>
          <w:p w:rsidR="00FD4B48" w:rsidRPr="000C6B60" w:rsidRDefault="00FD4B4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7,61</w:t>
            </w:r>
          </w:p>
        </w:tc>
        <w:tc>
          <w:tcPr>
            <w:tcW w:w="968" w:type="dxa"/>
            <w:tcBorders>
              <w:top w:val="single" w:sz="4" w:space="0" w:color="auto"/>
              <w:left w:val="single" w:sz="4" w:space="0" w:color="auto"/>
              <w:bottom w:val="single" w:sz="4" w:space="0" w:color="auto"/>
              <w:right w:val="single" w:sz="4" w:space="0" w:color="auto"/>
            </w:tcBorders>
            <w:vAlign w:val="center"/>
          </w:tcPr>
          <w:p w:rsidR="00FD4B48" w:rsidRPr="000C6B60" w:rsidRDefault="00FD4B4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0,96</w:t>
            </w:r>
          </w:p>
        </w:tc>
        <w:tc>
          <w:tcPr>
            <w:tcW w:w="969" w:type="dxa"/>
            <w:tcBorders>
              <w:top w:val="single" w:sz="4" w:space="0" w:color="auto"/>
              <w:left w:val="single" w:sz="4" w:space="0" w:color="auto"/>
              <w:bottom w:val="single" w:sz="4" w:space="0" w:color="auto"/>
              <w:right w:val="single" w:sz="4" w:space="0" w:color="auto"/>
            </w:tcBorders>
            <w:vAlign w:val="center"/>
          </w:tcPr>
          <w:p w:rsidR="00FD4B48" w:rsidRPr="000C6B60" w:rsidRDefault="00FD4B4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0,95</w:t>
            </w:r>
          </w:p>
        </w:tc>
      </w:tr>
      <w:tr w:rsidR="00FD4B48" w:rsidRPr="000C6B60" w:rsidTr="00FD4B48">
        <w:trPr>
          <w:trHeight w:val="226"/>
        </w:trPr>
        <w:tc>
          <w:tcPr>
            <w:tcW w:w="4536" w:type="dxa"/>
            <w:tcBorders>
              <w:top w:val="single" w:sz="4" w:space="0" w:color="auto"/>
              <w:left w:val="single" w:sz="4" w:space="0" w:color="auto"/>
              <w:bottom w:val="single" w:sz="4" w:space="0" w:color="auto"/>
              <w:right w:val="single" w:sz="4" w:space="0" w:color="auto"/>
            </w:tcBorders>
            <w:vAlign w:val="bottom"/>
          </w:tcPr>
          <w:p w:rsidR="00FD4B48" w:rsidRPr="000C6B60" w:rsidRDefault="00FD4B48" w:rsidP="00FD4B48">
            <w:pPr>
              <w:keepNext/>
              <w:spacing w:line="276" w:lineRule="auto"/>
              <w:jc w:val="left"/>
              <w:rPr>
                <w:rFonts w:eastAsia="Times New Roman"/>
                <w:sz w:val="24"/>
                <w:szCs w:val="24"/>
                <w:lang w:eastAsia="ru-RU"/>
              </w:rPr>
            </w:pPr>
            <w:r w:rsidRPr="000C6B60">
              <w:rPr>
                <w:rFonts w:eastAsia="Times New Roman"/>
                <w:sz w:val="24"/>
                <w:szCs w:val="24"/>
                <w:lang w:eastAsia="ru-RU"/>
              </w:rPr>
              <w:t>Індекс здоров’я новонароджених</w:t>
            </w:r>
          </w:p>
        </w:tc>
        <w:tc>
          <w:tcPr>
            <w:tcW w:w="968" w:type="dxa"/>
            <w:tcBorders>
              <w:top w:val="single" w:sz="4" w:space="0" w:color="auto"/>
              <w:left w:val="single" w:sz="4" w:space="0" w:color="auto"/>
              <w:bottom w:val="single" w:sz="4" w:space="0" w:color="auto"/>
              <w:right w:val="single" w:sz="4" w:space="0" w:color="auto"/>
            </w:tcBorders>
            <w:vAlign w:val="center"/>
          </w:tcPr>
          <w:p w:rsidR="00FD4B48" w:rsidRPr="000C6B60" w:rsidRDefault="00FD4B4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84,0</w:t>
            </w:r>
          </w:p>
        </w:tc>
        <w:tc>
          <w:tcPr>
            <w:tcW w:w="969" w:type="dxa"/>
            <w:tcBorders>
              <w:top w:val="single" w:sz="4" w:space="0" w:color="auto"/>
              <w:left w:val="single" w:sz="4" w:space="0" w:color="auto"/>
              <w:bottom w:val="single" w:sz="4" w:space="0" w:color="auto"/>
              <w:right w:val="single" w:sz="4" w:space="0" w:color="auto"/>
            </w:tcBorders>
            <w:vAlign w:val="center"/>
          </w:tcPr>
          <w:p w:rsidR="00FD4B48" w:rsidRPr="000C6B60" w:rsidRDefault="00FD4B48" w:rsidP="00FD4B48">
            <w:pPr>
              <w:keepNext/>
              <w:spacing w:line="276" w:lineRule="auto"/>
              <w:jc w:val="center"/>
              <w:rPr>
                <w:rFonts w:eastAsia="Times New Roman"/>
                <w:sz w:val="24"/>
                <w:szCs w:val="24"/>
                <w:lang w:eastAsia="ru-RU"/>
              </w:rPr>
            </w:pPr>
          </w:p>
        </w:tc>
        <w:tc>
          <w:tcPr>
            <w:tcW w:w="968" w:type="dxa"/>
            <w:tcBorders>
              <w:top w:val="single" w:sz="4" w:space="0" w:color="auto"/>
              <w:left w:val="single" w:sz="4" w:space="0" w:color="auto"/>
              <w:bottom w:val="single" w:sz="4" w:space="0" w:color="auto"/>
              <w:right w:val="single" w:sz="4" w:space="0" w:color="auto"/>
            </w:tcBorders>
            <w:vAlign w:val="center"/>
          </w:tcPr>
          <w:p w:rsidR="00FD4B48" w:rsidRPr="000C6B60" w:rsidRDefault="00FD4B4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5,60</w:t>
            </w:r>
          </w:p>
        </w:tc>
        <w:tc>
          <w:tcPr>
            <w:tcW w:w="969" w:type="dxa"/>
            <w:tcBorders>
              <w:top w:val="single" w:sz="4" w:space="0" w:color="auto"/>
              <w:left w:val="single" w:sz="4" w:space="0" w:color="auto"/>
              <w:bottom w:val="single" w:sz="4" w:space="0" w:color="auto"/>
              <w:right w:val="single" w:sz="4" w:space="0" w:color="auto"/>
            </w:tcBorders>
            <w:vAlign w:val="center"/>
          </w:tcPr>
          <w:p w:rsidR="00FD4B48" w:rsidRPr="000C6B60" w:rsidRDefault="00FD4B48" w:rsidP="00FD4B48">
            <w:pPr>
              <w:keepNext/>
              <w:spacing w:line="276" w:lineRule="auto"/>
              <w:jc w:val="center"/>
              <w:rPr>
                <w:rFonts w:eastAsia="Times New Roman"/>
                <w:sz w:val="24"/>
                <w:szCs w:val="24"/>
                <w:lang w:eastAsia="ru-RU"/>
              </w:rPr>
            </w:pPr>
          </w:p>
        </w:tc>
        <w:tc>
          <w:tcPr>
            <w:tcW w:w="968" w:type="dxa"/>
            <w:tcBorders>
              <w:top w:val="single" w:sz="4" w:space="0" w:color="auto"/>
              <w:left w:val="single" w:sz="4" w:space="0" w:color="auto"/>
              <w:bottom w:val="single" w:sz="4" w:space="0" w:color="auto"/>
              <w:right w:val="single" w:sz="4" w:space="0" w:color="auto"/>
            </w:tcBorders>
            <w:vAlign w:val="center"/>
          </w:tcPr>
          <w:p w:rsidR="00FD4B48" w:rsidRPr="000C6B60" w:rsidRDefault="00FD4B4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0,93</w:t>
            </w:r>
          </w:p>
        </w:tc>
        <w:tc>
          <w:tcPr>
            <w:tcW w:w="969" w:type="dxa"/>
            <w:tcBorders>
              <w:top w:val="single" w:sz="4" w:space="0" w:color="auto"/>
              <w:left w:val="single" w:sz="4" w:space="0" w:color="auto"/>
              <w:bottom w:val="single" w:sz="4" w:space="0" w:color="auto"/>
              <w:right w:val="single" w:sz="4" w:space="0" w:color="auto"/>
            </w:tcBorders>
            <w:vAlign w:val="center"/>
          </w:tcPr>
          <w:p w:rsidR="00FD4B48" w:rsidRPr="000C6B60" w:rsidRDefault="00FD4B48" w:rsidP="00FD4B48">
            <w:pPr>
              <w:keepNext/>
              <w:spacing w:line="276" w:lineRule="auto"/>
              <w:jc w:val="center"/>
              <w:rPr>
                <w:rFonts w:eastAsia="Times New Roman"/>
                <w:sz w:val="24"/>
                <w:szCs w:val="24"/>
                <w:lang w:eastAsia="ru-RU"/>
              </w:rPr>
            </w:pPr>
          </w:p>
        </w:tc>
      </w:tr>
      <w:tr w:rsidR="00FD4B48" w:rsidRPr="000C6B60" w:rsidTr="00FD4B48">
        <w:trPr>
          <w:trHeight w:val="244"/>
        </w:trPr>
        <w:tc>
          <w:tcPr>
            <w:tcW w:w="4536" w:type="dxa"/>
            <w:tcBorders>
              <w:top w:val="single" w:sz="4" w:space="0" w:color="auto"/>
              <w:left w:val="single" w:sz="4" w:space="0" w:color="auto"/>
              <w:bottom w:val="single" w:sz="4" w:space="0" w:color="auto"/>
              <w:right w:val="single" w:sz="4" w:space="0" w:color="auto"/>
            </w:tcBorders>
            <w:vAlign w:val="bottom"/>
          </w:tcPr>
          <w:p w:rsidR="00FD4B48" w:rsidRPr="000C6B60" w:rsidRDefault="00FD4B48" w:rsidP="00FD4B48">
            <w:pPr>
              <w:keepNext/>
              <w:spacing w:line="276" w:lineRule="auto"/>
              <w:jc w:val="left"/>
              <w:rPr>
                <w:rFonts w:eastAsia="Times New Roman"/>
                <w:sz w:val="24"/>
                <w:szCs w:val="24"/>
                <w:lang w:eastAsia="ru-RU"/>
              </w:rPr>
            </w:pPr>
            <w:r w:rsidRPr="000C6B60">
              <w:rPr>
                <w:rFonts w:eastAsia="Times New Roman"/>
                <w:sz w:val="24"/>
                <w:szCs w:val="24"/>
                <w:lang w:eastAsia="ru-RU"/>
              </w:rPr>
              <w:t xml:space="preserve">Рівень перинатальної </w:t>
            </w:r>
          </w:p>
        </w:tc>
        <w:tc>
          <w:tcPr>
            <w:tcW w:w="968" w:type="dxa"/>
            <w:tcBorders>
              <w:top w:val="single" w:sz="4" w:space="0" w:color="auto"/>
              <w:left w:val="single" w:sz="4" w:space="0" w:color="auto"/>
              <w:bottom w:val="single" w:sz="4" w:space="0" w:color="auto"/>
              <w:right w:val="single" w:sz="4" w:space="0" w:color="auto"/>
            </w:tcBorders>
            <w:vAlign w:val="center"/>
          </w:tcPr>
          <w:p w:rsidR="00FD4B48" w:rsidRPr="000C6B60" w:rsidRDefault="00FD4B4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10,66</w:t>
            </w:r>
          </w:p>
        </w:tc>
        <w:tc>
          <w:tcPr>
            <w:tcW w:w="969" w:type="dxa"/>
            <w:tcBorders>
              <w:top w:val="single" w:sz="4" w:space="0" w:color="auto"/>
              <w:left w:val="single" w:sz="4" w:space="0" w:color="auto"/>
              <w:bottom w:val="single" w:sz="4" w:space="0" w:color="auto"/>
              <w:right w:val="single" w:sz="4" w:space="0" w:color="auto"/>
            </w:tcBorders>
            <w:vAlign w:val="center"/>
          </w:tcPr>
          <w:p w:rsidR="00FD4B48" w:rsidRPr="000C6B60" w:rsidRDefault="00FD4B4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84,38</w:t>
            </w:r>
          </w:p>
        </w:tc>
        <w:tc>
          <w:tcPr>
            <w:tcW w:w="968" w:type="dxa"/>
            <w:tcBorders>
              <w:top w:val="single" w:sz="4" w:space="0" w:color="auto"/>
              <w:left w:val="single" w:sz="4" w:space="0" w:color="auto"/>
              <w:bottom w:val="single" w:sz="4" w:space="0" w:color="auto"/>
              <w:right w:val="single" w:sz="4" w:space="0" w:color="auto"/>
            </w:tcBorders>
            <w:vAlign w:val="center"/>
          </w:tcPr>
          <w:p w:rsidR="00FD4B48" w:rsidRPr="000C6B60" w:rsidRDefault="00FD4B4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4,01</w:t>
            </w:r>
          </w:p>
        </w:tc>
        <w:tc>
          <w:tcPr>
            <w:tcW w:w="969" w:type="dxa"/>
            <w:tcBorders>
              <w:top w:val="single" w:sz="4" w:space="0" w:color="auto"/>
              <w:left w:val="single" w:sz="4" w:space="0" w:color="auto"/>
              <w:bottom w:val="single" w:sz="4" w:space="0" w:color="auto"/>
              <w:right w:val="single" w:sz="4" w:space="0" w:color="auto"/>
            </w:tcBorders>
            <w:vAlign w:val="center"/>
          </w:tcPr>
          <w:p w:rsidR="00FD4B48" w:rsidRPr="000C6B60" w:rsidRDefault="00FD4B4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5,96</w:t>
            </w:r>
          </w:p>
        </w:tc>
        <w:tc>
          <w:tcPr>
            <w:tcW w:w="968" w:type="dxa"/>
            <w:tcBorders>
              <w:top w:val="single" w:sz="4" w:space="0" w:color="auto"/>
              <w:left w:val="single" w:sz="4" w:space="0" w:color="auto"/>
              <w:bottom w:val="single" w:sz="4" w:space="0" w:color="auto"/>
              <w:right w:val="single" w:sz="4" w:space="0" w:color="auto"/>
            </w:tcBorders>
            <w:vAlign w:val="center"/>
          </w:tcPr>
          <w:p w:rsidR="00FD4B48" w:rsidRPr="000C6B60" w:rsidRDefault="00FD4B4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0,67</w:t>
            </w:r>
          </w:p>
        </w:tc>
        <w:tc>
          <w:tcPr>
            <w:tcW w:w="969" w:type="dxa"/>
            <w:tcBorders>
              <w:top w:val="single" w:sz="4" w:space="0" w:color="auto"/>
              <w:left w:val="single" w:sz="4" w:space="0" w:color="auto"/>
              <w:bottom w:val="single" w:sz="4" w:space="0" w:color="auto"/>
              <w:right w:val="single" w:sz="4" w:space="0" w:color="auto"/>
            </w:tcBorders>
            <w:vAlign w:val="center"/>
          </w:tcPr>
          <w:p w:rsidR="00FD4B48" w:rsidRPr="000C6B60" w:rsidRDefault="00FD4B4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0,99</w:t>
            </w:r>
          </w:p>
        </w:tc>
      </w:tr>
      <w:tr w:rsidR="00FD4B48" w:rsidRPr="000C6B60" w:rsidTr="00FD4B48">
        <w:trPr>
          <w:trHeight w:val="450"/>
        </w:trPr>
        <w:tc>
          <w:tcPr>
            <w:tcW w:w="4536" w:type="dxa"/>
            <w:tcBorders>
              <w:top w:val="single" w:sz="4" w:space="0" w:color="auto"/>
              <w:left w:val="single" w:sz="4" w:space="0" w:color="auto"/>
              <w:bottom w:val="single" w:sz="4" w:space="0" w:color="auto"/>
              <w:right w:val="single" w:sz="4" w:space="0" w:color="auto"/>
            </w:tcBorders>
            <w:vAlign w:val="center"/>
          </w:tcPr>
          <w:p w:rsidR="00FD4B48" w:rsidRPr="000C6B60" w:rsidRDefault="00FD4B48" w:rsidP="00FD4B48">
            <w:pPr>
              <w:keepNext/>
              <w:spacing w:line="276" w:lineRule="auto"/>
              <w:rPr>
                <w:rFonts w:eastAsia="Times New Roman"/>
                <w:sz w:val="24"/>
                <w:szCs w:val="24"/>
                <w:lang w:eastAsia="ru-RU"/>
              </w:rPr>
            </w:pPr>
            <w:r w:rsidRPr="000C6B60">
              <w:rPr>
                <w:rFonts w:eastAsia="Times New Roman"/>
                <w:sz w:val="24"/>
                <w:szCs w:val="24"/>
                <w:lang w:eastAsia="ru-RU"/>
              </w:rPr>
              <w:t>Співвідношення реального і фактичного показника ранньої неонатальної смертності</w:t>
            </w:r>
          </w:p>
        </w:tc>
        <w:tc>
          <w:tcPr>
            <w:tcW w:w="968" w:type="dxa"/>
            <w:tcBorders>
              <w:top w:val="single" w:sz="4" w:space="0" w:color="auto"/>
              <w:left w:val="single" w:sz="4" w:space="0" w:color="auto"/>
              <w:bottom w:val="single" w:sz="4" w:space="0" w:color="auto"/>
              <w:right w:val="single" w:sz="4" w:space="0" w:color="auto"/>
            </w:tcBorders>
            <w:vAlign w:val="center"/>
          </w:tcPr>
          <w:p w:rsidR="00FD4B48" w:rsidRPr="000C6B60" w:rsidRDefault="00FD4B4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FD4B48" w:rsidRPr="000C6B60" w:rsidRDefault="00FD4B4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1,88</w:t>
            </w:r>
          </w:p>
        </w:tc>
        <w:tc>
          <w:tcPr>
            <w:tcW w:w="968" w:type="dxa"/>
            <w:tcBorders>
              <w:top w:val="single" w:sz="4" w:space="0" w:color="auto"/>
              <w:left w:val="single" w:sz="4" w:space="0" w:color="auto"/>
              <w:bottom w:val="single" w:sz="4" w:space="0" w:color="auto"/>
              <w:right w:val="single" w:sz="4" w:space="0" w:color="auto"/>
            </w:tcBorders>
            <w:vAlign w:val="center"/>
          </w:tcPr>
          <w:p w:rsidR="00FD4B48" w:rsidRPr="000C6B60" w:rsidRDefault="00FD4B4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FD4B48" w:rsidRPr="000C6B60" w:rsidRDefault="00FD4B4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4,48</w:t>
            </w:r>
          </w:p>
        </w:tc>
        <w:tc>
          <w:tcPr>
            <w:tcW w:w="968" w:type="dxa"/>
            <w:tcBorders>
              <w:top w:val="single" w:sz="4" w:space="0" w:color="auto"/>
              <w:left w:val="single" w:sz="4" w:space="0" w:color="auto"/>
              <w:bottom w:val="single" w:sz="4" w:space="0" w:color="auto"/>
              <w:right w:val="single" w:sz="4" w:space="0" w:color="auto"/>
            </w:tcBorders>
            <w:vAlign w:val="center"/>
          </w:tcPr>
          <w:p w:rsidR="00FD4B48" w:rsidRPr="000C6B60" w:rsidRDefault="00FD4B4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FD4B48" w:rsidRPr="000C6B60" w:rsidRDefault="00FD4B4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0,75</w:t>
            </w:r>
          </w:p>
        </w:tc>
      </w:tr>
      <w:tr w:rsidR="00FD4B48" w:rsidRPr="000C6B60" w:rsidTr="00FD4B48">
        <w:trPr>
          <w:trHeight w:val="216"/>
        </w:trPr>
        <w:tc>
          <w:tcPr>
            <w:tcW w:w="4536" w:type="dxa"/>
            <w:tcBorders>
              <w:top w:val="single" w:sz="4" w:space="0" w:color="auto"/>
              <w:left w:val="single" w:sz="4" w:space="0" w:color="auto"/>
              <w:bottom w:val="single" w:sz="4" w:space="0" w:color="auto"/>
              <w:right w:val="single" w:sz="4" w:space="0" w:color="auto"/>
            </w:tcBorders>
            <w:vAlign w:val="center"/>
          </w:tcPr>
          <w:p w:rsidR="00FD4B48" w:rsidRPr="000C6B60" w:rsidRDefault="00FD4B48" w:rsidP="00FD4B48">
            <w:pPr>
              <w:keepNext/>
              <w:spacing w:line="276" w:lineRule="auto"/>
              <w:rPr>
                <w:rFonts w:eastAsia="Times New Roman"/>
                <w:sz w:val="24"/>
                <w:szCs w:val="24"/>
                <w:lang w:eastAsia="ru-RU"/>
              </w:rPr>
            </w:pPr>
            <w:r w:rsidRPr="000C6B60">
              <w:rPr>
                <w:rFonts w:eastAsia="Times New Roman"/>
                <w:sz w:val="24"/>
                <w:szCs w:val="24"/>
                <w:lang w:eastAsia="ru-RU"/>
              </w:rPr>
              <w:t>Рівень неонатальної смертності</w:t>
            </w:r>
          </w:p>
        </w:tc>
        <w:tc>
          <w:tcPr>
            <w:tcW w:w="968" w:type="dxa"/>
            <w:tcBorders>
              <w:top w:val="single" w:sz="4" w:space="0" w:color="auto"/>
              <w:left w:val="single" w:sz="4" w:space="0" w:color="auto"/>
              <w:bottom w:val="single" w:sz="4" w:space="0" w:color="auto"/>
              <w:right w:val="single" w:sz="4" w:space="0" w:color="auto"/>
            </w:tcBorders>
            <w:vAlign w:val="center"/>
          </w:tcPr>
          <w:p w:rsidR="00FD4B48" w:rsidRPr="000C6B60" w:rsidRDefault="00FD4B4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4,1</w:t>
            </w:r>
          </w:p>
        </w:tc>
        <w:tc>
          <w:tcPr>
            <w:tcW w:w="969" w:type="dxa"/>
            <w:tcBorders>
              <w:top w:val="single" w:sz="4" w:space="0" w:color="auto"/>
              <w:left w:val="single" w:sz="4" w:space="0" w:color="auto"/>
              <w:bottom w:val="single" w:sz="4" w:space="0" w:color="auto"/>
              <w:right w:val="single" w:sz="4" w:space="0" w:color="auto"/>
            </w:tcBorders>
            <w:vAlign w:val="center"/>
          </w:tcPr>
          <w:p w:rsidR="00FD4B48" w:rsidRPr="000C6B60" w:rsidRDefault="00FD4B4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FD4B48" w:rsidRPr="000C6B60" w:rsidRDefault="00FD4B4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5,85</w:t>
            </w:r>
          </w:p>
        </w:tc>
        <w:tc>
          <w:tcPr>
            <w:tcW w:w="969" w:type="dxa"/>
            <w:tcBorders>
              <w:top w:val="single" w:sz="4" w:space="0" w:color="auto"/>
              <w:left w:val="single" w:sz="4" w:space="0" w:color="auto"/>
              <w:bottom w:val="single" w:sz="4" w:space="0" w:color="auto"/>
              <w:right w:val="single" w:sz="4" w:space="0" w:color="auto"/>
            </w:tcBorders>
            <w:vAlign w:val="center"/>
          </w:tcPr>
          <w:p w:rsidR="00FD4B48" w:rsidRPr="000C6B60" w:rsidRDefault="00FD4B4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FD4B48" w:rsidRPr="000C6B60" w:rsidRDefault="00FD4B4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0,98</w:t>
            </w:r>
          </w:p>
        </w:tc>
        <w:tc>
          <w:tcPr>
            <w:tcW w:w="969" w:type="dxa"/>
            <w:tcBorders>
              <w:top w:val="single" w:sz="4" w:space="0" w:color="auto"/>
              <w:left w:val="single" w:sz="4" w:space="0" w:color="auto"/>
              <w:bottom w:val="single" w:sz="4" w:space="0" w:color="auto"/>
              <w:right w:val="single" w:sz="4" w:space="0" w:color="auto"/>
            </w:tcBorders>
            <w:vAlign w:val="center"/>
          </w:tcPr>
          <w:p w:rsidR="00FD4B48" w:rsidRPr="000C6B60" w:rsidRDefault="00FD4B4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w:t>
            </w:r>
          </w:p>
        </w:tc>
      </w:tr>
      <w:tr w:rsidR="00FD4B48" w:rsidRPr="000C6B60" w:rsidTr="00FD4B48">
        <w:trPr>
          <w:trHeight w:val="310"/>
        </w:trPr>
        <w:tc>
          <w:tcPr>
            <w:tcW w:w="4536" w:type="dxa"/>
            <w:tcBorders>
              <w:top w:val="single" w:sz="4" w:space="0" w:color="auto"/>
              <w:left w:val="single" w:sz="4" w:space="0" w:color="auto"/>
              <w:bottom w:val="single" w:sz="4" w:space="0" w:color="auto"/>
              <w:right w:val="single" w:sz="4" w:space="0" w:color="auto"/>
            </w:tcBorders>
            <w:vAlign w:val="center"/>
          </w:tcPr>
          <w:p w:rsidR="00FD4B48" w:rsidRPr="000C6B60" w:rsidRDefault="00FD4B48" w:rsidP="00FD4B48">
            <w:pPr>
              <w:keepNext/>
              <w:spacing w:line="276" w:lineRule="auto"/>
              <w:jc w:val="left"/>
              <w:rPr>
                <w:rFonts w:eastAsia="Times New Roman"/>
                <w:sz w:val="24"/>
                <w:szCs w:val="24"/>
                <w:lang w:eastAsia="ru-RU"/>
              </w:rPr>
            </w:pPr>
            <w:r w:rsidRPr="000C6B60">
              <w:rPr>
                <w:rFonts w:eastAsia="Times New Roman"/>
                <w:sz w:val="24"/>
                <w:szCs w:val="24"/>
                <w:lang w:eastAsia="ru-RU"/>
              </w:rPr>
              <w:t xml:space="preserve">Рівень ранньої неонатальної смертності </w:t>
            </w:r>
          </w:p>
        </w:tc>
        <w:tc>
          <w:tcPr>
            <w:tcW w:w="968" w:type="dxa"/>
            <w:tcBorders>
              <w:top w:val="single" w:sz="4" w:space="0" w:color="auto"/>
              <w:left w:val="single" w:sz="4" w:space="0" w:color="auto"/>
              <w:bottom w:val="single" w:sz="4" w:space="0" w:color="auto"/>
              <w:right w:val="single" w:sz="4" w:space="0" w:color="auto"/>
            </w:tcBorders>
            <w:vAlign w:val="center"/>
          </w:tcPr>
          <w:p w:rsidR="00FD4B48" w:rsidRPr="000C6B60" w:rsidRDefault="00FD4B4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FD4B48" w:rsidRPr="000C6B60" w:rsidRDefault="00FD4B4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3,17</w:t>
            </w:r>
          </w:p>
        </w:tc>
        <w:tc>
          <w:tcPr>
            <w:tcW w:w="968" w:type="dxa"/>
            <w:tcBorders>
              <w:top w:val="single" w:sz="4" w:space="0" w:color="auto"/>
              <w:left w:val="single" w:sz="4" w:space="0" w:color="auto"/>
              <w:bottom w:val="single" w:sz="4" w:space="0" w:color="auto"/>
              <w:right w:val="single" w:sz="4" w:space="0" w:color="auto"/>
            </w:tcBorders>
            <w:vAlign w:val="center"/>
          </w:tcPr>
          <w:p w:rsidR="00FD4B48" w:rsidRPr="000C6B60" w:rsidRDefault="00FD4B4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FD4B48" w:rsidRPr="000C6B60" w:rsidRDefault="00FD4B4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5,15</w:t>
            </w:r>
          </w:p>
        </w:tc>
        <w:tc>
          <w:tcPr>
            <w:tcW w:w="968" w:type="dxa"/>
            <w:tcBorders>
              <w:top w:val="single" w:sz="4" w:space="0" w:color="auto"/>
              <w:left w:val="single" w:sz="4" w:space="0" w:color="auto"/>
              <w:bottom w:val="single" w:sz="4" w:space="0" w:color="auto"/>
              <w:right w:val="single" w:sz="4" w:space="0" w:color="auto"/>
            </w:tcBorders>
            <w:vAlign w:val="center"/>
          </w:tcPr>
          <w:p w:rsidR="00FD4B48" w:rsidRPr="000C6B60" w:rsidRDefault="00FD4B48" w:rsidP="00FD4B48">
            <w:pPr>
              <w:keepNext/>
              <w:spacing w:line="276" w:lineRule="auto"/>
              <w:jc w:val="center"/>
              <w:rPr>
                <w:rFonts w:eastAsia="Times New Roman"/>
                <w:sz w:val="24"/>
                <w:szCs w:val="24"/>
                <w:lang w:eastAsia="ru-RU"/>
              </w:rPr>
            </w:pPr>
          </w:p>
        </w:tc>
        <w:tc>
          <w:tcPr>
            <w:tcW w:w="969" w:type="dxa"/>
            <w:tcBorders>
              <w:top w:val="single" w:sz="4" w:space="0" w:color="auto"/>
              <w:left w:val="single" w:sz="4" w:space="0" w:color="auto"/>
              <w:bottom w:val="single" w:sz="4" w:space="0" w:color="auto"/>
              <w:right w:val="single" w:sz="4" w:space="0" w:color="auto"/>
            </w:tcBorders>
            <w:vAlign w:val="center"/>
          </w:tcPr>
          <w:p w:rsidR="00FD4B48" w:rsidRPr="000C6B60" w:rsidRDefault="00FD4B4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0,86</w:t>
            </w:r>
          </w:p>
        </w:tc>
      </w:tr>
      <w:tr w:rsidR="00FD4B48" w:rsidRPr="000C6B60" w:rsidTr="00FD4B48">
        <w:trPr>
          <w:trHeight w:val="286"/>
        </w:trPr>
        <w:tc>
          <w:tcPr>
            <w:tcW w:w="4536" w:type="dxa"/>
            <w:tcBorders>
              <w:top w:val="single" w:sz="4" w:space="0" w:color="auto"/>
              <w:left w:val="single" w:sz="4" w:space="0" w:color="auto"/>
              <w:bottom w:val="single" w:sz="4" w:space="0" w:color="auto"/>
              <w:right w:val="single" w:sz="4" w:space="0" w:color="auto"/>
            </w:tcBorders>
            <w:vAlign w:val="bottom"/>
          </w:tcPr>
          <w:p w:rsidR="00FD4B48" w:rsidRPr="000C6B60" w:rsidRDefault="00FD4B48" w:rsidP="00FD4B48">
            <w:pPr>
              <w:keepNext/>
              <w:spacing w:line="276" w:lineRule="auto"/>
              <w:jc w:val="left"/>
              <w:rPr>
                <w:rFonts w:eastAsia="Times New Roman"/>
                <w:sz w:val="24"/>
                <w:szCs w:val="24"/>
                <w:lang w:eastAsia="ru-RU"/>
              </w:rPr>
            </w:pPr>
            <w:r w:rsidRPr="000C6B60">
              <w:rPr>
                <w:rFonts w:eastAsia="Times New Roman"/>
                <w:sz w:val="24"/>
                <w:szCs w:val="24"/>
                <w:lang w:eastAsia="ru-RU"/>
              </w:rPr>
              <w:t xml:space="preserve">Рівень материнської смертності </w:t>
            </w:r>
          </w:p>
        </w:tc>
        <w:tc>
          <w:tcPr>
            <w:tcW w:w="968" w:type="dxa"/>
            <w:tcBorders>
              <w:top w:val="single" w:sz="4" w:space="0" w:color="auto"/>
              <w:left w:val="single" w:sz="4" w:space="0" w:color="auto"/>
              <w:bottom w:val="single" w:sz="4" w:space="0" w:color="auto"/>
              <w:right w:val="single" w:sz="4" w:space="0" w:color="auto"/>
            </w:tcBorders>
            <w:vAlign w:val="center"/>
          </w:tcPr>
          <w:p w:rsidR="00FD4B48" w:rsidRPr="000C6B60" w:rsidRDefault="00FD4B4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42,4</w:t>
            </w:r>
          </w:p>
        </w:tc>
        <w:tc>
          <w:tcPr>
            <w:tcW w:w="969" w:type="dxa"/>
            <w:tcBorders>
              <w:top w:val="single" w:sz="4" w:space="0" w:color="auto"/>
              <w:left w:val="single" w:sz="4" w:space="0" w:color="auto"/>
              <w:bottom w:val="single" w:sz="4" w:space="0" w:color="auto"/>
              <w:right w:val="single" w:sz="4" w:space="0" w:color="auto"/>
            </w:tcBorders>
            <w:vAlign w:val="center"/>
          </w:tcPr>
          <w:p w:rsidR="00FD4B48" w:rsidRPr="000C6B60" w:rsidRDefault="00FD4B4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0,00</w:t>
            </w:r>
          </w:p>
        </w:tc>
        <w:tc>
          <w:tcPr>
            <w:tcW w:w="968" w:type="dxa"/>
            <w:tcBorders>
              <w:top w:val="single" w:sz="4" w:space="0" w:color="auto"/>
              <w:left w:val="single" w:sz="4" w:space="0" w:color="auto"/>
              <w:bottom w:val="single" w:sz="4" w:space="0" w:color="auto"/>
              <w:right w:val="single" w:sz="4" w:space="0" w:color="auto"/>
            </w:tcBorders>
            <w:vAlign w:val="center"/>
          </w:tcPr>
          <w:p w:rsidR="00FD4B48" w:rsidRPr="000C6B60" w:rsidRDefault="00FD4B4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0,00</w:t>
            </w:r>
          </w:p>
        </w:tc>
        <w:tc>
          <w:tcPr>
            <w:tcW w:w="969" w:type="dxa"/>
            <w:tcBorders>
              <w:top w:val="single" w:sz="4" w:space="0" w:color="auto"/>
              <w:left w:val="single" w:sz="4" w:space="0" w:color="auto"/>
              <w:bottom w:val="single" w:sz="4" w:space="0" w:color="auto"/>
              <w:right w:val="single" w:sz="4" w:space="0" w:color="auto"/>
            </w:tcBorders>
            <w:vAlign w:val="center"/>
          </w:tcPr>
          <w:p w:rsidR="00FD4B48" w:rsidRPr="000C6B60" w:rsidRDefault="00FD4B4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5,0</w:t>
            </w:r>
          </w:p>
        </w:tc>
        <w:tc>
          <w:tcPr>
            <w:tcW w:w="968" w:type="dxa"/>
            <w:tcBorders>
              <w:top w:val="single" w:sz="4" w:space="0" w:color="auto"/>
              <w:left w:val="single" w:sz="4" w:space="0" w:color="auto"/>
              <w:bottom w:val="single" w:sz="4" w:space="0" w:color="auto"/>
              <w:right w:val="single" w:sz="4" w:space="0" w:color="auto"/>
            </w:tcBorders>
            <w:vAlign w:val="center"/>
          </w:tcPr>
          <w:p w:rsidR="00FD4B48" w:rsidRPr="000C6B60" w:rsidRDefault="00FD4B4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0,00</w:t>
            </w:r>
          </w:p>
        </w:tc>
        <w:tc>
          <w:tcPr>
            <w:tcW w:w="969" w:type="dxa"/>
            <w:tcBorders>
              <w:top w:val="single" w:sz="4" w:space="0" w:color="auto"/>
              <w:left w:val="single" w:sz="4" w:space="0" w:color="auto"/>
              <w:bottom w:val="single" w:sz="4" w:space="0" w:color="auto"/>
              <w:right w:val="single" w:sz="4" w:space="0" w:color="auto"/>
            </w:tcBorders>
            <w:vAlign w:val="center"/>
          </w:tcPr>
          <w:p w:rsidR="00FD4B48" w:rsidRPr="000C6B60" w:rsidRDefault="00FD4B48" w:rsidP="00FD4B48">
            <w:pPr>
              <w:keepNext/>
              <w:spacing w:line="276" w:lineRule="auto"/>
              <w:jc w:val="center"/>
              <w:rPr>
                <w:rFonts w:eastAsia="Times New Roman"/>
                <w:sz w:val="24"/>
                <w:szCs w:val="24"/>
                <w:lang w:eastAsia="ru-RU"/>
              </w:rPr>
            </w:pPr>
            <w:r w:rsidRPr="000C6B60">
              <w:rPr>
                <w:rFonts w:eastAsia="Times New Roman"/>
                <w:sz w:val="24"/>
                <w:szCs w:val="24"/>
                <w:lang w:eastAsia="ru-RU"/>
              </w:rPr>
              <w:t>1,00</w:t>
            </w:r>
          </w:p>
        </w:tc>
      </w:tr>
      <w:tr w:rsidR="00FD4B48" w:rsidRPr="000C6B60" w:rsidTr="00FD4B48">
        <w:trPr>
          <w:trHeight w:val="276"/>
        </w:trPr>
        <w:tc>
          <w:tcPr>
            <w:tcW w:w="4536" w:type="dxa"/>
            <w:tcBorders>
              <w:top w:val="single" w:sz="4" w:space="0" w:color="auto"/>
              <w:left w:val="single" w:sz="4" w:space="0" w:color="auto"/>
              <w:bottom w:val="single" w:sz="4" w:space="0" w:color="auto"/>
              <w:right w:val="single" w:sz="4" w:space="0" w:color="auto"/>
            </w:tcBorders>
            <w:vAlign w:val="bottom"/>
          </w:tcPr>
          <w:p w:rsidR="00FD4B48" w:rsidRPr="000C6B60" w:rsidRDefault="00FD4B48" w:rsidP="00FD4B48">
            <w:pPr>
              <w:keepNext/>
              <w:spacing w:line="276" w:lineRule="auto"/>
              <w:jc w:val="left"/>
              <w:rPr>
                <w:rFonts w:eastAsia="Times New Roman"/>
                <w:sz w:val="24"/>
                <w:szCs w:val="24"/>
                <w:lang w:eastAsia="ru-RU"/>
              </w:rPr>
            </w:pPr>
          </w:p>
        </w:tc>
        <w:tc>
          <w:tcPr>
            <w:tcW w:w="968" w:type="dxa"/>
            <w:tcBorders>
              <w:top w:val="single" w:sz="4" w:space="0" w:color="auto"/>
              <w:left w:val="single" w:sz="4" w:space="0" w:color="auto"/>
              <w:bottom w:val="single" w:sz="4" w:space="0" w:color="auto"/>
              <w:right w:val="single" w:sz="4" w:space="0" w:color="auto"/>
            </w:tcBorders>
            <w:vAlign w:val="center"/>
          </w:tcPr>
          <w:p w:rsidR="00FD4B48" w:rsidRPr="000C6B60" w:rsidRDefault="00FD4B48" w:rsidP="00FD4B48">
            <w:pPr>
              <w:keepNext/>
              <w:spacing w:line="276" w:lineRule="auto"/>
              <w:jc w:val="center"/>
              <w:rPr>
                <w:rFonts w:eastAsia="Times New Roman"/>
                <w:sz w:val="24"/>
                <w:szCs w:val="24"/>
                <w:lang w:eastAsia="ru-RU"/>
              </w:rPr>
            </w:pPr>
          </w:p>
        </w:tc>
        <w:tc>
          <w:tcPr>
            <w:tcW w:w="969" w:type="dxa"/>
            <w:tcBorders>
              <w:top w:val="single" w:sz="4" w:space="0" w:color="auto"/>
              <w:left w:val="single" w:sz="4" w:space="0" w:color="auto"/>
              <w:bottom w:val="single" w:sz="4" w:space="0" w:color="auto"/>
              <w:right w:val="single" w:sz="4" w:space="0" w:color="auto"/>
            </w:tcBorders>
            <w:vAlign w:val="center"/>
          </w:tcPr>
          <w:p w:rsidR="00FD4B48" w:rsidRPr="000C6B60" w:rsidRDefault="00FD4B48" w:rsidP="00FD4B48">
            <w:pPr>
              <w:keepNext/>
              <w:spacing w:line="276" w:lineRule="auto"/>
              <w:jc w:val="center"/>
              <w:rPr>
                <w:rFonts w:eastAsia="Times New Roman"/>
                <w:color w:val="000000"/>
                <w:sz w:val="24"/>
                <w:szCs w:val="24"/>
                <w:lang w:eastAsia="ru-RU"/>
              </w:rPr>
            </w:pPr>
          </w:p>
        </w:tc>
        <w:tc>
          <w:tcPr>
            <w:tcW w:w="968" w:type="dxa"/>
            <w:tcBorders>
              <w:top w:val="single" w:sz="4" w:space="0" w:color="auto"/>
              <w:left w:val="single" w:sz="4" w:space="0" w:color="auto"/>
              <w:bottom w:val="single" w:sz="4" w:space="0" w:color="auto"/>
              <w:right w:val="single" w:sz="4" w:space="0" w:color="auto"/>
            </w:tcBorders>
            <w:vAlign w:val="center"/>
          </w:tcPr>
          <w:p w:rsidR="00FD4B48" w:rsidRPr="000C6B60" w:rsidRDefault="00FD4B48" w:rsidP="00FD4B48">
            <w:pPr>
              <w:keepNext/>
              <w:spacing w:line="276" w:lineRule="auto"/>
              <w:jc w:val="center"/>
              <w:rPr>
                <w:rFonts w:eastAsia="Times New Roman"/>
                <w:color w:val="000000"/>
                <w:sz w:val="24"/>
                <w:szCs w:val="24"/>
                <w:lang w:eastAsia="ru-RU"/>
              </w:rPr>
            </w:pPr>
            <w:r w:rsidRPr="000C6B60">
              <w:rPr>
                <w:rFonts w:eastAsia="Times New Roman"/>
                <w:color w:val="000000"/>
                <w:sz w:val="24"/>
                <w:szCs w:val="24"/>
                <w:lang w:eastAsia="ru-RU"/>
              </w:rPr>
              <w:t>96,3</w:t>
            </w:r>
          </w:p>
        </w:tc>
        <w:tc>
          <w:tcPr>
            <w:tcW w:w="969" w:type="dxa"/>
            <w:tcBorders>
              <w:top w:val="single" w:sz="4" w:space="0" w:color="auto"/>
              <w:left w:val="single" w:sz="4" w:space="0" w:color="auto"/>
              <w:bottom w:val="single" w:sz="4" w:space="0" w:color="auto"/>
              <w:right w:val="single" w:sz="4" w:space="0" w:color="auto"/>
            </w:tcBorders>
            <w:vAlign w:val="center"/>
          </w:tcPr>
          <w:p w:rsidR="00FD4B48" w:rsidRPr="000C6B60" w:rsidRDefault="00FD4B48" w:rsidP="00FD4B48">
            <w:pPr>
              <w:keepNext/>
              <w:spacing w:line="276" w:lineRule="auto"/>
              <w:jc w:val="center"/>
              <w:rPr>
                <w:rFonts w:eastAsia="Times New Roman"/>
                <w:color w:val="000000"/>
                <w:sz w:val="24"/>
                <w:szCs w:val="24"/>
                <w:lang w:eastAsia="ru-RU"/>
              </w:rPr>
            </w:pPr>
            <w:r w:rsidRPr="000C6B60">
              <w:rPr>
                <w:rFonts w:eastAsia="Times New Roman"/>
                <w:color w:val="000000"/>
                <w:sz w:val="24"/>
                <w:szCs w:val="24"/>
                <w:lang w:eastAsia="ru-RU"/>
              </w:rPr>
              <w:t>111,2</w:t>
            </w:r>
          </w:p>
        </w:tc>
        <w:tc>
          <w:tcPr>
            <w:tcW w:w="968" w:type="dxa"/>
            <w:tcBorders>
              <w:top w:val="single" w:sz="4" w:space="0" w:color="auto"/>
              <w:left w:val="single" w:sz="4" w:space="0" w:color="auto"/>
              <w:bottom w:val="single" w:sz="4" w:space="0" w:color="auto"/>
              <w:right w:val="single" w:sz="4" w:space="0" w:color="auto"/>
            </w:tcBorders>
            <w:vAlign w:val="center"/>
          </w:tcPr>
          <w:p w:rsidR="00FD4B48" w:rsidRPr="000C6B60" w:rsidRDefault="00FD4B48" w:rsidP="00FD4B48">
            <w:pPr>
              <w:keepNext/>
              <w:spacing w:line="276" w:lineRule="auto"/>
              <w:jc w:val="center"/>
              <w:rPr>
                <w:rFonts w:eastAsia="Times New Roman"/>
                <w:color w:val="000000"/>
                <w:sz w:val="24"/>
                <w:szCs w:val="24"/>
                <w:lang w:eastAsia="ru-RU"/>
              </w:rPr>
            </w:pPr>
            <w:r w:rsidRPr="000C6B60">
              <w:rPr>
                <w:rFonts w:eastAsia="Times New Roman"/>
                <w:color w:val="000000"/>
                <w:sz w:val="24"/>
                <w:szCs w:val="24"/>
                <w:lang w:eastAsia="ru-RU"/>
              </w:rPr>
              <w:t>0,80</w:t>
            </w:r>
          </w:p>
        </w:tc>
        <w:tc>
          <w:tcPr>
            <w:tcW w:w="969" w:type="dxa"/>
            <w:tcBorders>
              <w:top w:val="single" w:sz="4" w:space="0" w:color="auto"/>
              <w:left w:val="single" w:sz="4" w:space="0" w:color="auto"/>
              <w:bottom w:val="single" w:sz="4" w:space="0" w:color="auto"/>
              <w:right w:val="single" w:sz="4" w:space="0" w:color="auto"/>
            </w:tcBorders>
            <w:vAlign w:val="center"/>
          </w:tcPr>
          <w:p w:rsidR="00FD4B48" w:rsidRPr="000C6B60" w:rsidRDefault="00FD4B48" w:rsidP="00FD4B48">
            <w:pPr>
              <w:keepNext/>
              <w:spacing w:line="276" w:lineRule="auto"/>
              <w:jc w:val="center"/>
              <w:rPr>
                <w:rFonts w:eastAsia="Times New Roman"/>
                <w:color w:val="000000"/>
                <w:sz w:val="24"/>
                <w:szCs w:val="24"/>
                <w:lang w:eastAsia="ru-RU"/>
              </w:rPr>
            </w:pPr>
            <w:r w:rsidRPr="000C6B60">
              <w:rPr>
                <w:rFonts w:eastAsia="Times New Roman"/>
                <w:color w:val="000000"/>
                <w:sz w:val="24"/>
                <w:szCs w:val="24"/>
                <w:lang w:eastAsia="ru-RU"/>
              </w:rPr>
              <w:t>0,86</w:t>
            </w:r>
          </w:p>
        </w:tc>
      </w:tr>
    </w:tbl>
    <w:p w:rsidR="00991406" w:rsidRPr="00B95636" w:rsidRDefault="00FD4B48" w:rsidP="00B95636">
      <w:pPr>
        <w:jc w:val="right"/>
        <w:rPr>
          <w:i/>
          <w:lang w:val="ru-RU"/>
        </w:rPr>
      </w:pPr>
      <w:r w:rsidRPr="00FD4B48">
        <w:rPr>
          <w:i/>
          <w:lang w:val="ru-RU"/>
        </w:rPr>
        <w:t>Продовження додаток Е-</w:t>
      </w:r>
      <w:r w:rsidR="00B95636">
        <w:rPr>
          <w:i/>
          <w:lang w:val="ru-RU"/>
        </w:rPr>
        <w:t>1</w:t>
      </w:r>
      <w:r w:rsidR="00150E80">
        <w:rPr>
          <w:i/>
          <w:lang w:val="ru-RU"/>
        </w:rPr>
        <w:t>0</w:t>
      </w:r>
    </w:p>
    <w:p w:rsidR="00C43972" w:rsidRPr="00B95636" w:rsidRDefault="00C43972" w:rsidP="00474500">
      <w:pPr>
        <w:pageBreakBefore/>
        <w:widowControl w:val="0"/>
        <w:jc w:val="right"/>
        <w:rPr>
          <w:rFonts w:eastAsia="Times New Roman"/>
          <w:bCs/>
          <w:iCs/>
          <w:color w:val="000000"/>
          <w:szCs w:val="28"/>
          <w:lang w:val="ru-RU" w:eastAsia="uk-UA"/>
        </w:rPr>
      </w:pPr>
      <w:r w:rsidRPr="00B95636">
        <w:rPr>
          <w:rFonts w:eastAsia="Times New Roman"/>
          <w:bCs/>
          <w:iCs/>
          <w:color w:val="000000"/>
          <w:szCs w:val="28"/>
          <w:lang w:val="ru-RU" w:eastAsia="uk-UA"/>
        </w:rPr>
        <w:lastRenderedPageBreak/>
        <w:t xml:space="preserve">Додаток </w:t>
      </w:r>
      <w:r w:rsidR="00535BCC" w:rsidRPr="00B95636">
        <w:rPr>
          <w:rFonts w:eastAsia="Times New Roman"/>
          <w:bCs/>
          <w:iCs/>
          <w:color w:val="000000"/>
          <w:szCs w:val="28"/>
          <w:lang w:eastAsia="uk-UA"/>
        </w:rPr>
        <w:t>Е</w:t>
      </w:r>
      <w:r w:rsidRPr="00B95636">
        <w:rPr>
          <w:rFonts w:eastAsia="Times New Roman"/>
          <w:bCs/>
          <w:iCs/>
          <w:color w:val="000000"/>
          <w:szCs w:val="28"/>
          <w:lang w:eastAsia="uk-UA"/>
        </w:rPr>
        <w:t>-11</w:t>
      </w:r>
    </w:p>
    <w:p w:rsidR="00C43972" w:rsidRPr="00B95636" w:rsidRDefault="00C43972" w:rsidP="00B95636">
      <w:pPr>
        <w:keepNext/>
        <w:jc w:val="center"/>
        <w:rPr>
          <w:rFonts w:eastAsia="Times New Roman"/>
          <w:b/>
          <w:sz w:val="24"/>
          <w:szCs w:val="24"/>
          <w:lang w:eastAsia="ru-RU"/>
        </w:rPr>
      </w:pPr>
      <w:r w:rsidRPr="00B95636">
        <w:rPr>
          <w:rFonts w:eastAsia="Times New Roman"/>
          <w:b/>
          <w:bCs/>
          <w:iCs/>
          <w:color w:val="000000"/>
          <w:szCs w:val="28"/>
          <w:lang w:eastAsia="uk-UA"/>
        </w:rPr>
        <w:t xml:space="preserve">Комплексна оцінка діяльності закладів перинатальної допомоги Івано-Франківської </w:t>
      </w:r>
      <w:r w:rsidRPr="00B95636">
        <w:rPr>
          <w:rFonts w:eastAsia="Times New Roman"/>
          <w:b/>
          <w:bCs/>
          <w:iCs/>
          <w:color w:val="000000"/>
          <w:sz w:val="26"/>
          <w:szCs w:val="26"/>
          <w:lang w:eastAsia="uk-UA"/>
        </w:rPr>
        <w:t xml:space="preserve">області у </w:t>
      </w:r>
      <w:r w:rsidRPr="00B95636">
        <w:rPr>
          <w:rFonts w:eastAsia="Times New Roman"/>
          <w:b/>
          <w:bCs/>
          <w:iCs/>
          <w:color w:val="000000"/>
          <w:szCs w:val="28"/>
          <w:lang w:eastAsia="uk-UA"/>
        </w:rPr>
        <w:t>2017–2018 рр.</w:t>
      </w:r>
    </w:p>
    <w:tbl>
      <w:tblPr>
        <w:tblW w:w="10347" w:type="dxa"/>
        <w:jc w:val="center"/>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36"/>
        <w:gridCol w:w="968"/>
        <w:gridCol w:w="969"/>
        <w:gridCol w:w="968"/>
        <w:gridCol w:w="969"/>
        <w:gridCol w:w="968"/>
        <w:gridCol w:w="969"/>
      </w:tblGrid>
      <w:tr w:rsidR="00B95636" w:rsidRPr="00B95636" w:rsidTr="00B95636">
        <w:trPr>
          <w:cantSplit/>
          <w:trHeight w:val="794"/>
          <w:jc w:val="center"/>
        </w:trPr>
        <w:tc>
          <w:tcPr>
            <w:tcW w:w="4536" w:type="dxa"/>
            <w:vMerge w:val="restart"/>
            <w:tcBorders>
              <w:top w:val="single" w:sz="4" w:space="0" w:color="auto"/>
              <w:left w:val="single" w:sz="4" w:space="0" w:color="auto"/>
              <w:right w:val="single" w:sz="4" w:space="0" w:color="auto"/>
            </w:tcBorders>
            <w:vAlign w:val="center"/>
            <w:hideMark/>
          </w:tcPr>
          <w:p w:rsidR="00B95636" w:rsidRPr="00B95636" w:rsidRDefault="00B95636" w:rsidP="00B95636">
            <w:pPr>
              <w:keepNext/>
              <w:spacing w:line="276" w:lineRule="auto"/>
              <w:jc w:val="center"/>
              <w:rPr>
                <w:rFonts w:eastAsia="Times New Roman"/>
                <w:color w:val="000000"/>
                <w:sz w:val="24"/>
                <w:szCs w:val="24"/>
                <w:lang w:eastAsia="uk-UA"/>
              </w:rPr>
            </w:pPr>
            <w:r w:rsidRPr="00B95636">
              <w:rPr>
                <w:rFonts w:eastAsia="Times New Roman"/>
                <w:color w:val="000000"/>
                <w:sz w:val="24"/>
                <w:szCs w:val="24"/>
                <w:lang w:eastAsia="uk-UA"/>
              </w:rPr>
              <w:t>Індикатор якості</w:t>
            </w:r>
          </w:p>
        </w:tc>
        <w:tc>
          <w:tcPr>
            <w:tcW w:w="1937" w:type="dxa"/>
            <w:gridSpan w:val="2"/>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color w:val="000000"/>
                <w:sz w:val="24"/>
                <w:szCs w:val="24"/>
                <w:lang w:eastAsia="uk-UA"/>
              </w:rPr>
            </w:pPr>
            <w:r w:rsidRPr="00B95636">
              <w:rPr>
                <w:rFonts w:eastAsia="Times New Roman"/>
                <w:color w:val="000000"/>
                <w:sz w:val="24"/>
                <w:szCs w:val="24"/>
                <w:lang w:eastAsia="uk-UA"/>
              </w:rPr>
              <w:t xml:space="preserve">Фактичний показник, </w:t>
            </w:r>
            <w:r w:rsidRPr="00B95636">
              <w:rPr>
                <w:rFonts w:eastAsia="Times New Roman"/>
                <w:sz w:val="24"/>
                <w:szCs w:val="24"/>
                <w:lang w:eastAsia="uk-UA"/>
              </w:rPr>
              <w:t>Україна</w:t>
            </w:r>
          </w:p>
        </w:tc>
        <w:tc>
          <w:tcPr>
            <w:tcW w:w="1937" w:type="dxa"/>
            <w:gridSpan w:val="2"/>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color w:val="000000"/>
                <w:sz w:val="24"/>
                <w:szCs w:val="24"/>
                <w:lang w:eastAsia="uk-UA"/>
              </w:rPr>
            </w:pPr>
            <w:r w:rsidRPr="00B95636">
              <w:rPr>
                <w:rFonts w:eastAsia="Times New Roman"/>
                <w:color w:val="000000"/>
                <w:sz w:val="24"/>
                <w:szCs w:val="24"/>
                <w:lang w:eastAsia="uk-UA"/>
              </w:rPr>
              <w:t>Бальна оцінка фактичного показника</w:t>
            </w:r>
          </w:p>
        </w:tc>
        <w:tc>
          <w:tcPr>
            <w:tcW w:w="1937" w:type="dxa"/>
            <w:gridSpan w:val="2"/>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color w:val="000000"/>
                <w:sz w:val="24"/>
                <w:szCs w:val="24"/>
                <w:lang w:eastAsia="uk-UA"/>
              </w:rPr>
            </w:pPr>
            <w:r w:rsidRPr="00B95636">
              <w:rPr>
                <w:rFonts w:eastAsia="Times New Roman"/>
                <w:color w:val="000000"/>
                <w:sz w:val="24"/>
                <w:szCs w:val="24"/>
                <w:lang w:eastAsia="uk-UA"/>
              </w:rPr>
              <w:t>КДНЗ</w:t>
            </w:r>
          </w:p>
        </w:tc>
      </w:tr>
      <w:tr w:rsidR="00B95636" w:rsidRPr="00B95636" w:rsidTr="00B95636">
        <w:trPr>
          <w:trHeight w:val="404"/>
          <w:jc w:val="center"/>
        </w:trPr>
        <w:tc>
          <w:tcPr>
            <w:tcW w:w="4536" w:type="dxa"/>
            <w:vMerge/>
            <w:tcBorders>
              <w:left w:val="single" w:sz="4" w:space="0" w:color="auto"/>
              <w:bottom w:val="single" w:sz="4" w:space="0" w:color="auto"/>
              <w:right w:val="single" w:sz="4" w:space="0" w:color="auto"/>
            </w:tcBorders>
            <w:vAlign w:val="bottom"/>
          </w:tcPr>
          <w:p w:rsidR="00B95636" w:rsidRPr="00B95636" w:rsidRDefault="00B95636" w:rsidP="00B95636">
            <w:pPr>
              <w:keepNext/>
              <w:spacing w:line="276" w:lineRule="auto"/>
              <w:jc w:val="left"/>
              <w:rPr>
                <w:rFonts w:eastAsia="Times New Roman"/>
                <w:sz w:val="24"/>
                <w:szCs w:val="24"/>
                <w:lang w:eastAsia="ru-RU"/>
              </w:rPr>
            </w:pPr>
          </w:p>
        </w:tc>
        <w:tc>
          <w:tcPr>
            <w:tcW w:w="968"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sz w:val="24"/>
                <w:szCs w:val="24"/>
                <w:lang w:eastAsia="ru-RU"/>
              </w:rPr>
            </w:pPr>
            <w:r w:rsidRPr="00B95636">
              <w:rPr>
                <w:rFonts w:eastAsia="Times New Roman"/>
                <w:sz w:val="24"/>
                <w:szCs w:val="24"/>
                <w:lang w:eastAsia="ru-RU"/>
              </w:rPr>
              <w:t>2017 р.</w:t>
            </w:r>
          </w:p>
        </w:tc>
        <w:tc>
          <w:tcPr>
            <w:tcW w:w="969"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color w:val="000000"/>
                <w:sz w:val="24"/>
                <w:szCs w:val="24"/>
                <w:lang w:eastAsia="ru-RU"/>
              </w:rPr>
            </w:pPr>
            <w:r w:rsidRPr="00B95636">
              <w:rPr>
                <w:rFonts w:eastAsia="Times New Roman"/>
                <w:color w:val="000000"/>
                <w:sz w:val="24"/>
                <w:szCs w:val="24"/>
                <w:lang w:eastAsia="ru-RU"/>
              </w:rPr>
              <w:t>2018 р.</w:t>
            </w:r>
          </w:p>
        </w:tc>
        <w:tc>
          <w:tcPr>
            <w:tcW w:w="968"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sz w:val="24"/>
                <w:szCs w:val="24"/>
                <w:lang w:eastAsia="ru-RU"/>
              </w:rPr>
            </w:pPr>
            <w:r w:rsidRPr="00B95636">
              <w:rPr>
                <w:rFonts w:eastAsia="Times New Roman"/>
                <w:sz w:val="24"/>
                <w:szCs w:val="24"/>
                <w:lang w:eastAsia="ru-RU"/>
              </w:rPr>
              <w:t>2017 р.</w:t>
            </w:r>
          </w:p>
        </w:tc>
        <w:tc>
          <w:tcPr>
            <w:tcW w:w="969"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sz w:val="24"/>
                <w:szCs w:val="24"/>
                <w:lang w:eastAsia="ru-RU"/>
              </w:rPr>
            </w:pPr>
            <w:r w:rsidRPr="00B95636">
              <w:rPr>
                <w:rFonts w:eastAsia="Times New Roman"/>
                <w:sz w:val="24"/>
                <w:szCs w:val="24"/>
                <w:lang w:eastAsia="ru-RU"/>
              </w:rPr>
              <w:t>2017 р.</w:t>
            </w:r>
          </w:p>
        </w:tc>
        <w:tc>
          <w:tcPr>
            <w:tcW w:w="968"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color w:val="000000"/>
                <w:sz w:val="24"/>
                <w:szCs w:val="24"/>
                <w:lang w:eastAsia="ru-RU"/>
              </w:rPr>
            </w:pPr>
            <w:r w:rsidRPr="00B95636">
              <w:rPr>
                <w:rFonts w:eastAsia="Times New Roman"/>
                <w:color w:val="000000"/>
                <w:sz w:val="24"/>
                <w:szCs w:val="24"/>
                <w:lang w:eastAsia="ru-RU"/>
              </w:rPr>
              <w:t>2018 р.</w:t>
            </w:r>
          </w:p>
        </w:tc>
        <w:tc>
          <w:tcPr>
            <w:tcW w:w="969"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sz w:val="24"/>
                <w:szCs w:val="24"/>
                <w:lang w:eastAsia="ru-RU"/>
              </w:rPr>
            </w:pPr>
            <w:r w:rsidRPr="00B95636">
              <w:rPr>
                <w:rFonts w:eastAsia="Times New Roman"/>
                <w:sz w:val="24"/>
                <w:szCs w:val="24"/>
                <w:lang w:eastAsia="ru-RU"/>
              </w:rPr>
              <w:t>2017 р.</w:t>
            </w:r>
          </w:p>
        </w:tc>
      </w:tr>
      <w:tr w:rsidR="00B95636" w:rsidRPr="00B95636" w:rsidTr="00B95636">
        <w:trPr>
          <w:trHeight w:val="404"/>
          <w:jc w:val="center"/>
        </w:trPr>
        <w:tc>
          <w:tcPr>
            <w:tcW w:w="4536"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left"/>
              <w:rPr>
                <w:rFonts w:eastAsia="Times New Roman"/>
                <w:sz w:val="24"/>
                <w:szCs w:val="24"/>
                <w:lang w:eastAsia="ru-RU"/>
              </w:rPr>
            </w:pPr>
            <w:r w:rsidRPr="00B95636">
              <w:rPr>
                <w:rFonts w:eastAsia="Times New Roman"/>
                <w:sz w:val="24"/>
                <w:szCs w:val="24"/>
                <w:lang w:eastAsia="ru-RU"/>
              </w:rPr>
              <w:t>Забезпеченість  лікарями акушер-гінекологами</w:t>
            </w:r>
          </w:p>
        </w:tc>
        <w:tc>
          <w:tcPr>
            <w:tcW w:w="968"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sz w:val="24"/>
                <w:szCs w:val="24"/>
                <w:lang w:eastAsia="ru-RU"/>
              </w:rPr>
            </w:pPr>
            <w:r w:rsidRPr="00B95636">
              <w:rPr>
                <w:rFonts w:eastAsia="Times New Roman"/>
                <w:sz w:val="24"/>
                <w:szCs w:val="24"/>
                <w:lang w:eastAsia="ru-RU"/>
              </w:rPr>
              <w:t>6,48</w:t>
            </w:r>
          </w:p>
        </w:tc>
        <w:tc>
          <w:tcPr>
            <w:tcW w:w="969"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color w:val="000000"/>
                <w:sz w:val="24"/>
                <w:szCs w:val="24"/>
                <w:lang w:eastAsia="ru-RU"/>
              </w:rPr>
            </w:pPr>
            <w:r w:rsidRPr="00B95636">
              <w:rPr>
                <w:rFonts w:eastAsia="Times New Roman"/>
                <w:color w:val="000000"/>
                <w:sz w:val="24"/>
                <w:szCs w:val="24"/>
                <w:lang w:eastAsia="ru-RU"/>
              </w:rPr>
              <w:t>6,36</w:t>
            </w:r>
          </w:p>
        </w:tc>
        <w:tc>
          <w:tcPr>
            <w:tcW w:w="968"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sz w:val="24"/>
                <w:szCs w:val="24"/>
                <w:lang w:eastAsia="ru-RU"/>
              </w:rPr>
            </w:pPr>
            <w:r w:rsidRPr="00B95636">
              <w:rPr>
                <w:rFonts w:eastAsia="Times New Roman"/>
                <w:sz w:val="24"/>
                <w:szCs w:val="24"/>
                <w:lang w:eastAsia="ru-RU"/>
              </w:rPr>
              <w:t>6,00</w:t>
            </w:r>
          </w:p>
        </w:tc>
        <w:tc>
          <w:tcPr>
            <w:tcW w:w="969"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color w:val="000000"/>
                <w:sz w:val="24"/>
                <w:szCs w:val="24"/>
                <w:lang w:eastAsia="ru-RU"/>
              </w:rPr>
            </w:pPr>
            <w:r w:rsidRPr="00B95636">
              <w:rPr>
                <w:rFonts w:eastAsia="Times New Roman"/>
                <w:color w:val="000000"/>
                <w:sz w:val="24"/>
                <w:szCs w:val="24"/>
                <w:lang w:eastAsia="ru-RU"/>
              </w:rPr>
              <w:t>6,0</w:t>
            </w:r>
          </w:p>
        </w:tc>
        <w:tc>
          <w:tcPr>
            <w:tcW w:w="968"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sz w:val="24"/>
                <w:szCs w:val="24"/>
                <w:lang w:eastAsia="ru-RU"/>
              </w:rPr>
            </w:pPr>
            <w:r w:rsidRPr="00B95636">
              <w:rPr>
                <w:rFonts w:eastAsia="Times New Roman"/>
                <w:sz w:val="24"/>
                <w:szCs w:val="24"/>
                <w:lang w:eastAsia="ru-RU"/>
              </w:rPr>
              <w:t>1,00</w:t>
            </w:r>
          </w:p>
        </w:tc>
        <w:tc>
          <w:tcPr>
            <w:tcW w:w="969"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color w:val="000000"/>
                <w:sz w:val="24"/>
                <w:szCs w:val="24"/>
                <w:lang w:eastAsia="ru-RU"/>
              </w:rPr>
            </w:pPr>
            <w:r w:rsidRPr="00B95636">
              <w:rPr>
                <w:rFonts w:eastAsia="Times New Roman"/>
                <w:color w:val="000000"/>
                <w:sz w:val="24"/>
                <w:szCs w:val="24"/>
                <w:lang w:eastAsia="ru-RU"/>
              </w:rPr>
              <w:t>1,00</w:t>
            </w:r>
          </w:p>
        </w:tc>
      </w:tr>
      <w:tr w:rsidR="00B95636" w:rsidRPr="00B95636" w:rsidTr="00B95636">
        <w:trPr>
          <w:trHeight w:val="404"/>
          <w:jc w:val="center"/>
        </w:trPr>
        <w:tc>
          <w:tcPr>
            <w:tcW w:w="4536" w:type="dxa"/>
            <w:tcBorders>
              <w:top w:val="single" w:sz="4" w:space="0" w:color="auto"/>
              <w:left w:val="single" w:sz="4" w:space="0" w:color="auto"/>
              <w:bottom w:val="single" w:sz="4" w:space="0" w:color="auto"/>
              <w:right w:val="single" w:sz="4" w:space="0" w:color="auto"/>
            </w:tcBorders>
            <w:vAlign w:val="bottom"/>
          </w:tcPr>
          <w:p w:rsidR="00B95636" w:rsidRPr="00B95636" w:rsidRDefault="00B95636" w:rsidP="00B95636">
            <w:pPr>
              <w:keepNext/>
              <w:spacing w:line="276" w:lineRule="auto"/>
              <w:jc w:val="left"/>
              <w:rPr>
                <w:rFonts w:eastAsia="Times New Roman"/>
                <w:sz w:val="24"/>
                <w:szCs w:val="24"/>
                <w:lang w:eastAsia="ru-RU"/>
              </w:rPr>
            </w:pPr>
            <w:r w:rsidRPr="00B95636">
              <w:rPr>
                <w:rFonts w:eastAsia="Times New Roman"/>
                <w:sz w:val="24"/>
                <w:szCs w:val="24"/>
                <w:lang w:eastAsia="ru-RU"/>
              </w:rPr>
              <w:t>Забезпеченість  лікарями  педіатрами-неонатологами</w:t>
            </w:r>
          </w:p>
        </w:tc>
        <w:tc>
          <w:tcPr>
            <w:tcW w:w="968"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sz w:val="24"/>
                <w:szCs w:val="24"/>
                <w:lang w:eastAsia="ru-RU"/>
              </w:rPr>
            </w:pPr>
            <w:r w:rsidRPr="00B95636">
              <w:rPr>
                <w:rFonts w:eastAsia="Times New Roman"/>
                <w:sz w:val="24"/>
                <w:szCs w:val="24"/>
                <w:lang w:eastAsia="ru-RU"/>
              </w:rPr>
              <w:t>7,66</w:t>
            </w:r>
          </w:p>
        </w:tc>
        <w:tc>
          <w:tcPr>
            <w:tcW w:w="969"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color w:val="000000"/>
                <w:sz w:val="24"/>
                <w:szCs w:val="24"/>
                <w:lang w:eastAsia="ru-RU"/>
              </w:rPr>
            </w:pPr>
            <w:r w:rsidRPr="00B95636">
              <w:rPr>
                <w:rFonts w:eastAsia="Times New Roman"/>
                <w:color w:val="000000"/>
                <w:sz w:val="24"/>
                <w:szCs w:val="24"/>
                <w:lang w:eastAsia="ru-RU"/>
              </w:rPr>
              <w:t>8,38</w:t>
            </w:r>
          </w:p>
        </w:tc>
        <w:tc>
          <w:tcPr>
            <w:tcW w:w="968"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sz w:val="24"/>
                <w:szCs w:val="24"/>
                <w:lang w:eastAsia="ru-RU"/>
              </w:rPr>
            </w:pPr>
            <w:r w:rsidRPr="00B95636">
              <w:rPr>
                <w:rFonts w:eastAsia="Times New Roman"/>
                <w:sz w:val="24"/>
                <w:szCs w:val="24"/>
                <w:lang w:eastAsia="ru-RU"/>
              </w:rPr>
              <w:t>6,00</w:t>
            </w:r>
          </w:p>
        </w:tc>
        <w:tc>
          <w:tcPr>
            <w:tcW w:w="969"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color w:val="000000"/>
                <w:sz w:val="24"/>
                <w:szCs w:val="24"/>
                <w:lang w:eastAsia="ru-RU"/>
              </w:rPr>
            </w:pPr>
            <w:r w:rsidRPr="00B95636">
              <w:rPr>
                <w:rFonts w:eastAsia="Times New Roman"/>
                <w:color w:val="000000"/>
                <w:sz w:val="24"/>
                <w:szCs w:val="24"/>
                <w:lang w:eastAsia="ru-RU"/>
              </w:rPr>
              <w:t>6,0</w:t>
            </w:r>
          </w:p>
        </w:tc>
        <w:tc>
          <w:tcPr>
            <w:tcW w:w="968"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sz w:val="24"/>
                <w:szCs w:val="24"/>
                <w:lang w:eastAsia="ru-RU"/>
              </w:rPr>
            </w:pPr>
            <w:r w:rsidRPr="00B95636">
              <w:rPr>
                <w:rFonts w:eastAsia="Times New Roman"/>
                <w:sz w:val="24"/>
                <w:szCs w:val="24"/>
                <w:lang w:eastAsia="ru-RU"/>
              </w:rPr>
              <w:t>1,00</w:t>
            </w:r>
          </w:p>
        </w:tc>
        <w:tc>
          <w:tcPr>
            <w:tcW w:w="969"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color w:val="000000"/>
                <w:sz w:val="24"/>
                <w:szCs w:val="24"/>
                <w:lang w:eastAsia="ru-RU"/>
              </w:rPr>
            </w:pPr>
            <w:r w:rsidRPr="00B95636">
              <w:rPr>
                <w:rFonts w:eastAsia="Times New Roman"/>
                <w:color w:val="000000"/>
                <w:sz w:val="24"/>
                <w:szCs w:val="24"/>
                <w:lang w:eastAsia="ru-RU"/>
              </w:rPr>
              <w:t>1,00</w:t>
            </w:r>
          </w:p>
        </w:tc>
      </w:tr>
      <w:tr w:rsidR="00B95636" w:rsidRPr="00B95636" w:rsidTr="00B95636">
        <w:trPr>
          <w:trHeight w:val="404"/>
          <w:jc w:val="center"/>
        </w:trPr>
        <w:tc>
          <w:tcPr>
            <w:tcW w:w="4536" w:type="dxa"/>
            <w:tcBorders>
              <w:top w:val="single" w:sz="4" w:space="0" w:color="auto"/>
              <w:left w:val="single" w:sz="4" w:space="0" w:color="auto"/>
              <w:bottom w:val="single" w:sz="4" w:space="0" w:color="auto"/>
              <w:right w:val="single" w:sz="4" w:space="0" w:color="auto"/>
            </w:tcBorders>
            <w:vAlign w:val="bottom"/>
          </w:tcPr>
          <w:p w:rsidR="00B95636" w:rsidRPr="00B95636" w:rsidRDefault="00B95636" w:rsidP="00B95636">
            <w:pPr>
              <w:keepNext/>
              <w:spacing w:line="276" w:lineRule="auto"/>
              <w:jc w:val="left"/>
              <w:rPr>
                <w:rFonts w:eastAsia="Times New Roman"/>
                <w:sz w:val="24"/>
                <w:szCs w:val="24"/>
                <w:lang w:eastAsia="ru-RU"/>
              </w:rPr>
            </w:pPr>
            <w:r w:rsidRPr="00B95636">
              <w:rPr>
                <w:rFonts w:eastAsia="Times New Roman"/>
                <w:sz w:val="24"/>
                <w:szCs w:val="24"/>
                <w:lang w:eastAsia="ru-RU"/>
              </w:rPr>
              <w:t>Питома вага атестованих лікарів акушер-гінекологів</w:t>
            </w:r>
          </w:p>
        </w:tc>
        <w:tc>
          <w:tcPr>
            <w:tcW w:w="968"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sz w:val="24"/>
                <w:szCs w:val="24"/>
                <w:lang w:eastAsia="ru-RU"/>
              </w:rPr>
            </w:pPr>
            <w:r w:rsidRPr="00B95636">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color w:val="000000"/>
                <w:sz w:val="24"/>
                <w:szCs w:val="24"/>
                <w:lang w:eastAsia="ru-RU"/>
              </w:rPr>
            </w:pPr>
            <w:r w:rsidRPr="00B95636">
              <w:rPr>
                <w:rFonts w:eastAsia="Times New Roman"/>
                <w:color w:val="000000"/>
                <w:sz w:val="24"/>
                <w:szCs w:val="24"/>
                <w:lang w:eastAsia="ru-RU"/>
              </w:rPr>
              <w:t>85,03</w:t>
            </w:r>
          </w:p>
        </w:tc>
        <w:tc>
          <w:tcPr>
            <w:tcW w:w="968"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sz w:val="24"/>
                <w:szCs w:val="24"/>
                <w:lang w:eastAsia="ru-RU"/>
              </w:rPr>
            </w:pPr>
            <w:r w:rsidRPr="00B95636">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color w:val="000000"/>
                <w:sz w:val="24"/>
                <w:szCs w:val="24"/>
                <w:lang w:eastAsia="ru-RU"/>
              </w:rPr>
            </w:pPr>
            <w:r w:rsidRPr="00B95636">
              <w:rPr>
                <w:rFonts w:eastAsia="Times New Roman"/>
                <w:color w:val="000000"/>
                <w:sz w:val="24"/>
                <w:szCs w:val="24"/>
                <w:lang w:eastAsia="ru-RU"/>
              </w:rPr>
              <w:t>5,67</w:t>
            </w:r>
          </w:p>
        </w:tc>
        <w:tc>
          <w:tcPr>
            <w:tcW w:w="968"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sz w:val="24"/>
                <w:szCs w:val="24"/>
                <w:lang w:eastAsia="ru-RU"/>
              </w:rPr>
            </w:pPr>
            <w:r w:rsidRPr="00B95636">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color w:val="000000"/>
                <w:sz w:val="24"/>
                <w:szCs w:val="24"/>
                <w:lang w:eastAsia="ru-RU"/>
              </w:rPr>
            </w:pPr>
            <w:r w:rsidRPr="00B95636">
              <w:rPr>
                <w:rFonts w:eastAsia="Times New Roman"/>
                <w:color w:val="000000"/>
                <w:sz w:val="24"/>
                <w:szCs w:val="24"/>
                <w:lang w:eastAsia="ru-RU"/>
              </w:rPr>
              <w:t>0,95</w:t>
            </w:r>
          </w:p>
        </w:tc>
      </w:tr>
      <w:tr w:rsidR="00B95636" w:rsidRPr="00B95636" w:rsidTr="00B95636">
        <w:trPr>
          <w:trHeight w:val="404"/>
          <w:jc w:val="center"/>
        </w:trPr>
        <w:tc>
          <w:tcPr>
            <w:tcW w:w="4536" w:type="dxa"/>
            <w:tcBorders>
              <w:top w:val="single" w:sz="4" w:space="0" w:color="auto"/>
              <w:left w:val="single" w:sz="4" w:space="0" w:color="auto"/>
              <w:bottom w:val="single" w:sz="4" w:space="0" w:color="auto"/>
              <w:right w:val="single" w:sz="4" w:space="0" w:color="auto"/>
            </w:tcBorders>
            <w:vAlign w:val="bottom"/>
          </w:tcPr>
          <w:p w:rsidR="00B95636" w:rsidRPr="00B95636" w:rsidRDefault="00B95636" w:rsidP="00B95636">
            <w:pPr>
              <w:keepNext/>
              <w:spacing w:line="276" w:lineRule="auto"/>
              <w:jc w:val="left"/>
              <w:rPr>
                <w:rFonts w:eastAsia="Times New Roman"/>
                <w:sz w:val="24"/>
                <w:szCs w:val="24"/>
                <w:lang w:eastAsia="ru-RU"/>
              </w:rPr>
            </w:pPr>
            <w:r w:rsidRPr="00B95636">
              <w:rPr>
                <w:rFonts w:eastAsia="Times New Roman"/>
                <w:sz w:val="24"/>
                <w:szCs w:val="24"/>
                <w:lang w:eastAsia="ru-RU"/>
              </w:rPr>
              <w:t>Питома вага атестованих лікарів педіатрів-неонатологів</w:t>
            </w:r>
          </w:p>
        </w:tc>
        <w:tc>
          <w:tcPr>
            <w:tcW w:w="968"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sz w:val="24"/>
                <w:szCs w:val="24"/>
                <w:lang w:eastAsia="ru-RU"/>
              </w:rPr>
            </w:pPr>
            <w:r w:rsidRPr="00B95636">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color w:val="000000"/>
                <w:sz w:val="24"/>
                <w:szCs w:val="24"/>
                <w:lang w:eastAsia="ru-RU"/>
              </w:rPr>
            </w:pPr>
            <w:r w:rsidRPr="00B95636">
              <w:rPr>
                <w:rFonts w:eastAsia="Times New Roman"/>
                <w:color w:val="000000"/>
                <w:sz w:val="24"/>
                <w:szCs w:val="24"/>
                <w:lang w:eastAsia="ru-RU"/>
              </w:rPr>
              <w:t>73,83</w:t>
            </w:r>
          </w:p>
        </w:tc>
        <w:tc>
          <w:tcPr>
            <w:tcW w:w="968"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sz w:val="24"/>
                <w:szCs w:val="24"/>
                <w:lang w:eastAsia="ru-RU"/>
              </w:rPr>
            </w:pPr>
            <w:r w:rsidRPr="00B95636">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color w:val="000000"/>
                <w:sz w:val="24"/>
                <w:szCs w:val="24"/>
                <w:lang w:eastAsia="ru-RU"/>
              </w:rPr>
            </w:pPr>
            <w:r w:rsidRPr="00B95636">
              <w:rPr>
                <w:rFonts w:eastAsia="Times New Roman"/>
                <w:color w:val="000000"/>
                <w:sz w:val="24"/>
                <w:szCs w:val="24"/>
                <w:lang w:eastAsia="ru-RU"/>
              </w:rPr>
              <w:t>5,54</w:t>
            </w:r>
          </w:p>
        </w:tc>
        <w:tc>
          <w:tcPr>
            <w:tcW w:w="968"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sz w:val="24"/>
                <w:szCs w:val="24"/>
                <w:lang w:eastAsia="ru-RU"/>
              </w:rPr>
            </w:pPr>
            <w:r w:rsidRPr="00B95636">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color w:val="000000"/>
                <w:sz w:val="24"/>
                <w:szCs w:val="24"/>
                <w:lang w:eastAsia="ru-RU"/>
              </w:rPr>
            </w:pPr>
            <w:r w:rsidRPr="00B95636">
              <w:rPr>
                <w:rFonts w:eastAsia="Times New Roman"/>
                <w:color w:val="000000"/>
                <w:sz w:val="24"/>
                <w:szCs w:val="24"/>
                <w:lang w:eastAsia="ru-RU"/>
              </w:rPr>
              <w:t>0,92</w:t>
            </w:r>
          </w:p>
        </w:tc>
      </w:tr>
      <w:tr w:rsidR="00B95636" w:rsidRPr="00B95636" w:rsidTr="00B95636">
        <w:trPr>
          <w:trHeight w:val="348"/>
          <w:jc w:val="center"/>
        </w:trPr>
        <w:tc>
          <w:tcPr>
            <w:tcW w:w="4536"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left"/>
              <w:rPr>
                <w:rFonts w:eastAsia="Times New Roman"/>
                <w:sz w:val="24"/>
                <w:szCs w:val="24"/>
                <w:lang w:eastAsia="ru-RU"/>
              </w:rPr>
            </w:pPr>
            <w:r w:rsidRPr="00B95636">
              <w:rPr>
                <w:rFonts w:eastAsia="Times New Roman"/>
                <w:sz w:val="24"/>
                <w:szCs w:val="24"/>
                <w:lang w:eastAsia="ru-RU"/>
              </w:rPr>
              <w:t xml:space="preserve">Своєчасність постановки на облік вагітних </w:t>
            </w:r>
          </w:p>
        </w:tc>
        <w:tc>
          <w:tcPr>
            <w:tcW w:w="968"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sz w:val="24"/>
                <w:szCs w:val="24"/>
                <w:lang w:eastAsia="ru-RU"/>
              </w:rPr>
            </w:pPr>
            <w:r w:rsidRPr="00B95636">
              <w:rPr>
                <w:rFonts w:eastAsia="Times New Roman"/>
                <w:sz w:val="24"/>
                <w:szCs w:val="24"/>
                <w:lang w:eastAsia="ru-RU"/>
              </w:rPr>
              <w:t>89,4</w:t>
            </w:r>
          </w:p>
        </w:tc>
        <w:tc>
          <w:tcPr>
            <w:tcW w:w="969"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color w:val="000000"/>
                <w:sz w:val="24"/>
                <w:szCs w:val="24"/>
                <w:lang w:eastAsia="ru-RU"/>
              </w:rPr>
            </w:pPr>
            <w:r w:rsidRPr="00B95636">
              <w:rPr>
                <w:rFonts w:eastAsia="Times New Roman"/>
                <w:color w:val="000000"/>
                <w:sz w:val="24"/>
                <w:szCs w:val="24"/>
                <w:lang w:eastAsia="ru-RU"/>
              </w:rPr>
              <w:t>95,39</w:t>
            </w:r>
          </w:p>
        </w:tc>
        <w:tc>
          <w:tcPr>
            <w:tcW w:w="968"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sz w:val="24"/>
                <w:szCs w:val="24"/>
                <w:lang w:eastAsia="ru-RU"/>
              </w:rPr>
            </w:pPr>
            <w:r w:rsidRPr="00B95636">
              <w:rPr>
                <w:rFonts w:eastAsia="Times New Roman"/>
                <w:sz w:val="24"/>
                <w:szCs w:val="24"/>
                <w:lang w:eastAsia="ru-RU"/>
              </w:rPr>
              <w:t>6,59</w:t>
            </w:r>
          </w:p>
        </w:tc>
        <w:tc>
          <w:tcPr>
            <w:tcW w:w="969"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color w:val="000000"/>
                <w:sz w:val="24"/>
                <w:szCs w:val="24"/>
                <w:lang w:eastAsia="ru-RU"/>
              </w:rPr>
            </w:pPr>
            <w:r w:rsidRPr="00B95636">
              <w:rPr>
                <w:rFonts w:eastAsia="Times New Roman"/>
                <w:color w:val="000000"/>
                <w:sz w:val="24"/>
                <w:szCs w:val="24"/>
                <w:lang w:eastAsia="ru-RU"/>
              </w:rPr>
              <w:t>7,0</w:t>
            </w:r>
          </w:p>
        </w:tc>
        <w:tc>
          <w:tcPr>
            <w:tcW w:w="968"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sz w:val="24"/>
                <w:szCs w:val="24"/>
                <w:lang w:eastAsia="ru-RU"/>
              </w:rPr>
            </w:pPr>
            <w:r w:rsidRPr="00B95636">
              <w:rPr>
                <w:rFonts w:eastAsia="Times New Roman"/>
                <w:sz w:val="24"/>
                <w:szCs w:val="24"/>
                <w:lang w:eastAsia="ru-RU"/>
              </w:rPr>
              <w:t>0,94</w:t>
            </w:r>
          </w:p>
        </w:tc>
        <w:tc>
          <w:tcPr>
            <w:tcW w:w="969"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color w:val="000000"/>
                <w:sz w:val="24"/>
                <w:szCs w:val="24"/>
                <w:lang w:eastAsia="ru-RU"/>
              </w:rPr>
            </w:pPr>
            <w:r w:rsidRPr="00B95636">
              <w:rPr>
                <w:rFonts w:eastAsia="Times New Roman"/>
                <w:color w:val="000000"/>
                <w:sz w:val="24"/>
                <w:szCs w:val="24"/>
                <w:lang w:eastAsia="ru-RU"/>
              </w:rPr>
              <w:t>1,00</w:t>
            </w:r>
          </w:p>
        </w:tc>
      </w:tr>
      <w:tr w:rsidR="00B95636" w:rsidRPr="00B95636" w:rsidTr="00B95636">
        <w:trPr>
          <w:trHeight w:val="254"/>
          <w:jc w:val="center"/>
        </w:trPr>
        <w:tc>
          <w:tcPr>
            <w:tcW w:w="4536"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left"/>
              <w:rPr>
                <w:rFonts w:eastAsia="Times New Roman"/>
                <w:sz w:val="24"/>
                <w:szCs w:val="24"/>
                <w:lang w:eastAsia="ru-RU"/>
              </w:rPr>
            </w:pPr>
            <w:r w:rsidRPr="00B95636">
              <w:rPr>
                <w:rFonts w:eastAsia="Times New Roman"/>
                <w:sz w:val="24"/>
                <w:szCs w:val="24"/>
                <w:lang w:eastAsia="ru-RU"/>
              </w:rPr>
              <w:t>Частота анемій вагітних</w:t>
            </w:r>
          </w:p>
        </w:tc>
        <w:tc>
          <w:tcPr>
            <w:tcW w:w="968"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sz w:val="24"/>
                <w:szCs w:val="24"/>
                <w:lang w:eastAsia="ru-RU"/>
              </w:rPr>
            </w:pPr>
            <w:r w:rsidRPr="00B95636">
              <w:rPr>
                <w:rFonts w:eastAsia="Times New Roman"/>
                <w:sz w:val="24"/>
                <w:szCs w:val="24"/>
                <w:lang w:eastAsia="ru-RU"/>
              </w:rPr>
              <w:t>27,33</w:t>
            </w:r>
          </w:p>
        </w:tc>
        <w:tc>
          <w:tcPr>
            <w:tcW w:w="969"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color w:val="000000"/>
                <w:sz w:val="24"/>
                <w:szCs w:val="24"/>
                <w:lang w:eastAsia="ru-RU"/>
              </w:rPr>
            </w:pPr>
            <w:r w:rsidRPr="00B95636">
              <w:rPr>
                <w:rFonts w:eastAsia="Times New Roman"/>
                <w:color w:val="000000"/>
                <w:sz w:val="24"/>
                <w:szCs w:val="24"/>
                <w:lang w:eastAsia="ru-RU"/>
              </w:rPr>
              <w:t>24,59</w:t>
            </w:r>
          </w:p>
        </w:tc>
        <w:tc>
          <w:tcPr>
            <w:tcW w:w="968"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sz w:val="24"/>
                <w:szCs w:val="24"/>
                <w:lang w:eastAsia="ru-RU"/>
              </w:rPr>
            </w:pPr>
            <w:r w:rsidRPr="00B95636">
              <w:rPr>
                <w:rFonts w:eastAsia="Times New Roman"/>
                <w:sz w:val="24"/>
                <w:szCs w:val="24"/>
                <w:lang w:eastAsia="ru-RU"/>
              </w:rPr>
              <w:t>2,53</w:t>
            </w:r>
          </w:p>
        </w:tc>
        <w:tc>
          <w:tcPr>
            <w:tcW w:w="969"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color w:val="000000"/>
                <w:sz w:val="24"/>
                <w:szCs w:val="24"/>
                <w:lang w:eastAsia="ru-RU"/>
              </w:rPr>
            </w:pPr>
            <w:r w:rsidRPr="00B95636">
              <w:rPr>
                <w:rFonts w:eastAsia="Times New Roman"/>
                <w:color w:val="000000"/>
                <w:sz w:val="24"/>
                <w:szCs w:val="24"/>
                <w:lang w:eastAsia="ru-RU"/>
              </w:rPr>
              <w:t>3,41</w:t>
            </w:r>
          </w:p>
        </w:tc>
        <w:tc>
          <w:tcPr>
            <w:tcW w:w="968"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sz w:val="24"/>
                <w:szCs w:val="24"/>
                <w:lang w:eastAsia="ru-RU"/>
              </w:rPr>
            </w:pPr>
            <w:r w:rsidRPr="00B95636">
              <w:rPr>
                <w:rFonts w:eastAsia="Times New Roman"/>
                <w:sz w:val="24"/>
                <w:szCs w:val="24"/>
                <w:lang w:eastAsia="ru-RU"/>
              </w:rPr>
              <w:t>0,63</w:t>
            </w:r>
          </w:p>
        </w:tc>
        <w:tc>
          <w:tcPr>
            <w:tcW w:w="969"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color w:val="000000"/>
                <w:sz w:val="24"/>
                <w:szCs w:val="24"/>
                <w:lang w:eastAsia="ru-RU"/>
              </w:rPr>
            </w:pPr>
            <w:r w:rsidRPr="00B95636">
              <w:rPr>
                <w:rFonts w:eastAsia="Times New Roman"/>
                <w:color w:val="000000"/>
                <w:sz w:val="24"/>
                <w:szCs w:val="24"/>
                <w:lang w:eastAsia="ru-RU"/>
              </w:rPr>
              <w:t>0,85</w:t>
            </w:r>
          </w:p>
        </w:tc>
      </w:tr>
      <w:tr w:rsidR="00B95636" w:rsidRPr="00B95636" w:rsidTr="00B95636">
        <w:trPr>
          <w:trHeight w:val="319"/>
          <w:jc w:val="center"/>
        </w:trPr>
        <w:tc>
          <w:tcPr>
            <w:tcW w:w="4536"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left"/>
              <w:rPr>
                <w:rFonts w:eastAsia="Times New Roman"/>
                <w:sz w:val="24"/>
                <w:szCs w:val="24"/>
                <w:lang w:eastAsia="ru-RU"/>
              </w:rPr>
            </w:pPr>
            <w:r w:rsidRPr="00B95636">
              <w:rPr>
                <w:rFonts w:eastAsia="Times New Roman"/>
                <w:sz w:val="24"/>
                <w:szCs w:val="24"/>
                <w:lang w:eastAsia="ru-RU"/>
              </w:rPr>
              <w:t>Частота прееклампсій та еклампсій вагітних</w:t>
            </w:r>
          </w:p>
        </w:tc>
        <w:tc>
          <w:tcPr>
            <w:tcW w:w="968"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sz w:val="24"/>
                <w:szCs w:val="24"/>
                <w:lang w:eastAsia="ru-RU"/>
              </w:rPr>
            </w:pPr>
            <w:r w:rsidRPr="00B95636">
              <w:rPr>
                <w:rFonts w:eastAsia="Times New Roman"/>
                <w:sz w:val="24"/>
                <w:szCs w:val="24"/>
                <w:lang w:eastAsia="ru-RU"/>
              </w:rPr>
              <w:t>1,36</w:t>
            </w:r>
          </w:p>
        </w:tc>
        <w:tc>
          <w:tcPr>
            <w:tcW w:w="969"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color w:val="000000"/>
                <w:sz w:val="24"/>
                <w:szCs w:val="24"/>
                <w:lang w:eastAsia="ru-RU"/>
              </w:rPr>
            </w:pPr>
            <w:r w:rsidRPr="00B95636">
              <w:rPr>
                <w:rFonts w:eastAsia="Times New Roman"/>
                <w:color w:val="000000"/>
                <w:sz w:val="24"/>
                <w:szCs w:val="24"/>
                <w:lang w:eastAsia="ru-RU"/>
              </w:rPr>
              <w:t>1,22</w:t>
            </w:r>
          </w:p>
        </w:tc>
        <w:tc>
          <w:tcPr>
            <w:tcW w:w="968"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sz w:val="24"/>
                <w:szCs w:val="24"/>
                <w:lang w:eastAsia="ru-RU"/>
              </w:rPr>
            </w:pPr>
            <w:r w:rsidRPr="00B95636">
              <w:rPr>
                <w:rFonts w:eastAsia="Times New Roman"/>
                <w:sz w:val="24"/>
                <w:szCs w:val="24"/>
                <w:lang w:eastAsia="ru-RU"/>
              </w:rPr>
              <w:t>7,00</w:t>
            </w:r>
          </w:p>
        </w:tc>
        <w:tc>
          <w:tcPr>
            <w:tcW w:w="969"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color w:val="000000"/>
                <w:sz w:val="24"/>
                <w:szCs w:val="24"/>
                <w:lang w:eastAsia="ru-RU"/>
              </w:rPr>
            </w:pPr>
            <w:r w:rsidRPr="00B95636">
              <w:rPr>
                <w:rFonts w:eastAsia="Times New Roman"/>
                <w:color w:val="000000"/>
                <w:sz w:val="24"/>
                <w:szCs w:val="24"/>
                <w:lang w:eastAsia="ru-RU"/>
              </w:rPr>
              <w:t>7,0</w:t>
            </w:r>
          </w:p>
        </w:tc>
        <w:tc>
          <w:tcPr>
            <w:tcW w:w="968"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sz w:val="24"/>
                <w:szCs w:val="24"/>
                <w:lang w:eastAsia="ru-RU"/>
              </w:rPr>
            </w:pPr>
            <w:r w:rsidRPr="00B95636">
              <w:rPr>
                <w:rFonts w:eastAsia="Times New Roman"/>
                <w:sz w:val="24"/>
                <w:szCs w:val="24"/>
                <w:lang w:eastAsia="ru-RU"/>
              </w:rPr>
              <w:t>1,00</w:t>
            </w:r>
          </w:p>
        </w:tc>
        <w:tc>
          <w:tcPr>
            <w:tcW w:w="969"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color w:val="000000"/>
                <w:sz w:val="24"/>
                <w:szCs w:val="24"/>
                <w:lang w:eastAsia="ru-RU"/>
              </w:rPr>
            </w:pPr>
            <w:r w:rsidRPr="00B95636">
              <w:rPr>
                <w:rFonts w:eastAsia="Times New Roman"/>
                <w:color w:val="000000"/>
                <w:sz w:val="24"/>
                <w:szCs w:val="24"/>
                <w:lang w:eastAsia="ru-RU"/>
              </w:rPr>
              <w:t>1,00</w:t>
            </w:r>
          </w:p>
        </w:tc>
      </w:tr>
      <w:tr w:rsidR="00B95636" w:rsidRPr="00B95636" w:rsidTr="00B95636">
        <w:trPr>
          <w:trHeight w:val="284"/>
          <w:jc w:val="center"/>
        </w:trPr>
        <w:tc>
          <w:tcPr>
            <w:tcW w:w="4536"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left"/>
              <w:rPr>
                <w:rFonts w:eastAsia="Times New Roman"/>
                <w:sz w:val="24"/>
                <w:szCs w:val="24"/>
                <w:lang w:eastAsia="ru-RU"/>
              </w:rPr>
            </w:pPr>
            <w:r w:rsidRPr="00B95636">
              <w:rPr>
                <w:rFonts w:eastAsia="Times New Roman"/>
                <w:sz w:val="24"/>
                <w:szCs w:val="24"/>
                <w:lang w:eastAsia="ru-RU"/>
              </w:rPr>
              <w:t>Співвідношення безпечних методів абортів до небезпечних</w:t>
            </w:r>
          </w:p>
        </w:tc>
        <w:tc>
          <w:tcPr>
            <w:tcW w:w="968"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sz w:val="24"/>
                <w:szCs w:val="24"/>
                <w:lang w:eastAsia="ru-RU"/>
              </w:rPr>
            </w:pPr>
            <w:r w:rsidRPr="00B95636">
              <w:rPr>
                <w:rFonts w:eastAsia="Times New Roman"/>
                <w:sz w:val="24"/>
                <w:szCs w:val="24"/>
                <w:lang w:eastAsia="ru-RU"/>
              </w:rPr>
              <w:t>21,88</w:t>
            </w:r>
          </w:p>
        </w:tc>
        <w:tc>
          <w:tcPr>
            <w:tcW w:w="969"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color w:val="000000"/>
                <w:sz w:val="24"/>
                <w:szCs w:val="24"/>
                <w:lang w:eastAsia="ru-RU"/>
              </w:rPr>
            </w:pPr>
            <w:r w:rsidRPr="00B95636">
              <w:rPr>
                <w:rFonts w:eastAsia="Times New Roman"/>
                <w:color w:val="000000"/>
                <w:sz w:val="24"/>
                <w:szCs w:val="24"/>
                <w:lang w:eastAsia="ru-RU"/>
              </w:rPr>
              <w:t>8,40</w:t>
            </w:r>
          </w:p>
        </w:tc>
        <w:tc>
          <w:tcPr>
            <w:tcW w:w="968"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sz w:val="24"/>
                <w:szCs w:val="24"/>
                <w:lang w:eastAsia="ru-RU"/>
              </w:rPr>
            </w:pPr>
            <w:r w:rsidRPr="00B95636">
              <w:rPr>
                <w:rFonts w:eastAsia="Times New Roman"/>
                <w:sz w:val="24"/>
                <w:szCs w:val="24"/>
                <w:lang w:eastAsia="ru-RU"/>
              </w:rPr>
              <w:t>6,00</w:t>
            </w:r>
          </w:p>
        </w:tc>
        <w:tc>
          <w:tcPr>
            <w:tcW w:w="969"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color w:val="000000"/>
                <w:sz w:val="24"/>
                <w:szCs w:val="24"/>
                <w:lang w:eastAsia="ru-RU"/>
              </w:rPr>
            </w:pPr>
            <w:r w:rsidRPr="00B95636">
              <w:rPr>
                <w:rFonts w:eastAsia="Times New Roman"/>
                <w:color w:val="000000"/>
                <w:sz w:val="24"/>
                <w:szCs w:val="24"/>
                <w:lang w:eastAsia="ru-RU"/>
              </w:rPr>
              <w:t>6,0</w:t>
            </w:r>
          </w:p>
        </w:tc>
        <w:tc>
          <w:tcPr>
            <w:tcW w:w="968"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sz w:val="24"/>
                <w:szCs w:val="24"/>
                <w:lang w:eastAsia="ru-RU"/>
              </w:rPr>
            </w:pPr>
            <w:r w:rsidRPr="00B95636">
              <w:rPr>
                <w:rFonts w:eastAsia="Times New Roman"/>
                <w:sz w:val="24"/>
                <w:szCs w:val="24"/>
                <w:lang w:eastAsia="ru-RU"/>
              </w:rPr>
              <w:t>1,00</w:t>
            </w:r>
          </w:p>
        </w:tc>
        <w:tc>
          <w:tcPr>
            <w:tcW w:w="969"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color w:val="000000"/>
                <w:sz w:val="24"/>
                <w:szCs w:val="24"/>
                <w:lang w:eastAsia="ru-RU"/>
              </w:rPr>
            </w:pPr>
            <w:r w:rsidRPr="00B95636">
              <w:rPr>
                <w:rFonts w:eastAsia="Times New Roman"/>
                <w:color w:val="000000"/>
                <w:sz w:val="24"/>
                <w:szCs w:val="24"/>
                <w:lang w:eastAsia="ru-RU"/>
              </w:rPr>
              <w:t>1,00</w:t>
            </w:r>
          </w:p>
        </w:tc>
      </w:tr>
      <w:tr w:rsidR="00B95636" w:rsidRPr="00B95636" w:rsidTr="00B95636">
        <w:trPr>
          <w:trHeight w:val="340"/>
          <w:jc w:val="center"/>
        </w:trPr>
        <w:tc>
          <w:tcPr>
            <w:tcW w:w="4536" w:type="dxa"/>
            <w:tcBorders>
              <w:top w:val="single" w:sz="4" w:space="0" w:color="auto"/>
              <w:left w:val="single" w:sz="4" w:space="0" w:color="auto"/>
              <w:bottom w:val="single" w:sz="4" w:space="0" w:color="auto"/>
              <w:right w:val="single" w:sz="4" w:space="0" w:color="auto"/>
            </w:tcBorders>
            <w:vAlign w:val="bottom"/>
          </w:tcPr>
          <w:p w:rsidR="00B95636" w:rsidRPr="00B95636" w:rsidRDefault="00B95636" w:rsidP="00B95636">
            <w:pPr>
              <w:keepNext/>
              <w:spacing w:line="276" w:lineRule="auto"/>
              <w:jc w:val="left"/>
              <w:rPr>
                <w:rFonts w:eastAsia="Times New Roman"/>
                <w:sz w:val="24"/>
                <w:szCs w:val="24"/>
                <w:lang w:eastAsia="ru-RU"/>
              </w:rPr>
            </w:pPr>
            <w:r w:rsidRPr="00B95636">
              <w:rPr>
                <w:rFonts w:eastAsia="Times New Roman"/>
                <w:sz w:val="24"/>
                <w:szCs w:val="24"/>
                <w:lang w:eastAsia="ru-RU"/>
              </w:rPr>
              <w:t>Питома вага хворих виявлення в ранніх стадіях (І – ІІ) серед хворих з вперше встановленим діагнозом онкологія молочної залози</w:t>
            </w:r>
          </w:p>
        </w:tc>
        <w:tc>
          <w:tcPr>
            <w:tcW w:w="968"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sz w:val="24"/>
                <w:szCs w:val="24"/>
                <w:lang w:eastAsia="ru-RU"/>
              </w:rPr>
            </w:pPr>
            <w:r w:rsidRPr="00B95636">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color w:val="000000"/>
                <w:sz w:val="24"/>
                <w:szCs w:val="24"/>
                <w:lang w:eastAsia="ru-RU"/>
              </w:rPr>
            </w:pPr>
            <w:r w:rsidRPr="00B95636">
              <w:rPr>
                <w:rFonts w:eastAsia="Times New Roman"/>
                <w:color w:val="000000"/>
                <w:sz w:val="24"/>
                <w:szCs w:val="24"/>
                <w:lang w:eastAsia="ru-RU"/>
              </w:rPr>
              <w:t>71,50</w:t>
            </w:r>
          </w:p>
        </w:tc>
        <w:tc>
          <w:tcPr>
            <w:tcW w:w="968"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sz w:val="24"/>
                <w:szCs w:val="24"/>
                <w:lang w:eastAsia="ru-RU"/>
              </w:rPr>
            </w:pPr>
            <w:r w:rsidRPr="00B95636">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color w:val="000000"/>
                <w:sz w:val="24"/>
                <w:szCs w:val="24"/>
                <w:lang w:eastAsia="ru-RU"/>
              </w:rPr>
            </w:pPr>
            <w:r w:rsidRPr="00B95636">
              <w:rPr>
                <w:rFonts w:eastAsia="Times New Roman"/>
                <w:color w:val="000000"/>
                <w:sz w:val="24"/>
                <w:szCs w:val="24"/>
                <w:lang w:eastAsia="ru-RU"/>
              </w:rPr>
              <w:t>5,41</w:t>
            </w:r>
          </w:p>
        </w:tc>
        <w:tc>
          <w:tcPr>
            <w:tcW w:w="968"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sz w:val="24"/>
                <w:szCs w:val="24"/>
                <w:lang w:eastAsia="ru-RU"/>
              </w:rPr>
            </w:pPr>
            <w:r w:rsidRPr="00B95636">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color w:val="000000"/>
                <w:sz w:val="24"/>
                <w:szCs w:val="24"/>
                <w:lang w:eastAsia="ru-RU"/>
              </w:rPr>
            </w:pPr>
            <w:r w:rsidRPr="00B95636">
              <w:rPr>
                <w:rFonts w:eastAsia="Times New Roman"/>
                <w:color w:val="000000"/>
                <w:sz w:val="24"/>
                <w:szCs w:val="24"/>
                <w:lang w:eastAsia="ru-RU"/>
              </w:rPr>
              <w:t>0,90</w:t>
            </w:r>
          </w:p>
        </w:tc>
      </w:tr>
      <w:tr w:rsidR="00B95636" w:rsidRPr="00B95636" w:rsidTr="00B95636">
        <w:trPr>
          <w:trHeight w:val="418"/>
          <w:jc w:val="center"/>
        </w:trPr>
        <w:tc>
          <w:tcPr>
            <w:tcW w:w="4536" w:type="dxa"/>
            <w:tcBorders>
              <w:top w:val="single" w:sz="4" w:space="0" w:color="auto"/>
              <w:left w:val="single" w:sz="4" w:space="0" w:color="auto"/>
              <w:bottom w:val="single" w:sz="4" w:space="0" w:color="auto"/>
              <w:right w:val="single" w:sz="4" w:space="0" w:color="auto"/>
            </w:tcBorders>
            <w:vAlign w:val="bottom"/>
          </w:tcPr>
          <w:p w:rsidR="00B95636" w:rsidRPr="00B95636" w:rsidRDefault="00B95636" w:rsidP="00B95636">
            <w:pPr>
              <w:keepNext/>
              <w:spacing w:line="276" w:lineRule="auto"/>
              <w:jc w:val="left"/>
              <w:rPr>
                <w:rFonts w:eastAsia="Times New Roman"/>
                <w:sz w:val="24"/>
                <w:szCs w:val="24"/>
                <w:lang w:eastAsia="ru-RU"/>
              </w:rPr>
            </w:pPr>
            <w:r w:rsidRPr="00B95636">
              <w:rPr>
                <w:rFonts w:eastAsia="Times New Roman"/>
                <w:sz w:val="24"/>
                <w:szCs w:val="24"/>
                <w:lang w:eastAsia="ru-RU"/>
              </w:rPr>
              <w:t>Питома вага хворих виявлення в ранніх стадіях (І – ІІ) серед хворих з вперше встановленим діагнозом онкологія шийки матки</w:t>
            </w:r>
          </w:p>
        </w:tc>
        <w:tc>
          <w:tcPr>
            <w:tcW w:w="968"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sz w:val="24"/>
                <w:szCs w:val="24"/>
                <w:lang w:eastAsia="ru-RU"/>
              </w:rPr>
            </w:pPr>
            <w:r w:rsidRPr="00B95636">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color w:val="000000"/>
                <w:sz w:val="24"/>
                <w:szCs w:val="24"/>
                <w:lang w:eastAsia="ru-RU"/>
              </w:rPr>
            </w:pPr>
            <w:r w:rsidRPr="00B95636">
              <w:rPr>
                <w:rFonts w:eastAsia="Times New Roman"/>
                <w:color w:val="000000"/>
                <w:sz w:val="24"/>
                <w:szCs w:val="24"/>
                <w:lang w:eastAsia="ru-RU"/>
              </w:rPr>
              <w:t>72,30</w:t>
            </w:r>
          </w:p>
        </w:tc>
        <w:tc>
          <w:tcPr>
            <w:tcW w:w="968"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sz w:val="24"/>
                <w:szCs w:val="24"/>
                <w:lang w:eastAsia="ru-RU"/>
              </w:rPr>
            </w:pPr>
            <w:r w:rsidRPr="00B95636">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color w:val="000000"/>
                <w:sz w:val="24"/>
                <w:szCs w:val="24"/>
                <w:lang w:eastAsia="ru-RU"/>
              </w:rPr>
            </w:pPr>
            <w:r w:rsidRPr="00B95636">
              <w:rPr>
                <w:rFonts w:eastAsia="Times New Roman"/>
                <w:color w:val="000000"/>
                <w:sz w:val="24"/>
                <w:szCs w:val="24"/>
                <w:lang w:eastAsia="ru-RU"/>
              </w:rPr>
              <w:t>5,46</w:t>
            </w:r>
          </w:p>
        </w:tc>
        <w:tc>
          <w:tcPr>
            <w:tcW w:w="968"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sz w:val="24"/>
                <w:szCs w:val="24"/>
                <w:lang w:eastAsia="ru-RU"/>
              </w:rPr>
            </w:pPr>
            <w:r w:rsidRPr="00B95636">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color w:val="000000"/>
                <w:sz w:val="24"/>
                <w:szCs w:val="24"/>
                <w:lang w:eastAsia="ru-RU"/>
              </w:rPr>
            </w:pPr>
            <w:r w:rsidRPr="00B95636">
              <w:rPr>
                <w:rFonts w:eastAsia="Times New Roman"/>
                <w:color w:val="000000"/>
                <w:sz w:val="24"/>
                <w:szCs w:val="24"/>
                <w:lang w:eastAsia="ru-RU"/>
              </w:rPr>
              <w:t>0,91</w:t>
            </w:r>
          </w:p>
        </w:tc>
      </w:tr>
      <w:tr w:rsidR="00B95636" w:rsidRPr="00B95636" w:rsidTr="00B95636">
        <w:trPr>
          <w:trHeight w:val="600"/>
          <w:jc w:val="center"/>
        </w:trPr>
        <w:tc>
          <w:tcPr>
            <w:tcW w:w="4536" w:type="dxa"/>
            <w:tcBorders>
              <w:top w:val="single" w:sz="4" w:space="0" w:color="auto"/>
              <w:left w:val="single" w:sz="4" w:space="0" w:color="auto"/>
              <w:bottom w:val="single" w:sz="4" w:space="0" w:color="auto"/>
              <w:right w:val="single" w:sz="4" w:space="0" w:color="auto"/>
            </w:tcBorders>
          </w:tcPr>
          <w:p w:rsidR="00B95636" w:rsidRPr="00B95636" w:rsidRDefault="00B95636" w:rsidP="00B95636">
            <w:pPr>
              <w:keepNext/>
              <w:spacing w:line="276" w:lineRule="auto"/>
              <w:rPr>
                <w:rFonts w:eastAsia="Times New Roman"/>
                <w:color w:val="000000"/>
                <w:sz w:val="24"/>
                <w:szCs w:val="24"/>
                <w:lang w:eastAsia="uk-UA"/>
              </w:rPr>
            </w:pPr>
            <w:r w:rsidRPr="00B95636">
              <w:rPr>
                <w:rFonts w:eastAsia="Times New Roman"/>
                <w:color w:val="000000"/>
                <w:sz w:val="24"/>
                <w:szCs w:val="24"/>
                <w:lang w:eastAsia="uk-UA"/>
              </w:rPr>
              <w:t>Індекс концентрації розродження вагітних з цукровим діабетом у ЗПД ІІІ рівня</w:t>
            </w:r>
          </w:p>
        </w:tc>
        <w:tc>
          <w:tcPr>
            <w:tcW w:w="968"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color w:val="000000"/>
                <w:sz w:val="24"/>
                <w:szCs w:val="24"/>
                <w:lang w:eastAsia="ru-RU"/>
              </w:rPr>
            </w:pPr>
            <w:r w:rsidRPr="00B95636">
              <w:rPr>
                <w:rFonts w:eastAsia="Times New Roman"/>
                <w:color w:val="000000"/>
                <w:sz w:val="24"/>
                <w:szCs w:val="24"/>
                <w:lang w:eastAsia="ru-RU"/>
              </w:rPr>
              <w:t>100</w:t>
            </w:r>
          </w:p>
        </w:tc>
        <w:tc>
          <w:tcPr>
            <w:tcW w:w="969"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color w:val="000000"/>
                <w:sz w:val="24"/>
                <w:szCs w:val="24"/>
                <w:lang w:eastAsia="ru-RU"/>
              </w:rPr>
            </w:pPr>
            <w:r w:rsidRPr="00B95636">
              <w:rPr>
                <w:rFonts w:eastAsia="Times New Roman"/>
                <w:color w:val="000000"/>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color w:val="000000"/>
                <w:sz w:val="24"/>
                <w:szCs w:val="24"/>
                <w:lang w:eastAsia="ru-RU"/>
              </w:rPr>
            </w:pPr>
            <w:r w:rsidRPr="00B95636">
              <w:rPr>
                <w:rFonts w:eastAsia="Times New Roman"/>
                <w:color w:val="000000"/>
                <w:sz w:val="24"/>
                <w:szCs w:val="24"/>
                <w:lang w:eastAsia="ru-RU"/>
              </w:rPr>
              <w:t>7,00</w:t>
            </w:r>
          </w:p>
        </w:tc>
        <w:tc>
          <w:tcPr>
            <w:tcW w:w="969"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color w:val="000000"/>
                <w:sz w:val="24"/>
                <w:szCs w:val="24"/>
                <w:lang w:eastAsia="ru-RU"/>
              </w:rPr>
            </w:pPr>
            <w:r w:rsidRPr="00B95636">
              <w:rPr>
                <w:rFonts w:eastAsia="Times New Roman"/>
                <w:color w:val="000000"/>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color w:val="000000"/>
                <w:sz w:val="24"/>
                <w:szCs w:val="24"/>
                <w:lang w:eastAsia="ru-RU"/>
              </w:rPr>
            </w:pPr>
            <w:r w:rsidRPr="00B95636">
              <w:rPr>
                <w:rFonts w:eastAsia="Times New Roman"/>
                <w:color w:val="000000"/>
                <w:sz w:val="24"/>
                <w:szCs w:val="24"/>
                <w:lang w:eastAsia="ru-RU"/>
              </w:rPr>
              <w:t>1,00</w:t>
            </w:r>
          </w:p>
        </w:tc>
        <w:tc>
          <w:tcPr>
            <w:tcW w:w="969"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color w:val="000000"/>
                <w:sz w:val="24"/>
                <w:szCs w:val="24"/>
                <w:lang w:eastAsia="ru-RU"/>
              </w:rPr>
            </w:pPr>
            <w:r w:rsidRPr="00B95636">
              <w:rPr>
                <w:rFonts w:eastAsia="Times New Roman"/>
                <w:color w:val="000000"/>
                <w:sz w:val="24"/>
                <w:szCs w:val="24"/>
                <w:lang w:eastAsia="ru-RU"/>
              </w:rPr>
              <w:t>**</w:t>
            </w:r>
          </w:p>
        </w:tc>
      </w:tr>
      <w:tr w:rsidR="00B95636" w:rsidRPr="00B95636" w:rsidTr="00B95636">
        <w:trPr>
          <w:trHeight w:val="605"/>
          <w:jc w:val="center"/>
        </w:trPr>
        <w:tc>
          <w:tcPr>
            <w:tcW w:w="4536" w:type="dxa"/>
            <w:tcBorders>
              <w:top w:val="single" w:sz="4" w:space="0" w:color="auto"/>
              <w:left w:val="single" w:sz="4" w:space="0" w:color="auto"/>
              <w:bottom w:val="single" w:sz="4" w:space="0" w:color="auto"/>
              <w:right w:val="single" w:sz="4" w:space="0" w:color="auto"/>
            </w:tcBorders>
          </w:tcPr>
          <w:p w:rsidR="00B95636" w:rsidRPr="00B95636" w:rsidRDefault="00B95636" w:rsidP="00B95636">
            <w:pPr>
              <w:keepNext/>
              <w:spacing w:line="276" w:lineRule="auto"/>
              <w:rPr>
                <w:rFonts w:eastAsia="Times New Roman"/>
                <w:color w:val="000000"/>
                <w:sz w:val="24"/>
                <w:szCs w:val="24"/>
                <w:lang w:eastAsia="uk-UA"/>
              </w:rPr>
            </w:pPr>
            <w:r w:rsidRPr="00B95636">
              <w:rPr>
                <w:rFonts w:eastAsia="Times New Roman"/>
                <w:color w:val="000000"/>
                <w:sz w:val="24"/>
                <w:szCs w:val="24"/>
                <w:lang w:eastAsia="uk-UA"/>
              </w:rPr>
              <w:t>Індекс концентрації розродження вагітних з  пре- еклампсією і еклампсією  у ЗПД ІІ-ІІІ рівнів</w:t>
            </w:r>
          </w:p>
        </w:tc>
        <w:tc>
          <w:tcPr>
            <w:tcW w:w="968"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color w:val="000000"/>
                <w:sz w:val="24"/>
                <w:szCs w:val="24"/>
                <w:lang w:eastAsia="ru-RU"/>
              </w:rPr>
            </w:pPr>
            <w:r w:rsidRPr="00B95636">
              <w:rPr>
                <w:rFonts w:eastAsia="Times New Roman"/>
                <w:color w:val="000000"/>
                <w:sz w:val="24"/>
                <w:szCs w:val="24"/>
                <w:lang w:eastAsia="ru-RU"/>
              </w:rPr>
              <w:t>61,9</w:t>
            </w:r>
          </w:p>
        </w:tc>
        <w:tc>
          <w:tcPr>
            <w:tcW w:w="969"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color w:val="000000"/>
                <w:sz w:val="24"/>
                <w:szCs w:val="24"/>
                <w:lang w:eastAsia="ru-RU"/>
              </w:rPr>
            </w:pPr>
            <w:r w:rsidRPr="00B95636">
              <w:rPr>
                <w:rFonts w:eastAsia="Times New Roman"/>
                <w:color w:val="000000"/>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color w:val="000000"/>
                <w:sz w:val="24"/>
                <w:szCs w:val="24"/>
                <w:lang w:eastAsia="ru-RU"/>
              </w:rPr>
            </w:pPr>
            <w:r w:rsidRPr="00B95636">
              <w:rPr>
                <w:rFonts w:eastAsia="Times New Roman"/>
                <w:color w:val="000000"/>
                <w:sz w:val="24"/>
                <w:szCs w:val="24"/>
                <w:lang w:eastAsia="ru-RU"/>
              </w:rPr>
              <w:t>4,81</w:t>
            </w:r>
          </w:p>
        </w:tc>
        <w:tc>
          <w:tcPr>
            <w:tcW w:w="969"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color w:val="000000"/>
                <w:sz w:val="24"/>
                <w:szCs w:val="24"/>
                <w:lang w:eastAsia="ru-RU"/>
              </w:rPr>
            </w:pPr>
            <w:r w:rsidRPr="00B95636">
              <w:rPr>
                <w:rFonts w:eastAsia="Times New Roman"/>
                <w:color w:val="000000"/>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color w:val="000000"/>
                <w:sz w:val="24"/>
                <w:szCs w:val="24"/>
                <w:lang w:eastAsia="ru-RU"/>
              </w:rPr>
            </w:pPr>
            <w:r w:rsidRPr="00B95636">
              <w:rPr>
                <w:rFonts w:eastAsia="Times New Roman"/>
                <w:color w:val="000000"/>
                <w:sz w:val="24"/>
                <w:szCs w:val="24"/>
                <w:lang w:eastAsia="ru-RU"/>
              </w:rPr>
              <w:t>0,69</w:t>
            </w:r>
          </w:p>
        </w:tc>
        <w:tc>
          <w:tcPr>
            <w:tcW w:w="969"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color w:val="000000"/>
                <w:sz w:val="24"/>
                <w:szCs w:val="24"/>
                <w:lang w:eastAsia="ru-RU"/>
              </w:rPr>
            </w:pPr>
            <w:r w:rsidRPr="00B95636">
              <w:rPr>
                <w:rFonts w:eastAsia="Times New Roman"/>
                <w:color w:val="000000"/>
                <w:sz w:val="24"/>
                <w:szCs w:val="24"/>
                <w:lang w:eastAsia="ru-RU"/>
              </w:rPr>
              <w:t>**</w:t>
            </w:r>
          </w:p>
        </w:tc>
      </w:tr>
      <w:tr w:rsidR="00B95636" w:rsidRPr="00B95636" w:rsidTr="00B95636">
        <w:trPr>
          <w:trHeight w:val="605"/>
          <w:jc w:val="center"/>
        </w:trPr>
        <w:tc>
          <w:tcPr>
            <w:tcW w:w="4536" w:type="dxa"/>
            <w:tcBorders>
              <w:top w:val="single" w:sz="4" w:space="0" w:color="auto"/>
              <w:left w:val="single" w:sz="4" w:space="0" w:color="auto"/>
              <w:bottom w:val="single" w:sz="4" w:space="0" w:color="auto"/>
              <w:right w:val="single" w:sz="4" w:space="0" w:color="auto"/>
            </w:tcBorders>
          </w:tcPr>
          <w:p w:rsidR="00B95636" w:rsidRPr="00B95636" w:rsidRDefault="00B95636" w:rsidP="00B95636">
            <w:pPr>
              <w:keepNext/>
              <w:spacing w:line="276" w:lineRule="auto"/>
              <w:rPr>
                <w:rFonts w:eastAsia="Times New Roman"/>
                <w:color w:val="000000"/>
                <w:sz w:val="24"/>
                <w:szCs w:val="24"/>
                <w:lang w:eastAsia="uk-UA"/>
              </w:rPr>
            </w:pPr>
            <w:r w:rsidRPr="00B95636">
              <w:rPr>
                <w:rFonts w:eastAsia="Times New Roman"/>
                <w:color w:val="000000"/>
                <w:sz w:val="24"/>
                <w:szCs w:val="24"/>
                <w:lang w:eastAsia="uk-UA"/>
              </w:rPr>
              <w:t>Індекс концентрації новонароджених масою тіла при народженні 500-1499г у ЗПД ІІІ рівня</w:t>
            </w:r>
          </w:p>
        </w:tc>
        <w:tc>
          <w:tcPr>
            <w:tcW w:w="968"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color w:val="000000"/>
                <w:sz w:val="24"/>
                <w:szCs w:val="24"/>
                <w:lang w:eastAsia="ru-RU"/>
              </w:rPr>
            </w:pPr>
            <w:r w:rsidRPr="00B95636">
              <w:rPr>
                <w:rFonts w:eastAsia="Times New Roman"/>
                <w:color w:val="000000"/>
                <w:sz w:val="24"/>
                <w:szCs w:val="24"/>
                <w:lang w:eastAsia="ru-RU"/>
              </w:rPr>
              <w:t>84,11</w:t>
            </w:r>
          </w:p>
        </w:tc>
        <w:tc>
          <w:tcPr>
            <w:tcW w:w="969"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color w:val="000000"/>
                <w:sz w:val="24"/>
                <w:szCs w:val="24"/>
                <w:lang w:eastAsia="ru-RU"/>
              </w:rPr>
            </w:pPr>
            <w:r w:rsidRPr="00B95636">
              <w:rPr>
                <w:rFonts w:eastAsia="Times New Roman"/>
                <w:color w:val="000000"/>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color w:val="000000"/>
                <w:sz w:val="24"/>
                <w:szCs w:val="24"/>
                <w:lang w:eastAsia="ru-RU"/>
              </w:rPr>
            </w:pPr>
            <w:r w:rsidRPr="00B95636">
              <w:rPr>
                <w:rFonts w:eastAsia="Times New Roman"/>
                <w:color w:val="000000"/>
                <w:sz w:val="24"/>
                <w:szCs w:val="24"/>
                <w:lang w:eastAsia="ru-RU"/>
              </w:rPr>
              <w:t>6,00</w:t>
            </w:r>
          </w:p>
        </w:tc>
        <w:tc>
          <w:tcPr>
            <w:tcW w:w="969"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color w:val="000000"/>
                <w:sz w:val="24"/>
                <w:szCs w:val="24"/>
                <w:lang w:eastAsia="ru-RU"/>
              </w:rPr>
            </w:pPr>
            <w:r w:rsidRPr="00B95636">
              <w:rPr>
                <w:rFonts w:eastAsia="Times New Roman"/>
                <w:color w:val="000000"/>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color w:val="000000"/>
                <w:sz w:val="24"/>
                <w:szCs w:val="24"/>
                <w:lang w:eastAsia="ru-RU"/>
              </w:rPr>
            </w:pPr>
            <w:r w:rsidRPr="00B95636">
              <w:rPr>
                <w:rFonts w:eastAsia="Times New Roman"/>
                <w:color w:val="000000"/>
                <w:sz w:val="24"/>
                <w:szCs w:val="24"/>
                <w:lang w:eastAsia="ru-RU"/>
              </w:rPr>
              <w:t>1,00</w:t>
            </w:r>
          </w:p>
        </w:tc>
        <w:tc>
          <w:tcPr>
            <w:tcW w:w="969"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color w:val="000000"/>
                <w:sz w:val="24"/>
                <w:szCs w:val="24"/>
                <w:lang w:eastAsia="ru-RU"/>
              </w:rPr>
            </w:pPr>
            <w:r w:rsidRPr="00B95636">
              <w:rPr>
                <w:rFonts w:eastAsia="Times New Roman"/>
                <w:color w:val="000000"/>
                <w:sz w:val="24"/>
                <w:szCs w:val="24"/>
                <w:lang w:eastAsia="ru-RU"/>
              </w:rPr>
              <w:t>**</w:t>
            </w:r>
          </w:p>
        </w:tc>
      </w:tr>
      <w:tr w:rsidR="00B95636" w:rsidRPr="00B95636" w:rsidTr="00B95636">
        <w:trPr>
          <w:trHeight w:val="254"/>
          <w:jc w:val="center"/>
        </w:trPr>
        <w:tc>
          <w:tcPr>
            <w:tcW w:w="4536" w:type="dxa"/>
            <w:tcBorders>
              <w:top w:val="single" w:sz="4" w:space="0" w:color="auto"/>
              <w:left w:val="single" w:sz="4" w:space="0" w:color="auto"/>
              <w:bottom w:val="single" w:sz="4" w:space="0" w:color="auto"/>
              <w:right w:val="single" w:sz="4" w:space="0" w:color="auto"/>
            </w:tcBorders>
            <w:vAlign w:val="bottom"/>
          </w:tcPr>
          <w:p w:rsidR="00B95636" w:rsidRPr="00B95636" w:rsidRDefault="00B95636" w:rsidP="00B95636">
            <w:pPr>
              <w:keepNext/>
              <w:spacing w:line="276" w:lineRule="auto"/>
              <w:jc w:val="left"/>
              <w:rPr>
                <w:rFonts w:eastAsia="Times New Roman"/>
                <w:sz w:val="24"/>
                <w:szCs w:val="24"/>
                <w:lang w:eastAsia="ru-RU"/>
              </w:rPr>
            </w:pPr>
            <w:r w:rsidRPr="00B95636">
              <w:rPr>
                <w:rFonts w:eastAsia="Times New Roman"/>
                <w:sz w:val="24"/>
                <w:szCs w:val="24"/>
                <w:lang w:eastAsia="ru-RU"/>
              </w:rPr>
              <w:t>Індекс неонатального трансферу</w:t>
            </w:r>
          </w:p>
        </w:tc>
        <w:tc>
          <w:tcPr>
            <w:tcW w:w="968"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sz w:val="24"/>
                <w:szCs w:val="24"/>
                <w:lang w:eastAsia="ru-RU"/>
              </w:rPr>
            </w:pPr>
            <w:r w:rsidRPr="00B95636">
              <w:rPr>
                <w:rFonts w:eastAsia="Times New Roman"/>
                <w:sz w:val="24"/>
                <w:szCs w:val="24"/>
                <w:lang w:eastAsia="ru-RU"/>
              </w:rPr>
              <w:t>3,71</w:t>
            </w:r>
          </w:p>
        </w:tc>
        <w:tc>
          <w:tcPr>
            <w:tcW w:w="969"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color w:val="000000"/>
                <w:sz w:val="24"/>
                <w:szCs w:val="24"/>
                <w:lang w:eastAsia="ru-RU"/>
              </w:rPr>
            </w:pPr>
            <w:r w:rsidRPr="00B95636">
              <w:rPr>
                <w:rFonts w:eastAsia="Times New Roman"/>
                <w:color w:val="000000"/>
                <w:sz w:val="24"/>
                <w:szCs w:val="24"/>
                <w:lang w:eastAsia="ru-RU"/>
              </w:rPr>
              <w:t>3,48</w:t>
            </w:r>
          </w:p>
        </w:tc>
        <w:tc>
          <w:tcPr>
            <w:tcW w:w="968"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sz w:val="24"/>
                <w:szCs w:val="24"/>
                <w:lang w:eastAsia="ru-RU"/>
              </w:rPr>
            </w:pPr>
            <w:r w:rsidRPr="00B95636">
              <w:rPr>
                <w:rFonts w:eastAsia="Times New Roman"/>
                <w:sz w:val="24"/>
                <w:szCs w:val="24"/>
                <w:lang w:eastAsia="ru-RU"/>
              </w:rPr>
              <w:t>7,00</w:t>
            </w:r>
          </w:p>
        </w:tc>
        <w:tc>
          <w:tcPr>
            <w:tcW w:w="969"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color w:val="000000"/>
                <w:sz w:val="24"/>
                <w:szCs w:val="24"/>
                <w:lang w:eastAsia="ru-RU"/>
              </w:rPr>
            </w:pPr>
            <w:r w:rsidRPr="00B95636">
              <w:rPr>
                <w:rFonts w:eastAsia="Times New Roman"/>
                <w:color w:val="000000"/>
                <w:sz w:val="24"/>
                <w:szCs w:val="24"/>
                <w:lang w:eastAsia="ru-RU"/>
              </w:rPr>
              <w:t>7,0</w:t>
            </w:r>
          </w:p>
        </w:tc>
        <w:tc>
          <w:tcPr>
            <w:tcW w:w="968"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sz w:val="24"/>
                <w:szCs w:val="24"/>
                <w:lang w:eastAsia="ru-RU"/>
              </w:rPr>
            </w:pPr>
            <w:r w:rsidRPr="00B95636">
              <w:rPr>
                <w:rFonts w:eastAsia="Times New Roman"/>
                <w:sz w:val="24"/>
                <w:szCs w:val="24"/>
                <w:lang w:eastAsia="ru-RU"/>
              </w:rPr>
              <w:t>1,00</w:t>
            </w:r>
          </w:p>
        </w:tc>
        <w:tc>
          <w:tcPr>
            <w:tcW w:w="969"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color w:val="000000"/>
                <w:sz w:val="24"/>
                <w:szCs w:val="24"/>
                <w:lang w:eastAsia="ru-RU"/>
              </w:rPr>
            </w:pPr>
            <w:r w:rsidRPr="00B95636">
              <w:rPr>
                <w:rFonts w:eastAsia="Times New Roman"/>
                <w:color w:val="000000"/>
                <w:sz w:val="24"/>
                <w:szCs w:val="24"/>
                <w:lang w:eastAsia="ru-RU"/>
              </w:rPr>
              <w:t>1,00</w:t>
            </w:r>
          </w:p>
        </w:tc>
      </w:tr>
      <w:tr w:rsidR="00B95636" w:rsidRPr="00B95636" w:rsidTr="00B95636">
        <w:trPr>
          <w:trHeight w:val="234"/>
          <w:jc w:val="center"/>
        </w:trPr>
        <w:tc>
          <w:tcPr>
            <w:tcW w:w="4536"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left"/>
              <w:rPr>
                <w:rFonts w:eastAsia="Times New Roman"/>
                <w:sz w:val="24"/>
                <w:szCs w:val="24"/>
                <w:lang w:eastAsia="ru-RU"/>
              </w:rPr>
            </w:pPr>
            <w:r w:rsidRPr="00B95636">
              <w:rPr>
                <w:rFonts w:eastAsia="Times New Roman"/>
                <w:sz w:val="24"/>
                <w:szCs w:val="24"/>
                <w:lang w:eastAsia="ru-RU"/>
              </w:rPr>
              <w:t>Частота нормальних пологів</w:t>
            </w:r>
          </w:p>
        </w:tc>
        <w:tc>
          <w:tcPr>
            <w:tcW w:w="968"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sz w:val="24"/>
                <w:szCs w:val="24"/>
                <w:lang w:eastAsia="ru-RU"/>
              </w:rPr>
            </w:pPr>
            <w:r w:rsidRPr="00B95636">
              <w:rPr>
                <w:rFonts w:eastAsia="Times New Roman"/>
                <w:sz w:val="24"/>
                <w:szCs w:val="24"/>
                <w:lang w:eastAsia="ru-RU"/>
              </w:rPr>
              <w:t>66,13</w:t>
            </w:r>
          </w:p>
        </w:tc>
        <w:tc>
          <w:tcPr>
            <w:tcW w:w="969"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color w:val="000000"/>
                <w:sz w:val="24"/>
                <w:szCs w:val="24"/>
                <w:lang w:eastAsia="ru-RU"/>
              </w:rPr>
            </w:pPr>
            <w:r w:rsidRPr="00B95636">
              <w:rPr>
                <w:rFonts w:eastAsia="Times New Roman"/>
                <w:color w:val="000000"/>
                <w:sz w:val="24"/>
                <w:szCs w:val="24"/>
                <w:lang w:eastAsia="ru-RU"/>
              </w:rPr>
              <w:t>66,58</w:t>
            </w:r>
          </w:p>
        </w:tc>
        <w:tc>
          <w:tcPr>
            <w:tcW w:w="968"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sz w:val="24"/>
                <w:szCs w:val="24"/>
                <w:lang w:eastAsia="ru-RU"/>
              </w:rPr>
            </w:pPr>
            <w:r w:rsidRPr="00B95636">
              <w:rPr>
                <w:rFonts w:eastAsia="Times New Roman"/>
                <w:sz w:val="24"/>
                <w:szCs w:val="24"/>
                <w:lang w:eastAsia="ru-RU"/>
              </w:rPr>
              <w:t>4,72</w:t>
            </w:r>
          </w:p>
        </w:tc>
        <w:tc>
          <w:tcPr>
            <w:tcW w:w="969"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color w:val="000000"/>
                <w:sz w:val="24"/>
                <w:szCs w:val="24"/>
                <w:lang w:eastAsia="ru-RU"/>
              </w:rPr>
            </w:pPr>
            <w:r w:rsidRPr="00B95636">
              <w:rPr>
                <w:rFonts w:eastAsia="Times New Roman"/>
                <w:color w:val="000000"/>
                <w:sz w:val="24"/>
                <w:szCs w:val="24"/>
                <w:lang w:eastAsia="ru-RU"/>
              </w:rPr>
              <w:t>4,97</w:t>
            </w:r>
          </w:p>
        </w:tc>
        <w:tc>
          <w:tcPr>
            <w:tcW w:w="968"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sz w:val="24"/>
                <w:szCs w:val="24"/>
                <w:lang w:eastAsia="ru-RU"/>
              </w:rPr>
            </w:pPr>
            <w:r w:rsidRPr="00B95636">
              <w:rPr>
                <w:rFonts w:eastAsia="Times New Roman"/>
                <w:sz w:val="24"/>
                <w:szCs w:val="24"/>
                <w:lang w:eastAsia="ru-RU"/>
              </w:rPr>
              <w:t>0,94</w:t>
            </w:r>
          </w:p>
        </w:tc>
        <w:tc>
          <w:tcPr>
            <w:tcW w:w="969"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color w:val="000000"/>
                <w:sz w:val="24"/>
                <w:szCs w:val="24"/>
                <w:lang w:eastAsia="ru-RU"/>
              </w:rPr>
            </w:pPr>
            <w:r w:rsidRPr="00B95636">
              <w:rPr>
                <w:rFonts w:eastAsia="Times New Roman"/>
                <w:color w:val="000000"/>
                <w:sz w:val="24"/>
                <w:szCs w:val="24"/>
                <w:lang w:eastAsia="ru-RU"/>
              </w:rPr>
              <w:t>0,99</w:t>
            </w:r>
          </w:p>
        </w:tc>
      </w:tr>
    </w:tbl>
    <w:p w:rsidR="004B24A2" w:rsidRPr="004B24A2" w:rsidRDefault="004B24A2" w:rsidP="004B24A2">
      <w:pPr>
        <w:rPr>
          <w:i/>
          <w:sz w:val="20"/>
          <w:szCs w:val="20"/>
        </w:rPr>
      </w:pPr>
      <w:r w:rsidRPr="004B24A2">
        <w:rPr>
          <w:i/>
          <w:sz w:val="20"/>
          <w:szCs w:val="20"/>
        </w:rPr>
        <w:t>Для таблиць : * – показник не оцінювався</w:t>
      </w:r>
      <w:r w:rsidRPr="004B24A2">
        <w:rPr>
          <w:i/>
          <w:sz w:val="20"/>
          <w:szCs w:val="20"/>
          <w:lang w:val="ru-RU"/>
        </w:rPr>
        <w:t xml:space="preserve">  </w:t>
      </w:r>
      <w:r w:rsidRPr="004B24A2">
        <w:rPr>
          <w:i/>
          <w:sz w:val="20"/>
          <w:szCs w:val="20"/>
        </w:rPr>
        <w:t>** – немає даних</w:t>
      </w:r>
    </w:p>
    <w:p w:rsidR="00B95636" w:rsidRPr="004B24A2" w:rsidRDefault="00B95636"/>
    <w:tbl>
      <w:tblPr>
        <w:tblpPr w:leftFromText="180" w:rightFromText="180" w:vertAnchor="text" w:horzAnchor="margin" w:tblpY="652"/>
        <w:tblW w:w="103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36"/>
        <w:gridCol w:w="968"/>
        <w:gridCol w:w="969"/>
        <w:gridCol w:w="968"/>
        <w:gridCol w:w="969"/>
        <w:gridCol w:w="968"/>
        <w:gridCol w:w="969"/>
      </w:tblGrid>
      <w:tr w:rsidR="00B95636" w:rsidRPr="00B95636" w:rsidTr="00B95636">
        <w:trPr>
          <w:trHeight w:val="553"/>
        </w:trPr>
        <w:tc>
          <w:tcPr>
            <w:tcW w:w="4536" w:type="dxa"/>
            <w:tcBorders>
              <w:top w:val="single" w:sz="4" w:space="0" w:color="auto"/>
              <w:left w:val="single" w:sz="4" w:space="0" w:color="auto"/>
              <w:bottom w:val="single" w:sz="4" w:space="0" w:color="auto"/>
              <w:right w:val="single" w:sz="4" w:space="0" w:color="auto"/>
            </w:tcBorders>
            <w:vAlign w:val="bottom"/>
          </w:tcPr>
          <w:p w:rsidR="00B95636" w:rsidRPr="00B95636" w:rsidRDefault="00B95636" w:rsidP="00B95636">
            <w:pPr>
              <w:keepNext/>
              <w:spacing w:line="276" w:lineRule="auto"/>
              <w:jc w:val="left"/>
              <w:rPr>
                <w:rFonts w:eastAsia="Times New Roman"/>
                <w:sz w:val="24"/>
                <w:szCs w:val="24"/>
                <w:lang w:eastAsia="ru-RU"/>
              </w:rPr>
            </w:pPr>
            <w:r w:rsidRPr="00B95636">
              <w:rPr>
                <w:rFonts w:eastAsia="Times New Roman"/>
                <w:sz w:val="24"/>
                <w:szCs w:val="24"/>
                <w:lang w:eastAsia="ru-RU"/>
              </w:rPr>
              <w:lastRenderedPageBreak/>
              <w:t>Частота розроджень вагітних шляхом кесаревого розтину</w:t>
            </w:r>
          </w:p>
        </w:tc>
        <w:tc>
          <w:tcPr>
            <w:tcW w:w="968"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sz w:val="24"/>
                <w:szCs w:val="24"/>
                <w:lang w:eastAsia="ru-RU"/>
              </w:rPr>
            </w:pPr>
            <w:r w:rsidRPr="00B95636">
              <w:rPr>
                <w:rFonts w:eastAsia="Times New Roman"/>
                <w:sz w:val="24"/>
                <w:szCs w:val="24"/>
                <w:lang w:eastAsia="ru-RU"/>
              </w:rPr>
              <w:t>227,4</w:t>
            </w:r>
          </w:p>
        </w:tc>
        <w:tc>
          <w:tcPr>
            <w:tcW w:w="969"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color w:val="000000"/>
                <w:sz w:val="24"/>
                <w:szCs w:val="24"/>
                <w:lang w:eastAsia="ru-RU"/>
              </w:rPr>
            </w:pPr>
            <w:r w:rsidRPr="00B95636">
              <w:rPr>
                <w:rFonts w:eastAsia="Times New Roman"/>
                <w:color w:val="000000"/>
                <w:sz w:val="24"/>
                <w:szCs w:val="24"/>
                <w:lang w:eastAsia="ru-RU"/>
              </w:rPr>
              <w:t>239,51</w:t>
            </w:r>
          </w:p>
        </w:tc>
        <w:tc>
          <w:tcPr>
            <w:tcW w:w="968"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sz w:val="24"/>
                <w:szCs w:val="24"/>
                <w:lang w:eastAsia="ru-RU"/>
              </w:rPr>
            </w:pPr>
            <w:r w:rsidRPr="00B95636">
              <w:rPr>
                <w:rFonts w:eastAsia="Times New Roman"/>
                <w:sz w:val="24"/>
                <w:szCs w:val="24"/>
                <w:lang w:eastAsia="ru-RU"/>
              </w:rPr>
              <w:t>4,05</w:t>
            </w:r>
          </w:p>
        </w:tc>
        <w:tc>
          <w:tcPr>
            <w:tcW w:w="969"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color w:val="000000"/>
                <w:sz w:val="24"/>
                <w:szCs w:val="24"/>
                <w:lang w:eastAsia="ru-RU"/>
              </w:rPr>
            </w:pPr>
            <w:r w:rsidRPr="00B95636">
              <w:rPr>
                <w:rFonts w:eastAsia="Times New Roman"/>
                <w:color w:val="000000"/>
                <w:sz w:val="24"/>
                <w:szCs w:val="24"/>
                <w:lang w:eastAsia="ru-RU"/>
              </w:rPr>
              <w:t>4,62</w:t>
            </w:r>
          </w:p>
        </w:tc>
        <w:tc>
          <w:tcPr>
            <w:tcW w:w="968"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sz w:val="24"/>
                <w:szCs w:val="24"/>
                <w:lang w:eastAsia="ru-RU"/>
              </w:rPr>
            </w:pPr>
            <w:r w:rsidRPr="00B95636">
              <w:rPr>
                <w:rFonts w:eastAsia="Times New Roman"/>
                <w:sz w:val="24"/>
                <w:szCs w:val="24"/>
                <w:lang w:eastAsia="ru-RU"/>
              </w:rPr>
              <w:t>0,58</w:t>
            </w:r>
          </w:p>
        </w:tc>
        <w:tc>
          <w:tcPr>
            <w:tcW w:w="969"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color w:val="000000"/>
                <w:sz w:val="24"/>
                <w:szCs w:val="24"/>
                <w:lang w:eastAsia="ru-RU"/>
              </w:rPr>
            </w:pPr>
            <w:r w:rsidRPr="00B95636">
              <w:rPr>
                <w:rFonts w:eastAsia="Times New Roman"/>
                <w:color w:val="000000"/>
                <w:sz w:val="24"/>
                <w:szCs w:val="24"/>
                <w:lang w:eastAsia="ru-RU"/>
              </w:rPr>
              <w:t>0,66</w:t>
            </w:r>
          </w:p>
        </w:tc>
      </w:tr>
      <w:tr w:rsidR="00B95636" w:rsidRPr="00B95636" w:rsidTr="00B95636">
        <w:trPr>
          <w:trHeight w:val="276"/>
        </w:trPr>
        <w:tc>
          <w:tcPr>
            <w:tcW w:w="4536" w:type="dxa"/>
            <w:tcBorders>
              <w:top w:val="single" w:sz="4" w:space="0" w:color="auto"/>
              <w:left w:val="single" w:sz="4" w:space="0" w:color="auto"/>
              <w:bottom w:val="single" w:sz="4" w:space="0" w:color="auto"/>
              <w:right w:val="single" w:sz="4" w:space="0" w:color="auto"/>
            </w:tcBorders>
            <w:vAlign w:val="bottom"/>
          </w:tcPr>
          <w:p w:rsidR="00B95636" w:rsidRPr="00B95636" w:rsidRDefault="00B95636" w:rsidP="00B95636">
            <w:pPr>
              <w:keepNext/>
              <w:spacing w:line="276" w:lineRule="auto"/>
              <w:jc w:val="left"/>
              <w:rPr>
                <w:rFonts w:eastAsia="Times New Roman"/>
                <w:sz w:val="24"/>
                <w:szCs w:val="24"/>
                <w:lang w:eastAsia="ru-RU"/>
              </w:rPr>
            </w:pPr>
            <w:r w:rsidRPr="00B95636">
              <w:rPr>
                <w:rFonts w:eastAsia="Times New Roman"/>
                <w:sz w:val="24"/>
                <w:szCs w:val="24"/>
                <w:lang w:eastAsia="ru-RU"/>
              </w:rPr>
              <w:t>Частота  кровотеч в послідовому і післяродовому періодах</w:t>
            </w:r>
          </w:p>
        </w:tc>
        <w:tc>
          <w:tcPr>
            <w:tcW w:w="968"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sz w:val="24"/>
                <w:szCs w:val="24"/>
                <w:lang w:eastAsia="ru-RU"/>
              </w:rPr>
            </w:pPr>
            <w:r w:rsidRPr="00B95636">
              <w:rPr>
                <w:rFonts w:eastAsia="Times New Roman"/>
                <w:sz w:val="24"/>
                <w:szCs w:val="24"/>
                <w:lang w:eastAsia="ru-RU"/>
              </w:rPr>
              <w:t>10,02</w:t>
            </w:r>
          </w:p>
        </w:tc>
        <w:tc>
          <w:tcPr>
            <w:tcW w:w="969"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color w:val="000000"/>
                <w:sz w:val="24"/>
                <w:szCs w:val="24"/>
                <w:lang w:eastAsia="ru-RU"/>
              </w:rPr>
            </w:pPr>
            <w:r w:rsidRPr="00B95636">
              <w:rPr>
                <w:rFonts w:eastAsia="Times New Roman"/>
                <w:color w:val="000000"/>
                <w:sz w:val="24"/>
                <w:szCs w:val="24"/>
                <w:lang w:eastAsia="ru-RU"/>
              </w:rPr>
              <w:t>10,11</w:t>
            </w:r>
          </w:p>
        </w:tc>
        <w:tc>
          <w:tcPr>
            <w:tcW w:w="968"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sz w:val="24"/>
                <w:szCs w:val="24"/>
                <w:lang w:eastAsia="ru-RU"/>
              </w:rPr>
            </w:pPr>
            <w:r w:rsidRPr="00B95636">
              <w:rPr>
                <w:rFonts w:eastAsia="Times New Roman"/>
                <w:sz w:val="24"/>
                <w:szCs w:val="24"/>
                <w:lang w:eastAsia="ru-RU"/>
              </w:rPr>
              <w:t>0,00</w:t>
            </w:r>
          </w:p>
        </w:tc>
        <w:tc>
          <w:tcPr>
            <w:tcW w:w="969"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color w:val="000000"/>
                <w:sz w:val="24"/>
                <w:szCs w:val="24"/>
                <w:lang w:eastAsia="ru-RU"/>
              </w:rPr>
            </w:pPr>
            <w:r w:rsidRPr="00B95636">
              <w:rPr>
                <w:rFonts w:eastAsia="Times New Roman"/>
                <w:color w:val="000000"/>
                <w:sz w:val="24"/>
                <w:szCs w:val="24"/>
                <w:lang w:eastAsia="ru-RU"/>
              </w:rPr>
              <w:t>2,84</w:t>
            </w:r>
          </w:p>
        </w:tc>
        <w:tc>
          <w:tcPr>
            <w:tcW w:w="968"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sz w:val="24"/>
                <w:szCs w:val="24"/>
                <w:lang w:eastAsia="ru-RU"/>
              </w:rPr>
            </w:pPr>
            <w:r w:rsidRPr="00B95636">
              <w:rPr>
                <w:rFonts w:eastAsia="Times New Roman"/>
                <w:sz w:val="24"/>
                <w:szCs w:val="24"/>
                <w:lang w:eastAsia="ru-RU"/>
              </w:rPr>
              <w:t>0,00</w:t>
            </w:r>
          </w:p>
        </w:tc>
        <w:tc>
          <w:tcPr>
            <w:tcW w:w="969"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color w:val="000000"/>
                <w:sz w:val="24"/>
                <w:szCs w:val="24"/>
                <w:lang w:eastAsia="ru-RU"/>
              </w:rPr>
            </w:pPr>
            <w:r w:rsidRPr="00B95636">
              <w:rPr>
                <w:rFonts w:eastAsia="Times New Roman"/>
                <w:color w:val="000000"/>
                <w:sz w:val="24"/>
                <w:szCs w:val="24"/>
                <w:lang w:eastAsia="ru-RU"/>
              </w:rPr>
              <w:t>0,32</w:t>
            </w:r>
          </w:p>
        </w:tc>
      </w:tr>
      <w:tr w:rsidR="00B95636" w:rsidRPr="00B95636" w:rsidTr="00B95636">
        <w:trPr>
          <w:trHeight w:val="293"/>
        </w:trPr>
        <w:tc>
          <w:tcPr>
            <w:tcW w:w="4536" w:type="dxa"/>
            <w:tcBorders>
              <w:top w:val="single" w:sz="4" w:space="0" w:color="auto"/>
              <w:left w:val="single" w:sz="4" w:space="0" w:color="auto"/>
              <w:bottom w:val="single" w:sz="4" w:space="0" w:color="auto"/>
              <w:right w:val="single" w:sz="4" w:space="0" w:color="auto"/>
            </w:tcBorders>
            <w:vAlign w:val="bottom"/>
          </w:tcPr>
          <w:p w:rsidR="00B95636" w:rsidRPr="00B95636" w:rsidRDefault="00B95636" w:rsidP="00B95636">
            <w:pPr>
              <w:keepNext/>
              <w:spacing w:line="276" w:lineRule="auto"/>
              <w:jc w:val="left"/>
              <w:rPr>
                <w:rFonts w:eastAsia="Times New Roman"/>
                <w:sz w:val="24"/>
                <w:szCs w:val="24"/>
                <w:lang w:eastAsia="ru-RU"/>
              </w:rPr>
            </w:pPr>
            <w:r w:rsidRPr="00B95636">
              <w:rPr>
                <w:rFonts w:eastAsia="Times New Roman"/>
                <w:sz w:val="24"/>
                <w:szCs w:val="24"/>
                <w:lang w:eastAsia="ru-RU"/>
              </w:rPr>
              <w:t>Частота мало вагових новонароджених</w:t>
            </w:r>
          </w:p>
        </w:tc>
        <w:tc>
          <w:tcPr>
            <w:tcW w:w="968"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sz w:val="24"/>
                <w:szCs w:val="24"/>
                <w:lang w:eastAsia="ru-RU"/>
              </w:rPr>
            </w:pPr>
            <w:r w:rsidRPr="00B95636">
              <w:rPr>
                <w:rFonts w:eastAsia="Times New Roman"/>
                <w:sz w:val="24"/>
                <w:szCs w:val="24"/>
                <w:lang w:eastAsia="ru-RU"/>
              </w:rPr>
              <w:t>5,19</w:t>
            </w:r>
          </w:p>
        </w:tc>
        <w:tc>
          <w:tcPr>
            <w:tcW w:w="969"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color w:val="000000"/>
                <w:sz w:val="24"/>
                <w:szCs w:val="24"/>
                <w:lang w:eastAsia="ru-RU"/>
              </w:rPr>
            </w:pPr>
            <w:r w:rsidRPr="00B95636">
              <w:rPr>
                <w:rFonts w:eastAsia="Times New Roman"/>
                <w:color w:val="000000"/>
                <w:sz w:val="24"/>
                <w:szCs w:val="24"/>
                <w:lang w:eastAsia="ru-RU"/>
              </w:rPr>
              <w:t>4,67</w:t>
            </w:r>
          </w:p>
        </w:tc>
        <w:tc>
          <w:tcPr>
            <w:tcW w:w="968"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sz w:val="24"/>
                <w:szCs w:val="24"/>
                <w:lang w:eastAsia="ru-RU"/>
              </w:rPr>
            </w:pPr>
            <w:r w:rsidRPr="00B95636">
              <w:rPr>
                <w:rFonts w:eastAsia="Times New Roman"/>
                <w:sz w:val="24"/>
                <w:szCs w:val="24"/>
                <w:lang w:eastAsia="ru-RU"/>
              </w:rPr>
              <w:t>3,51</w:t>
            </w:r>
          </w:p>
        </w:tc>
        <w:tc>
          <w:tcPr>
            <w:tcW w:w="969"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color w:val="000000"/>
                <w:sz w:val="24"/>
                <w:szCs w:val="24"/>
                <w:lang w:eastAsia="ru-RU"/>
              </w:rPr>
            </w:pPr>
            <w:r w:rsidRPr="00B95636">
              <w:rPr>
                <w:rFonts w:eastAsia="Times New Roman"/>
                <w:color w:val="000000"/>
                <w:sz w:val="24"/>
                <w:szCs w:val="24"/>
                <w:lang w:eastAsia="ru-RU"/>
              </w:rPr>
              <w:t>4,33</w:t>
            </w:r>
          </w:p>
        </w:tc>
        <w:tc>
          <w:tcPr>
            <w:tcW w:w="968"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sz w:val="24"/>
                <w:szCs w:val="24"/>
                <w:lang w:eastAsia="ru-RU"/>
              </w:rPr>
            </w:pPr>
            <w:r w:rsidRPr="00B95636">
              <w:rPr>
                <w:rFonts w:eastAsia="Times New Roman"/>
                <w:sz w:val="24"/>
                <w:szCs w:val="24"/>
                <w:lang w:eastAsia="ru-RU"/>
              </w:rPr>
              <w:t>0,70</w:t>
            </w:r>
          </w:p>
        </w:tc>
        <w:tc>
          <w:tcPr>
            <w:tcW w:w="969"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color w:val="000000"/>
                <w:sz w:val="24"/>
                <w:szCs w:val="24"/>
                <w:lang w:eastAsia="ru-RU"/>
              </w:rPr>
            </w:pPr>
            <w:r w:rsidRPr="00B95636">
              <w:rPr>
                <w:rFonts w:eastAsia="Times New Roman"/>
                <w:color w:val="000000"/>
                <w:sz w:val="24"/>
                <w:szCs w:val="24"/>
                <w:lang w:eastAsia="ru-RU"/>
              </w:rPr>
              <w:t>0,87</w:t>
            </w:r>
          </w:p>
        </w:tc>
      </w:tr>
      <w:tr w:rsidR="00B95636" w:rsidRPr="00B95636" w:rsidTr="00B95636">
        <w:trPr>
          <w:trHeight w:val="344"/>
        </w:trPr>
        <w:tc>
          <w:tcPr>
            <w:tcW w:w="4536" w:type="dxa"/>
            <w:tcBorders>
              <w:top w:val="single" w:sz="4" w:space="0" w:color="auto"/>
              <w:left w:val="single" w:sz="4" w:space="0" w:color="auto"/>
              <w:bottom w:val="single" w:sz="4" w:space="0" w:color="auto"/>
              <w:right w:val="single" w:sz="4" w:space="0" w:color="auto"/>
            </w:tcBorders>
            <w:vAlign w:val="bottom"/>
          </w:tcPr>
          <w:p w:rsidR="00B95636" w:rsidRPr="00B95636" w:rsidRDefault="00B95636" w:rsidP="00B95636">
            <w:pPr>
              <w:keepNext/>
              <w:spacing w:line="276" w:lineRule="auto"/>
              <w:jc w:val="left"/>
              <w:rPr>
                <w:rFonts w:eastAsia="Times New Roman"/>
                <w:sz w:val="24"/>
                <w:szCs w:val="24"/>
                <w:lang w:eastAsia="ru-RU"/>
              </w:rPr>
            </w:pPr>
            <w:r w:rsidRPr="00B95636">
              <w:rPr>
                <w:rFonts w:eastAsia="Times New Roman"/>
                <w:sz w:val="24"/>
                <w:szCs w:val="24"/>
                <w:lang w:eastAsia="ru-RU"/>
              </w:rPr>
              <w:t>Виживання новонароджених з дуже малою масою тіла при народженні</w:t>
            </w:r>
          </w:p>
        </w:tc>
        <w:tc>
          <w:tcPr>
            <w:tcW w:w="968"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sz w:val="24"/>
                <w:szCs w:val="24"/>
                <w:lang w:eastAsia="ru-RU"/>
              </w:rPr>
            </w:pPr>
            <w:r w:rsidRPr="00B95636">
              <w:rPr>
                <w:rFonts w:eastAsia="Times New Roman"/>
                <w:sz w:val="24"/>
                <w:szCs w:val="24"/>
                <w:lang w:eastAsia="ru-RU"/>
              </w:rPr>
              <w:t>81,31</w:t>
            </w:r>
          </w:p>
        </w:tc>
        <w:tc>
          <w:tcPr>
            <w:tcW w:w="969"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color w:val="000000"/>
                <w:sz w:val="24"/>
                <w:szCs w:val="24"/>
                <w:lang w:eastAsia="ru-RU"/>
              </w:rPr>
            </w:pPr>
            <w:r w:rsidRPr="00B95636">
              <w:rPr>
                <w:rFonts w:eastAsia="Times New Roman"/>
                <w:color w:val="000000"/>
                <w:sz w:val="24"/>
                <w:szCs w:val="24"/>
                <w:lang w:eastAsia="ru-RU"/>
              </w:rPr>
              <w:t>81,00</w:t>
            </w:r>
          </w:p>
        </w:tc>
        <w:tc>
          <w:tcPr>
            <w:tcW w:w="968"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sz w:val="24"/>
                <w:szCs w:val="24"/>
                <w:lang w:eastAsia="ru-RU"/>
              </w:rPr>
            </w:pPr>
            <w:r w:rsidRPr="00B95636">
              <w:rPr>
                <w:rFonts w:eastAsia="Times New Roman"/>
                <w:sz w:val="24"/>
                <w:szCs w:val="24"/>
                <w:lang w:eastAsia="ru-RU"/>
              </w:rPr>
              <w:t>7,23</w:t>
            </w:r>
          </w:p>
        </w:tc>
        <w:tc>
          <w:tcPr>
            <w:tcW w:w="969"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color w:val="000000"/>
                <w:sz w:val="24"/>
                <w:szCs w:val="24"/>
                <w:lang w:eastAsia="ru-RU"/>
              </w:rPr>
            </w:pPr>
            <w:r w:rsidRPr="00B95636">
              <w:rPr>
                <w:rFonts w:eastAsia="Times New Roman"/>
                <w:color w:val="000000"/>
                <w:sz w:val="24"/>
                <w:szCs w:val="24"/>
                <w:lang w:eastAsia="ru-RU"/>
              </w:rPr>
              <w:t>7,64</w:t>
            </w:r>
          </w:p>
        </w:tc>
        <w:tc>
          <w:tcPr>
            <w:tcW w:w="968"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sz w:val="24"/>
                <w:szCs w:val="24"/>
                <w:lang w:eastAsia="ru-RU"/>
              </w:rPr>
            </w:pPr>
            <w:r w:rsidRPr="00B95636">
              <w:rPr>
                <w:rFonts w:eastAsia="Times New Roman"/>
                <w:sz w:val="24"/>
                <w:szCs w:val="24"/>
                <w:lang w:eastAsia="ru-RU"/>
              </w:rPr>
              <w:t>0,90</w:t>
            </w:r>
          </w:p>
        </w:tc>
        <w:tc>
          <w:tcPr>
            <w:tcW w:w="969"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color w:val="000000"/>
                <w:sz w:val="24"/>
                <w:szCs w:val="24"/>
                <w:lang w:eastAsia="ru-RU"/>
              </w:rPr>
            </w:pPr>
            <w:r w:rsidRPr="00B95636">
              <w:rPr>
                <w:rFonts w:eastAsia="Times New Roman"/>
                <w:color w:val="000000"/>
                <w:sz w:val="24"/>
                <w:szCs w:val="24"/>
                <w:lang w:eastAsia="ru-RU"/>
              </w:rPr>
              <w:t>0,96</w:t>
            </w:r>
          </w:p>
        </w:tc>
      </w:tr>
      <w:tr w:rsidR="00B95636" w:rsidRPr="00B95636" w:rsidTr="00B95636">
        <w:trPr>
          <w:trHeight w:val="226"/>
        </w:trPr>
        <w:tc>
          <w:tcPr>
            <w:tcW w:w="4536" w:type="dxa"/>
            <w:tcBorders>
              <w:top w:val="single" w:sz="4" w:space="0" w:color="auto"/>
              <w:left w:val="single" w:sz="4" w:space="0" w:color="auto"/>
              <w:bottom w:val="single" w:sz="4" w:space="0" w:color="auto"/>
              <w:right w:val="single" w:sz="4" w:space="0" w:color="auto"/>
            </w:tcBorders>
            <w:vAlign w:val="bottom"/>
          </w:tcPr>
          <w:p w:rsidR="00B95636" w:rsidRPr="00B95636" w:rsidRDefault="00B95636" w:rsidP="00B95636">
            <w:pPr>
              <w:keepNext/>
              <w:spacing w:line="276" w:lineRule="auto"/>
              <w:jc w:val="left"/>
              <w:rPr>
                <w:rFonts w:eastAsia="Times New Roman"/>
                <w:sz w:val="24"/>
                <w:szCs w:val="24"/>
                <w:lang w:eastAsia="ru-RU"/>
              </w:rPr>
            </w:pPr>
            <w:r w:rsidRPr="00B95636">
              <w:rPr>
                <w:rFonts w:eastAsia="Times New Roman"/>
                <w:sz w:val="24"/>
                <w:szCs w:val="24"/>
                <w:lang w:eastAsia="ru-RU"/>
              </w:rPr>
              <w:t>Індекс здоров’я новонароджених</w:t>
            </w:r>
          </w:p>
        </w:tc>
        <w:tc>
          <w:tcPr>
            <w:tcW w:w="968"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sz w:val="24"/>
                <w:szCs w:val="24"/>
                <w:lang w:eastAsia="ru-RU"/>
              </w:rPr>
            </w:pPr>
            <w:r w:rsidRPr="00B95636">
              <w:rPr>
                <w:rFonts w:eastAsia="Times New Roman"/>
                <w:sz w:val="24"/>
                <w:szCs w:val="24"/>
                <w:lang w:eastAsia="ru-RU"/>
              </w:rPr>
              <w:t>88,8</w:t>
            </w:r>
          </w:p>
        </w:tc>
        <w:tc>
          <w:tcPr>
            <w:tcW w:w="969"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color w:val="000000"/>
                <w:sz w:val="24"/>
                <w:szCs w:val="24"/>
                <w:lang w:eastAsia="ru-RU"/>
              </w:rPr>
            </w:pPr>
            <w:r w:rsidRPr="00B95636">
              <w:rPr>
                <w:rFonts w:eastAsia="Times New Roman"/>
                <w:color w:val="000000"/>
                <w:sz w:val="24"/>
                <w:szCs w:val="24"/>
                <w:lang w:eastAsia="ru-RU"/>
              </w:rPr>
              <w:t>86,93</w:t>
            </w:r>
          </w:p>
        </w:tc>
        <w:tc>
          <w:tcPr>
            <w:tcW w:w="968"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sz w:val="24"/>
                <w:szCs w:val="24"/>
                <w:lang w:eastAsia="ru-RU"/>
              </w:rPr>
            </w:pPr>
            <w:r w:rsidRPr="00B95636">
              <w:rPr>
                <w:rFonts w:eastAsia="Times New Roman"/>
                <w:sz w:val="24"/>
                <w:szCs w:val="24"/>
                <w:lang w:eastAsia="ru-RU"/>
              </w:rPr>
              <w:t>5,92</w:t>
            </w:r>
          </w:p>
        </w:tc>
        <w:tc>
          <w:tcPr>
            <w:tcW w:w="969"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color w:val="000000"/>
                <w:sz w:val="24"/>
                <w:szCs w:val="24"/>
                <w:lang w:eastAsia="ru-RU"/>
              </w:rPr>
            </w:pPr>
            <w:r w:rsidRPr="00B95636">
              <w:rPr>
                <w:rFonts w:eastAsia="Times New Roman"/>
                <w:color w:val="000000"/>
                <w:sz w:val="24"/>
                <w:szCs w:val="24"/>
                <w:lang w:eastAsia="ru-RU"/>
              </w:rPr>
              <w:t>6,0</w:t>
            </w:r>
          </w:p>
        </w:tc>
        <w:tc>
          <w:tcPr>
            <w:tcW w:w="968"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sz w:val="24"/>
                <w:szCs w:val="24"/>
                <w:lang w:eastAsia="ru-RU"/>
              </w:rPr>
            </w:pPr>
            <w:r w:rsidRPr="00B95636">
              <w:rPr>
                <w:rFonts w:eastAsia="Times New Roman"/>
                <w:sz w:val="24"/>
                <w:szCs w:val="24"/>
                <w:lang w:eastAsia="ru-RU"/>
              </w:rPr>
              <w:t>0,99</w:t>
            </w:r>
          </w:p>
        </w:tc>
        <w:tc>
          <w:tcPr>
            <w:tcW w:w="969"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color w:val="000000"/>
                <w:sz w:val="24"/>
                <w:szCs w:val="24"/>
                <w:lang w:eastAsia="ru-RU"/>
              </w:rPr>
            </w:pPr>
            <w:r w:rsidRPr="00B95636">
              <w:rPr>
                <w:rFonts w:eastAsia="Times New Roman"/>
                <w:color w:val="000000"/>
                <w:sz w:val="24"/>
                <w:szCs w:val="24"/>
                <w:lang w:eastAsia="ru-RU"/>
              </w:rPr>
              <w:t>1,00</w:t>
            </w:r>
          </w:p>
        </w:tc>
      </w:tr>
      <w:tr w:rsidR="00B95636" w:rsidRPr="00B95636" w:rsidTr="00B95636">
        <w:trPr>
          <w:trHeight w:val="244"/>
        </w:trPr>
        <w:tc>
          <w:tcPr>
            <w:tcW w:w="4536" w:type="dxa"/>
            <w:tcBorders>
              <w:top w:val="single" w:sz="4" w:space="0" w:color="auto"/>
              <w:left w:val="single" w:sz="4" w:space="0" w:color="auto"/>
              <w:bottom w:val="single" w:sz="4" w:space="0" w:color="auto"/>
              <w:right w:val="single" w:sz="4" w:space="0" w:color="auto"/>
            </w:tcBorders>
            <w:vAlign w:val="bottom"/>
          </w:tcPr>
          <w:p w:rsidR="00B95636" w:rsidRPr="00B95636" w:rsidRDefault="00B95636" w:rsidP="00B95636">
            <w:pPr>
              <w:keepNext/>
              <w:spacing w:line="276" w:lineRule="auto"/>
              <w:jc w:val="left"/>
              <w:rPr>
                <w:rFonts w:eastAsia="Times New Roman"/>
                <w:sz w:val="24"/>
                <w:szCs w:val="24"/>
                <w:lang w:eastAsia="ru-RU"/>
              </w:rPr>
            </w:pPr>
            <w:r w:rsidRPr="00B95636">
              <w:rPr>
                <w:rFonts w:eastAsia="Times New Roman"/>
                <w:sz w:val="24"/>
                <w:szCs w:val="24"/>
                <w:lang w:eastAsia="ru-RU"/>
              </w:rPr>
              <w:t xml:space="preserve">Рівень перинатальної смертності </w:t>
            </w:r>
          </w:p>
        </w:tc>
        <w:tc>
          <w:tcPr>
            <w:tcW w:w="968"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sz w:val="24"/>
                <w:szCs w:val="24"/>
                <w:lang w:eastAsia="ru-RU"/>
              </w:rPr>
            </w:pPr>
            <w:r w:rsidRPr="00B95636">
              <w:rPr>
                <w:rFonts w:eastAsia="Times New Roman"/>
                <w:sz w:val="24"/>
                <w:szCs w:val="24"/>
                <w:lang w:eastAsia="ru-RU"/>
              </w:rPr>
              <w:t>7,63</w:t>
            </w:r>
          </w:p>
        </w:tc>
        <w:tc>
          <w:tcPr>
            <w:tcW w:w="969"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color w:val="000000"/>
                <w:sz w:val="24"/>
                <w:szCs w:val="24"/>
                <w:lang w:eastAsia="ru-RU"/>
              </w:rPr>
            </w:pPr>
            <w:r w:rsidRPr="00B95636">
              <w:rPr>
                <w:rFonts w:eastAsia="Times New Roman"/>
                <w:color w:val="000000"/>
                <w:sz w:val="24"/>
                <w:szCs w:val="24"/>
                <w:lang w:eastAsia="ru-RU"/>
              </w:rPr>
              <w:t>6,63</w:t>
            </w:r>
          </w:p>
        </w:tc>
        <w:tc>
          <w:tcPr>
            <w:tcW w:w="968"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sz w:val="24"/>
                <w:szCs w:val="24"/>
                <w:lang w:eastAsia="ru-RU"/>
              </w:rPr>
            </w:pPr>
            <w:r w:rsidRPr="00B95636">
              <w:rPr>
                <w:rFonts w:eastAsia="Times New Roman"/>
                <w:sz w:val="24"/>
                <w:szCs w:val="24"/>
                <w:lang w:eastAsia="ru-RU"/>
              </w:rPr>
              <w:t>6,00</w:t>
            </w:r>
          </w:p>
        </w:tc>
        <w:tc>
          <w:tcPr>
            <w:tcW w:w="969"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color w:val="000000"/>
                <w:sz w:val="24"/>
                <w:szCs w:val="24"/>
                <w:lang w:eastAsia="ru-RU"/>
              </w:rPr>
            </w:pPr>
            <w:r w:rsidRPr="00B95636">
              <w:rPr>
                <w:rFonts w:eastAsia="Times New Roman"/>
                <w:color w:val="000000"/>
                <w:sz w:val="24"/>
                <w:szCs w:val="24"/>
                <w:lang w:eastAsia="ru-RU"/>
              </w:rPr>
              <w:t>6,0</w:t>
            </w:r>
          </w:p>
        </w:tc>
        <w:tc>
          <w:tcPr>
            <w:tcW w:w="968"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sz w:val="24"/>
                <w:szCs w:val="24"/>
                <w:lang w:eastAsia="ru-RU"/>
              </w:rPr>
            </w:pPr>
            <w:r w:rsidRPr="00B95636">
              <w:rPr>
                <w:rFonts w:eastAsia="Times New Roman"/>
                <w:sz w:val="24"/>
                <w:szCs w:val="24"/>
                <w:lang w:eastAsia="ru-RU"/>
              </w:rPr>
              <w:t>1,00</w:t>
            </w:r>
          </w:p>
        </w:tc>
        <w:tc>
          <w:tcPr>
            <w:tcW w:w="969"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color w:val="000000"/>
                <w:sz w:val="24"/>
                <w:szCs w:val="24"/>
                <w:lang w:eastAsia="ru-RU"/>
              </w:rPr>
            </w:pPr>
            <w:r w:rsidRPr="00B95636">
              <w:rPr>
                <w:rFonts w:eastAsia="Times New Roman"/>
                <w:color w:val="000000"/>
                <w:sz w:val="24"/>
                <w:szCs w:val="24"/>
                <w:lang w:eastAsia="ru-RU"/>
              </w:rPr>
              <w:t>1,00</w:t>
            </w:r>
          </w:p>
        </w:tc>
      </w:tr>
      <w:tr w:rsidR="00B95636" w:rsidRPr="00B95636" w:rsidTr="00B95636">
        <w:trPr>
          <w:trHeight w:val="450"/>
        </w:trPr>
        <w:tc>
          <w:tcPr>
            <w:tcW w:w="4536"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rPr>
                <w:rFonts w:eastAsia="Times New Roman"/>
                <w:sz w:val="24"/>
                <w:szCs w:val="24"/>
                <w:lang w:eastAsia="ru-RU"/>
              </w:rPr>
            </w:pPr>
            <w:r w:rsidRPr="00B95636">
              <w:rPr>
                <w:rFonts w:eastAsia="Times New Roman"/>
                <w:sz w:val="24"/>
                <w:szCs w:val="24"/>
                <w:lang w:eastAsia="ru-RU"/>
              </w:rPr>
              <w:t>Співвідношення реального і фактичного показника ранньої неонатальної смертності</w:t>
            </w:r>
          </w:p>
        </w:tc>
        <w:tc>
          <w:tcPr>
            <w:tcW w:w="968"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sz w:val="24"/>
                <w:szCs w:val="24"/>
                <w:lang w:eastAsia="ru-RU"/>
              </w:rPr>
            </w:pPr>
            <w:r w:rsidRPr="00B95636">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color w:val="000000"/>
                <w:sz w:val="24"/>
                <w:szCs w:val="24"/>
                <w:lang w:eastAsia="ru-RU"/>
              </w:rPr>
            </w:pPr>
            <w:r w:rsidRPr="00B95636">
              <w:rPr>
                <w:rFonts w:eastAsia="Times New Roman"/>
                <w:color w:val="000000"/>
                <w:sz w:val="24"/>
                <w:szCs w:val="24"/>
                <w:lang w:eastAsia="ru-RU"/>
              </w:rPr>
              <w:t>2,38</w:t>
            </w:r>
          </w:p>
        </w:tc>
        <w:tc>
          <w:tcPr>
            <w:tcW w:w="968"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sz w:val="24"/>
                <w:szCs w:val="24"/>
                <w:lang w:eastAsia="ru-RU"/>
              </w:rPr>
            </w:pPr>
            <w:r w:rsidRPr="00B95636">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color w:val="000000"/>
                <w:sz w:val="24"/>
                <w:szCs w:val="24"/>
                <w:lang w:eastAsia="ru-RU"/>
              </w:rPr>
            </w:pPr>
            <w:r w:rsidRPr="00B95636">
              <w:rPr>
                <w:rFonts w:eastAsia="Times New Roman"/>
                <w:color w:val="000000"/>
                <w:sz w:val="24"/>
                <w:szCs w:val="24"/>
                <w:lang w:eastAsia="ru-RU"/>
              </w:rPr>
              <w:t>2,48</w:t>
            </w:r>
          </w:p>
        </w:tc>
        <w:tc>
          <w:tcPr>
            <w:tcW w:w="968"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sz w:val="24"/>
                <w:szCs w:val="24"/>
                <w:lang w:eastAsia="ru-RU"/>
              </w:rPr>
            </w:pPr>
            <w:r w:rsidRPr="00B95636">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color w:val="000000"/>
                <w:sz w:val="24"/>
                <w:szCs w:val="24"/>
                <w:lang w:eastAsia="ru-RU"/>
              </w:rPr>
            </w:pPr>
            <w:r w:rsidRPr="00B95636">
              <w:rPr>
                <w:rFonts w:eastAsia="Times New Roman"/>
                <w:color w:val="000000"/>
                <w:sz w:val="24"/>
                <w:szCs w:val="24"/>
                <w:lang w:eastAsia="ru-RU"/>
              </w:rPr>
              <w:t>0,41</w:t>
            </w:r>
          </w:p>
        </w:tc>
      </w:tr>
      <w:tr w:rsidR="00B95636" w:rsidRPr="00B95636" w:rsidTr="00B95636">
        <w:trPr>
          <w:trHeight w:val="216"/>
        </w:trPr>
        <w:tc>
          <w:tcPr>
            <w:tcW w:w="4536"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rPr>
                <w:rFonts w:eastAsia="Times New Roman"/>
                <w:sz w:val="24"/>
                <w:szCs w:val="24"/>
                <w:lang w:eastAsia="ru-RU"/>
              </w:rPr>
            </w:pPr>
            <w:r w:rsidRPr="00B95636">
              <w:rPr>
                <w:rFonts w:eastAsia="Times New Roman"/>
                <w:sz w:val="24"/>
                <w:szCs w:val="24"/>
                <w:lang w:eastAsia="ru-RU"/>
              </w:rPr>
              <w:t>Рівень неонатальної смертності</w:t>
            </w:r>
          </w:p>
        </w:tc>
        <w:tc>
          <w:tcPr>
            <w:tcW w:w="968"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sz w:val="24"/>
                <w:szCs w:val="24"/>
                <w:lang w:eastAsia="ru-RU"/>
              </w:rPr>
            </w:pPr>
            <w:r w:rsidRPr="00B95636">
              <w:rPr>
                <w:rFonts w:eastAsia="Times New Roman"/>
                <w:sz w:val="24"/>
                <w:szCs w:val="24"/>
                <w:lang w:eastAsia="ru-RU"/>
              </w:rPr>
              <w:t>3,95</w:t>
            </w:r>
          </w:p>
        </w:tc>
        <w:tc>
          <w:tcPr>
            <w:tcW w:w="969"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color w:val="000000"/>
                <w:sz w:val="24"/>
                <w:szCs w:val="24"/>
                <w:lang w:eastAsia="ru-RU"/>
              </w:rPr>
            </w:pPr>
            <w:r w:rsidRPr="00B95636">
              <w:rPr>
                <w:rFonts w:eastAsia="Times New Roman"/>
                <w:color w:val="000000"/>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sz w:val="24"/>
                <w:szCs w:val="24"/>
                <w:lang w:eastAsia="ru-RU"/>
              </w:rPr>
            </w:pPr>
            <w:r w:rsidRPr="00B95636">
              <w:rPr>
                <w:rFonts w:eastAsia="Times New Roman"/>
                <w:sz w:val="24"/>
                <w:szCs w:val="24"/>
                <w:lang w:eastAsia="ru-RU"/>
              </w:rPr>
              <w:t>6,00</w:t>
            </w:r>
          </w:p>
        </w:tc>
        <w:tc>
          <w:tcPr>
            <w:tcW w:w="969"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color w:val="000000"/>
                <w:sz w:val="24"/>
                <w:szCs w:val="24"/>
                <w:lang w:eastAsia="ru-RU"/>
              </w:rPr>
            </w:pPr>
            <w:r w:rsidRPr="00B95636">
              <w:rPr>
                <w:rFonts w:eastAsia="Times New Roman"/>
                <w:color w:val="000000"/>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sz w:val="24"/>
                <w:szCs w:val="24"/>
                <w:lang w:eastAsia="ru-RU"/>
              </w:rPr>
            </w:pPr>
            <w:r w:rsidRPr="00B95636">
              <w:rPr>
                <w:rFonts w:eastAsia="Times New Roman"/>
                <w:sz w:val="24"/>
                <w:szCs w:val="24"/>
                <w:lang w:eastAsia="ru-RU"/>
              </w:rPr>
              <w:t>1,00</w:t>
            </w:r>
          </w:p>
        </w:tc>
        <w:tc>
          <w:tcPr>
            <w:tcW w:w="969"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color w:val="000000"/>
                <w:sz w:val="24"/>
                <w:szCs w:val="24"/>
                <w:lang w:eastAsia="ru-RU"/>
              </w:rPr>
            </w:pPr>
            <w:r w:rsidRPr="00B95636">
              <w:rPr>
                <w:rFonts w:eastAsia="Times New Roman"/>
                <w:color w:val="000000"/>
                <w:sz w:val="24"/>
                <w:szCs w:val="24"/>
                <w:lang w:eastAsia="ru-RU"/>
              </w:rPr>
              <w:t>**</w:t>
            </w:r>
          </w:p>
        </w:tc>
      </w:tr>
      <w:tr w:rsidR="00B95636" w:rsidRPr="00B95636" w:rsidTr="00B95636">
        <w:trPr>
          <w:trHeight w:val="312"/>
        </w:trPr>
        <w:tc>
          <w:tcPr>
            <w:tcW w:w="4536"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left"/>
              <w:rPr>
                <w:rFonts w:eastAsia="Times New Roman"/>
                <w:sz w:val="24"/>
                <w:szCs w:val="24"/>
                <w:lang w:eastAsia="ru-RU"/>
              </w:rPr>
            </w:pPr>
            <w:r w:rsidRPr="00B95636">
              <w:rPr>
                <w:rFonts w:eastAsia="Times New Roman"/>
                <w:sz w:val="24"/>
                <w:szCs w:val="24"/>
                <w:lang w:eastAsia="ru-RU"/>
              </w:rPr>
              <w:t xml:space="preserve">Рівень ранньої неонатальної смертності </w:t>
            </w:r>
          </w:p>
        </w:tc>
        <w:tc>
          <w:tcPr>
            <w:tcW w:w="968"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sz w:val="24"/>
                <w:szCs w:val="24"/>
                <w:lang w:eastAsia="ru-RU"/>
              </w:rPr>
            </w:pPr>
            <w:r w:rsidRPr="00B95636">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color w:val="000000"/>
                <w:sz w:val="24"/>
                <w:szCs w:val="24"/>
                <w:lang w:eastAsia="ru-RU"/>
              </w:rPr>
            </w:pPr>
            <w:r w:rsidRPr="00B95636">
              <w:rPr>
                <w:rFonts w:eastAsia="Times New Roman"/>
                <w:color w:val="000000"/>
                <w:sz w:val="24"/>
                <w:szCs w:val="24"/>
                <w:lang w:eastAsia="ru-RU"/>
              </w:rPr>
              <w:t>2,81</w:t>
            </w:r>
          </w:p>
        </w:tc>
        <w:tc>
          <w:tcPr>
            <w:tcW w:w="968"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sz w:val="24"/>
                <w:szCs w:val="24"/>
                <w:lang w:eastAsia="ru-RU"/>
              </w:rPr>
            </w:pPr>
            <w:r w:rsidRPr="00B95636">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color w:val="000000"/>
                <w:sz w:val="24"/>
                <w:szCs w:val="24"/>
                <w:lang w:eastAsia="ru-RU"/>
              </w:rPr>
            </w:pPr>
            <w:r w:rsidRPr="00B95636">
              <w:rPr>
                <w:rFonts w:eastAsia="Times New Roman"/>
                <w:color w:val="000000"/>
                <w:sz w:val="24"/>
                <w:szCs w:val="24"/>
                <w:lang w:eastAsia="ru-RU"/>
              </w:rPr>
              <w:t>5,69</w:t>
            </w:r>
          </w:p>
        </w:tc>
        <w:tc>
          <w:tcPr>
            <w:tcW w:w="968"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sz w:val="24"/>
                <w:szCs w:val="24"/>
                <w:lang w:eastAsia="ru-RU"/>
              </w:rPr>
            </w:pPr>
            <w:r w:rsidRPr="00B95636">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color w:val="000000"/>
                <w:sz w:val="24"/>
                <w:szCs w:val="24"/>
                <w:lang w:eastAsia="ru-RU"/>
              </w:rPr>
            </w:pPr>
            <w:r w:rsidRPr="00B95636">
              <w:rPr>
                <w:rFonts w:eastAsia="Times New Roman"/>
                <w:color w:val="000000"/>
                <w:sz w:val="24"/>
                <w:szCs w:val="24"/>
                <w:lang w:eastAsia="ru-RU"/>
              </w:rPr>
              <w:t>0,95</w:t>
            </w:r>
          </w:p>
        </w:tc>
      </w:tr>
      <w:tr w:rsidR="00B95636" w:rsidRPr="00B95636" w:rsidTr="00B95636">
        <w:trPr>
          <w:trHeight w:val="274"/>
        </w:trPr>
        <w:tc>
          <w:tcPr>
            <w:tcW w:w="4536" w:type="dxa"/>
            <w:tcBorders>
              <w:top w:val="single" w:sz="4" w:space="0" w:color="auto"/>
              <w:left w:val="single" w:sz="4" w:space="0" w:color="auto"/>
              <w:bottom w:val="single" w:sz="4" w:space="0" w:color="auto"/>
              <w:right w:val="single" w:sz="4" w:space="0" w:color="auto"/>
            </w:tcBorders>
            <w:vAlign w:val="bottom"/>
          </w:tcPr>
          <w:p w:rsidR="00B95636" w:rsidRPr="00B95636" w:rsidRDefault="00B95636" w:rsidP="00B95636">
            <w:pPr>
              <w:keepNext/>
              <w:spacing w:line="276" w:lineRule="auto"/>
              <w:jc w:val="left"/>
              <w:rPr>
                <w:rFonts w:eastAsia="Times New Roman"/>
                <w:sz w:val="24"/>
                <w:szCs w:val="24"/>
                <w:lang w:eastAsia="ru-RU"/>
              </w:rPr>
            </w:pPr>
            <w:r w:rsidRPr="00B95636">
              <w:rPr>
                <w:rFonts w:eastAsia="Times New Roman"/>
                <w:sz w:val="24"/>
                <w:szCs w:val="24"/>
                <w:lang w:eastAsia="ru-RU"/>
              </w:rPr>
              <w:t xml:space="preserve">Рівень материнської смертності </w:t>
            </w:r>
          </w:p>
        </w:tc>
        <w:tc>
          <w:tcPr>
            <w:tcW w:w="968"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sz w:val="24"/>
                <w:szCs w:val="24"/>
                <w:lang w:eastAsia="ru-RU"/>
              </w:rPr>
            </w:pPr>
            <w:r w:rsidRPr="00B95636">
              <w:rPr>
                <w:rFonts w:eastAsia="Times New Roman"/>
                <w:sz w:val="24"/>
                <w:szCs w:val="24"/>
                <w:lang w:eastAsia="ru-RU"/>
              </w:rPr>
              <w:t>0</w:t>
            </w:r>
          </w:p>
        </w:tc>
        <w:tc>
          <w:tcPr>
            <w:tcW w:w="969"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color w:val="000000"/>
                <w:sz w:val="24"/>
                <w:szCs w:val="24"/>
                <w:lang w:eastAsia="ru-RU"/>
              </w:rPr>
            </w:pPr>
            <w:r w:rsidRPr="00B95636">
              <w:rPr>
                <w:rFonts w:eastAsia="Times New Roman"/>
                <w:color w:val="000000"/>
                <w:sz w:val="24"/>
                <w:szCs w:val="24"/>
                <w:lang w:eastAsia="ru-RU"/>
              </w:rPr>
              <w:t>7,9</w:t>
            </w:r>
          </w:p>
        </w:tc>
        <w:tc>
          <w:tcPr>
            <w:tcW w:w="968"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sz w:val="24"/>
                <w:szCs w:val="24"/>
                <w:lang w:eastAsia="ru-RU"/>
              </w:rPr>
            </w:pPr>
            <w:r w:rsidRPr="00B95636">
              <w:rPr>
                <w:rFonts w:eastAsia="Times New Roman"/>
                <w:sz w:val="24"/>
                <w:szCs w:val="24"/>
                <w:lang w:eastAsia="ru-RU"/>
              </w:rPr>
              <w:t>5,00</w:t>
            </w:r>
          </w:p>
        </w:tc>
        <w:tc>
          <w:tcPr>
            <w:tcW w:w="969"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color w:val="000000"/>
                <w:sz w:val="24"/>
                <w:szCs w:val="24"/>
                <w:lang w:eastAsia="ru-RU"/>
              </w:rPr>
            </w:pPr>
            <w:r w:rsidRPr="00B95636">
              <w:rPr>
                <w:rFonts w:eastAsia="Times New Roman"/>
                <w:color w:val="000000"/>
                <w:sz w:val="24"/>
                <w:szCs w:val="24"/>
                <w:lang w:eastAsia="ru-RU"/>
              </w:rPr>
              <w:t>5,0</w:t>
            </w:r>
          </w:p>
        </w:tc>
        <w:tc>
          <w:tcPr>
            <w:tcW w:w="968"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sz w:val="24"/>
                <w:szCs w:val="24"/>
                <w:lang w:eastAsia="ru-RU"/>
              </w:rPr>
            </w:pPr>
            <w:r w:rsidRPr="00B95636">
              <w:rPr>
                <w:rFonts w:eastAsia="Times New Roman"/>
                <w:sz w:val="24"/>
                <w:szCs w:val="24"/>
                <w:lang w:eastAsia="ru-RU"/>
              </w:rPr>
              <w:t>1,00</w:t>
            </w:r>
          </w:p>
        </w:tc>
        <w:tc>
          <w:tcPr>
            <w:tcW w:w="969"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color w:val="000000"/>
                <w:sz w:val="24"/>
                <w:szCs w:val="24"/>
                <w:lang w:eastAsia="ru-RU"/>
              </w:rPr>
            </w:pPr>
            <w:r w:rsidRPr="00B95636">
              <w:rPr>
                <w:rFonts w:eastAsia="Times New Roman"/>
                <w:color w:val="000000"/>
                <w:sz w:val="24"/>
                <w:szCs w:val="24"/>
                <w:lang w:eastAsia="ru-RU"/>
              </w:rPr>
              <w:t>1,00</w:t>
            </w:r>
          </w:p>
        </w:tc>
      </w:tr>
      <w:tr w:rsidR="00B95636" w:rsidRPr="00B95636" w:rsidTr="00B95636">
        <w:trPr>
          <w:trHeight w:val="300"/>
        </w:trPr>
        <w:tc>
          <w:tcPr>
            <w:tcW w:w="4536" w:type="dxa"/>
            <w:tcBorders>
              <w:top w:val="single" w:sz="4" w:space="0" w:color="auto"/>
              <w:left w:val="single" w:sz="4" w:space="0" w:color="auto"/>
              <w:bottom w:val="single" w:sz="4" w:space="0" w:color="auto"/>
              <w:right w:val="single" w:sz="4" w:space="0" w:color="auto"/>
            </w:tcBorders>
            <w:noWrap/>
            <w:vAlign w:val="bottom"/>
            <w:hideMark/>
          </w:tcPr>
          <w:p w:rsidR="00B95636" w:rsidRPr="00B95636" w:rsidRDefault="00B95636" w:rsidP="00B95636">
            <w:pPr>
              <w:keepNext/>
              <w:spacing w:line="276" w:lineRule="auto"/>
              <w:jc w:val="left"/>
              <w:rPr>
                <w:rFonts w:eastAsia="Times New Roman"/>
                <w:sz w:val="24"/>
                <w:szCs w:val="24"/>
                <w:lang w:eastAsia="ru-RU"/>
              </w:rPr>
            </w:pPr>
          </w:p>
        </w:tc>
        <w:tc>
          <w:tcPr>
            <w:tcW w:w="968" w:type="dxa"/>
            <w:tcBorders>
              <w:top w:val="single" w:sz="4" w:space="0" w:color="auto"/>
              <w:left w:val="single" w:sz="4" w:space="0" w:color="auto"/>
              <w:bottom w:val="single" w:sz="4" w:space="0" w:color="auto"/>
              <w:right w:val="single" w:sz="4" w:space="0" w:color="auto"/>
            </w:tcBorders>
            <w:noWrap/>
            <w:vAlign w:val="center"/>
          </w:tcPr>
          <w:p w:rsidR="00B95636" w:rsidRPr="00B95636" w:rsidRDefault="00B95636" w:rsidP="00B95636">
            <w:pPr>
              <w:keepNext/>
              <w:spacing w:line="276" w:lineRule="auto"/>
              <w:jc w:val="center"/>
              <w:rPr>
                <w:rFonts w:eastAsia="Times New Roman"/>
                <w:sz w:val="24"/>
                <w:szCs w:val="24"/>
                <w:lang w:eastAsia="ru-RU"/>
              </w:rPr>
            </w:pPr>
          </w:p>
        </w:tc>
        <w:tc>
          <w:tcPr>
            <w:tcW w:w="969"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color w:val="000000"/>
                <w:sz w:val="24"/>
                <w:szCs w:val="24"/>
                <w:lang w:eastAsia="ru-RU"/>
              </w:rPr>
            </w:pPr>
          </w:p>
        </w:tc>
        <w:tc>
          <w:tcPr>
            <w:tcW w:w="968" w:type="dxa"/>
            <w:tcBorders>
              <w:top w:val="single" w:sz="4" w:space="0" w:color="auto"/>
              <w:left w:val="single" w:sz="4" w:space="0" w:color="auto"/>
              <w:bottom w:val="single" w:sz="4" w:space="0" w:color="auto"/>
              <w:right w:val="single" w:sz="4" w:space="0" w:color="auto"/>
            </w:tcBorders>
            <w:noWrap/>
            <w:vAlign w:val="center"/>
          </w:tcPr>
          <w:p w:rsidR="00B95636" w:rsidRPr="00B95636" w:rsidRDefault="00B95636" w:rsidP="00B95636">
            <w:pPr>
              <w:keepNext/>
              <w:spacing w:line="276" w:lineRule="auto"/>
              <w:jc w:val="center"/>
              <w:rPr>
                <w:rFonts w:eastAsia="Times New Roman"/>
                <w:color w:val="000000"/>
                <w:sz w:val="24"/>
                <w:szCs w:val="24"/>
                <w:lang w:eastAsia="ru-RU"/>
              </w:rPr>
            </w:pPr>
            <w:r w:rsidRPr="00B95636">
              <w:rPr>
                <w:rFonts w:eastAsia="Times New Roman"/>
                <w:color w:val="000000"/>
                <w:sz w:val="24"/>
                <w:szCs w:val="24"/>
                <w:lang w:eastAsia="ru-RU"/>
              </w:rPr>
              <w:t>101,37</w:t>
            </w:r>
          </w:p>
        </w:tc>
        <w:tc>
          <w:tcPr>
            <w:tcW w:w="969"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color w:val="000000"/>
                <w:sz w:val="24"/>
                <w:szCs w:val="24"/>
                <w:lang w:eastAsia="ru-RU"/>
              </w:rPr>
            </w:pPr>
            <w:r w:rsidRPr="00B95636">
              <w:rPr>
                <w:rFonts w:eastAsia="Times New Roman"/>
                <w:color w:val="000000"/>
                <w:sz w:val="24"/>
                <w:szCs w:val="24"/>
                <w:lang w:eastAsia="ru-RU"/>
              </w:rPr>
              <w:t>114,1</w:t>
            </w:r>
          </w:p>
        </w:tc>
        <w:tc>
          <w:tcPr>
            <w:tcW w:w="968" w:type="dxa"/>
            <w:tcBorders>
              <w:top w:val="single" w:sz="4" w:space="0" w:color="auto"/>
              <w:left w:val="single" w:sz="4" w:space="0" w:color="auto"/>
              <w:bottom w:val="single" w:sz="4" w:space="0" w:color="auto"/>
              <w:right w:val="single" w:sz="4" w:space="0" w:color="auto"/>
            </w:tcBorders>
            <w:noWrap/>
            <w:vAlign w:val="center"/>
          </w:tcPr>
          <w:p w:rsidR="00B95636" w:rsidRPr="00B95636" w:rsidRDefault="00B95636" w:rsidP="00B95636">
            <w:pPr>
              <w:keepNext/>
              <w:spacing w:line="276" w:lineRule="auto"/>
              <w:jc w:val="center"/>
              <w:rPr>
                <w:rFonts w:eastAsia="Times New Roman"/>
                <w:color w:val="000000"/>
                <w:sz w:val="24"/>
                <w:szCs w:val="24"/>
                <w:lang w:eastAsia="ru-RU"/>
              </w:rPr>
            </w:pPr>
            <w:r w:rsidRPr="00B95636">
              <w:rPr>
                <w:rFonts w:eastAsia="Times New Roman"/>
                <w:color w:val="000000"/>
                <w:sz w:val="24"/>
                <w:szCs w:val="24"/>
                <w:lang w:eastAsia="ru-RU"/>
              </w:rPr>
              <w:t>0,84</w:t>
            </w:r>
          </w:p>
        </w:tc>
        <w:tc>
          <w:tcPr>
            <w:tcW w:w="969" w:type="dxa"/>
            <w:tcBorders>
              <w:top w:val="single" w:sz="4" w:space="0" w:color="auto"/>
              <w:left w:val="single" w:sz="4" w:space="0" w:color="auto"/>
              <w:bottom w:val="single" w:sz="4" w:space="0" w:color="auto"/>
              <w:right w:val="single" w:sz="4" w:space="0" w:color="auto"/>
            </w:tcBorders>
            <w:vAlign w:val="center"/>
          </w:tcPr>
          <w:p w:rsidR="00B95636" w:rsidRPr="00B95636" w:rsidRDefault="00B95636" w:rsidP="00B95636">
            <w:pPr>
              <w:keepNext/>
              <w:spacing w:line="276" w:lineRule="auto"/>
              <w:jc w:val="center"/>
              <w:rPr>
                <w:rFonts w:eastAsia="Times New Roman"/>
                <w:color w:val="000000"/>
                <w:sz w:val="24"/>
                <w:szCs w:val="24"/>
                <w:lang w:eastAsia="ru-RU"/>
              </w:rPr>
            </w:pPr>
            <w:r w:rsidRPr="00B95636">
              <w:rPr>
                <w:rFonts w:eastAsia="Times New Roman"/>
                <w:color w:val="000000"/>
                <w:sz w:val="24"/>
                <w:szCs w:val="24"/>
                <w:lang w:eastAsia="ru-RU"/>
              </w:rPr>
              <w:t>0,88</w:t>
            </w:r>
          </w:p>
        </w:tc>
      </w:tr>
    </w:tbl>
    <w:p w:rsidR="00991406" w:rsidRPr="00187565" w:rsidRDefault="00B95636" w:rsidP="00187565">
      <w:pPr>
        <w:jc w:val="right"/>
        <w:rPr>
          <w:i/>
          <w:lang w:val="ru-RU"/>
        </w:rPr>
      </w:pPr>
      <w:r w:rsidRPr="00B95636">
        <w:rPr>
          <w:i/>
          <w:lang w:val="ru-RU"/>
        </w:rPr>
        <w:t>Продовження додаток Е</w:t>
      </w:r>
      <w:r w:rsidR="00051FC4">
        <w:rPr>
          <w:i/>
          <w:lang w:val="ru-RU"/>
        </w:rPr>
        <w:t>-11</w:t>
      </w:r>
    </w:p>
    <w:p w:rsidR="00C43972" w:rsidRPr="00187565" w:rsidRDefault="00C43972" w:rsidP="00474500">
      <w:pPr>
        <w:pageBreakBefore/>
        <w:widowControl w:val="0"/>
        <w:jc w:val="right"/>
        <w:rPr>
          <w:rFonts w:eastAsia="Times New Roman"/>
          <w:bCs/>
          <w:iCs/>
          <w:color w:val="000000"/>
          <w:szCs w:val="28"/>
          <w:lang w:val="ru-RU" w:eastAsia="uk-UA"/>
        </w:rPr>
      </w:pPr>
      <w:r w:rsidRPr="00187565">
        <w:rPr>
          <w:rFonts w:eastAsia="Times New Roman"/>
          <w:bCs/>
          <w:iCs/>
          <w:color w:val="000000"/>
          <w:szCs w:val="28"/>
          <w:lang w:val="ru-RU" w:eastAsia="uk-UA"/>
        </w:rPr>
        <w:lastRenderedPageBreak/>
        <w:t xml:space="preserve">Додаток </w:t>
      </w:r>
      <w:r w:rsidR="00535BCC" w:rsidRPr="00187565">
        <w:rPr>
          <w:rFonts w:eastAsia="Times New Roman"/>
          <w:bCs/>
          <w:iCs/>
          <w:color w:val="000000"/>
          <w:szCs w:val="28"/>
          <w:lang w:eastAsia="uk-UA"/>
        </w:rPr>
        <w:t>Е</w:t>
      </w:r>
      <w:r w:rsidRPr="00187565">
        <w:rPr>
          <w:rFonts w:eastAsia="Times New Roman"/>
          <w:bCs/>
          <w:iCs/>
          <w:color w:val="000000"/>
          <w:szCs w:val="28"/>
          <w:lang w:eastAsia="uk-UA"/>
        </w:rPr>
        <w:t>-12</w:t>
      </w:r>
    </w:p>
    <w:p w:rsidR="00C43972" w:rsidRPr="00187565" w:rsidRDefault="00C43972" w:rsidP="00187565">
      <w:pPr>
        <w:keepNext/>
        <w:jc w:val="center"/>
        <w:rPr>
          <w:rFonts w:eastAsia="Times New Roman"/>
          <w:b/>
          <w:sz w:val="24"/>
          <w:szCs w:val="24"/>
          <w:lang w:eastAsia="ru-RU"/>
        </w:rPr>
      </w:pPr>
      <w:r w:rsidRPr="00187565">
        <w:rPr>
          <w:rFonts w:eastAsia="Times New Roman"/>
          <w:b/>
          <w:bCs/>
          <w:iCs/>
          <w:color w:val="000000"/>
          <w:szCs w:val="28"/>
          <w:lang w:eastAsia="uk-UA"/>
        </w:rPr>
        <w:t xml:space="preserve">Комплексна оцінка діяльності закладів перинатальної допомоги Київської </w:t>
      </w:r>
      <w:r w:rsidRPr="00187565">
        <w:rPr>
          <w:rFonts w:eastAsia="Times New Roman"/>
          <w:b/>
          <w:bCs/>
          <w:iCs/>
          <w:color w:val="000000"/>
          <w:sz w:val="26"/>
          <w:szCs w:val="26"/>
          <w:lang w:eastAsia="uk-UA"/>
        </w:rPr>
        <w:t xml:space="preserve">області у </w:t>
      </w:r>
      <w:r w:rsidRPr="00187565">
        <w:rPr>
          <w:rFonts w:eastAsia="Times New Roman"/>
          <w:b/>
          <w:bCs/>
          <w:iCs/>
          <w:color w:val="000000"/>
          <w:szCs w:val="28"/>
          <w:lang w:eastAsia="uk-UA"/>
        </w:rPr>
        <w:t>2017–2018 рр.</w:t>
      </w:r>
    </w:p>
    <w:tbl>
      <w:tblPr>
        <w:tblW w:w="10394" w:type="dxa"/>
        <w:jc w:val="center"/>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36"/>
        <w:gridCol w:w="968"/>
        <w:gridCol w:w="1016"/>
        <w:gridCol w:w="968"/>
        <w:gridCol w:w="969"/>
        <w:gridCol w:w="968"/>
        <w:gridCol w:w="969"/>
      </w:tblGrid>
      <w:tr w:rsidR="00A0457F" w:rsidRPr="00187565" w:rsidTr="00A0457F">
        <w:trPr>
          <w:cantSplit/>
          <w:trHeight w:val="652"/>
          <w:jc w:val="center"/>
        </w:trPr>
        <w:tc>
          <w:tcPr>
            <w:tcW w:w="4536" w:type="dxa"/>
            <w:vMerge w:val="restart"/>
            <w:tcBorders>
              <w:top w:val="single" w:sz="4" w:space="0" w:color="auto"/>
              <w:left w:val="single" w:sz="4" w:space="0" w:color="auto"/>
              <w:right w:val="single" w:sz="4" w:space="0" w:color="auto"/>
            </w:tcBorders>
            <w:vAlign w:val="center"/>
            <w:hideMark/>
          </w:tcPr>
          <w:p w:rsidR="00A0457F" w:rsidRPr="00187565" w:rsidRDefault="00A0457F" w:rsidP="00187565">
            <w:pPr>
              <w:keepNext/>
              <w:spacing w:line="276" w:lineRule="auto"/>
              <w:jc w:val="center"/>
              <w:rPr>
                <w:rFonts w:eastAsia="Times New Roman"/>
                <w:color w:val="000000"/>
                <w:sz w:val="24"/>
                <w:szCs w:val="24"/>
                <w:lang w:eastAsia="uk-UA"/>
              </w:rPr>
            </w:pPr>
            <w:r w:rsidRPr="00187565">
              <w:rPr>
                <w:rFonts w:eastAsia="Times New Roman"/>
                <w:color w:val="000000"/>
                <w:sz w:val="24"/>
                <w:szCs w:val="24"/>
                <w:lang w:eastAsia="uk-UA"/>
              </w:rPr>
              <w:t>Індикатор якості</w:t>
            </w:r>
          </w:p>
        </w:tc>
        <w:tc>
          <w:tcPr>
            <w:tcW w:w="1984" w:type="dxa"/>
            <w:gridSpan w:val="2"/>
            <w:tcBorders>
              <w:top w:val="single" w:sz="4" w:space="0" w:color="auto"/>
              <w:left w:val="single" w:sz="4" w:space="0" w:color="auto"/>
              <w:bottom w:val="single" w:sz="4" w:space="0" w:color="auto"/>
              <w:right w:val="single" w:sz="4" w:space="0" w:color="auto"/>
            </w:tcBorders>
            <w:vAlign w:val="center"/>
          </w:tcPr>
          <w:p w:rsidR="00A0457F" w:rsidRPr="00187565" w:rsidRDefault="00A0457F" w:rsidP="00187565">
            <w:pPr>
              <w:keepNext/>
              <w:spacing w:line="276" w:lineRule="auto"/>
              <w:jc w:val="center"/>
              <w:rPr>
                <w:rFonts w:eastAsia="Times New Roman"/>
                <w:color w:val="000000"/>
                <w:sz w:val="24"/>
                <w:szCs w:val="24"/>
                <w:lang w:eastAsia="uk-UA"/>
              </w:rPr>
            </w:pPr>
            <w:r w:rsidRPr="00187565">
              <w:rPr>
                <w:rFonts w:eastAsia="Times New Roman"/>
                <w:color w:val="000000"/>
                <w:sz w:val="24"/>
                <w:szCs w:val="24"/>
                <w:lang w:eastAsia="uk-UA"/>
              </w:rPr>
              <w:t xml:space="preserve">Фактичний показник, </w:t>
            </w:r>
            <w:r w:rsidRPr="00187565">
              <w:rPr>
                <w:rFonts w:eastAsia="Times New Roman"/>
                <w:sz w:val="24"/>
                <w:szCs w:val="24"/>
                <w:lang w:eastAsia="uk-UA"/>
              </w:rPr>
              <w:t>Україна</w:t>
            </w:r>
          </w:p>
        </w:tc>
        <w:tc>
          <w:tcPr>
            <w:tcW w:w="1937" w:type="dxa"/>
            <w:gridSpan w:val="2"/>
            <w:tcBorders>
              <w:top w:val="single" w:sz="4" w:space="0" w:color="auto"/>
              <w:left w:val="single" w:sz="4" w:space="0" w:color="auto"/>
              <w:bottom w:val="single" w:sz="4" w:space="0" w:color="auto"/>
              <w:right w:val="single" w:sz="4" w:space="0" w:color="auto"/>
            </w:tcBorders>
            <w:vAlign w:val="center"/>
          </w:tcPr>
          <w:p w:rsidR="00A0457F" w:rsidRPr="00187565" w:rsidRDefault="00A0457F" w:rsidP="00187565">
            <w:pPr>
              <w:keepNext/>
              <w:spacing w:line="276" w:lineRule="auto"/>
              <w:jc w:val="center"/>
              <w:rPr>
                <w:rFonts w:eastAsia="Times New Roman"/>
                <w:color w:val="000000"/>
                <w:sz w:val="24"/>
                <w:szCs w:val="24"/>
                <w:lang w:eastAsia="uk-UA"/>
              </w:rPr>
            </w:pPr>
            <w:r w:rsidRPr="00187565">
              <w:rPr>
                <w:rFonts w:eastAsia="Times New Roman"/>
                <w:color w:val="000000"/>
                <w:sz w:val="24"/>
                <w:szCs w:val="24"/>
                <w:lang w:eastAsia="uk-UA"/>
              </w:rPr>
              <w:t>Бальна оцінка фактичного показника</w:t>
            </w:r>
          </w:p>
        </w:tc>
        <w:tc>
          <w:tcPr>
            <w:tcW w:w="1937" w:type="dxa"/>
            <w:gridSpan w:val="2"/>
            <w:tcBorders>
              <w:top w:val="single" w:sz="4" w:space="0" w:color="auto"/>
              <w:left w:val="single" w:sz="4" w:space="0" w:color="auto"/>
              <w:bottom w:val="single" w:sz="4" w:space="0" w:color="auto"/>
              <w:right w:val="single" w:sz="4" w:space="0" w:color="auto"/>
            </w:tcBorders>
            <w:vAlign w:val="center"/>
          </w:tcPr>
          <w:p w:rsidR="00A0457F" w:rsidRPr="00187565" w:rsidRDefault="00A0457F" w:rsidP="00187565">
            <w:pPr>
              <w:keepNext/>
              <w:spacing w:line="276" w:lineRule="auto"/>
              <w:jc w:val="center"/>
              <w:rPr>
                <w:rFonts w:eastAsia="Times New Roman"/>
                <w:color w:val="000000"/>
                <w:sz w:val="24"/>
                <w:szCs w:val="24"/>
                <w:lang w:eastAsia="uk-UA"/>
              </w:rPr>
            </w:pPr>
            <w:r w:rsidRPr="00187565">
              <w:rPr>
                <w:rFonts w:eastAsia="Times New Roman"/>
                <w:color w:val="000000"/>
                <w:sz w:val="24"/>
                <w:szCs w:val="24"/>
                <w:lang w:eastAsia="uk-UA"/>
              </w:rPr>
              <w:t>КДНЗ</w:t>
            </w:r>
          </w:p>
        </w:tc>
      </w:tr>
      <w:tr w:rsidR="00A0457F" w:rsidRPr="00187565" w:rsidTr="00A0457F">
        <w:trPr>
          <w:trHeight w:val="404"/>
          <w:jc w:val="center"/>
        </w:trPr>
        <w:tc>
          <w:tcPr>
            <w:tcW w:w="4536" w:type="dxa"/>
            <w:vMerge/>
            <w:tcBorders>
              <w:left w:val="single" w:sz="4" w:space="0" w:color="auto"/>
              <w:bottom w:val="single" w:sz="4" w:space="0" w:color="auto"/>
              <w:right w:val="single" w:sz="4" w:space="0" w:color="auto"/>
            </w:tcBorders>
            <w:vAlign w:val="bottom"/>
          </w:tcPr>
          <w:p w:rsidR="00A0457F" w:rsidRPr="00187565" w:rsidRDefault="00A0457F" w:rsidP="00187565">
            <w:pPr>
              <w:keepNext/>
              <w:spacing w:line="276" w:lineRule="auto"/>
              <w:jc w:val="left"/>
              <w:rPr>
                <w:rFonts w:eastAsia="Times New Roman"/>
                <w:sz w:val="24"/>
                <w:szCs w:val="24"/>
                <w:lang w:eastAsia="ru-RU"/>
              </w:rPr>
            </w:pPr>
          </w:p>
        </w:tc>
        <w:tc>
          <w:tcPr>
            <w:tcW w:w="968" w:type="dxa"/>
            <w:tcBorders>
              <w:top w:val="single" w:sz="4" w:space="0" w:color="auto"/>
              <w:left w:val="single" w:sz="4" w:space="0" w:color="auto"/>
              <w:bottom w:val="single" w:sz="4" w:space="0" w:color="auto"/>
              <w:right w:val="single" w:sz="4" w:space="0" w:color="auto"/>
            </w:tcBorders>
            <w:vAlign w:val="center"/>
          </w:tcPr>
          <w:p w:rsidR="00A0457F" w:rsidRPr="00187565" w:rsidRDefault="00A0457F" w:rsidP="00187565">
            <w:pPr>
              <w:keepNext/>
              <w:spacing w:line="276" w:lineRule="auto"/>
              <w:jc w:val="center"/>
              <w:rPr>
                <w:rFonts w:eastAsia="Times New Roman"/>
                <w:sz w:val="24"/>
                <w:szCs w:val="24"/>
                <w:lang w:eastAsia="ru-RU"/>
              </w:rPr>
            </w:pPr>
            <w:r w:rsidRPr="00187565">
              <w:rPr>
                <w:rFonts w:eastAsia="Times New Roman"/>
                <w:sz w:val="24"/>
                <w:szCs w:val="24"/>
                <w:lang w:eastAsia="ru-RU"/>
              </w:rPr>
              <w:t>2017 р.</w:t>
            </w:r>
          </w:p>
        </w:tc>
        <w:tc>
          <w:tcPr>
            <w:tcW w:w="1016" w:type="dxa"/>
            <w:tcBorders>
              <w:top w:val="single" w:sz="4" w:space="0" w:color="auto"/>
              <w:left w:val="single" w:sz="4" w:space="0" w:color="auto"/>
              <w:bottom w:val="single" w:sz="4" w:space="0" w:color="auto"/>
              <w:right w:val="single" w:sz="4" w:space="0" w:color="auto"/>
            </w:tcBorders>
            <w:vAlign w:val="center"/>
          </w:tcPr>
          <w:p w:rsidR="00A0457F" w:rsidRPr="00187565" w:rsidRDefault="00A0457F" w:rsidP="00187565">
            <w:pPr>
              <w:keepNext/>
              <w:spacing w:line="276" w:lineRule="auto"/>
              <w:jc w:val="center"/>
              <w:rPr>
                <w:rFonts w:eastAsia="Times New Roman"/>
                <w:color w:val="000000"/>
                <w:sz w:val="24"/>
                <w:szCs w:val="24"/>
                <w:lang w:eastAsia="ru-RU"/>
              </w:rPr>
            </w:pPr>
            <w:r w:rsidRPr="00187565">
              <w:rPr>
                <w:rFonts w:eastAsia="Times New Roman"/>
                <w:color w:val="000000"/>
                <w:sz w:val="24"/>
                <w:szCs w:val="24"/>
                <w:lang w:eastAsia="ru-RU"/>
              </w:rPr>
              <w:t>2018 р.</w:t>
            </w:r>
          </w:p>
        </w:tc>
        <w:tc>
          <w:tcPr>
            <w:tcW w:w="968" w:type="dxa"/>
            <w:tcBorders>
              <w:top w:val="single" w:sz="4" w:space="0" w:color="auto"/>
              <w:left w:val="single" w:sz="4" w:space="0" w:color="auto"/>
              <w:bottom w:val="single" w:sz="4" w:space="0" w:color="auto"/>
              <w:right w:val="single" w:sz="4" w:space="0" w:color="auto"/>
            </w:tcBorders>
            <w:vAlign w:val="center"/>
          </w:tcPr>
          <w:p w:rsidR="00A0457F" w:rsidRPr="00187565" w:rsidRDefault="00A0457F" w:rsidP="00187565">
            <w:pPr>
              <w:keepNext/>
              <w:spacing w:line="276" w:lineRule="auto"/>
              <w:jc w:val="center"/>
              <w:rPr>
                <w:rFonts w:eastAsia="Times New Roman"/>
                <w:sz w:val="24"/>
                <w:szCs w:val="24"/>
                <w:lang w:eastAsia="ru-RU"/>
              </w:rPr>
            </w:pPr>
            <w:r w:rsidRPr="00187565">
              <w:rPr>
                <w:rFonts w:eastAsia="Times New Roman"/>
                <w:sz w:val="24"/>
                <w:szCs w:val="24"/>
                <w:lang w:eastAsia="ru-RU"/>
              </w:rPr>
              <w:t>2017 р.</w:t>
            </w:r>
          </w:p>
        </w:tc>
        <w:tc>
          <w:tcPr>
            <w:tcW w:w="969" w:type="dxa"/>
            <w:tcBorders>
              <w:top w:val="single" w:sz="4" w:space="0" w:color="auto"/>
              <w:left w:val="single" w:sz="4" w:space="0" w:color="auto"/>
              <w:bottom w:val="single" w:sz="4" w:space="0" w:color="auto"/>
              <w:right w:val="single" w:sz="4" w:space="0" w:color="auto"/>
            </w:tcBorders>
            <w:vAlign w:val="center"/>
          </w:tcPr>
          <w:p w:rsidR="00A0457F" w:rsidRPr="00187565" w:rsidRDefault="00A0457F" w:rsidP="00187565">
            <w:pPr>
              <w:keepNext/>
              <w:spacing w:line="276" w:lineRule="auto"/>
              <w:jc w:val="center"/>
              <w:rPr>
                <w:rFonts w:eastAsia="Times New Roman"/>
                <w:sz w:val="24"/>
                <w:szCs w:val="24"/>
                <w:lang w:eastAsia="ru-RU"/>
              </w:rPr>
            </w:pPr>
            <w:r w:rsidRPr="00187565">
              <w:rPr>
                <w:rFonts w:eastAsia="Times New Roman"/>
                <w:sz w:val="24"/>
                <w:szCs w:val="24"/>
                <w:lang w:eastAsia="ru-RU"/>
              </w:rPr>
              <w:t>2017 р.</w:t>
            </w:r>
          </w:p>
        </w:tc>
        <w:tc>
          <w:tcPr>
            <w:tcW w:w="968" w:type="dxa"/>
            <w:tcBorders>
              <w:top w:val="single" w:sz="4" w:space="0" w:color="auto"/>
              <w:left w:val="single" w:sz="4" w:space="0" w:color="auto"/>
              <w:bottom w:val="single" w:sz="4" w:space="0" w:color="auto"/>
              <w:right w:val="single" w:sz="4" w:space="0" w:color="auto"/>
            </w:tcBorders>
            <w:vAlign w:val="center"/>
          </w:tcPr>
          <w:p w:rsidR="00A0457F" w:rsidRPr="00187565" w:rsidRDefault="00A0457F" w:rsidP="00187565">
            <w:pPr>
              <w:keepNext/>
              <w:spacing w:line="276" w:lineRule="auto"/>
              <w:jc w:val="center"/>
              <w:rPr>
                <w:rFonts w:eastAsia="Times New Roman"/>
                <w:color w:val="000000"/>
                <w:sz w:val="24"/>
                <w:szCs w:val="24"/>
                <w:lang w:eastAsia="ru-RU"/>
              </w:rPr>
            </w:pPr>
            <w:r w:rsidRPr="00187565">
              <w:rPr>
                <w:rFonts w:eastAsia="Times New Roman"/>
                <w:color w:val="000000"/>
                <w:sz w:val="24"/>
                <w:szCs w:val="24"/>
                <w:lang w:eastAsia="ru-RU"/>
              </w:rPr>
              <w:t>2018 р.</w:t>
            </w:r>
          </w:p>
        </w:tc>
        <w:tc>
          <w:tcPr>
            <w:tcW w:w="969" w:type="dxa"/>
            <w:tcBorders>
              <w:top w:val="single" w:sz="4" w:space="0" w:color="auto"/>
              <w:left w:val="single" w:sz="4" w:space="0" w:color="auto"/>
              <w:bottom w:val="single" w:sz="4" w:space="0" w:color="auto"/>
              <w:right w:val="single" w:sz="4" w:space="0" w:color="auto"/>
            </w:tcBorders>
            <w:vAlign w:val="center"/>
          </w:tcPr>
          <w:p w:rsidR="00A0457F" w:rsidRPr="00187565" w:rsidRDefault="00A0457F" w:rsidP="00187565">
            <w:pPr>
              <w:keepNext/>
              <w:spacing w:line="276" w:lineRule="auto"/>
              <w:jc w:val="center"/>
              <w:rPr>
                <w:rFonts w:eastAsia="Times New Roman"/>
                <w:sz w:val="24"/>
                <w:szCs w:val="24"/>
                <w:lang w:eastAsia="ru-RU"/>
              </w:rPr>
            </w:pPr>
            <w:r w:rsidRPr="00187565">
              <w:rPr>
                <w:rFonts w:eastAsia="Times New Roman"/>
                <w:sz w:val="24"/>
                <w:szCs w:val="24"/>
                <w:lang w:eastAsia="ru-RU"/>
              </w:rPr>
              <w:t>2017 р.</w:t>
            </w:r>
          </w:p>
        </w:tc>
      </w:tr>
      <w:tr w:rsidR="00A0457F" w:rsidRPr="00187565" w:rsidTr="00A0457F">
        <w:trPr>
          <w:trHeight w:val="404"/>
          <w:jc w:val="center"/>
        </w:trPr>
        <w:tc>
          <w:tcPr>
            <w:tcW w:w="4536" w:type="dxa"/>
            <w:tcBorders>
              <w:top w:val="single" w:sz="4" w:space="0" w:color="auto"/>
              <w:left w:val="single" w:sz="4" w:space="0" w:color="auto"/>
              <w:bottom w:val="single" w:sz="4" w:space="0" w:color="auto"/>
              <w:right w:val="single" w:sz="4" w:space="0" w:color="auto"/>
            </w:tcBorders>
            <w:vAlign w:val="center"/>
          </w:tcPr>
          <w:p w:rsidR="00A0457F" w:rsidRPr="00187565" w:rsidRDefault="00A0457F" w:rsidP="00187565">
            <w:pPr>
              <w:keepNext/>
              <w:spacing w:line="276" w:lineRule="auto"/>
              <w:jc w:val="left"/>
              <w:rPr>
                <w:rFonts w:eastAsia="Times New Roman"/>
                <w:sz w:val="24"/>
                <w:szCs w:val="24"/>
                <w:lang w:eastAsia="ru-RU"/>
              </w:rPr>
            </w:pPr>
            <w:r w:rsidRPr="00187565">
              <w:rPr>
                <w:rFonts w:eastAsia="Times New Roman"/>
                <w:sz w:val="24"/>
                <w:szCs w:val="24"/>
                <w:lang w:eastAsia="ru-RU"/>
              </w:rPr>
              <w:t>Забезпеченість  лікарями акушер-гінекологами</w:t>
            </w:r>
          </w:p>
        </w:tc>
        <w:tc>
          <w:tcPr>
            <w:tcW w:w="968" w:type="dxa"/>
            <w:tcBorders>
              <w:top w:val="single" w:sz="4" w:space="0" w:color="auto"/>
              <w:left w:val="single" w:sz="4" w:space="0" w:color="auto"/>
              <w:bottom w:val="single" w:sz="4" w:space="0" w:color="auto"/>
              <w:right w:val="single" w:sz="4" w:space="0" w:color="auto"/>
            </w:tcBorders>
            <w:vAlign w:val="center"/>
          </w:tcPr>
          <w:p w:rsidR="00A0457F" w:rsidRPr="00187565" w:rsidRDefault="00A0457F" w:rsidP="00187565">
            <w:pPr>
              <w:keepNext/>
              <w:spacing w:line="276" w:lineRule="auto"/>
              <w:jc w:val="center"/>
              <w:rPr>
                <w:rFonts w:eastAsia="Times New Roman"/>
                <w:sz w:val="24"/>
                <w:szCs w:val="24"/>
                <w:lang w:eastAsia="ru-RU"/>
              </w:rPr>
            </w:pPr>
            <w:r w:rsidRPr="00187565">
              <w:rPr>
                <w:rFonts w:eastAsia="Times New Roman"/>
                <w:sz w:val="24"/>
                <w:szCs w:val="24"/>
                <w:lang w:eastAsia="ru-RU"/>
              </w:rPr>
              <w:t>4,37</w:t>
            </w:r>
          </w:p>
        </w:tc>
        <w:tc>
          <w:tcPr>
            <w:tcW w:w="1016" w:type="dxa"/>
            <w:tcBorders>
              <w:top w:val="single" w:sz="4" w:space="0" w:color="auto"/>
              <w:left w:val="single" w:sz="4" w:space="0" w:color="auto"/>
              <w:bottom w:val="single" w:sz="4" w:space="0" w:color="auto"/>
              <w:right w:val="single" w:sz="4" w:space="0" w:color="auto"/>
            </w:tcBorders>
            <w:vAlign w:val="center"/>
          </w:tcPr>
          <w:p w:rsidR="00A0457F" w:rsidRPr="00187565" w:rsidRDefault="00A0457F" w:rsidP="00187565">
            <w:pPr>
              <w:keepNext/>
              <w:spacing w:line="276" w:lineRule="auto"/>
              <w:jc w:val="center"/>
              <w:rPr>
                <w:rFonts w:eastAsia="Times New Roman"/>
                <w:color w:val="000000"/>
                <w:sz w:val="24"/>
                <w:szCs w:val="24"/>
                <w:lang w:eastAsia="ru-RU"/>
              </w:rPr>
            </w:pPr>
            <w:r w:rsidRPr="00187565">
              <w:rPr>
                <w:rFonts w:eastAsia="Times New Roman"/>
                <w:color w:val="000000"/>
                <w:sz w:val="24"/>
                <w:szCs w:val="24"/>
                <w:lang w:eastAsia="ru-RU"/>
              </w:rPr>
              <w:t>4,11</w:t>
            </w:r>
          </w:p>
        </w:tc>
        <w:tc>
          <w:tcPr>
            <w:tcW w:w="968" w:type="dxa"/>
            <w:tcBorders>
              <w:top w:val="single" w:sz="4" w:space="0" w:color="auto"/>
              <w:left w:val="single" w:sz="4" w:space="0" w:color="auto"/>
              <w:bottom w:val="single" w:sz="4" w:space="0" w:color="auto"/>
              <w:right w:val="single" w:sz="4" w:space="0" w:color="auto"/>
            </w:tcBorders>
            <w:vAlign w:val="center"/>
          </w:tcPr>
          <w:p w:rsidR="00A0457F" w:rsidRPr="00187565" w:rsidRDefault="00A0457F" w:rsidP="00187565">
            <w:pPr>
              <w:keepNext/>
              <w:spacing w:line="276" w:lineRule="auto"/>
              <w:jc w:val="center"/>
              <w:rPr>
                <w:rFonts w:eastAsia="Times New Roman"/>
                <w:sz w:val="24"/>
                <w:szCs w:val="24"/>
                <w:lang w:eastAsia="ru-RU"/>
              </w:rPr>
            </w:pPr>
            <w:r w:rsidRPr="00187565">
              <w:rPr>
                <w:rFonts w:eastAsia="Times New Roman"/>
                <w:sz w:val="24"/>
                <w:szCs w:val="24"/>
                <w:lang w:eastAsia="ru-RU"/>
              </w:rPr>
              <w:t>4,77</w:t>
            </w:r>
          </w:p>
        </w:tc>
        <w:tc>
          <w:tcPr>
            <w:tcW w:w="969" w:type="dxa"/>
            <w:tcBorders>
              <w:top w:val="single" w:sz="4" w:space="0" w:color="auto"/>
              <w:left w:val="single" w:sz="4" w:space="0" w:color="auto"/>
              <w:bottom w:val="single" w:sz="4" w:space="0" w:color="auto"/>
              <w:right w:val="single" w:sz="4" w:space="0" w:color="auto"/>
            </w:tcBorders>
            <w:vAlign w:val="center"/>
          </w:tcPr>
          <w:p w:rsidR="00A0457F" w:rsidRPr="00187565" w:rsidRDefault="00A0457F" w:rsidP="00187565">
            <w:pPr>
              <w:keepNext/>
              <w:spacing w:line="276" w:lineRule="auto"/>
              <w:jc w:val="center"/>
              <w:rPr>
                <w:rFonts w:eastAsia="Times New Roman"/>
                <w:color w:val="000000"/>
                <w:sz w:val="24"/>
                <w:szCs w:val="24"/>
                <w:lang w:eastAsia="ru-RU"/>
              </w:rPr>
            </w:pPr>
            <w:r w:rsidRPr="00187565">
              <w:rPr>
                <w:rFonts w:eastAsia="Times New Roman"/>
                <w:color w:val="000000"/>
                <w:sz w:val="24"/>
                <w:szCs w:val="24"/>
                <w:lang w:eastAsia="ru-RU"/>
              </w:rPr>
              <w:t>4,48</w:t>
            </w:r>
          </w:p>
        </w:tc>
        <w:tc>
          <w:tcPr>
            <w:tcW w:w="968" w:type="dxa"/>
            <w:tcBorders>
              <w:top w:val="single" w:sz="4" w:space="0" w:color="auto"/>
              <w:left w:val="single" w:sz="4" w:space="0" w:color="auto"/>
              <w:bottom w:val="single" w:sz="4" w:space="0" w:color="auto"/>
              <w:right w:val="single" w:sz="4" w:space="0" w:color="auto"/>
            </w:tcBorders>
            <w:vAlign w:val="center"/>
          </w:tcPr>
          <w:p w:rsidR="00A0457F" w:rsidRPr="00187565" w:rsidRDefault="00A0457F" w:rsidP="00187565">
            <w:pPr>
              <w:keepNext/>
              <w:spacing w:line="276" w:lineRule="auto"/>
              <w:jc w:val="center"/>
              <w:rPr>
                <w:rFonts w:eastAsia="Times New Roman"/>
                <w:sz w:val="24"/>
                <w:szCs w:val="24"/>
                <w:lang w:eastAsia="ru-RU"/>
              </w:rPr>
            </w:pPr>
            <w:r w:rsidRPr="00187565">
              <w:rPr>
                <w:rFonts w:eastAsia="Times New Roman"/>
                <w:sz w:val="24"/>
                <w:szCs w:val="24"/>
                <w:lang w:eastAsia="ru-RU"/>
              </w:rPr>
              <w:t>0,79</w:t>
            </w:r>
          </w:p>
        </w:tc>
        <w:tc>
          <w:tcPr>
            <w:tcW w:w="969" w:type="dxa"/>
            <w:tcBorders>
              <w:top w:val="single" w:sz="4" w:space="0" w:color="auto"/>
              <w:left w:val="single" w:sz="4" w:space="0" w:color="auto"/>
              <w:bottom w:val="single" w:sz="4" w:space="0" w:color="auto"/>
              <w:right w:val="single" w:sz="4" w:space="0" w:color="auto"/>
            </w:tcBorders>
            <w:vAlign w:val="center"/>
          </w:tcPr>
          <w:p w:rsidR="00A0457F" w:rsidRPr="00187565" w:rsidRDefault="00A0457F" w:rsidP="00187565">
            <w:pPr>
              <w:keepNext/>
              <w:spacing w:line="276" w:lineRule="auto"/>
              <w:jc w:val="center"/>
              <w:rPr>
                <w:rFonts w:eastAsia="Times New Roman"/>
                <w:color w:val="000000"/>
                <w:sz w:val="24"/>
                <w:szCs w:val="24"/>
                <w:lang w:eastAsia="ru-RU"/>
              </w:rPr>
            </w:pPr>
            <w:r w:rsidRPr="00187565">
              <w:rPr>
                <w:rFonts w:eastAsia="Times New Roman"/>
                <w:color w:val="000000"/>
                <w:sz w:val="24"/>
                <w:szCs w:val="24"/>
                <w:lang w:eastAsia="ru-RU"/>
              </w:rPr>
              <w:t>0,75</w:t>
            </w:r>
          </w:p>
        </w:tc>
      </w:tr>
      <w:tr w:rsidR="00A0457F" w:rsidRPr="00187565" w:rsidTr="00A0457F">
        <w:trPr>
          <w:trHeight w:val="404"/>
          <w:jc w:val="center"/>
        </w:trPr>
        <w:tc>
          <w:tcPr>
            <w:tcW w:w="4536" w:type="dxa"/>
            <w:tcBorders>
              <w:top w:val="single" w:sz="4" w:space="0" w:color="auto"/>
              <w:left w:val="single" w:sz="4" w:space="0" w:color="auto"/>
              <w:bottom w:val="single" w:sz="4" w:space="0" w:color="auto"/>
              <w:right w:val="single" w:sz="4" w:space="0" w:color="auto"/>
            </w:tcBorders>
            <w:vAlign w:val="bottom"/>
          </w:tcPr>
          <w:p w:rsidR="00A0457F" w:rsidRPr="00187565" w:rsidRDefault="00A0457F" w:rsidP="00187565">
            <w:pPr>
              <w:keepNext/>
              <w:spacing w:line="276" w:lineRule="auto"/>
              <w:jc w:val="left"/>
              <w:rPr>
                <w:rFonts w:eastAsia="Times New Roman"/>
                <w:sz w:val="24"/>
                <w:szCs w:val="24"/>
                <w:lang w:eastAsia="ru-RU"/>
              </w:rPr>
            </w:pPr>
            <w:r w:rsidRPr="00187565">
              <w:rPr>
                <w:rFonts w:eastAsia="Times New Roman"/>
                <w:sz w:val="24"/>
                <w:szCs w:val="24"/>
                <w:lang w:eastAsia="ru-RU"/>
              </w:rPr>
              <w:t>Забезпеченість  лікарями  педіатрами-неонатологами</w:t>
            </w:r>
          </w:p>
        </w:tc>
        <w:tc>
          <w:tcPr>
            <w:tcW w:w="968" w:type="dxa"/>
            <w:tcBorders>
              <w:top w:val="single" w:sz="4" w:space="0" w:color="auto"/>
              <w:left w:val="single" w:sz="4" w:space="0" w:color="auto"/>
              <w:bottom w:val="single" w:sz="4" w:space="0" w:color="auto"/>
              <w:right w:val="single" w:sz="4" w:space="0" w:color="auto"/>
            </w:tcBorders>
            <w:vAlign w:val="center"/>
          </w:tcPr>
          <w:p w:rsidR="00A0457F" w:rsidRPr="00187565" w:rsidRDefault="00A0457F" w:rsidP="00187565">
            <w:pPr>
              <w:keepNext/>
              <w:spacing w:line="276" w:lineRule="auto"/>
              <w:jc w:val="center"/>
              <w:rPr>
                <w:rFonts w:eastAsia="Times New Roman"/>
                <w:sz w:val="24"/>
                <w:szCs w:val="24"/>
                <w:lang w:eastAsia="ru-RU"/>
              </w:rPr>
            </w:pPr>
            <w:r w:rsidRPr="00187565">
              <w:rPr>
                <w:rFonts w:eastAsia="Times New Roman"/>
                <w:sz w:val="24"/>
                <w:szCs w:val="24"/>
                <w:lang w:eastAsia="ru-RU"/>
              </w:rPr>
              <w:t>3,7</w:t>
            </w:r>
          </w:p>
        </w:tc>
        <w:tc>
          <w:tcPr>
            <w:tcW w:w="1016" w:type="dxa"/>
            <w:tcBorders>
              <w:top w:val="single" w:sz="4" w:space="0" w:color="auto"/>
              <w:left w:val="single" w:sz="4" w:space="0" w:color="auto"/>
              <w:bottom w:val="single" w:sz="4" w:space="0" w:color="auto"/>
              <w:right w:val="single" w:sz="4" w:space="0" w:color="auto"/>
            </w:tcBorders>
            <w:vAlign w:val="center"/>
          </w:tcPr>
          <w:p w:rsidR="00A0457F" w:rsidRPr="00187565" w:rsidRDefault="00A0457F" w:rsidP="00187565">
            <w:pPr>
              <w:keepNext/>
              <w:spacing w:line="276" w:lineRule="auto"/>
              <w:jc w:val="center"/>
              <w:rPr>
                <w:rFonts w:eastAsia="Times New Roman"/>
                <w:color w:val="000000"/>
                <w:sz w:val="24"/>
                <w:szCs w:val="24"/>
                <w:lang w:eastAsia="ru-RU"/>
              </w:rPr>
            </w:pPr>
            <w:r w:rsidRPr="00187565">
              <w:rPr>
                <w:rFonts w:eastAsia="Times New Roman"/>
                <w:color w:val="000000"/>
                <w:sz w:val="24"/>
                <w:szCs w:val="24"/>
                <w:lang w:eastAsia="ru-RU"/>
              </w:rPr>
              <w:t>4,08</w:t>
            </w:r>
          </w:p>
        </w:tc>
        <w:tc>
          <w:tcPr>
            <w:tcW w:w="968" w:type="dxa"/>
            <w:tcBorders>
              <w:top w:val="single" w:sz="4" w:space="0" w:color="auto"/>
              <w:left w:val="single" w:sz="4" w:space="0" w:color="auto"/>
              <w:bottom w:val="single" w:sz="4" w:space="0" w:color="auto"/>
              <w:right w:val="single" w:sz="4" w:space="0" w:color="auto"/>
            </w:tcBorders>
            <w:vAlign w:val="center"/>
          </w:tcPr>
          <w:p w:rsidR="00A0457F" w:rsidRPr="00187565" w:rsidRDefault="00A0457F" w:rsidP="00187565">
            <w:pPr>
              <w:keepNext/>
              <w:spacing w:line="276" w:lineRule="auto"/>
              <w:jc w:val="center"/>
              <w:rPr>
                <w:rFonts w:eastAsia="Times New Roman"/>
                <w:sz w:val="24"/>
                <w:szCs w:val="24"/>
                <w:lang w:eastAsia="ru-RU"/>
              </w:rPr>
            </w:pPr>
            <w:r w:rsidRPr="00187565">
              <w:rPr>
                <w:rFonts w:eastAsia="Times New Roman"/>
                <w:sz w:val="24"/>
                <w:szCs w:val="24"/>
                <w:lang w:eastAsia="ru-RU"/>
              </w:rPr>
              <w:t>4,04</w:t>
            </w:r>
          </w:p>
        </w:tc>
        <w:tc>
          <w:tcPr>
            <w:tcW w:w="969" w:type="dxa"/>
            <w:tcBorders>
              <w:top w:val="single" w:sz="4" w:space="0" w:color="auto"/>
              <w:left w:val="single" w:sz="4" w:space="0" w:color="auto"/>
              <w:bottom w:val="single" w:sz="4" w:space="0" w:color="auto"/>
              <w:right w:val="single" w:sz="4" w:space="0" w:color="auto"/>
            </w:tcBorders>
            <w:vAlign w:val="center"/>
          </w:tcPr>
          <w:p w:rsidR="00A0457F" w:rsidRPr="00187565" w:rsidRDefault="00A0457F" w:rsidP="00187565">
            <w:pPr>
              <w:keepNext/>
              <w:spacing w:line="276" w:lineRule="auto"/>
              <w:jc w:val="center"/>
              <w:rPr>
                <w:rFonts w:eastAsia="Times New Roman"/>
                <w:color w:val="000000"/>
                <w:sz w:val="24"/>
                <w:szCs w:val="24"/>
                <w:lang w:eastAsia="ru-RU"/>
              </w:rPr>
            </w:pPr>
            <w:r w:rsidRPr="00187565">
              <w:rPr>
                <w:rFonts w:eastAsia="Times New Roman"/>
                <w:color w:val="000000"/>
                <w:sz w:val="24"/>
                <w:szCs w:val="24"/>
                <w:lang w:eastAsia="ru-RU"/>
              </w:rPr>
              <w:t>4,45</w:t>
            </w:r>
          </w:p>
        </w:tc>
        <w:tc>
          <w:tcPr>
            <w:tcW w:w="968" w:type="dxa"/>
            <w:tcBorders>
              <w:top w:val="single" w:sz="4" w:space="0" w:color="auto"/>
              <w:left w:val="single" w:sz="4" w:space="0" w:color="auto"/>
              <w:bottom w:val="single" w:sz="4" w:space="0" w:color="auto"/>
              <w:right w:val="single" w:sz="4" w:space="0" w:color="auto"/>
            </w:tcBorders>
            <w:vAlign w:val="center"/>
          </w:tcPr>
          <w:p w:rsidR="00A0457F" w:rsidRPr="00187565" w:rsidRDefault="00A0457F" w:rsidP="00187565">
            <w:pPr>
              <w:keepNext/>
              <w:spacing w:line="276" w:lineRule="auto"/>
              <w:jc w:val="center"/>
              <w:rPr>
                <w:rFonts w:eastAsia="Times New Roman"/>
                <w:sz w:val="24"/>
                <w:szCs w:val="24"/>
                <w:lang w:eastAsia="ru-RU"/>
              </w:rPr>
            </w:pPr>
            <w:r w:rsidRPr="00187565">
              <w:rPr>
                <w:rFonts w:eastAsia="Times New Roman"/>
                <w:sz w:val="24"/>
                <w:szCs w:val="24"/>
                <w:lang w:eastAsia="ru-RU"/>
              </w:rPr>
              <w:t>0,67</w:t>
            </w:r>
          </w:p>
        </w:tc>
        <w:tc>
          <w:tcPr>
            <w:tcW w:w="969" w:type="dxa"/>
            <w:tcBorders>
              <w:top w:val="single" w:sz="4" w:space="0" w:color="auto"/>
              <w:left w:val="single" w:sz="4" w:space="0" w:color="auto"/>
              <w:bottom w:val="single" w:sz="4" w:space="0" w:color="auto"/>
              <w:right w:val="single" w:sz="4" w:space="0" w:color="auto"/>
            </w:tcBorders>
            <w:vAlign w:val="center"/>
          </w:tcPr>
          <w:p w:rsidR="00A0457F" w:rsidRPr="00187565" w:rsidRDefault="00A0457F" w:rsidP="00187565">
            <w:pPr>
              <w:keepNext/>
              <w:spacing w:line="276" w:lineRule="auto"/>
              <w:jc w:val="center"/>
              <w:rPr>
                <w:rFonts w:eastAsia="Times New Roman"/>
                <w:color w:val="000000"/>
                <w:sz w:val="24"/>
                <w:szCs w:val="24"/>
                <w:lang w:eastAsia="ru-RU"/>
              </w:rPr>
            </w:pPr>
            <w:r w:rsidRPr="00187565">
              <w:rPr>
                <w:rFonts w:eastAsia="Times New Roman"/>
                <w:color w:val="000000"/>
                <w:sz w:val="24"/>
                <w:szCs w:val="24"/>
                <w:lang w:eastAsia="ru-RU"/>
              </w:rPr>
              <w:t>0,74</w:t>
            </w:r>
          </w:p>
        </w:tc>
      </w:tr>
      <w:tr w:rsidR="00A0457F" w:rsidRPr="00187565" w:rsidTr="00A0457F">
        <w:trPr>
          <w:trHeight w:val="404"/>
          <w:jc w:val="center"/>
        </w:trPr>
        <w:tc>
          <w:tcPr>
            <w:tcW w:w="4536" w:type="dxa"/>
            <w:tcBorders>
              <w:top w:val="single" w:sz="4" w:space="0" w:color="auto"/>
              <w:left w:val="single" w:sz="4" w:space="0" w:color="auto"/>
              <w:bottom w:val="single" w:sz="4" w:space="0" w:color="auto"/>
              <w:right w:val="single" w:sz="4" w:space="0" w:color="auto"/>
            </w:tcBorders>
            <w:vAlign w:val="bottom"/>
          </w:tcPr>
          <w:p w:rsidR="00A0457F" w:rsidRPr="00187565" w:rsidRDefault="00A0457F" w:rsidP="00187565">
            <w:pPr>
              <w:keepNext/>
              <w:spacing w:line="276" w:lineRule="auto"/>
              <w:jc w:val="left"/>
              <w:rPr>
                <w:rFonts w:eastAsia="Times New Roman"/>
                <w:sz w:val="24"/>
                <w:szCs w:val="24"/>
                <w:lang w:eastAsia="ru-RU"/>
              </w:rPr>
            </w:pPr>
            <w:r w:rsidRPr="00187565">
              <w:rPr>
                <w:rFonts w:eastAsia="Times New Roman"/>
                <w:sz w:val="24"/>
                <w:szCs w:val="24"/>
                <w:lang w:eastAsia="ru-RU"/>
              </w:rPr>
              <w:t>Питома вага атестованих лікарів акушер-гінекологів</w:t>
            </w:r>
          </w:p>
        </w:tc>
        <w:tc>
          <w:tcPr>
            <w:tcW w:w="968" w:type="dxa"/>
            <w:tcBorders>
              <w:top w:val="single" w:sz="4" w:space="0" w:color="auto"/>
              <w:left w:val="single" w:sz="4" w:space="0" w:color="auto"/>
              <w:bottom w:val="single" w:sz="4" w:space="0" w:color="auto"/>
              <w:right w:val="single" w:sz="4" w:space="0" w:color="auto"/>
            </w:tcBorders>
            <w:vAlign w:val="center"/>
          </w:tcPr>
          <w:p w:rsidR="00A0457F" w:rsidRPr="00187565" w:rsidRDefault="00A0457F" w:rsidP="00187565">
            <w:pPr>
              <w:keepNext/>
              <w:spacing w:line="276" w:lineRule="auto"/>
              <w:jc w:val="center"/>
              <w:rPr>
                <w:rFonts w:eastAsia="Times New Roman"/>
                <w:sz w:val="24"/>
                <w:szCs w:val="24"/>
                <w:lang w:eastAsia="ru-RU"/>
              </w:rPr>
            </w:pPr>
            <w:r w:rsidRPr="00187565">
              <w:rPr>
                <w:rFonts w:eastAsia="Times New Roman"/>
                <w:sz w:val="24"/>
                <w:szCs w:val="24"/>
                <w:lang w:eastAsia="ru-RU"/>
              </w:rPr>
              <w:t>*</w:t>
            </w:r>
          </w:p>
        </w:tc>
        <w:tc>
          <w:tcPr>
            <w:tcW w:w="1016" w:type="dxa"/>
            <w:tcBorders>
              <w:top w:val="single" w:sz="4" w:space="0" w:color="auto"/>
              <w:left w:val="single" w:sz="4" w:space="0" w:color="auto"/>
              <w:bottom w:val="single" w:sz="4" w:space="0" w:color="auto"/>
              <w:right w:val="single" w:sz="4" w:space="0" w:color="auto"/>
            </w:tcBorders>
            <w:vAlign w:val="center"/>
          </w:tcPr>
          <w:p w:rsidR="00A0457F" w:rsidRPr="00187565" w:rsidRDefault="00A0457F" w:rsidP="00187565">
            <w:pPr>
              <w:keepNext/>
              <w:spacing w:line="276" w:lineRule="auto"/>
              <w:jc w:val="center"/>
              <w:rPr>
                <w:rFonts w:eastAsia="Times New Roman"/>
                <w:color w:val="000000"/>
                <w:sz w:val="24"/>
                <w:szCs w:val="24"/>
                <w:lang w:eastAsia="ru-RU"/>
              </w:rPr>
            </w:pPr>
            <w:r w:rsidRPr="00187565">
              <w:rPr>
                <w:rFonts w:eastAsia="Times New Roman"/>
                <w:color w:val="000000"/>
                <w:sz w:val="24"/>
                <w:szCs w:val="24"/>
                <w:lang w:eastAsia="ru-RU"/>
              </w:rPr>
              <w:t>86,34</w:t>
            </w:r>
          </w:p>
        </w:tc>
        <w:tc>
          <w:tcPr>
            <w:tcW w:w="968" w:type="dxa"/>
            <w:tcBorders>
              <w:top w:val="single" w:sz="4" w:space="0" w:color="auto"/>
              <w:left w:val="single" w:sz="4" w:space="0" w:color="auto"/>
              <w:bottom w:val="single" w:sz="4" w:space="0" w:color="auto"/>
              <w:right w:val="single" w:sz="4" w:space="0" w:color="auto"/>
            </w:tcBorders>
            <w:vAlign w:val="center"/>
          </w:tcPr>
          <w:p w:rsidR="00A0457F" w:rsidRPr="00187565" w:rsidRDefault="00A0457F" w:rsidP="00187565">
            <w:pPr>
              <w:keepNext/>
              <w:spacing w:line="276" w:lineRule="auto"/>
              <w:jc w:val="center"/>
              <w:rPr>
                <w:rFonts w:eastAsia="Times New Roman"/>
                <w:sz w:val="24"/>
                <w:szCs w:val="24"/>
                <w:lang w:eastAsia="ru-RU"/>
              </w:rPr>
            </w:pPr>
            <w:r w:rsidRPr="00187565">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A0457F" w:rsidRPr="00187565" w:rsidRDefault="00A0457F" w:rsidP="00187565">
            <w:pPr>
              <w:keepNext/>
              <w:spacing w:line="276" w:lineRule="auto"/>
              <w:jc w:val="center"/>
              <w:rPr>
                <w:rFonts w:eastAsia="Times New Roman"/>
                <w:color w:val="000000"/>
                <w:sz w:val="24"/>
                <w:szCs w:val="24"/>
                <w:lang w:eastAsia="ru-RU"/>
              </w:rPr>
            </w:pPr>
            <w:r w:rsidRPr="00187565">
              <w:rPr>
                <w:rFonts w:eastAsia="Times New Roman"/>
                <w:color w:val="000000"/>
                <w:sz w:val="24"/>
                <w:szCs w:val="24"/>
                <w:lang w:eastAsia="ru-RU"/>
              </w:rPr>
              <w:t>5,76</w:t>
            </w:r>
          </w:p>
        </w:tc>
        <w:tc>
          <w:tcPr>
            <w:tcW w:w="968" w:type="dxa"/>
            <w:tcBorders>
              <w:top w:val="single" w:sz="4" w:space="0" w:color="auto"/>
              <w:left w:val="single" w:sz="4" w:space="0" w:color="auto"/>
              <w:bottom w:val="single" w:sz="4" w:space="0" w:color="auto"/>
              <w:right w:val="single" w:sz="4" w:space="0" w:color="auto"/>
            </w:tcBorders>
            <w:vAlign w:val="center"/>
          </w:tcPr>
          <w:p w:rsidR="00A0457F" w:rsidRPr="00187565" w:rsidRDefault="00A0457F" w:rsidP="00187565">
            <w:pPr>
              <w:keepNext/>
              <w:spacing w:line="276" w:lineRule="auto"/>
              <w:jc w:val="center"/>
              <w:rPr>
                <w:rFonts w:eastAsia="Times New Roman"/>
                <w:sz w:val="24"/>
                <w:szCs w:val="24"/>
                <w:lang w:eastAsia="ru-RU"/>
              </w:rPr>
            </w:pPr>
            <w:r w:rsidRPr="00187565">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A0457F" w:rsidRPr="00187565" w:rsidRDefault="00A0457F" w:rsidP="00187565">
            <w:pPr>
              <w:keepNext/>
              <w:spacing w:line="276" w:lineRule="auto"/>
              <w:jc w:val="center"/>
              <w:rPr>
                <w:rFonts w:eastAsia="Times New Roman"/>
                <w:color w:val="000000"/>
                <w:sz w:val="24"/>
                <w:szCs w:val="24"/>
                <w:lang w:eastAsia="ru-RU"/>
              </w:rPr>
            </w:pPr>
            <w:r w:rsidRPr="00187565">
              <w:rPr>
                <w:rFonts w:eastAsia="Times New Roman"/>
                <w:color w:val="000000"/>
                <w:sz w:val="24"/>
                <w:szCs w:val="24"/>
                <w:lang w:eastAsia="ru-RU"/>
              </w:rPr>
              <w:t>0,96</w:t>
            </w:r>
          </w:p>
        </w:tc>
      </w:tr>
      <w:tr w:rsidR="00A0457F" w:rsidRPr="00187565" w:rsidTr="00A0457F">
        <w:trPr>
          <w:trHeight w:val="404"/>
          <w:jc w:val="center"/>
        </w:trPr>
        <w:tc>
          <w:tcPr>
            <w:tcW w:w="4536" w:type="dxa"/>
            <w:tcBorders>
              <w:top w:val="single" w:sz="4" w:space="0" w:color="auto"/>
              <w:left w:val="single" w:sz="4" w:space="0" w:color="auto"/>
              <w:bottom w:val="single" w:sz="4" w:space="0" w:color="auto"/>
              <w:right w:val="single" w:sz="4" w:space="0" w:color="auto"/>
            </w:tcBorders>
            <w:vAlign w:val="bottom"/>
          </w:tcPr>
          <w:p w:rsidR="00A0457F" w:rsidRPr="00187565" w:rsidRDefault="00A0457F" w:rsidP="00187565">
            <w:pPr>
              <w:keepNext/>
              <w:spacing w:line="276" w:lineRule="auto"/>
              <w:jc w:val="left"/>
              <w:rPr>
                <w:rFonts w:eastAsia="Times New Roman"/>
                <w:sz w:val="24"/>
                <w:szCs w:val="24"/>
                <w:lang w:eastAsia="ru-RU"/>
              </w:rPr>
            </w:pPr>
            <w:r w:rsidRPr="00187565">
              <w:rPr>
                <w:rFonts w:eastAsia="Times New Roman"/>
                <w:sz w:val="24"/>
                <w:szCs w:val="24"/>
                <w:lang w:eastAsia="ru-RU"/>
              </w:rPr>
              <w:t>Питома вага атестованих лікарів педіатрів-неонатологів</w:t>
            </w:r>
          </w:p>
        </w:tc>
        <w:tc>
          <w:tcPr>
            <w:tcW w:w="968" w:type="dxa"/>
            <w:tcBorders>
              <w:top w:val="single" w:sz="4" w:space="0" w:color="auto"/>
              <w:left w:val="single" w:sz="4" w:space="0" w:color="auto"/>
              <w:bottom w:val="single" w:sz="4" w:space="0" w:color="auto"/>
              <w:right w:val="single" w:sz="4" w:space="0" w:color="auto"/>
            </w:tcBorders>
            <w:vAlign w:val="center"/>
          </w:tcPr>
          <w:p w:rsidR="00A0457F" w:rsidRPr="00187565" w:rsidRDefault="00A0457F" w:rsidP="00187565">
            <w:pPr>
              <w:keepNext/>
              <w:spacing w:line="276" w:lineRule="auto"/>
              <w:jc w:val="center"/>
              <w:rPr>
                <w:rFonts w:eastAsia="Times New Roman"/>
                <w:sz w:val="24"/>
                <w:szCs w:val="24"/>
                <w:lang w:eastAsia="ru-RU"/>
              </w:rPr>
            </w:pPr>
            <w:r w:rsidRPr="00187565">
              <w:rPr>
                <w:rFonts w:eastAsia="Times New Roman"/>
                <w:sz w:val="24"/>
                <w:szCs w:val="24"/>
                <w:lang w:eastAsia="ru-RU"/>
              </w:rPr>
              <w:t>*</w:t>
            </w:r>
          </w:p>
        </w:tc>
        <w:tc>
          <w:tcPr>
            <w:tcW w:w="1016" w:type="dxa"/>
            <w:tcBorders>
              <w:top w:val="single" w:sz="4" w:space="0" w:color="auto"/>
              <w:left w:val="single" w:sz="4" w:space="0" w:color="auto"/>
              <w:bottom w:val="single" w:sz="4" w:space="0" w:color="auto"/>
              <w:right w:val="single" w:sz="4" w:space="0" w:color="auto"/>
            </w:tcBorders>
            <w:vAlign w:val="center"/>
          </w:tcPr>
          <w:p w:rsidR="00A0457F" w:rsidRPr="00187565" w:rsidRDefault="00A0457F" w:rsidP="00187565">
            <w:pPr>
              <w:keepNext/>
              <w:spacing w:line="276" w:lineRule="auto"/>
              <w:jc w:val="center"/>
              <w:rPr>
                <w:rFonts w:eastAsia="Times New Roman"/>
                <w:color w:val="000000"/>
                <w:sz w:val="24"/>
                <w:szCs w:val="24"/>
                <w:lang w:eastAsia="ru-RU"/>
              </w:rPr>
            </w:pPr>
            <w:r w:rsidRPr="00187565">
              <w:rPr>
                <w:rFonts w:eastAsia="Times New Roman"/>
                <w:color w:val="000000"/>
                <w:sz w:val="24"/>
                <w:szCs w:val="24"/>
                <w:lang w:eastAsia="ru-RU"/>
              </w:rPr>
              <w:t>77,36</w:t>
            </w:r>
          </w:p>
        </w:tc>
        <w:tc>
          <w:tcPr>
            <w:tcW w:w="968" w:type="dxa"/>
            <w:tcBorders>
              <w:top w:val="single" w:sz="4" w:space="0" w:color="auto"/>
              <w:left w:val="single" w:sz="4" w:space="0" w:color="auto"/>
              <w:bottom w:val="single" w:sz="4" w:space="0" w:color="auto"/>
              <w:right w:val="single" w:sz="4" w:space="0" w:color="auto"/>
            </w:tcBorders>
            <w:vAlign w:val="center"/>
          </w:tcPr>
          <w:p w:rsidR="00A0457F" w:rsidRPr="00187565" w:rsidRDefault="00A0457F" w:rsidP="00187565">
            <w:pPr>
              <w:keepNext/>
              <w:spacing w:line="276" w:lineRule="auto"/>
              <w:jc w:val="center"/>
              <w:rPr>
                <w:rFonts w:eastAsia="Times New Roman"/>
                <w:sz w:val="24"/>
                <w:szCs w:val="24"/>
                <w:lang w:eastAsia="ru-RU"/>
              </w:rPr>
            </w:pPr>
            <w:r w:rsidRPr="00187565">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A0457F" w:rsidRPr="00187565" w:rsidRDefault="00A0457F" w:rsidP="00187565">
            <w:pPr>
              <w:keepNext/>
              <w:spacing w:line="276" w:lineRule="auto"/>
              <w:jc w:val="center"/>
              <w:rPr>
                <w:rFonts w:eastAsia="Times New Roman"/>
                <w:color w:val="000000"/>
                <w:sz w:val="24"/>
                <w:szCs w:val="24"/>
                <w:lang w:eastAsia="ru-RU"/>
              </w:rPr>
            </w:pPr>
            <w:r w:rsidRPr="00187565">
              <w:rPr>
                <w:rFonts w:eastAsia="Times New Roman"/>
                <w:color w:val="000000"/>
                <w:sz w:val="24"/>
                <w:szCs w:val="24"/>
                <w:lang w:eastAsia="ru-RU"/>
              </w:rPr>
              <w:t>5,80</w:t>
            </w:r>
          </w:p>
        </w:tc>
        <w:tc>
          <w:tcPr>
            <w:tcW w:w="968" w:type="dxa"/>
            <w:tcBorders>
              <w:top w:val="single" w:sz="4" w:space="0" w:color="auto"/>
              <w:left w:val="single" w:sz="4" w:space="0" w:color="auto"/>
              <w:bottom w:val="single" w:sz="4" w:space="0" w:color="auto"/>
              <w:right w:val="single" w:sz="4" w:space="0" w:color="auto"/>
            </w:tcBorders>
            <w:vAlign w:val="center"/>
          </w:tcPr>
          <w:p w:rsidR="00A0457F" w:rsidRPr="00187565" w:rsidRDefault="00A0457F" w:rsidP="00187565">
            <w:pPr>
              <w:keepNext/>
              <w:spacing w:line="276" w:lineRule="auto"/>
              <w:jc w:val="center"/>
              <w:rPr>
                <w:rFonts w:eastAsia="Times New Roman"/>
                <w:sz w:val="24"/>
                <w:szCs w:val="24"/>
                <w:lang w:eastAsia="ru-RU"/>
              </w:rPr>
            </w:pPr>
            <w:r w:rsidRPr="00187565">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A0457F" w:rsidRPr="00187565" w:rsidRDefault="00A0457F" w:rsidP="00187565">
            <w:pPr>
              <w:keepNext/>
              <w:spacing w:line="276" w:lineRule="auto"/>
              <w:jc w:val="center"/>
              <w:rPr>
                <w:rFonts w:eastAsia="Times New Roman"/>
                <w:color w:val="000000"/>
                <w:sz w:val="24"/>
                <w:szCs w:val="24"/>
                <w:lang w:eastAsia="ru-RU"/>
              </w:rPr>
            </w:pPr>
            <w:r w:rsidRPr="00187565">
              <w:rPr>
                <w:rFonts w:eastAsia="Times New Roman"/>
                <w:color w:val="000000"/>
                <w:sz w:val="24"/>
                <w:szCs w:val="24"/>
                <w:lang w:eastAsia="ru-RU"/>
              </w:rPr>
              <w:t>0,97</w:t>
            </w:r>
          </w:p>
        </w:tc>
      </w:tr>
      <w:tr w:rsidR="00A0457F" w:rsidRPr="00187565" w:rsidTr="00A0457F">
        <w:trPr>
          <w:trHeight w:val="348"/>
          <w:jc w:val="center"/>
        </w:trPr>
        <w:tc>
          <w:tcPr>
            <w:tcW w:w="4536" w:type="dxa"/>
            <w:tcBorders>
              <w:top w:val="single" w:sz="4" w:space="0" w:color="auto"/>
              <w:left w:val="single" w:sz="4" w:space="0" w:color="auto"/>
              <w:bottom w:val="single" w:sz="4" w:space="0" w:color="auto"/>
              <w:right w:val="single" w:sz="4" w:space="0" w:color="auto"/>
            </w:tcBorders>
            <w:vAlign w:val="center"/>
          </w:tcPr>
          <w:p w:rsidR="00A0457F" w:rsidRPr="00187565" w:rsidRDefault="00A0457F" w:rsidP="00187565">
            <w:pPr>
              <w:keepNext/>
              <w:spacing w:line="276" w:lineRule="auto"/>
              <w:jc w:val="left"/>
              <w:rPr>
                <w:rFonts w:eastAsia="Times New Roman"/>
                <w:sz w:val="24"/>
                <w:szCs w:val="24"/>
                <w:lang w:eastAsia="ru-RU"/>
              </w:rPr>
            </w:pPr>
            <w:r w:rsidRPr="00187565">
              <w:rPr>
                <w:rFonts w:eastAsia="Times New Roman"/>
                <w:sz w:val="24"/>
                <w:szCs w:val="24"/>
                <w:lang w:eastAsia="ru-RU"/>
              </w:rPr>
              <w:t xml:space="preserve">Своєчасність постановки на облік вагітних </w:t>
            </w:r>
          </w:p>
        </w:tc>
        <w:tc>
          <w:tcPr>
            <w:tcW w:w="968" w:type="dxa"/>
            <w:tcBorders>
              <w:top w:val="single" w:sz="4" w:space="0" w:color="auto"/>
              <w:left w:val="single" w:sz="4" w:space="0" w:color="auto"/>
              <w:bottom w:val="single" w:sz="4" w:space="0" w:color="auto"/>
              <w:right w:val="single" w:sz="4" w:space="0" w:color="auto"/>
            </w:tcBorders>
            <w:vAlign w:val="center"/>
          </w:tcPr>
          <w:p w:rsidR="00A0457F" w:rsidRPr="00187565" w:rsidRDefault="00A0457F" w:rsidP="00187565">
            <w:pPr>
              <w:keepNext/>
              <w:spacing w:line="276" w:lineRule="auto"/>
              <w:jc w:val="center"/>
              <w:rPr>
                <w:rFonts w:eastAsia="Times New Roman"/>
                <w:sz w:val="24"/>
                <w:szCs w:val="24"/>
                <w:lang w:eastAsia="ru-RU"/>
              </w:rPr>
            </w:pPr>
            <w:r w:rsidRPr="00187565">
              <w:rPr>
                <w:rFonts w:eastAsia="Times New Roman"/>
                <w:sz w:val="24"/>
                <w:szCs w:val="24"/>
                <w:lang w:eastAsia="ru-RU"/>
              </w:rPr>
              <w:t>90,71</w:t>
            </w:r>
          </w:p>
        </w:tc>
        <w:tc>
          <w:tcPr>
            <w:tcW w:w="1016" w:type="dxa"/>
            <w:tcBorders>
              <w:top w:val="single" w:sz="4" w:space="0" w:color="auto"/>
              <w:left w:val="single" w:sz="4" w:space="0" w:color="auto"/>
              <w:bottom w:val="single" w:sz="4" w:space="0" w:color="auto"/>
              <w:right w:val="single" w:sz="4" w:space="0" w:color="auto"/>
            </w:tcBorders>
            <w:vAlign w:val="center"/>
          </w:tcPr>
          <w:p w:rsidR="00A0457F" w:rsidRPr="00187565" w:rsidRDefault="00A0457F" w:rsidP="00187565">
            <w:pPr>
              <w:keepNext/>
              <w:spacing w:line="276" w:lineRule="auto"/>
              <w:jc w:val="center"/>
              <w:rPr>
                <w:rFonts w:eastAsia="Times New Roman"/>
                <w:color w:val="000000"/>
                <w:sz w:val="24"/>
                <w:szCs w:val="24"/>
                <w:lang w:eastAsia="ru-RU"/>
              </w:rPr>
            </w:pPr>
            <w:r w:rsidRPr="00187565">
              <w:rPr>
                <w:rFonts w:eastAsia="Times New Roman"/>
                <w:color w:val="000000"/>
                <w:sz w:val="24"/>
                <w:szCs w:val="24"/>
                <w:lang w:eastAsia="ru-RU"/>
              </w:rPr>
              <w:t>90,95</w:t>
            </w:r>
          </w:p>
        </w:tc>
        <w:tc>
          <w:tcPr>
            <w:tcW w:w="968" w:type="dxa"/>
            <w:tcBorders>
              <w:top w:val="single" w:sz="4" w:space="0" w:color="auto"/>
              <w:left w:val="single" w:sz="4" w:space="0" w:color="auto"/>
              <w:bottom w:val="single" w:sz="4" w:space="0" w:color="auto"/>
              <w:right w:val="single" w:sz="4" w:space="0" w:color="auto"/>
            </w:tcBorders>
            <w:vAlign w:val="center"/>
          </w:tcPr>
          <w:p w:rsidR="00A0457F" w:rsidRPr="00187565" w:rsidRDefault="00A0457F" w:rsidP="00187565">
            <w:pPr>
              <w:keepNext/>
              <w:spacing w:line="276" w:lineRule="auto"/>
              <w:jc w:val="center"/>
              <w:rPr>
                <w:rFonts w:eastAsia="Times New Roman"/>
                <w:sz w:val="24"/>
                <w:szCs w:val="24"/>
                <w:lang w:eastAsia="ru-RU"/>
              </w:rPr>
            </w:pPr>
            <w:r w:rsidRPr="00187565">
              <w:rPr>
                <w:rFonts w:eastAsia="Times New Roman"/>
                <w:sz w:val="24"/>
                <w:szCs w:val="24"/>
                <w:lang w:eastAsia="ru-RU"/>
              </w:rPr>
              <w:t>6,68</w:t>
            </w:r>
          </w:p>
        </w:tc>
        <w:tc>
          <w:tcPr>
            <w:tcW w:w="969" w:type="dxa"/>
            <w:tcBorders>
              <w:top w:val="single" w:sz="4" w:space="0" w:color="auto"/>
              <w:left w:val="single" w:sz="4" w:space="0" w:color="auto"/>
              <w:bottom w:val="single" w:sz="4" w:space="0" w:color="auto"/>
              <w:right w:val="single" w:sz="4" w:space="0" w:color="auto"/>
            </w:tcBorders>
            <w:vAlign w:val="center"/>
          </w:tcPr>
          <w:p w:rsidR="00A0457F" w:rsidRPr="00187565" w:rsidRDefault="00A0457F" w:rsidP="00187565">
            <w:pPr>
              <w:keepNext/>
              <w:spacing w:line="276" w:lineRule="auto"/>
              <w:jc w:val="center"/>
              <w:rPr>
                <w:rFonts w:eastAsia="Times New Roman"/>
                <w:color w:val="000000"/>
                <w:sz w:val="24"/>
                <w:szCs w:val="24"/>
                <w:lang w:eastAsia="ru-RU"/>
              </w:rPr>
            </w:pPr>
            <w:r w:rsidRPr="00187565">
              <w:rPr>
                <w:rFonts w:eastAsia="Times New Roman"/>
                <w:color w:val="000000"/>
                <w:sz w:val="24"/>
                <w:szCs w:val="24"/>
                <w:lang w:eastAsia="ru-RU"/>
              </w:rPr>
              <w:t>6,72</w:t>
            </w:r>
          </w:p>
        </w:tc>
        <w:tc>
          <w:tcPr>
            <w:tcW w:w="968" w:type="dxa"/>
            <w:tcBorders>
              <w:top w:val="single" w:sz="4" w:space="0" w:color="auto"/>
              <w:left w:val="single" w:sz="4" w:space="0" w:color="auto"/>
              <w:bottom w:val="single" w:sz="4" w:space="0" w:color="auto"/>
              <w:right w:val="single" w:sz="4" w:space="0" w:color="auto"/>
            </w:tcBorders>
            <w:vAlign w:val="center"/>
          </w:tcPr>
          <w:p w:rsidR="00A0457F" w:rsidRPr="00187565" w:rsidRDefault="00A0457F" w:rsidP="00187565">
            <w:pPr>
              <w:keepNext/>
              <w:spacing w:line="276" w:lineRule="auto"/>
              <w:jc w:val="center"/>
              <w:rPr>
                <w:rFonts w:eastAsia="Times New Roman"/>
                <w:sz w:val="24"/>
                <w:szCs w:val="24"/>
                <w:lang w:eastAsia="ru-RU"/>
              </w:rPr>
            </w:pPr>
            <w:r w:rsidRPr="00187565">
              <w:rPr>
                <w:rFonts w:eastAsia="Times New Roman"/>
                <w:sz w:val="24"/>
                <w:szCs w:val="24"/>
                <w:lang w:eastAsia="ru-RU"/>
              </w:rPr>
              <w:t>0,95</w:t>
            </w:r>
          </w:p>
        </w:tc>
        <w:tc>
          <w:tcPr>
            <w:tcW w:w="969" w:type="dxa"/>
            <w:tcBorders>
              <w:top w:val="single" w:sz="4" w:space="0" w:color="auto"/>
              <w:left w:val="single" w:sz="4" w:space="0" w:color="auto"/>
              <w:bottom w:val="single" w:sz="4" w:space="0" w:color="auto"/>
              <w:right w:val="single" w:sz="4" w:space="0" w:color="auto"/>
            </w:tcBorders>
            <w:vAlign w:val="center"/>
          </w:tcPr>
          <w:p w:rsidR="00A0457F" w:rsidRPr="00187565" w:rsidRDefault="00A0457F" w:rsidP="00187565">
            <w:pPr>
              <w:keepNext/>
              <w:spacing w:line="276" w:lineRule="auto"/>
              <w:jc w:val="center"/>
              <w:rPr>
                <w:rFonts w:eastAsia="Times New Roman"/>
                <w:color w:val="000000"/>
                <w:sz w:val="24"/>
                <w:szCs w:val="24"/>
                <w:lang w:eastAsia="ru-RU"/>
              </w:rPr>
            </w:pPr>
            <w:r w:rsidRPr="00187565">
              <w:rPr>
                <w:rFonts w:eastAsia="Times New Roman"/>
                <w:color w:val="000000"/>
                <w:sz w:val="24"/>
                <w:szCs w:val="24"/>
                <w:lang w:eastAsia="ru-RU"/>
              </w:rPr>
              <w:t>0,96</w:t>
            </w:r>
          </w:p>
        </w:tc>
      </w:tr>
      <w:tr w:rsidR="00A0457F" w:rsidRPr="00187565" w:rsidTr="00A0457F">
        <w:trPr>
          <w:trHeight w:val="282"/>
          <w:jc w:val="center"/>
        </w:trPr>
        <w:tc>
          <w:tcPr>
            <w:tcW w:w="4536" w:type="dxa"/>
            <w:tcBorders>
              <w:top w:val="single" w:sz="4" w:space="0" w:color="auto"/>
              <w:left w:val="single" w:sz="4" w:space="0" w:color="auto"/>
              <w:bottom w:val="single" w:sz="4" w:space="0" w:color="auto"/>
              <w:right w:val="single" w:sz="4" w:space="0" w:color="auto"/>
            </w:tcBorders>
            <w:vAlign w:val="center"/>
          </w:tcPr>
          <w:p w:rsidR="00A0457F" w:rsidRPr="00187565" w:rsidRDefault="00A0457F" w:rsidP="00187565">
            <w:pPr>
              <w:keepNext/>
              <w:spacing w:line="276" w:lineRule="auto"/>
              <w:jc w:val="left"/>
              <w:rPr>
                <w:rFonts w:eastAsia="Times New Roman"/>
                <w:sz w:val="24"/>
                <w:szCs w:val="24"/>
                <w:lang w:eastAsia="ru-RU"/>
              </w:rPr>
            </w:pPr>
            <w:r w:rsidRPr="00187565">
              <w:rPr>
                <w:rFonts w:eastAsia="Times New Roman"/>
                <w:sz w:val="24"/>
                <w:szCs w:val="24"/>
                <w:lang w:eastAsia="ru-RU"/>
              </w:rPr>
              <w:t>Частота анемій вагітних</w:t>
            </w:r>
          </w:p>
        </w:tc>
        <w:tc>
          <w:tcPr>
            <w:tcW w:w="968" w:type="dxa"/>
            <w:tcBorders>
              <w:top w:val="single" w:sz="4" w:space="0" w:color="auto"/>
              <w:left w:val="single" w:sz="4" w:space="0" w:color="auto"/>
              <w:bottom w:val="single" w:sz="4" w:space="0" w:color="auto"/>
              <w:right w:val="single" w:sz="4" w:space="0" w:color="auto"/>
            </w:tcBorders>
            <w:vAlign w:val="center"/>
          </w:tcPr>
          <w:p w:rsidR="00A0457F" w:rsidRPr="00187565" w:rsidRDefault="00A0457F" w:rsidP="00187565">
            <w:pPr>
              <w:keepNext/>
              <w:spacing w:line="276" w:lineRule="auto"/>
              <w:jc w:val="center"/>
              <w:rPr>
                <w:rFonts w:eastAsia="Times New Roman"/>
                <w:sz w:val="24"/>
                <w:szCs w:val="24"/>
                <w:lang w:eastAsia="ru-RU"/>
              </w:rPr>
            </w:pPr>
            <w:r w:rsidRPr="00187565">
              <w:rPr>
                <w:rFonts w:eastAsia="Times New Roman"/>
                <w:sz w:val="24"/>
                <w:szCs w:val="24"/>
                <w:lang w:eastAsia="ru-RU"/>
              </w:rPr>
              <w:t>27,2</w:t>
            </w:r>
          </w:p>
        </w:tc>
        <w:tc>
          <w:tcPr>
            <w:tcW w:w="1016" w:type="dxa"/>
            <w:tcBorders>
              <w:top w:val="single" w:sz="4" w:space="0" w:color="auto"/>
              <w:left w:val="single" w:sz="4" w:space="0" w:color="auto"/>
              <w:bottom w:val="single" w:sz="4" w:space="0" w:color="auto"/>
              <w:right w:val="single" w:sz="4" w:space="0" w:color="auto"/>
            </w:tcBorders>
            <w:vAlign w:val="center"/>
          </w:tcPr>
          <w:p w:rsidR="00A0457F" w:rsidRPr="00187565" w:rsidRDefault="00A0457F" w:rsidP="00187565">
            <w:pPr>
              <w:keepNext/>
              <w:spacing w:line="276" w:lineRule="auto"/>
              <w:jc w:val="center"/>
              <w:rPr>
                <w:rFonts w:eastAsia="Times New Roman"/>
                <w:color w:val="000000"/>
                <w:sz w:val="24"/>
                <w:szCs w:val="24"/>
                <w:lang w:eastAsia="ru-RU"/>
              </w:rPr>
            </w:pPr>
            <w:r w:rsidRPr="00187565">
              <w:rPr>
                <w:rFonts w:eastAsia="Times New Roman"/>
                <w:color w:val="000000"/>
                <w:sz w:val="24"/>
                <w:szCs w:val="24"/>
                <w:lang w:eastAsia="ru-RU"/>
              </w:rPr>
              <w:t>27,99</w:t>
            </w:r>
          </w:p>
        </w:tc>
        <w:tc>
          <w:tcPr>
            <w:tcW w:w="968" w:type="dxa"/>
            <w:tcBorders>
              <w:top w:val="single" w:sz="4" w:space="0" w:color="auto"/>
              <w:left w:val="single" w:sz="4" w:space="0" w:color="auto"/>
              <w:bottom w:val="single" w:sz="4" w:space="0" w:color="auto"/>
              <w:right w:val="single" w:sz="4" w:space="0" w:color="auto"/>
            </w:tcBorders>
            <w:vAlign w:val="center"/>
          </w:tcPr>
          <w:p w:rsidR="00A0457F" w:rsidRPr="00187565" w:rsidRDefault="00A0457F" w:rsidP="00187565">
            <w:pPr>
              <w:keepNext/>
              <w:spacing w:line="276" w:lineRule="auto"/>
              <w:jc w:val="center"/>
              <w:rPr>
                <w:rFonts w:eastAsia="Times New Roman"/>
                <w:sz w:val="24"/>
                <w:szCs w:val="24"/>
                <w:lang w:eastAsia="ru-RU"/>
              </w:rPr>
            </w:pPr>
            <w:r w:rsidRPr="00187565">
              <w:rPr>
                <w:rFonts w:eastAsia="Times New Roman"/>
                <w:sz w:val="24"/>
                <w:szCs w:val="24"/>
                <w:lang w:eastAsia="ru-RU"/>
              </w:rPr>
              <w:t>2,56</w:t>
            </w:r>
          </w:p>
        </w:tc>
        <w:tc>
          <w:tcPr>
            <w:tcW w:w="969" w:type="dxa"/>
            <w:tcBorders>
              <w:top w:val="single" w:sz="4" w:space="0" w:color="auto"/>
              <w:left w:val="single" w:sz="4" w:space="0" w:color="auto"/>
              <w:bottom w:val="single" w:sz="4" w:space="0" w:color="auto"/>
              <w:right w:val="single" w:sz="4" w:space="0" w:color="auto"/>
            </w:tcBorders>
            <w:vAlign w:val="center"/>
          </w:tcPr>
          <w:p w:rsidR="00A0457F" w:rsidRPr="00187565" w:rsidRDefault="00A0457F" w:rsidP="00187565">
            <w:pPr>
              <w:keepNext/>
              <w:spacing w:line="276" w:lineRule="auto"/>
              <w:jc w:val="center"/>
              <w:rPr>
                <w:rFonts w:eastAsia="Times New Roman"/>
                <w:color w:val="000000"/>
                <w:sz w:val="24"/>
                <w:szCs w:val="24"/>
                <w:lang w:eastAsia="ru-RU"/>
              </w:rPr>
            </w:pPr>
            <w:r w:rsidRPr="00187565">
              <w:rPr>
                <w:rFonts w:eastAsia="Times New Roman"/>
                <w:color w:val="000000"/>
                <w:sz w:val="24"/>
                <w:szCs w:val="24"/>
                <w:lang w:eastAsia="ru-RU"/>
              </w:rPr>
              <w:t>2,77</w:t>
            </w:r>
          </w:p>
        </w:tc>
        <w:tc>
          <w:tcPr>
            <w:tcW w:w="968" w:type="dxa"/>
            <w:tcBorders>
              <w:top w:val="single" w:sz="4" w:space="0" w:color="auto"/>
              <w:left w:val="single" w:sz="4" w:space="0" w:color="auto"/>
              <w:bottom w:val="single" w:sz="4" w:space="0" w:color="auto"/>
              <w:right w:val="single" w:sz="4" w:space="0" w:color="auto"/>
            </w:tcBorders>
            <w:vAlign w:val="center"/>
          </w:tcPr>
          <w:p w:rsidR="00A0457F" w:rsidRPr="00187565" w:rsidRDefault="00A0457F" w:rsidP="00187565">
            <w:pPr>
              <w:keepNext/>
              <w:spacing w:line="276" w:lineRule="auto"/>
              <w:jc w:val="center"/>
              <w:rPr>
                <w:rFonts w:eastAsia="Times New Roman"/>
                <w:sz w:val="24"/>
                <w:szCs w:val="24"/>
                <w:lang w:eastAsia="ru-RU"/>
              </w:rPr>
            </w:pPr>
            <w:r w:rsidRPr="00187565">
              <w:rPr>
                <w:rFonts w:eastAsia="Times New Roman"/>
                <w:sz w:val="24"/>
                <w:szCs w:val="24"/>
                <w:lang w:eastAsia="ru-RU"/>
              </w:rPr>
              <w:t>0,64</w:t>
            </w:r>
          </w:p>
        </w:tc>
        <w:tc>
          <w:tcPr>
            <w:tcW w:w="969" w:type="dxa"/>
            <w:tcBorders>
              <w:top w:val="single" w:sz="4" w:space="0" w:color="auto"/>
              <w:left w:val="single" w:sz="4" w:space="0" w:color="auto"/>
              <w:bottom w:val="single" w:sz="4" w:space="0" w:color="auto"/>
              <w:right w:val="single" w:sz="4" w:space="0" w:color="auto"/>
            </w:tcBorders>
            <w:vAlign w:val="center"/>
          </w:tcPr>
          <w:p w:rsidR="00A0457F" w:rsidRPr="00187565" w:rsidRDefault="00A0457F" w:rsidP="00187565">
            <w:pPr>
              <w:keepNext/>
              <w:spacing w:line="276" w:lineRule="auto"/>
              <w:jc w:val="center"/>
              <w:rPr>
                <w:rFonts w:eastAsia="Times New Roman"/>
                <w:color w:val="000000"/>
                <w:sz w:val="24"/>
                <w:szCs w:val="24"/>
                <w:lang w:eastAsia="ru-RU"/>
              </w:rPr>
            </w:pPr>
            <w:r w:rsidRPr="00187565">
              <w:rPr>
                <w:rFonts w:eastAsia="Times New Roman"/>
                <w:color w:val="000000"/>
                <w:sz w:val="24"/>
                <w:szCs w:val="24"/>
                <w:lang w:eastAsia="ru-RU"/>
              </w:rPr>
              <w:t>0,69</w:t>
            </w:r>
          </w:p>
        </w:tc>
      </w:tr>
      <w:tr w:rsidR="00A0457F" w:rsidRPr="00187565" w:rsidTr="00A0457F">
        <w:trPr>
          <w:trHeight w:val="319"/>
          <w:jc w:val="center"/>
        </w:trPr>
        <w:tc>
          <w:tcPr>
            <w:tcW w:w="4536" w:type="dxa"/>
            <w:tcBorders>
              <w:top w:val="single" w:sz="4" w:space="0" w:color="auto"/>
              <w:left w:val="single" w:sz="4" w:space="0" w:color="auto"/>
              <w:bottom w:val="single" w:sz="4" w:space="0" w:color="auto"/>
              <w:right w:val="single" w:sz="4" w:space="0" w:color="auto"/>
            </w:tcBorders>
            <w:vAlign w:val="center"/>
          </w:tcPr>
          <w:p w:rsidR="00A0457F" w:rsidRPr="00187565" w:rsidRDefault="00A0457F" w:rsidP="00187565">
            <w:pPr>
              <w:keepNext/>
              <w:spacing w:line="276" w:lineRule="auto"/>
              <w:jc w:val="left"/>
              <w:rPr>
                <w:rFonts w:eastAsia="Times New Roman"/>
                <w:sz w:val="24"/>
                <w:szCs w:val="24"/>
                <w:lang w:eastAsia="ru-RU"/>
              </w:rPr>
            </w:pPr>
            <w:r w:rsidRPr="00187565">
              <w:rPr>
                <w:rFonts w:eastAsia="Times New Roman"/>
                <w:sz w:val="24"/>
                <w:szCs w:val="24"/>
                <w:lang w:eastAsia="ru-RU"/>
              </w:rPr>
              <w:t>Частота прееклампсій та еклампсій вагітних</w:t>
            </w:r>
          </w:p>
        </w:tc>
        <w:tc>
          <w:tcPr>
            <w:tcW w:w="968" w:type="dxa"/>
            <w:tcBorders>
              <w:top w:val="single" w:sz="4" w:space="0" w:color="auto"/>
              <w:left w:val="single" w:sz="4" w:space="0" w:color="auto"/>
              <w:bottom w:val="single" w:sz="4" w:space="0" w:color="auto"/>
              <w:right w:val="single" w:sz="4" w:space="0" w:color="auto"/>
            </w:tcBorders>
            <w:vAlign w:val="center"/>
          </w:tcPr>
          <w:p w:rsidR="00A0457F" w:rsidRPr="00187565" w:rsidRDefault="00A0457F" w:rsidP="00187565">
            <w:pPr>
              <w:keepNext/>
              <w:spacing w:line="276" w:lineRule="auto"/>
              <w:jc w:val="center"/>
              <w:rPr>
                <w:rFonts w:eastAsia="Times New Roman"/>
                <w:sz w:val="24"/>
                <w:szCs w:val="24"/>
                <w:lang w:eastAsia="ru-RU"/>
              </w:rPr>
            </w:pPr>
            <w:r w:rsidRPr="00187565">
              <w:rPr>
                <w:rFonts w:eastAsia="Times New Roman"/>
                <w:sz w:val="24"/>
                <w:szCs w:val="24"/>
                <w:lang w:eastAsia="ru-RU"/>
              </w:rPr>
              <w:t>2,48</w:t>
            </w:r>
          </w:p>
        </w:tc>
        <w:tc>
          <w:tcPr>
            <w:tcW w:w="1016" w:type="dxa"/>
            <w:tcBorders>
              <w:top w:val="single" w:sz="4" w:space="0" w:color="auto"/>
              <w:left w:val="single" w:sz="4" w:space="0" w:color="auto"/>
              <w:bottom w:val="single" w:sz="4" w:space="0" w:color="auto"/>
              <w:right w:val="single" w:sz="4" w:space="0" w:color="auto"/>
            </w:tcBorders>
            <w:vAlign w:val="center"/>
          </w:tcPr>
          <w:p w:rsidR="00A0457F" w:rsidRPr="00187565" w:rsidRDefault="00A0457F" w:rsidP="00187565">
            <w:pPr>
              <w:keepNext/>
              <w:spacing w:line="276" w:lineRule="auto"/>
              <w:jc w:val="center"/>
              <w:rPr>
                <w:rFonts w:eastAsia="Times New Roman"/>
                <w:color w:val="000000"/>
                <w:sz w:val="24"/>
                <w:szCs w:val="24"/>
                <w:lang w:eastAsia="ru-RU"/>
              </w:rPr>
            </w:pPr>
            <w:r w:rsidRPr="00187565">
              <w:rPr>
                <w:rFonts w:eastAsia="Times New Roman"/>
                <w:color w:val="000000"/>
                <w:sz w:val="24"/>
                <w:szCs w:val="24"/>
                <w:lang w:eastAsia="ru-RU"/>
              </w:rPr>
              <w:t>2,95</w:t>
            </w:r>
          </w:p>
        </w:tc>
        <w:tc>
          <w:tcPr>
            <w:tcW w:w="968" w:type="dxa"/>
            <w:tcBorders>
              <w:top w:val="single" w:sz="4" w:space="0" w:color="auto"/>
              <w:left w:val="single" w:sz="4" w:space="0" w:color="auto"/>
              <w:bottom w:val="single" w:sz="4" w:space="0" w:color="auto"/>
              <w:right w:val="single" w:sz="4" w:space="0" w:color="auto"/>
            </w:tcBorders>
            <w:vAlign w:val="center"/>
          </w:tcPr>
          <w:p w:rsidR="00A0457F" w:rsidRPr="00187565" w:rsidRDefault="00A0457F" w:rsidP="00187565">
            <w:pPr>
              <w:keepNext/>
              <w:spacing w:line="276" w:lineRule="auto"/>
              <w:jc w:val="center"/>
              <w:rPr>
                <w:rFonts w:eastAsia="Times New Roman"/>
                <w:sz w:val="24"/>
                <w:szCs w:val="24"/>
                <w:lang w:eastAsia="ru-RU"/>
              </w:rPr>
            </w:pPr>
            <w:r w:rsidRPr="00187565">
              <w:rPr>
                <w:rFonts w:eastAsia="Times New Roman"/>
                <w:sz w:val="24"/>
                <w:szCs w:val="24"/>
                <w:lang w:eastAsia="ru-RU"/>
              </w:rPr>
              <w:t>4,08</w:t>
            </w:r>
          </w:p>
        </w:tc>
        <w:tc>
          <w:tcPr>
            <w:tcW w:w="969" w:type="dxa"/>
            <w:tcBorders>
              <w:top w:val="single" w:sz="4" w:space="0" w:color="auto"/>
              <w:left w:val="single" w:sz="4" w:space="0" w:color="auto"/>
              <w:bottom w:val="single" w:sz="4" w:space="0" w:color="auto"/>
              <w:right w:val="single" w:sz="4" w:space="0" w:color="auto"/>
            </w:tcBorders>
            <w:vAlign w:val="center"/>
          </w:tcPr>
          <w:p w:rsidR="00A0457F" w:rsidRPr="00187565" w:rsidRDefault="00A0457F" w:rsidP="00187565">
            <w:pPr>
              <w:keepNext/>
              <w:spacing w:line="276" w:lineRule="auto"/>
              <w:jc w:val="center"/>
              <w:rPr>
                <w:rFonts w:eastAsia="Times New Roman"/>
                <w:color w:val="000000"/>
                <w:sz w:val="24"/>
                <w:szCs w:val="24"/>
                <w:lang w:eastAsia="ru-RU"/>
              </w:rPr>
            </w:pPr>
            <w:r w:rsidRPr="00187565">
              <w:rPr>
                <w:rFonts w:eastAsia="Times New Roman"/>
                <w:color w:val="000000"/>
                <w:sz w:val="24"/>
                <w:szCs w:val="24"/>
                <w:lang w:eastAsia="ru-RU"/>
              </w:rPr>
              <w:t>2,20</w:t>
            </w:r>
          </w:p>
        </w:tc>
        <w:tc>
          <w:tcPr>
            <w:tcW w:w="968" w:type="dxa"/>
            <w:tcBorders>
              <w:top w:val="single" w:sz="4" w:space="0" w:color="auto"/>
              <w:left w:val="single" w:sz="4" w:space="0" w:color="auto"/>
              <w:bottom w:val="single" w:sz="4" w:space="0" w:color="auto"/>
              <w:right w:val="single" w:sz="4" w:space="0" w:color="auto"/>
            </w:tcBorders>
            <w:vAlign w:val="center"/>
          </w:tcPr>
          <w:p w:rsidR="00A0457F" w:rsidRPr="00187565" w:rsidRDefault="00A0457F" w:rsidP="00187565">
            <w:pPr>
              <w:keepNext/>
              <w:spacing w:line="276" w:lineRule="auto"/>
              <w:jc w:val="center"/>
              <w:rPr>
                <w:rFonts w:eastAsia="Times New Roman"/>
                <w:sz w:val="24"/>
                <w:szCs w:val="24"/>
                <w:lang w:eastAsia="ru-RU"/>
              </w:rPr>
            </w:pPr>
            <w:r w:rsidRPr="00187565">
              <w:rPr>
                <w:rFonts w:eastAsia="Times New Roman"/>
                <w:sz w:val="24"/>
                <w:szCs w:val="24"/>
                <w:lang w:eastAsia="ru-RU"/>
              </w:rPr>
              <w:t>0,58</w:t>
            </w:r>
          </w:p>
        </w:tc>
        <w:tc>
          <w:tcPr>
            <w:tcW w:w="969" w:type="dxa"/>
            <w:tcBorders>
              <w:top w:val="single" w:sz="4" w:space="0" w:color="auto"/>
              <w:left w:val="single" w:sz="4" w:space="0" w:color="auto"/>
              <w:bottom w:val="single" w:sz="4" w:space="0" w:color="auto"/>
              <w:right w:val="single" w:sz="4" w:space="0" w:color="auto"/>
            </w:tcBorders>
            <w:vAlign w:val="center"/>
          </w:tcPr>
          <w:p w:rsidR="00A0457F" w:rsidRPr="00187565" w:rsidRDefault="00A0457F" w:rsidP="00187565">
            <w:pPr>
              <w:keepNext/>
              <w:spacing w:line="276" w:lineRule="auto"/>
              <w:jc w:val="center"/>
              <w:rPr>
                <w:rFonts w:eastAsia="Times New Roman"/>
                <w:color w:val="000000"/>
                <w:sz w:val="24"/>
                <w:szCs w:val="24"/>
                <w:lang w:eastAsia="ru-RU"/>
              </w:rPr>
            </w:pPr>
            <w:r w:rsidRPr="00187565">
              <w:rPr>
                <w:rFonts w:eastAsia="Times New Roman"/>
                <w:color w:val="000000"/>
                <w:sz w:val="24"/>
                <w:szCs w:val="24"/>
                <w:lang w:eastAsia="ru-RU"/>
              </w:rPr>
              <w:t>0,31</w:t>
            </w:r>
          </w:p>
        </w:tc>
      </w:tr>
      <w:tr w:rsidR="00A0457F" w:rsidRPr="00187565" w:rsidTr="00A0457F">
        <w:trPr>
          <w:trHeight w:val="284"/>
          <w:jc w:val="center"/>
        </w:trPr>
        <w:tc>
          <w:tcPr>
            <w:tcW w:w="4536" w:type="dxa"/>
            <w:tcBorders>
              <w:top w:val="single" w:sz="4" w:space="0" w:color="auto"/>
              <w:left w:val="single" w:sz="4" w:space="0" w:color="auto"/>
              <w:bottom w:val="single" w:sz="4" w:space="0" w:color="auto"/>
              <w:right w:val="single" w:sz="4" w:space="0" w:color="auto"/>
            </w:tcBorders>
            <w:vAlign w:val="center"/>
          </w:tcPr>
          <w:p w:rsidR="00A0457F" w:rsidRPr="00187565" w:rsidRDefault="00A0457F" w:rsidP="00187565">
            <w:pPr>
              <w:keepNext/>
              <w:spacing w:line="276" w:lineRule="auto"/>
              <w:jc w:val="left"/>
              <w:rPr>
                <w:rFonts w:eastAsia="Times New Roman"/>
                <w:sz w:val="24"/>
                <w:szCs w:val="24"/>
                <w:lang w:eastAsia="ru-RU"/>
              </w:rPr>
            </w:pPr>
            <w:r w:rsidRPr="00187565">
              <w:rPr>
                <w:rFonts w:eastAsia="Times New Roman"/>
                <w:sz w:val="24"/>
                <w:szCs w:val="24"/>
                <w:lang w:eastAsia="ru-RU"/>
              </w:rPr>
              <w:t>Співвідношення безпечних методів абортів до небезпечних</w:t>
            </w:r>
          </w:p>
        </w:tc>
        <w:tc>
          <w:tcPr>
            <w:tcW w:w="968" w:type="dxa"/>
            <w:tcBorders>
              <w:top w:val="single" w:sz="4" w:space="0" w:color="auto"/>
              <w:left w:val="single" w:sz="4" w:space="0" w:color="auto"/>
              <w:bottom w:val="single" w:sz="4" w:space="0" w:color="auto"/>
              <w:right w:val="single" w:sz="4" w:space="0" w:color="auto"/>
            </w:tcBorders>
            <w:vAlign w:val="center"/>
          </w:tcPr>
          <w:p w:rsidR="00A0457F" w:rsidRPr="00187565" w:rsidRDefault="00A0457F" w:rsidP="00187565">
            <w:pPr>
              <w:keepNext/>
              <w:spacing w:line="276" w:lineRule="auto"/>
              <w:jc w:val="center"/>
              <w:rPr>
                <w:rFonts w:eastAsia="Times New Roman"/>
                <w:sz w:val="24"/>
                <w:szCs w:val="24"/>
                <w:lang w:eastAsia="ru-RU"/>
              </w:rPr>
            </w:pPr>
            <w:r w:rsidRPr="00187565">
              <w:rPr>
                <w:rFonts w:eastAsia="Times New Roman"/>
                <w:sz w:val="24"/>
                <w:szCs w:val="24"/>
                <w:lang w:eastAsia="ru-RU"/>
              </w:rPr>
              <w:t>3,74</w:t>
            </w:r>
          </w:p>
        </w:tc>
        <w:tc>
          <w:tcPr>
            <w:tcW w:w="1016" w:type="dxa"/>
            <w:tcBorders>
              <w:top w:val="single" w:sz="4" w:space="0" w:color="auto"/>
              <w:left w:val="single" w:sz="4" w:space="0" w:color="auto"/>
              <w:bottom w:val="single" w:sz="4" w:space="0" w:color="auto"/>
              <w:right w:val="single" w:sz="4" w:space="0" w:color="auto"/>
            </w:tcBorders>
            <w:vAlign w:val="center"/>
          </w:tcPr>
          <w:p w:rsidR="00A0457F" w:rsidRPr="00187565" w:rsidRDefault="00A0457F" w:rsidP="00187565">
            <w:pPr>
              <w:keepNext/>
              <w:spacing w:line="276" w:lineRule="auto"/>
              <w:jc w:val="center"/>
              <w:rPr>
                <w:rFonts w:eastAsia="Times New Roman"/>
                <w:color w:val="000000"/>
                <w:sz w:val="24"/>
                <w:szCs w:val="24"/>
                <w:lang w:eastAsia="ru-RU"/>
              </w:rPr>
            </w:pPr>
            <w:r w:rsidRPr="00187565">
              <w:rPr>
                <w:rFonts w:eastAsia="Times New Roman"/>
                <w:color w:val="000000"/>
                <w:sz w:val="24"/>
                <w:szCs w:val="24"/>
                <w:lang w:eastAsia="ru-RU"/>
              </w:rPr>
              <w:t>4,69</w:t>
            </w:r>
          </w:p>
        </w:tc>
        <w:tc>
          <w:tcPr>
            <w:tcW w:w="968" w:type="dxa"/>
            <w:tcBorders>
              <w:top w:val="single" w:sz="4" w:space="0" w:color="auto"/>
              <w:left w:val="single" w:sz="4" w:space="0" w:color="auto"/>
              <w:bottom w:val="single" w:sz="4" w:space="0" w:color="auto"/>
              <w:right w:val="single" w:sz="4" w:space="0" w:color="auto"/>
            </w:tcBorders>
            <w:vAlign w:val="center"/>
          </w:tcPr>
          <w:p w:rsidR="00A0457F" w:rsidRPr="00187565" w:rsidRDefault="00A0457F" w:rsidP="00187565">
            <w:pPr>
              <w:keepNext/>
              <w:spacing w:line="276" w:lineRule="auto"/>
              <w:jc w:val="center"/>
              <w:rPr>
                <w:rFonts w:eastAsia="Times New Roman"/>
                <w:sz w:val="24"/>
                <w:szCs w:val="24"/>
                <w:lang w:eastAsia="ru-RU"/>
              </w:rPr>
            </w:pPr>
            <w:r w:rsidRPr="00187565">
              <w:rPr>
                <w:rFonts w:eastAsia="Times New Roman"/>
                <w:sz w:val="24"/>
                <w:szCs w:val="24"/>
                <w:lang w:eastAsia="ru-RU"/>
              </w:rPr>
              <w:t>2,24</w:t>
            </w:r>
          </w:p>
        </w:tc>
        <w:tc>
          <w:tcPr>
            <w:tcW w:w="969" w:type="dxa"/>
            <w:tcBorders>
              <w:top w:val="single" w:sz="4" w:space="0" w:color="auto"/>
              <w:left w:val="single" w:sz="4" w:space="0" w:color="auto"/>
              <w:bottom w:val="single" w:sz="4" w:space="0" w:color="auto"/>
              <w:right w:val="single" w:sz="4" w:space="0" w:color="auto"/>
            </w:tcBorders>
            <w:vAlign w:val="center"/>
          </w:tcPr>
          <w:p w:rsidR="00A0457F" w:rsidRPr="00187565" w:rsidRDefault="00A0457F" w:rsidP="00187565">
            <w:pPr>
              <w:keepNext/>
              <w:spacing w:line="276" w:lineRule="auto"/>
              <w:jc w:val="center"/>
              <w:rPr>
                <w:rFonts w:eastAsia="Times New Roman"/>
                <w:color w:val="000000"/>
                <w:sz w:val="24"/>
                <w:szCs w:val="24"/>
                <w:lang w:eastAsia="ru-RU"/>
              </w:rPr>
            </w:pPr>
            <w:r w:rsidRPr="00187565">
              <w:rPr>
                <w:rFonts w:eastAsia="Times New Roman"/>
                <w:color w:val="000000"/>
                <w:sz w:val="24"/>
                <w:szCs w:val="24"/>
                <w:lang w:eastAsia="ru-RU"/>
              </w:rPr>
              <w:t>3,52</w:t>
            </w:r>
          </w:p>
        </w:tc>
        <w:tc>
          <w:tcPr>
            <w:tcW w:w="968" w:type="dxa"/>
            <w:tcBorders>
              <w:top w:val="single" w:sz="4" w:space="0" w:color="auto"/>
              <w:left w:val="single" w:sz="4" w:space="0" w:color="auto"/>
              <w:bottom w:val="single" w:sz="4" w:space="0" w:color="auto"/>
              <w:right w:val="single" w:sz="4" w:space="0" w:color="auto"/>
            </w:tcBorders>
            <w:vAlign w:val="center"/>
          </w:tcPr>
          <w:p w:rsidR="00A0457F" w:rsidRPr="00187565" w:rsidRDefault="00A0457F" w:rsidP="00187565">
            <w:pPr>
              <w:keepNext/>
              <w:spacing w:line="276" w:lineRule="auto"/>
              <w:jc w:val="center"/>
              <w:rPr>
                <w:rFonts w:eastAsia="Times New Roman"/>
                <w:sz w:val="24"/>
                <w:szCs w:val="24"/>
                <w:lang w:eastAsia="ru-RU"/>
              </w:rPr>
            </w:pPr>
            <w:r w:rsidRPr="00187565">
              <w:rPr>
                <w:rFonts w:eastAsia="Times New Roman"/>
                <w:sz w:val="24"/>
                <w:szCs w:val="24"/>
                <w:lang w:eastAsia="ru-RU"/>
              </w:rPr>
              <w:t>0,37</w:t>
            </w:r>
          </w:p>
        </w:tc>
        <w:tc>
          <w:tcPr>
            <w:tcW w:w="969" w:type="dxa"/>
            <w:tcBorders>
              <w:top w:val="single" w:sz="4" w:space="0" w:color="auto"/>
              <w:left w:val="single" w:sz="4" w:space="0" w:color="auto"/>
              <w:bottom w:val="single" w:sz="4" w:space="0" w:color="auto"/>
              <w:right w:val="single" w:sz="4" w:space="0" w:color="auto"/>
            </w:tcBorders>
            <w:vAlign w:val="center"/>
          </w:tcPr>
          <w:p w:rsidR="00A0457F" w:rsidRPr="00187565" w:rsidRDefault="00A0457F" w:rsidP="00187565">
            <w:pPr>
              <w:keepNext/>
              <w:spacing w:line="276" w:lineRule="auto"/>
              <w:jc w:val="center"/>
              <w:rPr>
                <w:rFonts w:eastAsia="Times New Roman"/>
                <w:color w:val="000000"/>
                <w:sz w:val="24"/>
                <w:szCs w:val="24"/>
                <w:lang w:eastAsia="ru-RU"/>
              </w:rPr>
            </w:pPr>
            <w:r w:rsidRPr="00187565">
              <w:rPr>
                <w:rFonts w:eastAsia="Times New Roman"/>
                <w:color w:val="000000"/>
                <w:sz w:val="24"/>
                <w:szCs w:val="24"/>
                <w:lang w:eastAsia="ru-RU"/>
              </w:rPr>
              <w:t>0,59</w:t>
            </w:r>
          </w:p>
        </w:tc>
      </w:tr>
      <w:tr w:rsidR="00A0457F" w:rsidRPr="00187565" w:rsidTr="00A0457F">
        <w:trPr>
          <w:trHeight w:val="340"/>
          <w:jc w:val="center"/>
        </w:trPr>
        <w:tc>
          <w:tcPr>
            <w:tcW w:w="4536" w:type="dxa"/>
            <w:tcBorders>
              <w:top w:val="single" w:sz="4" w:space="0" w:color="auto"/>
              <w:left w:val="single" w:sz="4" w:space="0" w:color="auto"/>
              <w:bottom w:val="single" w:sz="4" w:space="0" w:color="auto"/>
              <w:right w:val="single" w:sz="4" w:space="0" w:color="auto"/>
            </w:tcBorders>
            <w:vAlign w:val="bottom"/>
          </w:tcPr>
          <w:p w:rsidR="00A0457F" w:rsidRPr="00187565" w:rsidRDefault="00A0457F" w:rsidP="00187565">
            <w:pPr>
              <w:keepNext/>
              <w:spacing w:line="276" w:lineRule="auto"/>
              <w:jc w:val="left"/>
              <w:rPr>
                <w:rFonts w:eastAsia="Times New Roman"/>
                <w:sz w:val="24"/>
                <w:szCs w:val="24"/>
                <w:lang w:eastAsia="ru-RU"/>
              </w:rPr>
            </w:pPr>
            <w:r w:rsidRPr="00187565">
              <w:rPr>
                <w:rFonts w:eastAsia="Times New Roman"/>
                <w:sz w:val="24"/>
                <w:szCs w:val="24"/>
                <w:lang w:eastAsia="ru-RU"/>
              </w:rPr>
              <w:t>Питома вага хворих виявлення в ранніх стадіях (І – ІІ) серед хворих з вперше встановленим діагнозом онкологія молочної залози</w:t>
            </w:r>
          </w:p>
        </w:tc>
        <w:tc>
          <w:tcPr>
            <w:tcW w:w="968" w:type="dxa"/>
            <w:tcBorders>
              <w:top w:val="single" w:sz="4" w:space="0" w:color="auto"/>
              <w:left w:val="single" w:sz="4" w:space="0" w:color="auto"/>
              <w:bottom w:val="single" w:sz="4" w:space="0" w:color="auto"/>
              <w:right w:val="single" w:sz="4" w:space="0" w:color="auto"/>
            </w:tcBorders>
            <w:vAlign w:val="center"/>
          </w:tcPr>
          <w:p w:rsidR="00A0457F" w:rsidRPr="00187565" w:rsidRDefault="00A0457F" w:rsidP="00187565">
            <w:pPr>
              <w:keepNext/>
              <w:spacing w:line="276" w:lineRule="auto"/>
              <w:jc w:val="center"/>
              <w:rPr>
                <w:rFonts w:eastAsia="Times New Roman"/>
                <w:sz w:val="24"/>
                <w:szCs w:val="24"/>
                <w:lang w:eastAsia="ru-RU"/>
              </w:rPr>
            </w:pPr>
            <w:r w:rsidRPr="00187565">
              <w:rPr>
                <w:rFonts w:eastAsia="Times New Roman"/>
                <w:sz w:val="24"/>
                <w:szCs w:val="24"/>
                <w:lang w:eastAsia="ru-RU"/>
              </w:rPr>
              <w:t>*</w:t>
            </w:r>
          </w:p>
        </w:tc>
        <w:tc>
          <w:tcPr>
            <w:tcW w:w="1016" w:type="dxa"/>
            <w:tcBorders>
              <w:top w:val="single" w:sz="4" w:space="0" w:color="auto"/>
              <w:left w:val="single" w:sz="4" w:space="0" w:color="auto"/>
              <w:bottom w:val="single" w:sz="4" w:space="0" w:color="auto"/>
              <w:right w:val="single" w:sz="4" w:space="0" w:color="auto"/>
            </w:tcBorders>
            <w:vAlign w:val="center"/>
          </w:tcPr>
          <w:p w:rsidR="00A0457F" w:rsidRPr="00187565" w:rsidRDefault="00A0457F" w:rsidP="00187565">
            <w:pPr>
              <w:keepNext/>
              <w:spacing w:line="276" w:lineRule="auto"/>
              <w:jc w:val="center"/>
              <w:rPr>
                <w:rFonts w:eastAsia="Times New Roman"/>
                <w:color w:val="000000"/>
                <w:sz w:val="24"/>
                <w:szCs w:val="24"/>
                <w:lang w:eastAsia="ru-RU"/>
              </w:rPr>
            </w:pPr>
            <w:r w:rsidRPr="00187565">
              <w:rPr>
                <w:rFonts w:eastAsia="Times New Roman"/>
                <w:color w:val="000000"/>
                <w:sz w:val="24"/>
                <w:szCs w:val="24"/>
                <w:lang w:eastAsia="ru-RU"/>
              </w:rPr>
              <w:t>74,30</w:t>
            </w:r>
          </w:p>
        </w:tc>
        <w:tc>
          <w:tcPr>
            <w:tcW w:w="968" w:type="dxa"/>
            <w:tcBorders>
              <w:top w:val="single" w:sz="4" w:space="0" w:color="auto"/>
              <w:left w:val="single" w:sz="4" w:space="0" w:color="auto"/>
              <w:bottom w:val="single" w:sz="4" w:space="0" w:color="auto"/>
              <w:right w:val="single" w:sz="4" w:space="0" w:color="auto"/>
            </w:tcBorders>
            <w:vAlign w:val="center"/>
          </w:tcPr>
          <w:p w:rsidR="00A0457F" w:rsidRPr="00187565" w:rsidRDefault="00A0457F" w:rsidP="00187565">
            <w:pPr>
              <w:keepNext/>
              <w:spacing w:line="276" w:lineRule="auto"/>
              <w:jc w:val="center"/>
              <w:rPr>
                <w:rFonts w:eastAsia="Times New Roman"/>
                <w:sz w:val="24"/>
                <w:szCs w:val="24"/>
                <w:lang w:eastAsia="ru-RU"/>
              </w:rPr>
            </w:pPr>
            <w:r w:rsidRPr="00187565">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A0457F" w:rsidRPr="00187565" w:rsidRDefault="00A0457F" w:rsidP="00187565">
            <w:pPr>
              <w:keepNext/>
              <w:spacing w:line="276" w:lineRule="auto"/>
              <w:jc w:val="center"/>
              <w:rPr>
                <w:rFonts w:eastAsia="Times New Roman"/>
                <w:color w:val="000000"/>
                <w:sz w:val="24"/>
                <w:szCs w:val="24"/>
                <w:lang w:eastAsia="ru-RU"/>
              </w:rPr>
            </w:pPr>
            <w:r w:rsidRPr="00187565">
              <w:rPr>
                <w:rFonts w:eastAsia="Times New Roman"/>
                <w:color w:val="000000"/>
                <w:sz w:val="24"/>
                <w:szCs w:val="24"/>
                <w:lang w:eastAsia="ru-RU"/>
              </w:rPr>
              <w:t>5,60</w:t>
            </w:r>
          </w:p>
        </w:tc>
        <w:tc>
          <w:tcPr>
            <w:tcW w:w="968" w:type="dxa"/>
            <w:tcBorders>
              <w:top w:val="single" w:sz="4" w:space="0" w:color="auto"/>
              <w:left w:val="single" w:sz="4" w:space="0" w:color="auto"/>
              <w:bottom w:val="single" w:sz="4" w:space="0" w:color="auto"/>
              <w:right w:val="single" w:sz="4" w:space="0" w:color="auto"/>
            </w:tcBorders>
            <w:vAlign w:val="center"/>
          </w:tcPr>
          <w:p w:rsidR="00A0457F" w:rsidRPr="00187565" w:rsidRDefault="00A0457F" w:rsidP="00187565">
            <w:pPr>
              <w:keepNext/>
              <w:spacing w:line="276" w:lineRule="auto"/>
              <w:jc w:val="center"/>
              <w:rPr>
                <w:rFonts w:eastAsia="Times New Roman"/>
                <w:sz w:val="24"/>
                <w:szCs w:val="24"/>
                <w:lang w:eastAsia="ru-RU"/>
              </w:rPr>
            </w:pPr>
            <w:r w:rsidRPr="00187565">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A0457F" w:rsidRPr="00187565" w:rsidRDefault="00A0457F" w:rsidP="00187565">
            <w:pPr>
              <w:keepNext/>
              <w:spacing w:line="276" w:lineRule="auto"/>
              <w:jc w:val="center"/>
              <w:rPr>
                <w:rFonts w:eastAsia="Times New Roman"/>
                <w:color w:val="000000"/>
                <w:sz w:val="24"/>
                <w:szCs w:val="24"/>
                <w:lang w:eastAsia="ru-RU"/>
              </w:rPr>
            </w:pPr>
            <w:r w:rsidRPr="00187565">
              <w:rPr>
                <w:rFonts w:eastAsia="Times New Roman"/>
                <w:color w:val="000000"/>
                <w:sz w:val="24"/>
                <w:szCs w:val="24"/>
                <w:lang w:eastAsia="ru-RU"/>
              </w:rPr>
              <w:t>0,93</w:t>
            </w:r>
          </w:p>
        </w:tc>
      </w:tr>
      <w:tr w:rsidR="00A0457F" w:rsidRPr="00187565" w:rsidTr="00A0457F">
        <w:trPr>
          <w:trHeight w:val="418"/>
          <w:jc w:val="center"/>
        </w:trPr>
        <w:tc>
          <w:tcPr>
            <w:tcW w:w="4536" w:type="dxa"/>
            <w:tcBorders>
              <w:top w:val="single" w:sz="4" w:space="0" w:color="auto"/>
              <w:left w:val="single" w:sz="4" w:space="0" w:color="auto"/>
              <w:bottom w:val="single" w:sz="4" w:space="0" w:color="auto"/>
              <w:right w:val="single" w:sz="4" w:space="0" w:color="auto"/>
            </w:tcBorders>
            <w:vAlign w:val="bottom"/>
          </w:tcPr>
          <w:p w:rsidR="00A0457F" w:rsidRPr="00187565" w:rsidRDefault="00A0457F" w:rsidP="00187565">
            <w:pPr>
              <w:keepNext/>
              <w:spacing w:line="276" w:lineRule="auto"/>
              <w:jc w:val="left"/>
              <w:rPr>
                <w:rFonts w:eastAsia="Times New Roman"/>
                <w:sz w:val="24"/>
                <w:szCs w:val="24"/>
                <w:lang w:eastAsia="ru-RU"/>
              </w:rPr>
            </w:pPr>
            <w:r w:rsidRPr="00187565">
              <w:rPr>
                <w:rFonts w:eastAsia="Times New Roman"/>
                <w:sz w:val="24"/>
                <w:szCs w:val="24"/>
                <w:lang w:eastAsia="ru-RU"/>
              </w:rPr>
              <w:t>Питома вага хворих виявлення в ранніх стадіях (І – ІІ) серед хворих з вперше встановленим діагнозом онкологія шийки матки</w:t>
            </w:r>
          </w:p>
        </w:tc>
        <w:tc>
          <w:tcPr>
            <w:tcW w:w="968" w:type="dxa"/>
            <w:tcBorders>
              <w:top w:val="single" w:sz="4" w:space="0" w:color="auto"/>
              <w:left w:val="single" w:sz="4" w:space="0" w:color="auto"/>
              <w:bottom w:val="single" w:sz="4" w:space="0" w:color="auto"/>
              <w:right w:val="single" w:sz="4" w:space="0" w:color="auto"/>
            </w:tcBorders>
            <w:vAlign w:val="center"/>
          </w:tcPr>
          <w:p w:rsidR="00A0457F" w:rsidRPr="00187565" w:rsidRDefault="00A0457F" w:rsidP="00187565">
            <w:pPr>
              <w:keepNext/>
              <w:spacing w:line="276" w:lineRule="auto"/>
              <w:jc w:val="center"/>
              <w:rPr>
                <w:rFonts w:eastAsia="Times New Roman"/>
                <w:sz w:val="24"/>
                <w:szCs w:val="24"/>
                <w:lang w:eastAsia="ru-RU"/>
              </w:rPr>
            </w:pPr>
            <w:r w:rsidRPr="00187565">
              <w:rPr>
                <w:rFonts w:eastAsia="Times New Roman"/>
                <w:sz w:val="24"/>
                <w:szCs w:val="24"/>
                <w:lang w:eastAsia="ru-RU"/>
              </w:rPr>
              <w:t>*</w:t>
            </w:r>
          </w:p>
        </w:tc>
        <w:tc>
          <w:tcPr>
            <w:tcW w:w="1016" w:type="dxa"/>
            <w:tcBorders>
              <w:top w:val="single" w:sz="4" w:space="0" w:color="auto"/>
              <w:left w:val="single" w:sz="4" w:space="0" w:color="auto"/>
              <w:bottom w:val="single" w:sz="4" w:space="0" w:color="auto"/>
              <w:right w:val="single" w:sz="4" w:space="0" w:color="auto"/>
            </w:tcBorders>
            <w:vAlign w:val="center"/>
          </w:tcPr>
          <w:p w:rsidR="00A0457F" w:rsidRPr="00187565" w:rsidRDefault="00A0457F" w:rsidP="00187565">
            <w:pPr>
              <w:keepNext/>
              <w:spacing w:line="276" w:lineRule="auto"/>
              <w:jc w:val="center"/>
              <w:rPr>
                <w:rFonts w:eastAsia="Times New Roman"/>
                <w:color w:val="000000"/>
                <w:sz w:val="24"/>
                <w:szCs w:val="24"/>
                <w:lang w:eastAsia="ru-RU"/>
              </w:rPr>
            </w:pPr>
            <w:r w:rsidRPr="00187565">
              <w:rPr>
                <w:rFonts w:eastAsia="Times New Roman"/>
                <w:color w:val="000000"/>
                <w:sz w:val="24"/>
                <w:szCs w:val="24"/>
                <w:lang w:eastAsia="ru-RU"/>
              </w:rPr>
              <w:t>64,60</w:t>
            </w:r>
          </w:p>
        </w:tc>
        <w:tc>
          <w:tcPr>
            <w:tcW w:w="968" w:type="dxa"/>
            <w:tcBorders>
              <w:top w:val="single" w:sz="4" w:space="0" w:color="auto"/>
              <w:left w:val="single" w:sz="4" w:space="0" w:color="auto"/>
              <w:bottom w:val="single" w:sz="4" w:space="0" w:color="auto"/>
              <w:right w:val="single" w:sz="4" w:space="0" w:color="auto"/>
            </w:tcBorders>
            <w:vAlign w:val="center"/>
          </w:tcPr>
          <w:p w:rsidR="00A0457F" w:rsidRPr="00187565" w:rsidRDefault="00A0457F" w:rsidP="00187565">
            <w:pPr>
              <w:keepNext/>
              <w:spacing w:line="276" w:lineRule="auto"/>
              <w:jc w:val="center"/>
              <w:rPr>
                <w:rFonts w:eastAsia="Times New Roman"/>
                <w:sz w:val="24"/>
                <w:szCs w:val="24"/>
                <w:lang w:eastAsia="ru-RU"/>
              </w:rPr>
            </w:pPr>
            <w:r w:rsidRPr="00187565">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A0457F" w:rsidRPr="00187565" w:rsidRDefault="00A0457F" w:rsidP="00187565">
            <w:pPr>
              <w:keepNext/>
              <w:spacing w:line="276" w:lineRule="auto"/>
              <w:jc w:val="center"/>
              <w:rPr>
                <w:rFonts w:eastAsia="Times New Roman"/>
                <w:color w:val="000000"/>
                <w:sz w:val="24"/>
                <w:szCs w:val="24"/>
                <w:lang w:eastAsia="ru-RU"/>
              </w:rPr>
            </w:pPr>
            <w:r w:rsidRPr="00187565">
              <w:rPr>
                <w:rFonts w:eastAsia="Times New Roman"/>
                <w:color w:val="000000"/>
                <w:sz w:val="24"/>
                <w:szCs w:val="24"/>
                <w:lang w:eastAsia="ru-RU"/>
              </w:rPr>
              <w:t>4,92</w:t>
            </w:r>
          </w:p>
        </w:tc>
        <w:tc>
          <w:tcPr>
            <w:tcW w:w="968" w:type="dxa"/>
            <w:tcBorders>
              <w:top w:val="single" w:sz="4" w:space="0" w:color="auto"/>
              <w:left w:val="single" w:sz="4" w:space="0" w:color="auto"/>
              <w:bottom w:val="single" w:sz="4" w:space="0" w:color="auto"/>
              <w:right w:val="single" w:sz="4" w:space="0" w:color="auto"/>
            </w:tcBorders>
            <w:vAlign w:val="center"/>
          </w:tcPr>
          <w:p w:rsidR="00A0457F" w:rsidRPr="00187565" w:rsidRDefault="00A0457F" w:rsidP="00187565">
            <w:pPr>
              <w:keepNext/>
              <w:spacing w:line="276" w:lineRule="auto"/>
              <w:jc w:val="center"/>
              <w:rPr>
                <w:rFonts w:eastAsia="Times New Roman"/>
                <w:sz w:val="24"/>
                <w:szCs w:val="24"/>
                <w:lang w:eastAsia="ru-RU"/>
              </w:rPr>
            </w:pPr>
            <w:r w:rsidRPr="00187565">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A0457F" w:rsidRPr="00187565" w:rsidRDefault="00A0457F" w:rsidP="00187565">
            <w:pPr>
              <w:keepNext/>
              <w:spacing w:line="276" w:lineRule="auto"/>
              <w:jc w:val="center"/>
              <w:rPr>
                <w:rFonts w:eastAsia="Times New Roman"/>
                <w:color w:val="000000"/>
                <w:sz w:val="24"/>
                <w:szCs w:val="24"/>
                <w:lang w:eastAsia="ru-RU"/>
              </w:rPr>
            </w:pPr>
            <w:r w:rsidRPr="00187565">
              <w:rPr>
                <w:rFonts w:eastAsia="Times New Roman"/>
                <w:color w:val="000000"/>
                <w:sz w:val="24"/>
                <w:szCs w:val="24"/>
                <w:lang w:eastAsia="ru-RU"/>
              </w:rPr>
              <w:t>0,82</w:t>
            </w:r>
          </w:p>
        </w:tc>
      </w:tr>
      <w:tr w:rsidR="00A0457F" w:rsidRPr="00187565" w:rsidTr="00A0457F">
        <w:trPr>
          <w:trHeight w:val="600"/>
          <w:jc w:val="center"/>
        </w:trPr>
        <w:tc>
          <w:tcPr>
            <w:tcW w:w="4536" w:type="dxa"/>
            <w:tcBorders>
              <w:top w:val="single" w:sz="4" w:space="0" w:color="auto"/>
              <w:left w:val="single" w:sz="4" w:space="0" w:color="auto"/>
              <w:bottom w:val="single" w:sz="4" w:space="0" w:color="auto"/>
              <w:right w:val="single" w:sz="4" w:space="0" w:color="auto"/>
            </w:tcBorders>
          </w:tcPr>
          <w:p w:rsidR="00A0457F" w:rsidRPr="00187565" w:rsidRDefault="00A0457F" w:rsidP="00187565">
            <w:pPr>
              <w:keepNext/>
              <w:spacing w:line="276" w:lineRule="auto"/>
              <w:rPr>
                <w:rFonts w:eastAsia="Times New Roman"/>
                <w:color w:val="000000"/>
                <w:sz w:val="24"/>
                <w:szCs w:val="24"/>
                <w:lang w:eastAsia="uk-UA"/>
              </w:rPr>
            </w:pPr>
            <w:r w:rsidRPr="00187565">
              <w:rPr>
                <w:rFonts w:eastAsia="Times New Roman"/>
                <w:color w:val="000000"/>
                <w:sz w:val="24"/>
                <w:szCs w:val="24"/>
                <w:lang w:eastAsia="uk-UA"/>
              </w:rPr>
              <w:t>Індекс концентрації розродження вагітних з цукровим діабетом у ЗПД ІІІ рівня</w:t>
            </w:r>
          </w:p>
        </w:tc>
        <w:tc>
          <w:tcPr>
            <w:tcW w:w="968" w:type="dxa"/>
            <w:tcBorders>
              <w:top w:val="single" w:sz="4" w:space="0" w:color="auto"/>
              <w:left w:val="single" w:sz="4" w:space="0" w:color="auto"/>
              <w:bottom w:val="single" w:sz="4" w:space="0" w:color="auto"/>
              <w:right w:val="single" w:sz="4" w:space="0" w:color="auto"/>
            </w:tcBorders>
            <w:vAlign w:val="center"/>
          </w:tcPr>
          <w:p w:rsidR="00A0457F" w:rsidRPr="00187565" w:rsidRDefault="00A0457F" w:rsidP="00187565">
            <w:pPr>
              <w:keepNext/>
              <w:spacing w:line="276" w:lineRule="auto"/>
              <w:jc w:val="center"/>
              <w:rPr>
                <w:rFonts w:eastAsia="Times New Roman"/>
                <w:color w:val="000000"/>
                <w:sz w:val="24"/>
                <w:szCs w:val="24"/>
                <w:lang w:eastAsia="ru-RU"/>
              </w:rPr>
            </w:pPr>
            <w:r w:rsidRPr="00187565">
              <w:rPr>
                <w:rFonts w:eastAsia="Times New Roman"/>
                <w:color w:val="000000"/>
                <w:sz w:val="24"/>
                <w:szCs w:val="24"/>
                <w:lang w:eastAsia="ru-RU"/>
              </w:rPr>
              <w:t>81,43</w:t>
            </w:r>
          </w:p>
        </w:tc>
        <w:tc>
          <w:tcPr>
            <w:tcW w:w="1016" w:type="dxa"/>
            <w:tcBorders>
              <w:top w:val="single" w:sz="4" w:space="0" w:color="auto"/>
              <w:left w:val="single" w:sz="4" w:space="0" w:color="auto"/>
              <w:bottom w:val="single" w:sz="4" w:space="0" w:color="auto"/>
              <w:right w:val="single" w:sz="4" w:space="0" w:color="auto"/>
            </w:tcBorders>
            <w:vAlign w:val="center"/>
          </w:tcPr>
          <w:p w:rsidR="00A0457F" w:rsidRPr="00187565" w:rsidRDefault="00A0457F" w:rsidP="00187565">
            <w:pPr>
              <w:keepNext/>
              <w:spacing w:line="276" w:lineRule="auto"/>
              <w:jc w:val="center"/>
              <w:rPr>
                <w:rFonts w:eastAsia="Times New Roman"/>
                <w:color w:val="000000"/>
                <w:sz w:val="24"/>
                <w:szCs w:val="24"/>
                <w:lang w:eastAsia="ru-RU"/>
              </w:rPr>
            </w:pPr>
            <w:r w:rsidRPr="00187565">
              <w:rPr>
                <w:rFonts w:eastAsia="Times New Roman"/>
                <w:color w:val="000000"/>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A0457F" w:rsidRPr="00187565" w:rsidRDefault="00A0457F" w:rsidP="00187565">
            <w:pPr>
              <w:keepNext/>
              <w:spacing w:line="276" w:lineRule="auto"/>
              <w:jc w:val="center"/>
              <w:rPr>
                <w:rFonts w:eastAsia="Times New Roman"/>
                <w:color w:val="000000"/>
                <w:sz w:val="24"/>
                <w:szCs w:val="24"/>
                <w:lang w:eastAsia="ru-RU"/>
              </w:rPr>
            </w:pPr>
            <w:r w:rsidRPr="00187565">
              <w:rPr>
                <w:rFonts w:eastAsia="Times New Roman"/>
                <w:color w:val="000000"/>
                <w:sz w:val="24"/>
                <w:szCs w:val="24"/>
                <w:lang w:eastAsia="ru-RU"/>
              </w:rPr>
              <w:t>7,00</w:t>
            </w:r>
          </w:p>
        </w:tc>
        <w:tc>
          <w:tcPr>
            <w:tcW w:w="969" w:type="dxa"/>
            <w:tcBorders>
              <w:top w:val="single" w:sz="4" w:space="0" w:color="auto"/>
              <w:left w:val="single" w:sz="4" w:space="0" w:color="auto"/>
              <w:bottom w:val="single" w:sz="4" w:space="0" w:color="auto"/>
              <w:right w:val="single" w:sz="4" w:space="0" w:color="auto"/>
            </w:tcBorders>
            <w:vAlign w:val="center"/>
          </w:tcPr>
          <w:p w:rsidR="00A0457F" w:rsidRPr="00187565" w:rsidRDefault="00A0457F" w:rsidP="00187565">
            <w:pPr>
              <w:keepNext/>
              <w:spacing w:line="276" w:lineRule="auto"/>
              <w:jc w:val="center"/>
              <w:rPr>
                <w:rFonts w:eastAsia="Times New Roman"/>
                <w:color w:val="000000"/>
                <w:sz w:val="24"/>
                <w:szCs w:val="24"/>
                <w:lang w:eastAsia="ru-RU"/>
              </w:rPr>
            </w:pPr>
            <w:r w:rsidRPr="00187565">
              <w:rPr>
                <w:rFonts w:eastAsia="Times New Roman"/>
                <w:color w:val="000000"/>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A0457F" w:rsidRPr="00187565" w:rsidRDefault="00A0457F" w:rsidP="00187565">
            <w:pPr>
              <w:keepNext/>
              <w:spacing w:line="276" w:lineRule="auto"/>
              <w:jc w:val="center"/>
              <w:rPr>
                <w:rFonts w:eastAsia="Times New Roman"/>
                <w:color w:val="000000"/>
                <w:sz w:val="24"/>
                <w:szCs w:val="24"/>
                <w:lang w:eastAsia="ru-RU"/>
              </w:rPr>
            </w:pPr>
            <w:r w:rsidRPr="00187565">
              <w:rPr>
                <w:rFonts w:eastAsia="Times New Roman"/>
                <w:color w:val="000000"/>
                <w:sz w:val="24"/>
                <w:szCs w:val="24"/>
                <w:lang w:eastAsia="ru-RU"/>
              </w:rPr>
              <w:t>1,00</w:t>
            </w:r>
          </w:p>
        </w:tc>
        <w:tc>
          <w:tcPr>
            <w:tcW w:w="969" w:type="dxa"/>
            <w:tcBorders>
              <w:top w:val="single" w:sz="4" w:space="0" w:color="auto"/>
              <w:left w:val="single" w:sz="4" w:space="0" w:color="auto"/>
              <w:bottom w:val="single" w:sz="4" w:space="0" w:color="auto"/>
              <w:right w:val="single" w:sz="4" w:space="0" w:color="auto"/>
            </w:tcBorders>
            <w:vAlign w:val="center"/>
          </w:tcPr>
          <w:p w:rsidR="00A0457F" w:rsidRPr="00187565" w:rsidRDefault="00A0457F" w:rsidP="00187565">
            <w:pPr>
              <w:keepNext/>
              <w:spacing w:line="276" w:lineRule="auto"/>
              <w:jc w:val="center"/>
              <w:rPr>
                <w:rFonts w:eastAsia="Times New Roman"/>
                <w:color w:val="000000"/>
                <w:sz w:val="24"/>
                <w:szCs w:val="24"/>
                <w:lang w:eastAsia="ru-RU"/>
              </w:rPr>
            </w:pPr>
            <w:r w:rsidRPr="00187565">
              <w:rPr>
                <w:rFonts w:eastAsia="Times New Roman"/>
                <w:color w:val="000000"/>
                <w:sz w:val="24"/>
                <w:szCs w:val="24"/>
                <w:lang w:eastAsia="ru-RU"/>
              </w:rPr>
              <w:t>**</w:t>
            </w:r>
          </w:p>
        </w:tc>
      </w:tr>
      <w:tr w:rsidR="00A0457F" w:rsidRPr="00187565" w:rsidTr="00A0457F">
        <w:trPr>
          <w:trHeight w:val="605"/>
          <w:jc w:val="center"/>
        </w:trPr>
        <w:tc>
          <w:tcPr>
            <w:tcW w:w="4536" w:type="dxa"/>
            <w:tcBorders>
              <w:top w:val="single" w:sz="4" w:space="0" w:color="auto"/>
              <w:left w:val="single" w:sz="4" w:space="0" w:color="auto"/>
              <w:bottom w:val="single" w:sz="4" w:space="0" w:color="auto"/>
              <w:right w:val="single" w:sz="4" w:space="0" w:color="auto"/>
            </w:tcBorders>
          </w:tcPr>
          <w:p w:rsidR="00A0457F" w:rsidRPr="00187565" w:rsidRDefault="00A0457F" w:rsidP="00187565">
            <w:pPr>
              <w:keepNext/>
              <w:spacing w:line="276" w:lineRule="auto"/>
              <w:rPr>
                <w:rFonts w:eastAsia="Times New Roman"/>
                <w:color w:val="000000"/>
                <w:sz w:val="24"/>
                <w:szCs w:val="24"/>
                <w:lang w:eastAsia="uk-UA"/>
              </w:rPr>
            </w:pPr>
            <w:r w:rsidRPr="00187565">
              <w:rPr>
                <w:rFonts w:eastAsia="Times New Roman"/>
                <w:color w:val="000000"/>
                <w:sz w:val="24"/>
                <w:szCs w:val="24"/>
                <w:lang w:eastAsia="uk-UA"/>
              </w:rPr>
              <w:t>Індекс концентрації розродження вагітних з  пре- еклампсією і еклампсією  у ЗПД ІІ-ІІІ рівнів</w:t>
            </w:r>
          </w:p>
        </w:tc>
        <w:tc>
          <w:tcPr>
            <w:tcW w:w="968" w:type="dxa"/>
            <w:tcBorders>
              <w:top w:val="single" w:sz="4" w:space="0" w:color="auto"/>
              <w:left w:val="single" w:sz="4" w:space="0" w:color="auto"/>
              <w:bottom w:val="single" w:sz="4" w:space="0" w:color="auto"/>
              <w:right w:val="single" w:sz="4" w:space="0" w:color="auto"/>
            </w:tcBorders>
            <w:vAlign w:val="center"/>
          </w:tcPr>
          <w:p w:rsidR="00A0457F" w:rsidRPr="00187565" w:rsidRDefault="00A0457F" w:rsidP="00187565">
            <w:pPr>
              <w:keepNext/>
              <w:spacing w:line="276" w:lineRule="auto"/>
              <w:jc w:val="center"/>
              <w:rPr>
                <w:rFonts w:eastAsia="Times New Roman"/>
                <w:color w:val="000000"/>
                <w:sz w:val="24"/>
                <w:szCs w:val="24"/>
                <w:lang w:eastAsia="ru-RU"/>
              </w:rPr>
            </w:pPr>
            <w:r w:rsidRPr="00187565">
              <w:rPr>
                <w:rFonts w:eastAsia="Times New Roman"/>
                <w:color w:val="000000"/>
                <w:sz w:val="24"/>
                <w:szCs w:val="24"/>
                <w:lang w:eastAsia="ru-RU"/>
              </w:rPr>
              <w:t>44,78</w:t>
            </w:r>
          </w:p>
        </w:tc>
        <w:tc>
          <w:tcPr>
            <w:tcW w:w="1016" w:type="dxa"/>
            <w:tcBorders>
              <w:top w:val="single" w:sz="4" w:space="0" w:color="auto"/>
              <w:left w:val="single" w:sz="4" w:space="0" w:color="auto"/>
              <w:bottom w:val="single" w:sz="4" w:space="0" w:color="auto"/>
              <w:right w:val="single" w:sz="4" w:space="0" w:color="auto"/>
            </w:tcBorders>
            <w:vAlign w:val="center"/>
          </w:tcPr>
          <w:p w:rsidR="00A0457F" w:rsidRPr="00187565" w:rsidRDefault="00A0457F" w:rsidP="00187565">
            <w:pPr>
              <w:keepNext/>
              <w:spacing w:line="276" w:lineRule="auto"/>
              <w:jc w:val="center"/>
              <w:rPr>
                <w:rFonts w:eastAsia="Times New Roman"/>
                <w:color w:val="000000"/>
                <w:sz w:val="24"/>
                <w:szCs w:val="24"/>
                <w:lang w:eastAsia="ru-RU"/>
              </w:rPr>
            </w:pPr>
            <w:r w:rsidRPr="00187565">
              <w:rPr>
                <w:rFonts w:eastAsia="Times New Roman"/>
                <w:color w:val="000000"/>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A0457F" w:rsidRPr="00187565" w:rsidRDefault="00A0457F" w:rsidP="00187565">
            <w:pPr>
              <w:keepNext/>
              <w:spacing w:line="276" w:lineRule="auto"/>
              <w:jc w:val="center"/>
              <w:rPr>
                <w:rFonts w:eastAsia="Times New Roman"/>
                <w:color w:val="000000"/>
                <w:sz w:val="24"/>
                <w:szCs w:val="24"/>
                <w:lang w:eastAsia="ru-RU"/>
              </w:rPr>
            </w:pPr>
            <w:r w:rsidRPr="00187565">
              <w:rPr>
                <w:rFonts w:eastAsia="Times New Roman"/>
                <w:color w:val="000000"/>
                <w:sz w:val="24"/>
                <w:szCs w:val="24"/>
                <w:lang w:eastAsia="ru-RU"/>
              </w:rPr>
              <w:t>3,48</w:t>
            </w:r>
          </w:p>
        </w:tc>
        <w:tc>
          <w:tcPr>
            <w:tcW w:w="969" w:type="dxa"/>
            <w:tcBorders>
              <w:top w:val="single" w:sz="4" w:space="0" w:color="auto"/>
              <w:left w:val="single" w:sz="4" w:space="0" w:color="auto"/>
              <w:bottom w:val="single" w:sz="4" w:space="0" w:color="auto"/>
              <w:right w:val="single" w:sz="4" w:space="0" w:color="auto"/>
            </w:tcBorders>
            <w:vAlign w:val="center"/>
          </w:tcPr>
          <w:p w:rsidR="00A0457F" w:rsidRPr="00187565" w:rsidRDefault="00A0457F" w:rsidP="00187565">
            <w:pPr>
              <w:keepNext/>
              <w:spacing w:line="276" w:lineRule="auto"/>
              <w:jc w:val="center"/>
              <w:rPr>
                <w:rFonts w:eastAsia="Times New Roman"/>
                <w:color w:val="000000"/>
                <w:sz w:val="24"/>
                <w:szCs w:val="24"/>
                <w:lang w:eastAsia="ru-RU"/>
              </w:rPr>
            </w:pPr>
            <w:r w:rsidRPr="00187565">
              <w:rPr>
                <w:rFonts w:eastAsia="Times New Roman"/>
                <w:color w:val="000000"/>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A0457F" w:rsidRPr="00187565" w:rsidRDefault="00A0457F" w:rsidP="00187565">
            <w:pPr>
              <w:keepNext/>
              <w:spacing w:line="276" w:lineRule="auto"/>
              <w:jc w:val="center"/>
              <w:rPr>
                <w:rFonts w:eastAsia="Times New Roman"/>
                <w:color w:val="000000"/>
                <w:sz w:val="24"/>
                <w:szCs w:val="24"/>
                <w:lang w:eastAsia="ru-RU"/>
              </w:rPr>
            </w:pPr>
            <w:r w:rsidRPr="00187565">
              <w:rPr>
                <w:rFonts w:eastAsia="Times New Roman"/>
                <w:color w:val="000000"/>
                <w:sz w:val="24"/>
                <w:szCs w:val="24"/>
                <w:lang w:eastAsia="ru-RU"/>
              </w:rPr>
              <w:t>0,50</w:t>
            </w:r>
          </w:p>
        </w:tc>
        <w:tc>
          <w:tcPr>
            <w:tcW w:w="969" w:type="dxa"/>
            <w:tcBorders>
              <w:top w:val="single" w:sz="4" w:space="0" w:color="auto"/>
              <w:left w:val="single" w:sz="4" w:space="0" w:color="auto"/>
              <w:bottom w:val="single" w:sz="4" w:space="0" w:color="auto"/>
              <w:right w:val="single" w:sz="4" w:space="0" w:color="auto"/>
            </w:tcBorders>
            <w:vAlign w:val="center"/>
          </w:tcPr>
          <w:p w:rsidR="00A0457F" w:rsidRPr="00187565" w:rsidRDefault="00A0457F" w:rsidP="00187565">
            <w:pPr>
              <w:keepNext/>
              <w:spacing w:line="276" w:lineRule="auto"/>
              <w:jc w:val="center"/>
              <w:rPr>
                <w:rFonts w:eastAsia="Times New Roman"/>
                <w:color w:val="000000"/>
                <w:sz w:val="24"/>
                <w:szCs w:val="24"/>
                <w:lang w:eastAsia="ru-RU"/>
              </w:rPr>
            </w:pPr>
            <w:r w:rsidRPr="00187565">
              <w:rPr>
                <w:rFonts w:eastAsia="Times New Roman"/>
                <w:color w:val="000000"/>
                <w:sz w:val="24"/>
                <w:szCs w:val="24"/>
                <w:lang w:eastAsia="ru-RU"/>
              </w:rPr>
              <w:t>**</w:t>
            </w:r>
          </w:p>
        </w:tc>
      </w:tr>
      <w:tr w:rsidR="00A0457F" w:rsidRPr="00187565" w:rsidTr="00A0457F">
        <w:trPr>
          <w:trHeight w:val="384"/>
          <w:jc w:val="center"/>
        </w:trPr>
        <w:tc>
          <w:tcPr>
            <w:tcW w:w="4536" w:type="dxa"/>
            <w:tcBorders>
              <w:top w:val="single" w:sz="4" w:space="0" w:color="auto"/>
              <w:left w:val="single" w:sz="4" w:space="0" w:color="auto"/>
              <w:bottom w:val="single" w:sz="4" w:space="0" w:color="auto"/>
              <w:right w:val="single" w:sz="4" w:space="0" w:color="auto"/>
            </w:tcBorders>
          </w:tcPr>
          <w:p w:rsidR="00A0457F" w:rsidRPr="00187565" w:rsidRDefault="00A0457F" w:rsidP="00187565">
            <w:pPr>
              <w:keepNext/>
              <w:spacing w:line="276" w:lineRule="auto"/>
              <w:rPr>
                <w:rFonts w:eastAsia="Times New Roman"/>
                <w:color w:val="000000"/>
                <w:sz w:val="24"/>
                <w:szCs w:val="24"/>
                <w:lang w:eastAsia="uk-UA"/>
              </w:rPr>
            </w:pPr>
            <w:r w:rsidRPr="00187565">
              <w:rPr>
                <w:rFonts w:eastAsia="Times New Roman"/>
                <w:color w:val="000000"/>
                <w:sz w:val="24"/>
                <w:szCs w:val="24"/>
                <w:lang w:eastAsia="uk-UA"/>
              </w:rPr>
              <w:t>Індекс концентрації новонароджених масою тіла при народженні 500-1499г у ЗПД ІІІ рівня</w:t>
            </w:r>
          </w:p>
        </w:tc>
        <w:tc>
          <w:tcPr>
            <w:tcW w:w="968" w:type="dxa"/>
            <w:tcBorders>
              <w:top w:val="single" w:sz="4" w:space="0" w:color="auto"/>
              <w:left w:val="single" w:sz="4" w:space="0" w:color="auto"/>
              <w:bottom w:val="single" w:sz="4" w:space="0" w:color="auto"/>
              <w:right w:val="single" w:sz="4" w:space="0" w:color="auto"/>
            </w:tcBorders>
            <w:vAlign w:val="center"/>
          </w:tcPr>
          <w:p w:rsidR="00A0457F" w:rsidRPr="00187565" w:rsidRDefault="00A0457F" w:rsidP="00187565">
            <w:pPr>
              <w:keepNext/>
              <w:spacing w:line="276" w:lineRule="auto"/>
              <w:jc w:val="center"/>
              <w:rPr>
                <w:rFonts w:eastAsia="Times New Roman"/>
                <w:color w:val="000000"/>
                <w:sz w:val="24"/>
                <w:szCs w:val="24"/>
                <w:lang w:eastAsia="ru-RU"/>
              </w:rPr>
            </w:pPr>
            <w:r w:rsidRPr="00187565">
              <w:rPr>
                <w:rFonts w:eastAsia="Times New Roman"/>
                <w:color w:val="000000"/>
                <w:sz w:val="24"/>
                <w:szCs w:val="24"/>
                <w:lang w:eastAsia="ru-RU"/>
              </w:rPr>
              <w:t>51,72</w:t>
            </w:r>
          </w:p>
        </w:tc>
        <w:tc>
          <w:tcPr>
            <w:tcW w:w="1016" w:type="dxa"/>
            <w:tcBorders>
              <w:top w:val="single" w:sz="4" w:space="0" w:color="auto"/>
              <w:left w:val="single" w:sz="4" w:space="0" w:color="auto"/>
              <w:bottom w:val="single" w:sz="4" w:space="0" w:color="auto"/>
              <w:right w:val="single" w:sz="4" w:space="0" w:color="auto"/>
            </w:tcBorders>
            <w:vAlign w:val="center"/>
          </w:tcPr>
          <w:p w:rsidR="00A0457F" w:rsidRPr="00187565" w:rsidRDefault="00A0457F" w:rsidP="00187565">
            <w:pPr>
              <w:keepNext/>
              <w:spacing w:line="276" w:lineRule="auto"/>
              <w:jc w:val="center"/>
              <w:rPr>
                <w:rFonts w:eastAsia="Times New Roman"/>
                <w:color w:val="000000"/>
                <w:sz w:val="24"/>
                <w:szCs w:val="24"/>
                <w:lang w:eastAsia="ru-RU"/>
              </w:rPr>
            </w:pPr>
            <w:r w:rsidRPr="00187565">
              <w:rPr>
                <w:rFonts w:eastAsia="Times New Roman"/>
                <w:color w:val="000000"/>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A0457F" w:rsidRPr="00187565" w:rsidRDefault="00A0457F" w:rsidP="00187565">
            <w:pPr>
              <w:keepNext/>
              <w:spacing w:line="276" w:lineRule="auto"/>
              <w:jc w:val="center"/>
              <w:rPr>
                <w:rFonts w:eastAsia="Times New Roman"/>
                <w:color w:val="000000"/>
                <w:sz w:val="24"/>
                <w:szCs w:val="24"/>
                <w:lang w:eastAsia="ru-RU"/>
              </w:rPr>
            </w:pPr>
            <w:r w:rsidRPr="00187565">
              <w:rPr>
                <w:rFonts w:eastAsia="Times New Roman"/>
                <w:color w:val="000000"/>
                <w:sz w:val="24"/>
                <w:szCs w:val="24"/>
                <w:lang w:eastAsia="ru-RU"/>
              </w:rPr>
              <w:t>3,88</w:t>
            </w:r>
          </w:p>
        </w:tc>
        <w:tc>
          <w:tcPr>
            <w:tcW w:w="969" w:type="dxa"/>
            <w:tcBorders>
              <w:top w:val="single" w:sz="4" w:space="0" w:color="auto"/>
              <w:left w:val="single" w:sz="4" w:space="0" w:color="auto"/>
              <w:bottom w:val="single" w:sz="4" w:space="0" w:color="auto"/>
              <w:right w:val="single" w:sz="4" w:space="0" w:color="auto"/>
            </w:tcBorders>
            <w:vAlign w:val="center"/>
          </w:tcPr>
          <w:p w:rsidR="00A0457F" w:rsidRPr="00187565" w:rsidRDefault="00A0457F" w:rsidP="00187565">
            <w:pPr>
              <w:keepNext/>
              <w:spacing w:line="276" w:lineRule="auto"/>
              <w:jc w:val="center"/>
              <w:rPr>
                <w:rFonts w:eastAsia="Times New Roman"/>
                <w:color w:val="000000"/>
                <w:sz w:val="24"/>
                <w:szCs w:val="24"/>
                <w:lang w:eastAsia="ru-RU"/>
              </w:rPr>
            </w:pPr>
            <w:r w:rsidRPr="00187565">
              <w:rPr>
                <w:rFonts w:eastAsia="Times New Roman"/>
                <w:color w:val="000000"/>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A0457F" w:rsidRPr="00187565" w:rsidRDefault="00A0457F" w:rsidP="00187565">
            <w:pPr>
              <w:keepNext/>
              <w:spacing w:line="276" w:lineRule="auto"/>
              <w:jc w:val="center"/>
              <w:rPr>
                <w:rFonts w:eastAsia="Times New Roman"/>
                <w:color w:val="000000"/>
                <w:sz w:val="24"/>
                <w:szCs w:val="24"/>
                <w:lang w:eastAsia="ru-RU"/>
              </w:rPr>
            </w:pPr>
            <w:r w:rsidRPr="00187565">
              <w:rPr>
                <w:rFonts w:eastAsia="Times New Roman"/>
                <w:color w:val="000000"/>
                <w:sz w:val="24"/>
                <w:szCs w:val="24"/>
                <w:lang w:eastAsia="ru-RU"/>
              </w:rPr>
              <w:t>0,65</w:t>
            </w:r>
          </w:p>
        </w:tc>
        <w:tc>
          <w:tcPr>
            <w:tcW w:w="969" w:type="dxa"/>
            <w:tcBorders>
              <w:top w:val="single" w:sz="4" w:space="0" w:color="auto"/>
              <w:left w:val="single" w:sz="4" w:space="0" w:color="auto"/>
              <w:bottom w:val="single" w:sz="4" w:space="0" w:color="auto"/>
              <w:right w:val="single" w:sz="4" w:space="0" w:color="auto"/>
            </w:tcBorders>
            <w:vAlign w:val="center"/>
          </w:tcPr>
          <w:p w:rsidR="00A0457F" w:rsidRPr="00187565" w:rsidRDefault="00A0457F" w:rsidP="00187565">
            <w:pPr>
              <w:keepNext/>
              <w:spacing w:line="276" w:lineRule="auto"/>
              <w:jc w:val="center"/>
              <w:rPr>
                <w:rFonts w:eastAsia="Times New Roman"/>
                <w:color w:val="000000"/>
                <w:sz w:val="24"/>
                <w:szCs w:val="24"/>
                <w:lang w:eastAsia="ru-RU"/>
              </w:rPr>
            </w:pPr>
            <w:r w:rsidRPr="00187565">
              <w:rPr>
                <w:rFonts w:eastAsia="Times New Roman"/>
                <w:color w:val="000000"/>
                <w:sz w:val="24"/>
                <w:szCs w:val="24"/>
                <w:lang w:eastAsia="ru-RU"/>
              </w:rPr>
              <w:t>**</w:t>
            </w:r>
          </w:p>
        </w:tc>
      </w:tr>
      <w:tr w:rsidR="00A0457F" w:rsidRPr="00187565" w:rsidTr="00A0457F">
        <w:trPr>
          <w:trHeight w:val="202"/>
          <w:jc w:val="center"/>
        </w:trPr>
        <w:tc>
          <w:tcPr>
            <w:tcW w:w="4536" w:type="dxa"/>
            <w:tcBorders>
              <w:top w:val="single" w:sz="4" w:space="0" w:color="auto"/>
              <w:left w:val="single" w:sz="4" w:space="0" w:color="auto"/>
              <w:bottom w:val="single" w:sz="4" w:space="0" w:color="auto"/>
              <w:right w:val="single" w:sz="4" w:space="0" w:color="auto"/>
            </w:tcBorders>
            <w:vAlign w:val="bottom"/>
          </w:tcPr>
          <w:p w:rsidR="00A0457F" w:rsidRPr="00187565" w:rsidRDefault="00A0457F" w:rsidP="00187565">
            <w:pPr>
              <w:keepNext/>
              <w:spacing w:line="276" w:lineRule="auto"/>
              <w:jc w:val="left"/>
              <w:rPr>
                <w:rFonts w:eastAsia="Times New Roman"/>
                <w:sz w:val="24"/>
                <w:szCs w:val="24"/>
                <w:lang w:eastAsia="ru-RU"/>
              </w:rPr>
            </w:pPr>
            <w:r w:rsidRPr="00187565">
              <w:rPr>
                <w:rFonts w:eastAsia="Times New Roman"/>
                <w:sz w:val="24"/>
                <w:szCs w:val="24"/>
                <w:lang w:eastAsia="ru-RU"/>
              </w:rPr>
              <w:t>Індекс неонатального трансферу</w:t>
            </w:r>
          </w:p>
        </w:tc>
        <w:tc>
          <w:tcPr>
            <w:tcW w:w="968" w:type="dxa"/>
            <w:tcBorders>
              <w:top w:val="single" w:sz="4" w:space="0" w:color="auto"/>
              <w:left w:val="single" w:sz="4" w:space="0" w:color="auto"/>
              <w:bottom w:val="single" w:sz="4" w:space="0" w:color="auto"/>
              <w:right w:val="single" w:sz="4" w:space="0" w:color="auto"/>
            </w:tcBorders>
            <w:vAlign w:val="center"/>
          </w:tcPr>
          <w:p w:rsidR="00A0457F" w:rsidRPr="00187565" w:rsidRDefault="00A0457F" w:rsidP="00187565">
            <w:pPr>
              <w:keepNext/>
              <w:spacing w:line="276" w:lineRule="auto"/>
              <w:jc w:val="center"/>
              <w:rPr>
                <w:rFonts w:eastAsia="Times New Roman"/>
                <w:sz w:val="24"/>
                <w:szCs w:val="24"/>
                <w:lang w:eastAsia="ru-RU"/>
              </w:rPr>
            </w:pPr>
            <w:r w:rsidRPr="00187565">
              <w:rPr>
                <w:rFonts w:eastAsia="Times New Roman"/>
                <w:sz w:val="24"/>
                <w:szCs w:val="24"/>
                <w:lang w:eastAsia="ru-RU"/>
              </w:rPr>
              <w:t>5,08</w:t>
            </w:r>
          </w:p>
        </w:tc>
        <w:tc>
          <w:tcPr>
            <w:tcW w:w="1016" w:type="dxa"/>
            <w:tcBorders>
              <w:top w:val="single" w:sz="4" w:space="0" w:color="auto"/>
              <w:left w:val="single" w:sz="4" w:space="0" w:color="auto"/>
              <w:bottom w:val="single" w:sz="4" w:space="0" w:color="auto"/>
              <w:right w:val="single" w:sz="4" w:space="0" w:color="auto"/>
            </w:tcBorders>
            <w:vAlign w:val="center"/>
          </w:tcPr>
          <w:p w:rsidR="00A0457F" w:rsidRPr="00187565" w:rsidRDefault="00A0457F" w:rsidP="00187565">
            <w:pPr>
              <w:keepNext/>
              <w:spacing w:line="276" w:lineRule="auto"/>
              <w:jc w:val="center"/>
              <w:rPr>
                <w:rFonts w:eastAsia="Times New Roman"/>
                <w:color w:val="000000"/>
                <w:sz w:val="24"/>
                <w:szCs w:val="24"/>
                <w:lang w:eastAsia="ru-RU"/>
              </w:rPr>
            </w:pPr>
            <w:r w:rsidRPr="00187565">
              <w:rPr>
                <w:rFonts w:eastAsia="Times New Roman"/>
                <w:color w:val="000000"/>
                <w:sz w:val="24"/>
                <w:szCs w:val="24"/>
                <w:lang w:eastAsia="ru-RU"/>
              </w:rPr>
              <w:t>5,57</w:t>
            </w:r>
          </w:p>
        </w:tc>
        <w:tc>
          <w:tcPr>
            <w:tcW w:w="968" w:type="dxa"/>
            <w:tcBorders>
              <w:top w:val="single" w:sz="4" w:space="0" w:color="auto"/>
              <w:left w:val="single" w:sz="4" w:space="0" w:color="auto"/>
              <w:bottom w:val="single" w:sz="4" w:space="0" w:color="auto"/>
              <w:right w:val="single" w:sz="4" w:space="0" w:color="auto"/>
            </w:tcBorders>
            <w:vAlign w:val="center"/>
          </w:tcPr>
          <w:p w:rsidR="00A0457F" w:rsidRPr="00187565" w:rsidRDefault="00A0457F" w:rsidP="00187565">
            <w:pPr>
              <w:keepNext/>
              <w:spacing w:line="276" w:lineRule="auto"/>
              <w:jc w:val="center"/>
              <w:rPr>
                <w:rFonts w:eastAsia="Times New Roman"/>
                <w:sz w:val="24"/>
                <w:szCs w:val="24"/>
                <w:lang w:eastAsia="ru-RU"/>
              </w:rPr>
            </w:pPr>
            <w:r w:rsidRPr="00187565">
              <w:rPr>
                <w:rFonts w:eastAsia="Times New Roman"/>
                <w:sz w:val="24"/>
                <w:szCs w:val="24"/>
                <w:lang w:eastAsia="ru-RU"/>
              </w:rPr>
              <w:t>5,11</w:t>
            </w:r>
          </w:p>
        </w:tc>
        <w:tc>
          <w:tcPr>
            <w:tcW w:w="969" w:type="dxa"/>
            <w:tcBorders>
              <w:top w:val="single" w:sz="4" w:space="0" w:color="auto"/>
              <w:left w:val="single" w:sz="4" w:space="0" w:color="auto"/>
              <w:bottom w:val="single" w:sz="4" w:space="0" w:color="auto"/>
              <w:right w:val="single" w:sz="4" w:space="0" w:color="auto"/>
            </w:tcBorders>
            <w:vAlign w:val="center"/>
          </w:tcPr>
          <w:p w:rsidR="00A0457F" w:rsidRPr="00187565" w:rsidRDefault="00A0457F" w:rsidP="00187565">
            <w:pPr>
              <w:keepNext/>
              <w:spacing w:line="276" w:lineRule="auto"/>
              <w:jc w:val="center"/>
              <w:rPr>
                <w:rFonts w:eastAsia="Times New Roman"/>
                <w:color w:val="000000"/>
                <w:sz w:val="24"/>
                <w:szCs w:val="24"/>
                <w:lang w:eastAsia="ru-RU"/>
              </w:rPr>
            </w:pPr>
            <w:r w:rsidRPr="00187565">
              <w:rPr>
                <w:rFonts w:eastAsia="Times New Roman"/>
                <w:color w:val="000000"/>
                <w:sz w:val="24"/>
                <w:szCs w:val="24"/>
                <w:lang w:eastAsia="ru-RU"/>
              </w:rPr>
              <w:t>6,20</w:t>
            </w:r>
          </w:p>
        </w:tc>
        <w:tc>
          <w:tcPr>
            <w:tcW w:w="968" w:type="dxa"/>
            <w:tcBorders>
              <w:top w:val="single" w:sz="4" w:space="0" w:color="auto"/>
              <w:left w:val="single" w:sz="4" w:space="0" w:color="auto"/>
              <w:bottom w:val="single" w:sz="4" w:space="0" w:color="auto"/>
              <w:right w:val="single" w:sz="4" w:space="0" w:color="auto"/>
            </w:tcBorders>
            <w:vAlign w:val="center"/>
          </w:tcPr>
          <w:p w:rsidR="00A0457F" w:rsidRPr="00187565" w:rsidRDefault="00A0457F" w:rsidP="00187565">
            <w:pPr>
              <w:keepNext/>
              <w:spacing w:line="276" w:lineRule="auto"/>
              <w:jc w:val="center"/>
              <w:rPr>
                <w:rFonts w:eastAsia="Times New Roman"/>
                <w:sz w:val="24"/>
                <w:szCs w:val="24"/>
                <w:lang w:eastAsia="ru-RU"/>
              </w:rPr>
            </w:pPr>
            <w:r w:rsidRPr="00187565">
              <w:rPr>
                <w:rFonts w:eastAsia="Times New Roman"/>
                <w:sz w:val="24"/>
                <w:szCs w:val="24"/>
                <w:lang w:eastAsia="ru-RU"/>
              </w:rPr>
              <w:t>0,73</w:t>
            </w:r>
          </w:p>
        </w:tc>
        <w:tc>
          <w:tcPr>
            <w:tcW w:w="969" w:type="dxa"/>
            <w:tcBorders>
              <w:top w:val="single" w:sz="4" w:space="0" w:color="auto"/>
              <w:left w:val="single" w:sz="4" w:space="0" w:color="auto"/>
              <w:bottom w:val="single" w:sz="4" w:space="0" w:color="auto"/>
              <w:right w:val="single" w:sz="4" w:space="0" w:color="auto"/>
            </w:tcBorders>
            <w:vAlign w:val="center"/>
          </w:tcPr>
          <w:p w:rsidR="00A0457F" w:rsidRPr="00187565" w:rsidRDefault="00A0457F" w:rsidP="00187565">
            <w:pPr>
              <w:keepNext/>
              <w:spacing w:line="276" w:lineRule="auto"/>
              <w:jc w:val="center"/>
              <w:rPr>
                <w:rFonts w:eastAsia="Times New Roman"/>
                <w:color w:val="000000"/>
                <w:sz w:val="24"/>
                <w:szCs w:val="24"/>
                <w:lang w:eastAsia="ru-RU"/>
              </w:rPr>
            </w:pPr>
            <w:r w:rsidRPr="00187565">
              <w:rPr>
                <w:rFonts w:eastAsia="Times New Roman"/>
                <w:color w:val="000000"/>
                <w:sz w:val="24"/>
                <w:szCs w:val="24"/>
                <w:lang w:eastAsia="ru-RU"/>
              </w:rPr>
              <w:t>0,89</w:t>
            </w:r>
          </w:p>
        </w:tc>
      </w:tr>
      <w:tr w:rsidR="00A0457F" w:rsidRPr="00187565" w:rsidTr="00A0457F">
        <w:trPr>
          <w:trHeight w:val="220"/>
          <w:jc w:val="center"/>
        </w:trPr>
        <w:tc>
          <w:tcPr>
            <w:tcW w:w="4536" w:type="dxa"/>
            <w:tcBorders>
              <w:top w:val="single" w:sz="4" w:space="0" w:color="auto"/>
              <w:left w:val="single" w:sz="4" w:space="0" w:color="auto"/>
              <w:bottom w:val="single" w:sz="4" w:space="0" w:color="auto"/>
              <w:right w:val="single" w:sz="4" w:space="0" w:color="auto"/>
            </w:tcBorders>
            <w:vAlign w:val="center"/>
          </w:tcPr>
          <w:p w:rsidR="00A0457F" w:rsidRPr="00187565" w:rsidRDefault="00A0457F" w:rsidP="00187565">
            <w:pPr>
              <w:keepNext/>
              <w:spacing w:line="276" w:lineRule="auto"/>
              <w:jc w:val="left"/>
              <w:rPr>
                <w:rFonts w:eastAsia="Times New Roman"/>
                <w:sz w:val="24"/>
                <w:szCs w:val="24"/>
                <w:lang w:eastAsia="ru-RU"/>
              </w:rPr>
            </w:pPr>
            <w:r w:rsidRPr="00187565">
              <w:rPr>
                <w:rFonts w:eastAsia="Times New Roman"/>
                <w:sz w:val="24"/>
                <w:szCs w:val="24"/>
                <w:lang w:eastAsia="ru-RU"/>
              </w:rPr>
              <w:t>Частота нормальних пологів</w:t>
            </w:r>
          </w:p>
        </w:tc>
        <w:tc>
          <w:tcPr>
            <w:tcW w:w="968" w:type="dxa"/>
            <w:tcBorders>
              <w:top w:val="single" w:sz="4" w:space="0" w:color="auto"/>
              <w:left w:val="single" w:sz="4" w:space="0" w:color="auto"/>
              <w:bottom w:val="single" w:sz="4" w:space="0" w:color="auto"/>
              <w:right w:val="single" w:sz="4" w:space="0" w:color="auto"/>
            </w:tcBorders>
            <w:vAlign w:val="center"/>
          </w:tcPr>
          <w:p w:rsidR="00A0457F" w:rsidRPr="00187565" w:rsidRDefault="00A0457F" w:rsidP="00187565">
            <w:pPr>
              <w:keepNext/>
              <w:spacing w:line="276" w:lineRule="auto"/>
              <w:jc w:val="center"/>
              <w:rPr>
                <w:rFonts w:eastAsia="Times New Roman"/>
                <w:sz w:val="24"/>
                <w:szCs w:val="24"/>
                <w:lang w:eastAsia="ru-RU"/>
              </w:rPr>
            </w:pPr>
            <w:r w:rsidRPr="00187565">
              <w:rPr>
                <w:rFonts w:eastAsia="Times New Roman"/>
                <w:sz w:val="24"/>
                <w:szCs w:val="24"/>
                <w:lang w:eastAsia="ru-RU"/>
              </w:rPr>
              <w:t>64,0</w:t>
            </w:r>
          </w:p>
        </w:tc>
        <w:tc>
          <w:tcPr>
            <w:tcW w:w="1016" w:type="dxa"/>
            <w:tcBorders>
              <w:top w:val="single" w:sz="4" w:space="0" w:color="auto"/>
              <w:left w:val="single" w:sz="4" w:space="0" w:color="auto"/>
              <w:bottom w:val="single" w:sz="4" w:space="0" w:color="auto"/>
              <w:right w:val="single" w:sz="4" w:space="0" w:color="auto"/>
            </w:tcBorders>
            <w:vAlign w:val="center"/>
          </w:tcPr>
          <w:p w:rsidR="00A0457F" w:rsidRPr="00187565" w:rsidRDefault="00A0457F" w:rsidP="00187565">
            <w:pPr>
              <w:keepNext/>
              <w:spacing w:line="276" w:lineRule="auto"/>
              <w:jc w:val="center"/>
              <w:rPr>
                <w:rFonts w:eastAsia="Times New Roman"/>
                <w:color w:val="000000"/>
                <w:sz w:val="24"/>
                <w:szCs w:val="24"/>
                <w:lang w:eastAsia="ru-RU"/>
              </w:rPr>
            </w:pPr>
            <w:r w:rsidRPr="00187565">
              <w:rPr>
                <w:rFonts w:eastAsia="Times New Roman"/>
                <w:color w:val="000000"/>
                <w:sz w:val="24"/>
                <w:szCs w:val="24"/>
                <w:lang w:eastAsia="ru-RU"/>
              </w:rPr>
              <w:t>62,92</w:t>
            </w:r>
          </w:p>
        </w:tc>
        <w:tc>
          <w:tcPr>
            <w:tcW w:w="968" w:type="dxa"/>
            <w:tcBorders>
              <w:top w:val="single" w:sz="4" w:space="0" w:color="auto"/>
              <w:left w:val="single" w:sz="4" w:space="0" w:color="auto"/>
              <w:bottom w:val="single" w:sz="4" w:space="0" w:color="auto"/>
              <w:right w:val="single" w:sz="4" w:space="0" w:color="auto"/>
            </w:tcBorders>
            <w:vAlign w:val="center"/>
          </w:tcPr>
          <w:p w:rsidR="00A0457F" w:rsidRPr="00187565" w:rsidRDefault="00A0457F" w:rsidP="00187565">
            <w:pPr>
              <w:keepNext/>
              <w:spacing w:line="276" w:lineRule="auto"/>
              <w:jc w:val="center"/>
              <w:rPr>
                <w:rFonts w:eastAsia="Times New Roman"/>
                <w:sz w:val="24"/>
                <w:szCs w:val="24"/>
                <w:lang w:eastAsia="ru-RU"/>
              </w:rPr>
            </w:pPr>
            <w:r w:rsidRPr="00187565">
              <w:rPr>
                <w:rFonts w:eastAsia="Times New Roman"/>
                <w:sz w:val="24"/>
                <w:szCs w:val="24"/>
                <w:lang w:eastAsia="ru-RU"/>
              </w:rPr>
              <w:t>4,57</w:t>
            </w:r>
          </w:p>
        </w:tc>
        <w:tc>
          <w:tcPr>
            <w:tcW w:w="969" w:type="dxa"/>
            <w:tcBorders>
              <w:top w:val="single" w:sz="4" w:space="0" w:color="auto"/>
              <w:left w:val="single" w:sz="4" w:space="0" w:color="auto"/>
              <w:bottom w:val="single" w:sz="4" w:space="0" w:color="auto"/>
              <w:right w:val="single" w:sz="4" w:space="0" w:color="auto"/>
            </w:tcBorders>
            <w:vAlign w:val="center"/>
          </w:tcPr>
          <w:p w:rsidR="00A0457F" w:rsidRPr="00187565" w:rsidRDefault="00A0457F" w:rsidP="00187565">
            <w:pPr>
              <w:keepNext/>
              <w:spacing w:line="276" w:lineRule="auto"/>
              <w:jc w:val="center"/>
              <w:rPr>
                <w:rFonts w:eastAsia="Times New Roman"/>
                <w:color w:val="000000"/>
                <w:sz w:val="24"/>
                <w:szCs w:val="24"/>
                <w:lang w:eastAsia="ru-RU"/>
              </w:rPr>
            </w:pPr>
            <w:r w:rsidRPr="00187565">
              <w:rPr>
                <w:rFonts w:eastAsia="Times New Roman"/>
                <w:color w:val="000000"/>
                <w:sz w:val="24"/>
                <w:szCs w:val="24"/>
                <w:lang w:eastAsia="ru-RU"/>
              </w:rPr>
              <w:t>4,71</w:t>
            </w:r>
          </w:p>
        </w:tc>
        <w:tc>
          <w:tcPr>
            <w:tcW w:w="968" w:type="dxa"/>
            <w:tcBorders>
              <w:top w:val="single" w:sz="4" w:space="0" w:color="auto"/>
              <w:left w:val="single" w:sz="4" w:space="0" w:color="auto"/>
              <w:bottom w:val="single" w:sz="4" w:space="0" w:color="auto"/>
              <w:right w:val="single" w:sz="4" w:space="0" w:color="auto"/>
            </w:tcBorders>
            <w:vAlign w:val="center"/>
          </w:tcPr>
          <w:p w:rsidR="00A0457F" w:rsidRPr="00187565" w:rsidRDefault="00A0457F" w:rsidP="00187565">
            <w:pPr>
              <w:keepNext/>
              <w:spacing w:line="276" w:lineRule="auto"/>
              <w:jc w:val="center"/>
              <w:rPr>
                <w:rFonts w:eastAsia="Times New Roman"/>
                <w:sz w:val="24"/>
                <w:szCs w:val="24"/>
                <w:lang w:eastAsia="ru-RU"/>
              </w:rPr>
            </w:pPr>
            <w:r w:rsidRPr="00187565">
              <w:rPr>
                <w:rFonts w:eastAsia="Times New Roman"/>
                <w:sz w:val="24"/>
                <w:szCs w:val="24"/>
                <w:lang w:eastAsia="ru-RU"/>
              </w:rPr>
              <w:t>0,91</w:t>
            </w:r>
          </w:p>
        </w:tc>
        <w:tc>
          <w:tcPr>
            <w:tcW w:w="969" w:type="dxa"/>
            <w:tcBorders>
              <w:top w:val="single" w:sz="4" w:space="0" w:color="auto"/>
              <w:left w:val="single" w:sz="4" w:space="0" w:color="auto"/>
              <w:bottom w:val="single" w:sz="4" w:space="0" w:color="auto"/>
              <w:right w:val="single" w:sz="4" w:space="0" w:color="auto"/>
            </w:tcBorders>
            <w:vAlign w:val="center"/>
          </w:tcPr>
          <w:p w:rsidR="00A0457F" w:rsidRPr="00187565" w:rsidRDefault="00A0457F" w:rsidP="00187565">
            <w:pPr>
              <w:keepNext/>
              <w:spacing w:line="276" w:lineRule="auto"/>
              <w:jc w:val="center"/>
              <w:rPr>
                <w:rFonts w:eastAsia="Times New Roman"/>
                <w:color w:val="000000"/>
                <w:sz w:val="24"/>
                <w:szCs w:val="24"/>
                <w:lang w:eastAsia="ru-RU"/>
              </w:rPr>
            </w:pPr>
            <w:r w:rsidRPr="00187565">
              <w:rPr>
                <w:rFonts w:eastAsia="Times New Roman"/>
                <w:color w:val="000000"/>
                <w:sz w:val="24"/>
                <w:szCs w:val="24"/>
                <w:lang w:eastAsia="ru-RU"/>
              </w:rPr>
              <w:t>0,94</w:t>
            </w:r>
          </w:p>
        </w:tc>
      </w:tr>
    </w:tbl>
    <w:p w:rsidR="004B24A2" w:rsidRPr="004B24A2" w:rsidRDefault="004B24A2" w:rsidP="004B24A2">
      <w:pPr>
        <w:rPr>
          <w:i/>
          <w:sz w:val="20"/>
          <w:szCs w:val="20"/>
        </w:rPr>
      </w:pPr>
      <w:r w:rsidRPr="004B24A2">
        <w:rPr>
          <w:i/>
          <w:sz w:val="20"/>
          <w:szCs w:val="20"/>
        </w:rPr>
        <w:t>Для таблиць : * – показник не оцінювався</w:t>
      </w:r>
      <w:r w:rsidRPr="004B24A2">
        <w:rPr>
          <w:i/>
          <w:sz w:val="20"/>
          <w:szCs w:val="20"/>
          <w:lang w:val="ru-RU"/>
        </w:rPr>
        <w:t xml:space="preserve">  </w:t>
      </w:r>
      <w:r w:rsidRPr="004B24A2">
        <w:rPr>
          <w:i/>
          <w:sz w:val="20"/>
          <w:szCs w:val="20"/>
        </w:rPr>
        <w:t>** – немає даних</w:t>
      </w:r>
    </w:p>
    <w:p w:rsidR="001C5312" w:rsidRPr="004B24A2" w:rsidRDefault="001C5312"/>
    <w:tbl>
      <w:tblPr>
        <w:tblpPr w:leftFromText="180" w:rightFromText="180" w:vertAnchor="text" w:horzAnchor="margin" w:tblpY="1284"/>
        <w:tblW w:w="103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36"/>
        <w:gridCol w:w="968"/>
        <w:gridCol w:w="1016"/>
        <w:gridCol w:w="968"/>
        <w:gridCol w:w="969"/>
        <w:gridCol w:w="968"/>
        <w:gridCol w:w="969"/>
      </w:tblGrid>
      <w:tr w:rsidR="001C5312" w:rsidRPr="00187565" w:rsidTr="001C5312">
        <w:trPr>
          <w:trHeight w:val="553"/>
        </w:trPr>
        <w:tc>
          <w:tcPr>
            <w:tcW w:w="4536" w:type="dxa"/>
            <w:tcBorders>
              <w:top w:val="single" w:sz="4" w:space="0" w:color="auto"/>
              <w:left w:val="single" w:sz="4" w:space="0" w:color="auto"/>
              <w:bottom w:val="single" w:sz="4" w:space="0" w:color="auto"/>
              <w:right w:val="single" w:sz="4" w:space="0" w:color="auto"/>
            </w:tcBorders>
            <w:vAlign w:val="bottom"/>
          </w:tcPr>
          <w:p w:rsidR="001C5312" w:rsidRPr="00187565" w:rsidRDefault="001C5312" w:rsidP="001C5312">
            <w:pPr>
              <w:keepNext/>
              <w:spacing w:line="276" w:lineRule="auto"/>
              <w:jc w:val="left"/>
              <w:rPr>
                <w:rFonts w:eastAsia="Times New Roman"/>
                <w:sz w:val="24"/>
                <w:szCs w:val="24"/>
                <w:lang w:eastAsia="ru-RU"/>
              </w:rPr>
            </w:pPr>
            <w:r w:rsidRPr="00187565">
              <w:rPr>
                <w:rFonts w:eastAsia="Times New Roman"/>
                <w:sz w:val="24"/>
                <w:szCs w:val="24"/>
                <w:lang w:eastAsia="ru-RU"/>
              </w:rPr>
              <w:lastRenderedPageBreak/>
              <w:t>Частота розроджень вагітних шляхом кесаревого розтину</w:t>
            </w:r>
          </w:p>
        </w:tc>
        <w:tc>
          <w:tcPr>
            <w:tcW w:w="968" w:type="dxa"/>
            <w:tcBorders>
              <w:top w:val="single" w:sz="4" w:space="0" w:color="auto"/>
              <w:left w:val="single" w:sz="4" w:space="0" w:color="auto"/>
              <w:bottom w:val="single" w:sz="4" w:space="0" w:color="auto"/>
              <w:right w:val="single" w:sz="4" w:space="0" w:color="auto"/>
            </w:tcBorders>
            <w:vAlign w:val="center"/>
          </w:tcPr>
          <w:p w:rsidR="001C5312" w:rsidRPr="00187565" w:rsidRDefault="001C5312" w:rsidP="001C5312">
            <w:pPr>
              <w:keepNext/>
              <w:spacing w:line="276" w:lineRule="auto"/>
              <w:jc w:val="center"/>
              <w:rPr>
                <w:rFonts w:eastAsia="Times New Roman"/>
                <w:sz w:val="24"/>
                <w:szCs w:val="24"/>
                <w:lang w:eastAsia="ru-RU"/>
              </w:rPr>
            </w:pPr>
            <w:r w:rsidRPr="00187565">
              <w:rPr>
                <w:rFonts w:eastAsia="Times New Roman"/>
                <w:sz w:val="24"/>
                <w:szCs w:val="24"/>
                <w:lang w:eastAsia="ru-RU"/>
              </w:rPr>
              <w:t>226,7</w:t>
            </w:r>
          </w:p>
        </w:tc>
        <w:tc>
          <w:tcPr>
            <w:tcW w:w="1016" w:type="dxa"/>
            <w:tcBorders>
              <w:top w:val="single" w:sz="4" w:space="0" w:color="auto"/>
              <w:left w:val="single" w:sz="4" w:space="0" w:color="auto"/>
              <w:bottom w:val="single" w:sz="4" w:space="0" w:color="auto"/>
              <w:right w:val="single" w:sz="4" w:space="0" w:color="auto"/>
            </w:tcBorders>
            <w:vAlign w:val="center"/>
          </w:tcPr>
          <w:p w:rsidR="001C5312" w:rsidRPr="00187565" w:rsidRDefault="001C5312" w:rsidP="001C5312">
            <w:pPr>
              <w:keepNext/>
              <w:spacing w:line="276" w:lineRule="auto"/>
              <w:jc w:val="center"/>
              <w:rPr>
                <w:rFonts w:eastAsia="Times New Roman"/>
                <w:color w:val="000000"/>
                <w:sz w:val="24"/>
                <w:szCs w:val="24"/>
                <w:lang w:eastAsia="ru-RU"/>
              </w:rPr>
            </w:pPr>
            <w:r w:rsidRPr="00187565">
              <w:rPr>
                <w:rFonts w:eastAsia="Times New Roman"/>
                <w:color w:val="000000"/>
                <w:sz w:val="24"/>
                <w:szCs w:val="24"/>
                <w:lang w:eastAsia="ru-RU"/>
              </w:rPr>
              <w:t>237,56</w:t>
            </w:r>
          </w:p>
        </w:tc>
        <w:tc>
          <w:tcPr>
            <w:tcW w:w="968" w:type="dxa"/>
            <w:tcBorders>
              <w:top w:val="single" w:sz="4" w:space="0" w:color="auto"/>
              <w:left w:val="single" w:sz="4" w:space="0" w:color="auto"/>
              <w:bottom w:val="single" w:sz="4" w:space="0" w:color="auto"/>
              <w:right w:val="single" w:sz="4" w:space="0" w:color="auto"/>
            </w:tcBorders>
            <w:vAlign w:val="center"/>
          </w:tcPr>
          <w:p w:rsidR="001C5312" w:rsidRPr="00187565" w:rsidRDefault="001C5312" w:rsidP="001C5312">
            <w:pPr>
              <w:keepNext/>
              <w:spacing w:line="276" w:lineRule="auto"/>
              <w:jc w:val="center"/>
              <w:rPr>
                <w:rFonts w:eastAsia="Times New Roman"/>
                <w:sz w:val="24"/>
                <w:szCs w:val="24"/>
                <w:lang w:eastAsia="ru-RU"/>
              </w:rPr>
            </w:pPr>
            <w:r w:rsidRPr="00187565">
              <w:rPr>
                <w:rFonts w:eastAsia="Times New Roman"/>
                <w:sz w:val="24"/>
                <w:szCs w:val="24"/>
                <w:lang w:eastAsia="ru-RU"/>
              </w:rPr>
              <w:t>4,08</w:t>
            </w:r>
          </w:p>
        </w:tc>
        <w:tc>
          <w:tcPr>
            <w:tcW w:w="969" w:type="dxa"/>
            <w:tcBorders>
              <w:top w:val="single" w:sz="4" w:space="0" w:color="auto"/>
              <w:left w:val="single" w:sz="4" w:space="0" w:color="auto"/>
              <w:bottom w:val="single" w:sz="4" w:space="0" w:color="auto"/>
              <w:right w:val="single" w:sz="4" w:space="0" w:color="auto"/>
            </w:tcBorders>
            <w:vAlign w:val="center"/>
          </w:tcPr>
          <w:p w:rsidR="001C5312" w:rsidRPr="00187565" w:rsidRDefault="001C5312" w:rsidP="001C5312">
            <w:pPr>
              <w:keepNext/>
              <w:spacing w:line="276" w:lineRule="auto"/>
              <w:jc w:val="center"/>
              <w:rPr>
                <w:rFonts w:eastAsia="Times New Roman"/>
                <w:color w:val="000000"/>
                <w:sz w:val="24"/>
                <w:szCs w:val="24"/>
                <w:lang w:eastAsia="ru-RU"/>
              </w:rPr>
            </w:pPr>
            <w:r w:rsidRPr="00187565">
              <w:rPr>
                <w:rFonts w:eastAsia="Times New Roman"/>
                <w:color w:val="000000"/>
                <w:sz w:val="24"/>
                <w:szCs w:val="24"/>
                <w:lang w:eastAsia="ru-RU"/>
              </w:rPr>
              <w:t>4,70</w:t>
            </w:r>
          </w:p>
        </w:tc>
        <w:tc>
          <w:tcPr>
            <w:tcW w:w="968" w:type="dxa"/>
            <w:tcBorders>
              <w:top w:val="single" w:sz="4" w:space="0" w:color="auto"/>
              <w:left w:val="single" w:sz="4" w:space="0" w:color="auto"/>
              <w:bottom w:val="single" w:sz="4" w:space="0" w:color="auto"/>
              <w:right w:val="single" w:sz="4" w:space="0" w:color="auto"/>
            </w:tcBorders>
            <w:vAlign w:val="center"/>
          </w:tcPr>
          <w:p w:rsidR="001C5312" w:rsidRPr="00187565" w:rsidRDefault="001C5312" w:rsidP="001C5312">
            <w:pPr>
              <w:keepNext/>
              <w:spacing w:line="276" w:lineRule="auto"/>
              <w:jc w:val="center"/>
              <w:rPr>
                <w:rFonts w:eastAsia="Times New Roman"/>
                <w:sz w:val="24"/>
                <w:szCs w:val="24"/>
                <w:lang w:eastAsia="ru-RU"/>
              </w:rPr>
            </w:pPr>
            <w:r w:rsidRPr="00187565">
              <w:rPr>
                <w:rFonts w:eastAsia="Times New Roman"/>
                <w:sz w:val="24"/>
                <w:szCs w:val="24"/>
                <w:lang w:eastAsia="ru-RU"/>
              </w:rPr>
              <w:t>0,58</w:t>
            </w:r>
          </w:p>
        </w:tc>
        <w:tc>
          <w:tcPr>
            <w:tcW w:w="969" w:type="dxa"/>
            <w:tcBorders>
              <w:top w:val="single" w:sz="4" w:space="0" w:color="auto"/>
              <w:left w:val="single" w:sz="4" w:space="0" w:color="auto"/>
              <w:bottom w:val="single" w:sz="4" w:space="0" w:color="auto"/>
              <w:right w:val="single" w:sz="4" w:space="0" w:color="auto"/>
            </w:tcBorders>
            <w:vAlign w:val="center"/>
          </w:tcPr>
          <w:p w:rsidR="001C5312" w:rsidRPr="00187565" w:rsidRDefault="001C5312" w:rsidP="001C5312">
            <w:pPr>
              <w:keepNext/>
              <w:spacing w:line="276" w:lineRule="auto"/>
              <w:jc w:val="center"/>
              <w:rPr>
                <w:rFonts w:eastAsia="Times New Roman"/>
                <w:color w:val="000000"/>
                <w:sz w:val="24"/>
                <w:szCs w:val="24"/>
                <w:lang w:eastAsia="ru-RU"/>
              </w:rPr>
            </w:pPr>
            <w:r w:rsidRPr="00187565">
              <w:rPr>
                <w:rFonts w:eastAsia="Times New Roman"/>
                <w:color w:val="000000"/>
                <w:sz w:val="24"/>
                <w:szCs w:val="24"/>
                <w:lang w:eastAsia="ru-RU"/>
              </w:rPr>
              <w:t>0,67</w:t>
            </w:r>
          </w:p>
        </w:tc>
      </w:tr>
      <w:tr w:rsidR="001C5312" w:rsidRPr="00187565" w:rsidTr="001C5312">
        <w:trPr>
          <w:trHeight w:val="276"/>
        </w:trPr>
        <w:tc>
          <w:tcPr>
            <w:tcW w:w="4536" w:type="dxa"/>
            <w:tcBorders>
              <w:top w:val="single" w:sz="4" w:space="0" w:color="auto"/>
              <w:left w:val="single" w:sz="4" w:space="0" w:color="auto"/>
              <w:bottom w:val="single" w:sz="4" w:space="0" w:color="auto"/>
              <w:right w:val="single" w:sz="4" w:space="0" w:color="auto"/>
            </w:tcBorders>
            <w:vAlign w:val="bottom"/>
          </w:tcPr>
          <w:p w:rsidR="001C5312" w:rsidRPr="00187565" w:rsidRDefault="001C5312" w:rsidP="001C5312">
            <w:pPr>
              <w:keepNext/>
              <w:spacing w:line="276" w:lineRule="auto"/>
              <w:jc w:val="left"/>
              <w:rPr>
                <w:rFonts w:eastAsia="Times New Roman"/>
                <w:sz w:val="24"/>
                <w:szCs w:val="24"/>
                <w:lang w:eastAsia="ru-RU"/>
              </w:rPr>
            </w:pPr>
            <w:r w:rsidRPr="00187565">
              <w:rPr>
                <w:rFonts w:eastAsia="Times New Roman"/>
                <w:sz w:val="24"/>
                <w:szCs w:val="24"/>
                <w:lang w:eastAsia="ru-RU"/>
              </w:rPr>
              <w:t>Частота  кровотеч в послідовому і післяродовому періодах</w:t>
            </w:r>
          </w:p>
        </w:tc>
        <w:tc>
          <w:tcPr>
            <w:tcW w:w="968" w:type="dxa"/>
            <w:tcBorders>
              <w:top w:val="single" w:sz="4" w:space="0" w:color="auto"/>
              <w:left w:val="single" w:sz="4" w:space="0" w:color="auto"/>
              <w:bottom w:val="single" w:sz="4" w:space="0" w:color="auto"/>
              <w:right w:val="single" w:sz="4" w:space="0" w:color="auto"/>
            </w:tcBorders>
            <w:vAlign w:val="center"/>
          </w:tcPr>
          <w:p w:rsidR="001C5312" w:rsidRPr="00187565" w:rsidRDefault="001C5312" w:rsidP="001C5312">
            <w:pPr>
              <w:keepNext/>
              <w:spacing w:line="276" w:lineRule="auto"/>
              <w:jc w:val="center"/>
              <w:rPr>
                <w:rFonts w:eastAsia="Times New Roman"/>
                <w:sz w:val="24"/>
                <w:szCs w:val="24"/>
                <w:lang w:eastAsia="ru-RU"/>
              </w:rPr>
            </w:pPr>
            <w:r w:rsidRPr="00187565">
              <w:rPr>
                <w:rFonts w:eastAsia="Times New Roman"/>
                <w:sz w:val="24"/>
                <w:szCs w:val="24"/>
                <w:lang w:eastAsia="ru-RU"/>
              </w:rPr>
              <w:t>10,1</w:t>
            </w:r>
          </w:p>
        </w:tc>
        <w:tc>
          <w:tcPr>
            <w:tcW w:w="1016" w:type="dxa"/>
            <w:tcBorders>
              <w:top w:val="single" w:sz="4" w:space="0" w:color="auto"/>
              <w:left w:val="single" w:sz="4" w:space="0" w:color="auto"/>
              <w:bottom w:val="single" w:sz="4" w:space="0" w:color="auto"/>
              <w:right w:val="single" w:sz="4" w:space="0" w:color="auto"/>
            </w:tcBorders>
            <w:vAlign w:val="center"/>
          </w:tcPr>
          <w:p w:rsidR="001C5312" w:rsidRPr="00187565" w:rsidRDefault="001C5312" w:rsidP="001C5312">
            <w:pPr>
              <w:keepNext/>
              <w:spacing w:line="276" w:lineRule="auto"/>
              <w:jc w:val="center"/>
              <w:rPr>
                <w:rFonts w:eastAsia="Times New Roman"/>
                <w:color w:val="000000"/>
                <w:sz w:val="24"/>
                <w:szCs w:val="24"/>
                <w:lang w:eastAsia="ru-RU"/>
              </w:rPr>
            </w:pPr>
            <w:r w:rsidRPr="00187565">
              <w:rPr>
                <w:rFonts w:eastAsia="Times New Roman"/>
                <w:color w:val="000000"/>
                <w:sz w:val="24"/>
                <w:szCs w:val="24"/>
                <w:lang w:eastAsia="ru-RU"/>
              </w:rPr>
              <w:t>11,47</w:t>
            </w:r>
          </w:p>
        </w:tc>
        <w:tc>
          <w:tcPr>
            <w:tcW w:w="968" w:type="dxa"/>
            <w:tcBorders>
              <w:top w:val="single" w:sz="4" w:space="0" w:color="auto"/>
              <w:left w:val="single" w:sz="4" w:space="0" w:color="auto"/>
              <w:bottom w:val="single" w:sz="4" w:space="0" w:color="auto"/>
              <w:right w:val="single" w:sz="4" w:space="0" w:color="auto"/>
            </w:tcBorders>
            <w:vAlign w:val="center"/>
          </w:tcPr>
          <w:p w:rsidR="001C5312" w:rsidRPr="00187565" w:rsidRDefault="001C5312" w:rsidP="001C5312">
            <w:pPr>
              <w:keepNext/>
              <w:spacing w:line="276" w:lineRule="auto"/>
              <w:jc w:val="center"/>
              <w:rPr>
                <w:rFonts w:eastAsia="Times New Roman"/>
                <w:sz w:val="24"/>
                <w:szCs w:val="24"/>
                <w:lang w:eastAsia="ru-RU"/>
              </w:rPr>
            </w:pPr>
            <w:r w:rsidRPr="00187565">
              <w:rPr>
                <w:rFonts w:eastAsia="Times New Roman"/>
                <w:sz w:val="24"/>
                <w:szCs w:val="24"/>
                <w:lang w:eastAsia="ru-RU"/>
              </w:rPr>
              <w:t>0,0</w:t>
            </w:r>
          </w:p>
        </w:tc>
        <w:tc>
          <w:tcPr>
            <w:tcW w:w="969" w:type="dxa"/>
            <w:tcBorders>
              <w:top w:val="single" w:sz="4" w:space="0" w:color="auto"/>
              <w:left w:val="single" w:sz="4" w:space="0" w:color="auto"/>
              <w:bottom w:val="single" w:sz="4" w:space="0" w:color="auto"/>
              <w:right w:val="single" w:sz="4" w:space="0" w:color="auto"/>
            </w:tcBorders>
            <w:vAlign w:val="center"/>
          </w:tcPr>
          <w:p w:rsidR="001C5312" w:rsidRPr="00187565" w:rsidRDefault="001C5312" w:rsidP="001C5312">
            <w:pPr>
              <w:keepNext/>
              <w:spacing w:line="276" w:lineRule="auto"/>
              <w:jc w:val="center"/>
              <w:rPr>
                <w:rFonts w:eastAsia="Times New Roman"/>
                <w:color w:val="000000"/>
                <w:sz w:val="24"/>
                <w:szCs w:val="24"/>
                <w:lang w:eastAsia="ru-RU"/>
              </w:rPr>
            </w:pPr>
            <w:r w:rsidRPr="00187565">
              <w:rPr>
                <w:rFonts w:eastAsia="Times New Roman"/>
                <w:color w:val="000000"/>
                <w:sz w:val="24"/>
                <w:szCs w:val="24"/>
                <w:lang w:eastAsia="ru-RU"/>
              </w:rPr>
              <w:t>0,79</w:t>
            </w:r>
          </w:p>
        </w:tc>
        <w:tc>
          <w:tcPr>
            <w:tcW w:w="968" w:type="dxa"/>
            <w:tcBorders>
              <w:top w:val="single" w:sz="4" w:space="0" w:color="auto"/>
              <w:left w:val="single" w:sz="4" w:space="0" w:color="auto"/>
              <w:bottom w:val="single" w:sz="4" w:space="0" w:color="auto"/>
              <w:right w:val="single" w:sz="4" w:space="0" w:color="auto"/>
            </w:tcBorders>
            <w:vAlign w:val="center"/>
          </w:tcPr>
          <w:p w:rsidR="001C5312" w:rsidRPr="00187565" w:rsidRDefault="001C5312" w:rsidP="001C5312">
            <w:pPr>
              <w:keepNext/>
              <w:spacing w:line="276" w:lineRule="auto"/>
              <w:jc w:val="center"/>
              <w:rPr>
                <w:rFonts w:eastAsia="Times New Roman"/>
                <w:sz w:val="24"/>
                <w:szCs w:val="24"/>
                <w:lang w:eastAsia="ru-RU"/>
              </w:rPr>
            </w:pPr>
            <w:r w:rsidRPr="00187565">
              <w:rPr>
                <w:rFonts w:eastAsia="Times New Roman"/>
                <w:sz w:val="24"/>
                <w:szCs w:val="24"/>
                <w:lang w:eastAsia="ru-RU"/>
              </w:rPr>
              <w:t>0,0</w:t>
            </w:r>
          </w:p>
        </w:tc>
        <w:tc>
          <w:tcPr>
            <w:tcW w:w="969" w:type="dxa"/>
            <w:tcBorders>
              <w:top w:val="single" w:sz="4" w:space="0" w:color="auto"/>
              <w:left w:val="single" w:sz="4" w:space="0" w:color="auto"/>
              <w:bottom w:val="single" w:sz="4" w:space="0" w:color="auto"/>
              <w:right w:val="single" w:sz="4" w:space="0" w:color="auto"/>
            </w:tcBorders>
            <w:vAlign w:val="center"/>
          </w:tcPr>
          <w:p w:rsidR="001C5312" w:rsidRPr="00187565" w:rsidRDefault="001C5312" w:rsidP="001C5312">
            <w:pPr>
              <w:keepNext/>
              <w:spacing w:line="276" w:lineRule="auto"/>
              <w:jc w:val="center"/>
              <w:rPr>
                <w:rFonts w:eastAsia="Times New Roman"/>
                <w:color w:val="000000"/>
                <w:sz w:val="24"/>
                <w:szCs w:val="24"/>
                <w:lang w:eastAsia="ru-RU"/>
              </w:rPr>
            </w:pPr>
            <w:r w:rsidRPr="00187565">
              <w:rPr>
                <w:rFonts w:eastAsia="Times New Roman"/>
                <w:color w:val="000000"/>
                <w:sz w:val="24"/>
                <w:szCs w:val="24"/>
                <w:lang w:eastAsia="ru-RU"/>
              </w:rPr>
              <w:t>0,09</w:t>
            </w:r>
          </w:p>
        </w:tc>
      </w:tr>
      <w:tr w:rsidR="001C5312" w:rsidRPr="00187565" w:rsidTr="001C5312">
        <w:trPr>
          <w:trHeight w:val="293"/>
        </w:trPr>
        <w:tc>
          <w:tcPr>
            <w:tcW w:w="4536" w:type="dxa"/>
            <w:tcBorders>
              <w:top w:val="single" w:sz="4" w:space="0" w:color="auto"/>
              <w:left w:val="single" w:sz="4" w:space="0" w:color="auto"/>
              <w:bottom w:val="single" w:sz="4" w:space="0" w:color="auto"/>
              <w:right w:val="single" w:sz="4" w:space="0" w:color="auto"/>
            </w:tcBorders>
            <w:vAlign w:val="bottom"/>
          </w:tcPr>
          <w:p w:rsidR="001C5312" w:rsidRPr="00187565" w:rsidRDefault="001C5312" w:rsidP="001C5312">
            <w:pPr>
              <w:keepNext/>
              <w:spacing w:line="276" w:lineRule="auto"/>
              <w:jc w:val="left"/>
              <w:rPr>
                <w:rFonts w:eastAsia="Times New Roman"/>
                <w:sz w:val="24"/>
                <w:szCs w:val="24"/>
                <w:lang w:eastAsia="ru-RU"/>
              </w:rPr>
            </w:pPr>
            <w:r w:rsidRPr="00187565">
              <w:rPr>
                <w:rFonts w:eastAsia="Times New Roman"/>
                <w:sz w:val="24"/>
                <w:szCs w:val="24"/>
                <w:lang w:eastAsia="ru-RU"/>
              </w:rPr>
              <w:t>Частота мало вагових новонароджених</w:t>
            </w:r>
          </w:p>
        </w:tc>
        <w:tc>
          <w:tcPr>
            <w:tcW w:w="968" w:type="dxa"/>
            <w:tcBorders>
              <w:top w:val="single" w:sz="4" w:space="0" w:color="auto"/>
              <w:left w:val="single" w:sz="4" w:space="0" w:color="auto"/>
              <w:bottom w:val="single" w:sz="4" w:space="0" w:color="auto"/>
              <w:right w:val="single" w:sz="4" w:space="0" w:color="auto"/>
            </w:tcBorders>
            <w:vAlign w:val="center"/>
          </w:tcPr>
          <w:p w:rsidR="001C5312" w:rsidRPr="00187565" w:rsidRDefault="001C5312" w:rsidP="001C5312">
            <w:pPr>
              <w:keepNext/>
              <w:spacing w:line="276" w:lineRule="auto"/>
              <w:jc w:val="center"/>
              <w:rPr>
                <w:rFonts w:eastAsia="Times New Roman"/>
                <w:sz w:val="24"/>
                <w:szCs w:val="24"/>
                <w:lang w:eastAsia="ru-RU"/>
              </w:rPr>
            </w:pPr>
            <w:r w:rsidRPr="00187565">
              <w:rPr>
                <w:rFonts w:eastAsia="Times New Roman"/>
                <w:sz w:val="24"/>
                <w:szCs w:val="24"/>
                <w:lang w:eastAsia="ru-RU"/>
              </w:rPr>
              <w:t>6,11</w:t>
            </w:r>
          </w:p>
        </w:tc>
        <w:tc>
          <w:tcPr>
            <w:tcW w:w="1016" w:type="dxa"/>
            <w:tcBorders>
              <w:top w:val="single" w:sz="4" w:space="0" w:color="auto"/>
              <w:left w:val="single" w:sz="4" w:space="0" w:color="auto"/>
              <w:bottom w:val="single" w:sz="4" w:space="0" w:color="auto"/>
              <w:right w:val="single" w:sz="4" w:space="0" w:color="auto"/>
            </w:tcBorders>
            <w:vAlign w:val="center"/>
          </w:tcPr>
          <w:p w:rsidR="001C5312" w:rsidRPr="00187565" w:rsidRDefault="001C5312" w:rsidP="001C5312">
            <w:pPr>
              <w:keepNext/>
              <w:spacing w:line="276" w:lineRule="auto"/>
              <w:jc w:val="center"/>
              <w:rPr>
                <w:rFonts w:eastAsia="Times New Roman"/>
                <w:color w:val="000000"/>
                <w:sz w:val="24"/>
                <w:szCs w:val="24"/>
                <w:lang w:eastAsia="ru-RU"/>
              </w:rPr>
            </w:pPr>
            <w:r w:rsidRPr="00187565">
              <w:rPr>
                <w:rFonts w:eastAsia="Times New Roman"/>
                <w:color w:val="000000"/>
                <w:sz w:val="24"/>
                <w:szCs w:val="24"/>
                <w:lang w:eastAsia="ru-RU"/>
              </w:rPr>
              <w:t>4,99</w:t>
            </w:r>
          </w:p>
        </w:tc>
        <w:tc>
          <w:tcPr>
            <w:tcW w:w="968" w:type="dxa"/>
            <w:tcBorders>
              <w:top w:val="single" w:sz="4" w:space="0" w:color="auto"/>
              <w:left w:val="single" w:sz="4" w:space="0" w:color="auto"/>
              <w:bottom w:val="single" w:sz="4" w:space="0" w:color="auto"/>
              <w:right w:val="single" w:sz="4" w:space="0" w:color="auto"/>
            </w:tcBorders>
            <w:vAlign w:val="center"/>
          </w:tcPr>
          <w:p w:rsidR="001C5312" w:rsidRPr="00187565" w:rsidRDefault="001C5312" w:rsidP="001C5312">
            <w:pPr>
              <w:keepNext/>
              <w:spacing w:line="276" w:lineRule="auto"/>
              <w:jc w:val="center"/>
              <w:rPr>
                <w:rFonts w:eastAsia="Times New Roman"/>
                <w:sz w:val="24"/>
                <w:szCs w:val="24"/>
                <w:lang w:eastAsia="ru-RU"/>
              </w:rPr>
            </w:pPr>
            <w:r w:rsidRPr="00187565">
              <w:rPr>
                <w:rFonts w:eastAsia="Times New Roman"/>
                <w:sz w:val="24"/>
                <w:szCs w:val="24"/>
                <w:lang w:eastAsia="ru-RU"/>
              </w:rPr>
              <w:t>2,36</w:t>
            </w:r>
          </w:p>
        </w:tc>
        <w:tc>
          <w:tcPr>
            <w:tcW w:w="969" w:type="dxa"/>
            <w:tcBorders>
              <w:top w:val="single" w:sz="4" w:space="0" w:color="auto"/>
              <w:left w:val="single" w:sz="4" w:space="0" w:color="auto"/>
              <w:bottom w:val="single" w:sz="4" w:space="0" w:color="auto"/>
              <w:right w:val="single" w:sz="4" w:space="0" w:color="auto"/>
            </w:tcBorders>
            <w:vAlign w:val="center"/>
          </w:tcPr>
          <w:p w:rsidR="001C5312" w:rsidRPr="00187565" w:rsidRDefault="001C5312" w:rsidP="001C5312">
            <w:pPr>
              <w:keepNext/>
              <w:spacing w:line="276" w:lineRule="auto"/>
              <w:jc w:val="center"/>
              <w:rPr>
                <w:rFonts w:eastAsia="Times New Roman"/>
                <w:color w:val="000000"/>
                <w:sz w:val="24"/>
                <w:szCs w:val="24"/>
                <w:lang w:eastAsia="ru-RU"/>
              </w:rPr>
            </w:pPr>
            <w:r w:rsidRPr="00187565">
              <w:rPr>
                <w:rFonts w:eastAsia="Times New Roman"/>
                <w:color w:val="000000"/>
                <w:sz w:val="24"/>
                <w:szCs w:val="24"/>
                <w:lang w:eastAsia="ru-RU"/>
              </w:rPr>
              <w:t>4,01</w:t>
            </w:r>
          </w:p>
        </w:tc>
        <w:tc>
          <w:tcPr>
            <w:tcW w:w="968" w:type="dxa"/>
            <w:tcBorders>
              <w:top w:val="single" w:sz="4" w:space="0" w:color="auto"/>
              <w:left w:val="single" w:sz="4" w:space="0" w:color="auto"/>
              <w:bottom w:val="single" w:sz="4" w:space="0" w:color="auto"/>
              <w:right w:val="single" w:sz="4" w:space="0" w:color="auto"/>
            </w:tcBorders>
            <w:vAlign w:val="center"/>
          </w:tcPr>
          <w:p w:rsidR="001C5312" w:rsidRPr="00187565" w:rsidRDefault="001C5312" w:rsidP="001C5312">
            <w:pPr>
              <w:keepNext/>
              <w:spacing w:line="276" w:lineRule="auto"/>
              <w:jc w:val="center"/>
              <w:rPr>
                <w:rFonts w:eastAsia="Times New Roman"/>
                <w:sz w:val="24"/>
                <w:szCs w:val="24"/>
                <w:lang w:eastAsia="ru-RU"/>
              </w:rPr>
            </w:pPr>
            <w:r w:rsidRPr="00187565">
              <w:rPr>
                <w:rFonts w:eastAsia="Times New Roman"/>
                <w:sz w:val="24"/>
                <w:szCs w:val="24"/>
                <w:lang w:eastAsia="ru-RU"/>
              </w:rPr>
              <w:t>0,47</w:t>
            </w:r>
          </w:p>
        </w:tc>
        <w:tc>
          <w:tcPr>
            <w:tcW w:w="969" w:type="dxa"/>
            <w:tcBorders>
              <w:top w:val="single" w:sz="4" w:space="0" w:color="auto"/>
              <w:left w:val="single" w:sz="4" w:space="0" w:color="auto"/>
              <w:bottom w:val="single" w:sz="4" w:space="0" w:color="auto"/>
              <w:right w:val="single" w:sz="4" w:space="0" w:color="auto"/>
            </w:tcBorders>
            <w:vAlign w:val="center"/>
          </w:tcPr>
          <w:p w:rsidR="001C5312" w:rsidRPr="00187565" w:rsidRDefault="001C5312" w:rsidP="001C5312">
            <w:pPr>
              <w:keepNext/>
              <w:spacing w:line="276" w:lineRule="auto"/>
              <w:jc w:val="center"/>
              <w:rPr>
                <w:rFonts w:eastAsia="Times New Roman"/>
                <w:color w:val="000000"/>
                <w:sz w:val="24"/>
                <w:szCs w:val="24"/>
                <w:lang w:eastAsia="ru-RU"/>
              </w:rPr>
            </w:pPr>
            <w:r w:rsidRPr="00187565">
              <w:rPr>
                <w:rFonts w:eastAsia="Times New Roman"/>
                <w:color w:val="000000"/>
                <w:sz w:val="24"/>
                <w:szCs w:val="24"/>
                <w:lang w:eastAsia="ru-RU"/>
              </w:rPr>
              <w:t>0,80</w:t>
            </w:r>
          </w:p>
        </w:tc>
      </w:tr>
      <w:tr w:rsidR="001C5312" w:rsidRPr="00187565" w:rsidTr="001C5312">
        <w:trPr>
          <w:trHeight w:val="344"/>
        </w:trPr>
        <w:tc>
          <w:tcPr>
            <w:tcW w:w="4536" w:type="dxa"/>
            <w:tcBorders>
              <w:top w:val="single" w:sz="4" w:space="0" w:color="auto"/>
              <w:left w:val="single" w:sz="4" w:space="0" w:color="auto"/>
              <w:bottom w:val="single" w:sz="4" w:space="0" w:color="auto"/>
              <w:right w:val="single" w:sz="4" w:space="0" w:color="auto"/>
            </w:tcBorders>
            <w:vAlign w:val="bottom"/>
          </w:tcPr>
          <w:p w:rsidR="001C5312" w:rsidRPr="00187565" w:rsidRDefault="001C5312" w:rsidP="001C5312">
            <w:pPr>
              <w:keepNext/>
              <w:spacing w:line="276" w:lineRule="auto"/>
              <w:jc w:val="left"/>
              <w:rPr>
                <w:rFonts w:eastAsia="Times New Roman"/>
                <w:sz w:val="24"/>
                <w:szCs w:val="24"/>
                <w:lang w:eastAsia="ru-RU"/>
              </w:rPr>
            </w:pPr>
            <w:r w:rsidRPr="00187565">
              <w:rPr>
                <w:rFonts w:eastAsia="Times New Roman"/>
                <w:sz w:val="24"/>
                <w:szCs w:val="24"/>
                <w:lang w:eastAsia="ru-RU"/>
              </w:rPr>
              <w:t>Виживання новонароджених з дуже малою масою тіла при народженні</w:t>
            </w:r>
          </w:p>
        </w:tc>
        <w:tc>
          <w:tcPr>
            <w:tcW w:w="968" w:type="dxa"/>
            <w:tcBorders>
              <w:top w:val="single" w:sz="4" w:space="0" w:color="auto"/>
              <w:left w:val="single" w:sz="4" w:space="0" w:color="auto"/>
              <w:bottom w:val="single" w:sz="4" w:space="0" w:color="auto"/>
              <w:right w:val="single" w:sz="4" w:space="0" w:color="auto"/>
            </w:tcBorders>
            <w:vAlign w:val="center"/>
          </w:tcPr>
          <w:p w:rsidR="001C5312" w:rsidRPr="00187565" w:rsidRDefault="001C5312" w:rsidP="001C5312">
            <w:pPr>
              <w:keepNext/>
              <w:spacing w:line="276" w:lineRule="auto"/>
              <w:jc w:val="center"/>
              <w:rPr>
                <w:rFonts w:eastAsia="Times New Roman"/>
                <w:sz w:val="24"/>
                <w:szCs w:val="24"/>
                <w:lang w:eastAsia="ru-RU"/>
              </w:rPr>
            </w:pPr>
            <w:r w:rsidRPr="00187565">
              <w:rPr>
                <w:rFonts w:eastAsia="Times New Roman"/>
                <w:sz w:val="24"/>
                <w:szCs w:val="24"/>
                <w:lang w:eastAsia="ru-RU"/>
              </w:rPr>
              <w:t>83,62</w:t>
            </w:r>
          </w:p>
        </w:tc>
        <w:tc>
          <w:tcPr>
            <w:tcW w:w="1016" w:type="dxa"/>
            <w:tcBorders>
              <w:top w:val="single" w:sz="4" w:space="0" w:color="auto"/>
              <w:left w:val="single" w:sz="4" w:space="0" w:color="auto"/>
              <w:bottom w:val="single" w:sz="4" w:space="0" w:color="auto"/>
              <w:right w:val="single" w:sz="4" w:space="0" w:color="auto"/>
            </w:tcBorders>
            <w:vAlign w:val="center"/>
          </w:tcPr>
          <w:p w:rsidR="001C5312" w:rsidRPr="00187565" w:rsidRDefault="001C5312" w:rsidP="001C5312">
            <w:pPr>
              <w:keepNext/>
              <w:spacing w:line="276" w:lineRule="auto"/>
              <w:jc w:val="center"/>
              <w:rPr>
                <w:rFonts w:eastAsia="Times New Roman"/>
                <w:color w:val="000000"/>
                <w:sz w:val="24"/>
                <w:szCs w:val="24"/>
                <w:lang w:eastAsia="ru-RU"/>
              </w:rPr>
            </w:pPr>
            <w:r w:rsidRPr="00187565">
              <w:rPr>
                <w:rFonts w:eastAsia="Times New Roman"/>
                <w:color w:val="000000"/>
                <w:sz w:val="24"/>
                <w:szCs w:val="24"/>
                <w:lang w:eastAsia="ru-RU"/>
              </w:rPr>
              <w:t>83,67</w:t>
            </w:r>
          </w:p>
        </w:tc>
        <w:tc>
          <w:tcPr>
            <w:tcW w:w="968" w:type="dxa"/>
            <w:tcBorders>
              <w:top w:val="single" w:sz="4" w:space="0" w:color="auto"/>
              <w:left w:val="single" w:sz="4" w:space="0" w:color="auto"/>
              <w:bottom w:val="single" w:sz="4" w:space="0" w:color="auto"/>
              <w:right w:val="single" w:sz="4" w:space="0" w:color="auto"/>
            </w:tcBorders>
            <w:vAlign w:val="center"/>
          </w:tcPr>
          <w:p w:rsidR="001C5312" w:rsidRPr="00187565" w:rsidRDefault="001C5312" w:rsidP="001C5312">
            <w:pPr>
              <w:keepNext/>
              <w:spacing w:line="276" w:lineRule="auto"/>
              <w:jc w:val="center"/>
              <w:rPr>
                <w:rFonts w:eastAsia="Times New Roman"/>
                <w:sz w:val="24"/>
                <w:szCs w:val="24"/>
                <w:lang w:eastAsia="ru-RU"/>
              </w:rPr>
            </w:pPr>
            <w:r w:rsidRPr="00187565">
              <w:rPr>
                <w:rFonts w:eastAsia="Times New Roman"/>
                <w:sz w:val="24"/>
                <w:szCs w:val="24"/>
                <w:lang w:eastAsia="ru-RU"/>
              </w:rPr>
              <w:t>7,43</w:t>
            </w:r>
          </w:p>
        </w:tc>
        <w:tc>
          <w:tcPr>
            <w:tcW w:w="969" w:type="dxa"/>
            <w:tcBorders>
              <w:top w:val="single" w:sz="4" w:space="0" w:color="auto"/>
              <w:left w:val="single" w:sz="4" w:space="0" w:color="auto"/>
              <w:bottom w:val="single" w:sz="4" w:space="0" w:color="auto"/>
              <w:right w:val="single" w:sz="4" w:space="0" w:color="auto"/>
            </w:tcBorders>
            <w:vAlign w:val="center"/>
          </w:tcPr>
          <w:p w:rsidR="001C5312" w:rsidRPr="00187565" w:rsidRDefault="001C5312" w:rsidP="001C5312">
            <w:pPr>
              <w:keepNext/>
              <w:spacing w:line="276" w:lineRule="auto"/>
              <w:jc w:val="center"/>
              <w:rPr>
                <w:rFonts w:eastAsia="Times New Roman"/>
                <w:color w:val="000000"/>
                <w:sz w:val="24"/>
                <w:szCs w:val="24"/>
                <w:lang w:eastAsia="ru-RU"/>
              </w:rPr>
            </w:pPr>
            <w:r w:rsidRPr="00187565">
              <w:rPr>
                <w:rFonts w:eastAsia="Times New Roman"/>
                <w:color w:val="000000"/>
                <w:sz w:val="24"/>
                <w:szCs w:val="24"/>
                <w:lang w:eastAsia="ru-RU"/>
              </w:rPr>
              <w:t>7,88</w:t>
            </w:r>
          </w:p>
        </w:tc>
        <w:tc>
          <w:tcPr>
            <w:tcW w:w="968" w:type="dxa"/>
            <w:tcBorders>
              <w:top w:val="single" w:sz="4" w:space="0" w:color="auto"/>
              <w:left w:val="single" w:sz="4" w:space="0" w:color="auto"/>
              <w:bottom w:val="single" w:sz="4" w:space="0" w:color="auto"/>
              <w:right w:val="single" w:sz="4" w:space="0" w:color="auto"/>
            </w:tcBorders>
            <w:vAlign w:val="center"/>
          </w:tcPr>
          <w:p w:rsidR="001C5312" w:rsidRPr="00187565" w:rsidRDefault="001C5312" w:rsidP="001C5312">
            <w:pPr>
              <w:keepNext/>
              <w:spacing w:line="276" w:lineRule="auto"/>
              <w:jc w:val="center"/>
              <w:rPr>
                <w:rFonts w:eastAsia="Times New Roman"/>
                <w:sz w:val="24"/>
                <w:szCs w:val="24"/>
                <w:lang w:eastAsia="ru-RU"/>
              </w:rPr>
            </w:pPr>
            <w:r w:rsidRPr="00187565">
              <w:rPr>
                <w:rFonts w:eastAsia="Times New Roman"/>
                <w:sz w:val="24"/>
                <w:szCs w:val="24"/>
                <w:lang w:eastAsia="ru-RU"/>
              </w:rPr>
              <w:t>0,93</w:t>
            </w:r>
          </w:p>
        </w:tc>
        <w:tc>
          <w:tcPr>
            <w:tcW w:w="969" w:type="dxa"/>
            <w:tcBorders>
              <w:top w:val="single" w:sz="4" w:space="0" w:color="auto"/>
              <w:left w:val="single" w:sz="4" w:space="0" w:color="auto"/>
              <w:bottom w:val="single" w:sz="4" w:space="0" w:color="auto"/>
              <w:right w:val="single" w:sz="4" w:space="0" w:color="auto"/>
            </w:tcBorders>
            <w:vAlign w:val="center"/>
          </w:tcPr>
          <w:p w:rsidR="001C5312" w:rsidRPr="00187565" w:rsidRDefault="001C5312" w:rsidP="001C5312">
            <w:pPr>
              <w:keepNext/>
              <w:spacing w:line="276" w:lineRule="auto"/>
              <w:jc w:val="center"/>
              <w:rPr>
                <w:rFonts w:eastAsia="Times New Roman"/>
                <w:color w:val="000000"/>
                <w:sz w:val="24"/>
                <w:szCs w:val="24"/>
                <w:lang w:eastAsia="ru-RU"/>
              </w:rPr>
            </w:pPr>
            <w:r w:rsidRPr="00187565">
              <w:rPr>
                <w:rFonts w:eastAsia="Times New Roman"/>
                <w:color w:val="000000"/>
                <w:sz w:val="24"/>
                <w:szCs w:val="24"/>
                <w:lang w:eastAsia="ru-RU"/>
              </w:rPr>
              <w:t>0,99</w:t>
            </w:r>
          </w:p>
        </w:tc>
      </w:tr>
      <w:tr w:rsidR="001C5312" w:rsidRPr="00187565" w:rsidTr="001C5312">
        <w:trPr>
          <w:trHeight w:val="226"/>
        </w:trPr>
        <w:tc>
          <w:tcPr>
            <w:tcW w:w="4536" w:type="dxa"/>
            <w:tcBorders>
              <w:top w:val="single" w:sz="4" w:space="0" w:color="auto"/>
              <w:left w:val="single" w:sz="4" w:space="0" w:color="auto"/>
              <w:bottom w:val="single" w:sz="4" w:space="0" w:color="auto"/>
              <w:right w:val="single" w:sz="4" w:space="0" w:color="auto"/>
            </w:tcBorders>
            <w:vAlign w:val="bottom"/>
          </w:tcPr>
          <w:p w:rsidR="001C5312" w:rsidRPr="00187565" w:rsidRDefault="001C5312" w:rsidP="001C5312">
            <w:pPr>
              <w:keepNext/>
              <w:spacing w:line="276" w:lineRule="auto"/>
              <w:jc w:val="left"/>
              <w:rPr>
                <w:rFonts w:eastAsia="Times New Roman"/>
                <w:sz w:val="24"/>
                <w:szCs w:val="24"/>
                <w:lang w:eastAsia="ru-RU"/>
              </w:rPr>
            </w:pPr>
            <w:r w:rsidRPr="00187565">
              <w:rPr>
                <w:rFonts w:eastAsia="Times New Roman"/>
                <w:sz w:val="24"/>
                <w:szCs w:val="24"/>
                <w:lang w:eastAsia="ru-RU"/>
              </w:rPr>
              <w:t>Індекс здоров’я новонароджених</w:t>
            </w:r>
          </w:p>
        </w:tc>
        <w:tc>
          <w:tcPr>
            <w:tcW w:w="968" w:type="dxa"/>
            <w:tcBorders>
              <w:top w:val="single" w:sz="4" w:space="0" w:color="auto"/>
              <w:left w:val="single" w:sz="4" w:space="0" w:color="auto"/>
              <w:bottom w:val="single" w:sz="4" w:space="0" w:color="auto"/>
              <w:right w:val="single" w:sz="4" w:space="0" w:color="auto"/>
            </w:tcBorders>
            <w:vAlign w:val="center"/>
          </w:tcPr>
          <w:p w:rsidR="001C5312" w:rsidRPr="00187565" w:rsidRDefault="001C5312" w:rsidP="001C5312">
            <w:pPr>
              <w:keepNext/>
              <w:spacing w:line="276" w:lineRule="auto"/>
              <w:jc w:val="center"/>
              <w:rPr>
                <w:rFonts w:eastAsia="Times New Roman"/>
                <w:sz w:val="24"/>
                <w:szCs w:val="24"/>
                <w:lang w:eastAsia="ru-RU"/>
              </w:rPr>
            </w:pPr>
            <w:r w:rsidRPr="00187565">
              <w:rPr>
                <w:rFonts w:eastAsia="Times New Roman"/>
                <w:sz w:val="24"/>
                <w:szCs w:val="24"/>
                <w:lang w:eastAsia="ru-RU"/>
              </w:rPr>
              <w:t>82,1</w:t>
            </w:r>
          </w:p>
        </w:tc>
        <w:tc>
          <w:tcPr>
            <w:tcW w:w="1016" w:type="dxa"/>
            <w:tcBorders>
              <w:top w:val="single" w:sz="4" w:space="0" w:color="auto"/>
              <w:left w:val="single" w:sz="4" w:space="0" w:color="auto"/>
              <w:bottom w:val="single" w:sz="4" w:space="0" w:color="auto"/>
              <w:right w:val="single" w:sz="4" w:space="0" w:color="auto"/>
            </w:tcBorders>
            <w:vAlign w:val="center"/>
          </w:tcPr>
          <w:p w:rsidR="001C5312" w:rsidRPr="00187565" w:rsidRDefault="001C5312" w:rsidP="001C5312">
            <w:pPr>
              <w:keepNext/>
              <w:spacing w:line="276" w:lineRule="auto"/>
              <w:jc w:val="center"/>
              <w:rPr>
                <w:rFonts w:eastAsia="Times New Roman"/>
                <w:color w:val="000000"/>
                <w:sz w:val="24"/>
                <w:szCs w:val="24"/>
                <w:lang w:eastAsia="ru-RU"/>
              </w:rPr>
            </w:pPr>
            <w:r w:rsidRPr="00187565">
              <w:rPr>
                <w:rFonts w:eastAsia="Times New Roman"/>
                <w:color w:val="000000"/>
                <w:sz w:val="24"/>
                <w:szCs w:val="24"/>
                <w:lang w:eastAsia="ru-RU"/>
              </w:rPr>
              <w:t>82,50</w:t>
            </w:r>
          </w:p>
        </w:tc>
        <w:tc>
          <w:tcPr>
            <w:tcW w:w="968" w:type="dxa"/>
            <w:tcBorders>
              <w:top w:val="single" w:sz="4" w:space="0" w:color="auto"/>
              <w:left w:val="single" w:sz="4" w:space="0" w:color="auto"/>
              <w:bottom w:val="single" w:sz="4" w:space="0" w:color="auto"/>
              <w:right w:val="single" w:sz="4" w:space="0" w:color="auto"/>
            </w:tcBorders>
            <w:vAlign w:val="center"/>
          </w:tcPr>
          <w:p w:rsidR="001C5312" w:rsidRPr="00187565" w:rsidRDefault="001C5312" w:rsidP="001C5312">
            <w:pPr>
              <w:keepNext/>
              <w:spacing w:line="276" w:lineRule="auto"/>
              <w:jc w:val="center"/>
              <w:rPr>
                <w:rFonts w:eastAsia="Times New Roman"/>
                <w:sz w:val="24"/>
                <w:szCs w:val="24"/>
                <w:lang w:eastAsia="ru-RU"/>
              </w:rPr>
            </w:pPr>
            <w:r w:rsidRPr="00187565">
              <w:rPr>
                <w:rFonts w:eastAsia="Times New Roman"/>
                <w:sz w:val="24"/>
                <w:szCs w:val="24"/>
                <w:lang w:eastAsia="ru-RU"/>
              </w:rPr>
              <w:t>5,47</w:t>
            </w:r>
          </w:p>
        </w:tc>
        <w:tc>
          <w:tcPr>
            <w:tcW w:w="969" w:type="dxa"/>
            <w:tcBorders>
              <w:top w:val="single" w:sz="4" w:space="0" w:color="auto"/>
              <w:left w:val="single" w:sz="4" w:space="0" w:color="auto"/>
              <w:bottom w:val="single" w:sz="4" w:space="0" w:color="auto"/>
              <w:right w:val="single" w:sz="4" w:space="0" w:color="auto"/>
            </w:tcBorders>
            <w:vAlign w:val="center"/>
          </w:tcPr>
          <w:p w:rsidR="001C5312" w:rsidRPr="00187565" w:rsidRDefault="001C5312" w:rsidP="001C5312">
            <w:pPr>
              <w:keepNext/>
              <w:spacing w:line="276" w:lineRule="auto"/>
              <w:jc w:val="center"/>
              <w:rPr>
                <w:rFonts w:eastAsia="Times New Roman"/>
                <w:color w:val="000000"/>
                <w:sz w:val="24"/>
                <w:szCs w:val="24"/>
                <w:lang w:eastAsia="ru-RU"/>
              </w:rPr>
            </w:pPr>
            <w:r w:rsidRPr="00187565">
              <w:rPr>
                <w:rFonts w:eastAsia="Times New Roman"/>
                <w:color w:val="000000"/>
                <w:sz w:val="24"/>
                <w:szCs w:val="24"/>
                <w:lang w:eastAsia="ru-RU"/>
              </w:rPr>
              <w:t>5,83</w:t>
            </w:r>
          </w:p>
        </w:tc>
        <w:tc>
          <w:tcPr>
            <w:tcW w:w="968" w:type="dxa"/>
            <w:tcBorders>
              <w:top w:val="single" w:sz="4" w:space="0" w:color="auto"/>
              <w:left w:val="single" w:sz="4" w:space="0" w:color="auto"/>
              <w:bottom w:val="single" w:sz="4" w:space="0" w:color="auto"/>
              <w:right w:val="single" w:sz="4" w:space="0" w:color="auto"/>
            </w:tcBorders>
            <w:vAlign w:val="center"/>
          </w:tcPr>
          <w:p w:rsidR="001C5312" w:rsidRPr="00187565" w:rsidRDefault="001C5312" w:rsidP="001C5312">
            <w:pPr>
              <w:keepNext/>
              <w:spacing w:line="276" w:lineRule="auto"/>
              <w:jc w:val="center"/>
              <w:rPr>
                <w:rFonts w:eastAsia="Times New Roman"/>
                <w:sz w:val="24"/>
                <w:szCs w:val="24"/>
                <w:lang w:eastAsia="ru-RU"/>
              </w:rPr>
            </w:pPr>
            <w:r w:rsidRPr="00187565">
              <w:rPr>
                <w:rFonts w:eastAsia="Times New Roman"/>
                <w:sz w:val="24"/>
                <w:szCs w:val="24"/>
                <w:lang w:eastAsia="ru-RU"/>
              </w:rPr>
              <w:t>0,91</w:t>
            </w:r>
          </w:p>
        </w:tc>
        <w:tc>
          <w:tcPr>
            <w:tcW w:w="969" w:type="dxa"/>
            <w:tcBorders>
              <w:top w:val="single" w:sz="4" w:space="0" w:color="auto"/>
              <w:left w:val="single" w:sz="4" w:space="0" w:color="auto"/>
              <w:bottom w:val="single" w:sz="4" w:space="0" w:color="auto"/>
              <w:right w:val="single" w:sz="4" w:space="0" w:color="auto"/>
            </w:tcBorders>
            <w:vAlign w:val="center"/>
          </w:tcPr>
          <w:p w:rsidR="001C5312" w:rsidRPr="00187565" w:rsidRDefault="001C5312" w:rsidP="001C5312">
            <w:pPr>
              <w:keepNext/>
              <w:spacing w:line="276" w:lineRule="auto"/>
              <w:jc w:val="center"/>
              <w:rPr>
                <w:rFonts w:eastAsia="Times New Roman"/>
                <w:color w:val="000000"/>
                <w:sz w:val="24"/>
                <w:szCs w:val="24"/>
                <w:lang w:eastAsia="ru-RU"/>
              </w:rPr>
            </w:pPr>
            <w:r w:rsidRPr="00187565">
              <w:rPr>
                <w:rFonts w:eastAsia="Times New Roman"/>
                <w:color w:val="000000"/>
                <w:sz w:val="24"/>
                <w:szCs w:val="24"/>
                <w:lang w:eastAsia="ru-RU"/>
              </w:rPr>
              <w:t>0,97</w:t>
            </w:r>
          </w:p>
        </w:tc>
      </w:tr>
      <w:tr w:rsidR="001C5312" w:rsidRPr="00187565" w:rsidTr="001C5312">
        <w:trPr>
          <w:trHeight w:val="244"/>
        </w:trPr>
        <w:tc>
          <w:tcPr>
            <w:tcW w:w="4536" w:type="dxa"/>
            <w:tcBorders>
              <w:top w:val="single" w:sz="4" w:space="0" w:color="auto"/>
              <w:left w:val="single" w:sz="4" w:space="0" w:color="auto"/>
              <w:bottom w:val="single" w:sz="4" w:space="0" w:color="auto"/>
              <w:right w:val="single" w:sz="4" w:space="0" w:color="auto"/>
            </w:tcBorders>
            <w:vAlign w:val="bottom"/>
          </w:tcPr>
          <w:p w:rsidR="001C5312" w:rsidRPr="00187565" w:rsidRDefault="001C5312" w:rsidP="001C5312">
            <w:pPr>
              <w:keepNext/>
              <w:spacing w:line="276" w:lineRule="auto"/>
              <w:jc w:val="left"/>
              <w:rPr>
                <w:rFonts w:eastAsia="Times New Roman"/>
                <w:sz w:val="24"/>
                <w:szCs w:val="24"/>
                <w:lang w:eastAsia="ru-RU"/>
              </w:rPr>
            </w:pPr>
            <w:r w:rsidRPr="00187565">
              <w:rPr>
                <w:rFonts w:eastAsia="Times New Roman"/>
                <w:sz w:val="24"/>
                <w:szCs w:val="24"/>
                <w:lang w:eastAsia="ru-RU"/>
              </w:rPr>
              <w:t xml:space="preserve">Рівень перинатальної смертності </w:t>
            </w:r>
          </w:p>
        </w:tc>
        <w:tc>
          <w:tcPr>
            <w:tcW w:w="968" w:type="dxa"/>
            <w:tcBorders>
              <w:top w:val="single" w:sz="4" w:space="0" w:color="auto"/>
              <w:left w:val="single" w:sz="4" w:space="0" w:color="auto"/>
              <w:bottom w:val="single" w:sz="4" w:space="0" w:color="auto"/>
              <w:right w:val="single" w:sz="4" w:space="0" w:color="auto"/>
            </w:tcBorders>
            <w:vAlign w:val="center"/>
          </w:tcPr>
          <w:p w:rsidR="001C5312" w:rsidRPr="00187565" w:rsidRDefault="001C5312" w:rsidP="001C5312">
            <w:pPr>
              <w:keepNext/>
              <w:spacing w:line="276" w:lineRule="auto"/>
              <w:jc w:val="center"/>
              <w:rPr>
                <w:rFonts w:eastAsia="Times New Roman"/>
                <w:sz w:val="24"/>
                <w:szCs w:val="24"/>
                <w:lang w:eastAsia="ru-RU"/>
              </w:rPr>
            </w:pPr>
            <w:r w:rsidRPr="00187565">
              <w:rPr>
                <w:rFonts w:eastAsia="Times New Roman"/>
                <w:sz w:val="24"/>
                <w:szCs w:val="24"/>
                <w:lang w:eastAsia="ru-RU"/>
              </w:rPr>
              <w:t>6,97</w:t>
            </w:r>
          </w:p>
        </w:tc>
        <w:tc>
          <w:tcPr>
            <w:tcW w:w="1016" w:type="dxa"/>
            <w:tcBorders>
              <w:top w:val="single" w:sz="4" w:space="0" w:color="auto"/>
              <w:left w:val="single" w:sz="4" w:space="0" w:color="auto"/>
              <w:bottom w:val="single" w:sz="4" w:space="0" w:color="auto"/>
              <w:right w:val="single" w:sz="4" w:space="0" w:color="auto"/>
            </w:tcBorders>
            <w:vAlign w:val="center"/>
          </w:tcPr>
          <w:p w:rsidR="001C5312" w:rsidRPr="00187565" w:rsidRDefault="001C5312" w:rsidP="001C5312">
            <w:pPr>
              <w:keepNext/>
              <w:spacing w:line="276" w:lineRule="auto"/>
              <w:jc w:val="center"/>
              <w:rPr>
                <w:rFonts w:eastAsia="Times New Roman"/>
                <w:color w:val="000000"/>
                <w:sz w:val="24"/>
                <w:szCs w:val="24"/>
                <w:lang w:eastAsia="ru-RU"/>
              </w:rPr>
            </w:pPr>
            <w:r w:rsidRPr="00187565">
              <w:rPr>
                <w:rFonts w:eastAsia="Times New Roman"/>
                <w:color w:val="000000"/>
                <w:sz w:val="24"/>
                <w:szCs w:val="24"/>
                <w:lang w:eastAsia="ru-RU"/>
              </w:rPr>
              <w:t>8,35</w:t>
            </w:r>
          </w:p>
        </w:tc>
        <w:tc>
          <w:tcPr>
            <w:tcW w:w="968" w:type="dxa"/>
            <w:tcBorders>
              <w:top w:val="single" w:sz="4" w:space="0" w:color="auto"/>
              <w:left w:val="single" w:sz="4" w:space="0" w:color="auto"/>
              <w:bottom w:val="single" w:sz="4" w:space="0" w:color="auto"/>
              <w:right w:val="single" w:sz="4" w:space="0" w:color="auto"/>
            </w:tcBorders>
            <w:vAlign w:val="center"/>
          </w:tcPr>
          <w:p w:rsidR="001C5312" w:rsidRPr="00187565" w:rsidRDefault="001C5312" w:rsidP="001C5312">
            <w:pPr>
              <w:keepNext/>
              <w:spacing w:line="276" w:lineRule="auto"/>
              <w:jc w:val="center"/>
              <w:rPr>
                <w:rFonts w:eastAsia="Times New Roman"/>
                <w:sz w:val="24"/>
                <w:szCs w:val="24"/>
                <w:lang w:eastAsia="ru-RU"/>
              </w:rPr>
            </w:pPr>
            <w:r w:rsidRPr="00187565">
              <w:rPr>
                <w:rFonts w:eastAsia="Times New Roman"/>
                <w:sz w:val="24"/>
                <w:szCs w:val="24"/>
                <w:lang w:eastAsia="ru-RU"/>
              </w:rPr>
              <w:t>6,00</w:t>
            </w:r>
          </w:p>
        </w:tc>
        <w:tc>
          <w:tcPr>
            <w:tcW w:w="969" w:type="dxa"/>
            <w:tcBorders>
              <w:top w:val="single" w:sz="4" w:space="0" w:color="auto"/>
              <w:left w:val="single" w:sz="4" w:space="0" w:color="auto"/>
              <w:bottom w:val="single" w:sz="4" w:space="0" w:color="auto"/>
              <w:right w:val="single" w:sz="4" w:space="0" w:color="auto"/>
            </w:tcBorders>
            <w:vAlign w:val="center"/>
          </w:tcPr>
          <w:p w:rsidR="001C5312" w:rsidRPr="00187565" w:rsidRDefault="001C5312" w:rsidP="001C5312">
            <w:pPr>
              <w:keepNext/>
              <w:spacing w:line="276" w:lineRule="auto"/>
              <w:jc w:val="center"/>
              <w:rPr>
                <w:rFonts w:eastAsia="Times New Roman"/>
                <w:color w:val="000000"/>
                <w:sz w:val="24"/>
                <w:szCs w:val="24"/>
                <w:lang w:eastAsia="ru-RU"/>
              </w:rPr>
            </w:pPr>
            <w:r w:rsidRPr="00187565">
              <w:rPr>
                <w:rFonts w:eastAsia="Times New Roman"/>
                <w:color w:val="000000"/>
                <w:sz w:val="24"/>
                <w:szCs w:val="24"/>
                <w:lang w:eastAsia="ru-RU"/>
              </w:rPr>
              <w:t>5,74</w:t>
            </w:r>
          </w:p>
        </w:tc>
        <w:tc>
          <w:tcPr>
            <w:tcW w:w="968" w:type="dxa"/>
            <w:tcBorders>
              <w:top w:val="single" w:sz="4" w:space="0" w:color="auto"/>
              <w:left w:val="single" w:sz="4" w:space="0" w:color="auto"/>
              <w:bottom w:val="single" w:sz="4" w:space="0" w:color="auto"/>
              <w:right w:val="single" w:sz="4" w:space="0" w:color="auto"/>
            </w:tcBorders>
            <w:vAlign w:val="center"/>
          </w:tcPr>
          <w:p w:rsidR="001C5312" w:rsidRPr="00187565" w:rsidRDefault="001C5312" w:rsidP="001C5312">
            <w:pPr>
              <w:keepNext/>
              <w:spacing w:line="276" w:lineRule="auto"/>
              <w:jc w:val="center"/>
              <w:rPr>
                <w:rFonts w:eastAsia="Times New Roman"/>
                <w:sz w:val="24"/>
                <w:szCs w:val="24"/>
                <w:lang w:eastAsia="ru-RU"/>
              </w:rPr>
            </w:pPr>
            <w:r w:rsidRPr="00187565">
              <w:rPr>
                <w:rFonts w:eastAsia="Times New Roman"/>
                <w:sz w:val="24"/>
                <w:szCs w:val="24"/>
                <w:lang w:eastAsia="ru-RU"/>
              </w:rPr>
              <w:t>1,00</w:t>
            </w:r>
          </w:p>
        </w:tc>
        <w:tc>
          <w:tcPr>
            <w:tcW w:w="969" w:type="dxa"/>
            <w:tcBorders>
              <w:top w:val="single" w:sz="4" w:space="0" w:color="auto"/>
              <w:left w:val="single" w:sz="4" w:space="0" w:color="auto"/>
              <w:bottom w:val="single" w:sz="4" w:space="0" w:color="auto"/>
              <w:right w:val="single" w:sz="4" w:space="0" w:color="auto"/>
            </w:tcBorders>
            <w:vAlign w:val="center"/>
          </w:tcPr>
          <w:p w:rsidR="001C5312" w:rsidRPr="00187565" w:rsidRDefault="001C5312" w:rsidP="001C5312">
            <w:pPr>
              <w:keepNext/>
              <w:spacing w:line="276" w:lineRule="auto"/>
              <w:jc w:val="center"/>
              <w:rPr>
                <w:rFonts w:eastAsia="Times New Roman"/>
                <w:color w:val="000000"/>
                <w:sz w:val="24"/>
                <w:szCs w:val="24"/>
                <w:lang w:eastAsia="ru-RU"/>
              </w:rPr>
            </w:pPr>
            <w:r w:rsidRPr="00187565">
              <w:rPr>
                <w:rFonts w:eastAsia="Times New Roman"/>
                <w:color w:val="000000"/>
                <w:sz w:val="24"/>
                <w:szCs w:val="24"/>
                <w:lang w:eastAsia="ru-RU"/>
              </w:rPr>
              <w:t>0,96</w:t>
            </w:r>
          </w:p>
        </w:tc>
      </w:tr>
      <w:tr w:rsidR="001C5312" w:rsidRPr="00187565" w:rsidTr="001C5312">
        <w:trPr>
          <w:trHeight w:val="450"/>
        </w:trPr>
        <w:tc>
          <w:tcPr>
            <w:tcW w:w="4536" w:type="dxa"/>
            <w:tcBorders>
              <w:top w:val="single" w:sz="4" w:space="0" w:color="auto"/>
              <w:left w:val="single" w:sz="4" w:space="0" w:color="auto"/>
              <w:bottom w:val="single" w:sz="4" w:space="0" w:color="auto"/>
              <w:right w:val="single" w:sz="4" w:space="0" w:color="auto"/>
            </w:tcBorders>
            <w:vAlign w:val="center"/>
          </w:tcPr>
          <w:p w:rsidR="001C5312" w:rsidRPr="00187565" w:rsidRDefault="001C5312" w:rsidP="001C5312">
            <w:pPr>
              <w:keepNext/>
              <w:spacing w:line="276" w:lineRule="auto"/>
              <w:rPr>
                <w:rFonts w:eastAsia="Times New Roman"/>
                <w:sz w:val="24"/>
                <w:szCs w:val="24"/>
                <w:lang w:eastAsia="ru-RU"/>
              </w:rPr>
            </w:pPr>
            <w:r w:rsidRPr="00187565">
              <w:rPr>
                <w:rFonts w:eastAsia="Times New Roman"/>
                <w:sz w:val="24"/>
                <w:szCs w:val="24"/>
                <w:lang w:eastAsia="ru-RU"/>
              </w:rPr>
              <w:t>Співвідношення реального і фактичного показника ранньої неонатальної смертності</w:t>
            </w:r>
          </w:p>
        </w:tc>
        <w:tc>
          <w:tcPr>
            <w:tcW w:w="968" w:type="dxa"/>
            <w:tcBorders>
              <w:top w:val="single" w:sz="4" w:space="0" w:color="auto"/>
              <w:left w:val="single" w:sz="4" w:space="0" w:color="auto"/>
              <w:bottom w:val="single" w:sz="4" w:space="0" w:color="auto"/>
              <w:right w:val="single" w:sz="4" w:space="0" w:color="auto"/>
            </w:tcBorders>
            <w:vAlign w:val="center"/>
          </w:tcPr>
          <w:p w:rsidR="001C5312" w:rsidRPr="00187565" w:rsidRDefault="001C5312" w:rsidP="001C5312">
            <w:pPr>
              <w:keepNext/>
              <w:spacing w:line="276" w:lineRule="auto"/>
              <w:jc w:val="center"/>
              <w:rPr>
                <w:rFonts w:eastAsia="Times New Roman"/>
                <w:sz w:val="24"/>
                <w:szCs w:val="24"/>
                <w:lang w:eastAsia="ru-RU"/>
              </w:rPr>
            </w:pPr>
            <w:r w:rsidRPr="00187565">
              <w:rPr>
                <w:rFonts w:eastAsia="Times New Roman"/>
                <w:sz w:val="24"/>
                <w:szCs w:val="24"/>
                <w:lang w:eastAsia="ru-RU"/>
              </w:rPr>
              <w:t>*</w:t>
            </w:r>
          </w:p>
        </w:tc>
        <w:tc>
          <w:tcPr>
            <w:tcW w:w="1016" w:type="dxa"/>
            <w:tcBorders>
              <w:top w:val="single" w:sz="4" w:space="0" w:color="auto"/>
              <w:left w:val="single" w:sz="4" w:space="0" w:color="auto"/>
              <w:bottom w:val="single" w:sz="4" w:space="0" w:color="auto"/>
              <w:right w:val="single" w:sz="4" w:space="0" w:color="auto"/>
            </w:tcBorders>
            <w:vAlign w:val="center"/>
          </w:tcPr>
          <w:p w:rsidR="001C5312" w:rsidRPr="00187565" w:rsidRDefault="001C5312" w:rsidP="001C5312">
            <w:pPr>
              <w:keepNext/>
              <w:spacing w:line="276" w:lineRule="auto"/>
              <w:jc w:val="center"/>
              <w:rPr>
                <w:rFonts w:eastAsia="Times New Roman"/>
                <w:color w:val="000000"/>
                <w:sz w:val="24"/>
                <w:szCs w:val="24"/>
                <w:lang w:eastAsia="ru-RU"/>
              </w:rPr>
            </w:pPr>
            <w:r w:rsidRPr="00187565">
              <w:rPr>
                <w:rFonts w:eastAsia="Times New Roman"/>
                <w:color w:val="000000"/>
                <w:sz w:val="24"/>
                <w:szCs w:val="24"/>
                <w:lang w:eastAsia="ru-RU"/>
              </w:rPr>
              <w:t>2,65</w:t>
            </w:r>
          </w:p>
        </w:tc>
        <w:tc>
          <w:tcPr>
            <w:tcW w:w="968" w:type="dxa"/>
            <w:tcBorders>
              <w:top w:val="single" w:sz="4" w:space="0" w:color="auto"/>
              <w:left w:val="single" w:sz="4" w:space="0" w:color="auto"/>
              <w:bottom w:val="single" w:sz="4" w:space="0" w:color="auto"/>
              <w:right w:val="single" w:sz="4" w:space="0" w:color="auto"/>
            </w:tcBorders>
            <w:vAlign w:val="center"/>
          </w:tcPr>
          <w:p w:rsidR="001C5312" w:rsidRPr="00187565" w:rsidRDefault="001C5312" w:rsidP="001C5312">
            <w:pPr>
              <w:keepNext/>
              <w:spacing w:line="276" w:lineRule="auto"/>
              <w:jc w:val="center"/>
              <w:rPr>
                <w:rFonts w:eastAsia="Times New Roman"/>
                <w:sz w:val="24"/>
                <w:szCs w:val="24"/>
                <w:lang w:eastAsia="ru-RU"/>
              </w:rPr>
            </w:pPr>
            <w:r w:rsidRPr="00187565">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1C5312" w:rsidRPr="00187565" w:rsidRDefault="001C5312" w:rsidP="001C5312">
            <w:pPr>
              <w:keepNext/>
              <w:spacing w:line="276" w:lineRule="auto"/>
              <w:jc w:val="center"/>
              <w:rPr>
                <w:rFonts w:eastAsia="Times New Roman"/>
                <w:color w:val="000000"/>
                <w:sz w:val="24"/>
                <w:szCs w:val="24"/>
                <w:lang w:eastAsia="ru-RU"/>
              </w:rPr>
            </w:pPr>
            <w:r w:rsidRPr="00187565">
              <w:rPr>
                <w:rFonts w:eastAsia="Times New Roman"/>
                <w:color w:val="000000"/>
                <w:sz w:val="24"/>
                <w:szCs w:val="24"/>
                <w:lang w:eastAsia="ru-RU"/>
              </w:rPr>
              <w:t>1,40</w:t>
            </w:r>
          </w:p>
        </w:tc>
        <w:tc>
          <w:tcPr>
            <w:tcW w:w="968" w:type="dxa"/>
            <w:tcBorders>
              <w:top w:val="single" w:sz="4" w:space="0" w:color="auto"/>
              <w:left w:val="single" w:sz="4" w:space="0" w:color="auto"/>
              <w:bottom w:val="single" w:sz="4" w:space="0" w:color="auto"/>
              <w:right w:val="single" w:sz="4" w:space="0" w:color="auto"/>
            </w:tcBorders>
            <w:vAlign w:val="center"/>
          </w:tcPr>
          <w:p w:rsidR="001C5312" w:rsidRPr="00187565" w:rsidRDefault="001C5312" w:rsidP="001C5312">
            <w:pPr>
              <w:keepNext/>
              <w:spacing w:line="276" w:lineRule="auto"/>
              <w:jc w:val="center"/>
              <w:rPr>
                <w:rFonts w:eastAsia="Times New Roman"/>
                <w:sz w:val="24"/>
                <w:szCs w:val="24"/>
                <w:lang w:eastAsia="ru-RU"/>
              </w:rPr>
            </w:pPr>
            <w:r w:rsidRPr="00187565">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1C5312" w:rsidRPr="00187565" w:rsidRDefault="001C5312" w:rsidP="001C5312">
            <w:pPr>
              <w:keepNext/>
              <w:spacing w:line="276" w:lineRule="auto"/>
              <w:jc w:val="center"/>
              <w:rPr>
                <w:rFonts w:eastAsia="Times New Roman"/>
                <w:color w:val="000000"/>
                <w:sz w:val="24"/>
                <w:szCs w:val="24"/>
                <w:lang w:eastAsia="ru-RU"/>
              </w:rPr>
            </w:pPr>
            <w:r w:rsidRPr="00187565">
              <w:rPr>
                <w:rFonts w:eastAsia="Times New Roman"/>
                <w:color w:val="000000"/>
                <w:sz w:val="24"/>
                <w:szCs w:val="24"/>
                <w:lang w:eastAsia="ru-RU"/>
              </w:rPr>
              <w:t>0,23</w:t>
            </w:r>
          </w:p>
        </w:tc>
      </w:tr>
      <w:tr w:rsidR="001C5312" w:rsidRPr="00187565" w:rsidTr="001C5312">
        <w:trPr>
          <w:trHeight w:val="216"/>
        </w:trPr>
        <w:tc>
          <w:tcPr>
            <w:tcW w:w="4536" w:type="dxa"/>
            <w:tcBorders>
              <w:top w:val="single" w:sz="4" w:space="0" w:color="auto"/>
              <w:left w:val="single" w:sz="4" w:space="0" w:color="auto"/>
              <w:bottom w:val="single" w:sz="4" w:space="0" w:color="auto"/>
              <w:right w:val="single" w:sz="4" w:space="0" w:color="auto"/>
            </w:tcBorders>
            <w:vAlign w:val="center"/>
          </w:tcPr>
          <w:p w:rsidR="001C5312" w:rsidRPr="00187565" w:rsidRDefault="001C5312" w:rsidP="001C5312">
            <w:pPr>
              <w:keepNext/>
              <w:spacing w:line="276" w:lineRule="auto"/>
              <w:jc w:val="left"/>
              <w:rPr>
                <w:rFonts w:eastAsia="Times New Roman"/>
                <w:sz w:val="24"/>
                <w:szCs w:val="24"/>
                <w:lang w:eastAsia="ru-RU"/>
              </w:rPr>
            </w:pPr>
            <w:r w:rsidRPr="00187565">
              <w:rPr>
                <w:rFonts w:eastAsia="Times New Roman"/>
                <w:sz w:val="24"/>
                <w:szCs w:val="24"/>
                <w:lang w:eastAsia="ru-RU"/>
              </w:rPr>
              <w:t>Рівень неонатальної смертності</w:t>
            </w:r>
          </w:p>
        </w:tc>
        <w:tc>
          <w:tcPr>
            <w:tcW w:w="968" w:type="dxa"/>
            <w:tcBorders>
              <w:top w:val="single" w:sz="4" w:space="0" w:color="auto"/>
              <w:left w:val="single" w:sz="4" w:space="0" w:color="auto"/>
              <w:bottom w:val="single" w:sz="4" w:space="0" w:color="auto"/>
              <w:right w:val="single" w:sz="4" w:space="0" w:color="auto"/>
            </w:tcBorders>
            <w:vAlign w:val="center"/>
          </w:tcPr>
          <w:p w:rsidR="001C5312" w:rsidRPr="00187565" w:rsidRDefault="001C5312" w:rsidP="001C5312">
            <w:pPr>
              <w:keepNext/>
              <w:spacing w:line="276" w:lineRule="auto"/>
              <w:jc w:val="center"/>
              <w:rPr>
                <w:rFonts w:eastAsia="Times New Roman"/>
                <w:sz w:val="24"/>
                <w:szCs w:val="24"/>
                <w:lang w:eastAsia="ru-RU"/>
              </w:rPr>
            </w:pPr>
            <w:r w:rsidRPr="00187565">
              <w:rPr>
                <w:rFonts w:eastAsia="Times New Roman"/>
                <w:sz w:val="24"/>
                <w:szCs w:val="24"/>
                <w:lang w:eastAsia="ru-RU"/>
              </w:rPr>
              <w:t>2,94</w:t>
            </w:r>
          </w:p>
        </w:tc>
        <w:tc>
          <w:tcPr>
            <w:tcW w:w="1016" w:type="dxa"/>
            <w:tcBorders>
              <w:top w:val="single" w:sz="4" w:space="0" w:color="auto"/>
              <w:left w:val="single" w:sz="4" w:space="0" w:color="auto"/>
              <w:bottom w:val="single" w:sz="4" w:space="0" w:color="auto"/>
              <w:right w:val="single" w:sz="4" w:space="0" w:color="auto"/>
            </w:tcBorders>
            <w:vAlign w:val="center"/>
          </w:tcPr>
          <w:p w:rsidR="001C5312" w:rsidRPr="00187565" w:rsidRDefault="001C5312" w:rsidP="001C5312">
            <w:pPr>
              <w:keepNext/>
              <w:spacing w:line="276" w:lineRule="auto"/>
              <w:jc w:val="center"/>
              <w:rPr>
                <w:rFonts w:eastAsia="Times New Roman"/>
                <w:color w:val="000000"/>
                <w:sz w:val="24"/>
                <w:szCs w:val="24"/>
                <w:lang w:eastAsia="ru-RU"/>
              </w:rPr>
            </w:pPr>
            <w:r w:rsidRPr="00187565">
              <w:rPr>
                <w:rFonts w:eastAsia="Times New Roman"/>
                <w:color w:val="000000"/>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1C5312" w:rsidRPr="00187565" w:rsidRDefault="001C5312" w:rsidP="001C5312">
            <w:pPr>
              <w:keepNext/>
              <w:spacing w:line="276" w:lineRule="auto"/>
              <w:jc w:val="center"/>
              <w:rPr>
                <w:rFonts w:eastAsia="Times New Roman"/>
                <w:sz w:val="24"/>
                <w:szCs w:val="24"/>
                <w:lang w:eastAsia="ru-RU"/>
              </w:rPr>
            </w:pPr>
            <w:r w:rsidRPr="00187565">
              <w:rPr>
                <w:rFonts w:eastAsia="Times New Roman"/>
                <w:sz w:val="24"/>
                <w:szCs w:val="24"/>
                <w:lang w:eastAsia="ru-RU"/>
              </w:rPr>
              <w:t>6,0</w:t>
            </w:r>
          </w:p>
        </w:tc>
        <w:tc>
          <w:tcPr>
            <w:tcW w:w="969" w:type="dxa"/>
            <w:tcBorders>
              <w:top w:val="single" w:sz="4" w:space="0" w:color="auto"/>
              <w:left w:val="single" w:sz="4" w:space="0" w:color="auto"/>
              <w:bottom w:val="single" w:sz="4" w:space="0" w:color="auto"/>
              <w:right w:val="single" w:sz="4" w:space="0" w:color="auto"/>
            </w:tcBorders>
            <w:vAlign w:val="center"/>
          </w:tcPr>
          <w:p w:rsidR="001C5312" w:rsidRPr="00187565" w:rsidRDefault="001C5312" w:rsidP="001C5312">
            <w:pPr>
              <w:keepNext/>
              <w:spacing w:line="276" w:lineRule="auto"/>
              <w:jc w:val="center"/>
              <w:rPr>
                <w:rFonts w:eastAsia="Times New Roman"/>
                <w:color w:val="000000"/>
                <w:sz w:val="24"/>
                <w:szCs w:val="24"/>
                <w:lang w:eastAsia="ru-RU"/>
              </w:rPr>
            </w:pPr>
            <w:r w:rsidRPr="00187565">
              <w:rPr>
                <w:rFonts w:eastAsia="Times New Roman"/>
                <w:color w:val="000000"/>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1C5312" w:rsidRPr="00187565" w:rsidRDefault="001C5312" w:rsidP="001C5312">
            <w:pPr>
              <w:keepNext/>
              <w:spacing w:line="276" w:lineRule="auto"/>
              <w:jc w:val="center"/>
              <w:rPr>
                <w:rFonts w:eastAsia="Times New Roman"/>
                <w:sz w:val="24"/>
                <w:szCs w:val="24"/>
                <w:lang w:eastAsia="ru-RU"/>
              </w:rPr>
            </w:pPr>
            <w:r w:rsidRPr="00187565">
              <w:rPr>
                <w:rFonts w:eastAsia="Times New Roman"/>
                <w:sz w:val="24"/>
                <w:szCs w:val="24"/>
                <w:lang w:eastAsia="ru-RU"/>
              </w:rPr>
              <w:t>1,0</w:t>
            </w:r>
          </w:p>
        </w:tc>
        <w:tc>
          <w:tcPr>
            <w:tcW w:w="969" w:type="dxa"/>
            <w:tcBorders>
              <w:top w:val="single" w:sz="4" w:space="0" w:color="auto"/>
              <w:left w:val="single" w:sz="4" w:space="0" w:color="auto"/>
              <w:bottom w:val="single" w:sz="4" w:space="0" w:color="auto"/>
              <w:right w:val="single" w:sz="4" w:space="0" w:color="auto"/>
            </w:tcBorders>
            <w:vAlign w:val="center"/>
          </w:tcPr>
          <w:p w:rsidR="001C5312" w:rsidRPr="00187565" w:rsidRDefault="001C5312" w:rsidP="001C5312">
            <w:pPr>
              <w:keepNext/>
              <w:spacing w:line="276" w:lineRule="auto"/>
              <w:jc w:val="center"/>
              <w:rPr>
                <w:rFonts w:eastAsia="Times New Roman"/>
                <w:color w:val="000000"/>
                <w:sz w:val="24"/>
                <w:szCs w:val="24"/>
                <w:lang w:eastAsia="ru-RU"/>
              </w:rPr>
            </w:pPr>
            <w:r w:rsidRPr="00187565">
              <w:rPr>
                <w:rFonts w:eastAsia="Times New Roman"/>
                <w:color w:val="000000"/>
                <w:sz w:val="24"/>
                <w:szCs w:val="24"/>
                <w:lang w:eastAsia="ru-RU"/>
              </w:rPr>
              <w:t>**</w:t>
            </w:r>
          </w:p>
        </w:tc>
      </w:tr>
      <w:tr w:rsidR="001C5312" w:rsidRPr="00187565" w:rsidTr="001C5312">
        <w:trPr>
          <w:trHeight w:val="284"/>
        </w:trPr>
        <w:tc>
          <w:tcPr>
            <w:tcW w:w="4536" w:type="dxa"/>
            <w:tcBorders>
              <w:top w:val="single" w:sz="4" w:space="0" w:color="auto"/>
              <w:left w:val="single" w:sz="4" w:space="0" w:color="auto"/>
              <w:bottom w:val="single" w:sz="4" w:space="0" w:color="auto"/>
              <w:right w:val="single" w:sz="4" w:space="0" w:color="auto"/>
            </w:tcBorders>
            <w:vAlign w:val="center"/>
          </w:tcPr>
          <w:p w:rsidR="001C5312" w:rsidRPr="00187565" w:rsidRDefault="001C5312" w:rsidP="001C5312">
            <w:pPr>
              <w:keepNext/>
              <w:spacing w:line="276" w:lineRule="auto"/>
              <w:jc w:val="left"/>
              <w:rPr>
                <w:rFonts w:eastAsia="Times New Roman"/>
                <w:sz w:val="24"/>
                <w:szCs w:val="24"/>
                <w:lang w:eastAsia="ru-RU"/>
              </w:rPr>
            </w:pPr>
            <w:r w:rsidRPr="00187565">
              <w:rPr>
                <w:rFonts w:eastAsia="Times New Roman"/>
                <w:sz w:val="24"/>
                <w:szCs w:val="24"/>
                <w:lang w:eastAsia="ru-RU"/>
              </w:rPr>
              <w:t xml:space="preserve">Рівень ранньої неонатальної смертності </w:t>
            </w:r>
          </w:p>
        </w:tc>
        <w:tc>
          <w:tcPr>
            <w:tcW w:w="968" w:type="dxa"/>
            <w:tcBorders>
              <w:top w:val="single" w:sz="4" w:space="0" w:color="auto"/>
              <w:left w:val="single" w:sz="4" w:space="0" w:color="auto"/>
              <w:bottom w:val="single" w:sz="4" w:space="0" w:color="auto"/>
              <w:right w:val="single" w:sz="4" w:space="0" w:color="auto"/>
            </w:tcBorders>
            <w:vAlign w:val="center"/>
          </w:tcPr>
          <w:p w:rsidR="001C5312" w:rsidRPr="00187565" w:rsidRDefault="001C5312" w:rsidP="001C5312">
            <w:pPr>
              <w:keepNext/>
              <w:spacing w:line="276" w:lineRule="auto"/>
              <w:jc w:val="center"/>
              <w:rPr>
                <w:rFonts w:eastAsia="Times New Roman"/>
                <w:sz w:val="24"/>
                <w:szCs w:val="24"/>
                <w:lang w:eastAsia="ru-RU"/>
              </w:rPr>
            </w:pPr>
            <w:r w:rsidRPr="00187565">
              <w:rPr>
                <w:rFonts w:eastAsia="Times New Roman"/>
                <w:sz w:val="24"/>
                <w:szCs w:val="24"/>
                <w:lang w:eastAsia="ru-RU"/>
              </w:rPr>
              <w:t>*</w:t>
            </w:r>
          </w:p>
        </w:tc>
        <w:tc>
          <w:tcPr>
            <w:tcW w:w="1016" w:type="dxa"/>
            <w:tcBorders>
              <w:top w:val="single" w:sz="4" w:space="0" w:color="auto"/>
              <w:left w:val="single" w:sz="4" w:space="0" w:color="auto"/>
              <w:bottom w:val="single" w:sz="4" w:space="0" w:color="auto"/>
              <w:right w:val="single" w:sz="4" w:space="0" w:color="auto"/>
            </w:tcBorders>
            <w:vAlign w:val="center"/>
          </w:tcPr>
          <w:p w:rsidR="001C5312" w:rsidRPr="00187565" w:rsidRDefault="001C5312" w:rsidP="001C5312">
            <w:pPr>
              <w:keepNext/>
              <w:spacing w:line="276" w:lineRule="auto"/>
              <w:jc w:val="center"/>
              <w:rPr>
                <w:rFonts w:eastAsia="Times New Roman"/>
                <w:color w:val="000000"/>
                <w:sz w:val="24"/>
                <w:szCs w:val="24"/>
                <w:lang w:eastAsia="ru-RU"/>
              </w:rPr>
            </w:pPr>
            <w:r w:rsidRPr="00187565">
              <w:rPr>
                <w:rFonts w:eastAsia="Times New Roman"/>
                <w:color w:val="000000"/>
                <w:sz w:val="24"/>
                <w:szCs w:val="24"/>
                <w:lang w:eastAsia="ru-RU"/>
              </w:rPr>
              <w:t>2,37</w:t>
            </w:r>
          </w:p>
        </w:tc>
        <w:tc>
          <w:tcPr>
            <w:tcW w:w="968" w:type="dxa"/>
            <w:tcBorders>
              <w:top w:val="single" w:sz="4" w:space="0" w:color="auto"/>
              <w:left w:val="single" w:sz="4" w:space="0" w:color="auto"/>
              <w:bottom w:val="single" w:sz="4" w:space="0" w:color="auto"/>
              <w:right w:val="single" w:sz="4" w:space="0" w:color="auto"/>
            </w:tcBorders>
            <w:vAlign w:val="center"/>
          </w:tcPr>
          <w:p w:rsidR="001C5312" w:rsidRPr="00187565" w:rsidRDefault="001C5312" w:rsidP="001C5312">
            <w:pPr>
              <w:keepNext/>
              <w:spacing w:line="276" w:lineRule="auto"/>
              <w:jc w:val="center"/>
              <w:rPr>
                <w:rFonts w:eastAsia="Times New Roman"/>
                <w:sz w:val="24"/>
                <w:szCs w:val="24"/>
                <w:lang w:eastAsia="ru-RU"/>
              </w:rPr>
            </w:pPr>
            <w:r w:rsidRPr="00187565">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1C5312" w:rsidRPr="00187565" w:rsidRDefault="001C5312" w:rsidP="001C5312">
            <w:pPr>
              <w:keepNext/>
              <w:spacing w:line="276" w:lineRule="auto"/>
              <w:jc w:val="center"/>
              <w:rPr>
                <w:rFonts w:eastAsia="Times New Roman"/>
                <w:color w:val="000000"/>
                <w:sz w:val="24"/>
                <w:szCs w:val="24"/>
                <w:lang w:eastAsia="ru-RU"/>
              </w:rPr>
            </w:pPr>
            <w:r w:rsidRPr="00187565">
              <w:rPr>
                <w:rFonts w:eastAsia="Times New Roman"/>
                <w:color w:val="000000"/>
                <w:sz w:val="24"/>
                <w:szCs w:val="24"/>
                <w:lang w:eastAsia="ru-RU"/>
              </w:rPr>
              <w:t>6,0</w:t>
            </w:r>
          </w:p>
        </w:tc>
        <w:tc>
          <w:tcPr>
            <w:tcW w:w="968" w:type="dxa"/>
            <w:tcBorders>
              <w:top w:val="single" w:sz="4" w:space="0" w:color="auto"/>
              <w:left w:val="single" w:sz="4" w:space="0" w:color="auto"/>
              <w:bottom w:val="single" w:sz="4" w:space="0" w:color="auto"/>
              <w:right w:val="single" w:sz="4" w:space="0" w:color="auto"/>
            </w:tcBorders>
            <w:vAlign w:val="center"/>
          </w:tcPr>
          <w:p w:rsidR="001C5312" w:rsidRPr="00187565" w:rsidRDefault="001C5312" w:rsidP="001C5312">
            <w:pPr>
              <w:keepNext/>
              <w:spacing w:line="276" w:lineRule="auto"/>
              <w:jc w:val="center"/>
              <w:rPr>
                <w:rFonts w:eastAsia="Times New Roman"/>
                <w:sz w:val="24"/>
                <w:szCs w:val="24"/>
                <w:lang w:eastAsia="ru-RU"/>
              </w:rPr>
            </w:pPr>
            <w:r w:rsidRPr="00187565">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1C5312" w:rsidRPr="00187565" w:rsidRDefault="001C5312" w:rsidP="001C5312">
            <w:pPr>
              <w:keepNext/>
              <w:spacing w:line="276" w:lineRule="auto"/>
              <w:jc w:val="center"/>
              <w:rPr>
                <w:rFonts w:eastAsia="Times New Roman"/>
                <w:color w:val="000000"/>
                <w:sz w:val="24"/>
                <w:szCs w:val="24"/>
                <w:lang w:eastAsia="ru-RU"/>
              </w:rPr>
            </w:pPr>
            <w:r w:rsidRPr="00187565">
              <w:rPr>
                <w:rFonts w:eastAsia="Times New Roman"/>
                <w:color w:val="000000"/>
                <w:sz w:val="24"/>
                <w:szCs w:val="24"/>
                <w:lang w:eastAsia="ru-RU"/>
              </w:rPr>
              <w:t>1,00</w:t>
            </w:r>
          </w:p>
        </w:tc>
      </w:tr>
      <w:tr w:rsidR="001C5312" w:rsidRPr="00187565" w:rsidTr="001C5312">
        <w:trPr>
          <w:trHeight w:val="288"/>
        </w:trPr>
        <w:tc>
          <w:tcPr>
            <w:tcW w:w="4536" w:type="dxa"/>
            <w:tcBorders>
              <w:top w:val="single" w:sz="4" w:space="0" w:color="auto"/>
              <w:left w:val="single" w:sz="4" w:space="0" w:color="auto"/>
              <w:bottom w:val="single" w:sz="4" w:space="0" w:color="auto"/>
              <w:right w:val="single" w:sz="4" w:space="0" w:color="auto"/>
            </w:tcBorders>
            <w:vAlign w:val="bottom"/>
          </w:tcPr>
          <w:p w:rsidR="001C5312" w:rsidRPr="00187565" w:rsidRDefault="001C5312" w:rsidP="001C5312">
            <w:pPr>
              <w:keepNext/>
              <w:spacing w:line="276" w:lineRule="auto"/>
              <w:jc w:val="left"/>
              <w:rPr>
                <w:rFonts w:eastAsia="Times New Roman"/>
                <w:sz w:val="24"/>
                <w:szCs w:val="24"/>
                <w:lang w:eastAsia="ru-RU"/>
              </w:rPr>
            </w:pPr>
            <w:r w:rsidRPr="00187565">
              <w:rPr>
                <w:rFonts w:eastAsia="Times New Roman"/>
                <w:sz w:val="24"/>
                <w:szCs w:val="24"/>
                <w:lang w:eastAsia="ru-RU"/>
              </w:rPr>
              <w:t xml:space="preserve">Рівень материнської смертності </w:t>
            </w:r>
          </w:p>
        </w:tc>
        <w:tc>
          <w:tcPr>
            <w:tcW w:w="968" w:type="dxa"/>
            <w:tcBorders>
              <w:top w:val="single" w:sz="4" w:space="0" w:color="auto"/>
              <w:left w:val="single" w:sz="4" w:space="0" w:color="auto"/>
              <w:bottom w:val="single" w:sz="4" w:space="0" w:color="auto"/>
              <w:right w:val="single" w:sz="4" w:space="0" w:color="auto"/>
            </w:tcBorders>
            <w:vAlign w:val="center"/>
          </w:tcPr>
          <w:p w:rsidR="001C5312" w:rsidRPr="00187565" w:rsidRDefault="001C5312" w:rsidP="001C5312">
            <w:pPr>
              <w:keepNext/>
              <w:spacing w:line="276" w:lineRule="auto"/>
              <w:jc w:val="center"/>
              <w:rPr>
                <w:rFonts w:eastAsia="Times New Roman"/>
                <w:sz w:val="24"/>
                <w:szCs w:val="24"/>
                <w:lang w:eastAsia="ru-RU"/>
              </w:rPr>
            </w:pPr>
            <w:r w:rsidRPr="00187565">
              <w:rPr>
                <w:rFonts w:eastAsia="Times New Roman"/>
                <w:sz w:val="24"/>
                <w:szCs w:val="24"/>
                <w:lang w:eastAsia="ru-RU"/>
              </w:rPr>
              <w:t>0</w:t>
            </w:r>
          </w:p>
        </w:tc>
        <w:tc>
          <w:tcPr>
            <w:tcW w:w="1016" w:type="dxa"/>
            <w:tcBorders>
              <w:top w:val="single" w:sz="4" w:space="0" w:color="auto"/>
              <w:left w:val="single" w:sz="4" w:space="0" w:color="auto"/>
              <w:bottom w:val="single" w:sz="4" w:space="0" w:color="auto"/>
              <w:right w:val="single" w:sz="4" w:space="0" w:color="auto"/>
            </w:tcBorders>
            <w:vAlign w:val="center"/>
          </w:tcPr>
          <w:p w:rsidR="001C5312" w:rsidRPr="00187565" w:rsidRDefault="001C5312" w:rsidP="001C5312">
            <w:pPr>
              <w:keepNext/>
              <w:spacing w:line="276" w:lineRule="auto"/>
              <w:jc w:val="center"/>
              <w:rPr>
                <w:rFonts w:eastAsia="Times New Roman"/>
                <w:color w:val="000000"/>
                <w:sz w:val="24"/>
                <w:szCs w:val="24"/>
                <w:lang w:eastAsia="ru-RU"/>
              </w:rPr>
            </w:pPr>
            <w:r w:rsidRPr="00187565">
              <w:rPr>
                <w:rFonts w:eastAsia="Times New Roman"/>
                <w:color w:val="000000"/>
                <w:sz w:val="24"/>
                <w:szCs w:val="24"/>
                <w:lang w:eastAsia="ru-RU"/>
              </w:rPr>
              <w:t>32,8</w:t>
            </w:r>
          </w:p>
        </w:tc>
        <w:tc>
          <w:tcPr>
            <w:tcW w:w="968" w:type="dxa"/>
            <w:tcBorders>
              <w:top w:val="single" w:sz="4" w:space="0" w:color="auto"/>
              <w:left w:val="single" w:sz="4" w:space="0" w:color="auto"/>
              <w:bottom w:val="single" w:sz="4" w:space="0" w:color="auto"/>
              <w:right w:val="single" w:sz="4" w:space="0" w:color="auto"/>
            </w:tcBorders>
            <w:vAlign w:val="center"/>
          </w:tcPr>
          <w:p w:rsidR="001C5312" w:rsidRPr="00187565" w:rsidRDefault="001C5312" w:rsidP="001C5312">
            <w:pPr>
              <w:keepNext/>
              <w:spacing w:line="276" w:lineRule="auto"/>
              <w:jc w:val="center"/>
              <w:rPr>
                <w:rFonts w:eastAsia="Times New Roman"/>
                <w:sz w:val="24"/>
                <w:szCs w:val="24"/>
                <w:lang w:eastAsia="ru-RU"/>
              </w:rPr>
            </w:pPr>
            <w:r w:rsidRPr="00187565">
              <w:rPr>
                <w:rFonts w:eastAsia="Times New Roman"/>
                <w:sz w:val="24"/>
                <w:szCs w:val="24"/>
                <w:lang w:eastAsia="ru-RU"/>
              </w:rPr>
              <w:t>5,0</w:t>
            </w:r>
          </w:p>
        </w:tc>
        <w:tc>
          <w:tcPr>
            <w:tcW w:w="969" w:type="dxa"/>
            <w:tcBorders>
              <w:top w:val="single" w:sz="4" w:space="0" w:color="auto"/>
              <w:left w:val="single" w:sz="4" w:space="0" w:color="auto"/>
              <w:bottom w:val="single" w:sz="4" w:space="0" w:color="auto"/>
              <w:right w:val="single" w:sz="4" w:space="0" w:color="auto"/>
            </w:tcBorders>
            <w:vAlign w:val="center"/>
          </w:tcPr>
          <w:p w:rsidR="001C5312" w:rsidRPr="00187565" w:rsidRDefault="001C5312" w:rsidP="001C5312">
            <w:pPr>
              <w:keepNext/>
              <w:spacing w:line="276" w:lineRule="auto"/>
              <w:jc w:val="center"/>
              <w:rPr>
                <w:rFonts w:eastAsia="Times New Roman"/>
                <w:color w:val="000000"/>
                <w:sz w:val="24"/>
                <w:szCs w:val="24"/>
                <w:lang w:eastAsia="ru-RU"/>
              </w:rPr>
            </w:pPr>
            <w:r w:rsidRPr="00187565">
              <w:rPr>
                <w:rFonts w:eastAsia="Times New Roman"/>
                <w:color w:val="000000"/>
                <w:sz w:val="24"/>
                <w:szCs w:val="24"/>
                <w:lang w:eastAsia="ru-RU"/>
              </w:rPr>
              <w:t>0,0</w:t>
            </w:r>
          </w:p>
        </w:tc>
        <w:tc>
          <w:tcPr>
            <w:tcW w:w="968" w:type="dxa"/>
            <w:tcBorders>
              <w:top w:val="single" w:sz="4" w:space="0" w:color="auto"/>
              <w:left w:val="single" w:sz="4" w:space="0" w:color="auto"/>
              <w:bottom w:val="single" w:sz="4" w:space="0" w:color="auto"/>
              <w:right w:val="single" w:sz="4" w:space="0" w:color="auto"/>
            </w:tcBorders>
            <w:vAlign w:val="center"/>
          </w:tcPr>
          <w:p w:rsidR="001C5312" w:rsidRPr="00187565" w:rsidRDefault="001C5312" w:rsidP="001C5312">
            <w:pPr>
              <w:keepNext/>
              <w:spacing w:line="276" w:lineRule="auto"/>
              <w:jc w:val="center"/>
              <w:rPr>
                <w:rFonts w:eastAsia="Times New Roman"/>
                <w:sz w:val="24"/>
                <w:szCs w:val="24"/>
                <w:lang w:eastAsia="ru-RU"/>
              </w:rPr>
            </w:pPr>
            <w:r w:rsidRPr="00187565">
              <w:rPr>
                <w:rFonts w:eastAsia="Times New Roman"/>
                <w:sz w:val="24"/>
                <w:szCs w:val="24"/>
                <w:lang w:eastAsia="ru-RU"/>
              </w:rPr>
              <w:t>1,0</w:t>
            </w:r>
          </w:p>
        </w:tc>
        <w:tc>
          <w:tcPr>
            <w:tcW w:w="969" w:type="dxa"/>
            <w:tcBorders>
              <w:top w:val="single" w:sz="4" w:space="0" w:color="auto"/>
              <w:left w:val="single" w:sz="4" w:space="0" w:color="auto"/>
              <w:bottom w:val="single" w:sz="4" w:space="0" w:color="auto"/>
              <w:right w:val="single" w:sz="4" w:space="0" w:color="auto"/>
            </w:tcBorders>
            <w:vAlign w:val="center"/>
          </w:tcPr>
          <w:p w:rsidR="001C5312" w:rsidRPr="00187565" w:rsidRDefault="001C5312" w:rsidP="001C5312">
            <w:pPr>
              <w:keepNext/>
              <w:spacing w:line="276" w:lineRule="auto"/>
              <w:jc w:val="center"/>
              <w:rPr>
                <w:rFonts w:eastAsia="Times New Roman"/>
                <w:color w:val="000000"/>
                <w:sz w:val="24"/>
                <w:szCs w:val="24"/>
                <w:lang w:eastAsia="ru-RU"/>
              </w:rPr>
            </w:pPr>
            <w:r w:rsidRPr="00187565">
              <w:rPr>
                <w:rFonts w:eastAsia="Times New Roman"/>
                <w:color w:val="000000"/>
                <w:sz w:val="24"/>
                <w:szCs w:val="24"/>
                <w:lang w:eastAsia="ru-RU"/>
              </w:rPr>
              <w:t>0,00</w:t>
            </w:r>
          </w:p>
        </w:tc>
      </w:tr>
      <w:tr w:rsidR="001C5312" w:rsidRPr="00187565" w:rsidTr="001C5312">
        <w:trPr>
          <w:trHeight w:val="264"/>
        </w:trPr>
        <w:tc>
          <w:tcPr>
            <w:tcW w:w="4536" w:type="dxa"/>
            <w:tcBorders>
              <w:top w:val="single" w:sz="4" w:space="0" w:color="auto"/>
              <w:left w:val="single" w:sz="4" w:space="0" w:color="auto"/>
              <w:bottom w:val="single" w:sz="4" w:space="0" w:color="auto"/>
              <w:right w:val="single" w:sz="4" w:space="0" w:color="auto"/>
            </w:tcBorders>
            <w:vAlign w:val="bottom"/>
          </w:tcPr>
          <w:p w:rsidR="001C5312" w:rsidRPr="00187565" w:rsidRDefault="001C5312" w:rsidP="001C5312">
            <w:pPr>
              <w:keepNext/>
              <w:spacing w:line="276" w:lineRule="auto"/>
              <w:jc w:val="left"/>
              <w:rPr>
                <w:rFonts w:eastAsia="Times New Roman"/>
                <w:sz w:val="24"/>
                <w:szCs w:val="24"/>
                <w:lang w:eastAsia="ru-RU"/>
              </w:rPr>
            </w:pPr>
          </w:p>
        </w:tc>
        <w:tc>
          <w:tcPr>
            <w:tcW w:w="968" w:type="dxa"/>
            <w:tcBorders>
              <w:top w:val="single" w:sz="4" w:space="0" w:color="auto"/>
              <w:left w:val="single" w:sz="4" w:space="0" w:color="auto"/>
              <w:bottom w:val="single" w:sz="4" w:space="0" w:color="auto"/>
              <w:right w:val="single" w:sz="4" w:space="0" w:color="auto"/>
            </w:tcBorders>
            <w:vAlign w:val="center"/>
          </w:tcPr>
          <w:p w:rsidR="001C5312" w:rsidRPr="00187565" w:rsidRDefault="001C5312" w:rsidP="001C5312">
            <w:pPr>
              <w:keepNext/>
              <w:spacing w:line="276" w:lineRule="auto"/>
              <w:jc w:val="center"/>
              <w:rPr>
                <w:rFonts w:eastAsia="Times New Roman"/>
                <w:sz w:val="24"/>
                <w:szCs w:val="24"/>
                <w:lang w:eastAsia="ru-RU"/>
              </w:rPr>
            </w:pPr>
          </w:p>
        </w:tc>
        <w:tc>
          <w:tcPr>
            <w:tcW w:w="1016" w:type="dxa"/>
            <w:tcBorders>
              <w:top w:val="single" w:sz="4" w:space="0" w:color="auto"/>
              <w:left w:val="single" w:sz="4" w:space="0" w:color="auto"/>
              <w:bottom w:val="single" w:sz="4" w:space="0" w:color="auto"/>
              <w:right w:val="single" w:sz="4" w:space="0" w:color="auto"/>
            </w:tcBorders>
            <w:vAlign w:val="center"/>
          </w:tcPr>
          <w:p w:rsidR="001C5312" w:rsidRPr="00187565" w:rsidRDefault="001C5312" w:rsidP="001C5312">
            <w:pPr>
              <w:keepNext/>
              <w:spacing w:line="276" w:lineRule="auto"/>
              <w:jc w:val="center"/>
              <w:rPr>
                <w:rFonts w:eastAsia="Times New Roman"/>
                <w:color w:val="000000"/>
                <w:sz w:val="24"/>
                <w:szCs w:val="24"/>
                <w:lang w:eastAsia="ru-RU"/>
              </w:rPr>
            </w:pPr>
          </w:p>
        </w:tc>
        <w:tc>
          <w:tcPr>
            <w:tcW w:w="968" w:type="dxa"/>
            <w:tcBorders>
              <w:top w:val="single" w:sz="4" w:space="0" w:color="auto"/>
              <w:left w:val="single" w:sz="4" w:space="0" w:color="auto"/>
              <w:bottom w:val="single" w:sz="4" w:space="0" w:color="auto"/>
              <w:right w:val="single" w:sz="4" w:space="0" w:color="auto"/>
            </w:tcBorders>
            <w:vAlign w:val="center"/>
          </w:tcPr>
          <w:p w:rsidR="001C5312" w:rsidRPr="00187565" w:rsidRDefault="001C5312" w:rsidP="001C5312">
            <w:pPr>
              <w:keepNext/>
              <w:spacing w:line="276" w:lineRule="auto"/>
              <w:jc w:val="center"/>
              <w:rPr>
                <w:rFonts w:eastAsia="Times New Roman"/>
                <w:color w:val="000000"/>
                <w:sz w:val="24"/>
                <w:szCs w:val="24"/>
                <w:lang w:eastAsia="ru-RU"/>
              </w:rPr>
            </w:pPr>
            <w:r w:rsidRPr="00187565">
              <w:rPr>
                <w:rFonts w:eastAsia="Times New Roman"/>
                <w:color w:val="000000"/>
                <w:sz w:val="24"/>
                <w:szCs w:val="24"/>
                <w:lang w:eastAsia="ru-RU"/>
              </w:rPr>
              <w:t>84,76</w:t>
            </w:r>
          </w:p>
        </w:tc>
        <w:tc>
          <w:tcPr>
            <w:tcW w:w="969" w:type="dxa"/>
            <w:tcBorders>
              <w:top w:val="single" w:sz="4" w:space="0" w:color="auto"/>
              <w:left w:val="single" w:sz="4" w:space="0" w:color="auto"/>
              <w:bottom w:val="single" w:sz="4" w:space="0" w:color="auto"/>
              <w:right w:val="single" w:sz="4" w:space="0" w:color="auto"/>
            </w:tcBorders>
            <w:vAlign w:val="center"/>
          </w:tcPr>
          <w:p w:rsidR="001C5312" w:rsidRPr="00187565" w:rsidRDefault="001C5312" w:rsidP="001C5312">
            <w:pPr>
              <w:keepNext/>
              <w:spacing w:line="276" w:lineRule="auto"/>
              <w:jc w:val="center"/>
              <w:rPr>
                <w:rFonts w:eastAsia="Times New Roman"/>
                <w:color w:val="000000"/>
                <w:sz w:val="24"/>
                <w:szCs w:val="24"/>
                <w:lang w:eastAsia="ru-RU"/>
              </w:rPr>
            </w:pPr>
            <w:r w:rsidRPr="00187565">
              <w:rPr>
                <w:rFonts w:eastAsia="Times New Roman"/>
                <w:color w:val="000000"/>
                <w:sz w:val="24"/>
                <w:szCs w:val="24"/>
                <w:lang w:eastAsia="ru-RU"/>
              </w:rPr>
              <w:t>93,48</w:t>
            </w:r>
          </w:p>
        </w:tc>
        <w:tc>
          <w:tcPr>
            <w:tcW w:w="968" w:type="dxa"/>
            <w:tcBorders>
              <w:top w:val="single" w:sz="4" w:space="0" w:color="auto"/>
              <w:left w:val="single" w:sz="4" w:space="0" w:color="auto"/>
              <w:bottom w:val="single" w:sz="4" w:space="0" w:color="auto"/>
              <w:right w:val="single" w:sz="4" w:space="0" w:color="auto"/>
            </w:tcBorders>
            <w:vAlign w:val="center"/>
          </w:tcPr>
          <w:p w:rsidR="001C5312" w:rsidRPr="00187565" w:rsidRDefault="001C5312" w:rsidP="001C5312">
            <w:pPr>
              <w:keepNext/>
              <w:spacing w:line="276" w:lineRule="auto"/>
              <w:jc w:val="center"/>
              <w:rPr>
                <w:rFonts w:eastAsia="Times New Roman"/>
                <w:color w:val="000000"/>
                <w:sz w:val="24"/>
                <w:szCs w:val="24"/>
                <w:lang w:eastAsia="ru-RU"/>
              </w:rPr>
            </w:pPr>
            <w:r w:rsidRPr="00187565">
              <w:rPr>
                <w:rFonts w:eastAsia="Times New Roman"/>
                <w:color w:val="000000"/>
                <w:sz w:val="24"/>
                <w:szCs w:val="24"/>
                <w:lang w:eastAsia="ru-RU"/>
              </w:rPr>
              <w:t>0,71</w:t>
            </w:r>
          </w:p>
        </w:tc>
        <w:tc>
          <w:tcPr>
            <w:tcW w:w="969" w:type="dxa"/>
            <w:tcBorders>
              <w:top w:val="single" w:sz="4" w:space="0" w:color="auto"/>
              <w:left w:val="single" w:sz="4" w:space="0" w:color="auto"/>
              <w:bottom w:val="single" w:sz="4" w:space="0" w:color="auto"/>
              <w:right w:val="single" w:sz="4" w:space="0" w:color="auto"/>
            </w:tcBorders>
            <w:vAlign w:val="center"/>
          </w:tcPr>
          <w:p w:rsidR="001C5312" w:rsidRPr="00187565" w:rsidRDefault="001C5312" w:rsidP="001C5312">
            <w:pPr>
              <w:keepNext/>
              <w:spacing w:line="276" w:lineRule="auto"/>
              <w:jc w:val="center"/>
              <w:rPr>
                <w:rFonts w:eastAsia="Times New Roman"/>
                <w:color w:val="000000"/>
                <w:sz w:val="24"/>
                <w:szCs w:val="24"/>
                <w:lang w:eastAsia="ru-RU"/>
              </w:rPr>
            </w:pPr>
            <w:r w:rsidRPr="00187565">
              <w:rPr>
                <w:rFonts w:eastAsia="Times New Roman"/>
                <w:color w:val="000000"/>
                <w:sz w:val="24"/>
                <w:szCs w:val="24"/>
                <w:lang w:eastAsia="ru-RU"/>
              </w:rPr>
              <w:t>0,72</w:t>
            </w:r>
          </w:p>
        </w:tc>
      </w:tr>
    </w:tbl>
    <w:p w:rsidR="001D1484" w:rsidRPr="001C5312" w:rsidRDefault="001C5312" w:rsidP="001C5312">
      <w:pPr>
        <w:jc w:val="right"/>
        <w:rPr>
          <w:i/>
          <w:lang w:val="ru-RU"/>
        </w:rPr>
      </w:pPr>
      <w:r w:rsidRPr="001C5312">
        <w:rPr>
          <w:i/>
          <w:lang w:val="ru-RU"/>
        </w:rPr>
        <w:t>Продовження додаток Е-</w:t>
      </w:r>
      <w:r>
        <w:rPr>
          <w:i/>
          <w:lang w:val="ru-RU"/>
        </w:rPr>
        <w:t>1</w:t>
      </w:r>
      <w:r w:rsidR="00150E80">
        <w:rPr>
          <w:i/>
          <w:lang w:val="ru-RU"/>
        </w:rPr>
        <w:t>2</w:t>
      </w:r>
    </w:p>
    <w:p w:rsidR="00C43972" w:rsidRPr="00C43972" w:rsidRDefault="00C43972" w:rsidP="001C5312">
      <w:pPr>
        <w:keepNext/>
        <w:jc w:val="right"/>
        <w:rPr>
          <w:rFonts w:eastAsia="Times New Roman"/>
          <w:szCs w:val="28"/>
          <w:lang w:val="ru-RU" w:eastAsia="ru-RU"/>
        </w:rPr>
      </w:pPr>
      <w:r w:rsidRPr="00C43972">
        <w:rPr>
          <w:rFonts w:eastAsia="Times New Roman"/>
          <w:szCs w:val="28"/>
          <w:lang w:val="ru-RU" w:eastAsia="ru-RU"/>
        </w:rPr>
        <w:lastRenderedPageBreak/>
        <w:t xml:space="preserve">Додаток </w:t>
      </w:r>
      <w:r w:rsidR="00535BCC">
        <w:rPr>
          <w:rFonts w:eastAsia="Times New Roman"/>
          <w:szCs w:val="28"/>
          <w:lang w:eastAsia="ru-RU"/>
        </w:rPr>
        <w:t>Е</w:t>
      </w:r>
      <w:r w:rsidRPr="00C43972">
        <w:rPr>
          <w:rFonts w:eastAsia="Times New Roman"/>
          <w:szCs w:val="28"/>
          <w:lang w:eastAsia="ru-RU"/>
        </w:rPr>
        <w:t>-13</w:t>
      </w:r>
    </w:p>
    <w:p w:rsidR="00C43972" w:rsidRPr="001C5312" w:rsidRDefault="00C43972" w:rsidP="001C5312">
      <w:pPr>
        <w:keepNext/>
        <w:jc w:val="center"/>
        <w:rPr>
          <w:rFonts w:eastAsia="Times New Roman"/>
          <w:b/>
          <w:sz w:val="24"/>
          <w:szCs w:val="24"/>
          <w:lang w:eastAsia="ru-RU"/>
        </w:rPr>
      </w:pPr>
      <w:r w:rsidRPr="001C5312">
        <w:rPr>
          <w:rFonts w:eastAsia="Times New Roman"/>
          <w:b/>
          <w:bCs/>
          <w:iCs/>
          <w:color w:val="000000"/>
          <w:szCs w:val="28"/>
          <w:lang w:eastAsia="uk-UA"/>
        </w:rPr>
        <w:t xml:space="preserve">Комплексна оцінка діяльності закладів перинатальної допомоги Кіровоградської </w:t>
      </w:r>
      <w:r w:rsidRPr="001C5312">
        <w:rPr>
          <w:rFonts w:eastAsia="Times New Roman"/>
          <w:b/>
          <w:bCs/>
          <w:iCs/>
          <w:color w:val="000000"/>
          <w:sz w:val="26"/>
          <w:szCs w:val="26"/>
          <w:lang w:eastAsia="uk-UA"/>
        </w:rPr>
        <w:t xml:space="preserve">області у </w:t>
      </w:r>
      <w:r w:rsidRPr="001C5312">
        <w:rPr>
          <w:rFonts w:eastAsia="Times New Roman"/>
          <w:b/>
          <w:bCs/>
          <w:iCs/>
          <w:color w:val="000000"/>
          <w:szCs w:val="28"/>
          <w:lang w:eastAsia="uk-UA"/>
        </w:rPr>
        <w:t>2017–2018 рр.</w:t>
      </w:r>
    </w:p>
    <w:tbl>
      <w:tblPr>
        <w:tblW w:w="10347" w:type="dxa"/>
        <w:jc w:val="center"/>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36"/>
        <w:gridCol w:w="968"/>
        <w:gridCol w:w="969"/>
        <w:gridCol w:w="968"/>
        <w:gridCol w:w="969"/>
        <w:gridCol w:w="968"/>
        <w:gridCol w:w="969"/>
      </w:tblGrid>
      <w:tr w:rsidR="001C5312" w:rsidRPr="001C5312" w:rsidTr="001C5312">
        <w:trPr>
          <w:cantSplit/>
          <w:trHeight w:val="510"/>
          <w:jc w:val="center"/>
        </w:trPr>
        <w:tc>
          <w:tcPr>
            <w:tcW w:w="4536" w:type="dxa"/>
            <w:vMerge w:val="restart"/>
            <w:tcBorders>
              <w:top w:val="single" w:sz="4" w:space="0" w:color="auto"/>
              <w:left w:val="single" w:sz="4" w:space="0" w:color="auto"/>
              <w:right w:val="single" w:sz="4" w:space="0" w:color="auto"/>
            </w:tcBorders>
            <w:vAlign w:val="center"/>
            <w:hideMark/>
          </w:tcPr>
          <w:p w:rsidR="001C5312" w:rsidRPr="001C5312" w:rsidRDefault="001C5312" w:rsidP="001C5312">
            <w:pPr>
              <w:keepNext/>
              <w:jc w:val="center"/>
              <w:rPr>
                <w:rFonts w:eastAsia="Times New Roman"/>
                <w:color w:val="000000"/>
                <w:sz w:val="24"/>
                <w:szCs w:val="24"/>
                <w:lang w:eastAsia="uk-UA"/>
              </w:rPr>
            </w:pPr>
            <w:r w:rsidRPr="001C5312">
              <w:rPr>
                <w:rFonts w:eastAsia="Times New Roman"/>
                <w:color w:val="000000"/>
                <w:sz w:val="24"/>
                <w:szCs w:val="24"/>
                <w:lang w:eastAsia="uk-UA"/>
              </w:rPr>
              <w:t>Індикатор якості</w:t>
            </w:r>
          </w:p>
        </w:tc>
        <w:tc>
          <w:tcPr>
            <w:tcW w:w="1937" w:type="dxa"/>
            <w:gridSpan w:val="2"/>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color w:val="000000"/>
                <w:sz w:val="24"/>
                <w:szCs w:val="24"/>
                <w:lang w:eastAsia="uk-UA"/>
              </w:rPr>
            </w:pPr>
            <w:r w:rsidRPr="001C5312">
              <w:rPr>
                <w:rFonts w:eastAsia="Times New Roman"/>
                <w:color w:val="000000"/>
                <w:sz w:val="24"/>
                <w:szCs w:val="24"/>
                <w:lang w:eastAsia="uk-UA"/>
              </w:rPr>
              <w:t xml:space="preserve">Фактичний показник, </w:t>
            </w:r>
            <w:r w:rsidRPr="001C5312">
              <w:rPr>
                <w:rFonts w:eastAsia="Times New Roman"/>
                <w:sz w:val="24"/>
                <w:szCs w:val="24"/>
                <w:lang w:eastAsia="uk-UA"/>
              </w:rPr>
              <w:t>Україна</w:t>
            </w:r>
          </w:p>
        </w:tc>
        <w:tc>
          <w:tcPr>
            <w:tcW w:w="1937" w:type="dxa"/>
            <w:gridSpan w:val="2"/>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color w:val="000000"/>
                <w:sz w:val="24"/>
                <w:szCs w:val="24"/>
                <w:lang w:eastAsia="uk-UA"/>
              </w:rPr>
            </w:pPr>
            <w:r w:rsidRPr="001C5312">
              <w:rPr>
                <w:rFonts w:eastAsia="Times New Roman"/>
                <w:color w:val="000000"/>
                <w:sz w:val="24"/>
                <w:szCs w:val="24"/>
                <w:lang w:eastAsia="uk-UA"/>
              </w:rPr>
              <w:t>Бальна оцінка фактичного показника</w:t>
            </w:r>
          </w:p>
        </w:tc>
        <w:tc>
          <w:tcPr>
            <w:tcW w:w="1937" w:type="dxa"/>
            <w:gridSpan w:val="2"/>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color w:val="000000"/>
                <w:sz w:val="24"/>
                <w:szCs w:val="24"/>
                <w:lang w:eastAsia="uk-UA"/>
              </w:rPr>
            </w:pPr>
            <w:r w:rsidRPr="001C5312">
              <w:rPr>
                <w:rFonts w:eastAsia="Times New Roman"/>
                <w:color w:val="000000"/>
                <w:sz w:val="24"/>
                <w:szCs w:val="24"/>
                <w:lang w:eastAsia="uk-UA"/>
              </w:rPr>
              <w:t>КДНЗ</w:t>
            </w:r>
          </w:p>
        </w:tc>
      </w:tr>
      <w:tr w:rsidR="001C5312" w:rsidRPr="001C5312" w:rsidTr="001C5312">
        <w:trPr>
          <w:trHeight w:val="404"/>
          <w:jc w:val="center"/>
        </w:trPr>
        <w:tc>
          <w:tcPr>
            <w:tcW w:w="4536" w:type="dxa"/>
            <w:vMerge/>
            <w:tcBorders>
              <w:left w:val="single" w:sz="4" w:space="0" w:color="auto"/>
              <w:bottom w:val="single" w:sz="4" w:space="0" w:color="auto"/>
              <w:right w:val="single" w:sz="4" w:space="0" w:color="auto"/>
            </w:tcBorders>
            <w:vAlign w:val="bottom"/>
          </w:tcPr>
          <w:p w:rsidR="001C5312" w:rsidRPr="001C5312" w:rsidRDefault="001C5312" w:rsidP="001C5312">
            <w:pPr>
              <w:keepNext/>
              <w:jc w:val="left"/>
              <w:rPr>
                <w:rFonts w:eastAsia="Times New Roman"/>
                <w:sz w:val="24"/>
                <w:szCs w:val="24"/>
                <w:lang w:eastAsia="ru-RU"/>
              </w:rPr>
            </w:pPr>
          </w:p>
        </w:tc>
        <w:tc>
          <w:tcPr>
            <w:tcW w:w="968"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sz w:val="24"/>
                <w:szCs w:val="24"/>
                <w:lang w:eastAsia="ru-RU"/>
              </w:rPr>
            </w:pPr>
            <w:r w:rsidRPr="001C5312">
              <w:rPr>
                <w:rFonts w:eastAsia="Times New Roman"/>
                <w:sz w:val="24"/>
                <w:szCs w:val="24"/>
                <w:lang w:eastAsia="ru-RU"/>
              </w:rPr>
              <w:t>2017 р.</w:t>
            </w:r>
          </w:p>
        </w:tc>
        <w:tc>
          <w:tcPr>
            <w:tcW w:w="969"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color w:val="000000"/>
                <w:sz w:val="24"/>
                <w:szCs w:val="24"/>
                <w:lang w:eastAsia="ru-RU"/>
              </w:rPr>
            </w:pPr>
            <w:r w:rsidRPr="001C5312">
              <w:rPr>
                <w:rFonts w:eastAsia="Times New Roman"/>
                <w:color w:val="000000"/>
                <w:sz w:val="24"/>
                <w:szCs w:val="24"/>
                <w:lang w:eastAsia="ru-RU"/>
              </w:rPr>
              <w:t>2018 р.</w:t>
            </w:r>
          </w:p>
        </w:tc>
        <w:tc>
          <w:tcPr>
            <w:tcW w:w="968"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sz w:val="24"/>
                <w:szCs w:val="24"/>
                <w:lang w:eastAsia="ru-RU"/>
              </w:rPr>
            </w:pPr>
            <w:r w:rsidRPr="001C5312">
              <w:rPr>
                <w:rFonts w:eastAsia="Times New Roman"/>
                <w:sz w:val="24"/>
                <w:szCs w:val="24"/>
                <w:lang w:eastAsia="ru-RU"/>
              </w:rPr>
              <w:t>2017 р.</w:t>
            </w:r>
          </w:p>
        </w:tc>
        <w:tc>
          <w:tcPr>
            <w:tcW w:w="969"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sz w:val="24"/>
                <w:szCs w:val="24"/>
                <w:lang w:eastAsia="ru-RU"/>
              </w:rPr>
            </w:pPr>
            <w:r w:rsidRPr="001C5312">
              <w:rPr>
                <w:rFonts w:eastAsia="Times New Roman"/>
                <w:sz w:val="24"/>
                <w:szCs w:val="24"/>
                <w:lang w:eastAsia="ru-RU"/>
              </w:rPr>
              <w:t>2017 р.</w:t>
            </w:r>
          </w:p>
        </w:tc>
        <w:tc>
          <w:tcPr>
            <w:tcW w:w="968"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color w:val="000000"/>
                <w:sz w:val="24"/>
                <w:szCs w:val="24"/>
                <w:lang w:eastAsia="ru-RU"/>
              </w:rPr>
            </w:pPr>
            <w:r w:rsidRPr="001C5312">
              <w:rPr>
                <w:rFonts w:eastAsia="Times New Roman"/>
                <w:color w:val="000000"/>
                <w:sz w:val="24"/>
                <w:szCs w:val="24"/>
                <w:lang w:eastAsia="ru-RU"/>
              </w:rPr>
              <w:t>2018 р.</w:t>
            </w:r>
          </w:p>
        </w:tc>
        <w:tc>
          <w:tcPr>
            <w:tcW w:w="969"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sz w:val="24"/>
                <w:szCs w:val="24"/>
                <w:lang w:eastAsia="ru-RU"/>
              </w:rPr>
            </w:pPr>
            <w:r w:rsidRPr="001C5312">
              <w:rPr>
                <w:rFonts w:eastAsia="Times New Roman"/>
                <w:sz w:val="24"/>
                <w:szCs w:val="24"/>
                <w:lang w:eastAsia="ru-RU"/>
              </w:rPr>
              <w:t>2017 р.</w:t>
            </w:r>
          </w:p>
        </w:tc>
      </w:tr>
      <w:tr w:rsidR="001C5312" w:rsidRPr="001C5312" w:rsidTr="001C5312">
        <w:trPr>
          <w:trHeight w:val="404"/>
          <w:jc w:val="center"/>
        </w:trPr>
        <w:tc>
          <w:tcPr>
            <w:tcW w:w="4536"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left"/>
              <w:rPr>
                <w:rFonts w:eastAsia="Times New Roman"/>
                <w:sz w:val="24"/>
                <w:szCs w:val="24"/>
                <w:lang w:eastAsia="ru-RU"/>
              </w:rPr>
            </w:pPr>
            <w:r w:rsidRPr="001C5312">
              <w:rPr>
                <w:rFonts w:eastAsia="Times New Roman"/>
                <w:sz w:val="24"/>
                <w:szCs w:val="24"/>
                <w:lang w:eastAsia="ru-RU"/>
              </w:rPr>
              <w:t>Забезпеченість  лікарями акушер-гінекологами</w:t>
            </w:r>
          </w:p>
        </w:tc>
        <w:tc>
          <w:tcPr>
            <w:tcW w:w="968"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sz w:val="24"/>
                <w:szCs w:val="24"/>
                <w:lang w:eastAsia="ru-RU"/>
              </w:rPr>
            </w:pPr>
            <w:r w:rsidRPr="001C5312">
              <w:rPr>
                <w:rFonts w:eastAsia="Times New Roman"/>
                <w:sz w:val="24"/>
                <w:szCs w:val="24"/>
                <w:lang w:eastAsia="ru-RU"/>
              </w:rPr>
              <w:t>4,05</w:t>
            </w:r>
          </w:p>
        </w:tc>
        <w:tc>
          <w:tcPr>
            <w:tcW w:w="969"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sz w:val="24"/>
                <w:szCs w:val="24"/>
                <w:lang w:eastAsia="ru-RU"/>
              </w:rPr>
            </w:pPr>
            <w:r w:rsidRPr="001C5312">
              <w:rPr>
                <w:rFonts w:eastAsia="Times New Roman"/>
                <w:sz w:val="24"/>
                <w:szCs w:val="24"/>
                <w:lang w:eastAsia="ru-RU"/>
              </w:rPr>
              <w:t>4,14</w:t>
            </w:r>
          </w:p>
        </w:tc>
        <w:tc>
          <w:tcPr>
            <w:tcW w:w="968"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sz w:val="24"/>
                <w:szCs w:val="24"/>
                <w:lang w:eastAsia="ru-RU"/>
              </w:rPr>
            </w:pPr>
            <w:r w:rsidRPr="001C5312">
              <w:rPr>
                <w:rFonts w:eastAsia="Times New Roman"/>
                <w:sz w:val="24"/>
                <w:szCs w:val="24"/>
                <w:lang w:eastAsia="ru-RU"/>
              </w:rPr>
              <w:t>4,42</w:t>
            </w:r>
          </w:p>
        </w:tc>
        <w:tc>
          <w:tcPr>
            <w:tcW w:w="969"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sz w:val="24"/>
                <w:szCs w:val="24"/>
                <w:lang w:eastAsia="ru-RU"/>
              </w:rPr>
            </w:pPr>
            <w:r w:rsidRPr="001C5312">
              <w:rPr>
                <w:rFonts w:eastAsia="Times New Roman"/>
                <w:sz w:val="24"/>
                <w:szCs w:val="24"/>
                <w:lang w:eastAsia="ru-RU"/>
              </w:rPr>
              <w:t>4,52</w:t>
            </w:r>
          </w:p>
        </w:tc>
        <w:tc>
          <w:tcPr>
            <w:tcW w:w="968"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sz w:val="24"/>
                <w:szCs w:val="24"/>
                <w:lang w:eastAsia="ru-RU"/>
              </w:rPr>
            </w:pPr>
            <w:r w:rsidRPr="001C5312">
              <w:rPr>
                <w:rFonts w:eastAsia="Times New Roman"/>
                <w:sz w:val="24"/>
                <w:szCs w:val="24"/>
                <w:lang w:eastAsia="ru-RU"/>
              </w:rPr>
              <w:t>0,74</w:t>
            </w:r>
          </w:p>
        </w:tc>
        <w:tc>
          <w:tcPr>
            <w:tcW w:w="969"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sz w:val="24"/>
                <w:szCs w:val="24"/>
                <w:lang w:eastAsia="ru-RU"/>
              </w:rPr>
            </w:pPr>
            <w:r w:rsidRPr="001C5312">
              <w:rPr>
                <w:rFonts w:eastAsia="Times New Roman"/>
                <w:sz w:val="24"/>
                <w:szCs w:val="24"/>
                <w:lang w:eastAsia="ru-RU"/>
              </w:rPr>
              <w:t>0,75</w:t>
            </w:r>
          </w:p>
        </w:tc>
      </w:tr>
      <w:tr w:rsidR="001C5312" w:rsidRPr="001C5312" w:rsidTr="001C5312">
        <w:trPr>
          <w:trHeight w:val="404"/>
          <w:jc w:val="center"/>
        </w:trPr>
        <w:tc>
          <w:tcPr>
            <w:tcW w:w="4536" w:type="dxa"/>
            <w:tcBorders>
              <w:top w:val="single" w:sz="4" w:space="0" w:color="auto"/>
              <w:left w:val="single" w:sz="4" w:space="0" w:color="auto"/>
              <w:bottom w:val="single" w:sz="4" w:space="0" w:color="auto"/>
              <w:right w:val="single" w:sz="4" w:space="0" w:color="auto"/>
            </w:tcBorders>
            <w:vAlign w:val="bottom"/>
          </w:tcPr>
          <w:p w:rsidR="001C5312" w:rsidRPr="001C5312" w:rsidRDefault="001C5312" w:rsidP="001C5312">
            <w:pPr>
              <w:keepNext/>
              <w:jc w:val="left"/>
              <w:rPr>
                <w:rFonts w:eastAsia="Times New Roman"/>
                <w:sz w:val="24"/>
                <w:szCs w:val="24"/>
                <w:lang w:eastAsia="ru-RU"/>
              </w:rPr>
            </w:pPr>
            <w:r w:rsidRPr="001C5312">
              <w:rPr>
                <w:rFonts w:eastAsia="Times New Roman"/>
                <w:sz w:val="24"/>
                <w:szCs w:val="24"/>
                <w:lang w:eastAsia="ru-RU"/>
              </w:rPr>
              <w:t>Забезпеченість  лікарями  педіатрами-неонатологами</w:t>
            </w:r>
          </w:p>
        </w:tc>
        <w:tc>
          <w:tcPr>
            <w:tcW w:w="968"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sz w:val="24"/>
                <w:szCs w:val="24"/>
                <w:lang w:eastAsia="ru-RU"/>
              </w:rPr>
            </w:pPr>
            <w:r w:rsidRPr="001C5312">
              <w:rPr>
                <w:rFonts w:eastAsia="Times New Roman"/>
                <w:sz w:val="24"/>
                <w:szCs w:val="24"/>
                <w:lang w:eastAsia="ru-RU"/>
              </w:rPr>
              <w:t>4,46</w:t>
            </w:r>
          </w:p>
        </w:tc>
        <w:tc>
          <w:tcPr>
            <w:tcW w:w="969"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sz w:val="24"/>
                <w:szCs w:val="24"/>
                <w:lang w:eastAsia="ru-RU"/>
              </w:rPr>
            </w:pPr>
            <w:r w:rsidRPr="001C5312">
              <w:rPr>
                <w:rFonts w:eastAsia="Times New Roman"/>
                <w:sz w:val="24"/>
                <w:szCs w:val="24"/>
                <w:lang w:eastAsia="ru-RU"/>
              </w:rPr>
              <w:t>4,97</w:t>
            </w:r>
          </w:p>
        </w:tc>
        <w:tc>
          <w:tcPr>
            <w:tcW w:w="968"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sz w:val="24"/>
                <w:szCs w:val="24"/>
                <w:lang w:eastAsia="ru-RU"/>
              </w:rPr>
            </w:pPr>
            <w:r w:rsidRPr="001C5312">
              <w:rPr>
                <w:rFonts w:eastAsia="Times New Roman"/>
                <w:sz w:val="24"/>
                <w:szCs w:val="24"/>
                <w:lang w:eastAsia="ru-RU"/>
              </w:rPr>
              <w:t>4,87</w:t>
            </w:r>
          </w:p>
        </w:tc>
        <w:tc>
          <w:tcPr>
            <w:tcW w:w="969"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sz w:val="24"/>
                <w:szCs w:val="24"/>
                <w:lang w:eastAsia="ru-RU"/>
              </w:rPr>
            </w:pPr>
            <w:r w:rsidRPr="001C5312">
              <w:rPr>
                <w:rFonts w:eastAsia="Times New Roman"/>
                <w:sz w:val="24"/>
                <w:szCs w:val="24"/>
                <w:lang w:eastAsia="ru-RU"/>
              </w:rPr>
              <w:t>5,42</w:t>
            </w:r>
          </w:p>
        </w:tc>
        <w:tc>
          <w:tcPr>
            <w:tcW w:w="968"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sz w:val="24"/>
                <w:szCs w:val="24"/>
                <w:lang w:eastAsia="ru-RU"/>
              </w:rPr>
            </w:pPr>
            <w:r w:rsidRPr="001C5312">
              <w:rPr>
                <w:rFonts w:eastAsia="Times New Roman"/>
                <w:sz w:val="24"/>
                <w:szCs w:val="24"/>
                <w:lang w:eastAsia="ru-RU"/>
              </w:rPr>
              <w:t>0,81</w:t>
            </w:r>
          </w:p>
        </w:tc>
        <w:tc>
          <w:tcPr>
            <w:tcW w:w="969"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sz w:val="24"/>
                <w:szCs w:val="24"/>
                <w:lang w:eastAsia="ru-RU"/>
              </w:rPr>
            </w:pPr>
            <w:r w:rsidRPr="001C5312">
              <w:rPr>
                <w:rFonts w:eastAsia="Times New Roman"/>
                <w:sz w:val="24"/>
                <w:szCs w:val="24"/>
                <w:lang w:eastAsia="ru-RU"/>
              </w:rPr>
              <w:t>0,90</w:t>
            </w:r>
          </w:p>
        </w:tc>
      </w:tr>
      <w:tr w:rsidR="001C5312" w:rsidRPr="001C5312" w:rsidTr="001C5312">
        <w:trPr>
          <w:trHeight w:val="404"/>
          <w:jc w:val="center"/>
        </w:trPr>
        <w:tc>
          <w:tcPr>
            <w:tcW w:w="4536" w:type="dxa"/>
            <w:tcBorders>
              <w:top w:val="single" w:sz="4" w:space="0" w:color="auto"/>
              <w:left w:val="single" w:sz="4" w:space="0" w:color="auto"/>
              <w:bottom w:val="single" w:sz="4" w:space="0" w:color="auto"/>
              <w:right w:val="single" w:sz="4" w:space="0" w:color="auto"/>
            </w:tcBorders>
            <w:vAlign w:val="bottom"/>
          </w:tcPr>
          <w:p w:rsidR="001C5312" w:rsidRPr="001C5312" w:rsidRDefault="001C5312" w:rsidP="001C5312">
            <w:pPr>
              <w:keepNext/>
              <w:jc w:val="left"/>
              <w:rPr>
                <w:rFonts w:eastAsia="Times New Roman"/>
                <w:sz w:val="24"/>
                <w:szCs w:val="24"/>
                <w:lang w:eastAsia="ru-RU"/>
              </w:rPr>
            </w:pPr>
            <w:r w:rsidRPr="001C5312">
              <w:rPr>
                <w:rFonts w:eastAsia="Times New Roman"/>
                <w:sz w:val="24"/>
                <w:szCs w:val="24"/>
                <w:lang w:eastAsia="ru-RU"/>
              </w:rPr>
              <w:t>Питома вага атестованих лікарів акушер-гінекологів</w:t>
            </w:r>
          </w:p>
        </w:tc>
        <w:tc>
          <w:tcPr>
            <w:tcW w:w="968"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sz w:val="24"/>
                <w:szCs w:val="24"/>
                <w:lang w:eastAsia="ru-RU"/>
              </w:rPr>
            </w:pPr>
            <w:r w:rsidRPr="001C5312">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sz w:val="24"/>
                <w:szCs w:val="24"/>
                <w:lang w:eastAsia="ru-RU"/>
              </w:rPr>
            </w:pPr>
            <w:r w:rsidRPr="001C5312">
              <w:rPr>
                <w:rFonts w:eastAsia="Times New Roman"/>
                <w:sz w:val="24"/>
                <w:szCs w:val="24"/>
                <w:lang w:eastAsia="ru-RU"/>
              </w:rPr>
              <w:t>87,74</w:t>
            </w:r>
          </w:p>
        </w:tc>
        <w:tc>
          <w:tcPr>
            <w:tcW w:w="968"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sz w:val="24"/>
                <w:szCs w:val="24"/>
                <w:lang w:eastAsia="ru-RU"/>
              </w:rPr>
            </w:pPr>
            <w:r w:rsidRPr="001C5312">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sz w:val="24"/>
                <w:szCs w:val="24"/>
                <w:lang w:eastAsia="ru-RU"/>
              </w:rPr>
            </w:pPr>
            <w:r w:rsidRPr="001C5312">
              <w:rPr>
                <w:rFonts w:eastAsia="Times New Roman"/>
                <w:sz w:val="24"/>
                <w:szCs w:val="24"/>
                <w:lang w:eastAsia="ru-RU"/>
              </w:rPr>
              <w:t>5,85</w:t>
            </w:r>
          </w:p>
        </w:tc>
        <w:tc>
          <w:tcPr>
            <w:tcW w:w="968"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sz w:val="24"/>
                <w:szCs w:val="24"/>
                <w:lang w:eastAsia="ru-RU"/>
              </w:rPr>
            </w:pPr>
            <w:r w:rsidRPr="001C5312">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sz w:val="24"/>
                <w:szCs w:val="24"/>
                <w:lang w:eastAsia="ru-RU"/>
              </w:rPr>
            </w:pPr>
            <w:r w:rsidRPr="001C5312">
              <w:rPr>
                <w:rFonts w:eastAsia="Times New Roman"/>
                <w:sz w:val="24"/>
                <w:szCs w:val="24"/>
                <w:lang w:eastAsia="ru-RU"/>
              </w:rPr>
              <w:t>0,98</w:t>
            </w:r>
          </w:p>
        </w:tc>
      </w:tr>
      <w:tr w:rsidR="001C5312" w:rsidRPr="001C5312" w:rsidTr="001C5312">
        <w:trPr>
          <w:trHeight w:val="404"/>
          <w:jc w:val="center"/>
        </w:trPr>
        <w:tc>
          <w:tcPr>
            <w:tcW w:w="4536" w:type="dxa"/>
            <w:tcBorders>
              <w:top w:val="single" w:sz="4" w:space="0" w:color="auto"/>
              <w:left w:val="single" w:sz="4" w:space="0" w:color="auto"/>
              <w:bottom w:val="single" w:sz="4" w:space="0" w:color="auto"/>
              <w:right w:val="single" w:sz="4" w:space="0" w:color="auto"/>
            </w:tcBorders>
            <w:vAlign w:val="bottom"/>
          </w:tcPr>
          <w:p w:rsidR="001C5312" w:rsidRPr="001C5312" w:rsidRDefault="001C5312" w:rsidP="001C5312">
            <w:pPr>
              <w:keepNext/>
              <w:jc w:val="left"/>
              <w:rPr>
                <w:rFonts w:eastAsia="Times New Roman"/>
                <w:sz w:val="24"/>
                <w:szCs w:val="24"/>
                <w:lang w:eastAsia="ru-RU"/>
              </w:rPr>
            </w:pPr>
            <w:r w:rsidRPr="001C5312">
              <w:rPr>
                <w:rFonts w:eastAsia="Times New Roman"/>
                <w:sz w:val="24"/>
                <w:szCs w:val="24"/>
                <w:lang w:eastAsia="ru-RU"/>
              </w:rPr>
              <w:t>Питома вага атестованих лікарів педіатрів-неонатологів</w:t>
            </w:r>
          </w:p>
        </w:tc>
        <w:tc>
          <w:tcPr>
            <w:tcW w:w="968"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sz w:val="24"/>
                <w:szCs w:val="24"/>
                <w:lang w:eastAsia="ru-RU"/>
              </w:rPr>
            </w:pPr>
            <w:r w:rsidRPr="001C5312">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sz w:val="24"/>
                <w:szCs w:val="24"/>
                <w:lang w:eastAsia="ru-RU"/>
              </w:rPr>
            </w:pPr>
            <w:r w:rsidRPr="001C5312">
              <w:rPr>
                <w:rFonts w:eastAsia="Times New Roman"/>
                <w:sz w:val="24"/>
                <w:szCs w:val="24"/>
                <w:lang w:eastAsia="ru-RU"/>
              </w:rPr>
              <w:t>85,29</w:t>
            </w:r>
          </w:p>
        </w:tc>
        <w:tc>
          <w:tcPr>
            <w:tcW w:w="968"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sz w:val="24"/>
                <w:szCs w:val="24"/>
                <w:lang w:eastAsia="ru-RU"/>
              </w:rPr>
            </w:pPr>
            <w:r w:rsidRPr="001C5312">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sz w:val="24"/>
                <w:szCs w:val="24"/>
                <w:lang w:eastAsia="ru-RU"/>
              </w:rPr>
            </w:pPr>
            <w:r w:rsidRPr="001C5312">
              <w:rPr>
                <w:rFonts w:eastAsia="Times New Roman"/>
                <w:sz w:val="24"/>
                <w:szCs w:val="24"/>
                <w:lang w:eastAsia="ru-RU"/>
              </w:rPr>
              <w:t>6,0</w:t>
            </w:r>
          </w:p>
        </w:tc>
        <w:tc>
          <w:tcPr>
            <w:tcW w:w="968"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sz w:val="24"/>
                <w:szCs w:val="24"/>
                <w:lang w:eastAsia="ru-RU"/>
              </w:rPr>
            </w:pPr>
            <w:r w:rsidRPr="001C5312">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sz w:val="24"/>
                <w:szCs w:val="24"/>
                <w:lang w:eastAsia="ru-RU"/>
              </w:rPr>
            </w:pPr>
            <w:r w:rsidRPr="001C5312">
              <w:rPr>
                <w:rFonts w:eastAsia="Times New Roman"/>
                <w:sz w:val="24"/>
                <w:szCs w:val="24"/>
                <w:lang w:eastAsia="ru-RU"/>
              </w:rPr>
              <w:t>1,00</w:t>
            </w:r>
          </w:p>
        </w:tc>
      </w:tr>
      <w:tr w:rsidR="001C5312" w:rsidRPr="001C5312" w:rsidTr="001C5312">
        <w:trPr>
          <w:trHeight w:val="346"/>
          <w:jc w:val="center"/>
        </w:trPr>
        <w:tc>
          <w:tcPr>
            <w:tcW w:w="4536"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left"/>
              <w:rPr>
                <w:rFonts w:eastAsia="Times New Roman"/>
                <w:sz w:val="24"/>
                <w:szCs w:val="24"/>
                <w:lang w:eastAsia="ru-RU"/>
              </w:rPr>
            </w:pPr>
            <w:r w:rsidRPr="001C5312">
              <w:rPr>
                <w:rFonts w:eastAsia="Times New Roman"/>
                <w:sz w:val="24"/>
                <w:szCs w:val="24"/>
                <w:lang w:eastAsia="ru-RU"/>
              </w:rPr>
              <w:t xml:space="preserve">Своєчасність постановки на облік вагітних </w:t>
            </w:r>
          </w:p>
        </w:tc>
        <w:tc>
          <w:tcPr>
            <w:tcW w:w="968"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color w:val="000000"/>
                <w:sz w:val="24"/>
                <w:szCs w:val="24"/>
                <w:lang w:eastAsia="ru-RU"/>
              </w:rPr>
            </w:pPr>
            <w:r w:rsidRPr="001C5312">
              <w:rPr>
                <w:rFonts w:eastAsia="Times New Roman"/>
                <w:color w:val="000000"/>
                <w:sz w:val="24"/>
                <w:szCs w:val="24"/>
                <w:lang w:eastAsia="ru-RU"/>
              </w:rPr>
              <w:t>90,57</w:t>
            </w:r>
          </w:p>
        </w:tc>
        <w:tc>
          <w:tcPr>
            <w:tcW w:w="969"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sz w:val="24"/>
                <w:szCs w:val="24"/>
                <w:lang w:eastAsia="ru-RU"/>
              </w:rPr>
            </w:pPr>
            <w:r w:rsidRPr="001C5312">
              <w:rPr>
                <w:rFonts w:eastAsia="Times New Roman"/>
                <w:sz w:val="24"/>
                <w:szCs w:val="24"/>
                <w:lang w:eastAsia="ru-RU"/>
              </w:rPr>
              <w:t>90,23</w:t>
            </w:r>
          </w:p>
        </w:tc>
        <w:tc>
          <w:tcPr>
            <w:tcW w:w="968"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color w:val="000000"/>
                <w:sz w:val="24"/>
                <w:szCs w:val="24"/>
                <w:lang w:eastAsia="ru-RU"/>
              </w:rPr>
            </w:pPr>
            <w:r w:rsidRPr="001C5312">
              <w:rPr>
                <w:rFonts w:eastAsia="Times New Roman"/>
                <w:color w:val="000000"/>
                <w:sz w:val="24"/>
                <w:szCs w:val="24"/>
                <w:lang w:eastAsia="ru-RU"/>
              </w:rPr>
              <w:t>6,67</w:t>
            </w:r>
          </w:p>
        </w:tc>
        <w:tc>
          <w:tcPr>
            <w:tcW w:w="969"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sz w:val="24"/>
                <w:szCs w:val="24"/>
                <w:lang w:eastAsia="ru-RU"/>
              </w:rPr>
            </w:pPr>
            <w:r w:rsidRPr="001C5312">
              <w:rPr>
                <w:rFonts w:eastAsia="Times New Roman"/>
                <w:sz w:val="24"/>
                <w:szCs w:val="24"/>
                <w:lang w:eastAsia="ru-RU"/>
              </w:rPr>
              <w:t>6,67</w:t>
            </w:r>
          </w:p>
        </w:tc>
        <w:tc>
          <w:tcPr>
            <w:tcW w:w="968"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color w:val="000000"/>
                <w:sz w:val="24"/>
                <w:szCs w:val="24"/>
                <w:lang w:eastAsia="ru-RU"/>
              </w:rPr>
            </w:pPr>
            <w:r w:rsidRPr="001C5312">
              <w:rPr>
                <w:rFonts w:eastAsia="Times New Roman"/>
                <w:color w:val="000000"/>
                <w:sz w:val="24"/>
                <w:szCs w:val="24"/>
                <w:lang w:eastAsia="ru-RU"/>
              </w:rPr>
              <w:t>0,95</w:t>
            </w:r>
          </w:p>
        </w:tc>
        <w:tc>
          <w:tcPr>
            <w:tcW w:w="969"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sz w:val="24"/>
                <w:szCs w:val="24"/>
                <w:lang w:eastAsia="ru-RU"/>
              </w:rPr>
            </w:pPr>
            <w:r w:rsidRPr="001C5312">
              <w:rPr>
                <w:rFonts w:eastAsia="Times New Roman"/>
                <w:sz w:val="24"/>
                <w:szCs w:val="24"/>
                <w:lang w:eastAsia="ru-RU"/>
              </w:rPr>
              <w:t>0,95</w:t>
            </w:r>
          </w:p>
        </w:tc>
      </w:tr>
      <w:tr w:rsidR="001C5312" w:rsidRPr="001C5312" w:rsidTr="001C5312">
        <w:trPr>
          <w:trHeight w:val="266"/>
          <w:jc w:val="center"/>
        </w:trPr>
        <w:tc>
          <w:tcPr>
            <w:tcW w:w="4536"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left"/>
              <w:rPr>
                <w:rFonts w:eastAsia="Times New Roman"/>
                <w:sz w:val="24"/>
                <w:szCs w:val="24"/>
                <w:lang w:eastAsia="ru-RU"/>
              </w:rPr>
            </w:pPr>
            <w:r w:rsidRPr="001C5312">
              <w:rPr>
                <w:rFonts w:eastAsia="Times New Roman"/>
                <w:sz w:val="24"/>
                <w:szCs w:val="24"/>
                <w:lang w:eastAsia="ru-RU"/>
              </w:rPr>
              <w:t>Частота анемій вагітних</w:t>
            </w:r>
          </w:p>
        </w:tc>
        <w:tc>
          <w:tcPr>
            <w:tcW w:w="968"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color w:val="000000"/>
                <w:sz w:val="24"/>
                <w:szCs w:val="24"/>
                <w:lang w:eastAsia="ru-RU"/>
              </w:rPr>
            </w:pPr>
            <w:r w:rsidRPr="001C5312">
              <w:rPr>
                <w:rFonts w:eastAsia="Times New Roman"/>
                <w:color w:val="000000"/>
                <w:sz w:val="24"/>
                <w:szCs w:val="24"/>
                <w:lang w:eastAsia="ru-RU"/>
              </w:rPr>
              <w:t>29,13</w:t>
            </w:r>
          </w:p>
        </w:tc>
        <w:tc>
          <w:tcPr>
            <w:tcW w:w="969"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sz w:val="24"/>
                <w:szCs w:val="24"/>
                <w:lang w:eastAsia="ru-RU"/>
              </w:rPr>
            </w:pPr>
            <w:r w:rsidRPr="001C5312">
              <w:rPr>
                <w:rFonts w:eastAsia="Times New Roman"/>
                <w:sz w:val="24"/>
                <w:szCs w:val="24"/>
                <w:lang w:eastAsia="ru-RU"/>
              </w:rPr>
              <w:t>28,32</w:t>
            </w:r>
          </w:p>
        </w:tc>
        <w:tc>
          <w:tcPr>
            <w:tcW w:w="968"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color w:val="000000"/>
                <w:sz w:val="24"/>
                <w:szCs w:val="24"/>
                <w:lang w:eastAsia="ru-RU"/>
              </w:rPr>
            </w:pPr>
            <w:r w:rsidRPr="001C5312">
              <w:rPr>
                <w:rFonts w:eastAsia="Times New Roman"/>
                <w:color w:val="000000"/>
                <w:sz w:val="24"/>
                <w:szCs w:val="24"/>
                <w:lang w:eastAsia="ru-RU"/>
              </w:rPr>
              <w:t>2,17</w:t>
            </w:r>
          </w:p>
        </w:tc>
        <w:tc>
          <w:tcPr>
            <w:tcW w:w="969"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sz w:val="24"/>
                <w:szCs w:val="24"/>
                <w:lang w:eastAsia="ru-RU"/>
              </w:rPr>
            </w:pPr>
            <w:r w:rsidRPr="001C5312">
              <w:rPr>
                <w:rFonts w:eastAsia="Times New Roman"/>
                <w:sz w:val="24"/>
                <w:szCs w:val="24"/>
                <w:lang w:eastAsia="ru-RU"/>
              </w:rPr>
              <w:t>2,70</w:t>
            </w:r>
          </w:p>
        </w:tc>
        <w:tc>
          <w:tcPr>
            <w:tcW w:w="968"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color w:val="000000"/>
                <w:sz w:val="24"/>
                <w:szCs w:val="24"/>
                <w:lang w:eastAsia="ru-RU"/>
              </w:rPr>
            </w:pPr>
            <w:r w:rsidRPr="001C5312">
              <w:rPr>
                <w:rFonts w:eastAsia="Times New Roman"/>
                <w:color w:val="000000"/>
                <w:sz w:val="24"/>
                <w:szCs w:val="24"/>
                <w:lang w:eastAsia="ru-RU"/>
              </w:rPr>
              <w:t>0,54</w:t>
            </w:r>
          </w:p>
        </w:tc>
        <w:tc>
          <w:tcPr>
            <w:tcW w:w="969"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sz w:val="24"/>
                <w:szCs w:val="24"/>
                <w:lang w:eastAsia="ru-RU"/>
              </w:rPr>
            </w:pPr>
            <w:r w:rsidRPr="001C5312">
              <w:rPr>
                <w:rFonts w:eastAsia="Times New Roman"/>
                <w:sz w:val="24"/>
                <w:szCs w:val="24"/>
                <w:lang w:eastAsia="ru-RU"/>
              </w:rPr>
              <w:t>0,68</w:t>
            </w:r>
          </w:p>
        </w:tc>
      </w:tr>
      <w:tr w:rsidR="001C5312" w:rsidRPr="001C5312" w:rsidTr="001C5312">
        <w:trPr>
          <w:trHeight w:val="319"/>
          <w:jc w:val="center"/>
        </w:trPr>
        <w:tc>
          <w:tcPr>
            <w:tcW w:w="4536"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left"/>
              <w:rPr>
                <w:rFonts w:eastAsia="Times New Roman"/>
                <w:sz w:val="24"/>
                <w:szCs w:val="24"/>
                <w:lang w:eastAsia="ru-RU"/>
              </w:rPr>
            </w:pPr>
            <w:r w:rsidRPr="001C5312">
              <w:rPr>
                <w:rFonts w:eastAsia="Times New Roman"/>
                <w:sz w:val="24"/>
                <w:szCs w:val="24"/>
                <w:lang w:eastAsia="ru-RU"/>
              </w:rPr>
              <w:t>Частота прееклампсій та еклампсій вагітних</w:t>
            </w:r>
          </w:p>
        </w:tc>
        <w:tc>
          <w:tcPr>
            <w:tcW w:w="968"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color w:val="000000"/>
                <w:sz w:val="24"/>
                <w:szCs w:val="24"/>
                <w:lang w:eastAsia="ru-RU"/>
              </w:rPr>
            </w:pPr>
            <w:r w:rsidRPr="001C5312">
              <w:rPr>
                <w:rFonts w:eastAsia="Times New Roman"/>
                <w:color w:val="000000"/>
                <w:sz w:val="24"/>
                <w:szCs w:val="24"/>
                <w:lang w:eastAsia="ru-RU"/>
              </w:rPr>
              <w:t>1,86</w:t>
            </w:r>
          </w:p>
        </w:tc>
        <w:tc>
          <w:tcPr>
            <w:tcW w:w="969"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sz w:val="24"/>
                <w:szCs w:val="24"/>
                <w:lang w:eastAsia="ru-RU"/>
              </w:rPr>
            </w:pPr>
            <w:r w:rsidRPr="001C5312">
              <w:rPr>
                <w:rFonts w:eastAsia="Times New Roman"/>
                <w:sz w:val="24"/>
                <w:szCs w:val="24"/>
                <w:lang w:eastAsia="ru-RU"/>
              </w:rPr>
              <w:t>1,76</w:t>
            </w:r>
          </w:p>
        </w:tc>
        <w:tc>
          <w:tcPr>
            <w:tcW w:w="968"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color w:val="000000"/>
                <w:sz w:val="24"/>
                <w:szCs w:val="24"/>
                <w:lang w:eastAsia="ru-RU"/>
              </w:rPr>
            </w:pPr>
            <w:r w:rsidRPr="001C5312">
              <w:rPr>
                <w:rFonts w:eastAsia="Times New Roman"/>
                <w:color w:val="000000"/>
                <w:sz w:val="24"/>
                <w:szCs w:val="24"/>
                <w:lang w:eastAsia="ru-RU"/>
              </w:rPr>
              <w:t>6,56</w:t>
            </w:r>
          </w:p>
        </w:tc>
        <w:tc>
          <w:tcPr>
            <w:tcW w:w="969"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sz w:val="24"/>
                <w:szCs w:val="24"/>
                <w:lang w:eastAsia="ru-RU"/>
              </w:rPr>
            </w:pPr>
            <w:r w:rsidRPr="001C5312">
              <w:rPr>
                <w:rFonts w:eastAsia="Times New Roman"/>
                <w:sz w:val="24"/>
                <w:szCs w:val="24"/>
                <w:lang w:eastAsia="ru-RU"/>
              </w:rPr>
              <w:t>6,96</w:t>
            </w:r>
          </w:p>
        </w:tc>
        <w:tc>
          <w:tcPr>
            <w:tcW w:w="968"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color w:val="000000"/>
                <w:sz w:val="24"/>
                <w:szCs w:val="24"/>
                <w:lang w:eastAsia="ru-RU"/>
              </w:rPr>
            </w:pPr>
            <w:r w:rsidRPr="001C5312">
              <w:rPr>
                <w:rFonts w:eastAsia="Times New Roman"/>
                <w:color w:val="000000"/>
                <w:sz w:val="24"/>
                <w:szCs w:val="24"/>
                <w:lang w:eastAsia="ru-RU"/>
              </w:rPr>
              <w:t>0,94</w:t>
            </w:r>
          </w:p>
        </w:tc>
        <w:tc>
          <w:tcPr>
            <w:tcW w:w="969"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sz w:val="24"/>
                <w:szCs w:val="24"/>
                <w:lang w:eastAsia="ru-RU"/>
              </w:rPr>
            </w:pPr>
            <w:r w:rsidRPr="001C5312">
              <w:rPr>
                <w:rFonts w:eastAsia="Times New Roman"/>
                <w:sz w:val="24"/>
                <w:szCs w:val="24"/>
                <w:lang w:eastAsia="ru-RU"/>
              </w:rPr>
              <w:t>0,99</w:t>
            </w:r>
          </w:p>
        </w:tc>
      </w:tr>
      <w:tr w:rsidR="001C5312" w:rsidRPr="001C5312" w:rsidTr="001C5312">
        <w:trPr>
          <w:trHeight w:val="284"/>
          <w:jc w:val="center"/>
        </w:trPr>
        <w:tc>
          <w:tcPr>
            <w:tcW w:w="4536"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left"/>
              <w:rPr>
                <w:rFonts w:eastAsia="Times New Roman"/>
                <w:sz w:val="24"/>
                <w:szCs w:val="24"/>
                <w:lang w:eastAsia="ru-RU"/>
              </w:rPr>
            </w:pPr>
            <w:r w:rsidRPr="001C5312">
              <w:rPr>
                <w:rFonts w:eastAsia="Times New Roman"/>
                <w:sz w:val="24"/>
                <w:szCs w:val="24"/>
                <w:lang w:eastAsia="ru-RU"/>
              </w:rPr>
              <w:t>Співвідношення безпечних методів абортів до небезпечних</w:t>
            </w:r>
          </w:p>
        </w:tc>
        <w:tc>
          <w:tcPr>
            <w:tcW w:w="968"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color w:val="000000"/>
                <w:sz w:val="24"/>
                <w:szCs w:val="24"/>
                <w:lang w:eastAsia="ru-RU"/>
              </w:rPr>
            </w:pPr>
            <w:r w:rsidRPr="001C5312">
              <w:rPr>
                <w:rFonts w:eastAsia="Times New Roman"/>
                <w:color w:val="000000"/>
                <w:sz w:val="24"/>
                <w:szCs w:val="24"/>
                <w:lang w:eastAsia="ru-RU"/>
              </w:rPr>
              <w:t>4,13</w:t>
            </w:r>
          </w:p>
        </w:tc>
        <w:tc>
          <w:tcPr>
            <w:tcW w:w="969"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sz w:val="24"/>
                <w:szCs w:val="24"/>
                <w:lang w:eastAsia="ru-RU"/>
              </w:rPr>
            </w:pPr>
            <w:r w:rsidRPr="001C5312">
              <w:rPr>
                <w:rFonts w:eastAsia="Times New Roman"/>
                <w:sz w:val="24"/>
                <w:szCs w:val="24"/>
                <w:lang w:eastAsia="ru-RU"/>
              </w:rPr>
              <w:t>3,48</w:t>
            </w:r>
          </w:p>
        </w:tc>
        <w:tc>
          <w:tcPr>
            <w:tcW w:w="968"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color w:val="000000"/>
                <w:sz w:val="24"/>
                <w:szCs w:val="24"/>
                <w:lang w:eastAsia="ru-RU"/>
              </w:rPr>
            </w:pPr>
            <w:r w:rsidRPr="001C5312">
              <w:rPr>
                <w:rFonts w:eastAsia="Times New Roman"/>
                <w:color w:val="000000"/>
                <w:sz w:val="24"/>
                <w:szCs w:val="24"/>
                <w:lang w:eastAsia="ru-RU"/>
              </w:rPr>
              <w:t>2,48</w:t>
            </w:r>
          </w:p>
        </w:tc>
        <w:tc>
          <w:tcPr>
            <w:tcW w:w="969"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sz w:val="24"/>
                <w:szCs w:val="24"/>
                <w:lang w:eastAsia="ru-RU"/>
              </w:rPr>
            </w:pPr>
            <w:r w:rsidRPr="001C5312">
              <w:rPr>
                <w:rFonts w:eastAsia="Times New Roman"/>
                <w:sz w:val="24"/>
                <w:szCs w:val="24"/>
                <w:lang w:eastAsia="ru-RU"/>
              </w:rPr>
              <w:t>2,61</w:t>
            </w:r>
          </w:p>
        </w:tc>
        <w:tc>
          <w:tcPr>
            <w:tcW w:w="968"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color w:val="000000"/>
                <w:sz w:val="24"/>
                <w:szCs w:val="24"/>
                <w:lang w:eastAsia="ru-RU"/>
              </w:rPr>
            </w:pPr>
            <w:r w:rsidRPr="001C5312">
              <w:rPr>
                <w:rFonts w:eastAsia="Times New Roman"/>
                <w:color w:val="000000"/>
                <w:sz w:val="24"/>
                <w:szCs w:val="24"/>
                <w:lang w:eastAsia="ru-RU"/>
              </w:rPr>
              <w:t>0,41</w:t>
            </w:r>
          </w:p>
        </w:tc>
        <w:tc>
          <w:tcPr>
            <w:tcW w:w="969"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sz w:val="24"/>
                <w:szCs w:val="24"/>
                <w:lang w:eastAsia="ru-RU"/>
              </w:rPr>
            </w:pPr>
            <w:r w:rsidRPr="001C5312">
              <w:rPr>
                <w:rFonts w:eastAsia="Times New Roman"/>
                <w:sz w:val="24"/>
                <w:szCs w:val="24"/>
                <w:lang w:eastAsia="ru-RU"/>
              </w:rPr>
              <w:t>0,44</w:t>
            </w:r>
          </w:p>
        </w:tc>
      </w:tr>
      <w:tr w:rsidR="001C5312" w:rsidRPr="001C5312" w:rsidTr="001C5312">
        <w:trPr>
          <w:trHeight w:val="340"/>
          <w:jc w:val="center"/>
        </w:trPr>
        <w:tc>
          <w:tcPr>
            <w:tcW w:w="4536" w:type="dxa"/>
            <w:tcBorders>
              <w:top w:val="single" w:sz="4" w:space="0" w:color="auto"/>
              <w:left w:val="single" w:sz="4" w:space="0" w:color="auto"/>
              <w:bottom w:val="single" w:sz="4" w:space="0" w:color="auto"/>
              <w:right w:val="single" w:sz="4" w:space="0" w:color="auto"/>
            </w:tcBorders>
            <w:vAlign w:val="bottom"/>
          </w:tcPr>
          <w:p w:rsidR="001C5312" w:rsidRPr="001C5312" w:rsidRDefault="001C5312" w:rsidP="001C5312">
            <w:pPr>
              <w:keepNext/>
              <w:jc w:val="left"/>
              <w:rPr>
                <w:rFonts w:eastAsia="Times New Roman"/>
                <w:sz w:val="24"/>
                <w:szCs w:val="24"/>
                <w:lang w:eastAsia="ru-RU"/>
              </w:rPr>
            </w:pPr>
            <w:r w:rsidRPr="001C5312">
              <w:rPr>
                <w:rFonts w:eastAsia="Times New Roman"/>
                <w:sz w:val="24"/>
                <w:szCs w:val="24"/>
                <w:lang w:eastAsia="ru-RU"/>
              </w:rPr>
              <w:t>Питома вага хворих виявлення в ранніх стадіях (І – ІІ) серед хворих з вперше встановленим діагнозом онкологія молочної залози</w:t>
            </w:r>
          </w:p>
        </w:tc>
        <w:tc>
          <w:tcPr>
            <w:tcW w:w="968"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sz w:val="24"/>
                <w:szCs w:val="24"/>
                <w:lang w:eastAsia="ru-RU"/>
              </w:rPr>
            </w:pPr>
            <w:r w:rsidRPr="001C5312">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sz w:val="24"/>
                <w:szCs w:val="24"/>
                <w:lang w:eastAsia="ru-RU"/>
              </w:rPr>
            </w:pPr>
            <w:r w:rsidRPr="001C5312">
              <w:rPr>
                <w:rFonts w:eastAsia="Times New Roman"/>
                <w:sz w:val="24"/>
                <w:szCs w:val="24"/>
                <w:lang w:eastAsia="ru-RU"/>
              </w:rPr>
              <w:t>76,70</w:t>
            </w:r>
          </w:p>
        </w:tc>
        <w:tc>
          <w:tcPr>
            <w:tcW w:w="968"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sz w:val="24"/>
                <w:szCs w:val="24"/>
                <w:lang w:eastAsia="ru-RU"/>
              </w:rPr>
            </w:pPr>
            <w:r w:rsidRPr="001C5312">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sz w:val="24"/>
                <w:szCs w:val="24"/>
                <w:lang w:eastAsia="ru-RU"/>
              </w:rPr>
            </w:pPr>
            <w:r w:rsidRPr="001C5312">
              <w:rPr>
                <w:rFonts w:eastAsia="Times New Roman"/>
                <w:sz w:val="24"/>
                <w:szCs w:val="24"/>
                <w:lang w:eastAsia="ru-RU"/>
              </w:rPr>
              <w:t>5,77</w:t>
            </w:r>
          </w:p>
        </w:tc>
        <w:tc>
          <w:tcPr>
            <w:tcW w:w="968"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sz w:val="24"/>
                <w:szCs w:val="24"/>
                <w:lang w:eastAsia="ru-RU"/>
              </w:rPr>
            </w:pPr>
            <w:r w:rsidRPr="001C5312">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sz w:val="24"/>
                <w:szCs w:val="24"/>
                <w:lang w:eastAsia="ru-RU"/>
              </w:rPr>
            </w:pPr>
            <w:r w:rsidRPr="001C5312">
              <w:rPr>
                <w:rFonts w:eastAsia="Times New Roman"/>
                <w:sz w:val="24"/>
                <w:szCs w:val="24"/>
                <w:lang w:eastAsia="ru-RU"/>
              </w:rPr>
              <w:t>0,96</w:t>
            </w:r>
          </w:p>
        </w:tc>
      </w:tr>
      <w:tr w:rsidR="001C5312" w:rsidRPr="001C5312" w:rsidTr="001C5312">
        <w:trPr>
          <w:trHeight w:val="418"/>
          <w:jc w:val="center"/>
        </w:trPr>
        <w:tc>
          <w:tcPr>
            <w:tcW w:w="4536" w:type="dxa"/>
            <w:tcBorders>
              <w:top w:val="single" w:sz="4" w:space="0" w:color="auto"/>
              <w:left w:val="single" w:sz="4" w:space="0" w:color="auto"/>
              <w:bottom w:val="single" w:sz="4" w:space="0" w:color="auto"/>
              <w:right w:val="single" w:sz="4" w:space="0" w:color="auto"/>
            </w:tcBorders>
            <w:vAlign w:val="bottom"/>
          </w:tcPr>
          <w:p w:rsidR="001C5312" w:rsidRPr="001C5312" w:rsidRDefault="001C5312" w:rsidP="001C5312">
            <w:pPr>
              <w:keepNext/>
              <w:jc w:val="left"/>
              <w:rPr>
                <w:rFonts w:eastAsia="Times New Roman"/>
                <w:sz w:val="24"/>
                <w:szCs w:val="24"/>
                <w:lang w:eastAsia="ru-RU"/>
              </w:rPr>
            </w:pPr>
            <w:r w:rsidRPr="001C5312">
              <w:rPr>
                <w:rFonts w:eastAsia="Times New Roman"/>
                <w:sz w:val="24"/>
                <w:szCs w:val="24"/>
                <w:lang w:eastAsia="ru-RU"/>
              </w:rPr>
              <w:t>Питома вага хворих виявлення в ранніх стадіях (І – ІІ) серед хворих з вперше встановленим діагнозом онкологія шийки матки</w:t>
            </w:r>
          </w:p>
        </w:tc>
        <w:tc>
          <w:tcPr>
            <w:tcW w:w="968"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sz w:val="24"/>
                <w:szCs w:val="24"/>
                <w:lang w:eastAsia="ru-RU"/>
              </w:rPr>
            </w:pPr>
            <w:r w:rsidRPr="001C5312">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sz w:val="24"/>
                <w:szCs w:val="24"/>
                <w:lang w:eastAsia="ru-RU"/>
              </w:rPr>
            </w:pPr>
            <w:r w:rsidRPr="001C5312">
              <w:rPr>
                <w:rFonts w:eastAsia="Times New Roman"/>
                <w:sz w:val="24"/>
                <w:szCs w:val="24"/>
                <w:lang w:eastAsia="ru-RU"/>
              </w:rPr>
              <w:t>77,10</w:t>
            </w:r>
          </w:p>
        </w:tc>
        <w:tc>
          <w:tcPr>
            <w:tcW w:w="968"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sz w:val="24"/>
                <w:szCs w:val="24"/>
                <w:lang w:eastAsia="ru-RU"/>
              </w:rPr>
            </w:pPr>
            <w:r w:rsidRPr="001C5312">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sz w:val="24"/>
                <w:szCs w:val="24"/>
                <w:lang w:eastAsia="ru-RU"/>
              </w:rPr>
            </w:pPr>
            <w:r w:rsidRPr="001C5312">
              <w:rPr>
                <w:rFonts w:eastAsia="Times New Roman"/>
                <w:sz w:val="24"/>
                <w:szCs w:val="24"/>
                <w:lang w:eastAsia="ru-RU"/>
              </w:rPr>
              <w:t>5,80</w:t>
            </w:r>
          </w:p>
        </w:tc>
        <w:tc>
          <w:tcPr>
            <w:tcW w:w="968"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sz w:val="24"/>
                <w:szCs w:val="24"/>
                <w:lang w:eastAsia="ru-RU"/>
              </w:rPr>
            </w:pPr>
            <w:r w:rsidRPr="001C5312">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sz w:val="24"/>
                <w:szCs w:val="24"/>
                <w:lang w:eastAsia="ru-RU"/>
              </w:rPr>
            </w:pPr>
            <w:r w:rsidRPr="001C5312">
              <w:rPr>
                <w:rFonts w:eastAsia="Times New Roman"/>
                <w:sz w:val="24"/>
                <w:szCs w:val="24"/>
                <w:lang w:eastAsia="ru-RU"/>
              </w:rPr>
              <w:t>1,00</w:t>
            </w:r>
          </w:p>
        </w:tc>
      </w:tr>
      <w:tr w:rsidR="001C5312" w:rsidRPr="001C5312" w:rsidTr="004B24A2">
        <w:trPr>
          <w:trHeight w:val="992"/>
          <w:jc w:val="center"/>
        </w:trPr>
        <w:tc>
          <w:tcPr>
            <w:tcW w:w="4536" w:type="dxa"/>
            <w:tcBorders>
              <w:top w:val="single" w:sz="4" w:space="0" w:color="auto"/>
              <w:left w:val="single" w:sz="4" w:space="0" w:color="auto"/>
              <w:bottom w:val="single" w:sz="4" w:space="0" w:color="auto"/>
              <w:right w:val="single" w:sz="4" w:space="0" w:color="auto"/>
            </w:tcBorders>
          </w:tcPr>
          <w:p w:rsidR="001C5312" w:rsidRPr="001C5312" w:rsidRDefault="001C5312" w:rsidP="001C5312">
            <w:pPr>
              <w:keepNext/>
              <w:rPr>
                <w:rFonts w:eastAsia="Times New Roman"/>
                <w:color w:val="000000"/>
                <w:sz w:val="24"/>
                <w:szCs w:val="24"/>
                <w:lang w:eastAsia="uk-UA"/>
              </w:rPr>
            </w:pPr>
            <w:r w:rsidRPr="001C5312">
              <w:rPr>
                <w:rFonts w:eastAsia="Times New Roman"/>
                <w:color w:val="000000"/>
                <w:sz w:val="24"/>
                <w:szCs w:val="24"/>
                <w:lang w:eastAsia="uk-UA"/>
              </w:rPr>
              <w:t>Індекс концентрації розродження вагітних з цукровим діабетом у ЗПД ІІІ рівня</w:t>
            </w:r>
          </w:p>
        </w:tc>
        <w:tc>
          <w:tcPr>
            <w:tcW w:w="968"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color w:val="000000"/>
                <w:sz w:val="24"/>
                <w:szCs w:val="24"/>
                <w:lang w:eastAsia="ru-RU"/>
              </w:rPr>
            </w:pPr>
            <w:r w:rsidRPr="001C5312">
              <w:rPr>
                <w:rFonts w:eastAsia="Times New Roman"/>
                <w:color w:val="000000"/>
                <w:sz w:val="24"/>
                <w:szCs w:val="24"/>
                <w:lang w:eastAsia="ru-RU"/>
              </w:rPr>
              <w:t>100</w:t>
            </w:r>
          </w:p>
        </w:tc>
        <w:tc>
          <w:tcPr>
            <w:tcW w:w="969"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color w:val="000000"/>
                <w:sz w:val="24"/>
                <w:szCs w:val="24"/>
                <w:lang w:eastAsia="ru-RU"/>
              </w:rPr>
            </w:pPr>
            <w:r w:rsidRPr="001C5312">
              <w:rPr>
                <w:rFonts w:eastAsia="Times New Roman"/>
                <w:color w:val="000000"/>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color w:val="000000"/>
                <w:sz w:val="24"/>
                <w:szCs w:val="24"/>
                <w:lang w:eastAsia="ru-RU"/>
              </w:rPr>
            </w:pPr>
            <w:r w:rsidRPr="001C5312">
              <w:rPr>
                <w:rFonts w:eastAsia="Times New Roman"/>
                <w:color w:val="000000"/>
                <w:sz w:val="24"/>
                <w:szCs w:val="24"/>
                <w:lang w:eastAsia="ru-RU"/>
              </w:rPr>
              <w:t>7,00</w:t>
            </w:r>
          </w:p>
        </w:tc>
        <w:tc>
          <w:tcPr>
            <w:tcW w:w="969"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sz w:val="24"/>
                <w:szCs w:val="24"/>
                <w:lang w:eastAsia="ru-RU"/>
              </w:rPr>
            </w:pPr>
            <w:r w:rsidRPr="001C5312">
              <w:rPr>
                <w:rFonts w:eastAsia="Times New Roman"/>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color w:val="000000"/>
                <w:sz w:val="24"/>
                <w:szCs w:val="24"/>
                <w:lang w:eastAsia="ru-RU"/>
              </w:rPr>
            </w:pPr>
            <w:r w:rsidRPr="001C5312">
              <w:rPr>
                <w:rFonts w:eastAsia="Times New Roman"/>
                <w:color w:val="000000"/>
                <w:sz w:val="24"/>
                <w:szCs w:val="24"/>
                <w:lang w:eastAsia="ru-RU"/>
              </w:rPr>
              <w:t>1,00</w:t>
            </w:r>
          </w:p>
        </w:tc>
        <w:tc>
          <w:tcPr>
            <w:tcW w:w="969"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sz w:val="24"/>
                <w:szCs w:val="24"/>
                <w:lang w:eastAsia="ru-RU"/>
              </w:rPr>
            </w:pPr>
            <w:r w:rsidRPr="001C5312">
              <w:rPr>
                <w:rFonts w:eastAsia="Times New Roman"/>
                <w:sz w:val="24"/>
                <w:szCs w:val="24"/>
                <w:lang w:eastAsia="ru-RU"/>
              </w:rPr>
              <w:t>**</w:t>
            </w:r>
          </w:p>
        </w:tc>
      </w:tr>
    </w:tbl>
    <w:tbl>
      <w:tblPr>
        <w:tblpPr w:leftFromText="180" w:rightFromText="180" w:vertAnchor="text" w:horzAnchor="margin" w:tblpY="697"/>
        <w:tblW w:w="103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36"/>
        <w:gridCol w:w="968"/>
        <w:gridCol w:w="969"/>
        <w:gridCol w:w="968"/>
        <w:gridCol w:w="969"/>
        <w:gridCol w:w="968"/>
        <w:gridCol w:w="969"/>
      </w:tblGrid>
      <w:tr w:rsidR="001C5312" w:rsidRPr="001C5312" w:rsidTr="001C5312">
        <w:trPr>
          <w:trHeight w:val="600"/>
        </w:trPr>
        <w:tc>
          <w:tcPr>
            <w:tcW w:w="4536" w:type="dxa"/>
            <w:tcBorders>
              <w:top w:val="single" w:sz="4" w:space="0" w:color="auto"/>
              <w:left w:val="single" w:sz="4" w:space="0" w:color="auto"/>
              <w:bottom w:val="single" w:sz="4" w:space="0" w:color="auto"/>
              <w:right w:val="single" w:sz="4" w:space="0" w:color="auto"/>
            </w:tcBorders>
          </w:tcPr>
          <w:p w:rsidR="001C5312" w:rsidRPr="001C5312" w:rsidRDefault="001C5312" w:rsidP="001C5312">
            <w:pPr>
              <w:keepNext/>
              <w:rPr>
                <w:rFonts w:eastAsia="Times New Roman"/>
                <w:color w:val="000000"/>
                <w:sz w:val="24"/>
                <w:szCs w:val="24"/>
                <w:lang w:eastAsia="uk-UA"/>
              </w:rPr>
            </w:pPr>
            <w:r w:rsidRPr="001C5312">
              <w:rPr>
                <w:rFonts w:eastAsia="Times New Roman"/>
                <w:color w:val="000000"/>
                <w:sz w:val="24"/>
                <w:szCs w:val="24"/>
                <w:lang w:eastAsia="uk-UA"/>
              </w:rPr>
              <w:lastRenderedPageBreak/>
              <w:t>Індекс концентрації розродження вагітних з  пре- еклампсією і еклампсією  у ЗПД ІІ-ІІІ рівнів</w:t>
            </w:r>
          </w:p>
        </w:tc>
        <w:tc>
          <w:tcPr>
            <w:tcW w:w="968"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color w:val="000000"/>
                <w:sz w:val="24"/>
                <w:szCs w:val="24"/>
                <w:lang w:eastAsia="ru-RU"/>
              </w:rPr>
            </w:pPr>
            <w:r w:rsidRPr="001C5312">
              <w:rPr>
                <w:rFonts w:eastAsia="Times New Roman"/>
                <w:color w:val="000000"/>
                <w:sz w:val="24"/>
                <w:szCs w:val="24"/>
                <w:lang w:eastAsia="ru-RU"/>
              </w:rPr>
              <w:t>76,27</w:t>
            </w:r>
          </w:p>
        </w:tc>
        <w:tc>
          <w:tcPr>
            <w:tcW w:w="969"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color w:val="000000"/>
                <w:sz w:val="24"/>
                <w:szCs w:val="24"/>
                <w:lang w:eastAsia="ru-RU"/>
              </w:rPr>
            </w:pPr>
            <w:r w:rsidRPr="001C5312">
              <w:rPr>
                <w:rFonts w:eastAsia="Times New Roman"/>
                <w:color w:val="000000"/>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color w:val="000000"/>
                <w:sz w:val="24"/>
                <w:szCs w:val="24"/>
                <w:lang w:eastAsia="ru-RU"/>
              </w:rPr>
            </w:pPr>
            <w:r w:rsidRPr="001C5312">
              <w:rPr>
                <w:rFonts w:eastAsia="Times New Roman"/>
                <w:color w:val="000000"/>
                <w:sz w:val="24"/>
                <w:szCs w:val="24"/>
                <w:lang w:eastAsia="ru-RU"/>
              </w:rPr>
              <w:t>5,93</w:t>
            </w:r>
          </w:p>
        </w:tc>
        <w:tc>
          <w:tcPr>
            <w:tcW w:w="969"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sz w:val="24"/>
                <w:szCs w:val="24"/>
                <w:lang w:eastAsia="ru-RU"/>
              </w:rPr>
            </w:pPr>
            <w:r w:rsidRPr="001C5312">
              <w:rPr>
                <w:rFonts w:eastAsia="Times New Roman"/>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color w:val="000000"/>
                <w:sz w:val="24"/>
                <w:szCs w:val="24"/>
                <w:lang w:eastAsia="ru-RU"/>
              </w:rPr>
            </w:pPr>
            <w:r w:rsidRPr="001C5312">
              <w:rPr>
                <w:rFonts w:eastAsia="Times New Roman"/>
                <w:color w:val="000000"/>
                <w:sz w:val="24"/>
                <w:szCs w:val="24"/>
                <w:lang w:eastAsia="ru-RU"/>
              </w:rPr>
              <w:t>0,85</w:t>
            </w:r>
          </w:p>
        </w:tc>
        <w:tc>
          <w:tcPr>
            <w:tcW w:w="969"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sz w:val="24"/>
                <w:szCs w:val="24"/>
                <w:lang w:eastAsia="ru-RU"/>
              </w:rPr>
            </w:pPr>
            <w:r w:rsidRPr="001C5312">
              <w:rPr>
                <w:rFonts w:eastAsia="Times New Roman"/>
                <w:sz w:val="24"/>
                <w:szCs w:val="24"/>
                <w:lang w:eastAsia="ru-RU"/>
              </w:rPr>
              <w:t>**</w:t>
            </w:r>
          </w:p>
        </w:tc>
      </w:tr>
      <w:tr w:rsidR="001C5312" w:rsidRPr="001C5312" w:rsidTr="001C5312">
        <w:trPr>
          <w:trHeight w:val="600"/>
        </w:trPr>
        <w:tc>
          <w:tcPr>
            <w:tcW w:w="4536" w:type="dxa"/>
            <w:tcBorders>
              <w:top w:val="single" w:sz="4" w:space="0" w:color="auto"/>
              <w:left w:val="single" w:sz="4" w:space="0" w:color="auto"/>
              <w:bottom w:val="single" w:sz="4" w:space="0" w:color="auto"/>
              <w:right w:val="single" w:sz="4" w:space="0" w:color="auto"/>
            </w:tcBorders>
          </w:tcPr>
          <w:p w:rsidR="001C5312" w:rsidRPr="001C5312" w:rsidRDefault="001C5312" w:rsidP="001C5312">
            <w:pPr>
              <w:keepNext/>
              <w:rPr>
                <w:rFonts w:eastAsia="Times New Roman"/>
                <w:color w:val="000000"/>
                <w:sz w:val="24"/>
                <w:szCs w:val="24"/>
                <w:lang w:eastAsia="uk-UA"/>
              </w:rPr>
            </w:pPr>
            <w:r w:rsidRPr="001C5312">
              <w:rPr>
                <w:rFonts w:eastAsia="Times New Roman"/>
                <w:color w:val="000000"/>
                <w:sz w:val="24"/>
                <w:szCs w:val="24"/>
                <w:lang w:eastAsia="uk-UA"/>
              </w:rPr>
              <w:t>Індекс концентрації новонароджених масою тіла при народженні 500-1499г у ЗПД ІІІ рівня</w:t>
            </w:r>
          </w:p>
        </w:tc>
        <w:tc>
          <w:tcPr>
            <w:tcW w:w="968"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color w:val="000000"/>
                <w:sz w:val="24"/>
                <w:szCs w:val="24"/>
                <w:lang w:eastAsia="ru-RU"/>
              </w:rPr>
            </w:pPr>
            <w:r w:rsidRPr="001C5312">
              <w:rPr>
                <w:rFonts w:eastAsia="Times New Roman"/>
                <w:color w:val="000000"/>
                <w:sz w:val="24"/>
                <w:szCs w:val="24"/>
                <w:lang w:eastAsia="ru-RU"/>
              </w:rPr>
              <w:t>76,79</w:t>
            </w:r>
          </w:p>
        </w:tc>
        <w:tc>
          <w:tcPr>
            <w:tcW w:w="969"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color w:val="000000"/>
                <w:sz w:val="24"/>
                <w:szCs w:val="24"/>
                <w:lang w:eastAsia="ru-RU"/>
              </w:rPr>
            </w:pPr>
            <w:r w:rsidRPr="001C5312">
              <w:rPr>
                <w:rFonts w:eastAsia="Times New Roman"/>
                <w:color w:val="000000"/>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color w:val="000000"/>
                <w:sz w:val="24"/>
                <w:szCs w:val="24"/>
                <w:lang w:eastAsia="ru-RU"/>
              </w:rPr>
            </w:pPr>
            <w:r w:rsidRPr="001C5312">
              <w:rPr>
                <w:rFonts w:eastAsia="Times New Roman"/>
                <w:color w:val="000000"/>
                <w:sz w:val="24"/>
                <w:szCs w:val="24"/>
                <w:lang w:eastAsia="ru-RU"/>
              </w:rPr>
              <w:t>5,76</w:t>
            </w:r>
          </w:p>
        </w:tc>
        <w:tc>
          <w:tcPr>
            <w:tcW w:w="969"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sz w:val="24"/>
                <w:szCs w:val="24"/>
                <w:lang w:eastAsia="ru-RU"/>
              </w:rPr>
            </w:pPr>
            <w:r w:rsidRPr="001C5312">
              <w:rPr>
                <w:rFonts w:eastAsia="Times New Roman"/>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color w:val="000000"/>
                <w:sz w:val="24"/>
                <w:szCs w:val="24"/>
                <w:lang w:eastAsia="ru-RU"/>
              </w:rPr>
            </w:pPr>
            <w:r w:rsidRPr="001C5312">
              <w:rPr>
                <w:rFonts w:eastAsia="Times New Roman"/>
                <w:color w:val="000000"/>
                <w:sz w:val="24"/>
                <w:szCs w:val="24"/>
                <w:lang w:eastAsia="ru-RU"/>
              </w:rPr>
              <w:t>0,96</w:t>
            </w:r>
          </w:p>
        </w:tc>
        <w:tc>
          <w:tcPr>
            <w:tcW w:w="969"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sz w:val="24"/>
                <w:szCs w:val="24"/>
                <w:lang w:eastAsia="ru-RU"/>
              </w:rPr>
            </w:pPr>
            <w:r w:rsidRPr="001C5312">
              <w:rPr>
                <w:rFonts w:eastAsia="Times New Roman"/>
                <w:sz w:val="24"/>
                <w:szCs w:val="24"/>
                <w:lang w:eastAsia="ru-RU"/>
              </w:rPr>
              <w:t>**</w:t>
            </w:r>
          </w:p>
        </w:tc>
      </w:tr>
      <w:tr w:rsidR="001C5312" w:rsidRPr="001C5312" w:rsidTr="001C5312">
        <w:trPr>
          <w:trHeight w:val="342"/>
        </w:trPr>
        <w:tc>
          <w:tcPr>
            <w:tcW w:w="4536" w:type="dxa"/>
            <w:tcBorders>
              <w:top w:val="single" w:sz="4" w:space="0" w:color="auto"/>
              <w:left w:val="single" w:sz="4" w:space="0" w:color="auto"/>
              <w:bottom w:val="single" w:sz="4" w:space="0" w:color="auto"/>
              <w:right w:val="single" w:sz="4" w:space="0" w:color="auto"/>
            </w:tcBorders>
            <w:vAlign w:val="bottom"/>
          </w:tcPr>
          <w:p w:rsidR="001C5312" w:rsidRPr="001C5312" w:rsidRDefault="001C5312" w:rsidP="001C5312">
            <w:pPr>
              <w:keepNext/>
              <w:jc w:val="left"/>
              <w:rPr>
                <w:rFonts w:eastAsia="Times New Roman"/>
                <w:sz w:val="24"/>
                <w:szCs w:val="24"/>
                <w:lang w:eastAsia="ru-RU"/>
              </w:rPr>
            </w:pPr>
            <w:r w:rsidRPr="001C5312">
              <w:rPr>
                <w:rFonts w:eastAsia="Times New Roman"/>
                <w:sz w:val="24"/>
                <w:szCs w:val="24"/>
                <w:lang w:eastAsia="ru-RU"/>
              </w:rPr>
              <w:t>Індекс неонатального трансферу</w:t>
            </w:r>
          </w:p>
        </w:tc>
        <w:tc>
          <w:tcPr>
            <w:tcW w:w="968"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sz w:val="24"/>
                <w:szCs w:val="24"/>
                <w:lang w:eastAsia="ru-RU"/>
              </w:rPr>
            </w:pPr>
            <w:r w:rsidRPr="001C5312">
              <w:rPr>
                <w:rFonts w:eastAsia="Times New Roman"/>
                <w:sz w:val="24"/>
                <w:szCs w:val="24"/>
                <w:lang w:eastAsia="ru-RU"/>
              </w:rPr>
              <w:t>4,14</w:t>
            </w:r>
          </w:p>
        </w:tc>
        <w:tc>
          <w:tcPr>
            <w:tcW w:w="969"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sz w:val="24"/>
                <w:szCs w:val="24"/>
                <w:lang w:eastAsia="ru-RU"/>
              </w:rPr>
            </w:pPr>
            <w:r w:rsidRPr="001C5312">
              <w:rPr>
                <w:rFonts w:eastAsia="Times New Roman"/>
                <w:sz w:val="24"/>
                <w:szCs w:val="24"/>
                <w:lang w:eastAsia="ru-RU"/>
              </w:rPr>
              <w:t>4,64</w:t>
            </w:r>
          </w:p>
        </w:tc>
        <w:tc>
          <w:tcPr>
            <w:tcW w:w="968"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sz w:val="24"/>
                <w:szCs w:val="24"/>
                <w:lang w:eastAsia="ru-RU"/>
              </w:rPr>
            </w:pPr>
            <w:r w:rsidRPr="001C5312">
              <w:rPr>
                <w:rFonts w:eastAsia="Times New Roman"/>
                <w:sz w:val="24"/>
                <w:szCs w:val="24"/>
                <w:lang w:eastAsia="ru-RU"/>
              </w:rPr>
              <w:t>6,76</w:t>
            </w:r>
          </w:p>
        </w:tc>
        <w:tc>
          <w:tcPr>
            <w:tcW w:w="969"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sz w:val="24"/>
                <w:szCs w:val="24"/>
                <w:lang w:eastAsia="ru-RU"/>
              </w:rPr>
            </w:pPr>
            <w:r w:rsidRPr="001C5312">
              <w:rPr>
                <w:rFonts w:eastAsia="Times New Roman"/>
                <w:sz w:val="24"/>
                <w:szCs w:val="24"/>
                <w:lang w:eastAsia="ru-RU"/>
              </w:rPr>
              <w:t>7,0</w:t>
            </w:r>
          </w:p>
        </w:tc>
        <w:tc>
          <w:tcPr>
            <w:tcW w:w="968"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sz w:val="24"/>
                <w:szCs w:val="24"/>
                <w:lang w:eastAsia="ru-RU"/>
              </w:rPr>
            </w:pPr>
            <w:r w:rsidRPr="001C5312">
              <w:rPr>
                <w:rFonts w:eastAsia="Times New Roman"/>
                <w:sz w:val="24"/>
                <w:szCs w:val="24"/>
                <w:lang w:eastAsia="ru-RU"/>
              </w:rPr>
              <w:t>0,97</w:t>
            </w:r>
          </w:p>
        </w:tc>
        <w:tc>
          <w:tcPr>
            <w:tcW w:w="969"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sz w:val="24"/>
                <w:szCs w:val="24"/>
                <w:lang w:eastAsia="ru-RU"/>
              </w:rPr>
            </w:pPr>
            <w:r w:rsidRPr="001C5312">
              <w:rPr>
                <w:rFonts w:eastAsia="Times New Roman"/>
                <w:sz w:val="24"/>
                <w:szCs w:val="24"/>
                <w:lang w:eastAsia="ru-RU"/>
              </w:rPr>
              <w:t>1,00</w:t>
            </w:r>
          </w:p>
        </w:tc>
      </w:tr>
      <w:tr w:rsidR="001C5312" w:rsidRPr="001C5312" w:rsidTr="001C5312">
        <w:trPr>
          <w:trHeight w:val="277"/>
        </w:trPr>
        <w:tc>
          <w:tcPr>
            <w:tcW w:w="4536"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left"/>
              <w:rPr>
                <w:rFonts w:eastAsia="Times New Roman"/>
                <w:sz w:val="24"/>
                <w:szCs w:val="24"/>
                <w:lang w:eastAsia="ru-RU"/>
              </w:rPr>
            </w:pPr>
            <w:r w:rsidRPr="001C5312">
              <w:rPr>
                <w:rFonts w:eastAsia="Times New Roman"/>
                <w:sz w:val="24"/>
                <w:szCs w:val="24"/>
                <w:lang w:eastAsia="ru-RU"/>
              </w:rPr>
              <w:t>Частота нормальних пологів</w:t>
            </w:r>
          </w:p>
        </w:tc>
        <w:tc>
          <w:tcPr>
            <w:tcW w:w="968"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color w:val="000000"/>
                <w:sz w:val="24"/>
                <w:szCs w:val="24"/>
                <w:lang w:eastAsia="ru-RU"/>
              </w:rPr>
            </w:pPr>
            <w:r w:rsidRPr="001C5312">
              <w:rPr>
                <w:rFonts w:eastAsia="Times New Roman"/>
                <w:color w:val="000000"/>
                <w:sz w:val="24"/>
                <w:szCs w:val="24"/>
                <w:lang w:eastAsia="ru-RU"/>
              </w:rPr>
              <w:t>60,58</w:t>
            </w:r>
          </w:p>
        </w:tc>
        <w:tc>
          <w:tcPr>
            <w:tcW w:w="969"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sz w:val="24"/>
                <w:szCs w:val="24"/>
                <w:lang w:eastAsia="ru-RU"/>
              </w:rPr>
            </w:pPr>
            <w:r w:rsidRPr="001C5312">
              <w:rPr>
                <w:rFonts w:eastAsia="Times New Roman"/>
                <w:sz w:val="24"/>
                <w:szCs w:val="24"/>
                <w:lang w:eastAsia="ru-RU"/>
              </w:rPr>
              <w:t>59,79</w:t>
            </w:r>
          </w:p>
        </w:tc>
        <w:tc>
          <w:tcPr>
            <w:tcW w:w="968"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color w:val="000000"/>
                <w:sz w:val="24"/>
                <w:szCs w:val="24"/>
                <w:lang w:eastAsia="ru-RU"/>
              </w:rPr>
            </w:pPr>
            <w:r w:rsidRPr="001C5312">
              <w:rPr>
                <w:rFonts w:eastAsia="Times New Roman"/>
                <w:color w:val="000000"/>
                <w:sz w:val="24"/>
                <w:szCs w:val="24"/>
                <w:lang w:eastAsia="ru-RU"/>
              </w:rPr>
              <w:t>4,33</w:t>
            </w:r>
          </w:p>
        </w:tc>
        <w:tc>
          <w:tcPr>
            <w:tcW w:w="969"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sz w:val="24"/>
                <w:szCs w:val="24"/>
                <w:lang w:eastAsia="ru-RU"/>
              </w:rPr>
            </w:pPr>
            <w:r w:rsidRPr="001C5312">
              <w:rPr>
                <w:rFonts w:eastAsia="Times New Roman"/>
                <w:sz w:val="24"/>
                <w:szCs w:val="24"/>
                <w:lang w:eastAsia="ru-RU"/>
              </w:rPr>
              <w:t>4,50</w:t>
            </w:r>
          </w:p>
        </w:tc>
        <w:tc>
          <w:tcPr>
            <w:tcW w:w="968"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color w:val="000000"/>
                <w:sz w:val="24"/>
                <w:szCs w:val="24"/>
                <w:lang w:eastAsia="ru-RU"/>
              </w:rPr>
            </w:pPr>
            <w:r w:rsidRPr="001C5312">
              <w:rPr>
                <w:rFonts w:eastAsia="Times New Roman"/>
                <w:color w:val="000000"/>
                <w:sz w:val="24"/>
                <w:szCs w:val="24"/>
                <w:lang w:eastAsia="ru-RU"/>
              </w:rPr>
              <w:t>0,87</w:t>
            </w:r>
          </w:p>
        </w:tc>
        <w:tc>
          <w:tcPr>
            <w:tcW w:w="969"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sz w:val="24"/>
                <w:szCs w:val="24"/>
                <w:lang w:eastAsia="ru-RU"/>
              </w:rPr>
            </w:pPr>
            <w:r w:rsidRPr="001C5312">
              <w:rPr>
                <w:rFonts w:eastAsia="Times New Roman"/>
                <w:sz w:val="24"/>
                <w:szCs w:val="24"/>
                <w:lang w:eastAsia="ru-RU"/>
              </w:rPr>
              <w:t>0,90</w:t>
            </w:r>
          </w:p>
        </w:tc>
      </w:tr>
      <w:tr w:rsidR="001C5312" w:rsidRPr="001C5312" w:rsidTr="001C5312">
        <w:trPr>
          <w:trHeight w:val="553"/>
        </w:trPr>
        <w:tc>
          <w:tcPr>
            <w:tcW w:w="4536" w:type="dxa"/>
            <w:tcBorders>
              <w:top w:val="single" w:sz="4" w:space="0" w:color="auto"/>
              <w:left w:val="single" w:sz="4" w:space="0" w:color="auto"/>
              <w:bottom w:val="single" w:sz="4" w:space="0" w:color="auto"/>
              <w:right w:val="single" w:sz="4" w:space="0" w:color="auto"/>
            </w:tcBorders>
            <w:vAlign w:val="bottom"/>
          </w:tcPr>
          <w:p w:rsidR="001C5312" w:rsidRPr="001C5312" w:rsidRDefault="001C5312" w:rsidP="001C5312">
            <w:pPr>
              <w:keepNext/>
              <w:jc w:val="left"/>
              <w:rPr>
                <w:rFonts w:eastAsia="Times New Roman"/>
                <w:sz w:val="24"/>
                <w:szCs w:val="24"/>
                <w:lang w:eastAsia="ru-RU"/>
              </w:rPr>
            </w:pPr>
            <w:r w:rsidRPr="001C5312">
              <w:rPr>
                <w:rFonts w:eastAsia="Times New Roman"/>
                <w:sz w:val="24"/>
                <w:szCs w:val="24"/>
                <w:lang w:eastAsia="ru-RU"/>
              </w:rPr>
              <w:t>Частота розроджень вагітних шляхом кесаревого розтину</w:t>
            </w:r>
          </w:p>
        </w:tc>
        <w:tc>
          <w:tcPr>
            <w:tcW w:w="968"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color w:val="000000"/>
                <w:sz w:val="24"/>
                <w:szCs w:val="24"/>
                <w:lang w:eastAsia="ru-RU"/>
              </w:rPr>
            </w:pPr>
            <w:r w:rsidRPr="001C5312">
              <w:rPr>
                <w:rFonts w:eastAsia="Times New Roman"/>
                <w:color w:val="000000"/>
                <w:sz w:val="24"/>
                <w:szCs w:val="24"/>
                <w:lang w:eastAsia="ru-RU"/>
              </w:rPr>
              <w:t>231,7</w:t>
            </w:r>
          </w:p>
        </w:tc>
        <w:tc>
          <w:tcPr>
            <w:tcW w:w="969"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sz w:val="24"/>
                <w:szCs w:val="24"/>
                <w:lang w:eastAsia="ru-RU"/>
              </w:rPr>
            </w:pPr>
            <w:r w:rsidRPr="001C5312">
              <w:rPr>
                <w:rFonts w:eastAsia="Times New Roman"/>
                <w:sz w:val="24"/>
                <w:szCs w:val="24"/>
                <w:lang w:eastAsia="ru-RU"/>
              </w:rPr>
              <w:t>256,62</w:t>
            </w:r>
          </w:p>
        </w:tc>
        <w:tc>
          <w:tcPr>
            <w:tcW w:w="968"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color w:val="000000"/>
                <w:sz w:val="24"/>
                <w:szCs w:val="24"/>
                <w:lang w:eastAsia="ru-RU"/>
              </w:rPr>
            </w:pPr>
            <w:r w:rsidRPr="001C5312">
              <w:rPr>
                <w:rFonts w:eastAsia="Times New Roman"/>
                <w:color w:val="000000"/>
                <w:sz w:val="24"/>
                <w:szCs w:val="24"/>
                <w:lang w:eastAsia="ru-RU"/>
              </w:rPr>
              <w:t>3,86</w:t>
            </w:r>
          </w:p>
        </w:tc>
        <w:tc>
          <w:tcPr>
            <w:tcW w:w="969"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sz w:val="24"/>
                <w:szCs w:val="24"/>
                <w:lang w:eastAsia="ru-RU"/>
              </w:rPr>
            </w:pPr>
            <w:r w:rsidRPr="001C5312">
              <w:rPr>
                <w:rFonts w:eastAsia="Times New Roman"/>
                <w:sz w:val="24"/>
                <w:szCs w:val="24"/>
                <w:lang w:eastAsia="ru-RU"/>
              </w:rPr>
              <w:t>3,94</w:t>
            </w:r>
          </w:p>
        </w:tc>
        <w:tc>
          <w:tcPr>
            <w:tcW w:w="968"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color w:val="000000"/>
                <w:sz w:val="24"/>
                <w:szCs w:val="24"/>
                <w:lang w:eastAsia="ru-RU"/>
              </w:rPr>
            </w:pPr>
            <w:r w:rsidRPr="001C5312">
              <w:rPr>
                <w:rFonts w:eastAsia="Times New Roman"/>
                <w:color w:val="000000"/>
                <w:sz w:val="24"/>
                <w:szCs w:val="24"/>
                <w:lang w:eastAsia="ru-RU"/>
              </w:rPr>
              <w:t>0,55</w:t>
            </w:r>
          </w:p>
        </w:tc>
        <w:tc>
          <w:tcPr>
            <w:tcW w:w="969"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sz w:val="24"/>
                <w:szCs w:val="24"/>
                <w:lang w:eastAsia="ru-RU"/>
              </w:rPr>
            </w:pPr>
            <w:r w:rsidRPr="001C5312">
              <w:rPr>
                <w:rFonts w:eastAsia="Times New Roman"/>
                <w:sz w:val="24"/>
                <w:szCs w:val="24"/>
                <w:lang w:eastAsia="ru-RU"/>
              </w:rPr>
              <w:t>0,56</w:t>
            </w:r>
          </w:p>
        </w:tc>
      </w:tr>
      <w:tr w:rsidR="001C5312" w:rsidRPr="001C5312" w:rsidTr="001C5312">
        <w:trPr>
          <w:trHeight w:val="276"/>
        </w:trPr>
        <w:tc>
          <w:tcPr>
            <w:tcW w:w="4536" w:type="dxa"/>
            <w:tcBorders>
              <w:top w:val="single" w:sz="4" w:space="0" w:color="auto"/>
              <w:left w:val="single" w:sz="4" w:space="0" w:color="auto"/>
              <w:bottom w:val="single" w:sz="4" w:space="0" w:color="auto"/>
              <w:right w:val="single" w:sz="4" w:space="0" w:color="auto"/>
            </w:tcBorders>
            <w:vAlign w:val="bottom"/>
          </w:tcPr>
          <w:p w:rsidR="001C5312" w:rsidRPr="001C5312" w:rsidRDefault="001C5312" w:rsidP="001C5312">
            <w:pPr>
              <w:keepNext/>
              <w:jc w:val="left"/>
              <w:rPr>
                <w:rFonts w:eastAsia="Times New Roman"/>
                <w:sz w:val="24"/>
                <w:szCs w:val="24"/>
                <w:lang w:eastAsia="ru-RU"/>
              </w:rPr>
            </w:pPr>
            <w:r w:rsidRPr="001C5312">
              <w:rPr>
                <w:rFonts w:eastAsia="Times New Roman"/>
                <w:sz w:val="24"/>
                <w:szCs w:val="24"/>
                <w:lang w:eastAsia="ru-RU"/>
              </w:rPr>
              <w:t>Частота  кровотеч в послідовому і післяродовому періодах</w:t>
            </w:r>
          </w:p>
        </w:tc>
        <w:tc>
          <w:tcPr>
            <w:tcW w:w="968"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color w:val="000000"/>
                <w:sz w:val="24"/>
                <w:szCs w:val="24"/>
                <w:lang w:eastAsia="ru-RU"/>
              </w:rPr>
            </w:pPr>
            <w:r w:rsidRPr="001C5312">
              <w:rPr>
                <w:rFonts w:eastAsia="Times New Roman"/>
                <w:color w:val="000000"/>
                <w:sz w:val="24"/>
                <w:szCs w:val="24"/>
                <w:lang w:eastAsia="ru-RU"/>
              </w:rPr>
              <w:t>7,41</w:t>
            </w:r>
          </w:p>
        </w:tc>
        <w:tc>
          <w:tcPr>
            <w:tcW w:w="969"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sz w:val="24"/>
                <w:szCs w:val="24"/>
                <w:lang w:eastAsia="ru-RU"/>
              </w:rPr>
            </w:pPr>
            <w:r w:rsidRPr="001C5312">
              <w:rPr>
                <w:rFonts w:eastAsia="Times New Roman"/>
                <w:sz w:val="24"/>
                <w:szCs w:val="24"/>
                <w:lang w:eastAsia="ru-RU"/>
              </w:rPr>
              <w:t>5,15</w:t>
            </w:r>
          </w:p>
        </w:tc>
        <w:tc>
          <w:tcPr>
            <w:tcW w:w="968"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color w:val="000000"/>
                <w:sz w:val="24"/>
                <w:szCs w:val="24"/>
                <w:lang w:eastAsia="ru-RU"/>
              </w:rPr>
            </w:pPr>
            <w:r w:rsidRPr="001C5312">
              <w:rPr>
                <w:rFonts w:eastAsia="Times New Roman"/>
                <w:color w:val="000000"/>
                <w:sz w:val="24"/>
                <w:szCs w:val="24"/>
                <w:lang w:eastAsia="ru-RU"/>
              </w:rPr>
              <w:t>4,66</w:t>
            </w:r>
          </w:p>
        </w:tc>
        <w:tc>
          <w:tcPr>
            <w:tcW w:w="969"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sz w:val="24"/>
                <w:szCs w:val="24"/>
                <w:lang w:eastAsia="ru-RU"/>
              </w:rPr>
            </w:pPr>
            <w:r w:rsidRPr="001C5312">
              <w:rPr>
                <w:rFonts w:eastAsia="Times New Roman"/>
                <w:sz w:val="24"/>
                <w:szCs w:val="24"/>
                <w:lang w:eastAsia="ru-RU"/>
              </w:rPr>
              <w:t>9,0</w:t>
            </w:r>
          </w:p>
        </w:tc>
        <w:tc>
          <w:tcPr>
            <w:tcW w:w="968"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color w:val="000000"/>
                <w:sz w:val="24"/>
                <w:szCs w:val="24"/>
                <w:lang w:eastAsia="ru-RU"/>
              </w:rPr>
            </w:pPr>
            <w:r w:rsidRPr="001C5312">
              <w:rPr>
                <w:rFonts w:eastAsia="Times New Roman"/>
                <w:color w:val="000000"/>
                <w:sz w:val="24"/>
                <w:szCs w:val="24"/>
                <w:lang w:eastAsia="ru-RU"/>
              </w:rPr>
              <w:t>0,52</w:t>
            </w:r>
          </w:p>
        </w:tc>
        <w:tc>
          <w:tcPr>
            <w:tcW w:w="969"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sz w:val="24"/>
                <w:szCs w:val="24"/>
                <w:lang w:eastAsia="ru-RU"/>
              </w:rPr>
            </w:pPr>
            <w:r w:rsidRPr="001C5312">
              <w:rPr>
                <w:rFonts w:eastAsia="Times New Roman"/>
                <w:sz w:val="24"/>
                <w:szCs w:val="24"/>
                <w:lang w:eastAsia="ru-RU"/>
              </w:rPr>
              <w:t>1,00</w:t>
            </w:r>
          </w:p>
        </w:tc>
      </w:tr>
      <w:tr w:rsidR="001C5312" w:rsidRPr="001C5312" w:rsidTr="001C5312">
        <w:trPr>
          <w:trHeight w:val="293"/>
        </w:trPr>
        <w:tc>
          <w:tcPr>
            <w:tcW w:w="4536" w:type="dxa"/>
            <w:tcBorders>
              <w:top w:val="single" w:sz="4" w:space="0" w:color="auto"/>
              <w:left w:val="single" w:sz="4" w:space="0" w:color="auto"/>
              <w:bottom w:val="single" w:sz="4" w:space="0" w:color="auto"/>
              <w:right w:val="single" w:sz="4" w:space="0" w:color="auto"/>
            </w:tcBorders>
            <w:vAlign w:val="bottom"/>
          </w:tcPr>
          <w:p w:rsidR="001C5312" w:rsidRPr="001C5312" w:rsidRDefault="001C5312" w:rsidP="001C5312">
            <w:pPr>
              <w:keepNext/>
              <w:jc w:val="left"/>
              <w:rPr>
                <w:rFonts w:eastAsia="Times New Roman"/>
                <w:sz w:val="24"/>
                <w:szCs w:val="24"/>
                <w:lang w:eastAsia="ru-RU"/>
              </w:rPr>
            </w:pPr>
            <w:r w:rsidRPr="001C5312">
              <w:rPr>
                <w:rFonts w:eastAsia="Times New Roman"/>
                <w:sz w:val="24"/>
                <w:szCs w:val="24"/>
                <w:lang w:eastAsia="ru-RU"/>
              </w:rPr>
              <w:t>Частота мало вагових новонароджених</w:t>
            </w:r>
          </w:p>
        </w:tc>
        <w:tc>
          <w:tcPr>
            <w:tcW w:w="968"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color w:val="000000"/>
                <w:sz w:val="24"/>
                <w:szCs w:val="24"/>
                <w:lang w:eastAsia="ru-RU"/>
              </w:rPr>
            </w:pPr>
            <w:r w:rsidRPr="001C5312">
              <w:rPr>
                <w:rFonts w:eastAsia="Times New Roman"/>
                <w:color w:val="000000"/>
                <w:sz w:val="24"/>
                <w:szCs w:val="24"/>
                <w:lang w:eastAsia="ru-RU"/>
              </w:rPr>
              <w:t>6,75</w:t>
            </w:r>
          </w:p>
        </w:tc>
        <w:tc>
          <w:tcPr>
            <w:tcW w:w="969"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sz w:val="24"/>
                <w:szCs w:val="24"/>
                <w:lang w:eastAsia="ru-RU"/>
              </w:rPr>
            </w:pPr>
            <w:r w:rsidRPr="001C5312">
              <w:rPr>
                <w:rFonts w:eastAsia="Times New Roman"/>
                <w:sz w:val="24"/>
                <w:szCs w:val="24"/>
                <w:lang w:eastAsia="ru-RU"/>
              </w:rPr>
              <w:t>6,01</w:t>
            </w:r>
          </w:p>
        </w:tc>
        <w:tc>
          <w:tcPr>
            <w:tcW w:w="968"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color w:val="000000"/>
                <w:sz w:val="24"/>
                <w:szCs w:val="24"/>
                <w:lang w:eastAsia="ru-RU"/>
              </w:rPr>
            </w:pPr>
            <w:r w:rsidRPr="001C5312">
              <w:rPr>
                <w:rFonts w:eastAsia="Times New Roman"/>
                <w:color w:val="000000"/>
                <w:sz w:val="24"/>
                <w:szCs w:val="24"/>
                <w:lang w:eastAsia="ru-RU"/>
              </w:rPr>
              <w:t>1,56</w:t>
            </w:r>
          </w:p>
        </w:tc>
        <w:tc>
          <w:tcPr>
            <w:tcW w:w="969"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sz w:val="24"/>
                <w:szCs w:val="24"/>
                <w:lang w:eastAsia="ru-RU"/>
              </w:rPr>
            </w:pPr>
            <w:r w:rsidRPr="001C5312">
              <w:rPr>
                <w:rFonts w:eastAsia="Times New Roman"/>
                <w:sz w:val="24"/>
                <w:szCs w:val="24"/>
                <w:lang w:eastAsia="ru-RU"/>
              </w:rPr>
              <w:t>2,99</w:t>
            </w:r>
          </w:p>
        </w:tc>
        <w:tc>
          <w:tcPr>
            <w:tcW w:w="968"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color w:val="000000"/>
                <w:sz w:val="24"/>
                <w:szCs w:val="24"/>
                <w:lang w:eastAsia="ru-RU"/>
              </w:rPr>
            </w:pPr>
            <w:r w:rsidRPr="001C5312">
              <w:rPr>
                <w:rFonts w:eastAsia="Times New Roman"/>
                <w:color w:val="000000"/>
                <w:sz w:val="24"/>
                <w:szCs w:val="24"/>
                <w:lang w:eastAsia="ru-RU"/>
              </w:rPr>
              <w:t>0,31</w:t>
            </w:r>
          </w:p>
        </w:tc>
        <w:tc>
          <w:tcPr>
            <w:tcW w:w="969"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sz w:val="24"/>
                <w:szCs w:val="24"/>
                <w:lang w:eastAsia="ru-RU"/>
              </w:rPr>
            </w:pPr>
            <w:r w:rsidRPr="001C5312">
              <w:rPr>
                <w:rFonts w:eastAsia="Times New Roman"/>
                <w:sz w:val="24"/>
                <w:szCs w:val="24"/>
                <w:lang w:eastAsia="ru-RU"/>
              </w:rPr>
              <w:t>0,60</w:t>
            </w:r>
          </w:p>
        </w:tc>
      </w:tr>
      <w:tr w:rsidR="001C5312" w:rsidRPr="001C5312" w:rsidTr="001C5312">
        <w:trPr>
          <w:trHeight w:val="344"/>
        </w:trPr>
        <w:tc>
          <w:tcPr>
            <w:tcW w:w="4536" w:type="dxa"/>
            <w:tcBorders>
              <w:top w:val="single" w:sz="4" w:space="0" w:color="auto"/>
              <w:left w:val="single" w:sz="4" w:space="0" w:color="auto"/>
              <w:bottom w:val="single" w:sz="4" w:space="0" w:color="auto"/>
              <w:right w:val="single" w:sz="4" w:space="0" w:color="auto"/>
            </w:tcBorders>
            <w:vAlign w:val="bottom"/>
          </w:tcPr>
          <w:p w:rsidR="001C5312" w:rsidRPr="001C5312" w:rsidRDefault="001C5312" w:rsidP="001C5312">
            <w:pPr>
              <w:keepNext/>
              <w:jc w:val="left"/>
              <w:rPr>
                <w:rFonts w:eastAsia="Times New Roman"/>
                <w:sz w:val="24"/>
                <w:szCs w:val="24"/>
                <w:lang w:eastAsia="ru-RU"/>
              </w:rPr>
            </w:pPr>
            <w:r w:rsidRPr="001C5312">
              <w:rPr>
                <w:rFonts w:eastAsia="Times New Roman"/>
                <w:sz w:val="24"/>
                <w:szCs w:val="24"/>
                <w:lang w:eastAsia="ru-RU"/>
              </w:rPr>
              <w:t>Виживання новонароджених з дуже малою масою тіла при народженні</w:t>
            </w:r>
          </w:p>
        </w:tc>
        <w:tc>
          <w:tcPr>
            <w:tcW w:w="968"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color w:val="000000"/>
                <w:sz w:val="24"/>
                <w:szCs w:val="24"/>
                <w:lang w:eastAsia="ru-RU"/>
              </w:rPr>
            </w:pPr>
            <w:r w:rsidRPr="001C5312">
              <w:rPr>
                <w:rFonts w:eastAsia="Times New Roman"/>
                <w:color w:val="000000"/>
                <w:sz w:val="24"/>
                <w:szCs w:val="24"/>
                <w:lang w:eastAsia="ru-RU"/>
              </w:rPr>
              <w:t>75</w:t>
            </w:r>
          </w:p>
        </w:tc>
        <w:tc>
          <w:tcPr>
            <w:tcW w:w="969"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sz w:val="24"/>
                <w:szCs w:val="24"/>
                <w:lang w:eastAsia="ru-RU"/>
              </w:rPr>
            </w:pPr>
            <w:r w:rsidRPr="001C5312">
              <w:rPr>
                <w:rFonts w:eastAsia="Times New Roman"/>
                <w:sz w:val="24"/>
                <w:szCs w:val="24"/>
                <w:lang w:eastAsia="ru-RU"/>
              </w:rPr>
              <w:t>80,00</w:t>
            </w:r>
          </w:p>
        </w:tc>
        <w:tc>
          <w:tcPr>
            <w:tcW w:w="968"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color w:val="000000"/>
                <w:sz w:val="24"/>
                <w:szCs w:val="24"/>
                <w:lang w:eastAsia="ru-RU"/>
              </w:rPr>
            </w:pPr>
            <w:r w:rsidRPr="001C5312">
              <w:rPr>
                <w:rFonts w:eastAsia="Times New Roman"/>
                <w:color w:val="000000"/>
                <w:sz w:val="24"/>
                <w:szCs w:val="24"/>
                <w:lang w:eastAsia="ru-RU"/>
              </w:rPr>
              <w:t>6,67</w:t>
            </w:r>
          </w:p>
        </w:tc>
        <w:tc>
          <w:tcPr>
            <w:tcW w:w="969"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sz w:val="24"/>
                <w:szCs w:val="24"/>
                <w:lang w:eastAsia="ru-RU"/>
              </w:rPr>
            </w:pPr>
            <w:r w:rsidRPr="001C5312">
              <w:rPr>
                <w:rFonts w:eastAsia="Times New Roman"/>
                <w:sz w:val="24"/>
                <w:szCs w:val="24"/>
                <w:lang w:eastAsia="ru-RU"/>
              </w:rPr>
              <w:t>7,55</w:t>
            </w:r>
          </w:p>
        </w:tc>
        <w:tc>
          <w:tcPr>
            <w:tcW w:w="968"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color w:val="000000"/>
                <w:sz w:val="24"/>
                <w:szCs w:val="24"/>
                <w:lang w:eastAsia="ru-RU"/>
              </w:rPr>
            </w:pPr>
            <w:r w:rsidRPr="001C5312">
              <w:rPr>
                <w:rFonts w:eastAsia="Times New Roman"/>
                <w:color w:val="000000"/>
                <w:sz w:val="24"/>
                <w:szCs w:val="24"/>
                <w:lang w:eastAsia="ru-RU"/>
              </w:rPr>
              <w:t>0,83</w:t>
            </w:r>
          </w:p>
        </w:tc>
        <w:tc>
          <w:tcPr>
            <w:tcW w:w="969"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sz w:val="24"/>
                <w:szCs w:val="24"/>
                <w:lang w:eastAsia="ru-RU"/>
              </w:rPr>
            </w:pPr>
            <w:r w:rsidRPr="001C5312">
              <w:rPr>
                <w:rFonts w:eastAsia="Times New Roman"/>
                <w:sz w:val="24"/>
                <w:szCs w:val="24"/>
                <w:lang w:eastAsia="ru-RU"/>
              </w:rPr>
              <w:t>0,94</w:t>
            </w:r>
          </w:p>
        </w:tc>
      </w:tr>
      <w:tr w:rsidR="001C5312" w:rsidRPr="001C5312" w:rsidTr="001C5312">
        <w:trPr>
          <w:trHeight w:val="226"/>
        </w:trPr>
        <w:tc>
          <w:tcPr>
            <w:tcW w:w="4536" w:type="dxa"/>
            <w:tcBorders>
              <w:top w:val="single" w:sz="4" w:space="0" w:color="auto"/>
              <w:left w:val="single" w:sz="4" w:space="0" w:color="auto"/>
              <w:bottom w:val="single" w:sz="4" w:space="0" w:color="auto"/>
              <w:right w:val="single" w:sz="4" w:space="0" w:color="auto"/>
            </w:tcBorders>
            <w:vAlign w:val="bottom"/>
          </w:tcPr>
          <w:p w:rsidR="001C5312" w:rsidRPr="001C5312" w:rsidRDefault="001C5312" w:rsidP="001C5312">
            <w:pPr>
              <w:keepNext/>
              <w:jc w:val="left"/>
              <w:rPr>
                <w:rFonts w:eastAsia="Times New Roman"/>
                <w:sz w:val="24"/>
                <w:szCs w:val="24"/>
                <w:lang w:eastAsia="ru-RU"/>
              </w:rPr>
            </w:pPr>
            <w:r w:rsidRPr="001C5312">
              <w:rPr>
                <w:rFonts w:eastAsia="Times New Roman"/>
                <w:sz w:val="24"/>
                <w:szCs w:val="24"/>
                <w:lang w:eastAsia="ru-RU"/>
              </w:rPr>
              <w:t>Індекс здоров’я новонароджених</w:t>
            </w:r>
          </w:p>
        </w:tc>
        <w:tc>
          <w:tcPr>
            <w:tcW w:w="968"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color w:val="000000"/>
                <w:sz w:val="24"/>
                <w:szCs w:val="24"/>
                <w:lang w:eastAsia="ru-RU"/>
              </w:rPr>
            </w:pPr>
            <w:r w:rsidRPr="001C5312">
              <w:rPr>
                <w:rFonts w:eastAsia="Times New Roman"/>
                <w:color w:val="000000"/>
                <w:sz w:val="24"/>
                <w:szCs w:val="24"/>
                <w:lang w:eastAsia="ru-RU"/>
              </w:rPr>
              <w:t>86,5</w:t>
            </w:r>
          </w:p>
        </w:tc>
        <w:tc>
          <w:tcPr>
            <w:tcW w:w="969"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sz w:val="24"/>
                <w:szCs w:val="24"/>
                <w:lang w:eastAsia="ru-RU"/>
              </w:rPr>
            </w:pPr>
            <w:r w:rsidRPr="001C5312">
              <w:rPr>
                <w:rFonts w:eastAsia="Times New Roman"/>
                <w:sz w:val="24"/>
                <w:szCs w:val="24"/>
                <w:lang w:eastAsia="ru-RU"/>
              </w:rPr>
              <w:t>87,21</w:t>
            </w:r>
          </w:p>
        </w:tc>
        <w:tc>
          <w:tcPr>
            <w:tcW w:w="968"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color w:val="000000"/>
                <w:sz w:val="24"/>
                <w:szCs w:val="24"/>
                <w:lang w:eastAsia="ru-RU"/>
              </w:rPr>
            </w:pPr>
            <w:r w:rsidRPr="001C5312">
              <w:rPr>
                <w:rFonts w:eastAsia="Times New Roman"/>
                <w:color w:val="000000"/>
                <w:sz w:val="24"/>
                <w:szCs w:val="24"/>
                <w:lang w:eastAsia="ru-RU"/>
              </w:rPr>
              <w:t>5,77</w:t>
            </w:r>
          </w:p>
        </w:tc>
        <w:tc>
          <w:tcPr>
            <w:tcW w:w="969"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sz w:val="24"/>
                <w:szCs w:val="24"/>
                <w:lang w:eastAsia="ru-RU"/>
              </w:rPr>
            </w:pPr>
            <w:r w:rsidRPr="001C5312">
              <w:rPr>
                <w:rFonts w:eastAsia="Times New Roman"/>
                <w:sz w:val="24"/>
                <w:szCs w:val="24"/>
                <w:lang w:eastAsia="ru-RU"/>
              </w:rPr>
              <w:t>6,0</w:t>
            </w:r>
          </w:p>
        </w:tc>
        <w:tc>
          <w:tcPr>
            <w:tcW w:w="968"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color w:val="000000"/>
                <w:sz w:val="24"/>
                <w:szCs w:val="24"/>
                <w:lang w:eastAsia="ru-RU"/>
              </w:rPr>
            </w:pPr>
            <w:r w:rsidRPr="001C5312">
              <w:rPr>
                <w:rFonts w:eastAsia="Times New Roman"/>
                <w:color w:val="000000"/>
                <w:sz w:val="24"/>
                <w:szCs w:val="24"/>
                <w:lang w:eastAsia="ru-RU"/>
              </w:rPr>
              <w:t>0,96</w:t>
            </w:r>
          </w:p>
        </w:tc>
        <w:tc>
          <w:tcPr>
            <w:tcW w:w="969"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sz w:val="24"/>
                <w:szCs w:val="24"/>
                <w:lang w:eastAsia="ru-RU"/>
              </w:rPr>
            </w:pPr>
            <w:r w:rsidRPr="001C5312">
              <w:rPr>
                <w:rFonts w:eastAsia="Times New Roman"/>
                <w:sz w:val="24"/>
                <w:szCs w:val="24"/>
                <w:lang w:eastAsia="ru-RU"/>
              </w:rPr>
              <w:t>1,00</w:t>
            </w:r>
          </w:p>
        </w:tc>
      </w:tr>
      <w:tr w:rsidR="001C5312" w:rsidRPr="001C5312" w:rsidTr="001C5312">
        <w:trPr>
          <w:trHeight w:val="244"/>
        </w:trPr>
        <w:tc>
          <w:tcPr>
            <w:tcW w:w="4536" w:type="dxa"/>
            <w:tcBorders>
              <w:top w:val="single" w:sz="4" w:space="0" w:color="auto"/>
              <w:left w:val="single" w:sz="4" w:space="0" w:color="auto"/>
              <w:bottom w:val="single" w:sz="4" w:space="0" w:color="auto"/>
              <w:right w:val="single" w:sz="4" w:space="0" w:color="auto"/>
            </w:tcBorders>
            <w:vAlign w:val="bottom"/>
          </w:tcPr>
          <w:p w:rsidR="001C5312" w:rsidRPr="001C5312" w:rsidRDefault="001C5312" w:rsidP="001C5312">
            <w:pPr>
              <w:keepNext/>
              <w:jc w:val="left"/>
              <w:rPr>
                <w:rFonts w:eastAsia="Times New Roman"/>
                <w:sz w:val="24"/>
                <w:szCs w:val="24"/>
                <w:lang w:eastAsia="ru-RU"/>
              </w:rPr>
            </w:pPr>
            <w:r w:rsidRPr="001C5312">
              <w:rPr>
                <w:rFonts w:eastAsia="Times New Roman"/>
                <w:sz w:val="24"/>
                <w:szCs w:val="24"/>
                <w:lang w:eastAsia="ru-RU"/>
              </w:rPr>
              <w:t xml:space="preserve">Рівень перинатальної смертності </w:t>
            </w:r>
          </w:p>
        </w:tc>
        <w:tc>
          <w:tcPr>
            <w:tcW w:w="968"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color w:val="000000"/>
                <w:sz w:val="24"/>
                <w:szCs w:val="24"/>
                <w:lang w:eastAsia="ru-RU"/>
              </w:rPr>
            </w:pPr>
            <w:r w:rsidRPr="001C5312">
              <w:rPr>
                <w:rFonts w:eastAsia="Times New Roman"/>
                <w:color w:val="000000"/>
                <w:sz w:val="24"/>
                <w:szCs w:val="24"/>
                <w:lang w:eastAsia="ru-RU"/>
              </w:rPr>
              <w:t>15,15</w:t>
            </w:r>
          </w:p>
        </w:tc>
        <w:tc>
          <w:tcPr>
            <w:tcW w:w="969"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sz w:val="24"/>
                <w:szCs w:val="24"/>
                <w:lang w:eastAsia="ru-RU"/>
              </w:rPr>
            </w:pPr>
            <w:r w:rsidRPr="001C5312">
              <w:rPr>
                <w:rFonts w:eastAsia="Times New Roman"/>
                <w:sz w:val="24"/>
                <w:szCs w:val="24"/>
                <w:lang w:eastAsia="ru-RU"/>
              </w:rPr>
              <w:t>12,32</w:t>
            </w:r>
          </w:p>
        </w:tc>
        <w:tc>
          <w:tcPr>
            <w:tcW w:w="968"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color w:val="000000"/>
                <w:sz w:val="24"/>
                <w:szCs w:val="24"/>
                <w:lang w:eastAsia="ru-RU"/>
              </w:rPr>
            </w:pPr>
            <w:r w:rsidRPr="001C5312">
              <w:rPr>
                <w:rFonts w:eastAsia="Times New Roman"/>
                <w:color w:val="000000"/>
                <w:sz w:val="24"/>
                <w:szCs w:val="24"/>
                <w:lang w:eastAsia="ru-RU"/>
              </w:rPr>
              <w:t>0,64</w:t>
            </w:r>
          </w:p>
        </w:tc>
        <w:tc>
          <w:tcPr>
            <w:tcW w:w="969"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sz w:val="24"/>
                <w:szCs w:val="24"/>
                <w:lang w:eastAsia="ru-RU"/>
              </w:rPr>
            </w:pPr>
            <w:r w:rsidRPr="001C5312">
              <w:rPr>
                <w:rFonts w:eastAsia="Times New Roman"/>
                <w:sz w:val="24"/>
                <w:szCs w:val="24"/>
                <w:lang w:eastAsia="ru-RU"/>
              </w:rPr>
              <w:t>2,76</w:t>
            </w:r>
          </w:p>
        </w:tc>
        <w:tc>
          <w:tcPr>
            <w:tcW w:w="968"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color w:val="000000"/>
                <w:sz w:val="24"/>
                <w:szCs w:val="24"/>
                <w:lang w:eastAsia="ru-RU"/>
              </w:rPr>
            </w:pPr>
            <w:r w:rsidRPr="001C5312">
              <w:rPr>
                <w:rFonts w:eastAsia="Times New Roman"/>
                <w:color w:val="000000"/>
                <w:sz w:val="24"/>
                <w:szCs w:val="24"/>
                <w:lang w:eastAsia="ru-RU"/>
              </w:rPr>
              <w:t>0,11</w:t>
            </w:r>
          </w:p>
        </w:tc>
        <w:tc>
          <w:tcPr>
            <w:tcW w:w="969"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sz w:val="24"/>
                <w:szCs w:val="24"/>
                <w:lang w:eastAsia="ru-RU"/>
              </w:rPr>
            </w:pPr>
            <w:r w:rsidRPr="001C5312">
              <w:rPr>
                <w:rFonts w:eastAsia="Times New Roman"/>
                <w:sz w:val="24"/>
                <w:szCs w:val="24"/>
                <w:lang w:eastAsia="ru-RU"/>
              </w:rPr>
              <w:t>0,46</w:t>
            </w:r>
          </w:p>
        </w:tc>
      </w:tr>
      <w:tr w:rsidR="001C5312" w:rsidRPr="001C5312" w:rsidTr="001C5312">
        <w:trPr>
          <w:trHeight w:val="450"/>
        </w:trPr>
        <w:tc>
          <w:tcPr>
            <w:tcW w:w="4536"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rPr>
                <w:rFonts w:eastAsia="Times New Roman"/>
                <w:sz w:val="24"/>
                <w:szCs w:val="24"/>
                <w:lang w:eastAsia="ru-RU"/>
              </w:rPr>
            </w:pPr>
            <w:r w:rsidRPr="001C5312">
              <w:rPr>
                <w:rFonts w:eastAsia="Times New Roman"/>
                <w:sz w:val="24"/>
                <w:szCs w:val="24"/>
                <w:lang w:eastAsia="ru-RU"/>
              </w:rPr>
              <w:t>Співвідношення реального і фактичного показника ранньої неонатальної смертності</w:t>
            </w:r>
          </w:p>
        </w:tc>
        <w:tc>
          <w:tcPr>
            <w:tcW w:w="968"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sz w:val="24"/>
                <w:szCs w:val="24"/>
                <w:lang w:eastAsia="ru-RU"/>
              </w:rPr>
            </w:pPr>
            <w:r w:rsidRPr="001C5312">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sz w:val="24"/>
                <w:szCs w:val="24"/>
                <w:lang w:eastAsia="ru-RU"/>
              </w:rPr>
            </w:pPr>
            <w:r w:rsidRPr="001C5312">
              <w:rPr>
                <w:rFonts w:eastAsia="Times New Roman"/>
                <w:sz w:val="24"/>
                <w:szCs w:val="24"/>
                <w:lang w:eastAsia="ru-RU"/>
              </w:rPr>
              <w:t>2,15</w:t>
            </w:r>
          </w:p>
        </w:tc>
        <w:tc>
          <w:tcPr>
            <w:tcW w:w="968"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sz w:val="24"/>
                <w:szCs w:val="24"/>
                <w:lang w:eastAsia="ru-RU"/>
              </w:rPr>
            </w:pPr>
            <w:r w:rsidRPr="001C5312">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sz w:val="24"/>
                <w:szCs w:val="24"/>
                <w:lang w:eastAsia="ru-RU"/>
              </w:rPr>
            </w:pPr>
            <w:r w:rsidRPr="001C5312">
              <w:rPr>
                <w:rFonts w:eastAsia="Times New Roman"/>
                <w:sz w:val="24"/>
                <w:szCs w:val="24"/>
                <w:lang w:eastAsia="ru-RU"/>
              </w:rPr>
              <w:t>3,40</w:t>
            </w:r>
          </w:p>
        </w:tc>
        <w:tc>
          <w:tcPr>
            <w:tcW w:w="968"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sz w:val="24"/>
                <w:szCs w:val="24"/>
                <w:lang w:eastAsia="ru-RU"/>
              </w:rPr>
            </w:pPr>
            <w:r w:rsidRPr="001C5312">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sz w:val="24"/>
                <w:szCs w:val="24"/>
                <w:lang w:eastAsia="ru-RU"/>
              </w:rPr>
            </w:pPr>
            <w:r w:rsidRPr="001C5312">
              <w:rPr>
                <w:rFonts w:eastAsia="Times New Roman"/>
                <w:sz w:val="24"/>
                <w:szCs w:val="24"/>
                <w:lang w:eastAsia="ru-RU"/>
              </w:rPr>
              <w:t>0,57</w:t>
            </w:r>
          </w:p>
        </w:tc>
      </w:tr>
      <w:tr w:rsidR="001C5312" w:rsidRPr="001C5312" w:rsidTr="001C5312">
        <w:trPr>
          <w:trHeight w:val="322"/>
        </w:trPr>
        <w:tc>
          <w:tcPr>
            <w:tcW w:w="4536"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left"/>
              <w:rPr>
                <w:rFonts w:eastAsia="Times New Roman"/>
                <w:sz w:val="24"/>
                <w:szCs w:val="24"/>
                <w:lang w:eastAsia="ru-RU"/>
              </w:rPr>
            </w:pPr>
            <w:r w:rsidRPr="001C5312">
              <w:rPr>
                <w:rFonts w:eastAsia="Times New Roman"/>
                <w:sz w:val="24"/>
                <w:szCs w:val="24"/>
                <w:lang w:eastAsia="ru-RU"/>
              </w:rPr>
              <w:t xml:space="preserve">Рівень неонатальної смертності </w:t>
            </w:r>
          </w:p>
        </w:tc>
        <w:tc>
          <w:tcPr>
            <w:tcW w:w="968"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sz w:val="24"/>
                <w:szCs w:val="24"/>
                <w:lang w:eastAsia="ru-RU"/>
              </w:rPr>
            </w:pPr>
            <w:r w:rsidRPr="001C5312">
              <w:rPr>
                <w:rFonts w:eastAsia="Times New Roman"/>
                <w:sz w:val="24"/>
                <w:szCs w:val="24"/>
                <w:lang w:eastAsia="ru-RU"/>
              </w:rPr>
              <w:t>8,29</w:t>
            </w:r>
          </w:p>
        </w:tc>
        <w:tc>
          <w:tcPr>
            <w:tcW w:w="969"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sz w:val="24"/>
                <w:szCs w:val="24"/>
                <w:lang w:eastAsia="ru-RU"/>
              </w:rPr>
            </w:pPr>
            <w:r w:rsidRPr="001C5312">
              <w:rPr>
                <w:rFonts w:eastAsia="Times New Roman"/>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sz w:val="24"/>
                <w:szCs w:val="24"/>
                <w:lang w:eastAsia="ru-RU"/>
              </w:rPr>
            </w:pPr>
            <w:r w:rsidRPr="001C5312">
              <w:rPr>
                <w:rFonts w:eastAsia="Times New Roman"/>
                <w:sz w:val="24"/>
                <w:szCs w:val="24"/>
                <w:lang w:eastAsia="ru-RU"/>
              </w:rPr>
              <w:t>0,0</w:t>
            </w:r>
          </w:p>
        </w:tc>
        <w:tc>
          <w:tcPr>
            <w:tcW w:w="969"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sz w:val="24"/>
                <w:szCs w:val="24"/>
                <w:lang w:eastAsia="ru-RU"/>
              </w:rPr>
            </w:pPr>
            <w:r w:rsidRPr="001C5312">
              <w:rPr>
                <w:rFonts w:eastAsia="Times New Roman"/>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sz w:val="24"/>
                <w:szCs w:val="24"/>
                <w:lang w:eastAsia="ru-RU"/>
              </w:rPr>
            </w:pPr>
            <w:r w:rsidRPr="001C5312">
              <w:rPr>
                <w:rFonts w:eastAsia="Times New Roman"/>
                <w:sz w:val="24"/>
                <w:szCs w:val="24"/>
                <w:lang w:eastAsia="ru-RU"/>
              </w:rPr>
              <w:t>0,0</w:t>
            </w:r>
          </w:p>
        </w:tc>
        <w:tc>
          <w:tcPr>
            <w:tcW w:w="969"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sz w:val="24"/>
                <w:szCs w:val="24"/>
                <w:lang w:eastAsia="ru-RU"/>
              </w:rPr>
            </w:pPr>
            <w:r w:rsidRPr="001C5312">
              <w:rPr>
                <w:rFonts w:eastAsia="Times New Roman"/>
                <w:sz w:val="24"/>
                <w:szCs w:val="24"/>
                <w:lang w:eastAsia="ru-RU"/>
              </w:rPr>
              <w:t>**</w:t>
            </w:r>
          </w:p>
        </w:tc>
      </w:tr>
      <w:tr w:rsidR="001C5312" w:rsidRPr="001C5312" w:rsidTr="001C5312">
        <w:trPr>
          <w:trHeight w:val="270"/>
        </w:trPr>
        <w:tc>
          <w:tcPr>
            <w:tcW w:w="4536"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left"/>
              <w:rPr>
                <w:rFonts w:eastAsia="Times New Roman"/>
                <w:sz w:val="24"/>
                <w:szCs w:val="24"/>
                <w:lang w:eastAsia="ru-RU"/>
              </w:rPr>
            </w:pPr>
            <w:r w:rsidRPr="001C5312">
              <w:rPr>
                <w:rFonts w:eastAsia="Times New Roman"/>
                <w:sz w:val="24"/>
                <w:szCs w:val="24"/>
                <w:lang w:eastAsia="ru-RU"/>
              </w:rPr>
              <w:t xml:space="preserve">Рівень ранньої неонатальної смертності </w:t>
            </w:r>
          </w:p>
        </w:tc>
        <w:tc>
          <w:tcPr>
            <w:tcW w:w="968"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sz w:val="24"/>
                <w:szCs w:val="24"/>
                <w:lang w:eastAsia="ru-RU"/>
              </w:rPr>
            </w:pPr>
            <w:r w:rsidRPr="001C5312">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sz w:val="24"/>
                <w:szCs w:val="24"/>
                <w:lang w:eastAsia="ru-RU"/>
              </w:rPr>
            </w:pPr>
            <w:r w:rsidRPr="001C5312">
              <w:rPr>
                <w:rFonts w:eastAsia="Times New Roman"/>
                <w:sz w:val="24"/>
                <w:szCs w:val="24"/>
                <w:lang w:eastAsia="ru-RU"/>
              </w:rPr>
              <w:t>3,04</w:t>
            </w:r>
          </w:p>
        </w:tc>
        <w:tc>
          <w:tcPr>
            <w:tcW w:w="968"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sz w:val="24"/>
                <w:szCs w:val="24"/>
                <w:lang w:eastAsia="ru-RU"/>
              </w:rPr>
            </w:pPr>
            <w:r w:rsidRPr="001C5312">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sz w:val="24"/>
                <w:szCs w:val="24"/>
                <w:lang w:eastAsia="ru-RU"/>
              </w:rPr>
            </w:pPr>
            <w:r w:rsidRPr="001C5312">
              <w:rPr>
                <w:rFonts w:eastAsia="Times New Roman"/>
                <w:sz w:val="24"/>
                <w:szCs w:val="24"/>
                <w:lang w:eastAsia="ru-RU"/>
              </w:rPr>
              <w:t>5,34</w:t>
            </w:r>
          </w:p>
        </w:tc>
        <w:tc>
          <w:tcPr>
            <w:tcW w:w="968"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sz w:val="24"/>
                <w:szCs w:val="24"/>
                <w:lang w:eastAsia="ru-RU"/>
              </w:rPr>
            </w:pPr>
            <w:r w:rsidRPr="001C5312">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sz w:val="24"/>
                <w:szCs w:val="24"/>
                <w:lang w:eastAsia="ru-RU"/>
              </w:rPr>
            </w:pPr>
            <w:r w:rsidRPr="001C5312">
              <w:rPr>
                <w:rFonts w:eastAsia="Times New Roman"/>
                <w:sz w:val="24"/>
                <w:szCs w:val="24"/>
                <w:lang w:eastAsia="ru-RU"/>
              </w:rPr>
              <w:t>0,89</w:t>
            </w:r>
          </w:p>
        </w:tc>
      </w:tr>
      <w:tr w:rsidR="001C5312" w:rsidRPr="001C5312" w:rsidTr="001C5312">
        <w:trPr>
          <w:trHeight w:val="274"/>
        </w:trPr>
        <w:tc>
          <w:tcPr>
            <w:tcW w:w="4536" w:type="dxa"/>
            <w:tcBorders>
              <w:top w:val="single" w:sz="4" w:space="0" w:color="auto"/>
              <w:left w:val="single" w:sz="4" w:space="0" w:color="auto"/>
              <w:bottom w:val="single" w:sz="4" w:space="0" w:color="auto"/>
              <w:right w:val="single" w:sz="4" w:space="0" w:color="auto"/>
            </w:tcBorders>
            <w:vAlign w:val="bottom"/>
          </w:tcPr>
          <w:p w:rsidR="001C5312" w:rsidRPr="001C5312" w:rsidRDefault="001C5312" w:rsidP="001C5312">
            <w:pPr>
              <w:keepNext/>
              <w:jc w:val="left"/>
              <w:rPr>
                <w:rFonts w:eastAsia="Times New Roman"/>
                <w:sz w:val="24"/>
                <w:szCs w:val="24"/>
                <w:lang w:eastAsia="ru-RU"/>
              </w:rPr>
            </w:pPr>
            <w:r w:rsidRPr="001C5312">
              <w:rPr>
                <w:rFonts w:eastAsia="Times New Roman"/>
                <w:sz w:val="24"/>
                <w:szCs w:val="24"/>
                <w:lang w:eastAsia="ru-RU"/>
              </w:rPr>
              <w:t xml:space="preserve">Рівень материнської смертності </w:t>
            </w:r>
          </w:p>
        </w:tc>
        <w:tc>
          <w:tcPr>
            <w:tcW w:w="968"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sz w:val="24"/>
                <w:szCs w:val="24"/>
                <w:lang w:eastAsia="ru-RU"/>
              </w:rPr>
            </w:pPr>
            <w:r w:rsidRPr="001C5312">
              <w:rPr>
                <w:rFonts w:eastAsia="Times New Roman"/>
                <w:sz w:val="24"/>
                <w:szCs w:val="24"/>
                <w:lang w:eastAsia="ru-RU"/>
              </w:rPr>
              <w:t>0</w:t>
            </w:r>
          </w:p>
        </w:tc>
        <w:tc>
          <w:tcPr>
            <w:tcW w:w="969"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sz w:val="24"/>
                <w:szCs w:val="24"/>
                <w:lang w:eastAsia="ru-RU"/>
              </w:rPr>
            </w:pPr>
            <w:r w:rsidRPr="001C5312">
              <w:rPr>
                <w:rFonts w:eastAsia="Times New Roman"/>
                <w:sz w:val="24"/>
                <w:szCs w:val="24"/>
                <w:lang w:eastAsia="ru-RU"/>
              </w:rPr>
              <w:t>0,0</w:t>
            </w:r>
          </w:p>
        </w:tc>
        <w:tc>
          <w:tcPr>
            <w:tcW w:w="968"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sz w:val="24"/>
                <w:szCs w:val="24"/>
                <w:lang w:eastAsia="ru-RU"/>
              </w:rPr>
            </w:pPr>
            <w:r w:rsidRPr="001C5312">
              <w:rPr>
                <w:rFonts w:eastAsia="Times New Roman"/>
                <w:sz w:val="24"/>
                <w:szCs w:val="24"/>
                <w:lang w:eastAsia="ru-RU"/>
              </w:rPr>
              <w:t>5,0</w:t>
            </w:r>
          </w:p>
        </w:tc>
        <w:tc>
          <w:tcPr>
            <w:tcW w:w="969"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sz w:val="24"/>
                <w:szCs w:val="24"/>
                <w:lang w:eastAsia="ru-RU"/>
              </w:rPr>
            </w:pPr>
            <w:r w:rsidRPr="001C5312">
              <w:rPr>
                <w:rFonts w:eastAsia="Times New Roman"/>
                <w:sz w:val="24"/>
                <w:szCs w:val="24"/>
                <w:lang w:eastAsia="ru-RU"/>
              </w:rPr>
              <w:t>5,0</w:t>
            </w:r>
          </w:p>
        </w:tc>
        <w:tc>
          <w:tcPr>
            <w:tcW w:w="968"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sz w:val="24"/>
                <w:szCs w:val="24"/>
                <w:lang w:eastAsia="ru-RU"/>
              </w:rPr>
            </w:pPr>
            <w:r w:rsidRPr="001C5312">
              <w:rPr>
                <w:rFonts w:eastAsia="Times New Roman"/>
                <w:sz w:val="24"/>
                <w:szCs w:val="24"/>
                <w:lang w:eastAsia="ru-RU"/>
              </w:rPr>
              <w:t>1,0</w:t>
            </w:r>
          </w:p>
        </w:tc>
        <w:tc>
          <w:tcPr>
            <w:tcW w:w="969"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sz w:val="24"/>
                <w:szCs w:val="24"/>
                <w:lang w:eastAsia="ru-RU"/>
              </w:rPr>
            </w:pPr>
            <w:r w:rsidRPr="001C5312">
              <w:rPr>
                <w:rFonts w:eastAsia="Times New Roman"/>
                <w:sz w:val="24"/>
                <w:szCs w:val="24"/>
                <w:lang w:eastAsia="ru-RU"/>
              </w:rPr>
              <w:t>1,00</w:t>
            </w:r>
          </w:p>
        </w:tc>
      </w:tr>
      <w:tr w:rsidR="001C5312" w:rsidRPr="001C5312" w:rsidTr="001C5312">
        <w:trPr>
          <w:trHeight w:val="300"/>
        </w:trPr>
        <w:tc>
          <w:tcPr>
            <w:tcW w:w="4536" w:type="dxa"/>
            <w:tcBorders>
              <w:top w:val="single" w:sz="4" w:space="0" w:color="auto"/>
              <w:left w:val="single" w:sz="4" w:space="0" w:color="auto"/>
              <w:bottom w:val="single" w:sz="4" w:space="0" w:color="auto"/>
              <w:right w:val="single" w:sz="4" w:space="0" w:color="auto"/>
            </w:tcBorders>
            <w:noWrap/>
            <w:vAlign w:val="bottom"/>
            <w:hideMark/>
          </w:tcPr>
          <w:p w:rsidR="001C5312" w:rsidRPr="001C5312" w:rsidRDefault="001C5312" w:rsidP="001C5312">
            <w:pPr>
              <w:keepNext/>
              <w:jc w:val="left"/>
              <w:rPr>
                <w:rFonts w:eastAsia="Times New Roman"/>
                <w:sz w:val="24"/>
                <w:szCs w:val="24"/>
                <w:lang w:eastAsia="ru-RU"/>
              </w:rPr>
            </w:pPr>
          </w:p>
        </w:tc>
        <w:tc>
          <w:tcPr>
            <w:tcW w:w="968" w:type="dxa"/>
            <w:tcBorders>
              <w:top w:val="single" w:sz="4" w:space="0" w:color="auto"/>
              <w:left w:val="single" w:sz="4" w:space="0" w:color="auto"/>
              <w:bottom w:val="single" w:sz="4" w:space="0" w:color="auto"/>
              <w:right w:val="single" w:sz="4" w:space="0" w:color="auto"/>
            </w:tcBorders>
            <w:noWrap/>
            <w:vAlign w:val="center"/>
          </w:tcPr>
          <w:p w:rsidR="001C5312" w:rsidRPr="001C5312" w:rsidRDefault="001C5312" w:rsidP="001C5312">
            <w:pPr>
              <w:keepNext/>
              <w:jc w:val="center"/>
              <w:rPr>
                <w:rFonts w:eastAsia="Times New Roman"/>
                <w:sz w:val="24"/>
                <w:szCs w:val="24"/>
                <w:lang w:eastAsia="ru-RU"/>
              </w:rPr>
            </w:pPr>
          </w:p>
        </w:tc>
        <w:tc>
          <w:tcPr>
            <w:tcW w:w="969"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color w:val="000000"/>
                <w:sz w:val="24"/>
                <w:szCs w:val="24"/>
                <w:lang w:eastAsia="ru-RU"/>
              </w:rPr>
            </w:pPr>
          </w:p>
        </w:tc>
        <w:tc>
          <w:tcPr>
            <w:tcW w:w="968" w:type="dxa"/>
            <w:tcBorders>
              <w:top w:val="single" w:sz="4" w:space="0" w:color="auto"/>
              <w:left w:val="single" w:sz="4" w:space="0" w:color="auto"/>
              <w:bottom w:val="single" w:sz="4" w:space="0" w:color="auto"/>
              <w:right w:val="single" w:sz="4" w:space="0" w:color="auto"/>
            </w:tcBorders>
            <w:noWrap/>
            <w:vAlign w:val="center"/>
          </w:tcPr>
          <w:p w:rsidR="001C5312" w:rsidRPr="001C5312" w:rsidRDefault="001C5312" w:rsidP="001C5312">
            <w:pPr>
              <w:keepNext/>
              <w:jc w:val="center"/>
              <w:rPr>
                <w:rFonts w:eastAsia="Times New Roman"/>
                <w:color w:val="000000"/>
                <w:sz w:val="24"/>
                <w:szCs w:val="24"/>
                <w:lang w:eastAsia="ru-RU"/>
              </w:rPr>
            </w:pPr>
            <w:r w:rsidRPr="001C5312">
              <w:rPr>
                <w:rFonts w:eastAsia="Times New Roman"/>
                <w:color w:val="000000"/>
                <w:sz w:val="24"/>
                <w:szCs w:val="24"/>
                <w:lang w:eastAsia="ru-RU"/>
              </w:rPr>
              <w:t>85,10</w:t>
            </w:r>
          </w:p>
        </w:tc>
        <w:tc>
          <w:tcPr>
            <w:tcW w:w="969"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color w:val="000000"/>
                <w:sz w:val="24"/>
                <w:szCs w:val="24"/>
                <w:lang w:eastAsia="ru-RU"/>
              </w:rPr>
            </w:pPr>
            <w:r w:rsidRPr="001C5312">
              <w:rPr>
                <w:rFonts w:eastAsia="Times New Roman"/>
                <w:color w:val="000000"/>
                <w:sz w:val="24"/>
                <w:szCs w:val="24"/>
                <w:lang w:eastAsia="ru-RU"/>
              </w:rPr>
              <w:t>109,8</w:t>
            </w:r>
          </w:p>
        </w:tc>
        <w:tc>
          <w:tcPr>
            <w:tcW w:w="968" w:type="dxa"/>
            <w:tcBorders>
              <w:top w:val="single" w:sz="4" w:space="0" w:color="auto"/>
              <w:left w:val="single" w:sz="4" w:space="0" w:color="auto"/>
              <w:bottom w:val="single" w:sz="4" w:space="0" w:color="auto"/>
              <w:right w:val="single" w:sz="4" w:space="0" w:color="auto"/>
            </w:tcBorders>
            <w:noWrap/>
            <w:vAlign w:val="center"/>
          </w:tcPr>
          <w:p w:rsidR="001C5312" w:rsidRPr="001C5312" w:rsidRDefault="001C5312" w:rsidP="001C5312">
            <w:pPr>
              <w:keepNext/>
              <w:jc w:val="center"/>
              <w:rPr>
                <w:rFonts w:eastAsia="Times New Roman"/>
                <w:color w:val="000000"/>
                <w:sz w:val="24"/>
                <w:szCs w:val="24"/>
                <w:lang w:eastAsia="ru-RU"/>
              </w:rPr>
            </w:pPr>
            <w:r w:rsidRPr="001C5312">
              <w:rPr>
                <w:rFonts w:eastAsia="Times New Roman"/>
                <w:color w:val="000000"/>
                <w:sz w:val="24"/>
                <w:szCs w:val="24"/>
                <w:lang w:eastAsia="ru-RU"/>
              </w:rPr>
              <w:t>0,71</w:t>
            </w:r>
          </w:p>
        </w:tc>
        <w:tc>
          <w:tcPr>
            <w:tcW w:w="969" w:type="dxa"/>
            <w:tcBorders>
              <w:top w:val="single" w:sz="4" w:space="0" w:color="auto"/>
              <w:left w:val="single" w:sz="4" w:space="0" w:color="auto"/>
              <w:bottom w:val="single" w:sz="4" w:space="0" w:color="auto"/>
              <w:right w:val="single" w:sz="4" w:space="0" w:color="auto"/>
            </w:tcBorders>
            <w:vAlign w:val="center"/>
          </w:tcPr>
          <w:p w:rsidR="001C5312" w:rsidRPr="001C5312" w:rsidRDefault="001C5312" w:rsidP="001C5312">
            <w:pPr>
              <w:keepNext/>
              <w:jc w:val="center"/>
              <w:rPr>
                <w:rFonts w:eastAsia="Times New Roman"/>
                <w:color w:val="000000"/>
                <w:sz w:val="24"/>
                <w:szCs w:val="24"/>
                <w:lang w:eastAsia="ru-RU"/>
              </w:rPr>
            </w:pPr>
            <w:r w:rsidRPr="001C5312">
              <w:rPr>
                <w:rFonts w:eastAsia="Times New Roman"/>
                <w:color w:val="000000"/>
                <w:sz w:val="24"/>
                <w:szCs w:val="24"/>
                <w:lang w:eastAsia="ru-RU"/>
              </w:rPr>
              <w:t>0,84</w:t>
            </w:r>
          </w:p>
        </w:tc>
      </w:tr>
    </w:tbl>
    <w:p w:rsidR="004B24A2" w:rsidRDefault="001C5312" w:rsidP="00221170">
      <w:pPr>
        <w:jc w:val="right"/>
        <w:rPr>
          <w:i/>
          <w:lang w:val="ru-RU"/>
        </w:rPr>
      </w:pPr>
      <w:r w:rsidRPr="001C5312">
        <w:rPr>
          <w:i/>
          <w:lang w:val="ru-RU"/>
        </w:rPr>
        <w:t>Продовження додаток Е-13</w:t>
      </w:r>
    </w:p>
    <w:p w:rsidR="004B24A2" w:rsidRPr="004B24A2" w:rsidRDefault="004B24A2" w:rsidP="004B24A2">
      <w:pPr>
        <w:rPr>
          <w:i/>
          <w:sz w:val="20"/>
          <w:szCs w:val="20"/>
        </w:rPr>
      </w:pPr>
      <w:r w:rsidRPr="004B24A2">
        <w:rPr>
          <w:i/>
          <w:sz w:val="20"/>
          <w:szCs w:val="20"/>
        </w:rPr>
        <w:t>Для таблиць : * – показник не оцінювався</w:t>
      </w:r>
      <w:r w:rsidRPr="004B24A2">
        <w:rPr>
          <w:i/>
          <w:sz w:val="20"/>
          <w:szCs w:val="20"/>
          <w:lang w:val="ru-RU"/>
        </w:rPr>
        <w:t xml:space="preserve">  </w:t>
      </w:r>
      <w:r w:rsidRPr="004B24A2">
        <w:rPr>
          <w:i/>
          <w:sz w:val="20"/>
          <w:szCs w:val="20"/>
        </w:rPr>
        <w:t>** – немає даних</w:t>
      </w:r>
    </w:p>
    <w:p w:rsidR="004B24A2" w:rsidRPr="004B24A2" w:rsidRDefault="004B24A2" w:rsidP="004B24A2">
      <w:pPr>
        <w:rPr>
          <w:lang w:val="ru-RU"/>
        </w:rPr>
      </w:pPr>
    </w:p>
    <w:p w:rsidR="004B24A2" w:rsidRPr="004B24A2" w:rsidRDefault="004B24A2" w:rsidP="004B24A2">
      <w:pPr>
        <w:rPr>
          <w:lang w:val="ru-RU"/>
        </w:rPr>
      </w:pPr>
    </w:p>
    <w:p w:rsidR="004B24A2" w:rsidRPr="004B24A2" w:rsidRDefault="004B24A2" w:rsidP="004B24A2">
      <w:pPr>
        <w:rPr>
          <w:lang w:val="ru-RU"/>
        </w:rPr>
      </w:pPr>
    </w:p>
    <w:p w:rsidR="004B24A2" w:rsidRPr="004B24A2" w:rsidRDefault="004B24A2" w:rsidP="004B24A2">
      <w:pPr>
        <w:rPr>
          <w:lang w:val="ru-RU"/>
        </w:rPr>
      </w:pPr>
    </w:p>
    <w:p w:rsidR="00983FA2" w:rsidRPr="004B24A2" w:rsidRDefault="00983FA2" w:rsidP="004B24A2">
      <w:pPr>
        <w:rPr>
          <w:lang w:val="ru-RU"/>
        </w:rPr>
      </w:pPr>
    </w:p>
    <w:p w:rsidR="00C43972" w:rsidRPr="00474500" w:rsidRDefault="00C43972" w:rsidP="00474500">
      <w:pPr>
        <w:keepNext/>
        <w:pageBreakBefore/>
        <w:spacing w:line="240" w:lineRule="auto"/>
        <w:jc w:val="right"/>
        <w:rPr>
          <w:rFonts w:eastAsia="Times New Roman"/>
          <w:bCs/>
          <w:iCs/>
          <w:color w:val="000000"/>
          <w:szCs w:val="28"/>
          <w:lang w:val="ru-RU" w:eastAsia="uk-UA"/>
        </w:rPr>
      </w:pPr>
      <w:r w:rsidRPr="00474500">
        <w:rPr>
          <w:rFonts w:eastAsia="Times New Roman"/>
          <w:bCs/>
          <w:iCs/>
          <w:color w:val="000000"/>
          <w:szCs w:val="28"/>
          <w:lang w:val="ru-RU" w:eastAsia="uk-UA"/>
        </w:rPr>
        <w:lastRenderedPageBreak/>
        <w:t xml:space="preserve">Додаток </w:t>
      </w:r>
      <w:r w:rsidR="00535BCC" w:rsidRPr="00474500">
        <w:rPr>
          <w:rFonts w:eastAsia="Times New Roman"/>
          <w:bCs/>
          <w:iCs/>
          <w:color w:val="000000"/>
          <w:szCs w:val="28"/>
          <w:lang w:eastAsia="uk-UA"/>
        </w:rPr>
        <w:t>Е</w:t>
      </w:r>
      <w:r w:rsidRPr="00474500">
        <w:rPr>
          <w:rFonts w:eastAsia="Times New Roman"/>
          <w:bCs/>
          <w:iCs/>
          <w:color w:val="000000"/>
          <w:szCs w:val="28"/>
          <w:lang w:eastAsia="uk-UA"/>
        </w:rPr>
        <w:t>-14</w:t>
      </w:r>
    </w:p>
    <w:p w:rsidR="00C43972" w:rsidRPr="00474500" w:rsidRDefault="00C43972" w:rsidP="00474500">
      <w:pPr>
        <w:keepNext/>
        <w:spacing w:line="276" w:lineRule="auto"/>
        <w:jc w:val="center"/>
        <w:rPr>
          <w:rFonts w:eastAsia="Times New Roman"/>
          <w:b/>
          <w:sz w:val="24"/>
          <w:szCs w:val="24"/>
          <w:lang w:eastAsia="ru-RU"/>
        </w:rPr>
      </w:pPr>
      <w:r w:rsidRPr="00474500">
        <w:rPr>
          <w:rFonts w:eastAsia="Times New Roman"/>
          <w:b/>
          <w:bCs/>
          <w:iCs/>
          <w:color w:val="000000"/>
          <w:szCs w:val="28"/>
          <w:lang w:eastAsia="uk-UA"/>
        </w:rPr>
        <w:t>Комплексна оцінка діяльності закладів перинатальної допомоги Луганської</w:t>
      </w:r>
      <w:r w:rsidRPr="00474500">
        <w:rPr>
          <w:rFonts w:eastAsia="Times New Roman"/>
          <w:b/>
          <w:bCs/>
          <w:iCs/>
          <w:color w:val="000000"/>
          <w:sz w:val="26"/>
          <w:szCs w:val="26"/>
          <w:lang w:eastAsia="uk-UA"/>
        </w:rPr>
        <w:t xml:space="preserve"> області у </w:t>
      </w:r>
      <w:r w:rsidRPr="00474500">
        <w:rPr>
          <w:rFonts w:eastAsia="Times New Roman"/>
          <w:b/>
          <w:bCs/>
          <w:iCs/>
          <w:color w:val="000000"/>
          <w:szCs w:val="28"/>
          <w:lang w:eastAsia="uk-UA"/>
        </w:rPr>
        <w:t>2017–2018 рр.</w:t>
      </w:r>
    </w:p>
    <w:tbl>
      <w:tblPr>
        <w:tblW w:w="10347" w:type="dxa"/>
        <w:jc w:val="center"/>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36"/>
        <w:gridCol w:w="968"/>
        <w:gridCol w:w="969"/>
        <w:gridCol w:w="968"/>
        <w:gridCol w:w="969"/>
        <w:gridCol w:w="968"/>
        <w:gridCol w:w="969"/>
      </w:tblGrid>
      <w:tr w:rsidR="00221170" w:rsidRPr="00221170" w:rsidTr="00221170">
        <w:trPr>
          <w:cantSplit/>
          <w:trHeight w:val="652"/>
          <w:jc w:val="center"/>
        </w:trPr>
        <w:tc>
          <w:tcPr>
            <w:tcW w:w="4536" w:type="dxa"/>
            <w:vMerge w:val="restart"/>
            <w:tcBorders>
              <w:top w:val="single" w:sz="4" w:space="0" w:color="auto"/>
              <w:left w:val="single" w:sz="4" w:space="0" w:color="auto"/>
              <w:right w:val="single" w:sz="4" w:space="0" w:color="auto"/>
            </w:tcBorders>
            <w:vAlign w:val="center"/>
            <w:hideMark/>
          </w:tcPr>
          <w:p w:rsidR="00221170" w:rsidRPr="00221170" w:rsidRDefault="00221170" w:rsidP="00221170">
            <w:pPr>
              <w:keepNext/>
              <w:jc w:val="center"/>
              <w:rPr>
                <w:rFonts w:eastAsia="Times New Roman"/>
                <w:color w:val="000000"/>
                <w:sz w:val="24"/>
                <w:szCs w:val="24"/>
                <w:lang w:eastAsia="uk-UA"/>
              </w:rPr>
            </w:pPr>
            <w:r w:rsidRPr="00221170">
              <w:rPr>
                <w:rFonts w:eastAsia="Times New Roman"/>
                <w:color w:val="000000"/>
                <w:sz w:val="24"/>
                <w:szCs w:val="24"/>
                <w:lang w:eastAsia="uk-UA"/>
              </w:rPr>
              <w:t>Індикатор якості</w:t>
            </w:r>
          </w:p>
        </w:tc>
        <w:tc>
          <w:tcPr>
            <w:tcW w:w="1937" w:type="dxa"/>
            <w:gridSpan w:val="2"/>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color w:val="000000"/>
                <w:sz w:val="24"/>
                <w:szCs w:val="24"/>
                <w:lang w:eastAsia="uk-UA"/>
              </w:rPr>
            </w:pPr>
            <w:r w:rsidRPr="00221170">
              <w:rPr>
                <w:rFonts w:eastAsia="Times New Roman"/>
                <w:color w:val="000000"/>
                <w:sz w:val="24"/>
                <w:szCs w:val="24"/>
                <w:lang w:eastAsia="uk-UA"/>
              </w:rPr>
              <w:t xml:space="preserve">Фактичний показник, </w:t>
            </w:r>
            <w:r w:rsidRPr="00221170">
              <w:rPr>
                <w:rFonts w:eastAsia="Times New Roman"/>
                <w:sz w:val="24"/>
                <w:szCs w:val="24"/>
                <w:lang w:eastAsia="uk-UA"/>
              </w:rPr>
              <w:t>Україна</w:t>
            </w:r>
          </w:p>
        </w:tc>
        <w:tc>
          <w:tcPr>
            <w:tcW w:w="1937" w:type="dxa"/>
            <w:gridSpan w:val="2"/>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color w:val="000000"/>
                <w:sz w:val="24"/>
                <w:szCs w:val="24"/>
                <w:lang w:eastAsia="uk-UA"/>
              </w:rPr>
            </w:pPr>
            <w:r w:rsidRPr="00221170">
              <w:rPr>
                <w:rFonts w:eastAsia="Times New Roman"/>
                <w:color w:val="000000"/>
                <w:sz w:val="24"/>
                <w:szCs w:val="24"/>
                <w:lang w:eastAsia="uk-UA"/>
              </w:rPr>
              <w:t>Бальна оцінка фактичного показника</w:t>
            </w:r>
          </w:p>
        </w:tc>
        <w:tc>
          <w:tcPr>
            <w:tcW w:w="1937" w:type="dxa"/>
            <w:gridSpan w:val="2"/>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color w:val="000000"/>
                <w:sz w:val="24"/>
                <w:szCs w:val="24"/>
                <w:lang w:eastAsia="uk-UA"/>
              </w:rPr>
            </w:pPr>
            <w:r w:rsidRPr="00221170">
              <w:rPr>
                <w:rFonts w:eastAsia="Times New Roman"/>
                <w:color w:val="000000"/>
                <w:sz w:val="24"/>
                <w:szCs w:val="24"/>
                <w:lang w:eastAsia="uk-UA"/>
              </w:rPr>
              <w:t>КДНЗ</w:t>
            </w:r>
          </w:p>
        </w:tc>
      </w:tr>
      <w:tr w:rsidR="00221170" w:rsidRPr="00221170" w:rsidTr="00221170">
        <w:trPr>
          <w:trHeight w:val="404"/>
          <w:jc w:val="center"/>
        </w:trPr>
        <w:tc>
          <w:tcPr>
            <w:tcW w:w="4536" w:type="dxa"/>
            <w:vMerge/>
            <w:tcBorders>
              <w:left w:val="single" w:sz="4" w:space="0" w:color="auto"/>
              <w:bottom w:val="single" w:sz="4" w:space="0" w:color="auto"/>
              <w:right w:val="single" w:sz="4" w:space="0" w:color="auto"/>
            </w:tcBorders>
            <w:vAlign w:val="bottom"/>
          </w:tcPr>
          <w:p w:rsidR="00221170" w:rsidRPr="00221170" w:rsidRDefault="00221170" w:rsidP="00221170">
            <w:pPr>
              <w:keepNext/>
              <w:jc w:val="left"/>
              <w:rPr>
                <w:rFonts w:eastAsia="Times New Roman"/>
                <w:sz w:val="24"/>
                <w:szCs w:val="24"/>
                <w:lang w:eastAsia="ru-RU"/>
              </w:rPr>
            </w:pPr>
          </w:p>
        </w:tc>
        <w:tc>
          <w:tcPr>
            <w:tcW w:w="968"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sz w:val="24"/>
                <w:szCs w:val="24"/>
                <w:lang w:eastAsia="ru-RU"/>
              </w:rPr>
            </w:pPr>
            <w:r w:rsidRPr="00221170">
              <w:rPr>
                <w:rFonts w:eastAsia="Times New Roman"/>
                <w:sz w:val="24"/>
                <w:szCs w:val="24"/>
                <w:lang w:eastAsia="ru-RU"/>
              </w:rPr>
              <w:t>2017 р.</w:t>
            </w:r>
          </w:p>
        </w:tc>
        <w:tc>
          <w:tcPr>
            <w:tcW w:w="969"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color w:val="000000"/>
                <w:sz w:val="24"/>
                <w:szCs w:val="24"/>
                <w:lang w:eastAsia="ru-RU"/>
              </w:rPr>
            </w:pPr>
            <w:r w:rsidRPr="00221170">
              <w:rPr>
                <w:rFonts w:eastAsia="Times New Roman"/>
                <w:color w:val="000000"/>
                <w:sz w:val="24"/>
                <w:szCs w:val="24"/>
                <w:lang w:eastAsia="ru-RU"/>
              </w:rPr>
              <w:t>2018 р.</w:t>
            </w:r>
          </w:p>
        </w:tc>
        <w:tc>
          <w:tcPr>
            <w:tcW w:w="968"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sz w:val="24"/>
                <w:szCs w:val="24"/>
                <w:lang w:eastAsia="ru-RU"/>
              </w:rPr>
            </w:pPr>
            <w:r w:rsidRPr="00221170">
              <w:rPr>
                <w:rFonts w:eastAsia="Times New Roman"/>
                <w:sz w:val="24"/>
                <w:szCs w:val="24"/>
                <w:lang w:eastAsia="ru-RU"/>
              </w:rPr>
              <w:t>2017 р.</w:t>
            </w:r>
          </w:p>
        </w:tc>
        <w:tc>
          <w:tcPr>
            <w:tcW w:w="969"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sz w:val="24"/>
                <w:szCs w:val="24"/>
                <w:lang w:eastAsia="ru-RU"/>
              </w:rPr>
            </w:pPr>
            <w:r w:rsidRPr="00221170">
              <w:rPr>
                <w:rFonts w:eastAsia="Times New Roman"/>
                <w:sz w:val="24"/>
                <w:szCs w:val="24"/>
                <w:lang w:eastAsia="ru-RU"/>
              </w:rPr>
              <w:t>2017 р.</w:t>
            </w:r>
          </w:p>
        </w:tc>
        <w:tc>
          <w:tcPr>
            <w:tcW w:w="968"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color w:val="000000"/>
                <w:sz w:val="24"/>
                <w:szCs w:val="24"/>
                <w:lang w:eastAsia="ru-RU"/>
              </w:rPr>
            </w:pPr>
            <w:r w:rsidRPr="00221170">
              <w:rPr>
                <w:rFonts w:eastAsia="Times New Roman"/>
                <w:color w:val="000000"/>
                <w:sz w:val="24"/>
                <w:szCs w:val="24"/>
                <w:lang w:eastAsia="ru-RU"/>
              </w:rPr>
              <w:t>2018 р.</w:t>
            </w:r>
          </w:p>
        </w:tc>
        <w:tc>
          <w:tcPr>
            <w:tcW w:w="969"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sz w:val="24"/>
                <w:szCs w:val="24"/>
                <w:lang w:eastAsia="ru-RU"/>
              </w:rPr>
            </w:pPr>
            <w:r w:rsidRPr="00221170">
              <w:rPr>
                <w:rFonts w:eastAsia="Times New Roman"/>
                <w:sz w:val="24"/>
                <w:szCs w:val="24"/>
                <w:lang w:eastAsia="ru-RU"/>
              </w:rPr>
              <w:t>2017 р.</w:t>
            </w:r>
          </w:p>
        </w:tc>
      </w:tr>
      <w:tr w:rsidR="00221170" w:rsidRPr="00221170" w:rsidTr="00221170">
        <w:trPr>
          <w:trHeight w:val="404"/>
          <w:jc w:val="center"/>
        </w:trPr>
        <w:tc>
          <w:tcPr>
            <w:tcW w:w="4536"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left"/>
              <w:rPr>
                <w:rFonts w:eastAsia="Times New Roman"/>
                <w:sz w:val="24"/>
                <w:szCs w:val="24"/>
                <w:lang w:eastAsia="ru-RU"/>
              </w:rPr>
            </w:pPr>
            <w:r w:rsidRPr="00221170">
              <w:rPr>
                <w:rFonts w:eastAsia="Times New Roman"/>
                <w:sz w:val="24"/>
                <w:szCs w:val="24"/>
                <w:lang w:eastAsia="ru-RU"/>
              </w:rPr>
              <w:t>Забезпеченість  лікарями акушер-гінекологами</w:t>
            </w:r>
          </w:p>
        </w:tc>
        <w:tc>
          <w:tcPr>
            <w:tcW w:w="968"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sz w:val="24"/>
                <w:szCs w:val="24"/>
                <w:lang w:eastAsia="ru-RU"/>
              </w:rPr>
            </w:pPr>
            <w:r w:rsidRPr="00221170">
              <w:rPr>
                <w:rFonts w:eastAsia="Times New Roman"/>
                <w:sz w:val="24"/>
                <w:szCs w:val="24"/>
                <w:lang w:eastAsia="ru-RU"/>
              </w:rPr>
              <w:t>3,26</w:t>
            </w:r>
          </w:p>
        </w:tc>
        <w:tc>
          <w:tcPr>
            <w:tcW w:w="969"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sz w:val="24"/>
                <w:szCs w:val="24"/>
                <w:lang w:eastAsia="ru-RU"/>
              </w:rPr>
            </w:pPr>
            <w:r w:rsidRPr="00221170">
              <w:rPr>
                <w:rFonts w:eastAsia="Times New Roman"/>
                <w:sz w:val="24"/>
                <w:szCs w:val="24"/>
                <w:lang w:eastAsia="ru-RU"/>
              </w:rPr>
              <w:t>3,24</w:t>
            </w:r>
          </w:p>
        </w:tc>
        <w:tc>
          <w:tcPr>
            <w:tcW w:w="968"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sz w:val="24"/>
                <w:szCs w:val="24"/>
                <w:lang w:eastAsia="ru-RU"/>
              </w:rPr>
            </w:pPr>
            <w:r w:rsidRPr="00221170">
              <w:rPr>
                <w:rFonts w:eastAsia="Times New Roman"/>
                <w:sz w:val="24"/>
                <w:szCs w:val="24"/>
                <w:lang w:eastAsia="ru-RU"/>
              </w:rPr>
              <w:t>3,56</w:t>
            </w:r>
          </w:p>
        </w:tc>
        <w:tc>
          <w:tcPr>
            <w:tcW w:w="969"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sz w:val="24"/>
                <w:szCs w:val="24"/>
                <w:lang w:eastAsia="ru-RU"/>
              </w:rPr>
            </w:pPr>
            <w:r w:rsidRPr="00221170">
              <w:rPr>
                <w:rFonts w:eastAsia="Times New Roman"/>
                <w:sz w:val="24"/>
                <w:szCs w:val="24"/>
                <w:lang w:eastAsia="ru-RU"/>
              </w:rPr>
              <w:t>3,54</w:t>
            </w:r>
          </w:p>
        </w:tc>
        <w:tc>
          <w:tcPr>
            <w:tcW w:w="968"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sz w:val="24"/>
                <w:szCs w:val="24"/>
                <w:lang w:eastAsia="ru-RU"/>
              </w:rPr>
            </w:pPr>
            <w:r w:rsidRPr="00221170">
              <w:rPr>
                <w:rFonts w:eastAsia="Times New Roman"/>
                <w:sz w:val="24"/>
                <w:szCs w:val="24"/>
                <w:lang w:eastAsia="ru-RU"/>
              </w:rPr>
              <w:t>0,59</w:t>
            </w:r>
          </w:p>
        </w:tc>
        <w:tc>
          <w:tcPr>
            <w:tcW w:w="969"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sz w:val="24"/>
                <w:szCs w:val="24"/>
                <w:lang w:eastAsia="ru-RU"/>
              </w:rPr>
            </w:pPr>
            <w:r w:rsidRPr="00221170">
              <w:rPr>
                <w:rFonts w:eastAsia="Times New Roman"/>
                <w:sz w:val="24"/>
                <w:szCs w:val="24"/>
                <w:lang w:eastAsia="ru-RU"/>
              </w:rPr>
              <w:t>0,59</w:t>
            </w:r>
          </w:p>
        </w:tc>
      </w:tr>
      <w:tr w:rsidR="00221170" w:rsidRPr="00221170" w:rsidTr="00221170">
        <w:trPr>
          <w:trHeight w:val="404"/>
          <w:jc w:val="center"/>
        </w:trPr>
        <w:tc>
          <w:tcPr>
            <w:tcW w:w="4536" w:type="dxa"/>
            <w:tcBorders>
              <w:top w:val="single" w:sz="4" w:space="0" w:color="auto"/>
              <w:left w:val="single" w:sz="4" w:space="0" w:color="auto"/>
              <w:bottom w:val="single" w:sz="4" w:space="0" w:color="auto"/>
              <w:right w:val="single" w:sz="4" w:space="0" w:color="auto"/>
            </w:tcBorders>
            <w:vAlign w:val="bottom"/>
          </w:tcPr>
          <w:p w:rsidR="00221170" w:rsidRPr="00221170" w:rsidRDefault="00221170" w:rsidP="00221170">
            <w:pPr>
              <w:keepNext/>
              <w:jc w:val="left"/>
              <w:rPr>
                <w:rFonts w:eastAsia="Times New Roman"/>
                <w:sz w:val="24"/>
                <w:szCs w:val="24"/>
                <w:lang w:eastAsia="ru-RU"/>
              </w:rPr>
            </w:pPr>
            <w:r w:rsidRPr="00221170">
              <w:rPr>
                <w:rFonts w:eastAsia="Times New Roman"/>
                <w:sz w:val="24"/>
                <w:szCs w:val="24"/>
                <w:lang w:eastAsia="ru-RU"/>
              </w:rPr>
              <w:t>Забезпеченість  лікарями  педіатрами-неонатологами</w:t>
            </w:r>
          </w:p>
        </w:tc>
        <w:tc>
          <w:tcPr>
            <w:tcW w:w="968"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sz w:val="24"/>
                <w:szCs w:val="24"/>
                <w:lang w:eastAsia="ru-RU"/>
              </w:rPr>
            </w:pPr>
            <w:r w:rsidRPr="00221170">
              <w:rPr>
                <w:rFonts w:eastAsia="Times New Roman"/>
                <w:sz w:val="24"/>
                <w:szCs w:val="24"/>
                <w:lang w:eastAsia="ru-RU"/>
              </w:rPr>
              <w:t>4,71</w:t>
            </w:r>
          </w:p>
        </w:tc>
        <w:tc>
          <w:tcPr>
            <w:tcW w:w="969"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sz w:val="24"/>
                <w:szCs w:val="24"/>
                <w:lang w:eastAsia="ru-RU"/>
              </w:rPr>
            </w:pPr>
            <w:r w:rsidRPr="00221170">
              <w:rPr>
                <w:rFonts w:eastAsia="Times New Roman"/>
                <w:sz w:val="24"/>
                <w:szCs w:val="24"/>
                <w:lang w:eastAsia="ru-RU"/>
              </w:rPr>
              <w:t>5,58</w:t>
            </w:r>
          </w:p>
        </w:tc>
        <w:tc>
          <w:tcPr>
            <w:tcW w:w="968"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sz w:val="24"/>
                <w:szCs w:val="24"/>
                <w:lang w:eastAsia="ru-RU"/>
              </w:rPr>
            </w:pPr>
            <w:r w:rsidRPr="00221170">
              <w:rPr>
                <w:rFonts w:eastAsia="Times New Roman"/>
                <w:sz w:val="24"/>
                <w:szCs w:val="24"/>
                <w:lang w:eastAsia="ru-RU"/>
              </w:rPr>
              <w:t>5,14</w:t>
            </w:r>
          </w:p>
        </w:tc>
        <w:tc>
          <w:tcPr>
            <w:tcW w:w="969"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sz w:val="24"/>
                <w:szCs w:val="24"/>
                <w:lang w:eastAsia="ru-RU"/>
              </w:rPr>
            </w:pPr>
            <w:r w:rsidRPr="00221170">
              <w:rPr>
                <w:rFonts w:eastAsia="Times New Roman"/>
                <w:sz w:val="24"/>
                <w:szCs w:val="24"/>
                <w:lang w:eastAsia="ru-RU"/>
              </w:rPr>
              <w:t>6,0</w:t>
            </w:r>
          </w:p>
        </w:tc>
        <w:tc>
          <w:tcPr>
            <w:tcW w:w="968"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sz w:val="24"/>
                <w:szCs w:val="24"/>
                <w:lang w:eastAsia="ru-RU"/>
              </w:rPr>
            </w:pPr>
            <w:r w:rsidRPr="00221170">
              <w:rPr>
                <w:rFonts w:eastAsia="Times New Roman"/>
                <w:sz w:val="24"/>
                <w:szCs w:val="24"/>
                <w:lang w:eastAsia="ru-RU"/>
              </w:rPr>
              <w:t>0,86</w:t>
            </w:r>
          </w:p>
        </w:tc>
        <w:tc>
          <w:tcPr>
            <w:tcW w:w="969"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sz w:val="24"/>
                <w:szCs w:val="24"/>
                <w:lang w:eastAsia="ru-RU"/>
              </w:rPr>
            </w:pPr>
            <w:r w:rsidRPr="00221170">
              <w:rPr>
                <w:rFonts w:eastAsia="Times New Roman"/>
                <w:sz w:val="24"/>
                <w:szCs w:val="24"/>
                <w:lang w:eastAsia="ru-RU"/>
              </w:rPr>
              <w:t>1,00</w:t>
            </w:r>
          </w:p>
        </w:tc>
      </w:tr>
      <w:tr w:rsidR="00221170" w:rsidRPr="00221170" w:rsidTr="00221170">
        <w:trPr>
          <w:trHeight w:val="404"/>
          <w:jc w:val="center"/>
        </w:trPr>
        <w:tc>
          <w:tcPr>
            <w:tcW w:w="4536" w:type="dxa"/>
            <w:tcBorders>
              <w:top w:val="single" w:sz="4" w:space="0" w:color="auto"/>
              <w:left w:val="single" w:sz="4" w:space="0" w:color="auto"/>
              <w:bottom w:val="single" w:sz="4" w:space="0" w:color="auto"/>
              <w:right w:val="single" w:sz="4" w:space="0" w:color="auto"/>
            </w:tcBorders>
            <w:vAlign w:val="bottom"/>
          </w:tcPr>
          <w:p w:rsidR="00221170" w:rsidRPr="00221170" w:rsidRDefault="00221170" w:rsidP="00221170">
            <w:pPr>
              <w:keepNext/>
              <w:jc w:val="left"/>
              <w:rPr>
                <w:rFonts w:eastAsia="Times New Roman"/>
                <w:sz w:val="24"/>
                <w:szCs w:val="24"/>
                <w:lang w:eastAsia="ru-RU"/>
              </w:rPr>
            </w:pPr>
            <w:r w:rsidRPr="00221170">
              <w:rPr>
                <w:rFonts w:eastAsia="Times New Roman"/>
                <w:sz w:val="24"/>
                <w:szCs w:val="24"/>
                <w:lang w:eastAsia="ru-RU"/>
              </w:rPr>
              <w:t>Питома вага атестованих лікарів акушер-гінекологів</w:t>
            </w:r>
          </w:p>
        </w:tc>
        <w:tc>
          <w:tcPr>
            <w:tcW w:w="968"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sz w:val="24"/>
                <w:szCs w:val="24"/>
                <w:lang w:eastAsia="ru-RU"/>
              </w:rPr>
            </w:pPr>
            <w:r w:rsidRPr="00221170">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sz w:val="24"/>
                <w:szCs w:val="24"/>
                <w:lang w:eastAsia="ru-RU"/>
              </w:rPr>
            </w:pPr>
            <w:r w:rsidRPr="00221170">
              <w:rPr>
                <w:rFonts w:eastAsia="Times New Roman"/>
                <w:sz w:val="24"/>
                <w:szCs w:val="24"/>
                <w:lang w:eastAsia="ru-RU"/>
              </w:rPr>
              <w:t>90,91</w:t>
            </w:r>
          </w:p>
        </w:tc>
        <w:tc>
          <w:tcPr>
            <w:tcW w:w="968"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sz w:val="24"/>
                <w:szCs w:val="24"/>
                <w:lang w:eastAsia="ru-RU"/>
              </w:rPr>
            </w:pPr>
            <w:r w:rsidRPr="00221170">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sz w:val="24"/>
                <w:szCs w:val="24"/>
                <w:lang w:eastAsia="ru-RU"/>
              </w:rPr>
            </w:pPr>
            <w:r w:rsidRPr="00221170">
              <w:rPr>
                <w:rFonts w:eastAsia="Times New Roman"/>
                <w:sz w:val="24"/>
                <w:szCs w:val="24"/>
                <w:lang w:eastAsia="ru-RU"/>
              </w:rPr>
              <w:t>6,0</w:t>
            </w:r>
          </w:p>
        </w:tc>
        <w:tc>
          <w:tcPr>
            <w:tcW w:w="968"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sz w:val="24"/>
                <w:szCs w:val="24"/>
                <w:lang w:eastAsia="ru-RU"/>
              </w:rPr>
            </w:pPr>
            <w:r w:rsidRPr="00221170">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sz w:val="24"/>
                <w:szCs w:val="24"/>
                <w:lang w:eastAsia="ru-RU"/>
              </w:rPr>
            </w:pPr>
            <w:r w:rsidRPr="00221170">
              <w:rPr>
                <w:rFonts w:eastAsia="Times New Roman"/>
                <w:sz w:val="24"/>
                <w:szCs w:val="24"/>
                <w:lang w:eastAsia="ru-RU"/>
              </w:rPr>
              <w:t>1,00</w:t>
            </w:r>
          </w:p>
        </w:tc>
      </w:tr>
      <w:tr w:rsidR="00221170" w:rsidRPr="00221170" w:rsidTr="00221170">
        <w:trPr>
          <w:trHeight w:val="404"/>
          <w:jc w:val="center"/>
        </w:trPr>
        <w:tc>
          <w:tcPr>
            <w:tcW w:w="4536" w:type="dxa"/>
            <w:tcBorders>
              <w:top w:val="single" w:sz="4" w:space="0" w:color="auto"/>
              <w:left w:val="single" w:sz="4" w:space="0" w:color="auto"/>
              <w:bottom w:val="single" w:sz="4" w:space="0" w:color="auto"/>
              <w:right w:val="single" w:sz="4" w:space="0" w:color="auto"/>
            </w:tcBorders>
            <w:vAlign w:val="bottom"/>
          </w:tcPr>
          <w:p w:rsidR="00221170" w:rsidRPr="00221170" w:rsidRDefault="00221170" w:rsidP="00221170">
            <w:pPr>
              <w:keepNext/>
              <w:jc w:val="left"/>
              <w:rPr>
                <w:rFonts w:eastAsia="Times New Roman"/>
                <w:sz w:val="24"/>
                <w:szCs w:val="24"/>
                <w:lang w:eastAsia="ru-RU"/>
              </w:rPr>
            </w:pPr>
            <w:r w:rsidRPr="00221170">
              <w:rPr>
                <w:rFonts w:eastAsia="Times New Roman"/>
                <w:sz w:val="24"/>
                <w:szCs w:val="24"/>
                <w:lang w:eastAsia="ru-RU"/>
              </w:rPr>
              <w:t>Питома вага атестованих лікарів педіатрів-неонатологів</w:t>
            </w:r>
          </w:p>
        </w:tc>
        <w:tc>
          <w:tcPr>
            <w:tcW w:w="968"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sz w:val="24"/>
                <w:szCs w:val="24"/>
                <w:lang w:eastAsia="ru-RU"/>
              </w:rPr>
            </w:pPr>
            <w:r w:rsidRPr="00221170">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sz w:val="24"/>
                <w:szCs w:val="24"/>
                <w:lang w:eastAsia="ru-RU"/>
              </w:rPr>
            </w:pPr>
            <w:r w:rsidRPr="00221170">
              <w:rPr>
                <w:rFonts w:eastAsia="Times New Roman"/>
                <w:sz w:val="24"/>
                <w:szCs w:val="24"/>
                <w:lang w:eastAsia="ru-RU"/>
              </w:rPr>
              <w:t>80,00</w:t>
            </w:r>
          </w:p>
        </w:tc>
        <w:tc>
          <w:tcPr>
            <w:tcW w:w="968"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sz w:val="24"/>
                <w:szCs w:val="24"/>
                <w:lang w:eastAsia="ru-RU"/>
              </w:rPr>
            </w:pPr>
            <w:r w:rsidRPr="00221170">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sz w:val="24"/>
                <w:szCs w:val="24"/>
                <w:lang w:eastAsia="ru-RU"/>
              </w:rPr>
            </w:pPr>
            <w:r w:rsidRPr="00221170">
              <w:rPr>
                <w:rFonts w:eastAsia="Times New Roman"/>
                <w:sz w:val="24"/>
                <w:szCs w:val="24"/>
                <w:lang w:eastAsia="ru-RU"/>
              </w:rPr>
              <w:t>6,00</w:t>
            </w:r>
          </w:p>
        </w:tc>
        <w:tc>
          <w:tcPr>
            <w:tcW w:w="968"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sz w:val="24"/>
                <w:szCs w:val="24"/>
                <w:lang w:eastAsia="ru-RU"/>
              </w:rPr>
            </w:pPr>
            <w:r w:rsidRPr="00221170">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sz w:val="24"/>
                <w:szCs w:val="24"/>
                <w:lang w:eastAsia="ru-RU"/>
              </w:rPr>
            </w:pPr>
            <w:r w:rsidRPr="00221170">
              <w:rPr>
                <w:rFonts w:eastAsia="Times New Roman"/>
                <w:sz w:val="24"/>
                <w:szCs w:val="24"/>
                <w:lang w:eastAsia="ru-RU"/>
              </w:rPr>
              <w:t>1,00</w:t>
            </w:r>
          </w:p>
        </w:tc>
      </w:tr>
      <w:tr w:rsidR="00221170" w:rsidRPr="00221170" w:rsidTr="00221170">
        <w:trPr>
          <w:trHeight w:val="360"/>
          <w:jc w:val="center"/>
        </w:trPr>
        <w:tc>
          <w:tcPr>
            <w:tcW w:w="4536"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left"/>
              <w:rPr>
                <w:rFonts w:eastAsia="Times New Roman"/>
                <w:sz w:val="24"/>
                <w:szCs w:val="24"/>
                <w:lang w:eastAsia="ru-RU"/>
              </w:rPr>
            </w:pPr>
            <w:r w:rsidRPr="00221170">
              <w:rPr>
                <w:rFonts w:eastAsia="Times New Roman"/>
                <w:sz w:val="24"/>
                <w:szCs w:val="24"/>
                <w:lang w:eastAsia="ru-RU"/>
              </w:rPr>
              <w:t xml:space="preserve">Своєчасність постановки на облік вагітних </w:t>
            </w:r>
          </w:p>
        </w:tc>
        <w:tc>
          <w:tcPr>
            <w:tcW w:w="968"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color w:val="000000"/>
                <w:sz w:val="24"/>
                <w:szCs w:val="24"/>
                <w:lang w:eastAsia="ru-RU"/>
              </w:rPr>
            </w:pPr>
            <w:r w:rsidRPr="00221170">
              <w:rPr>
                <w:rFonts w:eastAsia="Times New Roman"/>
                <w:color w:val="000000"/>
                <w:sz w:val="24"/>
                <w:szCs w:val="24"/>
                <w:lang w:eastAsia="ru-RU"/>
              </w:rPr>
              <w:t>91,02</w:t>
            </w:r>
          </w:p>
        </w:tc>
        <w:tc>
          <w:tcPr>
            <w:tcW w:w="969"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sz w:val="24"/>
                <w:szCs w:val="24"/>
                <w:lang w:eastAsia="ru-RU"/>
              </w:rPr>
            </w:pPr>
            <w:r w:rsidRPr="00221170">
              <w:rPr>
                <w:rFonts w:eastAsia="Times New Roman"/>
                <w:sz w:val="24"/>
                <w:szCs w:val="24"/>
                <w:lang w:eastAsia="ru-RU"/>
              </w:rPr>
              <w:t>91,72</w:t>
            </w:r>
          </w:p>
        </w:tc>
        <w:tc>
          <w:tcPr>
            <w:tcW w:w="968"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color w:val="000000"/>
                <w:sz w:val="24"/>
                <w:szCs w:val="24"/>
                <w:lang w:eastAsia="ru-RU"/>
              </w:rPr>
            </w:pPr>
            <w:r w:rsidRPr="00221170">
              <w:rPr>
                <w:rFonts w:eastAsia="Times New Roman"/>
                <w:color w:val="000000"/>
                <w:sz w:val="24"/>
                <w:szCs w:val="24"/>
                <w:lang w:eastAsia="ru-RU"/>
              </w:rPr>
              <w:t>6,71</w:t>
            </w:r>
          </w:p>
        </w:tc>
        <w:tc>
          <w:tcPr>
            <w:tcW w:w="969"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sz w:val="24"/>
                <w:szCs w:val="24"/>
                <w:lang w:eastAsia="ru-RU"/>
              </w:rPr>
            </w:pPr>
            <w:r w:rsidRPr="00221170">
              <w:rPr>
                <w:rFonts w:eastAsia="Times New Roman"/>
                <w:sz w:val="24"/>
                <w:szCs w:val="24"/>
                <w:lang w:eastAsia="ru-RU"/>
              </w:rPr>
              <w:t>6,77</w:t>
            </w:r>
          </w:p>
        </w:tc>
        <w:tc>
          <w:tcPr>
            <w:tcW w:w="968"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color w:val="000000"/>
                <w:sz w:val="24"/>
                <w:szCs w:val="24"/>
                <w:lang w:eastAsia="ru-RU"/>
              </w:rPr>
            </w:pPr>
            <w:r w:rsidRPr="00221170">
              <w:rPr>
                <w:rFonts w:eastAsia="Times New Roman"/>
                <w:color w:val="000000"/>
                <w:sz w:val="24"/>
                <w:szCs w:val="24"/>
                <w:lang w:eastAsia="ru-RU"/>
              </w:rPr>
              <w:t>0,96</w:t>
            </w:r>
          </w:p>
        </w:tc>
        <w:tc>
          <w:tcPr>
            <w:tcW w:w="969"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sz w:val="24"/>
                <w:szCs w:val="24"/>
                <w:lang w:eastAsia="ru-RU"/>
              </w:rPr>
            </w:pPr>
            <w:r w:rsidRPr="00221170">
              <w:rPr>
                <w:rFonts w:eastAsia="Times New Roman"/>
                <w:sz w:val="24"/>
                <w:szCs w:val="24"/>
                <w:lang w:eastAsia="ru-RU"/>
              </w:rPr>
              <w:t>0,97</w:t>
            </w:r>
          </w:p>
        </w:tc>
      </w:tr>
      <w:tr w:rsidR="00221170" w:rsidRPr="00221170" w:rsidTr="00221170">
        <w:trPr>
          <w:trHeight w:val="266"/>
          <w:jc w:val="center"/>
        </w:trPr>
        <w:tc>
          <w:tcPr>
            <w:tcW w:w="4536"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left"/>
              <w:rPr>
                <w:rFonts w:eastAsia="Times New Roman"/>
                <w:sz w:val="24"/>
                <w:szCs w:val="24"/>
                <w:lang w:eastAsia="ru-RU"/>
              </w:rPr>
            </w:pPr>
            <w:r w:rsidRPr="00221170">
              <w:rPr>
                <w:rFonts w:eastAsia="Times New Roman"/>
                <w:sz w:val="24"/>
                <w:szCs w:val="24"/>
                <w:lang w:eastAsia="ru-RU"/>
              </w:rPr>
              <w:t>Частота анемій вагітних</w:t>
            </w:r>
          </w:p>
        </w:tc>
        <w:tc>
          <w:tcPr>
            <w:tcW w:w="968"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color w:val="000000"/>
                <w:sz w:val="24"/>
                <w:szCs w:val="24"/>
                <w:lang w:eastAsia="ru-RU"/>
              </w:rPr>
            </w:pPr>
            <w:r w:rsidRPr="00221170">
              <w:rPr>
                <w:rFonts w:eastAsia="Times New Roman"/>
                <w:color w:val="000000"/>
                <w:sz w:val="24"/>
                <w:szCs w:val="24"/>
                <w:lang w:eastAsia="ru-RU"/>
              </w:rPr>
              <w:t>30,7</w:t>
            </w:r>
          </w:p>
        </w:tc>
        <w:tc>
          <w:tcPr>
            <w:tcW w:w="969"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sz w:val="24"/>
                <w:szCs w:val="24"/>
                <w:lang w:eastAsia="ru-RU"/>
              </w:rPr>
            </w:pPr>
            <w:r w:rsidRPr="00221170">
              <w:rPr>
                <w:rFonts w:eastAsia="Times New Roman"/>
                <w:sz w:val="24"/>
                <w:szCs w:val="24"/>
                <w:lang w:eastAsia="ru-RU"/>
              </w:rPr>
              <w:t>29,79</w:t>
            </w:r>
          </w:p>
        </w:tc>
        <w:tc>
          <w:tcPr>
            <w:tcW w:w="968"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color w:val="000000"/>
                <w:sz w:val="24"/>
                <w:szCs w:val="24"/>
                <w:lang w:eastAsia="ru-RU"/>
              </w:rPr>
            </w:pPr>
            <w:r w:rsidRPr="00221170">
              <w:rPr>
                <w:rFonts w:eastAsia="Times New Roman"/>
                <w:color w:val="000000"/>
                <w:sz w:val="24"/>
                <w:szCs w:val="24"/>
                <w:lang w:eastAsia="ru-RU"/>
              </w:rPr>
              <w:t>1,86</w:t>
            </w:r>
          </w:p>
        </w:tc>
        <w:tc>
          <w:tcPr>
            <w:tcW w:w="969"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sz w:val="24"/>
                <w:szCs w:val="24"/>
                <w:lang w:eastAsia="ru-RU"/>
              </w:rPr>
            </w:pPr>
            <w:r w:rsidRPr="00221170">
              <w:rPr>
                <w:rFonts w:eastAsia="Times New Roman"/>
                <w:sz w:val="24"/>
                <w:szCs w:val="24"/>
                <w:lang w:eastAsia="ru-RU"/>
              </w:rPr>
              <w:t>2,42</w:t>
            </w:r>
          </w:p>
        </w:tc>
        <w:tc>
          <w:tcPr>
            <w:tcW w:w="968"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color w:val="000000"/>
                <w:sz w:val="24"/>
                <w:szCs w:val="24"/>
                <w:lang w:eastAsia="ru-RU"/>
              </w:rPr>
            </w:pPr>
            <w:r w:rsidRPr="00221170">
              <w:rPr>
                <w:rFonts w:eastAsia="Times New Roman"/>
                <w:color w:val="000000"/>
                <w:sz w:val="24"/>
                <w:szCs w:val="24"/>
                <w:lang w:eastAsia="ru-RU"/>
              </w:rPr>
              <w:t>0,47</w:t>
            </w:r>
          </w:p>
        </w:tc>
        <w:tc>
          <w:tcPr>
            <w:tcW w:w="969"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sz w:val="24"/>
                <w:szCs w:val="24"/>
                <w:lang w:eastAsia="ru-RU"/>
              </w:rPr>
            </w:pPr>
            <w:r w:rsidRPr="00221170">
              <w:rPr>
                <w:rFonts w:eastAsia="Times New Roman"/>
                <w:sz w:val="24"/>
                <w:szCs w:val="24"/>
                <w:lang w:eastAsia="ru-RU"/>
              </w:rPr>
              <w:t>0,61</w:t>
            </w:r>
          </w:p>
        </w:tc>
      </w:tr>
      <w:tr w:rsidR="00221170" w:rsidRPr="00221170" w:rsidTr="00221170">
        <w:trPr>
          <w:trHeight w:val="319"/>
          <w:jc w:val="center"/>
        </w:trPr>
        <w:tc>
          <w:tcPr>
            <w:tcW w:w="4536"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left"/>
              <w:rPr>
                <w:rFonts w:eastAsia="Times New Roman"/>
                <w:sz w:val="24"/>
                <w:szCs w:val="24"/>
                <w:lang w:eastAsia="ru-RU"/>
              </w:rPr>
            </w:pPr>
            <w:r w:rsidRPr="00221170">
              <w:rPr>
                <w:rFonts w:eastAsia="Times New Roman"/>
                <w:sz w:val="24"/>
                <w:szCs w:val="24"/>
                <w:lang w:eastAsia="ru-RU"/>
              </w:rPr>
              <w:t>Частота прееклампсій та еклампсій вагітних</w:t>
            </w:r>
          </w:p>
        </w:tc>
        <w:tc>
          <w:tcPr>
            <w:tcW w:w="968"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color w:val="000000"/>
                <w:sz w:val="24"/>
                <w:szCs w:val="24"/>
                <w:lang w:eastAsia="ru-RU"/>
              </w:rPr>
            </w:pPr>
            <w:r w:rsidRPr="00221170">
              <w:rPr>
                <w:rFonts w:eastAsia="Times New Roman"/>
                <w:color w:val="000000"/>
                <w:sz w:val="24"/>
                <w:szCs w:val="24"/>
                <w:lang w:eastAsia="ru-RU"/>
              </w:rPr>
              <w:t>1,79</w:t>
            </w:r>
          </w:p>
        </w:tc>
        <w:tc>
          <w:tcPr>
            <w:tcW w:w="969"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sz w:val="24"/>
                <w:szCs w:val="24"/>
                <w:lang w:eastAsia="ru-RU"/>
              </w:rPr>
            </w:pPr>
            <w:r w:rsidRPr="00221170">
              <w:rPr>
                <w:rFonts w:eastAsia="Times New Roman"/>
                <w:sz w:val="24"/>
                <w:szCs w:val="24"/>
                <w:lang w:eastAsia="ru-RU"/>
              </w:rPr>
              <w:t>1,77</w:t>
            </w:r>
          </w:p>
        </w:tc>
        <w:tc>
          <w:tcPr>
            <w:tcW w:w="968"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color w:val="000000"/>
                <w:sz w:val="24"/>
                <w:szCs w:val="24"/>
                <w:lang w:eastAsia="ru-RU"/>
              </w:rPr>
            </w:pPr>
            <w:r w:rsidRPr="00221170">
              <w:rPr>
                <w:rFonts w:eastAsia="Times New Roman"/>
                <w:color w:val="000000"/>
                <w:sz w:val="24"/>
                <w:szCs w:val="24"/>
                <w:lang w:eastAsia="ru-RU"/>
              </w:rPr>
              <w:t>6,84</w:t>
            </w:r>
          </w:p>
        </w:tc>
        <w:tc>
          <w:tcPr>
            <w:tcW w:w="969"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sz w:val="24"/>
                <w:szCs w:val="24"/>
                <w:lang w:eastAsia="ru-RU"/>
              </w:rPr>
            </w:pPr>
            <w:r w:rsidRPr="00221170">
              <w:rPr>
                <w:rFonts w:eastAsia="Times New Roman"/>
                <w:sz w:val="24"/>
                <w:szCs w:val="24"/>
                <w:lang w:eastAsia="ru-RU"/>
              </w:rPr>
              <w:t>6,92</w:t>
            </w:r>
          </w:p>
        </w:tc>
        <w:tc>
          <w:tcPr>
            <w:tcW w:w="968"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color w:val="000000"/>
                <w:sz w:val="24"/>
                <w:szCs w:val="24"/>
                <w:lang w:eastAsia="ru-RU"/>
              </w:rPr>
            </w:pPr>
            <w:r w:rsidRPr="00221170">
              <w:rPr>
                <w:rFonts w:eastAsia="Times New Roman"/>
                <w:color w:val="000000"/>
                <w:sz w:val="24"/>
                <w:szCs w:val="24"/>
                <w:lang w:eastAsia="ru-RU"/>
              </w:rPr>
              <w:t>0,98</w:t>
            </w:r>
          </w:p>
        </w:tc>
        <w:tc>
          <w:tcPr>
            <w:tcW w:w="969"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sz w:val="24"/>
                <w:szCs w:val="24"/>
                <w:lang w:eastAsia="ru-RU"/>
              </w:rPr>
            </w:pPr>
            <w:r w:rsidRPr="00221170">
              <w:rPr>
                <w:rFonts w:eastAsia="Times New Roman"/>
                <w:sz w:val="24"/>
                <w:szCs w:val="24"/>
                <w:lang w:eastAsia="ru-RU"/>
              </w:rPr>
              <w:t>0,99</w:t>
            </w:r>
          </w:p>
        </w:tc>
      </w:tr>
      <w:tr w:rsidR="00221170" w:rsidRPr="00221170" w:rsidTr="00221170">
        <w:trPr>
          <w:trHeight w:val="284"/>
          <w:jc w:val="center"/>
        </w:trPr>
        <w:tc>
          <w:tcPr>
            <w:tcW w:w="4536"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left"/>
              <w:rPr>
                <w:rFonts w:eastAsia="Times New Roman"/>
                <w:sz w:val="24"/>
                <w:szCs w:val="24"/>
                <w:lang w:eastAsia="ru-RU"/>
              </w:rPr>
            </w:pPr>
            <w:r w:rsidRPr="00221170">
              <w:rPr>
                <w:rFonts w:eastAsia="Times New Roman"/>
                <w:sz w:val="24"/>
                <w:szCs w:val="24"/>
                <w:lang w:eastAsia="ru-RU"/>
              </w:rPr>
              <w:t>Співвідношення безпечних методів абортів до небезпечних</w:t>
            </w:r>
          </w:p>
        </w:tc>
        <w:tc>
          <w:tcPr>
            <w:tcW w:w="968"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color w:val="000000"/>
                <w:sz w:val="24"/>
                <w:szCs w:val="24"/>
                <w:lang w:eastAsia="ru-RU"/>
              </w:rPr>
            </w:pPr>
            <w:r w:rsidRPr="00221170">
              <w:rPr>
                <w:rFonts w:eastAsia="Times New Roman"/>
                <w:color w:val="000000"/>
                <w:sz w:val="24"/>
                <w:szCs w:val="24"/>
                <w:lang w:eastAsia="ru-RU"/>
              </w:rPr>
              <w:t>12,41</w:t>
            </w:r>
          </w:p>
        </w:tc>
        <w:tc>
          <w:tcPr>
            <w:tcW w:w="969"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sz w:val="24"/>
                <w:szCs w:val="24"/>
                <w:lang w:eastAsia="ru-RU"/>
              </w:rPr>
            </w:pPr>
            <w:r w:rsidRPr="00221170">
              <w:rPr>
                <w:rFonts w:eastAsia="Times New Roman"/>
                <w:sz w:val="24"/>
                <w:szCs w:val="24"/>
                <w:lang w:eastAsia="ru-RU"/>
              </w:rPr>
              <w:t>16,67</w:t>
            </w:r>
          </w:p>
        </w:tc>
        <w:tc>
          <w:tcPr>
            <w:tcW w:w="968"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color w:val="000000"/>
                <w:sz w:val="24"/>
                <w:szCs w:val="24"/>
                <w:lang w:eastAsia="ru-RU"/>
              </w:rPr>
            </w:pPr>
            <w:r w:rsidRPr="00221170">
              <w:rPr>
                <w:rFonts w:eastAsia="Times New Roman"/>
                <w:color w:val="000000"/>
                <w:sz w:val="24"/>
                <w:szCs w:val="24"/>
                <w:lang w:eastAsia="ru-RU"/>
              </w:rPr>
              <w:t>6,00</w:t>
            </w:r>
          </w:p>
        </w:tc>
        <w:tc>
          <w:tcPr>
            <w:tcW w:w="969"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sz w:val="24"/>
                <w:szCs w:val="24"/>
                <w:lang w:eastAsia="ru-RU"/>
              </w:rPr>
            </w:pPr>
            <w:r w:rsidRPr="00221170">
              <w:rPr>
                <w:rFonts w:eastAsia="Times New Roman"/>
                <w:sz w:val="24"/>
                <w:szCs w:val="24"/>
                <w:lang w:eastAsia="ru-RU"/>
              </w:rPr>
              <w:t>6,0</w:t>
            </w:r>
          </w:p>
        </w:tc>
        <w:tc>
          <w:tcPr>
            <w:tcW w:w="968"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color w:val="000000"/>
                <w:sz w:val="24"/>
                <w:szCs w:val="24"/>
                <w:lang w:eastAsia="ru-RU"/>
              </w:rPr>
            </w:pPr>
            <w:r w:rsidRPr="00221170">
              <w:rPr>
                <w:rFonts w:eastAsia="Times New Roman"/>
                <w:color w:val="000000"/>
                <w:sz w:val="24"/>
                <w:szCs w:val="24"/>
                <w:lang w:eastAsia="ru-RU"/>
              </w:rPr>
              <w:t>1,00</w:t>
            </w:r>
          </w:p>
        </w:tc>
        <w:tc>
          <w:tcPr>
            <w:tcW w:w="969"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sz w:val="24"/>
                <w:szCs w:val="24"/>
                <w:lang w:eastAsia="ru-RU"/>
              </w:rPr>
            </w:pPr>
            <w:r w:rsidRPr="00221170">
              <w:rPr>
                <w:rFonts w:eastAsia="Times New Roman"/>
                <w:sz w:val="24"/>
                <w:szCs w:val="24"/>
                <w:lang w:eastAsia="ru-RU"/>
              </w:rPr>
              <w:t>0,90</w:t>
            </w:r>
          </w:p>
        </w:tc>
      </w:tr>
      <w:tr w:rsidR="00221170" w:rsidRPr="00221170" w:rsidTr="00221170">
        <w:trPr>
          <w:trHeight w:val="340"/>
          <w:jc w:val="center"/>
        </w:trPr>
        <w:tc>
          <w:tcPr>
            <w:tcW w:w="4536" w:type="dxa"/>
            <w:tcBorders>
              <w:top w:val="single" w:sz="4" w:space="0" w:color="auto"/>
              <w:left w:val="single" w:sz="4" w:space="0" w:color="auto"/>
              <w:bottom w:val="single" w:sz="4" w:space="0" w:color="auto"/>
              <w:right w:val="single" w:sz="4" w:space="0" w:color="auto"/>
            </w:tcBorders>
            <w:vAlign w:val="bottom"/>
          </w:tcPr>
          <w:p w:rsidR="00221170" w:rsidRPr="00221170" w:rsidRDefault="00221170" w:rsidP="00221170">
            <w:pPr>
              <w:keepNext/>
              <w:jc w:val="left"/>
              <w:rPr>
                <w:rFonts w:eastAsia="Times New Roman"/>
                <w:sz w:val="24"/>
                <w:szCs w:val="24"/>
                <w:lang w:eastAsia="ru-RU"/>
              </w:rPr>
            </w:pPr>
            <w:r w:rsidRPr="00221170">
              <w:rPr>
                <w:rFonts w:eastAsia="Times New Roman"/>
                <w:sz w:val="24"/>
                <w:szCs w:val="24"/>
                <w:lang w:eastAsia="ru-RU"/>
              </w:rPr>
              <w:t>Питома вага хворих виявлення в ранніх стадіях (І – ІІ) серед хворих з вперше встановленим діагнозом онкологія молочної залози</w:t>
            </w:r>
          </w:p>
        </w:tc>
        <w:tc>
          <w:tcPr>
            <w:tcW w:w="968"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sz w:val="24"/>
                <w:szCs w:val="24"/>
                <w:lang w:eastAsia="ru-RU"/>
              </w:rPr>
            </w:pPr>
            <w:r w:rsidRPr="00221170">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sz w:val="24"/>
                <w:szCs w:val="24"/>
                <w:lang w:eastAsia="ru-RU"/>
              </w:rPr>
            </w:pPr>
            <w:r w:rsidRPr="00221170">
              <w:rPr>
                <w:rFonts w:eastAsia="Times New Roman"/>
                <w:sz w:val="24"/>
                <w:szCs w:val="24"/>
                <w:lang w:eastAsia="ru-RU"/>
              </w:rPr>
              <w:t>71,10</w:t>
            </w:r>
          </w:p>
        </w:tc>
        <w:tc>
          <w:tcPr>
            <w:tcW w:w="968"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sz w:val="24"/>
                <w:szCs w:val="24"/>
                <w:lang w:eastAsia="ru-RU"/>
              </w:rPr>
            </w:pPr>
            <w:r w:rsidRPr="00221170">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sz w:val="24"/>
                <w:szCs w:val="24"/>
                <w:lang w:eastAsia="ru-RU"/>
              </w:rPr>
            </w:pPr>
            <w:r w:rsidRPr="00221170">
              <w:rPr>
                <w:rFonts w:eastAsia="Times New Roman"/>
                <w:sz w:val="24"/>
                <w:szCs w:val="24"/>
                <w:lang w:eastAsia="ru-RU"/>
              </w:rPr>
              <w:t>5,38</w:t>
            </w:r>
          </w:p>
        </w:tc>
        <w:tc>
          <w:tcPr>
            <w:tcW w:w="968"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sz w:val="24"/>
                <w:szCs w:val="24"/>
                <w:lang w:eastAsia="ru-RU"/>
              </w:rPr>
            </w:pPr>
            <w:r w:rsidRPr="00221170">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sz w:val="24"/>
                <w:szCs w:val="24"/>
                <w:lang w:eastAsia="ru-RU"/>
              </w:rPr>
            </w:pPr>
            <w:r w:rsidRPr="00221170">
              <w:rPr>
                <w:rFonts w:eastAsia="Times New Roman"/>
                <w:sz w:val="24"/>
                <w:szCs w:val="24"/>
                <w:lang w:eastAsia="ru-RU"/>
              </w:rPr>
              <w:t>0,79</w:t>
            </w:r>
          </w:p>
        </w:tc>
      </w:tr>
      <w:tr w:rsidR="00221170" w:rsidRPr="00221170" w:rsidTr="00221170">
        <w:trPr>
          <w:trHeight w:val="418"/>
          <w:jc w:val="center"/>
        </w:trPr>
        <w:tc>
          <w:tcPr>
            <w:tcW w:w="4536" w:type="dxa"/>
            <w:tcBorders>
              <w:top w:val="single" w:sz="4" w:space="0" w:color="auto"/>
              <w:left w:val="single" w:sz="4" w:space="0" w:color="auto"/>
              <w:bottom w:val="single" w:sz="4" w:space="0" w:color="auto"/>
              <w:right w:val="single" w:sz="4" w:space="0" w:color="auto"/>
            </w:tcBorders>
            <w:vAlign w:val="bottom"/>
          </w:tcPr>
          <w:p w:rsidR="00221170" w:rsidRPr="00221170" w:rsidRDefault="00221170" w:rsidP="00221170">
            <w:pPr>
              <w:keepNext/>
              <w:jc w:val="left"/>
              <w:rPr>
                <w:rFonts w:eastAsia="Times New Roman"/>
                <w:sz w:val="24"/>
                <w:szCs w:val="24"/>
                <w:lang w:eastAsia="ru-RU"/>
              </w:rPr>
            </w:pPr>
            <w:r w:rsidRPr="00221170">
              <w:rPr>
                <w:rFonts w:eastAsia="Times New Roman"/>
                <w:sz w:val="24"/>
                <w:szCs w:val="24"/>
                <w:lang w:eastAsia="ru-RU"/>
              </w:rPr>
              <w:t>Питома вага хворих виявлення в ранніх стадіях (І – ІІ) серед хворих з вперше встановленим діагнозом онкологія шийки матки</w:t>
            </w:r>
          </w:p>
        </w:tc>
        <w:tc>
          <w:tcPr>
            <w:tcW w:w="968"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sz w:val="24"/>
                <w:szCs w:val="24"/>
                <w:lang w:eastAsia="ru-RU"/>
              </w:rPr>
            </w:pPr>
            <w:r w:rsidRPr="00221170">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sz w:val="24"/>
                <w:szCs w:val="24"/>
                <w:lang w:eastAsia="ru-RU"/>
              </w:rPr>
            </w:pPr>
            <w:r w:rsidRPr="00221170">
              <w:rPr>
                <w:rFonts w:eastAsia="Times New Roman"/>
                <w:sz w:val="24"/>
                <w:szCs w:val="24"/>
                <w:lang w:eastAsia="ru-RU"/>
              </w:rPr>
              <w:t>62,20</w:t>
            </w:r>
          </w:p>
        </w:tc>
        <w:tc>
          <w:tcPr>
            <w:tcW w:w="968"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sz w:val="24"/>
                <w:szCs w:val="24"/>
                <w:lang w:eastAsia="ru-RU"/>
              </w:rPr>
            </w:pPr>
            <w:r w:rsidRPr="00221170">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sz w:val="24"/>
                <w:szCs w:val="24"/>
                <w:lang w:eastAsia="ru-RU"/>
              </w:rPr>
            </w:pPr>
            <w:r w:rsidRPr="00221170">
              <w:rPr>
                <w:rFonts w:eastAsia="Times New Roman"/>
                <w:sz w:val="24"/>
                <w:szCs w:val="24"/>
                <w:lang w:eastAsia="ru-RU"/>
              </w:rPr>
              <w:t>4,75</w:t>
            </w:r>
          </w:p>
        </w:tc>
        <w:tc>
          <w:tcPr>
            <w:tcW w:w="968"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sz w:val="24"/>
                <w:szCs w:val="24"/>
                <w:lang w:eastAsia="ru-RU"/>
              </w:rPr>
            </w:pPr>
          </w:p>
        </w:tc>
        <w:tc>
          <w:tcPr>
            <w:tcW w:w="969"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sz w:val="24"/>
                <w:szCs w:val="24"/>
                <w:lang w:eastAsia="ru-RU"/>
              </w:rPr>
            </w:pPr>
            <w:r w:rsidRPr="00221170">
              <w:rPr>
                <w:rFonts w:eastAsia="Times New Roman"/>
                <w:sz w:val="24"/>
                <w:szCs w:val="24"/>
                <w:lang w:eastAsia="ru-RU"/>
              </w:rPr>
              <w:t>1,00</w:t>
            </w:r>
          </w:p>
        </w:tc>
      </w:tr>
      <w:tr w:rsidR="00221170" w:rsidRPr="00221170" w:rsidTr="00221170">
        <w:trPr>
          <w:trHeight w:val="600"/>
          <w:jc w:val="center"/>
        </w:trPr>
        <w:tc>
          <w:tcPr>
            <w:tcW w:w="4536" w:type="dxa"/>
            <w:tcBorders>
              <w:top w:val="single" w:sz="4" w:space="0" w:color="auto"/>
              <w:left w:val="single" w:sz="4" w:space="0" w:color="auto"/>
              <w:bottom w:val="single" w:sz="4" w:space="0" w:color="auto"/>
              <w:right w:val="single" w:sz="4" w:space="0" w:color="auto"/>
            </w:tcBorders>
          </w:tcPr>
          <w:p w:rsidR="00221170" w:rsidRPr="00221170" w:rsidRDefault="00221170" w:rsidP="00221170">
            <w:pPr>
              <w:keepNext/>
              <w:rPr>
                <w:rFonts w:eastAsia="Times New Roman"/>
                <w:color w:val="000000"/>
                <w:sz w:val="24"/>
                <w:szCs w:val="24"/>
                <w:lang w:eastAsia="uk-UA"/>
              </w:rPr>
            </w:pPr>
            <w:r w:rsidRPr="00221170">
              <w:rPr>
                <w:rFonts w:eastAsia="Times New Roman"/>
                <w:color w:val="000000"/>
                <w:sz w:val="24"/>
                <w:szCs w:val="24"/>
                <w:lang w:eastAsia="uk-UA"/>
              </w:rPr>
              <w:t>Індекс концентрації розродження вагітних з цукровим діабетом у ЗПД ІІІ рівня</w:t>
            </w:r>
          </w:p>
        </w:tc>
        <w:tc>
          <w:tcPr>
            <w:tcW w:w="968"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sz w:val="24"/>
                <w:szCs w:val="24"/>
                <w:lang w:eastAsia="ru-RU"/>
              </w:rPr>
            </w:pPr>
            <w:r w:rsidRPr="00221170">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sz w:val="24"/>
                <w:szCs w:val="24"/>
                <w:lang w:eastAsia="ru-RU"/>
              </w:rPr>
            </w:pPr>
            <w:r w:rsidRPr="00221170">
              <w:rPr>
                <w:rFonts w:eastAsia="Times New Roman"/>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sz w:val="24"/>
                <w:szCs w:val="24"/>
                <w:lang w:eastAsia="ru-RU"/>
              </w:rPr>
            </w:pPr>
            <w:r w:rsidRPr="00221170">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sz w:val="24"/>
                <w:szCs w:val="24"/>
                <w:lang w:eastAsia="ru-RU"/>
              </w:rPr>
            </w:pPr>
            <w:r w:rsidRPr="00221170">
              <w:rPr>
                <w:rFonts w:eastAsia="Times New Roman"/>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sz w:val="24"/>
                <w:szCs w:val="24"/>
                <w:lang w:eastAsia="ru-RU"/>
              </w:rPr>
            </w:pPr>
            <w:r w:rsidRPr="00221170">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sz w:val="24"/>
                <w:szCs w:val="24"/>
                <w:lang w:eastAsia="ru-RU"/>
              </w:rPr>
            </w:pPr>
            <w:r w:rsidRPr="00221170">
              <w:rPr>
                <w:rFonts w:eastAsia="Times New Roman"/>
                <w:sz w:val="24"/>
                <w:szCs w:val="24"/>
                <w:lang w:eastAsia="ru-RU"/>
              </w:rPr>
              <w:t>**</w:t>
            </w:r>
          </w:p>
        </w:tc>
      </w:tr>
    </w:tbl>
    <w:p w:rsidR="00145C9F" w:rsidRPr="004B24A2" w:rsidRDefault="00145C9F" w:rsidP="00145C9F">
      <w:pPr>
        <w:rPr>
          <w:i/>
          <w:sz w:val="20"/>
          <w:szCs w:val="20"/>
        </w:rPr>
      </w:pPr>
      <w:r w:rsidRPr="004B24A2">
        <w:rPr>
          <w:i/>
          <w:sz w:val="20"/>
          <w:szCs w:val="20"/>
        </w:rPr>
        <w:t>Для таблиць : * – показник не оцінювався</w:t>
      </w:r>
      <w:r w:rsidRPr="004B24A2">
        <w:rPr>
          <w:i/>
          <w:sz w:val="20"/>
          <w:szCs w:val="20"/>
          <w:lang w:val="ru-RU"/>
        </w:rPr>
        <w:t xml:space="preserve">  </w:t>
      </w:r>
      <w:r w:rsidRPr="004B24A2">
        <w:rPr>
          <w:i/>
          <w:sz w:val="20"/>
          <w:szCs w:val="20"/>
        </w:rPr>
        <w:t>** – немає даних</w:t>
      </w:r>
    </w:p>
    <w:p w:rsidR="00221170" w:rsidRPr="00145C9F" w:rsidRDefault="00221170"/>
    <w:tbl>
      <w:tblPr>
        <w:tblpPr w:leftFromText="180" w:rightFromText="180" w:vertAnchor="text" w:horzAnchor="margin" w:tblpY="1078"/>
        <w:tblW w:w="103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36"/>
        <w:gridCol w:w="968"/>
        <w:gridCol w:w="969"/>
        <w:gridCol w:w="968"/>
        <w:gridCol w:w="969"/>
        <w:gridCol w:w="968"/>
        <w:gridCol w:w="969"/>
      </w:tblGrid>
      <w:tr w:rsidR="00221170" w:rsidRPr="00221170" w:rsidTr="00221170">
        <w:trPr>
          <w:trHeight w:val="600"/>
        </w:trPr>
        <w:tc>
          <w:tcPr>
            <w:tcW w:w="4536" w:type="dxa"/>
            <w:tcBorders>
              <w:top w:val="single" w:sz="4" w:space="0" w:color="auto"/>
              <w:left w:val="single" w:sz="4" w:space="0" w:color="auto"/>
              <w:bottom w:val="single" w:sz="4" w:space="0" w:color="auto"/>
              <w:right w:val="single" w:sz="4" w:space="0" w:color="auto"/>
            </w:tcBorders>
          </w:tcPr>
          <w:p w:rsidR="00221170" w:rsidRPr="00221170" w:rsidRDefault="00221170" w:rsidP="00221170">
            <w:pPr>
              <w:keepNext/>
              <w:rPr>
                <w:rFonts w:eastAsia="Times New Roman"/>
                <w:color w:val="000000"/>
                <w:sz w:val="24"/>
                <w:szCs w:val="24"/>
                <w:lang w:eastAsia="uk-UA"/>
              </w:rPr>
            </w:pPr>
            <w:r w:rsidRPr="00221170">
              <w:rPr>
                <w:rFonts w:eastAsia="Times New Roman"/>
                <w:color w:val="000000"/>
                <w:sz w:val="24"/>
                <w:szCs w:val="24"/>
                <w:lang w:eastAsia="uk-UA"/>
              </w:rPr>
              <w:lastRenderedPageBreak/>
              <w:t>Індекс концентрації розродження вагітних з  пре- еклампсією і еклампсією  у ЗПД ІІ-ІІІ рівнів</w:t>
            </w:r>
          </w:p>
        </w:tc>
        <w:tc>
          <w:tcPr>
            <w:tcW w:w="968"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sz w:val="24"/>
                <w:szCs w:val="24"/>
                <w:lang w:eastAsia="ru-RU"/>
              </w:rPr>
            </w:pPr>
            <w:r w:rsidRPr="00221170">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sz w:val="24"/>
                <w:szCs w:val="24"/>
                <w:lang w:eastAsia="ru-RU"/>
              </w:rPr>
            </w:pPr>
            <w:r w:rsidRPr="00221170">
              <w:rPr>
                <w:rFonts w:eastAsia="Times New Roman"/>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sz w:val="24"/>
                <w:szCs w:val="24"/>
                <w:lang w:eastAsia="ru-RU"/>
              </w:rPr>
            </w:pPr>
            <w:r w:rsidRPr="00221170">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sz w:val="24"/>
                <w:szCs w:val="24"/>
                <w:lang w:eastAsia="ru-RU"/>
              </w:rPr>
            </w:pPr>
            <w:r w:rsidRPr="00221170">
              <w:rPr>
                <w:rFonts w:eastAsia="Times New Roman"/>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sz w:val="24"/>
                <w:szCs w:val="24"/>
                <w:lang w:eastAsia="ru-RU"/>
              </w:rPr>
            </w:pPr>
            <w:r w:rsidRPr="00221170">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sz w:val="24"/>
                <w:szCs w:val="24"/>
                <w:lang w:eastAsia="ru-RU"/>
              </w:rPr>
            </w:pPr>
            <w:r w:rsidRPr="00221170">
              <w:rPr>
                <w:rFonts w:eastAsia="Times New Roman"/>
                <w:sz w:val="24"/>
                <w:szCs w:val="24"/>
                <w:lang w:eastAsia="ru-RU"/>
              </w:rPr>
              <w:t>**</w:t>
            </w:r>
          </w:p>
        </w:tc>
      </w:tr>
      <w:tr w:rsidR="00221170" w:rsidRPr="00221170" w:rsidTr="00221170">
        <w:trPr>
          <w:trHeight w:val="600"/>
        </w:trPr>
        <w:tc>
          <w:tcPr>
            <w:tcW w:w="4536" w:type="dxa"/>
            <w:tcBorders>
              <w:top w:val="single" w:sz="4" w:space="0" w:color="auto"/>
              <w:left w:val="single" w:sz="4" w:space="0" w:color="auto"/>
              <w:bottom w:val="single" w:sz="4" w:space="0" w:color="auto"/>
              <w:right w:val="single" w:sz="4" w:space="0" w:color="auto"/>
            </w:tcBorders>
          </w:tcPr>
          <w:p w:rsidR="00221170" w:rsidRPr="00221170" w:rsidRDefault="00221170" w:rsidP="00221170">
            <w:pPr>
              <w:keepNext/>
              <w:rPr>
                <w:rFonts w:eastAsia="Times New Roman"/>
                <w:color w:val="000000"/>
                <w:sz w:val="24"/>
                <w:szCs w:val="24"/>
                <w:lang w:eastAsia="uk-UA"/>
              </w:rPr>
            </w:pPr>
            <w:r w:rsidRPr="00221170">
              <w:rPr>
                <w:rFonts w:eastAsia="Times New Roman"/>
                <w:color w:val="000000"/>
                <w:sz w:val="24"/>
                <w:szCs w:val="24"/>
                <w:lang w:eastAsia="uk-UA"/>
              </w:rPr>
              <w:t>Індекс концентрації новонароджених масою тіла при народженні 500-1499г у ЗПД ІІІ рівня</w:t>
            </w:r>
          </w:p>
        </w:tc>
        <w:tc>
          <w:tcPr>
            <w:tcW w:w="968"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sz w:val="24"/>
                <w:szCs w:val="24"/>
                <w:lang w:eastAsia="ru-RU"/>
              </w:rPr>
            </w:pPr>
            <w:r w:rsidRPr="00221170">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sz w:val="24"/>
                <w:szCs w:val="24"/>
                <w:lang w:eastAsia="ru-RU"/>
              </w:rPr>
            </w:pPr>
            <w:r w:rsidRPr="00221170">
              <w:rPr>
                <w:rFonts w:eastAsia="Times New Roman"/>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sz w:val="24"/>
                <w:szCs w:val="24"/>
                <w:lang w:eastAsia="ru-RU"/>
              </w:rPr>
            </w:pPr>
            <w:r w:rsidRPr="00221170">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sz w:val="24"/>
                <w:szCs w:val="24"/>
                <w:lang w:eastAsia="ru-RU"/>
              </w:rPr>
            </w:pPr>
            <w:r w:rsidRPr="00221170">
              <w:rPr>
                <w:rFonts w:eastAsia="Times New Roman"/>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sz w:val="24"/>
                <w:szCs w:val="24"/>
                <w:lang w:eastAsia="ru-RU"/>
              </w:rPr>
            </w:pPr>
            <w:r w:rsidRPr="00221170">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sz w:val="24"/>
                <w:szCs w:val="24"/>
                <w:lang w:eastAsia="ru-RU"/>
              </w:rPr>
            </w:pPr>
            <w:r w:rsidRPr="00221170">
              <w:rPr>
                <w:rFonts w:eastAsia="Times New Roman"/>
                <w:sz w:val="24"/>
                <w:szCs w:val="24"/>
                <w:lang w:eastAsia="ru-RU"/>
              </w:rPr>
              <w:t>**</w:t>
            </w:r>
          </w:p>
        </w:tc>
      </w:tr>
      <w:tr w:rsidR="00221170" w:rsidRPr="00221170" w:rsidTr="00221170">
        <w:trPr>
          <w:trHeight w:val="342"/>
        </w:trPr>
        <w:tc>
          <w:tcPr>
            <w:tcW w:w="4536" w:type="dxa"/>
            <w:tcBorders>
              <w:top w:val="single" w:sz="4" w:space="0" w:color="auto"/>
              <w:left w:val="single" w:sz="4" w:space="0" w:color="auto"/>
              <w:bottom w:val="single" w:sz="4" w:space="0" w:color="auto"/>
              <w:right w:val="single" w:sz="4" w:space="0" w:color="auto"/>
            </w:tcBorders>
            <w:vAlign w:val="bottom"/>
          </w:tcPr>
          <w:p w:rsidR="00221170" w:rsidRPr="00221170" w:rsidRDefault="00221170" w:rsidP="00221170">
            <w:pPr>
              <w:keepNext/>
              <w:jc w:val="left"/>
              <w:rPr>
                <w:rFonts w:eastAsia="Times New Roman"/>
                <w:sz w:val="24"/>
                <w:szCs w:val="24"/>
                <w:lang w:eastAsia="ru-RU"/>
              </w:rPr>
            </w:pPr>
            <w:r w:rsidRPr="00221170">
              <w:rPr>
                <w:rFonts w:eastAsia="Times New Roman"/>
                <w:sz w:val="24"/>
                <w:szCs w:val="24"/>
                <w:lang w:eastAsia="ru-RU"/>
              </w:rPr>
              <w:t>Індекс неонатального трансферу</w:t>
            </w:r>
          </w:p>
        </w:tc>
        <w:tc>
          <w:tcPr>
            <w:tcW w:w="968"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sz w:val="24"/>
                <w:szCs w:val="24"/>
                <w:lang w:eastAsia="ru-RU"/>
              </w:rPr>
            </w:pPr>
            <w:r w:rsidRPr="00221170">
              <w:rPr>
                <w:rFonts w:eastAsia="Times New Roman"/>
                <w:sz w:val="24"/>
                <w:szCs w:val="24"/>
                <w:lang w:eastAsia="ru-RU"/>
              </w:rPr>
              <w:t>5,08</w:t>
            </w:r>
          </w:p>
        </w:tc>
        <w:tc>
          <w:tcPr>
            <w:tcW w:w="969"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sz w:val="24"/>
                <w:szCs w:val="24"/>
                <w:lang w:eastAsia="ru-RU"/>
              </w:rPr>
            </w:pPr>
            <w:r w:rsidRPr="00221170">
              <w:rPr>
                <w:rFonts w:eastAsia="Times New Roman"/>
                <w:sz w:val="24"/>
                <w:szCs w:val="24"/>
                <w:lang w:eastAsia="ru-RU"/>
              </w:rPr>
              <w:t>5,80</w:t>
            </w:r>
          </w:p>
        </w:tc>
        <w:tc>
          <w:tcPr>
            <w:tcW w:w="968"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sz w:val="24"/>
                <w:szCs w:val="24"/>
                <w:lang w:eastAsia="ru-RU"/>
              </w:rPr>
            </w:pPr>
            <w:r w:rsidRPr="00221170">
              <w:rPr>
                <w:rFonts w:eastAsia="Times New Roman"/>
                <w:sz w:val="24"/>
                <w:szCs w:val="24"/>
                <w:lang w:eastAsia="ru-RU"/>
              </w:rPr>
              <w:t>5,11</w:t>
            </w:r>
          </w:p>
        </w:tc>
        <w:tc>
          <w:tcPr>
            <w:tcW w:w="969"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sz w:val="24"/>
                <w:szCs w:val="24"/>
                <w:lang w:eastAsia="ru-RU"/>
              </w:rPr>
            </w:pPr>
            <w:r w:rsidRPr="00221170">
              <w:rPr>
                <w:rFonts w:eastAsia="Times New Roman"/>
                <w:sz w:val="24"/>
                <w:szCs w:val="24"/>
                <w:lang w:eastAsia="ru-RU"/>
              </w:rPr>
              <w:t>5,88</w:t>
            </w:r>
          </w:p>
        </w:tc>
        <w:tc>
          <w:tcPr>
            <w:tcW w:w="968"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sz w:val="24"/>
                <w:szCs w:val="24"/>
                <w:lang w:eastAsia="ru-RU"/>
              </w:rPr>
            </w:pPr>
            <w:r w:rsidRPr="00221170">
              <w:rPr>
                <w:rFonts w:eastAsia="Times New Roman"/>
                <w:sz w:val="24"/>
                <w:szCs w:val="24"/>
                <w:lang w:eastAsia="ru-RU"/>
              </w:rPr>
              <w:t>0,73</w:t>
            </w:r>
          </w:p>
        </w:tc>
        <w:tc>
          <w:tcPr>
            <w:tcW w:w="969"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sz w:val="24"/>
                <w:szCs w:val="24"/>
                <w:lang w:eastAsia="ru-RU"/>
              </w:rPr>
            </w:pPr>
            <w:r w:rsidRPr="00221170">
              <w:rPr>
                <w:rFonts w:eastAsia="Times New Roman"/>
                <w:sz w:val="24"/>
                <w:szCs w:val="24"/>
                <w:lang w:eastAsia="ru-RU"/>
              </w:rPr>
              <w:t>0,84</w:t>
            </w:r>
          </w:p>
        </w:tc>
      </w:tr>
      <w:tr w:rsidR="00221170" w:rsidRPr="00221170" w:rsidTr="00221170">
        <w:trPr>
          <w:trHeight w:val="276"/>
        </w:trPr>
        <w:tc>
          <w:tcPr>
            <w:tcW w:w="4536"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left"/>
              <w:rPr>
                <w:rFonts w:eastAsia="Times New Roman"/>
                <w:sz w:val="24"/>
                <w:szCs w:val="24"/>
                <w:lang w:eastAsia="ru-RU"/>
              </w:rPr>
            </w:pPr>
            <w:r w:rsidRPr="00221170">
              <w:rPr>
                <w:rFonts w:eastAsia="Times New Roman"/>
                <w:sz w:val="24"/>
                <w:szCs w:val="24"/>
                <w:lang w:eastAsia="ru-RU"/>
              </w:rPr>
              <w:t>Частота нормальних пологів</w:t>
            </w:r>
          </w:p>
        </w:tc>
        <w:tc>
          <w:tcPr>
            <w:tcW w:w="968"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color w:val="000000"/>
                <w:sz w:val="24"/>
                <w:szCs w:val="24"/>
                <w:lang w:eastAsia="ru-RU"/>
              </w:rPr>
            </w:pPr>
            <w:r w:rsidRPr="00221170">
              <w:rPr>
                <w:rFonts w:eastAsia="Times New Roman"/>
                <w:color w:val="000000"/>
                <w:sz w:val="24"/>
                <w:szCs w:val="24"/>
                <w:lang w:eastAsia="ru-RU"/>
              </w:rPr>
              <w:t>66,2</w:t>
            </w:r>
          </w:p>
        </w:tc>
        <w:tc>
          <w:tcPr>
            <w:tcW w:w="969"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sz w:val="24"/>
                <w:szCs w:val="24"/>
                <w:lang w:eastAsia="ru-RU"/>
              </w:rPr>
            </w:pPr>
            <w:r w:rsidRPr="00221170">
              <w:rPr>
                <w:rFonts w:eastAsia="Times New Roman"/>
                <w:sz w:val="24"/>
                <w:szCs w:val="24"/>
                <w:lang w:eastAsia="ru-RU"/>
              </w:rPr>
              <w:t>64,57</w:t>
            </w:r>
          </w:p>
        </w:tc>
        <w:tc>
          <w:tcPr>
            <w:tcW w:w="968"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color w:val="000000"/>
                <w:sz w:val="24"/>
                <w:szCs w:val="24"/>
                <w:lang w:eastAsia="ru-RU"/>
              </w:rPr>
            </w:pPr>
            <w:r w:rsidRPr="00221170">
              <w:rPr>
                <w:rFonts w:eastAsia="Times New Roman"/>
                <w:color w:val="000000"/>
                <w:sz w:val="24"/>
                <w:szCs w:val="24"/>
                <w:lang w:eastAsia="ru-RU"/>
              </w:rPr>
              <w:t>4,73</w:t>
            </w:r>
          </w:p>
        </w:tc>
        <w:tc>
          <w:tcPr>
            <w:tcW w:w="969"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sz w:val="24"/>
                <w:szCs w:val="24"/>
                <w:lang w:eastAsia="ru-RU"/>
              </w:rPr>
            </w:pPr>
            <w:r w:rsidRPr="00221170">
              <w:rPr>
                <w:rFonts w:eastAsia="Times New Roman"/>
                <w:sz w:val="24"/>
                <w:szCs w:val="24"/>
                <w:lang w:eastAsia="ru-RU"/>
              </w:rPr>
              <w:t>4,83</w:t>
            </w:r>
          </w:p>
        </w:tc>
        <w:tc>
          <w:tcPr>
            <w:tcW w:w="968"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color w:val="000000"/>
                <w:sz w:val="24"/>
                <w:szCs w:val="24"/>
                <w:lang w:eastAsia="ru-RU"/>
              </w:rPr>
            </w:pPr>
            <w:r w:rsidRPr="00221170">
              <w:rPr>
                <w:rFonts w:eastAsia="Times New Roman"/>
                <w:color w:val="000000"/>
                <w:sz w:val="24"/>
                <w:szCs w:val="24"/>
                <w:lang w:eastAsia="ru-RU"/>
              </w:rPr>
              <w:t>0,95</w:t>
            </w:r>
          </w:p>
        </w:tc>
        <w:tc>
          <w:tcPr>
            <w:tcW w:w="969"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sz w:val="24"/>
                <w:szCs w:val="24"/>
                <w:lang w:eastAsia="ru-RU"/>
              </w:rPr>
            </w:pPr>
            <w:r w:rsidRPr="00221170">
              <w:rPr>
                <w:rFonts w:eastAsia="Times New Roman"/>
                <w:sz w:val="24"/>
                <w:szCs w:val="24"/>
                <w:lang w:eastAsia="ru-RU"/>
              </w:rPr>
              <w:t>0,97</w:t>
            </w:r>
          </w:p>
        </w:tc>
      </w:tr>
      <w:tr w:rsidR="00221170" w:rsidRPr="00221170" w:rsidTr="00221170">
        <w:trPr>
          <w:trHeight w:val="422"/>
        </w:trPr>
        <w:tc>
          <w:tcPr>
            <w:tcW w:w="4536" w:type="dxa"/>
            <w:tcBorders>
              <w:top w:val="single" w:sz="4" w:space="0" w:color="auto"/>
              <w:left w:val="single" w:sz="4" w:space="0" w:color="auto"/>
              <w:bottom w:val="single" w:sz="4" w:space="0" w:color="auto"/>
              <w:right w:val="single" w:sz="4" w:space="0" w:color="auto"/>
            </w:tcBorders>
            <w:vAlign w:val="bottom"/>
          </w:tcPr>
          <w:p w:rsidR="00221170" w:rsidRPr="00221170" w:rsidRDefault="00221170" w:rsidP="00221170">
            <w:pPr>
              <w:keepNext/>
              <w:jc w:val="left"/>
              <w:rPr>
                <w:rFonts w:eastAsia="Times New Roman"/>
                <w:sz w:val="24"/>
                <w:szCs w:val="24"/>
                <w:lang w:eastAsia="ru-RU"/>
              </w:rPr>
            </w:pPr>
            <w:r w:rsidRPr="00221170">
              <w:rPr>
                <w:rFonts w:eastAsia="Times New Roman"/>
                <w:sz w:val="24"/>
                <w:szCs w:val="24"/>
                <w:lang w:eastAsia="ru-RU"/>
              </w:rPr>
              <w:t>Частота розроджень вагітних шляхом кесаревого розтину</w:t>
            </w:r>
          </w:p>
        </w:tc>
        <w:tc>
          <w:tcPr>
            <w:tcW w:w="968"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color w:val="000000"/>
                <w:sz w:val="24"/>
                <w:szCs w:val="24"/>
                <w:lang w:eastAsia="ru-RU"/>
              </w:rPr>
            </w:pPr>
            <w:r w:rsidRPr="00221170">
              <w:rPr>
                <w:rFonts w:eastAsia="Times New Roman"/>
                <w:color w:val="000000"/>
                <w:sz w:val="24"/>
                <w:szCs w:val="24"/>
                <w:lang w:eastAsia="ru-RU"/>
              </w:rPr>
              <w:t>225,59</w:t>
            </w:r>
          </w:p>
        </w:tc>
        <w:tc>
          <w:tcPr>
            <w:tcW w:w="969"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sz w:val="24"/>
                <w:szCs w:val="24"/>
                <w:lang w:eastAsia="ru-RU"/>
              </w:rPr>
            </w:pPr>
            <w:r w:rsidRPr="00221170">
              <w:rPr>
                <w:rFonts w:eastAsia="Times New Roman"/>
                <w:sz w:val="24"/>
                <w:szCs w:val="24"/>
                <w:lang w:eastAsia="ru-RU"/>
              </w:rPr>
              <w:t>244,45</w:t>
            </w:r>
          </w:p>
        </w:tc>
        <w:tc>
          <w:tcPr>
            <w:tcW w:w="968"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color w:val="000000"/>
                <w:sz w:val="24"/>
                <w:szCs w:val="24"/>
                <w:lang w:eastAsia="ru-RU"/>
              </w:rPr>
            </w:pPr>
            <w:r w:rsidRPr="00221170">
              <w:rPr>
                <w:rFonts w:eastAsia="Times New Roman"/>
                <w:color w:val="000000"/>
                <w:sz w:val="24"/>
                <w:szCs w:val="24"/>
                <w:lang w:eastAsia="ru-RU"/>
              </w:rPr>
              <w:t>4,13</w:t>
            </w:r>
          </w:p>
        </w:tc>
        <w:tc>
          <w:tcPr>
            <w:tcW w:w="969"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sz w:val="24"/>
                <w:szCs w:val="24"/>
                <w:lang w:eastAsia="ru-RU"/>
              </w:rPr>
            </w:pPr>
            <w:r w:rsidRPr="00221170">
              <w:rPr>
                <w:rFonts w:eastAsia="Times New Roman"/>
                <w:sz w:val="24"/>
                <w:szCs w:val="24"/>
                <w:lang w:eastAsia="ru-RU"/>
              </w:rPr>
              <w:t>4,42</w:t>
            </w:r>
          </w:p>
        </w:tc>
        <w:tc>
          <w:tcPr>
            <w:tcW w:w="968"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color w:val="000000"/>
                <w:sz w:val="24"/>
                <w:szCs w:val="24"/>
                <w:lang w:eastAsia="ru-RU"/>
              </w:rPr>
            </w:pPr>
            <w:r w:rsidRPr="00221170">
              <w:rPr>
                <w:rFonts w:eastAsia="Times New Roman"/>
                <w:color w:val="000000"/>
                <w:sz w:val="24"/>
                <w:szCs w:val="24"/>
                <w:lang w:eastAsia="ru-RU"/>
              </w:rPr>
              <w:t>0,59</w:t>
            </w:r>
          </w:p>
        </w:tc>
        <w:tc>
          <w:tcPr>
            <w:tcW w:w="969"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sz w:val="24"/>
                <w:szCs w:val="24"/>
                <w:lang w:eastAsia="ru-RU"/>
              </w:rPr>
            </w:pPr>
            <w:r w:rsidRPr="00221170">
              <w:rPr>
                <w:rFonts w:eastAsia="Times New Roman"/>
                <w:sz w:val="24"/>
                <w:szCs w:val="24"/>
                <w:lang w:eastAsia="ru-RU"/>
              </w:rPr>
              <w:t>0,63</w:t>
            </w:r>
          </w:p>
        </w:tc>
      </w:tr>
      <w:tr w:rsidR="00221170" w:rsidRPr="00221170" w:rsidTr="00221170">
        <w:trPr>
          <w:trHeight w:val="276"/>
        </w:trPr>
        <w:tc>
          <w:tcPr>
            <w:tcW w:w="4536" w:type="dxa"/>
            <w:tcBorders>
              <w:top w:val="single" w:sz="4" w:space="0" w:color="auto"/>
              <w:left w:val="single" w:sz="4" w:space="0" w:color="auto"/>
              <w:bottom w:val="single" w:sz="4" w:space="0" w:color="auto"/>
              <w:right w:val="single" w:sz="4" w:space="0" w:color="auto"/>
            </w:tcBorders>
            <w:vAlign w:val="bottom"/>
          </w:tcPr>
          <w:p w:rsidR="00221170" w:rsidRPr="00221170" w:rsidRDefault="00221170" w:rsidP="00221170">
            <w:pPr>
              <w:keepNext/>
              <w:jc w:val="left"/>
              <w:rPr>
                <w:rFonts w:eastAsia="Times New Roman"/>
                <w:sz w:val="24"/>
                <w:szCs w:val="24"/>
                <w:lang w:eastAsia="ru-RU"/>
              </w:rPr>
            </w:pPr>
            <w:r w:rsidRPr="00221170">
              <w:rPr>
                <w:rFonts w:eastAsia="Times New Roman"/>
                <w:sz w:val="24"/>
                <w:szCs w:val="24"/>
                <w:lang w:eastAsia="ru-RU"/>
              </w:rPr>
              <w:t>Частота  кровотеч в послідовому і післяродовому періодах</w:t>
            </w:r>
          </w:p>
        </w:tc>
        <w:tc>
          <w:tcPr>
            <w:tcW w:w="968"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color w:val="000000"/>
                <w:sz w:val="24"/>
                <w:szCs w:val="24"/>
                <w:lang w:eastAsia="ru-RU"/>
              </w:rPr>
            </w:pPr>
            <w:r w:rsidRPr="00221170">
              <w:rPr>
                <w:rFonts w:eastAsia="Times New Roman"/>
                <w:color w:val="000000"/>
                <w:sz w:val="24"/>
                <w:szCs w:val="24"/>
                <w:lang w:eastAsia="ru-RU"/>
              </w:rPr>
              <w:t>10,2</w:t>
            </w:r>
          </w:p>
        </w:tc>
        <w:tc>
          <w:tcPr>
            <w:tcW w:w="969"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sz w:val="24"/>
                <w:szCs w:val="24"/>
                <w:lang w:eastAsia="ru-RU"/>
              </w:rPr>
            </w:pPr>
            <w:r w:rsidRPr="00221170">
              <w:rPr>
                <w:rFonts w:eastAsia="Times New Roman"/>
                <w:sz w:val="24"/>
                <w:szCs w:val="24"/>
                <w:lang w:eastAsia="ru-RU"/>
              </w:rPr>
              <w:t>8,71</w:t>
            </w:r>
          </w:p>
        </w:tc>
        <w:tc>
          <w:tcPr>
            <w:tcW w:w="968"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color w:val="000000"/>
                <w:sz w:val="24"/>
                <w:szCs w:val="24"/>
                <w:lang w:eastAsia="ru-RU"/>
              </w:rPr>
            </w:pPr>
            <w:r w:rsidRPr="00221170">
              <w:rPr>
                <w:rFonts w:eastAsia="Times New Roman"/>
                <w:color w:val="000000"/>
                <w:sz w:val="24"/>
                <w:szCs w:val="24"/>
                <w:lang w:eastAsia="ru-RU"/>
              </w:rPr>
              <w:t>0,00</w:t>
            </w:r>
          </w:p>
        </w:tc>
        <w:tc>
          <w:tcPr>
            <w:tcW w:w="969"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sz w:val="24"/>
                <w:szCs w:val="24"/>
                <w:lang w:eastAsia="ru-RU"/>
              </w:rPr>
            </w:pPr>
            <w:r w:rsidRPr="00221170">
              <w:rPr>
                <w:rFonts w:eastAsia="Times New Roman"/>
                <w:sz w:val="24"/>
                <w:szCs w:val="24"/>
                <w:lang w:eastAsia="ru-RU"/>
              </w:rPr>
              <w:t>4,94</w:t>
            </w:r>
          </w:p>
        </w:tc>
        <w:tc>
          <w:tcPr>
            <w:tcW w:w="968"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color w:val="000000"/>
                <w:sz w:val="24"/>
                <w:szCs w:val="24"/>
                <w:lang w:eastAsia="ru-RU"/>
              </w:rPr>
            </w:pPr>
            <w:r w:rsidRPr="00221170">
              <w:rPr>
                <w:rFonts w:eastAsia="Times New Roman"/>
                <w:color w:val="000000"/>
                <w:sz w:val="24"/>
                <w:szCs w:val="24"/>
                <w:lang w:eastAsia="ru-RU"/>
              </w:rPr>
              <w:t>0,00</w:t>
            </w:r>
          </w:p>
        </w:tc>
        <w:tc>
          <w:tcPr>
            <w:tcW w:w="969"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sz w:val="24"/>
                <w:szCs w:val="24"/>
                <w:lang w:eastAsia="ru-RU"/>
              </w:rPr>
            </w:pPr>
            <w:r w:rsidRPr="00221170">
              <w:rPr>
                <w:rFonts w:eastAsia="Times New Roman"/>
                <w:sz w:val="24"/>
                <w:szCs w:val="24"/>
                <w:lang w:eastAsia="ru-RU"/>
              </w:rPr>
              <w:t>0,55</w:t>
            </w:r>
          </w:p>
        </w:tc>
      </w:tr>
      <w:tr w:rsidR="00221170" w:rsidRPr="00221170" w:rsidTr="00221170">
        <w:trPr>
          <w:trHeight w:val="293"/>
        </w:trPr>
        <w:tc>
          <w:tcPr>
            <w:tcW w:w="4536" w:type="dxa"/>
            <w:tcBorders>
              <w:top w:val="single" w:sz="4" w:space="0" w:color="auto"/>
              <w:left w:val="single" w:sz="4" w:space="0" w:color="auto"/>
              <w:bottom w:val="single" w:sz="4" w:space="0" w:color="auto"/>
              <w:right w:val="single" w:sz="4" w:space="0" w:color="auto"/>
            </w:tcBorders>
            <w:vAlign w:val="bottom"/>
          </w:tcPr>
          <w:p w:rsidR="00221170" w:rsidRPr="00221170" w:rsidRDefault="00221170" w:rsidP="00221170">
            <w:pPr>
              <w:keepNext/>
              <w:jc w:val="left"/>
              <w:rPr>
                <w:rFonts w:eastAsia="Times New Roman"/>
                <w:sz w:val="24"/>
                <w:szCs w:val="24"/>
                <w:lang w:eastAsia="ru-RU"/>
              </w:rPr>
            </w:pPr>
            <w:r w:rsidRPr="00221170">
              <w:rPr>
                <w:rFonts w:eastAsia="Times New Roman"/>
                <w:sz w:val="24"/>
                <w:szCs w:val="24"/>
                <w:lang w:eastAsia="ru-RU"/>
              </w:rPr>
              <w:t>Частота мало вагових новонароджених</w:t>
            </w:r>
          </w:p>
        </w:tc>
        <w:tc>
          <w:tcPr>
            <w:tcW w:w="968"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color w:val="000000"/>
                <w:sz w:val="24"/>
                <w:szCs w:val="24"/>
                <w:lang w:eastAsia="ru-RU"/>
              </w:rPr>
            </w:pPr>
            <w:r w:rsidRPr="00221170">
              <w:rPr>
                <w:rFonts w:eastAsia="Times New Roman"/>
                <w:color w:val="000000"/>
                <w:sz w:val="24"/>
                <w:szCs w:val="24"/>
                <w:lang w:eastAsia="ru-RU"/>
              </w:rPr>
              <w:t>6,17</w:t>
            </w:r>
          </w:p>
        </w:tc>
        <w:tc>
          <w:tcPr>
            <w:tcW w:w="969"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sz w:val="24"/>
                <w:szCs w:val="24"/>
                <w:lang w:eastAsia="ru-RU"/>
              </w:rPr>
            </w:pPr>
            <w:r w:rsidRPr="00221170">
              <w:rPr>
                <w:rFonts w:eastAsia="Times New Roman"/>
                <w:sz w:val="24"/>
                <w:szCs w:val="24"/>
                <w:lang w:eastAsia="ru-RU"/>
              </w:rPr>
              <w:t>6,33</w:t>
            </w:r>
          </w:p>
        </w:tc>
        <w:tc>
          <w:tcPr>
            <w:tcW w:w="968"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color w:val="000000"/>
                <w:sz w:val="24"/>
                <w:szCs w:val="24"/>
                <w:lang w:eastAsia="ru-RU"/>
              </w:rPr>
            </w:pPr>
            <w:r w:rsidRPr="00221170">
              <w:rPr>
                <w:rFonts w:eastAsia="Times New Roman"/>
                <w:color w:val="000000"/>
                <w:sz w:val="24"/>
                <w:szCs w:val="24"/>
                <w:lang w:eastAsia="ru-RU"/>
              </w:rPr>
              <w:t>2,29</w:t>
            </w:r>
          </w:p>
        </w:tc>
        <w:tc>
          <w:tcPr>
            <w:tcW w:w="969"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sz w:val="24"/>
                <w:szCs w:val="24"/>
                <w:lang w:eastAsia="ru-RU"/>
              </w:rPr>
            </w:pPr>
            <w:r w:rsidRPr="00221170">
              <w:rPr>
                <w:rFonts w:eastAsia="Times New Roman"/>
                <w:sz w:val="24"/>
                <w:szCs w:val="24"/>
                <w:lang w:eastAsia="ru-RU"/>
              </w:rPr>
              <w:t>2,67</w:t>
            </w:r>
          </w:p>
        </w:tc>
        <w:tc>
          <w:tcPr>
            <w:tcW w:w="968"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color w:val="000000"/>
                <w:sz w:val="24"/>
                <w:szCs w:val="24"/>
                <w:lang w:eastAsia="ru-RU"/>
              </w:rPr>
            </w:pPr>
            <w:r w:rsidRPr="00221170">
              <w:rPr>
                <w:rFonts w:eastAsia="Times New Roman"/>
                <w:color w:val="000000"/>
                <w:sz w:val="24"/>
                <w:szCs w:val="24"/>
                <w:lang w:eastAsia="ru-RU"/>
              </w:rPr>
              <w:t>0,46</w:t>
            </w:r>
          </w:p>
        </w:tc>
        <w:tc>
          <w:tcPr>
            <w:tcW w:w="969"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sz w:val="24"/>
                <w:szCs w:val="24"/>
                <w:lang w:eastAsia="ru-RU"/>
              </w:rPr>
            </w:pPr>
            <w:r w:rsidRPr="00221170">
              <w:rPr>
                <w:rFonts w:eastAsia="Times New Roman"/>
                <w:sz w:val="24"/>
                <w:szCs w:val="24"/>
                <w:lang w:eastAsia="ru-RU"/>
              </w:rPr>
              <w:t>0,53</w:t>
            </w:r>
          </w:p>
        </w:tc>
      </w:tr>
      <w:tr w:rsidR="00221170" w:rsidRPr="00221170" w:rsidTr="00221170">
        <w:trPr>
          <w:trHeight w:val="344"/>
        </w:trPr>
        <w:tc>
          <w:tcPr>
            <w:tcW w:w="4536" w:type="dxa"/>
            <w:tcBorders>
              <w:top w:val="single" w:sz="4" w:space="0" w:color="auto"/>
              <w:left w:val="single" w:sz="4" w:space="0" w:color="auto"/>
              <w:bottom w:val="single" w:sz="4" w:space="0" w:color="auto"/>
              <w:right w:val="single" w:sz="4" w:space="0" w:color="auto"/>
            </w:tcBorders>
            <w:vAlign w:val="bottom"/>
          </w:tcPr>
          <w:p w:rsidR="00221170" w:rsidRPr="00221170" w:rsidRDefault="00221170" w:rsidP="00221170">
            <w:pPr>
              <w:keepNext/>
              <w:jc w:val="left"/>
              <w:rPr>
                <w:rFonts w:eastAsia="Times New Roman"/>
                <w:sz w:val="24"/>
                <w:szCs w:val="24"/>
                <w:lang w:eastAsia="ru-RU"/>
              </w:rPr>
            </w:pPr>
            <w:r w:rsidRPr="00221170">
              <w:rPr>
                <w:rFonts w:eastAsia="Times New Roman"/>
                <w:sz w:val="24"/>
                <w:szCs w:val="24"/>
                <w:lang w:eastAsia="ru-RU"/>
              </w:rPr>
              <w:t>Виживання новонароджених з дуже малою масою тіла при народженні</w:t>
            </w:r>
          </w:p>
        </w:tc>
        <w:tc>
          <w:tcPr>
            <w:tcW w:w="968"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color w:val="000000"/>
                <w:sz w:val="24"/>
                <w:szCs w:val="24"/>
                <w:lang w:eastAsia="ru-RU"/>
              </w:rPr>
            </w:pPr>
          </w:p>
        </w:tc>
        <w:tc>
          <w:tcPr>
            <w:tcW w:w="969"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sz w:val="24"/>
                <w:szCs w:val="24"/>
                <w:lang w:eastAsia="ru-RU"/>
              </w:rPr>
            </w:pPr>
            <w:r w:rsidRPr="00221170">
              <w:rPr>
                <w:rFonts w:eastAsia="Times New Roman"/>
                <w:sz w:val="24"/>
                <w:szCs w:val="24"/>
                <w:lang w:eastAsia="ru-RU"/>
              </w:rPr>
              <w:t>87,50</w:t>
            </w:r>
          </w:p>
        </w:tc>
        <w:tc>
          <w:tcPr>
            <w:tcW w:w="968"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color w:val="000000"/>
                <w:sz w:val="24"/>
                <w:szCs w:val="24"/>
                <w:lang w:eastAsia="ru-RU"/>
              </w:rPr>
            </w:pPr>
          </w:p>
        </w:tc>
        <w:tc>
          <w:tcPr>
            <w:tcW w:w="969"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sz w:val="24"/>
                <w:szCs w:val="24"/>
                <w:lang w:eastAsia="ru-RU"/>
              </w:rPr>
            </w:pPr>
            <w:r w:rsidRPr="00221170">
              <w:rPr>
                <w:rFonts w:eastAsia="Times New Roman"/>
                <w:sz w:val="24"/>
                <w:szCs w:val="24"/>
                <w:lang w:eastAsia="ru-RU"/>
              </w:rPr>
              <w:t>8,0</w:t>
            </w:r>
          </w:p>
        </w:tc>
        <w:tc>
          <w:tcPr>
            <w:tcW w:w="968"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color w:val="000000"/>
                <w:sz w:val="24"/>
                <w:szCs w:val="24"/>
                <w:lang w:eastAsia="ru-RU"/>
              </w:rPr>
            </w:pPr>
          </w:p>
        </w:tc>
        <w:tc>
          <w:tcPr>
            <w:tcW w:w="969"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sz w:val="24"/>
                <w:szCs w:val="24"/>
                <w:lang w:eastAsia="ru-RU"/>
              </w:rPr>
            </w:pPr>
            <w:r w:rsidRPr="00221170">
              <w:rPr>
                <w:rFonts w:eastAsia="Times New Roman"/>
                <w:sz w:val="24"/>
                <w:szCs w:val="24"/>
                <w:lang w:eastAsia="ru-RU"/>
              </w:rPr>
              <w:t>1,00</w:t>
            </w:r>
          </w:p>
        </w:tc>
      </w:tr>
      <w:tr w:rsidR="00221170" w:rsidRPr="00221170" w:rsidTr="00221170">
        <w:trPr>
          <w:trHeight w:val="226"/>
        </w:trPr>
        <w:tc>
          <w:tcPr>
            <w:tcW w:w="4536" w:type="dxa"/>
            <w:tcBorders>
              <w:top w:val="single" w:sz="4" w:space="0" w:color="auto"/>
              <w:left w:val="single" w:sz="4" w:space="0" w:color="auto"/>
              <w:bottom w:val="single" w:sz="4" w:space="0" w:color="auto"/>
              <w:right w:val="single" w:sz="4" w:space="0" w:color="auto"/>
            </w:tcBorders>
            <w:vAlign w:val="bottom"/>
          </w:tcPr>
          <w:p w:rsidR="00221170" w:rsidRPr="00221170" w:rsidRDefault="00221170" w:rsidP="00221170">
            <w:pPr>
              <w:keepNext/>
              <w:jc w:val="left"/>
              <w:rPr>
                <w:rFonts w:eastAsia="Times New Roman"/>
                <w:sz w:val="24"/>
                <w:szCs w:val="24"/>
                <w:lang w:eastAsia="ru-RU"/>
              </w:rPr>
            </w:pPr>
            <w:r w:rsidRPr="00221170">
              <w:rPr>
                <w:rFonts w:eastAsia="Times New Roman"/>
                <w:sz w:val="24"/>
                <w:szCs w:val="24"/>
                <w:lang w:eastAsia="ru-RU"/>
              </w:rPr>
              <w:t>Індекс здоров’я новонароджених</w:t>
            </w:r>
          </w:p>
        </w:tc>
        <w:tc>
          <w:tcPr>
            <w:tcW w:w="968"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color w:val="000000"/>
                <w:sz w:val="24"/>
                <w:szCs w:val="24"/>
                <w:lang w:eastAsia="ru-RU"/>
              </w:rPr>
            </w:pPr>
            <w:r w:rsidRPr="00221170">
              <w:rPr>
                <w:rFonts w:eastAsia="Times New Roman"/>
                <w:color w:val="000000"/>
                <w:sz w:val="24"/>
                <w:szCs w:val="24"/>
                <w:lang w:eastAsia="ru-RU"/>
              </w:rPr>
              <w:t>85,5</w:t>
            </w:r>
          </w:p>
        </w:tc>
        <w:tc>
          <w:tcPr>
            <w:tcW w:w="969"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sz w:val="24"/>
                <w:szCs w:val="24"/>
                <w:lang w:eastAsia="ru-RU"/>
              </w:rPr>
            </w:pPr>
            <w:r w:rsidRPr="00221170">
              <w:rPr>
                <w:rFonts w:eastAsia="Times New Roman"/>
                <w:sz w:val="24"/>
                <w:szCs w:val="24"/>
                <w:lang w:eastAsia="ru-RU"/>
              </w:rPr>
              <w:t>83,30</w:t>
            </w:r>
          </w:p>
        </w:tc>
        <w:tc>
          <w:tcPr>
            <w:tcW w:w="968"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color w:val="000000"/>
                <w:sz w:val="24"/>
                <w:szCs w:val="24"/>
                <w:lang w:eastAsia="ru-RU"/>
              </w:rPr>
            </w:pPr>
            <w:r w:rsidRPr="00221170">
              <w:rPr>
                <w:rFonts w:eastAsia="Times New Roman"/>
                <w:color w:val="000000"/>
                <w:sz w:val="24"/>
                <w:szCs w:val="24"/>
                <w:lang w:eastAsia="ru-RU"/>
              </w:rPr>
              <w:t>5,70</w:t>
            </w:r>
          </w:p>
        </w:tc>
        <w:tc>
          <w:tcPr>
            <w:tcW w:w="969"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sz w:val="24"/>
                <w:szCs w:val="24"/>
                <w:lang w:eastAsia="ru-RU"/>
              </w:rPr>
            </w:pPr>
            <w:r w:rsidRPr="00221170">
              <w:rPr>
                <w:rFonts w:eastAsia="Times New Roman"/>
                <w:sz w:val="24"/>
                <w:szCs w:val="24"/>
                <w:lang w:eastAsia="ru-RU"/>
              </w:rPr>
              <w:t>5,88</w:t>
            </w:r>
          </w:p>
        </w:tc>
        <w:tc>
          <w:tcPr>
            <w:tcW w:w="968"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color w:val="000000"/>
                <w:sz w:val="24"/>
                <w:szCs w:val="24"/>
                <w:lang w:eastAsia="ru-RU"/>
              </w:rPr>
            </w:pPr>
            <w:r w:rsidRPr="00221170">
              <w:rPr>
                <w:rFonts w:eastAsia="Times New Roman"/>
                <w:color w:val="000000"/>
                <w:sz w:val="24"/>
                <w:szCs w:val="24"/>
                <w:lang w:eastAsia="ru-RU"/>
              </w:rPr>
              <w:t>0,95</w:t>
            </w:r>
          </w:p>
        </w:tc>
        <w:tc>
          <w:tcPr>
            <w:tcW w:w="969"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sz w:val="24"/>
                <w:szCs w:val="24"/>
                <w:lang w:eastAsia="ru-RU"/>
              </w:rPr>
            </w:pPr>
            <w:r w:rsidRPr="00221170">
              <w:rPr>
                <w:rFonts w:eastAsia="Times New Roman"/>
                <w:sz w:val="24"/>
                <w:szCs w:val="24"/>
                <w:lang w:eastAsia="ru-RU"/>
              </w:rPr>
              <w:t>0,98</w:t>
            </w:r>
          </w:p>
        </w:tc>
      </w:tr>
      <w:tr w:rsidR="00221170" w:rsidRPr="00221170" w:rsidTr="00221170">
        <w:trPr>
          <w:trHeight w:val="244"/>
        </w:trPr>
        <w:tc>
          <w:tcPr>
            <w:tcW w:w="4536" w:type="dxa"/>
            <w:tcBorders>
              <w:top w:val="single" w:sz="4" w:space="0" w:color="auto"/>
              <w:left w:val="single" w:sz="4" w:space="0" w:color="auto"/>
              <w:bottom w:val="single" w:sz="4" w:space="0" w:color="auto"/>
              <w:right w:val="single" w:sz="4" w:space="0" w:color="auto"/>
            </w:tcBorders>
            <w:vAlign w:val="bottom"/>
          </w:tcPr>
          <w:p w:rsidR="00221170" w:rsidRPr="00221170" w:rsidRDefault="00221170" w:rsidP="00221170">
            <w:pPr>
              <w:keepNext/>
              <w:jc w:val="left"/>
              <w:rPr>
                <w:rFonts w:eastAsia="Times New Roman"/>
                <w:sz w:val="24"/>
                <w:szCs w:val="24"/>
                <w:lang w:eastAsia="ru-RU"/>
              </w:rPr>
            </w:pPr>
            <w:r w:rsidRPr="00221170">
              <w:rPr>
                <w:rFonts w:eastAsia="Times New Roman"/>
                <w:sz w:val="24"/>
                <w:szCs w:val="24"/>
                <w:lang w:eastAsia="ru-RU"/>
              </w:rPr>
              <w:t xml:space="preserve">Рівень перинатальної смертності </w:t>
            </w:r>
          </w:p>
        </w:tc>
        <w:tc>
          <w:tcPr>
            <w:tcW w:w="968"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color w:val="000000"/>
                <w:sz w:val="24"/>
                <w:szCs w:val="24"/>
                <w:lang w:eastAsia="ru-RU"/>
              </w:rPr>
            </w:pPr>
            <w:r w:rsidRPr="00221170">
              <w:rPr>
                <w:rFonts w:eastAsia="Times New Roman"/>
                <w:color w:val="000000"/>
                <w:sz w:val="24"/>
                <w:szCs w:val="24"/>
                <w:lang w:eastAsia="ru-RU"/>
              </w:rPr>
              <w:t>8</w:t>
            </w:r>
          </w:p>
        </w:tc>
        <w:tc>
          <w:tcPr>
            <w:tcW w:w="969"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sz w:val="24"/>
                <w:szCs w:val="24"/>
                <w:lang w:eastAsia="ru-RU"/>
              </w:rPr>
            </w:pPr>
            <w:r w:rsidRPr="00221170">
              <w:rPr>
                <w:rFonts w:eastAsia="Times New Roman"/>
                <w:sz w:val="24"/>
                <w:szCs w:val="24"/>
                <w:lang w:eastAsia="ru-RU"/>
              </w:rPr>
              <w:t>5,84</w:t>
            </w:r>
          </w:p>
        </w:tc>
        <w:tc>
          <w:tcPr>
            <w:tcW w:w="968"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color w:val="000000"/>
                <w:sz w:val="24"/>
                <w:szCs w:val="24"/>
                <w:lang w:eastAsia="ru-RU"/>
              </w:rPr>
            </w:pPr>
            <w:r w:rsidRPr="00221170">
              <w:rPr>
                <w:rFonts w:eastAsia="Times New Roman"/>
                <w:color w:val="000000"/>
                <w:sz w:val="24"/>
                <w:szCs w:val="24"/>
                <w:lang w:eastAsia="ru-RU"/>
              </w:rPr>
              <w:t>6,00</w:t>
            </w:r>
          </w:p>
        </w:tc>
        <w:tc>
          <w:tcPr>
            <w:tcW w:w="969"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sz w:val="24"/>
                <w:szCs w:val="24"/>
                <w:lang w:eastAsia="ru-RU"/>
              </w:rPr>
            </w:pPr>
            <w:r w:rsidRPr="00221170">
              <w:rPr>
                <w:rFonts w:eastAsia="Times New Roman"/>
                <w:sz w:val="24"/>
                <w:szCs w:val="24"/>
                <w:lang w:eastAsia="ru-RU"/>
              </w:rPr>
              <w:t>6,0</w:t>
            </w:r>
          </w:p>
        </w:tc>
        <w:tc>
          <w:tcPr>
            <w:tcW w:w="968"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color w:val="000000"/>
                <w:sz w:val="24"/>
                <w:szCs w:val="24"/>
                <w:lang w:eastAsia="ru-RU"/>
              </w:rPr>
            </w:pPr>
            <w:r w:rsidRPr="00221170">
              <w:rPr>
                <w:rFonts w:eastAsia="Times New Roman"/>
                <w:color w:val="000000"/>
                <w:sz w:val="24"/>
                <w:szCs w:val="24"/>
                <w:lang w:eastAsia="ru-RU"/>
              </w:rPr>
              <w:t>1,00</w:t>
            </w:r>
          </w:p>
        </w:tc>
        <w:tc>
          <w:tcPr>
            <w:tcW w:w="969"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sz w:val="24"/>
                <w:szCs w:val="24"/>
                <w:lang w:eastAsia="ru-RU"/>
              </w:rPr>
            </w:pPr>
            <w:r w:rsidRPr="00221170">
              <w:rPr>
                <w:rFonts w:eastAsia="Times New Roman"/>
                <w:sz w:val="24"/>
                <w:szCs w:val="24"/>
                <w:lang w:eastAsia="ru-RU"/>
              </w:rPr>
              <w:t>1,00</w:t>
            </w:r>
          </w:p>
        </w:tc>
      </w:tr>
      <w:tr w:rsidR="00221170" w:rsidRPr="00221170" w:rsidTr="00221170">
        <w:trPr>
          <w:trHeight w:val="450"/>
        </w:trPr>
        <w:tc>
          <w:tcPr>
            <w:tcW w:w="4536"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rPr>
                <w:rFonts w:eastAsia="Times New Roman"/>
                <w:sz w:val="24"/>
                <w:szCs w:val="24"/>
                <w:lang w:eastAsia="ru-RU"/>
              </w:rPr>
            </w:pPr>
            <w:r w:rsidRPr="00221170">
              <w:rPr>
                <w:rFonts w:eastAsia="Times New Roman"/>
                <w:sz w:val="24"/>
                <w:szCs w:val="24"/>
                <w:lang w:eastAsia="ru-RU"/>
              </w:rPr>
              <w:t>Співвідношення реального і фактичного показника ранньої неонатальної смертності</w:t>
            </w:r>
          </w:p>
        </w:tc>
        <w:tc>
          <w:tcPr>
            <w:tcW w:w="968"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sz w:val="24"/>
                <w:szCs w:val="24"/>
                <w:lang w:eastAsia="ru-RU"/>
              </w:rPr>
            </w:pPr>
            <w:r w:rsidRPr="00221170">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sz w:val="24"/>
                <w:szCs w:val="24"/>
                <w:lang w:eastAsia="ru-RU"/>
              </w:rPr>
            </w:pPr>
            <w:r w:rsidRPr="00221170">
              <w:rPr>
                <w:rFonts w:eastAsia="Times New Roman"/>
                <w:sz w:val="24"/>
                <w:szCs w:val="24"/>
                <w:lang w:eastAsia="ru-RU"/>
              </w:rPr>
              <w:t>2,92</w:t>
            </w:r>
          </w:p>
        </w:tc>
        <w:tc>
          <w:tcPr>
            <w:tcW w:w="968"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sz w:val="24"/>
                <w:szCs w:val="24"/>
                <w:lang w:eastAsia="ru-RU"/>
              </w:rPr>
            </w:pPr>
            <w:r w:rsidRPr="00221170">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sz w:val="24"/>
                <w:szCs w:val="24"/>
                <w:lang w:eastAsia="ru-RU"/>
              </w:rPr>
            </w:pPr>
            <w:r w:rsidRPr="00221170">
              <w:rPr>
                <w:rFonts w:eastAsia="Times New Roman"/>
                <w:sz w:val="24"/>
                <w:szCs w:val="24"/>
                <w:lang w:eastAsia="ru-RU"/>
              </w:rPr>
              <w:t>0,32</w:t>
            </w:r>
          </w:p>
        </w:tc>
        <w:tc>
          <w:tcPr>
            <w:tcW w:w="968"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sz w:val="24"/>
                <w:szCs w:val="24"/>
                <w:lang w:eastAsia="ru-RU"/>
              </w:rPr>
            </w:pPr>
            <w:r w:rsidRPr="00221170">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sz w:val="24"/>
                <w:szCs w:val="24"/>
                <w:lang w:eastAsia="ru-RU"/>
              </w:rPr>
            </w:pPr>
            <w:r w:rsidRPr="00221170">
              <w:rPr>
                <w:rFonts w:eastAsia="Times New Roman"/>
                <w:sz w:val="24"/>
                <w:szCs w:val="24"/>
                <w:lang w:eastAsia="ru-RU"/>
              </w:rPr>
              <w:t>0,05</w:t>
            </w:r>
          </w:p>
        </w:tc>
      </w:tr>
      <w:tr w:rsidR="00221170" w:rsidRPr="00221170" w:rsidTr="00221170">
        <w:trPr>
          <w:trHeight w:val="216"/>
        </w:trPr>
        <w:tc>
          <w:tcPr>
            <w:tcW w:w="4536"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left"/>
              <w:rPr>
                <w:rFonts w:eastAsia="Times New Roman"/>
                <w:sz w:val="24"/>
                <w:szCs w:val="24"/>
                <w:lang w:eastAsia="ru-RU"/>
              </w:rPr>
            </w:pPr>
            <w:r w:rsidRPr="00221170">
              <w:rPr>
                <w:rFonts w:eastAsia="Times New Roman"/>
                <w:sz w:val="24"/>
                <w:szCs w:val="24"/>
                <w:lang w:eastAsia="ru-RU"/>
              </w:rPr>
              <w:t>Рівень неонатальної смертності</w:t>
            </w:r>
          </w:p>
        </w:tc>
        <w:tc>
          <w:tcPr>
            <w:tcW w:w="968"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sz w:val="24"/>
                <w:szCs w:val="24"/>
                <w:lang w:eastAsia="ru-RU"/>
              </w:rPr>
            </w:pPr>
            <w:r w:rsidRPr="00221170">
              <w:rPr>
                <w:rFonts w:eastAsia="Times New Roman"/>
                <w:sz w:val="24"/>
                <w:szCs w:val="24"/>
                <w:lang w:eastAsia="ru-RU"/>
              </w:rPr>
              <w:t>5,69</w:t>
            </w:r>
          </w:p>
        </w:tc>
        <w:tc>
          <w:tcPr>
            <w:tcW w:w="969"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sz w:val="24"/>
                <w:szCs w:val="24"/>
                <w:lang w:eastAsia="ru-RU"/>
              </w:rPr>
            </w:pPr>
            <w:r w:rsidRPr="00221170">
              <w:rPr>
                <w:rFonts w:eastAsia="Times New Roman"/>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sz w:val="24"/>
                <w:szCs w:val="24"/>
                <w:lang w:eastAsia="ru-RU"/>
              </w:rPr>
            </w:pPr>
            <w:r w:rsidRPr="00221170">
              <w:rPr>
                <w:rFonts w:eastAsia="Times New Roman"/>
                <w:sz w:val="24"/>
                <w:szCs w:val="24"/>
                <w:lang w:eastAsia="ru-RU"/>
              </w:rPr>
              <w:t>3,47</w:t>
            </w:r>
          </w:p>
        </w:tc>
        <w:tc>
          <w:tcPr>
            <w:tcW w:w="969"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sz w:val="24"/>
                <w:szCs w:val="24"/>
                <w:lang w:eastAsia="ru-RU"/>
              </w:rPr>
            </w:pPr>
            <w:r w:rsidRPr="00221170">
              <w:rPr>
                <w:rFonts w:eastAsia="Times New Roman"/>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sz w:val="24"/>
                <w:szCs w:val="24"/>
                <w:lang w:eastAsia="ru-RU"/>
              </w:rPr>
            </w:pPr>
            <w:r w:rsidRPr="00221170">
              <w:rPr>
                <w:rFonts w:eastAsia="Times New Roman"/>
                <w:sz w:val="24"/>
                <w:szCs w:val="24"/>
                <w:lang w:eastAsia="ru-RU"/>
              </w:rPr>
              <w:t>0,58</w:t>
            </w:r>
          </w:p>
        </w:tc>
        <w:tc>
          <w:tcPr>
            <w:tcW w:w="969"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sz w:val="24"/>
                <w:szCs w:val="24"/>
                <w:lang w:eastAsia="ru-RU"/>
              </w:rPr>
            </w:pPr>
            <w:r w:rsidRPr="00221170">
              <w:rPr>
                <w:rFonts w:eastAsia="Times New Roman"/>
                <w:sz w:val="24"/>
                <w:szCs w:val="24"/>
                <w:lang w:eastAsia="ru-RU"/>
              </w:rPr>
              <w:t>**</w:t>
            </w:r>
          </w:p>
        </w:tc>
      </w:tr>
      <w:tr w:rsidR="00221170" w:rsidRPr="00221170" w:rsidTr="00221170">
        <w:trPr>
          <w:trHeight w:val="382"/>
        </w:trPr>
        <w:tc>
          <w:tcPr>
            <w:tcW w:w="4536"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left"/>
              <w:rPr>
                <w:rFonts w:eastAsia="Times New Roman"/>
                <w:sz w:val="24"/>
                <w:szCs w:val="24"/>
                <w:lang w:eastAsia="ru-RU"/>
              </w:rPr>
            </w:pPr>
            <w:r w:rsidRPr="00221170">
              <w:rPr>
                <w:rFonts w:eastAsia="Times New Roman"/>
                <w:sz w:val="24"/>
                <w:szCs w:val="24"/>
                <w:lang w:eastAsia="ru-RU"/>
              </w:rPr>
              <w:t xml:space="preserve">Рівень ранньої неонатальної смертності </w:t>
            </w:r>
          </w:p>
        </w:tc>
        <w:tc>
          <w:tcPr>
            <w:tcW w:w="968"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sz w:val="24"/>
                <w:szCs w:val="24"/>
                <w:lang w:eastAsia="ru-RU"/>
              </w:rPr>
            </w:pPr>
            <w:r w:rsidRPr="00221170">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sz w:val="24"/>
                <w:szCs w:val="24"/>
                <w:lang w:eastAsia="ru-RU"/>
              </w:rPr>
            </w:pPr>
            <w:r w:rsidRPr="00221170">
              <w:rPr>
                <w:rFonts w:eastAsia="Times New Roman"/>
                <w:sz w:val="24"/>
                <w:szCs w:val="24"/>
                <w:lang w:eastAsia="ru-RU"/>
              </w:rPr>
              <w:t>3,34</w:t>
            </w:r>
          </w:p>
        </w:tc>
        <w:tc>
          <w:tcPr>
            <w:tcW w:w="968"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sz w:val="24"/>
                <w:szCs w:val="24"/>
                <w:lang w:eastAsia="ru-RU"/>
              </w:rPr>
            </w:pPr>
            <w:r w:rsidRPr="00221170">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sz w:val="24"/>
                <w:szCs w:val="24"/>
                <w:lang w:eastAsia="ru-RU"/>
              </w:rPr>
            </w:pPr>
            <w:r w:rsidRPr="00221170">
              <w:rPr>
                <w:rFonts w:eastAsia="Times New Roman"/>
                <w:sz w:val="24"/>
                <w:szCs w:val="24"/>
                <w:lang w:eastAsia="ru-RU"/>
              </w:rPr>
              <w:t>4,89</w:t>
            </w:r>
          </w:p>
        </w:tc>
        <w:tc>
          <w:tcPr>
            <w:tcW w:w="968"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sz w:val="24"/>
                <w:szCs w:val="24"/>
                <w:lang w:eastAsia="ru-RU"/>
              </w:rPr>
            </w:pPr>
            <w:r w:rsidRPr="00221170">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sz w:val="24"/>
                <w:szCs w:val="24"/>
                <w:lang w:eastAsia="ru-RU"/>
              </w:rPr>
            </w:pPr>
            <w:r w:rsidRPr="00221170">
              <w:rPr>
                <w:rFonts w:eastAsia="Times New Roman"/>
                <w:sz w:val="24"/>
                <w:szCs w:val="24"/>
                <w:lang w:eastAsia="ru-RU"/>
              </w:rPr>
              <w:t>0,82</w:t>
            </w:r>
          </w:p>
        </w:tc>
      </w:tr>
      <w:tr w:rsidR="00221170" w:rsidRPr="00221170" w:rsidTr="00221170">
        <w:trPr>
          <w:trHeight w:val="274"/>
        </w:trPr>
        <w:tc>
          <w:tcPr>
            <w:tcW w:w="4536" w:type="dxa"/>
            <w:tcBorders>
              <w:top w:val="single" w:sz="4" w:space="0" w:color="auto"/>
              <w:left w:val="single" w:sz="4" w:space="0" w:color="auto"/>
              <w:bottom w:val="single" w:sz="4" w:space="0" w:color="auto"/>
              <w:right w:val="single" w:sz="4" w:space="0" w:color="auto"/>
            </w:tcBorders>
            <w:vAlign w:val="bottom"/>
          </w:tcPr>
          <w:p w:rsidR="00221170" w:rsidRPr="00221170" w:rsidRDefault="00221170" w:rsidP="00221170">
            <w:pPr>
              <w:keepNext/>
              <w:jc w:val="left"/>
              <w:rPr>
                <w:rFonts w:eastAsia="Times New Roman"/>
                <w:sz w:val="24"/>
                <w:szCs w:val="24"/>
                <w:lang w:eastAsia="ru-RU"/>
              </w:rPr>
            </w:pPr>
            <w:r w:rsidRPr="00221170">
              <w:rPr>
                <w:rFonts w:eastAsia="Times New Roman"/>
                <w:sz w:val="24"/>
                <w:szCs w:val="24"/>
                <w:lang w:eastAsia="ru-RU"/>
              </w:rPr>
              <w:t xml:space="preserve">Рівень материнської смертності </w:t>
            </w:r>
          </w:p>
        </w:tc>
        <w:tc>
          <w:tcPr>
            <w:tcW w:w="968"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sz w:val="24"/>
                <w:szCs w:val="24"/>
                <w:lang w:eastAsia="ru-RU"/>
              </w:rPr>
            </w:pPr>
            <w:r w:rsidRPr="00221170">
              <w:rPr>
                <w:rFonts w:eastAsia="Times New Roman"/>
                <w:sz w:val="24"/>
                <w:szCs w:val="24"/>
                <w:lang w:eastAsia="ru-RU"/>
              </w:rPr>
              <w:t>0</w:t>
            </w:r>
          </w:p>
        </w:tc>
        <w:tc>
          <w:tcPr>
            <w:tcW w:w="969"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sz w:val="24"/>
                <w:szCs w:val="24"/>
                <w:lang w:eastAsia="ru-RU"/>
              </w:rPr>
            </w:pPr>
            <w:r w:rsidRPr="00221170">
              <w:rPr>
                <w:rFonts w:eastAsia="Times New Roman"/>
                <w:sz w:val="24"/>
                <w:szCs w:val="24"/>
                <w:lang w:eastAsia="ru-RU"/>
              </w:rPr>
              <w:t>0,00</w:t>
            </w:r>
          </w:p>
        </w:tc>
        <w:tc>
          <w:tcPr>
            <w:tcW w:w="968"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sz w:val="24"/>
                <w:szCs w:val="24"/>
                <w:lang w:eastAsia="ru-RU"/>
              </w:rPr>
            </w:pPr>
            <w:r w:rsidRPr="00221170">
              <w:rPr>
                <w:rFonts w:eastAsia="Times New Roman"/>
                <w:sz w:val="24"/>
                <w:szCs w:val="24"/>
                <w:lang w:eastAsia="ru-RU"/>
              </w:rPr>
              <w:t>5,0</w:t>
            </w:r>
          </w:p>
        </w:tc>
        <w:tc>
          <w:tcPr>
            <w:tcW w:w="969"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sz w:val="24"/>
                <w:szCs w:val="24"/>
                <w:lang w:eastAsia="ru-RU"/>
              </w:rPr>
            </w:pPr>
            <w:r w:rsidRPr="00221170">
              <w:rPr>
                <w:rFonts w:eastAsia="Times New Roman"/>
                <w:sz w:val="24"/>
                <w:szCs w:val="24"/>
                <w:lang w:eastAsia="ru-RU"/>
              </w:rPr>
              <w:t>5,0</w:t>
            </w:r>
          </w:p>
        </w:tc>
        <w:tc>
          <w:tcPr>
            <w:tcW w:w="968"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sz w:val="24"/>
                <w:szCs w:val="24"/>
                <w:lang w:eastAsia="ru-RU"/>
              </w:rPr>
            </w:pPr>
            <w:r w:rsidRPr="00221170">
              <w:rPr>
                <w:rFonts w:eastAsia="Times New Roman"/>
                <w:sz w:val="24"/>
                <w:szCs w:val="24"/>
                <w:lang w:eastAsia="ru-RU"/>
              </w:rPr>
              <w:t>1,0</w:t>
            </w:r>
          </w:p>
        </w:tc>
        <w:tc>
          <w:tcPr>
            <w:tcW w:w="969"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sz w:val="24"/>
                <w:szCs w:val="24"/>
                <w:lang w:eastAsia="ru-RU"/>
              </w:rPr>
            </w:pPr>
            <w:r w:rsidRPr="00221170">
              <w:rPr>
                <w:rFonts w:eastAsia="Times New Roman"/>
                <w:sz w:val="24"/>
                <w:szCs w:val="24"/>
                <w:lang w:eastAsia="ru-RU"/>
              </w:rPr>
              <w:t>1,00</w:t>
            </w:r>
          </w:p>
        </w:tc>
      </w:tr>
      <w:tr w:rsidR="00221170" w:rsidRPr="00221170" w:rsidTr="00221170">
        <w:trPr>
          <w:trHeight w:val="264"/>
        </w:trPr>
        <w:tc>
          <w:tcPr>
            <w:tcW w:w="4536" w:type="dxa"/>
            <w:tcBorders>
              <w:top w:val="single" w:sz="4" w:space="0" w:color="auto"/>
              <w:left w:val="single" w:sz="4" w:space="0" w:color="auto"/>
              <w:bottom w:val="single" w:sz="4" w:space="0" w:color="auto"/>
              <w:right w:val="single" w:sz="4" w:space="0" w:color="auto"/>
            </w:tcBorders>
            <w:vAlign w:val="bottom"/>
          </w:tcPr>
          <w:p w:rsidR="00221170" w:rsidRPr="00221170" w:rsidRDefault="00221170" w:rsidP="00221170">
            <w:pPr>
              <w:keepNext/>
              <w:jc w:val="left"/>
              <w:rPr>
                <w:rFonts w:eastAsia="Times New Roman"/>
                <w:sz w:val="24"/>
                <w:szCs w:val="24"/>
                <w:lang w:eastAsia="ru-RU"/>
              </w:rPr>
            </w:pPr>
          </w:p>
        </w:tc>
        <w:tc>
          <w:tcPr>
            <w:tcW w:w="968"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sz w:val="24"/>
                <w:szCs w:val="24"/>
                <w:lang w:eastAsia="ru-RU"/>
              </w:rPr>
            </w:pPr>
          </w:p>
        </w:tc>
        <w:tc>
          <w:tcPr>
            <w:tcW w:w="969"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color w:val="000000"/>
                <w:sz w:val="24"/>
                <w:szCs w:val="24"/>
                <w:lang w:eastAsia="ru-RU"/>
              </w:rPr>
            </w:pPr>
          </w:p>
        </w:tc>
        <w:tc>
          <w:tcPr>
            <w:tcW w:w="968"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color w:val="000000"/>
                <w:sz w:val="24"/>
                <w:szCs w:val="24"/>
                <w:lang w:eastAsia="ru-RU"/>
              </w:rPr>
            </w:pPr>
            <w:r w:rsidRPr="00221170">
              <w:rPr>
                <w:rFonts w:eastAsia="Times New Roman"/>
                <w:color w:val="000000"/>
                <w:sz w:val="24"/>
                <w:szCs w:val="24"/>
                <w:lang w:eastAsia="ru-RU"/>
              </w:rPr>
              <w:t>66,52</w:t>
            </w:r>
          </w:p>
        </w:tc>
        <w:tc>
          <w:tcPr>
            <w:tcW w:w="969"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color w:val="000000"/>
                <w:sz w:val="24"/>
                <w:szCs w:val="24"/>
                <w:lang w:eastAsia="ru-RU"/>
              </w:rPr>
            </w:pPr>
            <w:r w:rsidRPr="00221170">
              <w:rPr>
                <w:rFonts w:eastAsia="Times New Roman"/>
                <w:color w:val="000000"/>
                <w:sz w:val="24"/>
                <w:szCs w:val="24"/>
                <w:lang w:eastAsia="ru-RU"/>
              </w:rPr>
              <w:t>106,6</w:t>
            </w:r>
          </w:p>
        </w:tc>
        <w:tc>
          <w:tcPr>
            <w:tcW w:w="968"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color w:val="000000"/>
                <w:sz w:val="24"/>
                <w:szCs w:val="24"/>
                <w:lang w:eastAsia="ru-RU"/>
              </w:rPr>
            </w:pPr>
            <w:r w:rsidRPr="00221170">
              <w:rPr>
                <w:rFonts w:eastAsia="Times New Roman"/>
                <w:color w:val="000000"/>
                <w:sz w:val="24"/>
                <w:szCs w:val="24"/>
                <w:lang w:eastAsia="ru-RU"/>
              </w:rPr>
              <w:t>0,72</w:t>
            </w:r>
          </w:p>
        </w:tc>
        <w:tc>
          <w:tcPr>
            <w:tcW w:w="969" w:type="dxa"/>
            <w:tcBorders>
              <w:top w:val="single" w:sz="4" w:space="0" w:color="auto"/>
              <w:left w:val="single" w:sz="4" w:space="0" w:color="auto"/>
              <w:bottom w:val="single" w:sz="4" w:space="0" w:color="auto"/>
              <w:right w:val="single" w:sz="4" w:space="0" w:color="auto"/>
            </w:tcBorders>
            <w:vAlign w:val="center"/>
          </w:tcPr>
          <w:p w:rsidR="00221170" w:rsidRPr="00221170" w:rsidRDefault="00221170" w:rsidP="00221170">
            <w:pPr>
              <w:keepNext/>
              <w:jc w:val="center"/>
              <w:rPr>
                <w:rFonts w:eastAsia="Times New Roman"/>
                <w:color w:val="000000"/>
                <w:sz w:val="24"/>
                <w:szCs w:val="24"/>
                <w:lang w:eastAsia="ru-RU"/>
              </w:rPr>
            </w:pPr>
            <w:r w:rsidRPr="00221170">
              <w:rPr>
                <w:rFonts w:eastAsia="Times New Roman"/>
                <w:color w:val="000000"/>
                <w:sz w:val="24"/>
                <w:szCs w:val="24"/>
                <w:lang w:eastAsia="ru-RU"/>
              </w:rPr>
              <w:t>0,82</w:t>
            </w:r>
          </w:p>
        </w:tc>
      </w:tr>
    </w:tbl>
    <w:p w:rsidR="00221170" w:rsidRPr="00221170" w:rsidRDefault="00221170" w:rsidP="00221170">
      <w:pPr>
        <w:jc w:val="right"/>
        <w:rPr>
          <w:i/>
          <w:lang w:val="ru-RU"/>
        </w:rPr>
      </w:pPr>
      <w:r w:rsidRPr="00221170">
        <w:rPr>
          <w:i/>
          <w:lang w:val="ru-RU"/>
        </w:rPr>
        <w:t>Продовження додаток Е-14</w:t>
      </w:r>
    </w:p>
    <w:p w:rsidR="00C43972" w:rsidRPr="0016623C" w:rsidRDefault="00C43972" w:rsidP="00474500">
      <w:pPr>
        <w:keepNext/>
        <w:pageBreakBefore/>
        <w:jc w:val="right"/>
        <w:rPr>
          <w:rFonts w:eastAsia="Times New Roman"/>
          <w:bCs/>
          <w:iCs/>
          <w:color w:val="000000"/>
          <w:szCs w:val="28"/>
          <w:lang w:val="ru-RU" w:eastAsia="uk-UA"/>
        </w:rPr>
      </w:pPr>
      <w:r w:rsidRPr="0016623C">
        <w:rPr>
          <w:rFonts w:eastAsia="Times New Roman"/>
          <w:bCs/>
          <w:iCs/>
          <w:color w:val="000000"/>
          <w:szCs w:val="28"/>
          <w:lang w:val="ru-RU" w:eastAsia="uk-UA"/>
        </w:rPr>
        <w:lastRenderedPageBreak/>
        <w:t xml:space="preserve">Додаток </w:t>
      </w:r>
      <w:r w:rsidR="00535BCC" w:rsidRPr="0016623C">
        <w:rPr>
          <w:rFonts w:eastAsia="Times New Roman"/>
          <w:bCs/>
          <w:iCs/>
          <w:color w:val="000000"/>
          <w:szCs w:val="28"/>
          <w:lang w:eastAsia="uk-UA"/>
        </w:rPr>
        <w:t>Е</w:t>
      </w:r>
      <w:r w:rsidRPr="0016623C">
        <w:rPr>
          <w:rFonts w:eastAsia="Times New Roman"/>
          <w:bCs/>
          <w:iCs/>
          <w:color w:val="000000"/>
          <w:szCs w:val="28"/>
          <w:lang w:eastAsia="uk-UA"/>
        </w:rPr>
        <w:t>-15</w:t>
      </w:r>
    </w:p>
    <w:p w:rsidR="00C43972" w:rsidRPr="0016623C" w:rsidRDefault="00C43972" w:rsidP="0016623C">
      <w:pPr>
        <w:keepNext/>
        <w:jc w:val="center"/>
        <w:rPr>
          <w:rFonts w:eastAsia="Times New Roman"/>
          <w:b/>
          <w:szCs w:val="28"/>
          <w:lang w:eastAsia="ru-RU"/>
        </w:rPr>
      </w:pPr>
      <w:r w:rsidRPr="0016623C">
        <w:rPr>
          <w:rFonts w:eastAsia="Times New Roman"/>
          <w:b/>
          <w:bCs/>
          <w:iCs/>
          <w:color w:val="000000"/>
          <w:szCs w:val="28"/>
          <w:lang w:eastAsia="uk-UA"/>
        </w:rPr>
        <w:t>Комплексна оцінка діяльності закладів перинатальної допомоги Львівської області у 2017–2018 рр.</w:t>
      </w:r>
    </w:p>
    <w:tbl>
      <w:tblPr>
        <w:tblW w:w="10347" w:type="dxa"/>
        <w:jc w:val="center"/>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36"/>
        <w:gridCol w:w="968"/>
        <w:gridCol w:w="969"/>
        <w:gridCol w:w="968"/>
        <w:gridCol w:w="969"/>
        <w:gridCol w:w="968"/>
        <w:gridCol w:w="969"/>
      </w:tblGrid>
      <w:tr w:rsidR="0016623C" w:rsidRPr="0016623C" w:rsidTr="0016623C">
        <w:trPr>
          <w:cantSplit/>
          <w:trHeight w:val="652"/>
          <w:jc w:val="center"/>
        </w:trPr>
        <w:tc>
          <w:tcPr>
            <w:tcW w:w="4536" w:type="dxa"/>
            <w:vMerge w:val="restart"/>
            <w:tcBorders>
              <w:top w:val="single" w:sz="4" w:space="0" w:color="auto"/>
              <w:left w:val="single" w:sz="4" w:space="0" w:color="auto"/>
              <w:right w:val="single" w:sz="4" w:space="0" w:color="auto"/>
            </w:tcBorders>
            <w:vAlign w:val="center"/>
            <w:hideMark/>
          </w:tcPr>
          <w:p w:rsidR="0016623C" w:rsidRPr="0016623C" w:rsidRDefault="0016623C" w:rsidP="0016623C">
            <w:pPr>
              <w:keepNext/>
              <w:jc w:val="center"/>
              <w:rPr>
                <w:rFonts w:eastAsia="Times New Roman"/>
                <w:color w:val="000000"/>
                <w:sz w:val="24"/>
                <w:szCs w:val="24"/>
                <w:lang w:eastAsia="uk-UA"/>
              </w:rPr>
            </w:pPr>
            <w:r w:rsidRPr="0016623C">
              <w:rPr>
                <w:rFonts w:eastAsia="Times New Roman"/>
                <w:color w:val="000000"/>
                <w:sz w:val="24"/>
                <w:szCs w:val="24"/>
                <w:lang w:eastAsia="uk-UA"/>
              </w:rPr>
              <w:t>Індикатор якості</w:t>
            </w:r>
          </w:p>
        </w:tc>
        <w:tc>
          <w:tcPr>
            <w:tcW w:w="1937" w:type="dxa"/>
            <w:gridSpan w:val="2"/>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color w:val="000000"/>
                <w:sz w:val="24"/>
                <w:szCs w:val="24"/>
                <w:lang w:eastAsia="uk-UA"/>
              </w:rPr>
            </w:pPr>
            <w:r w:rsidRPr="0016623C">
              <w:rPr>
                <w:rFonts w:eastAsia="Times New Roman"/>
                <w:color w:val="000000"/>
                <w:sz w:val="24"/>
                <w:szCs w:val="24"/>
                <w:lang w:eastAsia="uk-UA"/>
              </w:rPr>
              <w:t xml:space="preserve">Фактичний показник, </w:t>
            </w:r>
            <w:r w:rsidRPr="0016623C">
              <w:rPr>
                <w:rFonts w:eastAsia="Times New Roman"/>
                <w:sz w:val="24"/>
                <w:szCs w:val="24"/>
                <w:lang w:eastAsia="uk-UA"/>
              </w:rPr>
              <w:t>Україна</w:t>
            </w:r>
          </w:p>
        </w:tc>
        <w:tc>
          <w:tcPr>
            <w:tcW w:w="1937" w:type="dxa"/>
            <w:gridSpan w:val="2"/>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color w:val="000000"/>
                <w:sz w:val="24"/>
                <w:szCs w:val="24"/>
                <w:lang w:eastAsia="uk-UA"/>
              </w:rPr>
            </w:pPr>
            <w:r w:rsidRPr="0016623C">
              <w:rPr>
                <w:rFonts w:eastAsia="Times New Roman"/>
                <w:color w:val="000000"/>
                <w:sz w:val="24"/>
                <w:szCs w:val="24"/>
                <w:lang w:eastAsia="uk-UA"/>
              </w:rPr>
              <w:t>Бальна оцінка фактичного показника</w:t>
            </w:r>
          </w:p>
        </w:tc>
        <w:tc>
          <w:tcPr>
            <w:tcW w:w="1937" w:type="dxa"/>
            <w:gridSpan w:val="2"/>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color w:val="000000"/>
                <w:sz w:val="24"/>
                <w:szCs w:val="24"/>
                <w:lang w:eastAsia="uk-UA"/>
              </w:rPr>
            </w:pPr>
            <w:r w:rsidRPr="0016623C">
              <w:rPr>
                <w:rFonts w:eastAsia="Times New Roman"/>
                <w:color w:val="000000"/>
                <w:sz w:val="24"/>
                <w:szCs w:val="24"/>
                <w:lang w:eastAsia="uk-UA"/>
              </w:rPr>
              <w:t>КДНЗ</w:t>
            </w:r>
          </w:p>
        </w:tc>
      </w:tr>
      <w:tr w:rsidR="0016623C" w:rsidRPr="0016623C" w:rsidTr="0016623C">
        <w:trPr>
          <w:trHeight w:val="404"/>
          <w:jc w:val="center"/>
        </w:trPr>
        <w:tc>
          <w:tcPr>
            <w:tcW w:w="4536" w:type="dxa"/>
            <w:vMerge/>
            <w:tcBorders>
              <w:left w:val="single" w:sz="4" w:space="0" w:color="auto"/>
              <w:bottom w:val="single" w:sz="4" w:space="0" w:color="auto"/>
              <w:right w:val="single" w:sz="4" w:space="0" w:color="auto"/>
            </w:tcBorders>
            <w:vAlign w:val="bottom"/>
          </w:tcPr>
          <w:p w:rsidR="0016623C" w:rsidRPr="0016623C" w:rsidRDefault="0016623C" w:rsidP="0016623C">
            <w:pPr>
              <w:keepNext/>
              <w:jc w:val="left"/>
              <w:rPr>
                <w:rFonts w:eastAsia="Times New Roman"/>
                <w:sz w:val="24"/>
                <w:szCs w:val="24"/>
                <w:lang w:eastAsia="ru-RU"/>
              </w:rPr>
            </w:pPr>
          </w:p>
        </w:tc>
        <w:tc>
          <w:tcPr>
            <w:tcW w:w="968"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sz w:val="24"/>
                <w:szCs w:val="24"/>
                <w:lang w:eastAsia="ru-RU"/>
              </w:rPr>
            </w:pPr>
            <w:r w:rsidRPr="0016623C">
              <w:rPr>
                <w:rFonts w:eastAsia="Times New Roman"/>
                <w:sz w:val="24"/>
                <w:szCs w:val="24"/>
                <w:lang w:eastAsia="ru-RU"/>
              </w:rPr>
              <w:t>2017 р.</w:t>
            </w:r>
          </w:p>
        </w:tc>
        <w:tc>
          <w:tcPr>
            <w:tcW w:w="969"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color w:val="000000"/>
                <w:sz w:val="24"/>
                <w:szCs w:val="24"/>
                <w:lang w:eastAsia="ru-RU"/>
              </w:rPr>
            </w:pPr>
            <w:r w:rsidRPr="0016623C">
              <w:rPr>
                <w:rFonts w:eastAsia="Times New Roman"/>
                <w:color w:val="000000"/>
                <w:sz w:val="24"/>
                <w:szCs w:val="24"/>
                <w:lang w:eastAsia="ru-RU"/>
              </w:rPr>
              <w:t>2018 р.</w:t>
            </w:r>
          </w:p>
        </w:tc>
        <w:tc>
          <w:tcPr>
            <w:tcW w:w="968"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sz w:val="24"/>
                <w:szCs w:val="24"/>
                <w:lang w:eastAsia="ru-RU"/>
              </w:rPr>
            </w:pPr>
            <w:r w:rsidRPr="0016623C">
              <w:rPr>
                <w:rFonts w:eastAsia="Times New Roman"/>
                <w:sz w:val="24"/>
                <w:szCs w:val="24"/>
                <w:lang w:eastAsia="ru-RU"/>
              </w:rPr>
              <w:t>2017 р.</w:t>
            </w:r>
          </w:p>
        </w:tc>
        <w:tc>
          <w:tcPr>
            <w:tcW w:w="969"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sz w:val="24"/>
                <w:szCs w:val="24"/>
                <w:lang w:eastAsia="ru-RU"/>
              </w:rPr>
            </w:pPr>
            <w:r w:rsidRPr="0016623C">
              <w:rPr>
                <w:rFonts w:eastAsia="Times New Roman"/>
                <w:sz w:val="24"/>
                <w:szCs w:val="24"/>
                <w:lang w:eastAsia="ru-RU"/>
              </w:rPr>
              <w:t>2017 р.</w:t>
            </w:r>
          </w:p>
        </w:tc>
        <w:tc>
          <w:tcPr>
            <w:tcW w:w="968"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color w:val="000000"/>
                <w:sz w:val="24"/>
                <w:szCs w:val="24"/>
                <w:lang w:eastAsia="ru-RU"/>
              </w:rPr>
            </w:pPr>
            <w:r w:rsidRPr="0016623C">
              <w:rPr>
                <w:rFonts w:eastAsia="Times New Roman"/>
                <w:color w:val="000000"/>
                <w:sz w:val="24"/>
                <w:szCs w:val="24"/>
                <w:lang w:eastAsia="ru-RU"/>
              </w:rPr>
              <w:t>2018 р.</w:t>
            </w:r>
          </w:p>
        </w:tc>
        <w:tc>
          <w:tcPr>
            <w:tcW w:w="969"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sz w:val="24"/>
                <w:szCs w:val="24"/>
                <w:lang w:eastAsia="ru-RU"/>
              </w:rPr>
            </w:pPr>
            <w:r w:rsidRPr="0016623C">
              <w:rPr>
                <w:rFonts w:eastAsia="Times New Roman"/>
                <w:sz w:val="24"/>
                <w:szCs w:val="24"/>
                <w:lang w:eastAsia="ru-RU"/>
              </w:rPr>
              <w:t>2017 р.</w:t>
            </w:r>
          </w:p>
        </w:tc>
      </w:tr>
      <w:tr w:rsidR="0016623C" w:rsidRPr="0016623C" w:rsidTr="0016623C">
        <w:trPr>
          <w:trHeight w:val="404"/>
          <w:jc w:val="center"/>
        </w:trPr>
        <w:tc>
          <w:tcPr>
            <w:tcW w:w="4536"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left"/>
              <w:rPr>
                <w:rFonts w:eastAsia="Times New Roman"/>
                <w:sz w:val="24"/>
                <w:szCs w:val="24"/>
                <w:lang w:eastAsia="ru-RU"/>
              </w:rPr>
            </w:pPr>
            <w:r w:rsidRPr="0016623C">
              <w:rPr>
                <w:rFonts w:eastAsia="Times New Roman"/>
                <w:sz w:val="24"/>
                <w:szCs w:val="24"/>
                <w:lang w:eastAsia="ru-RU"/>
              </w:rPr>
              <w:t>Забезпеченість  лікарями акушер-гінекологами</w:t>
            </w:r>
          </w:p>
        </w:tc>
        <w:tc>
          <w:tcPr>
            <w:tcW w:w="968"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sz w:val="24"/>
                <w:szCs w:val="24"/>
                <w:lang w:eastAsia="ru-RU"/>
              </w:rPr>
            </w:pPr>
            <w:r w:rsidRPr="0016623C">
              <w:rPr>
                <w:rFonts w:eastAsia="Times New Roman"/>
                <w:sz w:val="24"/>
                <w:szCs w:val="24"/>
                <w:lang w:eastAsia="ru-RU"/>
              </w:rPr>
              <w:t>6,26</w:t>
            </w:r>
          </w:p>
        </w:tc>
        <w:tc>
          <w:tcPr>
            <w:tcW w:w="969"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color w:val="000000"/>
                <w:sz w:val="24"/>
                <w:szCs w:val="24"/>
                <w:lang w:eastAsia="ru-RU"/>
              </w:rPr>
            </w:pPr>
            <w:r w:rsidRPr="0016623C">
              <w:rPr>
                <w:rFonts w:eastAsia="Times New Roman"/>
                <w:color w:val="000000"/>
                <w:sz w:val="24"/>
                <w:szCs w:val="24"/>
                <w:lang w:eastAsia="ru-RU"/>
              </w:rPr>
              <w:t>6,09</w:t>
            </w:r>
          </w:p>
        </w:tc>
        <w:tc>
          <w:tcPr>
            <w:tcW w:w="968"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sz w:val="24"/>
                <w:szCs w:val="24"/>
                <w:lang w:eastAsia="ru-RU"/>
              </w:rPr>
            </w:pPr>
            <w:r w:rsidRPr="0016623C">
              <w:rPr>
                <w:rFonts w:eastAsia="Times New Roman"/>
                <w:sz w:val="24"/>
                <w:szCs w:val="24"/>
                <w:lang w:eastAsia="ru-RU"/>
              </w:rPr>
              <w:t>6,0</w:t>
            </w:r>
          </w:p>
        </w:tc>
        <w:tc>
          <w:tcPr>
            <w:tcW w:w="969"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color w:val="000000"/>
                <w:sz w:val="24"/>
                <w:szCs w:val="24"/>
                <w:lang w:eastAsia="ru-RU"/>
              </w:rPr>
            </w:pPr>
            <w:r w:rsidRPr="0016623C">
              <w:rPr>
                <w:rFonts w:eastAsia="Times New Roman"/>
                <w:color w:val="000000"/>
                <w:sz w:val="24"/>
                <w:szCs w:val="24"/>
                <w:lang w:eastAsia="ru-RU"/>
              </w:rPr>
              <w:t>6,0</w:t>
            </w:r>
          </w:p>
        </w:tc>
        <w:tc>
          <w:tcPr>
            <w:tcW w:w="968"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sz w:val="24"/>
                <w:szCs w:val="24"/>
                <w:lang w:eastAsia="ru-RU"/>
              </w:rPr>
            </w:pPr>
            <w:r w:rsidRPr="0016623C">
              <w:rPr>
                <w:rFonts w:eastAsia="Times New Roman"/>
                <w:sz w:val="24"/>
                <w:szCs w:val="24"/>
                <w:lang w:eastAsia="ru-RU"/>
              </w:rPr>
              <w:t>1,00</w:t>
            </w:r>
          </w:p>
        </w:tc>
        <w:tc>
          <w:tcPr>
            <w:tcW w:w="969"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color w:val="000000"/>
                <w:sz w:val="24"/>
                <w:szCs w:val="24"/>
                <w:lang w:eastAsia="ru-RU"/>
              </w:rPr>
            </w:pPr>
            <w:r w:rsidRPr="0016623C">
              <w:rPr>
                <w:rFonts w:eastAsia="Times New Roman"/>
                <w:color w:val="000000"/>
                <w:sz w:val="24"/>
                <w:szCs w:val="24"/>
                <w:lang w:eastAsia="ru-RU"/>
              </w:rPr>
              <w:t>1,00</w:t>
            </w:r>
          </w:p>
        </w:tc>
      </w:tr>
      <w:tr w:rsidR="0016623C" w:rsidRPr="0016623C" w:rsidTr="0016623C">
        <w:trPr>
          <w:trHeight w:val="404"/>
          <w:jc w:val="center"/>
        </w:trPr>
        <w:tc>
          <w:tcPr>
            <w:tcW w:w="4536" w:type="dxa"/>
            <w:tcBorders>
              <w:top w:val="single" w:sz="4" w:space="0" w:color="auto"/>
              <w:left w:val="single" w:sz="4" w:space="0" w:color="auto"/>
              <w:bottom w:val="single" w:sz="4" w:space="0" w:color="auto"/>
              <w:right w:val="single" w:sz="4" w:space="0" w:color="auto"/>
            </w:tcBorders>
            <w:vAlign w:val="bottom"/>
          </w:tcPr>
          <w:p w:rsidR="0016623C" w:rsidRPr="0016623C" w:rsidRDefault="0016623C" w:rsidP="0016623C">
            <w:pPr>
              <w:keepNext/>
              <w:jc w:val="left"/>
              <w:rPr>
                <w:rFonts w:eastAsia="Times New Roman"/>
                <w:sz w:val="24"/>
                <w:szCs w:val="24"/>
                <w:lang w:eastAsia="ru-RU"/>
              </w:rPr>
            </w:pPr>
            <w:r w:rsidRPr="0016623C">
              <w:rPr>
                <w:rFonts w:eastAsia="Times New Roman"/>
                <w:sz w:val="24"/>
                <w:szCs w:val="24"/>
                <w:lang w:eastAsia="ru-RU"/>
              </w:rPr>
              <w:t>Забезпеченість  лікарями  педіатрами-неонатологами</w:t>
            </w:r>
          </w:p>
        </w:tc>
        <w:tc>
          <w:tcPr>
            <w:tcW w:w="968"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sz w:val="24"/>
                <w:szCs w:val="24"/>
                <w:lang w:eastAsia="ru-RU"/>
              </w:rPr>
            </w:pPr>
            <w:r w:rsidRPr="0016623C">
              <w:rPr>
                <w:rFonts w:eastAsia="Times New Roman"/>
                <w:sz w:val="24"/>
                <w:szCs w:val="24"/>
                <w:lang w:eastAsia="ru-RU"/>
              </w:rPr>
              <w:t>6,23</w:t>
            </w:r>
          </w:p>
        </w:tc>
        <w:tc>
          <w:tcPr>
            <w:tcW w:w="969"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color w:val="000000"/>
                <w:sz w:val="24"/>
                <w:szCs w:val="24"/>
                <w:lang w:eastAsia="ru-RU"/>
              </w:rPr>
            </w:pPr>
            <w:r w:rsidRPr="0016623C">
              <w:rPr>
                <w:rFonts w:eastAsia="Times New Roman"/>
                <w:color w:val="000000"/>
                <w:sz w:val="24"/>
                <w:szCs w:val="24"/>
                <w:lang w:eastAsia="ru-RU"/>
              </w:rPr>
              <w:t>6,91</w:t>
            </w:r>
          </w:p>
        </w:tc>
        <w:tc>
          <w:tcPr>
            <w:tcW w:w="968"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sz w:val="24"/>
                <w:szCs w:val="24"/>
                <w:lang w:eastAsia="ru-RU"/>
              </w:rPr>
            </w:pPr>
            <w:r w:rsidRPr="0016623C">
              <w:rPr>
                <w:rFonts w:eastAsia="Times New Roman"/>
                <w:sz w:val="24"/>
                <w:szCs w:val="24"/>
                <w:lang w:eastAsia="ru-RU"/>
              </w:rPr>
              <w:t>6,0</w:t>
            </w:r>
          </w:p>
        </w:tc>
        <w:tc>
          <w:tcPr>
            <w:tcW w:w="969"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color w:val="000000"/>
                <w:sz w:val="24"/>
                <w:szCs w:val="24"/>
                <w:lang w:eastAsia="ru-RU"/>
              </w:rPr>
            </w:pPr>
            <w:r w:rsidRPr="0016623C">
              <w:rPr>
                <w:rFonts w:eastAsia="Times New Roman"/>
                <w:color w:val="000000"/>
                <w:sz w:val="24"/>
                <w:szCs w:val="24"/>
                <w:lang w:eastAsia="ru-RU"/>
              </w:rPr>
              <w:t>6,0</w:t>
            </w:r>
          </w:p>
        </w:tc>
        <w:tc>
          <w:tcPr>
            <w:tcW w:w="968"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sz w:val="24"/>
                <w:szCs w:val="24"/>
                <w:lang w:eastAsia="ru-RU"/>
              </w:rPr>
            </w:pPr>
            <w:r w:rsidRPr="0016623C">
              <w:rPr>
                <w:rFonts w:eastAsia="Times New Roman"/>
                <w:sz w:val="24"/>
                <w:szCs w:val="24"/>
                <w:lang w:eastAsia="ru-RU"/>
              </w:rPr>
              <w:t>1,00</w:t>
            </w:r>
          </w:p>
        </w:tc>
        <w:tc>
          <w:tcPr>
            <w:tcW w:w="969"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color w:val="000000"/>
                <w:sz w:val="24"/>
                <w:szCs w:val="24"/>
                <w:lang w:eastAsia="ru-RU"/>
              </w:rPr>
            </w:pPr>
            <w:r w:rsidRPr="0016623C">
              <w:rPr>
                <w:rFonts w:eastAsia="Times New Roman"/>
                <w:color w:val="000000"/>
                <w:sz w:val="24"/>
                <w:szCs w:val="24"/>
                <w:lang w:eastAsia="ru-RU"/>
              </w:rPr>
              <w:t>1,00</w:t>
            </w:r>
          </w:p>
        </w:tc>
      </w:tr>
      <w:tr w:rsidR="0016623C" w:rsidRPr="0016623C" w:rsidTr="0016623C">
        <w:trPr>
          <w:trHeight w:val="404"/>
          <w:jc w:val="center"/>
        </w:trPr>
        <w:tc>
          <w:tcPr>
            <w:tcW w:w="4536" w:type="dxa"/>
            <w:tcBorders>
              <w:top w:val="single" w:sz="4" w:space="0" w:color="auto"/>
              <w:left w:val="single" w:sz="4" w:space="0" w:color="auto"/>
              <w:bottom w:val="single" w:sz="4" w:space="0" w:color="auto"/>
              <w:right w:val="single" w:sz="4" w:space="0" w:color="auto"/>
            </w:tcBorders>
            <w:vAlign w:val="bottom"/>
          </w:tcPr>
          <w:p w:rsidR="0016623C" w:rsidRPr="0016623C" w:rsidRDefault="0016623C" w:rsidP="0016623C">
            <w:pPr>
              <w:keepNext/>
              <w:jc w:val="left"/>
              <w:rPr>
                <w:rFonts w:eastAsia="Times New Roman"/>
                <w:sz w:val="24"/>
                <w:szCs w:val="24"/>
                <w:lang w:eastAsia="ru-RU"/>
              </w:rPr>
            </w:pPr>
            <w:r w:rsidRPr="0016623C">
              <w:rPr>
                <w:rFonts w:eastAsia="Times New Roman"/>
                <w:sz w:val="24"/>
                <w:szCs w:val="24"/>
                <w:lang w:eastAsia="ru-RU"/>
              </w:rPr>
              <w:t>Питома вага атестованих лікарів акушер-гінекологів</w:t>
            </w:r>
          </w:p>
        </w:tc>
        <w:tc>
          <w:tcPr>
            <w:tcW w:w="968"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sz w:val="24"/>
                <w:szCs w:val="24"/>
                <w:lang w:eastAsia="ru-RU"/>
              </w:rPr>
            </w:pPr>
            <w:r w:rsidRPr="0016623C">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color w:val="000000"/>
                <w:sz w:val="24"/>
                <w:szCs w:val="24"/>
                <w:lang w:eastAsia="ru-RU"/>
              </w:rPr>
            </w:pPr>
            <w:r w:rsidRPr="0016623C">
              <w:rPr>
                <w:rFonts w:eastAsia="Times New Roman"/>
                <w:color w:val="000000"/>
                <w:sz w:val="24"/>
                <w:szCs w:val="24"/>
                <w:lang w:eastAsia="ru-RU"/>
              </w:rPr>
              <w:t>87,56</w:t>
            </w:r>
          </w:p>
        </w:tc>
        <w:tc>
          <w:tcPr>
            <w:tcW w:w="968"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sz w:val="24"/>
                <w:szCs w:val="24"/>
                <w:lang w:eastAsia="ru-RU"/>
              </w:rPr>
            </w:pPr>
            <w:r w:rsidRPr="0016623C">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color w:val="000000"/>
                <w:sz w:val="24"/>
                <w:szCs w:val="24"/>
                <w:lang w:eastAsia="ru-RU"/>
              </w:rPr>
            </w:pPr>
            <w:r w:rsidRPr="0016623C">
              <w:rPr>
                <w:rFonts w:eastAsia="Times New Roman"/>
                <w:color w:val="000000"/>
                <w:sz w:val="24"/>
                <w:szCs w:val="24"/>
                <w:lang w:eastAsia="ru-RU"/>
              </w:rPr>
              <w:t>5,84</w:t>
            </w:r>
          </w:p>
        </w:tc>
        <w:tc>
          <w:tcPr>
            <w:tcW w:w="968"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sz w:val="24"/>
                <w:szCs w:val="24"/>
                <w:lang w:eastAsia="ru-RU"/>
              </w:rPr>
            </w:pPr>
            <w:r w:rsidRPr="0016623C">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color w:val="000000"/>
                <w:sz w:val="24"/>
                <w:szCs w:val="24"/>
                <w:lang w:eastAsia="ru-RU"/>
              </w:rPr>
            </w:pPr>
            <w:r w:rsidRPr="0016623C">
              <w:rPr>
                <w:rFonts w:eastAsia="Times New Roman"/>
                <w:color w:val="000000"/>
                <w:sz w:val="24"/>
                <w:szCs w:val="24"/>
                <w:lang w:eastAsia="ru-RU"/>
              </w:rPr>
              <w:t>0,97</w:t>
            </w:r>
          </w:p>
        </w:tc>
      </w:tr>
      <w:tr w:rsidR="0016623C" w:rsidRPr="0016623C" w:rsidTr="0016623C">
        <w:trPr>
          <w:trHeight w:val="404"/>
          <w:jc w:val="center"/>
        </w:trPr>
        <w:tc>
          <w:tcPr>
            <w:tcW w:w="4536" w:type="dxa"/>
            <w:tcBorders>
              <w:top w:val="single" w:sz="4" w:space="0" w:color="auto"/>
              <w:left w:val="single" w:sz="4" w:space="0" w:color="auto"/>
              <w:bottom w:val="single" w:sz="4" w:space="0" w:color="auto"/>
              <w:right w:val="single" w:sz="4" w:space="0" w:color="auto"/>
            </w:tcBorders>
            <w:vAlign w:val="bottom"/>
          </w:tcPr>
          <w:p w:rsidR="0016623C" w:rsidRPr="0016623C" w:rsidRDefault="0016623C" w:rsidP="0016623C">
            <w:pPr>
              <w:keepNext/>
              <w:jc w:val="left"/>
              <w:rPr>
                <w:rFonts w:eastAsia="Times New Roman"/>
                <w:sz w:val="24"/>
                <w:szCs w:val="24"/>
                <w:lang w:eastAsia="ru-RU"/>
              </w:rPr>
            </w:pPr>
            <w:r w:rsidRPr="0016623C">
              <w:rPr>
                <w:rFonts w:eastAsia="Times New Roman"/>
                <w:sz w:val="24"/>
                <w:szCs w:val="24"/>
                <w:lang w:eastAsia="ru-RU"/>
              </w:rPr>
              <w:t>Питома вага атестованих лікарів педіатрів-неонатологів</w:t>
            </w:r>
          </w:p>
        </w:tc>
        <w:tc>
          <w:tcPr>
            <w:tcW w:w="968"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sz w:val="24"/>
                <w:szCs w:val="24"/>
                <w:lang w:eastAsia="ru-RU"/>
              </w:rPr>
            </w:pPr>
            <w:r w:rsidRPr="0016623C">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color w:val="000000"/>
                <w:sz w:val="24"/>
                <w:szCs w:val="24"/>
                <w:lang w:eastAsia="ru-RU"/>
              </w:rPr>
            </w:pPr>
            <w:r w:rsidRPr="0016623C">
              <w:rPr>
                <w:rFonts w:eastAsia="Times New Roman"/>
                <w:color w:val="000000"/>
                <w:sz w:val="24"/>
                <w:szCs w:val="24"/>
                <w:lang w:eastAsia="ru-RU"/>
              </w:rPr>
              <w:t>79,75</w:t>
            </w:r>
          </w:p>
        </w:tc>
        <w:tc>
          <w:tcPr>
            <w:tcW w:w="968"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sz w:val="24"/>
                <w:szCs w:val="24"/>
                <w:lang w:eastAsia="ru-RU"/>
              </w:rPr>
            </w:pPr>
            <w:r w:rsidRPr="0016623C">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color w:val="000000"/>
                <w:sz w:val="24"/>
                <w:szCs w:val="24"/>
                <w:lang w:eastAsia="ru-RU"/>
              </w:rPr>
            </w:pPr>
            <w:r w:rsidRPr="0016623C">
              <w:rPr>
                <w:rFonts w:eastAsia="Times New Roman"/>
                <w:color w:val="000000"/>
                <w:sz w:val="24"/>
                <w:szCs w:val="24"/>
                <w:lang w:eastAsia="ru-RU"/>
              </w:rPr>
              <w:t>5,98</w:t>
            </w:r>
          </w:p>
        </w:tc>
        <w:tc>
          <w:tcPr>
            <w:tcW w:w="968"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sz w:val="24"/>
                <w:szCs w:val="24"/>
                <w:lang w:eastAsia="ru-RU"/>
              </w:rPr>
            </w:pPr>
            <w:r w:rsidRPr="0016623C">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color w:val="000000"/>
                <w:sz w:val="24"/>
                <w:szCs w:val="24"/>
                <w:lang w:eastAsia="ru-RU"/>
              </w:rPr>
            </w:pPr>
            <w:r w:rsidRPr="0016623C">
              <w:rPr>
                <w:rFonts w:eastAsia="Times New Roman"/>
                <w:color w:val="000000"/>
                <w:sz w:val="24"/>
                <w:szCs w:val="24"/>
                <w:lang w:eastAsia="ru-RU"/>
              </w:rPr>
              <w:t>1,00</w:t>
            </w:r>
          </w:p>
        </w:tc>
      </w:tr>
      <w:tr w:rsidR="0016623C" w:rsidRPr="0016623C" w:rsidTr="0016623C">
        <w:trPr>
          <w:trHeight w:val="334"/>
          <w:jc w:val="center"/>
        </w:trPr>
        <w:tc>
          <w:tcPr>
            <w:tcW w:w="4536"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left"/>
              <w:rPr>
                <w:rFonts w:eastAsia="Times New Roman"/>
                <w:sz w:val="24"/>
                <w:szCs w:val="24"/>
                <w:lang w:eastAsia="ru-RU"/>
              </w:rPr>
            </w:pPr>
            <w:r w:rsidRPr="0016623C">
              <w:rPr>
                <w:rFonts w:eastAsia="Times New Roman"/>
                <w:sz w:val="24"/>
                <w:szCs w:val="24"/>
                <w:lang w:eastAsia="ru-RU"/>
              </w:rPr>
              <w:t xml:space="preserve">Своєчасність постановки на облік вагітних </w:t>
            </w:r>
          </w:p>
        </w:tc>
        <w:tc>
          <w:tcPr>
            <w:tcW w:w="968"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color w:val="000000"/>
                <w:sz w:val="24"/>
                <w:szCs w:val="24"/>
                <w:lang w:eastAsia="ru-RU"/>
              </w:rPr>
            </w:pPr>
            <w:r w:rsidRPr="0016623C">
              <w:rPr>
                <w:rFonts w:eastAsia="Times New Roman"/>
                <w:color w:val="000000"/>
                <w:sz w:val="24"/>
                <w:szCs w:val="24"/>
                <w:lang w:eastAsia="ru-RU"/>
              </w:rPr>
              <w:t>92,78</w:t>
            </w:r>
          </w:p>
        </w:tc>
        <w:tc>
          <w:tcPr>
            <w:tcW w:w="969"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color w:val="000000"/>
                <w:sz w:val="24"/>
                <w:szCs w:val="24"/>
                <w:lang w:eastAsia="ru-RU"/>
              </w:rPr>
            </w:pPr>
            <w:r w:rsidRPr="0016623C">
              <w:rPr>
                <w:rFonts w:eastAsia="Times New Roman"/>
                <w:color w:val="000000"/>
                <w:sz w:val="24"/>
                <w:szCs w:val="24"/>
                <w:lang w:eastAsia="ru-RU"/>
              </w:rPr>
              <w:t>93,28</w:t>
            </w:r>
          </w:p>
        </w:tc>
        <w:tc>
          <w:tcPr>
            <w:tcW w:w="968"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color w:val="000000"/>
                <w:sz w:val="24"/>
                <w:szCs w:val="24"/>
                <w:lang w:eastAsia="ru-RU"/>
              </w:rPr>
            </w:pPr>
            <w:r w:rsidRPr="0016623C">
              <w:rPr>
                <w:rFonts w:eastAsia="Times New Roman"/>
                <w:color w:val="000000"/>
                <w:sz w:val="24"/>
                <w:szCs w:val="24"/>
                <w:lang w:eastAsia="ru-RU"/>
              </w:rPr>
              <w:t>6,84</w:t>
            </w:r>
          </w:p>
        </w:tc>
        <w:tc>
          <w:tcPr>
            <w:tcW w:w="969"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color w:val="000000"/>
                <w:sz w:val="24"/>
                <w:szCs w:val="24"/>
                <w:lang w:eastAsia="ru-RU"/>
              </w:rPr>
            </w:pPr>
            <w:r w:rsidRPr="0016623C">
              <w:rPr>
                <w:rFonts w:eastAsia="Times New Roman"/>
                <w:color w:val="000000"/>
                <w:sz w:val="24"/>
                <w:szCs w:val="24"/>
                <w:lang w:eastAsia="ru-RU"/>
              </w:rPr>
              <w:t>6,88</w:t>
            </w:r>
          </w:p>
        </w:tc>
        <w:tc>
          <w:tcPr>
            <w:tcW w:w="968"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color w:val="000000"/>
                <w:sz w:val="24"/>
                <w:szCs w:val="24"/>
                <w:lang w:eastAsia="ru-RU"/>
              </w:rPr>
            </w:pPr>
            <w:r w:rsidRPr="0016623C">
              <w:rPr>
                <w:rFonts w:eastAsia="Times New Roman"/>
                <w:color w:val="000000"/>
                <w:sz w:val="24"/>
                <w:szCs w:val="24"/>
                <w:lang w:eastAsia="ru-RU"/>
              </w:rPr>
              <w:t>0,98</w:t>
            </w:r>
          </w:p>
        </w:tc>
        <w:tc>
          <w:tcPr>
            <w:tcW w:w="969"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color w:val="000000"/>
                <w:sz w:val="24"/>
                <w:szCs w:val="24"/>
                <w:lang w:eastAsia="ru-RU"/>
              </w:rPr>
            </w:pPr>
            <w:r w:rsidRPr="0016623C">
              <w:rPr>
                <w:rFonts w:eastAsia="Times New Roman"/>
                <w:color w:val="000000"/>
                <w:sz w:val="24"/>
                <w:szCs w:val="24"/>
                <w:lang w:eastAsia="ru-RU"/>
              </w:rPr>
              <w:t>0,98</w:t>
            </w:r>
          </w:p>
        </w:tc>
      </w:tr>
      <w:tr w:rsidR="0016623C" w:rsidRPr="0016623C" w:rsidTr="0016623C">
        <w:trPr>
          <w:trHeight w:val="282"/>
          <w:jc w:val="center"/>
        </w:trPr>
        <w:tc>
          <w:tcPr>
            <w:tcW w:w="4536"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left"/>
              <w:rPr>
                <w:rFonts w:eastAsia="Times New Roman"/>
                <w:sz w:val="24"/>
                <w:szCs w:val="24"/>
                <w:lang w:eastAsia="ru-RU"/>
              </w:rPr>
            </w:pPr>
            <w:r w:rsidRPr="0016623C">
              <w:rPr>
                <w:rFonts w:eastAsia="Times New Roman"/>
                <w:sz w:val="24"/>
                <w:szCs w:val="24"/>
                <w:lang w:eastAsia="ru-RU"/>
              </w:rPr>
              <w:t>Частота анемій вагітних</w:t>
            </w:r>
          </w:p>
        </w:tc>
        <w:tc>
          <w:tcPr>
            <w:tcW w:w="968"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color w:val="000000"/>
                <w:sz w:val="24"/>
                <w:szCs w:val="24"/>
                <w:lang w:eastAsia="ru-RU"/>
              </w:rPr>
            </w:pPr>
            <w:r w:rsidRPr="0016623C">
              <w:rPr>
                <w:rFonts w:eastAsia="Times New Roman"/>
                <w:color w:val="000000"/>
                <w:sz w:val="24"/>
                <w:szCs w:val="24"/>
                <w:lang w:eastAsia="ru-RU"/>
              </w:rPr>
              <w:t>28,07</w:t>
            </w:r>
          </w:p>
        </w:tc>
        <w:tc>
          <w:tcPr>
            <w:tcW w:w="969"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color w:val="000000"/>
                <w:sz w:val="24"/>
                <w:szCs w:val="24"/>
                <w:lang w:eastAsia="ru-RU"/>
              </w:rPr>
            </w:pPr>
            <w:r w:rsidRPr="0016623C">
              <w:rPr>
                <w:rFonts w:eastAsia="Times New Roman"/>
                <w:color w:val="000000"/>
                <w:sz w:val="24"/>
                <w:szCs w:val="24"/>
                <w:lang w:eastAsia="ru-RU"/>
              </w:rPr>
              <w:t>27,23</w:t>
            </w:r>
          </w:p>
        </w:tc>
        <w:tc>
          <w:tcPr>
            <w:tcW w:w="968"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color w:val="000000"/>
                <w:sz w:val="24"/>
                <w:szCs w:val="24"/>
                <w:lang w:eastAsia="ru-RU"/>
              </w:rPr>
            </w:pPr>
            <w:r w:rsidRPr="0016623C">
              <w:rPr>
                <w:rFonts w:eastAsia="Times New Roman"/>
                <w:color w:val="000000"/>
                <w:sz w:val="24"/>
                <w:szCs w:val="24"/>
                <w:lang w:eastAsia="ru-RU"/>
              </w:rPr>
              <w:t>2,39</w:t>
            </w:r>
          </w:p>
        </w:tc>
        <w:tc>
          <w:tcPr>
            <w:tcW w:w="969"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color w:val="000000"/>
                <w:sz w:val="24"/>
                <w:szCs w:val="24"/>
                <w:lang w:eastAsia="ru-RU"/>
              </w:rPr>
            </w:pPr>
            <w:r w:rsidRPr="0016623C">
              <w:rPr>
                <w:rFonts w:eastAsia="Times New Roman"/>
                <w:color w:val="000000"/>
                <w:sz w:val="24"/>
                <w:szCs w:val="24"/>
                <w:lang w:eastAsia="ru-RU"/>
              </w:rPr>
              <w:t>2,91</w:t>
            </w:r>
          </w:p>
        </w:tc>
        <w:tc>
          <w:tcPr>
            <w:tcW w:w="968"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color w:val="000000"/>
                <w:sz w:val="24"/>
                <w:szCs w:val="24"/>
                <w:lang w:eastAsia="ru-RU"/>
              </w:rPr>
            </w:pPr>
            <w:r w:rsidRPr="0016623C">
              <w:rPr>
                <w:rFonts w:eastAsia="Times New Roman"/>
                <w:color w:val="000000"/>
                <w:sz w:val="24"/>
                <w:szCs w:val="24"/>
                <w:lang w:eastAsia="ru-RU"/>
              </w:rPr>
              <w:t>0,60</w:t>
            </w:r>
          </w:p>
        </w:tc>
        <w:tc>
          <w:tcPr>
            <w:tcW w:w="969"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color w:val="000000"/>
                <w:sz w:val="24"/>
                <w:szCs w:val="24"/>
                <w:lang w:eastAsia="ru-RU"/>
              </w:rPr>
            </w:pPr>
            <w:r w:rsidRPr="0016623C">
              <w:rPr>
                <w:rFonts w:eastAsia="Times New Roman"/>
                <w:color w:val="000000"/>
                <w:sz w:val="24"/>
                <w:szCs w:val="24"/>
                <w:lang w:eastAsia="ru-RU"/>
              </w:rPr>
              <w:t>0,73</w:t>
            </w:r>
          </w:p>
        </w:tc>
      </w:tr>
      <w:tr w:rsidR="0016623C" w:rsidRPr="0016623C" w:rsidTr="0016623C">
        <w:trPr>
          <w:trHeight w:val="319"/>
          <w:jc w:val="center"/>
        </w:trPr>
        <w:tc>
          <w:tcPr>
            <w:tcW w:w="4536"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left"/>
              <w:rPr>
                <w:rFonts w:eastAsia="Times New Roman"/>
                <w:sz w:val="24"/>
                <w:szCs w:val="24"/>
                <w:lang w:eastAsia="ru-RU"/>
              </w:rPr>
            </w:pPr>
            <w:r w:rsidRPr="0016623C">
              <w:rPr>
                <w:rFonts w:eastAsia="Times New Roman"/>
                <w:sz w:val="24"/>
                <w:szCs w:val="24"/>
                <w:lang w:eastAsia="ru-RU"/>
              </w:rPr>
              <w:t>Частота прееклампсій та еклампсій вагітних</w:t>
            </w:r>
          </w:p>
        </w:tc>
        <w:tc>
          <w:tcPr>
            <w:tcW w:w="968"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color w:val="000000"/>
                <w:sz w:val="24"/>
                <w:szCs w:val="24"/>
                <w:lang w:eastAsia="ru-RU"/>
              </w:rPr>
            </w:pPr>
            <w:r w:rsidRPr="0016623C">
              <w:rPr>
                <w:rFonts w:eastAsia="Times New Roman"/>
                <w:color w:val="000000"/>
                <w:sz w:val="24"/>
                <w:szCs w:val="24"/>
                <w:lang w:eastAsia="ru-RU"/>
              </w:rPr>
              <w:t>2,15</w:t>
            </w:r>
          </w:p>
        </w:tc>
        <w:tc>
          <w:tcPr>
            <w:tcW w:w="969"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color w:val="000000"/>
                <w:sz w:val="24"/>
                <w:szCs w:val="24"/>
                <w:lang w:eastAsia="ru-RU"/>
              </w:rPr>
            </w:pPr>
            <w:r w:rsidRPr="0016623C">
              <w:rPr>
                <w:rFonts w:eastAsia="Times New Roman"/>
                <w:color w:val="000000"/>
                <w:sz w:val="24"/>
                <w:szCs w:val="24"/>
                <w:lang w:eastAsia="ru-RU"/>
              </w:rPr>
              <w:t>2,21</w:t>
            </w:r>
          </w:p>
        </w:tc>
        <w:tc>
          <w:tcPr>
            <w:tcW w:w="968"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color w:val="000000"/>
                <w:sz w:val="24"/>
                <w:szCs w:val="24"/>
                <w:lang w:eastAsia="ru-RU"/>
              </w:rPr>
            </w:pPr>
            <w:r w:rsidRPr="0016623C">
              <w:rPr>
                <w:rFonts w:eastAsia="Times New Roman"/>
                <w:color w:val="000000"/>
                <w:sz w:val="24"/>
                <w:szCs w:val="24"/>
                <w:lang w:eastAsia="ru-RU"/>
              </w:rPr>
              <w:t>5,40</w:t>
            </w:r>
          </w:p>
        </w:tc>
        <w:tc>
          <w:tcPr>
            <w:tcW w:w="969"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color w:val="000000"/>
                <w:sz w:val="24"/>
                <w:szCs w:val="24"/>
                <w:lang w:eastAsia="ru-RU"/>
              </w:rPr>
            </w:pPr>
            <w:r w:rsidRPr="0016623C">
              <w:rPr>
                <w:rFonts w:eastAsia="Times New Roman"/>
                <w:color w:val="000000"/>
                <w:sz w:val="24"/>
                <w:szCs w:val="24"/>
                <w:lang w:eastAsia="ru-RU"/>
              </w:rPr>
              <w:t>5,16</w:t>
            </w:r>
          </w:p>
        </w:tc>
        <w:tc>
          <w:tcPr>
            <w:tcW w:w="968"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color w:val="000000"/>
                <w:sz w:val="24"/>
                <w:szCs w:val="24"/>
                <w:lang w:eastAsia="ru-RU"/>
              </w:rPr>
            </w:pPr>
            <w:r w:rsidRPr="0016623C">
              <w:rPr>
                <w:rFonts w:eastAsia="Times New Roman"/>
                <w:color w:val="000000"/>
                <w:sz w:val="24"/>
                <w:szCs w:val="24"/>
                <w:lang w:eastAsia="ru-RU"/>
              </w:rPr>
              <w:t>0,77</w:t>
            </w:r>
          </w:p>
        </w:tc>
        <w:tc>
          <w:tcPr>
            <w:tcW w:w="969"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color w:val="000000"/>
                <w:sz w:val="24"/>
                <w:szCs w:val="24"/>
                <w:lang w:eastAsia="ru-RU"/>
              </w:rPr>
            </w:pPr>
            <w:r w:rsidRPr="0016623C">
              <w:rPr>
                <w:rFonts w:eastAsia="Times New Roman"/>
                <w:color w:val="000000"/>
                <w:sz w:val="24"/>
                <w:szCs w:val="24"/>
                <w:lang w:eastAsia="ru-RU"/>
              </w:rPr>
              <w:t>0,74</w:t>
            </w:r>
          </w:p>
        </w:tc>
      </w:tr>
      <w:tr w:rsidR="0016623C" w:rsidRPr="0016623C" w:rsidTr="0016623C">
        <w:trPr>
          <w:trHeight w:val="284"/>
          <w:jc w:val="center"/>
        </w:trPr>
        <w:tc>
          <w:tcPr>
            <w:tcW w:w="4536"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left"/>
              <w:rPr>
                <w:rFonts w:eastAsia="Times New Roman"/>
                <w:sz w:val="24"/>
                <w:szCs w:val="24"/>
                <w:lang w:eastAsia="ru-RU"/>
              </w:rPr>
            </w:pPr>
            <w:r w:rsidRPr="0016623C">
              <w:rPr>
                <w:rFonts w:eastAsia="Times New Roman"/>
                <w:sz w:val="24"/>
                <w:szCs w:val="24"/>
                <w:lang w:eastAsia="ru-RU"/>
              </w:rPr>
              <w:t>Співвідношення безпечних методів абортів до небезпечних</w:t>
            </w:r>
          </w:p>
        </w:tc>
        <w:tc>
          <w:tcPr>
            <w:tcW w:w="968"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color w:val="000000"/>
                <w:sz w:val="24"/>
                <w:szCs w:val="24"/>
                <w:lang w:eastAsia="ru-RU"/>
              </w:rPr>
            </w:pPr>
            <w:r w:rsidRPr="0016623C">
              <w:rPr>
                <w:rFonts w:eastAsia="Times New Roman"/>
                <w:color w:val="000000"/>
                <w:sz w:val="24"/>
                <w:szCs w:val="24"/>
                <w:lang w:eastAsia="ru-RU"/>
              </w:rPr>
              <w:t>3,8</w:t>
            </w:r>
          </w:p>
        </w:tc>
        <w:tc>
          <w:tcPr>
            <w:tcW w:w="969"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color w:val="000000"/>
                <w:sz w:val="24"/>
                <w:szCs w:val="24"/>
                <w:lang w:eastAsia="ru-RU"/>
              </w:rPr>
            </w:pPr>
            <w:r w:rsidRPr="0016623C">
              <w:rPr>
                <w:rFonts w:eastAsia="Times New Roman"/>
                <w:color w:val="000000"/>
                <w:sz w:val="24"/>
                <w:szCs w:val="24"/>
                <w:lang w:eastAsia="ru-RU"/>
              </w:rPr>
              <w:t>4,30</w:t>
            </w:r>
          </w:p>
        </w:tc>
        <w:tc>
          <w:tcPr>
            <w:tcW w:w="968"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color w:val="000000"/>
                <w:sz w:val="24"/>
                <w:szCs w:val="24"/>
                <w:lang w:eastAsia="ru-RU"/>
              </w:rPr>
            </w:pPr>
            <w:r w:rsidRPr="0016623C">
              <w:rPr>
                <w:rFonts w:eastAsia="Times New Roman"/>
                <w:color w:val="000000"/>
                <w:sz w:val="24"/>
                <w:szCs w:val="24"/>
                <w:lang w:eastAsia="ru-RU"/>
              </w:rPr>
              <w:t>2,28</w:t>
            </w:r>
          </w:p>
        </w:tc>
        <w:tc>
          <w:tcPr>
            <w:tcW w:w="969"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color w:val="000000"/>
                <w:sz w:val="24"/>
                <w:szCs w:val="24"/>
                <w:lang w:eastAsia="ru-RU"/>
              </w:rPr>
            </w:pPr>
            <w:r w:rsidRPr="0016623C">
              <w:rPr>
                <w:rFonts w:eastAsia="Times New Roman"/>
                <w:color w:val="000000"/>
                <w:sz w:val="24"/>
                <w:szCs w:val="24"/>
                <w:lang w:eastAsia="ru-RU"/>
              </w:rPr>
              <w:t>3,23</w:t>
            </w:r>
          </w:p>
        </w:tc>
        <w:tc>
          <w:tcPr>
            <w:tcW w:w="968"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color w:val="000000"/>
                <w:sz w:val="24"/>
                <w:szCs w:val="24"/>
                <w:lang w:eastAsia="ru-RU"/>
              </w:rPr>
            </w:pPr>
            <w:r w:rsidRPr="0016623C">
              <w:rPr>
                <w:rFonts w:eastAsia="Times New Roman"/>
                <w:color w:val="000000"/>
                <w:sz w:val="24"/>
                <w:szCs w:val="24"/>
                <w:lang w:eastAsia="ru-RU"/>
              </w:rPr>
              <w:t>0,38</w:t>
            </w:r>
          </w:p>
        </w:tc>
        <w:tc>
          <w:tcPr>
            <w:tcW w:w="969"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color w:val="000000"/>
                <w:sz w:val="24"/>
                <w:szCs w:val="24"/>
                <w:lang w:eastAsia="ru-RU"/>
              </w:rPr>
            </w:pPr>
            <w:r w:rsidRPr="0016623C">
              <w:rPr>
                <w:rFonts w:eastAsia="Times New Roman"/>
                <w:color w:val="000000"/>
                <w:sz w:val="24"/>
                <w:szCs w:val="24"/>
                <w:lang w:eastAsia="ru-RU"/>
              </w:rPr>
              <w:t>0,54</w:t>
            </w:r>
          </w:p>
        </w:tc>
      </w:tr>
      <w:tr w:rsidR="0016623C" w:rsidRPr="0016623C" w:rsidTr="0016623C">
        <w:trPr>
          <w:trHeight w:val="340"/>
          <w:jc w:val="center"/>
        </w:trPr>
        <w:tc>
          <w:tcPr>
            <w:tcW w:w="4536" w:type="dxa"/>
            <w:tcBorders>
              <w:top w:val="single" w:sz="4" w:space="0" w:color="auto"/>
              <w:left w:val="single" w:sz="4" w:space="0" w:color="auto"/>
              <w:bottom w:val="single" w:sz="4" w:space="0" w:color="auto"/>
              <w:right w:val="single" w:sz="4" w:space="0" w:color="auto"/>
            </w:tcBorders>
            <w:vAlign w:val="bottom"/>
          </w:tcPr>
          <w:p w:rsidR="0016623C" w:rsidRPr="0016623C" w:rsidRDefault="0016623C" w:rsidP="0016623C">
            <w:pPr>
              <w:keepNext/>
              <w:jc w:val="left"/>
              <w:rPr>
                <w:rFonts w:eastAsia="Times New Roman"/>
                <w:sz w:val="24"/>
                <w:szCs w:val="24"/>
                <w:lang w:eastAsia="ru-RU"/>
              </w:rPr>
            </w:pPr>
            <w:r w:rsidRPr="0016623C">
              <w:rPr>
                <w:rFonts w:eastAsia="Times New Roman"/>
                <w:sz w:val="24"/>
                <w:szCs w:val="24"/>
                <w:lang w:eastAsia="ru-RU"/>
              </w:rPr>
              <w:t>Питома вага хворих виявлення в ранніх стадіях (І – ІІ) серед хворих з вперше встановленим діагнозом онкологія молочної залози</w:t>
            </w:r>
          </w:p>
        </w:tc>
        <w:tc>
          <w:tcPr>
            <w:tcW w:w="968"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sz w:val="24"/>
                <w:szCs w:val="24"/>
                <w:lang w:eastAsia="ru-RU"/>
              </w:rPr>
            </w:pPr>
            <w:r w:rsidRPr="0016623C">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color w:val="000000"/>
                <w:sz w:val="24"/>
                <w:szCs w:val="24"/>
                <w:lang w:eastAsia="ru-RU"/>
              </w:rPr>
            </w:pPr>
            <w:r w:rsidRPr="0016623C">
              <w:rPr>
                <w:rFonts w:eastAsia="Times New Roman"/>
                <w:color w:val="000000"/>
                <w:sz w:val="24"/>
                <w:szCs w:val="24"/>
                <w:lang w:eastAsia="ru-RU"/>
              </w:rPr>
              <w:t>74,30</w:t>
            </w:r>
          </w:p>
        </w:tc>
        <w:tc>
          <w:tcPr>
            <w:tcW w:w="968"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sz w:val="24"/>
                <w:szCs w:val="24"/>
                <w:lang w:eastAsia="ru-RU"/>
              </w:rPr>
            </w:pPr>
            <w:r w:rsidRPr="0016623C">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color w:val="000000"/>
                <w:sz w:val="24"/>
                <w:szCs w:val="24"/>
                <w:lang w:eastAsia="ru-RU"/>
              </w:rPr>
            </w:pPr>
            <w:r w:rsidRPr="0016623C">
              <w:rPr>
                <w:rFonts w:eastAsia="Times New Roman"/>
                <w:color w:val="000000"/>
                <w:sz w:val="24"/>
                <w:szCs w:val="24"/>
                <w:lang w:eastAsia="ru-RU"/>
              </w:rPr>
              <w:t>5,60</w:t>
            </w:r>
          </w:p>
        </w:tc>
        <w:tc>
          <w:tcPr>
            <w:tcW w:w="968"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sz w:val="24"/>
                <w:szCs w:val="24"/>
                <w:lang w:eastAsia="ru-RU"/>
              </w:rPr>
            </w:pPr>
            <w:r w:rsidRPr="0016623C">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color w:val="000000"/>
                <w:sz w:val="24"/>
                <w:szCs w:val="24"/>
                <w:lang w:eastAsia="ru-RU"/>
              </w:rPr>
            </w:pPr>
            <w:r w:rsidRPr="0016623C">
              <w:rPr>
                <w:rFonts w:eastAsia="Times New Roman"/>
                <w:color w:val="000000"/>
                <w:sz w:val="24"/>
                <w:szCs w:val="24"/>
                <w:lang w:eastAsia="ru-RU"/>
              </w:rPr>
              <w:t>0,93</w:t>
            </w:r>
          </w:p>
        </w:tc>
      </w:tr>
      <w:tr w:rsidR="0016623C" w:rsidRPr="0016623C" w:rsidTr="0016623C">
        <w:trPr>
          <w:trHeight w:val="418"/>
          <w:jc w:val="center"/>
        </w:trPr>
        <w:tc>
          <w:tcPr>
            <w:tcW w:w="4536" w:type="dxa"/>
            <w:tcBorders>
              <w:top w:val="single" w:sz="4" w:space="0" w:color="auto"/>
              <w:left w:val="single" w:sz="4" w:space="0" w:color="auto"/>
              <w:bottom w:val="single" w:sz="4" w:space="0" w:color="auto"/>
              <w:right w:val="single" w:sz="4" w:space="0" w:color="auto"/>
            </w:tcBorders>
            <w:vAlign w:val="bottom"/>
          </w:tcPr>
          <w:p w:rsidR="0016623C" w:rsidRPr="0016623C" w:rsidRDefault="0016623C" w:rsidP="0016623C">
            <w:pPr>
              <w:keepNext/>
              <w:jc w:val="left"/>
              <w:rPr>
                <w:rFonts w:eastAsia="Times New Roman"/>
                <w:sz w:val="24"/>
                <w:szCs w:val="24"/>
                <w:lang w:eastAsia="ru-RU"/>
              </w:rPr>
            </w:pPr>
            <w:r w:rsidRPr="0016623C">
              <w:rPr>
                <w:rFonts w:eastAsia="Times New Roman"/>
                <w:sz w:val="24"/>
                <w:szCs w:val="24"/>
                <w:lang w:eastAsia="ru-RU"/>
              </w:rPr>
              <w:t>Питома вага хворих виявлення в ранніх стадіях (І – ІІ) серед хворих з вперше встановленим діагнозом онкологія шийки матки</w:t>
            </w:r>
          </w:p>
        </w:tc>
        <w:tc>
          <w:tcPr>
            <w:tcW w:w="968"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sz w:val="24"/>
                <w:szCs w:val="24"/>
                <w:lang w:eastAsia="ru-RU"/>
              </w:rPr>
            </w:pPr>
            <w:r w:rsidRPr="0016623C">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color w:val="000000"/>
                <w:sz w:val="24"/>
                <w:szCs w:val="24"/>
                <w:lang w:eastAsia="ru-RU"/>
              </w:rPr>
            </w:pPr>
            <w:r w:rsidRPr="0016623C">
              <w:rPr>
                <w:rFonts w:eastAsia="Times New Roman"/>
                <w:color w:val="000000"/>
                <w:sz w:val="24"/>
                <w:szCs w:val="24"/>
                <w:lang w:eastAsia="ru-RU"/>
              </w:rPr>
              <w:t>83,90</w:t>
            </w:r>
          </w:p>
        </w:tc>
        <w:tc>
          <w:tcPr>
            <w:tcW w:w="968"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sz w:val="24"/>
                <w:szCs w:val="24"/>
                <w:lang w:eastAsia="ru-RU"/>
              </w:rPr>
            </w:pPr>
            <w:r w:rsidRPr="0016623C">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color w:val="000000"/>
                <w:sz w:val="24"/>
                <w:szCs w:val="24"/>
                <w:lang w:eastAsia="ru-RU"/>
              </w:rPr>
            </w:pPr>
            <w:r w:rsidRPr="0016623C">
              <w:rPr>
                <w:rFonts w:eastAsia="Times New Roman"/>
                <w:color w:val="000000"/>
                <w:sz w:val="24"/>
                <w:szCs w:val="24"/>
                <w:lang w:eastAsia="ru-RU"/>
              </w:rPr>
              <w:t>6,00</w:t>
            </w:r>
          </w:p>
        </w:tc>
        <w:tc>
          <w:tcPr>
            <w:tcW w:w="968"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sz w:val="24"/>
                <w:szCs w:val="24"/>
                <w:lang w:eastAsia="ru-RU"/>
              </w:rPr>
            </w:pPr>
            <w:r w:rsidRPr="0016623C">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color w:val="000000"/>
                <w:sz w:val="24"/>
                <w:szCs w:val="24"/>
                <w:lang w:eastAsia="ru-RU"/>
              </w:rPr>
            </w:pPr>
            <w:r w:rsidRPr="0016623C">
              <w:rPr>
                <w:rFonts w:eastAsia="Times New Roman"/>
                <w:color w:val="000000"/>
                <w:sz w:val="24"/>
                <w:szCs w:val="24"/>
                <w:lang w:eastAsia="ru-RU"/>
              </w:rPr>
              <w:t>1,00</w:t>
            </w:r>
          </w:p>
        </w:tc>
      </w:tr>
      <w:tr w:rsidR="0016623C" w:rsidRPr="0016623C" w:rsidTr="0016623C">
        <w:trPr>
          <w:trHeight w:val="600"/>
          <w:jc w:val="center"/>
        </w:trPr>
        <w:tc>
          <w:tcPr>
            <w:tcW w:w="4536" w:type="dxa"/>
            <w:tcBorders>
              <w:top w:val="single" w:sz="4" w:space="0" w:color="auto"/>
              <w:left w:val="single" w:sz="4" w:space="0" w:color="auto"/>
              <w:bottom w:val="single" w:sz="4" w:space="0" w:color="auto"/>
              <w:right w:val="single" w:sz="4" w:space="0" w:color="auto"/>
            </w:tcBorders>
          </w:tcPr>
          <w:p w:rsidR="0016623C" w:rsidRPr="0016623C" w:rsidRDefault="0016623C" w:rsidP="0016623C">
            <w:pPr>
              <w:keepNext/>
              <w:rPr>
                <w:rFonts w:eastAsia="Times New Roman"/>
                <w:color w:val="000000"/>
                <w:sz w:val="24"/>
                <w:szCs w:val="24"/>
                <w:lang w:eastAsia="uk-UA"/>
              </w:rPr>
            </w:pPr>
            <w:r w:rsidRPr="0016623C">
              <w:rPr>
                <w:rFonts w:eastAsia="Times New Roman"/>
                <w:color w:val="000000"/>
                <w:sz w:val="24"/>
                <w:szCs w:val="24"/>
                <w:lang w:eastAsia="uk-UA"/>
              </w:rPr>
              <w:t>Індекс концентрації розродження вагітних з цукровим діабетом у ЗПД ІІІ рівня</w:t>
            </w:r>
          </w:p>
        </w:tc>
        <w:tc>
          <w:tcPr>
            <w:tcW w:w="968"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color w:val="000000"/>
                <w:sz w:val="24"/>
                <w:szCs w:val="24"/>
                <w:lang w:eastAsia="ru-RU"/>
              </w:rPr>
            </w:pPr>
            <w:r w:rsidRPr="0016623C">
              <w:rPr>
                <w:rFonts w:eastAsia="Times New Roman"/>
                <w:color w:val="000000"/>
                <w:sz w:val="24"/>
                <w:szCs w:val="24"/>
                <w:lang w:eastAsia="ru-RU"/>
              </w:rPr>
              <w:t>62,5</w:t>
            </w:r>
          </w:p>
        </w:tc>
        <w:tc>
          <w:tcPr>
            <w:tcW w:w="969"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color w:val="000000"/>
                <w:sz w:val="24"/>
                <w:szCs w:val="24"/>
                <w:lang w:eastAsia="ru-RU"/>
              </w:rPr>
            </w:pPr>
            <w:r w:rsidRPr="0016623C">
              <w:rPr>
                <w:rFonts w:eastAsia="Times New Roman"/>
                <w:color w:val="000000"/>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color w:val="000000"/>
                <w:sz w:val="24"/>
                <w:szCs w:val="24"/>
                <w:lang w:eastAsia="ru-RU"/>
              </w:rPr>
            </w:pPr>
            <w:r w:rsidRPr="0016623C">
              <w:rPr>
                <w:rFonts w:eastAsia="Times New Roman"/>
                <w:color w:val="000000"/>
                <w:sz w:val="24"/>
                <w:szCs w:val="24"/>
                <w:lang w:eastAsia="ru-RU"/>
              </w:rPr>
              <w:t>6,25</w:t>
            </w:r>
          </w:p>
        </w:tc>
        <w:tc>
          <w:tcPr>
            <w:tcW w:w="969"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color w:val="000000"/>
                <w:sz w:val="24"/>
                <w:szCs w:val="24"/>
                <w:lang w:eastAsia="ru-RU"/>
              </w:rPr>
            </w:pPr>
            <w:r w:rsidRPr="0016623C">
              <w:rPr>
                <w:rFonts w:eastAsia="Times New Roman"/>
                <w:color w:val="000000"/>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color w:val="000000"/>
                <w:sz w:val="24"/>
                <w:szCs w:val="24"/>
                <w:lang w:eastAsia="ru-RU"/>
              </w:rPr>
            </w:pPr>
            <w:r w:rsidRPr="0016623C">
              <w:rPr>
                <w:rFonts w:eastAsia="Times New Roman"/>
                <w:color w:val="000000"/>
                <w:sz w:val="24"/>
                <w:szCs w:val="24"/>
                <w:lang w:eastAsia="ru-RU"/>
              </w:rPr>
              <w:t>0,89</w:t>
            </w:r>
          </w:p>
        </w:tc>
        <w:tc>
          <w:tcPr>
            <w:tcW w:w="969"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color w:val="000000"/>
                <w:sz w:val="24"/>
                <w:szCs w:val="24"/>
                <w:lang w:eastAsia="ru-RU"/>
              </w:rPr>
            </w:pPr>
            <w:r w:rsidRPr="0016623C">
              <w:rPr>
                <w:rFonts w:eastAsia="Times New Roman"/>
                <w:color w:val="000000"/>
                <w:sz w:val="24"/>
                <w:szCs w:val="24"/>
                <w:lang w:eastAsia="ru-RU"/>
              </w:rPr>
              <w:t>**</w:t>
            </w:r>
          </w:p>
        </w:tc>
      </w:tr>
    </w:tbl>
    <w:p w:rsidR="0016623C" w:rsidRPr="00145C9F" w:rsidRDefault="00145C9F">
      <w:pPr>
        <w:rPr>
          <w:i/>
          <w:sz w:val="20"/>
          <w:szCs w:val="20"/>
        </w:rPr>
      </w:pPr>
      <w:r w:rsidRPr="004B24A2">
        <w:rPr>
          <w:i/>
          <w:sz w:val="20"/>
          <w:szCs w:val="20"/>
        </w:rPr>
        <w:t>Для таблиць : * – показник не оцінювався</w:t>
      </w:r>
      <w:r w:rsidRPr="004B24A2">
        <w:rPr>
          <w:i/>
          <w:sz w:val="20"/>
          <w:szCs w:val="20"/>
          <w:lang w:val="ru-RU"/>
        </w:rPr>
        <w:t xml:space="preserve">  </w:t>
      </w:r>
      <w:r w:rsidRPr="004B24A2">
        <w:rPr>
          <w:i/>
          <w:sz w:val="20"/>
          <w:szCs w:val="20"/>
        </w:rPr>
        <w:t>** – немає даних</w:t>
      </w:r>
    </w:p>
    <w:tbl>
      <w:tblPr>
        <w:tblpPr w:leftFromText="180" w:rightFromText="180" w:vertAnchor="text" w:horzAnchor="margin" w:tblpY="793"/>
        <w:tblW w:w="103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36"/>
        <w:gridCol w:w="968"/>
        <w:gridCol w:w="969"/>
        <w:gridCol w:w="968"/>
        <w:gridCol w:w="969"/>
        <w:gridCol w:w="968"/>
        <w:gridCol w:w="969"/>
      </w:tblGrid>
      <w:tr w:rsidR="0016623C" w:rsidRPr="0016623C" w:rsidTr="0016623C">
        <w:trPr>
          <w:trHeight w:val="600"/>
        </w:trPr>
        <w:tc>
          <w:tcPr>
            <w:tcW w:w="4536" w:type="dxa"/>
            <w:tcBorders>
              <w:top w:val="single" w:sz="4" w:space="0" w:color="auto"/>
              <w:left w:val="single" w:sz="4" w:space="0" w:color="auto"/>
              <w:bottom w:val="single" w:sz="4" w:space="0" w:color="auto"/>
              <w:right w:val="single" w:sz="4" w:space="0" w:color="auto"/>
            </w:tcBorders>
          </w:tcPr>
          <w:p w:rsidR="0016623C" w:rsidRPr="0016623C" w:rsidRDefault="0016623C" w:rsidP="0016623C">
            <w:pPr>
              <w:keepNext/>
              <w:rPr>
                <w:rFonts w:eastAsia="Times New Roman"/>
                <w:color w:val="000000"/>
                <w:sz w:val="24"/>
                <w:szCs w:val="24"/>
                <w:lang w:eastAsia="uk-UA"/>
              </w:rPr>
            </w:pPr>
            <w:r w:rsidRPr="0016623C">
              <w:rPr>
                <w:rFonts w:eastAsia="Times New Roman"/>
                <w:color w:val="000000"/>
                <w:sz w:val="24"/>
                <w:szCs w:val="24"/>
                <w:lang w:eastAsia="uk-UA"/>
              </w:rPr>
              <w:lastRenderedPageBreak/>
              <w:t>Індекс концентрації розродження вагітних з  пре- еклампсією і еклампсією  у ЗПД ІІ-ІІІ рівнів</w:t>
            </w:r>
          </w:p>
        </w:tc>
        <w:tc>
          <w:tcPr>
            <w:tcW w:w="968"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color w:val="000000"/>
                <w:sz w:val="24"/>
                <w:szCs w:val="24"/>
                <w:lang w:eastAsia="ru-RU"/>
              </w:rPr>
            </w:pPr>
            <w:r w:rsidRPr="0016623C">
              <w:rPr>
                <w:rFonts w:eastAsia="Times New Roman"/>
                <w:color w:val="000000"/>
                <w:sz w:val="24"/>
                <w:szCs w:val="24"/>
                <w:lang w:eastAsia="ru-RU"/>
              </w:rPr>
              <w:t>76,39</w:t>
            </w:r>
          </w:p>
        </w:tc>
        <w:tc>
          <w:tcPr>
            <w:tcW w:w="969"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color w:val="000000"/>
                <w:sz w:val="24"/>
                <w:szCs w:val="24"/>
                <w:lang w:eastAsia="ru-RU"/>
              </w:rPr>
            </w:pPr>
            <w:r w:rsidRPr="0016623C">
              <w:rPr>
                <w:rFonts w:eastAsia="Times New Roman"/>
                <w:color w:val="000000"/>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color w:val="000000"/>
                <w:sz w:val="24"/>
                <w:szCs w:val="24"/>
                <w:lang w:eastAsia="ru-RU"/>
              </w:rPr>
            </w:pPr>
            <w:r w:rsidRPr="0016623C">
              <w:rPr>
                <w:rFonts w:eastAsia="Times New Roman"/>
                <w:color w:val="000000"/>
                <w:sz w:val="24"/>
                <w:szCs w:val="24"/>
                <w:lang w:eastAsia="ru-RU"/>
              </w:rPr>
              <w:t>5,94</w:t>
            </w:r>
          </w:p>
        </w:tc>
        <w:tc>
          <w:tcPr>
            <w:tcW w:w="969"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color w:val="000000"/>
                <w:sz w:val="24"/>
                <w:szCs w:val="24"/>
                <w:lang w:eastAsia="ru-RU"/>
              </w:rPr>
            </w:pPr>
            <w:r w:rsidRPr="0016623C">
              <w:rPr>
                <w:rFonts w:eastAsia="Times New Roman"/>
                <w:color w:val="000000"/>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color w:val="000000"/>
                <w:sz w:val="24"/>
                <w:szCs w:val="24"/>
                <w:lang w:eastAsia="ru-RU"/>
              </w:rPr>
            </w:pPr>
            <w:r w:rsidRPr="0016623C">
              <w:rPr>
                <w:rFonts w:eastAsia="Times New Roman"/>
                <w:color w:val="000000"/>
                <w:sz w:val="24"/>
                <w:szCs w:val="24"/>
                <w:lang w:eastAsia="ru-RU"/>
              </w:rPr>
              <w:t>0,85</w:t>
            </w:r>
          </w:p>
        </w:tc>
        <w:tc>
          <w:tcPr>
            <w:tcW w:w="969"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color w:val="000000"/>
                <w:sz w:val="24"/>
                <w:szCs w:val="24"/>
                <w:lang w:eastAsia="ru-RU"/>
              </w:rPr>
            </w:pPr>
            <w:r w:rsidRPr="0016623C">
              <w:rPr>
                <w:rFonts w:eastAsia="Times New Roman"/>
                <w:color w:val="000000"/>
                <w:sz w:val="24"/>
                <w:szCs w:val="24"/>
                <w:lang w:eastAsia="ru-RU"/>
              </w:rPr>
              <w:t>**</w:t>
            </w:r>
          </w:p>
        </w:tc>
      </w:tr>
      <w:tr w:rsidR="0016623C" w:rsidRPr="0016623C" w:rsidTr="0016623C">
        <w:trPr>
          <w:trHeight w:val="600"/>
        </w:trPr>
        <w:tc>
          <w:tcPr>
            <w:tcW w:w="4536" w:type="dxa"/>
            <w:tcBorders>
              <w:top w:val="single" w:sz="4" w:space="0" w:color="auto"/>
              <w:left w:val="single" w:sz="4" w:space="0" w:color="auto"/>
              <w:bottom w:val="single" w:sz="4" w:space="0" w:color="auto"/>
              <w:right w:val="single" w:sz="4" w:space="0" w:color="auto"/>
            </w:tcBorders>
          </w:tcPr>
          <w:p w:rsidR="0016623C" w:rsidRPr="0016623C" w:rsidRDefault="0016623C" w:rsidP="0016623C">
            <w:pPr>
              <w:keepNext/>
              <w:rPr>
                <w:rFonts w:eastAsia="Times New Roman"/>
                <w:color w:val="000000"/>
                <w:sz w:val="24"/>
                <w:szCs w:val="24"/>
                <w:lang w:eastAsia="uk-UA"/>
              </w:rPr>
            </w:pPr>
            <w:r w:rsidRPr="0016623C">
              <w:rPr>
                <w:rFonts w:eastAsia="Times New Roman"/>
                <w:color w:val="000000"/>
                <w:sz w:val="24"/>
                <w:szCs w:val="24"/>
                <w:lang w:eastAsia="uk-UA"/>
              </w:rPr>
              <w:t>Індекс концентрації новонароджених масою тіла при народженні 500-1499г у ЗПД ІІІ рівня</w:t>
            </w:r>
          </w:p>
        </w:tc>
        <w:tc>
          <w:tcPr>
            <w:tcW w:w="968"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color w:val="000000"/>
                <w:sz w:val="24"/>
                <w:szCs w:val="24"/>
                <w:lang w:eastAsia="ru-RU"/>
              </w:rPr>
            </w:pPr>
            <w:r w:rsidRPr="0016623C">
              <w:rPr>
                <w:rFonts w:eastAsia="Times New Roman"/>
                <w:color w:val="000000"/>
                <w:sz w:val="24"/>
                <w:szCs w:val="24"/>
                <w:lang w:eastAsia="ru-RU"/>
              </w:rPr>
              <w:t>53,15</w:t>
            </w:r>
          </w:p>
        </w:tc>
        <w:tc>
          <w:tcPr>
            <w:tcW w:w="969"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color w:val="000000"/>
                <w:sz w:val="24"/>
                <w:szCs w:val="24"/>
                <w:lang w:eastAsia="ru-RU"/>
              </w:rPr>
            </w:pPr>
            <w:r w:rsidRPr="0016623C">
              <w:rPr>
                <w:rFonts w:eastAsia="Times New Roman"/>
                <w:color w:val="000000"/>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color w:val="000000"/>
                <w:sz w:val="24"/>
                <w:szCs w:val="24"/>
                <w:lang w:eastAsia="ru-RU"/>
              </w:rPr>
            </w:pPr>
            <w:r w:rsidRPr="0016623C">
              <w:rPr>
                <w:rFonts w:eastAsia="Times New Roman"/>
                <w:color w:val="000000"/>
                <w:sz w:val="24"/>
                <w:szCs w:val="24"/>
                <w:lang w:eastAsia="ru-RU"/>
              </w:rPr>
              <w:t>3,85</w:t>
            </w:r>
          </w:p>
        </w:tc>
        <w:tc>
          <w:tcPr>
            <w:tcW w:w="969"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color w:val="000000"/>
                <w:sz w:val="24"/>
                <w:szCs w:val="24"/>
                <w:lang w:eastAsia="ru-RU"/>
              </w:rPr>
            </w:pPr>
            <w:r w:rsidRPr="0016623C">
              <w:rPr>
                <w:rFonts w:eastAsia="Times New Roman"/>
                <w:color w:val="000000"/>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color w:val="000000"/>
                <w:sz w:val="24"/>
                <w:szCs w:val="24"/>
                <w:lang w:eastAsia="ru-RU"/>
              </w:rPr>
            </w:pPr>
            <w:r w:rsidRPr="0016623C">
              <w:rPr>
                <w:rFonts w:eastAsia="Times New Roman"/>
                <w:color w:val="000000"/>
                <w:sz w:val="24"/>
                <w:szCs w:val="24"/>
                <w:lang w:eastAsia="ru-RU"/>
              </w:rPr>
              <w:t>0,64</w:t>
            </w:r>
          </w:p>
        </w:tc>
        <w:tc>
          <w:tcPr>
            <w:tcW w:w="969"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color w:val="000000"/>
                <w:sz w:val="24"/>
                <w:szCs w:val="24"/>
                <w:lang w:eastAsia="ru-RU"/>
              </w:rPr>
            </w:pPr>
            <w:r w:rsidRPr="0016623C">
              <w:rPr>
                <w:rFonts w:eastAsia="Times New Roman"/>
                <w:color w:val="000000"/>
                <w:sz w:val="24"/>
                <w:szCs w:val="24"/>
                <w:lang w:eastAsia="ru-RU"/>
              </w:rPr>
              <w:t>**</w:t>
            </w:r>
          </w:p>
        </w:tc>
      </w:tr>
      <w:tr w:rsidR="0016623C" w:rsidRPr="0016623C" w:rsidTr="0016623C">
        <w:trPr>
          <w:trHeight w:val="344"/>
        </w:trPr>
        <w:tc>
          <w:tcPr>
            <w:tcW w:w="4536" w:type="dxa"/>
            <w:tcBorders>
              <w:top w:val="single" w:sz="4" w:space="0" w:color="auto"/>
              <w:left w:val="single" w:sz="4" w:space="0" w:color="auto"/>
              <w:bottom w:val="single" w:sz="4" w:space="0" w:color="auto"/>
              <w:right w:val="single" w:sz="4" w:space="0" w:color="auto"/>
            </w:tcBorders>
            <w:vAlign w:val="bottom"/>
          </w:tcPr>
          <w:p w:rsidR="0016623C" w:rsidRPr="0016623C" w:rsidRDefault="0016623C" w:rsidP="0016623C">
            <w:pPr>
              <w:keepNext/>
              <w:jc w:val="left"/>
              <w:rPr>
                <w:rFonts w:eastAsia="Times New Roman"/>
                <w:sz w:val="24"/>
                <w:szCs w:val="24"/>
                <w:lang w:eastAsia="ru-RU"/>
              </w:rPr>
            </w:pPr>
            <w:r w:rsidRPr="0016623C">
              <w:rPr>
                <w:rFonts w:eastAsia="Times New Roman"/>
                <w:sz w:val="24"/>
                <w:szCs w:val="24"/>
                <w:lang w:eastAsia="ru-RU"/>
              </w:rPr>
              <w:t>Індекс неонатального трансферу</w:t>
            </w:r>
          </w:p>
        </w:tc>
        <w:tc>
          <w:tcPr>
            <w:tcW w:w="968"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sz w:val="24"/>
                <w:szCs w:val="24"/>
                <w:lang w:eastAsia="ru-RU"/>
              </w:rPr>
            </w:pPr>
            <w:r w:rsidRPr="0016623C">
              <w:rPr>
                <w:rFonts w:eastAsia="Times New Roman"/>
                <w:sz w:val="24"/>
                <w:szCs w:val="24"/>
                <w:lang w:eastAsia="ru-RU"/>
              </w:rPr>
              <w:t>5,84</w:t>
            </w:r>
          </w:p>
        </w:tc>
        <w:tc>
          <w:tcPr>
            <w:tcW w:w="969"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color w:val="000000"/>
                <w:sz w:val="24"/>
                <w:szCs w:val="24"/>
                <w:lang w:eastAsia="ru-RU"/>
              </w:rPr>
            </w:pPr>
            <w:r w:rsidRPr="0016623C">
              <w:rPr>
                <w:rFonts w:eastAsia="Times New Roman"/>
                <w:color w:val="000000"/>
                <w:sz w:val="24"/>
                <w:szCs w:val="24"/>
                <w:lang w:eastAsia="ru-RU"/>
              </w:rPr>
              <w:t>5,56</w:t>
            </w:r>
          </w:p>
        </w:tc>
        <w:tc>
          <w:tcPr>
            <w:tcW w:w="968"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sz w:val="24"/>
                <w:szCs w:val="24"/>
                <w:lang w:eastAsia="ru-RU"/>
              </w:rPr>
            </w:pPr>
            <w:r w:rsidRPr="0016623C">
              <w:rPr>
                <w:rFonts w:eastAsia="Times New Roman"/>
                <w:sz w:val="24"/>
                <w:szCs w:val="24"/>
                <w:lang w:eastAsia="ru-RU"/>
              </w:rPr>
              <w:t>3,78</w:t>
            </w:r>
          </w:p>
        </w:tc>
        <w:tc>
          <w:tcPr>
            <w:tcW w:w="969"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color w:val="000000"/>
                <w:sz w:val="24"/>
                <w:szCs w:val="24"/>
                <w:lang w:eastAsia="ru-RU"/>
              </w:rPr>
            </w:pPr>
            <w:r w:rsidRPr="0016623C">
              <w:rPr>
                <w:rFonts w:eastAsia="Times New Roman"/>
                <w:color w:val="000000"/>
                <w:sz w:val="24"/>
                <w:szCs w:val="24"/>
                <w:lang w:eastAsia="ru-RU"/>
              </w:rPr>
              <w:t>6,22</w:t>
            </w:r>
          </w:p>
        </w:tc>
        <w:tc>
          <w:tcPr>
            <w:tcW w:w="968"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sz w:val="24"/>
                <w:szCs w:val="24"/>
                <w:lang w:eastAsia="ru-RU"/>
              </w:rPr>
            </w:pPr>
            <w:r w:rsidRPr="0016623C">
              <w:rPr>
                <w:rFonts w:eastAsia="Times New Roman"/>
                <w:sz w:val="24"/>
                <w:szCs w:val="24"/>
                <w:lang w:eastAsia="ru-RU"/>
              </w:rPr>
              <w:t>0,54</w:t>
            </w:r>
          </w:p>
        </w:tc>
        <w:tc>
          <w:tcPr>
            <w:tcW w:w="969"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color w:val="000000"/>
                <w:sz w:val="24"/>
                <w:szCs w:val="24"/>
                <w:lang w:eastAsia="ru-RU"/>
              </w:rPr>
            </w:pPr>
            <w:r w:rsidRPr="0016623C">
              <w:rPr>
                <w:rFonts w:eastAsia="Times New Roman"/>
                <w:color w:val="000000"/>
                <w:sz w:val="24"/>
                <w:szCs w:val="24"/>
                <w:lang w:eastAsia="ru-RU"/>
              </w:rPr>
              <w:t>0,89</w:t>
            </w:r>
          </w:p>
        </w:tc>
      </w:tr>
      <w:tr w:rsidR="0016623C" w:rsidRPr="0016623C" w:rsidTr="0016623C">
        <w:trPr>
          <w:trHeight w:val="264"/>
        </w:trPr>
        <w:tc>
          <w:tcPr>
            <w:tcW w:w="4536"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left"/>
              <w:rPr>
                <w:rFonts w:eastAsia="Times New Roman"/>
                <w:sz w:val="24"/>
                <w:szCs w:val="24"/>
                <w:lang w:eastAsia="ru-RU"/>
              </w:rPr>
            </w:pPr>
            <w:r w:rsidRPr="0016623C">
              <w:rPr>
                <w:rFonts w:eastAsia="Times New Roman"/>
                <w:sz w:val="24"/>
                <w:szCs w:val="24"/>
                <w:lang w:eastAsia="ru-RU"/>
              </w:rPr>
              <w:t>Частота нормальних пологів</w:t>
            </w:r>
          </w:p>
        </w:tc>
        <w:tc>
          <w:tcPr>
            <w:tcW w:w="968"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color w:val="000000"/>
                <w:sz w:val="24"/>
                <w:szCs w:val="24"/>
                <w:lang w:eastAsia="ru-RU"/>
              </w:rPr>
            </w:pPr>
            <w:r w:rsidRPr="0016623C">
              <w:rPr>
                <w:rFonts w:eastAsia="Times New Roman"/>
                <w:color w:val="000000"/>
                <w:sz w:val="24"/>
                <w:szCs w:val="24"/>
                <w:lang w:eastAsia="ru-RU"/>
              </w:rPr>
              <w:t>74,42</w:t>
            </w:r>
          </w:p>
        </w:tc>
        <w:tc>
          <w:tcPr>
            <w:tcW w:w="969"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color w:val="000000"/>
                <w:sz w:val="24"/>
                <w:szCs w:val="24"/>
                <w:lang w:eastAsia="ru-RU"/>
              </w:rPr>
            </w:pPr>
            <w:r w:rsidRPr="0016623C">
              <w:rPr>
                <w:rFonts w:eastAsia="Times New Roman"/>
                <w:color w:val="000000"/>
                <w:sz w:val="24"/>
                <w:szCs w:val="24"/>
                <w:lang w:eastAsia="ru-RU"/>
              </w:rPr>
              <w:t>72,34</w:t>
            </w:r>
          </w:p>
        </w:tc>
        <w:tc>
          <w:tcPr>
            <w:tcW w:w="968"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color w:val="000000"/>
                <w:sz w:val="24"/>
                <w:szCs w:val="24"/>
                <w:lang w:eastAsia="ru-RU"/>
              </w:rPr>
            </w:pPr>
            <w:r w:rsidRPr="0016623C">
              <w:rPr>
                <w:rFonts w:eastAsia="Times New Roman"/>
                <w:color w:val="000000"/>
                <w:sz w:val="24"/>
                <w:szCs w:val="24"/>
                <w:lang w:eastAsia="ru-RU"/>
              </w:rPr>
              <w:t>5,00</w:t>
            </w:r>
          </w:p>
        </w:tc>
        <w:tc>
          <w:tcPr>
            <w:tcW w:w="969"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color w:val="000000"/>
                <w:sz w:val="24"/>
                <w:szCs w:val="24"/>
                <w:lang w:eastAsia="ru-RU"/>
              </w:rPr>
            </w:pPr>
            <w:r w:rsidRPr="0016623C">
              <w:rPr>
                <w:rFonts w:eastAsia="Times New Roman"/>
                <w:color w:val="000000"/>
                <w:sz w:val="24"/>
                <w:szCs w:val="24"/>
                <w:lang w:eastAsia="ru-RU"/>
              </w:rPr>
              <w:t>5,0</w:t>
            </w:r>
          </w:p>
        </w:tc>
        <w:tc>
          <w:tcPr>
            <w:tcW w:w="968"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color w:val="000000"/>
                <w:sz w:val="24"/>
                <w:szCs w:val="24"/>
                <w:lang w:eastAsia="ru-RU"/>
              </w:rPr>
            </w:pPr>
            <w:r w:rsidRPr="0016623C">
              <w:rPr>
                <w:rFonts w:eastAsia="Times New Roman"/>
                <w:color w:val="000000"/>
                <w:sz w:val="24"/>
                <w:szCs w:val="24"/>
                <w:lang w:eastAsia="ru-RU"/>
              </w:rPr>
              <w:t>1,00</w:t>
            </w:r>
          </w:p>
        </w:tc>
        <w:tc>
          <w:tcPr>
            <w:tcW w:w="969"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color w:val="000000"/>
                <w:sz w:val="24"/>
                <w:szCs w:val="24"/>
                <w:lang w:eastAsia="ru-RU"/>
              </w:rPr>
            </w:pPr>
            <w:r w:rsidRPr="0016623C">
              <w:rPr>
                <w:rFonts w:eastAsia="Times New Roman"/>
                <w:color w:val="000000"/>
                <w:sz w:val="24"/>
                <w:szCs w:val="24"/>
                <w:lang w:eastAsia="ru-RU"/>
              </w:rPr>
              <w:t>1,00</w:t>
            </w:r>
          </w:p>
        </w:tc>
      </w:tr>
      <w:tr w:rsidR="0016623C" w:rsidRPr="0016623C" w:rsidTr="0016623C">
        <w:trPr>
          <w:trHeight w:val="423"/>
        </w:trPr>
        <w:tc>
          <w:tcPr>
            <w:tcW w:w="4536" w:type="dxa"/>
            <w:tcBorders>
              <w:top w:val="single" w:sz="4" w:space="0" w:color="auto"/>
              <w:left w:val="single" w:sz="4" w:space="0" w:color="auto"/>
              <w:bottom w:val="single" w:sz="4" w:space="0" w:color="auto"/>
              <w:right w:val="single" w:sz="4" w:space="0" w:color="auto"/>
            </w:tcBorders>
            <w:vAlign w:val="bottom"/>
          </w:tcPr>
          <w:p w:rsidR="0016623C" w:rsidRPr="0016623C" w:rsidRDefault="0016623C" w:rsidP="0016623C">
            <w:pPr>
              <w:keepNext/>
              <w:jc w:val="left"/>
              <w:rPr>
                <w:rFonts w:eastAsia="Times New Roman"/>
                <w:sz w:val="24"/>
                <w:szCs w:val="24"/>
                <w:lang w:eastAsia="ru-RU"/>
              </w:rPr>
            </w:pPr>
            <w:r w:rsidRPr="0016623C">
              <w:rPr>
                <w:rFonts w:eastAsia="Times New Roman"/>
                <w:sz w:val="24"/>
                <w:szCs w:val="24"/>
                <w:lang w:eastAsia="ru-RU"/>
              </w:rPr>
              <w:t>Частота розроджень вагітних шляхом кесаревого розтину</w:t>
            </w:r>
          </w:p>
        </w:tc>
        <w:tc>
          <w:tcPr>
            <w:tcW w:w="968"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color w:val="000000"/>
                <w:sz w:val="24"/>
                <w:szCs w:val="24"/>
                <w:lang w:eastAsia="ru-RU"/>
              </w:rPr>
            </w:pPr>
            <w:r w:rsidRPr="0016623C">
              <w:rPr>
                <w:rFonts w:eastAsia="Times New Roman"/>
                <w:color w:val="000000"/>
                <w:sz w:val="24"/>
                <w:szCs w:val="24"/>
                <w:lang w:eastAsia="ru-RU"/>
              </w:rPr>
              <w:t>164,5</w:t>
            </w:r>
          </w:p>
        </w:tc>
        <w:tc>
          <w:tcPr>
            <w:tcW w:w="969"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color w:val="000000"/>
                <w:sz w:val="24"/>
                <w:szCs w:val="24"/>
                <w:lang w:eastAsia="ru-RU"/>
              </w:rPr>
            </w:pPr>
            <w:r w:rsidRPr="0016623C">
              <w:rPr>
                <w:rFonts w:eastAsia="Times New Roman"/>
                <w:color w:val="000000"/>
                <w:sz w:val="24"/>
                <w:szCs w:val="24"/>
                <w:lang w:eastAsia="ru-RU"/>
              </w:rPr>
              <w:t>201,12</w:t>
            </w:r>
          </w:p>
        </w:tc>
        <w:tc>
          <w:tcPr>
            <w:tcW w:w="968"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color w:val="000000"/>
                <w:sz w:val="24"/>
                <w:szCs w:val="24"/>
                <w:lang w:eastAsia="ru-RU"/>
              </w:rPr>
            </w:pPr>
            <w:r w:rsidRPr="0016623C">
              <w:rPr>
                <w:rFonts w:eastAsia="Times New Roman"/>
                <w:color w:val="000000"/>
                <w:sz w:val="24"/>
                <w:szCs w:val="24"/>
                <w:lang w:eastAsia="ru-RU"/>
              </w:rPr>
              <w:t>6,80</w:t>
            </w:r>
          </w:p>
        </w:tc>
        <w:tc>
          <w:tcPr>
            <w:tcW w:w="969"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color w:val="000000"/>
                <w:sz w:val="24"/>
                <w:szCs w:val="24"/>
                <w:lang w:eastAsia="ru-RU"/>
              </w:rPr>
            </w:pPr>
            <w:r w:rsidRPr="0016623C">
              <w:rPr>
                <w:rFonts w:eastAsia="Times New Roman"/>
                <w:color w:val="000000"/>
                <w:sz w:val="24"/>
                <w:szCs w:val="24"/>
                <w:lang w:eastAsia="ru-RU"/>
              </w:rPr>
              <w:t>6,16</w:t>
            </w:r>
          </w:p>
        </w:tc>
        <w:tc>
          <w:tcPr>
            <w:tcW w:w="968"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color w:val="000000"/>
                <w:sz w:val="24"/>
                <w:szCs w:val="24"/>
                <w:lang w:eastAsia="ru-RU"/>
              </w:rPr>
            </w:pPr>
            <w:r w:rsidRPr="0016623C">
              <w:rPr>
                <w:rFonts w:eastAsia="Times New Roman"/>
                <w:color w:val="000000"/>
                <w:sz w:val="24"/>
                <w:szCs w:val="24"/>
                <w:lang w:eastAsia="ru-RU"/>
              </w:rPr>
              <w:t>0,97</w:t>
            </w:r>
          </w:p>
        </w:tc>
        <w:tc>
          <w:tcPr>
            <w:tcW w:w="969"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color w:val="000000"/>
                <w:sz w:val="24"/>
                <w:szCs w:val="24"/>
                <w:lang w:eastAsia="ru-RU"/>
              </w:rPr>
            </w:pPr>
            <w:r w:rsidRPr="0016623C">
              <w:rPr>
                <w:rFonts w:eastAsia="Times New Roman"/>
                <w:color w:val="000000"/>
                <w:sz w:val="24"/>
                <w:szCs w:val="24"/>
                <w:lang w:eastAsia="ru-RU"/>
              </w:rPr>
              <w:t>0,88</w:t>
            </w:r>
          </w:p>
        </w:tc>
      </w:tr>
      <w:tr w:rsidR="0016623C" w:rsidRPr="0016623C" w:rsidTr="0016623C">
        <w:trPr>
          <w:trHeight w:val="276"/>
        </w:trPr>
        <w:tc>
          <w:tcPr>
            <w:tcW w:w="4536" w:type="dxa"/>
            <w:tcBorders>
              <w:top w:val="single" w:sz="4" w:space="0" w:color="auto"/>
              <w:left w:val="single" w:sz="4" w:space="0" w:color="auto"/>
              <w:bottom w:val="single" w:sz="4" w:space="0" w:color="auto"/>
              <w:right w:val="single" w:sz="4" w:space="0" w:color="auto"/>
            </w:tcBorders>
            <w:vAlign w:val="bottom"/>
          </w:tcPr>
          <w:p w:rsidR="0016623C" w:rsidRPr="0016623C" w:rsidRDefault="0016623C" w:rsidP="0016623C">
            <w:pPr>
              <w:keepNext/>
              <w:jc w:val="left"/>
              <w:rPr>
                <w:rFonts w:eastAsia="Times New Roman"/>
                <w:sz w:val="24"/>
                <w:szCs w:val="24"/>
                <w:lang w:eastAsia="ru-RU"/>
              </w:rPr>
            </w:pPr>
            <w:r w:rsidRPr="0016623C">
              <w:rPr>
                <w:rFonts w:eastAsia="Times New Roman"/>
                <w:sz w:val="24"/>
                <w:szCs w:val="24"/>
                <w:lang w:eastAsia="ru-RU"/>
              </w:rPr>
              <w:t>Частота  кровотеч в послідовому і післяродовому періодах</w:t>
            </w:r>
          </w:p>
        </w:tc>
        <w:tc>
          <w:tcPr>
            <w:tcW w:w="968"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color w:val="000000"/>
                <w:sz w:val="24"/>
                <w:szCs w:val="24"/>
                <w:lang w:eastAsia="ru-RU"/>
              </w:rPr>
            </w:pPr>
            <w:r w:rsidRPr="0016623C">
              <w:rPr>
                <w:rFonts w:eastAsia="Times New Roman"/>
                <w:color w:val="000000"/>
                <w:sz w:val="24"/>
                <w:szCs w:val="24"/>
                <w:lang w:eastAsia="ru-RU"/>
              </w:rPr>
              <w:t>2,1</w:t>
            </w:r>
          </w:p>
        </w:tc>
        <w:tc>
          <w:tcPr>
            <w:tcW w:w="969"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color w:val="000000"/>
                <w:sz w:val="24"/>
                <w:szCs w:val="24"/>
                <w:lang w:eastAsia="ru-RU"/>
              </w:rPr>
            </w:pPr>
            <w:r w:rsidRPr="0016623C">
              <w:rPr>
                <w:rFonts w:eastAsia="Times New Roman"/>
                <w:color w:val="000000"/>
                <w:sz w:val="24"/>
                <w:szCs w:val="24"/>
                <w:lang w:eastAsia="ru-RU"/>
              </w:rPr>
              <w:t>2,65</w:t>
            </w:r>
          </w:p>
        </w:tc>
        <w:tc>
          <w:tcPr>
            <w:tcW w:w="968"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color w:val="000000"/>
                <w:sz w:val="24"/>
                <w:szCs w:val="24"/>
                <w:lang w:eastAsia="ru-RU"/>
              </w:rPr>
            </w:pPr>
            <w:r w:rsidRPr="0016623C">
              <w:rPr>
                <w:rFonts w:eastAsia="Times New Roman"/>
                <w:color w:val="000000"/>
                <w:sz w:val="24"/>
                <w:szCs w:val="24"/>
                <w:lang w:eastAsia="ru-RU"/>
              </w:rPr>
              <w:t>9,00</w:t>
            </w:r>
          </w:p>
        </w:tc>
        <w:tc>
          <w:tcPr>
            <w:tcW w:w="969"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color w:val="000000"/>
                <w:sz w:val="24"/>
                <w:szCs w:val="24"/>
                <w:lang w:eastAsia="ru-RU"/>
              </w:rPr>
            </w:pPr>
            <w:r w:rsidRPr="0016623C">
              <w:rPr>
                <w:rFonts w:eastAsia="Times New Roman"/>
                <w:color w:val="000000"/>
                <w:sz w:val="24"/>
                <w:szCs w:val="24"/>
                <w:lang w:eastAsia="ru-RU"/>
              </w:rPr>
              <w:t>9,0</w:t>
            </w:r>
          </w:p>
        </w:tc>
        <w:tc>
          <w:tcPr>
            <w:tcW w:w="968"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color w:val="000000"/>
                <w:sz w:val="24"/>
                <w:szCs w:val="24"/>
                <w:lang w:eastAsia="ru-RU"/>
              </w:rPr>
            </w:pPr>
            <w:r w:rsidRPr="0016623C">
              <w:rPr>
                <w:rFonts w:eastAsia="Times New Roman"/>
                <w:color w:val="000000"/>
                <w:sz w:val="24"/>
                <w:szCs w:val="24"/>
                <w:lang w:eastAsia="ru-RU"/>
              </w:rPr>
              <w:t>1,00</w:t>
            </w:r>
          </w:p>
        </w:tc>
        <w:tc>
          <w:tcPr>
            <w:tcW w:w="969"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color w:val="000000"/>
                <w:sz w:val="24"/>
                <w:szCs w:val="24"/>
                <w:lang w:eastAsia="ru-RU"/>
              </w:rPr>
            </w:pPr>
            <w:r w:rsidRPr="0016623C">
              <w:rPr>
                <w:rFonts w:eastAsia="Times New Roman"/>
                <w:color w:val="000000"/>
                <w:sz w:val="24"/>
                <w:szCs w:val="24"/>
                <w:lang w:eastAsia="ru-RU"/>
              </w:rPr>
              <w:t>1,00</w:t>
            </w:r>
          </w:p>
        </w:tc>
      </w:tr>
      <w:tr w:rsidR="0016623C" w:rsidRPr="0016623C" w:rsidTr="0016623C">
        <w:trPr>
          <w:trHeight w:val="293"/>
        </w:trPr>
        <w:tc>
          <w:tcPr>
            <w:tcW w:w="4536" w:type="dxa"/>
            <w:tcBorders>
              <w:top w:val="single" w:sz="4" w:space="0" w:color="auto"/>
              <w:left w:val="single" w:sz="4" w:space="0" w:color="auto"/>
              <w:bottom w:val="single" w:sz="4" w:space="0" w:color="auto"/>
              <w:right w:val="single" w:sz="4" w:space="0" w:color="auto"/>
            </w:tcBorders>
            <w:vAlign w:val="bottom"/>
          </w:tcPr>
          <w:p w:rsidR="0016623C" w:rsidRPr="0016623C" w:rsidRDefault="0016623C" w:rsidP="0016623C">
            <w:pPr>
              <w:keepNext/>
              <w:jc w:val="left"/>
              <w:rPr>
                <w:rFonts w:eastAsia="Times New Roman"/>
                <w:sz w:val="24"/>
                <w:szCs w:val="24"/>
                <w:lang w:eastAsia="ru-RU"/>
              </w:rPr>
            </w:pPr>
            <w:r w:rsidRPr="0016623C">
              <w:rPr>
                <w:rFonts w:eastAsia="Times New Roman"/>
                <w:sz w:val="24"/>
                <w:szCs w:val="24"/>
                <w:lang w:eastAsia="ru-RU"/>
              </w:rPr>
              <w:t>Частота мало вагових новонароджених</w:t>
            </w:r>
          </w:p>
        </w:tc>
        <w:tc>
          <w:tcPr>
            <w:tcW w:w="968"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color w:val="000000"/>
                <w:sz w:val="24"/>
                <w:szCs w:val="24"/>
                <w:lang w:eastAsia="ru-RU"/>
              </w:rPr>
            </w:pPr>
            <w:r w:rsidRPr="0016623C">
              <w:rPr>
                <w:rFonts w:eastAsia="Times New Roman"/>
                <w:color w:val="000000"/>
                <w:sz w:val="24"/>
                <w:szCs w:val="24"/>
                <w:lang w:eastAsia="ru-RU"/>
              </w:rPr>
              <w:t>5,71</w:t>
            </w:r>
          </w:p>
        </w:tc>
        <w:tc>
          <w:tcPr>
            <w:tcW w:w="969"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color w:val="000000"/>
                <w:sz w:val="24"/>
                <w:szCs w:val="24"/>
                <w:lang w:eastAsia="ru-RU"/>
              </w:rPr>
            </w:pPr>
            <w:r w:rsidRPr="0016623C">
              <w:rPr>
                <w:rFonts w:eastAsia="Times New Roman"/>
                <w:color w:val="000000"/>
                <w:sz w:val="24"/>
                <w:szCs w:val="24"/>
                <w:lang w:eastAsia="ru-RU"/>
              </w:rPr>
              <w:t>4,97</w:t>
            </w:r>
          </w:p>
        </w:tc>
        <w:tc>
          <w:tcPr>
            <w:tcW w:w="968"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color w:val="000000"/>
                <w:sz w:val="24"/>
                <w:szCs w:val="24"/>
                <w:lang w:eastAsia="ru-RU"/>
              </w:rPr>
            </w:pPr>
            <w:r w:rsidRPr="0016623C">
              <w:rPr>
                <w:rFonts w:eastAsia="Times New Roman"/>
                <w:color w:val="000000"/>
                <w:sz w:val="24"/>
                <w:szCs w:val="24"/>
                <w:lang w:eastAsia="ru-RU"/>
              </w:rPr>
              <w:t>2,86</w:t>
            </w:r>
          </w:p>
        </w:tc>
        <w:tc>
          <w:tcPr>
            <w:tcW w:w="969"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color w:val="000000"/>
                <w:sz w:val="24"/>
                <w:szCs w:val="24"/>
                <w:lang w:eastAsia="ru-RU"/>
              </w:rPr>
            </w:pPr>
            <w:r w:rsidRPr="0016623C">
              <w:rPr>
                <w:rFonts w:eastAsia="Times New Roman"/>
                <w:color w:val="000000"/>
                <w:sz w:val="24"/>
                <w:szCs w:val="24"/>
                <w:lang w:eastAsia="ru-RU"/>
              </w:rPr>
              <w:t>4,03</w:t>
            </w:r>
          </w:p>
        </w:tc>
        <w:tc>
          <w:tcPr>
            <w:tcW w:w="968"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color w:val="000000"/>
                <w:sz w:val="24"/>
                <w:szCs w:val="24"/>
                <w:lang w:eastAsia="ru-RU"/>
              </w:rPr>
            </w:pPr>
            <w:r w:rsidRPr="0016623C">
              <w:rPr>
                <w:rFonts w:eastAsia="Times New Roman"/>
                <w:color w:val="000000"/>
                <w:sz w:val="24"/>
                <w:szCs w:val="24"/>
                <w:lang w:eastAsia="ru-RU"/>
              </w:rPr>
              <w:t>0,57</w:t>
            </w:r>
          </w:p>
        </w:tc>
        <w:tc>
          <w:tcPr>
            <w:tcW w:w="969"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color w:val="000000"/>
                <w:sz w:val="24"/>
                <w:szCs w:val="24"/>
                <w:lang w:eastAsia="ru-RU"/>
              </w:rPr>
            </w:pPr>
            <w:r w:rsidRPr="0016623C">
              <w:rPr>
                <w:rFonts w:eastAsia="Times New Roman"/>
                <w:color w:val="000000"/>
                <w:sz w:val="24"/>
                <w:szCs w:val="24"/>
                <w:lang w:eastAsia="ru-RU"/>
              </w:rPr>
              <w:t>0,81</w:t>
            </w:r>
          </w:p>
        </w:tc>
      </w:tr>
      <w:tr w:rsidR="0016623C" w:rsidRPr="0016623C" w:rsidTr="0016623C">
        <w:trPr>
          <w:trHeight w:val="344"/>
        </w:trPr>
        <w:tc>
          <w:tcPr>
            <w:tcW w:w="4536" w:type="dxa"/>
            <w:tcBorders>
              <w:top w:val="single" w:sz="4" w:space="0" w:color="auto"/>
              <w:left w:val="single" w:sz="4" w:space="0" w:color="auto"/>
              <w:bottom w:val="single" w:sz="4" w:space="0" w:color="auto"/>
              <w:right w:val="single" w:sz="4" w:space="0" w:color="auto"/>
            </w:tcBorders>
            <w:vAlign w:val="bottom"/>
          </w:tcPr>
          <w:p w:rsidR="0016623C" w:rsidRPr="0016623C" w:rsidRDefault="0016623C" w:rsidP="0016623C">
            <w:pPr>
              <w:keepNext/>
              <w:jc w:val="left"/>
              <w:rPr>
                <w:rFonts w:eastAsia="Times New Roman"/>
                <w:sz w:val="24"/>
                <w:szCs w:val="24"/>
                <w:lang w:eastAsia="ru-RU"/>
              </w:rPr>
            </w:pPr>
            <w:r w:rsidRPr="0016623C">
              <w:rPr>
                <w:rFonts w:eastAsia="Times New Roman"/>
                <w:sz w:val="24"/>
                <w:szCs w:val="24"/>
                <w:lang w:eastAsia="ru-RU"/>
              </w:rPr>
              <w:t>Виживання новонароджених з дуже малою масою тіла при народженні</w:t>
            </w:r>
          </w:p>
        </w:tc>
        <w:tc>
          <w:tcPr>
            <w:tcW w:w="968"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color w:val="000000"/>
                <w:sz w:val="24"/>
                <w:szCs w:val="24"/>
                <w:lang w:eastAsia="ru-RU"/>
              </w:rPr>
            </w:pPr>
            <w:r w:rsidRPr="0016623C">
              <w:rPr>
                <w:rFonts w:eastAsia="Times New Roman"/>
                <w:color w:val="000000"/>
                <w:sz w:val="24"/>
                <w:szCs w:val="24"/>
                <w:lang w:eastAsia="ru-RU"/>
              </w:rPr>
              <w:t>65,77</w:t>
            </w:r>
          </w:p>
        </w:tc>
        <w:tc>
          <w:tcPr>
            <w:tcW w:w="969"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color w:val="000000"/>
                <w:sz w:val="24"/>
                <w:szCs w:val="24"/>
                <w:lang w:eastAsia="ru-RU"/>
              </w:rPr>
            </w:pPr>
            <w:r w:rsidRPr="0016623C">
              <w:rPr>
                <w:rFonts w:eastAsia="Times New Roman"/>
                <w:color w:val="000000"/>
                <w:sz w:val="24"/>
                <w:szCs w:val="24"/>
                <w:lang w:eastAsia="ru-RU"/>
              </w:rPr>
              <w:t>73,96</w:t>
            </w:r>
          </w:p>
        </w:tc>
        <w:tc>
          <w:tcPr>
            <w:tcW w:w="968"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color w:val="000000"/>
                <w:sz w:val="24"/>
                <w:szCs w:val="24"/>
                <w:lang w:eastAsia="ru-RU"/>
              </w:rPr>
            </w:pPr>
            <w:r w:rsidRPr="0016623C">
              <w:rPr>
                <w:rFonts w:eastAsia="Times New Roman"/>
                <w:color w:val="000000"/>
                <w:sz w:val="24"/>
                <w:szCs w:val="24"/>
                <w:lang w:eastAsia="ru-RU"/>
              </w:rPr>
              <w:t>5,85</w:t>
            </w:r>
          </w:p>
        </w:tc>
        <w:tc>
          <w:tcPr>
            <w:tcW w:w="969"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color w:val="000000"/>
                <w:sz w:val="24"/>
                <w:szCs w:val="24"/>
                <w:lang w:eastAsia="ru-RU"/>
              </w:rPr>
            </w:pPr>
            <w:r w:rsidRPr="0016623C">
              <w:rPr>
                <w:rFonts w:eastAsia="Times New Roman"/>
                <w:color w:val="000000"/>
                <w:sz w:val="24"/>
                <w:szCs w:val="24"/>
                <w:lang w:eastAsia="ru-RU"/>
              </w:rPr>
              <w:t>7,01</w:t>
            </w:r>
          </w:p>
        </w:tc>
        <w:tc>
          <w:tcPr>
            <w:tcW w:w="968"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color w:val="000000"/>
                <w:sz w:val="24"/>
                <w:szCs w:val="24"/>
                <w:lang w:eastAsia="ru-RU"/>
              </w:rPr>
            </w:pPr>
            <w:r w:rsidRPr="0016623C">
              <w:rPr>
                <w:rFonts w:eastAsia="Times New Roman"/>
                <w:color w:val="000000"/>
                <w:sz w:val="24"/>
                <w:szCs w:val="24"/>
                <w:lang w:eastAsia="ru-RU"/>
              </w:rPr>
              <w:t>0,73</w:t>
            </w:r>
          </w:p>
        </w:tc>
        <w:tc>
          <w:tcPr>
            <w:tcW w:w="969"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color w:val="000000"/>
                <w:sz w:val="24"/>
                <w:szCs w:val="24"/>
                <w:lang w:eastAsia="ru-RU"/>
              </w:rPr>
            </w:pPr>
            <w:r w:rsidRPr="0016623C">
              <w:rPr>
                <w:rFonts w:eastAsia="Times New Roman"/>
                <w:color w:val="000000"/>
                <w:sz w:val="24"/>
                <w:szCs w:val="24"/>
                <w:lang w:eastAsia="ru-RU"/>
              </w:rPr>
              <w:t>0,88</w:t>
            </w:r>
          </w:p>
        </w:tc>
      </w:tr>
      <w:tr w:rsidR="0016623C" w:rsidRPr="0016623C" w:rsidTr="0016623C">
        <w:trPr>
          <w:trHeight w:val="226"/>
        </w:trPr>
        <w:tc>
          <w:tcPr>
            <w:tcW w:w="4536" w:type="dxa"/>
            <w:tcBorders>
              <w:top w:val="single" w:sz="4" w:space="0" w:color="auto"/>
              <w:left w:val="single" w:sz="4" w:space="0" w:color="auto"/>
              <w:bottom w:val="single" w:sz="4" w:space="0" w:color="auto"/>
              <w:right w:val="single" w:sz="4" w:space="0" w:color="auto"/>
            </w:tcBorders>
            <w:vAlign w:val="bottom"/>
          </w:tcPr>
          <w:p w:rsidR="0016623C" w:rsidRPr="0016623C" w:rsidRDefault="0016623C" w:rsidP="0016623C">
            <w:pPr>
              <w:keepNext/>
              <w:jc w:val="left"/>
              <w:rPr>
                <w:rFonts w:eastAsia="Times New Roman"/>
                <w:sz w:val="24"/>
                <w:szCs w:val="24"/>
                <w:lang w:eastAsia="ru-RU"/>
              </w:rPr>
            </w:pPr>
            <w:r w:rsidRPr="0016623C">
              <w:rPr>
                <w:rFonts w:eastAsia="Times New Roman"/>
                <w:sz w:val="24"/>
                <w:szCs w:val="24"/>
                <w:lang w:eastAsia="ru-RU"/>
              </w:rPr>
              <w:t>Індекс здоров’я новонароджених</w:t>
            </w:r>
          </w:p>
        </w:tc>
        <w:tc>
          <w:tcPr>
            <w:tcW w:w="968"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color w:val="000000"/>
                <w:sz w:val="24"/>
                <w:szCs w:val="24"/>
                <w:lang w:eastAsia="ru-RU"/>
              </w:rPr>
            </w:pPr>
            <w:r w:rsidRPr="0016623C">
              <w:rPr>
                <w:rFonts w:eastAsia="Times New Roman"/>
                <w:color w:val="000000"/>
                <w:sz w:val="24"/>
                <w:szCs w:val="24"/>
                <w:lang w:eastAsia="ru-RU"/>
              </w:rPr>
              <w:t>88,8</w:t>
            </w:r>
          </w:p>
        </w:tc>
        <w:tc>
          <w:tcPr>
            <w:tcW w:w="969"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color w:val="000000"/>
                <w:sz w:val="24"/>
                <w:szCs w:val="24"/>
                <w:lang w:eastAsia="ru-RU"/>
              </w:rPr>
            </w:pPr>
            <w:r w:rsidRPr="0016623C">
              <w:rPr>
                <w:rFonts w:eastAsia="Times New Roman"/>
                <w:color w:val="000000"/>
                <w:sz w:val="24"/>
                <w:szCs w:val="24"/>
                <w:lang w:eastAsia="ru-RU"/>
              </w:rPr>
              <w:t>88,08</w:t>
            </w:r>
          </w:p>
        </w:tc>
        <w:tc>
          <w:tcPr>
            <w:tcW w:w="968"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color w:val="000000"/>
                <w:sz w:val="24"/>
                <w:szCs w:val="24"/>
                <w:lang w:eastAsia="ru-RU"/>
              </w:rPr>
            </w:pPr>
            <w:r w:rsidRPr="0016623C">
              <w:rPr>
                <w:rFonts w:eastAsia="Times New Roman"/>
                <w:color w:val="000000"/>
                <w:sz w:val="24"/>
                <w:szCs w:val="24"/>
                <w:lang w:eastAsia="ru-RU"/>
              </w:rPr>
              <w:t>5,92</w:t>
            </w:r>
          </w:p>
        </w:tc>
        <w:tc>
          <w:tcPr>
            <w:tcW w:w="969"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color w:val="000000"/>
                <w:sz w:val="24"/>
                <w:szCs w:val="24"/>
                <w:lang w:eastAsia="ru-RU"/>
              </w:rPr>
            </w:pPr>
            <w:r w:rsidRPr="0016623C">
              <w:rPr>
                <w:rFonts w:eastAsia="Times New Roman"/>
                <w:color w:val="000000"/>
                <w:sz w:val="24"/>
                <w:szCs w:val="24"/>
                <w:lang w:eastAsia="ru-RU"/>
              </w:rPr>
              <w:t>6,0</w:t>
            </w:r>
          </w:p>
        </w:tc>
        <w:tc>
          <w:tcPr>
            <w:tcW w:w="968"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color w:val="000000"/>
                <w:sz w:val="24"/>
                <w:szCs w:val="24"/>
                <w:lang w:eastAsia="ru-RU"/>
              </w:rPr>
            </w:pPr>
            <w:r w:rsidRPr="0016623C">
              <w:rPr>
                <w:rFonts w:eastAsia="Times New Roman"/>
                <w:color w:val="000000"/>
                <w:sz w:val="24"/>
                <w:szCs w:val="24"/>
                <w:lang w:eastAsia="ru-RU"/>
              </w:rPr>
              <w:t>0,99</w:t>
            </w:r>
          </w:p>
        </w:tc>
        <w:tc>
          <w:tcPr>
            <w:tcW w:w="969"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color w:val="000000"/>
                <w:sz w:val="24"/>
                <w:szCs w:val="24"/>
                <w:lang w:eastAsia="ru-RU"/>
              </w:rPr>
            </w:pPr>
            <w:r w:rsidRPr="0016623C">
              <w:rPr>
                <w:rFonts w:eastAsia="Times New Roman"/>
                <w:color w:val="000000"/>
                <w:sz w:val="24"/>
                <w:szCs w:val="24"/>
                <w:lang w:eastAsia="ru-RU"/>
              </w:rPr>
              <w:t>1,00</w:t>
            </w:r>
          </w:p>
        </w:tc>
      </w:tr>
      <w:tr w:rsidR="0016623C" w:rsidRPr="0016623C" w:rsidTr="0016623C">
        <w:trPr>
          <w:trHeight w:val="244"/>
        </w:trPr>
        <w:tc>
          <w:tcPr>
            <w:tcW w:w="4536" w:type="dxa"/>
            <w:tcBorders>
              <w:top w:val="single" w:sz="4" w:space="0" w:color="auto"/>
              <w:left w:val="single" w:sz="4" w:space="0" w:color="auto"/>
              <w:bottom w:val="single" w:sz="4" w:space="0" w:color="auto"/>
              <w:right w:val="single" w:sz="4" w:space="0" w:color="auto"/>
            </w:tcBorders>
            <w:vAlign w:val="bottom"/>
          </w:tcPr>
          <w:p w:rsidR="0016623C" w:rsidRPr="0016623C" w:rsidRDefault="0016623C" w:rsidP="0016623C">
            <w:pPr>
              <w:keepNext/>
              <w:jc w:val="left"/>
              <w:rPr>
                <w:rFonts w:eastAsia="Times New Roman"/>
                <w:sz w:val="24"/>
                <w:szCs w:val="24"/>
                <w:lang w:eastAsia="ru-RU"/>
              </w:rPr>
            </w:pPr>
            <w:r w:rsidRPr="0016623C">
              <w:rPr>
                <w:rFonts w:eastAsia="Times New Roman"/>
                <w:sz w:val="24"/>
                <w:szCs w:val="24"/>
                <w:lang w:eastAsia="ru-RU"/>
              </w:rPr>
              <w:t xml:space="preserve">Рівень перинатальної смертності </w:t>
            </w:r>
          </w:p>
        </w:tc>
        <w:tc>
          <w:tcPr>
            <w:tcW w:w="968"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color w:val="000000"/>
                <w:sz w:val="24"/>
                <w:szCs w:val="24"/>
                <w:lang w:eastAsia="ru-RU"/>
              </w:rPr>
            </w:pPr>
            <w:r w:rsidRPr="0016623C">
              <w:rPr>
                <w:rFonts w:eastAsia="Times New Roman"/>
                <w:color w:val="000000"/>
                <w:sz w:val="24"/>
                <w:szCs w:val="24"/>
                <w:lang w:eastAsia="ru-RU"/>
              </w:rPr>
              <w:t>10,81</w:t>
            </w:r>
          </w:p>
        </w:tc>
        <w:tc>
          <w:tcPr>
            <w:tcW w:w="969"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color w:val="000000"/>
                <w:sz w:val="24"/>
                <w:szCs w:val="24"/>
                <w:lang w:eastAsia="ru-RU"/>
              </w:rPr>
            </w:pPr>
            <w:r w:rsidRPr="0016623C">
              <w:rPr>
                <w:rFonts w:eastAsia="Times New Roman"/>
                <w:color w:val="000000"/>
                <w:sz w:val="24"/>
                <w:szCs w:val="24"/>
                <w:lang w:eastAsia="ru-RU"/>
              </w:rPr>
              <w:t>9,70</w:t>
            </w:r>
          </w:p>
        </w:tc>
        <w:tc>
          <w:tcPr>
            <w:tcW w:w="968"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color w:val="000000"/>
                <w:sz w:val="24"/>
                <w:szCs w:val="24"/>
                <w:lang w:eastAsia="ru-RU"/>
              </w:rPr>
            </w:pPr>
            <w:r w:rsidRPr="0016623C">
              <w:rPr>
                <w:rFonts w:eastAsia="Times New Roman"/>
                <w:color w:val="000000"/>
                <w:sz w:val="24"/>
                <w:szCs w:val="24"/>
                <w:lang w:eastAsia="ru-RU"/>
              </w:rPr>
              <w:t>3,89</w:t>
            </w:r>
          </w:p>
        </w:tc>
        <w:tc>
          <w:tcPr>
            <w:tcW w:w="969"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color w:val="000000"/>
                <w:sz w:val="24"/>
                <w:szCs w:val="24"/>
                <w:lang w:eastAsia="ru-RU"/>
              </w:rPr>
            </w:pPr>
            <w:r w:rsidRPr="0016623C">
              <w:rPr>
                <w:rFonts w:eastAsia="Times New Roman"/>
                <w:color w:val="000000"/>
                <w:sz w:val="24"/>
                <w:szCs w:val="24"/>
                <w:lang w:eastAsia="ru-RU"/>
              </w:rPr>
              <w:t>4,73</w:t>
            </w:r>
          </w:p>
        </w:tc>
        <w:tc>
          <w:tcPr>
            <w:tcW w:w="968"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color w:val="000000"/>
                <w:sz w:val="24"/>
                <w:szCs w:val="24"/>
                <w:lang w:eastAsia="ru-RU"/>
              </w:rPr>
            </w:pPr>
            <w:r w:rsidRPr="0016623C">
              <w:rPr>
                <w:rFonts w:eastAsia="Times New Roman"/>
                <w:color w:val="000000"/>
                <w:sz w:val="24"/>
                <w:szCs w:val="24"/>
                <w:lang w:eastAsia="ru-RU"/>
              </w:rPr>
              <w:t>0,65</w:t>
            </w:r>
          </w:p>
        </w:tc>
        <w:tc>
          <w:tcPr>
            <w:tcW w:w="969"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color w:val="000000"/>
                <w:sz w:val="24"/>
                <w:szCs w:val="24"/>
                <w:lang w:eastAsia="ru-RU"/>
              </w:rPr>
            </w:pPr>
            <w:r w:rsidRPr="0016623C">
              <w:rPr>
                <w:rFonts w:eastAsia="Times New Roman"/>
                <w:color w:val="000000"/>
                <w:sz w:val="24"/>
                <w:szCs w:val="24"/>
                <w:lang w:eastAsia="ru-RU"/>
              </w:rPr>
              <w:t>0,79</w:t>
            </w:r>
          </w:p>
        </w:tc>
      </w:tr>
      <w:tr w:rsidR="0016623C" w:rsidRPr="0016623C" w:rsidTr="0016623C">
        <w:trPr>
          <w:trHeight w:val="216"/>
        </w:trPr>
        <w:tc>
          <w:tcPr>
            <w:tcW w:w="4536"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rPr>
                <w:rFonts w:eastAsia="Times New Roman"/>
                <w:sz w:val="24"/>
                <w:szCs w:val="24"/>
                <w:lang w:eastAsia="ru-RU"/>
              </w:rPr>
            </w:pPr>
            <w:r w:rsidRPr="0016623C">
              <w:rPr>
                <w:rFonts w:eastAsia="Times New Roman"/>
                <w:sz w:val="24"/>
                <w:szCs w:val="24"/>
                <w:lang w:eastAsia="ru-RU"/>
              </w:rPr>
              <w:t>Співвідношення реального і фактичного показника ранньої неонатальної смертності</w:t>
            </w:r>
          </w:p>
        </w:tc>
        <w:tc>
          <w:tcPr>
            <w:tcW w:w="968"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sz w:val="24"/>
                <w:szCs w:val="24"/>
                <w:lang w:eastAsia="ru-RU"/>
              </w:rPr>
            </w:pPr>
            <w:r w:rsidRPr="0016623C">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color w:val="000000"/>
                <w:sz w:val="24"/>
                <w:szCs w:val="24"/>
                <w:lang w:eastAsia="ru-RU"/>
              </w:rPr>
            </w:pPr>
            <w:r w:rsidRPr="0016623C">
              <w:rPr>
                <w:rFonts w:eastAsia="Times New Roman"/>
                <w:color w:val="000000"/>
                <w:sz w:val="24"/>
                <w:szCs w:val="24"/>
                <w:lang w:eastAsia="ru-RU"/>
              </w:rPr>
              <w:t>1,96</w:t>
            </w:r>
          </w:p>
        </w:tc>
        <w:tc>
          <w:tcPr>
            <w:tcW w:w="968"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sz w:val="24"/>
                <w:szCs w:val="24"/>
                <w:lang w:eastAsia="ru-RU"/>
              </w:rPr>
            </w:pPr>
            <w:r w:rsidRPr="0016623C">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color w:val="000000"/>
                <w:sz w:val="24"/>
                <w:szCs w:val="24"/>
                <w:lang w:eastAsia="ru-RU"/>
              </w:rPr>
            </w:pPr>
            <w:r w:rsidRPr="0016623C">
              <w:rPr>
                <w:rFonts w:eastAsia="Times New Roman"/>
                <w:color w:val="000000"/>
                <w:sz w:val="24"/>
                <w:szCs w:val="24"/>
                <w:lang w:eastAsia="ru-RU"/>
              </w:rPr>
              <w:t>4,16</w:t>
            </w:r>
          </w:p>
        </w:tc>
        <w:tc>
          <w:tcPr>
            <w:tcW w:w="968"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sz w:val="24"/>
                <w:szCs w:val="24"/>
                <w:lang w:eastAsia="ru-RU"/>
              </w:rPr>
            </w:pPr>
            <w:r w:rsidRPr="0016623C">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color w:val="000000"/>
                <w:sz w:val="24"/>
                <w:szCs w:val="24"/>
                <w:lang w:eastAsia="ru-RU"/>
              </w:rPr>
            </w:pPr>
            <w:r w:rsidRPr="0016623C">
              <w:rPr>
                <w:rFonts w:eastAsia="Times New Roman"/>
                <w:color w:val="000000"/>
                <w:sz w:val="24"/>
                <w:szCs w:val="24"/>
                <w:lang w:eastAsia="ru-RU"/>
              </w:rPr>
              <w:t>0,69</w:t>
            </w:r>
          </w:p>
        </w:tc>
      </w:tr>
      <w:tr w:rsidR="0016623C" w:rsidRPr="0016623C" w:rsidTr="0016623C">
        <w:trPr>
          <w:trHeight w:val="366"/>
        </w:trPr>
        <w:tc>
          <w:tcPr>
            <w:tcW w:w="4536"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left"/>
              <w:rPr>
                <w:rFonts w:eastAsia="Times New Roman"/>
                <w:sz w:val="24"/>
                <w:szCs w:val="24"/>
                <w:lang w:eastAsia="ru-RU"/>
              </w:rPr>
            </w:pPr>
            <w:r w:rsidRPr="0016623C">
              <w:rPr>
                <w:rFonts w:eastAsia="Times New Roman"/>
                <w:sz w:val="24"/>
                <w:szCs w:val="24"/>
                <w:lang w:eastAsia="ru-RU"/>
              </w:rPr>
              <w:t>Рівень неонатальної смертності</w:t>
            </w:r>
          </w:p>
        </w:tc>
        <w:tc>
          <w:tcPr>
            <w:tcW w:w="968"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sz w:val="24"/>
                <w:szCs w:val="24"/>
                <w:lang w:eastAsia="ru-RU"/>
              </w:rPr>
            </w:pPr>
            <w:r w:rsidRPr="0016623C">
              <w:rPr>
                <w:rFonts w:eastAsia="Times New Roman"/>
                <w:sz w:val="24"/>
                <w:szCs w:val="24"/>
                <w:lang w:eastAsia="ru-RU"/>
              </w:rPr>
              <w:t>7</w:t>
            </w:r>
          </w:p>
        </w:tc>
        <w:tc>
          <w:tcPr>
            <w:tcW w:w="969"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color w:val="000000"/>
                <w:sz w:val="24"/>
                <w:szCs w:val="24"/>
                <w:lang w:eastAsia="ru-RU"/>
              </w:rPr>
            </w:pPr>
            <w:r w:rsidRPr="0016623C">
              <w:rPr>
                <w:rFonts w:eastAsia="Times New Roman"/>
                <w:color w:val="000000"/>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sz w:val="24"/>
                <w:szCs w:val="24"/>
                <w:lang w:eastAsia="ru-RU"/>
              </w:rPr>
            </w:pPr>
            <w:r w:rsidRPr="0016623C">
              <w:rPr>
                <w:rFonts w:eastAsia="Times New Roman"/>
                <w:sz w:val="24"/>
                <w:szCs w:val="24"/>
                <w:lang w:eastAsia="ru-RU"/>
              </w:rPr>
              <w:t>1,5</w:t>
            </w:r>
          </w:p>
        </w:tc>
        <w:tc>
          <w:tcPr>
            <w:tcW w:w="969"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color w:val="000000"/>
                <w:sz w:val="24"/>
                <w:szCs w:val="24"/>
                <w:lang w:eastAsia="ru-RU"/>
              </w:rPr>
            </w:pPr>
            <w:r w:rsidRPr="0016623C">
              <w:rPr>
                <w:rFonts w:eastAsia="Times New Roman"/>
                <w:color w:val="000000"/>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sz w:val="24"/>
                <w:szCs w:val="24"/>
                <w:lang w:eastAsia="ru-RU"/>
              </w:rPr>
            </w:pPr>
            <w:r w:rsidRPr="0016623C">
              <w:rPr>
                <w:rFonts w:eastAsia="Times New Roman"/>
                <w:sz w:val="24"/>
                <w:szCs w:val="24"/>
                <w:lang w:eastAsia="ru-RU"/>
              </w:rPr>
              <w:t>0,25</w:t>
            </w:r>
          </w:p>
        </w:tc>
        <w:tc>
          <w:tcPr>
            <w:tcW w:w="969"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color w:val="000000"/>
                <w:sz w:val="24"/>
                <w:szCs w:val="24"/>
                <w:lang w:eastAsia="ru-RU"/>
              </w:rPr>
            </w:pPr>
            <w:r w:rsidRPr="0016623C">
              <w:rPr>
                <w:rFonts w:eastAsia="Times New Roman"/>
                <w:color w:val="000000"/>
                <w:sz w:val="24"/>
                <w:szCs w:val="24"/>
                <w:lang w:eastAsia="ru-RU"/>
              </w:rPr>
              <w:t>**</w:t>
            </w:r>
          </w:p>
        </w:tc>
      </w:tr>
      <w:tr w:rsidR="0016623C" w:rsidRPr="0016623C" w:rsidTr="0016623C">
        <w:trPr>
          <w:trHeight w:val="272"/>
        </w:trPr>
        <w:tc>
          <w:tcPr>
            <w:tcW w:w="4536"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left"/>
              <w:rPr>
                <w:rFonts w:eastAsia="Times New Roman"/>
                <w:sz w:val="24"/>
                <w:szCs w:val="24"/>
                <w:lang w:eastAsia="ru-RU"/>
              </w:rPr>
            </w:pPr>
            <w:r w:rsidRPr="0016623C">
              <w:rPr>
                <w:rFonts w:eastAsia="Times New Roman"/>
                <w:sz w:val="24"/>
                <w:szCs w:val="24"/>
                <w:lang w:eastAsia="ru-RU"/>
              </w:rPr>
              <w:t xml:space="preserve">Рівень ранньої неонатальної смертності </w:t>
            </w:r>
          </w:p>
        </w:tc>
        <w:tc>
          <w:tcPr>
            <w:tcW w:w="968"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sz w:val="24"/>
                <w:szCs w:val="24"/>
                <w:lang w:eastAsia="ru-RU"/>
              </w:rPr>
            </w:pPr>
            <w:r w:rsidRPr="0016623C">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color w:val="000000"/>
                <w:sz w:val="24"/>
                <w:szCs w:val="24"/>
                <w:lang w:eastAsia="ru-RU"/>
              </w:rPr>
            </w:pPr>
            <w:r w:rsidRPr="0016623C">
              <w:rPr>
                <w:rFonts w:eastAsia="Times New Roman"/>
                <w:color w:val="000000"/>
                <w:sz w:val="24"/>
                <w:szCs w:val="24"/>
                <w:lang w:eastAsia="ru-RU"/>
              </w:rPr>
              <w:t>3,87</w:t>
            </w:r>
          </w:p>
        </w:tc>
        <w:tc>
          <w:tcPr>
            <w:tcW w:w="968"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sz w:val="24"/>
                <w:szCs w:val="24"/>
                <w:lang w:eastAsia="ru-RU"/>
              </w:rPr>
            </w:pPr>
            <w:r w:rsidRPr="0016623C">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color w:val="000000"/>
                <w:sz w:val="24"/>
                <w:szCs w:val="24"/>
                <w:lang w:eastAsia="ru-RU"/>
              </w:rPr>
            </w:pPr>
            <w:r w:rsidRPr="0016623C">
              <w:rPr>
                <w:rFonts w:eastAsia="Times New Roman"/>
                <w:color w:val="000000"/>
                <w:sz w:val="24"/>
                <w:szCs w:val="24"/>
                <w:lang w:eastAsia="ru-RU"/>
              </w:rPr>
              <w:t>4,10</w:t>
            </w:r>
          </w:p>
        </w:tc>
        <w:tc>
          <w:tcPr>
            <w:tcW w:w="968"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sz w:val="24"/>
                <w:szCs w:val="24"/>
                <w:lang w:eastAsia="ru-RU"/>
              </w:rPr>
            </w:pPr>
            <w:r w:rsidRPr="0016623C">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color w:val="000000"/>
                <w:sz w:val="24"/>
                <w:szCs w:val="24"/>
                <w:lang w:eastAsia="ru-RU"/>
              </w:rPr>
            </w:pPr>
            <w:r w:rsidRPr="0016623C">
              <w:rPr>
                <w:rFonts w:eastAsia="Times New Roman"/>
                <w:color w:val="000000"/>
                <w:sz w:val="24"/>
                <w:szCs w:val="24"/>
                <w:lang w:eastAsia="ru-RU"/>
              </w:rPr>
              <w:t>0,68</w:t>
            </w:r>
          </w:p>
        </w:tc>
      </w:tr>
      <w:tr w:rsidR="0016623C" w:rsidRPr="0016623C" w:rsidTr="0016623C">
        <w:trPr>
          <w:trHeight w:val="275"/>
        </w:trPr>
        <w:tc>
          <w:tcPr>
            <w:tcW w:w="4536" w:type="dxa"/>
            <w:tcBorders>
              <w:top w:val="single" w:sz="4" w:space="0" w:color="auto"/>
              <w:left w:val="single" w:sz="4" w:space="0" w:color="auto"/>
              <w:bottom w:val="single" w:sz="4" w:space="0" w:color="auto"/>
              <w:right w:val="single" w:sz="4" w:space="0" w:color="auto"/>
            </w:tcBorders>
            <w:vAlign w:val="bottom"/>
          </w:tcPr>
          <w:p w:rsidR="0016623C" w:rsidRPr="0016623C" w:rsidRDefault="0016623C" w:rsidP="0016623C">
            <w:pPr>
              <w:keepNext/>
              <w:jc w:val="left"/>
              <w:rPr>
                <w:rFonts w:eastAsia="Times New Roman"/>
                <w:sz w:val="24"/>
                <w:szCs w:val="24"/>
                <w:lang w:eastAsia="ru-RU"/>
              </w:rPr>
            </w:pPr>
            <w:r w:rsidRPr="0016623C">
              <w:rPr>
                <w:rFonts w:eastAsia="Times New Roman"/>
                <w:sz w:val="24"/>
                <w:szCs w:val="24"/>
                <w:lang w:eastAsia="ru-RU"/>
              </w:rPr>
              <w:t xml:space="preserve">Рівень материнської смертності </w:t>
            </w:r>
          </w:p>
        </w:tc>
        <w:tc>
          <w:tcPr>
            <w:tcW w:w="968"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sz w:val="24"/>
                <w:szCs w:val="24"/>
                <w:lang w:eastAsia="ru-RU"/>
              </w:rPr>
            </w:pPr>
            <w:r w:rsidRPr="0016623C">
              <w:rPr>
                <w:rFonts w:eastAsia="Times New Roman"/>
                <w:sz w:val="24"/>
                <w:szCs w:val="24"/>
                <w:lang w:eastAsia="ru-RU"/>
              </w:rPr>
              <w:t>8</w:t>
            </w:r>
          </w:p>
        </w:tc>
        <w:tc>
          <w:tcPr>
            <w:tcW w:w="969"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color w:val="000000"/>
                <w:sz w:val="24"/>
                <w:szCs w:val="24"/>
                <w:lang w:eastAsia="ru-RU"/>
              </w:rPr>
            </w:pPr>
            <w:r w:rsidRPr="0016623C">
              <w:rPr>
                <w:rFonts w:eastAsia="Times New Roman"/>
                <w:color w:val="000000"/>
                <w:sz w:val="24"/>
                <w:szCs w:val="24"/>
                <w:lang w:eastAsia="ru-RU"/>
              </w:rPr>
              <w:t>12,9</w:t>
            </w:r>
          </w:p>
        </w:tc>
        <w:tc>
          <w:tcPr>
            <w:tcW w:w="968"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sz w:val="24"/>
                <w:szCs w:val="24"/>
                <w:lang w:eastAsia="ru-RU"/>
              </w:rPr>
            </w:pPr>
            <w:r w:rsidRPr="0016623C">
              <w:rPr>
                <w:rFonts w:eastAsia="Times New Roman"/>
                <w:sz w:val="24"/>
                <w:szCs w:val="24"/>
                <w:lang w:eastAsia="ru-RU"/>
              </w:rPr>
              <w:t>5,0</w:t>
            </w:r>
          </w:p>
        </w:tc>
        <w:tc>
          <w:tcPr>
            <w:tcW w:w="969"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color w:val="000000"/>
                <w:sz w:val="24"/>
                <w:szCs w:val="24"/>
                <w:lang w:eastAsia="ru-RU"/>
              </w:rPr>
            </w:pPr>
            <w:r w:rsidRPr="0016623C">
              <w:rPr>
                <w:rFonts w:eastAsia="Times New Roman"/>
                <w:color w:val="000000"/>
                <w:sz w:val="24"/>
                <w:szCs w:val="24"/>
                <w:lang w:eastAsia="ru-RU"/>
              </w:rPr>
              <w:t>4,15</w:t>
            </w:r>
          </w:p>
        </w:tc>
        <w:tc>
          <w:tcPr>
            <w:tcW w:w="968"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sz w:val="24"/>
                <w:szCs w:val="24"/>
                <w:lang w:eastAsia="ru-RU"/>
              </w:rPr>
            </w:pPr>
            <w:r w:rsidRPr="0016623C">
              <w:rPr>
                <w:rFonts w:eastAsia="Times New Roman"/>
                <w:sz w:val="24"/>
                <w:szCs w:val="24"/>
                <w:lang w:eastAsia="ru-RU"/>
              </w:rPr>
              <w:t>1,00</w:t>
            </w:r>
          </w:p>
        </w:tc>
        <w:tc>
          <w:tcPr>
            <w:tcW w:w="969"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color w:val="000000"/>
                <w:sz w:val="24"/>
                <w:szCs w:val="24"/>
                <w:lang w:eastAsia="ru-RU"/>
              </w:rPr>
            </w:pPr>
            <w:r w:rsidRPr="0016623C">
              <w:rPr>
                <w:rFonts w:eastAsia="Times New Roman"/>
                <w:color w:val="000000"/>
                <w:sz w:val="24"/>
                <w:szCs w:val="24"/>
                <w:lang w:eastAsia="ru-RU"/>
              </w:rPr>
              <w:t>0,83</w:t>
            </w:r>
          </w:p>
        </w:tc>
      </w:tr>
      <w:tr w:rsidR="0016623C" w:rsidRPr="0016623C" w:rsidTr="0016623C">
        <w:trPr>
          <w:trHeight w:val="300"/>
        </w:trPr>
        <w:tc>
          <w:tcPr>
            <w:tcW w:w="4536" w:type="dxa"/>
            <w:tcBorders>
              <w:top w:val="single" w:sz="4" w:space="0" w:color="auto"/>
              <w:left w:val="single" w:sz="4" w:space="0" w:color="auto"/>
              <w:bottom w:val="single" w:sz="4" w:space="0" w:color="auto"/>
              <w:right w:val="single" w:sz="4" w:space="0" w:color="auto"/>
            </w:tcBorders>
            <w:noWrap/>
            <w:vAlign w:val="bottom"/>
            <w:hideMark/>
          </w:tcPr>
          <w:p w:rsidR="0016623C" w:rsidRPr="0016623C" w:rsidRDefault="0016623C" w:rsidP="0016623C">
            <w:pPr>
              <w:keepNext/>
              <w:jc w:val="left"/>
              <w:rPr>
                <w:rFonts w:eastAsia="Times New Roman"/>
                <w:sz w:val="24"/>
                <w:szCs w:val="24"/>
                <w:lang w:eastAsia="ru-RU"/>
              </w:rPr>
            </w:pPr>
          </w:p>
        </w:tc>
        <w:tc>
          <w:tcPr>
            <w:tcW w:w="968" w:type="dxa"/>
            <w:tcBorders>
              <w:top w:val="single" w:sz="4" w:space="0" w:color="auto"/>
              <w:left w:val="single" w:sz="4" w:space="0" w:color="auto"/>
              <w:bottom w:val="single" w:sz="4" w:space="0" w:color="auto"/>
              <w:right w:val="single" w:sz="4" w:space="0" w:color="auto"/>
            </w:tcBorders>
            <w:noWrap/>
            <w:vAlign w:val="center"/>
          </w:tcPr>
          <w:p w:rsidR="0016623C" w:rsidRPr="0016623C" w:rsidRDefault="0016623C" w:rsidP="0016623C">
            <w:pPr>
              <w:keepNext/>
              <w:jc w:val="center"/>
              <w:rPr>
                <w:rFonts w:eastAsia="Times New Roman"/>
                <w:sz w:val="24"/>
                <w:szCs w:val="24"/>
                <w:lang w:eastAsia="ru-RU"/>
              </w:rPr>
            </w:pPr>
          </w:p>
        </w:tc>
        <w:tc>
          <w:tcPr>
            <w:tcW w:w="969"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color w:val="000000"/>
                <w:sz w:val="24"/>
                <w:szCs w:val="24"/>
                <w:lang w:eastAsia="ru-RU"/>
              </w:rPr>
            </w:pPr>
          </w:p>
        </w:tc>
        <w:tc>
          <w:tcPr>
            <w:tcW w:w="968" w:type="dxa"/>
            <w:tcBorders>
              <w:top w:val="single" w:sz="4" w:space="0" w:color="auto"/>
              <w:left w:val="single" w:sz="4" w:space="0" w:color="auto"/>
              <w:bottom w:val="single" w:sz="4" w:space="0" w:color="auto"/>
              <w:right w:val="single" w:sz="4" w:space="0" w:color="auto"/>
            </w:tcBorders>
            <w:noWrap/>
            <w:vAlign w:val="center"/>
          </w:tcPr>
          <w:p w:rsidR="0016623C" w:rsidRPr="0016623C" w:rsidRDefault="0016623C" w:rsidP="0016623C">
            <w:pPr>
              <w:keepNext/>
              <w:jc w:val="center"/>
              <w:rPr>
                <w:rFonts w:eastAsia="Times New Roman"/>
                <w:color w:val="000000"/>
                <w:sz w:val="24"/>
                <w:szCs w:val="24"/>
                <w:lang w:eastAsia="ru-RU"/>
              </w:rPr>
            </w:pPr>
            <w:r w:rsidRPr="0016623C">
              <w:rPr>
                <w:rFonts w:eastAsia="Times New Roman"/>
                <w:color w:val="000000"/>
                <w:sz w:val="24"/>
                <w:szCs w:val="24"/>
                <w:lang w:eastAsia="ru-RU"/>
              </w:rPr>
              <w:t>94,55</w:t>
            </w:r>
          </w:p>
        </w:tc>
        <w:tc>
          <w:tcPr>
            <w:tcW w:w="969"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color w:val="000000"/>
                <w:sz w:val="24"/>
                <w:szCs w:val="24"/>
                <w:lang w:eastAsia="ru-RU"/>
              </w:rPr>
            </w:pPr>
            <w:r w:rsidRPr="0016623C">
              <w:rPr>
                <w:rFonts w:eastAsia="Times New Roman"/>
                <w:color w:val="000000"/>
                <w:sz w:val="24"/>
                <w:szCs w:val="24"/>
                <w:lang w:eastAsia="ru-RU"/>
              </w:rPr>
              <w:t>114,2</w:t>
            </w:r>
          </w:p>
        </w:tc>
        <w:tc>
          <w:tcPr>
            <w:tcW w:w="968" w:type="dxa"/>
            <w:tcBorders>
              <w:top w:val="single" w:sz="4" w:space="0" w:color="auto"/>
              <w:left w:val="single" w:sz="4" w:space="0" w:color="auto"/>
              <w:bottom w:val="single" w:sz="4" w:space="0" w:color="auto"/>
              <w:right w:val="single" w:sz="4" w:space="0" w:color="auto"/>
            </w:tcBorders>
            <w:noWrap/>
            <w:vAlign w:val="center"/>
          </w:tcPr>
          <w:p w:rsidR="0016623C" w:rsidRPr="0016623C" w:rsidRDefault="0016623C" w:rsidP="0016623C">
            <w:pPr>
              <w:keepNext/>
              <w:jc w:val="center"/>
              <w:rPr>
                <w:rFonts w:eastAsia="Times New Roman"/>
                <w:color w:val="000000"/>
                <w:sz w:val="24"/>
                <w:szCs w:val="24"/>
                <w:lang w:eastAsia="ru-RU"/>
              </w:rPr>
            </w:pPr>
            <w:r w:rsidRPr="0016623C">
              <w:rPr>
                <w:rFonts w:eastAsia="Times New Roman"/>
                <w:color w:val="000000"/>
                <w:sz w:val="24"/>
                <w:szCs w:val="24"/>
                <w:lang w:eastAsia="ru-RU"/>
              </w:rPr>
              <w:t>0,79</w:t>
            </w:r>
          </w:p>
        </w:tc>
        <w:tc>
          <w:tcPr>
            <w:tcW w:w="969" w:type="dxa"/>
            <w:tcBorders>
              <w:top w:val="single" w:sz="4" w:space="0" w:color="auto"/>
              <w:left w:val="single" w:sz="4" w:space="0" w:color="auto"/>
              <w:bottom w:val="single" w:sz="4" w:space="0" w:color="auto"/>
              <w:right w:val="single" w:sz="4" w:space="0" w:color="auto"/>
            </w:tcBorders>
            <w:vAlign w:val="center"/>
          </w:tcPr>
          <w:p w:rsidR="0016623C" w:rsidRPr="0016623C" w:rsidRDefault="0016623C" w:rsidP="0016623C">
            <w:pPr>
              <w:keepNext/>
              <w:jc w:val="center"/>
              <w:rPr>
                <w:rFonts w:eastAsia="Times New Roman"/>
                <w:color w:val="000000"/>
                <w:sz w:val="24"/>
                <w:szCs w:val="24"/>
                <w:lang w:eastAsia="ru-RU"/>
              </w:rPr>
            </w:pPr>
            <w:r w:rsidRPr="0016623C">
              <w:rPr>
                <w:rFonts w:eastAsia="Times New Roman"/>
                <w:color w:val="000000"/>
                <w:sz w:val="24"/>
                <w:szCs w:val="24"/>
                <w:lang w:eastAsia="ru-RU"/>
              </w:rPr>
              <w:t>0,88</w:t>
            </w:r>
          </w:p>
        </w:tc>
      </w:tr>
    </w:tbl>
    <w:p w:rsidR="0016623C" w:rsidRPr="0016623C" w:rsidRDefault="0016623C" w:rsidP="0016623C">
      <w:pPr>
        <w:jc w:val="right"/>
        <w:rPr>
          <w:i/>
          <w:lang w:val="ru-RU"/>
        </w:rPr>
      </w:pPr>
      <w:r w:rsidRPr="0016623C">
        <w:rPr>
          <w:i/>
          <w:lang w:val="ru-RU"/>
        </w:rPr>
        <w:t>Продовження додаток Е-15</w:t>
      </w:r>
    </w:p>
    <w:p w:rsidR="00C43972" w:rsidRPr="00824C2D" w:rsidRDefault="00C43972" w:rsidP="00474500">
      <w:pPr>
        <w:keepNext/>
        <w:pageBreakBefore/>
        <w:jc w:val="right"/>
        <w:rPr>
          <w:rFonts w:eastAsia="Times New Roman"/>
          <w:bCs/>
          <w:iCs/>
          <w:color w:val="000000"/>
          <w:szCs w:val="28"/>
          <w:lang w:val="ru-RU" w:eastAsia="uk-UA"/>
        </w:rPr>
      </w:pPr>
      <w:r w:rsidRPr="00824C2D">
        <w:rPr>
          <w:rFonts w:eastAsia="Times New Roman"/>
          <w:bCs/>
          <w:iCs/>
          <w:color w:val="000000"/>
          <w:szCs w:val="28"/>
          <w:lang w:val="ru-RU" w:eastAsia="uk-UA"/>
        </w:rPr>
        <w:lastRenderedPageBreak/>
        <w:t xml:space="preserve">Додаток </w:t>
      </w:r>
      <w:r w:rsidR="00535BCC" w:rsidRPr="00824C2D">
        <w:rPr>
          <w:rFonts w:eastAsia="Times New Roman"/>
          <w:bCs/>
          <w:iCs/>
          <w:color w:val="000000"/>
          <w:szCs w:val="28"/>
          <w:lang w:eastAsia="uk-UA"/>
        </w:rPr>
        <w:t>Е</w:t>
      </w:r>
      <w:r w:rsidRPr="00824C2D">
        <w:rPr>
          <w:rFonts w:eastAsia="Times New Roman"/>
          <w:bCs/>
          <w:iCs/>
          <w:color w:val="000000"/>
          <w:szCs w:val="28"/>
          <w:lang w:eastAsia="uk-UA"/>
        </w:rPr>
        <w:t>-16</w:t>
      </w:r>
    </w:p>
    <w:p w:rsidR="00C43972" w:rsidRPr="00824C2D" w:rsidRDefault="00C43972" w:rsidP="00824C2D">
      <w:pPr>
        <w:keepNext/>
        <w:jc w:val="center"/>
        <w:rPr>
          <w:rFonts w:eastAsia="Times New Roman"/>
          <w:b/>
          <w:sz w:val="24"/>
          <w:szCs w:val="24"/>
          <w:lang w:eastAsia="ru-RU"/>
        </w:rPr>
      </w:pPr>
      <w:r w:rsidRPr="00824C2D">
        <w:rPr>
          <w:rFonts w:eastAsia="Times New Roman"/>
          <w:b/>
          <w:bCs/>
          <w:iCs/>
          <w:color w:val="000000"/>
          <w:szCs w:val="28"/>
          <w:lang w:eastAsia="uk-UA"/>
        </w:rPr>
        <w:t xml:space="preserve">Комплексна оцінка діяльності закладів перинатальної допомоги Миколаївської </w:t>
      </w:r>
      <w:r w:rsidRPr="00824C2D">
        <w:rPr>
          <w:rFonts w:eastAsia="Times New Roman"/>
          <w:b/>
          <w:bCs/>
          <w:iCs/>
          <w:color w:val="000000"/>
          <w:sz w:val="26"/>
          <w:szCs w:val="26"/>
          <w:lang w:eastAsia="uk-UA"/>
        </w:rPr>
        <w:t xml:space="preserve">області у </w:t>
      </w:r>
      <w:r w:rsidRPr="00824C2D">
        <w:rPr>
          <w:rFonts w:eastAsia="Times New Roman"/>
          <w:b/>
          <w:bCs/>
          <w:iCs/>
          <w:color w:val="000000"/>
          <w:szCs w:val="28"/>
          <w:lang w:eastAsia="uk-UA"/>
        </w:rPr>
        <w:t>2017–2018 рр.</w:t>
      </w:r>
    </w:p>
    <w:tbl>
      <w:tblPr>
        <w:tblW w:w="10347" w:type="dxa"/>
        <w:jc w:val="center"/>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36"/>
        <w:gridCol w:w="968"/>
        <w:gridCol w:w="969"/>
        <w:gridCol w:w="968"/>
        <w:gridCol w:w="969"/>
        <w:gridCol w:w="968"/>
        <w:gridCol w:w="969"/>
      </w:tblGrid>
      <w:tr w:rsidR="00824C2D" w:rsidRPr="00824C2D" w:rsidTr="00824C2D">
        <w:trPr>
          <w:cantSplit/>
          <w:trHeight w:val="510"/>
          <w:jc w:val="center"/>
        </w:trPr>
        <w:tc>
          <w:tcPr>
            <w:tcW w:w="4536" w:type="dxa"/>
            <w:vMerge w:val="restart"/>
            <w:tcBorders>
              <w:top w:val="single" w:sz="4" w:space="0" w:color="auto"/>
              <w:left w:val="single" w:sz="4" w:space="0" w:color="auto"/>
              <w:right w:val="single" w:sz="4" w:space="0" w:color="auto"/>
            </w:tcBorders>
            <w:vAlign w:val="center"/>
            <w:hideMark/>
          </w:tcPr>
          <w:p w:rsidR="00824C2D" w:rsidRPr="00824C2D" w:rsidRDefault="00824C2D" w:rsidP="00824C2D">
            <w:pPr>
              <w:keepNext/>
              <w:jc w:val="center"/>
              <w:rPr>
                <w:rFonts w:eastAsia="Times New Roman"/>
                <w:color w:val="000000"/>
                <w:sz w:val="24"/>
                <w:szCs w:val="24"/>
                <w:lang w:eastAsia="uk-UA"/>
              </w:rPr>
            </w:pPr>
            <w:r w:rsidRPr="00824C2D">
              <w:rPr>
                <w:rFonts w:eastAsia="Times New Roman"/>
                <w:color w:val="000000"/>
                <w:sz w:val="24"/>
                <w:szCs w:val="24"/>
                <w:lang w:eastAsia="uk-UA"/>
              </w:rPr>
              <w:t>Індикатор якості</w:t>
            </w:r>
          </w:p>
        </w:tc>
        <w:tc>
          <w:tcPr>
            <w:tcW w:w="1937" w:type="dxa"/>
            <w:gridSpan w:val="2"/>
            <w:tcBorders>
              <w:top w:val="single" w:sz="4" w:space="0" w:color="auto"/>
              <w:left w:val="single" w:sz="4" w:space="0" w:color="auto"/>
              <w:bottom w:val="single" w:sz="4" w:space="0" w:color="auto"/>
              <w:right w:val="single" w:sz="4" w:space="0" w:color="auto"/>
            </w:tcBorders>
            <w:vAlign w:val="center"/>
          </w:tcPr>
          <w:p w:rsidR="00824C2D" w:rsidRPr="00824C2D" w:rsidRDefault="00824C2D" w:rsidP="00824C2D">
            <w:pPr>
              <w:keepNext/>
              <w:jc w:val="center"/>
              <w:rPr>
                <w:rFonts w:eastAsia="Times New Roman"/>
                <w:color w:val="000000"/>
                <w:sz w:val="24"/>
                <w:szCs w:val="24"/>
                <w:lang w:eastAsia="uk-UA"/>
              </w:rPr>
            </w:pPr>
            <w:r w:rsidRPr="00824C2D">
              <w:rPr>
                <w:rFonts w:eastAsia="Times New Roman"/>
                <w:color w:val="000000"/>
                <w:sz w:val="24"/>
                <w:szCs w:val="24"/>
                <w:lang w:eastAsia="uk-UA"/>
              </w:rPr>
              <w:t xml:space="preserve">Фактичний показник, </w:t>
            </w:r>
            <w:r w:rsidRPr="00824C2D">
              <w:rPr>
                <w:rFonts w:eastAsia="Times New Roman"/>
                <w:sz w:val="24"/>
                <w:szCs w:val="24"/>
                <w:lang w:eastAsia="uk-UA"/>
              </w:rPr>
              <w:t>Україна</w:t>
            </w:r>
          </w:p>
        </w:tc>
        <w:tc>
          <w:tcPr>
            <w:tcW w:w="1937" w:type="dxa"/>
            <w:gridSpan w:val="2"/>
            <w:tcBorders>
              <w:top w:val="single" w:sz="4" w:space="0" w:color="auto"/>
              <w:left w:val="single" w:sz="4" w:space="0" w:color="auto"/>
              <w:bottom w:val="single" w:sz="4" w:space="0" w:color="auto"/>
              <w:right w:val="single" w:sz="4" w:space="0" w:color="auto"/>
            </w:tcBorders>
            <w:vAlign w:val="center"/>
          </w:tcPr>
          <w:p w:rsidR="00824C2D" w:rsidRPr="00824C2D" w:rsidRDefault="00824C2D" w:rsidP="00824C2D">
            <w:pPr>
              <w:keepNext/>
              <w:jc w:val="center"/>
              <w:rPr>
                <w:rFonts w:eastAsia="Times New Roman"/>
                <w:color w:val="000000"/>
                <w:sz w:val="24"/>
                <w:szCs w:val="24"/>
                <w:lang w:eastAsia="uk-UA"/>
              </w:rPr>
            </w:pPr>
            <w:r w:rsidRPr="00824C2D">
              <w:rPr>
                <w:rFonts w:eastAsia="Times New Roman"/>
                <w:color w:val="000000"/>
                <w:sz w:val="24"/>
                <w:szCs w:val="24"/>
                <w:lang w:eastAsia="uk-UA"/>
              </w:rPr>
              <w:t>Бальна оцінка фактичного показника</w:t>
            </w:r>
          </w:p>
        </w:tc>
        <w:tc>
          <w:tcPr>
            <w:tcW w:w="1937" w:type="dxa"/>
            <w:gridSpan w:val="2"/>
            <w:tcBorders>
              <w:top w:val="single" w:sz="4" w:space="0" w:color="auto"/>
              <w:left w:val="single" w:sz="4" w:space="0" w:color="auto"/>
              <w:bottom w:val="single" w:sz="4" w:space="0" w:color="auto"/>
              <w:right w:val="single" w:sz="4" w:space="0" w:color="auto"/>
            </w:tcBorders>
            <w:vAlign w:val="center"/>
          </w:tcPr>
          <w:p w:rsidR="00824C2D" w:rsidRPr="00824C2D" w:rsidRDefault="00824C2D" w:rsidP="00824C2D">
            <w:pPr>
              <w:keepNext/>
              <w:jc w:val="center"/>
              <w:rPr>
                <w:rFonts w:eastAsia="Times New Roman"/>
                <w:color w:val="000000"/>
                <w:sz w:val="24"/>
                <w:szCs w:val="24"/>
                <w:lang w:eastAsia="uk-UA"/>
              </w:rPr>
            </w:pPr>
            <w:r w:rsidRPr="00824C2D">
              <w:rPr>
                <w:rFonts w:eastAsia="Times New Roman"/>
                <w:color w:val="000000"/>
                <w:sz w:val="24"/>
                <w:szCs w:val="24"/>
                <w:lang w:eastAsia="uk-UA"/>
              </w:rPr>
              <w:t>КДНЗ</w:t>
            </w:r>
          </w:p>
        </w:tc>
      </w:tr>
      <w:tr w:rsidR="00824C2D" w:rsidRPr="00824C2D" w:rsidTr="00824C2D">
        <w:trPr>
          <w:trHeight w:val="404"/>
          <w:jc w:val="center"/>
        </w:trPr>
        <w:tc>
          <w:tcPr>
            <w:tcW w:w="4536" w:type="dxa"/>
            <w:vMerge/>
            <w:tcBorders>
              <w:left w:val="single" w:sz="4" w:space="0" w:color="auto"/>
              <w:bottom w:val="single" w:sz="4" w:space="0" w:color="auto"/>
              <w:right w:val="single" w:sz="4" w:space="0" w:color="auto"/>
            </w:tcBorders>
            <w:vAlign w:val="bottom"/>
          </w:tcPr>
          <w:p w:rsidR="00824C2D" w:rsidRPr="00824C2D" w:rsidRDefault="00824C2D" w:rsidP="00824C2D">
            <w:pPr>
              <w:keepNext/>
              <w:jc w:val="left"/>
              <w:rPr>
                <w:rFonts w:eastAsia="Times New Roman"/>
                <w:sz w:val="24"/>
                <w:szCs w:val="24"/>
                <w:lang w:eastAsia="ru-RU"/>
              </w:rPr>
            </w:pPr>
          </w:p>
        </w:tc>
        <w:tc>
          <w:tcPr>
            <w:tcW w:w="968" w:type="dxa"/>
            <w:tcBorders>
              <w:top w:val="single" w:sz="4" w:space="0" w:color="auto"/>
              <w:left w:val="single" w:sz="4" w:space="0" w:color="auto"/>
              <w:bottom w:val="single" w:sz="4" w:space="0" w:color="auto"/>
              <w:right w:val="single" w:sz="4" w:space="0" w:color="auto"/>
            </w:tcBorders>
            <w:vAlign w:val="center"/>
          </w:tcPr>
          <w:p w:rsidR="00824C2D" w:rsidRPr="00824C2D" w:rsidRDefault="00824C2D" w:rsidP="00824C2D">
            <w:pPr>
              <w:keepNext/>
              <w:jc w:val="center"/>
              <w:rPr>
                <w:rFonts w:eastAsia="Times New Roman"/>
                <w:sz w:val="24"/>
                <w:szCs w:val="24"/>
                <w:lang w:eastAsia="ru-RU"/>
              </w:rPr>
            </w:pPr>
            <w:r w:rsidRPr="00824C2D">
              <w:rPr>
                <w:rFonts w:eastAsia="Times New Roman"/>
                <w:sz w:val="24"/>
                <w:szCs w:val="24"/>
                <w:lang w:eastAsia="ru-RU"/>
              </w:rPr>
              <w:t>2017 р.</w:t>
            </w:r>
          </w:p>
        </w:tc>
        <w:tc>
          <w:tcPr>
            <w:tcW w:w="969" w:type="dxa"/>
            <w:tcBorders>
              <w:top w:val="single" w:sz="4" w:space="0" w:color="auto"/>
              <w:left w:val="single" w:sz="4" w:space="0" w:color="auto"/>
              <w:bottom w:val="single" w:sz="4" w:space="0" w:color="auto"/>
              <w:right w:val="single" w:sz="4" w:space="0" w:color="auto"/>
            </w:tcBorders>
            <w:vAlign w:val="center"/>
          </w:tcPr>
          <w:p w:rsidR="00824C2D" w:rsidRPr="00824C2D" w:rsidRDefault="00824C2D" w:rsidP="00824C2D">
            <w:pPr>
              <w:keepNext/>
              <w:jc w:val="center"/>
              <w:rPr>
                <w:rFonts w:eastAsia="Times New Roman"/>
                <w:color w:val="000000"/>
                <w:sz w:val="24"/>
                <w:szCs w:val="24"/>
                <w:lang w:eastAsia="ru-RU"/>
              </w:rPr>
            </w:pPr>
            <w:r w:rsidRPr="00824C2D">
              <w:rPr>
                <w:rFonts w:eastAsia="Times New Roman"/>
                <w:color w:val="000000"/>
                <w:sz w:val="24"/>
                <w:szCs w:val="24"/>
                <w:lang w:eastAsia="ru-RU"/>
              </w:rPr>
              <w:t>2018 р.</w:t>
            </w:r>
          </w:p>
        </w:tc>
        <w:tc>
          <w:tcPr>
            <w:tcW w:w="968" w:type="dxa"/>
            <w:tcBorders>
              <w:top w:val="single" w:sz="4" w:space="0" w:color="auto"/>
              <w:left w:val="single" w:sz="4" w:space="0" w:color="auto"/>
              <w:bottom w:val="single" w:sz="4" w:space="0" w:color="auto"/>
              <w:right w:val="single" w:sz="4" w:space="0" w:color="auto"/>
            </w:tcBorders>
            <w:vAlign w:val="center"/>
          </w:tcPr>
          <w:p w:rsidR="00824C2D" w:rsidRPr="00824C2D" w:rsidRDefault="00824C2D" w:rsidP="00824C2D">
            <w:pPr>
              <w:keepNext/>
              <w:jc w:val="center"/>
              <w:rPr>
                <w:rFonts w:eastAsia="Times New Roman"/>
                <w:sz w:val="24"/>
                <w:szCs w:val="24"/>
                <w:lang w:eastAsia="ru-RU"/>
              </w:rPr>
            </w:pPr>
            <w:r w:rsidRPr="00824C2D">
              <w:rPr>
                <w:rFonts w:eastAsia="Times New Roman"/>
                <w:sz w:val="24"/>
                <w:szCs w:val="24"/>
                <w:lang w:eastAsia="ru-RU"/>
              </w:rPr>
              <w:t>2017 р.</w:t>
            </w:r>
          </w:p>
        </w:tc>
        <w:tc>
          <w:tcPr>
            <w:tcW w:w="969" w:type="dxa"/>
            <w:tcBorders>
              <w:top w:val="single" w:sz="4" w:space="0" w:color="auto"/>
              <w:left w:val="single" w:sz="4" w:space="0" w:color="auto"/>
              <w:bottom w:val="single" w:sz="4" w:space="0" w:color="auto"/>
              <w:right w:val="single" w:sz="4" w:space="0" w:color="auto"/>
            </w:tcBorders>
            <w:vAlign w:val="center"/>
          </w:tcPr>
          <w:p w:rsidR="00824C2D" w:rsidRPr="00824C2D" w:rsidRDefault="00824C2D" w:rsidP="00824C2D">
            <w:pPr>
              <w:keepNext/>
              <w:jc w:val="center"/>
              <w:rPr>
                <w:rFonts w:eastAsia="Times New Roman"/>
                <w:sz w:val="24"/>
                <w:szCs w:val="24"/>
                <w:lang w:eastAsia="ru-RU"/>
              </w:rPr>
            </w:pPr>
            <w:r w:rsidRPr="00824C2D">
              <w:rPr>
                <w:rFonts w:eastAsia="Times New Roman"/>
                <w:sz w:val="24"/>
                <w:szCs w:val="24"/>
                <w:lang w:eastAsia="ru-RU"/>
              </w:rPr>
              <w:t>2017 р.</w:t>
            </w:r>
          </w:p>
        </w:tc>
        <w:tc>
          <w:tcPr>
            <w:tcW w:w="968" w:type="dxa"/>
            <w:tcBorders>
              <w:top w:val="single" w:sz="4" w:space="0" w:color="auto"/>
              <w:left w:val="single" w:sz="4" w:space="0" w:color="auto"/>
              <w:bottom w:val="single" w:sz="4" w:space="0" w:color="auto"/>
              <w:right w:val="single" w:sz="4" w:space="0" w:color="auto"/>
            </w:tcBorders>
            <w:vAlign w:val="center"/>
          </w:tcPr>
          <w:p w:rsidR="00824C2D" w:rsidRPr="00824C2D" w:rsidRDefault="00824C2D" w:rsidP="00824C2D">
            <w:pPr>
              <w:keepNext/>
              <w:jc w:val="center"/>
              <w:rPr>
                <w:rFonts w:eastAsia="Times New Roman"/>
                <w:color w:val="000000"/>
                <w:sz w:val="24"/>
                <w:szCs w:val="24"/>
                <w:lang w:eastAsia="ru-RU"/>
              </w:rPr>
            </w:pPr>
            <w:r w:rsidRPr="00824C2D">
              <w:rPr>
                <w:rFonts w:eastAsia="Times New Roman"/>
                <w:color w:val="000000"/>
                <w:sz w:val="24"/>
                <w:szCs w:val="24"/>
                <w:lang w:eastAsia="ru-RU"/>
              </w:rPr>
              <w:t>2018 р.</w:t>
            </w:r>
          </w:p>
        </w:tc>
        <w:tc>
          <w:tcPr>
            <w:tcW w:w="969" w:type="dxa"/>
            <w:tcBorders>
              <w:top w:val="single" w:sz="4" w:space="0" w:color="auto"/>
              <w:left w:val="single" w:sz="4" w:space="0" w:color="auto"/>
              <w:bottom w:val="single" w:sz="4" w:space="0" w:color="auto"/>
              <w:right w:val="single" w:sz="4" w:space="0" w:color="auto"/>
            </w:tcBorders>
            <w:vAlign w:val="center"/>
          </w:tcPr>
          <w:p w:rsidR="00824C2D" w:rsidRPr="00824C2D" w:rsidRDefault="00824C2D" w:rsidP="00824C2D">
            <w:pPr>
              <w:keepNext/>
              <w:jc w:val="center"/>
              <w:rPr>
                <w:rFonts w:eastAsia="Times New Roman"/>
                <w:sz w:val="24"/>
                <w:szCs w:val="24"/>
                <w:lang w:eastAsia="ru-RU"/>
              </w:rPr>
            </w:pPr>
            <w:r w:rsidRPr="00824C2D">
              <w:rPr>
                <w:rFonts w:eastAsia="Times New Roman"/>
                <w:sz w:val="24"/>
                <w:szCs w:val="24"/>
                <w:lang w:eastAsia="ru-RU"/>
              </w:rPr>
              <w:t>2017 р.</w:t>
            </w:r>
          </w:p>
        </w:tc>
      </w:tr>
      <w:tr w:rsidR="00824C2D" w:rsidRPr="00824C2D" w:rsidTr="00824C2D">
        <w:trPr>
          <w:trHeight w:val="404"/>
          <w:jc w:val="center"/>
        </w:trPr>
        <w:tc>
          <w:tcPr>
            <w:tcW w:w="4536" w:type="dxa"/>
            <w:tcBorders>
              <w:top w:val="single" w:sz="4" w:space="0" w:color="auto"/>
              <w:left w:val="single" w:sz="4" w:space="0" w:color="auto"/>
              <w:bottom w:val="single" w:sz="4" w:space="0" w:color="auto"/>
              <w:right w:val="single" w:sz="4" w:space="0" w:color="auto"/>
            </w:tcBorders>
            <w:vAlign w:val="center"/>
          </w:tcPr>
          <w:p w:rsidR="00824C2D" w:rsidRPr="00824C2D" w:rsidRDefault="00824C2D" w:rsidP="00824C2D">
            <w:pPr>
              <w:keepNext/>
              <w:jc w:val="left"/>
              <w:rPr>
                <w:rFonts w:eastAsia="Times New Roman"/>
                <w:sz w:val="24"/>
                <w:szCs w:val="24"/>
                <w:lang w:eastAsia="ru-RU"/>
              </w:rPr>
            </w:pPr>
            <w:r w:rsidRPr="00824C2D">
              <w:rPr>
                <w:rFonts w:eastAsia="Times New Roman"/>
                <w:sz w:val="24"/>
                <w:szCs w:val="24"/>
                <w:lang w:eastAsia="ru-RU"/>
              </w:rPr>
              <w:t>Забезпеченість  лікарями акушер-гінекологами</w:t>
            </w:r>
          </w:p>
        </w:tc>
        <w:tc>
          <w:tcPr>
            <w:tcW w:w="968" w:type="dxa"/>
            <w:tcBorders>
              <w:top w:val="single" w:sz="4" w:space="0" w:color="auto"/>
              <w:left w:val="single" w:sz="4" w:space="0" w:color="auto"/>
              <w:bottom w:val="single" w:sz="4" w:space="0" w:color="auto"/>
              <w:right w:val="single" w:sz="4" w:space="0" w:color="auto"/>
            </w:tcBorders>
            <w:vAlign w:val="center"/>
          </w:tcPr>
          <w:p w:rsidR="00824C2D" w:rsidRPr="00824C2D" w:rsidRDefault="00824C2D" w:rsidP="00824C2D">
            <w:pPr>
              <w:keepNext/>
              <w:jc w:val="center"/>
              <w:rPr>
                <w:rFonts w:eastAsia="Times New Roman"/>
                <w:sz w:val="24"/>
                <w:szCs w:val="24"/>
                <w:lang w:eastAsia="ru-RU"/>
              </w:rPr>
            </w:pPr>
            <w:r w:rsidRPr="00824C2D">
              <w:rPr>
                <w:rFonts w:eastAsia="Times New Roman"/>
                <w:sz w:val="24"/>
                <w:szCs w:val="24"/>
                <w:lang w:eastAsia="ru-RU"/>
              </w:rPr>
              <w:t>3,71</w:t>
            </w:r>
          </w:p>
        </w:tc>
        <w:tc>
          <w:tcPr>
            <w:tcW w:w="969" w:type="dxa"/>
            <w:tcBorders>
              <w:top w:val="single" w:sz="4" w:space="0" w:color="auto"/>
              <w:left w:val="single" w:sz="4" w:space="0" w:color="auto"/>
              <w:bottom w:val="single" w:sz="4" w:space="0" w:color="auto"/>
              <w:right w:val="single" w:sz="4" w:space="0" w:color="auto"/>
            </w:tcBorders>
            <w:vAlign w:val="center"/>
          </w:tcPr>
          <w:p w:rsidR="00824C2D" w:rsidRPr="00824C2D" w:rsidRDefault="00824C2D" w:rsidP="00824C2D">
            <w:pPr>
              <w:keepNext/>
              <w:jc w:val="center"/>
              <w:rPr>
                <w:rFonts w:eastAsia="Times New Roman"/>
                <w:sz w:val="24"/>
                <w:szCs w:val="24"/>
                <w:lang w:eastAsia="ru-RU"/>
              </w:rPr>
            </w:pPr>
            <w:r w:rsidRPr="00824C2D">
              <w:rPr>
                <w:rFonts w:eastAsia="Times New Roman"/>
                <w:sz w:val="24"/>
                <w:szCs w:val="24"/>
                <w:lang w:eastAsia="ru-RU"/>
              </w:rPr>
              <w:t>3,51</w:t>
            </w:r>
          </w:p>
        </w:tc>
        <w:tc>
          <w:tcPr>
            <w:tcW w:w="968" w:type="dxa"/>
            <w:tcBorders>
              <w:top w:val="single" w:sz="4" w:space="0" w:color="auto"/>
              <w:left w:val="single" w:sz="4" w:space="0" w:color="auto"/>
              <w:bottom w:val="single" w:sz="4" w:space="0" w:color="auto"/>
              <w:right w:val="single" w:sz="4" w:space="0" w:color="auto"/>
            </w:tcBorders>
            <w:vAlign w:val="center"/>
          </w:tcPr>
          <w:p w:rsidR="00824C2D" w:rsidRPr="00824C2D" w:rsidRDefault="00824C2D" w:rsidP="00824C2D">
            <w:pPr>
              <w:keepNext/>
              <w:jc w:val="center"/>
              <w:rPr>
                <w:rFonts w:eastAsia="Times New Roman"/>
                <w:sz w:val="24"/>
                <w:szCs w:val="24"/>
                <w:lang w:eastAsia="ru-RU"/>
              </w:rPr>
            </w:pPr>
            <w:r w:rsidRPr="00824C2D">
              <w:rPr>
                <w:rFonts w:eastAsia="Times New Roman"/>
                <w:sz w:val="24"/>
                <w:szCs w:val="24"/>
                <w:lang w:eastAsia="ru-RU"/>
              </w:rPr>
              <w:t>4,05</w:t>
            </w:r>
          </w:p>
        </w:tc>
        <w:tc>
          <w:tcPr>
            <w:tcW w:w="969" w:type="dxa"/>
            <w:tcBorders>
              <w:top w:val="single" w:sz="4" w:space="0" w:color="auto"/>
              <w:left w:val="single" w:sz="4" w:space="0" w:color="auto"/>
              <w:bottom w:val="single" w:sz="4" w:space="0" w:color="auto"/>
              <w:right w:val="single" w:sz="4" w:space="0" w:color="auto"/>
            </w:tcBorders>
            <w:vAlign w:val="center"/>
          </w:tcPr>
          <w:p w:rsidR="00824C2D" w:rsidRPr="00824C2D" w:rsidRDefault="00824C2D" w:rsidP="00824C2D">
            <w:pPr>
              <w:keepNext/>
              <w:jc w:val="center"/>
              <w:rPr>
                <w:rFonts w:eastAsia="Times New Roman"/>
                <w:sz w:val="24"/>
                <w:szCs w:val="24"/>
                <w:lang w:eastAsia="ru-RU"/>
              </w:rPr>
            </w:pPr>
            <w:r w:rsidRPr="00824C2D">
              <w:rPr>
                <w:rFonts w:eastAsia="Times New Roman"/>
                <w:sz w:val="24"/>
                <w:szCs w:val="24"/>
                <w:lang w:eastAsia="ru-RU"/>
              </w:rPr>
              <w:t>3,83</w:t>
            </w:r>
          </w:p>
        </w:tc>
        <w:tc>
          <w:tcPr>
            <w:tcW w:w="968" w:type="dxa"/>
            <w:tcBorders>
              <w:top w:val="single" w:sz="4" w:space="0" w:color="auto"/>
              <w:left w:val="single" w:sz="4" w:space="0" w:color="auto"/>
              <w:bottom w:val="single" w:sz="4" w:space="0" w:color="auto"/>
              <w:right w:val="single" w:sz="4" w:space="0" w:color="auto"/>
            </w:tcBorders>
            <w:vAlign w:val="center"/>
          </w:tcPr>
          <w:p w:rsidR="00824C2D" w:rsidRPr="00824C2D" w:rsidRDefault="00824C2D" w:rsidP="00824C2D">
            <w:pPr>
              <w:keepNext/>
              <w:jc w:val="center"/>
              <w:rPr>
                <w:rFonts w:eastAsia="Times New Roman"/>
                <w:sz w:val="24"/>
                <w:szCs w:val="24"/>
                <w:lang w:eastAsia="ru-RU"/>
              </w:rPr>
            </w:pPr>
            <w:r w:rsidRPr="00824C2D">
              <w:rPr>
                <w:rFonts w:eastAsia="Times New Roman"/>
                <w:sz w:val="24"/>
                <w:szCs w:val="24"/>
                <w:lang w:eastAsia="ru-RU"/>
              </w:rPr>
              <w:t>0,67</w:t>
            </w:r>
          </w:p>
        </w:tc>
        <w:tc>
          <w:tcPr>
            <w:tcW w:w="969" w:type="dxa"/>
            <w:tcBorders>
              <w:top w:val="single" w:sz="4" w:space="0" w:color="auto"/>
              <w:left w:val="single" w:sz="4" w:space="0" w:color="auto"/>
              <w:bottom w:val="single" w:sz="4" w:space="0" w:color="auto"/>
              <w:right w:val="single" w:sz="4" w:space="0" w:color="auto"/>
            </w:tcBorders>
            <w:vAlign w:val="center"/>
          </w:tcPr>
          <w:p w:rsidR="00824C2D" w:rsidRPr="00824C2D" w:rsidRDefault="00824C2D" w:rsidP="00824C2D">
            <w:pPr>
              <w:keepNext/>
              <w:jc w:val="center"/>
              <w:rPr>
                <w:rFonts w:eastAsia="Times New Roman"/>
                <w:sz w:val="24"/>
                <w:szCs w:val="24"/>
                <w:lang w:eastAsia="ru-RU"/>
              </w:rPr>
            </w:pPr>
            <w:r w:rsidRPr="00824C2D">
              <w:rPr>
                <w:rFonts w:eastAsia="Times New Roman"/>
                <w:sz w:val="24"/>
                <w:szCs w:val="24"/>
                <w:lang w:eastAsia="ru-RU"/>
              </w:rPr>
              <w:t>0,64</w:t>
            </w:r>
          </w:p>
        </w:tc>
      </w:tr>
      <w:tr w:rsidR="00824C2D" w:rsidRPr="00824C2D" w:rsidTr="00824C2D">
        <w:trPr>
          <w:trHeight w:val="404"/>
          <w:jc w:val="center"/>
        </w:trPr>
        <w:tc>
          <w:tcPr>
            <w:tcW w:w="4536" w:type="dxa"/>
            <w:tcBorders>
              <w:top w:val="single" w:sz="4" w:space="0" w:color="auto"/>
              <w:left w:val="single" w:sz="4" w:space="0" w:color="auto"/>
              <w:bottom w:val="single" w:sz="4" w:space="0" w:color="auto"/>
              <w:right w:val="single" w:sz="4" w:space="0" w:color="auto"/>
            </w:tcBorders>
            <w:vAlign w:val="bottom"/>
          </w:tcPr>
          <w:p w:rsidR="00824C2D" w:rsidRPr="00824C2D" w:rsidRDefault="00824C2D" w:rsidP="00824C2D">
            <w:pPr>
              <w:keepNext/>
              <w:jc w:val="left"/>
              <w:rPr>
                <w:rFonts w:eastAsia="Times New Roman"/>
                <w:sz w:val="24"/>
                <w:szCs w:val="24"/>
                <w:lang w:eastAsia="ru-RU"/>
              </w:rPr>
            </w:pPr>
            <w:r w:rsidRPr="00824C2D">
              <w:rPr>
                <w:rFonts w:eastAsia="Times New Roman"/>
                <w:sz w:val="24"/>
                <w:szCs w:val="24"/>
                <w:lang w:eastAsia="ru-RU"/>
              </w:rPr>
              <w:t>Забезпеченість  лікарями  педіатрами-неонатологами</w:t>
            </w:r>
          </w:p>
        </w:tc>
        <w:tc>
          <w:tcPr>
            <w:tcW w:w="968" w:type="dxa"/>
            <w:tcBorders>
              <w:top w:val="single" w:sz="4" w:space="0" w:color="auto"/>
              <w:left w:val="single" w:sz="4" w:space="0" w:color="auto"/>
              <w:bottom w:val="single" w:sz="4" w:space="0" w:color="auto"/>
              <w:right w:val="single" w:sz="4" w:space="0" w:color="auto"/>
            </w:tcBorders>
            <w:vAlign w:val="center"/>
          </w:tcPr>
          <w:p w:rsidR="00824C2D" w:rsidRPr="00824C2D" w:rsidRDefault="00824C2D" w:rsidP="00824C2D">
            <w:pPr>
              <w:keepNext/>
              <w:jc w:val="center"/>
              <w:rPr>
                <w:rFonts w:eastAsia="Times New Roman"/>
                <w:sz w:val="24"/>
                <w:szCs w:val="24"/>
                <w:lang w:eastAsia="ru-RU"/>
              </w:rPr>
            </w:pPr>
            <w:r w:rsidRPr="00824C2D">
              <w:rPr>
                <w:rFonts w:eastAsia="Times New Roman"/>
                <w:sz w:val="24"/>
                <w:szCs w:val="24"/>
                <w:lang w:eastAsia="ru-RU"/>
              </w:rPr>
              <w:t>2,43</w:t>
            </w:r>
          </w:p>
        </w:tc>
        <w:tc>
          <w:tcPr>
            <w:tcW w:w="969" w:type="dxa"/>
            <w:tcBorders>
              <w:top w:val="single" w:sz="4" w:space="0" w:color="auto"/>
              <w:left w:val="single" w:sz="4" w:space="0" w:color="auto"/>
              <w:bottom w:val="single" w:sz="4" w:space="0" w:color="auto"/>
              <w:right w:val="single" w:sz="4" w:space="0" w:color="auto"/>
            </w:tcBorders>
            <w:vAlign w:val="center"/>
          </w:tcPr>
          <w:p w:rsidR="00824C2D" w:rsidRPr="00824C2D" w:rsidRDefault="00824C2D" w:rsidP="00824C2D">
            <w:pPr>
              <w:keepNext/>
              <w:jc w:val="center"/>
              <w:rPr>
                <w:rFonts w:eastAsia="Times New Roman"/>
                <w:sz w:val="24"/>
                <w:szCs w:val="24"/>
                <w:lang w:eastAsia="ru-RU"/>
              </w:rPr>
            </w:pPr>
            <w:r w:rsidRPr="00824C2D">
              <w:rPr>
                <w:rFonts w:eastAsia="Times New Roman"/>
                <w:sz w:val="24"/>
                <w:szCs w:val="24"/>
                <w:lang w:eastAsia="ru-RU"/>
              </w:rPr>
              <w:t>3,01</w:t>
            </w:r>
          </w:p>
        </w:tc>
        <w:tc>
          <w:tcPr>
            <w:tcW w:w="968" w:type="dxa"/>
            <w:tcBorders>
              <w:top w:val="single" w:sz="4" w:space="0" w:color="auto"/>
              <w:left w:val="single" w:sz="4" w:space="0" w:color="auto"/>
              <w:bottom w:val="single" w:sz="4" w:space="0" w:color="auto"/>
              <w:right w:val="single" w:sz="4" w:space="0" w:color="auto"/>
            </w:tcBorders>
            <w:vAlign w:val="center"/>
          </w:tcPr>
          <w:p w:rsidR="00824C2D" w:rsidRPr="00824C2D" w:rsidRDefault="00824C2D" w:rsidP="00824C2D">
            <w:pPr>
              <w:keepNext/>
              <w:jc w:val="center"/>
              <w:rPr>
                <w:rFonts w:eastAsia="Times New Roman"/>
                <w:sz w:val="24"/>
                <w:szCs w:val="24"/>
                <w:lang w:eastAsia="ru-RU"/>
              </w:rPr>
            </w:pPr>
            <w:r w:rsidRPr="00824C2D">
              <w:rPr>
                <w:rFonts w:eastAsia="Times New Roman"/>
                <w:sz w:val="24"/>
                <w:szCs w:val="24"/>
                <w:lang w:eastAsia="ru-RU"/>
              </w:rPr>
              <w:t>2,65</w:t>
            </w:r>
          </w:p>
        </w:tc>
        <w:tc>
          <w:tcPr>
            <w:tcW w:w="969" w:type="dxa"/>
            <w:tcBorders>
              <w:top w:val="single" w:sz="4" w:space="0" w:color="auto"/>
              <w:left w:val="single" w:sz="4" w:space="0" w:color="auto"/>
              <w:bottom w:val="single" w:sz="4" w:space="0" w:color="auto"/>
              <w:right w:val="single" w:sz="4" w:space="0" w:color="auto"/>
            </w:tcBorders>
            <w:vAlign w:val="center"/>
          </w:tcPr>
          <w:p w:rsidR="00824C2D" w:rsidRPr="00824C2D" w:rsidRDefault="00824C2D" w:rsidP="00824C2D">
            <w:pPr>
              <w:keepNext/>
              <w:jc w:val="center"/>
              <w:rPr>
                <w:rFonts w:eastAsia="Times New Roman"/>
                <w:sz w:val="24"/>
                <w:szCs w:val="24"/>
                <w:lang w:eastAsia="ru-RU"/>
              </w:rPr>
            </w:pPr>
            <w:r w:rsidRPr="00824C2D">
              <w:rPr>
                <w:rFonts w:eastAsia="Times New Roman"/>
                <w:sz w:val="24"/>
                <w:szCs w:val="24"/>
                <w:lang w:eastAsia="ru-RU"/>
              </w:rPr>
              <w:t>3,29</w:t>
            </w:r>
          </w:p>
        </w:tc>
        <w:tc>
          <w:tcPr>
            <w:tcW w:w="968" w:type="dxa"/>
            <w:tcBorders>
              <w:top w:val="single" w:sz="4" w:space="0" w:color="auto"/>
              <w:left w:val="single" w:sz="4" w:space="0" w:color="auto"/>
              <w:bottom w:val="single" w:sz="4" w:space="0" w:color="auto"/>
              <w:right w:val="single" w:sz="4" w:space="0" w:color="auto"/>
            </w:tcBorders>
            <w:vAlign w:val="center"/>
          </w:tcPr>
          <w:p w:rsidR="00824C2D" w:rsidRPr="00824C2D" w:rsidRDefault="00824C2D" w:rsidP="00824C2D">
            <w:pPr>
              <w:keepNext/>
              <w:jc w:val="center"/>
              <w:rPr>
                <w:rFonts w:eastAsia="Times New Roman"/>
                <w:sz w:val="24"/>
                <w:szCs w:val="24"/>
                <w:lang w:eastAsia="ru-RU"/>
              </w:rPr>
            </w:pPr>
            <w:r w:rsidRPr="00824C2D">
              <w:rPr>
                <w:rFonts w:eastAsia="Times New Roman"/>
                <w:sz w:val="24"/>
                <w:szCs w:val="24"/>
                <w:lang w:eastAsia="ru-RU"/>
              </w:rPr>
              <w:t>0,44</w:t>
            </w:r>
          </w:p>
        </w:tc>
        <w:tc>
          <w:tcPr>
            <w:tcW w:w="969" w:type="dxa"/>
            <w:tcBorders>
              <w:top w:val="single" w:sz="4" w:space="0" w:color="auto"/>
              <w:left w:val="single" w:sz="4" w:space="0" w:color="auto"/>
              <w:bottom w:val="single" w:sz="4" w:space="0" w:color="auto"/>
              <w:right w:val="single" w:sz="4" w:space="0" w:color="auto"/>
            </w:tcBorders>
            <w:vAlign w:val="center"/>
          </w:tcPr>
          <w:p w:rsidR="00824C2D" w:rsidRPr="00824C2D" w:rsidRDefault="00824C2D" w:rsidP="00824C2D">
            <w:pPr>
              <w:keepNext/>
              <w:jc w:val="center"/>
              <w:rPr>
                <w:rFonts w:eastAsia="Times New Roman"/>
                <w:sz w:val="24"/>
                <w:szCs w:val="24"/>
                <w:lang w:eastAsia="ru-RU"/>
              </w:rPr>
            </w:pPr>
            <w:r w:rsidRPr="00824C2D">
              <w:rPr>
                <w:rFonts w:eastAsia="Times New Roman"/>
                <w:sz w:val="24"/>
                <w:szCs w:val="24"/>
                <w:lang w:eastAsia="ru-RU"/>
              </w:rPr>
              <w:t>0,55</w:t>
            </w:r>
          </w:p>
        </w:tc>
      </w:tr>
      <w:tr w:rsidR="00824C2D" w:rsidRPr="00824C2D" w:rsidTr="00824C2D">
        <w:trPr>
          <w:trHeight w:val="404"/>
          <w:jc w:val="center"/>
        </w:trPr>
        <w:tc>
          <w:tcPr>
            <w:tcW w:w="4536" w:type="dxa"/>
            <w:tcBorders>
              <w:top w:val="single" w:sz="4" w:space="0" w:color="auto"/>
              <w:left w:val="single" w:sz="4" w:space="0" w:color="auto"/>
              <w:bottom w:val="single" w:sz="4" w:space="0" w:color="auto"/>
              <w:right w:val="single" w:sz="4" w:space="0" w:color="auto"/>
            </w:tcBorders>
            <w:vAlign w:val="bottom"/>
          </w:tcPr>
          <w:p w:rsidR="00824C2D" w:rsidRPr="00824C2D" w:rsidRDefault="00824C2D" w:rsidP="00824C2D">
            <w:pPr>
              <w:keepNext/>
              <w:jc w:val="left"/>
              <w:rPr>
                <w:rFonts w:eastAsia="Times New Roman"/>
                <w:sz w:val="24"/>
                <w:szCs w:val="24"/>
                <w:lang w:eastAsia="ru-RU"/>
              </w:rPr>
            </w:pPr>
            <w:r w:rsidRPr="00824C2D">
              <w:rPr>
                <w:rFonts w:eastAsia="Times New Roman"/>
                <w:sz w:val="24"/>
                <w:szCs w:val="24"/>
                <w:lang w:eastAsia="ru-RU"/>
              </w:rPr>
              <w:t>Питома вага атестованих лікарів акушер-гінекологів</w:t>
            </w:r>
          </w:p>
        </w:tc>
        <w:tc>
          <w:tcPr>
            <w:tcW w:w="968" w:type="dxa"/>
            <w:tcBorders>
              <w:top w:val="single" w:sz="4" w:space="0" w:color="auto"/>
              <w:left w:val="single" w:sz="4" w:space="0" w:color="auto"/>
              <w:bottom w:val="single" w:sz="4" w:space="0" w:color="auto"/>
              <w:right w:val="single" w:sz="4" w:space="0" w:color="auto"/>
            </w:tcBorders>
            <w:vAlign w:val="center"/>
          </w:tcPr>
          <w:p w:rsidR="00824C2D" w:rsidRPr="00824C2D" w:rsidRDefault="00824C2D" w:rsidP="00824C2D">
            <w:pPr>
              <w:keepNext/>
              <w:jc w:val="center"/>
              <w:rPr>
                <w:rFonts w:eastAsia="Times New Roman"/>
                <w:sz w:val="24"/>
                <w:szCs w:val="24"/>
                <w:lang w:eastAsia="ru-RU"/>
              </w:rPr>
            </w:pPr>
            <w:r w:rsidRPr="00824C2D">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824C2D" w:rsidRPr="00824C2D" w:rsidRDefault="00824C2D" w:rsidP="00824C2D">
            <w:pPr>
              <w:keepNext/>
              <w:jc w:val="center"/>
              <w:rPr>
                <w:rFonts w:eastAsia="Times New Roman"/>
                <w:sz w:val="24"/>
                <w:szCs w:val="24"/>
                <w:lang w:eastAsia="ru-RU"/>
              </w:rPr>
            </w:pPr>
            <w:r w:rsidRPr="00824C2D">
              <w:rPr>
                <w:rFonts w:eastAsia="Times New Roman"/>
                <w:sz w:val="24"/>
                <w:szCs w:val="24"/>
                <w:lang w:eastAsia="ru-RU"/>
              </w:rPr>
              <w:t>91,16</w:t>
            </w:r>
          </w:p>
        </w:tc>
        <w:tc>
          <w:tcPr>
            <w:tcW w:w="968" w:type="dxa"/>
            <w:tcBorders>
              <w:top w:val="single" w:sz="4" w:space="0" w:color="auto"/>
              <w:left w:val="single" w:sz="4" w:space="0" w:color="auto"/>
              <w:bottom w:val="single" w:sz="4" w:space="0" w:color="auto"/>
              <w:right w:val="single" w:sz="4" w:space="0" w:color="auto"/>
            </w:tcBorders>
            <w:vAlign w:val="center"/>
          </w:tcPr>
          <w:p w:rsidR="00824C2D" w:rsidRPr="00824C2D" w:rsidRDefault="00824C2D" w:rsidP="00824C2D">
            <w:pPr>
              <w:keepNext/>
              <w:jc w:val="center"/>
              <w:rPr>
                <w:rFonts w:eastAsia="Times New Roman"/>
                <w:sz w:val="24"/>
                <w:szCs w:val="24"/>
                <w:lang w:eastAsia="ru-RU"/>
              </w:rPr>
            </w:pPr>
            <w:r w:rsidRPr="00824C2D">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824C2D" w:rsidRPr="00824C2D" w:rsidRDefault="00824C2D" w:rsidP="00824C2D">
            <w:pPr>
              <w:keepNext/>
              <w:jc w:val="center"/>
              <w:rPr>
                <w:rFonts w:eastAsia="Times New Roman"/>
                <w:sz w:val="24"/>
                <w:szCs w:val="24"/>
                <w:lang w:eastAsia="ru-RU"/>
              </w:rPr>
            </w:pPr>
            <w:r w:rsidRPr="00824C2D">
              <w:rPr>
                <w:rFonts w:eastAsia="Times New Roman"/>
                <w:sz w:val="24"/>
                <w:szCs w:val="24"/>
                <w:lang w:eastAsia="ru-RU"/>
              </w:rPr>
              <w:t>6,0</w:t>
            </w:r>
          </w:p>
        </w:tc>
        <w:tc>
          <w:tcPr>
            <w:tcW w:w="968" w:type="dxa"/>
            <w:tcBorders>
              <w:top w:val="single" w:sz="4" w:space="0" w:color="auto"/>
              <w:left w:val="single" w:sz="4" w:space="0" w:color="auto"/>
              <w:bottom w:val="single" w:sz="4" w:space="0" w:color="auto"/>
              <w:right w:val="single" w:sz="4" w:space="0" w:color="auto"/>
            </w:tcBorders>
            <w:vAlign w:val="center"/>
          </w:tcPr>
          <w:p w:rsidR="00824C2D" w:rsidRPr="00824C2D" w:rsidRDefault="00824C2D" w:rsidP="00824C2D">
            <w:pPr>
              <w:keepNext/>
              <w:jc w:val="center"/>
              <w:rPr>
                <w:rFonts w:eastAsia="Times New Roman"/>
                <w:sz w:val="24"/>
                <w:szCs w:val="24"/>
                <w:lang w:eastAsia="ru-RU"/>
              </w:rPr>
            </w:pPr>
            <w:r w:rsidRPr="00824C2D">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824C2D" w:rsidRPr="00824C2D" w:rsidRDefault="00824C2D" w:rsidP="00824C2D">
            <w:pPr>
              <w:keepNext/>
              <w:jc w:val="center"/>
              <w:rPr>
                <w:rFonts w:eastAsia="Times New Roman"/>
                <w:sz w:val="24"/>
                <w:szCs w:val="24"/>
                <w:lang w:eastAsia="ru-RU"/>
              </w:rPr>
            </w:pPr>
            <w:r w:rsidRPr="00824C2D">
              <w:rPr>
                <w:rFonts w:eastAsia="Times New Roman"/>
                <w:sz w:val="24"/>
                <w:szCs w:val="24"/>
                <w:lang w:eastAsia="ru-RU"/>
              </w:rPr>
              <w:t>1,00</w:t>
            </w:r>
          </w:p>
        </w:tc>
      </w:tr>
      <w:tr w:rsidR="00824C2D" w:rsidRPr="00824C2D" w:rsidTr="00824C2D">
        <w:trPr>
          <w:trHeight w:val="404"/>
          <w:jc w:val="center"/>
        </w:trPr>
        <w:tc>
          <w:tcPr>
            <w:tcW w:w="4536" w:type="dxa"/>
            <w:tcBorders>
              <w:top w:val="single" w:sz="4" w:space="0" w:color="auto"/>
              <w:left w:val="single" w:sz="4" w:space="0" w:color="auto"/>
              <w:bottom w:val="single" w:sz="4" w:space="0" w:color="auto"/>
              <w:right w:val="single" w:sz="4" w:space="0" w:color="auto"/>
            </w:tcBorders>
            <w:vAlign w:val="bottom"/>
          </w:tcPr>
          <w:p w:rsidR="00824C2D" w:rsidRPr="00824C2D" w:rsidRDefault="00824C2D" w:rsidP="00824C2D">
            <w:pPr>
              <w:keepNext/>
              <w:jc w:val="left"/>
              <w:rPr>
                <w:rFonts w:eastAsia="Times New Roman"/>
                <w:sz w:val="24"/>
                <w:szCs w:val="24"/>
                <w:lang w:eastAsia="ru-RU"/>
              </w:rPr>
            </w:pPr>
            <w:r w:rsidRPr="00824C2D">
              <w:rPr>
                <w:rFonts w:eastAsia="Times New Roman"/>
                <w:sz w:val="24"/>
                <w:szCs w:val="24"/>
                <w:lang w:eastAsia="ru-RU"/>
              </w:rPr>
              <w:t>Питома вага атестованих лікарів педіатрів-неонатологів</w:t>
            </w:r>
          </w:p>
        </w:tc>
        <w:tc>
          <w:tcPr>
            <w:tcW w:w="968" w:type="dxa"/>
            <w:tcBorders>
              <w:top w:val="single" w:sz="4" w:space="0" w:color="auto"/>
              <w:left w:val="single" w:sz="4" w:space="0" w:color="auto"/>
              <w:bottom w:val="single" w:sz="4" w:space="0" w:color="auto"/>
              <w:right w:val="single" w:sz="4" w:space="0" w:color="auto"/>
            </w:tcBorders>
            <w:vAlign w:val="center"/>
          </w:tcPr>
          <w:p w:rsidR="00824C2D" w:rsidRPr="00824C2D" w:rsidRDefault="00824C2D" w:rsidP="00824C2D">
            <w:pPr>
              <w:keepNext/>
              <w:jc w:val="center"/>
              <w:rPr>
                <w:rFonts w:eastAsia="Times New Roman"/>
                <w:sz w:val="24"/>
                <w:szCs w:val="24"/>
                <w:lang w:eastAsia="ru-RU"/>
              </w:rPr>
            </w:pPr>
            <w:r w:rsidRPr="00824C2D">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824C2D" w:rsidRPr="00824C2D" w:rsidRDefault="00824C2D" w:rsidP="00824C2D">
            <w:pPr>
              <w:keepNext/>
              <w:jc w:val="center"/>
              <w:rPr>
                <w:rFonts w:eastAsia="Times New Roman"/>
                <w:sz w:val="24"/>
                <w:szCs w:val="24"/>
                <w:lang w:eastAsia="ru-RU"/>
              </w:rPr>
            </w:pPr>
            <w:r w:rsidRPr="00824C2D">
              <w:rPr>
                <w:rFonts w:eastAsia="Times New Roman"/>
                <w:sz w:val="24"/>
                <w:szCs w:val="24"/>
                <w:lang w:eastAsia="ru-RU"/>
              </w:rPr>
              <w:t>85,19</w:t>
            </w:r>
          </w:p>
        </w:tc>
        <w:tc>
          <w:tcPr>
            <w:tcW w:w="968" w:type="dxa"/>
            <w:tcBorders>
              <w:top w:val="single" w:sz="4" w:space="0" w:color="auto"/>
              <w:left w:val="single" w:sz="4" w:space="0" w:color="auto"/>
              <w:bottom w:val="single" w:sz="4" w:space="0" w:color="auto"/>
              <w:right w:val="single" w:sz="4" w:space="0" w:color="auto"/>
            </w:tcBorders>
            <w:vAlign w:val="center"/>
          </w:tcPr>
          <w:p w:rsidR="00824C2D" w:rsidRPr="00824C2D" w:rsidRDefault="00824C2D" w:rsidP="00824C2D">
            <w:pPr>
              <w:keepNext/>
              <w:jc w:val="center"/>
              <w:rPr>
                <w:rFonts w:eastAsia="Times New Roman"/>
                <w:sz w:val="24"/>
                <w:szCs w:val="24"/>
                <w:lang w:eastAsia="ru-RU"/>
              </w:rPr>
            </w:pPr>
            <w:r w:rsidRPr="00824C2D">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824C2D" w:rsidRPr="00824C2D" w:rsidRDefault="00824C2D" w:rsidP="00824C2D">
            <w:pPr>
              <w:keepNext/>
              <w:jc w:val="center"/>
              <w:rPr>
                <w:rFonts w:eastAsia="Times New Roman"/>
                <w:sz w:val="24"/>
                <w:szCs w:val="24"/>
                <w:lang w:eastAsia="ru-RU"/>
              </w:rPr>
            </w:pPr>
            <w:r w:rsidRPr="00824C2D">
              <w:rPr>
                <w:rFonts w:eastAsia="Times New Roman"/>
                <w:sz w:val="24"/>
                <w:szCs w:val="24"/>
                <w:lang w:eastAsia="ru-RU"/>
              </w:rPr>
              <w:t>6,0</w:t>
            </w:r>
          </w:p>
        </w:tc>
        <w:tc>
          <w:tcPr>
            <w:tcW w:w="968" w:type="dxa"/>
            <w:tcBorders>
              <w:top w:val="single" w:sz="4" w:space="0" w:color="auto"/>
              <w:left w:val="single" w:sz="4" w:space="0" w:color="auto"/>
              <w:bottom w:val="single" w:sz="4" w:space="0" w:color="auto"/>
              <w:right w:val="single" w:sz="4" w:space="0" w:color="auto"/>
            </w:tcBorders>
            <w:vAlign w:val="center"/>
          </w:tcPr>
          <w:p w:rsidR="00824C2D" w:rsidRPr="00824C2D" w:rsidRDefault="00824C2D" w:rsidP="00824C2D">
            <w:pPr>
              <w:keepNext/>
              <w:jc w:val="center"/>
              <w:rPr>
                <w:rFonts w:eastAsia="Times New Roman"/>
                <w:sz w:val="24"/>
                <w:szCs w:val="24"/>
                <w:lang w:eastAsia="ru-RU"/>
              </w:rPr>
            </w:pPr>
            <w:r w:rsidRPr="00824C2D">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824C2D" w:rsidRPr="00824C2D" w:rsidRDefault="00824C2D" w:rsidP="00824C2D">
            <w:pPr>
              <w:keepNext/>
              <w:jc w:val="center"/>
              <w:rPr>
                <w:rFonts w:eastAsia="Times New Roman"/>
                <w:sz w:val="24"/>
                <w:szCs w:val="24"/>
                <w:lang w:eastAsia="ru-RU"/>
              </w:rPr>
            </w:pPr>
            <w:r w:rsidRPr="00824C2D">
              <w:rPr>
                <w:rFonts w:eastAsia="Times New Roman"/>
                <w:sz w:val="24"/>
                <w:szCs w:val="24"/>
                <w:lang w:eastAsia="ru-RU"/>
              </w:rPr>
              <w:t>1,00</w:t>
            </w:r>
          </w:p>
        </w:tc>
      </w:tr>
      <w:tr w:rsidR="00824C2D" w:rsidRPr="00824C2D" w:rsidTr="00824C2D">
        <w:trPr>
          <w:trHeight w:val="346"/>
          <w:jc w:val="center"/>
        </w:trPr>
        <w:tc>
          <w:tcPr>
            <w:tcW w:w="4536" w:type="dxa"/>
            <w:tcBorders>
              <w:top w:val="single" w:sz="4" w:space="0" w:color="auto"/>
              <w:left w:val="single" w:sz="4" w:space="0" w:color="auto"/>
              <w:bottom w:val="single" w:sz="4" w:space="0" w:color="auto"/>
              <w:right w:val="single" w:sz="4" w:space="0" w:color="auto"/>
            </w:tcBorders>
            <w:vAlign w:val="center"/>
          </w:tcPr>
          <w:p w:rsidR="00824C2D" w:rsidRPr="00824C2D" w:rsidRDefault="00824C2D" w:rsidP="00824C2D">
            <w:pPr>
              <w:keepNext/>
              <w:jc w:val="left"/>
              <w:rPr>
                <w:rFonts w:eastAsia="Times New Roman"/>
                <w:sz w:val="24"/>
                <w:szCs w:val="24"/>
                <w:lang w:eastAsia="ru-RU"/>
              </w:rPr>
            </w:pPr>
            <w:r w:rsidRPr="00824C2D">
              <w:rPr>
                <w:rFonts w:eastAsia="Times New Roman"/>
                <w:sz w:val="24"/>
                <w:szCs w:val="24"/>
                <w:lang w:eastAsia="ru-RU"/>
              </w:rPr>
              <w:t xml:space="preserve">Своєчасність постановки на облік вагітних </w:t>
            </w:r>
          </w:p>
        </w:tc>
        <w:tc>
          <w:tcPr>
            <w:tcW w:w="968" w:type="dxa"/>
            <w:tcBorders>
              <w:top w:val="single" w:sz="4" w:space="0" w:color="auto"/>
              <w:left w:val="single" w:sz="4" w:space="0" w:color="auto"/>
              <w:bottom w:val="single" w:sz="4" w:space="0" w:color="auto"/>
              <w:right w:val="single" w:sz="4" w:space="0" w:color="auto"/>
            </w:tcBorders>
            <w:vAlign w:val="center"/>
          </w:tcPr>
          <w:p w:rsidR="00824C2D" w:rsidRPr="00824C2D" w:rsidRDefault="00824C2D" w:rsidP="00824C2D">
            <w:pPr>
              <w:keepNext/>
              <w:jc w:val="center"/>
              <w:rPr>
                <w:rFonts w:eastAsia="Times New Roman"/>
                <w:color w:val="000000"/>
                <w:sz w:val="24"/>
                <w:szCs w:val="24"/>
                <w:lang w:eastAsia="ru-RU"/>
              </w:rPr>
            </w:pPr>
            <w:r w:rsidRPr="00824C2D">
              <w:rPr>
                <w:rFonts w:eastAsia="Times New Roman"/>
                <w:color w:val="000000"/>
                <w:sz w:val="24"/>
                <w:szCs w:val="24"/>
                <w:lang w:eastAsia="ru-RU"/>
              </w:rPr>
              <w:t>87,71</w:t>
            </w:r>
          </w:p>
        </w:tc>
        <w:tc>
          <w:tcPr>
            <w:tcW w:w="969" w:type="dxa"/>
            <w:tcBorders>
              <w:top w:val="single" w:sz="4" w:space="0" w:color="auto"/>
              <w:left w:val="single" w:sz="4" w:space="0" w:color="auto"/>
              <w:bottom w:val="single" w:sz="4" w:space="0" w:color="auto"/>
              <w:right w:val="single" w:sz="4" w:space="0" w:color="auto"/>
            </w:tcBorders>
            <w:vAlign w:val="center"/>
          </w:tcPr>
          <w:p w:rsidR="00824C2D" w:rsidRPr="00824C2D" w:rsidRDefault="00824C2D" w:rsidP="00824C2D">
            <w:pPr>
              <w:keepNext/>
              <w:jc w:val="center"/>
              <w:rPr>
                <w:rFonts w:eastAsia="Times New Roman"/>
                <w:sz w:val="24"/>
                <w:szCs w:val="24"/>
                <w:lang w:eastAsia="ru-RU"/>
              </w:rPr>
            </w:pPr>
            <w:r w:rsidRPr="00824C2D">
              <w:rPr>
                <w:rFonts w:eastAsia="Times New Roman"/>
                <w:sz w:val="24"/>
                <w:szCs w:val="24"/>
                <w:lang w:eastAsia="ru-RU"/>
              </w:rPr>
              <w:t>86,98</w:t>
            </w:r>
          </w:p>
        </w:tc>
        <w:tc>
          <w:tcPr>
            <w:tcW w:w="968" w:type="dxa"/>
            <w:tcBorders>
              <w:top w:val="single" w:sz="4" w:space="0" w:color="auto"/>
              <w:left w:val="single" w:sz="4" w:space="0" w:color="auto"/>
              <w:bottom w:val="single" w:sz="4" w:space="0" w:color="auto"/>
              <w:right w:val="single" w:sz="4" w:space="0" w:color="auto"/>
            </w:tcBorders>
            <w:vAlign w:val="center"/>
          </w:tcPr>
          <w:p w:rsidR="00824C2D" w:rsidRPr="00824C2D" w:rsidRDefault="00824C2D" w:rsidP="00824C2D">
            <w:pPr>
              <w:keepNext/>
              <w:jc w:val="center"/>
              <w:rPr>
                <w:rFonts w:eastAsia="Times New Roman"/>
                <w:color w:val="000000"/>
                <w:sz w:val="24"/>
                <w:szCs w:val="24"/>
                <w:lang w:eastAsia="ru-RU"/>
              </w:rPr>
            </w:pPr>
            <w:r w:rsidRPr="00824C2D">
              <w:rPr>
                <w:rFonts w:eastAsia="Times New Roman"/>
                <w:color w:val="000000"/>
                <w:sz w:val="24"/>
                <w:szCs w:val="24"/>
                <w:lang w:eastAsia="ru-RU"/>
              </w:rPr>
              <w:t>6,46</w:t>
            </w:r>
          </w:p>
        </w:tc>
        <w:tc>
          <w:tcPr>
            <w:tcW w:w="969" w:type="dxa"/>
            <w:tcBorders>
              <w:top w:val="single" w:sz="4" w:space="0" w:color="auto"/>
              <w:left w:val="single" w:sz="4" w:space="0" w:color="auto"/>
              <w:bottom w:val="single" w:sz="4" w:space="0" w:color="auto"/>
              <w:right w:val="single" w:sz="4" w:space="0" w:color="auto"/>
            </w:tcBorders>
            <w:vAlign w:val="center"/>
          </w:tcPr>
          <w:p w:rsidR="00824C2D" w:rsidRPr="00824C2D" w:rsidRDefault="00824C2D" w:rsidP="00824C2D">
            <w:pPr>
              <w:keepNext/>
              <w:jc w:val="center"/>
              <w:rPr>
                <w:rFonts w:eastAsia="Times New Roman"/>
                <w:sz w:val="24"/>
                <w:szCs w:val="24"/>
                <w:lang w:eastAsia="ru-RU"/>
              </w:rPr>
            </w:pPr>
            <w:r w:rsidRPr="00824C2D">
              <w:rPr>
                <w:rFonts w:eastAsia="Times New Roman"/>
                <w:sz w:val="24"/>
                <w:szCs w:val="24"/>
                <w:lang w:eastAsia="ru-RU"/>
              </w:rPr>
              <w:t>6,44</w:t>
            </w:r>
          </w:p>
        </w:tc>
        <w:tc>
          <w:tcPr>
            <w:tcW w:w="968" w:type="dxa"/>
            <w:tcBorders>
              <w:top w:val="single" w:sz="4" w:space="0" w:color="auto"/>
              <w:left w:val="single" w:sz="4" w:space="0" w:color="auto"/>
              <w:bottom w:val="single" w:sz="4" w:space="0" w:color="auto"/>
              <w:right w:val="single" w:sz="4" w:space="0" w:color="auto"/>
            </w:tcBorders>
            <w:vAlign w:val="center"/>
          </w:tcPr>
          <w:p w:rsidR="00824C2D" w:rsidRPr="00824C2D" w:rsidRDefault="00824C2D" w:rsidP="00824C2D">
            <w:pPr>
              <w:keepNext/>
              <w:jc w:val="center"/>
              <w:rPr>
                <w:rFonts w:eastAsia="Times New Roman"/>
                <w:color w:val="000000"/>
                <w:sz w:val="24"/>
                <w:szCs w:val="24"/>
                <w:lang w:eastAsia="ru-RU"/>
              </w:rPr>
            </w:pPr>
            <w:r w:rsidRPr="00824C2D">
              <w:rPr>
                <w:rFonts w:eastAsia="Times New Roman"/>
                <w:color w:val="000000"/>
                <w:sz w:val="24"/>
                <w:szCs w:val="24"/>
                <w:lang w:eastAsia="ru-RU"/>
              </w:rPr>
              <w:t>0,92</w:t>
            </w:r>
          </w:p>
        </w:tc>
        <w:tc>
          <w:tcPr>
            <w:tcW w:w="969" w:type="dxa"/>
            <w:tcBorders>
              <w:top w:val="single" w:sz="4" w:space="0" w:color="auto"/>
              <w:left w:val="single" w:sz="4" w:space="0" w:color="auto"/>
              <w:bottom w:val="single" w:sz="4" w:space="0" w:color="auto"/>
              <w:right w:val="single" w:sz="4" w:space="0" w:color="auto"/>
            </w:tcBorders>
            <w:vAlign w:val="center"/>
          </w:tcPr>
          <w:p w:rsidR="00824C2D" w:rsidRPr="00824C2D" w:rsidRDefault="00824C2D" w:rsidP="00824C2D">
            <w:pPr>
              <w:keepNext/>
              <w:jc w:val="center"/>
              <w:rPr>
                <w:rFonts w:eastAsia="Times New Roman"/>
                <w:sz w:val="24"/>
                <w:szCs w:val="24"/>
                <w:lang w:eastAsia="ru-RU"/>
              </w:rPr>
            </w:pPr>
            <w:r w:rsidRPr="00824C2D">
              <w:rPr>
                <w:rFonts w:eastAsia="Times New Roman"/>
                <w:sz w:val="24"/>
                <w:szCs w:val="24"/>
                <w:lang w:eastAsia="ru-RU"/>
              </w:rPr>
              <w:t>0,92</w:t>
            </w:r>
          </w:p>
        </w:tc>
      </w:tr>
      <w:tr w:rsidR="00824C2D" w:rsidRPr="00824C2D" w:rsidTr="00824C2D">
        <w:trPr>
          <w:trHeight w:val="266"/>
          <w:jc w:val="center"/>
        </w:trPr>
        <w:tc>
          <w:tcPr>
            <w:tcW w:w="4536" w:type="dxa"/>
            <w:tcBorders>
              <w:top w:val="single" w:sz="4" w:space="0" w:color="auto"/>
              <w:left w:val="single" w:sz="4" w:space="0" w:color="auto"/>
              <w:bottom w:val="single" w:sz="4" w:space="0" w:color="auto"/>
              <w:right w:val="single" w:sz="4" w:space="0" w:color="auto"/>
            </w:tcBorders>
            <w:vAlign w:val="center"/>
          </w:tcPr>
          <w:p w:rsidR="00824C2D" w:rsidRPr="00824C2D" w:rsidRDefault="00824C2D" w:rsidP="00824C2D">
            <w:pPr>
              <w:keepNext/>
              <w:jc w:val="left"/>
              <w:rPr>
                <w:rFonts w:eastAsia="Times New Roman"/>
                <w:sz w:val="24"/>
                <w:szCs w:val="24"/>
                <w:lang w:eastAsia="ru-RU"/>
              </w:rPr>
            </w:pPr>
            <w:r w:rsidRPr="00824C2D">
              <w:rPr>
                <w:rFonts w:eastAsia="Times New Roman"/>
                <w:sz w:val="24"/>
                <w:szCs w:val="24"/>
                <w:lang w:eastAsia="ru-RU"/>
              </w:rPr>
              <w:t>Частота анемій вагітних</w:t>
            </w:r>
          </w:p>
        </w:tc>
        <w:tc>
          <w:tcPr>
            <w:tcW w:w="968" w:type="dxa"/>
            <w:tcBorders>
              <w:top w:val="single" w:sz="4" w:space="0" w:color="auto"/>
              <w:left w:val="single" w:sz="4" w:space="0" w:color="auto"/>
              <w:bottom w:val="single" w:sz="4" w:space="0" w:color="auto"/>
              <w:right w:val="single" w:sz="4" w:space="0" w:color="auto"/>
            </w:tcBorders>
            <w:vAlign w:val="center"/>
          </w:tcPr>
          <w:p w:rsidR="00824C2D" w:rsidRPr="00824C2D" w:rsidRDefault="00824C2D" w:rsidP="00824C2D">
            <w:pPr>
              <w:keepNext/>
              <w:jc w:val="center"/>
              <w:rPr>
                <w:rFonts w:eastAsia="Times New Roman"/>
                <w:color w:val="000000"/>
                <w:sz w:val="24"/>
                <w:szCs w:val="24"/>
                <w:lang w:eastAsia="ru-RU"/>
              </w:rPr>
            </w:pPr>
            <w:r w:rsidRPr="00824C2D">
              <w:rPr>
                <w:rFonts w:eastAsia="Times New Roman"/>
                <w:color w:val="000000"/>
                <w:sz w:val="24"/>
                <w:szCs w:val="24"/>
                <w:lang w:eastAsia="ru-RU"/>
              </w:rPr>
              <w:t>25,74</w:t>
            </w:r>
          </w:p>
        </w:tc>
        <w:tc>
          <w:tcPr>
            <w:tcW w:w="969" w:type="dxa"/>
            <w:tcBorders>
              <w:top w:val="single" w:sz="4" w:space="0" w:color="auto"/>
              <w:left w:val="single" w:sz="4" w:space="0" w:color="auto"/>
              <w:bottom w:val="single" w:sz="4" w:space="0" w:color="auto"/>
              <w:right w:val="single" w:sz="4" w:space="0" w:color="auto"/>
            </w:tcBorders>
            <w:vAlign w:val="center"/>
          </w:tcPr>
          <w:p w:rsidR="00824C2D" w:rsidRPr="00824C2D" w:rsidRDefault="00824C2D" w:rsidP="00824C2D">
            <w:pPr>
              <w:keepNext/>
              <w:jc w:val="center"/>
              <w:rPr>
                <w:rFonts w:eastAsia="Times New Roman"/>
                <w:sz w:val="24"/>
                <w:szCs w:val="24"/>
                <w:lang w:eastAsia="ru-RU"/>
              </w:rPr>
            </w:pPr>
            <w:r w:rsidRPr="00824C2D">
              <w:rPr>
                <w:rFonts w:eastAsia="Times New Roman"/>
                <w:sz w:val="24"/>
                <w:szCs w:val="24"/>
                <w:lang w:eastAsia="ru-RU"/>
              </w:rPr>
              <w:t>38,30</w:t>
            </w:r>
          </w:p>
        </w:tc>
        <w:tc>
          <w:tcPr>
            <w:tcW w:w="968" w:type="dxa"/>
            <w:tcBorders>
              <w:top w:val="single" w:sz="4" w:space="0" w:color="auto"/>
              <w:left w:val="single" w:sz="4" w:space="0" w:color="auto"/>
              <w:bottom w:val="single" w:sz="4" w:space="0" w:color="auto"/>
              <w:right w:val="single" w:sz="4" w:space="0" w:color="auto"/>
            </w:tcBorders>
            <w:vAlign w:val="center"/>
          </w:tcPr>
          <w:p w:rsidR="00824C2D" w:rsidRPr="00824C2D" w:rsidRDefault="00824C2D" w:rsidP="00824C2D">
            <w:pPr>
              <w:keepNext/>
              <w:jc w:val="center"/>
              <w:rPr>
                <w:rFonts w:eastAsia="Times New Roman"/>
                <w:color w:val="000000"/>
                <w:sz w:val="24"/>
                <w:szCs w:val="24"/>
                <w:lang w:eastAsia="ru-RU"/>
              </w:rPr>
            </w:pPr>
            <w:r w:rsidRPr="00824C2D">
              <w:rPr>
                <w:rFonts w:eastAsia="Times New Roman"/>
                <w:color w:val="000000"/>
                <w:sz w:val="24"/>
                <w:szCs w:val="24"/>
                <w:lang w:eastAsia="ru-RU"/>
              </w:rPr>
              <w:t>2,85</w:t>
            </w:r>
          </w:p>
        </w:tc>
        <w:tc>
          <w:tcPr>
            <w:tcW w:w="969" w:type="dxa"/>
            <w:tcBorders>
              <w:top w:val="single" w:sz="4" w:space="0" w:color="auto"/>
              <w:left w:val="single" w:sz="4" w:space="0" w:color="auto"/>
              <w:bottom w:val="single" w:sz="4" w:space="0" w:color="auto"/>
              <w:right w:val="single" w:sz="4" w:space="0" w:color="auto"/>
            </w:tcBorders>
            <w:vAlign w:val="center"/>
          </w:tcPr>
          <w:p w:rsidR="00824C2D" w:rsidRPr="00824C2D" w:rsidRDefault="00824C2D" w:rsidP="00824C2D">
            <w:pPr>
              <w:keepNext/>
              <w:jc w:val="center"/>
              <w:rPr>
                <w:rFonts w:eastAsia="Times New Roman"/>
                <w:sz w:val="24"/>
                <w:szCs w:val="24"/>
                <w:lang w:eastAsia="ru-RU"/>
              </w:rPr>
            </w:pPr>
            <w:r w:rsidRPr="00824C2D">
              <w:rPr>
                <w:rFonts w:eastAsia="Times New Roman"/>
                <w:sz w:val="24"/>
                <w:szCs w:val="24"/>
                <w:lang w:eastAsia="ru-RU"/>
              </w:rPr>
              <w:t>0,81</w:t>
            </w:r>
          </w:p>
        </w:tc>
        <w:tc>
          <w:tcPr>
            <w:tcW w:w="968" w:type="dxa"/>
            <w:tcBorders>
              <w:top w:val="single" w:sz="4" w:space="0" w:color="auto"/>
              <w:left w:val="single" w:sz="4" w:space="0" w:color="auto"/>
              <w:bottom w:val="single" w:sz="4" w:space="0" w:color="auto"/>
              <w:right w:val="single" w:sz="4" w:space="0" w:color="auto"/>
            </w:tcBorders>
            <w:vAlign w:val="center"/>
          </w:tcPr>
          <w:p w:rsidR="00824C2D" w:rsidRPr="00824C2D" w:rsidRDefault="00824C2D" w:rsidP="00824C2D">
            <w:pPr>
              <w:keepNext/>
              <w:jc w:val="center"/>
              <w:rPr>
                <w:rFonts w:eastAsia="Times New Roman"/>
                <w:color w:val="000000"/>
                <w:sz w:val="24"/>
                <w:szCs w:val="24"/>
                <w:lang w:eastAsia="ru-RU"/>
              </w:rPr>
            </w:pPr>
            <w:r w:rsidRPr="00824C2D">
              <w:rPr>
                <w:rFonts w:eastAsia="Times New Roman"/>
                <w:color w:val="000000"/>
                <w:sz w:val="24"/>
                <w:szCs w:val="24"/>
                <w:lang w:eastAsia="ru-RU"/>
              </w:rPr>
              <w:t>0,71</w:t>
            </w:r>
          </w:p>
        </w:tc>
        <w:tc>
          <w:tcPr>
            <w:tcW w:w="969" w:type="dxa"/>
            <w:tcBorders>
              <w:top w:val="single" w:sz="4" w:space="0" w:color="auto"/>
              <w:left w:val="single" w:sz="4" w:space="0" w:color="auto"/>
              <w:bottom w:val="single" w:sz="4" w:space="0" w:color="auto"/>
              <w:right w:val="single" w:sz="4" w:space="0" w:color="auto"/>
            </w:tcBorders>
            <w:vAlign w:val="center"/>
          </w:tcPr>
          <w:p w:rsidR="00824C2D" w:rsidRPr="00824C2D" w:rsidRDefault="00824C2D" w:rsidP="00824C2D">
            <w:pPr>
              <w:keepNext/>
              <w:jc w:val="center"/>
              <w:rPr>
                <w:rFonts w:eastAsia="Times New Roman"/>
                <w:sz w:val="24"/>
                <w:szCs w:val="24"/>
                <w:lang w:eastAsia="ru-RU"/>
              </w:rPr>
            </w:pPr>
            <w:r w:rsidRPr="00824C2D">
              <w:rPr>
                <w:rFonts w:eastAsia="Times New Roman"/>
                <w:sz w:val="24"/>
                <w:szCs w:val="24"/>
                <w:lang w:eastAsia="ru-RU"/>
              </w:rPr>
              <w:t>0,20</w:t>
            </w:r>
          </w:p>
        </w:tc>
      </w:tr>
      <w:tr w:rsidR="00824C2D" w:rsidRPr="00824C2D" w:rsidTr="00824C2D">
        <w:trPr>
          <w:trHeight w:val="319"/>
          <w:jc w:val="center"/>
        </w:trPr>
        <w:tc>
          <w:tcPr>
            <w:tcW w:w="4536" w:type="dxa"/>
            <w:tcBorders>
              <w:top w:val="single" w:sz="4" w:space="0" w:color="auto"/>
              <w:left w:val="single" w:sz="4" w:space="0" w:color="auto"/>
              <w:bottom w:val="single" w:sz="4" w:space="0" w:color="auto"/>
              <w:right w:val="single" w:sz="4" w:space="0" w:color="auto"/>
            </w:tcBorders>
            <w:vAlign w:val="center"/>
          </w:tcPr>
          <w:p w:rsidR="00824C2D" w:rsidRPr="00824C2D" w:rsidRDefault="00824C2D" w:rsidP="00824C2D">
            <w:pPr>
              <w:keepNext/>
              <w:jc w:val="left"/>
              <w:rPr>
                <w:rFonts w:eastAsia="Times New Roman"/>
                <w:sz w:val="24"/>
                <w:szCs w:val="24"/>
                <w:lang w:eastAsia="ru-RU"/>
              </w:rPr>
            </w:pPr>
            <w:r w:rsidRPr="00824C2D">
              <w:rPr>
                <w:rFonts w:eastAsia="Times New Roman"/>
                <w:sz w:val="24"/>
                <w:szCs w:val="24"/>
                <w:lang w:eastAsia="ru-RU"/>
              </w:rPr>
              <w:t>Частота прееклампсій та еклампсій вагітних</w:t>
            </w:r>
          </w:p>
        </w:tc>
        <w:tc>
          <w:tcPr>
            <w:tcW w:w="968" w:type="dxa"/>
            <w:tcBorders>
              <w:top w:val="single" w:sz="4" w:space="0" w:color="auto"/>
              <w:left w:val="single" w:sz="4" w:space="0" w:color="auto"/>
              <w:bottom w:val="single" w:sz="4" w:space="0" w:color="auto"/>
              <w:right w:val="single" w:sz="4" w:space="0" w:color="auto"/>
            </w:tcBorders>
            <w:vAlign w:val="center"/>
          </w:tcPr>
          <w:p w:rsidR="00824C2D" w:rsidRPr="00824C2D" w:rsidRDefault="00824C2D" w:rsidP="00824C2D">
            <w:pPr>
              <w:keepNext/>
              <w:jc w:val="center"/>
              <w:rPr>
                <w:rFonts w:eastAsia="Times New Roman"/>
                <w:color w:val="000000"/>
                <w:sz w:val="24"/>
                <w:szCs w:val="24"/>
                <w:lang w:eastAsia="ru-RU"/>
              </w:rPr>
            </w:pPr>
            <w:r w:rsidRPr="00824C2D">
              <w:rPr>
                <w:rFonts w:eastAsia="Times New Roman"/>
                <w:color w:val="000000"/>
                <w:sz w:val="24"/>
                <w:szCs w:val="24"/>
                <w:lang w:eastAsia="ru-RU"/>
              </w:rPr>
              <w:t>2,1</w:t>
            </w:r>
          </w:p>
        </w:tc>
        <w:tc>
          <w:tcPr>
            <w:tcW w:w="969" w:type="dxa"/>
            <w:tcBorders>
              <w:top w:val="single" w:sz="4" w:space="0" w:color="auto"/>
              <w:left w:val="single" w:sz="4" w:space="0" w:color="auto"/>
              <w:bottom w:val="single" w:sz="4" w:space="0" w:color="auto"/>
              <w:right w:val="single" w:sz="4" w:space="0" w:color="auto"/>
            </w:tcBorders>
            <w:vAlign w:val="center"/>
          </w:tcPr>
          <w:p w:rsidR="00824C2D" w:rsidRPr="00824C2D" w:rsidRDefault="00824C2D" w:rsidP="00824C2D">
            <w:pPr>
              <w:keepNext/>
              <w:jc w:val="center"/>
              <w:rPr>
                <w:rFonts w:eastAsia="Times New Roman"/>
                <w:sz w:val="24"/>
                <w:szCs w:val="24"/>
                <w:lang w:eastAsia="ru-RU"/>
              </w:rPr>
            </w:pPr>
            <w:r w:rsidRPr="00824C2D">
              <w:rPr>
                <w:rFonts w:eastAsia="Times New Roman"/>
                <w:sz w:val="24"/>
                <w:szCs w:val="24"/>
                <w:lang w:eastAsia="ru-RU"/>
              </w:rPr>
              <w:t>1,84</w:t>
            </w:r>
          </w:p>
        </w:tc>
        <w:tc>
          <w:tcPr>
            <w:tcW w:w="968" w:type="dxa"/>
            <w:tcBorders>
              <w:top w:val="single" w:sz="4" w:space="0" w:color="auto"/>
              <w:left w:val="single" w:sz="4" w:space="0" w:color="auto"/>
              <w:bottom w:val="single" w:sz="4" w:space="0" w:color="auto"/>
              <w:right w:val="single" w:sz="4" w:space="0" w:color="auto"/>
            </w:tcBorders>
            <w:vAlign w:val="center"/>
          </w:tcPr>
          <w:p w:rsidR="00824C2D" w:rsidRPr="00824C2D" w:rsidRDefault="00824C2D" w:rsidP="00824C2D">
            <w:pPr>
              <w:keepNext/>
              <w:jc w:val="center"/>
              <w:rPr>
                <w:rFonts w:eastAsia="Times New Roman"/>
                <w:color w:val="000000"/>
                <w:sz w:val="24"/>
                <w:szCs w:val="24"/>
                <w:lang w:eastAsia="ru-RU"/>
              </w:rPr>
            </w:pPr>
            <w:r w:rsidRPr="00824C2D">
              <w:rPr>
                <w:rFonts w:eastAsia="Times New Roman"/>
                <w:color w:val="000000"/>
                <w:sz w:val="24"/>
                <w:szCs w:val="24"/>
                <w:lang w:eastAsia="ru-RU"/>
              </w:rPr>
              <w:t>5,60</w:t>
            </w:r>
          </w:p>
        </w:tc>
        <w:tc>
          <w:tcPr>
            <w:tcW w:w="969" w:type="dxa"/>
            <w:tcBorders>
              <w:top w:val="single" w:sz="4" w:space="0" w:color="auto"/>
              <w:left w:val="single" w:sz="4" w:space="0" w:color="auto"/>
              <w:bottom w:val="single" w:sz="4" w:space="0" w:color="auto"/>
              <w:right w:val="single" w:sz="4" w:space="0" w:color="auto"/>
            </w:tcBorders>
            <w:vAlign w:val="center"/>
          </w:tcPr>
          <w:p w:rsidR="00824C2D" w:rsidRPr="00824C2D" w:rsidRDefault="00824C2D" w:rsidP="00824C2D">
            <w:pPr>
              <w:keepNext/>
              <w:jc w:val="center"/>
              <w:rPr>
                <w:rFonts w:eastAsia="Times New Roman"/>
                <w:sz w:val="24"/>
                <w:szCs w:val="24"/>
                <w:lang w:eastAsia="ru-RU"/>
              </w:rPr>
            </w:pPr>
            <w:r w:rsidRPr="00824C2D">
              <w:rPr>
                <w:rFonts w:eastAsia="Times New Roman"/>
                <w:sz w:val="24"/>
                <w:szCs w:val="24"/>
                <w:lang w:eastAsia="ru-RU"/>
              </w:rPr>
              <w:t>6,64</w:t>
            </w:r>
          </w:p>
        </w:tc>
        <w:tc>
          <w:tcPr>
            <w:tcW w:w="968" w:type="dxa"/>
            <w:tcBorders>
              <w:top w:val="single" w:sz="4" w:space="0" w:color="auto"/>
              <w:left w:val="single" w:sz="4" w:space="0" w:color="auto"/>
              <w:bottom w:val="single" w:sz="4" w:space="0" w:color="auto"/>
              <w:right w:val="single" w:sz="4" w:space="0" w:color="auto"/>
            </w:tcBorders>
            <w:vAlign w:val="center"/>
          </w:tcPr>
          <w:p w:rsidR="00824C2D" w:rsidRPr="00824C2D" w:rsidRDefault="00824C2D" w:rsidP="00824C2D">
            <w:pPr>
              <w:keepNext/>
              <w:jc w:val="center"/>
              <w:rPr>
                <w:rFonts w:eastAsia="Times New Roman"/>
                <w:color w:val="000000"/>
                <w:sz w:val="24"/>
                <w:szCs w:val="24"/>
                <w:lang w:eastAsia="ru-RU"/>
              </w:rPr>
            </w:pPr>
            <w:r w:rsidRPr="00824C2D">
              <w:rPr>
                <w:rFonts w:eastAsia="Times New Roman"/>
                <w:color w:val="000000"/>
                <w:sz w:val="24"/>
                <w:szCs w:val="24"/>
                <w:lang w:eastAsia="ru-RU"/>
              </w:rPr>
              <w:t>0,80</w:t>
            </w:r>
          </w:p>
        </w:tc>
        <w:tc>
          <w:tcPr>
            <w:tcW w:w="969" w:type="dxa"/>
            <w:tcBorders>
              <w:top w:val="single" w:sz="4" w:space="0" w:color="auto"/>
              <w:left w:val="single" w:sz="4" w:space="0" w:color="auto"/>
              <w:bottom w:val="single" w:sz="4" w:space="0" w:color="auto"/>
              <w:right w:val="single" w:sz="4" w:space="0" w:color="auto"/>
            </w:tcBorders>
            <w:vAlign w:val="center"/>
          </w:tcPr>
          <w:p w:rsidR="00824C2D" w:rsidRPr="00824C2D" w:rsidRDefault="00824C2D" w:rsidP="00824C2D">
            <w:pPr>
              <w:keepNext/>
              <w:jc w:val="center"/>
              <w:rPr>
                <w:rFonts w:eastAsia="Times New Roman"/>
                <w:sz w:val="24"/>
                <w:szCs w:val="24"/>
                <w:lang w:eastAsia="ru-RU"/>
              </w:rPr>
            </w:pPr>
            <w:r w:rsidRPr="00824C2D">
              <w:rPr>
                <w:rFonts w:eastAsia="Times New Roman"/>
                <w:sz w:val="24"/>
                <w:szCs w:val="24"/>
                <w:lang w:eastAsia="ru-RU"/>
              </w:rPr>
              <w:t>0,95</w:t>
            </w:r>
          </w:p>
        </w:tc>
      </w:tr>
      <w:tr w:rsidR="00824C2D" w:rsidRPr="00824C2D" w:rsidTr="00824C2D">
        <w:trPr>
          <w:trHeight w:val="284"/>
          <w:jc w:val="center"/>
        </w:trPr>
        <w:tc>
          <w:tcPr>
            <w:tcW w:w="4536" w:type="dxa"/>
            <w:tcBorders>
              <w:top w:val="single" w:sz="4" w:space="0" w:color="auto"/>
              <w:left w:val="single" w:sz="4" w:space="0" w:color="auto"/>
              <w:bottom w:val="single" w:sz="4" w:space="0" w:color="auto"/>
              <w:right w:val="single" w:sz="4" w:space="0" w:color="auto"/>
            </w:tcBorders>
            <w:vAlign w:val="center"/>
          </w:tcPr>
          <w:p w:rsidR="00824C2D" w:rsidRPr="00824C2D" w:rsidRDefault="00824C2D" w:rsidP="00824C2D">
            <w:pPr>
              <w:keepNext/>
              <w:jc w:val="left"/>
              <w:rPr>
                <w:rFonts w:eastAsia="Times New Roman"/>
                <w:sz w:val="24"/>
                <w:szCs w:val="24"/>
                <w:lang w:eastAsia="ru-RU"/>
              </w:rPr>
            </w:pPr>
            <w:r w:rsidRPr="00824C2D">
              <w:rPr>
                <w:rFonts w:eastAsia="Times New Roman"/>
                <w:sz w:val="24"/>
                <w:szCs w:val="24"/>
                <w:lang w:eastAsia="ru-RU"/>
              </w:rPr>
              <w:t>Співвідношення безпечних методів абортів до небезпечних</w:t>
            </w:r>
          </w:p>
        </w:tc>
        <w:tc>
          <w:tcPr>
            <w:tcW w:w="968" w:type="dxa"/>
            <w:tcBorders>
              <w:top w:val="single" w:sz="4" w:space="0" w:color="auto"/>
              <w:left w:val="single" w:sz="4" w:space="0" w:color="auto"/>
              <w:bottom w:val="single" w:sz="4" w:space="0" w:color="auto"/>
              <w:right w:val="single" w:sz="4" w:space="0" w:color="auto"/>
            </w:tcBorders>
            <w:vAlign w:val="center"/>
          </w:tcPr>
          <w:p w:rsidR="00824C2D" w:rsidRPr="00824C2D" w:rsidRDefault="00824C2D" w:rsidP="00824C2D">
            <w:pPr>
              <w:keepNext/>
              <w:jc w:val="center"/>
              <w:rPr>
                <w:rFonts w:eastAsia="Times New Roman"/>
                <w:color w:val="000000"/>
                <w:sz w:val="24"/>
                <w:szCs w:val="24"/>
                <w:lang w:eastAsia="ru-RU"/>
              </w:rPr>
            </w:pPr>
            <w:r w:rsidRPr="00824C2D">
              <w:rPr>
                <w:rFonts w:eastAsia="Times New Roman"/>
                <w:color w:val="000000"/>
                <w:sz w:val="24"/>
                <w:szCs w:val="24"/>
                <w:lang w:eastAsia="ru-RU"/>
              </w:rPr>
              <w:t>2,9</w:t>
            </w:r>
          </w:p>
        </w:tc>
        <w:tc>
          <w:tcPr>
            <w:tcW w:w="969" w:type="dxa"/>
            <w:tcBorders>
              <w:top w:val="single" w:sz="4" w:space="0" w:color="auto"/>
              <w:left w:val="single" w:sz="4" w:space="0" w:color="auto"/>
              <w:bottom w:val="single" w:sz="4" w:space="0" w:color="auto"/>
              <w:right w:val="single" w:sz="4" w:space="0" w:color="auto"/>
            </w:tcBorders>
            <w:vAlign w:val="center"/>
          </w:tcPr>
          <w:p w:rsidR="00824C2D" w:rsidRPr="00824C2D" w:rsidRDefault="00824C2D" w:rsidP="00824C2D">
            <w:pPr>
              <w:keepNext/>
              <w:jc w:val="center"/>
              <w:rPr>
                <w:rFonts w:eastAsia="Times New Roman"/>
                <w:sz w:val="24"/>
                <w:szCs w:val="24"/>
                <w:lang w:eastAsia="ru-RU"/>
              </w:rPr>
            </w:pPr>
            <w:r w:rsidRPr="00824C2D">
              <w:rPr>
                <w:rFonts w:eastAsia="Times New Roman"/>
                <w:sz w:val="24"/>
                <w:szCs w:val="24"/>
                <w:lang w:eastAsia="ru-RU"/>
              </w:rPr>
              <w:t>3,55</w:t>
            </w:r>
          </w:p>
        </w:tc>
        <w:tc>
          <w:tcPr>
            <w:tcW w:w="968" w:type="dxa"/>
            <w:tcBorders>
              <w:top w:val="single" w:sz="4" w:space="0" w:color="auto"/>
              <w:left w:val="single" w:sz="4" w:space="0" w:color="auto"/>
              <w:bottom w:val="single" w:sz="4" w:space="0" w:color="auto"/>
              <w:right w:val="single" w:sz="4" w:space="0" w:color="auto"/>
            </w:tcBorders>
            <w:vAlign w:val="center"/>
          </w:tcPr>
          <w:p w:rsidR="00824C2D" w:rsidRPr="00824C2D" w:rsidRDefault="00824C2D" w:rsidP="00824C2D">
            <w:pPr>
              <w:keepNext/>
              <w:jc w:val="center"/>
              <w:rPr>
                <w:rFonts w:eastAsia="Times New Roman"/>
                <w:color w:val="000000"/>
                <w:sz w:val="24"/>
                <w:szCs w:val="24"/>
                <w:lang w:eastAsia="ru-RU"/>
              </w:rPr>
            </w:pPr>
            <w:r w:rsidRPr="00824C2D">
              <w:rPr>
                <w:rFonts w:eastAsia="Times New Roman"/>
                <w:color w:val="000000"/>
                <w:sz w:val="24"/>
                <w:szCs w:val="24"/>
                <w:lang w:eastAsia="ru-RU"/>
              </w:rPr>
              <w:t>1,74</w:t>
            </w:r>
          </w:p>
        </w:tc>
        <w:tc>
          <w:tcPr>
            <w:tcW w:w="969" w:type="dxa"/>
            <w:tcBorders>
              <w:top w:val="single" w:sz="4" w:space="0" w:color="auto"/>
              <w:left w:val="single" w:sz="4" w:space="0" w:color="auto"/>
              <w:bottom w:val="single" w:sz="4" w:space="0" w:color="auto"/>
              <w:right w:val="single" w:sz="4" w:space="0" w:color="auto"/>
            </w:tcBorders>
            <w:vAlign w:val="center"/>
          </w:tcPr>
          <w:p w:rsidR="00824C2D" w:rsidRPr="00824C2D" w:rsidRDefault="00824C2D" w:rsidP="00824C2D">
            <w:pPr>
              <w:keepNext/>
              <w:jc w:val="center"/>
              <w:rPr>
                <w:rFonts w:eastAsia="Times New Roman"/>
                <w:sz w:val="24"/>
                <w:szCs w:val="24"/>
                <w:lang w:eastAsia="ru-RU"/>
              </w:rPr>
            </w:pPr>
            <w:r w:rsidRPr="00824C2D">
              <w:rPr>
                <w:rFonts w:eastAsia="Times New Roman"/>
                <w:sz w:val="24"/>
                <w:szCs w:val="24"/>
                <w:lang w:eastAsia="ru-RU"/>
              </w:rPr>
              <w:t>2,66</w:t>
            </w:r>
          </w:p>
        </w:tc>
        <w:tc>
          <w:tcPr>
            <w:tcW w:w="968" w:type="dxa"/>
            <w:tcBorders>
              <w:top w:val="single" w:sz="4" w:space="0" w:color="auto"/>
              <w:left w:val="single" w:sz="4" w:space="0" w:color="auto"/>
              <w:bottom w:val="single" w:sz="4" w:space="0" w:color="auto"/>
              <w:right w:val="single" w:sz="4" w:space="0" w:color="auto"/>
            </w:tcBorders>
            <w:vAlign w:val="center"/>
          </w:tcPr>
          <w:p w:rsidR="00824C2D" w:rsidRPr="00824C2D" w:rsidRDefault="00824C2D" w:rsidP="00824C2D">
            <w:pPr>
              <w:keepNext/>
              <w:jc w:val="center"/>
              <w:rPr>
                <w:rFonts w:eastAsia="Times New Roman"/>
                <w:color w:val="000000"/>
                <w:sz w:val="24"/>
                <w:szCs w:val="24"/>
                <w:lang w:eastAsia="ru-RU"/>
              </w:rPr>
            </w:pPr>
            <w:r w:rsidRPr="00824C2D">
              <w:rPr>
                <w:rFonts w:eastAsia="Times New Roman"/>
                <w:color w:val="000000"/>
                <w:sz w:val="24"/>
                <w:szCs w:val="24"/>
                <w:lang w:eastAsia="ru-RU"/>
              </w:rPr>
              <w:t>0,29</w:t>
            </w:r>
          </w:p>
        </w:tc>
        <w:tc>
          <w:tcPr>
            <w:tcW w:w="969" w:type="dxa"/>
            <w:tcBorders>
              <w:top w:val="single" w:sz="4" w:space="0" w:color="auto"/>
              <w:left w:val="single" w:sz="4" w:space="0" w:color="auto"/>
              <w:bottom w:val="single" w:sz="4" w:space="0" w:color="auto"/>
              <w:right w:val="single" w:sz="4" w:space="0" w:color="auto"/>
            </w:tcBorders>
            <w:vAlign w:val="center"/>
          </w:tcPr>
          <w:p w:rsidR="00824C2D" w:rsidRPr="00824C2D" w:rsidRDefault="00824C2D" w:rsidP="00824C2D">
            <w:pPr>
              <w:keepNext/>
              <w:jc w:val="center"/>
              <w:rPr>
                <w:rFonts w:eastAsia="Times New Roman"/>
                <w:sz w:val="24"/>
                <w:szCs w:val="24"/>
                <w:lang w:eastAsia="ru-RU"/>
              </w:rPr>
            </w:pPr>
            <w:r w:rsidRPr="00824C2D">
              <w:rPr>
                <w:rFonts w:eastAsia="Times New Roman"/>
                <w:sz w:val="24"/>
                <w:szCs w:val="24"/>
                <w:lang w:eastAsia="ru-RU"/>
              </w:rPr>
              <w:t>0,44</w:t>
            </w:r>
          </w:p>
        </w:tc>
      </w:tr>
      <w:tr w:rsidR="00824C2D" w:rsidRPr="00824C2D" w:rsidTr="00824C2D">
        <w:trPr>
          <w:trHeight w:val="340"/>
          <w:jc w:val="center"/>
        </w:trPr>
        <w:tc>
          <w:tcPr>
            <w:tcW w:w="4536" w:type="dxa"/>
            <w:tcBorders>
              <w:top w:val="single" w:sz="4" w:space="0" w:color="auto"/>
              <w:left w:val="single" w:sz="4" w:space="0" w:color="auto"/>
              <w:bottom w:val="single" w:sz="4" w:space="0" w:color="auto"/>
              <w:right w:val="single" w:sz="4" w:space="0" w:color="auto"/>
            </w:tcBorders>
            <w:vAlign w:val="bottom"/>
          </w:tcPr>
          <w:p w:rsidR="00824C2D" w:rsidRPr="00824C2D" w:rsidRDefault="00824C2D" w:rsidP="00824C2D">
            <w:pPr>
              <w:keepNext/>
              <w:jc w:val="left"/>
              <w:rPr>
                <w:rFonts w:eastAsia="Times New Roman"/>
                <w:sz w:val="24"/>
                <w:szCs w:val="24"/>
                <w:lang w:eastAsia="ru-RU"/>
              </w:rPr>
            </w:pPr>
            <w:r w:rsidRPr="00824C2D">
              <w:rPr>
                <w:rFonts w:eastAsia="Times New Roman"/>
                <w:sz w:val="24"/>
                <w:szCs w:val="24"/>
                <w:lang w:eastAsia="ru-RU"/>
              </w:rPr>
              <w:t>Питома вага хворих виявлення в ранніх стадіях (І – ІІ) серед хворих з вперше встановленим діагнозом онкологія молочної залози</w:t>
            </w:r>
          </w:p>
        </w:tc>
        <w:tc>
          <w:tcPr>
            <w:tcW w:w="968" w:type="dxa"/>
            <w:tcBorders>
              <w:top w:val="single" w:sz="4" w:space="0" w:color="auto"/>
              <w:left w:val="single" w:sz="4" w:space="0" w:color="auto"/>
              <w:bottom w:val="single" w:sz="4" w:space="0" w:color="auto"/>
              <w:right w:val="single" w:sz="4" w:space="0" w:color="auto"/>
            </w:tcBorders>
            <w:vAlign w:val="center"/>
          </w:tcPr>
          <w:p w:rsidR="00824C2D" w:rsidRPr="00824C2D" w:rsidRDefault="00824C2D" w:rsidP="00824C2D">
            <w:pPr>
              <w:keepNext/>
              <w:jc w:val="center"/>
              <w:rPr>
                <w:rFonts w:eastAsia="Times New Roman"/>
                <w:sz w:val="24"/>
                <w:szCs w:val="24"/>
                <w:lang w:eastAsia="ru-RU"/>
              </w:rPr>
            </w:pPr>
            <w:r w:rsidRPr="00824C2D">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824C2D" w:rsidRPr="00824C2D" w:rsidRDefault="00824C2D" w:rsidP="00824C2D">
            <w:pPr>
              <w:keepNext/>
              <w:jc w:val="center"/>
              <w:rPr>
                <w:rFonts w:eastAsia="Times New Roman"/>
                <w:sz w:val="24"/>
                <w:szCs w:val="24"/>
                <w:lang w:eastAsia="ru-RU"/>
              </w:rPr>
            </w:pPr>
            <w:r w:rsidRPr="00824C2D">
              <w:rPr>
                <w:rFonts w:eastAsia="Times New Roman"/>
                <w:sz w:val="24"/>
                <w:szCs w:val="24"/>
                <w:lang w:eastAsia="ru-RU"/>
              </w:rPr>
              <w:t>88,10</w:t>
            </w:r>
          </w:p>
        </w:tc>
        <w:tc>
          <w:tcPr>
            <w:tcW w:w="968" w:type="dxa"/>
            <w:tcBorders>
              <w:top w:val="single" w:sz="4" w:space="0" w:color="auto"/>
              <w:left w:val="single" w:sz="4" w:space="0" w:color="auto"/>
              <w:bottom w:val="single" w:sz="4" w:space="0" w:color="auto"/>
              <w:right w:val="single" w:sz="4" w:space="0" w:color="auto"/>
            </w:tcBorders>
            <w:vAlign w:val="center"/>
          </w:tcPr>
          <w:p w:rsidR="00824C2D" w:rsidRPr="00824C2D" w:rsidRDefault="00824C2D" w:rsidP="00824C2D">
            <w:pPr>
              <w:keepNext/>
              <w:jc w:val="center"/>
              <w:rPr>
                <w:rFonts w:eastAsia="Times New Roman"/>
                <w:sz w:val="24"/>
                <w:szCs w:val="24"/>
                <w:lang w:eastAsia="ru-RU"/>
              </w:rPr>
            </w:pPr>
            <w:r w:rsidRPr="00824C2D">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824C2D" w:rsidRPr="00824C2D" w:rsidRDefault="00824C2D" w:rsidP="00824C2D">
            <w:pPr>
              <w:keepNext/>
              <w:jc w:val="center"/>
              <w:rPr>
                <w:rFonts w:eastAsia="Times New Roman"/>
                <w:sz w:val="24"/>
                <w:szCs w:val="24"/>
                <w:lang w:eastAsia="ru-RU"/>
              </w:rPr>
            </w:pPr>
            <w:r w:rsidRPr="00824C2D">
              <w:rPr>
                <w:rFonts w:eastAsia="Times New Roman"/>
                <w:sz w:val="24"/>
                <w:szCs w:val="24"/>
                <w:lang w:eastAsia="ru-RU"/>
              </w:rPr>
              <w:t>6,00</w:t>
            </w:r>
          </w:p>
        </w:tc>
        <w:tc>
          <w:tcPr>
            <w:tcW w:w="968" w:type="dxa"/>
            <w:tcBorders>
              <w:top w:val="single" w:sz="4" w:space="0" w:color="auto"/>
              <w:left w:val="single" w:sz="4" w:space="0" w:color="auto"/>
              <w:bottom w:val="single" w:sz="4" w:space="0" w:color="auto"/>
              <w:right w:val="single" w:sz="4" w:space="0" w:color="auto"/>
            </w:tcBorders>
            <w:vAlign w:val="center"/>
          </w:tcPr>
          <w:p w:rsidR="00824C2D" w:rsidRPr="00824C2D" w:rsidRDefault="00824C2D" w:rsidP="00824C2D">
            <w:pPr>
              <w:keepNext/>
              <w:jc w:val="center"/>
              <w:rPr>
                <w:rFonts w:eastAsia="Times New Roman"/>
                <w:sz w:val="24"/>
                <w:szCs w:val="24"/>
                <w:lang w:eastAsia="ru-RU"/>
              </w:rPr>
            </w:pPr>
            <w:r w:rsidRPr="00824C2D">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824C2D" w:rsidRPr="00824C2D" w:rsidRDefault="00824C2D" w:rsidP="00824C2D">
            <w:pPr>
              <w:keepNext/>
              <w:jc w:val="center"/>
              <w:rPr>
                <w:rFonts w:eastAsia="Times New Roman"/>
                <w:sz w:val="24"/>
                <w:szCs w:val="24"/>
                <w:lang w:eastAsia="ru-RU"/>
              </w:rPr>
            </w:pPr>
            <w:r w:rsidRPr="00824C2D">
              <w:rPr>
                <w:rFonts w:eastAsia="Times New Roman"/>
                <w:sz w:val="24"/>
                <w:szCs w:val="24"/>
                <w:lang w:eastAsia="ru-RU"/>
              </w:rPr>
              <w:t>1,00</w:t>
            </w:r>
          </w:p>
        </w:tc>
      </w:tr>
      <w:tr w:rsidR="00824C2D" w:rsidRPr="00824C2D" w:rsidTr="00824C2D">
        <w:trPr>
          <w:trHeight w:val="418"/>
          <w:jc w:val="center"/>
        </w:trPr>
        <w:tc>
          <w:tcPr>
            <w:tcW w:w="4536" w:type="dxa"/>
            <w:tcBorders>
              <w:top w:val="single" w:sz="4" w:space="0" w:color="auto"/>
              <w:left w:val="single" w:sz="4" w:space="0" w:color="auto"/>
              <w:bottom w:val="single" w:sz="4" w:space="0" w:color="auto"/>
              <w:right w:val="single" w:sz="4" w:space="0" w:color="auto"/>
            </w:tcBorders>
            <w:vAlign w:val="bottom"/>
          </w:tcPr>
          <w:p w:rsidR="00824C2D" w:rsidRPr="00824C2D" w:rsidRDefault="00824C2D" w:rsidP="00824C2D">
            <w:pPr>
              <w:keepNext/>
              <w:jc w:val="left"/>
              <w:rPr>
                <w:rFonts w:eastAsia="Times New Roman"/>
                <w:sz w:val="24"/>
                <w:szCs w:val="24"/>
                <w:lang w:eastAsia="ru-RU"/>
              </w:rPr>
            </w:pPr>
            <w:r w:rsidRPr="00824C2D">
              <w:rPr>
                <w:rFonts w:eastAsia="Times New Roman"/>
                <w:sz w:val="24"/>
                <w:szCs w:val="24"/>
                <w:lang w:eastAsia="ru-RU"/>
              </w:rPr>
              <w:t>Питома вага хворих виявлення в ранніх стадіях (І – ІІ) серед хворих з вперше встановленим діагнозом онкологія шийки матки</w:t>
            </w:r>
          </w:p>
        </w:tc>
        <w:tc>
          <w:tcPr>
            <w:tcW w:w="968" w:type="dxa"/>
            <w:tcBorders>
              <w:top w:val="single" w:sz="4" w:space="0" w:color="auto"/>
              <w:left w:val="single" w:sz="4" w:space="0" w:color="auto"/>
              <w:bottom w:val="single" w:sz="4" w:space="0" w:color="auto"/>
              <w:right w:val="single" w:sz="4" w:space="0" w:color="auto"/>
            </w:tcBorders>
            <w:vAlign w:val="center"/>
          </w:tcPr>
          <w:p w:rsidR="00824C2D" w:rsidRPr="00824C2D" w:rsidRDefault="00824C2D" w:rsidP="00824C2D">
            <w:pPr>
              <w:keepNext/>
              <w:jc w:val="center"/>
              <w:rPr>
                <w:rFonts w:eastAsia="Times New Roman"/>
                <w:sz w:val="24"/>
                <w:szCs w:val="24"/>
                <w:lang w:eastAsia="ru-RU"/>
              </w:rPr>
            </w:pPr>
            <w:r w:rsidRPr="00824C2D">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824C2D" w:rsidRPr="00824C2D" w:rsidRDefault="00824C2D" w:rsidP="00824C2D">
            <w:pPr>
              <w:keepNext/>
              <w:jc w:val="center"/>
              <w:rPr>
                <w:rFonts w:eastAsia="Times New Roman"/>
                <w:sz w:val="24"/>
                <w:szCs w:val="24"/>
                <w:lang w:eastAsia="ru-RU"/>
              </w:rPr>
            </w:pPr>
            <w:r w:rsidRPr="00824C2D">
              <w:rPr>
                <w:rFonts w:eastAsia="Times New Roman"/>
                <w:sz w:val="24"/>
                <w:szCs w:val="24"/>
                <w:lang w:eastAsia="ru-RU"/>
              </w:rPr>
              <w:t>84,60</w:t>
            </w:r>
          </w:p>
        </w:tc>
        <w:tc>
          <w:tcPr>
            <w:tcW w:w="968" w:type="dxa"/>
            <w:tcBorders>
              <w:top w:val="single" w:sz="4" w:space="0" w:color="auto"/>
              <w:left w:val="single" w:sz="4" w:space="0" w:color="auto"/>
              <w:bottom w:val="single" w:sz="4" w:space="0" w:color="auto"/>
              <w:right w:val="single" w:sz="4" w:space="0" w:color="auto"/>
            </w:tcBorders>
            <w:vAlign w:val="center"/>
          </w:tcPr>
          <w:p w:rsidR="00824C2D" w:rsidRPr="00824C2D" w:rsidRDefault="00824C2D" w:rsidP="00824C2D">
            <w:pPr>
              <w:keepNext/>
              <w:jc w:val="center"/>
              <w:rPr>
                <w:rFonts w:eastAsia="Times New Roman"/>
                <w:sz w:val="24"/>
                <w:szCs w:val="24"/>
                <w:lang w:eastAsia="ru-RU"/>
              </w:rPr>
            </w:pPr>
            <w:r w:rsidRPr="00824C2D">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824C2D" w:rsidRPr="00824C2D" w:rsidRDefault="00824C2D" w:rsidP="00824C2D">
            <w:pPr>
              <w:keepNext/>
              <w:jc w:val="center"/>
              <w:rPr>
                <w:rFonts w:eastAsia="Times New Roman"/>
                <w:sz w:val="24"/>
                <w:szCs w:val="24"/>
                <w:lang w:eastAsia="ru-RU"/>
              </w:rPr>
            </w:pPr>
            <w:r w:rsidRPr="00824C2D">
              <w:rPr>
                <w:rFonts w:eastAsia="Times New Roman"/>
                <w:sz w:val="24"/>
                <w:szCs w:val="24"/>
                <w:lang w:eastAsia="ru-RU"/>
              </w:rPr>
              <w:t>6,00</w:t>
            </w:r>
          </w:p>
        </w:tc>
        <w:tc>
          <w:tcPr>
            <w:tcW w:w="968" w:type="dxa"/>
            <w:tcBorders>
              <w:top w:val="single" w:sz="4" w:space="0" w:color="auto"/>
              <w:left w:val="single" w:sz="4" w:space="0" w:color="auto"/>
              <w:bottom w:val="single" w:sz="4" w:space="0" w:color="auto"/>
              <w:right w:val="single" w:sz="4" w:space="0" w:color="auto"/>
            </w:tcBorders>
            <w:vAlign w:val="center"/>
          </w:tcPr>
          <w:p w:rsidR="00824C2D" w:rsidRPr="00824C2D" w:rsidRDefault="00824C2D" w:rsidP="00824C2D">
            <w:pPr>
              <w:keepNext/>
              <w:jc w:val="center"/>
              <w:rPr>
                <w:rFonts w:eastAsia="Times New Roman"/>
                <w:sz w:val="24"/>
                <w:szCs w:val="24"/>
                <w:lang w:eastAsia="ru-RU"/>
              </w:rPr>
            </w:pPr>
            <w:r w:rsidRPr="00824C2D">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824C2D" w:rsidRPr="00824C2D" w:rsidRDefault="00824C2D" w:rsidP="00824C2D">
            <w:pPr>
              <w:keepNext/>
              <w:jc w:val="center"/>
              <w:rPr>
                <w:rFonts w:eastAsia="Times New Roman"/>
                <w:sz w:val="24"/>
                <w:szCs w:val="24"/>
                <w:lang w:eastAsia="ru-RU"/>
              </w:rPr>
            </w:pPr>
            <w:r w:rsidRPr="00824C2D">
              <w:rPr>
                <w:rFonts w:eastAsia="Times New Roman"/>
                <w:sz w:val="24"/>
                <w:szCs w:val="24"/>
                <w:lang w:eastAsia="ru-RU"/>
              </w:rPr>
              <w:t>1,00</w:t>
            </w:r>
          </w:p>
        </w:tc>
      </w:tr>
      <w:tr w:rsidR="00824C2D" w:rsidRPr="00824C2D" w:rsidTr="00824C2D">
        <w:trPr>
          <w:trHeight w:val="510"/>
          <w:jc w:val="center"/>
        </w:trPr>
        <w:tc>
          <w:tcPr>
            <w:tcW w:w="4536" w:type="dxa"/>
            <w:tcBorders>
              <w:top w:val="single" w:sz="4" w:space="0" w:color="auto"/>
              <w:left w:val="single" w:sz="4" w:space="0" w:color="auto"/>
              <w:bottom w:val="single" w:sz="4" w:space="0" w:color="auto"/>
              <w:right w:val="single" w:sz="4" w:space="0" w:color="auto"/>
            </w:tcBorders>
          </w:tcPr>
          <w:p w:rsidR="00824C2D" w:rsidRPr="00824C2D" w:rsidRDefault="00824C2D" w:rsidP="00824C2D">
            <w:pPr>
              <w:keepNext/>
              <w:rPr>
                <w:rFonts w:eastAsia="Times New Roman"/>
                <w:color w:val="000000"/>
                <w:sz w:val="24"/>
                <w:szCs w:val="24"/>
                <w:lang w:eastAsia="uk-UA"/>
              </w:rPr>
            </w:pPr>
            <w:r w:rsidRPr="00824C2D">
              <w:rPr>
                <w:rFonts w:eastAsia="Times New Roman"/>
                <w:color w:val="000000"/>
                <w:sz w:val="24"/>
                <w:szCs w:val="24"/>
                <w:lang w:eastAsia="uk-UA"/>
              </w:rPr>
              <w:t>Індекс концентрації розродження вагітних з цукровим діабетом у ЗПД ІІІ рівня</w:t>
            </w:r>
          </w:p>
        </w:tc>
        <w:tc>
          <w:tcPr>
            <w:tcW w:w="968" w:type="dxa"/>
            <w:tcBorders>
              <w:top w:val="single" w:sz="4" w:space="0" w:color="auto"/>
              <w:left w:val="single" w:sz="4" w:space="0" w:color="auto"/>
              <w:bottom w:val="single" w:sz="4" w:space="0" w:color="auto"/>
              <w:right w:val="single" w:sz="4" w:space="0" w:color="auto"/>
            </w:tcBorders>
            <w:vAlign w:val="center"/>
          </w:tcPr>
          <w:p w:rsidR="00824C2D" w:rsidRPr="00824C2D" w:rsidRDefault="00824C2D" w:rsidP="00824C2D">
            <w:pPr>
              <w:keepNext/>
              <w:jc w:val="center"/>
              <w:rPr>
                <w:rFonts w:eastAsia="Times New Roman"/>
                <w:color w:val="000000"/>
                <w:sz w:val="24"/>
                <w:szCs w:val="24"/>
                <w:lang w:eastAsia="ru-RU"/>
              </w:rPr>
            </w:pPr>
            <w:r w:rsidRPr="00824C2D">
              <w:rPr>
                <w:rFonts w:eastAsia="Times New Roman"/>
                <w:color w:val="000000"/>
                <w:sz w:val="24"/>
                <w:szCs w:val="24"/>
                <w:lang w:eastAsia="ru-RU"/>
              </w:rPr>
              <w:t>53,33</w:t>
            </w:r>
          </w:p>
        </w:tc>
        <w:tc>
          <w:tcPr>
            <w:tcW w:w="969" w:type="dxa"/>
            <w:tcBorders>
              <w:top w:val="single" w:sz="4" w:space="0" w:color="auto"/>
              <w:left w:val="single" w:sz="4" w:space="0" w:color="auto"/>
              <w:bottom w:val="single" w:sz="4" w:space="0" w:color="auto"/>
              <w:right w:val="single" w:sz="4" w:space="0" w:color="auto"/>
            </w:tcBorders>
            <w:vAlign w:val="center"/>
          </w:tcPr>
          <w:p w:rsidR="00824C2D" w:rsidRPr="00824C2D" w:rsidRDefault="00824C2D" w:rsidP="00824C2D">
            <w:pPr>
              <w:keepNext/>
              <w:jc w:val="center"/>
              <w:rPr>
                <w:rFonts w:eastAsia="Times New Roman"/>
                <w:color w:val="000000"/>
                <w:sz w:val="24"/>
                <w:szCs w:val="24"/>
                <w:lang w:eastAsia="ru-RU"/>
              </w:rPr>
            </w:pPr>
            <w:r w:rsidRPr="00824C2D">
              <w:rPr>
                <w:rFonts w:eastAsia="Times New Roman"/>
                <w:color w:val="000000"/>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824C2D" w:rsidRPr="00824C2D" w:rsidRDefault="00824C2D" w:rsidP="00824C2D">
            <w:pPr>
              <w:keepNext/>
              <w:jc w:val="center"/>
              <w:rPr>
                <w:rFonts w:eastAsia="Times New Roman"/>
                <w:color w:val="000000"/>
                <w:sz w:val="24"/>
                <w:szCs w:val="24"/>
                <w:lang w:eastAsia="ru-RU"/>
              </w:rPr>
            </w:pPr>
            <w:r w:rsidRPr="00824C2D">
              <w:rPr>
                <w:rFonts w:eastAsia="Times New Roman"/>
                <w:color w:val="000000"/>
                <w:sz w:val="24"/>
                <w:szCs w:val="24"/>
                <w:lang w:eastAsia="ru-RU"/>
              </w:rPr>
              <w:t>5,33</w:t>
            </w:r>
          </w:p>
        </w:tc>
        <w:tc>
          <w:tcPr>
            <w:tcW w:w="969" w:type="dxa"/>
            <w:tcBorders>
              <w:top w:val="single" w:sz="4" w:space="0" w:color="auto"/>
              <w:left w:val="single" w:sz="4" w:space="0" w:color="auto"/>
              <w:bottom w:val="single" w:sz="4" w:space="0" w:color="auto"/>
              <w:right w:val="single" w:sz="4" w:space="0" w:color="auto"/>
            </w:tcBorders>
            <w:vAlign w:val="center"/>
          </w:tcPr>
          <w:p w:rsidR="00824C2D" w:rsidRPr="00824C2D" w:rsidRDefault="00824C2D" w:rsidP="00824C2D">
            <w:pPr>
              <w:keepNext/>
              <w:jc w:val="center"/>
              <w:rPr>
                <w:rFonts w:eastAsia="Times New Roman"/>
                <w:sz w:val="24"/>
                <w:szCs w:val="24"/>
                <w:lang w:eastAsia="ru-RU"/>
              </w:rPr>
            </w:pPr>
            <w:r w:rsidRPr="00824C2D">
              <w:rPr>
                <w:rFonts w:eastAsia="Times New Roman"/>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824C2D" w:rsidRPr="00824C2D" w:rsidRDefault="00824C2D" w:rsidP="00824C2D">
            <w:pPr>
              <w:keepNext/>
              <w:jc w:val="center"/>
              <w:rPr>
                <w:rFonts w:eastAsia="Times New Roman"/>
                <w:color w:val="000000"/>
                <w:sz w:val="24"/>
                <w:szCs w:val="24"/>
                <w:lang w:eastAsia="ru-RU"/>
              </w:rPr>
            </w:pPr>
            <w:r w:rsidRPr="00824C2D">
              <w:rPr>
                <w:rFonts w:eastAsia="Times New Roman"/>
                <w:color w:val="000000"/>
                <w:sz w:val="24"/>
                <w:szCs w:val="24"/>
                <w:lang w:eastAsia="ru-RU"/>
              </w:rPr>
              <w:t>0,76</w:t>
            </w:r>
          </w:p>
        </w:tc>
        <w:tc>
          <w:tcPr>
            <w:tcW w:w="969" w:type="dxa"/>
            <w:tcBorders>
              <w:top w:val="single" w:sz="4" w:space="0" w:color="auto"/>
              <w:left w:val="single" w:sz="4" w:space="0" w:color="auto"/>
              <w:bottom w:val="single" w:sz="4" w:space="0" w:color="auto"/>
              <w:right w:val="single" w:sz="4" w:space="0" w:color="auto"/>
            </w:tcBorders>
            <w:vAlign w:val="center"/>
          </w:tcPr>
          <w:p w:rsidR="00824C2D" w:rsidRPr="00824C2D" w:rsidRDefault="00824C2D" w:rsidP="00824C2D">
            <w:pPr>
              <w:keepNext/>
              <w:jc w:val="center"/>
              <w:rPr>
                <w:rFonts w:eastAsia="Times New Roman"/>
                <w:sz w:val="24"/>
                <w:szCs w:val="24"/>
                <w:lang w:eastAsia="ru-RU"/>
              </w:rPr>
            </w:pPr>
            <w:r w:rsidRPr="00824C2D">
              <w:rPr>
                <w:rFonts w:eastAsia="Times New Roman"/>
                <w:sz w:val="24"/>
                <w:szCs w:val="24"/>
                <w:lang w:eastAsia="ru-RU"/>
              </w:rPr>
              <w:t>**</w:t>
            </w:r>
          </w:p>
        </w:tc>
      </w:tr>
    </w:tbl>
    <w:tbl>
      <w:tblPr>
        <w:tblpPr w:leftFromText="180" w:rightFromText="180" w:vertAnchor="text" w:horzAnchor="margin" w:tblpY="741"/>
        <w:tblW w:w="103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36"/>
        <w:gridCol w:w="968"/>
        <w:gridCol w:w="969"/>
        <w:gridCol w:w="968"/>
        <w:gridCol w:w="969"/>
        <w:gridCol w:w="968"/>
        <w:gridCol w:w="969"/>
      </w:tblGrid>
      <w:tr w:rsidR="00BB548D" w:rsidRPr="00824C2D" w:rsidTr="00BB548D">
        <w:trPr>
          <w:trHeight w:val="600"/>
        </w:trPr>
        <w:tc>
          <w:tcPr>
            <w:tcW w:w="4536" w:type="dxa"/>
            <w:tcBorders>
              <w:top w:val="single" w:sz="4" w:space="0" w:color="auto"/>
              <w:left w:val="single" w:sz="4" w:space="0" w:color="auto"/>
              <w:bottom w:val="single" w:sz="4" w:space="0" w:color="auto"/>
              <w:right w:val="single" w:sz="4" w:space="0" w:color="auto"/>
            </w:tcBorders>
          </w:tcPr>
          <w:p w:rsidR="00BB548D" w:rsidRPr="00824C2D" w:rsidRDefault="00BB548D" w:rsidP="00BB548D">
            <w:pPr>
              <w:keepNext/>
              <w:rPr>
                <w:rFonts w:eastAsia="Times New Roman"/>
                <w:color w:val="000000"/>
                <w:sz w:val="24"/>
                <w:szCs w:val="24"/>
                <w:lang w:eastAsia="uk-UA"/>
              </w:rPr>
            </w:pPr>
            <w:r w:rsidRPr="00824C2D">
              <w:rPr>
                <w:rFonts w:eastAsia="Times New Roman"/>
                <w:color w:val="000000"/>
                <w:sz w:val="24"/>
                <w:szCs w:val="24"/>
                <w:lang w:eastAsia="uk-UA"/>
              </w:rPr>
              <w:lastRenderedPageBreak/>
              <w:t>Індекс концентрації розродження вагітних з  пре- еклампсією і еклампсією  у ЗПД ІІ-ІІІ рівнів</w:t>
            </w:r>
          </w:p>
        </w:tc>
        <w:tc>
          <w:tcPr>
            <w:tcW w:w="968" w:type="dxa"/>
            <w:tcBorders>
              <w:top w:val="single" w:sz="4" w:space="0" w:color="auto"/>
              <w:left w:val="single" w:sz="4" w:space="0" w:color="auto"/>
              <w:bottom w:val="single" w:sz="4" w:space="0" w:color="auto"/>
              <w:right w:val="single" w:sz="4" w:space="0" w:color="auto"/>
            </w:tcBorders>
            <w:vAlign w:val="center"/>
          </w:tcPr>
          <w:p w:rsidR="00BB548D" w:rsidRPr="00824C2D" w:rsidRDefault="00BB548D" w:rsidP="00BB548D">
            <w:pPr>
              <w:keepNext/>
              <w:jc w:val="center"/>
              <w:rPr>
                <w:rFonts w:eastAsia="Times New Roman"/>
                <w:color w:val="000000"/>
                <w:sz w:val="24"/>
                <w:szCs w:val="24"/>
                <w:lang w:eastAsia="ru-RU"/>
              </w:rPr>
            </w:pPr>
            <w:r w:rsidRPr="00824C2D">
              <w:rPr>
                <w:rFonts w:eastAsia="Times New Roman"/>
                <w:color w:val="000000"/>
                <w:sz w:val="24"/>
                <w:szCs w:val="24"/>
                <w:lang w:eastAsia="ru-RU"/>
              </w:rPr>
              <w:t>83,33</w:t>
            </w:r>
          </w:p>
        </w:tc>
        <w:tc>
          <w:tcPr>
            <w:tcW w:w="969" w:type="dxa"/>
            <w:tcBorders>
              <w:top w:val="single" w:sz="4" w:space="0" w:color="auto"/>
              <w:left w:val="single" w:sz="4" w:space="0" w:color="auto"/>
              <w:bottom w:val="single" w:sz="4" w:space="0" w:color="auto"/>
              <w:right w:val="single" w:sz="4" w:space="0" w:color="auto"/>
            </w:tcBorders>
            <w:vAlign w:val="center"/>
          </w:tcPr>
          <w:p w:rsidR="00BB548D" w:rsidRPr="00824C2D" w:rsidRDefault="00BB548D" w:rsidP="00BB548D">
            <w:pPr>
              <w:keepNext/>
              <w:jc w:val="center"/>
              <w:rPr>
                <w:rFonts w:eastAsia="Times New Roman"/>
                <w:color w:val="000000"/>
                <w:sz w:val="24"/>
                <w:szCs w:val="24"/>
                <w:lang w:eastAsia="ru-RU"/>
              </w:rPr>
            </w:pPr>
            <w:r w:rsidRPr="00824C2D">
              <w:rPr>
                <w:rFonts w:eastAsia="Times New Roman"/>
                <w:color w:val="000000"/>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BB548D" w:rsidRPr="00824C2D" w:rsidRDefault="00BB548D" w:rsidP="00BB548D">
            <w:pPr>
              <w:keepNext/>
              <w:jc w:val="center"/>
              <w:rPr>
                <w:rFonts w:eastAsia="Times New Roman"/>
                <w:color w:val="000000"/>
                <w:sz w:val="24"/>
                <w:szCs w:val="24"/>
                <w:lang w:eastAsia="ru-RU"/>
              </w:rPr>
            </w:pPr>
            <w:r w:rsidRPr="00824C2D">
              <w:rPr>
                <w:rFonts w:eastAsia="Times New Roman"/>
                <w:color w:val="000000"/>
                <w:sz w:val="24"/>
                <w:szCs w:val="24"/>
                <w:lang w:eastAsia="ru-RU"/>
              </w:rPr>
              <w:t>6,48</w:t>
            </w:r>
          </w:p>
        </w:tc>
        <w:tc>
          <w:tcPr>
            <w:tcW w:w="969" w:type="dxa"/>
            <w:tcBorders>
              <w:top w:val="single" w:sz="4" w:space="0" w:color="auto"/>
              <w:left w:val="single" w:sz="4" w:space="0" w:color="auto"/>
              <w:bottom w:val="single" w:sz="4" w:space="0" w:color="auto"/>
              <w:right w:val="single" w:sz="4" w:space="0" w:color="auto"/>
            </w:tcBorders>
            <w:vAlign w:val="center"/>
          </w:tcPr>
          <w:p w:rsidR="00BB548D" w:rsidRPr="00824C2D" w:rsidRDefault="00BB548D" w:rsidP="00BB548D">
            <w:pPr>
              <w:keepNext/>
              <w:jc w:val="center"/>
              <w:rPr>
                <w:rFonts w:eastAsia="Times New Roman"/>
                <w:sz w:val="24"/>
                <w:szCs w:val="24"/>
                <w:lang w:eastAsia="ru-RU"/>
              </w:rPr>
            </w:pPr>
            <w:r w:rsidRPr="00824C2D">
              <w:rPr>
                <w:rFonts w:eastAsia="Times New Roman"/>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BB548D" w:rsidRPr="00824C2D" w:rsidRDefault="00BB548D" w:rsidP="00BB548D">
            <w:pPr>
              <w:keepNext/>
              <w:jc w:val="center"/>
              <w:rPr>
                <w:rFonts w:eastAsia="Times New Roman"/>
                <w:color w:val="000000"/>
                <w:sz w:val="24"/>
                <w:szCs w:val="24"/>
                <w:lang w:eastAsia="ru-RU"/>
              </w:rPr>
            </w:pPr>
            <w:r w:rsidRPr="00824C2D">
              <w:rPr>
                <w:rFonts w:eastAsia="Times New Roman"/>
                <w:color w:val="000000"/>
                <w:sz w:val="24"/>
                <w:szCs w:val="24"/>
                <w:lang w:eastAsia="ru-RU"/>
              </w:rPr>
              <w:t>0,93</w:t>
            </w:r>
          </w:p>
        </w:tc>
        <w:tc>
          <w:tcPr>
            <w:tcW w:w="969" w:type="dxa"/>
            <w:tcBorders>
              <w:top w:val="single" w:sz="4" w:space="0" w:color="auto"/>
              <w:left w:val="single" w:sz="4" w:space="0" w:color="auto"/>
              <w:bottom w:val="single" w:sz="4" w:space="0" w:color="auto"/>
              <w:right w:val="single" w:sz="4" w:space="0" w:color="auto"/>
            </w:tcBorders>
            <w:vAlign w:val="center"/>
          </w:tcPr>
          <w:p w:rsidR="00BB548D" w:rsidRPr="00824C2D" w:rsidRDefault="00BB548D" w:rsidP="00BB548D">
            <w:pPr>
              <w:keepNext/>
              <w:jc w:val="center"/>
              <w:rPr>
                <w:rFonts w:eastAsia="Times New Roman"/>
                <w:sz w:val="24"/>
                <w:szCs w:val="24"/>
                <w:lang w:eastAsia="ru-RU"/>
              </w:rPr>
            </w:pPr>
            <w:r w:rsidRPr="00824C2D">
              <w:rPr>
                <w:rFonts w:eastAsia="Times New Roman"/>
                <w:sz w:val="24"/>
                <w:szCs w:val="24"/>
                <w:lang w:eastAsia="ru-RU"/>
              </w:rPr>
              <w:t>**</w:t>
            </w:r>
          </w:p>
        </w:tc>
      </w:tr>
      <w:tr w:rsidR="00BB548D" w:rsidRPr="00824C2D" w:rsidTr="00BB548D">
        <w:trPr>
          <w:trHeight w:val="600"/>
        </w:trPr>
        <w:tc>
          <w:tcPr>
            <w:tcW w:w="4536" w:type="dxa"/>
            <w:tcBorders>
              <w:top w:val="single" w:sz="4" w:space="0" w:color="auto"/>
              <w:left w:val="single" w:sz="4" w:space="0" w:color="auto"/>
              <w:bottom w:val="single" w:sz="4" w:space="0" w:color="auto"/>
              <w:right w:val="single" w:sz="4" w:space="0" w:color="auto"/>
            </w:tcBorders>
          </w:tcPr>
          <w:p w:rsidR="00BB548D" w:rsidRPr="00824C2D" w:rsidRDefault="00BB548D" w:rsidP="00BB548D">
            <w:pPr>
              <w:keepNext/>
              <w:rPr>
                <w:rFonts w:eastAsia="Times New Roman"/>
                <w:color w:val="000000"/>
                <w:sz w:val="24"/>
                <w:szCs w:val="24"/>
                <w:lang w:eastAsia="uk-UA"/>
              </w:rPr>
            </w:pPr>
            <w:r w:rsidRPr="00824C2D">
              <w:rPr>
                <w:rFonts w:eastAsia="Times New Roman"/>
                <w:color w:val="000000"/>
                <w:sz w:val="24"/>
                <w:szCs w:val="24"/>
                <w:lang w:eastAsia="uk-UA"/>
              </w:rPr>
              <w:t>Індекс концентрації новонароджених масою тіла при народженні 500-1499г у ЗПД ІІІ рівня</w:t>
            </w:r>
          </w:p>
        </w:tc>
        <w:tc>
          <w:tcPr>
            <w:tcW w:w="968" w:type="dxa"/>
            <w:tcBorders>
              <w:top w:val="single" w:sz="4" w:space="0" w:color="auto"/>
              <w:left w:val="single" w:sz="4" w:space="0" w:color="auto"/>
              <w:bottom w:val="single" w:sz="4" w:space="0" w:color="auto"/>
              <w:right w:val="single" w:sz="4" w:space="0" w:color="auto"/>
            </w:tcBorders>
            <w:vAlign w:val="center"/>
          </w:tcPr>
          <w:p w:rsidR="00BB548D" w:rsidRPr="00824C2D" w:rsidRDefault="00BB548D" w:rsidP="00BB548D">
            <w:pPr>
              <w:keepNext/>
              <w:jc w:val="center"/>
              <w:rPr>
                <w:rFonts w:eastAsia="Times New Roman"/>
                <w:color w:val="000000"/>
                <w:sz w:val="24"/>
                <w:szCs w:val="24"/>
                <w:lang w:eastAsia="ru-RU"/>
              </w:rPr>
            </w:pPr>
            <w:r w:rsidRPr="00824C2D">
              <w:rPr>
                <w:rFonts w:eastAsia="Times New Roman"/>
                <w:color w:val="000000"/>
                <w:sz w:val="24"/>
                <w:szCs w:val="24"/>
                <w:lang w:eastAsia="ru-RU"/>
              </w:rPr>
              <w:t>8,11</w:t>
            </w:r>
          </w:p>
        </w:tc>
        <w:tc>
          <w:tcPr>
            <w:tcW w:w="969" w:type="dxa"/>
            <w:tcBorders>
              <w:top w:val="single" w:sz="4" w:space="0" w:color="auto"/>
              <w:left w:val="single" w:sz="4" w:space="0" w:color="auto"/>
              <w:bottom w:val="single" w:sz="4" w:space="0" w:color="auto"/>
              <w:right w:val="single" w:sz="4" w:space="0" w:color="auto"/>
            </w:tcBorders>
            <w:vAlign w:val="center"/>
          </w:tcPr>
          <w:p w:rsidR="00BB548D" w:rsidRPr="00824C2D" w:rsidRDefault="00BB548D" w:rsidP="00BB548D">
            <w:pPr>
              <w:keepNext/>
              <w:jc w:val="center"/>
              <w:rPr>
                <w:rFonts w:eastAsia="Times New Roman"/>
                <w:color w:val="000000"/>
                <w:sz w:val="24"/>
                <w:szCs w:val="24"/>
                <w:lang w:eastAsia="ru-RU"/>
              </w:rPr>
            </w:pPr>
            <w:r w:rsidRPr="00824C2D">
              <w:rPr>
                <w:rFonts w:eastAsia="Times New Roman"/>
                <w:color w:val="000000"/>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BB548D" w:rsidRPr="00824C2D" w:rsidRDefault="00BB548D" w:rsidP="00BB548D">
            <w:pPr>
              <w:keepNext/>
              <w:jc w:val="center"/>
              <w:rPr>
                <w:rFonts w:eastAsia="Times New Roman"/>
                <w:color w:val="000000"/>
                <w:sz w:val="24"/>
                <w:szCs w:val="24"/>
                <w:lang w:eastAsia="ru-RU"/>
              </w:rPr>
            </w:pPr>
            <w:r w:rsidRPr="00824C2D">
              <w:rPr>
                <w:rFonts w:eastAsia="Times New Roman"/>
                <w:color w:val="000000"/>
                <w:sz w:val="24"/>
                <w:szCs w:val="24"/>
                <w:lang w:eastAsia="ru-RU"/>
              </w:rPr>
              <w:t>0,61</w:t>
            </w:r>
          </w:p>
        </w:tc>
        <w:tc>
          <w:tcPr>
            <w:tcW w:w="969" w:type="dxa"/>
            <w:tcBorders>
              <w:top w:val="single" w:sz="4" w:space="0" w:color="auto"/>
              <w:left w:val="single" w:sz="4" w:space="0" w:color="auto"/>
              <w:bottom w:val="single" w:sz="4" w:space="0" w:color="auto"/>
              <w:right w:val="single" w:sz="4" w:space="0" w:color="auto"/>
            </w:tcBorders>
            <w:vAlign w:val="center"/>
          </w:tcPr>
          <w:p w:rsidR="00BB548D" w:rsidRPr="00824C2D" w:rsidRDefault="00BB548D" w:rsidP="00BB548D">
            <w:pPr>
              <w:keepNext/>
              <w:jc w:val="center"/>
              <w:rPr>
                <w:rFonts w:eastAsia="Times New Roman"/>
                <w:sz w:val="24"/>
                <w:szCs w:val="24"/>
                <w:lang w:eastAsia="ru-RU"/>
              </w:rPr>
            </w:pPr>
            <w:r w:rsidRPr="00824C2D">
              <w:rPr>
                <w:rFonts w:eastAsia="Times New Roman"/>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BB548D" w:rsidRPr="00824C2D" w:rsidRDefault="00BB548D" w:rsidP="00BB548D">
            <w:pPr>
              <w:keepNext/>
              <w:jc w:val="center"/>
              <w:rPr>
                <w:rFonts w:eastAsia="Times New Roman"/>
                <w:color w:val="000000"/>
                <w:sz w:val="24"/>
                <w:szCs w:val="24"/>
                <w:lang w:eastAsia="ru-RU"/>
              </w:rPr>
            </w:pPr>
            <w:r w:rsidRPr="00824C2D">
              <w:rPr>
                <w:rFonts w:eastAsia="Times New Roman"/>
                <w:color w:val="000000"/>
                <w:sz w:val="24"/>
                <w:szCs w:val="24"/>
                <w:lang w:eastAsia="ru-RU"/>
              </w:rPr>
              <w:t>0,10</w:t>
            </w:r>
          </w:p>
        </w:tc>
        <w:tc>
          <w:tcPr>
            <w:tcW w:w="969" w:type="dxa"/>
            <w:tcBorders>
              <w:top w:val="single" w:sz="4" w:space="0" w:color="auto"/>
              <w:left w:val="single" w:sz="4" w:space="0" w:color="auto"/>
              <w:bottom w:val="single" w:sz="4" w:space="0" w:color="auto"/>
              <w:right w:val="single" w:sz="4" w:space="0" w:color="auto"/>
            </w:tcBorders>
            <w:vAlign w:val="center"/>
          </w:tcPr>
          <w:p w:rsidR="00BB548D" w:rsidRPr="00824C2D" w:rsidRDefault="00BB548D" w:rsidP="00BB548D">
            <w:pPr>
              <w:keepNext/>
              <w:jc w:val="center"/>
              <w:rPr>
                <w:rFonts w:eastAsia="Times New Roman"/>
                <w:sz w:val="24"/>
                <w:szCs w:val="24"/>
                <w:lang w:eastAsia="ru-RU"/>
              </w:rPr>
            </w:pPr>
            <w:r w:rsidRPr="00824C2D">
              <w:rPr>
                <w:rFonts w:eastAsia="Times New Roman"/>
                <w:sz w:val="24"/>
                <w:szCs w:val="24"/>
                <w:lang w:eastAsia="ru-RU"/>
              </w:rPr>
              <w:t>**</w:t>
            </w:r>
          </w:p>
        </w:tc>
      </w:tr>
      <w:tr w:rsidR="00BB548D" w:rsidRPr="00824C2D" w:rsidTr="00BB548D">
        <w:trPr>
          <w:trHeight w:val="298"/>
        </w:trPr>
        <w:tc>
          <w:tcPr>
            <w:tcW w:w="4536" w:type="dxa"/>
            <w:tcBorders>
              <w:top w:val="single" w:sz="4" w:space="0" w:color="auto"/>
              <w:left w:val="single" w:sz="4" w:space="0" w:color="auto"/>
              <w:bottom w:val="single" w:sz="4" w:space="0" w:color="auto"/>
              <w:right w:val="single" w:sz="4" w:space="0" w:color="auto"/>
            </w:tcBorders>
            <w:vAlign w:val="bottom"/>
          </w:tcPr>
          <w:p w:rsidR="00BB548D" w:rsidRPr="00824C2D" w:rsidRDefault="00BB548D" w:rsidP="00BB548D">
            <w:pPr>
              <w:keepNext/>
              <w:jc w:val="left"/>
              <w:rPr>
                <w:rFonts w:eastAsia="Times New Roman"/>
                <w:sz w:val="24"/>
                <w:szCs w:val="24"/>
                <w:lang w:eastAsia="ru-RU"/>
              </w:rPr>
            </w:pPr>
            <w:r w:rsidRPr="00824C2D">
              <w:rPr>
                <w:rFonts w:eastAsia="Times New Roman"/>
                <w:sz w:val="24"/>
                <w:szCs w:val="24"/>
                <w:lang w:eastAsia="ru-RU"/>
              </w:rPr>
              <w:t>Індекс неонатального трансферу</w:t>
            </w:r>
          </w:p>
        </w:tc>
        <w:tc>
          <w:tcPr>
            <w:tcW w:w="968" w:type="dxa"/>
            <w:tcBorders>
              <w:top w:val="single" w:sz="4" w:space="0" w:color="auto"/>
              <w:left w:val="single" w:sz="4" w:space="0" w:color="auto"/>
              <w:bottom w:val="single" w:sz="4" w:space="0" w:color="auto"/>
              <w:right w:val="single" w:sz="4" w:space="0" w:color="auto"/>
            </w:tcBorders>
            <w:vAlign w:val="center"/>
          </w:tcPr>
          <w:p w:rsidR="00BB548D" w:rsidRPr="00824C2D" w:rsidRDefault="00BB548D" w:rsidP="00BB548D">
            <w:pPr>
              <w:keepNext/>
              <w:jc w:val="center"/>
              <w:rPr>
                <w:rFonts w:eastAsia="Times New Roman"/>
                <w:sz w:val="24"/>
                <w:szCs w:val="24"/>
                <w:lang w:eastAsia="ru-RU"/>
              </w:rPr>
            </w:pPr>
            <w:r w:rsidRPr="00824C2D">
              <w:rPr>
                <w:rFonts w:eastAsia="Times New Roman"/>
                <w:sz w:val="24"/>
                <w:szCs w:val="24"/>
                <w:lang w:eastAsia="ru-RU"/>
              </w:rPr>
              <w:t>8,04</w:t>
            </w:r>
          </w:p>
        </w:tc>
        <w:tc>
          <w:tcPr>
            <w:tcW w:w="969" w:type="dxa"/>
            <w:tcBorders>
              <w:top w:val="single" w:sz="4" w:space="0" w:color="auto"/>
              <w:left w:val="single" w:sz="4" w:space="0" w:color="auto"/>
              <w:bottom w:val="single" w:sz="4" w:space="0" w:color="auto"/>
              <w:right w:val="single" w:sz="4" w:space="0" w:color="auto"/>
            </w:tcBorders>
            <w:vAlign w:val="center"/>
          </w:tcPr>
          <w:p w:rsidR="00BB548D" w:rsidRPr="00824C2D" w:rsidRDefault="00BB548D" w:rsidP="00BB548D">
            <w:pPr>
              <w:keepNext/>
              <w:jc w:val="center"/>
              <w:rPr>
                <w:rFonts w:eastAsia="Times New Roman"/>
                <w:sz w:val="24"/>
                <w:szCs w:val="24"/>
                <w:lang w:eastAsia="ru-RU"/>
              </w:rPr>
            </w:pPr>
            <w:r w:rsidRPr="00824C2D">
              <w:rPr>
                <w:rFonts w:eastAsia="Times New Roman"/>
                <w:sz w:val="24"/>
                <w:szCs w:val="24"/>
                <w:lang w:eastAsia="ru-RU"/>
              </w:rPr>
              <w:t>8,43</w:t>
            </w:r>
          </w:p>
        </w:tc>
        <w:tc>
          <w:tcPr>
            <w:tcW w:w="968" w:type="dxa"/>
            <w:tcBorders>
              <w:top w:val="single" w:sz="4" w:space="0" w:color="auto"/>
              <w:left w:val="single" w:sz="4" w:space="0" w:color="auto"/>
              <w:bottom w:val="single" w:sz="4" w:space="0" w:color="auto"/>
              <w:right w:val="single" w:sz="4" w:space="0" w:color="auto"/>
            </w:tcBorders>
            <w:vAlign w:val="center"/>
          </w:tcPr>
          <w:p w:rsidR="00BB548D" w:rsidRPr="00824C2D" w:rsidRDefault="00BB548D" w:rsidP="00BB548D">
            <w:pPr>
              <w:keepNext/>
              <w:jc w:val="center"/>
              <w:rPr>
                <w:rFonts w:eastAsia="Times New Roman"/>
                <w:sz w:val="24"/>
                <w:szCs w:val="24"/>
                <w:lang w:eastAsia="ru-RU"/>
              </w:rPr>
            </w:pPr>
            <w:r w:rsidRPr="00824C2D">
              <w:rPr>
                <w:rFonts w:eastAsia="Times New Roman"/>
                <w:sz w:val="24"/>
                <w:szCs w:val="24"/>
                <w:lang w:eastAsia="ru-RU"/>
              </w:rPr>
              <w:t>0,0</w:t>
            </w:r>
          </w:p>
        </w:tc>
        <w:tc>
          <w:tcPr>
            <w:tcW w:w="969" w:type="dxa"/>
            <w:tcBorders>
              <w:top w:val="single" w:sz="4" w:space="0" w:color="auto"/>
              <w:left w:val="single" w:sz="4" w:space="0" w:color="auto"/>
              <w:bottom w:val="single" w:sz="4" w:space="0" w:color="auto"/>
              <w:right w:val="single" w:sz="4" w:space="0" w:color="auto"/>
            </w:tcBorders>
            <w:vAlign w:val="center"/>
          </w:tcPr>
          <w:p w:rsidR="00BB548D" w:rsidRPr="00824C2D" w:rsidRDefault="00BB548D" w:rsidP="00BB548D">
            <w:pPr>
              <w:keepNext/>
              <w:jc w:val="center"/>
              <w:rPr>
                <w:rFonts w:eastAsia="Times New Roman"/>
                <w:sz w:val="24"/>
                <w:szCs w:val="24"/>
                <w:lang w:eastAsia="ru-RU"/>
              </w:rPr>
            </w:pPr>
            <w:r w:rsidRPr="00824C2D">
              <w:rPr>
                <w:rFonts w:eastAsia="Times New Roman"/>
                <w:sz w:val="24"/>
                <w:szCs w:val="24"/>
                <w:lang w:eastAsia="ru-RU"/>
              </w:rPr>
              <w:t>2,20</w:t>
            </w:r>
          </w:p>
        </w:tc>
        <w:tc>
          <w:tcPr>
            <w:tcW w:w="968" w:type="dxa"/>
            <w:tcBorders>
              <w:top w:val="single" w:sz="4" w:space="0" w:color="auto"/>
              <w:left w:val="single" w:sz="4" w:space="0" w:color="auto"/>
              <w:bottom w:val="single" w:sz="4" w:space="0" w:color="auto"/>
              <w:right w:val="single" w:sz="4" w:space="0" w:color="auto"/>
            </w:tcBorders>
            <w:vAlign w:val="center"/>
          </w:tcPr>
          <w:p w:rsidR="00BB548D" w:rsidRPr="00824C2D" w:rsidRDefault="00BB548D" w:rsidP="00BB548D">
            <w:pPr>
              <w:keepNext/>
              <w:jc w:val="center"/>
              <w:rPr>
                <w:rFonts w:eastAsia="Times New Roman"/>
                <w:sz w:val="24"/>
                <w:szCs w:val="24"/>
                <w:lang w:eastAsia="ru-RU"/>
              </w:rPr>
            </w:pPr>
            <w:r w:rsidRPr="00824C2D">
              <w:rPr>
                <w:rFonts w:eastAsia="Times New Roman"/>
                <w:sz w:val="24"/>
                <w:szCs w:val="24"/>
                <w:lang w:eastAsia="ru-RU"/>
              </w:rPr>
              <w:t>0,0</w:t>
            </w:r>
          </w:p>
        </w:tc>
        <w:tc>
          <w:tcPr>
            <w:tcW w:w="969" w:type="dxa"/>
            <w:tcBorders>
              <w:top w:val="single" w:sz="4" w:space="0" w:color="auto"/>
              <w:left w:val="single" w:sz="4" w:space="0" w:color="auto"/>
              <w:bottom w:val="single" w:sz="4" w:space="0" w:color="auto"/>
              <w:right w:val="single" w:sz="4" w:space="0" w:color="auto"/>
            </w:tcBorders>
            <w:vAlign w:val="center"/>
          </w:tcPr>
          <w:p w:rsidR="00BB548D" w:rsidRPr="00824C2D" w:rsidRDefault="00BB548D" w:rsidP="00BB548D">
            <w:pPr>
              <w:keepNext/>
              <w:jc w:val="center"/>
              <w:rPr>
                <w:rFonts w:eastAsia="Times New Roman"/>
                <w:sz w:val="24"/>
                <w:szCs w:val="24"/>
                <w:lang w:eastAsia="ru-RU"/>
              </w:rPr>
            </w:pPr>
            <w:r w:rsidRPr="00824C2D">
              <w:rPr>
                <w:rFonts w:eastAsia="Times New Roman"/>
                <w:sz w:val="24"/>
                <w:szCs w:val="24"/>
                <w:lang w:eastAsia="ru-RU"/>
              </w:rPr>
              <w:t>0,31</w:t>
            </w:r>
          </w:p>
        </w:tc>
      </w:tr>
      <w:tr w:rsidR="00BB548D" w:rsidRPr="00824C2D" w:rsidTr="00BB548D">
        <w:trPr>
          <w:trHeight w:val="384"/>
        </w:trPr>
        <w:tc>
          <w:tcPr>
            <w:tcW w:w="4536" w:type="dxa"/>
            <w:tcBorders>
              <w:top w:val="single" w:sz="4" w:space="0" w:color="auto"/>
              <w:left w:val="single" w:sz="4" w:space="0" w:color="auto"/>
              <w:bottom w:val="single" w:sz="4" w:space="0" w:color="auto"/>
              <w:right w:val="single" w:sz="4" w:space="0" w:color="auto"/>
            </w:tcBorders>
            <w:vAlign w:val="center"/>
          </w:tcPr>
          <w:p w:rsidR="00BB548D" w:rsidRPr="00824C2D" w:rsidRDefault="00BB548D" w:rsidP="00BB548D">
            <w:pPr>
              <w:keepNext/>
              <w:jc w:val="left"/>
              <w:rPr>
                <w:rFonts w:eastAsia="Times New Roman"/>
                <w:sz w:val="24"/>
                <w:szCs w:val="24"/>
                <w:lang w:eastAsia="ru-RU"/>
              </w:rPr>
            </w:pPr>
            <w:r w:rsidRPr="00824C2D">
              <w:rPr>
                <w:rFonts w:eastAsia="Times New Roman"/>
                <w:sz w:val="24"/>
                <w:szCs w:val="24"/>
                <w:lang w:eastAsia="ru-RU"/>
              </w:rPr>
              <w:t>Частота нормальних пологів</w:t>
            </w:r>
          </w:p>
        </w:tc>
        <w:tc>
          <w:tcPr>
            <w:tcW w:w="968" w:type="dxa"/>
            <w:tcBorders>
              <w:top w:val="single" w:sz="4" w:space="0" w:color="auto"/>
              <w:left w:val="single" w:sz="4" w:space="0" w:color="auto"/>
              <w:bottom w:val="single" w:sz="4" w:space="0" w:color="auto"/>
              <w:right w:val="single" w:sz="4" w:space="0" w:color="auto"/>
            </w:tcBorders>
            <w:vAlign w:val="center"/>
          </w:tcPr>
          <w:p w:rsidR="00BB548D" w:rsidRPr="00824C2D" w:rsidRDefault="00BB548D" w:rsidP="00BB548D">
            <w:pPr>
              <w:keepNext/>
              <w:jc w:val="center"/>
              <w:rPr>
                <w:rFonts w:eastAsia="Times New Roman"/>
                <w:color w:val="000000"/>
                <w:sz w:val="24"/>
                <w:szCs w:val="24"/>
                <w:lang w:eastAsia="ru-RU"/>
              </w:rPr>
            </w:pPr>
            <w:r w:rsidRPr="00824C2D">
              <w:rPr>
                <w:rFonts w:eastAsia="Times New Roman"/>
                <w:color w:val="000000"/>
                <w:sz w:val="24"/>
                <w:szCs w:val="24"/>
                <w:lang w:eastAsia="ru-RU"/>
              </w:rPr>
              <w:t>70,59</w:t>
            </w:r>
          </w:p>
        </w:tc>
        <w:tc>
          <w:tcPr>
            <w:tcW w:w="969" w:type="dxa"/>
            <w:tcBorders>
              <w:top w:val="single" w:sz="4" w:space="0" w:color="auto"/>
              <w:left w:val="single" w:sz="4" w:space="0" w:color="auto"/>
              <w:bottom w:val="single" w:sz="4" w:space="0" w:color="auto"/>
              <w:right w:val="single" w:sz="4" w:space="0" w:color="auto"/>
            </w:tcBorders>
            <w:vAlign w:val="center"/>
          </w:tcPr>
          <w:p w:rsidR="00BB548D" w:rsidRPr="00824C2D" w:rsidRDefault="00BB548D" w:rsidP="00BB548D">
            <w:pPr>
              <w:keepNext/>
              <w:jc w:val="center"/>
              <w:rPr>
                <w:rFonts w:eastAsia="Times New Roman"/>
                <w:sz w:val="24"/>
                <w:szCs w:val="24"/>
                <w:lang w:eastAsia="ru-RU"/>
              </w:rPr>
            </w:pPr>
            <w:r w:rsidRPr="00824C2D">
              <w:rPr>
                <w:rFonts w:eastAsia="Times New Roman"/>
                <w:sz w:val="24"/>
                <w:szCs w:val="24"/>
                <w:lang w:eastAsia="ru-RU"/>
              </w:rPr>
              <w:t>65,52</w:t>
            </w:r>
          </w:p>
        </w:tc>
        <w:tc>
          <w:tcPr>
            <w:tcW w:w="968" w:type="dxa"/>
            <w:tcBorders>
              <w:top w:val="single" w:sz="4" w:space="0" w:color="auto"/>
              <w:left w:val="single" w:sz="4" w:space="0" w:color="auto"/>
              <w:bottom w:val="single" w:sz="4" w:space="0" w:color="auto"/>
              <w:right w:val="single" w:sz="4" w:space="0" w:color="auto"/>
            </w:tcBorders>
            <w:vAlign w:val="center"/>
          </w:tcPr>
          <w:p w:rsidR="00BB548D" w:rsidRPr="00824C2D" w:rsidRDefault="00BB548D" w:rsidP="00BB548D">
            <w:pPr>
              <w:keepNext/>
              <w:jc w:val="center"/>
              <w:rPr>
                <w:rFonts w:eastAsia="Times New Roman"/>
                <w:color w:val="000000"/>
                <w:sz w:val="24"/>
                <w:szCs w:val="24"/>
                <w:lang w:eastAsia="ru-RU"/>
              </w:rPr>
            </w:pPr>
            <w:r w:rsidRPr="00824C2D">
              <w:rPr>
                <w:rFonts w:eastAsia="Times New Roman"/>
                <w:color w:val="000000"/>
                <w:sz w:val="24"/>
                <w:szCs w:val="24"/>
                <w:lang w:eastAsia="ru-RU"/>
              </w:rPr>
              <w:t>5,00</w:t>
            </w:r>
          </w:p>
        </w:tc>
        <w:tc>
          <w:tcPr>
            <w:tcW w:w="969" w:type="dxa"/>
            <w:tcBorders>
              <w:top w:val="single" w:sz="4" w:space="0" w:color="auto"/>
              <w:left w:val="single" w:sz="4" w:space="0" w:color="auto"/>
              <w:bottom w:val="single" w:sz="4" w:space="0" w:color="auto"/>
              <w:right w:val="single" w:sz="4" w:space="0" w:color="auto"/>
            </w:tcBorders>
            <w:vAlign w:val="center"/>
          </w:tcPr>
          <w:p w:rsidR="00BB548D" w:rsidRPr="00824C2D" w:rsidRDefault="00BB548D" w:rsidP="00BB548D">
            <w:pPr>
              <w:keepNext/>
              <w:jc w:val="center"/>
              <w:rPr>
                <w:rFonts w:eastAsia="Times New Roman"/>
                <w:sz w:val="24"/>
                <w:szCs w:val="24"/>
                <w:lang w:eastAsia="ru-RU"/>
              </w:rPr>
            </w:pPr>
            <w:r w:rsidRPr="00824C2D">
              <w:rPr>
                <w:rFonts w:eastAsia="Times New Roman"/>
                <w:sz w:val="24"/>
                <w:szCs w:val="24"/>
                <w:lang w:eastAsia="ru-RU"/>
              </w:rPr>
              <w:t>4,90</w:t>
            </w:r>
          </w:p>
        </w:tc>
        <w:tc>
          <w:tcPr>
            <w:tcW w:w="968" w:type="dxa"/>
            <w:tcBorders>
              <w:top w:val="single" w:sz="4" w:space="0" w:color="auto"/>
              <w:left w:val="single" w:sz="4" w:space="0" w:color="auto"/>
              <w:bottom w:val="single" w:sz="4" w:space="0" w:color="auto"/>
              <w:right w:val="single" w:sz="4" w:space="0" w:color="auto"/>
            </w:tcBorders>
            <w:vAlign w:val="center"/>
          </w:tcPr>
          <w:p w:rsidR="00BB548D" w:rsidRPr="00824C2D" w:rsidRDefault="00BB548D" w:rsidP="00BB548D">
            <w:pPr>
              <w:keepNext/>
              <w:jc w:val="center"/>
              <w:rPr>
                <w:rFonts w:eastAsia="Times New Roman"/>
                <w:color w:val="000000"/>
                <w:sz w:val="24"/>
                <w:szCs w:val="24"/>
                <w:lang w:eastAsia="ru-RU"/>
              </w:rPr>
            </w:pPr>
            <w:r w:rsidRPr="00824C2D">
              <w:rPr>
                <w:rFonts w:eastAsia="Times New Roman"/>
                <w:color w:val="000000"/>
                <w:sz w:val="24"/>
                <w:szCs w:val="24"/>
                <w:lang w:eastAsia="ru-RU"/>
              </w:rPr>
              <w:t>1,00</w:t>
            </w:r>
          </w:p>
        </w:tc>
        <w:tc>
          <w:tcPr>
            <w:tcW w:w="969" w:type="dxa"/>
            <w:tcBorders>
              <w:top w:val="single" w:sz="4" w:space="0" w:color="auto"/>
              <w:left w:val="single" w:sz="4" w:space="0" w:color="auto"/>
              <w:bottom w:val="single" w:sz="4" w:space="0" w:color="auto"/>
              <w:right w:val="single" w:sz="4" w:space="0" w:color="auto"/>
            </w:tcBorders>
            <w:vAlign w:val="center"/>
          </w:tcPr>
          <w:p w:rsidR="00BB548D" w:rsidRPr="00824C2D" w:rsidRDefault="00BB548D" w:rsidP="00BB548D">
            <w:pPr>
              <w:keepNext/>
              <w:jc w:val="center"/>
              <w:rPr>
                <w:rFonts w:eastAsia="Times New Roman"/>
                <w:sz w:val="24"/>
                <w:szCs w:val="24"/>
                <w:lang w:eastAsia="ru-RU"/>
              </w:rPr>
            </w:pPr>
            <w:r w:rsidRPr="00824C2D">
              <w:rPr>
                <w:rFonts w:eastAsia="Times New Roman"/>
                <w:sz w:val="24"/>
                <w:szCs w:val="24"/>
                <w:lang w:eastAsia="ru-RU"/>
              </w:rPr>
              <w:t>0,98</w:t>
            </w:r>
          </w:p>
        </w:tc>
      </w:tr>
      <w:tr w:rsidR="00BB548D" w:rsidRPr="00824C2D" w:rsidTr="00BB548D">
        <w:trPr>
          <w:trHeight w:val="553"/>
        </w:trPr>
        <w:tc>
          <w:tcPr>
            <w:tcW w:w="4536" w:type="dxa"/>
            <w:tcBorders>
              <w:top w:val="single" w:sz="4" w:space="0" w:color="auto"/>
              <w:left w:val="single" w:sz="4" w:space="0" w:color="auto"/>
              <w:bottom w:val="single" w:sz="4" w:space="0" w:color="auto"/>
              <w:right w:val="single" w:sz="4" w:space="0" w:color="auto"/>
            </w:tcBorders>
            <w:vAlign w:val="bottom"/>
          </w:tcPr>
          <w:p w:rsidR="00BB548D" w:rsidRPr="00824C2D" w:rsidRDefault="00BB548D" w:rsidP="00BB548D">
            <w:pPr>
              <w:keepNext/>
              <w:jc w:val="left"/>
              <w:rPr>
                <w:rFonts w:eastAsia="Times New Roman"/>
                <w:sz w:val="24"/>
                <w:szCs w:val="24"/>
                <w:lang w:eastAsia="ru-RU"/>
              </w:rPr>
            </w:pPr>
            <w:r w:rsidRPr="00824C2D">
              <w:rPr>
                <w:rFonts w:eastAsia="Times New Roman"/>
                <w:sz w:val="24"/>
                <w:szCs w:val="24"/>
                <w:lang w:eastAsia="ru-RU"/>
              </w:rPr>
              <w:t>Частота розроджень вагітних шляхом кесаревого розтину</w:t>
            </w:r>
          </w:p>
        </w:tc>
        <w:tc>
          <w:tcPr>
            <w:tcW w:w="968" w:type="dxa"/>
            <w:tcBorders>
              <w:top w:val="single" w:sz="4" w:space="0" w:color="auto"/>
              <w:left w:val="single" w:sz="4" w:space="0" w:color="auto"/>
              <w:bottom w:val="single" w:sz="4" w:space="0" w:color="auto"/>
              <w:right w:val="single" w:sz="4" w:space="0" w:color="auto"/>
            </w:tcBorders>
            <w:vAlign w:val="center"/>
          </w:tcPr>
          <w:p w:rsidR="00BB548D" w:rsidRPr="00824C2D" w:rsidRDefault="00BB548D" w:rsidP="00BB548D">
            <w:pPr>
              <w:keepNext/>
              <w:jc w:val="center"/>
              <w:rPr>
                <w:rFonts w:eastAsia="Times New Roman"/>
                <w:color w:val="000000"/>
                <w:sz w:val="24"/>
                <w:szCs w:val="24"/>
                <w:lang w:eastAsia="ru-RU"/>
              </w:rPr>
            </w:pPr>
            <w:r w:rsidRPr="00824C2D">
              <w:rPr>
                <w:rFonts w:eastAsia="Times New Roman"/>
                <w:color w:val="000000"/>
                <w:sz w:val="24"/>
                <w:szCs w:val="24"/>
                <w:lang w:eastAsia="ru-RU"/>
              </w:rPr>
              <w:t>193,3</w:t>
            </w:r>
          </w:p>
        </w:tc>
        <w:tc>
          <w:tcPr>
            <w:tcW w:w="969" w:type="dxa"/>
            <w:tcBorders>
              <w:top w:val="single" w:sz="4" w:space="0" w:color="auto"/>
              <w:left w:val="single" w:sz="4" w:space="0" w:color="auto"/>
              <w:bottom w:val="single" w:sz="4" w:space="0" w:color="auto"/>
              <w:right w:val="single" w:sz="4" w:space="0" w:color="auto"/>
            </w:tcBorders>
            <w:vAlign w:val="center"/>
          </w:tcPr>
          <w:p w:rsidR="00BB548D" w:rsidRPr="00824C2D" w:rsidRDefault="00BB548D" w:rsidP="00BB548D">
            <w:pPr>
              <w:keepNext/>
              <w:jc w:val="center"/>
              <w:rPr>
                <w:rFonts w:eastAsia="Times New Roman"/>
                <w:sz w:val="24"/>
                <w:szCs w:val="24"/>
                <w:lang w:eastAsia="ru-RU"/>
              </w:rPr>
            </w:pPr>
            <w:r w:rsidRPr="00824C2D">
              <w:rPr>
                <w:rFonts w:eastAsia="Times New Roman"/>
                <w:sz w:val="24"/>
                <w:szCs w:val="24"/>
                <w:lang w:eastAsia="ru-RU"/>
              </w:rPr>
              <w:t>203,68</w:t>
            </w:r>
          </w:p>
        </w:tc>
        <w:tc>
          <w:tcPr>
            <w:tcW w:w="968" w:type="dxa"/>
            <w:tcBorders>
              <w:top w:val="single" w:sz="4" w:space="0" w:color="auto"/>
              <w:left w:val="single" w:sz="4" w:space="0" w:color="auto"/>
              <w:bottom w:val="single" w:sz="4" w:space="0" w:color="auto"/>
              <w:right w:val="single" w:sz="4" w:space="0" w:color="auto"/>
            </w:tcBorders>
            <w:vAlign w:val="center"/>
          </w:tcPr>
          <w:p w:rsidR="00BB548D" w:rsidRPr="00824C2D" w:rsidRDefault="00BB548D" w:rsidP="00BB548D">
            <w:pPr>
              <w:keepNext/>
              <w:jc w:val="center"/>
              <w:rPr>
                <w:rFonts w:eastAsia="Times New Roman"/>
                <w:color w:val="000000"/>
                <w:sz w:val="24"/>
                <w:szCs w:val="24"/>
                <w:lang w:eastAsia="ru-RU"/>
              </w:rPr>
            </w:pPr>
            <w:r w:rsidRPr="00824C2D">
              <w:rPr>
                <w:rFonts w:eastAsia="Times New Roman"/>
                <w:color w:val="000000"/>
                <w:sz w:val="24"/>
                <w:szCs w:val="24"/>
                <w:lang w:eastAsia="ru-RU"/>
              </w:rPr>
              <w:t>5,54</w:t>
            </w:r>
          </w:p>
        </w:tc>
        <w:tc>
          <w:tcPr>
            <w:tcW w:w="969" w:type="dxa"/>
            <w:tcBorders>
              <w:top w:val="single" w:sz="4" w:space="0" w:color="auto"/>
              <w:left w:val="single" w:sz="4" w:space="0" w:color="auto"/>
              <w:bottom w:val="single" w:sz="4" w:space="0" w:color="auto"/>
              <w:right w:val="single" w:sz="4" w:space="0" w:color="auto"/>
            </w:tcBorders>
            <w:vAlign w:val="center"/>
          </w:tcPr>
          <w:p w:rsidR="00BB548D" w:rsidRPr="00824C2D" w:rsidRDefault="00BB548D" w:rsidP="00BB548D">
            <w:pPr>
              <w:keepNext/>
              <w:jc w:val="center"/>
              <w:rPr>
                <w:rFonts w:eastAsia="Times New Roman"/>
                <w:sz w:val="24"/>
                <w:szCs w:val="24"/>
                <w:lang w:eastAsia="ru-RU"/>
              </w:rPr>
            </w:pPr>
            <w:r w:rsidRPr="00824C2D">
              <w:rPr>
                <w:rFonts w:eastAsia="Times New Roman"/>
                <w:sz w:val="24"/>
                <w:szCs w:val="24"/>
                <w:lang w:eastAsia="ru-RU"/>
              </w:rPr>
              <w:t>6,05</w:t>
            </w:r>
          </w:p>
        </w:tc>
        <w:tc>
          <w:tcPr>
            <w:tcW w:w="968" w:type="dxa"/>
            <w:tcBorders>
              <w:top w:val="single" w:sz="4" w:space="0" w:color="auto"/>
              <w:left w:val="single" w:sz="4" w:space="0" w:color="auto"/>
              <w:bottom w:val="single" w:sz="4" w:space="0" w:color="auto"/>
              <w:right w:val="single" w:sz="4" w:space="0" w:color="auto"/>
            </w:tcBorders>
            <w:vAlign w:val="center"/>
          </w:tcPr>
          <w:p w:rsidR="00BB548D" w:rsidRPr="00824C2D" w:rsidRDefault="00BB548D" w:rsidP="00BB548D">
            <w:pPr>
              <w:keepNext/>
              <w:jc w:val="center"/>
              <w:rPr>
                <w:rFonts w:eastAsia="Times New Roman"/>
                <w:color w:val="000000"/>
                <w:sz w:val="24"/>
                <w:szCs w:val="24"/>
                <w:lang w:eastAsia="ru-RU"/>
              </w:rPr>
            </w:pPr>
            <w:r w:rsidRPr="00824C2D">
              <w:rPr>
                <w:rFonts w:eastAsia="Times New Roman"/>
                <w:color w:val="000000"/>
                <w:sz w:val="24"/>
                <w:szCs w:val="24"/>
                <w:lang w:eastAsia="ru-RU"/>
              </w:rPr>
              <w:t>0,79</w:t>
            </w:r>
          </w:p>
        </w:tc>
        <w:tc>
          <w:tcPr>
            <w:tcW w:w="969" w:type="dxa"/>
            <w:tcBorders>
              <w:top w:val="single" w:sz="4" w:space="0" w:color="auto"/>
              <w:left w:val="single" w:sz="4" w:space="0" w:color="auto"/>
              <w:bottom w:val="single" w:sz="4" w:space="0" w:color="auto"/>
              <w:right w:val="single" w:sz="4" w:space="0" w:color="auto"/>
            </w:tcBorders>
            <w:vAlign w:val="center"/>
          </w:tcPr>
          <w:p w:rsidR="00BB548D" w:rsidRPr="00824C2D" w:rsidRDefault="00BB548D" w:rsidP="00BB548D">
            <w:pPr>
              <w:keepNext/>
              <w:jc w:val="center"/>
              <w:rPr>
                <w:rFonts w:eastAsia="Times New Roman"/>
                <w:sz w:val="24"/>
                <w:szCs w:val="24"/>
                <w:lang w:eastAsia="ru-RU"/>
              </w:rPr>
            </w:pPr>
            <w:r w:rsidRPr="00824C2D">
              <w:rPr>
                <w:rFonts w:eastAsia="Times New Roman"/>
                <w:sz w:val="24"/>
                <w:szCs w:val="24"/>
                <w:lang w:eastAsia="ru-RU"/>
              </w:rPr>
              <w:t>0,86</w:t>
            </w:r>
          </w:p>
        </w:tc>
      </w:tr>
      <w:tr w:rsidR="00BB548D" w:rsidRPr="00824C2D" w:rsidTr="00BB548D">
        <w:trPr>
          <w:trHeight w:val="276"/>
        </w:trPr>
        <w:tc>
          <w:tcPr>
            <w:tcW w:w="4536" w:type="dxa"/>
            <w:tcBorders>
              <w:top w:val="single" w:sz="4" w:space="0" w:color="auto"/>
              <w:left w:val="single" w:sz="4" w:space="0" w:color="auto"/>
              <w:bottom w:val="single" w:sz="4" w:space="0" w:color="auto"/>
              <w:right w:val="single" w:sz="4" w:space="0" w:color="auto"/>
            </w:tcBorders>
            <w:vAlign w:val="bottom"/>
          </w:tcPr>
          <w:p w:rsidR="00BB548D" w:rsidRPr="00824C2D" w:rsidRDefault="00BB548D" w:rsidP="00BB548D">
            <w:pPr>
              <w:keepNext/>
              <w:jc w:val="left"/>
              <w:rPr>
                <w:rFonts w:eastAsia="Times New Roman"/>
                <w:sz w:val="24"/>
                <w:szCs w:val="24"/>
                <w:lang w:eastAsia="ru-RU"/>
              </w:rPr>
            </w:pPr>
            <w:r w:rsidRPr="00824C2D">
              <w:rPr>
                <w:rFonts w:eastAsia="Times New Roman"/>
                <w:sz w:val="24"/>
                <w:szCs w:val="24"/>
                <w:lang w:eastAsia="ru-RU"/>
              </w:rPr>
              <w:t>Частота  кровотеч в послідовому і післяродовому періодах</w:t>
            </w:r>
          </w:p>
        </w:tc>
        <w:tc>
          <w:tcPr>
            <w:tcW w:w="968" w:type="dxa"/>
            <w:tcBorders>
              <w:top w:val="single" w:sz="4" w:space="0" w:color="auto"/>
              <w:left w:val="single" w:sz="4" w:space="0" w:color="auto"/>
              <w:bottom w:val="single" w:sz="4" w:space="0" w:color="auto"/>
              <w:right w:val="single" w:sz="4" w:space="0" w:color="auto"/>
            </w:tcBorders>
            <w:vAlign w:val="center"/>
          </w:tcPr>
          <w:p w:rsidR="00BB548D" w:rsidRPr="00824C2D" w:rsidRDefault="00BB548D" w:rsidP="00BB548D">
            <w:pPr>
              <w:keepNext/>
              <w:jc w:val="center"/>
              <w:rPr>
                <w:rFonts w:eastAsia="Times New Roman"/>
                <w:color w:val="000000"/>
                <w:sz w:val="24"/>
                <w:szCs w:val="24"/>
                <w:lang w:eastAsia="ru-RU"/>
              </w:rPr>
            </w:pPr>
            <w:r w:rsidRPr="00824C2D">
              <w:rPr>
                <w:rFonts w:eastAsia="Times New Roman"/>
                <w:color w:val="000000"/>
                <w:sz w:val="24"/>
                <w:szCs w:val="24"/>
                <w:lang w:eastAsia="ru-RU"/>
              </w:rPr>
              <w:t>7,96</w:t>
            </w:r>
          </w:p>
        </w:tc>
        <w:tc>
          <w:tcPr>
            <w:tcW w:w="969" w:type="dxa"/>
            <w:tcBorders>
              <w:top w:val="single" w:sz="4" w:space="0" w:color="auto"/>
              <w:left w:val="single" w:sz="4" w:space="0" w:color="auto"/>
              <w:bottom w:val="single" w:sz="4" w:space="0" w:color="auto"/>
              <w:right w:val="single" w:sz="4" w:space="0" w:color="auto"/>
            </w:tcBorders>
            <w:vAlign w:val="center"/>
          </w:tcPr>
          <w:p w:rsidR="00BB548D" w:rsidRPr="00824C2D" w:rsidRDefault="00BB548D" w:rsidP="00BB548D">
            <w:pPr>
              <w:keepNext/>
              <w:jc w:val="center"/>
              <w:rPr>
                <w:rFonts w:eastAsia="Times New Roman"/>
                <w:sz w:val="24"/>
                <w:szCs w:val="24"/>
                <w:lang w:eastAsia="ru-RU"/>
              </w:rPr>
            </w:pPr>
            <w:r w:rsidRPr="00824C2D">
              <w:rPr>
                <w:rFonts w:eastAsia="Times New Roman"/>
                <w:sz w:val="24"/>
                <w:szCs w:val="24"/>
                <w:lang w:eastAsia="ru-RU"/>
              </w:rPr>
              <w:t>8,75</w:t>
            </w:r>
          </w:p>
        </w:tc>
        <w:tc>
          <w:tcPr>
            <w:tcW w:w="968" w:type="dxa"/>
            <w:tcBorders>
              <w:top w:val="single" w:sz="4" w:space="0" w:color="auto"/>
              <w:left w:val="single" w:sz="4" w:space="0" w:color="auto"/>
              <w:bottom w:val="single" w:sz="4" w:space="0" w:color="auto"/>
              <w:right w:val="single" w:sz="4" w:space="0" w:color="auto"/>
            </w:tcBorders>
            <w:vAlign w:val="center"/>
          </w:tcPr>
          <w:p w:rsidR="00BB548D" w:rsidRPr="00824C2D" w:rsidRDefault="00BB548D" w:rsidP="00BB548D">
            <w:pPr>
              <w:keepNext/>
              <w:jc w:val="center"/>
              <w:rPr>
                <w:rFonts w:eastAsia="Times New Roman"/>
                <w:color w:val="000000"/>
                <w:sz w:val="24"/>
                <w:szCs w:val="24"/>
                <w:lang w:eastAsia="ru-RU"/>
              </w:rPr>
            </w:pPr>
            <w:r w:rsidRPr="00824C2D">
              <w:rPr>
                <w:rFonts w:eastAsia="Times New Roman"/>
                <w:color w:val="000000"/>
                <w:sz w:val="24"/>
                <w:szCs w:val="24"/>
                <w:lang w:eastAsia="ru-RU"/>
              </w:rPr>
              <w:t>3,67</w:t>
            </w:r>
          </w:p>
        </w:tc>
        <w:tc>
          <w:tcPr>
            <w:tcW w:w="969" w:type="dxa"/>
            <w:tcBorders>
              <w:top w:val="single" w:sz="4" w:space="0" w:color="auto"/>
              <w:left w:val="single" w:sz="4" w:space="0" w:color="auto"/>
              <w:bottom w:val="single" w:sz="4" w:space="0" w:color="auto"/>
              <w:right w:val="single" w:sz="4" w:space="0" w:color="auto"/>
            </w:tcBorders>
            <w:vAlign w:val="center"/>
          </w:tcPr>
          <w:p w:rsidR="00BB548D" w:rsidRPr="00824C2D" w:rsidRDefault="00BB548D" w:rsidP="00BB548D">
            <w:pPr>
              <w:keepNext/>
              <w:jc w:val="center"/>
              <w:rPr>
                <w:rFonts w:eastAsia="Times New Roman"/>
                <w:sz w:val="24"/>
                <w:szCs w:val="24"/>
                <w:lang w:eastAsia="ru-RU"/>
              </w:rPr>
            </w:pPr>
            <w:r w:rsidRPr="00824C2D">
              <w:rPr>
                <w:rFonts w:eastAsia="Times New Roman"/>
                <w:sz w:val="24"/>
                <w:szCs w:val="24"/>
                <w:lang w:eastAsia="ru-RU"/>
              </w:rPr>
              <w:t>4,88</w:t>
            </w:r>
          </w:p>
        </w:tc>
        <w:tc>
          <w:tcPr>
            <w:tcW w:w="968" w:type="dxa"/>
            <w:tcBorders>
              <w:top w:val="single" w:sz="4" w:space="0" w:color="auto"/>
              <w:left w:val="single" w:sz="4" w:space="0" w:color="auto"/>
              <w:bottom w:val="single" w:sz="4" w:space="0" w:color="auto"/>
              <w:right w:val="single" w:sz="4" w:space="0" w:color="auto"/>
            </w:tcBorders>
            <w:vAlign w:val="center"/>
          </w:tcPr>
          <w:p w:rsidR="00BB548D" w:rsidRPr="00824C2D" w:rsidRDefault="00BB548D" w:rsidP="00BB548D">
            <w:pPr>
              <w:keepNext/>
              <w:jc w:val="center"/>
              <w:rPr>
                <w:rFonts w:eastAsia="Times New Roman"/>
                <w:color w:val="000000"/>
                <w:sz w:val="24"/>
                <w:szCs w:val="24"/>
                <w:lang w:eastAsia="ru-RU"/>
              </w:rPr>
            </w:pPr>
            <w:r w:rsidRPr="00824C2D">
              <w:rPr>
                <w:rFonts w:eastAsia="Times New Roman"/>
                <w:color w:val="000000"/>
                <w:sz w:val="24"/>
                <w:szCs w:val="24"/>
                <w:lang w:eastAsia="ru-RU"/>
              </w:rPr>
              <w:t>0,41</w:t>
            </w:r>
          </w:p>
        </w:tc>
        <w:tc>
          <w:tcPr>
            <w:tcW w:w="969" w:type="dxa"/>
            <w:tcBorders>
              <w:top w:val="single" w:sz="4" w:space="0" w:color="auto"/>
              <w:left w:val="single" w:sz="4" w:space="0" w:color="auto"/>
              <w:bottom w:val="single" w:sz="4" w:space="0" w:color="auto"/>
              <w:right w:val="single" w:sz="4" w:space="0" w:color="auto"/>
            </w:tcBorders>
            <w:vAlign w:val="center"/>
          </w:tcPr>
          <w:p w:rsidR="00BB548D" w:rsidRPr="00824C2D" w:rsidRDefault="00BB548D" w:rsidP="00BB548D">
            <w:pPr>
              <w:keepNext/>
              <w:jc w:val="center"/>
              <w:rPr>
                <w:rFonts w:eastAsia="Times New Roman"/>
                <w:sz w:val="24"/>
                <w:szCs w:val="24"/>
                <w:lang w:eastAsia="ru-RU"/>
              </w:rPr>
            </w:pPr>
            <w:r w:rsidRPr="00824C2D">
              <w:rPr>
                <w:rFonts w:eastAsia="Times New Roman"/>
                <w:sz w:val="24"/>
                <w:szCs w:val="24"/>
                <w:lang w:eastAsia="ru-RU"/>
              </w:rPr>
              <w:t>0,54</w:t>
            </w:r>
          </w:p>
        </w:tc>
      </w:tr>
      <w:tr w:rsidR="00BB548D" w:rsidRPr="00824C2D" w:rsidTr="00BB548D">
        <w:trPr>
          <w:trHeight w:val="293"/>
        </w:trPr>
        <w:tc>
          <w:tcPr>
            <w:tcW w:w="4536" w:type="dxa"/>
            <w:tcBorders>
              <w:top w:val="single" w:sz="4" w:space="0" w:color="auto"/>
              <w:left w:val="single" w:sz="4" w:space="0" w:color="auto"/>
              <w:bottom w:val="single" w:sz="4" w:space="0" w:color="auto"/>
              <w:right w:val="single" w:sz="4" w:space="0" w:color="auto"/>
            </w:tcBorders>
            <w:vAlign w:val="bottom"/>
          </w:tcPr>
          <w:p w:rsidR="00BB548D" w:rsidRPr="00824C2D" w:rsidRDefault="00BB548D" w:rsidP="00BB548D">
            <w:pPr>
              <w:keepNext/>
              <w:jc w:val="left"/>
              <w:rPr>
                <w:rFonts w:eastAsia="Times New Roman"/>
                <w:sz w:val="24"/>
                <w:szCs w:val="24"/>
                <w:lang w:eastAsia="ru-RU"/>
              </w:rPr>
            </w:pPr>
            <w:r w:rsidRPr="00824C2D">
              <w:rPr>
                <w:rFonts w:eastAsia="Times New Roman"/>
                <w:sz w:val="24"/>
                <w:szCs w:val="24"/>
                <w:lang w:eastAsia="ru-RU"/>
              </w:rPr>
              <w:t>Частота мало вагових новонароджених</w:t>
            </w:r>
          </w:p>
        </w:tc>
        <w:tc>
          <w:tcPr>
            <w:tcW w:w="968" w:type="dxa"/>
            <w:tcBorders>
              <w:top w:val="single" w:sz="4" w:space="0" w:color="auto"/>
              <w:left w:val="single" w:sz="4" w:space="0" w:color="auto"/>
              <w:bottom w:val="single" w:sz="4" w:space="0" w:color="auto"/>
              <w:right w:val="single" w:sz="4" w:space="0" w:color="auto"/>
            </w:tcBorders>
            <w:vAlign w:val="center"/>
          </w:tcPr>
          <w:p w:rsidR="00BB548D" w:rsidRPr="00824C2D" w:rsidRDefault="00BB548D" w:rsidP="00BB548D">
            <w:pPr>
              <w:keepNext/>
              <w:jc w:val="center"/>
              <w:rPr>
                <w:rFonts w:eastAsia="Times New Roman"/>
                <w:color w:val="000000"/>
                <w:sz w:val="24"/>
                <w:szCs w:val="24"/>
                <w:lang w:eastAsia="ru-RU"/>
              </w:rPr>
            </w:pPr>
            <w:r w:rsidRPr="00824C2D">
              <w:rPr>
                <w:rFonts w:eastAsia="Times New Roman"/>
                <w:color w:val="000000"/>
                <w:sz w:val="24"/>
                <w:szCs w:val="24"/>
                <w:lang w:eastAsia="ru-RU"/>
              </w:rPr>
              <w:t>5,52</w:t>
            </w:r>
          </w:p>
        </w:tc>
        <w:tc>
          <w:tcPr>
            <w:tcW w:w="969" w:type="dxa"/>
            <w:tcBorders>
              <w:top w:val="single" w:sz="4" w:space="0" w:color="auto"/>
              <w:left w:val="single" w:sz="4" w:space="0" w:color="auto"/>
              <w:bottom w:val="single" w:sz="4" w:space="0" w:color="auto"/>
              <w:right w:val="single" w:sz="4" w:space="0" w:color="auto"/>
            </w:tcBorders>
            <w:vAlign w:val="center"/>
          </w:tcPr>
          <w:p w:rsidR="00BB548D" w:rsidRPr="00824C2D" w:rsidRDefault="00BB548D" w:rsidP="00BB548D">
            <w:pPr>
              <w:keepNext/>
              <w:jc w:val="center"/>
              <w:rPr>
                <w:rFonts w:eastAsia="Times New Roman"/>
                <w:sz w:val="24"/>
                <w:szCs w:val="24"/>
                <w:lang w:eastAsia="ru-RU"/>
              </w:rPr>
            </w:pPr>
            <w:r w:rsidRPr="00824C2D">
              <w:rPr>
                <w:rFonts w:eastAsia="Times New Roman"/>
                <w:sz w:val="24"/>
                <w:szCs w:val="24"/>
                <w:lang w:eastAsia="ru-RU"/>
              </w:rPr>
              <w:t>5,44</w:t>
            </w:r>
          </w:p>
        </w:tc>
        <w:tc>
          <w:tcPr>
            <w:tcW w:w="968" w:type="dxa"/>
            <w:tcBorders>
              <w:top w:val="single" w:sz="4" w:space="0" w:color="auto"/>
              <w:left w:val="single" w:sz="4" w:space="0" w:color="auto"/>
              <w:bottom w:val="single" w:sz="4" w:space="0" w:color="auto"/>
              <w:right w:val="single" w:sz="4" w:space="0" w:color="auto"/>
            </w:tcBorders>
            <w:vAlign w:val="center"/>
          </w:tcPr>
          <w:p w:rsidR="00BB548D" w:rsidRPr="00824C2D" w:rsidRDefault="00BB548D" w:rsidP="00BB548D">
            <w:pPr>
              <w:keepNext/>
              <w:jc w:val="center"/>
              <w:rPr>
                <w:rFonts w:eastAsia="Times New Roman"/>
                <w:color w:val="000000"/>
                <w:sz w:val="24"/>
                <w:szCs w:val="24"/>
                <w:lang w:eastAsia="ru-RU"/>
              </w:rPr>
            </w:pPr>
            <w:r w:rsidRPr="00824C2D">
              <w:rPr>
                <w:rFonts w:eastAsia="Times New Roman"/>
                <w:color w:val="000000"/>
                <w:sz w:val="24"/>
                <w:szCs w:val="24"/>
                <w:lang w:eastAsia="ru-RU"/>
              </w:rPr>
              <w:t>3,10</w:t>
            </w:r>
          </w:p>
        </w:tc>
        <w:tc>
          <w:tcPr>
            <w:tcW w:w="969" w:type="dxa"/>
            <w:tcBorders>
              <w:top w:val="single" w:sz="4" w:space="0" w:color="auto"/>
              <w:left w:val="single" w:sz="4" w:space="0" w:color="auto"/>
              <w:bottom w:val="single" w:sz="4" w:space="0" w:color="auto"/>
              <w:right w:val="single" w:sz="4" w:space="0" w:color="auto"/>
            </w:tcBorders>
            <w:vAlign w:val="center"/>
          </w:tcPr>
          <w:p w:rsidR="00BB548D" w:rsidRPr="00824C2D" w:rsidRDefault="00BB548D" w:rsidP="00BB548D">
            <w:pPr>
              <w:keepNext/>
              <w:jc w:val="center"/>
              <w:rPr>
                <w:rFonts w:eastAsia="Times New Roman"/>
                <w:sz w:val="24"/>
                <w:szCs w:val="24"/>
                <w:lang w:eastAsia="ru-RU"/>
              </w:rPr>
            </w:pPr>
            <w:r w:rsidRPr="00824C2D">
              <w:rPr>
                <w:rFonts w:eastAsia="Times New Roman"/>
                <w:sz w:val="24"/>
                <w:szCs w:val="24"/>
                <w:lang w:eastAsia="ru-RU"/>
              </w:rPr>
              <w:t>3,56</w:t>
            </w:r>
          </w:p>
        </w:tc>
        <w:tc>
          <w:tcPr>
            <w:tcW w:w="968" w:type="dxa"/>
            <w:tcBorders>
              <w:top w:val="single" w:sz="4" w:space="0" w:color="auto"/>
              <w:left w:val="single" w:sz="4" w:space="0" w:color="auto"/>
              <w:bottom w:val="single" w:sz="4" w:space="0" w:color="auto"/>
              <w:right w:val="single" w:sz="4" w:space="0" w:color="auto"/>
            </w:tcBorders>
            <w:vAlign w:val="center"/>
          </w:tcPr>
          <w:p w:rsidR="00BB548D" w:rsidRPr="00824C2D" w:rsidRDefault="00BB548D" w:rsidP="00BB548D">
            <w:pPr>
              <w:keepNext/>
              <w:jc w:val="center"/>
              <w:rPr>
                <w:rFonts w:eastAsia="Times New Roman"/>
                <w:color w:val="000000"/>
                <w:sz w:val="24"/>
                <w:szCs w:val="24"/>
                <w:lang w:eastAsia="ru-RU"/>
              </w:rPr>
            </w:pPr>
            <w:r w:rsidRPr="00824C2D">
              <w:rPr>
                <w:rFonts w:eastAsia="Times New Roman"/>
                <w:color w:val="000000"/>
                <w:sz w:val="24"/>
                <w:szCs w:val="24"/>
                <w:lang w:eastAsia="ru-RU"/>
              </w:rPr>
              <w:t>0,62</w:t>
            </w:r>
          </w:p>
        </w:tc>
        <w:tc>
          <w:tcPr>
            <w:tcW w:w="969" w:type="dxa"/>
            <w:tcBorders>
              <w:top w:val="single" w:sz="4" w:space="0" w:color="auto"/>
              <w:left w:val="single" w:sz="4" w:space="0" w:color="auto"/>
              <w:bottom w:val="single" w:sz="4" w:space="0" w:color="auto"/>
              <w:right w:val="single" w:sz="4" w:space="0" w:color="auto"/>
            </w:tcBorders>
            <w:vAlign w:val="center"/>
          </w:tcPr>
          <w:p w:rsidR="00BB548D" w:rsidRPr="00824C2D" w:rsidRDefault="00BB548D" w:rsidP="00BB548D">
            <w:pPr>
              <w:keepNext/>
              <w:jc w:val="center"/>
              <w:rPr>
                <w:rFonts w:eastAsia="Times New Roman"/>
                <w:sz w:val="24"/>
                <w:szCs w:val="24"/>
                <w:lang w:eastAsia="ru-RU"/>
              </w:rPr>
            </w:pPr>
            <w:r w:rsidRPr="00824C2D">
              <w:rPr>
                <w:rFonts w:eastAsia="Times New Roman"/>
                <w:sz w:val="24"/>
                <w:szCs w:val="24"/>
                <w:lang w:eastAsia="ru-RU"/>
              </w:rPr>
              <w:t>0,71</w:t>
            </w:r>
          </w:p>
        </w:tc>
      </w:tr>
      <w:tr w:rsidR="00BB548D" w:rsidRPr="00824C2D" w:rsidTr="00BB548D">
        <w:trPr>
          <w:trHeight w:val="344"/>
        </w:trPr>
        <w:tc>
          <w:tcPr>
            <w:tcW w:w="4536" w:type="dxa"/>
            <w:tcBorders>
              <w:top w:val="single" w:sz="4" w:space="0" w:color="auto"/>
              <w:left w:val="single" w:sz="4" w:space="0" w:color="auto"/>
              <w:bottom w:val="single" w:sz="4" w:space="0" w:color="auto"/>
              <w:right w:val="single" w:sz="4" w:space="0" w:color="auto"/>
            </w:tcBorders>
            <w:vAlign w:val="bottom"/>
          </w:tcPr>
          <w:p w:rsidR="00BB548D" w:rsidRPr="00824C2D" w:rsidRDefault="00BB548D" w:rsidP="00BB548D">
            <w:pPr>
              <w:keepNext/>
              <w:jc w:val="left"/>
              <w:rPr>
                <w:rFonts w:eastAsia="Times New Roman"/>
                <w:sz w:val="24"/>
                <w:szCs w:val="24"/>
                <w:lang w:eastAsia="ru-RU"/>
              </w:rPr>
            </w:pPr>
            <w:r w:rsidRPr="00824C2D">
              <w:rPr>
                <w:rFonts w:eastAsia="Times New Roman"/>
                <w:sz w:val="24"/>
                <w:szCs w:val="24"/>
                <w:lang w:eastAsia="ru-RU"/>
              </w:rPr>
              <w:t>Виживання новонароджених з дуже малою масою тіла при народженні</w:t>
            </w:r>
          </w:p>
        </w:tc>
        <w:tc>
          <w:tcPr>
            <w:tcW w:w="968" w:type="dxa"/>
            <w:tcBorders>
              <w:top w:val="single" w:sz="4" w:space="0" w:color="auto"/>
              <w:left w:val="single" w:sz="4" w:space="0" w:color="auto"/>
              <w:bottom w:val="single" w:sz="4" w:space="0" w:color="auto"/>
              <w:right w:val="single" w:sz="4" w:space="0" w:color="auto"/>
            </w:tcBorders>
            <w:vAlign w:val="center"/>
          </w:tcPr>
          <w:p w:rsidR="00BB548D" w:rsidRPr="00824C2D" w:rsidRDefault="00BB548D" w:rsidP="00BB548D">
            <w:pPr>
              <w:keepNext/>
              <w:jc w:val="center"/>
              <w:rPr>
                <w:rFonts w:eastAsia="Times New Roman"/>
                <w:color w:val="000000"/>
                <w:sz w:val="24"/>
                <w:szCs w:val="24"/>
                <w:lang w:eastAsia="ru-RU"/>
              </w:rPr>
            </w:pPr>
            <w:r w:rsidRPr="00824C2D">
              <w:rPr>
                <w:rFonts w:eastAsia="Times New Roman"/>
                <w:color w:val="000000"/>
                <w:sz w:val="24"/>
                <w:szCs w:val="24"/>
                <w:lang w:eastAsia="ru-RU"/>
              </w:rPr>
              <w:t>98,65</w:t>
            </w:r>
          </w:p>
        </w:tc>
        <w:tc>
          <w:tcPr>
            <w:tcW w:w="969" w:type="dxa"/>
            <w:tcBorders>
              <w:top w:val="single" w:sz="4" w:space="0" w:color="auto"/>
              <w:left w:val="single" w:sz="4" w:space="0" w:color="auto"/>
              <w:bottom w:val="single" w:sz="4" w:space="0" w:color="auto"/>
              <w:right w:val="single" w:sz="4" w:space="0" w:color="auto"/>
            </w:tcBorders>
            <w:vAlign w:val="center"/>
          </w:tcPr>
          <w:p w:rsidR="00BB548D" w:rsidRPr="00824C2D" w:rsidRDefault="00BB548D" w:rsidP="00BB548D">
            <w:pPr>
              <w:keepNext/>
              <w:jc w:val="center"/>
              <w:rPr>
                <w:rFonts w:eastAsia="Times New Roman"/>
                <w:sz w:val="24"/>
                <w:szCs w:val="24"/>
                <w:lang w:eastAsia="ru-RU"/>
              </w:rPr>
            </w:pPr>
            <w:r w:rsidRPr="00824C2D">
              <w:rPr>
                <w:rFonts w:eastAsia="Times New Roman"/>
                <w:sz w:val="24"/>
                <w:szCs w:val="24"/>
                <w:lang w:eastAsia="ru-RU"/>
              </w:rPr>
              <w:t>74,65</w:t>
            </w:r>
          </w:p>
        </w:tc>
        <w:tc>
          <w:tcPr>
            <w:tcW w:w="968" w:type="dxa"/>
            <w:tcBorders>
              <w:top w:val="single" w:sz="4" w:space="0" w:color="auto"/>
              <w:left w:val="single" w:sz="4" w:space="0" w:color="auto"/>
              <w:bottom w:val="single" w:sz="4" w:space="0" w:color="auto"/>
              <w:right w:val="single" w:sz="4" w:space="0" w:color="auto"/>
            </w:tcBorders>
            <w:vAlign w:val="center"/>
          </w:tcPr>
          <w:p w:rsidR="00BB548D" w:rsidRPr="00824C2D" w:rsidRDefault="00BB548D" w:rsidP="00BB548D">
            <w:pPr>
              <w:keepNext/>
              <w:jc w:val="center"/>
              <w:rPr>
                <w:rFonts w:eastAsia="Times New Roman"/>
                <w:color w:val="000000"/>
                <w:sz w:val="24"/>
                <w:szCs w:val="24"/>
                <w:lang w:eastAsia="ru-RU"/>
              </w:rPr>
            </w:pPr>
            <w:r w:rsidRPr="00824C2D">
              <w:rPr>
                <w:rFonts w:eastAsia="Times New Roman"/>
                <w:color w:val="000000"/>
                <w:sz w:val="24"/>
                <w:szCs w:val="24"/>
                <w:lang w:eastAsia="ru-RU"/>
              </w:rPr>
              <w:t>7,23</w:t>
            </w:r>
          </w:p>
        </w:tc>
        <w:tc>
          <w:tcPr>
            <w:tcW w:w="969" w:type="dxa"/>
            <w:tcBorders>
              <w:top w:val="single" w:sz="4" w:space="0" w:color="auto"/>
              <w:left w:val="single" w:sz="4" w:space="0" w:color="auto"/>
              <w:bottom w:val="single" w:sz="4" w:space="0" w:color="auto"/>
              <w:right w:val="single" w:sz="4" w:space="0" w:color="auto"/>
            </w:tcBorders>
            <w:vAlign w:val="center"/>
          </w:tcPr>
          <w:p w:rsidR="00BB548D" w:rsidRPr="00824C2D" w:rsidRDefault="00BB548D" w:rsidP="00BB548D">
            <w:pPr>
              <w:keepNext/>
              <w:jc w:val="center"/>
              <w:rPr>
                <w:rFonts w:eastAsia="Times New Roman"/>
                <w:sz w:val="24"/>
                <w:szCs w:val="24"/>
                <w:lang w:eastAsia="ru-RU"/>
              </w:rPr>
            </w:pPr>
            <w:r w:rsidRPr="00824C2D">
              <w:rPr>
                <w:rFonts w:eastAsia="Times New Roman"/>
                <w:sz w:val="24"/>
                <w:szCs w:val="24"/>
                <w:lang w:eastAsia="ru-RU"/>
              </w:rPr>
              <w:t>7,07</w:t>
            </w:r>
          </w:p>
        </w:tc>
        <w:tc>
          <w:tcPr>
            <w:tcW w:w="968" w:type="dxa"/>
            <w:tcBorders>
              <w:top w:val="single" w:sz="4" w:space="0" w:color="auto"/>
              <w:left w:val="single" w:sz="4" w:space="0" w:color="auto"/>
              <w:bottom w:val="single" w:sz="4" w:space="0" w:color="auto"/>
              <w:right w:val="single" w:sz="4" w:space="0" w:color="auto"/>
            </w:tcBorders>
            <w:vAlign w:val="center"/>
          </w:tcPr>
          <w:p w:rsidR="00BB548D" w:rsidRPr="00824C2D" w:rsidRDefault="00BB548D" w:rsidP="00BB548D">
            <w:pPr>
              <w:keepNext/>
              <w:jc w:val="center"/>
              <w:rPr>
                <w:rFonts w:eastAsia="Times New Roman"/>
                <w:color w:val="000000"/>
                <w:sz w:val="24"/>
                <w:szCs w:val="24"/>
                <w:lang w:eastAsia="ru-RU"/>
              </w:rPr>
            </w:pPr>
            <w:r w:rsidRPr="00824C2D">
              <w:rPr>
                <w:rFonts w:eastAsia="Times New Roman"/>
                <w:color w:val="000000"/>
                <w:sz w:val="24"/>
                <w:szCs w:val="24"/>
                <w:lang w:eastAsia="ru-RU"/>
              </w:rPr>
              <w:t>0,90</w:t>
            </w:r>
          </w:p>
        </w:tc>
        <w:tc>
          <w:tcPr>
            <w:tcW w:w="969" w:type="dxa"/>
            <w:tcBorders>
              <w:top w:val="single" w:sz="4" w:space="0" w:color="auto"/>
              <w:left w:val="single" w:sz="4" w:space="0" w:color="auto"/>
              <w:bottom w:val="single" w:sz="4" w:space="0" w:color="auto"/>
              <w:right w:val="single" w:sz="4" w:space="0" w:color="auto"/>
            </w:tcBorders>
            <w:vAlign w:val="center"/>
          </w:tcPr>
          <w:p w:rsidR="00BB548D" w:rsidRPr="00824C2D" w:rsidRDefault="00BB548D" w:rsidP="00BB548D">
            <w:pPr>
              <w:keepNext/>
              <w:jc w:val="center"/>
              <w:rPr>
                <w:rFonts w:eastAsia="Times New Roman"/>
                <w:sz w:val="24"/>
                <w:szCs w:val="24"/>
                <w:lang w:eastAsia="ru-RU"/>
              </w:rPr>
            </w:pPr>
            <w:r w:rsidRPr="00824C2D">
              <w:rPr>
                <w:rFonts w:eastAsia="Times New Roman"/>
                <w:sz w:val="24"/>
                <w:szCs w:val="24"/>
                <w:lang w:eastAsia="ru-RU"/>
              </w:rPr>
              <w:t>0,88</w:t>
            </w:r>
          </w:p>
        </w:tc>
      </w:tr>
      <w:tr w:rsidR="00BB548D" w:rsidRPr="00824C2D" w:rsidTr="00BB548D">
        <w:trPr>
          <w:trHeight w:val="226"/>
        </w:trPr>
        <w:tc>
          <w:tcPr>
            <w:tcW w:w="4536" w:type="dxa"/>
            <w:tcBorders>
              <w:top w:val="single" w:sz="4" w:space="0" w:color="auto"/>
              <w:left w:val="single" w:sz="4" w:space="0" w:color="auto"/>
              <w:bottom w:val="single" w:sz="4" w:space="0" w:color="auto"/>
              <w:right w:val="single" w:sz="4" w:space="0" w:color="auto"/>
            </w:tcBorders>
            <w:vAlign w:val="bottom"/>
          </w:tcPr>
          <w:p w:rsidR="00BB548D" w:rsidRPr="00824C2D" w:rsidRDefault="00BB548D" w:rsidP="00BB548D">
            <w:pPr>
              <w:keepNext/>
              <w:jc w:val="left"/>
              <w:rPr>
                <w:rFonts w:eastAsia="Times New Roman"/>
                <w:sz w:val="24"/>
                <w:szCs w:val="24"/>
                <w:lang w:eastAsia="ru-RU"/>
              </w:rPr>
            </w:pPr>
            <w:r w:rsidRPr="00824C2D">
              <w:rPr>
                <w:rFonts w:eastAsia="Times New Roman"/>
                <w:sz w:val="24"/>
                <w:szCs w:val="24"/>
                <w:lang w:eastAsia="ru-RU"/>
              </w:rPr>
              <w:t>Індекс здоров’я новонароджених</w:t>
            </w:r>
          </w:p>
        </w:tc>
        <w:tc>
          <w:tcPr>
            <w:tcW w:w="968" w:type="dxa"/>
            <w:tcBorders>
              <w:top w:val="single" w:sz="4" w:space="0" w:color="auto"/>
              <w:left w:val="single" w:sz="4" w:space="0" w:color="auto"/>
              <w:bottom w:val="single" w:sz="4" w:space="0" w:color="auto"/>
              <w:right w:val="single" w:sz="4" w:space="0" w:color="auto"/>
            </w:tcBorders>
            <w:vAlign w:val="center"/>
          </w:tcPr>
          <w:p w:rsidR="00BB548D" w:rsidRPr="00824C2D" w:rsidRDefault="00BB548D" w:rsidP="00BB548D">
            <w:pPr>
              <w:keepNext/>
              <w:jc w:val="center"/>
              <w:rPr>
                <w:rFonts w:eastAsia="Times New Roman"/>
                <w:color w:val="000000"/>
                <w:sz w:val="24"/>
                <w:szCs w:val="24"/>
                <w:lang w:eastAsia="ru-RU"/>
              </w:rPr>
            </w:pPr>
            <w:r w:rsidRPr="00824C2D">
              <w:rPr>
                <w:rFonts w:eastAsia="Times New Roman"/>
                <w:color w:val="000000"/>
                <w:sz w:val="24"/>
                <w:szCs w:val="24"/>
                <w:lang w:eastAsia="ru-RU"/>
              </w:rPr>
              <w:t>87</w:t>
            </w:r>
          </w:p>
        </w:tc>
        <w:tc>
          <w:tcPr>
            <w:tcW w:w="969" w:type="dxa"/>
            <w:tcBorders>
              <w:top w:val="single" w:sz="4" w:space="0" w:color="auto"/>
              <w:left w:val="single" w:sz="4" w:space="0" w:color="auto"/>
              <w:bottom w:val="single" w:sz="4" w:space="0" w:color="auto"/>
              <w:right w:val="single" w:sz="4" w:space="0" w:color="auto"/>
            </w:tcBorders>
            <w:vAlign w:val="center"/>
          </w:tcPr>
          <w:p w:rsidR="00BB548D" w:rsidRPr="00824C2D" w:rsidRDefault="00BB548D" w:rsidP="00BB548D">
            <w:pPr>
              <w:keepNext/>
              <w:jc w:val="center"/>
              <w:rPr>
                <w:rFonts w:eastAsia="Times New Roman"/>
                <w:sz w:val="24"/>
                <w:szCs w:val="24"/>
                <w:lang w:eastAsia="ru-RU"/>
              </w:rPr>
            </w:pPr>
            <w:r w:rsidRPr="00824C2D">
              <w:rPr>
                <w:rFonts w:eastAsia="Times New Roman"/>
                <w:sz w:val="24"/>
                <w:szCs w:val="24"/>
                <w:lang w:eastAsia="ru-RU"/>
              </w:rPr>
              <w:t>86,18</w:t>
            </w:r>
          </w:p>
        </w:tc>
        <w:tc>
          <w:tcPr>
            <w:tcW w:w="968" w:type="dxa"/>
            <w:tcBorders>
              <w:top w:val="single" w:sz="4" w:space="0" w:color="auto"/>
              <w:left w:val="single" w:sz="4" w:space="0" w:color="auto"/>
              <w:bottom w:val="single" w:sz="4" w:space="0" w:color="auto"/>
              <w:right w:val="single" w:sz="4" w:space="0" w:color="auto"/>
            </w:tcBorders>
            <w:vAlign w:val="center"/>
          </w:tcPr>
          <w:p w:rsidR="00BB548D" w:rsidRPr="00824C2D" w:rsidRDefault="00BB548D" w:rsidP="00BB548D">
            <w:pPr>
              <w:keepNext/>
              <w:jc w:val="center"/>
              <w:rPr>
                <w:rFonts w:eastAsia="Times New Roman"/>
                <w:color w:val="000000"/>
                <w:sz w:val="24"/>
                <w:szCs w:val="24"/>
                <w:lang w:eastAsia="ru-RU"/>
              </w:rPr>
            </w:pPr>
            <w:r w:rsidRPr="00824C2D">
              <w:rPr>
                <w:rFonts w:eastAsia="Times New Roman"/>
                <w:color w:val="000000"/>
                <w:sz w:val="24"/>
                <w:szCs w:val="24"/>
                <w:lang w:eastAsia="ru-RU"/>
              </w:rPr>
              <w:t>5,80</w:t>
            </w:r>
          </w:p>
        </w:tc>
        <w:tc>
          <w:tcPr>
            <w:tcW w:w="969" w:type="dxa"/>
            <w:tcBorders>
              <w:top w:val="single" w:sz="4" w:space="0" w:color="auto"/>
              <w:left w:val="single" w:sz="4" w:space="0" w:color="auto"/>
              <w:bottom w:val="single" w:sz="4" w:space="0" w:color="auto"/>
              <w:right w:val="single" w:sz="4" w:space="0" w:color="auto"/>
            </w:tcBorders>
            <w:vAlign w:val="center"/>
          </w:tcPr>
          <w:p w:rsidR="00BB548D" w:rsidRPr="00824C2D" w:rsidRDefault="00BB548D" w:rsidP="00BB548D">
            <w:pPr>
              <w:keepNext/>
              <w:jc w:val="center"/>
              <w:rPr>
                <w:rFonts w:eastAsia="Times New Roman"/>
                <w:sz w:val="24"/>
                <w:szCs w:val="24"/>
                <w:lang w:eastAsia="ru-RU"/>
              </w:rPr>
            </w:pPr>
            <w:r w:rsidRPr="00824C2D">
              <w:rPr>
                <w:rFonts w:eastAsia="Times New Roman"/>
                <w:sz w:val="24"/>
                <w:szCs w:val="24"/>
                <w:lang w:eastAsia="ru-RU"/>
              </w:rPr>
              <w:t>6,0</w:t>
            </w:r>
          </w:p>
        </w:tc>
        <w:tc>
          <w:tcPr>
            <w:tcW w:w="968" w:type="dxa"/>
            <w:tcBorders>
              <w:top w:val="single" w:sz="4" w:space="0" w:color="auto"/>
              <w:left w:val="single" w:sz="4" w:space="0" w:color="auto"/>
              <w:bottom w:val="single" w:sz="4" w:space="0" w:color="auto"/>
              <w:right w:val="single" w:sz="4" w:space="0" w:color="auto"/>
            </w:tcBorders>
            <w:vAlign w:val="center"/>
          </w:tcPr>
          <w:p w:rsidR="00BB548D" w:rsidRPr="00824C2D" w:rsidRDefault="00BB548D" w:rsidP="00BB548D">
            <w:pPr>
              <w:keepNext/>
              <w:jc w:val="center"/>
              <w:rPr>
                <w:rFonts w:eastAsia="Times New Roman"/>
                <w:color w:val="000000"/>
                <w:sz w:val="24"/>
                <w:szCs w:val="24"/>
                <w:lang w:eastAsia="ru-RU"/>
              </w:rPr>
            </w:pPr>
            <w:r w:rsidRPr="00824C2D">
              <w:rPr>
                <w:rFonts w:eastAsia="Times New Roman"/>
                <w:color w:val="000000"/>
                <w:sz w:val="24"/>
                <w:szCs w:val="24"/>
                <w:lang w:eastAsia="ru-RU"/>
              </w:rPr>
              <w:t>0,97</w:t>
            </w:r>
          </w:p>
        </w:tc>
        <w:tc>
          <w:tcPr>
            <w:tcW w:w="969" w:type="dxa"/>
            <w:tcBorders>
              <w:top w:val="single" w:sz="4" w:space="0" w:color="auto"/>
              <w:left w:val="single" w:sz="4" w:space="0" w:color="auto"/>
              <w:bottom w:val="single" w:sz="4" w:space="0" w:color="auto"/>
              <w:right w:val="single" w:sz="4" w:space="0" w:color="auto"/>
            </w:tcBorders>
            <w:vAlign w:val="center"/>
          </w:tcPr>
          <w:p w:rsidR="00BB548D" w:rsidRPr="00824C2D" w:rsidRDefault="00BB548D" w:rsidP="00BB548D">
            <w:pPr>
              <w:keepNext/>
              <w:jc w:val="center"/>
              <w:rPr>
                <w:rFonts w:eastAsia="Times New Roman"/>
                <w:sz w:val="24"/>
                <w:szCs w:val="24"/>
                <w:lang w:eastAsia="ru-RU"/>
              </w:rPr>
            </w:pPr>
            <w:r w:rsidRPr="00824C2D">
              <w:rPr>
                <w:rFonts w:eastAsia="Times New Roman"/>
                <w:sz w:val="24"/>
                <w:szCs w:val="24"/>
                <w:lang w:eastAsia="ru-RU"/>
              </w:rPr>
              <w:t>1,00</w:t>
            </w:r>
          </w:p>
        </w:tc>
      </w:tr>
      <w:tr w:rsidR="00BB548D" w:rsidRPr="00824C2D" w:rsidTr="00BB548D">
        <w:trPr>
          <w:trHeight w:val="244"/>
        </w:trPr>
        <w:tc>
          <w:tcPr>
            <w:tcW w:w="4536" w:type="dxa"/>
            <w:tcBorders>
              <w:top w:val="single" w:sz="4" w:space="0" w:color="auto"/>
              <w:left w:val="single" w:sz="4" w:space="0" w:color="auto"/>
              <w:bottom w:val="single" w:sz="4" w:space="0" w:color="auto"/>
              <w:right w:val="single" w:sz="4" w:space="0" w:color="auto"/>
            </w:tcBorders>
            <w:vAlign w:val="bottom"/>
          </w:tcPr>
          <w:p w:rsidR="00BB548D" w:rsidRPr="00824C2D" w:rsidRDefault="00BB548D" w:rsidP="00BB548D">
            <w:pPr>
              <w:keepNext/>
              <w:jc w:val="left"/>
              <w:rPr>
                <w:rFonts w:eastAsia="Times New Roman"/>
                <w:sz w:val="24"/>
                <w:szCs w:val="24"/>
                <w:lang w:eastAsia="ru-RU"/>
              </w:rPr>
            </w:pPr>
            <w:r w:rsidRPr="00824C2D">
              <w:rPr>
                <w:rFonts w:eastAsia="Times New Roman"/>
                <w:sz w:val="24"/>
                <w:szCs w:val="24"/>
                <w:lang w:eastAsia="ru-RU"/>
              </w:rPr>
              <w:t xml:space="preserve">Рівень перинатальної смертності </w:t>
            </w:r>
          </w:p>
        </w:tc>
        <w:tc>
          <w:tcPr>
            <w:tcW w:w="968" w:type="dxa"/>
            <w:tcBorders>
              <w:top w:val="single" w:sz="4" w:space="0" w:color="auto"/>
              <w:left w:val="single" w:sz="4" w:space="0" w:color="auto"/>
              <w:bottom w:val="single" w:sz="4" w:space="0" w:color="auto"/>
              <w:right w:val="single" w:sz="4" w:space="0" w:color="auto"/>
            </w:tcBorders>
            <w:vAlign w:val="center"/>
          </w:tcPr>
          <w:p w:rsidR="00BB548D" w:rsidRPr="00824C2D" w:rsidRDefault="00BB548D" w:rsidP="00BB548D">
            <w:pPr>
              <w:keepNext/>
              <w:jc w:val="center"/>
              <w:rPr>
                <w:rFonts w:eastAsia="Times New Roman"/>
                <w:color w:val="000000"/>
                <w:sz w:val="24"/>
                <w:szCs w:val="24"/>
                <w:lang w:eastAsia="ru-RU"/>
              </w:rPr>
            </w:pPr>
            <w:r w:rsidRPr="00824C2D">
              <w:rPr>
                <w:rFonts w:eastAsia="Times New Roman"/>
                <w:color w:val="000000"/>
                <w:sz w:val="24"/>
                <w:szCs w:val="24"/>
                <w:lang w:eastAsia="ru-RU"/>
              </w:rPr>
              <w:t>6,13</w:t>
            </w:r>
          </w:p>
        </w:tc>
        <w:tc>
          <w:tcPr>
            <w:tcW w:w="969" w:type="dxa"/>
            <w:tcBorders>
              <w:top w:val="single" w:sz="4" w:space="0" w:color="auto"/>
              <w:left w:val="single" w:sz="4" w:space="0" w:color="auto"/>
              <w:bottom w:val="single" w:sz="4" w:space="0" w:color="auto"/>
              <w:right w:val="single" w:sz="4" w:space="0" w:color="auto"/>
            </w:tcBorders>
            <w:vAlign w:val="center"/>
          </w:tcPr>
          <w:p w:rsidR="00BB548D" w:rsidRPr="00824C2D" w:rsidRDefault="00BB548D" w:rsidP="00BB548D">
            <w:pPr>
              <w:keepNext/>
              <w:jc w:val="center"/>
              <w:rPr>
                <w:rFonts w:eastAsia="Times New Roman"/>
                <w:sz w:val="24"/>
                <w:szCs w:val="24"/>
                <w:lang w:eastAsia="ru-RU"/>
              </w:rPr>
            </w:pPr>
            <w:r w:rsidRPr="00824C2D">
              <w:rPr>
                <w:rFonts w:eastAsia="Times New Roman"/>
                <w:sz w:val="24"/>
                <w:szCs w:val="24"/>
                <w:lang w:eastAsia="ru-RU"/>
              </w:rPr>
              <w:t>9,86</w:t>
            </w:r>
          </w:p>
        </w:tc>
        <w:tc>
          <w:tcPr>
            <w:tcW w:w="968" w:type="dxa"/>
            <w:tcBorders>
              <w:top w:val="single" w:sz="4" w:space="0" w:color="auto"/>
              <w:left w:val="single" w:sz="4" w:space="0" w:color="auto"/>
              <w:bottom w:val="single" w:sz="4" w:space="0" w:color="auto"/>
              <w:right w:val="single" w:sz="4" w:space="0" w:color="auto"/>
            </w:tcBorders>
            <w:vAlign w:val="center"/>
          </w:tcPr>
          <w:p w:rsidR="00BB548D" w:rsidRPr="00824C2D" w:rsidRDefault="00BB548D" w:rsidP="00BB548D">
            <w:pPr>
              <w:keepNext/>
              <w:jc w:val="center"/>
              <w:rPr>
                <w:rFonts w:eastAsia="Times New Roman"/>
                <w:color w:val="000000"/>
                <w:sz w:val="24"/>
                <w:szCs w:val="24"/>
                <w:lang w:eastAsia="ru-RU"/>
              </w:rPr>
            </w:pPr>
            <w:r w:rsidRPr="00824C2D">
              <w:rPr>
                <w:rFonts w:eastAsia="Times New Roman"/>
                <w:color w:val="000000"/>
                <w:sz w:val="24"/>
                <w:szCs w:val="24"/>
                <w:lang w:eastAsia="ru-RU"/>
              </w:rPr>
              <w:t>6,00</w:t>
            </w:r>
          </w:p>
        </w:tc>
        <w:tc>
          <w:tcPr>
            <w:tcW w:w="969" w:type="dxa"/>
            <w:tcBorders>
              <w:top w:val="single" w:sz="4" w:space="0" w:color="auto"/>
              <w:left w:val="single" w:sz="4" w:space="0" w:color="auto"/>
              <w:bottom w:val="single" w:sz="4" w:space="0" w:color="auto"/>
              <w:right w:val="single" w:sz="4" w:space="0" w:color="auto"/>
            </w:tcBorders>
            <w:vAlign w:val="center"/>
          </w:tcPr>
          <w:p w:rsidR="00BB548D" w:rsidRPr="00824C2D" w:rsidRDefault="00BB548D" w:rsidP="00BB548D">
            <w:pPr>
              <w:keepNext/>
              <w:jc w:val="center"/>
              <w:rPr>
                <w:rFonts w:eastAsia="Times New Roman"/>
                <w:sz w:val="24"/>
                <w:szCs w:val="24"/>
                <w:lang w:eastAsia="ru-RU"/>
              </w:rPr>
            </w:pPr>
            <w:r w:rsidRPr="00824C2D">
              <w:rPr>
                <w:rFonts w:eastAsia="Times New Roman"/>
                <w:sz w:val="24"/>
                <w:szCs w:val="24"/>
                <w:lang w:eastAsia="ru-RU"/>
              </w:rPr>
              <w:t>4,61</w:t>
            </w:r>
          </w:p>
        </w:tc>
        <w:tc>
          <w:tcPr>
            <w:tcW w:w="968" w:type="dxa"/>
            <w:tcBorders>
              <w:top w:val="single" w:sz="4" w:space="0" w:color="auto"/>
              <w:left w:val="single" w:sz="4" w:space="0" w:color="auto"/>
              <w:bottom w:val="single" w:sz="4" w:space="0" w:color="auto"/>
              <w:right w:val="single" w:sz="4" w:space="0" w:color="auto"/>
            </w:tcBorders>
            <w:vAlign w:val="center"/>
          </w:tcPr>
          <w:p w:rsidR="00BB548D" w:rsidRPr="00824C2D" w:rsidRDefault="00BB548D" w:rsidP="00BB548D">
            <w:pPr>
              <w:keepNext/>
              <w:jc w:val="center"/>
              <w:rPr>
                <w:rFonts w:eastAsia="Times New Roman"/>
                <w:color w:val="000000"/>
                <w:sz w:val="24"/>
                <w:szCs w:val="24"/>
                <w:lang w:eastAsia="ru-RU"/>
              </w:rPr>
            </w:pPr>
            <w:r w:rsidRPr="00824C2D">
              <w:rPr>
                <w:rFonts w:eastAsia="Times New Roman"/>
                <w:color w:val="000000"/>
                <w:sz w:val="24"/>
                <w:szCs w:val="24"/>
                <w:lang w:eastAsia="ru-RU"/>
              </w:rPr>
              <w:t>1,00</w:t>
            </w:r>
          </w:p>
        </w:tc>
        <w:tc>
          <w:tcPr>
            <w:tcW w:w="969" w:type="dxa"/>
            <w:tcBorders>
              <w:top w:val="single" w:sz="4" w:space="0" w:color="auto"/>
              <w:left w:val="single" w:sz="4" w:space="0" w:color="auto"/>
              <w:bottom w:val="single" w:sz="4" w:space="0" w:color="auto"/>
              <w:right w:val="single" w:sz="4" w:space="0" w:color="auto"/>
            </w:tcBorders>
            <w:vAlign w:val="center"/>
          </w:tcPr>
          <w:p w:rsidR="00BB548D" w:rsidRPr="00824C2D" w:rsidRDefault="00BB548D" w:rsidP="00BB548D">
            <w:pPr>
              <w:keepNext/>
              <w:jc w:val="center"/>
              <w:rPr>
                <w:rFonts w:eastAsia="Times New Roman"/>
                <w:sz w:val="24"/>
                <w:szCs w:val="24"/>
                <w:lang w:eastAsia="ru-RU"/>
              </w:rPr>
            </w:pPr>
            <w:r w:rsidRPr="00824C2D">
              <w:rPr>
                <w:rFonts w:eastAsia="Times New Roman"/>
                <w:sz w:val="24"/>
                <w:szCs w:val="24"/>
                <w:lang w:eastAsia="ru-RU"/>
              </w:rPr>
              <w:t>0,77</w:t>
            </w:r>
          </w:p>
        </w:tc>
      </w:tr>
      <w:tr w:rsidR="00BB548D" w:rsidRPr="00824C2D" w:rsidTr="00BB548D">
        <w:trPr>
          <w:trHeight w:val="450"/>
        </w:trPr>
        <w:tc>
          <w:tcPr>
            <w:tcW w:w="4536" w:type="dxa"/>
            <w:tcBorders>
              <w:top w:val="single" w:sz="4" w:space="0" w:color="auto"/>
              <w:left w:val="single" w:sz="4" w:space="0" w:color="auto"/>
              <w:bottom w:val="single" w:sz="4" w:space="0" w:color="auto"/>
              <w:right w:val="single" w:sz="4" w:space="0" w:color="auto"/>
            </w:tcBorders>
            <w:vAlign w:val="center"/>
          </w:tcPr>
          <w:p w:rsidR="00BB548D" w:rsidRPr="00824C2D" w:rsidRDefault="00BB548D" w:rsidP="00BB548D">
            <w:pPr>
              <w:keepNext/>
              <w:rPr>
                <w:rFonts w:eastAsia="Times New Roman"/>
                <w:sz w:val="24"/>
                <w:szCs w:val="24"/>
                <w:lang w:eastAsia="ru-RU"/>
              </w:rPr>
            </w:pPr>
            <w:r w:rsidRPr="00824C2D">
              <w:rPr>
                <w:rFonts w:eastAsia="Times New Roman"/>
                <w:sz w:val="24"/>
                <w:szCs w:val="24"/>
                <w:lang w:eastAsia="ru-RU"/>
              </w:rPr>
              <w:t>Співвідношення реального і фактичного показника ранньої неонатальної смертності</w:t>
            </w:r>
          </w:p>
        </w:tc>
        <w:tc>
          <w:tcPr>
            <w:tcW w:w="968" w:type="dxa"/>
            <w:tcBorders>
              <w:top w:val="single" w:sz="4" w:space="0" w:color="auto"/>
              <w:left w:val="single" w:sz="4" w:space="0" w:color="auto"/>
              <w:bottom w:val="single" w:sz="4" w:space="0" w:color="auto"/>
              <w:right w:val="single" w:sz="4" w:space="0" w:color="auto"/>
            </w:tcBorders>
            <w:vAlign w:val="center"/>
          </w:tcPr>
          <w:p w:rsidR="00BB548D" w:rsidRPr="00824C2D" w:rsidRDefault="00BB548D" w:rsidP="00BB548D">
            <w:pPr>
              <w:keepNext/>
              <w:jc w:val="center"/>
              <w:rPr>
                <w:rFonts w:eastAsia="Times New Roman"/>
                <w:sz w:val="24"/>
                <w:szCs w:val="24"/>
                <w:lang w:eastAsia="ru-RU"/>
              </w:rPr>
            </w:pPr>
            <w:r w:rsidRPr="00824C2D">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BB548D" w:rsidRPr="00824C2D" w:rsidRDefault="00BB548D" w:rsidP="00BB548D">
            <w:pPr>
              <w:keepNext/>
              <w:jc w:val="center"/>
              <w:rPr>
                <w:rFonts w:eastAsia="Times New Roman"/>
                <w:sz w:val="24"/>
                <w:szCs w:val="24"/>
                <w:lang w:eastAsia="ru-RU"/>
              </w:rPr>
            </w:pPr>
            <w:r w:rsidRPr="00824C2D">
              <w:rPr>
                <w:rFonts w:eastAsia="Times New Roman"/>
                <w:sz w:val="24"/>
                <w:szCs w:val="24"/>
                <w:lang w:eastAsia="ru-RU"/>
              </w:rPr>
              <w:t>2,03</w:t>
            </w:r>
          </w:p>
        </w:tc>
        <w:tc>
          <w:tcPr>
            <w:tcW w:w="968" w:type="dxa"/>
            <w:tcBorders>
              <w:top w:val="single" w:sz="4" w:space="0" w:color="auto"/>
              <w:left w:val="single" w:sz="4" w:space="0" w:color="auto"/>
              <w:bottom w:val="single" w:sz="4" w:space="0" w:color="auto"/>
              <w:right w:val="single" w:sz="4" w:space="0" w:color="auto"/>
            </w:tcBorders>
            <w:vAlign w:val="center"/>
          </w:tcPr>
          <w:p w:rsidR="00BB548D" w:rsidRPr="00824C2D" w:rsidRDefault="00BB548D" w:rsidP="00BB548D">
            <w:pPr>
              <w:keepNext/>
              <w:jc w:val="center"/>
              <w:rPr>
                <w:rFonts w:eastAsia="Times New Roman"/>
                <w:sz w:val="24"/>
                <w:szCs w:val="24"/>
                <w:lang w:eastAsia="ru-RU"/>
              </w:rPr>
            </w:pPr>
            <w:r w:rsidRPr="00824C2D">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BB548D" w:rsidRPr="00824C2D" w:rsidRDefault="00BB548D" w:rsidP="00BB548D">
            <w:pPr>
              <w:keepNext/>
              <w:jc w:val="center"/>
              <w:rPr>
                <w:rFonts w:eastAsia="Times New Roman"/>
                <w:sz w:val="24"/>
                <w:szCs w:val="24"/>
                <w:lang w:eastAsia="ru-RU"/>
              </w:rPr>
            </w:pPr>
            <w:r w:rsidRPr="00824C2D">
              <w:rPr>
                <w:rFonts w:eastAsia="Times New Roman"/>
                <w:sz w:val="24"/>
                <w:szCs w:val="24"/>
                <w:lang w:eastAsia="ru-RU"/>
              </w:rPr>
              <w:t>3,88</w:t>
            </w:r>
          </w:p>
        </w:tc>
        <w:tc>
          <w:tcPr>
            <w:tcW w:w="968" w:type="dxa"/>
            <w:tcBorders>
              <w:top w:val="single" w:sz="4" w:space="0" w:color="auto"/>
              <w:left w:val="single" w:sz="4" w:space="0" w:color="auto"/>
              <w:bottom w:val="single" w:sz="4" w:space="0" w:color="auto"/>
              <w:right w:val="single" w:sz="4" w:space="0" w:color="auto"/>
            </w:tcBorders>
            <w:vAlign w:val="center"/>
          </w:tcPr>
          <w:p w:rsidR="00BB548D" w:rsidRPr="00824C2D" w:rsidRDefault="00BB548D" w:rsidP="00BB548D">
            <w:pPr>
              <w:keepNext/>
              <w:jc w:val="center"/>
              <w:rPr>
                <w:rFonts w:eastAsia="Times New Roman"/>
                <w:sz w:val="24"/>
                <w:szCs w:val="24"/>
                <w:lang w:eastAsia="ru-RU"/>
              </w:rPr>
            </w:pPr>
            <w:r w:rsidRPr="00824C2D">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BB548D" w:rsidRPr="00824C2D" w:rsidRDefault="00BB548D" w:rsidP="00BB548D">
            <w:pPr>
              <w:keepNext/>
              <w:jc w:val="center"/>
              <w:rPr>
                <w:rFonts w:eastAsia="Times New Roman"/>
                <w:sz w:val="24"/>
                <w:szCs w:val="24"/>
                <w:lang w:eastAsia="ru-RU"/>
              </w:rPr>
            </w:pPr>
            <w:r w:rsidRPr="00824C2D">
              <w:rPr>
                <w:rFonts w:eastAsia="Times New Roman"/>
                <w:sz w:val="24"/>
                <w:szCs w:val="24"/>
                <w:lang w:eastAsia="ru-RU"/>
              </w:rPr>
              <w:t>0,65</w:t>
            </w:r>
          </w:p>
        </w:tc>
      </w:tr>
      <w:tr w:rsidR="00BB548D" w:rsidRPr="00824C2D" w:rsidTr="00BB548D">
        <w:trPr>
          <w:trHeight w:val="216"/>
        </w:trPr>
        <w:tc>
          <w:tcPr>
            <w:tcW w:w="4536" w:type="dxa"/>
            <w:tcBorders>
              <w:top w:val="single" w:sz="4" w:space="0" w:color="auto"/>
              <w:left w:val="single" w:sz="4" w:space="0" w:color="auto"/>
              <w:bottom w:val="single" w:sz="4" w:space="0" w:color="auto"/>
              <w:right w:val="single" w:sz="4" w:space="0" w:color="auto"/>
            </w:tcBorders>
            <w:vAlign w:val="center"/>
          </w:tcPr>
          <w:p w:rsidR="00BB548D" w:rsidRPr="00824C2D" w:rsidRDefault="00BB548D" w:rsidP="00BB548D">
            <w:pPr>
              <w:keepNext/>
              <w:jc w:val="left"/>
              <w:rPr>
                <w:rFonts w:eastAsia="Times New Roman"/>
                <w:sz w:val="24"/>
                <w:szCs w:val="24"/>
                <w:lang w:eastAsia="ru-RU"/>
              </w:rPr>
            </w:pPr>
            <w:r w:rsidRPr="00824C2D">
              <w:rPr>
                <w:rFonts w:eastAsia="Times New Roman"/>
                <w:sz w:val="24"/>
                <w:szCs w:val="24"/>
                <w:lang w:eastAsia="ru-RU"/>
              </w:rPr>
              <w:t>Рівень неонатальної смертності</w:t>
            </w:r>
          </w:p>
        </w:tc>
        <w:tc>
          <w:tcPr>
            <w:tcW w:w="968" w:type="dxa"/>
            <w:tcBorders>
              <w:top w:val="single" w:sz="4" w:space="0" w:color="auto"/>
              <w:left w:val="single" w:sz="4" w:space="0" w:color="auto"/>
              <w:bottom w:val="single" w:sz="4" w:space="0" w:color="auto"/>
              <w:right w:val="single" w:sz="4" w:space="0" w:color="auto"/>
            </w:tcBorders>
            <w:vAlign w:val="center"/>
          </w:tcPr>
          <w:p w:rsidR="00BB548D" w:rsidRPr="00824C2D" w:rsidRDefault="00BB548D" w:rsidP="00BB548D">
            <w:pPr>
              <w:keepNext/>
              <w:jc w:val="center"/>
              <w:rPr>
                <w:rFonts w:eastAsia="Times New Roman"/>
                <w:sz w:val="24"/>
                <w:szCs w:val="24"/>
                <w:lang w:eastAsia="ru-RU"/>
              </w:rPr>
            </w:pPr>
            <w:r w:rsidRPr="00824C2D">
              <w:rPr>
                <w:rFonts w:eastAsia="Times New Roman"/>
                <w:sz w:val="24"/>
                <w:szCs w:val="24"/>
                <w:lang w:eastAsia="ru-RU"/>
              </w:rPr>
              <w:t>2,48</w:t>
            </w:r>
          </w:p>
        </w:tc>
        <w:tc>
          <w:tcPr>
            <w:tcW w:w="969" w:type="dxa"/>
            <w:tcBorders>
              <w:top w:val="single" w:sz="4" w:space="0" w:color="auto"/>
              <w:left w:val="single" w:sz="4" w:space="0" w:color="auto"/>
              <w:bottom w:val="single" w:sz="4" w:space="0" w:color="auto"/>
              <w:right w:val="single" w:sz="4" w:space="0" w:color="auto"/>
            </w:tcBorders>
            <w:vAlign w:val="center"/>
          </w:tcPr>
          <w:p w:rsidR="00BB548D" w:rsidRPr="00824C2D" w:rsidRDefault="00BB548D" w:rsidP="00BB548D">
            <w:pPr>
              <w:keepNext/>
              <w:jc w:val="center"/>
              <w:rPr>
                <w:rFonts w:eastAsia="Times New Roman"/>
                <w:sz w:val="24"/>
                <w:szCs w:val="24"/>
                <w:lang w:eastAsia="ru-RU"/>
              </w:rPr>
            </w:pPr>
            <w:r w:rsidRPr="00824C2D">
              <w:rPr>
                <w:rFonts w:eastAsia="Times New Roman"/>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BB548D" w:rsidRPr="00824C2D" w:rsidRDefault="00BB548D" w:rsidP="00BB548D">
            <w:pPr>
              <w:keepNext/>
              <w:jc w:val="center"/>
              <w:rPr>
                <w:rFonts w:eastAsia="Times New Roman"/>
                <w:sz w:val="24"/>
                <w:szCs w:val="24"/>
                <w:lang w:eastAsia="ru-RU"/>
              </w:rPr>
            </w:pPr>
            <w:r w:rsidRPr="00824C2D">
              <w:rPr>
                <w:rFonts w:eastAsia="Times New Roman"/>
                <w:sz w:val="24"/>
                <w:szCs w:val="24"/>
                <w:lang w:eastAsia="ru-RU"/>
              </w:rPr>
              <w:t>6,0</w:t>
            </w:r>
          </w:p>
        </w:tc>
        <w:tc>
          <w:tcPr>
            <w:tcW w:w="969" w:type="dxa"/>
            <w:tcBorders>
              <w:top w:val="single" w:sz="4" w:space="0" w:color="auto"/>
              <w:left w:val="single" w:sz="4" w:space="0" w:color="auto"/>
              <w:bottom w:val="single" w:sz="4" w:space="0" w:color="auto"/>
              <w:right w:val="single" w:sz="4" w:space="0" w:color="auto"/>
            </w:tcBorders>
            <w:vAlign w:val="center"/>
          </w:tcPr>
          <w:p w:rsidR="00BB548D" w:rsidRPr="00824C2D" w:rsidRDefault="00BB548D" w:rsidP="00BB548D">
            <w:pPr>
              <w:keepNext/>
              <w:jc w:val="center"/>
              <w:rPr>
                <w:rFonts w:eastAsia="Times New Roman"/>
                <w:sz w:val="24"/>
                <w:szCs w:val="24"/>
                <w:lang w:eastAsia="ru-RU"/>
              </w:rPr>
            </w:pPr>
            <w:r w:rsidRPr="00824C2D">
              <w:rPr>
                <w:rFonts w:eastAsia="Times New Roman"/>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BB548D" w:rsidRPr="00824C2D" w:rsidRDefault="00BB548D" w:rsidP="00BB548D">
            <w:pPr>
              <w:keepNext/>
              <w:jc w:val="center"/>
              <w:rPr>
                <w:rFonts w:eastAsia="Times New Roman"/>
                <w:sz w:val="24"/>
                <w:szCs w:val="24"/>
                <w:lang w:eastAsia="ru-RU"/>
              </w:rPr>
            </w:pPr>
            <w:r w:rsidRPr="00824C2D">
              <w:rPr>
                <w:rFonts w:eastAsia="Times New Roman"/>
                <w:sz w:val="24"/>
                <w:szCs w:val="24"/>
                <w:lang w:eastAsia="ru-RU"/>
              </w:rPr>
              <w:t>1,00</w:t>
            </w:r>
          </w:p>
        </w:tc>
        <w:tc>
          <w:tcPr>
            <w:tcW w:w="969" w:type="dxa"/>
            <w:tcBorders>
              <w:top w:val="single" w:sz="4" w:space="0" w:color="auto"/>
              <w:left w:val="single" w:sz="4" w:space="0" w:color="auto"/>
              <w:bottom w:val="single" w:sz="4" w:space="0" w:color="auto"/>
              <w:right w:val="single" w:sz="4" w:space="0" w:color="auto"/>
            </w:tcBorders>
            <w:vAlign w:val="center"/>
          </w:tcPr>
          <w:p w:rsidR="00BB548D" w:rsidRPr="00824C2D" w:rsidRDefault="00BB548D" w:rsidP="00BB548D">
            <w:pPr>
              <w:keepNext/>
              <w:jc w:val="center"/>
              <w:rPr>
                <w:rFonts w:eastAsia="Times New Roman"/>
                <w:sz w:val="24"/>
                <w:szCs w:val="24"/>
                <w:lang w:eastAsia="ru-RU"/>
              </w:rPr>
            </w:pPr>
            <w:r w:rsidRPr="00824C2D">
              <w:rPr>
                <w:rFonts w:eastAsia="Times New Roman"/>
                <w:sz w:val="24"/>
                <w:szCs w:val="24"/>
                <w:lang w:eastAsia="ru-RU"/>
              </w:rPr>
              <w:t>**</w:t>
            </w:r>
          </w:p>
        </w:tc>
      </w:tr>
      <w:tr w:rsidR="00BB548D" w:rsidRPr="00824C2D" w:rsidTr="00BB548D">
        <w:trPr>
          <w:trHeight w:val="354"/>
        </w:trPr>
        <w:tc>
          <w:tcPr>
            <w:tcW w:w="4536" w:type="dxa"/>
            <w:tcBorders>
              <w:top w:val="single" w:sz="4" w:space="0" w:color="auto"/>
              <w:left w:val="single" w:sz="4" w:space="0" w:color="auto"/>
              <w:bottom w:val="single" w:sz="4" w:space="0" w:color="auto"/>
              <w:right w:val="single" w:sz="4" w:space="0" w:color="auto"/>
            </w:tcBorders>
            <w:vAlign w:val="center"/>
          </w:tcPr>
          <w:p w:rsidR="00BB548D" w:rsidRPr="00824C2D" w:rsidRDefault="00BB548D" w:rsidP="00BB548D">
            <w:pPr>
              <w:keepNext/>
              <w:jc w:val="left"/>
              <w:rPr>
                <w:rFonts w:eastAsia="Times New Roman"/>
                <w:sz w:val="24"/>
                <w:szCs w:val="24"/>
                <w:lang w:eastAsia="ru-RU"/>
              </w:rPr>
            </w:pPr>
            <w:r w:rsidRPr="00824C2D">
              <w:rPr>
                <w:rFonts w:eastAsia="Times New Roman"/>
                <w:sz w:val="24"/>
                <w:szCs w:val="24"/>
                <w:lang w:eastAsia="ru-RU"/>
              </w:rPr>
              <w:t xml:space="preserve">Рівень ранньої неонатальної смертності </w:t>
            </w:r>
          </w:p>
        </w:tc>
        <w:tc>
          <w:tcPr>
            <w:tcW w:w="968" w:type="dxa"/>
            <w:tcBorders>
              <w:top w:val="single" w:sz="4" w:space="0" w:color="auto"/>
              <w:left w:val="single" w:sz="4" w:space="0" w:color="auto"/>
              <w:bottom w:val="single" w:sz="4" w:space="0" w:color="auto"/>
              <w:right w:val="single" w:sz="4" w:space="0" w:color="auto"/>
            </w:tcBorders>
            <w:vAlign w:val="center"/>
          </w:tcPr>
          <w:p w:rsidR="00BB548D" w:rsidRPr="00824C2D" w:rsidRDefault="00BB548D" w:rsidP="00BB548D">
            <w:pPr>
              <w:keepNext/>
              <w:jc w:val="center"/>
              <w:rPr>
                <w:rFonts w:eastAsia="Times New Roman"/>
                <w:sz w:val="24"/>
                <w:szCs w:val="24"/>
                <w:lang w:eastAsia="ru-RU"/>
              </w:rPr>
            </w:pPr>
            <w:r w:rsidRPr="00824C2D">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BB548D" w:rsidRPr="00824C2D" w:rsidRDefault="00BB548D" w:rsidP="00BB548D">
            <w:pPr>
              <w:keepNext/>
              <w:jc w:val="center"/>
              <w:rPr>
                <w:rFonts w:eastAsia="Times New Roman"/>
                <w:sz w:val="24"/>
                <w:szCs w:val="24"/>
                <w:lang w:eastAsia="ru-RU"/>
              </w:rPr>
            </w:pPr>
            <w:r w:rsidRPr="00824C2D">
              <w:rPr>
                <w:rFonts w:eastAsia="Times New Roman"/>
                <w:sz w:val="24"/>
                <w:szCs w:val="24"/>
                <w:lang w:eastAsia="ru-RU"/>
              </w:rPr>
              <w:t>3,43</w:t>
            </w:r>
          </w:p>
        </w:tc>
        <w:tc>
          <w:tcPr>
            <w:tcW w:w="968" w:type="dxa"/>
            <w:tcBorders>
              <w:top w:val="single" w:sz="4" w:space="0" w:color="auto"/>
              <w:left w:val="single" w:sz="4" w:space="0" w:color="auto"/>
              <w:bottom w:val="single" w:sz="4" w:space="0" w:color="auto"/>
              <w:right w:val="single" w:sz="4" w:space="0" w:color="auto"/>
            </w:tcBorders>
            <w:vAlign w:val="center"/>
          </w:tcPr>
          <w:p w:rsidR="00BB548D" w:rsidRPr="00824C2D" w:rsidRDefault="00BB548D" w:rsidP="00BB548D">
            <w:pPr>
              <w:keepNext/>
              <w:jc w:val="center"/>
              <w:rPr>
                <w:rFonts w:eastAsia="Times New Roman"/>
                <w:sz w:val="24"/>
                <w:szCs w:val="24"/>
                <w:lang w:eastAsia="ru-RU"/>
              </w:rPr>
            </w:pPr>
            <w:r w:rsidRPr="00824C2D">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BB548D" w:rsidRPr="00824C2D" w:rsidRDefault="00BB548D" w:rsidP="00BB548D">
            <w:pPr>
              <w:keepNext/>
              <w:jc w:val="center"/>
              <w:rPr>
                <w:rFonts w:eastAsia="Times New Roman"/>
                <w:sz w:val="24"/>
                <w:szCs w:val="24"/>
                <w:lang w:eastAsia="ru-RU"/>
              </w:rPr>
            </w:pPr>
            <w:r w:rsidRPr="00824C2D">
              <w:rPr>
                <w:rFonts w:eastAsia="Times New Roman"/>
                <w:sz w:val="24"/>
                <w:szCs w:val="24"/>
                <w:lang w:eastAsia="ru-RU"/>
              </w:rPr>
              <w:t>4,76</w:t>
            </w:r>
          </w:p>
        </w:tc>
        <w:tc>
          <w:tcPr>
            <w:tcW w:w="968" w:type="dxa"/>
            <w:tcBorders>
              <w:top w:val="single" w:sz="4" w:space="0" w:color="auto"/>
              <w:left w:val="single" w:sz="4" w:space="0" w:color="auto"/>
              <w:bottom w:val="single" w:sz="4" w:space="0" w:color="auto"/>
              <w:right w:val="single" w:sz="4" w:space="0" w:color="auto"/>
            </w:tcBorders>
            <w:vAlign w:val="center"/>
          </w:tcPr>
          <w:p w:rsidR="00BB548D" w:rsidRPr="00824C2D" w:rsidRDefault="00BB548D" w:rsidP="00BB548D">
            <w:pPr>
              <w:keepNext/>
              <w:jc w:val="center"/>
              <w:rPr>
                <w:rFonts w:eastAsia="Times New Roman"/>
                <w:sz w:val="24"/>
                <w:szCs w:val="24"/>
                <w:lang w:eastAsia="ru-RU"/>
              </w:rPr>
            </w:pPr>
            <w:r w:rsidRPr="00824C2D">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BB548D" w:rsidRPr="00824C2D" w:rsidRDefault="00BB548D" w:rsidP="00BB548D">
            <w:pPr>
              <w:keepNext/>
              <w:jc w:val="center"/>
              <w:rPr>
                <w:rFonts w:eastAsia="Times New Roman"/>
                <w:sz w:val="24"/>
                <w:szCs w:val="24"/>
                <w:lang w:eastAsia="ru-RU"/>
              </w:rPr>
            </w:pPr>
            <w:r w:rsidRPr="00824C2D">
              <w:rPr>
                <w:rFonts w:eastAsia="Times New Roman"/>
                <w:sz w:val="24"/>
                <w:szCs w:val="24"/>
                <w:lang w:eastAsia="ru-RU"/>
              </w:rPr>
              <w:t>0,79</w:t>
            </w:r>
          </w:p>
        </w:tc>
      </w:tr>
      <w:tr w:rsidR="00BB548D" w:rsidRPr="00824C2D" w:rsidTr="00BB548D">
        <w:trPr>
          <w:trHeight w:val="274"/>
        </w:trPr>
        <w:tc>
          <w:tcPr>
            <w:tcW w:w="4536" w:type="dxa"/>
            <w:tcBorders>
              <w:top w:val="single" w:sz="4" w:space="0" w:color="auto"/>
              <w:left w:val="single" w:sz="4" w:space="0" w:color="auto"/>
              <w:bottom w:val="single" w:sz="4" w:space="0" w:color="auto"/>
              <w:right w:val="single" w:sz="4" w:space="0" w:color="auto"/>
            </w:tcBorders>
            <w:vAlign w:val="bottom"/>
          </w:tcPr>
          <w:p w:rsidR="00BB548D" w:rsidRPr="00824C2D" w:rsidRDefault="00BB548D" w:rsidP="00BB548D">
            <w:pPr>
              <w:keepNext/>
              <w:jc w:val="left"/>
              <w:rPr>
                <w:rFonts w:eastAsia="Times New Roman"/>
                <w:sz w:val="24"/>
                <w:szCs w:val="24"/>
                <w:lang w:eastAsia="ru-RU"/>
              </w:rPr>
            </w:pPr>
            <w:r w:rsidRPr="00824C2D">
              <w:rPr>
                <w:rFonts w:eastAsia="Times New Roman"/>
                <w:sz w:val="24"/>
                <w:szCs w:val="24"/>
                <w:lang w:eastAsia="ru-RU"/>
              </w:rPr>
              <w:t xml:space="preserve">Рівень материнської смертності </w:t>
            </w:r>
          </w:p>
        </w:tc>
        <w:tc>
          <w:tcPr>
            <w:tcW w:w="968" w:type="dxa"/>
            <w:tcBorders>
              <w:top w:val="single" w:sz="4" w:space="0" w:color="auto"/>
              <w:left w:val="single" w:sz="4" w:space="0" w:color="auto"/>
              <w:bottom w:val="single" w:sz="4" w:space="0" w:color="auto"/>
              <w:right w:val="single" w:sz="4" w:space="0" w:color="auto"/>
            </w:tcBorders>
            <w:vAlign w:val="center"/>
          </w:tcPr>
          <w:p w:rsidR="00BB548D" w:rsidRPr="00824C2D" w:rsidRDefault="00BB548D" w:rsidP="00BB548D">
            <w:pPr>
              <w:keepNext/>
              <w:jc w:val="center"/>
              <w:rPr>
                <w:rFonts w:eastAsia="Times New Roman"/>
                <w:sz w:val="24"/>
                <w:szCs w:val="24"/>
                <w:lang w:eastAsia="ru-RU"/>
              </w:rPr>
            </w:pPr>
            <w:r w:rsidRPr="00824C2D">
              <w:rPr>
                <w:rFonts w:eastAsia="Times New Roman"/>
                <w:sz w:val="24"/>
                <w:szCs w:val="24"/>
                <w:lang w:eastAsia="ru-RU"/>
              </w:rPr>
              <w:t>9,9</w:t>
            </w:r>
          </w:p>
        </w:tc>
        <w:tc>
          <w:tcPr>
            <w:tcW w:w="969" w:type="dxa"/>
            <w:tcBorders>
              <w:top w:val="single" w:sz="4" w:space="0" w:color="auto"/>
              <w:left w:val="single" w:sz="4" w:space="0" w:color="auto"/>
              <w:bottom w:val="single" w:sz="4" w:space="0" w:color="auto"/>
              <w:right w:val="single" w:sz="4" w:space="0" w:color="auto"/>
            </w:tcBorders>
            <w:vAlign w:val="center"/>
          </w:tcPr>
          <w:p w:rsidR="00BB548D" w:rsidRPr="00824C2D" w:rsidRDefault="00BB548D" w:rsidP="00BB548D">
            <w:pPr>
              <w:keepNext/>
              <w:jc w:val="center"/>
              <w:rPr>
                <w:rFonts w:eastAsia="Times New Roman"/>
                <w:sz w:val="24"/>
                <w:szCs w:val="24"/>
                <w:lang w:eastAsia="ru-RU"/>
              </w:rPr>
            </w:pPr>
            <w:r w:rsidRPr="00824C2D">
              <w:rPr>
                <w:rFonts w:eastAsia="Times New Roman"/>
                <w:sz w:val="24"/>
                <w:szCs w:val="24"/>
                <w:lang w:eastAsia="ru-RU"/>
              </w:rPr>
              <w:t>21,9</w:t>
            </w:r>
          </w:p>
        </w:tc>
        <w:tc>
          <w:tcPr>
            <w:tcW w:w="968" w:type="dxa"/>
            <w:tcBorders>
              <w:top w:val="single" w:sz="4" w:space="0" w:color="auto"/>
              <w:left w:val="single" w:sz="4" w:space="0" w:color="auto"/>
              <w:bottom w:val="single" w:sz="4" w:space="0" w:color="auto"/>
              <w:right w:val="single" w:sz="4" w:space="0" w:color="auto"/>
            </w:tcBorders>
            <w:vAlign w:val="center"/>
          </w:tcPr>
          <w:p w:rsidR="00BB548D" w:rsidRPr="00824C2D" w:rsidRDefault="00BB548D" w:rsidP="00BB548D">
            <w:pPr>
              <w:keepNext/>
              <w:jc w:val="center"/>
              <w:rPr>
                <w:rFonts w:eastAsia="Times New Roman"/>
                <w:sz w:val="24"/>
                <w:szCs w:val="24"/>
                <w:lang w:eastAsia="ru-RU"/>
              </w:rPr>
            </w:pPr>
            <w:r w:rsidRPr="00824C2D">
              <w:rPr>
                <w:rFonts w:eastAsia="Times New Roman"/>
                <w:sz w:val="24"/>
                <w:szCs w:val="24"/>
                <w:lang w:eastAsia="ru-RU"/>
              </w:rPr>
              <w:t>5,0</w:t>
            </w:r>
          </w:p>
        </w:tc>
        <w:tc>
          <w:tcPr>
            <w:tcW w:w="969" w:type="dxa"/>
            <w:tcBorders>
              <w:top w:val="single" w:sz="4" w:space="0" w:color="auto"/>
              <w:left w:val="single" w:sz="4" w:space="0" w:color="auto"/>
              <w:bottom w:val="single" w:sz="4" w:space="0" w:color="auto"/>
              <w:right w:val="single" w:sz="4" w:space="0" w:color="auto"/>
            </w:tcBorders>
            <w:vAlign w:val="center"/>
          </w:tcPr>
          <w:p w:rsidR="00BB548D" w:rsidRPr="00824C2D" w:rsidRDefault="00BB548D" w:rsidP="00BB548D">
            <w:pPr>
              <w:keepNext/>
              <w:jc w:val="center"/>
              <w:rPr>
                <w:rFonts w:eastAsia="Times New Roman"/>
                <w:sz w:val="24"/>
                <w:szCs w:val="24"/>
                <w:lang w:eastAsia="ru-RU"/>
              </w:rPr>
            </w:pPr>
            <w:r w:rsidRPr="00824C2D">
              <w:rPr>
                <w:rFonts w:eastAsia="Times New Roman"/>
                <w:sz w:val="24"/>
                <w:szCs w:val="24"/>
                <w:lang w:eastAsia="ru-RU"/>
              </w:rPr>
              <w:t>0,1</w:t>
            </w:r>
          </w:p>
        </w:tc>
        <w:tc>
          <w:tcPr>
            <w:tcW w:w="968" w:type="dxa"/>
            <w:tcBorders>
              <w:top w:val="single" w:sz="4" w:space="0" w:color="auto"/>
              <w:left w:val="single" w:sz="4" w:space="0" w:color="auto"/>
              <w:bottom w:val="single" w:sz="4" w:space="0" w:color="auto"/>
              <w:right w:val="single" w:sz="4" w:space="0" w:color="auto"/>
            </w:tcBorders>
            <w:vAlign w:val="center"/>
          </w:tcPr>
          <w:p w:rsidR="00BB548D" w:rsidRPr="00824C2D" w:rsidRDefault="00BB548D" w:rsidP="00BB548D">
            <w:pPr>
              <w:keepNext/>
              <w:jc w:val="center"/>
              <w:rPr>
                <w:rFonts w:eastAsia="Times New Roman"/>
                <w:sz w:val="24"/>
                <w:szCs w:val="24"/>
                <w:lang w:eastAsia="ru-RU"/>
              </w:rPr>
            </w:pPr>
            <w:r w:rsidRPr="00824C2D">
              <w:rPr>
                <w:rFonts w:eastAsia="Times New Roman"/>
                <w:sz w:val="24"/>
                <w:szCs w:val="24"/>
                <w:lang w:eastAsia="ru-RU"/>
              </w:rPr>
              <w:t>1,00</w:t>
            </w:r>
          </w:p>
        </w:tc>
        <w:tc>
          <w:tcPr>
            <w:tcW w:w="969" w:type="dxa"/>
            <w:tcBorders>
              <w:top w:val="single" w:sz="4" w:space="0" w:color="auto"/>
              <w:left w:val="single" w:sz="4" w:space="0" w:color="auto"/>
              <w:bottom w:val="single" w:sz="4" w:space="0" w:color="auto"/>
              <w:right w:val="single" w:sz="4" w:space="0" w:color="auto"/>
            </w:tcBorders>
            <w:vAlign w:val="center"/>
          </w:tcPr>
          <w:p w:rsidR="00BB548D" w:rsidRPr="00824C2D" w:rsidRDefault="00BB548D" w:rsidP="00BB548D">
            <w:pPr>
              <w:keepNext/>
              <w:jc w:val="center"/>
              <w:rPr>
                <w:rFonts w:eastAsia="Times New Roman"/>
                <w:sz w:val="24"/>
                <w:szCs w:val="24"/>
                <w:lang w:eastAsia="ru-RU"/>
              </w:rPr>
            </w:pPr>
            <w:r w:rsidRPr="00824C2D">
              <w:rPr>
                <w:rFonts w:eastAsia="Times New Roman"/>
                <w:sz w:val="24"/>
                <w:szCs w:val="24"/>
                <w:lang w:eastAsia="ru-RU"/>
              </w:rPr>
              <w:t>0,02</w:t>
            </w:r>
          </w:p>
        </w:tc>
      </w:tr>
      <w:tr w:rsidR="00BB548D" w:rsidRPr="00824C2D" w:rsidTr="00BB548D">
        <w:trPr>
          <w:trHeight w:val="264"/>
        </w:trPr>
        <w:tc>
          <w:tcPr>
            <w:tcW w:w="4536" w:type="dxa"/>
            <w:tcBorders>
              <w:top w:val="single" w:sz="4" w:space="0" w:color="auto"/>
              <w:left w:val="single" w:sz="4" w:space="0" w:color="auto"/>
              <w:bottom w:val="single" w:sz="4" w:space="0" w:color="auto"/>
              <w:right w:val="single" w:sz="4" w:space="0" w:color="auto"/>
            </w:tcBorders>
            <w:vAlign w:val="bottom"/>
          </w:tcPr>
          <w:p w:rsidR="00BB548D" w:rsidRPr="00824C2D" w:rsidRDefault="00BB548D" w:rsidP="00BB548D">
            <w:pPr>
              <w:keepNext/>
              <w:jc w:val="left"/>
              <w:rPr>
                <w:rFonts w:eastAsia="Times New Roman"/>
                <w:sz w:val="24"/>
                <w:szCs w:val="24"/>
                <w:lang w:eastAsia="ru-RU"/>
              </w:rPr>
            </w:pPr>
          </w:p>
        </w:tc>
        <w:tc>
          <w:tcPr>
            <w:tcW w:w="968" w:type="dxa"/>
            <w:tcBorders>
              <w:top w:val="single" w:sz="4" w:space="0" w:color="auto"/>
              <w:left w:val="single" w:sz="4" w:space="0" w:color="auto"/>
              <w:bottom w:val="single" w:sz="4" w:space="0" w:color="auto"/>
              <w:right w:val="single" w:sz="4" w:space="0" w:color="auto"/>
            </w:tcBorders>
            <w:vAlign w:val="center"/>
          </w:tcPr>
          <w:p w:rsidR="00BB548D" w:rsidRPr="00824C2D" w:rsidRDefault="00BB548D" w:rsidP="00BB548D">
            <w:pPr>
              <w:keepNext/>
              <w:jc w:val="center"/>
              <w:rPr>
                <w:rFonts w:eastAsia="Times New Roman"/>
                <w:sz w:val="24"/>
                <w:szCs w:val="24"/>
                <w:lang w:eastAsia="ru-RU"/>
              </w:rPr>
            </w:pPr>
          </w:p>
        </w:tc>
        <w:tc>
          <w:tcPr>
            <w:tcW w:w="969" w:type="dxa"/>
            <w:tcBorders>
              <w:top w:val="single" w:sz="4" w:space="0" w:color="auto"/>
              <w:left w:val="single" w:sz="4" w:space="0" w:color="auto"/>
              <w:bottom w:val="single" w:sz="4" w:space="0" w:color="auto"/>
              <w:right w:val="single" w:sz="4" w:space="0" w:color="auto"/>
            </w:tcBorders>
            <w:vAlign w:val="center"/>
          </w:tcPr>
          <w:p w:rsidR="00BB548D" w:rsidRPr="00824C2D" w:rsidRDefault="00BB548D" w:rsidP="00BB548D">
            <w:pPr>
              <w:keepNext/>
              <w:jc w:val="center"/>
              <w:rPr>
                <w:rFonts w:eastAsia="Times New Roman"/>
                <w:color w:val="000000"/>
                <w:sz w:val="24"/>
                <w:szCs w:val="24"/>
                <w:lang w:eastAsia="ru-RU"/>
              </w:rPr>
            </w:pPr>
          </w:p>
        </w:tc>
        <w:tc>
          <w:tcPr>
            <w:tcW w:w="968" w:type="dxa"/>
            <w:tcBorders>
              <w:top w:val="single" w:sz="4" w:space="0" w:color="auto"/>
              <w:left w:val="single" w:sz="4" w:space="0" w:color="auto"/>
              <w:bottom w:val="single" w:sz="4" w:space="0" w:color="auto"/>
              <w:right w:val="single" w:sz="4" w:space="0" w:color="auto"/>
            </w:tcBorders>
            <w:vAlign w:val="center"/>
          </w:tcPr>
          <w:p w:rsidR="00BB548D" w:rsidRPr="00824C2D" w:rsidRDefault="00BB548D" w:rsidP="00BB548D">
            <w:pPr>
              <w:keepNext/>
              <w:jc w:val="center"/>
              <w:rPr>
                <w:rFonts w:eastAsia="Times New Roman"/>
                <w:color w:val="000000"/>
                <w:sz w:val="24"/>
                <w:szCs w:val="24"/>
                <w:lang w:eastAsia="ru-RU"/>
              </w:rPr>
            </w:pPr>
            <w:r w:rsidRPr="00824C2D">
              <w:rPr>
                <w:rFonts w:eastAsia="Times New Roman"/>
                <w:color w:val="000000"/>
                <w:sz w:val="24"/>
                <w:szCs w:val="24"/>
                <w:lang w:eastAsia="ru-RU"/>
              </w:rPr>
              <w:t>83,12</w:t>
            </w:r>
          </w:p>
        </w:tc>
        <w:tc>
          <w:tcPr>
            <w:tcW w:w="969" w:type="dxa"/>
            <w:tcBorders>
              <w:top w:val="single" w:sz="4" w:space="0" w:color="auto"/>
              <w:left w:val="single" w:sz="4" w:space="0" w:color="auto"/>
              <w:bottom w:val="single" w:sz="4" w:space="0" w:color="auto"/>
              <w:right w:val="single" w:sz="4" w:space="0" w:color="auto"/>
            </w:tcBorders>
            <w:vAlign w:val="center"/>
          </w:tcPr>
          <w:p w:rsidR="00BB548D" w:rsidRPr="00824C2D" w:rsidRDefault="00BB548D" w:rsidP="00BB548D">
            <w:pPr>
              <w:keepNext/>
              <w:jc w:val="center"/>
              <w:rPr>
                <w:rFonts w:eastAsia="Times New Roman"/>
                <w:color w:val="000000"/>
                <w:sz w:val="24"/>
                <w:szCs w:val="24"/>
                <w:lang w:eastAsia="ru-RU"/>
              </w:rPr>
            </w:pPr>
            <w:r w:rsidRPr="00824C2D">
              <w:rPr>
                <w:rFonts w:eastAsia="Times New Roman"/>
                <w:color w:val="000000"/>
                <w:sz w:val="24"/>
                <w:szCs w:val="24"/>
                <w:lang w:eastAsia="ru-RU"/>
              </w:rPr>
              <w:t>95,68</w:t>
            </w:r>
          </w:p>
        </w:tc>
        <w:tc>
          <w:tcPr>
            <w:tcW w:w="968" w:type="dxa"/>
            <w:tcBorders>
              <w:top w:val="single" w:sz="4" w:space="0" w:color="auto"/>
              <w:left w:val="single" w:sz="4" w:space="0" w:color="auto"/>
              <w:bottom w:val="single" w:sz="4" w:space="0" w:color="auto"/>
              <w:right w:val="single" w:sz="4" w:space="0" w:color="auto"/>
            </w:tcBorders>
            <w:vAlign w:val="center"/>
          </w:tcPr>
          <w:p w:rsidR="00BB548D" w:rsidRPr="00824C2D" w:rsidRDefault="00BB548D" w:rsidP="00BB548D">
            <w:pPr>
              <w:keepNext/>
              <w:jc w:val="center"/>
              <w:rPr>
                <w:rFonts w:eastAsia="Times New Roman"/>
                <w:color w:val="000000"/>
                <w:sz w:val="24"/>
                <w:szCs w:val="24"/>
                <w:lang w:eastAsia="ru-RU"/>
              </w:rPr>
            </w:pPr>
            <w:r w:rsidRPr="00824C2D">
              <w:rPr>
                <w:rFonts w:eastAsia="Times New Roman"/>
                <w:color w:val="000000"/>
                <w:sz w:val="24"/>
                <w:szCs w:val="24"/>
                <w:lang w:eastAsia="ru-RU"/>
              </w:rPr>
              <w:t>0,69</w:t>
            </w:r>
          </w:p>
        </w:tc>
        <w:tc>
          <w:tcPr>
            <w:tcW w:w="969" w:type="dxa"/>
            <w:tcBorders>
              <w:top w:val="single" w:sz="4" w:space="0" w:color="auto"/>
              <w:left w:val="single" w:sz="4" w:space="0" w:color="auto"/>
              <w:bottom w:val="single" w:sz="4" w:space="0" w:color="auto"/>
              <w:right w:val="single" w:sz="4" w:space="0" w:color="auto"/>
            </w:tcBorders>
            <w:vAlign w:val="center"/>
          </w:tcPr>
          <w:p w:rsidR="00BB548D" w:rsidRPr="00824C2D" w:rsidRDefault="00BB548D" w:rsidP="00BB548D">
            <w:pPr>
              <w:keepNext/>
              <w:jc w:val="center"/>
              <w:rPr>
                <w:rFonts w:eastAsia="Times New Roman"/>
                <w:color w:val="000000"/>
                <w:sz w:val="24"/>
                <w:szCs w:val="24"/>
                <w:lang w:eastAsia="ru-RU"/>
              </w:rPr>
            </w:pPr>
            <w:r w:rsidRPr="00824C2D">
              <w:rPr>
                <w:rFonts w:eastAsia="Times New Roman"/>
                <w:color w:val="000000"/>
                <w:sz w:val="24"/>
                <w:szCs w:val="24"/>
                <w:lang w:eastAsia="ru-RU"/>
              </w:rPr>
              <w:t>0,74</w:t>
            </w:r>
          </w:p>
        </w:tc>
      </w:tr>
    </w:tbl>
    <w:p w:rsidR="00145C9F" w:rsidRDefault="00BB548D" w:rsidP="006D57A4">
      <w:pPr>
        <w:jc w:val="right"/>
        <w:rPr>
          <w:i/>
          <w:lang w:val="ru-RU"/>
        </w:rPr>
      </w:pPr>
      <w:r w:rsidRPr="00BB548D">
        <w:rPr>
          <w:i/>
          <w:lang w:val="ru-RU"/>
        </w:rPr>
        <w:t>Продовження додаток Е-16</w:t>
      </w:r>
    </w:p>
    <w:p w:rsidR="00145C9F" w:rsidRPr="004B24A2" w:rsidRDefault="00145C9F" w:rsidP="00145C9F">
      <w:pPr>
        <w:rPr>
          <w:i/>
          <w:sz w:val="20"/>
          <w:szCs w:val="20"/>
        </w:rPr>
      </w:pPr>
      <w:r w:rsidRPr="004B24A2">
        <w:rPr>
          <w:i/>
          <w:sz w:val="20"/>
          <w:szCs w:val="20"/>
        </w:rPr>
        <w:t>Для таблиць : * – показник не оцінювався</w:t>
      </w:r>
      <w:r w:rsidRPr="004B24A2">
        <w:rPr>
          <w:i/>
          <w:sz w:val="20"/>
          <w:szCs w:val="20"/>
          <w:lang w:val="ru-RU"/>
        </w:rPr>
        <w:t xml:space="preserve">  </w:t>
      </w:r>
      <w:r w:rsidRPr="004B24A2">
        <w:rPr>
          <w:i/>
          <w:sz w:val="20"/>
          <w:szCs w:val="20"/>
        </w:rPr>
        <w:t>** – немає даних</w:t>
      </w:r>
    </w:p>
    <w:p w:rsidR="00145C9F" w:rsidRPr="00145C9F" w:rsidRDefault="00145C9F" w:rsidP="00145C9F"/>
    <w:p w:rsidR="00145C9F" w:rsidRPr="00145C9F" w:rsidRDefault="00145C9F" w:rsidP="00145C9F">
      <w:pPr>
        <w:rPr>
          <w:lang w:val="ru-RU"/>
        </w:rPr>
      </w:pPr>
    </w:p>
    <w:p w:rsidR="00145C9F" w:rsidRPr="00145C9F" w:rsidRDefault="00145C9F" w:rsidP="00145C9F">
      <w:pPr>
        <w:rPr>
          <w:lang w:val="ru-RU"/>
        </w:rPr>
      </w:pPr>
    </w:p>
    <w:p w:rsidR="00145C9F" w:rsidRPr="00145C9F" w:rsidRDefault="00145C9F" w:rsidP="00145C9F">
      <w:pPr>
        <w:rPr>
          <w:lang w:val="ru-RU"/>
        </w:rPr>
      </w:pPr>
    </w:p>
    <w:p w:rsidR="00145C9F" w:rsidRPr="00145C9F" w:rsidRDefault="00145C9F" w:rsidP="00145C9F">
      <w:pPr>
        <w:rPr>
          <w:lang w:val="ru-RU"/>
        </w:rPr>
      </w:pPr>
    </w:p>
    <w:p w:rsidR="00145C9F" w:rsidRPr="00145C9F" w:rsidRDefault="00145C9F" w:rsidP="00145C9F">
      <w:pPr>
        <w:rPr>
          <w:lang w:val="ru-RU"/>
        </w:rPr>
      </w:pPr>
    </w:p>
    <w:p w:rsidR="00983FA2" w:rsidRPr="00145C9F" w:rsidRDefault="00983FA2" w:rsidP="00145C9F">
      <w:pPr>
        <w:rPr>
          <w:lang w:val="ru-RU"/>
        </w:rPr>
      </w:pPr>
    </w:p>
    <w:p w:rsidR="00C43972" w:rsidRPr="006D57A4" w:rsidRDefault="00C43972" w:rsidP="00474500">
      <w:pPr>
        <w:keepNext/>
        <w:pageBreakBefore/>
        <w:jc w:val="right"/>
        <w:rPr>
          <w:rFonts w:eastAsia="Times New Roman"/>
          <w:bCs/>
          <w:iCs/>
          <w:color w:val="000000"/>
          <w:szCs w:val="28"/>
          <w:lang w:val="ru-RU" w:eastAsia="uk-UA"/>
        </w:rPr>
      </w:pPr>
      <w:r w:rsidRPr="006D57A4">
        <w:rPr>
          <w:rFonts w:eastAsia="Times New Roman"/>
          <w:bCs/>
          <w:iCs/>
          <w:color w:val="000000"/>
          <w:szCs w:val="28"/>
          <w:lang w:val="ru-RU" w:eastAsia="uk-UA"/>
        </w:rPr>
        <w:lastRenderedPageBreak/>
        <w:t xml:space="preserve">Додаток </w:t>
      </w:r>
      <w:r w:rsidR="005217B7" w:rsidRPr="006D57A4">
        <w:rPr>
          <w:rFonts w:eastAsia="Times New Roman"/>
          <w:bCs/>
          <w:iCs/>
          <w:color w:val="000000"/>
          <w:szCs w:val="28"/>
          <w:lang w:eastAsia="uk-UA"/>
        </w:rPr>
        <w:t>Е</w:t>
      </w:r>
      <w:r w:rsidRPr="006D57A4">
        <w:rPr>
          <w:rFonts w:eastAsia="Times New Roman"/>
          <w:bCs/>
          <w:iCs/>
          <w:color w:val="000000"/>
          <w:szCs w:val="28"/>
          <w:lang w:eastAsia="uk-UA"/>
        </w:rPr>
        <w:t>-17</w:t>
      </w:r>
    </w:p>
    <w:p w:rsidR="00C43972" w:rsidRPr="006D57A4" w:rsidRDefault="00C43972" w:rsidP="006D57A4">
      <w:pPr>
        <w:keepNext/>
        <w:jc w:val="center"/>
        <w:rPr>
          <w:rFonts w:eastAsia="Times New Roman"/>
          <w:b/>
          <w:sz w:val="24"/>
          <w:szCs w:val="24"/>
          <w:lang w:eastAsia="ru-RU"/>
        </w:rPr>
      </w:pPr>
      <w:r w:rsidRPr="006D57A4">
        <w:rPr>
          <w:rFonts w:eastAsia="Times New Roman"/>
          <w:b/>
          <w:bCs/>
          <w:iCs/>
          <w:color w:val="000000"/>
          <w:szCs w:val="28"/>
          <w:lang w:eastAsia="uk-UA"/>
        </w:rPr>
        <w:t xml:space="preserve">Комплексна оцінка діяльності закладів перинатальної допомоги Одеської </w:t>
      </w:r>
      <w:r w:rsidRPr="006D57A4">
        <w:rPr>
          <w:rFonts w:eastAsia="Times New Roman"/>
          <w:b/>
          <w:bCs/>
          <w:iCs/>
          <w:color w:val="000000"/>
          <w:sz w:val="26"/>
          <w:szCs w:val="26"/>
          <w:lang w:eastAsia="uk-UA"/>
        </w:rPr>
        <w:t xml:space="preserve">області у </w:t>
      </w:r>
      <w:r w:rsidRPr="006D57A4">
        <w:rPr>
          <w:rFonts w:eastAsia="Times New Roman"/>
          <w:b/>
          <w:bCs/>
          <w:iCs/>
          <w:color w:val="000000"/>
          <w:szCs w:val="28"/>
          <w:lang w:eastAsia="uk-UA"/>
        </w:rPr>
        <w:t>2017–2018 рр.</w:t>
      </w:r>
    </w:p>
    <w:tbl>
      <w:tblPr>
        <w:tblW w:w="10347" w:type="dxa"/>
        <w:jc w:val="center"/>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36"/>
        <w:gridCol w:w="968"/>
        <w:gridCol w:w="969"/>
        <w:gridCol w:w="968"/>
        <w:gridCol w:w="969"/>
        <w:gridCol w:w="968"/>
        <w:gridCol w:w="969"/>
      </w:tblGrid>
      <w:tr w:rsidR="006D57A4" w:rsidRPr="006D57A4" w:rsidTr="006D57A4">
        <w:trPr>
          <w:cantSplit/>
          <w:trHeight w:val="652"/>
          <w:jc w:val="center"/>
        </w:trPr>
        <w:tc>
          <w:tcPr>
            <w:tcW w:w="4536" w:type="dxa"/>
            <w:vMerge w:val="restart"/>
            <w:tcBorders>
              <w:top w:val="single" w:sz="4" w:space="0" w:color="auto"/>
              <w:left w:val="single" w:sz="4" w:space="0" w:color="auto"/>
              <w:right w:val="single" w:sz="4" w:space="0" w:color="auto"/>
            </w:tcBorders>
            <w:vAlign w:val="center"/>
            <w:hideMark/>
          </w:tcPr>
          <w:p w:rsidR="006D57A4" w:rsidRPr="006D57A4" w:rsidRDefault="006D57A4" w:rsidP="006D57A4">
            <w:pPr>
              <w:keepNext/>
              <w:jc w:val="center"/>
              <w:rPr>
                <w:rFonts w:eastAsia="Times New Roman"/>
                <w:color w:val="000000"/>
                <w:sz w:val="24"/>
                <w:szCs w:val="24"/>
                <w:lang w:eastAsia="uk-UA"/>
              </w:rPr>
            </w:pPr>
            <w:r w:rsidRPr="006D57A4">
              <w:rPr>
                <w:rFonts w:eastAsia="Times New Roman"/>
                <w:color w:val="000000"/>
                <w:sz w:val="24"/>
                <w:szCs w:val="24"/>
                <w:lang w:eastAsia="uk-UA"/>
              </w:rPr>
              <w:t>Індикатор якості</w:t>
            </w:r>
          </w:p>
        </w:tc>
        <w:tc>
          <w:tcPr>
            <w:tcW w:w="1937" w:type="dxa"/>
            <w:gridSpan w:val="2"/>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color w:val="000000"/>
                <w:sz w:val="24"/>
                <w:szCs w:val="24"/>
                <w:lang w:eastAsia="uk-UA"/>
              </w:rPr>
            </w:pPr>
            <w:r w:rsidRPr="006D57A4">
              <w:rPr>
                <w:rFonts w:eastAsia="Times New Roman"/>
                <w:color w:val="000000"/>
                <w:sz w:val="24"/>
                <w:szCs w:val="24"/>
                <w:lang w:eastAsia="uk-UA"/>
              </w:rPr>
              <w:t xml:space="preserve">Фактичний показник, </w:t>
            </w:r>
            <w:r w:rsidRPr="006D57A4">
              <w:rPr>
                <w:rFonts w:eastAsia="Times New Roman"/>
                <w:sz w:val="24"/>
                <w:szCs w:val="24"/>
                <w:lang w:eastAsia="uk-UA"/>
              </w:rPr>
              <w:t>Україна</w:t>
            </w:r>
          </w:p>
        </w:tc>
        <w:tc>
          <w:tcPr>
            <w:tcW w:w="1937" w:type="dxa"/>
            <w:gridSpan w:val="2"/>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color w:val="000000"/>
                <w:sz w:val="24"/>
                <w:szCs w:val="24"/>
                <w:lang w:eastAsia="uk-UA"/>
              </w:rPr>
            </w:pPr>
            <w:r w:rsidRPr="006D57A4">
              <w:rPr>
                <w:rFonts w:eastAsia="Times New Roman"/>
                <w:color w:val="000000"/>
                <w:sz w:val="24"/>
                <w:szCs w:val="24"/>
                <w:lang w:eastAsia="uk-UA"/>
              </w:rPr>
              <w:t>Бальна оцінка фактичного показника</w:t>
            </w:r>
          </w:p>
        </w:tc>
        <w:tc>
          <w:tcPr>
            <w:tcW w:w="1937" w:type="dxa"/>
            <w:gridSpan w:val="2"/>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color w:val="000000"/>
                <w:sz w:val="24"/>
                <w:szCs w:val="24"/>
                <w:lang w:eastAsia="uk-UA"/>
              </w:rPr>
            </w:pPr>
            <w:r w:rsidRPr="006D57A4">
              <w:rPr>
                <w:rFonts w:eastAsia="Times New Roman"/>
                <w:color w:val="000000"/>
                <w:sz w:val="24"/>
                <w:szCs w:val="24"/>
                <w:lang w:eastAsia="uk-UA"/>
              </w:rPr>
              <w:t>КДНЗ</w:t>
            </w:r>
          </w:p>
        </w:tc>
      </w:tr>
      <w:tr w:rsidR="006D57A4" w:rsidRPr="006D57A4" w:rsidTr="006D57A4">
        <w:trPr>
          <w:trHeight w:val="404"/>
          <w:jc w:val="center"/>
        </w:trPr>
        <w:tc>
          <w:tcPr>
            <w:tcW w:w="4536" w:type="dxa"/>
            <w:vMerge/>
            <w:tcBorders>
              <w:left w:val="single" w:sz="4" w:space="0" w:color="auto"/>
              <w:bottom w:val="single" w:sz="4" w:space="0" w:color="auto"/>
              <w:right w:val="single" w:sz="4" w:space="0" w:color="auto"/>
            </w:tcBorders>
            <w:vAlign w:val="bottom"/>
          </w:tcPr>
          <w:p w:rsidR="006D57A4" w:rsidRPr="006D57A4" w:rsidRDefault="006D57A4" w:rsidP="006D57A4">
            <w:pPr>
              <w:keepNext/>
              <w:jc w:val="left"/>
              <w:rPr>
                <w:rFonts w:eastAsia="Times New Roman"/>
                <w:sz w:val="24"/>
                <w:szCs w:val="24"/>
                <w:lang w:eastAsia="ru-RU"/>
              </w:rPr>
            </w:pPr>
          </w:p>
        </w:tc>
        <w:tc>
          <w:tcPr>
            <w:tcW w:w="968"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sz w:val="24"/>
                <w:szCs w:val="24"/>
                <w:lang w:eastAsia="ru-RU"/>
              </w:rPr>
            </w:pPr>
            <w:r w:rsidRPr="006D57A4">
              <w:rPr>
                <w:rFonts w:eastAsia="Times New Roman"/>
                <w:sz w:val="24"/>
                <w:szCs w:val="24"/>
                <w:lang w:eastAsia="ru-RU"/>
              </w:rPr>
              <w:t>2017 р.</w:t>
            </w:r>
          </w:p>
        </w:tc>
        <w:tc>
          <w:tcPr>
            <w:tcW w:w="969"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color w:val="000000"/>
                <w:sz w:val="24"/>
                <w:szCs w:val="24"/>
                <w:lang w:eastAsia="ru-RU"/>
              </w:rPr>
            </w:pPr>
            <w:r w:rsidRPr="006D57A4">
              <w:rPr>
                <w:rFonts w:eastAsia="Times New Roman"/>
                <w:color w:val="000000"/>
                <w:sz w:val="24"/>
                <w:szCs w:val="24"/>
                <w:lang w:eastAsia="ru-RU"/>
              </w:rPr>
              <w:t>2018 р.</w:t>
            </w:r>
          </w:p>
        </w:tc>
        <w:tc>
          <w:tcPr>
            <w:tcW w:w="968"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sz w:val="24"/>
                <w:szCs w:val="24"/>
                <w:lang w:eastAsia="ru-RU"/>
              </w:rPr>
            </w:pPr>
            <w:r w:rsidRPr="006D57A4">
              <w:rPr>
                <w:rFonts w:eastAsia="Times New Roman"/>
                <w:sz w:val="24"/>
                <w:szCs w:val="24"/>
                <w:lang w:eastAsia="ru-RU"/>
              </w:rPr>
              <w:t>2017 р.</w:t>
            </w:r>
          </w:p>
        </w:tc>
        <w:tc>
          <w:tcPr>
            <w:tcW w:w="969"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sz w:val="24"/>
                <w:szCs w:val="24"/>
                <w:lang w:eastAsia="ru-RU"/>
              </w:rPr>
            </w:pPr>
            <w:r w:rsidRPr="006D57A4">
              <w:rPr>
                <w:rFonts w:eastAsia="Times New Roman"/>
                <w:sz w:val="24"/>
                <w:szCs w:val="24"/>
                <w:lang w:eastAsia="ru-RU"/>
              </w:rPr>
              <w:t>2017 р.</w:t>
            </w:r>
          </w:p>
        </w:tc>
        <w:tc>
          <w:tcPr>
            <w:tcW w:w="968"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color w:val="000000"/>
                <w:sz w:val="24"/>
                <w:szCs w:val="24"/>
                <w:lang w:eastAsia="ru-RU"/>
              </w:rPr>
            </w:pPr>
            <w:r w:rsidRPr="006D57A4">
              <w:rPr>
                <w:rFonts w:eastAsia="Times New Roman"/>
                <w:color w:val="000000"/>
                <w:sz w:val="24"/>
                <w:szCs w:val="24"/>
                <w:lang w:eastAsia="ru-RU"/>
              </w:rPr>
              <w:t>2018 р.</w:t>
            </w:r>
          </w:p>
        </w:tc>
        <w:tc>
          <w:tcPr>
            <w:tcW w:w="969"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sz w:val="24"/>
                <w:szCs w:val="24"/>
                <w:lang w:eastAsia="ru-RU"/>
              </w:rPr>
            </w:pPr>
            <w:r w:rsidRPr="006D57A4">
              <w:rPr>
                <w:rFonts w:eastAsia="Times New Roman"/>
                <w:sz w:val="24"/>
                <w:szCs w:val="24"/>
                <w:lang w:eastAsia="ru-RU"/>
              </w:rPr>
              <w:t>2017 р.</w:t>
            </w:r>
          </w:p>
        </w:tc>
      </w:tr>
      <w:tr w:rsidR="006D57A4" w:rsidRPr="006D57A4" w:rsidTr="006D57A4">
        <w:trPr>
          <w:trHeight w:val="404"/>
          <w:jc w:val="center"/>
        </w:trPr>
        <w:tc>
          <w:tcPr>
            <w:tcW w:w="4536"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left"/>
              <w:rPr>
                <w:rFonts w:eastAsia="Times New Roman"/>
                <w:sz w:val="24"/>
                <w:szCs w:val="24"/>
                <w:lang w:eastAsia="ru-RU"/>
              </w:rPr>
            </w:pPr>
            <w:r w:rsidRPr="006D57A4">
              <w:rPr>
                <w:rFonts w:eastAsia="Times New Roman"/>
                <w:sz w:val="24"/>
                <w:szCs w:val="24"/>
                <w:lang w:eastAsia="ru-RU"/>
              </w:rPr>
              <w:t>Забезпеченість  лікарями акушер-гінекологами</w:t>
            </w:r>
          </w:p>
        </w:tc>
        <w:tc>
          <w:tcPr>
            <w:tcW w:w="968"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sz w:val="24"/>
                <w:szCs w:val="24"/>
                <w:lang w:eastAsia="ru-RU"/>
              </w:rPr>
            </w:pPr>
            <w:r w:rsidRPr="006D57A4">
              <w:rPr>
                <w:rFonts w:eastAsia="Times New Roman"/>
                <w:sz w:val="24"/>
                <w:szCs w:val="24"/>
                <w:lang w:eastAsia="ru-RU"/>
              </w:rPr>
              <w:t>5,53</w:t>
            </w:r>
          </w:p>
        </w:tc>
        <w:tc>
          <w:tcPr>
            <w:tcW w:w="969"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color w:val="000000"/>
                <w:sz w:val="24"/>
                <w:szCs w:val="24"/>
                <w:lang w:eastAsia="ru-RU"/>
              </w:rPr>
            </w:pPr>
            <w:r w:rsidRPr="006D57A4">
              <w:rPr>
                <w:rFonts w:eastAsia="Times New Roman"/>
                <w:color w:val="000000"/>
                <w:sz w:val="24"/>
                <w:szCs w:val="24"/>
                <w:lang w:eastAsia="ru-RU"/>
              </w:rPr>
              <w:t>5,37</w:t>
            </w:r>
          </w:p>
        </w:tc>
        <w:tc>
          <w:tcPr>
            <w:tcW w:w="968"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sz w:val="24"/>
                <w:szCs w:val="24"/>
                <w:lang w:eastAsia="ru-RU"/>
              </w:rPr>
            </w:pPr>
            <w:r w:rsidRPr="006D57A4">
              <w:rPr>
                <w:rFonts w:eastAsia="Times New Roman"/>
                <w:sz w:val="24"/>
                <w:szCs w:val="24"/>
                <w:lang w:eastAsia="ru-RU"/>
              </w:rPr>
              <w:t>6,0</w:t>
            </w:r>
          </w:p>
        </w:tc>
        <w:tc>
          <w:tcPr>
            <w:tcW w:w="969"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color w:val="000000"/>
                <w:sz w:val="24"/>
                <w:szCs w:val="24"/>
                <w:lang w:eastAsia="ru-RU"/>
              </w:rPr>
            </w:pPr>
            <w:r w:rsidRPr="006D57A4">
              <w:rPr>
                <w:rFonts w:eastAsia="Times New Roman"/>
                <w:color w:val="000000"/>
                <w:sz w:val="24"/>
                <w:szCs w:val="24"/>
                <w:lang w:eastAsia="ru-RU"/>
              </w:rPr>
              <w:t>5,86</w:t>
            </w:r>
          </w:p>
        </w:tc>
        <w:tc>
          <w:tcPr>
            <w:tcW w:w="968"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sz w:val="24"/>
                <w:szCs w:val="24"/>
                <w:lang w:eastAsia="ru-RU"/>
              </w:rPr>
            </w:pPr>
            <w:r w:rsidRPr="006D57A4">
              <w:rPr>
                <w:rFonts w:eastAsia="Times New Roman"/>
                <w:sz w:val="24"/>
                <w:szCs w:val="24"/>
                <w:lang w:eastAsia="ru-RU"/>
              </w:rPr>
              <w:t>1,00</w:t>
            </w:r>
          </w:p>
        </w:tc>
        <w:tc>
          <w:tcPr>
            <w:tcW w:w="969"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color w:val="000000"/>
                <w:sz w:val="24"/>
                <w:szCs w:val="24"/>
                <w:lang w:eastAsia="ru-RU"/>
              </w:rPr>
            </w:pPr>
            <w:r w:rsidRPr="006D57A4">
              <w:rPr>
                <w:rFonts w:eastAsia="Times New Roman"/>
                <w:color w:val="000000"/>
                <w:sz w:val="24"/>
                <w:szCs w:val="24"/>
                <w:lang w:eastAsia="ru-RU"/>
              </w:rPr>
              <w:t>0,98</w:t>
            </w:r>
          </w:p>
        </w:tc>
      </w:tr>
      <w:tr w:rsidR="006D57A4" w:rsidRPr="006D57A4" w:rsidTr="006D57A4">
        <w:trPr>
          <w:trHeight w:val="404"/>
          <w:jc w:val="center"/>
        </w:trPr>
        <w:tc>
          <w:tcPr>
            <w:tcW w:w="4536" w:type="dxa"/>
            <w:tcBorders>
              <w:top w:val="single" w:sz="4" w:space="0" w:color="auto"/>
              <w:left w:val="single" w:sz="4" w:space="0" w:color="auto"/>
              <w:bottom w:val="single" w:sz="4" w:space="0" w:color="auto"/>
              <w:right w:val="single" w:sz="4" w:space="0" w:color="auto"/>
            </w:tcBorders>
            <w:vAlign w:val="bottom"/>
          </w:tcPr>
          <w:p w:rsidR="006D57A4" w:rsidRPr="006D57A4" w:rsidRDefault="006D57A4" w:rsidP="006D57A4">
            <w:pPr>
              <w:keepNext/>
              <w:jc w:val="left"/>
              <w:rPr>
                <w:rFonts w:eastAsia="Times New Roman"/>
                <w:sz w:val="24"/>
                <w:szCs w:val="24"/>
                <w:lang w:eastAsia="ru-RU"/>
              </w:rPr>
            </w:pPr>
            <w:r w:rsidRPr="006D57A4">
              <w:rPr>
                <w:rFonts w:eastAsia="Times New Roman"/>
                <w:sz w:val="24"/>
                <w:szCs w:val="24"/>
                <w:lang w:eastAsia="ru-RU"/>
              </w:rPr>
              <w:t>Забезпеченість  лікарями  педіатрами-неонатологами</w:t>
            </w:r>
          </w:p>
        </w:tc>
        <w:tc>
          <w:tcPr>
            <w:tcW w:w="968"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sz w:val="24"/>
                <w:szCs w:val="24"/>
                <w:lang w:eastAsia="ru-RU"/>
              </w:rPr>
            </w:pPr>
            <w:r w:rsidRPr="006D57A4">
              <w:rPr>
                <w:rFonts w:eastAsia="Times New Roman"/>
                <w:sz w:val="24"/>
                <w:szCs w:val="24"/>
                <w:lang w:eastAsia="ru-RU"/>
              </w:rPr>
              <w:t>3,09</w:t>
            </w:r>
          </w:p>
        </w:tc>
        <w:tc>
          <w:tcPr>
            <w:tcW w:w="969"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color w:val="000000"/>
                <w:sz w:val="24"/>
                <w:szCs w:val="24"/>
                <w:lang w:eastAsia="ru-RU"/>
              </w:rPr>
            </w:pPr>
            <w:r w:rsidRPr="006D57A4">
              <w:rPr>
                <w:rFonts w:eastAsia="Times New Roman"/>
                <w:color w:val="000000"/>
                <w:sz w:val="24"/>
                <w:szCs w:val="24"/>
                <w:lang w:eastAsia="ru-RU"/>
              </w:rPr>
              <w:t>3,30</w:t>
            </w:r>
          </w:p>
        </w:tc>
        <w:tc>
          <w:tcPr>
            <w:tcW w:w="968"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sz w:val="24"/>
                <w:szCs w:val="24"/>
                <w:lang w:eastAsia="ru-RU"/>
              </w:rPr>
            </w:pPr>
            <w:r w:rsidRPr="006D57A4">
              <w:rPr>
                <w:rFonts w:eastAsia="Times New Roman"/>
                <w:sz w:val="24"/>
                <w:szCs w:val="24"/>
                <w:lang w:eastAsia="ru-RU"/>
              </w:rPr>
              <w:t>3,37</w:t>
            </w:r>
          </w:p>
        </w:tc>
        <w:tc>
          <w:tcPr>
            <w:tcW w:w="969"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color w:val="000000"/>
                <w:sz w:val="24"/>
                <w:szCs w:val="24"/>
                <w:lang w:eastAsia="ru-RU"/>
              </w:rPr>
            </w:pPr>
            <w:r w:rsidRPr="006D57A4">
              <w:rPr>
                <w:rFonts w:eastAsia="Times New Roman"/>
                <w:color w:val="000000"/>
                <w:sz w:val="24"/>
                <w:szCs w:val="24"/>
                <w:lang w:eastAsia="ru-RU"/>
              </w:rPr>
              <w:t>3,60</w:t>
            </w:r>
          </w:p>
        </w:tc>
        <w:tc>
          <w:tcPr>
            <w:tcW w:w="968"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sz w:val="24"/>
                <w:szCs w:val="24"/>
                <w:lang w:eastAsia="ru-RU"/>
              </w:rPr>
            </w:pPr>
            <w:r w:rsidRPr="006D57A4">
              <w:rPr>
                <w:rFonts w:eastAsia="Times New Roman"/>
                <w:sz w:val="24"/>
                <w:szCs w:val="24"/>
                <w:lang w:eastAsia="ru-RU"/>
              </w:rPr>
              <w:t>0,56</w:t>
            </w:r>
          </w:p>
        </w:tc>
        <w:tc>
          <w:tcPr>
            <w:tcW w:w="969"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color w:val="000000"/>
                <w:sz w:val="24"/>
                <w:szCs w:val="24"/>
                <w:lang w:eastAsia="ru-RU"/>
              </w:rPr>
            </w:pPr>
            <w:r w:rsidRPr="006D57A4">
              <w:rPr>
                <w:rFonts w:eastAsia="Times New Roman"/>
                <w:color w:val="000000"/>
                <w:sz w:val="24"/>
                <w:szCs w:val="24"/>
                <w:lang w:eastAsia="ru-RU"/>
              </w:rPr>
              <w:t>0,60</w:t>
            </w:r>
          </w:p>
        </w:tc>
      </w:tr>
      <w:tr w:rsidR="006D57A4" w:rsidRPr="006D57A4" w:rsidTr="006D57A4">
        <w:trPr>
          <w:trHeight w:val="404"/>
          <w:jc w:val="center"/>
        </w:trPr>
        <w:tc>
          <w:tcPr>
            <w:tcW w:w="4536" w:type="dxa"/>
            <w:tcBorders>
              <w:top w:val="single" w:sz="4" w:space="0" w:color="auto"/>
              <w:left w:val="single" w:sz="4" w:space="0" w:color="auto"/>
              <w:bottom w:val="single" w:sz="4" w:space="0" w:color="auto"/>
              <w:right w:val="single" w:sz="4" w:space="0" w:color="auto"/>
            </w:tcBorders>
            <w:vAlign w:val="bottom"/>
          </w:tcPr>
          <w:p w:rsidR="006D57A4" w:rsidRPr="006D57A4" w:rsidRDefault="006D57A4" w:rsidP="006D57A4">
            <w:pPr>
              <w:keepNext/>
              <w:jc w:val="left"/>
              <w:rPr>
                <w:rFonts w:eastAsia="Times New Roman"/>
                <w:sz w:val="24"/>
                <w:szCs w:val="24"/>
                <w:lang w:eastAsia="ru-RU"/>
              </w:rPr>
            </w:pPr>
            <w:r w:rsidRPr="006D57A4">
              <w:rPr>
                <w:rFonts w:eastAsia="Times New Roman"/>
                <w:sz w:val="24"/>
                <w:szCs w:val="24"/>
                <w:lang w:eastAsia="ru-RU"/>
              </w:rPr>
              <w:t>Питома вага атестованих лікарів акушер-гінекологів</w:t>
            </w:r>
          </w:p>
        </w:tc>
        <w:tc>
          <w:tcPr>
            <w:tcW w:w="968"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sz w:val="24"/>
                <w:szCs w:val="24"/>
                <w:lang w:eastAsia="ru-RU"/>
              </w:rPr>
            </w:pPr>
            <w:r w:rsidRPr="006D57A4">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color w:val="000000"/>
                <w:sz w:val="24"/>
                <w:szCs w:val="24"/>
                <w:lang w:eastAsia="ru-RU"/>
              </w:rPr>
            </w:pPr>
            <w:r w:rsidRPr="006D57A4">
              <w:rPr>
                <w:rFonts w:eastAsia="Times New Roman"/>
                <w:color w:val="000000"/>
                <w:sz w:val="24"/>
                <w:szCs w:val="24"/>
                <w:lang w:eastAsia="ru-RU"/>
              </w:rPr>
              <w:t>86,81</w:t>
            </w:r>
          </w:p>
        </w:tc>
        <w:tc>
          <w:tcPr>
            <w:tcW w:w="968"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sz w:val="24"/>
                <w:szCs w:val="24"/>
                <w:lang w:eastAsia="ru-RU"/>
              </w:rPr>
            </w:pPr>
            <w:r w:rsidRPr="006D57A4">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color w:val="000000"/>
                <w:sz w:val="24"/>
                <w:szCs w:val="24"/>
                <w:lang w:eastAsia="ru-RU"/>
              </w:rPr>
            </w:pPr>
            <w:r w:rsidRPr="006D57A4">
              <w:rPr>
                <w:rFonts w:eastAsia="Times New Roman"/>
                <w:color w:val="000000"/>
                <w:sz w:val="24"/>
                <w:szCs w:val="24"/>
                <w:lang w:eastAsia="ru-RU"/>
              </w:rPr>
              <w:t>5,79</w:t>
            </w:r>
          </w:p>
        </w:tc>
        <w:tc>
          <w:tcPr>
            <w:tcW w:w="968"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sz w:val="24"/>
                <w:szCs w:val="24"/>
                <w:lang w:eastAsia="ru-RU"/>
              </w:rPr>
            </w:pPr>
            <w:r w:rsidRPr="006D57A4">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color w:val="000000"/>
                <w:sz w:val="24"/>
                <w:szCs w:val="24"/>
                <w:lang w:eastAsia="ru-RU"/>
              </w:rPr>
            </w:pPr>
            <w:r w:rsidRPr="006D57A4">
              <w:rPr>
                <w:rFonts w:eastAsia="Times New Roman"/>
                <w:color w:val="000000"/>
                <w:sz w:val="24"/>
                <w:szCs w:val="24"/>
                <w:lang w:eastAsia="ru-RU"/>
              </w:rPr>
              <w:t>0,97</w:t>
            </w:r>
          </w:p>
        </w:tc>
      </w:tr>
      <w:tr w:rsidR="006D57A4" w:rsidRPr="006D57A4" w:rsidTr="006D57A4">
        <w:trPr>
          <w:trHeight w:val="404"/>
          <w:jc w:val="center"/>
        </w:trPr>
        <w:tc>
          <w:tcPr>
            <w:tcW w:w="4536" w:type="dxa"/>
            <w:tcBorders>
              <w:top w:val="single" w:sz="4" w:space="0" w:color="auto"/>
              <w:left w:val="single" w:sz="4" w:space="0" w:color="auto"/>
              <w:bottom w:val="single" w:sz="4" w:space="0" w:color="auto"/>
              <w:right w:val="single" w:sz="4" w:space="0" w:color="auto"/>
            </w:tcBorders>
            <w:vAlign w:val="bottom"/>
          </w:tcPr>
          <w:p w:rsidR="006D57A4" w:rsidRPr="006D57A4" w:rsidRDefault="006D57A4" w:rsidP="006D57A4">
            <w:pPr>
              <w:keepNext/>
              <w:jc w:val="left"/>
              <w:rPr>
                <w:rFonts w:eastAsia="Times New Roman"/>
                <w:sz w:val="24"/>
                <w:szCs w:val="24"/>
                <w:lang w:eastAsia="ru-RU"/>
              </w:rPr>
            </w:pPr>
            <w:r w:rsidRPr="006D57A4">
              <w:rPr>
                <w:rFonts w:eastAsia="Times New Roman"/>
                <w:sz w:val="24"/>
                <w:szCs w:val="24"/>
                <w:lang w:eastAsia="ru-RU"/>
              </w:rPr>
              <w:t>Питома вага атестованих лікарів педіатрів-неонатологів</w:t>
            </w:r>
          </w:p>
        </w:tc>
        <w:tc>
          <w:tcPr>
            <w:tcW w:w="968"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sz w:val="24"/>
                <w:szCs w:val="24"/>
                <w:lang w:eastAsia="ru-RU"/>
              </w:rPr>
            </w:pPr>
            <w:r w:rsidRPr="006D57A4">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color w:val="000000"/>
                <w:sz w:val="24"/>
                <w:szCs w:val="24"/>
                <w:lang w:eastAsia="ru-RU"/>
              </w:rPr>
            </w:pPr>
            <w:r w:rsidRPr="006D57A4">
              <w:rPr>
                <w:rFonts w:eastAsia="Times New Roman"/>
                <w:color w:val="000000"/>
                <w:sz w:val="24"/>
                <w:szCs w:val="24"/>
                <w:lang w:eastAsia="ru-RU"/>
              </w:rPr>
              <w:t>88,00</w:t>
            </w:r>
          </w:p>
        </w:tc>
        <w:tc>
          <w:tcPr>
            <w:tcW w:w="968"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sz w:val="24"/>
                <w:szCs w:val="24"/>
                <w:lang w:eastAsia="ru-RU"/>
              </w:rPr>
            </w:pPr>
            <w:r w:rsidRPr="006D57A4">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color w:val="000000"/>
                <w:sz w:val="24"/>
                <w:szCs w:val="24"/>
                <w:lang w:eastAsia="ru-RU"/>
              </w:rPr>
            </w:pPr>
            <w:r w:rsidRPr="006D57A4">
              <w:rPr>
                <w:rFonts w:eastAsia="Times New Roman"/>
                <w:color w:val="000000"/>
                <w:sz w:val="24"/>
                <w:szCs w:val="24"/>
                <w:lang w:eastAsia="ru-RU"/>
              </w:rPr>
              <w:t>6,0</w:t>
            </w:r>
          </w:p>
        </w:tc>
        <w:tc>
          <w:tcPr>
            <w:tcW w:w="968"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sz w:val="24"/>
                <w:szCs w:val="24"/>
                <w:lang w:eastAsia="ru-RU"/>
              </w:rPr>
            </w:pPr>
            <w:r w:rsidRPr="006D57A4">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color w:val="000000"/>
                <w:sz w:val="24"/>
                <w:szCs w:val="24"/>
                <w:lang w:eastAsia="ru-RU"/>
              </w:rPr>
            </w:pPr>
            <w:r w:rsidRPr="006D57A4">
              <w:rPr>
                <w:rFonts w:eastAsia="Times New Roman"/>
                <w:color w:val="000000"/>
                <w:sz w:val="24"/>
                <w:szCs w:val="24"/>
                <w:lang w:eastAsia="ru-RU"/>
              </w:rPr>
              <w:t>1,00</w:t>
            </w:r>
          </w:p>
        </w:tc>
      </w:tr>
      <w:tr w:rsidR="006D57A4" w:rsidRPr="006D57A4" w:rsidTr="006D57A4">
        <w:trPr>
          <w:trHeight w:val="218"/>
          <w:jc w:val="center"/>
        </w:trPr>
        <w:tc>
          <w:tcPr>
            <w:tcW w:w="4536"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left"/>
              <w:rPr>
                <w:rFonts w:eastAsia="Times New Roman"/>
                <w:sz w:val="24"/>
                <w:szCs w:val="24"/>
                <w:lang w:eastAsia="ru-RU"/>
              </w:rPr>
            </w:pPr>
            <w:r w:rsidRPr="006D57A4">
              <w:rPr>
                <w:rFonts w:eastAsia="Times New Roman"/>
                <w:sz w:val="24"/>
                <w:szCs w:val="24"/>
                <w:lang w:eastAsia="ru-RU"/>
              </w:rPr>
              <w:t xml:space="preserve">Своєчасність постановки на облік вагітних </w:t>
            </w:r>
          </w:p>
        </w:tc>
        <w:tc>
          <w:tcPr>
            <w:tcW w:w="968"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color w:val="000000"/>
                <w:sz w:val="24"/>
                <w:szCs w:val="24"/>
                <w:lang w:eastAsia="ru-RU"/>
              </w:rPr>
            </w:pPr>
            <w:r w:rsidRPr="006D57A4">
              <w:rPr>
                <w:rFonts w:eastAsia="Times New Roman"/>
                <w:color w:val="000000"/>
                <w:sz w:val="24"/>
                <w:szCs w:val="24"/>
                <w:lang w:eastAsia="ru-RU"/>
              </w:rPr>
              <w:t>92,79</w:t>
            </w:r>
          </w:p>
        </w:tc>
        <w:tc>
          <w:tcPr>
            <w:tcW w:w="969"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color w:val="000000"/>
                <w:sz w:val="24"/>
                <w:szCs w:val="24"/>
                <w:lang w:eastAsia="ru-RU"/>
              </w:rPr>
            </w:pPr>
            <w:r w:rsidRPr="006D57A4">
              <w:rPr>
                <w:rFonts w:eastAsia="Times New Roman"/>
                <w:color w:val="000000"/>
                <w:sz w:val="24"/>
                <w:szCs w:val="24"/>
                <w:lang w:eastAsia="ru-RU"/>
              </w:rPr>
              <w:t>93,70</w:t>
            </w:r>
          </w:p>
        </w:tc>
        <w:tc>
          <w:tcPr>
            <w:tcW w:w="968"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color w:val="000000"/>
                <w:sz w:val="24"/>
                <w:szCs w:val="24"/>
                <w:lang w:eastAsia="ru-RU"/>
              </w:rPr>
            </w:pPr>
            <w:r w:rsidRPr="006D57A4">
              <w:rPr>
                <w:rFonts w:eastAsia="Times New Roman"/>
                <w:color w:val="000000"/>
                <w:sz w:val="24"/>
                <w:szCs w:val="24"/>
                <w:lang w:eastAsia="ru-RU"/>
              </w:rPr>
              <w:t>6,84</w:t>
            </w:r>
          </w:p>
        </w:tc>
        <w:tc>
          <w:tcPr>
            <w:tcW w:w="969"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color w:val="000000"/>
                <w:sz w:val="24"/>
                <w:szCs w:val="24"/>
                <w:lang w:eastAsia="ru-RU"/>
              </w:rPr>
            </w:pPr>
            <w:r w:rsidRPr="006D57A4">
              <w:rPr>
                <w:rFonts w:eastAsia="Times New Roman"/>
                <w:color w:val="000000"/>
                <w:sz w:val="24"/>
                <w:szCs w:val="24"/>
                <w:lang w:eastAsia="ru-RU"/>
              </w:rPr>
              <w:t>6,91</w:t>
            </w:r>
          </w:p>
        </w:tc>
        <w:tc>
          <w:tcPr>
            <w:tcW w:w="968"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color w:val="000000"/>
                <w:sz w:val="24"/>
                <w:szCs w:val="24"/>
                <w:lang w:eastAsia="ru-RU"/>
              </w:rPr>
            </w:pPr>
            <w:r w:rsidRPr="006D57A4">
              <w:rPr>
                <w:rFonts w:eastAsia="Times New Roman"/>
                <w:color w:val="000000"/>
                <w:sz w:val="24"/>
                <w:szCs w:val="24"/>
                <w:lang w:eastAsia="ru-RU"/>
              </w:rPr>
              <w:t>0,98</w:t>
            </w:r>
          </w:p>
        </w:tc>
        <w:tc>
          <w:tcPr>
            <w:tcW w:w="969"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color w:val="000000"/>
                <w:sz w:val="24"/>
                <w:szCs w:val="24"/>
                <w:lang w:eastAsia="ru-RU"/>
              </w:rPr>
            </w:pPr>
            <w:r w:rsidRPr="006D57A4">
              <w:rPr>
                <w:rFonts w:eastAsia="Times New Roman"/>
                <w:color w:val="000000"/>
                <w:sz w:val="24"/>
                <w:szCs w:val="24"/>
                <w:lang w:eastAsia="ru-RU"/>
              </w:rPr>
              <w:t>0,99</w:t>
            </w:r>
          </w:p>
        </w:tc>
      </w:tr>
      <w:tr w:rsidR="006D57A4" w:rsidRPr="006D57A4" w:rsidTr="006D57A4">
        <w:trPr>
          <w:trHeight w:val="222"/>
          <w:jc w:val="center"/>
        </w:trPr>
        <w:tc>
          <w:tcPr>
            <w:tcW w:w="4536"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left"/>
              <w:rPr>
                <w:rFonts w:eastAsia="Times New Roman"/>
                <w:sz w:val="24"/>
                <w:szCs w:val="24"/>
                <w:lang w:eastAsia="ru-RU"/>
              </w:rPr>
            </w:pPr>
            <w:r w:rsidRPr="006D57A4">
              <w:rPr>
                <w:rFonts w:eastAsia="Times New Roman"/>
                <w:sz w:val="24"/>
                <w:szCs w:val="24"/>
                <w:lang w:eastAsia="ru-RU"/>
              </w:rPr>
              <w:t>Частота анемій вагітних</w:t>
            </w:r>
          </w:p>
        </w:tc>
        <w:tc>
          <w:tcPr>
            <w:tcW w:w="968"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color w:val="000000"/>
                <w:sz w:val="24"/>
                <w:szCs w:val="24"/>
                <w:lang w:eastAsia="ru-RU"/>
              </w:rPr>
            </w:pPr>
            <w:r w:rsidRPr="006D57A4">
              <w:rPr>
                <w:rFonts w:eastAsia="Times New Roman"/>
                <w:color w:val="000000"/>
                <w:sz w:val="24"/>
                <w:szCs w:val="24"/>
                <w:lang w:eastAsia="ru-RU"/>
              </w:rPr>
              <w:t>26,62</w:t>
            </w:r>
          </w:p>
        </w:tc>
        <w:tc>
          <w:tcPr>
            <w:tcW w:w="969"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color w:val="000000"/>
                <w:sz w:val="24"/>
                <w:szCs w:val="24"/>
                <w:lang w:eastAsia="ru-RU"/>
              </w:rPr>
            </w:pPr>
            <w:r w:rsidRPr="006D57A4">
              <w:rPr>
                <w:rFonts w:eastAsia="Times New Roman"/>
                <w:color w:val="000000"/>
                <w:sz w:val="24"/>
                <w:szCs w:val="24"/>
                <w:lang w:eastAsia="ru-RU"/>
              </w:rPr>
              <w:t>26,00</w:t>
            </w:r>
          </w:p>
        </w:tc>
        <w:tc>
          <w:tcPr>
            <w:tcW w:w="968"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color w:val="000000"/>
                <w:sz w:val="24"/>
                <w:szCs w:val="24"/>
                <w:lang w:eastAsia="ru-RU"/>
              </w:rPr>
            </w:pPr>
            <w:r w:rsidRPr="006D57A4">
              <w:rPr>
                <w:rFonts w:eastAsia="Times New Roman"/>
                <w:color w:val="000000"/>
                <w:sz w:val="24"/>
                <w:szCs w:val="24"/>
                <w:lang w:eastAsia="ru-RU"/>
              </w:rPr>
              <w:t>2,68</w:t>
            </w:r>
          </w:p>
        </w:tc>
        <w:tc>
          <w:tcPr>
            <w:tcW w:w="969"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color w:val="000000"/>
                <w:sz w:val="24"/>
                <w:szCs w:val="24"/>
                <w:lang w:eastAsia="ru-RU"/>
              </w:rPr>
            </w:pPr>
            <w:r w:rsidRPr="006D57A4">
              <w:rPr>
                <w:rFonts w:eastAsia="Times New Roman"/>
                <w:color w:val="000000"/>
                <w:sz w:val="24"/>
                <w:szCs w:val="24"/>
                <w:lang w:eastAsia="ru-RU"/>
              </w:rPr>
              <w:t>3,15</w:t>
            </w:r>
          </w:p>
        </w:tc>
        <w:tc>
          <w:tcPr>
            <w:tcW w:w="968"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color w:val="000000"/>
                <w:sz w:val="24"/>
                <w:szCs w:val="24"/>
                <w:lang w:eastAsia="ru-RU"/>
              </w:rPr>
            </w:pPr>
            <w:r w:rsidRPr="006D57A4">
              <w:rPr>
                <w:rFonts w:eastAsia="Times New Roman"/>
                <w:color w:val="000000"/>
                <w:sz w:val="24"/>
                <w:szCs w:val="24"/>
                <w:lang w:eastAsia="ru-RU"/>
              </w:rPr>
              <w:t>0,67</w:t>
            </w:r>
          </w:p>
        </w:tc>
        <w:tc>
          <w:tcPr>
            <w:tcW w:w="969"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color w:val="000000"/>
                <w:sz w:val="24"/>
                <w:szCs w:val="24"/>
                <w:lang w:eastAsia="ru-RU"/>
              </w:rPr>
            </w:pPr>
            <w:r w:rsidRPr="006D57A4">
              <w:rPr>
                <w:rFonts w:eastAsia="Times New Roman"/>
                <w:color w:val="000000"/>
                <w:sz w:val="24"/>
                <w:szCs w:val="24"/>
                <w:lang w:eastAsia="ru-RU"/>
              </w:rPr>
              <w:t>0,79</w:t>
            </w:r>
          </w:p>
        </w:tc>
      </w:tr>
      <w:tr w:rsidR="006D57A4" w:rsidRPr="006D57A4" w:rsidTr="006D57A4">
        <w:trPr>
          <w:trHeight w:val="319"/>
          <w:jc w:val="center"/>
        </w:trPr>
        <w:tc>
          <w:tcPr>
            <w:tcW w:w="4536"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left"/>
              <w:rPr>
                <w:rFonts w:eastAsia="Times New Roman"/>
                <w:sz w:val="24"/>
                <w:szCs w:val="24"/>
                <w:lang w:eastAsia="ru-RU"/>
              </w:rPr>
            </w:pPr>
            <w:r w:rsidRPr="006D57A4">
              <w:rPr>
                <w:rFonts w:eastAsia="Times New Roman"/>
                <w:sz w:val="24"/>
                <w:szCs w:val="24"/>
                <w:lang w:eastAsia="ru-RU"/>
              </w:rPr>
              <w:t>Частота прееклампсій та еклампсій вагітних</w:t>
            </w:r>
          </w:p>
        </w:tc>
        <w:tc>
          <w:tcPr>
            <w:tcW w:w="968"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color w:val="000000"/>
                <w:sz w:val="24"/>
                <w:szCs w:val="24"/>
                <w:lang w:eastAsia="ru-RU"/>
              </w:rPr>
            </w:pPr>
            <w:r w:rsidRPr="006D57A4">
              <w:rPr>
                <w:rFonts w:eastAsia="Times New Roman"/>
                <w:color w:val="000000"/>
                <w:sz w:val="24"/>
                <w:szCs w:val="24"/>
                <w:lang w:eastAsia="ru-RU"/>
              </w:rPr>
              <w:t>2,51</w:t>
            </w:r>
          </w:p>
        </w:tc>
        <w:tc>
          <w:tcPr>
            <w:tcW w:w="969"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color w:val="000000"/>
                <w:sz w:val="24"/>
                <w:szCs w:val="24"/>
                <w:lang w:eastAsia="ru-RU"/>
              </w:rPr>
            </w:pPr>
            <w:r w:rsidRPr="006D57A4">
              <w:rPr>
                <w:rFonts w:eastAsia="Times New Roman"/>
                <w:color w:val="000000"/>
                <w:sz w:val="24"/>
                <w:szCs w:val="24"/>
                <w:lang w:eastAsia="ru-RU"/>
              </w:rPr>
              <w:t>2,38</w:t>
            </w:r>
          </w:p>
        </w:tc>
        <w:tc>
          <w:tcPr>
            <w:tcW w:w="968"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color w:val="000000"/>
                <w:sz w:val="24"/>
                <w:szCs w:val="24"/>
                <w:lang w:eastAsia="ru-RU"/>
              </w:rPr>
            </w:pPr>
            <w:r w:rsidRPr="006D57A4">
              <w:rPr>
                <w:rFonts w:eastAsia="Times New Roman"/>
                <w:color w:val="000000"/>
                <w:sz w:val="24"/>
                <w:szCs w:val="24"/>
                <w:lang w:eastAsia="ru-RU"/>
              </w:rPr>
              <w:t>3,96</w:t>
            </w:r>
          </w:p>
        </w:tc>
        <w:tc>
          <w:tcPr>
            <w:tcW w:w="969"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color w:val="000000"/>
                <w:sz w:val="24"/>
                <w:szCs w:val="24"/>
                <w:lang w:eastAsia="ru-RU"/>
              </w:rPr>
            </w:pPr>
            <w:r w:rsidRPr="006D57A4">
              <w:rPr>
                <w:rFonts w:eastAsia="Times New Roman"/>
                <w:color w:val="000000"/>
                <w:sz w:val="24"/>
                <w:szCs w:val="24"/>
                <w:lang w:eastAsia="ru-RU"/>
              </w:rPr>
              <w:t>4,48</w:t>
            </w:r>
          </w:p>
        </w:tc>
        <w:tc>
          <w:tcPr>
            <w:tcW w:w="968"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color w:val="000000"/>
                <w:sz w:val="24"/>
                <w:szCs w:val="24"/>
                <w:lang w:eastAsia="ru-RU"/>
              </w:rPr>
            </w:pPr>
            <w:r w:rsidRPr="006D57A4">
              <w:rPr>
                <w:rFonts w:eastAsia="Times New Roman"/>
                <w:color w:val="000000"/>
                <w:sz w:val="24"/>
                <w:szCs w:val="24"/>
                <w:lang w:eastAsia="ru-RU"/>
              </w:rPr>
              <w:t>0,57</w:t>
            </w:r>
          </w:p>
        </w:tc>
        <w:tc>
          <w:tcPr>
            <w:tcW w:w="969"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color w:val="000000"/>
                <w:sz w:val="24"/>
                <w:szCs w:val="24"/>
                <w:lang w:eastAsia="ru-RU"/>
              </w:rPr>
            </w:pPr>
            <w:r w:rsidRPr="006D57A4">
              <w:rPr>
                <w:rFonts w:eastAsia="Times New Roman"/>
                <w:color w:val="000000"/>
                <w:sz w:val="24"/>
                <w:szCs w:val="24"/>
                <w:lang w:eastAsia="ru-RU"/>
              </w:rPr>
              <w:t>0,64</w:t>
            </w:r>
          </w:p>
        </w:tc>
      </w:tr>
      <w:tr w:rsidR="006D57A4" w:rsidRPr="006D57A4" w:rsidTr="006D57A4">
        <w:trPr>
          <w:trHeight w:val="284"/>
          <w:jc w:val="center"/>
        </w:trPr>
        <w:tc>
          <w:tcPr>
            <w:tcW w:w="4536"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left"/>
              <w:rPr>
                <w:rFonts w:eastAsia="Times New Roman"/>
                <w:sz w:val="24"/>
                <w:szCs w:val="24"/>
                <w:lang w:eastAsia="ru-RU"/>
              </w:rPr>
            </w:pPr>
            <w:r w:rsidRPr="006D57A4">
              <w:rPr>
                <w:rFonts w:eastAsia="Times New Roman"/>
                <w:sz w:val="24"/>
                <w:szCs w:val="24"/>
                <w:lang w:eastAsia="ru-RU"/>
              </w:rPr>
              <w:t>Співвідношення безпечних методів абортів до небезпечних</w:t>
            </w:r>
          </w:p>
        </w:tc>
        <w:tc>
          <w:tcPr>
            <w:tcW w:w="968"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color w:val="000000"/>
                <w:sz w:val="24"/>
                <w:szCs w:val="24"/>
                <w:lang w:eastAsia="ru-RU"/>
              </w:rPr>
            </w:pPr>
            <w:r w:rsidRPr="006D57A4">
              <w:rPr>
                <w:rFonts w:eastAsia="Times New Roman"/>
                <w:color w:val="000000"/>
                <w:sz w:val="24"/>
                <w:szCs w:val="24"/>
                <w:lang w:eastAsia="ru-RU"/>
              </w:rPr>
              <w:t>4,34</w:t>
            </w:r>
          </w:p>
        </w:tc>
        <w:tc>
          <w:tcPr>
            <w:tcW w:w="969"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color w:val="000000"/>
                <w:sz w:val="24"/>
                <w:szCs w:val="24"/>
                <w:lang w:eastAsia="ru-RU"/>
              </w:rPr>
            </w:pPr>
            <w:r w:rsidRPr="006D57A4">
              <w:rPr>
                <w:rFonts w:eastAsia="Times New Roman"/>
                <w:color w:val="000000"/>
                <w:sz w:val="24"/>
                <w:szCs w:val="24"/>
                <w:lang w:eastAsia="ru-RU"/>
              </w:rPr>
              <w:t>5,04</w:t>
            </w:r>
          </w:p>
        </w:tc>
        <w:tc>
          <w:tcPr>
            <w:tcW w:w="968"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color w:val="000000"/>
                <w:sz w:val="24"/>
                <w:szCs w:val="24"/>
                <w:lang w:eastAsia="ru-RU"/>
              </w:rPr>
            </w:pPr>
            <w:r w:rsidRPr="006D57A4">
              <w:rPr>
                <w:rFonts w:eastAsia="Times New Roman"/>
                <w:color w:val="000000"/>
                <w:sz w:val="24"/>
                <w:szCs w:val="24"/>
                <w:lang w:eastAsia="ru-RU"/>
              </w:rPr>
              <w:t>2,60</w:t>
            </w:r>
          </w:p>
        </w:tc>
        <w:tc>
          <w:tcPr>
            <w:tcW w:w="969"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color w:val="000000"/>
                <w:sz w:val="24"/>
                <w:szCs w:val="24"/>
                <w:lang w:eastAsia="ru-RU"/>
              </w:rPr>
            </w:pPr>
            <w:r w:rsidRPr="006D57A4">
              <w:rPr>
                <w:rFonts w:eastAsia="Times New Roman"/>
                <w:color w:val="000000"/>
                <w:sz w:val="24"/>
                <w:szCs w:val="24"/>
                <w:lang w:eastAsia="ru-RU"/>
              </w:rPr>
              <w:t>3,78</w:t>
            </w:r>
          </w:p>
        </w:tc>
        <w:tc>
          <w:tcPr>
            <w:tcW w:w="968"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color w:val="000000"/>
                <w:sz w:val="24"/>
                <w:szCs w:val="24"/>
                <w:lang w:eastAsia="ru-RU"/>
              </w:rPr>
            </w:pPr>
            <w:r w:rsidRPr="006D57A4">
              <w:rPr>
                <w:rFonts w:eastAsia="Times New Roman"/>
                <w:color w:val="000000"/>
                <w:sz w:val="24"/>
                <w:szCs w:val="24"/>
                <w:lang w:eastAsia="ru-RU"/>
              </w:rPr>
              <w:t>0,43</w:t>
            </w:r>
          </w:p>
        </w:tc>
        <w:tc>
          <w:tcPr>
            <w:tcW w:w="969"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color w:val="000000"/>
                <w:sz w:val="24"/>
                <w:szCs w:val="24"/>
                <w:lang w:eastAsia="ru-RU"/>
              </w:rPr>
            </w:pPr>
            <w:r w:rsidRPr="006D57A4">
              <w:rPr>
                <w:rFonts w:eastAsia="Times New Roman"/>
                <w:color w:val="000000"/>
                <w:sz w:val="24"/>
                <w:szCs w:val="24"/>
                <w:lang w:eastAsia="ru-RU"/>
              </w:rPr>
              <w:t>0,63</w:t>
            </w:r>
          </w:p>
        </w:tc>
      </w:tr>
      <w:tr w:rsidR="006D57A4" w:rsidRPr="006D57A4" w:rsidTr="006D57A4">
        <w:trPr>
          <w:trHeight w:val="340"/>
          <w:jc w:val="center"/>
        </w:trPr>
        <w:tc>
          <w:tcPr>
            <w:tcW w:w="4536" w:type="dxa"/>
            <w:tcBorders>
              <w:top w:val="single" w:sz="4" w:space="0" w:color="auto"/>
              <w:left w:val="single" w:sz="4" w:space="0" w:color="auto"/>
              <w:bottom w:val="single" w:sz="4" w:space="0" w:color="auto"/>
              <w:right w:val="single" w:sz="4" w:space="0" w:color="auto"/>
            </w:tcBorders>
          </w:tcPr>
          <w:p w:rsidR="006D57A4" w:rsidRPr="006D57A4" w:rsidRDefault="006D57A4" w:rsidP="006D57A4">
            <w:pPr>
              <w:keepNext/>
              <w:rPr>
                <w:rFonts w:eastAsia="Times New Roman"/>
                <w:color w:val="000000"/>
                <w:sz w:val="24"/>
                <w:szCs w:val="24"/>
                <w:lang w:eastAsia="uk-UA"/>
              </w:rPr>
            </w:pPr>
            <w:r w:rsidRPr="006D57A4">
              <w:rPr>
                <w:rFonts w:eastAsia="Times New Roman"/>
                <w:color w:val="000000"/>
                <w:sz w:val="24"/>
                <w:szCs w:val="24"/>
                <w:lang w:eastAsia="uk-UA"/>
              </w:rPr>
              <w:t>Індекс концентрації розродження вагітних з цукровим діабетом у ЗПД ІІІ рівня</w:t>
            </w:r>
          </w:p>
        </w:tc>
        <w:tc>
          <w:tcPr>
            <w:tcW w:w="968"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color w:val="000000"/>
                <w:sz w:val="24"/>
                <w:szCs w:val="24"/>
                <w:lang w:eastAsia="ru-RU"/>
              </w:rPr>
            </w:pPr>
            <w:r w:rsidRPr="006D57A4">
              <w:rPr>
                <w:rFonts w:eastAsia="Times New Roman"/>
                <w:color w:val="000000"/>
                <w:sz w:val="24"/>
                <w:szCs w:val="24"/>
                <w:lang w:eastAsia="ru-RU"/>
              </w:rPr>
              <w:t>85,51</w:t>
            </w:r>
          </w:p>
        </w:tc>
        <w:tc>
          <w:tcPr>
            <w:tcW w:w="969"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color w:val="000000"/>
                <w:sz w:val="24"/>
                <w:szCs w:val="24"/>
                <w:lang w:eastAsia="ru-RU"/>
              </w:rPr>
            </w:pPr>
            <w:r w:rsidRPr="006D57A4">
              <w:rPr>
                <w:rFonts w:eastAsia="Times New Roman"/>
                <w:color w:val="000000"/>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color w:val="000000"/>
                <w:sz w:val="24"/>
                <w:szCs w:val="24"/>
                <w:lang w:eastAsia="ru-RU"/>
              </w:rPr>
            </w:pPr>
            <w:r w:rsidRPr="006D57A4">
              <w:rPr>
                <w:rFonts w:eastAsia="Times New Roman"/>
                <w:color w:val="000000"/>
                <w:sz w:val="24"/>
                <w:szCs w:val="24"/>
                <w:lang w:eastAsia="ru-RU"/>
              </w:rPr>
              <w:t>7,00</w:t>
            </w:r>
          </w:p>
        </w:tc>
        <w:tc>
          <w:tcPr>
            <w:tcW w:w="969"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color w:val="000000"/>
                <w:sz w:val="24"/>
                <w:szCs w:val="24"/>
                <w:lang w:eastAsia="ru-RU"/>
              </w:rPr>
            </w:pPr>
            <w:r w:rsidRPr="006D57A4">
              <w:rPr>
                <w:rFonts w:eastAsia="Times New Roman"/>
                <w:color w:val="000000"/>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color w:val="000000"/>
                <w:sz w:val="24"/>
                <w:szCs w:val="24"/>
                <w:lang w:eastAsia="ru-RU"/>
              </w:rPr>
            </w:pPr>
            <w:r w:rsidRPr="006D57A4">
              <w:rPr>
                <w:rFonts w:eastAsia="Times New Roman"/>
                <w:color w:val="000000"/>
                <w:sz w:val="24"/>
                <w:szCs w:val="24"/>
                <w:lang w:eastAsia="ru-RU"/>
              </w:rPr>
              <w:t>1,00</w:t>
            </w:r>
          </w:p>
        </w:tc>
        <w:tc>
          <w:tcPr>
            <w:tcW w:w="969"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color w:val="000000"/>
                <w:sz w:val="24"/>
                <w:szCs w:val="24"/>
                <w:lang w:eastAsia="ru-RU"/>
              </w:rPr>
            </w:pPr>
            <w:r w:rsidRPr="006D57A4">
              <w:rPr>
                <w:rFonts w:eastAsia="Times New Roman"/>
                <w:color w:val="000000"/>
                <w:sz w:val="24"/>
                <w:szCs w:val="24"/>
                <w:lang w:eastAsia="ru-RU"/>
              </w:rPr>
              <w:t>**</w:t>
            </w:r>
          </w:p>
        </w:tc>
      </w:tr>
      <w:tr w:rsidR="006D57A4" w:rsidRPr="006D57A4" w:rsidTr="006D57A4">
        <w:trPr>
          <w:trHeight w:val="340"/>
          <w:jc w:val="center"/>
        </w:trPr>
        <w:tc>
          <w:tcPr>
            <w:tcW w:w="4536" w:type="dxa"/>
            <w:tcBorders>
              <w:top w:val="single" w:sz="4" w:space="0" w:color="auto"/>
              <w:left w:val="single" w:sz="4" w:space="0" w:color="auto"/>
              <w:bottom w:val="single" w:sz="4" w:space="0" w:color="auto"/>
              <w:right w:val="single" w:sz="4" w:space="0" w:color="auto"/>
            </w:tcBorders>
          </w:tcPr>
          <w:p w:rsidR="006D57A4" w:rsidRPr="006D57A4" w:rsidRDefault="006D57A4" w:rsidP="006D57A4">
            <w:pPr>
              <w:keepNext/>
              <w:rPr>
                <w:rFonts w:eastAsia="Times New Roman"/>
                <w:color w:val="000000"/>
                <w:sz w:val="24"/>
                <w:szCs w:val="24"/>
                <w:lang w:eastAsia="uk-UA"/>
              </w:rPr>
            </w:pPr>
            <w:r w:rsidRPr="006D57A4">
              <w:rPr>
                <w:rFonts w:eastAsia="Times New Roman"/>
                <w:color w:val="000000"/>
                <w:sz w:val="24"/>
                <w:szCs w:val="24"/>
                <w:lang w:eastAsia="uk-UA"/>
              </w:rPr>
              <w:t>Індекс концентрації розродження вагітних з  пре- еклампсією і еклампсією  у ЗПД ІІ-ІІІ рівнів</w:t>
            </w:r>
          </w:p>
        </w:tc>
        <w:tc>
          <w:tcPr>
            <w:tcW w:w="968"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color w:val="000000"/>
                <w:sz w:val="24"/>
                <w:szCs w:val="24"/>
                <w:lang w:eastAsia="ru-RU"/>
              </w:rPr>
            </w:pPr>
            <w:r w:rsidRPr="006D57A4">
              <w:rPr>
                <w:rFonts w:eastAsia="Times New Roman"/>
                <w:color w:val="000000"/>
                <w:sz w:val="24"/>
                <w:szCs w:val="24"/>
                <w:lang w:eastAsia="ru-RU"/>
              </w:rPr>
              <w:t>90,48</w:t>
            </w:r>
          </w:p>
        </w:tc>
        <w:tc>
          <w:tcPr>
            <w:tcW w:w="969"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color w:val="000000"/>
                <w:sz w:val="24"/>
                <w:szCs w:val="24"/>
                <w:lang w:eastAsia="ru-RU"/>
              </w:rPr>
            </w:pPr>
            <w:r w:rsidRPr="006D57A4">
              <w:rPr>
                <w:rFonts w:eastAsia="Times New Roman"/>
                <w:color w:val="000000"/>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color w:val="000000"/>
                <w:sz w:val="24"/>
                <w:szCs w:val="24"/>
                <w:lang w:eastAsia="ru-RU"/>
              </w:rPr>
            </w:pPr>
            <w:r w:rsidRPr="006D57A4">
              <w:rPr>
                <w:rFonts w:eastAsia="Times New Roman"/>
                <w:color w:val="000000"/>
                <w:sz w:val="24"/>
                <w:szCs w:val="24"/>
                <w:lang w:eastAsia="ru-RU"/>
              </w:rPr>
              <w:t>7,00</w:t>
            </w:r>
          </w:p>
        </w:tc>
        <w:tc>
          <w:tcPr>
            <w:tcW w:w="969"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color w:val="000000"/>
                <w:sz w:val="24"/>
                <w:szCs w:val="24"/>
                <w:lang w:eastAsia="ru-RU"/>
              </w:rPr>
            </w:pPr>
            <w:r w:rsidRPr="006D57A4">
              <w:rPr>
                <w:rFonts w:eastAsia="Times New Roman"/>
                <w:color w:val="000000"/>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color w:val="000000"/>
                <w:sz w:val="24"/>
                <w:szCs w:val="24"/>
                <w:lang w:eastAsia="ru-RU"/>
              </w:rPr>
            </w:pPr>
            <w:r w:rsidRPr="006D57A4">
              <w:rPr>
                <w:rFonts w:eastAsia="Times New Roman"/>
                <w:color w:val="000000"/>
                <w:sz w:val="24"/>
                <w:szCs w:val="24"/>
                <w:lang w:eastAsia="ru-RU"/>
              </w:rPr>
              <w:t>1,00</w:t>
            </w:r>
          </w:p>
        </w:tc>
        <w:tc>
          <w:tcPr>
            <w:tcW w:w="969"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color w:val="000000"/>
                <w:sz w:val="24"/>
                <w:szCs w:val="24"/>
                <w:lang w:eastAsia="ru-RU"/>
              </w:rPr>
            </w:pPr>
            <w:r w:rsidRPr="006D57A4">
              <w:rPr>
                <w:rFonts w:eastAsia="Times New Roman"/>
                <w:color w:val="000000"/>
                <w:sz w:val="24"/>
                <w:szCs w:val="24"/>
                <w:lang w:eastAsia="ru-RU"/>
              </w:rPr>
              <w:t>**</w:t>
            </w:r>
          </w:p>
        </w:tc>
      </w:tr>
      <w:tr w:rsidR="006D57A4" w:rsidRPr="006D57A4" w:rsidTr="006D57A4">
        <w:trPr>
          <w:trHeight w:val="340"/>
          <w:jc w:val="center"/>
        </w:trPr>
        <w:tc>
          <w:tcPr>
            <w:tcW w:w="4536" w:type="dxa"/>
            <w:tcBorders>
              <w:top w:val="single" w:sz="4" w:space="0" w:color="auto"/>
              <w:left w:val="single" w:sz="4" w:space="0" w:color="auto"/>
              <w:bottom w:val="single" w:sz="4" w:space="0" w:color="auto"/>
              <w:right w:val="single" w:sz="4" w:space="0" w:color="auto"/>
            </w:tcBorders>
          </w:tcPr>
          <w:p w:rsidR="006D57A4" w:rsidRPr="006D57A4" w:rsidRDefault="006D57A4" w:rsidP="006D57A4">
            <w:pPr>
              <w:keepNext/>
              <w:rPr>
                <w:rFonts w:eastAsia="Times New Roman"/>
                <w:color w:val="000000"/>
                <w:sz w:val="24"/>
                <w:szCs w:val="24"/>
                <w:lang w:eastAsia="uk-UA"/>
              </w:rPr>
            </w:pPr>
            <w:r w:rsidRPr="006D57A4">
              <w:rPr>
                <w:rFonts w:eastAsia="Times New Roman"/>
                <w:color w:val="000000"/>
                <w:sz w:val="24"/>
                <w:szCs w:val="24"/>
                <w:lang w:eastAsia="uk-UA"/>
              </w:rPr>
              <w:t>Індекс концентрації новонароджених масою тіла при народженні 500-1499г у ЗПД ІІІ рівня</w:t>
            </w:r>
          </w:p>
        </w:tc>
        <w:tc>
          <w:tcPr>
            <w:tcW w:w="968"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color w:val="000000"/>
                <w:sz w:val="24"/>
                <w:szCs w:val="24"/>
                <w:lang w:eastAsia="ru-RU"/>
              </w:rPr>
            </w:pPr>
            <w:r w:rsidRPr="006D57A4">
              <w:rPr>
                <w:rFonts w:eastAsia="Times New Roman"/>
                <w:color w:val="000000"/>
                <w:sz w:val="24"/>
                <w:szCs w:val="24"/>
                <w:lang w:eastAsia="ru-RU"/>
              </w:rPr>
              <w:t>54,44</w:t>
            </w:r>
          </w:p>
        </w:tc>
        <w:tc>
          <w:tcPr>
            <w:tcW w:w="969"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color w:val="000000"/>
                <w:sz w:val="24"/>
                <w:szCs w:val="24"/>
                <w:lang w:eastAsia="ru-RU"/>
              </w:rPr>
            </w:pPr>
            <w:r w:rsidRPr="006D57A4">
              <w:rPr>
                <w:rFonts w:eastAsia="Times New Roman"/>
                <w:color w:val="000000"/>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color w:val="000000"/>
                <w:sz w:val="24"/>
                <w:szCs w:val="24"/>
                <w:lang w:eastAsia="ru-RU"/>
              </w:rPr>
            </w:pPr>
            <w:r w:rsidRPr="006D57A4">
              <w:rPr>
                <w:rFonts w:eastAsia="Times New Roman"/>
                <w:color w:val="000000"/>
                <w:sz w:val="24"/>
                <w:szCs w:val="24"/>
                <w:lang w:eastAsia="ru-RU"/>
              </w:rPr>
              <w:t>4,08</w:t>
            </w:r>
          </w:p>
        </w:tc>
        <w:tc>
          <w:tcPr>
            <w:tcW w:w="969"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color w:val="000000"/>
                <w:sz w:val="24"/>
                <w:szCs w:val="24"/>
                <w:lang w:eastAsia="ru-RU"/>
              </w:rPr>
            </w:pPr>
            <w:r w:rsidRPr="006D57A4">
              <w:rPr>
                <w:rFonts w:eastAsia="Times New Roman"/>
                <w:color w:val="000000"/>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color w:val="000000"/>
                <w:sz w:val="24"/>
                <w:szCs w:val="24"/>
                <w:lang w:eastAsia="ru-RU"/>
              </w:rPr>
            </w:pPr>
            <w:r w:rsidRPr="006D57A4">
              <w:rPr>
                <w:rFonts w:eastAsia="Times New Roman"/>
                <w:color w:val="000000"/>
                <w:sz w:val="24"/>
                <w:szCs w:val="24"/>
                <w:lang w:eastAsia="ru-RU"/>
              </w:rPr>
              <w:t>0,68</w:t>
            </w:r>
          </w:p>
        </w:tc>
        <w:tc>
          <w:tcPr>
            <w:tcW w:w="969"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color w:val="000000"/>
                <w:sz w:val="24"/>
                <w:szCs w:val="24"/>
                <w:lang w:eastAsia="ru-RU"/>
              </w:rPr>
            </w:pPr>
            <w:r w:rsidRPr="006D57A4">
              <w:rPr>
                <w:rFonts w:eastAsia="Times New Roman"/>
                <w:color w:val="000000"/>
                <w:sz w:val="24"/>
                <w:szCs w:val="24"/>
                <w:lang w:eastAsia="ru-RU"/>
              </w:rPr>
              <w:t>**</w:t>
            </w:r>
          </w:p>
        </w:tc>
      </w:tr>
      <w:tr w:rsidR="006D57A4" w:rsidRPr="006D57A4" w:rsidTr="006D57A4">
        <w:trPr>
          <w:trHeight w:val="324"/>
          <w:jc w:val="center"/>
        </w:trPr>
        <w:tc>
          <w:tcPr>
            <w:tcW w:w="4536" w:type="dxa"/>
            <w:tcBorders>
              <w:top w:val="single" w:sz="4" w:space="0" w:color="auto"/>
              <w:left w:val="single" w:sz="4" w:space="0" w:color="auto"/>
              <w:bottom w:val="single" w:sz="4" w:space="0" w:color="auto"/>
              <w:right w:val="single" w:sz="4" w:space="0" w:color="auto"/>
            </w:tcBorders>
            <w:vAlign w:val="bottom"/>
          </w:tcPr>
          <w:p w:rsidR="006D57A4" w:rsidRPr="006D57A4" w:rsidRDefault="006D57A4" w:rsidP="006D57A4">
            <w:pPr>
              <w:keepNext/>
              <w:jc w:val="left"/>
              <w:rPr>
                <w:rFonts w:eastAsia="Times New Roman"/>
                <w:sz w:val="24"/>
                <w:szCs w:val="24"/>
                <w:lang w:eastAsia="ru-RU"/>
              </w:rPr>
            </w:pPr>
            <w:r w:rsidRPr="006D57A4">
              <w:rPr>
                <w:rFonts w:eastAsia="Times New Roman"/>
                <w:sz w:val="24"/>
                <w:szCs w:val="24"/>
                <w:lang w:eastAsia="ru-RU"/>
              </w:rPr>
              <w:t>Індекс неонатального трансферу</w:t>
            </w:r>
          </w:p>
        </w:tc>
        <w:tc>
          <w:tcPr>
            <w:tcW w:w="968"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sz w:val="24"/>
                <w:szCs w:val="24"/>
                <w:lang w:eastAsia="ru-RU"/>
              </w:rPr>
            </w:pPr>
            <w:r w:rsidRPr="006D57A4">
              <w:rPr>
                <w:rFonts w:eastAsia="Times New Roman"/>
                <w:sz w:val="24"/>
                <w:szCs w:val="24"/>
                <w:lang w:eastAsia="ru-RU"/>
              </w:rPr>
              <w:t>5,89</w:t>
            </w:r>
          </w:p>
        </w:tc>
        <w:tc>
          <w:tcPr>
            <w:tcW w:w="969"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color w:val="000000"/>
                <w:sz w:val="24"/>
                <w:szCs w:val="24"/>
                <w:lang w:eastAsia="ru-RU"/>
              </w:rPr>
            </w:pPr>
            <w:r w:rsidRPr="006D57A4">
              <w:rPr>
                <w:rFonts w:eastAsia="Times New Roman"/>
                <w:color w:val="000000"/>
                <w:sz w:val="24"/>
                <w:szCs w:val="24"/>
                <w:lang w:eastAsia="ru-RU"/>
              </w:rPr>
              <w:t>6,09</w:t>
            </w:r>
          </w:p>
        </w:tc>
        <w:tc>
          <w:tcPr>
            <w:tcW w:w="968"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sz w:val="24"/>
                <w:szCs w:val="24"/>
                <w:lang w:eastAsia="ru-RU"/>
              </w:rPr>
            </w:pPr>
            <w:r w:rsidRPr="006D57A4">
              <w:rPr>
                <w:rFonts w:eastAsia="Times New Roman"/>
                <w:sz w:val="24"/>
                <w:szCs w:val="24"/>
                <w:lang w:eastAsia="ru-RU"/>
              </w:rPr>
              <w:t>3,69</w:t>
            </w:r>
          </w:p>
        </w:tc>
        <w:tc>
          <w:tcPr>
            <w:tcW w:w="969"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color w:val="000000"/>
                <w:sz w:val="24"/>
                <w:szCs w:val="24"/>
                <w:lang w:eastAsia="ru-RU"/>
              </w:rPr>
            </w:pPr>
            <w:r w:rsidRPr="006D57A4">
              <w:rPr>
                <w:rFonts w:eastAsia="Times New Roman"/>
                <w:color w:val="000000"/>
                <w:sz w:val="24"/>
                <w:szCs w:val="24"/>
                <w:lang w:eastAsia="ru-RU"/>
              </w:rPr>
              <w:t>5,47</w:t>
            </w:r>
          </w:p>
        </w:tc>
        <w:tc>
          <w:tcPr>
            <w:tcW w:w="968"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sz w:val="24"/>
                <w:szCs w:val="24"/>
                <w:lang w:eastAsia="ru-RU"/>
              </w:rPr>
            </w:pPr>
            <w:r w:rsidRPr="006D57A4">
              <w:rPr>
                <w:rFonts w:eastAsia="Times New Roman"/>
                <w:sz w:val="24"/>
                <w:szCs w:val="24"/>
                <w:lang w:eastAsia="ru-RU"/>
              </w:rPr>
              <w:t>0,53</w:t>
            </w:r>
          </w:p>
        </w:tc>
        <w:tc>
          <w:tcPr>
            <w:tcW w:w="969"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color w:val="000000"/>
                <w:sz w:val="24"/>
                <w:szCs w:val="24"/>
                <w:lang w:eastAsia="ru-RU"/>
              </w:rPr>
            </w:pPr>
            <w:r w:rsidRPr="006D57A4">
              <w:rPr>
                <w:rFonts w:eastAsia="Times New Roman"/>
                <w:color w:val="000000"/>
                <w:sz w:val="24"/>
                <w:szCs w:val="24"/>
                <w:lang w:eastAsia="ru-RU"/>
              </w:rPr>
              <w:t>0,78</w:t>
            </w:r>
          </w:p>
        </w:tc>
      </w:tr>
    </w:tbl>
    <w:p w:rsidR="00C51ECA" w:rsidRPr="004B24A2" w:rsidRDefault="00C51ECA" w:rsidP="00C51ECA">
      <w:pPr>
        <w:rPr>
          <w:i/>
          <w:sz w:val="20"/>
          <w:szCs w:val="20"/>
        </w:rPr>
      </w:pPr>
      <w:r>
        <w:rPr>
          <w:i/>
          <w:lang w:val="ru-RU"/>
        </w:rPr>
        <w:tab/>
      </w:r>
      <w:r w:rsidRPr="004B24A2">
        <w:rPr>
          <w:i/>
          <w:sz w:val="20"/>
          <w:szCs w:val="20"/>
        </w:rPr>
        <w:t>Для таблиць : * – показник не оцінювався</w:t>
      </w:r>
      <w:r w:rsidRPr="004B24A2">
        <w:rPr>
          <w:i/>
          <w:sz w:val="20"/>
          <w:szCs w:val="20"/>
          <w:lang w:val="ru-RU"/>
        </w:rPr>
        <w:t xml:space="preserve">  </w:t>
      </w:r>
      <w:r w:rsidRPr="004B24A2">
        <w:rPr>
          <w:i/>
          <w:sz w:val="20"/>
          <w:szCs w:val="20"/>
        </w:rPr>
        <w:t>** – немає даних</w:t>
      </w:r>
    </w:p>
    <w:p w:rsidR="006D57A4" w:rsidRPr="00C51ECA" w:rsidRDefault="006D57A4" w:rsidP="00C51ECA">
      <w:pPr>
        <w:tabs>
          <w:tab w:val="left" w:pos="274"/>
        </w:tabs>
        <w:rPr>
          <w:i/>
        </w:rPr>
      </w:pPr>
    </w:p>
    <w:tbl>
      <w:tblPr>
        <w:tblpPr w:leftFromText="180" w:rightFromText="180" w:vertAnchor="text" w:horzAnchor="margin" w:tblpY="799"/>
        <w:tblW w:w="103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36"/>
        <w:gridCol w:w="968"/>
        <w:gridCol w:w="969"/>
        <w:gridCol w:w="968"/>
        <w:gridCol w:w="969"/>
        <w:gridCol w:w="968"/>
        <w:gridCol w:w="969"/>
      </w:tblGrid>
      <w:tr w:rsidR="006D57A4" w:rsidRPr="006D57A4" w:rsidTr="006D57A4">
        <w:trPr>
          <w:trHeight w:val="600"/>
        </w:trPr>
        <w:tc>
          <w:tcPr>
            <w:tcW w:w="4536" w:type="dxa"/>
            <w:tcBorders>
              <w:top w:val="single" w:sz="4" w:space="0" w:color="auto"/>
              <w:left w:val="single" w:sz="4" w:space="0" w:color="auto"/>
              <w:bottom w:val="single" w:sz="4" w:space="0" w:color="auto"/>
              <w:right w:val="single" w:sz="4" w:space="0" w:color="auto"/>
            </w:tcBorders>
            <w:vAlign w:val="bottom"/>
          </w:tcPr>
          <w:p w:rsidR="006D57A4" w:rsidRPr="006D57A4" w:rsidRDefault="006D57A4" w:rsidP="006D57A4">
            <w:pPr>
              <w:keepNext/>
              <w:jc w:val="left"/>
              <w:rPr>
                <w:rFonts w:eastAsia="Times New Roman"/>
                <w:sz w:val="24"/>
                <w:szCs w:val="24"/>
                <w:lang w:eastAsia="ru-RU"/>
              </w:rPr>
            </w:pPr>
            <w:r w:rsidRPr="006D57A4">
              <w:rPr>
                <w:rFonts w:eastAsia="Times New Roman"/>
                <w:sz w:val="24"/>
                <w:szCs w:val="24"/>
                <w:lang w:eastAsia="ru-RU"/>
              </w:rPr>
              <w:lastRenderedPageBreak/>
              <w:t>Питома вага хворих виявлення в ранніх стадіях (І – ІІ) серед хворих з вперше встановленим діагнозом онкологія молочної залози</w:t>
            </w:r>
          </w:p>
        </w:tc>
        <w:tc>
          <w:tcPr>
            <w:tcW w:w="968"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sz w:val="24"/>
                <w:szCs w:val="24"/>
                <w:lang w:eastAsia="ru-RU"/>
              </w:rPr>
            </w:pPr>
            <w:r w:rsidRPr="006D57A4">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color w:val="000000"/>
                <w:sz w:val="24"/>
                <w:szCs w:val="24"/>
                <w:lang w:eastAsia="ru-RU"/>
              </w:rPr>
            </w:pPr>
            <w:r w:rsidRPr="006D57A4">
              <w:rPr>
                <w:rFonts w:eastAsia="Times New Roman"/>
                <w:color w:val="000000"/>
                <w:sz w:val="24"/>
                <w:szCs w:val="24"/>
                <w:lang w:eastAsia="ru-RU"/>
              </w:rPr>
              <w:t>62,70</w:t>
            </w:r>
          </w:p>
        </w:tc>
        <w:tc>
          <w:tcPr>
            <w:tcW w:w="968"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sz w:val="24"/>
                <w:szCs w:val="24"/>
                <w:lang w:eastAsia="ru-RU"/>
              </w:rPr>
            </w:pPr>
            <w:r w:rsidRPr="006D57A4">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color w:val="000000"/>
                <w:sz w:val="24"/>
                <w:szCs w:val="24"/>
                <w:lang w:eastAsia="ru-RU"/>
              </w:rPr>
            </w:pPr>
            <w:r w:rsidRPr="006D57A4">
              <w:rPr>
                <w:rFonts w:eastAsia="Times New Roman"/>
                <w:color w:val="000000"/>
                <w:sz w:val="24"/>
                <w:szCs w:val="24"/>
                <w:lang w:eastAsia="ru-RU"/>
              </w:rPr>
              <w:t>4,79</w:t>
            </w:r>
          </w:p>
        </w:tc>
        <w:tc>
          <w:tcPr>
            <w:tcW w:w="968"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sz w:val="24"/>
                <w:szCs w:val="24"/>
                <w:lang w:eastAsia="ru-RU"/>
              </w:rPr>
            </w:pPr>
            <w:r w:rsidRPr="006D57A4">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color w:val="000000"/>
                <w:sz w:val="24"/>
                <w:szCs w:val="24"/>
                <w:lang w:eastAsia="ru-RU"/>
              </w:rPr>
            </w:pPr>
            <w:r w:rsidRPr="006D57A4">
              <w:rPr>
                <w:rFonts w:eastAsia="Times New Roman"/>
                <w:color w:val="000000"/>
                <w:sz w:val="24"/>
                <w:szCs w:val="24"/>
                <w:lang w:eastAsia="ru-RU"/>
              </w:rPr>
              <w:t>0,80</w:t>
            </w:r>
          </w:p>
        </w:tc>
      </w:tr>
      <w:tr w:rsidR="006D57A4" w:rsidRPr="006D57A4" w:rsidTr="006D57A4">
        <w:trPr>
          <w:trHeight w:val="605"/>
        </w:trPr>
        <w:tc>
          <w:tcPr>
            <w:tcW w:w="4536" w:type="dxa"/>
            <w:tcBorders>
              <w:top w:val="single" w:sz="4" w:space="0" w:color="auto"/>
              <w:left w:val="single" w:sz="4" w:space="0" w:color="auto"/>
              <w:bottom w:val="single" w:sz="4" w:space="0" w:color="auto"/>
              <w:right w:val="single" w:sz="4" w:space="0" w:color="auto"/>
            </w:tcBorders>
            <w:vAlign w:val="bottom"/>
          </w:tcPr>
          <w:p w:rsidR="006D57A4" w:rsidRPr="006D57A4" w:rsidRDefault="006D57A4" w:rsidP="006D57A4">
            <w:pPr>
              <w:keepNext/>
              <w:jc w:val="left"/>
              <w:rPr>
                <w:rFonts w:eastAsia="Times New Roman"/>
                <w:sz w:val="24"/>
                <w:szCs w:val="24"/>
                <w:lang w:eastAsia="ru-RU"/>
              </w:rPr>
            </w:pPr>
            <w:r w:rsidRPr="006D57A4">
              <w:rPr>
                <w:rFonts w:eastAsia="Times New Roman"/>
                <w:sz w:val="24"/>
                <w:szCs w:val="24"/>
                <w:lang w:eastAsia="ru-RU"/>
              </w:rPr>
              <w:t>Питома вага хворих виявлення в ранніх стадіях (І – ІІ) серед хворих з вперше встановленим діагнозом онкологія шийки матки</w:t>
            </w:r>
          </w:p>
        </w:tc>
        <w:tc>
          <w:tcPr>
            <w:tcW w:w="968"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sz w:val="24"/>
                <w:szCs w:val="24"/>
                <w:lang w:eastAsia="ru-RU"/>
              </w:rPr>
            </w:pPr>
            <w:r w:rsidRPr="006D57A4">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color w:val="000000"/>
                <w:sz w:val="24"/>
                <w:szCs w:val="24"/>
                <w:lang w:eastAsia="ru-RU"/>
              </w:rPr>
            </w:pPr>
            <w:r w:rsidRPr="006D57A4">
              <w:rPr>
                <w:rFonts w:eastAsia="Times New Roman"/>
                <w:color w:val="000000"/>
                <w:sz w:val="24"/>
                <w:szCs w:val="24"/>
                <w:lang w:eastAsia="ru-RU"/>
              </w:rPr>
              <w:t>58,30</w:t>
            </w:r>
          </w:p>
        </w:tc>
        <w:tc>
          <w:tcPr>
            <w:tcW w:w="968"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sz w:val="24"/>
                <w:szCs w:val="24"/>
                <w:lang w:eastAsia="ru-RU"/>
              </w:rPr>
            </w:pPr>
            <w:r w:rsidRPr="006D57A4">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color w:val="000000"/>
                <w:sz w:val="24"/>
                <w:szCs w:val="24"/>
                <w:lang w:eastAsia="ru-RU"/>
              </w:rPr>
            </w:pPr>
            <w:r w:rsidRPr="006D57A4">
              <w:rPr>
                <w:rFonts w:eastAsia="Times New Roman"/>
                <w:color w:val="000000"/>
                <w:sz w:val="24"/>
                <w:szCs w:val="24"/>
                <w:lang w:eastAsia="ru-RU"/>
              </w:rPr>
              <w:t>4,48</w:t>
            </w:r>
          </w:p>
        </w:tc>
        <w:tc>
          <w:tcPr>
            <w:tcW w:w="968"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sz w:val="24"/>
                <w:szCs w:val="24"/>
                <w:lang w:eastAsia="ru-RU"/>
              </w:rPr>
            </w:pPr>
            <w:r w:rsidRPr="006D57A4">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color w:val="000000"/>
                <w:sz w:val="24"/>
                <w:szCs w:val="24"/>
                <w:lang w:eastAsia="ru-RU"/>
              </w:rPr>
            </w:pPr>
            <w:r w:rsidRPr="006D57A4">
              <w:rPr>
                <w:rFonts w:eastAsia="Times New Roman"/>
                <w:color w:val="000000"/>
                <w:sz w:val="24"/>
                <w:szCs w:val="24"/>
                <w:lang w:eastAsia="ru-RU"/>
              </w:rPr>
              <w:t>0,75</w:t>
            </w:r>
          </w:p>
        </w:tc>
      </w:tr>
      <w:tr w:rsidR="006D57A4" w:rsidRPr="006D57A4" w:rsidTr="006D57A4">
        <w:trPr>
          <w:trHeight w:val="216"/>
        </w:trPr>
        <w:tc>
          <w:tcPr>
            <w:tcW w:w="4536"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left"/>
              <w:rPr>
                <w:rFonts w:eastAsia="Times New Roman"/>
                <w:sz w:val="24"/>
                <w:szCs w:val="24"/>
                <w:lang w:eastAsia="ru-RU"/>
              </w:rPr>
            </w:pPr>
            <w:r w:rsidRPr="006D57A4">
              <w:rPr>
                <w:rFonts w:eastAsia="Times New Roman"/>
                <w:sz w:val="24"/>
                <w:szCs w:val="24"/>
                <w:lang w:eastAsia="ru-RU"/>
              </w:rPr>
              <w:t>Частота нормальних пологів</w:t>
            </w:r>
          </w:p>
        </w:tc>
        <w:tc>
          <w:tcPr>
            <w:tcW w:w="968"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color w:val="000000"/>
                <w:sz w:val="24"/>
                <w:szCs w:val="24"/>
                <w:lang w:eastAsia="ru-RU"/>
              </w:rPr>
            </w:pPr>
            <w:r w:rsidRPr="006D57A4">
              <w:rPr>
                <w:rFonts w:eastAsia="Times New Roman"/>
                <w:color w:val="000000"/>
                <w:sz w:val="24"/>
                <w:szCs w:val="24"/>
                <w:lang w:eastAsia="ru-RU"/>
              </w:rPr>
              <w:t>61,85</w:t>
            </w:r>
          </w:p>
        </w:tc>
        <w:tc>
          <w:tcPr>
            <w:tcW w:w="969"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color w:val="000000"/>
                <w:sz w:val="24"/>
                <w:szCs w:val="24"/>
                <w:lang w:eastAsia="ru-RU"/>
              </w:rPr>
            </w:pPr>
            <w:r w:rsidRPr="006D57A4">
              <w:rPr>
                <w:rFonts w:eastAsia="Times New Roman"/>
                <w:color w:val="000000"/>
                <w:sz w:val="24"/>
                <w:szCs w:val="24"/>
                <w:lang w:eastAsia="ru-RU"/>
              </w:rPr>
              <w:t>61,38</w:t>
            </w:r>
          </w:p>
        </w:tc>
        <w:tc>
          <w:tcPr>
            <w:tcW w:w="968"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color w:val="000000"/>
                <w:sz w:val="24"/>
                <w:szCs w:val="24"/>
                <w:lang w:eastAsia="ru-RU"/>
              </w:rPr>
            </w:pPr>
            <w:r w:rsidRPr="006D57A4">
              <w:rPr>
                <w:rFonts w:eastAsia="Times New Roman"/>
                <w:color w:val="000000"/>
                <w:sz w:val="24"/>
                <w:szCs w:val="24"/>
                <w:lang w:eastAsia="ru-RU"/>
              </w:rPr>
              <w:t>4,42</w:t>
            </w:r>
          </w:p>
        </w:tc>
        <w:tc>
          <w:tcPr>
            <w:tcW w:w="969"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color w:val="000000"/>
                <w:sz w:val="24"/>
                <w:szCs w:val="24"/>
                <w:lang w:eastAsia="ru-RU"/>
              </w:rPr>
            </w:pPr>
            <w:r w:rsidRPr="006D57A4">
              <w:rPr>
                <w:rFonts w:eastAsia="Times New Roman"/>
                <w:color w:val="000000"/>
                <w:sz w:val="24"/>
                <w:szCs w:val="24"/>
                <w:lang w:eastAsia="ru-RU"/>
              </w:rPr>
              <w:t>4,61</w:t>
            </w:r>
          </w:p>
        </w:tc>
        <w:tc>
          <w:tcPr>
            <w:tcW w:w="968"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color w:val="000000"/>
                <w:sz w:val="24"/>
                <w:szCs w:val="24"/>
                <w:lang w:eastAsia="ru-RU"/>
              </w:rPr>
            </w:pPr>
            <w:r w:rsidRPr="006D57A4">
              <w:rPr>
                <w:rFonts w:eastAsia="Times New Roman"/>
                <w:color w:val="000000"/>
                <w:sz w:val="24"/>
                <w:szCs w:val="24"/>
                <w:lang w:eastAsia="ru-RU"/>
              </w:rPr>
              <w:t>0,88</w:t>
            </w:r>
          </w:p>
        </w:tc>
        <w:tc>
          <w:tcPr>
            <w:tcW w:w="969"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color w:val="000000"/>
                <w:sz w:val="24"/>
                <w:szCs w:val="24"/>
                <w:lang w:eastAsia="ru-RU"/>
              </w:rPr>
            </w:pPr>
            <w:r w:rsidRPr="006D57A4">
              <w:rPr>
                <w:rFonts w:eastAsia="Times New Roman"/>
                <w:color w:val="000000"/>
                <w:sz w:val="24"/>
                <w:szCs w:val="24"/>
                <w:lang w:eastAsia="ru-RU"/>
              </w:rPr>
              <w:t>0,92</w:t>
            </w:r>
          </w:p>
        </w:tc>
      </w:tr>
      <w:tr w:rsidR="006D57A4" w:rsidRPr="006D57A4" w:rsidTr="006D57A4">
        <w:trPr>
          <w:trHeight w:val="518"/>
        </w:trPr>
        <w:tc>
          <w:tcPr>
            <w:tcW w:w="4536" w:type="dxa"/>
            <w:tcBorders>
              <w:top w:val="single" w:sz="4" w:space="0" w:color="auto"/>
              <w:left w:val="single" w:sz="4" w:space="0" w:color="auto"/>
              <w:bottom w:val="single" w:sz="4" w:space="0" w:color="auto"/>
              <w:right w:val="single" w:sz="4" w:space="0" w:color="auto"/>
            </w:tcBorders>
            <w:vAlign w:val="bottom"/>
          </w:tcPr>
          <w:p w:rsidR="006D57A4" w:rsidRPr="006D57A4" w:rsidRDefault="006D57A4" w:rsidP="006D57A4">
            <w:pPr>
              <w:keepNext/>
              <w:jc w:val="left"/>
              <w:rPr>
                <w:rFonts w:eastAsia="Times New Roman"/>
                <w:sz w:val="24"/>
                <w:szCs w:val="24"/>
                <w:lang w:eastAsia="ru-RU"/>
              </w:rPr>
            </w:pPr>
            <w:r w:rsidRPr="006D57A4">
              <w:rPr>
                <w:rFonts w:eastAsia="Times New Roman"/>
                <w:sz w:val="24"/>
                <w:szCs w:val="24"/>
                <w:lang w:eastAsia="ru-RU"/>
              </w:rPr>
              <w:t>Частота розроджень вагітних шляхом кесаревого розтину</w:t>
            </w:r>
          </w:p>
        </w:tc>
        <w:tc>
          <w:tcPr>
            <w:tcW w:w="968"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color w:val="000000"/>
                <w:sz w:val="24"/>
                <w:szCs w:val="24"/>
                <w:lang w:eastAsia="ru-RU"/>
              </w:rPr>
            </w:pPr>
            <w:r w:rsidRPr="006D57A4">
              <w:rPr>
                <w:rFonts w:eastAsia="Times New Roman"/>
                <w:color w:val="000000"/>
                <w:sz w:val="24"/>
                <w:szCs w:val="24"/>
                <w:lang w:eastAsia="ru-RU"/>
              </w:rPr>
              <w:t>237,6</w:t>
            </w:r>
          </w:p>
        </w:tc>
        <w:tc>
          <w:tcPr>
            <w:tcW w:w="969"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color w:val="000000"/>
                <w:sz w:val="24"/>
                <w:szCs w:val="24"/>
                <w:lang w:eastAsia="ru-RU"/>
              </w:rPr>
            </w:pPr>
            <w:r w:rsidRPr="006D57A4">
              <w:rPr>
                <w:rFonts w:eastAsia="Times New Roman"/>
                <w:color w:val="000000"/>
                <w:sz w:val="24"/>
                <w:szCs w:val="24"/>
                <w:lang w:eastAsia="ru-RU"/>
              </w:rPr>
              <w:t>240,58</w:t>
            </w:r>
          </w:p>
        </w:tc>
        <w:tc>
          <w:tcPr>
            <w:tcW w:w="968"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color w:val="000000"/>
                <w:sz w:val="24"/>
                <w:szCs w:val="24"/>
                <w:lang w:eastAsia="ru-RU"/>
              </w:rPr>
            </w:pPr>
            <w:r w:rsidRPr="006D57A4">
              <w:rPr>
                <w:rFonts w:eastAsia="Times New Roman"/>
                <w:color w:val="000000"/>
                <w:sz w:val="24"/>
                <w:szCs w:val="24"/>
                <w:lang w:eastAsia="ru-RU"/>
              </w:rPr>
              <w:t>3,61</w:t>
            </w:r>
          </w:p>
        </w:tc>
        <w:tc>
          <w:tcPr>
            <w:tcW w:w="969"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color w:val="000000"/>
                <w:sz w:val="24"/>
                <w:szCs w:val="24"/>
                <w:lang w:eastAsia="ru-RU"/>
              </w:rPr>
            </w:pPr>
            <w:r w:rsidRPr="006D57A4">
              <w:rPr>
                <w:rFonts w:eastAsia="Times New Roman"/>
                <w:color w:val="000000"/>
                <w:sz w:val="24"/>
                <w:szCs w:val="24"/>
                <w:lang w:eastAsia="ru-RU"/>
              </w:rPr>
              <w:t>4,58</w:t>
            </w:r>
          </w:p>
        </w:tc>
        <w:tc>
          <w:tcPr>
            <w:tcW w:w="968"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color w:val="000000"/>
                <w:sz w:val="24"/>
                <w:szCs w:val="24"/>
                <w:lang w:eastAsia="ru-RU"/>
              </w:rPr>
            </w:pPr>
            <w:r w:rsidRPr="006D57A4">
              <w:rPr>
                <w:rFonts w:eastAsia="Times New Roman"/>
                <w:color w:val="000000"/>
                <w:sz w:val="24"/>
                <w:szCs w:val="24"/>
                <w:lang w:eastAsia="ru-RU"/>
              </w:rPr>
              <w:t>0,52</w:t>
            </w:r>
          </w:p>
        </w:tc>
        <w:tc>
          <w:tcPr>
            <w:tcW w:w="969"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color w:val="000000"/>
                <w:sz w:val="24"/>
                <w:szCs w:val="24"/>
                <w:lang w:eastAsia="ru-RU"/>
              </w:rPr>
            </w:pPr>
            <w:r w:rsidRPr="006D57A4">
              <w:rPr>
                <w:rFonts w:eastAsia="Times New Roman"/>
                <w:color w:val="000000"/>
                <w:sz w:val="24"/>
                <w:szCs w:val="24"/>
                <w:lang w:eastAsia="ru-RU"/>
              </w:rPr>
              <w:t>0,65</w:t>
            </w:r>
          </w:p>
        </w:tc>
      </w:tr>
      <w:tr w:rsidR="006D57A4" w:rsidRPr="006D57A4" w:rsidTr="006D57A4">
        <w:trPr>
          <w:trHeight w:val="276"/>
        </w:trPr>
        <w:tc>
          <w:tcPr>
            <w:tcW w:w="4536" w:type="dxa"/>
            <w:tcBorders>
              <w:top w:val="single" w:sz="4" w:space="0" w:color="auto"/>
              <w:left w:val="single" w:sz="4" w:space="0" w:color="auto"/>
              <w:bottom w:val="single" w:sz="4" w:space="0" w:color="auto"/>
              <w:right w:val="single" w:sz="4" w:space="0" w:color="auto"/>
            </w:tcBorders>
            <w:vAlign w:val="bottom"/>
          </w:tcPr>
          <w:p w:rsidR="006D57A4" w:rsidRPr="006D57A4" w:rsidRDefault="006D57A4" w:rsidP="006D57A4">
            <w:pPr>
              <w:keepNext/>
              <w:jc w:val="left"/>
              <w:rPr>
                <w:rFonts w:eastAsia="Times New Roman"/>
                <w:sz w:val="24"/>
                <w:szCs w:val="24"/>
                <w:lang w:eastAsia="ru-RU"/>
              </w:rPr>
            </w:pPr>
            <w:r w:rsidRPr="006D57A4">
              <w:rPr>
                <w:rFonts w:eastAsia="Times New Roman"/>
                <w:sz w:val="24"/>
                <w:szCs w:val="24"/>
                <w:lang w:eastAsia="ru-RU"/>
              </w:rPr>
              <w:t>Частота  кровотеч в послідовому і післяродовому періодах</w:t>
            </w:r>
          </w:p>
        </w:tc>
        <w:tc>
          <w:tcPr>
            <w:tcW w:w="968"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color w:val="000000"/>
                <w:sz w:val="24"/>
                <w:szCs w:val="24"/>
                <w:lang w:eastAsia="ru-RU"/>
              </w:rPr>
            </w:pPr>
            <w:r w:rsidRPr="006D57A4">
              <w:rPr>
                <w:rFonts w:eastAsia="Times New Roman"/>
                <w:color w:val="000000"/>
                <w:sz w:val="24"/>
                <w:szCs w:val="24"/>
                <w:lang w:eastAsia="ru-RU"/>
              </w:rPr>
              <w:t>6,7</w:t>
            </w:r>
          </w:p>
        </w:tc>
        <w:tc>
          <w:tcPr>
            <w:tcW w:w="969"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color w:val="000000"/>
                <w:sz w:val="24"/>
                <w:szCs w:val="24"/>
                <w:lang w:eastAsia="ru-RU"/>
              </w:rPr>
            </w:pPr>
            <w:r w:rsidRPr="006D57A4">
              <w:rPr>
                <w:rFonts w:eastAsia="Times New Roman"/>
                <w:color w:val="000000"/>
                <w:sz w:val="24"/>
                <w:szCs w:val="24"/>
                <w:lang w:eastAsia="ru-RU"/>
              </w:rPr>
              <w:t>6,99</w:t>
            </w:r>
          </w:p>
        </w:tc>
        <w:tc>
          <w:tcPr>
            <w:tcW w:w="968"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color w:val="000000"/>
                <w:sz w:val="24"/>
                <w:szCs w:val="24"/>
                <w:lang w:eastAsia="ru-RU"/>
              </w:rPr>
            </w:pPr>
            <w:r w:rsidRPr="006D57A4">
              <w:rPr>
                <w:rFonts w:eastAsia="Times New Roman"/>
                <w:color w:val="000000"/>
                <w:sz w:val="24"/>
                <w:szCs w:val="24"/>
                <w:lang w:eastAsia="ru-RU"/>
              </w:rPr>
              <w:t>5,94</w:t>
            </w:r>
          </w:p>
        </w:tc>
        <w:tc>
          <w:tcPr>
            <w:tcW w:w="969"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color w:val="000000"/>
                <w:sz w:val="24"/>
                <w:szCs w:val="24"/>
                <w:lang w:eastAsia="ru-RU"/>
              </w:rPr>
            </w:pPr>
            <w:r w:rsidRPr="006D57A4">
              <w:rPr>
                <w:rFonts w:eastAsia="Times New Roman"/>
                <w:color w:val="000000"/>
                <w:sz w:val="24"/>
                <w:szCs w:val="24"/>
                <w:lang w:eastAsia="ru-RU"/>
              </w:rPr>
              <w:t>7,52</w:t>
            </w:r>
          </w:p>
        </w:tc>
        <w:tc>
          <w:tcPr>
            <w:tcW w:w="968"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color w:val="000000"/>
                <w:sz w:val="24"/>
                <w:szCs w:val="24"/>
                <w:lang w:eastAsia="ru-RU"/>
              </w:rPr>
            </w:pPr>
            <w:r w:rsidRPr="006D57A4">
              <w:rPr>
                <w:rFonts w:eastAsia="Times New Roman"/>
                <w:color w:val="000000"/>
                <w:sz w:val="24"/>
                <w:szCs w:val="24"/>
                <w:lang w:eastAsia="ru-RU"/>
              </w:rPr>
              <w:t>0,66</w:t>
            </w:r>
          </w:p>
        </w:tc>
        <w:tc>
          <w:tcPr>
            <w:tcW w:w="969"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color w:val="000000"/>
                <w:sz w:val="24"/>
                <w:szCs w:val="24"/>
                <w:lang w:eastAsia="ru-RU"/>
              </w:rPr>
            </w:pPr>
            <w:r w:rsidRPr="006D57A4">
              <w:rPr>
                <w:rFonts w:eastAsia="Times New Roman"/>
                <w:color w:val="000000"/>
                <w:sz w:val="24"/>
                <w:szCs w:val="24"/>
                <w:lang w:eastAsia="ru-RU"/>
              </w:rPr>
              <w:t>0,84</w:t>
            </w:r>
          </w:p>
        </w:tc>
      </w:tr>
      <w:tr w:rsidR="006D57A4" w:rsidRPr="006D57A4" w:rsidTr="006D57A4">
        <w:trPr>
          <w:trHeight w:val="293"/>
        </w:trPr>
        <w:tc>
          <w:tcPr>
            <w:tcW w:w="4536" w:type="dxa"/>
            <w:tcBorders>
              <w:top w:val="single" w:sz="4" w:space="0" w:color="auto"/>
              <w:left w:val="single" w:sz="4" w:space="0" w:color="auto"/>
              <w:bottom w:val="single" w:sz="4" w:space="0" w:color="auto"/>
              <w:right w:val="single" w:sz="4" w:space="0" w:color="auto"/>
            </w:tcBorders>
            <w:vAlign w:val="bottom"/>
          </w:tcPr>
          <w:p w:rsidR="006D57A4" w:rsidRPr="006D57A4" w:rsidRDefault="006D57A4" w:rsidP="006D57A4">
            <w:pPr>
              <w:keepNext/>
              <w:jc w:val="left"/>
              <w:rPr>
                <w:rFonts w:eastAsia="Times New Roman"/>
                <w:sz w:val="24"/>
                <w:szCs w:val="24"/>
                <w:lang w:eastAsia="ru-RU"/>
              </w:rPr>
            </w:pPr>
            <w:r w:rsidRPr="006D57A4">
              <w:rPr>
                <w:rFonts w:eastAsia="Times New Roman"/>
                <w:sz w:val="24"/>
                <w:szCs w:val="24"/>
                <w:lang w:eastAsia="ru-RU"/>
              </w:rPr>
              <w:t>Частота мало вагових новонароджених</w:t>
            </w:r>
          </w:p>
        </w:tc>
        <w:tc>
          <w:tcPr>
            <w:tcW w:w="968"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color w:val="000000"/>
                <w:sz w:val="24"/>
                <w:szCs w:val="24"/>
                <w:lang w:eastAsia="ru-RU"/>
              </w:rPr>
            </w:pPr>
            <w:r w:rsidRPr="006D57A4">
              <w:rPr>
                <w:rFonts w:eastAsia="Times New Roman"/>
                <w:color w:val="000000"/>
                <w:sz w:val="24"/>
                <w:szCs w:val="24"/>
                <w:lang w:eastAsia="ru-RU"/>
              </w:rPr>
              <w:t>6,03</w:t>
            </w:r>
          </w:p>
        </w:tc>
        <w:tc>
          <w:tcPr>
            <w:tcW w:w="969"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color w:val="000000"/>
                <w:sz w:val="24"/>
                <w:szCs w:val="24"/>
                <w:lang w:eastAsia="ru-RU"/>
              </w:rPr>
            </w:pPr>
            <w:r w:rsidRPr="006D57A4">
              <w:rPr>
                <w:rFonts w:eastAsia="Times New Roman"/>
                <w:color w:val="000000"/>
                <w:sz w:val="24"/>
                <w:szCs w:val="24"/>
                <w:lang w:eastAsia="ru-RU"/>
              </w:rPr>
              <w:t>5,17</w:t>
            </w:r>
          </w:p>
        </w:tc>
        <w:tc>
          <w:tcPr>
            <w:tcW w:w="968"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color w:val="000000"/>
                <w:sz w:val="24"/>
                <w:szCs w:val="24"/>
                <w:lang w:eastAsia="ru-RU"/>
              </w:rPr>
            </w:pPr>
            <w:r w:rsidRPr="006D57A4">
              <w:rPr>
                <w:rFonts w:eastAsia="Times New Roman"/>
                <w:color w:val="000000"/>
                <w:sz w:val="24"/>
                <w:szCs w:val="24"/>
                <w:lang w:eastAsia="ru-RU"/>
              </w:rPr>
              <w:t>2,46</w:t>
            </w:r>
          </w:p>
        </w:tc>
        <w:tc>
          <w:tcPr>
            <w:tcW w:w="969"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color w:val="000000"/>
                <w:sz w:val="24"/>
                <w:szCs w:val="24"/>
                <w:lang w:eastAsia="ru-RU"/>
              </w:rPr>
            </w:pPr>
            <w:r w:rsidRPr="006D57A4">
              <w:rPr>
                <w:rFonts w:eastAsia="Times New Roman"/>
                <w:color w:val="000000"/>
                <w:sz w:val="24"/>
                <w:szCs w:val="24"/>
                <w:lang w:eastAsia="ru-RU"/>
              </w:rPr>
              <w:t>3,83</w:t>
            </w:r>
          </w:p>
        </w:tc>
        <w:tc>
          <w:tcPr>
            <w:tcW w:w="968"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color w:val="000000"/>
                <w:sz w:val="24"/>
                <w:szCs w:val="24"/>
                <w:lang w:eastAsia="ru-RU"/>
              </w:rPr>
            </w:pPr>
            <w:r w:rsidRPr="006D57A4">
              <w:rPr>
                <w:rFonts w:eastAsia="Times New Roman"/>
                <w:color w:val="000000"/>
                <w:sz w:val="24"/>
                <w:szCs w:val="24"/>
                <w:lang w:eastAsia="ru-RU"/>
              </w:rPr>
              <w:t>0,49</w:t>
            </w:r>
          </w:p>
        </w:tc>
        <w:tc>
          <w:tcPr>
            <w:tcW w:w="969"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color w:val="000000"/>
                <w:sz w:val="24"/>
                <w:szCs w:val="24"/>
                <w:lang w:eastAsia="ru-RU"/>
              </w:rPr>
            </w:pPr>
            <w:r w:rsidRPr="006D57A4">
              <w:rPr>
                <w:rFonts w:eastAsia="Times New Roman"/>
                <w:color w:val="000000"/>
                <w:sz w:val="24"/>
                <w:szCs w:val="24"/>
                <w:lang w:eastAsia="ru-RU"/>
              </w:rPr>
              <w:t>0,77</w:t>
            </w:r>
          </w:p>
        </w:tc>
      </w:tr>
      <w:tr w:rsidR="006D57A4" w:rsidRPr="006D57A4" w:rsidTr="006D57A4">
        <w:trPr>
          <w:trHeight w:val="344"/>
        </w:trPr>
        <w:tc>
          <w:tcPr>
            <w:tcW w:w="4536" w:type="dxa"/>
            <w:tcBorders>
              <w:top w:val="single" w:sz="4" w:space="0" w:color="auto"/>
              <w:left w:val="single" w:sz="4" w:space="0" w:color="auto"/>
              <w:bottom w:val="single" w:sz="4" w:space="0" w:color="auto"/>
              <w:right w:val="single" w:sz="4" w:space="0" w:color="auto"/>
            </w:tcBorders>
            <w:vAlign w:val="bottom"/>
          </w:tcPr>
          <w:p w:rsidR="006D57A4" w:rsidRPr="006D57A4" w:rsidRDefault="006D57A4" w:rsidP="006D57A4">
            <w:pPr>
              <w:keepNext/>
              <w:jc w:val="left"/>
              <w:rPr>
                <w:rFonts w:eastAsia="Times New Roman"/>
                <w:sz w:val="24"/>
                <w:szCs w:val="24"/>
                <w:lang w:eastAsia="ru-RU"/>
              </w:rPr>
            </w:pPr>
            <w:r w:rsidRPr="006D57A4">
              <w:rPr>
                <w:rFonts w:eastAsia="Times New Roman"/>
                <w:sz w:val="24"/>
                <w:szCs w:val="24"/>
                <w:lang w:eastAsia="ru-RU"/>
              </w:rPr>
              <w:t>Виживання новонароджених з дуже малою масою тіла при народженні</w:t>
            </w:r>
          </w:p>
        </w:tc>
        <w:tc>
          <w:tcPr>
            <w:tcW w:w="968"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color w:val="000000"/>
                <w:sz w:val="24"/>
                <w:szCs w:val="24"/>
                <w:lang w:eastAsia="ru-RU"/>
              </w:rPr>
            </w:pPr>
            <w:r w:rsidRPr="006D57A4">
              <w:rPr>
                <w:rFonts w:eastAsia="Times New Roman"/>
                <w:color w:val="000000"/>
                <w:sz w:val="24"/>
                <w:szCs w:val="24"/>
                <w:lang w:eastAsia="ru-RU"/>
              </w:rPr>
              <w:t>77,78</w:t>
            </w:r>
          </w:p>
        </w:tc>
        <w:tc>
          <w:tcPr>
            <w:tcW w:w="969"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color w:val="000000"/>
                <w:sz w:val="24"/>
                <w:szCs w:val="24"/>
                <w:lang w:eastAsia="ru-RU"/>
              </w:rPr>
            </w:pPr>
            <w:r w:rsidRPr="006D57A4">
              <w:rPr>
                <w:rFonts w:eastAsia="Times New Roman"/>
                <w:color w:val="000000"/>
                <w:sz w:val="24"/>
                <w:szCs w:val="24"/>
                <w:lang w:eastAsia="ru-RU"/>
              </w:rPr>
              <w:t>83,58</w:t>
            </w:r>
          </w:p>
        </w:tc>
        <w:tc>
          <w:tcPr>
            <w:tcW w:w="968"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color w:val="000000"/>
                <w:sz w:val="24"/>
                <w:szCs w:val="24"/>
                <w:lang w:eastAsia="ru-RU"/>
              </w:rPr>
            </w:pPr>
            <w:r w:rsidRPr="006D57A4">
              <w:rPr>
                <w:rFonts w:eastAsia="Times New Roman"/>
                <w:color w:val="000000"/>
                <w:sz w:val="24"/>
                <w:szCs w:val="24"/>
                <w:lang w:eastAsia="ru-RU"/>
              </w:rPr>
              <w:t>6,91</w:t>
            </w:r>
          </w:p>
        </w:tc>
        <w:tc>
          <w:tcPr>
            <w:tcW w:w="969"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color w:val="000000"/>
                <w:sz w:val="24"/>
                <w:szCs w:val="24"/>
                <w:lang w:eastAsia="ru-RU"/>
              </w:rPr>
            </w:pPr>
            <w:r w:rsidRPr="006D57A4">
              <w:rPr>
                <w:rFonts w:eastAsia="Times New Roman"/>
                <w:color w:val="000000"/>
                <w:sz w:val="24"/>
                <w:szCs w:val="24"/>
                <w:lang w:eastAsia="ru-RU"/>
              </w:rPr>
              <w:t>7,87</w:t>
            </w:r>
          </w:p>
        </w:tc>
        <w:tc>
          <w:tcPr>
            <w:tcW w:w="968"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color w:val="000000"/>
                <w:sz w:val="24"/>
                <w:szCs w:val="24"/>
                <w:lang w:eastAsia="ru-RU"/>
              </w:rPr>
            </w:pPr>
            <w:r w:rsidRPr="006D57A4">
              <w:rPr>
                <w:rFonts w:eastAsia="Times New Roman"/>
                <w:color w:val="000000"/>
                <w:sz w:val="24"/>
                <w:szCs w:val="24"/>
                <w:lang w:eastAsia="ru-RU"/>
              </w:rPr>
              <w:t>0,86</w:t>
            </w:r>
          </w:p>
        </w:tc>
        <w:tc>
          <w:tcPr>
            <w:tcW w:w="969"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color w:val="000000"/>
                <w:sz w:val="24"/>
                <w:szCs w:val="24"/>
                <w:lang w:eastAsia="ru-RU"/>
              </w:rPr>
            </w:pPr>
            <w:r w:rsidRPr="006D57A4">
              <w:rPr>
                <w:rFonts w:eastAsia="Times New Roman"/>
                <w:color w:val="000000"/>
                <w:sz w:val="24"/>
                <w:szCs w:val="24"/>
                <w:lang w:eastAsia="ru-RU"/>
              </w:rPr>
              <w:t>0,98</w:t>
            </w:r>
          </w:p>
        </w:tc>
      </w:tr>
      <w:tr w:rsidR="006D57A4" w:rsidRPr="006D57A4" w:rsidTr="006D57A4">
        <w:trPr>
          <w:trHeight w:val="226"/>
        </w:trPr>
        <w:tc>
          <w:tcPr>
            <w:tcW w:w="4536" w:type="dxa"/>
            <w:tcBorders>
              <w:top w:val="single" w:sz="4" w:space="0" w:color="auto"/>
              <w:left w:val="single" w:sz="4" w:space="0" w:color="auto"/>
              <w:bottom w:val="single" w:sz="4" w:space="0" w:color="auto"/>
              <w:right w:val="single" w:sz="4" w:space="0" w:color="auto"/>
            </w:tcBorders>
            <w:vAlign w:val="bottom"/>
          </w:tcPr>
          <w:p w:rsidR="006D57A4" w:rsidRPr="006D57A4" w:rsidRDefault="006D57A4" w:rsidP="006D57A4">
            <w:pPr>
              <w:keepNext/>
              <w:jc w:val="left"/>
              <w:rPr>
                <w:rFonts w:eastAsia="Times New Roman"/>
                <w:sz w:val="24"/>
                <w:szCs w:val="24"/>
                <w:lang w:eastAsia="ru-RU"/>
              </w:rPr>
            </w:pPr>
            <w:r w:rsidRPr="006D57A4">
              <w:rPr>
                <w:rFonts w:eastAsia="Times New Roman"/>
                <w:sz w:val="24"/>
                <w:szCs w:val="24"/>
                <w:lang w:eastAsia="ru-RU"/>
              </w:rPr>
              <w:t>Індекс здоров’я новонароджених</w:t>
            </w:r>
          </w:p>
        </w:tc>
        <w:tc>
          <w:tcPr>
            <w:tcW w:w="968"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color w:val="000000"/>
                <w:sz w:val="24"/>
                <w:szCs w:val="24"/>
                <w:lang w:eastAsia="ru-RU"/>
              </w:rPr>
            </w:pPr>
            <w:r w:rsidRPr="006D57A4">
              <w:rPr>
                <w:rFonts w:eastAsia="Times New Roman"/>
                <w:color w:val="000000"/>
                <w:sz w:val="24"/>
                <w:szCs w:val="24"/>
                <w:lang w:eastAsia="ru-RU"/>
              </w:rPr>
              <w:t>82,9</w:t>
            </w:r>
          </w:p>
        </w:tc>
        <w:tc>
          <w:tcPr>
            <w:tcW w:w="969"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color w:val="000000"/>
                <w:sz w:val="24"/>
                <w:szCs w:val="24"/>
                <w:lang w:eastAsia="ru-RU"/>
              </w:rPr>
            </w:pPr>
            <w:r w:rsidRPr="006D57A4">
              <w:rPr>
                <w:rFonts w:eastAsia="Times New Roman"/>
                <w:color w:val="000000"/>
                <w:sz w:val="24"/>
                <w:szCs w:val="24"/>
                <w:lang w:eastAsia="ru-RU"/>
              </w:rPr>
              <w:t>82,06</w:t>
            </w:r>
          </w:p>
        </w:tc>
        <w:tc>
          <w:tcPr>
            <w:tcW w:w="968"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color w:val="000000"/>
                <w:sz w:val="24"/>
                <w:szCs w:val="24"/>
                <w:lang w:eastAsia="ru-RU"/>
              </w:rPr>
            </w:pPr>
            <w:r w:rsidRPr="006D57A4">
              <w:rPr>
                <w:rFonts w:eastAsia="Times New Roman"/>
                <w:color w:val="000000"/>
                <w:sz w:val="24"/>
                <w:szCs w:val="24"/>
                <w:lang w:eastAsia="ru-RU"/>
              </w:rPr>
              <w:t>5,53</w:t>
            </w:r>
          </w:p>
        </w:tc>
        <w:tc>
          <w:tcPr>
            <w:tcW w:w="969"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color w:val="000000"/>
                <w:sz w:val="24"/>
                <w:szCs w:val="24"/>
                <w:lang w:eastAsia="ru-RU"/>
              </w:rPr>
            </w:pPr>
            <w:r w:rsidRPr="006D57A4">
              <w:rPr>
                <w:rFonts w:eastAsia="Times New Roman"/>
                <w:color w:val="000000"/>
                <w:sz w:val="24"/>
                <w:szCs w:val="24"/>
                <w:lang w:eastAsia="ru-RU"/>
              </w:rPr>
              <w:t>5,79</w:t>
            </w:r>
          </w:p>
        </w:tc>
        <w:tc>
          <w:tcPr>
            <w:tcW w:w="968"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color w:val="000000"/>
                <w:sz w:val="24"/>
                <w:szCs w:val="24"/>
                <w:lang w:eastAsia="ru-RU"/>
              </w:rPr>
            </w:pPr>
            <w:r w:rsidRPr="006D57A4">
              <w:rPr>
                <w:rFonts w:eastAsia="Times New Roman"/>
                <w:color w:val="000000"/>
                <w:sz w:val="24"/>
                <w:szCs w:val="24"/>
                <w:lang w:eastAsia="ru-RU"/>
              </w:rPr>
              <w:t>0,92</w:t>
            </w:r>
          </w:p>
        </w:tc>
        <w:tc>
          <w:tcPr>
            <w:tcW w:w="969"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color w:val="000000"/>
                <w:sz w:val="24"/>
                <w:szCs w:val="24"/>
                <w:lang w:eastAsia="ru-RU"/>
              </w:rPr>
            </w:pPr>
            <w:r w:rsidRPr="006D57A4">
              <w:rPr>
                <w:rFonts w:eastAsia="Times New Roman"/>
                <w:color w:val="000000"/>
                <w:sz w:val="24"/>
                <w:szCs w:val="24"/>
                <w:lang w:eastAsia="ru-RU"/>
              </w:rPr>
              <w:t>0,97</w:t>
            </w:r>
          </w:p>
        </w:tc>
      </w:tr>
      <w:tr w:rsidR="006D57A4" w:rsidRPr="006D57A4" w:rsidTr="006D57A4">
        <w:trPr>
          <w:trHeight w:val="244"/>
        </w:trPr>
        <w:tc>
          <w:tcPr>
            <w:tcW w:w="4536" w:type="dxa"/>
            <w:tcBorders>
              <w:top w:val="single" w:sz="4" w:space="0" w:color="auto"/>
              <w:left w:val="single" w:sz="4" w:space="0" w:color="auto"/>
              <w:bottom w:val="single" w:sz="4" w:space="0" w:color="auto"/>
              <w:right w:val="single" w:sz="4" w:space="0" w:color="auto"/>
            </w:tcBorders>
            <w:vAlign w:val="bottom"/>
          </w:tcPr>
          <w:p w:rsidR="006D57A4" w:rsidRPr="006D57A4" w:rsidRDefault="006D57A4" w:rsidP="006D57A4">
            <w:pPr>
              <w:keepNext/>
              <w:jc w:val="left"/>
              <w:rPr>
                <w:rFonts w:eastAsia="Times New Roman"/>
                <w:sz w:val="24"/>
                <w:szCs w:val="24"/>
                <w:lang w:eastAsia="ru-RU"/>
              </w:rPr>
            </w:pPr>
            <w:r w:rsidRPr="006D57A4">
              <w:rPr>
                <w:rFonts w:eastAsia="Times New Roman"/>
                <w:sz w:val="24"/>
                <w:szCs w:val="24"/>
                <w:lang w:eastAsia="ru-RU"/>
              </w:rPr>
              <w:t xml:space="preserve">Рівень перинатальної смертності </w:t>
            </w:r>
          </w:p>
        </w:tc>
        <w:tc>
          <w:tcPr>
            <w:tcW w:w="968"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color w:val="000000"/>
                <w:sz w:val="24"/>
                <w:szCs w:val="24"/>
                <w:lang w:eastAsia="ru-RU"/>
              </w:rPr>
            </w:pPr>
            <w:r w:rsidRPr="006D57A4">
              <w:rPr>
                <w:rFonts w:eastAsia="Times New Roman"/>
                <w:color w:val="000000"/>
                <w:sz w:val="24"/>
                <w:szCs w:val="24"/>
                <w:lang w:eastAsia="ru-RU"/>
              </w:rPr>
              <w:t>10,57</w:t>
            </w:r>
          </w:p>
        </w:tc>
        <w:tc>
          <w:tcPr>
            <w:tcW w:w="969"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color w:val="000000"/>
                <w:sz w:val="24"/>
                <w:szCs w:val="24"/>
                <w:lang w:eastAsia="ru-RU"/>
              </w:rPr>
            </w:pPr>
            <w:r w:rsidRPr="006D57A4">
              <w:rPr>
                <w:rFonts w:eastAsia="Times New Roman"/>
                <w:color w:val="000000"/>
                <w:sz w:val="24"/>
                <w:szCs w:val="24"/>
                <w:lang w:eastAsia="ru-RU"/>
              </w:rPr>
              <w:t>10,17</w:t>
            </w:r>
          </w:p>
        </w:tc>
        <w:tc>
          <w:tcPr>
            <w:tcW w:w="968"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color w:val="000000"/>
                <w:sz w:val="24"/>
                <w:szCs w:val="24"/>
                <w:lang w:eastAsia="ru-RU"/>
              </w:rPr>
            </w:pPr>
            <w:r w:rsidRPr="006D57A4">
              <w:rPr>
                <w:rFonts w:eastAsia="Times New Roman"/>
                <w:color w:val="000000"/>
                <w:sz w:val="24"/>
                <w:szCs w:val="24"/>
                <w:lang w:eastAsia="ru-RU"/>
              </w:rPr>
              <w:t>4,07</w:t>
            </w:r>
          </w:p>
        </w:tc>
        <w:tc>
          <w:tcPr>
            <w:tcW w:w="969"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color w:val="000000"/>
                <w:sz w:val="24"/>
                <w:szCs w:val="24"/>
                <w:lang w:eastAsia="ru-RU"/>
              </w:rPr>
            </w:pPr>
            <w:r w:rsidRPr="006D57A4">
              <w:rPr>
                <w:rFonts w:eastAsia="Times New Roman"/>
                <w:color w:val="000000"/>
                <w:sz w:val="24"/>
                <w:szCs w:val="24"/>
                <w:lang w:eastAsia="ru-RU"/>
              </w:rPr>
              <w:t>4,37</w:t>
            </w:r>
          </w:p>
        </w:tc>
        <w:tc>
          <w:tcPr>
            <w:tcW w:w="968"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color w:val="000000"/>
                <w:sz w:val="24"/>
                <w:szCs w:val="24"/>
                <w:lang w:eastAsia="ru-RU"/>
              </w:rPr>
            </w:pPr>
            <w:r w:rsidRPr="006D57A4">
              <w:rPr>
                <w:rFonts w:eastAsia="Times New Roman"/>
                <w:color w:val="000000"/>
                <w:sz w:val="24"/>
                <w:szCs w:val="24"/>
                <w:lang w:eastAsia="ru-RU"/>
              </w:rPr>
              <w:t>0,68</w:t>
            </w:r>
          </w:p>
        </w:tc>
        <w:tc>
          <w:tcPr>
            <w:tcW w:w="969"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color w:val="000000"/>
                <w:sz w:val="24"/>
                <w:szCs w:val="24"/>
                <w:lang w:eastAsia="ru-RU"/>
              </w:rPr>
            </w:pPr>
            <w:r w:rsidRPr="006D57A4">
              <w:rPr>
                <w:rFonts w:eastAsia="Times New Roman"/>
                <w:color w:val="000000"/>
                <w:sz w:val="24"/>
                <w:szCs w:val="24"/>
                <w:lang w:eastAsia="ru-RU"/>
              </w:rPr>
              <w:t>0,73</w:t>
            </w:r>
          </w:p>
        </w:tc>
      </w:tr>
      <w:tr w:rsidR="006D57A4" w:rsidRPr="006D57A4" w:rsidTr="006D57A4">
        <w:trPr>
          <w:trHeight w:val="450"/>
        </w:trPr>
        <w:tc>
          <w:tcPr>
            <w:tcW w:w="4536"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rPr>
                <w:rFonts w:eastAsia="Times New Roman"/>
                <w:sz w:val="24"/>
                <w:szCs w:val="24"/>
                <w:lang w:eastAsia="ru-RU"/>
              </w:rPr>
            </w:pPr>
            <w:r w:rsidRPr="006D57A4">
              <w:rPr>
                <w:rFonts w:eastAsia="Times New Roman"/>
                <w:sz w:val="24"/>
                <w:szCs w:val="24"/>
                <w:lang w:eastAsia="ru-RU"/>
              </w:rPr>
              <w:t>Співвідношення реального і фактичного показника ранньої неонатальної смертності</w:t>
            </w:r>
          </w:p>
        </w:tc>
        <w:tc>
          <w:tcPr>
            <w:tcW w:w="968"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sz w:val="24"/>
                <w:szCs w:val="24"/>
                <w:lang w:eastAsia="ru-RU"/>
              </w:rPr>
            </w:pPr>
            <w:r w:rsidRPr="006D57A4">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color w:val="000000"/>
                <w:sz w:val="24"/>
                <w:szCs w:val="24"/>
                <w:lang w:eastAsia="ru-RU"/>
              </w:rPr>
            </w:pPr>
            <w:r w:rsidRPr="006D57A4">
              <w:rPr>
                <w:rFonts w:eastAsia="Times New Roman"/>
                <w:color w:val="000000"/>
                <w:sz w:val="24"/>
                <w:szCs w:val="24"/>
                <w:lang w:eastAsia="ru-RU"/>
              </w:rPr>
              <w:t>1,88</w:t>
            </w:r>
          </w:p>
        </w:tc>
        <w:tc>
          <w:tcPr>
            <w:tcW w:w="968"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sz w:val="24"/>
                <w:szCs w:val="24"/>
                <w:lang w:eastAsia="ru-RU"/>
              </w:rPr>
            </w:pPr>
            <w:r w:rsidRPr="006D57A4">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color w:val="000000"/>
                <w:sz w:val="24"/>
                <w:szCs w:val="24"/>
                <w:lang w:eastAsia="ru-RU"/>
              </w:rPr>
            </w:pPr>
            <w:r w:rsidRPr="006D57A4">
              <w:rPr>
                <w:rFonts w:eastAsia="Times New Roman"/>
                <w:color w:val="000000"/>
                <w:sz w:val="24"/>
                <w:szCs w:val="24"/>
                <w:lang w:eastAsia="ru-RU"/>
              </w:rPr>
              <w:t>4,48</w:t>
            </w:r>
          </w:p>
        </w:tc>
        <w:tc>
          <w:tcPr>
            <w:tcW w:w="968"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sz w:val="24"/>
                <w:szCs w:val="24"/>
                <w:lang w:eastAsia="ru-RU"/>
              </w:rPr>
            </w:pPr>
            <w:r w:rsidRPr="006D57A4">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color w:val="000000"/>
                <w:sz w:val="24"/>
                <w:szCs w:val="24"/>
                <w:lang w:eastAsia="ru-RU"/>
              </w:rPr>
            </w:pPr>
            <w:r w:rsidRPr="006D57A4">
              <w:rPr>
                <w:rFonts w:eastAsia="Times New Roman"/>
                <w:color w:val="000000"/>
                <w:sz w:val="24"/>
                <w:szCs w:val="24"/>
                <w:lang w:eastAsia="ru-RU"/>
              </w:rPr>
              <w:t>0,75</w:t>
            </w:r>
          </w:p>
        </w:tc>
      </w:tr>
      <w:tr w:rsidR="006D57A4" w:rsidRPr="006D57A4" w:rsidTr="006D57A4">
        <w:trPr>
          <w:trHeight w:val="216"/>
        </w:trPr>
        <w:tc>
          <w:tcPr>
            <w:tcW w:w="4536"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rPr>
                <w:rFonts w:eastAsia="Times New Roman"/>
                <w:sz w:val="24"/>
                <w:szCs w:val="24"/>
                <w:lang w:eastAsia="ru-RU"/>
              </w:rPr>
            </w:pPr>
            <w:r w:rsidRPr="006D57A4">
              <w:rPr>
                <w:rFonts w:eastAsia="Times New Roman"/>
                <w:sz w:val="24"/>
                <w:szCs w:val="24"/>
                <w:lang w:eastAsia="ru-RU"/>
              </w:rPr>
              <w:t>Рівень неонатальної смертності</w:t>
            </w:r>
          </w:p>
        </w:tc>
        <w:tc>
          <w:tcPr>
            <w:tcW w:w="968"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sz w:val="24"/>
                <w:szCs w:val="24"/>
                <w:lang w:eastAsia="ru-RU"/>
              </w:rPr>
            </w:pPr>
            <w:r w:rsidRPr="006D57A4">
              <w:rPr>
                <w:rFonts w:eastAsia="Times New Roman"/>
                <w:sz w:val="24"/>
                <w:szCs w:val="24"/>
                <w:lang w:eastAsia="ru-RU"/>
              </w:rPr>
              <w:t>6,11</w:t>
            </w:r>
          </w:p>
        </w:tc>
        <w:tc>
          <w:tcPr>
            <w:tcW w:w="969"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color w:val="000000"/>
                <w:sz w:val="24"/>
                <w:szCs w:val="24"/>
                <w:lang w:eastAsia="ru-RU"/>
              </w:rPr>
            </w:pPr>
            <w:r w:rsidRPr="006D57A4">
              <w:rPr>
                <w:rFonts w:eastAsia="Times New Roman"/>
                <w:color w:val="000000"/>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sz w:val="24"/>
                <w:szCs w:val="24"/>
                <w:lang w:eastAsia="ru-RU"/>
              </w:rPr>
            </w:pPr>
            <w:r w:rsidRPr="006D57A4">
              <w:rPr>
                <w:rFonts w:eastAsia="Times New Roman"/>
                <w:sz w:val="24"/>
                <w:szCs w:val="24"/>
                <w:lang w:eastAsia="ru-RU"/>
              </w:rPr>
              <w:t>2,84</w:t>
            </w:r>
          </w:p>
        </w:tc>
        <w:tc>
          <w:tcPr>
            <w:tcW w:w="969"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color w:val="000000"/>
                <w:sz w:val="24"/>
                <w:szCs w:val="24"/>
                <w:lang w:eastAsia="ru-RU"/>
              </w:rPr>
            </w:pPr>
            <w:r w:rsidRPr="006D57A4">
              <w:rPr>
                <w:rFonts w:eastAsia="Times New Roman"/>
                <w:color w:val="000000"/>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sz w:val="24"/>
                <w:szCs w:val="24"/>
                <w:lang w:eastAsia="ru-RU"/>
              </w:rPr>
            </w:pPr>
            <w:r w:rsidRPr="006D57A4">
              <w:rPr>
                <w:rFonts w:eastAsia="Times New Roman"/>
                <w:sz w:val="24"/>
                <w:szCs w:val="24"/>
                <w:lang w:eastAsia="ru-RU"/>
              </w:rPr>
              <w:t>0,47</w:t>
            </w:r>
          </w:p>
        </w:tc>
        <w:tc>
          <w:tcPr>
            <w:tcW w:w="969"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color w:val="000000"/>
                <w:sz w:val="24"/>
                <w:szCs w:val="24"/>
                <w:lang w:eastAsia="ru-RU"/>
              </w:rPr>
            </w:pPr>
            <w:r w:rsidRPr="006D57A4">
              <w:rPr>
                <w:rFonts w:eastAsia="Times New Roman"/>
                <w:color w:val="000000"/>
                <w:sz w:val="24"/>
                <w:szCs w:val="24"/>
                <w:lang w:eastAsia="ru-RU"/>
              </w:rPr>
              <w:t>**</w:t>
            </w:r>
          </w:p>
        </w:tc>
      </w:tr>
      <w:tr w:rsidR="006D57A4" w:rsidRPr="006D57A4" w:rsidTr="006D57A4">
        <w:trPr>
          <w:trHeight w:val="336"/>
        </w:trPr>
        <w:tc>
          <w:tcPr>
            <w:tcW w:w="4536"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left"/>
              <w:rPr>
                <w:rFonts w:eastAsia="Times New Roman"/>
                <w:sz w:val="24"/>
                <w:szCs w:val="24"/>
                <w:lang w:eastAsia="ru-RU"/>
              </w:rPr>
            </w:pPr>
            <w:r w:rsidRPr="006D57A4">
              <w:rPr>
                <w:rFonts w:eastAsia="Times New Roman"/>
                <w:sz w:val="24"/>
                <w:szCs w:val="24"/>
                <w:lang w:eastAsia="ru-RU"/>
              </w:rPr>
              <w:t>Рівень ранньої неонатальної смертності</w:t>
            </w:r>
          </w:p>
        </w:tc>
        <w:tc>
          <w:tcPr>
            <w:tcW w:w="968"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sz w:val="24"/>
                <w:szCs w:val="24"/>
                <w:lang w:eastAsia="ru-RU"/>
              </w:rPr>
            </w:pPr>
            <w:r w:rsidRPr="006D57A4">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color w:val="000000"/>
                <w:sz w:val="24"/>
                <w:szCs w:val="24"/>
                <w:lang w:eastAsia="ru-RU"/>
              </w:rPr>
            </w:pPr>
            <w:r w:rsidRPr="006D57A4">
              <w:rPr>
                <w:rFonts w:eastAsia="Times New Roman"/>
                <w:color w:val="000000"/>
                <w:sz w:val="24"/>
                <w:szCs w:val="24"/>
                <w:lang w:eastAsia="ru-RU"/>
              </w:rPr>
              <w:t>2,84</w:t>
            </w:r>
          </w:p>
        </w:tc>
        <w:tc>
          <w:tcPr>
            <w:tcW w:w="968"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sz w:val="24"/>
                <w:szCs w:val="24"/>
                <w:lang w:eastAsia="ru-RU"/>
              </w:rPr>
            </w:pPr>
            <w:r w:rsidRPr="006D57A4">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color w:val="000000"/>
                <w:sz w:val="24"/>
                <w:szCs w:val="24"/>
                <w:lang w:eastAsia="ru-RU"/>
              </w:rPr>
            </w:pPr>
            <w:r w:rsidRPr="006D57A4">
              <w:rPr>
                <w:rFonts w:eastAsia="Times New Roman"/>
                <w:color w:val="000000"/>
                <w:sz w:val="24"/>
                <w:szCs w:val="24"/>
                <w:lang w:eastAsia="ru-RU"/>
              </w:rPr>
              <w:t>5,64</w:t>
            </w:r>
          </w:p>
        </w:tc>
        <w:tc>
          <w:tcPr>
            <w:tcW w:w="968"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sz w:val="24"/>
                <w:szCs w:val="24"/>
                <w:lang w:eastAsia="ru-RU"/>
              </w:rPr>
            </w:pPr>
            <w:r w:rsidRPr="006D57A4">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color w:val="000000"/>
                <w:sz w:val="24"/>
                <w:szCs w:val="24"/>
                <w:lang w:eastAsia="ru-RU"/>
              </w:rPr>
            </w:pPr>
            <w:r w:rsidRPr="006D57A4">
              <w:rPr>
                <w:rFonts w:eastAsia="Times New Roman"/>
                <w:color w:val="000000"/>
                <w:sz w:val="24"/>
                <w:szCs w:val="24"/>
                <w:lang w:eastAsia="ru-RU"/>
              </w:rPr>
              <w:t>0,94</w:t>
            </w:r>
          </w:p>
        </w:tc>
      </w:tr>
      <w:tr w:rsidR="006D57A4" w:rsidRPr="006D57A4" w:rsidTr="006D57A4">
        <w:trPr>
          <w:trHeight w:val="270"/>
        </w:trPr>
        <w:tc>
          <w:tcPr>
            <w:tcW w:w="4536" w:type="dxa"/>
            <w:tcBorders>
              <w:top w:val="single" w:sz="4" w:space="0" w:color="auto"/>
              <w:left w:val="single" w:sz="4" w:space="0" w:color="auto"/>
              <w:bottom w:val="single" w:sz="4" w:space="0" w:color="auto"/>
              <w:right w:val="single" w:sz="4" w:space="0" w:color="auto"/>
            </w:tcBorders>
            <w:vAlign w:val="bottom"/>
          </w:tcPr>
          <w:p w:rsidR="006D57A4" w:rsidRPr="006D57A4" w:rsidRDefault="006D57A4" w:rsidP="006D57A4">
            <w:pPr>
              <w:keepNext/>
              <w:jc w:val="left"/>
              <w:rPr>
                <w:rFonts w:eastAsia="Times New Roman"/>
                <w:sz w:val="24"/>
                <w:szCs w:val="24"/>
                <w:lang w:eastAsia="ru-RU"/>
              </w:rPr>
            </w:pPr>
            <w:r w:rsidRPr="006D57A4">
              <w:rPr>
                <w:rFonts w:eastAsia="Times New Roman"/>
                <w:sz w:val="24"/>
                <w:szCs w:val="24"/>
                <w:lang w:eastAsia="ru-RU"/>
              </w:rPr>
              <w:t xml:space="preserve">Рівень материнської смертності </w:t>
            </w:r>
          </w:p>
        </w:tc>
        <w:tc>
          <w:tcPr>
            <w:tcW w:w="968"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sz w:val="24"/>
                <w:szCs w:val="24"/>
                <w:lang w:eastAsia="ru-RU"/>
              </w:rPr>
            </w:pPr>
            <w:r w:rsidRPr="006D57A4">
              <w:rPr>
                <w:rFonts w:eastAsia="Times New Roman"/>
                <w:sz w:val="24"/>
                <w:szCs w:val="24"/>
                <w:lang w:eastAsia="ru-RU"/>
              </w:rPr>
              <w:t>11,9</w:t>
            </w:r>
          </w:p>
        </w:tc>
        <w:tc>
          <w:tcPr>
            <w:tcW w:w="969"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color w:val="000000"/>
                <w:sz w:val="24"/>
                <w:szCs w:val="24"/>
                <w:lang w:eastAsia="ru-RU"/>
              </w:rPr>
            </w:pPr>
            <w:r w:rsidRPr="006D57A4">
              <w:rPr>
                <w:rFonts w:eastAsia="Times New Roman"/>
                <w:color w:val="000000"/>
                <w:sz w:val="24"/>
                <w:szCs w:val="24"/>
                <w:lang w:eastAsia="ru-RU"/>
              </w:rPr>
              <w:t>12,9</w:t>
            </w:r>
          </w:p>
        </w:tc>
        <w:tc>
          <w:tcPr>
            <w:tcW w:w="968"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sz w:val="24"/>
                <w:szCs w:val="24"/>
                <w:lang w:eastAsia="ru-RU"/>
              </w:rPr>
            </w:pPr>
            <w:r w:rsidRPr="006D57A4">
              <w:rPr>
                <w:rFonts w:eastAsia="Times New Roman"/>
                <w:sz w:val="24"/>
                <w:szCs w:val="24"/>
                <w:lang w:eastAsia="ru-RU"/>
              </w:rPr>
              <w:t>4,59</w:t>
            </w:r>
          </w:p>
        </w:tc>
        <w:tc>
          <w:tcPr>
            <w:tcW w:w="969"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color w:val="000000"/>
                <w:sz w:val="24"/>
                <w:szCs w:val="24"/>
                <w:lang w:eastAsia="ru-RU"/>
              </w:rPr>
            </w:pPr>
            <w:r w:rsidRPr="006D57A4">
              <w:rPr>
                <w:rFonts w:eastAsia="Times New Roman"/>
                <w:color w:val="000000"/>
                <w:sz w:val="24"/>
                <w:szCs w:val="24"/>
                <w:lang w:eastAsia="ru-RU"/>
              </w:rPr>
              <w:t>4,15</w:t>
            </w:r>
          </w:p>
        </w:tc>
        <w:tc>
          <w:tcPr>
            <w:tcW w:w="968"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sz w:val="24"/>
                <w:szCs w:val="24"/>
                <w:lang w:eastAsia="ru-RU"/>
              </w:rPr>
            </w:pPr>
            <w:r w:rsidRPr="006D57A4">
              <w:rPr>
                <w:rFonts w:eastAsia="Times New Roman"/>
                <w:sz w:val="24"/>
                <w:szCs w:val="24"/>
                <w:lang w:eastAsia="ru-RU"/>
              </w:rPr>
              <w:t>0,92</w:t>
            </w:r>
          </w:p>
        </w:tc>
        <w:tc>
          <w:tcPr>
            <w:tcW w:w="969"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color w:val="000000"/>
                <w:sz w:val="24"/>
                <w:szCs w:val="24"/>
                <w:lang w:eastAsia="ru-RU"/>
              </w:rPr>
            </w:pPr>
            <w:r w:rsidRPr="006D57A4">
              <w:rPr>
                <w:rFonts w:eastAsia="Times New Roman"/>
                <w:color w:val="000000"/>
                <w:sz w:val="24"/>
                <w:szCs w:val="24"/>
                <w:lang w:eastAsia="ru-RU"/>
              </w:rPr>
              <w:t>0,83</w:t>
            </w:r>
          </w:p>
        </w:tc>
      </w:tr>
      <w:tr w:rsidR="006D57A4" w:rsidRPr="006D57A4" w:rsidTr="006D57A4">
        <w:trPr>
          <w:trHeight w:val="300"/>
        </w:trPr>
        <w:tc>
          <w:tcPr>
            <w:tcW w:w="4536" w:type="dxa"/>
            <w:tcBorders>
              <w:top w:val="single" w:sz="4" w:space="0" w:color="auto"/>
              <w:left w:val="single" w:sz="4" w:space="0" w:color="auto"/>
              <w:bottom w:val="single" w:sz="4" w:space="0" w:color="auto"/>
              <w:right w:val="single" w:sz="4" w:space="0" w:color="auto"/>
            </w:tcBorders>
            <w:noWrap/>
            <w:vAlign w:val="bottom"/>
            <w:hideMark/>
          </w:tcPr>
          <w:p w:rsidR="006D57A4" w:rsidRPr="006D57A4" w:rsidRDefault="006D57A4" w:rsidP="006D57A4">
            <w:pPr>
              <w:keepNext/>
              <w:jc w:val="left"/>
              <w:rPr>
                <w:rFonts w:eastAsia="Times New Roman"/>
                <w:sz w:val="24"/>
                <w:szCs w:val="24"/>
                <w:lang w:eastAsia="ru-RU"/>
              </w:rPr>
            </w:pPr>
          </w:p>
        </w:tc>
        <w:tc>
          <w:tcPr>
            <w:tcW w:w="968" w:type="dxa"/>
            <w:tcBorders>
              <w:top w:val="single" w:sz="4" w:space="0" w:color="auto"/>
              <w:left w:val="single" w:sz="4" w:space="0" w:color="auto"/>
              <w:bottom w:val="single" w:sz="4" w:space="0" w:color="auto"/>
              <w:right w:val="single" w:sz="4" w:space="0" w:color="auto"/>
            </w:tcBorders>
            <w:noWrap/>
            <w:vAlign w:val="center"/>
          </w:tcPr>
          <w:p w:rsidR="006D57A4" w:rsidRPr="006D57A4" w:rsidRDefault="006D57A4" w:rsidP="006D57A4">
            <w:pPr>
              <w:keepNext/>
              <w:jc w:val="center"/>
              <w:rPr>
                <w:rFonts w:eastAsia="Times New Roman"/>
                <w:sz w:val="24"/>
                <w:szCs w:val="24"/>
                <w:lang w:eastAsia="ru-RU"/>
              </w:rPr>
            </w:pPr>
          </w:p>
        </w:tc>
        <w:tc>
          <w:tcPr>
            <w:tcW w:w="969"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color w:val="000000"/>
                <w:sz w:val="24"/>
                <w:szCs w:val="24"/>
                <w:lang w:eastAsia="ru-RU"/>
              </w:rPr>
            </w:pPr>
          </w:p>
        </w:tc>
        <w:tc>
          <w:tcPr>
            <w:tcW w:w="968" w:type="dxa"/>
            <w:tcBorders>
              <w:top w:val="single" w:sz="4" w:space="0" w:color="auto"/>
              <w:left w:val="single" w:sz="4" w:space="0" w:color="auto"/>
              <w:bottom w:val="single" w:sz="4" w:space="0" w:color="auto"/>
              <w:right w:val="single" w:sz="4" w:space="0" w:color="auto"/>
            </w:tcBorders>
            <w:noWrap/>
            <w:vAlign w:val="center"/>
          </w:tcPr>
          <w:p w:rsidR="006D57A4" w:rsidRPr="006D57A4" w:rsidRDefault="006D57A4" w:rsidP="006D57A4">
            <w:pPr>
              <w:keepNext/>
              <w:jc w:val="center"/>
              <w:rPr>
                <w:rFonts w:eastAsia="Times New Roman"/>
                <w:color w:val="000000"/>
                <w:sz w:val="24"/>
                <w:szCs w:val="24"/>
                <w:lang w:eastAsia="ru-RU"/>
              </w:rPr>
            </w:pPr>
            <w:r w:rsidRPr="006D57A4">
              <w:rPr>
                <w:rFonts w:eastAsia="Times New Roman"/>
                <w:color w:val="000000"/>
                <w:sz w:val="24"/>
                <w:szCs w:val="24"/>
                <w:lang w:eastAsia="ru-RU"/>
              </w:rPr>
              <w:t>87,58</w:t>
            </w:r>
          </w:p>
        </w:tc>
        <w:tc>
          <w:tcPr>
            <w:tcW w:w="969"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color w:val="000000"/>
                <w:sz w:val="24"/>
                <w:szCs w:val="24"/>
                <w:lang w:eastAsia="ru-RU"/>
              </w:rPr>
            </w:pPr>
            <w:r w:rsidRPr="006D57A4">
              <w:rPr>
                <w:rFonts w:eastAsia="Times New Roman"/>
                <w:color w:val="000000"/>
                <w:sz w:val="24"/>
                <w:szCs w:val="24"/>
                <w:lang w:eastAsia="ru-RU"/>
              </w:rPr>
              <w:t>107,2</w:t>
            </w:r>
          </w:p>
        </w:tc>
        <w:tc>
          <w:tcPr>
            <w:tcW w:w="968" w:type="dxa"/>
            <w:tcBorders>
              <w:top w:val="single" w:sz="4" w:space="0" w:color="auto"/>
              <w:left w:val="single" w:sz="4" w:space="0" w:color="auto"/>
              <w:bottom w:val="single" w:sz="4" w:space="0" w:color="auto"/>
              <w:right w:val="single" w:sz="4" w:space="0" w:color="auto"/>
            </w:tcBorders>
            <w:noWrap/>
            <w:vAlign w:val="center"/>
          </w:tcPr>
          <w:p w:rsidR="006D57A4" w:rsidRPr="006D57A4" w:rsidRDefault="006D57A4" w:rsidP="006D57A4">
            <w:pPr>
              <w:keepNext/>
              <w:jc w:val="center"/>
              <w:rPr>
                <w:rFonts w:eastAsia="Times New Roman"/>
                <w:color w:val="000000"/>
                <w:sz w:val="24"/>
                <w:szCs w:val="24"/>
                <w:lang w:eastAsia="ru-RU"/>
              </w:rPr>
            </w:pPr>
            <w:r w:rsidRPr="006D57A4">
              <w:rPr>
                <w:rFonts w:eastAsia="Times New Roman"/>
                <w:color w:val="000000"/>
                <w:sz w:val="24"/>
                <w:szCs w:val="24"/>
                <w:lang w:eastAsia="ru-RU"/>
              </w:rPr>
              <w:t>0,73</w:t>
            </w:r>
          </w:p>
        </w:tc>
        <w:tc>
          <w:tcPr>
            <w:tcW w:w="969" w:type="dxa"/>
            <w:tcBorders>
              <w:top w:val="single" w:sz="4" w:space="0" w:color="auto"/>
              <w:left w:val="single" w:sz="4" w:space="0" w:color="auto"/>
              <w:bottom w:val="single" w:sz="4" w:space="0" w:color="auto"/>
              <w:right w:val="single" w:sz="4" w:space="0" w:color="auto"/>
            </w:tcBorders>
            <w:vAlign w:val="center"/>
          </w:tcPr>
          <w:p w:rsidR="006D57A4" w:rsidRPr="006D57A4" w:rsidRDefault="006D57A4" w:rsidP="006D57A4">
            <w:pPr>
              <w:keepNext/>
              <w:jc w:val="center"/>
              <w:rPr>
                <w:rFonts w:eastAsia="Times New Roman"/>
                <w:color w:val="000000"/>
                <w:sz w:val="24"/>
                <w:szCs w:val="24"/>
                <w:lang w:eastAsia="ru-RU"/>
              </w:rPr>
            </w:pPr>
            <w:r w:rsidRPr="006D57A4">
              <w:rPr>
                <w:rFonts w:eastAsia="Times New Roman"/>
                <w:color w:val="000000"/>
                <w:sz w:val="24"/>
                <w:szCs w:val="24"/>
                <w:lang w:eastAsia="ru-RU"/>
              </w:rPr>
              <w:t>0,82</w:t>
            </w:r>
          </w:p>
        </w:tc>
      </w:tr>
    </w:tbl>
    <w:p w:rsidR="00983FA2" w:rsidRPr="00D82264" w:rsidRDefault="006D57A4" w:rsidP="00D82264">
      <w:pPr>
        <w:jc w:val="right"/>
        <w:rPr>
          <w:i/>
          <w:lang w:val="ru-RU"/>
        </w:rPr>
      </w:pPr>
      <w:r w:rsidRPr="006D57A4">
        <w:rPr>
          <w:i/>
          <w:lang w:val="ru-RU"/>
        </w:rPr>
        <w:t>Продовження додаток Е-17</w:t>
      </w:r>
    </w:p>
    <w:p w:rsidR="00C43972" w:rsidRPr="00D82264" w:rsidRDefault="00C43972" w:rsidP="00362A09">
      <w:pPr>
        <w:keepNext/>
        <w:pageBreakBefore/>
        <w:jc w:val="right"/>
        <w:rPr>
          <w:rFonts w:eastAsia="Times New Roman"/>
          <w:szCs w:val="28"/>
          <w:lang w:val="ru-RU" w:eastAsia="ru-RU"/>
        </w:rPr>
      </w:pPr>
      <w:r w:rsidRPr="00D82264">
        <w:rPr>
          <w:rFonts w:eastAsia="Times New Roman"/>
          <w:szCs w:val="28"/>
          <w:lang w:val="ru-RU" w:eastAsia="ru-RU"/>
        </w:rPr>
        <w:lastRenderedPageBreak/>
        <w:t xml:space="preserve">Додаток </w:t>
      </w:r>
      <w:r w:rsidR="005217B7" w:rsidRPr="00D82264">
        <w:rPr>
          <w:rFonts w:eastAsia="Times New Roman"/>
          <w:szCs w:val="28"/>
          <w:lang w:eastAsia="ru-RU"/>
        </w:rPr>
        <w:t>Е</w:t>
      </w:r>
      <w:r w:rsidRPr="00D82264">
        <w:rPr>
          <w:rFonts w:eastAsia="Times New Roman"/>
          <w:szCs w:val="28"/>
          <w:lang w:eastAsia="ru-RU"/>
        </w:rPr>
        <w:t>-18</w:t>
      </w:r>
    </w:p>
    <w:p w:rsidR="00C43972" w:rsidRPr="00D82264" w:rsidRDefault="00C43972" w:rsidP="00D82264">
      <w:pPr>
        <w:keepNext/>
        <w:jc w:val="center"/>
        <w:rPr>
          <w:rFonts w:eastAsia="Times New Roman"/>
          <w:b/>
          <w:sz w:val="24"/>
          <w:szCs w:val="24"/>
          <w:lang w:eastAsia="ru-RU"/>
        </w:rPr>
      </w:pPr>
      <w:r w:rsidRPr="00D82264">
        <w:rPr>
          <w:rFonts w:eastAsia="Times New Roman"/>
          <w:b/>
          <w:bCs/>
          <w:iCs/>
          <w:color w:val="000000"/>
          <w:szCs w:val="28"/>
          <w:lang w:eastAsia="uk-UA"/>
        </w:rPr>
        <w:t xml:space="preserve">Комплексна оцінка діяльності закладів перинатальної допомоги Полтавської </w:t>
      </w:r>
      <w:r w:rsidRPr="00D82264">
        <w:rPr>
          <w:rFonts w:eastAsia="Times New Roman"/>
          <w:b/>
          <w:bCs/>
          <w:iCs/>
          <w:color w:val="000000"/>
          <w:sz w:val="26"/>
          <w:szCs w:val="26"/>
          <w:lang w:eastAsia="uk-UA"/>
        </w:rPr>
        <w:t xml:space="preserve">області у </w:t>
      </w:r>
      <w:r w:rsidRPr="00D82264">
        <w:rPr>
          <w:rFonts w:eastAsia="Times New Roman"/>
          <w:b/>
          <w:bCs/>
          <w:iCs/>
          <w:color w:val="000000"/>
          <w:szCs w:val="28"/>
          <w:lang w:eastAsia="uk-UA"/>
        </w:rPr>
        <w:t>2017–2018 рр.</w:t>
      </w:r>
    </w:p>
    <w:tbl>
      <w:tblPr>
        <w:tblW w:w="10347" w:type="dxa"/>
        <w:jc w:val="center"/>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36"/>
        <w:gridCol w:w="968"/>
        <w:gridCol w:w="969"/>
        <w:gridCol w:w="968"/>
        <w:gridCol w:w="969"/>
        <w:gridCol w:w="968"/>
        <w:gridCol w:w="969"/>
      </w:tblGrid>
      <w:tr w:rsidR="00D82264" w:rsidRPr="00D82264" w:rsidTr="00D82264">
        <w:trPr>
          <w:cantSplit/>
          <w:trHeight w:val="652"/>
          <w:jc w:val="center"/>
        </w:trPr>
        <w:tc>
          <w:tcPr>
            <w:tcW w:w="4536" w:type="dxa"/>
            <w:vMerge w:val="restart"/>
            <w:tcBorders>
              <w:top w:val="single" w:sz="4" w:space="0" w:color="auto"/>
              <w:left w:val="single" w:sz="4" w:space="0" w:color="auto"/>
              <w:right w:val="single" w:sz="4" w:space="0" w:color="auto"/>
            </w:tcBorders>
            <w:vAlign w:val="center"/>
            <w:hideMark/>
          </w:tcPr>
          <w:p w:rsidR="00D82264" w:rsidRPr="00D82264" w:rsidRDefault="00D82264" w:rsidP="00D82264">
            <w:pPr>
              <w:keepNext/>
              <w:jc w:val="center"/>
              <w:rPr>
                <w:rFonts w:eastAsia="Times New Roman"/>
                <w:color w:val="000000"/>
                <w:sz w:val="24"/>
                <w:szCs w:val="24"/>
                <w:lang w:eastAsia="uk-UA"/>
              </w:rPr>
            </w:pPr>
            <w:r w:rsidRPr="00D82264">
              <w:rPr>
                <w:rFonts w:eastAsia="Times New Roman"/>
                <w:color w:val="000000"/>
                <w:sz w:val="24"/>
                <w:szCs w:val="24"/>
                <w:lang w:eastAsia="uk-UA"/>
              </w:rPr>
              <w:t>Індикатор якості</w:t>
            </w:r>
          </w:p>
        </w:tc>
        <w:tc>
          <w:tcPr>
            <w:tcW w:w="1937" w:type="dxa"/>
            <w:gridSpan w:val="2"/>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color w:val="000000"/>
                <w:sz w:val="24"/>
                <w:szCs w:val="24"/>
                <w:lang w:eastAsia="uk-UA"/>
              </w:rPr>
            </w:pPr>
            <w:r w:rsidRPr="00D82264">
              <w:rPr>
                <w:rFonts w:eastAsia="Times New Roman"/>
                <w:color w:val="000000"/>
                <w:sz w:val="24"/>
                <w:szCs w:val="24"/>
                <w:lang w:eastAsia="uk-UA"/>
              </w:rPr>
              <w:t xml:space="preserve">Фактичний показник, </w:t>
            </w:r>
            <w:r w:rsidRPr="00D82264">
              <w:rPr>
                <w:rFonts w:eastAsia="Times New Roman"/>
                <w:sz w:val="24"/>
                <w:szCs w:val="24"/>
                <w:lang w:eastAsia="uk-UA"/>
              </w:rPr>
              <w:t>Україна</w:t>
            </w:r>
          </w:p>
        </w:tc>
        <w:tc>
          <w:tcPr>
            <w:tcW w:w="1937" w:type="dxa"/>
            <w:gridSpan w:val="2"/>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color w:val="000000"/>
                <w:sz w:val="24"/>
                <w:szCs w:val="24"/>
                <w:lang w:eastAsia="uk-UA"/>
              </w:rPr>
            </w:pPr>
            <w:r w:rsidRPr="00D82264">
              <w:rPr>
                <w:rFonts w:eastAsia="Times New Roman"/>
                <w:color w:val="000000"/>
                <w:sz w:val="24"/>
                <w:szCs w:val="24"/>
                <w:lang w:eastAsia="uk-UA"/>
              </w:rPr>
              <w:t>Бальна оцінка фактичного показника</w:t>
            </w:r>
          </w:p>
        </w:tc>
        <w:tc>
          <w:tcPr>
            <w:tcW w:w="1937" w:type="dxa"/>
            <w:gridSpan w:val="2"/>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color w:val="000000"/>
                <w:sz w:val="24"/>
                <w:szCs w:val="24"/>
                <w:lang w:eastAsia="uk-UA"/>
              </w:rPr>
            </w:pPr>
            <w:r w:rsidRPr="00D82264">
              <w:rPr>
                <w:rFonts w:eastAsia="Times New Roman"/>
                <w:color w:val="000000"/>
                <w:sz w:val="24"/>
                <w:szCs w:val="24"/>
                <w:lang w:eastAsia="uk-UA"/>
              </w:rPr>
              <w:t>КДНЗ</w:t>
            </w:r>
          </w:p>
        </w:tc>
      </w:tr>
      <w:tr w:rsidR="00D82264" w:rsidRPr="00D82264" w:rsidTr="00D82264">
        <w:trPr>
          <w:trHeight w:val="404"/>
          <w:jc w:val="center"/>
        </w:trPr>
        <w:tc>
          <w:tcPr>
            <w:tcW w:w="4536" w:type="dxa"/>
            <w:vMerge/>
            <w:tcBorders>
              <w:left w:val="single" w:sz="4" w:space="0" w:color="auto"/>
              <w:bottom w:val="single" w:sz="4" w:space="0" w:color="auto"/>
              <w:right w:val="single" w:sz="4" w:space="0" w:color="auto"/>
            </w:tcBorders>
            <w:vAlign w:val="bottom"/>
          </w:tcPr>
          <w:p w:rsidR="00D82264" w:rsidRPr="00D82264" w:rsidRDefault="00D82264" w:rsidP="00D82264">
            <w:pPr>
              <w:keepNext/>
              <w:jc w:val="left"/>
              <w:rPr>
                <w:rFonts w:eastAsia="Times New Roman"/>
                <w:sz w:val="24"/>
                <w:szCs w:val="24"/>
                <w:lang w:eastAsia="ru-RU"/>
              </w:rPr>
            </w:pPr>
          </w:p>
        </w:tc>
        <w:tc>
          <w:tcPr>
            <w:tcW w:w="968"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sz w:val="24"/>
                <w:szCs w:val="24"/>
                <w:lang w:eastAsia="ru-RU"/>
              </w:rPr>
            </w:pPr>
            <w:r w:rsidRPr="00D82264">
              <w:rPr>
                <w:rFonts w:eastAsia="Times New Roman"/>
                <w:sz w:val="24"/>
                <w:szCs w:val="24"/>
                <w:lang w:eastAsia="ru-RU"/>
              </w:rPr>
              <w:t>2017 р.</w:t>
            </w:r>
          </w:p>
        </w:tc>
        <w:tc>
          <w:tcPr>
            <w:tcW w:w="969"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color w:val="000000"/>
                <w:sz w:val="24"/>
                <w:szCs w:val="24"/>
                <w:lang w:eastAsia="ru-RU"/>
              </w:rPr>
            </w:pPr>
            <w:r w:rsidRPr="00D82264">
              <w:rPr>
                <w:rFonts w:eastAsia="Times New Roman"/>
                <w:color w:val="000000"/>
                <w:sz w:val="24"/>
                <w:szCs w:val="24"/>
                <w:lang w:eastAsia="ru-RU"/>
              </w:rPr>
              <w:t>2018 р.</w:t>
            </w:r>
          </w:p>
        </w:tc>
        <w:tc>
          <w:tcPr>
            <w:tcW w:w="968"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sz w:val="24"/>
                <w:szCs w:val="24"/>
                <w:lang w:eastAsia="ru-RU"/>
              </w:rPr>
            </w:pPr>
            <w:r w:rsidRPr="00D82264">
              <w:rPr>
                <w:rFonts w:eastAsia="Times New Roman"/>
                <w:sz w:val="24"/>
                <w:szCs w:val="24"/>
                <w:lang w:eastAsia="ru-RU"/>
              </w:rPr>
              <w:t>2017 р.</w:t>
            </w:r>
          </w:p>
        </w:tc>
        <w:tc>
          <w:tcPr>
            <w:tcW w:w="969"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sz w:val="24"/>
                <w:szCs w:val="24"/>
                <w:lang w:eastAsia="ru-RU"/>
              </w:rPr>
            </w:pPr>
            <w:r w:rsidRPr="00D82264">
              <w:rPr>
                <w:rFonts w:eastAsia="Times New Roman"/>
                <w:sz w:val="24"/>
                <w:szCs w:val="24"/>
                <w:lang w:eastAsia="ru-RU"/>
              </w:rPr>
              <w:t>2017 р.</w:t>
            </w:r>
          </w:p>
        </w:tc>
        <w:tc>
          <w:tcPr>
            <w:tcW w:w="968"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color w:val="000000"/>
                <w:sz w:val="24"/>
                <w:szCs w:val="24"/>
                <w:lang w:eastAsia="ru-RU"/>
              </w:rPr>
            </w:pPr>
            <w:r w:rsidRPr="00D82264">
              <w:rPr>
                <w:rFonts w:eastAsia="Times New Roman"/>
                <w:color w:val="000000"/>
                <w:sz w:val="24"/>
                <w:szCs w:val="24"/>
                <w:lang w:eastAsia="ru-RU"/>
              </w:rPr>
              <w:t>2018 р.</w:t>
            </w:r>
          </w:p>
        </w:tc>
        <w:tc>
          <w:tcPr>
            <w:tcW w:w="969"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sz w:val="24"/>
                <w:szCs w:val="24"/>
                <w:lang w:eastAsia="ru-RU"/>
              </w:rPr>
            </w:pPr>
            <w:r w:rsidRPr="00D82264">
              <w:rPr>
                <w:rFonts w:eastAsia="Times New Roman"/>
                <w:sz w:val="24"/>
                <w:szCs w:val="24"/>
                <w:lang w:eastAsia="ru-RU"/>
              </w:rPr>
              <w:t>2017 р.</w:t>
            </w:r>
          </w:p>
        </w:tc>
      </w:tr>
      <w:tr w:rsidR="00D82264" w:rsidRPr="00D82264" w:rsidTr="00D82264">
        <w:trPr>
          <w:trHeight w:val="404"/>
          <w:jc w:val="center"/>
        </w:trPr>
        <w:tc>
          <w:tcPr>
            <w:tcW w:w="4536"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left"/>
              <w:rPr>
                <w:rFonts w:eastAsia="Times New Roman"/>
                <w:sz w:val="24"/>
                <w:szCs w:val="24"/>
                <w:lang w:eastAsia="ru-RU"/>
              </w:rPr>
            </w:pPr>
            <w:r w:rsidRPr="00D82264">
              <w:rPr>
                <w:rFonts w:eastAsia="Times New Roman"/>
                <w:sz w:val="24"/>
                <w:szCs w:val="24"/>
                <w:lang w:eastAsia="ru-RU"/>
              </w:rPr>
              <w:t>Забезпеченість  лікарями акушер-гінекологами</w:t>
            </w:r>
          </w:p>
        </w:tc>
        <w:tc>
          <w:tcPr>
            <w:tcW w:w="968"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sz w:val="24"/>
                <w:szCs w:val="24"/>
                <w:lang w:eastAsia="ru-RU"/>
              </w:rPr>
            </w:pPr>
            <w:r w:rsidRPr="00D82264">
              <w:rPr>
                <w:rFonts w:eastAsia="Times New Roman"/>
                <w:sz w:val="24"/>
                <w:szCs w:val="24"/>
                <w:lang w:eastAsia="ru-RU"/>
              </w:rPr>
              <w:t>4,28</w:t>
            </w:r>
          </w:p>
        </w:tc>
        <w:tc>
          <w:tcPr>
            <w:tcW w:w="969"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color w:val="000000"/>
                <w:sz w:val="24"/>
                <w:szCs w:val="24"/>
                <w:lang w:eastAsia="ru-RU"/>
              </w:rPr>
            </w:pPr>
            <w:r w:rsidRPr="00D82264">
              <w:rPr>
                <w:rFonts w:eastAsia="Times New Roman"/>
                <w:color w:val="000000"/>
                <w:sz w:val="24"/>
                <w:szCs w:val="24"/>
                <w:lang w:eastAsia="ru-RU"/>
              </w:rPr>
              <w:t>4,26</w:t>
            </w:r>
          </w:p>
        </w:tc>
        <w:tc>
          <w:tcPr>
            <w:tcW w:w="968"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sz w:val="24"/>
                <w:szCs w:val="24"/>
                <w:lang w:eastAsia="ru-RU"/>
              </w:rPr>
            </w:pPr>
            <w:r w:rsidRPr="00D82264">
              <w:rPr>
                <w:rFonts w:eastAsia="Times New Roman"/>
                <w:sz w:val="24"/>
                <w:szCs w:val="24"/>
                <w:lang w:eastAsia="ru-RU"/>
              </w:rPr>
              <w:t>4,7</w:t>
            </w:r>
          </w:p>
        </w:tc>
        <w:tc>
          <w:tcPr>
            <w:tcW w:w="969"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color w:val="000000"/>
                <w:sz w:val="24"/>
                <w:szCs w:val="24"/>
                <w:lang w:eastAsia="ru-RU"/>
              </w:rPr>
            </w:pPr>
            <w:r w:rsidRPr="00D82264">
              <w:rPr>
                <w:rFonts w:eastAsia="Times New Roman"/>
                <w:color w:val="000000"/>
                <w:sz w:val="24"/>
                <w:szCs w:val="24"/>
                <w:lang w:eastAsia="ru-RU"/>
              </w:rPr>
              <w:t>4,65</w:t>
            </w:r>
          </w:p>
        </w:tc>
        <w:tc>
          <w:tcPr>
            <w:tcW w:w="968"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sz w:val="24"/>
                <w:szCs w:val="24"/>
                <w:lang w:eastAsia="ru-RU"/>
              </w:rPr>
            </w:pPr>
            <w:r w:rsidRPr="00D82264">
              <w:rPr>
                <w:rFonts w:eastAsia="Times New Roman"/>
                <w:sz w:val="24"/>
                <w:szCs w:val="24"/>
                <w:lang w:eastAsia="ru-RU"/>
              </w:rPr>
              <w:t>0,78</w:t>
            </w:r>
          </w:p>
        </w:tc>
        <w:tc>
          <w:tcPr>
            <w:tcW w:w="969"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color w:val="000000"/>
                <w:sz w:val="24"/>
                <w:szCs w:val="24"/>
                <w:lang w:eastAsia="ru-RU"/>
              </w:rPr>
            </w:pPr>
            <w:r w:rsidRPr="00D82264">
              <w:rPr>
                <w:rFonts w:eastAsia="Times New Roman"/>
                <w:color w:val="000000"/>
                <w:sz w:val="24"/>
                <w:szCs w:val="24"/>
                <w:lang w:eastAsia="ru-RU"/>
              </w:rPr>
              <w:t>0,78</w:t>
            </w:r>
          </w:p>
        </w:tc>
      </w:tr>
      <w:tr w:rsidR="00D82264" w:rsidRPr="00D82264" w:rsidTr="00D82264">
        <w:trPr>
          <w:trHeight w:val="404"/>
          <w:jc w:val="center"/>
        </w:trPr>
        <w:tc>
          <w:tcPr>
            <w:tcW w:w="4536" w:type="dxa"/>
            <w:tcBorders>
              <w:top w:val="single" w:sz="4" w:space="0" w:color="auto"/>
              <w:left w:val="single" w:sz="4" w:space="0" w:color="auto"/>
              <w:bottom w:val="single" w:sz="4" w:space="0" w:color="auto"/>
              <w:right w:val="single" w:sz="4" w:space="0" w:color="auto"/>
            </w:tcBorders>
            <w:vAlign w:val="bottom"/>
          </w:tcPr>
          <w:p w:rsidR="00D82264" w:rsidRPr="00D82264" w:rsidRDefault="00D82264" w:rsidP="00D82264">
            <w:pPr>
              <w:keepNext/>
              <w:jc w:val="left"/>
              <w:rPr>
                <w:rFonts w:eastAsia="Times New Roman"/>
                <w:sz w:val="24"/>
                <w:szCs w:val="24"/>
                <w:lang w:eastAsia="ru-RU"/>
              </w:rPr>
            </w:pPr>
            <w:r w:rsidRPr="00D82264">
              <w:rPr>
                <w:rFonts w:eastAsia="Times New Roman"/>
                <w:sz w:val="24"/>
                <w:szCs w:val="24"/>
                <w:lang w:eastAsia="ru-RU"/>
              </w:rPr>
              <w:t>Забезпеченість  лікарями  педіатрами-неонатологами</w:t>
            </w:r>
          </w:p>
        </w:tc>
        <w:tc>
          <w:tcPr>
            <w:tcW w:w="968"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sz w:val="24"/>
                <w:szCs w:val="24"/>
                <w:lang w:eastAsia="ru-RU"/>
              </w:rPr>
            </w:pPr>
            <w:r w:rsidRPr="00D82264">
              <w:rPr>
                <w:rFonts w:eastAsia="Times New Roman"/>
                <w:sz w:val="24"/>
                <w:szCs w:val="24"/>
                <w:lang w:eastAsia="ru-RU"/>
              </w:rPr>
              <w:t>4,94</w:t>
            </w:r>
          </w:p>
        </w:tc>
        <w:tc>
          <w:tcPr>
            <w:tcW w:w="969"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color w:val="000000"/>
                <w:sz w:val="24"/>
                <w:szCs w:val="24"/>
                <w:lang w:eastAsia="ru-RU"/>
              </w:rPr>
            </w:pPr>
            <w:r w:rsidRPr="00D82264">
              <w:rPr>
                <w:rFonts w:eastAsia="Times New Roman"/>
                <w:color w:val="000000"/>
                <w:sz w:val="24"/>
                <w:szCs w:val="24"/>
                <w:lang w:eastAsia="ru-RU"/>
              </w:rPr>
              <w:t>5,68</w:t>
            </w:r>
          </w:p>
        </w:tc>
        <w:tc>
          <w:tcPr>
            <w:tcW w:w="968"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sz w:val="24"/>
                <w:szCs w:val="24"/>
                <w:lang w:eastAsia="ru-RU"/>
              </w:rPr>
            </w:pPr>
            <w:r w:rsidRPr="00D82264">
              <w:rPr>
                <w:rFonts w:eastAsia="Times New Roman"/>
                <w:sz w:val="24"/>
                <w:szCs w:val="24"/>
                <w:lang w:eastAsia="ru-RU"/>
              </w:rPr>
              <w:t>5,4</w:t>
            </w:r>
          </w:p>
        </w:tc>
        <w:tc>
          <w:tcPr>
            <w:tcW w:w="969"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color w:val="000000"/>
                <w:sz w:val="24"/>
                <w:szCs w:val="24"/>
                <w:lang w:eastAsia="ru-RU"/>
              </w:rPr>
            </w:pPr>
            <w:r w:rsidRPr="00D82264">
              <w:rPr>
                <w:rFonts w:eastAsia="Times New Roman"/>
                <w:color w:val="000000"/>
                <w:sz w:val="24"/>
                <w:szCs w:val="24"/>
                <w:lang w:eastAsia="ru-RU"/>
              </w:rPr>
              <w:t>6,0</w:t>
            </w:r>
          </w:p>
        </w:tc>
        <w:tc>
          <w:tcPr>
            <w:tcW w:w="968"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sz w:val="24"/>
                <w:szCs w:val="24"/>
                <w:lang w:eastAsia="ru-RU"/>
              </w:rPr>
            </w:pPr>
            <w:r w:rsidRPr="00D82264">
              <w:rPr>
                <w:rFonts w:eastAsia="Times New Roman"/>
                <w:sz w:val="24"/>
                <w:szCs w:val="24"/>
                <w:lang w:eastAsia="ru-RU"/>
              </w:rPr>
              <w:t>0,90</w:t>
            </w:r>
          </w:p>
        </w:tc>
        <w:tc>
          <w:tcPr>
            <w:tcW w:w="969"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color w:val="000000"/>
                <w:sz w:val="24"/>
                <w:szCs w:val="24"/>
                <w:lang w:eastAsia="ru-RU"/>
              </w:rPr>
            </w:pPr>
            <w:r w:rsidRPr="00D82264">
              <w:rPr>
                <w:rFonts w:eastAsia="Times New Roman"/>
                <w:color w:val="000000"/>
                <w:sz w:val="24"/>
                <w:szCs w:val="24"/>
                <w:lang w:eastAsia="ru-RU"/>
              </w:rPr>
              <w:t>1,00</w:t>
            </w:r>
          </w:p>
        </w:tc>
      </w:tr>
      <w:tr w:rsidR="00D82264" w:rsidRPr="00D82264" w:rsidTr="00D82264">
        <w:trPr>
          <w:trHeight w:val="404"/>
          <w:jc w:val="center"/>
        </w:trPr>
        <w:tc>
          <w:tcPr>
            <w:tcW w:w="4536" w:type="dxa"/>
            <w:tcBorders>
              <w:top w:val="single" w:sz="4" w:space="0" w:color="auto"/>
              <w:left w:val="single" w:sz="4" w:space="0" w:color="auto"/>
              <w:bottom w:val="single" w:sz="4" w:space="0" w:color="auto"/>
              <w:right w:val="single" w:sz="4" w:space="0" w:color="auto"/>
            </w:tcBorders>
            <w:vAlign w:val="bottom"/>
          </w:tcPr>
          <w:p w:rsidR="00D82264" w:rsidRPr="00D82264" w:rsidRDefault="00D82264" w:rsidP="00D82264">
            <w:pPr>
              <w:keepNext/>
              <w:jc w:val="left"/>
              <w:rPr>
                <w:rFonts w:eastAsia="Times New Roman"/>
                <w:sz w:val="24"/>
                <w:szCs w:val="24"/>
                <w:lang w:eastAsia="ru-RU"/>
              </w:rPr>
            </w:pPr>
            <w:r w:rsidRPr="00D82264">
              <w:rPr>
                <w:rFonts w:eastAsia="Times New Roman"/>
                <w:sz w:val="24"/>
                <w:szCs w:val="24"/>
                <w:lang w:eastAsia="ru-RU"/>
              </w:rPr>
              <w:t>Питома вага атестованих лікарів акушер-гінекологів</w:t>
            </w:r>
          </w:p>
        </w:tc>
        <w:tc>
          <w:tcPr>
            <w:tcW w:w="968"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sz w:val="24"/>
                <w:szCs w:val="24"/>
                <w:lang w:eastAsia="ru-RU"/>
              </w:rPr>
            </w:pPr>
            <w:r w:rsidRPr="00D82264">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color w:val="000000"/>
                <w:sz w:val="24"/>
                <w:szCs w:val="24"/>
                <w:lang w:eastAsia="ru-RU"/>
              </w:rPr>
            </w:pPr>
            <w:r w:rsidRPr="00D82264">
              <w:rPr>
                <w:rFonts w:eastAsia="Times New Roman"/>
                <w:color w:val="000000"/>
                <w:sz w:val="24"/>
                <w:szCs w:val="24"/>
                <w:lang w:eastAsia="ru-RU"/>
              </w:rPr>
              <w:t>84,52</w:t>
            </w:r>
          </w:p>
        </w:tc>
        <w:tc>
          <w:tcPr>
            <w:tcW w:w="968"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sz w:val="24"/>
                <w:szCs w:val="24"/>
                <w:lang w:eastAsia="ru-RU"/>
              </w:rPr>
            </w:pPr>
            <w:r w:rsidRPr="00D82264">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color w:val="000000"/>
                <w:sz w:val="24"/>
                <w:szCs w:val="24"/>
                <w:lang w:eastAsia="ru-RU"/>
              </w:rPr>
            </w:pPr>
            <w:r w:rsidRPr="00D82264">
              <w:rPr>
                <w:rFonts w:eastAsia="Times New Roman"/>
                <w:color w:val="000000"/>
                <w:sz w:val="24"/>
                <w:szCs w:val="24"/>
                <w:lang w:eastAsia="ru-RU"/>
              </w:rPr>
              <w:t>5,63</w:t>
            </w:r>
          </w:p>
        </w:tc>
        <w:tc>
          <w:tcPr>
            <w:tcW w:w="968"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sz w:val="24"/>
                <w:szCs w:val="24"/>
                <w:lang w:eastAsia="ru-RU"/>
              </w:rPr>
            </w:pPr>
            <w:r w:rsidRPr="00D82264">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color w:val="000000"/>
                <w:sz w:val="24"/>
                <w:szCs w:val="24"/>
                <w:lang w:eastAsia="ru-RU"/>
              </w:rPr>
            </w:pPr>
            <w:r w:rsidRPr="00D82264">
              <w:rPr>
                <w:rFonts w:eastAsia="Times New Roman"/>
                <w:color w:val="000000"/>
                <w:sz w:val="24"/>
                <w:szCs w:val="24"/>
                <w:lang w:eastAsia="ru-RU"/>
              </w:rPr>
              <w:t>0,94</w:t>
            </w:r>
          </w:p>
        </w:tc>
      </w:tr>
      <w:tr w:rsidR="00D82264" w:rsidRPr="00D82264" w:rsidTr="00D82264">
        <w:trPr>
          <w:trHeight w:val="404"/>
          <w:jc w:val="center"/>
        </w:trPr>
        <w:tc>
          <w:tcPr>
            <w:tcW w:w="4536" w:type="dxa"/>
            <w:tcBorders>
              <w:top w:val="single" w:sz="4" w:space="0" w:color="auto"/>
              <w:left w:val="single" w:sz="4" w:space="0" w:color="auto"/>
              <w:bottom w:val="single" w:sz="4" w:space="0" w:color="auto"/>
              <w:right w:val="single" w:sz="4" w:space="0" w:color="auto"/>
            </w:tcBorders>
            <w:vAlign w:val="bottom"/>
          </w:tcPr>
          <w:p w:rsidR="00D82264" w:rsidRPr="00D82264" w:rsidRDefault="00D82264" w:rsidP="00D82264">
            <w:pPr>
              <w:keepNext/>
              <w:jc w:val="left"/>
              <w:rPr>
                <w:rFonts w:eastAsia="Times New Roman"/>
                <w:sz w:val="24"/>
                <w:szCs w:val="24"/>
                <w:lang w:eastAsia="ru-RU"/>
              </w:rPr>
            </w:pPr>
            <w:r w:rsidRPr="00D82264">
              <w:rPr>
                <w:rFonts w:eastAsia="Times New Roman"/>
                <w:sz w:val="24"/>
                <w:szCs w:val="24"/>
                <w:lang w:eastAsia="ru-RU"/>
              </w:rPr>
              <w:t>Питома вага атестованих лікарів педіатрів-неонатологів</w:t>
            </w:r>
          </w:p>
        </w:tc>
        <w:tc>
          <w:tcPr>
            <w:tcW w:w="968"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sz w:val="24"/>
                <w:szCs w:val="24"/>
                <w:lang w:eastAsia="ru-RU"/>
              </w:rPr>
            </w:pPr>
            <w:r w:rsidRPr="00D82264">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color w:val="000000"/>
                <w:sz w:val="24"/>
                <w:szCs w:val="24"/>
                <w:lang w:eastAsia="ru-RU"/>
              </w:rPr>
            </w:pPr>
            <w:r w:rsidRPr="00D82264">
              <w:rPr>
                <w:rFonts w:eastAsia="Times New Roman"/>
                <w:color w:val="000000"/>
                <w:sz w:val="24"/>
                <w:szCs w:val="24"/>
                <w:lang w:eastAsia="ru-RU"/>
              </w:rPr>
              <w:t>67,24</w:t>
            </w:r>
          </w:p>
        </w:tc>
        <w:tc>
          <w:tcPr>
            <w:tcW w:w="968"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sz w:val="24"/>
                <w:szCs w:val="24"/>
                <w:lang w:eastAsia="ru-RU"/>
              </w:rPr>
            </w:pPr>
            <w:r w:rsidRPr="00D82264">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color w:val="000000"/>
                <w:sz w:val="24"/>
                <w:szCs w:val="24"/>
                <w:lang w:eastAsia="ru-RU"/>
              </w:rPr>
            </w:pPr>
            <w:r w:rsidRPr="00D82264">
              <w:rPr>
                <w:rFonts w:eastAsia="Times New Roman"/>
                <w:color w:val="000000"/>
                <w:sz w:val="24"/>
                <w:szCs w:val="24"/>
                <w:lang w:eastAsia="ru-RU"/>
              </w:rPr>
              <w:t>5,04</w:t>
            </w:r>
          </w:p>
        </w:tc>
        <w:tc>
          <w:tcPr>
            <w:tcW w:w="968"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sz w:val="24"/>
                <w:szCs w:val="24"/>
                <w:lang w:eastAsia="ru-RU"/>
              </w:rPr>
            </w:pPr>
            <w:r w:rsidRPr="00D82264">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color w:val="000000"/>
                <w:sz w:val="24"/>
                <w:szCs w:val="24"/>
                <w:lang w:eastAsia="ru-RU"/>
              </w:rPr>
            </w:pPr>
            <w:r w:rsidRPr="00D82264">
              <w:rPr>
                <w:rFonts w:eastAsia="Times New Roman"/>
                <w:color w:val="000000"/>
                <w:sz w:val="24"/>
                <w:szCs w:val="24"/>
                <w:lang w:eastAsia="ru-RU"/>
              </w:rPr>
              <w:t>0,84</w:t>
            </w:r>
          </w:p>
        </w:tc>
      </w:tr>
      <w:tr w:rsidR="00D82264" w:rsidRPr="00D82264" w:rsidTr="00D82264">
        <w:trPr>
          <w:trHeight w:val="346"/>
          <w:jc w:val="center"/>
        </w:trPr>
        <w:tc>
          <w:tcPr>
            <w:tcW w:w="4536"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left"/>
              <w:rPr>
                <w:rFonts w:eastAsia="Times New Roman"/>
                <w:sz w:val="24"/>
                <w:szCs w:val="24"/>
                <w:lang w:eastAsia="ru-RU"/>
              </w:rPr>
            </w:pPr>
            <w:r w:rsidRPr="00D82264">
              <w:rPr>
                <w:rFonts w:eastAsia="Times New Roman"/>
                <w:sz w:val="24"/>
                <w:szCs w:val="24"/>
                <w:lang w:eastAsia="ru-RU"/>
              </w:rPr>
              <w:t xml:space="preserve">Своєчасність постановки на облік вагітних </w:t>
            </w:r>
          </w:p>
        </w:tc>
        <w:tc>
          <w:tcPr>
            <w:tcW w:w="968"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color w:val="000000"/>
                <w:sz w:val="24"/>
                <w:szCs w:val="24"/>
                <w:lang w:eastAsia="ru-RU"/>
              </w:rPr>
            </w:pPr>
            <w:r w:rsidRPr="00D82264">
              <w:rPr>
                <w:rFonts w:eastAsia="Times New Roman"/>
                <w:color w:val="000000"/>
                <w:sz w:val="24"/>
                <w:szCs w:val="24"/>
                <w:lang w:eastAsia="ru-RU"/>
              </w:rPr>
              <w:t>88,67</w:t>
            </w:r>
          </w:p>
        </w:tc>
        <w:tc>
          <w:tcPr>
            <w:tcW w:w="969"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color w:val="000000"/>
                <w:sz w:val="24"/>
                <w:szCs w:val="24"/>
                <w:lang w:eastAsia="ru-RU"/>
              </w:rPr>
            </w:pPr>
            <w:r w:rsidRPr="00D82264">
              <w:rPr>
                <w:rFonts w:eastAsia="Times New Roman"/>
                <w:color w:val="000000"/>
                <w:sz w:val="24"/>
                <w:szCs w:val="24"/>
                <w:lang w:eastAsia="ru-RU"/>
              </w:rPr>
              <w:t>89,43</w:t>
            </w:r>
          </w:p>
        </w:tc>
        <w:tc>
          <w:tcPr>
            <w:tcW w:w="968"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color w:val="000000"/>
                <w:sz w:val="24"/>
                <w:szCs w:val="24"/>
                <w:lang w:eastAsia="ru-RU"/>
              </w:rPr>
            </w:pPr>
            <w:r w:rsidRPr="00D82264">
              <w:rPr>
                <w:rFonts w:eastAsia="Times New Roman"/>
                <w:color w:val="000000"/>
                <w:sz w:val="24"/>
                <w:szCs w:val="24"/>
                <w:lang w:eastAsia="ru-RU"/>
              </w:rPr>
              <w:t>6,5</w:t>
            </w:r>
          </w:p>
        </w:tc>
        <w:tc>
          <w:tcPr>
            <w:tcW w:w="969"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color w:val="000000"/>
                <w:sz w:val="24"/>
                <w:szCs w:val="24"/>
                <w:lang w:eastAsia="ru-RU"/>
              </w:rPr>
            </w:pPr>
            <w:r w:rsidRPr="00D82264">
              <w:rPr>
                <w:rFonts w:eastAsia="Times New Roman"/>
                <w:color w:val="000000"/>
                <w:sz w:val="24"/>
                <w:szCs w:val="24"/>
                <w:lang w:eastAsia="ru-RU"/>
              </w:rPr>
              <w:t>6,61</w:t>
            </w:r>
          </w:p>
        </w:tc>
        <w:tc>
          <w:tcPr>
            <w:tcW w:w="968"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color w:val="000000"/>
                <w:sz w:val="24"/>
                <w:szCs w:val="24"/>
                <w:lang w:eastAsia="ru-RU"/>
              </w:rPr>
            </w:pPr>
            <w:r w:rsidRPr="00D82264">
              <w:rPr>
                <w:rFonts w:eastAsia="Times New Roman"/>
                <w:color w:val="000000"/>
                <w:sz w:val="24"/>
                <w:szCs w:val="24"/>
                <w:lang w:eastAsia="ru-RU"/>
              </w:rPr>
              <w:t>0,93</w:t>
            </w:r>
          </w:p>
        </w:tc>
        <w:tc>
          <w:tcPr>
            <w:tcW w:w="969"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color w:val="000000"/>
                <w:sz w:val="24"/>
                <w:szCs w:val="24"/>
                <w:lang w:eastAsia="ru-RU"/>
              </w:rPr>
            </w:pPr>
            <w:r w:rsidRPr="00D82264">
              <w:rPr>
                <w:rFonts w:eastAsia="Times New Roman"/>
                <w:color w:val="000000"/>
                <w:sz w:val="24"/>
                <w:szCs w:val="24"/>
                <w:lang w:eastAsia="ru-RU"/>
              </w:rPr>
              <w:t>0,94</w:t>
            </w:r>
          </w:p>
        </w:tc>
      </w:tr>
      <w:tr w:rsidR="00D82264" w:rsidRPr="00D82264" w:rsidTr="00D82264">
        <w:trPr>
          <w:trHeight w:val="266"/>
          <w:jc w:val="center"/>
        </w:trPr>
        <w:tc>
          <w:tcPr>
            <w:tcW w:w="4536"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left"/>
              <w:rPr>
                <w:rFonts w:eastAsia="Times New Roman"/>
                <w:sz w:val="24"/>
                <w:szCs w:val="24"/>
                <w:lang w:eastAsia="ru-RU"/>
              </w:rPr>
            </w:pPr>
            <w:r w:rsidRPr="00D82264">
              <w:rPr>
                <w:rFonts w:eastAsia="Times New Roman"/>
                <w:sz w:val="24"/>
                <w:szCs w:val="24"/>
                <w:lang w:eastAsia="ru-RU"/>
              </w:rPr>
              <w:t>Частота анемій вагітних</w:t>
            </w:r>
          </w:p>
        </w:tc>
        <w:tc>
          <w:tcPr>
            <w:tcW w:w="968"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color w:val="000000"/>
                <w:sz w:val="24"/>
                <w:szCs w:val="24"/>
                <w:lang w:eastAsia="ru-RU"/>
              </w:rPr>
            </w:pPr>
            <w:r w:rsidRPr="00D82264">
              <w:rPr>
                <w:rFonts w:eastAsia="Times New Roman"/>
                <w:color w:val="000000"/>
                <w:sz w:val="24"/>
                <w:szCs w:val="24"/>
                <w:lang w:eastAsia="ru-RU"/>
              </w:rPr>
              <w:t>25,82</w:t>
            </w:r>
          </w:p>
        </w:tc>
        <w:tc>
          <w:tcPr>
            <w:tcW w:w="969"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color w:val="000000"/>
                <w:sz w:val="24"/>
                <w:szCs w:val="24"/>
                <w:lang w:eastAsia="ru-RU"/>
              </w:rPr>
            </w:pPr>
            <w:r w:rsidRPr="00D82264">
              <w:rPr>
                <w:rFonts w:eastAsia="Times New Roman"/>
                <w:color w:val="000000"/>
                <w:sz w:val="24"/>
                <w:szCs w:val="24"/>
                <w:lang w:eastAsia="ru-RU"/>
              </w:rPr>
              <w:t>25,27</w:t>
            </w:r>
          </w:p>
        </w:tc>
        <w:tc>
          <w:tcPr>
            <w:tcW w:w="968"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color w:val="000000"/>
                <w:sz w:val="24"/>
                <w:szCs w:val="24"/>
                <w:lang w:eastAsia="ru-RU"/>
              </w:rPr>
            </w:pPr>
            <w:r w:rsidRPr="00D82264">
              <w:rPr>
                <w:rFonts w:eastAsia="Times New Roman"/>
                <w:color w:val="000000"/>
                <w:sz w:val="24"/>
                <w:szCs w:val="24"/>
                <w:lang w:eastAsia="ru-RU"/>
              </w:rPr>
              <w:t>2,85</w:t>
            </w:r>
          </w:p>
        </w:tc>
        <w:tc>
          <w:tcPr>
            <w:tcW w:w="969"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color w:val="000000"/>
                <w:sz w:val="24"/>
                <w:szCs w:val="24"/>
                <w:lang w:eastAsia="ru-RU"/>
              </w:rPr>
            </w:pPr>
            <w:r w:rsidRPr="00D82264">
              <w:rPr>
                <w:rFonts w:eastAsia="Times New Roman"/>
                <w:color w:val="000000"/>
                <w:sz w:val="24"/>
                <w:szCs w:val="24"/>
                <w:lang w:eastAsia="ru-RU"/>
              </w:rPr>
              <w:t>3,28</w:t>
            </w:r>
          </w:p>
        </w:tc>
        <w:tc>
          <w:tcPr>
            <w:tcW w:w="968"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color w:val="000000"/>
                <w:sz w:val="24"/>
                <w:szCs w:val="24"/>
                <w:lang w:eastAsia="ru-RU"/>
              </w:rPr>
            </w:pPr>
            <w:r w:rsidRPr="00D82264">
              <w:rPr>
                <w:rFonts w:eastAsia="Times New Roman"/>
                <w:color w:val="000000"/>
                <w:sz w:val="24"/>
                <w:szCs w:val="24"/>
                <w:lang w:eastAsia="ru-RU"/>
              </w:rPr>
              <w:t>0,71</w:t>
            </w:r>
          </w:p>
        </w:tc>
        <w:tc>
          <w:tcPr>
            <w:tcW w:w="969"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color w:val="000000"/>
                <w:sz w:val="24"/>
                <w:szCs w:val="24"/>
                <w:lang w:eastAsia="ru-RU"/>
              </w:rPr>
            </w:pPr>
            <w:r w:rsidRPr="00D82264">
              <w:rPr>
                <w:rFonts w:eastAsia="Times New Roman"/>
                <w:color w:val="000000"/>
                <w:sz w:val="24"/>
                <w:szCs w:val="24"/>
                <w:lang w:eastAsia="ru-RU"/>
              </w:rPr>
              <w:t>0,82</w:t>
            </w:r>
          </w:p>
        </w:tc>
      </w:tr>
      <w:tr w:rsidR="00D82264" w:rsidRPr="00D82264" w:rsidTr="00D82264">
        <w:trPr>
          <w:trHeight w:val="319"/>
          <w:jc w:val="center"/>
        </w:trPr>
        <w:tc>
          <w:tcPr>
            <w:tcW w:w="4536"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left"/>
              <w:rPr>
                <w:rFonts w:eastAsia="Times New Roman"/>
                <w:sz w:val="24"/>
                <w:szCs w:val="24"/>
                <w:lang w:eastAsia="ru-RU"/>
              </w:rPr>
            </w:pPr>
            <w:r w:rsidRPr="00D82264">
              <w:rPr>
                <w:rFonts w:eastAsia="Times New Roman"/>
                <w:sz w:val="24"/>
                <w:szCs w:val="24"/>
                <w:lang w:eastAsia="ru-RU"/>
              </w:rPr>
              <w:t>Частота прееклампсій та еклампсій вагітних</w:t>
            </w:r>
          </w:p>
        </w:tc>
        <w:tc>
          <w:tcPr>
            <w:tcW w:w="968"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color w:val="000000"/>
                <w:sz w:val="24"/>
                <w:szCs w:val="24"/>
                <w:lang w:eastAsia="ru-RU"/>
              </w:rPr>
            </w:pPr>
            <w:r w:rsidRPr="00D82264">
              <w:rPr>
                <w:rFonts w:eastAsia="Times New Roman"/>
                <w:color w:val="000000"/>
                <w:sz w:val="24"/>
                <w:szCs w:val="24"/>
                <w:lang w:eastAsia="ru-RU"/>
              </w:rPr>
              <w:t>3,4</w:t>
            </w:r>
          </w:p>
        </w:tc>
        <w:tc>
          <w:tcPr>
            <w:tcW w:w="969"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color w:val="000000"/>
                <w:sz w:val="24"/>
                <w:szCs w:val="24"/>
                <w:lang w:eastAsia="ru-RU"/>
              </w:rPr>
            </w:pPr>
            <w:r w:rsidRPr="00D82264">
              <w:rPr>
                <w:rFonts w:eastAsia="Times New Roman"/>
                <w:color w:val="000000"/>
                <w:sz w:val="24"/>
                <w:szCs w:val="24"/>
                <w:lang w:eastAsia="ru-RU"/>
              </w:rPr>
              <w:t>3,13</w:t>
            </w:r>
          </w:p>
        </w:tc>
        <w:tc>
          <w:tcPr>
            <w:tcW w:w="968"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color w:val="000000"/>
                <w:sz w:val="24"/>
                <w:szCs w:val="24"/>
                <w:lang w:eastAsia="ru-RU"/>
              </w:rPr>
            </w:pPr>
            <w:r w:rsidRPr="00D82264">
              <w:rPr>
                <w:rFonts w:eastAsia="Times New Roman"/>
                <w:color w:val="000000"/>
                <w:sz w:val="24"/>
                <w:szCs w:val="24"/>
                <w:lang w:eastAsia="ru-RU"/>
              </w:rPr>
              <w:t>0,4</w:t>
            </w:r>
          </w:p>
        </w:tc>
        <w:tc>
          <w:tcPr>
            <w:tcW w:w="969"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color w:val="000000"/>
                <w:sz w:val="24"/>
                <w:szCs w:val="24"/>
                <w:lang w:eastAsia="ru-RU"/>
              </w:rPr>
            </w:pPr>
            <w:r w:rsidRPr="00D82264">
              <w:rPr>
                <w:rFonts w:eastAsia="Times New Roman"/>
                <w:color w:val="000000"/>
                <w:sz w:val="24"/>
                <w:szCs w:val="24"/>
                <w:lang w:eastAsia="ru-RU"/>
              </w:rPr>
              <w:t>1,48</w:t>
            </w:r>
          </w:p>
        </w:tc>
        <w:tc>
          <w:tcPr>
            <w:tcW w:w="968"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color w:val="000000"/>
                <w:sz w:val="24"/>
                <w:szCs w:val="24"/>
                <w:lang w:eastAsia="ru-RU"/>
              </w:rPr>
            </w:pPr>
            <w:r w:rsidRPr="00D82264">
              <w:rPr>
                <w:rFonts w:eastAsia="Times New Roman"/>
                <w:color w:val="000000"/>
                <w:sz w:val="24"/>
                <w:szCs w:val="24"/>
                <w:lang w:eastAsia="ru-RU"/>
              </w:rPr>
              <w:t>0,06</w:t>
            </w:r>
          </w:p>
        </w:tc>
        <w:tc>
          <w:tcPr>
            <w:tcW w:w="969"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color w:val="000000"/>
                <w:sz w:val="24"/>
                <w:szCs w:val="24"/>
                <w:lang w:eastAsia="ru-RU"/>
              </w:rPr>
            </w:pPr>
            <w:r w:rsidRPr="00D82264">
              <w:rPr>
                <w:rFonts w:eastAsia="Times New Roman"/>
                <w:color w:val="000000"/>
                <w:sz w:val="24"/>
                <w:szCs w:val="24"/>
                <w:lang w:eastAsia="ru-RU"/>
              </w:rPr>
              <w:t>0,21</w:t>
            </w:r>
          </w:p>
        </w:tc>
      </w:tr>
      <w:tr w:rsidR="00D82264" w:rsidRPr="00D82264" w:rsidTr="00D82264">
        <w:trPr>
          <w:trHeight w:val="284"/>
          <w:jc w:val="center"/>
        </w:trPr>
        <w:tc>
          <w:tcPr>
            <w:tcW w:w="4536"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left"/>
              <w:rPr>
                <w:rFonts w:eastAsia="Times New Roman"/>
                <w:sz w:val="24"/>
                <w:szCs w:val="24"/>
                <w:lang w:eastAsia="ru-RU"/>
              </w:rPr>
            </w:pPr>
            <w:r w:rsidRPr="00D82264">
              <w:rPr>
                <w:rFonts w:eastAsia="Times New Roman"/>
                <w:sz w:val="24"/>
                <w:szCs w:val="24"/>
                <w:lang w:eastAsia="ru-RU"/>
              </w:rPr>
              <w:t>Співвідношення безпечних методів абортів до небезпечних</w:t>
            </w:r>
          </w:p>
        </w:tc>
        <w:tc>
          <w:tcPr>
            <w:tcW w:w="968"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color w:val="000000"/>
                <w:sz w:val="24"/>
                <w:szCs w:val="24"/>
                <w:lang w:eastAsia="ru-RU"/>
              </w:rPr>
            </w:pPr>
            <w:r w:rsidRPr="00D82264">
              <w:rPr>
                <w:rFonts w:eastAsia="Times New Roman"/>
                <w:color w:val="000000"/>
                <w:sz w:val="24"/>
                <w:szCs w:val="24"/>
                <w:lang w:eastAsia="ru-RU"/>
              </w:rPr>
              <w:t>29,84</w:t>
            </w:r>
          </w:p>
        </w:tc>
        <w:tc>
          <w:tcPr>
            <w:tcW w:w="969"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color w:val="000000"/>
                <w:sz w:val="24"/>
                <w:szCs w:val="24"/>
                <w:lang w:eastAsia="ru-RU"/>
              </w:rPr>
            </w:pPr>
            <w:r w:rsidRPr="00D82264">
              <w:rPr>
                <w:rFonts w:eastAsia="Times New Roman"/>
                <w:color w:val="000000"/>
                <w:sz w:val="24"/>
                <w:szCs w:val="24"/>
                <w:lang w:eastAsia="ru-RU"/>
              </w:rPr>
              <w:t>24,83</w:t>
            </w:r>
          </w:p>
        </w:tc>
        <w:tc>
          <w:tcPr>
            <w:tcW w:w="968"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color w:val="000000"/>
                <w:sz w:val="24"/>
                <w:szCs w:val="24"/>
                <w:lang w:eastAsia="ru-RU"/>
              </w:rPr>
            </w:pPr>
            <w:r w:rsidRPr="00D82264">
              <w:rPr>
                <w:rFonts w:eastAsia="Times New Roman"/>
                <w:color w:val="000000"/>
                <w:sz w:val="24"/>
                <w:szCs w:val="24"/>
                <w:lang w:eastAsia="ru-RU"/>
              </w:rPr>
              <w:t>6</w:t>
            </w:r>
          </w:p>
        </w:tc>
        <w:tc>
          <w:tcPr>
            <w:tcW w:w="969"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color w:val="000000"/>
                <w:sz w:val="24"/>
                <w:szCs w:val="24"/>
                <w:lang w:eastAsia="ru-RU"/>
              </w:rPr>
            </w:pPr>
            <w:r w:rsidRPr="00D82264">
              <w:rPr>
                <w:rFonts w:eastAsia="Times New Roman"/>
                <w:color w:val="000000"/>
                <w:sz w:val="24"/>
                <w:szCs w:val="24"/>
                <w:lang w:eastAsia="ru-RU"/>
              </w:rPr>
              <w:t>6,0</w:t>
            </w:r>
          </w:p>
        </w:tc>
        <w:tc>
          <w:tcPr>
            <w:tcW w:w="968"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color w:val="000000"/>
                <w:sz w:val="24"/>
                <w:szCs w:val="24"/>
                <w:lang w:eastAsia="ru-RU"/>
              </w:rPr>
            </w:pPr>
            <w:r w:rsidRPr="00D82264">
              <w:rPr>
                <w:rFonts w:eastAsia="Times New Roman"/>
                <w:color w:val="000000"/>
                <w:sz w:val="24"/>
                <w:szCs w:val="24"/>
                <w:lang w:eastAsia="ru-RU"/>
              </w:rPr>
              <w:t>1,00</w:t>
            </w:r>
          </w:p>
        </w:tc>
        <w:tc>
          <w:tcPr>
            <w:tcW w:w="969"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color w:val="000000"/>
                <w:sz w:val="24"/>
                <w:szCs w:val="24"/>
                <w:lang w:eastAsia="ru-RU"/>
              </w:rPr>
            </w:pPr>
            <w:r w:rsidRPr="00D82264">
              <w:rPr>
                <w:rFonts w:eastAsia="Times New Roman"/>
                <w:color w:val="000000"/>
                <w:sz w:val="24"/>
                <w:szCs w:val="24"/>
                <w:lang w:eastAsia="ru-RU"/>
              </w:rPr>
              <w:t>1,00</w:t>
            </w:r>
          </w:p>
        </w:tc>
      </w:tr>
      <w:tr w:rsidR="00D82264" w:rsidRPr="00D82264" w:rsidTr="00D82264">
        <w:trPr>
          <w:trHeight w:val="340"/>
          <w:jc w:val="center"/>
        </w:trPr>
        <w:tc>
          <w:tcPr>
            <w:tcW w:w="4536" w:type="dxa"/>
            <w:tcBorders>
              <w:top w:val="single" w:sz="4" w:space="0" w:color="auto"/>
              <w:left w:val="single" w:sz="4" w:space="0" w:color="auto"/>
              <w:bottom w:val="single" w:sz="4" w:space="0" w:color="auto"/>
              <w:right w:val="single" w:sz="4" w:space="0" w:color="auto"/>
            </w:tcBorders>
            <w:vAlign w:val="bottom"/>
          </w:tcPr>
          <w:p w:rsidR="00D82264" w:rsidRPr="00D82264" w:rsidRDefault="00D82264" w:rsidP="00D82264">
            <w:pPr>
              <w:keepNext/>
              <w:jc w:val="left"/>
              <w:rPr>
                <w:rFonts w:eastAsia="Times New Roman"/>
                <w:sz w:val="24"/>
                <w:szCs w:val="24"/>
                <w:lang w:eastAsia="ru-RU"/>
              </w:rPr>
            </w:pPr>
            <w:r w:rsidRPr="00D82264">
              <w:rPr>
                <w:rFonts w:eastAsia="Times New Roman"/>
                <w:sz w:val="24"/>
                <w:szCs w:val="24"/>
                <w:lang w:eastAsia="ru-RU"/>
              </w:rPr>
              <w:t>Питома вага хворих виявлення в ранніх стадіях (І – ІІ) серед хворих з вперше встановленим діагнозом онкологія молочної залози</w:t>
            </w:r>
          </w:p>
        </w:tc>
        <w:tc>
          <w:tcPr>
            <w:tcW w:w="968"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sz w:val="24"/>
                <w:szCs w:val="24"/>
                <w:lang w:eastAsia="ru-RU"/>
              </w:rPr>
            </w:pPr>
            <w:r w:rsidRPr="00D82264">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color w:val="000000"/>
                <w:sz w:val="24"/>
                <w:szCs w:val="24"/>
                <w:lang w:eastAsia="ru-RU"/>
              </w:rPr>
            </w:pPr>
            <w:r w:rsidRPr="00D82264">
              <w:rPr>
                <w:rFonts w:eastAsia="Times New Roman"/>
                <w:color w:val="000000"/>
                <w:sz w:val="24"/>
                <w:szCs w:val="24"/>
                <w:lang w:eastAsia="ru-RU"/>
              </w:rPr>
              <w:t>68,20</w:t>
            </w:r>
          </w:p>
        </w:tc>
        <w:tc>
          <w:tcPr>
            <w:tcW w:w="968"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sz w:val="24"/>
                <w:szCs w:val="24"/>
                <w:lang w:eastAsia="ru-RU"/>
              </w:rPr>
            </w:pPr>
            <w:r w:rsidRPr="00D82264">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color w:val="000000"/>
                <w:sz w:val="24"/>
                <w:szCs w:val="24"/>
                <w:lang w:eastAsia="ru-RU"/>
              </w:rPr>
            </w:pPr>
            <w:r w:rsidRPr="00D82264">
              <w:rPr>
                <w:rFonts w:eastAsia="Times New Roman"/>
                <w:color w:val="000000"/>
                <w:sz w:val="24"/>
                <w:szCs w:val="24"/>
                <w:lang w:eastAsia="ru-RU"/>
              </w:rPr>
              <w:t>5,17</w:t>
            </w:r>
          </w:p>
        </w:tc>
        <w:tc>
          <w:tcPr>
            <w:tcW w:w="968"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sz w:val="24"/>
                <w:szCs w:val="24"/>
                <w:lang w:eastAsia="ru-RU"/>
              </w:rPr>
            </w:pPr>
            <w:r w:rsidRPr="00D82264">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color w:val="000000"/>
                <w:sz w:val="24"/>
                <w:szCs w:val="24"/>
                <w:lang w:eastAsia="ru-RU"/>
              </w:rPr>
            </w:pPr>
            <w:r w:rsidRPr="00D82264">
              <w:rPr>
                <w:rFonts w:eastAsia="Times New Roman"/>
                <w:color w:val="000000"/>
                <w:sz w:val="24"/>
                <w:szCs w:val="24"/>
                <w:lang w:eastAsia="ru-RU"/>
              </w:rPr>
              <w:t>0,86</w:t>
            </w:r>
          </w:p>
        </w:tc>
      </w:tr>
      <w:tr w:rsidR="00D82264" w:rsidRPr="00D82264" w:rsidTr="00D82264">
        <w:trPr>
          <w:trHeight w:val="418"/>
          <w:jc w:val="center"/>
        </w:trPr>
        <w:tc>
          <w:tcPr>
            <w:tcW w:w="4536" w:type="dxa"/>
            <w:tcBorders>
              <w:top w:val="single" w:sz="4" w:space="0" w:color="auto"/>
              <w:left w:val="single" w:sz="4" w:space="0" w:color="auto"/>
              <w:bottom w:val="single" w:sz="4" w:space="0" w:color="auto"/>
              <w:right w:val="single" w:sz="4" w:space="0" w:color="auto"/>
            </w:tcBorders>
            <w:vAlign w:val="bottom"/>
          </w:tcPr>
          <w:p w:rsidR="00D82264" w:rsidRPr="00D82264" w:rsidRDefault="00D82264" w:rsidP="00D82264">
            <w:pPr>
              <w:keepNext/>
              <w:jc w:val="left"/>
              <w:rPr>
                <w:rFonts w:eastAsia="Times New Roman"/>
                <w:sz w:val="24"/>
                <w:szCs w:val="24"/>
                <w:lang w:eastAsia="ru-RU"/>
              </w:rPr>
            </w:pPr>
            <w:r w:rsidRPr="00D82264">
              <w:rPr>
                <w:rFonts w:eastAsia="Times New Roman"/>
                <w:sz w:val="24"/>
                <w:szCs w:val="24"/>
                <w:lang w:eastAsia="ru-RU"/>
              </w:rPr>
              <w:t>Питома вага хворих виявлення в ранніх стадіях (І – ІІ) серед хворих з вперше встановленим діагнозом онкологія шийки матки</w:t>
            </w:r>
          </w:p>
        </w:tc>
        <w:tc>
          <w:tcPr>
            <w:tcW w:w="968"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sz w:val="24"/>
                <w:szCs w:val="24"/>
                <w:lang w:eastAsia="ru-RU"/>
              </w:rPr>
            </w:pPr>
            <w:r w:rsidRPr="00D82264">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color w:val="000000"/>
                <w:sz w:val="24"/>
                <w:szCs w:val="24"/>
                <w:lang w:eastAsia="ru-RU"/>
              </w:rPr>
            </w:pPr>
            <w:r w:rsidRPr="00D82264">
              <w:rPr>
                <w:rFonts w:eastAsia="Times New Roman"/>
                <w:color w:val="000000"/>
                <w:sz w:val="24"/>
                <w:szCs w:val="24"/>
                <w:lang w:eastAsia="ru-RU"/>
              </w:rPr>
              <w:t>81,70</w:t>
            </w:r>
          </w:p>
        </w:tc>
        <w:tc>
          <w:tcPr>
            <w:tcW w:w="968"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sz w:val="24"/>
                <w:szCs w:val="24"/>
                <w:lang w:eastAsia="ru-RU"/>
              </w:rPr>
            </w:pPr>
            <w:r w:rsidRPr="00D82264">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color w:val="000000"/>
                <w:sz w:val="24"/>
                <w:szCs w:val="24"/>
                <w:lang w:eastAsia="ru-RU"/>
              </w:rPr>
            </w:pPr>
            <w:r w:rsidRPr="00D82264">
              <w:rPr>
                <w:rFonts w:eastAsia="Times New Roman"/>
                <w:color w:val="000000"/>
                <w:sz w:val="24"/>
                <w:szCs w:val="24"/>
                <w:lang w:eastAsia="ru-RU"/>
              </w:rPr>
              <w:t>6,00</w:t>
            </w:r>
          </w:p>
        </w:tc>
        <w:tc>
          <w:tcPr>
            <w:tcW w:w="968"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sz w:val="24"/>
                <w:szCs w:val="24"/>
                <w:lang w:eastAsia="ru-RU"/>
              </w:rPr>
            </w:pPr>
            <w:r w:rsidRPr="00D82264">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color w:val="000000"/>
                <w:sz w:val="24"/>
                <w:szCs w:val="24"/>
                <w:lang w:eastAsia="ru-RU"/>
              </w:rPr>
            </w:pPr>
            <w:r w:rsidRPr="00D82264">
              <w:rPr>
                <w:rFonts w:eastAsia="Times New Roman"/>
                <w:color w:val="000000"/>
                <w:sz w:val="24"/>
                <w:szCs w:val="24"/>
                <w:lang w:eastAsia="ru-RU"/>
              </w:rPr>
              <w:t>1,00</w:t>
            </w:r>
          </w:p>
        </w:tc>
      </w:tr>
      <w:tr w:rsidR="00D82264" w:rsidRPr="00D82264" w:rsidTr="00D82264">
        <w:trPr>
          <w:trHeight w:val="600"/>
          <w:jc w:val="center"/>
        </w:trPr>
        <w:tc>
          <w:tcPr>
            <w:tcW w:w="4536" w:type="dxa"/>
            <w:tcBorders>
              <w:top w:val="single" w:sz="4" w:space="0" w:color="auto"/>
              <w:left w:val="single" w:sz="4" w:space="0" w:color="auto"/>
              <w:bottom w:val="single" w:sz="4" w:space="0" w:color="auto"/>
              <w:right w:val="single" w:sz="4" w:space="0" w:color="auto"/>
            </w:tcBorders>
          </w:tcPr>
          <w:p w:rsidR="00D82264" w:rsidRPr="00D82264" w:rsidRDefault="00D82264" w:rsidP="00D82264">
            <w:pPr>
              <w:keepNext/>
              <w:rPr>
                <w:rFonts w:eastAsia="Times New Roman"/>
                <w:color w:val="000000"/>
                <w:sz w:val="24"/>
                <w:szCs w:val="24"/>
                <w:lang w:eastAsia="uk-UA"/>
              </w:rPr>
            </w:pPr>
            <w:r w:rsidRPr="00D82264">
              <w:rPr>
                <w:rFonts w:eastAsia="Times New Roman"/>
                <w:color w:val="000000"/>
                <w:sz w:val="24"/>
                <w:szCs w:val="24"/>
                <w:lang w:eastAsia="uk-UA"/>
              </w:rPr>
              <w:t>Індекс концентрації розродження вагітних з цукровим діабетом у ЗПД ІІІ рівня</w:t>
            </w:r>
          </w:p>
        </w:tc>
        <w:tc>
          <w:tcPr>
            <w:tcW w:w="968"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color w:val="000000"/>
                <w:sz w:val="24"/>
                <w:szCs w:val="24"/>
                <w:lang w:eastAsia="ru-RU"/>
              </w:rPr>
            </w:pPr>
            <w:r w:rsidRPr="00D82264">
              <w:rPr>
                <w:rFonts w:eastAsia="Times New Roman"/>
                <w:color w:val="000000"/>
                <w:sz w:val="24"/>
                <w:szCs w:val="24"/>
                <w:lang w:eastAsia="ru-RU"/>
              </w:rPr>
              <w:t>100</w:t>
            </w:r>
          </w:p>
        </w:tc>
        <w:tc>
          <w:tcPr>
            <w:tcW w:w="969"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color w:val="000000"/>
                <w:sz w:val="24"/>
                <w:szCs w:val="24"/>
                <w:lang w:eastAsia="ru-RU"/>
              </w:rPr>
            </w:pPr>
            <w:r w:rsidRPr="00D82264">
              <w:rPr>
                <w:rFonts w:eastAsia="Times New Roman"/>
                <w:color w:val="000000"/>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color w:val="000000"/>
                <w:sz w:val="24"/>
                <w:szCs w:val="24"/>
                <w:lang w:eastAsia="ru-RU"/>
              </w:rPr>
            </w:pPr>
            <w:r w:rsidRPr="00D82264">
              <w:rPr>
                <w:rFonts w:eastAsia="Times New Roman"/>
                <w:color w:val="000000"/>
                <w:sz w:val="24"/>
                <w:szCs w:val="24"/>
                <w:lang w:eastAsia="ru-RU"/>
              </w:rPr>
              <w:t>7</w:t>
            </w:r>
          </w:p>
        </w:tc>
        <w:tc>
          <w:tcPr>
            <w:tcW w:w="969"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color w:val="000000"/>
                <w:sz w:val="24"/>
                <w:szCs w:val="24"/>
                <w:lang w:eastAsia="ru-RU"/>
              </w:rPr>
            </w:pPr>
            <w:r w:rsidRPr="00D82264">
              <w:rPr>
                <w:rFonts w:eastAsia="Times New Roman"/>
                <w:color w:val="000000"/>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color w:val="000000"/>
                <w:sz w:val="24"/>
                <w:szCs w:val="24"/>
                <w:lang w:eastAsia="ru-RU"/>
              </w:rPr>
            </w:pPr>
            <w:r w:rsidRPr="00D82264">
              <w:rPr>
                <w:rFonts w:eastAsia="Times New Roman"/>
                <w:color w:val="000000"/>
                <w:sz w:val="24"/>
                <w:szCs w:val="24"/>
                <w:lang w:eastAsia="ru-RU"/>
              </w:rPr>
              <w:t>1,00</w:t>
            </w:r>
          </w:p>
        </w:tc>
        <w:tc>
          <w:tcPr>
            <w:tcW w:w="969"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color w:val="000000"/>
                <w:sz w:val="24"/>
                <w:szCs w:val="24"/>
                <w:lang w:eastAsia="ru-RU"/>
              </w:rPr>
            </w:pPr>
            <w:r w:rsidRPr="00D82264">
              <w:rPr>
                <w:rFonts w:eastAsia="Times New Roman"/>
                <w:color w:val="000000"/>
                <w:sz w:val="24"/>
                <w:szCs w:val="24"/>
                <w:lang w:eastAsia="ru-RU"/>
              </w:rPr>
              <w:t>**</w:t>
            </w:r>
          </w:p>
        </w:tc>
      </w:tr>
    </w:tbl>
    <w:p w:rsidR="00C51ECA" w:rsidRPr="004B24A2" w:rsidRDefault="00C51ECA" w:rsidP="00C51ECA">
      <w:pPr>
        <w:rPr>
          <w:i/>
          <w:sz w:val="20"/>
          <w:szCs w:val="20"/>
        </w:rPr>
      </w:pPr>
      <w:r>
        <w:rPr>
          <w:i/>
          <w:lang w:val="ru-RU"/>
        </w:rPr>
        <w:tab/>
      </w:r>
      <w:r w:rsidRPr="004B24A2">
        <w:rPr>
          <w:i/>
          <w:sz w:val="20"/>
          <w:szCs w:val="20"/>
        </w:rPr>
        <w:t>Для таблиць : * – показник не оцінювався</w:t>
      </w:r>
      <w:r w:rsidRPr="004B24A2">
        <w:rPr>
          <w:i/>
          <w:sz w:val="20"/>
          <w:szCs w:val="20"/>
          <w:lang w:val="ru-RU"/>
        </w:rPr>
        <w:t xml:space="preserve">  </w:t>
      </w:r>
      <w:r w:rsidRPr="004B24A2">
        <w:rPr>
          <w:i/>
          <w:sz w:val="20"/>
          <w:szCs w:val="20"/>
        </w:rPr>
        <w:t>** – немає даних</w:t>
      </w:r>
    </w:p>
    <w:p w:rsidR="00663C28" w:rsidRPr="00C51ECA" w:rsidRDefault="00663C28" w:rsidP="00C51ECA">
      <w:pPr>
        <w:tabs>
          <w:tab w:val="left" w:pos="309"/>
        </w:tabs>
        <w:rPr>
          <w:i/>
        </w:rPr>
      </w:pPr>
    </w:p>
    <w:p w:rsidR="0021642C" w:rsidRPr="0021642C" w:rsidRDefault="0021642C" w:rsidP="0021642C">
      <w:pPr>
        <w:jc w:val="right"/>
        <w:rPr>
          <w:i/>
          <w:lang w:val="ru-RU"/>
        </w:rPr>
      </w:pPr>
      <w:r w:rsidRPr="0021642C">
        <w:rPr>
          <w:i/>
          <w:lang w:val="ru-RU"/>
        </w:rPr>
        <w:t>Продовження додаток Е-18</w:t>
      </w:r>
    </w:p>
    <w:tbl>
      <w:tblPr>
        <w:tblW w:w="10347" w:type="dxa"/>
        <w:jc w:val="center"/>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36"/>
        <w:gridCol w:w="968"/>
        <w:gridCol w:w="969"/>
        <w:gridCol w:w="968"/>
        <w:gridCol w:w="969"/>
        <w:gridCol w:w="968"/>
        <w:gridCol w:w="969"/>
      </w:tblGrid>
      <w:tr w:rsidR="00D82264" w:rsidRPr="00D82264" w:rsidTr="00D82264">
        <w:trPr>
          <w:trHeight w:val="600"/>
          <w:jc w:val="center"/>
        </w:trPr>
        <w:tc>
          <w:tcPr>
            <w:tcW w:w="4536" w:type="dxa"/>
            <w:tcBorders>
              <w:top w:val="single" w:sz="4" w:space="0" w:color="auto"/>
              <w:left w:val="single" w:sz="4" w:space="0" w:color="auto"/>
              <w:bottom w:val="single" w:sz="4" w:space="0" w:color="auto"/>
              <w:right w:val="single" w:sz="4" w:space="0" w:color="auto"/>
            </w:tcBorders>
          </w:tcPr>
          <w:p w:rsidR="00D82264" w:rsidRPr="00D82264" w:rsidRDefault="00D82264" w:rsidP="00D82264">
            <w:pPr>
              <w:keepNext/>
              <w:rPr>
                <w:rFonts w:eastAsia="Times New Roman"/>
                <w:color w:val="000000"/>
                <w:sz w:val="24"/>
                <w:szCs w:val="24"/>
                <w:lang w:eastAsia="uk-UA"/>
              </w:rPr>
            </w:pPr>
            <w:r w:rsidRPr="00D82264">
              <w:rPr>
                <w:rFonts w:eastAsia="Times New Roman"/>
                <w:color w:val="000000"/>
                <w:sz w:val="24"/>
                <w:szCs w:val="24"/>
                <w:lang w:eastAsia="uk-UA"/>
              </w:rPr>
              <w:t>Індекс концентрації розродження вагітних з  пре- еклампсією і еклампсією  у ЗПД ІІ-ІІІ рівнів</w:t>
            </w:r>
          </w:p>
        </w:tc>
        <w:tc>
          <w:tcPr>
            <w:tcW w:w="968"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color w:val="000000"/>
                <w:sz w:val="24"/>
                <w:szCs w:val="24"/>
                <w:lang w:eastAsia="ru-RU"/>
              </w:rPr>
            </w:pPr>
            <w:r w:rsidRPr="00D82264">
              <w:rPr>
                <w:rFonts w:eastAsia="Times New Roman"/>
                <w:color w:val="000000"/>
                <w:sz w:val="24"/>
                <w:szCs w:val="24"/>
                <w:lang w:eastAsia="ru-RU"/>
              </w:rPr>
              <w:t>100</w:t>
            </w:r>
          </w:p>
        </w:tc>
        <w:tc>
          <w:tcPr>
            <w:tcW w:w="969"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color w:val="000000"/>
                <w:sz w:val="24"/>
                <w:szCs w:val="24"/>
                <w:lang w:eastAsia="ru-RU"/>
              </w:rPr>
            </w:pPr>
            <w:r w:rsidRPr="00D82264">
              <w:rPr>
                <w:rFonts w:eastAsia="Times New Roman"/>
                <w:color w:val="000000"/>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color w:val="000000"/>
                <w:sz w:val="24"/>
                <w:szCs w:val="24"/>
                <w:lang w:eastAsia="ru-RU"/>
              </w:rPr>
            </w:pPr>
            <w:r w:rsidRPr="00D82264">
              <w:rPr>
                <w:rFonts w:eastAsia="Times New Roman"/>
                <w:color w:val="000000"/>
                <w:sz w:val="24"/>
                <w:szCs w:val="24"/>
                <w:lang w:eastAsia="ru-RU"/>
              </w:rPr>
              <w:t>7</w:t>
            </w:r>
          </w:p>
        </w:tc>
        <w:tc>
          <w:tcPr>
            <w:tcW w:w="969"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color w:val="000000"/>
                <w:sz w:val="24"/>
                <w:szCs w:val="24"/>
                <w:lang w:eastAsia="ru-RU"/>
              </w:rPr>
            </w:pPr>
            <w:r w:rsidRPr="00D82264">
              <w:rPr>
                <w:rFonts w:eastAsia="Times New Roman"/>
                <w:color w:val="000000"/>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color w:val="000000"/>
                <w:sz w:val="24"/>
                <w:szCs w:val="24"/>
                <w:lang w:eastAsia="ru-RU"/>
              </w:rPr>
            </w:pPr>
            <w:r w:rsidRPr="00D82264">
              <w:rPr>
                <w:rFonts w:eastAsia="Times New Roman"/>
                <w:color w:val="000000"/>
                <w:sz w:val="24"/>
                <w:szCs w:val="24"/>
                <w:lang w:eastAsia="ru-RU"/>
              </w:rPr>
              <w:t>1,00</w:t>
            </w:r>
          </w:p>
        </w:tc>
        <w:tc>
          <w:tcPr>
            <w:tcW w:w="969"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color w:val="000000"/>
                <w:sz w:val="24"/>
                <w:szCs w:val="24"/>
                <w:lang w:eastAsia="ru-RU"/>
              </w:rPr>
            </w:pPr>
            <w:r w:rsidRPr="00D82264">
              <w:rPr>
                <w:rFonts w:eastAsia="Times New Roman"/>
                <w:color w:val="000000"/>
                <w:sz w:val="24"/>
                <w:szCs w:val="24"/>
                <w:lang w:eastAsia="ru-RU"/>
              </w:rPr>
              <w:t>**</w:t>
            </w:r>
          </w:p>
        </w:tc>
      </w:tr>
      <w:tr w:rsidR="00D82264" w:rsidRPr="00D82264" w:rsidTr="00D82264">
        <w:trPr>
          <w:trHeight w:val="600"/>
          <w:jc w:val="center"/>
        </w:trPr>
        <w:tc>
          <w:tcPr>
            <w:tcW w:w="4536" w:type="dxa"/>
            <w:tcBorders>
              <w:top w:val="single" w:sz="4" w:space="0" w:color="auto"/>
              <w:left w:val="single" w:sz="4" w:space="0" w:color="auto"/>
              <w:bottom w:val="single" w:sz="4" w:space="0" w:color="auto"/>
              <w:right w:val="single" w:sz="4" w:space="0" w:color="auto"/>
            </w:tcBorders>
          </w:tcPr>
          <w:p w:rsidR="00D82264" w:rsidRPr="00D82264" w:rsidRDefault="00D82264" w:rsidP="00D82264">
            <w:pPr>
              <w:keepNext/>
              <w:rPr>
                <w:rFonts w:eastAsia="Times New Roman"/>
                <w:color w:val="000000"/>
                <w:sz w:val="24"/>
                <w:szCs w:val="24"/>
                <w:lang w:eastAsia="uk-UA"/>
              </w:rPr>
            </w:pPr>
            <w:r w:rsidRPr="00D82264">
              <w:rPr>
                <w:rFonts w:eastAsia="Times New Roman"/>
                <w:color w:val="000000"/>
                <w:sz w:val="24"/>
                <w:szCs w:val="24"/>
                <w:lang w:eastAsia="uk-UA"/>
              </w:rPr>
              <w:t>Індекс концентрації новонароджених масою тіла при народженні 500-1499г у ЗПД ІІІ рівня</w:t>
            </w:r>
          </w:p>
        </w:tc>
        <w:tc>
          <w:tcPr>
            <w:tcW w:w="968"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color w:val="000000"/>
                <w:sz w:val="24"/>
                <w:szCs w:val="24"/>
                <w:lang w:eastAsia="ru-RU"/>
              </w:rPr>
            </w:pPr>
            <w:r w:rsidRPr="00D82264">
              <w:rPr>
                <w:rFonts w:eastAsia="Times New Roman"/>
                <w:color w:val="000000"/>
                <w:sz w:val="24"/>
                <w:szCs w:val="24"/>
                <w:lang w:eastAsia="ru-RU"/>
              </w:rPr>
              <w:t>86,49</w:t>
            </w:r>
          </w:p>
        </w:tc>
        <w:tc>
          <w:tcPr>
            <w:tcW w:w="969"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color w:val="000000"/>
                <w:sz w:val="24"/>
                <w:szCs w:val="24"/>
                <w:lang w:eastAsia="ru-RU"/>
              </w:rPr>
            </w:pPr>
            <w:r w:rsidRPr="00D82264">
              <w:rPr>
                <w:rFonts w:eastAsia="Times New Roman"/>
                <w:color w:val="000000"/>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color w:val="000000"/>
                <w:sz w:val="24"/>
                <w:szCs w:val="24"/>
                <w:lang w:eastAsia="ru-RU"/>
              </w:rPr>
            </w:pPr>
            <w:r w:rsidRPr="00D82264">
              <w:rPr>
                <w:rFonts w:eastAsia="Times New Roman"/>
                <w:color w:val="000000"/>
                <w:sz w:val="24"/>
                <w:szCs w:val="24"/>
                <w:lang w:eastAsia="ru-RU"/>
              </w:rPr>
              <w:t>6</w:t>
            </w:r>
          </w:p>
        </w:tc>
        <w:tc>
          <w:tcPr>
            <w:tcW w:w="969"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color w:val="000000"/>
                <w:sz w:val="24"/>
                <w:szCs w:val="24"/>
                <w:lang w:eastAsia="ru-RU"/>
              </w:rPr>
            </w:pPr>
            <w:r w:rsidRPr="00D82264">
              <w:rPr>
                <w:rFonts w:eastAsia="Times New Roman"/>
                <w:color w:val="000000"/>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color w:val="000000"/>
                <w:sz w:val="24"/>
                <w:szCs w:val="24"/>
                <w:lang w:eastAsia="ru-RU"/>
              </w:rPr>
            </w:pPr>
            <w:r w:rsidRPr="00D82264">
              <w:rPr>
                <w:rFonts w:eastAsia="Times New Roman"/>
                <w:color w:val="000000"/>
                <w:sz w:val="24"/>
                <w:szCs w:val="24"/>
                <w:lang w:eastAsia="ru-RU"/>
              </w:rPr>
              <w:t>1,00</w:t>
            </w:r>
          </w:p>
        </w:tc>
        <w:tc>
          <w:tcPr>
            <w:tcW w:w="969"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color w:val="000000"/>
                <w:sz w:val="24"/>
                <w:szCs w:val="24"/>
                <w:lang w:eastAsia="ru-RU"/>
              </w:rPr>
            </w:pPr>
            <w:r w:rsidRPr="00D82264">
              <w:rPr>
                <w:rFonts w:eastAsia="Times New Roman"/>
                <w:color w:val="000000"/>
                <w:sz w:val="24"/>
                <w:szCs w:val="24"/>
                <w:lang w:eastAsia="ru-RU"/>
              </w:rPr>
              <w:t>**</w:t>
            </w:r>
          </w:p>
        </w:tc>
      </w:tr>
      <w:tr w:rsidR="00D82264" w:rsidRPr="00D82264" w:rsidTr="00D82264">
        <w:trPr>
          <w:trHeight w:val="200"/>
          <w:jc w:val="center"/>
        </w:trPr>
        <w:tc>
          <w:tcPr>
            <w:tcW w:w="4536" w:type="dxa"/>
            <w:tcBorders>
              <w:top w:val="single" w:sz="4" w:space="0" w:color="auto"/>
              <w:left w:val="single" w:sz="4" w:space="0" w:color="auto"/>
              <w:bottom w:val="single" w:sz="4" w:space="0" w:color="auto"/>
              <w:right w:val="single" w:sz="4" w:space="0" w:color="auto"/>
            </w:tcBorders>
            <w:vAlign w:val="bottom"/>
          </w:tcPr>
          <w:p w:rsidR="00D82264" w:rsidRPr="00D82264" w:rsidRDefault="00D82264" w:rsidP="00D82264">
            <w:pPr>
              <w:keepNext/>
              <w:jc w:val="left"/>
              <w:rPr>
                <w:rFonts w:eastAsia="Times New Roman"/>
                <w:sz w:val="24"/>
                <w:szCs w:val="24"/>
                <w:lang w:eastAsia="ru-RU"/>
              </w:rPr>
            </w:pPr>
            <w:r w:rsidRPr="00D82264">
              <w:rPr>
                <w:rFonts w:eastAsia="Times New Roman"/>
                <w:sz w:val="24"/>
                <w:szCs w:val="24"/>
                <w:lang w:eastAsia="ru-RU"/>
              </w:rPr>
              <w:t>Індекс неонатального трансферу</w:t>
            </w:r>
          </w:p>
        </w:tc>
        <w:tc>
          <w:tcPr>
            <w:tcW w:w="968"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sz w:val="24"/>
                <w:szCs w:val="24"/>
                <w:lang w:eastAsia="ru-RU"/>
              </w:rPr>
            </w:pPr>
            <w:r w:rsidRPr="00D82264">
              <w:rPr>
                <w:rFonts w:eastAsia="Times New Roman"/>
                <w:sz w:val="24"/>
                <w:szCs w:val="24"/>
                <w:lang w:eastAsia="ru-RU"/>
              </w:rPr>
              <w:t>6,03</w:t>
            </w:r>
          </w:p>
        </w:tc>
        <w:tc>
          <w:tcPr>
            <w:tcW w:w="969"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color w:val="000000"/>
                <w:sz w:val="24"/>
                <w:szCs w:val="24"/>
                <w:lang w:eastAsia="ru-RU"/>
              </w:rPr>
            </w:pPr>
            <w:r w:rsidRPr="00D82264">
              <w:rPr>
                <w:rFonts w:eastAsia="Times New Roman"/>
                <w:color w:val="000000"/>
                <w:sz w:val="24"/>
                <w:szCs w:val="24"/>
                <w:lang w:eastAsia="ru-RU"/>
              </w:rPr>
              <w:t>6,34</w:t>
            </w:r>
          </w:p>
        </w:tc>
        <w:tc>
          <w:tcPr>
            <w:tcW w:w="968"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sz w:val="24"/>
                <w:szCs w:val="24"/>
                <w:lang w:eastAsia="ru-RU"/>
              </w:rPr>
            </w:pPr>
            <w:r w:rsidRPr="00D82264">
              <w:rPr>
                <w:rFonts w:eastAsia="Times New Roman"/>
                <w:sz w:val="24"/>
                <w:szCs w:val="24"/>
                <w:lang w:eastAsia="ru-RU"/>
              </w:rPr>
              <w:t>3,05</w:t>
            </w:r>
          </w:p>
        </w:tc>
        <w:tc>
          <w:tcPr>
            <w:tcW w:w="969"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color w:val="000000"/>
                <w:sz w:val="24"/>
                <w:szCs w:val="24"/>
                <w:lang w:eastAsia="ru-RU"/>
              </w:rPr>
            </w:pPr>
            <w:r w:rsidRPr="00D82264">
              <w:rPr>
                <w:rFonts w:eastAsia="Times New Roman"/>
                <w:color w:val="000000"/>
                <w:sz w:val="24"/>
                <w:szCs w:val="24"/>
                <w:lang w:eastAsia="ru-RU"/>
              </w:rPr>
              <w:t>5,12</w:t>
            </w:r>
          </w:p>
        </w:tc>
        <w:tc>
          <w:tcPr>
            <w:tcW w:w="968"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sz w:val="24"/>
                <w:szCs w:val="24"/>
                <w:lang w:eastAsia="ru-RU"/>
              </w:rPr>
            </w:pPr>
            <w:r w:rsidRPr="00D82264">
              <w:rPr>
                <w:rFonts w:eastAsia="Times New Roman"/>
                <w:sz w:val="24"/>
                <w:szCs w:val="24"/>
                <w:lang w:eastAsia="ru-RU"/>
              </w:rPr>
              <w:t>0,50</w:t>
            </w:r>
          </w:p>
        </w:tc>
        <w:tc>
          <w:tcPr>
            <w:tcW w:w="969"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color w:val="000000"/>
                <w:sz w:val="24"/>
                <w:szCs w:val="24"/>
                <w:lang w:eastAsia="ru-RU"/>
              </w:rPr>
            </w:pPr>
            <w:r w:rsidRPr="00D82264">
              <w:rPr>
                <w:rFonts w:eastAsia="Times New Roman"/>
                <w:color w:val="000000"/>
                <w:sz w:val="24"/>
                <w:szCs w:val="24"/>
                <w:lang w:eastAsia="ru-RU"/>
              </w:rPr>
              <w:t>0,73</w:t>
            </w:r>
          </w:p>
        </w:tc>
      </w:tr>
      <w:tr w:rsidR="00D82264" w:rsidRPr="00D82264" w:rsidTr="00D82264">
        <w:trPr>
          <w:trHeight w:val="276"/>
          <w:jc w:val="center"/>
        </w:trPr>
        <w:tc>
          <w:tcPr>
            <w:tcW w:w="4536"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left"/>
              <w:rPr>
                <w:rFonts w:eastAsia="Times New Roman"/>
                <w:sz w:val="24"/>
                <w:szCs w:val="24"/>
                <w:lang w:eastAsia="ru-RU"/>
              </w:rPr>
            </w:pPr>
            <w:r w:rsidRPr="00D82264">
              <w:rPr>
                <w:rFonts w:eastAsia="Times New Roman"/>
                <w:sz w:val="24"/>
                <w:szCs w:val="24"/>
                <w:lang w:eastAsia="ru-RU"/>
              </w:rPr>
              <w:t>Частота нормальних пологів</w:t>
            </w:r>
          </w:p>
        </w:tc>
        <w:tc>
          <w:tcPr>
            <w:tcW w:w="968"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color w:val="000000"/>
                <w:sz w:val="24"/>
                <w:szCs w:val="24"/>
                <w:lang w:eastAsia="ru-RU"/>
              </w:rPr>
            </w:pPr>
            <w:r w:rsidRPr="00D82264">
              <w:rPr>
                <w:rFonts w:eastAsia="Times New Roman"/>
                <w:color w:val="000000"/>
                <w:sz w:val="24"/>
                <w:szCs w:val="24"/>
                <w:lang w:eastAsia="ru-RU"/>
              </w:rPr>
              <w:t>65,78</w:t>
            </w:r>
          </w:p>
        </w:tc>
        <w:tc>
          <w:tcPr>
            <w:tcW w:w="969"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color w:val="000000"/>
                <w:sz w:val="24"/>
                <w:szCs w:val="24"/>
                <w:lang w:eastAsia="ru-RU"/>
              </w:rPr>
            </w:pPr>
            <w:r w:rsidRPr="00D82264">
              <w:rPr>
                <w:rFonts w:eastAsia="Times New Roman"/>
                <w:color w:val="000000"/>
                <w:sz w:val="24"/>
                <w:szCs w:val="24"/>
                <w:lang w:eastAsia="ru-RU"/>
              </w:rPr>
              <w:t>62,91</w:t>
            </w:r>
          </w:p>
        </w:tc>
        <w:tc>
          <w:tcPr>
            <w:tcW w:w="968"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color w:val="000000"/>
                <w:sz w:val="24"/>
                <w:szCs w:val="24"/>
                <w:lang w:eastAsia="ru-RU"/>
              </w:rPr>
            </w:pPr>
            <w:r w:rsidRPr="00D82264">
              <w:rPr>
                <w:rFonts w:eastAsia="Times New Roman"/>
                <w:color w:val="000000"/>
                <w:sz w:val="24"/>
                <w:szCs w:val="24"/>
                <w:lang w:eastAsia="ru-RU"/>
              </w:rPr>
              <w:t>4,8</w:t>
            </w:r>
          </w:p>
        </w:tc>
        <w:tc>
          <w:tcPr>
            <w:tcW w:w="969"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color w:val="000000"/>
                <w:sz w:val="24"/>
                <w:szCs w:val="24"/>
                <w:lang w:eastAsia="ru-RU"/>
              </w:rPr>
            </w:pPr>
            <w:r w:rsidRPr="00D82264">
              <w:rPr>
                <w:rFonts w:eastAsia="Times New Roman"/>
                <w:color w:val="000000"/>
                <w:sz w:val="24"/>
                <w:szCs w:val="24"/>
                <w:lang w:eastAsia="ru-RU"/>
              </w:rPr>
              <w:t>4,71</w:t>
            </w:r>
          </w:p>
        </w:tc>
        <w:tc>
          <w:tcPr>
            <w:tcW w:w="968"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color w:val="000000"/>
                <w:sz w:val="24"/>
                <w:szCs w:val="24"/>
                <w:lang w:eastAsia="ru-RU"/>
              </w:rPr>
            </w:pPr>
            <w:r w:rsidRPr="00D82264">
              <w:rPr>
                <w:rFonts w:eastAsia="Times New Roman"/>
                <w:color w:val="000000"/>
                <w:sz w:val="24"/>
                <w:szCs w:val="24"/>
                <w:lang w:eastAsia="ru-RU"/>
              </w:rPr>
              <w:t>0,96</w:t>
            </w:r>
          </w:p>
        </w:tc>
        <w:tc>
          <w:tcPr>
            <w:tcW w:w="969"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color w:val="000000"/>
                <w:sz w:val="24"/>
                <w:szCs w:val="24"/>
                <w:lang w:eastAsia="ru-RU"/>
              </w:rPr>
            </w:pPr>
            <w:r w:rsidRPr="00D82264">
              <w:rPr>
                <w:rFonts w:eastAsia="Times New Roman"/>
                <w:color w:val="000000"/>
                <w:sz w:val="24"/>
                <w:szCs w:val="24"/>
                <w:lang w:eastAsia="ru-RU"/>
              </w:rPr>
              <w:t>0,94</w:t>
            </w:r>
          </w:p>
        </w:tc>
      </w:tr>
      <w:tr w:rsidR="00D82264" w:rsidRPr="00D82264" w:rsidTr="00D82264">
        <w:trPr>
          <w:trHeight w:val="506"/>
          <w:jc w:val="center"/>
        </w:trPr>
        <w:tc>
          <w:tcPr>
            <w:tcW w:w="4536" w:type="dxa"/>
            <w:tcBorders>
              <w:top w:val="single" w:sz="4" w:space="0" w:color="auto"/>
              <w:left w:val="single" w:sz="4" w:space="0" w:color="auto"/>
              <w:bottom w:val="single" w:sz="4" w:space="0" w:color="auto"/>
              <w:right w:val="single" w:sz="4" w:space="0" w:color="auto"/>
            </w:tcBorders>
            <w:vAlign w:val="bottom"/>
          </w:tcPr>
          <w:p w:rsidR="00D82264" w:rsidRPr="00D82264" w:rsidRDefault="00D82264" w:rsidP="00D82264">
            <w:pPr>
              <w:keepNext/>
              <w:jc w:val="left"/>
              <w:rPr>
                <w:rFonts w:eastAsia="Times New Roman"/>
                <w:sz w:val="24"/>
                <w:szCs w:val="24"/>
                <w:lang w:eastAsia="ru-RU"/>
              </w:rPr>
            </w:pPr>
            <w:r w:rsidRPr="00D82264">
              <w:rPr>
                <w:rFonts w:eastAsia="Times New Roman"/>
                <w:sz w:val="24"/>
                <w:szCs w:val="24"/>
                <w:lang w:eastAsia="ru-RU"/>
              </w:rPr>
              <w:t>Частота розроджень вагітних шляхом кесаревого розтину</w:t>
            </w:r>
          </w:p>
        </w:tc>
        <w:tc>
          <w:tcPr>
            <w:tcW w:w="968"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color w:val="000000"/>
                <w:sz w:val="24"/>
                <w:szCs w:val="24"/>
                <w:lang w:eastAsia="ru-RU"/>
              </w:rPr>
            </w:pPr>
            <w:r w:rsidRPr="00D82264">
              <w:rPr>
                <w:rFonts w:eastAsia="Times New Roman"/>
                <w:color w:val="000000"/>
                <w:sz w:val="24"/>
                <w:szCs w:val="24"/>
                <w:lang w:eastAsia="ru-RU"/>
              </w:rPr>
              <w:t>197,42</w:t>
            </w:r>
          </w:p>
        </w:tc>
        <w:tc>
          <w:tcPr>
            <w:tcW w:w="969"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color w:val="000000"/>
                <w:sz w:val="24"/>
                <w:szCs w:val="24"/>
                <w:lang w:eastAsia="ru-RU"/>
              </w:rPr>
            </w:pPr>
            <w:r w:rsidRPr="00D82264">
              <w:rPr>
                <w:rFonts w:eastAsia="Times New Roman"/>
                <w:color w:val="000000"/>
                <w:sz w:val="24"/>
                <w:szCs w:val="24"/>
                <w:lang w:eastAsia="ru-RU"/>
              </w:rPr>
              <w:t>226,88</w:t>
            </w:r>
          </w:p>
        </w:tc>
        <w:tc>
          <w:tcPr>
            <w:tcW w:w="968"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color w:val="000000"/>
                <w:sz w:val="24"/>
                <w:szCs w:val="24"/>
                <w:lang w:eastAsia="ru-RU"/>
              </w:rPr>
            </w:pPr>
            <w:r w:rsidRPr="00D82264">
              <w:rPr>
                <w:rFonts w:eastAsia="Times New Roman"/>
                <w:color w:val="000000"/>
                <w:sz w:val="24"/>
                <w:szCs w:val="24"/>
                <w:lang w:eastAsia="ru-RU"/>
              </w:rPr>
              <w:t>5,4</w:t>
            </w:r>
          </w:p>
        </w:tc>
        <w:tc>
          <w:tcPr>
            <w:tcW w:w="969"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color w:val="000000"/>
                <w:sz w:val="24"/>
                <w:szCs w:val="24"/>
                <w:lang w:eastAsia="ru-RU"/>
              </w:rPr>
            </w:pPr>
            <w:r w:rsidRPr="00D82264">
              <w:rPr>
                <w:rFonts w:eastAsia="Times New Roman"/>
                <w:color w:val="000000"/>
                <w:sz w:val="24"/>
                <w:szCs w:val="24"/>
                <w:lang w:eastAsia="ru-RU"/>
              </w:rPr>
              <w:t>5,12</w:t>
            </w:r>
          </w:p>
        </w:tc>
        <w:tc>
          <w:tcPr>
            <w:tcW w:w="968"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color w:val="000000"/>
                <w:sz w:val="24"/>
                <w:szCs w:val="24"/>
                <w:lang w:eastAsia="ru-RU"/>
              </w:rPr>
            </w:pPr>
            <w:r w:rsidRPr="00D82264">
              <w:rPr>
                <w:rFonts w:eastAsia="Times New Roman"/>
                <w:color w:val="000000"/>
                <w:sz w:val="24"/>
                <w:szCs w:val="24"/>
                <w:lang w:eastAsia="ru-RU"/>
              </w:rPr>
              <w:t>0,77</w:t>
            </w:r>
          </w:p>
        </w:tc>
        <w:tc>
          <w:tcPr>
            <w:tcW w:w="969"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color w:val="000000"/>
                <w:sz w:val="24"/>
                <w:szCs w:val="24"/>
                <w:lang w:eastAsia="ru-RU"/>
              </w:rPr>
            </w:pPr>
            <w:r w:rsidRPr="00D82264">
              <w:rPr>
                <w:rFonts w:eastAsia="Times New Roman"/>
                <w:color w:val="000000"/>
                <w:sz w:val="24"/>
                <w:szCs w:val="24"/>
                <w:lang w:eastAsia="ru-RU"/>
              </w:rPr>
              <w:t>0,73</w:t>
            </w:r>
          </w:p>
        </w:tc>
      </w:tr>
      <w:tr w:rsidR="00D82264" w:rsidRPr="00D82264" w:rsidTr="00D82264">
        <w:trPr>
          <w:trHeight w:val="276"/>
          <w:jc w:val="center"/>
        </w:trPr>
        <w:tc>
          <w:tcPr>
            <w:tcW w:w="4536" w:type="dxa"/>
            <w:tcBorders>
              <w:top w:val="single" w:sz="4" w:space="0" w:color="auto"/>
              <w:left w:val="single" w:sz="4" w:space="0" w:color="auto"/>
              <w:bottom w:val="single" w:sz="4" w:space="0" w:color="auto"/>
              <w:right w:val="single" w:sz="4" w:space="0" w:color="auto"/>
            </w:tcBorders>
            <w:vAlign w:val="bottom"/>
          </w:tcPr>
          <w:p w:rsidR="00D82264" w:rsidRPr="00D82264" w:rsidRDefault="00D82264" w:rsidP="00D82264">
            <w:pPr>
              <w:keepNext/>
              <w:jc w:val="left"/>
              <w:rPr>
                <w:rFonts w:eastAsia="Times New Roman"/>
                <w:sz w:val="24"/>
                <w:szCs w:val="24"/>
                <w:lang w:eastAsia="ru-RU"/>
              </w:rPr>
            </w:pPr>
            <w:r w:rsidRPr="00D82264">
              <w:rPr>
                <w:rFonts w:eastAsia="Times New Roman"/>
                <w:sz w:val="24"/>
                <w:szCs w:val="24"/>
                <w:lang w:eastAsia="ru-RU"/>
              </w:rPr>
              <w:t>Частота  кровотеч в послідовому і післяродовому періодах</w:t>
            </w:r>
          </w:p>
        </w:tc>
        <w:tc>
          <w:tcPr>
            <w:tcW w:w="968"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color w:val="000000"/>
                <w:sz w:val="24"/>
                <w:szCs w:val="24"/>
                <w:lang w:eastAsia="ru-RU"/>
              </w:rPr>
            </w:pPr>
            <w:r w:rsidRPr="00D82264">
              <w:rPr>
                <w:rFonts w:eastAsia="Times New Roman"/>
                <w:color w:val="000000"/>
                <w:sz w:val="24"/>
                <w:szCs w:val="24"/>
                <w:lang w:eastAsia="ru-RU"/>
              </w:rPr>
              <w:t>6,95</w:t>
            </w:r>
          </w:p>
        </w:tc>
        <w:tc>
          <w:tcPr>
            <w:tcW w:w="969"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color w:val="000000"/>
                <w:sz w:val="24"/>
                <w:szCs w:val="24"/>
                <w:lang w:eastAsia="ru-RU"/>
              </w:rPr>
            </w:pPr>
            <w:r w:rsidRPr="00D82264">
              <w:rPr>
                <w:rFonts w:eastAsia="Times New Roman"/>
                <w:color w:val="000000"/>
                <w:sz w:val="24"/>
                <w:szCs w:val="24"/>
                <w:lang w:eastAsia="ru-RU"/>
              </w:rPr>
              <w:t>6,61</w:t>
            </w:r>
          </w:p>
        </w:tc>
        <w:tc>
          <w:tcPr>
            <w:tcW w:w="968"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color w:val="000000"/>
                <w:sz w:val="24"/>
                <w:szCs w:val="24"/>
                <w:lang w:eastAsia="ru-RU"/>
              </w:rPr>
            </w:pPr>
            <w:r w:rsidRPr="00D82264">
              <w:rPr>
                <w:rFonts w:eastAsia="Times New Roman"/>
                <w:color w:val="000000"/>
                <w:sz w:val="24"/>
                <w:szCs w:val="24"/>
                <w:lang w:eastAsia="ru-RU"/>
              </w:rPr>
              <w:t>5,5</w:t>
            </w:r>
          </w:p>
        </w:tc>
        <w:tc>
          <w:tcPr>
            <w:tcW w:w="969"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color w:val="000000"/>
                <w:sz w:val="24"/>
                <w:szCs w:val="24"/>
                <w:lang w:eastAsia="ru-RU"/>
              </w:rPr>
            </w:pPr>
            <w:r w:rsidRPr="00D82264">
              <w:rPr>
                <w:rFonts w:eastAsia="Times New Roman"/>
                <w:color w:val="000000"/>
                <w:sz w:val="24"/>
                <w:szCs w:val="24"/>
                <w:lang w:eastAsia="ru-RU"/>
              </w:rPr>
              <w:t>8,09</w:t>
            </w:r>
          </w:p>
        </w:tc>
        <w:tc>
          <w:tcPr>
            <w:tcW w:w="968"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color w:val="000000"/>
                <w:sz w:val="24"/>
                <w:szCs w:val="24"/>
                <w:lang w:eastAsia="ru-RU"/>
              </w:rPr>
            </w:pPr>
            <w:r w:rsidRPr="00D82264">
              <w:rPr>
                <w:rFonts w:eastAsia="Times New Roman"/>
                <w:color w:val="000000"/>
                <w:sz w:val="24"/>
                <w:szCs w:val="24"/>
                <w:lang w:eastAsia="ru-RU"/>
              </w:rPr>
              <w:t>0,61</w:t>
            </w:r>
          </w:p>
        </w:tc>
        <w:tc>
          <w:tcPr>
            <w:tcW w:w="969"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color w:val="000000"/>
                <w:sz w:val="24"/>
                <w:szCs w:val="24"/>
                <w:lang w:eastAsia="ru-RU"/>
              </w:rPr>
            </w:pPr>
            <w:r w:rsidRPr="00D82264">
              <w:rPr>
                <w:rFonts w:eastAsia="Times New Roman"/>
                <w:color w:val="000000"/>
                <w:sz w:val="24"/>
                <w:szCs w:val="24"/>
                <w:lang w:eastAsia="ru-RU"/>
              </w:rPr>
              <w:t>0,90</w:t>
            </w:r>
          </w:p>
        </w:tc>
      </w:tr>
      <w:tr w:rsidR="00D82264" w:rsidRPr="00D82264" w:rsidTr="00D82264">
        <w:trPr>
          <w:trHeight w:val="293"/>
          <w:jc w:val="center"/>
        </w:trPr>
        <w:tc>
          <w:tcPr>
            <w:tcW w:w="4536" w:type="dxa"/>
            <w:tcBorders>
              <w:top w:val="single" w:sz="4" w:space="0" w:color="auto"/>
              <w:left w:val="single" w:sz="4" w:space="0" w:color="auto"/>
              <w:bottom w:val="single" w:sz="4" w:space="0" w:color="auto"/>
              <w:right w:val="single" w:sz="4" w:space="0" w:color="auto"/>
            </w:tcBorders>
            <w:vAlign w:val="bottom"/>
          </w:tcPr>
          <w:p w:rsidR="00D82264" w:rsidRPr="00D82264" w:rsidRDefault="00D82264" w:rsidP="00D82264">
            <w:pPr>
              <w:keepNext/>
              <w:jc w:val="left"/>
              <w:rPr>
                <w:rFonts w:eastAsia="Times New Roman"/>
                <w:sz w:val="24"/>
                <w:szCs w:val="24"/>
                <w:lang w:eastAsia="ru-RU"/>
              </w:rPr>
            </w:pPr>
            <w:r w:rsidRPr="00D82264">
              <w:rPr>
                <w:rFonts w:eastAsia="Times New Roman"/>
                <w:sz w:val="24"/>
                <w:szCs w:val="24"/>
                <w:lang w:eastAsia="ru-RU"/>
              </w:rPr>
              <w:t>Частота мало вагових новонароджених</w:t>
            </w:r>
          </w:p>
        </w:tc>
        <w:tc>
          <w:tcPr>
            <w:tcW w:w="968"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color w:val="000000"/>
                <w:sz w:val="24"/>
                <w:szCs w:val="24"/>
                <w:lang w:eastAsia="ru-RU"/>
              </w:rPr>
            </w:pPr>
            <w:r w:rsidRPr="00D82264">
              <w:rPr>
                <w:rFonts w:eastAsia="Times New Roman"/>
                <w:color w:val="000000"/>
                <w:sz w:val="24"/>
                <w:szCs w:val="24"/>
                <w:lang w:eastAsia="ru-RU"/>
              </w:rPr>
              <w:t>5,42</w:t>
            </w:r>
          </w:p>
        </w:tc>
        <w:tc>
          <w:tcPr>
            <w:tcW w:w="969"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color w:val="000000"/>
                <w:sz w:val="24"/>
                <w:szCs w:val="24"/>
                <w:lang w:eastAsia="ru-RU"/>
              </w:rPr>
            </w:pPr>
            <w:r w:rsidRPr="00D82264">
              <w:rPr>
                <w:rFonts w:eastAsia="Times New Roman"/>
                <w:color w:val="000000"/>
                <w:sz w:val="24"/>
                <w:szCs w:val="24"/>
                <w:lang w:eastAsia="ru-RU"/>
              </w:rPr>
              <w:t>5,58</w:t>
            </w:r>
          </w:p>
        </w:tc>
        <w:tc>
          <w:tcPr>
            <w:tcW w:w="968"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color w:val="000000"/>
                <w:sz w:val="24"/>
                <w:szCs w:val="24"/>
                <w:lang w:eastAsia="ru-RU"/>
              </w:rPr>
            </w:pPr>
            <w:r w:rsidRPr="00D82264">
              <w:rPr>
                <w:rFonts w:eastAsia="Times New Roman"/>
                <w:color w:val="000000"/>
                <w:sz w:val="24"/>
                <w:szCs w:val="24"/>
                <w:lang w:eastAsia="ru-RU"/>
              </w:rPr>
              <w:t>3,4</w:t>
            </w:r>
          </w:p>
        </w:tc>
        <w:tc>
          <w:tcPr>
            <w:tcW w:w="969"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color w:val="000000"/>
                <w:sz w:val="24"/>
                <w:szCs w:val="24"/>
                <w:lang w:eastAsia="ru-RU"/>
              </w:rPr>
            </w:pPr>
            <w:r w:rsidRPr="00D82264">
              <w:rPr>
                <w:rFonts w:eastAsia="Times New Roman"/>
                <w:color w:val="000000"/>
                <w:sz w:val="24"/>
                <w:szCs w:val="24"/>
                <w:lang w:eastAsia="ru-RU"/>
              </w:rPr>
              <w:t>3,42</w:t>
            </w:r>
          </w:p>
        </w:tc>
        <w:tc>
          <w:tcPr>
            <w:tcW w:w="968"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color w:val="000000"/>
                <w:sz w:val="24"/>
                <w:szCs w:val="24"/>
                <w:lang w:eastAsia="ru-RU"/>
              </w:rPr>
            </w:pPr>
            <w:r w:rsidRPr="00D82264">
              <w:rPr>
                <w:rFonts w:eastAsia="Times New Roman"/>
                <w:color w:val="000000"/>
                <w:sz w:val="24"/>
                <w:szCs w:val="24"/>
                <w:lang w:eastAsia="ru-RU"/>
              </w:rPr>
              <w:t>0,68</w:t>
            </w:r>
          </w:p>
        </w:tc>
        <w:tc>
          <w:tcPr>
            <w:tcW w:w="969"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color w:val="000000"/>
                <w:sz w:val="24"/>
                <w:szCs w:val="24"/>
                <w:lang w:eastAsia="ru-RU"/>
              </w:rPr>
            </w:pPr>
            <w:r w:rsidRPr="00D82264">
              <w:rPr>
                <w:rFonts w:eastAsia="Times New Roman"/>
                <w:color w:val="000000"/>
                <w:sz w:val="24"/>
                <w:szCs w:val="24"/>
                <w:lang w:eastAsia="ru-RU"/>
              </w:rPr>
              <w:t>0,68</w:t>
            </w:r>
          </w:p>
        </w:tc>
      </w:tr>
      <w:tr w:rsidR="00D82264" w:rsidRPr="00D82264" w:rsidTr="00D82264">
        <w:trPr>
          <w:trHeight w:val="344"/>
          <w:jc w:val="center"/>
        </w:trPr>
        <w:tc>
          <w:tcPr>
            <w:tcW w:w="4536" w:type="dxa"/>
            <w:tcBorders>
              <w:top w:val="single" w:sz="4" w:space="0" w:color="auto"/>
              <w:left w:val="single" w:sz="4" w:space="0" w:color="auto"/>
              <w:bottom w:val="single" w:sz="4" w:space="0" w:color="auto"/>
              <w:right w:val="single" w:sz="4" w:space="0" w:color="auto"/>
            </w:tcBorders>
            <w:vAlign w:val="bottom"/>
          </w:tcPr>
          <w:p w:rsidR="00D82264" w:rsidRPr="00D82264" w:rsidRDefault="00D82264" w:rsidP="00D82264">
            <w:pPr>
              <w:keepNext/>
              <w:jc w:val="left"/>
              <w:rPr>
                <w:rFonts w:eastAsia="Times New Roman"/>
                <w:sz w:val="24"/>
                <w:szCs w:val="24"/>
                <w:lang w:eastAsia="ru-RU"/>
              </w:rPr>
            </w:pPr>
            <w:r w:rsidRPr="00D82264">
              <w:rPr>
                <w:rFonts w:eastAsia="Times New Roman"/>
                <w:sz w:val="24"/>
                <w:szCs w:val="24"/>
                <w:lang w:eastAsia="ru-RU"/>
              </w:rPr>
              <w:t>Виживання новонароджених з дуже малою масою тіла при народженні</w:t>
            </w:r>
          </w:p>
        </w:tc>
        <w:tc>
          <w:tcPr>
            <w:tcW w:w="968"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color w:val="000000"/>
                <w:sz w:val="24"/>
                <w:szCs w:val="24"/>
                <w:lang w:eastAsia="ru-RU"/>
              </w:rPr>
            </w:pPr>
            <w:r w:rsidRPr="00D82264">
              <w:rPr>
                <w:rFonts w:eastAsia="Times New Roman"/>
                <w:color w:val="000000"/>
                <w:sz w:val="24"/>
                <w:szCs w:val="24"/>
                <w:lang w:eastAsia="ru-RU"/>
              </w:rPr>
              <w:t>86,49</w:t>
            </w:r>
          </w:p>
        </w:tc>
        <w:tc>
          <w:tcPr>
            <w:tcW w:w="969"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color w:val="000000"/>
                <w:sz w:val="24"/>
                <w:szCs w:val="24"/>
                <w:lang w:eastAsia="ru-RU"/>
              </w:rPr>
            </w:pPr>
            <w:r w:rsidRPr="00D82264">
              <w:rPr>
                <w:rFonts w:eastAsia="Times New Roman"/>
                <w:color w:val="000000"/>
                <w:sz w:val="24"/>
                <w:szCs w:val="24"/>
                <w:lang w:eastAsia="ru-RU"/>
              </w:rPr>
              <w:t>85,23</w:t>
            </w:r>
          </w:p>
        </w:tc>
        <w:tc>
          <w:tcPr>
            <w:tcW w:w="968"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color w:val="000000"/>
                <w:sz w:val="24"/>
                <w:szCs w:val="24"/>
                <w:lang w:eastAsia="ru-RU"/>
              </w:rPr>
            </w:pPr>
            <w:r w:rsidRPr="00D82264">
              <w:rPr>
                <w:rFonts w:eastAsia="Times New Roman"/>
                <w:color w:val="000000"/>
                <w:sz w:val="24"/>
                <w:szCs w:val="24"/>
                <w:lang w:eastAsia="ru-RU"/>
              </w:rPr>
              <w:t>7,7</w:t>
            </w:r>
          </w:p>
        </w:tc>
        <w:tc>
          <w:tcPr>
            <w:tcW w:w="969"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color w:val="000000"/>
                <w:sz w:val="24"/>
                <w:szCs w:val="24"/>
                <w:lang w:eastAsia="ru-RU"/>
              </w:rPr>
            </w:pPr>
            <w:r w:rsidRPr="00D82264">
              <w:rPr>
                <w:rFonts w:eastAsia="Times New Roman"/>
                <w:color w:val="000000"/>
                <w:sz w:val="24"/>
                <w:szCs w:val="24"/>
                <w:lang w:eastAsia="ru-RU"/>
              </w:rPr>
              <w:t>8,0</w:t>
            </w:r>
          </w:p>
        </w:tc>
        <w:tc>
          <w:tcPr>
            <w:tcW w:w="968"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color w:val="000000"/>
                <w:sz w:val="24"/>
                <w:szCs w:val="24"/>
                <w:lang w:eastAsia="ru-RU"/>
              </w:rPr>
            </w:pPr>
            <w:r w:rsidRPr="00D82264">
              <w:rPr>
                <w:rFonts w:eastAsia="Times New Roman"/>
                <w:color w:val="000000"/>
                <w:sz w:val="24"/>
                <w:szCs w:val="24"/>
                <w:lang w:eastAsia="ru-RU"/>
              </w:rPr>
              <w:t>0,96</w:t>
            </w:r>
          </w:p>
        </w:tc>
        <w:tc>
          <w:tcPr>
            <w:tcW w:w="969"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color w:val="000000"/>
                <w:sz w:val="24"/>
                <w:szCs w:val="24"/>
                <w:lang w:eastAsia="ru-RU"/>
              </w:rPr>
            </w:pPr>
            <w:r w:rsidRPr="00D82264">
              <w:rPr>
                <w:rFonts w:eastAsia="Times New Roman"/>
                <w:color w:val="000000"/>
                <w:sz w:val="24"/>
                <w:szCs w:val="24"/>
                <w:lang w:eastAsia="ru-RU"/>
              </w:rPr>
              <w:t>1,00</w:t>
            </w:r>
          </w:p>
        </w:tc>
      </w:tr>
      <w:tr w:rsidR="00D82264" w:rsidRPr="00D82264" w:rsidTr="00D82264">
        <w:trPr>
          <w:trHeight w:val="226"/>
          <w:jc w:val="center"/>
        </w:trPr>
        <w:tc>
          <w:tcPr>
            <w:tcW w:w="4536" w:type="dxa"/>
            <w:tcBorders>
              <w:top w:val="single" w:sz="4" w:space="0" w:color="auto"/>
              <w:left w:val="single" w:sz="4" w:space="0" w:color="auto"/>
              <w:bottom w:val="single" w:sz="4" w:space="0" w:color="auto"/>
              <w:right w:val="single" w:sz="4" w:space="0" w:color="auto"/>
            </w:tcBorders>
            <w:vAlign w:val="bottom"/>
          </w:tcPr>
          <w:p w:rsidR="00D82264" w:rsidRPr="00D82264" w:rsidRDefault="00D82264" w:rsidP="00D82264">
            <w:pPr>
              <w:keepNext/>
              <w:jc w:val="left"/>
              <w:rPr>
                <w:rFonts w:eastAsia="Times New Roman"/>
                <w:sz w:val="24"/>
                <w:szCs w:val="24"/>
                <w:lang w:eastAsia="ru-RU"/>
              </w:rPr>
            </w:pPr>
            <w:r w:rsidRPr="00D82264">
              <w:rPr>
                <w:rFonts w:eastAsia="Times New Roman"/>
                <w:sz w:val="24"/>
                <w:szCs w:val="24"/>
                <w:lang w:eastAsia="ru-RU"/>
              </w:rPr>
              <w:t>Індекс здоров’я новонароджених</w:t>
            </w:r>
          </w:p>
        </w:tc>
        <w:tc>
          <w:tcPr>
            <w:tcW w:w="968"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color w:val="000000"/>
                <w:sz w:val="24"/>
                <w:szCs w:val="24"/>
                <w:lang w:eastAsia="ru-RU"/>
              </w:rPr>
            </w:pPr>
            <w:r w:rsidRPr="00D82264">
              <w:rPr>
                <w:rFonts w:eastAsia="Times New Roman"/>
                <w:color w:val="000000"/>
                <w:sz w:val="24"/>
                <w:szCs w:val="24"/>
                <w:lang w:eastAsia="ru-RU"/>
              </w:rPr>
              <w:t>81</w:t>
            </w:r>
          </w:p>
        </w:tc>
        <w:tc>
          <w:tcPr>
            <w:tcW w:w="969"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color w:val="000000"/>
                <w:sz w:val="24"/>
                <w:szCs w:val="24"/>
                <w:lang w:eastAsia="ru-RU"/>
              </w:rPr>
            </w:pPr>
            <w:r w:rsidRPr="00D82264">
              <w:rPr>
                <w:rFonts w:eastAsia="Times New Roman"/>
                <w:color w:val="000000"/>
                <w:sz w:val="24"/>
                <w:szCs w:val="24"/>
                <w:lang w:eastAsia="ru-RU"/>
              </w:rPr>
              <w:t>78,32</w:t>
            </w:r>
          </w:p>
        </w:tc>
        <w:tc>
          <w:tcPr>
            <w:tcW w:w="968"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color w:val="000000"/>
                <w:sz w:val="24"/>
                <w:szCs w:val="24"/>
                <w:lang w:eastAsia="ru-RU"/>
              </w:rPr>
            </w:pPr>
            <w:r w:rsidRPr="00D82264">
              <w:rPr>
                <w:rFonts w:eastAsia="Times New Roman"/>
                <w:color w:val="000000"/>
                <w:sz w:val="24"/>
                <w:szCs w:val="24"/>
                <w:lang w:eastAsia="ru-RU"/>
              </w:rPr>
              <w:t>5,5</w:t>
            </w:r>
          </w:p>
        </w:tc>
        <w:tc>
          <w:tcPr>
            <w:tcW w:w="969"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color w:val="000000"/>
                <w:sz w:val="24"/>
                <w:szCs w:val="24"/>
                <w:lang w:eastAsia="ru-RU"/>
              </w:rPr>
            </w:pPr>
            <w:r w:rsidRPr="00D82264">
              <w:rPr>
                <w:rFonts w:eastAsia="Times New Roman"/>
                <w:color w:val="000000"/>
                <w:sz w:val="24"/>
                <w:szCs w:val="24"/>
                <w:lang w:eastAsia="ru-RU"/>
              </w:rPr>
              <w:t>5,53</w:t>
            </w:r>
          </w:p>
        </w:tc>
        <w:tc>
          <w:tcPr>
            <w:tcW w:w="968"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color w:val="000000"/>
                <w:sz w:val="24"/>
                <w:szCs w:val="24"/>
                <w:lang w:eastAsia="ru-RU"/>
              </w:rPr>
            </w:pPr>
            <w:r w:rsidRPr="00D82264">
              <w:rPr>
                <w:rFonts w:eastAsia="Times New Roman"/>
                <w:color w:val="000000"/>
                <w:sz w:val="24"/>
                <w:szCs w:val="24"/>
                <w:lang w:eastAsia="ru-RU"/>
              </w:rPr>
              <w:t>0,92</w:t>
            </w:r>
          </w:p>
        </w:tc>
        <w:tc>
          <w:tcPr>
            <w:tcW w:w="969"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color w:val="000000"/>
                <w:sz w:val="24"/>
                <w:szCs w:val="24"/>
                <w:lang w:eastAsia="ru-RU"/>
              </w:rPr>
            </w:pPr>
            <w:r w:rsidRPr="00D82264">
              <w:rPr>
                <w:rFonts w:eastAsia="Times New Roman"/>
                <w:color w:val="000000"/>
                <w:sz w:val="24"/>
                <w:szCs w:val="24"/>
                <w:lang w:eastAsia="ru-RU"/>
              </w:rPr>
              <w:t>0,92</w:t>
            </w:r>
          </w:p>
        </w:tc>
      </w:tr>
      <w:tr w:rsidR="00D82264" w:rsidRPr="00D82264" w:rsidTr="00D82264">
        <w:trPr>
          <w:trHeight w:val="244"/>
          <w:jc w:val="center"/>
        </w:trPr>
        <w:tc>
          <w:tcPr>
            <w:tcW w:w="4536" w:type="dxa"/>
            <w:tcBorders>
              <w:top w:val="single" w:sz="4" w:space="0" w:color="auto"/>
              <w:left w:val="single" w:sz="4" w:space="0" w:color="auto"/>
              <w:bottom w:val="single" w:sz="4" w:space="0" w:color="auto"/>
              <w:right w:val="single" w:sz="4" w:space="0" w:color="auto"/>
            </w:tcBorders>
            <w:vAlign w:val="bottom"/>
          </w:tcPr>
          <w:p w:rsidR="00D82264" w:rsidRPr="00D82264" w:rsidRDefault="00D82264" w:rsidP="00D82264">
            <w:pPr>
              <w:keepNext/>
              <w:jc w:val="left"/>
              <w:rPr>
                <w:rFonts w:eastAsia="Times New Roman"/>
                <w:sz w:val="24"/>
                <w:szCs w:val="24"/>
                <w:lang w:eastAsia="ru-RU"/>
              </w:rPr>
            </w:pPr>
            <w:r w:rsidRPr="00D82264">
              <w:rPr>
                <w:rFonts w:eastAsia="Times New Roman"/>
                <w:sz w:val="24"/>
                <w:szCs w:val="24"/>
                <w:lang w:eastAsia="ru-RU"/>
              </w:rPr>
              <w:t xml:space="preserve">Рівень перинатальної смертності </w:t>
            </w:r>
          </w:p>
        </w:tc>
        <w:tc>
          <w:tcPr>
            <w:tcW w:w="968"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color w:val="000000"/>
                <w:sz w:val="24"/>
                <w:szCs w:val="24"/>
                <w:lang w:eastAsia="ru-RU"/>
              </w:rPr>
            </w:pPr>
            <w:r w:rsidRPr="00D82264">
              <w:rPr>
                <w:rFonts w:eastAsia="Times New Roman"/>
                <w:color w:val="000000"/>
                <w:sz w:val="24"/>
                <w:szCs w:val="24"/>
                <w:lang w:eastAsia="ru-RU"/>
              </w:rPr>
              <w:t>7,72</w:t>
            </w:r>
          </w:p>
        </w:tc>
        <w:tc>
          <w:tcPr>
            <w:tcW w:w="969"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color w:val="000000"/>
                <w:sz w:val="24"/>
                <w:szCs w:val="24"/>
                <w:lang w:eastAsia="ru-RU"/>
              </w:rPr>
            </w:pPr>
            <w:r w:rsidRPr="00D82264">
              <w:rPr>
                <w:rFonts w:eastAsia="Times New Roman"/>
                <w:color w:val="000000"/>
                <w:sz w:val="24"/>
                <w:szCs w:val="24"/>
                <w:lang w:eastAsia="ru-RU"/>
              </w:rPr>
              <w:t>7,79</w:t>
            </w:r>
          </w:p>
        </w:tc>
        <w:tc>
          <w:tcPr>
            <w:tcW w:w="968"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color w:val="000000"/>
                <w:sz w:val="24"/>
                <w:szCs w:val="24"/>
                <w:lang w:eastAsia="ru-RU"/>
              </w:rPr>
            </w:pPr>
            <w:r w:rsidRPr="00D82264">
              <w:rPr>
                <w:rFonts w:eastAsia="Times New Roman"/>
                <w:color w:val="000000"/>
                <w:sz w:val="24"/>
                <w:szCs w:val="24"/>
                <w:lang w:eastAsia="ru-RU"/>
              </w:rPr>
              <w:t>6</w:t>
            </w:r>
          </w:p>
        </w:tc>
        <w:tc>
          <w:tcPr>
            <w:tcW w:w="969"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color w:val="000000"/>
                <w:sz w:val="24"/>
                <w:szCs w:val="24"/>
                <w:lang w:eastAsia="ru-RU"/>
              </w:rPr>
            </w:pPr>
            <w:r w:rsidRPr="00D82264">
              <w:rPr>
                <w:rFonts w:eastAsia="Times New Roman"/>
                <w:color w:val="000000"/>
                <w:sz w:val="24"/>
                <w:szCs w:val="24"/>
                <w:lang w:eastAsia="ru-RU"/>
              </w:rPr>
              <w:t>6,0</w:t>
            </w:r>
          </w:p>
        </w:tc>
        <w:tc>
          <w:tcPr>
            <w:tcW w:w="968"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color w:val="000000"/>
                <w:sz w:val="24"/>
                <w:szCs w:val="24"/>
                <w:lang w:eastAsia="ru-RU"/>
              </w:rPr>
            </w:pPr>
            <w:r w:rsidRPr="00D82264">
              <w:rPr>
                <w:rFonts w:eastAsia="Times New Roman"/>
                <w:color w:val="000000"/>
                <w:sz w:val="24"/>
                <w:szCs w:val="24"/>
                <w:lang w:eastAsia="ru-RU"/>
              </w:rPr>
              <w:t>1,00</w:t>
            </w:r>
          </w:p>
        </w:tc>
        <w:tc>
          <w:tcPr>
            <w:tcW w:w="969"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color w:val="000000"/>
                <w:sz w:val="24"/>
                <w:szCs w:val="24"/>
                <w:lang w:eastAsia="ru-RU"/>
              </w:rPr>
            </w:pPr>
            <w:r w:rsidRPr="00D82264">
              <w:rPr>
                <w:rFonts w:eastAsia="Times New Roman"/>
                <w:color w:val="000000"/>
                <w:sz w:val="24"/>
                <w:szCs w:val="24"/>
                <w:lang w:eastAsia="ru-RU"/>
              </w:rPr>
              <w:t>1,00</w:t>
            </w:r>
          </w:p>
        </w:tc>
      </w:tr>
      <w:tr w:rsidR="00D82264" w:rsidRPr="00D82264" w:rsidTr="00D82264">
        <w:trPr>
          <w:trHeight w:val="450"/>
          <w:jc w:val="center"/>
        </w:trPr>
        <w:tc>
          <w:tcPr>
            <w:tcW w:w="4536"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rPr>
                <w:rFonts w:eastAsia="Times New Roman"/>
                <w:sz w:val="24"/>
                <w:szCs w:val="24"/>
                <w:lang w:eastAsia="ru-RU"/>
              </w:rPr>
            </w:pPr>
            <w:r w:rsidRPr="00D82264">
              <w:rPr>
                <w:rFonts w:eastAsia="Times New Roman"/>
                <w:sz w:val="24"/>
                <w:szCs w:val="24"/>
                <w:lang w:eastAsia="ru-RU"/>
              </w:rPr>
              <w:t>Співвідношення реального і фактичного показника ранньої неонатальної смертності</w:t>
            </w:r>
          </w:p>
        </w:tc>
        <w:tc>
          <w:tcPr>
            <w:tcW w:w="968"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sz w:val="24"/>
                <w:szCs w:val="24"/>
                <w:lang w:eastAsia="ru-RU"/>
              </w:rPr>
            </w:pPr>
            <w:r w:rsidRPr="00D82264">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color w:val="000000"/>
                <w:sz w:val="24"/>
                <w:szCs w:val="24"/>
                <w:lang w:eastAsia="ru-RU"/>
              </w:rPr>
            </w:pPr>
            <w:r w:rsidRPr="00D82264">
              <w:rPr>
                <w:rFonts w:eastAsia="Times New Roman"/>
                <w:color w:val="000000"/>
                <w:sz w:val="24"/>
                <w:szCs w:val="24"/>
                <w:lang w:eastAsia="ru-RU"/>
              </w:rPr>
              <w:t>2,48</w:t>
            </w:r>
          </w:p>
        </w:tc>
        <w:tc>
          <w:tcPr>
            <w:tcW w:w="968"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sz w:val="24"/>
                <w:szCs w:val="24"/>
                <w:lang w:eastAsia="ru-RU"/>
              </w:rPr>
            </w:pPr>
            <w:r w:rsidRPr="00D82264">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color w:val="000000"/>
                <w:sz w:val="24"/>
                <w:szCs w:val="24"/>
                <w:lang w:eastAsia="ru-RU"/>
              </w:rPr>
            </w:pPr>
            <w:r w:rsidRPr="00D82264">
              <w:rPr>
                <w:rFonts w:eastAsia="Times New Roman"/>
                <w:color w:val="000000"/>
                <w:sz w:val="24"/>
                <w:szCs w:val="24"/>
                <w:lang w:eastAsia="ru-RU"/>
              </w:rPr>
              <w:t>2,08</w:t>
            </w:r>
          </w:p>
        </w:tc>
        <w:tc>
          <w:tcPr>
            <w:tcW w:w="968"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sz w:val="24"/>
                <w:szCs w:val="24"/>
                <w:lang w:eastAsia="ru-RU"/>
              </w:rPr>
            </w:pPr>
            <w:r w:rsidRPr="00D82264">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color w:val="000000"/>
                <w:sz w:val="24"/>
                <w:szCs w:val="24"/>
                <w:lang w:eastAsia="ru-RU"/>
              </w:rPr>
            </w:pPr>
            <w:r w:rsidRPr="00D82264">
              <w:rPr>
                <w:rFonts w:eastAsia="Times New Roman"/>
                <w:color w:val="000000"/>
                <w:sz w:val="24"/>
                <w:szCs w:val="24"/>
                <w:lang w:eastAsia="ru-RU"/>
              </w:rPr>
              <w:t>0,35</w:t>
            </w:r>
          </w:p>
        </w:tc>
      </w:tr>
      <w:tr w:rsidR="00D82264" w:rsidRPr="00D82264" w:rsidTr="00D82264">
        <w:trPr>
          <w:trHeight w:val="216"/>
          <w:jc w:val="center"/>
        </w:trPr>
        <w:tc>
          <w:tcPr>
            <w:tcW w:w="4536"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rPr>
                <w:rFonts w:eastAsia="Times New Roman"/>
                <w:sz w:val="24"/>
                <w:szCs w:val="24"/>
                <w:lang w:eastAsia="ru-RU"/>
              </w:rPr>
            </w:pPr>
            <w:r w:rsidRPr="00D82264">
              <w:rPr>
                <w:rFonts w:eastAsia="Times New Roman"/>
                <w:sz w:val="24"/>
                <w:szCs w:val="24"/>
                <w:lang w:eastAsia="ru-RU"/>
              </w:rPr>
              <w:t>Рівень неонатальної смерті</w:t>
            </w:r>
          </w:p>
        </w:tc>
        <w:tc>
          <w:tcPr>
            <w:tcW w:w="968"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sz w:val="24"/>
                <w:szCs w:val="24"/>
                <w:lang w:eastAsia="ru-RU"/>
              </w:rPr>
            </w:pPr>
            <w:r w:rsidRPr="00D82264">
              <w:rPr>
                <w:rFonts w:eastAsia="Times New Roman"/>
                <w:sz w:val="24"/>
                <w:szCs w:val="24"/>
                <w:lang w:eastAsia="ru-RU"/>
              </w:rPr>
              <w:t>2,17</w:t>
            </w:r>
          </w:p>
        </w:tc>
        <w:tc>
          <w:tcPr>
            <w:tcW w:w="969"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color w:val="000000"/>
                <w:sz w:val="24"/>
                <w:szCs w:val="24"/>
                <w:lang w:eastAsia="ru-RU"/>
              </w:rPr>
            </w:pPr>
            <w:r w:rsidRPr="00D82264">
              <w:rPr>
                <w:rFonts w:eastAsia="Times New Roman"/>
                <w:color w:val="000000"/>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sz w:val="24"/>
                <w:szCs w:val="24"/>
                <w:lang w:eastAsia="ru-RU"/>
              </w:rPr>
            </w:pPr>
            <w:r w:rsidRPr="00D82264">
              <w:rPr>
                <w:rFonts w:eastAsia="Times New Roman"/>
                <w:sz w:val="24"/>
                <w:szCs w:val="24"/>
                <w:lang w:eastAsia="ru-RU"/>
              </w:rPr>
              <w:t>6,0</w:t>
            </w:r>
          </w:p>
        </w:tc>
        <w:tc>
          <w:tcPr>
            <w:tcW w:w="969"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color w:val="000000"/>
                <w:sz w:val="24"/>
                <w:szCs w:val="24"/>
                <w:lang w:eastAsia="ru-RU"/>
              </w:rPr>
            </w:pPr>
            <w:r w:rsidRPr="00D82264">
              <w:rPr>
                <w:rFonts w:eastAsia="Times New Roman"/>
                <w:color w:val="000000"/>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sz w:val="24"/>
                <w:szCs w:val="24"/>
                <w:lang w:eastAsia="ru-RU"/>
              </w:rPr>
            </w:pPr>
            <w:r w:rsidRPr="00D82264">
              <w:rPr>
                <w:rFonts w:eastAsia="Times New Roman"/>
                <w:sz w:val="24"/>
                <w:szCs w:val="24"/>
                <w:lang w:eastAsia="ru-RU"/>
              </w:rPr>
              <w:t>1,00</w:t>
            </w:r>
          </w:p>
        </w:tc>
        <w:tc>
          <w:tcPr>
            <w:tcW w:w="969"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color w:val="000000"/>
                <w:sz w:val="24"/>
                <w:szCs w:val="24"/>
                <w:lang w:eastAsia="ru-RU"/>
              </w:rPr>
            </w:pPr>
            <w:r w:rsidRPr="00D82264">
              <w:rPr>
                <w:rFonts w:eastAsia="Times New Roman"/>
                <w:color w:val="000000"/>
                <w:sz w:val="24"/>
                <w:szCs w:val="24"/>
                <w:lang w:eastAsia="ru-RU"/>
              </w:rPr>
              <w:t>**</w:t>
            </w:r>
          </w:p>
        </w:tc>
      </w:tr>
      <w:tr w:rsidR="00D82264" w:rsidRPr="00D82264" w:rsidTr="00D82264">
        <w:trPr>
          <w:trHeight w:val="324"/>
          <w:jc w:val="center"/>
        </w:trPr>
        <w:tc>
          <w:tcPr>
            <w:tcW w:w="4536"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left"/>
              <w:rPr>
                <w:rFonts w:eastAsia="Times New Roman"/>
                <w:sz w:val="24"/>
                <w:szCs w:val="24"/>
                <w:lang w:eastAsia="ru-RU"/>
              </w:rPr>
            </w:pPr>
            <w:r w:rsidRPr="00D82264">
              <w:rPr>
                <w:rFonts w:eastAsia="Times New Roman"/>
                <w:sz w:val="24"/>
                <w:szCs w:val="24"/>
                <w:lang w:eastAsia="ru-RU"/>
              </w:rPr>
              <w:t xml:space="preserve">Рівень ранньої неонатальної смертності </w:t>
            </w:r>
          </w:p>
        </w:tc>
        <w:tc>
          <w:tcPr>
            <w:tcW w:w="968"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sz w:val="24"/>
                <w:szCs w:val="24"/>
                <w:lang w:eastAsia="ru-RU"/>
              </w:rPr>
            </w:pPr>
            <w:r w:rsidRPr="00D82264">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color w:val="000000"/>
                <w:sz w:val="24"/>
                <w:szCs w:val="24"/>
                <w:lang w:eastAsia="ru-RU"/>
              </w:rPr>
            </w:pPr>
            <w:r w:rsidRPr="00D82264">
              <w:rPr>
                <w:rFonts w:eastAsia="Times New Roman"/>
                <w:color w:val="000000"/>
                <w:sz w:val="24"/>
                <w:szCs w:val="24"/>
                <w:lang w:eastAsia="ru-RU"/>
              </w:rPr>
              <w:t>2,24</w:t>
            </w:r>
          </w:p>
        </w:tc>
        <w:tc>
          <w:tcPr>
            <w:tcW w:w="968"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sz w:val="24"/>
                <w:szCs w:val="24"/>
                <w:lang w:eastAsia="ru-RU"/>
              </w:rPr>
            </w:pPr>
            <w:r w:rsidRPr="00D82264">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color w:val="000000"/>
                <w:sz w:val="24"/>
                <w:szCs w:val="24"/>
                <w:lang w:eastAsia="ru-RU"/>
              </w:rPr>
            </w:pPr>
            <w:r w:rsidRPr="00D82264">
              <w:rPr>
                <w:rFonts w:eastAsia="Times New Roman"/>
                <w:color w:val="000000"/>
                <w:sz w:val="24"/>
                <w:szCs w:val="24"/>
                <w:lang w:eastAsia="ru-RU"/>
              </w:rPr>
              <w:t>6,0</w:t>
            </w:r>
          </w:p>
        </w:tc>
        <w:tc>
          <w:tcPr>
            <w:tcW w:w="968"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sz w:val="24"/>
                <w:szCs w:val="24"/>
                <w:lang w:eastAsia="ru-RU"/>
              </w:rPr>
            </w:pPr>
            <w:r w:rsidRPr="00D82264">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color w:val="000000"/>
                <w:sz w:val="24"/>
                <w:szCs w:val="24"/>
                <w:lang w:eastAsia="ru-RU"/>
              </w:rPr>
            </w:pPr>
            <w:r w:rsidRPr="00D82264">
              <w:rPr>
                <w:rFonts w:eastAsia="Times New Roman"/>
                <w:color w:val="000000"/>
                <w:sz w:val="24"/>
                <w:szCs w:val="24"/>
                <w:lang w:eastAsia="ru-RU"/>
              </w:rPr>
              <w:t>1,00</w:t>
            </w:r>
          </w:p>
        </w:tc>
      </w:tr>
      <w:tr w:rsidR="00D82264" w:rsidRPr="00D82264" w:rsidTr="00D82264">
        <w:trPr>
          <w:trHeight w:val="272"/>
          <w:jc w:val="center"/>
        </w:trPr>
        <w:tc>
          <w:tcPr>
            <w:tcW w:w="4536" w:type="dxa"/>
            <w:tcBorders>
              <w:top w:val="single" w:sz="4" w:space="0" w:color="auto"/>
              <w:left w:val="single" w:sz="4" w:space="0" w:color="auto"/>
              <w:bottom w:val="single" w:sz="4" w:space="0" w:color="auto"/>
              <w:right w:val="single" w:sz="4" w:space="0" w:color="auto"/>
            </w:tcBorders>
            <w:vAlign w:val="bottom"/>
          </w:tcPr>
          <w:p w:rsidR="00D82264" w:rsidRPr="00D82264" w:rsidRDefault="00D82264" w:rsidP="00D82264">
            <w:pPr>
              <w:keepNext/>
              <w:jc w:val="left"/>
              <w:rPr>
                <w:rFonts w:eastAsia="Times New Roman"/>
                <w:sz w:val="24"/>
                <w:szCs w:val="24"/>
                <w:lang w:eastAsia="ru-RU"/>
              </w:rPr>
            </w:pPr>
            <w:r w:rsidRPr="00D82264">
              <w:rPr>
                <w:rFonts w:eastAsia="Times New Roman"/>
                <w:sz w:val="24"/>
                <w:szCs w:val="24"/>
                <w:lang w:eastAsia="ru-RU"/>
              </w:rPr>
              <w:t xml:space="preserve">Рівень материнської смертності </w:t>
            </w:r>
          </w:p>
        </w:tc>
        <w:tc>
          <w:tcPr>
            <w:tcW w:w="968"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sz w:val="24"/>
                <w:szCs w:val="24"/>
                <w:lang w:eastAsia="ru-RU"/>
              </w:rPr>
            </w:pPr>
            <w:r w:rsidRPr="00D82264">
              <w:rPr>
                <w:rFonts w:eastAsia="Times New Roman"/>
                <w:sz w:val="24"/>
                <w:szCs w:val="24"/>
                <w:lang w:eastAsia="ru-RU"/>
              </w:rPr>
              <w:t>18,1</w:t>
            </w:r>
          </w:p>
        </w:tc>
        <w:tc>
          <w:tcPr>
            <w:tcW w:w="969"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color w:val="000000"/>
                <w:sz w:val="24"/>
                <w:szCs w:val="24"/>
                <w:lang w:eastAsia="ru-RU"/>
              </w:rPr>
            </w:pPr>
            <w:r w:rsidRPr="00D82264">
              <w:rPr>
                <w:rFonts w:eastAsia="Times New Roman"/>
                <w:color w:val="000000"/>
                <w:sz w:val="24"/>
                <w:szCs w:val="24"/>
                <w:lang w:eastAsia="ru-RU"/>
              </w:rPr>
              <w:t>9,8</w:t>
            </w:r>
          </w:p>
        </w:tc>
        <w:tc>
          <w:tcPr>
            <w:tcW w:w="968"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sz w:val="24"/>
                <w:szCs w:val="24"/>
                <w:lang w:eastAsia="ru-RU"/>
              </w:rPr>
            </w:pPr>
            <w:r w:rsidRPr="00D82264">
              <w:rPr>
                <w:rFonts w:eastAsia="Times New Roman"/>
                <w:sz w:val="24"/>
                <w:szCs w:val="24"/>
                <w:lang w:eastAsia="ru-RU"/>
              </w:rPr>
              <w:t>1,8</w:t>
            </w:r>
          </w:p>
        </w:tc>
        <w:tc>
          <w:tcPr>
            <w:tcW w:w="969"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color w:val="000000"/>
                <w:sz w:val="24"/>
                <w:szCs w:val="24"/>
                <w:lang w:eastAsia="ru-RU"/>
              </w:rPr>
            </w:pPr>
            <w:r w:rsidRPr="00D82264">
              <w:rPr>
                <w:rFonts w:eastAsia="Times New Roman"/>
                <w:color w:val="000000"/>
                <w:sz w:val="24"/>
                <w:szCs w:val="24"/>
                <w:lang w:eastAsia="ru-RU"/>
              </w:rPr>
              <w:t>5,0</w:t>
            </w:r>
          </w:p>
        </w:tc>
        <w:tc>
          <w:tcPr>
            <w:tcW w:w="968"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sz w:val="24"/>
                <w:szCs w:val="24"/>
                <w:lang w:eastAsia="ru-RU"/>
              </w:rPr>
            </w:pPr>
            <w:r w:rsidRPr="00D82264">
              <w:rPr>
                <w:rFonts w:eastAsia="Times New Roman"/>
                <w:sz w:val="24"/>
                <w:szCs w:val="24"/>
                <w:lang w:eastAsia="ru-RU"/>
              </w:rPr>
              <w:t>0,36</w:t>
            </w:r>
          </w:p>
        </w:tc>
        <w:tc>
          <w:tcPr>
            <w:tcW w:w="969"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color w:val="000000"/>
                <w:sz w:val="24"/>
                <w:szCs w:val="24"/>
                <w:lang w:eastAsia="ru-RU"/>
              </w:rPr>
            </w:pPr>
            <w:r w:rsidRPr="00D82264">
              <w:rPr>
                <w:rFonts w:eastAsia="Times New Roman"/>
                <w:color w:val="000000"/>
                <w:sz w:val="24"/>
                <w:szCs w:val="24"/>
                <w:lang w:eastAsia="ru-RU"/>
              </w:rPr>
              <w:t>1,00</w:t>
            </w:r>
          </w:p>
        </w:tc>
      </w:tr>
      <w:tr w:rsidR="00D82264" w:rsidRPr="00D82264" w:rsidTr="00D82264">
        <w:trPr>
          <w:trHeight w:val="300"/>
          <w:jc w:val="center"/>
        </w:trPr>
        <w:tc>
          <w:tcPr>
            <w:tcW w:w="4536" w:type="dxa"/>
            <w:tcBorders>
              <w:top w:val="single" w:sz="4" w:space="0" w:color="auto"/>
              <w:left w:val="single" w:sz="4" w:space="0" w:color="auto"/>
              <w:bottom w:val="single" w:sz="4" w:space="0" w:color="auto"/>
              <w:right w:val="single" w:sz="4" w:space="0" w:color="auto"/>
            </w:tcBorders>
            <w:noWrap/>
            <w:vAlign w:val="bottom"/>
            <w:hideMark/>
          </w:tcPr>
          <w:p w:rsidR="00D82264" w:rsidRPr="00D82264" w:rsidRDefault="00D82264" w:rsidP="00D82264">
            <w:pPr>
              <w:keepNext/>
              <w:jc w:val="left"/>
              <w:rPr>
                <w:rFonts w:eastAsia="Times New Roman"/>
                <w:sz w:val="24"/>
                <w:szCs w:val="24"/>
                <w:lang w:eastAsia="ru-RU"/>
              </w:rPr>
            </w:pPr>
          </w:p>
        </w:tc>
        <w:tc>
          <w:tcPr>
            <w:tcW w:w="968" w:type="dxa"/>
            <w:tcBorders>
              <w:top w:val="single" w:sz="4" w:space="0" w:color="auto"/>
              <w:left w:val="single" w:sz="4" w:space="0" w:color="auto"/>
              <w:bottom w:val="single" w:sz="4" w:space="0" w:color="auto"/>
              <w:right w:val="single" w:sz="4" w:space="0" w:color="auto"/>
            </w:tcBorders>
            <w:noWrap/>
            <w:vAlign w:val="center"/>
          </w:tcPr>
          <w:p w:rsidR="00D82264" w:rsidRPr="00D82264" w:rsidRDefault="00D82264" w:rsidP="00D82264">
            <w:pPr>
              <w:keepNext/>
              <w:jc w:val="center"/>
              <w:rPr>
                <w:rFonts w:eastAsia="Times New Roman"/>
                <w:sz w:val="24"/>
                <w:szCs w:val="24"/>
                <w:lang w:eastAsia="ru-RU"/>
              </w:rPr>
            </w:pPr>
          </w:p>
        </w:tc>
        <w:tc>
          <w:tcPr>
            <w:tcW w:w="969"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color w:val="000000"/>
                <w:sz w:val="24"/>
                <w:szCs w:val="24"/>
                <w:lang w:eastAsia="ru-RU"/>
              </w:rPr>
            </w:pPr>
          </w:p>
        </w:tc>
        <w:tc>
          <w:tcPr>
            <w:tcW w:w="968" w:type="dxa"/>
            <w:tcBorders>
              <w:top w:val="single" w:sz="4" w:space="0" w:color="auto"/>
              <w:left w:val="single" w:sz="4" w:space="0" w:color="auto"/>
              <w:bottom w:val="single" w:sz="4" w:space="0" w:color="auto"/>
              <w:right w:val="single" w:sz="4" w:space="0" w:color="auto"/>
            </w:tcBorders>
            <w:noWrap/>
            <w:vAlign w:val="center"/>
          </w:tcPr>
          <w:p w:rsidR="00D82264" w:rsidRPr="00D82264" w:rsidRDefault="00D82264" w:rsidP="00D82264">
            <w:pPr>
              <w:keepNext/>
              <w:jc w:val="center"/>
              <w:rPr>
                <w:rFonts w:eastAsia="Times New Roman"/>
                <w:color w:val="000000"/>
                <w:sz w:val="24"/>
                <w:szCs w:val="24"/>
                <w:lang w:eastAsia="ru-RU"/>
              </w:rPr>
            </w:pPr>
            <w:r w:rsidRPr="00D82264">
              <w:rPr>
                <w:rFonts w:eastAsia="Times New Roman"/>
                <w:color w:val="000000"/>
                <w:sz w:val="24"/>
                <w:szCs w:val="24"/>
                <w:lang w:eastAsia="ru-RU"/>
              </w:rPr>
              <w:t>94,45</w:t>
            </w:r>
          </w:p>
        </w:tc>
        <w:tc>
          <w:tcPr>
            <w:tcW w:w="969"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color w:val="000000"/>
                <w:sz w:val="24"/>
                <w:szCs w:val="24"/>
                <w:lang w:eastAsia="ru-RU"/>
              </w:rPr>
            </w:pPr>
            <w:r w:rsidRPr="00D82264">
              <w:rPr>
                <w:rFonts w:eastAsia="Times New Roman"/>
                <w:color w:val="000000"/>
                <w:sz w:val="24"/>
                <w:szCs w:val="24"/>
                <w:lang w:eastAsia="ru-RU"/>
              </w:rPr>
              <w:t>108,9</w:t>
            </w:r>
          </w:p>
        </w:tc>
        <w:tc>
          <w:tcPr>
            <w:tcW w:w="968" w:type="dxa"/>
            <w:tcBorders>
              <w:top w:val="single" w:sz="4" w:space="0" w:color="auto"/>
              <w:left w:val="single" w:sz="4" w:space="0" w:color="auto"/>
              <w:bottom w:val="single" w:sz="4" w:space="0" w:color="auto"/>
              <w:right w:val="single" w:sz="4" w:space="0" w:color="auto"/>
            </w:tcBorders>
            <w:noWrap/>
            <w:vAlign w:val="center"/>
          </w:tcPr>
          <w:p w:rsidR="00D82264" w:rsidRPr="00D82264" w:rsidRDefault="00D82264" w:rsidP="00D82264">
            <w:pPr>
              <w:keepNext/>
              <w:jc w:val="center"/>
              <w:rPr>
                <w:rFonts w:eastAsia="Times New Roman"/>
                <w:color w:val="000000"/>
                <w:sz w:val="24"/>
                <w:szCs w:val="24"/>
                <w:lang w:eastAsia="ru-RU"/>
              </w:rPr>
            </w:pPr>
            <w:r w:rsidRPr="00D82264">
              <w:rPr>
                <w:rFonts w:eastAsia="Times New Roman"/>
                <w:color w:val="000000"/>
                <w:sz w:val="24"/>
                <w:szCs w:val="24"/>
                <w:lang w:eastAsia="ru-RU"/>
              </w:rPr>
              <w:t>0,80</w:t>
            </w:r>
          </w:p>
        </w:tc>
        <w:tc>
          <w:tcPr>
            <w:tcW w:w="969" w:type="dxa"/>
            <w:tcBorders>
              <w:top w:val="single" w:sz="4" w:space="0" w:color="auto"/>
              <w:left w:val="single" w:sz="4" w:space="0" w:color="auto"/>
              <w:bottom w:val="single" w:sz="4" w:space="0" w:color="auto"/>
              <w:right w:val="single" w:sz="4" w:space="0" w:color="auto"/>
            </w:tcBorders>
            <w:vAlign w:val="center"/>
          </w:tcPr>
          <w:p w:rsidR="00D82264" w:rsidRPr="00D82264" w:rsidRDefault="00D82264" w:rsidP="00D82264">
            <w:pPr>
              <w:keepNext/>
              <w:jc w:val="center"/>
              <w:rPr>
                <w:rFonts w:eastAsia="Times New Roman"/>
                <w:color w:val="000000"/>
                <w:sz w:val="24"/>
                <w:szCs w:val="24"/>
                <w:lang w:eastAsia="ru-RU"/>
              </w:rPr>
            </w:pPr>
            <w:r w:rsidRPr="00D82264">
              <w:rPr>
                <w:rFonts w:eastAsia="Times New Roman"/>
                <w:color w:val="000000"/>
                <w:sz w:val="24"/>
                <w:szCs w:val="24"/>
                <w:lang w:eastAsia="ru-RU"/>
              </w:rPr>
              <w:t>0,84</w:t>
            </w:r>
          </w:p>
        </w:tc>
      </w:tr>
    </w:tbl>
    <w:p w:rsidR="00C43972" w:rsidRPr="00C43972" w:rsidRDefault="00C43972" w:rsidP="00C43972">
      <w:pPr>
        <w:spacing w:after="160" w:line="259" w:lineRule="auto"/>
        <w:jc w:val="left"/>
        <w:rPr>
          <w:rFonts w:eastAsia="Calibri"/>
          <w:szCs w:val="28"/>
        </w:rPr>
      </w:pPr>
    </w:p>
    <w:p w:rsidR="00C43972" w:rsidRPr="00CD6FE3" w:rsidRDefault="00C43972" w:rsidP="00362A09">
      <w:pPr>
        <w:keepNext/>
        <w:pageBreakBefore/>
        <w:jc w:val="right"/>
        <w:rPr>
          <w:rFonts w:eastAsia="Times New Roman"/>
          <w:bCs/>
          <w:iCs/>
          <w:color w:val="000000"/>
          <w:szCs w:val="28"/>
          <w:lang w:val="ru-RU" w:eastAsia="uk-UA"/>
        </w:rPr>
      </w:pPr>
      <w:r w:rsidRPr="00CD6FE3">
        <w:rPr>
          <w:rFonts w:eastAsia="Times New Roman"/>
          <w:bCs/>
          <w:iCs/>
          <w:color w:val="000000"/>
          <w:szCs w:val="28"/>
          <w:lang w:val="ru-RU" w:eastAsia="uk-UA"/>
        </w:rPr>
        <w:lastRenderedPageBreak/>
        <w:t xml:space="preserve">Додаток </w:t>
      </w:r>
      <w:r w:rsidR="005217B7" w:rsidRPr="00CD6FE3">
        <w:rPr>
          <w:rFonts w:eastAsia="Times New Roman"/>
          <w:bCs/>
          <w:iCs/>
          <w:color w:val="000000"/>
          <w:szCs w:val="28"/>
          <w:lang w:eastAsia="uk-UA"/>
        </w:rPr>
        <w:t>Е</w:t>
      </w:r>
      <w:r w:rsidRPr="00CD6FE3">
        <w:rPr>
          <w:rFonts w:eastAsia="Times New Roman"/>
          <w:bCs/>
          <w:iCs/>
          <w:color w:val="000000"/>
          <w:szCs w:val="28"/>
          <w:lang w:eastAsia="uk-UA"/>
        </w:rPr>
        <w:t>-19</w:t>
      </w:r>
    </w:p>
    <w:p w:rsidR="00C43972" w:rsidRPr="00CD6FE3" w:rsidRDefault="00C43972" w:rsidP="00CD6FE3">
      <w:pPr>
        <w:keepNext/>
        <w:jc w:val="center"/>
        <w:rPr>
          <w:rFonts w:eastAsia="Times New Roman"/>
          <w:b/>
          <w:sz w:val="24"/>
          <w:szCs w:val="24"/>
          <w:lang w:eastAsia="ru-RU"/>
        </w:rPr>
      </w:pPr>
      <w:r w:rsidRPr="00CD6FE3">
        <w:rPr>
          <w:rFonts w:eastAsia="Times New Roman"/>
          <w:b/>
          <w:bCs/>
          <w:iCs/>
          <w:color w:val="000000"/>
          <w:szCs w:val="28"/>
          <w:lang w:eastAsia="uk-UA"/>
        </w:rPr>
        <w:t xml:space="preserve">Комплексна оцінка діяльності закладів перинатальної допомоги Рівненської </w:t>
      </w:r>
      <w:r w:rsidRPr="00CD6FE3">
        <w:rPr>
          <w:rFonts w:eastAsia="Times New Roman"/>
          <w:b/>
          <w:bCs/>
          <w:iCs/>
          <w:color w:val="000000"/>
          <w:sz w:val="26"/>
          <w:szCs w:val="26"/>
          <w:lang w:eastAsia="uk-UA"/>
        </w:rPr>
        <w:t xml:space="preserve">області у </w:t>
      </w:r>
      <w:r w:rsidRPr="00CD6FE3">
        <w:rPr>
          <w:rFonts w:eastAsia="Times New Roman"/>
          <w:b/>
          <w:bCs/>
          <w:iCs/>
          <w:color w:val="000000"/>
          <w:szCs w:val="28"/>
          <w:lang w:eastAsia="uk-UA"/>
        </w:rPr>
        <w:t>2017–2018 рр.</w:t>
      </w:r>
    </w:p>
    <w:tbl>
      <w:tblPr>
        <w:tblW w:w="10347" w:type="dxa"/>
        <w:jc w:val="center"/>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36"/>
        <w:gridCol w:w="968"/>
        <w:gridCol w:w="969"/>
        <w:gridCol w:w="968"/>
        <w:gridCol w:w="969"/>
        <w:gridCol w:w="968"/>
        <w:gridCol w:w="969"/>
      </w:tblGrid>
      <w:tr w:rsidR="00CD6FE3" w:rsidRPr="00CD6FE3" w:rsidTr="00CD6FE3">
        <w:trPr>
          <w:cantSplit/>
          <w:trHeight w:val="652"/>
          <w:jc w:val="center"/>
        </w:trPr>
        <w:tc>
          <w:tcPr>
            <w:tcW w:w="4536" w:type="dxa"/>
            <w:vMerge w:val="restart"/>
            <w:tcBorders>
              <w:top w:val="single" w:sz="4" w:space="0" w:color="auto"/>
              <w:left w:val="single" w:sz="4" w:space="0" w:color="auto"/>
              <w:right w:val="single" w:sz="4" w:space="0" w:color="auto"/>
            </w:tcBorders>
            <w:vAlign w:val="center"/>
            <w:hideMark/>
          </w:tcPr>
          <w:p w:rsidR="00CD6FE3" w:rsidRPr="00CD6FE3" w:rsidRDefault="00CD6FE3" w:rsidP="00CD6FE3">
            <w:pPr>
              <w:keepNext/>
              <w:jc w:val="center"/>
              <w:rPr>
                <w:rFonts w:eastAsia="Times New Roman"/>
                <w:color w:val="000000"/>
                <w:sz w:val="24"/>
                <w:szCs w:val="24"/>
                <w:lang w:eastAsia="uk-UA"/>
              </w:rPr>
            </w:pPr>
            <w:r w:rsidRPr="00CD6FE3">
              <w:rPr>
                <w:rFonts w:eastAsia="Times New Roman"/>
                <w:color w:val="000000"/>
                <w:sz w:val="24"/>
                <w:szCs w:val="24"/>
                <w:lang w:eastAsia="uk-UA"/>
              </w:rPr>
              <w:t>Індикатор якості</w:t>
            </w:r>
          </w:p>
        </w:tc>
        <w:tc>
          <w:tcPr>
            <w:tcW w:w="1937" w:type="dxa"/>
            <w:gridSpan w:val="2"/>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color w:val="000000"/>
                <w:sz w:val="24"/>
                <w:szCs w:val="24"/>
                <w:lang w:eastAsia="uk-UA"/>
              </w:rPr>
            </w:pPr>
            <w:r w:rsidRPr="00CD6FE3">
              <w:rPr>
                <w:rFonts w:eastAsia="Times New Roman"/>
                <w:color w:val="000000"/>
                <w:sz w:val="24"/>
                <w:szCs w:val="24"/>
                <w:lang w:eastAsia="uk-UA"/>
              </w:rPr>
              <w:t xml:space="preserve">Фактичний показник, </w:t>
            </w:r>
            <w:r w:rsidRPr="00CD6FE3">
              <w:rPr>
                <w:rFonts w:eastAsia="Times New Roman"/>
                <w:sz w:val="24"/>
                <w:szCs w:val="24"/>
                <w:lang w:eastAsia="uk-UA"/>
              </w:rPr>
              <w:t>Україна</w:t>
            </w:r>
          </w:p>
        </w:tc>
        <w:tc>
          <w:tcPr>
            <w:tcW w:w="1937" w:type="dxa"/>
            <w:gridSpan w:val="2"/>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color w:val="000000"/>
                <w:sz w:val="24"/>
                <w:szCs w:val="24"/>
                <w:lang w:eastAsia="uk-UA"/>
              </w:rPr>
            </w:pPr>
            <w:r w:rsidRPr="00CD6FE3">
              <w:rPr>
                <w:rFonts w:eastAsia="Times New Roman"/>
                <w:color w:val="000000"/>
                <w:sz w:val="24"/>
                <w:szCs w:val="24"/>
                <w:lang w:eastAsia="uk-UA"/>
              </w:rPr>
              <w:t>Бальна оцінка фактичного показника</w:t>
            </w:r>
          </w:p>
        </w:tc>
        <w:tc>
          <w:tcPr>
            <w:tcW w:w="1937" w:type="dxa"/>
            <w:gridSpan w:val="2"/>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color w:val="000000"/>
                <w:sz w:val="24"/>
                <w:szCs w:val="24"/>
                <w:lang w:eastAsia="uk-UA"/>
              </w:rPr>
            </w:pPr>
            <w:r w:rsidRPr="00CD6FE3">
              <w:rPr>
                <w:rFonts w:eastAsia="Times New Roman"/>
                <w:color w:val="000000"/>
                <w:sz w:val="24"/>
                <w:szCs w:val="24"/>
                <w:lang w:eastAsia="uk-UA"/>
              </w:rPr>
              <w:t>КДНЗ</w:t>
            </w:r>
          </w:p>
        </w:tc>
      </w:tr>
      <w:tr w:rsidR="00CD6FE3" w:rsidRPr="00CD6FE3" w:rsidTr="00CD6FE3">
        <w:trPr>
          <w:trHeight w:val="404"/>
          <w:jc w:val="center"/>
        </w:trPr>
        <w:tc>
          <w:tcPr>
            <w:tcW w:w="4536" w:type="dxa"/>
            <w:vMerge/>
            <w:tcBorders>
              <w:left w:val="single" w:sz="4" w:space="0" w:color="auto"/>
              <w:bottom w:val="single" w:sz="4" w:space="0" w:color="auto"/>
              <w:right w:val="single" w:sz="4" w:space="0" w:color="auto"/>
            </w:tcBorders>
            <w:vAlign w:val="bottom"/>
          </w:tcPr>
          <w:p w:rsidR="00CD6FE3" w:rsidRPr="00CD6FE3" w:rsidRDefault="00CD6FE3" w:rsidP="00CD6FE3">
            <w:pPr>
              <w:keepNext/>
              <w:jc w:val="left"/>
              <w:rPr>
                <w:rFonts w:eastAsia="Times New Roman"/>
                <w:sz w:val="24"/>
                <w:szCs w:val="24"/>
                <w:lang w:eastAsia="ru-RU"/>
              </w:rPr>
            </w:pPr>
          </w:p>
        </w:tc>
        <w:tc>
          <w:tcPr>
            <w:tcW w:w="968"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sz w:val="24"/>
                <w:szCs w:val="24"/>
                <w:lang w:eastAsia="ru-RU"/>
              </w:rPr>
            </w:pPr>
            <w:r w:rsidRPr="00CD6FE3">
              <w:rPr>
                <w:rFonts w:eastAsia="Times New Roman"/>
                <w:sz w:val="24"/>
                <w:szCs w:val="24"/>
                <w:lang w:eastAsia="ru-RU"/>
              </w:rPr>
              <w:t>2017 р.</w:t>
            </w:r>
          </w:p>
        </w:tc>
        <w:tc>
          <w:tcPr>
            <w:tcW w:w="969"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color w:val="000000"/>
                <w:sz w:val="24"/>
                <w:szCs w:val="24"/>
                <w:lang w:eastAsia="ru-RU"/>
              </w:rPr>
            </w:pPr>
            <w:r w:rsidRPr="00CD6FE3">
              <w:rPr>
                <w:rFonts w:eastAsia="Times New Roman"/>
                <w:color w:val="000000"/>
                <w:sz w:val="24"/>
                <w:szCs w:val="24"/>
                <w:lang w:eastAsia="ru-RU"/>
              </w:rPr>
              <w:t>2018 р.</w:t>
            </w:r>
          </w:p>
        </w:tc>
        <w:tc>
          <w:tcPr>
            <w:tcW w:w="968"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sz w:val="24"/>
                <w:szCs w:val="24"/>
                <w:lang w:eastAsia="ru-RU"/>
              </w:rPr>
            </w:pPr>
            <w:r w:rsidRPr="00CD6FE3">
              <w:rPr>
                <w:rFonts w:eastAsia="Times New Roman"/>
                <w:sz w:val="24"/>
                <w:szCs w:val="24"/>
                <w:lang w:eastAsia="ru-RU"/>
              </w:rPr>
              <w:t>2017 р.</w:t>
            </w:r>
          </w:p>
        </w:tc>
        <w:tc>
          <w:tcPr>
            <w:tcW w:w="969"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sz w:val="24"/>
                <w:szCs w:val="24"/>
                <w:lang w:eastAsia="ru-RU"/>
              </w:rPr>
            </w:pPr>
            <w:r w:rsidRPr="00CD6FE3">
              <w:rPr>
                <w:rFonts w:eastAsia="Times New Roman"/>
                <w:sz w:val="24"/>
                <w:szCs w:val="24"/>
                <w:lang w:eastAsia="ru-RU"/>
              </w:rPr>
              <w:t>2017 р.</w:t>
            </w:r>
          </w:p>
        </w:tc>
        <w:tc>
          <w:tcPr>
            <w:tcW w:w="968"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color w:val="000000"/>
                <w:sz w:val="24"/>
                <w:szCs w:val="24"/>
                <w:lang w:eastAsia="ru-RU"/>
              </w:rPr>
            </w:pPr>
            <w:r w:rsidRPr="00CD6FE3">
              <w:rPr>
                <w:rFonts w:eastAsia="Times New Roman"/>
                <w:color w:val="000000"/>
                <w:sz w:val="24"/>
                <w:szCs w:val="24"/>
                <w:lang w:eastAsia="ru-RU"/>
              </w:rPr>
              <w:t>2018 р.</w:t>
            </w:r>
          </w:p>
        </w:tc>
        <w:tc>
          <w:tcPr>
            <w:tcW w:w="969"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sz w:val="24"/>
                <w:szCs w:val="24"/>
                <w:lang w:eastAsia="ru-RU"/>
              </w:rPr>
            </w:pPr>
            <w:r w:rsidRPr="00CD6FE3">
              <w:rPr>
                <w:rFonts w:eastAsia="Times New Roman"/>
                <w:sz w:val="24"/>
                <w:szCs w:val="24"/>
                <w:lang w:eastAsia="ru-RU"/>
              </w:rPr>
              <w:t>2017 р.</w:t>
            </w:r>
          </w:p>
        </w:tc>
      </w:tr>
      <w:tr w:rsidR="00CD6FE3" w:rsidRPr="00CD6FE3" w:rsidTr="00CD6FE3">
        <w:trPr>
          <w:trHeight w:val="404"/>
          <w:jc w:val="center"/>
        </w:trPr>
        <w:tc>
          <w:tcPr>
            <w:tcW w:w="4536"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left"/>
              <w:rPr>
                <w:rFonts w:eastAsia="Times New Roman"/>
                <w:sz w:val="24"/>
                <w:szCs w:val="24"/>
                <w:lang w:eastAsia="ru-RU"/>
              </w:rPr>
            </w:pPr>
            <w:r w:rsidRPr="00CD6FE3">
              <w:rPr>
                <w:rFonts w:eastAsia="Times New Roman"/>
                <w:sz w:val="24"/>
                <w:szCs w:val="24"/>
                <w:lang w:eastAsia="ru-RU"/>
              </w:rPr>
              <w:t>Забезпеченість  лікарями акушер-гінекологами</w:t>
            </w:r>
          </w:p>
        </w:tc>
        <w:tc>
          <w:tcPr>
            <w:tcW w:w="968"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sz w:val="24"/>
                <w:szCs w:val="24"/>
                <w:lang w:eastAsia="ru-RU"/>
              </w:rPr>
            </w:pPr>
            <w:r w:rsidRPr="00CD6FE3">
              <w:rPr>
                <w:rFonts w:eastAsia="Times New Roman"/>
                <w:sz w:val="24"/>
                <w:szCs w:val="24"/>
                <w:lang w:eastAsia="ru-RU"/>
              </w:rPr>
              <w:t>5,28</w:t>
            </w:r>
          </w:p>
        </w:tc>
        <w:tc>
          <w:tcPr>
            <w:tcW w:w="969"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color w:val="000000"/>
                <w:sz w:val="24"/>
                <w:szCs w:val="24"/>
                <w:lang w:eastAsia="ru-RU"/>
              </w:rPr>
            </w:pPr>
            <w:r w:rsidRPr="00CD6FE3">
              <w:rPr>
                <w:rFonts w:eastAsia="Times New Roman"/>
                <w:color w:val="000000"/>
                <w:sz w:val="24"/>
                <w:szCs w:val="24"/>
                <w:lang w:eastAsia="ru-RU"/>
              </w:rPr>
              <w:t>5,19</w:t>
            </w:r>
          </w:p>
        </w:tc>
        <w:tc>
          <w:tcPr>
            <w:tcW w:w="968"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sz w:val="24"/>
                <w:szCs w:val="24"/>
                <w:lang w:eastAsia="ru-RU"/>
              </w:rPr>
            </w:pPr>
            <w:r w:rsidRPr="00CD6FE3">
              <w:rPr>
                <w:rFonts w:eastAsia="Times New Roman"/>
                <w:sz w:val="24"/>
                <w:szCs w:val="24"/>
                <w:lang w:eastAsia="ru-RU"/>
              </w:rPr>
              <w:t>5,76</w:t>
            </w:r>
          </w:p>
        </w:tc>
        <w:tc>
          <w:tcPr>
            <w:tcW w:w="969"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color w:val="000000"/>
                <w:sz w:val="24"/>
                <w:szCs w:val="24"/>
                <w:lang w:eastAsia="ru-RU"/>
              </w:rPr>
            </w:pPr>
            <w:r w:rsidRPr="00CD6FE3">
              <w:rPr>
                <w:rFonts w:eastAsia="Times New Roman"/>
                <w:color w:val="000000"/>
                <w:sz w:val="24"/>
                <w:szCs w:val="24"/>
                <w:lang w:eastAsia="ru-RU"/>
              </w:rPr>
              <w:t>5,66</w:t>
            </w:r>
          </w:p>
        </w:tc>
        <w:tc>
          <w:tcPr>
            <w:tcW w:w="968"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sz w:val="24"/>
                <w:szCs w:val="24"/>
                <w:lang w:eastAsia="ru-RU"/>
              </w:rPr>
            </w:pPr>
            <w:r w:rsidRPr="00CD6FE3">
              <w:rPr>
                <w:rFonts w:eastAsia="Times New Roman"/>
                <w:sz w:val="24"/>
                <w:szCs w:val="24"/>
                <w:lang w:eastAsia="ru-RU"/>
              </w:rPr>
              <w:t>0,96</w:t>
            </w:r>
          </w:p>
        </w:tc>
        <w:tc>
          <w:tcPr>
            <w:tcW w:w="969"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color w:val="000000"/>
                <w:sz w:val="24"/>
                <w:szCs w:val="24"/>
                <w:lang w:eastAsia="ru-RU"/>
              </w:rPr>
            </w:pPr>
            <w:r w:rsidRPr="00CD6FE3">
              <w:rPr>
                <w:rFonts w:eastAsia="Times New Roman"/>
                <w:color w:val="000000"/>
                <w:sz w:val="24"/>
                <w:szCs w:val="24"/>
                <w:lang w:eastAsia="ru-RU"/>
              </w:rPr>
              <w:t>0,94</w:t>
            </w:r>
          </w:p>
        </w:tc>
      </w:tr>
      <w:tr w:rsidR="00CD6FE3" w:rsidRPr="00CD6FE3" w:rsidTr="00CD6FE3">
        <w:trPr>
          <w:trHeight w:val="404"/>
          <w:jc w:val="center"/>
        </w:trPr>
        <w:tc>
          <w:tcPr>
            <w:tcW w:w="4536" w:type="dxa"/>
            <w:tcBorders>
              <w:top w:val="single" w:sz="4" w:space="0" w:color="auto"/>
              <w:left w:val="single" w:sz="4" w:space="0" w:color="auto"/>
              <w:bottom w:val="single" w:sz="4" w:space="0" w:color="auto"/>
              <w:right w:val="single" w:sz="4" w:space="0" w:color="auto"/>
            </w:tcBorders>
            <w:vAlign w:val="bottom"/>
          </w:tcPr>
          <w:p w:rsidR="00CD6FE3" w:rsidRPr="00CD6FE3" w:rsidRDefault="00CD6FE3" w:rsidP="00CD6FE3">
            <w:pPr>
              <w:keepNext/>
              <w:jc w:val="left"/>
              <w:rPr>
                <w:rFonts w:eastAsia="Times New Roman"/>
                <w:sz w:val="24"/>
                <w:szCs w:val="24"/>
                <w:lang w:eastAsia="ru-RU"/>
              </w:rPr>
            </w:pPr>
            <w:r w:rsidRPr="00CD6FE3">
              <w:rPr>
                <w:rFonts w:eastAsia="Times New Roman"/>
                <w:sz w:val="24"/>
                <w:szCs w:val="24"/>
                <w:lang w:eastAsia="ru-RU"/>
              </w:rPr>
              <w:t>Забезпеченість  лікарями  педіатрами-неонатологами</w:t>
            </w:r>
          </w:p>
        </w:tc>
        <w:tc>
          <w:tcPr>
            <w:tcW w:w="968"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sz w:val="24"/>
                <w:szCs w:val="24"/>
                <w:lang w:eastAsia="ru-RU"/>
              </w:rPr>
            </w:pPr>
            <w:r w:rsidRPr="00CD6FE3">
              <w:rPr>
                <w:rFonts w:eastAsia="Times New Roman"/>
                <w:sz w:val="24"/>
                <w:szCs w:val="24"/>
                <w:lang w:eastAsia="ru-RU"/>
              </w:rPr>
              <w:t>3,46</w:t>
            </w:r>
          </w:p>
        </w:tc>
        <w:tc>
          <w:tcPr>
            <w:tcW w:w="969"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color w:val="000000"/>
                <w:sz w:val="24"/>
                <w:szCs w:val="24"/>
                <w:lang w:eastAsia="ru-RU"/>
              </w:rPr>
            </w:pPr>
            <w:r w:rsidRPr="00CD6FE3">
              <w:rPr>
                <w:rFonts w:eastAsia="Times New Roman"/>
                <w:color w:val="000000"/>
                <w:sz w:val="24"/>
                <w:szCs w:val="24"/>
                <w:lang w:eastAsia="ru-RU"/>
              </w:rPr>
              <w:t>3,74</w:t>
            </w:r>
          </w:p>
        </w:tc>
        <w:tc>
          <w:tcPr>
            <w:tcW w:w="968"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sz w:val="24"/>
                <w:szCs w:val="24"/>
                <w:lang w:eastAsia="ru-RU"/>
              </w:rPr>
            </w:pPr>
            <w:r w:rsidRPr="00CD6FE3">
              <w:rPr>
                <w:rFonts w:eastAsia="Times New Roman"/>
                <w:sz w:val="24"/>
                <w:szCs w:val="24"/>
                <w:lang w:eastAsia="ru-RU"/>
              </w:rPr>
              <w:t>3,77</w:t>
            </w:r>
          </w:p>
        </w:tc>
        <w:tc>
          <w:tcPr>
            <w:tcW w:w="969"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color w:val="000000"/>
                <w:sz w:val="24"/>
                <w:szCs w:val="24"/>
                <w:lang w:eastAsia="ru-RU"/>
              </w:rPr>
            </w:pPr>
            <w:r w:rsidRPr="00CD6FE3">
              <w:rPr>
                <w:rFonts w:eastAsia="Times New Roman"/>
                <w:color w:val="000000"/>
                <w:sz w:val="24"/>
                <w:szCs w:val="24"/>
                <w:lang w:eastAsia="ru-RU"/>
              </w:rPr>
              <w:t>4,08</w:t>
            </w:r>
          </w:p>
        </w:tc>
        <w:tc>
          <w:tcPr>
            <w:tcW w:w="968"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sz w:val="24"/>
                <w:szCs w:val="24"/>
                <w:lang w:eastAsia="ru-RU"/>
              </w:rPr>
            </w:pPr>
            <w:r w:rsidRPr="00CD6FE3">
              <w:rPr>
                <w:rFonts w:eastAsia="Times New Roman"/>
                <w:sz w:val="24"/>
                <w:szCs w:val="24"/>
                <w:lang w:eastAsia="ru-RU"/>
              </w:rPr>
              <w:t>0,63</w:t>
            </w:r>
          </w:p>
        </w:tc>
        <w:tc>
          <w:tcPr>
            <w:tcW w:w="969"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color w:val="000000"/>
                <w:sz w:val="24"/>
                <w:szCs w:val="24"/>
                <w:lang w:eastAsia="ru-RU"/>
              </w:rPr>
            </w:pPr>
            <w:r w:rsidRPr="00CD6FE3">
              <w:rPr>
                <w:rFonts w:eastAsia="Times New Roman"/>
                <w:color w:val="000000"/>
                <w:sz w:val="24"/>
                <w:szCs w:val="24"/>
                <w:lang w:eastAsia="ru-RU"/>
              </w:rPr>
              <w:t>0,68</w:t>
            </w:r>
          </w:p>
        </w:tc>
      </w:tr>
      <w:tr w:rsidR="00CD6FE3" w:rsidRPr="00CD6FE3" w:rsidTr="00CD6FE3">
        <w:trPr>
          <w:trHeight w:val="404"/>
          <w:jc w:val="center"/>
        </w:trPr>
        <w:tc>
          <w:tcPr>
            <w:tcW w:w="4536" w:type="dxa"/>
            <w:tcBorders>
              <w:top w:val="single" w:sz="4" w:space="0" w:color="auto"/>
              <w:left w:val="single" w:sz="4" w:space="0" w:color="auto"/>
              <w:bottom w:val="single" w:sz="4" w:space="0" w:color="auto"/>
              <w:right w:val="single" w:sz="4" w:space="0" w:color="auto"/>
            </w:tcBorders>
            <w:vAlign w:val="bottom"/>
          </w:tcPr>
          <w:p w:rsidR="00CD6FE3" w:rsidRPr="00CD6FE3" w:rsidRDefault="00CD6FE3" w:rsidP="00CD6FE3">
            <w:pPr>
              <w:keepNext/>
              <w:jc w:val="left"/>
              <w:rPr>
                <w:rFonts w:eastAsia="Times New Roman"/>
                <w:sz w:val="24"/>
                <w:szCs w:val="24"/>
                <w:lang w:eastAsia="ru-RU"/>
              </w:rPr>
            </w:pPr>
            <w:r w:rsidRPr="00CD6FE3">
              <w:rPr>
                <w:rFonts w:eastAsia="Times New Roman"/>
                <w:sz w:val="24"/>
                <w:szCs w:val="24"/>
                <w:lang w:eastAsia="ru-RU"/>
              </w:rPr>
              <w:t>Питома вага атестованих лікарів акушер-гінекологів</w:t>
            </w:r>
          </w:p>
        </w:tc>
        <w:tc>
          <w:tcPr>
            <w:tcW w:w="968"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sz w:val="24"/>
                <w:szCs w:val="24"/>
                <w:lang w:eastAsia="ru-RU"/>
              </w:rPr>
            </w:pPr>
            <w:r w:rsidRPr="00CD6FE3">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color w:val="000000"/>
                <w:sz w:val="24"/>
                <w:szCs w:val="24"/>
                <w:lang w:eastAsia="ru-RU"/>
              </w:rPr>
            </w:pPr>
            <w:r w:rsidRPr="00CD6FE3">
              <w:rPr>
                <w:rFonts w:eastAsia="Times New Roman"/>
                <w:color w:val="000000"/>
                <w:sz w:val="24"/>
                <w:szCs w:val="24"/>
                <w:lang w:eastAsia="ru-RU"/>
              </w:rPr>
              <w:t>85,76</w:t>
            </w:r>
          </w:p>
        </w:tc>
        <w:tc>
          <w:tcPr>
            <w:tcW w:w="968"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sz w:val="24"/>
                <w:szCs w:val="24"/>
                <w:lang w:eastAsia="ru-RU"/>
              </w:rPr>
            </w:pPr>
            <w:r w:rsidRPr="00CD6FE3">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color w:val="000000"/>
                <w:sz w:val="24"/>
                <w:szCs w:val="24"/>
                <w:lang w:eastAsia="ru-RU"/>
              </w:rPr>
            </w:pPr>
            <w:r w:rsidRPr="00CD6FE3">
              <w:rPr>
                <w:rFonts w:eastAsia="Times New Roman"/>
                <w:color w:val="000000"/>
                <w:sz w:val="24"/>
                <w:szCs w:val="24"/>
                <w:lang w:eastAsia="ru-RU"/>
              </w:rPr>
              <w:t>5,72</w:t>
            </w:r>
          </w:p>
        </w:tc>
        <w:tc>
          <w:tcPr>
            <w:tcW w:w="968"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sz w:val="24"/>
                <w:szCs w:val="24"/>
                <w:lang w:eastAsia="ru-RU"/>
              </w:rPr>
            </w:pPr>
            <w:r w:rsidRPr="00CD6FE3">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color w:val="000000"/>
                <w:sz w:val="24"/>
                <w:szCs w:val="24"/>
                <w:lang w:eastAsia="ru-RU"/>
              </w:rPr>
            </w:pPr>
            <w:r w:rsidRPr="00CD6FE3">
              <w:rPr>
                <w:rFonts w:eastAsia="Times New Roman"/>
                <w:color w:val="000000"/>
                <w:sz w:val="24"/>
                <w:szCs w:val="24"/>
                <w:lang w:eastAsia="ru-RU"/>
              </w:rPr>
              <w:t>0,95</w:t>
            </w:r>
          </w:p>
        </w:tc>
      </w:tr>
      <w:tr w:rsidR="00CD6FE3" w:rsidRPr="00CD6FE3" w:rsidTr="00CD6FE3">
        <w:trPr>
          <w:trHeight w:val="404"/>
          <w:jc w:val="center"/>
        </w:trPr>
        <w:tc>
          <w:tcPr>
            <w:tcW w:w="4536" w:type="dxa"/>
            <w:tcBorders>
              <w:top w:val="single" w:sz="4" w:space="0" w:color="auto"/>
              <w:left w:val="single" w:sz="4" w:space="0" w:color="auto"/>
              <w:bottom w:val="single" w:sz="4" w:space="0" w:color="auto"/>
              <w:right w:val="single" w:sz="4" w:space="0" w:color="auto"/>
            </w:tcBorders>
            <w:vAlign w:val="bottom"/>
          </w:tcPr>
          <w:p w:rsidR="00CD6FE3" w:rsidRPr="00CD6FE3" w:rsidRDefault="00CD6FE3" w:rsidP="00CD6FE3">
            <w:pPr>
              <w:keepNext/>
              <w:jc w:val="left"/>
              <w:rPr>
                <w:rFonts w:eastAsia="Times New Roman"/>
                <w:sz w:val="24"/>
                <w:szCs w:val="24"/>
                <w:lang w:eastAsia="ru-RU"/>
              </w:rPr>
            </w:pPr>
            <w:r w:rsidRPr="00CD6FE3">
              <w:rPr>
                <w:rFonts w:eastAsia="Times New Roman"/>
                <w:sz w:val="24"/>
                <w:szCs w:val="24"/>
                <w:lang w:eastAsia="ru-RU"/>
              </w:rPr>
              <w:t>Питома вага атестованих лікарів педіатрів-неонатологів</w:t>
            </w:r>
          </w:p>
        </w:tc>
        <w:tc>
          <w:tcPr>
            <w:tcW w:w="968"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sz w:val="24"/>
                <w:szCs w:val="24"/>
                <w:lang w:eastAsia="ru-RU"/>
              </w:rPr>
            </w:pPr>
            <w:r w:rsidRPr="00CD6FE3">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color w:val="000000"/>
                <w:sz w:val="24"/>
                <w:szCs w:val="24"/>
                <w:lang w:eastAsia="ru-RU"/>
              </w:rPr>
            </w:pPr>
            <w:r w:rsidRPr="00CD6FE3">
              <w:rPr>
                <w:rFonts w:eastAsia="Times New Roman"/>
                <w:color w:val="000000"/>
                <w:sz w:val="24"/>
                <w:szCs w:val="24"/>
                <w:lang w:eastAsia="ru-RU"/>
              </w:rPr>
              <w:t>84,31</w:t>
            </w:r>
          </w:p>
        </w:tc>
        <w:tc>
          <w:tcPr>
            <w:tcW w:w="968"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sz w:val="24"/>
                <w:szCs w:val="24"/>
                <w:lang w:eastAsia="ru-RU"/>
              </w:rPr>
            </w:pPr>
            <w:r w:rsidRPr="00CD6FE3">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color w:val="000000"/>
                <w:sz w:val="24"/>
                <w:szCs w:val="24"/>
                <w:lang w:eastAsia="ru-RU"/>
              </w:rPr>
            </w:pPr>
            <w:r w:rsidRPr="00CD6FE3">
              <w:rPr>
                <w:rFonts w:eastAsia="Times New Roman"/>
                <w:color w:val="000000"/>
                <w:sz w:val="24"/>
                <w:szCs w:val="24"/>
                <w:lang w:eastAsia="ru-RU"/>
              </w:rPr>
              <w:t>6,0</w:t>
            </w:r>
          </w:p>
        </w:tc>
        <w:tc>
          <w:tcPr>
            <w:tcW w:w="968"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sz w:val="24"/>
                <w:szCs w:val="24"/>
                <w:lang w:eastAsia="ru-RU"/>
              </w:rPr>
            </w:pPr>
            <w:r w:rsidRPr="00CD6FE3">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color w:val="000000"/>
                <w:sz w:val="24"/>
                <w:szCs w:val="24"/>
                <w:lang w:eastAsia="ru-RU"/>
              </w:rPr>
            </w:pPr>
            <w:r w:rsidRPr="00CD6FE3">
              <w:rPr>
                <w:rFonts w:eastAsia="Times New Roman"/>
                <w:color w:val="000000"/>
                <w:sz w:val="24"/>
                <w:szCs w:val="24"/>
                <w:lang w:eastAsia="ru-RU"/>
              </w:rPr>
              <w:t>1,00</w:t>
            </w:r>
          </w:p>
        </w:tc>
      </w:tr>
      <w:tr w:rsidR="00CD6FE3" w:rsidRPr="00CD6FE3" w:rsidTr="00CD6FE3">
        <w:trPr>
          <w:trHeight w:val="218"/>
          <w:jc w:val="center"/>
        </w:trPr>
        <w:tc>
          <w:tcPr>
            <w:tcW w:w="4536"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left"/>
              <w:rPr>
                <w:rFonts w:eastAsia="Times New Roman"/>
                <w:sz w:val="24"/>
                <w:szCs w:val="24"/>
                <w:lang w:eastAsia="ru-RU"/>
              </w:rPr>
            </w:pPr>
            <w:r w:rsidRPr="00CD6FE3">
              <w:rPr>
                <w:rFonts w:eastAsia="Times New Roman"/>
                <w:sz w:val="24"/>
                <w:szCs w:val="24"/>
                <w:lang w:eastAsia="ru-RU"/>
              </w:rPr>
              <w:t xml:space="preserve">Своєчасність постановки на облік вагітних </w:t>
            </w:r>
          </w:p>
        </w:tc>
        <w:tc>
          <w:tcPr>
            <w:tcW w:w="968"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color w:val="000000"/>
                <w:sz w:val="24"/>
                <w:szCs w:val="24"/>
                <w:lang w:eastAsia="ru-RU"/>
              </w:rPr>
            </w:pPr>
            <w:r w:rsidRPr="00CD6FE3">
              <w:rPr>
                <w:rFonts w:eastAsia="Times New Roman"/>
                <w:color w:val="000000"/>
                <w:sz w:val="24"/>
                <w:szCs w:val="24"/>
                <w:lang w:eastAsia="ru-RU"/>
              </w:rPr>
              <w:t>98,94</w:t>
            </w:r>
          </w:p>
        </w:tc>
        <w:tc>
          <w:tcPr>
            <w:tcW w:w="969"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color w:val="000000"/>
                <w:sz w:val="24"/>
                <w:szCs w:val="24"/>
                <w:lang w:eastAsia="ru-RU"/>
              </w:rPr>
            </w:pPr>
            <w:r w:rsidRPr="00CD6FE3">
              <w:rPr>
                <w:rFonts w:eastAsia="Times New Roman"/>
                <w:color w:val="000000"/>
                <w:sz w:val="24"/>
                <w:szCs w:val="24"/>
                <w:lang w:eastAsia="ru-RU"/>
              </w:rPr>
              <w:t>98,00</w:t>
            </w:r>
          </w:p>
        </w:tc>
        <w:tc>
          <w:tcPr>
            <w:tcW w:w="968"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color w:val="000000"/>
                <w:sz w:val="24"/>
                <w:szCs w:val="24"/>
                <w:lang w:eastAsia="ru-RU"/>
              </w:rPr>
            </w:pPr>
            <w:r w:rsidRPr="00CD6FE3">
              <w:rPr>
                <w:rFonts w:eastAsia="Times New Roman"/>
                <w:color w:val="000000"/>
                <w:sz w:val="24"/>
                <w:szCs w:val="24"/>
                <w:lang w:eastAsia="ru-RU"/>
              </w:rPr>
              <w:t>7,00</w:t>
            </w:r>
          </w:p>
        </w:tc>
        <w:tc>
          <w:tcPr>
            <w:tcW w:w="969"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color w:val="000000"/>
                <w:sz w:val="24"/>
                <w:szCs w:val="24"/>
                <w:lang w:eastAsia="ru-RU"/>
              </w:rPr>
            </w:pPr>
            <w:r w:rsidRPr="00CD6FE3">
              <w:rPr>
                <w:rFonts w:eastAsia="Times New Roman"/>
                <w:color w:val="000000"/>
                <w:sz w:val="24"/>
                <w:szCs w:val="24"/>
                <w:lang w:eastAsia="ru-RU"/>
              </w:rPr>
              <w:t>7,0</w:t>
            </w:r>
          </w:p>
        </w:tc>
        <w:tc>
          <w:tcPr>
            <w:tcW w:w="968"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color w:val="000000"/>
                <w:sz w:val="24"/>
                <w:szCs w:val="24"/>
                <w:lang w:eastAsia="ru-RU"/>
              </w:rPr>
            </w:pPr>
            <w:r w:rsidRPr="00CD6FE3">
              <w:rPr>
                <w:rFonts w:eastAsia="Times New Roman"/>
                <w:color w:val="000000"/>
                <w:sz w:val="24"/>
                <w:szCs w:val="24"/>
                <w:lang w:eastAsia="ru-RU"/>
              </w:rPr>
              <w:t>1,00</w:t>
            </w:r>
          </w:p>
        </w:tc>
        <w:tc>
          <w:tcPr>
            <w:tcW w:w="969"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color w:val="000000"/>
                <w:sz w:val="24"/>
                <w:szCs w:val="24"/>
                <w:lang w:eastAsia="ru-RU"/>
              </w:rPr>
            </w:pPr>
            <w:r w:rsidRPr="00CD6FE3">
              <w:rPr>
                <w:rFonts w:eastAsia="Times New Roman"/>
                <w:color w:val="000000"/>
                <w:sz w:val="24"/>
                <w:szCs w:val="24"/>
                <w:lang w:eastAsia="ru-RU"/>
              </w:rPr>
              <w:t>1,00</w:t>
            </w:r>
          </w:p>
        </w:tc>
      </w:tr>
      <w:tr w:rsidR="00CD6FE3" w:rsidRPr="00CD6FE3" w:rsidTr="00CD6FE3">
        <w:trPr>
          <w:trHeight w:val="222"/>
          <w:jc w:val="center"/>
        </w:trPr>
        <w:tc>
          <w:tcPr>
            <w:tcW w:w="4536"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left"/>
              <w:rPr>
                <w:rFonts w:eastAsia="Times New Roman"/>
                <w:sz w:val="24"/>
                <w:szCs w:val="24"/>
                <w:lang w:eastAsia="ru-RU"/>
              </w:rPr>
            </w:pPr>
            <w:r w:rsidRPr="00CD6FE3">
              <w:rPr>
                <w:rFonts w:eastAsia="Times New Roman"/>
                <w:sz w:val="24"/>
                <w:szCs w:val="24"/>
                <w:lang w:eastAsia="ru-RU"/>
              </w:rPr>
              <w:t>Частота анемій вагітних</w:t>
            </w:r>
          </w:p>
        </w:tc>
        <w:tc>
          <w:tcPr>
            <w:tcW w:w="968"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color w:val="000000"/>
                <w:sz w:val="24"/>
                <w:szCs w:val="24"/>
                <w:lang w:eastAsia="ru-RU"/>
              </w:rPr>
            </w:pPr>
            <w:r w:rsidRPr="00CD6FE3">
              <w:rPr>
                <w:rFonts w:eastAsia="Times New Roman"/>
                <w:color w:val="000000"/>
                <w:sz w:val="24"/>
                <w:szCs w:val="24"/>
                <w:lang w:eastAsia="ru-RU"/>
              </w:rPr>
              <w:t>26,43</w:t>
            </w:r>
          </w:p>
        </w:tc>
        <w:tc>
          <w:tcPr>
            <w:tcW w:w="969"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color w:val="000000"/>
                <w:sz w:val="24"/>
                <w:szCs w:val="24"/>
                <w:lang w:eastAsia="ru-RU"/>
              </w:rPr>
            </w:pPr>
            <w:r w:rsidRPr="00CD6FE3">
              <w:rPr>
                <w:rFonts w:eastAsia="Times New Roman"/>
                <w:color w:val="000000"/>
                <w:sz w:val="24"/>
                <w:szCs w:val="24"/>
                <w:lang w:eastAsia="ru-RU"/>
              </w:rPr>
              <w:t>26,16</w:t>
            </w:r>
          </w:p>
        </w:tc>
        <w:tc>
          <w:tcPr>
            <w:tcW w:w="968"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color w:val="000000"/>
                <w:sz w:val="24"/>
                <w:szCs w:val="24"/>
                <w:lang w:eastAsia="ru-RU"/>
              </w:rPr>
            </w:pPr>
            <w:r w:rsidRPr="00CD6FE3">
              <w:rPr>
                <w:rFonts w:eastAsia="Times New Roman"/>
                <w:color w:val="000000"/>
                <w:sz w:val="24"/>
                <w:szCs w:val="24"/>
                <w:lang w:eastAsia="ru-RU"/>
              </w:rPr>
              <w:t>2,71</w:t>
            </w:r>
          </w:p>
        </w:tc>
        <w:tc>
          <w:tcPr>
            <w:tcW w:w="969"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color w:val="000000"/>
                <w:sz w:val="24"/>
                <w:szCs w:val="24"/>
                <w:lang w:eastAsia="ru-RU"/>
              </w:rPr>
            </w:pPr>
            <w:r w:rsidRPr="00CD6FE3">
              <w:rPr>
                <w:rFonts w:eastAsia="Times New Roman"/>
                <w:color w:val="000000"/>
                <w:sz w:val="24"/>
                <w:szCs w:val="24"/>
                <w:lang w:eastAsia="ru-RU"/>
              </w:rPr>
              <w:t>3,11</w:t>
            </w:r>
          </w:p>
        </w:tc>
        <w:tc>
          <w:tcPr>
            <w:tcW w:w="968"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color w:val="000000"/>
                <w:sz w:val="24"/>
                <w:szCs w:val="24"/>
                <w:lang w:eastAsia="ru-RU"/>
              </w:rPr>
            </w:pPr>
            <w:r w:rsidRPr="00CD6FE3">
              <w:rPr>
                <w:rFonts w:eastAsia="Times New Roman"/>
                <w:color w:val="000000"/>
                <w:sz w:val="24"/>
                <w:szCs w:val="24"/>
                <w:lang w:eastAsia="ru-RU"/>
              </w:rPr>
              <w:t>0,68</w:t>
            </w:r>
          </w:p>
        </w:tc>
        <w:tc>
          <w:tcPr>
            <w:tcW w:w="969"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color w:val="000000"/>
                <w:sz w:val="24"/>
                <w:szCs w:val="24"/>
                <w:lang w:eastAsia="ru-RU"/>
              </w:rPr>
            </w:pPr>
            <w:r w:rsidRPr="00CD6FE3">
              <w:rPr>
                <w:rFonts w:eastAsia="Times New Roman"/>
                <w:color w:val="000000"/>
                <w:sz w:val="24"/>
                <w:szCs w:val="24"/>
                <w:lang w:eastAsia="ru-RU"/>
              </w:rPr>
              <w:t>0,78</w:t>
            </w:r>
          </w:p>
        </w:tc>
      </w:tr>
      <w:tr w:rsidR="00CD6FE3" w:rsidRPr="00CD6FE3" w:rsidTr="00CD6FE3">
        <w:trPr>
          <w:trHeight w:val="319"/>
          <w:jc w:val="center"/>
        </w:trPr>
        <w:tc>
          <w:tcPr>
            <w:tcW w:w="4536"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left"/>
              <w:rPr>
                <w:rFonts w:eastAsia="Times New Roman"/>
                <w:sz w:val="24"/>
                <w:szCs w:val="24"/>
                <w:lang w:eastAsia="ru-RU"/>
              </w:rPr>
            </w:pPr>
            <w:r w:rsidRPr="00CD6FE3">
              <w:rPr>
                <w:rFonts w:eastAsia="Times New Roman"/>
                <w:sz w:val="24"/>
                <w:szCs w:val="24"/>
                <w:lang w:eastAsia="ru-RU"/>
              </w:rPr>
              <w:t>Частота прееклампсій та еклампсій вагітних</w:t>
            </w:r>
          </w:p>
        </w:tc>
        <w:tc>
          <w:tcPr>
            <w:tcW w:w="968"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color w:val="000000"/>
                <w:sz w:val="24"/>
                <w:szCs w:val="24"/>
                <w:lang w:eastAsia="ru-RU"/>
              </w:rPr>
            </w:pPr>
            <w:r w:rsidRPr="00CD6FE3">
              <w:rPr>
                <w:rFonts w:eastAsia="Times New Roman"/>
                <w:color w:val="000000"/>
                <w:sz w:val="24"/>
                <w:szCs w:val="24"/>
                <w:lang w:eastAsia="ru-RU"/>
              </w:rPr>
              <w:t>1,33</w:t>
            </w:r>
          </w:p>
        </w:tc>
        <w:tc>
          <w:tcPr>
            <w:tcW w:w="969"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color w:val="000000"/>
                <w:sz w:val="24"/>
                <w:szCs w:val="24"/>
                <w:lang w:eastAsia="ru-RU"/>
              </w:rPr>
            </w:pPr>
            <w:r w:rsidRPr="00CD6FE3">
              <w:rPr>
                <w:rFonts w:eastAsia="Times New Roman"/>
                <w:color w:val="000000"/>
                <w:sz w:val="24"/>
                <w:szCs w:val="24"/>
                <w:lang w:eastAsia="ru-RU"/>
              </w:rPr>
              <w:t>1,32</w:t>
            </w:r>
          </w:p>
        </w:tc>
        <w:tc>
          <w:tcPr>
            <w:tcW w:w="968"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color w:val="000000"/>
                <w:sz w:val="24"/>
                <w:szCs w:val="24"/>
                <w:lang w:eastAsia="ru-RU"/>
              </w:rPr>
            </w:pPr>
            <w:r w:rsidRPr="00CD6FE3">
              <w:rPr>
                <w:rFonts w:eastAsia="Times New Roman"/>
                <w:color w:val="000000"/>
                <w:sz w:val="24"/>
                <w:szCs w:val="24"/>
                <w:lang w:eastAsia="ru-RU"/>
              </w:rPr>
              <w:t>7,00</w:t>
            </w:r>
          </w:p>
        </w:tc>
        <w:tc>
          <w:tcPr>
            <w:tcW w:w="969"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color w:val="000000"/>
                <w:sz w:val="24"/>
                <w:szCs w:val="24"/>
                <w:lang w:eastAsia="ru-RU"/>
              </w:rPr>
            </w:pPr>
            <w:r w:rsidRPr="00CD6FE3">
              <w:rPr>
                <w:rFonts w:eastAsia="Times New Roman"/>
                <w:color w:val="000000"/>
                <w:sz w:val="24"/>
                <w:szCs w:val="24"/>
                <w:lang w:eastAsia="ru-RU"/>
              </w:rPr>
              <w:t>7,0</w:t>
            </w:r>
          </w:p>
        </w:tc>
        <w:tc>
          <w:tcPr>
            <w:tcW w:w="968"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color w:val="000000"/>
                <w:sz w:val="24"/>
                <w:szCs w:val="24"/>
                <w:lang w:eastAsia="ru-RU"/>
              </w:rPr>
            </w:pPr>
            <w:r w:rsidRPr="00CD6FE3">
              <w:rPr>
                <w:rFonts w:eastAsia="Times New Roman"/>
                <w:color w:val="000000"/>
                <w:sz w:val="24"/>
                <w:szCs w:val="24"/>
                <w:lang w:eastAsia="ru-RU"/>
              </w:rPr>
              <w:t>1,00</w:t>
            </w:r>
          </w:p>
        </w:tc>
        <w:tc>
          <w:tcPr>
            <w:tcW w:w="969"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color w:val="000000"/>
                <w:sz w:val="24"/>
                <w:szCs w:val="24"/>
                <w:lang w:eastAsia="ru-RU"/>
              </w:rPr>
            </w:pPr>
            <w:r w:rsidRPr="00CD6FE3">
              <w:rPr>
                <w:rFonts w:eastAsia="Times New Roman"/>
                <w:color w:val="000000"/>
                <w:sz w:val="24"/>
                <w:szCs w:val="24"/>
                <w:lang w:eastAsia="ru-RU"/>
              </w:rPr>
              <w:t>1,00</w:t>
            </w:r>
          </w:p>
        </w:tc>
      </w:tr>
      <w:tr w:rsidR="00CD6FE3" w:rsidRPr="00CD6FE3" w:rsidTr="00CD6FE3">
        <w:trPr>
          <w:trHeight w:val="284"/>
          <w:jc w:val="center"/>
        </w:trPr>
        <w:tc>
          <w:tcPr>
            <w:tcW w:w="4536"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left"/>
              <w:rPr>
                <w:rFonts w:eastAsia="Times New Roman"/>
                <w:sz w:val="24"/>
                <w:szCs w:val="24"/>
                <w:lang w:eastAsia="ru-RU"/>
              </w:rPr>
            </w:pPr>
            <w:r w:rsidRPr="00CD6FE3">
              <w:rPr>
                <w:rFonts w:eastAsia="Times New Roman"/>
                <w:sz w:val="24"/>
                <w:szCs w:val="24"/>
                <w:lang w:eastAsia="ru-RU"/>
              </w:rPr>
              <w:t>Співвідношення безпечних методів абортів до небезпечних</w:t>
            </w:r>
          </w:p>
        </w:tc>
        <w:tc>
          <w:tcPr>
            <w:tcW w:w="968"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color w:val="000000"/>
                <w:sz w:val="24"/>
                <w:szCs w:val="24"/>
                <w:lang w:eastAsia="ru-RU"/>
              </w:rPr>
            </w:pPr>
            <w:r w:rsidRPr="00CD6FE3">
              <w:rPr>
                <w:rFonts w:eastAsia="Times New Roman"/>
                <w:color w:val="000000"/>
                <w:sz w:val="24"/>
                <w:szCs w:val="24"/>
                <w:lang w:eastAsia="ru-RU"/>
              </w:rPr>
              <w:t>3,56</w:t>
            </w:r>
          </w:p>
        </w:tc>
        <w:tc>
          <w:tcPr>
            <w:tcW w:w="969"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color w:val="000000"/>
                <w:sz w:val="24"/>
                <w:szCs w:val="24"/>
                <w:lang w:eastAsia="ru-RU"/>
              </w:rPr>
            </w:pPr>
            <w:r w:rsidRPr="00CD6FE3">
              <w:rPr>
                <w:rFonts w:eastAsia="Times New Roman"/>
                <w:color w:val="000000"/>
                <w:sz w:val="24"/>
                <w:szCs w:val="24"/>
                <w:lang w:eastAsia="ru-RU"/>
              </w:rPr>
              <w:t>4,79</w:t>
            </w:r>
          </w:p>
        </w:tc>
        <w:tc>
          <w:tcPr>
            <w:tcW w:w="968"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color w:val="000000"/>
                <w:sz w:val="24"/>
                <w:szCs w:val="24"/>
                <w:lang w:eastAsia="ru-RU"/>
              </w:rPr>
            </w:pPr>
            <w:r w:rsidRPr="00CD6FE3">
              <w:rPr>
                <w:rFonts w:eastAsia="Times New Roman"/>
                <w:color w:val="000000"/>
                <w:sz w:val="24"/>
                <w:szCs w:val="24"/>
                <w:lang w:eastAsia="ru-RU"/>
              </w:rPr>
              <w:t>2,14</w:t>
            </w:r>
          </w:p>
        </w:tc>
        <w:tc>
          <w:tcPr>
            <w:tcW w:w="969"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color w:val="000000"/>
                <w:sz w:val="24"/>
                <w:szCs w:val="24"/>
                <w:lang w:eastAsia="ru-RU"/>
              </w:rPr>
            </w:pPr>
            <w:r w:rsidRPr="00CD6FE3">
              <w:rPr>
                <w:rFonts w:eastAsia="Times New Roman"/>
                <w:color w:val="000000"/>
                <w:sz w:val="24"/>
                <w:szCs w:val="24"/>
                <w:lang w:eastAsia="ru-RU"/>
              </w:rPr>
              <w:t>3,59</w:t>
            </w:r>
          </w:p>
        </w:tc>
        <w:tc>
          <w:tcPr>
            <w:tcW w:w="968"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color w:val="000000"/>
                <w:sz w:val="24"/>
                <w:szCs w:val="24"/>
                <w:lang w:eastAsia="ru-RU"/>
              </w:rPr>
            </w:pPr>
            <w:r w:rsidRPr="00CD6FE3">
              <w:rPr>
                <w:rFonts w:eastAsia="Times New Roman"/>
                <w:color w:val="000000"/>
                <w:sz w:val="24"/>
                <w:szCs w:val="24"/>
                <w:lang w:eastAsia="ru-RU"/>
              </w:rPr>
              <w:t>0,36</w:t>
            </w:r>
          </w:p>
        </w:tc>
        <w:tc>
          <w:tcPr>
            <w:tcW w:w="969"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color w:val="000000"/>
                <w:sz w:val="24"/>
                <w:szCs w:val="24"/>
                <w:lang w:eastAsia="ru-RU"/>
              </w:rPr>
            </w:pPr>
            <w:r w:rsidRPr="00CD6FE3">
              <w:rPr>
                <w:rFonts w:eastAsia="Times New Roman"/>
                <w:color w:val="000000"/>
                <w:sz w:val="24"/>
                <w:szCs w:val="24"/>
                <w:lang w:eastAsia="ru-RU"/>
              </w:rPr>
              <w:t>0,60</w:t>
            </w:r>
          </w:p>
        </w:tc>
      </w:tr>
      <w:tr w:rsidR="00CD6FE3" w:rsidRPr="00CD6FE3" w:rsidTr="00CD6FE3">
        <w:trPr>
          <w:trHeight w:val="340"/>
          <w:jc w:val="center"/>
        </w:trPr>
        <w:tc>
          <w:tcPr>
            <w:tcW w:w="4536" w:type="dxa"/>
            <w:tcBorders>
              <w:top w:val="single" w:sz="4" w:space="0" w:color="auto"/>
              <w:left w:val="single" w:sz="4" w:space="0" w:color="auto"/>
              <w:bottom w:val="single" w:sz="4" w:space="0" w:color="auto"/>
              <w:right w:val="single" w:sz="4" w:space="0" w:color="auto"/>
            </w:tcBorders>
            <w:vAlign w:val="bottom"/>
          </w:tcPr>
          <w:p w:rsidR="00CD6FE3" w:rsidRPr="00CD6FE3" w:rsidRDefault="00CD6FE3" w:rsidP="00CD6FE3">
            <w:pPr>
              <w:keepNext/>
              <w:jc w:val="left"/>
              <w:rPr>
                <w:rFonts w:eastAsia="Times New Roman"/>
                <w:sz w:val="24"/>
                <w:szCs w:val="24"/>
                <w:lang w:eastAsia="ru-RU"/>
              </w:rPr>
            </w:pPr>
            <w:r w:rsidRPr="00CD6FE3">
              <w:rPr>
                <w:rFonts w:eastAsia="Times New Roman"/>
                <w:sz w:val="24"/>
                <w:szCs w:val="24"/>
                <w:lang w:eastAsia="ru-RU"/>
              </w:rPr>
              <w:t>Питома вага хворих виявлення в ранніх стадіях (І – ІІ) серед хворих з вперше встановленим діагнозом онкологія молочної залози</w:t>
            </w:r>
          </w:p>
        </w:tc>
        <w:tc>
          <w:tcPr>
            <w:tcW w:w="968"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sz w:val="24"/>
                <w:szCs w:val="24"/>
                <w:lang w:eastAsia="ru-RU"/>
              </w:rPr>
            </w:pPr>
            <w:r w:rsidRPr="00CD6FE3">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color w:val="000000"/>
                <w:sz w:val="24"/>
                <w:szCs w:val="24"/>
                <w:lang w:eastAsia="ru-RU"/>
              </w:rPr>
            </w:pPr>
            <w:r w:rsidRPr="00CD6FE3">
              <w:rPr>
                <w:rFonts w:eastAsia="Times New Roman"/>
                <w:color w:val="000000"/>
                <w:sz w:val="24"/>
                <w:szCs w:val="24"/>
                <w:lang w:eastAsia="ru-RU"/>
              </w:rPr>
              <w:t>67,60</w:t>
            </w:r>
          </w:p>
        </w:tc>
        <w:tc>
          <w:tcPr>
            <w:tcW w:w="968"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sz w:val="24"/>
                <w:szCs w:val="24"/>
                <w:lang w:eastAsia="ru-RU"/>
              </w:rPr>
            </w:pPr>
            <w:r w:rsidRPr="00CD6FE3">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color w:val="000000"/>
                <w:sz w:val="24"/>
                <w:szCs w:val="24"/>
                <w:lang w:eastAsia="ru-RU"/>
              </w:rPr>
            </w:pPr>
            <w:r w:rsidRPr="00CD6FE3">
              <w:rPr>
                <w:rFonts w:eastAsia="Times New Roman"/>
                <w:color w:val="000000"/>
                <w:sz w:val="24"/>
                <w:szCs w:val="24"/>
                <w:lang w:eastAsia="ru-RU"/>
              </w:rPr>
              <w:t>5,13</w:t>
            </w:r>
          </w:p>
        </w:tc>
        <w:tc>
          <w:tcPr>
            <w:tcW w:w="968"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sz w:val="24"/>
                <w:szCs w:val="24"/>
                <w:lang w:eastAsia="ru-RU"/>
              </w:rPr>
            </w:pPr>
            <w:r w:rsidRPr="00CD6FE3">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color w:val="000000"/>
                <w:sz w:val="24"/>
                <w:szCs w:val="24"/>
                <w:lang w:eastAsia="ru-RU"/>
              </w:rPr>
            </w:pPr>
            <w:r w:rsidRPr="00CD6FE3">
              <w:rPr>
                <w:rFonts w:eastAsia="Times New Roman"/>
                <w:color w:val="000000"/>
                <w:sz w:val="24"/>
                <w:szCs w:val="24"/>
                <w:lang w:eastAsia="ru-RU"/>
              </w:rPr>
              <w:t>0,86</w:t>
            </w:r>
          </w:p>
        </w:tc>
      </w:tr>
      <w:tr w:rsidR="00CD6FE3" w:rsidRPr="00CD6FE3" w:rsidTr="00CD6FE3">
        <w:trPr>
          <w:trHeight w:val="418"/>
          <w:jc w:val="center"/>
        </w:trPr>
        <w:tc>
          <w:tcPr>
            <w:tcW w:w="4536" w:type="dxa"/>
            <w:tcBorders>
              <w:top w:val="single" w:sz="4" w:space="0" w:color="auto"/>
              <w:left w:val="single" w:sz="4" w:space="0" w:color="auto"/>
              <w:bottom w:val="single" w:sz="4" w:space="0" w:color="auto"/>
              <w:right w:val="single" w:sz="4" w:space="0" w:color="auto"/>
            </w:tcBorders>
            <w:vAlign w:val="bottom"/>
          </w:tcPr>
          <w:p w:rsidR="00CD6FE3" w:rsidRPr="00CD6FE3" w:rsidRDefault="00CD6FE3" w:rsidP="00CD6FE3">
            <w:pPr>
              <w:keepNext/>
              <w:jc w:val="left"/>
              <w:rPr>
                <w:rFonts w:eastAsia="Times New Roman"/>
                <w:sz w:val="24"/>
                <w:szCs w:val="24"/>
                <w:lang w:eastAsia="ru-RU"/>
              </w:rPr>
            </w:pPr>
            <w:r w:rsidRPr="00CD6FE3">
              <w:rPr>
                <w:rFonts w:eastAsia="Times New Roman"/>
                <w:sz w:val="24"/>
                <w:szCs w:val="24"/>
                <w:lang w:eastAsia="ru-RU"/>
              </w:rPr>
              <w:t>Питома вага хворих виявлення в ранніх стадіях (І – ІІ) серед хворих з вперше встановленим діагнозом онкологія шийки матки</w:t>
            </w:r>
          </w:p>
        </w:tc>
        <w:tc>
          <w:tcPr>
            <w:tcW w:w="968"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sz w:val="24"/>
                <w:szCs w:val="24"/>
                <w:lang w:eastAsia="ru-RU"/>
              </w:rPr>
            </w:pPr>
            <w:r w:rsidRPr="00CD6FE3">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color w:val="000000"/>
                <w:sz w:val="24"/>
                <w:szCs w:val="24"/>
                <w:lang w:eastAsia="ru-RU"/>
              </w:rPr>
            </w:pPr>
            <w:r w:rsidRPr="00CD6FE3">
              <w:rPr>
                <w:rFonts w:eastAsia="Times New Roman"/>
                <w:color w:val="000000"/>
                <w:sz w:val="24"/>
                <w:szCs w:val="24"/>
                <w:lang w:eastAsia="ru-RU"/>
              </w:rPr>
              <w:t>81,60</w:t>
            </w:r>
          </w:p>
        </w:tc>
        <w:tc>
          <w:tcPr>
            <w:tcW w:w="968"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sz w:val="24"/>
                <w:szCs w:val="24"/>
                <w:lang w:eastAsia="ru-RU"/>
              </w:rPr>
            </w:pPr>
            <w:r w:rsidRPr="00CD6FE3">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color w:val="000000"/>
                <w:sz w:val="24"/>
                <w:szCs w:val="24"/>
                <w:lang w:eastAsia="ru-RU"/>
              </w:rPr>
            </w:pPr>
            <w:r w:rsidRPr="00CD6FE3">
              <w:rPr>
                <w:rFonts w:eastAsia="Times New Roman"/>
                <w:color w:val="000000"/>
                <w:sz w:val="24"/>
                <w:szCs w:val="24"/>
                <w:lang w:eastAsia="ru-RU"/>
              </w:rPr>
              <w:t>6,00</w:t>
            </w:r>
          </w:p>
        </w:tc>
        <w:tc>
          <w:tcPr>
            <w:tcW w:w="968"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sz w:val="24"/>
                <w:szCs w:val="24"/>
                <w:lang w:eastAsia="ru-RU"/>
              </w:rPr>
            </w:pPr>
            <w:r w:rsidRPr="00CD6FE3">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color w:val="000000"/>
                <w:sz w:val="24"/>
                <w:szCs w:val="24"/>
                <w:lang w:eastAsia="ru-RU"/>
              </w:rPr>
            </w:pPr>
            <w:r w:rsidRPr="00CD6FE3">
              <w:rPr>
                <w:rFonts w:eastAsia="Times New Roman"/>
                <w:color w:val="000000"/>
                <w:sz w:val="24"/>
                <w:szCs w:val="24"/>
                <w:lang w:eastAsia="ru-RU"/>
              </w:rPr>
              <w:t>1,00</w:t>
            </w:r>
          </w:p>
        </w:tc>
      </w:tr>
      <w:tr w:rsidR="00CD6FE3" w:rsidRPr="00CD6FE3" w:rsidTr="00CD6FE3">
        <w:trPr>
          <w:trHeight w:val="480"/>
          <w:jc w:val="center"/>
        </w:trPr>
        <w:tc>
          <w:tcPr>
            <w:tcW w:w="4536" w:type="dxa"/>
            <w:tcBorders>
              <w:top w:val="single" w:sz="4" w:space="0" w:color="auto"/>
              <w:left w:val="single" w:sz="4" w:space="0" w:color="auto"/>
              <w:bottom w:val="single" w:sz="4" w:space="0" w:color="auto"/>
              <w:right w:val="single" w:sz="4" w:space="0" w:color="auto"/>
            </w:tcBorders>
          </w:tcPr>
          <w:p w:rsidR="00CD6FE3" w:rsidRPr="00CD6FE3" w:rsidRDefault="00CD6FE3" w:rsidP="00CD6FE3">
            <w:pPr>
              <w:keepNext/>
              <w:rPr>
                <w:rFonts w:eastAsia="Times New Roman"/>
                <w:color w:val="000000"/>
                <w:sz w:val="24"/>
                <w:szCs w:val="24"/>
                <w:lang w:eastAsia="uk-UA"/>
              </w:rPr>
            </w:pPr>
            <w:r w:rsidRPr="00CD6FE3">
              <w:rPr>
                <w:rFonts w:eastAsia="Times New Roman"/>
                <w:color w:val="000000"/>
                <w:sz w:val="24"/>
                <w:szCs w:val="24"/>
                <w:lang w:eastAsia="uk-UA"/>
              </w:rPr>
              <w:t>Індекс концентрації розродження вагітних з цукровим діабетом у ЗПД ІІІ рівня</w:t>
            </w:r>
          </w:p>
        </w:tc>
        <w:tc>
          <w:tcPr>
            <w:tcW w:w="968"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color w:val="000000"/>
                <w:sz w:val="24"/>
                <w:szCs w:val="24"/>
                <w:lang w:eastAsia="ru-RU"/>
              </w:rPr>
            </w:pPr>
            <w:r w:rsidRPr="00CD6FE3">
              <w:rPr>
                <w:rFonts w:eastAsia="Times New Roman"/>
                <w:color w:val="000000"/>
                <w:sz w:val="24"/>
                <w:szCs w:val="24"/>
                <w:lang w:eastAsia="ru-RU"/>
              </w:rPr>
              <w:t>14,04</w:t>
            </w:r>
          </w:p>
        </w:tc>
        <w:tc>
          <w:tcPr>
            <w:tcW w:w="969"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color w:val="000000"/>
                <w:sz w:val="24"/>
                <w:szCs w:val="24"/>
                <w:lang w:eastAsia="ru-RU"/>
              </w:rPr>
            </w:pPr>
            <w:r w:rsidRPr="00CD6FE3">
              <w:rPr>
                <w:rFonts w:eastAsia="Times New Roman"/>
                <w:color w:val="000000"/>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color w:val="000000"/>
                <w:sz w:val="24"/>
                <w:szCs w:val="24"/>
                <w:lang w:eastAsia="ru-RU"/>
              </w:rPr>
            </w:pPr>
            <w:r w:rsidRPr="00CD6FE3">
              <w:rPr>
                <w:rFonts w:eastAsia="Times New Roman"/>
                <w:color w:val="000000"/>
                <w:sz w:val="24"/>
                <w:szCs w:val="24"/>
                <w:lang w:eastAsia="ru-RU"/>
              </w:rPr>
              <w:t>1,44</w:t>
            </w:r>
          </w:p>
        </w:tc>
        <w:tc>
          <w:tcPr>
            <w:tcW w:w="969"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color w:val="000000"/>
                <w:sz w:val="24"/>
                <w:szCs w:val="24"/>
                <w:lang w:eastAsia="ru-RU"/>
              </w:rPr>
            </w:pPr>
            <w:r w:rsidRPr="00CD6FE3">
              <w:rPr>
                <w:rFonts w:eastAsia="Times New Roman"/>
                <w:color w:val="000000"/>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color w:val="000000"/>
                <w:sz w:val="24"/>
                <w:szCs w:val="24"/>
                <w:lang w:eastAsia="ru-RU"/>
              </w:rPr>
            </w:pPr>
            <w:r w:rsidRPr="00CD6FE3">
              <w:rPr>
                <w:rFonts w:eastAsia="Times New Roman"/>
                <w:color w:val="000000"/>
                <w:sz w:val="24"/>
                <w:szCs w:val="24"/>
                <w:lang w:eastAsia="ru-RU"/>
              </w:rPr>
              <w:t>0,21</w:t>
            </w:r>
          </w:p>
        </w:tc>
        <w:tc>
          <w:tcPr>
            <w:tcW w:w="969"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color w:val="000000"/>
                <w:sz w:val="24"/>
                <w:szCs w:val="24"/>
                <w:lang w:eastAsia="ru-RU"/>
              </w:rPr>
            </w:pPr>
            <w:r w:rsidRPr="00CD6FE3">
              <w:rPr>
                <w:rFonts w:eastAsia="Times New Roman"/>
                <w:color w:val="000000"/>
                <w:sz w:val="24"/>
                <w:szCs w:val="24"/>
                <w:lang w:eastAsia="ru-RU"/>
              </w:rPr>
              <w:t>**</w:t>
            </w:r>
          </w:p>
        </w:tc>
      </w:tr>
    </w:tbl>
    <w:tbl>
      <w:tblPr>
        <w:tblpPr w:leftFromText="180" w:rightFromText="180" w:vertAnchor="text" w:horzAnchor="margin" w:tblpY="784"/>
        <w:tblW w:w="103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36"/>
        <w:gridCol w:w="968"/>
        <w:gridCol w:w="969"/>
        <w:gridCol w:w="968"/>
        <w:gridCol w:w="969"/>
        <w:gridCol w:w="968"/>
        <w:gridCol w:w="969"/>
      </w:tblGrid>
      <w:tr w:rsidR="00CD6FE3" w:rsidRPr="00CD6FE3" w:rsidTr="00CD6FE3">
        <w:trPr>
          <w:trHeight w:val="600"/>
        </w:trPr>
        <w:tc>
          <w:tcPr>
            <w:tcW w:w="4536" w:type="dxa"/>
            <w:tcBorders>
              <w:top w:val="single" w:sz="4" w:space="0" w:color="auto"/>
              <w:left w:val="single" w:sz="4" w:space="0" w:color="auto"/>
              <w:bottom w:val="single" w:sz="4" w:space="0" w:color="auto"/>
              <w:right w:val="single" w:sz="4" w:space="0" w:color="auto"/>
            </w:tcBorders>
          </w:tcPr>
          <w:p w:rsidR="00CD6FE3" w:rsidRPr="00CD6FE3" w:rsidRDefault="00CD6FE3" w:rsidP="00CD6FE3">
            <w:pPr>
              <w:keepNext/>
              <w:rPr>
                <w:rFonts w:eastAsia="Times New Roman"/>
                <w:color w:val="000000"/>
                <w:sz w:val="24"/>
                <w:szCs w:val="24"/>
                <w:lang w:eastAsia="uk-UA"/>
              </w:rPr>
            </w:pPr>
            <w:r w:rsidRPr="00CD6FE3">
              <w:rPr>
                <w:rFonts w:eastAsia="Times New Roman"/>
                <w:color w:val="000000"/>
                <w:sz w:val="24"/>
                <w:szCs w:val="24"/>
                <w:lang w:eastAsia="uk-UA"/>
              </w:rPr>
              <w:lastRenderedPageBreak/>
              <w:t>Індекс концентрації розродження вагітних з  пре- еклампсією і еклампсією  у ЗПД ІІ-ІІІ рівнів</w:t>
            </w:r>
          </w:p>
        </w:tc>
        <w:tc>
          <w:tcPr>
            <w:tcW w:w="968"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color w:val="000000"/>
                <w:sz w:val="24"/>
                <w:szCs w:val="24"/>
                <w:lang w:eastAsia="ru-RU"/>
              </w:rPr>
            </w:pPr>
            <w:r w:rsidRPr="00CD6FE3">
              <w:rPr>
                <w:rFonts w:eastAsia="Times New Roman"/>
                <w:color w:val="000000"/>
                <w:sz w:val="24"/>
                <w:szCs w:val="24"/>
                <w:lang w:eastAsia="ru-RU"/>
              </w:rPr>
              <w:t>67,11</w:t>
            </w:r>
          </w:p>
        </w:tc>
        <w:tc>
          <w:tcPr>
            <w:tcW w:w="969"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color w:val="000000"/>
                <w:sz w:val="24"/>
                <w:szCs w:val="24"/>
                <w:lang w:eastAsia="ru-RU"/>
              </w:rPr>
            </w:pPr>
            <w:r w:rsidRPr="00CD6FE3">
              <w:rPr>
                <w:rFonts w:eastAsia="Times New Roman"/>
                <w:color w:val="000000"/>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color w:val="000000"/>
                <w:sz w:val="24"/>
                <w:szCs w:val="24"/>
                <w:lang w:eastAsia="ru-RU"/>
              </w:rPr>
            </w:pPr>
            <w:r w:rsidRPr="00CD6FE3">
              <w:rPr>
                <w:rFonts w:eastAsia="Times New Roman"/>
                <w:color w:val="000000"/>
                <w:sz w:val="24"/>
                <w:szCs w:val="24"/>
                <w:lang w:eastAsia="ru-RU"/>
              </w:rPr>
              <w:t>5,22</w:t>
            </w:r>
          </w:p>
        </w:tc>
        <w:tc>
          <w:tcPr>
            <w:tcW w:w="969"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color w:val="000000"/>
                <w:sz w:val="24"/>
                <w:szCs w:val="24"/>
                <w:lang w:eastAsia="ru-RU"/>
              </w:rPr>
            </w:pPr>
            <w:r w:rsidRPr="00CD6FE3">
              <w:rPr>
                <w:rFonts w:eastAsia="Times New Roman"/>
                <w:color w:val="000000"/>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color w:val="000000"/>
                <w:sz w:val="24"/>
                <w:szCs w:val="24"/>
                <w:lang w:eastAsia="ru-RU"/>
              </w:rPr>
            </w:pPr>
            <w:r w:rsidRPr="00CD6FE3">
              <w:rPr>
                <w:rFonts w:eastAsia="Times New Roman"/>
                <w:color w:val="000000"/>
                <w:sz w:val="24"/>
                <w:szCs w:val="24"/>
                <w:lang w:eastAsia="ru-RU"/>
              </w:rPr>
              <w:t>0,75</w:t>
            </w:r>
          </w:p>
        </w:tc>
        <w:tc>
          <w:tcPr>
            <w:tcW w:w="969"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color w:val="000000"/>
                <w:sz w:val="24"/>
                <w:szCs w:val="24"/>
                <w:lang w:eastAsia="ru-RU"/>
              </w:rPr>
            </w:pPr>
            <w:r w:rsidRPr="00CD6FE3">
              <w:rPr>
                <w:rFonts w:eastAsia="Times New Roman"/>
                <w:color w:val="000000"/>
                <w:sz w:val="24"/>
                <w:szCs w:val="24"/>
                <w:lang w:eastAsia="ru-RU"/>
              </w:rPr>
              <w:t>**</w:t>
            </w:r>
          </w:p>
        </w:tc>
      </w:tr>
      <w:tr w:rsidR="00CD6FE3" w:rsidRPr="00CD6FE3" w:rsidTr="00CD6FE3">
        <w:trPr>
          <w:trHeight w:val="600"/>
        </w:trPr>
        <w:tc>
          <w:tcPr>
            <w:tcW w:w="4536" w:type="dxa"/>
            <w:tcBorders>
              <w:top w:val="single" w:sz="4" w:space="0" w:color="auto"/>
              <w:left w:val="single" w:sz="4" w:space="0" w:color="auto"/>
              <w:bottom w:val="single" w:sz="4" w:space="0" w:color="auto"/>
              <w:right w:val="single" w:sz="4" w:space="0" w:color="auto"/>
            </w:tcBorders>
          </w:tcPr>
          <w:p w:rsidR="00CD6FE3" w:rsidRPr="00CD6FE3" w:rsidRDefault="00CD6FE3" w:rsidP="00CD6FE3">
            <w:pPr>
              <w:keepNext/>
              <w:rPr>
                <w:rFonts w:eastAsia="Times New Roman"/>
                <w:color w:val="000000"/>
                <w:sz w:val="24"/>
                <w:szCs w:val="24"/>
                <w:lang w:eastAsia="uk-UA"/>
              </w:rPr>
            </w:pPr>
            <w:r w:rsidRPr="00CD6FE3">
              <w:rPr>
                <w:rFonts w:eastAsia="Times New Roman"/>
                <w:color w:val="000000"/>
                <w:sz w:val="24"/>
                <w:szCs w:val="24"/>
                <w:lang w:eastAsia="uk-UA"/>
              </w:rPr>
              <w:t>Індекс концентрації новонароджених масою тіла при народженні 500-1499г у ЗПД ІІІ рівня</w:t>
            </w:r>
          </w:p>
        </w:tc>
        <w:tc>
          <w:tcPr>
            <w:tcW w:w="968"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color w:val="000000"/>
                <w:sz w:val="24"/>
                <w:szCs w:val="24"/>
                <w:lang w:eastAsia="ru-RU"/>
              </w:rPr>
            </w:pPr>
            <w:r w:rsidRPr="00CD6FE3">
              <w:rPr>
                <w:rFonts w:eastAsia="Times New Roman"/>
                <w:color w:val="000000"/>
                <w:sz w:val="24"/>
                <w:szCs w:val="24"/>
                <w:lang w:eastAsia="ru-RU"/>
              </w:rPr>
              <w:t>55,21</w:t>
            </w:r>
          </w:p>
        </w:tc>
        <w:tc>
          <w:tcPr>
            <w:tcW w:w="969"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color w:val="000000"/>
                <w:sz w:val="24"/>
                <w:szCs w:val="24"/>
                <w:lang w:eastAsia="ru-RU"/>
              </w:rPr>
            </w:pPr>
            <w:r w:rsidRPr="00CD6FE3">
              <w:rPr>
                <w:rFonts w:eastAsia="Times New Roman"/>
                <w:color w:val="000000"/>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color w:val="000000"/>
                <w:sz w:val="24"/>
                <w:szCs w:val="24"/>
                <w:lang w:eastAsia="ru-RU"/>
              </w:rPr>
            </w:pPr>
            <w:r w:rsidRPr="00CD6FE3">
              <w:rPr>
                <w:rFonts w:eastAsia="Times New Roman"/>
                <w:color w:val="000000"/>
                <w:sz w:val="24"/>
                <w:szCs w:val="24"/>
                <w:lang w:eastAsia="ru-RU"/>
              </w:rPr>
              <w:t>4,14</w:t>
            </w:r>
          </w:p>
        </w:tc>
        <w:tc>
          <w:tcPr>
            <w:tcW w:w="969"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color w:val="000000"/>
                <w:sz w:val="24"/>
                <w:szCs w:val="24"/>
                <w:lang w:eastAsia="ru-RU"/>
              </w:rPr>
            </w:pPr>
            <w:r w:rsidRPr="00CD6FE3">
              <w:rPr>
                <w:rFonts w:eastAsia="Times New Roman"/>
                <w:color w:val="000000"/>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color w:val="000000"/>
                <w:sz w:val="24"/>
                <w:szCs w:val="24"/>
                <w:lang w:eastAsia="ru-RU"/>
              </w:rPr>
            </w:pPr>
            <w:r w:rsidRPr="00CD6FE3">
              <w:rPr>
                <w:rFonts w:eastAsia="Times New Roman"/>
                <w:color w:val="000000"/>
                <w:sz w:val="24"/>
                <w:szCs w:val="24"/>
                <w:lang w:eastAsia="ru-RU"/>
              </w:rPr>
              <w:t>0,69</w:t>
            </w:r>
          </w:p>
        </w:tc>
        <w:tc>
          <w:tcPr>
            <w:tcW w:w="969"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color w:val="000000"/>
                <w:sz w:val="24"/>
                <w:szCs w:val="24"/>
                <w:lang w:eastAsia="ru-RU"/>
              </w:rPr>
            </w:pPr>
            <w:r w:rsidRPr="00CD6FE3">
              <w:rPr>
                <w:rFonts w:eastAsia="Times New Roman"/>
                <w:color w:val="000000"/>
                <w:sz w:val="24"/>
                <w:szCs w:val="24"/>
                <w:lang w:eastAsia="ru-RU"/>
              </w:rPr>
              <w:t>**</w:t>
            </w:r>
          </w:p>
        </w:tc>
      </w:tr>
      <w:tr w:rsidR="00CD6FE3" w:rsidRPr="00CD6FE3" w:rsidTr="00CD6FE3">
        <w:trPr>
          <w:trHeight w:val="268"/>
        </w:trPr>
        <w:tc>
          <w:tcPr>
            <w:tcW w:w="4536" w:type="dxa"/>
            <w:tcBorders>
              <w:top w:val="single" w:sz="4" w:space="0" w:color="auto"/>
              <w:left w:val="single" w:sz="4" w:space="0" w:color="auto"/>
              <w:bottom w:val="single" w:sz="4" w:space="0" w:color="auto"/>
              <w:right w:val="single" w:sz="4" w:space="0" w:color="auto"/>
            </w:tcBorders>
            <w:vAlign w:val="bottom"/>
          </w:tcPr>
          <w:p w:rsidR="00CD6FE3" w:rsidRPr="00CD6FE3" w:rsidRDefault="00CD6FE3" w:rsidP="00CD6FE3">
            <w:pPr>
              <w:keepNext/>
              <w:jc w:val="left"/>
              <w:rPr>
                <w:rFonts w:eastAsia="Times New Roman"/>
                <w:sz w:val="24"/>
                <w:szCs w:val="24"/>
                <w:lang w:eastAsia="ru-RU"/>
              </w:rPr>
            </w:pPr>
            <w:r w:rsidRPr="00CD6FE3">
              <w:rPr>
                <w:rFonts w:eastAsia="Times New Roman"/>
                <w:sz w:val="24"/>
                <w:szCs w:val="24"/>
                <w:lang w:eastAsia="ru-RU"/>
              </w:rPr>
              <w:t>Індекс неонатального трансферу</w:t>
            </w:r>
          </w:p>
        </w:tc>
        <w:tc>
          <w:tcPr>
            <w:tcW w:w="968"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sz w:val="24"/>
                <w:szCs w:val="24"/>
                <w:lang w:eastAsia="ru-RU"/>
              </w:rPr>
            </w:pPr>
            <w:r w:rsidRPr="00CD6FE3">
              <w:rPr>
                <w:rFonts w:eastAsia="Times New Roman"/>
                <w:sz w:val="24"/>
                <w:szCs w:val="24"/>
                <w:lang w:eastAsia="ru-RU"/>
              </w:rPr>
              <w:t>7,38</w:t>
            </w:r>
          </w:p>
        </w:tc>
        <w:tc>
          <w:tcPr>
            <w:tcW w:w="969"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color w:val="000000"/>
                <w:sz w:val="24"/>
                <w:szCs w:val="24"/>
                <w:lang w:eastAsia="ru-RU"/>
              </w:rPr>
            </w:pPr>
            <w:r w:rsidRPr="00CD6FE3">
              <w:rPr>
                <w:rFonts w:eastAsia="Times New Roman"/>
                <w:color w:val="000000"/>
                <w:sz w:val="24"/>
                <w:szCs w:val="24"/>
                <w:lang w:eastAsia="ru-RU"/>
              </w:rPr>
              <w:t>7,38</w:t>
            </w:r>
          </w:p>
        </w:tc>
        <w:tc>
          <w:tcPr>
            <w:tcW w:w="968"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sz w:val="24"/>
                <w:szCs w:val="24"/>
                <w:lang w:eastAsia="ru-RU"/>
              </w:rPr>
            </w:pPr>
            <w:r w:rsidRPr="00CD6FE3">
              <w:rPr>
                <w:rFonts w:eastAsia="Times New Roman"/>
                <w:sz w:val="24"/>
                <w:szCs w:val="24"/>
                <w:lang w:eastAsia="ru-RU"/>
              </w:rPr>
              <w:t>1,09</w:t>
            </w:r>
          </w:p>
        </w:tc>
        <w:tc>
          <w:tcPr>
            <w:tcW w:w="969"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color w:val="000000"/>
                <w:sz w:val="24"/>
                <w:szCs w:val="24"/>
                <w:lang w:eastAsia="ru-RU"/>
              </w:rPr>
            </w:pPr>
            <w:r w:rsidRPr="00CD6FE3">
              <w:rPr>
                <w:rFonts w:eastAsia="Times New Roman"/>
                <w:color w:val="000000"/>
                <w:sz w:val="24"/>
                <w:szCs w:val="24"/>
                <w:lang w:eastAsia="ru-RU"/>
              </w:rPr>
              <w:t>3,67</w:t>
            </w:r>
          </w:p>
        </w:tc>
        <w:tc>
          <w:tcPr>
            <w:tcW w:w="968"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sz w:val="24"/>
                <w:szCs w:val="24"/>
                <w:lang w:eastAsia="ru-RU"/>
              </w:rPr>
            </w:pPr>
            <w:r w:rsidRPr="00CD6FE3">
              <w:rPr>
                <w:rFonts w:eastAsia="Times New Roman"/>
                <w:sz w:val="24"/>
                <w:szCs w:val="24"/>
                <w:lang w:eastAsia="ru-RU"/>
              </w:rPr>
              <w:t>0,16</w:t>
            </w:r>
          </w:p>
        </w:tc>
        <w:tc>
          <w:tcPr>
            <w:tcW w:w="969"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color w:val="000000"/>
                <w:sz w:val="24"/>
                <w:szCs w:val="24"/>
                <w:lang w:eastAsia="ru-RU"/>
              </w:rPr>
            </w:pPr>
            <w:r w:rsidRPr="00CD6FE3">
              <w:rPr>
                <w:rFonts w:eastAsia="Times New Roman"/>
                <w:color w:val="000000"/>
                <w:sz w:val="24"/>
                <w:szCs w:val="24"/>
                <w:lang w:eastAsia="ru-RU"/>
              </w:rPr>
              <w:t>0,52</w:t>
            </w:r>
          </w:p>
        </w:tc>
      </w:tr>
      <w:tr w:rsidR="00CD6FE3" w:rsidRPr="00CD6FE3" w:rsidTr="00CD6FE3">
        <w:trPr>
          <w:trHeight w:val="272"/>
        </w:trPr>
        <w:tc>
          <w:tcPr>
            <w:tcW w:w="4536"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left"/>
              <w:rPr>
                <w:rFonts w:eastAsia="Times New Roman"/>
                <w:sz w:val="24"/>
                <w:szCs w:val="24"/>
                <w:lang w:eastAsia="ru-RU"/>
              </w:rPr>
            </w:pPr>
            <w:r w:rsidRPr="00CD6FE3">
              <w:rPr>
                <w:rFonts w:eastAsia="Times New Roman"/>
                <w:sz w:val="24"/>
                <w:szCs w:val="24"/>
                <w:lang w:eastAsia="ru-RU"/>
              </w:rPr>
              <w:t>Частота нормальних пологів</w:t>
            </w:r>
          </w:p>
        </w:tc>
        <w:tc>
          <w:tcPr>
            <w:tcW w:w="968"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color w:val="000000"/>
                <w:sz w:val="24"/>
                <w:szCs w:val="24"/>
                <w:lang w:eastAsia="ru-RU"/>
              </w:rPr>
            </w:pPr>
            <w:r w:rsidRPr="00CD6FE3">
              <w:rPr>
                <w:rFonts w:eastAsia="Times New Roman"/>
                <w:color w:val="000000"/>
                <w:sz w:val="24"/>
                <w:szCs w:val="24"/>
                <w:lang w:eastAsia="ru-RU"/>
              </w:rPr>
              <w:t>74,23</w:t>
            </w:r>
          </w:p>
        </w:tc>
        <w:tc>
          <w:tcPr>
            <w:tcW w:w="969"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color w:val="000000"/>
                <w:sz w:val="24"/>
                <w:szCs w:val="24"/>
                <w:lang w:eastAsia="ru-RU"/>
              </w:rPr>
            </w:pPr>
            <w:r w:rsidRPr="00CD6FE3">
              <w:rPr>
                <w:rFonts w:eastAsia="Times New Roman"/>
                <w:color w:val="000000"/>
                <w:sz w:val="24"/>
                <w:szCs w:val="24"/>
                <w:lang w:eastAsia="ru-RU"/>
              </w:rPr>
              <w:t>76,38</w:t>
            </w:r>
          </w:p>
        </w:tc>
        <w:tc>
          <w:tcPr>
            <w:tcW w:w="968"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color w:val="000000"/>
                <w:sz w:val="24"/>
                <w:szCs w:val="24"/>
                <w:lang w:eastAsia="ru-RU"/>
              </w:rPr>
            </w:pPr>
            <w:r w:rsidRPr="00CD6FE3">
              <w:rPr>
                <w:rFonts w:eastAsia="Times New Roman"/>
                <w:color w:val="000000"/>
                <w:sz w:val="24"/>
                <w:szCs w:val="24"/>
                <w:lang w:eastAsia="ru-RU"/>
              </w:rPr>
              <w:t>5,00</w:t>
            </w:r>
          </w:p>
        </w:tc>
        <w:tc>
          <w:tcPr>
            <w:tcW w:w="969"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color w:val="000000"/>
                <w:sz w:val="24"/>
                <w:szCs w:val="24"/>
                <w:lang w:eastAsia="ru-RU"/>
              </w:rPr>
            </w:pPr>
            <w:r w:rsidRPr="00CD6FE3">
              <w:rPr>
                <w:rFonts w:eastAsia="Times New Roman"/>
                <w:color w:val="000000"/>
                <w:sz w:val="24"/>
                <w:szCs w:val="24"/>
                <w:lang w:eastAsia="ru-RU"/>
              </w:rPr>
              <w:t>5,0</w:t>
            </w:r>
          </w:p>
        </w:tc>
        <w:tc>
          <w:tcPr>
            <w:tcW w:w="968"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color w:val="000000"/>
                <w:sz w:val="24"/>
                <w:szCs w:val="24"/>
                <w:lang w:eastAsia="ru-RU"/>
              </w:rPr>
            </w:pPr>
            <w:r w:rsidRPr="00CD6FE3">
              <w:rPr>
                <w:rFonts w:eastAsia="Times New Roman"/>
                <w:color w:val="000000"/>
                <w:sz w:val="24"/>
                <w:szCs w:val="24"/>
                <w:lang w:eastAsia="ru-RU"/>
              </w:rPr>
              <w:t>1,00</w:t>
            </w:r>
          </w:p>
        </w:tc>
        <w:tc>
          <w:tcPr>
            <w:tcW w:w="969"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color w:val="000000"/>
                <w:sz w:val="24"/>
                <w:szCs w:val="24"/>
                <w:lang w:eastAsia="ru-RU"/>
              </w:rPr>
            </w:pPr>
            <w:r w:rsidRPr="00CD6FE3">
              <w:rPr>
                <w:rFonts w:eastAsia="Times New Roman"/>
                <w:color w:val="000000"/>
                <w:sz w:val="24"/>
                <w:szCs w:val="24"/>
                <w:lang w:eastAsia="ru-RU"/>
              </w:rPr>
              <w:t>1,00</w:t>
            </w:r>
          </w:p>
        </w:tc>
      </w:tr>
      <w:tr w:rsidR="00CD6FE3" w:rsidRPr="00CD6FE3" w:rsidTr="00CD6FE3">
        <w:trPr>
          <w:trHeight w:val="418"/>
        </w:trPr>
        <w:tc>
          <w:tcPr>
            <w:tcW w:w="4536" w:type="dxa"/>
            <w:tcBorders>
              <w:top w:val="single" w:sz="4" w:space="0" w:color="auto"/>
              <w:left w:val="single" w:sz="4" w:space="0" w:color="auto"/>
              <w:bottom w:val="single" w:sz="4" w:space="0" w:color="auto"/>
              <w:right w:val="single" w:sz="4" w:space="0" w:color="auto"/>
            </w:tcBorders>
            <w:vAlign w:val="bottom"/>
          </w:tcPr>
          <w:p w:rsidR="00CD6FE3" w:rsidRPr="00CD6FE3" w:rsidRDefault="00CD6FE3" w:rsidP="00CD6FE3">
            <w:pPr>
              <w:keepNext/>
              <w:jc w:val="left"/>
              <w:rPr>
                <w:rFonts w:eastAsia="Times New Roman"/>
                <w:sz w:val="24"/>
                <w:szCs w:val="24"/>
                <w:lang w:eastAsia="ru-RU"/>
              </w:rPr>
            </w:pPr>
            <w:r w:rsidRPr="00CD6FE3">
              <w:rPr>
                <w:rFonts w:eastAsia="Times New Roman"/>
                <w:sz w:val="24"/>
                <w:szCs w:val="24"/>
                <w:lang w:eastAsia="ru-RU"/>
              </w:rPr>
              <w:t>Частота розроджень вагітних шляхом кесаревого розтину</w:t>
            </w:r>
          </w:p>
        </w:tc>
        <w:tc>
          <w:tcPr>
            <w:tcW w:w="968"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color w:val="000000"/>
                <w:sz w:val="24"/>
                <w:szCs w:val="24"/>
                <w:lang w:eastAsia="ru-RU"/>
              </w:rPr>
            </w:pPr>
            <w:r w:rsidRPr="00CD6FE3">
              <w:rPr>
                <w:rFonts w:eastAsia="Times New Roman"/>
                <w:color w:val="000000"/>
                <w:sz w:val="24"/>
                <w:szCs w:val="24"/>
                <w:lang w:eastAsia="ru-RU"/>
              </w:rPr>
              <w:t>182,4</w:t>
            </w:r>
          </w:p>
        </w:tc>
        <w:tc>
          <w:tcPr>
            <w:tcW w:w="969"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color w:val="000000"/>
                <w:sz w:val="24"/>
                <w:szCs w:val="24"/>
                <w:lang w:eastAsia="ru-RU"/>
              </w:rPr>
            </w:pPr>
            <w:r w:rsidRPr="00CD6FE3">
              <w:rPr>
                <w:rFonts w:eastAsia="Times New Roman"/>
                <w:color w:val="000000"/>
                <w:sz w:val="24"/>
                <w:szCs w:val="24"/>
                <w:lang w:eastAsia="ru-RU"/>
              </w:rPr>
              <w:t>201,14</w:t>
            </w:r>
          </w:p>
        </w:tc>
        <w:tc>
          <w:tcPr>
            <w:tcW w:w="968"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color w:val="000000"/>
                <w:sz w:val="24"/>
                <w:szCs w:val="24"/>
                <w:lang w:eastAsia="ru-RU"/>
              </w:rPr>
            </w:pPr>
            <w:r w:rsidRPr="00CD6FE3">
              <w:rPr>
                <w:rFonts w:eastAsia="Times New Roman"/>
                <w:color w:val="000000"/>
                <w:sz w:val="24"/>
                <w:szCs w:val="24"/>
                <w:lang w:eastAsia="ru-RU"/>
              </w:rPr>
              <w:t>6,02</w:t>
            </w:r>
          </w:p>
        </w:tc>
        <w:tc>
          <w:tcPr>
            <w:tcW w:w="969"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color w:val="000000"/>
                <w:sz w:val="24"/>
                <w:szCs w:val="24"/>
                <w:lang w:eastAsia="ru-RU"/>
              </w:rPr>
            </w:pPr>
            <w:r w:rsidRPr="00CD6FE3">
              <w:rPr>
                <w:rFonts w:eastAsia="Times New Roman"/>
                <w:color w:val="000000"/>
                <w:sz w:val="24"/>
                <w:szCs w:val="24"/>
                <w:lang w:eastAsia="ru-RU"/>
              </w:rPr>
              <w:t>6,15</w:t>
            </w:r>
          </w:p>
        </w:tc>
        <w:tc>
          <w:tcPr>
            <w:tcW w:w="968"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color w:val="000000"/>
                <w:sz w:val="24"/>
                <w:szCs w:val="24"/>
                <w:lang w:eastAsia="ru-RU"/>
              </w:rPr>
            </w:pPr>
            <w:r w:rsidRPr="00CD6FE3">
              <w:rPr>
                <w:rFonts w:eastAsia="Times New Roman"/>
                <w:color w:val="000000"/>
                <w:sz w:val="24"/>
                <w:szCs w:val="24"/>
                <w:lang w:eastAsia="ru-RU"/>
              </w:rPr>
              <w:t>0,86</w:t>
            </w:r>
          </w:p>
        </w:tc>
        <w:tc>
          <w:tcPr>
            <w:tcW w:w="969"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color w:val="000000"/>
                <w:sz w:val="24"/>
                <w:szCs w:val="24"/>
                <w:lang w:eastAsia="ru-RU"/>
              </w:rPr>
            </w:pPr>
            <w:r w:rsidRPr="00CD6FE3">
              <w:rPr>
                <w:rFonts w:eastAsia="Times New Roman"/>
                <w:color w:val="000000"/>
                <w:sz w:val="24"/>
                <w:szCs w:val="24"/>
                <w:lang w:eastAsia="ru-RU"/>
              </w:rPr>
              <w:t>0,88</w:t>
            </w:r>
          </w:p>
        </w:tc>
      </w:tr>
      <w:tr w:rsidR="00CD6FE3" w:rsidRPr="00CD6FE3" w:rsidTr="00CD6FE3">
        <w:trPr>
          <w:trHeight w:val="276"/>
        </w:trPr>
        <w:tc>
          <w:tcPr>
            <w:tcW w:w="4536" w:type="dxa"/>
            <w:tcBorders>
              <w:top w:val="single" w:sz="4" w:space="0" w:color="auto"/>
              <w:left w:val="single" w:sz="4" w:space="0" w:color="auto"/>
              <w:bottom w:val="single" w:sz="4" w:space="0" w:color="auto"/>
              <w:right w:val="single" w:sz="4" w:space="0" w:color="auto"/>
            </w:tcBorders>
            <w:vAlign w:val="bottom"/>
          </w:tcPr>
          <w:p w:rsidR="00CD6FE3" w:rsidRPr="00CD6FE3" w:rsidRDefault="00CD6FE3" w:rsidP="00CD6FE3">
            <w:pPr>
              <w:keepNext/>
              <w:jc w:val="left"/>
              <w:rPr>
                <w:rFonts w:eastAsia="Times New Roman"/>
                <w:sz w:val="24"/>
                <w:szCs w:val="24"/>
                <w:lang w:eastAsia="ru-RU"/>
              </w:rPr>
            </w:pPr>
            <w:r w:rsidRPr="00CD6FE3">
              <w:rPr>
                <w:rFonts w:eastAsia="Times New Roman"/>
                <w:sz w:val="24"/>
                <w:szCs w:val="24"/>
                <w:lang w:eastAsia="ru-RU"/>
              </w:rPr>
              <w:t>Частота  кровотеч в послідовому і післяродовому періодах</w:t>
            </w:r>
          </w:p>
        </w:tc>
        <w:tc>
          <w:tcPr>
            <w:tcW w:w="968"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color w:val="000000"/>
                <w:sz w:val="24"/>
                <w:szCs w:val="24"/>
                <w:lang w:eastAsia="ru-RU"/>
              </w:rPr>
            </w:pPr>
            <w:r w:rsidRPr="00CD6FE3">
              <w:rPr>
                <w:rFonts w:eastAsia="Times New Roman"/>
                <w:color w:val="000000"/>
                <w:sz w:val="24"/>
                <w:szCs w:val="24"/>
                <w:lang w:eastAsia="ru-RU"/>
              </w:rPr>
              <w:t>6,29</w:t>
            </w:r>
          </w:p>
        </w:tc>
        <w:tc>
          <w:tcPr>
            <w:tcW w:w="969"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color w:val="000000"/>
                <w:sz w:val="24"/>
                <w:szCs w:val="24"/>
                <w:lang w:eastAsia="ru-RU"/>
              </w:rPr>
            </w:pPr>
            <w:r w:rsidRPr="00CD6FE3">
              <w:rPr>
                <w:rFonts w:eastAsia="Times New Roman"/>
                <w:color w:val="000000"/>
                <w:sz w:val="24"/>
                <w:szCs w:val="24"/>
                <w:lang w:eastAsia="ru-RU"/>
              </w:rPr>
              <w:t>8,63</w:t>
            </w:r>
          </w:p>
        </w:tc>
        <w:tc>
          <w:tcPr>
            <w:tcW w:w="968"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color w:val="000000"/>
                <w:sz w:val="24"/>
                <w:szCs w:val="24"/>
                <w:lang w:eastAsia="ru-RU"/>
              </w:rPr>
            </w:pPr>
            <w:r w:rsidRPr="00CD6FE3">
              <w:rPr>
                <w:rFonts w:eastAsia="Times New Roman"/>
                <w:color w:val="000000"/>
                <w:sz w:val="24"/>
                <w:szCs w:val="24"/>
                <w:lang w:eastAsia="ru-RU"/>
              </w:rPr>
              <w:t>6,68</w:t>
            </w:r>
          </w:p>
        </w:tc>
        <w:tc>
          <w:tcPr>
            <w:tcW w:w="969"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color w:val="000000"/>
                <w:sz w:val="24"/>
                <w:szCs w:val="24"/>
                <w:lang w:eastAsia="ru-RU"/>
              </w:rPr>
            </w:pPr>
            <w:r w:rsidRPr="00CD6FE3">
              <w:rPr>
                <w:rFonts w:eastAsia="Times New Roman"/>
                <w:color w:val="000000"/>
                <w:sz w:val="24"/>
                <w:szCs w:val="24"/>
                <w:lang w:eastAsia="ru-RU"/>
              </w:rPr>
              <w:t>5,06</w:t>
            </w:r>
          </w:p>
        </w:tc>
        <w:tc>
          <w:tcPr>
            <w:tcW w:w="968"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color w:val="000000"/>
                <w:sz w:val="24"/>
                <w:szCs w:val="24"/>
                <w:lang w:eastAsia="ru-RU"/>
              </w:rPr>
            </w:pPr>
            <w:r w:rsidRPr="00CD6FE3">
              <w:rPr>
                <w:rFonts w:eastAsia="Times New Roman"/>
                <w:color w:val="000000"/>
                <w:sz w:val="24"/>
                <w:szCs w:val="24"/>
                <w:lang w:eastAsia="ru-RU"/>
              </w:rPr>
              <w:t>0,74</w:t>
            </w:r>
          </w:p>
        </w:tc>
        <w:tc>
          <w:tcPr>
            <w:tcW w:w="969"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color w:val="000000"/>
                <w:sz w:val="24"/>
                <w:szCs w:val="24"/>
                <w:lang w:eastAsia="ru-RU"/>
              </w:rPr>
            </w:pPr>
            <w:r w:rsidRPr="00CD6FE3">
              <w:rPr>
                <w:rFonts w:eastAsia="Times New Roman"/>
                <w:color w:val="000000"/>
                <w:sz w:val="24"/>
                <w:szCs w:val="24"/>
                <w:lang w:eastAsia="ru-RU"/>
              </w:rPr>
              <w:t>0,56</w:t>
            </w:r>
          </w:p>
        </w:tc>
      </w:tr>
      <w:tr w:rsidR="00CD6FE3" w:rsidRPr="00CD6FE3" w:rsidTr="00CD6FE3">
        <w:trPr>
          <w:trHeight w:val="293"/>
        </w:trPr>
        <w:tc>
          <w:tcPr>
            <w:tcW w:w="4536" w:type="dxa"/>
            <w:tcBorders>
              <w:top w:val="single" w:sz="4" w:space="0" w:color="auto"/>
              <w:left w:val="single" w:sz="4" w:space="0" w:color="auto"/>
              <w:bottom w:val="single" w:sz="4" w:space="0" w:color="auto"/>
              <w:right w:val="single" w:sz="4" w:space="0" w:color="auto"/>
            </w:tcBorders>
            <w:vAlign w:val="bottom"/>
          </w:tcPr>
          <w:p w:rsidR="00CD6FE3" w:rsidRPr="00CD6FE3" w:rsidRDefault="00CD6FE3" w:rsidP="00CD6FE3">
            <w:pPr>
              <w:keepNext/>
              <w:jc w:val="left"/>
              <w:rPr>
                <w:rFonts w:eastAsia="Times New Roman"/>
                <w:sz w:val="24"/>
                <w:szCs w:val="24"/>
                <w:lang w:eastAsia="ru-RU"/>
              </w:rPr>
            </w:pPr>
            <w:r w:rsidRPr="00CD6FE3">
              <w:rPr>
                <w:rFonts w:eastAsia="Times New Roman"/>
                <w:sz w:val="24"/>
                <w:szCs w:val="24"/>
                <w:lang w:eastAsia="ru-RU"/>
              </w:rPr>
              <w:t>Частота мало вагових новонароджених</w:t>
            </w:r>
          </w:p>
        </w:tc>
        <w:tc>
          <w:tcPr>
            <w:tcW w:w="968"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color w:val="000000"/>
                <w:sz w:val="24"/>
                <w:szCs w:val="24"/>
                <w:lang w:eastAsia="ru-RU"/>
              </w:rPr>
            </w:pPr>
            <w:r w:rsidRPr="00CD6FE3">
              <w:rPr>
                <w:rFonts w:eastAsia="Times New Roman"/>
                <w:color w:val="000000"/>
                <w:sz w:val="24"/>
                <w:szCs w:val="24"/>
                <w:lang w:eastAsia="ru-RU"/>
              </w:rPr>
              <w:t>4,45</w:t>
            </w:r>
          </w:p>
        </w:tc>
        <w:tc>
          <w:tcPr>
            <w:tcW w:w="969"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color w:val="000000"/>
                <w:sz w:val="24"/>
                <w:szCs w:val="24"/>
                <w:lang w:eastAsia="ru-RU"/>
              </w:rPr>
            </w:pPr>
            <w:r w:rsidRPr="00CD6FE3">
              <w:rPr>
                <w:rFonts w:eastAsia="Times New Roman"/>
                <w:color w:val="000000"/>
                <w:sz w:val="24"/>
                <w:szCs w:val="24"/>
                <w:lang w:eastAsia="ru-RU"/>
              </w:rPr>
              <w:t>3,91</w:t>
            </w:r>
          </w:p>
        </w:tc>
        <w:tc>
          <w:tcPr>
            <w:tcW w:w="968"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color w:val="000000"/>
                <w:sz w:val="24"/>
                <w:szCs w:val="24"/>
                <w:lang w:eastAsia="ru-RU"/>
              </w:rPr>
            </w:pPr>
            <w:r w:rsidRPr="00CD6FE3">
              <w:rPr>
                <w:rFonts w:eastAsia="Times New Roman"/>
                <w:color w:val="000000"/>
                <w:sz w:val="24"/>
                <w:szCs w:val="24"/>
                <w:lang w:eastAsia="ru-RU"/>
              </w:rPr>
              <w:t>4,44</w:t>
            </w:r>
          </w:p>
        </w:tc>
        <w:tc>
          <w:tcPr>
            <w:tcW w:w="969"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color w:val="000000"/>
                <w:sz w:val="24"/>
                <w:szCs w:val="24"/>
                <w:lang w:eastAsia="ru-RU"/>
              </w:rPr>
            </w:pPr>
            <w:r w:rsidRPr="00CD6FE3">
              <w:rPr>
                <w:rFonts w:eastAsia="Times New Roman"/>
                <w:color w:val="000000"/>
                <w:sz w:val="24"/>
                <w:szCs w:val="24"/>
                <w:lang w:eastAsia="ru-RU"/>
              </w:rPr>
              <w:t>5,00</w:t>
            </w:r>
          </w:p>
        </w:tc>
        <w:tc>
          <w:tcPr>
            <w:tcW w:w="968"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color w:val="000000"/>
                <w:sz w:val="24"/>
                <w:szCs w:val="24"/>
                <w:lang w:eastAsia="ru-RU"/>
              </w:rPr>
            </w:pPr>
            <w:r w:rsidRPr="00CD6FE3">
              <w:rPr>
                <w:rFonts w:eastAsia="Times New Roman"/>
                <w:color w:val="000000"/>
                <w:sz w:val="24"/>
                <w:szCs w:val="24"/>
                <w:lang w:eastAsia="ru-RU"/>
              </w:rPr>
              <w:t>0,89</w:t>
            </w:r>
          </w:p>
        </w:tc>
        <w:tc>
          <w:tcPr>
            <w:tcW w:w="969"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color w:val="000000"/>
                <w:sz w:val="24"/>
                <w:szCs w:val="24"/>
                <w:lang w:eastAsia="ru-RU"/>
              </w:rPr>
            </w:pPr>
            <w:r w:rsidRPr="00CD6FE3">
              <w:rPr>
                <w:rFonts w:eastAsia="Times New Roman"/>
                <w:color w:val="000000"/>
                <w:sz w:val="24"/>
                <w:szCs w:val="24"/>
                <w:lang w:eastAsia="ru-RU"/>
              </w:rPr>
              <w:t>1,00</w:t>
            </w:r>
          </w:p>
        </w:tc>
      </w:tr>
      <w:tr w:rsidR="00CD6FE3" w:rsidRPr="00CD6FE3" w:rsidTr="00CD6FE3">
        <w:trPr>
          <w:trHeight w:val="344"/>
        </w:trPr>
        <w:tc>
          <w:tcPr>
            <w:tcW w:w="4536" w:type="dxa"/>
            <w:tcBorders>
              <w:top w:val="single" w:sz="4" w:space="0" w:color="auto"/>
              <w:left w:val="single" w:sz="4" w:space="0" w:color="auto"/>
              <w:bottom w:val="single" w:sz="4" w:space="0" w:color="auto"/>
              <w:right w:val="single" w:sz="4" w:space="0" w:color="auto"/>
            </w:tcBorders>
            <w:vAlign w:val="bottom"/>
          </w:tcPr>
          <w:p w:rsidR="00CD6FE3" w:rsidRPr="00CD6FE3" w:rsidRDefault="00CD6FE3" w:rsidP="00CD6FE3">
            <w:pPr>
              <w:keepNext/>
              <w:jc w:val="left"/>
              <w:rPr>
                <w:rFonts w:eastAsia="Times New Roman"/>
                <w:sz w:val="24"/>
                <w:szCs w:val="24"/>
                <w:lang w:eastAsia="ru-RU"/>
              </w:rPr>
            </w:pPr>
            <w:r w:rsidRPr="00CD6FE3">
              <w:rPr>
                <w:rFonts w:eastAsia="Times New Roman"/>
                <w:sz w:val="24"/>
                <w:szCs w:val="24"/>
                <w:lang w:eastAsia="ru-RU"/>
              </w:rPr>
              <w:t>Виживання новонароджених з дуже малою масою тіла при народженні</w:t>
            </w:r>
          </w:p>
        </w:tc>
        <w:tc>
          <w:tcPr>
            <w:tcW w:w="968"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color w:val="000000"/>
                <w:sz w:val="24"/>
                <w:szCs w:val="24"/>
                <w:lang w:eastAsia="ru-RU"/>
              </w:rPr>
            </w:pPr>
            <w:r w:rsidRPr="00CD6FE3">
              <w:rPr>
                <w:rFonts w:eastAsia="Times New Roman"/>
                <w:color w:val="000000"/>
                <w:sz w:val="24"/>
                <w:szCs w:val="24"/>
                <w:lang w:eastAsia="ru-RU"/>
              </w:rPr>
              <w:t>76,04</w:t>
            </w:r>
          </w:p>
        </w:tc>
        <w:tc>
          <w:tcPr>
            <w:tcW w:w="969"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color w:val="000000"/>
                <w:sz w:val="24"/>
                <w:szCs w:val="24"/>
                <w:lang w:eastAsia="ru-RU"/>
              </w:rPr>
            </w:pPr>
            <w:r w:rsidRPr="00CD6FE3">
              <w:rPr>
                <w:rFonts w:eastAsia="Times New Roman"/>
                <w:color w:val="000000"/>
                <w:sz w:val="24"/>
                <w:szCs w:val="24"/>
                <w:lang w:eastAsia="ru-RU"/>
              </w:rPr>
              <w:t>74,39</w:t>
            </w:r>
          </w:p>
        </w:tc>
        <w:tc>
          <w:tcPr>
            <w:tcW w:w="968"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color w:val="000000"/>
                <w:sz w:val="24"/>
                <w:szCs w:val="24"/>
                <w:lang w:eastAsia="ru-RU"/>
              </w:rPr>
            </w:pPr>
            <w:r w:rsidRPr="00CD6FE3">
              <w:rPr>
                <w:rFonts w:eastAsia="Times New Roman"/>
                <w:color w:val="000000"/>
                <w:sz w:val="24"/>
                <w:szCs w:val="24"/>
                <w:lang w:eastAsia="ru-RU"/>
              </w:rPr>
              <w:t>6,76</w:t>
            </w:r>
          </w:p>
        </w:tc>
        <w:tc>
          <w:tcPr>
            <w:tcW w:w="969"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color w:val="000000"/>
                <w:sz w:val="24"/>
                <w:szCs w:val="24"/>
                <w:lang w:eastAsia="ru-RU"/>
              </w:rPr>
            </w:pPr>
            <w:r w:rsidRPr="00CD6FE3">
              <w:rPr>
                <w:rFonts w:eastAsia="Times New Roman"/>
                <w:color w:val="000000"/>
                <w:sz w:val="24"/>
                <w:szCs w:val="24"/>
                <w:lang w:eastAsia="ru-RU"/>
              </w:rPr>
              <w:t>7,05</w:t>
            </w:r>
          </w:p>
        </w:tc>
        <w:tc>
          <w:tcPr>
            <w:tcW w:w="968"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color w:val="000000"/>
                <w:sz w:val="24"/>
                <w:szCs w:val="24"/>
                <w:lang w:eastAsia="ru-RU"/>
              </w:rPr>
            </w:pPr>
            <w:r w:rsidRPr="00CD6FE3">
              <w:rPr>
                <w:rFonts w:eastAsia="Times New Roman"/>
                <w:color w:val="000000"/>
                <w:sz w:val="24"/>
                <w:szCs w:val="24"/>
                <w:lang w:eastAsia="ru-RU"/>
              </w:rPr>
              <w:t>0,84</w:t>
            </w:r>
          </w:p>
        </w:tc>
        <w:tc>
          <w:tcPr>
            <w:tcW w:w="969"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color w:val="000000"/>
                <w:sz w:val="24"/>
                <w:szCs w:val="24"/>
                <w:lang w:eastAsia="ru-RU"/>
              </w:rPr>
            </w:pPr>
            <w:r w:rsidRPr="00CD6FE3">
              <w:rPr>
                <w:rFonts w:eastAsia="Times New Roman"/>
                <w:color w:val="000000"/>
                <w:sz w:val="24"/>
                <w:szCs w:val="24"/>
                <w:lang w:eastAsia="ru-RU"/>
              </w:rPr>
              <w:t>0,88</w:t>
            </w:r>
          </w:p>
        </w:tc>
      </w:tr>
      <w:tr w:rsidR="00CD6FE3" w:rsidRPr="00CD6FE3" w:rsidTr="00CD6FE3">
        <w:trPr>
          <w:trHeight w:val="226"/>
        </w:trPr>
        <w:tc>
          <w:tcPr>
            <w:tcW w:w="4536" w:type="dxa"/>
            <w:tcBorders>
              <w:top w:val="single" w:sz="4" w:space="0" w:color="auto"/>
              <w:left w:val="single" w:sz="4" w:space="0" w:color="auto"/>
              <w:bottom w:val="single" w:sz="4" w:space="0" w:color="auto"/>
              <w:right w:val="single" w:sz="4" w:space="0" w:color="auto"/>
            </w:tcBorders>
            <w:vAlign w:val="bottom"/>
          </w:tcPr>
          <w:p w:rsidR="00CD6FE3" w:rsidRPr="00CD6FE3" w:rsidRDefault="00CD6FE3" w:rsidP="00CD6FE3">
            <w:pPr>
              <w:keepNext/>
              <w:jc w:val="left"/>
              <w:rPr>
                <w:rFonts w:eastAsia="Times New Roman"/>
                <w:sz w:val="24"/>
                <w:szCs w:val="24"/>
                <w:lang w:eastAsia="ru-RU"/>
              </w:rPr>
            </w:pPr>
            <w:r w:rsidRPr="00CD6FE3">
              <w:rPr>
                <w:rFonts w:eastAsia="Times New Roman"/>
                <w:sz w:val="24"/>
                <w:szCs w:val="24"/>
                <w:lang w:eastAsia="ru-RU"/>
              </w:rPr>
              <w:t>Індекс здоров’я новонароджених</w:t>
            </w:r>
          </w:p>
        </w:tc>
        <w:tc>
          <w:tcPr>
            <w:tcW w:w="968"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color w:val="000000"/>
                <w:sz w:val="24"/>
                <w:szCs w:val="24"/>
                <w:lang w:eastAsia="ru-RU"/>
              </w:rPr>
            </w:pPr>
            <w:r w:rsidRPr="00CD6FE3">
              <w:rPr>
                <w:rFonts w:eastAsia="Times New Roman"/>
                <w:color w:val="000000"/>
                <w:sz w:val="24"/>
                <w:szCs w:val="24"/>
                <w:lang w:eastAsia="ru-RU"/>
              </w:rPr>
              <w:t>81</w:t>
            </w:r>
          </w:p>
        </w:tc>
        <w:tc>
          <w:tcPr>
            <w:tcW w:w="969"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color w:val="000000"/>
                <w:sz w:val="24"/>
                <w:szCs w:val="24"/>
                <w:lang w:eastAsia="ru-RU"/>
              </w:rPr>
            </w:pPr>
            <w:r w:rsidRPr="00CD6FE3">
              <w:rPr>
                <w:rFonts w:eastAsia="Times New Roman"/>
                <w:color w:val="000000"/>
                <w:sz w:val="24"/>
                <w:szCs w:val="24"/>
                <w:lang w:eastAsia="ru-RU"/>
              </w:rPr>
              <w:t>81,79</w:t>
            </w:r>
          </w:p>
        </w:tc>
        <w:tc>
          <w:tcPr>
            <w:tcW w:w="968"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color w:val="000000"/>
                <w:sz w:val="24"/>
                <w:szCs w:val="24"/>
                <w:lang w:eastAsia="ru-RU"/>
              </w:rPr>
            </w:pPr>
            <w:r w:rsidRPr="00CD6FE3">
              <w:rPr>
                <w:rFonts w:eastAsia="Times New Roman"/>
                <w:color w:val="000000"/>
                <w:sz w:val="24"/>
                <w:szCs w:val="24"/>
                <w:lang w:eastAsia="ru-RU"/>
              </w:rPr>
              <w:t>5,40</w:t>
            </w:r>
          </w:p>
        </w:tc>
        <w:tc>
          <w:tcPr>
            <w:tcW w:w="969"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color w:val="000000"/>
                <w:sz w:val="24"/>
                <w:szCs w:val="24"/>
                <w:lang w:eastAsia="ru-RU"/>
              </w:rPr>
            </w:pPr>
            <w:r w:rsidRPr="00CD6FE3">
              <w:rPr>
                <w:rFonts w:eastAsia="Times New Roman"/>
                <w:color w:val="000000"/>
                <w:sz w:val="24"/>
                <w:szCs w:val="24"/>
                <w:lang w:eastAsia="ru-RU"/>
              </w:rPr>
              <w:t>5,78</w:t>
            </w:r>
          </w:p>
        </w:tc>
        <w:tc>
          <w:tcPr>
            <w:tcW w:w="968"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color w:val="000000"/>
                <w:sz w:val="24"/>
                <w:szCs w:val="24"/>
                <w:lang w:eastAsia="ru-RU"/>
              </w:rPr>
            </w:pPr>
            <w:r w:rsidRPr="00CD6FE3">
              <w:rPr>
                <w:rFonts w:eastAsia="Times New Roman"/>
                <w:color w:val="000000"/>
                <w:sz w:val="24"/>
                <w:szCs w:val="24"/>
                <w:lang w:eastAsia="ru-RU"/>
              </w:rPr>
              <w:t>0,90</w:t>
            </w:r>
          </w:p>
        </w:tc>
        <w:tc>
          <w:tcPr>
            <w:tcW w:w="969"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color w:val="000000"/>
                <w:sz w:val="24"/>
                <w:szCs w:val="24"/>
                <w:lang w:eastAsia="ru-RU"/>
              </w:rPr>
            </w:pPr>
            <w:r w:rsidRPr="00CD6FE3">
              <w:rPr>
                <w:rFonts w:eastAsia="Times New Roman"/>
                <w:color w:val="000000"/>
                <w:sz w:val="24"/>
                <w:szCs w:val="24"/>
                <w:lang w:eastAsia="ru-RU"/>
              </w:rPr>
              <w:t>0,96</w:t>
            </w:r>
          </w:p>
        </w:tc>
      </w:tr>
      <w:tr w:rsidR="00CD6FE3" w:rsidRPr="00CD6FE3" w:rsidTr="00CD6FE3">
        <w:trPr>
          <w:trHeight w:val="244"/>
        </w:trPr>
        <w:tc>
          <w:tcPr>
            <w:tcW w:w="4536" w:type="dxa"/>
            <w:tcBorders>
              <w:top w:val="single" w:sz="4" w:space="0" w:color="auto"/>
              <w:left w:val="single" w:sz="4" w:space="0" w:color="auto"/>
              <w:bottom w:val="single" w:sz="4" w:space="0" w:color="auto"/>
              <w:right w:val="single" w:sz="4" w:space="0" w:color="auto"/>
            </w:tcBorders>
            <w:vAlign w:val="bottom"/>
          </w:tcPr>
          <w:p w:rsidR="00CD6FE3" w:rsidRPr="00CD6FE3" w:rsidRDefault="00CD6FE3" w:rsidP="00CD6FE3">
            <w:pPr>
              <w:keepNext/>
              <w:jc w:val="left"/>
              <w:rPr>
                <w:rFonts w:eastAsia="Times New Roman"/>
                <w:sz w:val="24"/>
                <w:szCs w:val="24"/>
                <w:lang w:eastAsia="ru-RU"/>
              </w:rPr>
            </w:pPr>
            <w:r w:rsidRPr="00CD6FE3">
              <w:rPr>
                <w:rFonts w:eastAsia="Times New Roman"/>
                <w:sz w:val="24"/>
                <w:szCs w:val="24"/>
                <w:lang w:eastAsia="ru-RU"/>
              </w:rPr>
              <w:t xml:space="preserve">Рівень перинатальної смертності </w:t>
            </w:r>
          </w:p>
        </w:tc>
        <w:tc>
          <w:tcPr>
            <w:tcW w:w="968"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color w:val="000000"/>
                <w:sz w:val="24"/>
                <w:szCs w:val="24"/>
                <w:lang w:eastAsia="ru-RU"/>
              </w:rPr>
            </w:pPr>
            <w:r w:rsidRPr="00CD6FE3">
              <w:rPr>
                <w:rFonts w:eastAsia="Times New Roman"/>
                <w:color w:val="000000"/>
                <w:sz w:val="24"/>
                <w:szCs w:val="24"/>
                <w:lang w:eastAsia="ru-RU"/>
              </w:rPr>
              <w:t>9,34</w:t>
            </w:r>
          </w:p>
        </w:tc>
        <w:tc>
          <w:tcPr>
            <w:tcW w:w="969"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color w:val="000000"/>
                <w:sz w:val="24"/>
                <w:szCs w:val="24"/>
                <w:lang w:eastAsia="ru-RU"/>
              </w:rPr>
            </w:pPr>
            <w:r w:rsidRPr="00CD6FE3">
              <w:rPr>
                <w:rFonts w:eastAsia="Times New Roman"/>
                <w:color w:val="000000"/>
                <w:sz w:val="24"/>
                <w:szCs w:val="24"/>
                <w:lang w:eastAsia="ru-RU"/>
              </w:rPr>
              <w:t>8,52</w:t>
            </w:r>
          </w:p>
        </w:tc>
        <w:tc>
          <w:tcPr>
            <w:tcW w:w="968"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color w:val="000000"/>
                <w:sz w:val="24"/>
                <w:szCs w:val="24"/>
                <w:lang w:eastAsia="ru-RU"/>
              </w:rPr>
            </w:pPr>
            <w:r w:rsidRPr="00CD6FE3">
              <w:rPr>
                <w:rFonts w:eastAsia="Times New Roman"/>
                <w:color w:val="000000"/>
                <w:sz w:val="24"/>
                <w:szCs w:val="24"/>
                <w:lang w:eastAsia="ru-RU"/>
              </w:rPr>
              <w:t>5,00</w:t>
            </w:r>
          </w:p>
        </w:tc>
        <w:tc>
          <w:tcPr>
            <w:tcW w:w="969"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color w:val="000000"/>
                <w:sz w:val="24"/>
                <w:szCs w:val="24"/>
                <w:lang w:eastAsia="ru-RU"/>
              </w:rPr>
            </w:pPr>
            <w:r w:rsidRPr="00CD6FE3">
              <w:rPr>
                <w:rFonts w:eastAsia="Times New Roman"/>
                <w:color w:val="000000"/>
                <w:sz w:val="24"/>
                <w:szCs w:val="24"/>
                <w:lang w:eastAsia="ru-RU"/>
              </w:rPr>
              <w:t>5,61</w:t>
            </w:r>
          </w:p>
        </w:tc>
        <w:tc>
          <w:tcPr>
            <w:tcW w:w="968"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color w:val="000000"/>
                <w:sz w:val="24"/>
                <w:szCs w:val="24"/>
                <w:lang w:eastAsia="ru-RU"/>
              </w:rPr>
            </w:pPr>
            <w:r w:rsidRPr="00CD6FE3">
              <w:rPr>
                <w:rFonts w:eastAsia="Times New Roman"/>
                <w:color w:val="000000"/>
                <w:sz w:val="24"/>
                <w:szCs w:val="24"/>
                <w:lang w:eastAsia="ru-RU"/>
              </w:rPr>
              <w:t>0,83</w:t>
            </w:r>
          </w:p>
        </w:tc>
        <w:tc>
          <w:tcPr>
            <w:tcW w:w="969"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color w:val="000000"/>
                <w:sz w:val="24"/>
                <w:szCs w:val="24"/>
                <w:lang w:eastAsia="ru-RU"/>
              </w:rPr>
            </w:pPr>
            <w:r w:rsidRPr="00CD6FE3">
              <w:rPr>
                <w:rFonts w:eastAsia="Times New Roman"/>
                <w:color w:val="000000"/>
                <w:sz w:val="24"/>
                <w:szCs w:val="24"/>
                <w:lang w:eastAsia="ru-RU"/>
              </w:rPr>
              <w:t>0,94</w:t>
            </w:r>
          </w:p>
        </w:tc>
      </w:tr>
      <w:tr w:rsidR="00CD6FE3" w:rsidRPr="00CD6FE3" w:rsidTr="00CD6FE3">
        <w:trPr>
          <w:trHeight w:val="450"/>
        </w:trPr>
        <w:tc>
          <w:tcPr>
            <w:tcW w:w="4536"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rPr>
                <w:rFonts w:eastAsia="Times New Roman"/>
                <w:sz w:val="24"/>
                <w:szCs w:val="24"/>
                <w:lang w:eastAsia="ru-RU"/>
              </w:rPr>
            </w:pPr>
            <w:r w:rsidRPr="00CD6FE3">
              <w:rPr>
                <w:rFonts w:eastAsia="Times New Roman"/>
                <w:sz w:val="24"/>
                <w:szCs w:val="24"/>
                <w:lang w:eastAsia="ru-RU"/>
              </w:rPr>
              <w:t>Співвідношення реального і фактичного показника ранньої неонатальної смертності</w:t>
            </w:r>
          </w:p>
        </w:tc>
        <w:tc>
          <w:tcPr>
            <w:tcW w:w="968"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sz w:val="24"/>
                <w:szCs w:val="24"/>
                <w:lang w:eastAsia="ru-RU"/>
              </w:rPr>
            </w:pPr>
            <w:r w:rsidRPr="00CD6FE3">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color w:val="000000"/>
                <w:sz w:val="24"/>
                <w:szCs w:val="24"/>
                <w:lang w:eastAsia="ru-RU"/>
              </w:rPr>
            </w:pPr>
            <w:r w:rsidRPr="00CD6FE3">
              <w:rPr>
                <w:rFonts w:eastAsia="Times New Roman"/>
                <w:color w:val="000000"/>
                <w:sz w:val="24"/>
                <w:szCs w:val="24"/>
                <w:lang w:eastAsia="ru-RU"/>
              </w:rPr>
              <w:t>2,91</w:t>
            </w:r>
          </w:p>
        </w:tc>
        <w:tc>
          <w:tcPr>
            <w:tcW w:w="968"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sz w:val="24"/>
                <w:szCs w:val="24"/>
                <w:lang w:eastAsia="ru-RU"/>
              </w:rPr>
            </w:pPr>
            <w:r w:rsidRPr="00CD6FE3">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color w:val="000000"/>
                <w:sz w:val="24"/>
                <w:szCs w:val="24"/>
                <w:lang w:eastAsia="ru-RU"/>
              </w:rPr>
            </w:pPr>
            <w:r w:rsidRPr="00CD6FE3">
              <w:rPr>
                <w:rFonts w:eastAsia="Times New Roman"/>
                <w:color w:val="000000"/>
                <w:sz w:val="24"/>
                <w:szCs w:val="24"/>
                <w:lang w:eastAsia="ru-RU"/>
              </w:rPr>
              <w:t>0,36</w:t>
            </w:r>
          </w:p>
        </w:tc>
        <w:tc>
          <w:tcPr>
            <w:tcW w:w="968"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sz w:val="24"/>
                <w:szCs w:val="24"/>
                <w:lang w:eastAsia="ru-RU"/>
              </w:rPr>
            </w:pPr>
            <w:r w:rsidRPr="00CD6FE3">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color w:val="000000"/>
                <w:sz w:val="24"/>
                <w:szCs w:val="24"/>
                <w:lang w:eastAsia="ru-RU"/>
              </w:rPr>
            </w:pPr>
            <w:r w:rsidRPr="00CD6FE3">
              <w:rPr>
                <w:rFonts w:eastAsia="Times New Roman"/>
                <w:color w:val="000000"/>
                <w:sz w:val="24"/>
                <w:szCs w:val="24"/>
                <w:lang w:eastAsia="ru-RU"/>
              </w:rPr>
              <w:t>0,06</w:t>
            </w:r>
          </w:p>
        </w:tc>
      </w:tr>
      <w:tr w:rsidR="00CD6FE3" w:rsidRPr="00CD6FE3" w:rsidTr="00CD6FE3">
        <w:trPr>
          <w:trHeight w:val="216"/>
        </w:trPr>
        <w:tc>
          <w:tcPr>
            <w:tcW w:w="4536"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rPr>
                <w:rFonts w:eastAsia="Times New Roman"/>
                <w:sz w:val="24"/>
                <w:szCs w:val="24"/>
                <w:lang w:eastAsia="ru-RU"/>
              </w:rPr>
            </w:pPr>
            <w:r w:rsidRPr="00CD6FE3">
              <w:rPr>
                <w:rFonts w:eastAsia="Times New Roman"/>
                <w:sz w:val="24"/>
                <w:szCs w:val="24"/>
                <w:lang w:eastAsia="ru-RU"/>
              </w:rPr>
              <w:t>Рівень неонатальної смертності</w:t>
            </w:r>
          </w:p>
        </w:tc>
        <w:tc>
          <w:tcPr>
            <w:tcW w:w="968"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sz w:val="24"/>
                <w:szCs w:val="24"/>
                <w:lang w:eastAsia="ru-RU"/>
              </w:rPr>
            </w:pPr>
            <w:r w:rsidRPr="00CD6FE3">
              <w:rPr>
                <w:rFonts w:eastAsia="Times New Roman"/>
                <w:sz w:val="24"/>
                <w:szCs w:val="24"/>
                <w:lang w:eastAsia="ru-RU"/>
              </w:rPr>
              <w:t>5,78</w:t>
            </w:r>
          </w:p>
        </w:tc>
        <w:tc>
          <w:tcPr>
            <w:tcW w:w="969"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color w:val="000000"/>
                <w:sz w:val="24"/>
                <w:szCs w:val="24"/>
                <w:lang w:eastAsia="ru-RU"/>
              </w:rPr>
            </w:pPr>
            <w:r w:rsidRPr="00CD6FE3">
              <w:rPr>
                <w:rFonts w:eastAsia="Times New Roman"/>
                <w:color w:val="000000"/>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sz w:val="24"/>
                <w:szCs w:val="24"/>
                <w:lang w:eastAsia="ru-RU"/>
              </w:rPr>
            </w:pPr>
            <w:r w:rsidRPr="00CD6FE3">
              <w:rPr>
                <w:rFonts w:eastAsia="Times New Roman"/>
                <w:sz w:val="24"/>
                <w:szCs w:val="24"/>
                <w:lang w:eastAsia="ru-RU"/>
              </w:rPr>
              <w:t>3,33</w:t>
            </w:r>
          </w:p>
        </w:tc>
        <w:tc>
          <w:tcPr>
            <w:tcW w:w="969"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color w:val="000000"/>
                <w:sz w:val="24"/>
                <w:szCs w:val="24"/>
                <w:lang w:eastAsia="ru-RU"/>
              </w:rPr>
            </w:pPr>
            <w:r w:rsidRPr="00CD6FE3">
              <w:rPr>
                <w:rFonts w:eastAsia="Times New Roman"/>
                <w:color w:val="000000"/>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sz w:val="24"/>
                <w:szCs w:val="24"/>
                <w:lang w:eastAsia="ru-RU"/>
              </w:rPr>
            </w:pPr>
            <w:r w:rsidRPr="00CD6FE3">
              <w:rPr>
                <w:rFonts w:eastAsia="Times New Roman"/>
                <w:sz w:val="24"/>
                <w:szCs w:val="24"/>
                <w:lang w:eastAsia="ru-RU"/>
              </w:rPr>
              <w:t>0,56</w:t>
            </w:r>
          </w:p>
        </w:tc>
        <w:tc>
          <w:tcPr>
            <w:tcW w:w="969"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color w:val="000000"/>
                <w:sz w:val="24"/>
                <w:szCs w:val="24"/>
                <w:lang w:eastAsia="ru-RU"/>
              </w:rPr>
            </w:pPr>
            <w:r w:rsidRPr="00CD6FE3">
              <w:rPr>
                <w:rFonts w:eastAsia="Times New Roman"/>
                <w:color w:val="000000"/>
                <w:sz w:val="24"/>
                <w:szCs w:val="24"/>
                <w:lang w:eastAsia="ru-RU"/>
              </w:rPr>
              <w:t>**</w:t>
            </w:r>
          </w:p>
        </w:tc>
      </w:tr>
      <w:tr w:rsidR="00CD6FE3" w:rsidRPr="00CD6FE3" w:rsidTr="00CD6FE3">
        <w:trPr>
          <w:trHeight w:val="378"/>
        </w:trPr>
        <w:tc>
          <w:tcPr>
            <w:tcW w:w="4536"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left"/>
              <w:rPr>
                <w:rFonts w:eastAsia="Times New Roman"/>
                <w:sz w:val="24"/>
                <w:szCs w:val="24"/>
                <w:lang w:eastAsia="ru-RU"/>
              </w:rPr>
            </w:pPr>
            <w:r w:rsidRPr="00CD6FE3">
              <w:rPr>
                <w:rFonts w:eastAsia="Times New Roman"/>
                <w:sz w:val="24"/>
                <w:szCs w:val="24"/>
                <w:lang w:eastAsia="ru-RU"/>
              </w:rPr>
              <w:t xml:space="preserve">Рівень ранньої неонатальної смертності </w:t>
            </w:r>
          </w:p>
        </w:tc>
        <w:tc>
          <w:tcPr>
            <w:tcW w:w="968"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sz w:val="24"/>
                <w:szCs w:val="24"/>
                <w:lang w:eastAsia="ru-RU"/>
              </w:rPr>
            </w:pPr>
            <w:r w:rsidRPr="00CD6FE3">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color w:val="000000"/>
                <w:sz w:val="24"/>
                <w:szCs w:val="24"/>
                <w:lang w:eastAsia="ru-RU"/>
              </w:rPr>
            </w:pPr>
            <w:r w:rsidRPr="00CD6FE3">
              <w:rPr>
                <w:rFonts w:eastAsia="Times New Roman"/>
                <w:color w:val="000000"/>
                <w:sz w:val="24"/>
                <w:szCs w:val="24"/>
                <w:lang w:eastAsia="ru-RU"/>
              </w:rPr>
              <w:t>2,91</w:t>
            </w:r>
          </w:p>
        </w:tc>
        <w:tc>
          <w:tcPr>
            <w:tcW w:w="968"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sz w:val="24"/>
                <w:szCs w:val="24"/>
                <w:lang w:eastAsia="ru-RU"/>
              </w:rPr>
            </w:pPr>
            <w:r w:rsidRPr="00CD6FE3">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color w:val="000000"/>
                <w:sz w:val="24"/>
                <w:szCs w:val="24"/>
                <w:lang w:eastAsia="ru-RU"/>
              </w:rPr>
            </w:pPr>
            <w:r w:rsidRPr="00CD6FE3">
              <w:rPr>
                <w:rFonts w:eastAsia="Times New Roman"/>
                <w:color w:val="000000"/>
                <w:sz w:val="24"/>
                <w:szCs w:val="24"/>
                <w:lang w:eastAsia="ru-RU"/>
              </w:rPr>
              <w:t>5,54</w:t>
            </w:r>
          </w:p>
        </w:tc>
        <w:tc>
          <w:tcPr>
            <w:tcW w:w="968"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sz w:val="24"/>
                <w:szCs w:val="24"/>
                <w:lang w:eastAsia="ru-RU"/>
              </w:rPr>
            </w:pPr>
            <w:r w:rsidRPr="00CD6FE3">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color w:val="000000"/>
                <w:sz w:val="24"/>
                <w:szCs w:val="24"/>
                <w:lang w:eastAsia="ru-RU"/>
              </w:rPr>
            </w:pPr>
            <w:r w:rsidRPr="00CD6FE3">
              <w:rPr>
                <w:rFonts w:eastAsia="Times New Roman"/>
                <w:color w:val="000000"/>
                <w:sz w:val="24"/>
                <w:szCs w:val="24"/>
                <w:lang w:eastAsia="ru-RU"/>
              </w:rPr>
              <w:t>0,92</w:t>
            </w:r>
          </w:p>
        </w:tc>
      </w:tr>
      <w:tr w:rsidR="00CD6FE3" w:rsidRPr="00CD6FE3" w:rsidTr="00CD6FE3">
        <w:trPr>
          <w:trHeight w:val="284"/>
        </w:trPr>
        <w:tc>
          <w:tcPr>
            <w:tcW w:w="4536" w:type="dxa"/>
            <w:tcBorders>
              <w:top w:val="single" w:sz="4" w:space="0" w:color="auto"/>
              <w:left w:val="single" w:sz="4" w:space="0" w:color="auto"/>
              <w:bottom w:val="single" w:sz="4" w:space="0" w:color="auto"/>
              <w:right w:val="single" w:sz="4" w:space="0" w:color="auto"/>
            </w:tcBorders>
            <w:vAlign w:val="bottom"/>
          </w:tcPr>
          <w:p w:rsidR="00CD6FE3" w:rsidRPr="00CD6FE3" w:rsidRDefault="00CD6FE3" w:rsidP="00CD6FE3">
            <w:pPr>
              <w:keepNext/>
              <w:jc w:val="left"/>
              <w:rPr>
                <w:rFonts w:eastAsia="Times New Roman"/>
                <w:sz w:val="24"/>
                <w:szCs w:val="24"/>
                <w:lang w:eastAsia="ru-RU"/>
              </w:rPr>
            </w:pPr>
            <w:r w:rsidRPr="00CD6FE3">
              <w:rPr>
                <w:rFonts w:eastAsia="Times New Roman"/>
                <w:sz w:val="24"/>
                <w:szCs w:val="24"/>
                <w:lang w:eastAsia="ru-RU"/>
              </w:rPr>
              <w:t xml:space="preserve">Рівень материнської смертності </w:t>
            </w:r>
          </w:p>
        </w:tc>
        <w:tc>
          <w:tcPr>
            <w:tcW w:w="968"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sz w:val="24"/>
                <w:szCs w:val="24"/>
                <w:lang w:eastAsia="ru-RU"/>
              </w:rPr>
            </w:pPr>
            <w:r w:rsidRPr="00CD6FE3">
              <w:rPr>
                <w:rFonts w:eastAsia="Times New Roman"/>
                <w:sz w:val="24"/>
                <w:szCs w:val="24"/>
                <w:lang w:eastAsia="ru-RU"/>
              </w:rPr>
              <w:t>13,9</w:t>
            </w:r>
          </w:p>
        </w:tc>
        <w:tc>
          <w:tcPr>
            <w:tcW w:w="969"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color w:val="000000"/>
                <w:sz w:val="24"/>
                <w:szCs w:val="24"/>
                <w:lang w:eastAsia="ru-RU"/>
              </w:rPr>
            </w:pPr>
            <w:r w:rsidRPr="00CD6FE3">
              <w:rPr>
                <w:rFonts w:eastAsia="Times New Roman"/>
                <w:color w:val="000000"/>
                <w:sz w:val="24"/>
                <w:szCs w:val="24"/>
                <w:lang w:eastAsia="ru-RU"/>
              </w:rPr>
              <w:t>22,4</w:t>
            </w:r>
          </w:p>
        </w:tc>
        <w:tc>
          <w:tcPr>
            <w:tcW w:w="968"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sz w:val="24"/>
                <w:szCs w:val="24"/>
                <w:lang w:eastAsia="ru-RU"/>
              </w:rPr>
            </w:pPr>
            <w:r w:rsidRPr="00CD6FE3">
              <w:rPr>
                <w:rFonts w:eastAsia="Times New Roman"/>
                <w:sz w:val="24"/>
                <w:szCs w:val="24"/>
                <w:lang w:eastAsia="ru-RU"/>
              </w:rPr>
              <w:t>3,68</w:t>
            </w:r>
          </w:p>
        </w:tc>
        <w:tc>
          <w:tcPr>
            <w:tcW w:w="969"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color w:val="000000"/>
                <w:sz w:val="24"/>
                <w:szCs w:val="24"/>
                <w:lang w:eastAsia="ru-RU"/>
              </w:rPr>
            </w:pPr>
            <w:r w:rsidRPr="00CD6FE3">
              <w:rPr>
                <w:rFonts w:eastAsia="Times New Roman"/>
                <w:color w:val="000000"/>
                <w:sz w:val="24"/>
                <w:szCs w:val="24"/>
                <w:lang w:eastAsia="ru-RU"/>
              </w:rPr>
              <w:t>0,0</w:t>
            </w:r>
          </w:p>
        </w:tc>
        <w:tc>
          <w:tcPr>
            <w:tcW w:w="968"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sz w:val="24"/>
                <w:szCs w:val="24"/>
                <w:lang w:eastAsia="ru-RU"/>
              </w:rPr>
            </w:pPr>
            <w:r w:rsidRPr="00CD6FE3">
              <w:rPr>
                <w:rFonts w:eastAsia="Times New Roman"/>
                <w:sz w:val="24"/>
                <w:szCs w:val="24"/>
                <w:lang w:eastAsia="ru-RU"/>
              </w:rPr>
              <w:t>0,74</w:t>
            </w:r>
          </w:p>
        </w:tc>
        <w:tc>
          <w:tcPr>
            <w:tcW w:w="969"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color w:val="000000"/>
                <w:sz w:val="24"/>
                <w:szCs w:val="24"/>
                <w:lang w:eastAsia="ru-RU"/>
              </w:rPr>
            </w:pPr>
            <w:r w:rsidRPr="00CD6FE3">
              <w:rPr>
                <w:rFonts w:eastAsia="Times New Roman"/>
                <w:color w:val="000000"/>
                <w:sz w:val="24"/>
                <w:szCs w:val="24"/>
                <w:lang w:eastAsia="ru-RU"/>
              </w:rPr>
              <w:t>0,00</w:t>
            </w:r>
          </w:p>
        </w:tc>
      </w:tr>
      <w:tr w:rsidR="00CD6FE3" w:rsidRPr="00CD6FE3" w:rsidTr="00CD6FE3">
        <w:trPr>
          <w:trHeight w:val="300"/>
        </w:trPr>
        <w:tc>
          <w:tcPr>
            <w:tcW w:w="4536" w:type="dxa"/>
            <w:tcBorders>
              <w:top w:val="single" w:sz="4" w:space="0" w:color="auto"/>
              <w:left w:val="single" w:sz="4" w:space="0" w:color="auto"/>
              <w:bottom w:val="single" w:sz="4" w:space="0" w:color="auto"/>
              <w:right w:val="single" w:sz="4" w:space="0" w:color="auto"/>
            </w:tcBorders>
            <w:noWrap/>
            <w:vAlign w:val="bottom"/>
            <w:hideMark/>
          </w:tcPr>
          <w:p w:rsidR="00CD6FE3" w:rsidRPr="00CD6FE3" w:rsidRDefault="00CD6FE3" w:rsidP="00CD6FE3">
            <w:pPr>
              <w:keepNext/>
              <w:jc w:val="left"/>
              <w:rPr>
                <w:rFonts w:eastAsia="Times New Roman"/>
                <w:sz w:val="24"/>
                <w:szCs w:val="24"/>
                <w:lang w:eastAsia="ru-RU"/>
              </w:rPr>
            </w:pPr>
          </w:p>
        </w:tc>
        <w:tc>
          <w:tcPr>
            <w:tcW w:w="968" w:type="dxa"/>
            <w:tcBorders>
              <w:top w:val="single" w:sz="4" w:space="0" w:color="auto"/>
              <w:left w:val="single" w:sz="4" w:space="0" w:color="auto"/>
              <w:bottom w:val="single" w:sz="4" w:space="0" w:color="auto"/>
              <w:right w:val="single" w:sz="4" w:space="0" w:color="auto"/>
            </w:tcBorders>
            <w:noWrap/>
            <w:vAlign w:val="center"/>
          </w:tcPr>
          <w:p w:rsidR="00CD6FE3" w:rsidRPr="00CD6FE3" w:rsidRDefault="00CD6FE3" w:rsidP="00CD6FE3">
            <w:pPr>
              <w:keepNext/>
              <w:jc w:val="center"/>
              <w:rPr>
                <w:rFonts w:eastAsia="Times New Roman"/>
                <w:sz w:val="24"/>
                <w:szCs w:val="24"/>
                <w:lang w:eastAsia="ru-RU"/>
              </w:rPr>
            </w:pPr>
          </w:p>
        </w:tc>
        <w:tc>
          <w:tcPr>
            <w:tcW w:w="969"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color w:val="000000"/>
                <w:sz w:val="24"/>
                <w:szCs w:val="24"/>
                <w:lang w:eastAsia="ru-RU"/>
              </w:rPr>
            </w:pPr>
          </w:p>
        </w:tc>
        <w:tc>
          <w:tcPr>
            <w:tcW w:w="968" w:type="dxa"/>
            <w:tcBorders>
              <w:top w:val="single" w:sz="4" w:space="0" w:color="auto"/>
              <w:left w:val="single" w:sz="4" w:space="0" w:color="auto"/>
              <w:bottom w:val="single" w:sz="4" w:space="0" w:color="auto"/>
              <w:right w:val="single" w:sz="4" w:space="0" w:color="auto"/>
            </w:tcBorders>
            <w:noWrap/>
            <w:vAlign w:val="center"/>
          </w:tcPr>
          <w:p w:rsidR="00CD6FE3" w:rsidRPr="00CD6FE3" w:rsidRDefault="00CD6FE3" w:rsidP="00CD6FE3">
            <w:pPr>
              <w:keepNext/>
              <w:jc w:val="center"/>
              <w:rPr>
                <w:rFonts w:eastAsia="Times New Roman"/>
                <w:color w:val="000000"/>
                <w:sz w:val="24"/>
                <w:szCs w:val="24"/>
                <w:lang w:eastAsia="ru-RU"/>
              </w:rPr>
            </w:pPr>
            <w:r w:rsidRPr="00CD6FE3">
              <w:rPr>
                <w:rFonts w:eastAsia="Times New Roman"/>
                <w:color w:val="000000"/>
                <w:sz w:val="24"/>
                <w:szCs w:val="24"/>
                <w:lang w:eastAsia="ru-RU"/>
              </w:rPr>
              <w:t>86,57</w:t>
            </w:r>
          </w:p>
        </w:tc>
        <w:tc>
          <w:tcPr>
            <w:tcW w:w="969"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color w:val="000000"/>
                <w:sz w:val="24"/>
                <w:szCs w:val="24"/>
                <w:lang w:eastAsia="ru-RU"/>
              </w:rPr>
            </w:pPr>
            <w:r w:rsidRPr="00CD6FE3">
              <w:rPr>
                <w:rFonts w:eastAsia="Times New Roman"/>
                <w:color w:val="000000"/>
                <w:sz w:val="24"/>
                <w:szCs w:val="24"/>
                <w:lang w:eastAsia="ru-RU"/>
              </w:rPr>
              <w:t>102,5</w:t>
            </w:r>
          </w:p>
        </w:tc>
        <w:tc>
          <w:tcPr>
            <w:tcW w:w="968" w:type="dxa"/>
            <w:tcBorders>
              <w:top w:val="single" w:sz="4" w:space="0" w:color="auto"/>
              <w:left w:val="single" w:sz="4" w:space="0" w:color="auto"/>
              <w:bottom w:val="single" w:sz="4" w:space="0" w:color="auto"/>
              <w:right w:val="single" w:sz="4" w:space="0" w:color="auto"/>
            </w:tcBorders>
            <w:noWrap/>
            <w:vAlign w:val="center"/>
          </w:tcPr>
          <w:p w:rsidR="00CD6FE3" w:rsidRPr="00CD6FE3" w:rsidRDefault="00CD6FE3" w:rsidP="00CD6FE3">
            <w:pPr>
              <w:keepNext/>
              <w:jc w:val="center"/>
              <w:rPr>
                <w:rFonts w:eastAsia="Times New Roman"/>
                <w:color w:val="000000"/>
                <w:sz w:val="24"/>
                <w:szCs w:val="24"/>
                <w:lang w:eastAsia="ru-RU"/>
              </w:rPr>
            </w:pPr>
            <w:r w:rsidRPr="00CD6FE3">
              <w:rPr>
                <w:rFonts w:eastAsia="Times New Roman"/>
                <w:color w:val="000000"/>
                <w:sz w:val="24"/>
                <w:szCs w:val="24"/>
                <w:lang w:eastAsia="ru-RU"/>
              </w:rPr>
              <w:t>0,72</w:t>
            </w:r>
          </w:p>
        </w:tc>
        <w:tc>
          <w:tcPr>
            <w:tcW w:w="969" w:type="dxa"/>
            <w:tcBorders>
              <w:top w:val="single" w:sz="4" w:space="0" w:color="auto"/>
              <w:left w:val="single" w:sz="4" w:space="0" w:color="auto"/>
              <w:bottom w:val="single" w:sz="4" w:space="0" w:color="auto"/>
              <w:right w:val="single" w:sz="4" w:space="0" w:color="auto"/>
            </w:tcBorders>
            <w:vAlign w:val="center"/>
          </w:tcPr>
          <w:p w:rsidR="00CD6FE3" w:rsidRPr="00CD6FE3" w:rsidRDefault="00CD6FE3" w:rsidP="00CD6FE3">
            <w:pPr>
              <w:keepNext/>
              <w:jc w:val="center"/>
              <w:rPr>
                <w:rFonts w:eastAsia="Times New Roman"/>
                <w:color w:val="000000"/>
                <w:sz w:val="24"/>
                <w:szCs w:val="24"/>
                <w:lang w:eastAsia="ru-RU"/>
              </w:rPr>
            </w:pPr>
            <w:r w:rsidRPr="00CD6FE3">
              <w:rPr>
                <w:rFonts w:eastAsia="Times New Roman"/>
                <w:color w:val="000000"/>
                <w:sz w:val="24"/>
                <w:szCs w:val="24"/>
                <w:lang w:eastAsia="ru-RU"/>
              </w:rPr>
              <w:t>0,79</w:t>
            </w:r>
          </w:p>
        </w:tc>
      </w:tr>
    </w:tbl>
    <w:p w:rsidR="00C51ECA" w:rsidRDefault="00CD6FE3" w:rsidP="002F6C4B">
      <w:pPr>
        <w:jc w:val="right"/>
        <w:rPr>
          <w:i/>
          <w:lang w:val="ru-RU"/>
        </w:rPr>
      </w:pPr>
      <w:r w:rsidRPr="00CD6FE3">
        <w:rPr>
          <w:i/>
          <w:lang w:val="ru-RU"/>
        </w:rPr>
        <w:t>Продовження додаток Е-19</w:t>
      </w:r>
    </w:p>
    <w:p w:rsidR="00C51ECA" w:rsidRPr="004B24A2" w:rsidRDefault="00C51ECA" w:rsidP="00C51ECA">
      <w:pPr>
        <w:rPr>
          <w:i/>
          <w:sz w:val="20"/>
          <w:szCs w:val="20"/>
        </w:rPr>
      </w:pPr>
      <w:r w:rsidRPr="004B24A2">
        <w:rPr>
          <w:i/>
          <w:sz w:val="20"/>
          <w:szCs w:val="20"/>
        </w:rPr>
        <w:t>Для таблиць : * – показник не оцінювався</w:t>
      </w:r>
      <w:r w:rsidRPr="004B24A2">
        <w:rPr>
          <w:i/>
          <w:sz w:val="20"/>
          <w:szCs w:val="20"/>
          <w:lang w:val="ru-RU"/>
        </w:rPr>
        <w:t xml:space="preserve">  </w:t>
      </w:r>
      <w:r w:rsidRPr="004B24A2">
        <w:rPr>
          <w:i/>
          <w:sz w:val="20"/>
          <w:szCs w:val="20"/>
        </w:rPr>
        <w:t>** – немає даних</w:t>
      </w:r>
    </w:p>
    <w:p w:rsidR="00C51ECA" w:rsidRPr="00C51ECA" w:rsidRDefault="00C51ECA" w:rsidP="00C51ECA"/>
    <w:p w:rsidR="00C51ECA" w:rsidRPr="00C51ECA" w:rsidRDefault="00C51ECA" w:rsidP="00C51ECA">
      <w:pPr>
        <w:rPr>
          <w:lang w:val="ru-RU"/>
        </w:rPr>
      </w:pPr>
    </w:p>
    <w:p w:rsidR="00C51ECA" w:rsidRPr="00C51ECA" w:rsidRDefault="00C51ECA" w:rsidP="00C51ECA">
      <w:pPr>
        <w:rPr>
          <w:lang w:val="ru-RU"/>
        </w:rPr>
      </w:pPr>
    </w:p>
    <w:p w:rsidR="00C51ECA" w:rsidRPr="00C51ECA" w:rsidRDefault="00C51ECA" w:rsidP="00C51ECA">
      <w:pPr>
        <w:rPr>
          <w:lang w:val="ru-RU"/>
        </w:rPr>
      </w:pPr>
    </w:p>
    <w:p w:rsidR="00C51ECA" w:rsidRPr="00C51ECA" w:rsidRDefault="00C51ECA" w:rsidP="00C51ECA">
      <w:pPr>
        <w:rPr>
          <w:lang w:val="ru-RU"/>
        </w:rPr>
      </w:pPr>
    </w:p>
    <w:p w:rsidR="00C51ECA" w:rsidRPr="00C51ECA" w:rsidRDefault="00C51ECA" w:rsidP="00C51ECA">
      <w:pPr>
        <w:rPr>
          <w:lang w:val="ru-RU"/>
        </w:rPr>
      </w:pPr>
    </w:p>
    <w:p w:rsidR="00983FA2" w:rsidRPr="00C51ECA" w:rsidRDefault="00983FA2" w:rsidP="00C51ECA">
      <w:pPr>
        <w:rPr>
          <w:lang w:val="ru-RU"/>
        </w:rPr>
      </w:pPr>
    </w:p>
    <w:p w:rsidR="00C43972" w:rsidRPr="00412933" w:rsidRDefault="005217B7" w:rsidP="00362A09">
      <w:pPr>
        <w:keepNext/>
        <w:pageBreakBefore/>
        <w:jc w:val="right"/>
        <w:rPr>
          <w:rFonts w:eastAsia="Times New Roman"/>
          <w:bCs/>
          <w:iCs/>
          <w:color w:val="000000"/>
          <w:szCs w:val="28"/>
          <w:lang w:eastAsia="uk-UA"/>
        </w:rPr>
      </w:pPr>
      <w:r w:rsidRPr="00412933">
        <w:rPr>
          <w:rFonts w:eastAsia="Times New Roman"/>
          <w:bCs/>
          <w:iCs/>
          <w:color w:val="000000"/>
          <w:szCs w:val="28"/>
          <w:lang w:eastAsia="uk-UA"/>
        </w:rPr>
        <w:lastRenderedPageBreak/>
        <w:t>Додаток Е</w:t>
      </w:r>
      <w:r w:rsidR="00C43972" w:rsidRPr="00412933">
        <w:rPr>
          <w:rFonts w:eastAsia="Times New Roman"/>
          <w:bCs/>
          <w:iCs/>
          <w:color w:val="000000"/>
          <w:szCs w:val="28"/>
          <w:lang w:eastAsia="uk-UA"/>
        </w:rPr>
        <w:t>-20</w:t>
      </w:r>
    </w:p>
    <w:p w:rsidR="00C43972" w:rsidRPr="00412933" w:rsidRDefault="00C43972" w:rsidP="00412933">
      <w:pPr>
        <w:keepNext/>
        <w:jc w:val="center"/>
        <w:rPr>
          <w:rFonts w:eastAsia="Times New Roman"/>
          <w:b/>
          <w:sz w:val="24"/>
          <w:szCs w:val="24"/>
          <w:lang w:eastAsia="ru-RU"/>
        </w:rPr>
      </w:pPr>
      <w:r w:rsidRPr="00412933">
        <w:rPr>
          <w:rFonts w:eastAsia="Times New Roman"/>
          <w:b/>
          <w:bCs/>
          <w:iCs/>
          <w:color w:val="000000"/>
          <w:szCs w:val="28"/>
          <w:lang w:eastAsia="uk-UA"/>
        </w:rPr>
        <w:t xml:space="preserve">Комплексна оцінка діяльності закладів перинатальної допомоги Сумської </w:t>
      </w:r>
      <w:r w:rsidRPr="00412933">
        <w:rPr>
          <w:rFonts w:eastAsia="Times New Roman"/>
          <w:b/>
          <w:bCs/>
          <w:iCs/>
          <w:color w:val="000000"/>
          <w:sz w:val="26"/>
          <w:szCs w:val="26"/>
          <w:lang w:eastAsia="uk-UA"/>
        </w:rPr>
        <w:t xml:space="preserve">області у </w:t>
      </w:r>
      <w:r w:rsidRPr="00412933">
        <w:rPr>
          <w:rFonts w:eastAsia="Times New Roman"/>
          <w:b/>
          <w:bCs/>
          <w:iCs/>
          <w:color w:val="000000"/>
          <w:szCs w:val="28"/>
          <w:lang w:eastAsia="uk-UA"/>
        </w:rPr>
        <w:t>2017–2018 рр.</w:t>
      </w:r>
    </w:p>
    <w:tbl>
      <w:tblPr>
        <w:tblW w:w="10347" w:type="dxa"/>
        <w:jc w:val="center"/>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36"/>
        <w:gridCol w:w="968"/>
        <w:gridCol w:w="969"/>
        <w:gridCol w:w="968"/>
        <w:gridCol w:w="969"/>
        <w:gridCol w:w="968"/>
        <w:gridCol w:w="969"/>
      </w:tblGrid>
      <w:tr w:rsidR="00333585" w:rsidRPr="00333585" w:rsidTr="00333585">
        <w:trPr>
          <w:cantSplit/>
          <w:trHeight w:val="652"/>
          <w:jc w:val="center"/>
        </w:trPr>
        <w:tc>
          <w:tcPr>
            <w:tcW w:w="4536" w:type="dxa"/>
            <w:vMerge w:val="restart"/>
            <w:tcBorders>
              <w:top w:val="single" w:sz="4" w:space="0" w:color="auto"/>
              <w:left w:val="single" w:sz="4" w:space="0" w:color="auto"/>
              <w:right w:val="single" w:sz="4" w:space="0" w:color="auto"/>
            </w:tcBorders>
            <w:vAlign w:val="center"/>
            <w:hideMark/>
          </w:tcPr>
          <w:p w:rsidR="00333585" w:rsidRPr="00333585" w:rsidRDefault="00333585" w:rsidP="00333585">
            <w:pPr>
              <w:keepNext/>
              <w:jc w:val="center"/>
              <w:rPr>
                <w:rFonts w:eastAsia="Times New Roman"/>
                <w:color w:val="000000"/>
                <w:sz w:val="24"/>
                <w:szCs w:val="24"/>
                <w:lang w:eastAsia="uk-UA"/>
              </w:rPr>
            </w:pPr>
            <w:r w:rsidRPr="00333585">
              <w:rPr>
                <w:rFonts w:eastAsia="Times New Roman"/>
                <w:color w:val="000000"/>
                <w:sz w:val="24"/>
                <w:szCs w:val="24"/>
                <w:lang w:eastAsia="uk-UA"/>
              </w:rPr>
              <w:t>Індикатор якості</w:t>
            </w:r>
          </w:p>
        </w:tc>
        <w:tc>
          <w:tcPr>
            <w:tcW w:w="1937" w:type="dxa"/>
            <w:gridSpan w:val="2"/>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color w:val="000000"/>
                <w:sz w:val="24"/>
                <w:szCs w:val="24"/>
                <w:lang w:eastAsia="uk-UA"/>
              </w:rPr>
            </w:pPr>
            <w:r w:rsidRPr="00333585">
              <w:rPr>
                <w:rFonts w:eastAsia="Times New Roman"/>
                <w:color w:val="000000"/>
                <w:sz w:val="24"/>
                <w:szCs w:val="24"/>
                <w:lang w:eastAsia="uk-UA"/>
              </w:rPr>
              <w:t xml:space="preserve">Фактичний показник, </w:t>
            </w:r>
            <w:r w:rsidRPr="00333585">
              <w:rPr>
                <w:rFonts w:eastAsia="Times New Roman"/>
                <w:sz w:val="24"/>
                <w:szCs w:val="24"/>
                <w:lang w:eastAsia="uk-UA"/>
              </w:rPr>
              <w:t>Україна</w:t>
            </w:r>
          </w:p>
        </w:tc>
        <w:tc>
          <w:tcPr>
            <w:tcW w:w="1937" w:type="dxa"/>
            <w:gridSpan w:val="2"/>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color w:val="000000"/>
                <w:sz w:val="24"/>
                <w:szCs w:val="24"/>
                <w:lang w:eastAsia="uk-UA"/>
              </w:rPr>
            </w:pPr>
            <w:r w:rsidRPr="00333585">
              <w:rPr>
                <w:rFonts w:eastAsia="Times New Roman"/>
                <w:color w:val="000000"/>
                <w:sz w:val="24"/>
                <w:szCs w:val="24"/>
                <w:lang w:eastAsia="uk-UA"/>
              </w:rPr>
              <w:t>Бальна оцінка фактичного показника</w:t>
            </w:r>
          </w:p>
        </w:tc>
        <w:tc>
          <w:tcPr>
            <w:tcW w:w="1937" w:type="dxa"/>
            <w:gridSpan w:val="2"/>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color w:val="000000"/>
                <w:sz w:val="24"/>
                <w:szCs w:val="24"/>
                <w:lang w:eastAsia="uk-UA"/>
              </w:rPr>
            </w:pPr>
            <w:r w:rsidRPr="00333585">
              <w:rPr>
                <w:rFonts w:eastAsia="Times New Roman"/>
                <w:color w:val="000000"/>
                <w:sz w:val="24"/>
                <w:szCs w:val="24"/>
                <w:lang w:eastAsia="uk-UA"/>
              </w:rPr>
              <w:t>КДНЗ</w:t>
            </w:r>
          </w:p>
        </w:tc>
      </w:tr>
      <w:tr w:rsidR="00333585" w:rsidRPr="00333585" w:rsidTr="00333585">
        <w:trPr>
          <w:trHeight w:val="404"/>
          <w:jc w:val="center"/>
        </w:trPr>
        <w:tc>
          <w:tcPr>
            <w:tcW w:w="4536" w:type="dxa"/>
            <w:vMerge/>
            <w:tcBorders>
              <w:left w:val="single" w:sz="4" w:space="0" w:color="auto"/>
              <w:bottom w:val="single" w:sz="4" w:space="0" w:color="auto"/>
              <w:right w:val="single" w:sz="4" w:space="0" w:color="auto"/>
            </w:tcBorders>
            <w:vAlign w:val="bottom"/>
          </w:tcPr>
          <w:p w:rsidR="00333585" w:rsidRPr="00333585" w:rsidRDefault="00333585" w:rsidP="00333585">
            <w:pPr>
              <w:keepNext/>
              <w:jc w:val="left"/>
              <w:rPr>
                <w:rFonts w:eastAsia="Times New Roman"/>
                <w:sz w:val="24"/>
                <w:szCs w:val="24"/>
                <w:lang w:eastAsia="ru-RU"/>
              </w:rPr>
            </w:pP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2017 р.</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color w:val="000000"/>
                <w:sz w:val="24"/>
                <w:szCs w:val="24"/>
                <w:lang w:eastAsia="ru-RU"/>
              </w:rPr>
            </w:pPr>
            <w:r w:rsidRPr="00333585">
              <w:rPr>
                <w:rFonts w:eastAsia="Times New Roman"/>
                <w:color w:val="000000"/>
                <w:sz w:val="24"/>
                <w:szCs w:val="24"/>
                <w:lang w:eastAsia="ru-RU"/>
              </w:rPr>
              <w:t>2018 р.</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2017 р.</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2017 р.</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color w:val="000000"/>
                <w:sz w:val="24"/>
                <w:szCs w:val="24"/>
                <w:lang w:eastAsia="ru-RU"/>
              </w:rPr>
            </w:pPr>
            <w:r w:rsidRPr="00333585">
              <w:rPr>
                <w:rFonts w:eastAsia="Times New Roman"/>
                <w:color w:val="000000"/>
                <w:sz w:val="24"/>
                <w:szCs w:val="24"/>
                <w:lang w:eastAsia="ru-RU"/>
              </w:rPr>
              <w:t>2018 р.</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2017 р.</w:t>
            </w:r>
          </w:p>
        </w:tc>
      </w:tr>
      <w:tr w:rsidR="00333585" w:rsidRPr="00333585" w:rsidTr="00333585">
        <w:trPr>
          <w:trHeight w:val="404"/>
          <w:jc w:val="center"/>
        </w:trPr>
        <w:tc>
          <w:tcPr>
            <w:tcW w:w="4536"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left"/>
              <w:rPr>
                <w:rFonts w:eastAsia="Times New Roman"/>
                <w:sz w:val="24"/>
                <w:szCs w:val="24"/>
                <w:lang w:eastAsia="ru-RU"/>
              </w:rPr>
            </w:pPr>
            <w:r w:rsidRPr="00333585">
              <w:rPr>
                <w:rFonts w:eastAsia="Times New Roman"/>
                <w:sz w:val="24"/>
                <w:szCs w:val="24"/>
                <w:lang w:eastAsia="ru-RU"/>
              </w:rPr>
              <w:t>Забезпеченість  лікарями акушер-гінекологами</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4,08</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4,19</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4,45</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4,57</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0,74</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0,76</w:t>
            </w:r>
          </w:p>
        </w:tc>
      </w:tr>
      <w:tr w:rsidR="00333585" w:rsidRPr="00333585" w:rsidTr="00333585">
        <w:trPr>
          <w:trHeight w:val="404"/>
          <w:jc w:val="center"/>
        </w:trPr>
        <w:tc>
          <w:tcPr>
            <w:tcW w:w="4536" w:type="dxa"/>
            <w:tcBorders>
              <w:top w:val="single" w:sz="4" w:space="0" w:color="auto"/>
              <w:left w:val="single" w:sz="4" w:space="0" w:color="auto"/>
              <w:bottom w:val="single" w:sz="4" w:space="0" w:color="auto"/>
              <w:right w:val="single" w:sz="4" w:space="0" w:color="auto"/>
            </w:tcBorders>
            <w:vAlign w:val="bottom"/>
          </w:tcPr>
          <w:p w:rsidR="00333585" w:rsidRPr="00333585" w:rsidRDefault="00333585" w:rsidP="00333585">
            <w:pPr>
              <w:keepNext/>
              <w:jc w:val="left"/>
              <w:rPr>
                <w:rFonts w:eastAsia="Times New Roman"/>
                <w:sz w:val="24"/>
                <w:szCs w:val="24"/>
                <w:lang w:eastAsia="ru-RU"/>
              </w:rPr>
            </w:pPr>
            <w:r w:rsidRPr="00333585">
              <w:rPr>
                <w:rFonts w:eastAsia="Times New Roman"/>
                <w:sz w:val="24"/>
                <w:szCs w:val="24"/>
                <w:lang w:eastAsia="ru-RU"/>
              </w:rPr>
              <w:t>Забезпеченість  лікарями  педіатрами-неонатологами</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5,77</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6,05</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6,0</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6,0</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1,00</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1,00</w:t>
            </w:r>
          </w:p>
        </w:tc>
      </w:tr>
      <w:tr w:rsidR="00333585" w:rsidRPr="00333585" w:rsidTr="00333585">
        <w:trPr>
          <w:trHeight w:val="404"/>
          <w:jc w:val="center"/>
        </w:trPr>
        <w:tc>
          <w:tcPr>
            <w:tcW w:w="4536" w:type="dxa"/>
            <w:tcBorders>
              <w:top w:val="single" w:sz="4" w:space="0" w:color="auto"/>
              <w:left w:val="single" w:sz="4" w:space="0" w:color="auto"/>
              <w:bottom w:val="single" w:sz="4" w:space="0" w:color="auto"/>
              <w:right w:val="single" w:sz="4" w:space="0" w:color="auto"/>
            </w:tcBorders>
            <w:vAlign w:val="bottom"/>
          </w:tcPr>
          <w:p w:rsidR="00333585" w:rsidRPr="00333585" w:rsidRDefault="00333585" w:rsidP="00333585">
            <w:pPr>
              <w:keepNext/>
              <w:jc w:val="left"/>
              <w:rPr>
                <w:rFonts w:eastAsia="Times New Roman"/>
                <w:sz w:val="24"/>
                <w:szCs w:val="24"/>
                <w:lang w:eastAsia="ru-RU"/>
              </w:rPr>
            </w:pPr>
            <w:r w:rsidRPr="00333585">
              <w:rPr>
                <w:rFonts w:eastAsia="Times New Roman"/>
                <w:sz w:val="24"/>
                <w:szCs w:val="24"/>
                <w:lang w:eastAsia="ru-RU"/>
              </w:rPr>
              <w:t>Питома вага атестованих лікарів акушер-гінекологів</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75,81</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5,05</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0,84</w:t>
            </w:r>
          </w:p>
        </w:tc>
      </w:tr>
      <w:tr w:rsidR="00333585" w:rsidRPr="00333585" w:rsidTr="00333585">
        <w:trPr>
          <w:trHeight w:val="404"/>
          <w:jc w:val="center"/>
        </w:trPr>
        <w:tc>
          <w:tcPr>
            <w:tcW w:w="4536" w:type="dxa"/>
            <w:tcBorders>
              <w:top w:val="single" w:sz="4" w:space="0" w:color="auto"/>
              <w:left w:val="single" w:sz="4" w:space="0" w:color="auto"/>
              <w:bottom w:val="single" w:sz="4" w:space="0" w:color="auto"/>
              <w:right w:val="single" w:sz="4" w:space="0" w:color="auto"/>
            </w:tcBorders>
            <w:vAlign w:val="bottom"/>
          </w:tcPr>
          <w:p w:rsidR="00333585" w:rsidRPr="00333585" w:rsidRDefault="00333585" w:rsidP="00333585">
            <w:pPr>
              <w:keepNext/>
              <w:jc w:val="left"/>
              <w:rPr>
                <w:rFonts w:eastAsia="Times New Roman"/>
                <w:sz w:val="24"/>
                <w:szCs w:val="24"/>
                <w:lang w:eastAsia="ru-RU"/>
              </w:rPr>
            </w:pPr>
            <w:r w:rsidRPr="00333585">
              <w:rPr>
                <w:rFonts w:eastAsia="Times New Roman"/>
                <w:sz w:val="24"/>
                <w:szCs w:val="24"/>
                <w:lang w:eastAsia="ru-RU"/>
              </w:rPr>
              <w:t>Питома вага атестованих лікарів педіатрів-неонатологів</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81,40</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6,0</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1,00</w:t>
            </w:r>
          </w:p>
        </w:tc>
      </w:tr>
      <w:tr w:rsidR="00333585" w:rsidRPr="00333585" w:rsidTr="00333585">
        <w:trPr>
          <w:trHeight w:val="218"/>
          <w:jc w:val="center"/>
        </w:trPr>
        <w:tc>
          <w:tcPr>
            <w:tcW w:w="4536"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left"/>
              <w:rPr>
                <w:rFonts w:eastAsia="Times New Roman"/>
                <w:sz w:val="24"/>
                <w:szCs w:val="24"/>
                <w:lang w:eastAsia="ru-RU"/>
              </w:rPr>
            </w:pPr>
            <w:r w:rsidRPr="00333585">
              <w:rPr>
                <w:rFonts w:eastAsia="Times New Roman"/>
                <w:sz w:val="24"/>
                <w:szCs w:val="24"/>
                <w:lang w:eastAsia="ru-RU"/>
              </w:rPr>
              <w:t xml:space="preserve">Своєчасність постановки на облік вагітних </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color w:val="000000"/>
                <w:sz w:val="24"/>
                <w:szCs w:val="24"/>
                <w:lang w:eastAsia="ru-RU"/>
              </w:rPr>
            </w:pPr>
            <w:r w:rsidRPr="00333585">
              <w:rPr>
                <w:rFonts w:eastAsia="Times New Roman"/>
                <w:color w:val="000000"/>
                <w:sz w:val="24"/>
                <w:szCs w:val="24"/>
                <w:lang w:eastAsia="ru-RU"/>
              </w:rPr>
              <w:t>99,45</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99,31</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color w:val="000000"/>
                <w:sz w:val="24"/>
                <w:szCs w:val="24"/>
                <w:lang w:eastAsia="ru-RU"/>
              </w:rPr>
            </w:pPr>
            <w:r w:rsidRPr="00333585">
              <w:rPr>
                <w:rFonts w:eastAsia="Times New Roman"/>
                <w:color w:val="000000"/>
                <w:sz w:val="24"/>
                <w:szCs w:val="24"/>
                <w:lang w:eastAsia="ru-RU"/>
              </w:rPr>
              <w:t>7,00</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7,0</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color w:val="000000"/>
                <w:sz w:val="24"/>
                <w:szCs w:val="24"/>
                <w:lang w:eastAsia="ru-RU"/>
              </w:rPr>
            </w:pPr>
            <w:r w:rsidRPr="00333585">
              <w:rPr>
                <w:rFonts w:eastAsia="Times New Roman"/>
                <w:color w:val="000000"/>
                <w:sz w:val="24"/>
                <w:szCs w:val="24"/>
                <w:lang w:eastAsia="ru-RU"/>
              </w:rPr>
              <w:t>7,00</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1,00</w:t>
            </w:r>
          </w:p>
        </w:tc>
      </w:tr>
      <w:tr w:rsidR="00333585" w:rsidRPr="00333585" w:rsidTr="00333585">
        <w:trPr>
          <w:trHeight w:val="222"/>
          <w:jc w:val="center"/>
        </w:trPr>
        <w:tc>
          <w:tcPr>
            <w:tcW w:w="4536"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left"/>
              <w:rPr>
                <w:rFonts w:eastAsia="Times New Roman"/>
                <w:sz w:val="24"/>
                <w:szCs w:val="24"/>
                <w:lang w:eastAsia="ru-RU"/>
              </w:rPr>
            </w:pPr>
            <w:r w:rsidRPr="00333585">
              <w:rPr>
                <w:rFonts w:eastAsia="Times New Roman"/>
                <w:sz w:val="24"/>
                <w:szCs w:val="24"/>
                <w:lang w:eastAsia="ru-RU"/>
              </w:rPr>
              <w:t>Частота анемій вагітних</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color w:val="000000"/>
                <w:sz w:val="24"/>
                <w:szCs w:val="24"/>
                <w:lang w:eastAsia="ru-RU"/>
              </w:rPr>
            </w:pPr>
            <w:r w:rsidRPr="00333585">
              <w:rPr>
                <w:rFonts w:eastAsia="Times New Roman"/>
                <w:color w:val="000000"/>
                <w:sz w:val="24"/>
                <w:szCs w:val="24"/>
                <w:lang w:eastAsia="ru-RU"/>
              </w:rPr>
              <w:t>18,48</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18,09</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color w:val="000000"/>
                <w:sz w:val="24"/>
                <w:szCs w:val="24"/>
                <w:lang w:eastAsia="ru-RU"/>
              </w:rPr>
            </w:pPr>
            <w:r w:rsidRPr="00333585">
              <w:rPr>
                <w:rFonts w:eastAsia="Times New Roman"/>
                <w:color w:val="000000"/>
                <w:sz w:val="24"/>
                <w:szCs w:val="24"/>
                <w:lang w:eastAsia="ru-RU"/>
              </w:rPr>
              <w:t>4,00</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4,0</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color w:val="000000"/>
                <w:sz w:val="24"/>
                <w:szCs w:val="24"/>
                <w:lang w:eastAsia="ru-RU"/>
              </w:rPr>
            </w:pPr>
            <w:r w:rsidRPr="00333585">
              <w:rPr>
                <w:rFonts w:eastAsia="Times New Roman"/>
                <w:color w:val="000000"/>
                <w:sz w:val="24"/>
                <w:szCs w:val="24"/>
                <w:lang w:eastAsia="ru-RU"/>
              </w:rPr>
              <w:t>4,00</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1,00</w:t>
            </w:r>
          </w:p>
        </w:tc>
      </w:tr>
      <w:tr w:rsidR="00333585" w:rsidRPr="00333585" w:rsidTr="00333585">
        <w:trPr>
          <w:trHeight w:val="319"/>
          <w:jc w:val="center"/>
        </w:trPr>
        <w:tc>
          <w:tcPr>
            <w:tcW w:w="4536"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left"/>
              <w:rPr>
                <w:rFonts w:eastAsia="Times New Roman"/>
                <w:sz w:val="24"/>
                <w:szCs w:val="24"/>
                <w:lang w:eastAsia="ru-RU"/>
              </w:rPr>
            </w:pPr>
            <w:r w:rsidRPr="00333585">
              <w:rPr>
                <w:rFonts w:eastAsia="Times New Roman"/>
                <w:sz w:val="24"/>
                <w:szCs w:val="24"/>
                <w:lang w:eastAsia="ru-RU"/>
              </w:rPr>
              <w:t>Частота прееклампсій та еклампсій вагітних</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color w:val="000000"/>
                <w:sz w:val="24"/>
                <w:szCs w:val="24"/>
                <w:lang w:eastAsia="ru-RU"/>
              </w:rPr>
            </w:pPr>
            <w:r w:rsidRPr="00333585">
              <w:rPr>
                <w:rFonts w:eastAsia="Times New Roman"/>
                <w:color w:val="000000"/>
                <w:sz w:val="24"/>
                <w:szCs w:val="24"/>
                <w:lang w:eastAsia="ru-RU"/>
              </w:rPr>
              <w:t>1,92</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2,07</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color w:val="000000"/>
                <w:sz w:val="24"/>
                <w:szCs w:val="24"/>
                <w:lang w:eastAsia="ru-RU"/>
              </w:rPr>
            </w:pPr>
            <w:r w:rsidRPr="00333585">
              <w:rPr>
                <w:rFonts w:eastAsia="Times New Roman"/>
                <w:color w:val="000000"/>
                <w:sz w:val="24"/>
                <w:szCs w:val="24"/>
                <w:lang w:eastAsia="ru-RU"/>
              </w:rPr>
              <w:t>6,32</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5,72</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color w:val="000000"/>
                <w:sz w:val="24"/>
                <w:szCs w:val="24"/>
                <w:lang w:eastAsia="ru-RU"/>
              </w:rPr>
            </w:pPr>
            <w:r w:rsidRPr="00333585">
              <w:rPr>
                <w:rFonts w:eastAsia="Times New Roman"/>
                <w:color w:val="000000"/>
                <w:sz w:val="24"/>
                <w:szCs w:val="24"/>
                <w:lang w:eastAsia="ru-RU"/>
              </w:rPr>
              <w:t>6,32</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0,82</w:t>
            </w:r>
          </w:p>
        </w:tc>
      </w:tr>
      <w:tr w:rsidR="00333585" w:rsidRPr="00333585" w:rsidTr="00333585">
        <w:trPr>
          <w:trHeight w:val="284"/>
          <w:jc w:val="center"/>
        </w:trPr>
        <w:tc>
          <w:tcPr>
            <w:tcW w:w="4536"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left"/>
              <w:rPr>
                <w:rFonts w:eastAsia="Times New Roman"/>
                <w:sz w:val="24"/>
                <w:szCs w:val="24"/>
                <w:lang w:eastAsia="ru-RU"/>
              </w:rPr>
            </w:pPr>
            <w:r w:rsidRPr="00333585">
              <w:rPr>
                <w:rFonts w:eastAsia="Times New Roman"/>
                <w:sz w:val="24"/>
                <w:szCs w:val="24"/>
                <w:lang w:eastAsia="ru-RU"/>
              </w:rPr>
              <w:t>Співвідношення безпечних методів абортів до небезпечних</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color w:val="000000"/>
                <w:sz w:val="24"/>
                <w:szCs w:val="24"/>
                <w:lang w:eastAsia="ru-RU"/>
              </w:rPr>
            </w:pPr>
            <w:r w:rsidRPr="00333585">
              <w:rPr>
                <w:rFonts w:eastAsia="Times New Roman"/>
                <w:color w:val="000000"/>
                <w:sz w:val="24"/>
                <w:szCs w:val="24"/>
                <w:lang w:eastAsia="ru-RU"/>
              </w:rPr>
              <w:t>9,54</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16,10</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color w:val="000000"/>
                <w:sz w:val="24"/>
                <w:szCs w:val="24"/>
                <w:lang w:eastAsia="ru-RU"/>
              </w:rPr>
            </w:pPr>
            <w:r w:rsidRPr="00333585">
              <w:rPr>
                <w:rFonts w:eastAsia="Times New Roman"/>
                <w:color w:val="000000"/>
                <w:sz w:val="24"/>
                <w:szCs w:val="24"/>
                <w:lang w:eastAsia="ru-RU"/>
              </w:rPr>
              <w:t>5,72</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6,0</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color w:val="000000"/>
                <w:sz w:val="24"/>
                <w:szCs w:val="24"/>
                <w:lang w:eastAsia="ru-RU"/>
              </w:rPr>
            </w:pPr>
            <w:r w:rsidRPr="00333585">
              <w:rPr>
                <w:rFonts w:eastAsia="Times New Roman"/>
                <w:color w:val="000000"/>
                <w:sz w:val="24"/>
                <w:szCs w:val="24"/>
                <w:lang w:eastAsia="ru-RU"/>
              </w:rPr>
              <w:t>5,72</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1,00</w:t>
            </w:r>
          </w:p>
        </w:tc>
      </w:tr>
      <w:tr w:rsidR="00333585" w:rsidRPr="00333585" w:rsidTr="00333585">
        <w:trPr>
          <w:trHeight w:val="340"/>
          <w:jc w:val="center"/>
        </w:trPr>
        <w:tc>
          <w:tcPr>
            <w:tcW w:w="4536" w:type="dxa"/>
            <w:tcBorders>
              <w:top w:val="single" w:sz="4" w:space="0" w:color="auto"/>
              <w:left w:val="single" w:sz="4" w:space="0" w:color="auto"/>
              <w:bottom w:val="single" w:sz="4" w:space="0" w:color="auto"/>
              <w:right w:val="single" w:sz="4" w:space="0" w:color="auto"/>
            </w:tcBorders>
            <w:vAlign w:val="bottom"/>
          </w:tcPr>
          <w:p w:rsidR="00333585" w:rsidRPr="00333585" w:rsidRDefault="00333585" w:rsidP="00333585">
            <w:pPr>
              <w:keepNext/>
              <w:jc w:val="left"/>
              <w:rPr>
                <w:rFonts w:eastAsia="Times New Roman"/>
                <w:sz w:val="24"/>
                <w:szCs w:val="24"/>
                <w:lang w:eastAsia="ru-RU"/>
              </w:rPr>
            </w:pPr>
            <w:r w:rsidRPr="00333585">
              <w:rPr>
                <w:rFonts w:eastAsia="Times New Roman"/>
                <w:sz w:val="24"/>
                <w:szCs w:val="24"/>
                <w:lang w:eastAsia="ru-RU"/>
              </w:rPr>
              <w:t>Питома вага хворих виявлення в ранніх стадіях (І – ІІ) серед хворих з вперше встановленим діагнозом онкологія молочної залози</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85,10</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6,00</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1,00</w:t>
            </w:r>
          </w:p>
        </w:tc>
      </w:tr>
      <w:tr w:rsidR="00333585" w:rsidRPr="00333585" w:rsidTr="00333585">
        <w:trPr>
          <w:trHeight w:val="418"/>
          <w:jc w:val="center"/>
        </w:trPr>
        <w:tc>
          <w:tcPr>
            <w:tcW w:w="4536" w:type="dxa"/>
            <w:tcBorders>
              <w:top w:val="single" w:sz="4" w:space="0" w:color="auto"/>
              <w:left w:val="single" w:sz="4" w:space="0" w:color="auto"/>
              <w:bottom w:val="single" w:sz="4" w:space="0" w:color="auto"/>
              <w:right w:val="single" w:sz="4" w:space="0" w:color="auto"/>
            </w:tcBorders>
            <w:vAlign w:val="bottom"/>
          </w:tcPr>
          <w:p w:rsidR="00333585" w:rsidRPr="00333585" w:rsidRDefault="00333585" w:rsidP="00333585">
            <w:pPr>
              <w:keepNext/>
              <w:jc w:val="left"/>
              <w:rPr>
                <w:rFonts w:eastAsia="Times New Roman"/>
                <w:sz w:val="24"/>
                <w:szCs w:val="24"/>
                <w:lang w:eastAsia="ru-RU"/>
              </w:rPr>
            </w:pPr>
            <w:r w:rsidRPr="00333585">
              <w:rPr>
                <w:rFonts w:eastAsia="Times New Roman"/>
                <w:sz w:val="24"/>
                <w:szCs w:val="24"/>
                <w:lang w:eastAsia="ru-RU"/>
              </w:rPr>
              <w:t>Питома вага хворих виявлення в ранніх стадіях (І – ІІ) серед хворих з вперше встановленим діагнозом онкологія шийки матки</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93,70</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6,00</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1,00</w:t>
            </w:r>
          </w:p>
        </w:tc>
      </w:tr>
      <w:tr w:rsidR="00333585" w:rsidRPr="00333585" w:rsidTr="00333585">
        <w:trPr>
          <w:trHeight w:val="480"/>
          <w:jc w:val="center"/>
        </w:trPr>
        <w:tc>
          <w:tcPr>
            <w:tcW w:w="4536" w:type="dxa"/>
            <w:tcBorders>
              <w:top w:val="single" w:sz="4" w:space="0" w:color="auto"/>
              <w:left w:val="single" w:sz="4" w:space="0" w:color="auto"/>
              <w:bottom w:val="single" w:sz="4" w:space="0" w:color="auto"/>
              <w:right w:val="single" w:sz="4" w:space="0" w:color="auto"/>
            </w:tcBorders>
          </w:tcPr>
          <w:p w:rsidR="00333585" w:rsidRPr="00333585" w:rsidRDefault="00333585" w:rsidP="00333585">
            <w:pPr>
              <w:keepNext/>
              <w:rPr>
                <w:rFonts w:eastAsia="Times New Roman"/>
                <w:color w:val="000000"/>
                <w:sz w:val="24"/>
                <w:szCs w:val="24"/>
                <w:lang w:eastAsia="uk-UA"/>
              </w:rPr>
            </w:pPr>
            <w:r w:rsidRPr="00333585">
              <w:rPr>
                <w:rFonts w:eastAsia="Times New Roman"/>
                <w:color w:val="000000"/>
                <w:sz w:val="24"/>
                <w:szCs w:val="24"/>
                <w:lang w:eastAsia="uk-UA"/>
              </w:rPr>
              <w:t>Індекс концентрації розродження вагітних з цукровим діабетом у ЗПД ІІІ рівня</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color w:val="000000"/>
                <w:sz w:val="24"/>
                <w:szCs w:val="24"/>
                <w:lang w:eastAsia="ru-RU"/>
              </w:rPr>
            </w:pPr>
            <w:r w:rsidRPr="00333585">
              <w:rPr>
                <w:rFonts w:eastAsia="Times New Roman"/>
                <w:color w:val="000000"/>
                <w:sz w:val="24"/>
                <w:szCs w:val="24"/>
                <w:lang w:eastAsia="ru-RU"/>
              </w:rPr>
              <w:t>82,86</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color w:val="000000"/>
                <w:sz w:val="24"/>
                <w:szCs w:val="24"/>
                <w:lang w:eastAsia="ru-RU"/>
              </w:rPr>
            </w:pPr>
            <w:r w:rsidRPr="00333585">
              <w:rPr>
                <w:rFonts w:eastAsia="Times New Roman"/>
                <w:color w:val="000000"/>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color w:val="000000"/>
                <w:sz w:val="24"/>
                <w:szCs w:val="24"/>
                <w:lang w:eastAsia="ru-RU"/>
              </w:rPr>
            </w:pPr>
            <w:r w:rsidRPr="00333585">
              <w:rPr>
                <w:rFonts w:eastAsia="Times New Roman"/>
                <w:color w:val="000000"/>
                <w:sz w:val="24"/>
                <w:szCs w:val="24"/>
                <w:lang w:eastAsia="ru-RU"/>
              </w:rPr>
              <w:t>7,00</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color w:val="000000"/>
                <w:sz w:val="24"/>
                <w:szCs w:val="24"/>
                <w:lang w:eastAsia="ru-RU"/>
              </w:rPr>
            </w:pPr>
            <w:r w:rsidRPr="00333585">
              <w:rPr>
                <w:rFonts w:eastAsia="Times New Roman"/>
                <w:color w:val="000000"/>
                <w:sz w:val="24"/>
                <w:szCs w:val="24"/>
                <w:lang w:eastAsia="ru-RU"/>
              </w:rPr>
              <w:t>1,00</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w:t>
            </w:r>
          </w:p>
        </w:tc>
      </w:tr>
    </w:tbl>
    <w:tbl>
      <w:tblPr>
        <w:tblpPr w:leftFromText="180" w:rightFromText="180" w:vertAnchor="text" w:horzAnchor="margin" w:tblpY="828"/>
        <w:tblW w:w="103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36"/>
        <w:gridCol w:w="968"/>
        <w:gridCol w:w="969"/>
        <w:gridCol w:w="968"/>
        <w:gridCol w:w="969"/>
        <w:gridCol w:w="968"/>
        <w:gridCol w:w="969"/>
      </w:tblGrid>
      <w:tr w:rsidR="00333585" w:rsidRPr="00333585" w:rsidTr="00333585">
        <w:trPr>
          <w:trHeight w:val="600"/>
        </w:trPr>
        <w:tc>
          <w:tcPr>
            <w:tcW w:w="4536" w:type="dxa"/>
            <w:tcBorders>
              <w:top w:val="single" w:sz="4" w:space="0" w:color="auto"/>
              <w:left w:val="single" w:sz="4" w:space="0" w:color="auto"/>
              <w:bottom w:val="single" w:sz="4" w:space="0" w:color="auto"/>
              <w:right w:val="single" w:sz="4" w:space="0" w:color="auto"/>
            </w:tcBorders>
          </w:tcPr>
          <w:p w:rsidR="00333585" w:rsidRPr="00333585" w:rsidRDefault="00333585" w:rsidP="00333585">
            <w:pPr>
              <w:keepNext/>
              <w:rPr>
                <w:rFonts w:eastAsia="Times New Roman"/>
                <w:color w:val="000000"/>
                <w:sz w:val="24"/>
                <w:szCs w:val="24"/>
                <w:lang w:eastAsia="uk-UA"/>
              </w:rPr>
            </w:pPr>
            <w:r w:rsidRPr="00333585">
              <w:rPr>
                <w:rFonts w:eastAsia="Times New Roman"/>
                <w:color w:val="000000"/>
                <w:sz w:val="24"/>
                <w:szCs w:val="24"/>
                <w:lang w:eastAsia="uk-UA"/>
              </w:rPr>
              <w:lastRenderedPageBreak/>
              <w:t>Індекс концентрації розродження вагітних з  пре- еклампсією і еклампсією  у ЗПД ІІ-ІІІ рівнів</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color w:val="000000"/>
                <w:sz w:val="24"/>
                <w:szCs w:val="24"/>
                <w:lang w:eastAsia="ru-RU"/>
              </w:rPr>
            </w:pPr>
            <w:r w:rsidRPr="00333585">
              <w:rPr>
                <w:rFonts w:eastAsia="Times New Roman"/>
                <w:color w:val="000000"/>
                <w:sz w:val="24"/>
                <w:szCs w:val="24"/>
                <w:lang w:eastAsia="ru-RU"/>
              </w:rPr>
              <w:t>100</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color w:val="000000"/>
                <w:sz w:val="24"/>
                <w:szCs w:val="24"/>
                <w:lang w:eastAsia="ru-RU"/>
              </w:rPr>
            </w:pPr>
            <w:r w:rsidRPr="00333585">
              <w:rPr>
                <w:rFonts w:eastAsia="Times New Roman"/>
                <w:color w:val="000000"/>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color w:val="000000"/>
                <w:sz w:val="24"/>
                <w:szCs w:val="24"/>
                <w:lang w:eastAsia="ru-RU"/>
              </w:rPr>
            </w:pPr>
            <w:r w:rsidRPr="00333585">
              <w:rPr>
                <w:rFonts w:eastAsia="Times New Roman"/>
                <w:color w:val="000000"/>
                <w:sz w:val="24"/>
                <w:szCs w:val="24"/>
                <w:lang w:eastAsia="ru-RU"/>
              </w:rPr>
              <w:t>7,00</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color w:val="000000"/>
                <w:sz w:val="24"/>
                <w:szCs w:val="24"/>
                <w:lang w:eastAsia="ru-RU"/>
              </w:rPr>
            </w:pPr>
            <w:r w:rsidRPr="00333585">
              <w:rPr>
                <w:rFonts w:eastAsia="Times New Roman"/>
                <w:color w:val="000000"/>
                <w:sz w:val="24"/>
                <w:szCs w:val="24"/>
                <w:lang w:eastAsia="ru-RU"/>
              </w:rPr>
              <w:t>1,00</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w:t>
            </w:r>
          </w:p>
        </w:tc>
      </w:tr>
      <w:tr w:rsidR="00333585" w:rsidRPr="00333585" w:rsidTr="00333585">
        <w:trPr>
          <w:trHeight w:val="600"/>
        </w:trPr>
        <w:tc>
          <w:tcPr>
            <w:tcW w:w="4536" w:type="dxa"/>
            <w:tcBorders>
              <w:top w:val="single" w:sz="4" w:space="0" w:color="auto"/>
              <w:left w:val="single" w:sz="4" w:space="0" w:color="auto"/>
              <w:bottom w:val="single" w:sz="4" w:space="0" w:color="auto"/>
              <w:right w:val="single" w:sz="4" w:space="0" w:color="auto"/>
            </w:tcBorders>
          </w:tcPr>
          <w:p w:rsidR="00333585" w:rsidRPr="00333585" w:rsidRDefault="00333585" w:rsidP="00333585">
            <w:pPr>
              <w:keepNext/>
              <w:rPr>
                <w:rFonts w:eastAsia="Times New Roman"/>
                <w:color w:val="000000"/>
                <w:sz w:val="24"/>
                <w:szCs w:val="24"/>
                <w:lang w:eastAsia="uk-UA"/>
              </w:rPr>
            </w:pPr>
            <w:r w:rsidRPr="00333585">
              <w:rPr>
                <w:rFonts w:eastAsia="Times New Roman"/>
                <w:color w:val="000000"/>
                <w:sz w:val="24"/>
                <w:szCs w:val="24"/>
                <w:lang w:eastAsia="uk-UA"/>
              </w:rPr>
              <w:t>Індекс концентрації новонароджених масою тіла при народженні 500-1499г у ЗПД ІІІ рівня</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color w:val="000000"/>
                <w:sz w:val="24"/>
                <w:szCs w:val="24"/>
                <w:lang w:eastAsia="ru-RU"/>
              </w:rPr>
            </w:pPr>
            <w:r w:rsidRPr="00333585">
              <w:rPr>
                <w:rFonts w:eastAsia="Times New Roman"/>
                <w:color w:val="000000"/>
                <w:sz w:val="24"/>
                <w:szCs w:val="24"/>
                <w:lang w:eastAsia="ru-RU"/>
              </w:rPr>
              <w:t>79,03</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color w:val="000000"/>
                <w:sz w:val="24"/>
                <w:szCs w:val="24"/>
                <w:lang w:eastAsia="ru-RU"/>
              </w:rPr>
            </w:pPr>
            <w:r w:rsidRPr="00333585">
              <w:rPr>
                <w:rFonts w:eastAsia="Times New Roman"/>
                <w:color w:val="000000"/>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color w:val="000000"/>
                <w:sz w:val="24"/>
                <w:szCs w:val="24"/>
                <w:lang w:eastAsia="ru-RU"/>
              </w:rPr>
            </w:pPr>
            <w:r w:rsidRPr="00333585">
              <w:rPr>
                <w:rFonts w:eastAsia="Times New Roman"/>
                <w:color w:val="000000"/>
                <w:sz w:val="24"/>
                <w:szCs w:val="24"/>
                <w:lang w:eastAsia="ru-RU"/>
              </w:rPr>
              <w:t>5,93</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color w:val="000000"/>
                <w:sz w:val="24"/>
                <w:szCs w:val="24"/>
                <w:lang w:eastAsia="ru-RU"/>
              </w:rPr>
            </w:pPr>
            <w:r w:rsidRPr="00333585">
              <w:rPr>
                <w:rFonts w:eastAsia="Times New Roman"/>
                <w:color w:val="000000"/>
                <w:sz w:val="24"/>
                <w:szCs w:val="24"/>
                <w:lang w:eastAsia="ru-RU"/>
              </w:rPr>
              <w:t>0,99</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w:t>
            </w:r>
          </w:p>
        </w:tc>
      </w:tr>
      <w:tr w:rsidR="00333585" w:rsidRPr="00333585" w:rsidTr="00333585">
        <w:trPr>
          <w:trHeight w:val="268"/>
        </w:trPr>
        <w:tc>
          <w:tcPr>
            <w:tcW w:w="4536" w:type="dxa"/>
            <w:tcBorders>
              <w:top w:val="single" w:sz="4" w:space="0" w:color="auto"/>
              <w:left w:val="single" w:sz="4" w:space="0" w:color="auto"/>
              <w:bottom w:val="single" w:sz="4" w:space="0" w:color="auto"/>
              <w:right w:val="single" w:sz="4" w:space="0" w:color="auto"/>
            </w:tcBorders>
            <w:vAlign w:val="bottom"/>
          </w:tcPr>
          <w:p w:rsidR="00333585" w:rsidRPr="00333585" w:rsidRDefault="00333585" w:rsidP="00333585">
            <w:pPr>
              <w:keepNext/>
              <w:jc w:val="left"/>
              <w:rPr>
                <w:rFonts w:eastAsia="Times New Roman"/>
                <w:sz w:val="24"/>
                <w:szCs w:val="24"/>
                <w:lang w:eastAsia="ru-RU"/>
              </w:rPr>
            </w:pPr>
            <w:r w:rsidRPr="00333585">
              <w:rPr>
                <w:rFonts w:eastAsia="Times New Roman"/>
                <w:sz w:val="24"/>
                <w:szCs w:val="24"/>
                <w:lang w:eastAsia="ru-RU"/>
              </w:rPr>
              <w:t>Індекс неонатального трансферу</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8,64</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8,09</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0,0</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2,67</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0,00</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0,38</w:t>
            </w:r>
          </w:p>
        </w:tc>
      </w:tr>
      <w:tr w:rsidR="00333585" w:rsidRPr="00333585" w:rsidTr="00333585">
        <w:trPr>
          <w:trHeight w:val="272"/>
        </w:trPr>
        <w:tc>
          <w:tcPr>
            <w:tcW w:w="4536"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left"/>
              <w:rPr>
                <w:rFonts w:eastAsia="Times New Roman"/>
                <w:sz w:val="24"/>
                <w:szCs w:val="24"/>
                <w:lang w:eastAsia="ru-RU"/>
              </w:rPr>
            </w:pPr>
            <w:r w:rsidRPr="00333585">
              <w:rPr>
                <w:rFonts w:eastAsia="Times New Roman"/>
                <w:sz w:val="24"/>
                <w:szCs w:val="24"/>
                <w:lang w:eastAsia="ru-RU"/>
              </w:rPr>
              <w:t>Частота нормальних пологів</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color w:val="000000"/>
                <w:sz w:val="24"/>
                <w:szCs w:val="24"/>
                <w:lang w:eastAsia="ru-RU"/>
              </w:rPr>
            </w:pPr>
            <w:r w:rsidRPr="00333585">
              <w:rPr>
                <w:rFonts w:eastAsia="Times New Roman"/>
                <w:color w:val="000000"/>
                <w:sz w:val="24"/>
                <w:szCs w:val="24"/>
                <w:lang w:eastAsia="ru-RU"/>
              </w:rPr>
              <w:t>63,83</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65,27</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color w:val="000000"/>
                <w:sz w:val="24"/>
                <w:szCs w:val="24"/>
                <w:lang w:eastAsia="ru-RU"/>
              </w:rPr>
            </w:pPr>
            <w:r w:rsidRPr="00333585">
              <w:rPr>
                <w:rFonts w:eastAsia="Times New Roman"/>
                <w:color w:val="000000"/>
                <w:sz w:val="24"/>
                <w:szCs w:val="24"/>
                <w:lang w:eastAsia="ru-RU"/>
              </w:rPr>
              <w:t>4,56</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4,88</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color w:val="000000"/>
                <w:sz w:val="24"/>
                <w:szCs w:val="24"/>
                <w:lang w:eastAsia="ru-RU"/>
              </w:rPr>
            </w:pPr>
            <w:r w:rsidRPr="00333585">
              <w:rPr>
                <w:rFonts w:eastAsia="Times New Roman"/>
                <w:color w:val="000000"/>
                <w:sz w:val="24"/>
                <w:szCs w:val="24"/>
                <w:lang w:eastAsia="ru-RU"/>
              </w:rPr>
              <w:t>0,91</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0,98</w:t>
            </w:r>
          </w:p>
        </w:tc>
      </w:tr>
      <w:tr w:rsidR="00333585" w:rsidRPr="00333585" w:rsidTr="00333585">
        <w:trPr>
          <w:trHeight w:val="418"/>
        </w:trPr>
        <w:tc>
          <w:tcPr>
            <w:tcW w:w="4536" w:type="dxa"/>
            <w:tcBorders>
              <w:top w:val="single" w:sz="4" w:space="0" w:color="auto"/>
              <w:left w:val="single" w:sz="4" w:space="0" w:color="auto"/>
              <w:bottom w:val="single" w:sz="4" w:space="0" w:color="auto"/>
              <w:right w:val="single" w:sz="4" w:space="0" w:color="auto"/>
            </w:tcBorders>
            <w:vAlign w:val="bottom"/>
          </w:tcPr>
          <w:p w:rsidR="00333585" w:rsidRPr="00333585" w:rsidRDefault="00333585" w:rsidP="00333585">
            <w:pPr>
              <w:keepNext/>
              <w:jc w:val="left"/>
              <w:rPr>
                <w:rFonts w:eastAsia="Times New Roman"/>
                <w:sz w:val="24"/>
                <w:szCs w:val="24"/>
                <w:lang w:eastAsia="ru-RU"/>
              </w:rPr>
            </w:pPr>
            <w:r w:rsidRPr="00333585">
              <w:rPr>
                <w:rFonts w:eastAsia="Times New Roman"/>
                <w:sz w:val="24"/>
                <w:szCs w:val="24"/>
                <w:lang w:eastAsia="ru-RU"/>
              </w:rPr>
              <w:t>Частота розроджень вагітних шляхом кесаревого розтину</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color w:val="000000"/>
                <w:sz w:val="24"/>
                <w:szCs w:val="24"/>
                <w:lang w:eastAsia="ru-RU"/>
              </w:rPr>
            </w:pPr>
            <w:r w:rsidRPr="00333585">
              <w:rPr>
                <w:rFonts w:eastAsia="Times New Roman"/>
                <w:color w:val="000000"/>
                <w:sz w:val="24"/>
                <w:szCs w:val="24"/>
                <w:lang w:eastAsia="ru-RU"/>
              </w:rPr>
              <w:t>230,3</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232,04</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color w:val="000000"/>
                <w:sz w:val="24"/>
                <w:szCs w:val="24"/>
                <w:lang w:eastAsia="ru-RU"/>
              </w:rPr>
            </w:pPr>
            <w:r w:rsidRPr="00333585">
              <w:rPr>
                <w:rFonts w:eastAsia="Times New Roman"/>
                <w:color w:val="000000"/>
                <w:sz w:val="24"/>
                <w:szCs w:val="24"/>
                <w:lang w:eastAsia="ru-RU"/>
              </w:rPr>
              <w:t>3,92</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4,92</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color w:val="000000"/>
                <w:sz w:val="24"/>
                <w:szCs w:val="24"/>
                <w:lang w:eastAsia="ru-RU"/>
              </w:rPr>
            </w:pPr>
            <w:r w:rsidRPr="00333585">
              <w:rPr>
                <w:rFonts w:eastAsia="Times New Roman"/>
                <w:color w:val="000000"/>
                <w:sz w:val="24"/>
                <w:szCs w:val="24"/>
                <w:lang w:eastAsia="ru-RU"/>
              </w:rPr>
              <w:t>0,56</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0,70</w:t>
            </w:r>
          </w:p>
        </w:tc>
      </w:tr>
      <w:tr w:rsidR="00333585" w:rsidRPr="00333585" w:rsidTr="00333585">
        <w:trPr>
          <w:trHeight w:val="276"/>
        </w:trPr>
        <w:tc>
          <w:tcPr>
            <w:tcW w:w="4536" w:type="dxa"/>
            <w:tcBorders>
              <w:top w:val="single" w:sz="4" w:space="0" w:color="auto"/>
              <w:left w:val="single" w:sz="4" w:space="0" w:color="auto"/>
              <w:bottom w:val="single" w:sz="4" w:space="0" w:color="auto"/>
              <w:right w:val="single" w:sz="4" w:space="0" w:color="auto"/>
            </w:tcBorders>
            <w:vAlign w:val="bottom"/>
          </w:tcPr>
          <w:p w:rsidR="00333585" w:rsidRPr="00333585" w:rsidRDefault="00333585" w:rsidP="00333585">
            <w:pPr>
              <w:keepNext/>
              <w:jc w:val="left"/>
              <w:rPr>
                <w:rFonts w:eastAsia="Times New Roman"/>
                <w:sz w:val="24"/>
                <w:szCs w:val="24"/>
                <w:lang w:eastAsia="ru-RU"/>
              </w:rPr>
            </w:pPr>
            <w:r w:rsidRPr="00333585">
              <w:rPr>
                <w:rFonts w:eastAsia="Times New Roman"/>
                <w:sz w:val="24"/>
                <w:szCs w:val="24"/>
                <w:lang w:eastAsia="ru-RU"/>
              </w:rPr>
              <w:t>Частота  кровотеч в послідовому і післяродовому періодах</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color w:val="000000"/>
                <w:sz w:val="24"/>
                <w:szCs w:val="24"/>
                <w:lang w:eastAsia="ru-RU"/>
              </w:rPr>
            </w:pPr>
            <w:r w:rsidRPr="00333585">
              <w:rPr>
                <w:rFonts w:eastAsia="Times New Roman"/>
                <w:color w:val="000000"/>
                <w:sz w:val="24"/>
                <w:szCs w:val="24"/>
                <w:lang w:eastAsia="ru-RU"/>
              </w:rPr>
              <w:t>7,19</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4,95</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color w:val="000000"/>
                <w:sz w:val="24"/>
                <w:szCs w:val="24"/>
                <w:lang w:eastAsia="ru-RU"/>
              </w:rPr>
            </w:pPr>
            <w:r w:rsidRPr="00333585">
              <w:rPr>
                <w:rFonts w:eastAsia="Times New Roman"/>
                <w:color w:val="000000"/>
                <w:sz w:val="24"/>
                <w:szCs w:val="24"/>
                <w:lang w:eastAsia="ru-RU"/>
              </w:rPr>
              <w:t>5,06</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9,0</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color w:val="000000"/>
                <w:sz w:val="24"/>
                <w:szCs w:val="24"/>
                <w:lang w:eastAsia="ru-RU"/>
              </w:rPr>
            </w:pPr>
            <w:r w:rsidRPr="00333585">
              <w:rPr>
                <w:rFonts w:eastAsia="Times New Roman"/>
                <w:color w:val="000000"/>
                <w:sz w:val="24"/>
                <w:szCs w:val="24"/>
                <w:lang w:eastAsia="ru-RU"/>
              </w:rPr>
              <w:t>0,56</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1,00</w:t>
            </w:r>
          </w:p>
        </w:tc>
      </w:tr>
      <w:tr w:rsidR="00333585" w:rsidRPr="00333585" w:rsidTr="00333585">
        <w:trPr>
          <w:trHeight w:val="293"/>
        </w:trPr>
        <w:tc>
          <w:tcPr>
            <w:tcW w:w="4536" w:type="dxa"/>
            <w:tcBorders>
              <w:top w:val="single" w:sz="4" w:space="0" w:color="auto"/>
              <w:left w:val="single" w:sz="4" w:space="0" w:color="auto"/>
              <w:bottom w:val="single" w:sz="4" w:space="0" w:color="auto"/>
              <w:right w:val="single" w:sz="4" w:space="0" w:color="auto"/>
            </w:tcBorders>
            <w:vAlign w:val="bottom"/>
          </w:tcPr>
          <w:p w:rsidR="00333585" w:rsidRPr="00333585" w:rsidRDefault="00333585" w:rsidP="00333585">
            <w:pPr>
              <w:keepNext/>
              <w:jc w:val="left"/>
              <w:rPr>
                <w:rFonts w:eastAsia="Times New Roman"/>
                <w:sz w:val="24"/>
                <w:szCs w:val="24"/>
                <w:lang w:eastAsia="ru-RU"/>
              </w:rPr>
            </w:pPr>
            <w:r w:rsidRPr="00333585">
              <w:rPr>
                <w:rFonts w:eastAsia="Times New Roman"/>
                <w:sz w:val="24"/>
                <w:szCs w:val="24"/>
                <w:lang w:eastAsia="ru-RU"/>
              </w:rPr>
              <w:t>Частота мало вагових новонароджених</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color w:val="000000"/>
                <w:sz w:val="24"/>
                <w:szCs w:val="24"/>
                <w:lang w:eastAsia="ru-RU"/>
              </w:rPr>
            </w:pPr>
            <w:r w:rsidRPr="00333585">
              <w:rPr>
                <w:rFonts w:eastAsia="Times New Roman"/>
                <w:color w:val="000000"/>
                <w:sz w:val="24"/>
                <w:szCs w:val="24"/>
                <w:lang w:eastAsia="ru-RU"/>
              </w:rPr>
              <w:t>5,16</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3,94</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color w:val="000000"/>
                <w:sz w:val="24"/>
                <w:szCs w:val="24"/>
                <w:lang w:eastAsia="ru-RU"/>
              </w:rPr>
            </w:pPr>
            <w:r w:rsidRPr="00333585">
              <w:rPr>
                <w:rFonts w:eastAsia="Times New Roman"/>
                <w:color w:val="000000"/>
                <w:sz w:val="24"/>
                <w:szCs w:val="24"/>
                <w:lang w:eastAsia="ru-RU"/>
              </w:rPr>
              <w:t>3,55</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5,0</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color w:val="000000"/>
                <w:sz w:val="24"/>
                <w:szCs w:val="24"/>
                <w:lang w:eastAsia="ru-RU"/>
              </w:rPr>
            </w:pPr>
            <w:r w:rsidRPr="00333585">
              <w:rPr>
                <w:rFonts w:eastAsia="Times New Roman"/>
                <w:color w:val="000000"/>
                <w:sz w:val="24"/>
                <w:szCs w:val="24"/>
                <w:lang w:eastAsia="ru-RU"/>
              </w:rPr>
              <w:t>0,71</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1,00</w:t>
            </w:r>
          </w:p>
        </w:tc>
      </w:tr>
      <w:tr w:rsidR="00333585" w:rsidRPr="00333585" w:rsidTr="00333585">
        <w:trPr>
          <w:trHeight w:val="344"/>
        </w:trPr>
        <w:tc>
          <w:tcPr>
            <w:tcW w:w="4536" w:type="dxa"/>
            <w:tcBorders>
              <w:top w:val="single" w:sz="4" w:space="0" w:color="auto"/>
              <w:left w:val="single" w:sz="4" w:space="0" w:color="auto"/>
              <w:bottom w:val="single" w:sz="4" w:space="0" w:color="auto"/>
              <w:right w:val="single" w:sz="4" w:space="0" w:color="auto"/>
            </w:tcBorders>
            <w:vAlign w:val="bottom"/>
          </w:tcPr>
          <w:p w:rsidR="00333585" w:rsidRPr="00333585" w:rsidRDefault="00333585" w:rsidP="00333585">
            <w:pPr>
              <w:keepNext/>
              <w:jc w:val="left"/>
              <w:rPr>
                <w:rFonts w:eastAsia="Times New Roman"/>
                <w:sz w:val="24"/>
                <w:szCs w:val="24"/>
                <w:lang w:eastAsia="ru-RU"/>
              </w:rPr>
            </w:pPr>
            <w:r w:rsidRPr="00333585">
              <w:rPr>
                <w:rFonts w:eastAsia="Times New Roman"/>
                <w:sz w:val="24"/>
                <w:szCs w:val="24"/>
                <w:lang w:eastAsia="ru-RU"/>
              </w:rPr>
              <w:t>Виживання новонароджених з дуже малою масою тіла при народженні</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color w:val="000000"/>
                <w:sz w:val="24"/>
                <w:szCs w:val="24"/>
                <w:lang w:eastAsia="ru-RU"/>
              </w:rPr>
            </w:pPr>
            <w:r w:rsidRPr="00333585">
              <w:rPr>
                <w:rFonts w:eastAsia="Times New Roman"/>
                <w:color w:val="000000"/>
                <w:sz w:val="24"/>
                <w:szCs w:val="24"/>
                <w:lang w:eastAsia="ru-RU"/>
              </w:rPr>
              <w:t>64,52</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88,37</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color w:val="000000"/>
                <w:sz w:val="24"/>
                <w:szCs w:val="24"/>
                <w:lang w:eastAsia="ru-RU"/>
              </w:rPr>
            </w:pPr>
            <w:r w:rsidRPr="00333585">
              <w:rPr>
                <w:rFonts w:eastAsia="Times New Roman"/>
                <w:color w:val="000000"/>
                <w:sz w:val="24"/>
                <w:szCs w:val="24"/>
                <w:lang w:eastAsia="ru-RU"/>
              </w:rPr>
              <w:t>5,74</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8,0</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color w:val="000000"/>
                <w:sz w:val="24"/>
                <w:szCs w:val="24"/>
                <w:lang w:eastAsia="ru-RU"/>
              </w:rPr>
            </w:pPr>
            <w:r w:rsidRPr="00333585">
              <w:rPr>
                <w:rFonts w:eastAsia="Times New Roman"/>
                <w:color w:val="000000"/>
                <w:sz w:val="24"/>
                <w:szCs w:val="24"/>
                <w:lang w:eastAsia="ru-RU"/>
              </w:rPr>
              <w:t>0,72</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1,00</w:t>
            </w:r>
          </w:p>
        </w:tc>
      </w:tr>
      <w:tr w:rsidR="00333585" w:rsidRPr="00333585" w:rsidTr="00333585">
        <w:trPr>
          <w:trHeight w:val="226"/>
        </w:trPr>
        <w:tc>
          <w:tcPr>
            <w:tcW w:w="4536" w:type="dxa"/>
            <w:tcBorders>
              <w:top w:val="single" w:sz="4" w:space="0" w:color="auto"/>
              <w:left w:val="single" w:sz="4" w:space="0" w:color="auto"/>
              <w:bottom w:val="single" w:sz="4" w:space="0" w:color="auto"/>
              <w:right w:val="single" w:sz="4" w:space="0" w:color="auto"/>
            </w:tcBorders>
            <w:vAlign w:val="bottom"/>
          </w:tcPr>
          <w:p w:rsidR="00333585" w:rsidRPr="00333585" w:rsidRDefault="00333585" w:rsidP="00333585">
            <w:pPr>
              <w:keepNext/>
              <w:jc w:val="left"/>
              <w:rPr>
                <w:rFonts w:eastAsia="Times New Roman"/>
                <w:sz w:val="24"/>
                <w:szCs w:val="24"/>
                <w:lang w:eastAsia="ru-RU"/>
              </w:rPr>
            </w:pPr>
            <w:r w:rsidRPr="00333585">
              <w:rPr>
                <w:rFonts w:eastAsia="Times New Roman"/>
                <w:sz w:val="24"/>
                <w:szCs w:val="24"/>
                <w:lang w:eastAsia="ru-RU"/>
              </w:rPr>
              <w:t>Індекс здоров’я новонароджених</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color w:val="000000"/>
                <w:sz w:val="24"/>
                <w:szCs w:val="24"/>
                <w:lang w:eastAsia="ru-RU"/>
              </w:rPr>
            </w:pPr>
            <w:r w:rsidRPr="00333585">
              <w:rPr>
                <w:rFonts w:eastAsia="Times New Roman"/>
                <w:color w:val="000000"/>
                <w:sz w:val="24"/>
                <w:szCs w:val="24"/>
                <w:lang w:eastAsia="ru-RU"/>
              </w:rPr>
              <w:t>84,5</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84,26</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color w:val="000000"/>
                <w:sz w:val="24"/>
                <w:szCs w:val="24"/>
                <w:lang w:eastAsia="ru-RU"/>
              </w:rPr>
            </w:pPr>
            <w:r w:rsidRPr="00333585">
              <w:rPr>
                <w:rFonts w:eastAsia="Times New Roman"/>
                <w:color w:val="000000"/>
                <w:sz w:val="24"/>
                <w:szCs w:val="24"/>
                <w:lang w:eastAsia="ru-RU"/>
              </w:rPr>
              <w:t>5,63</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5,95</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color w:val="000000"/>
                <w:sz w:val="24"/>
                <w:szCs w:val="24"/>
                <w:lang w:eastAsia="ru-RU"/>
              </w:rPr>
            </w:pPr>
            <w:r w:rsidRPr="00333585">
              <w:rPr>
                <w:rFonts w:eastAsia="Times New Roman"/>
                <w:color w:val="000000"/>
                <w:sz w:val="24"/>
                <w:szCs w:val="24"/>
                <w:lang w:eastAsia="ru-RU"/>
              </w:rPr>
              <w:t>0,94</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0,99</w:t>
            </w:r>
          </w:p>
        </w:tc>
      </w:tr>
      <w:tr w:rsidR="00333585" w:rsidRPr="00333585" w:rsidTr="00333585">
        <w:trPr>
          <w:trHeight w:val="244"/>
        </w:trPr>
        <w:tc>
          <w:tcPr>
            <w:tcW w:w="4536" w:type="dxa"/>
            <w:tcBorders>
              <w:top w:val="single" w:sz="4" w:space="0" w:color="auto"/>
              <w:left w:val="single" w:sz="4" w:space="0" w:color="auto"/>
              <w:bottom w:val="single" w:sz="4" w:space="0" w:color="auto"/>
              <w:right w:val="single" w:sz="4" w:space="0" w:color="auto"/>
            </w:tcBorders>
            <w:vAlign w:val="bottom"/>
          </w:tcPr>
          <w:p w:rsidR="00333585" w:rsidRPr="00333585" w:rsidRDefault="00333585" w:rsidP="00333585">
            <w:pPr>
              <w:keepNext/>
              <w:jc w:val="left"/>
              <w:rPr>
                <w:rFonts w:eastAsia="Times New Roman"/>
                <w:sz w:val="24"/>
                <w:szCs w:val="24"/>
                <w:lang w:eastAsia="ru-RU"/>
              </w:rPr>
            </w:pPr>
            <w:r w:rsidRPr="00333585">
              <w:rPr>
                <w:rFonts w:eastAsia="Times New Roman"/>
                <w:sz w:val="24"/>
                <w:szCs w:val="24"/>
                <w:lang w:eastAsia="ru-RU"/>
              </w:rPr>
              <w:t xml:space="preserve">Рівень перинатальної смертності </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color w:val="000000"/>
                <w:sz w:val="24"/>
                <w:szCs w:val="24"/>
                <w:lang w:eastAsia="ru-RU"/>
              </w:rPr>
            </w:pPr>
            <w:r w:rsidRPr="00333585">
              <w:rPr>
                <w:rFonts w:eastAsia="Times New Roman"/>
                <w:color w:val="000000"/>
                <w:sz w:val="24"/>
                <w:szCs w:val="24"/>
                <w:lang w:eastAsia="ru-RU"/>
              </w:rPr>
              <w:t>8,89</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7,55</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color w:val="000000"/>
                <w:sz w:val="24"/>
                <w:szCs w:val="24"/>
                <w:lang w:eastAsia="ru-RU"/>
              </w:rPr>
            </w:pPr>
            <w:r w:rsidRPr="00333585">
              <w:rPr>
                <w:rFonts w:eastAsia="Times New Roman"/>
                <w:color w:val="000000"/>
                <w:sz w:val="24"/>
                <w:szCs w:val="24"/>
                <w:lang w:eastAsia="ru-RU"/>
              </w:rPr>
              <w:t>5,33</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6,0</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color w:val="000000"/>
                <w:sz w:val="24"/>
                <w:szCs w:val="24"/>
                <w:lang w:eastAsia="ru-RU"/>
              </w:rPr>
            </w:pPr>
            <w:r w:rsidRPr="00333585">
              <w:rPr>
                <w:rFonts w:eastAsia="Times New Roman"/>
                <w:color w:val="000000"/>
                <w:sz w:val="24"/>
                <w:szCs w:val="24"/>
                <w:lang w:eastAsia="ru-RU"/>
              </w:rPr>
              <w:t>0,89</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1,00</w:t>
            </w:r>
          </w:p>
        </w:tc>
      </w:tr>
      <w:tr w:rsidR="00333585" w:rsidRPr="00333585" w:rsidTr="00333585">
        <w:trPr>
          <w:trHeight w:val="450"/>
        </w:trPr>
        <w:tc>
          <w:tcPr>
            <w:tcW w:w="4536"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rPr>
                <w:rFonts w:eastAsia="Times New Roman"/>
                <w:sz w:val="24"/>
                <w:szCs w:val="24"/>
                <w:lang w:eastAsia="ru-RU"/>
              </w:rPr>
            </w:pPr>
            <w:r w:rsidRPr="00333585">
              <w:rPr>
                <w:rFonts w:eastAsia="Times New Roman"/>
                <w:sz w:val="24"/>
                <w:szCs w:val="24"/>
                <w:lang w:eastAsia="ru-RU"/>
              </w:rPr>
              <w:t>Співвідношення реального і фактичного показника ранньої неонатальної смертності</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3,98</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0,0</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0,00</w:t>
            </w:r>
          </w:p>
        </w:tc>
      </w:tr>
      <w:tr w:rsidR="00333585" w:rsidRPr="00333585" w:rsidTr="00333585">
        <w:trPr>
          <w:trHeight w:val="216"/>
        </w:trPr>
        <w:tc>
          <w:tcPr>
            <w:tcW w:w="4536"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rPr>
                <w:rFonts w:eastAsia="Times New Roman"/>
                <w:sz w:val="24"/>
                <w:szCs w:val="24"/>
                <w:lang w:eastAsia="ru-RU"/>
              </w:rPr>
            </w:pPr>
            <w:r w:rsidRPr="00333585">
              <w:rPr>
                <w:rFonts w:eastAsia="Times New Roman"/>
                <w:sz w:val="24"/>
                <w:szCs w:val="24"/>
                <w:lang w:eastAsia="ru-RU"/>
              </w:rPr>
              <w:t>Рівень неонатальної смертності</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5,34</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3,99</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0,67</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w:t>
            </w:r>
          </w:p>
        </w:tc>
      </w:tr>
      <w:tr w:rsidR="00333585" w:rsidRPr="00333585" w:rsidTr="00333585">
        <w:trPr>
          <w:trHeight w:val="236"/>
        </w:trPr>
        <w:tc>
          <w:tcPr>
            <w:tcW w:w="4536"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left"/>
              <w:rPr>
                <w:rFonts w:eastAsia="Times New Roman"/>
                <w:sz w:val="24"/>
                <w:szCs w:val="24"/>
                <w:lang w:eastAsia="ru-RU"/>
              </w:rPr>
            </w:pPr>
            <w:r w:rsidRPr="00333585">
              <w:rPr>
                <w:rFonts w:eastAsia="Times New Roman"/>
                <w:sz w:val="24"/>
                <w:szCs w:val="24"/>
                <w:lang w:eastAsia="ru-RU"/>
              </w:rPr>
              <w:t xml:space="preserve">Рівень ранньої неонатальної смертності </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1,82</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6,0</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1,00</w:t>
            </w:r>
          </w:p>
        </w:tc>
      </w:tr>
      <w:tr w:rsidR="00333585" w:rsidRPr="00333585" w:rsidTr="00333585">
        <w:trPr>
          <w:trHeight w:val="254"/>
        </w:trPr>
        <w:tc>
          <w:tcPr>
            <w:tcW w:w="4536" w:type="dxa"/>
            <w:tcBorders>
              <w:top w:val="single" w:sz="4" w:space="0" w:color="auto"/>
              <w:left w:val="single" w:sz="4" w:space="0" w:color="auto"/>
              <w:bottom w:val="single" w:sz="4" w:space="0" w:color="auto"/>
              <w:right w:val="single" w:sz="4" w:space="0" w:color="auto"/>
            </w:tcBorders>
            <w:vAlign w:val="bottom"/>
          </w:tcPr>
          <w:p w:rsidR="00333585" w:rsidRPr="00333585" w:rsidRDefault="00333585" w:rsidP="00333585">
            <w:pPr>
              <w:keepNext/>
              <w:jc w:val="left"/>
              <w:rPr>
                <w:rFonts w:eastAsia="Times New Roman"/>
                <w:sz w:val="24"/>
                <w:szCs w:val="24"/>
                <w:lang w:eastAsia="ru-RU"/>
              </w:rPr>
            </w:pPr>
            <w:r w:rsidRPr="00333585">
              <w:rPr>
                <w:rFonts w:eastAsia="Times New Roman"/>
                <w:sz w:val="24"/>
                <w:szCs w:val="24"/>
                <w:lang w:eastAsia="ru-RU"/>
              </w:rPr>
              <w:t xml:space="preserve">Рівень материнської смертності </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0</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14,1</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5,0</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3,61</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1,00</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0,72</w:t>
            </w:r>
          </w:p>
        </w:tc>
      </w:tr>
      <w:tr w:rsidR="00333585" w:rsidRPr="00333585" w:rsidTr="00333585">
        <w:trPr>
          <w:trHeight w:val="300"/>
        </w:trPr>
        <w:tc>
          <w:tcPr>
            <w:tcW w:w="4536" w:type="dxa"/>
            <w:tcBorders>
              <w:top w:val="single" w:sz="4" w:space="0" w:color="auto"/>
              <w:left w:val="single" w:sz="4" w:space="0" w:color="auto"/>
              <w:bottom w:val="single" w:sz="4" w:space="0" w:color="auto"/>
              <w:right w:val="single" w:sz="4" w:space="0" w:color="auto"/>
            </w:tcBorders>
            <w:noWrap/>
            <w:vAlign w:val="bottom"/>
            <w:hideMark/>
          </w:tcPr>
          <w:p w:rsidR="00333585" w:rsidRPr="00333585" w:rsidRDefault="00333585" w:rsidP="00333585">
            <w:pPr>
              <w:keepNext/>
              <w:jc w:val="left"/>
              <w:rPr>
                <w:rFonts w:eastAsia="Times New Roman"/>
                <w:sz w:val="24"/>
                <w:szCs w:val="24"/>
                <w:lang w:eastAsia="ru-RU"/>
              </w:rPr>
            </w:pPr>
          </w:p>
        </w:tc>
        <w:tc>
          <w:tcPr>
            <w:tcW w:w="968" w:type="dxa"/>
            <w:tcBorders>
              <w:top w:val="single" w:sz="4" w:space="0" w:color="auto"/>
              <w:left w:val="single" w:sz="4" w:space="0" w:color="auto"/>
              <w:bottom w:val="single" w:sz="4" w:space="0" w:color="auto"/>
              <w:right w:val="single" w:sz="4" w:space="0" w:color="auto"/>
            </w:tcBorders>
            <w:noWrap/>
            <w:vAlign w:val="center"/>
          </w:tcPr>
          <w:p w:rsidR="00333585" w:rsidRPr="00333585" w:rsidRDefault="00333585" w:rsidP="00333585">
            <w:pPr>
              <w:keepNext/>
              <w:jc w:val="center"/>
              <w:rPr>
                <w:rFonts w:eastAsia="Times New Roman"/>
                <w:sz w:val="24"/>
                <w:szCs w:val="24"/>
                <w:lang w:eastAsia="ru-RU"/>
              </w:rPr>
            </w:pP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color w:val="000000"/>
                <w:sz w:val="24"/>
                <w:szCs w:val="24"/>
                <w:lang w:eastAsia="ru-RU"/>
              </w:rPr>
            </w:pPr>
          </w:p>
        </w:tc>
        <w:tc>
          <w:tcPr>
            <w:tcW w:w="968" w:type="dxa"/>
            <w:tcBorders>
              <w:top w:val="single" w:sz="4" w:space="0" w:color="auto"/>
              <w:left w:val="single" w:sz="4" w:space="0" w:color="auto"/>
              <w:bottom w:val="single" w:sz="4" w:space="0" w:color="auto"/>
              <w:right w:val="single" w:sz="4" w:space="0" w:color="auto"/>
            </w:tcBorders>
            <w:noWrap/>
            <w:vAlign w:val="center"/>
          </w:tcPr>
          <w:p w:rsidR="00333585" w:rsidRPr="00333585" w:rsidRDefault="00333585" w:rsidP="00333585">
            <w:pPr>
              <w:keepNext/>
              <w:jc w:val="center"/>
              <w:rPr>
                <w:rFonts w:eastAsia="Times New Roman"/>
                <w:color w:val="000000"/>
                <w:sz w:val="24"/>
                <w:szCs w:val="24"/>
                <w:lang w:eastAsia="ru-RU"/>
              </w:rPr>
            </w:pPr>
            <w:r w:rsidRPr="00333585">
              <w:rPr>
                <w:rFonts w:eastAsia="Times New Roman"/>
                <w:color w:val="000000"/>
                <w:sz w:val="24"/>
                <w:szCs w:val="24"/>
                <w:lang w:eastAsia="ru-RU"/>
              </w:rPr>
              <w:t>96,2</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color w:val="000000"/>
                <w:sz w:val="24"/>
                <w:szCs w:val="24"/>
                <w:lang w:eastAsia="ru-RU"/>
              </w:rPr>
            </w:pPr>
            <w:r w:rsidRPr="00333585">
              <w:rPr>
                <w:rFonts w:eastAsia="Times New Roman"/>
                <w:color w:val="000000"/>
                <w:sz w:val="24"/>
                <w:szCs w:val="24"/>
                <w:lang w:eastAsia="ru-RU"/>
              </w:rPr>
              <w:t>112,4</w:t>
            </w:r>
          </w:p>
        </w:tc>
        <w:tc>
          <w:tcPr>
            <w:tcW w:w="968" w:type="dxa"/>
            <w:tcBorders>
              <w:top w:val="single" w:sz="4" w:space="0" w:color="auto"/>
              <w:left w:val="single" w:sz="4" w:space="0" w:color="auto"/>
              <w:bottom w:val="single" w:sz="4" w:space="0" w:color="auto"/>
              <w:right w:val="single" w:sz="4" w:space="0" w:color="auto"/>
            </w:tcBorders>
            <w:noWrap/>
            <w:vAlign w:val="center"/>
          </w:tcPr>
          <w:p w:rsidR="00333585" w:rsidRPr="00333585" w:rsidRDefault="00333585" w:rsidP="00333585">
            <w:pPr>
              <w:keepNext/>
              <w:jc w:val="center"/>
              <w:rPr>
                <w:rFonts w:eastAsia="Times New Roman"/>
                <w:color w:val="000000"/>
                <w:sz w:val="24"/>
                <w:szCs w:val="24"/>
                <w:lang w:eastAsia="ru-RU"/>
              </w:rPr>
            </w:pPr>
            <w:r w:rsidRPr="00333585">
              <w:rPr>
                <w:rFonts w:eastAsia="Times New Roman"/>
                <w:color w:val="000000"/>
                <w:sz w:val="24"/>
                <w:szCs w:val="24"/>
                <w:lang w:eastAsia="ru-RU"/>
              </w:rPr>
              <w:t>0,80</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color w:val="000000"/>
                <w:sz w:val="24"/>
                <w:szCs w:val="24"/>
                <w:lang w:eastAsia="ru-RU"/>
              </w:rPr>
            </w:pPr>
            <w:r w:rsidRPr="00333585">
              <w:rPr>
                <w:rFonts w:eastAsia="Times New Roman"/>
                <w:color w:val="000000"/>
                <w:sz w:val="24"/>
                <w:szCs w:val="24"/>
                <w:lang w:eastAsia="ru-RU"/>
              </w:rPr>
              <w:t>0,86</w:t>
            </w:r>
          </w:p>
        </w:tc>
      </w:tr>
    </w:tbl>
    <w:p w:rsidR="00D310AF" w:rsidRDefault="00333585" w:rsidP="00362A09">
      <w:pPr>
        <w:jc w:val="right"/>
        <w:rPr>
          <w:i/>
          <w:lang w:val="ru-RU"/>
        </w:rPr>
      </w:pPr>
      <w:r w:rsidRPr="00333585">
        <w:rPr>
          <w:i/>
          <w:lang w:val="ru-RU"/>
        </w:rPr>
        <w:t>Продовження додаток Е-20</w:t>
      </w:r>
    </w:p>
    <w:p w:rsidR="00D310AF" w:rsidRPr="004B24A2" w:rsidRDefault="00D310AF" w:rsidP="00D310AF">
      <w:pPr>
        <w:rPr>
          <w:i/>
          <w:sz w:val="20"/>
          <w:szCs w:val="20"/>
        </w:rPr>
      </w:pPr>
      <w:r w:rsidRPr="004B24A2">
        <w:rPr>
          <w:i/>
          <w:sz w:val="20"/>
          <w:szCs w:val="20"/>
        </w:rPr>
        <w:t>Для таблиць : * – показник не оцінювався</w:t>
      </w:r>
      <w:r w:rsidRPr="004B24A2">
        <w:rPr>
          <w:i/>
          <w:sz w:val="20"/>
          <w:szCs w:val="20"/>
          <w:lang w:val="ru-RU"/>
        </w:rPr>
        <w:t xml:space="preserve">  </w:t>
      </w:r>
      <w:r w:rsidRPr="004B24A2">
        <w:rPr>
          <w:i/>
          <w:sz w:val="20"/>
          <w:szCs w:val="20"/>
        </w:rPr>
        <w:t>** – немає даних</w:t>
      </w:r>
    </w:p>
    <w:p w:rsidR="00D310AF" w:rsidRPr="00D310AF" w:rsidRDefault="00D310AF" w:rsidP="00D310AF"/>
    <w:p w:rsidR="00D310AF" w:rsidRPr="00D310AF" w:rsidRDefault="00D310AF" w:rsidP="00D310AF">
      <w:pPr>
        <w:rPr>
          <w:lang w:val="ru-RU"/>
        </w:rPr>
      </w:pPr>
    </w:p>
    <w:p w:rsidR="00D310AF" w:rsidRPr="00D310AF" w:rsidRDefault="00D310AF" w:rsidP="00D310AF">
      <w:pPr>
        <w:rPr>
          <w:lang w:val="ru-RU"/>
        </w:rPr>
      </w:pPr>
    </w:p>
    <w:p w:rsidR="00D310AF" w:rsidRPr="00D310AF" w:rsidRDefault="00D310AF" w:rsidP="00D310AF">
      <w:pPr>
        <w:rPr>
          <w:lang w:val="ru-RU"/>
        </w:rPr>
      </w:pPr>
    </w:p>
    <w:p w:rsidR="00D310AF" w:rsidRPr="00D310AF" w:rsidRDefault="00D310AF" w:rsidP="00D310AF">
      <w:pPr>
        <w:rPr>
          <w:lang w:val="ru-RU"/>
        </w:rPr>
      </w:pPr>
    </w:p>
    <w:p w:rsidR="00D310AF" w:rsidRPr="00D310AF" w:rsidRDefault="00D310AF" w:rsidP="00D310AF">
      <w:pPr>
        <w:rPr>
          <w:lang w:val="ru-RU"/>
        </w:rPr>
      </w:pPr>
    </w:p>
    <w:p w:rsidR="00983FA2" w:rsidRPr="00D310AF" w:rsidRDefault="00983FA2" w:rsidP="00D310AF">
      <w:pPr>
        <w:rPr>
          <w:lang w:val="ru-RU"/>
        </w:rPr>
      </w:pPr>
    </w:p>
    <w:p w:rsidR="00C43972" w:rsidRPr="00333585" w:rsidRDefault="005217B7" w:rsidP="00362A09">
      <w:pPr>
        <w:keepNext/>
        <w:pageBreakBefore/>
        <w:jc w:val="right"/>
        <w:rPr>
          <w:rFonts w:eastAsia="Times New Roman"/>
          <w:bCs/>
          <w:iCs/>
          <w:color w:val="000000"/>
          <w:szCs w:val="28"/>
          <w:lang w:eastAsia="uk-UA"/>
        </w:rPr>
      </w:pPr>
      <w:r w:rsidRPr="00333585">
        <w:rPr>
          <w:rFonts w:eastAsia="Times New Roman"/>
          <w:bCs/>
          <w:iCs/>
          <w:color w:val="000000"/>
          <w:szCs w:val="28"/>
          <w:lang w:eastAsia="uk-UA"/>
        </w:rPr>
        <w:lastRenderedPageBreak/>
        <w:t>Додаток Е</w:t>
      </w:r>
      <w:r w:rsidR="00C43972" w:rsidRPr="00333585">
        <w:rPr>
          <w:rFonts w:eastAsia="Times New Roman"/>
          <w:bCs/>
          <w:iCs/>
          <w:color w:val="000000"/>
          <w:szCs w:val="28"/>
          <w:lang w:eastAsia="uk-UA"/>
        </w:rPr>
        <w:t>-21</w:t>
      </w:r>
    </w:p>
    <w:p w:rsidR="00C43972" w:rsidRPr="00362A09" w:rsidRDefault="00C43972" w:rsidP="00362A09">
      <w:pPr>
        <w:keepNext/>
        <w:jc w:val="center"/>
        <w:rPr>
          <w:rFonts w:eastAsia="Times New Roman"/>
          <w:b/>
          <w:sz w:val="24"/>
          <w:szCs w:val="24"/>
          <w:lang w:eastAsia="ru-RU"/>
        </w:rPr>
      </w:pPr>
      <w:r w:rsidRPr="00362A09">
        <w:rPr>
          <w:rFonts w:eastAsia="Times New Roman"/>
          <w:b/>
          <w:bCs/>
          <w:iCs/>
          <w:color w:val="000000"/>
          <w:szCs w:val="28"/>
          <w:lang w:eastAsia="uk-UA"/>
        </w:rPr>
        <w:t xml:space="preserve">Комплексна оцінка діяльності закладів перинатальної допомоги Тернопільської </w:t>
      </w:r>
      <w:r w:rsidRPr="00362A09">
        <w:rPr>
          <w:rFonts w:eastAsia="Times New Roman"/>
          <w:b/>
          <w:bCs/>
          <w:iCs/>
          <w:color w:val="000000"/>
          <w:sz w:val="26"/>
          <w:szCs w:val="26"/>
          <w:lang w:eastAsia="uk-UA"/>
        </w:rPr>
        <w:t xml:space="preserve">області у </w:t>
      </w:r>
      <w:r w:rsidRPr="00362A09">
        <w:rPr>
          <w:rFonts w:eastAsia="Times New Roman"/>
          <w:b/>
          <w:bCs/>
          <w:iCs/>
          <w:color w:val="000000"/>
          <w:szCs w:val="28"/>
          <w:lang w:eastAsia="uk-UA"/>
        </w:rPr>
        <w:t>2017–2018 рр.</w:t>
      </w:r>
    </w:p>
    <w:tbl>
      <w:tblPr>
        <w:tblW w:w="10347" w:type="dxa"/>
        <w:jc w:val="center"/>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36"/>
        <w:gridCol w:w="968"/>
        <w:gridCol w:w="969"/>
        <w:gridCol w:w="968"/>
        <w:gridCol w:w="969"/>
        <w:gridCol w:w="968"/>
        <w:gridCol w:w="969"/>
      </w:tblGrid>
      <w:tr w:rsidR="00333585" w:rsidRPr="00333585" w:rsidTr="00333585">
        <w:trPr>
          <w:cantSplit/>
          <w:trHeight w:val="510"/>
          <w:jc w:val="center"/>
        </w:trPr>
        <w:tc>
          <w:tcPr>
            <w:tcW w:w="4536" w:type="dxa"/>
            <w:vMerge w:val="restart"/>
            <w:tcBorders>
              <w:top w:val="single" w:sz="4" w:space="0" w:color="auto"/>
              <w:left w:val="single" w:sz="4" w:space="0" w:color="auto"/>
              <w:right w:val="single" w:sz="4" w:space="0" w:color="auto"/>
            </w:tcBorders>
            <w:vAlign w:val="center"/>
            <w:hideMark/>
          </w:tcPr>
          <w:p w:rsidR="00333585" w:rsidRPr="00333585" w:rsidRDefault="00333585" w:rsidP="00333585">
            <w:pPr>
              <w:keepNext/>
              <w:jc w:val="center"/>
              <w:rPr>
                <w:rFonts w:eastAsia="Times New Roman"/>
                <w:color w:val="000000"/>
                <w:sz w:val="24"/>
                <w:szCs w:val="24"/>
                <w:lang w:eastAsia="uk-UA"/>
              </w:rPr>
            </w:pPr>
            <w:r w:rsidRPr="00333585">
              <w:rPr>
                <w:rFonts w:eastAsia="Times New Roman"/>
                <w:color w:val="000000"/>
                <w:sz w:val="24"/>
                <w:szCs w:val="24"/>
                <w:lang w:eastAsia="uk-UA"/>
              </w:rPr>
              <w:t>Індикатор якості</w:t>
            </w:r>
          </w:p>
        </w:tc>
        <w:tc>
          <w:tcPr>
            <w:tcW w:w="1937" w:type="dxa"/>
            <w:gridSpan w:val="2"/>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color w:val="000000"/>
                <w:sz w:val="24"/>
                <w:szCs w:val="24"/>
                <w:lang w:eastAsia="uk-UA"/>
              </w:rPr>
            </w:pPr>
            <w:r w:rsidRPr="00333585">
              <w:rPr>
                <w:rFonts w:eastAsia="Times New Roman"/>
                <w:color w:val="000000"/>
                <w:sz w:val="24"/>
                <w:szCs w:val="24"/>
                <w:lang w:eastAsia="uk-UA"/>
              </w:rPr>
              <w:t xml:space="preserve">Фактичний показник, </w:t>
            </w:r>
            <w:r w:rsidRPr="00333585">
              <w:rPr>
                <w:rFonts w:eastAsia="Times New Roman"/>
                <w:sz w:val="24"/>
                <w:szCs w:val="24"/>
                <w:lang w:eastAsia="uk-UA"/>
              </w:rPr>
              <w:t>Україна</w:t>
            </w:r>
          </w:p>
        </w:tc>
        <w:tc>
          <w:tcPr>
            <w:tcW w:w="1937" w:type="dxa"/>
            <w:gridSpan w:val="2"/>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color w:val="000000"/>
                <w:sz w:val="24"/>
                <w:szCs w:val="24"/>
                <w:lang w:eastAsia="uk-UA"/>
              </w:rPr>
            </w:pPr>
            <w:r w:rsidRPr="00333585">
              <w:rPr>
                <w:rFonts w:eastAsia="Times New Roman"/>
                <w:color w:val="000000"/>
                <w:sz w:val="24"/>
                <w:szCs w:val="24"/>
                <w:lang w:eastAsia="uk-UA"/>
              </w:rPr>
              <w:t>Бальна оцінка фактичного показника</w:t>
            </w:r>
          </w:p>
        </w:tc>
        <w:tc>
          <w:tcPr>
            <w:tcW w:w="1937" w:type="dxa"/>
            <w:gridSpan w:val="2"/>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color w:val="000000"/>
                <w:sz w:val="24"/>
                <w:szCs w:val="24"/>
                <w:lang w:eastAsia="uk-UA"/>
              </w:rPr>
            </w:pPr>
            <w:r w:rsidRPr="00333585">
              <w:rPr>
                <w:rFonts w:eastAsia="Times New Roman"/>
                <w:color w:val="000000"/>
                <w:sz w:val="24"/>
                <w:szCs w:val="24"/>
                <w:lang w:eastAsia="uk-UA"/>
              </w:rPr>
              <w:t>КДНЗ</w:t>
            </w:r>
          </w:p>
        </w:tc>
      </w:tr>
      <w:tr w:rsidR="00333585" w:rsidRPr="00333585" w:rsidTr="00333585">
        <w:trPr>
          <w:trHeight w:val="404"/>
          <w:jc w:val="center"/>
        </w:trPr>
        <w:tc>
          <w:tcPr>
            <w:tcW w:w="4536" w:type="dxa"/>
            <w:vMerge/>
            <w:tcBorders>
              <w:left w:val="single" w:sz="4" w:space="0" w:color="auto"/>
              <w:bottom w:val="single" w:sz="4" w:space="0" w:color="auto"/>
              <w:right w:val="single" w:sz="4" w:space="0" w:color="auto"/>
            </w:tcBorders>
            <w:vAlign w:val="bottom"/>
          </w:tcPr>
          <w:p w:rsidR="00333585" w:rsidRPr="00333585" w:rsidRDefault="00333585" w:rsidP="00333585">
            <w:pPr>
              <w:keepNext/>
              <w:jc w:val="left"/>
              <w:rPr>
                <w:rFonts w:eastAsia="Times New Roman"/>
                <w:sz w:val="24"/>
                <w:szCs w:val="24"/>
                <w:lang w:eastAsia="ru-RU"/>
              </w:rPr>
            </w:pP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2017 р.</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color w:val="000000"/>
                <w:sz w:val="24"/>
                <w:szCs w:val="24"/>
                <w:lang w:eastAsia="ru-RU"/>
              </w:rPr>
            </w:pPr>
            <w:r w:rsidRPr="00333585">
              <w:rPr>
                <w:rFonts w:eastAsia="Times New Roman"/>
                <w:color w:val="000000"/>
                <w:sz w:val="24"/>
                <w:szCs w:val="24"/>
                <w:lang w:eastAsia="ru-RU"/>
              </w:rPr>
              <w:t>2018 р.</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2017 р.</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2017 р.</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color w:val="000000"/>
                <w:sz w:val="24"/>
                <w:szCs w:val="24"/>
                <w:lang w:eastAsia="ru-RU"/>
              </w:rPr>
            </w:pPr>
            <w:r w:rsidRPr="00333585">
              <w:rPr>
                <w:rFonts w:eastAsia="Times New Roman"/>
                <w:color w:val="000000"/>
                <w:sz w:val="24"/>
                <w:szCs w:val="24"/>
                <w:lang w:eastAsia="ru-RU"/>
              </w:rPr>
              <w:t>2018 р.</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2017 р.</w:t>
            </w:r>
          </w:p>
        </w:tc>
      </w:tr>
      <w:tr w:rsidR="00333585" w:rsidRPr="00333585" w:rsidTr="00333585">
        <w:trPr>
          <w:trHeight w:val="404"/>
          <w:jc w:val="center"/>
        </w:trPr>
        <w:tc>
          <w:tcPr>
            <w:tcW w:w="4536"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left"/>
              <w:rPr>
                <w:rFonts w:eastAsia="Times New Roman"/>
                <w:sz w:val="24"/>
                <w:szCs w:val="24"/>
                <w:lang w:eastAsia="ru-RU"/>
              </w:rPr>
            </w:pPr>
            <w:r w:rsidRPr="00333585">
              <w:rPr>
                <w:rFonts w:eastAsia="Times New Roman"/>
                <w:sz w:val="24"/>
                <w:szCs w:val="24"/>
                <w:lang w:eastAsia="ru-RU"/>
              </w:rPr>
              <w:t>Забезпеченість  лікарями акушер-гінекологами</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5,17</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5,34</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5,64</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5,83</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0,94</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0,97</w:t>
            </w:r>
          </w:p>
        </w:tc>
      </w:tr>
      <w:tr w:rsidR="00333585" w:rsidRPr="00333585" w:rsidTr="00333585">
        <w:trPr>
          <w:trHeight w:val="404"/>
          <w:jc w:val="center"/>
        </w:trPr>
        <w:tc>
          <w:tcPr>
            <w:tcW w:w="4536" w:type="dxa"/>
            <w:tcBorders>
              <w:top w:val="single" w:sz="4" w:space="0" w:color="auto"/>
              <w:left w:val="single" w:sz="4" w:space="0" w:color="auto"/>
              <w:bottom w:val="single" w:sz="4" w:space="0" w:color="auto"/>
              <w:right w:val="single" w:sz="4" w:space="0" w:color="auto"/>
            </w:tcBorders>
            <w:vAlign w:val="bottom"/>
          </w:tcPr>
          <w:p w:rsidR="00333585" w:rsidRPr="00333585" w:rsidRDefault="00333585" w:rsidP="00333585">
            <w:pPr>
              <w:keepNext/>
              <w:jc w:val="left"/>
              <w:rPr>
                <w:rFonts w:eastAsia="Times New Roman"/>
                <w:sz w:val="24"/>
                <w:szCs w:val="24"/>
                <w:lang w:eastAsia="ru-RU"/>
              </w:rPr>
            </w:pPr>
            <w:r w:rsidRPr="00333585">
              <w:rPr>
                <w:rFonts w:eastAsia="Times New Roman"/>
                <w:sz w:val="24"/>
                <w:szCs w:val="24"/>
                <w:lang w:eastAsia="ru-RU"/>
              </w:rPr>
              <w:t>Забезпеченість  лікарями  педіатрами-неонатологами</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4,86</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4,96</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5,30</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5,41</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0,88</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0,90</w:t>
            </w:r>
          </w:p>
        </w:tc>
      </w:tr>
      <w:tr w:rsidR="00333585" w:rsidRPr="00333585" w:rsidTr="00333585">
        <w:trPr>
          <w:trHeight w:val="404"/>
          <w:jc w:val="center"/>
        </w:trPr>
        <w:tc>
          <w:tcPr>
            <w:tcW w:w="4536" w:type="dxa"/>
            <w:tcBorders>
              <w:top w:val="single" w:sz="4" w:space="0" w:color="auto"/>
              <w:left w:val="single" w:sz="4" w:space="0" w:color="auto"/>
              <w:bottom w:val="single" w:sz="4" w:space="0" w:color="auto"/>
              <w:right w:val="single" w:sz="4" w:space="0" w:color="auto"/>
            </w:tcBorders>
            <w:vAlign w:val="bottom"/>
          </w:tcPr>
          <w:p w:rsidR="00333585" w:rsidRPr="00333585" w:rsidRDefault="00333585" w:rsidP="00333585">
            <w:pPr>
              <w:keepNext/>
              <w:jc w:val="left"/>
              <w:rPr>
                <w:rFonts w:eastAsia="Times New Roman"/>
                <w:sz w:val="24"/>
                <w:szCs w:val="24"/>
                <w:lang w:eastAsia="ru-RU"/>
              </w:rPr>
            </w:pPr>
            <w:r w:rsidRPr="00333585">
              <w:rPr>
                <w:rFonts w:eastAsia="Times New Roman"/>
                <w:sz w:val="24"/>
                <w:szCs w:val="24"/>
                <w:lang w:eastAsia="ru-RU"/>
              </w:rPr>
              <w:t>Питома вага атестованих лікарів акушер-гінекологів</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78,86</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5,26</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0,88</w:t>
            </w:r>
          </w:p>
        </w:tc>
      </w:tr>
      <w:tr w:rsidR="00333585" w:rsidRPr="00333585" w:rsidTr="00333585">
        <w:trPr>
          <w:trHeight w:val="404"/>
          <w:jc w:val="center"/>
        </w:trPr>
        <w:tc>
          <w:tcPr>
            <w:tcW w:w="4536" w:type="dxa"/>
            <w:tcBorders>
              <w:top w:val="single" w:sz="4" w:space="0" w:color="auto"/>
              <w:left w:val="single" w:sz="4" w:space="0" w:color="auto"/>
              <w:bottom w:val="single" w:sz="4" w:space="0" w:color="auto"/>
              <w:right w:val="single" w:sz="4" w:space="0" w:color="auto"/>
            </w:tcBorders>
            <w:vAlign w:val="bottom"/>
          </w:tcPr>
          <w:p w:rsidR="00333585" w:rsidRPr="00333585" w:rsidRDefault="00333585" w:rsidP="00333585">
            <w:pPr>
              <w:keepNext/>
              <w:jc w:val="left"/>
              <w:rPr>
                <w:rFonts w:eastAsia="Times New Roman"/>
                <w:sz w:val="24"/>
                <w:szCs w:val="24"/>
                <w:lang w:eastAsia="ru-RU"/>
              </w:rPr>
            </w:pPr>
            <w:r w:rsidRPr="00333585">
              <w:rPr>
                <w:rFonts w:eastAsia="Times New Roman"/>
                <w:sz w:val="24"/>
                <w:szCs w:val="24"/>
                <w:lang w:eastAsia="ru-RU"/>
              </w:rPr>
              <w:t>Питома вага атестованих лікарів педіатрів-неонатологів</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88,10</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6,0</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1,00</w:t>
            </w:r>
          </w:p>
        </w:tc>
      </w:tr>
      <w:tr w:rsidR="00333585" w:rsidRPr="00333585" w:rsidTr="00333585">
        <w:trPr>
          <w:trHeight w:val="218"/>
          <w:jc w:val="center"/>
        </w:trPr>
        <w:tc>
          <w:tcPr>
            <w:tcW w:w="4536"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left"/>
              <w:rPr>
                <w:rFonts w:eastAsia="Times New Roman"/>
                <w:sz w:val="24"/>
                <w:szCs w:val="24"/>
                <w:lang w:eastAsia="ru-RU"/>
              </w:rPr>
            </w:pPr>
            <w:r w:rsidRPr="00333585">
              <w:rPr>
                <w:rFonts w:eastAsia="Times New Roman"/>
                <w:sz w:val="24"/>
                <w:szCs w:val="24"/>
                <w:lang w:eastAsia="ru-RU"/>
              </w:rPr>
              <w:t xml:space="preserve">Своєчасність постановки на облік вагітних </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color w:val="000000"/>
                <w:sz w:val="24"/>
                <w:szCs w:val="24"/>
                <w:lang w:eastAsia="ru-RU"/>
              </w:rPr>
            </w:pPr>
            <w:r w:rsidRPr="00333585">
              <w:rPr>
                <w:rFonts w:eastAsia="Times New Roman"/>
                <w:color w:val="000000"/>
                <w:sz w:val="24"/>
                <w:szCs w:val="24"/>
                <w:lang w:eastAsia="ru-RU"/>
              </w:rPr>
              <w:t>97,1</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97,22</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color w:val="000000"/>
                <w:sz w:val="24"/>
                <w:szCs w:val="24"/>
                <w:lang w:eastAsia="ru-RU"/>
              </w:rPr>
            </w:pPr>
            <w:r w:rsidRPr="00333585">
              <w:rPr>
                <w:rFonts w:eastAsia="Times New Roman"/>
                <w:color w:val="000000"/>
                <w:sz w:val="24"/>
                <w:szCs w:val="24"/>
                <w:lang w:eastAsia="ru-RU"/>
              </w:rPr>
              <w:t>7,00</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7,0</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color w:val="000000"/>
                <w:sz w:val="24"/>
                <w:szCs w:val="24"/>
                <w:lang w:eastAsia="ru-RU"/>
              </w:rPr>
            </w:pPr>
            <w:r w:rsidRPr="00333585">
              <w:rPr>
                <w:rFonts w:eastAsia="Times New Roman"/>
                <w:color w:val="000000"/>
                <w:sz w:val="24"/>
                <w:szCs w:val="24"/>
                <w:lang w:eastAsia="ru-RU"/>
              </w:rPr>
              <w:t>1,00</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1,00</w:t>
            </w:r>
          </w:p>
        </w:tc>
      </w:tr>
      <w:tr w:rsidR="00333585" w:rsidRPr="00333585" w:rsidTr="00333585">
        <w:trPr>
          <w:trHeight w:val="222"/>
          <w:jc w:val="center"/>
        </w:trPr>
        <w:tc>
          <w:tcPr>
            <w:tcW w:w="4536"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left"/>
              <w:rPr>
                <w:rFonts w:eastAsia="Times New Roman"/>
                <w:sz w:val="24"/>
                <w:szCs w:val="24"/>
                <w:lang w:eastAsia="ru-RU"/>
              </w:rPr>
            </w:pPr>
            <w:r w:rsidRPr="00333585">
              <w:rPr>
                <w:rFonts w:eastAsia="Times New Roman"/>
                <w:sz w:val="24"/>
                <w:szCs w:val="24"/>
                <w:lang w:eastAsia="ru-RU"/>
              </w:rPr>
              <w:t>Частота анемій вагітних</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color w:val="000000"/>
                <w:sz w:val="24"/>
                <w:szCs w:val="24"/>
                <w:lang w:eastAsia="ru-RU"/>
              </w:rPr>
            </w:pPr>
            <w:r w:rsidRPr="00333585">
              <w:rPr>
                <w:rFonts w:eastAsia="Times New Roman"/>
                <w:color w:val="000000"/>
                <w:sz w:val="24"/>
                <w:szCs w:val="24"/>
                <w:lang w:eastAsia="ru-RU"/>
              </w:rPr>
              <w:t>19,6</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18,37</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color w:val="000000"/>
                <w:sz w:val="24"/>
                <w:szCs w:val="24"/>
                <w:lang w:eastAsia="ru-RU"/>
              </w:rPr>
            </w:pPr>
            <w:r w:rsidRPr="00333585">
              <w:rPr>
                <w:rFonts w:eastAsia="Times New Roman"/>
                <w:color w:val="000000"/>
                <w:sz w:val="24"/>
                <w:szCs w:val="24"/>
                <w:lang w:eastAsia="ru-RU"/>
              </w:rPr>
              <w:t>4,00</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4,0</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color w:val="000000"/>
                <w:sz w:val="24"/>
                <w:szCs w:val="24"/>
                <w:lang w:eastAsia="ru-RU"/>
              </w:rPr>
            </w:pPr>
            <w:r w:rsidRPr="00333585">
              <w:rPr>
                <w:rFonts w:eastAsia="Times New Roman"/>
                <w:color w:val="000000"/>
                <w:sz w:val="24"/>
                <w:szCs w:val="24"/>
                <w:lang w:eastAsia="ru-RU"/>
              </w:rPr>
              <w:t>1,00</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1,00</w:t>
            </w:r>
          </w:p>
        </w:tc>
      </w:tr>
      <w:tr w:rsidR="00333585" w:rsidRPr="00333585" w:rsidTr="00333585">
        <w:trPr>
          <w:trHeight w:val="319"/>
          <w:jc w:val="center"/>
        </w:trPr>
        <w:tc>
          <w:tcPr>
            <w:tcW w:w="4536"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left"/>
              <w:rPr>
                <w:rFonts w:eastAsia="Times New Roman"/>
                <w:sz w:val="24"/>
                <w:szCs w:val="24"/>
                <w:lang w:eastAsia="ru-RU"/>
              </w:rPr>
            </w:pPr>
            <w:r w:rsidRPr="00333585">
              <w:rPr>
                <w:rFonts w:eastAsia="Times New Roman"/>
                <w:sz w:val="24"/>
                <w:szCs w:val="24"/>
                <w:lang w:eastAsia="ru-RU"/>
              </w:rPr>
              <w:t>Частота прееклампсій та еклампсій вагітних</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color w:val="000000"/>
                <w:sz w:val="24"/>
                <w:szCs w:val="24"/>
                <w:lang w:eastAsia="ru-RU"/>
              </w:rPr>
            </w:pPr>
            <w:r w:rsidRPr="00333585">
              <w:rPr>
                <w:rFonts w:eastAsia="Times New Roman"/>
                <w:color w:val="000000"/>
                <w:sz w:val="24"/>
                <w:szCs w:val="24"/>
                <w:lang w:eastAsia="ru-RU"/>
              </w:rPr>
              <w:t>1,46</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1,70</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color w:val="000000"/>
                <w:sz w:val="24"/>
                <w:szCs w:val="24"/>
                <w:lang w:eastAsia="ru-RU"/>
              </w:rPr>
            </w:pPr>
            <w:r w:rsidRPr="00333585">
              <w:rPr>
                <w:rFonts w:eastAsia="Times New Roman"/>
                <w:color w:val="000000"/>
                <w:sz w:val="24"/>
                <w:szCs w:val="24"/>
                <w:lang w:eastAsia="ru-RU"/>
              </w:rPr>
              <w:t>7,00</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7,0</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color w:val="000000"/>
                <w:sz w:val="24"/>
                <w:szCs w:val="24"/>
                <w:lang w:eastAsia="ru-RU"/>
              </w:rPr>
            </w:pPr>
            <w:r w:rsidRPr="00333585">
              <w:rPr>
                <w:rFonts w:eastAsia="Times New Roman"/>
                <w:color w:val="000000"/>
                <w:sz w:val="24"/>
                <w:szCs w:val="24"/>
                <w:lang w:eastAsia="ru-RU"/>
              </w:rPr>
              <w:t>1,00</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1,00</w:t>
            </w:r>
          </w:p>
        </w:tc>
      </w:tr>
      <w:tr w:rsidR="00333585" w:rsidRPr="00333585" w:rsidTr="00333585">
        <w:trPr>
          <w:trHeight w:val="284"/>
          <w:jc w:val="center"/>
        </w:trPr>
        <w:tc>
          <w:tcPr>
            <w:tcW w:w="4536"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left"/>
              <w:rPr>
                <w:rFonts w:eastAsia="Times New Roman"/>
                <w:sz w:val="24"/>
                <w:szCs w:val="24"/>
                <w:lang w:eastAsia="ru-RU"/>
              </w:rPr>
            </w:pPr>
            <w:r w:rsidRPr="00333585">
              <w:rPr>
                <w:rFonts w:eastAsia="Times New Roman"/>
                <w:sz w:val="24"/>
                <w:szCs w:val="24"/>
                <w:lang w:eastAsia="ru-RU"/>
              </w:rPr>
              <w:t>Співвідношення безпечних методів абортів до небезпечних</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color w:val="000000"/>
                <w:sz w:val="24"/>
                <w:szCs w:val="24"/>
                <w:lang w:eastAsia="ru-RU"/>
              </w:rPr>
            </w:pPr>
            <w:r w:rsidRPr="00333585">
              <w:rPr>
                <w:rFonts w:eastAsia="Times New Roman"/>
                <w:color w:val="000000"/>
                <w:sz w:val="24"/>
                <w:szCs w:val="24"/>
                <w:lang w:eastAsia="ru-RU"/>
              </w:rPr>
              <w:t>490</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35,00</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color w:val="000000"/>
                <w:sz w:val="24"/>
                <w:szCs w:val="24"/>
                <w:lang w:eastAsia="ru-RU"/>
              </w:rPr>
            </w:pPr>
            <w:r w:rsidRPr="00333585">
              <w:rPr>
                <w:rFonts w:eastAsia="Times New Roman"/>
                <w:color w:val="000000"/>
                <w:sz w:val="24"/>
                <w:szCs w:val="24"/>
                <w:lang w:eastAsia="ru-RU"/>
              </w:rPr>
              <w:t>6,00</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5,95</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color w:val="000000"/>
                <w:sz w:val="24"/>
                <w:szCs w:val="24"/>
                <w:lang w:eastAsia="ru-RU"/>
              </w:rPr>
            </w:pPr>
            <w:r w:rsidRPr="00333585">
              <w:rPr>
                <w:rFonts w:eastAsia="Times New Roman"/>
                <w:color w:val="000000"/>
                <w:sz w:val="24"/>
                <w:szCs w:val="24"/>
                <w:lang w:eastAsia="ru-RU"/>
              </w:rPr>
              <w:t>1,00</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0,99</w:t>
            </w:r>
          </w:p>
        </w:tc>
      </w:tr>
      <w:tr w:rsidR="00333585" w:rsidRPr="00333585" w:rsidTr="00333585">
        <w:trPr>
          <w:trHeight w:val="340"/>
          <w:jc w:val="center"/>
        </w:trPr>
        <w:tc>
          <w:tcPr>
            <w:tcW w:w="4536" w:type="dxa"/>
            <w:tcBorders>
              <w:top w:val="single" w:sz="4" w:space="0" w:color="auto"/>
              <w:left w:val="single" w:sz="4" w:space="0" w:color="auto"/>
              <w:bottom w:val="single" w:sz="4" w:space="0" w:color="auto"/>
              <w:right w:val="single" w:sz="4" w:space="0" w:color="auto"/>
            </w:tcBorders>
            <w:vAlign w:val="bottom"/>
          </w:tcPr>
          <w:p w:rsidR="00333585" w:rsidRPr="00333585" w:rsidRDefault="00333585" w:rsidP="00333585">
            <w:pPr>
              <w:keepNext/>
              <w:jc w:val="left"/>
              <w:rPr>
                <w:rFonts w:eastAsia="Times New Roman"/>
                <w:sz w:val="24"/>
                <w:szCs w:val="24"/>
                <w:lang w:eastAsia="ru-RU"/>
              </w:rPr>
            </w:pPr>
            <w:r w:rsidRPr="00333585">
              <w:rPr>
                <w:rFonts w:eastAsia="Times New Roman"/>
                <w:sz w:val="24"/>
                <w:szCs w:val="24"/>
                <w:lang w:eastAsia="ru-RU"/>
              </w:rPr>
              <w:t>Питома вага хворих виявлення в ранніх стадіях (І – ІІ) серед хворих з вперше встановленим діагнозом онкологія молочної залози</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79,30</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6,0</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1,00</w:t>
            </w:r>
          </w:p>
        </w:tc>
      </w:tr>
      <w:tr w:rsidR="00333585" w:rsidRPr="00333585" w:rsidTr="00333585">
        <w:trPr>
          <w:trHeight w:val="418"/>
          <w:jc w:val="center"/>
        </w:trPr>
        <w:tc>
          <w:tcPr>
            <w:tcW w:w="4536" w:type="dxa"/>
            <w:tcBorders>
              <w:top w:val="single" w:sz="4" w:space="0" w:color="auto"/>
              <w:left w:val="single" w:sz="4" w:space="0" w:color="auto"/>
              <w:bottom w:val="single" w:sz="4" w:space="0" w:color="auto"/>
              <w:right w:val="single" w:sz="4" w:space="0" w:color="auto"/>
            </w:tcBorders>
            <w:vAlign w:val="bottom"/>
          </w:tcPr>
          <w:p w:rsidR="00333585" w:rsidRPr="00333585" w:rsidRDefault="00333585" w:rsidP="00333585">
            <w:pPr>
              <w:keepNext/>
              <w:jc w:val="left"/>
              <w:rPr>
                <w:rFonts w:eastAsia="Times New Roman"/>
                <w:sz w:val="24"/>
                <w:szCs w:val="24"/>
                <w:lang w:eastAsia="ru-RU"/>
              </w:rPr>
            </w:pPr>
            <w:r w:rsidRPr="00333585">
              <w:rPr>
                <w:rFonts w:eastAsia="Times New Roman"/>
                <w:sz w:val="24"/>
                <w:szCs w:val="24"/>
                <w:lang w:eastAsia="ru-RU"/>
              </w:rPr>
              <w:t>Питома вага хворих виявлення в ранніх стадіях (І – ІІ) серед хворих з вперше встановленим діагнозом онкологія шийки матки</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87,60</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5,47</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0,91</w:t>
            </w:r>
          </w:p>
        </w:tc>
      </w:tr>
    </w:tbl>
    <w:p w:rsidR="00FB18E6" w:rsidRPr="004B24A2" w:rsidRDefault="00FB18E6" w:rsidP="00FB18E6">
      <w:pPr>
        <w:rPr>
          <w:i/>
          <w:sz w:val="20"/>
          <w:szCs w:val="20"/>
        </w:rPr>
      </w:pPr>
      <w:r>
        <w:rPr>
          <w:i/>
          <w:lang w:val="ru-RU"/>
        </w:rPr>
        <w:tab/>
      </w:r>
      <w:r w:rsidRPr="004B24A2">
        <w:rPr>
          <w:i/>
          <w:sz w:val="20"/>
          <w:szCs w:val="20"/>
        </w:rPr>
        <w:t>Для таблиць : * – показник не оцінювався</w:t>
      </w:r>
      <w:r w:rsidRPr="004B24A2">
        <w:rPr>
          <w:i/>
          <w:sz w:val="20"/>
          <w:szCs w:val="20"/>
          <w:lang w:val="ru-RU"/>
        </w:rPr>
        <w:t xml:space="preserve">  </w:t>
      </w:r>
      <w:r w:rsidRPr="004B24A2">
        <w:rPr>
          <w:i/>
          <w:sz w:val="20"/>
          <w:szCs w:val="20"/>
        </w:rPr>
        <w:t>** – немає даних</w:t>
      </w:r>
    </w:p>
    <w:p w:rsidR="00333585" w:rsidRPr="00FB18E6" w:rsidRDefault="00333585" w:rsidP="00FB18E6">
      <w:pPr>
        <w:tabs>
          <w:tab w:val="left" w:pos="440"/>
        </w:tabs>
        <w:rPr>
          <w:i/>
        </w:rPr>
      </w:pPr>
    </w:p>
    <w:p w:rsidR="00333585" w:rsidRDefault="00333585" w:rsidP="00333585">
      <w:pPr>
        <w:jc w:val="right"/>
        <w:rPr>
          <w:i/>
          <w:lang w:val="ru-RU"/>
        </w:rPr>
      </w:pPr>
    </w:p>
    <w:tbl>
      <w:tblPr>
        <w:tblpPr w:leftFromText="180" w:rightFromText="180" w:vertAnchor="text" w:horzAnchor="margin" w:tblpY="873"/>
        <w:tblW w:w="103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36"/>
        <w:gridCol w:w="968"/>
        <w:gridCol w:w="969"/>
        <w:gridCol w:w="968"/>
        <w:gridCol w:w="969"/>
        <w:gridCol w:w="968"/>
        <w:gridCol w:w="969"/>
      </w:tblGrid>
      <w:tr w:rsidR="00333585" w:rsidRPr="00333585" w:rsidTr="00333585">
        <w:trPr>
          <w:trHeight w:val="480"/>
        </w:trPr>
        <w:tc>
          <w:tcPr>
            <w:tcW w:w="4536" w:type="dxa"/>
            <w:tcBorders>
              <w:top w:val="single" w:sz="4" w:space="0" w:color="auto"/>
              <w:left w:val="single" w:sz="4" w:space="0" w:color="auto"/>
              <w:bottom w:val="single" w:sz="4" w:space="0" w:color="auto"/>
              <w:right w:val="single" w:sz="4" w:space="0" w:color="auto"/>
            </w:tcBorders>
          </w:tcPr>
          <w:p w:rsidR="00333585" w:rsidRPr="00333585" w:rsidRDefault="00333585" w:rsidP="00333585">
            <w:pPr>
              <w:keepNext/>
              <w:rPr>
                <w:rFonts w:eastAsia="Times New Roman"/>
                <w:color w:val="000000"/>
                <w:sz w:val="24"/>
                <w:szCs w:val="24"/>
                <w:lang w:eastAsia="uk-UA"/>
              </w:rPr>
            </w:pPr>
            <w:r w:rsidRPr="00333585">
              <w:rPr>
                <w:rFonts w:eastAsia="Times New Roman"/>
                <w:color w:val="000000"/>
                <w:sz w:val="24"/>
                <w:szCs w:val="24"/>
                <w:lang w:eastAsia="uk-UA"/>
              </w:rPr>
              <w:lastRenderedPageBreak/>
              <w:t>Індекс концентрації розродження вагітних з цукровим діабетом у ЗПД ІІІ рівня</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color w:val="000000"/>
                <w:sz w:val="24"/>
                <w:szCs w:val="24"/>
                <w:lang w:eastAsia="ru-RU"/>
              </w:rPr>
            </w:pPr>
            <w:r w:rsidRPr="00333585">
              <w:rPr>
                <w:rFonts w:eastAsia="Times New Roman"/>
                <w:color w:val="000000"/>
                <w:sz w:val="24"/>
                <w:szCs w:val="24"/>
                <w:lang w:eastAsia="ru-RU"/>
              </w:rPr>
              <w:t>88,24</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color w:val="000000"/>
                <w:sz w:val="24"/>
                <w:szCs w:val="24"/>
                <w:lang w:eastAsia="ru-RU"/>
              </w:rPr>
            </w:pPr>
            <w:r w:rsidRPr="00333585">
              <w:rPr>
                <w:rFonts w:eastAsia="Times New Roman"/>
                <w:color w:val="000000"/>
                <w:sz w:val="24"/>
                <w:szCs w:val="24"/>
                <w:lang w:eastAsia="ru-RU"/>
              </w:rPr>
              <w:t>7,00</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color w:val="000000"/>
                <w:sz w:val="24"/>
                <w:szCs w:val="24"/>
                <w:lang w:eastAsia="ru-RU"/>
              </w:rPr>
            </w:pPr>
            <w:r w:rsidRPr="00333585">
              <w:rPr>
                <w:rFonts w:eastAsia="Times New Roman"/>
                <w:color w:val="000000"/>
                <w:sz w:val="24"/>
                <w:szCs w:val="24"/>
                <w:lang w:eastAsia="ru-RU"/>
              </w:rPr>
              <w:t>1,00</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w:t>
            </w:r>
          </w:p>
        </w:tc>
      </w:tr>
      <w:tr w:rsidR="00333585" w:rsidRPr="00333585" w:rsidTr="00333585">
        <w:trPr>
          <w:trHeight w:val="600"/>
        </w:trPr>
        <w:tc>
          <w:tcPr>
            <w:tcW w:w="4536" w:type="dxa"/>
            <w:tcBorders>
              <w:top w:val="single" w:sz="4" w:space="0" w:color="auto"/>
              <w:left w:val="single" w:sz="4" w:space="0" w:color="auto"/>
              <w:bottom w:val="single" w:sz="4" w:space="0" w:color="auto"/>
              <w:right w:val="single" w:sz="4" w:space="0" w:color="auto"/>
            </w:tcBorders>
          </w:tcPr>
          <w:p w:rsidR="00333585" w:rsidRPr="00333585" w:rsidRDefault="00333585" w:rsidP="00333585">
            <w:pPr>
              <w:keepNext/>
              <w:rPr>
                <w:rFonts w:eastAsia="Times New Roman"/>
                <w:color w:val="000000"/>
                <w:sz w:val="24"/>
                <w:szCs w:val="24"/>
                <w:lang w:eastAsia="uk-UA"/>
              </w:rPr>
            </w:pPr>
            <w:r w:rsidRPr="00333585">
              <w:rPr>
                <w:rFonts w:eastAsia="Times New Roman"/>
                <w:color w:val="000000"/>
                <w:sz w:val="24"/>
                <w:szCs w:val="24"/>
                <w:lang w:eastAsia="uk-UA"/>
              </w:rPr>
              <w:t>Індекс концентрації розродження вагітних з  пре- еклампсією і еклампсією  у ЗПД ІІ-ІІІ рівнів</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color w:val="000000"/>
                <w:sz w:val="24"/>
                <w:szCs w:val="24"/>
                <w:lang w:eastAsia="ru-RU"/>
              </w:rPr>
            </w:pPr>
            <w:r w:rsidRPr="00333585">
              <w:rPr>
                <w:rFonts w:eastAsia="Times New Roman"/>
                <w:color w:val="000000"/>
                <w:sz w:val="24"/>
                <w:szCs w:val="24"/>
                <w:lang w:eastAsia="ru-RU"/>
              </w:rPr>
              <w:t>88,24</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color w:val="000000"/>
                <w:sz w:val="24"/>
                <w:szCs w:val="24"/>
                <w:lang w:eastAsia="ru-RU"/>
              </w:rPr>
            </w:pPr>
            <w:r w:rsidRPr="00333585">
              <w:rPr>
                <w:rFonts w:eastAsia="Times New Roman"/>
                <w:color w:val="000000"/>
                <w:sz w:val="24"/>
                <w:szCs w:val="24"/>
                <w:lang w:eastAsia="ru-RU"/>
              </w:rPr>
              <w:t>6,86</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color w:val="000000"/>
                <w:sz w:val="24"/>
                <w:szCs w:val="24"/>
                <w:lang w:eastAsia="ru-RU"/>
              </w:rPr>
            </w:pPr>
            <w:r w:rsidRPr="00333585">
              <w:rPr>
                <w:rFonts w:eastAsia="Times New Roman"/>
                <w:color w:val="000000"/>
                <w:sz w:val="24"/>
                <w:szCs w:val="24"/>
                <w:lang w:eastAsia="ru-RU"/>
              </w:rPr>
              <w:t>0,98</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w:t>
            </w:r>
          </w:p>
        </w:tc>
      </w:tr>
      <w:tr w:rsidR="00333585" w:rsidRPr="00333585" w:rsidTr="00333585">
        <w:trPr>
          <w:trHeight w:val="600"/>
        </w:trPr>
        <w:tc>
          <w:tcPr>
            <w:tcW w:w="4536" w:type="dxa"/>
            <w:tcBorders>
              <w:top w:val="single" w:sz="4" w:space="0" w:color="auto"/>
              <w:left w:val="single" w:sz="4" w:space="0" w:color="auto"/>
              <w:bottom w:val="single" w:sz="4" w:space="0" w:color="auto"/>
              <w:right w:val="single" w:sz="4" w:space="0" w:color="auto"/>
            </w:tcBorders>
          </w:tcPr>
          <w:p w:rsidR="00333585" w:rsidRPr="00333585" w:rsidRDefault="00333585" w:rsidP="00333585">
            <w:pPr>
              <w:keepNext/>
              <w:rPr>
                <w:rFonts w:eastAsia="Times New Roman"/>
                <w:color w:val="000000"/>
                <w:sz w:val="24"/>
                <w:szCs w:val="24"/>
                <w:lang w:eastAsia="uk-UA"/>
              </w:rPr>
            </w:pPr>
            <w:r w:rsidRPr="00333585">
              <w:rPr>
                <w:rFonts w:eastAsia="Times New Roman"/>
                <w:color w:val="000000"/>
                <w:sz w:val="24"/>
                <w:szCs w:val="24"/>
                <w:lang w:eastAsia="uk-UA"/>
              </w:rPr>
              <w:t>Індекс концентрації новонароджених масою тіла при народженні 500-1499г у ЗПД ІІІ рівня</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color w:val="000000"/>
                <w:sz w:val="24"/>
                <w:szCs w:val="24"/>
                <w:lang w:eastAsia="ru-RU"/>
              </w:rPr>
            </w:pPr>
            <w:r w:rsidRPr="00333585">
              <w:rPr>
                <w:rFonts w:eastAsia="Times New Roman"/>
                <w:color w:val="000000"/>
                <w:sz w:val="24"/>
                <w:szCs w:val="24"/>
                <w:lang w:eastAsia="ru-RU"/>
              </w:rPr>
              <w:t>87,5</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color w:val="000000"/>
                <w:sz w:val="24"/>
                <w:szCs w:val="24"/>
                <w:lang w:eastAsia="ru-RU"/>
              </w:rPr>
            </w:pPr>
            <w:r w:rsidRPr="00333585">
              <w:rPr>
                <w:rFonts w:eastAsia="Times New Roman"/>
                <w:color w:val="000000"/>
                <w:sz w:val="24"/>
                <w:szCs w:val="24"/>
                <w:lang w:eastAsia="ru-RU"/>
              </w:rPr>
              <w:t>6,00</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color w:val="000000"/>
                <w:sz w:val="24"/>
                <w:szCs w:val="24"/>
                <w:lang w:eastAsia="ru-RU"/>
              </w:rPr>
            </w:pPr>
            <w:r w:rsidRPr="00333585">
              <w:rPr>
                <w:rFonts w:eastAsia="Times New Roman"/>
                <w:color w:val="000000"/>
                <w:sz w:val="24"/>
                <w:szCs w:val="24"/>
                <w:lang w:eastAsia="ru-RU"/>
              </w:rPr>
              <w:t>1,00</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w:t>
            </w:r>
          </w:p>
        </w:tc>
      </w:tr>
      <w:tr w:rsidR="00333585" w:rsidRPr="00333585" w:rsidTr="00333585">
        <w:trPr>
          <w:trHeight w:val="269"/>
        </w:trPr>
        <w:tc>
          <w:tcPr>
            <w:tcW w:w="4536" w:type="dxa"/>
            <w:tcBorders>
              <w:top w:val="single" w:sz="4" w:space="0" w:color="auto"/>
              <w:left w:val="single" w:sz="4" w:space="0" w:color="auto"/>
              <w:bottom w:val="single" w:sz="4" w:space="0" w:color="auto"/>
              <w:right w:val="single" w:sz="4" w:space="0" w:color="auto"/>
            </w:tcBorders>
            <w:vAlign w:val="bottom"/>
          </w:tcPr>
          <w:p w:rsidR="00333585" w:rsidRPr="00333585" w:rsidRDefault="00333585" w:rsidP="00333585">
            <w:pPr>
              <w:keepNext/>
              <w:jc w:val="left"/>
              <w:rPr>
                <w:rFonts w:eastAsia="Times New Roman"/>
                <w:sz w:val="24"/>
                <w:szCs w:val="24"/>
                <w:lang w:eastAsia="ru-RU"/>
              </w:rPr>
            </w:pPr>
            <w:r w:rsidRPr="00333585">
              <w:rPr>
                <w:rFonts w:eastAsia="Times New Roman"/>
                <w:sz w:val="24"/>
                <w:szCs w:val="24"/>
                <w:lang w:eastAsia="ru-RU"/>
              </w:rPr>
              <w:t>Індекс неонатального трансферу</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7,59</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7,01</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0,72</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4,19</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0,10</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0,60</w:t>
            </w:r>
          </w:p>
        </w:tc>
      </w:tr>
      <w:tr w:rsidR="00333585" w:rsidRPr="00333585" w:rsidTr="00333585">
        <w:trPr>
          <w:trHeight w:val="272"/>
        </w:trPr>
        <w:tc>
          <w:tcPr>
            <w:tcW w:w="4536"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left"/>
              <w:rPr>
                <w:rFonts w:eastAsia="Times New Roman"/>
                <w:sz w:val="24"/>
                <w:szCs w:val="24"/>
                <w:lang w:eastAsia="ru-RU"/>
              </w:rPr>
            </w:pPr>
            <w:r w:rsidRPr="00333585">
              <w:rPr>
                <w:rFonts w:eastAsia="Times New Roman"/>
                <w:sz w:val="24"/>
                <w:szCs w:val="24"/>
                <w:lang w:eastAsia="ru-RU"/>
              </w:rPr>
              <w:t>Частота нормальних пологів</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color w:val="000000"/>
                <w:sz w:val="24"/>
                <w:szCs w:val="24"/>
                <w:lang w:eastAsia="ru-RU"/>
              </w:rPr>
            </w:pPr>
            <w:r w:rsidRPr="00333585">
              <w:rPr>
                <w:rFonts w:eastAsia="Times New Roman"/>
                <w:color w:val="000000"/>
                <w:sz w:val="24"/>
                <w:szCs w:val="24"/>
                <w:lang w:eastAsia="ru-RU"/>
              </w:rPr>
              <w:t>68,55</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66,97</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color w:val="000000"/>
                <w:sz w:val="24"/>
                <w:szCs w:val="24"/>
                <w:lang w:eastAsia="ru-RU"/>
              </w:rPr>
            </w:pPr>
            <w:r w:rsidRPr="00333585">
              <w:rPr>
                <w:rFonts w:eastAsia="Times New Roman"/>
                <w:color w:val="000000"/>
                <w:sz w:val="24"/>
                <w:szCs w:val="24"/>
                <w:lang w:eastAsia="ru-RU"/>
              </w:rPr>
              <w:t>4,90</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5,0</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color w:val="000000"/>
                <w:sz w:val="24"/>
                <w:szCs w:val="24"/>
                <w:lang w:eastAsia="ru-RU"/>
              </w:rPr>
            </w:pPr>
            <w:r w:rsidRPr="00333585">
              <w:rPr>
                <w:rFonts w:eastAsia="Times New Roman"/>
                <w:color w:val="000000"/>
                <w:sz w:val="24"/>
                <w:szCs w:val="24"/>
                <w:lang w:eastAsia="ru-RU"/>
              </w:rPr>
              <w:t>0,98</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1,00</w:t>
            </w:r>
          </w:p>
        </w:tc>
      </w:tr>
      <w:tr w:rsidR="00333585" w:rsidRPr="00333585" w:rsidTr="00333585">
        <w:trPr>
          <w:trHeight w:val="418"/>
        </w:trPr>
        <w:tc>
          <w:tcPr>
            <w:tcW w:w="4536" w:type="dxa"/>
            <w:tcBorders>
              <w:top w:val="single" w:sz="4" w:space="0" w:color="auto"/>
              <w:left w:val="single" w:sz="4" w:space="0" w:color="auto"/>
              <w:bottom w:val="single" w:sz="4" w:space="0" w:color="auto"/>
              <w:right w:val="single" w:sz="4" w:space="0" w:color="auto"/>
            </w:tcBorders>
            <w:vAlign w:val="bottom"/>
          </w:tcPr>
          <w:p w:rsidR="00333585" w:rsidRPr="00333585" w:rsidRDefault="00333585" w:rsidP="00333585">
            <w:pPr>
              <w:keepNext/>
              <w:jc w:val="left"/>
              <w:rPr>
                <w:rFonts w:eastAsia="Times New Roman"/>
                <w:sz w:val="24"/>
                <w:szCs w:val="24"/>
                <w:lang w:eastAsia="ru-RU"/>
              </w:rPr>
            </w:pPr>
            <w:r w:rsidRPr="00333585">
              <w:rPr>
                <w:rFonts w:eastAsia="Times New Roman"/>
                <w:sz w:val="24"/>
                <w:szCs w:val="24"/>
                <w:lang w:eastAsia="ru-RU"/>
              </w:rPr>
              <w:t>Частота розроджень вагітних шляхом кесаревого розтину</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color w:val="000000"/>
                <w:sz w:val="24"/>
                <w:szCs w:val="24"/>
                <w:lang w:eastAsia="ru-RU"/>
              </w:rPr>
            </w:pPr>
            <w:r w:rsidRPr="00333585">
              <w:rPr>
                <w:rFonts w:eastAsia="Times New Roman"/>
                <w:color w:val="000000"/>
                <w:sz w:val="24"/>
                <w:szCs w:val="24"/>
                <w:lang w:eastAsia="ru-RU"/>
              </w:rPr>
              <w:t>191,4</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200,52</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color w:val="000000"/>
                <w:sz w:val="24"/>
                <w:szCs w:val="24"/>
                <w:lang w:eastAsia="ru-RU"/>
              </w:rPr>
            </w:pPr>
            <w:r w:rsidRPr="00333585">
              <w:rPr>
                <w:rFonts w:eastAsia="Times New Roman"/>
                <w:color w:val="000000"/>
                <w:sz w:val="24"/>
                <w:szCs w:val="24"/>
                <w:lang w:eastAsia="ru-RU"/>
              </w:rPr>
              <w:t>5,63</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6,18</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color w:val="000000"/>
                <w:sz w:val="24"/>
                <w:szCs w:val="24"/>
                <w:lang w:eastAsia="ru-RU"/>
              </w:rPr>
            </w:pPr>
            <w:r w:rsidRPr="00333585">
              <w:rPr>
                <w:rFonts w:eastAsia="Times New Roman"/>
                <w:color w:val="000000"/>
                <w:sz w:val="24"/>
                <w:szCs w:val="24"/>
                <w:lang w:eastAsia="ru-RU"/>
              </w:rPr>
              <w:t>0,80</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0,88</w:t>
            </w:r>
          </w:p>
        </w:tc>
      </w:tr>
      <w:tr w:rsidR="00333585" w:rsidRPr="00333585" w:rsidTr="00333585">
        <w:trPr>
          <w:trHeight w:val="276"/>
        </w:trPr>
        <w:tc>
          <w:tcPr>
            <w:tcW w:w="4536" w:type="dxa"/>
            <w:tcBorders>
              <w:top w:val="single" w:sz="4" w:space="0" w:color="auto"/>
              <w:left w:val="single" w:sz="4" w:space="0" w:color="auto"/>
              <w:bottom w:val="single" w:sz="4" w:space="0" w:color="auto"/>
              <w:right w:val="single" w:sz="4" w:space="0" w:color="auto"/>
            </w:tcBorders>
            <w:vAlign w:val="bottom"/>
          </w:tcPr>
          <w:p w:rsidR="00333585" w:rsidRPr="00333585" w:rsidRDefault="00333585" w:rsidP="00333585">
            <w:pPr>
              <w:keepNext/>
              <w:jc w:val="left"/>
              <w:rPr>
                <w:rFonts w:eastAsia="Times New Roman"/>
                <w:sz w:val="24"/>
                <w:szCs w:val="24"/>
                <w:lang w:eastAsia="ru-RU"/>
              </w:rPr>
            </w:pPr>
            <w:r w:rsidRPr="00333585">
              <w:rPr>
                <w:rFonts w:eastAsia="Times New Roman"/>
                <w:sz w:val="24"/>
                <w:szCs w:val="24"/>
                <w:lang w:eastAsia="ru-RU"/>
              </w:rPr>
              <w:t>Частота  кровотеч в послідовому і післяродовому періодах</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color w:val="000000"/>
                <w:sz w:val="24"/>
                <w:szCs w:val="24"/>
                <w:lang w:eastAsia="ru-RU"/>
              </w:rPr>
            </w:pPr>
            <w:r w:rsidRPr="00333585">
              <w:rPr>
                <w:rFonts w:eastAsia="Times New Roman"/>
                <w:color w:val="000000"/>
                <w:sz w:val="24"/>
                <w:szCs w:val="24"/>
                <w:lang w:eastAsia="ru-RU"/>
              </w:rPr>
              <w:t>5,24</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5,71</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color w:val="000000"/>
                <w:sz w:val="24"/>
                <w:szCs w:val="24"/>
                <w:lang w:eastAsia="ru-RU"/>
              </w:rPr>
            </w:pPr>
            <w:r w:rsidRPr="00333585">
              <w:rPr>
                <w:rFonts w:eastAsia="Times New Roman"/>
                <w:color w:val="000000"/>
                <w:sz w:val="24"/>
                <w:szCs w:val="24"/>
                <w:lang w:eastAsia="ru-RU"/>
              </w:rPr>
              <w:t>8,57</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9,0</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color w:val="000000"/>
                <w:sz w:val="24"/>
                <w:szCs w:val="24"/>
                <w:lang w:eastAsia="ru-RU"/>
              </w:rPr>
            </w:pPr>
            <w:r w:rsidRPr="00333585">
              <w:rPr>
                <w:rFonts w:eastAsia="Times New Roman"/>
                <w:color w:val="000000"/>
                <w:sz w:val="24"/>
                <w:szCs w:val="24"/>
                <w:lang w:eastAsia="ru-RU"/>
              </w:rPr>
              <w:t>0,95</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1,00</w:t>
            </w:r>
          </w:p>
        </w:tc>
      </w:tr>
      <w:tr w:rsidR="00333585" w:rsidRPr="00333585" w:rsidTr="00333585">
        <w:trPr>
          <w:trHeight w:val="293"/>
        </w:trPr>
        <w:tc>
          <w:tcPr>
            <w:tcW w:w="4536" w:type="dxa"/>
            <w:tcBorders>
              <w:top w:val="single" w:sz="4" w:space="0" w:color="auto"/>
              <w:left w:val="single" w:sz="4" w:space="0" w:color="auto"/>
              <w:bottom w:val="single" w:sz="4" w:space="0" w:color="auto"/>
              <w:right w:val="single" w:sz="4" w:space="0" w:color="auto"/>
            </w:tcBorders>
            <w:vAlign w:val="bottom"/>
          </w:tcPr>
          <w:p w:rsidR="00333585" w:rsidRPr="00333585" w:rsidRDefault="00333585" w:rsidP="00333585">
            <w:pPr>
              <w:keepNext/>
              <w:jc w:val="left"/>
              <w:rPr>
                <w:rFonts w:eastAsia="Times New Roman"/>
                <w:sz w:val="24"/>
                <w:szCs w:val="24"/>
                <w:lang w:eastAsia="ru-RU"/>
              </w:rPr>
            </w:pPr>
            <w:r w:rsidRPr="00333585">
              <w:rPr>
                <w:rFonts w:eastAsia="Times New Roman"/>
                <w:sz w:val="24"/>
                <w:szCs w:val="24"/>
                <w:lang w:eastAsia="ru-RU"/>
              </w:rPr>
              <w:t>Частота мало вагових новонароджених</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color w:val="000000"/>
                <w:sz w:val="24"/>
                <w:szCs w:val="24"/>
                <w:lang w:eastAsia="ru-RU"/>
              </w:rPr>
            </w:pPr>
            <w:r w:rsidRPr="00333585">
              <w:rPr>
                <w:rFonts w:eastAsia="Times New Roman"/>
                <w:color w:val="000000"/>
                <w:sz w:val="24"/>
                <w:szCs w:val="24"/>
                <w:lang w:eastAsia="ru-RU"/>
              </w:rPr>
              <w:t>5,34</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4,16</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color w:val="000000"/>
                <w:sz w:val="24"/>
                <w:szCs w:val="24"/>
                <w:lang w:eastAsia="ru-RU"/>
              </w:rPr>
            </w:pPr>
            <w:r w:rsidRPr="00333585">
              <w:rPr>
                <w:rFonts w:eastAsia="Times New Roman"/>
                <w:color w:val="000000"/>
                <w:sz w:val="24"/>
                <w:szCs w:val="24"/>
                <w:lang w:eastAsia="ru-RU"/>
              </w:rPr>
              <w:t>3,33</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4,84</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color w:val="000000"/>
                <w:sz w:val="24"/>
                <w:szCs w:val="24"/>
                <w:lang w:eastAsia="ru-RU"/>
              </w:rPr>
            </w:pPr>
            <w:r w:rsidRPr="00333585">
              <w:rPr>
                <w:rFonts w:eastAsia="Times New Roman"/>
                <w:color w:val="000000"/>
                <w:sz w:val="24"/>
                <w:szCs w:val="24"/>
                <w:lang w:eastAsia="ru-RU"/>
              </w:rPr>
              <w:t>0,67</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0,97</w:t>
            </w:r>
          </w:p>
        </w:tc>
      </w:tr>
      <w:tr w:rsidR="00333585" w:rsidRPr="00333585" w:rsidTr="00333585">
        <w:trPr>
          <w:trHeight w:val="344"/>
        </w:trPr>
        <w:tc>
          <w:tcPr>
            <w:tcW w:w="4536" w:type="dxa"/>
            <w:tcBorders>
              <w:top w:val="single" w:sz="4" w:space="0" w:color="auto"/>
              <w:left w:val="single" w:sz="4" w:space="0" w:color="auto"/>
              <w:bottom w:val="single" w:sz="4" w:space="0" w:color="auto"/>
              <w:right w:val="single" w:sz="4" w:space="0" w:color="auto"/>
            </w:tcBorders>
            <w:vAlign w:val="bottom"/>
          </w:tcPr>
          <w:p w:rsidR="00333585" w:rsidRPr="00333585" w:rsidRDefault="00333585" w:rsidP="00333585">
            <w:pPr>
              <w:keepNext/>
              <w:jc w:val="left"/>
              <w:rPr>
                <w:rFonts w:eastAsia="Times New Roman"/>
                <w:sz w:val="24"/>
                <w:szCs w:val="24"/>
                <w:lang w:eastAsia="ru-RU"/>
              </w:rPr>
            </w:pPr>
            <w:r w:rsidRPr="00333585">
              <w:rPr>
                <w:rFonts w:eastAsia="Times New Roman"/>
                <w:sz w:val="24"/>
                <w:szCs w:val="24"/>
                <w:lang w:eastAsia="ru-RU"/>
              </w:rPr>
              <w:t>Виживання новонароджених з дуже малою масою тіла при народженні</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color w:val="000000"/>
                <w:sz w:val="24"/>
                <w:szCs w:val="24"/>
                <w:lang w:eastAsia="ru-RU"/>
              </w:rPr>
            </w:pPr>
            <w:r w:rsidRPr="00333585">
              <w:rPr>
                <w:rFonts w:eastAsia="Times New Roman"/>
                <w:color w:val="000000"/>
                <w:sz w:val="24"/>
                <w:szCs w:val="24"/>
                <w:lang w:eastAsia="ru-RU"/>
              </w:rPr>
              <w:t>75</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72,41</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color w:val="000000"/>
                <w:sz w:val="24"/>
                <w:szCs w:val="24"/>
                <w:lang w:eastAsia="ru-RU"/>
              </w:rPr>
            </w:pPr>
            <w:r w:rsidRPr="00333585">
              <w:rPr>
                <w:rFonts w:eastAsia="Times New Roman"/>
                <w:color w:val="000000"/>
                <w:sz w:val="24"/>
                <w:szCs w:val="24"/>
                <w:lang w:eastAsia="ru-RU"/>
              </w:rPr>
              <w:t>6,67</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6,87</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color w:val="000000"/>
                <w:sz w:val="24"/>
                <w:szCs w:val="24"/>
                <w:lang w:eastAsia="ru-RU"/>
              </w:rPr>
            </w:pPr>
            <w:r w:rsidRPr="00333585">
              <w:rPr>
                <w:rFonts w:eastAsia="Times New Roman"/>
                <w:color w:val="000000"/>
                <w:sz w:val="24"/>
                <w:szCs w:val="24"/>
                <w:lang w:eastAsia="ru-RU"/>
              </w:rPr>
              <w:t>0,83</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0,86</w:t>
            </w:r>
          </w:p>
        </w:tc>
      </w:tr>
      <w:tr w:rsidR="00333585" w:rsidRPr="00333585" w:rsidTr="00333585">
        <w:trPr>
          <w:trHeight w:val="226"/>
        </w:trPr>
        <w:tc>
          <w:tcPr>
            <w:tcW w:w="4536" w:type="dxa"/>
            <w:tcBorders>
              <w:top w:val="single" w:sz="4" w:space="0" w:color="auto"/>
              <w:left w:val="single" w:sz="4" w:space="0" w:color="auto"/>
              <w:bottom w:val="single" w:sz="4" w:space="0" w:color="auto"/>
              <w:right w:val="single" w:sz="4" w:space="0" w:color="auto"/>
            </w:tcBorders>
            <w:vAlign w:val="bottom"/>
          </w:tcPr>
          <w:p w:rsidR="00333585" w:rsidRPr="00333585" w:rsidRDefault="00333585" w:rsidP="00333585">
            <w:pPr>
              <w:keepNext/>
              <w:jc w:val="left"/>
              <w:rPr>
                <w:rFonts w:eastAsia="Times New Roman"/>
                <w:sz w:val="24"/>
                <w:szCs w:val="24"/>
                <w:lang w:eastAsia="ru-RU"/>
              </w:rPr>
            </w:pPr>
            <w:r w:rsidRPr="00333585">
              <w:rPr>
                <w:rFonts w:eastAsia="Times New Roman"/>
                <w:sz w:val="24"/>
                <w:szCs w:val="24"/>
                <w:lang w:eastAsia="ru-RU"/>
              </w:rPr>
              <w:t>Індекс здоров’я новонароджених</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color w:val="000000"/>
                <w:sz w:val="24"/>
                <w:szCs w:val="24"/>
                <w:lang w:eastAsia="ru-RU"/>
              </w:rPr>
            </w:pPr>
            <w:r w:rsidRPr="00333585">
              <w:rPr>
                <w:rFonts w:eastAsia="Times New Roman"/>
                <w:color w:val="000000"/>
                <w:sz w:val="24"/>
                <w:szCs w:val="24"/>
                <w:lang w:eastAsia="ru-RU"/>
              </w:rPr>
              <w:t>87,9</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88,60</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color w:val="000000"/>
                <w:sz w:val="24"/>
                <w:szCs w:val="24"/>
                <w:lang w:eastAsia="ru-RU"/>
              </w:rPr>
            </w:pPr>
            <w:r w:rsidRPr="00333585">
              <w:rPr>
                <w:rFonts w:eastAsia="Times New Roman"/>
                <w:color w:val="000000"/>
                <w:sz w:val="24"/>
                <w:szCs w:val="24"/>
                <w:lang w:eastAsia="ru-RU"/>
              </w:rPr>
              <w:t>5,86</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6,0</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color w:val="000000"/>
                <w:sz w:val="24"/>
                <w:szCs w:val="24"/>
                <w:lang w:eastAsia="ru-RU"/>
              </w:rPr>
            </w:pPr>
            <w:r w:rsidRPr="00333585">
              <w:rPr>
                <w:rFonts w:eastAsia="Times New Roman"/>
                <w:color w:val="000000"/>
                <w:sz w:val="24"/>
                <w:szCs w:val="24"/>
                <w:lang w:eastAsia="ru-RU"/>
              </w:rPr>
              <w:t>0,98</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1,00</w:t>
            </w:r>
          </w:p>
        </w:tc>
      </w:tr>
      <w:tr w:rsidR="00333585" w:rsidRPr="00333585" w:rsidTr="00333585">
        <w:trPr>
          <w:trHeight w:val="244"/>
        </w:trPr>
        <w:tc>
          <w:tcPr>
            <w:tcW w:w="4536" w:type="dxa"/>
            <w:tcBorders>
              <w:top w:val="single" w:sz="4" w:space="0" w:color="auto"/>
              <w:left w:val="single" w:sz="4" w:space="0" w:color="auto"/>
              <w:bottom w:val="single" w:sz="4" w:space="0" w:color="auto"/>
              <w:right w:val="single" w:sz="4" w:space="0" w:color="auto"/>
            </w:tcBorders>
            <w:vAlign w:val="bottom"/>
          </w:tcPr>
          <w:p w:rsidR="00333585" w:rsidRPr="00333585" w:rsidRDefault="00333585" w:rsidP="00333585">
            <w:pPr>
              <w:keepNext/>
              <w:jc w:val="left"/>
              <w:rPr>
                <w:rFonts w:eastAsia="Times New Roman"/>
                <w:sz w:val="24"/>
                <w:szCs w:val="24"/>
                <w:lang w:eastAsia="ru-RU"/>
              </w:rPr>
            </w:pPr>
            <w:r w:rsidRPr="00333585">
              <w:rPr>
                <w:rFonts w:eastAsia="Times New Roman"/>
                <w:sz w:val="24"/>
                <w:szCs w:val="24"/>
                <w:lang w:eastAsia="ru-RU"/>
              </w:rPr>
              <w:t xml:space="preserve">Рівень перинатальної </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color w:val="000000"/>
                <w:sz w:val="24"/>
                <w:szCs w:val="24"/>
                <w:lang w:eastAsia="ru-RU"/>
              </w:rPr>
            </w:pPr>
            <w:r w:rsidRPr="00333585">
              <w:rPr>
                <w:rFonts w:eastAsia="Times New Roman"/>
                <w:color w:val="000000"/>
                <w:sz w:val="24"/>
                <w:szCs w:val="24"/>
                <w:lang w:eastAsia="ru-RU"/>
              </w:rPr>
              <w:t>9,64</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7,99</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color w:val="000000"/>
                <w:sz w:val="24"/>
                <w:szCs w:val="24"/>
                <w:lang w:eastAsia="ru-RU"/>
              </w:rPr>
            </w:pPr>
            <w:r w:rsidRPr="00333585">
              <w:rPr>
                <w:rFonts w:eastAsia="Times New Roman"/>
                <w:color w:val="000000"/>
                <w:sz w:val="24"/>
                <w:szCs w:val="24"/>
                <w:lang w:eastAsia="ru-RU"/>
              </w:rPr>
              <w:t>4,77</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6,0</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color w:val="000000"/>
                <w:sz w:val="24"/>
                <w:szCs w:val="24"/>
                <w:lang w:eastAsia="ru-RU"/>
              </w:rPr>
            </w:pPr>
            <w:r w:rsidRPr="00333585">
              <w:rPr>
                <w:rFonts w:eastAsia="Times New Roman"/>
                <w:color w:val="000000"/>
                <w:sz w:val="24"/>
                <w:szCs w:val="24"/>
                <w:lang w:eastAsia="ru-RU"/>
              </w:rPr>
              <w:t>0,80</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1,00</w:t>
            </w:r>
          </w:p>
        </w:tc>
      </w:tr>
      <w:tr w:rsidR="00333585" w:rsidRPr="00333585" w:rsidTr="00333585">
        <w:trPr>
          <w:trHeight w:val="450"/>
        </w:trPr>
        <w:tc>
          <w:tcPr>
            <w:tcW w:w="4536"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rPr>
                <w:rFonts w:eastAsia="Times New Roman"/>
                <w:sz w:val="24"/>
                <w:szCs w:val="24"/>
                <w:lang w:eastAsia="ru-RU"/>
              </w:rPr>
            </w:pPr>
            <w:r w:rsidRPr="00333585">
              <w:rPr>
                <w:rFonts w:eastAsia="Times New Roman"/>
                <w:sz w:val="24"/>
                <w:szCs w:val="24"/>
                <w:lang w:eastAsia="ru-RU"/>
              </w:rPr>
              <w:t>Співвідношення реального і фактичного показника ранньої неонатальної смертності</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2,59</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1,64</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0,27</w:t>
            </w:r>
          </w:p>
        </w:tc>
      </w:tr>
      <w:tr w:rsidR="00333585" w:rsidRPr="00333585" w:rsidTr="00333585">
        <w:trPr>
          <w:trHeight w:val="216"/>
        </w:trPr>
        <w:tc>
          <w:tcPr>
            <w:tcW w:w="4536"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rPr>
                <w:rFonts w:eastAsia="Times New Roman"/>
                <w:sz w:val="24"/>
                <w:szCs w:val="24"/>
                <w:lang w:eastAsia="ru-RU"/>
              </w:rPr>
            </w:pPr>
            <w:r w:rsidRPr="00333585">
              <w:rPr>
                <w:rFonts w:eastAsia="Times New Roman"/>
                <w:sz w:val="24"/>
                <w:szCs w:val="24"/>
                <w:lang w:eastAsia="ru-RU"/>
              </w:rPr>
              <w:t>Рівень неонатальної смертності</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6,24</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2,64</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0,44</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w:t>
            </w:r>
          </w:p>
        </w:tc>
      </w:tr>
      <w:tr w:rsidR="00333585" w:rsidRPr="00333585" w:rsidTr="00333585">
        <w:trPr>
          <w:trHeight w:val="236"/>
        </w:trPr>
        <w:tc>
          <w:tcPr>
            <w:tcW w:w="4536"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left"/>
              <w:rPr>
                <w:rFonts w:eastAsia="Times New Roman"/>
                <w:sz w:val="24"/>
                <w:szCs w:val="24"/>
                <w:lang w:eastAsia="ru-RU"/>
              </w:rPr>
            </w:pPr>
            <w:r w:rsidRPr="00333585">
              <w:rPr>
                <w:rFonts w:eastAsia="Times New Roman"/>
                <w:sz w:val="24"/>
                <w:szCs w:val="24"/>
                <w:lang w:eastAsia="ru-RU"/>
              </w:rPr>
              <w:t xml:space="preserve">Рівень ранньої неонатальної смертності </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3,29</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4,97</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0,83</w:t>
            </w:r>
          </w:p>
        </w:tc>
      </w:tr>
      <w:tr w:rsidR="00333585" w:rsidRPr="00333585" w:rsidTr="00333585">
        <w:trPr>
          <w:trHeight w:val="254"/>
        </w:trPr>
        <w:tc>
          <w:tcPr>
            <w:tcW w:w="4536" w:type="dxa"/>
            <w:tcBorders>
              <w:top w:val="single" w:sz="4" w:space="0" w:color="auto"/>
              <w:left w:val="single" w:sz="4" w:space="0" w:color="auto"/>
              <w:bottom w:val="single" w:sz="4" w:space="0" w:color="auto"/>
              <w:right w:val="single" w:sz="4" w:space="0" w:color="auto"/>
            </w:tcBorders>
            <w:vAlign w:val="bottom"/>
          </w:tcPr>
          <w:p w:rsidR="00333585" w:rsidRPr="00333585" w:rsidRDefault="00333585" w:rsidP="00333585">
            <w:pPr>
              <w:keepNext/>
              <w:jc w:val="left"/>
              <w:rPr>
                <w:rFonts w:eastAsia="Times New Roman"/>
                <w:sz w:val="24"/>
                <w:szCs w:val="24"/>
                <w:lang w:eastAsia="ru-RU"/>
              </w:rPr>
            </w:pPr>
            <w:r w:rsidRPr="00333585">
              <w:rPr>
                <w:rFonts w:eastAsia="Times New Roman"/>
                <w:sz w:val="24"/>
                <w:szCs w:val="24"/>
                <w:lang w:eastAsia="ru-RU"/>
              </w:rPr>
              <w:t xml:space="preserve">Рівень материнської смертності </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0</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11,7</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5,0</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4,69</w:t>
            </w:r>
          </w:p>
        </w:tc>
        <w:tc>
          <w:tcPr>
            <w:tcW w:w="968"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1,00</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sz w:val="24"/>
                <w:szCs w:val="24"/>
                <w:lang w:eastAsia="ru-RU"/>
              </w:rPr>
            </w:pPr>
            <w:r w:rsidRPr="00333585">
              <w:rPr>
                <w:rFonts w:eastAsia="Times New Roman"/>
                <w:sz w:val="24"/>
                <w:szCs w:val="24"/>
                <w:lang w:eastAsia="ru-RU"/>
              </w:rPr>
              <w:t>0,94</w:t>
            </w:r>
          </w:p>
        </w:tc>
      </w:tr>
      <w:tr w:rsidR="00333585" w:rsidRPr="00333585" w:rsidTr="00333585">
        <w:trPr>
          <w:trHeight w:val="300"/>
        </w:trPr>
        <w:tc>
          <w:tcPr>
            <w:tcW w:w="4536" w:type="dxa"/>
            <w:tcBorders>
              <w:top w:val="single" w:sz="4" w:space="0" w:color="auto"/>
              <w:left w:val="single" w:sz="4" w:space="0" w:color="auto"/>
              <w:bottom w:val="single" w:sz="4" w:space="0" w:color="auto"/>
              <w:right w:val="single" w:sz="4" w:space="0" w:color="auto"/>
            </w:tcBorders>
            <w:noWrap/>
            <w:vAlign w:val="bottom"/>
            <w:hideMark/>
          </w:tcPr>
          <w:p w:rsidR="00333585" w:rsidRPr="00333585" w:rsidRDefault="00333585" w:rsidP="00333585">
            <w:pPr>
              <w:keepNext/>
              <w:jc w:val="left"/>
              <w:rPr>
                <w:rFonts w:eastAsia="Times New Roman"/>
                <w:sz w:val="24"/>
                <w:szCs w:val="24"/>
                <w:lang w:eastAsia="ru-RU"/>
              </w:rPr>
            </w:pPr>
          </w:p>
        </w:tc>
        <w:tc>
          <w:tcPr>
            <w:tcW w:w="968" w:type="dxa"/>
            <w:tcBorders>
              <w:top w:val="single" w:sz="4" w:space="0" w:color="auto"/>
              <w:left w:val="single" w:sz="4" w:space="0" w:color="auto"/>
              <w:bottom w:val="single" w:sz="4" w:space="0" w:color="auto"/>
              <w:right w:val="single" w:sz="4" w:space="0" w:color="auto"/>
            </w:tcBorders>
            <w:noWrap/>
            <w:vAlign w:val="center"/>
          </w:tcPr>
          <w:p w:rsidR="00333585" w:rsidRPr="00333585" w:rsidRDefault="00333585" w:rsidP="00333585">
            <w:pPr>
              <w:keepNext/>
              <w:jc w:val="center"/>
              <w:rPr>
                <w:rFonts w:eastAsia="Times New Roman"/>
                <w:sz w:val="24"/>
                <w:szCs w:val="24"/>
                <w:lang w:eastAsia="ru-RU"/>
              </w:rPr>
            </w:pP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color w:val="000000"/>
                <w:sz w:val="24"/>
                <w:szCs w:val="24"/>
                <w:lang w:eastAsia="ru-RU"/>
              </w:rPr>
            </w:pPr>
          </w:p>
        </w:tc>
        <w:tc>
          <w:tcPr>
            <w:tcW w:w="968" w:type="dxa"/>
            <w:tcBorders>
              <w:top w:val="single" w:sz="4" w:space="0" w:color="auto"/>
              <w:left w:val="single" w:sz="4" w:space="0" w:color="auto"/>
              <w:bottom w:val="single" w:sz="4" w:space="0" w:color="auto"/>
              <w:right w:val="single" w:sz="4" w:space="0" w:color="auto"/>
            </w:tcBorders>
            <w:noWrap/>
            <w:vAlign w:val="center"/>
          </w:tcPr>
          <w:p w:rsidR="00333585" w:rsidRPr="00333585" w:rsidRDefault="00333585" w:rsidP="00333585">
            <w:pPr>
              <w:keepNext/>
              <w:jc w:val="center"/>
              <w:rPr>
                <w:rFonts w:eastAsia="Times New Roman"/>
                <w:color w:val="000000"/>
                <w:sz w:val="24"/>
                <w:szCs w:val="24"/>
                <w:lang w:eastAsia="ru-RU"/>
              </w:rPr>
            </w:pPr>
            <w:r w:rsidRPr="00333585">
              <w:rPr>
                <w:rFonts w:eastAsia="Times New Roman"/>
                <w:color w:val="000000"/>
                <w:sz w:val="24"/>
                <w:szCs w:val="24"/>
                <w:lang w:eastAsia="ru-RU"/>
              </w:rPr>
              <w:t>102,87</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color w:val="000000"/>
                <w:sz w:val="24"/>
                <w:szCs w:val="24"/>
                <w:lang w:eastAsia="ru-RU"/>
              </w:rPr>
            </w:pPr>
            <w:r w:rsidRPr="00333585">
              <w:rPr>
                <w:rFonts w:eastAsia="Times New Roman"/>
                <w:color w:val="000000"/>
                <w:sz w:val="24"/>
                <w:szCs w:val="24"/>
                <w:lang w:eastAsia="ru-RU"/>
              </w:rPr>
              <w:t>117,3</w:t>
            </w:r>
          </w:p>
        </w:tc>
        <w:tc>
          <w:tcPr>
            <w:tcW w:w="968" w:type="dxa"/>
            <w:tcBorders>
              <w:top w:val="single" w:sz="4" w:space="0" w:color="auto"/>
              <w:left w:val="single" w:sz="4" w:space="0" w:color="auto"/>
              <w:bottom w:val="single" w:sz="4" w:space="0" w:color="auto"/>
              <w:right w:val="single" w:sz="4" w:space="0" w:color="auto"/>
            </w:tcBorders>
            <w:noWrap/>
            <w:vAlign w:val="center"/>
          </w:tcPr>
          <w:p w:rsidR="00333585" w:rsidRPr="00333585" w:rsidRDefault="00333585" w:rsidP="00333585">
            <w:pPr>
              <w:keepNext/>
              <w:jc w:val="center"/>
              <w:rPr>
                <w:rFonts w:eastAsia="Times New Roman"/>
                <w:color w:val="000000"/>
                <w:sz w:val="24"/>
                <w:szCs w:val="24"/>
                <w:lang w:eastAsia="ru-RU"/>
              </w:rPr>
            </w:pPr>
            <w:r w:rsidRPr="00333585">
              <w:rPr>
                <w:rFonts w:eastAsia="Times New Roman"/>
                <w:color w:val="000000"/>
                <w:sz w:val="24"/>
                <w:szCs w:val="24"/>
                <w:lang w:eastAsia="ru-RU"/>
              </w:rPr>
              <w:t>0,86</w:t>
            </w:r>
          </w:p>
        </w:tc>
        <w:tc>
          <w:tcPr>
            <w:tcW w:w="969" w:type="dxa"/>
            <w:tcBorders>
              <w:top w:val="single" w:sz="4" w:space="0" w:color="auto"/>
              <w:left w:val="single" w:sz="4" w:space="0" w:color="auto"/>
              <w:bottom w:val="single" w:sz="4" w:space="0" w:color="auto"/>
              <w:right w:val="single" w:sz="4" w:space="0" w:color="auto"/>
            </w:tcBorders>
            <w:vAlign w:val="center"/>
          </w:tcPr>
          <w:p w:rsidR="00333585" w:rsidRPr="00333585" w:rsidRDefault="00333585" w:rsidP="00333585">
            <w:pPr>
              <w:keepNext/>
              <w:jc w:val="center"/>
              <w:rPr>
                <w:rFonts w:eastAsia="Times New Roman"/>
                <w:color w:val="000000"/>
                <w:sz w:val="24"/>
                <w:szCs w:val="24"/>
                <w:lang w:eastAsia="ru-RU"/>
              </w:rPr>
            </w:pPr>
            <w:r w:rsidRPr="00333585">
              <w:rPr>
                <w:rFonts w:eastAsia="Times New Roman"/>
                <w:color w:val="000000"/>
                <w:sz w:val="24"/>
                <w:szCs w:val="24"/>
                <w:lang w:eastAsia="ru-RU"/>
              </w:rPr>
              <w:t>0,90</w:t>
            </w:r>
          </w:p>
        </w:tc>
      </w:tr>
    </w:tbl>
    <w:p w:rsidR="00333585" w:rsidRPr="00333585" w:rsidRDefault="00333585" w:rsidP="00333585">
      <w:pPr>
        <w:jc w:val="right"/>
        <w:rPr>
          <w:i/>
          <w:lang w:val="ru-RU"/>
        </w:rPr>
      </w:pPr>
      <w:r w:rsidRPr="00333585">
        <w:rPr>
          <w:i/>
          <w:lang w:val="ru-RU"/>
        </w:rPr>
        <w:t>Продовження додаток Е-21</w:t>
      </w:r>
    </w:p>
    <w:p w:rsidR="00C43972" w:rsidRPr="00663C28" w:rsidRDefault="005217B7" w:rsidP="00362A09">
      <w:pPr>
        <w:keepNext/>
        <w:pageBreakBefore/>
        <w:jc w:val="right"/>
        <w:rPr>
          <w:rFonts w:eastAsia="Times New Roman"/>
          <w:bCs/>
          <w:iCs/>
          <w:color w:val="000000"/>
          <w:szCs w:val="28"/>
          <w:lang w:eastAsia="uk-UA"/>
        </w:rPr>
      </w:pPr>
      <w:r w:rsidRPr="00663C28">
        <w:rPr>
          <w:rFonts w:eastAsia="Times New Roman"/>
          <w:bCs/>
          <w:iCs/>
          <w:color w:val="000000"/>
          <w:szCs w:val="28"/>
          <w:lang w:eastAsia="uk-UA"/>
        </w:rPr>
        <w:lastRenderedPageBreak/>
        <w:t>Додаток Е</w:t>
      </w:r>
      <w:r w:rsidR="00C43972" w:rsidRPr="00663C28">
        <w:rPr>
          <w:rFonts w:eastAsia="Times New Roman"/>
          <w:bCs/>
          <w:iCs/>
          <w:color w:val="000000"/>
          <w:szCs w:val="28"/>
          <w:lang w:eastAsia="uk-UA"/>
        </w:rPr>
        <w:t>-22</w:t>
      </w:r>
    </w:p>
    <w:p w:rsidR="00C43972" w:rsidRPr="00663C28" w:rsidRDefault="00C43972" w:rsidP="00663C28">
      <w:pPr>
        <w:keepNext/>
        <w:jc w:val="center"/>
        <w:rPr>
          <w:rFonts w:eastAsia="Times New Roman"/>
          <w:b/>
          <w:sz w:val="24"/>
          <w:szCs w:val="24"/>
          <w:lang w:eastAsia="ru-RU"/>
        </w:rPr>
      </w:pPr>
      <w:r w:rsidRPr="00663C28">
        <w:rPr>
          <w:rFonts w:eastAsia="Times New Roman"/>
          <w:b/>
          <w:bCs/>
          <w:iCs/>
          <w:color w:val="000000"/>
          <w:szCs w:val="28"/>
          <w:lang w:eastAsia="uk-UA"/>
        </w:rPr>
        <w:t xml:space="preserve">Комплексна оцінка діяльності закладів перинатальної допомоги Харківської </w:t>
      </w:r>
      <w:r w:rsidRPr="00663C28">
        <w:rPr>
          <w:rFonts w:eastAsia="Times New Roman"/>
          <w:b/>
          <w:bCs/>
          <w:iCs/>
          <w:color w:val="000000"/>
          <w:sz w:val="26"/>
          <w:szCs w:val="26"/>
          <w:lang w:eastAsia="uk-UA"/>
        </w:rPr>
        <w:t xml:space="preserve">області у </w:t>
      </w:r>
      <w:r w:rsidRPr="00663C28">
        <w:rPr>
          <w:rFonts w:eastAsia="Times New Roman"/>
          <w:b/>
          <w:bCs/>
          <w:iCs/>
          <w:color w:val="000000"/>
          <w:szCs w:val="28"/>
          <w:lang w:eastAsia="uk-UA"/>
        </w:rPr>
        <w:t>2017–2018 рр.</w:t>
      </w:r>
    </w:p>
    <w:tbl>
      <w:tblPr>
        <w:tblW w:w="10347" w:type="dxa"/>
        <w:jc w:val="center"/>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36"/>
        <w:gridCol w:w="968"/>
        <w:gridCol w:w="969"/>
        <w:gridCol w:w="968"/>
        <w:gridCol w:w="969"/>
        <w:gridCol w:w="968"/>
        <w:gridCol w:w="969"/>
      </w:tblGrid>
      <w:tr w:rsidR="00663C28" w:rsidRPr="00663C28" w:rsidTr="00663C28">
        <w:trPr>
          <w:cantSplit/>
          <w:trHeight w:val="652"/>
          <w:jc w:val="center"/>
        </w:trPr>
        <w:tc>
          <w:tcPr>
            <w:tcW w:w="4536" w:type="dxa"/>
            <w:vMerge w:val="restart"/>
            <w:tcBorders>
              <w:top w:val="single" w:sz="4" w:space="0" w:color="auto"/>
              <w:left w:val="single" w:sz="4" w:space="0" w:color="auto"/>
              <w:right w:val="single" w:sz="4" w:space="0" w:color="auto"/>
            </w:tcBorders>
            <w:vAlign w:val="center"/>
            <w:hideMark/>
          </w:tcPr>
          <w:p w:rsidR="00663C28" w:rsidRPr="00663C28" w:rsidRDefault="00663C28" w:rsidP="00663C28">
            <w:pPr>
              <w:keepNext/>
              <w:jc w:val="center"/>
              <w:rPr>
                <w:rFonts w:eastAsia="Times New Roman"/>
                <w:color w:val="000000"/>
                <w:sz w:val="24"/>
                <w:szCs w:val="24"/>
                <w:lang w:eastAsia="uk-UA"/>
              </w:rPr>
            </w:pPr>
            <w:r w:rsidRPr="00663C28">
              <w:rPr>
                <w:rFonts w:eastAsia="Times New Roman"/>
                <w:color w:val="000000"/>
                <w:sz w:val="24"/>
                <w:szCs w:val="24"/>
                <w:lang w:eastAsia="uk-UA"/>
              </w:rPr>
              <w:t>Індикатор якості</w:t>
            </w:r>
          </w:p>
        </w:tc>
        <w:tc>
          <w:tcPr>
            <w:tcW w:w="1937" w:type="dxa"/>
            <w:gridSpan w:val="2"/>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color w:val="000000"/>
                <w:sz w:val="24"/>
                <w:szCs w:val="24"/>
                <w:lang w:eastAsia="uk-UA"/>
              </w:rPr>
            </w:pPr>
            <w:r w:rsidRPr="00663C28">
              <w:rPr>
                <w:rFonts w:eastAsia="Times New Roman"/>
                <w:color w:val="000000"/>
                <w:sz w:val="24"/>
                <w:szCs w:val="24"/>
                <w:lang w:eastAsia="uk-UA"/>
              </w:rPr>
              <w:t xml:space="preserve">Фактичний показник, </w:t>
            </w:r>
            <w:r w:rsidRPr="00663C28">
              <w:rPr>
                <w:rFonts w:eastAsia="Times New Roman"/>
                <w:sz w:val="24"/>
                <w:szCs w:val="24"/>
                <w:lang w:eastAsia="uk-UA"/>
              </w:rPr>
              <w:t>Україна</w:t>
            </w:r>
          </w:p>
        </w:tc>
        <w:tc>
          <w:tcPr>
            <w:tcW w:w="1937" w:type="dxa"/>
            <w:gridSpan w:val="2"/>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color w:val="000000"/>
                <w:sz w:val="24"/>
                <w:szCs w:val="24"/>
                <w:lang w:eastAsia="uk-UA"/>
              </w:rPr>
            </w:pPr>
            <w:r w:rsidRPr="00663C28">
              <w:rPr>
                <w:rFonts w:eastAsia="Times New Roman"/>
                <w:color w:val="000000"/>
                <w:sz w:val="24"/>
                <w:szCs w:val="24"/>
                <w:lang w:eastAsia="uk-UA"/>
              </w:rPr>
              <w:t>Бальна оцінка фактичного показника</w:t>
            </w:r>
          </w:p>
        </w:tc>
        <w:tc>
          <w:tcPr>
            <w:tcW w:w="1937" w:type="dxa"/>
            <w:gridSpan w:val="2"/>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color w:val="000000"/>
                <w:sz w:val="24"/>
                <w:szCs w:val="24"/>
                <w:lang w:eastAsia="uk-UA"/>
              </w:rPr>
            </w:pPr>
            <w:r w:rsidRPr="00663C28">
              <w:rPr>
                <w:rFonts w:eastAsia="Times New Roman"/>
                <w:color w:val="000000"/>
                <w:sz w:val="24"/>
                <w:szCs w:val="24"/>
                <w:lang w:eastAsia="uk-UA"/>
              </w:rPr>
              <w:t>КДНЗ</w:t>
            </w:r>
          </w:p>
        </w:tc>
      </w:tr>
      <w:tr w:rsidR="00663C28" w:rsidRPr="00663C28" w:rsidTr="00663C28">
        <w:trPr>
          <w:trHeight w:val="404"/>
          <w:jc w:val="center"/>
        </w:trPr>
        <w:tc>
          <w:tcPr>
            <w:tcW w:w="4536" w:type="dxa"/>
            <w:vMerge/>
            <w:tcBorders>
              <w:left w:val="single" w:sz="4" w:space="0" w:color="auto"/>
              <w:bottom w:val="single" w:sz="4" w:space="0" w:color="auto"/>
              <w:right w:val="single" w:sz="4" w:space="0" w:color="auto"/>
            </w:tcBorders>
            <w:vAlign w:val="bottom"/>
          </w:tcPr>
          <w:p w:rsidR="00663C28" w:rsidRPr="00663C28" w:rsidRDefault="00663C28" w:rsidP="00663C28">
            <w:pPr>
              <w:keepNext/>
              <w:jc w:val="left"/>
              <w:rPr>
                <w:rFonts w:eastAsia="Times New Roman"/>
                <w:sz w:val="24"/>
                <w:szCs w:val="24"/>
                <w:lang w:eastAsia="ru-RU"/>
              </w:rPr>
            </w:pPr>
          </w:p>
        </w:tc>
        <w:tc>
          <w:tcPr>
            <w:tcW w:w="968"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sz w:val="24"/>
                <w:szCs w:val="24"/>
                <w:lang w:eastAsia="ru-RU"/>
              </w:rPr>
            </w:pPr>
            <w:r w:rsidRPr="00663C28">
              <w:rPr>
                <w:rFonts w:eastAsia="Times New Roman"/>
                <w:sz w:val="24"/>
                <w:szCs w:val="24"/>
                <w:lang w:eastAsia="ru-RU"/>
              </w:rPr>
              <w:t>2017 р.</w:t>
            </w:r>
          </w:p>
        </w:tc>
        <w:tc>
          <w:tcPr>
            <w:tcW w:w="969"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color w:val="000000"/>
                <w:sz w:val="24"/>
                <w:szCs w:val="24"/>
                <w:lang w:eastAsia="ru-RU"/>
              </w:rPr>
            </w:pPr>
            <w:r w:rsidRPr="00663C28">
              <w:rPr>
                <w:rFonts w:eastAsia="Times New Roman"/>
                <w:color w:val="000000"/>
                <w:sz w:val="24"/>
                <w:szCs w:val="24"/>
                <w:lang w:eastAsia="ru-RU"/>
              </w:rPr>
              <w:t>2018 р.</w:t>
            </w:r>
          </w:p>
        </w:tc>
        <w:tc>
          <w:tcPr>
            <w:tcW w:w="968"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sz w:val="24"/>
                <w:szCs w:val="24"/>
                <w:lang w:eastAsia="ru-RU"/>
              </w:rPr>
            </w:pPr>
            <w:r w:rsidRPr="00663C28">
              <w:rPr>
                <w:rFonts w:eastAsia="Times New Roman"/>
                <w:sz w:val="24"/>
                <w:szCs w:val="24"/>
                <w:lang w:eastAsia="ru-RU"/>
              </w:rPr>
              <w:t>2017 р.</w:t>
            </w:r>
          </w:p>
        </w:tc>
        <w:tc>
          <w:tcPr>
            <w:tcW w:w="969"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sz w:val="24"/>
                <w:szCs w:val="24"/>
                <w:lang w:eastAsia="ru-RU"/>
              </w:rPr>
            </w:pPr>
            <w:r w:rsidRPr="00663C28">
              <w:rPr>
                <w:rFonts w:eastAsia="Times New Roman"/>
                <w:sz w:val="24"/>
                <w:szCs w:val="24"/>
                <w:lang w:eastAsia="ru-RU"/>
              </w:rPr>
              <w:t>2017 р.</w:t>
            </w:r>
          </w:p>
        </w:tc>
        <w:tc>
          <w:tcPr>
            <w:tcW w:w="968"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color w:val="000000"/>
                <w:sz w:val="24"/>
                <w:szCs w:val="24"/>
                <w:lang w:eastAsia="ru-RU"/>
              </w:rPr>
            </w:pPr>
            <w:r w:rsidRPr="00663C28">
              <w:rPr>
                <w:rFonts w:eastAsia="Times New Roman"/>
                <w:color w:val="000000"/>
                <w:sz w:val="24"/>
                <w:szCs w:val="24"/>
                <w:lang w:eastAsia="ru-RU"/>
              </w:rPr>
              <w:t>2018 р.</w:t>
            </w:r>
          </w:p>
        </w:tc>
        <w:tc>
          <w:tcPr>
            <w:tcW w:w="969"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sz w:val="24"/>
                <w:szCs w:val="24"/>
                <w:lang w:eastAsia="ru-RU"/>
              </w:rPr>
            </w:pPr>
            <w:r w:rsidRPr="00663C28">
              <w:rPr>
                <w:rFonts w:eastAsia="Times New Roman"/>
                <w:sz w:val="24"/>
                <w:szCs w:val="24"/>
                <w:lang w:eastAsia="ru-RU"/>
              </w:rPr>
              <w:t>2017 р.</w:t>
            </w:r>
          </w:p>
        </w:tc>
      </w:tr>
      <w:tr w:rsidR="00663C28" w:rsidRPr="00663C28" w:rsidTr="00663C28">
        <w:trPr>
          <w:trHeight w:val="404"/>
          <w:jc w:val="center"/>
        </w:trPr>
        <w:tc>
          <w:tcPr>
            <w:tcW w:w="4536"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left"/>
              <w:rPr>
                <w:rFonts w:eastAsia="Times New Roman"/>
                <w:sz w:val="24"/>
                <w:szCs w:val="24"/>
                <w:lang w:eastAsia="ru-RU"/>
              </w:rPr>
            </w:pPr>
            <w:r w:rsidRPr="00663C28">
              <w:rPr>
                <w:rFonts w:eastAsia="Times New Roman"/>
                <w:sz w:val="24"/>
                <w:szCs w:val="24"/>
                <w:lang w:eastAsia="ru-RU"/>
              </w:rPr>
              <w:t>Забезпеченість  лікарями акушер-гінекологами</w:t>
            </w:r>
          </w:p>
        </w:tc>
        <w:tc>
          <w:tcPr>
            <w:tcW w:w="968"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sz w:val="24"/>
                <w:szCs w:val="24"/>
                <w:lang w:eastAsia="ru-RU"/>
              </w:rPr>
            </w:pPr>
            <w:r w:rsidRPr="00663C28">
              <w:rPr>
                <w:rFonts w:eastAsia="Times New Roman"/>
                <w:sz w:val="24"/>
                <w:szCs w:val="24"/>
                <w:lang w:eastAsia="ru-RU"/>
              </w:rPr>
              <w:t>5,62</w:t>
            </w:r>
          </w:p>
        </w:tc>
        <w:tc>
          <w:tcPr>
            <w:tcW w:w="969"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sz w:val="24"/>
                <w:szCs w:val="24"/>
                <w:lang w:eastAsia="ru-RU"/>
              </w:rPr>
            </w:pPr>
            <w:r w:rsidRPr="00663C28">
              <w:rPr>
                <w:rFonts w:eastAsia="Times New Roman"/>
                <w:sz w:val="24"/>
                <w:szCs w:val="24"/>
                <w:lang w:eastAsia="ru-RU"/>
              </w:rPr>
              <w:t>5,43</w:t>
            </w:r>
          </w:p>
        </w:tc>
        <w:tc>
          <w:tcPr>
            <w:tcW w:w="968"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sz w:val="24"/>
                <w:szCs w:val="24"/>
                <w:lang w:eastAsia="ru-RU"/>
              </w:rPr>
            </w:pPr>
            <w:r w:rsidRPr="00663C28">
              <w:rPr>
                <w:rFonts w:eastAsia="Times New Roman"/>
                <w:sz w:val="24"/>
                <w:szCs w:val="24"/>
                <w:lang w:eastAsia="ru-RU"/>
              </w:rPr>
              <w:t>6,0</w:t>
            </w:r>
          </w:p>
        </w:tc>
        <w:tc>
          <w:tcPr>
            <w:tcW w:w="969"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sz w:val="24"/>
                <w:szCs w:val="24"/>
                <w:lang w:eastAsia="ru-RU"/>
              </w:rPr>
            </w:pPr>
            <w:r w:rsidRPr="00663C28">
              <w:rPr>
                <w:rFonts w:eastAsia="Times New Roman"/>
                <w:sz w:val="24"/>
                <w:szCs w:val="24"/>
                <w:lang w:eastAsia="ru-RU"/>
              </w:rPr>
              <w:t>5,92</w:t>
            </w:r>
          </w:p>
        </w:tc>
        <w:tc>
          <w:tcPr>
            <w:tcW w:w="968"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sz w:val="24"/>
                <w:szCs w:val="24"/>
                <w:lang w:eastAsia="ru-RU"/>
              </w:rPr>
            </w:pPr>
            <w:r w:rsidRPr="00663C28">
              <w:rPr>
                <w:rFonts w:eastAsia="Times New Roman"/>
                <w:sz w:val="24"/>
                <w:szCs w:val="24"/>
                <w:lang w:eastAsia="ru-RU"/>
              </w:rPr>
              <w:t>1,00</w:t>
            </w:r>
          </w:p>
        </w:tc>
        <w:tc>
          <w:tcPr>
            <w:tcW w:w="969"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sz w:val="24"/>
                <w:szCs w:val="24"/>
                <w:lang w:eastAsia="ru-RU"/>
              </w:rPr>
            </w:pPr>
            <w:r w:rsidRPr="00663C28">
              <w:rPr>
                <w:rFonts w:eastAsia="Times New Roman"/>
                <w:sz w:val="24"/>
                <w:szCs w:val="24"/>
                <w:lang w:eastAsia="ru-RU"/>
              </w:rPr>
              <w:t>0,99</w:t>
            </w:r>
          </w:p>
        </w:tc>
      </w:tr>
      <w:tr w:rsidR="00663C28" w:rsidRPr="00663C28" w:rsidTr="00663C28">
        <w:trPr>
          <w:trHeight w:val="404"/>
          <w:jc w:val="center"/>
        </w:trPr>
        <w:tc>
          <w:tcPr>
            <w:tcW w:w="4536" w:type="dxa"/>
            <w:tcBorders>
              <w:top w:val="single" w:sz="4" w:space="0" w:color="auto"/>
              <w:left w:val="single" w:sz="4" w:space="0" w:color="auto"/>
              <w:bottom w:val="single" w:sz="4" w:space="0" w:color="auto"/>
              <w:right w:val="single" w:sz="4" w:space="0" w:color="auto"/>
            </w:tcBorders>
            <w:vAlign w:val="bottom"/>
          </w:tcPr>
          <w:p w:rsidR="00663C28" w:rsidRPr="00663C28" w:rsidRDefault="00663C28" w:rsidP="00663C28">
            <w:pPr>
              <w:keepNext/>
              <w:jc w:val="left"/>
              <w:rPr>
                <w:rFonts w:eastAsia="Times New Roman"/>
                <w:sz w:val="24"/>
                <w:szCs w:val="24"/>
                <w:lang w:eastAsia="ru-RU"/>
              </w:rPr>
            </w:pPr>
            <w:r w:rsidRPr="00663C28">
              <w:rPr>
                <w:rFonts w:eastAsia="Times New Roman"/>
                <w:sz w:val="24"/>
                <w:szCs w:val="24"/>
                <w:lang w:eastAsia="ru-RU"/>
              </w:rPr>
              <w:t>Забезпеченість  лікарями  педіатрами-неонатологами</w:t>
            </w:r>
          </w:p>
        </w:tc>
        <w:tc>
          <w:tcPr>
            <w:tcW w:w="968"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sz w:val="24"/>
                <w:szCs w:val="24"/>
                <w:lang w:eastAsia="ru-RU"/>
              </w:rPr>
            </w:pPr>
            <w:r w:rsidRPr="00663C28">
              <w:rPr>
                <w:rFonts w:eastAsia="Times New Roman"/>
                <w:sz w:val="24"/>
                <w:szCs w:val="24"/>
                <w:lang w:eastAsia="ru-RU"/>
              </w:rPr>
              <w:t>5,52</w:t>
            </w:r>
          </w:p>
        </w:tc>
        <w:tc>
          <w:tcPr>
            <w:tcW w:w="969"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sz w:val="24"/>
                <w:szCs w:val="24"/>
                <w:lang w:eastAsia="ru-RU"/>
              </w:rPr>
            </w:pPr>
            <w:r w:rsidRPr="00663C28">
              <w:rPr>
                <w:rFonts w:eastAsia="Times New Roman"/>
                <w:sz w:val="24"/>
                <w:szCs w:val="24"/>
                <w:lang w:eastAsia="ru-RU"/>
              </w:rPr>
              <w:t>5,93</w:t>
            </w:r>
          </w:p>
        </w:tc>
        <w:tc>
          <w:tcPr>
            <w:tcW w:w="968"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sz w:val="24"/>
                <w:szCs w:val="24"/>
                <w:lang w:eastAsia="ru-RU"/>
              </w:rPr>
            </w:pPr>
            <w:r w:rsidRPr="00663C28">
              <w:rPr>
                <w:rFonts w:eastAsia="Times New Roman"/>
                <w:sz w:val="24"/>
                <w:szCs w:val="24"/>
                <w:lang w:eastAsia="ru-RU"/>
              </w:rPr>
              <w:t>6,0</w:t>
            </w:r>
          </w:p>
        </w:tc>
        <w:tc>
          <w:tcPr>
            <w:tcW w:w="969"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sz w:val="24"/>
                <w:szCs w:val="24"/>
                <w:lang w:eastAsia="ru-RU"/>
              </w:rPr>
            </w:pPr>
            <w:r w:rsidRPr="00663C28">
              <w:rPr>
                <w:rFonts w:eastAsia="Times New Roman"/>
                <w:sz w:val="24"/>
                <w:szCs w:val="24"/>
                <w:lang w:eastAsia="ru-RU"/>
              </w:rPr>
              <w:t>6,0</w:t>
            </w:r>
          </w:p>
        </w:tc>
        <w:tc>
          <w:tcPr>
            <w:tcW w:w="968"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sz w:val="24"/>
                <w:szCs w:val="24"/>
                <w:lang w:eastAsia="ru-RU"/>
              </w:rPr>
            </w:pPr>
            <w:r w:rsidRPr="00663C28">
              <w:rPr>
                <w:rFonts w:eastAsia="Times New Roman"/>
                <w:sz w:val="24"/>
                <w:szCs w:val="24"/>
                <w:lang w:eastAsia="ru-RU"/>
              </w:rPr>
              <w:t>1,00</w:t>
            </w:r>
          </w:p>
        </w:tc>
        <w:tc>
          <w:tcPr>
            <w:tcW w:w="969"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sz w:val="24"/>
                <w:szCs w:val="24"/>
                <w:lang w:eastAsia="ru-RU"/>
              </w:rPr>
            </w:pPr>
            <w:r w:rsidRPr="00663C28">
              <w:rPr>
                <w:rFonts w:eastAsia="Times New Roman"/>
                <w:sz w:val="24"/>
                <w:szCs w:val="24"/>
                <w:lang w:eastAsia="ru-RU"/>
              </w:rPr>
              <w:t>1,00</w:t>
            </w:r>
          </w:p>
        </w:tc>
      </w:tr>
      <w:tr w:rsidR="00663C28" w:rsidRPr="00663C28" w:rsidTr="00663C28">
        <w:trPr>
          <w:trHeight w:val="404"/>
          <w:jc w:val="center"/>
        </w:trPr>
        <w:tc>
          <w:tcPr>
            <w:tcW w:w="4536" w:type="dxa"/>
            <w:tcBorders>
              <w:top w:val="single" w:sz="4" w:space="0" w:color="auto"/>
              <w:left w:val="single" w:sz="4" w:space="0" w:color="auto"/>
              <w:bottom w:val="single" w:sz="4" w:space="0" w:color="auto"/>
              <w:right w:val="single" w:sz="4" w:space="0" w:color="auto"/>
            </w:tcBorders>
            <w:vAlign w:val="bottom"/>
          </w:tcPr>
          <w:p w:rsidR="00663C28" w:rsidRPr="00663C28" w:rsidRDefault="00663C28" w:rsidP="00663C28">
            <w:pPr>
              <w:keepNext/>
              <w:jc w:val="left"/>
              <w:rPr>
                <w:rFonts w:eastAsia="Times New Roman"/>
                <w:sz w:val="24"/>
                <w:szCs w:val="24"/>
                <w:lang w:eastAsia="ru-RU"/>
              </w:rPr>
            </w:pPr>
            <w:r w:rsidRPr="00663C28">
              <w:rPr>
                <w:rFonts w:eastAsia="Times New Roman"/>
                <w:sz w:val="24"/>
                <w:szCs w:val="24"/>
                <w:lang w:eastAsia="ru-RU"/>
              </w:rPr>
              <w:t>Питома вага атестованих лікарів акушер-гінекологів</w:t>
            </w:r>
          </w:p>
        </w:tc>
        <w:tc>
          <w:tcPr>
            <w:tcW w:w="968"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sz w:val="24"/>
                <w:szCs w:val="24"/>
                <w:lang w:eastAsia="ru-RU"/>
              </w:rPr>
            </w:pPr>
            <w:r w:rsidRPr="00663C28">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sz w:val="24"/>
                <w:szCs w:val="24"/>
                <w:lang w:eastAsia="ru-RU"/>
              </w:rPr>
            </w:pPr>
            <w:r w:rsidRPr="00663C28">
              <w:rPr>
                <w:rFonts w:eastAsia="Times New Roman"/>
                <w:sz w:val="24"/>
                <w:szCs w:val="24"/>
                <w:lang w:eastAsia="ru-RU"/>
              </w:rPr>
              <w:t>86,15</w:t>
            </w:r>
          </w:p>
        </w:tc>
        <w:tc>
          <w:tcPr>
            <w:tcW w:w="968"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sz w:val="24"/>
                <w:szCs w:val="24"/>
                <w:lang w:eastAsia="ru-RU"/>
              </w:rPr>
            </w:pPr>
            <w:r w:rsidRPr="00663C28">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sz w:val="24"/>
                <w:szCs w:val="24"/>
                <w:lang w:eastAsia="ru-RU"/>
              </w:rPr>
            </w:pPr>
            <w:r w:rsidRPr="00663C28">
              <w:rPr>
                <w:rFonts w:eastAsia="Times New Roman"/>
                <w:sz w:val="24"/>
                <w:szCs w:val="24"/>
                <w:lang w:eastAsia="ru-RU"/>
              </w:rPr>
              <w:t>5,74</w:t>
            </w:r>
          </w:p>
        </w:tc>
        <w:tc>
          <w:tcPr>
            <w:tcW w:w="968"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sz w:val="24"/>
                <w:szCs w:val="24"/>
                <w:lang w:eastAsia="ru-RU"/>
              </w:rPr>
            </w:pPr>
            <w:r w:rsidRPr="00663C28">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sz w:val="24"/>
                <w:szCs w:val="24"/>
                <w:lang w:eastAsia="ru-RU"/>
              </w:rPr>
            </w:pPr>
            <w:r w:rsidRPr="00663C28">
              <w:rPr>
                <w:rFonts w:eastAsia="Times New Roman"/>
                <w:sz w:val="24"/>
                <w:szCs w:val="24"/>
                <w:lang w:eastAsia="ru-RU"/>
              </w:rPr>
              <w:t>0,96</w:t>
            </w:r>
          </w:p>
        </w:tc>
      </w:tr>
      <w:tr w:rsidR="00663C28" w:rsidRPr="00663C28" w:rsidTr="00663C28">
        <w:trPr>
          <w:trHeight w:val="404"/>
          <w:jc w:val="center"/>
        </w:trPr>
        <w:tc>
          <w:tcPr>
            <w:tcW w:w="4536" w:type="dxa"/>
            <w:tcBorders>
              <w:top w:val="single" w:sz="4" w:space="0" w:color="auto"/>
              <w:left w:val="single" w:sz="4" w:space="0" w:color="auto"/>
              <w:bottom w:val="single" w:sz="4" w:space="0" w:color="auto"/>
              <w:right w:val="single" w:sz="4" w:space="0" w:color="auto"/>
            </w:tcBorders>
            <w:vAlign w:val="bottom"/>
          </w:tcPr>
          <w:p w:rsidR="00663C28" w:rsidRPr="00663C28" w:rsidRDefault="00663C28" w:rsidP="00663C28">
            <w:pPr>
              <w:keepNext/>
              <w:jc w:val="left"/>
              <w:rPr>
                <w:rFonts w:eastAsia="Times New Roman"/>
                <w:sz w:val="24"/>
                <w:szCs w:val="24"/>
                <w:lang w:eastAsia="ru-RU"/>
              </w:rPr>
            </w:pPr>
            <w:r w:rsidRPr="00663C28">
              <w:rPr>
                <w:rFonts w:eastAsia="Times New Roman"/>
                <w:sz w:val="24"/>
                <w:szCs w:val="24"/>
                <w:lang w:eastAsia="ru-RU"/>
              </w:rPr>
              <w:t>Питома вага атестованих лікарів педіатрів-неонатологів</w:t>
            </w:r>
          </w:p>
        </w:tc>
        <w:tc>
          <w:tcPr>
            <w:tcW w:w="968"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sz w:val="24"/>
                <w:szCs w:val="24"/>
                <w:lang w:eastAsia="ru-RU"/>
              </w:rPr>
            </w:pPr>
            <w:r w:rsidRPr="00663C28">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sz w:val="24"/>
                <w:szCs w:val="24"/>
                <w:lang w:eastAsia="ru-RU"/>
              </w:rPr>
            </w:pPr>
            <w:r w:rsidRPr="00663C28">
              <w:rPr>
                <w:rFonts w:eastAsia="Times New Roman"/>
                <w:sz w:val="24"/>
                <w:szCs w:val="24"/>
                <w:lang w:eastAsia="ru-RU"/>
              </w:rPr>
              <w:t>81,42</w:t>
            </w:r>
          </w:p>
        </w:tc>
        <w:tc>
          <w:tcPr>
            <w:tcW w:w="968"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sz w:val="24"/>
                <w:szCs w:val="24"/>
                <w:lang w:eastAsia="ru-RU"/>
              </w:rPr>
            </w:pPr>
            <w:r w:rsidRPr="00663C28">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sz w:val="24"/>
                <w:szCs w:val="24"/>
                <w:lang w:eastAsia="ru-RU"/>
              </w:rPr>
            </w:pPr>
            <w:r w:rsidRPr="00663C28">
              <w:rPr>
                <w:rFonts w:eastAsia="Times New Roman"/>
                <w:sz w:val="24"/>
                <w:szCs w:val="24"/>
                <w:lang w:eastAsia="ru-RU"/>
              </w:rPr>
              <w:t>6,0</w:t>
            </w:r>
          </w:p>
        </w:tc>
        <w:tc>
          <w:tcPr>
            <w:tcW w:w="968"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sz w:val="24"/>
                <w:szCs w:val="24"/>
                <w:lang w:eastAsia="ru-RU"/>
              </w:rPr>
            </w:pPr>
            <w:r w:rsidRPr="00663C28">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sz w:val="24"/>
                <w:szCs w:val="24"/>
                <w:lang w:eastAsia="ru-RU"/>
              </w:rPr>
            </w:pPr>
            <w:r w:rsidRPr="00663C28">
              <w:rPr>
                <w:rFonts w:eastAsia="Times New Roman"/>
                <w:sz w:val="24"/>
                <w:szCs w:val="24"/>
                <w:lang w:eastAsia="ru-RU"/>
              </w:rPr>
              <w:t>1,00</w:t>
            </w:r>
          </w:p>
        </w:tc>
      </w:tr>
      <w:tr w:rsidR="00663C28" w:rsidRPr="00663C28" w:rsidTr="00663C28">
        <w:trPr>
          <w:trHeight w:val="218"/>
          <w:jc w:val="center"/>
        </w:trPr>
        <w:tc>
          <w:tcPr>
            <w:tcW w:w="4536"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left"/>
              <w:rPr>
                <w:rFonts w:eastAsia="Times New Roman"/>
                <w:sz w:val="24"/>
                <w:szCs w:val="24"/>
                <w:lang w:eastAsia="ru-RU"/>
              </w:rPr>
            </w:pPr>
            <w:r w:rsidRPr="00663C28">
              <w:rPr>
                <w:rFonts w:eastAsia="Times New Roman"/>
                <w:sz w:val="24"/>
                <w:szCs w:val="24"/>
                <w:lang w:eastAsia="ru-RU"/>
              </w:rPr>
              <w:t xml:space="preserve">Своєчасність постановки на облік вагітних </w:t>
            </w:r>
          </w:p>
        </w:tc>
        <w:tc>
          <w:tcPr>
            <w:tcW w:w="968"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color w:val="000000"/>
                <w:sz w:val="24"/>
                <w:szCs w:val="24"/>
                <w:lang w:eastAsia="ru-RU"/>
              </w:rPr>
            </w:pPr>
            <w:r w:rsidRPr="00663C28">
              <w:rPr>
                <w:rFonts w:eastAsia="Times New Roman"/>
                <w:color w:val="000000"/>
                <w:sz w:val="24"/>
                <w:szCs w:val="24"/>
                <w:lang w:eastAsia="ru-RU"/>
              </w:rPr>
              <w:t>89,02</w:t>
            </w:r>
          </w:p>
        </w:tc>
        <w:tc>
          <w:tcPr>
            <w:tcW w:w="969"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sz w:val="24"/>
                <w:szCs w:val="24"/>
                <w:lang w:eastAsia="ru-RU"/>
              </w:rPr>
            </w:pPr>
            <w:r w:rsidRPr="00663C28">
              <w:rPr>
                <w:rFonts w:eastAsia="Times New Roman"/>
                <w:sz w:val="24"/>
                <w:szCs w:val="24"/>
                <w:lang w:eastAsia="ru-RU"/>
              </w:rPr>
              <w:t>88,29</w:t>
            </w:r>
          </w:p>
        </w:tc>
        <w:tc>
          <w:tcPr>
            <w:tcW w:w="968"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color w:val="000000"/>
                <w:sz w:val="24"/>
                <w:szCs w:val="24"/>
                <w:lang w:eastAsia="ru-RU"/>
              </w:rPr>
            </w:pPr>
            <w:r w:rsidRPr="00663C28">
              <w:rPr>
                <w:rFonts w:eastAsia="Times New Roman"/>
                <w:color w:val="000000"/>
                <w:sz w:val="24"/>
                <w:szCs w:val="24"/>
                <w:lang w:eastAsia="ru-RU"/>
              </w:rPr>
              <w:t>6,56</w:t>
            </w:r>
          </w:p>
        </w:tc>
        <w:tc>
          <w:tcPr>
            <w:tcW w:w="969"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sz w:val="24"/>
                <w:szCs w:val="24"/>
                <w:lang w:eastAsia="ru-RU"/>
              </w:rPr>
            </w:pPr>
            <w:r w:rsidRPr="00663C28">
              <w:rPr>
                <w:rFonts w:eastAsia="Times New Roman"/>
                <w:sz w:val="24"/>
                <w:szCs w:val="24"/>
                <w:lang w:eastAsia="ru-RU"/>
              </w:rPr>
              <w:t>6,53</w:t>
            </w:r>
          </w:p>
        </w:tc>
        <w:tc>
          <w:tcPr>
            <w:tcW w:w="968"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color w:val="000000"/>
                <w:sz w:val="24"/>
                <w:szCs w:val="24"/>
                <w:lang w:eastAsia="ru-RU"/>
              </w:rPr>
            </w:pPr>
            <w:r w:rsidRPr="00663C28">
              <w:rPr>
                <w:rFonts w:eastAsia="Times New Roman"/>
                <w:color w:val="000000"/>
                <w:sz w:val="24"/>
                <w:szCs w:val="24"/>
                <w:lang w:eastAsia="ru-RU"/>
              </w:rPr>
              <w:t>0,94</w:t>
            </w:r>
          </w:p>
        </w:tc>
        <w:tc>
          <w:tcPr>
            <w:tcW w:w="969"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sz w:val="24"/>
                <w:szCs w:val="24"/>
                <w:lang w:eastAsia="ru-RU"/>
              </w:rPr>
            </w:pPr>
            <w:r w:rsidRPr="00663C28">
              <w:rPr>
                <w:rFonts w:eastAsia="Times New Roman"/>
                <w:sz w:val="24"/>
                <w:szCs w:val="24"/>
                <w:lang w:eastAsia="ru-RU"/>
              </w:rPr>
              <w:t>0,93</w:t>
            </w:r>
          </w:p>
        </w:tc>
      </w:tr>
      <w:tr w:rsidR="00663C28" w:rsidRPr="00663C28" w:rsidTr="00663C28">
        <w:trPr>
          <w:trHeight w:val="222"/>
          <w:jc w:val="center"/>
        </w:trPr>
        <w:tc>
          <w:tcPr>
            <w:tcW w:w="4536"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left"/>
              <w:rPr>
                <w:rFonts w:eastAsia="Times New Roman"/>
                <w:sz w:val="24"/>
                <w:szCs w:val="24"/>
                <w:lang w:eastAsia="ru-RU"/>
              </w:rPr>
            </w:pPr>
            <w:r w:rsidRPr="00663C28">
              <w:rPr>
                <w:rFonts w:eastAsia="Times New Roman"/>
                <w:sz w:val="24"/>
                <w:szCs w:val="24"/>
                <w:lang w:eastAsia="ru-RU"/>
              </w:rPr>
              <w:t>Частота анемій вагітних</w:t>
            </w:r>
          </w:p>
        </w:tc>
        <w:tc>
          <w:tcPr>
            <w:tcW w:w="968"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color w:val="000000"/>
                <w:sz w:val="24"/>
                <w:szCs w:val="24"/>
                <w:lang w:eastAsia="ru-RU"/>
              </w:rPr>
            </w:pPr>
            <w:r w:rsidRPr="00663C28">
              <w:rPr>
                <w:rFonts w:eastAsia="Times New Roman"/>
                <w:color w:val="000000"/>
                <w:sz w:val="24"/>
                <w:szCs w:val="24"/>
                <w:lang w:eastAsia="ru-RU"/>
              </w:rPr>
              <w:t>24,8</w:t>
            </w:r>
          </w:p>
        </w:tc>
        <w:tc>
          <w:tcPr>
            <w:tcW w:w="969"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sz w:val="24"/>
                <w:szCs w:val="24"/>
                <w:lang w:eastAsia="ru-RU"/>
              </w:rPr>
            </w:pPr>
            <w:r w:rsidRPr="00663C28">
              <w:rPr>
                <w:rFonts w:eastAsia="Times New Roman"/>
                <w:sz w:val="24"/>
                <w:szCs w:val="24"/>
                <w:lang w:eastAsia="ru-RU"/>
              </w:rPr>
              <w:t>25,35</w:t>
            </w:r>
          </w:p>
        </w:tc>
        <w:tc>
          <w:tcPr>
            <w:tcW w:w="968"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color w:val="000000"/>
                <w:sz w:val="24"/>
                <w:szCs w:val="24"/>
                <w:lang w:eastAsia="ru-RU"/>
              </w:rPr>
            </w:pPr>
            <w:r w:rsidRPr="00663C28">
              <w:rPr>
                <w:rFonts w:eastAsia="Times New Roman"/>
                <w:color w:val="000000"/>
                <w:sz w:val="24"/>
                <w:szCs w:val="24"/>
                <w:lang w:eastAsia="ru-RU"/>
              </w:rPr>
              <w:t>3,04</w:t>
            </w:r>
          </w:p>
        </w:tc>
        <w:tc>
          <w:tcPr>
            <w:tcW w:w="969"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sz w:val="24"/>
                <w:szCs w:val="24"/>
                <w:lang w:eastAsia="ru-RU"/>
              </w:rPr>
            </w:pPr>
            <w:r w:rsidRPr="00663C28">
              <w:rPr>
                <w:rFonts w:eastAsia="Times New Roman"/>
                <w:sz w:val="24"/>
                <w:szCs w:val="24"/>
                <w:lang w:eastAsia="ru-RU"/>
              </w:rPr>
              <w:t>3,27</w:t>
            </w:r>
          </w:p>
        </w:tc>
        <w:tc>
          <w:tcPr>
            <w:tcW w:w="968"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color w:val="000000"/>
                <w:sz w:val="24"/>
                <w:szCs w:val="24"/>
                <w:lang w:eastAsia="ru-RU"/>
              </w:rPr>
            </w:pPr>
            <w:r w:rsidRPr="00663C28">
              <w:rPr>
                <w:rFonts w:eastAsia="Times New Roman"/>
                <w:color w:val="000000"/>
                <w:sz w:val="24"/>
                <w:szCs w:val="24"/>
                <w:lang w:eastAsia="ru-RU"/>
              </w:rPr>
              <w:t>0,76</w:t>
            </w:r>
          </w:p>
        </w:tc>
        <w:tc>
          <w:tcPr>
            <w:tcW w:w="969"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sz w:val="24"/>
                <w:szCs w:val="24"/>
                <w:lang w:eastAsia="ru-RU"/>
              </w:rPr>
            </w:pPr>
            <w:r w:rsidRPr="00663C28">
              <w:rPr>
                <w:rFonts w:eastAsia="Times New Roman"/>
                <w:sz w:val="24"/>
                <w:szCs w:val="24"/>
                <w:lang w:eastAsia="ru-RU"/>
              </w:rPr>
              <w:t>0,82</w:t>
            </w:r>
          </w:p>
        </w:tc>
      </w:tr>
      <w:tr w:rsidR="00663C28" w:rsidRPr="00663C28" w:rsidTr="00663C28">
        <w:trPr>
          <w:trHeight w:val="319"/>
          <w:jc w:val="center"/>
        </w:trPr>
        <w:tc>
          <w:tcPr>
            <w:tcW w:w="4536"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left"/>
              <w:rPr>
                <w:rFonts w:eastAsia="Times New Roman"/>
                <w:sz w:val="24"/>
                <w:szCs w:val="24"/>
                <w:lang w:eastAsia="ru-RU"/>
              </w:rPr>
            </w:pPr>
            <w:r w:rsidRPr="00663C28">
              <w:rPr>
                <w:rFonts w:eastAsia="Times New Roman"/>
                <w:sz w:val="24"/>
                <w:szCs w:val="24"/>
                <w:lang w:eastAsia="ru-RU"/>
              </w:rPr>
              <w:t>Частота прееклампсій та еклампсій вагітних</w:t>
            </w:r>
          </w:p>
        </w:tc>
        <w:tc>
          <w:tcPr>
            <w:tcW w:w="968"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color w:val="000000"/>
                <w:sz w:val="24"/>
                <w:szCs w:val="24"/>
                <w:lang w:eastAsia="ru-RU"/>
              </w:rPr>
            </w:pPr>
            <w:r w:rsidRPr="00663C28">
              <w:rPr>
                <w:rFonts w:eastAsia="Times New Roman"/>
                <w:color w:val="000000"/>
                <w:sz w:val="24"/>
                <w:szCs w:val="24"/>
                <w:lang w:eastAsia="ru-RU"/>
              </w:rPr>
              <w:t>2,5</w:t>
            </w:r>
          </w:p>
        </w:tc>
        <w:tc>
          <w:tcPr>
            <w:tcW w:w="969"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sz w:val="24"/>
                <w:szCs w:val="24"/>
                <w:lang w:eastAsia="ru-RU"/>
              </w:rPr>
            </w:pPr>
            <w:r w:rsidRPr="00663C28">
              <w:rPr>
                <w:rFonts w:eastAsia="Times New Roman"/>
                <w:sz w:val="24"/>
                <w:szCs w:val="24"/>
                <w:lang w:eastAsia="ru-RU"/>
              </w:rPr>
              <w:t>2,50</w:t>
            </w:r>
          </w:p>
        </w:tc>
        <w:tc>
          <w:tcPr>
            <w:tcW w:w="968"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color w:val="000000"/>
                <w:sz w:val="24"/>
                <w:szCs w:val="24"/>
                <w:lang w:eastAsia="ru-RU"/>
              </w:rPr>
            </w:pPr>
            <w:r w:rsidRPr="00663C28">
              <w:rPr>
                <w:rFonts w:eastAsia="Times New Roman"/>
                <w:color w:val="000000"/>
                <w:sz w:val="24"/>
                <w:szCs w:val="24"/>
                <w:lang w:eastAsia="ru-RU"/>
              </w:rPr>
              <w:t>4,00</w:t>
            </w:r>
          </w:p>
        </w:tc>
        <w:tc>
          <w:tcPr>
            <w:tcW w:w="969"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sz w:val="24"/>
                <w:szCs w:val="24"/>
                <w:lang w:eastAsia="ru-RU"/>
              </w:rPr>
            </w:pPr>
            <w:r w:rsidRPr="00663C28">
              <w:rPr>
                <w:rFonts w:eastAsia="Times New Roman"/>
                <w:sz w:val="24"/>
                <w:szCs w:val="24"/>
                <w:lang w:eastAsia="ru-RU"/>
              </w:rPr>
              <w:t>4,00</w:t>
            </w:r>
          </w:p>
        </w:tc>
        <w:tc>
          <w:tcPr>
            <w:tcW w:w="968"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color w:val="000000"/>
                <w:sz w:val="24"/>
                <w:szCs w:val="24"/>
                <w:lang w:eastAsia="ru-RU"/>
              </w:rPr>
            </w:pPr>
            <w:r w:rsidRPr="00663C28">
              <w:rPr>
                <w:rFonts w:eastAsia="Times New Roman"/>
                <w:color w:val="000000"/>
                <w:sz w:val="24"/>
                <w:szCs w:val="24"/>
                <w:lang w:eastAsia="ru-RU"/>
              </w:rPr>
              <w:t>0,57</w:t>
            </w:r>
          </w:p>
        </w:tc>
        <w:tc>
          <w:tcPr>
            <w:tcW w:w="969"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sz w:val="24"/>
                <w:szCs w:val="24"/>
                <w:lang w:eastAsia="ru-RU"/>
              </w:rPr>
            </w:pPr>
            <w:r w:rsidRPr="00663C28">
              <w:rPr>
                <w:rFonts w:eastAsia="Times New Roman"/>
                <w:sz w:val="24"/>
                <w:szCs w:val="24"/>
                <w:lang w:eastAsia="ru-RU"/>
              </w:rPr>
              <w:t>0,57</w:t>
            </w:r>
          </w:p>
        </w:tc>
      </w:tr>
      <w:tr w:rsidR="00663C28" w:rsidRPr="00663C28" w:rsidTr="00663C28">
        <w:trPr>
          <w:trHeight w:val="284"/>
          <w:jc w:val="center"/>
        </w:trPr>
        <w:tc>
          <w:tcPr>
            <w:tcW w:w="4536"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left"/>
              <w:rPr>
                <w:rFonts w:eastAsia="Times New Roman"/>
                <w:sz w:val="24"/>
                <w:szCs w:val="24"/>
                <w:lang w:eastAsia="ru-RU"/>
              </w:rPr>
            </w:pPr>
            <w:r w:rsidRPr="00663C28">
              <w:rPr>
                <w:rFonts w:eastAsia="Times New Roman"/>
                <w:sz w:val="24"/>
                <w:szCs w:val="24"/>
                <w:lang w:eastAsia="ru-RU"/>
              </w:rPr>
              <w:t>Співвідношення безпечних методів абортів до небезпечних</w:t>
            </w:r>
          </w:p>
        </w:tc>
        <w:tc>
          <w:tcPr>
            <w:tcW w:w="968"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color w:val="000000"/>
                <w:sz w:val="24"/>
                <w:szCs w:val="24"/>
                <w:lang w:eastAsia="ru-RU"/>
              </w:rPr>
            </w:pPr>
            <w:r w:rsidRPr="00663C28">
              <w:rPr>
                <w:rFonts w:eastAsia="Times New Roman"/>
                <w:color w:val="000000"/>
                <w:sz w:val="24"/>
                <w:szCs w:val="24"/>
                <w:lang w:eastAsia="ru-RU"/>
              </w:rPr>
              <w:t>21,59</w:t>
            </w:r>
          </w:p>
        </w:tc>
        <w:tc>
          <w:tcPr>
            <w:tcW w:w="969"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sz w:val="24"/>
                <w:szCs w:val="24"/>
                <w:lang w:eastAsia="ru-RU"/>
              </w:rPr>
            </w:pPr>
            <w:r w:rsidRPr="00663C28">
              <w:rPr>
                <w:rFonts w:eastAsia="Times New Roman"/>
                <w:sz w:val="24"/>
                <w:szCs w:val="24"/>
                <w:lang w:eastAsia="ru-RU"/>
              </w:rPr>
              <w:t>29,50</w:t>
            </w:r>
          </w:p>
        </w:tc>
        <w:tc>
          <w:tcPr>
            <w:tcW w:w="968"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color w:val="000000"/>
                <w:sz w:val="24"/>
                <w:szCs w:val="24"/>
                <w:lang w:eastAsia="ru-RU"/>
              </w:rPr>
            </w:pPr>
            <w:r w:rsidRPr="00663C28">
              <w:rPr>
                <w:rFonts w:eastAsia="Times New Roman"/>
                <w:color w:val="000000"/>
                <w:sz w:val="24"/>
                <w:szCs w:val="24"/>
                <w:lang w:eastAsia="ru-RU"/>
              </w:rPr>
              <w:t>6,00</w:t>
            </w:r>
          </w:p>
        </w:tc>
        <w:tc>
          <w:tcPr>
            <w:tcW w:w="969"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sz w:val="24"/>
                <w:szCs w:val="24"/>
                <w:lang w:eastAsia="ru-RU"/>
              </w:rPr>
            </w:pPr>
            <w:r w:rsidRPr="00663C28">
              <w:rPr>
                <w:rFonts w:eastAsia="Times New Roman"/>
                <w:sz w:val="24"/>
                <w:szCs w:val="24"/>
                <w:lang w:eastAsia="ru-RU"/>
              </w:rPr>
              <w:t>6,0</w:t>
            </w:r>
          </w:p>
        </w:tc>
        <w:tc>
          <w:tcPr>
            <w:tcW w:w="968"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color w:val="000000"/>
                <w:sz w:val="24"/>
                <w:szCs w:val="24"/>
                <w:lang w:eastAsia="ru-RU"/>
              </w:rPr>
            </w:pPr>
            <w:r w:rsidRPr="00663C28">
              <w:rPr>
                <w:rFonts w:eastAsia="Times New Roman"/>
                <w:color w:val="000000"/>
                <w:sz w:val="24"/>
                <w:szCs w:val="24"/>
                <w:lang w:eastAsia="ru-RU"/>
              </w:rPr>
              <w:t>1,00</w:t>
            </w:r>
          </w:p>
        </w:tc>
        <w:tc>
          <w:tcPr>
            <w:tcW w:w="969"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sz w:val="24"/>
                <w:szCs w:val="24"/>
                <w:lang w:eastAsia="ru-RU"/>
              </w:rPr>
            </w:pPr>
            <w:r w:rsidRPr="00663C28">
              <w:rPr>
                <w:rFonts w:eastAsia="Times New Roman"/>
                <w:sz w:val="24"/>
                <w:szCs w:val="24"/>
                <w:lang w:eastAsia="ru-RU"/>
              </w:rPr>
              <w:t>1,00</w:t>
            </w:r>
          </w:p>
        </w:tc>
      </w:tr>
      <w:tr w:rsidR="00663C28" w:rsidRPr="00663C28" w:rsidTr="00663C28">
        <w:trPr>
          <w:trHeight w:val="340"/>
          <w:jc w:val="center"/>
        </w:trPr>
        <w:tc>
          <w:tcPr>
            <w:tcW w:w="4536" w:type="dxa"/>
            <w:tcBorders>
              <w:top w:val="single" w:sz="4" w:space="0" w:color="auto"/>
              <w:left w:val="single" w:sz="4" w:space="0" w:color="auto"/>
              <w:bottom w:val="single" w:sz="4" w:space="0" w:color="auto"/>
              <w:right w:val="single" w:sz="4" w:space="0" w:color="auto"/>
            </w:tcBorders>
            <w:vAlign w:val="bottom"/>
          </w:tcPr>
          <w:p w:rsidR="00663C28" w:rsidRPr="00663C28" w:rsidRDefault="00663C28" w:rsidP="00663C28">
            <w:pPr>
              <w:keepNext/>
              <w:jc w:val="left"/>
              <w:rPr>
                <w:rFonts w:eastAsia="Times New Roman"/>
                <w:sz w:val="24"/>
                <w:szCs w:val="24"/>
                <w:lang w:eastAsia="ru-RU"/>
              </w:rPr>
            </w:pPr>
            <w:r w:rsidRPr="00663C28">
              <w:rPr>
                <w:rFonts w:eastAsia="Times New Roman"/>
                <w:sz w:val="24"/>
                <w:szCs w:val="24"/>
                <w:lang w:eastAsia="ru-RU"/>
              </w:rPr>
              <w:t>Питома вага хворих виявлення в ранніх стадіях (І – ІІ) серед хворих з вперше встановленим діагнозом онкологія молочної залози</w:t>
            </w:r>
          </w:p>
        </w:tc>
        <w:tc>
          <w:tcPr>
            <w:tcW w:w="968"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sz w:val="24"/>
                <w:szCs w:val="24"/>
                <w:lang w:eastAsia="ru-RU"/>
              </w:rPr>
            </w:pPr>
            <w:r w:rsidRPr="00663C28">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sz w:val="24"/>
                <w:szCs w:val="24"/>
                <w:lang w:eastAsia="ru-RU"/>
              </w:rPr>
            </w:pPr>
            <w:r w:rsidRPr="00663C28">
              <w:rPr>
                <w:rFonts w:eastAsia="Times New Roman"/>
                <w:sz w:val="24"/>
                <w:szCs w:val="24"/>
                <w:lang w:eastAsia="ru-RU"/>
              </w:rPr>
              <w:t>79,80</w:t>
            </w:r>
          </w:p>
        </w:tc>
        <w:tc>
          <w:tcPr>
            <w:tcW w:w="968"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sz w:val="24"/>
                <w:szCs w:val="24"/>
                <w:lang w:eastAsia="ru-RU"/>
              </w:rPr>
            </w:pPr>
            <w:r w:rsidRPr="00663C28">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sz w:val="24"/>
                <w:szCs w:val="24"/>
                <w:lang w:eastAsia="ru-RU"/>
              </w:rPr>
            </w:pPr>
            <w:r w:rsidRPr="00663C28">
              <w:rPr>
                <w:rFonts w:eastAsia="Times New Roman"/>
                <w:sz w:val="24"/>
                <w:szCs w:val="24"/>
                <w:lang w:eastAsia="ru-RU"/>
              </w:rPr>
              <w:t>5,99</w:t>
            </w:r>
          </w:p>
        </w:tc>
        <w:tc>
          <w:tcPr>
            <w:tcW w:w="968"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sz w:val="24"/>
                <w:szCs w:val="24"/>
                <w:lang w:eastAsia="ru-RU"/>
              </w:rPr>
            </w:pPr>
            <w:r w:rsidRPr="00663C28">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sz w:val="24"/>
                <w:szCs w:val="24"/>
                <w:lang w:eastAsia="ru-RU"/>
              </w:rPr>
            </w:pPr>
            <w:r w:rsidRPr="00663C28">
              <w:rPr>
                <w:rFonts w:eastAsia="Times New Roman"/>
                <w:sz w:val="24"/>
                <w:szCs w:val="24"/>
                <w:lang w:eastAsia="ru-RU"/>
              </w:rPr>
              <w:t>1,00</w:t>
            </w:r>
          </w:p>
        </w:tc>
      </w:tr>
      <w:tr w:rsidR="00663C28" w:rsidRPr="00663C28" w:rsidTr="00663C28">
        <w:trPr>
          <w:trHeight w:val="418"/>
          <w:jc w:val="center"/>
        </w:trPr>
        <w:tc>
          <w:tcPr>
            <w:tcW w:w="4536" w:type="dxa"/>
            <w:tcBorders>
              <w:top w:val="single" w:sz="4" w:space="0" w:color="auto"/>
              <w:left w:val="single" w:sz="4" w:space="0" w:color="auto"/>
              <w:bottom w:val="single" w:sz="4" w:space="0" w:color="auto"/>
              <w:right w:val="single" w:sz="4" w:space="0" w:color="auto"/>
            </w:tcBorders>
            <w:vAlign w:val="bottom"/>
          </w:tcPr>
          <w:p w:rsidR="00663C28" w:rsidRPr="00663C28" w:rsidRDefault="00663C28" w:rsidP="00663C28">
            <w:pPr>
              <w:keepNext/>
              <w:jc w:val="left"/>
              <w:rPr>
                <w:rFonts w:eastAsia="Times New Roman"/>
                <w:sz w:val="24"/>
                <w:szCs w:val="24"/>
                <w:lang w:eastAsia="ru-RU"/>
              </w:rPr>
            </w:pPr>
            <w:r w:rsidRPr="00663C28">
              <w:rPr>
                <w:rFonts w:eastAsia="Times New Roman"/>
                <w:sz w:val="24"/>
                <w:szCs w:val="24"/>
                <w:lang w:eastAsia="ru-RU"/>
              </w:rPr>
              <w:t>Питома вага хворих виявлення в ранніх стадіях (І – ІІ) серед хворих з вперше встановленим діагнозом онкологія шийки матки</w:t>
            </w:r>
          </w:p>
        </w:tc>
        <w:tc>
          <w:tcPr>
            <w:tcW w:w="968"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sz w:val="24"/>
                <w:szCs w:val="24"/>
                <w:lang w:eastAsia="ru-RU"/>
              </w:rPr>
            </w:pPr>
            <w:r w:rsidRPr="00663C28">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sz w:val="24"/>
                <w:szCs w:val="24"/>
                <w:lang w:eastAsia="ru-RU"/>
              </w:rPr>
            </w:pPr>
            <w:r w:rsidRPr="00663C28">
              <w:rPr>
                <w:rFonts w:eastAsia="Times New Roman"/>
                <w:sz w:val="24"/>
                <w:szCs w:val="24"/>
                <w:lang w:eastAsia="ru-RU"/>
              </w:rPr>
              <w:t>75,00</w:t>
            </w:r>
          </w:p>
        </w:tc>
        <w:tc>
          <w:tcPr>
            <w:tcW w:w="968"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sz w:val="24"/>
                <w:szCs w:val="24"/>
                <w:lang w:eastAsia="ru-RU"/>
              </w:rPr>
            </w:pPr>
            <w:r w:rsidRPr="00663C28">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sz w:val="24"/>
                <w:szCs w:val="24"/>
                <w:lang w:eastAsia="ru-RU"/>
              </w:rPr>
            </w:pPr>
            <w:r w:rsidRPr="00663C28">
              <w:rPr>
                <w:rFonts w:eastAsia="Times New Roman"/>
                <w:sz w:val="24"/>
                <w:szCs w:val="24"/>
                <w:lang w:eastAsia="ru-RU"/>
              </w:rPr>
              <w:t>5,65</w:t>
            </w:r>
          </w:p>
        </w:tc>
        <w:tc>
          <w:tcPr>
            <w:tcW w:w="968"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sz w:val="24"/>
                <w:szCs w:val="24"/>
                <w:lang w:eastAsia="ru-RU"/>
              </w:rPr>
            </w:pPr>
            <w:r w:rsidRPr="00663C28">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sz w:val="24"/>
                <w:szCs w:val="24"/>
                <w:lang w:eastAsia="ru-RU"/>
              </w:rPr>
            </w:pPr>
            <w:r w:rsidRPr="00663C28">
              <w:rPr>
                <w:rFonts w:eastAsia="Times New Roman"/>
                <w:sz w:val="24"/>
                <w:szCs w:val="24"/>
                <w:lang w:eastAsia="ru-RU"/>
              </w:rPr>
              <w:t>0,94</w:t>
            </w:r>
          </w:p>
        </w:tc>
      </w:tr>
      <w:tr w:rsidR="00663C28" w:rsidRPr="00663C28" w:rsidTr="00663C28">
        <w:trPr>
          <w:trHeight w:val="480"/>
          <w:jc w:val="center"/>
        </w:trPr>
        <w:tc>
          <w:tcPr>
            <w:tcW w:w="4536" w:type="dxa"/>
            <w:tcBorders>
              <w:top w:val="single" w:sz="4" w:space="0" w:color="auto"/>
              <w:left w:val="single" w:sz="4" w:space="0" w:color="auto"/>
              <w:bottom w:val="single" w:sz="4" w:space="0" w:color="auto"/>
              <w:right w:val="single" w:sz="4" w:space="0" w:color="auto"/>
            </w:tcBorders>
          </w:tcPr>
          <w:p w:rsidR="00663C28" w:rsidRPr="00663C28" w:rsidRDefault="00663C28" w:rsidP="00663C28">
            <w:pPr>
              <w:keepNext/>
              <w:rPr>
                <w:rFonts w:eastAsia="Times New Roman"/>
                <w:color w:val="000000"/>
                <w:sz w:val="24"/>
                <w:szCs w:val="24"/>
                <w:lang w:eastAsia="uk-UA"/>
              </w:rPr>
            </w:pPr>
            <w:r w:rsidRPr="00663C28">
              <w:rPr>
                <w:rFonts w:eastAsia="Times New Roman"/>
                <w:color w:val="000000"/>
                <w:sz w:val="24"/>
                <w:szCs w:val="24"/>
                <w:lang w:eastAsia="uk-UA"/>
              </w:rPr>
              <w:t>Індекс концентрації розродження вагітних з цукровим діабетом у ЗПД ІІІ рівня</w:t>
            </w:r>
          </w:p>
        </w:tc>
        <w:tc>
          <w:tcPr>
            <w:tcW w:w="968"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color w:val="000000"/>
                <w:sz w:val="24"/>
                <w:szCs w:val="24"/>
                <w:lang w:eastAsia="ru-RU"/>
              </w:rPr>
            </w:pPr>
            <w:r w:rsidRPr="00663C28">
              <w:rPr>
                <w:rFonts w:eastAsia="Times New Roman"/>
                <w:color w:val="000000"/>
                <w:sz w:val="24"/>
                <w:szCs w:val="24"/>
                <w:lang w:eastAsia="ru-RU"/>
              </w:rPr>
              <w:t>99,26</w:t>
            </w:r>
          </w:p>
        </w:tc>
        <w:tc>
          <w:tcPr>
            <w:tcW w:w="969"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color w:val="000000"/>
                <w:sz w:val="24"/>
                <w:szCs w:val="24"/>
                <w:lang w:eastAsia="ru-RU"/>
              </w:rPr>
            </w:pPr>
            <w:r w:rsidRPr="00663C28">
              <w:rPr>
                <w:rFonts w:eastAsia="Times New Roman"/>
                <w:color w:val="000000"/>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color w:val="000000"/>
                <w:sz w:val="24"/>
                <w:szCs w:val="24"/>
                <w:lang w:eastAsia="ru-RU"/>
              </w:rPr>
            </w:pPr>
            <w:r w:rsidRPr="00663C28">
              <w:rPr>
                <w:rFonts w:eastAsia="Times New Roman"/>
                <w:color w:val="000000"/>
                <w:sz w:val="24"/>
                <w:szCs w:val="24"/>
                <w:lang w:eastAsia="ru-RU"/>
              </w:rPr>
              <w:t>7,00</w:t>
            </w:r>
          </w:p>
        </w:tc>
        <w:tc>
          <w:tcPr>
            <w:tcW w:w="969"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sz w:val="24"/>
                <w:szCs w:val="24"/>
                <w:lang w:eastAsia="ru-RU"/>
              </w:rPr>
            </w:pPr>
            <w:r w:rsidRPr="00663C28">
              <w:rPr>
                <w:rFonts w:eastAsia="Times New Roman"/>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color w:val="000000"/>
                <w:sz w:val="24"/>
                <w:szCs w:val="24"/>
                <w:lang w:eastAsia="ru-RU"/>
              </w:rPr>
            </w:pPr>
            <w:r w:rsidRPr="00663C28">
              <w:rPr>
                <w:rFonts w:eastAsia="Times New Roman"/>
                <w:color w:val="000000"/>
                <w:sz w:val="24"/>
                <w:szCs w:val="24"/>
                <w:lang w:eastAsia="ru-RU"/>
              </w:rPr>
              <w:t>1,00</w:t>
            </w:r>
          </w:p>
        </w:tc>
        <w:tc>
          <w:tcPr>
            <w:tcW w:w="969"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sz w:val="24"/>
                <w:szCs w:val="24"/>
                <w:lang w:eastAsia="ru-RU"/>
              </w:rPr>
            </w:pPr>
            <w:r w:rsidRPr="00663C28">
              <w:rPr>
                <w:rFonts w:eastAsia="Times New Roman"/>
                <w:sz w:val="24"/>
                <w:szCs w:val="24"/>
                <w:lang w:eastAsia="ru-RU"/>
              </w:rPr>
              <w:t>**</w:t>
            </w:r>
          </w:p>
        </w:tc>
      </w:tr>
    </w:tbl>
    <w:p w:rsidR="00663C28" w:rsidRPr="00F72A46" w:rsidRDefault="00930B86" w:rsidP="00F72A46">
      <w:pPr>
        <w:rPr>
          <w:i/>
          <w:sz w:val="20"/>
          <w:szCs w:val="20"/>
        </w:rPr>
      </w:pPr>
      <w:r>
        <w:rPr>
          <w:i/>
          <w:lang w:val="ru-RU"/>
        </w:rPr>
        <w:tab/>
      </w:r>
      <w:r w:rsidRPr="004B24A2">
        <w:rPr>
          <w:i/>
          <w:sz w:val="20"/>
          <w:szCs w:val="20"/>
        </w:rPr>
        <w:t>Для таблиць : * – показник не оцінювався</w:t>
      </w:r>
      <w:r w:rsidRPr="004B24A2">
        <w:rPr>
          <w:i/>
          <w:sz w:val="20"/>
          <w:szCs w:val="20"/>
          <w:lang w:val="ru-RU"/>
        </w:rPr>
        <w:t xml:space="preserve">  </w:t>
      </w:r>
      <w:r w:rsidRPr="004B24A2">
        <w:rPr>
          <w:i/>
          <w:sz w:val="20"/>
          <w:szCs w:val="20"/>
        </w:rPr>
        <w:t>** – немає даних</w:t>
      </w:r>
    </w:p>
    <w:tbl>
      <w:tblPr>
        <w:tblpPr w:leftFromText="180" w:rightFromText="180" w:vertAnchor="text" w:horzAnchor="margin" w:tblpY="910"/>
        <w:tblW w:w="103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36"/>
        <w:gridCol w:w="968"/>
        <w:gridCol w:w="969"/>
        <w:gridCol w:w="968"/>
        <w:gridCol w:w="969"/>
        <w:gridCol w:w="968"/>
        <w:gridCol w:w="969"/>
      </w:tblGrid>
      <w:tr w:rsidR="00663C28" w:rsidRPr="00663C28" w:rsidTr="00663C28">
        <w:trPr>
          <w:trHeight w:val="600"/>
        </w:trPr>
        <w:tc>
          <w:tcPr>
            <w:tcW w:w="4536" w:type="dxa"/>
            <w:tcBorders>
              <w:top w:val="single" w:sz="4" w:space="0" w:color="auto"/>
              <w:left w:val="single" w:sz="4" w:space="0" w:color="auto"/>
              <w:bottom w:val="single" w:sz="4" w:space="0" w:color="auto"/>
              <w:right w:val="single" w:sz="4" w:space="0" w:color="auto"/>
            </w:tcBorders>
          </w:tcPr>
          <w:p w:rsidR="00663C28" w:rsidRPr="00663C28" w:rsidRDefault="00663C28" w:rsidP="00663C28">
            <w:pPr>
              <w:keepNext/>
              <w:rPr>
                <w:rFonts w:eastAsia="Times New Roman"/>
                <w:color w:val="000000"/>
                <w:sz w:val="24"/>
                <w:szCs w:val="24"/>
                <w:lang w:eastAsia="uk-UA"/>
              </w:rPr>
            </w:pPr>
            <w:r w:rsidRPr="00663C28">
              <w:rPr>
                <w:rFonts w:eastAsia="Times New Roman"/>
                <w:color w:val="000000"/>
                <w:sz w:val="24"/>
                <w:szCs w:val="24"/>
                <w:lang w:eastAsia="uk-UA"/>
              </w:rPr>
              <w:lastRenderedPageBreak/>
              <w:t>Індекс концентрації розродження вагітних з  пре- еклампсією і еклампсією  у ЗПД ІІ-ІІІ рівнів</w:t>
            </w:r>
          </w:p>
        </w:tc>
        <w:tc>
          <w:tcPr>
            <w:tcW w:w="968"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color w:val="000000"/>
                <w:sz w:val="24"/>
                <w:szCs w:val="24"/>
                <w:lang w:eastAsia="ru-RU"/>
              </w:rPr>
            </w:pPr>
            <w:r w:rsidRPr="00663C28">
              <w:rPr>
                <w:rFonts w:eastAsia="Times New Roman"/>
                <w:color w:val="000000"/>
                <w:sz w:val="24"/>
                <w:szCs w:val="24"/>
                <w:lang w:eastAsia="ru-RU"/>
              </w:rPr>
              <w:t>100,0</w:t>
            </w:r>
          </w:p>
        </w:tc>
        <w:tc>
          <w:tcPr>
            <w:tcW w:w="969"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color w:val="000000"/>
                <w:sz w:val="24"/>
                <w:szCs w:val="24"/>
                <w:lang w:eastAsia="ru-RU"/>
              </w:rPr>
            </w:pPr>
            <w:r w:rsidRPr="00663C28">
              <w:rPr>
                <w:rFonts w:eastAsia="Times New Roman"/>
                <w:color w:val="000000"/>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color w:val="000000"/>
                <w:sz w:val="24"/>
                <w:szCs w:val="24"/>
                <w:lang w:eastAsia="ru-RU"/>
              </w:rPr>
            </w:pPr>
            <w:r w:rsidRPr="00663C28">
              <w:rPr>
                <w:rFonts w:eastAsia="Times New Roman"/>
                <w:color w:val="000000"/>
                <w:sz w:val="24"/>
                <w:szCs w:val="24"/>
                <w:lang w:eastAsia="ru-RU"/>
              </w:rPr>
              <w:t>7,00</w:t>
            </w:r>
          </w:p>
        </w:tc>
        <w:tc>
          <w:tcPr>
            <w:tcW w:w="969"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sz w:val="24"/>
                <w:szCs w:val="24"/>
                <w:lang w:eastAsia="ru-RU"/>
              </w:rPr>
            </w:pPr>
            <w:r w:rsidRPr="00663C28">
              <w:rPr>
                <w:rFonts w:eastAsia="Times New Roman"/>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color w:val="000000"/>
                <w:sz w:val="24"/>
                <w:szCs w:val="24"/>
                <w:lang w:eastAsia="ru-RU"/>
              </w:rPr>
            </w:pPr>
            <w:r w:rsidRPr="00663C28">
              <w:rPr>
                <w:rFonts w:eastAsia="Times New Roman"/>
                <w:color w:val="000000"/>
                <w:sz w:val="24"/>
                <w:szCs w:val="24"/>
                <w:lang w:eastAsia="ru-RU"/>
              </w:rPr>
              <w:t>1,00</w:t>
            </w:r>
          </w:p>
        </w:tc>
        <w:tc>
          <w:tcPr>
            <w:tcW w:w="969"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sz w:val="24"/>
                <w:szCs w:val="24"/>
                <w:lang w:eastAsia="ru-RU"/>
              </w:rPr>
            </w:pPr>
            <w:r w:rsidRPr="00663C28">
              <w:rPr>
                <w:rFonts w:eastAsia="Times New Roman"/>
                <w:sz w:val="24"/>
                <w:szCs w:val="24"/>
                <w:lang w:eastAsia="ru-RU"/>
              </w:rPr>
              <w:t>**</w:t>
            </w:r>
          </w:p>
        </w:tc>
      </w:tr>
      <w:tr w:rsidR="00663C28" w:rsidRPr="00663C28" w:rsidTr="00663C28">
        <w:trPr>
          <w:trHeight w:val="600"/>
        </w:trPr>
        <w:tc>
          <w:tcPr>
            <w:tcW w:w="4536" w:type="dxa"/>
            <w:tcBorders>
              <w:top w:val="single" w:sz="4" w:space="0" w:color="auto"/>
              <w:left w:val="single" w:sz="4" w:space="0" w:color="auto"/>
              <w:bottom w:val="single" w:sz="4" w:space="0" w:color="auto"/>
              <w:right w:val="single" w:sz="4" w:space="0" w:color="auto"/>
            </w:tcBorders>
          </w:tcPr>
          <w:p w:rsidR="00663C28" w:rsidRPr="00663C28" w:rsidRDefault="00663C28" w:rsidP="00663C28">
            <w:pPr>
              <w:keepNext/>
              <w:rPr>
                <w:rFonts w:eastAsia="Times New Roman"/>
                <w:color w:val="000000"/>
                <w:sz w:val="24"/>
                <w:szCs w:val="24"/>
                <w:lang w:eastAsia="uk-UA"/>
              </w:rPr>
            </w:pPr>
            <w:r w:rsidRPr="00663C28">
              <w:rPr>
                <w:rFonts w:eastAsia="Times New Roman"/>
                <w:color w:val="000000"/>
                <w:sz w:val="24"/>
                <w:szCs w:val="24"/>
                <w:lang w:eastAsia="uk-UA"/>
              </w:rPr>
              <w:t>Індекс концентрації новонароджених масою тіла при народженні 500-1499г у ЗПД ІІІ рівня</w:t>
            </w:r>
          </w:p>
        </w:tc>
        <w:tc>
          <w:tcPr>
            <w:tcW w:w="968"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color w:val="000000"/>
                <w:sz w:val="24"/>
                <w:szCs w:val="24"/>
                <w:lang w:eastAsia="ru-RU"/>
              </w:rPr>
            </w:pPr>
            <w:r w:rsidRPr="00663C28">
              <w:rPr>
                <w:rFonts w:eastAsia="Times New Roman"/>
                <w:color w:val="000000"/>
                <w:sz w:val="24"/>
                <w:szCs w:val="24"/>
                <w:lang w:eastAsia="ru-RU"/>
              </w:rPr>
              <w:t>89,6</w:t>
            </w:r>
          </w:p>
        </w:tc>
        <w:tc>
          <w:tcPr>
            <w:tcW w:w="969"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color w:val="000000"/>
                <w:sz w:val="24"/>
                <w:szCs w:val="24"/>
                <w:lang w:eastAsia="ru-RU"/>
              </w:rPr>
            </w:pPr>
            <w:r w:rsidRPr="00663C28">
              <w:rPr>
                <w:rFonts w:eastAsia="Times New Roman"/>
                <w:color w:val="000000"/>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color w:val="000000"/>
                <w:sz w:val="24"/>
                <w:szCs w:val="24"/>
                <w:lang w:eastAsia="ru-RU"/>
              </w:rPr>
            </w:pPr>
            <w:r w:rsidRPr="00663C28">
              <w:rPr>
                <w:rFonts w:eastAsia="Times New Roman"/>
                <w:color w:val="000000"/>
                <w:sz w:val="24"/>
                <w:szCs w:val="24"/>
                <w:lang w:eastAsia="ru-RU"/>
              </w:rPr>
              <w:t>6,00</w:t>
            </w:r>
          </w:p>
        </w:tc>
        <w:tc>
          <w:tcPr>
            <w:tcW w:w="969"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sz w:val="24"/>
                <w:szCs w:val="24"/>
                <w:lang w:eastAsia="ru-RU"/>
              </w:rPr>
            </w:pPr>
            <w:r w:rsidRPr="00663C28">
              <w:rPr>
                <w:rFonts w:eastAsia="Times New Roman"/>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color w:val="000000"/>
                <w:sz w:val="24"/>
                <w:szCs w:val="24"/>
                <w:lang w:eastAsia="ru-RU"/>
              </w:rPr>
            </w:pPr>
            <w:r w:rsidRPr="00663C28">
              <w:rPr>
                <w:rFonts w:eastAsia="Times New Roman"/>
                <w:color w:val="000000"/>
                <w:sz w:val="24"/>
                <w:szCs w:val="24"/>
                <w:lang w:eastAsia="ru-RU"/>
              </w:rPr>
              <w:t>1,00</w:t>
            </w:r>
          </w:p>
        </w:tc>
        <w:tc>
          <w:tcPr>
            <w:tcW w:w="969"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sz w:val="24"/>
                <w:szCs w:val="24"/>
                <w:lang w:eastAsia="ru-RU"/>
              </w:rPr>
            </w:pPr>
            <w:r w:rsidRPr="00663C28">
              <w:rPr>
                <w:rFonts w:eastAsia="Times New Roman"/>
                <w:sz w:val="24"/>
                <w:szCs w:val="24"/>
                <w:lang w:eastAsia="ru-RU"/>
              </w:rPr>
              <w:t>**</w:t>
            </w:r>
          </w:p>
        </w:tc>
      </w:tr>
      <w:tr w:rsidR="00663C28" w:rsidRPr="00663C28" w:rsidTr="00663C28">
        <w:trPr>
          <w:trHeight w:val="268"/>
        </w:trPr>
        <w:tc>
          <w:tcPr>
            <w:tcW w:w="4536" w:type="dxa"/>
            <w:tcBorders>
              <w:top w:val="single" w:sz="4" w:space="0" w:color="auto"/>
              <w:left w:val="single" w:sz="4" w:space="0" w:color="auto"/>
              <w:bottom w:val="single" w:sz="4" w:space="0" w:color="auto"/>
              <w:right w:val="single" w:sz="4" w:space="0" w:color="auto"/>
            </w:tcBorders>
            <w:vAlign w:val="bottom"/>
          </w:tcPr>
          <w:p w:rsidR="00663C28" w:rsidRPr="00663C28" w:rsidRDefault="00663C28" w:rsidP="00663C28">
            <w:pPr>
              <w:keepNext/>
              <w:jc w:val="left"/>
              <w:rPr>
                <w:rFonts w:eastAsia="Times New Roman"/>
                <w:sz w:val="24"/>
                <w:szCs w:val="24"/>
                <w:lang w:eastAsia="ru-RU"/>
              </w:rPr>
            </w:pPr>
            <w:r w:rsidRPr="00663C28">
              <w:rPr>
                <w:rFonts w:eastAsia="Times New Roman"/>
                <w:sz w:val="24"/>
                <w:szCs w:val="24"/>
                <w:lang w:eastAsia="ru-RU"/>
              </w:rPr>
              <w:t>Індекс неонатального трансферу</w:t>
            </w:r>
          </w:p>
        </w:tc>
        <w:tc>
          <w:tcPr>
            <w:tcW w:w="968"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sz w:val="24"/>
                <w:szCs w:val="24"/>
                <w:lang w:eastAsia="ru-RU"/>
              </w:rPr>
            </w:pPr>
            <w:r w:rsidRPr="00663C28">
              <w:rPr>
                <w:rFonts w:eastAsia="Times New Roman"/>
                <w:sz w:val="24"/>
                <w:szCs w:val="24"/>
                <w:lang w:eastAsia="ru-RU"/>
              </w:rPr>
              <w:t>8,1</w:t>
            </w:r>
          </w:p>
        </w:tc>
        <w:tc>
          <w:tcPr>
            <w:tcW w:w="969"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sz w:val="24"/>
                <w:szCs w:val="24"/>
                <w:lang w:eastAsia="ru-RU"/>
              </w:rPr>
            </w:pPr>
            <w:r w:rsidRPr="00663C28">
              <w:rPr>
                <w:rFonts w:eastAsia="Times New Roman"/>
                <w:sz w:val="24"/>
                <w:szCs w:val="24"/>
                <w:lang w:eastAsia="ru-RU"/>
              </w:rPr>
              <w:t>8,36</w:t>
            </w:r>
          </w:p>
        </w:tc>
        <w:tc>
          <w:tcPr>
            <w:tcW w:w="968"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sz w:val="24"/>
                <w:szCs w:val="24"/>
                <w:lang w:eastAsia="ru-RU"/>
              </w:rPr>
            </w:pPr>
            <w:r w:rsidRPr="00663C28">
              <w:rPr>
                <w:rFonts w:eastAsia="Times New Roman"/>
                <w:sz w:val="24"/>
                <w:szCs w:val="24"/>
                <w:lang w:eastAsia="ru-RU"/>
              </w:rPr>
              <w:t>0,0</w:t>
            </w:r>
          </w:p>
        </w:tc>
        <w:tc>
          <w:tcPr>
            <w:tcW w:w="969"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sz w:val="24"/>
                <w:szCs w:val="24"/>
                <w:lang w:eastAsia="ru-RU"/>
              </w:rPr>
            </w:pPr>
            <w:r w:rsidRPr="00663C28">
              <w:rPr>
                <w:rFonts w:eastAsia="Times New Roman"/>
                <w:sz w:val="24"/>
                <w:szCs w:val="24"/>
                <w:lang w:eastAsia="ru-RU"/>
              </w:rPr>
              <w:t>2,30</w:t>
            </w:r>
          </w:p>
        </w:tc>
        <w:tc>
          <w:tcPr>
            <w:tcW w:w="968"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sz w:val="24"/>
                <w:szCs w:val="24"/>
                <w:lang w:eastAsia="ru-RU"/>
              </w:rPr>
            </w:pPr>
            <w:r w:rsidRPr="00663C28">
              <w:rPr>
                <w:rFonts w:eastAsia="Times New Roman"/>
                <w:sz w:val="24"/>
                <w:szCs w:val="24"/>
                <w:lang w:eastAsia="ru-RU"/>
              </w:rPr>
              <w:t>0,0</w:t>
            </w:r>
          </w:p>
        </w:tc>
        <w:tc>
          <w:tcPr>
            <w:tcW w:w="969"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sz w:val="24"/>
                <w:szCs w:val="24"/>
                <w:lang w:eastAsia="ru-RU"/>
              </w:rPr>
            </w:pPr>
            <w:r w:rsidRPr="00663C28">
              <w:rPr>
                <w:rFonts w:eastAsia="Times New Roman"/>
                <w:sz w:val="24"/>
                <w:szCs w:val="24"/>
                <w:lang w:eastAsia="ru-RU"/>
              </w:rPr>
              <w:t>0,33</w:t>
            </w:r>
          </w:p>
        </w:tc>
      </w:tr>
      <w:tr w:rsidR="00663C28" w:rsidRPr="00663C28" w:rsidTr="00663C28">
        <w:trPr>
          <w:trHeight w:val="272"/>
        </w:trPr>
        <w:tc>
          <w:tcPr>
            <w:tcW w:w="4536"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left"/>
              <w:rPr>
                <w:rFonts w:eastAsia="Times New Roman"/>
                <w:sz w:val="24"/>
                <w:szCs w:val="24"/>
                <w:lang w:eastAsia="ru-RU"/>
              </w:rPr>
            </w:pPr>
            <w:r w:rsidRPr="00663C28">
              <w:rPr>
                <w:rFonts w:eastAsia="Times New Roman"/>
                <w:sz w:val="24"/>
                <w:szCs w:val="24"/>
                <w:lang w:eastAsia="ru-RU"/>
              </w:rPr>
              <w:t>Частота нормальних пологів</w:t>
            </w:r>
          </w:p>
        </w:tc>
        <w:tc>
          <w:tcPr>
            <w:tcW w:w="968"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color w:val="000000"/>
                <w:sz w:val="24"/>
                <w:szCs w:val="24"/>
                <w:lang w:eastAsia="ru-RU"/>
              </w:rPr>
            </w:pPr>
            <w:r w:rsidRPr="00663C28">
              <w:rPr>
                <w:rFonts w:eastAsia="Times New Roman"/>
                <w:color w:val="000000"/>
                <w:sz w:val="24"/>
                <w:szCs w:val="24"/>
                <w:lang w:eastAsia="ru-RU"/>
              </w:rPr>
              <w:t>63,2</w:t>
            </w:r>
          </w:p>
        </w:tc>
        <w:tc>
          <w:tcPr>
            <w:tcW w:w="969"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sz w:val="24"/>
                <w:szCs w:val="24"/>
                <w:lang w:eastAsia="ru-RU"/>
              </w:rPr>
            </w:pPr>
            <w:r w:rsidRPr="00663C28">
              <w:rPr>
                <w:rFonts w:eastAsia="Times New Roman"/>
                <w:sz w:val="24"/>
                <w:szCs w:val="24"/>
                <w:lang w:eastAsia="ru-RU"/>
              </w:rPr>
              <w:t>61,36</w:t>
            </w:r>
          </w:p>
        </w:tc>
        <w:tc>
          <w:tcPr>
            <w:tcW w:w="968"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color w:val="000000"/>
                <w:sz w:val="24"/>
                <w:szCs w:val="24"/>
                <w:lang w:eastAsia="ru-RU"/>
              </w:rPr>
            </w:pPr>
            <w:r w:rsidRPr="00663C28">
              <w:rPr>
                <w:rFonts w:eastAsia="Times New Roman"/>
                <w:color w:val="000000"/>
                <w:sz w:val="24"/>
                <w:szCs w:val="24"/>
                <w:lang w:eastAsia="ru-RU"/>
              </w:rPr>
              <w:t>63,2</w:t>
            </w:r>
          </w:p>
        </w:tc>
        <w:tc>
          <w:tcPr>
            <w:tcW w:w="969"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sz w:val="24"/>
                <w:szCs w:val="24"/>
                <w:lang w:eastAsia="ru-RU"/>
              </w:rPr>
            </w:pPr>
            <w:r w:rsidRPr="00663C28">
              <w:rPr>
                <w:rFonts w:eastAsia="Times New Roman"/>
                <w:sz w:val="24"/>
                <w:szCs w:val="24"/>
                <w:lang w:eastAsia="ru-RU"/>
              </w:rPr>
              <w:t>4,61</w:t>
            </w:r>
          </w:p>
        </w:tc>
        <w:tc>
          <w:tcPr>
            <w:tcW w:w="968"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color w:val="000000"/>
                <w:sz w:val="24"/>
                <w:szCs w:val="24"/>
                <w:lang w:eastAsia="ru-RU"/>
              </w:rPr>
            </w:pPr>
            <w:r w:rsidRPr="00663C28">
              <w:rPr>
                <w:rFonts w:eastAsia="Times New Roman"/>
                <w:color w:val="000000"/>
                <w:sz w:val="24"/>
                <w:szCs w:val="24"/>
                <w:lang w:eastAsia="ru-RU"/>
              </w:rPr>
              <w:t>0,90</w:t>
            </w:r>
          </w:p>
        </w:tc>
        <w:tc>
          <w:tcPr>
            <w:tcW w:w="969"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sz w:val="24"/>
                <w:szCs w:val="24"/>
                <w:lang w:eastAsia="ru-RU"/>
              </w:rPr>
            </w:pPr>
            <w:r w:rsidRPr="00663C28">
              <w:rPr>
                <w:rFonts w:eastAsia="Times New Roman"/>
                <w:sz w:val="24"/>
                <w:szCs w:val="24"/>
                <w:lang w:eastAsia="ru-RU"/>
              </w:rPr>
              <w:t>0,92</w:t>
            </w:r>
          </w:p>
        </w:tc>
      </w:tr>
      <w:tr w:rsidR="00663C28" w:rsidRPr="00663C28" w:rsidTr="00663C28">
        <w:trPr>
          <w:trHeight w:val="418"/>
        </w:trPr>
        <w:tc>
          <w:tcPr>
            <w:tcW w:w="4536" w:type="dxa"/>
            <w:tcBorders>
              <w:top w:val="single" w:sz="4" w:space="0" w:color="auto"/>
              <w:left w:val="single" w:sz="4" w:space="0" w:color="auto"/>
              <w:bottom w:val="single" w:sz="4" w:space="0" w:color="auto"/>
              <w:right w:val="single" w:sz="4" w:space="0" w:color="auto"/>
            </w:tcBorders>
            <w:vAlign w:val="bottom"/>
          </w:tcPr>
          <w:p w:rsidR="00663C28" w:rsidRPr="00663C28" w:rsidRDefault="00663C28" w:rsidP="00663C28">
            <w:pPr>
              <w:keepNext/>
              <w:jc w:val="left"/>
              <w:rPr>
                <w:rFonts w:eastAsia="Times New Roman"/>
                <w:sz w:val="24"/>
                <w:szCs w:val="24"/>
                <w:lang w:eastAsia="ru-RU"/>
              </w:rPr>
            </w:pPr>
            <w:r w:rsidRPr="00663C28">
              <w:rPr>
                <w:rFonts w:eastAsia="Times New Roman"/>
                <w:sz w:val="24"/>
                <w:szCs w:val="24"/>
                <w:lang w:eastAsia="ru-RU"/>
              </w:rPr>
              <w:t>Частота розроджень вагітних шляхом кесаревого розтину</w:t>
            </w:r>
          </w:p>
        </w:tc>
        <w:tc>
          <w:tcPr>
            <w:tcW w:w="968"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color w:val="000000"/>
                <w:sz w:val="24"/>
                <w:szCs w:val="24"/>
                <w:lang w:eastAsia="ru-RU"/>
              </w:rPr>
            </w:pPr>
            <w:r w:rsidRPr="00663C28">
              <w:rPr>
                <w:rFonts w:eastAsia="Times New Roman"/>
                <w:color w:val="000000"/>
                <w:sz w:val="24"/>
                <w:szCs w:val="24"/>
                <w:lang w:eastAsia="ru-RU"/>
              </w:rPr>
              <w:t>261,94</w:t>
            </w:r>
          </w:p>
        </w:tc>
        <w:tc>
          <w:tcPr>
            <w:tcW w:w="969"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sz w:val="24"/>
                <w:szCs w:val="24"/>
                <w:lang w:eastAsia="ru-RU"/>
              </w:rPr>
            </w:pPr>
            <w:r w:rsidRPr="00663C28">
              <w:rPr>
                <w:rFonts w:eastAsia="Times New Roman"/>
                <w:sz w:val="24"/>
                <w:szCs w:val="24"/>
                <w:lang w:eastAsia="ru-RU"/>
              </w:rPr>
              <w:t>272,87</w:t>
            </w:r>
          </w:p>
        </w:tc>
        <w:tc>
          <w:tcPr>
            <w:tcW w:w="968"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color w:val="000000"/>
                <w:sz w:val="24"/>
                <w:szCs w:val="24"/>
                <w:lang w:eastAsia="ru-RU"/>
              </w:rPr>
            </w:pPr>
            <w:r w:rsidRPr="00663C28">
              <w:rPr>
                <w:rFonts w:eastAsia="Times New Roman"/>
                <w:color w:val="000000"/>
                <w:sz w:val="24"/>
                <w:szCs w:val="24"/>
                <w:lang w:eastAsia="ru-RU"/>
              </w:rPr>
              <w:t>261,94</w:t>
            </w:r>
          </w:p>
        </w:tc>
        <w:tc>
          <w:tcPr>
            <w:tcW w:w="969"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sz w:val="24"/>
                <w:szCs w:val="24"/>
                <w:lang w:eastAsia="ru-RU"/>
              </w:rPr>
            </w:pPr>
            <w:r w:rsidRPr="00663C28">
              <w:rPr>
                <w:rFonts w:eastAsia="Times New Roman"/>
                <w:sz w:val="24"/>
                <w:szCs w:val="24"/>
                <w:lang w:eastAsia="ru-RU"/>
              </w:rPr>
              <w:t>3,29</w:t>
            </w:r>
          </w:p>
        </w:tc>
        <w:tc>
          <w:tcPr>
            <w:tcW w:w="968"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color w:val="000000"/>
                <w:sz w:val="24"/>
                <w:szCs w:val="24"/>
                <w:lang w:eastAsia="ru-RU"/>
              </w:rPr>
            </w:pPr>
            <w:r w:rsidRPr="00663C28">
              <w:rPr>
                <w:rFonts w:eastAsia="Times New Roman"/>
                <w:color w:val="000000"/>
                <w:sz w:val="24"/>
                <w:szCs w:val="24"/>
                <w:lang w:eastAsia="ru-RU"/>
              </w:rPr>
              <w:t>0,36</w:t>
            </w:r>
          </w:p>
        </w:tc>
        <w:tc>
          <w:tcPr>
            <w:tcW w:w="969"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sz w:val="24"/>
                <w:szCs w:val="24"/>
                <w:lang w:eastAsia="ru-RU"/>
              </w:rPr>
            </w:pPr>
            <w:r w:rsidRPr="00663C28">
              <w:rPr>
                <w:rFonts w:eastAsia="Times New Roman"/>
                <w:sz w:val="24"/>
                <w:szCs w:val="24"/>
                <w:lang w:eastAsia="ru-RU"/>
              </w:rPr>
              <w:t>0,47</w:t>
            </w:r>
          </w:p>
        </w:tc>
      </w:tr>
      <w:tr w:rsidR="00663C28" w:rsidRPr="00663C28" w:rsidTr="00663C28">
        <w:trPr>
          <w:trHeight w:val="276"/>
        </w:trPr>
        <w:tc>
          <w:tcPr>
            <w:tcW w:w="4536" w:type="dxa"/>
            <w:tcBorders>
              <w:top w:val="single" w:sz="4" w:space="0" w:color="auto"/>
              <w:left w:val="single" w:sz="4" w:space="0" w:color="auto"/>
              <w:bottom w:val="single" w:sz="4" w:space="0" w:color="auto"/>
              <w:right w:val="single" w:sz="4" w:space="0" w:color="auto"/>
            </w:tcBorders>
            <w:vAlign w:val="bottom"/>
          </w:tcPr>
          <w:p w:rsidR="00663C28" w:rsidRPr="00663C28" w:rsidRDefault="00663C28" w:rsidP="00663C28">
            <w:pPr>
              <w:keepNext/>
              <w:jc w:val="left"/>
              <w:rPr>
                <w:rFonts w:eastAsia="Times New Roman"/>
                <w:sz w:val="24"/>
                <w:szCs w:val="24"/>
                <w:lang w:eastAsia="ru-RU"/>
              </w:rPr>
            </w:pPr>
            <w:r w:rsidRPr="00663C28">
              <w:rPr>
                <w:rFonts w:eastAsia="Times New Roman"/>
                <w:sz w:val="24"/>
                <w:szCs w:val="24"/>
                <w:lang w:eastAsia="ru-RU"/>
              </w:rPr>
              <w:t>Частота  кровотеч в послідовому і післяродовому періодах</w:t>
            </w:r>
          </w:p>
        </w:tc>
        <w:tc>
          <w:tcPr>
            <w:tcW w:w="968"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color w:val="000000"/>
                <w:sz w:val="24"/>
                <w:szCs w:val="24"/>
                <w:lang w:eastAsia="ru-RU"/>
              </w:rPr>
            </w:pPr>
            <w:r w:rsidRPr="00663C28">
              <w:rPr>
                <w:rFonts w:eastAsia="Times New Roman"/>
                <w:color w:val="000000"/>
                <w:sz w:val="24"/>
                <w:szCs w:val="24"/>
                <w:lang w:eastAsia="ru-RU"/>
              </w:rPr>
              <w:t>8,06</w:t>
            </w:r>
          </w:p>
        </w:tc>
        <w:tc>
          <w:tcPr>
            <w:tcW w:w="969"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sz w:val="24"/>
                <w:szCs w:val="24"/>
                <w:lang w:eastAsia="ru-RU"/>
              </w:rPr>
            </w:pPr>
            <w:r w:rsidRPr="00663C28">
              <w:rPr>
                <w:rFonts w:eastAsia="Times New Roman"/>
                <w:sz w:val="24"/>
                <w:szCs w:val="24"/>
                <w:lang w:eastAsia="ru-RU"/>
              </w:rPr>
              <w:t>7,14</w:t>
            </w:r>
          </w:p>
        </w:tc>
        <w:tc>
          <w:tcPr>
            <w:tcW w:w="968"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color w:val="000000"/>
                <w:sz w:val="24"/>
                <w:szCs w:val="24"/>
                <w:lang w:eastAsia="ru-RU"/>
              </w:rPr>
            </w:pPr>
            <w:r w:rsidRPr="00663C28">
              <w:rPr>
                <w:rFonts w:eastAsia="Times New Roman"/>
                <w:color w:val="000000"/>
                <w:sz w:val="24"/>
                <w:szCs w:val="24"/>
                <w:lang w:eastAsia="ru-RU"/>
              </w:rPr>
              <w:t>3,49</w:t>
            </w:r>
          </w:p>
        </w:tc>
        <w:tc>
          <w:tcPr>
            <w:tcW w:w="969"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sz w:val="24"/>
                <w:szCs w:val="24"/>
                <w:lang w:eastAsia="ru-RU"/>
              </w:rPr>
            </w:pPr>
            <w:r w:rsidRPr="00663C28">
              <w:rPr>
                <w:rFonts w:eastAsia="Times New Roman"/>
                <w:sz w:val="24"/>
                <w:szCs w:val="24"/>
                <w:lang w:eastAsia="ru-RU"/>
              </w:rPr>
              <w:t>7,29</w:t>
            </w:r>
          </w:p>
        </w:tc>
        <w:tc>
          <w:tcPr>
            <w:tcW w:w="968"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color w:val="000000"/>
                <w:sz w:val="24"/>
                <w:szCs w:val="24"/>
                <w:lang w:eastAsia="ru-RU"/>
              </w:rPr>
            </w:pPr>
            <w:r w:rsidRPr="00663C28">
              <w:rPr>
                <w:rFonts w:eastAsia="Times New Roman"/>
                <w:color w:val="000000"/>
                <w:sz w:val="24"/>
                <w:szCs w:val="24"/>
                <w:lang w:eastAsia="ru-RU"/>
              </w:rPr>
              <w:t>0,39</w:t>
            </w:r>
          </w:p>
        </w:tc>
        <w:tc>
          <w:tcPr>
            <w:tcW w:w="969"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sz w:val="24"/>
                <w:szCs w:val="24"/>
                <w:lang w:eastAsia="ru-RU"/>
              </w:rPr>
            </w:pPr>
            <w:r w:rsidRPr="00663C28">
              <w:rPr>
                <w:rFonts w:eastAsia="Times New Roman"/>
                <w:sz w:val="24"/>
                <w:szCs w:val="24"/>
                <w:lang w:eastAsia="ru-RU"/>
              </w:rPr>
              <w:t>0,81</w:t>
            </w:r>
          </w:p>
        </w:tc>
      </w:tr>
      <w:tr w:rsidR="00663C28" w:rsidRPr="00663C28" w:rsidTr="00663C28">
        <w:trPr>
          <w:trHeight w:val="293"/>
        </w:trPr>
        <w:tc>
          <w:tcPr>
            <w:tcW w:w="4536" w:type="dxa"/>
            <w:tcBorders>
              <w:top w:val="single" w:sz="4" w:space="0" w:color="auto"/>
              <w:left w:val="single" w:sz="4" w:space="0" w:color="auto"/>
              <w:bottom w:val="single" w:sz="4" w:space="0" w:color="auto"/>
              <w:right w:val="single" w:sz="4" w:space="0" w:color="auto"/>
            </w:tcBorders>
            <w:vAlign w:val="bottom"/>
          </w:tcPr>
          <w:p w:rsidR="00663C28" w:rsidRPr="00663C28" w:rsidRDefault="00663C28" w:rsidP="00663C28">
            <w:pPr>
              <w:keepNext/>
              <w:jc w:val="left"/>
              <w:rPr>
                <w:rFonts w:eastAsia="Times New Roman"/>
                <w:sz w:val="24"/>
                <w:szCs w:val="24"/>
                <w:lang w:eastAsia="ru-RU"/>
              </w:rPr>
            </w:pPr>
            <w:r w:rsidRPr="00663C28">
              <w:rPr>
                <w:rFonts w:eastAsia="Times New Roman"/>
                <w:sz w:val="24"/>
                <w:szCs w:val="24"/>
                <w:lang w:eastAsia="ru-RU"/>
              </w:rPr>
              <w:t>Частота мало вагових новонароджених</w:t>
            </w:r>
          </w:p>
        </w:tc>
        <w:tc>
          <w:tcPr>
            <w:tcW w:w="968"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color w:val="000000"/>
                <w:sz w:val="24"/>
                <w:szCs w:val="24"/>
                <w:lang w:eastAsia="ru-RU"/>
              </w:rPr>
            </w:pPr>
            <w:r w:rsidRPr="00663C28">
              <w:rPr>
                <w:rFonts w:eastAsia="Times New Roman"/>
                <w:color w:val="000000"/>
                <w:sz w:val="24"/>
                <w:szCs w:val="24"/>
                <w:lang w:eastAsia="ru-RU"/>
              </w:rPr>
              <w:t>5,87</w:t>
            </w:r>
          </w:p>
        </w:tc>
        <w:tc>
          <w:tcPr>
            <w:tcW w:w="969"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sz w:val="24"/>
                <w:szCs w:val="24"/>
                <w:lang w:eastAsia="ru-RU"/>
              </w:rPr>
            </w:pPr>
            <w:r w:rsidRPr="00663C28">
              <w:rPr>
                <w:rFonts w:eastAsia="Times New Roman"/>
                <w:sz w:val="24"/>
                <w:szCs w:val="24"/>
                <w:lang w:eastAsia="ru-RU"/>
              </w:rPr>
              <w:t>4,84</w:t>
            </w:r>
          </w:p>
        </w:tc>
        <w:tc>
          <w:tcPr>
            <w:tcW w:w="968"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color w:val="000000"/>
                <w:sz w:val="24"/>
                <w:szCs w:val="24"/>
                <w:lang w:eastAsia="ru-RU"/>
              </w:rPr>
            </w:pPr>
            <w:r w:rsidRPr="00663C28">
              <w:rPr>
                <w:rFonts w:eastAsia="Times New Roman"/>
                <w:color w:val="000000"/>
                <w:sz w:val="24"/>
                <w:szCs w:val="24"/>
                <w:lang w:eastAsia="ru-RU"/>
              </w:rPr>
              <w:t>2,66</w:t>
            </w:r>
          </w:p>
        </w:tc>
        <w:tc>
          <w:tcPr>
            <w:tcW w:w="969"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sz w:val="24"/>
                <w:szCs w:val="24"/>
                <w:lang w:eastAsia="ru-RU"/>
              </w:rPr>
            </w:pPr>
            <w:r w:rsidRPr="00663C28">
              <w:rPr>
                <w:rFonts w:eastAsia="Times New Roman"/>
                <w:sz w:val="24"/>
                <w:szCs w:val="24"/>
                <w:lang w:eastAsia="ru-RU"/>
              </w:rPr>
              <w:t>4,16</w:t>
            </w:r>
          </w:p>
        </w:tc>
        <w:tc>
          <w:tcPr>
            <w:tcW w:w="968"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color w:val="000000"/>
                <w:sz w:val="24"/>
                <w:szCs w:val="24"/>
                <w:lang w:eastAsia="ru-RU"/>
              </w:rPr>
            </w:pPr>
            <w:r w:rsidRPr="00663C28">
              <w:rPr>
                <w:rFonts w:eastAsia="Times New Roman"/>
                <w:color w:val="000000"/>
                <w:sz w:val="24"/>
                <w:szCs w:val="24"/>
                <w:lang w:eastAsia="ru-RU"/>
              </w:rPr>
              <w:t>0,53</w:t>
            </w:r>
          </w:p>
        </w:tc>
        <w:tc>
          <w:tcPr>
            <w:tcW w:w="969"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sz w:val="24"/>
                <w:szCs w:val="24"/>
                <w:lang w:eastAsia="ru-RU"/>
              </w:rPr>
            </w:pPr>
            <w:r w:rsidRPr="00663C28">
              <w:rPr>
                <w:rFonts w:eastAsia="Times New Roman"/>
                <w:sz w:val="24"/>
                <w:szCs w:val="24"/>
                <w:lang w:eastAsia="ru-RU"/>
              </w:rPr>
              <w:t>0,83</w:t>
            </w:r>
          </w:p>
        </w:tc>
      </w:tr>
      <w:tr w:rsidR="00663C28" w:rsidRPr="00663C28" w:rsidTr="00663C28">
        <w:trPr>
          <w:trHeight w:val="344"/>
        </w:trPr>
        <w:tc>
          <w:tcPr>
            <w:tcW w:w="4536" w:type="dxa"/>
            <w:tcBorders>
              <w:top w:val="single" w:sz="4" w:space="0" w:color="auto"/>
              <w:left w:val="single" w:sz="4" w:space="0" w:color="auto"/>
              <w:bottom w:val="single" w:sz="4" w:space="0" w:color="auto"/>
              <w:right w:val="single" w:sz="4" w:space="0" w:color="auto"/>
            </w:tcBorders>
            <w:vAlign w:val="bottom"/>
          </w:tcPr>
          <w:p w:rsidR="00663C28" w:rsidRPr="00663C28" w:rsidRDefault="00663C28" w:rsidP="00663C28">
            <w:pPr>
              <w:keepNext/>
              <w:jc w:val="left"/>
              <w:rPr>
                <w:rFonts w:eastAsia="Times New Roman"/>
                <w:sz w:val="24"/>
                <w:szCs w:val="24"/>
                <w:lang w:eastAsia="ru-RU"/>
              </w:rPr>
            </w:pPr>
            <w:r w:rsidRPr="00663C28">
              <w:rPr>
                <w:rFonts w:eastAsia="Times New Roman"/>
                <w:sz w:val="24"/>
                <w:szCs w:val="24"/>
                <w:lang w:eastAsia="ru-RU"/>
              </w:rPr>
              <w:t>Виживання новонароджених з дуже малою масою тіла при народженні</w:t>
            </w:r>
          </w:p>
        </w:tc>
        <w:tc>
          <w:tcPr>
            <w:tcW w:w="968"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color w:val="000000"/>
                <w:sz w:val="24"/>
                <w:szCs w:val="24"/>
                <w:lang w:eastAsia="ru-RU"/>
              </w:rPr>
            </w:pPr>
            <w:r w:rsidRPr="00663C28">
              <w:rPr>
                <w:rFonts w:eastAsia="Times New Roman"/>
                <w:color w:val="000000"/>
                <w:sz w:val="24"/>
                <w:szCs w:val="24"/>
                <w:lang w:eastAsia="ru-RU"/>
              </w:rPr>
              <w:t>80,21</w:t>
            </w:r>
          </w:p>
        </w:tc>
        <w:tc>
          <w:tcPr>
            <w:tcW w:w="969"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sz w:val="24"/>
                <w:szCs w:val="24"/>
                <w:lang w:eastAsia="ru-RU"/>
              </w:rPr>
            </w:pPr>
            <w:r w:rsidRPr="00663C28">
              <w:rPr>
                <w:rFonts w:eastAsia="Times New Roman"/>
                <w:sz w:val="24"/>
                <w:szCs w:val="24"/>
                <w:lang w:eastAsia="ru-RU"/>
              </w:rPr>
              <w:t>85,39</w:t>
            </w:r>
          </w:p>
        </w:tc>
        <w:tc>
          <w:tcPr>
            <w:tcW w:w="968"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color w:val="000000"/>
                <w:sz w:val="24"/>
                <w:szCs w:val="24"/>
                <w:lang w:eastAsia="ru-RU"/>
              </w:rPr>
            </w:pPr>
            <w:r w:rsidRPr="00663C28">
              <w:rPr>
                <w:rFonts w:eastAsia="Times New Roman"/>
                <w:color w:val="000000"/>
                <w:sz w:val="24"/>
                <w:szCs w:val="24"/>
                <w:lang w:eastAsia="ru-RU"/>
              </w:rPr>
              <w:t>7,13</w:t>
            </w:r>
          </w:p>
        </w:tc>
        <w:tc>
          <w:tcPr>
            <w:tcW w:w="969"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sz w:val="24"/>
                <w:szCs w:val="24"/>
                <w:lang w:eastAsia="ru-RU"/>
              </w:rPr>
            </w:pPr>
            <w:r w:rsidRPr="00663C28">
              <w:rPr>
                <w:rFonts w:eastAsia="Times New Roman"/>
                <w:sz w:val="24"/>
                <w:szCs w:val="24"/>
                <w:lang w:eastAsia="ru-RU"/>
              </w:rPr>
              <w:t>8,0</w:t>
            </w:r>
          </w:p>
        </w:tc>
        <w:tc>
          <w:tcPr>
            <w:tcW w:w="968"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color w:val="000000"/>
                <w:sz w:val="24"/>
                <w:szCs w:val="24"/>
                <w:lang w:eastAsia="ru-RU"/>
              </w:rPr>
            </w:pPr>
            <w:r w:rsidRPr="00663C28">
              <w:rPr>
                <w:rFonts w:eastAsia="Times New Roman"/>
                <w:color w:val="000000"/>
                <w:sz w:val="24"/>
                <w:szCs w:val="24"/>
                <w:lang w:eastAsia="ru-RU"/>
              </w:rPr>
              <w:t>0,89</w:t>
            </w:r>
          </w:p>
        </w:tc>
        <w:tc>
          <w:tcPr>
            <w:tcW w:w="969"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sz w:val="24"/>
                <w:szCs w:val="24"/>
                <w:lang w:eastAsia="ru-RU"/>
              </w:rPr>
            </w:pPr>
            <w:r w:rsidRPr="00663C28">
              <w:rPr>
                <w:rFonts w:eastAsia="Times New Roman"/>
                <w:sz w:val="24"/>
                <w:szCs w:val="24"/>
                <w:lang w:eastAsia="ru-RU"/>
              </w:rPr>
              <w:t>1,00</w:t>
            </w:r>
          </w:p>
        </w:tc>
      </w:tr>
      <w:tr w:rsidR="00663C28" w:rsidRPr="00663C28" w:rsidTr="00663C28">
        <w:trPr>
          <w:trHeight w:val="226"/>
        </w:trPr>
        <w:tc>
          <w:tcPr>
            <w:tcW w:w="4536" w:type="dxa"/>
            <w:tcBorders>
              <w:top w:val="single" w:sz="4" w:space="0" w:color="auto"/>
              <w:left w:val="single" w:sz="4" w:space="0" w:color="auto"/>
              <w:bottom w:val="single" w:sz="4" w:space="0" w:color="auto"/>
              <w:right w:val="single" w:sz="4" w:space="0" w:color="auto"/>
            </w:tcBorders>
            <w:vAlign w:val="bottom"/>
          </w:tcPr>
          <w:p w:rsidR="00663C28" w:rsidRPr="00663C28" w:rsidRDefault="00663C28" w:rsidP="00663C28">
            <w:pPr>
              <w:keepNext/>
              <w:jc w:val="left"/>
              <w:rPr>
                <w:rFonts w:eastAsia="Times New Roman"/>
                <w:sz w:val="24"/>
                <w:szCs w:val="24"/>
                <w:lang w:eastAsia="ru-RU"/>
              </w:rPr>
            </w:pPr>
            <w:r w:rsidRPr="00663C28">
              <w:rPr>
                <w:rFonts w:eastAsia="Times New Roman"/>
                <w:sz w:val="24"/>
                <w:szCs w:val="24"/>
                <w:lang w:eastAsia="ru-RU"/>
              </w:rPr>
              <w:t>Індекс здоров’я новонароджених</w:t>
            </w:r>
          </w:p>
        </w:tc>
        <w:tc>
          <w:tcPr>
            <w:tcW w:w="968"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color w:val="000000"/>
                <w:sz w:val="24"/>
                <w:szCs w:val="24"/>
                <w:lang w:eastAsia="ru-RU"/>
              </w:rPr>
            </w:pPr>
            <w:r w:rsidRPr="00663C28">
              <w:rPr>
                <w:rFonts w:eastAsia="Times New Roman"/>
                <w:color w:val="000000"/>
                <w:sz w:val="24"/>
                <w:szCs w:val="24"/>
                <w:lang w:eastAsia="ru-RU"/>
              </w:rPr>
              <w:t>84,2</w:t>
            </w:r>
          </w:p>
        </w:tc>
        <w:tc>
          <w:tcPr>
            <w:tcW w:w="969"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sz w:val="24"/>
                <w:szCs w:val="24"/>
                <w:lang w:eastAsia="ru-RU"/>
              </w:rPr>
            </w:pPr>
            <w:r w:rsidRPr="00663C28">
              <w:rPr>
                <w:rFonts w:eastAsia="Times New Roman"/>
                <w:sz w:val="24"/>
                <w:szCs w:val="24"/>
                <w:lang w:eastAsia="ru-RU"/>
              </w:rPr>
              <w:t>83,81</w:t>
            </w:r>
          </w:p>
        </w:tc>
        <w:tc>
          <w:tcPr>
            <w:tcW w:w="968"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color w:val="000000"/>
                <w:sz w:val="24"/>
                <w:szCs w:val="24"/>
                <w:lang w:eastAsia="ru-RU"/>
              </w:rPr>
            </w:pPr>
            <w:r w:rsidRPr="00663C28">
              <w:rPr>
                <w:rFonts w:eastAsia="Times New Roman"/>
                <w:color w:val="000000"/>
                <w:sz w:val="24"/>
                <w:szCs w:val="24"/>
                <w:lang w:eastAsia="ru-RU"/>
              </w:rPr>
              <w:t>5,61</w:t>
            </w:r>
          </w:p>
        </w:tc>
        <w:tc>
          <w:tcPr>
            <w:tcW w:w="969"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sz w:val="24"/>
                <w:szCs w:val="24"/>
                <w:lang w:eastAsia="ru-RU"/>
              </w:rPr>
            </w:pPr>
            <w:r w:rsidRPr="00663C28">
              <w:rPr>
                <w:rFonts w:eastAsia="Times New Roman"/>
                <w:sz w:val="24"/>
                <w:szCs w:val="24"/>
                <w:lang w:eastAsia="ru-RU"/>
              </w:rPr>
              <w:t>5,92</w:t>
            </w:r>
          </w:p>
        </w:tc>
        <w:tc>
          <w:tcPr>
            <w:tcW w:w="968"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color w:val="000000"/>
                <w:sz w:val="24"/>
                <w:szCs w:val="24"/>
                <w:lang w:eastAsia="ru-RU"/>
              </w:rPr>
            </w:pPr>
            <w:r w:rsidRPr="00663C28">
              <w:rPr>
                <w:rFonts w:eastAsia="Times New Roman"/>
                <w:color w:val="000000"/>
                <w:sz w:val="24"/>
                <w:szCs w:val="24"/>
                <w:lang w:eastAsia="ru-RU"/>
              </w:rPr>
              <w:t>0,94</w:t>
            </w:r>
          </w:p>
        </w:tc>
        <w:tc>
          <w:tcPr>
            <w:tcW w:w="969"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sz w:val="24"/>
                <w:szCs w:val="24"/>
                <w:lang w:eastAsia="ru-RU"/>
              </w:rPr>
            </w:pPr>
            <w:r w:rsidRPr="00663C28">
              <w:rPr>
                <w:rFonts w:eastAsia="Times New Roman"/>
                <w:sz w:val="24"/>
                <w:szCs w:val="24"/>
                <w:lang w:eastAsia="ru-RU"/>
              </w:rPr>
              <w:t>0,99</w:t>
            </w:r>
          </w:p>
        </w:tc>
      </w:tr>
      <w:tr w:rsidR="00663C28" w:rsidRPr="00663C28" w:rsidTr="00663C28">
        <w:trPr>
          <w:trHeight w:val="244"/>
        </w:trPr>
        <w:tc>
          <w:tcPr>
            <w:tcW w:w="4536" w:type="dxa"/>
            <w:tcBorders>
              <w:top w:val="single" w:sz="4" w:space="0" w:color="auto"/>
              <w:left w:val="single" w:sz="4" w:space="0" w:color="auto"/>
              <w:bottom w:val="single" w:sz="4" w:space="0" w:color="auto"/>
              <w:right w:val="single" w:sz="4" w:space="0" w:color="auto"/>
            </w:tcBorders>
            <w:vAlign w:val="bottom"/>
          </w:tcPr>
          <w:p w:rsidR="00663C28" w:rsidRPr="00663C28" w:rsidRDefault="00663C28" w:rsidP="00663C28">
            <w:pPr>
              <w:keepNext/>
              <w:jc w:val="left"/>
              <w:rPr>
                <w:rFonts w:eastAsia="Times New Roman"/>
                <w:sz w:val="24"/>
                <w:szCs w:val="24"/>
                <w:lang w:eastAsia="ru-RU"/>
              </w:rPr>
            </w:pPr>
            <w:r w:rsidRPr="00663C28">
              <w:rPr>
                <w:rFonts w:eastAsia="Times New Roman"/>
                <w:sz w:val="24"/>
                <w:szCs w:val="24"/>
                <w:lang w:eastAsia="ru-RU"/>
              </w:rPr>
              <w:t xml:space="preserve">Рівень перинатальної смертності </w:t>
            </w:r>
          </w:p>
        </w:tc>
        <w:tc>
          <w:tcPr>
            <w:tcW w:w="968"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color w:val="000000"/>
                <w:sz w:val="24"/>
                <w:szCs w:val="24"/>
                <w:lang w:eastAsia="ru-RU"/>
              </w:rPr>
            </w:pPr>
            <w:r w:rsidRPr="00663C28">
              <w:rPr>
                <w:rFonts w:eastAsia="Times New Roman"/>
                <w:color w:val="000000"/>
                <w:sz w:val="24"/>
                <w:szCs w:val="24"/>
                <w:lang w:eastAsia="ru-RU"/>
              </w:rPr>
              <w:t>10,4</w:t>
            </w:r>
          </w:p>
        </w:tc>
        <w:tc>
          <w:tcPr>
            <w:tcW w:w="969"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sz w:val="24"/>
                <w:szCs w:val="24"/>
                <w:lang w:eastAsia="ru-RU"/>
              </w:rPr>
            </w:pPr>
            <w:r w:rsidRPr="00663C28">
              <w:rPr>
                <w:rFonts w:eastAsia="Times New Roman"/>
                <w:sz w:val="24"/>
                <w:szCs w:val="24"/>
                <w:lang w:eastAsia="ru-RU"/>
              </w:rPr>
              <w:t>8,91</w:t>
            </w:r>
          </w:p>
        </w:tc>
        <w:tc>
          <w:tcPr>
            <w:tcW w:w="968"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color w:val="000000"/>
                <w:sz w:val="24"/>
                <w:szCs w:val="24"/>
                <w:lang w:eastAsia="ru-RU"/>
              </w:rPr>
            </w:pPr>
            <w:r w:rsidRPr="00663C28">
              <w:rPr>
                <w:rFonts w:eastAsia="Times New Roman"/>
                <w:color w:val="000000"/>
                <w:sz w:val="24"/>
                <w:szCs w:val="24"/>
                <w:lang w:eastAsia="ru-RU"/>
              </w:rPr>
              <w:t>4,20</w:t>
            </w:r>
          </w:p>
        </w:tc>
        <w:tc>
          <w:tcPr>
            <w:tcW w:w="969"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sz w:val="24"/>
                <w:szCs w:val="24"/>
                <w:lang w:eastAsia="ru-RU"/>
              </w:rPr>
            </w:pPr>
            <w:r w:rsidRPr="00663C28">
              <w:rPr>
                <w:rFonts w:eastAsia="Times New Roman"/>
                <w:sz w:val="24"/>
                <w:szCs w:val="24"/>
                <w:lang w:eastAsia="ru-RU"/>
              </w:rPr>
              <w:t>5,32</w:t>
            </w:r>
          </w:p>
        </w:tc>
        <w:tc>
          <w:tcPr>
            <w:tcW w:w="968"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color w:val="000000"/>
                <w:sz w:val="24"/>
                <w:szCs w:val="24"/>
                <w:lang w:eastAsia="ru-RU"/>
              </w:rPr>
            </w:pPr>
            <w:r w:rsidRPr="00663C28">
              <w:rPr>
                <w:rFonts w:eastAsia="Times New Roman"/>
                <w:color w:val="000000"/>
                <w:sz w:val="24"/>
                <w:szCs w:val="24"/>
                <w:lang w:eastAsia="ru-RU"/>
              </w:rPr>
              <w:t>0,70</w:t>
            </w:r>
          </w:p>
        </w:tc>
        <w:tc>
          <w:tcPr>
            <w:tcW w:w="969"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sz w:val="24"/>
                <w:szCs w:val="24"/>
                <w:lang w:eastAsia="ru-RU"/>
              </w:rPr>
            </w:pPr>
            <w:r w:rsidRPr="00663C28">
              <w:rPr>
                <w:rFonts w:eastAsia="Times New Roman"/>
                <w:sz w:val="24"/>
                <w:szCs w:val="24"/>
                <w:lang w:eastAsia="ru-RU"/>
              </w:rPr>
              <w:t>0,89</w:t>
            </w:r>
          </w:p>
        </w:tc>
      </w:tr>
      <w:tr w:rsidR="00663C28" w:rsidRPr="00663C28" w:rsidTr="00663C28">
        <w:trPr>
          <w:trHeight w:val="450"/>
        </w:trPr>
        <w:tc>
          <w:tcPr>
            <w:tcW w:w="4536"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rPr>
                <w:rFonts w:eastAsia="Times New Roman"/>
                <w:sz w:val="24"/>
                <w:szCs w:val="24"/>
                <w:lang w:eastAsia="ru-RU"/>
              </w:rPr>
            </w:pPr>
            <w:r w:rsidRPr="00663C28">
              <w:rPr>
                <w:rFonts w:eastAsia="Times New Roman"/>
                <w:sz w:val="24"/>
                <w:szCs w:val="24"/>
                <w:lang w:eastAsia="ru-RU"/>
              </w:rPr>
              <w:t>Співвідношення реального і фактичного показника ранньої неонатальної смертності</w:t>
            </w:r>
          </w:p>
        </w:tc>
        <w:tc>
          <w:tcPr>
            <w:tcW w:w="968"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sz w:val="24"/>
                <w:szCs w:val="24"/>
                <w:lang w:eastAsia="ru-RU"/>
              </w:rPr>
            </w:pPr>
            <w:r w:rsidRPr="00663C28">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sz w:val="24"/>
                <w:szCs w:val="24"/>
                <w:lang w:eastAsia="ru-RU"/>
              </w:rPr>
            </w:pPr>
            <w:r w:rsidRPr="00663C28">
              <w:rPr>
                <w:rFonts w:eastAsia="Times New Roman"/>
                <w:sz w:val="24"/>
                <w:szCs w:val="24"/>
                <w:lang w:eastAsia="ru-RU"/>
              </w:rPr>
              <w:t>2,17</w:t>
            </w:r>
          </w:p>
        </w:tc>
        <w:tc>
          <w:tcPr>
            <w:tcW w:w="968"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sz w:val="24"/>
                <w:szCs w:val="24"/>
                <w:lang w:eastAsia="ru-RU"/>
              </w:rPr>
            </w:pPr>
            <w:r w:rsidRPr="00663C28">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sz w:val="24"/>
                <w:szCs w:val="24"/>
                <w:lang w:eastAsia="ru-RU"/>
              </w:rPr>
            </w:pPr>
            <w:r w:rsidRPr="00663C28">
              <w:rPr>
                <w:rFonts w:eastAsia="Times New Roman"/>
                <w:sz w:val="24"/>
                <w:szCs w:val="24"/>
                <w:lang w:eastAsia="ru-RU"/>
              </w:rPr>
              <w:t>3,32</w:t>
            </w:r>
          </w:p>
        </w:tc>
        <w:tc>
          <w:tcPr>
            <w:tcW w:w="968"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sz w:val="24"/>
                <w:szCs w:val="24"/>
                <w:lang w:eastAsia="ru-RU"/>
              </w:rPr>
            </w:pPr>
            <w:r w:rsidRPr="00663C28">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sz w:val="24"/>
                <w:szCs w:val="24"/>
                <w:lang w:eastAsia="ru-RU"/>
              </w:rPr>
            </w:pPr>
            <w:r w:rsidRPr="00663C28">
              <w:rPr>
                <w:rFonts w:eastAsia="Times New Roman"/>
                <w:sz w:val="24"/>
                <w:szCs w:val="24"/>
                <w:lang w:eastAsia="ru-RU"/>
              </w:rPr>
              <w:t>0,55</w:t>
            </w:r>
          </w:p>
        </w:tc>
      </w:tr>
      <w:tr w:rsidR="00663C28" w:rsidRPr="00663C28" w:rsidTr="00663C28">
        <w:trPr>
          <w:trHeight w:val="216"/>
        </w:trPr>
        <w:tc>
          <w:tcPr>
            <w:tcW w:w="4536"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rPr>
                <w:rFonts w:eastAsia="Times New Roman"/>
                <w:sz w:val="24"/>
                <w:szCs w:val="24"/>
                <w:lang w:eastAsia="ru-RU"/>
              </w:rPr>
            </w:pPr>
            <w:r w:rsidRPr="00663C28">
              <w:rPr>
                <w:rFonts w:eastAsia="Times New Roman"/>
                <w:sz w:val="24"/>
                <w:szCs w:val="24"/>
                <w:lang w:eastAsia="ru-RU"/>
              </w:rPr>
              <w:t>Рівень неонатальної смкртності</w:t>
            </w:r>
          </w:p>
        </w:tc>
        <w:tc>
          <w:tcPr>
            <w:tcW w:w="968"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sz w:val="24"/>
                <w:szCs w:val="24"/>
                <w:lang w:eastAsia="ru-RU"/>
              </w:rPr>
            </w:pPr>
            <w:r w:rsidRPr="00663C28">
              <w:rPr>
                <w:rFonts w:eastAsia="Times New Roman"/>
                <w:sz w:val="24"/>
                <w:szCs w:val="24"/>
                <w:lang w:eastAsia="ru-RU"/>
              </w:rPr>
              <w:t>5,04</w:t>
            </w:r>
          </w:p>
        </w:tc>
        <w:tc>
          <w:tcPr>
            <w:tcW w:w="969"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sz w:val="24"/>
                <w:szCs w:val="24"/>
                <w:lang w:eastAsia="ru-RU"/>
              </w:rPr>
            </w:pPr>
            <w:r w:rsidRPr="00663C28">
              <w:rPr>
                <w:rFonts w:eastAsia="Times New Roman"/>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sz w:val="24"/>
                <w:szCs w:val="24"/>
                <w:lang w:eastAsia="ru-RU"/>
              </w:rPr>
            </w:pPr>
            <w:r w:rsidRPr="00663C28">
              <w:rPr>
                <w:rFonts w:eastAsia="Times New Roman"/>
                <w:sz w:val="24"/>
                <w:szCs w:val="24"/>
                <w:lang w:eastAsia="ru-RU"/>
              </w:rPr>
              <w:t>4,44</w:t>
            </w:r>
          </w:p>
        </w:tc>
        <w:tc>
          <w:tcPr>
            <w:tcW w:w="969"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sz w:val="24"/>
                <w:szCs w:val="24"/>
                <w:lang w:eastAsia="ru-RU"/>
              </w:rPr>
            </w:pPr>
            <w:r w:rsidRPr="00663C28">
              <w:rPr>
                <w:rFonts w:eastAsia="Times New Roman"/>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sz w:val="24"/>
                <w:szCs w:val="24"/>
                <w:lang w:eastAsia="ru-RU"/>
              </w:rPr>
            </w:pPr>
            <w:r w:rsidRPr="00663C28">
              <w:rPr>
                <w:rFonts w:eastAsia="Times New Roman"/>
                <w:sz w:val="24"/>
                <w:szCs w:val="24"/>
                <w:lang w:eastAsia="ru-RU"/>
              </w:rPr>
              <w:t>0,74</w:t>
            </w:r>
          </w:p>
        </w:tc>
        <w:tc>
          <w:tcPr>
            <w:tcW w:w="969"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sz w:val="24"/>
                <w:szCs w:val="24"/>
                <w:lang w:eastAsia="ru-RU"/>
              </w:rPr>
            </w:pPr>
            <w:r w:rsidRPr="00663C28">
              <w:rPr>
                <w:rFonts w:eastAsia="Times New Roman"/>
                <w:sz w:val="24"/>
                <w:szCs w:val="24"/>
                <w:lang w:eastAsia="ru-RU"/>
              </w:rPr>
              <w:t>**</w:t>
            </w:r>
          </w:p>
        </w:tc>
      </w:tr>
      <w:tr w:rsidR="00663C28" w:rsidRPr="00663C28" w:rsidTr="00663C28">
        <w:trPr>
          <w:trHeight w:val="378"/>
        </w:trPr>
        <w:tc>
          <w:tcPr>
            <w:tcW w:w="4536"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left"/>
              <w:rPr>
                <w:rFonts w:eastAsia="Times New Roman"/>
                <w:sz w:val="24"/>
                <w:szCs w:val="24"/>
                <w:lang w:eastAsia="ru-RU"/>
              </w:rPr>
            </w:pPr>
            <w:r w:rsidRPr="00663C28">
              <w:rPr>
                <w:rFonts w:eastAsia="Times New Roman"/>
                <w:sz w:val="24"/>
                <w:szCs w:val="24"/>
                <w:lang w:eastAsia="ru-RU"/>
              </w:rPr>
              <w:t xml:space="preserve">Рівень ранньої неонатальної </w:t>
            </w:r>
          </w:p>
        </w:tc>
        <w:tc>
          <w:tcPr>
            <w:tcW w:w="968"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sz w:val="24"/>
                <w:szCs w:val="24"/>
                <w:lang w:eastAsia="ru-RU"/>
              </w:rPr>
            </w:pPr>
            <w:r w:rsidRPr="00663C28">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sz w:val="24"/>
                <w:szCs w:val="24"/>
                <w:lang w:eastAsia="ru-RU"/>
              </w:rPr>
            </w:pPr>
            <w:r w:rsidRPr="00663C28">
              <w:rPr>
                <w:rFonts w:eastAsia="Times New Roman"/>
                <w:sz w:val="24"/>
                <w:szCs w:val="24"/>
                <w:lang w:eastAsia="ru-RU"/>
              </w:rPr>
              <w:t>2,76</w:t>
            </w:r>
          </w:p>
        </w:tc>
        <w:tc>
          <w:tcPr>
            <w:tcW w:w="968"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sz w:val="24"/>
                <w:szCs w:val="24"/>
                <w:lang w:eastAsia="ru-RU"/>
              </w:rPr>
            </w:pPr>
            <w:r w:rsidRPr="00663C28">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sz w:val="24"/>
                <w:szCs w:val="24"/>
                <w:lang w:eastAsia="ru-RU"/>
              </w:rPr>
            </w:pPr>
            <w:r w:rsidRPr="00663C28">
              <w:rPr>
                <w:rFonts w:eastAsia="Times New Roman"/>
                <w:sz w:val="24"/>
                <w:szCs w:val="24"/>
                <w:lang w:eastAsia="ru-RU"/>
              </w:rPr>
              <w:t>5,76</w:t>
            </w:r>
          </w:p>
        </w:tc>
        <w:tc>
          <w:tcPr>
            <w:tcW w:w="968"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sz w:val="24"/>
                <w:szCs w:val="24"/>
                <w:lang w:eastAsia="ru-RU"/>
              </w:rPr>
            </w:pPr>
            <w:r w:rsidRPr="00663C28">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sz w:val="24"/>
                <w:szCs w:val="24"/>
                <w:lang w:eastAsia="ru-RU"/>
              </w:rPr>
            </w:pPr>
            <w:r w:rsidRPr="00663C28">
              <w:rPr>
                <w:rFonts w:eastAsia="Times New Roman"/>
                <w:sz w:val="24"/>
                <w:szCs w:val="24"/>
                <w:lang w:eastAsia="ru-RU"/>
              </w:rPr>
              <w:t>0,96</w:t>
            </w:r>
          </w:p>
        </w:tc>
      </w:tr>
      <w:tr w:rsidR="00663C28" w:rsidRPr="00663C28" w:rsidTr="00663C28">
        <w:trPr>
          <w:trHeight w:val="284"/>
        </w:trPr>
        <w:tc>
          <w:tcPr>
            <w:tcW w:w="4536" w:type="dxa"/>
            <w:tcBorders>
              <w:top w:val="single" w:sz="4" w:space="0" w:color="auto"/>
              <w:left w:val="single" w:sz="4" w:space="0" w:color="auto"/>
              <w:bottom w:val="single" w:sz="4" w:space="0" w:color="auto"/>
              <w:right w:val="single" w:sz="4" w:space="0" w:color="auto"/>
            </w:tcBorders>
            <w:vAlign w:val="bottom"/>
          </w:tcPr>
          <w:p w:rsidR="00663C28" w:rsidRPr="00663C28" w:rsidRDefault="00663C28" w:rsidP="00663C28">
            <w:pPr>
              <w:keepNext/>
              <w:jc w:val="left"/>
              <w:rPr>
                <w:rFonts w:eastAsia="Times New Roman"/>
                <w:sz w:val="24"/>
                <w:szCs w:val="24"/>
                <w:lang w:eastAsia="ru-RU"/>
              </w:rPr>
            </w:pPr>
            <w:r w:rsidRPr="00663C28">
              <w:rPr>
                <w:rFonts w:eastAsia="Times New Roman"/>
                <w:sz w:val="24"/>
                <w:szCs w:val="24"/>
                <w:lang w:eastAsia="ru-RU"/>
              </w:rPr>
              <w:t xml:space="preserve">Рівень материнської смертності </w:t>
            </w:r>
          </w:p>
        </w:tc>
        <w:tc>
          <w:tcPr>
            <w:tcW w:w="968"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sz w:val="24"/>
                <w:szCs w:val="24"/>
                <w:lang w:eastAsia="ru-RU"/>
              </w:rPr>
            </w:pPr>
            <w:r w:rsidRPr="00663C28">
              <w:rPr>
                <w:rFonts w:eastAsia="Times New Roman"/>
                <w:sz w:val="24"/>
                <w:szCs w:val="24"/>
                <w:lang w:eastAsia="ru-RU"/>
              </w:rPr>
              <w:t>0</w:t>
            </w:r>
          </w:p>
        </w:tc>
        <w:tc>
          <w:tcPr>
            <w:tcW w:w="969"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sz w:val="24"/>
                <w:szCs w:val="24"/>
                <w:lang w:eastAsia="ru-RU"/>
              </w:rPr>
            </w:pPr>
            <w:r w:rsidRPr="00663C28">
              <w:rPr>
                <w:rFonts w:eastAsia="Times New Roman"/>
                <w:sz w:val="24"/>
                <w:szCs w:val="24"/>
                <w:lang w:eastAsia="ru-RU"/>
              </w:rPr>
              <w:t>5,1</w:t>
            </w:r>
          </w:p>
        </w:tc>
        <w:tc>
          <w:tcPr>
            <w:tcW w:w="968"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sz w:val="24"/>
                <w:szCs w:val="24"/>
                <w:lang w:eastAsia="ru-RU"/>
              </w:rPr>
            </w:pPr>
            <w:r w:rsidRPr="00663C28">
              <w:rPr>
                <w:rFonts w:eastAsia="Times New Roman"/>
                <w:sz w:val="24"/>
                <w:szCs w:val="24"/>
                <w:lang w:eastAsia="ru-RU"/>
              </w:rPr>
              <w:t>5,0</w:t>
            </w:r>
          </w:p>
        </w:tc>
        <w:tc>
          <w:tcPr>
            <w:tcW w:w="969"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sz w:val="24"/>
                <w:szCs w:val="24"/>
                <w:lang w:eastAsia="ru-RU"/>
              </w:rPr>
            </w:pPr>
            <w:r w:rsidRPr="00663C28">
              <w:rPr>
                <w:rFonts w:eastAsia="Times New Roman"/>
                <w:sz w:val="24"/>
                <w:szCs w:val="24"/>
                <w:lang w:eastAsia="ru-RU"/>
              </w:rPr>
              <w:t>5,0</w:t>
            </w:r>
          </w:p>
        </w:tc>
        <w:tc>
          <w:tcPr>
            <w:tcW w:w="968"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sz w:val="24"/>
                <w:szCs w:val="24"/>
                <w:lang w:eastAsia="ru-RU"/>
              </w:rPr>
            </w:pPr>
            <w:r w:rsidRPr="00663C28">
              <w:rPr>
                <w:rFonts w:eastAsia="Times New Roman"/>
                <w:sz w:val="24"/>
                <w:szCs w:val="24"/>
                <w:lang w:eastAsia="ru-RU"/>
              </w:rPr>
              <w:t>1,00</w:t>
            </w:r>
          </w:p>
        </w:tc>
        <w:tc>
          <w:tcPr>
            <w:tcW w:w="969"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sz w:val="24"/>
                <w:szCs w:val="24"/>
                <w:lang w:eastAsia="ru-RU"/>
              </w:rPr>
            </w:pPr>
            <w:r w:rsidRPr="00663C28">
              <w:rPr>
                <w:rFonts w:eastAsia="Times New Roman"/>
                <w:sz w:val="24"/>
                <w:szCs w:val="24"/>
                <w:lang w:eastAsia="ru-RU"/>
              </w:rPr>
              <w:t>1,00</w:t>
            </w:r>
          </w:p>
        </w:tc>
      </w:tr>
      <w:tr w:rsidR="00663C28" w:rsidRPr="00663C28" w:rsidTr="00663C28">
        <w:trPr>
          <w:trHeight w:val="300"/>
        </w:trPr>
        <w:tc>
          <w:tcPr>
            <w:tcW w:w="4536" w:type="dxa"/>
            <w:tcBorders>
              <w:top w:val="single" w:sz="4" w:space="0" w:color="auto"/>
              <w:left w:val="single" w:sz="4" w:space="0" w:color="auto"/>
              <w:bottom w:val="single" w:sz="4" w:space="0" w:color="auto"/>
              <w:right w:val="single" w:sz="4" w:space="0" w:color="auto"/>
            </w:tcBorders>
            <w:noWrap/>
            <w:vAlign w:val="bottom"/>
            <w:hideMark/>
          </w:tcPr>
          <w:p w:rsidR="00663C28" w:rsidRPr="00663C28" w:rsidRDefault="00663C28" w:rsidP="00663C28">
            <w:pPr>
              <w:keepNext/>
              <w:jc w:val="left"/>
              <w:rPr>
                <w:rFonts w:eastAsia="Times New Roman"/>
                <w:sz w:val="24"/>
                <w:szCs w:val="24"/>
                <w:lang w:eastAsia="ru-RU"/>
              </w:rPr>
            </w:pPr>
          </w:p>
        </w:tc>
        <w:tc>
          <w:tcPr>
            <w:tcW w:w="968" w:type="dxa"/>
            <w:tcBorders>
              <w:top w:val="single" w:sz="4" w:space="0" w:color="auto"/>
              <w:left w:val="single" w:sz="4" w:space="0" w:color="auto"/>
              <w:bottom w:val="single" w:sz="4" w:space="0" w:color="auto"/>
              <w:right w:val="single" w:sz="4" w:space="0" w:color="auto"/>
            </w:tcBorders>
            <w:noWrap/>
            <w:vAlign w:val="center"/>
          </w:tcPr>
          <w:p w:rsidR="00663C28" w:rsidRPr="00663C28" w:rsidRDefault="00663C28" w:rsidP="00663C28">
            <w:pPr>
              <w:keepNext/>
              <w:jc w:val="center"/>
              <w:rPr>
                <w:rFonts w:eastAsia="Times New Roman"/>
                <w:sz w:val="24"/>
                <w:szCs w:val="24"/>
                <w:lang w:eastAsia="ru-RU"/>
              </w:rPr>
            </w:pPr>
          </w:p>
        </w:tc>
        <w:tc>
          <w:tcPr>
            <w:tcW w:w="969"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color w:val="000000"/>
                <w:sz w:val="24"/>
                <w:szCs w:val="24"/>
                <w:lang w:eastAsia="ru-RU"/>
              </w:rPr>
            </w:pPr>
          </w:p>
        </w:tc>
        <w:tc>
          <w:tcPr>
            <w:tcW w:w="968" w:type="dxa"/>
            <w:tcBorders>
              <w:top w:val="single" w:sz="4" w:space="0" w:color="auto"/>
              <w:left w:val="single" w:sz="4" w:space="0" w:color="auto"/>
              <w:bottom w:val="single" w:sz="4" w:space="0" w:color="auto"/>
              <w:right w:val="single" w:sz="4" w:space="0" w:color="auto"/>
            </w:tcBorders>
            <w:noWrap/>
            <w:vAlign w:val="center"/>
          </w:tcPr>
          <w:p w:rsidR="00663C28" w:rsidRPr="00663C28" w:rsidRDefault="00663C28" w:rsidP="00663C28">
            <w:pPr>
              <w:keepNext/>
              <w:jc w:val="center"/>
              <w:rPr>
                <w:rFonts w:eastAsia="Times New Roman"/>
                <w:color w:val="000000"/>
                <w:sz w:val="24"/>
                <w:szCs w:val="24"/>
                <w:lang w:eastAsia="ru-RU"/>
              </w:rPr>
            </w:pPr>
            <w:r w:rsidRPr="00663C28">
              <w:rPr>
                <w:rFonts w:eastAsia="Times New Roman"/>
                <w:color w:val="000000"/>
                <w:sz w:val="24"/>
                <w:szCs w:val="24"/>
                <w:lang w:eastAsia="ru-RU"/>
              </w:rPr>
              <w:t>91,19</w:t>
            </w:r>
          </w:p>
        </w:tc>
        <w:tc>
          <w:tcPr>
            <w:tcW w:w="969"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color w:val="000000"/>
                <w:sz w:val="24"/>
                <w:szCs w:val="24"/>
                <w:lang w:eastAsia="ru-RU"/>
              </w:rPr>
            </w:pPr>
            <w:r w:rsidRPr="00663C28">
              <w:rPr>
                <w:rFonts w:eastAsia="Times New Roman"/>
                <w:color w:val="000000"/>
                <w:sz w:val="24"/>
                <w:szCs w:val="24"/>
                <w:lang w:eastAsia="ru-RU"/>
              </w:rPr>
              <w:t>110,1</w:t>
            </w:r>
          </w:p>
        </w:tc>
        <w:tc>
          <w:tcPr>
            <w:tcW w:w="968" w:type="dxa"/>
            <w:tcBorders>
              <w:top w:val="single" w:sz="4" w:space="0" w:color="auto"/>
              <w:left w:val="single" w:sz="4" w:space="0" w:color="auto"/>
              <w:bottom w:val="single" w:sz="4" w:space="0" w:color="auto"/>
              <w:right w:val="single" w:sz="4" w:space="0" w:color="auto"/>
            </w:tcBorders>
            <w:noWrap/>
            <w:vAlign w:val="center"/>
          </w:tcPr>
          <w:p w:rsidR="00663C28" w:rsidRPr="00663C28" w:rsidRDefault="00663C28" w:rsidP="00663C28">
            <w:pPr>
              <w:keepNext/>
              <w:jc w:val="center"/>
              <w:rPr>
                <w:rFonts w:eastAsia="Times New Roman"/>
                <w:color w:val="000000"/>
                <w:sz w:val="24"/>
                <w:szCs w:val="24"/>
                <w:lang w:eastAsia="ru-RU"/>
              </w:rPr>
            </w:pPr>
            <w:r w:rsidRPr="00663C28">
              <w:rPr>
                <w:rFonts w:eastAsia="Times New Roman"/>
                <w:color w:val="000000"/>
                <w:sz w:val="24"/>
                <w:szCs w:val="24"/>
                <w:lang w:eastAsia="ru-RU"/>
              </w:rPr>
              <w:t>0,76</w:t>
            </w:r>
          </w:p>
        </w:tc>
        <w:tc>
          <w:tcPr>
            <w:tcW w:w="969" w:type="dxa"/>
            <w:tcBorders>
              <w:top w:val="single" w:sz="4" w:space="0" w:color="auto"/>
              <w:left w:val="single" w:sz="4" w:space="0" w:color="auto"/>
              <w:bottom w:val="single" w:sz="4" w:space="0" w:color="auto"/>
              <w:right w:val="single" w:sz="4" w:space="0" w:color="auto"/>
            </w:tcBorders>
            <w:vAlign w:val="center"/>
          </w:tcPr>
          <w:p w:rsidR="00663C28" w:rsidRPr="00663C28" w:rsidRDefault="00663C28" w:rsidP="00663C28">
            <w:pPr>
              <w:keepNext/>
              <w:jc w:val="center"/>
              <w:rPr>
                <w:rFonts w:eastAsia="Times New Roman"/>
                <w:color w:val="000000"/>
                <w:sz w:val="24"/>
                <w:szCs w:val="24"/>
                <w:lang w:eastAsia="ru-RU"/>
              </w:rPr>
            </w:pPr>
            <w:r w:rsidRPr="00663C28">
              <w:rPr>
                <w:rFonts w:eastAsia="Times New Roman"/>
                <w:color w:val="000000"/>
                <w:sz w:val="24"/>
                <w:szCs w:val="24"/>
                <w:lang w:eastAsia="ru-RU"/>
              </w:rPr>
              <w:t>0,85</w:t>
            </w:r>
          </w:p>
        </w:tc>
      </w:tr>
    </w:tbl>
    <w:p w:rsidR="00930B86" w:rsidRDefault="00663C28" w:rsidP="002D34E6">
      <w:pPr>
        <w:jc w:val="right"/>
        <w:rPr>
          <w:i/>
          <w:lang w:val="ru-RU"/>
        </w:rPr>
      </w:pPr>
      <w:r w:rsidRPr="00663C28">
        <w:rPr>
          <w:i/>
          <w:lang w:val="ru-RU"/>
        </w:rPr>
        <w:t>Продовження додаток Е-22</w:t>
      </w:r>
    </w:p>
    <w:p w:rsidR="00983FA2" w:rsidRPr="00930B86" w:rsidRDefault="00983FA2" w:rsidP="00930B86">
      <w:pPr>
        <w:rPr>
          <w:lang w:val="ru-RU"/>
        </w:rPr>
      </w:pPr>
    </w:p>
    <w:p w:rsidR="00C43972" w:rsidRPr="002D34E6" w:rsidRDefault="00C43972" w:rsidP="00362A09">
      <w:pPr>
        <w:keepNext/>
        <w:pageBreakBefore/>
        <w:jc w:val="right"/>
        <w:rPr>
          <w:rFonts w:eastAsia="Times New Roman"/>
          <w:szCs w:val="28"/>
          <w:lang w:val="ru-RU" w:eastAsia="ru-RU"/>
        </w:rPr>
      </w:pPr>
      <w:r w:rsidRPr="002D34E6">
        <w:rPr>
          <w:rFonts w:eastAsia="Times New Roman"/>
          <w:szCs w:val="28"/>
          <w:lang w:val="ru-RU" w:eastAsia="ru-RU"/>
        </w:rPr>
        <w:lastRenderedPageBreak/>
        <w:t xml:space="preserve">Додаток </w:t>
      </w:r>
      <w:r w:rsidR="005217B7" w:rsidRPr="002D34E6">
        <w:rPr>
          <w:rFonts w:eastAsia="Times New Roman"/>
          <w:szCs w:val="28"/>
          <w:lang w:eastAsia="ru-RU"/>
        </w:rPr>
        <w:t>Е</w:t>
      </w:r>
      <w:r w:rsidRPr="002D34E6">
        <w:rPr>
          <w:rFonts w:eastAsia="Times New Roman"/>
          <w:szCs w:val="28"/>
          <w:lang w:eastAsia="ru-RU"/>
        </w:rPr>
        <w:t>-23</w:t>
      </w:r>
    </w:p>
    <w:p w:rsidR="00C43972" w:rsidRPr="002D34E6" w:rsidRDefault="00C43972" w:rsidP="002D34E6">
      <w:pPr>
        <w:keepNext/>
        <w:jc w:val="center"/>
        <w:rPr>
          <w:rFonts w:eastAsia="Times New Roman"/>
          <w:b/>
          <w:sz w:val="24"/>
          <w:szCs w:val="24"/>
          <w:lang w:eastAsia="ru-RU"/>
        </w:rPr>
      </w:pPr>
      <w:r w:rsidRPr="002D34E6">
        <w:rPr>
          <w:rFonts w:eastAsia="Times New Roman"/>
          <w:b/>
          <w:bCs/>
          <w:iCs/>
          <w:color w:val="000000"/>
          <w:szCs w:val="28"/>
          <w:lang w:eastAsia="uk-UA"/>
        </w:rPr>
        <w:t xml:space="preserve">Комплексна оцінка діяльності закладів перинатальної допомоги Херсонської </w:t>
      </w:r>
      <w:r w:rsidRPr="002D34E6">
        <w:rPr>
          <w:rFonts w:eastAsia="Times New Roman"/>
          <w:b/>
          <w:bCs/>
          <w:iCs/>
          <w:color w:val="000000"/>
          <w:sz w:val="26"/>
          <w:szCs w:val="26"/>
          <w:lang w:eastAsia="uk-UA"/>
        </w:rPr>
        <w:t xml:space="preserve">області у </w:t>
      </w:r>
      <w:r w:rsidRPr="002D34E6">
        <w:rPr>
          <w:rFonts w:eastAsia="Times New Roman"/>
          <w:b/>
          <w:bCs/>
          <w:iCs/>
          <w:color w:val="000000"/>
          <w:szCs w:val="28"/>
          <w:lang w:eastAsia="uk-UA"/>
        </w:rPr>
        <w:t>2017–2018 рр.</w:t>
      </w:r>
    </w:p>
    <w:tbl>
      <w:tblPr>
        <w:tblW w:w="10347" w:type="dxa"/>
        <w:jc w:val="center"/>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36"/>
        <w:gridCol w:w="968"/>
        <w:gridCol w:w="969"/>
        <w:gridCol w:w="968"/>
        <w:gridCol w:w="969"/>
        <w:gridCol w:w="968"/>
        <w:gridCol w:w="969"/>
      </w:tblGrid>
      <w:tr w:rsidR="002D34E6" w:rsidRPr="002D34E6" w:rsidTr="002D34E6">
        <w:trPr>
          <w:cantSplit/>
          <w:trHeight w:val="652"/>
          <w:jc w:val="center"/>
        </w:trPr>
        <w:tc>
          <w:tcPr>
            <w:tcW w:w="4536" w:type="dxa"/>
            <w:vMerge w:val="restart"/>
            <w:tcBorders>
              <w:top w:val="single" w:sz="4" w:space="0" w:color="auto"/>
              <w:left w:val="single" w:sz="4" w:space="0" w:color="auto"/>
              <w:right w:val="single" w:sz="4" w:space="0" w:color="auto"/>
            </w:tcBorders>
            <w:vAlign w:val="center"/>
            <w:hideMark/>
          </w:tcPr>
          <w:p w:rsidR="002D34E6" w:rsidRPr="002D34E6" w:rsidRDefault="002D34E6" w:rsidP="002D34E6">
            <w:pPr>
              <w:keepNext/>
              <w:jc w:val="center"/>
              <w:rPr>
                <w:rFonts w:eastAsia="Times New Roman"/>
                <w:color w:val="000000"/>
                <w:sz w:val="24"/>
                <w:szCs w:val="24"/>
                <w:lang w:eastAsia="uk-UA"/>
              </w:rPr>
            </w:pPr>
            <w:r w:rsidRPr="002D34E6">
              <w:rPr>
                <w:rFonts w:eastAsia="Times New Roman"/>
                <w:color w:val="000000"/>
                <w:sz w:val="24"/>
                <w:szCs w:val="24"/>
                <w:lang w:eastAsia="uk-UA"/>
              </w:rPr>
              <w:t>Індикатор якості</w:t>
            </w:r>
          </w:p>
        </w:tc>
        <w:tc>
          <w:tcPr>
            <w:tcW w:w="1937" w:type="dxa"/>
            <w:gridSpan w:val="2"/>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color w:val="000000"/>
                <w:sz w:val="24"/>
                <w:szCs w:val="24"/>
                <w:lang w:eastAsia="uk-UA"/>
              </w:rPr>
            </w:pPr>
            <w:r w:rsidRPr="002D34E6">
              <w:rPr>
                <w:rFonts w:eastAsia="Times New Roman"/>
                <w:color w:val="000000"/>
                <w:sz w:val="24"/>
                <w:szCs w:val="24"/>
                <w:lang w:eastAsia="uk-UA"/>
              </w:rPr>
              <w:t xml:space="preserve">Фактичний показник, </w:t>
            </w:r>
            <w:r w:rsidRPr="002D34E6">
              <w:rPr>
                <w:rFonts w:eastAsia="Times New Roman"/>
                <w:sz w:val="24"/>
                <w:szCs w:val="24"/>
                <w:lang w:eastAsia="uk-UA"/>
              </w:rPr>
              <w:t>Україна</w:t>
            </w:r>
          </w:p>
        </w:tc>
        <w:tc>
          <w:tcPr>
            <w:tcW w:w="1937" w:type="dxa"/>
            <w:gridSpan w:val="2"/>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color w:val="000000"/>
                <w:sz w:val="24"/>
                <w:szCs w:val="24"/>
                <w:lang w:eastAsia="uk-UA"/>
              </w:rPr>
            </w:pPr>
            <w:r w:rsidRPr="002D34E6">
              <w:rPr>
                <w:rFonts w:eastAsia="Times New Roman"/>
                <w:color w:val="000000"/>
                <w:sz w:val="24"/>
                <w:szCs w:val="24"/>
                <w:lang w:eastAsia="uk-UA"/>
              </w:rPr>
              <w:t>Бальна оцінка фактичного показника</w:t>
            </w:r>
          </w:p>
        </w:tc>
        <w:tc>
          <w:tcPr>
            <w:tcW w:w="1937" w:type="dxa"/>
            <w:gridSpan w:val="2"/>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color w:val="000000"/>
                <w:sz w:val="24"/>
                <w:szCs w:val="24"/>
                <w:lang w:eastAsia="uk-UA"/>
              </w:rPr>
            </w:pPr>
            <w:r w:rsidRPr="002D34E6">
              <w:rPr>
                <w:rFonts w:eastAsia="Times New Roman"/>
                <w:color w:val="000000"/>
                <w:sz w:val="24"/>
                <w:szCs w:val="24"/>
                <w:lang w:eastAsia="uk-UA"/>
              </w:rPr>
              <w:t>КДНЗ</w:t>
            </w:r>
          </w:p>
        </w:tc>
      </w:tr>
      <w:tr w:rsidR="002D34E6" w:rsidRPr="002D34E6" w:rsidTr="002D34E6">
        <w:trPr>
          <w:trHeight w:val="404"/>
          <w:jc w:val="center"/>
        </w:trPr>
        <w:tc>
          <w:tcPr>
            <w:tcW w:w="4536" w:type="dxa"/>
            <w:vMerge/>
            <w:tcBorders>
              <w:left w:val="single" w:sz="4" w:space="0" w:color="auto"/>
              <w:bottom w:val="single" w:sz="4" w:space="0" w:color="auto"/>
              <w:right w:val="single" w:sz="4" w:space="0" w:color="auto"/>
            </w:tcBorders>
            <w:vAlign w:val="bottom"/>
          </w:tcPr>
          <w:p w:rsidR="002D34E6" w:rsidRPr="002D34E6" w:rsidRDefault="002D34E6" w:rsidP="002D34E6">
            <w:pPr>
              <w:keepNext/>
              <w:jc w:val="left"/>
              <w:rPr>
                <w:rFonts w:eastAsia="Times New Roman"/>
                <w:sz w:val="24"/>
                <w:szCs w:val="24"/>
                <w:lang w:eastAsia="ru-RU"/>
              </w:rPr>
            </w:pP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2017 р.</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color w:val="000000"/>
                <w:sz w:val="24"/>
                <w:szCs w:val="24"/>
                <w:lang w:eastAsia="ru-RU"/>
              </w:rPr>
            </w:pPr>
            <w:r w:rsidRPr="002D34E6">
              <w:rPr>
                <w:rFonts w:eastAsia="Times New Roman"/>
                <w:color w:val="000000"/>
                <w:sz w:val="24"/>
                <w:szCs w:val="24"/>
                <w:lang w:eastAsia="ru-RU"/>
              </w:rPr>
              <w:t>2018 р.</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2017 р.</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2017 р.</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color w:val="000000"/>
                <w:sz w:val="24"/>
                <w:szCs w:val="24"/>
                <w:lang w:eastAsia="ru-RU"/>
              </w:rPr>
            </w:pPr>
            <w:r w:rsidRPr="002D34E6">
              <w:rPr>
                <w:rFonts w:eastAsia="Times New Roman"/>
                <w:color w:val="000000"/>
                <w:sz w:val="24"/>
                <w:szCs w:val="24"/>
                <w:lang w:eastAsia="ru-RU"/>
              </w:rPr>
              <w:t>2018 р.</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2017 р.</w:t>
            </w:r>
          </w:p>
        </w:tc>
      </w:tr>
      <w:tr w:rsidR="002D34E6" w:rsidRPr="002D34E6" w:rsidTr="002D34E6">
        <w:trPr>
          <w:trHeight w:val="404"/>
          <w:jc w:val="center"/>
        </w:trPr>
        <w:tc>
          <w:tcPr>
            <w:tcW w:w="4536"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left"/>
              <w:rPr>
                <w:rFonts w:eastAsia="Times New Roman"/>
                <w:sz w:val="24"/>
                <w:szCs w:val="24"/>
                <w:lang w:eastAsia="ru-RU"/>
              </w:rPr>
            </w:pPr>
            <w:r w:rsidRPr="002D34E6">
              <w:rPr>
                <w:rFonts w:eastAsia="Times New Roman"/>
                <w:sz w:val="24"/>
                <w:szCs w:val="24"/>
                <w:lang w:eastAsia="ru-RU"/>
              </w:rPr>
              <w:t>Забезпеченість  лікарями акушер-гінекологами</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4,26</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4,05</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4,65</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4,42</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0,77</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0,74</w:t>
            </w:r>
          </w:p>
        </w:tc>
      </w:tr>
      <w:tr w:rsidR="002D34E6" w:rsidRPr="002D34E6" w:rsidTr="002D34E6">
        <w:trPr>
          <w:trHeight w:val="404"/>
          <w:jc w:val="center"/>
        </w:trPr>
        <w:tc>
          <w:tcPr>
            <w:tcW w:w="4536" w:type="dxa"/>
            <w:tcBorders>
              <w:top w:val="single" w:sz="4" w:space="0" w:color="auto"/>
              <w:left w:val="single" w:sz="4" w:space="0" w:color="auto"/>
              <w:bottom w:val="single" w:sz="4" w:space="0" w:color="auto"/>
              <w:right w:val="single" w:sz="4" w:space="0" w:color="auto"/>
            </w:tcBorders>
            <w:vAlign w:val="bottom"/>
          </w:tcPr>
          <w:p w:rsidR="002D34E6" w:rsidRPr="002D34E6" w:rsidRDefault="002D34E6" w:rsidP="002D34E6">
            <w:pPr>
              <w:keepNext/>
              <w:jc w:val="left"/>
              <w:rPr>
                <w:rFonts w:eastAsia="Times New Roman"/>
                <w:sz w:val="24"/>
                <w:szCs w:val="24"/>
                <w:lang w:eastAsia="ru-RU"/>
              </w:rPr>
            </w:pPr>
            <w:r w:rsidRPr="002D34E6">
              <w:rPr>
                <w:rFonts w:eastAsia="Times New Roman"/>
                <w:sz w:val="24"/>
                <w:szCs w:val="24"/>
                <w:lang w:eastAsia="ru-RU"/>
              </w:rPr>
              <w:t>Забезпеченість  лікарями  педіатрами-неонатологами</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3,52</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3,93</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3,84</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4,29</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0,64</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0,72</w:t>
            </w:r>
          </w:p>
        </w:tc>
      </w:tr>
      <w:tr w:rsidR="002D34E6" w:rsidRPr="002D34E6" w:rsidTr="002D34E6">
        <w:trPr>
          <w:trHeight w:val="404"/>
          <w:jc w:val="center"/>
        </w:trPr>
        <w:tc>
          <w:tcPr>
            <w:tcW w:w="4536" w:type="dxa"/>
            <w:tcBorders>
              <w:top w:val="single" w:sz="4" w:space="0" w:color="auto"/>
              <w:left w:val="single" w:sz="4" w:space="0" w:color="auto"/>
              <w:bottom w:val="single" w:sz="4" w:space="0" w:color="auto"/>
              <w:right w:val="single" w:sz="4" w:space="0" w:color="auto"/>
            </w:tcBorders>
            <w:vAlign w:val="bottom"/>
          </w:tcPr>
          <w:p w:rsidR="002D34E6" w:rsidRPr="002D34E6" w:rsidRDefault="002D34E6" w:rsidP="002D34E6">
            <w:pPr>
              <w:keepNext/>
              <w:jc w:val="left"/>
              <w:rPr>
                <w:rFonts w:eastAsia="Times New Roman"/>
                <w:sz w:val="24"/>
                <w:szCs w:val="24"/>
                <w:lang w:eastAsia="ru-RU"/>
              </w:rPr>
            </w:pPr>
            <w:r w:rsidRPr="002D34E6">
              <w:rPr>
                <w:rFonts w:eastAsia="Times New Roman"/>
                <w:sz w:val="24"/>
                <w:szCs w:val="24"/>
                <w:lang w:eastAsia="ru-RU"/>
              </w:rPr>
              <w:t>Питома вага атестованих лікарів акушер-гінекологів</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95,59</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6,0</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1,00</w:t>
            </w:r>
          </w:p>
        </w:tc>
      </w:tr>
      <w:tr w:rsidR="002D34E6" w:rsidRPr="002D34E6" w:rsidTr="002D34E6">
        <w:trPr>
          <w:trHeight w:val="404"/>
          <w:jc w:val="center"/>
        </w:trPr>
        <w:tc>
          <w:tcPr>
            <w:tcW w:w="4536" w:type="dxa"/>
            <w:tcBorders>
              <w:top w:val="single" w:sz="4" w:space="0" w:color="auto"/>
              <w:left w:val="single" w:sz="4" w:space="0" w:color="auto"/>
              <w:bottom w:val="single" w:sz="4" w:space="0" w:color="auto"/>
              <w:right w:val="single" w:sz="4" w:space="0" w:color="auto"/>
            </w:tcBorders>
            <w:vAlign w:val="bottom"/>
          </w:tcPr>
          <w:p w:rsidR="002D34E6" w:rsidRPr="002D34E6" w:rsidRDefault="002D34E6" w:rsidP="002D34E6">
            <w:pPr>
              <w:keepNext/>
              <w:jc w:val="left"/>
              <w:rPr>
                <w:rFonts w:eastAsia="Times New Roman"/>
                <w:sz w:val="24"/>
                <w:szCs w:val="24"/>
                <w:lang w:eastAsia="ru-RU"/>
              </w:rPr>
            </w:pPr>
            <w:r w:rsidRPr="002D34E6">
              <w:rPr>
                <w:rFonts w:eastAsia="Times New Roman"/>
                <w:sz w:val="24"/>
                <w:szCs w:val="24"/>
                <w:lang w:eastAsia="ru-RU"/>
              </w:rPr>
              <w:t>Питома вага атестованих лікарів педіатрів-неонатологів</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65,63</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4,92</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0,82</w:t>
            </w:r>
          </w:p>
        </w:tc>
      </w:tr>
      <w:tr w:rsidR="002D34E6" w:rsidRPr="002D34E6" w:rsidTr="002D34E6">
        <w:trPr>
          <w:trHeight w:val="218"/>
          <w:jc w:val="center"/>
        </w:trPr>
        <w:tc>
          <w:tcPr>
            <w:tcW w:w="4536"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left"/>
              <w:rPr>
                <w:rFonts w:eastAsia="Times New Roman"/>
                <w:sz w:val="24"/>
                <w:szCs w:val="24"/>
                <w:lang w:eastAsia="ru-RU"/>
              </w:rPr>
            </w:pPr>
            <w:r w:rsidRPr="002D34E6">
              <w:rPr>
                <w:rFonts w:eastAsia="Times New Roman"/>
                <w:sz w:val="24"/>
                <w:szCs w:val="24"/>
                <w:lang w:eastAsia="ru-RU"/>
              </w:rPr>
              <w:t xml:space="preserve">Своєчасність постановки на облік вагітних </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color w:val="000000"/>
                <w:sz w:val="24"/>
                <w:szCs w:val="24"/>
                <w:lang w:eastAsia="ru-RU"/>
              </w:rPr>
            </w:pPr>
            <w:r w:rsidRPr="002D34E6">
              <w:rPr>
                <w:rFonts w:eastAsia="Times New Roman"/>
                <w:color w:val="000000"/>
                <w:sz w:val="24"/>
                <w:szCs w:val="24"/>
                <w:lang w:eastAsia="ru-RU"/>
              </w:rPr>
              <w:t>98,46</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97,88</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color w:val="000000"/>
                <w:sz w:val="24"/>
                <w:szCs w:val="24"/>
                <w:lang w:eastAsia="ru-RU"/>
              </w:rPr>
            </w:pPr>
            <w:r w:rsidRPr="002D34E6">
              <w:rPr>
                <w:rFonts w:eastAsia="Times New Roman"/>
                <w:color w:val="000000"/>
                <w:sz w:val="24"/>
                <w:szCs w:val="24"/>
                <w:lang w:eastAsia="ru-RU"/>
              </w:rPr>
              <w:t>7,00</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7,0</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color w:val="000000"/>
                <w:sz w:val="24"/>
                <w:szCs w:val="24"/>
                <w:lang w:eastAsia="ru-RU"/>
              </w:rPr>
            </w:pPr>
            <w:r w:rsidRPr="002D34E6">
              <w:rPr>
                <w:rFonts w:eastAsia="Times New Roman"/>
                <w:color w:val="000000"/>
                <w:sz w:val="24"/>
                <w:szCs w:val="24"/>
                <w:lang w:eastAsia="ru-RU"/>
              </w:rPr>
              <w:t>1,00</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1,00</w:t>
            </w:r>
          </w:p>
        </w:tc>
      </w:tr>
      <w:tr w:rsidR="002D34E6" w:rsidRPr="002D34E6" w:rsidTr="002D34E6">
        <w:trPr>
          <w:trHeight w:val="222"/>
          <w:jc w:val="center"/>
        </w:trPr>
        <w:tc>
          <w:tcPr>
            <w:tcW w:w="4536"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left"/>
              <w:rPr>
                <w:rFonts w:eastAsia="Times New Roman"/>
                <w:sz w:val="24"/>
                <w:szCs w:val="24"/>
                <w:lang w:eastAsia="ru-RU"/>
              </w:rPr>
            </w:pPr>
            <w:r w:rsidRPr="002D34E6">
              <w:rPr>
                <w:rFonts w:eastAsia="Times New Roman"/>
                <w:sz w:val="24"/>
                <w:szCs w:val="24"/>
                <w:lang w:eastAsia="ru-RU"/>
              </w:rPr>
              <w:t>Частота анемій вагітних</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color w:val="000000"/>
                <w:sz w:val="24"/>
                <w:szCs w:val="24"/>
                <w:lang w:eastAsia="ru-RU"/>
              </w:rPr>
            </w:pPr>
            <w:r w:rsidRPr="002D34E6">
              <w:rPr>
                <w:rFonts w:eastAsia="Times New Roman"/>
                <w:color w:val="000000"/>
                <w:sz w:val="24"/>
                <w:szCs w:val="24"/>
                <w:lang w:eastAsia="ru-RU"/>
              </w:rPr>
              <w:t>27,3</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24,97</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color w:val="000000"/>
                <w:sz w:val="24"/>
                <w:szCs w:val="24"/>
                <w:lang w:eastAsia="ru-RU"/>
              </w:rPr>
            </w:pPr>
            <w:r w:rsidRPr="002D34E6">
              <w:rPr>
                <w:rFonts w:eastAsia="Times New Roman"/>
                <w:color w:val="000000"/>
                <w:sz w:val="24"/>
                <w:szCs w:val="24"/>
                <w:lang w:eastAsia="ru-RU"/>
              </w:rPr>
              <w:t>2,54</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3,34</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color w:val="000000"/>
                <w:sz w:val="24"/>
                <w:szCs w:val="24"/>
                <w:lang w:eastAsia="ru-RU"/>
              </w:rPr>
            </w:pPr>
            <w:r w:rsidRPr="002D34E6">
              <w:rPr>
                <w:rFonts w:eastAsia="Times New Roman"/>
                <w:color w:val="000000"/>
                <w:sz w:val="24"/>
                <w:szCs w:val="24"/>
                <w:lang w:eastAsia="ru-RU"/>
              </w:rPr>
              <w:t>0,64</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0,84</w:t>
            </w:r>
          </w:p>
        </w:tc>
      </w:tr>
      <w:tr w:rsidR="002D34E6" w:rsidRPr="002D34E6" w:rsidTr="002D34E6">
        <w:trPr>
          <w:trHeight w:val="319"/>
          <w:jc w:val="center"/>
        </w:trPr>
        <w:tc>
          <w:tcPr>
            <w:tcW w:w="4536"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left"/>
              <w:rPr>
                <w:rFonts w:eastAsia="Times New Roman"/>
                <w:sz w:val="24"/>
                <w:szCs w:val="24"/>
                <w:lang w:eastAsia="ru-RU"/>
              </w:rPr>
            </w:pPr>
            <w:r w:rsidRPr="002D34E6">
              <w:rPr>
                <w:rFonts w:eastAsia="Times New Roman"/>
                <w:sz w:val="24"/>
                <w:szCs w:val="24"/>
                <w:lang w:eastAsia="ru-RU"/>
              </w:rPr>
              <w:t>Частота прееклампсій та еклампсій вагітних</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color w:val="000000"/>
                <w:sz w:val="24"/>
                <w:szCs w:val="24"/>
                <w:lang w:eastAsia="ru-RU"/>
              </w:rPr>
            </w:pPr>
            <w:r w:rsidRPr="002D34E6">
              <w:rPr>
                <w:rFonts w:eastAsia="Times New Roman"/>
                <w:color w:val="000000"/>
                <w:sz w:val="24"/>
                <w:szCs w:val="24"/>
                <w:lang w:eastAsia="ru-RU"/>
              </w:rPr>
              <w:t>2,73</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2,48</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color w:val="000000"/>
                <w:sz w:val="24"/>
                <w:szCs w:val="24"/>
                <w:lang w:eastAsia="ru-RU"/>
              </w:rPr>
            </w:pPr>
            <w:r w:rsidRPr="002D34E6">
              <w:rPr>
                <w:rFonts w:eastAsia="Times New Roman"/>
                <w:color w:val="000000"/>
                <w:sz w:val="24"/>
                <w:szCs w:val="24"/>
                <w:lang w:eastAsia="ru-RU"/>
              </w:rPr>
              <w:t>3,08</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4,08</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color w:val="000000"/>
                <w:sz w:val="24"/>
                <w:szCs w:val="24"/>
                <w:lang w:eastAsia="ru-RU"/>
              </w:rPr>
            </w:pPr>
            <w:r w:rsidRPr="002D34E6">
              <w:rPr>
                <w:rFonts w:eastAsia="Times New Roman"/>
                <w:color w:val="000000"/>
                <w:sz w:val="24"/>
                <w:szCs w:val="24"/>
                <w:lang w:eastAsia="ru-RU"/>
              </w:rPr>
              <w:t>0,44</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0,58</w:t>
            </w:r>
          </w:p>
        </w:tc>
      </w:tr>
      <w:tr w:rsidR="002D34E6" w:rsidRPr="002D34E6" w:rsidTr="002D34E6">
        <w:trPr>
          <w:trHeight w:val="284"/>
          <w:jc w:val="center"/>
        </w:trPr>
        <w:tc>
          <w:tcPr>
            <w:tcW w:w="4536"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left"/>
              <w:rPr>
                <w:rFonts w:eastAsia="Times New Roman"/>
                <w:sz w:val="24"/>
                <w:szCs w:val="24"/>
                <w:lang w:eastAsia="ru-RU"/>
              </w:rPr>
            </w:pPr>
            <w:r w:rsidRPr="002D34E6">
              <w:rPr>
                <w:rFonts w:eastAsia="Times New Roman"/>
                <w:sz w:val="24"/>
                <w:szCs w:val="24"/>
                <w:lang w:eastAsia="ru-RU"/>
              </w:rPr>
              <w:t>Співвідношення безпечних методів абортів до небезпечних</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color w:val="000000"/>
                <w:sz w:val="24"/>
                <w:szCs w:val="24"/>
                <w:lang w:eastAsia="ru-RU"/>
              </w:rPr>
            </w:pPr>
            <w:r w:rsidRPr="002D34E6">
              <w:rPr>
                <w:rFonts w:eastAsia="Times New Roman"/>
                <w:color w:val="000000"/>
                <w:sz w:val="24"/>
                <w:szCs w:val="24"/>
                <w:lang w:eastAsia="ru-RU"/>
              </w:rPr>
              <w:t>22,89</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17,50</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color w:val="000000"/>
                <w:sz w:val="24"/>
                <w:szCs w:val="24"/>
                <w:lang w:eastAsia="ru-RU"/>
              </w:rPr>
            </w:pPr>
            <w:r w:rsidRPr="002D34E6">
              <w:rPr>
                <w:rFonts w:eastAsia="Times New Roman"/>
                <w:color w:val="000000"/>
                <w:sz w:val="24"/>
                <w:szCs w:val="24"/>
                <w:lang w:eastAsia="ru-RU"/>
              </w:rPr>
              <w:t>6,00</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6,0</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color w:val="000000"/>
                <w:sz w:val="24"/>
                <w:szCs w:val="24"/>
                <w:lang w:eastAsia="ru-RU"/>
              </w:rPr>
            </w:pPr>
            <w:r w:rsidRPr="002D34E6">
              <w:rPr>
                <w:rFonts w:eastAsia="Times New Roman"/>
                <w:color w:val="000000"/>
                <w:sz w:val="24"/>
                <w:szCs w:val="24"/>
                <w:lang w:eastAsia="ru-RU"/>
              </w:rPr>
              <w:t>1,00</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1,00</w:t>
            </w:r>
          </w:p>
        </w:tc>
      </w:tr>
      <w:tr w:rsidR="002D34E6" w:rsidRPr="002D34E6" w:rsidTr="002D34E6">
        <w:trPr>
          <w:trHeight w:val="340"/>
          <w:jc w:val="center"/>
        </w:trPr>
        <w:tc>
          <w:tcPr>
            <w:tcW w:w="4536" w:type="dxa"/>
            <w:tcBorders>
              <w:top w:val="single" w:sz="4" w:space="0" w:color="auto"/>
              <w:left w:val="single" w:sz="4" w:space="0" w:color="auto"/>
              <w:bottom w:val="single" w:sz="4" w:space="0" w:color="auto"/>
              <w:right w:val="single" w:sz="4" w:space="0" w:color="auto"/>
            </w:tcBorders>
            <w:vAlign w:val="bottom"/>
          </w:tcPr>
          <w:p w:rsidR="002D34E6" w:rsidRPr="002D34E6" w:rsidRDefault="002D34E6" w:rsidP="002D34E6">
            <w:pPr>
              <w:keepNext/>
              <w:jc w:val="left"/>
              <w:rPr>
                <w:rFonts w:eastAsia="Times New Roman"/>
                <w:sz w:val="24"/>
                <w:szCs w:val="24"/>
                <w:lang w:eastAsia="ru-RU"/>
              </w:rPr>
            </w:pPr>
            <w:r w:rsidRPr="002D34E6">
              <w:rPr>
                <w:rFonts w:eastAsia="Times New Roman"/>
                <w:sz w:val="24"/>
                <w:szCs w:val="24"/>
                <w:lang w:eastAsia="ru-RU"/>
              </w:rPr>
              <w:t>Питома вага хворих виявлення в ранніх стадіях (І – ІІ) серед хворих з вперше встановленим діагнозом онкологія молочної залози</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73,90</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5,57</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0,93</w:t>
            </w:r>
          </w:p>
        </w:tc>
      </w:tr>
      <w:tr w:rsidR="002D34E6" w:rsidRPr="002D34E6" w:rsidTr="002D34E6">
        <w:trPr>
          <w:trHeight w:val="418"/>
          <w:jc w:val="center"/>
        </w:trPr>
        <w:tc>
          <w:tcPr>
            <w:tcW w:w="4536" w:type="dxa"/>
            <w:tcBorders>
              <w:top w:val="single" w:sz="4" w:space="0" w:color="auto"/>
              <w:left w:val="single" w:sz="4" w:space="0" w:color="auto"/>
              <w:bottom w:val="single" w:sz="4" w:space="0" w:color="auto"/>
              <w:right w:val="single" w:sz="4" w:space="0" w:color="auto"/>
            </w:tcBorders>
            <w:vAlign w:val="bottom"/>
          </w:tcPr>
          <w:p w:rsidR="002D34E6" w:rsidRPr="002D34E6" w:rsidRDefault="002D34E6" w:rsidP="002D34E6">
            <w:pPr>
              <w:keepNext/>
              <w:jc w:val="left"/>
              <w:rPr>
                <w:rFonts w:eastAsia="Times New Roman"/>
                <w:sz w:val="24"/>
                <w:szCs w:val="24"/>
                <w:lang w:eastAsia="ru-RU"/>
              </w:rPr>
            </w:pPr>
            <w:r w:rsidRPr="002D34E6">
              <w:rPr>
                <w:rFonts w:eastAsia="Times New Roman"/>
                <w:sz w:val="24"/>
                <w:szCs w:val="24"/>
                <w:lang w:eastAsia="ru-RU"/>
              </w:rPr>
              <w:t>Питома вага хворих виявлення в ранніх стадіях (І – ІІ) серед хворих з вперше встановленим діагнозом онкологія шийки матки</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72,40</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5,47</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0,91</w:t>
            </w:r>
          </w:p>
        </w:tc>
      </w:tr>
      <w:tr w:rsidR="002D34E6" w:rsidRPr="002D34E6" w:rsidTr="002D34E6">
        <w:trPr>
          <w:trHeight w:val="600"/>
          <w:jc w:val="center"/>
        </w:trPr>
        <w:tc>
          <w:tcPr>
            <w:tcW w:w="4536" w:type="dxa"/>
            <w:tcBorders>
              <w:top w:val="single" w:sz="4" w:space="0" w:color="auto"/>
              <w:left w:val="single" w:sz="4" w:space="0" w:color="auto"/>
              <w:bottom w:val="single" w:sz="4" w:space="0" w:color="auto"/>
              <w:right w:val="single" w:sz="4" w:space="0" w:color="auto"/>
            </w:tcBorders>
          </w:tcPr>
          <w:p w:rsidR="002D34E6" w:rsidRPr="002D34E6" w:rsidRDefault="002D34E6" w:rsidP="002D34E6">
            <w:pPr>
              <w:keepNext/>
              <w:rPr>
                <w:rFonts w:eastAsia="Times New Roman"/>
                <w:color w:val="000000"/>
                <w:sz w:val="24"/>
                <w:szCs w:val="24"/>
                <w:lang w:eastAsia="uk-UA"/>
              </w:rPr>
            </w:pPr>
            <w:r w:rsidRPr="002D34E6">
              <w:rPr>
                <w:rFonts w:eastAsia="Times New Roman"/>
                <w:color w:val="000000"/>
                <w:sz w:val="24"/>
                <w:szCs w:val="24"/>
                <w:lang w:eastAsia="uk-UA"/>
              </w:rPr>
              <w:t>Індекс концентрації розродження вагітних з цукровим діабетом у ЗПД ІІІ рівня</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color w:val="000000"/>
                <w:sz w:val="24"/>
                <w:szCs w:val="24"/>
                <w:lang w:eastAsia="ru-RU"/>
              </w:rPr>
            </w:pPr>
            <w:r w:rsidRPr="002D34E6">
              <w:rPr>
                <w:rFonts w:eastAsia="Times New Roman"/>
                <w:color w:val="000000"/>
                <w:sz w:val="24"/>
                <w:szCs w:val="24"/>
                <w:lang w:eastAsia="ru-RU"/>
              </w:rPr>
              <w:t>54,39</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color w:val="000000"/>
                <w:sz w:val="24"/>
                <w:szCs w:val="24"/>
                <w:lang w:eastAsia="ru-RU"/>
              </w:rPr>
            </w:pPr>
            <w:r w:rsidRPr="002D34E6">
              <w:rPr>
                <w:rFonts w:eastAsia="Times New Roman"/>
                <w:color w:val="000000"/>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color w:val="000000"/>
                <w:sz w:val="24"/>
                <w:szCs w:val="24"/>
                <w:lang w:eastAsia="ru-RU"/>
              </w:rPr>
            </w:pPr>
            <w:r w:rsidRPr="002D34E6">
              <w:rPr>
                <w:rFonts w:eastAsia="Times New Roman"/>
                <w:color w:val="000000"/>
                <w:sz w:val="24"/>
                <w:szCs w:val="24"/>
                <w:lang w:eastAsia="ru-RU"/>
              </w:rPr>
              <w:t>5,44</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color w:val="000000"/>
                <w:sz w:val="24"/>
                <w:szCs w:val="24"/>
                <w:lang w:eastAsia="ru-RU"/>
              </w:rPr>
            </w:pPr>
            <w:r w:rsidRPr="002D34E6">
              <w:rPr>
                <w:rFonts w:eastAsia="Times New Roman"/>
                <w:color w:val="000000"/>
                <w:sz w:val="24"/>
                <w:szCs w:val="24"/>
                <w:lang w:eastAsia="ru-RU"/>
              </w:rPr>
              <w:t>0,78</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w:t>
            </w:r>
          </w:p>
        </w:tc>
      </w:tr>
    </w:tbl>
    <w:p w:rsidR="002D34E6" w:rsidRPr="00F72A46" w:rsidRDefault="00F72A46">
      <w:pPr>
        <w:rPr>
          <w:i/>
          <w:sz w:val="20"/>
          <w:szCs w:val="20"/>
        </w:rPr>
      </w:pPr>
      <w:r w:rsidRPr="004B24A2">
        <w:rPr>
          <w:i/>
          <w:sz w:val="20"/>
          <w:szCs w:val="20"/>
        </w:rPr>
        <w:t>Для таблиць : * – показник не оцінювався</w:t>
      </w:r>
      <w:r w:rsidRPr="004B24A2">
        <w:rPr>
          <w:i/>
          <w:sz w:val="20"/>
          <w:szCs w:val="20"/>
          <w:lang w:val="ru-RU"/>
        </w:rPr>
        <w:t xml:space="preserve">  </w:t>
      </w:r>
      <w:r w:rsidRPr="004B24A2">
        <w:rPr>
          <w:i/>
          <w:sz w:val="20"/>
          <w:szCs w:val="20"/>
        </w:rPr>
        <w:t>** – немає даних</w:t>
      </w:r>
    </w:p>
    <w:tbl>
      <w:tblPr>
        <w:tblpPr w:leftFromText="180" w:rightFromText="180" w:vertAnchor="text" w:horzAnchor="margin" w:tblpY="719"/>
        <w:tblW w:w="103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36"/>
        <w:gridCol w:w="968"/>
        <w:gridCol w:w="969"/>
        <w:gridCol w:w="968"/>
        <w:gridCol w:w="969"/>
        <w:gridCol w:w="968"/>
        <w:gridCol w:w="969"/>
      </w:tblGrid>
      <w:tr w:rsidR="002D34E6" w:rsidRPr="002D34E6" w:rsidTr="002D34E6">
        <w:trPr>
          <w:trHeight w:val="600"/>
        </w:trPr>
        <w:tc>
          <w:tcPr>
            <w:tcW w:w="4536" w:type="dxa"/>
            <w:tcBorders>
              <w:top w:val="single" w:sz="4" w:space="0" w:color="auto"/>
              <w:left w:val="single" w:sz="4" w:space="0" w:color="auto"/>
              <w:bottom w:val="single" w:sz="4" w:space="0" w:color="auto"/>
              <w:right w:val="single" w:sz="4" w:space="0" w:color="auto"/>
            </w:tcBorders>
          </w:tcPr>
          <w:p w:rsidR="002D34E6" w:rsidRPr="002D34E6" w:rsidRDefault="002D34E6" w:rsidP="002D34E6">
            <w:pPr>
              <w:keepNext/>
              <w:rPr>
                <w:rFonts w:eastAsia="Times New Roman"/>
                <w:color w:val="000000"/>
                <w:sz w:val="24"/>
                <w:szCs w:val="24"/>
                <w:lang w:eastAsia="uk-UA"/>
              </w:rPr>
            </w:pPr>
            <w:r w:rsidRPr="002D34E6">
              <w:rPr>
                <w:rFonts w:eastAsia="Times New Roman"/>
                <w:color w:val="000000"/>
                <w:sz w:val="24"/>
                <w:szCs w:val="24"/>
                <w:lang w:eastAsia="uk-UA"/>
              </w:rPr>
              <w:lastRenderedPageBreak/>
              <w:t>Індекс концентрації розродження вагітних з пре- еклампсією і еклампсією у ЗПД ІІ-ІІІ рівнів</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color w:val="000000"/>
                <w:sz w:val="24"/>
                <w:szCs w:val="24"/>
                <w:lang w:eastAsia="ru-RU"/>
              </w:rPr>
            </w:pPr>
            <w:r w:rsidRPr="002D34E6">
              <w:rPr>
                <w:rFonts w:eastAsia="Times New Roman"/>
                <w:color w:val="000000"/>
                <w:sz w:val="24"/>
                <w:szCs w:val="24"/>
                <w:lang w:eastAsia="ru-RU"/>
              </w:rPr>
              <w:t>77,5</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color w:val="000000"/>
                <w:sz w:val="24"/>
                <w:szCs w:val="24"/>
                <w:lang w:eastAsia="ru-RU"/>
              </w:rPr>
            </w:pPr>
            <w:r w:rsidRPr="002D34E6">
              <w:rPr>
                <w:rFonts w:eastAsia="Times New Roman"/>
                <w:color w:val="000000"/>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color w:val="000000"/>
                <w:sz w:val="24"/>
                <w:szCs w:val="24"/>
                <w:lang w:eastAsia="ru-RU"/>
              </w:rPr>
            </w:pPr>
            <w:r w:rsidRPr="002D34E6">
              <w:rPr>
                <w:rFonts w:eastAsia="Times New Roman"/>
                <w:color w:val="000000"/>
                <w:sz w:val="24"/>
                <w:szCs w:val="24"/>
                <w:lang w:eastAsia="ru-RU"/>
              </w:rPr>
              <w:t>6,03</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color w:val="000000"/>
                <w:sz w:val="24"/>
                <w:szCs w:val="24"/>
                <w:lang w:eastAsia="ru-RU"/>
              </w:rPr>
            </w:pPr>
            <w:r w:rsidRPr="002D34E6">
              <w:rPr>
                <w:rFonts w:eastAsia="Times New Roman"/>
                <w:color w:val="000000"/>
                <w:sz w:val="24"/>
                <w:szCs w:val="24"/>
                <w:lang w:eastAsia="ru-RU"/>
              </w:rPr>
              <w:t>0,86</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w:t>
            </w:r>
          </w:p>
        </w:tc>
      </w:tr>
      <w:tr w:rsidR="002D34E6" w:rsidRPr="002D34E6" w:rsidTr="002D34E6">
        <w:trPr>
          <w:trHeight w:val="600"/>
        </w:trPr>
        <w:tc>
          <w:tcPr>
            <w:tcW w:w="4536" w:type="dxa"/>
            <w:tcBorders>
              <w:top w:val="single" w:sz="4" w:space="0" w:color="auto"/>
              <w:left w:val="single" w:sz="4" w:space="0" w:color="auto"/>
              <w:bottom w:val="single" w:sz="4" w:space="0" w:color="auto"/>
              <w:right w:val="single" w:sz="4" w:space="0" w:color="auto"/>
            </w:tcBorders>
          </w:tcPr>
          <w:p w:rsidR="002D34E6" w:rsidRPr="002D34E6" w:rsidRDefault="002D34E6" w:rsidP="002D34E6">
            <w:pPr>
              <w:keepNext/>
              <w:rPr>
                <w:rFonts w:eastAsia="Times New Roman"/>
                <w:color w:val="000000"/>
                <w:sz w:val="24"/>
                <w:szCs w:val="24"/>
                <w:lang w:eastAsia="uk-UA"/>
              </w:rPr>
            </w:pPr>
            <w:r w:rsidRPr="002D34E6">
              <w:rPr>
                <w:rFonts w:eastAsia="Times New Roman"/>
                <w:color w:val="000000"/>
                <w:sz w:val="24"/>
                <w:szCs w:val="24"/>
                <w:lang w:eastAsia="uk-UA"/>
              </w:rPr>
              <w:t>Індекс концентрації новонароджених масою тіла при народженні 500-1499г у ЗПД ІІІ рівня</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color w:val="000000"/>
                <w:sz w:val="24"/>
                <w:szCs w:val="24"/>
                <w:lang w:eastAsia="ru-RU"/>
              </w:rPr>
            </w:pPr>
            <w:r w:rsidRPr="002D34E6">
              <w:rPr>
                <w:rFonts w:eastAsia="Times New Roman"/>
                <w:color w:val="000000"/>
                <w:sz w:val="24"/>
                <w:szCs w:val="24"/>
                <w:lang w:eastAsia="ru-RU"/>
              </w:rPr>
              <w:t>32</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color w:val="000000"/>
                <w:sz w:val="24"/>
                <w:szCs w:val="24"/>
                <w:lang w:eastAsia="ru-RU"/>
              </w:rPr>
            </w:pPr>
            <w:r w:rsidRPr="002D34E6">
              <w:rPr>
                <w:rFonts w:eastAsia="Times New Roman"/>
                <w:color w:val="000000"/>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color w:val="000000"/>
                <w:sz w:val="24"/>
                <w:szCs w:val="24"/>
                <w:lang w:eastAsia="ru-RU"/>
              </w:rPr>
            </w:pPr>
            <w:r w:rsidRPr="002D34E6">
              <w:rPr>
                <w:rFonts w:eastAsia="Times New Roman"/>
                <w:color w:val="000000"/>
                <w:sz w:val="24"/>
                <w:szCs w:val="24"/>
                <w:lang w:eastAsia="ru-RU"/>
              </w:rPr>
              <w:t>2,40</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color w:val="000000"/>
                <w:sz w:val="24"/>
                <w:szCs w:val="24"/>
                <w:lang w:eastAsia="ru-RU"/>
              </w:rPr>
            </w:pPr>
            <w:r w:rsidRPr="002D34E6">
              <w:rPr>
                <w:rFonts w:eastAsia="Times New Roman"/>
                <w:color w:val="000000"/>
                <w:sz w:val="24"/>
                <w:szCs w:val="24"/>
                <w:lang w:eastAsia="ru-RU"/>
              </w:rPr>
              <w:t>0,40</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w:t>
            </w:r>
          </w:p>
        </w:tc>
      </w:tr>
      <w:tr w:rsidR="002D34E6" w:rsidRPr="002D34E6" w:rsidTr="002D34E6">
        <w:trPr>
          <w:trHeight w:val="312"/>
        </w:trPr>
        <w:tc>
          <w:tcPr>
            <w:tcW w:w="4536" w:type="dxa"/>
            <w:tcBorders>
              <w:top w:val="single" w:sz="4" w:space="0" w:color="auto"/>
              <w:left w:val="single" w:sz="4" w:space="0" w:color="auto"/>
              <w:bottom w:val="single" w:sz="4" w:space="0" w:color="auto"/>
              <w:right w:val="single" w:sz="4" w:space="0" w:color="auto"/>
            </w:tcBorders>
            <w:vAlign w:val="bottom"/>
          </w:tcPr>
          <w:p w:rsidR="002D34E6" w:rsidRPr="002D34E6" w:rsidRDefault="002D34E6" w:rsidP="002D34E6">
            <w:pPr>
              <w:keepNext/>
              <w:jc w:val="left"/>
              <w:rPr>
                <w:rFonts w:eastAsia="Times New Roman"/>
                <w:sz w:val="24"/>
                <w:szCs w:val="24"/>
                <w:lang w:eastAsia="ru-RU"/>
              </w:rPr>
            </w:pPr>
            <w:r w:rsidRPr="002D34E6">
              <w:rPr>
                <w:rFonts w:eastAsia="Times New Roman"/>
                <w:sz w:val="24"/>
                <w:szCs w:val="24"/>
                <w:lang w:eastAsia="ru-RU"/>
              </w:rPr>
              <w:t>Індекс неонатального трансферу</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8,33</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9,10</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0,0</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1,26</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0,00</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0,18</w:t>
            </w:r>
          </w:p>
        </w:tc>
      </w:tr>
      <w:tr w:rsidR="002D34E6" w:rsidRPr="002D34E6" w:rsidTr="002D34E6">
        <w:trPr>
          <w:trHeight w:val="288"/>
        </w:trPr>
        <w:tc>
          <w:tcPr>
            <w:tcW w:w="4536"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left"/>
              <w:rPr>
                <w:rFonts w:eastAsia="Times New Roman"/>
                <w:sz w:val="24"/>
                <w:szCs w:val="24"/>
                <w:lang w:eastAsia="ru-RU"/>
              </w:rPr>
            </w:pPr>
            <w:r w:rsidRPr="002D34E6">
              <w:rPr>
                <w:rFonts w:eastAsia="Times New Roman"/>
                <w:sz w:val="24"/>
                <w:szCs w:val="24"/>
                <w:lang w:eastAsia="ru-RU"/>
              </w:rPr>
              <w:t>Частота нормальних пологів</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color w:val="000000"/>
                <w:sz w:val="24"/>
                <w:szCs w:val="24"/>
                <w:lang w:eastAsia="ru-RU"/>
              </w:rPr>
            </w:pPr>
            <w:r w:rsidRPr="002D34E6">
              <w:rPr>
                <w:rFonts w:eastAsia="Times New Roman"/>
                <w:color w:val="000000"/>
                <w:sz w:val="24"/>
                <w:szCs w:val="24"/>
                <w:lang w:eastAsia="ru-RU"/>
              </w:rPr>
              <w:t>63,9</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62,82</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color w:val="000000"/>
                <w:sz w:val="24"/>
                <w:szCs w:val="24"/>
                <w:lang w:eastAsia="ru-RU"/>
              </w:rPr>
            </w:pPr>
            <w:r w:rsidRPr="002D34E6">
              <w:rPr>
                <w:rFonts w:eastAsia="Times New Roman"/>
                <w:color w:val="000000"/>
                <w:sz w:val="24"/>
                <w:szCs w:val="24"/>
                <w:lang w:eastAsia="ru-RU"/>
              </w:rPr>
              <w:t>63,9</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4,71</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color w:val="000000"/>
                <w:sz w:val="24"/>
                <w:szCs w:val="24"/>
                <w:lang w:eastAsia="ru-RU"/>
              </w:rPr>
            </w:pPr>
            <w:r w:rsidRPr="002D34E6">
              <w:rPr>
                <w:rFonts w:eastAsia="Times New Roman"/>
                <w:color w:val="000000"/>
                <w:sz w:val="24"/>
                <w:szCs w:val="24"/>
                <w:lang w:eastAsia="ru-RU"/>
              </w:rPr>
              <w:t>0,91</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0,94</w:t>
            </w:r>
          </w:p>
        </w:tc>
      </w:tr>
      <w:tr w:rsidR="002D34E6" w:rsidRPr="002D34E6" w:rsidTr="002D34E6">
        <w:trPr>
          <w:trHeight w:val="406"/>
        </w:trPr>
        <w:tc>
          <w:tcPr>
            <w:tcW w:w="4536" w:type="dxa"/>
            <w:tcBorders>
              <w:top w:val="single" w:sz="4" w:space="0" w:color="auto"/>
              <w:left w:val="single" w:sz="4" w:space="0" w:color="auto"/>
              <w:bottom w:val="single" w:sz="4" w:space="0" w:color="auto"/>
              <w:right w:val="single" w:sz="4" w:space="0" w:color="auto"/>
            </w:tcBorders>
            <w:vAlign w:val="bottom"/>
          </w:tcPr>
          <w:p w:rsidR="002D34E6" w:rsidRPr="002D34E6" w:rsidRDefault="002D34E6" w:rsidP="002D34E6">
            <w:pPr>
              <w:keepNext/>
              <w:jc w:val="left"/>
              <w:rPr>
                <w:rFonts w:eastAsia="Times New Roman"/>
                <w:sz w:val="24"/>
                <w:szCs w:val="24"/>
                <w:lang w:eastAsia="ru-RU"/>
              </w:rPr>
            </w:pPr>
            <w:r w:rsidRPr="002D34E6">
              <w:rPr>
                <w:rFonts w:eastAsia="Times New Roman"/>
                <w:sz w:val="24"/>
                <w:szCs w:val="24"/>
                <w:lang w:eastAsia="ru-RU"/>
              </w:rPr>
              <w:t>Частота розроджень вагітних шляхом кесаревого розтину</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color w:val="000000"/>
                <w:sz w:val="24"/>
                <w:szCs w:val="24"/>
                <w:lang w:eastAsia="ru-RU"/>
              </w:rPr>
            </w:pPr>
            <w:r w:rsidRPr="002D34E6">
              <w:rPr>
                <w:rFonts w:eastAsia="Times New Roman"/>
                <w:color w:val="000000"/>
                <w:sz w:val="24"/>
                <w:szCs w:val="24"/>
                <w:lang w:eastAsia="ru-RU"/>
              </w:rPr>
              <w:t>225</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253,21</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color w:val="000000"/>
                <w:sz w:val="24"/>
                <w:szCs w:val="24"/>
                <w:lang w:eastAsia="ru-RU"/>
              </w:rPr>
            </w:pPr>
            <w:r w:rsidRPr="002D34E6">
              <w:rPr>
                <w:rFonts w:eastAsia="Times New Roman"/>
                <w:color w:val="000000"/>
                <w:sz w:val="24"/>
                <w:szCs w:val="24"/>
                <w:lang w:eastAsia="ru-RU"/>
              </w:rPr>
              <w:t>225</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4,07</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color w:val="000000"/>
                <w:sz w:val="24"/>
                <w:szCs w:val="24"/>
                <w:lang w:eastAsia="ru-RU"/>
              </w:rPr>
            </w:pPr>
            <w:r w:rsidRPr="002D34E6">
              <w:rPr>
                <w:rFonts w:eastAsia="Times New Roman"/>
                <w:color w:val="000000"/>
                <w:sz w:val="24"/>
                <w:szCs w:val="24"/>
                <w:lang w:eastAsia="ru-RU"/>
              </w:rPr>
              <w:t>0,59</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0,58</w:t>
            </w:r>
          </w:p>
        </w:tc>
      </w:tr>
      <w:tr w:rsidR="002D34E6" w:rsidRPr="002D34E6" w:rsidTr="002D34E6">
        <w:trPr>
          <w:trHeight w:val="276"/>
        </w:trPr>
        <w:tc>
          <w:tcPr>
            <w:tcW w:w="4536" w:type="dxa"/>
            <w:tcBorders>
              <w:top w:val="single" w:sz="4" w:space="0" w:color="auto"/>
              <w:left w:val="single" w:sz="4" w:space="0" w:color="auto"/>
              <w:bottom w:val="single" w:sz="4" w:space="0" w:color="auto"/>
              <w:right w:val="single" w:sz="4" w:space="0" w:color="auto"/>
            </w:tcBorders>
            <w:vAlign w:val="bottom"/>
          </w:tcPr>
          <w:p w:rsidR="002D34E6" w:rsidRPr="002D34E6" w:rsidRDefault="002D34E6" w:rsidP="002D34E6">
            <w:pPr>
              <w:keepNext/>
              <w:jc w:val="left"/>
              <w:rPr>
                <w:rFonts w:eastAsia="Times New Roman"/>
                <w:sz w:val="24"/>
                <w:szCs w:val="24"/>
                <w:lang w:eastAsia="ru-RU"/>
              </w:rPr>
            </w:pPr>
            <w:r w:rsidRPr="002D34E6">
              <w:rPr>
                <w:rFonts w:eastAsia="Times New Roman"/>
                <w:sz w:val="24"/>
                <w:szCs w:val="24"/>
                <w:lang w:eastAsia="ru-RU"/>
              </w:rPr>
              <w:t>Частота  кровотеч в послідовому і післяродовому періодах</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color w:val="000000"/>
                <w:sz w:val="24"/>
                <w:szCs w:val="24"/>
                <w:lang w:eastAsia="ru-RU"/>
              </w:rPr>
            </w:pPr>
            <w:r w:rsidRPr="002D34E6">
              <w:rPr>
                <w:rFonts w:eastAsia="Times New Roman"/>
                <w:color w:val="000000"/>
                <w:sz w:val="24"/>
                <w:szCs w:val="24"/>
                <w:lang w:eastAsia="ru-RU"/>
              </w:rPr>
              <w:t>11,6</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16,32</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color w:val="000000"/>
                <w:sz w:val="24"/>
                <w:szCs w:val="24"/>
                <w:lang w:eastAsia="ru-RU"/>
              </w:rPr>
            </w:pPr>
            <w:r w:rsidRPr="002D34E6">
              <w:rPr>
                <w:rFonts w:eastAsia="Times New Roman"/>
                <w:color w:val="000000"/>
                <w:sz w:val="24"/>
                <w:szCs w:val="24"/>
                <w:lang w:eastAsia="ru-RU"/>
              </w:rPr>
              <w:t>11,6</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0,0</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color w:val="000000"/>
                <w:sz w:val="24"/>
                <w:szCs w:val="24"/>
                <w:lang w:eastAsia="ru-RU"/>
              </w:rPr>
            </w:pPr>
            <w:r w:rsidRPr="002D34E6">
              <w:rPr>
                <w:rFonts w:eastAsia="Times New Roman"/>
                <w:color w:val="000000"/>
                <w:sz w:val="24"/>
                <w:szCs w:val="24"/>
                <w:lang w:eastAsia="ru-RU"/>
              </w:rPr>
              <w:t>0,00</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0,00</w:t>
            </w:r>
          </w:p>
        </w:tc>
      </w:tr>
      <w:tr w:rsidR="002D34E6" w:rsidRPr="002D34E6" w:rsidTr="002D34E6">
        <w:trPr>
          <w:trHeight w:val="293"/>
        </w:trPr>
        <w:tc>
          <w:tcPr>
            <w:tcW w:w="4536" w:type="dxa"/>
            <w:tcBorders>
              <w:top w:val="single" w:sz="4" w:space="0" w:color="auto"/>
              <w:left w:val="single" w:sz="4" w:space="0" w:color="auto"/>
              <w:bottom w:val="single" w:sz="4" w:space="0" w:color="auto"/>
              <w:right w:val="single" w:sz="4" w:space="0" w:color="auto"/>
            </w:tcBorders>
            <w:vAlign w:val="bottom"/>
          </w:tcPr>
          <w:p w:rsidR="002D34E6" w:rsidRPr="002D34E6" w:rsidRDefault="002D34E6" w:rsidP="002D34E6">
            <w:pPr>
              <w:keepNext/>
              <w:jc w:val="left"/>
              <w:rPr>
                <w:rFonts w:eastAsia="Times New Roman"/>
                <w:sz w:val="24"/>
                <w:szCs w:val="24"/>
                <w:lang w:eastAsia="ru-RU"/>
              </w:rPr>
            </w:pPr>
            <w:r w:rsidRPr="002D34E6">
              <w:rPr>
                <w:rFonts w:eastAsia="Times New Roman"/>
                <w:sz w:val="24"/>
                <w:szCs w:val="24"/>
                <w:lang w:eastAsia="ru-RU"/>
              </w:rPr>
              <w:t>Частота мало вагових новонароджених</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color w:val="000000"/>
                <w:sz w:val="24"/>
                <w:szCs w:val="24"/>
                <w:lang w:eastAsia="ru-RU"/>
              </w:rPr>
            </w:pPr>
            <w:r w:rsidRPr="002D34E6">
              <w:rPr>
                <w:rFonts w:eastAsia="Times New Roman"/>
                <w:color w:val="000000"/>
                <w:sz w:val="24"/>
                <w:szCs w:val="24"/>
                <w:lang w:eastAsia="ru-RU"/>
              </w:rPr>
              <w:t>6,17</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5,36</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color w:val="000000"/>
                <w:sz w:val="24"/>
                <w:szCs w:val="24"/>
                <w:lang w:eastAsia="ru-RU"/>
              </w:rPr>
            </w:pPr>
            <w:r w:rsidRPr="002D34E6">
              <w:rPr>
                <w:rFonts w:eastAsia="Times New Roman"/>
                <w:color w:val="000000"/>
                <w:sz w:val="24"/>
                <w:szCs w:val="24"/>
                <w:lang w:eastAsia="ru-RU"/>
              </w:rPr>
              <w:t>6,17</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3,64</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color w:val="000000"/>
                <w:sz w:val="24"/>
                <w:szCs w:val="24"/>
                <w:lang w:eastAsia="ru-RU"/>
              </w:rPr>
            </w:pPr>
            <w:r w:rsidRPr="002D34E6">
              <w:rPr>
                <w:rFonts w:eastAsia="Times New Roman"/>
                <w:color w:val="000000"/>
                <w:sz w:val="24"/>
                <w:szCs w:val="24"/>
                <w:lang w:eastAsia="ru-RU"/>
              </w:rPr>
              <w:t>0,46</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0,73</w:t>
            </w:r>
          </w:p>
        </w:tc>
      </w:tr>
      <w:tr w:rsidR="002D34E6" w:rsidRPr="002D34E6" w:rsidTr="002D34E6">
        <w:trPr>
          <w:trHeight w:val="344"/>
        </w:trPr>
        <w:tc>
          <w:tcPr>
            <w:tcW w:w="4536" w:type="dxa"/>
            <w:tcBorders>
              <w:top w:val="single" w:sz="4" w:space="0" w:color="auto"/>
              <w:left w:val="single" w:sz="4" w:space="0" w:color="auto"/>
              <w:bottom w:val="single" w:sz="4" w:space="0" w:color="auto"/>
              <w:right w:val="single" w:sz="4" w:space="0" w:color="auto"/>
            </w:tcBorders>
            <w:vAlign w:val="bottom"/>
          </w:tcPr>
          <w:p w:rsidR="002D34E6" w:rsidRPr="002D34E6" w:rsidRDefault="002D34E6" w:rsidP="002D34E6">
            <w:pPr>
              <w:keepNext/>
              <w:jc w:val="left"/>
              <w:rPr>
                <w:rFonts w:eastAsia="Times New Roman"/>
                <w:sz w:val="24"/>
                <w:szCs w:val="24"/>
                <w:lang w:eastAsia="ru-RU"/>
              </w:rPr>
            </w:pPr>
            <w:r w:rsidRPr="002D34E6">
              <w:rPr>
                <w:rFonts w:eastAsia="Times New Roman"/>
                <w:sz w:val="24"/>
                <w:szCs w:val="24"/>
                <w:lang w:eastAsia="ru-RU"/>
              </w:rPr>
              <w:t>Виживання новонароджених з дуже малою масою тіла при народженні</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color w:val="000000"/>
                <w:sz w:val="24"/>
                <w:szCs w:val="24"/>
                <w:lang w:eastAsia="ru-RU"/>
              </w:rPr>
            </w:pPr>
            <w:r w:rsidRPr="002D34E6">
              <w:rPr>
                <w:rFonts w:eastAsia="Times New Roman"/>
                <w:color w:val="000000"/>
                <w:sz w:val="24"/>
                <w:szCs w:val="24"/>
                <w:lang w:eastAsia="ru-RU"/>
              </w:rPr>
              <w:t>84</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81,94</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color w:val="000000"/>
                <w:sz w:val="24"/>
                <w:szCs w:val="24"/>
                <w:lang w:eastAsia="ru-RU"/>
              </w:rPr>
            </w:pPr>
            <w:r w:rsidRPr="002D34E6">
              <w:rPr>
                <w:rFonts w:eastAsia="Times New Roman"/>
                <w:color w:val="000000"/>
                <w:sz w:val="24"/>
                <w:szCs w:val="24"/>
                <w:lang w:eastAsia="ru-RU"/>
              </w:rPr>
              <w:t>84</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7,72</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color w:val="000000"/>
                <w:sz w:val="24"/>
                <w:szCs w:val="24"/>
                <w:lang w:eastAsia="ru-RU"/>
              </w:rPr>
            </w:pPr>
            <w:r w:rsidRPr="002D34E6">
              <w:rPr>
                <w:rFonts w:eastAsia="Times New Roman"/>
                <w:color w:val="000000"/>
                <w:sz w:val="24"/>
                <w:szCs w:val="24"/>
                <w:lang w:eastAsia="ru-RU"/>
              </w:rPr>
              <w:t>0,93</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0,97</w:t>
            </w:r>
          </w:p>
        </w:tc>
      </w:tr>
      <w:tr w:rsidR="002D34E6" w:rsidRPr="002D34E6" w:rsidTr="002D34E6">
        <w:trPr>
          <w:trHeight w:val="226"/>
        </w:trPr>
        <w:tc>
          <w:tcPr>
            <w:tcW w:w="4536" w:type="dxa"/>
            <w:tcBorders>
              <w:top w:val="single" w:sz="4" w:space="0" w:color="auto"/>
              <w:left w:val="single" w:sz="4" w:space="0" w:color="auto"/>
              <w:bottom w:val="single" w:sz="4" w:space="0" w:color="auto"/>
              <w:right w:val="single" w:sz="4" w:space="0" w:color="auto"/>
            </w:tcBorders>
            <w:vAlign w:val="bottom"/>
          </w:tcPr>
          <w:p w:rsidR="002D34E6" w:rsidRPr="002D34E6" w:rsidRDefault="002D34E6" w:rsidP="002D34E6">
            <w:pPr>
              <w:keepNext/>
              <w:jc w:val="left"/>
              <w:rPr>
                <w:rFonts w:eastAsia="Times New Roman"/>
                <w:sz w:val="24"/>
                <w:szCs w:val="24"/>
                <w:lang w:eastAsia="ru-RU"/>
              </w:rPr>
            </w:pPr>
            <w:r w:rsidRPr="002D34E6">
              <w:rPr>
                <w:rFonts w:eastAsia="Times New Roman"/>
                <w:sz w:val="24"/>
                <w:szCs w:val="24"/>
                <w:lang w:eastAsia="ru-RU"/>
              </w:rPr>
              <w:t>Індекс здоров’я новонароджених</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color w:val="000000"/>
                <w:sz w:val="24"/>
                <w:szCs w:val="24"/>
                <w:lang w:eastAsia="ru-RU"/>
              </w:rPr>
            </w:pPr>
            <w:r w:rsidRPr="002D34E6">
              <w:rPr>
                <w:rFonts w:eastAsia="Times New Roman"/>
                <w:color w:val="000000"/>
                <w:sz w:val="24"/>
                <w:szCs w:val="24"/>
                <w:lang w:eastAsia="ru-RU"/>
              </w:rPr>
              <w:t>83,2</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83,42</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color w:val="000000"/>
                <w:sz w:val="24"/>
                <w:szCs w:val="24"/>
                <w:lang w:eastAsia="ru-RU"/>
              </w:rPr>
            </w:pPr>
            <w:r w:rsidRPr="002D34E6">
              <w:rPr>
                <w:rFonts w:eastAsia="Times New Roman"/>
                <w:color w:val="000000"/>
                <w:sz w:val="24"/>
                <w:szCs w:val="24"/>
                <w:lang w:eastAsia="ru-RU"/>
              </w:rPr>
              <w:t>83,2</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5,89</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color w:val="000000"/>
                <w:sz w:val="24"/>
                <w:szCs w:val="24"/>
                <w:lang w:eastAsia="ru-RU"/>
              </w:rPr>
            </w:pPr>
            <w:r w:rsidRPr="002D34E6">
              <w:rPr>
                <w:rFonts w:eastAsia="Times New Roman"/>
                <w:color w:val="000000"/>
                <w:sz w:val="24"/>
                <w:szCs w:val="24"/>
                <w:lang w:eastAsia="ru-RU"/>
              </w:rPr>
              <w:t>0,92</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0,98</w:t>
            </w:r>
          </w:p>
        </w:tc>
      </w:tr>
      <w:tr w:rsidR="002D34E6" w:rsidRPr="002D34E6" w:rsidTr="002D34E6">
        <w:trPr>
          <w:trHeight w:val="244"/>
        </w:trPr>
        <w:tc>
          <w:tcPr>
            <w:tcW w:w="4536" w:type="dxa"/>
            <w:tcBorders>
              <w:top w:val="single" w:sz="4" w:space="0" w:color="auto"/>
              <w:left w:val="single" w:sz="4" w:space="0" w:color="auto"/>
              <w:bottom w:val="single" w:sz="4" w:space="0" w:color="auto"/>
              <w:right w:val="single" w:sz="4" w:space="0" w:color="auto"/>
            </w:tcBorders>
            <w:vAlign w:val="bottom"/>
          </w:tcPr>
          <w:p w:rsidR="002D34E6" w:rsidRPr="002D34E6" w:rsidRDefault="002D34E6" w:rsidP="002D34E6">
            <w:pPr>
              <w:keepNext/>
              <w:jc w:val="left"/>
              <w:rPr>
                <w:rFonts w:eastAsia="Times New Roman"/>
                <w:sz w:val="24"/>
                <w:szCs w:val="24"/>
                <w:lang w:eastAsia="ru-RU"/>
              </w:rPr>
            </w:pPr>
            <w:r w:rsidRPr="002D34E6">
              <w:rPr>
                <w:rFonts w:eastAsia="Times New Roman"/>
                <w:sz w:val="24"/>
                <w:szCs w:val="24"/>
                <w:lang w:eastAsia="ru-RU"/>
              </w:rPr>
              <w:t xml:space="preserve">Рівень перинатальної смертності </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color w:val="000000"/>
                <w:sz w:val="24"/>
                <w:szCs w:val="24"/>
                <w:lang w:eastAsia="ru-RU"/>
              </w:rPr>
            </w:pPr>
            <w:r w:rsidRPr="002D34E6">
              <w:rPr>
                <w:rFonts w:eastAsia="Times New Roman"/>
                <w:color w:val="000000"/>
                <w:sz w:val="24"/>
                <w:szCs w:val="24"/>
                <w:lang w:eastAsia="ru-RU"/>
              </w:rPr>
              <w:t>8,19</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7,70</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color w:val="000000"/>
                <w:sz w:val="24"/>
                <w:szCs w:val="24"/>
                <w:lang w:eastAsia="ru-RU"/>
              </w:rPr>
            </w:pPr>
            <w:r w:rsidRPr="002D34E6">
              <w:rPr>
                <w:rFonts w:eastAsia="Times New Roman"/>
                <w:color w:val="000000"/>
                <w:sz w:val="24"/>
                <w:szCs w:val="24"/>
                <w:lang w:eastAsia="ru-RU"/>
              </w:rPr>
              <w:t>8,19</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6,0</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color w:val="000000"/>
                <w:sz w:val="24"/>
                <w:szCs w:val="24"/>
                <w:lang w:eastAsia="ru-RU"/>
              </w:rPr>
            </w:pPr>
            <w:r w:rsidRPr="002D34E6">
              <w:rPr>
                <w:rFonts w:eastAsia="Times New Roman"/>
                <w:color w:val="000000"/>
                <w:sz w:val="24"/>
                <w:szCs w:val="24"/>
                <w:lang w:eastAsia="ru-RU"/>
              </w:rPr>
              <w:t>0,98</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1,00</w:t>
            </w:r>
          </w:p>
        </w:tc>
      </w:tr>
      <w:tr w:rsidR="002D34E6" w:rsidRPr="002D34E6" w:rsidTr="002D34E6">
        <w:trPr>
          <w:trHeight w:val="450"/>
        </w:trPr>
        <w:tc>
          <w:tcPr>
            <w:tcW w:w="4536"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rPr>
                <w:rFonts w:eastAsia="Times New Roman"/>
                <w:sz w:val="24"/>
                <w:szCs w:val="24"/>
                <w:lang w:eastAsia="ru-RU"/>
              </w:rPr>
            </w:pPr>
            <w:r w:rsidRPr="002D34E6">
              <w:rPr>
                <w:rFonts w:eastAsia="Times New Roman"/>
                <w:sz w:val="24"/>
                <w:szCs w:val="24"/>
                <w:lang w:eastAsia="ru-RU"/>
              </w:rPr>
              <w:t>Співвідношення реального і фактичного показника ранньої неонатальної смертності</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2,20</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3,20</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0,53</w:t>
            </w:r>
          </w:p>
        </w:tc>
      </w:tr>
      <w:tr w:rsidR="002D34E6" w:rsidRPr="002D34E6" w:rsidTr="002D34E6">
        <w:trPr>
          <w:trHeight w:val="216"/>
        </w:trPr>
        <w:tc>
          <w:tcPr>
            <w:tcW w:w="4536"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rPr>
                <w:rFonts w:eastAsia="Times New Roman"/>
                <w:sz w:val="24"/>
                <w:szCs w:val="24"/>
                <w:lang w:eastAsia="ru-RU"/>
              </w:rPr>
            </w:pPr>
            <w:r w:rsidRPr="002D34E6">
              <w:rPr>
                <w:rFonts w:eastAsia="Times New Roman"/>
                <w:sz w:val="24"/>
                <w:szCs w:val="24"/>
                <w:lang w:eastAsia="ru-RU"/>
              </w:rPr>
              <w:t>Рівень неонатальної мертності</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4,82</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4,77</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0,80</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w:t>
            </w:r>
          </w:p>
        </w:tc>
      </w:tr>
      <w:tr w:rsidR="002D34E6" w:rsidRPr="002D34E6" w:rsidTr="002D34E6">
        <w:trPr>
          <w:trHeight w:val="224"/>
        </w:trPr>
        <w:tc>
          <w:tcPr>
            <w:tcW w:w="4536"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left"/>
              <w:rPr>
                <w:rFonts w:eastAsia="Times New Roman"/>
                <w:sz w:val="24"/>
                <w:szCs w:val="24"/>
                <w:lang w:eastAsia="ru-RU"/>
              </w:rPr>
            </w:pPr>
            <w:r w:rsidRPr="002D34E6">
              <w:rPr>
                <w:rFonts w:eastAsia="Times New Roman"/>
                <w:sz w:val="24"/>
                <w:szCs w:val="24"/>
                <w:lang w:eastAsia="ru-RU"/>
              </w:rPr>
              <w:t xml:space="preserve">Рівень ранньої неонатальної смертності </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2,69</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5,87</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0,98</w:t>
            </w:r>
          </w:p>
        </w:tc>
      </w:tr>
      <w:tr w:rsidR="002D34E6" w:rsidRPr="002D34E6" w:rsidTr="002D34E6">
        <w:trPr>
          <w:trHeight w:val="242"/>
        </w:trPr>
        <w:tc>
          <w:tcPr>
            <w:tcW w:w="4536" w:type="dxa"/>
            <w:tcBorders>
              <w:top w:val="single" w:sz="4" w:space="0" w:color="auto"/>
              <w:left w:val="single" w:sz="4" w:space="0" w:color="auto"/>
              <w:bottom w:val="single" w:sz="4" w:space="0" w:color="auto"/>
              <w:right w:val="single" w:sz="4" w:space="0" w:color="auto"/>
            </w:tcBorders>
            <w:vAlign w:val="bottom"/>
          </w:tcPr>
          <w:p w:rsidR="002D34E6" w:rsidRPr="002D34E6" w:rsidRDefault="002D34E6" w:rsidP="002D34E6">
            <w:pPr>
              <w:keepNext/>
              <w:jc w:val="left"/>
              <w:rPr>
                <w:rFonts w:eastAsia="Times New Roman"/>
                <w:sz w:val="24"/>
                <w:szCs w:val="24"/>
                <w:lang w:eastAsia="ru-RU"/>
              </w:rPr>
            </w:pPr>
            <w:r w:rsidRPr="002D34E6">
              <w:rPr>
                <w:rFonts w:eastAsia="Times New Roman"/>
                <w:sz w:val="24"/>
                <w:szCs w:val="24"/>
                <w:lang w:eastAsia="ru-RU"/>
              </w:rPr>
              <w:t xml:space="preserve">Рівень материнської смертності </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0</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0,00</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5,0</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5,0</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1,00</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1,00</w:t>
            </w:r>
          </w:p>
        </w:tc>
      </w:tr>
      <w:tr w:rsidR="002D34E6" w:rsidRPr="002D34E6" w:rsidTr="002D34E6">
        <w:trPr>
          <w:trHeight w:val="300"/>
        </w:trPr>
        <w:tc>
          <w:tcPr>
            <w:tcW w:w="4536" w:type="dxa"/>
            <w:tcBorders>
              <w:top w:val="single" w:sz="4" w:space="0" w:color="auto"/>
              <w:left w:val="single" w:sz="4" w:space="0" w:color="auto"/>
              <w:bottom w:val="single" w:sz="4" w:space="0" w:color="auto"/>
              <w:right w:val="single" w:sz="4" w:space="0" w:color="auto"/>
            </w:tcBorders>
            <w:noWrap/>
            <w:vAlign w:val="bottom"/>
            <w:hideMark/>
          </w:tcPr>
          <w:p w:rsidR="002D34E6" w:rsidRPr="002D34E6" w:rsidRDefault="002D34E6" w:rsidP="002D34E6">
            <w:pPr>
              <w:keepNext/>
              <w:jc w:val="left"/>
              <w:rPr>
                <w:rFonts w:eastAsia="Times New Roman"/>
                <w:sz w:val="24"/>
                <w:szCs w:val="24"/>
                <w:lang w:eastAsia="ru-RU"/>
              </w:rPr>
            </w:pPr>
          </w:p>
        </w:tc>
        <w:tc>
          <w:tcPr>
            <w:tcW w:w="968" w:type="dxa"/>
            <w:tcBorders>
              <w:top w:val="single" w:sz="4" w:space="0" w:color="auto"/>
              <w:left w:val="single" w:sz="4" w:space="0" w:color="auto"/>
              <w:bottom w:val="single" w:sz="4" w:space="0" w:color="auto"/>
              <w:right w:val="single" w:sz="4" w:space="0" w:color="auto"/>
            </w:tcBorders>
            <w:noWrap/>
            <w:vAlign w:val="center"/>
          </w:tcPr>
          <w:p w:rsidR="002D34E6" w:rsidRPr="002D34E6" w:rsidRDefault="002D34E6" w:rsidP="002D34E6">
            <w:pPr>
              <w:keepNext/>
              <w:jc w:val="center"/>
              <w:rPr>
                <w:rFonts w:eastAsia="Times New Roman"/>
                <w:sz w:val="24"/>
                <w:szCs w:val="24"/>
                <w:lang w:eastAsia="ru-RU"/>
              </w:rPr>
            </w:pP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color w:val="000000"/>
                <w:sz w:val="24"/>
                <w:szCs w:val="24"/>
                <w:lang w:eastAsia="ru-RU"/>
              </w:rPr>
            </w:pPr>
          </w:p>
        </w:tc>
        <w:tc>
          <w:tcPr>
            <w:tcW w:w="968" w:type="dxa"/>
            <w:tcBorders>
              <w:top w:val="single" w:sz="4" w:space="0" w:color="auto"/>
              <w:left w:val="single" w:sz="4" w:space="0" w:color="auto"/>
              <w:bottom w:val="single" w:sz="4" w:space="0" w:color="auto"/>
              <w:right w:val="single" w:sz="4" w:space="0" w:color="auto"/>
            </w:tcBorders>
            <w:noWrap/>
            <w:vAlign w:val="center"/>
          </w:tcPr>
          <w:p w:rsidR="002D34E6" w:rsidRPr="002D34E6" w:rsidRDefault="002D34E6" w:rsidP="002D34E6">
            <w:pPr>
              <w:keepNext/>
              <w:jc w:val="center"/>
              <w:rPr>
                <w:rFonts w:eastAsia="Times New Roman"/>
                <w:color w:val="000000"/>
                <w:sz w:val="24"/>
                <w:szCs w:val="24"/>
                <w:lang w:eastAsia="ru-RU"/>
              </w:rPr>
            </w:pPr>
            <w:r w:rsidRPr="002D34E6">
              <w:rPr>
                <w:rFonts w:eastAsia="Times New Roman"/>
                <w:color w:val="000000"/>
                <w:sz w:val="24"/>
                <w:szCs w:val="24"/>
                <w:lang w:eastAsia="ru-RU"/>
              </w:rPr>
              <w:t>80,62</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color w:val="000000"/>
                <w:sz w:val="24"/>
                <w:szCs w:val="24"/>
                <w:lang w:eastAsia="ru-RU"/>
              </w:rPr>
            </w:pPr>
            <w:r w:rsidRPr="002D34E6">
              <w:rPr>
                <w:rFonts w:eastAsia="Times New Roman"/>
                <w:color w:val="000000"/>
                <w:sz w:val="24"/>
                <w:szCs w:val="24"/>
                <w:lang w:eastAsia="ru-RU"/>
              </w:rPr>
              <w:t>98,45</w:t>
            </w:r>
          </w:p>
        </w:tc>
        <w:tc>
          <w:tcPr>
            <w:tcW w:w="968" w:type="dxa"/>
            <w:tcBorders>
              <w:top w:val="single" w:sz="4" w:space="0" w:color="auto"/>
              <w:left w:val="single" w:sz="4" w:space="0" w:color="auto"/>
              <w:bottom w:val="single" w:sz="4" w:space="0" w:color="auto"/>
              <w:right w:val="single" w:sz="4" w:space="0" w:color="auto"/>
            </w:tcBorders>
            <w:noWrap/>
            <w:vAlign w:val="center"/>
          </w:tcPr>
          <w:p w:rsidR="002D34E6" w:rsidRPr="002D34E6" w:rsidRDefault="002D34E6" w:rsidP="002D34E6">
            <w:pPr>
              <w:keepNext/>
              <w:jc w:val="center"/>
              <w:rPr>
                <w:rFonts w:eastAsia="Times New Roman"/>
                <w:color w:val="000000"/>
                <w:sz w:val="24"/>
                <w:szCs w:val="24"/>
                <w:lang w:eastAsia="ru-RU"/>
              </w:rPr>
            </w:pPr>
            <w:r w:rsidRPr="002D34E6">
              <w:rPr>
                <w:rFonts w:eastAsia="Times New Roman"/>
                <w:color w:val="000000"/>
                <w:sz w:val="24"/>
                <w:szCs w:val="24"/>
                <w:lang w:eastAsia="ru-RU"/>
              </w:rPr>
              <w:t>0,67</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color w:val="000000"/>
                <w:sz w:val="24"/>
                <w:szCs w:val="24"/>
                <w:lang w:eastAsia="ru-RU"/>
              </w:rPr>
            </w:pPr>
            <w:r w:rsidRPr="002D34E6">
              <w:rPr>
                <w:rFonts w:eastAsia="Times New Roman"/>
                <w:color w:val="000000"/>
                <w:sz w:val="24"/>
                <w:szCs w:val="24"/>
                <w:lang w:eastAsia="ru-RU"/>
              </w:rPr>
              <w:t>0,76</w:t>
            </w:r>
          </w:p>
        </w:tc>
      </w:tr>
    </w:tbl>
    <w:p w:rsidR="002D34E6" w:rsidRPr="002D34E6" w:rsidRDefault="002D34E6" w:rsidP="002D34E6">
      <w:pPr>
        <w:jc w:val="right"/>
        <w:rPr>
          <w:i/>
          <w:lang w:val="ru-RU"/>
        </w:rPr>
      </w:pPr>
      <w:r w:rsidRPr="002D34E6">
        <w:rPr>
          <w:i/>
          <w:lang w:val="ru-RU"/>
        </w:rPr>
        <w:t>Продовження додаток Е-23</w:t>
      </w:r>
    </w:p>
    <w:p w:rsidR="00C43972" w:rsidRPr="002D34E6" w:rsidRDefault="00FE0E9A" w:rsidP="00362A09">
      <w:pPr>
        <w:keepNext/>
        <w:pageBreakBefore/>
        <w:jc w:val="right"/>
        <w:rPr>
          <w:rFonts w:eastAsia="Times New Roman"/>
          <w:bCs/>
          <w:iCs/>
          <w:color w:val="000000"/>
          <w:szCs w:val="28"/>
          <w:lang w:eastAsia="uk-UA"/>
        </w:rPr>
      </w:pPr>
      <w:r w:rsidRPr="002D34E6">
        <w:rPr>
          <w:rFonts w:eastAsia="Times New Roman"/>
          <w:bCs/>
          <w:iCs/>
          <w:color w:val="000000"/>
          <w:szCs w:val="28"/>
          <w:lang w:eastAsia="uk-UA"/>
        </w:rPr>
        <w:lastRenderedPageBreak/>
        <w:t>Додаток Е</w:t>
      </w:r>
      <w:r w:rsidR="00C43972" w:rsidRPr="002D34E6">
        <w:rPr>
          <w:rFonts w:eastAsia="Times New Roman"/>
          <w:bCs/>
          <w:iCs/>
          <w:color w:val="000000"/>
          <w:szCs w:val="28"/>
          <w:lang w:eastAsia="uk-UA"/>
        </w:rPr>
        <w:t>-24</w:t>
      </w:r>
    </w:p>
    <w:p w:rsidR="00C43972" w:rsidRPr="002D34E6" w:rsidRDefault="00C43972" w:rsidP="002D34E6">
      <w:pPr>
        <w:keepNext/>
        <w:jc w:val="center"/>
        <w:rPr>
          <w:rFonts w:eastAsia="Times New Roman"/>
          <w:b/>
          <w:sz w:val="24"/>
          <w:szCs w:val="24"/>
          <w:lang w:eastAsia="ru-RU"/>
        </w:rPr>
      </w:pPr>
      <w:r w:rsidRPr="002D34E6">
        <w:rPr>
          <w:rFonts w:eastAsia="Times New Roman"/>
          <w:b/>
          <w:bCs/>
          <w:iCs/>
          <w:color w:val="000000"/>
          <w:szCs w:val="28"/>
          <w:lang w:eastAsia="uk-UA"/>
        </w:rPr>
        <w:t xml:space="preserve">Комплексна оцінка діяльності закладів перинатальної допомоги Хмельницької </w:t>
      </w:r>
      <w:r w:rsidRPr="002D34E6">
        <w:rPr>
          <w:rFonts w:eastAsia="Times New Roman"/>
          <w:b/>
          <w:bCs/>
          <w:iCs/>
          <w:color w:val="000000"/>
          <w:sz w:val="26"/>
          <w:szCs w:val="26"/>
          <w:lang w:eastAsia="uk-UA"/>
        </w:rPr>
        <w:t xml:space="preserve">області у </w:t>
      </w:r>
      <w:r w:rsidRPr="002D34E6">
        <w:rPr>
          <w:rFonts w:eastAsia="Times New Roman"/>
          <w:b/>
          <w:bCs/>
          <w:iCs/>
          <w:color w:val="000000"/>
          <w:szCs w:val="28"/>
          <w:lang w:eastAsia="uk-UA"/>
        </w:rPr>
        <w:t>2017–2018 рр.</w:t>
      </w:r>
    </w:p>
    <w:tbl>
      <w:tblPr>
        <w:tblW w:w="10347" w:type="dxa"/>
        <w:jc w:val="center"/>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36"/>
        <w:gridCol w:w="850"/>
        <w:gridCol w:w="1087"/>
        <w:gridCol w:w="968"/>
        <w:gridCol w:w="969"/>
        <w:gridCol w:w="968"/>
        <w:gridCol w:w="969"/>
      </w:tblGrid>
      <w:tr w:rsidR="002D34E6" w:rsidRPr="002D34E6" w:rsidTr="002D34E6">
        <w:trPr>
          <w:cantSplit/>
          <w:trHeight w:val="652"/>
          <w:jc w:val="center"/>
        </w:trPr>
        <w:tc>
          <w:tcPr>
            <w:tcW w:w="4536" w:type="dxa"/>
            <w:vMerge w:val="restart"/>
            <w:tcBorders>
              <w:top w:val="single" w:sz="4" w:space="0" w:color="auto"/>
              <w:left w:val="single" w:sz="4" w:space="0" w:color="auto"/>
              <w:right w:val="single" w:sz="4" w:space="0" w:color="auto"/>
            </w:tcBorders>
            <w:vAlign w:val="center"/>
            <w:hideMark/>
          </w:tcPr>
          <w:p w:rsidR="002D34E6" w:rsidRPr="002D34E6" w:rsidRDefault="002D34E6" w:rsidP="002D34E6">
            <w:pPr>
              <w:keepNext/>
              <w:jc w:val="center"/>
              <w:rPr>
                <w:rFonts w:eastAsia="Times New Roman"/>
                <w:color w:val="000000"/>
                <w:sz w:val="24"/>
                <w:szCs w:val="24"/>
                <w:lang w:eastAsia="uk-UA"/>
              </w:rPr>
            </w:pPr>
            <w:r w:rsidRPr="002D34E6">
              <w:rPr>
                <w:rFonts w:eastAsia="Times New Roman"/>
                <w:color w:val="000000"/>
                <w:sz w:val="24"/>
                <w:szCs w:val="24"/>
                <w:lang w:eastAsia="uk-UA"/>
              </w:rPr>
              <w:t>Індикатор якості</w:t>
            </w:r>
          </w:p>
        </w:tc>
        <w:tc>
          <w:tcPr>
            <w:tcW w:w="1937" w:type="dxa"/>
            <w:gridSpan w:val="2"/>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color w:val="000000"/>
                <w:sz w:val="24"/>
                <w:szCs w:val="24"/>
                <w:lang w:eastAsia="uk-UA"/>
              </w:rPr>
            </w:pPr>
            <w:r w:rsidRPr="002D34E6">
              <w:rPr>
                <w:rFonts w:eastAsia="Times New Roman"/>
                <w:color w:val="000000"/>
                <w:sz w:val="24"/>
                <w:szCs w:val="24"/>
                <w:lang w:eastAsia="uk-UA"/>
              </w:rPr>
              <w:t xml:space="preserve">Фактичний показник, </w:t>
            </w:r>
            <w:r w:rsidRPr="002D34E6">
              <w:rPr>
                <w:rFonts w:eastAsia="Times New Roman"/>
                <w:sz w:val="24"/>
                <w:szCs w:val="24"/>
                <w:lang w:eastAsia="uk-UA"/>
              </w:rPr>
              <w:t>Україна</w:t>
            </w:r>
          </w:p>
        </w:tc>
        <w:tc>
          <w:tcPr>
            <w:tcW w:w="1937" w:type="dxa"/>
            <w:gridSpan w:val="2"/>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color w:val="000000"/>
                <w:sz w:val="24"/>
                <w:szCs w:val="24"/>
                <w:lang w:eastAsia="uk-UA"/>
              </w:rPr>
            </w:pPr>
            <w:r w:rsidRPr="002D34E6">
              <w:rPr>
                <w:rFonts w:eastAsia="Times New Roman"/>
                <w:color w:val="000000"/>
                <w:sz w:val="24"/>
                <w:szCs w:val="24"/>
                <w:lang w:eastAsia="uk-UA"/>
              </w:rPr>
              <w:t>Бальна оцінка фактичного показника</w:t>
            </w:r>
          </w:p>
        </w:tc>
        <w:tc>
          <w:tcPr>
            <w:tcW w:w="1937" w:type="dxa"/>
            <w:gridSpan w:val="2"/>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color w:val="000000"/>
                <w:sz w:val="24"/>
                <w:szCs w:val="24"/>
                <w:lang w:eastAsia="uk-UA"/>
              </w:rPr>
            </w:pPr>
            <w:r w:rsidRPr="002D34E6">
              <w:rPr>
                <w:rFonts w:eastAsia="Times New Roman"/>
                <w:color w:val="000000"/>
                <w:sz w:val="24"/>
                <w:szCs w:val="24"/>
                <w:lang w:eastAsia="uk-UA"/>
              </w:rPr>
              <w:t>КДНЗ</w:t>
            </w:r>
          </w:p>
        </w:tc>
      </w:tr>
      <w:tr w:rsidR="002D34E6" w:rsidRPr="002D34E6" w:rsidTr="002D34E6">
        <w:trPr>
          <w:trHeight w:val="404"/>
          <w:jc w:val="center"/>
        </w:trPr>
        <w:tc>
          <w:tcPr>
            <w:tcW w:w="4536" w:type="dxa"/>
            <w:vMerge/>
            <w:tcBorders>
              <w:left w:val="single" w:sz="4" w:space="0" w:color="auto"/>
              <w:bottom w:val="single" w:sz="4" w:space="0" w:color="auto"/>
              <w:right w:val="single" w:sz="4" w:space="0" w:color="auto"/>
            </w:tcBorders>
            <w:vAlign w:val="bottom"/>
          </w:tcPr>
          <w:p w:rsidR="002D34E6" w:rsidRPr="002D34E6" w:rsidRDefault="002D34E6" w:rsidP="002D34E6">
            <w:pPr>
              <w:keepNext/>
              <w:jc w:val="left"/>
              <w:rPr>
                <w:rFonts w:eastAsia="Times New Roman"/>
                <w:sz w:val="24"/>
                <w:szCs w:val="24"/>
                <w:lang w:eastAsia="ru-RU"/>
              </w:rPr>
            </w:pPr>
          </w:p>
        </w:tc>
        <w:tc>
          <w:tcPr>
            <w:tcW w:w="850"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2017 р.</w:t>
            </w:r>
          </w:p>
        </w:tc>
        <w:tc>
          <w:tcPr>
            <w:tcW w:w="1087"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color w:val="000000"/>
                <w:sz w:val="24"/>
                <w:szCs w:val="24"/>
                <w:lang w:eastAsia="ru-RU"/>
              </w:rPr>
            </w:pPr>
            <w:r w:rsidRPr="002D34E6">
              <w:rPr>
                <w:rFonts w:eastAsia="Times New Roman"/>
                <w:color w:val="000000"/>
                <w:sz w:val="24"/>
                <w:szCs w:val="24"/>
                <w:lang w:eastAsia="ru-RU"/>
              </w:rPr>
              <w:t>2018 р.</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2017 р.</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2017 р.</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color w:val="000000"/>
                <w:sz w:val="24"/>
                <w:szCs w:val="24"/>
                <w:lang w:eastAsia="ru-RU"/>
              </w:rPr>
            </w:pPr>
            <w:r w:rsidRPr="002D34E6">
              <w:rPr>
                <w:rFonts w:eastAsia="Times New Roman"/>
                <w:color w:val="000000"/>
                <w:sz w:val="24"/>
                <w:szCs w:val="24"/>
                <w:lang w:eastAsia="ru-RU"/>
              </w:rPr>
              <w:t>2018 р.</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2017 р.</w:t>
            </w:r>
          </w:p>
        </w:tc>
      </w:tr>
      <w:tr w:rsidR="002D34E6" w:rsidRPr="002D34E6" w:rsidTr="002D34E6">
        <w:trPr>
          <w:trHeight w:val="404"/>
          <w:jc w:val="center"/>
        </w:trPr>
        <w:tc>
          <w:tcPr>
            <w:tcW w:w="4536"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left"/>
              <w:rPr>
                <w:rFonts w:eastAsia="Times New Roman"/>
                <w:sz w:val="24"/>
                <w:szCs w:val="24"/>
                <w:lang w:eastAsia="ru-RU"/>
              </w:rPr>
            </w:pPr>
            <w:r w:rsidRPr="002D34E6">
              <w:rPr>
                <w:rFonts w:eastAsia="Times New Roman"/>
                <w:sz w:val="24"/>
                <w:szCs w:val="24"/>
                <w:lang w:eastAsia="ru-RU"/>
              </w:rPr>
              <w:t>Забезпеченість  лікарями акушер-гінекологами</w:t>
            </w:r>
          </w:p>
        </w:tc>
        <w:tc>
          <w:tcPr>
            <w:tcW w:w="850"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4,77</w:t>
            </w:r>
          </w:p>
        </w:tc>
        <w:tc>
          <w:tcPr>
            <w:tcW w:w="1087"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4,77</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5,20</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5,20</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0,87</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0,87</w:t>
            </w:r>
          </w:p>
        </w:tc>
      </w:tr>
      <w:tr w:rsidR="002D34E6" w:rsidRPr="002D34E6" w:rsidTr="002D34E6">
        <w:trPr>
          <w:trHeight w:val="404"/>
          <w:jc w:val="center"/>
        </w:trPr>
        <w:tc>
          <w:tcPr>
            <w:tcW w:w="4536" w:type="dxa"/>
            <w:tcBorders>
              <w:top w:val="single" w:sz="4" w:space="0" w:color="auto"/>
              <w:left w:val="single" w:sz="4" w:space="0" w:color="auto"/>
              <w:bottom w:val="single" w:sz="4" w:space="0" w:color="auto"/>
              <w:right w:val="single" w:sz="4" w:space="0" w:color="auto"/>
            </w:tcBorders>
            <w:vAlign w:val="bottom"/>
          </w:tcPr>
          <w:p w:rsidR="002D34E6" w:rsidRPr="002D34E6" w:rsidRDefault="002D34E6" w:rsidP="002D34E6">
            <w:pPr>
              <w:keepNext/>
              <w:jc w:val="left"/>
              <w:rPr>
                <w:rFonts w:eastAsia="Times New Roman"/>
                <w:sz w:val="24"/>
                <w:szCs w:val="24"/>
                <w:lang w:eastAsia="ru-RU"/>
              </w:rPr>
            </w:pPr>
            <w:r w:rsidRPr="002D34E6">
              <w:rPr>
                <w:rFonts w:eastAsia="Times New Roman"/>
                <w:sz w:val="24"/>
                <w:szCs w:val="24"/>
                <w:lang w:eastAsia="ru-RU"/>
              </w:rPr>
              <w:t>Забезпеченість  лікарями  педіатрами-неонатологами</w:t>
            </w:r>
          </w:p>
        </w:tc>
        <w:tc>
          <w:tcPr>
            <w:tcW w:w="850"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5,08</w:t>
            </w:r>
          </w:p>
        </w:tc>
        <w:tc>
          <w:tcPr>
            <w:tcW w:w="1087"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5,30</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5,54</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5,78</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0,92</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0,96</w:t>
            </w:r>
          </w:p>
        </w:tc>
      </w:tr>
      <w:tr w:rsidR="002D34E6" w:rsidRPr="002D34E6" w:rsidTr="002D34E6">
        <w:trPr>
          <w:trHeight w:val="404"/>
          <w:jc w:val="center"/>
        </w:trPr>
        <w:tc>
          <w:tcPr>
            <w:tcW w:w="4536" w:type="dxa"/>
            <w:tcBorders>
              <w:top w:val="single" w:sz="4" w:space="0" w:color="auto"/>
              <w:left w:val="single" w:sz="4" w:space="0" w:color="auto"/>
              <w:bottom w:val="single" w:sz="4" w:space="0" w:color="auto"/>
              <w:right w:val="single" w:sz="4" w:space="0" w:color="auto"/>
            </w:tcBorders>
            <w:vAlign w:val="bottom"/>
          </w:tcPr>
          <w:p w:rsidR="002D34E6" w:rsidRPr="002D34E6" w:rsidRDefault="002D34E6" w:rsidP="002D34E6">
            <w:pPr>
              <w:keepNext/>
              <w:jc w:val="left"/>
              <w:rPr>
                <w:rFonts w:eastAsia="Times New Roman"/>
                <w:sz w:val="24"/>
                <w:szCs w:val="24"/>
                <w:lang w:eastAsia="ru-RU"/>
              </w:rPr>
            </w:pPr>
            <w:r w:rsidRPr="002D34E6">
              <w:rPr>
                <w:rFonts w:eastAsia="Times New Roman"/>
                <w:sz w:val="24"/>
                <w:szCs w:val="24"/>
                <w:lang w:eastAsia="ru-RU"/>
              </w:rPr>
              <w:t>Питома вага атестованих лікарів акушер-гінекологів</w:t>
            </w:r>
          </w:p>
        </w:tc>
        <w:tc>
          <w:tcPr>
            <w:tcW w:w="850"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w:t>
            </w:r>
          </w:p>
        </w:tc>
        <w:tc>
          <w:tcPr>
            <w:tcW w:w="1087"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84,31</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5,62</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0,94</w:t>
            </w:r>
          </w:p>
        </w:tc>
      </w:tr>
      <w:tr w:rsidR="002D34E6" w:rsidRPr="002D34E6" w:rsidTr="002D34E6">
        <w:trPr>
          <w:trHeight w:val="404"/>
          <w:jc w:val="center"/>
        </w:trPr>
        <w:tc>
          <w:tcPr>
            <w:tcW w:w="4536" w:type="dxa"/>
            <w:tcBorders>
              <w:top w:val="single" w:sz="4" w:space="0" w:color="auto"/>
              <w:left w:val="single" w:sz="4" w:space="0" w:color="auto"/>
              <w:bottom w:val="single" w:sz="4" w:space="0" w:color="auto"/>
              <w:right w:val="single" w:sz="4" w:space="0" w:color="auto"/>
            </w:tcBorders>
            <w:vAlign w:val="bottom"/>
          </w:tcPr>
          <w:p w:rsidR="002D34E6" w:rsidRPr="002D34E6" w:rsidRDefault="002D34E6" w:rsidP="002D34E6">
            <w:pPr>
              <w:keepNext/>
              <w:jc w:val="left"/>
              <w:rPr>
                <w:rFonts w:eastAsia="Times New Roman"/>
                <w:sz w:val="24"/>
                <w:szCs w:val="24"/>
                <w:lang w:eastAsia="ru-RU"/>
              </w:rPr>
            </w:pPr>
            <w:r w:rsidRPr="002D34E6">
              <w:rPr>
                <w:rFonts w:eastAsia="Times New Roman"/>
                <w:sz w:val="24"/>
                <w:szCs w:val="24"/>
                <w:lang w:eastAsia="ru-RU"/>
              </w:rPr>
              <w:t>Питома вага атестованих лікарів педіатрів-неонатологів</w:t>
            </w:r>
          </w:p>
        </w:tc>
        <w:tc>
          <w:tcPr>
            <w:tcW w:w="850"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w:t>
            </w:r>
          </w:p>
        </w:tc>
        <w:tc>
          <w:tcPr>
            <w:tcW w:w="1087"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70,18</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5,26</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0,88</w:t>
            </w:r>
          </w:p>
        </w:tc>
      </w:tr>
      <w:tr w:rsidR="002D34E6" w:rsidRPr="002D34E6" w:rsidTr="002D34E6">
        <w:trPr>
          <w:trHeight w:val="248"/>
          <w:jc w:val="center"/>
        </w:trPr>
        <w:tc>
          <w:tcPr>
            <w:tcW w:w="4536"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left"/>
              <w:rPr>
                <w:rFonts w:eastAsia="Times New Roman"/>
                <w:sz w:val="24"/>
                <w:szCs w:val="24"/>
                <w:lang w:eastAsia="ru-RU"/>
              </w:rPr>
            </w:pPr>
            <w:r w:rsidRPr="002D34E6">
              <w:rPr>
                <w:rFonts w:eastAsia="Times New Roman"/>
                <w:sz w:val="24"/>
                <w:szCs w:val="24"/>
                <w:lang w:eastAsia="ru-RU"/>
              </w:rPr>
              <w:t xml:space="preserve">Своєчасність постановки на облік вагітних </w:t>
            </w:r>
          </w:p>
        </w:tc>
        <w:tc>
          <w:tcPr>
            <w:tcW w:w="850"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color w:val="000000"/>
                <w:sz w:val="24"/>
                <w:szCs w:val="24"/>
                <w:lang w:eastAsia="ru-RU"/>
              </w:rPr>
            </w:pPr>
            <w:r w:rsidRPr="002D34E6">
              <w:rPr>
                <w:rFonts w:eastAsia="Times New Roman"/>
                <w:color w:val="000000"/>
                <w:sz w:val="24"/>
                <w:szCs w:val="24"/>
                <w:lang w:eastAsia="ru-RU"/>
              </w:rPr>
              <w:t>93,04</w:t>
            </w:r>
          </w:p>
        </w:tc>
        <w:tc>
          <w:tcPr>
            <w:tcW w:w="1087"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93,67</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color w:val="000000"/>
                <w:sz w:val="24"/>
                <w:szCs w:val="24"/>
                <w:lang w:eastAsia="ru-RU"/>
              </w:rPr>
            </w:pPr>
            <w:r w:rsidRPr="002D34E6">
              <w:rPr>
                <w:rFonts w:eastAsia="Times New Roman"/>
                <w:color w:val="000000"/>
                <w:sz w:val="24"/>
                <w:szCs w:val="24"/>
                <w:lang w:eastAsia="ru-RU"/>
              </w:rPr>
              <w:t>6,86</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6,91</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color w:val="000000"/>
                <w:sz w:val="24"/>
                <w:szCs w:val="24"/>
                <w:lang w:eastAsia="ru-RU"/>
              </w:rPr>
            </w:pPr>
            <w:r w:rsidRPr="002D34E6">
              <w:rPr>
                <w:rFonts w:eastAsia="Times New Roman"/>
                <w:color w:val="000000"/>
                <w:sz w:val="24"/>
                <w:szCs w:val="24"/>
                <w:lang w:eastAsia="ru-RU"/>
              </w:rPr>
              <w:t>0,98</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0,99</w:t>
            </w:r>
          </w:p>
        </w:tc>
      </w:tr>
      <w:tr w:rsidR="002D34E6" w:rsidRPr="002D34E6" w:rsidTr="002D34E6">
        <w:trPr>
          <w:trHeight w:val="266"/>
          <w:jc w:val="center"/>
        </w:trPr>
        <w:tc>
          <w:tcPr>
            <w:tcW w:w="4536"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left"/>
              <w:rPr>
                <w:rFonts w:eastAsia="Times New Roman"/>
                <w:sz w:val="24"/>
                <w:szCs w:val="24"/>
                <w:lang w:eastAsia="ru-RU"/>
              </w:rPr>
            </w:pPr>
            <w:r w:rsidRPr="002D34E6">
              <w:rPr>
                <w:rFonts w:eastAsia="Times New Roman"/>
                <w:sz w:val="24"/>
                <w:szCs w:val="24"/>
                <w:lang w:eastAsia="ru-RU"/>
              </w:rPr>
              <w:t>Частота анемій вагітних</w:t>
            </w:r>
          </w:p>
        </w:tc>
        <w:tc>
          <w:tcPr>
            <w:tcW w:w="850"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color w:val="000000"/>
                <w:sz w:val="24"/>
                <w:szCs w:val="24"/>
                <w:lang w:eastAsia="ru-RU"/>
              </w:rPr>
            </w:pPr>
            <w:r w:rsidRPr="002D34E6">
              <w:rPr>
                <w:rFonts w:eastAsia="Times New Roman"/>
                <w:color w:val="000000"/>
                <w:sz w:val="24"/>
                <w:szCs w:val="24"/>
                <w:lang w:eastAsia="ru-RU"/>
              </w:rPr>
              <w:t>22,27</w:t>
            </w:r>
          </w:p>
        </w:tc>
        <w:tc>
          <w:tcPr>
            <w:tcW w:w="1087"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18,96</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color w:val="000000"/>
                <w:sz w:val="24"/>
                <w:szCs w:val="24"/>
                <w:lang w:eastAsia="ru-RU"/>
              </w:rPr>
            </w:pPr>
            <w:r w:rsidRPr="002D34E6">
              <w:rPr>
                <w:rFonts w:eastAsia="Times New Roman"/>
                <w:color w:val="000000"/>
                <w:sz w:val="24"/>
                <w:szCs w:val="24"/>
                <w:lang w:eastAsia="ru-RU"/>
              </w:rPr>
              <w:t>3,55</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4,0</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color w:val="000000"/>
                <w:sz w:val="24"/>
                <w:szCs w:val="24"/>
                <w:lang w:eastAsia="ru-RU"/>
              </w:rPr>
            </w:pPr>
            <w:r w:rsidRPr="002D34E6">
              <w:rPr>
                <w:rFonts w:eastAsia="Times New Roman"/>
                <w:color w:val="000000"/>
                <w:sz w:val="24"/>
                <w:szCs w:val="24"/>
                <w:lang w:eastAsia="ru-RU"/>
              </w:rPr>
              <w:t>0,89</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1,00</w:t>
            </w:r>
          </w:p>
        </w:tc>
      </w:tr>
      <w:tr w:rsidR="002D34E6" w:rsidRPr="002D34E6" w:rsidTr="002D34E6">
        <w:trPr>
          <w:trHeight w:val="319"/>
          <w:jc w:val="center"/>
        </w:trPr>
        <w:tc>
          <w:tcPr>
            <w:tcW w:w="4536"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left"/>
              <w:rPr>
                <w:rFonts w:eastAsia="Times New Roman"/>
                <w:sz w:val="24"/>
                <w:szCs w:val="24"/>
                <w:lang w:eastAsia="ru-RU"/>
              </w:rPr>
            </w:pPr>
            <w:r w:rsidRPr="002D34E6">
              <w:rPr>
                <w:rFonts w:eastAsia="Times New Roman"/>
                <w:sz w:val="24"/>
                <w:szCs w:val="24"/>
                <w:lang w:eastAsia="ru-RU"/>
              </w:rPr>
              <w:t>Частота прееклампсій та еклампсій вагітних</w:t>
            </w:r>
          </w:p>
        </w:tc>
        <w:tc>
          <w:tcPr>
            <w:tcW w:w="850"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color w:val="000000"/>
                <w:sz w:val="24"/>
                <w:szCs w:val="24"/>
                <w:lang w:eastAsia="ru-RU"/>
              </w:rPr>
            </w:pPr>
            <w:r w:rsidRPr="002D34E6">
              <w:rPr>
                <w:rFonts w:eastAsia="Times New Roman"/>
                <w:color w:val="000000"/>
                <w:sz w:val="24"/>
                <w:szCs w:val="24"/>
                <w:lang w:eastAsia="ru-RU"/>
              </w:rPr>
              <w:t>2,88</w:t>
            </w:r>
          </w:p>
        </w:tc>
        <w:tc>
          <w:tcPr>
            <w:tcW w:w="1087"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2,29</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color w:val="000000"/>
                <w:sz w:val="24"/>
                <w:szCs w:val="24"/>
                <w:lang w:eastAsia="ru-RU"/>
              </w:rPr>
            </w:pPr>
            <w:r w:rsidRPr="002D34E6">
              <w:rPr>
                <w:rFonts w:eastAsia="Times New Roman"/>
                <w:color w:val="000000"/>
                <w:sz w:val="24"/>
                <w:szCs w:val="24"/>
                <w:lang w:eastAsia="ru-RU"/>
              </w:rPr>
              <w:t>2,48</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4,84</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color w:val="000000"/>
                <w:sz w:val="24"/>
                <w:szCs w:val="24"/>
                <w:lang w:eastAsia="ru-RU"/>
              </w:rPr>
            </w:pPr>
            <w:r w:rsidRPr="002D34E6">
              <w:rPr>
                <w:rFonts w:eastAsia="Times New Roman"/>
                <w:color w:val="000000"/>
                <w:sz w:val="24"/>
                <w:szCs w:val="24"/>
                <w:lang w:eastAsia="ru-RU"/>
              </w:rPr>
              <w:t>0,35</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0,69</w:t>
            </w:r>
          </w:p>
        </w:tc>
      </w:tr>
      <w:tr w:rsidR="002D34E6" w:rsidRPr="002D34E6" w:rsidTr="002D34E6">
        <w:trPr>
          <w:trHeight w:val="284"/>
          <w:jc w:val="center"/>
        </w:trPr>
        <w:tc>
          <w:tcPr>
            <w:tcW w:w="4536"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left"/>
              <w:rPr>
                <w:rFonts w:eastAsia="Times New Roman"/>
                <w:sz w:val="24"/>
                <w:szCs w:val="24"/>
                <w:lang w:eastAsia="ru-RU"/>
              </w:rPr>
            </w:pPr>
            <w:r w:rsidRPr="002D34E6">
              <w:rPr>
                <w:rFonts w:eastAsia="Times New Roman"/>
                <w:sz w:val="24"/>
                <w:szCs w:val="24"/>
                <w:lang w:eastAsia="ru-RU"/>
              </w:rPr>
              <w:t>Співвідношення безпечних методів абортів до небезпечних</w:t>
            </w:r>
          </w:p>
        </w:tc>
        <w:tc>
          <w:tcPr>
            <w:tcW w:w="850"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color w:val="000000"/>
                <w:sz w:val="24"/>
                <w:szCs w:val="24"/>
                <w:lang w:eastAsia="ru-RU"/>
              </w:rPr>
            </w:pPr>
            <w:r w:rsidRPr="002D34E6">
              <w:rPr>
                <w:rFonts w:eastAsia="Times New Roman"/>
                <w:color w:val="000000"/>
                <w:sz w:val="24"/>
                <w:szCs w:val="24"/>
                <w:lang w:eastAsia="ru-RU"/>
              </w:rPr>
              <w:t>14,72</w:t>
            </w:r>
          </w:p>
        </w:tc>
        <w:tc>
          <w:tcPr>
            <w:tcW w:w="1087"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23,43</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color w:val="000000"/>
                <w:sz w:val="24"/>
                <w:szCs w:val="24"/>
                <w:lang w:eastAsia="ru-RU"/>
              </w:rPr>
            </w:pPr>
            <w:r w:rsidRPr="002D34E6">
              <w:rPr>
                <w:rFonts w:eastAsia="Times New Roman"/>
                <w:color w:val="000000"/>
                <w:sz w:val="24"/>
                <w:szCs w:val="24"/>
                <w:lang w:eastAsia="ru-RU"/>
              </w:rPr>
              <w:t>6,00</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6,0</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color w:val="000000"/>
                <w:sz w:val="24"/>
                <w:szCs w:val="24"/>
                <w:lang w:eastAsia="ru-RU"/>
              </w:rPr>
            </w:pPr>
            <w:r w:rsidRPr="002D34E6">
              <w:rPr>
                <w:rFonts w:eastAsia="Times New Roman"/>
                <w:color w:val="000000"/>
                <w:sz w:val="24"/>
                <w:szCs w:val="24"/>
                <w:lang w:eastAsia="ru-RU"/>
              </w:rPr>
              <w:t>1,00</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1,00</w:t>
            </w:r>
          </w:p>
        </w:tc>
      </w:tr>
      <w:tr w:rsidR="002D34E6" w:rsidRPr="002D34E6" w:rsidTr="002D34E6">
        <w:trPr>
          <w:trHeight w:val="340"/>
          <w:jc w:val="center"/>
        </w:trPr>
        <w:tc>
          <w:tcPr>
            <w:tcW w:w="4536" w:type="dxa"/>
            <w:tcBorders>
              <w:top w:val="single" w:sz="4" w:space="0" w:color="auto"/>
              <w:left w:val="single" w:sz="4" w:space="0" w:color="auto"/>
              <w:bottom w:val="single" w:sz="4" w:space="0" w:color="auto"/>
              <w:right w:val="single" w:sz="4" w:space="0" w:color="auto"/>
            </w:tcBorders>
            <w:vAlign w:val="bottom"/>
          </w:tcPr>
          <w:p w:rsidR="002D34E6" w:rsidRPr="002D34E6" w:rsidRDefault="002D34E6" w:rsidP="002D34E6">
            <w:pPr>
              <w:keepNext/>
              <w:jc w:val="left"/>
              <w:rPr>
                <w:rFonts w:eastAsia="Times New Roman"/>
                <w:sz w:val="24"/>
                <w:szCs w:val="24"/>
                <w:lang w:eastAsia="ru-RU"/>
              </w:rPr>
            </w:pPr>
            <w:r w:rsidRPr="002D34E6">
              <w:rPr>
                <w:rFonts w:eastAsia="Times New Roman"/>
                <w:sz w:val="24"/>
                <w:szCs w:val="24"/>
                <w:lang w:eastAsia="ru-RU"/>
              </w:rPr>
              <w:t>Питома вага хворих виявлення в ранніх стадіях (І – ІІ) серед хворих з вперше встановленим діагнозом онкологія молочної залози</w:t>
            </w:r>
          </w:p>
        </w:tc>
        <w:tc>
          <w:tcPr>
            <w:tcW w:w="850"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w:t>
            </w:r>
          </w:p>
        </w:tc>
        <w:tc>
          <w:tcPr>
            <w:tcW w:w="1087"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89,20</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6,00</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1,00</w:t>
            </w:r>
          </w:p>
        </w:tc>
      </w:tr>
      <w:tr w:rsidR="002D34E6" w:rsidRPr="002D34E6" w:rsidTr="002D34E6">
        <w:trPr>
          <w:trHeight w:val="418"/>
          <w:jc w:val="center"/>
        </w:trPr>
        <w:tc>
          <w:tcPr>
            <w:tcW w:w="4536" w:type="dxa"/>
            <w:tcBorders>
              <w:top w:val="single" w:sz="4" w:space="0" w:color="auto"/>
              <w:left w:val="single" w:sz="4" w:space="0" w:color="auto"/>
              <w:bottom w:val="single" w:sz="4" w:space="0" w:color="auto"/>
              <w:right w:val="single" w:sz="4" w:space="0" w:color="auto"/>
            </w:tcBorders>
            <w:vAlign w:val="bottom"/>
          </w:tcPr>
          <w:p w:rsidR="002D34E6" w:rsidRPr="002D34E6" w:rsidRDefault="002D34E6" w:rsidP="002D34E6">
            <w:pPr>
              <w:keepNext/>
              <w:jc w:val="left"/>
              <w:rPr>
                <w:rFonts w:eastAsia="Times New Roman"/>
                <w:sz w:val="24"/>
                <w:szCs w:val="24"/>
                <w:lang w:eastAsia="ru-RU"/>
              </w:rPr>
            </w:pPr>
            <w:r w:rsidRPr="002D34E6">
              <w:rPr>
                <w:rFonts w:eastAsia="Times New Roman"/>
                <w:sz w:val="24"/>
                <w:szCs w:val="24"/>
                <w:lang w:eastAsia="ru-RU"/>
              </w:rPr>
              <w:t>Питома вага хворих виявлення в ранніх стадіях (І – ІІ) серед хворих з вперше встановленим діагнозом онкологія шийки матки</w:t>
            </w:r>
          </w:p>
        </w:tc>
        <w:tc>
          <w:tcPr>
            <w:tcW w:w="850"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w:t>
            </w:r>
          </w:p>
        </w:tc>
        <w:tc>
          <w:tcPr>
            <w:tcW w:w="1087"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79,60</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5,97</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1,00</w:t>
            </w:r>
          </w:p>
        </w:tc>
      </w:tr>
    </w:tbl>
    <w:p w:rsidR="004418D7" w:rsidRPr="004B24A2" w:rsidRDefault="004418D7" w:rsidP="004418D7">
      <w:pPr>
        <w:rPr>
          <w:i/>
          <w:sz w:val="20"/>
          <w:szCs w:val="20"/>
        </w:rPr>
      </w:pPr>
      <w:r w:rsidRPr="004B24A2">
        <w:rPr>
          <w:i/>
          <w:sz w:val="20"/>
          <w:szCs w:val="20"/>
        </w:rPr>
        <w:t>Для таблиць : * – показник не оцінювався</w:t>
      </w:r>
      <w:r w:rsidRPr="004B24A2">
        <w:rPr>
          <w:i/>
          <w:sz w:val="20"/>
          <w:szCs w:val="20"/>
          <w:lang w:val="ru-RU"/>
        </w:rPr>
        <w:t xml:space="preserve">  </w:t>
      </w:r>
      <w:r w:rsidRPr="004B24A2">
        <w:rPr>
          <w:i/>
          <w:sz w:val="20"/>
          <w:szCs w:val="20"/>
        </w:rPr>
        <w:t>** – немає даних</w:t>
      </w:r>
    </w:p>
    <w:p w:rsidR="002D34E6" w:rsidRPr="004418D7" w:rsidRDefault="002D34E6"/>
    <w:p w:rsidR="002D34E6" w:rsidRDefault="002D34E6">
      <w:pPr>
        <w:rPr>
          <w:lang w:val="ru-RU"/>
        </w:rPr>
      </w:pPr>
    </w:p>
    <w:tbl>
      <w:tblPr>
        <w:tblpPr w:leftFromText="180" w:rightFromText="180" w:vertAnchor="text" w:horzAnchor="margin" w:tblpY="718"/>
        <w:tblW w:w="103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36"/>
        <w:gridCol w:w="850"/>
        <w:gridCol w:w="1087"/>
        <w:gridCol w:w="968"/>
        <w:gridCol w:w="969"/>
        <w:gridCol w:w="968"/>
        <w:gridCol w:w="969"/>
      </w:tblGrid>
      <w:tr w:rsidR="002D34E6" w:rsidRPr="002D34E6" w:rsidTr="002D34E6">
        <w:trPr>
          <w:trHeight w:val="600"/>
        </w:trPr>
        <w:tc>
          <w:tcPr>
            <w:tcW w:w="4536" w:type="dxa"/>
            <w:tcBorders>
              <w:top w:val="single" w:sz="4" w:space="0" w:color="auto"/>
              <w:left w:val="single" w:sz="4" w:space="0" w:color="auto"/>
              <w:bottom w:val="single" w:sz="4" w:space="0" w:color="auto"/>
              <w:right w:val="single" w:sz="4" w:space="0" w:color="auto"/>
            </w:tcBorders>
          </w:tcPr>
          <w:p w:rsidR="002D34E6" w:rsidRPr="002D34E6" w:rsidRDefault="002D34E6" w:rsidP="002D34E6">
            <w:pPr>
              <w:keepNext/>
              <w:rPr>
                <w:rFonts w:eastAsia="Times New Roman"/>
                <w:color w:val="000000"/>
                <w:sz w:val="24"/>
                <w:szCs w:val="24"/>
                <w:lang w:eastAsia="uk-UA"/>
              </w:rPr>
            </w:pPr>
            <w:r w:rsidRPr="002D34E6">
              <w:rPr>
                <w:rFonts w:eastAsia="Times New Roman"/>
                <w:color w:val="000000"/>
                <w:sz w:val="24"/>
                <w:szCs w:val="24"/>
                <w:lang w:eastAsia="uk-UA"/>
              </w:rPr>
              <w:lastRenderedPageBreak/>
              <w:t>Індекс концентрації розродження вагітних з цукровим діабетом у ЗПД ІІІ рівня</w:t>
            </w:r>
          </w:p>
        </w:tc>
        <w:tc>
          <w:tcPr>
            <w:tcW w:w="850"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color w:val="000000"/>
                <w:sz w:val="24"/>
                <w:szCs w:val="24"/>
                <w:lang w:eastAsia="ru-RU"/>
              </w:rPr>
            </w:pPr>
            <w:r w:rsidRPr="002D34E6">
              <w:rPr>
                <w:rFonts w:eastAsia="Times New Roman"/>
                <w:color w:val="000000"/>
                <w:sz w:val="24"/>
                <w:szCs w:val="24"/>
                <w:lang w:eastAsia="ru-RU"/>
              </w:rPr>
              <w:t>68,75</w:t>
            </w:r>
          </w:p>
        </w:tc>
        <w:tc>
          <w:tcPr>
            <w:tcW w:w="1087"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color w:val="000000"/>
                <w:sz w:val="24"/>
                <w:szCs w:val="24"/>
                <w:lang w:eastAsia="ru-RU"/>
              </w:rPr>
            </w:pPr>
            <w:r w:rsidRPr="002D34E6">
              <w:rPr>
                <w:rFonts w:eastAsia="Times New Roman"/>
                <w:color w:val="000000"/>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color w:val="000000"/>
                <w:sz w:val="24"/>
                <w:szCs w:val="24"/>
                <w:lang w:eastAsia="ru-RU"/>
              </w:rPr>
            </w:pPr>
            <w:r w:rsidRPr="002D34E6">
              <w:rPr>
                <w:rFonts w:eastAsia="Times New Roman"/>
                <w:color w:val="000000"/>
                <w:sz w:val="24"/>
                <w:szCs w:val="24"/>
                <w:lang w:eastAsia="ru-RU"/>
              </w:rPr>
              <w:t>6,87</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color w:val="000000"/>
                <w:sz w:val="24"/>
                <w:szCs w:val="24"/>
                <w:lang w:eastAsia="ru-RU"/>
              </w:rPr>
            </w:pPr>
            <w:r w:rsidRPr="002D34E6">
              <w:rPr>
                <w:rFonts w:eastAsia="Times New Roman"/>
                <w:color w:val="000000"/>
                <w:sz w:val="24"/>
                <w:szCs w:val="24"/>
                <w:lang w:eastAsia="ru-RU"/>
              </w:rPr>
              <w:t>0,98</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w:t>
            </w:r>
          </w:p>
        </w:tc>
      </w:tr>
      <w:tr w:rsidR="002D34E6" w:rsidRPr="002D34E6" w:rsidTr="002D34E6">
        <w:trPr>
          <w:trHeight w:val="600"/>
        </w:trPr>
        <w:tc>
          <w:tcPr>
            <w:tcW w:w="4536" w:type="dxa"/>
            <w:tcBorders>
              <w:top w:val="single" w:sz="4" w:space="0" w:color="auto"/>
              <w:left w:val="single" w:sz="4" w:space="0" w:color="auto"/>
              <w:bottom w:val="single" w:sz="4" w:space="0" w:color="auto"/>
              <w:right w:val="single" w:sz="4" w:space="0" w:color="auto"/>
            </w:tcBorders>
          </w:tcPr>
          <w:p w:rsidR="002D34E6" w:rsidRPr="002D34E6" w:rsidRDefault="002D34E6" w:rsidP="002D34E6">
            <w:pPr>
              <w:keepNext/>
              <w:rPr>
                <w:rFonts w:eastAsia="Times New Roman"/>
                <w:color w:val="000000"/>
                <w:sz w:val="24"/>
                <w:szCs w:val="24"/>
                <w:lang w:eastAsia="uk-UA"/>
              </w:rPr>
            </w:pPr>
            <w:r w:rsidRPr="002D34E6">
              <w:rPr>
                <w:rFonts w:eastAsia="Times New Roman"/>
                <w:color w:val="000000"/>
                <w:sz w:val="24"/>
                <w:szCs w:val="24"/>
                <w:lang w:eastAsia="uk-UA"/>
              </w:rPr>
              <w:t>Індекс концентрації розродження вагітних з  пре- еклампсією і еклампсією  у ЗПД ІІ-ІІІ рівнів</w:t>
            </w:r>
          </w:p>
        </w:tc>
        <w:tc>
          <w:tcPr>
            <w:tcW w:w="850"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color w:val="000000"/>
                <w:sz w:val="24"/>
                <w:szCs w:val="24"/>
                <w:lang w:eastAsia="ru-RU"/>
              </w:rPr>
            </w:pPr>
            <w:r w:rsidRPr="002D34E6">
              <w:rPr>
                <w:rFonts w:eastAsia="Times New Roman"/>
                <w:color w:val="000000"/>
                <w:sz w:val="24"/>
                <w:szCs w:val="24"/>
                <w:lang w:eastAsia="ru-RU"/>
              </w:rPr>
              <w:t>70,31</w:t>
            </w:r>
          </w:p>
        </w:tc>
        <w:tc>
          <w:tcPr>
            <w:tcW w:w="1087"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color w:val="000000"/>
                <w:sz w:val="24"/>
                <w:szCs w:val="24"/>
                <w:lang w:eastAsia="ru-RU"/>
              </w:rPr>
            </w:pPr>
            <w:r w:rsidRPr="002D34E6">
              <w:rPr>
                <w:rFonts w:eastAsia="Times New Roman"/>
                <w:color w:val="000000"/>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color w:val="000000"/>
                <w:sz w:val="24"/>
                <w:szCs w:val="24"/>
                <w:lang w:eastAsia="ru-RU"/>
              </w:rPr>
            </w:pPr>
            <w:r w:rsidRPr="002D34E6">
              <w:rPr>
                <w:rFonts w:eastAsia="Times New Roman"/>
                <w:color w:val="000000"/>
                <w:sz w:val="24"/>
                <w:szCs w:val="24"/>
                <w:lang w:eastAsia="ru-RU"/>
              </w:rPr>
              <w:t>5,47</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color w:val="000000"/>
                <w:sz w:val="24"/>
                <w:szCs w:val="24"/>
                <w:lang w:eastAsia="ru-RU"/>
              </w:rPr>
            </w:pPr>
            <w:r w:rsidRPr="002D34E6">
              <w:rPr>
                <w:rFonts w:eastAsia="Times New Roman"/>
                <w:color w:val="000000"/>
                <w:sz w:val="24"/>
                <w:szCs w:val="24"/>
                <w:lang w:eastAsia="ru-RU"/>
              </w:rPr>
              <w:t>0,78</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w:t>
            </w:r>
          </w:p>
        </w:tc>
      </w:tr>
      <w:tr w:rsidR="002D34E6" w:rsidRPr="002D34E6" w:rsidTr="002D34E6">
        <w:trPr>
          <w:trHeight w:val="600"/>
        </w:trPr>
        <w:tc>
          <w:tcPr>
            <w:tcW w:w="4536" w:type="dxa"/>
            <w:tcBorders>
              <w:top w:val="single" w:sz="4" w:space="0" w:color="auto"/>
              <w:left w:val="single" w:sz="4" w:space="0" w:color="auto"/>
              <w:bottom w:val="single" w:sz="4" w:space="0" w:color="auto"/>
              <w:right w:val="single" w:sz="4" w:space="0" w:color="auto"/>
            </w:tcBorders>
          </w:tcPr>
          <w:p w:rsidR="002D34E6" w:rsidRPr="002D34E6" w:rsidRDefault="002D34E6" w:rsidP="002D34E6">
            <w:pPr>
              <w:keepNext/>
              <w:rPr>
                <w:rFonts w:eastAsia="Times New Roman"/>
                <w:color w:val="000000"/>
                <w:sz w:val="24"/>
                <w:szCs w:val="24"/>
                <w:lang w:eastAsia="uk-UA"/>
              </w:rPr>
            </w:pPr>
            <w:r w:rsidRPr="002D34E6">
              <w:rPr>
                <w:rFonts w:eastAsia="Times New Roman"/>
                <w:color w:val="000000"/>
                <w:sz w:val="24"/>
                <w:szCs w:val="24"/>
                <w:lang w:eastAsia="uk-UA"/>
              </w:rPr>
              <w:t>Індекс концентрації новонароджених масою тіла при народженні 500-1499г у ЗПД ІІІ рівня</w:t>
            </w:r>
          </w:p>
        </w:tc>
        <w:tc>
          <w:tcPr>
            <w:tcW w:w="850"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color w:val="000000"/>
                <w:sz w:val="24"/>
                <w:szCs w:val="24"/>
                <w:lang w:eastAsia="ru-RU"/>
              </w:rPr>
            </w:pPr>
            <w:r w:rsidRPr="002D34E6">
              <w:rPr>
                <w:rFonts w:eastAsia="Times New Roman"/>
                <w:color w:val="000000"/>
                <w:sz w:val="24"/>
                <w:szCs w:val="24"/>
                <w:lang w:eastAsia="ru-RU"/>
              </w:rPr>
              <w:t>62,24</w:t>
            </w:r>
          </w:p>
        </w:tc>
        <w:tc>
          <w:tcPr>
            <w:tcW w:w="1087"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color w:val="000000"/>
                <w:sz w:val="24"/>
                <w:szCs w:val="24"/>
                <w:lang w:eastAsia="ru-RU"/>
              </w:rPr>
            </w:pPr>
            <w:r w:rsidRPr="002D34E6">
              <w:rPr>
                <w:rFonts w:eastAsia="Times New Roman"/>
                <w:color w:val="000000"/>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color w:val="000000"/>
                <w:sz w:val="24"/>
                <w:szCs w:val="24"/>
                <w:lang w:eastAsia="ru-RU"/>
              </w:rPr>
            </w:pPr>
            <w:r w:rsidRPr="002D34E6">
              <w:rPr>
                <w:rFonts w:eastAsia="Times New Roman"/>
                <w:color w:val="000000"/>
                <w:sz w:val="24"/>
                <w:szCs w:val="24"/>
                <w:lang w:eastAsia="ru-RU"/>
              </w:rPr>
              <w:t>4,67</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color w:val="000000"/>
                <w:sz w:val="24"/>
                <w:szCs w:val="24"/>
                <w:lang w:eastAsia="ru-RU"/>
              </w:rPr>
            </w:pPr>
            <w:r w:rsidRPr="002D34E6">
              <w:rPr>
                <w:rFonts w:eastAsia="Times New Roman"/>
                <w:color w:val="000000"/>
                <w:sz w:val="24"/>
                <w:szCs w:val="24"/>
                <w:lang w:eastAsia="ru-RU"/>
              </w:rPr>
              <w:t>0,78</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w:t>
            </w:r>
          </w:p>
        </w:tc>
      </w:tr>
      <w:tr w:rsidR="002D34E6" w:rsidRPr="002D34E6" w:rsidTr="002D34E6">
        <w:trPr>
          <w:trHeight w:val="328"/>
        </w:trPr>
        <w:tc>
          <w:tcPr>
            <w:tcW w:w="4536" w:type="dxa"/>
            <w:tcBorders>
              <w:top w:val="single" w:sz="4" w:space="0" w:color="auto"/>
              <w:left w:val="single" w:sz="4" w:space="0" w:color="auto"/>
              <w:bottom w:val="single" w:sz="4" w:space="0" w:color="auto"/>
              <w:right w:val="single" w:sz="4" w:space="0" w:color="auto"/>
            </w:tcBorders>
            <w:vAlign w:val="bottom"/>
          </w:tcPr>
          <w:p w:rsidR="002D34E6" w:rsidRPr="002D34E6" w:rsidRDefault="002D34E6" w:rsidP="002D34E6">
            <w:pPr>
              <w:keepNext/>
              <w:jc w:val="left"/>
              <w:rPr>
                <w:rFonts w:eastAsia="Times New Roman"/>
                <w:sz w:val="24"/>
                <w:szCs w:val="24"/>
                <w:lang w:eastAsia="ru-RU"/>
              </w:rPr>
            </w:pPr>
            <w:r w:rsidRPr="002D34E6">
              <w:rPr>
                <w:rFonts w:eastAsia="Times New Roman"/>
                <w:sz w:val="24"/>
                <w:szCs w:val="24"/>
                <w:lang w:eastAsia="ru-RU"/>
              </w:rPr>
              <w:t>Індекс неонатального трансферу</w:t>
            </w:r>
          </w:p>
        </w:tc>
        <w:tc>
          <w:tcPr>
            <w:tcW w:w="850"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6,44</w:t>
            </w:r>
          </w:p>
        </w:tc>
        <w:tc>
          <w:tcPr>
            <w:tcW w:w="1087"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10,80</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2,73</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0,0</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0,39</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0,00</w:t>
            </w:r>
          </w:p>
        </w:tc>
      </w:tr>
      <w:tr w:rsidR="002D34E6" w:rsidRPr="002D34E6" w:rsidTr="002D34E6">
        <w:trPr>
          <w:trHeight w:val="276"/>
        </w:trPr>
        <w:tc>
          <w:tcPr>
            <w:tcW w:w="4536"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left"/>
              <w:rPr>
                <w:rFonts w:eastAsia="Times New Roman"/>
                <w:sz w:val="24"/>
                <w:szCs w:val="24"/>
                <w:lang w:eastAsia="ru-RU"/>
              </w:rPr>
            </w:pPr>
            <w:r w:rsidRPr="002D34E6">
              <w:rPr>
                <w:rFonts w:eastAsia="Times New Roman"/>
                <w:sz w:val="24"/>
                <w:szCs w:val="24"/>
                <w:lang w:eastAsia="ru-RU"/>
              </w:rPr>
              <w:t>Частота нормальних пологів</w:t>
            </w:r>
          </w:p>
        </w:tc>
        <w:tc>
          <w:tcPr>
            <w:tcW w:w="850"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color w:val="000000"/>
                <w:sz w:val="24"/>
                <w:szCs w:val="24"/>
                <w:lang w:eastAsia="ru-RU"/>
              </w:rPr>
            </w:pPr>
            <w:r w:rsidRPr="002D34E6">
              <w:rPr>
                <w:rFonts w:eastAsia="Times New Roman"/>
                <w:color w:val="000000"/>
                <w:sz w:val="24"/>
                <w:szCs w:val="24"/>
                <w:lang w:eastAsia="ru-RU"/>
              </w:rPr>
              <w:t>61,45</w:t>
            </w:r>
          </w:p>
        </w:tc>
        <w:tc>
          <w:tcPr>
            <w:tcW w:w="1087"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61,41</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color w:val="000000"/>
                <w:sz w:val="24"/>
                <w:szCs w:val="24"/>
                <w:lang w:eastAsia="ru-RU"/>
              </w:rPr>
            </w:pPr>
            <w:r w:rsidRPr="002D34E6">
              <w:rPr>
                <w:rFonts w:eastAsia="Times New Roman"/>
                <w:color w:val="000000"/>
                <w:sz w:val="24"/>
                <w:szCs w:val="24"/>
                <w:lang w:eastAsia="ru-RU"/>
              </w:rPr>
              <w:t>4,39</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4,61</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color w:val="000000"/>
                <w:sz w:val="24"/>
                <w:szCs w:val="24"/>
                <w:lang w:eastAsia="ru-RU"/>
              </w:rPr>
            </w:pPr>
            <w:r w:rsidRPr="002D34E6">
              <w:rPr>
                <w:rFonts w:eastAsia="Times New Roman"/>
                <w:color w:val="000000"/>
                <w:sz w:val="24"/>
                <w:szCs w:val="24"/>
                <w:lang w:eastAsia="ru-RU"/>
              </w:rPr>
              <w:t>0,88</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0,92</w:t>
            </w:r>
          </w:p>
        </w:tc>
      </w:tr>
      <w:tr w:rsidR="002D34E6" w:rsidRPr="002D34E6" w:rsidTr="002D34E6">
        <w:trPr>
          <w:trHeight w:val="422"/>
        </w:trPr>
        <w:tc>
          <w:tcPr>
            <w:tcW w:w="4536" w:type="dxa"/>
            <w:tcBorders>
              <w:top w:val="single" w:sz="4" w:space="0" w:color="auto"/>
              <w:left w:val="single" w:sz="4" w:space="0" w:color="auto"/>
              <w:bottom w:val="single" w:sz="4" w:space="0" w:color="auto"/>
              <w:right w:val="single" w:sz="4" w:space="0" w:color="auto"/>
            </w:tcBorders>
            <w:vAlign w:val="bottom"/>
          </w:tcPr>
          <w:p w:rsidR="002D34E6" w:rsidRPr="002D34E6" w:rsidRDefault="002D34E6" w:rsidP="002D34E6">
            <w:pPr>
              <w:keepNext/>
              <w:jc w:val="left"/>
              <w:rPr>
                <w:rFonts w:eastAsia="Times New Roman"/>
                <w:sz w:val="24"/>
                <w:szCs w:val="24"/>
                <w:lang w:eastAsia="ru-RU"/>
              </w:rPr>
            </w:pPr>
            <w:r w:rsidRPr="002D34E6">
              <w:rPr>
                <w:rFonts w:eastAsia="Times New Roman"/>
                <w:sz w:val="24"/>
                <w:szCs w:val="24"/>
                <w:lang w:eastAsia="ru-RU"/>
              </w:rPr>
              <w:t>Частота розроджень вагітних шляхом кесаревого розтину</w:t>
            </w:r>
          </w:p>
        </w:tc>
        <w:tc>
          <w:tcPr>
            <w:tcW w:w="850"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color w:val="000000"/>
                <w:sz w:val="24"/>
                <w:szCs w:val="24"/>
                <w:lang w:eastAsia="ru-RU"/>
              </w:rPr>
            </w:pPr>
            <w:r w:rsidRPr="002D34E6">
              <w:rPr>
                <w:rFonts w:eastAsia="Times New Roman"/>
                <w:color w:val="000000"/>
                <w:sz w:val="24"/>
                <w:szCs w:val="24"/>
                <w:lang w:eastAsia="ru-RU"/>
              </w:rPr>
              <w:t>226,3</w:t>
            </w:r>
          </w:p>
        </w:tc>
        <w:tc>
          <w:tcPr>
            <w:tcW w:w="1087"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236,81</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color w:val="000000"/>
                <w:sz w:val="24"/>
                <w:szCs w:val="24"/>
                <w:lang w:eastAsia="ru-RU"/>
              </w:rPr>
            </w:pPr>
            <w:r w:rsidRPr="002D34E6">
              <w:rPr>
                <w:rFonts w:eastAsia="Times New Roman"/>
                <w:color w:val="000000"/>
                <w:sz w:val="24"/>
                <w:szCs w:val="24"/>
                <w:lang w:eastAsia="ru-RU"/>
              </w:rPr>
              <w:t>4,10</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4,73</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color w:val="000000"/>
                <w:sz w:val="24"/>
                <w:szCs w:val="24"/>
                <w:lang w:eastAsia="ru-RU"/>
              </w:rPr>
            </w:pPr>
            <w:r w:rsidRPr="002D34E6">
              <w:rPr>
                <w:rFonts w:eastAsia="Times New Roman"/>
                <w:color w:val="000000"/>
                <w:sz w:val="24"/>
                <w:szCs w:val="24"/>
                <w:lang w:eastAsia="ru-RU"/>
              </w:rPr>
              <w:t>0,59</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0,68</w:t>
            </w:r>
          </w:p>
        </w:tc>
      </w:tr>
      <w:tr w:rsidR="002D34E6" w:rsidRPr="002D34E6" w:rsidTr="002D34E6">
        <w:trPr>
          <w:trHeight w:val="276"/>
        </w:trPr>
        <w:tc>
          <w:tcPr>
            <w:tcW w:w="4536" w:type="dxa"/>
            <w:tcBorders>
              <w:top w:val="single" w:sz="4" w:space="0" w:color="auto"/>
              <w:left w:val="single" w:sz="4" w:space="0" w:color="auto"/>
              <w:bottom w:val="single" w:sz="4" w:space="0" w:color="auto"/>
              <w:right w:val="single" w:sz="4" w:space="0" w:color="auto"/>
            </w:tcBorders>
            <w:vAlign w:val="bottom"/>
          </w:tcPr>
          <w:p w:rsidR="002D34E6" w:rsidRPr="002D34E6" w:rsidRDefault="002D34E6" w:rsidP="002D34E6">
            <w:pPr>
              <w:keepNext/>
              <w:jc w:val="left"/>
              <w:rPr>
                <w:rFonts w:eastAsia="Times New Roman"/>
                <w:sz w:val="24"/>
                <w:szCs w:val="24"/>
                <w:lang w:eastAsia="ru-RU"/>
              </w:rPr>
            </w:pPr>
            <w:r w:rsidRPr="002D34E6">
              <w:rPr>
                <w:rFonts w:eastAsia="Times New Roman"/>
                <w:sz w:val="24"/>
                <w:szCs w:val="24"/>
                <w:lang w:eastAsia="ru-RU"/>
              </w:rPr>
              <w:t>Частота  кровотеч в послідовому і післяродовому періодах</w:t>
            </w:r>
          </w:p>
        </w:tc>
        <w:tc>
          <w:tcPr>
            <w:tcW w:w="850"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color w:val="000000"/>
                <w:sz w:val="24"/>
                <w:szCs w:val="24"/>
                <w:lang w:eastAsia="ru-RU"/>
              </w:rPr>
            </w:pPr>
            <w:r w:rsidRPr="002D34E6">
              <w:rPr>
                <w:rFonts w:eastAsia="Times New Roman"/>
                <w:color w:val="000000"/>
                <w:sz w:val="24"/>
                <w:szCs w:val="24"/>
                <w:lang w:eastAsia="ru-RU"/>
              </w:rPr>
              <w:t>6,52</w:t>
            </w:r>
          </w:p>
        </w:tc>
        <w:tc>
          <w:tcPr>
            <w:tcW w:w="1087"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8,24</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color w:val="000000"/>
                <w:sz w:val="24"/>
                <w:szCs w:val="24"/>
                <w:lang w:eastAsia="ru-RU"/>
              </w:rPr>
            </w:pPr>
            <w:r w:rsidRPr="002D34E6">
              <w:rPr>
                <w:rFonts w:eastAsia="Times New Roman"/>
                <w:color w:val="000000"/>
                <w:sz w:val="24"/>
                <w:szCs w:val="24"/>
                <w:lang w:eastAsia="ru-RU"/>
              </w:rPr>
              <w:t>6,26</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5,64</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color w:val="000000"/>
                <w:sz w:val="24"/>
                <w:szCs w:val="24"/>
                <w:lang w:eastAsia="ru-RU"/>
              </w:rPr>
            </w:pPr>
            <w:r w:rsidRPr="002D34E6">
              <w:rPr>
                <w:rFonts w:eastAsia="Times New Roman"/>
                <w:color w:val="000000"/>
                <w:sz w:val="24"/>
                <w:szCs w:val="24"/>
                <w:lang w:eastAsia="ru-RU"/>
              </w:rPr>
              <w:t>0,70</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0,63</w:t>
            </w:r>
          </w:p>
        </w:tc>
      </w:tr>
      <w:tr w:rsidR="002D34E6" w:rsidRPr="002D34E6" w:rsidTr="002D34E6">
        <w:trPr>
          <w:trHeight w:val="293"/>
        </w:trPr>
        <w:tc>
          <w:tcPr>
            <w:tcW w:w="4536" w:type="dxa"/>
            <w:tcBorders>
              <w:top w:val="single" w:sz="4" w:space="0" w:color="auto"/>
              <w:left w:val="single" w:sz="4" w:space="0" w:color="auto"/>
              <w:bottom w:val="single" w:sz="4" w:space="0" w:color="auto"/>
              <w:right w:val="single" w:sz="4" w:space="0" w:color="auto"/>
            </w:tcBorders>
            <w:vAlign w:val="bottom"/>
          </w:tcPr>
          <w:p w:rsidR="002D34E6" w:rsidRPr="002D34E6" w:rsidRDefault="002D34E6" w:rsidP="002D34E6">
            <w:pPr>
              <w:keepNext/>
              <w:jc w:val="left"/>
              <w:rPr>
                <w:rFonts w:eastAsia="Times New Roman"/>
                <w:sz w:val="24"/>
                <w:szCs w:val="24"/>
                <w:lang w:eastAsia="ru-RU"/>
              </w:rPr>
            </w:pPr>
            <w:r w:rsidRPr="002D34E6">
              <w:rPr>
                <w:rFonts w:eastAsia="Times New Roman"/>
                <w:sz w:val="24"/>
                <w:szCs w:val="24"/>
                <w:lang w:eastAsia="ru-RU"/>
              </w:rPr>
              <w:t>Частота мало вагових новонароджених</w:t>
            </w:r>
          </w:p>
        </w:tc>
        <w:tc>
          <w:tcPr>
            <w:tcW w:w="850"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color w:val="000000"/>
                <w:sz w:val="24"/>
                <w:szCs w:val="24"/>
                <w:lang w:eastAsia="ru-RU"/>
              </w:rPr>
            </w:pPr>
            <w:r w:rsidRPr="002D34E6">
              <w:rPr>
                <w:rFonts w:eastAsia="Times New Roman"/>
                <w:color w:val="000000"/>
                <w:sz w:val="24"/>
                <w:szCs w:val="24"/>
                <w:lang w:eastAsia="ru-RU"/>
              </w:rPr>
              <w:t>5,43</w:t>
            </w:r>
          </w:p>
        </w:tc>
        <w:tc>
          <w:tcPr>
            <w:tcW w:w="1087"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5,02</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color w:val="000000"/>
                <w:sz w:val="24"/>
                <w:szCs w:val="24"/>
                <w:lang w:eastAsia="ru-RU"/>
              </w:rPr>
            </w:pPr>
            <w:r w:rsidRPr="002D34E6">
              <w:rPr>
                <w:rFonts w:eastAsia="Times New Roman"/>
                <w:color w:val="000000"/>
                <w:sz w:val="24"/>
                <w:szCs w:val="24"/>
                <w:lang w:eastAsia="ru-RU"/>
              </w:rPr>
              <w:t>3,21</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3,98</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color w:val="000000"/>
                <w:sz w:val="24"/>
                <w:szCs w:val="24"/>
                <w:lang w:eastAsia="ru-RU"/>
              </w:rPr>
            </w:pPr>
            <w:r w:rsidRPr="002D34E6">
              <w:rPr>
                <w:rFonts w:eastAsia="Times New Roman"/>
                <w:color w:val="000000"/>
                <w:sz w:val="24"/>
                <w:szCs w:val="24"/>
                <w:lang w:eastAsia="ru-RU"/>
              </w:rPr>
              <w:t>0,64</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0,80</w:t>
            </w:r>
          </w:p>
        </w:tc>
      </w:tr>
      <w:tr w:rsidR="002D34E6" w:rsidRPr="002D34E6" w:rsidTr="002D34E6">
        <w:trPr>
          <w:trHeight w:val="344"/>
        </w:trPr>
        <w:tc>
          <w:tcPr>
            <w:tcW w:w="4536" w:type="dxa"/>
            <w:tcBorders>
              <w:top w:val="single" w:sz="4" w:space="0" w:color="auto"/>
              <w:left w:val="single" w:sz="4" w:space="0" w:color="auto"/>
              <w:bottom w:val="single" w:sz="4" w:space="0" w:color="auto"/>
              <w:right w:val="single" w:sz="4" w:space="0" w:color="auto"/>
            </w:tcBorders>
            <w:vAlign w:val="bottom"/>
          </w:tcPr>
          <w:p w:rsidR="002D34E6" w:rsidRPr="002D34E6" w:rsidRDefault="002D34E6" w:rsidP="002D34E6">
            <w:pPr>
              <w:keepNext/>
              <w:jc w:val="left"/>
              <w:rPr>
                <w:rFonts w:eastAsia="Times New Roman"/>
                <w:sz w:val="24"/>
                <w:szCs w:val="24"/>
                <w:lang w:eastAsia="ru-RU"/>
              </w:rPr>
            </w:pPr>
            <w:r w:rsidRPr="002D34E6">
              <w:rPr>
                <w:rFonts w:eastAsia="Times New Roman"/>
                <w:sz w:val="24"/>
                <w:szCs w:val="24"/>
                <w:lang w:eastAsia="ru-RU"/>
              </w:rPr>
              <w:t>Виживання новонароджених з дуже малою масою тіла при народженні</w:t>
            </w:r>
          </w:p>
        </w:tc>
        <w:tc>
          <w:tcPr>
            <w:tcW w:w="850"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color w:val="000000"/>
                <w:sz w:val="24"/>
                <w:szCs w:val="24"/>
                <w:lang w:eastAsia="ru-RU"/>
              </w:rPr>
            </w:pPr>
            <w:r w:rsidRPr="002D34E6">
              <w:rPr>
                <w:rFonts w:eastAsia="Times New Roman"/>
                <w:color w:val="000000"/>
                <w:sz w:val="24"/>
                <w:szCs w:val="24"/>
                <w:lang w:eastAsia="ru-RU"/>
              </w:rPr>
              <w:t>79,59</w:t>
            </w:r>
          </w:p>
        </w:tc>
        <w:tc>
          <w:tcPr>
            <w:tcW w:w="1087"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83,56</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color w:val="000000"/>
                <w:sz w:val="24"/>
                <w:szCs w:val="24"/>
                <w:lang w:eastAsia="ru-RU"/>
              </w:rPr>
            </w:pPr>
            <w:r w:rsidRPr="002D34E6">
              <w:rPr>
                <w:rFonts w:eastAsia="Times New Roman"/>
                <w:color w:val="000000"/>
                <w:sz w:val="24"/>
                <w:szCs w:val="24"/>
                <w:lang w:eastAsia="ru-RU"/>
              </w:rPr>
              <w:t>7,07</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7,87</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color w:val="000000"/>
                <w:sz w:val="24"/>
                <w:szCs w:val="24"/>
                <w:lang w:eastAsia="ru-RU"/>
              </w:rPr>
            </w:pPr>
            <w:r w:rsidRPr="002D34E6">
              <w:rPr>
                <w:rFonts w:eastAsia="Times New Roman"/>
                <w:color w:val="000000"/>
                <w:sz w:val="24"/>
                <w:szCs w:val="24"/>
                <w:lang w:eastAsia="ru-RU"/>
              </w:rPr>
              <w:t>0,88</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0,98</w:t>
            </w:r>
          </w:p>
        </w:tc>
      </w:tr>
      <w:tr w:rsidR="002D34E6" w:rsidRPr="002D34E6" w:rsidTr="002D34E6">
        <w:trPr>
          <w:trHeight w:val="226"/>
        </w:trPr>
        <w:tc>
          <w:tcPr>
            <w:tcW w:w="4536" w:type="dxa"/>
            <w:tcBorders>
              <w:top w:val="single" w:sz="4" w:space="0" w:color="auto"/>
              <w:left w:val="single" w:sz="4" w:space="0" w:color="auto"/>
              <w:bottom w:val="single" w:sz="4" w:space="0" w:color="auto"/>
              <w:right w:val="single" w:sz="4" w:space="0" w:color="auto"/>
            </w:tcBorders>
            <w:vAlign w:val="bottom"/>
          </w:tcPr>
          <w:p w:rsidR="002D34E6" w:rsidRPr="002D34E6" w:rsidRDefault="002D34E6" w:rsidP="002D34E6">
            <w:pPr>
              <w:keepNext/>
              <w:jc w:val="left"/>
              <w:rPr>
                <w:rFonts w:eastAsia="Times New Roman"/>
                <w:sz w:val="24"/>
                <w:szCs w:val="24"/>
                <w:lang w:eastAsia="ru-RU"/>
              </w:rPr>
            </w:pPr>
            <w:r w:rsidRPr="002D34E6">
              <w:rPr>
                <w:rFonts w:eastAsia="Times New Roman"/>
                <w:sz w:val="24"/>
                <w:szCs w:val="24"/>
                <w:lang w:eastAsia="ru-RU"/>
              </w:rPr>
              <w:t>Індекс здоров’я новонароджених</w:t>
            </w:r>
          </w:p>
        </w:tc>
        <w:tc>
          <w:tcPr>
            <w:tcW w:w="850"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color w:val="000000"/>
                <w:sz w:val="24"/>
                <w:szCs w:val="24"/>
                <w:lang w:eastAsia="ru-RU"/>
              </w:rPr>
            </w:pPr>
            <w:r w:rsidRPr="002D34E6">
              <w:rPr>
                <w:rFonts w:eastAsia="Times New Roman"/>
                <w:color w:val="000000"/>
                <w:sz w:val="24"/>
                <w:szCs w:val="24"/>
                <w:lang w:eastAsia="ru-RU"/>
              </w:rPr>
              <w:t>77,3</w:t>
            </w:r>
          </w:p>
        </w:tc>
        <w:tc>
          <w:tcPr>
            <w:tcW w:w="1087"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78,21</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color w:val="000000"/>
                <w:sz w:val="24"/>
                <w:szCs w:val="24"/>
                <w:lang w:eastAsia="ru-RU"/>
              </w:rPr>
            </w:pPr>
            <w:r w:rsidRPr="002D34E6">
              <w:rPr>
                <w:rFonts w:eastAsia="Times New Roman"/>
                <w:color w:val="000000"/>
                <w:sz w:val="24"/>
                <w:szCs w:val="24"/>
                <w:lang w:eastAsia="ru-RU"/>
              </w:rPr>
              <w:t>5,15</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5,52</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color w:val="000000"/>
                <w:sz w:val="24"/>
                <w:szCs w:val="24"/>
                <w:lang w:eastAsia="ru-RU"/>
              </w:rPr>
            </w:pPr>
            <w:r w:rsidRPr="002D34E6">
              <w:rPr>
                <w:rFonts w:eastAsia="Times New Roman"/>
                <w:color w:val="000000"/>
                <w:sz w:val="24"/>
                <w:szCs w:val="24"/>
                <w:lang w:eastAsia="ru-RU"/>
              </w:rPr>
              <w:t>0,86</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0,92</w:t>
            </w:r>
          </w:p>
        </w:tc>
      </w:tr>
      <w:tr w:rsidR="002D34E6" w:rsidRPr="002D34E6" w:rsidTr="002D34E6">
        <w:trPr>
          <w:trHeight w:val="244"/>
        </w:trPr>
        <w:tc>
          <w:tcPr>
            <w:tcW w:w="4536" w:type="dxa"/>
            <w:tcBorders>
              <w:top w:val="single" w:sz="4" w:space="0" w:color="auto"/>
              <w:left w:val="single" w:sz="4" w:space="0" w:color="auto"/>
              <w:bottom w:val="single" w:sz="4" w:space="0" w:color="auto"/>
              <w:right w:val="single" w:sz="4" w:space="0" w:color="auto"/>
            </w:tcBorders>
            <w:vAlign w:val="bottom"/>
          </w:tcPr>
          <w:p w:rsidR="002D34E6" w:rsidRPr="002D34E6" w:rsidRDefault="002D34E6" w:rsidP="002D34E6">
            <w:pPr>
              <w:keepNext/>
              <w:jc w:val="left"/>
              <w:rPr>
                <w:rFonts w:eastAsia="Times New Roman"/>
                <w:sz w:val="24"/>
                <w:szCs w:val="24"/>
                <w:lang w:eastAsia="ru-RU"/>
              </w:rPr>
            </w:pPr>
            <w:r w:rsidRPr="002D34E6">
              <w:rPr>
                <w:rFonts w:eastAsia="Times New Roman"/>
                <w:sz w:val="24"/>
                <w:szCs w:val="24"/>
                <w:lang w:eastAsia="ru-RU"/>
              </w:rPr>
              <w:t xml:space="preserve">Рівень перинатальної смертності </w:t>
            </w:r>
          </w:p>
        </w:tc>
        <w:tc>
          <w:tcPr>
            <w:tcW w:w="850"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color w:val="000000"/>
                <w:sz w:val="24"/>
                <w:szCs w:val="24"/>
                <w:lang w:eastAsia="ru-RU"/>
              </w:rPr>
            </w:pPr>
            <w:r w:rsidRPr="002D34E6">
              <w:rPr>
                <w:rFonts w:eastAsia="Times New Roman"/>
                <w:color w:val="000000"/>
                <w:sz w:val="24"/>
                <w:szCs w:val="24"/>
                <w:lang w:eastAsia="ru-RU"/>
              </w:rPr>
              <w:t>8,92</w:t>
            </w:r>
          </w:p>
        </w:tc>
        <w:tc>
          <w:tcPr>
            <w:tcW w:w="1087"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7,31</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color w:val="000000"/>
                <w:sz w:val="24"/>
                <w:szCs w:val="24"/>
                <w:lang w:eastAsia="ru-RU"/>
              </w:rPr>
            </w:pPr>
            <w:r w:rsidRPr="002D34E6">
              <w:rPr>
                <w:rFonts w:eastAsia="Times New Roman"/>
                <w:color w:val="000000"/>
                <w:sz w:val="24"/>
                <w:szCs w:val="24"/>
                <w:lang w:eastAsia="ru-RU"/>
              </w:rPr>
              <w:t>5,31</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6,0</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color w:val="000000"/>
                <w:sz w:val="24"/>
                <w:szCs w:val="24"/>
                <w:lang w:eastAsia="ru-RU"/>
              </w:rPr>
            </w:pPr>
            <w:r w:rsidRPr="002D34E6">
              <w:rPr>
                <w:rFonts w:eastAsia="Times New Roman"/>
                <w:color w:val="000000"/>
                <w:sz w:val="24"/>
                <w:szCs w:val="24"/>
                <w:lang w:eastAsia="ru-RU"/>
              </w:rPr>
              <w:t>0,89</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1,00</w:t>
            </w:r>
          </w:p>
        </w:tc>
      </w:tr>
      <w:tr w:rsidR="002D34E6" w:rsidRPr="002D34E6" w:rsidTr="002D34E6">
        <w:trPr>
          <w:trHeight w:val="450"/>
        </w:trPr>
        <w:tc>
          <w:tcPr>
            <w:tcW w:w="4536"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rPr>
                <w:rFonts w:eastAsia="Times New Roman"/>
                <w:sz w:val="24"/>
                <w:szCs w:val="24"/>
                <w:lang w:eastAsia="ru-RU"/>
              </w:rPr>
            </w:pPr>
            <w:r w:rsidRPr="002D34E6">
              <w:rPr>
                <w:rFonts w:eastAsia="Times New Roman"/>
                <w:sz w:val="24"/>
                <w:szCs w:val="24"/>
                <w:lang w:eastAsia="ru-RU"/>
              </w:rPr>
              <w:t>Співвідношення реального і фактичного показника ранньої неонатальної смертності</w:t>
            </w:r>
          </w:p>
        </w:tc>
        <w:tc>
          <w:tcPr>
            <w:tcW w:w="850"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w:t>
            </w:r>
          </w:p>
        </w:tc>
        <w:tc>
          <w:tcPr>
            <w:tcW w:w="1087"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3,15</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0,0</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0,00</w:t>
            </w:r>
          </w:p>
        </w:tc>
      </w:tr>
      <w:tr w:rsidR="002D34E6" w:rsidRPr="002D34E6" w:rsidTr="002D34E6">
        <w:trPr>
          <w:trHeight w:val="216"/>
        </w:trPr>
        <w:tc>
          <w:tcPr>
            <w:tcW w:w="4536"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rPr>
                <w:rFonts w:eastAsia="Times New Roman"/>
                <w:sz w:val="24"/>
                <w:szCs w:val="24"/>
                <w:lang w:eastAsia="ru-RU"/>
              </w:rPr>
            </w:pPr>
            <w:r w:rsidRPr="002D34E6">
              <w:rPr>
                <w:rFonts w:eastAsia="Times New Roman"/>
                <w:sz w:val="24"/>
                <w:szCs w:val="24"/>
                <w:lang w:eastAsia="ru-RU"/>
              </w:rPr>
              <w:t>Рівень неонатальної смертності</w:t>
            </w:r>
          </w:p>
        </w:tc>
        <w:tc>
          <w:tcPr>
            <w:tcW w:w="850"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5,66</w:t>
            </w:r>
          </w:p>
        </w:tc>
        <w:tc>
          <w:tcPr>
            <w:tcW w:w="1087"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3,51</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0,59</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w:t>
            </w:r>
          </w:p>
        </w:tc>
      </w:tr>
      <w:tr w:rsidR="002D34E6" w:rsidRPr="002D34E6" w:rsidTr="002D34E6">
        <w:trPr>
          <w:trHeight w:val="382"/>
        </w:trPr>
        <w:tc>
          <w:tcPr>
            <w:tcW w:w="4536"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left"/>
              <w:rPr>
                <w:rFonts w:eastAsia="Times New Roman"/>
                <w:sz w:val="24"/>
                <w:szCs w:val="24"/>
                <w:lang w:eastAsia="ru-RU"/>
              </w:rPr>
            </w:pPr>
            <w:r w:rsidRPr="002D34E6">
              <w:rPr>
                <w:rFonts w:eastAsia="Times New Roman"/>
                <w:sz w:val="24"/>
                <w:szCs w:val="24"/>
                <w:lang w:eastAsia="ru-RU"/>
              </w:rPr>
              <w:t xml:space="preserve">Рівень ранньої неонатальної смертності </w:t>
            </w:r>
          </w:p>
        </w:tc>
        <w:tc>
          <w:tcPr>
            <w:tcW w:w="850"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w:t>
            </w:r>
          </w:p>
        </w:tc>
        <w:tc>
          <w:tcPr>
            <w:tcW w:w="1087"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2,13</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6,0</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1,00</w:t>
            </w:r>
          </w:p>
        </w:tc>
      </w:tr>
      <w:tr w:rsidR="002D34E6" w:rsidRPr="002D34E6" w:rsidTr="002D34E6">
        <w:trPr>
          <w:trHeight w:val="274"/>
        </w:trPr>
        <w:tc>
          <w:tcPr>
            <w:tcW w:w="4536" w:type="dxa"/>
            <w:tcBorders>
              <w:top w:val="single" w:sz="4" w:space="0" w:color="auto"/>
              <w:left w:val="single" w:sz="4" w:space="0" w:color="auto"/>
              <w:bottom w:val="single" w:sz="4" w:space="0" w:color="auto"/>
              <w:right w:val="single" w:sz="4" w:space="0" w:color="auto"/>
            </w:tcBorders>
            <w:vAlign w:val="bottom"/>
          </w:tcPr>
          <w:p w:rsidR="002D34E6" w:rsidRPr="002D34E6" w:rsidRDefault="002D34E6" w:rsidP="002D34E6">
            <w:pPr>
              <w:keepNext/>
              <w:jc w:val="left"/>
              <w:rPr>
                <w:rFonts w:eastAsia="Times New Roman"/>
                <w:sz w:val="24"/>
                <w:szCs w:val="24"/>
                <w:lang w:eastAsia="ru-RU"/>
              </w:rPr>
            </w:pPr>
            <w:r w:rsidRPr="002D34E6">
              <w:rPr>
                <w:rFonts w:eastAsia="Times New Roman"/>
                <w:sz w:val="24"/>
                <w:szCs w:val="24"/>
                <w:lang w:eastAsia="ru-RU"/>
              </w:rPr>
              <w:t xml:space="preserve">Рівень материнської смертності </w:t>
            </w:r>
          </w:p>
        </w:tc>
        <w:tc>
          <w:tcPr>
            <w:tcW w:w="850"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17,4</w:t>
            </w:r>
          </w:p>
        </w:tc>
        <w:tc>
          <w:tcPr>
            <w:tcW w:w="1087"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0,00</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2,09</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5,0</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0,42</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1,00</w:t>
            </w:r>
          </w:p>
        </w:tc>
      </w:tr>
      <w:tr w:rsidR="002D34E6" w:rsidRPr="002D34E6" w:rsidTr="002D34E6">
        <w:trPr>
          <w:trHeight w:val="300"/>
        </w:trPr>
        <w:tc>
          <w:tcPr>
            <w:tcW w:w="4536" w:type="dxa"/>
            <w:tcBorders>
              <w:top w:val="single" w:sz="4" w:space="0" w:color="auto"/>
              <w:left w:val="single" w:sz="4" w:space="0" w:color="auto"/>
              <w:bottom w:val="single" w:sz="4" w:space="0" w:color="auto"/>
              <w:right w:val="single" w:sz="4" w:space="0" w:color="auto"/>
            </w:tcBorders>
            <w:noWrap/>
            <w:vAlign w:val="bottom"/>
            <w:hideMark/>
          </w:tcPr>
          <w:p w:rsidR="002D34E6" w:rsidRPr="002D34E6" w:rsidRDefault="002D34E6" w:rsidP="002D34E6">
            <w:pPr>
              <w:keepNext/>
              <w:jc w:val="left"/>
              <w:rPr>
                <w:rFonts w:eastAsia="Times New Roman"/>
                <w:sz w:val="24"/>
                <w:szCs w:val="24"/>
                <w:lang w:eastAsia="ru-RU"/>
              </w:rPr>
            </w:pPr>
          </w:p>
        </w:tc>
        <w:tc>
          <w:tcPr>
            <w:tcW w:w="850" w:type="dxa"/>
            <w:tcBorders>
              <w:top w:val="single" w:sz="4" w:space="0" w:color="auto"/>
              <w:left w:val="single" w:sz="4" w:space="0" w:color="auto"/>
              <w:bottom w:val="single" w:sz="4" w:space="0" w:color="auto"/>
              <w:right w:val="single" w:sz="4" w:space="0" w:color="auto"/>
            </w:tcBorders>
            <w:noWrap/>
            <w:vAlign w:val="center"/>
          </w:tcPr>
          <w:p w:rsidR="002D34E6" w:rsidRPr="002D34E6" w:rsidRDefault="002D34E6" w:rsidP="002D34E6">
            <w:pPr>
              <w:keepNext/>
              <w:jc w:val="center"/>
              <w:rPr>
                <w:rFonts w:eastAsia="Times New Roman"/>
                <w:sz w:val="24"/>
                <w:szCs w:val="24"/>
                <w:lang w:eastAsia="ru-RU"/>
              </w:rPr>
            </w:pPr>
          </w:p>
        </w:tc>
        <w:tc>
          <w:tcPr>
            <w:tcW w:w="1087"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color w:val="000000"/>
                <w:sz w:val="24"/>
                <w:szCs w:val="24"/>
                <w:lang w:eastAsia="ru-RU"/>
              </w:rPr>
            </w:pPr>
          </w:p>
        </w:tc>
        <w:tc>
          <w:tcPr>
            <w:tcW w:w="968" w:type="dxa"/>
            <w:tcBorders>
              <w:top w:val="single" w:sz="4" w:space="0" w:color="auto"/>
              <w:left w:val="single" w:sz="4" w:space="0" w:color="auto"/>
              <w:bottom w:val="single" w:sz="4" w:space="0" w:color="auto"/>
              <w:right w:val="single" w:sz="4" w:space="0" w:color="auto"/>
            </w:tcBorders>
            <w:noWrap/>
            <w:vAlign w:val="center"/>
          </w:tcPr>
          <w:p w:rsidR="002D34E6" w:rsidRPr="002D34E6" w:rsidRDefault="002D34E6" w:rsidP="002D34E6">
            <w:pPr>
              <w:keepNext/>
              <w:jc w:val="center"/>
              <w:rPr>
                <w:rFonts w:eastAsia="Times New Roman"/>
                <w:color w:val="000000"/>
                <w:sz w:val="24"/>
                <w:szCs w:val="24"/>
                <w:lang w:eastAsia="ru-RU"/>
              </w:rPr>
            </w:pPr>
            <w:r w:rsidRPr="002D34E6">
              <w:rPr>
                <w:rFonts w:eastAsia="Times New Roman"/>
                <w:color w:val="000000"/>
                <w:sz w:val="24"/>
                <w:szCs w:val="24"/>
                <w:lang w:eastAsia="ru-RU"/>
              </w:rPr>
              <w:t>90,47</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color w:val="000000"/>
                <w:sz w:val="24"/>
                <w:szCs w:val="24"/>
                <w:lang w:eastAsia="ru-RU"/>
              </w:rPr>
            </w:pPr>
            <w:r w:rsidRPr="002D34E6">
              <w:rPr>
                <w:rFonts w:eastAsia="Times New Roman"/>
                <w:color w:val="000000"/>
                <w:sz w:val="24"/>
                <w:szCs w:val="24"/>
                <w:lang w:eastAsia="ru-RU"/>
              </w:rPr>
              <w:t>104,9</w:t>
            </w:r>
          </w:p>
        </w:tc>
        <w:tc>
          <w:tcPr>
            <w:tcW w:w="968" w:type="dxa"/>
            <w:tcBorders>
              <w:top w:val="single" w:sz="4" w:space="0" w:color="auto"/>
              <w:left w:val="single" w:sz="4" w:space="0" w:color="auto"/>
              <w:bottom w:val="single" w:sz="4" w:space="0" w:color="auto"/>
              <w:right w:val="single" w:sz="4" w:space="0" w:color="auto"/>
            </w:tcBorders>
            <w:noWrap/>
            <w:vAlign w:val="center"/>
          </w:tcPr>
          <w:p w:rsidR="002D34E6" w:rsidRPr="002D34E6" w:rsidRDefault="002D34E6" w:rsidP="002D34E6">
            <w:pPr>
              <w:keepNext/>
              <w:jc w:val="center"/>
              <w:rPr>
                <w:rFonts w:eastAsia="Times New Roman"/>
                <w:color w:val="000000"/>
                <w:sz w:val="24"/>
                <w:szCs w:val="24"/>
                <w:lang w:eastAsia="ru-RU"/>
              </w:rPr>
            </w:pPr>
            <w:r w:rsidRPr="002D34E6">
              <w:rPr>
                <w:rFonts w:eastAsia="Times New Roman"/>
                <w:color w:val="000000"/>
                <w:sz w:val="24"/>
                <w:szCs w:val="24"/>
                <w:lang w:eastAsia="ru-RU"/>
              </w:rPr>
              <w:t>0,75</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color w:val="000000"/>
                <w:sz w:val="24"/>
                <w:szCs w:val="24"/>
                <w:lang w:eastAsia="ru-RU"/>
              </w:rPr>
            </w:pPr>
            <w:r w:rsidRPr="002D34E6">
              <w:rPr>
                <w:rFonts w:eastAsia="Times New Roman"/>
                <w:color w:val="000000"/>
                <w:sz w:val="24"/>
                <w:szCs w:val="24"/>
                <w:lang w:eastAsia="ru-RU"/>
              </w:rPr>
              <w:t>0,81</w:t>
            </w:r>
          </w:p>
        </w:tc>
      </w:tr>
    </w:tbl>
    <w:p w:rsidR="00983FA2" w:rsidRPr="002D34E6" w:rsidRDefault="002D34E6" w:rsidP="002D34E6">
      <w:pPr>
        <w:jc w:val="right"/>
        <w:rPr>
          <w:i/>
          <w:lang w:val="ru-RU"/>
        </w:rPr>
      </w:pPr>
      <w:r w:rsidRPr="002D34E6">
        <w:rPr>
          <w:i/>
          <w:lang w:val="ru-RU"/>
        </w:rPr>
        <w:t>Продовження додаток Е-24</w:t>
      </w:r>
    </w:p>
    <w:p w:rsidR="00C43972" w:rsidRPr="002D34E6" w:rsidRDefault="00C43972" w:rsidP="00362A09">
      <w:pPr>
        <w:keepNext/>
        <w:pageBreakBefore/>
        <w:jc w:val="right"/>
        <w:rPr>
          <w:rFonts w:eastAsia="Times New Roman"/>
          <w:bCs/>
          <w:iCs/>
          <w:color w:val="000000"/>
          <w:szCs w:val="28"/>
          <w:lang w:val="ru-RU" w:eastAsia="uk-UA"/>
        </w:rPr>
      </w:pPr>
      <w:r w:rsidRPr="002D34E6">
        <w:rPr>
          <w:rFonts w:eastAsia="Times New Roman"/>
          <w:bCs/>
          <w:iCs/>
          <w:color w:val="000000"/>
          <w:szCs w:val="28"/>
          <w:lang w:val="ru-RU" w:eastAsia="uk-UA"/>
        </w:rPr>
        <w:lastRenderedPageBreak/>
        <w:t xml:space="preserve">Додаток </w:t>
      </w:r>
      <w:r w:rsidR="00FE0E9A" w:rsidRPr="002D34E6">
        <w:rPr>
          <w:rFonts w:eastAsia="Times New Roman"/>
          <w:bCs/>
          <w:iCs/>
          <w:color w:val="000000"/>
          <w:szCs w:val="28"/>
          <w:lang w:eastAsia="uk-UA"/>
        </w:rPr>
        <w:t>Е</w:t>
      </w:r>
      <w:r w:rsidRPr="002D34E6">
        <w:rPr>
          <w:rFonts w:eastAsia="Times New Roman"/>
          <w:bCs/>
          <w:iCs/>
          <w:color w:val="000000"/>
          <w:szCs w:val="28"/>
          <w:lang w:eastAsia="uk-UA"/>
        </w:rPr>
        <w:t>-25</w:t>
      </w:r>
    </w:p>
    <w:p w:rsidR="00C43972" w:rsidRPr="002D34E6" w:rsidRDefault="00C43972" w:rsidP="002D34E6">
      <w:pPr>
        <w:keepNext/>
        <w:jc w:val="center"/>
        <w:rPr>
          <w:rFonts w:eastAsia="Times New Roman"/>
          <w:b/>
          <w:sz w:val="24"/>
          <w:szCs w:val="24"/>
          <w:lang w:eastAsia="ru-RU"/>
        </w:rPr>
      </w:pPr>
      <w:r w:rsidRPr="002D34E6">
        <w:rPr>
          <w:rFonts w:eastAsia="Times New Roman"/>
          <w:b/>
          <w:bCs/>
          <w:iCs/>
          <w:color w:val="000000"/>
          <w:szCs w:val="28"/>
          <w:lang w:eastAsia="uk-UA"/>
        </w:rPr>
        <w:t xml:space="preserve">Комплексна оцінка діяльності закладів перинатальної допомоги Черкаської </w:t>
      </w:r>
      <w:r w:rsidRPr="002D34E6">
        <w:rPr>
          <w:rFonts w:eastAsia="Times New Roman"/>
          <w:b/>
          <w:bCs/>
          <w:iCs/>
          <w:color w:val="000000"/>
          <w:sz w:val="26"/>
          <w:szCs w:val="26"/>
          <w:lang w:eastAsia="uk-UA"/>
        </w:rPr>
        <w:t xml:space="preserve">області у </w:t>
      </w:r>
      <w:r w:rsidRPr="002D34E6">
        <w:rPr>
          <w:rFonts w:eastAsia="Times New Roman"/>
          <w:b/>
          <w:bCs/>
          <w:iCs/>
          <w:color w:val="000000"/>
          <w:szCs w:val="28"/>
          <w:lang w:eastAsia="uk-UA"/>
        </w:rPr>
        <w:t>2017–2018 рр.</w:t>
      </w:r>
    </w:p>
    <w:tbl>
      <w:tblPr>
        <w:tblW w:w="10347" w:type="dxa"/>
        <w:jc w:val="center"/>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36"/>
        <w:gridCol w:w="968"/>
        <w:gridCol w:w="969"/>
        <w:gridCol w:w="968"/>
        <w:gridCol w:w="969"/>
        <w:gridCol w:w="968"/>
        <w:gridCol w:w="969"/>
      </w:tblGrid>
      <w:tr w:rsidR="002D34E6" w:rsidRPr="002D34E6" w:rsidTr="002D34E6">
        <w:trPr>
          <w:cantSplit/>
          <w:trHeight w:val="652"/>
          <w:jc w:val="center"/>
        </w:trPr>
        <w:tc>
          <w:tcPr>
            <w:tcW w:w="4536" w:type="dxa"/>
            <w:vMerge w:val="restart"/>
            <w:tcBorders>
              <w:top w:val="single" w:sz="4" w:space="0" w:color="auto"/>
              <w:left w:val="single" w:sz="4" w:space="0" w:color="auto"/>
              <w:right w:val="single" w:sz="4" w:space="0" w:color="auto"/>
            </w:tcBorders>
            <w:vAlign w:val="center"/>
            <w:hideMark/>
          </w:tcPr>
          <w:p w:rsidR="002D34E6" w:rsidRPr="002D34E6" w:rsidRDefault="002D34E6" w:rsidP="002D34E6">
            <w:pPr>
              <w:keepNext/>
              <w:jc w:val="center"/>
              <w:rPr>
                <w:rFonts w:eastAsia="Times New Roman"/>
                <w:color w:val="000000"/>
                <w:sz w:val="24"/>
                <w:szCs w:val="24"/>
                <w:lang w:eastAsia="uk-UA"/>
              </w:rPr>
            </w:pPr>
            <w:r w:rsidRPr="002D34E6">
              <w:rPr>
                <w:rFonts w:eastAsia="Times New Roman"/>
                <w:color w:val="000000"/>
                <w:sz w:val="24"/>
                <w:szCs w:val="24"/>
                <w:lang w:eastAsia="uk-UA"/>
              </w:rPr>
              <w:t>Індикатор якості</w:t>
            </w:r>
          </w:p>
        </w:tc>
        <w:tc>
          <w:tcPr>
            <w:tcW w:w="1937" w:type="dxa"/>
            <w:gridSpan w:val="2"/>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color w:val="000000"/>
                <w:sz w:val="24"/>
                <w:szCs w:val="24"/>
                <w:lang w:eastAsia="uk-UA"/>
              </w:rPr>
            </w:pPr>
            <w:r w:rsidRPr="002D34E6">
              <w:rPr>
                <w:rFonts w:eastAsia="Times New Roman"/>
                <w:color w:val="000000"/>
                <w:sz w:val="24"/>
                <w:szCs w:val="24"/>
                <w:lang w:eastAsia="uk-UA"/>
              </w:rPr>
              <w:t xml:space="preserve">Фактичний показник, </w:t>
            </w:r>
            <w:r w:rsidRPr="002D34E6">
              <w:rPr>
                <w:rFonts w:eastAsia="Times New Roman"/>
                <w:sz w:val="24"/>
                <w:szCs w:val="24"/>
                <w:lang w:eastAsia="uk-UA"/>
              </w:rPr>
              <w:t>Україна</w:t>
            </w:r>
          </w:p>
        </w:tc>
        <w:tc>
          <w:tcPr>
            <w:tcW w:w="1937" w:type="dxa"/>
            <w:gridSpan w:val="2"/>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color w:val="000000"/>
                <w:sz w:val="24"/>
                <w:szCs w:val="24"/>
                <w:lang w:eastAsia="uk-UA"/>
              </w:rPr>
            </w:pPr>
            <w:r w:rsidRPr="002D34E6">
              <w:rPr>
                <w:rFonts w:eastAsia="Times New Roman"/>
                <w:color w:val="000000"/>
                <w:sz w:val="24"/>
                <w:szCs w:val="24"/>
                <w:lang w:eastAsia="uk-UA"/>
              </w:rPr>
              <w:t>Бальна оцінка фактичного показника</w:t>
            </w:r>
          </w:p>
        </w:tc>
        <w:tc>
          <w:tcPr>
            <w:tcW w:w="1937" w:type="dxa"/>
            <w:gridSpan w:val="2"/>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color w:val="000000"/>
                <w:sz w:val="24"/>
                <w:szCs w:val="24"/>
                <w:lang w:eastAsia="uk-UA"/>
              </w:rPr>
            </w:pPr>
            <w:r w:rsidRPr="002D34E6">
              <w:rPr>
                <w:rFonts w:eastAsia="Times New Roman"/>
                <w:color w:val="000000"/>
                <w:sz w:val="24"/>
                <w:szCs w:val="24"/>
                <w:lang w:eastAsia="uk-UA"/>
              </w:rPr>
              <w:t>КДНЗ</w:t>
            </w:r>
          </w:p>
        </w:tc>
      </w:tr>
      <w:tr w:rsidR="002D34E6" w:rsidRPr="002D34E6" w:rsidTr="002D34E6">
        <w:trPr>
          <w:trHeight w:val="404"/>
          <w:jc w:val="center"/>
        </w:trPr>
        <w:tc>
          <w:tcPr>
            <w:tcW w:w="4536" w:type="dxa"/>
            <w:vMerge/>
            <w:tcBorders>
              <w:left w:val="single" w:sz="4" w:space="0" w:color="auto"/>
              <w:bottom w:val="single" w:sz="4" w:space="0" w:color="auto"/>
              <w:right w:val="single" w:sz="4" w:space="0" w:color="auto"/>
            </w:tcBorders>
            <w:vAlign w:val="bottom"/>
          </w:tcPr>
          <w:p w:rsidR="002D34E6" w:rsidRPr="002D34E6" w:rsidRDefault="002D34E6" w:rsidP="002D34E6">
            <w:pPr>
              <w:keepNext/>
              <w:jc w:val="left"/>
              <w:rPr>
                <w:rFonts w:eastAsia="Times New Roman"/>
                <w:sz w:val="24"/>
                <w:szCs w:val="24"/>
                <w:lang w:eastAsia="ru-RU"/>
              </w:rPr>
            </w:pP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2017 р.</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color w:val="000000"/>
                <w:sz w:val="24"/>
                <w:szCs w:val="24"/>
                <w:lang w:eastAsia="ru-RU"/>
              </w:rPr>
            </w:pPr>
            <w:r w:rsidRPr="002D34E6">
              <w:rPr>
                <w:rFonts w:eastAsia="Times New Roman"/>
                <w:color w:val="000000"/>
                <w:sz w:val="24"/>
                <w:szCs w:val="24"/>
                <w:lang w:eastAsia="ru-RU"/>
              </w:rPr>
              <w:t>2018 р.</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2017 р.</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2017 р.</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color w:val="000000"/>
                <w:sz w:val="24"/>
                <w:szCs w:val="24"/>
                <w:lang w:eastAsia="ru-RU"/>
              </w:rPr>
            </w:pPr>
            <w:r w:rsidRPr="002D34E6">
              <w:rPr>
                <w:rFonts w:eastAsia="Times New Roman"/>
                <w:color w:val="000000"/>
                <w:sz w:val="24"/>
                <w:szCs w:val="24"/>
                <w:lang w:eastAsia="ru-RU"/>
              </w:rPr>
              <w:t>2018 р.</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2017 р.</w:t>
            </w:r>
          </w:p>
        </w:tc>
      </w:tr>
      <w:tr w:rsidR="002D34E6" w:rsidRPr="002D34E6" w:rsidTr="002D34E6">
        <w:trPr>
          <w:trHeight w:val="404"/>
          <w:jc w:val="center"/>
        </w:trPr>
        <w:tc>
          <w:tcPr>
            <w:tcW w:w="4536"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left"/>
              <w:rPr>
                <w:rFonts w:eastAsia="Times New Roman"/>
                <w:sz w:val="24"/>
                <w:szCs w:val="24"/>
                <w:lang w:eastAsia="ru-RU"/>
              </w:rPr>
            </w:pPr>
            <w:r w:rsidRPr="002D34E6">
              <w:rPr>
                <w:rFonts w:eastAsia="Times New Roman"/>
                <w:sz w:val="24"/>
                <w:szCs w:val="24"/>
                <w:lang w:eastAsia="ru-RU"/>
              </w:rPr>
              <w:t>Забезпеченість  лікарями акушер-гінекологами</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4,08</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4,13</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4,45</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4,51</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0,74</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0,75</w:t>
            </w:r>
          </w:p>
        </w:tc>
      </w:tr>
      <w:tr w:rsidR="002D34E6" w:rsidRPr="002D34E6" w:rsidTr="002D34E6">
        <w:trPr>
          <w:trHeight w:val="404"/>
          <w:jc w:val="center"/>
        </w:trPr>
        <w:tc>
          <w:tcPr>
            <w:tcW w:w="4536" w:type="dxa"/>
            <w:tcBorders>
              <w:top w:val="single" w:sz="4" w:space="0" w:color="auto"/>
              <w:left w:val="single" w:sz="4" w:space="0" w:color="auto"/>
              <w:bottom w:val="single" w:sz="4" w:space="0" w:color="auto"/>
              <w:right w:val="single" w:sz="4" w:space="0" w:color="auto"/>
            </w:tcBorders>
            <w:vAlign w:val="bottom"/>
          </w:tcPr>
          <w:p w:rsidR="002D34E6" w:rsidRPr="002D34E6" w:rsidRDefault="002D34E6" w:rsidP="002D34E6">
            <w:pPr>
              <w:keepNext/>
              <w:jc w:val="left"/>
              <w:rPr>
                <w:rFonts w:eastAsia="Times New Roman"/>
                <w:sz w:val="24"/>
                <w:szCs w:val="24"/>
                <w:lang w:eastAsia="ru-RU"/>
              </w:rPr>
            </w:pPr>
            <w:r w:rsidRPr="002D34E6">
              <w:rPr>
                <w:rFonts w:eastAsia="Times New Roman"/>
                <w:sz w:val="24"/>
                <w:szCs w:val="24"/>
                <w:lang w:eastAsia="ru-RU"/>
              </w:rPr>
              <w:t>Забезпеченість  лікарями  педіатрами-неонатологами</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4,92</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5,87</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5,37</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6,0</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0,89</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1,00</w:t>
            </w:r>
          </w:p>
        </w:tc>
      </w:tr>
      <w:tr w:rsidR="002D34E6" w:rsidRPr="002D34E6" w:rsidTr="002D34E6">
        <w:trPr>
          <w:trHeight w:val="404"/>
          <w:jc w:val="center"/>
        </w:trPr>
        <w:tc>
          <w:tcPr>
            <w:tcW w:w="4536" w:type="dxa"/>
            <w:tcBorders>
              <w:top w:val="single" w:sz="4" w:space="0" w:color="auto"/>
              <w:left w:val="single" w:sz="4" w:space="0" w:color="auto"/>
              <w:bottom w:val="single" w:sz="4" w:space="0" w:color="auto"/>
              <w:right w:val="single" w:sz="4" w:space="0" w:color="auto"/>
            </w:tcBorders>
            <w:vAlign w:val="bottom"/>
          </w:tcPr>
          <w:p w:rsidR="002D34E6" w:rsidRPr="002D34E6" w:rsidRDefault="002D34E6" w:rsidP="002D34E6">
            <w:pPr>
              <w:keepNext/>
              <w:jc w:val="left"/>
              <w:rPr>
                <w:rFonts w:eastAsia="Times New Roman"/>
                <w:sz w:val="24"/>
                <w:szCs w:val="24"/>
                <w:lang w:eastAsia="ru-RU"/>
              </w:rPr>
            </w:pPr>
            <w:r w:rsidRPr="002D34E6">
              <w:rPr>
                <w:rFonts w:eastAsia="Times New Roman"/>
                <w:sz w:val="24"/>
                <w:szCs w:val="24"/>
                <w:lang w:eastAsia="ru-RU"/>
              </w:rPr>
              <w:t>Питома вага атестованих лікарів акушер-гінекологів</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86,76</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5,78</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0,96</w:t>
            </w:r>
          </w:p>
        </w:tc>
      </w:tr>
      <w:tr w:rsidR="002D34E6" w:rsidRPr="002D34E6" w:rsidTr="002D34E6">
        <w:trPr>
          <w:trHeight w:val="404"/>
          <w:jc w:val="center"/>
        </w:trPr>
        <w:tc>
          <w:tcPr>
            <w:tcW w:w="4536" w:type="dxa"/>
            <w:tcBorders>
              <w:top w:val="single" w:sz="4" w:space="0" w:color="auto"/>
              <w:left w:val="single" w:sz="4" w:space="0" w:color="auto"/>
              <w:bottom w:val="single" w:sz="4" w:space="0" w:color="auto"/>
              <w:right w:val="single" w:sz="4" w:space="0" w:color="auto"/>
            </w:tcBorders>
            <w:vAlign w:val="bottom"/>
          </w:tcPr>
          <w:p w:rsidR="002D34E6" w:rsidRPr="002D34E6" w:rsidRDefault="002D34E6" w:rsidP="002D34E6">
            <w:pPr>
              <w:keepNext/>
              <w:jc w:val="left"/>
              <w:rPr>
                <w:rFonts w:eastAsia="Times New Roman"/>
                <w:sz w:val="24"/>
                <w:szCs w:val="24"/>
                <w:lang w:eastAsia="ru-RU"/>
              </w:rPr>
            </w:pPr>
            <w:r w:rsidRPr="002D34E6">
              <w:rPr>
                <w:rFonts w:eastAsia="Times New Roman"/>
                <w:sz w:val="24"/>
                <w:szCs w:val="24"/>
                <w:lang w:eastAsia="ru-RU"/>
              </w:rPr>
              <w:t>Питома вага атестованих лікарів педіатрів-неонатологів</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72,00</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5,40</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0,90</w:t>
            </w:r>
          </w:p>
        </w:tc>
      </w:tr>
      <w:tr w:rsidR="002D34E6" w:rsidRPr="002D34E6" w:rsidTr="002D34E6">
        <w:trPr>
          <w:trHeight w:val="232"/>
          <w:jc w:val="center"/>
        </w:trPr>
        <w:tc>
          <w:tcPr>
            <w:tcW w:w="4536"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left"/>
              <w:rPr>
                <w:rFonts w:eastAsia="Times New Roman"/>
                <w:sz w:val="24"/>
                <w:szCs w:val="24"/>
                <w:lang w:eastAsia="ru-RU"/>
              </w:rPr>
            </w:pPr>
            <w:r w:rsidRPr="002D34E6">
              <w:rPr>
                <w:rFonts w:eastAsia="Times New Roman"/>
                <w:sz w:val="24"/>
                <w:szCs w:val="24"/>
                <w:lang w:eastAsia="ru-RU"/>
              </w:rPr>
              <w:t xml:space="preserve">Своєчасність постановки на облік вагітних </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color w:val="000000"/>
                <w:sz w:val="24"/>
                <w:szCs w:val="24"/>
                <w:lang w:eastAsia="ru-RU"/>
              </w:rPr>
            </w:pPr>
            <w:r w:rsidRPr="002D34E6">
              <w:rPr>
                <w:rFonts w:eastAsia="Times New Roman"/>
                <w:color w:val="000000"/>
                <w:sz w:val="24"/>
                <w:szCs w:val="24"/>
                <w:lang w:eastAsia="ru-RU"/>
              </w:rPr>
              <w:t>89,44</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88,34</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color w:val="000000"/>
                <w:sz w:val="24"/>
                <w:szCs w:val="24"/>
                <w:lang w:eastAsia="ru-RU"/>
              </w:rPr>
            </w:pPr>
            <w:r w:rsidRPr="002D34E6">
              <w:rPr>
                <w:rFonts w:eastAsia="Times New Roman"/>
                <w:color w:val="000000"/>
                <w:sz w:val="24"/>
                <w:szCs w:val="24"/>
                <w:lang w:eastAsia="ru-RU"/>
              </w:rPr>
              <w:t>6,59</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6,53</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color w:val="000000"/>
                <w:sz w:val="24"/>
                <w:szCs w:val="24"/>
                <w:lang w:eastAsia="ru-RU"/>
              </w:rPr>
            </w:pPr>
            <w:r w:rsidRPr="002D34E6">
              <w:rPr>
                <w:rFonts w:eastAsia="Times New Roman"/>
                <w:color w:val="000000"/>
                <w:sz w:val="24"/>
                <w:szCs w:val="24"/>
                <w:lang w:eastAsia="ru-RU"/>
              </w:rPr>
              <w:t>0,94</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0,93</w:t>
            </w:r>
          </w:p>
        </w:tc>
      </w:tr>
      <w:tr w:rsidR="002D34E6" w:rsidRPr="002D34E6" w:rsidTr="002D34E6">
        <w:trPr>
          <w:trHeight w:val="264"/>
          <w:jc w:val="center"/>
        </w:trPr>
        <w:tc>
          <w:tcPr>
            <w:tcW w:w="4536"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left"/>
              <w:rPr>
                <w:rFonts w:eastAsia="Times New Roman"/>
                <w:sz w:val="24"/>
                <w:szCs w:val="24"/>
                <w:lang w:eastAsia="ru-RU"/>
              </w:rPr>
            </w:pPr>
            <w:r w:rsidRPr="002D34E6">
              <w:rPr>
                <w:rFonts w:eastAsia="Times New Roman"/>
                <w:sz w:val="24"/>
                <w:szCs w:val="24"/>
                <w:lang w:eastAsia="ru-RU"/>
              </w:rPr>
              <w:t>Частота анемій вагітних</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color w:val="000000"/>
                <w:sz w:val="24"/>
                <w:szCs w:val="24"/>
                <w:lang w:eastAsia="ru-RU"/>
              </w:rPr>
            </w:pPr>
            <w:r w:rsidRPr="002D34E6">
              <w:rPr>
                <w:rFonts w:eastAsia="Times New Roman"/>
                <w:color w:val="000000"/>
                <w:sz w:val="24"/>
                <w:szCs w:val="24"/>
                <w:lang w:eastAsia="ru-RU"/>
              </w:rPr>
              <w:t>20,25</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23,52</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color w:val="000000"/>
                <w:sz w:val="24"/>
                <w:szCs w:val="24"/>
                <w:lang w:eastAsia="ru-RU"/>
              </w:rPr>
            </w:pPr>
            <w:r w:rsidRPr="002D34E6">
              <w:rPr>
                <w:rFonts w:eastAsia="Times New Roman"/>
                <w:color w:val="000000"/>
                <w:sz w:val="24"/>
                <w:szCs w:val="24"/>
                <w:lang w:eastAsia="ru-RU"/>
              </w:rPr>
              <w:t>3,95</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3,62</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color w:val="000000"/>
                <w:sz w:val="24"/>
                <w:szCs w:val="24"/>
                <w:lang w:eastAsia="ru-RU"/>
              </w:rPr>
            </w:pPr>
            <w:r w:rsidRPr="002D34E6">
              <w:rPr>
                <w:rFonts w:eastAsia="Times New Roman"/>
                <w:color w:val="000000"/>
                <w:sz w:val="24"/>
                <w:szCs w:val="24"/>
                <w:lang w:eastAsia="ru-RU"/>
              </w:rPr>
              <w:t>0,99</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0,91</w:t>
            </w:r>
          </w:p>
        </w:tc>
      </w:tr>
      <w:tr w:rsidR="002D34E6" w:rsidRPr="002D34E6" w:rsidTr="002D34E6">
        <w:trPr>
          <w:trHeight w:val="319"/>
          <w:jc w:val="center"/>
        </w:trPr>
        <w:tc>
          <w:tcPr>
            <w:tcW w:w="4536"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left"/>
              <w:rPr>
                <w:rFonts w:eastAsia="Times New Roman"/>
                <w:sz w:val="24"/>
                <w:szCs w:val="24"/>
                <w:lang w:eastAsia="ru-RU"/>
              </w:rPr>
            </w:pPr>
            <w:r w:rsidRPr="002D34E6">
              <w:rPr>
                <w:rFonts w:eastAsia="Times New Roman"/>
                <w:sz w:val="24"/>
                <w:szCs w:val="24"/>
                <w:lang w:eastAsia="ru-RU"/>
              </w:rPr>
              <w:t>Частота прееклампсій та еклампсій вагітних</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color w:val="000000"/>
                <w:sz w:val="24"/>
                <w:szCs w:val="24"/>
                <w:lang w:eastAsia="ru-RU"/>
              </w:rPr>
            </w:pPr>
            <w:r w:rsidRPr="002D34E6">
              <w:rPr>
                <w:rFonts w:eastAsia="Times New Roman"/>
                <w:color w:val="000000"/>
                <w:sz w:val="24"/>
                <w:szCs w:val="24"/>
                <w:lang w:eastAsia="ru-RU"/>
              </w:rPr>
              <w:t>2,2</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2,21</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color w:val="000000"/>
                <w:sz w:val="24"/>
                <w:szCs w:val="24"/>
                <w:lang w:eastAsia="ru-RU"/>
              </w:rPr>
            </w:pPr>
            <w:r w:rsidRPr="002D34E6">
              <w:rPr>
                <w:rFonts w:eastAsia="Times New Roman"/>
                <w:color w:val="000000"/>
                <w:sz w:val="24"/>
                <w:szCs w:val="24"/>
                <w:lang w:eastAsia="ru-RU"/>
              </w:rPr>
              <w:t>5,20</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5,16</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color w:val="000000"/>
                <w:sz w:val="24"/>
                <w:szCs w:val="24"/>
                <w:lang w:eastAsia="ru-RU"/>
              </w:rPr>
            </w:pPr>
            <w:r w:rsidRPr="002D34E6">
              <w:rPr>
                <w:rFonts w:eastAsia="Times New Roman"/>
                <w:color w:val="000000"/>
                <w:sz w:val="24"/>
                <w:szCs w:val="24"/>
                <w:lang w:eastAsia="ru-RU"/>
              </w:rPr>
              <w:t>0,74</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0,74</w:t>
            </w:r>
          </w:p>
        </w:tc>
      </w:tr>
      <w:tr w:rsidR="002D34E6" w:rsidRPr="002D34E6" w:rsidTr="002D34E6">
        <w:trPr>
          <w:trHeight w:val="284"/>
          <w:jc w:val="center"/>
        </w:trPr>
        <w:tc>
          <w:tcPr>
            <w:tcW w:w="4536"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left"/>
              <w:rPr>
                <w:rFonts w:eastAsia="Times New Roman"/>
                <w:sz w:val="24"/>
                <w:szCs w:val="24"/>
                <w:lang w:eastAsia="ru-RU"/>
              </w:rPr>
            </w:pPr>
            <w:r w:rsidRPr="002D34E6">
              <w:rPr>
                <w:rFonts w:eastAsia="Times New Roman"/>
                <w:sz w:val="24"/>
                <w:szCs w:val="24"/>
                <w:lang w:eastAsia="ru-RU"/>
              </w:rPr>
              <w:t>Співвідношення безпечних методів абортів до небезпечних</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color w:val="000000"/>
                <w:sz w:val="24"/>
                <w:szCs w:val="24"/>
                <w:lang w:eastAsia="ru-RU"/>
              </w:rPr>
            </w:pPr>
            <w:r w:rsidRPr="002D34E6">
              <w:rPr>
                <w:rFonts w:eastAsia="Times New Roman"/>
                <w:color w:val="000000"/>
                <w:sz w:val="24"/>
                <w:szCs w:val="24"/>
                <w:lang w:eastAsia="ru-RU"/>
              </w:rPr>
              <w:t>10,25</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9,96</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color w:val="000000"/>
                <w:sz w:val="24"/>
                <w:szCs w:val="24"/>
                <w:lang w:eastAsia="ru-RU"/>
              </w:rPr>
            </w:pPr>
            <w:r w:rsidRPr="002D34E6">
              <w:rPr>
                <w:rFonts w:eastAsia="Times New Roman"/>
                <w:color w:val="000000"/>
                <w:sz w:val="24"/>
                <w:szCs w:val="24"/>
                <w:lang w:eastAsia="ru-RU"/>
              </w:rPr>
              <w:t>6,00</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6,0</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color w:val="000000"/>
                <w:sz w:val="24"/>
                <w:szCs w:val="24"/>
                <w:lang w:eastAsia="ru-RU"/>
              </w:rPr>
            </w:pPr>
            <w:r w:rsidRPr="002D34E6">
              <w:rPr>
                <w:rFonts w:eastAsia="Times New Roman"/>
                <w:color w:val="000000"/>
                <w:sz w:val="24"/>
                <w:szCs w:val="24"/>
                <w:lang w:eastAsia="ru-RU"/>
              </w:rPr>
              <w:t>1,00</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1,00</w:t>
            </w:r>
          </w:p>
        </w:tc>
      </w:tr>
      <w:tr w:rsidR="002D34E6" w:rsidRPr="002D34E6" w:rsidTr="002D34E6">
        <w:trPr>
          <w:trHeight w:val="340"/>
          <w:jc w:val="center"/>
        </w:trPr>
        <w:tc>
          <w:tcPr>
            <w:tcW w:w="4536" w:type="dxa"/>
            <w:tcBorders>
              <w:top w:val="single" w:sz="4" w:space="0" w:color="auto"/>
              <w:left w:val="single" w:sz="4" w:space="0" w:color="auto"/>
              <w:bottom w:val="single" w:sz="4" w:space="0" w:color="auto"/>
              <w:right w:val="single" w:sz="4" w:space="0" w:color="auto"/>
            </w:tcBorders>
            <w:vAlign w:val="bottom"/>
          </w:tcPr>
          <w:p w:rsidR="002D34E6" w:rsidRPr="002D34E6" w:rsidRDefault="002D34E6" w:rsidP="002D34E6">
            <w:pPr>
              <w:keepNext/>
              <w:jc w:val="left"/>
              <w:rPr>
                <w:rFonts w:eastAsia="Times New Roman"/>
                <w:sz w:val="24"/>
                <w:szCs w:val="24"/>
                <w:lang w:eastAsia="ru-RU"/>
              </w:rPr>
            </w:pPr>
            <w:r w:rsidRPr="002D34E6">
              <w:rPr>
                <w:rFonts w:eastAsia="Times New Roman"/>
                <w:sz w:val="24"/>
                <w:szCs w:val="24"/>
                <w:lang w:eastAsia="ru-RU"/>
              </w:rPr>
              <w:t>Питома вага хворих виявлення в ранніх стадіях (І – ІІ) серед хворих з вперше встановленим діагнозом онкологія молочної залози</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74,90</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5,64</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0,94</w:t>
            </w:r>
          </w:p>
        </w:tc>
      </w:tr>
      <w:tr w:rsidR="002D34E6" w:rsidRPr="002D34E6" w:rsidTr="002D34E6">
        <w:trPr>
          <w:trHeight w:val="418"/>
          <w:jc w:val="center"/>
        </w:trPr>
        <w:tc>
          <w:tcPr>
            <w:tcW w:w="4536" w:type="dxa"/>
            <w:tcBorders>
              <w:top w:val="single" w:sz="4" w:space="0" w:color="auto"/>
              <w:left w:val="single" w:sz="4" w:space="0" w:color="auto"/>
              <w:bottom w:val="single" w:sz="4" w:space="0" w:color="auto"/>
              <w:right w:val="single" w:sz="4" w:space="0" w:color="auto"/>
            </w:tcBorders>
            <w:vAlign w:val="bottom"/>
          </w:tcPr>
          <w:p w:rsidR="002D34E6" w:rsidRPr="002D34E6" w:rsidRDefault="002D34E6" w:rsidP="002D34E6">
            <w:pPr>
              <w:keepNext/>
              <w:jc w:val="left"/>
              <w:rPr>
                <w:rFonts w:eastAsia="Times New Roman"/>
                <w:sz w:val="24"/>
                <w:szCs w:val="24"/>
                <w:lang w:eastAsia="ru-RU"/>
              </w:rPr>
            </w:pPr>
            <w:r w:rsidRPr="002D34E6">
              <w:rPr>
                <w:rFonts w:eastAsia="Times New Roman"/>
                <w:sz w:val="24"/>
                <w:szCs w:val="24"/>
                <w:lang w:eastAsia="ru-RU"/>
              </w:rPr>
              <w:t>Питома вага хворих виявлення в ранніх стадіях (І – ІІ) серед хворих з вперше встановленим діагнозом онкологія шийки матки</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76,10</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5,73</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0,96</w:t>
            </w:r>
          </w:p>
        </w:tc>
      </w:tr>
      <w:tr w:rsidR="002D34E6" w:rsidRPr="002D34E6" w:rsidTr="002D34E6">
        <w:trPr>
          <w:trHeight w:val="418"/>
          <w:jc w:val="center"/>
        </w:trPr>
        <w:tc>
          <w:tcPr>
            <w:tcW w:w="4536" w:type="dxa"/>
            <w:tcBorders>
              <w:top w:val="single" w:sz="4" w:space="0" w:color="auto"/>
              <w:left w:val="single" w:sz="4" w:space="0" w:color="auto"/>
              <w:bottom w:val="single" w:sz="4" w:space="0" w:color="auto"/>
              <w:right w:val="single" w:sz="4" w:space="0" w:color="auto"/>
            </w:tcBorders>
          </w:tcPr>
          <w:p w:rsidR="002D34E6" w:rsidRPr="002D34E6" w:rsidRDefault="002D34E6" w:rsidP="002D34E6">
            <w:pPr>
              <w:keepNext/>
              <w:rPr>
                <w:rFonts w:eastAsia="Times New Roman"/>
                <w:color w:val="000000"/>
                <w:sz w:val="24"/>
                <w:szCs w:val="24"/>
                <w:lang w:eastAsia="uk-UA"/>
              </w:rPr>
            </w:pPr>
            <w:r w:rsidRPr="002D34E6">
              <w:rPr>
                <w:rFonts w:eastAsia="Times New Roman"/>
                <w:color w:val="000000"/>
                <w:sz w:val="24"/>
                <w:szCs w:val="24"/>
                <w:lang w:eastAsia="uk-UA"/>
              </w:rPr>
              <w:t>Індекс концентрації розродження вагітних з цукровим діабетом у ЗПД ІІІ рівня</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color w:val="000000"/>
                <w:sz w:val="24"/>
                <w:szCs w:val="24"/>
                <w:lang w:eastAsia="ru-RU"/>
              </w:rPr>
            </w:pPr>
            <w:r w:rsidRPr="002D34E6">
              <w:rPr>
                <w:rFonts w:eastAsia="Times New Roman"/>
                <w:color w:val="000000"/>
                <w:sz w:val="24"/>
                <w:szCs w:val="24"/>
                <w:lang w:eastAsia="ru-RU"/>
              </w:rPr>
              <w:t>48,94</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color w:val="000000"/>
                <w:sz w:val="24"/>
                <w:szCs w:val="24"/>
                <w:lang w:eastAsia="ru-RU"/>
              </w:rPr>
            </w:pPr>
            <w:r w:rsidRPr="002D34E6">
              <w:rPr>
                <w:rFonts w:eastAsia="Times New Roman"/>
                <w:color w:val="000000"/>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color w:val="000000"/>
                <w:sz w:val="24"/>
                <w:szCs w:val="24"/>
                <w:lang w:eastAsia="ru-RU"/>
              </w:rPr>
            </w:pPr>
            <w:r w:rsidRPr="002D34E6">
              <w:rPr>
                <w:rFonts w:eastAsia="Times New Roman"/>
                <w:color w:val="000000"/>
                <w:sz w:val="24"/>
                <w:szCs w:val="24"/>
                <w:lang w:eastAsia="ru-RU"/>
              </w:rPr>
              <w:t>4,89</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color w:val="000000"/>
                <w:sz w:val="24"/>
                <w:szCs w:val="24"/>
                <w:lang w:eastAsia="ru-RU"/>
              </w:rPr>
            </w:pPr>
            <w:r w:rsidRPr="002D34E6">
              <w:rPr>
                <w:rFonts w:eastAsia="Times New Roman"/>
                <w:color w:val="000000"/>
                <w:sz w:val="24"/>
                <w:szCs w:val="24"/>
                <w:lang w:eastAsia="ru-RU"/>
              </w:rPr>
              <w:t>0,70</w:t>
            </w:r>
          </w:p>
        </w:tc>
        <w:tc>
          <w:tcPr>
            <w:tcW w:w="969" w:type="dxa"/>
            <w:tcBorders>
              <w:top w:val="single" w:sz="4" w:space="0" w:color="auto"/>
              <w:left w:val="single" w:sz="4" w:space="0" w:color="auto"/>
              <w:bottom w:val="single" w:sz="4" w:space="0" w:color="auto"/>
              <w:right w:val="single" w:sz="4" w:space="0" w:color="auto"/>
            </w:tcBorders>
            <w:vAlign w:val="center"/>
          </w:tcPr>
          <w:p w:rsidR="002D34E6" w:rsidRPr="002D34E6" w:rsidRDefault="002D34E6" w:rsidP="002D34E6">
            <w:pPr>
              <w:keepNext/>
              <w:jc w:val="center"/>
              <w:rPr>
                <w:rFonts w:eastAsia="Times New Roman"/>
                <w:sz w:val="24"/>
                <w:szCs w:val="24"/>
                <w:lang w:eastAsia="ru-RU"/>
              </w:rPr>
            </w:pPr>
            <w:r w:rsidRPr="002D34E6">
              <w:rPr>
                <w:rFonts w:eastAsia="Times New Roman"/>
                <w:sz w:val="24"/>
                <w:szCs w:val="24"/>
                <w:lang w:eastAsia="ru-RU"/>
              </w:rPr>
              <w:t>**</w:t>
            </w:r>
          </w:p>
        </w:tc>
      </w:tr>
    </w:tbl>
    <w:tbl>
      <w:tblPr>
        <w:tblpPr w:leftFromText="180" w:rightFromText="180" w:vertAnchor="text" w:horzAnchor="margin" w:tblpY="917"/>
        <w:tblW w:w="103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36"/>
        <w:gridCol w:w="968"/>
        <w:gridCol w:w="969"/>
        <w:gridCol w:w="968"/>
        <w:gridCol w:w="969"/>
        <w:gridCol w:w="968"/>
        <w:gridCol w:w="969"/>
      </w:tblGrid>
      <w:tr w:rsidR="00015498" w:rsidRPr="002D34E6" w:rsidTr="00015498">
        <w:trPr>
          <w:trHeight w:val="418"/>
        </w:trPr>
        <w:tc>
          <w:tcPr>
            <w:tcW w:w="4536" w:type="dxa"/>
            <w:tcBorders>
              <w:top w:val="single" w:sz="4" w:space="0" w:color="auto"/>
              <w:left w:val="single" w:sz="4" w:space="0" w:color="auto"/>
              <w:bottom w:val="single" w:sz="4" w:space="0" w:color="auto"/>
              <w:right w:val="single" w:sz="4" w:space="0" w:color="auto"/>
            </w:tcBorders>
          </w:tcPr>
          <w:p w:rsidR="00015498" w:rsidRPr="002D34E6" w:rsidRDefault="00015498" w:rsidP="00015498">
            <w:pPr>
              <w:keepNext/>
              <w:rPr>
                <w:rFonts w:eastAsia="Times New Roman"/>
                <w:color w:val="000000"/>
                <w:sz w:val="24"/>
                <w:szCs w:val="24"/>
                <w:lang w:eastAsia="uk-UA"/>
              </w:rPr>
            </w:pPr>
            <w:r w:rsidRPr="002D34E6">
              <w:rPr>
                <w:rFonts w:eastAsia="Times New Roman"/>
                <w:color w:val="000000"/>
                <w:sz w:val="24"/>
                <w:szCs w:val="24"/>
                <w:lang w:eastAsia="uk-UA"/>
              </w:rPr>
              <w:lastRenderedPageBreak/>
              <w:t>Індекс концентрації розродження вагітних з  пре- еклампсією і еклампсією  у ЗПД ІІ-ІІІ рівнів</w:t>
            </w:r>
          </w:p>
        </w:tc>
        <w:tc>
          <w:tcPr>
            <w:tcW w:w="968" w:type="dxa"/>
            <w:tcBorders>
              <w:top w:val="single" w:sz="4" w:space="0" w:color="auto"/>
              <w:left w:val="single" w:sz="4" w:space="0" w:color="auto"/>
              <w:bottom w:val="single" w:sz="4" w:space="0" w:color="auto"/>
              <w:right w:val="single" w:sz="4" w:space="0" w:color="auto"/>
            </w:tcBorders>
            <w:vAlign w:val="center"/>
          </w:tcPr>
          <w:p w:rsidR="00015498" w:rsidRPr="002D34E6" w:rsidRDefault="00015498" w:rsidP="00015498">
            <w:pPr>
              <w:keepNext/>
              <w:jc w:val="center"/>
              <w:rPr>
                <w:rFonts w:eastAsia="Times New Roman"/>
                <w:color w:val="000000"/>
                <w:sz w:val="24"/>
                <w:szCs w:val="24"/>
                <w:lang w:eastAsia="ru-RU"/>
              </w:rPr>
            </w:pPr>
            <w:r w:rsidRPr="002D34E6">
              <w:rPr>
                <w:rFonts w:eastAsia="Times New Roman"/>
                <w:color w:val="000000"/>
                <w:sz w:val="24"/>
                <w:szCs w:val="24"/>
                <w:lang w:eastAsia="ru-RU"/>
              </w:rPr>
              <w:t>63,27</w:t>
            </w:r>
          </w:p>
        </w:tc>
        <w:tc>
          <w:tcPr>
            <w:tcW w:w="969" w:type="dxa"/>
            <w:tcBorders>
              <w:top w:val="single" w:sz="4" w:space="0" w:color="auto"/>
              <w:left w:val="single" w:sz="4" w:space="0" w:color="auto"/>
              <w:bottom w:val="single" w:sz="4" w:space="0" w:color="auto"/>
              <w:right w:val="single" w:sz="4" w:space="0" w:color="auto"/>
            </w:tcBorders>
            <w:vAlign w:val="center"/>
          </w:tcPr>
          <w:p w:rsidR="00015498" w:rsidRPr="002D34E6" w:rsidRDefault="00015498" w:rsidP="00015498">
            <w:pPr>
              <w:keepNext/>
              <w:jc w:val="center"/>
              <w:rPr>
                <w:rFonts w:eastAsia="Times New Roman"/>
                <w:color w:val="000000"/>
                <w:sz w:val="24"/>
                <w:szCs w:val="24"/>
                <w:lang w:eastAsia="ru-RU"/>
              </w:rPr>
            </w:pPr>
            <w:r w:rsidRPr="002D34E6">
              <w:rPr>
                <w:rFonts w:eastAsia="Times New Roman"/>
                <w:color w:val="000000"/>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015498" w:rsidRPr="002D34E6" w:rsidRDefault="00015498" w:rsidP="00015498">
            <w:pPr>
              <w:keepNext/>
              <w:jc w:val="center"/>
              <w:rPr>
                <w:rFonts w:eastAsia="Times New Roman"/>
                <w:color w:val="000000"/>
                <w:sz w:val="24"/>
                <w:szCs w:val="24"/>
                <w:lang w:eastAsia="ru-RU"/>
              </w:rPr>
            </w:pPr>
            <w:r w:rsidRPr="002D34E6">
              <w:rPr>
                <w:rFonts w:eastAsia="Times New Roman"/>
                <w:color w:val="000000"/>
                <w:sz w:val="24"/>
                <w:szCs w:val="24"/>
                <w:lang w:eastAsia="ru-RU"/>
              </w:rPr>
              <w:t>4,92</w:t>
            </w:r>
          </w:p>
        </w:tc>
        <w:tc>
          <w:tcPr>
            <w:tcW w:w="969" w:type="dxa"/>
            <w:tcBorders>
              <w:top w:val="single" w:sz="4" w:space="0" w:color="auto"/>
              <w:left w:val="single" w:sz="4" w:space="0" w:color="auto"/>
              <w:bottom w:val="single" w:sz="4" w:space="0" w:color="auto"/>
              <w:right w:val="single" w:sz="4" w:space="0" w:color="auto"/>
            </w:tcBorders>
            <w:vAlign w:val="center"/>
          </w:tcPr>
          <w:p w:rsidR="00015498" w:rsidRPr="002D34E6" w:rsidRDefault="00015498" w:rsidP="00015498">
            <w:pPr>
              <w:keepNext/>
              <w:jc w:val="center"/>
              <w:rPr>
                <w:rFonts w:eastAsia="Times New Roman"/>
                <w:sz w:val="24"/>
                <w:szCs w:val="24"/>
                <w:lang w:eastAsia="ru-RU"/>
              </w:rPr>
            </w:pPr>
            <w:r w:rsidRPr="002D34E6">
              <w:rPr>
                <w:rFonts w:eastAsia="Times New Roman"/>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015498" w:rsidRPr="002D34E6" w:rsidRDefault="00015498" w:rsidP="00015498">
            <w:pPr>
              <w:keepNext/>
              <w:jc w:val="center"/>
              <w:rPr>
                <w:rFonts w:eastAsia="Times New Roman"/>
                <w:color w:val="000000"/>
                <w:sz w:val="24"/>
                <w:szCs w:val="24"/>
                <w:lang w:eastAsia="ru-RU"/>
              </w:rPr>
            </w:pPr>
            <w:r w:rsidRPr="002D34E6">
              <w:rPr>
                <w:rFonts w:eastAsia="Times New Roman"/>
                <w:color w:val="000000"/>
                <w:sz w:val="24"/>
                <w:szCs w:val="24"/>
                <w:lang w:eastAsia="ru-RU"/>
              </w:rPr>
              <w:t>0,70</w:t>
            </w:r>
          </w:p>
        </w:tc>
        <w:tc>
          <w:tcPr>
            <w:tcW w:w="969" w:type="dxa"/>
            <w:tcBorders>
              <w:top w:val="single" w:sz="4" w:space="0" w:color="auto"/>
              <w:left w:val="single" w:sz="4" w:space="0" w:color="auto"/>
              <w:bottom w:val="single" w:sz="4" w:space="0" w:color="auto"/>
              <w:right w:val="single" w:sz="4" w:space="0" w:color="auto"/>
            </w:tcBorders>
            <w:vAlign w:val="center"/>
          </w:tcPr>
          <w:p w:rsidR="00015498" w:rsidRPr="002D34E6" w:rsidRDefault="00015498" w:rsidP="00015498">
            <w:pPr>
              <w:keepNext/>
              <w:jc w:val="center"/>
              <w:rPr>
                <w:rFonts w:eastAsia="Times New Roman"/>
                <w:sz w:val="24"/>
                <w:szCs w:val="24"/>
                <w:lang w:eastAsia="ru-RU"/>
              </w:rPr>
            </w:pPr>
            <w:r w:rsidRPr="002D34E6">
              <w:rPr>
                <w:rFonts w:eastAsia="Times New Roman"/>
                <w:sz w:val="24"/>
                <w:szCs w:val="24"/>
                <w:lang w:eastAsia="ru-RU"/>
              </w:rPr>
              <w:t>**</w:t>
            </w:r>
          </w:p>
        </w:tc>
      </w:tr>
      <w:tr w:rsidR="00015498" w:rsidRPr="002D34E6" w:rsidTr="00015498">
        <w:trPr>
          <w:trHeight w:val="600"/>
        </w:trPr>
        <w:tc>
          <w:tcPr>
            <w:tcW w:w="4536" w:type="dxa"/>
            <w:tcBorders>
              <w:top w:val="single" w:sz="4" w:space="0" w:color="auto"/>
              <w:left w:val="single" w:sz="4" w:space="0" w:color="auto"/>
              <w:bottom w:val="single" w:sz="4" w:space="0" w:color="auto"/>
              <w:right w:val="single" w:sz="4" w:space="0" w:color="auto"/>
            </w:tcBorders>
          </w:tcPr>
          <w:p w:rsidR="00015498" w:rsidRPr="002D34E6" w:rsidRDefault="00015498" w:rsidP="00015498">
            <w:pPr>
              <w:keepNext/>
              <w:rPr>
                <w:rFonts w:eastAsia="Times New Roman"/>
                <w:color w:val="000000"/>
                <w:sz w:val="24"/>
                <w:szCs w:val="24"/>
                <w:lang w:eastAsia="uk-UA"/>
              </w:rPr>
            </w:pPr>
            <w:r w:rsidRPr="002D34E6">
              <w:rPr>
                <w:rFonts w:eastAsia="Times New Roman"/>
                <w:color w:val="000000"/>
                <w:sz w:val="24"/>
                <w:szCs w:val="24"/>
                <w:lang w:eastAsia="uk-UA"/>
              </w:rPr>
              <w:t>Індекс концентрації новонароджених масою тіла при народженні 500-1499г у ЗПД ІІІ рівня</w:t>
            </w:r>
          </w:p>
        </w:tc>
        <w:tc>
          <w:tcPr>
            <w:tcW w:w="968" w:type="dxa"/>
            <w:tcBorders>
              <w:top w:val="single" w:sz="4" w:space="0" w:color="auto"/>
              <w:left w:val="single" w:sz="4" w:space="0" w:color="auto"/>
              <w:bottom w:val="single" w:sz="4" w:space="0" w:color="auto"/>
              <w:right w:val="single" w:sz="4" w:space="0" w:color="auto"/>
            </w:tcBorders>
            <w:vAlign w:val="center"/>
          </w:tcPr>
          <w:p w:rsidR="00015498" w:rsidRPr="002D34E6" w:rsidRDefault="00015498" w:rsidP="00015498">
            <w:pPr>
              <w:keepNext/>
              <w:jc w:val="center"/>
              <w:rPr>
                <w:rFonts w:eastAsia="Times New Roman"/>
                <w:color w:val="000000"/>
                <w:sz w:val="24"/>
                <w:szCs w:val="24"/>
                <w:lang w:eastAsia="ru-RU"/>
              </w:rPr>
            </w:pPr>
            <w:r w:rsidRPr="002D34E6">
              <w:rPr>
                <w:rFonts w:eastAsia="Times New Roman"/>
                <w:color w:val="000000"/>
                <w:sz w:val="24"/>
                <w:szCs w:val="24"/>
                <w:lang w:eastAsia="ru-RU"/>
              </w:rPr>
              <w:t>52,94</w:t>
            </w:r>
          </w:p>
        </w:tc>
        <w:tc>
          <w:tcPr>
            <w:tcW w:w="969" w:type="dxa"/>
            <w:tcBorders>
              <w:top w:val="single" w:sz="4" w:space="0" w:color="auto"/>
              <w:left w:val="single" w:sz="4" w:space="0" w:color="auto"/>
              <w:bottom w:val="single" w:sz="4" w:space="0" w:color="auto"/>
              <w:right w:val="single" w:sz="4" w:space="0" w:color="auto"/>
            </w:tcBorders>
            <w:vAlign w:val="center"/>
          </w:tcPr>
          <w:p w:rsidR="00015498" w:rsidRPr="002D34E6" w:rsidRDefault="00015498" w:rsidP="00015498">
            <w:pPr>
              <w:keepNext/>
              <w:jc w:val="center"/>
              <w:rPr>
                <w:rFonts w:eastAsia="Times New Roman"/>
                <w:color w:val="000000"/>
                <w:sz w:val="24"/>
                <w:szCs w:val="24"/>
                <w:lang w:eastAsia="ru-RU"/>
              </w:rPr>
            </w:pPr>
            <w:r w:rsidRPr="002D34E6">
              <w:rPr>
                <w:rFonts w:eastAsia="Times New Roman"/>
                <w:color w:val="000000"/>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015498" w:rsidRPr="002D34E6" w:rsidRDefault="00015498" w:rsidP="00015498">
            <w:pPr>
              <w:keepNext/>
              <w:jc w:val="center"/>
              <w:rPr>
                <w:rFonts w:eastAsia="Times New Roman"/>
                <w:color w:val="000000"/>
                <w:sz w:val="24"/>
                <w:szCs w:val="24"/>
                <w:lang w:eastAsia="ru-RU"/>
              </w:rPr>
            </w:pPr>
            <w:r w:rsidRPr="002D34E6">
              <w:rPr>
                <w:rFonts w:eastAsia="Times New Roman"/>
                <w:color w:val="000000"/>
                <w:sz w:val="24"/>
                <w:szCs w:val="24"/>
                <w:lang w:eastAsia="ru-RU"/>
              </w:rPr>
              <w:t>3,97</w:t>
            </w:r>
          </w:p>
        </w:tc>
        <w:tc>
          <w:tcPr>
            <w:tcW w:w="969" w:type="dxa"/>
            <w:tcBorders>
              <w:top w:val="single" w:sz="4" w:space="0" w:color="auto"/>
              <w:left w:val="single" w:sz="4" w:space="0" w:color="auto"/>
              <w:bottom w:val="single" w:sz="4" w:space="0" w:color="auto"/>
              <w:right w:val="single" w:sz="4" w:space="0" w:color="auto"/>
            </w:tcBorders>
            <w:vAlign w:val="center"/>
          </w:tcPr>
          <w:p w:rsidR="00015498" w:rsidRPr="002D34E6" w:rsidRDefault="00015498" w:rsidP="00015498">
            <w:pPr>
              <w:keepNext/>
              <w:jc w:val="center"/>
              <w:rPr>
                <w:rFonts w:eastAsia="Times New Roman"/>
                <w:sz w:val="24"/>
                <w:szCs w:val="24"/>
                <w:lang w:eastAsia="ru-RU"/>
              </w:rPr>
            </w:pPr>
            <w:r w:rsidRPr="002D34E6">
              <w:rPr>
                <w:rFonts w:eastAsia="Times New Roman"/>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015498" w:rsidRPr="002D34E6" w:rsidRDefault="00015498" w:rsidP="00015498">
            <w:pPr>
              <w:keepNext/>
              <w:jc w:val="center"/>
              <w:rPr>
                <w:rFonts w:eastAsia="Times New Roman"/>
                <w:color w:val="000000"/>
                <w:sz w:val="24"/>
                <w:szCs w:val="24"/>
                <w:lang w:eastAsia="ru-RU"/>
              </w:rPr>
            </w:pPr>
            <w:r w:rsidRPr="002D34E6">
              <w:rPr>
                <w:rFonts w:eastAsia="Times New Roman"/>
                <w:color w:val="000000"/>
                <w:sz w:val="24"/>
                <w:szCs w:val="24"/>
                <w:lang w:eastAsia="ru-RU"/>
              </w:rPr>
              <w:t>0,66</w:t>
            </w:r>
          </w:p>
        </w:tc>
        <w:tc>
          <w:tcPr>
            <w:tcW w:w="969" w:type="dxa"/>
            <w:tcBorders>
              <w:top w:val="single" w:sz="4" w:space="0" w:color="auto"/>
              <w:left w:val="single" w:sz="4" w:space="0" w:color="auto"/>
              <w:bottom w:val="single" w:sz="4" w:space="0" w:color="auto"/>
              <w:right w:val="single" w:sz="4" w:space="0" w:color="auto"/>
            </w:tcBorders>
            <w:vAlign w:val="center"/>
          </w:tcPr>
          <w:p w:rsidR="00015498" w:rsidRPr="002D34E6" w:rsidRDefault="00015498" w:rsidP="00015498">
            <w:pPr>
              <w:keepNext/>
              <w:jc w:val="center"/>
              <w:rPr>
                <w:rFonts w:eastAsia="Times New Roman"/>
                <w:sz w:val="24"/>
                <w:szCs w:val="24"/>
                <w:lang w:eastAsia="ru-RU"/>
              </w:rPr>
            </w:pPr>
            <w:r w:rsidRPr="002D34E6">
              <w:rPr>
                <w:rFonts w:eastAsia="Times New Roman"/>
                <w:sz w:val="24"/>
                <w:szCs w:val="24"/>
                <w:lang w:eastAsia="ru-RU"/>
              </w:rPr>
              <w:t>**</w:t>
            </w:r>
          </w:p>
        </w:tc>
      </w:tr>
      <w:tr w:rsidR="00015498" w:rsidRPr="002D34E6" w:rsidTr="00015498">
        <w:trPr>
          <w:trHeight w:val="282"/>
        </w:trPr>
        <w:tc>
          <w:tcPr>
            <w:tcW w:w="4536" w:type="dxa"/>
            <w:tcBorders>
              <w:top w:val="single" w:sz="4" w:space="0" w:color="auto"/>
              <w:left w:val="single" w:sz="4" w:space="0" w:color="auto"/>
              <w:bottom w:val="single" w:sz="4" w:space="0" w:color="auto"/>
              <w:right w:val="single" w:sz="4" w:space="0" w:color="auto"/>
            </w:tcBorders>
            <w:vAlign w:val="bottom"/>
          </w:tcPr>
          <w:p w:rsidR="00015498" w:rsidRPr="002D34E6" w:rsidRDefault="00015498" w:rsidP="00015498">
            <w:pPr>
              <w:keepNext/>
              <w:jc w:val="left"/>
              <w:rPr>
                <w:rFonts w:eastAsia="Times New Roman"/>
                <w:sz w:val="24"/>
                <w:szCs w:val="24"/>
                <w:lang w:eastAsia="ru-RU"/>
              </w:rPr>
            </w:pPr>
            <w:r w:rsidRPr="002D34E6">
              <w:rPr>
                <w:rFonts w:eastAsia="Times New Roman"/>
                <w:sz w:val="24"/>
                <w:szCs w:val="24"/>
                <w:lang w:eastAsia="ru-RU"/>
              </w:rPr>
              <w:t>Індекс неонатального трансферу</w:t>
            </w:r>
          </w:p>
        </w:tc>
        <w:tc>
          <w:tcPr>
            <w:tcW w:w="968" w:type="dxa"/>
            <w:tcBorders>
              <w:top w:val="single" w:sz="4" w:space="0" w:color="auto"/>
              <w:left w:val="single" w:sz="4" w:space="0" w:color="auto"/>
              <w:bottom w:val="single" w:sz="4" w:space="0" w:color="auto"/>
              <w:right w:val="single" w:sz="4" w:space="0" w:color="auto"/>
            </w:tcBorders>
            <w:vAlign w:val="center"/>
          </w:tcPr>
          <w:p w:rsidR="00015498" w:rsidRPr="002D34E6" w:rsidRDefault="00015498" w:rsidP="00015498">
            <w:pPr>
              <w:keepNext/>
              <w:jc w:val="center"/>
              <w:rPr>
                <w:rFonts w:eastAsia="Times New Roman"/>
                <w:sz w:val="24"/>
                <w:szCs w:val="24"/>
                <w:lang w:eastAsia="ru-RU"/>
              </w:rPr>
            </w:pPr>
            <w:r w:rsidRPr="002D34E6">
              <w:rPr>
                <w:rFonts w:eastAsia="Times New Roman"/>
                <w:sz w:val="24"/>
                <w:szCs w:val="24"/>
                <w:lang w:eastAsia="ru-RU"/>
              </w:rPr>
              <w:t>6,86</w:t>
            </w:r>
          </w:p>
        </w:tc>
        <w:tc>
          <w:tcPr>
            <w:tcW w:w="969" w:type="dxa"/>
            <w:tcBorders>
              <w:top w:val="single" w:sz="4" w:space="0" w:color="auto"/>
              <w:left w:val="single" w:sz="4" w:space="0" w:color="auto"/>
              <w:bottom w:val="single" w:sz="4" w:space="0" w:color="auto"/>
              <w:right w:val="single" w:sz="4" w:space="0" w:color="auto"/>
            </w:tcBorders>
            <w:vAlign w:val="center"/>
          </w:tcPr>
          <w:p w:rsidR="00015498" w:rsidRPr="002D34E6" w:rsidRDefault="00015498" w:rsidP="00015498">
            <w:pPr>
              <w:keepNext/>
              <w:jc w:val="center"/>
              <w:rPr>
                <w:rFonts w:eastAsia="Times New Roman"/>
                <w:sz w:val="24"/>
                <w:szCs w:val="24"/>
                <w:lang w:eastAsia="ru-RU"/>
              </w:rPr>
            </w:pPr>
            <w:r w:rsidRPr="002D34E6">
              <w:rPr>
                <w:rFonts w:eastAsia="Times New Roman"/>
                <w:sz w:val="24"/>
                <w:szCs w:val="24"/>
                <w:lang w:eastAsia="ru-RU"/>
              </w:rPr>
              <w:t>6,54</w:t>
            </w:r>
          </w:p>
        </w:tc>
        <w:tc>
          <w:tcPr>
            <w:tcW w:w="968" w:type="dxa"/>
            <w:tcBorders>
              <w:top w:val="single" w:sz="4" w:space="0" w:color="auto"/>
              <w:left w:val="single" w:sz="4" w:space="0" w:color="auto"/>
              <w:bottom w:val="single" w:sz="4" w:space="0" w:color="auto"/>
              <w:right w:val="single" w:sz="4" w:space="0" w:color="auto"/>
            </w:tcBorders>
            <w:vAlign w:val="center"/>
          </w:tcPr>
          <w:p w:rsidR="00015498" w:rsidRPr="002D34E6" w:rsidRDefault="00015498" w:rsidP="00015498">
            <w:pPr>
              <w:keepNext/>
              <w:jc w:val="center"/>
              <w:rPr>
                <w:rFonts w:eastAsia="Times New Roman"/>
                <w:sz w:val="24"/>
                <w:szCs w:val="24"/>
                <w:lang w:eastAsia="ru-RU"/>
              </w:rPr>
            </w:pPr>
            <w:r w:rsidRPr="002D34E6">
              <w:rPr>
                <w:rFonts w:eastAsia="Times New Roman"/>
                <w:sz w:val="24"/>
                <w:szCs w:val="24"/>
                <w:lang w:eastAsia="ru-RU"/>
              </w:rPr>
              <w:t>2,0</w:t>
            </w:r>
          </w:p>
        </w:tc>
        <w:tc>
          <w:tcPr>
            <w:tcW w:w="969" w:type="dxa"/>
            <w:tcBorders>
              <w:top w:val="single" w:sz="4" w:space="0" w:color="auto"/>
              <w:left w:val="single" w:sz="4" w:space="0" w:color="auto"/>
              <w:bottom w:val="single" w:sz="4" w:space="0" w:color="auto"/>
              <w:right w:val="single" w:sz="4" w:space="0" w:color="auto"/>
            </w:tcBorders>
            <w:vAlign w:val="center"/>
          </w:tcPr>
          <w:p w:rsidR="00015498" w:rsidRPr="002D34E6" w:rsidRDefault="00015498" w:rsidP="00015498">
            <w:pPr>
              <w:keepNext/>
              <w:jc w:val="center"/>
              <w:rPr>
                <w:rFonts w:eastAsia="Times New Roman"/>
                <w:sz w:val="24"/>
                <w:szCs w:val="24"/>
                <w:lang w:eastAsia="ru-RU"/>
              </w:rPr>
            </w:pPr>
            <w:r w:rsidRPr="002D34E6">
              <w:rPr>
                <w:rFonts w:eastAsia="Times New Roman"/>
                <w:sz w:val="24"/>
                <w:szCs w:val="24"/>
                <w:lang w:eastAsia="ru-RU"/>
              </w:rPr>
              <w:t>4,84</w:t>
            </w:r>
          </w:p>
        </w:tc>
        <w:tc>
          <w:tcPr>
            <w:tcW w:w="968" w:type="dxa"/>
            <w:tcBorders>
              <w:top w:val="single" w:sz="4" w:space="0" w:color="auto"/>
              <w:left w:val="single" w:sz="4" w:space="0" w:color="auto"/>
              <w:bottom w:val="single" w:sz="4" w:space="0" w:color="auto"/>
              <w:right w:val="single" w:sz="4" w:space="0" w:color="auto"/>
            </w:tcBorders>
            <w:vAlign w:val="center"/>
          </w:tcPr>
          <w:p w:rsidR="00015498" w:rsidRPr="002D34E6" w:rsidRDefault="00015498" w:rsidP="00015498">
            <w:pPr>
              <w:keepNext/>
              <w:jc w:val="center"/>
              <w:rPr>
                <w:rFonts w:eastAsia="Times New Roman"/>
                <w:sz w:val="24"/>
                <w:szCs w:val="24"/>
                <w:lang w:eastAsia="ru-RU"/>
              </w:rPr>
            </w:pPr>
            <w:r w:rsidRPr="002D34E6">
              <w:rPr>
                <w:rFonts w:eastAsia="Times New Roman"/>
                <w:sz w:val="24"/>
                <w:szCs w:val="24"/>
                <w:lang w:eastAsia="ru-RU"/>
              </w:rPr>
              <w:t>0,29</w:t>
            </w:r>
          </w:p>
        </w:tc>
        <w:tc>
          <w:tcPr>
            <w:tcW w:w="969" w:type="dxa"/>
            <w:tcBorders>
              <w:top w:val="single" w:sz="4" w:space="0" w:color="auto"/>
              <w:left w:val="single" w:sz="4" w:space="0" w:color="auto"/>
              <w:bottom w:val="single" w:sz="4" w:space="0" w:color="auto"/>
              <w:right w:val="single" w:sz="4" w:space="0" w:color="auto"/>
            </w:tcBorders>
            <w:vAlign w:val="center"/>
          </w:tcPr>
          <w:p w:rsidR="00015498" w:rsidRPr="002D34E6" w:rsidRDefault="00015498" w:rsidP="00015498">
            <w:pPr>
              <w:keepNext/>
              <w:jc w:val="center"/>
              <w:rPr>
                <w:rFonts w:eastAsia="Times New Roman"/>
                <w:sz w:val="24"/>
                <w:szCs w:val="24"/>
                <w:lang w:eastAsia="ru-RU"/>
              </w:rPr>
            </w:pPr>
            <w:r w:rsidRPr="002D34E6">
              <w:rPr>
                <w:rFonts w:eastAsia="Times New Roman"/>
                <w:sz w:val="24"/>
                <w:szCs w:val="24"/>
                <w:lang w:eastAsia="ru-RU"/>
              </w:rPr>
              <w:t>0,69</w:t>
            </w:r>
          </w:p>
        </w:tc>
      </w:tr>
      <w:tr w:rsidR="00015498" w:rsidRPr="002D34E6" w:rsidTr="00015498">
        <w:trPr>
          <w:trHeight w:val="384"/>
        </w:trPr>
        <w:tc>
          <w:tcPr>
            <w:tcW w:w="4536" w:type="dxa"/>
            <w:tcBorders>
              <w:top w:val="single" w:sz="4" w:space="0" w:color="auto"/>
              <w:left w:val="single" w:sz="4" w:space="0" w:color="auto"/>
              <w:bottom w:val="single" w:sz="4" w:space="0" w:color="auto"/>
              <w:right w:val="single" w:sz="4" w:space="0" w:color="auto"/>
            </w:tcBorders>
            <w:vAlign w:val="center"/>
          </w:tcPr>
          <w:p w:rsidR="00015498" w:rsidRPr="002D34E6" w:rsidRDefault="00015498" w:rsidP="00015498">
            <w:pPr>
              <w:keepNext/>
              <w:jc w:val="left"/>
              <w:rPr>
                <w:rFonts w:eastAsia="Times New Roman"/>
                <w:sz w:val="24"/>
                <w:szCs w:val="24"/>
                <w:lang w:eastAsia="ru-RU"/>
              </w:rPr>
            </w:pPr>
            <w:r w:rsidRPr="002D34E6">
              <w:rPr>
                <w:rFonts w:eastAsia="Times New Roman"/>
                <w:sz w:val="24"/>
                <w:szCs w:val="24"/>
                <w:lang w:eastAsia="ru-RU"/>
              </w:rPr>
              <w:t>Частота нормальних пологів</w:t>
            </w:r>
          </w:p>
        </w:tc>
        <w:tc>
          <w:tcPr>
            <w:tcW w:w="968" w:type="dxa"/>
            <w:tcBorders>
              <w:top w:val="single" w:sz="4" w:space="0" w:color="auto"/>
              <w:left w:val="single" w:sz="4" w:space="0" w:color="auto"/>
              <w:bottom w:val="single" w:sz="4" w:space="0" w:color="auto"/>
              <w:right w:val="single" w:sz="4" w:space="0" w:color="auto"/>
            </w:tcBorders>
            <w:vAlign w:val="center"/>
          </w:tcPr>
          <w:p w:rsidR="00015498" w:rsidRPr="002D34E6" w:rsidRDefault="00015498" w:rsidP="00015498">
            <w:pPr>
              <w:keepNext/>
              <w:jc w:val="center"/>
              <w:rPr>
                <w:rFonts w:eastAsia="Times New Roman"/>
                <w:color w:val="000000"/>
                <w:sz w:val="24"/>
                <w:szCs w:val="24"/>
                <w:lang w:eastAsia="ru-RU"/>
              </w:rPr>
            </w:pPr>
            <w:r w:rsidRPr="002D34E6">
              <w:rPr>
                <w:rFonts w:eastAsia="Times New Roman"/>
                <w:color w:val="000000"/>
                <w:sz w:val="24"/>
                <w:szCs w:val="24"/>
                <w:lang w:eastAsia="ru-RU"/>
              </w:rPr>
              <w:t>72,47</w:t>
            </w:r>
          </w:p>
        </w:tc>
        <w:tc>
          <w:tcPr>
            <w:tcW w:w="969" w:type="dxa"/>
            <w:tcBorders>
              <w:top w:val="single" w:sz="4" w:space="0" w:color="auto"/>
              <w:left w:val="single" w:sz="4" w:space="0" w:color="auto"/>
              <w:bottom w:val="single" w:sz="4" w:space="0" w:color="auto"/>
              <w:right w:val="single" w:sz="4" w:space="0" w:color="auto"/>
            </w:tcBorders>
            <w:vAlign w:val="center"/>
          </w:tcPr>
          <w:p w:rsidR="00015498" w:rsidRPr="002D34E6" w:rsidRDefault="00015498" w:rsidP="00015498">
            <w:pPr>
              <w:keepNext/>
              <w:jc w:val="center"/>
              <w:rPr>
                <w:rFonts w:eastAsia="Times New Roman"/>
                <w:sz w:val="24"/>
                <w:szCs w:val="24"/>
                <w:lang w:eastAsia="ru-RU"/>
              </w:rPr>
            </w:pPr>
            <w:r w:rsidRPr="002D34E6">
              <w:rPr>
                <w:rFonts w:eastAsia="Times New Roman"/>
                <w:sz w:val="24"/>
                <w:szCs w:val="24"/>
                <w:lang w:eastAsia="ru-RU"/>
              </w:rPr>
              <w:t>69,40</w:t>
            </w:r>
          </w:p>
        </w:tc>
        <w:tc>
          <w:tcPr>
            <w:tcW w:w="968" w:type="dxa"/>
            <w:tcBorders>
              <w:top w:val="single" w:sz="4" w:space="0" w:color="auto"/>
              <w:left w:val="single" w:sz="4" w:space="0" w:color="auto"/>
              <w:bottom w:val="single" w:sz="4" w:space="0" w:color="auto"/>
              <w:right w:val="single" w:sz="4" w:space="0" w:color="auto"/>
            </w:tcBorders>
            <w:vAlign w:val="center"/>
          </w:tcPr>
          <w:p w:rsidR="00015498" w:rsidRPr="002D34E6" w:rsidRDefault="00015498" w:rsidP="00015498">
            <w:pPr>
              <w:keepNext/>
              <w:jc w:val="center"/>
              <w:rPr>
                <w:rFonts w:eastAsia="Times New Roman"/>
                <w:color w:val="000000"/>
                <w:sz w:val="24"/>
                <w:szCs w:val="24"/>
                <w:lang w:eastAsia="ru-RU"/>
              </w:rPr>
            </w:pPr>
            <w:r w:rsidRPr="002D34E6">
              <w:rPr>
                <w:rFonts w:eastAsia="Times New Roman"/>
                <w:color w:val="000000"/>
                <w:sz w:val="24"/>
                <w:szCs w:val="24"/>
                <w:lang w:eastAsia="ru-RU"/>
              </w:rPr>
              <w:t>5,00</w:t>
            </w:r>
          </w:p>
        </w:tc>
        <w:tc>
          <w:tcPr>
            <w:tcW w:w="969" w:type="dxa"/>
            <w:tcBorders>
              <w:top w:val="single" w:sz="4" w:space="0" w:color="auto"/>
              <w:left w:val="single" w:sz="4" w:space="0" w:color="auto"/>
              <w:bottom w:val="single" w:sz="4" w:space="0" w:color="auto"/>
              <w:right w:val="single" w:sz="4" w:space="0" w:color="auto"/>
            </w:tcBorders>
            <w:vAlign w:val="center"/>
          </w:tcPr>
          <w:p w:rsidR="00015498" w:rsidRPr="002D34E6" w:rsidRDefault="00015498" w:rsidP="00015498">
            <w:pPr>
              <w:keepNext/>
              <w:jc w:val="center"/>
              <w:rPr>
                <w:rFonts w:eastAsia="Times New Roman"/>
                <w:sz w:val="24"/>
                <w:szCs w:val="24"/>
                <w:lang w:eastAsia="ru-RU"/>
              </w:rPr>
            </w:pPr>
            <w:r w:rsidRPr="002D34E6">
              <w:rPr>
                <w:rFonts w:eastAsia="Times New Roman"/>
                <w:sz w:val="24"/>
                <w:szCs w:val="24"/>
                <w:lang w:eastAsia="ru-RU"/>
              </w:rPr>
              <w:t>5,0</w:t>
            </w:r>
          </w:p>
        </w:tc>
        <w:tc>
          <w:tcPr>
            <w:tcW w:w="968" w:type="dxa"/>
            <w:tcBorders>
              <w:top w:val="single" w:sz="4" w:space="0" w:color="auto"/>
              <w:left w:val="single" w:sz="4" w:space="0" w:color="auto"/>
              <w:bottom w:val="single" w:sz="4" w:space="0" w:color="auto"/>
              <w:right w:val="single" w:sz="4" w:space="0" w:color="auto"/>
            </w:tcBorders>
            <w:vAlign w:val="center"/>
          </w:tcPr>
          <w:p w:rsidR="00015498" w:rsidRPr="002D34E6" w:rsidRDefault="00015498" w:rsidP="00015498">
            <w:pPr>
              <w:keepNext/>
              <w:jc w:val="center"/>
              <w:rPr>
                <w:rFonts w:eastAsia="Times New Roman"/>
                <w:color w:val="000000"/>
                <w:sz w:val="24"/>
                <w:szCs w:val="24"/>
                <w:lang w:eastAsia="ru-RU"/>
              </w:rPr>
            </w:pPr>
            <w:r w:rsidRPr="002D34E6">
              <w:rPr>
                <w:rFonts w:eastAsia="Times New Roman"/>
                <w:color w:val="000000"/>
                <w:sz w:val="24"/>
                <w:szCs w:val="24"/>
                <w:lang w:eastAsia="ru-RU"/>
              </w:rPr>
              <w:t>1,00</w:t>
            </w:r>
          </w:p>
        </w:tc>
        <w:tc>
          <w:tcPr>
            <w:tcW w:w="969" w:type="dxa"/>
            <w:tcBorders>
              <w:top w:val="single" w:sz="4" w:space="0" w:color="auto"/>
              <w:left w:val="single" w:sz="4" w:space="0" w:color="auto"/>
              <w:bottom w:val="single" w:sz="4" w:space="0" w:color="auto"/>
              <w:right w:val="single" w:sz="4" w:space="0" w:color="auto"/>
            </w:tcBorders>
            <w:vAlign w:val="center"/>
          </w:tcPr>
          <w:p w:rsidR="00015498" w:rsidRPr="002D34E6" w:rsidRDefault="00015498" w:rsidP="00015498">
            <w:pPr>
              <w:keepNext/>
              <w:jc w:val="center"/>
              <w:rPr>
                <w:rFonts w:eastAsia="Times New Roman"/>
                <w:sz w:val="24"/>
                <w:szCs w:val="24"/>
                <w:lang w:eastAsia="ru-RU"/>
              </w:rPr>
            </w:pPr>
            <w:r w:rsidRPr="002D34E6">
              <w:rPr>
                <w:rFonts w:eastAsia="Times New Roman"/>
                <w:sz w:val="24"/>
                <w:szCs w:val="24"/>
                <w:lang w:eastAsia="ru-RU"/>
              </w:rPr>
              <w:t>1,00</w:t>
            </w:r>
          </w:p>
        </w:tc>
      </w:tr>
      <w:tr w:rsidR="00015498" w:rsidRPr="002D34E6" w:rsidTr="00015498">
        <w:trPr>
          <w:trHeight w:val="448"/>
        </w:trPr>
        <w:tc>
          <w:tcPr>
            <w:tcW w:w="4536" w:type="dxa"/>
            <w:tcBorders>
              <w:top w:val="single" w:sz="4" w:space="0" w:color="auto"/>
              <w:left w:val="single" w:sz="4" w:space="0" w:color="auto"/>
              <w:bottom w:val="single" w:sz="4" w:space="0" w:color="auto"/>
              <w:right w:val="single" w:sz="4" w:space="0" w:color="auto"/>
            </w:tcBorders>
            <w:vAlign w:val="bottom"/>
          </w:tcPr>
          <w:p w:rsidR="00015498" w:rsidRPr="002D34E6" w:rsidRDefault="00015498" w:rsidP="00015498">
            <w:pPr>
              <w:keepNext/>
              <w:jc w:val="left"/>
              <w:rPr>
                <w:rFonts w:eastAsia="Times New Roman"/>
                <w:sz w:val="24"/>
                <w:szCs w:val="24"/>
                <w:lang w:eastAsia="ru-RU"/>
              </w:rPr>
            </w:pPr>
            <w:r w:rsidRPr="002D34E6">
              <w:rPr>
                <w:rFonts w:eastAsia="Times New Roman"/>
                <w:sz w:val="24"/>
                <w:szCs w:val="24"/>
                <w:lang w:eastAsia="ru-RU"/>
              </w:rPr>
              <w:t>Частота розроджень вагітних шляхом кесаревого розтину</w:t>
            </w:r>
          </w:p>
        </w:tc>
        <w:tc>
          <w:tcPr>
            <w:tcW w:w="968" w:type="dxa"/>
            <w:tcBorders>
              <w:top w:val="single" w:sz="4" w:space="0" w:color="auto"/>
              <w:left w:val="single" w:sz="4" w:space="0" w:color="auto"/>
              <w:bottom w:val="single" w:sz="4" w:space="0" w:color="auto"/>
              <w:right w:val="single" w:sz="4" w:space="0" w:color="auto"/>
            </w:tcBorders>
            <w:vAlign w:val="center"/>
          </w:tcPr>
          <w:p w:rsidR="00015498" w:rsidRPr="002D34E6" w:rsidRDefault="00015498" w:rsidP="00015498">
            <w:pPr>
              <w:keepNext/>
              <w:jc w:val="center"/>
              <w:rPr>
                <w:rFonts w:eastAsia="Times New Roman"/>
                <w:color w:val="000000"/>
                <w:sz w:val="24"/>
                <w:szCs w:val="24"/>
                <w:lang w:eastAsia="ru-RU"/>
              </w:rPr>
            </w:pPr>
            <w:r w:rsidRPr="002D34E6">
              <w:rPr>
                <w:rFonts w:eastAsia="Times New Roman"/>
                <w:color w:val="000000"/>
                <w:sz w:val="24"/>
                <w:szCs w:val="24"/>
                <w:lang w:eastAsia="ru-RU"/>
              </w:rPr>
              <w:t>174,2</w:t>
            </w:r>
          </w:p>
        </w:tc>
        <w:tc>
          <w:tcPr>
            <w:tcW w:w="969" w:type="dxa"/>
            <w:tcBorders>
              <w:top w:val="single" w:sz="4" w:space="0" w:color="auto"/>
              <w:left w:val="single" w:sz="4" w:space="0" w:color="auto"/>
              <w:bottom w:val="single" w:sz="4" w:space="0" w:color="auto"/>
              <w:right w:val="single" w:sz="4" w:space="0" w:color="auto"/>
            </w:tcBorders>
            <w:vAlign w:val="center"/>
          </w:tcPr>
          <w:p w:rsidR="00015498" w:rsidRPr="002D34E6" w:rsidRDefault="00015498" w:rsidP="00015498">
            <w:pPr>
              <w:keepNext/>
              <w:jc w:val="center"/>
              <w:rPr>
                <w:rFonts w:eastAsia="Times New Roman"/>
                <w:sz w:val="24"/>
                <w:szCs w:val="24"/>
                <w:lang w:eastAsia="ru-RU"/>
              </w:rPr>
            </w:pPr>
            <w:r w:rsidRPr="002D34E6">
              <w:rPr>
                <w:rFonts w:eastAsia="Times New Roman"/>
                <w:sz w:val="24"/>
                <w:szCs w:val="24"/>
                <w:lang w:eastAsia="ru-RU"/>
              </w:rPr>
              <w:t>187,47</w:t>
            </w:r>
          </w:p>
        </w:tc>
        <w:tc>
          <w:tcPr>
            <w:tcW w:w="968" w:type="dxa"/>
            <w:tcBorders>
              <w:top w:val="single" w:sz="4" w:space="0" w:color="auto"/>
              <w:left w:val="single" w:sz="4" w:space="0" w:color="auto"/>
              <w:bottom w:val="single" w:sz="4" w:space="0" w:color="auto"/>
              <w:right w:val="single" w:sz="4" w:space="0" w:color="auto"/>
            </w:tcBorders>
            <w:vAlign w:val="center"/>
          </w:tcPr>
          <w:p w:rsidR="00015498" w:rsidRPr="002D34E6" w:rsidRDefault="00015498" w:rsidP="00015498">
            <w:pPr>
              <w:keepNext/>
              <w:jc w:val="center"/>
              <w:rPr>
                <w:rFonts w:eastAsia="Times New Roman"/>
                <w:color w:val="000000"/>
                <w:sz w:val="24"/>
                <w:szCs w:val="24"/>
                <w:lang w:eastAsia="ru-RU"/>
              </w:rPr>
            </w:pPr>
            <w:r w:rsidRPr="002D34E6">
              <w:rPr>
                <w:rFonts w:eastAsia="Times New Roman"/>
                <w:color w:val="000000"/>
                <w:sz w:val="24"/>
                <w:szCs w:val="24"/>
                <w:lang w:eastAsia="ru-RU"/>
              </w:rPr>
              <w:t>6,38</w:t>
            </w:r>
          </w:p>
        </w:tc>
        <w:tc>
          <w:tcPr>
            <w:tcW w:w="969" w:type="dxa"/>
            <w:tcBorders>
              <w:top w:val="single" w:sz="4" w:space="0" w:color="auto"/>
              <w:left w:val="single" w:sz="4" w:space="0" w:color="auto"/>
              <w:bottom w:val="single" w:sz="4" w:space="0" w:color="auto"/>
              <w:right w:val="single" w:sz="4" w:space="0" w:color="auto"/>
            </w:tcBorders>
            <w:vAlign w:val="center"/>
          </w:tcPr>
          <w:p w:rsidR="00015498" w:rsidRPr="002D34E6" w:rsidRDefault="00015498" w:rsidP="00015498">
            <w:pPr>
              <w:keepNext/>
              <w:jc w:val="center"/>
              <w:rPr>
                <w:rFonts w:eastAsia="Times New Roman"/>
                <w:sz w:val="24"/>
                <w:szCs w:val="24"/>
                <w:lang w:eastAsia="ru-RU"/>
              </w:rPr>
            </w:pPr>
            <w:r w:rsidRPr="002D34E6">
              <w:rPr>
                <w:rFonts w:eastAsia="Times New Roman"/>
                <w:sz w:val="24"/>
                <w:szCs w:val="24"/>
                <w:lang w:eastAsia="ru-RU"/>
              </w:rPr>
              <w:t>6,70</w:t>
            </w:r>
          </w:p>
        </w:tc>
        <w:tc>
          <w:tcPr>
            <w:tcW w:w="968" w:type="dxa"/>
            <w:tcBorders>
              <w:top w:val="single" w:sz="4" w:space="0" w:color="auto"/>
              <w:left w:val="single" w:sz="4" w:space="0" w:color="auto"/>
              <w:bottom w:val="single" w:sz="4" w:space="0" w:color="auto"/>
              <w:right w:val="single" w:sz="4" w:space="0" w:color="auto"/>
            </w:tcBorders>
            <w:vAlign w:val="center"/>
          </w:tcPr>
          <w:p w:rsidR="00015498" w:rsidRPr="002D34E6" w:rsidRDefault="00015498" w:rsidP="00015498">
            <w:pPr>
              <w:keepNext/>
              <w:jc w:val="center"/>
              <w:rPr>
                <w:rFonts w:eastAsia="Times New Roman"/>
                <w:color w:val="000000"/>
                <w:sz w:val="24"/>
                <w:szCs w:val="24"/>
                <w:lang w:eastAsia="ru-RU"/>
              </w:rPr>
            </w:pPr>
            <w:r w:rsidRPr="002D34E6">
              <w:rPr>
                <w:rFonts w:eastAsia="Times New Roman"/>
                <w:color w:val="000000"/>
                <w:sz w:val="24"/>
                <w:szCs w:val="24"/>
                <w:lang w:eastAsia="ru-RU"/>
              </w:rPr>
              <w:t>0,91</w:t>
            </w:r>
          </w:p>
        </w:tc>
        <w:tc>
          <w:tcPr>
            <w:tcW w:w="969" w:type="dxa"/>
            <w:tcBorders>
              <w:top w:val="single" w:sz="4" w:space="0" w:color="auto"/>
              <w:left w:val="single" w:sz="4" w:space="0" w:color="auto"/>
              <w:bottom w:val="single" w:sz="4" w:space="0" w:color="auto"/>
              <w:right w:val="single" w:sz="4" w:space="0" w:color="auto"/>
            </w:tcBorders>
            <w:vAlign w:val="center"/>
          </w:tcPr>
          <w:p w:rsidR="00015498" w:rsidRPr="002D34E6" w:rsidRDefault="00015498" w:rsidP="00015498">
            <w:pPr>
              <w:keepNext/>
              <w:jc w:val="center"/>
              <w:rPr>
                <w:rFonts w:eastAsia="Times New Roman"/>
                <w:sz w:val="24"/>
                <w:szCs w:val="24"/>
                <w:lang w:eastAsia="ru-RU"/>
              </w:rPr>
            </w:pPr>
            <w:r w:rsidRPr="002D34E6">
              <w:rPr>
                <w:rFonts w:eastAsia="Times New Roman"/>
                <w:sz w:val="24"/>
                <w:szCs w:val="24"/>
                <w:lang w:eastAsia="ru-RU"/>
              </w:rPr>
              <w:t>0,96</w:t>
            </w:r>
          </w:p>
        </w:tc>
      </w:tr>
      <w:tr w:rsidR="00015498" w:rsidRPr="002D34E6" w:rsidTr="00015498">
        <w:trPr>
          <w:trHeight w:val="276"/>
        </w:trPr>
        <w:tc>
          <w:tcPr>
            <w:tcW w:w="4536" w:type="dxa"/>
            <w:tcBorders>
              <w:top w:val="single" w:sz="4" w:space="0" w:color="auto"/>
              <w:left w:val="single" w:sz="4" w:space="0" w:color="auto"/>
              <w:bottom w:val="single" w:sz="4" w:space="0" w:color="auto"/>
              <w:right w:val="single" w:sz="4" w:space="0" w:color="auto"/>
            </w:tcBorders>
            <w:vAlign w:val="bottom"/>
          </w:tcPr>
          <w:p w:rsidR="00015498" w:rsidRPr="002D34E6" w:rsidRDefault="00015498" w:rsidP="00015498">
            <w:pPr>
              <w:keepNext/>
              <w:jc w:val="left"/>
              <w:rPr>
                <w:rFonts w:eastAsia="Times New Roman"/>
                <w:sz w:val="24"/>
                <w:szCs w:val="24"/>
                <w:lang w:eastAsia="ru-RU"/>
              </w:rPr>
            </w:pPr>
            <w:r w:rsidRPr="002D34E6">
              <w:rPr>
                <w:rFonts w:eastAsia="Times New Roman"/>
                <w:sz w:val="24"/>
                <w:szCs w:val="24"/>
                <w:lang w:eastAsia="ru-RU"/>
              </w:rPr>
              <w:t>Частота  кровотеч в послідовому і післяродовому періодах</w:t>
            </w:r>
          </w:p>
        </w:tc>
        <w:tc>
          <w:tcPr>
            <w:tcW w:w="968" w:type="dxa"/>
            <w:tcBorders>
              <w:top w:val="single" w:sz="4" w:space="0" w:color="auto"/>
              <w:left w:val="single" w:sz="4" w:space="0" w:color="auto"/>
              <w:bottom w:val="single" w:sz="4" w:space="0" w:color="auto"/>
              <w:right w:val="single" w:sz="4" w:space="0" w:color="auto"/>
            </w:tcBorders>
            <w:vAlign w:val="center"/>
          </w:tcPr>
          <w:p w:rsidR="00015498" w:rsidRPr="002D34E6" w:rsidRDefault="00015498" w:rsidP="00015498">
            <w:pPr>
              <w:keepNext/>
              <w:jc w:val="center"/>
              <w:rPr>
                <w:rFonts w:eastAsia="Times New Roman"/>
                <w:color w:val="000000"/>
                <w:sz w:val="24"/>
                <w:szCs w:val="24"/>
                <w:lang w:eastAsia="ru-RU"/>
              </w:rPr>
            </w:pPr>
            <w:r w:rsidRPr="002D34E6">
              <w:rPr>
                <w:rFonts w:eastAsia="Times New Roman"/>
                <w:color w:val="000000"/>
                <w:sz w:val="24"/>
                <w:szCs w:val="24"/>
                <w:lang w:eastAsia="ru-RU"/>
              </w:rPr>
              <w:t>12</w:t>
            </w:r>
          </w:p>
        </w:tc>
        <w:tc>
          <w:tcPr>
            <w:tcW w:w="969" w:type="dxa"/>
            <w:tcBorders>
              <w:top w:val="single" w:sz="4" w:space="0" w:color="auto"/>
              <w:left w:val="single" w:sz="4" w:space="0" w:color="auto"/>
              <w:bottom w:val="single" w:sz="4" w:space="0" w:color="auto"/>
              <w:right w:val="single" w:sz="4" w:space="0" w:color="auto"/>
            </w:tcBorders>
            <w:vAlign w:val="center"/>
          </w:tcPr>
          <w:p w:rsidR="00015498" w:rsidRPr="002D34E6" w:rsidRDefault="00015498" w:rsidP="00015498">
            <w:pPr>
              <w:keepNext/>
              <w:jc w:val="center"/>
              <w:rPr>
                <w:rFonts w:eastAsia="Times New Roman"/>
                <w:sz w:val="24"/>
                <w:szCs w:val="24"/>
                <w:lang w:eastAsia="ru-RU"/>
              </w:rPr>
            </w:pPr>
            <w:r w:rsidRPr="002D34E6">
              <w:rPr>
                <w:rFonts w:eastAsia="Times New Roman"/>
                <w:sz w:val="24"/>
                <w:szCs w:val="24"/>
                <w:lang w:eastAsia="ru-RU"/>
              </w:rPr>
              <w:t>12,27</w:t>
            </w:r>
          </w:p>
        </w:tc>
        <w:tc>
          <w:tcPr>
            <w:tcW w:w="968" w:type="dxa"/>
            <w:tcBorders>
              <w:top w:val="single" w:sz="4" w:space="0" w:color="auto"/>
              <w:left w:val="single" w:sz="4" w:space="0" w:color="auto"/>
              <w:bottom w:val="single" w:sz="4" w:space="0" w:color="auto"/>
              <w:right w:val="single" w:sz="4" w:space="0" w:color="auto"/>
            </w:tcBorders>
            <w:vAlign w:val="center"/>
          </w:tcPr>
          <w:p w:rsidR="00015498" w:rsidRPr="002D34E6" w:rsidRDefault="00015498" w:rsidP="00015498">
            <w:pPr>
              <w:keepNext/>
              <w:jc w:val="center"/>
              <w:rPr>
                <w:rFonts w:eastAsia="Times New Roman"/>
                <w:color w:val="000000"/>
                <w:sz w:val="24"/>
                <w:szCs w:val="24"/>
                <w:lang w:eastAsia="ru-RU"/>
              </w:rPr>
            </w:pPr>
            <w:r w:rsidRPr="002D34E6">
              <w:rPr>
                <w:rFonts w:eastAsia="Times New Roman"/>
                <w:color w:val="000000"/>
                <w:sz w:val="24"/>
                <w:szCs w:val="24"/>
                <w:lang w:eastAsia="ru-RU"/>
              </w:rPr>
              <w:t>0,00</w:t>
            </w:r>
          </w:p>
        </w:tc>
        <w:tc>
          <w:tcPr>
            <w:tcW w:w="969" w:type="dxa"/>
            <w:tcBorders>
              <w:top w:val="single" w:sz="4" w:space="0" w:color="auto"/>
              <w:left w:val="single" w:sz="4" w:space="0" w:color="auto"/>
              <w:bottom w:val="single" w:sz="4" w:space="0" w:color="auto"/>
              <w:right w:val="single" w:sz="4" w:space="0" w:color="auto"/>
            </w:tcBorders>
            <w:vAlign w:val="center"/>
          </w:tcPr>
          <w:p w:rsidR="00015498" w:rsidRPr="002D34E6" w:rsidRDefault="00015498" w:rsidP="00015498">
            <w:pPr>
              <w:keepNext/>
              <w:jc w:val="center"/>
              <w:rPr>
                <w:rFonts w:eastAsia="Times New Roman"/>
                <w:sz w:val="24"/>
                <w:szCs w:val="24"/>
                <w:lang w:eastAsia="ru-RU"/>
              </w:rPr>
            </w:pPr>
            <w:r w:rsidRPr="002D34E6">
              <w:rPr>
                <w:rFonts w:eastAsia="Times New Roman"/>
                <w:sz w:val="24"/>
                <w:szCs w:val="24"/>
                <w:lang w:eastAsia="ru-RU"/>
              </w:rPr>
              <w:t>0,0</w:t>
            </w:r>
          </w:p>
        </w:tc>
        <w:tc>
          <w:tcPr>
            <w:tcW w:w="968" w:type="dxa"/>
            <w:tcBorders>
              <w:top w:val="single" w:sz="4" w:space="0" w:color="auto"/>
              <w:left w:val="single" w:sz="4" w:space="0" w:color="auto"/>
              <w:bottom w:val="single" w:sz="4" w:space="0" w:color="auto"/>
              <w:right w:val="single" w:sz="4" w:space="0" w:color="auto"/>
            </w:tcBorders>
            <w:vAlign w:val="center"/>
          </w:tcPr>
          <w:p w:rsidR="00015498" w:rsidRPr="002D34E6" w:rsidRDefault="00015498" w:rsidP="00015498">
            <w:pPr>
              <w:keepNext/>
              <w:jc w:val="center"/>
              <w:rPr>
                <w:rFonts w:eastAsia="Times New Roman"/>
                <w:color w:val="000000"/>
                <w:sz w:val="24"/>
                <w:szCs w:val="24"/>
                <w:lang w:eastAsia="ru-RU"/>
              </w:rPr>
            </w:pPr>
            <w:r w:rsidRPr="002D34E6">
              <w:rPr>
                <w:rFonts w:eastAsia="Times New Roman"/>
                <w:color w:val="000000"/>
                <w:sz w:val="24"/>
                <w:szCs w:val="24"/>
                <w:lang w:eastAsia="ru-RU"/>
              </w:rPr>
              <w:t>0,00</w:t>
            </w:r>
          </w:p>
        </w:tc>
        <w:tc>
          <w:tcPr>
            <w:tcW w:w="969" w:type="dxa"/>
            <w:tcBorders>
              <w:top w:val="single" w:sz="4" w:space="0" w:color="auto"/>
              <w:left w:val="single" w:sz="4" w:space="0" w:color="auto"/>
              <w:bottom w:val="single" w:sz="4" w:space="0" w:color="auto"/>
              <w:right w:val="single" w:sz="4" w:space="0" w:color="auto"/>
            </w:tcBorders>
            <w:vAlign w:val="center"/>
          </w:tcPr>
          <w:p w:rsidR="00015498" w:rsidRPr="002D34E6" w:rsidRDefault="00015498" w:rsidP="00015498">
            <w:pPr>
              <w:keepNext/>
              <w:jc w:val="center"/>
              <w:rPr>
                <w:rFonts w:eastAsia="Times New Roman"/>
                <w:sz w:val="24"/>
                <w:szCs w:val="24"/>
                <w:lang w:eastAsia="ru-RU"/>
              </w:rPr>
            </w:pPr>
            <w:r w:rsidRPr="002D34E6">
              <w:rPr>
                <w:rFonts w:eastAsia="Times New Roman"/>
                <w:sz w:val="24"/>
                <w:szCs w:val="24"/>
                <w:lang w:eastAsia="ru-RU"/>
              </w:rPr>
              <w:t>0,00</w:t>
            </w:r>
          </w:p>
        </w:tc>
      </w:tr>
      <w:tr w:rsidR="00015498" w:rsidRPr="002D34E6" w:rsidTr="00015498">
        <w:trPr>
          <w:trHeight w:val="293"/>
        </w:trPr>
        <w:tc>
          <w:tcPr>
            <w:tcW w:w="4536" w:type="dxa"/>
            <w:tcBorders>
              <w:top w:val="single" w:sz="4" w:space="0" w:color="auto"/>
              <w:left w:val="single" w:sz="4" w:space="0" w:color="auto"/>
              <w:bottom w:val="single" w:sz="4" w:space="0" w:color="auto"/>
              <w:right w:val="single" w:sz="4" w:space="0" w:color="auto"/>
            </w:tcBorders>
            <w:vAlign w:val="bottom"/>
          </w:tcPr>
          <w:p w:rsidR="00015498" w:rsidRPr="002D34E6" w:rsidRDefault="00015498" w:rsidP="00015498">
            <w:pPr>
              <w:keepNext/>
              <w:jc w:val="left"/>
              <w:rPr>
                <w:rFonts w:eastAsia="Times New Roman"/>
                <w:sz w:val="24"/>
                <w:szCs w:val="24"/>
                <w:lang w:eastAsia="ru-RU"/>
              </w:rPr>
            </w:pPr>
            <w:r w:rsidRPr="002D34E6">
              <w:rPr>
                <w:rFonts w:eastAsia="Times New Roman"/>
                <w:sz w:val="24"/>
                <w:szCs w:val="24"/>
                <w:lang w:eastAsia="ru-RU"/>
              </w:rPr>
              <w:t>Частота мало вагових новонароджених</w:t>
            </w:r>
          </w:p>
        </w:tc>
        <w:tc>
          <w:tcPr>
            <w:tcW w:w="968" w:type="dxa"/>
            <w:tcBorders>
              <w:top w:val="single" w:sz="4" w:space="0" w:color="auto"/>
              <w:left w:val="single" w:sz="4" w:space="0" w:color="auto"/>
              <w:bottom w:val="single" w:sz="4" w:space="0" w:color="auto"/>
              <w:right w:val="single" w:sz="4" w:space="0" w:color="auto"/>
            </w:tcBorders>
            <w:vAlign w:val="center"/>
          </w:tcPr>
          <w:p w:rsidR="00015498" w:rsidRPr="002D34E6" w:rsidRDefault="00015498" w:rsidP="00015498">
            <w:pPr>
              <w:keepNext/>
              <w:jc w:val="center"/>
              <w:rPr>
                <w:rFonts w:eastAsia="Times New Roman"/>
                <w:color w:val="000000"/>
                <w:sz w:val="24"/>
                <w:szCs w:val="24"/>
                <w:lang w:eastAsia="ru-RU"/>
              </w:rPr>
            </w:pPr>
            <w:r w:rsidRPr="002D34E6">
              <w:rPr>
                <w:rFonts w:eastAsia="Times New Roman"/>
                <w:color w:val="000000"/>
                <w:sz w:val="24"/>
                <w:szCs w:val="24"/>
                <w:lang w:eastAsia="ru-RU"/>
              </w:rPr>
              <w:t>5,52</w:t>
            </w:r>
          </w:p>
        </w:tc>
        <w:tc>
          <w:tcPr>
            <w:tcW w:w="969" w:type="dxa"/>
            <w:tcBorders>
              <w:top w:val="single" w:sz="4" w:space="0" w:color="auto"/>
              <w:left w:val="single" w:sz="4" w:space="0" w:color="auto"/>
              <w:bottom w:val="single" w:sz="4" w:space="0" w:color="auto"/>
              <w:right w:val="single" w:sz="4" w:space="0" w:color="auto"/>
            </w:tcBorders>
            <w:vAlign w:val="center"/>
          </w:tcPr>
          <w:p w:rsidR="00015498" w:rsidRPr="002D34E6" w:rsidRDefault="00015498" w:rsidP="00015498">
            <w:pPr>
              <w:keepNext/>
              <w:jc w:val="center"/>
              <w:rPr>
                <w:rFonts w:eastAsia="Times New Roman"/>
                <w:sz w:val="24"/>
                <w:szCs w:val="24"/>
                <w:lang w:eastAsia="ru-RU"/>
              </w:rPr>
            </w:pPr>
            <w:r w:rsidRPr="002D34E6">
              <w:rPr>
                <w:rFonts w:eastAsia="Times New Roman"/>
                <w:sz w:val="24"/>
                <w:szCs w:val="24"/>
                <w:lang w:eastAsia="ru-RU"/>
              </w:rPr>
              <w:t>4,77</w:t>
            </w:r>
          </w:p>
        </w:tc>
        <w:tc>
          <w:tcPr>
            <w:tcW w:w="968" w:type="dxa"/>
            <w:tcBorders>
              <w:top w:val="single" w:sz="4" w:space="0" w:color="auto"/>
              <w:left w:val="single" w:sz="4" w:space="0" w:color="auto"/>
              <w:bottom w:val="single" w:sz="4" w:space="0" w:color="auto"/>
              <w:right w:val="single" w:sz="4" w:space="0" w:color="auto"/>
            </w:tcBorders>
            <w:vAlign w:val="center"/>
          </w:tcPr>
          <w:p w:rsidR="00015498" w:rsidRPr="002D34E6" w:rsidRDefault="00015498" w:rsidP="00015498">
            <w:pPr>
              <w:keepNext/>
              <w:jc w:val="center"/>
              <w:rPr>
                <w:rFonts w:eastAsia="Times New Roman"/>
                <w:color w:val="000000"/>
                <w:sz w:val="24"/>
                <w:szCs w:val="24"/>
                <w:lang w:eastAsia="ru-RU"/>
              </w:rPr>
            </w:pPr>
            <w:r w:rsidRPr="002D34E6">
              <w:rPr>
                <w:rFonts w:eastAsia="Times New Roman"/>
                <w:color w:val="000000"/>
                <w:sz w:val="24"/>
                <w:szCs w:val="24"/>
                <w:lang w:eastAsia="ru-RU"/>
              </w:rPr>
              <w:t>3,10</w:t>
            </w:r>
          </w:p>
        </w:tc>
        <w:tc>
          <w:tcPr>
            <w:tcW w:w="969" w:type="dxa"/>
            <w:tcBorders>
              <w:top w:val="single" w:sz="4" w:space="0" w:color="auto"/>
              <w:left w:val="single" w:sz="4" w:space="0" w:color="auto"/>
              <w:bottom w:val="single" w:sz="4" w:space="0" w:color="auto"/>
              <w:right w:val="single" w:sz="4" w:space="0" w:color="auto"/>
            </w:tcBorders>
            <w:vAlign w:val="center"/>
          </w:tcPr>
          <w:p w:rsidR="00015498" w:rsidRPr="002D34E6" w:rsidRDefault="00015498" w:rsidP="00015498">
            <w:pPr>
              <w:keepNext/>
              <w:jc w:val="center"/>
              <w:rPr>
                <w:rFonts w:eastAsia="Times New Roman"/>
                <w:sz w:val="24"/>
                <w:szCs w:val="24"/>
                <w:lang w:eastAsia="ru-RU"/>
              </w:rPr>
            </w:pPr>
            <w:r w:rsidRPr="002D34E6">
              <w:rPr>
                <w:rFonts w:eastAsia="Times New Roman"/>
                <w:sz w:val="24"/>
                <w:szCs w:val="24"/>
                <w:lang w:eastAsia="ru-RU"/>
              </w:rPr>
              <w:t>4,23</w:t>
            </w:r>
          </w:p>
        </w:tc>
        <w:tc>
          <w:tcPr>
            <w:tcW w:w="968" w:type="dxa"/>
            <w:tcBorders>
              <w:top w:val="single" w:sz="4" w:space="0" w:color="auto"/>
              <w:left w:val="single" w:sz="4" w:space="0" w:color="auto"/>
              <w:bottom w:val="single" w:sz="4" w:space="0" w:color="auto"/>
              <w:right w:val="single" w:sz="4" w:space="0" w:color="auto"/>
            </w:tcBorders>
            <w:vAlign w:val="center"/>
          </w:tcPr>
          <w:p w:rsidR="00015498" w:rsidRPr="002D34E6" w:rsidRDefault="00015498" w:rsidP="00015498">
            <w:pPr>
              <w:keepNext/>
              <w:jc w:val="center"/>
              <w:rPr>
                <w:rFonts w:eastAsia="Times New Roman"/>
                <w:color w:val="000000"/>
                <w:sz w:val="24"/>
                <w:szCs w:val="24"/>
                <w:lang w:eastAsia="ru-RU"/>
              </w:rPr>
            </w:pPr>
            <w:r w:rsidRPr="002D34E6">
              <w:rPr>
                <w:rFonts w:eastAsia="Times New Roman"/>
                <w:color w:val="000000"/>
                <w:sz w:val="24"/>
                <w:szCs w:val="24"/>
                <w:lang w:eastAsia="ru-RU"/>
              </w:rPr>
              <w:t>0,62</w:t>
            </w:r>
          </w:p>
        </w:tc>
        <w:tc>
          <w:tcPr>
            <w:tcW w:w="969" w:type="dxa"/>
            <w:tcBorders>
              <w:top w:val="single" w:sz="4" w:space="0" w:color="auto"/>
              <w:left w:val="single" w:sz="4" w:space="0" w:color="auto"/>
              <w:bottom w:val="single" w:sz="4" w:space="0" w:color="auto"/>
              <w:right w:val="single" w:sz="4" w:space="0" w:color="auto"/>
            </w:tcBorders>
            <w:vAlign w:val="center"/>
          </w:tcPr>
          <w:p w:rsidR="00015498" w:rsidRPr="002D34E6" w:rsidRDefault="00015498" w:rsidP="00015498">
            <w:pPr>
              <w:keepNext/>
              <w:jc w:val="center"/>
              <w:rPr>
                <w:rFonts w:eastAsia="Times New Roman"/>
                <w:sz w:val="24"/>
                <w:szCs w:val="24"/>
                <w:lang w:eastAsia="ru-RU"/>
              </w:rPr>
            </w:pPr>
            <w:r w:rsidRPr="002D34E6">
              <w:rPr>
                <w:rFonts w:eastAsia="Times New Roman"/>
                <w:sz w:val="24"/>
                <w:szCs w:val="24"/>
                <w:lang w:eastAsia="ru-RU"/>
              </w:rPr>
              <w:t>0,85</w:t>
            </w:r>
          </w:p>
        </w:tc>
      </w:tr>
      <w:tr w:rsidR="00015498" w:rsidRPr="002D34E6" w:rsidTr="00015498">
        <w:trPr>
          <w:trHeight w:val="344"/>
        </w:trPr>
        <w:tc>
          <w:tcPr>
            <w:tcW w:w="4536" w:type="dxa"/>
            <w:tcBorders>
              <w:top w:val="single" w:sz="4" w:space="0" w:color="auto"/>
              <w:left w:val="single" w:sz="4" w:space="0" w:color="auto"/>
              <w:bottom w:val="single" w:sz="4" w:space="0" w:color="auto"/>
              <w:right w:val="single" w:sz="4" w:space="0" w:color="auto"/>
            </w:tcBorders>
            <w:vAlign w:val="bottom"/>
          </w:tcPr>
          <w:p w:rsidR="00015498" w:rsidRPr="002D34E6" w:rsidRDefault="00015498" w:rsidP="00015498">
            <w:pPr>
              <w:keepNext/>
              <w:jc w:val="left"/>
              <w:rPr>
                <w:rFonts w:eastAsia="Times New Roman"/>
                <w:sz w:val="24"/>
                <w:szCs w:val="24"/>
                <w:lang w:eastAsia="ru-RU"/>
              </w:rPr>
            </w:pPr>
            <w:r w:rsidRPr="002D34E6">
              <w:rPr>
                <w:rFonts w:eastAsia="Times New Roman"/>
                <w:sz w:val="24"/>
                <w:szCs w:val="24"/>
                <w:lang w:eastAsia="ru-RU"/>
              </w:rPr>
              <w:t>Виживання новонароджених з дуже малою масою тіла при народженні</w:t>
            </w:r>
          </w:p>
        </w:tc>
        <w:tc>
          <w:tcPr>
            <w:tcW w:w="968" w:type="dxa"/>
            <w:tcBorders>
              <w:top w:val="single" w:sz="4" w:space="0" w:color="auto"/>
              <w:left w:val="single" w:sz="4" w:space="0" w:color="auto"/>
              <w:bottom w:val="single" w:sz="4" w:space="0" w:color="auto"/>
              <w:right w:val="single" w:sz="4" w:space="0" w:color="auto"/>
            </w:tcBorders>
            <w:vAlign w:val="center"/>
          </w:tcPr>
          <w:p w:rsidR="00015498" w:rsidRPr="002D34E6" w:rsidRDefault="00015498" w:rsidP="00015498">
            <w:pPr>
              <w:keepNext/>
              <w:jc w:val="center"/>
              <w:rPr>
                <w:rFonts w:eastAsia="Times New Roman"/>
                <w:color w:val="000000"/>
                <w:sz w:val="24"/>
                <w:szCs w:val="24"/>
                <w:lang w:eastAsia="ru-RU"/>
              </w:rPr>
            </w:pPr>
            <w:r w:rsidRPr="002D34E6">
              <w:rPr>
                <w:rFonts w:eastAsia="Times New Roman"/>
                <w:color w:val="000000"/>
                <w:sz w:val="24"/>
                <w:szCs w:val="24"/>
                <w:lang w:eastAsia="ru-RU"/>
              </w:rPr>
              <w:t>91,18</w:t>
            </w:r>
          </w:p>
        </w:tc>
        <w:tc>
          <w:tcPr>
            <w:tcW w:w="969" w:type="dxa"/>
            <w:tcBorders>
              <w:top w:val="single" w:sz="4" w:space="0" w:color="auto"/>
              <w:left w:val="single" w:sz="4" w:space="0" w:color="auto"/>
              <w:bottom w:val="single" w:sz="4" w:space="0" w:color="auto"/>
              <w:right w:val="single" w:sz="4" w:space="0" w:color="auto"/>
            </w:tcBorders>
            <w:vAlign w:val="center"/>
          </w:tcPr>
          <w:p w:rsidR="00015498" w:rsidRPr="002D34E6" w:rsidRDefault="00015498" w:rsidP="00015498">
            <w:pPr>
              <w:keepNext/>
              <w:jc w:val="center"/>
              <w:rPr>
                <w:rFonts w:eastAsia="Times New Roman"/>
                <w:sz w:val="24"/>
                <w:szCs w:val="24"/>
                <w:lang w:eastAsia="ru-RU"/>
              </w:rPr>
            </w:pPr>
            <w:r w:rsidRPr="002D34E6">
              <w:rPr>
                <w:rFonts w:eastAsia="Times New Roman"/>
                <w:sz w:val="24"/>
                <w:szCs w:val="24"/>
                <w:lang w:eastAsia="ru-RU"/>
              </w:rPr>
              <w:t>70,18</w:t>
            </w:r>
          </w:p>
        </w:tc>
        <w:tc>
          <w:tcPr>
            <w:tcW w:w="968" w:type="dxa"/>
            <w:tcBorders>
              <w:top w:val="single" w:sz="4" w:space="0" w:color="auto"/>
              <w:left w:val="single" w:sz="4" w:space="0" w:color="auto"/>
              <w:bottom w:val="single" w:sz="4" w:space="0" w:color="auto"/>
              <w:right w:val="single" w:sz="4" w:space="0" w:color="auto"/>
            </w:tcBorders>
            <w:vAlign w:val="center"/>
          </w:tcPr>
          <w:p w:rsidR="00015498" w:rsidRPr="002D34E6" w:rsidRDefault="00015498" w:rsidP="00015498">
            <w:pPr>
              <w:keepNext/>
              <w:jc w:val="center"/>
              <w:rPr>
                <w:rFonts w:eastAsia="Times New Roman"/>
                <w:color w:val="000000"/>
                <w:sz w:val="24"/>
                <w:szCs w:val="24"/>
                <w:lang w:eastAsia="ru-RU"/>
              </w:rPr>
            </w:pPr>
            <w:r w:rsidRPr="002D34E6">
              <w:rPr>
                <w:rFonts w:eastAsia="Times New Roman"/>
                <w:color w:val="000000"/>
                <w:sz w:val="24"/>
                <w:szCs w:val="24"/>
                <w:lang w:eastAsia="ru-RU"/>
              </w:rPr>
              <w:t>8,00</w:t>
            </w:r>
          </w:p>
        </w:tc>
        <w:tc>
          <w:tcPr>
            <w:tcW w:w="969" w:type="dxa"/>
            <w:tcBorders>
              <w:top w:val="single" w:sz="4" w:space="0" w:color="auto"/>
              <w:left w:val="single" w:sz="4" w:space="0" w:color="auto"/>
              <w:bottom w:val="single" w:sz="4" w:space="0" w:color="auto"/>
              <w:right w:val="single" w:sz="4" w:space="0" w:color="auto"/>
            </w:tcBorders>
            <w:vAlign w:val="center"/>
          </w:tcPr>
          <w:p w:rsidR="00015498" w:rsidRPr="002D34E6" w:rsidRDefault="00015498" w:rsidP="00015498">
            <w:pPr>
              <w:keepNext/>
              <w:jc w:val="center"/>
              <w:rPr>
                <w:rFonts w:eastAsia="Times New Roman"/>
                <w:sz w:val="24"/>
                <w:szCs w:val="24"/>
                <w:lang w:eastAsia="ru-RU"/>
              </w:rPr>
            </w:pPr>
            <w:r w:rsidRPr="002D34E6">
              <w:rPr>
                <w:rFonts w:eastAsia="Times New Roman"/>
                <w:sz w:val="24"/>
                <w:szCs w:val="24"/>
                <w:lang w:eastAsia="ru-RU"/>
              </w:rPr>
              <w:t>6,67</w:t>
            </w:r>
          </w:p>
        </w:tc>
        <w:tc>
          <w:tcPr>
            <w:tcW w:w="968" w:type="dxa"/>
            <w:tcBorders>
              <w:top w:val="single" w:sz="4" w:space="0" w:color="auto"/>
              <w:left w:val="single" w:sz="4" w:space="0" w:color="auto"/>
              <w:bottom w:val="single" w:sz="4" w:space="0" w:color="auto"/>
              <w:right w:val="single" w:sz="4" w:space="0" w:color="auto"/>
            </w:tcBorders>
            <w:vAlign w:val="center"/>
          </w:tcPr>
          <w:p w:rsidR="00015498" w:rsidRPr="002D34E6" w:rsidRDefault="00015498" w:rsidP="00015498">
            <w:pPr>
              <w:keepNext/>
              <w:jc w:val="center"/>
              <w:rPr>
                <w:rFonts w:eastAsia="Times New Roman"/>
                <w:color w:val="000000"/>
                <w:sz w:val="24"/>
                <w:szCs w:val="24"/>
                <w:lang w:eastAsia="ru-RU"/>
              </w:rPr>
            </w:pPr>
            <w:r w:rsidRPr="002D34E6">
              <w:rPr>
                <w:rFonts w:eastAsia="Times New Roman"/>
                <w:color w:val="000000"/>
                <w:sz w:val="24"/>
                <w:szCs w:val="24"/>
                <w:lang w:eastAsia="ru-RU"/>
              </w:rPr>
              <w:t>1,00</w:t>
            </w:r>
          </w:p>
        </w:tc>
        <w:tc>
          <w:tcPr>
            <w:tcW w:w="969" w:type="dxa"/>
            <w:tcBorders>
              <w:top w:val="single" w:sz="4" w:space="0" w:color="auto"/>
              <w:left w:val="single" w:sz="4" w:space="0" w:color="auto"/>
              <w:bottom w:val="single" w:sz="4" w:space="0" w:color="auto"/>
              <w:right w:val="single" w:sz="4" w:space="0" w:color="auto"/>
            </w:tcBorders>
            <w:vAlign w:val="center"/>
          </w:tcPr>
          <w:p w:rsidR="00015498" w:rsidRPr="002D34E6" w:rsidRDefault="00015498" w:rsidP="00015498">
            <w:pPr>
              <w:keepNext/>
              <w:jc w:val="center"/>
              <w:rPr>
                <w:rFonts w:eastAsia="Times New Roman"/>
                <w:sz w:val="24"/>
                <w:szCs w:val="24"/>
                <w:lang w:eastAsia="ru-RU"/>
              </w:rPr>
            </w:pPr>
            <w:r w:rsidRPr="002D34E6">
              <w:rPr>
                <w:rFonts w:eastAsia="Times New Roman"/>
                <w:sz w:val="24"/>
                <w:szCs w:val="24"/>
                <w:lang w:eastAsia="ru-RU"/>
              </w:rPr>
              <w:t>0,83</w:t>
            </w:r>
          </w:p>
        </w:tc>
      </w:tr>
      <w:tr w:rsidR="00015498" w:rsidRPr="002D34E6" w:rsidTr="00015498">
        <w:trPr>
          <w:trHeight w:val="226"/>
        </w:trPr>
        <w:tc>
          <w:tcPr>
            <w:tcW w:w="4536" w:type="dxa"/>
            <w:tcBorders>
              <w:top w:val="single" w:sz="4" w:space="0" w:color="auto"/>
              <w:left w:val="single" w:sz="4" w:space="0" w:color="auto"/>
              <w:bottom w:val="single" w:sz="4" w:space="0" w:color="auto"/>
              <w:right w:val="single" w:sz="4" w:space="0" w:color="auto"/>
            </w:tcBorders>
            <w:vAlign w:val="bottom"/>
          </w:tcPr>
          <w:p w:rsidR="00015498" w:rsidRPr="002D34E6" w:rsidRDefault="00015498" w:rsidP="00015498">
            <w:pPr>
              <w:keepNext/>
              <w:jc w:val="left"/>
              <w:rPr>
                <w:rFonts w:eastAsia="Times New Roman"/>
                <w:sz w:val="24"/>
                <w:szCs w:val="24"/>
                <w:lang w:eastAsia="ru-RU"/>
              </w:rPr>
            </w:pPr>
            <w:r w:rsidRPr="002D34E6">
              <w:rPr>
                <w:rFonts w:eastAsia="Times New Roman"/>
                <w:sz w:val="24"/>
                <w:szCs w:val="24"/>
                <w:lang w:eastAsia="ru-RU"/>
              </w:rPr>
              <w:t>Індекс здоров’я новонароджених</w:t>
            </w:r>
          </w:p>
        </w:tc>
        <w:tc>
          <w:tcPr>
            <w:tcW w:w="968" w:type="dxa"/>
            <w:tcBorders>
              <w:top w:val="single" w:sz="4" w:space="0" w:color="auto"/>
              <w:left w:val="single" w:sz="4" w:space="0" w:color="auto"/>
              <w:bottom w:val="single" w:sz="4" w:space="0" w:color="auto"/>
              <w:right w:val="single" w:sz="4" w:space="0" w:color="auto"/>
            </w:tcBorders>
            <w:vAlign w:val="center"/>
          </w:tcPr>
          <w:p w:rsidR="00015498" w:rsidRPr="002D34E6" w:rsidRDefault="00015498" w:rsidP="00015498">
            <w:pPr>
              <w:keepNext/>
              <w:jc w:val="center"/>
              <w:rPr>
                <w:rFonts w:eastAsia="Times New Roman"/>
                <w:color w:val="000000"/>
                <w:sz w:val="24"/>
                <w:szCs w:val="24"/>
                <w:lang w:eastAsia="ru-RU"/>
              </w:rPr>
            </w:pPr>
            <w:r w:rsidRPr="002D34E6">
              <w:rPr>
                <w:rFonts w:eastAsia="Times New Roman"/>
                <w:color w:val="000000"/>
                <w:sz w:val="24"/>
                <w:szCs w:val="24"/>
                <w:lang w:eastAsia="ru-RU"/>
              </w:rPr>
              <w:t>86,2</w:t>
            </w:r>
          </w:p>
        </w:tc>
        <w:tc>
          <w:tcPr>
            <w:tcW w:w="969" w:type="dxa"/>
            <w:tcBorders>
              <w:top w:val="single" w:sz="4" w:space="0" w:color="auto"/>
              <w:left w:val="single" w:sz="4" w:space="0" w:color="auto"/>
              <w:bottom w:val="single" w:sz="4" w:space="0" w:color="auto"/>
              <w:right w:val="single" w:sz="4" w:space="0" w:color="auto"/>
            </w:tcBorders>
            <w:vAlign w:val="center"/>
          </w:tcPr>
          <w:p w:rsidR="00015498" w:rsidRPr="002D34E6" w:rsidRDefault="00015498" w:rsidP="00015498">
            <w:pPr>
              <w:keepNext/>
              <w:jc w:val="center"/>
              <w:rPr>
                <w:rFonts w:eastAsia="Times New Roman"/>
                <w:sz w:val="24"/>
                <w:szCs w:val="24"/>
                <w:lang w:eastAsia="ru-RU"/>
              </w:rPr>
            </w:pPr>
            <w:r w:rsidRPr="002D34E6">
              <w:rPr>
                <w:rFonts w:eastAsia="Times New Roman"/>
                <w:sz w:val="24"/>
                <w:szCs w:val="24"/>
                <w:lang w:eastAsia="ru-RU"/>
              </w:rPr>
              <w:t>85,62</w:t>
            </w:r>
          </w:p>
        </w:tc>
        <w:tc>
          <w:tcPr>
            <w:tcW w:w="968" w:type="dxa"/>
            <w:tcBorders>
              <w:top w:val="single" w:sz="4" w:space="0" w:color="auto"/>
              <w:left w:val="single" w:sz="4" w:space="0" w:color="auto"/>
              <w:bottom w:val="single" w:sz="4" w:space="0" w:color="auto"/>
              <w:right w:val="single" w:sz="4" w:space="0" w:color="auto"/>
            </w:tcBorders>
            <w:vAlign w:val="center"/>
          </w:tcPr>
          <w:p w:rsidR="00015498" w:rsidRPr="002D34E6" w:rsidRDefault="00015498" w:rsidP="00015498">
            <w:pPr>
              <w:keepNext/>
              <w:jc w:val="center"/>
              <w:rPr>
                <w:rFonts w:eastAsia="Times New Roman"/>
                <w:color w:val="000000"/>
                <w:sz w:val="24"/>
                <w:szCs w:val="24"/>
                <w:lang w:eastAsia="ru-RU"/>
              </w:rPr>
            </w:pPr>
            <w:r w:rsidRPr="002D34E6">
              <w:rPr>
                <w:rFonts w:eastAsia="Times New Roman"/>
                <w:color w:val="000000"/>
                <w:sz w:val="24"/>
                <w:szCs w:val="24"/>
                <w:lang w:eastAsia="ru-RU"/>
              </w:rPr>
              <w:t>5,75</w:t>
            </w:r>
          </w:p>
        </w:tc>
        <w:tc>
          <w:tcPr>
            <w:tcW w:w="969" w:type="dxa"/>
            <w:tcBorders>
              <w:top w:val="single" w:sz="4" w:space="0" w:color="auto"/>
              <w:left w:val="single" w:sz="4" w:space="0" w:color="auto"/>
              <w:bottom w:val="single" w:sz="4" w:space="0" w:color="auto"/>
              <w:right w:val="single" w:sz="4" w:space="0" w:color="auto"/>
            </w:tcBorders>
            <w:vAlign w:val="center"/>
          </w:tcPr>
          <w:p w:rsidR="00015498" w:rsidRPr="002D34E6" w:rsidRDefault="00015498" w:rsidP="00015498">
            <w:pPr>
              <w:keepNext/>
              <w:jc w:val="center"/>
              <w:rPr>
                <w:rFonts w:eastAsia="Times New Roman"/>
                <w:sz w:val="24"/>
                <w:szCs w:val="24"/>
                <w:lang w:eastAsia="ru-RU"/>
              </w:rPr>
            </w:pPr>
            <w:r w:rsidRPr="002D34E6">
              <w:rPr>
                <w:rFonts w:eastAsia="Times New Roman"/>
                <w:sz w:val="24"/>
                <w:szCs w:val="24"/>
                <w:lang w:eastAsia="ru-RU"/>
              </w:rPr>
              <w:t>6,0</w:t>
            </w:r>
          </w:p>
        </w:tc>
        <w:tc>
          <w:tcPr>
            <w:tcW w:w="968" w:type="dxa"/>
            <w:tcBorders>
              <w:top w:val="single" w:sz="4" w:space="0" w:color="auto"/>
              <w:left w:val="single" w:sz="4" w:space="0" w:color="auto"/>
              <w:bottom w:val="single" w:sz="4" w:space="0" w:color="auto"/>
              <w:right w:val="single" w:sz="4" w:space="0" w:color="auto"/>
            </w:tcBorders>
            <w:vAlign w:val="center"/>
          </w:tcPr>
          <w:p w:rsidR="00015498" w:rsidRPr="002D34E6" w:rsidRDefault="00015498" w:rsidP="00015498">
            <w:pPr>
              <w:keepNext/>
              <w:jc w:val="center"/>
              <w:rPr>
                <w:rFonts w:eastAsia="Times New Roman"/>
                <w:color w:val="000000"/>
                <w:sz w:val="24"/>
                <w:szCs w:val="24"/>
                <w:lang w:eastAsia="ru-RU"/>
              </w:rPr>
            </w:pPr>
            <w:r w:rsidRPr="002D34E6">
              <w:rPr>
                <w:rFonts w:eastAsia="Times New Roman"/>
                <w:color w:val="000000"/>
                <w:sz w:val="24"/>
                <w:szCs w:val="24"/>
                <w:lang w:eastAsia="ru-RU"/>
              </w:rPr>
              <w:t>0,96</w:t>
            </w:r>
          </w:p>
        </w:tc>
        <w:tc>
          <w:tcPr>
            <w:tcW w:w="969" w:type="dxa"/>
            <w:tcBorders>
              <w:top w:val="single" w:sz="4" w:space="0" w:color="auto"/>
              <w:left w:val="single" w:sz="4" w:space="0" w:color="auto"/>
              <w:bottom w:val="single" w:sz="4" w:space="0" w:color="auto"/>
              <w:right w:val="single" w:sz="4" w:space="0" w:color="auto"/>
            </w:tcBorders>
            <w:vAlign w:val="center"/>
          </w:tcPr>
          <w:p w:rsidR="00015498" w:rsidRPr="002D34E6" w:rsidRDefault="00015498" w:rsidP="00015498">
            <w:pPr>
              <w:keepNext/>
              <w:jc w:val="center"/>
              <w:rPr>
                <w:rFonts w:eastAsia="Times New Roman"/>
                <w:sz w:val="24"/>
                <w:szCs w:val="24"/>
                <w:lang w:eastAsia="ru-RU"/>
              </w:rPr>
            </w:pPr>
            <w:r w:rsidRPr="002D34E6">
              <w:rPr>
                <w:rFonts w:eastAsia="Times New Roman"/>
                <w:sz w:val="24"/>
                <w:szCs w:val="24"/>
                <w:lang w:eastAsia="ru-RU"/>
              </w:rPr>
              <w:t>1,00</w:t>
            </w:r>
          </w:p>
        </w:tc>
      </w:tr>
      <w:tr w:rsidR="00015498" w:rsidRPr="002D34E6" w:rsidTr="00015498">
        <w:trPr>
          <w:trHeight w:val="244"/>
        </w:trPr>
        <w:tc>
          <w:tcPr>
            <w:tcW w:w="4536" w:type="dxa"/>
            <w:tcBorders>
              <w:top w:val="single" w:sz="4" w:space="0" w:color="auto"/>
              <w:left w:val="single" w:sz="4" w:space="0" w:color="auto"/>
              <w:bottom w:val="single" w:sz="4" w:space="0" w:color="auto"/>
              <w:right w:val="single" w:sz="4" w:space="0" w:color="auto"/>
            </w:tcBorders>
            <w:vAlign w:val="bottom"/>
          </w:tcPr>
          <w:p w:rsidR="00015498" w:rsidRPr="002D34E6" w:rsidRDefault="00015498" w:rsidP="00015498">
            <w:pPr>
              <w:keepNext/>
              <w:jc w:val="left"/>
              <w:rPr>
                <w:rFonts w:eastAsia="Times New Roman"/>
                <w:sz w:val="24"/>
                <w:szCs w:val="24"/>
                <w:lang w:eastAsia="ru-RU"/>
              </w:rPr>
            </w:pPr>
            <w:r w:rsidRPr="002D34E6">
              <w:rPr>
                <w:rFonts w:eastAsia="Times New Roman"/>
                <w:sz w:val="24"/>
                <w:szCs w:val="24"/>
                <w:lang w:eastAsia="ru-RU"/>
              </w:rPr>
              <w:t>Рівень перинатальної смертності</w:t>
            </w:r>
          </w:p>
        </w:tc>
        <w:tc>
          <w:tcPr>
            <w:tcW w:w="968" w:type="dxa"/>
            <w:tcBorders>
              <w:top w:val="single" w:sz="4" w:space="0" w:color="auto"/>
              <w:left w:val="single" w:sz="4" w:space="0" w:color="auto"/>
              <w:bottom w:val="single" w:sz="4" w:space="0" w:color="auto"/>
              <w:right w:val="single" w:sz="4" w:space="0" w:color="auto"/>
            </w:tcBorders>
            <w:vAlign w:val="center"/>
          </w:tcPr>
          <w:p w:rsidR="00015498" w:rsidRPr="002D34E6" w:rsidRDefault="00015498" w:rsidP="00015498">
            <w:pPr>
              <w:keepNext/>
              <w:jc w:val="center"/>
              <w:rPr>
                <w:rFonts w:eastAsia="Times New Roman"/>
                <w:color w:val="000000"/>
                <w:sz w:val="24"/>
                <w:szCs w:val="24"/>
                <w:lang w:eastAsia="ru-RU"/>
              </w:rPr>
            </w:pPr>
            <w:r w:rsidRPr="002D34E6">
              <w:rPr>
                <w:rFonts w:eastAsia="Times New Roman"/>
                <w:color w:val="000000"/>
                <w:sz w:val="24"/>
                <w:szCs w:val="24"/>
                <w:lang w:eastAsia="ru-RU"/>
              </w:rPr>
              <w:t>9,9</w:t>
            </w:r>
          </w:p>
        </w:tc>
        <w:tc>
          <w:tcPr>
            <w:tcW w:w="969" w:type="dxa"/>
            <w:tcBorders>
              <w:top w:val="single" w:sz="4" w:space="0" w:color="auto"/>
              <w:left w:val="single" w:sz="4" w:space="0" w:color="auto"/>
              <w:bottom w:val="single" w:sz="4" w:space="0" w:color="auto"/>
              <w:right w:val="single" w:sz="4" w:space="0" w:color="auto"/>
            </w:tcBorders>
            <w:vAlign w:val="center"/>
          </w:tcPr>
          <w:p w:rsidR="00015498" w:rsidRPr="002D34E6" w:rsidRDefault="00015498" w:rsidP="00015498">
            <w:pPr>
              <w:keepNext/>
              <w:jc w:val="center"/>
              <w:rPr>
                <w:rFonts w:eastAsia="Times New Roman"/>
                <w:sz w:val="24"/>
                <w:szCs w:val="24"/>
                <w:lang w:eastAsia="ru-RU"/>
              </w:rPr>
            </w:pPr>
            <w:r w:rsidRPr="002D34E6">
              <w:rPr>
                <w:rFonts w:eastAsia="Times New Roman"/>
                <w:sz w:val="24"/>
                <w:szCs w:val="24"/>
                <w:lang w:eastAsia="ru-RU"/>
              </w:rPr>
              <w:t>9,23</w:t>
            </w:r>
          </w:p>
        </w:tc>
        <w:tc>
          <w:tcPr>
            <w:tcW w:w="968" w:type="dxa"/>
            <w:tcBorders>
              <w:top w:val="single" w:sz="4" w:space="0" w:color="auto"/>
              <w:left w:val="single" w:sz="4" w:space="0" w:color="auto"/>
              <w:bottom w:val="single" w:sz="4" w:space="0" w:color="auto"/>
              <w:right w:val="single" w:sz="4" w:space="0" w:color="auto"/>
            </w:tcBorders>
            <w:vAlign w:val="center"/>
          </w:tcPr>
          <w:p w:rsidR="00015498" w:rsidRPr="002D34E6" w:rsidRDefault="00015498" w:rsidP="00015498">
            <w:pPr>
              <w:keepNext/>
              <w:jc w:val="center"/>
              <w:rPr>
                <w:rFonts w:eastAsia="Times New Roman"/>
                <w:color w:val="000000"/>
                <w:sz w:val="24"/>
                <w:szCs w:val="24"/>
                <w:lang w:eastAsia="ru-RU"/>
              </w:rPr>
            </w:pPr>
            <w:r w:rsidRPr="002D34E6">
              <w:rPr>
                <w:rFonts w:eastAsia="Times New Roman"/>
                <w:color w:val="000000"/>
                <w:sz w:val="24"/>
                <w:szCs w:val="24"/>
                <w:lang w:eastAsia="ru-RU"/>
              </w:rPr>
              <w:t>4,58</w:t>
            </w:r>
          </w:p>
        </w:tc>
        <w:tc>
          <w:tcPr>
            <w:tcW w:w="969" w:type="dxa"/>
            <w:tcBorders>
              <w:top w:val="single" w:sz="4" w:space="0" w:color="auto"/>
              <w:left w:val="single" w:sz="4" w:space="0" w:color="auto"/>
              <w:bottom w:val="single" w:sz="4" w:space="0" w:color="auto"/>
              <w:right w:val="single" w:sz="4" w:space="0" w:color="auto"/>
            </w:tcBorders>
            <w:vAlign w:val="center"/>
          </w:tcPr>
          <w:p w:rsidR="00015498" w:rsidRPr="002D34E6" w:rsidRDefault="00015498" w:rsidP="00015498">
            <w:pPr>
              <w:keepNext/>
              <w:jc w:val="center"/>
              <w:rPr>
                <w:rFonts w:eastAsia="Times New Roman"/>
                <w:sz w:val="24"/>
                <w:szCs w:val="24"/>
                <w:lang w:eastAsia="ru-RU"/>
              </w:rPr>
            </w:pPr>
            <w:r w:rsidRPr="002D34E6">
              <w:rPr>
                <w:rFonts w:eastAsia="Times New Roman"/>
                <w:sz w:val="24"/>
                <w:szCs w:val="24"/>
                <w:lang w:eastAsia="ru-RU"/>
              </w:rPr>
              <w:t>5,08</w:t>
            </w:r>
          </w:p>
        </w:tc>
        <w:tc>
          <w:tcPr>
            <w:tcW w:w="968" w:type="dxa"/>
            <w:tcBorders>
              <w:top w:val="single" w:sz="4" w:space="0" w:color="auto"/>
              <w:left w:val="single" w:sz="4" w:space="0" w:color="auto"/>
              <w:bottom w:val="single" w:sz="4" w:space="0" w:color="auto"/>
              <w:right w:val="single" w:sz="4" w:space="0" w:color="auto"/>
            </w:tcBorders>
            <w:vAlign w:val="center"/>
          </w:tcPr>
          <w:p w:rsidR="00015498" w:rsidRPr="002D34E6" w:rsidRDefault="00015498" w:rsidP="00015498">
            <w:pPr>
              <w:keepNext/>
              <w:jc w:val="center"/>
              <w:rPr>
                <w:rFonts w:eastAsia="Times New Roman"/>
                <w:color w:val="000000"/>
                <w:sz w:val="24"/>
                <w:szCs w:val="24"/>
                <w:lang w:eastAsia="ru-RU"/>
              </w:rPr>
            </w:pPr>
            <w:r w:rsidRPr="002D34E6">
              <w:rPr>
                <w:rFonts w:eastAsia="Times New Roman"/>
                <w:color w:val="000000"/>
                <w:sz w:val="24"/>
                <w:szCs w:val="24"/>
                <w:lang w:eastAsia="ru-RU"/>
              </w:rPr>
              <w:t>0,76</w:t>
            </w:r>
          </w:p>
        </w:tc>
        <w:tc>
          <w:tcPr>
            <w:tcW w:w="969" w:type="dxa"/>
            <w:tcBorders>
              <w:top w:val="single" w:sz="4" w:space="0" w:color="auto"/>
              <w:left w:val="single" w:sz="4" w:space="0" w:color="auto"/>
              <w:bottom w:val="single" w:sz="4" w:space="0" w:color="auto"/>
              <w:right w:val="single" w:sz="4" w:space="0" w:color="auto"/>
            </w:tcBorders>
            <w:vAlign w:val="center"/>
          </w:tcPr>
          <w:p w:rsidR="00015498" w:rsidRPr="002D34E6" w:rsidRDefault="00015498" w:rsidP="00015498">
            <w:pPr>
              <w:keepNext/>
              <w:jc w:val="center"/>
              <w:rPr>
                <w:rFonts w:eastAsia="Times New Roman"/>
                <w:sz w:val="24"/>
                <w:szCs w:val="24"/>
                <w:lang w:eastAsia="ru-RU"/>
              </w:rPr>
            </w:pPr>
            <w:r w:rsidRPr="002D34E6">
              <w:rPr>
                <w:rFonts w:eastAsia="Times New Roman"/>
                <w:sz w:val="24"/>
                <w:szCs w:val="24"/>
                <w:lang w:eastAsia="ru-RU"/>
              </w:rPr>
              <w:t>0,85</w:t>
            </w:r>
          </w:p>
        </w:tc>
      </w:tr>
      <w:tr w:rsidR="00015498" w:rsidRPr="002D34E6" w:rsidTr="00015498">
        <w:trPr>
          <w:trHeight w:val="450"/>
        </w:trPr>
        <w:tc>
          <w:tcPr>
            <w:tcW w:w="4536" w:type="dxa"/>
            <w:tcBorders>
              <w:top w:val="single" w:sz="4" w:space="0" w:color="auto"/>
              <w:left w:val="single" w:sz="4" w:space="0" w:color="auto"/>
              <w:bottom w:val="single" w:sz="4" w:space="0" w:color="auto"/>
              <w:right w:val="single" w:sz="4" w:space="0" w:color="auto"/>
            </w:tcBorders>
            <w:vAlign w:val="center"/>
          </w:tcPr>
          <w:p w:rsidR="00015498" w:rsidRPr="002D34E6" w:rsidRDefault="00015498" w:rsidP="00015498">
            <w:pPr>
              <w:keepNext/>
              <w:rPr>
                <w:rFonts w:eastAsia="Times New Roman"/>
                <w:sz w:val="24"/>
                <w:szCs w:val="24"/>
                <w:lang w:eastAsia="ru-RU"/>
              </w:rPr>
            </w:pPr>
            <w:r w:rsidRPr="002D34E6">
              <w:rPr>
                <w:rFonts w:eastAsia="Times New Roman"/>
                <w:sz w:val="24"/>
                <w:szCs w:val="24"/>
                <w:lang w:eastAsia="ru-RU"/>
              </w:rPr>
              <w:t>Співвідношення реального і фактичного показника ранньої неонатальної смертності</w:t>
            </w:r>
          </w:p>
        </w:tc>
        <w:tc>
          <w:tcPr>
            <w:tcW w:w="968" w:type="dxa"/>
            <w:tcBorders>
              <w:top w:val="single" w:sz="4" w:space="0" w:color="auto"/>
              <w:left w:val="single" w:sz="4" w:space="0" w:color="auto"/>
              <w:bottom w:val="single" w:sz="4" w:space="0" w:color="auto"/>
              <w:right w:val="single" w:sz="4" w:space="0" w:color="auto"/>
            </w:tcBorders>
            <w:vAlign w:val="center"/>
          </w:tcPr>
          <w:p w:rsidR="00015498" w:rsidRPr="002D34E6" w:rsidRDefault="00015498" w:rsidP="00015498">
            <w:pPr>
              <w:keepNext/>
              <w:jc w:val="center"/>
              <w:rPr>
                <w:rFonts w:eastAsia="Times New Roman"/>
                <w:sz w:val="24"/>
                <w:szCs w:val="24"/>
                <w:lang w:eastAsia="ru-RU"/>
              </w:rPr>
            </w:pPr>
            <w:r w:rsidRPr="002D34E6">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015498" w:rsidRPr="002D34E6" w:rsidRDefault="00015498" w:rsidP="00015498">
            <w:pPr>
              <w:keepNext/>
              <w:jc w:val="center"/>
              <w:rPr>
                <w:rFonts w:eastAsia="Times New Roman"/>
                <w:sz w:val="24"/>
                <w:szCs w:val="24"/>
                <w:lang w:eastAsia="ru-RU"/>
              </w:rPr>
            </w:pPr>
            <w:r w:rsidRPr="002D34E6">
              <w:rPr>
                <w:rFonts w:eastAsia="Times New Roman"/>
                <w:sz w:val="24"/>
                <w:szCs w:val="24"/>
                <w:lang w:eastAsia="ru-RU"/>
              </w:rPr>
              <w:t>1,97</w:t>
            </w:r>
          </w:p>
        </w:tc>
        <w:tc>
          <w:tcPr>
            <w:tcW w:w="968" w:type="dxa"/>
            <w:tcBorders>
              <w:top w:val="single" w:sz="4" w:space="0" w:color="auto"/>
              <w:left w:val="single" w:sz="4" w:space="0" w:color="auto"/>
              <w:bottom w:val="single" w:sz="4" w:space="0" w:color="auto"/>
              <w:right w:val="single" w:sz="4" w:space="0" w:color="auto"/>
            </w:tcBorders>
            <w:vAlign w:val="center"/>
          </w:tcPr>
          <w:p w:rsidR="00015498" w:rsidRPr="002D34E6" w:rsidRDefault="00015498" w:rsidP="00015498">
            <w:pPr>
              <w:keepNext/>
              <w:jc w:val="center"/>
              <w:rPr>
                <w:rFonts w:eastAsia="Times New Roman"/>
                <w:sz w:val="24"/>
                <w:szCs w:val="24"/>
                <w:lang w:eastAsia="ru-RU"/>
              </w:rPr>
            </w:pPr>
            <w:r w:rsidRPr="002D34E6">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015498" w:rsidRPr="002D34E6" w:rsidRDefault="00015498" w:rsidP="00015498">
            <w:pPr>
              <w:keepNext/>
              <w:jc w:val="center"/>
              <w:rPr>
                <w:rFonts w:eastAsia="Times New Roman"/>
                <w:sz w:val="24"/>
                <w:szCs w:val="24"/>
                <w:lang w:eastAsia="ru-RU"/>
              </w:rPr>
            </w:pPr>
            <w:r w:rsidRPr="002D34E6">
              <w:rPr>
                <w:rFonts w:eastAsia="Times New Roman"/>
                <w:sz w:val="24"/>
                <w:szCs w:val="24"/>
                <w:lang w:eastAsia="ru-RU"/>
              </w:rPr>
              <w:t>4,12</w:t>
            </w:r>
          </w:p>
        </w:tc>
        <w:tc>
          <w:tcPr>
            <w:tcW w:w="968" w:type="dxa"/>
            <w:tcBorders>
              <w:top w:val="single" w:sz="4" w:space="0" w:color="auto"/>
              <w:left w:val="single" w:sz="4" w:space="0" w:color="auto"/>
              <w:bottom w:val="single" w:sz="4" w:space="0" w:color="auto"/>
              <w:right w:val="single" w:sz="4" w:space="0" w:color="auto"/>
            </w:tcBorders>
            <w:vAlign w:val="center"/>
          </w:tcPr>
          <w:p w:rsidR="00015498" w:rsidRPr="002D34E6" w:rsidRDefault="00015498" w:rsidP="00015498">
            <w:pPr>
              <w:keepNext/>
              <w:jc w:val="center"/>
              <w:rPr>
                <w:rFonts w:eastAsia="Times New Roman"/>
                <w:sz w:val="24"/>
                <w:szCs w:val="24"/>
                <w:lang w:eastAsia="ru-RU"/>
              </w:rPr>
            </w:pPr>
            <w:r w:rsidRPr="002D34E6">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015498" w:rsidRPr="002D34E6" w:rsidRDefault="00015498" w:rsidP="00015498">
            <w:pPr>
              <w:keepNext/>
              <w:jc w:val="center"/>
              <w:rPr>
                <w:rFonts w:eastAsia="Times New Roman"/>
                <w:sz w:val="24"/>
                <w:szCs w:val="24"/>
                <w:lang w:eastAsia="ru-RU"/>
              </w:rPr>
            </w:pPr>
            <w:r w:rsidRPr="002D34E6">
              <w:rPr>
                <w:rFonts w:eastAsia="Times New Roman"/>
                <w:sz w:val="24"/>
                <w:szCs w:val="24"/>
                <w:lang w:eastAsia="ru-RU"/>
              </w:rPr>
              <w:t>0,69</w:t>
            </w:r>
          </w:p>
        </w:tc>
      </w:tr>
      <w:tr w:rsidR="00015498" w:rsidRPr="002D34E6" w:rsidTr="00015498">
        <w:trPr>
          <w:trHeight w:val="216"/>
        </w:trPr>
        <w:tc>
          <w:tcPr>
            <w:tcW w:w="4536" w:type="dxa"/>
            <w:tcBorders>
              <w:top w:val="single" w:sz="4" w:space="0" w:color="auto"/>
              <w:left w:val="single" w:sz="4" w:space="0" w:color="auto"/>
              <w:bottom w:val="single" w:sz="4" w:space="0" w:color="auto"/>
              <w:right w:val="single" w:sz="4" w:space="0" w:color="auto"/>
            </w:tcBorders>
            <w:vAlign w:val="center"/>
          </w:tcPr>
          <w:p w:rsidR="00015498" w:rsidRPr="002D34E6" w:rsidRDefault="00015498" w:rsidP="00015498">
            <w:pPr>
              <w:keepNext/>
              <w:rPr>
                <w:rFonts w:eastAsia="Times New Roman"/>
                <w:sz w:val="24"/>
                <w:szCs w:val="24"/>
                <w:lang w:eastAsia="ru-RU"/>
              </w:rPr>
            </w:pPr>
            <w:r w:rsidRPr="002D34E6">
              <w:rPr>
                <w:rFonts w:eastAsia="Times New Roman"/>
                <w:sz w:val="24"/>
                <w:szCs w:val="24"/>
                <w:lang w:eastAsia="ru-RU"/>
              </w:rPr>
              <w:t>Рівень неонатальної мертності</w:t>
            </w:r>
          </w:p>
        </w:tc>
        <w:tc>
          <w:tcPr>
            <w:tcW w:w="968" w:type="dxa"/>
            <w:tcBorders>
              <w:top w:val="single" w:sz="4" w:space="0" w:color="auto"/>
              <w:left w:val="single" w:sz="4" w:space="0" w:color="auto"/>
              <w:bottom w:val="single" w:sz="4" w:space="0" w:color="auto"/>
              <w:right w:val="single" w:sz="4" w:space="0" w:color="auto"/>
            </w:tcBorders>
            <w:vAlign w:val="center"/>
          </w:tcPr>
          <w:p w:rsidR="00015498" w:rsidRPr="002D34E6" w:rsidRDefault="00015498" w:rsidP="00015498">
            <w:pPr>
              <w:keepNext/>
              <w:jc w:val="center"/>
              <w:rPr>
                <w:rFonts w:eastAsia="Times New Roman"/>
                <w:sz w:val="24"/>
                <w:szCs w:val="24"/>
                <w:lang w:eastAsia="ru-RU"/>
              </w:rPr>
            </w:pPr>
            <w:r w:rsidRPr="002D34E6">
              <w:rPr>
                <w:rFonts w:eastAsia="Times New Roman"/>
                <w:sz w:val="24"/>
                <w:szCs w:val="24"/>
                <w:lang w:eastAsia="ru-RU"/>
              </w:rPr>
              <w:t>5,5</w:t>
            </w:r>
          </w:p>
        </w:tc>
        <w:tc>
          <w:tcPr>
            <w:tcW w:w="969" w:type="dxa"/>
            <w:tcBorders>
              <w:top w:val="single" w:sz="4" w:space="0" w:color="auto"/>
              <w:left w:val="single" w:sz="4" w:space="0" w:color="auto"/>
              <w:bottom w:val="single" w:sz="4" w:space="0" w:color="auto"/>
              <w:right w:val="single" w:sz="4" w:space="0" w:color="auto"/>
            </w:tcBorders>
            <w:vAlign w:val="center"/>
          </w:tcPr>
          <w:p w:rsidR="00015498" w:rsidRPr="002D34E6" w:rsidRDefault="00015498" w:rsidP="00015498">
            <w:pPr>
              <w:keepNext/>
              <w:jc w:val="center"/>
              <w:rPr>
                <w:rFonts w:eastAsia="Times New Roman"/>
                <w:sz w:val="24"/>
                <w:szCs w:val="24"/>
                <w:lang w:eastAsia="ru-RU"/>
              </w:rPr>
            </w:pPr>
            <w:r w:rsidRPr="002D34E6">
              <w:rPr>
                <w:rFonts w:eastAsia="Times New Roman"/>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015498" w:rsidRPr="002D34E6" w:rsidRDefault="00015498" w:rsidP="00015498">
            <w:pPr>
              <w:keepNext/>
              <w:jc w:val="center"/>
              <w:rPr>
                <w:rFonts w:eastAsia="Times New Roman"/>
                <w:sz w:val="24"/>
                <w:szCs w:val="24"/>
                <w:lang w:eastAsia="ru-RU"/>
              </w:rPr>
            </w:pPr>
            <w:r w:rsidRPr="002D34E6">
              <w:rPr>
                <w:rFonts w:eastAsia="Times New Roman"/>
                <w:sz w:val="24"/>
                <w:szCs w:val="24"/>
                <w:lang w:eastAsia="ru-RU"/>
              </w:rPr>
              <w:t>3,75</w:t>
            </w:r>
          </w:p>
        </w:tc>
        <w:tc>
          <w:tcPr>
            <w:tcW w:w="969" w:type="dxa"/>
            <w:tcBorders>
              <w:top w:val="single" w:sz="4" w:space="0" w:color="auto"/>
              <w:left w:val="single" w:sz="4" w:space="0" w:color="auto"/>
              <w:bottom w:val="single" w:sz="4" w:space="0" w:color="auto"/>
              <w:right w:val="single" w:sz="4" w:space="0" w:color="auto"/>
            </w:tcBorders>
            <w:vAlign w:val="center"/>
          </w:tcPr>
          <w:p w:rsidR="00015498" w:rsidRPr="002D34E6" w:rsidRDefault="00015498" w:rsidP="00015498">
            <w:pPr>
              <w:keepNext/>
              <w:jc w:val="center"/>
              <w:rPr>
                <w:rFonts w:eastAsia="Times New Roman"/>
                <w:sz w:val="24"/>
                <w:szCs w:val="24"/>
                <w:lang w:eastAsia="ru-RU"/>
              </w:rPr>
            </w:pPr>
            <w:r w:rsidRPr="002D34E6">
              <w:rPr>
                <w:rFonts w:eastAsia="Times New Roman"/>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015498" w:rsidRPr="002D34E6" w:rsidRDefault="00015498" w:rsidP="00015498">
            <w:pPr>
              <w:keepNext/>
              <w:jc w:val="center"/>
              <w:rPr>
                <w:rFonts w:eastAsia="Times New Roman"/>
                <w:sz w:val="24"/>
                <w:szCs w:val="24"/>
                <w:lang w:eastAsia="ru-RU"/>
              </w:rPr>
            </w:pPr>
            <w:r w:rsidRPr="002D34E6">
              <w:rPr>
                <w:rFonts w:eastAsia="Times New Roman"/>
                <w:sz w:val="24"/>
                <w:szCs w:val="24"/>
                <w:lang w:eastAsia="ru-RU"/>
              </w:rPr>
              <w:t>0,63</w:t>
            </w:r>
          </w:p>
        </w:tc>
        <w:tc>
          <w:tcPr>
            <w:tcW w:w="969" w:type="dxa"/>
            <w:tcBorders>
              <w:top w:val="single" w:sz="4" w:space="0" w:color="auto"/>
              <w:left w:val="single" w:sz="4" w:space="0" w:color="auto"/>
              <w:bottom w:val="single" w:sz="4" w:space="0" w:color="auto"/>
              <w:right w:val="single" w:sz="4" w:space="0" w:color="auto"/>
            </w:tcBorders>
            <w:vAlign w:val="center"/>
          </w:tcPr>
          <w:p w:rsidR="00015498" w:rsidRPr="002D34E6" w:rsidRDefault="00015498" w:rsidP="00015498">
            <w:pPr>
              <w:keepNext/>
              <w:jc w:val="center"/>
              <w:rPr>
                <w:rFonts w:eastAsia="Times New Roman"/>
                <w:sz w:val="24"/>
                <w:szCs w:val="24"/>
                <w:lang w:eastAsia="ru-RU"/>
              </w:rPr>
            </w:pPr>
            <w:r w:rsidRPr="002D34E6">
              <w:rPr>
                <w:rFonts w:eastAsia="Times New Roman"/>
                <w:sz w:val="24"/>
                <w:szCs w:val="24"/>
                <w:lang w:eastAsia="ru-RU"/>
              </w:rPr>
              <w:t>**</w:t>
            </w:r>
          </w:p>
        </w:tc>
      </w:tr>
      <w:tr w:rsidR="00015498" w:rsidRPr="002D34E6" w:rsidTr="00015498">
        <w:trPr>
          <w:trHeight w:val="266"/>
        </w:trPr>
        <w:tc>
          <w:tcPr>
            <w:tcW w:w="4536" w:type="dxa"/>
            <w:tcBorders>
              <w:top w:val="single" w:sz="4" w:space="0" w:color="auto"/>
              <w:left w:val="single" w:sz="4" w:space="0" w:color="auto"/>
              <w:bottom w:val="single" w:sz="4" w:space="0" w:color="auto"/>
              <w:right w:val="single" w:sz="4" w:space="0" w:color="auto"/>
            </w:tcBorders>
            <w:vAlign w:val="center"/>
          </w:tcPr>
          <w:p w:rsidR="00015498" w:rsidRPr="002D34E6" w:rsidRDefault="00015498" w:rsidP="00015498">
            <w:pPr>
              <w:keepNext/>
              <w:jc w:val="left"/>
              <w:rPr>
                <w:rFonts w:eastAsia="Times New Roman"/>
                <w:sz w:val="24"/>
                <w:szCs w:val="24"/>
                <w:lang w:eastAsia="ru-RU"/>
              </w:rPr>
            </w:pPr>
            <w:r w:rsidRPr="002D34E6">
              <w:rPr>
                <w:rFonts w:eastAsia="Times New Roman"/>
                <w:sz w:val="24"/>
                <w:szCs w:val="24"/>
                <w:lang w:eastAsia="ru-RU"/>
              </w:rPr>
              <w:t xml:space="preserve">Рівень ранньої неонатальної смертності </w:t>
            </w:r>
          </w:p>
        </w:tc>
        <w:tc>
          <w:tcPr>
            <w:tcW w:w="968" w:type="dxa"/>
            <w:tcBorders>
              <w:top w:val="single" w:sz="4" w:space="0" w:color="auto"/>
              <w:left w:val="single" w:sz="4" w:space="0" w:color="auto"/>
              <w:bottom w:val="single" w:sz="4" w:space="0" w:color="auto"/>
              <w:right w:val="single" w:sz="4" w:space="0" w:color="auto"/>
            </w:tcBorders>
            <w:vAlign w:val="center"/>
          </w:tcPr>
          <w:p w:rsidR="00015498" w:rsidRPr="002D34E6" w:rsidRDefault="00015498" w:rsidP="00015498">
            <w:pPr>
              <w:keepNext/>
              <w:jc w:val="center"/>
              <w:rPr>
                <w:rFonts w:eastAsia="Times New Roman"/>
                <w:sz w:val="24"/>
                <w:szCs w:val="24"/>
                <w:lang w:eastAsia="ru-RU"/>
              </w:rPr>
            </w:pPr>
            <w:r w:rsidRPr="002D34E6">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015498" w:rsidRPr="002D34E6" w:rsidRDefault="00015498" w:rsidP="00015498">
            <w:pPr>
              <w:keepNext/>
              <w:jc w:val="center"/>
              <w:rPr>
                <w:rFonts w:eastAsia="Times New Roman"/>
                <w:sz w:val="24"/>
                <w:szCs w:val="24"/>
                <w:lang w:eastAsia="ru-RU"/>
              </w:rPr>
            </w:pPr>
            <w:r w:rsidRPr="002D34E6">
              <w:rPr>
                <w:rFonts w:eastAsia="Times New Roman"/>
                <w:sz w:val="24"/>
                <w:szCs w:val="24"/>
                <w:lang w:eastAsia="ru-RU"/>
              </w:rPr>
              <w:t>4,44</w:t>
            </w:r>
          </w:p>
        </w:tc>
        <w:tc>
          <w:tcPr>
            <w:tcW w:w="968" w:type="dxa"/>
            <w:tcBorders>
              <w:top w:val="single" w:sz="4" w:space="0" w:color="auto"/>
              <w:left w:val="single" w:sz="4" w:space="0" w:color="auto"/>
              <w:bottom w:val="single" w:sz="4" w:space="0" w:color="auto"/>
              <w:right w:val="single" w:sz="4" w:space="0" w:color="auto"/>
            </w:tcBorders>
            <w:vAlign w:val="center"/>
          </w:tcPr>
          <w:p w:rsidR="00015498" w:rsidRPr="002D34E6" w:rsidRDefault="00015498" w:rsidP="00015498">
            <w:pPr>
              <w:keepNext/>
              <w:jc w:val="center"/>
              <w:rPr>
                <w:rFonts w:eastAsia="Times New Roman"/>
                <w:sz w:val="24"/>
                <w:szCs w:val="24"/>
                <w:lang w:eastAsia="ru-RU"/>
              </w:rPr>
            </w:pPr>
            <w:r w:rsidRPr="002D34E6">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015498" w:rsidRPr="002D34E6" w:rsidRDefault="00015498" w:rsidP="00015498">
            <w:pPr>
              <w:keepNext/>
              <w:jc w:val="center"/>
              <w:rPr>
                <w:rFonts w:eastAsia="Times New Roman"/>
                <w:sz w:val="24"/>
                <w:szCs w:val="24"/>
                <w:lang w:eastAsia="ru-RU"/>
              </w:rPr>
            </w:pPr>
            <w:r w:rsidRPr="002D34E6">
              <w:rPr>
                <w:rFonts w:eastAsia="Times New Roman"/>
                <w:sz w:val="24"/>
                <w:szCs w:val="24"/>
                <w:lang w:eastAsia="ru-RU"/>
              </w:rPr>
              <w:t>3,24</w:t>
            </w:r>
          </w:p>
        </w:tc>
        <w:tc>
          <w:tcPr>
            <w:tcW w:w="968" w:type="dxa"/>
            <w:tcBorders>
              <w:top w:val="single" w:sz="4" w:space="0" w:color="auto"/>
              <w:left w:val="single" w:sz="4" w:space="0" w:color="auto"/>
              <w:bottom w:val="single" w:sz="4" w:space="0" w:color="auto"/>
              <w:right w:val="single" w:sz="4" w:space="0" w:color="auto"/>
            </w:tcBorders>
            <w:vAlign w:val="center"/>
          </w:tcPr>
          <w:p w:rsidR="00015498" w:rsidRPr="002D34E6" w:rsidRDefault="00015498" w:rsidP="00015498">
            <w:pPr>
              <w:keepNext/>
              <w:jc w:val="center"/>
              <w:rPr>
                <w:rFonts w:eastAsia="Times New Roman"/>
                <w:sz w:val="24"/>
                <w:szCs w:val="24"/>
                <w:lang w:eastAsia="ru-RU"/>
              </w:rPr>
            </w:pPr>
            <w:r w:rsidRPr="002D34E6">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015498" w:rsidRPr="002D34E6" w:rsidRDefault="00015498" w:rsidP="00015498">
            <w:pPr>
              <w:keepNext/>
              <w:jc w:val="center"/>
              <w:rPr>
                <w:rFonts w:eastAsia="Times New Roman"/>
                <w:sz w:val="24"/>
                <w:szCs w:val="24"/>
                <w:lang w:eastAsia="ru-RU"/>
              </w:rPr>
            </w:pPr>
            <w:r w:rsidRPr="002D34E6">
              <w:rPr>
                <w:rFonts w:eastAsia="Times New Roman"/>
                <w:sz w:val="24"/>
                <w:szCs w:val="24"/>
                <w:lang w:eastAsia="ru-RU"/>
              </w:rPr>
              <w:t>0,54</w:t>
            </w:r>
          </w:p>
        </w:tc>
      </w:tr>
      <w:tr w:rsidR="00015498" w:rsidRPr="002D34E6" w:rsidTr="00015498">
        <w:trPr>
          <w:trHeight w:val="284"/>
        </w:trPr>
        <w:tc>
          <w:tcPr>
            <w:tcW w:w="4536" w:type="dxa"/>
            <w:tcBorders>
              <w:top w:val="single" w:sz="4" w:space="0" w:color="auto"/>
              <w:left w:val="single" w:sz="4" w:space="0" w:color="auto"/>
              <w:bottom w:val="single" w:sz="4" w:space="0" w:color="auto"/>
              <w:right w:val="single" w:sz="4" w:space="0" w:color="auto"/>
            </w:tcBorders>
            <w:vAlign w:val="bottom"/>
          </w:tcPr>
          <w:p w:rsidR="00015498" w:rsidRPr="002D34E6" w:rsidRDefault="00015498" w:rsidP="00015498">
            <w:pPr>
              <w:keepNext/>
              <w:jc w:val="left"/>
              <w:rPr>
                <w:rFonts w:eastAsia="Times New Roman"/>
                <w:sz w:val="24"/>
                <w:szCs w:val="24"/>
                <w:lang w:eastAsia="ru-RU"/>
              </w:rPr>
            </w:pPr>
            <w:r w:rsidRPr="002D34E6">
              <w:rPr>
                <w:rFonts w:eastAsia="Times New Roman"/>
                <w:sz w:val="24"/>
                <w:szCs w:val="24"/>
                <w:lang w:eastAsia="ru-RU"/>
              </w:rPr>
              <w:t xml:space="preserve">Рівень материнської смертності </w:t>
            </w:r>
          </w:p>
        </w:tc>
        <w:tc>
          <w:tcPr>
            <w:tcW w:w="968" w:type="dxa"/>
            <w:tcBorders>
              <w:top w:val="single" w:sz="4" w:space="0" w:color="auto"/>
              <w:left w:val="single" w:sz="4" w:space="0" w:color="auto"/>
              <w:bottom w:val="single" w:sz="4" w:space="0" w:color="auto"/>
              <w:right w:val="single" w:sz="4" w:space="0" w:color="auto"/>
            </w:tcBorders>
            <w:vAlign w:val="center"/>
          </w:tcPr>
          <w:p w:rsidR="00015498" w:rsidRPr="002D34E6" w:rsidRDefault="00015498" w:rsidP="00015498">
            <w:pPr>
              <w:keepNext/>
              <w:jc w:val="center"/>
              <w:rPr>
                <w:rFonts w:eastAsia="Times New Roman"/>
                <w:sz w:val="24"/>
                <w:szCs w:val="24"/>
                <w:lang w:eastAsia="ru-RU"/>
              </w:rPr>
            </w:pPr>
            <w:r w:rsidRPr="002D34E6">
              <w:rPr>
                <w:rFonts w:eastAsia="Times New Roman"/>
                <w:sz w:val="24"/>
                <w:szCs w:val="24"/>
                <w:lang w:eastAsia="ru-RU"/>
              </w:rPr>
              <w:t>31,1</w:t>
            </w:r>
          </w:p>
        </w:tc>
        <w:tc>
          <w:tcPr>
            <w:tcW w:w="969" w:type="dxa"/>
            <w:tcBorders>
              <w:top w:val="single" w:sz="4" w:space="0" w:color="auto"/>
              <w:left w:val="single" w:sz="4" w:space="0" w:color="auto"/>
              <w:bottom w:val="single" w:sz="4" w:space="0" w:color="auto"/>
              <w:right w:val="single" w:sz="4" w:space="0" w:color="auto"/>
            </w:tcBorders>
            <w:vAlign w:val="center"/>
          </w:tcPr>
          <w:p w:rsidR="00015498" w:rsidRPr="002D34E6" w:rsidRDefault="00015498" w:rsidP="00015498">
            <w:pPr>
              <w:keepNext/>
              <w:jc w:val="center"/>
              <w:rPr>
                <w:rFonts w:eastAsia="Times New Roman"/>
                <w:sz w:val="24"/>
                <w:szCs w:val="24"/>
                <w:lang w:eastAsia="ru-RU"/>
              </w:rPr>
            </w:pPr>
            <w:r w:rsidRPr="002D34E6">
              <w:rPr>
                <w:rFonts w:eastAsia="Times New Roman"/>
                <w:sz w:val="24"/>
                <w:szCs w:val="24"/>
                <w:lang w:eastAsia="ru-RU"/>
              </w:rPr>
              <w:t>11,6</w:t>
            </w:r>
          </w:p>
        </w:tc>
        <w:tc>
          <w:tcPr>
            <w:tcW w:w="968" w:type="dxa"/>
            <w:tcBorders>
              <w:top w:val="single" w:sz="4" w:space="0" w:color="auto"/>
              <w:left w:val="single" w:sz="4" w:space="0" w:color="auto"/>
              <w:bottom w:val="single" w:sz="4" w:space="0" w:color="auto"/>
              <w:right w:val="single" w:sz="4" w:space="0" w:color="auto"/>
            </w:tcBorders>
            <w:vAlign w:val="center"/>
          </w:tcPr>
          <w:p w:rsidR="00015498" w:rsidRPr="002D34E6" w:rsidRDefault="00015498" w:rsidP="00015498">
            <w:pPr>
              <w:keepNext/>
              <w:jc w:val="center"/>
              <w:rPr>
                <w:rFonts w:eastAsia="Times New Roman"/>
                <w:sz w:val="24"/>
                <w:szCs w:val="24"/>
                <w:lang w:eastAsia="ru-RU"/>
              </w:rPr>
            </w:pPr>
            <w:r w:rsidRPr="002D34E6">
              <w:rPr>
                <w:rFonts w:eastAsia="Times New Roman"/>
                <w:sz w:val="24"/>
                <w:szCs w:val="24"/>
                <w:lang w:eastAsia="ru-RU"/>
              </w:rPr>
              <w:t>0,0</w:t>
            </w:r>
          </w:p>
        </w:tc>
        <w:tc>
          <w:tcPr>
            <w:tcW w:w="969" w:type="dxa"/>
            <w:tcBorders>
              <w:top w:val="single" w:sz="4" w:space="0" w:color="auto"/>
              <w:left w:val="single" w:sz="4" w:space="0" w:color="auto"/>
              <w:bottom w:val="single" w:sz="4" w:space="0" w:color="auto"/>
              <w:right w:val="single" w:sz="4" w:space="0" w:color="auto"/>
            </w:tcBorders>
            <w:vAlign w:val="center"/>
          </w:tcPr>
          <w:p w:rsidR="00015498" w:rsidRPr="002D34E6" w:rsidRDefault="00015498" w:rsidP="00015498">
            <w:pPr>
              <w:keepNext/>
              <w:jc w:val="center"/>
              <w:rPr>
                <w:rFonts w:eastAsia="Times New Roman"/>
                <w:sz w:val="24"/>
                <w:szCs w:val="24"/>
                <w:lang w:eastAsia="ru-RU"/>
              </w:rPr>
            </w:pPr>
            <w:r w:rsidRPr="002D34E6">
              <w:rPr>
                <w:rFonts w:eastAsia="Times New Roman"/>
                <w:sz w:val="24"/>
                <w:szCs w:val="24"/>
                <w:lang w:eastAsia="ru-RU"/>
              </w:rPr>
              <w:t>4,73</w:t>
            </w:r>
          </w:p>
        </w:tc>
        <w:tc>
          <w:tcPr>
            <w:tcW w:w="968" w:type="dxa"/>
            <w:tcBorders>
              <w:top w:val="single" w:sz="4" w:space="0" w:color="auto"/>
              <w:left w:val="single" w:sz="4" w:space="0" w:color="auto"/>
              <w:bottom w:val="single" w:sz="4" w:space="0" w:color="auto"/>
              <w:right w:val="single" w:sz="4" w:space="0" w:color="auto"/>
            </w:tcBorders>
            <w:vAlign w:val="center"/>
          </w:tcPr>
          <w:p w:rsidR="00015498" w:rsidRPr="002D34E6" w:rsidRDefault="00015498" w:rsidP="00015498">
            <w:pPr>
              <w:keepNext/>
              <w:jc w:val="center"/>
              <w:rPr>
                <w:rFonts w:eastAsia="Times New Roman"/>
                <w:sz w:val="24"/>
                <w:szCs w:val="24"/>
                <w:lang w:eastAsia="ru-RU"/>
              </w:rPr>
            </w:pPr>
            <w:r w:rsidRPr="002D34E6">
              <w:rPr>
                <w:rFonts w:eastAsia="Times New Roman"/>
                <w:sz w:val="24"/>
                <w:szCs w:val="24"/>
                <w:lang w:eastAsia="ru-RU"/>
              </w:rPr>
              <w:t>0,00</w:t>
            </w:r>
          </w:p>
        </w:tc>
        <w:tc>
          <w:tcPr>
            <w:tcW w:w="969" w:type="dxa"/>
            <w:tcBorders>
              <w:top w:val="single" w:sz="4" w:space="0" w:color="auto"/>
              <w:left w:val="single" w:sz="4" w:space="0" w:color="auto"/>
              <w:bottom w:val="single" w:sz="4" w:space="0" w:color="auto"/>
              <w:right w:val="single" w:sz="4" w:space="0" w:color="auto"/>
            </w:tcBorders>
            <w:vAlign w:val="center"/>
          </w:tcPr>
          <w:p w:rsidR="00015498" w:rsidRPr="002D34E6" w:rsidRDefault="00015498" w:rsidP="00015498">
            <w:pPr>
              <w:keepNext/>
              <w:jc w:val="center"/>
              <w:rPr>
                <w:rFonts w:eastAsia="Times New Roman"/>
                <w:sz w:val="24"/>
                <w:szCs w:val="24"/>
                <w:lang w:eastAsia="ru-RU"/>
              </w:rPr>
            </w:pPr>
            <w:r w:rsidRPr="002D34E6">
              <w:rPr>
                <w:rFonts w:eastAsia="Times New Roman"/>
                <w:sz w:val="24"/>
                <w:szCs w:val="24"/>
                <w:lang w:eastAsia="ru-RU"/>
              </w:rPr>
              <w:t>0,95</w:t>
            </w:r>
          </w:p>
        </w:tc>
      </w:tr>
      <w:tr w:rsidR="00015498" w:rsidRPr="002D34E6" w:rsidTr="00015498">
        <w:trPr>
          <w:trHeight w:val="300"/>
        </w:trPr>
        <w:tc>
          <w:tcPr>
            <w:tcW w:w="4536" w:type="dxa"/>
            <w:tcBorders>
              <w:top w:val="single" w:sz="4" w:space="0" w:color="auto"/>
              <w:left w:val="single" w:sz="4" w:space="0" w:color="auto"/>
              <w:bottom w:val="single" w:sz="4" w:space="0" w:color="auto"/>
              <w:right w:val="single" w:sz="4" w:space="0" w:color="auto"/>
            </w:tcBorders>
            <w:noWrap/>
            <w:vAlign w:val="bottom"/>
            <w:hideMark/>
          </w:tcPr>
          <w:p w:rsidR="00015498" w:rsidRPr="002D34E6" w:rsidRDefault="00015498" w:rsidP="00015498">
            <w:pPr>
              <w:keepNext/>
              <w:jc w:val="left"/>
              <w:rPr>
                <w:rFonts w:eastAsia="Times New Roman"/>
                <w:sz w:val="24"/>
                <w:szCs w:val="24"/>
                <w:lang w:eastAsia="ru-RU"/>
              </w:rPr>
            </w:pPr>
          </w:p>
        </w:tc>
        <w:tc>
          <w:tcPr>
            <w:tcW w:w="968" w:type="dxa"/>
            <w:tcBorders>
              <w:top w:val="single" w:sz="4" w:space="0" w:color="auto"/>
              <w:left w:val="single" w:sz="4" w:space="0" w:color="auto"/>
              <w:bottom w:val="single" w:sz="4" w:space="0" w:color="auto"/>
              <w:right w:val="single" w:sz="4" w:space="0" w:color="auto"/>
            </w:tcBorders>
            <w:noWrap/>
            <w:vAlign w:val="center"/>
          </w:tcPr>
          <w:p w:rsidR="00015498" w:rsidRPr="002D34E6" w:rsidRDefault="00015498" w:rsidP="00015498">
            <w:pPr>
              <w:keepNext/>
              <w:jc w:val="center"/>
              <w:rPr>
                <w:rFonts w:eastAsia="Times New Roman"/>
                <w:sz w:val="24"/>
                <w:szCs w:val="24"/>
                <w:lang w:eastAsia="ru-RU"/>
              </w:rPr>
            </w:pPr>
          </w:p>
        </w:tc>
        <w:tc>
          <w:tcPr>
            <w:tcW w:w="969" w:type="dxa"/>
            <w:tcBorders>
              <w:top w:val="single" w:sz="4" w:space="0" w:color="auto"/>
              <w:left w:val="single" w:sz="4" w:space="0" w:color="auto"/>
              <w:bottom w:val="single" w:sz="4" w:space="0" w:color="auto"/>
              <w:right w:val="single" w:sz="4" w:space="0" w:color="auto"/>
            </w:tcBorders>
            <w:vAlign w:val="center"/>
          </w:tcPr>
          <w:p w:rsidR="00015498" w:rsidRPr="002D34E6" w:rsidRDefault="00015498" w:rsidP="00015498">
            <w:pPr>
              <w:keepNext/>
              <w:jc w:val="center"/>
              <w:rPr>
                <w:rFonts w:eastAsia="Times New Roman"/>
                <w:color w:val="000000"/>
                <w:sz w:val="24"/>
                <w:szCs w:val="24"/>
                <w:lang w:eastAsia="ru-RU"/>
              </w:rPr>
            </w:pPr>
          </w:p>
        </w:tc>
        <w:tc>
          <w:tcPr>
            <w:tcW w:w="968" w:type="dxa"/>
            <w:tcBorders>
              <w:top w:val="single" w:sz="4" w:space="0" w:color="auto"/>
              <w:left w:val="single" w:sz="4" w:space="0" w:color="auto"/>
              <w:bottom w:val="single" w:sz="4" w:space="0" w:color="auto"/>
              <w:right w:val="single" w:sz="4" w:space="0" w:color="auto"/>
            </w:tcBorders>
            <w:vAlign w:val="center"/>
          </w:tcPr>
          <w:p w:rsidR="00015498" w:rsidRPr="002D34E6" w:rsidRDefault="00015498" w:rsidP="00015498">
            <w:pPr>
              <w:keepNext/>
              <w:jc w:val="center"/>
              <w:rPr>
                <w:rFonts w:eastAsia="Times New Roman"/>
                <w:color w:val="000000"/>
                <w:sz w:val="24"/>
                <w:szCs w:val="24"/>
                <w:lang w:eastAsia="ru-RU"/>
              </w:rPr>
            </w:pPr>
            <w:r w:rsidRPr="002D34E6">
              <w:rPr>
                <w:rFonts w:eastAsia="Times New Roman"/>
                <w:color w:val="000000"/>
                <w:sz w:val="24"/>
                <w:szCs w:val="24"/>
                <w:lang w:eastAsia="ru-RU"/>
              </w:rPr>
              <w:t>83,89</w:t>
            </w:r>
          </w:p>
        </w:tc>
        <w:tc>
          <w:tcPr>
            <w:tcW w:w="969" w:type="dxa"/>
            <w:tcBorders>
              <w:top w:val="single" w:sz="4" w:space="0" w:color="auto"/>
              <w:left w:val="single" w:sz="4" w:space="0" w:color="auto"/>
              <w:bottom w:val="single" w:sz="4" w:space="0" w:color="auto"/>
              <w:right w:val="single" w:sz="4" w:space="0" w:color="auto"/>
            </w:tcBorders>
            <w:noWrap/>
            <w:vAlign w:val="center"/>
          </w:tcPr>
          <w:p w:rsidR="00015498" w:rsidRPr="002D34E6" w:rsidRDefault="00015498" w:rsidP="00015498">
            <w:pPr>
              <w:keepNext/>
              <w:jc w:val="center"/>
              <w:rPr>
                <w:rFonts w:eastAsia="Times New Roman"/>
                <w:color w:val="000000"/>
                <w:sz w:val="24"/>
                <w:szCs w:val="24"/>
                <w:lang w:eastAsia="ru-RU"/>
              </w:rPr>
            </w:pPr>
            <w:r w:rsidRPr="002D34E6">
              <w:rPr>
                <w:rFonts w:eastAsia="Times New Roman"/>
                <w:color w:val="000000"/>
                <w:sz w:val="24"/>
                <w:szCs w:val="24"/>
                <w:lang w:eastAsia="ru-RU"/>
              </w:rPr>
              <w:t>105,0</w:t>
            </w:r>
          </w:p>
        </w:tc>
        <w:tc>
          <w:tcPr>
            <w:tcW w:w="968" w:type="dxa"/>
            <w:tcBorders>
              <w:top w:val="single" w:sz="4" w:space="0" w:color="auto"/>
              <w:left w:val="single" w:sz="4" w:space="0" w:color="auto"/>
              <w:bottom w:val="single" w:sz="4" w:space="0" w:color="auto"/>
              <w:right w:val="single" w:sz="4" w:space="0" w:color="auto"/>
            </w:tcBorders>
            <w:noWrap/>
            <w:vAlign w:val="center"/>
          </w:tcPr>
          <w:p w:rsidR="00015498" w:rsidRPr="002D34E6" w:rsidRDefault="00015498" w:rsidP="00015498">
            <w:pPr>
              <w:keepNext/>
              <w:jc w:val="center"/>
              <w:rPr>
                <w:rFonts w:eastAsia="Times New Roman"/>
                <w:color w:val="000000"/>
                <w:sz w:val="24"/>
                <w:szCs w:val="24"/>
                <w:lang w:eastAsia="ru-RU"/>
              </w:rPr>
            </w:pPr>
            <w:r w:rsidRPr="002D34E6">
              <w:rPr>
                <w:rFonts w:eastAsia="Times New Roman"/>
                <w:color w:val="000000"/>
                <w:sz w:val="24"/>
                <w:szCs w:val="24"/>
                <w:lang w:eastAsia="ru-RU"/>
              </w:rPr>
              <w:t>0,70</w:t>
            </w:r>
          </w:p>
        </w:tc>
        <w:tc>
          <w:tcPr>
            <w:tcW w:w="969" w:type="dxa"/>
            <w:tcBorders>
              <w:top w:val="single" w:sz="4" w:space="0" w:color="auto"/>
              <w:left w:val="single" w:sz="4" w:space="0" w:color="auto"/>
              <w:bottom w:val="single" w:sz="4" w:space="0" w:color="auto"/>
              <w:right w:val="single" w:sz="4" w:space="0" w:color="auto"/>
            </w:tcBorders>
            <w:vAlign w:val="center"/>
          </w:tcPr>
          <w:p w:rsidR="00015498" w:rsidRPr="002D34E6" w:rsidRDefault="00015498" w:rsidP="00015498">
            <w:pPr>
              <w:keepNext/>
              <w:jc w:val="center"/>
              <w:rPr>
                <w:rFonts w:eastAsia="Times New Roman"/>
                <w:color w:val="000000"/>
                <w:sz w:val="24"/>
                <w:szCs w:val="24"/>
                <w:lang w:eastAsia="ru-RU"/>
              </w:rPr>
            </w:pPr>
            <w:r w:rsidRPr="002D34E6">
              <w:rPr>
                <w:rFonts w:eastAsia="Times New Roman"/>
                <w:color w:val="000000"/>
                <w:sz w:val="24"/>
                <w:szCs w:val="24"/>
                <w:lang w:eastAsia="ru-RU"/>
              </w:rPr>
              <w:t>0,81</w:t>
            </w:r>
          </w:p>
        </w:tc>
      </w:tr>
    </w:tbl>
    <w:p w:rsidR="004418D7" w:rsidRDefault="00015498" w:rsidP="003114E3">
      <w:pPr>
        <w:jc w:val="right"/>
        <w:rPr>
          <w:i/>
          <w:lang w:val="ru-RU"/>
        </w:rPr>
      </w:pPr>
      <w:r w:rsidRPr="00015498">
        <w:rPr>
          <w:i/>
          <w:lang w:val="ru-RU"/>
        </w:rPr>
        <w:t>Продовження додаток Е-25</w:t>
      </w:r>
    </w:p>
    <w:p w:rsidR="004418D7" w:rsidRPr="004418D7" w:rsidRDefault="004418D7" w:rsidP="004418D7"/>
    <w:p w:rsidR="004418D7" w:rsidRPr="004418D7" w:rsidRDefault="004418D7" w:rsidP="004418D7">
      <w:pPr>
        <w:rPr>
          <w:lang w:val="ru-RU"/>
        </w:rPr>
      </w:pPr>
    </w:p>
    <w:p w:rsidR="004418D7" w:rsidRPr="004418D7" w:rsidRDefault="004418D7" w:rsidP="004418D7">
      <w:pPr>
        <w:rPr>
          <w:lang w:val="ru-RU"/>
        </w:rPr>
      </w:pPr>
    </w:p>
    <w:p w:rsidR="004418D7" w:rsidRPr="004418D7" w:rsidRDefault="004418D7" w:rsidP="004418D7">
      <w:pPr>
        <w:rPr>
          <w:lang w:val="ru-RU"/>
        </w:rPr>
      </w:pPr>
    </w:p>
    <w:p w:rsidR="004418D7" w:rsidRPr="004418D7" w:rsidRDefault="004418D7" w:rsidP="004418D7">
      <w:pPr>
        <w:rPr>
          <w:lang w:val="ru-RU"/>
        </w:rPr>
      </w:pPr>
    </w:p>
    <w:p w:rsidR="00983FA2" w:rsidRPr="004418D7" w:rsidRDefault="00983FA2" w:rsidP="004418D7">
      <w:pPr>
        <w:rPr>
          <w:lang w:val="ru-RU"/>
        </w:rPr>
      </w:pPr>
    </w:p>
    <w:p w:rsidR="00C43972" w:rsidRPr="003114E3" w:rsidRDefault="00FE0E9A" w:rsidP="00362A09">
      <w:pPr>
        <w:keepNext/>
        <w:pageBreakBefore/>
        <w:jc w:val="right"/>
        <w:rPr>
          <w:rFonts w:eastAsia="Times New Roman"/>
          <w:bCs/>
          <w:iCs/>
          <w:color w:val="000000"/>
          <w:szCs w:val="28"/>
          <w:lang w:eastAsia="uk-UA"/>
        </w:rPr>
      </w:pPr>
      <w:r w:rsidRPr="003114E3">
        <w:rPr>
          <w:rFonts w:eastAsia="Times New Roman"/>
          <w:bCs/>
          <w:iCs/>
          <w:color w:val="000000"/>
          <w:szCs w:val="28"/>
          <w:lang w:eastAsia="uk-UA"/>
        </w:rPr>
        <w:lastRenderedPageBreak/>
        <w:t>Додаток Е</w:t>
      </w:r>
      <w:r w:rsidR="00C43972" w:rsidRPr="003114E3">
        <w:rPr>
          <w:rFonts w:eastAsia="Times New Roman"/>
          <w:bCs/>
          <w:iCs/>
          <w:color w:val="000000"/>
          <w:szCs w:val="28"/>
          <w:lang w:eastAsia="uk-UA"/>
        </w:rPr>
        <w:t>-26</w:t>
      </w:r>
    </w:p>
    <w:p w:rsidR="00C43972" w:rsidRPr="003114E3" w:rsidRDefault="00C43972" w:rsidP="003114E3">
      <w:pPr>
        <w:keepNext/>
        <w:jc w:val="center"/>
        <w:rPr>
          <w:rFonts w:eastAsia="Times New Roman"/>
          <w:b/>
          <w:sz w:val="24"/>
          <w:szCs w:val="24"/>
          <w:lang w:eastAsia="ru-RU"/>
        </w:rPr>
      </w:pPr>
      <w:r w:rsidRPr="003114E3">
        <w:rPr>
          <w:rFonts w:eastAsia="Times New Roman"/>
          <w:b/>
          <w:bCs/>
          <w:iCs/>
          <w:color w:val="000000"/>
          <w:szCs w:val="28"/>
          <w:lang w:eastAsia="uk-UA"/>
        </w:rPr>
        <w:t xml:space="preserve">Комплексна оцінка діяльності закладів перинатальної допомоги Чернівецької </w:t>
      </w:r>
      <w:r w:rsidRPr="003114E3">
        <w:rPr>
          <w:rFonts w:eastAsia="Times New Roman"/>
          <w:b/>
          <w:bCs/>
          <w:iCs/>
          <w:color w:val="000000"/>
          <w:sz w:val="26"/>
          <w:szCs w:val="26"/>
          <w:lang w:eastAsia="uk-UA"/>
        </w:rPr>
        <w:t xml:space="preserve">області у </w:t>
      </w:r>
      <w:r w:rsidRPr="003114E3">
        <w:rPr>
          <w:rFonts w:eastAsia="Times New Roman"/>
          <w:b/>
          <w:bCs/>
          <w:iCs/>
          <w:color w:val="000000"/>
          <w:szCs w:val="28"/>
          <w:lang w:eastAsia="uk-UA"/>
        </w:rPr>
        <w:t>2017–2018 рр.</w:t>
      </w:r>
    </w:p>
    <w:tbl>
      <w:tblPr>
        <w:tblW w:w="10347" w:type="dxa"/>
        <w:jc w:val="center"/>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36"/>
        <w:gridCol w:w="968"/>
        <w:gridCol w:w="969"/>
        <w:gridCol w:w="968"/>
        <w:gridCol w:w="969"/>
        <w:gridCol w:w="968"/>
        <w:gridCol w:w="969"/>
      </w:tblGrid>
      <w:tr w:rsidR="003114E3" w:rsidRPr="003114E3" w:rsidTr="003114E3">
        <w:trPr>
          <w:cantSplit/>
          <w:trHeight w:val="510"/>
          <w:jc w:val="center"/>
        </w:trPr>
        <w:tc>
          <w:tcPr>
            <w:tcW w:w="4536" w:type="dxa"/>
            <w:vMerge w:val="restart"/>
            <w:tcBorders>
              <w:top w:val="single" w:sz="4" w:space="0" w:color="auto"/>
              <w:left w:val="single" w:sz="4" w:space="0" w:color="auto"/>
              <w:right w:val="single" w:sz="4" w:space="0" w:color="auto"/>
            </w:tcBorders>
            <w:vAlign w:val="center"/>
            <w:hideMark/>
          </w:tcPr>
          <w:p w:rsidR="003114E3" w:rsidRPr="003114E3" w:rsidRDefault="003114E3" w:rsidP="003114E3">
            <w:pPr>
              <w:keepNext/>
              <w:jc w:val="center"/>
              <w:rPr>
                <w:rFonts w:eastAsia="Times New Roman"/>
                <w:color w:val="000000"/>
                <w:sz w:val="24"/>
                <w:szCs w:val="24"/>
                <w:lang w:eastAsia="uk-UA"/>
              </w:rPr>
            </w:pPr>
            <w:r w:rsidRPr="003114E3">
              <w:rPr>
                <w:rFonts w:eastAsia="Times New Roman"/>
                <w:color w:val="000000"/>
                <w:sz w:val="24"/>
                <w:szCs w:val="24"/>
                <w:lang w:eastAsia="uk-UA"/>
              </w:rPr>
              <w:t>Індикатор якості</w:t>
            </w:r>
          </w:p>
        </w:tc>
        <w:tc>
          <w:tcPr>
            <w:tcW w:w="1937" w:type="dxa"/>
            <w:gridSpan w:val="2"/>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color w:val="000000"/>
                <w:sz w:val="24"/>
                <w:szCs w:val="24"/>
                <w:lang w:eastAsia="uk-UA"/>
              </w:rPr>
            </w:pPr>
            <w:r w:rsidRPr="003114E3">
              <w:rPr>
                <w:rFonts w:eastAsia="Times New Roman"/>
                <w:color w:val="000000"/>
                <w:sz w:val="24"/>
                <w:szCs w:val="24"/>
                <w:lang w:eastAsia="uk-UA"/>
              </w:rPr>
              <w:t xml:space="preserve">Фактичний показник, </w:t>
            </w:r>
            <w:r w:rsidRPr="003114E3">
              <w:rPr>
                <w:rFonts w:eastAsia="Times New Roman"/>
                <w:sz w:val="24"/>
                <w:szCs w:val="24"/>
                <w:lang w:eastAsia="uk-UA"/>
              </w:rPr>
              <w:t>Україна</w:t>
            </w:r>
          </w:p>
        </w:tc>
        <w:tc>
          <w:tcPr>
            <w:tcW w:w="1937" w:type="dxa"/>
            <w:gridSpan w:val="2"/>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color w:val="000000"/>
                <w:sz w:val="24"/>
                <w:szCs w:val="24"/>
                <w:lang w:eastAsia="uk-UA"/>
              </w:rPr>
            </w:pPr>
            <w:r w:rsidRPr="003114E3">
              <w:rPr>
                <w:rFonts w:eastAsia="Times New Roman"/>
                <w:color w:val="000000"/>
                <w:sz w:val="24"/>
                <w:szCs w:val="24"/>
                <w:lang w:eastAsia="uk-UA"/>
              </w:rPr>
              <w:t>Бальна оцінка фактичного показника</w:t>
            </w:r>
          </w:p>
        </w:tc>
        <w:tc>
          <w:tcPr>
            <w:tcW w:w="1937" w:type="dxa"/>
            <w:gridSpan w:val="2"/>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color w:val="000000"/>
                <w:sz w:val="24"/>
                <w:szCs w:val="24"/>
                <w:lang w:eastAsia="uk-UA"/>
              </w:rPr>
            </w:pPr>
            <w:r w:rsidRPr="003114E3">
              <w:rPr>
                <w:rFonts w:eastAsia="Times New Roman"/>
                <w:color w:val="000000"/>
                <w:sz w:val="24"/>
                <w:szCs w:val="24"/>
                <w:lang w:eastAsia="uk-UA"/>
              </w:rPr>
              <w:t>КДНЗ</w:t>
            </w:r>
          </w:p>
        </w:tc>
      </w:tr>
      <w:tr w:rsidR="003114E3" w:rsidRPr="003114E3" w:rsidTr="003114E3">
        <w:trPr>
          <w:trHeight w:val="404"/>
          <w:jc w:val="center"/>
        </w:trPr>
        <w:tc>
          <w:tcPr>
            <w:tcW w:w="4536" w:type="dxa"/>
            <w:vMerge/>
            <w:tcBorders>
              <w:left w:val="single" w:sz="4" w:space="0" w:color="auto"/>
              <w:bottom w:val="single" w:sz="4" w:space="0" w:color="auto"/>
              <w:right w:val="single" w:sz="4" w:space="0" w:color="auto"/>
            </w:tcBorders>
            <w:vAlign w:val="bottom"/>
          </w:tcPr>
          <w:p w:rsidR="003114E3" w:rsidRPr="003114E3" w:rsidRDefault="003114E3" w:rsidP="003114E3">
            <w:pPr>
              <w:keepNext/>
              <w:jc w:val="left"/>
              <w:rPr>
                <w:rFonts w:eastAsia="Times New Roman"/>
                <w:sz w:val="24"/>
                <w:szCs w:val="24"/>
                <w:lang w:eastAsia="ru-RU"/>
              </w:rPr>
            </w:pPr>
          </w:p>
        </w:tc>
        <w:tc>
          <w:tcPr>
            <w:tcW w:w="968"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sz w:val="24"/>
                <w:szCs w:val="24"/>
                <w:lang w:eastAsia="ru-RU"/>
              </w:rPr>
            </w:pPr>
            <w:r w:rsidRPr="003114E3">
              <w:rPr>
                <w:rFonts w:eastAsia="Times New Roman"/>
                <w:sz w:val="24"/>
                <w:szCs w:val="24"/>
                <w:lang w:eastAsia="ru-RU"/>
              </w:rPr>
              <w:t>2017 р.</w:t>
            </w:r>
          </w:p>
        </w:tc>
        <w:tc>
          <w:tcPr>
            <w:tcW w:w="969"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color w:val="000000"/>
                <w:sz w:val="24"/>
                <w:szCs w:val="24"/>
                <w:lang w:eastAsia="ru-RU"/>
              </w:rPr>
            </w:pPr>
            <w:r w:rsidRPr="003114E3">
              <w:rPr>
                <w:rFonts w:eastAsia="Times New Roman"/>
                <w:color w:val="000000"/>
                <w:sz w:val="24"/>
                <w:szCs w:val="24"/>
                <w:lang w:eastAsia="ru-RU"/>
              </w:rPr>
              <w:t>2018 р.</w:t>
            </w:r>
          </w:p>
        </w:tc>
        <w:tc>
          <w:tcPr>
            <w:tcW w:w="968"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sz w:val="24"/>
                <w:szCs w:val="24"/>
                <w:lang w:eastAsia="ru-RU"/>
              </w:rPr>
            </w:pPr>
            <w:r w:rsidRPr="003114E3">
              <w:rPr>
                <w:rFonts w:eastAsia="Times New Roman"/>
                <w:sz w:val="24"/>
                <w:szCs w:val="24"/>
                <w:lang w:eastAsia="ru-RU"/>
              </w:rPr>
              <w:t>2017 р.</w:t>
            </w:r>
          </w:p>
        </w:tc>
        <w:tc>
          <w:tcPr>
            <w:tcW w:w="969"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sz w:val="24"/>
                <w:szCs w:val="24"/>
                <w:lang w:eastAsia="ru-RU"/>
              </w:rPr>
            </w:pPr>
            <w:r w:rsidRPr="003114E3">
              <w:rPr>
                <w:rFonts w:eastAsia="Times New Roman"/>
                <w:sz w:val="24"/>
                <w:szCs w:val="24"/>
                <w:lang w:eastAsia="ru-RU"/>
              </w:rPr>
              <w:t>2017 р.</w:t>
            </w:r>
          </w:p>
        </w:tc>
        <w:tc>
          <w:tcPr>
            <w:tcW w:w="968"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color w:val="000000"/>
                <w:sz w:val="24"/>
                <w:szCs w:val="24"/>
                <w:lang w:eastAsia="ru-RU"/>
              </w:rPr>
            </w:pPr>
            <w:r w:rsidRPr="003114E3">
              <w:rPr>
                <w:rFonts w:eastAsia="Times New Roman"/>
                <w:color w:val="000000"/>
                <w:sz w:val="24"/>
                <w:szCs w:val="24"/>
                <w:lang w:eastAsia="ru-RU"/>
              </w:rPr>
              <w:t>2018 р.</w:t>
            </w:r>
          </w:p>
        </w:tc>
        <w:tc>
          <w:tcPr>
            <w:tcW w:w="969"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sz w:val="24"/>
                <w:szCs w:val="24"/>
                <w:lang w:eastAsia="ru-RU"/>
              </w:rPr>
            </w:pPr>
            <w:r w:rsidRPr="003114E3">
              <w:rPr>
                <w:rFonts w:eastAsia="Times New Roman"/>
                <w:sz w:val="24"/>
                <w:szCs w:val="24"/>
                <w:lang w:eastAsia="ru-RU"/>
              </w:rPr>
              <w:t>2017 р.</w:t>
            </w:r>
          </w:p>
        </w:tc>
      </w:tr>
      <w:tr w:rsidR="003114E3" w:rsidRPr="003114E3" w:rsidTr="003114E3">
        <w:trPr>
          <w:trHeight w:val="404"/>
          <w:jc w:val="center"/>
        </w:trPr>
        <w:tc>
          <w:tcPr>
            <w:tcW w:w="4536"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left"/>
              <w:rPr>
                <w:rFonts w:eastAsia="Times New Roman"/>
                <w:sz w:val="24"/>
                <w:szCs w:val="24"/>
                <w:lang w:eastAsia="ru-RU"/>
              </w:rPr>
            </w:pPr>
            <w:r w:rsidRPr="003114E3">
              <w:rPr>
                <w:rFonts w:eastAsia="Times New Roman"/>
                <w:sz w:val="24"/>
                <w:szCs w:val="24"/>
                <w:lang w:eastAsia="ru-RU"/>
              </w:rPr>
              <w:t>Забезпеченість  лікарями акушер-гінекологами</w:t>
            </w:r>
          </w:p>
        </w:tc>
        <w:tc>
          <w:tcPr>
            <w:tcW w:w="968"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sz w:val="24"/>
                <w:szCs w:val="24"/>
                <w:lang w:eastAsia="ru-RU"/>
              </w:rPr>
            </w:pPr>
            <w:r w:rsidRPr="003114E3">
              <w:rPr>
                <w:rFonts w:eastAsia="Times New Roman"/>
                <w:sz w:val="24"/>
                <w:szCs w:val="24"/>
                <w:lang w:eastAsia="ru-RU"/>
              </w:rPr>
              <w:t>6,57</w:t>
            </w:r>
          </w:p>
        </w:tc>
        <w:tc>
          <w:tcPr>
            <w:tcW w:w="969"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sz w:val="24"/>
                <w:szCs w:val="24"/>
                <w:lang w:eastAsia="ru-RU"/>
              </w:rPr>
            </w:pPr>
            <w:r w:rsidRPr="003114E3">
              <w:rPr>
                <w:rFonts w:eastAsia="Times New Roman"/>
                <w:sz w:val="24"/>
                <w:szCs w:val="24"/>
                <w:lang w:eastAsia="ru-RU"/>
              </w:rPr>
              <w:t>6,55</w:t>
            </w:r>
          </w:p>
        </w:tc>
        <w:tc>
          <w:tcPr>
            <w:tcW w:w="968"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sz w:val="24"/>
                <w:szCs w:val="24"/>
                <w:lang w:eastAsia="ru-RU"/>
              </w:rPr>
            </w:pPr>
            <w:r w:rsidRPr="003114E3">
              <w:rPr>
                <w:rFonts w:eastAsia="Times New Roman"/>
                <w:sz w:val="24"/>
                <w:szCs w:val="24"/>
                <w:lang w:eastAsia="ru-RU"/>
              </w:rPr>
              <w:t>6,00</w:t>
            </w:r>
          </w:p>
        </w:tc>
        <w:tc>
          <w:tcPr>
            <w:tcW w:w="969"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sz w:val="24"/>
                <w:szCs w:val="24"/>
                <w:lang w:eastAsia="ru-RU"/>
              </w:rPr>
            </w:pPr>
            <w:r w:rsidRPr="003114E3">
              <w:rPr>
                <w:rFonts w:eastAsia="Times New Roman"/>
                <w:sz w:val="24"/>
                <w:szCs w:val="24"/>
                <w:lang w:eastAsia="ru-RU"/>
              </w:rPr>
              <w:t>6,0</w:t>
            </w:r>
          </w:p>
        </w:tc>
        <w:tc>
          <w:tcPr>
            <w:tcW w:w="968"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sz w:val="24"/>
                <w:szCs w:val="24"/>
                <w:lang w:eastAsia="ru-RU"/>
              </w:rPr>
            </w:pPr>
            <w:r w:rsidRPr="003114E3">
              <w:rPr>
                <w:rFonts w:eastAsia="Times New Roman"/>
                <w:sz w:val="24"/>
                <w:szCs w:val="24"/>
                <w:lang w:eastAsia="ru-RU"/>
              </w:rPr>
              <w:t>1,00</w:t>
            </w:r>
          </w:p>
        </w:tc>
        <w:tc>
          <w:tcPr>
            <w:tcW w:w="969"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sz w:val="24"/>
                <w:szCs w:val="24"/>
                <w:lang w:eastAsia="ru-RU"/>
              </w:rPr>
            </w:pPr>
            <w:r w:rsidRPr="003114E3">
              <w:rPr>
                <w:rFonts w:eastAsia="Times New Roman"/>
                <w:sz w:val="24"/>
                <w:szCs w:val="24"/>
                <w:lang w:eastAsia="ru-RU"/>
              </w:rPr>
              <w:t>1,00</w:t>
            </w:r>
          </w:p>
        </w:tc>
      </w:tr>
      <w:tr w:rsidR="003114E3" w:rsidRPr="003114E3" w:rsidTr="003114E3">
        <w:trPr>
          <w:trHeight w:val="404"/>
          <w:jc w:val="center"/>
        </w:trPr>
        <w:tc>
          <w:tcPr>
            <w:tcW w:w="4536" w:type="dxa"/>
            <w:tcBorders>
              <w:top w:val="single" w:sz="4" w:space="0" w:color="auto"/>
              <w:left w:val="single" w:sz="4" w:space="0" w:color="auto"/>
              <w:bottom w:val="single" w:sz="4" w:space="0" w:color="auto"/>
              <w:right w:val="single" w:sz="4" w:space="0" w:color="auto"/>
            </w:tcBorders>
            <w:vAlign w:val="bottom"/>
          </w:tcPr>
          <w:p w:rsidR="003114E3" w:rsidRPr="003114E3" w:rsidRDefault="003114E3" w:rsidP="003114E3">
            <w:pPr>
              <w:keepNext/>
              <w:jc w:val="left"/>
              <w:rPr>
                <w:rFonts w:eastAsia="Times New Roman"/>
                <w:sz w:val="24"/>
                <w:szCs w:val="24"/>
                <w:lang w:eastAsia="ru-RU"/>
              </w:rPr>
            </w:pPr>
            <w:r w:rsidRPr="003114E3">
              <w:rPr>
                <w:rFonts w:eastAsia="Times New Roman"/>
                <w:sz w:val="24"/>
                <w:szCs w:val="24"/>
                <w:lang w:eastAsia="ru-RU"/>
              </w:rPr>
              <w:t>Забезпеченість  лікарями  педіатрами-неонатологами</w:t>
            </w:r>
          </w:p>
        </w:tc>
        <w:tc>
          <w:tcPr>
            <w:tcW w:w="968"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sz w:val="24"/>
                <w:szCs w:val="24"/>
                <w:lang w:eastAsia="ru-RU"/>
              </w:rPr>
            </w:pPr>
            <w:r w:rsidRPr="003114E3">
              <w:rPr>
                <w:rFonts w:eastAsia="Times New Roman"/>
                <w:sz w:val="24"/>
                <w:szCs w:val="24"/>
                <w:lang w:eastAsia="ru-RU"/>
              </w:rPr>
              <w:t>4,16</w:t>
            </w:r>
          </w:p>
        </w:tc>
        <w:tc>
          <w:tcPr>
            <w:tcW w:w="969"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sz w:val="24"/>
                <w:szCs w:val="24"/>
                <w:lang w:eastAsia="ru-RU"/>
              </w:rPr>
            </w:pPr>
            <w:r w:rsidRPr="003114E3">
              <w:rPr>
                <w:rFonts w:eastAsia="Times New Roman"/>
                <w:sz w:val="24"/>
                <w:szCs w:val="24"/>
                <w:lang w:eastAsia="ru-RU"/>
              </w:rPr>
              <w:t>4,86</w:t>
            </w:r>
          </w:p>
        </w:tc>
        <w:tc>
          <w:tcPr>
            <w:tcW w:w="968"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sz w:val="24"/>
                <w:szCs w:val="24"/>
                <w:lang w:eastAsia="ru-RU"/>
              </w:rPr>
            </w:pPr>
            <w:r w:rsidRPr="003114E3">
              <w:rPr>
                <w:rFonts w:eastAsia="Times New Roman"/>
                <w:sz w:val="24"/>
                <w:szCs w:val="24"/>
                <w:lang w:eastAsia="ru-RU"/>
              </w:rPr>
              <w:t>4,54</w:t>
            </w:r>
          </w:p>
        </w:tc>
        <w:tc>
          <w:tcPr>
            <w:tcW w:w="969"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sz w:val="24"/>
                <w:szCs w:val="24"/>
                <w:lang w:eastAsia="ru-RU"/>
              </w:rPr>
            </w:pPr>
            <w:r w:rsidRPr="003114E3">
              <w:rPr>
                <w:rFonts w:eastAsia="Times New Roman"/>
                <w:sz w:val="24"/>
                <w:szCs w:val="24"/>
                <w:lang w:eastAsia="ru-RU"/>
              </w:rPr>
              <w:t>5,30</w:t>
            </w:r>
          </w:p>
        </w:tc>
        <w:tc>
          <w:tcPr>
            <w:tcW w:w="968"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sz w:val="24"/>
                <w:szCs w:val="24"/>
                <w:lang w:eastAsia="ru-RU"/>
              </w:rPr>
            </w:pPr>
            <w:r w:rsidRPr="003114E3">
              <w:rPr>
                <w:rFonts w:eastAsia="Times New Roman"/>
                <w:sz w:val="24"/>
                <w:szCs w:val="24"/>
                <w:lang w:eastAsia="ru-RU"/>
              </w:rPr>
              <w:t>0,76</w:t>
            </w:r>
          </w:p>
        </w:tc>
        <w:tc>
          <w:tcPr>
            <w:tcW w:w="969"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sz w:val="24"/>
                <w:szCs w:val="24"/>
                <w:lang w:eastAsia="ru-RU"/>
              </w:rPr>
            </w:pPr>
            <w:r w:rsidRPr="003114E3">
              <w:rPr>
                <w:rFonts w:eastAsia="Times New Roman"/>
                <w:sz w:val="24"/>
                <w:szCs w:val="24"/>
                <w:lang w:eastAsia="ru-RU"/>
              </w:rPr>
              <w:t>0,88</w:t>
            </w:r>
          </w:p>
        </w:tc>
      </w:tr>
      <w:tr w:rsidR="003114E3" w:rsidRPr="003114E3" w:rsidTr="003114E3">
        <w:trPr>
          <w:trHeight w:val="404"/>
          <w:jc w:val="center"/>
        </w:trPr>
        <w:tc>
          <w:tcPr>
            <w:tcW w:w="4536" w:type="dxa"/>
            <w:tcBorders>
              <w:top w:val="single" w:sz="4" w:space="0" w:color="auto"/>
              <w:left w:val="single" w:sz="4" w:space="0" w:color="auto"/>
              <w:bottom w:val="single" w:sz="4" w:space="0" w:color="auto"/>
              <w:right w:val="single" w:sz="4" w:space="0" w:color="auto"/>
            </w:tcBorders>
            <w:vAlign w:val="bottom"/>
          </w:tcPr>
          <w:p w:rsidR="003114E3" w:rsidRPr="003114E3" w:rsidRDefault="003114E3" w:rsidP="003114E3">
            <w:pPr>
              <w:keepNext/>
              <w:jc w:val="left"/>
              <w:rPr>
                <w:rFonts w:eastAsia="Times New Roman"/>
                <w:sz w:val="24"/>
                <w:szCs w:val="24"/>
                <w:lang w:eastAsia="ru-RU"/>
              </w:rPr>
            </w:pPr>
            <w:r w:rsidRPr="003114E3">
              <w:rPr>
                <w:rFonts w:eastAsia="Times New Roman"/>
                <w:sz w:val="24"/>
                <w:szCs w:val="24"/>
                <w:lang w:eastAsia="ru-RU"/>
              </w:rPr>
              <w:t>Питома вага атестованих лікарів акушер-гінекологів</w:t>
            </w:r>
          </w:p>
        </w:tc>
        <w:tc>
          <w:tcPr>
            <w:tcW w:w="968"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sz w:val="24"/>
                <w:szCs w:val="24"/>
                <w:lang w:eastAsia="ru-RU"/>
              </w:rPr>
            </w:pPr>
            <w:r w:rsidRPr="003114E3">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sz w:val="24"/>
                <w:szCs w:val="24"/>
                <w:lang w:eastAsia="ru-RU"/>
              </w:rPr>
            </w:pPr>
            <w:r w:rsidRPr="003114E3">
              <w:rPr>
                <w:rFonts w:eastAsia="Times New Roman"/>
                <w:sz w:val="24"/>
                <w:szCs w:val="24"/>
                <w:lang w:eastAsia="ru-RU"/>
              </w:rPr>
              <w:t>80,83</w:t>
            </w:r>
          </w:p>
        </w:tc>
        <w:tc>
          <w:tcPr>
            <w:tcW w:w="968"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sz w:val="24"/>
                <w:szCs w:val="24"/>
                <w:lang w:eastAsia="ru-RU"/>
              </w:rPr>
            </w:pPr>
            <w:r w:rsidRPr="003114E3">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sz w:val="24"/>
                <w:szCs w:val="24"/>
                <w:lang w:eastAsia="ru-RU"/>
              </w:rPr>
            </w:pPr>
            <w:r w:rsidRPr="003114E3">
              <w:rPr>
                <w:rFonts w:eastAsia="Times New Roman"/>
                <w:sz w:val="24"/>
                <w:szCs w:val="24"/>
                <w:lang w:eastAsia="ru-RU"/>
              </w:rPr>
              <w:t>5,39</w:t>
            </w:r>
          </w:p>
        </w:tc>
        <w:tc>
          <w:tcPr>
            <w:tcW w:w="968"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sz w:val="24"/>
                <w:szCs w:val="24"/>
                <w:lang w:eastAsia="ru-RU"/>
              </w:rPr>
            </w:pPr>
            <w:r w:rsidRPr="003114E3">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sz w:val="24"/>
                <w:szCs w:val="24"/>
                <w:lang w:eastAsia="ru-RU"/>
              </w:rPr>
            </w:pPr>
            <w:r w:rsidRPr="003114E3">
              <w:rPr>
                <w:rFonts w:eastAsia="Times New Roman"/>
                <w:sz w:val="24"/>
                <w:szCs w:val="24"/>
                <w:lang w:eastAsia="ru-RU"/>
              </w:rPr>
              <w:t>0,90</w:t>
            </w:r>
          </w:p>
        </w:tc>
      </w:tr>
      <w:tr w:rsidR="003114E3" w:rsidRPr="003114E3" w:rsidTr="003114E3">
        <w:trPr>
          <w:trHeight w:val="404"/>
          <w:jc w:val="center"/>
        </w:trPr>
        <w:tc>
          <w:tcPr>
            <w:tcW w:w="4536" w:type="dxa"/>
            <w:tcBorders>
              <w:top w:val="single" w:sz="4" w:space="0" w:color="auto"/>
              <w:left w:val="single" w:sz="4" w:space="0" w:color="auto"/>
              <w:bottom w:val="single" w:sz="4" w:space="0" w:color="auto"/>
              <w:right w:val="single" w:sz="4" w:space="0" w:color="auto"/>
            </w:tcBorders>
            <w:vAlign w:val="bottom"/>
          </w:tcPr>
          <w:p w:rsidR="003114E3" w:rsidRPr="003114E3" w:rsidRDefault="003114E3" w:rsidP="003114E3">
            <w:pPr>
              <w:keepNext/>
              <w:jc w:val="left"/>
              <w:rPr>
                <w:rFonts w:eastAsia="Times New Roman"/>
                <w:sz w:val="24"/>
                <w:szCs w:val="24"/>
                <w:lang w:eastAsia="ru-RU"/>
              </w:rPr>
            </w:pPr>
            <w:r w:rsidRPr="003114E3">
              <w:rPr>
                <w:rFonts w:eastAsia="Times New Roman"/>
                <w:sz w:val="24"/>
                <w:szCs w:val="24"/>
                <w:lang w:eastAsia="ru-RU"/>
              </w:rPr>
              <w:t>Питома вага атестованих лікарів педіатрів-неонатологів</w:t>
            </w:r>
          </w:p>
        </w:tc>
        <w:tc>
          <w:tcPr>
            <w:tcW w:w="968"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sz w:val="24"/>
                <w:szCs w:val="24"/>
                <w:lang w:eastAsia="ru-RU"/>
              </w:rPr>
            </w:pPr>
            <w:r w:rsidRPr="003114E3">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sz w:val="24"/>
                <w:szCs w:val="24"/>
                <w:lang w:eastAsia="ru-RU"/>
              </w:rPr>
            </w:pPr>
            <w:r w:rsidRPr="003114E3">
              <w:rPr>
                <w:rFonts w:eastAsia="Times New Roman"/>
                <w:sz w:val="24"/>
                <w:szCs w:val="24"/>
                <w:lang w:eastAsia="ru-RU"/>
              </w:rPr>
              <w:t>80,95</w:t>
            </w:r>
          </w:p>
        </w:tc>
        <w:tc>
          <w:tcPr>
            <w:tcW w:w="968"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sz w:val="24"/>
                <w:szCs w:val="24"/>
                <w:lang w:eastAsia="ru-RU"/>
              </w:rPr>
            </w:pPr>
            <w:r w:rsidRPr="003114E3">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sz w:val="24"/>
                <w:szCs w:val="24"/>
                <w:lang w:eastAsia="ru-RU"/>
              </w:rPr>
            </w:pPr>
            <w:r w:rsidRPr="003114E3">
              <w:rPr>
                <w:rFonts w:eastAsia="Times New Roman"/>
                <w:sz w:val="24"/>
                <w:szCs w:val="24"/>
                <w:lang w:eastAsia="ru-RU"/>
              </w:rPr>
              <w:t>6,0</w:t>
            </w:r>
          </w:p>
        </w:tc>
        <w:tc>
          <w:tcPr>
            <w:tcW w:w="968"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sz w:val="24"/>
                <w:szCs w:val="24"/>
                <w:lang w:eastAsia="ru-RU"/>
              </w:rPr>
            </w:pPr>
            <w:r w:rsidRPr="003114E3">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sz w:val="24"/>
                <w:szCs w:val="24"/>
                <w:lang w:eastAsia="ru-RU"/>
              </w:rPr>
            </w:pPr>
            <w:r w:rsidRPr="003114E3">
              <w:rPr>
                <w:rFonts w:eastAsia="Times New Roman"/>
                <w:sz w:val="24"/>
                <w:szCs w:val="24"/>
                <w:lang w:eastAsia="ru-RU"/>
              </w:rPr>
              <w:t>1,00</w:t>
            </w:r>
          </w:p>
        </w:tc>
      </w:tr>
      <w:tr w:rsidR="003114E3" w:rsidRPr="003114E3" w:rsidTr="003114E3">
        <w:trPr>
          <w:trHeight w:val="346"/>
          <w:jc w:val="center"/>
        </w:trPr>
        <w:tc>
          <w:tcPr>
            <w:tcW w:w="4536"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left"/>
              <w:rPr>
                <w:rFonts w:eastAsia="Times New Roman"/>
                <w:sz w:val="24"/>
                <w:szCs w:val="24"/>
                <w:lang w:eastAsia="ru-RU"/>
              </w:rPr>
            </w:pPr>
            <w:r w:rsidRPr="003114E3">
              <w:rPr>
                <w:rFonts w:eastAsia="Times New Roman"/>
                <w:sz w:val="24"/>
                <w:szCs w:val="24"/>
                <w:lang w:eastAsia="ru-RU"/>
              </w:rPr>
              <w:t xml:space="preserve">Своєчасність постановки на облік вагітних </w:t>
            </w:r>
          </w:p>
        </w:tc>
        <w:tc>
          <w:tcPr>
            <w:tcW w:w="968"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color w:val="000000"/>
                <w:sz w:val="24"/>
                <w:szCs w:val="24"/>
                <w:lang w:eastAsia="ru-RU"/>
              </w:rPr>
            </w:pPr>
            <w:r w:rsidRPr="003114E3">
              <w:rPr>
                <w:rFonts w:eastAsia="Times New Roman"/>
                <w:color w:val="000000"/>
                <w:sz w:val="24"/>
                <w:szCs w:val="24"/>
                <w:lang w:eastAsia="ru-RU"/>
              </w:rPr>
              <w:t>93,48</w:t>
            </w:r>
          </w:p>
        </w:tc>
        <w:tc>
          <w:tcPr>
            <w:tcW w:w="969"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sz w:val="24"/>
                <w:szCs w:val="24"/>
                <w:lang w:eastAsia="ru-RU"/>
              </w:rPr>
            </w:pPr>
            <w:r w:rsidRPr="003114E3">
              <w:rPr>
                <w:rFonts w:eastAsia="Times New Roman"/>
                <w:sz w:val="24"/>
                <w:szCs w:val="24"/>
                <w:lang w:eastAsia="ru-RU"/>
              </w:rPr>
              <w:t>93,95</w:t>
            </w:r>
          </w:p>
        </w:tc>
        <w:tc>
          <w:tcPr>
            <w:tcW w:w="968"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color w:val="000000"/>
                <w:sz w:val="24"/>
                <w:szCs w:val="24"/>
                <w:lang w:eastAsia="ru-RU"/>
              </w:rPr>
            </w:pPr>
            <w:r w:rsidRPr="003114E3">
              <w:rPr>
                <w:rFonts w:eastAsia="Times New Roman"/>
                <w:color w:val="000000"/>
                <w:sz w:val="24"/>
                <w:szCs w:val="24"/>
                <w:lang w:eastAsia="ru-RU"/>
              </w:rPr>
              <w:t>6,89</w:t>
            </w:r>
          </w:p>
        </w:tc>
        <w:tc>
          <w:tcPr>
            <w:tcW w:w="969"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sz w:val="24"/>
                <w:szCs w:val="24"/>
                <w:lang w:eastAsia="ru-RU"/>
              </w:rPr>
            </w:pPr>
            <w:r w:rsidRPr="003114E3">
              <w:rPr>
                <w:rFonts w:eastAsia="Times New Roman"/>
                <w:sz w:val="24"/>
                <w:szCs w:val="24"/>
                <w:lang w:eastAsia="ru-RU"/>
              </w:rPr>
              <w:t>6,93</w:t>
            </w:r>
          </w:p>
        </w:tc>
        <w:tc>
          <w:tcPr>
            <w:tcW w:w="968"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color w:val="000000"/>
                <w:sz w:val="24"/>
                <w:szCs w:val="24"/>
                <w:lang w:eastAsia="ru-RU"/>
              </w:rPr>
            </w:pPr>
            <w:r w:rsidRPr="003114E3">
              <w:rPr>
                <w:rFonts w:eastAsia="Times New Roman"/>
                <w:color w:val="000000"/>
                <w:sz w:val="24"/>
                <w:szCs w:val="24"/>
                <w:lang w:eastAsia="ru-RU"/>
              </w:rPr>
              <w:t>0,98</w:t>
            </w:r>
          </w:p>
        </w:tc>
        <w:tc>
          <w:tcPr>
            <w:tcW w:w="969"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sz w:val="24"/>
                <w:szCs w:val="24"/>
                <w:lang w:eastAsia="ru-RU"/>
              </w:rPr>
            </w:pPr>
            <w:r w:rsidRPr="003114E3">
              <w:rPr>
                <w:rFonts w:eastAsia="Times New Roman"/>
                <w:sz w:val="24"/>
                <w:szCs w:val="24"/>
                <w:lang w:eastAsia="ru-RU"/>
              </w:rPr>
              <w:t>0,99</w:t>
            </w:r>
          </w:p>
        </w:tc>
      </w:tr>
      <w:tr w:rsidR="003114E3" w:rsidRPr="003114E3" w:rsidTr="003114E3">
        <w:trPr>
          <w:trHeight w:val="266"/>
          <w:jc w:val="center"/>
        </w:trPr>
        <w:tc>
          <w:tcPr>
            <w:tcW w:w="4536"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left"/>
              <w:rPr>
                <w:rFonts w:eastAsia="Times New Roman"/>
                <w:sz w:val="24"/>
                <w:szCs w:val="24"/>
                <w:lang w:eastAsia="ru-RU"/>
              </w:rPr>
            </w:pPr>
            <w:r w:rsidRPr="003114E3">
              <w:rPr>
                <w:rFonts w:eastAsia="Times New Roman"/>
                <w:sz w:val="24"/>
                <w:szCs w:val="24"/>
                <w:lang w:eastAsia="ru-RU"/>
              </w:rPr>
              <w:t>Частота анемій вагітних</w:t>
            </w:r>
          </w:p>
        </w:tc>
        <w:tc>
          <w:tcPr>
            <w:tcW w:w="968"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color w:val="000000"/>
                <w:sz w:val="24"/>
                <w:szCs w:val="24"/>
                <w:lang w:eastAsia="ru-RU"/>
              </w:rPr>
            </w:pPr>
            <w:r w:rsidRPr="003114E3">
              <w:rPr>
                <w:rFonts w:eastAsia="Times New Roman"/>
                <w:color w:val="000000"/>
                <w:sz w:val="24"/>
                <w:szCs w:val="24"/>
                <w:lang w:eastAsia="ru-RU"/>
              </w:rPr>
              <w:t>31,42</w:t>
            </w:r>
          </w:p>
        </w:tc>
        <w:tc>
          <w:tcPr>
            <w:tcW w:w="969"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sz w:val="24"/>
                <w:szCs w:val="24"/>
                <w:lang w:eastAsia="ru-RU"/>
              </w:rPr>
            </w:pPr>
            <w:r w:rsidRPr="003114E3">
              <w:rPr>
                <w:rFonts w:eastAsia="Times New Roman"/>
                <w:sz w:val="24"/>
                <w:szCs w:val="24"/>
                <w:lang w:eastAsia="ru-RU"/>
              </w:rPr>
              <w:t>32,62</w:t>
            </w:r>
          </w:p>
        </w:tc>
        <w:tc>
          <w:tcPr>
            <w:tcW w:w="968"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color w:val="000000"/>
                <w:sz w:val="24"/>
                <w:szCs w:val="24"/>
                <w:lang w:eastAsia="ru-RU"/>
              </w:rPr>
            </w:pPr>
            <w:r w:rsidRPr="003114E3">
              <w:rPr>
                <w:rFonts w:eastAsia="Times New Roman"/>
                <w:color w:val="000000"/>
                <w:sz w:val="24"/>
                <w:szCs w:val="24"/>
                <w:lang w:eastAsia="ru-RU"/>
              </w:rPr>
              <w:t>1,72</w:t>
            </w:r>
          </w:p>
        </w:tc>
        <w:tc>
          <w:tcPr>
            <w:tcW w:w="969"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sz w:val="24"/>
                <w:szCs w:val="24"/>
                <w:lang w:eastAsia="ru-RU"/>
              </w:rPr>
            </w:pPr>
            <w:r w:rsidRPr="003114E3">
              <w:rPr>
                <w:rFonts w:eastAsia="Times New Roman"/>
                <w:sz w:val="24"/>
                <w:szCs w:val="24"/>
                <w:lang w:eastAsia="ru-RU"/>
              </w:rPr>
              <w:t>1,89</w:t>
            </w:r>
          </w:p>
        </w:tc>
        <w:tc>
          <w:tcPr>
            <w:tcW w:w="968"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color w:val="000000"/>
                <w:sz w:val="24"/>
                <w:szCs w:val="24"/>
                <w:lang w:eastAsia="ru-RU"/>
              </w:rPr>
            </w:pPr>
            <w:r w:rsidRPr="003114E3">
              <w:rPr>
                <w:rFonts w:eastAsia="Times New Roman"/>
                <w:color w:val="000000"/>
                <w:sz w:val="24"/>
                <w:szCs w:val="24"/>
                <w:lang w:eastAsia="ru-RU"/>
              </w:rPr>
              <w:t>0,43</w:t>
            </w:r>
          </w:p>
        </w:tc>
        <w:tc>
          <w:tcPr>
            <w:tcW w:w="969"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sz w:val="24"/>
                <w:szCs w:val="24"/>
                <w:lang w:eastAsia="ru-RU"/>
              </w:rPr>
            </w:pPr>
            <w:r w:rsidRPr="003114E3">
              <w:rPr>
                <w:rFonts w:eastAsia="Times New Roman"/>
                <w:sz w:val="24"/>
                <w:szCs w:val="24"/>
                <w:lang w:eastAsia="ru-RU"/>
              </w:rPr>
              <w:t>0,47</w:t>
            </w:r>
          </w:p>
        </w:tc>
      </w:tr>
      <w:tr w:rsidR="003114E3" w:rsidRPr="003114E3" w:rsidTr="003114E3">
        <w:trPr>
          <w:trHeight w:val="319"/>
          <w:jc w:val="center"/>
        </w:trPr>
        <w:tc>
          <w:tcPr>
            <w:tcW w:w="4536"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left"/>
              <w:rPr>
                <w:rFonts w:eastAsia="Times New Roman"/>
                <w:sz w:val="24"/>
                <w:szCs w:val="24"/>
                <w:lang w:eastAsia="ru-RU"/>
              </w:rPr>
            </w:pPr>
            <w:r w:rsidRPr="003114E3">
              <w:rPr>
                <w:rFonts w:eastAsia="Times New Roman"/>
                <w:sz w:val="24"/>
                <w:szCs w:val="24"/>
                <w:lang w:eastAsia="ru-RU"/>
              </w:rPr>
              <w:t>Частота прееклампсій та еклампсій вагітних</w:t>
            </w:r>
          </w:p>
        </w:tc>
        <w:tc>
          <w:tcPr>
            <w:tcW w:w="968"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color w:val="000000"/>
                <w:sz w:val="24"/>
                <w:szCs w:val="24"/>
                <w:lang w:eastAsia="ru-RU"/>
              </w:rPr>
            </w:pPr>
            <w:r w:rsidRPr="003114E3">
              <w:rPr>
                <w:rFonts w:eastAsia="Times New Roman"/>
                <w:color w:val="000000"/>
                <w:sz w:val="24"/>
                <w:szCs w:val="24"/>
                <w:lang w:eastAsia="ru-RU"/>
              </w:rPr>
              <w:t>3,45</w:t>
            </w:r>
          </w:p>
        </w:tc>
        <w:tc>
          <w:tcPr>
            <w:tcW w:w="969"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sz w:val="24"/>
                <w:szCs w:val="24"/>
                <w:lang w:eastAsia="ru-RU"/>
              </w:rPr>
            </w:pPr>
            <w:r w:rsidRPr="003114E3">
              <w:rPr>
                <w:rFonts w:eastAsia="Times New Roman"/>
                <w:sz w:val="24"/>
                <w:szCs w:val="24"/>
                <w:lang w:eastAsia="ru-RU"/>
              </w:rPr>
              <w:t>3,44</w:t>
            </w:r>
          </w:p>
        </w:tc>
        <w:tc>
          <w:tcPr>
            <w:tcW w:w="968"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color w:val="000000"/>
                <w:sz w:val="24"/>
                <w:szCs w:val="24"/>
                <w:lang w:eastAsia="ru-RU"/>
              </w:rPr>
            </w:pPr>
            <w:r w:rsidRPr="003114E3">
              <w:rPr>
                <w:rFonts w:eastAsia="Times New Roman"/>
                <w:color w:val="000000"/>
                <w:sz w:val="24"/>
                <w:szCs w:val="24"/>
                <w:lang w:eastAsia="ru-RU"/>
              </w:rPr>
              <w:t>0,20</w:t>
            </w:r>
          </w:p>
        </w:tc>
        <w:tc>
          <w:tcPr>
            <w:tcW w:w="969"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sz w:val="24"/>
                <w:szCs w:val="24"/>
                <w:lang w:eastAsia="ru-RU"/>
              </w:rPr>
            </w:pPr>
            <w:r w:rsidRPr="003114E3">
              <w:rPr>
                <w:rFonts w:eastAsia="Times New Roman"/>
                <w:sz w:val="24"/>
                <w:szCs w:val="24"/>
                <w:lang w:eastAsia="ru-RU"/>
              </w:rPr>
              <w:t>0,24</w:t>
            </w:r>
          </w:p>
        </w:tc>
        <w:tc>
          <w:tcPr>
            <w:tcW w:w="968"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color w:val="000000"/>
                <w:sz w:val="24"/>
                <w:szCs w:val="24"/>
                <w:lang w:eastAsia="ru-RU"/>
              </w:rPr>
            </w:pPr>
            <w:r w:rsidRPr="003114E3">
              <w:rPr>
                <w:rFonts w:eastAsia="Times New Roman"/>
                <w:color w:val="000000"/>
                <w:sz w:val="24"/>
                <w:szCs w:val="24"/>
                <w:lang w:eastAsia="ru-RU"/>
              </w:rPr>
              <w:t>0,03</w:t>
            </w:r>
          </w:p>
        </w:tc>
        <w:tc>
          <w:tcPr>
            <w:tcW w:w="969"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sz w:val="24"/>
                <w:szCs w:val="24"/>
                <w:lang w:eastAsia="ru-RU"/>
              </w:rPr>
            </w:pPr>
            <w:r w:rsidRPr="003114E3">
              <w:rPr>
                <w:rFonts w:eastAsia="Times New Roman"/>
                <w:sz w:val="24"/>
                <w:szCs w:val="24"/>
                <w:lang w:eastAsia="ru-RU"/>
              </w:rPr>
              <w:t>0,03</w:t>
            </w:r>
          </w:p>
        </w:tc>
      </w:tr>
      <w:tr w:rsidR="003114E3" w:rsidRPr="003114E3" w:rsidTr="003114E3">
        <w:trPr>
          <w:trHeight w:val="284"/>
          <w:jc w:val="center"/>
        </w:trPr>
        <w:tc>
          <w:tcPr>
            <w:tcW w:w="4536"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left"/>
              <w:rPr>
                <w:rFonts w:eastAsia="Times New Roman"/>
                <w:sz w:val="24"/>
                <w:szCs w:val="24"/>
                <w:lang w:eastAsia="ru-RU"/>
              </w:rPr>
            </w:pPr>
            <w:r w:rsidRPr="003114E3">
              <w:rPr>
                <w:rFonts w:eastAsia="Times New Roman"/>
                <w:sz w:val="24"/>
                <w:szCs w:val="24"/>
                <w:lang w:eastAsia="ru-RU"/>
              </w:rPr>
              <w:t>Співвідношення безпечних методів абортів до небезпечних</w:t>
            </w:r>
          </w:p>
        </w:tc>
        <w:tc>
          <w:tcPr>
            <w:tcW w:w="968"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color w:val="000000"/>
                <w:sz w:val="24"/>
                <w:szCs w:val="24"/>
                <w:lang w:eastAsia="ru-RU"/>
              </w:rPr>
            </w:pPr>
            <w:r w:rsidRPr="003114E3">
              <w:rPr>
                <w:rFonts w:eastAsia="Times New Roman"/>
                <w:color w:val="000000"/>
                <w:sz w:val="24"/>
                <w:szCs w:val="24"/>
                <w:lang w:eastAsia="ru-RU"/>
              </w:rPr>
              <w:t>0,85</w:t>
            </w:r>
          </w:p>
        </w:tc>
        <w:tc>
          <w:tcPr>
            <w:tcW w:w="969"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sz w:val="24"/>
                <w:szCs w:val="24"/>
                <w:lang w:eastAsia="ru-RU"/>
              </w:rPr>
            </w:pPr>
            <w:r w:rsidRPr="003114E3">
              <w:rPr>
                <w:rFonts w:eastAsia="Times New Roman"/>
                <w:sz w:val="24"/>
                <w:szCs w:val="24"/>
                <w:lang w:eastAsia="ru-RU"/>
              </w:rPr>
              <w:t>1,05</w:t>
            </w:r>
          </w:p>
        </w:tc>
        <w:tc>
          <w:tcPr>
            <w:tcW w:w="968"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color w:val="000000"/>
                <w:sz w:val="24"/>
                <w:szCs w:val="24"/>
                <w:lang w:eastAsia="ru-RU"/>
              </w:rPr>
            </w:pPr>
            <w:r w:rsidRPr="003114E3">
              <w:rPr>
                <w:rFonts w:eastAsia="Times New Roman"/>
                <w:color w:val="000000"/>
                <w:sz w:val="24"/>
                <w:szCs w:val="24"/>
                <w:lang w:eastAsia="ru-RU"/>
              </w:rPr>
              <w:t>0,51</w:t>
            </w:r>
          </w:p>
        </w:tc>
        <w:tc>
          <w:tcPr>
            <w:tcW w:w="969"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sz w:val="24"/>
                <w:szCs w:val="24"/>
                <w:lang w:eastAsia="ru-RU"/>
              </w:rPr>
            </w:pPr>
            <w:r w:rsidRPr="003114E3">
              <w:rPr>
                <w:rFonts w:eastAsia="Times New Roman"/>
                <w:sz w:val="24"/>
                <w:szCs w:val="24"/>
                <w:lang w:eastAsia="ru-RU"/>
              </w:rPr>
              <w:t>0,79</w:t>
            </w:r>
          </w:p>
        </w:tc>
        <w:tc>
          <w:tcPr>
            <w:tcW w:w="968"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color w:val="000000"/>
                <w:sz w:val="24"/>
                <w:szCs w:val="24"/>
                <w:lang w:eastAsia="ru-RU"/>
              </w:rPr>
            </w:pPr>
            <w:r w:rsidRPr="003114E3">
              <w:rPr>
                <w:rFonts w:eastAsia="Times New Roman"/>
                <w:color w:val="000000"/>
                <w:sz w:val="24"/>
                <w:szCs w:val="24"/>
                <w:lang w:eastAsia="ru-RU"/>
              </w:rPr>
              <w:t>0,09</w:t>
            </w:r>
          </w:p>
        </w:tc>
        <w:tc>
          <w:tcPr>
            <w:tcW w:w="969"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sz w:val="24"/>
                <w:szCs w:val="24"/>
                <w:lang w:eastAsia="ru-RU"/>
              </w:rPr>
            </w:pPr>
            <w:r w:rsidRPr="003114E3">
              <w:rPr>
                <w:rFonts w:eastAsia="Times New Roman"/>
                <w:sz w:val="24"/>
                <w:szCs w:val="24"/>
                <w:lang w:eastAsia="ru-RU"/>
              </w:rPr>
              <w:t>0,13</w:t>
            </w:r>
          </w:p>
        </w:tc>
      </w:tr>
      <w:tr w:rsidR="003114E3" w:rsidRPr="003114E3" w:rsidTr="003114E3">
        <w:trPr>
          <w:trHeight w:val="600"/>
          <w:jc w:val="center"/>
        </w:trPr>
        <w:tc>
          <w:tcPr>
            <w:tcW w:w="4536" w:type="dxa"/>
            <w:tcBorders>
              <w:top w:val="single" w:sz="4" w:space="0" w:color="auto"/>
              <w:left w:val="single" w:sz="4" w:space="0" w:color="auto"/>
              <w:bottom w:val="single" w:sz="4" w:space="0" w:color="auto"/>
              <w:right w:val="single" w:sz="4" w:space="0" w:color="auto"/>
            </w:tcBorders>
            <w:vAlign w:val="bottom"/>
          </w:tcPr>
          <w:p w:rsidR="003114E3" w:rsidRPr="003114E3" w:rsidRDefault="003114E3" w:rsidP="003114E3">
            <w:pPr>
              <w:keepNext/>
              <w:jc w:val="left"/>
              <w:rPr>
                <w:rFonts w:eastAsia="Times New Roman"/>
                <w:sz w:val="24"/>
                <w:szCs w:val="24"/>
                <w:lang w:eastAsia="ru-RU"/>
              </w:rPr>
            </w:pPr>
            <w:r w:rsidRPr="003114E3">
              <w:rPr>
                <w:rFonts w:eastAsia="Times New Roman"/>
                <w:sz w:val="24"/>
                <w:szCs w:val="24"/>
                <w:lang w:eastAsia="ru-RU"/>
              </w:rPr>
              <w:t>Питома вага хворих виявлення в ранніх стадіях (І – ІІ) серед хворих з вперше встановленим діагнозом онкологія молочної залози</w:t>
            </w:r>
          </w:p>
        </w:tc>
        <w:tc>
          <w:tcPr>
            <w:tcW w:w="968"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sz w:val="24"/>
                <w:szCs w:val="24"/>
                <w:lang w:eastAsia="ru-RU"/>
              </w:rPr>
            </w:pPr>
            <w:r w:rsidRPr="003114E3">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sz w:val="24"/>
                <w:szCs w:val="24"/>
                <w:lang w:eastAsia="ru-RU"/>
              </w:rPr>
            </w:pPr>
            <w:r w:rsidRPr="003114E3">
              <w:rPr>
                <w:rFonts w:eastAsia="Times New Roman"/>
                <w:sz w:val="24"/>
                <w:szCs w:val="24"/>
                <w:lang w:eastAsia="ru-RU"/>
              </w:rPr>
              <w:t>66,20</w:t>
            </w:r>
          </w:p>
        </w:tc>
        <w:tc>
          <w:tcPr>
            <w:tcW w:w="968"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sz w:val="24"/>
                <w:szCs w:val="24"/>
                <w:lang w:eastAsia="ru-RU"/>
              </w:rPr>
            </w:pPr>
            <w:r w:rsidRPr="003114E3">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sz w:val="24"/>
                <w:szCs w:val="24"/>
                <w:lang w:eastAsia="ru-RU"/>
              </w:rPr>
            </w:pPr>
            <w:r w:rsidRPr="003114E3">
              <w:rPr>
                <w:rFonts w:eastAsia="Times New Roman"/>
                <w:sz w:val="24"/>
                <w:szCs w:val="24"/>
                <w:lang w:eastAsia="ru-RU"/>
              </w:rPr>
              <w:t>5,03</w:t>
            </w:r>
          </w:p>
        </w:tc>
        <w:tc>
          <w:tcPr>
            <w:tcW w:w="968"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sz w:val="24"/>
                <w:szCs w:val="24"/>
                <w:lang w:eastAsia="ru-RU"/>
              </w:rPr>
            </w:pPr>
            <w:r w:rsidRPr="003114E3">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sz w:val="24"/>
                <w:szCs w:val="24"/>
                <w:lang w:eastAsia="ru-RU"/>
              </w:rPr>
            </w:pPr>
            <w:r w:rsidRPr="003114E3">
              <w:rPr>
                <w:rFonts w:eastAsia="Times New Roman"/>
                <w:sz w:val="24"/>
                <w:szCs w:val="24"/>
                <w:lang w:eastAsia="ru-RU"/>
              </w:rPr>
              <w:t>0,84</w:t>
            </w:r>
          </w:p>
        </w:tc>
      </w:tr>
      <w:tr w:rsidR="003114E3" w:rsidRPr="003114E3" w:rsidTr="003114E3">
        <w:trPr>
          <w:trHeight w:val="605"/>
          <w:jc w:val="center"/>
        </w:trPr>
        <w:tc>
          <w:tcPr>
            <w:tcW w:w="4536" w:type="dxa"/>
            <w:tcBorders>
              <w:top w:val="single" w:sz="4" w:space="0" w:color="auto"/>
              <w:left w:val="single" w:sz="4" w:space="0" w:color="auto"/>
              <w:bottom w:val="single" w:sz="4" w:space="0" w:color="auto"/>
              <w:right w:val="single" w:sz="4" w:space="0" w:color="auto"/>
            </w:tcBorders>
            <w:vAlign w:val="bottom"/>
          </w:tcPr>
          <w:p w:rsidR="003114E3" w:rsidRPr="003114E3" w:rsidRDefault="003114E3" w:rsidP="003114E3">
            <w:pPr>
              <w:keepNext/>
              <w:jc w:val="left"/>
              <w:rPr>
                <w:rFonts w:eastAsia="Times New Roman"/>
                <w:sz w:val="24"/>
                <w:szCs w:val="24"/>
                <w:lang w:eastAsia="ru-RU"/>
              </w:rPr>
            </w:pPr>
            <w:r w:rsidRPr="003114E3">
              <w:rPr>
                <w:rFonts w:eastAsia="Times New Roman"/>
                <w:sz w:val="24"/>
                <w:szCs w:val="24"/>
                <w:lang w:eastAsia="ru-RU"/>
              </w:rPr>
              <w:t>Питома вага хворих виявлення в ранніх стадіях (І – ІІ) серед хворих з вперше встановленим діагнозом онкологія шийки матки</w:t>
            </w:r>
          </w:p>
        </w:tc>
        <w:tc>
          <w:tcPr>
            <w:tcW w:w="968"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sz w:val="24"/>
                <w:szCs w:val="24"/>
                <w:lang w:eastAsia="ru-RU"/>
              </w:rPr>
            </w:pPr>
            <w:r w:rsidRPr="003114E3">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sz w:val="24"/>
                <w:szCs w:val="24"/>
                <w:lang w:eastAsia="ru-RU"/>
              </w:rPr>
            </w:pPr>
            <w:r w:rsidRPr="003114E3">
              <w:rPr>
                <w:rFonts w:eastAsia="Times New Roman"/>
                <w:sz w:val="24"/>
                <w:szCs w:val="24"/>
                <w:lang w:eastAsia="ru-RU"/>
              </w:rPr>
              <w:t>69,10</w:t>
            </w:r>
          </w:p>
        </w:tc>
        <w:tc>
          <w:tcPr>
            <w:tcW w:w="968"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sz w:val="24"/>
                <w:szCs w:val="24"/>
                <w:lang w:eastAsia="ru-RU"/>
              </w:rPr>
            </w:pPr>
            <w:r w:rsidRPr="003114E3">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sz w:val="24"/>
                <w:szCs w:val="24"/>
                <w:lang w:eastAsia="ru-RU"/>
              </w:rPr>
            </w:pPr>
            <w:r w:rsidRPr="003114E3">
              <w:rPr>
                <w:rFonts w:eastAsia="Times New Roman"/>
                <w:sz w:val="24"/>
                <w:szCs w:val="24"/>
                <w:lang w:eastAsia="ru-RU"/>
              </w:rPr>
              <w:t>5,24</w:t>
            </w:r>
          </w:p>
        </w:tc>
        <w:tc>
          <w:tcPr>
            <w:tcW w:w="968"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sz w:val="24"/>
                <w:szCs w:val="24"/>
                <w:lang w:eastAsia="ru-RU"/>
              </w:rPr>
            </w:pPr>
            <w:r w:rsidRPr="003114E3">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sz w:val="24"/>
                <w:szCs w:val="24"/>
                <w:lang w:eastAsia="ru-RU"/>
              </w:rPr>
            </w:pPr>
            <w:r w:rsidRPr="003114E3">
              <w:rPr>
                <w:rFonts w:eastAsia="Times New Roman"/>
                <w:sz w:val="24"/>
                <w:szCs w:val="24"/>
                <w:lang w:eastAsia="ru-RU"/>
              </w:rPr>
              <w:t>0,87</w:t>
            </w:r>
          </w:p>
        </w:tc>
      </w:tr>
      <w:tr w:rsidR="003114E3" w:rsidRPr="003114E3" w:rsidTr="003114E3">
        <w:trPr>
          <w:trHeight w:val="340"/>
          <w:jc w:val="center"/>
        </w:trPr>
        <w:tc>
          <w:tcPr>
            <w:tcW w:w="4536" w:type="dxa"/>
            <w:tcBorders>
              <w:top w:val="single" w:sz="4" w:space="0" w:color="auto"/>
              <w:left w:val="single" w:sz="4" w:space="0" w:color="auto"/>
              <w:bottom w:val="single" w:sz="4" w:space="0" w:color="auto"/>
              <w:right w:val="single" w:sz="4" w:space="0" w:color="auto"/>
            </w:tcBorders>
          </w:tcPr>
          <w:p w:rsidR="003114E3" w:rsidRPr="003114E3" w:rsidRDefault="003114E3" w:rsidP="003114E3">
            <w:pPr>
              <w:keepNext/>
              <w:rPr>
                <w:rFonts w:eastAsia="Times New Roman"/>
                <w:color w:val="000000"/>
                <w:sz w:val="24"/>
                <w:szCs w:val="24"/>
                <w:lang w:eastAsia="uk-UA"/>
              </w:rPr>
            </w:pPr>
            <w:r w:rsidRPr="003114E3">
              <w:rPr>
                <w:rFonts w:eastAsia="Times New Roman"/>
                <w:color w:val="000000"/>
                <w:sz w:val="24"/>
                <w:szCs w:val="24"/>
                <w:lang w:eastAsia="uk-UA"/>
              </w:rPr>
              <w:t>Індекс концентрації розродження вагітних з цукровим діабетом у ЗПД ІІІ рівня</w:t>
            </w:r>
          </w:p>
        </w:tc>
        <w:tc>
          <w:tcPr>
            <w:tcW w:w="968"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color w:val="000000"/>
                <w:sz w:val="24"/>
                <w:szCs w:val="24"/>
                <w:lang w:eastAsia="ru-RU"/>
              </w:rPr>
            </w:pPr>
            <w:r w:rsidRPr="003114E3">
              <w:rPr>
                <w:rFonts w:eastAsia="Times New Roman"/>
                <w:color w:val="000000"/>
                <w:sz w:val="24"/>
                <w:szCs w:val="24"/>
                <w:lang w:eastAsia="ru-RU"/>
              </w:rPr>
              <w:t>88,24</w:t>
            </w:r>
          </w:p>
        </w:tc>
        <w:tc>
          <w:tcPr>
            <w:tcW w:w="969"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color w:val="000000"/>
                <w:sz w:val="24"/>
                <w:szCs w:val="24"/>
                <w:lang w:eastAsia="ru-RU"/>
              </w:rPr>
            </w:pPr>
            <w:r w:rsidRPr="003114E3">
              <w:rPr>
                <w:rFonts w:eastAsia="Times New Roman"/>
                <w:color w:val="000000"/>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color w:val="000000"/>
                <w:sz w:val="24"/>
                <w:szCs w:val="24"/>
                <w:lang w:eastAsia="ru-RU"/>
              </w:rPr>
            </w:pPr>
            <w:r w:rsidRPr="003114E3">
              <w:rPr>
                <w:rFonts w:eastAsia="Times New Roman"/>
                <w:color w:val="000000"/>
                <w:sz w:val="24"/>
                <w:szCs w:val="24"/>
                <w:lang w:eastAsia="ru-RU"/>
              </w:rPr>
              <w:t>7,00</w:t>
            </w:r>
          </w:p>
        </w:tc>
        <w:tc>
          <w:tcPr>
            <w:tcW w:w="969"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sz w:val="24"/>
                <w:szCs w:val="24"/>
                <w:lang w:eastAsia="ru-RU"/>
              </w:rPr>
            </w:pPr>
            <w:r w:rsidRPr="003114E3">
              <w:rPr>
                <w:rFonts w:eastAsia="Times New Roman"/>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color w:val="000000"/>
                <w:sz w:val="24"/>
                <w:szCs w:val="24"/>
                <w:lang w:eastAsia="ru-RU"/>
              </w:rPr>
            </w:pPr>
            <w:r w:rsidRPr="003114E3">
              <w:rPr>
                <w:rFonts w:eastAsia="Times New Roman"/>
                <w:color w:val="000000"/>
                <w:sz w:val="24"/>
                <w:szCs w:val="24"/>
                <w:lang w:eastAsia="ru-RU"/>
              </w:rPr>
              <w:t>1,00</w:t>
            </w:r>
          </w:p>
        </w:tc>
        <w:tc>
          <w:tcPr>
            <w:tcW w:w="969"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sz w:val="24"/>
                <w:szCs w:val="24"/>
                <w:lang w:eastAsia="ru-RU"/>
              </w:rPr>
            </w:pPr>
            <w:r w:rsidRPr="003114E3">
              <w:rPr>
                <w:rFonts w:eastAsia="Times New Roman"/>
                <w:sz w:val="24"/>
                <w:szCs w:val="24"/>
                <w:lang w:eastAsia="ru-RU"/>
              </w:rPr>
              <w:t>**</w:t>
            </w:r>
          </w:p>
        </w:tc>
      </w:tr>
    </w:tbl>
    <w:tbl>
      <w:tblPr>
        <w:tblpPr w:leftFromText="180" w:rightFromText="180" w:vertAnchor="text" w:horzAnchor="margin" w:tblpY="873"/>
        <w:tblW w:w="103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36"/>
        <w:gridCol w:w="968"/>
        <w:gridCol w:w="969"/>
        <w:gridCol w:w="968"/>
        <w:gridCol w:w="969"/>
        <w:gridCol w:w="968"/>
        <w:gridCol w:w="969"/>
      </w:tblGrid>
      <w:tr w:rsidR="003114E3" w:rsidRPr="003114E3" w:rsidTr="003114E3">
        <w:trPr>
          <w:trHeight w:val="340"/>
        </w:trPr>
        <w:tc>
          <w:tcPr>
            <w:tcW w:w="4536" w:type="dxa"/>
            <w:tcBorders>
              <w:top w:val="single" w:sz="4" w:space="0" w:color="auto"/>
              <w:left w:val="single" w:sz="4" w:space="0" w:color="auto"/>
              <w:bottom w:val="single" w:sz="4" w:space="0" w:color="auto"/>
              <w:right w:val="single" w:sz="4" w:space="0" w:color="auto"/>
            </w:tcBorders>
          </w:tcPr>
          <w:p w:rsidR="003114E3" w:rsidRPr="003114E3" w:rsidRDefault="003114E3" w:rsidP="003114E3">
            <w:pPr>
              <w:keepNext/>
              <w:rPr>
                <w:rFonts w:eastAsia="Times New Roman"/>
                <w:color w:val="000000"/>
                <w:sz w:val="24"/>
                <w:szCs w:val="24"/>
                <w:lang w:eastAsia="uk-UA"/>
              </w:rPr>
            </w:pPr>
            <w:r w:rsidRPr="003114E3">
              <w:rPr>
                <w:rFonts w:eastAsia="Times New Roman"/>
                <w:color w:val="000000"/>
                <w:sz w:val="24"/>
                <w:szCs w:val="24"/>
                <w:lang w:eastAsia="uk-UA"/>
              </w:rPr>
              <w:lastRenderedPageBreak/>
              <w:t>Індекс концентрації розродження вагітних з  пре- еклампсією і еклампсією  у ЗПД ІІ-ІІІ рівнів</w:t>
            </w:r>
          </w:p>
        </w:tc>
        <w:tc>
          <w:tcPr>
            <w:tcW w:w="968"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color w:val="000000"/>
                <w:sz w:val="24"/>
                <w:szCs w:val="24"/>
                <w:lang w:eastAsia="ru-RU"/>
              </w:rPr>
            </w:pPr>
            <w:r w:rsidRPr="003114E3">
              <w:rPr>
                <w:rFonts w:eastAsia="Times New Roman"/>
                <w:color w:val="000000"/>
                <w:sz w:val="24"/>
                <w:szCs w:val="24"/>
                <w:lang w:eastAsia="ru-RU"/>
              </w:rPr>
              <w:t>68,89</w:t>
            </w:r>
          </w:p>
        </w:tc>
        <w:tc>
          <w:tcPr>
            <w:tcW w:w="969"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color w:val="000000"/>
                <w:sz w:val="24"/>
                <w:szCs w:val="24"/>
                <w:lang w:eastAsia="ru-RU"/>
              </w:rPr>
            </w:pPr>
            <w:r w:rsidRPr="003114E3">
              <w:rPr>
                <w:rFonts w:eastAsia="Times New Roman"/>
                <w:color w:val="000000"/>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color w:val="000000"/>
                <w:sz w:val="24"/>
                <w:szCs w:val="24"/>
                <w:lang w:eastAsia="ru-RU"/>
              </w:rPr>
            </w:pPr>
            <w:r w:rsidRPr="003114E3">
              <w:rPr>
                <w:rFonts w:eastAsia="Times New Roman"/>
                <w:color w:val="000000"/>
                <w:sz w:val="24"/>
                <w:szCs w:val="24"/>
                <w:lang w:eastAsia="ru-RU"/>
              </w:rPr>
              <w:t>5,36</w:t>
            </w:r>
          </w:p>
        </w:tc>
        <w:tc>
          <w:tcPr>
            <w:tcW w:w="969"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sz w:val="24"/>
                <w:szCs w:val="24"/>
                <w:lang w:eastAsia="ru-RU"/>
              </w:rPr>
            </w:pPr>
            <w:r w:rsidRPr="003114E3">
              <w:rPr>
                <w:rFonts w:eastAsia="Times New Roman"/>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color w:val="000000"/>
                <w:sz w:val="24"/>
                <w:szCs w:val="24"/>
                <w:lang w:eastAsia="ru-RU"/>
              </w:rPr>
            </w:pPr>
            <w:r w:rsidRPr="003114E3">
              <w:rPr>
                <w:rFonts w:eastAsia="Times New Roman"/>
                <w:color w:val="000000"/>
                <w:sz w:val="24"/>
                <w:szCs w:val="24"/>
                <w:lang w:eastAsia="ru-RU"/>
              </w:rPr>
              <w:t>0,77</w:t>
            </w:r>
          </w:p>
        </w:tc>
        <w:tc>
          <w:tcPr>
            <w:tcW w:w="969"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sz w:val="24"/>
                <w:szCs w:val="24"/>
                <w:lang w:eastAsia="ru-RU"/>
              </w:rPr>
            </w:pPr>
            <w:r w:rsidRPr="003114E3">
              <w:rPr>
                <w:rFonts w:eastAsia="Times New Roman"/>
                <w:sz w:val="24"/>
                <w:szCs w:val="24"/>
                <w:lang w:eastAsia="ru-RU"/>
              </w:rPr>
              <w:t>**</w:t>
            </w:r>
          </w:p>
        </w:tc>
      </w:tr>
      <w:tr w:rsidR="003114E3" w:rsidRPr="003114E3" w:rsidTr="003114E3">
        <w:trPr>
          <w:trHeight w:val="340"/>
        </w:trPr>
        <w:tc>
          <w:tcPr>
            <w:tcW w:w="4536" w:type="dxa"/>
            <w:tcBorders>
              <w:top w:val="single" w:sz="4" w:space="0" w:color="auto"/>
              <w:left w:val="single" w:sz="4" w:space="0" w:color="auto"/>
              <w:bottom w:val="single" w:sz="4" w:space="0" w:color="auto"/>
              <w:right w:val="single" w:sz="4" w:space="0" w:color="auto"/>
            </w:tcBorders>
          </w:tcPr>
          <w:p w:rsidR="003114E3" w:rsidRPr="003114E3" w:rsidRDefault="003114E3" w:rsidP="003114E3">
            <w:pPr>
              <w:keepNext/>
              <w:rPr>
                <w:rFonts w:eastAsia="Times New Roman"/>
                <w:color w:val="000000"/>
                <w:sz w:val="24"/>
                <w:szCs w:val="24"/>
                <w:lang w:eastAsia="uk-UA"/>
              </w:rPr>
            </w:pPr>
            <w:r w:rsidRPr="003114E3">
              <w:rPr>
                <w:rFonts w:eastAsia="Times New Roman"/>
                <w:color w:val="000000"/>
                <w:sz w:val="24"/>
                <w:szCs w:val="24"/>
                <w:lang w:eastAsia="uk-UA"/>
              </w:rPr>
              <w:t>Індекс концентрації новонароджених масою тіла при народженні 500-1499г у ЗПД ІІІ рівня</w:t>
            </w:r>
          </w:p>
        </w:tc>
        <w:tc>
          <w:tcPr>
            <w:tcW w:w="968"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color w:val="000000"/>
                <w:sz w:val="24"/>
                <w:szCs w:val="24"/>
                <w:lang w:eastAsia="ru-RU"/>
              </w:rPr>
            </w:pPr>
            <w:r w:rsidRPr="003114E3">
              <w:rPr>
                <w:rFonts w:eastAsia="Times New Roman"/>
                <w:color w:val="000000"/>
                <w:sz w:val="24"/>
                <w:szCs w:val="24"/>
                <w:lang w:eastAsia="ru-RU"/>
              </w:rPr>
              <w:t>86,3</w:t>
            </w:r>
          </w:p>
        </w:tc>
        <w:tc>
          <w:tcPr>
            <w:tcW w:w="969"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color w:val="000000"/>
                <w:sz w:val="24"/>
                <w:szCs w:val="24"/>
                <w:lang w:eastAsia="ru-RU"/>
              </w:rPr>
            </w:pPr>
            <w:r w:rsidRPr="003114E3">
              <w:rPr>
                <w:rFonts w:eastAsia="Times New Roman"/>
                <w:color w:val="000000"/>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color w:val="000000"/>
                <w:sz w:val="24"/>
                <w:szCs w:val="24"/>
                <w:lang w:eastAsia="ru-RU"/>
              </w:rPr>
            </w:pPr>
            <w:r w:rsidRPr="003114E3">
              <w:rPr>
                <w:rFonts w:eastAsia="Times New Roman"/>
                <w:color w:val="000000"/>
                <w:sz w:val="24"/>
                <w:szCs w:val="24"/>
                <w:lang w:eastAsia="ru-RU"/>
              </w:rPr>
              <w:t>6,00</w:t>
            </w:r>
          </w:p>
        </w:tc>
        <w:tc>
          <w:tcPr>
            <w:tcW w:w="969"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sz w:val="24"/>
                <w:szCs w:val="24"/>
                <w:lang w:eastAsia="ru-RU"/>
              </w:rPr>
            </w:pPr>
            <w:r w:rsidRPr="003114E3">
              <w:rPr>
                <w:rFonts w:eastAsia="Times New Roman"/>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color w:val="000000"/>
                <w:sz w:val="24"/>
                <w:szCs w:val="24"/>
                <w:lang w:eastAsia="ru-RU"/>
              </w:rPr>
            </w:pPr>
            <w:r w:rsidRPr="003114E3">
              <w:rPr>
                <w:rFonts w:eastAsia="Times New Roman"/>
                <w:color w:val="000000"/>
                <w:sz w:val="24"/>
                <w:szCs w:val="24"/>
                <w:lang w:eastAsia="ru-RU"/>
              </w:rPr>
              <w:t>1,00</w:t>
            </w:r>
          </w:p>
        </w:tc>
        <w:tc>
          <w:tcPr>
            <w:tcW w:w="969"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sz w:val="24"/>
                <w:szCs w:val="24"/>
                <w:lang w:eastAsia="ru-RU"/>
              </w:rPr>
            </w:pPr>
            <w:r w:rsidRPr="003114E3">
              <w:rPr>
                <w:rFonts w:eastAsia="Times New Roman"/>
                <w:sz w:val="24"/>
                <w:szCs w:val="24"/>
                <w:lang w:eastAsia="ru-RU"/>
              </w:rPr>
              <w:t>**</w:t>
            </w:r>
          </w:p>
        </w:tc>
      </w:tr>
      <w:tr w:rsidR="003114E3" w:rsidRPr="003114E3" w:rsidTr="003114E3">
        <w:trPr>
          <w:trHeight w:val="298"/>
        </w:trPr>
        <w:tc>
          <w:tcPr>
            <w:tcW w:w="4536" w:type="dxa"/>
            <w:tcBorders>
              <w:top w:val="single" w:sz="4" w:space="0" w:color="auto"/>
              <w:left w:val="single" w:sz="4" w:space="0" w:color="auto"/>
              <w:bottom w:val="single" w:sz="4" w:space="0" w:color="auto"/>
              <w:right w:val="single" w:sz="4" w:space="0" w:color="auto"/>
            </w:tcBorders>
            <w:vAlign w:val="bottom"/>
          </w:tcPr>
          <w:p w:rsidR="003114E3" w:rsidRPr="003114E3" w:rsidRDefault="003114E3" w:rsidP="003114E3">
            <w:pPr>
              <w:keepNext/>
              <w:jc w:val="left"/>
              <w:rPr>
                <w:rFonts w:eastAsia="Times New Roman"/>
                <w:sz w:val="24"/>
                <w:szCs w:val="24"/>
                <w:lang w:eastAsia="ru-RU"/>
              </w:rPr>
            </w:pPr>
            <w:r w:rsidRPr="003114E3">
              <w:rPr>
                <w:rFonts w:eastAsia="Times New Roman"/>
                <w:sz w:val="24"/>
                <w:szCs w:val="24"/>
                <w:lang w:eastAsia="ru-RU"/>
              </w:rPr>
              <w:t>Індекс неонатального трансферу</w:t>
            </w:r>
          </w:p>
        </w:tc>
        <w:tc>
          <w:tcPr>
            <w:tcW w:w="968"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sz w:val="24"/>
                <w:szCs w:val="24"/>
                <w:lang w:eastAsia="ru-RU"/>
              </w:rPr>
            </w:pPr>
            <w:r w:rsidRPr="003114E3">
              <w:rPr>
                <w:rFonts w:eastAsia="Times New Roman"/>
                <w:sz w:val="24"/>
                <w:szCs w:val="24"/>
                <w:lang w:eastAsia="ru-RU"/>
              </w:rPr>
              <w:t>7,01</w:t>
            </w:r>
          </w:p>
        </w:tc>
        <w:tc>
          <w:tcPr>
            <w:tcW w:w="969"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sz w:val="24"/>
                <w:szCs w:val="24"/>
                <w:lang w:eastAsia="ru-RU"/>
              </w:rPr>
            </w:pPr>
            <w:r w:rsidRPr="003114E3">
              <w:rPr>
                <w:rFonts w:eastAsia="Times New Roman"/>
                <w:sz w:val="24"/>
                <w:szCs w:val="24"/>
                <w:lang w:eastAsia="ru-RU"/>
              </w:rPr>
              <w:t>7,20</w:t>
            </w:r>
          </w:p>
        </w:tc>
        <w:tc>
          <w:tcPr>
            <w:tcW w:w="968"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sz w:val="24"/>
                <w:szCs w:val="24"/>
                <w:lang w:eastAsia="ru-RU"/>
              </w:rPr>
            </w:pPr>
            <w:r w:rsidRPr="003114E3">
              <w:rPr>
                <w:rFonts w:eastAsia="Times New Roman"/>
                <w:sz w:val="24"/>
                <w:szCs w:val="24"/>
                <w:lang w:eastAsia="ru-RU"/>
              </w:rPr>
              <w:t>1,73</w:t>
            </w:r>
          </w:p>
        </w:tc>
        <w:tc>
          <w:tcPr>
            <w:tcW w:w="969"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sz w:val="24"/>
                <w:szCs w:val="24"/>
                <w:lang w:eastAsia="ru-RU"/>
              </w:rPr>
            </w:pPr>
            <w:r w:rsidRPr="003114E3">
              <w:rPr>
                <w:rFonts w:eastAsia="Times New Roman"/>
                <w:sz w:val="24"/>
                <w:szCs w:val="24"/>
                <w:lang w:eastAsia="ru-RU"/>
              </w:rPr>
              <w:t>3,92</w:t>
            </w:r>
          </w:p>
        </w:tc>
        <w:tc>
          <w:tcPr>
            <w:tcW w:w="968"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sz w:val="24"/>
                <w:szCs w:val="24"/>
                <w:lang w:eastAsia="ru-RU"/>
              </w:rPr>
            </w:pPr>
            <w:r w:rsidRPr="003114E3">
              <w:rPr>
                <w:rFonts w:eastAsia="Times New Roman"/>
                <w:sz w:val="24"/>
                <w:szCs w:val="24"/>
                <w:lang w:eastAsia="ru-RU"/>
              </w:rPr>
              <w:t>0,25</w:t>
            </w:r>
          </w:p>
        </w:tc>
        <w:tc>
          <w:tcPr>
            <w:tcW w:w="969"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sz w:val="24"/>
                <w:szCs w:val="24"/>
                <w:lang w:eastAsia="ru-RU"/>
              </w:rPr>
            </w:pPr>
            <w:r w:rsidRPr="003114E3">
              <w:rPr>
                <w:rFonts w:eastAsia="Times New Roman"/>
                <w:sz w:val="24"/>
                <w:szCs w:val="24"/>
                <w:lang w:eastAsia="ru-RU"/>
              </w:rPr>
              <w:t>0,56</w:t>
            </w:r>
          </w:p>
        </w:tc>
      </w:tr>
      <w:tr w:rsidR="003114E3" w:rsidRPr="003114E3" w:rsidTr="003114E3">
        <w:trPr>
          <w:trHeight w:val="260"/>
        </w:trPr>
        <w:tc>
          <w:tcPr>
            <w:tcW w:w="4536"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left"/>
              <w:rPr>
                <w:rFonts w:eastAsia="Times New Roman"/>
                <w:sz w:val="24"/>
                <w:szCs w:val="24"/>
                <w:lang w:eastAsia="ru-RU"/>
              </w:rPr>
            </w:pPr>
            <w:r w:rsidRPr="003114E3">
              <w:rPr>
                <w:rFonts w:eastAsia="Times New Roman"/>
                <w:sz w:val="24"/>
                <w:szCs w:val="24"/>
                <w:lang w:eastAsia="ru-RU"/>
              </w:rPr>
              <w:t>Частота нормальних пологів</w:t>
            </w:r>
          </w:p>
        </w:tc>
        <w:tc>
          <w:tcPr>
            <w:tcW w:w="968"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color w:val="000000"/>
                <w:sz w:val="24"/>
                <w:szCs w:val="24"/>
                <w:lang w:eastAsia="ru-RU"/>
              </w:rPr>
            </w:pPr>
            <w:r w:rsidRPr="003114E3">
              <w:rPr>
                <w:rFonts w:eastAsia="Times New Roman"/>
                <w:color w:val="000000"/>
                <w:sz w:val="24"/>
                <w:szCs w:val="24"/>
                <w:lang w:eastAsia="ru-RU"/>
              </w:rPr>
              <w:t>73,32</w:t>
            </w:r>
          </w:p>
        </w:tc>
        <w:tc>
          <w:tcPr>
            <w:tcW w:w="969"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sz w:val="24"/>
                <w:szCs w:val="24"/>
                <w:lang w:eastAsia="ru-RU"/>
              </w:rPr>
            </w:pPr>
            <w:r w:rsidRPr="003114E3">
              <w:rPr>
                <w:rFonts w:eastAsia="Times New Roman"/>
                <w:sz w:val="24"/>
                <w:szCs w:val="24"/>
                <w:lang w:eastAsia="ru-RU"/>
              </w:rPr>
              <w:t>72,17</w:t>
            </w:r>
          </w:p>
        </w:tc>
        <w:tc>
          <w:tcPr>
            <w:tcW w:w="968"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color w:val="000000"/>
                <w:sz w:val="24"/>
                <w:szCs w:val="24"/>
                <w:lang w:eastAsia="ru-RU"/>
              </w:rPr>
            </w:pPr>
            <w:r w:rsidRPr="003114E3">
              <w:rPr>
                <w:rFonts w:eastAsia="Times New Roman"/>
                <w:color w:val="000000"/>
                <w:sz w:val="24"/>
                <w:szCs w:val="24"/>
                <w:lang w:eastAsia="ru-RU"/>
              </w:rPr>
              <w:t>5,00</w:t>
            </w:r>
          </w:p>
        </w:tc>
        <w:tc>
          <w:tcPr>
            <w:tcW w:w="969"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sz w:val="24"/>
                <w:szCs w:val="24"/>
                <w:lang w:eastAsia="ru-RU"/>
              </w:rPr>
            </w:pPr>
            <w:r w:rsidRPr="003114E3">
              <w:rPr>
                <w:rFonts w:eastAsia="Times New Roman"/>
                <w:sz w:val="24"/>
                <w:szCs w:val="24"/>
                <w:lang w:eastAsia="ru-RU"/>
              </w:rPr>
              <w:t>5,0</w:t>
            </w:r>
          </w:p>
        </w:tc>
        <w:tc>
          <w:tcPr>
            <w:tcW w:w="968"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color w:val="000000"/>
                <w:sz w:val="24"/>
                <w:szCs w:val="24"/>
                <w:lang w:eastAsia="ru-RU"/>
              </w:rPr>
            </w:pPr>
            <w:r w:rsidRPr="003114E3">
              <w:rPr>
                <w:rFonts w:eastAsia="Times New Roman"/>
                <w:color w:val="000000"/>
                <w:sz w:val="24"/>
                <w:szCs w:val="24"/>
                <w:lang w:eastAsia="ru-RU"/>
              </w:rPr>
              <w:t>1,00</w:t>
            </w:r>
          </w:p>
        </w:tc>
        <w:tc>
          <w:tcPr>
            <w:tcW w:w="969"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sz w:val="24"/>
                <w:szCs w:val="24"/>
                <w:lang w:eastAsia="ru-RU"/>
              </w:rPr>
            </w:pPr>
            <w:r w:rsidRPr="003114E3">
              <w:rPr>
                <w:rFonts w:eastAsia="Times New Roman"/>
                <w:sz w:val="24"/>
                <w:szCs w:val="24"/>
                <w:lang w:eastAsia="ru-RU"/>
              </w:rPr>
              <w:t>1,00</w:t>
            </w:r>
          </w:p>
        </w:tc>
      </w:tr>
      <w:tr w:rsidR="003114E3" w:rsidRPr="003114E3" w:rsidTr="003114E3">
        <w:trPr>
          <w:trHeight w:val="420"/>
        </w:trPr>
        <w:tc>
          <w:tcPr>
            <w:tcW w:w="4536" w:type="dxa"/>
            <w:tcBorders>
              <w:top w:val="single" w:sz="4" w:space="0" w:color="auto"/>
              <w:left w:val="single" w:sz="4" w:space="0" w:color="auto"/>
              <w:bottom w:val="single" w:sz="4" w:space="0" w:color="auto"/>
              <w:right w:val="single" w:sz="4" w:space="0" w:color="auto"/>
            </w:tcBorders>
            <w:vAlign w:val="bottom"/>
          </w:tcPr>
          <w:p w:rsidR="003114E3" w:rsidRPr="003114E3" w:rsidRDefault="003114E3" w:rsidP="003114E3">
            <w:pPr>
              <w:keepNext/>
              <w:jc w:val="left"/>
              <w:rPr>
                <w:rFonts w:eastAsia="Times New Roman"/>
                <w:sz w:val="24"/>
                <w:szCs w:val="24"/>
                <w:lang w:eastAsia="ru-RU"/>
              </w:rPr>
            </w:pPr>
            <w:r w:rsidRPr="003114E3">
              <w:rPr>
                <w:rFonts w:eastAsia="Times New Roman"/>
                <w:sz w:val="24"/>
                <w:szCs w:val="24"/>
                <w:lang w:eastAsia="ru-RU"/>
              </w:rPr>
              <w:t>Частота розроджень вагітних шляхом кесаревого розтину</w:t>
            </w:r>
          </w:p>
        </w:tc>
        <w:tc>
          <w:tcPr>
            <w:tcW w:w="968"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color w:val="000000"/>
                <w:sz w:val="24"/>
                <w:szCs w:val="24"/>
                <w:lang w:eastAsia="ru-RU"/>
              </w:rPr>
            </w:pPr>
            <w:r w:rsidRPr="003114E3">
              <w:rPr>
                <w:rFonts w:eastAsia="Times New Roman"/>
                <w:color w:val="000000"/>
                <w:sz w:val="24"/>
                <w:szCs w:val="24"/>
                <w:lang w:eastAsia="ru-RU"/>
              </w:rPr>
              <w:t>159,97</w:t>
            </w:r>
          </w:p>
        </w:tc>
        <w:tc>
          <w:tcPr>
            <w:tcW w:w="969"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sz w:val="24"/>
                <w:szCs w:val="24"/>
                <w:lang w:eastAsia="ru-RU"/>
              </w:rPr>
            </w:pPr>
            <w:r w:rsidRPr="003114E3">
              <w:rPr>
                <w:rFonts w:eastAsia="Times New Roman"/>
                <w:sz w:val="24"/>
                <w:szCs w:val="24"/>
                <w:lang w:eastAsia="ru-RU"/>
              </w:rPr>
              <w:t>176,45</w:t>
            </w:r>
          </w:p>
        </w:tc>
        <w:tc>
          <w:tcPr>
            <w:tcW w:w="968"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color w:val="000000"/>
                <w:sz w:val="24"/>
                <w:szCs w:val="24"/>
                <w:lang w:eastAsia="ru-RU"/>
              </w:rPr>
            </w:pPr>
            <w:r w:rsidRPr="003114E3">
              <w:rPr>
                <w:rFonts w:eastAsia="Times New Roman"/>
                <w:color w:val="000000"/>
                <w:sz w:val="24"/>
                <w:szCs w:val="24"/>
                <w:lang w:eastAsia="ru-RU"/>
              </w:rPr>
              <w:t>7,00</w:t>
            </w:r>
          </w:p>
        </w:tc>
        <w:tc>
          <w:tcPr>
            <w:tcW w:w="969"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sz w:val="24"/>
                <w:szCs w:val="24"/>
                <w:lang w:eastAsia="ru-RU"/>
              </w:rPr>
            </w:pPr>
            <w:r w:rsidRPr="003114E3">
              <w:rPr>
                <w:rFonts w:eastAsia="Times New Roman"/>
                <w:sz w:val="24"/>
                <w:szCs w:val="24"/>
                <w:lang w:eastAsia="ru-RU"/>
              </w:rPr>
              <w:t>7,0</w:t>
            </w:r>
          </w:p>
        </w:tc>
        <w:tc>
          <w:tcPr>
            <w:tcW w:w="968"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color w:val="000000"/>
                <w:sz w:val="24"/>
                <w:szCs w:val="24"/>
                <w:lang w:eastAsia="ru-RU"/>
              </w:rPr>
            </w:pPr>
            <w:r w:rsidRPr="003114E3">
              <w:rPr>
                <w:rFonts w:eastAsia="Times New Roman"/>
                <w:color w:val="000000"/>
                <w:sz w:val="24"/>
                <w:szCs w:val="24"/>
                <w:lang w:eastAsia="ru-RU"/>
              </w:rPr>
              <w:t>1,00</w:t>
            </w:r>
          </w:p>
        </w:tc>
        <w:tc>
          <w:tcPr>
            <w:tcW w:w="969"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sz w:val="24"/>
                <w:szCs w:val="24"/>
                <w:lang w:eastAsia="ru-RU"/>
              </w:rPr>
            </w:pPr>
            <w:r w:rsidRPr="003114E3">
              <w:rPr>
                <w:rFonts w:eastAsia="Times New Roman"/>
                <w:sz w:val="24"/>
                <w:szCs w:val="24"/>
                <w:lang w:eastAsia="ru-RU"/>
              </w:rPr>
              <w:t>1,00</w:t>
            </w:r>
          </w:p>
        </w:tc>
      </w:tr>
      <w:tr w:rsidR="003114E3" w:rsidRPr="003114E3" w:rsidTr="003114E3">
        <w:trPr>
          <w:trHeight w:val="276"/>
        </w:trPr>
        <w:tc>
          <w:tcPr>
            <w:tcW w:w="4536" w:type="dxa"/>
            <w:tcBorders>
              <w:top w:val="single" w:sz="4" w:space="0" w:color="auto"/>
              <w:left w:val="single" w:sz="4" w:space="0" w:color="auto"/>
              <w:bottom w:val="single" w:sz="4" w:space="0" w:color="auto"/>
              <w:right w:val="single" w:sz="4" w:space="0" w:color="auto"/>
            </w:tcBorders>
            <w:vAlign w:val="bottom"/>
          </w:tcPr>
          <w:p w:rsidR="003114E3" w:rsidRPr="003114E3" w:rsidRDefault="003114E3" w:rsidP="003114E3">
            <w:pPr>
              <w:keepNext/>
              <w:jc w:val="left"/>
              <w:rPr>
                <w:rFonts w:eastAsia="Times New Roman"/>
                <w:sz w:val="24"/>
                <w:szCs w:val="24"/>
                <w:lang w:eastAsia="ru-RU"/>
              </w:rPr>
            </w:pPr>
            <w:r w:rsidRPr="003114E3">
              <w:rPr>
                <w:rFonts w:eastAsia="Times New Roman"/>
                <w:sz w:val="24"/>
                <w:szCs w:val="24"/>
                <w:lang w:eastAsia="ru-RU"/>
              </w:rPr>
              <w:t>Частота  кровотеч в послідовому і післяродовому періодах</w:t>
            </w:r>
          </w:p>
        </w:tc>
        <w:tc>
          <w:tcPr>
            <w:tcW w:w="968"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color w:val="000000"/>
                <w:sz w:val="24"/>
                <w:szCs w:val="24"/>
                <w:lang w:eastAsia="ru-RU"/>
              </w:rPr>
            </w:pPr>
            <w:r w:rsidRPr="003114E3">
              <w:rPr>
                <w:rFonts w:eastAsia="Times New Roman"/>
                <w:color w:val="000000"/>
                <w:sz w:val="24"/>
                <w:szCs w:val="24"/>
                <w:lang w:eastAsia="ru-RU"/>
              </w:rPr>
              <w:t>3,54</w:t>
            </w:r>
          </w:p>
        </w:tc>
        <w:tc>
          <w:tcPr>
            <w:tcW w:w="969"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sz w:val="24"/>
                <w:szCs w:val="24"/>
                <w:lang w:eastAsia="ru-RU"/>
              </w:rPr>
            </w:pPr>
            <w:r w:rsidRPr="003114E3">
              <w:rPr>
                <w:rFonts w:eastAsia="Times New Roman"/>
                <w:sz w:val="24"/>
                <w:szCs w:val="24"/>
                <w:lang w:eastAsia="ru-RU"/>
              </w:rPr>
              <w:t>4,43</w:t>
            </w:r>
          </w:p>
        </w:tc>
        <w:tc>
          <w:tcPr>
            <w:tcW w:w="968"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color w:val="000000"/>
                <w:sz w:val="24"/>
                <w:szCs w:val="24"/>
                <w:lang w:eastAsia="ru-RU"/>
              </w:rPr>
            </w:pPr>
            <w:r w:rsidRPr="003114E3">
              <w:rPr>
                <w:rFonts w:eastAsia="Times New Roman"/>
                <w:color w:val="000000"/>
                <w:sz w:val="24"/>
                <w:szCs w:val="24"/>
                <w:lang w:eastAsia="ru-RU"/>
              </w:rPr>
              <w:t>9,00</w:t>
            </w:r>
          </w:p>
        </w:tc>
        <w:tc>
          <w:tcPr>
            <w:tcW w:w="969"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sz w:val="24"/>
                <w:szCs w:val="24"/>
                <w:lang w:eastAsia="ru-RU"/>
              </w:rPr>
            </w:pPr>
            <w:r w:rsidRPr="003114E3">
              <w:rPr>
                <w:rFonts w:eastAsia="Times New Roman"/>
                <w:sz w:val="24"/>
                <w:szCs w:val="24"/>
                <w:lang w:eastAsia="ru-RU"/>
              </w:rPr>
              <w:t>9,0</w:t>
            </w:r>
          </w:p>
        </w:tc>
        <w:tc>
          <w:tcPr>
            <w:tcW w:w="968"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color w:val="000000"/>
                <w:sz w:val="24"/>
                <w:szCs w:val="24"/>
                <w:lang w:eastAsia="ru-RU"/>
              </w:rPr>
            </w:pPr>
            <w:r w:rsidRPr="003114E3">
              <w:rPr>
                <w:rFonts w:eastAsia="Times New Roman"/>
                <w:color w:val="000000"/>
                <w:sz w:val="24"/>
                <w:szCs w:val="24"/>
                <w:lang w:eastAsia="ru-RU"/>
              </w:rPr>
              <w:t>1,00</w:t>
            </w:r>
          </w:p>
        </w:tc>
        <w:tc>
          <w:tcPr>
            <w:tcW w:w="969"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sz w:val="24"/>
                <w:szCs w:val="24"/>
                <w:lang w:eastAsia="ru-RU"/>
              </w:rPr>
            </w:pPr>
            <w:r w:rsidRPr="003114E3">
              <w:rPr>
                <w:rFonts w:eastAsia="Times New Roman"/>
                <w:sz w:val="24"/>
                <w:szCs w:val="24"/>
                <w:lang w:eastAsia="ru-RU"/>
              </w:rPr>
              <w:t>1,00</w:t>
            </w:r>
          </w:p>
        </w:tc>
      </w:tr>
      <w:tr w:rsidR="003114E3" w:rsidRPr="003114E3" w:rsidTr="003114E3">
        <w:trPr>
          <w:trHeight w:val="293"/>
        </w:trPr>
        <w:tc>
          <w:tcPr>
            <w:tcW w:w="4536" w:type="dxa"/>
            <w:tcBorders>
              <w:top w:val="single" w:sz="4" w:space="0" w:color="auto"/>
              <w:left w:val="single" w:sz="4" w:space="0" w:color="auto"/>
              <w:bottom w:val="single" w:sz="4" w:space="0" w:color="auto"/>
              <w:right w:val="single" w:sz="4" w:space="0" w:color="auto"/>
            </w:tcBorders>
            <w:vAlign w:val="bottom"/>
          </w:tcPr>
          <w:p w:rsidR="003114E3" w:rsidRPr="003114E3" w:rsidRDefault="003114E3" w:rsidP="003114E3">
            <w:pPr>
              <w:keepNext/>
              <w:jc w:val="left"/>
              <w:rPr>
                <w:rFonts w:eastAsia="Times New Roman"/>
                <w:sz w:val="24"/>
                <w:szCs w:val="24"/>
                <w:lang w:eastAsia="ru-RU"/>
              </w:rPr>
            </w:pPr>
            <w:r w:rsidRPr="003114E3">
              <w:rPr>
                <w:rFonts w:eastAsia="Times New Roman"/>
                <w:sz w:val="24"/>
                <w:szCs w:val="24"/>
                <w:lang w:eastAsia="ru-RU"/>
              </w:rPr>
              <w:t>Частота мало вагових новонароджених</w:t>
            </w:r>
          </w:p>
        </w:tc>
        <w:tc>
          <w:tcPr>
            <w:tcW w:w="968"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color w:val="000000"/>
                <w:sz w:val="24"/>
                <w:szCs w:val="24"/>
                <w:lang w:eastAsia="ru-RU"/>
              </w:rPr>
            </w:pPr>
            <w:r w:rsidRPr="003114E3">
              <w:rPr>
                <w:rFonts w:eastAsia="Times New Roman"/>
                <w:color w:val="000000"/>
                <w:sz w:val="24"/>
                <w:szCs w:val="24"/>
                <w:lang w:eastAsia="ru-RU"/>
              </w:rPr>
              <w:t>5,57</w:t>
            </w:r>
          </w:p>
        </w:tc>
        <w:tc>
          <w:tcPr>
            <w:tcW w:w="969"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sz w:val="24"/>
                <w:szCs w:val="24"/>
                <w:lang w:eastAsia="ru-RU"/>
              </w:rPr>
            </w:pPr>
            <w:r w:rsidRPr="003114E3">
              <w:rPr>
                <w:rFonts w:eastAsia="Times New Roman"/>
                <w:sz w:val="24"/>
                <w:szCs w:val="24"/>
                <w:lang w:eastAsia="ru-RU"/>
              </w:rPr>
              <w:t>4,67</w:t>
            </w:r>
          </w:p>
        </w:tc>
        <w:tc>
          <w:tcPr>
            <w:tcW w:w="968"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color w:val="000000"/>
                <w:sz w:val="24"/>
                <w:szCs w:val="24"/>
                <w:lang w:eastAsia="ru-RU"/>
              </w:rPr>
            </w:pPr>
            <w:r w:rsidRPr="003114E3">
              <w:rPr>
                <w:rFonts w:eastAsia="Times New Roman"/>
                <w:color w:val="000000"/>
                <w:sz w:val="24"/>
                <w:szCs w:val="24"/>
                <w:lang w:eastAsia="ru-RU"/>
              </w:rPr>
              <w:t>3,04</w:t>
            </w:r>
          </w:p>
        </w:tc>
        <w:tc>
          <w:tcPr>
            <w:tcW w:w="969"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sz w:val="24"/>
                <w:szCs w:val="24"/>
                <w:lang w:eastAsia="ru-RU"/>
              </w:rPr>
            </w:pPr>
            <w:r w:rsidRPr="003114E3">
              <w:rPr>
                <w:rFonts w:eastAsia="Times New Roman"/>
                <w:sz w:val="24"/>
                <w:szCs w:val="24"/>
                <w:lang w:eastAsia="ru-RU"/>
              </w:rPr>
              <w:t>4,33</w:t>
            </w:r>
          </w:p>
        </w:tc>
        <w:tc>
          <w:tcPr>
            <w:tcW w:w="968"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color w:val="000000"/>
                <w:sz w:val="24"/>
                <w:szCs w:val="24"/>
                <w:lang w:eastAsia="ru-RU"/>
              </w:rPr>
            </w:pPr>
            <w:r w:rsidRPr="003114E3">
              <w:rPr>
                <w:rFonts w:eastAsia="Times New Roman"/>
                <w:color w:val="000000"/>
                <w:sz w:val="24"/>
                <w:szCs w:val="24"/>
                <w:lang w:eastAsia="ru-RU"/>
              </w:rPr>
              <w:t>0,61</w:t>
            </w:r>
          </w:p>
        </w:tc>
        <w:tc>
          <w:tcPr>
            <w:tcW w:w="969"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sz w:val="24"/>
                <w:szCs w:val="24"/>
                <w:lang w:eastAsia="ru-RU"/>
              </w:rPr>
            </w:pPr>
            <w:r w:rsidRPr="003114E3">
              <w:rPr>
                <w:rFonts w:eastAsia="Times New Roman"/>
                <w:sz w:val="24"/>
                <w:szCs w:val="24"/>
                <w:lang w:eastAsia="ru-RU"/>
              </w:rPr>
              <w:t>0,87</w:t>
            </w:r>
          </w:p>
        </w:tc>
      </w:tr>
      <w:tr w:rsidR="003114E3" w:rsidRPr="003114E3" w:rsidTr="003114E3">
        <w:trPr>
          <w:trHeight w:val="344"/>
        </w:trPr>
        <w:tc>
          <w:tcPr>
            <w:tcW w:w="4536" w:type="dxa"/>
            <w:tcBorders>
              <w:top w:val="single" w:sz="4" w:space="0" w:color="auto"/>
              <w:left w:val="single" w:sz="4" w:space="0" w:color="auto"/>
              <w:bottom w:val="single" w:sz="4" w:space="0" w:color="auto"/>
              <w:right w:val="single" w:sz="4" w:space="0" w:color="auto"/>
            </w:tcBorders>
            <w:vAlign w:val="bottom"/>
          </w:tcPr>
          <w:p w:rsidR="003114E3" w:rsidRPr="003114E3" w:rsidRDefault="003114E3" w:rsidP="003114E3">
            <w:pPr>
              <w:keepNext/>
              <w:jc w:val="left"/>
              <w:rPr>
                <w:rFonts w:eastAsia="Times New Roman"/>
                <w:sz w:val="24"/>
                <w:szCs w:val="24"/>
                <w:lang w:eastAsia="ru-RU"/>
              </w:rPr>
            </w:pPr>
            <w:r w:rsidRPr="003114E3">
              <w:rPr>
                <w:rFonts w:eastAsia="Times New Roman"/>
                <w:sz w:val="24"/>
                <w:szCs w:val="24"/>
                <w:lang w:eastAsia="ru-RU"/>
              </w:rPr>
              <w:t>Виживання новонароджених з дуже малою масою тіла при народженні</w:t>
            </w:r>
          </w:p>
        </w:tc>
        <w:tc>
          <w:tcPr>
            <w:tcW w:w="968"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color w:val="000000"/>
                <w:sz w:val="24"/>
                <w:szCs w:val="24"/>
                <w:lang w:eastAsia="ru-RU"/>
              </w:rPr>
            </w:pPr>
            <w:r w:rsidRPr="003114E3">
              <w:rPr>
                <w:rFonts w:eastAsia="Times New Roman"/>
                <w:color w:val="000000"/>
                <w:sz w:val="24"/>
                <w:szCs w:val="24"/>
                <w:lang w:eastAsia="ru-RU"/>
              </w:rPr>
              <w:t>82,19</w:t>
            </w:r>
          </w:p>
        </w:tc>
        <w:tc>
          <w:tcPr>
            <w:tcW w:w="969"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sz w:val="24"/>
                <w:szCs w:val="24"/>
                <w:lang w:eastAsia="ru-RU"/>
              </w:rPr>
            </w:pPr>
            <w:r w:rsidRPr="003114E3">
              <w:rPr>
                <w:rFonts w:eastAsia="Times New Roman"/>
                <w:sz w:val="24"/>
                <w:szCs w:val="24"/>
                <w:lang w:eastAsia="ru-RU"/>
              </w:rPr>
              <w:t>73,91</w:t>
            </w:r>
          </w:p>
        </w:tc>
        <w:tc>
          <w:tcPr>
            <w:tcW w:w="968"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color w:val="000000"/>
                <w:sz w:val="24"/>
                <w:szCs w:val="24"/>
                <w:lang w:eastAsia="ru-RU"/>
              </w:rPr>
            </w:pPr>
            <w:r w:rsidRPr="003114E3">
              <w:rPr>
                <w:rFonts w:eastAsia="Times New Roman"/>
                <w:color w:val="000000"/>
                <w:sz w:val="24"/>
                <w:szCs w:val="24"/>
                <w:lang w:eastAsia="ru-RU"/>
              </w:rPr>
              <w:t>7,31</w:t>
            </w:r>
          </w:p>
        </w:tc>
        <w:tc>
          <w:tcPr>
            <w:tcW w:w="969"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sz w:val="24"/>
                <w:szCs w:val="24"/>
                <w:lang w:eastAsia="ru-RU"/>
              </w:rPr>
            </w:pPr>
            <w:r w:rsidRPr="003114E3">
              <w:rPr>
                <w:rFonts w:eastAsia="Times New Roman"/>
                <w:sz w:val="24"/>
                <w:szCs w:val="24"/>
                <w:lang w:eastAsia="ru-RU"/>
              </w:rPr>
              <w:t>7,00</w:t>
            </w:r>
          </w:p>
        </w:tc>
        <w:tc>
          <w:tcPr>
            <w:tcW w:w="968"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color w:val="000000"/>
                <w:sz w:val="24"/>
                <w:szCs w:val="24"/>
                <w:lang w:eastAsia="ru-RU"/>
              </w:rPr>
            </w:pPr>
            <w:r w:rsidRPr="003114E3">
              <w:rPr>
                <w:rFonts w:eastAsia="Times New Roman"/>
                <w:color w:val="000000"/>
                <w:sz w:val="24"/>
                <w:szCs w:val="24"/>
                <w:lang w:eastAsia="ru-RU"/>
              </w:rPr>
              <w:t>0,91</w:t>
            </w:r>
          </w:p>
        </w:tc>
        <w:tc>
          <w:tcPr>
            <w:tcW w:w="969"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sz w:val="24"/>
                <w:szCs w:val="24"/>
                <w:lang w:eastAsia="ru-RU"/>
              </w:rPr>
            </w:pPr>
            <w:r w:rsidRPr="003114E3">
              <w:rPr>
                <w:rFonts w:eastAsia="Times New Roman"/>
                <w:sz w:val="24"/>
                <w:szCs w:val="24"/>
                <w:lang w:eastAsia="ru-RU"/>
              </w:rPr>
              <w:t>0,88</w:t>
            </w:r>
          </w:p>
        </w:tc>
      </w:tr>
      <w:tr w:rsidR="003114E3" w:rsidRPr="003114E3" w:rsidTr="003114E3">
        <w:trPr>
          <w:trHeight w:val="226"/>
        </w:trPr>
        <w:tc>
          <w:tcPr>
            <w:tcW w:w="4536" w:type="dxa"/>
            <w:tcBorders>
              <w:top w:val="single" w:sz="4" w:space="0" w:color="auto"/>
              <w:left w:val="single" w:sz="4" w:space="0" w:color="auto"/>
              <w:bottom w:val="single" w:sz="4" w:space="0" w:color="auto"/>
              <w:right w:val="single" w:sz="4" w:space="0" w:color="auto"/>
            </w:tcBorders>
            <w:vAlign w:val="bottom"/>
          </w:tcPr>
          <w:p w:rsidR="003114E3" w:rsidRPr="003114E3" w:rsidRDefault="003114E3" w:rsidP="003114E3">
            <w:pPr>
              <w:keepNext/>
              <w:jc w:val="left"/>
              <w:rPr>
                <w:rFonts w:eastAsia="Times New Roman"/>
                <w:sz w:val="24"/>
                <w:szCs w:val="24"/>
                <w:lang w:eastAsia="ru-RU"/>
              </w:rPr>
            </w:pPr>
            <w:r w:rsidRPr="003114E3">
              <w:rPr>
                <w:rFonts w:eastAsia="Times New Roman"/>
                <w:sz w:val="24"/>
                <w:szCs w:val="24"/>
                <w:lang w:eastAsia="ru-RU"/>
              </w:rPr>
              <w:t>Індекс здоров’я новонароджених</w:t>
            </w:r>
          </w:p>
        </w:tc>
        <w:tc>
          <w:tcPr>
            <w:tcW w:w="968"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color w:val="000000"/>
                <w:sz w:val="24"/>
                <w:szCs w:val="24"/>
                <w:lang w:eastAsia="ru-RU"/>
              </w:rPr>
            </w:pPr>
            <w:r w:rsidRPr="003114E3">
              <w:rPr>
                <w:rFonts w:eastAsia="Times New Roman"/>
                <w:color w:val="000000"/>
                <w:sz w:val="24"/>
                <w:szCs w:val="24"/>
                <w:lang w:eastAsia="ru-RU"/>
              </w:rPr>
              <w:t>86,8</w:t>
            </w:r>
          </w:p>
        </w:tc>
        <w:tc>
          <w:tcPr>
            <w:tcW w:w="969"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sz w:val="24"/>
                <w:szCs w:val="24"/>
                <w:lang w:eastAsia="ru-RU"/>
              </w:rPr>
            </w:pPr>
            <w:r w:rsidRPr="003114E3">
              <w:rPr>
                <w:rFonts w:eastAsia="Times New Roman"/>
                <w:sz w:val="24"/>
                <w:szCs w:val="24"/>
                <w:lang w:eastAsia="ru-RU"/>
              </w:rPr>
              <w:t>86,26</w:t>
            </w:r>
          </w:p>
        </w:tc>
        <w:tc>
          <w:tcPr>
            <w:tcW w:w="968"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color w:val="000000"/>
                <w:sz w:val="24"/>
                <w:szCs w:val="24"/>
                <w:lang w:eastAsia="ru-RU"/>
              </w:rPr>
            </w:pPr>
            <w:r w:rsidRPr="003114E3">
              <w:rPr>
                <w:rFonts w:eastAsia="Times New Roman"/>
                <w:color w:val="000000"/>
                <w:sz w:val="24"/>
                <w:szCs w:val="24"/>
                <w:lang w:eastAsia="ru-RU"/>
              </w:rPr>
              <w:t>5,79</w:t>
            </w:r>
          </w:p>
        </w:tc>
        <w:tc>
          <w:tcPr>
            <w:tcW w:w="969"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sz w:val="24"/>
                <w:szCs w:val="24"/>
                <w:lang w:eastAsia="ru-RU"/>
              </w:rPr>
            </w:pPr>
            <w:r w:rsidRPr="003114E3">
              <w:rPr>
                <w:rFonts w:eastAsia="Times New Roman"/>
                <w:sz w:val="24"/>
                <w:szCs w:val="24"/>
                <w:lang w:eastAsia="ru-RU"/>
              </w:rPr>
              <w:t>6,0</w:t>
            </w:r>
          </w:p>
        </w:tc>
        <w:tc>
          <w:tcPr>
            <w:tcW w:w="968"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color w:val="000000"/>
                <w:sz w:val="24"/>
                <w:szCs w:val="24"/>
                <w:lang w:eastAsia="ru-RU"/>
              </w:rPr>
            </w:pPr>
            <w:r w:rsidRPr="003114E3">
              <w:rPr>
                <w:rFonts w:eastAsia="Times New Roman"/>
                <w:color w:val="000000"/>
                <w:sz w:val="24"/>
                <w:szCs w:val="24"/>
                <w:lang w:eastAsia="ru-RU"/>
              </w:rPr>
              <w:t>0,96</w:t>
            </w:r>
          </w:p>
        </w:tc>
        <w:tc>
          <w:tcPr>
            <w:tcW w:w="969"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sz w:val="24"/>
                <w:szCs w:val="24"/>
                <w:lang w:eastAsia="ru-RU"/>
              </w:rPr>
            </w:pPr>
            <w:r w:rsidRPr="003114E3">
              <w:rPr>
                <w:rFonts w:eastAsia="Times New Roman"/>
                <w:sz w:val="24"/>
                <w:szCs w:val="24"/>
                <w:lang w:eastAsia="ru-RU"/>
              </w:rPr>
              <w:t>1,00</w:t>
            </w:r>
          </w:p>
        </w:tc>
      </w:tr>
      <w:tr w:rsidR="003114E3" w:rsidRPr="003114E3" w:rsidTr="003114E3">
        <w:trPr>
          <w:trHeight w:val="244"/>
        </w:trPr>
        <w:tc>
          <w:tcPr>
            <w:tcW w:w="4536" w:type="dxa"/>
            <w:tcBorders>
              <w:top w:val="single" w:sz="4" w:space="0" w:color="auto"/>
              <w:left w:val="single" w:sz="4" w:space="0" w:color="auto"/>
              <w:bottom w:val="single" w:sz="4" w:space="0" w:color="auto"/>
              <w:right w:val="single" w:sz="4" w:space="0" w:color="auto"/>
            </w:tcBorders>
            <w:vAlign w:val="bottom"/>
          </w:tcPr>
          <w:p w:rsidR="003114E3" w:rsidRPr="003114E3" w:rsidRDefault="003114E3" w:rsidP="003114E3">
            <w:pPr>
              <w:keepNext/>
              <w:jc w:val="left"/>
              <w:rPr>
                <w:rFonts w:eastAsia="Times New Roman"/>
                <w:sz w:val="24"/>
                <w:szCs w:val="24"/>
                <w:lang w:eastAsia="ru-RU"/>
              </w:rPr>
            </w:pPr>
            <w:r w:rsidRPr="003114E3">
              <w:rPr>
                <w:rFonts w:eastAsia="Times New Roman"/>
                <w:sz w:val="24"/>
                <w:szCs w:val="24"/>
                <w:lang w:eastAsia="ru-RU"/>
              </w:rPr>
              <w:t xml:space="preserve">Рівень перинатальної смертності </w:t>
            </w:r>
          </w:p>
        </w:tc>
        <w:tc>
          <w:tcPr>
            <w:tcW w:w="968"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color w:val="000000"/>
                <w:sz w:val="24"/>
                <w:szCs w:val="24"/>
                <w:lang w:eastAsia="ru-RU"/>
              </w:rPr>
            </w:pPr>
            <w:r w:rsidRPr="003114E3">
              <w:rPr>
                <w:rFonts w:eastAsia="Times New Roman"/>
                <w:color w:val="000000"/>
                <w:sz w:val="24"/>
                <w:szCs w:val="24"/>
                <w:lang w:eastAsia="ru-RU"/>
              </w:rPr>
              <w:t>9,07</w:t>
            </w:r>
          </w:p>
        </w:tc>
        <w:tc>
          <w:tcPr>
            <w:tcW w:w="969"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sz w:val="24"/>
                <w:szCs w:val="24"/>
                <w:lang w:eastAsia="ru-RU"/>
              </w:rPr>
            </w:pPr>
            <w:r w:rsidRPr="003114E3">
              <w:rPr>
                <w:rFonts w:eastAsia="Times New Roman"/>
                <w:sz w:val="24"/>
                <w:szCs w:val="24"/>
                <w:lang w:eastAsia="ru-RU"/>
              </w:rPr>
              <w:t>7,38</w:t>
            </w:r>
          </w:p>
        </w:tc>
        <w:tc>
          <w:tcPr>
            <w:tcW w:w="968"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color w:val="000000"/>
                <w:sz w:val="24"/>
                <w:szCs w:val="24"/>
                <w:lang w:eastAsia="ru-RU"/>
              </w:rPr>
            </w:pPr>
            <w:r w:rsidRPr="003114E3">
              <w:rPr>
                <w:rFonts w:eastAsia="Times New Roman"/>
                <w:color w:val="000000"/>
                <w:sz w:val="24"/>
                <w:szCs w:val="24"/>
                <w:lang w:eastAsia="ru-RU"/>
              </w:rPr>
              <w:t>5,20</w:t>
            </w:r>
          </w:p>
        </w:tc>
        <w:tc>
          <w:tcPr>
            <w:tcW w:w="969"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sz w:val="24"/>
                <w:szCs w:val="24"/>
                <w:lang w:eastAsia="ru-RU"/>
              </w:rPr>
            </w:pPr>
            <w:r w:rsidRPr="003114E3">
              <w:rPr>
                <w:rFonts w:eastAsia="Times New Roman"/>
                <w:sz w:val="24"/>
                <w:szCs w:val="24"/>
                <w:lang w:eastAsia="ru-RU"/>
              </w:rPr>
              <w:t>6,0</w:t>
            </w:r>
          </w:p>
        </w:tc>
        <w:tc>
          <w:tcPr>
            <w:tcW w:w="968"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color w:val="000000"/>
                <w:sz w:val="24"/>
                <w:szCs w:val="24"/>
                <w:lang w:eastAsia="ru-RU"/>
              </w:rPr>
            </w:pPr>
            <w:r w:rsidRPr="003114E3">
              <w:rPr>
                <w:rFonts w:eastAsia="Times New Roman"/>
                <w:color w:val="000000"/>
                <w:sz w:val="24"/>
                <w:szCs w:val="24"/>
                <w:lang w:eastAsia="ru-RU"/>
              </w:rPr>
              <w:t>0,87</w:t>
            </w:r>
          </w:p>
        </w:tc>
        <w:tc>
          <w:tcPr>
            <w:tcW w:w="969"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sz w:val="24"/>
                <w:szCs w:val="24"/>
                <w:lang w:eastAsia="ru-RU"/>
              </w:rPr>
            </w:pPr>
            <w:r w:rsidRPr="003114E3">
              <w:rPr>
                <w:rFonts w:eastAsia="Times New Roman"/>
                <w:sz w:val="24"/>
                <w:szCs w:val="24"/>
                <w:lang w:eastAsia="ru-RU"/>
              </w:rPr>
              <w:t>1,00</w:t>
            </w:r>
          </w:p>
        </w:tc>
      </w:tr>
      <w:tr w:rsidR="003114E3" w:rsidRPr="003114E3" w:rsidTr="003114E3">
        <w:trPr>
          <w:trHeight w:val="450"/>
        </w:trPr>
        <w:tc>
          <w:tcPr>
            <w:tcW w:w="4536"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rPr>
                <w:rFonts w:eastAsia="Times New Roman"/>
                <w:sz w:val="24"/>
                <w:szCs w:val="24"/>
                <w:lang w:eastAsia="ru-RU"/>
              </w:rPr>
            </w:pPr>
            <w:r w:rsidRPr="003114E3">
              <w:rPr>
                <w:rFonts w:eastAsia="Times New Roman"/>
                <w:sz w:val="24"/>
                <w:szCs w:val="24"/>
                <w:lang w:eastAsia="ru-RU"/>
              </w:rPr>
              <w:t>Співвідношення реального і фактичного показника ранньої неонатальної смертності</w:t>
            </w:r>
          </w:p>
        </w:tc>
        <w:tc>
          <w:tcPr>
            <w:tcW w:w="968"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sz w:val="24"/>
                <w:szCs w:val="24"/>
                <w:lang w:eastAsia="ru-RU"/>
              </w:rPr>
            </w:pPr>
            <w:r w:rsidRPr="003114E3">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sz w:val="24"/>
                <w:szCs w:val="24"/>
                <w:lang w:eastAsia="ru-RU"/>
              </w:rPr>
            </w:pPr>
            <w:r w:rsidRPr="003114E3">
              <w:rPr>
                <w:rFonts w:eastAsia="Times New Roman"/>
                <w:sz w:val="24"/>
                <w:szCs w:val="24"/>
                <w:lang w:eastAsia="ru-RU"/>
              </w:rPr>
              <w:t>2,01</w:t>
            </w:r>
          </w:p>
        </w:tc>
        <w:tc>
          <w:tcPr>
            <w:tcW w:w="968"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sz w:val="24"/>
                <w:szCs w:val="24"/>
                <w:lang w:eastAsia="ru-RU"/>
              </w:rPr>
            </w:pPr>
            <w:r w:rsidRPr="003114E3">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sz w:val="24"/>
                <w:szCs w:val="24"/>
                <w:lang w:eastAsia="ru-RU"/>
              </w:rPr>
            </w:pPr>
            <w:r w:rsidRPr="003114E3">
              <w:rPr>
                <w:rFonts w:eastAsia="Times New Roman"/>
                <w:sz w:val="24"/>
                <w:szCs w:val="24"/>
                <w:lang w:eastAsia="ru-RU"/>
              </w:rPr>
              <w:t>3,96</w:t>
            </w:r>
          </w:p>
        </w:tc>
        <w:tc>
          <w:tcPr>
            <w:tcW w:w="968"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sz w:val="24"/>
                <w:szCs w:val="24"/>
                <w:lang w:eastAsia="ru-RU"/>
              </w:rPr>
            </w:pPr>
            <w:r w:rsidRPr="003114E3">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sz w:val="24"/>
                <w:szCs w:val="24"/>
                <w:lang w:eastAsia="ru-RU"/>
              </w:rPr>
            </w:pPr>
            <w:r w:rsidRPr="003114E3">
              <w:rPr>
                <w:rFonts w:eastAsia="Times New Roman"/>
                <w:sz w:val="24"/>
                <w:szCs w:val="24"/>
                <w:lang w:eastAsia="ru-RU"/>
              </w:rPr>
              <w:t>0,66</w:t>
            </w:r>
          </w:p>
        </w:tc>
      </w:tr>
      <w:tr w:rsidR="003114E3" w:rsidRPr="003114E3" w:rsidTr="003114E3">
        <w:trPr>
          <w:trHeight w:val="216"/>
        </w:trPr>
        <w:tc>
          <w:tcPr>
            <w:tcW w:w="4536"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rPr>
                <w:rFonts w:eastAsia="Times New Roman"/>
                <w:sz w:val="24"/>
                <w:szCs w:val="24"/>
                <w:lang w:eastAsia="ru-RU"/>
              </w:rPr>
            </w:pPr>
            <w:r w:rsidRPr="003114E3">
              <w:rPr>
                <w:rFonts w:eastAsia="Times New Roman"/>
                <w:sz w:val="24"/>
                <w:szCs w:val="24"/>
                <w:lang w:eastAsia="ru-RU"/>
              </w:rPr>
              <w:t>Рівень неонатальної смертності</w:t>
            </w:r>
          </w:p>
        </w:tc>
        <w:tc>
          <w:tcPr>
            <w:tcW w:w="968"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sz w:val="24"/>
                <w:szCs w:val="24"/>
                <w:lang w:eastAsia="ru-RU"/>
              </w:rPr>
            </w:pPr>
            <w:r w:rsidRPr="003114E3">
              <w:rPr>
                <w:rFonts w:eastAsia="Times New Roman"/>
                <w:sz w:val="24"/>
                <w:szCs w:val="24"/>
                <w:lang w:eastAsia="ru-RU"/>
              </w:rPr>
              <w:t>7,21</w:t>
            </w:r>
          </w:p>
        </w:tc>
        <w:tc>
          <w:tcPr>
            <w:tcW w:w="969"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sz w:val="24"/>
                <w:szCs w:val="24"/>
                <w:lang w:eastAsia="ru-RU"/>
              </w:rPr>
            </w:pPr>
            <w:r w:rsidRPr="003114E3">
              <w:rPr>
                <w:rFonts w:eastAsia="Times New Roman"/>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sz w:val="24"/>
                <w:szCs w:val="24"/>
                <w:lang w:eastAsia="ru-RU"/>
              </w:rPr>
            </w:pPr>
            <w:r w:rsidRPr="003114E3">
              <w:rPr>
                <w:rFonts w:eastAsia="Times New Roman"/>
                <w:sz w:val="24"/>
                <w:szCs w:val="24"/>
                <w:lang w:eastAsia="ru-RU"/>
              </w:rPr>
              <w:t>1,19</w:t>
            </w:r>
          </w:p>
        </w:tc>
        <w:tc>
          <w:tcPr>
            <w:tcW w:w="969"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sz w:val="24"/>
                <w:szCs w:val="24"/>
                <w:lang w:eastAsia="ru-RU"/>
              </w:rPr>
            </w:pPr>
            <w:r w:rsidRPr="003114E3">
              <w:rPr>
                <w:rFonts w:eastAsia="Times New Roman"/>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sz w:val="24"/>
                <w:szCs w:val="24"/>
                <w:lang w:eastAsia="ru-RU"/>
              </w:rPr>
            </w:pPr>
            <w:r w:rsidRPr="003114E3">
              <w:rPr>
                <w:rFonts w:eastAsia="Times New Roman"/>
                <w:sz w:val="24"/>
                <w:szCs w:val="24"/>
                <w:lang w:eastAsia="ru-RU"/>
              </w:rPr>
              <w:t>0,20</w:t>
            </w:r>
          </w:p>
        </w:tc>
        <w:tc>
          <w:tcPr>
            <w:tcW w:w="969"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sz w:val="24"/>
                <w:szCs w:val="24"/>
                <w:lang w:eastAsia="ru-RU"/>
              </w:rPr>
            </w:pPr>
            <w:r w:rsidRPr="003114E3">
              <w:rPr>
                <w:rFonts w:eastAsia="Times New Roman"/>
                <w:sz w:val="24"/>
                <w:szCs w:val="24"/>
                <w:lang w:eastAsia="ru-RU"/>
              </w:rPr>
              <w:t>**</w:t>
            </w:r>
          </w:p>
        </w:tc>
      </w:tr>
      <w:tr w:rsidR="003114E3" w:rsidRPr="003114E3" w:rsidTr="003114E3">
        <w:trPr>
          <w:trHeight w:val="238"/>
        </w:trPr>
        <w:tc>
          <w:tcPr>
            <w:tcW w:w="4536"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left"/>
              <w:rPr>
                <w:rFonts w:eastAsia="Times New Roman"/>
                <w:sz w:val="24"/>
                <w:szCs w:val="24"/>
                <w:lang w:eastAsia="ru-RU"/>
              </w:rPr>
            </w:pPr>
            <w:r w:rsidRPr="003114E3">
              <w:rPr>
                <w:rFonts w:eastAsia="Times New Roman"/>
                <w:sz w:val="24"/>
                <w:szCs w:val="24"/>
                <w:lang w:eastAsia="ru-RU"/>
              </w:rPr>
              <w:t xml:space="preserve">Рівень ранньої неонатальної смертності </w:t>
            </w:r>
          </w:p>
        </w:tc>
        <w:tc>
          <w:tcPr>
            <w:tcW w:w="968"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sz w:val="24"/>
                <w:szCs w:val="24"/>
                <w:lang w:eastAsia="ru-RU"/>
              </w:rPr>
            </w:pPr>
            <w:r w:rsidRPr="003114E3">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sz w:val="24"/>
                <w:szCs w:val="24"/>
                <w:lang w:eastAsia="ru-RU"/>
              </w:rPr>
            </w:pPr>
            <w:r w:rsidRPr="003114E3">
              <w:rPr>
                <w:rFonts w:eastAsia="Times New Roman"/>
                <w:sz w:val="24"/>
                <w:szCs w:val="24"/>
                <w:lang w:eastAsia="ru-RU"/>
              </w:rPr>
              <w:t>3,69</w:t>
            </w:r>
          </w:p>
        </w:tc>
        <w:tc>
          <w:tcPr>
            <w:tcW w:w="968"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sz w:val="24"/>
                <w:szCs w:val="24"/>
                <w:lang w:eastAsia="ru-RU"/>
              </w:rPr>
            </w:pPr>
            <w:r w:rsidRPr="003114E3">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sz w:val="24"/>
                <w:szCs w:val="24"/>
                <w:lang w:eastAsia="ru-RU"/>
              </w:rPr>
            </w:pPr>
            <w:r w:rsidRPr="003114E3">
              <w:rPr>
                <w:rFonts w:eastAsia="Times New Roman"/>
                <w:sz w:val="24"/>
                <w:szCs w:val="24"/>
                <w:lang w:eastAsia="ru-RU"/>
              </w:rPr>
              <w:t>4,37</w:t>
            </w:r>
          </w:p>
        </w:tc>
        <w:tc>
          <w:tcPr>
            <w:tcW w:w="968"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sz w:val="24"/>
                <w:szCs w:val="24"/>
                <w:lang w:eastAsia="ru-RU"/>
              </w:rPr>
            </w:pPr>
            <w:r w:rsidRPr="003114E3">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sz w:val="24"/>
                <w:szCs w:val="24"/>
                <w:lang w:eastAsia="ru-RU"/>
              </w:rPr>
            </w:pPr>
            <w:r w:rsidRPr="003114E3">
              <w:rPr>
                <w:rFonts w:eastAsia="Times New Roman"/>
                <w:sz w:val="24"/>
                <w:szCs w:val="24"/>
                <w:lang w:eastAsia="ru-RU"/>
              </w:rPr>
              <w:t>0,73</w:t>
            </w:r>
          </w:p>
        </w:tc>
      </w:tr>
      <w:tr w:rsidR="003114E3" w:rsidRPr="003114E3" w:rsidTr="003114E3">
        <w:trPr>
          <w:trHeight w:val="270"/>
        </w:trPr>
        <w:tc>
          <w:tcPr>
            <w:tcW w:w="4536" w:type="dxa"/>
            <w:tcBorders>
              <w:top w:val="single" w:sz="4" w:space="0" w:color="auto"/>
              <w:left w:val="single" w:sz="4" w:space="0" w:color="auto"/>
              <w:bottom w:val="single" w:sz="4" w:space="0" w:color="auto"/>
              <w:right w:val="single" w:sz="4" w:space="0" w:color="auto"/>
            </w:tcBorders>
            <w:vAlign w:val="bottom"/>
          </w:tcPr>
          <w:p w:rsidR="003114E3" w:rsidRPr="003114E3" w:rsidRDefault="003114E3" w:rsidP="003114E3">
            <w:pPr>
              <w:keepNext/>
              <w:jc w:val="left"/>
              <w:rPr>
                <w:rFonts w:eastAsia="Times New Roman"/>
                <w:sz w:val="24"/>
                <w:szCs w:val="24"/>
                <w:lang w:eastAsia="ru-RU"/>
              </w:rPr>
            </w:pPr>
            <w:r w:rsidRPr="003114E3">
              <w:rPr>
                <w:rFonts w:eastAsia="Times New Roman"/>
                <w:sz w:val="24"/>
                <w:szCs w:val="24"/>
                <w:lang w:eastAsia="ru-RU"/>
              </w:rPr>
              <w:t xml:space="preserve">Рівень материнської смертності </w:t>
            </w:r>
          </w:p>
        </w:tc>
        <w:tc>
          <w:tcPr>
            <w:tcW w:w="968"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sz w:val="24"/>
                <w:szCs w:val="24"/>
                <w:lang w:eastAsia="ru-RU"/>
              </w:rPr>
            </w:pPr>
            <w:r w:rsidRPr="003114E3">
              <w:rPr>
                <w:rFonts w:eastAsia="Times New Roman"/>
                <w:sz w:val="24"/>
                <w:szCs w:val="24"/>
                <w:lang w:eastAsia="ru-RU"/>
              </w:rPr>
              <w:t>0</w:t>
            </w:r>
          </w:p>
        </w:tc>
        <w:tc>
          <w:tcPr>
            <w:tcW w:w="969"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sz w:val="24"/>
                <w:szCs w:val="24"/>
                <w:lang w:eastAsia="ru-RU"/>
              </w:rPr>
            </w:pPr>
            <w:r w:rsidRPr="003114E3">
              <w:rPr>
                <w:rFonts w:eastAsia="Times New Roman"/>
                <w:sz w:val="24"/>
                <w:szCs w:val="24"/>
                <w:lang w:eastAsia="ru-RU"/>
              </w:rPr>
              <w:t>0,0</w:t>
            </w:r>
          </w:p>
        </w:tc>
        <w:tc>
          <w:tcPr>
            <w:tcW w:w="968"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sz w:val="24"/>
                <w:szCs w:val="24"/>
                <w:lang w:eastAsia="ru-RU"/>
              </w:rPr>
            </w:pPr>
            <w:r w:rsidRPr="003114E3">
              <w:rPr>
                <w:rFonts w:eastAsia="Times New Roman"/>
                <w:sz w:val="24"/>
                <w:szCs w:val="24"/>
                <w:lang w:eastAsia="ru-RU"/>
              </w:rPr>
              <w:t>5,0</w:t>
            </w:r>
          </w:p>
        </w:tc>
        <w:tc>
          <w:tcPr>
            <w:tcW w:w="969"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sz w:val="24"/>
                <w:szCs w:val="24"/>
                <w:lang w:eastAsia="ru-RU"/>
              </w:rPr>
            </w:pPr>
            <w:r w:rsidRPr="003114E3">
              <w:rPr>
                <w:rFonts w:eastAsia="Times New Roman"/>
                <w:sz w:val="24"/>
                <w:szCs w:val="24"/>
                <w:lang w:eastAsia="ru-RU"/>
              </w:rPr>
              <w:t>5,0</w:t>
            </w:r>
          </w:p>
        </w:tc>
        <w:tc>
          <w:tcPr>
            <w:tcW w:w="968"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sz w:val="24"/>
                <w:szCs w:val="24"/>
                <w:lang w:eastAsia="ru-RU"/>
              </w:rPr>
            </w:pPr>
            <w:r w:rsidRPr="003114E3">
              <w:rPr>
                <w:rFonts w:eastAsia="Times New Roman"/>
                <w:sz w:val="24"/>
                <w:szCs w:val="24"/>
                <w:lang w:eastAsia="ru-RU"/>
              </w:rPr>
              <w:t>1,00</w:t>
            </w:r>
          </w:p>
        </w:tc>
        <w:tc>
          <w:tcPr>
            <w:tcW w:w="969"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sz w:val="24"/>
                <w:szCs w:val="24"/>
                <w:lang w:eastAsia="ru-RU"/>
              </w:rPr>
            </w:pPr>
            <w:r w:rsidRPr="003114E3">
              <w:rPr>
                <w:rFonts w:eastAsia="Times New Roman"/>
                <w:sz w:val="24"/>
                <w:szCs w:val="24"/>
                <w:lang w:eastAsia="ru-RU"/>
              </w:rPr>
              <w:t>1,00</w:t>
            </w:r>
          </w:p>
        </w:tc>
      </w:tr>
      <w:tr w:rsidR="003114E3" w:rsidRPr="003114E3" w:rsidTr="003114E3">
        <w:trPr>
          <w:trHeight w:val="300"/>
        </w:trPr>
        <w:tc>
          <w:tcPr>
            <w:tcW w:w="4536" w:type="dxa"/>
            <w:tcBorders>
              <w:top w:val="single" w:sz="4" w:space="0" w:color="auto"/>
              <w:left w:val="single" w:sz="4" w:space="0" w:color="auto"/>
              <w:bottom w:val="single" w:sz="4" w:space="0" w:color="auto"/>
              <w:right w:val="single" w:sz="4" w:space="0" w:color="auto"/>
            </w:tcBorders>
            <w:noWrap/>
            <w:vAlign w:val="bottom"/>
            <w:hideMark/>
          </w:tcPr>
          <w:p w:rsidR="003114E3" w:rsidRPr="003114E3" w:rsidRDefault="003114E3" w:rsidP="003114E3">
            <w:pPr>
              <w:keepNext/>
              <w:jc w:val="left"/>
              <w:rPr>
                <w:rFonts w:eastAsia="Times New Roman"/>
                <w:sz w:val="24"/>
                <w:szCs w:val="24"/>
                <w:lang w:eastAsia="ru-RU"/>
              </w:rPr>
            </w:pPr>
          </w:p>
        </w:tc>
        <w:tc>
          <w:tcPr>
            <w:tcW w:w="968" w:type="dxa"/>
            <w:tcBorders>
              <w:top w:val="single" w:sz="4" w:space="0" w:color="auto"/>
              <w:left w:val="single" w:sz="4" w:space="0" w:color="auto"/>
              <w:bottom w:val="single" w:sz="4" w:space="0" w:color="auto"/>
              <w:right w:val="single" w:sz="4" w:space="0" w:color="auto"/>
            </w:tcBorders>
            <w:noWrap/>
            <w:vAlign w:val="center"/>
          </w:tcPr>
          <w:p w:rsidR="003114E3" w:rsidRPr="003114E3" w:rsidRDefault="003114E3" w:rsidP="003114E3">
            <w:pPr>
              <w:keepNext/>
              <w:jc w:val="center"/>
              <w:rPr>
                <w:rFonts w:eastAsia="Times New Roman"/>
                <w:sz w:val="24"/>
                <w:szCs w:val="24"/>
                <w:lang w:eastAsia="ru-RU"/>
              </w:rPr>
            </w:pPr>
          </w:p>
        </w:tc>
        <w:tc>
          <w:tcPr>
            <w:tcW w:w="969"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color w:val="000000"/>
                <w:sz w:val="24"/>
                <w:szCs w:val="24"/>
                <w:lang w:eastAsia="ru-RU"/>
              </w:rPr>
            </w:pPr>
          </w:p>
        </w:tc>
        <w:tc>
          <w:tcPr>
            <w:tcW w:w="968" w:type="dxa"/>
            <w:tcBorders>
              <w:top w:val="single" w:sz="4" w:space="0" w:color="auto"/>
              <w:left w:val="single" w:sz="4" w:space="0" w:color="auto"/>
              <w:bottom w:val="single" w:sz="4" w:space="0" w:color="auto"/>
              <w:right w:val="single" w:sz="4" w:space="0" w:color="auto"/>
            </w:tcBorders>
            <w:noWrap/>
            <w:vAlign w:val="center"/>
          </w:tcPr>
          <w:p w:rsidR="003114E3" w:rsidRPr="003114E3" w:rsidRDefault="003114E3" w:rsidP="003114E3">
            <w:pPr>
              <w:keepNext/>
              <w:jc w:val="center"/>
              <w:rPr>
                <w:rFonts w:eastAsia="Times New Roman"/>
                <w:color w:val="000000"/>
                <w:sz w:val="24"/>
                <w:szCs w:val="24"/>
                <w:lang w:eastAsia="ru-RU"/>
              </w:rPr>
            </w:pPr>
            <w:r w:rsidRPr="003114E3">
              <w:rPr>
                <w:rFonts w:eastAsia="Times New Roman"/>
                <w:color w:val="000000"/>
                <w:sz w:val="24"/>
                <w:szCs w:val="24"/>
                <w:lang w:eastAsia="ru-RU"/>
              </w:rPr>
              <w:t>88,46</w:t>
            </w:r>
          </w:p>
        </w:tc>
        <w:tc>
          <w:tcPr>
            <w:tcW w:w="969"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color w:val="000000"/>
                <w:sz w:val="24"/>
                <w:szCs w:val="24"/>
                <w:lang w:eastAsia="ru-RU"/>
              </w:rPr>
            </w:pPr>
            <w:r w:rsidRPr="003114E3">
              <w:rPr>
                <w:rFonts w:eastAsia="Times New Roman"/>
                <w:color w:val="000000"/>
                <w:sz w:val="24"/>
                <w:szCs w:val="24"/>
                <w:lang w:eastAsia="ru-RU"/>
              </w:rPr>
              <w:t>104,1</w:t>
            </w:r>
          </w:p>
        </w:tc>
        <w:tc>
          <w:tcPr>
            <w:tcW w:w="968" w:type="dxa"/>
            <w:tcBorders>
              <w:top w:val="single" w:sz="4" w:space="0" w:color="auto"/>
              <w:left w:val="single" w:sz="4" w:space="0" w:color="auto"/>
              <w:bottom w:val="single" w:sz="4" w:space="0" w:color="auto"/>
              <w:right w:val="single" w:sz="4" w:space="0" w:color="auto"/>
            </w:tcBorders>
            <w:noWrap/>
            <w:vAlign w:val="center"/>
          </w:tcPr>
          <w:p w:rsidR="003114E3" w:rsidRPr="003114E3" w:rsidRDefault="003114E3" w:rsidP="003114E3">
            <w:pPr>
              <w:keepNext/>
              <w:jc w:val="center"/>
              <w:rPr>
                <w:rFonts w:eastAsia="Times New Roman"/>
                <w:color w:val="000000"/>
                <w:sz w:val="24"/>
                <w:szCs w:val="24"/>
                <w:lang w:eastAsia="ru-RU"/>
              </w:rPr>
            </w:pPr>
            <w:r w:rsidRPr="003114E3">
              <w:rPr>
                <w:rFonts w:eastAsia="Times New Roman"/>
                <w:color w:val="000000"/>
                <w:sz w:val="24"/>
                <w:szCs w:val="24"/>
                <w:lang w:eastAsia="ru-RU"/>
              </w:rPr>
              <w:t>0,74</w:t>
            </w:r>
          </w:p>
        </w:tc>
        <w:tc>
          <w:tcPr>
            <w:tcW w:w="969" w:type="dxa"/>
            <w:tcBorders>
              <w:top w:val="single" w:sz="4" w:space="0" w:color="auto"/>
              <w:left w:val="single" w:sz="4" w:space="0" w:color="auto"/>
              <w:bottom w:val="single" w:sz="4" w:space="0" w:color="auto"/>
              <w:right w:val="single" w:sz="4" w:space="0" w:color="auto"/>
            </w:tcBorders>
            <w:vAlign w:val="center"/>
          </w:tcPr>
          <w:p w:rsidR="003114E3" w:rsidRPr="003114E3" w:rsidRDefault="003114E3" w:rsidP="003114E3">
            <w:pPr>
              <w:keepNext/>
              <w:jc w:val="center"/>
              <w:rPr>
                <w:rFonts w:eastAsia="Times New Roman"/>
                <w:color w:val="000000"/>
                <w:sz w:val="24"/>
                <w:szCs w:val="24"/>
                <w:lang w:eastAsia="ru-RU"/>
              </w:rPr>
            </w:pPr>
            <w:r w:rsidRPr="003114E3">
              <w:rPr>
                <w:rFonts w:eastAsia="Times New Roman"/>
                <w:color w:val="000000"/>
                <w:sz w:val="24"/>
                <w:szCs w:val="24"/>
                <w:lang w:eastAsia="ru-RU"/>
              </w:rPr>
              <w:t>0,80</w:t>
            </w:r>
          </w:p>
        </w:tc>
      </w:tr>
    </w:tbl>
    <w:p w:rsidR="00983FA2" w:rsidRPr="00B26431" w:rsidRDefault="003114E3" w:rsidP="00B26431">
      <w:pPr>
        <w:jc w:val="right"/>
        <w:rPr>
          <w:i/>
          <w:lang w:val="ru-RU"/>
        </w:rPr>
      </w:pPr>
      <w:r w:rsidRPr="003114E3">
        <w:rPr>
          <w:i/>
          <w:lang w:val="ru-RU"/>
        </w:rPr>
        <w:t>Продовження додаток Е-26</w:t>
      </w:r>
    </w:p>
    <w:p w:rsidR="00C43972" w:rsidRPr="00B26431" w:rsidRDefault="00FE0E9A" w:rsidP="00362A09">
      <w:pPr>
        <w:keepNext/>
        <w:pageBreakBefore/>
        <w:jc w:val="right"/>
        <w:rPr>
          <w:rFonts w:eastAsia="Times New Roman"/>
          <w:bCs/>
          <w:iCs/>
          <w:color w:val="000000"/>
          <w:szCs w:val="28"/>
          <w:lang w:eastAsia="uk-UA"/>
        </w:rPr>
      </w:pPr>
      <w:r w:rsidRPr="00B26431">
        <w:rPr>
          <w:rFonts w:eastAsia="Times New Roman"/>
          <w:bCs/>
          <w:iCs/>
          <w:color w:val="000000"/>
          <w:szCs w:val="28"/>
          <w:lang w:eastAsia="uk-UA"/>
        </w:rPr>
        <w:lastRenderedPageBreak/>
        <w:t>Додаток Е</w:t>
      </w:r>
      <w:r w:rsidR="00C43972" w:rsidRPr="00B26431">
        <w:rPr>
          <w:rFonts w:eastAsia="Times New Roman"/>
          <w:bCs/>
          <w:iCs/>
          <w:color w:val="000000"/>
          <w:szCs w:val="28"/>
          <w:lang w:eastAsia="uk-UA"/>
        </w:rPr>
        <w:t>-27</w:t>
      </w:r>
    </w:p>
    <w:p w:rsidR="00C43972" w:rsidRPr="00B26431" w:rsidRDefault="00C43972" w:rsidP="00B26431">
      <w:pPr>
        <w:keepNext/>
        <w:jc w:val="center"/>
        <w:rPr>
          <w:rFonts w:eastAsia="Times New Roman"/>
          <w:b/>
          <w:sz w:val="24"/>
          <w:szCs w:val="24"/>
          <w:lang w:eastAsia="ru-RU"/>
        </w:rPr>
      </w:pPr>
      <w:r w:rsidRPr="00B26431">
        <w:rPr>
          <w:rFonts w:eastAsia="Times New Roman"/>
          <w:b/>
          <w:bCs/>
          <w:iCs/>
          <w:color w:val="000000"/>
          <w:szCs w:val="28"/>
          <w:lang w:eastAsia="uk-UA"/>
        </w:rPr>
        <w:t xml:space="preserve">Комплексна оцінка діяльності закладів перинатальної допомоги Чернігівської </w:t>
      </w:r>
      <w:r w:rsidRPr="00B26431">
        <w:rPr>
          <w:rFonts w:eastAsia="Times New Roman"/>
          <w:b/>
          <w:bCs/>
          <w:iCs/>
          <w:color w:val="000000"/>
          <w:sz w:val="26"/>
          <w:szCs w:val="26"/>
          <w:lang w:eastAsia="uk-UA"/>
        </w:rPr>
        <w:t xml:space="preserve">області у </w:t>
      </w:r>
      <w:r w:rsidRPr="00B26431">
        <w:rPr>
          <w:rFonts w:eastAsia="Times New Roman"/>
          <w:b/>
          <w:bCs/>
          <w:iCs/>
          <w:color w:val="000000"/>
          <w:szCs w:val="28"/>
          <w:lang w:eastAsia="uk-UA"/>
        </w:rPr>
        <w:t>2017–2018 рр.</w:t>
      </w:r>
    </w:p>
    <w:tbl>
      <w:tblPr>
        <w:tblW w:w="10347" w:type="dxa"/>
        <w:jc w:val="center"/>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36"/>
        <w:gridCol w:w="968"/>
        <w:gridCol w:w="969"/>
        <w:gridCol w:w="968"/>
        <w:gridCol w:w="969"/>
        <w:gridCol w:w="968"/>
        <w:gridCol w:w="969"/>
      </w:tblGrid>
      <w:tr w:rsidR="00B26431" w:rsidRPr="00B26431" w:rsidTr="00B26431">
        <w:trPr>
          <w:cantSplit/>
          <w:trHeight w:val="652"/>
          <w:jc w:val="center"/>
        </w:trPr>
        <w:tc>
          <w:tcPr>
            <w:tcW w:w="4536" w:type="dxa"/>
            <w:vMerge w:val="restart"/>
            <w:tcBorders>
              <w:top w:val="single" w:sz="4" w:space="0" w:color="auto"/>
              <w:left w:val="single" w:sz="4" w:space="0" w:color="auto"/>
              <w:right w:val="single" w:sz="4" w:space="0" w:color="auto"/>
            </w:tcBorders>
            <w:vAlign w:val="center"/>
            <w:hideMark/>
          </w:tcPr>
          <w:p w:rsidR="00B26431" w:rsidRPr="00B26431" w:rsidRDefault="00B26431" w:rsidP="00B26431">
            <w:pPr>
              <w:keepNext/>
              <w:jc w:val="center"/>
              <w:rPr>
                <w:rFonts w:eastAsia="Times New Roman"/>
                <w:color w:val="000000"/>
                <w:sz w:val="24"/>
                <w:szCs w:val="24"/>
                <w:lang w:eastAsia="uk-UA"/>
              </w:rPr>
            </w:pPr>
            <w:r w:rsidRPr="00B26431">
              <w:rPr>
                <w:rFonts w:eastAsia="Times New Roman"/>
                <w:color w:val="000000"/>
                <w:sz w:val="24"/>
                <w:szCs w:val="24"/>
                <w:lang w:eastAsia="uk-UA"/>
              </w:rPr>
              <w:t>Індикатор якості</w:t>
            </w:r>
          </w:p>
        </w:tc>
        <w:tc>
          <w:tcPr>
            <w:tcW w:w="1937" w:type="dxa"/>
            <w:gridSpan w:val="2"/>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color w:val="000000"/>
                <w:sz w:val="24"/>
                <w:szCs w:val="24"/>
                <w:lang w:eastAsia="uk-UA"/>
              </w:rPr>
            </w:pPr>
            <w:r w:rsidRPr="00B26431">
              <w:rPr>
                <w:rFonts w:eastAsia="Times New Roman"/>
                <w:color w:val="000000"/>
                <w:sz w:val="24"/>
                <w:szCs w:val="24"/>
                <w:lang w:eastAsia="uk-UA"/>
              </w:rPr>
              <w:t xml:space="preserve">Фактичний показник, </w:t>
            </w:r>
            <w:r w:rsidRPr="00B26431">
              <w:rPr>
                <w:rFonts w:eastAsia="Times New Roman"/>
                <w:sz w:val="24"/>
                <w:szCs w:val="24"/>
                <w:lang w:eastAsia="uk-UA"/>
              </w:rPr>
              <w:t>Україна</w:t>
            </w:r>
          </w:p>
        </w:tc>
        <w:tc>
          <w:tcPr>
            <w:tcW w:w="1937" w:type="dxa"/>
            <w:gridSpan w:val="2"/>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color w:val="000000"/>
                <w:sz w:val="24"/>
                <w:szCs w:val="24"/>
                <w:lang w:eastAsia="uk-UA"/>
              </w:rPr>
            </w:pPr>
            <w:r w:rsidRPr="00B26431">
              <w:rPr>
                <w:rFonts w:eastAsia="Times New Roman"/>
                <w:color w:val="000000"/>
                <w:sz w:val="24"/>
                <w:szCs w:val="24"/>
                <w:lang w:eastAsia="uk-UA"/>
              </w:rPr>
              <w:t>Бальна оцінка фактичного показника</w:t>
            </w:r>
          </w:p>
        </w:tc>
        <w:tc>
          <w:tcPr>
            <w:tcW w:w="1937" w:type="dxa"/>
            <w:gridSpan w:val="2"/>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color w:val="000000"/>
                <w:sz w:val="24"/>
                <w:szCs w:val="24"/>
                <w:lang w:eastAsia="uk-UA"/>
              </w:rPr>
            </w:pPr>
            <w:r w:rsidRPr="00B26431">
              <w:rPr>
                <w:rFonts w:eastAsia="Times New Roman"/>
                <w:color w:val="000000"/>
                <w:sz w:val="24"/>
                <w:szCs w:val="24"/>
                <w:lang w:eastAsia="uk-UA"/>
              </w:rPr>
              <w:t>КДНЗ</w:t>
            </w:r>
          </w:p>
        </w:tc>
      </w:tr>
      <w:tr w:rsidR="00B26431" w:rsidRPr="00B26431" w:rsidTr="00B26431">
        <w:trPr>
          <w:trHeight w:val="404"/>
          <w:jc w:val="center"/>
        </w:trPr>
        <w:tc>
          <w:tcPr>
            <w:tcW w:w="4536" w:type="dxa"/>
            <w:vMerge/>
            <w:tcBorders>
              <w:left w:val="single" w:sz="4" w:space="0" w:color="auto"/>
              <w:bottom w:val="single" w:sz="4" w:space="0" w:color="auto"/>
              <w:right w:val="single" w:sz="4" w:space="0" w:color="auto"/>
            </w:tcBorders>
            <w:vAlign w:val="bottom"/>
          </w:tcPr>
          <w:p w:rsidR="00B26431" w:rsidRPr="00B26431" w:rsidRDefault="00B26431" w:rsidP="00B26431">
            <w:pPr>
              <w:keepNext/>
              <w:jc w:val="left"/>
              <w:rPr>
                <w:rFonts w:eastAsia="Times New Roman"/>
                <w:sz w:val="24"/>
                <w:szCs w:val="24"/>
                <w:lang w:eastAsia="ru-RU"/>
              </w:rPr>
            </w:pPr>
          </w:p>
        </w:tc>
        <w:tc>
          <w:tcPr>
            <w:tcW w:w="968"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sz w:val="24"/>
                <w:szCs w:val="24"/>
                <w:lang w:eastAsia="ru-RU"/>
              </w:rPr>
            </w:pPr>
            <w:r w:rsidRPr="00B26431">
              <w:rPr>
                <w:rFonts w:eastAsia="Times New Roman"/>
                <w:sz w:val="24"/>
                <w:szCs w:val="24"/>
                <w:lang w:eastAsia="ru-RU"/>
              </w:rPr>
              <w:t>2017 р.</w:t>
            </w:r>
          </w:p>
        </w:tc>
        <w:tc>
          <w:tcPr>
            <w:tcW w:w="969"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color w:val="000000"/>
                <w:sz w:val="24"/>
                <w:szCs w:val="24"/>
                <w:lang w:eastAsia="ru-RU"/>
              </w:rPr>
            </w:pPr>
            <w:r w:rsidRPr="00B26431">
              <w:rPr>
                <w:rFonts w:eastAsia="Times New Roman"/>
                <w:color w:val="000000"/>
                <w:sz w:val="24"/>
                <w:szCs w:val="24"/>
                <w:lang w:eastAsia="ru-RU"/>
              </w:rPr>
              <w:t>2018 р.</w:t>
            </w:r>
          </w:p>
        </w:tc>
        <w:tc>
          <w:tcPr>
            <w:tcW w:w="968"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sz w:val="24"/>
                <w:szCs w:val="24"/>
                <w:lang w:eastAsia="ru-RU"/>
              </w:rPr>
            </w:pPr>
            <w:r w:rsidRPr="00B26431">
              <w:rPr>
                <w:rFonts w:eastAsia="Times New Roman"/>
                <w:sz w:val="24"/>
                <w:szCs w:val="24"/>
                <w:lang w:eastAsia="ru-RU"/>
              </w:rPr>
              <w:t>2017 р.</w:t>
            </w:r>
          </w:p>
        </w:tc>
        <w:tc>
          <w:tcPr>
            <w:tcW w:w="969"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sz w:val="24"/>
                <w:szCs w:val="24"/>
                <w:lang w:eastAsia="ru-RU"/>
              </w:rPr>
            </w:pPr>
            <w:r w:rsidRPr="00B26431">
              <w:rPr>
                <w:rFonts w:eastAsia="Times New Roman"/>
                <w:sz w:val="24"/>
                <w:szCs w:val="24"/>
                <w:lang w:eastAsia="ru-RU"/>
              </w:rPr>
              <w:t>2017 р.</w:t>
            </w:r>
          </w:p>
        </w:tc>
        <w:tc>
          <w:tcPr>
            <w:tcW w:w="968"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color w:val="000000"/>
                <w:sz w:val="24"/>
                <w:szCs w:val="24"/>
                <w:lang w:eastAsia="ru-RU"/>
              </w:rPr>
            </w:pPr>
            <w:r w:rsidRPr="00B26431">
              <w:rPr>
                <w:rFonts w:eastAsia="Times New Roman"/>
                <w:color w:val="000000"/>
                <w:sz w:val="24"/>
                <w:szCs w:val="24"/>
                <w:lang w:eastAsia="ru-RU"/>
              </w:rPr>
              <w:t>2018 р.</w:t>
            </w:r>
          </w:p>
        </w:tc>
        <w:tc>
          <w:tcPr>
            <w:tcW w:w="969"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sz w:val="24"/>
                <w:szCs w:val="24"/>
                <w:lang w:eastAsia="ru-RU"/>
              </w:rPr>
            </w:pPr>
            <w:r w:rsidRPr="00B26431">
              <w:rPr>
                <w:rFonts w:eastAsia="Times New Roman"/>
                <w:sz w:val="24"/>
                <w:szCs w:val="24"/>
                <w:lang w:eastAsia="ru-RU"/>
              </w:rPr>
              <w:t>2017 р.</w:t>
            </w:r>
          </w:p>
        </w:tc>
      </w:tr>
      <w:tr w:rsidR="00B26431" w:rsidRPr="00B26431" w:rsidTr="00B26431">
        <w:trPr>
          <w:trHeight w:val="404"/>
          <w:jc w:val="center"/>
        </w:trPr>
        <w:tc>
          <w:tcPr>
            <w:tcW w:w="4536"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left"/>
              <w:rPr>
                <w:rFonts w:eastAsia="Times New Roman"/>
                <w:sz w:val="24"/>
                <w:szCs w:val="24"/>
                <w:lang w:eastAsia="ru-RU"/>
              </w:rPr>
            </w:pPr>
            <w:r w:rsidRPr="00B26431">
              <w:rPr>
                <w:rFonts w:eastAsia="Times New Roman"/>
                <w:sz w:val="24"/>
                <w:szCs w:val="24"/>
                <w:lang w:eastAsia="ru-RU"/>
              </w:rPr>
              <w:t>Забезпеченість  лікарями акушер-гінекологами</w:t>
            </w:r>
          </w:p>
        </w:tc>
        <w:tc>
          <w:tcPr>
            <w:tcW w:w="968"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sz w:val="24"/>
                <w:szCs w:val="24"/>
                <w:lang w:eastAsia="ru-RU"/>
              </w:rPr>
            </w:pPr>
            <w:r w:rsidRPr="00B26431">
              <w:rPr>
                <w:rFonts w:eastAsia="Times New Roman"/>
                <w:sz w:val="24"/>
                <w:szCs w:val="24"/>
                <w:lang w:eastAsia="ru-RU"/>
              </w:rPr>
              <w:t>3,49</w:t>
            </w:r>
          </w:p>
        </w:tc>
        <w:tc>
          <w:tcPr>
            <w:tcW w:w="969"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sz w:val="24"/>
                <w:szCs w:val="24"/>
                <w:lang w:eastAsia="ru-RU"/>
              </w:rPr>
            </w:pPr>
            <w:r w:rsidRPr="00B26431">
              <w:rPr>
                <w:rFonts w:eastAsia="Times New Roman"/>
                <w:sz w:val="24"/>
                <w:szCs w:val="24"/>
                <w:lang w:eastAsia="ru-RU"/>
              </w:rPr>
              <w:t>3,59</w:t>
            </w:r>
          </w:p>
        </w:tc>
        <w:tc>
          <w:tcPr>
            <w:tcW w:w="968"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sz w:val="24"/>
                <w:szCs w:val="24"/>
                <w:lang w:eastAsia="ru-RU"/>
              </w:rPr>
            </w:pPr>
            <w:r w:rsidRPr="00B26431">
              <w:rPr>
                <w:rFonts w:eastAsia="Times New Roman"/>
                <w:sz w:val="24"/>
                <w:szCs w:val="24"/>
                <w:lang w:eastAsia="ru-RU"/>
              </w:rPr>
              <w:t>3,81</w:t>
            </w:r>
          </w:p>
        </w:tc>
        <w:tc>
          <w:tcPr>
            <w:tcW w:w="969"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sz w:val="24"/>
                <w:szCs w:val="24"/>
                <w:lang w:eastAsia="ru-RU"/>
              </w:rPr>
            </w:pPr>
            <w:r w:rsidRPr="00B26431">
              <w:rPr>
                <w:rFonts w:eastAsia="Times New Roman"/>
                <w:sz w:val="24"/>
                <w:szCs w:val="24"/>
                <w:lang w:eastAsia="ru-RU"/>
              </w:rPr>
              <w:t>3,92</w:t>
            </w:r>
          </w:p>
        </w:tc>
        <w:tc>
          <w:tcPr>
            <w:tcW w:w="968"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sz w:val="24"/>
                <w:szCs w:val="24"/>
                <w:lang w:eastAsia="ru-RU"/>
              </w:rPr>
            </w:pPr>
            <w:r w:rsidRPr="00B26431">
              <w:rPr>
                <w:rFonts w:eastAsia="Times New Roman"/>
                <w:sz w:val="24"/>
                <w:szCs w:val="24"/>
                <w:lang w:eastAsia="ru-RU"/>
              </w:rPr>
              <w:t>0,63</w:t>
            </w:r>
          </w:p>
        </w:tc>
        <w:tc>
          <w:tcPr>
            <w:tcW w:w="969"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sz w:val="24"/>
                <w:szCs w:val="24"/>
                <w:lang w:eastAsia="ru-RU"/>
              </w:rPr>
            </w:pPr>
            <w:r w:rsidRPr="00B26431">
              <w:rPr>
                <w:rFonts w:eastAsia="Times New Roman"/>
                <w:sz w:val="24"/>
                <w:szCs w:val="24"/>
                <w:lang w:eastAsia="ru-RU"/>
              </w:rPr>
              <w:t>0,65</w:t>
            </w:r>
          </w:p>
        </w:tc>
      </w:tr>
      <w:tr w:rsidR="00B26431" w:rsidRPr="00B26431" w:rsidTr="00B26431">
        <w:trPr>
          <w:trHeight w:val="404"/>
          <w:jc w:val="center"/>
        </w:trPr>
        <w:tc>
          <w:tcPr>
            <w:tcW w:w="4536" w:type="dxa"/>
            <w:tcBorders>
              <w:top w:val="single" w:sz="4" w:space="0" w:color="auto"/>
              <w:left w:val="single" w:sz="4" w:space="0" w:color="auto"/>
              <w:bottom w:val="single" w:sz="4" w:space="0" w:color="auto"/>
              <w:right w:val="single" w:sz="4" w:space="0" w:color="auto"/>
            </w:tcBorders>
            <w:vAlign w:val="bottom"/>
          </w:tcPr>
          <w:p w:rsidR="00B26431" w:rsidRPr="00B26431" w:rsidRDefault="00B26431" w:rsidP="00B26431">
            <w:pPr>
              <w:keepNext/>
              <w:jc w:val="left"/>
              <w:rPr>
                <w:rFonts w:eastAsia="Times New Roman"/>
                <w:sz w:val="24"/>
                <w:szCs w:val="24"/>
                <w:lang w:eastAsia="ru-RU"/>
              </w:rPr>
            </w:pPr>
            <w:r w:rsidRPr="00B26431">
              <w:rPr>
                <w:rFonts w:eastAsia="Times New Roman"/>
                <w:sz w:val="24"/>
                <w:szCs w:val="24"/>
                <w:lang w:eastAsia="ru-RU"/>
              </w:rPr>
              <w:t>Забезпеченість  лікарями  педіатрами-неонатологами</w:t>
            </w:r>
          </w:p>
        </w:tc>
        <w:tc>
          <w:tcPr>
            <w:tcW w:w="968"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sz w:val="24"/>
                <w:szCs w:val="24"/>
                <w:lang w:eastAsia="ru-RU"/>
              </w:rPr>
            </w:pPr>
            <w:r w:rsidRPr="00B26431">
              <w:rPr>
                <w:rFonts w:eastAsia="Times New Roman"/>
                <w:sz w:val="24"/>
                <w:szCs w:val="24"/>
                <w:lang w:eastAsia="ru-RU"/>
              </w:rPr>
              <w:t>3,67</w:t>
            </w:r>
          </w:p>
        </w:tc>
        <w:tc>
          <w:tcPr>
            <w:tcW w:w="969"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sz w:val="24"/>
                <w:szCs w:val="24"/>
                <w:lang w:eastAsia="ru-RU"/>
              </w:rPr>
            </w:pPr>
            <w:r w:rsidRPr="00B26431">
              <w:rPr>
                <w:rFonts w:eastAsia="Times New Roman"/>
                <w:sz w:val="24"/>
                <w:szCs w:val="24"/>
                <w:lang w:eastAsia="ru-RU"/>
              </w:rPr>
              <w:t>4,27</w:t>
            </w:r>
          </w:p>
        </w:tc>
        <w:tc>
          <w:tcPr>
            <w:tcW w:w="968"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sz w:val="24"/>
                <w:szCs w:val="24"/>
                <w:lang w:eastAsia="ru-RU"/>
              </w:rPr>
            </w:pPr>
            <w:r w:rsidRPr="00B26431">
              <w:rPr>
                <w:rFonts w:eastAsia="Times New Roman"/>
                <w:sz w:val="24"/>
                <w:szCs w:val="24"/>
                <w:lang w:eastAsia="ru-RU"/>
              </w:rPr>
              <w:t>4,00</w:t>
            </w:r>
          </w:p>
        </w:tc>
        <w:tc>
          <w:tcPr>
            <w:tcW w:w="969"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sz w:val="24"/>
                <w:szCs w:val="24"/>
                <w:lang w:eastAsia="ru-RU"/>
              </w:rPr>
            </w:pPr>
            <w:r w:rsidRPr="00B26431">
              <w:rPr>
                <w:rFonts w:eastAsia="Times New Roman"/>
                <w:sz w:val="24"/>
                <w:szCs w:val="24"/>
                <w:lang w:eastAsia="ru-RU"/>
              </w:rPr>
              <w:t>4,66</w:t>
            </w:r>
          </w:p>
        </w:tc>
        <w:tc>
          <w:tcPr>
            <w:tcW w:w="968"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sz w:val="24"/>
                <w:szCs w:val="24"/>
                <w:lang w:eastAsia="ru-RU"/>
              </w:rPr>
            </w:pPr>
            <w:r w:rsidRPr="00B26431">
              <w:rPr>
                <w:rFonts w:eastAsia="Times New Roman"/>
                <w:sz w:val="24"/>
                <w:szCs w:val="24"/>
                <w:lang w:eastAsia="ru-RU"/>
              </w:rPr>
              <w:t>0,67</w:t>
            </w:r>
          </w:p>
        </w:tc>
        <w:tc>
          <w:tcPr>
            <w:tcW w:w="969"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sz w:val="24"/>
                <w:szCs w:val="24"/>
                <w:lang w:eastAsia="ru-RU"/>
              </w:rPr>
            </w:pPr>
            <w:r w:rsidRPr="00B26431">
              <w:rPr>
                <w:rFonts w:eastAsia="Times New Roman"/>
                <w:sz w:val="24"/>
                <w:szCs w:val="24"/>
                <w:lang w:eastAsia="ru-RU"/>
              </w:rPr>
              <w:t>0,78</w:t>
            </w:r>
          </w:p>
        </w:tc>
      </w:tr>
      <w:tr w:rsidR="00B26431" w:rsidRPr="00B26431" w:rsidTr="00B26431">
        <w:trPr>
          <w:trHeight w:val="404"/>
          <w:jc w:val="center"/>
        </w:trPr>
        <w:tc>
          <w:tcPr>
            <w:tcW w:w="4536" w:type="dxa"/>
            <w:tcBorders>
              <w:top w:val="single" w:sz="4" w:space="0" w:color="auto"/>
              <w:left w:val="single" w:sz="4" w:space="0" w:color="auto"/>
              <w:bottom w:val="single" w:sz="4" w:space="0" w:color="auto"/>
              <w:right w:val="single" w:sz="4" w:space="0" w:color="auto"/>
            </w:tcBorders>
            <w:vAlign w:val="bottom"/>
          </w:tcPr>
          <w:p w:rsidR="00B26431" w:rsidRPr="00B26431" w:rsidRDefault="00B26431" w:rsidP="00B26431">
            <w:pPr>
              <w:keepNext/>
              <w:jc w:val="left"/>
              <w:rPr>
                <w:rFonts w:eastAsia="Times New Roman"/>
                <w:sz w:val="24"/>
                <w:szCs w:val="24"/>
                <w:lang w:eastAsia="ru-RU"/>
              </w:rPr>
            </w:pPr>
            <w:r w:rsidRPr="00B26431">
              <w:rPr>
                <w:rFonts w:eastAsia="Times New Roman"/>
                <w:sz w:val="24"/>
                <w:szCs w:val="24"/>
                <w:lang w:eastAsia="ru-RU"/>
              </w:rPr>
              <w:t>Питома вага атестованих лікарів акушер-гінекологів</w:t>
            </w:r>
          </w:p>
        </w:tc>
        <w:tc>
          <w:tcPr>
            <w:tcW w:w="968"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sz w:val="24"/>
                <w:szCs w:val="24"/>
                <w:lang w:eastAsia="ru-RU"/>
              </w:rPr>
            </w:pPr>
            <w:r w:rsidRPr="00B26431">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sz w:val="24"/>
                <w:szCs w:val="24"/>
                <w:lang w:eastAsia="ru-RU"/>
              </w:rPr>
            </w:pPr>
            <w:r w:rsidRPr="00B26431">
              <w:rPr>
                <w:rFonts w:eastAsia="Times New Roman"/>
                <w:sz w:val="24"/>
                <w:szCs w:val="24"/>
                <w:lang w:eastAsia="ru-RU"/>
              </w:rPr>
              <w:t>79,80</w:t>
            </w:r>
          </w:p>
        </w:tc>
        <w:tc>
          <w:tcPr>
            <w:tcW w:w="968"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sz w:val="24"/>
                <w:szCs w:val="24"/>
                <w:lang w:eastAsia="ru-RU"/>
              </w:rPr>
            </w:pPr>
            <w:r w:rsidRPr="00B26431">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sz w:val="24"/>
                <w:szCs w:val="24"/>
                <w:lang w:eastAsia="ru-RU"/>
              </w:rPr>
            </w:pPr>
            <w:r w:rsidRPr="00B26431">
              <w:rPr>
                <w:rFonts w:eastAsia="Times New Roman"/>
                <w:sz w:val="24"/>
                <w:szCs w:val="24"/>
                <w:lang w:eastAsia="ru-RU"/>
              </w:rPr>
              <w:t>5,32</w:t>
            </w:r>
          </w:p>
        </w:tc>
        <w:tc>
          <w:tcPr>
            <w:tcW w:w="968"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sz w:val="24"/>
                <w:szCs w:val="24"/>
                <w:lang w:eastAsia="ru-RU"/>
              </w:rPr>
            </w:pPr>
            <w:r w:rsidRPr="00B26431">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sz w:val="24"/>
                <w:szCs w:val="24"/>
                <w:lang w:eastAsia="ru-RU"/>
              </w:rPr>
            </w:pPr>
            <w:r w:rsidRPr="00B26431">
              <w:rPr>
                <w:rFonts w:eastAsia="Times New Roman"/>
                <w:sz w:val="24"/>
                <w:szCs w:val="24"/>
                <w:lang w:eastAsia="ru-RU"/>
              </w:rPr>
              <w:t>0,89</w:t>
            </w:r>
          </w:p>
        </w:tc>
      </w:tr>
      <w:tr w:rsidR="00B26431" w:rsidRPr="00B26431" w:rsidTr="00B26431">
        <w:trPr>
          <w:trHeight w:val="404"/>
          <w:jc w:val="center"/>
        </w:trPr>
        <w:tc>
          <w:tcPr>
            <w:tcW w:w="4536" w:type="dxa"/>
            <w:tcBorders>
              <w:top w:val="single" w:sz="4" w:space="0" w:color="auto"/>
              <w:left w:val="single" w:sz="4" w:space="0" w:color="auto"/>
              <w:bottom w:val="single" w:sz="4" w:space="0" w:color="auto"/>
              <w:right w:val="single" w:sz="4" w:space="0" w:color="auto"/>
            </w:tcBorders>
            <w:vAlign w:val="bottom"/>
          </w:tcPr>
          <w:p w:rsidR="00B26431" w:rsidRPr="00B26431" w:rsidRDefault="00B26431" w:rsidP="00B26431">
            <w:pPr>
              <w:keepNext/>
              <w:jc w:val="left"/>
              <w:rPr>
                <w:rFonts w:eastAsia="Times New Roman"/>
                <w:sz w:val="24"/>
                <w:szCs w:val="24"/>
                <w:lang w:eastAsia="ru-RU"/>
              </w:rPr>
            </w:pPr>
            <w:r w:rsidRPr="00B26431">
              <w:rPr>
                <w:rFonts w:eastAsia="Times New Roman"/>
                <w:sz w:val="24"/>
                <w:szCs w:val="24"/>
                <w:lang w:eastAsia="ru-RU"/>
              </w:rPr>
              <w:t>Питома вага атестованих лікарів педіатрів-неонатологів</w:t>
            </w:r>
          </w:p>
        </w:tc>
        <w:tc>
          <w:tcPr>
            <w:tcW w:w="968"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sz w:val="24"/>
                <w:szCs w:val="24"/>
                <w:lang w:eastAsia="ru-RU"/>
              </w:rPr>
            </w:pPr>
            <w:r w:rsidRPr="00B26431">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sz w:val="24"/>
                <w:szCs w:val="24"/>
                <w:lang w:eastAsia="ru-RU"/>
              </w:rPr>
            </w:pPr>
            <w:r w:rsidRPr="00B26431">
              <w:rPr>
                <w:rFonts w:eastAsia="Times New Roman"/>
                <w:sz w:val="24"/>
                <w:szCs w:val="24"/>
                <w:lang w:eastAsia="ru-RU"/>
              </w:rPr>
              <w:t>65,52</w:t>
            </w:r>
          </w:p>
        </w:tc>
        <w:tc>
          <w:tcPr>
            <w:tcW w:w="968"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sz w:val="24"/>
                <w:szCs w:val="24"/>
                <w:lang w:eastAsia="ru-RU"/>
              </w:rPr>
            </w:pPr>
            <w:r w:rsidRPr="00B26431">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sz w:val="24"/>
                <w:szCs w:val="24"/>
                <w:lang w:eastAsia="ru-RU"/>
              </w:rPr>
            </w:pPr>
            <w:r w:rsidRPr="00B26431">
              <w:rPr>
                <w:rFonts w:eastAsia="Times New Roman"/>
                <w:sz w:val="24"/>
                <w:szCs w:val="24"/>
                <w:lang w:eastAsia="ru-RU"/>
              </w:rPr>
              <w:t>4,91</w:t>
            </w:r>
          </w:p>
        </w:tc>
        <w:tc>
          <w:tcPr>
            <w:tcW w:w="968"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sz w:val="24"/>
                <w:szCs w:val="24"/>
                <w:lang w:eastAsia="ru-RU"/>
              </w:rPr>
            </w:pPr>
            <w:r w:rsidRPr="00B26431">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sz w:val="24"/>
                <w:szCs w:val="24"/>
                <w:lang w:eastAsia="ru-RU"/>
              </w:rPr>
            </w:pPr>
            <w:r w:rsidRPr="00B26431">
              <w:rPr>
                <w:rFonts w:eastAsia="Times New Roman"/>
                <w:sz w:val="24"/>
                <w:szCs w:val="24"/>
                <w:lang w:eastAsia="ru-RU"/>
              </w:rPr>
              <w:t>0,82</w:t>
            </w:r>
          </w:p>
        </w:tc>
      </w:tr>
      <w:tr w:rsidR="00B26431" w:rsidRPr="00B26431" w:rsidTr="00B26431">
        <w:trPr>
          <w:trHeight w:val="346"/>
          <w:jc w:val="center"/>
        </w:trPr>
        <w:tc>
          <w:tcPr>
            <w:tcW w:w="4536"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left"/>
              <w:rPr>
                <w:rFonts w:eastAsia="Times New Roman"/>
                <w:sz w:val="24"/>
                <w:szCs w:val="24"/>
                <w:lang w:eastAsia="ru-RU"/>
              </w:rPr>
            </w:pPr>
            <w:r w:rsidRPr="00B26431">
              <w:rPr>
                <w:rFonts w:eastAsia="Times New Roman"/>
                <w:sz w:val="24"/>
                <w:szCs w:val="24"/>
                <w:lang w:eastAsia="ru-RU"/>
              </w:rPr>
              <w:t xml:space="preserve">Своєчасність постановки на облік вагітних </w:t>
            </w:r>
          </w:p>
        </w:tc>
        <w:tc>
          <w:tcPr>
            <w:tcW w:w="968"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color w:val="000000"/>
                <w:sz w:val="24"/>
                <w:szCs w:val="24"/>
                <w:lang w:eastAsia="ru-RU"/>
              </w:rPr>
            </w:pPr>
            <w:r w:rsidRPr="00B26431">
              <w:rPr>
                <w:rFonts w:eastAsia="Times New Roman"/>
                <w:color w:val="000000"/>
                <w:sz w:val="24"/>
                <w:szCs w:val="24"/>
                <w:lang w:eastAsia="ru-RU"/>
              </w:rPr>
              <w:t>94,69</w:t>
            </w:r>
          </w:p>
        </w:tc>
        <w:tc>
          <w:tcPr>
            <w:tcW w:w="969"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sz w:val="24"/>
                <w:szCs w:val="24"/>
                <w:lang w:eastAsia="ru-RU"/>
              </w:rPr>
            </w:pPr>
            <w:r w:rsidRPr="00B26431">
              <w:rPr>
                <w:rFonts w:eastAsia="Times New Roman"/>
                <w:sz w:val="24"/>
                <w:szCs w:val="24"/>
                <w:lang w:eastAsia="ru-RU"/>
              </w:rPr>
              <w:t>95,44</w:t>
            </w:r>
          </w:p>
        </w:tc>
        <w:tc>
          <w:tcPr>
            <w:tcW w:w="968"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color w:val="000000"/>
                <w:sz w:val="24"/>
                <w:szCs w:val="24"/>
                <w:lang w:eastAsia="ru-RU"/>
              </w:rPr>
            </w:pPr>
            <w:r w:rsidRPr="00B26431">
              <w:rPr>
                <w:rFonts w:eastAsia="Times New Roman"/>
                <w:color w:val="000000"/>
                <w:sz w:val="24"/>
                <w:szCs w:val="24"/>
                <w:lang w:eastAsia="ru-RU"/>
              </w:rPr>
              <w:t>6,98</w:t>
            </w:r>
          </w:p>
        </w:tc>
        <w:tc>
          <w:tcPr>
            <w:tcW w:w="969"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sz w:val="24"/>
                <w:szCs w:val="24"/>
                <w:lang w:eastAsia="ru-RU"/>
              </w:rPr>
            </w:pPr>
            <w:r w:rsidRPr="00B26431">
              <w:rPr>
                <w:rFonts w:eastAsia="Times New Roman"/>
                <w:sz w:val="24"/>
                <w:szCs w:val="24"/>
                <w:lang w:eastAsia="ru-RU"/>
              </w:rPr>
              <w:t>7,0</w:t>
            </w:r>
          </w:p>
        </w:tc>
        <w:tc>
          <w:tcPr>
            <w:tcW w:w="968"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color w:val="000000"/>
                <w:sz w:val="24"/>
                <w:szCs w:val="24"/>
                <w:lang w:eastAsia="ru-RU"/>
              </w:rPr>
            </w:pPr>
            <w:r w:rsidRPr="00B26431">
              <w:rPr>
                <w:rFonts w:eastAsia="Times New Roman"/>
                <w:color w:val="000000"/>
                <w:sz w:val="24"/>
                <w:szCs w:val="24"/>
                <w:lang w:eastAsia="ru-RU"/>
              </w:rPr>
              <w:t>1,00</w:t>
            </w:r>
          </w:p>
        </w:tc>
        <w:tc>
          <w:tcPr>
            <w:tcW w:w="969"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sz w:val="24"/>
                <w:szCs w:val="24"/>
                <w:lang w:eastAsia="ru-RU"/>
              </w:rPr>
            </w:pPr>
            <w:r w:rsidRPr="00B26431">
              <w:rPr>
                <w:rFonts w:eastAsia="Times New Roman"/>
                <w:sz w:val="24"/>
                <w:szCs w:val="24"/>
                <w:lang w:eastAsia="ru-RU"/>
              </w:rPr>
              <w:t>1,00</w:t>
            </w:r>
          </w:p>
        </w:tc>
      </w:tr>
      <w:tr w:rsidR="00B26431" w:rsidRPr="00B26431" w:rsidTr="00B26431">
        <w:trPr>
          <w:trHeight w:val="266"/>
          <w:jc w:val="center"/>
        </w:trPr>
        <w:tc>
          <w:tcPr>
            <w:tcW w:w="4536"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left"/>
              <w:rPr>
                <w:rFonts w:eastAsia="Times New Roman"/>
                <w:sz w:val="24"/>
                <w:szCs w:val="24"/>
                <w:lang w:eastAsia="ru-RU"/>
              </w:rPr>
            </w:pPr>
            <w:r w:rsidRPr="00B26431">
              <w:rPr>
                <w:rFonts w:eastAsia="Times New Roman"/>
                <w:sz w:val="24"/>
                <w:szCs w:val="24"/>
                <w:lang w:eastAsia="ru-RU"/>
              </w:rPr>
              <w:t>Частота анемій вагітних</w:t>
            </w:r>
          </w:p>
        </w:tc>
        <w:tc>
          <w:tcPr>
            <w:tcW w:w="968"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color w:val="000000"/>
                <w:sz w:val="24"/>
                <w:szCs w:val="24"/>
                <w:lang w:eastAsia="ru-RU"/>
              </w:rPr>
            </w:pPr>
            <w:r w:rsidRPr="00B26431">
              <w:rPr>
                <w:rFonts w:eastAsia="Times New Roman"/>
                <w:color w:val="000000"/>
                <w:sz w:val="24"/>
                <w:szCs w:val="24"/>
                <w:lang w:eastAsia="ru-RU"/>
              </w:rPr>
              <w:t>21,83</w:t>
            </w:r>
          </w:p>
        </w:tc>
        <w:tc>
          <w:tcPr>
            <w:tcW w:w="969"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sz w:val="24"/>
                <w:szCs w:val="24"/>
                <w:lang w:eastAsia="ru-RU"/>
              </w:rPr>
            </w:pPr>
            <w:r w:rsidRPr="00B26431">
              <w:rPr>
                <w:rFonts w:eastAsia="Times New Roman"/>
                <w:sz w:val="24"/>
                <w:szCs w:val="24"/>
                <w:lang w:eastAsia="ru-RU"/>
              </w:rPr>
              <w:t>22,38</w:t>
            </w:r>
          </w:p>
        </w:tc>
        <w:tc>
          <w:tcPr>
            <w:tcW w:w="968"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color w:val="000000"/>
                <w:sz w:val="24"/>
                <w:szCs w:val="24"/>
                <w:lang w:eastAsia="ru-RU"/>
              </w:rPr>
            </w:pPr>
            <w:r w:rsidRPr="00B26431">
              <w:rPr>
                <w:rFonts w:eastAsia="Times New Roman"/>
                <w:color w:val="000000"/>
                <w:sz w:val="24"/>
                <w:szCs w:val="24"/>
                <w:lang w:eastAsia="ru-RU"/>
              </w:rPr>
              <w:t>3,63</w:t>
            </w:r>
          </w:p>
        </w:tc>
        <w:tc>
          <w:tcPr>
            <w:tcW w:w="969"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sz w:val="24"/>
                <w:szCs w:val="24"/>
                <w:lang w:eastAsia="ru-RU"/>
              </w:rPr>
            </w:pPr>
            <w:r w:rsidRPr="00B26431">
              <w:rPr>
                <w:rFonts w:eastAsia="Times New Roman"/>
                <w:sz w:val="24"/>
                <w:szCs w:val="24"/>
                <w:lang w:eastAsia="ru-RU"/>
              </w:rPr>
              <w:t>3,83</w:t>
            </w:r>
          </w:p>
        </w:tc>
        <w:tc>
          <w:tcPr>
            <w:tcW w:w="968"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color w:val="000000"/>
                <w:sz w:val="24"/>
                <w:szCs w:val="24"/>
                <w:lang w:eastAsia="ru-RU"/>
              </w:rPr>
            </w:pPr>
            <w:r w:rsidRPr="00B26431">
              <w:rPr>
                <w:rFonts w:eastAsia="Times New Roman"/>
                <w:color w:val="000000"/>
                <w:sz w:val="24"/>
                <w:szCs w:val="24"/>
                <w:lang w:eastAsia="ru-RU"/>
              </w:rPr>
              <w:t>0,91</w:t>
            </w:r>
          </w:p>
        </w:tc>
        <w:tc>
          <w:tcPr>
            <w:tcW w:w="969"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sz w:val="24"/>
                <w:szCs w:val="24"/>
                <w:lang w:eastAsia="ru-RU"/>
              </w:rPr>
            </w:pPr>
            <w:r w:rsidRPr="00B26431">
              <w:rPr>
                <w:rFonts w:eastAsia="Times New Roman"/>
                <w:sz w:val="24"/>
                <w:szCs w:val="24"/>
                <w:lang w:eastAsia="ru-RU"/>
              </w:rPr>
              <w:t>0,96</w:t>
            </w:r>
          </w:p>
        </w:tc>
      </w:tr>
      <w:tr w:rsidR="00B26431" w:rsidRPr="00B26431" w:rsidTr="00B26431">
        <w:trPr>
          <w:trHeight w:val="319"/>
          <w:jc w:val="center"/>
        </w:trPr>
        <w:tc>
          <w:tcPr>
            <w:tcW w:w="4536"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left"/>
              <w:rPr>
                <w:rFonts w:eastAsia="Times New Roman"/>
                <w:sz w:val="24"/>
                <w:szCs w:val="24"/>
                <w:lang w:eastAsia="ru-RU"/>
              </w:rPr>
            </w:pPr>
            <w:r w:rsidRPr="00B26431">
              <w:rPr>
                <w:rFonts w:eastAsia="Times New Roman"/>
                <w:sz w:val="24"/>
                <w:szCs w:val="24"/>
                <w:lang w:eastAsia="ru-RU"/>
              </w:rPr>
              <w:t>Частота прееклампсій та еклампсій вагітних</w:t>
            </w:r>
          </w:p>
        </w:tc>
        <w:tc>
          <w:tcPr>
            <w:tcW w:w="968"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color w:val="000000"/>
                <w:sz w:val="24"/>
                <w:szCs w:val="24"/>
                <w:lang w:eastAsia="ru-RU"/>
              </w:rPr>
            </w:pPr>
            <w:r w:rsidRPr="00B26431">
              <w:rPr>
                <w:rFonts w:eastAsia="Times New Roman"/>
                <w:color w:val="000000"/>
                <w:sz w:val="24"/>
                <w:szCs w:val="24"/>
                <w:lang w:eastAsia="ru-RU"/>
              </w:rPr>
              <w:t>2,24</w:t>
            </w:r>
          </w:p>
        </w:tc>
        <w:tc>
          <w:tcPr>
            <w:tcW w:w="969"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sz w:val="24"/>
                <w:szCs w:val="24"/>
                <w:lang w:eastAsia="ru-RU"/>
              </w:rPr>
            </w:pPr>
            <w:r w:rsidRPr="00B26431">
              <w:rPr>
                <w:rFonts w:eastAsia="Times New Roman"/>
                <w:sz w:val="24"/>
                <w:szCs w:val="24"/>
                <w:lang w:eastAsia="ru-RU"/>
              </w:rPr>
              <w:t>2,47</w:t>
            </w:r>
          </w:p>
        </w:tc>
        <w:tc>
          <w:tcPr>
            <w:tcW w:w="968"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color w:val="000000"/>
                <w:sz w:val="24"/>
                <w:szCs w:val="24"/>
                <w:lang w:eastAsia="ru-RU"/>
              </w:rPr>
            </w:pPr>
            <w:r w:rsidRPr="00B26431">
              <w:rPr>
                <w:rFonts w:eastAsia="Times New Roman"/>
                <w:color w:val="000000"/>
                <w:sz w:val="24"/>
                <w:szCs w:val="24"/>
                <w:lang w:eastAsia="ru-RU"/>
              </w:rPr>
              <w:t>5,04</w:t>
            </w:r>
          </w:p>
        </w:tc>
        <w:tc>
          <w:tcPr>
            <w:tcW w:w="969"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sz w:val="24"/>
                <w:szCs w:val="24"/>
                <w:lang w:eastAsia="ru-RU"/>
              </w:rPr>
            </w:pPr>
            <w:r w:rsidRPr="00B26431">
              <w:rPr>
                <w:rFonts w:eastAsia="Times New Roman"/>
                <w:sz w:val="24"/>
                <w:szCs w:val="24"/>
                <w:lang w:eastAsia="ru-RU"/>
              </w:rPr>
              <w:t>4,12</w:t>
            </w:r>
          </w:p>
        </w:tc>
        <w:tc>
          <w:tcPr>
            <w:tcW w:w="968"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color w:val="000000"/>
                <w:sz w:val="24"/>
                <w:szCs w:val="24"/>
                <w:lang w:eastAsia="ru-RU"/>
              </w:rPr>
            </w:pPr>
            <w:r w:rsidRPr="00B26431">
              <w:rPr>
                <w:rFonts w:eastAsia="Times New Roman"/>
                <w:color w:val="000000"/>
                <w:sz w:val="24"/>
                <w:szCs w:val="24"/>
                <w:lang w:eastAsia="ru-RU"/>
              </w:rPr>
              <w:t>0,72</w:t>
            </w:r>
          </w:p>
        </w:tc>
        <w:tc>
          <w:tcPr>
            <w:tcW w:w="969"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sz w:val="24"/>
                <w:szCs w:val="24"/>
                <w:lang w:eastAsia="ru-RU"/>
              </w:rPr>
            </w:pPr>
            <w:r w:rsidRPr="00B26431">
              <w:rPr>
                <w:rFonts w:eastAsia="Times New Roman"/>
                <w:sz w:val="24"/>
                <w:szCs w:val="24"/>
                <w:lang w:eastAsia="ru-RU"/>
              </w:rPr>
              <w:t>0,59</w:t>
            </w:r>
          </w:p>
        </w:tc>
      </w:tr>
      <w:tr w:rsidR="00B26431" w:rsidRPr="00B26431" w:rsidTr="00B26431">
        <w:trPr>
          <w:trHeight w:val="284"/>
          <w:jc w:val="center"/>
        </w:trPr>
        <w:tc>
          <w:tcPr>
            <w:tcW w:w="4536"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left"/>
              <w:rPr>
                <w:rFonts w:eastAsia="Times New Roman"/>
                <w:sz w:val="24"/>
                <w:szCs w:val="24"/>
                <w:lang w:eastAsia="ru-RU"/>
              </w:rPr>
            </w:pPr>
            <w:r w:rsidRPr="00B26431">
              <w:rPr>
                <w:rFonts w:eastAsia="Times New Roman"/>
                <w:sz w:val="24"/>
                <w:szCs w:val="24"/>
                <w:lang w:eastAsia="ru-RU"/>
              </w:rPr>
              <w:t>Співвідношення безпечних методів абортів до небезпечних</w:t>
            </w:r>
          </w:p>
        </w:tc>
        <w:tc>
          <w:tcPr>
            <w:tcW w:w="968"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color w:val="000000"/>
                <w:sz w:val="24"/>
                <w:szCs w:val="24"/>
                <w:lang w:eastAsia="ru-RU"/>
              </w:rPr>
            </w:pPr>
            <w:r w:rsidRPr="00B26431">
              <w:rPr>
                <w:rFonts w:eastAsia="Times New Roman"/>
                <w:color w:val="000000"/>
                <w:sz w:val="24"/>
                <w:szCs w:val="24"/>
                <w:lang w:eastAsia="ru-RU"/>
              </w:rPr>
              <w:t>3,94</w:t>
            </w:r>
          </w:p>
        </w:tc>
        <w:tc>
          <w:tcPr>
            <w:tcW w:w="969"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sz w:val="24"/>
                <w:szCs w:val="24"/>
                <w:lang w:eastAsia="ru-RU"/>
              </w:rPr>
            </w:pPr>
            <w:r w:rsidRPr="00B26431">
              <w:rPr>
                <w:rFonts w:eastAsia="Times New Roman"/>
                <w:sz w:val="24"/>
                <w:szCs w:val="24"/>
                <w:lang w:eastAsia="ru-RU"/>
              </w:rPr>
              <w:t>3,81</w:t>
            </w:r>
          </w:p>
        </w:tc>
        <w:tc>
          <w:tcPr>
            <w:tcW w:w="968"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color w:val="000000"/>
                <w:sz w:val="24"/>
                <w:szCs w:val="24"/>
                <w:lang w:eastAsia="ru-RU"/>
              </w:rPr>
            </w:pPr>
            <w:r w:rsidRPr="00B26431">
              <w:rPr>
                <w:rFonts w:eastAsia="Times New Roman"/>
                <w:color w:val="000000"/>
                <w:sz w:val="24"/>
                <w:szCs w:val="24"/>
                <w:lang w:eastAsia="ru-RU"/>
              </w:rPr>
              <w:t>2,36</w:t>
            </w:r>
          </w:p>
        </w:tc>
        <w:tc>
          <w:tcPr>
            <w:tcW w:w="969"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sz w:val="24"/>
                <w:szCs w:val="24"/>
                <w:lang w:eastAsia="ru-RU"/>
              </w:rPr>
            </w:pPr>
            <w:r w:rsidRPr="00B26431">
              <w:rPr>
                <w:rFonts w:eastAsia="Times New Roman"/>
                <w:sz w:val="24"/>
                <w:szCs w:val="24"/>
                <w:lang w:eastAsia="ru-RU"/>
              </w:rPr>
              <w:t>2,86</w:t>
            </w:r>
          </w:p>
        </w:tc>
        <w:tc>
          <w:tcPr>
            <w:tcW w:w="968"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color w:val="000000"/>
                <w:sz w:val="24"/>
                <w:szCs w:val="24"/>
                <w:lang w:eastAsia="ru-RU"/>
              </w:rPr>
            </w:pPr>
            <w:r w:rsidRPr="00B26431">
              <w:rPr>
                <w:rFonts w:eastAsia="Times New Roman"/>
                <w:color w:val="000000"/>
                <w:sz w:val="24"/>
                <w:szCs w:val="24"/>
                <w:lang w:eastAsia="ru-RU"/>
              </w:rPr>
              <w:t>0,39</w:t>
            </w:r>
          </w:p>
        </w:tc>
        <w:tc>
          <w:tcPr>
            <w:tcW w:w="969"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sz w:val="24"/>
                <w:szCs w:val="24"/>
                <w:lang w:eastAsia="ru-RU"/>
              </w:rPr>
            </w:pPr>
            <w:r w:rsidRPr="00B26431">
              <w:rPr>
                <w:rFonts w:eastAsia="Times New Roman"/>
                <w:sz w:val="24"/>
                <w:szCs w:val="24"/>
                <w:lang w:eastAsia="ru-RU"/>
              </w:rPr>
              <w:t>0,48</w:t>
            </w:r>
          </w:p>
        </w:tc>
      </w:tr>
      <w:tr w:rsidR="00B26431" w:rsidRPr="00B26431" w:rsidTr="00B26431">
        <w:trPr>
          <w:trHeight w:val="340"/>
          <w:jc w:val="center"/>
        </w:trPr>
        <w:tc>
          <w:tcPr>
            <w:tcW w:w="4536" w:type="dxa"/>
            <w:tcBorders>
              <w:top w:val="single" w:sz="4" w:space="0" w:color="auto"/>
              <w:left w:val="single" w:sz="4" w:space="0" w:color="auto"/>
              <w:bottom w:val="single" w:sz="4" w:space="0" w:color="auto"/>
              <w:right w:val="single" w:sz="4" w:space="0" w:color="auto"/>
            </w:tcBorders>
            <w:vAlign w:val="bottom"/>
          </w:tcPr>
          <w:p w:rsidR="00B26431" w:rsidRPr="00B26431" w:rsidRDefault="00B26431" w:rsidP="00B26431">
            <w:pPr>
              <w:keepNext/>
              <w:jc w:val="left"/>
              <w:rPr>
                <w:rFonts w:eastAsia="Times New Roman"/>
                <w:sz w:val="24"/>
                <w:szCs w:val="24"/>
                <w:lang w:eastAsia="ru-RU"/>
              </w:rPr>
            </w:pPr>
            <w:r w:rsidRPr="00B26431">
              <w:rPr>
                <w:rFonts w:eastAsia="Times New Roman"/>
                <w:sz w:val="24"/>
                <w:szCs w:val="24"/>
                <w:lang w:eastAsia="ru-RU"/>
              </w:rPr>
              <w:t>Питома вага хворих виявлення в ранніх стадіях (І – ІІ) серед хворих з вперше встановленим діагнозом онкологія молочної залози</w:t>
            </w:r>
          </w:p>
        </w:tc>
        <w:tc>
          <w:tcPr>
            <w:tcW w:w="968"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sz w:val="24"/>
                <w:szCs w:val="24"/>
                <w:lang w:eastAsia="ru-RU"/>
              </w:rPr>
            </w:pPr>
            <w:r w:rsidRPr="00B26431">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sz w:val="24"/>
                <w:szCs w:val="24"/>
                <w:lang w:eastAsia="ru-RU"/>
              </w:rPr>
            </w:pPr>
            <w:r w:rsidRPr="00B26431">
              <w:rPr>
                <w:rFonts w:eastAsia="Times New Roman"/>
                <w:sz w:val="24"/>
                <w:szCs w:val="24"/>
                <w:lang w:eastAsia="ru-RU"/>
              </w:rPr>
              <w:t>69,90</w:t>
            </w:r>
          </w:p>
        </w:tc>
        <w:tc>
          <w:tcPr>
            <w:tcW w:w="968"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sz w:val="24"/>
                <w:szCs w:val="24"/>
                <w:lang w:eastAsia="ru-RU"/>
              </w:rPr>
            </w:pPr>
            <w:r w:rsidRPr="00B26431">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sz w:val="24"/>
                <w:szCs w:val="24"/>
                <w:lang w:eastAsia="ru-RU"/>
              </w:rPr>
            </w:pPr>
            <w:r w:rsidRPr="00B26431">
              <w:rPr>
                <w:rFonts w:eastAsia="Times New Roman"/>
                <w:sz w:val="24"/>
                <w:szCs w:val="24"/>
                <w:lang w:eastAsia="ru-RU"/>
              </w:rPr>
              <w:t>5,29</w:t>
            </w:r>
          </w:p>
        </w:tc>
        <w:tc>
          <w:tcPr>
            <w:tcW w:w="968"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sz w:val="24"/>
                <w:szCs w:val="24"/>
                <w:lang w:eastAsia="ru-RU"/>
              </w:rPr>
            </w:pPr>
            <w:r w:rsidRPr="00B26431">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sz w:val="24"/>
                <w:szCs w:val="24"/>
                <w:lang w:eastAsia="ru-RU"/>
              </w:rPr>
            </w:pPr>
            <w:r w:rsidRPr="00B26431">
              <w:rPr>
                <w:rFonts w:eastAsia="Times New Roman"/>
                <w:sz w:val="24"/>
                <w:szCs w:val="24"/>
                <w:lang w:eastAsia="ru-RU"/>
              </w:rPr>
              <w:t>0,88</w:t>
            </w:r>
          </w:p>
        </w:tc>
      </w:tr>
      <w:tr w:rsidR="00B26431" w:rsidRPr="00B26431" w:rsidTr="00B26431">
        <w:trPr>
          <w:trHeight w:val="418"/>
          <w:jc w:val="center"/>
        </w:trPr>
        <w:tc>
          <w:tcPr>
            <w:tcW w:w="4536" w:type="dxa"/>
            <w:tcBorders>
              <w:top w:val="single" w:sz="4" w:space="0" w:color="auto"/>
              <w:left w:val="single" w:sz="4" w:space="0" w:color="auto"/>
              <w:bottom w:val="single" w:sz="4" w:space="0" w:color="auto"/>
              <w:right w:val="single" w:sz="4" w:space="0" w:color="auto"/>
            </w:tcBorders>
            <w:vAlign w:val="bottom"/>
          </w:tcPr>
          <w:p w:rsidR="00B26431" w:rsidRPr="00B26431" w:rsidRDefault="00B26431" w:rsidP="00B26431">
            <w:pPr>
              <w:keepNext/>
              <w:jc w:val="left"/>
              <w:rPr>
                <w:rFonts w:eastAsia="Times New Roman"/>
                <w:sz w:val="24"/>
                <w:szCs w:val="24"/>
                <w:lang w:eastAsia="ru-RU"/>
              </w:rPr>
            </w:pPr>
            <w:r w:rsidRPr="00B26431">
              <w:rPr>
                <w:rFonts w:eastAsia="Times New Roman"/>
                <w:sz w:val="24"/>
                <w:szCs w:val="24"/>
                <w:lang w:eastAsia="ru-RU"/>
              </w:rPr>
              <w:t>Питома вага хворих виявлення в ранніх стадіях (І – ІІ) серед хворих з вперше встановленим діагнозом онкологія шийки матки</w:t>
            </w:r>
          </w:p>
        </w:tc>
        <w:tc>
          <w:tcPr>
            <w:tcW w:w="968"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sz w:val="24"/>
                <w:szCs w:val="24"/>
                <w:lang w:eastAsia="ru-RU"/>
              </w:rPr>
            </w:pPr>
            <w:r w:rsidRPr="00B26431">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sz w:val="24"/>
                <w:szCs w:val="24"/>
                <w:lang w:eastAsia="ru-RU"/>
              </w:rPr>
            </w:pPr>
            <w:r w:rsidRPr="00B26431">
              <w:rPr>
                <w:rFonts w:eastAsia="Times New Roman"/>
                <w:sz w:val="24"/>
                <w:szCs w:val="24"/>
                <w:lang w:eastAsia="ru-RU"/>
              </w:rPr>
              <w:t>55,00</w:t>
            </w:r>
          </w:p>
        </w:tc>
        <w:tc>
          <w:tcPr>
            <w:tcW w:w="968"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sz w:val="24"/>
                <w:szCs w:val="24"/>
                <w:lang w:eastAsia="ru-RU"/>
              </w:rPr>
            </w:pPr>
            <w:r w:rsidRPr="00B26431">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sz w:val="24"/>
                <w:szCs w:val="24"/>
                <w:lang w:eastAsia="ru-RU"/>
              </w:rPr>
            </w:pPr>
            <w:r w:rsidRPr="00B26431">
              <w:rPr>
                <w:rFonts w:eastAsia="Times New Roman"/>
                <w:sz w:val="24"/>
                <w:szCs w:val="24"/>
                <w:lang w:eastAsia="ru-RU"/>
              </w:rPr>
              <w:t>4,25</w:t>
            </w:r>
          </w:p>
        </w:tc>
        <w:tc>
          <w:tcPr>
            <w:tcW w:w="968"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sz w:val="24"/>
                <w:szCs w:val="24"/>
                <w:lang w:eastAsia="ru-RU"/>
              </w:rPr>
            </w:pPr>
            <w:r w:rsidRPr="00B26431">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sz w:val="24"/>
                <w:szCs w:val="24"/>
                <w:lang w:eastAsia="ru-RU"/>
              </w:rPr>
            </w:pPr>
            <w:r w:rsidRPr="00B26431">
              <w:rPr>
                <w:rFonts w:eastAsia="Times New Roman"/>
                <w:sz w:val="24"/>
                <w:szCs w:val="24"/>
                <w:lang w:eastAsia="ru-RU"/>
              </w:rPr>
              <w:t>0,71</w:t>
            </w:r>
          </w:p>
        </w:tc>
      </w:tr>
      <w:tr w:rsidR="00B26431" w:rsidRPr="00B26431" w:rsidTr="00B26431">
        <w:trPr>
          <w:trHeight w:val="600"/>
          <w:jc w:val="center"/>
        </w:trPr>
        <w:tc>
          <w:tcPr>
            <w:tcW w:w="4536" w:type="dxa"/>
            <w:tcBorders>
              <w:top w:val="single" w:sz="4" w:space="0" w:color="auto"/>
              <w:left w:val="single" w:sz="4" w:space="0" w:color="auto"/>
              <w:bottom w:val="single" w:sz="4" w:space="0" w:color="auto"/>
              <w:right w:val="single" w:sz="4" w:space="0" w:color="auto"/>
            </w:tcBorders>
          </w:tcPr>
          <w:p w:rsidR="00B26431" w:rsidRPr="00B26431" w:rsidRDefault="00B26431" w:rsidP="00B26431">
            <w:pPr>
              <w:keepNext/>
              <w:rPr>
                <w:rFonts w:eastAsia="Times New Roman"/>
                <w:color w:val="000000"/>
                <w:sz w:val="24"/>
                <w:szCs w:val="24"/>
                <w:lang w:eastAsia="uk-UA"/>
              </w:rPr>
            </w:pPr>
            <w:r w:rsidRPr="00B26431">
              <w:rPr>
                <w:rFonts w:eastAsia="Times New Roman"/>
                <w:color w:val="000000"/>
                <w:sz w:val="24"/>
                <w:szCs w:val="24"/>
                <w:lang w:eastAsia="uk-UA"/>
              </w:rPr>
              <w:t>Індекс концентрації розродження вагітних з цукровим діабетом у ЗПД ІІІ рівня</w:t>
            </w:r>
          </w:p>
        </w:tc>
        <w:tc>
          <w:tcPr>
            <w:tcW w:w="968"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color w:val="000000"/>
                <w:sz w:val="24"/>
                <w:szCs w:val="24"/>
                <w:lang w:eastAsia="ru-RU"/>
              </w:rPr>
            </w:pPr>
            <w:r w:rsidRPr="00B26431">
              <w:rPr>
                <w:rFonts w:eastAsia="Times New Roman"/>
                <w:color w:val="000000"/>
                <w:sz w:val="24"/>
                <w:szCs w:val="24"/>
                <w:lang w:eastAsia="ru-RU"/>
              </w:rPr>
              <w:t>0</w:t>
            </w:r>
          </w:p>
        </w:tc>
        <w:tc>
          <w:tcPr>
            <w:tcW w:w="969"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color w:val="000000"/>
                <w:sz w:val="24"/>
                <w:szCs w:val="24"/>
                <w:lang w:eastAsia="ru-RU"/>
              </w:rPr>
            </w:pPr>
            <w:r w:rsidRPr="00B26431">
              <w:rPr>
                <w:rFonts w:eastAsia="Times New Roman"/>
                <w:color w:val="000000"/>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color w:val="000000"/>
                <w:sz w:val="24"/>
                <w:szCs w:val="24"/>
                <w:lang w:eastAsia="ru-RU"/>
              </w:rPr>
            </w:pPr>
            <w:r w:rsidRPr="00B26431">
              <w:rPr>
                <w:rFonts w:eastAsia="Times New Roman"/>
                <w:color w:val="000000"/>
                <w:sz w:val="24"/>
                <w:szCs w:val="24"/>
                <w:lang w:eastAsia="ru-RU"/>
              </w:rPr>
              <w:t>0,00</w:t>
            </w:r>
          </w:p>
        </w:tc>
        <w:tc>
          <w:tcPr>
            <w:tcW w:w="969"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sz w:val="24"/>
                <w:szCs w:val="24"/>
                <w:lang w:eastAsia="ru-RU"/>
              </w:rPr>
            </w:pPr>
            <w:r w:rsidRPr="00B26431">
              <w:rPr>
                <w:rFonts w:eastAsia="Times New Roman"/>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color w:val="000000"/>
                <w:sz w:val="24"/>
                <w:szCs w:val="24"/>
                <w:lang w:eastAsia="ru-RU"/>
              </w:rPr>
            </w:pPr>
            <w:r w:rsidRPr="00B26431">
              <w:rPr>
                <w:rFonts w:eastAsia="Times New Roman"/>
                <w:color w:val="000000"/>
                <w:sz w:val="24"/>
                <w:szCs w:val="24"/>
                <w:lang w:eastAsia="ru-RU"/>
              </w:rPr>
              <w:t>0,00</w:t>
            </w:r>
          </w:p>
        </w:tc>
        <w:tc>
          <w:tcPr>
            <w:tcW w:w="969"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sz w:val="24"/>
                <w:szCs w:val="24"/>
                <w:lang w:eastAsia="ru-RU"/>
              </w:rPr>
            </w:pPr>
            <w:r w:rsidRPr="00B26431">
              <w:rPr>
                <w:rFonts w:eastAsia="Times New Roman"/>
                <w:sz w:val="24"/>
                <w:szCs w:val="24"/>
                <w:lang w:eastAsia="ru-RU"/>
              </w:rPr>
              <w:t>**</w:t>
            </w:r>
          </w:p>
        </w:tc>
      </w:tr>
    </w:tbl>
    <w:tbl>
      <w:tblPr>
        <w:tblpPr w:leftFromText="180" w:rightFromText="180" w:vertAnchor="text" w:horzAnchor="margin" w:tblpY="872"/>
        <w:tblW w:w="103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36"/>
        <w:gridCol w:w="968"/>
        <w:gridCol w:w="969"/>
        <w:gridCol w:w="968"/>
        <w:gridCol w:w="969"/>
        <w:gridCol w:w="968"/>
        <w:gridCol w:w="969"/>
      </w:tblGrid>
      <w:tr w:rsidR="00B26431" w:rsidRPr="00B26431" w:rsidTr="00B26431">
        <w:trPr>
          <w:trHeight w:val="600"/>
        </w:trPr>
        <w:tc>
          <w:tcPr>
            <w:tcW w:w="4536" w:type="dxa"/>
            <w:tcBorders>
              <w:top w:val="single" w:sz="4" w:space="0" w:color="auto"/>
              <w:left w:val="single" w:sz="4" w:space="0" w:color="auto"/>
              <w:bottom w:val="single" w:sz="4" w:space="0" w:color="auto"/>
              <w:right w:val="single" w:sz="4" w:space="0" w:color="auto"/>
            </w:tcBorders>
          </w:tcPr>
          <w:p w:rsidR="00B26431" w:rsidRPr="00B26431" w:rsidRDefault="00B26431" w:rsidP="00B26431">
            <w:pPr>
              <w:keepNext/>
              <w:rPr>
                <w:rFonts w:eastAsia="Times New Roman"/>
                <w:color w:val="000000"/>
                <w:sz w:val="24"/>
                <w:szCs w:val="24"/>
                <w:lang w:eastAsia="uk-UA"/>
              </w:rPr>
            </w:pPr>
            <w:r w:rsidRPr="00B26431">
              <w:rPr>
                <w:rFonts w:eastAsia="Times New Roman"/>
                <w:color w:val="000000"/>
                <w:sz w:val="24"/>
                <w:szCs w:val="24"/>
                <w:lang w:eastAsia="uk-UA"/>
              </w:rPr>
              <w:lastRenderedPageBreak/>
              <w:t>Індекс концентрації розродження вагітних з  пре- еклампсією і еклампсією  у ЗПД ІІ-ІІІ рівнів</w:t>
            </w:r>
          </w:p>
        </w:tc>
        <w:tc>
          <w:tcPr>
            <w:tcW w:w="968"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color w:val="000000"/>
                <w:sz w:val="24"/>
                <w:szCs w:val="24"/>
                <w:lang w:eastAsia="ru-RU"/>
              </w:rPr>
            </w:pPr>
            <w:r w:rsidRPr="00B26431">
              <w:rPr>
                <w:rFonts w:eastAsia="Times New Roman"/>
                <w:color w:val="000000"/>
                <w:sz w:val="24"/>
                <w:szCs w:val="24"/>
                <w:lang w:eastAsia="ru-RU"/>
              </w:rPr>
              <w:t>71,79</w:t>
            </w:r>
          </w:p>
        </w:tc>
        <w:tc>
          <w:tcPr>
            <w:tcW w:w="969"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color w:val="000000"/>
                <w:sz w:val="24"/>
                <w:szCs w:val="24"/>
                <w:lang w:eastAsia="ru-RU"/>
              </w:rPr>
            </w:pPr>
            <w:r w:rsidRPr="00B26431">
              <w:rPr>
                <w:rFonts w:eastAsia="Times New Roman"/>
                <w:color w:val="000000"/>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color w:val="000000"/>
                <w:sz w:val="24"/>
                <w:szCs w:val="24"/>
                <w:lang w:eastAsia="ru-RU"/>
              </w:rPr>
            </w:pPr>
            <w:r w:rsidRPr="00B26431">
              <w:rPr>
                <w:rFonts w:eastAsia="Times New Roman"/>
                <w:color w:val="000000"/>
                <w:sz w:val="24"/>
                <w:szCs w:val="24"/>
                <w:lang w:eastAsia="ru-RU"/>
              </w:rPr>
              <w:t>5,58</w:t>
            </w:r>
          </w:p>
        </w:tc>
        <w:tc>
          <w:tcPr>
            <w:tcW w:w="969"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sz w:val="24"/>
                <w:szCs w:val="24"/>
                <w:lang w:eastAsia="ru-RU"/>
              </w:rPr>
            </w:pPr>
            <w:r w:rsidRPr="00B26431">
              <w:rPr>
                <w:rFonts w:eastAsia="Times New Roman"/>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color w:val="000000"/>
                <w:sz w:val="24"/>
                <w:szCs w:val="24"/>
                <w:lang w:eastAsia="ru-RU"/>
              </w:rPr>
            </w:pPr>
            <w:r w:rsidRPr="00B26431">
              <w:rPr>
                <w:rFonts w:eastAsia="Times New Roman"/>
                <w:color w:val="000000"/>
                <w:sz w:val="24"/>
                <w:szCs w:val="24"/>
                <w:lang w:eastAsia="ru-RU"/>
              </w:rPr>
              <w:t>0,80</w:t>
            </w:r>
          </w:p>
        </w:tc>
        <w:tc>
          <w:tcPr>
            <w:tcW w:w="969"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sz w:val="24"/>
                <w:szCs w:val="24"/>
                <w:lang w:eastAsia="ru-RU"/>
              </w:rPr>
            </w:pPr>
            <w:r w:rsidRPr="00B26431">
              <w:rPr>
                <w:rFonts w:eastAsia="Times New Roman"/>
                <w:sz w:val="24"/>
                <w:szCs w:val="24"/>
                <w:lang w:eastAsia="ru-RU"/>
              </w:rPr>
              <w:t>**</w:t>
            </w:r>
          </w:p>
        </w:tc>
      </w:tr>
      <w:tr w:rsidR="00B26431" w:rsidRPr="00B26431" w:rsidTr="00B26431">
        <w:trPr>
          <w:trHeight w:val="600"/>
        </w:trPr>
        <w:tc>
          <w:tcPr>
            <w:tcW w:w="4536" w:type="dxa"/>
            <w:tcBorders>
              <w:top w:val="single" w:sz="4" w:space="0" w:color="auto"/>
              <w:left w:val="single" w:sz="4" w:space="0" w:color="auto"/>
              <w:bottom w:val="single" w:sz="4" w:space="0" w:color="auto"/>
              <w:right w:val="single" w:sz="4" w:space="0" w:color="auto"/>
            </w:tcBorders>
          </w:tcPr>
          <w:p w:rsidR="00B26431" w:rsidRPr="00B26431" w:rsidRDefault="00B26431" w:rsidP="00B26431">
            <w:pPr>
              <w:keepNext/>
              <w:rPr>
                <w:rFonts w:eastAsia="Times New Roman"/>
                <w:color w:val="000000"/>
                <w:sz w:val="24"/>
                <w:szCs w:val="24"/>
                <w:lang w:eastAsia="uk-UA"/>
              </w:rPr>
            </w:pPr>
            <w:r w:rsidRPr="00B26431">
              <w:rPr>
                <w:rFonts w:eastAsia="Times New Roman"/>
                <w:color w:val="000000"/>
                <w:sz w:val="24"/>
                <w:szCs w:val="24"/>
                <w:lang w:eastAsia="uk-UA"/>
              </w:rPr>
              <w:t>Індекс концентрації новонароджених масою тіла при народженні 500-1499г у ЗПД ІІІ рівня</w:t>
            </w:r>
          </w:p>
        </w:tc>
        <w:tc>
          <w:tcPr>
            <w:tcW w:w="968"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color w:val="000000"/>
                <w:sz w:val="24"/>
                <w:szCs w:val="24"/>
                <w:lang w:eastAsia="ru-RU"/>
              </w:rPr>
            </w:pPr>
            <w:r w:rsidRPr="00B26431">
              <w:rPr>
                <w:rFonts w:eastAsia="Times New Roman"/>
                <w:color w:val="000000"/>
                <w:sz w:val="24"/>
                <w:szCs w:val="24"/>
                <w:lang w:eastAsia="ru-RU"/>
              </w:rPr>
              <w:t>0</w:t>
            </w:r>
          </w:p>
        </w:tc>
        <w:tc>
          <w:tcPr>
            <w:tcW w:w="969"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color w:val="000000"/>
                <w:sz w:val="24"/>
                <w:szCs w:val="24"/>
                <w:lang w:eastAsia="ru-RU"/>
              </w:rPr>
            </w:pPr>
            <w:r w:rsidRPr="00B26431">
              <w:rPr>
                <w:rFonts w:eastAsia="Times New Roman"/>
                <w:color w:val="000000"/>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color w:val="000000"/>
                <w:sz w:val="24"/>
                <w:szCs w:val="24"/>
                <w:lang w:eastAsia="ru-RU"/>
              </w:rPr>
            </w:pPr>
            <w:r w:rsidRPr="00B26431">
              <w:rPr>
                <w:rFonts w:eastAsia="Times New Roman"/>
                <w:color w:val="000000"/>
                <w:sz w:val="24"/>
                <w:szCs w:val="24"/>
                <w:lang w:eastAsia="ru-RU"/>
              </w:rPr>
              <w:t>0,00</w:t>
            </w:r>
          </w:p>
        </w:tc>
        <w:tc>
          <w:tcPr>
            <w:tcW w:w="969"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sz w:val="24"/>
                <w:szCs w:val="24"/>
                <w:lang w:eastAsia="ru-RU"/>
              </w:rPr>
            </w:pPr>
            <w:r w:rsidRPr="00B26431">
              <w:rPr>
                <w:rFonts w:eastAsia="Times New Roman"/>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color w:val="000000"/>
                <w:sz w:val="24"/>
                <w:szCs w:val="24"/>
                <w:lang w:eastAsia="ru-RU"/>
              </w:rPr>
            </w:pPr>
            <w:r w:rsidRPr="00B26431">
              <w:rPr>
                <w:rFonts w:eastAsia="Times New Roman"/>
                <w:color w:val="000000"/>
                <w:sz w:val="24"/>
                <w:szCs w:val="24"/>
                <w:lang w:eastAsia="ru-RU"/>
              </w:rPr>
              <w:t>0,00</w:t>
            </w:r>
          </w:p>
        </w:tc>
        <w:tc>
          <w:tcPr>
            <w:tcW w:w="969"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sz w:val="24"/>
                <w:szCs w:val="24"/>
                <w:lang w:eastAsia="ru-RU"/>
              </w:rPr>
            </w:pPr>
            <w:r w:rsidRPr="00B26431">
              <w:rPr>
                <w:rFonts w:eastAsia="Times New Roman"/>
                <w:sz w:val="24"/>
                <w:szCs w:val="24"/>
                <w:lang w:eastAsia="ru-RU"/>
              </w:rPr>
              <w:t>**</w:t>
            </w:r>
          </w:p>
        </w:tc>
      </w:tr>
      <w:tr w:rsidR="00B26431" w:rsidRPr="00B26431" w:rsidTr="00B26431">
        <w:trPr>
          <w:trHeight w:val="342"/>
        </w:trPr>
        <w:tc>
          <w:tcPr>
            <w:tcW w:w="4536" w:type="dxa"/>
            <w:tcBorders>
              <w:top w:val="single" w:sz="4" w:space="0" w:color="auto"/>
              <w:left w:val="single" w:sz="4" w:space="0" w:color="auto"/>
              <w:bottom w:val="single" w:sz="4" w:space="0" w:color="auto"/>
              <w:right w:val="single" w:sz="4" w:space="0" w:color="auto"/>
            </w:tcBorders>
            <w:vAlign w:val="bottom"/>
          </w:tcPr>
          <w:p w:rsidR="00B26431" w:rsidRPr="00B26431" w:rsidRDefault="00B26431" w:rsidP="00B26431">
            <w:pPr>
              <w:keepNext/>
              <w:jc w:val="left"/>
              <w:rPr>
                <w:rFonts w:eastAsia="Times New Roman"/>
                <w:sz w:val="24"/>
                <w:szCs w:val="24"/>
                <w:lang w:eastAsia="ru-RU"/>
              </w:rPr>
            </w:pPr>
            <w:r w:rsidRPr="00B26431">
              <w:rPr>
                <w:rFonts w:eastAsia="Times New Roman"/>
                <w:sz w:val="24"/>
                <w:szCs w:val="24"/>
                <w:lang w:eastAsia="ru-RU"/>
              </w:rPr>
              <w:t>Індекс неонатального трансферу</w:t>
            </w:r>
          </w:p>
        </w:tc>
        <w:tc>
          <w:tcPr>
            <w:tcW w:w="968"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sz w:val="24"/>
                <w:szCs w:val="24"/>
                <w:lang w:eastAsia="ru-RU"/>
              </w:rPr>
            </w:pPr>
            <w:r w:rsidRPr="00B26431">
              <w:rPr>
                <w:rFonts w:eastAsia="Times New Roman"/>
                <w:sz w:val="24"/>
                <w:szCs w:val="24"/>
                <w:lang w:eastAsia="ru-RU"/>
              </w:rPr>
              <w:t>4,85</w:t>
            </w:r>
          </w:p>
        </w:tc>
        <w:tc>
          <w:tcPr>
            <w:tcW w:w="969"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sz w:val="24"/>
                <w:szCs w:val="24"/>
                <w:lang w:eastAsia="ru-RU"/>
              </w:rPr>
            </w:pPr>
            <w:r w:rsidRPr="00B26431">
              <w:rPr>
                <w:rFonts w:eastAsia="Times New Roman"/>
                <w:sz w:val="24"/>
                <w:szCs w:val="24"/>
                <w:lang w:eastAsia="ru-RU"/>
              </w:rPr>
              <w:t>4,31</w:t>
            </w:r>
          </w:p>
        </w:tc>
        <w:tc>
          <w:tcPr>
            <w:tcW w:w="968"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sz w:val="24"/>
                <w:szCs w:val="24"/>
                <w:lang w:eastAsia="ru-RU"/>
              </w:rPr>
            </w:pPr>
            <w:r w:rsidRPr="00B26431">
              <w:rPr>
                <w:rFonts w:eastAsia="Times New Roman"/>
                <w:sz w:val="24"/>
                <w:szCs w:val="24"/>
                <w:lang w:eastAsia="ru-RU"/>
              </w:rPr>
              <w:t>5,51</w:t>
            </w:r>
          </w:p>
        </w:tc>
        <w:tc>
          <w:tcPr>
            <w:tcW w:w="969"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sz w:val="24"/>
                <w:szCs w:val="24"/>
                <w:lang w:eastAsia="ru-RU"/>
              </w:rPr>
            </w:pPr>
            <w:r w:rsidRPr="00B26431">
              <w:rPr>
                <w:rFonts w:eastAsia="Times New Roman"/>
                <w:sz w:val="24"/>
                <w:szCs w:val="24"/>
                <w:lang w:eastAsia="ru-RU"/>
              </w:rPr>
              <w:t>7,0</w:t>
            </w:r>
          </w:p>
        </w:tc>
        <w:tc>
          <w:tcPr>
            <w:tcW w:w="968"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sz w:val="24"/>
                <w:szCs w:val="24"/>
                <w:lang w:eastAsia="ru-RU"/>
              </w:rPr>
            </w:pPr>
            <w:r w:rsidRPr="00B26431">
              <w:rPr>
                <w:rFonts w:eastAsia="Times New Roman"/>
                <w:sz w:val="24"/>
                <w:szCs w:val="24"/>
                <w:lang w:eastAsia="ru-RU"/>
              </w:rPr>
              <w:t>0,79</w:t>
            </w:r>
          </w:p>
        </w:tc>
        <w:tc>
          <w:tcPr>
            <w:tcW w:w="969"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sz w:val="24"/>
                <w:szCs w:val="24"/>
                <w:lang w:eastAsia="ru-RU"/>
              </w:rPr>
            </w:pPr>
            <w:r w:rsidRPr="00B26431">
              <w:rPr>
                <w:rFonts w:eastAsia="Times New Roman"/>
                <w:sz w:val="24"/>
                <w:szCs w:val="24"/>
                <w:lang w:eastAsia="ru-RU"/>
              </w:rPr>
              <w:t>1,00</w:t>
            </w:r>
          </w:p>
        </w:tc>
      </w:tr>
      <w:tr w:rsidR="00B26431" w:rsidRPr="00B26431" w:rsidTr="00B26431">
        <w:trPr>
          <w:trHeight w:val="384"/>
        </w:trPr>
        <w:tc>
          <w:tcPr>
            <w:tcW w:w="4536"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left"/>
              <w:rPr>
                <w:rFonts w:eastAsia="Times New Roman"/>
                <w:sz w:val="24"/>
                <w:szCs w:val="24"/>
                <w:lang w:eastAsia="ru-RU"/>
              </w:rPr>
            </w:pPr>
            <w:r w:rsidRPr="00B26431">
              <w:rPr>
                <w:rFonts w:eastAsia="Times New Roman"/>
                <w:sz w:val="24"/>
                <w:szCs w:val="24"/>
                <w:lang w:eastAsia="ru-RU"/>
              </w:rPr>
              <w:t>Частота нормальних пологів</w:t>
            </w:r>
          </w:p>
        </w:tc>
        <w:tc>
          <w:tcPr>
            <w:tcW w:w="968"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color w:val="000000"/>
                <w:sz w:val="24"/>
                <w:szCs w:val="24"/>
                <w:lang w:eastAsia="ru-RU"/>
              </w:rPr>
            </w:pPr>
            <w:r w:rsidRPr="00B26431">
              <w:rPr>
                <w:rFonts w:eastAsia="Times New Roman"/>
                <w:color w:val="000000"/>
                <w:sz w:val="24"/>
                <w:szCs w:val="24"/>
                <w:lang w:eastAsia="ru-RU"/>
              </w:rPr>
              <w:t>68,26</w:t>
            </w:r>
          </w:p>
        </w:tc>
        <w:tc>
          <w:tcPr>
            <w:tcW w:w="969"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sz w:val="24"/>
                <w:szCs w:val="24"/>
                <w:lang w:eastAsia="ru-RU"/>
              </w:rPr>
            </w:pPr>
            <w:r w:rsidRPr="00B26431">
              <w:rPr>
                <w:rFonts w:eastAsia="Times New Roman"/>
                <w:sz w:val="24"/>
                <w:szCs w:val="24"/>
                <w:lang w:eastAsia="ru-RU"/>
              </w:rPr>
              <w:t>70,35</w:t>
            </w:r>
          </w:p>
        </w:tc>
        <w:tc>
          <w:tcPr>
            <w:tcW w:w="968"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color w:val="000000"/>
                <w:sz w:val="24"/>
                <w:szCs w:val="24"/>
                <w:lang w:eastAsia="ru-RU"/>
              </w:rPr>
            </w:pPr>
            <w:r w:rsidRPr="00B26431">
              <w:rPr>
                <w:rFonts w:eastAsia="Times New Roman"/>
                <w:color w:val="000000"/>
                <w:sz w:val="24"/>
                <w:szCs w:val="24"/>
                <w:lang w:eastAsia="ru-RU"/>
              </w:rPr>
              <w:t>4,88</w:t>
            </w:r>
          </w:p>
        </w:tc>
        <w:tc>
          <w:tcPr>
            <w:tcW w:w="969"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sz w:val="24"/>
                <w:szCs w:val="24"/>
                <w:lang w:eastAsia="ru-RU"/>
              </w:rPr>
            </w:pPr>
            <w:r w:rsidRPr="00B26431">
              <w:rPr>
                <w:rFonts w:eastAsia="Times New Roman"/>
                <w:sz w:val="24"/>
                <w:szCs w:val="24"/>
                <w:lang w:eastAsia="ru-RU"/>
              </w:rPr>
              <w:t>5,0</w:t>
            </w:r>
          </w:p>
        </w:tc>
        <w:tc>
          <w:tcPr>
            <w:tcW w:w="968"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color w:val="000000"/>
                <w:sz w:val="24"/>
                <w:szCs w:val="24"/>
                <w:lang w:eastAsia="ru-RU"/>
              </w:rPr>
            </w:pPr>
            <w:r w:rsidRPr="00B26431">
              <w:rPr>
                <w:rFonts w:eastAsia="Times New Roman"/>
                <w:color w:val="000000"/>
                <w:sz w:val="24"/>
                <w:szCs w:val="24"/>
                <w:lang w:eastAsia="ru-RU"/>
              </w:rPr>
              <w:t>0,98</w:t>
            </w:r>
          </w:p>
        </w:tc>
        <w:tc>
          <w:tcPr>
            <w:tcW w:w="969"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sz w:val="24"/>
                <w:szCs w:val="24"/>
                <w:lang w:eastAsia="ru-RU"/>
              </w:rPr>
            </w:pPr>
            <w:r w:rsidRPr="00B26431">
              <w:rPr>
                <w:rFonts w:eastAsia="Times New Roman"/>
                <w:sz w:val="24"/>
                <w:szCs w:val="24"/>
                <w:lang w:eastAsia="ru-RU"/>
              </w:rPr>
              <w:t>1,00</w:t>
            </w:r>
          </w:p>
        </w:tc>
      </w:tr>
      <w:tr w:rsidR="00B26431" w:rsidRPr="00B26431" w:rsidTr="00B26431">
        <w:trPr>
          <w:trHeight w:val="553"/>
        </w:trPr>
        <w:tc>
          <w:tcPr>
            <w:tcW w:w="4536" w:type="dxa"/>
            <w:tcBorders>
              <w:top w:val="single" w:sz="4" w:space="0" w:color="auto"/>
              <w:left w:val="single" w:sz="4" w:space="0" w:color="auto"/>
              <w:bottom w:val="single" w:sz="4" w:space="0" w:color="auto"/>
              <w:right w:val="single" w:sz="4" w:space="0" w:color="auto"/>
            </w:tcBorders>
            <w:vAlign w:val="bottom"/>
          </w:tcPr>
          <w:p w:rsidR="00B26431" w:rsidRPr="00B26431" w:rsidRDefault="00B26431" w:rsidP="00B26431">
            <w:pPr>
              <w:keepNext/>
              <w:jc w:val="left"/>
              <w:rPr>
                <w:rFonts w:eastAsia="Times New Roman"/>
                <w:sz w:val="24"/>
                <w:szCs w:val="24"/>
                <w:lang w:eastAsia="ru-RU"/>
              </w:rPr>
            </w:pPr>
            <w:r w:rsidRPr="00B26431">
              <w:rPr>
                <w:rFonts w:eastAsia="Times New Roman"/>
                <w:sz w:val="24"/>
                <w:szCs w:val="24"/>
                <w:lang w:eastAsia="ru-RU"/>
              </w:rPr>
              <w:t>Частота розроджень вагітних шляхом кесаревого розтину</w:t>
            </w:r>
          </w:p>
        </w:tc>
        <w:tc>
          <w:tcPr>
            <w:tcW w:w="968"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color w:val="000000"/>
                <w:sz w:val="24"/>
                <w:szCs w:val="24"/>
                <w:lang w:eastAsia="ru-RU"/>
              </w:rPr>
            </w:pPr>
            <w:r w:rsidRPr="00B26431">
              <w:rPr>
                <w:rFonts w:eastAsia="Times New Roman"/>
                <w:color w:val="000000"/>
                <w:sz w:val="24"/>
                <w:szCs w:val="24"/>
                <w:lang w:eastAsia="ru-RU"/>
              </w:rPr>
              <w:t>223,8</w:t>
            </w:r>
          </w:p>
        </w:tc>
        <w:tc>
          <w:tcPr>
            <w:tcW w:w="969"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sz w:val="24"/>
                <w:szCs w:val="24"/>
                <w:lang w:eastAsia="ru-RU"/>
              </w:rPr>
            </w:pPr>
            <w:r w:rsidRPr="00B26431">
              <w:rPr>
                <w:rFonts w:eastAsia="Times New Roman"/>
                <w:sz w:val="24"/>
                <w:szCs w:val="24"/>
                <w:lang w:eastAsia="ru-RU"/>
              </w:rPr>
              <w:t>220,43</w:t>
            </w:r>
          </w:p>
        </w:tc>
        <w:tc>
          <w:tcPr>
            <w:tcW w:w="968"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color w:val="000000"/>
                <w:sz w:val="24"/>
                <w:szCs w:val="24"/>
                <w:lang w:eastAsia="ru-RU"/>
              </w:rPr>
            </w:pPr>
            <w:r w:rsidRPr="00B26431">
              <w:rPr>
                <w:rFonts w:eastAsia="Times New Roman"/>
                <w:color w:val="000000"/>
                <w:sz w:val="24"/>
                <w:szCs w:val="24"/>
                <w:lang w:eastAsia="ru-RU"/>
              </w:rPr>
              <w:t>4,21</w:t>
            </w:r>
          </w:p>
        </w:tc>
        <w:tc>
          <w:tcPr>
            <w:tcW w:w="969"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sz w:val="24"/>
                <w:szCs w:val="24"/>
                <w:lang w:eastAsia="ru-RU"/>
              </w:rPr>
            </w:pPr>
            <w:r w:rsidRPr="00B26431">
              <w:rPr>
                <w:rFonts w:eastAsia="Times New Roman"/>
                <w:sz w:val="24"/>
                <w:szCs w:val="24"/>
                <w:lang w:eastAsia="ru-RU"/>
              </w:rPr>
              <w:t>5,38</w:t>
            </w:r>
          </w:p>
        </w:tc>
        <w:tc>
          <w:tcPr>
            <w:tcW w:w="968"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color w:val="000000"/>
                <w:sz w:val="24"/>
                <w:szCs w:val="24"/>
                <w:lang w:eastAsia="ru-RU"/>
              </w:rPr>
            </w:pPr>
            <w:r w:rsidRPr="00B26431">
              <w:rPr>
                <w:rFonts w:eastAsia="Times New Roman"/>
                <w:color w:val="000000"/>
                <w:sz w:val="24"/>
                <w:szCs w:val="24"/>
                <w:lang w:eastAsia="ru-RU"/>
              </w:rPr>
              <w:t>0,60</w:t>
            </w:r>
          </w:p>
        </w:tc>
        <w:tc>
          <w:tcPr>
            <w:tcW w:w="969"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sz w:val="24"/>
                <w:szCs w:val="24"/>
                <w:lang w:eastAsia="ru-RU"/>
              </w:rPr>
            </w:pPr>
            <w:r w:rsidRPr="00B26431">
              <w:rPr>
                <w:rFonts w:eastAsia="Times New Roman"/>
                <w:sz w:val="24"/>
                <w:szCs w:val="24"/>
                <w:lang w:eastAsia="ru-RU"/>
              </w:rPr>
              <w:t>0,77</w:t>
            </w:r>
          </w:p>
        </w:tc>
      </w:tr>
      <w:tr w:rsidR="00B26431" w:rsidRPr="00B26431" w:rsidTr="00B26431">
        <w:trPr>
          <w:trHeight w:val="276"/>
        </w:trPr>
        <w:tc>
          <w:tcPr>
            <w:tcW w:w="4536" w:type="dxa"/>
            <w:tcBorders>
              <w:top w:val="single" w:sz="4" w:space="0" w:color="auto"/>
              <w:left w:val="single" w:sz="4" w:space="0" w:color="auto"/>
              <w:bottom w:val="single" w:sz="4" w:space="0" w:color="auto"/>
              <w:right w:val="single" w:sz="4" w:space="0" w:color="auto"/>
            </w:tcBorders>
            <w:vAlign w:val="bottom"/>
          </w:tcPr>
          <w:p w:rsidR="00B26431" w:rsidRPr="00B26431" w:rsidRDefault="00B26431" w:rsidP="00B26431">
            <w:pPr>
              <w:keepNext/>
              <w:jc w:val="left"/>
              <w:rPr>
                <w:rFonts w:eastAsia="Times New Roman"/>
                <w:sz w:val="24"/>
                <w:szCs w:val="24"/>
                <w:lang w:eastAsia="ru-RU"/>
              </w:rPr>
            </w:pPr>
            <w:r w:rsidRPr="00B26431">
              <w:rPr>
                <w:rFonts w:eastAsia="Times New Roman"/>
                <w:sz w:val="24"/>
                <w:szCs w:val="24"/>
                <w:lang w:eastAsia="ru-RU"/>
              </w:rPr>
              <w:t>Частота  кровотеч в послідовому і післяродовому періодах</w:t>
            </w:r>
          </w:p>
        </w:tc>
        <w:tc>
          <w:tcPr>
            <w:tcW w:w="968"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color w:val="000000"/>
                <w:sz w:val="24"/>
                <w:szCs w:val="24"/>
                <w:lang w:eastAsia="ru-RU"/>
              </w:rPr>
            </w:pPr>
            <w:r w:rsidRPr="00B26431">
              <w:rPr>
                <w:rFonts w:eastAsia="Times New Roman"/>
                <w:color w:val="000000"/>
                <w:sz w:val="24"/>
                <w:szCs w:val="24"/>
                <w:lang w:eastAsia="ru-RU"/>
              </w:rPr>
              <w:t>7,39</w:t>
            </w:r>
          </w:p>
        </w:tc>
        <w:tc>
          <w:tcPr>
            <w:tcW w:w="969"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sz w:val="24"/>
                <w:szCs w:val="24"/>
                <w:lang w:eastAsia="ru-RU"/>
              </w:rPr>
            </w:pPr>
            <w:r w:rsidRPr="00B26431">
              <w:rPr>
                <w:rFonts w:eastAsia="Times New Roman"/>
                <w:sz w:val="24"/>
                <w:szCs w:val="24"/>
                <w:lang w:eastAsia="ru-RU"/>
              </w:rPr>
              <w:t>5,63</w:t>
            </w:r>
          </w:p>
        </w:tc>
        <w:tc>
          <w:tcPr>
            <w:tcW w:w="968"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color w:val="000000"/>
                <w:sz w:val="24"/>
                <w:szCs w:val="24"/>
                <w:lang w:eastAsia="ru-RU"/>
              </w:rPr>
            </w:pPr>
            <w:r w:rsidRPr="00B26431">
              <w:rPr>
                <w:rFonts w:eastAsia="Times New Roman"/>
                <w:color w:val="000000"/>
                <w:sz w:val="24"/>
                <w:szCs w:val="24"/>
                <w:lang w:eastAsia="ru-RU"/>
              </w:rPr>
              <w:t>4,70</w:t>
            </w:r>
          </w:p>
        </w:tc>
        <w:tc>
          <w:tcPr>
            <w:tcW w:w="969"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sz w:val="24"/>
                <w:szCs w:val="24"/>
                <w:lang w:eastAsia="ru-RU"/>
              </w:rPr>
            </w:pPr>
            <w:r w:rsidRPr="00B26431">
              <w:rPr>
                <w:rFonts w:eastAsia="Times New Roman"/>
                <w:sz w:val="24"/>
                <w:szCs w:val="24"/>
                <w:lang w:eastAsia="ru-RU"/>
              </w:rPr>
              <w:t>9,0</w:t>
            </w:r>
          </w:p>
        </w:tc>
        <w:tc>
          <w:tcPr>
            <w:tcW w:w="968"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color w:val="000000"/>
                <w:sz w:val="24"/>
                <w:szCs w:val="24"/>
                <w:lang w:eastAsia="ru-RU"/>
              </w:rPr>
            </w:pPr>
            <w:r w:rsidRPr="00B26431">
              <w:rPr>
                <w:rFonts w:eastAsia="Times New Roman"/>
                <w:color w:val="000000"/>
                <w:sz w:val="24"/>
                <w:szCs w:val="24"/>
                <w:lang w:eastAsia="ru-RU"/>
              </w:rPr>
              <w:t>0,52</w:t>
            </w:r>
          </w:p>
        </w:tc>
        <w:tc>
          <w:tcPr>
            <w:tcW w:w="969"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sz w:val="24"/>
                <w:szCs w:val="24"/>
                <w:lang w:eastAsia="ru-RU"/>
              </w:rPr>
            </w:pPr>
            <w:r w:rsidRPr="00B26431">
              <w:rPr>
                <w:rFonts w:eastAsia="Times New Roman"/>
                <w:sz w:val="24"/>
                <w:szCs w:val="24"/>
                <w:lang w:eastAsia="ru-RU"/>
              </w:rPr>
              <w:t>1,00</w:t>
            </w:r>
          </w:p>
        </w:tc>
      </w:tr>
      <w:tr w:rsidR="00B26431" w:rsidRPr="00B26431" w:rsidTr="00B26431">
        <w:trPr>
          <w:trHeight w:val="293"/>
        </w:trPr>
        <w:tc>
          <w:tcPr>
            <w:tcW w:w="4536" w:type="dxa"/>
            <w:tcBorders>
              <w:top w:val="single" w:sz="4" w:space="0" w:color="auto"/>
              <w:left w:val="single" w:sz="4" w:space="0" w:color="auto"/>
              <w:bottom w:val="single" w:sz="4" w:space="0" w:color="auto"/>
              <w:right w:val="single" w:sz="4" w:space="0" w:color="auto"/>
            </w:tcBorders>
            <w:vAlign w:val="bottom"/>
          </w:tcPr>
          <w:p w:rsidR="00B26431" w:rsidRPr="00B26431" w:rsidRDefault="00B26431" w:rsidP="00B26431">
            <w:pPr>
              <w:keepNext/>
              <w:jc w:val="left"/>
              <w:rPr>
                <w:rFonts w:eastAsia="Times New Roman"/>
                <w:sz w:val="24"/>
                <w:szCs w:val="24"/>
                <w:lang w:eastAsia="ru-RU"/>
              </w:rPr>
            </w:pPr>
            <w:r w:rsidRPr="00B26431">
              <w:rPr>
                <w:rFonts w:eastAsia="Times New Roman"/>
                <w:sz w:val="24"/>
                <w:szCs w:val="24"/>
                <w:lang w:eastAsia="ru-RU"/>
              </w:rPr>
              <w:t>Частота мало вагових новонароджених</w:t>
            </w:r>
          </w:p>
        </w:tc>
        <w:tc>
          <w:tcPr>
            <w:tcW w:w="968"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color w:val="000000"/>
                <w:sz w:val="24"/>
                <w:szCs w:val="24"/>
                <w:lang w:eastAsia="ru-RU"/>
              </w:rPr>
            </w:pPr>
            <w:r w:rsidRPr="00B26431">
              <w:rPr>
                <w:rFonts w:eastAsia="Times New Roman"/>
                <w:color w:val="000000"/>
                <w:sz w:val="24"/>
                <w:szCs w:val="24"/>
                <w:lang w:eastAsia="ru-RU"/>
              </w:rPr>
              <w:t>5,95</w:t>
            </w:r>
          </w:p>
        </w:tc>
        <w:tc>
          <w:tcPr>
            <w:tcW w:w="969"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sz w:val="24"/>
                <w:szCs w:val="24"/>
                <w:lang w:eastAsia="ru-RU"/>
              </w:rPr>
            </w:pPr>
            <w:r w:rsidRPr="00B26431">
              <w:rPr>
                <w:rFonts w:eastAsia="Times New Roman"/>
                <w:sz w:val="24"/>
                <w:szCs w:val="24"/>
                <w:lang w:eastAsia="ru-RU"/>
              </w:rPr>
              <w:t>4,91</w:t>
            </w:r>
          </w:p>
        </w:tc>
        <w:tc>
          <w:tcPr>
            <w:tcW w:w="968"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color w:val="000000"/>
                <w:sz w:val="24"/>
                <w:szCs w:val="24"/>
                <w:lang w:eastAsia="ru-RU"/>
              </w:rPr>
            </w:pPr>
            <w:r w:rsidRPr="00B26431">
              <w:rPr>
                <w:rFonts w:eastAsia="Times New Roman"/>
                <w:color w:val="000000"/>
                <w:sz w:val="24"/>
                <w:szCs w:val="24"/>
                <w:lang w:eastAsia="ru-RU"/>
              </w:rPr>
              <w:t>2,56</w:t>
            </w:r>
          </w:p>
        </w:tc>
        <w:tc>
          <w:tcPr>
            <w:tcW w:w="969"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sz w:val="24"/>
                <w:szCs w:val="24"/>
                <w:lang w:eastAsia="ru-RU"/>
              </w:rPr>
            </w:pPr>
            <w:r w:rsidRPr="00B26431">
              <w:rPr>
                <w:rFonts w:eastAsia="Times New Roman"/>
                <w:sz w:val="24"/>
                <w:szCs w:val="24"/>
                <w:lang w:eastAsia="ru-RU"/>
              </w:rPr>
              <w:t>4,09</w:t>
            </w:r>
          </w:p>
        </w:tc>
        <w:tc>
          <w:tcPr>
            <w:tcW w:w="968"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color w:val="000000"/>
                <w:sz w:val="24"/>
                <w:szCs w:val="24"/>
                <w:lang w:eastAsia="ru-RU"/>
              </w:rPr>
            </w:pPr>
            <w:r w:rsidRPr="00B26431">
              <w:rPr>
                <w:rFonts w:eastAsia="Times New Roman"/>
                <w:color w:val="000000"/>
                <w:sz w:val="24"/>
                <w:szCs w:val="24"/>
                <w:lang w:eastAsia="ru-RU"/>
              </w:rPr>
              <w:t>0,51</w:t>
            </w:r>
          </w:p>
        </w:tc>
        <w:tc>
          <w:tcPr>
            <w:tcW w:w="969"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sz w:val="24"/>
                <w:szCs w:val="24"/>
                <w:lang w:eastAsia="ru-RU"/>
              </w:rPr>
            </w:pPr>
            <w:r w:rsidRPr="00B26431">
              <w:rPr>
                <w:rFonts w:eastAsia="Times New Roman"/>
                <w:sz w:val="24"/>
                <w:szCs w:val="24"/>
                <w:lang w:eastAsia="ru-RU"/>
              </w:rPr>
              <w:t>0,82</w:t>
            </w:r>
          </w:p>
        </w:tc>
      </w:tr>
      <w:tr w:rsidR="00B26431" w:rsidRPr="00B26431" w:rsidTr="00B26431">
        <w:trPr>
          <w:trHeight w:val="344"/>
        </w:trPr>
        <w:tc>
          <w:tcPr>
            <w:tcW w:w="4536" w:type="dxa"/>
            <w:tcBorders>
              <w:top w:val="single" w:sz="4" w:space="0" w:color="auto"/>
              <w:left w:val="single" w:sz="4" w:space="0" w:color="auto"/>
              <w:bottom w:val="single" w:sz="4" w:space="0" w:color="auto"/>
              <w:right w:val="single" w:sz="4" w:space="0" w:color="auto"/>
            </w:tcBorders>
            <w:vAlign w:val="bottom"/>
          </w:tcPr>
          <w:p w:rsidR="00B26431" w:rsidRPr="00B26431" w:rsidRDefault="00B26431" w:rsidP="00B26431">
            <w:pPr>
              <w:keepNext/>
              <w:jc w:val="left"/>
              <w:rPr>
                <w:rFonts w:eastAsia="Times New Roman"/>
                <w:sz w:val="24"/>
                <w:szCs w:val="24"/>
                <w:lang w:eastAsia="ru-RU"/>
              </w:rPr>
            </w:pPr>
            <w:r w:rsidRPr="00B26431">
              <w:rPr>
                <w:rFonts w:eastAsia="Times New Roman"/>
                <w:sz w:val="24"/>
                <w:szCs w:val="24"/>
                <w:lang w:eastAsia="ru-RU"/>
              </w:rPr>
              <w:t>Виживання новонароджених з дуже малою масою тіла при народженні</w:t>
            </w:r>
          </w:p>
        </w:tc>
        <w:tc>
          <w:tcPr>
            <w:tcW w:w="968"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color w:val="000000"/>
                <w:sz w:val="24"/>
                <w:szCs w:val="24"/>
                <w:lang w:eastAsia="ru-RU"/>
              </w:rPr>
            </w:pPr>
            <w:r w:rsidRPr="00B26431">
              <w:rPr>
                <w:rFonts w:eastAsia="Times New Roman"/>
                <w:color w:val="000000"/>
                <w:sz w:val="24"/>
                <w:szCs w:val="24"/>
                <w:lang w:eastAsia="ru-RU"/>
              </w:rPr>
              <w:t>78,26</w:t>
            </w:r>
          </w:p>
        </w:tc>
        <w:tc>
          <w:tcPr>
            <w:tcW w:w="969"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sz w:val="24"/>
                <w:szCs w:val="24"/>
                <w:lang w:eastAsia="ru-RU"/>
              </w:rPr>
            </w:pPr>
            <w:r w:rsidRPr="00B26431">
              <w:rPr>
                <w:rFonts w:eastAsia="Times New Roman"/>
                <w:sz w:val="24"/>
                <w:szCs w:val="24"/>
                <w:lang w:eastAsia="ru-RU"/>
              </w:rPr>
              <w:t>76,56</w:t>
            </w:r>
          </w:p>
        </w:tc>
        <w:tc>
          <w:tcPr>
            <w:tcW w:w="968"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color w:val="000000"/>
                <w:sz w:val="24"/>
                <w:szCs w:val="24"/>
                <w:lang w:eastAsia="ru-RU"/>
              </w:rPr>
            </w:pPr>
            <w:r w:rsidRPr="00B26431">
              <w:rPr>
                <w:rFonts w:eastAsia="Times New Roman"/>
                <w:color w:val="000000"/>
                <w:sz w:val="24"/>
                <w:szCs w:val="24"/>
                <w:lang w:eastAsia="ru-RU"/>
              </w:rPr>
              <w:t>6,96</w:t>
            </w:r>
          </w:p>
        </w:tc>
        <w:tc>
          <w:tcPr>
            <w:tcW w:w="969"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sz w:val="24"/>
                <w:szCs w:val="24"/>
                <w:lang w:eastAsia="ru-RU"/>
              </w:rPr>
            </w:pPr>
            <w:r w:rsidRPr="00B26431">
              <w:rPr>
                <w:rFonts w:eastAsia="Times New Roman"/>
                <w:sz w:val="24"/>
                <w:szCs w:val="24"/>
                <w:lang w:eastAsia="ru-RU"/>
              </w:rPr>
              <w:t>7,24</w:t>
            </w:r>
          </w:p>
        </w:tc>
        <w:tc>
          <w:tcPr>
            <w:tcW w:w="968"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color w:val="000000"/>
                <w:sz w:val="24"/>
                <w:szCs w:val="24"/>
                <w:lang w:eastAsia="ru-RU"/>
              </w:rPr>
            </w:pPr>
            <w:r w:rsidRPr="00B26431">
              <w:rPr>
                <w:rFonts w:eastAsia="Times New Roman"/>
                <w:color w:val="000000"/>
                <w:sz w:val="24"/>
                <w:szCs w:val="24"/>
                <w:lang w:eastAsia="ru-RU"/>
              </w:rPr>
              <w:t>0,87</w:t>
            </w:r>
          </w:p>
        </w:tc>
        <w:tc>
          <w:tcPr>
            <w:tcW w:w="969"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sz w:val="24"/>
                <w:szCs w:val="24"/>
                <w:lang w:eastAsia="ru-RU"/>
              </w:rPr>
            </w:pPr>
            <w:r w:rsidRPr="00B26431">
              <w:rPr>
                <w:rFonts w:eastAsia="Times New Roman"/>
                <w:sz w:val="24"/>
                <w:szCs w:val="24"/>
                <w:lang w:eastAsia="ru-RU"/>
              </w:rPr>
              <w:t>0,91</w:t>
            </w:r>
          </w:p>
        </w:tc>
      </w:tr>
      <w:tr w:rsidR="00B26431" w:rsidRPr="00B26431" w:rsidTr="00B26431">
        <w:trPr>
          <w:trHeight w:val="226"/>
        </w:trPr>
        <w:tc>
          <w:tcPr>
            <w:tcW w:w="4536" w:type="dxa"/>
            <w:tcBorders>
              <w:top w:val="single" w:sz="4" w:space="0" w:color="auto"/>
              <w:left w:val="single" w:sz="4" w:space="0" w:color="auto"/>
              <w:bottom w:val="single" w:sz="4" w:space="0" w:color="auto"/>
              <w:right w:val="single" w:sz="4" w:space="0" w:color="auto"/>
            </w:tcBorders>
            <w:vAlign w:val="bottom"/>
          </w:tcPr>
          <w:p w:rsidR="00B26431" w:rsidRPr="00B26431" w:rsidRDefault="00B26431" w:rsidP="00B26431">
            <w:pPr>
              <w:keepNext/>
              <w:jc w:val="left"/>
              <w:rPr>
                <w:rFonts w:eastAsia="Times New Roman"/>
                <w:sz w:val="24"/>
                <w:szCs w:val="24"/>
                <w:lang w:eastAsia="ru-RU"/>
              </w:rPr>
            </w:pPr>
            <w:r w:rsidRPr="00B26431">
              <w:rPr>
                <w:rFonts w:eastAsia="Times New Roman"/>
                <w:sz w:val="24"/>
                <w:szCs w:val="24"/>
                <w:lang w:eastAsia="ru-RU"/>
              </w:rPr>
              <w:t>Індекс здоров’я новонароджених</w:t>
            </w:r>
          </w:p>
        </w:tc>
        <w:tc>
          <w:tcPr>
            <w:tcW w:w="968"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color w:val="000000"/>
                <w:sz w:val="24"/>
                <w:szCs w:val="24"/>
                <w:lang w:eastAsia="ru-RU"/>
              </w:rPr>
            </w:pPr>
            <w:r w:rsidRPr="00B26431">
              <w:rPr>
                <w:rFonts w:eastAsia="Times New Roman"/>
                <w:color w:val="000000"/>
                <w:sz w:val="24"/>
                <w:szCs w:val="24"/>
                <w:lang w:eastAsia="ru-RU"/>
              </w:rPr>
              <w:t>81,7</w:t>
            </w:r>
          </w:p>
        </w:tc>
        <w:tc>
          <w:tcPr>
            <w:tcW w:w="969"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sz w:val="24"/>
                <w:szCs w:val="24"/>
                <w:lang w:eastAsia="ru-RU"/>
              </w:rPr>
            </w:pPr>
            <w:r w:rsidRPr="00B26431">
              <w:rPr>
                <w:rFonts w:eastAsia="Times New Roman"/>
                <w:sz w:val="24"/>
                <w:szCs w:val="24"/>
                <w:lang w:eastAsia="ru-RU"/>
              </w:rPr>
              <w:t>81,64</w:t>
            </w:r>
          </w:p>
        </w:tc>
        <w:tc>
          <w:tcPr>
            <w:tcW w:w="968"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color w:val="000000"/>
                <w:sz w:val="24"/>
                <w:szCs w:val="24"/>
                <w:lang w:eastAsia="ru-RU"/>
              </w:rPr>
            </w:pPr>
            <w:r w:rsidRPr="00B26431">
              <w:rPr>
                <w:rFonts w:eastAsia="Times New Roman"/>
                <w:color w:val="000000"/>
                <w:sz w:val="24"/>
                <w:szCs w:val="24"/>
                <w:lang w:eastAsia="ru-RU"/>
              </w:rPr>
              <w:t>5,45</w:t>
            </w:r>
          </w:p>
        </w:tc>
        <w:tc>
          <w:tcPr>
            <w:tcW w:w="969"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sz w:val="24"/>
                <w:szCs w:val="24"/>
                <w:lang w:eastAsia="ru-RU"/>
              </w:rPr>
            </w:pPr>
            <w:r w:rsidRPr="00B26431">
              <w:rPr>
                <w:rFonts w:eastAsia="Times New Roman"/>
                <w:sz w:val="24"/>
                <w:szCs w:val="24"/>
                <w:lang w:eastAsia="ru-RU"/>
              </w:rPr>
              <w:t>5,76</w:t>
            </w:r>
          </w:p>
        </w:tc>
        <w:tc>
          <w:tcPr>
            <w:tcW w:w="968"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color w:val="000000"/>
                <w:sz w:val="24"/>
                <w:szCs w:val="24"/>
                <w:lang w:eastAsia="ru-RU"/>
              </w:rPr>
            </w:pPr>
            <w:r w:rsidRPr="00B26431">
              <w:rPr>
                <w:rFonts w:eastAsia="Times New Roman"/>
                <w:color w:val="000000"/>
                <w:sz w:val="24"/>
                <w:szCs w:val="24"/>
                <w:lang w:eastAsia="ru-RU"/>
              </w:rPr>
              <w:t>0,91</w:t>
            </w:r>
          </w:p>
        </w:tc>
        <w:tc>
          <w:tcPr>
            <w:tcW w:w="969"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sz w:val="24"/>
                <w:szCs w:val="24"/>
                <w:lang w:eastAsia="ru-RU"/>
              </w:rPr>
            </w:pPr>
            <w:r w:rsidRPr="00B26431">
              <w:rPr>
                <w:rFonts w:eastAsia="Times New Roman"/>
                <w:sz w:val="24"/>
                <w:szCs w:val="24"/>
                <w:lang w:eastAsia="ru-RU"/>
              </w:rPr>
              <w:t>0,96</w:t>
            </w:r>
          </w:p>
        </w:tc>
      </w:tr>
      <w:tr w:rsidR="00B26431" w:rsidRPr="00B26431" w:rsidTr="00B26431">
        <w:trPr>
          <w:trHeight w:val="244"/>
        </w:trPr>
        <w:tc>
          <w:tcPr>
            <w:tcW w:w="4536" w:type="dxa"/>
            <w:tcBorders>
              <w:top w:val="single" w:sz="4" w:space="0" w:color="auto"/>
              <w:left w:val="single" w:sz="4" w:space="0" w:color="auto"/>
              <w:bottom w:val="single" w:sz="4" w:space="0" w:color="auto"/>
              <w:right w:val="single" w:sz="4" w:space="0" w:color="auto"/>
            </w:tcBorders>
            <w:vAlign w:val="bottom"/>
          </w:tcPr>
          <w:p w:rsidR="00B26431" w:rsidRPr="00B26431" w:rsidRDefault="00B26431" w:rsidP="00B26431">
            <w:pPr>
              <w:keepNext/>
              <w:jc w:val="left"/>
              <w:rPr>
                <w:rFonts w:eastAsia="Times New Roman"/>
                <w:sz w:val="24"/>
                <w:szCs w:val="24"/>
                <w:lang w:eastAsia="ru-RU"/>
              </w:rPr>
            </w:pPr>
            <w:r w:rsidRPr="00B26431">
              <w:rPr>
                <w:rFonts w:eastAsia="Times New Roman"/>
                <w:sz w:val="24"/>
                <w:szCs w:val="24"/>
                <w:lang w:eastAsia="ru-RU"/>
              </w:rPr>
              <w:t xml:space="preserve">Рівень перинатальної смертності </w:t>
            </w:r>
          </w:p>
        </w:tc>
        <w:tc>
          <w:tcPr>
            <w:tcW w:w="968"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color w:val="000000"/>
                <w:sz w:val="24"/>
                <w:szCs w:val="24"/>
                <w:lang w:eastAsia="ru-RU"/>
              </w:rPr>
            </w:pPr>
            <w:r w:rsidRPr="00B26431">
              <w:rPr>
                <w:rFonts w:eastAsia="Times New Roman"/>
                <w:color w:val="000000"/>
                <w:sz w:val="24"/>
                <w:szCs w:val="24"/>
                <w:lang w:eastAsia="ru-RU"/>
              </w:rPr>
              <w:t>9,45</w:t>
            </w:r>
          </w:p>
        </w:tc>
        <w:tc>
          <w:tcPr>
            <w:tcW w:w="969"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sz w:val="24"/>
                <w:szCs w:val="24"/>
                <w:lang w:eastAsia="ru-RU"/>
              </w:rPr>
            </w:pPr>
            <w:r w:rsidRPr="00B26431">
              <w:rPr>
                <w:rFonts w:eastAsia="Times New Roman"/>
                <w:sz w:val="24"/>
                <w:szCs w:val="24"/>
                <w:lang w:eastAsia="ru-RU"/>
              </w:rPr>
              <w:t>10,68</w:t>
            </w:r>
          </w:p>
        </w:tc>
        <w:tc>
          <w:tcPr>
            <w:tcW w:w="968"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color w:val="000000"/>
                <w:sz w:val="24"/>
                <w:szCs w:val="24"/>
                <w:lang w:eastAsia="ru-RU"/>
              </w:rPr>
            </w:pPr>
            <w:r w:rsidRPr="00B26431">
              <w:rPr>
                <w:rFonts w:eastAsia="Times New Roman"/>
                <w:color w:val="000000"/>
                <w:sz w:val="24"/>
                <w:szCs w:val="24"/>
                <w:lang w:eastAsia="ru-RU"/>
              </w:rPr>
              <w:t>4,91</w:t>
            </w:r>
          </w:p>
        </w:tc>
        <w:tc>
          <w:tcPr>
            <w:tcW w:w="969"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sz w:val="24"/>
                <w:szCs w:val="24"/>
                <w:lang w:eastAsia="ru-RU"/>
              </w:rPr>
            </w:pPr>
            <w:r w:rsidRPr="00B26431">
              <w:rPr>
                <w:rFonts w:eastAsia="Times New Roman"/>
                <w:sz w:val="24"/>
                <w:szCs w:val="24"/>
                <w:lang w:eastAsia="ru-RU"/>
              </w:rPr>
              <w:t>3,99</w:t>
            </w:r>
          </w:p>
        </w:tc>
        <w:tc>
          <w:tcPr>
            <w:tcW w:w="968"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color w:val="000000"/>
                <w:sz w:val="24"/>
                <w:szCs w:val="24"/>
                <w:lang w:eastAsia="ru-RU"/>
              </w:rPr>
            </w:pPr>
            <w:r w:rsidRPr="00B26431">
              <w:rPr>
                <w:rFonts w:eastAsia="Times New Roman"/>
                <w:color w:val="000000"/>
                <w:sz w:val="24"/>
                <w:szCs w:val="24"/>
                <w:lang w:eastAsia="ru-RU"/>
              </w:rPr>
              <w:t>0,82</w:t>
            </w:r>
          </w:p>
        </w:tc>
        <w:tc>
          <w:tcPr>
            <w:tcW w:w="969"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sz w:val="24"/>
                <w:szCs w:val="24"/>
                <w:lang w:eastAsia="ru-RU"/>
              </w:rPr>
            </w:pPr>
            <w:r w:rsidRPr="00B26431">
              <w:rPr>
                <w:rFonts w:eastAsia="Times New Roman"/>
                <w:sz w:val="24"/>
                <w:szCs w:val="24"/>
                <w:lang w:eastAsia="ru-RU"/>
              </w:rPr>
              <w:t>0,67</w:t>
            </w:r>
          </w:p>
        </w:tc>
      </w:tr>
      <w:tr w:rsidR="00B26431" w:rsidRPr="00B26431" w:rsidTr="00B26431">
        <w:trPr>
          <w:trHeight w:val="450"/>
        </w:trPr>
        <w:tc>
          <w:tcPr>
            <w:tcW w:w="4536"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rPr>
                <w:rFonts w:eastAsia="Times New Roman"/>
                <w:sz w:val="24"/>
                <w:szCs w:val="24"/>
                <w:lang w:eastAsia="ru-RU"/>
              </w:rPr>
            </w:pPr>
            <w:r w:rsidRPr="00B26431">
              <w:rPr>
                <w:rFonts w:eastAsia="Times New Roman"/>
                <w:sz w:val="24"/>
                <w:szCs w:val="24"/>
                <w:lang w:eastAsia="ru-RU"/>
              </w:rPr>
              <w:t>Співвідношення реального і фактичного показника ранньої неонатальної смертності</w:t>
            </w:r>
          </w:p>
        </w:tc>
        <w:tc>
          <w:tcPr>
            <w:tcW w:w="968"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sz w:val="24"/>
                <w:szCs w:val="24"/>
                <w:lang w:eastAsia="ru-RU"/>
              </w:rPr>
            </w:pPr>
            <w:r w:rsidRPr="00B26431">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sz w:val="24"/>
                <w:szCs w:val="24"/>
                <w:lang w:eastAsia="ru-RU"/>
              </w:rPr>
            </w:pPr>
            <w:r w:rsidRPr="00B26431">
              <w:rPr>
                <w:rFonts w:eastAsia="Times New Roman"/>
                <w:sz w:val="24"/>
                <w:szCs w:val="24"/>
                <w:lang w:eastAsia="ru-RU"/>
              </w:rPr>
              <w:t>1,96</w:t>
            </w:r>
          </w:p>
        </w:tc>
        <w:tc>
          <w:tcPr>
            <w:tcW w:w="968"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sz w:val="24"/>
                <w:szCs w:val="24"/>
                <w:lang w:eastAsia="ru-RU"/>
              </w:rPr>
            </w:pPr>
            <w:r w:rsidRPr="00B26431">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sz w:val="24"/>
                <w:szCs w:val="24"/>
                <w:lang w:eastAsia="ru-RU"/>
              </w:rPr>
            </w:pPr>
            <w:r w:rsidRPr="00B26431">
              <w:rPr>
                <w:rFonts w:eastAsia="Times New Roman"/>
                <w:sz w:val="24"/>
                <w:szCs w:val="24"/>
                <w:lang w:eastAsia="ru-RU"/>
              </w:rPr>
              <w:t>4,16</w:t>
            </w:r>
          </w:p>
        </w:tc>
        <w:tc>
          <w:tcPr>
            <w:tcW w:w="968"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sz w:val="24"/>
                <w:szCs w:val="24"/>
                <w:lang w:eastAsia="ru-RU"/>
              </w:rPr>
            </w:pPr>
            <w:r w:rsidRPr="00B26431">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sz w:val="24"/>
                <w:szCs w:val="24"/>
                <w:lang w:eastAsia="ru-RU"/>
              </w:rPr>
            </w:pPr>
            <w:r w:rsidRPr="00B26431">
              <w:rPr>
                <w:rFonts w:eastAsia="Times New Roman"/>
                <w:sz w:val="24"/>
                <w:szCs w:val="24"/>
                <w:lang w:eastAsia="ru-RU"/>
              </w:rPr>
              <w:t>0,69</w:t>
            </w:r>
          </w:p>
        </w:tc>
      </w:tr>
      <w:tr w:rsidR="00B26431" w:rsidRPr="00B26431" w:rsidTr="00B26431">
        <w:trPr>
          <w:trHeight w:val="216"/>
        </w:trPr>
        <w:tc>
          <w:tcPr>
            <w:tcW w:w="4536"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rPr>
                <w:rFonts w:eastAsia="Times New Roman"/>
                <w:sz w:val="24"/>
                <w:szCs w:val="24"/>
                <w:lang w:eastAsia="ru-RU"/>
              </w:rPr>
            </w:pPr>
            <w:r w:rsidRPr="00B26431">
              <w:rPr>
                <w:rFonts w:eastAsia="Times New Roman"/>
                <w:sz w:val="24"/>
                <w:szCs w:val="24"/>
                <w:lang w:eastAsia="ru-RU"/>
              </w:rPr>
              <w:t>Рівень неонатальної смертності</w:t>
            </w:r>
          </w:p>
        </w:tc>
        <w:tc>
          <w:tcPr>
            <w:tcW w:w="968"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sz w:val="24"/>
                <w:szCs w:val="24"/>
                <w:lang w:eastAsia="ru-RU"/>
              </w:rPr>
            </w:pPr>
            <w:r w:rsidRPr="00B26431">
              <w:rPr>
                <w:rFonts w:eastAsia="Times New Roman"/>
                <w:sz w:val="24"/>
                <w:szCs w:val="24"/>
                <w:lang w:eastAsia="ru-RU"/>
              </w:rPr>
              <w:t>3,96</w:t>
            </w:r>
          </w:p>
        </w:tc>
        <w:tc>
          <w:tcPr>
            <w:tcW w:w="969"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sz w:val="24"/>
                <w:szCs w:val="24"/>
                <w:lang w:eastAsia="ru-RU"/>
              </w:rPr>
            </w:pPr>
            <w:r w:rsidRPr="00B26431">
              <w:rPr>
                <w:rFonts w:eastAsia="Times New Roman"/>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sz w:val="24"/>
                <w:szCs w:val="24"/>
                <w:lang w:eastAsia="ru-RU"/>
              </w:rPr>
            </w:pPr>
            <w:r w:rsidRPr="00B26431">
              <w:rPr>
                <w:rFonts w:eastAsia="Times New Roman"/>
                <w:sz w:val="24"/>
                <w:szCs w:val="24"/>
                <w:lang w:eastAsia="ru-RU"/>
              </w:rPr>
              <w:t>6,0</w:t>
            </w:r>
          </w:p>
        </w:tc>
        <w:tc>
          <w:tcPr>
            <w:tcW w:w="969"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sz w:val="24"/>
                <w:szCs w:val="24"/>
                <w:lang w:eastAsia="ru-RU"/>
              </w:rPr>
            </w:pPr>
            <w:r w:rsidRPr="00B26431">
              <w:rPr>
                <w:rFonts w:eastAsia="Times New Roman"/>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sz w:val="24"/>
                <w:szCs w:val="24"/>
                <w:lang w:eastAsia="ru-RU"/>
              </w:rPr>
            </w:pPr>
            <w:r w:rsidRPr="00B26431">
              <w:rPr>
                <w:rFonts w:eastAsia="Times New Roman"/>
                <w:sz w:val="24"/>
                <w:szCs w:val="24"/>
                <w:lang w:eastAsia="ru-RU"/>
              </w:rPr>
              <w:t>1,00</w:t>
            </w:r>
          </w:p>
        </w:tc>
        <w:tc>
          <w:tcPr>
            <w:tcW w:w="969"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sz w:val="24"/>
                <w:szCs w:val="24"/>
                <w:lang w:eastAsia="ru-RU"/>
              </w:rPr>
            </w:pPr>
            <w:r w:rsidRPr="00B26431">
              <w:rPr>
                <w:rFonts w:eastAsia="Times New Roman"/>
                <w:sz w:val="24"/>
                <w:szCs w:val="24"/>
                <w:lang w:eastAsia="ru-RU"/>
              </w:rPr>
              <w:t>**</w:t>
            </w:r>
          </w:p>
        </w:tc>
      </w:tr>
      <w:tr w:rsidR="00B26431" w:rsidRPr="00B26431" w:rsidTr="00B26431">
        <w:trPr>
          <w:trHeight w:val="228"/>
        </w:trPr>
        <w:tc>
          <w:tcPr>
            <w:tcW w:w="4536"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left"/>
              <w:rPr>
                <w:rFonts w:eastAsia="Times New Roman"/>
                <w:sz w:val="24"/>
                <w:szCs w:val="24"/>
                <w:lang w:eastAsia="ru-RU"/>
              </w:rPr>
            </w:pPr>
            <w:r w:rsidRPr="00B26431">
              <w:rPr>
                <w:rFonts w:eastAsia="Times New Roman"/>
                <w:sz w:val="24"/>
                <w:szCs w:val="24"/>
                <w:lang w:eastAsia="ru-RU"/>
              </w:rPr>
              <w:t xml:space="preserve">Рівень ранньої неонатальної смертності </w:t>
            </w:r>
          </w:p>
        </w:tc>
        <w:tc>
          <w:tcPr>
            <w:tcW w:w="968"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sz w:val="24"/>
                <w:szCs w:val="24"/>
                <w:lang w:eastAsia="ru-RU"/>
              </w:rPr>
            </w:pPr>
            <w:r w:rsidRPr="00B26431">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sz w:val="24"/>
                <w:szCs w:val="24"/>
                <w:lang w:eastAsia="ru-RU"/>
              </w:rPr>
            </w:pPr>
            <w:r w:rsidRPr="00B26431">
              <w:rPr>
                <w:rFonts w:eastAsia="Times New Roman"/>
                <w:sz w:val="24"/>
                <w:szCs w:val="24"/>
                <w:lang w:eastAsia="ru-RU"/>
              </w:rPr>
              <w:t>4,24</w:t>
            </w:r>
          </w:p>
        </w:tc>
        <w:tc>
          <w:tcPr>
            <w:tcW w:w="968"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sz w:val="24"/>
                <w:szCs w:val="24"/>
                <w:lang w:eastAsia="ru-RU"/>
              </w:rPr>
            </w:pPr>
            <w:r w:rsidRPr="00B26431">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sz w:val="24"/>
                <w:szCs w:val="24"/>
                <w:lang w:eastAsia="ru-RU"/>
              </w:rPr>
            </w:pPr>
            <w:r w:rsidRPr="00B26431">
              <w:rPr>
                <w:rFonts w:eastAsia="Times New Roman"/>
                <w:sz w:val="24"/>
                <w:szCs w:val="24"/>
                <w:lang w:eastAsia="ru-RU"/>
              </w:rPr>
              <w:t>3,54</w:t>
            </w:r>
          </w:p>
        </w:tc>
        <w:tc>
          <w:tcPr>
            <w:tcW w:w="968"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sz w:val="24"/>
                <w:szCs w:val="24"/>
                <w:lang w:eastAsia="ru-RU"/>
              </w:rPr>
            </w:pPr>
            <w:r w:rsidRPr="00B26431">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sz w:val="24"/>
                <w:szCs w:val="24"/>
                <w:lang w:eastAsia="ru-RU"/>
              </w:rPr>
            </w:pPr>
            <w:r w:rsidRPr="00B26431">
              <w:rPr>
                <w:rFonts w:eastAsia="Times New Roman"/>
                <w:sz w:val="24"/>
                <w:szCs w:val="24"/>
                <w:lang w:eastAsia="ru-RU"/>
              </w:rPr>
              <w:t>0,59</w:t>
            </w:r>
          </w:p>
        </w:tc>
      </w:tr>
      <w:tr w:rsidR="00B26431" w:rsidRPr="00B26431" w:rsidTr="00B26431">
        <w:trPr>
          <w:trHeight w:val="246"/>
        </w:trPr>
        <w:tc>
          <w:tcPr>
            <w:tcW w:w="4536" w:type="dxa"/>
            <w:tcBorders>
              <w:top w:val="single" w:sz="4" w:space="0" w:color="auto"/>
              <w:left w:val="single" w:sz="4" w:space="0" w:color="auto"/>
              <w:bottom w:val="single" w:sz="4" w:space="0" w:color="auto"/>
              <w:right w:val="single" w:sz="4" w:space="0" w:color="auto"/>
            </w:tcBorders>
            <w:vAlign w:val="bottom"/>
          </w:tcPr>
          <w:p w:rsidR="00B26431" w:rsidRPr="00B26431" w:rsidRDefault="00B26431" w:rsidP="00B26431">
            <w:pPr>
              <w:keepNext/>
              <w:jc w:val="left"/>
              <w:rPr>
                <w:rFonts w:eastAsia="Times New Roman"/>
                <w:sz w:val="24"/>
                <w:szCs w:val="24"/>
                <w:lang w:eastAsia="ru-RU"/>
              </w:rPr>
            </w:pPr>
            <w:r w:rsidRPr="00B26431">
              <w:rPr>
                <w:rFonts w:eastAsia="Times New Roman"/>
                <w:sz w:val="24"/>
                <w:szCs w:val="24"/>
                <w:lang w:eastAsia="ru-RU"/>
              </w:rPr>
              <w:t xml:space="preserve">Рівень материнської смертності </w:t>
            </w:r>
          </w:p>
        </w:tc>
        <w:tc>
          <w:tcPr>
            <w:tcW w:w="968"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sz w:val="24"/>
                <w:szCs w:val="24"/>
                <w:lang w:eastAsia="ru-RU"/>
              </w:rPr>
            </w:pPr>
            <w:r w:rsidRPr="00B26431">
              <w:rPr>
                <w:rFonts w:eastAsia="Times New Roman"/>
                <w:sz w:val="24"/>
                <w:szCs w:val="24"/>
                <w:lang w:eastAsia="ru-RU"/>
              </w:rPr>
              <w:t>0</w:t>
            </w:r>
          </w:p>
        </w:tc>
        <w:tc>
          <w:tcPr>
            <w:tcW w:w="969"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sz w:val="24"/>
                <w:szCs w:val="24"/>
                <w:lang w:eastAsia="ru-RU"/>
              </w:rPr>
            </w:pPr>
            <w:r w:rsidRPr="00B26431">
              <w:rPr>
                <w:rFonts w:eastAsia="Times New Roman"/>
                <w:sz w:val="24"/>
                <w:szCs w:val="24"/>
                <w:lang w:eastAsia="ru-RU"/>
              </w:rPr>
              <w:t>0,0</w:t>
            </w:r>
          </w:p>
        </w:tc>
        <w:tc>
          <w:tcPr>
            <w:tcW w:w="968"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sz w:val="24"/>
                <w:szCs w:val="24"/>
                <w:lang w:eastAsia="ru-RU"/>
              </w:rPr>
            </w:pPr>
            <w:r w:rsidRPr="00B26431">
              <w:rPr>
                <w:rFonts w:eastAsia="Times New Roman"/>
                <w:sz w:val="24"/>
                <w:szCs w:val="24"/>
                <w:lang w:eastAsia="ru-RU"/>
              </w:rPr>
              <w:t>5,0</w:t>
            </w:r>
          </w:p>
        </w:tc>
        <w:tc>
          <w:tcPr>
            <w:tcW w:w="969"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sz w:val="24"/>
                <w:szCs w:val="24"/>
                <w:lang w:eastAsia="ru-RU"/>
              </w:rPr>
            </w:pPr>
            <w:r w:rsidRPr="00B26431">
              <w:rPr>
                <w:rFonts w:eastAsia="Times New Roman"/>
                <w:sz w:val="24"/>
                <w:szCs w:val="24"/>
                <w:lang w:eastAsia="ru-RU"/>
              </w:rPr>
              <w:t>5,0</w:t>
            </w:r>
          </w:p>
        </w:tc>
        <w:tc>
          <w:tcPr>
            <w:tcW w:w="968"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sz w:val="24"/>
                <w:szCs w:val="24"/>
                <w:lang w:eastAsia="ru-RU"/>
              </w:rPr>
            </w:pPr>
            <w:r w:rsidRPr="00B26431">
              <w:rPr>
                <w:rFonts w:eastAsia="Times New Roman"/>
                <w:sz w:val="24"/>
                <w:szCs w:val="24"/>
                <w:lang w:eastAsia="ru-RU"/>
              </w:rPr>
              <w:t>1,00</w:t>
            </w:r>
          </w:p>
        </w:tc>
        <w:tc>
          <w:tcPr>
            <w:tcW w:w="969"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sz w:val="24"/>
                <w:szCs w:val="24"/>
                <w:lang w:eastAsia="ru-RU"/>
              </w:rPr>
            </w:pPr>
            <w:r w:rsidRPr="00B26431">
              <w:rPr>
                <w:rFonts w:eastAsia="Times New Roman"/>
                <w:sz w:val="24"/>
                <w:szCs w:val="24"/>
                <w:lang w:eastAsia="ru-RU"/>
              </w:rPr>
              <w:t>1,00</w:t>
            </w:r>
          </w:p>
        </w:tc>
      </w:tr>
      <w:tr w:rsidR="00B26431" w:rsidRPr="00B26431" w:rsidTr="00B26431">
        <w:trPr>
          <w:trHeight w:val="300"/>
        </w:trPr>
        <w:tc>
          <w:tcPr>
            <w:tcW w:w="4536" w:type="dxa"/>
            <w:tcBorders>
              <w:top w:val="single" w:sz="4" w:space="0" w:color="auto"/>
              <w:left w:val="single" w:sz="4" w:space="0" w:color="auto"/>
              <w:bottom w:val="single" w:sz="4" w:space="0" w:color="auto"/>
              <w:right w:val="single" w:sz="4" w:space="0" w:color="auto"/>
            </w:tcBorders>
            <w:noWrap/>
            <w:vAlign w:val="bottom"/>
            <w:hideMark/>
          </w:tcPr>
          <w:p w:rsidR="00B26431" w:rsidRPr="00B26431" w:rsidRDefault="00B26431" w:rsidP="00B26431">
            <w:pPr>
              <w:keepNext/>
              <w:jc w:val="left"/>
              <w:rPr>
                <w:rFonts w:eastAsia="Times New Roman"/>
                <w:sz w:val="24"/>
                <w:szCs w:val="24"/>
                <w:lang w:eastAsia="ru-RU"/>
              </w:rPr>
            </w:pPr>
          </w:p>
        </w:tc>
        <w:tc>
          <w:tcPr>
            <w:tcW w:w="968" w:type="dxa"/>
            <w:tcBorders>
              <w:top w:val="single" w:sz="4" w:space="0" w:color="auto"/>
              <w:left w:val="single" w:sz="4" w:space="0" w:color="auto"/>
              <w:bottom w:val="single" w:sz="4" w:space="0" w:color="auto"/>
              <w:right w:val="single" w:sz="4" w:space="0" w:color="auto"/>
            </w:tcBorders>
            <w:noWrap/>
            <w:vAlign w:val="center"/>
          </w:tcPr>
          <w:p w:rsidR="00B26431" w:rsidRPr="00B26431" w:rsidRDefault="00B26431" w:rsidP="00B26431">
            <w:pPr>
              <w:keepNext/>
              <w:jc w:val="center"/>
              <w:rPr>
                <w:rFonts w:eastAsia="Times New Roman"/>
                <w:sz w:val="24"/>
                <w:szCs w:val="24"/>
                <w:lang w:eastAsia="ru-RU"/>
              </w:rPr>
            </w:pPr>
          </w:p>
        </w:tc>
        <w:tc>
          <w:tcPr>
            <w:tcW w:w="969"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color w:val="000000"/>
                <w:sz w:val="24"/>
                <w:szCs w:val="24"/>
                <w:lang w:eastAsia="ru-RU"/>
              </w:rPr>
            </w:pPr>
          </w:p>
        </w:tc>
        <w:tc>
          <w:tcPr>
            <w:tcW w:w="968" w:type="dxa"/>
            <w:tcBorders>
              <w:top w:val="single" w:sz="4" w:space="0" w:color="auto"/>
              <w:left w:val="single" w:sz="4" w:space="0" w:color="auto"/>
              <w:bottom w:val="single" w:sz="4" w:space="0" w:color="auto"/>
              <w:right w:val="single" w:sz="4" w:space="0" w:color="auto"/>
            </w:tcBorders>
            <w:noWrap/>
            <w:vAlign w:val="center"/>
          </w:tcPr>
          <w:p w:rsidR="00B26431" w:rsidRPr="00B26431" w:rsidRDefault="00B26431" w:rsidP="00B26431">
            <w:pPr>
              <w:keepNext/>
              <w:jc w:val="center"/>
              <w:rPr>
                <w:rFonts w:eastAsia="Times New Roman"/>
                <w:color w:val="000000"/>
                <w:sz w:val="24"/>
                <w:szCs w:val="24"/>
                <w:lang w:eastAsia="ru-RU"/>
              </w:rPr>
            </w:pPr>
            <w:r w:rsidRPr="00B26431">
              <w:rPr>
                <w:rFonts w:eastAsia="Times New Roman"/>
                <w:color w:val="000000"/>
                <w:sz w:val="24"/>
                <w:szCs w:val="24"/>
                <w:lang w:eastAsia="ru-RU"/>
              </w:rPr>
              <w:t>81,58</w:t>
            </w:r>
          </w:p>
        </w:tc>
        <w:tc>
          <w:tcPr>
            <w:tcW w:w="969"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color w:val="000000"/>
                <w:sz w:val="24"/>
                <w:szCs w:val="24"/>
                <w:lang w:eastAsia="ru-RU"/>
              </w:rPr>
            </w:pPr>
            <w:r w:rsidRPr="00B26431">
              <w:rPr>
                <w:rFonts w:eastAsia="Times New Roman"/>
                <w:color w:val="000000"/>
                <w:sz w:val="24"/>
                <w:szCs w:val="24"/>
                <w:lang w:eastAsia="ru-RU"/>
              </w:rPr>
              <w:t>106,3</w:t>
            </w:r>
          </w:p>
        </w:tc>
        <w:tc>
          <w:tcPr>
            <w:tcW w:w="968" w:type="dxa"/>
            <w:tcBorders>
              <w:top w:val="single" w:sz="4" w:space="0" w:color="auto"/>
              <w:left w:val="single" w:sz="4" w:space="0" w:color="auto"/>
              <w:bottom w:val="single" w:sz="4" w:space="0" w:color="auto"/>
              <w:right w:val="single" w:sz="4" w:space="0" w:color="auto"/>
            </w:tcBorders>
            <w:noWrap/>
            <w:vAlign w:val="center"/>
          </w:tcPr>
          <w:p w:rsidR="00B26431" w:rsidRPr="00B26431" w:rsidRDefault="00B26431" w:rsidP="00B26431">
            <w:pPr>
              <w:keepNext/>
              <w:jc w:val="center"/>
              <w:rPr>
                <w:rFonts w:eastAsia="Times New Roman"/>
                <w:color w:val="000000"/>
                <w:sz w:val="24"/>
                <w:szCs w:val="24"/>
                <w:lang w:eastAsia="ru-RU"/>
              </w:rPr>
            </w:pPr>
            <w:r w:rsidRPr="00B26431">
              <w:rPr>
                <w:rFonts w:eastAsia="Times New Roman"/>
                <w:color w:val="000000"/>
                <w:sz w:val="24"/>
                <w:szCs w:val="24"/>
                <w:lang w:eastAsia="ru-RU"/>
              </w:rPr>
              <w:t>0,68</w:t>
            </w:r>
          </w:p>
        </w:tc>
        <w:tc>
          <w:tcPr>
            <w:tcW w:w="969" w:type="dxa"/>
            <w:tcBorders>
              <w:top w:val="single" w:sz="4" w:space="0" w:color="auto"/>
              <w:left w:val="single" w:sz="4" w:space="0" w:color="auto"/>
              <w:bottom w:val="single" w:sz="4" w:space="0" w:color="auto"/>
              <w:right w:val="single" w:sz="4" w:space="0" w:color="auto"/>
            </w:tcBorders>
            <w:vAlign w:val="center"/>
          </w:tcPr>
          <w:p w:rsidR="00B26431" w:rsidRPr="00B26431" w:rsidRDefault="00B26431" w:rsidP="00B26431">
            <w:pPr>
              <w:keepNext/>
              <w:jc w:val="center"/>
              <w:rPr>
                <w:rFonts w:eastAsia="Times New Roman"/>
                <w:color w:val="000000"/>
                <w:sz w:val="24"/>
                <w:szCs w:val="24"/>
                <w:lang w:eastAsia="ru-RU"/>
              </w:rPr>
            </w:pPr>
            <w:r w:rsidRPr="00B26431">
              <w:rPr>
                <w:rFonts w:eastAsia="Times New Roman"/>
                <w:color w:val="000000"/>
                <w:sz w:val="24"/>
                <w:szCs w:val="24"/>
                <w:lang w:eastAsia="ru-RU"/>
              </w:rPr>
              <w:t>0,82</w:t>
            </w:r>
          </w:p>
        </w:tc>
      </w:tr>
    </w:tbl>
    <w:p w:rsidR="00820E7B" w:rsidRDefault="00B26431" w:rsidP="00B26431">
      <w:pPr>
        <w:jc w:val="right"/>
        <w:rPr>
          <w:i/>
          <w:lang w:val="ru-RU"/>
        </w:rPr>
      </w:pPr>
      <w:r w:rsidRPr="00B26431">
        <w:rPr>
          <w:i/>
          <w:lang w:val="ru-RU"/>
        </w:rPr>
        <w:t>Продовження додаток Е</w:t>
      </w:r>
      <w:r>
        <w:rPr>
          <w:i/>
          <w:lang w:val="ru-RU"/>
        </w:rPr>
        <w:t>-2</w:t>
      </w:r>
      <w:r w:rsidR="00362A09">
        <w:rPr>
          <w:i/>
          <w:lang w:val="ru-RU"/>
        </w:rPr>
        <w:t>7</w:t>
      </w:r>
    </w:p>
    <w:p w:rsidR="00820E7B" w:rsidRPr="00820E7B" w:rsidRDefault="00820E7B" w:rsidP="00820E7B">
      <w:pPr>
        <w:rPr>
          <w:lang w:val="ru-RU"/>
        </w:rPr>
      </w:pPr>
    </w:p>
    <w:p w:rsidR="00983FA2" w:rsidRPr="00820E7B" w:rsidRDefault="00983FA2" w:rsidP="00820E7B">
      <w:pPr>
        <w:rPr>
          <w:lang w:val="ru-RU"/>
        </w:rPr>
      </w:pPr>
    </w:p>
    <w:p w:rsidR="00C43972" w:rsidRPr="00B26431" w:rsidRDefault="00C43972" w:rsidP="00DD51BC">
      <w:pPr>
        <w:keepNext/>
        <w:pageBreakBefore/>
        <w:jc w:val="right"/>
        <w:rPr>
          <w:rFonts w:eastAsia="Times New Roman"/>
          <w:bCs/>
          <w:iCs/>
          <w:color w:val="000000"/>
          <w:szCs w:val="28"/>
          <w:lang w:val="ru-RU" w:eastAsia="uk-UA"/>
        </w:rPr>
      </w:pPr>
      <w:r w:rsidRPr="00B26431">
        <w:rPr>
          <w:rFonts w:eastAsia="Times New Roman"/>
          <w:bCs/>
          <w:iCs/>
          <w:color w:val="000000"/>
          <w:szCs w:val="28"/>
          <w:lang w:val="ru-RU" w:eastAsia="uk-UA"/>
        </w:rPr>
        <w:lastRenderedPageBreak/>
        <w:t xml:space="preserve">Додаток </w:t>
      </w:r>
      <w:r w:rsidR="00FE0E9A" w:rsidRPr="00B26431">
        <w:rPr>
          <w:rFonts w:eastAsia="Times New Roman"/>
          <w:bCs/>
          <w:iCs/>
          <w:color w:val="000000"/>
          <w:szCs w:val="28"/>
          <w:lang w:eastAsia="uk-UA"/>
        </w:rPr>
        <w:t>Е</w:t>
      </w:r>
      <w:r w:rsidRPr="00B26431">
        <w:rPr>
          <w:rFonts w:eastAsia="Times New Roman"/>
          <w:bCs/>
          <w:iCs/>
          <w:color w:val="000000"/>
          <w:szCs w:val="28"/>
          <w:lang w:eastAsia="uk-UA"/>
        </w:rPr>
        <w:t>-28</w:t>
      </w:r>
    </w:p>
    <w:p w:rsidR="00B26431" w:rsidRPr="00B26431" w:rsidRDefault="00C43972" w:rsidP="00B26431">
      <w:pPr>
        <w:keepNext/>
        <w:jc w:val="center"/>
        <w:rPr>
          <w:rFonts w:eastAsia="Times New Roman"/>
          <w:b/>
          <w:bCs/>
          <w:iCs/>
          <w:color w:val="000000"/>
          <w:szCs w:val="28"/>
          <w:lang w:val="ru-RU" w:eastAsia="uk-UA"/>
        </w:rPr>
      </w:pPr>
      <w:r w:rsidRPr="00B26431">
        <w:rPr>
          <w:rFonts w:eastAsia="Times New Roman"/>
          <w:b/>
          <w:bCs/>
          <w:iCs/>
          <w:color w:val="000000"/>
          <w:szCs w:val="28"/>
          <w:lang w:eastAsia="uk-UA"/>
        </w:rPr>
        <w:t>Комплексна оцінка діяльності закладів перинатальн</w:t>
      </w:r>
      <w:r w:rsidR="00B26431" w:rsidRPr="00B26431">
        <w:rPr>
          <w:rFonts w:eastAsia="Times New Roman"/>
          <w:b/>
          <w:bCs/>
          <w:iCs/>
          <w:color w:val="000000"/>
          <w:szCs w:val="28"/>
          <w:lang w:eastAsia="uk-UA"/>
        </w:rPr>
        <w:t>ої допомоги в м. Київ</w:t>
      </w:r>
    </w:p>
    <w:p w:rsidR="00C43972" w:rsidRPr="00B26431" w:rsidRDefault="00C43972" w:rsidP="00B26431">
      <w:pPr>
        <w:keepNext/>
        <w:jc w:val="center"/>
        <w:rPr>
          <w:rFonts w:eastAsia="Times New Roman"/>
          <w:b/>
          <w:szCs w:val="28"/>
          <w:lang w:eastAsia="ru-RU"/>
        </w:rPr>
      </w:pPr>
      <w:r w:rsidRPr="00B26431">
        <w:rPr>
          <w:rFonts w:eastAsia="Times New Roman"/>
          <w:b/>
          <w:bCs/>
          <w:iCs/>
          <w:color w:val="000000"/>
          <w:szCs w:val="28"/>
          <w:lang w:eastAsia="uk-UA"/>
        </w:rPr>
        <w:t>у 2017–2018 рр.</w:t>
      </w:r>
    </w:p>
    <w:tbl>
      <w:tblPr>
        <w:tblW w:w="101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36"/>
        <w:gridCol w:w="968"/>
        <w:gridCol w:w="969"/>
        <w:gridCol w:w="968"/>
        <w:gridCol w:w="969"/>
        <w:gridCol w:w="968"/>
        <w:gridCol w:w="757"/>
      </w:tblGrid>
      <w:tr w:rsidR="00266328" w:rsidRPr="00266328" w:rsidTr="00266328">
        <w:trPr>
          <w:cantSplit/>
          <w:trHeight w:val="510"/>
          <w:jc w:val="center"/>
        </w:trPr>
        <w:tc>
          <w:tcPr>
            <w:tcW w:w="4536" w:type="dxa"/>
            <w:vMerge w:val="restart"/>
            <w:tcBorders>
              <w:top w:val="single" w:sz="4" w:space="0" w:color="auto"/>
              <w:left w:val="single" w:sz="4" w:space="0" w:color="auto"/>
              <w:right w:val="single" w:sz="4" w:space="0" w:color="auto"/>
            </w:tcBorders>
            <w:vAlign w:val="center"/>
            <w:hideMark/>
          </w:tcPr>
          <w:p w:rsidR="00266328" w:rsidRPr="00266328" w:rsidRDefault="00266328" w:rsidP="00266328">
            <w:pPr>
              <w:keepNext/>
              <w:jc w:val="center"/>
              <w:rPr>
                <w:rFonts w:eastAsia="Times New Roman"/>
                <w:color w:val="000000"/>
                <w:sz w:val="24"/>
                <w:szCs w:val="24"/>
                <w:lang w:eastAsia="uk-UA"/>
              </w:rPr>
            </w:pPr>
            <w:r w:rsidRPr="00266328">
              <w:rPr>
                <w:rFonts w:eastAsia="Times New Roman"/>
                <w:color w:val="000000"/>
                <w:sz w:val="24"/>
                <w:szCs w:val="24"/>
                <w:lang w:eastAsia="uk-UA"/>
              </w:rPr>
              <w:t>Індикатор якості</w:t>
            </w:r>
          </w:p>
        </w:tc>
        <w:tc>
          <w:tcPr>
            <w:tcW w:w="1937" w:type="dxa"/>
            <w:gridSpan w:val="2"/>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color w:val="000000"/>
                <w:sz w:val="24"/>
                <w:szCs w:val="24"/>
                <w:lang w:eastAsia="uk-UA"/>
              </w:rPr>
            </w:pPr>
            <w:r w:rsidRPr="00266328">
              <w:rPr>
                <w:rFonts w:eastAsia="Times New Roman"/>
                <w:color w:val="000000"/>
                <w:sz w:val="24"/>
                <w:szCs w:val="24"/>
                <w:lang w:eastAsia="uk-UA"/>
              </w:rPr>
              <w:t xml:space="preserve">Фактичний показник, </w:t>
            </w:r>
            <w:r w:rsidRPr="00266328">
              <w:rPr>
                <w:rFonts w:eastAsia="Times New Roman"/>
                <w:sz w:val="24"/>
                <w:szCs w:val="24"/>
                <w:lang w:eastAsia="uk-UA"/>
              </w:rPr>
              <w:t>Україна</w:t>
            </w:r>
          </w:p>
        </w:tc>
        <w:tc>
          <w:tcPr>
            <w:tcW w:w="1937" w:type="dxa"/>
            <w:gridSpan w:val="2"/>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color w:val="000000"/>
                <w:sz w:val="24"/>
                <w:szCs w:val="24"/>
                <w:lang w:eastAsia="uk-UA"/>
              </w:rPr>
            </w:pPr>
            <w:r w:rsidRPr="00266328">
              <w:rPr>
                <w:rFonts w:eastAsia="Times New Roman"/>
                <w:color w:val="000000"/>
                <w:sz w:val="24"/>
                <w:szCs w:val="24"/>
                <w:lang w:eastAsia="uk-UA"/>
              </w:rPr>
              <w:t>Бальна оцінка фактичного показника</w:t>
            </w:r>
          </w:p>
        </w:tc>
        <w:tc>
          <w:tcPr>
            <w:tcW w:w="1725" w:type="dxa"/>
            <w:gridSpan w:val="2"/>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color w:val="000000"/>
                <w:sz w:val="24"/>
                <w:szCs w:val="24"/>
                <w:lang w:eastAsia="uk-UA"/>
              </w:rPr>
            </w:pPr>
            <w:r w:rsidRPr="00266328">
              <w:rPr>
                <w:rFonts w:eastAsia="Times New Roman"/>
                <w:color w:val="000000"/>
                <w:sz w:val="24"/>
                <w:szCs w:val="24"/>
                <w:lang w:eastAsia="uk-UA"/>
              </w:rPr>
              <w:t>КДНЗ</w:t>
            </w:r>
          </w:p>
        </w:tc>
      </w:tr>
      <w:tr w:rsidR="00266328" w:rsidRPr="00266328" w:rsidTr="00266328">
        <w:trPr>
          <w:trHeight w:val="404"/>
          <w:jc w:val="center"/>
        </w:trPr>
        <w:tc>
          <w:tcPr>
            <w:tcW w:w="4536" w:type="dxa"/>
            <w:vMerge/>
            <w:tcBorders>
              <w:left w:val="single" w:sz="4" w:space="0" w:color="auto"/>
              <w:bottom w:val="single" w:sz="4" w:space="0" w:color="auto"/>
              <w:right w:val="single" w:sz="4" w:space="0" w:color="auto"/>
            </w:tcBorders>
            <w:vAlign w:val="bottom"/>
          </w:tcPr>
          <w:p w:rsidR="00266328" w:rsidRPr="00266328" w:rsidRDefault="00266328" w:rsidP="00266328">
            <w:pPr>
              <w:keepNext/>
              <w:jc w:val="left"/>
              <w:rPr>
                <w:rFonts w:eastAsia="Times New Roman"/>
                <w:sz w:val="24"/>
                <w:szCs w:val="24"/>
                <w:lang w:eastAsia="ru-RU"/>
              </w:rPr>
            </w:pPr>
          </w:p>
        </w:tc>
        <w:tc>
          <w:tcPr>
            <w:tcW w:w="968"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sz w:val="24"/>
                <w:szCs w:val="24"/>
                <w:lang w:eastAsia="ru-RU"/>
              </w:rPr>
            </w:pPr>
            <w:r w:rsidRPr="00266328">
              <w:rPr>
                <w:rFonts w:eastAsia="Times New Roman"/>
                <w:sz w:val="24"/>
                <w:szCs w:val="24"/>
                <w:lang w:eastAsia="ru-RU"/>
              </w:rPr>
              <w:t>2017 р.</w:t>
            </w:r>
          </w:p>
        </w:tc>
        <w:tc>
          <w:tcPr>
            <w:tcW w:w="969"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color w:val="000000"/>
                <w:sz w:val="24"/>
                <w:szCs w:val="24"/>
                <w:lang w:eastAsia="ru-RU"/>
              </w:rPr>
            </w:pPr>
            <w:r w:rsidRPr="00266328">
              <w:rPr>
                <w:rFonts w:eastAsia="Times New Roman"/>
                <w:color w:val="000000"/>
                <w:sz w:val="24"/>
                <w:szCs w:val="24"/>
                <w:lang w:eastAsia="ru-RU"/>
              </w:rPr>
              <w:t>2018 р.</w:t>
            </w:r>
          </w:p>
        </w:tc>
        <w:tc>
          <w:tcPr>
            <w:tcW w:w="968"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sz w:val="24"/>
                <w:szCs w:val="24"/>
                <w:lang w:eastAsia="ru-RU"/>
              </w:rPr>
            </w:pPr>
            <w:r w:rsidRPr="00266328">
              <w:rPr>
                <w:rFonts w:eastAsia="Times New Roman"/>
                <w:sz w:val="24"/>
                <w:szCs w:val="24"/>
                <w:lang w:eastAsia="ru-RU"/>
              </w:rPr>
              <w:t>2017 р.</w:t>
            </w:r>
          </w:p>
        </w:tc>
        <w:tc>
          <w:tcPr>
            <w:tcW w:w="969"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sz w:val="24"/>
                <w:szCs w:val="24"/>
                <w:lang w:eastAsia="ru-RU"/>
              </w:rPr>
            </w:pPr>
            <w:r w:rsidRPr="00266328">
              <w:rPr>
                <w:rFonts w:eastAsia="Times New Roman"/>
                <w:sz w:val="24"/>
                <w:szCs w:val="24"/>
                <w:lang w:eastAsia="ru-RU"/>
              </w:rPr>
              <w:t>2017 р.</w:t>
            </w:r>
          </w:p>
        </w:tc>
        <w:tc>
          <w:tcPr>
            <w:tcW w:w="968"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color w:val="000000"/>
                <w:sz w:val="24"/>
                <w:szCs w:val="24"/>
                <w:lang w:eastAsia="ru-RU"/>
              </w:rPr>
            </w:pPr>
            <w:r w:rsidRPr="00266328">
              <w:rPr>
                <w:rFonts w:eastAsia="Times New Roman"/>
                <w:color w:val="000000"/>
                <w:sz w:val="24"/>
                <w:szCs w:val="24"/>
                <w:lang w:eastAsia="ru-RU"/>
              </w:rPr>
              <w:t>2018 р.</w:t>
            </w:r>
          </w:p>
        </w:tc>
        <w:tc>
          <w:tcPr>
            <w:tcW w:w="757"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sz w:val="24"/>
                <w:szCs w:val="24"/>
                <w:lang w:eastAsia="ru-RU"/>
              </w:rPr>
            </w:pPr>
            <w:r w:rsidRPr="00266328">
              <w:rPr>
                <w:rFonts w:eastAsia="Times New Roman"/>
                <w:sz w:val="24"/>
                <w:szCs w:val="24"/>
                <w:lang w:eastAsia="ru-RU"/>
              </w:rPr>
              <w:t>2017 р.</w:t>
            </w:r>
          </w:p>
        </w:tc>
      </w:tr>
      <w:tr w:rsidR="00266328" w:rsidRPr="00266328" w:rsidTr="00266328">
        <w:trPr>
          <w:trHeight w:val="404"/>
          <w:jc w:val="center"/>
        </w:trPr>
        <w:tc>
          <w:tcPr>
            <w:tcW w:w="4536"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left"/>
              <w:rPr>
                <w:rFonts w:eastAsia="Times New Roman"/>
                <w:sz w:val="24"/>
                <w:szCs w:val="24"/>
                <w:lang w:eastAsia="ru-RU"/>
              </w:rPr>
            </w:pPr>
            <w:r w:rsidRPr="00266328">
              <w:rPr>
                <w:rFonts w:eastAsia="Times New Roman"/>
                <w:sz w:val="24"/>
                <w:szCs w:val="24"/>
                <w:lang w:eastAsia="ru-RU"/>
              </w:rPr>
              <w:t>Забезпеченість лікарями акушер-гінекологами</w:t>
            </w:r>
          </w:p>
        </w:tc>
        <w:tc>
          <w:tcPr>
            <w:tcW w:w="968"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sz w:val="24"/>
                <w:szCs w:val="24"/>
                <w:lang w:eastAsia="ru-RU"/>
              </w:rPr>
            </w:pPr>
            <w:r w:rsidRPr="00266328">
              <w:rPr>
                <w:rFonts w:eastAsia="Times New Roman"/>
                <w:sz w:val="24"/>
                <w:szCs w:val="24"/>
                <w:lang w:eastAsia="ru-RU"/>
              </w:rPr>
              <w:t>6,71</w:t>
            </w:r>
          </w:p>
        </w:tc>
        <w:tc>
          <w:tcPr>
            <w:tcW w:w="969"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sz w:val="24"/>
                <w:szCs w:val="24"/>
                <w:lang w:eastAsia="ru-RU"/>
              </w:rPr>
            </w:pPr>
            <w:r w:rsidRPr="00266328">
              <w:rPr>
                <w:rFonts w:eastAsia="Times New Roman"/>
                <w:sz w:val="24"/>
                <w:szCs w:val="24"/>
                <w:lang w:eastAsia="ru-RU"/>
              </w:rPr>
              <w:t>6,46</w:t>
            </w:r>
          </w:p>
        </w:tc>
        <w:tc>
          <w:tcPr>
            <w:tcW w:w="968"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sz w:val="24"/>
                <w:szCs w:val="24"/>
                <w:lang w:eastAsia="ru-RU"/>
              </w:rPr>
            </w:pPr>
            <w:r w:rsidRPr="00266328">
              <w:rPr>
                <w:rFonts w:eastAsia="Times New Roman"/>
                <w:sz w:val="24"/>
                <w:szCs w:val="24"/>
                <w:lang w:eastAsia="ru-RU"/>
              </w:rPr>
              <w:t>6,00</w:t>
            </w:r>
          </w:p>
        </w:tc>
        <w:tc>
          <w:tcPr>
            <w:tcW w:w="969"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sz w:val="24"/>
                <w:szCs w:val="24"/>
                <w:lang w:eastAsia="ru-RU"/>
              </w:rPr>
            </w:pPr>
            <w:r w:rsidRPr="00266328">
              <w:rPr>
                <w:rFonts w:eastAsia="Times New Roman"/>
                <w:sz w:val="24"/>
                <w:szCs w:val="24"/>
                <w:lang w:eastAsia="ru-RU"/>
              </w:rPr>
              <w:t>6,0</w:t>
            </w:r>
          </w:p>
        </w:tc>
        <w:tc>
          <w:tcPr>
            <w:tcW w:w="968"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sz w:val="24"/>
                <w:szCs w:val="24"/>
                <w:lang w:eastAsia="ru-RU"/>
              </w:rPr>
            </w:pPr>
            <w:r w:rsidRPr="00266328">
              <w:rPr>
                <w:rFonts w:eastAsia="Times New Roman"/>
                <w:sz w:val="24"/>
                <w:szCs w:val="24"/>
                <w:lang w:eastAsia="ru-RU"/>
              </w:rPr>
              <w:t>1,00</w:t>
            </w:r>
          </w:p>
        </w:tc>
        <w:tc>
          <w:tcPr>
            <w:tcW w:w="757"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sz w:val="24"/>
                <w:szCs w:val="24"/>
                <w:lang w:eastAsia="ru-RU"/>
              </w:rPr>
            </w:pPr>
            <w:r w:rsidRPr="00266328">
              <w:rPr>
                <w:rFonts w:eastAsia="Times New Roman"/>
                <w:sz w:val="24"/>
                <w:szCs w:val="24"/>
                <w:lang w:eastAsia="ru-RU"/>
              </w:rPr>
              <w:t>1,00</w:t>
            </w:r>
          </w:p>
        </w:tc>
      </w:tr>
      <w:tr w:rsidR="00266328" w:rsidRPr="00266328" w:rsidTr="00266328">
        <w:trPr>
          <w:trHeight w:val="404"/>
          <w:jc w:val="center"/>
        </w:trPr>
        <w:tc>
          <w:tcPr>
            <w:tcW w:w="4536" w:type="dxa"/>
            <w:tcBorders>
              <w:top w:val="single" w:sz="4" w:space="0" w:color="auto"/>
              <w:left w:val="single" w:sz="4" w:space="0" w:color="auto"/>
              <w:bottom w:val="single" w:sz="4" w:space="0" w:color="auto"/>
              <w:right w:val="single" w:sz="4" w:space="0" w:color="auto"/>
            </w:tcBorders>
            <w:vAlign w:val="bottom"/>
          </w:tcPr>
          <w:p w:rsidR="00266328" w:rsidRPr="00266328" w:rsidRDefault="00266328" w:rsidP="00266328">
            <w:pPr>
              <w:keepNext/>
              <w:jc w:val="left"/>
              <w:rPr>
                <w:rFonts w:eastAsia="Times New Roman"/>
                <w:sz w:val="24"/>
                <w:szCs w:val="24"/>
                <w:lang w:eastAsia="ru-RU"/>
              </w:rPr>
            </w:pPr>
            <w:r w:rsidRPr="00266328">
              <w:rPr>
                <w:rFonts w:eastAsia="Times New Roman"/>
                <w:sz w:val="24"/>
                <w:szCs w:val="24"/>
                <w:lang w:eastAsia="ru-RU"/>
              </w:rPr>
              <w:t>Забезпеченість лікарями педіатрами-неонатологами</w:t>
            </w:r>
          </w:p>
        </w:tc>
        <w:tc>
          <w:tcPr>
            <w:tcW w:w="968"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sz w:val="24"/>
                <w:szCs w:val="24"/>
                <w:lang w:eastAsia="ru-RU"/>
              </w:rPr>
            </w:pPr>
            <w:r w:rsidRPr="00266328">
              <w:rPr>
                <w:rFonts w:eastAsia="Times New Roman"/>
                <w:sz w:val="24"/>
                <w:szCs w:val="24"/>
                <w:lang w:eastAsia="ru-RU"/>
              </w:rPr>
              <w:t>5,03</w:t>
            </w:r>
          </w:p>
        </w:tc>
        <w:tc>
          <w:tcPr>
            <w:tcW w:w="969"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sz w:val="24"/>
                <w:szCs w:val="24"/>
                <w:lang w:eastAsia="ru-RU"/>
              </w:rPr>
            </w:pPr>
            <w:r w:rsidRPr="00266328">
              <w:rPr>
                <w:rFonts w:eastAsia="Times New Roman"/>
                <w:sz w:val="24"/>
                <w:szCs w:val="24"/>
                <w:lang w:eastAsia="ru-RU"/>
              </w:rPr>
              <w:t>5,11</w:t>
            </w:r>
          </w:p>
        </w:tc>
        <w:tc>
          <w:tcPr>
            <w:tcW w:w="968"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sz w:val="24"/>
                <w:szCs w:val="24"/>
                <w:lang w:eastAsia="ru-RU"/>
              </w:rPr>
            </w:pPr>
            <w:r w:rsidRPr="00266328">
              <w:rPr>
                <w:rFonts w:eastAsia="Times New Roman"/>
                <w:sz w:val="24"/>
                <w:szCs w:val="24"/>
                <w:lang w:eastAsia="ru-RU"/>
              </w:rPr>
              <w:t>5,49</w:t>
            </w:r>
          </w:p>
        </w:tc>
        <w:tc>
          <w:tcPr>
            <w:tcW w:w="969"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sz w:val="24"/>
                <w:szCs w:val="24"/>
                <w:lang w:eastAsia="ru-RU"/>
              </w:rPr>
            </w:pPr>
            <w:r w:rsidRPr="00266328">
              <w:rPr>
                <w:rFonts w:eastAsia="Times New Roman"/>
                <w:sz w:val="24"/>
                <w:szCs w:val="24"/>
                <w:lang w:eastAsia="ru-RU"/>
              </w:rPr>
              <w:t>5,57</w:t>
            </w:r>
          </w:p>
        </w:tc>
        <w:tc>
          <w:tcPr>
            <w:tcW w:w="968"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sz w:val="24"/>
                <w:szCs w:val="24"/>
                <w:lang w:eastAsia="ru-RU"/>
              </w:rPr>
            </w:pPr>
            <w:r w:rsidRPr="00266328">
              <w:rPr>
                <w:rFonts w:eastAsia="Times New Roman"/>
                <w:sz w:val="24"/>
                <w:szCs w:val="24"/>
                <w:lang w:eastAsia="ru-RU"/>
              </w:rPr>
              <w:t>0,91</w:t>
            </w:r>
          </w:p>
        </w:tc>
        <w:tc>
          <w:tcPr>
            <w:tcW w:w="757"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sz w:val="24"/>
                <w:szCs w:val="24"/>
                <w:lang w:eastAsia="ru-RU"/>
              </w:rPr>
            </w:pPr>
            <w:r w:rsidRPr="00266328">
              <w:rPr>
                <w:rFonts w:eastAsia="Times New Roman"/>
                <w:sz w:val="24"/>
                <w:szCs w:val="24"/>
                <w:lang w:eastAsia="ru-RU"/>
              </w:rPr>
              <w:t>0,93</w:t>
            </w:r>
          </w:p>
        </w:tc>
      </w:tr>
      <w:tr w:rsidR="00266328" w:rsidRPr="00266328" w:rsidTr="00266328">
        <w:trPr>
          <w:trHeight w:val="404"/>
          <w:jc w:val="center"/>
        </w:trPr>
        <w:tc>
          <w:tcPr>
            <w:tcW w:w="4536" w:type="dxa"/>
            <w:tcBorders>
              <w:top w:val="single" w:sz="4" w:space="0" w:color="auto"/>
              <w:left w:val="single" w:sz="4" w:space="0" w:color="auto"/>
              <w:bottom w:val="single" w:sz="4" w:space="0" w:color="auto"/>
              <w:right w:val="single" w:sz="4" w:space="0" w:color="auto"/>
            </w:tcBorders>
            <w:vAlign w:val="bottom"/>
          </w:tcPr>
          <w:p w:rsidR="00266328" w:rsidRPr="00266328" w:rsidRDefault="00266328" w:rsidP="00266328">
            <w:pPr>
              <w:keepNext/>
              <w:jc w:val="left"/>
              <w:rPr>
                <w:rFonts w:eastAsia="Times New Roman"/>
                <w:sz w:val="24"/>
                <w:szCs w:val="24"/>
                <w:lang w:eastAsia="ru-RU"/>
              </w:rPr>
            </w:pPr>
            <w:r w:rsidRPr="00266328">
              <w:rPr>
                <w:rFonts w:eastAsia="Times New Roman"/>
                <w:sz w:val="24"/>
                <w:szCs w:val="24"/>
                <w:lang w:eastAsia="ru-RU"/>
              </w:rPr>
              <w:t>Питома вага атестованих лікарів акушер-гінекологів</w:t>
            </w:r>
          </w:p>
        </w:tc>
        <w:tc>
          <w:tcPr>
            <w:tcW w:w="968"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sz w:val="24"/>
                <w:szCs w:val="24"/>
                <w:lang w:eastAsia="ru-RU"/>
              </w:rPr>
            </w:pPr>
            <w:r w:rsidRPr="00266328">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sz w:val="24"/>
                <w:szCs w:val="24"/>
                <w:lang w:eastAsia="ru-RU"/>
              </w:rPr>
            </w:pPr>
            <w:r w:rsidRPr="00266328">
              <w:rPr>
                <w:rFonts w:eastAsia="Times New Roman"/>
                <w:sz w:val="24"/>
                <w:szCs w:val="24"/>
                <w:lang w:eastAsia="ru-RU"/>
              </w:rPr>
              <w:t>76,79</w:t>
            </w:r>
          </w:p>
        </w:tc>
        <w:tc>
          <w:tcPr>
            <w:tcW w:w="968"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sz w:val="24"/>
                <w:szCs w:val="24"/>
                <w:lang w:eastAsia="ru-RU"/>
              </w:rPr>
            </w:pPr>
            <w:r w:rsidRPr="00266328">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sz w:val="24"/>
                <w:szCs w:val="24"/>
                <w:lang w:eastAsia="ru-RU"/>
              </w:rPr>
            </w:pPr>
            <w:r w:rsidRPr="00266328">
              <w:rPr>
                <w:rFonts w:eastAsia="Times New Roman"/>
                <w:sz w:val="24"/>
                <w:szCs w:val="24"/>
                <w:lang w:eastAsia="ru-RU"/>
              </w:rPr>
              <w:t>5,12</w:t>
            </w:r>
          </w:p>
        </w:tc>
        <w:tc>
          <w:tcPr>
            <w:tcW w:w="968"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sz w:val="24"/>
                <w:szCs w:val="24"/>
                <w:lang w:eastAsia="ru-RU"/>
              </w:rPr>
            </w:pPr>
            <w:r w:rsidRPr="00266328">
              <w:rPr>
                <w:rFonts w:eastAsia="Times New Roman"/>
                <w:sz w:val="24"/>
                <w:szCs w:val="24"/>
                <w:lang w:eastAsia="ru-RU"/>
              </w:rPr>
              <w:t>*</w:t>
            </w:r>
          </w:p>
        </w:tc>
        <w:tc>
          <w:tcPr>
            <w:tcW w:w="757"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sz w:val="24"/>
                <w:szCs w:val="24"/>
                <w:lang w:eastAsia="ru-RU"/>
              </w:rPr>
            </w:pPr>
            <w:r w:rsidRPr="00266328">
              <w:rPr>
                <w:rFonts w:eastAsia="Times New Roman"/>
                <w:sz w:val="24"/>
                <w:szCs w:val="24"/>
                <w:lang w:eastAsia="ru-RU"/>
              </w:rPr>
              <w:t>0,85</w:t>
            </w:r>
          </w:p>
        </w:tc>
      </w:tr>
      <w:tr w:rsidR="00266328" w:rsidRPr="00266328" w:rsidTr="00266328">
        <w:trPr>
          <w:trHeight w:val="404"/>
          <w:jc w:val="center"/>
        </w:trPr>
        <w:tc>
          <w:tcPr>
            <w:tcW w:w="4536" w:type="dxa"/>
            <w:tcBorders>
              <w:top w:val="single" w:sz="4" w:space="0" w:color="auto"/>
              <w:left w:val="single" w:sz="4" w:space="0" w:color="auto"/>
              <w:bottom w:val="single" w:sz="4" w:space="0" w:color="auto"/>
              <w:right w:val="single" w:sz="4" w:space="0" w:color="auto"/>
            </w:tcBorders>
            <w:vAlign w:val="bottom"/>
          </w:tcPr>
          <w:p w:rsidR="00266328" w:rsidRPr="00266328" w:rsidRDefault="00266328" w:rsidP="00266328">
            <w:pPr>
              <w:keepNext/>
              <w:jc w:val="left"/>
              <w:rPr>
                <w:rFonts w:eastAsia="Times New Roman"/>
                <w:sz w:val="24"/>
                <w:szCs w:val="24"/>
                <w:lang w:eastAsia="ru-RU"/>
              </w:rPr>
            </w:pPr>
            <w:r w:rsidRPr="00266328">
              <w:rPr>
                <w:rFonts w:eastAsia="Times New Roman"/>
                <w:sz w:val="24"/>
                <w:szCs w:val="24"/>
                <w:lang w:eastAsia="ru-RU"/>
              </w:rPr>
              <w:t>Питома вага атестованих лікарів педіатрів-неонатологів</w:t>
            </w:r>
          </w:p>
        </w:tc>
        <w:tc>
          <w:tcPr>
            <w:tcW w:w="968"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sz w:val="24"/>
                <w:szCs w:val="24"/>
                <w:lang w:eastAsia="ru-RU"/>
              </w:rPr>
            </w:pPr>
            <w:r w:rsidRPr="00266328">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sz w:val="24"/>
                <w:szCs w:val="24"/>
                <w:lang w:eastAsia="ru-RU"/>
              </w:rPr>
            </w:pPr>
            <w:r w:rsidRPr="00266328">
              <w:rPr>
                <w:rFonts w:eastAsia="Times New Roman"/>
                <w:sz w:val="24"/>
                <w:szCs w:val="24"/>
                <w:lang w:eastAsia="ru-RU"/>
              </w:rPr>
              <w:t>70,39</w:t>
            </w:r>
          </w:p>
        </w:tc>
        <w:tc>
          <w:tcPr>
            <w:tcW w:w="968"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sz w:val="24"/>
                <w:szCs w:val="24"/>
                <w:lang w:eastAsia="ru-RU"/>
              </w:rPr>
            </w:pPr>
            <w:r w:rsidRPr="00266328">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sz w:val="24"/>
                <w:szCs w:val="24"/>
                <w:lang w:eastAsia="ru-RU"/>
              </w:rPr>
            </w:pPr>
            <w:r w:rsidRPr="00266328">
              <w:rPr>
                <w:rFonts w:eastAsia="Times New Roman"/>
                <w:sz w:val="24"/>
                <w:szCs w:val="24"/>
                <w:lang w:eastAsia="ru-RU"/>
              </w:rPr>
              <w:t>5,28</w:t>
            </w:r>
          </w:p>
        </w:tc>
        <w:tc>
          <w:tcPr>
            <w:tcW w:w="968"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sz w:val="24"/>
                <w:szCs w:val="24"/>
                <w:lang w:eastAsia="ru-RU"/>
              </w:rPr>
            </w:pPr>
            <w:r w:rsidRPr="00266328">
              <w:rPr>
                <w:rFonts w:eastAsia="Times New Roman"/>
                <w:sz w:val="24"/>
                <w:szCs w:val="24"/>
                <w:lang w:eastAsia="ru-RU"/>
              </w:rPr>
              <w:t>*</w:t>
            </w:r>
          </w:p>
        </w:tc>
        <w:tc>
          <w:tcPr>
            <w:tcW w:w="757"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sz w:val="24"/>
                <w:szCs w:val="24"/>
                <w:lang w:eastAsia="ru-RU"/>
              </w:rPr>
            </w:pPr>
            <w:r w:rsidRPr="00266328">
              <w:rPr>
                <w:rFonts w:eastAsia="Times New Roman"/>
                <w:sz w:val="24"/>
                <w:szCs w:val="24"/>
                <w:lang w:eastAsia="ru-RU"/>
              </w:rPr>
              <w:t>0,88</w:t>
            </w:r>
          </w:p>
        </w:tc>
      </w:tr>
      <w:tr w:rsidR="00266328" w:rsidRPr="00266328" w:rsidTr="00266328">
        <w:trPr>
          <w:trHeight w:val="204"/>
          <w:jc w:val="center"/>
        </w:trPr>
        <w:tc>
          <w:tcPr>
            <w:tcW w:w="4536"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left"/>
              <w:rPr>
                <w:rFonts w:eastAsia="Times New Roman"/>
                <w:sz w:val="24"/>
                <w:szCs w:val="24"/>
                <w:lang w:eastAsia="ru-RU"/>
              </w:rPr>
            </w:pPr>
            <w:r w:rsidRPr="00266328">
              <w:rPr>
                <w:rFonts w:eastAsia="Times New Roman"/>
                <w:sz w:val="24"/>
                <w:szCs w:val="24"/>
                <w:lang w:eastAsia="ru-RU"/>
              </w:rPr>
              <w:t xml:space="preserve">Своєчасність постановки на облік вагітних </w:t>
            </w:r>
          </w:p>
        </w:tc>
        <w:tc>
          <w:tcPr>
            <w:tcW w:w="968"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color w:val="000000"/>
                <w:sz w:val="24"/>
                <w:szCs w:val="24"/>
                <w:lang w:eastAsia="ru-RU"/>
              </w:rPr>
            </w:pPr>
            <w:r w:rsidRPr="00266328">
              <w:rPr>
                <w:rFonts w:eastAsia="Times New Roman"/>
                <w:color w:val="000000"/>
                <w:sz w:val="24"/>
                <w:szCs w:val="24"/>
                <w:lang w:eastAsia="ru-RU"/>
              </w:rPr>
              <w:t>87,05</w:t>
            </w:r>
          </w:p>
        </w:tc>
        <w:tc>
          <w:tcPr>
            <w:tcW w:w="969"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sz w:val="24"/>
                <w:szCs w:val="24"/>
                <w:lang w:eastAsia="ru-RU"/>
              </w:rPr>
            </w:pPr>
            <w:r w:rsidRPr="00266328">
              <w:rPr>
                <w:rFonts w:eastAsia="Times New Roman"/>
                <w:sz w:val="24"/>
                <w:szCs w:val="24"/>
                <w:lang w:eastAsia="ru-RU"/>
              </w:rPr>
              <w:t>86,83</w:t>
            </w:r>
          </w:p>
        </w:tc>
        <w:tc>
          <w:tcPr>
            <w:tcW w:w="968"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color w:val="000000"/>
                <w:sz w:val="24"/>
                <w:szCs w:val="24"/>
                <w:lang w:eastAsia="ru-RU"/>
              </w:rPr>
            </w:pPr>
            <w:r w:rsidRPr="00266328">
              <w:rPr>
                <w:rFonts w:eastAsia="Times New Roman"/>
                <w:color w:val="000000"/>
                <w:sz w:val="24"/>
                <w:szCs w:val="24"/>
                <w:lang w:eastAsia="ru-RU"/>
              </w:rPr>
              <w:t>6,41</w:t>
            </w:r>
          </w:p>
        </w:tc>
        <w:tc>
          <w:tcPr>
            <w:tcW w:w="969"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sz w:val="24"/>
                <w:szCs w:val="24"/>
                <w:lang w:eastAsia="ru-RU"/>
              </w:rPr>
            </w:pPr>
            <w:r w:rsidRPr="00266328">
              <w:rPr>
                <w:rFonts w:eastAsia="Times New Roman"/>
                <w:sz w:val="24"/>
                <w:szCs w:val="24"/>
                <w:lang w:eastAsia="ru-RU"/>
              </w:rPr>
              <w:t>6,43</w:t>
            </w:r>
          </w:p>
        </w:tc>
        <w:tc>
          <w:tcPr>
            <w:tcW w:w="968"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color w:val="000000"/>
                <w:sz w:val="24"/>
                <w:szCs w:val="24"/>
                <w:lang w:eastAsia="ru-RU"/>
              </w:rPr>
            </w:pPr>
            <w:r w:rsidRPr="00266328">
              <w:rPr>
                <w:rFonts w:eastAsia="Times New Roman"/>
                <w:color w:val="000000"/>
                <w:sz w:val="24"/>
                <w:szCs w:val="24"/>
                <w:lang w:eastAsia="ru-RU"/>
              </w:rPr>
              <w:t>0,92</w:t>
            </w:r>
          </w:p>
        </w:tc>
        <w:tc>
          <w:tcPr>
            <w:tcW w:w="757"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sz w:val="24"/>
                <w:szCs w:val="24"/>
                <w:lang w:eastAsia="ru-RU"/>
              </w:rPr>
            </w:pPr>
            <w:r w:rsidRPr="00266328">
              <w:rPr>
                <w:rFonts w:eastAsia="Times New Roman"/>
                <w:sz w:val="24"/>
                <w:szCs w:val="24"/>
                <w:lang w:eastAsia="ru-RU"/>
              </w:rPr>
              <w:t>0,92</w:t>
            </w:r>
          </w:p>
        </w:tc>
      </w:tr>
      <w:tr w:rsidR="00266328" w:rsidRPr="00266328" w:rsidTr="00266328">
        <w:trPr>
          <w:trHeight w:val="222"/>
          <w:jc w:val="center"/>
        </w:trPr>
        <w:tc>
          <w:tcPr>
            <w:tcW w:w="4536"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left"/>
              <w:rPr>
                <w:rFonts w:eastAsia="Times New Roman"/>
                <w:sz w:val="24"/>
                <w:szCs w:val="24"/>
                <w:lang w:eastAsia="ru-RU"/>
              </w:rPr>
            </w:pPr>
            <w:r w:rsidRPr="00266328">
              <w:rPr>
                <w:rFonts w:eastAsia="Times New Roman"/>
                <w:sz w:val="24"/>
                <w:szCs w:val="24"/>
                <w:lang w:eastAsia="ru-RU"/>
              </w:rPr>
              <w:t>Частота анемій вагітних</w:t>
            </w:r>
          </w:p>
        </w:tc>
        <w:tc>
          <w:tcPr>
            <w:tcW w:w="968"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color w:val="000000"/>
                <w:sz w:val="24"/>
                <w:szCs w:val="24"/>
                <w:lang w:eastAsia="ru-RU"/>
              </w:rPr>
            </w:pPr>
            <w:r w:rsidRPr="00266328">
              <w:rPr>
                <w:rFonts w:eastAsia="Times New Roman"/>
                <w:color w:val="000000"/>
                <w:sz w:val="24"/>
                <w:szCs w:val="24"/>
                <w:lang w:eastAsia="ru-RU"/>
              </w:rPr>
              <w:t>29,9</w:t>
            </w:r>
          </w:p>
        </w:tc>
        <w:tc>
          <w:tcPr>
            <w:tcW w:w="969"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sz w:val="24"/>
                <w:szCs w:val="24"/>
                <w:lang w:eastAsia="ru-RU"/>
              </w:rPr>
            </w:pPr>
            <w:r w:rsidRPr="00266328">
              <w:rPr>
                <w:rFonts w:eastAsia="Times New Roman"/>
                <w:sz w:val="24"/>
                <w:szCs w:val="24"/>
                <w:lang w:eastAsia="ru-RU"/>
              </w:rPr>
              <w:t>30,87</w:t>
            </w:r>
          </w:p>
        </w:tc>
        <w:tc>
          <w:tcPr>
            <w:tcW w:w="968"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color w:val="000000"/>
                <w:sz w:val="24"/>
                <w:szCs w:val="24"/>
                <w:lang w:eastAsia="ru-RU"/>
              </w:rPr>
            </w:pPr>
            <w:r w:rsidRPr="00266328">
              <w:rPr>
                <w:rFonts w:eastAsia="Times New Roman"/>
                <w:color w:val="000000"/>
                <w:sz w:val="24"/>
                <w:szCs w:val="24"/>
                <w:lang w:eastAsia="ru-RU"/>
              </w:rPr>
              <w:t>2,02</w:t>
            </w:r>
          </w:p>
        </w:tc>
        <w:tc>
          <w:tcPr>
            <w:tcW w:w="969"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sz w:val="24"/>
                <w:szCs w:val="24"/>
                <w:lang w:eastAsia="ru-RU"/>
              </w:rPr>
            </w:pPr>
            <w:r w:rsidRPr="00266328">
              <w:rPr>
                <w:rFonts w:eastAsia="Times New Roman"/>
                <w:sz w:val="24"/>
                <w:szCs w:val="24"/>
                <w:lang w:eastAsia="ru-RU"/>
              </w:rPr>
              <w:t>2,22</w:t>
            </w:r>
          </w:p>
        </w:tc>
        <w:tc>
          <w:tcPr>
            <w:tcW w:w="968"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color w:val="000000"/>
                <w:sz w:val="24"/>
                <w:szCs w:val="24"/>
                <w:lang w:eastAsia="ru-RU"/>
              </w:rPr>
            </w:pPr>
            <w:r w:rsidRPr="00266328">
              <w:rPr>
                <w:rFonts w:eastAsia="Times New Roman"/>
                <w:color w:val="000000"/>
                <w:sz w:val="24"/>
                <w:szCs w:val="24"/>
                <w:lang w:eastAsia="ru-RU"/>
              </w:rPr>
              <w:t>0,51</w:t>
            </w:r>
          </w:p>
        </w:tc>
        <w:tc>
          <w:tcPr>
            <w:tcW w:w="757"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sz w:val="24"/>
                <w:szCs w:val="24"/>
                <w:lang w:eastAsia="ru-RU"/>
              </w:rPr>
            </w:pPr>
            <w:r w:rsidRPr="00266328">
              <w:rPr>
                <w:rFonts w:eastAsia="Times New Roman"/>
                <w:sz w:val="24"/>
                <w:szCs w:val="24"/>
                <w:lang w:eastAsia="ru-RU"/>
              </w:rPr>
              <w:t>0,56</w:t>
            </w:r>
          </w:p>
        </w:tc>
      </w:tr>
      <w:tr w:rsidR="00266328" w:rsidRPr="00266328" w:rsidTr="00266328">
        <w:trPr>
          <w:trHeight w:val="319"/>
          <w:jc w:val="center"/>
        </w:trPr>
        <w:tc>
          <w:tcPr>
            <w:tcW w:w="4536"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left"/>
              <w:rPr>
                <w:rFonts w:eastAsia="Times New Roman"/>
                <w:sz w:val="24"/>
                <w:szCs w:val="24"/>
                <w:lang w:eastAsia="ru-RU"/>
              </w:rPr>
            </w:pPr>
            <w:r w:rsidRPr="00266328">
              <w:rPr>
                <w:rFonts w:eastAsia="Times New Roman"/>
                <w:sz w:val="24"/>
                <w:szCs w:val="24"/>
                <w:lang w:eastAsia="ru-RU"/>
              </w:rPr>
              <w:t>Частота прееклампсій та еклампсій вагітних</w:t>
            </w:r>
          </w:p>
        </w:tc>
        <w:tc>
          <w:tcPr>
            <w:tcW w:w="968"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color w:val="000000"/>
                <w:sz w:val="24"/>
                <w:szCs w:val="24"/>
                <w:lang w:eastAsia="ru-RU"/>
              </w:rPr>
            </w:pPr>
            <w:r w:rsidRPr="00266328">
              <w:rPr>
                <w:rFonts w:eastAsia="Times New Roman"/>
                <w:color w:val="000000"/>
                <w:sz w:val="24"/>
                <w:szCs w:val="24"/>
                <w:lang w:eastAsia="ru-RU"/>
              </w:rPr>
              <w:t>1,78</w:t>
            </w:r>
          </w:p>
        </w:tc>
        <w:tc>
          <w:tcPr>
            <w:tcW w:w="969"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sz w:val="24"/>
                <w:szCs w:val="24"/>
                <w:lang w:eastAsia="ru-RU"/>
              </w:rPr>
            </w:pPr>
            <w:r w:rsidRPr="00266328">
              <w:rPr>
                <w:rFonts w:eastAsia="Times New Roman"/>
                <w:sz w:val="24"/>
                <w:szCs w:val="24"/>
                <w:lang w:eastAsia="ru-RU"/>
              </w:rPr>
              <w:t>1,68</w:t>
            </w:r>
          </w:p>
        </w:tc>
        <w:tc>
          <w:tcPr>
            <w:tcW w:w="968"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color w:val="000000"/>
                <w:sz w:val="24"/>
                <w:szCs w:val="24"/>
                <w:lang w:eastAsia="ru-RU"/>
              </w:rPr>
            </w:pPr>
            <w:r w:rsidRPr="00266328">
              <w:rPr>
                <w:rFonts w:eastAsia="Times New Roman"/>
                <w:color w:val="000000"/>
                <w:sz w:val="24"/>
                <w:szCs w:val="24"/>
                <w:lang w:eastAsia="ru-RU"/>
              </w:rPr>
              <w:t>6,88</w:t>
            </w:r>
          </w:p>
        </w:tc>
        <w:tc>
          <w:tcPr>
            <w:tcW w:w="969"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sz w:val="24"/>
                <w:szCs w:val="24"/>
                <w:lang w:eastAsia="ru-RU"/>
              </w:rPr>
            </w:pPr>
            <w:r w:rsidRPr="00266328">
              <w:rPr>
                <w:rFonts w:eastAsia="Times New Roman"/>
                <w:sz w:val="24"/>
                <w:szCs w:val="24"/>
                <w:lang w:eastAsia="ru-RU"/>
              </w:rPr>
              <w:t>7,0</w:t>
            </w:r>
          </w:p>
        </w:tc>
        <w:tc>
          <w:tcPr>
            <w:tcW w:w="968"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color w:val="000000"/>
                <w:sz w:val="24"/>
                <w:szCs w:val="24"/>
                <w:lang w:eastAsia="ru-RU"/>
              </w:rPr>
            </w:pPr>
            <w:r w:rsidRPr="00266328">
              <w:rPr>
                <w:rFonts w:eastAsia="Times New Roman"/>
                <w:color w:val="000000"/>
                <w:sz w:val="24"/>
                <w:szCs w:val="24"/>
                <w:lang w:eastAsia="ru-RU"/>
              </w:rPr>
              <w:t>0,98</w:t>
            </w:r>
          </w:p>
        </w:tc>
        <w:tc>
          <w:tcPr>
            <w:tcW w:w="757"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sz w:val="24"/>
                <w:szCs w:val="24"/>
                <w:lang w:eastAsia="ru-RU"/>
              </w:rPr>
            </w:pPr>
            <w:r w:rsidRPr="00266328">
              <w:rPr>
                <w:rFonts w:eastAsia="Times New Roman"/>
                <w:sz w:val="24"/>
                <w:szCs w:val="24"/>
                <w:lang w:eastAsia="ru-RU"/>
              </w:rPr>
              <w:t>1,00</w:t>
            </w:r>
          </w:p>
        </w:tc>
      </w:tr>
      <w:tr w:rsidR="00266328" w:rsidRPr="00266328" w:rsidTr="00266328">
        <w:trPr>
          <w:trHeight w:val="284"/>
          <w:jc w:val="center"/>
        </w:trPr>
        <w:tc>
          <w:tcPr>
            <w:tcW w:w="4536"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left"/>
              <w:rPr>
                <w:rFonts w:eastAsia="Times New Roman"/>
                <w:sz w:val="24"/>
                <w:szCs w:val="24"/>
                <w:lang w:eastAsia="ru-RU"/>
              </w:rPr>
            </w:pPr>
            <w:r w:rsidRPr="00266328">
              <w:rPr>
                <w:rFonts w:eastAsia="Times New Roman"/>
                <w:sz w:val="24"/>
                <w:szCs w:val="24"/>
                <w:lang w:eastAsia="ru-RU"/>
              </w:rPr>
              <w:t>Співвідношення безпечних методів абортів до небезпечних</w:t>
            </w:r>
          </w:p>
        </w:tc>
        <w:tc>
          <w:tcPr>
            <w:tcW w:w="968"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color w:val="000000"/>
                <w:sz w:val="24"/>
                <w:szCs w:val="24"/>
                <w:lang w:eastAsia="ru-RU"/>
              </w:rPr>
            </w:pPr>
            <w:r w:rsidRPr="00266328">
              <w:rPr>
                <w:rFonts w:eastAsia="Times New Roman"/>
                <w:color w:val="000000"/>
                <w:sz w:val="24"/>
                <w:szCs w:val="24"/>
                <w:lang w:eastAsia="ru-RU"/>
              </w:rPr>
              <w:t>7,53</w:t>
            </w:r>
          </w:p>
        </w:tc>
        <w:tc>
          <w:tcPr>
            <w:tcW w:w="969"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sz w:val="24"/>
                <w:szCs w:val="24"/>
                <w:lang w:eastAsia="ru-RU"/>
              </w:rPr>
            </w:pPr>
            <w:r w:rsidRPr="00266328">
              <w:rPr>
                <w:rFonts w:eastAsia="Times New Roman"/>
                <w:sz w:val="24"/>
                <w:szCs w:val="24"/>
                <w:lang w:eastAsia="ru-RU"/>
              </w:rPr>
              <w:t>15,48</w:t>
            </w:r>
          </w:p>
        </w:tc>
        <w:tc>
          <w:tcPr>
            <w:tcW w:w="968"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color w:val="000000"/>
                <w:sz w:val="24"/>
                <w:szCs w:val="24"/>
                <w:lang w:eastAsia="ru-RU"/>
              </w:rPr>
            </w:pPr>
            <w:r w:rsidRPr="00266328">
              <w:rPr>
                <w:rFonts w:eastAsia="Times New Roman"/>
                <w:color w:val="000000"/>
                <w:sz w:val="24"/>
                <w:szCs w:val="24"/>
                <w:lang w:eastAsia="ru-RU"/>
              </w:rPr>
              <w:t>4,52</w:t>
            </w:r>
          </w:p>
        </w:tc>
        <w:tc>
          <w:tcPr>
            <w:tcW w:w="969"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sz w:val="24"/>
                <w:szCs w:val="24"/>
                <w:lang w:eastAsia="ru-RU"/>
              </w:rPr>
            </w:pPr>
            <w:r w:rsidRPr="00266328">
              <w:rPr>
                <w:rFonts w:eastAsia="Times New Roman"/>
                <w:sz w:val="24"/>
                <w:szCs w:val="24"/>
                <w:lang w:eastAsia="ru-RU"/>
              </w:rPr>
              <w:t>6,0</w:t>
            </w:r>
          </w:p>
        </w:tc>
        <w:tc>
          <w:tcPr>
            <w:tcW w:w="968"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color w:val="000000"/>
                <w:sz w:val="24"/>
                <w:szCs w:val="24"/>
                <w:lang w:eastAsia="ru-RU"/>
              </w:rPr>
            </w:pPr>
            <w:r w:rsidRPr="00266328">
              <w:rPr>
                <w:rFonts w:eastAsia="Times New Roman"/>
                <w:color w:val="000000"/>
                <w:sz w:val="24"/>
                <w:szCs w:val="24"/>
                <w:lang w:eastAsia="ru-RU"/>
              </w:rPr>
              <w:t>0,75</w:t>
            </w:r>
          </w:p>
        </w:tc>
        <w:tc>
          <w:tcPr>
            <w:tcW w:w="757"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sz w:val="24"/>
                <w:szCs w:val="24"/>
                <w:lang w:eastAsia="ru-RU"/>
              </w:rPr>
            </w:pPr>
            <w:r w:rsidRPr="00266328">
              <w:rPr>
                <w:rFonts w:eastAsia="Times New Roman"/>
                <w:sz w:val="24"/>
                <w:szCs w:val="24"/>
                <w:lang w:eastAsia="ru-RU"/>
              </w:rPr>
              <w:t>1,00</w:t>
            </w:r>
          </w:p>
        </w:tc>
      </w:tr>
      <w:tr w:rsidR="00266328" w:rsidRPr="00266328" w:rsidTr="00266328">
        <w:trPr>
          <w:trHeight w:val="340"/>
          <w:jc w:val="center"/>
        </w:trPr>
        <w:tc>
          <w:tcPr>
            <w:tcW w:w="4536" w:type="dxa"/>
            <w:tcBorders>
              <w:top w:val="single" w:sz="4" w:space="0" w:color="auto"/>
              <w:left w:val="single" w:sz="4" w:space="0" w:color="auto"/>
              <w:bottom w:val="single" w:sz="4" w:space="0" w:color="auto"/>
              <w:right w:val="single" w:sz="4" w:space="0" w:color="auto"/>
            </w:tcBorders>
            <w:vAlign w:val="bottom"/>
          </w:tcPr>
          <w:p w:rsidR="00266328" w:rsidRPr="00266328" w:rsidRDefault="00266328" w:rsidP="00266328">
            <w:pPr>
              <w:keepNext/>
              <w:jc w:val="left"/>
              <w:rPr>
                <w:rFonts w:eastAsia="Times New Roman"/>
                <w:sz w:val="24"/>
                <w:szCs w:val="24"/>
                <w:lang w:eastAsia="ru-RU"/>
              </w:rPr>
            </w:pPr>
            <w:r w:rsidRPr="00266328">
              <w:rPr>
                <w:rFonts w:eastAsia="Times New Roman"/>
                <w:sz w:val="24"/>
                <w:szCs w:val="24"/>
                <w:lang w:eastAsia="ru-RU"/>
              </w:rPr>
              <w:t>Питома вага хворих виявлення в ранніх стадіях (І – ІІ) серед хворих з вперше встановленим діагнозом онкологія молочної залози</w:t>
            </w:r>
          </w:p>
        </w:tc>
        <w:tc>
          <w:tcPr>
            <w:tcW w:w="968"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sz w:val="24"/>
                <w:szCs w:val="24"/>
                <w:lang w:eastAsia="ru-RU"/>
              </w:rPr>
            </w:pPr>
            <w:r w:rsidRPr="00266328">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sz w:val="24"/>
                <w:szCs w:val="24"/>
                <w:lang w:eastAsia="ru-RU"/>
              </w:rPr>
            </w:pPr>
            <w:r w:rsidRPr="00266328">
              <w:rPr>
                <w:rFonts w:eastAsia="Times New Roman"/>
                <w:sz w:val="24"/>
                <w:szCs w:val="24"/>
                <w:lang w:eastAsia="ru-RU"/>
              </w:rPr>
              <w:t>75,50</w:t>
            </w:r>
          </w:p>
        </w:tc>
        <w:tc>
          <w:tcPr>
            <w:tcW w:w="968"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sz w:val="24"/>
                <w:szCs w:val="24"/>
                <w:lang w:eastAsia="ru-RU"/>
              </w:rPr>
            </w:pPr>
            <w:r w:rsidRPr="00266328">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sz w:val="24"/>
                <w:szCs w:val="24"/>
                <w:lang w:eastAsia="ru-RU"/>
              </w:rPr>
            </w:pPr>
            <w:r w:rsidRPr="00266328">
              <w:rPr>
                <w:rFonts w:eastAsia="Times New Roman"/>
                <w:sz w:val="24"/>
                <w:szCs w:val="24"/>
                <w:lang w:eastAsia="ru-RU"/>
              </w:rPr>
              <w:t>5,69</w:t>
            </w:r>
          </w:p>
        </w:tc>
        <w:tc>
          <w:tcPr>
            <w:tcW w:w="968"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sz w:val="24"/>
                <w:szCs w:val="24"/>
                <w:lang w:eastAsia="ru-RU"/>
              </w:rPr>
            </w:pPr>
            <w:r w:rsidRPr="00266328">
              <w:rPr>
                <w:rFonts w:eastAsia="Times New Roman"/>
                <w:sz w:val="24"/>
                <w:szCs w:val="24"/>
                <w:lang w:eastAsia="ru-RU"/>
              </w:rPr>
              <w:t>*</w:t>
            </w:r>
          </w:p>
        </w:tc>
        <w:tc>
          <w:tcPr>
            <w:tcW w:w="757"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sz w:val="24"/>
                <w:szCs w:val="24"/>
                <w:lang w:eastAsia="ru-RU"/>
              </w:rPr>
            </w:pPr>
            <w:r w:rsidRPr="00266328">
              <w:rPr>
                <w:rFonts w:eastAsia="Times New Roman"/>
                <w:sz w:val="24"/>
                <w:szCs w:val="24"/>
                <w:lang w:eastAsia="ru-RU"/>
              </w:rPr>
              <w:t>0,95</w:t>
            </w:r>
          </w:p>
        </w:tc>
      </w:tr>
      <w:tr w:rsidR="00266328" w:rsidRPr="00266328" w:rsidTr="00266328">
        <w:trPr>
          <w:trHeight w:val="418"/>
          <w:jc w:val="center"/>
        </w:trPr>
        <w:tc>
          <w:tcPr>
            <w:tcW w:w="4536" w:type="dxa"/>
            <w:tcBorders>
              <w:top w:val="single" w:sz="4" w:space="0" w:color="auto"/>
              <w:left w:val="single" w:sz="4" w:space="0" w:color="auto"/>
              <w:bottom w:val="single" w:sz="4" w:space="0" w:color="auto"/>
              <w:right w:val="single" w:sz="4" w:space="0" w:color="auto"/>
            </w:tcBorders>
            <w:vAlign w:val="bottom"/>
          </w:tcPr>
          <w:p w:rsidR="00266328" w:rsidRPr="00266328" w:rsidRDefault="00266328" w:rsidP="00266328">
            <w:pPr>
              <w:keepNext/>
              <w:jc w:val="left"/>
              <w:rPr>
                <w:rFonts w:eastAsia="Times New Roman"/>
                <w:sz w:val="24"/>
                <w:szCs w:val="24"/>
                <w:lang w:eastAsia="ru-RU"/>
              </w:rPr>
            </w:pPr>
            <w:r w:rsidRPr="00266328">
              <w:rPr>
                <w:rFonts w:eastAsia="Times New Roman"/>
                <w:sz w:val="24"/>
                <w:szCs w:val="24"/>
                <w:lang w:eastAsia="ru-RU"/>
              </w:rPr>
              <w:t>Питома вага хворих виявлення в ранніх стадіях (І – ІІ) серед хворих з вперше встановленим діагнозом онкологія шийки матки</w:t>
            </w:r>
          </w:p>
        </w:tc>
        <w:tc>
          <w:tcPr>
            <w:tcW w:w="968"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sz w:val="24"/>
                <w:szCs w:val="24"/>
                <w:lang w:eastAsia="ru-RU"/>
              </w:rPr>
            </w:pPr>
            <w:r w:rsidRPr="00266328">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sz w:val="24"/>
                <w:szCs w:val="24"/>
                <w:lang w:eastAsia="ru-RU"/>
              </w:rPr>
            </w:pPr>
            <w:r w:rsidRPr="00266328">
              <w:rPr>
                <w:rFonts w:eastAsia="Times New Roman"/>
                <w:sz w:val="24"/>
                <w:szCs w:val="24"/>
                <w:lang w:eastAsia="ru-RU"/>
              </w:rPr>
              <w:t>79,40</w:t>
            </w:r>
          </w:p>
        </w:tc>
        <w:tc>
          <w:tcPr>
            <w:tcW w:w="968"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sz w:val="24"/>
                <w:szCs w:val="24"/>
                <w:lang w:eastAsia="ru-RU"/>
              </w:rPr>
            </w:pPr>
            <w:r w:rsidRPr="00266328">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sz w:val="24"/>
                <w:szCs w:val="24"/>
                <w:lang w:eastAsia="ru-RU"/>
              </w:rPr>
            </w:pPr>
            <w:r w:rsidRPr="00266328">
              <w:rPr>
                <w:rFonts w:eastAsia="Times New Roman"/>
                <w:sz w:val="24"/>
                <w:szCs w:val="24"/>
                <w:lang w:eastAsia="ru-RU"/>
              </w:rPr>
              <w:t>5,96</w:t>
            </w:r>
          </w:p>
        </w:tc>
        <w:tc>
          <w:tcPr>
            <w:tcW w:w="968"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sz w:val="24"/>
                <w:szCs w:val="24"/>
                <w:lang w:eastAsia="ru-RU"/>
              </w:rPr>
            </w:pPr>
            <w:r w:rsidRPr="00266328">
              <w:rPr>
                <w:rFonts w:eastAsia="Times New Roman"/>
                <w:sz w:val="24"/>
                <w:szCs w:val="24"/>
                <w:lang w:eastAsia="ru-RU"/>
              </w:rPr>
              <w:t>*</w:t>
            </w:r>
          </w:p>
        </w:tc>
        <w:tc>
          <w:tcPr>
            <w:tcW w:w="757"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sz w:val="24"/>
                <w:szCs w:val="24"/>
                <w:lang w:eastAsia="ru-RU"/>
              </w:rPr>
            </w:pPr>
            <w:r w:rsidRPr="00266328">
              <w:rPr>
                <w:rFonts w:eastAsia="Times New Roman"/>
                <w:sz w:val="24"/>
                <w:szCs w:val="24"/>
                <w:lang w:eastAsia="ru-RU"/>
              </w:rPr>
              <w:t>0,99</w:t>
            </w:r>
          </w:p>
        </w:tc>
      </w:tr>
    </w:tbl>
    <w:p w:rsidR="00266328" w:rsidRDefault="00266328" w:rsidP="00266328">
      <w:pPr>
        <w:jc w:val="right"/>
        <w:rPr>
          <w:i/>
          <w:lang w:val="ru-RU"/>
        </w:rPr>
      </w:pPr>
    </w:p>
    <w:p w:rsidR="00266328" w:rsidRDefault="00266328" w:rsidP="00266328">
      <w:pPr>
        <w:jc w:val="right"/>
        <w:rPr>
          <w:i/>
          <w:lang w:val="ru-RU"/>
        </w:rPr>
      </w:pPr>
    </w:p>
    <w:p w:rsidR="00FD769A" w:rsidRDefault="00FD769A" w:rsidP="00266328">
      <w:pPr>
        <w:jc w:val="right"/>
        <w:rPr>
          <w:i/>
          <w:lang w:val="ru-RU"/>
        </w:rPr>
      </w:pPr>
    </w:p>
    <w:p w:rsidR="00266328" w:rsidRPr="00266328" w:rsidRDefault="00266328" w:rsidP="00266328">
      <w:pPr>
        <w:jc w:val="right"/>
        <w:rPr>
          <w:i/>
          <w:lang w:val="ru-RU"/>
        </w:rPr>
      </w:pPr>
      <w:r w:rsidRPr="00266328">
        <w:rPr>
          <w:i/>
          <w:lang w:val="ru-RU"/>
        </w:rPr>
        <w:lastRenderedPageBreak/>
        <w:t>Продовження додаток Е-28</w:t>
      </w:r>
    </w:p>
    <w:tbl>
      <w:tblPr>
        <w:tblW w:w="101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36"/>
        <w:gridCol w:w="968"/>
        <w:gridCol w:w="969"/>
        <w:gridCol w:w="968"/>
        <w:gridCol w:w="969"/>
        <w:gridCol w:w="968"/>
        <w:gridCol w:w="757"/>
      </w:tblGrid>
      <w:tr w:rsidR="00266328" w:rsidRPr="00266328" w:rsidTr="00266328">
        <w:trPr>
          <w:trHeight w:val="600"/>
          <w:jc w:val="center"/>
        </w:trPr>
        <w:tc>
          <w:tcPr>
            <w:tcW w:w="4536" w:type="dxa"/>
            <w:tcBorders>
              <w:top w:val="single" w:sz="4" w:space="0" w:color="auto"/>
              <w:left w:val="single" w:sz="4" w:space="0" w:color="auto"/>
              <w:bottom w:val="single" w:sz="4" w:space="0" w:color="auto"/>
              <w:right w:val="single" w:sz="4" w:space="0" w:color="auto"/>
            </w:tcBorders>
          </w:tcPr>
          <w:p w:rsidR="00266328" w:rsidRPr="00266328" w:rsidRDefault="00266328" w:rsidP="00266328">
            <w:pPr>
              <w:keepNext/>
              <w:rPr>
                <w:rFonts w:eastAsia="Times New Roman"/>
                <w:color w:val="000000"/>
                <w:sz w:val="24"/>
                <w:szCs w:val="24"/>
                <w:lang w:eastAsia="uk-UA"/>
              </w:rPr>
            </w:pPr>
            <w:r w:rsidRPr="00266328">
              <w:rPr>
                <w:rFonts w:eastAsia="Times New Roman"/>
                <w:color w:val="000000"/>
                <w:sz w:val="24"/>
                <w:szCs w:val="24"/>
                <w:lang w:eastAsia="uk-UA"/>
              </w:rPr>
              <w:t>Індекс концентрації розродження вагітних з цукровим діабетом у ЗПД ІІІ рівня</w:t>
            </w:r>
          </w:p>
        </w:tc>
        <w:tc>
          <w:tcPr>
            <w:tcW w:w="968"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color w:val="000000"/>
                <w:sz w:val="24"/>
                <w:szCs w:val="24"/>
                <w:lang w:eastAsia="ru-RU"/>
              </w:rPr>
            </w:pPr>
            <w:r w:rsidRPr="00266328">
              <w:rPr>
                <w:rFonts w:eastAsia="Times New Roman"/>
                <w:color w:val="000000"/>
                <w:sz w:val="24"/>
                <w:szCs w:val="24"/>
                <w:lang w:eastAsia="ru-RU"/>
              </w:rPr>
              <w:t>11,52</w:t>
            </w:r>
          </w:p>
        </w:tc>
        <w:tc>
          <w:tcPr>
            <w:tcW w:w="969"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color w:val="000000"/>
                <w:sz w:val="24"/>
                <w:szCs w:val="24"/>
                <w:lang w:eastAsia="ru-RU"/>
              </w:rPr>
            </w:pPr>
            <w:r w:rsidRPr="00266328">
              <w:rPr>
                <w:rFonts w:eastAsia="Times New Roman"/>
                <w:color w:val="000000"/>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color w:val="000000"/>
                <w:sz w:val="24"/>
                <w:szCs w:val="24"/>
                <w:lang w:eastAsia="ru-RU"/>
              </w:rPr>
            </w:pPr>
            <w:r w:rsidRPr="00266328">
              <w:rPr>
                <w:rFonts w:eastAsia="Times New Roman"/>
                <w:color w:val="000000"/>
                <w:sz w:val="24"/>
                <w:szCs w:val="24"/>
                <w:lang w:eastAsia="ru-RU"/>
              </w:rPr>
              <w:t>0,25</w:t>
            </w:r>
          </w:p>
        </w:tc>
        <w:tc>
          <w:tcPr>
            <w:tcW w:w="969"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sz w:val="24"/>
                <w:szCs w:val="24"/>
                <w:lang w:eastAsia="ru-RU"/>
              </w:rPr>
            </w:pPr>
            <w:r w:rsidRPr="00266328">
              <w:rPr>
                <w:rFonts w:eastAsia="Times New Roman"/>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color w:val="000000"/>
                <w:sz w:val="24"/>
                <w:szCs w:val="24"/>
                <w:lang w:eastAsia="ru-RU"/>
              </w:rPr>
            </w:pPr>
            <w:r w:rsidRPr="00266328">
              <w:rPr>
                <w:rFonts w:eastAsia="Times New Roman"/>
                <w:color w:val="000000"/>
                <w:sz w:val="24"/>
                <w:szCs w:val="24"/>
                <w:lang w:eastAsia="ru-RU"/>
              </w:rPr>
              <w:t>0,04</w:t>
            </w:r>
          </w:p>
        </w:tc>
        <w:tc>
          <w:tcPr>
            <w:tcW w:w="757"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sz w:val="24"/>
                <w:szCs w:val="24"/>
                <w:lang w:eastAsia="ru-RU"/>
              </w:rPr>
            </w:pPr>
            <w:r w:rsidRPr="00266328">
              <w:rPr>
                <w:rFonts w:eastAsia="Times New Roman"/>
                <w:sz w:val="24"/>
                <w:szCs w:val="24"/>
                <w:lang w:eastAsia="ru-RU"/>
              </w:rPr>
              <w:t>**</w:t>
            </w:r>
          </w:p>
        </w:tc>
      </w:tr>
      <w:tr w:rsidR="00266328" w:rsidRPr="00266328" w:rsidTr="00266328">
        <w:trPr>
          <w:trHeight w:val="600"/>
          <w:jc w:val="center"/>
        </w:trPr>
        <w:tc>
          <w:tcPr>
            <w:tcW w:w="4536" w:type="dxa"/>
            <w:tcBorders>
              <w:top w:val="single" w:sz="4" w:space="0" w:color="auto"/>
              <w:left w:val="single" w:sz="4" w:space="0" w:color="auto"/>
              <w:bottom w:val="single" w:sz="4" w:space="0" w:color="auto"/>
              <w:right w:val="single" w:sz="4" w:space="0" w:color="auto"/>
            </w:tcBorders>
          </w:tcPr>
          <w:p w:rsidR="00266328" w:rsidRPr="00266328" w:rsidRDefault="00266328" w:rsidP="00266328">
            <w:pPr>
              <w:keepNext/>
              <w:rPr>
                <w:rFonts w:eastAsia="Times New Roman"/>
                <w:color w:val="000000"/>
                <w:sz w:val="24"/>
                <w:szCs w:val="24"/>
                <w:lang w:eastAsia="uk-UA"/>
              </w:rPr>
            </w:pPr>
            <w:r w:rsidRPr="00266328">
              <w:rPr>
                <w:rFonts w:eastAsia="Times New Roman"/>
                <w:color w:val="000000"/>
                <w:sz w:val="24"/>
                <w:szCs w:val="24"/>
                <w:lang w:eastAsia="uk-UA"/>
              </w:rPr>
              <w:t>Індекс концентрації розродження вагітних з  пре- еклампсією і еклампсією  у ЗПД ІІ-ІІІ рівнів</w:t>
            </w:r>
          </w:p>
        </w:tc>
        <w:tc>
          <w:tcPr>
            <w:tcW w:w="968"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color w:val="000000"/>
                <w:sz w:val="24"/>
                <w:szCs w:val="24"/>
                <w:lang w:eastAsia="ru-RU"/>
              </w:rPr>
            </w:pPr>
            <w:r w:rsidRPr="00266328">
              <w:rPr>
                <w:rFonts w:eastAsia="Times New Roman"/>
                <w:color w:val="000000"/>
                <w:sz w:val="24"/>
                <w:szCs w:val="24"/>
                <w:lang w:eastAsia="ru-RU"/>
              </w:rPr>
              <w:t>100</w:t>
            </w:r>
          </w:p>
        </w:tc>
        <w:tc>
          <w:tcPr>
            <w:tcW w:w="969"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color w:val="000000"/>
                <w:sz w:val="24"/>
                <w:szCs w:val="24"/>
                <w:lang w:eastAsia="ru-RU"/>
              </w:rPr>
            </w:pPr>
            <w:r w:rsidRPr="00266328">
              <w:rPr>
                <w:rFonts w:eastAsia="Times New Roman"/>
                <w:color w:val="000000"/>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color w:val="000000"/>
                <w:sz w:val="24"/>
                <w:szCs w:val="24"/>
                <w:lang w:eastAsia="ru-RU"/>
              </w:rPr>
            </w:pPr>
            <w:r w:rsidRPr="00266328">
              <w:rPr>
                <w:rFonts w:eastAsia="Times New Roman"/>
                <w:color w:val="000000"/>
                <w:sz w:val="24"/>
                <w:szCs w:val="24"/>
                <w:lang w:eastAsia="ru-RU"/>
              </w:rPr>
              <w:t>7,00</w:t>
            </w:r>
          </w:p>
        </w:tc>
        <w:tc>
          <w:tcPr>
            <w:tcW w:w="969"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sz w:val="24"/>
                <w:szCs w:val="24"/>
                <w:lang w:eastAsia="ru-RU"/>
              </w:rPr>
            </w:pPr>
            <w:r w:rsidRPr="00266328">
              <w:rPr>
                <w:rFonts w:eastAsia="Times New Roman"/>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color w:val="000000"/>
                <w:sz w:val="24"/>
                <w:szCs w:val="24"/>
                <w:lang w:eastAsia="ru-RU"/>
              </w:rPr>
            </w:pPr>
            <w:r w:rsidRPr="00266328">
              <w:rPr>
                <w:rFonts w:eastAsia="Times New Roman"/>
                <w:color w:val="000000"/>
                <w:sz w:val="24"/>
                <w:szCs w:val="24"/>
                <w:lang w:eastAsia="ru-RU"/>
              </w:rPr>
              <w:t>1,00</w:t>
            </w:r>
          </w:p>
        </w:tc>
        <w:tc>
          <w:tcPr>
            <w:tcW w:w="757"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sz w:val="24"/>
                <w:szCs w:val="24"/>
                <w:lang w:eastAsia="ru-RU"/>
              </w:rPr>
            </w:pPr>
            <w:r w:rsidRPr="00266328">
              <w:rPr>
                <w:rFonts w:eastAsia="Times New Roman"/>
                <w:sz w:val="24"/>
                <w:szCs w:val="24"/>
                <w:lang w:eastAsia="ru-RU"/>
              </w:rPr>
              <w:t>**</w:t>
            </w:r>
          </w:p>
        </w:tc>
      </w:tr>
      <w:tr w:rsidR="00266328" w:rsidRPr="00266328" w:rsidTr="00266328">
        <w:trPr>
          <w:trHeight w:val="600"/>
          <w:jc w:val="center"/>
        </w:trPr>
        <w:tc>
          <w:tcPr>
            <w:tcW w:w="4536" w:type="dxa"/>
            <w:tcBorders>
              <w:top w:val="single" w:sz="4" w:space="0" w:color="auto"/>
              <w:left w:val="single" w:sz="4" w:space="0" w:color="auto"/>
              <w:bottom w:val="single" w:sz="4" w:space="0" w:color="auto"/>
              <w:right w:val="single" w:sz="4" w:space="0" w:color="auto"/>
            </w:tcBorders>
          </w:tcPr>
          <w:p w:rsidR="00266328" w:rsidRPr="00266328" w:rsidRDefault="00266328" w:rsidP="00266328">
            <w:pPr>
              <w:keepNext/>
              <w:rPr>
                <w:rFonts w:eastAsia="Times New Roman"/>
                <w:color w:val="000000"/>
                <w:sz w:val="24"/>
                <w:szCs w:val="24"/>
                <w:lang w:eastAsia="uk-UA"/>
              </w:rPr>
            </w:pPr>
            <w:r w:rsidRPr="00266328">
              <w:rPr>
                <w:rFonts w:eastAsia="Times New Roman"/>
                <w:color w:val="000000"/>
                <w:sz w:val="24"/>
                <w:szCs w:val="24"/>
                <w:lang w:eastAsia="uk-UA"/>
              </w:rPr>
              <w:t>Індекс концентрації новонароджених масою тіла при народженні 500-1499г у ЗПД ІІІ рівня</w:t>
            </w:r>
          </w:p>
        </w:tc>
        <w:tc>
          <w:tcPr>
            <w:tcW w:w="968"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color w:val="000000"/>
                <w:sz w:val="24"/>
                <w:szCs w:val="24"/>
                <w:lang w:eastAsia="ru-RU"/>
              </w:rPr>
            </w:pPr>
            <w:r w:rsidRPr="00266328">
              <w:rPr>
                <w:rFonts w:eastAsia="Times New Roman"/>
                <w:color w:val="000000"/>
                <w:sz w:val="24"/>
                <w:szCs w:val="24"/>
                <w:lang w:eastAsia="ru-RU"/>
              </w:rPr>
              <w:t>61,7</w:t>
            </w:r>
          </w:p>
        </w:tc>
        <w:tc>
          <w:tcPr>
            <w:tcW w:w="969"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color w:val="000000"/>
                <w:sz w:val="24"/>
                <w:szCs w:val="24"/>
                <w:lang w:eastAsia="ru-RU"/>
              </w:rPr>
            </w:pPr>
            <w:r w:rsidRPr="00266328">
              <w:rPr>
                <w:rFonts w:eastAsia="Times New Roman"/>
                <w:color w:val="000000"/>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color w:val="000000"/>
                <w:sz w:val="24"/>
                <w:szCs w:val="24"/>
                <w:lang w:eastAsia="ru-RU"/>
              </w:rPr>
            </w:pPr>
            <w:r w:rsidRPr="00266328">
              <w:rPr>
                <w:rFonts w:eastAsia="Times New Roman"/>
                <w:color w:val="000000"/>
                <w:sz w:val="24"/>
                <w:szCs w:val="24"/>
                <w:lang w:eastAsia="ru-RU"/>
              </w:rPr>
              <w:t>4,63</w:t>
            </w:r>
          </w:p>
        </w:tc>
        <w:tc>
          <w:tcPr>
            <w:tcW w:w="969"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sz w:val="24"/>
                <w:szCs w:val="24"/>
                <w:lang w:eastAsia="ru-RU"/>
              </w:rPr>
            </w:pPr>
            <w:r w:rsidRPr="00266328">
              <w:rPr>
                <w:rFonts w:eastAsia="Times New Roman"/>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color w:val="000000"/>
                <w:sz w:val="24"/>
                <w:szCs w:val="24"/>
                <w:lang w:eastAsia="ru-RU"/>
              </w:rPr>
            </w:pPr>
            <w:r w:rsidRPr="00266328">
              <w:rPr>
                <w:rFonts w:eastAsia="Times New Roman"/>
                <w:color w:val="000000"/>
                <w:sz w:val="24"/>
                <w:szCs w:val="24"/>
                <w:lang w:eastAsia="ru-RU"/>
              </w:rPr>
              <w:t>0,77</w:t>
            </w:r>
          </w:p>
        </w:tc>
        <w:tc>
          <w:tcPr>
            <w:tcW w:w="757"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sz w:val="24"/>
                <w:szCs w:val="24"/>
                <w:lang w:eastAsia="ru-RU"/>
              </w:rPr>
            </w:pPr>
            <w:r w:rsidRPr="00266328">
              <w:rPr>
                <w:rFonts w:eastAsia="Times New Roman"/>
                <w:sz w:val="24"/>
                <w:szCs w:val="24"/>
                <w:lang w:eastAsia="ru-RU"/>
              </w:rPr>
              <w:t>**</w:t>
            </w:r>
          </w:p>
        </w:tc>
      </w:tr>
      <w:tr w:rsidR="00266328" w:rsidRPr="00266328" w:rsidTr="00266328">
        <w:trPr>
          <w:trHeight w:val="312"/>
          <w:jc w:val="center"/>
        </w:trPr>
        <w:tc>
          <w:tcPr>
            <w:tcW w:w="4536" w:type="dxa"/>
            <w:tcBorders>
              <w:top w:val="single" w:sz="4" w:space="0" w:color="auto"/>
              <w:left w:val="single" w:sz="4" w:space="0" w:color="auto"/>
              <w:bottom w:val="single" w:sz="4" w:space="0" w:color="auto"/>
              <w:right w:val="single" w:sz="4" w:space="0" w:color="auto"/>
            </w:tcBorders>
            <w:vAlign w:val="bottom"/>
          </w:tcPr>
          <w:p w:rsidR="00266328" w:rsidRPr="00266328" w:rsidRDefault="00266328" w:rsidP="00266328">
            <w:pPr>
              <w:keepNext/>
              <w:jc w:val="left"/>
              <w:rPr>
                <w:rFonts w:eastAsia="Times New Roman"/>
                <w:sz w:val="24"/>
                <w:szCs w:val="24"/>
                <w:lang w:eastAsia="ru-RU"/>
              </w:rPr>
            </w:pPr>
            <w:r w:rsidRPr="00266328">
              <w:rPr>
                <w:rFonts w:eastAsia="Times New Roman"/>
                <w:sz w:val="24"/>
                <w:szCs w:val="24"/>
                <w:lang w:eastAsia="ru-RU"/>
              </w:rPr>
              <w:t>Індекс неонатального трансферу</w:t>
            </w:r>
          </w:p>
        </w:tc>
        <w:tc>
          <w:tcPr>
            <w:tcW w:w="968"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sz w:val="24"/>
                <w:szCs w:val="24"/>
                <w:lang w:eastAsia="ru-RU"/>
              </w:rPr>
            </w:pPr>
            <w:r w:rsidRPr="00266328">
              <w:rPr>
                <w:rFonts w:eastAsia="Times New Roman"/>
                <w:sz w:val="24"/>
                <w:szCs w:val="24"/>
                <w:lang w:eastAsia="ru-RU"/>
              </w:rPr>
              <w:t>3,57</w:t>
            </w:r>
          </w:p>
        </w:tc>
        <w:tc>
          <w:tcPr>
            <w:tcW w:w="969"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sz w:val="24"/>
                <w:szCs w:val="24"/>
                <w:lang w:eastAsia="ru-RU"/>
              </w:rPr>
            </w:pPr>
            <w:r w:rsidRPr="00266328">
              <w:rPr>
                <w:rFonts w:eastAsia="Times New Roman"/>
                <w:sz w:val="24"/>
                <w:szCs w:val="24"/>
                <w:lang w:eastAsia="ru-RU"/>
              </w:rPr>
              <w:t>3,45</w:t>
            </w:r>
          </w:p>
        </w:tc>
        <w:tc>
          <w:tcPr>
            <w:tcW w:w="968"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sz w:val="24"/>
                <w:szCs w:val="24"/>
                <w:lang w:eastAsia="ru-RU"/>
              </w:rPr>
            </w:pPr>
            <w:r w:rsidRPr="00266328">
              <w:rPr>
                <w:rFonts w:eastAsia="Times New Roman"/>
                <w:sz w:val="24"/>
                <w:szCs w:val="24"/>
                <w:lang w:eastAsia="ru-RU"/>
              </w:rPr>
              <w:t>7,00</w:t>
            </w:r>
          </w:p>
        </w:tc>
        <w:tc>
          <w:tcPr>
            <w:tcW w:w="969"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sz w:val="24"/>
                <w:szCs w:val="24"/>
                <w:lang w:eastAsia="ru-RU"/>
              </w:rPr>
            </w:pPr>
            <w:r w:rsidRPr="00266328">
              <w:rPr>
                <w:rFonts w:eastAsia="Times New Roman"/>
                <w:sz w:val="24"/>
                <w:szCs w:val="24"/>
                <w:lang w:eastAsia="ru-RU"/>
              </w:rPr>
              <w:t>7,0</w:t>
            </w:r>
          </w:p>
        </w:tc>
        <w:tc>
          <w:tcPr>
            <w:tcW w:w="968"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sz w:val="24"/>
                <w:szCs w:val="24"/>
                <w:lang w:eastAsia="ru-RU"/>
              </w:rPr>
            </w:pPr>
            <w:r w:rsidRPr="00266328">
              <w:rPr>
                <w:rFonts w:eastAsia="Times New Roman"/>
                <w:sz w:val="24"/>
                <w:szCs w:val="24"/>
                <w:lang w:eastAsia="ru-RU"/>
              </w:rPr>
              <w:t>1,00</w:t>
            </w:r>
          </w:p>
        </w:tc>
        <w:tc>
          <w:tcPr>
            <w:tcW w:w="757"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sz w:val="24"/>
                <w:szCs w:val="24"/>
                <w:lang w:eastAsia="ru-RU"/>
              </w:rPr>
            </w:pPr>
            <w:r w:rsidRPr="00266328">
              <w:rPr>
                <w:rFonts w:eastAsia="Times New Roman"/>
                <w:sz w:val="24"/>
                <w:szCs w:val="24"/>
                <w:lang w:eastAsia="ru-RU"/>
              </w:rPr>
              <w:t>1,00</w:t>
            </w:r>
          </w:p>
        </w:tc>
      </w:tr>
      <w:tr w:rsidR="00266328" w:rsidRPr="00266328" w:rsidTr="00266328">
        <w:trPr>
          <w:trHeight w:val="260"/>
          <w:jc w:val="center"/>
        </w:trPr>
        <w:tc>
          <w:tcPr>
            <w:tcW w:w="4536"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left"/>
              <w:rPr>
                <w:rFonts w:eastAsia="Times New Roman"/>
                <w:sz w:val="24"/>
                <w:szCs w:val="24"/>
                <w:lang w:eastAsia="ru-RU"/>
              </w:rPr>
            </w:pPr>
            <w:r w:rsidRPr="00266328">
              <w:rPr>
                <w:rFonts w:eastAsia="Times New Roman"/>
                <w:sz w:val="24"/>
                <w:szCs w:val="24"/>
                <w:lang w:eastAsia="ru-RU"/>
              </w:rPr>
              <w:t>Частота нормальних пологів</w:t>
            </w:r>
          </w:p>
        </w:tc>
        <w:tc>
          <w:tcPr>
            <w:tcW w:w="968"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color w:val="000000"/>
                <w:sz w:val="24"/>
                <w:szCs w:val="24"/>
                <w:lang w:eastAsia="ru-RU"/>
              </w:rPr>
            </w:pPr>
            <w:r w:rsidRPr="00266328">
              <w:rPr>
                <w:rFonts w:eastAsia="Times New Roman"/>
                <w:color w:val="000000"/>
                <w:sz w:val="24"/>
                <w:szCs w:val="24"/>
                <w:lang w:eastAsia="ru-RU"/>
              </w:rPr>
              <w:t>66,8</w:t>
            </w:r>
          </w:p>
        </w:tc>
        <w:tc>
          <w:tcPr>
            <w:tcW w:w="969"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sz w:val="24"/>
                <w:szCs w:val="24"/>
                <w:lang w:eastAsia="ru-RU"/>
              </w:rPr>
            </w:pPr>
            <w:r w:rsidRPr="00266328">
              <w:rPr>
                <w:rFonts w:eastAsia="Times New Roman"/>
                <w:sz w:val="24"/>
                <w:szCs w:val="24"/>
                <w:lang w:eastAsia="ru-RU"/>
              </w:rPr>
              <w:t>66,76</w:t>
            </w:r>
          </w:p>
        </w:tc>
        <w:tc>
          <w:tcPr>
            <w:tcW w:w="968"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color w:val="000000"/>
                <w:sz w:val="24"/>
                <w:szCs w:val="24"/>
                <w:lang w:eastAsia="ru-RU"/>
              </w:rPr>
            </w:pPr>
            <w:r w:rsidRPr="00266328">
              <w:rPr>
                <w:rFonts w:eastAsia="Times New Roman"/>
                <w:color w:val="000000"/>
                <w:sz w:val="24"/>
                <w:szCs w:val="24"/>
                <w:lang w:eastAsia="ru-RU"/>
              </w:rPr>
              <w:t>4,77</w:t>
            </w:r>
          </w:p>
        </w:tc>
        <w:tc>
          <w:tcPr>
            <w:tcW w:w="969"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sz w:val="24"/>
                <w:szCs w:val="24"/>
                <w:lang w:eastAsia="ru-RU"/>
              </w:rPr>
            </w:pPr>
            <w:r w:rsidRPr="00266328">
              <w:rPr>
                <w:rFonts w:eastAsia="Times New Roman"/>
                <w:sz w:val="24"/>
                <w:szCs w:val="24"/>
                <w:lang w:eastAsia="ru-RU"/>
              </w:rPr>
              <w:t>4,98</w:t>
            </w:r>
          </w:p>
        </w:tc>
        <w:tc>
          <w:tcPr>
            <w:tcW w:w="968"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color w:val="000000"/>
                <w:sz w:val="24"/>
                <w:szCs w:val="24"/>
                <w:lang w:eastAsia="ru-RU"/>
              </w:rPr>
            </w:pPr>
            <w:r w:rsidRPr="00266328">
              <w:rPr>
                <w:rFonts w:eastAsia="Times New Roman"/>
                <w:color w:val="000000"/>
                <w:sz w:val="24"/>
                <w:szCs w:val="24"/>
                <w:lang w:eastAsia="ru-RU"/>
              </w:rPr>
              <w:t>0,95</w:t>
            </w:r>
          </w:p>
        </w:tc>
        <w:tc>
          <w:tcPr>
            <w:tcW w:w="757"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sz w:val="24"/>
                <w:szCs w:val="24"/>
                <w:lang w:eastAsia="ru-RU"/>
              </w:rPr>
            </w:pPr>
            <w:r w:rsidRPr="00266328">
              <w:rPr>
                <w:rFonts w:eastAsia="Times New Roman"/>
                <w:sz w:val="24"/>
                <w:szCs w:val="24"/>
                <w:lang w:eastAsia="ru-RU"/>
              </w:rPr>
              <w:t>1,00</w:t>
            </w:r>
          </w:p>
        </w:tc>
      </w:tr>
      <w:tr w:rsidR="00266328" w:rsidRPr="00266328" w:rsidTr="00266328">
        <w:trPr>
          <w:trHeight w:val="420"/>
          <w:jc w:val="center"/>
        </w:trPr>
        <w:tc>
          <w:tcPr>
            <w:tcW w:w="4536" w:type="dxa"/>
            <w:tcBorders>
              <w:top w:val="single" w:sz="4" w:space="0" w:color="auto"/>
              <w:left w:val="single" w:sz="4" w:space="0" w:color="auto"/>
              <w:bottom w:val="single" w:sz="4" w:space="0" w:color="auto"/>
              <w:right w:val="single" w:sz="4" w:space="0" w:color="auto"/>
            </w:tcBorders>
            <w:vAlign w:val="bottom"/>
          </w:tcPr>
          <w:p w:rsidR="00266328" w:rsidRPr="00266328" w:rsidRDefault="00266328" w:rsidP="00266328">
            <w:pPr>
              <w:keepNext/>
              <w:jc w:val="left"/>
              <w:rPr>
                <w:rFonts w:eastAsia="Times New Roman"/>
                <w:sz w:val="24"/>
                <w:szCs w:val="24"/>
                <w:lang w:eastAsia="ru-RU"/>
              </w:rPr>
            </w:pPr>
            <w:r w:rsidRPr="00266328">
              <w:rPr>
                <w:rFonts w:eastAsia="Times New Roman"/>
                <w:sz w:val="24"/>
                <w:szCs w:val="24"/>
                <w:lang w:eastAsia="ru-RU"/>
              </w:rPr>
              <w:t>Частота розроджень вагітних шляхом кесаревого розтину</w:t>
            </w:r>
          </w:p>
        </w:tc>
        <w:tc>
          <w:tcPr>
            <w:tcW w:w="968"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color w:val="000000"/>
                <w:sz w:val="24"/>
                <w:szCs w:val="24"/>
                <w:lang w:eastAsia="ru-RU"/>
              </w:rPr>
            </w:pPr>
            <w:r w:rsidRPr="00266328">
              <w:rPr>
                <w:rFonts w:eastAsia="Times New Roman"/>
                <w:color w:val="000000"/>
                <w:sz w:val="24"/>
                <w:szCs w:val="24"/>
                <w:lang w:eastAsia="ru-RU"/>
              </w:rPr>
              <w:t>211,38</w:t>
            </w:r>
          </w:p>
        </w:tc>
        <w:tc>
          <w:tcPr>
            <w:tcW w:w="969"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sz w:val="24"/>
                <w:szCs w:val="24"/>
                <w:lang w:eastAsia="ru-RU"/>
              </w:rPr>
            </w:pPr>
            <w:r w:rsidRPr="00266328">
              <w:rPr>
                <w:rFonts w:eastAsia="Times New Roman"/>
                <w:sz w:val="24"/>
                <w:szCs w:val="24"/>
                <w:lang w:eastAsia="ru-RU"/>
              </w:rPr>
              <w:t>227,06</w:t>
            </w:r>
          </w:p>
        </w:tc>
        <w:tc>
          <w:tcPr>
            <w:tcW w:w="968"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color w:val="000000"/>
                <w:sz w:val="24"/>
                <w:szCs w:val="24"/>
                <w:lang w:eastAsia="ru-RU"/>
              </w:rPr>
            </w:pPr>
            <w:r w:rsidRPr="00266328">
              <w:rPr>
                <w:rFonts w:eastAsia="Times New Roman"/>
                <w:color w:val="000000"/>
                <w:sz w:val="24"/>
                <w:szCs w:val="24"/>
                <w:lang w:eastAsia="ru-RU"/>
              </w:rPr>
              <w:t>4,75</w:t>
            </w:r>
          </w:p>
        </w:tc>
        <w:tc>
          <w:tcPr>
            <w:tcW w:w="969"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sz w:val="24"/>
                <w:szCs w:val="24"/>
                <w:lang w:eastAsia="ru-RU"/>
              </w:rPr>
            </w:pPr>
            <w:r w:rsidRPr="00266328">
              <w:rPr>
                <w:rFonts w:eastAsia="Times New Roman"/>
                <w:sz w:val="24"/>
                <w:szCs w:val="24"/>
                <w:lang w:eastAsia="ru-RU"/>
              </w:rPr>
              <w:t>5,12</w:t>
            </w:r>
          </w:p>
        </w:tc>
        <w:tc>
          <w:tcPr>
            <w:tcW w:w="968"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color w:val="000000"/>
                <w:sz w:val="24"/>
                <w:szCs w:val="24"/>
                <w:lang w:eastAsia="ru-RU"/>
              </w:rPr>
            </w:pPr>
            <w:r w:rsidRPr="00266328">
              <w:rPr>
                <w:rFonts w:eastAsia="Times New Roman"/>
                <w:color w:val="000000"/>
                <w:sz w:val="24"/>
                <w:szCs w:val="24"/>
                <w:lang w:eastAsia="ru-RU"/>
              </w:rPr>
              <w:t>0,68</w:t>
            </w:r>
          </w:p>
        </w:tc>
        <w:tc>
          <w:tcPr>
            <w:tcW w:w="757"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sz w:val="24"/>
                <w:szCs w:val="24"/>
                <w:lang w:eastAsia="ru-RU"/>
              </w:rPr>
            </w:pPr>
            <w:r w:rsidRPr="00266328">
              <w:rPr>
                <w:rFonts w:eastAsia="Times New Roman"/>
                <w:sz w:val="24"/>
                <w:szCs w:val="24"/>
                <w:lang w:eastAsia="ru-RU"/>
              </w:rPr>
              <w:t>0,73</w:t>
            </w:r>
          </w:p>
        </w:tc>
      </w:tr>
      <w:tr w:rsidR="00266328" w:rsidRPr="00266328" w:rsidTr="00266328">
        <w:trPr>
          <w:trHeight w:val="276"/>
          <w:jc w:val="center"/>
        </w:trPr>
        <w:tc>
          <w:tcPr>
            <w:tcW w:w="4536" w:type="dxa"/>
            <w:tcBorders>
              <w:top w:val="single" w:sz="4" w:space="0" w:color="auto"/>
              <w:left w:val="single" w:sz="4" w:space="0" w:color="auto"/>
              <w:bottom w:val="single" w:sz="4" w:space="0" w:color="auto"/>
              <w:right w:val="single" w:sz="4" w:space="0" w:color="auto"/>
            </w:tcBorders>
            <w:vAlign w:val="bottom"/>
          </w:tcPr>
          <w:p w:rsidR="00266328" w:rsidRPr="00266328" w:rsidRDefault="00266328" w:rsidP="00266328">
            <w:pPr>
              <w:keepNext/>
              <w:jc w:val="left"/>
              <w:rPr>
                <w:rFonts w:eastAsia="Times New Roman"/>
                <w:sz w:val="24"/>
                <w:szCs w:val="24"/>
                <w:lang w:eastAsia="ru-RU"/>
              </w:rPr>
            </w:pPr>
            <w:r w:rsidRPr="00266328">
              <w:rPr>
                <w:rFonts w:eastAsia="Times New Roman"/>
                <w:sz w:val="24"/>
                <w:szCs w:val="24"/>
                <w:lang w:eastAsia="ru-RU"/>
              </w:rPr>
              <w:t>Частота  кровотеч в послідовому і післяродовому періодах</w:t>
            </w:r>
          </w:p>
        </w:tc>
        <w:tc>
          <w:tcPr>
            <w:tcW w:w="968"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color w:val="000000"/>
                <w:sz w:val="24"/>
                <w:szCs w:val="24"/>
                <w:lang w:eastAsia="ru-RU"/>
              </w:rPr>
            </w:pPr>
            <w:r w:rsidRPr="00266328">
              <w:rPr>
                <w:rFonts w:eastAsia="Times New Roman"/>
                <w:color w:val="000000"/>
                <w:sz w:val="24"/>
                <w:szCs w:val="24"/>
                <w:lang w:eastAsia="ru-RU"/>
              </w:rPr>
              <w:t>6,44</w:t>
            </w:r>
          </w:p>
        </w:tc>
        <w:tc>
          <w:tcPr>
            <w:tcW w:w="969"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sz w:val="24"/>
                <w:szCs w:val="24"/>
                <w:lang w:eastAsia="ru-RU"/>
              </w:rPr>
            </w:pPr>
            <w:r w:rsidRPr="00266328">
              <w:rPr>
                <w:rFonts w:eastAsia="Times New Roman"/>
                <w:sz w:val="24"/>
                <w:szCs w:val="24"/>
                <w:lang w:eastAsia="ru-RU"/>
              </w:rPr>
              <w:t>6,89</w:t>
            </w:r>
          </w:p>
        </w:tc>
        <w:tc>
          <w:tcPr>
            <w:tcW w:w="968"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color w:val="000000"/>
                <w:sz w:val="24"/>
                <w:szCs w:val="24"/>
                <w:lang w:eastAsia="ru-RU"/>
              </w:rPr>
            </w:pPr>
            <w:r w:rsidRPr="00266328">
              <w:rPr>
                <w:rFonts w:eastAsia="Times New Roman"/>
                <w:color w:val="000000"/>
                <w:sz w:val="24"/>
                <w:szCs w:val="24"/>
                <w:lang w:eastAsia="ru-RU"/>
              </w:rPr>
              <w:t>6,41</w:t>
            </w:r>
          </w:p>
        </w:tc>
        <w:tc>
          <w:tcPr>
            <w:tcW w:w="969"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sz w:val="24"/>
                <w:szCs w:val="24"/>
                <w:lang w:eastAsia="ru-RU"/>
              </w:rPr>
            </w:pPr>
            <w:r w:rsidRPr="00266328">
              <w:rPr>
                <w:rFonts w:eastAsia="Times New Roman"/>
                <w:sz w:val="24"/>
                <w:szCs w:val="24"/>
                <w:lang w:eastAsia="ru-RU"/>
              </w:rPr>
              <w:t>7,67</w:t>
            </w:r>
          </w:p>
        </w:tc>
        <w:tc>
          <w:tcPr>
            <w:tcW w:w="968"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color w:val="000000"/>
                <w:sz w:val="24"/>
                <w:szCs w:val="24"/>
                <w:lang w:eastAsia="ru-RU"/>
              </w:rPr>
            </w:pPr>
            <w:r w:rsidRPr="00266328">
              <w:rPr>
                <w:rFonts w:eastAsia="Times New Roman"/>
                <w:color w:val="000000"/>
                <w:sz w:val="24"/>
                <w:szCs w:val="24"/>
                <w:lang w:eastAsia="ru-RU"/>
              </w:rPr>
              <w:t>0,71</w:t>
            </w:r>
          </w:p>
        </w:tc>
        <w:tc>
          <w:tcPr>
            <w:tcW w:w="757"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sz w:val="24"/>
                <w:szCs w:val="24"/>
                <w:lang w:eastAsia="ru-RU"/>
              </w:rPr>
            </w:pPr>
            <w:r w:rsidRPr="00266328">
              <w:rPr>
                <w:rFonts w:eastAsia="Times New Roman"/>
                <w:sz w:val="24"/>
                <w:szCs w:val="24"/>
                <w:lang w:eastAsia="ru-RU"/>
              </w:rPr>
              <w:t>0,85</w:t>
            </w:r>
          </w:p>
        </w:tc>
      </w:tr>
      <w:tr w:rsidR="00266328" w:rsidRPr="00266328" w:rsidTr="00266328">
        <w:trPr>
          <w:trHeight w:val="293"/>
          <w:jc w:val="center"/>
        </w:trPr>
        <w:tc>
          <w:tcPr>
            <w:tcW w:w="4536" w:type="dxa"/>
            <w:tcBorders>
              <w:top w:val="single" w:sz="4" w:space="0" w:color="auto"/>
              <w:left w:val="single" w:sz="4" w:space="0" w:color="auto"/>
              <w:bottom w:val="single" w:sz="4" w:space="0" w:color="auto"/>
              <w:right w:val="single" w:sz="4" w:space="0" w:color="auto"/>
            </w:tcBorders>
            <w:vAlign w:val="bottom"/>
          </w:tcPr>
          <w:p w:rsidR="00266328" w:rsidRPr="00266328" w:rsidRDefault="00266328" w:rsidP="00266328">
            <w:pPr>
              <w:keepNext/>
              <w:jc w:val="left"/>
              <w:rPr>
                <w:rFonts w:eastAsia="Times New Roman"/>
                <w:sz w:val="24"/>
                <w:szCs w:val="24"/>
                <w:lang w:eastAsia="ru-RU"/>
              </w:rPr>
            </w:pPr>
            <w:r w:rsidRPr="00266328">
              <w:rPr>
                <w:rFonts w:eastAsia="Times New Roman"/>
                <w:sz w:val="24"/>
                <w:szCs w:val="24"/>
                <w:lang w:eastAsia="ru-RU"/>
              </w:rPr>
              <w:t>Частота мало вагових новонароджених</w:t>
            </w:r>
          </w:p>
        </w:tc>
        <w:tc>
          <w:tcPr>
            <w:tcW w:w="968"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color w:val="000000"/>
                <w:sz w:val="24"/>
                <w:szCs w:val="24"/>
                <w:lang w:eastAsia="ru-RU"/>
              </w:rPr>
            </w:pPr>
            <w:r w:rsidRPr="00266328">
              <w:rPr>
                <w:rFonts w:eastAsia="Times New Roman"/>
                <w:color w:val="000000"/>
                <w:sz w:val="24"/>
                <w:szCs w:val="24"/>
                <w:lang w:eastAsia="ru-RU"/>
              </w:rPr>
              <w:t>5,73</w:t>
            </w:r>
          </w:p>
        </w:tc>
        <w:tc>
          <w:tcPr>
            <w:tcW w:w="969"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sz w:val="24"/>
                <w:szCs w:val="24"/>
                <w:lang w:eastAsia="ru-RU"/>
              </w:rPr>
            </w:pPr>
            <w:r w:rsidRPr="00266328">
              <w:rPr>
                <w:rFonts w:eastAsia="Times New Roman"/>
                <w:sz w:val="24"/>
                <w:szCs w:val="24"/>
                <w:lang w:eastAsia="ru-RU"/>
              </w:rPr>
              <w:t>5,00</w:t>
            </w:r>
          </w:p>
        </w:tc>
        <w:tc>
          <w:tcPr>
            <w:tcW w:w="968"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color w:val="000000"/>
                <w:sz w:val="24"/>
                <w:szCs w:val="24"/>
                <w:lang w:eastAsia="ru-RU"/>
              </w:rPr>
            </w:pPr>
            <w:r w:rsidRPr="00266328">
              <w:rPr>
                <w:rFonts w:eastAsia="Times New Roman"/>
                <w:color w:val="000000"/>
                <w:sz w:val="24"/>
                <w:szCs w:val="24"/>
                <w:lang w:eastAsia="ru-RU"/>
              </w:rPr>
              <w:t>2,84</w:t>
            </w:r>
          </w:p>
        </w:tc>
        <w:tc>
          <w:tcPr>
            <w:tcW w:w="969"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sz w:val="24"/>
                <w:szCs w:val="24"/>
                <w:lang w:eastAsia="ru-RU"/>
              </w:rPr>
            </w:pPr>
            <w:r w:rsidRPr="00266328">
              <w:rPr>
                <w:rFonts w:eastAsia="Times New Roman"/>
                <w:sz w:val="24"/>
                <w:szCs w:val="24"/>
                <w:lang w:eastAsia="ru-RU"/>
              </w:rPr>
              <w:t>4,00</w:t>
            </w:r>
          </w:p>
        </w:tc>
        <w:tc>
          <w:tcPr>
            <w:tcW w:w="968"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color w:val="000000"/>
                <w:sz w:val="24"/>
                <w:szCs w:val="24"/>
                <w:lang w:eastAsia="ru-RU"/>
              </w:rPr>
            </w:pPr>
            <w:r w:rsidRPr="00266328">
              <w:rPr>
                <w:rFonts w:eastAsia="Times New Roman"/>
                <w:color w:val="000000"/>
                <w:sz w:val="24"/>
                <w:szCs w:val="24"/>
                <w:lang w:eastAsia="ru-RU"/>
              </w:rPr>
              <w:t>0,57</w:t>
            </w:r>
          </w:p>
        </w:tc>
        <w:tc>
          <w:tcPr>
            <w:tcW w:w="757"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sz w:val="24"/>
                <w:szCs w:val="24"/>
                <w:lang w:eastAsia="ru-RU"/>
              </w:rPr>
            </w:pPr>
            <w:r w:rsidRPr="00266328">
              <w:rPr>
                <w:rFonts w:eastAsia="Times New Roman"/>
                <w:sz w:val="24"/>
                <w:szCs w:val="24"/>
                <w:lang w:eastAsia="ru-RU"/>
              </w:rPr>
              <w:t>0,80</w:t>
            </w:r>
          </w:p>
        </w:tc>
      </w:tr>
      <w:tr w:rsidR="00266328" w:rsidRPr="00266328" w:rsidTr="00266328">
        <w:trPr>
          <w:trHeight w:val="344"/>
          <w:jc w:val="center"/>
        </w:trPr>
        <w:tc>
          <w:tcPr>
            <w:tcW w:w="4536" w:type="dxa"/>
            <w:tcBorders>
              <w:top w:val="single" w:sz="4" w:space="0" w:color="auto"/>
              <w:left w:val="single" w:sz="4" w:space="0" w:color="auto"/>
              <w:bottom w:val="single" w:sz="4" w:space="0" w:color="auto"/>
              <w:right w:val="single" w:sz="4" w:space="0" w:color="auto"/>
            </w:tcBorders>
            <w:vAlign w:val="bottom"/>
          </w:tcPr>
          <w:p w:rsidR="00266328" w:rsidRPr="00266328" w:rsidRDefault="00266328" w:rsidP="00266328">
            <w:pPr>
              <w:keepNext/>
              <w:jc w:val="left"/>
              <w:rPr>
                <w:rFonts w:eastAsia="Times New Roman"/>
                <w:sz w:val="24"/>
                <w:szCs w:val="24"/>
                <w:lang w:eastAsia="ru-RU"/>
              </w:rPr>
            </w:pPr>
            <w:r w:rsidRPr="00266328">
              <w:rPr>
                <w:rFonts w:eastAsia="Times New Roman"/>
                <w:sz w:val="24"/>
                <w:szCs w:val="24"/>
                <w:lang w:eastAsia="ru-RU"/>
              </w:rPr>
              <w:t>Виживання новонароджених з дуже малою масою тіла при народженні</w:t>
            </w:r>
          </w:p>
        </w:tc>
        <w:tc>
          <w:tcPr>
            <w:tcW w:w="968"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color w:val="000000"/>
                <w:sz w:val="24"/>
                <w:szCs w:val="24"/>
                <w:lang w:eastAsia="ru-RU"/>
              </w:rPr>
            </w:pPr>
            <w:r w:rsidRPr="00266328">
              <w:rPr>
                <w:rFonts w:eastAsia="Times New Roman"/>
                <w:color w:val="000000"/>
                <w:sz w:val="24"/>
                <w:szCs w:val="24"/>
                <w:lang w:eastAsia="ru-RU"/>
              </w:rPr>
              <w:t>88,81</w:t>
            </w:r>
          </w:p>
        </w:tc>
        <w:tc>
          <w:tcPr>
            <w:tcW w:w="969"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sz w:val="24"/>
                <w:szCs w:val="24"/>
                <w:lang w:eastAsia="ru-RU"/>
              </w:rPr>
            </w:pPr>
            <w:r w:rsidRPr="00266328">
              <w:rPr>
                <w:rFonts w:eastAsia="Times New Roman"/>
                <w:sz w:val="24"/>
                <w:szCs w:val="24"/>
                <w:lang w:eastAsia="ru-RU"/>
              </w:rPr>
              <w:t>91,09</w:t>
            </w:r>
          </w:p>
        </w:tc>
        <w:tc>
          <w:tcPr>
            <w:tcW w:w="968"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color w:val="000000"/>
                <w:sz w:val="24"/>
                <w:szCs w:val="24"/>
                <w:lang w:eastAsia="ru-RU"/>
              </w:rPr>
            </w:pPr>
            <w:r w:rsidRPr="00266328">
              <w:rPr>
                <w:rFonts w:eastAsia="Times New Roman"/>
                <w:color w:val="000000"/>
                <w:sz w:val="24"/>
                <w:szCs w:val="24"/>
                <w:lang w:eastAsia="ru-RU"/>
              </w:rPr>
              <w:t>7,89</w:t>
            </w:r>
          </w:p>
        </w:tc>
        <w:tc>
          <w:tcPr>
            <w:tcW w:w="969"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sz w:val="24"/>
                <w:szCs w:val="24"/>
                <w:lang w:eastAsia="ru-RU"/>
              </w:rPr>
            </w:pPr>
            <w:r w:rsidRPr="00266328">
              <w:rPr>
                <w:rFonts w:eastAsia="Times New Roman"/>
                <w:sz w:val="24"/>
                <w:szCs w:val="24"/>
                <w:lang w:eastAsia="ru-RU"/>
              </w:rPr>
              <w:t>8,0</w:t>
            </w:r>
          </w:p>
        </w:tc>
        <w:tc>
          <w:tcPr>
            <w:tcW w:w="968"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color w:val="000000"/>
                <w:sz w:val="24"/>
                <w:szCs w:val="24"/>
                <w:lang w:eastAsia="ru-RU"/>
              </w:rPr>
            </w:pPr>
            <w:r w:rsidRPr="00266328">
              <w:rPr>
                <w:rFonts w:eastAsia="Times New Roman"/>
                <w:color w:val="000000"/>
                <w:sz w:val="24"/>
                <w:szCs w:val="24"/>
                <w:lang w:eastAsia="ru-RU"/>
              </w:rPr>
              <w:t>0,99</w:t>
            </w:r>
          </w:p>
        </w:tc>
        <w:tc>
          <w:tcPr>
            <w:tcW w:w="757"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sz w:val="24"/>
                <w:szCs w:val="24"/>
                <w:lang w:eastAsia="ru-RU"/>
              </w:rPr>
            </w:pPr>
            <w:r w:rsidRPr="00266328">
              <w:rPr>
                <w:rFonts w:eastAsia="Times New Roman"/>
                <w:sz w:val="24"/>
                <w:szCs w:val="24"/>
                <w:lang w:eastAsia="ru-RU"/>
              </w:rPr>
              <w:t>1,00</w:t>
            </w:r>
          </w:p>
        </w:tc>
      </w:tr>
      <w:tr w:rsidR="00266328" w:rsidRPr="00266328" w:rsidTr="00266328">
        <w:trPr>
          <w:trHeight w:val="226"/>
          <w:jc w:val="center"/>
        </w:trPr>
        <w:tc>
          <w:tcPr>
            <w:tcW w:w="4536" w:type="dxa"/>
            <w:tcBorders>
              <w:top w:val="single" w:sz="4" w:space="0" w:color="auto"/>
              <w:left w:val="single" w:sz="4" w:space="0" w:color="auto"/>
              <w:bottom w:val="single" w:sz="4" w:space="0" w:color="auto"/>
              <w:right w:val="single" w:sz="4" w:space="0" w:color="auto"/>
            </w:tcBorders>
            <w:vAlign w:val="bottom"/>
          </w:tcPr>
          <w:p w:rsidR="00266328" w:rsidRPr="00266328" w:rsidRDefault="00266328" w:rsidP="00266328">
            <w:pPr>
              <w:keepNext/>
              <w:jc w:val="left"/>
              <w:rPr>
                <w:rFonts w:eastAsia="Times New Roman"/>
                <w:sz w:val="24"/>
                <w:szCs w:val="24"/>
                <w:lang w:eastAsia="ru-RU"/>
              </w:rPr>
            </w:pPr>
            <w:r w:rsidRPr="00266328">
              <w:rPr>
                <w:rFonts w:eastAsia="Times New Roman"/>
                <w:sz w:val="24"/>
                <w:szCs w:val="24"/>
                <w:lang w:eastAsia="ru-RU"/>
              </w:rPr>
              <w:t>Індекс здоров’я новонароджених</w:t>
            </w:r>
          </w:p>
        </w:tc>
        <w:tc>
          <w:tcPr>
            <w:tcW w:w="968"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color w:val="000000"/>
                <w:sz w:val="24"/>
                <w:szCs w:val="24"/>
                <w:lang w:eastAsia="ru-RU"/>
              </w:rPr>
            </w:pPr>
            <w:r w:rsidRPr="00266328">
              <w:rPr>
                <w:rFonts w:eastAsia="Times New Roman"/>
                <w:color w:val="000000"/>
                <w:sz w:val="24"/>
                <w:szCs w:val="24"/>
                <w:lang w:eastAsia="ru-RU"/>
              </w:rPr>
              <w:t>78,6</w:t>
            </w:r>
          </w:p>
        </w:tc>
        <w:tc>
          <w:tcPr>
            <w:tcW w:w="969"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sz w:val="24"/>
                <w:szCs w:val="24"/>
                <w:lang w:eastAsia="ru-RU"/>
              </w:rPr>
            </w:pPr>
            <w:r w:rsidRPr="00266328">
              <w:rPr>
                <w:rFonts w:eastAsia="Times New Roman"/>
                <w:sz w:val="24"/>
                <w:szCs w:val="24"/>
                <w:lang w:eastAsia="ru-RU"/>
              </w:rPr>
              <w:t>78,50</w:t>
            </w:r>
          </w:p>
        </w:tc>
        <w:tc>
          <w:tcPr>
            <w:tcW w:w="968"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color w:val="000000"/>
                <w:sz w:val="24"/>
                <w:szCs w:val="24"/>
                <w:lang w:eastAsia="ru-RU"/>
              </w:rPr>
            </w:pPr>
            <w:r w:rsidRPr="00266328">
              <w:rPr>
                <w:rFonts w:eastAsia="Times New Roman"/>
                <w:color w:val="000000"/>
                <w:sz w:val="24"/>
                <w:szCs w:val="24"/>
                <w:lang w:eastAsia="ru-RU"/>
              </w:rPr>
              <w:t>5,24</w:t>
            </w:r>
          </w:p>
        </w:tc>
        <w:tc>
          <w:tcPr>
            <w:tcW w:w="969"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sz w:val="24"/>
                <w:szCs w:val="24"/>
                <w:lang w:eastAsia="ru-RU"/>
              </w:rPr>
            </w:pPr>
            <w:r w:rsidRPr="00266328">
              <w:rPr>
                <w:rFonts w:eastAsia="Times New Roman"/>
                <w:sz w:val="24"/>
                <w:szCs w:val="24"/>
                <w:lang w:eastAsia="ru-RU"/>
              </w:rPr>
              <w:t>5,55</w:t>
            </w:r>
          </w:p>
        </w:tc>
        <w:tc>
          <w:tcPr>
            <w:tcW w:w="968"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color w:val="000000"/>
                <w:sz w:val="24"/>
                <w:szCs w:val="24"/>
                <w:lang w:eastAsia="ru-RU"/>
              </w:rPr>
            </w:pPr>
            <w:r w:rsidRPr="00266328">
              <w:rPr>
                <w:rFonts w:eastAsia="Times New Roman"/>
                <w:color w:val="000000"/>
                <w:sz w:val="24"/>
                <w:szCs w:val="24"/>
                <w:lang w:eastAsia="ru-RU"/>
              </w:rPr>
              <w:t>0,87</w:t>
            </w:r>
          </w:p>
        </w:tc>
        <w:tc>
          <w:tcPr>
            <w:tcW w:w="757"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sz w:val="24"/>
                <w:szCs w:val="24"/>
                <w:lang w:eastAsia="ru-RU"/>
              </w:rPr>
            </w:pPr>
            <w:r w:rsidRPr="00266328">
              <w:rPr>
                <w:rFonts w:eastAsia="Times New Roman"/>
                <w:sz w:val="24"/>
                <w:szCs w:val="24"/>
                <w:lang w:eastAsia="ru-RU"/>
              </w:rPr>
              <w:t>0,93</w:t>
            </w:r>
          </w:p>
        </w:tc>
      </w:tr>
      <w:tr w:rsidR="00266328" w:rsidRPr="00266328" w:rsidTr="00266328">
        <w:trPr>
          <w:trHeight w:val="244"/>
          <w:jc w:val="center"/>
        </w:trPr>
        <w:tc>
          <w:tcPr>
            <w:tcW w:w="4536" w:type="dxa"/>
            <w:tcBorders>
              <w:top w:val="single" w:sz="4" w:space="0" w:color="auto"/>
              <w:left w:val="single" w:sz="4" w:space="0" w:color="auto"/>
              <w:bottom w:val="single" w:sz="4" w:space="0" w:color="auto"/>
              <w:right w:val="single" w:sz="4" w:space="0" w:color="auto"/>
            </w:tcBorders>
            <w:vAlign w:val="bottom"/>
          </w:tcPr>
          <w:p w:rsidR="00266328" w:rsidRPr="00266328" w:rsidRDefault="00266328" w:rsidP="00266328">
            <w:pPr>
              <w:keepNext/>
              <w:jc w:val="left"/>
              <w:rPr>
                <w:rFonts w:eastAsia="Times New Roman"/>
                <w:sz w:val="24"/>
                <w:szCs w:val="24"/>
                <w:lang w:eastAsia="ru-RU"/>
              </w:rPr>
            </w:pPr>
            <w:r w:rsidRPr="00266328">
              <w:rPr>
                <w:rFonts w:eastAsia="Times New Roman"/>
                <w:sz w:val="24"/>
                <w:szCs w:val="24"/>
                <w:lang w:eastAsia="ru-RU"/>
              </w:rPr>
              <w:t xml:space="preserve">Рівень перинатальної смертності </w:t>
            </w:r>
          </w:p>
        </w:tc>
        <w:tc>
          <w:tcPr>
            <w:tcW w:w="968"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color w:val="000000"/>
                <w:sz w:val="24"/>
                <w:szCs w:val="24"/>
                <w:lang w:eastAsia="ru-RU"/>
              </w:rPr>
            </w:pPr>
            <w:r w:rsidRPr="00266328">
              <w:rPr>
                <w:rFonts w:eastAsia="Times New Roman"/>
                <w:color w:val="000000"/>
                <w:sz w:val="24"/>
                <w:szCs w:val="24"/>
                <w:lang w:eastAsia="ru-RU"/>
              </w:rPr>
              <w:t>6,68</w:t>
            </w:r>
          </w:p>
        </w:tc>
        <w:tc>
          <w:tcPr>
            <w:tcW w:w="969"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sz w:val="24"/>
                <w:szCs w:val="24"/>
                <w:lang w:eastAsia="ru-RU"/>
              </w:rPr>
            </w:pPr>
            <w:r w:rsidRPr="00266328">
              <w:rPr>
                <w:rFonts w:eastAsia="Times New Roman"/>
                <w:sz w:val="24"/>
                <w:szCs w:val="24"/>
                <w:lang w:eastAsia="ru-RU"/>
              </w:rPr>
              <w:t>5,23</w:t>
            </w:r>
          </w:p>
        </w:tc>
        <w:tc>
          <w:tcPr>
            <w:tcW w:w="968"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color w:val="000000"/>
                <w:sz w:val="24"/>
                <w:szCs w:val="24"/>
                <w:lang w:eastAsia="ru-RU"/>
              </w:rPr>
            </w:pPr>
            <w:r w:rsidRPr="00266328">
              <w:rPr>
                <w:rFonts w:eastAsia="Times New Roman"/>
                <w:color w:val="000000"/>
                <w:sz w:val="24"/>
                <w:szCs w:val="24"/>
                <w:lang w:eastAsia="ru-RU"/>
              </w:rPr>
              <w:t>6,00</w:t>
            </w:r>
          </w:p>
        </w:tc>
        <w:tc>
          <w:tcPr>
            <w:tcW w:w="969"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sz w:val="24"/>
                <w:szCs w:val="24"/>
                <w:lang w:eastAsia="ru-RU"/>
              </w:rPr>
            </w:pPr>
            <w:r w:rsidRPr="00266328">
              <w:rPr>
                <w:rFonts w:eastAsia="Times New Roman"/>
                <w:sz w:val="24"/>
                <w:szCs w:val="24"/>
                <w:lang w:eastAsia="ru-RU"/>
              </w:rPr>
              <w:t>6,0</w:t>
            </w:r>
          </w:p>
        </w:tc>
        <w:tc>
          <w:tcPr>
            <w:tcW w:w="968"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color w:val="000000"/>
                <w:sz w:val="24"/>
                <w:szCs w:val="24"/>
                <w:lang w:eastAsia="ru-RU"/>
              </w:rPr>
            </w:pPr>
            <w:r w:rsidRPr="00266328">
              <w:rPr>
                <w:rFonts w:eastAsia="Times New Roman"/>
                <w:color w:val="000000"/>
                <w:sz w:val="24"/>
                <w:szCs w:val="24"/>
                <w:lang w:eastAsia="ru-RU"/>
              </w:rPr>
              <w:t>1,00</w:t>
            </w:r>
          </w:p>
        </w:tc>
        <w:tc>
          <w:tcPr>
            <w:tcW w:w="757"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sz w:val="24"/>
                <w:szCs w:val="24"/>
                <w:lang w:eastAsia="ru-RU"/>
              </w:rPr>
            </w:pPr>
            <w:r w:rsidRPr="00266328">
              <w:rPr>
                <w:rFonts w:eastAsia="Times New Roman"/>
                <w:sz w:val="24"/>
                <w:szCs w:val="24"/>
                <w:lang w:eastAsia="ru-RU"/>
              </w:rPr>
              <w:t>1,00</w:t>
            </w:r>
          </w:p>
        </w:tc>
      </w:tr>
      <w:tr w:rsidR="00266328" w:rsidRPr="00266328" w:rsidTr="00266328">
        <w:trPr>
          <w:trHeight w:val="450"/>
          <w:jc w:val="center"/>
        </w:trPr>
        <w:tc>
          <w:tcPr>
            <w:tcW w:w="4536"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rPr>
                <w:rFonts w:eastAsia="Times New Roman"/>
                <w:sz w:val="24"/>
                <w:szCs w:val="24"/>
                <w:lang w:eastAsia="ru-RU"/>
              </w:rPr>
            </w:pPr>
            <w:r w:rsidRPr="00266328">
              <w:rPr>
                <w:rFonts w:eastAsia="Times New Roman"/>
                <w:sz w:val="24"/>
                <w:szCs w:val="24"/>
                <w:lang w:eastAsia="ru-RU"/>
              </w:rPr>
              <w:t>Співвідношення реального і фактичного показника ранньої неонатальної смертності</w:t>
            </w:r>
          </w:p>
        </w:tc>
        <w:tc>
          <w:tcPr>
            <w:tcW w:w="968"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sz w:val="24"/>
                <w:szCs w:val="24"/>
                <w:lang w:eastAsia="ru-RU"/>
              </w:rPr>
            </w:pPr>
            <w:r w:rsidRPr="00266328">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sz w:val="24"/>
                <w:szCs w:val="24"/>
                <w:lang w:eastAsia="ru-RU"/>
              </w:rPr>
            </w:pPr>
            <w:r w:rsidRPr="00266328">
              <w:rPr>
                <w:rFonts w:eastAsia="Times New Roman"/>
                <w:sz w:val="24"/>
                <w:szCs w:val="24"/>
                <w:lang w:eastAsia="ru-RU"/>
              </w:rPr>
              <w:t>2,87</w:t>
            </w:r>
          </w:p>
        </w:tc>
        <w:tc>
          <w:tcPr>
            <w:tcW w:w="968"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sz w:val="24"/>
                <w:szCs w:val="24"/>
                <w:lang w:eastAsia="ru-RU"/>
              </w:rPr>
            </w:pPr>
            <w:r w:rsidRPr="00266328">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sz w:val="24"/>
                <w:szCs w:val="24"/>
                <w:lang w:eastAsia="ru-RU"/>
              </w:rPr>
            </w:pPr>
            <w:r w:rsidRPr="00266328">
              <w:rPr>
                <w:rFonts w:eastAsia="Times New Roman"/>
                <w:sz w:val="24"/>
                <w:szCs w:val="24"/>
                <w:lang w:eastAsia="ru-RU"/>
              </w:rPr>
              <w:t>0,52</w:t>
            </w:r>
          </w:p>
        </w:tc>
        <w:tc>
          <w:tcPr>
            <w:tcW w:w="968"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sz w:val="24"/>
                <w:szCs w:val="24"/>
                <w:lang w:eastAsia="ru-RU"/>
              </w:rPr>
            </w:pPr>
            <w:r w:rsidRPr="00266328">
              <w:rPr>
                <w:rFonts w:eastAsia="Times New Roman"/>
                <w:sz w:val="24"/>
                <w:szCs w:val="24"/>
                <w:lang w:eastAsia="ru-RU"/>
              </w:rPr>
              <w:t>*</w:t>
            </w:r>
          </w:p>
        </w:tc>
        <w:tc>
          <w:tcPr>
            <w:tcW w:w="757"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sz w:val="24"/>
                <w:szCs w:val="24"/>
                <w:lang w:eastAsia="ru-RU"/>
              </w:rPr>
            </w:pPr>
            <w:r w:rsidRPr="00266328">
              <w:rPr>
                <w:rFonts w:eastAsia="Times New Roman"/>
                <w:sz w:val="24"/>
                <w:szCs w:val="24"/>
                <w:lang w:eastAsia="ru-RU"/>
              </w:rPr>
              <w:t>0,09</w:t>
            </w:r>
          </w:p>
        </w:tc>
      </w:tr>
      <w:tr w:rsidR="00266328" w:rsidRPr="00266328" w:rsidTr="00266328">
        <w:trPr>
          <w:trHeight w:val="216"/>
          <w:jc w:val="center"/>
        </w:trPr>
        <w:tc>
          <w:tcPr>
            <w:tcW w:w="4536"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rPr>
                <w:rFonts w:eastAsia="Times New Roman"/>
                <w:sz w:val="24"/>
                <w:szCs w:val="24"/>
                <w:lang w:eastAsia="ru-RU"/>
              </w:rPr>
            </w:pPr>
            <w:r w:rsidRPr="00266328">
              <w:rPr>
                <w:rFonts w:eastAsia="Times New Roman"/>
                <w:sz w:val="24"/>
                <w:szCs w:val="24"/>
                <w:lang w:eastAsia="ru-RU"/>
              </w:rPr>
              <w:t>Рівень неонатальної смертності</w:t>
            </w:r>
          </w:p>
        </w:tc>
        <w:tc>
          <w:tcPr>
            <w:tcW w:w="968"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sz w:val="24"/>
                <w:szCs w:val="24"/>
                <w:lang w:eastAsia="ru-RU"/>
              </w:rPr>
            </w:pPr>
            <w:r w:rsidRPr="00266328">
              <w:rPr>
                <w:rFonts w:eastAsia="Times New Roman"/>
                <w:sz w:val="24"/>
                <w:szCs w:val="24"/>
                <w:lang w:eastAsia="ru-RU"/>
              </w:rPr>
              <w:t>4,24</w:t>
            </w:r>
          </w:p>
        </w:tc>
        <w:tc>
          <w:tcPr>
            <w:tcW w:w="969"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sz w:val="24"/>
                <w:szCs w:val="24"/>
                <w:lang w:eastAsia="ru-RU"/>
              </w:rPr>
            </w:pPr>
            <w:r w:rsidRPr="00266328">
              <w:rPr>
                <w:rFonts w:eastAsia="Times New Roman"/>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sz w:val="24"/>
                <w:szCs w:val="24"/>
                <w:lang w:eastAsia="ru-RU"/>
              </w:rPr>
            </w:pPr>
            <w:r w:rsidRPr="00266328">
              <w:rPr>
                <w:rFonts w:eastAsia="Times New Roman"/>
                <w:sz w:val="24"/>
                <w:szCs w:val="24"/>
                <w:lang w:eastAsia="ru-RU"/>
              </w:rPr>
              <w:t>5,64</w:t>
            </w:r>
          </w:p>
        </w:tc>
        <w:tc>
          <w:tcPr>
            <w:tcW w:w="969"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sz w:val="24"/>
                <w:szCs w:val="24"/>
                <w:lang w:eastAsia="ru-RU"/>
              </w:rPr>
            </w:pPr>
            <w:r w:rsidRPr="00266328">
              <w:rPr>
                <w:rFonts w:eastAsia="Times New Roman"/>
                <w:sz w:val="24"/>
                <w:szCs w:val="24"/>
                <w:lang w:eastAsia="ru-RU"/>
              </w:rPr>
              <w:t>**</w:t>
            </w:r>
          </w:p>
        </w:tc>
        <w:tc>
          <w:tcPr>
            <w:tcW w:w="968"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sz w:val="24"/>
                <w:szCs w:val="24"/>
                <w:lang w:eastAsia="ru-RU"/>
              </w:rPr>
            </w:pPr>
            <w:r w:rsidRPr="00266328">
              <w:rPr>
                <w:rFonts w:eastAsia="Times New Roman"/>
                <w:sz w:val="24"/>
                <w:szCs w:val="24"/>
                <w:lang w:eastAsia="ru-RU"/>
              </w:rPr>
              <w:t>0,94</w:t>
            </w:r>
          </w:p>
        </w:tc>
        <w:tc>
          <w:tcPr>
            <w:tcW w:w="757"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sz w:val="24"/>
                <w:szCs w:val="24"/>
                <w:lang w:eastAsia="ru-RU"/>
              </w:rPr>
            </w:pPr>
            <w:r w:rsidRPr="00266328">
              <w:rPr>
                <w:rFonts w:eastAsia="Times New Roman"/>
                <w:sz w:val="24"/>
                <w:szCs w:val="24"/>
                <w:lang w:eastAsia="ru-RU"/>
              </w:rPr>
              <w:t>**</w:t>
            </w:r>
          </w:p>
        </w:tc>
      </w:tr>
      <w:tr w:rsidR="00266328" w:rsidRPr="00266328" w:rsidTr="00266328">
        <w:trPr>
          <w:trHeight w:val="238"/>
          <w:jc w:val="center"/>
        </w:trPr>
        <w:tc>
          <w:tcPr>
            <w:tcW w:w="4536"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left"/>
              <w:rPr>
                <w:rFonts w:eastAsia="Times New Roman"/>
                <w:sz w:val="24"/>
                <w:szCs w:val="24"/>
                <w:lang w:eastAsia="ru-RU"/>
              </w:rPr>
            </w:pPr>
            <w:r w:rsidRPr="00266328">
              <w:rPr>
                <w:rFonts w:eastAsia="Times New Roman"/>
                <w:sz w:val="24"/>
                <w:szCs w:val="24"/>
                <w:lang w:eastAsia="ru-RU"/>
              </w:rPr>
              <w:t xml:space="preserve">Рівень ранньої неонатальної смертності </w:t>
            </w:r>
          </w:p>
        </w:tc>
        <w:tc>
          <w:tcPr>
            <w:tcW w:w="968"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sz w:val="24"/>
                <w:szCs w:val="24"/>
                <w:lang w:eastAsia="ru-RU"/>
              </w:rPr>
            </w:pPr>
            <w:r w:rsidRPr="00266328">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sz w:val="24"/>
                <w:szCs w:val="24"/>
                <w:lang w:eastAsia="ru-RU"/>
              </w:rPr>
            </w:pPr>
            <w:r w:rsidRPr="00266328">
              <w:rPr>
                <w:rFonts w:eastAsia="Times New Roman"/>
                <w:sz w:val="24"/>
                <w:szCs w:val="24"/>
                <w:lang w:eastAsia="ru-RU"/>
              </w:rPr>
              <w:t>1,81</w:t>
            </w:r>
          </w:p>
        </w:tc>
        <w:tc>
          <w:tcPr>
            <w:tcW w:w="968"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sz w:val="24"/>
                <w:szCs w:val="24"/>
                <w:lang w:eastAsia="ru-RU"/>
              </w:rPr>
            </w:pPr>
            <w:r w:rsidRPr="00266328">
              <w:rPr>
                <w:rFonts w:eastAsia="Times New Roman"/>
                <w:sz w:val="24"/>
                <w:szCs w:val="24"/>
                <w:lang w:eastAsia="ru-RU"/>
              </w:rPr>
              <w:t>*</w:t>
            </w:r>
          </w:p>
        </w:tc>
        <w:tc>
          <w:tcPr>
            <w:tcW w:w="969"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sz w:val="24"/>
                <w:szCs w:val="24"/>
                <w:lang w:eastAsia="ru-RU"/>
              </w:rPr>
            </w:pPr>
            <w:r w:rsidRPr="00266328">
              <w:rPr>
                <w:rFonts w:eastAsia="Times New Roman"/>
                <w:sz w:val="24"/>
                <w:szCs w:val="24"/>
                <w:lang w:eastAsia="ru-RU"/>
              </w:rPr>
              <w:t>6,0</w:t>
            </w:r>
          </w:p>
        </w:tc>
        <w:tc>
          <w:tcPr>
            <w:tcW w:w="968"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sz w:val="24"/>
                <w:szCs w:val="24"/>
                <w:lang w:eastAsia="ru-RU"/>
              </w:rPr>
            </w:pPr>
            <w:r w:rsidRPr="00266328">
              <w:rPr>
                <w:rFonts w:eastAsia="Times New Roman"/>
                <w:sz w:val="24"/>
                <w:szCs w:val="24"/>
                <w:lang w:eastAsia="ru-RU"/>
              </w:rPr>
              <w:t>*</w:t>
            </w:r>
          </w:p>
        </w:tc>
        <w:tc>
          <w:tcPr>
            <w:tcW w:w="757"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sz w:val="24"/>
                <w:szCs w:val="24"/>
                <w:lang w:eastAsia="ru-RU"/>
              </w:rPr>
            </w:pPr>
            <w:r w:rsidRPr="00266328">
              <w:rPr>
                <w:rFonts w:eastAsia="Times New Roman"/>
                <w:sz w:val="24"/>
                <w:szCs w:val="24"/>
                <w:lang w:eastAsia="ru-RU"/>
              </w:rPr>
              <w:t>1,00</w:t>
            </w:r>
          </w:p>
        </w:tc>
      </w:tr>
      <w:tr w:rsidR="00266328" w:rsidRPr="00266328" w:rsidTr="00266328">
        <w:trPr>
          <w:trHeight w:val="270"/>
          <w:jc w:val="center"/>
        </w:trPr>
        <w:tc>
          <w:tcPr>
            <w:tcW w:w="4536" w:type="dxa"/>
            <w:tcBorders>
              <w:top w:val="single" w:sz="4" w:space="0" w:color="auto"/>
              <w:left w:val="single" w:sz="4" w:space="0" w:color="auto"/>
              <w:bottom w:val="single" w:sz="4" w:space="0" w:color="auto"/>
              <w:right w:val="single" w:sz="4" w:space="0" w:color="auto"/>
            </w:tcBorders>
            <w:vAlign w:val="bottom"/>
          </w:tcPr>
          <w:p w:rsidR="00266328" w:rsidRPr="00266328" w:rsidRDefault="00266328" w:rsidP="00266328">
            <w:pPr>
              <w:keepNext/>
              <w:jc w:val="left"/>
              <w:rPr>
                <w:rFonts w:eastAsia="Times New Roman"/>
                <w:sz w:val="24"/>
                <w:szCs w:val="24"/>
                <w:lang w:eastAsia="ru-RU"/>
              </w:rPr>
            </w:pPr>
            <w:r w:rsidRPr="00266328">
              <w:rPr>
                <w:rFonts w:eastAsia="Times New Roman"/>
                <w:sz w:val="24"/>
                <w:szCs w:val="24"/>
                <w:lang w:eastAsia="ru-RU"/>
              </w:rPr>
              <w:t xml:space="preserve">Рівень материнської смертності </w:t>
            </w:r>
          </w:p>
        </w:tc>
        <w:tc>
          <w:tcPr>
            <w:tcW w:w="968"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sz w:val="24"/>
                <w:szCs w:val="24"/>
                <w:lang w:eastAsia="ru-RU"/>
              </w:rPr>
            </w:pPr>
            <w:r w:rsidRPr="00266328">
              <w:rPr>
                <w:rFonts w:eastAsia="Times New Roman"/>
                <w:sz w:val="24"/>
                <w:szCs w:val="24"/>
                <w:lang w:eastAsia="ru-RU"/>
              </w:rPr>
              <w:t>2,8</w:t>
            </w:r>
          </w:p>
        </w:tc>
        <w:tc>
          <w:tcPr>
            <w:tcW w:w="969"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sz w:val="24"/>
                <w:szCs w:val="24"/>
                <w:lang w:eastAsia="ru-RU"/>
              </w:rPr>
            </w:pPr>
            <w:r w:rsidRPr="00266328">
              <w:rPr>
                <w:rFonts w:eastAsia="Times New Roman"/>
                <w:sz w:val="24"/>
                <w:szCs w:val="24"/>
                <w:lang w:eastAsia="ru-RU"/>
              </w:rPr>
              <w:t>5,78</w:t>
            </w:r>
          </w:p>
        </w:tc>
        <w:tc>
          <w:tcPr>
            <w:tcW w:w="968"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sz w:val="24"/>
                <w:szCs w:val="24"/>
                <w:lang w:eastAsia="ru-RU"/>
              </w:rPr>
            </w:pPr>
            <w:r w:rsidRPr="00266328">
              <w:rPr>
                <w:rFonts w:eastAsia="Times New Roman"/>
                <w:sz w:val="24"/>
                <w:szCs w:val="24"/>
                <w:lang w:eastAsia="ru-RU"/>
              </w:rPr>
              <w:t>5,00</w:t>
            </w:r>
          </w:p>
        </w:tc>
        <w:tc>
          <w:tcPr>
            <w:tcW w:w="969"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sz w:val="24"/>
                <w:szCs w:val="24"/>
                <w:lang w:eastAsia="ru-RU"/>
              </w:rPr>
            </w:pPr>
            <w:r w:rsidRPr="00266328">
              <w:rPr>
                <w:rFonts w:eastAsia="Times New Roman"/>
                <w:sz w:val="24"/>
                <w:szCs w:val="24"/>
                <w:lang w:eastAsia="ru-RU"/>
              </w:rPr>
              <w:t>5,0</w:t>
            </w:r>
          </w:p>
        </w:tc>
        <w:tc>
          <w:tcPr>
            <w:tcW w:w="968"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sz w:val="24"/>
                <w:szCs w:val="24"/>
                <w:lang w:eastAsia="ru-RU"/>
              </w:rPr>
            </w:pPr>
            <w:r w:rsidRPr="00266328">
              <w:rPr>
                <w:rFonts w:eastAsia="Times New Roman"/>
                <w:sz w:val="24"/>
                <w:szCs w:val="24"/>
                <w:lang w:eastAsia="ru-RU"/>
              </w:rPr>
              <w:t>1,00</w:t>
            </w:r>
          </w:p>
        </w:tc>
        <w:tc>
          <w:tcPr>
            <w:tcW w:w="757"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sz w:val="24"/>
                <w:szCs w:val="24"/>
                <w:lang w:eastAsia="ru-RU"/>
              </w:rPr>
            </w:pPr>
            <w:r w:rsidRPr="00266328">
              <w:rPr>
                <w:rFonts w:eastAsia="Times New Roman"/>
                <w:sz w:val="24"/>
                <w:szCs w:val="24"/>
                <w:lang w:eastAsia="ru-RU"/>
              </w:rPr>
              <w:t>1,00</w:t>
            </w:r>
          </w:p>
        </w:tc>
      </w:tr>
      <w:tr w:rsidR="00266328" w:rsidRPr="00266328" w:rsidTr="00266328">
        <w:trPr>
          <w:trHeight w:val="300"/>
          <w:jc w:val="center"/>
        </w:trPr>
        <w:tc>
          <w:tcPr>
            <w:tcW w:w="4536" w:type="dxa"/>
            <w:tcBorders>
              <w:top w:val="single" w:sz="4" w:space="0" w:color="auto"/>
              <w:left w:val="single" w:sz="4" w:space="0" w:color="auto"/>
              <w:bottom w:val="single" w:sz="4" w:space="0" w:color="auto"/>
              <w:right w:val="single" w:sz="4" w:space="0" w:color="auto"/>
            </w:tcBorders>
            <w:noWrap/>
            <w:vAlign w:val="bottom"/>
            <w:hideMark/>
          </w:tcPr>
          <w:p w:rsidR="00266328" w:rsidRPr="00266328" w:rsidRDefault="00266328" w:rsidP="00266328">
            <w:pPr>
              <w:keepNext/>
              <w:jc w:val="left"/>
              <w:rPr>
                <w:rFonts w:eastAsia="Times New Roman"/>
                <w:sz w:val="24"/>
                <w:szCs w:val="24"/>
                <w:lang w:eastAsia="ru-RU"/>
              </w:rPr>
            </w:pPr>
          </w:p>
        </w:tc>
        <w:tc>
          <w:tcPr>
            <w:tcW w:w="968" w:type="dxa"/>
            <w:tcBorders>
              <w:top w:val="single" w:sz="4" w:space="0" w:color="auto"/>
              <w:left w:val="single" w:sz="4" w:space="0" w:color="auto"/>
              <w:bottom w:val="single" w:sz="4" w:space="0" w:color="auto"/>
              <w:right w:val="single" w:sz="4" w:space="0" w:color="auto"/>
            </w:tcBorders>
            <w:noWrap/>
            <w:vAlign w:val="center"/>
          </w:tcPr>
          <w:p w:rsidR="00266328" w:rsidRPr="00266328" w:rsidRDefault="00266328" w:rsidP="00266328">
            <w:pPr>
              <w:keepNext/>
              <w:jc w:val="center"/>
              <w:rPr>
                <w:rFonts w:eastAsia="Times New Roman"/>
                <w:sz w:val="24"/>
                <w:szCs w:val="24"/>
                <w:lang w:eastAsia="ru-RU"/>
              </w:rPr>
            </w:pPr>
          </w:p>
        </w:tc>
        <w:tc>
          <w:tcPr>
            <w:tcW w:w="969"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color w:val="000000"/>
                <w:sz w:val="24"/>
                <w:szCs w:val="24"/>
                <w:lang w:eastAsia="ru-RU"/>
              </w:rPr>
            </w:pPr>
          </w:p>
        </w:tc>
        <w:tc>
          <w:tcPr>
            <w:tcW w:w="968" w:type="dxa"/>
            <w:tcBorders>
              <w:top w:val="single" w:sz="4" w:space="0" w:color="auto"/>
              <w:left w:val="single" w:sz="4" w:space="0" w:color="auto"/>
              <w:bottom w:val="single" w:sz="4" w:space="0" w:color="auto"/>
              <w:right w:val="single" w:sz="4" w:space="0" w:color="auto"/>
            </w:tcBorders>
            <w:noWrap/>
            <w:vAlign w:val="center"/>
          </w:tcPr>
          <w:p w:rsidR="00266328" w:rsidRPr="00266328" w:rsidRDefault="00266328" w:rsidP="00266328">
            <w:pPr>
              <w:keepNext/>
              <w:jc w:val="center"/>
              <w:rPr>
                <w:rFonts w:eastAsia="Times New Roman"/>
                <w:color w:val="000000"/>
                <w:sz w:val="24"/>
                <w:szCs w:val="24"/>
                <w:lang w:eastAsia="ru-RU"/>
              </w:rPr>
            </w:pPr>
            <w:r w:rsidRPr="00266328">
              <w:rPr>
                <w:rFonts w:eastAsia="Times New Roman"/>
                <w:color w:val="000000"/>
                <w:sz w:val="24"/>
                <w:szCs w:val="24"/>
                <w:lang w:eastAsia="ru-RU"/>
              </w:rPr>
              <w:t>98,74</w:t>
            </w:r>
          </w:p>
        </w:tc>
        <w:tc>
          <w:tcPr>
            <w:tcW w:w="969"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color w:val="000000"/>
                <w:sz w:val="24"/>
                <w:szCs w:val="24"/>
                <w:lang w:eastAsia="ru-RU"/>
              </w:rPr>
            </w:pPr>
            <w:r w:rsidRPr="00266328">
              <w:rPr>
                <w:rFonts w:eastAsia="Times New Roman"/>
                <w:color w:val="000000"/>
                <w:sz w:val="24"/>
                <w:szCs w:val="24"/>
                <w:lang w:eastAsia="ru-RU"/>
              </w:rPr>
              <w:t>115,1</w:t>
            </w:r>
          </w:p>
        </w:tc>
        <w:tc>
          <w:tcPr>
            <w:tcW w:w="968" w:type="dxa"/>
            <w:tcBorders>
              <w:top w:val="single" w:sz="4" w:space="0" w:color="auto"/>
              <w:left w:val="single" w:sz="4" w:space="0" w:color="auto"/>
              <w:bottom w:val="single" w:sz="4" w:space="0" w:color="auto"/>
              <w:right w:val="single" w:sz="4" w:space="0" w:color="auto"/>
            </w:tcBorders>
            <w:noWrap/>
            <w:vAlign w:val="center"/>
          </w:tcPr>
          <w:p w:rsidR="00266328" w:rsidRPr="00266328" w:rsidRDefault="00266328" w:rsidP="00266328">
            <w:pPr>
              <w:keepNext/>
              <w:jc w:val="center"/>
              <w:rPr>
                <w:rFonts w:eastAsia="Times New Roman"/>
                <w:color w:val="000000"/>
                <w:sz w:val="24"/>
                <w:szCs w:val="24"/>
                <w:lang w:eastAsia="ru-RU"/>
              </w:rPr>
            </w:pPr>
            <w:r w:rsidRPr="00266328">
              <w:rPr>
                <w:rFonts w:eastAsia="Times New Roman"/>
                <w:color w:val="000000"/>
                <w:sz w:val="24"/>
                <w:szCs w:val="24"/>
                <w:lang w:eastAsia="ru-RU"/>
              </w:rPr>
              <w:t>0,82</w:t>
            </w:r>
          </w:p>
        </w:tc>
        <w:tc>
          <w:tcPr>
            <w:tcW w:w="757" w:type="dxa"/>
            <w:tcBorders>
              <w:top w:val="single" w:sz="4" w:space="0" w:color="auto"/>
              <w:left w:val="single" w:sz="4" w:space="0" w:color="auto"/>
              <w:bottom w:val="single" w:sz="4" w:space="0" w:color="auto"/>
              <w:right w:val="single" w:sz="4" w:space="0" w:color="auto"/>
            </w:tcBorders>
            <w:vAlign w:val="center"/>
          </w:tcPr>
          <w:p w:rsidR="00266328" w:rsidRPr="00266328" w:rsidRDefault="00266328" w:rsidP="00266328">
            <w:pPr>
              <w:keepNext/>
              <w:jc w:val="center"/>
              <w:rPr>
                <w:rFonts w:eastAsia="Times New Roman"/>
                <w:color w:val="000000"/>
                <w:sz w:val="24"/>
                <w:szCs w:val="24"/>
                <w:lang w:eastAsia="ru-RU"/>
              </w:rPr>
            </w:pPr>
            <w:r w:rsidRPr="00266328">
              <w:rPr>
                <w:rFonts w:eastAsia="Times New Roman"/>
                <w:color w:val="000000"/>
                <w:sz w:val="24"/>
                <w:szCs w:val="24"/>
                <w:lang w:eastAsia="ru-RU"/>
              </w:rPr>
              <w:t>0,89</w:t>
            </w:r>
          </w:p>
        </w:tc>
      </w:tr>
    </w:tbl>
    <w:p w:rsidR="00C43972" w:rsidRPr="00C43972" w:rsidRDefault="00C43972" w:rsidP="00C43972">
      <w:pPr>
        <w:spacing w:after="200" w:line="276" w:lineRule="auto"/>
        <w:jc w:val="left"/>
        <w:rPr>
          <w:rFonts w:eastAsia="Calibri"/>
          <w:b/>
          <w:szCs w:val="28"/>
        </w:rPr>
      </w:pPr>
    </w:p>
    <w:p w:rsidR="00C43972" w:rsidRPr="00C43972" w:rsidRDefault="00C43972" w:rsidP="00C43972">
      <w:pPr>
        <w:spacing w:after="200" w:line="276" w:lineRule="auto"/>
        <w:jc w:val="left"/>
        <w:rPr>
          <w:rFonts w:eastAsia="Calibri"/>
          <w:b/>
          <w:szCs w:val="28"/>
          <w:lang w:val="en-US"/>
        </w:rPr>
      </w:pPr>
    </w:p>
    <w:p w:rsidR="00C43972" w:rsidRPr="00C43972" w:rsidRDefault="00C43972" w:rsidP="00C43972">
      <w:pPr>
        <w:spacing w:after="200" w:line="276" w:lineRule="auto"/>
        <w:jc w:val="left"/>
        <w:rPr>
          <w:rFonts w:eastAsia="Calibri"/>
          <w:b/>
          <w:szCs w:val="28"/>
        </w:rPr>
      </w:pPr>
    </w:p>
    <w:p w:rsidR="00266328" w:rsidRDefault="00266328" w:rsidP="00C43972">
      <w:pPr>
        <w:spacing w:after="200" w:line="276" w:lineRule="auto"/>
        <w:jc w:val="right"/>
        <w:rPr>
          <w:rFonts w:eastAsia="Calibri"/>
          <w:b/>
          <w:szCs w:val="28"/>
          <w:lang w:val="ru-RU"/>
        </w:rPr>
      </w:pPr>
    </w:p>
    <w:p w:rsidR="00FD769A" w:rsidRDefault="00FD769A" w:rsidP="00C43972">
      <w:pPr>
        <w:spacing w:after="200" w:line="276" w:lineRule="auto"/>
        <w:jc w:val="right"/>
        <w:rPr>
          <w:rFonts w:eastAsia="Calibri"/>
          <w:szCs w:val="28"/>
          <w:lang w:val="ru-RU"/>
        </w:rPr>
      </w:pPr>
    </w:p>
    <w:p w:rsidR="00C43972" w:rsidRPr="008550E2" w:rsidRDefault="004E1D62" w:rsidP="00DD51BC">
      <w:pPr>
        <w:pageBreakBefore/>
        <w:spacing w:after="200" w:line="276" w:lineRule="auto"/>
        <w:jc w:val="right"/>
        <w:rPr>
          <w:rFonts w:eastAsia="Calibri"/>
          <w:b/>
          <w:szCs w:val="28"/>
        </w:rPr>
      </w:pPr>
      <w:r>
        <w:rPr>
          <w:rFonts w:eastAsia="Calibri"/>
          <w:szCs w:val="28"/>
        </w:rPr>
        <w:lastRenderedPageBreak/>
        <w:t>Додаток Ж</w:t>
      </w:r>
      <w:r w:rsidR="00C43972" w:rsidRPr="008550E2">
        <w:rPr>
          <w:rFonts w:eastAsia="Calibri"/>
          <w:szCs w:val="28"/>
        </w:rPr>
        <w:t>-1</w:t>
      </w:r>
      <w:r w:rsidR="00C43972" w:rsidRPr="008550E2">
        <w:rPr>
          <w:rFonts w:eastAsia="Calibri"/>
          <w:b/>
          <w:szCs w:val="28"/>
        </w:rPr>
        <w:t xml:space="preserve"> </w:t>
      </w:r>
    </w:p>
    <w:p w:rsidR="00C43972" w:rsidRPr="006A763C" w:rsidRDefault="00C43972" w:rsidP="00C43972">
      <w:pPr>
        <w:spacing w:after="200" w:line="276" w:lineRule="auto"/>
        <w:jc w:val="center"/>
        <w:rPr>
          <w:rFonts w:eastAsia="Calibri"/>
          <w:b/>
          <w:szCs w:val="28"/>
        </w:rPr>
      </w:pPr>
      <w:r w:rsidRPr="006A763C">
        <w:rPr>
          <w:rFonts w:eastAsia="Calibri"/>
          <w:b/>
          <w:szCs w:val="28"/>
        </w:rPr>
        <w:t>Український інститут стратегічних досліджень МОЗ України</w:t>
      </w:r>
    </w:p>
    <w:p w:rsidR="00C43972" w:rsidRPr="006A763C" w:rsidRDefault="00C43972" w:rsidP="00C43972">
      <w:pPr>
        <w:keepNext/>
        <w:tabs>
          <w:tab w:val="left" w:pos="0"/>
        </w:tabs>
        <w:jc w:val="center"/>
        <w:rPr>
          <w:rFonts w:eastAsia="Calibri"/>
          <w:b/>
          <w:szCs w:val="28"/>
        </w:rPr>
      </w:pPr>
      <w:r w:rsidRPr="006A763C">
        <w:rPr>
          <w:rFonts w:eastAsia="Calibri"/>
          <w:b/>
          <w:szCs w:val="28"/>
        </w:rPr>
        <w:tab/>
        <w:t xml:space="preserve">Анкета визначення  ставлення експертів </w:t>
      </w:r>
      <w:r w:rsidR="001303CB" w:rsidRPr="006A763C">
        <w:rPr>
          <w:rFonts w:eastAsia="Times New Roman"/>
          <w:b/>
          <w:szCs w:val="28"/>
          <w:lang w:val="ru-RU" w:eastAsia="ru-RU"/>
        </w:rPr>
        <w:t>до інноваційної системи медико-соціальної допомоги дітям до 5 років життя</w:t>
      </w:r>
      <w:r w:rsidRPr="006A763C">
        <w:rPr>
          <w:rFonts w:eastAsia="Times New Roman"/>
          <w:b/>
          <w:szCs w:val="28"/>
          <w:lang w:eastAsia="ru-RU"/>
        </w:rPr>
        <w:t xml:space="preserve"> в Україні</w:t>
      </w:r>
    </w:p>
    <w:p w:rsidR="00C43972" w:rsidRPr="006A763C" w:rsidRDefault="00C43972" w:rsidP="00C43972">
      <w:pPr>
        <w:keepNext/>
        <w:tabs>
          <w:tab w:val="left" w:pos="0"/>
        </w:tabs>
        <w:ind w:left="435"/>
        <w:jc w:val="center"/>
        <w:rPr>
          <w:rFonts w:eastAsia="Calibri"/>
          <w:b/>
          <w:szCs w:val="28"/>
        </w:rPr>
      </w:pPr>
      <w:r w:rsidRPr="006A763C">
        <w:rPr>
          <w:rFonts w:eastAsia="Calibri"/>
          <w:b/>
          <w:szCs w:val="28"/>
        </w:rPr>
        <w:t>Шановний експерте!</w:t>
      </w:r>
    </w:p>
    <w:p w:rsidR="00C43972" w:rsidRDefault="006A763C" w:rsidP="006A763C">
      <w:pPr>
        <w:keepNext/>
        <w:spacing w:after="200" w:line="276" w:lineRule="auto"/>
        <w:ind w:firstLine="709"/>
        <w:rPr>
          <w:rFonts w:eastAsia="Calibri"/>
          <w:szCs w:val="28"/>
          <w:lang w:val="ru-RU"/>
        </w:rPr>
      </w:pPr>
      <w:r w:rsidRPr="006A763C">
        <w:rPr>
          <w:rFonts w:eastAsia="Calibri"/>
          <w:szCs w:val="28"/>
        </w:rPr>
        <w:t xml:space="preserve"> </w:t>
      </w:r>
      <w:r w:rsidR="00C43972" w:rsidRPr="00C43972">
        <w:rPr>
          <w:rFonts w:eastAsia="Calibri"/>
          <w:szCs w:val="28"/>
        </w:rPr>
        <w:t xml:space="preserve">Після того, як ви познайомилися з матеріалами дисертаційного дослідження, просимо Вас оцінити систему в цілому та  складові </w:t>
      </w:r>
      <w:r w:rsidR="00A609CD">
        <w:rPr>
          <w:rFonts w:eastAsia="Calibri"/>
          <w:szCs w:val="28"/>
        </w:rPr>
        <w:t>інноваційної системи медико-соціальної допомоги дітям до 5 років життя</w:t>
      </w:r>
      <w:r w:rsidR="00C43972" w:rsidRPr="00C43972">
        <w:rPr>
          <w:rFonts w:eastAsia="Times New Roman"/>
          <w:szCs w:val="28"/>
          <w:lang w:eastAsia="ru-RU"/>
        </w:rPr>
        <w:t xml:space="preserve"> в Україні</w:t>
      </w:r>
      <w:r w:rsidR="00C43972" w:rsidRPr="00C43972">
        <w:rPr>
          <w:rFonts w:eastAsia="Calibri"/>
          <w:szCs w:val="28"/>
        </w:rPr>
        <w:t>. Кожний розділ системи оцінюється за двома критеріями</w:t>
      </w:r>
      <w:r w:rsidR="00C43972" w:rsidRPr="00C43972">
        <w:rPr>
          <w:rFonts w:eastAsia="Calibri"/>
          <w:szCs w:val="28"/>
          <w:lang w:val="ru-RU"/>
        </w:rPr>
        <w:t>: позитивно ч</w:t>
      </w:r>
      <w:r w:rsidR="00C43972" w:rsidRPr="00C43972">
        <w:rPr>
          <w:rFonts w:eastAsia="Calibri"/>
          <w:szCs w:val="28"/>
        </w:rPr>
        <w:t>і</w:t>
      </w:r>
      <w:r w:rsidR="00C43972" w:rsidRPr="00C43972">
        <w:rPr>
          <w:rFonts w:eastAsia="Calibri"/>
          <w:szCs w:val="28"/>
          <w:lang w:val="ru-RU"/>
        </w:rPr>
        <w:t xml:space="preserve"> негативно.</w:t>
      </w:r>
    </w:p>
    <w:tbl>
      <w:tblPr>
        <w:tblW w:w="10066" w:type="dxa"/>
        <w:jc w:val="center"/>
        <w:tblInd w:w="-411" w:type="dxa"/>
        <w:tblLayout w:type="fixed"/>
        <w:tblLook w:val="01E0" w:firstRow="1" w:lastRow="1" w:firstColumn="1" w:lastColumn="1" w:noHBand="0" w:noVBand="0"/>
      </w:tblPr>
      <w:tblGrid>
        <w:gridCol w:w="8011"/>
        <w:gridCol w:w="1061"/>
        <w:gridCol w:w="994"/>
      </w:tblGrid>
      <w:tr w:rsidR="001303CB" w:rsidRPr="003431F2" w:rsidTr="001303CB">
        <w:trPr>
          <w:trHeight w:val="512"/>
          <w:jc w:val="center"/>
        </w:trPr>
        <w:tc>
          <w:tcPr>
            <w:tcW w:w="8011" w:type="dxa"/>
            <w:vMerge w:val="restart"/>
            <w:tcBorders>
              <w:top w:val="single" w:sz="4" w:space="0" w:color="auto"/>
              <w:left w:val="single" w:sz="4" w:space="0" w:color="auto"/>
              <w:bottom w:val="single" w:sz="4" w:space="0" w:color="auto"/>
              <w:right w:val="single" w:sz="4" w:space="0" w:color="auto"/>
            </w:tcBorders>
          </w:tcPr>
          <w:p w:rsidR="001303CB" w:rsidRPr="003431F2" w:rsidRDefault="001303CB" w:rsidP="000C2AC8">
            <w:pPr>
              <w:widowControl w:val="0"/>
              <w:tabs>
                <w:tab w:val="left" w:pos="0"/>
              </w:tabs>
              <w:spacing w:line="276" w:lineRule="auto"/>
              <w:jc w:val="center"/>
              <w:rPr>
                <w:rFonts w:eastAsia="Times New Roman"/>
                <w:sz w:val="24"/>
                <w:szCs w:val="24"/>
              </w:rPr>
            </w:pPr>
          </w:p>
          <w:p w:rsidR="001303CB" w:rsidRPr="003431F2" w:rsidRDefault="001303CB" w:rsidP="000C2AC8">
            <w:pPr>
              <w:widowControl w:val="0"/>
              <w:tabs>
                <w:tab w:val="left" w:pos="0"/>
              </w:tabs>
              <w:spacing w:line="276" w:lineRule="auto"/>
              <w:jc w:val="center"/>
              <w:rPr>
                <w:rFonts w:eastAsia="Times New Roman"/>
                <w:sz w:val="24"/>
                <w:szCs w:val="24"/>
              </w:rPr>
            </w:pPr>
            <w:r w:rsidRPr="003431F2">
              <w:rPr>
                <w:rFonts w:eastAsia="Times New Roman"/>
                <w:sz w:val="24"/>
                <w:szCs w:val="24"/>
              </w:rPr>
              <w:t xml:space="preserve">Елемент системи </w:t>
            </w:r>
          </w:p>
        </w:tc>
        <w:tc>
          <w:tcPr>
            <w:tcW w:w="2055" w:type="dxa"/>
            <w:gridSpan w:val="2"/>
            <w:tcBorders>
              <w:top w:val="single" w:sz="4" w:space="0" w:color="auto"/>
              <w:left w:val="single" w:sz="4" w:space="0" w:color="auto"/>
              <w:bottom w:val="single" w:sz="4" w:space="0" w:color="auto"/>
              <w:right w:val="single" w:sz="4" w:space="0" w:color="auto"/>
            </w:tcBorders>
          </w:tcPr>
          <w:p w:rsidR="001303CB" w:rsidRPr="003431F2" w:rsidRDefault="001303CB" w:rsidP="000C2AC8">
            <w:pPr>
              <w:widowControl w:val="0"/>
              <w:tabs>
                <w:tab w:val="left" w:pos="0"/>
              </w:tabs>
              <w:spacing w:line="276" w:lineRule="auto"/>
              <w:jc w:val="center"/>
              <w:rPr>
                <w:rFonts w:eastAsia="Times New Roman"/>
                <w:sz w:val="24"/>
                <w:szCs w:val="24"/>
              </w:rPr>
            </w:pPr>
            <w:r w:rsidRPr="003431F2">
              <w:rPr>
                <w:rFonts w:eastAsia="Times New Roman"/>
                <w:sz w:val="24"/>
                <w:szCs w:val="24"/>
              </w:rPr>
              <w:t>Позитивна оцінка</w:t>
            </w:r>
          </w:p>
        </w:tc>
      </w:tr>
      <w:tr w:rsidR="001303CB" w:rsidRPr="003431F2" w:rsidTr="006A763C">
        <w:trPr>
          <w:trHeight w:val="187"/>
          <w:jc w:val="center"/>
        </w:trPr>
        <w:tc>
          <w:tcPr>
            <w:tcW w:w="8011" w:type="dxa"/>
            <w:vMerge/>
            <w:tcBorders>
              <w:top w:val="single" w:sz="4" w:space="0" w:color="auto"/>
              <w:left w:val="single" w:sz="4" w:space="0" w:color="auto"/>
              <w:bottom w:val="single" w:sz="4" w:space="0" w:color="auto"/>
              <w:right w:val="single" w:sz="4" w:space="0" w:color="auto"/>
            </w:tcBorders>
            <w:vAlign w:val="center"/>
          </w:tcPr>
          <w:p w:rsidR="001303CB" w:rsidRPr="003431F2" w:rsidRDefault="001303CB" w:rsidP="000C2AC8">
            <w:pPr>
              <w:widowControl w:val="0"/>
              <w:spacing w:line="276" w:lineRule="auto"/>
              <w:rPr>
                <w:rFonts w:eastAsia="Times New Roman"/>
                <w:sz w:val="24"/>
                <w:szCs w:val="24"/>
              </w:rPr>
            </w:pPr>
          </w:p>
        </w:tc>
        <w:tc>
          <w:tcPr>
            <w:tcW w:w="1061" w:type="dxa"/>
            <w:tcBorders>
              <w:top w:val="single" w:sz="4" w:space="0" w:color="auto"/>
              <w:left w:val="single" w:sz="4" w:space="0" w:color="auto"/>
              <w:bottom w:val="single" w:sz="4" w:space="0" w:color="auto"/>
              <w:right w:val="single" w:sz="4" w:space="0" w:color="auto"/>
            </w:tcBorders>
          </w:tcPr>
          <w:p w:rsidR="001303CB" w:rsidRPr="003431F2" w:rsidRDefault="001303CB" w:rsidP="000C2AC8">
            <w:pPr>
              <w:widowControl w:val="0"/>
              <w:tabs>
                <w:tab w:val="left" w:pos="0"/>
              </w:tabs>
              <w:spacing w:line="276" w:lineRule="auto"/>
              <w:jc w:val="center"/>
              <w:rPr>
                <w:rFonts w:eastAsia="Times New Roman"/>
                <w:sz w:val="24"/>
                <w:szCs w:val="24"/>
              </w:rPr>
            </w:pPr>
            <w:r w:rsidRPr="003431F2">
              <w:rPr>
                <w:rFonts w:eastAsia="Times New Roman"/>
                <w:sz w:val="24"/>
                <w:szCs w:val="24"/>
              </w:rPr>
              <w:t>Абс.</w:t>
            </w:r>
          </w:p>
        </w:tc>
        <w:tc>
          <w:tcPr>
            <w:tcW w:w="994" w:type="dxa"/>
            <w:tcBorders>
              <w:top w:val="single" w:sz="4" w:space="0" w:color="auto"/>
              <w:left w:val="single" w:sz="4" w:space="0" w:color="auto"/>
              <w:bottom w:val="single" w:sz="4" w:space="0" w:color="auto"/>
              <w:right w:val="single" w:sz="4" w:space="0" w:color="auto"/>
            </w:tcBorders>
          </w:tcPr>
          <w:p w:rsidR="001303CB" w:rsidRPr="003431F2" w:rsidRDefault="001303CB" w:rsidP="000C2AC8">
            <w:pPr>
              <w:widowControl w:val="0"/>
              <w:tabs>
                <w:tab w:val="left" w:pos="0"/>
              </w:tabs>
              <w:spacing w:line="276" w:lineRule="auto"/>
              <w:jc w:val="center"/>
              <w:rPr>
                <w:rFonts w:eastAsia="Times New Roman"/>
                <w:sz w:val="24"/>
                <w:szCs w:val="24"/>
              </w:rPr>
            </w:pPr>
            <w:r w:rsidRPr="003431F2">
              <w:rPr>
                <w:rFonts w:eastAsia="Times New Roman"/>
                <w:sz w:val="24"/>
                <w:szCs w:val="24"/>
              </w:rPr>
              <w:t>%</w:t>
            </w:r>
          </w:p>
        </w:tc>
      </w:tr>
      <w:tr w:rsidR="001303CB" w:rsidRPr="003431F2" w:rsidTr="001303CB">
        <w:trPr>
          <w:jc w:val="center"/>
        </w:trPr>
        <w:tc>
          <w:tcPr>
            <w:tcW w:w="8011" w:type="dxa"/>
            <w:tcBorders>
              <w:top w:val="single" w:sz="4" w:space="0" w:color="auto"/>
              <w:left w:val="single" w:sz="4" w:space="0" w:color="auto"/>
              <w:bottom w:val="single" w:sz="4" w:space="0" w:color="auto"/>
              <w:right w:val="single" w:sz="4" w:space="0" w:color="auto"/>
            </w:tcBorders>
          </w:tcPr>
          <w:p w:rsidR="001303CB" w:rsidRPr="003431F2" w:rsidRDefault="001303CB" w:rsidP="000C2AC8">
            <w:pPr>
              <w:widowControl w:val="0"/>
              <w:tabs>
                <w:tab w:val="left" w:pos="0"/>
              </w:tabs>
              <w:spacing w:line="276" w:lineRule="auto"/>
              <w:rPr>
                <w:rFonts w:eastAsia="Times New Roman"/>
                <w:sz w:val="24"/>
                <w:szCs w:val="24"/>
              </w:rPr>
            </w:pPr>
            <w:r w:rsidRPr="003431F2">
              <w:rPr>
                <w:rFonts w:eastAsia="Times New Roman"/>
                <w:sz w:val="24"/>
                <w:szCs w:val="24"/>
              </w:rPr>
              <w:t>Імплементація</w:t>
            </w:r>
            <w:r w:rsidRPr="003431F2">
              <w:rPr>
                <w:rFonts w:eastAsia="Calibri"/>
              </w:rPr>
              <w:t xml:space="preserve"> </w:t>
            </w:r>
            <w:r w:rsidRPr="003431F2">
              <w:rPr>
                <w:rFonts w:eastAsia="Times New Roman"/>
                <w:sz w:val="24"/>
                <w:szCs w:val="24"/>
              </w:rPr>
              <w:t>Національного плану дій</w:t>
            </w:r>
            <w:r w:rsidRPr="003431F2">
              <w:rPr>
                <w:rFonts w:eastAsia="Calibri"/>
              </w:rPr>
              <w:t xml:space="preserve"> </w:t>
            </w:r>
            <w:r w:rsidRPr="003431F2">
              <w:rPr>
                <w:rFonts w:eastAsia="Times New Roman"/>
                <w:sz w:val="24"/>
                <w:szCs w:val="24"/>
              </w:rPr>
              <w:t>глобальної ініціативи ВООЗ «Кожна Жінка, кожна Дитина» на державному та регіональному рівнях</w:t>
            </w:r>
          </w:p>
        </w:tc>
        <w:tc>
          <w:tcPr>
            <w:tcW w:w="1061" w:type="dxa"/>
            <w:tcBorders>
              <w:top w:val="single" w:sz="4" w:space="0" w:color="auto"/>
              <w:left w:val="single" w:sz="4" w:space="0" w:color="auto"/>
              <w:bottom w:val="single" w:sz="4" w:space="0" w:color="auto"/>
              <w:right w:val="single" w:sz="4" w:space="0" w:color="auto"/>
            </w:tcBorders>
            <w:vAlign w:val="center"/>
          </w:tcPr>
          <w:p w:rsidR="001303CB" w:rsidRPr="003431F2" w:rsidRDefault="001303CB" w:rsidP="000C2AC8">
            <w:pPr>
              <w:widowControl w:val="0"/>
              <w:tabs>
                <w:tab w:val="left" w:pos="0"/>
              </w:tabs>
              <w:spacing w:line="276" w:lineRule="auto"/>
              <w:jc w:val="center"/>
              <w:rPr>
                <w:rFonts w:eastAsia="Times New Roman"/>
                <w:sz w:val="24"/>
                <w:szCs w:val="24"/>
              </w:rPr>
            </w:pPr>
          </w:p>
        </w:tc>
        <w:tc>
          <w:tcPr>
            <w:tcW w:w="994" w:type="dxa"/>
            <w:tcBorders>
              <w:top w:val="single" w:sz="4" w:space="0" w:color="auto"/>
              <w:left w:val="single" w:sz="4" w:space="0" w:color="auto"/>
              <w:bottom w:val="single" w:sz="4" w:space="0" w:color="auto"/>
              <w:right w:val="single" w:sz="4" w:space="0" w:color="auto"/>
            </w:tcBorders>
            <w:vAlign w:val="center"/>
          </w:tcPr>
          <w:p w:rsidR="001303CB" w:rsidRPr="003431F2" w:rsidRDefault="001303CB" w:rsidP="000C2AC8">
            <w:pPr>
              <w:widowControl w:val="0"/>
              <w:tabs>
                <w:tab w:val="left" w:pos="0"/>
              </w:tabs>
              <w:spacing w:line="276" w:lineRule="auto"/>
              <w:jc w:val="center"/>
              <w:rPr>
                <w:rFonts w:eastAsia="Times New Roman"/>
                <w:sz w:val="24"/>
                <w:szCs w:val="24"/>
              </w:rPr>
            </w:pPr>
          </w:p>
        </w:tc>
      </w:tr>
      <w:tr w:rsidR="001303CB" w:rsidRPr="003431F2" w:rsidTr="001303CB">
        <w:trPr>
          <w:jc w:val="center"/>
        </w:trPr>
        <w:tc>
          <w:tcPr>
            <w:tcW w:w="8011" w:type="dxa"/>
            <w:tcBorders>
              <w:top w:val="single" w:sz="4" w:space="0" w:color="auto"/>
              <w:left w:val="single" w:sz="4" w:space="0" w:color="auto"/>
              <w:bottom w:val="single" w:sz="4" w:space="0" w:color="auto"/>
              <w:right w:val="single" w:sz="4" w:space="0" w:color="auto"/>
            </w:tcBorders>
          </w:tcPr>
          <w:p w:rsidR="001303CB" w:rsidRPr="003431F2" w:rsidRDefault="001303CB" w:rsidP="000C2AC8">
            <w:pPr>
              <w:widowControl w:val="0"/>
              <w:tabs>
                <w:tab w:val="left" w:pos="0"/>
              </w:tabs>
              <w:spacing w:line="276" w:lineRule="auto"/>
              <w:rPr>
                <w:rFonts w:eastAsia="Times New Roman"/>
                <w:sz w:val="24"/>
                <w:szCs w:val="24"/>
              </w:rPr>
            </w:pPr>
            <w:r w:rsidRPr="003431F2">
              <w:rPr>
                <w:rFonts w:eastAsia="Times New Roman"/>
                <w:sz w:val="24"/>
                <w:szCs w:val="24"/>
              </w:rPr>
              <w:t>Багатосекторальність системи та задіяність 5 рівнів (владний, міжсекторальний, галузевий, сімейний, громадський)</w:t>
            </w:r>
          </w:p>
        </w:tc>
        <w:tc>
          <w:tcPr>
            <w:tcW w:w="1061" w:type="dxa"/>
            <w:tcBorders>
              <w:top w:val="single" w:sz="4" w:space="0" w:color="auto"/>
              <w:left w:val="single" w:sz="4" w:space="0" w:color="auto"/>
              <w:bottom w:val="single" w:sz="4" w:space="0" w:color="auto"/>
              <w:right w:val="single" w:sz="4" w:space="0" w:color="auto"/>
            </w:tcBorders>
            <w:vAlign w:val="center"/>
          </w:tcPr>
          <w:p w:rsidR="001303CB" w:rsidRPr="003431F2" w:rsidRDefault="001303CB" w:rsidP="000C2AC8">
            <w:pPr>
              <w:widowControl w:val="0"/>
              <w:tabs>
                <w:tab w:val="left" w:pos="0"/>
              </w:tabs>
              <w:spacing w:line="276" w:lineRule="auto"/>
              <w:jc w:val="center"/>
              <w:rPr>
                <w:rFonts w:eastAsia="Times New Roman"/>
                <w:sz w:val="24"/>
                <w:szCs w:val="24"/>
              </w:rPr>
            </w:pPr>
          </w:p>
        </w:tc>
        <w:tc>
          <w:tcPr>
            <w:tcW w:w="994" w:type="dxa"/>
            <w:tcBorders>
              <w:top w:val="single" w:sz="4" w:space="0" w:color="auto"/>
              <w:left w:val="single" w:sz="4" w:space="0" w:color="auto"/>
              <w:bottom w:val="single" w:sz="4" w:space="0" w:color="auto"/>
              <w:right w:val="single" w:sz="4" w:space="0" w:color="auto"/>
            </w:tcBorders>
            <w:vAlign w:val="center"/>
          </w:tcPr>
          <w:p w:rsidR="001303CB" w:rsidRPr="003431F2" w:rsidRDefault="001303CB" w:rsidP="000C2AC8">
            <w:pPr>
              <w:widowControl w:val="0"/>
              <w:tabs>
                <w:tab w:val="left" w:pos="0"/>
              </w:tabs>
              <w:spacing w:line="276" w:lineRule="auto"/>
              <w:jc w:val="center"/>
              <w:rPr>
                <w:rFonts w:eastAsia="Times New Roman"/>
                <w:sz w:val="24"/>
                <w:szCs w:val="24"/>
              </w:rPr>
            </w:pPr>
          </w:p>
        </w:tc>
      </w:tr>
      <w:tr w:rsidR="001303CB" w:rsidRPr="003431F2" w:rsidTr="001303CB">
        <w:trPr>
          <w:jc w:val="center"/>
        </w:trPr>
        <w:tc>
          <w:tcPr>
            <w:tcW w:w="8011" w:type="dxa"/>
            <w:tcBorders>
              <w:top w:val="single" w:sz="4" w:space="0" w:color="auto"/>
              <w:left w:val="single" w:sz="4" w:space="0" w:color="auto"/>
              <w:bottom w:val="single" w:sz="4" w:space="0" w:color="auto"/>
              <w:right w:val="single" w:sz="4" w:space="0" w:color="auto"/>
            </w:tcBorders>
          </w:tcPr>
          <w:p w:rsidR="001303CB" w:rsidRPr="003431F2" w:rsidRDefault="001303CB" w:rsidP="000C2AC8">
            <w:pPr>
              <w:widowControl w:val="0"/>
              <w:tabs>
                <w:tab w:val="left" w:pos="0"/>
              </w:tabs>
              <w:spacing w:line="276" w:lineRule="auto"/>
              <w:rPr>
                <w:rFonts w:eastAsia="Times New Roman"/>
                <w:sz w:val="24"/>
                <w:szCs w:val="24"/>
              </w:rPr>
            </w:pPr>
            <w:r w:rsidRPr="003431F2">
              <w:rPr>
                <w:rFonts w:eastAsia="Times New Roman"/>
                <w:sz w:val="24"/>
                <w:szCs w:val="24"/>
              </w:rPr>
              <w:t>Обласна міжсекторальної координаційної ради з ініціації та імплементації скоординованих та узгоджених заходів</w:t>
            </w:r>
          </w:p>
        </w:tc>
        <w:tc>
          <w:tcPr>
            <w:tcW w:w="1061" w:type="dxa"/>
            <w:tcBorders>
              <w:top w:val="single" w:sz="4" w:space="0" w:color="auto"/>
              <w:left w:val="single" w:sz="4" w:space="0" w:color="auto"/>
              <w:bottom w:val="single" w:sz="4" w:space="0" w:color="auto"/>
              <w:right w:val="single" w:sz="4" w:space="0" w:color="auto"/>
            </w:tcBorders>
            <w:vAlign w:val="center"/>
          </w:tcPr>
          <w:p w:rsidR="001303CB" w:rsidRPr="003431F2" w:rsidRDefault="001303CB" w:rsidP="000C2AC8">
            <w:pPr>
              <w:widowControl w:val="0"/>
              <w:tabs>
                <w:tab w:val="left" w:pos="0"/>
              </w:tabs>
              <w:spacing w:line="276" w:lineRule="auto"/>
              <w:jc w:val="center"/>
              <w:rPr>
                <w:rFonts w:eastAsia="Times New Roman"/>
                <w:sz w:val="24"/>
                <w:szCs w:val="24"/>
              </w:rPr>
            </w:pPr>
          </w:p>
        </w:tc>
        <w:tc>
          <w:tcPr>
            <w:tcW w:w="994" w:type="dxa"/>
            <w:tcBorders>
              <w:top w:val="single" w:sz="4" w:space="0" w:color="auto"/>
              <w:left w:val="single" w:sz="4" w:space="0" w:color="auto"/>
              <w:bottom w:val="single" w:sz="4" w:space="0" w:color="auto"/>
              <w:right w:val="single" w:sz="4" w:space="0" w:color="auto"/>
            </w:tcBorders>
            <w:vAlign w:val="center"/>
          </w:tcPr>
          <w:p w:rsidR="001303CB" w:rsidRPr="003431F2" w:rsidRDefault="001303CB" w:rsidP="000C2AC8">
            <w:pPr>
              <w:widowControl w:val="0"/>
              <w:tabs>
                <w:tab w:val="left" w:pos="0"/>
              </w:tabs>
              <w:spacing w:line="276" w:lineRule="auto"/>
              <w:jc w:val="center"/>
              <w:rPr>
                <w:rFonts w:eastAsia="Times New Roman"/>
                <w:sz w:val="24"/>
                <w:szCs w:val="24"/>
              </w:rPr>
            </w:pPr>
          </w:p>
        </w:tc>
      </w:tr>
      <w:tr w:rsidR="001303CB" w:rsidRPr="003431F2" w:rsidTr="001303CB">
        <w:trPr>
          <w:jc w:val="center"/>
        </w:trPr>
        <w:tc>
          <w:tcPr>
            <w:tcW w:w="8011" w:type="dxa"/>
            <w:tcBorders>
              <w:top w:val="single" w:sz="4" w:space="0" w:color="auto"/>
              <w:left w:val="single" w:sz="4" w:space="0" w:color="auto"/>
              <w:bottom w:val="single" w:sz="4" w:space="0" w:color="auto"/>
              <w:right w:val="single" w:sz="4" w:space="0" w:color="auto"/>
            </w:tcBorders>
          </w:tcPr>
          <w:p w:rsidR="001303CB" w:rsidRPr="003431F2" w:rsidRDefault="001303CB" w:rsidP="000C2AC8">
            <w:pPr>
              <w:widowControl w:val="0"/>
              <w:tabs>
                <w:tab w:val="left" w:pos="0"/>
              </w:tabs>
              <w:spacing w:line="276" w:lineRule="auto"/>
              <w:rPr>
                <w:rFonts w:eastAsia="Times New Roman"/>
                <w:sz w:val="24"/>
                <w:szCs w:val="24"/>
              </w:rPr>
            </w:pPr>
            <w:r w:rsidRPr="003431F2">
              <w:rPr>
                <w:rFonts w:eastAsia="Times New Roman"/>
                <w:sz w:val="24"/>
                <w:szCs w:val="24"/>
              </w:rPr>
              <w:t xml:space="preserve">Єдина державна медична інформаційна система педіатричної допомоги (реєстр новонароджених, що народились передчасно та/або хворими, електронний медичний документообіг) та ЕСОЗ </w:t>
            </w:r>
          </w:p>
        </w:tc>
        <w:tc>
          <w:tcPr>
            <w:tcW w:w="1061" w:type="dxa"/>
            <w:tcBorders>
              <w:top w:val="single" w:sz="4" w:space="0" w:color="auto"/>
              <w:left w:val="single" w:sz="4" w:space="0" w:color="auto"/>
              <w:bottom w:val="single" w:sz="4" w:space="0" w:color="auto"/>
              <w:right w:val="single" w:sz="4" w:space="0" w:color="auto"/>
            </w:tcBorders>
            <w:vAlign w:val="center"/>
          </w:tcPr>
          <w:p w:rsidR="001303CB" w:rsidRPr="003431F2" w:rsidRDefault="001303CB" w:rsidP="000C2AC8">
            <w:pPr>
              <w:widowControl w:val="0"/>
              <w:tabs>
                <w:tab w:val="left" w:pos="0"/>
              </w:tabs>
              <w:spacing w:line="276" w:lineRule="auto"/>
              <w:jc w:val="center"/>
              <w:rPr>
                <w:rFonts w:eastAsia="Times New Roman"/>
                <w:sz w:val="24"/>
                <w:szCs w:val="24"/>
              </w:rPr>
            </w:pPr>
          </w:p>
        </w:tc>
        <w:tc>
          <w:tcPr>
            <w:tcW w:w="994" w:type="dxa"/>
            <w:tcBorders>
              <w:top w:val="single" w:sz="4" w:space="0" w:color="auto"/>
              <w:left w:val="single" w:sz="4" w:space="0" w:color="auto"/>
              <w:bottom w:val="single" w:sz="4" w:space="0" w:color="auto"/>
              <w:right w:val="single" w:sz="4" w:space="0" w:color="auto"/>
            </w:tcBorders>
            <w:vAlign w:val="center"/>
          </w:tcPr>
          <w:p w:rsidR="001303CB" w:rsidRPr="003431F2" w:rsidRDefault="001303CB" w:rsidP="000C2AC8">
            <w:pPr>
              <w:widowControl w:val="0"/>
              <w:tabs>
                <w:tab w:val="left" w:pos="0"/>
              </w:tabs>
              <w:spacing w:line="276" w:lineRule="auto"/>
              <w:jc w:val="center"/>
              <w:rPr>
                <w:rFonts w:eastAsia="Times New Roman"/>
                <w:sz w:val="24"/>
                <w:szCs w:val="24"/>
              </w:rPr>
            </w:pPr>
          </w:p>
        </w:tc>
      </w:tr>
      <w:tr w:rsidR="001303CB" w:rsidRPr="003431F2" w:rsidTr="001303CB">
        <w:trPr>
          <w:jc w:val="center"/>
        </w:trPr>
        <w:tc>
          <w:tcPr>
            <w:tcW w:w="8011" w:type="dxa"/>
            <w:tcBorders>
              <w:top w:val="single" w:sz="4" w:space="0" w:color="auto"/>
              <w:left w:val="single" w:sz="4" w:space="0" w:color="auto"/>
              <w:bottom w:val="single" w:sz="4" w:space="0" w:color="auto"/>
              <w:right w:val="single" w:sz="4" w:space="0" w:color="auto"/>
            </w:tcBorders>
          </w:tcPr>
          <w:p w:rsidR="001303CB" w:rsidRPr="003431F2" w:rsidRDefault="001303CB" w:rsidP="000C2AC8">
            <w:pPr>
              <w:widowControl w:val="0"/>
              <w:tabs>
                <w:tab w:val="left" w:pos="0"/>
              </w:tabs>
              <w:spacing w:line="276" w:lineRule="auto"/>
              <w:rPr>
                <w:rFonts w:eastAsia="Times New Roman"/>
                <w:sz w:val="24"/>
                <w:szCs w:val="24"/>
              </w:rPr>
            </w:pPr>
            <w:r w:rsidRPr="003431F2">
              <w:rPr>
                <w:rFonts w:eastAsia="Times New Roman"/>
                <w:sz w:val="24"/>
                <w:szCs w:val="24"/>
              </w:rPr>
              <w:t>Включення в систему принципів сучасного медичного менеджменту за всіма напрямами (ефективне управління процесом, інтеграція, планування, ресурсне забезпечення;  інтегроване управління якістю медичної допомоги; передбачення та мінімізація ризиків; дотримання прав людини та вимог законодавства в сфері протидії насильству)</w:t>
            </w:r>
          </w:p>
        </w:tc>
        <w:tc>
          <w:tcPr>
            <w:tcW w:w="1061" w:type="dxa"/>
            <w:tcBorders>
              <w:top w:val="single" w:sz="4" w:space="0" w:color="auto"/>
              <w:left w:val="single" w:sz="4" w:space="0" w:color="auto"/>
              <w:bottom w:val="single" w:sz="4" w:space="0" w:color="auto"/>
              <w:right w:val="single" w:sz="4" w:space="0" w:color="auto"/>
            </w:tcBorders>
            <w:vAlign w:val="center"/>
          </w:tcPr>
          <w:p w:rsidR="001303CB" w:rsidRPr="003431F2" w:rsidRDefault="001303CB" w:rsidP="000C2AC8">
            <w:pPr>
              <w:widowControl w:val="0"/>
              <w:tabs>
                <w:tab w:val="left" w:pos="0"/>
              </w:tabs>
              <w:spacing w:line="276" w:lineRule="auto"/>
              <w:jc w:val="center"/>
              <w:rPr>
                <w:rFonts w:eastAsia="Times New Roman"/>
                <w:sz w:val="24"/>
                <w:szCs w:val="24"/>
              </w:rPr>
            </w:pPr>
          </w:p>
        </w:tc>
        <w:tc>
          <w:tcPr>
            <w:tcW w:w="994" w:type="dxa"/>
            <w:tcBorders>
              <w:top w:val="single" w:sz="4" w:space="0" w:color="auto"/>
              <w:left w:val="single" w:sz="4" w:space="0" w:color="auto"/>
              <w:bottom w:val="single" w:sz="4" w:space="0" w:color="auto"/>
              <w:right w:val="single" w:sz="4" w:space="0" w:color="auto"/>
            </w:tcBorders>
            <w:vAlign w:val="center"/>
          </w:tcPr>
          <w:p w:rsidR="001303CB" w:rsidRPr="003431F2" w:rsidRDefault="001303CB" w:rsidP="000C2AC8">
            <w:pPr>
              <w:widowControl w:val="0"/>
              <w:tabs>
                <w:tab w:val="left" w:pos="0"/>
              </w:tabs>
              <w:spacing w:line="276" w:lineRule="auto"/>
              <w:jc w:val="center"/>
              <w:rPr>
                <w:rFonts w:eastAsia="Times New Roman"/>
                <w:sz w:val="24"/>
                <w:szCs w:val="24"/>
              </w:rPr>
            </w:pPr>
          </w:p>
        </w:tc>
      </w:tr>
      <w:tr w:rsidR="001303CB" w:rsidRPr="003431F2" w:rsidTr="001303CB">
        <w:trPr>
          <w:jc w:val="center"/>
        </w:trPr>
        <w:tc>
          <w:tcPr>
            <w:tcW w:w="8011" w:type="dxa"/>
            <w:tcBorders>
              <w:top w:val="single" w:sz="4" w:space="0" w:color="auto"/>
              <w:left w:val="single" w:sz="4" w:space="0" w:color="auto"/>
              <w:bottom w:val="single" w:sz="4" w:space="0" w:color="auto"/>
              <w:right w:val="single" w:sz="4" w:space="0" w:color="auto"/>
            </w:tcBorders>
          </w:tcPr>
          <w:p w:rsidR="001303CB" w:rsidRPr="003431F2" w:rsidRDefault="001303CB" w:rsidP="000C2AC8">
            <w:pPr>
              <w:widowControl w:val="0"/>
              <w:tabs>
                <w:tab w:val="left" w:pos="0"/>
              </w:tabs>
              <w:spacing w:line="276" w:lineRule="auto"/>
              <w:rPr>
                <w:rFonts w:eastAsia="Times New Roman"/>
                <w:sz w:val="24"/>
                <w:szCs w:val="24"/>
              </w:rPr>
            </w:pPr>
            <w:r w:rsidRPr="003431F2">
              <w:rPr>
                <w:rFonts w:eastAsia="Times New Roman"/>
                <w:sz w:val="24"/>
                <w:szCs w:val="24"/>
              </w:rPr>
              <w:t>Впровадження послуг катамнестичного спостереження, раннього втручання, паліативної допомоги та реабілітації із застосуванням міжсекторального підходу</w:t>
            </w:r>
          </w:p>
        </w:tc>
        <w:tc>
          <w:tcPr>
            <w:tcW w:w="1061" w:type="dxa"/>
            <w:tcBorders>
              <w:top w:val="single" w:sz="4" w:space="0" w:color="auto"/>
              <w:left w:val="single" w:sz="4" w:space="0" w:color="auto"/>
              <w:bottom w:val="single" w:sz="4" w:space="0" w:color="auto"/>
              <w:right w:val="single" w:sz="4" w:space="0" w:color="auto"/>
            </w:tcBorders>
            <w:vAlign w:val="center"/>
          </w:tcPr>
          <w:p w:rsidR="001303CB" w:rsidRPr="003431F2" w:rsidRDefault="001303CB" w:rsidP="000C2AC8">
            <w:pPr>
              <w:widowControl w:val="0"/>
              <w:tabs>
                <w:tab w:val="left" w:pos="0"/>
              </w:tabs>
              <w:spacing w:line="276" w:lineRule="auto"/>
              <w:jc w:val="center"/>
              <w:rPr>
                <w:rFonts w:eastAsia="Times New Roman"/>
                <w:sz w:val="24"/>
                <w:szCs w:val="24"/>
              </w:rPr>
            </w:pPr>
          </w:p>
        </w:tc>
        <w:tc>
          <w:tcPr>
            <w:tcW w:w="994" w:type="dxa"/>
            <w:tcBorders>
              <w:top w:val="single" w:sz="4" w:space="0" w:color="auto"/>
              <w:left w:val="single" w:sz="4" w:space="0" w:color="auto"/>
              <w:bottom w:val="single" w:sz="4" w:space="0" w:color="auto"/>
              <w:right w:val="single" w:sz="4" w:space="0" w:color="auto"/>
            </w:tcBorders>
            <w:vAlign w:val="center"/>
          </w:tcPr>
          <w:p w:rsidR="001303CB" w:rsidRPr="003431F2" w:rsidRDefault="001303CB" w:rsidP="000C2AC8">
            <w:pPr>
              <w:widowControl w:val="0"/>
              <w:tabs>
                <w:tab w:val="left" w:pos="0"/>
              </w:tabs>
              <w:spacing w:line="276" w:lineRule="auto"/>
              <w:jc w:val="center"/>
              <w:rPr>
                <w:rFonts w:eastAsia="Times New Roman"/>
                <w:sz w:val="24"/>
                <w:szCs w:val="24"/>
              </w:rPr>
            </w:pPr>
          </w:p>
        </w:tc>
      </w:tr>
      <w:tr w:rsidR="001303CB" w:rsidRPr="003431F2" w:rsidTr="001303CB">
        <w:trPr>
          <w:jc w:val="center"/>
        </w:trPr>
        <w:tc>
          <w:tcPr>
            <w:tcW w:w="8011" w:type="dxa"/>
            <w:tcBorders>
              <w:top w:val="single" w:sz="4" w:space="0" w:color="auto"/>
              <w:left w:val="single" w:sz="4" w:space="0" w:color="auto"/>
              <w:bottom w:val="single" w:sz="4" w:space="0" w:color="auto"/>
              <w:right w:val="single" w:sz="4" w:space="0" w:color="auto"/>
            </w:tcBorders>
          </w:tcPr>
          <w:p w:rsidR="001303CB" w:rsidRPr="003431F2" w:rsidRDefault="001303CB" w:rsidP="000C2AC8">
            <w:pPr>
              <w:widowControl w:val="0"/>
              <w:tabs>
                <w:tab w:val="left" w:pos="0"/>
              </w:tabs>
              <w:spacing w:line="276" w:lineRule="auto"/>
              <w:rPr>
                <w:rFonts w:eastAsia="Times New Roman"/>
                <w:sz w:val="24"/>
                <w:szCs w:val="24"/>
              </w:rPr>
            </w:pPr>
            <w:r w:rsidRPr="003431F2">
              <w:rPr>
                <w:rFonts w:eastAsia="Times New Roman"/>
                <w:sz w:val="24"/>
                <w:szCs w:val="24"/>
              </w:rPr>
              <w:t>Створення умов для надання етапної допомоги при загрозливих станах та синдромах): спеціалізовані педіатричні (в.т.ч. неонатальні) бригади реанімації та інтенсивної терапії, відділення планової та екстреної консультативної допомоги</w:t>
            </w:r>
          </w:p>
        </w:tc>
        <w:tc>
          <w:tcPr>
            <w:tcW w:w="1061" w:type="dxa"/>
            <w:tcBorders>
              <w:top w:val="single" w:sz="4" w:space="0" w:color="auto"/>
              <w:left w:val="single" w:sz="4" w:space="0" w:color="auto"/>
              <w:bottom w:val="single" w:sz="4" w:space="0" w:color="auto"/>
              <w:right w:val="single" w:sz="4" w:space="0" w:color="auto"/>
            </w:tcBorders>
            <w:vAlign w:val="center"/>
          </w:tcPr>
          <w:p w:rsidR="001303CB" w:rsidRPr="003431F2" w:rsidRDefault="001303CB" w:rsidP="000C2AC8">
            <w:pPr>
              <w:widowControl w:val="0"/>
              <w:tabs>
                <w:tab w:val="left" w:pos="0"/>
              </w:tabs>
              <w:spacing w:line="276" w:lineRule="auto"/>
              <w:jc w:val="center"/>
              <w:rPr>
                <w:rFonts w:eastAsia="Times New Roman"/>
                <w:sz w:val="24"/>
                <w:szCs w:val="24"/>
              </w:rPr>
            </w:pPr>
          </w:p>
        </w:tc>
        <w:tc>
          <w:tcPr>
            <w:tcW w:w="994" w:type="dxa"/>
            <w:tcBorders>
              <w:top w:val="single" w:sz="4" w:space="0" w:color="auto"/>
              <w:left w:val="single" w:sz="4" w:space="0" w:color="auto"/>
              <w:bottom w:val="single" w:sz="4" w:space="0" w:color="auto"/>
              <w:right w:val="single" w:sz="4" w:space="0" w:color="auto"/>
            </w:tcBorders>
            <w:vAlign w:val="center"/>
          </w:tcPr>
          <w:p w:rsidR="001303CB" w:rsidRPr="003431F2" w:rsidRDefault="001303CB" w:rsidP="000C2AC8">
            <w:pPr>
              <w:widowControl w:val="0"/>
              <w:tabs>
                <w:tab w:val="left" w:pos="0"/>
              </w:tabs>
              <w:spacing w:line="276" w:lineRule="auto"/>
              <w:jc w:val="center"/>
              <w:rPr>
                <w:rFonts w:eastAsia="Times New Roman"/>
                <w:sz w:val="24"/>
                <w:szCs w:val="24"/>
              </w:rPr>
            </w:pPr>
          </w:p>
        </w:tc>
      </w:tr>
      <w:tr w:rsidR="001303CB" w:rsidRPr="003431F2" w:rsidTr="001303CB">
        <w:trPr>
          <w:jc w:val="center"/>
        </w:trPr>
        <w:tc>
          <w:tcPr>
            <w:tcW w:w="8011" w:type="dxa"/>
            <w:tcBorders>
              <w:top w:val="single" w:sz="4" w:space="0" w:color="auto"/>
              <w:left w:val="single" w:sz="4" w:space="0" w:color="auto"/>
              <w:bottom w:val="single" w:sz="4" w:space="0" w:color="auto"/>
              <w:right w:val="single" w:sz="4" w:space="0" w:color="auto"/>
            </w:tcBorders>
          </w:tcPr>
          <w:p w:rsidR="001303CB" w:rsidRPr="003431F2" w:rsidRDefault="001303CB" w:rsidP="000C2AC8">
            <w:pPr>
              <w:widowControl w:val="0"/>
              <w:tabs>
                <w:tab w:val="left" w:pos="0"/>
              </w:tabs>
              <w:spacing w:line="276" w:lineRule="auto"/>
              <w:rPr>
                <w:rFonts w:eastAsia="Times New Roman"/>
                <w:sz w:val="24"/>
                <w:szCs w:val="24"/>
              </w:rPr>
            </w:pPr>
            <w:r w:rsidRPr="003431F2">
              <w:rPr>
                <w:rFonts w:eastAsia="Times New Roman"/>
                <w:sz w:val="24"/>
                <w:szCs w:val="24"/>
              </w:rPr>
              <w:t>Модель комплексної оцінки перинатальної допомоги та Комплексна оцінки діяльності закладів і установ перинатальної служби України та за її регіонами</w:t>
            </w:r>
          </w:p>
        </w:tc>
        <w:tc>
          <w:tcPr>
            <w:tcW w:w="1061" w:type="dxa"/>
            <w:tcBorders>
              <w:top w:val="single" w:sz="4" w:space="0" w:color="auto"/>
              <w:left w:val="single" w:sz="4" w:space="0" w:color="auto"/>
              <w:bottom w:val="single" w:sz="4" w:space="0" w:color="auto"/>
              <w:right w:val="single" w:sz="4" w:space="0" w:color="auto"/>
            </w:tcBorders>
            <w:vAlign w:val="center"/>
          </w:tcPr>
          <w:p w:rsidR="001303CB" w:rsidRPr="003431F2" w:rsidRDefault="001303CB" w:rsidP="000C2AC8">
            <w:pPr>
              <w:widowControl w:val="0"/>
              <w:tabs>
                <w:tab w:val="left" w:pos="0"/>
              </w:tabs>
              <w:spacing w:line="276" w:lineRule="auto"/>
              <w:jc w:val="center"/>
              <w:rPr>
                <w:rFonts w:eastAsia="Times New Roman"/>
                <w:sz w:val="24"/>
                <w:szCs w:val="24"/>
              </w:rPr>
            </w:pPr>
          </w:p>
        </w:tc>
        <w:tc>
          <w:tcPr>
            <w:tcW w:w="994" w:type="dxa"/>
            <w:tcBorders>
              <w:top w:val="single" w:sz="4" w:space="0" w:color="auto"/>
              <w:left w:val="single" w:sz="4" w:space="0" w:color="auto"/>
              <w:bottom w:val="single" w:sz="4" w:space="0" w:color="auto"/>
              <w:right w:val="single" w:sz="4" w:space="0" w:color="auto"/>
            </w:tcBorders>
            <w:vAlign w:val="center"/>
          </w:tcPr>
          <w:p w:rsidR="001303CB" w:rsidRPr="003431F2" w:rsidRDefault="001303CB" w:rsidP="000C2AC8">
            <w:pPr>
              <w:widowControl w:val="0"/>
              <w:tabs>
                <w:tab w:val="left" w:pos="0"/>
              </w:tabs>
              <w:spacing w:line="276" w:lineRule="auto"/>
              <w:jc w:val="center"/>
              <w:rPr>
                <w:rFonts w:eastAsia="Times New Roman"/>
                <w:sz w:val="24"/>
                <w:szCs w:val="24"/>
              </w:rPr>
            </w:pPr>
          </w:p>
        </w:tc>
      </w:tr>
      <w:tr w:rsidR="001303CB" w:rsidRPr="003431F2" w:rsidTr="001303CB">
        <w:trPr>
          <w:jc w:val="center"/>
        </w:trPr>
        <w:tc>
          <w:tcPr>
            <w:tcW w:w="8011" w:type="dxa"/>
            <w:tcBorders>
              <w:top w:val="single" w:sz="4" w:space="0" w:color="auto"/>
              <w:left w:val="single" w:sz="4" w:space="0" w:color="auto"/>
              <w:bottom w:val="single" w:sz="4" w:space="0" w:color="auto"/>
              <w:right w:val="single" w:sz="4" w:space="0" w:color="auto"/>
            </w:tcBorders>
          </w:tcPr>
          <w:p w:rsidR="001303CB" w:rsidRPr="003431F2" w:rsidRDefault="001303CB" w:rsidP="000C2AC8">
            <w:pPr>
              <w:widowControl w:val="0"/>
              <w:tabs>
                <w:tab w:val="left" w:pos="0"/>
              </w:tabs>
              <w:spacing w:line="276" w:lineRule="auto"/>
              <w:rPr>
                <w:rFonts w:eastAsia="Times New Roman"/>
                <w:sz w:val="24"/>
                <w:szCs w:val="24"/>
              </w:rPr>
            </w:pPr>
            <w:r w:rsidRPr="003431F2">
              <w:rPr>
                <w:rFonts w:eastAsia="Times New Roman"/>
                <w:sz w:val="24"/>
                <w:szCs w:val="24"/>
              </w:rPr>
              <w:t>Включення системи громадського здоров’я та участі об’єднаних територіальних громад в навчанні батьків (відповідальне батьківство)</w:t>
            </w:r>
          </w:p>
        </w:tc>
        <w:tc>
          <w:tcPr>
            <w:tcW w:w="1061" w:type="dxa"/>
            <w:tcBorders>
              <w:top w:val="single" w:sz="4" w:space="0" w:color="auto"/>
              <w:left w:val="single" w:sz="4" w:space="0" w:color="auto"/>
              <w:bottom w:val="single" w:sz="4" w:space="0" w:color="auto"/>
              <w:right w:val="single" w:sz="4" w:space="0" w:color="auto"/>
            </w:tcBorders>
            <w:vAlign w:val="center"/>
          </w:tcPr>
          <w:p w:rsidR="001303CB" w:rsidRPr="003431F2" w:rsidRDefault="001303CB" w:rsidP="000C2AC8">
            <w:pPr>
              <w:widowControl w:val="0"/>
              <w:tabs>
                <w:tab w:val="left" w:pos="0"/>
              </w:tabs>
              <w:spacing w:line="276" w:lineRule="auto"/>
              <w:jc w:val="center"/>
              <w:rPr>
                <w:rFonts w:eastAsia="Times New Roman"/>
                <w:sz w:val="24"/>
                <w:szCs w:val="24"/>
              </w:rPr>
            </w:pPr>
          </w:p>
        </w:tc>
        <w:tc>
          <w:tcPr>
            <w:tcW w:w="994" w:type="dxa"/>
            <w:tcBorders>
              <w:top w:val="single" w:sz="4" w:space="0" w:color="auto"/>
              <w:left w:val="single" w:sz="4" w:space="0" w:color="auto"/>
              <w:bottom w:val="single" w:sz="4" w:space="0" w:color="auto"/>
              <w:right w:val="single" w:sz="4" w:space="0" w:color="auto"/>
            </w:tcBorders>
            <w:vAlign w:val="center"/>
          </w:tcPr>
          <w:p w:rsidR="001303CB" w:rsidRPr="003431F2" w:rsidRDefault="001303CB" w:rsidP="000C2AC8">
            <w:pPr>
              <w:widowControl w:val="0"/>
              <w:tabs>
                <w:tab w:val="left" w:pos="0"/>
              </w:tabs>
              <w:spacing w:line="276" w:lineRule="auto"/>
              <w:jc w:val="center"/>
              <w:rPr>
                <w:rFonts w:eastAsia="Times New Roman"/>
                <w:sz w:val="24"/>
                <w:szCs w:val="24"/>
              </w:rPr>
            </w:pPr>
          </w:p>
        </w:tc>
      </w:tr>
      <w:tr w:rsidR="001303CB" w:rsidRPr="003431F2" w:rsidTr="001303CB">
        <w:trPr>
          <w:jc w:val="center"/>
        </w:trPr>
        <w:tc>
          <w:tcPr>
            <w:tcW w:w="8011" w:type="dxa"/>
            <w:tcBorders>
              <w:top w:val="single" w:sz="4" w:space="0" w:color="auto"/>
              <w:left w:val="single" w:sz="4" w:space="0" w:color="auto"/>
              <w:bottom w:val="single" w:sz="4" w:space="0" w:color="auto"/>
              <w:right w:val="single" w:sz="4" w:space="0" w:color="auto"/>
            </w:tcBorders>
          </w:tcPr>
          <w:p w:rsidR="001303CB" w:rsidRPr="003431F2" w:rsidRDefault="001303CB" w:rsidP="000C2AC8">
            <w:pPr>
              <w:widowControl w:val="0"/>
              <w:tabs>
                <w:tab w:val="left" w:pos="0"/>
              </w:tabs>
              <w:spacing w:line="276" w:lineRule="auto"/>
              <w:rPr>
                <w:rFonts w:eastAsia="Times New Roman"/>
                <w:sz w:val="24"/>
                <w:szCs w:val="24"/>
              </w:rPr>
            </w:pPr>
            <w:r w:rsidRPr="003431F2">
              <w:rPr>
                <w:rFonts w:eastAsia="Times New Roman"/>
                <w:sz w:val="24"/>
                <w:szCs w:val="24"/>
              </w:rPr>
              <w:t>Система в цілому</w:t>
            </w:r>
          </w:p>
        </w:tc>
        <w:tc>
          <w:tcPr>
            <w:tcW w:w="1061" w:type="dxa"/>
            <w:tcBorders>
              <w:top w:val="single" w:sz="4" w:space="0" w:color="auto"/>
              <w:left w:val="single" w:sz="4" w:space="0" w:color="auto"/>
              <w:bottom w:val="single" w:sz="4" w:space="0" w:color="auto"/>
              <w:right w:val="single" w:sz="4" w:space="0" w:color="auto"/>
            </w:tcBorders>
            <w:vAlign w:val="center"/>
          </w:tcPr>
          <w:p w:rsidR="001303CB" w:rsidRPr="003431F2" w:rsidRDefault="001303CB" w:rsidP="000C2AC8">
            <w:pPr>
              <w:widowControl w:val="0"/>
              <w:tabs>
                <w:tab w:val="left" w:pos="0"/>
              </w:tabs>
              <w:spacing w:line="276" w:lineRule="auto"/>
              <w:jc w:val="center"/>
              <w:rPr>
                <w:rFonts w:eastAsia="Times New Roman"/>
                <w:sz w:val="24"/>
                <w:szCs w:val="24"/>
              </w:rPr>
            </w:pPr>
          </w:p>
        </w:tc>
        <w:tc>
          <w:tcPr>
            <w:tcW w:w="994" w:type="dxa"/>
            <w:tcBorders>
              <w:top w:val="single" w:sz="4" w:space="0" w:color="auto"/>
              <w:left w:val="single" w:sz="4" w:space="0" w:color="auto"/>
              <w:bottom w:val="single" w:sz="4" w:space="0" w:color="auto"/>
              <w:right w:val="single" w:sz="4" w:space="0" w:color="auto"/>
            </w:tcBorders>
            <w:vAlign w:val="center"/>
          </w:tcPr>
          <w:p w:rsidR="001303CB" w:rsidRPr="003431F2" w:rsidRDefault="001303CB" w:rsidP="000C2AC8">
            <w:pPr>
              <w:widowControl w:val="0"/>
              <w:tabs>
                <w:tab w:val="left" w:pos="0"/>
              </w:tabs>
              <w:spacing w:line="276" w:lineRule="auto"/>
              <w:jc w:val="center"/>
              <w:rPr>
                <w:rFonts w:eastAsia="Times New Roman"/>
                <w:sz w:val="24"/>
                <w:szCs w:val="24"/>
              </w:rPr>
            </w:pPr>
          </w:p>
        </w:tc>
      </w:tr>
    </w:tbl>
    <w:p w:rsidR="0055021D" w:rsidRDefault="00C43972" w:rsidP="00880265">
      <w:pPr>
        <w:spacing w:after="120"/>
        <w:jc w:val="left"/>
        <w:rPr>
          <w:rFonts w:eastAsia="Calibri"/>
          <w:szCs w:val="28"/>
          <w:lang w:val="ru-RU"/>
        </w:rPr>
      </w:pPr>
      <w:r w:rsidRPr="00C43972">
        <w:rPr>
          <w:rFonts w:eastAsia="Calibri"/>
          <w:szCs w:val="28"/>
          <w:lang w:val="en-US"/>
        </w:rPr>
        <w:t xml:space="preserve"> </w:t>
      </w:r>
      <w:r w:rsidRPr="00C43972">
        <w:rPr>
          <w:rFonts w:eastAsia="Calibri"/>
          <w:szCs w:val="28"/>
        </w:rPr>
        <w:t>Дякуємо за проведену оцінку.</w:t>
      </w:r>
      <w:r w:rsidR="0055021D">
        <w:rPr>
          <w:rFonts w:eastAsia="Calibri"/>
          <w:szCs w:val="28"/>
          <w:lang w:val="ru-RU"/>
        </w:rPr>
        <w:t xml:space="preserve">                                               </w:t>
      </w:r>
    </w:p>
    <w:p w:rsidR="00B761A9" w:rsidRPr="00B761A9" w:rsidRDefault="00B761A9" w:rsidP="00B761A9">
      <w:pPr>
        <w:spacing w:after="120"/>
        <w:jc w:val="right"/>
        <w:rPr>
          <w:rFonts w:eastAsia="Calibri"/>
          <w:szCs w:val="28"/>
        </w:rPr>
      </w:pPr>
      <w:r>
        <w:rPr>
          <w:rFonts w:eastAsia="Calibri"/>
          <w:szCs w:val="28"/>
        </w:rPr>
        <w:lastRenderedPageBreak/>
        <w:t>Додаток З-1</w:t>
      </w:r>
    </w:p>
    <w:p w:rsidR="0055021D" w:rsidRDefault="003E3AA2" w:rsidP="00022CF2">
      <w:pPr>
        <w:tabs>
          <w:tab w:val="left" w:pos="6840"/>
        </w:tabs>
        <w:spacing w:line="240" w:lineRule="auto"/>
        <w:jc w:val="right"/>
        <w:rPr>
          <w:rFonts w:eastAsia="Times New Roman"/>
          <w:sz w:val="24"/>
          <w:szCs w:val="24"/>
          <w:lang w:eastAsia="ru-RU"/>
        </w:rPr>
      </w:pPr>
      <w:r w:rsidRPr="0055021D">
        <w:rPr>
          <w:rFonts w:eastAsia="Times New Roman"/>
          <w:sz w:val="24"/>
          <w:szCs w:val="24"/>
          <w:lang w:eastAsia="ru-RU"/>
        </w:rPr>
        <w:object w:dxaOrig="5950" w:dyaOrig="84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16.1pt;height:656.05pt" o:ole="">
            <v:imagedata r:id="rId76" o:title=""/>
          </v:shape>
          <o:OLEObject Type="Embed" ProgID="AcroExch.Document.11" ShapeID="_x0000_i1025" DrawAspect="Content" ObjectID="_1681210740" r:id="rId77"/>
        </w:object>
      </w:r>
      <w:r w:rsidR="00C43972" w:rsidRPr="00C43972">
        <w:rPr>
          <w:rFonts w:eastAsia="Times New Roman"/>
          <w:sz w:val="24"/>
          <w:szCs w:val="24"/>
          <w:lang w:eastAsia="ru-RU"/>
        </w:rPr>
        <w:t xml:space="preserve">                                                                                                             </w:t>
      </w:r>
    </w:p>
    <w:p w:rsidR="0055021D" w:rsidRDefault="0055021D" w:rsidP="003E3AA2">
      <w:pPr>
        <w:rPr>
          <w:rFonts w:eastAsia="Times New Roman"/>
          <w:sz w:val="24"/>
          <w:szCs w:val="24"/>
          <w:lang w:val="ru-RU" w:eastAsia="ru-RU"/>
        </w:rPr>
      </w:pPr>
    </w:p>
    <w:p w:rsidR="00B761A9" w:rsidRPr="00B761A9" w:rsidRDefault="00B761A9" w:rsidP="00B761A9">
      <w:pPr>
        <w:jc w:val="right"/>
        <w:rPr>
          <w:rFonts w:eastAsia="Times New Roman"/>
          <w:szCs w:val="28"/>
          <w:lang w:val="ru-RU" w:eastAsia="ru-RU"/>
        </w:rPr>
      </w:pPr>
      <w:r w:rsidRPr="00B761A9">
        <w:rPr>
          <w:rFonts w:eastAsia="Times New Roman"/>
          <w:szCs w:val="28"/>
          <w:lang w:val="ru-RU" w:eastAsia="ru-RU"/>
        </w:rPr>
        <w:lastRenderedPageBreak/>
        <w:t xml:space="preserve"> Додаток З-2</w:t>
      </w:r>
    </w:p>
    <w:p w:rsidR="0055021D" w:rsidRPr="0055021D" w:rsidRDefault="003E3AA2" w:rsidP="0055021D">
      <w:pPr>
        <w:rPr>
          <w:rFonts w:eastAsia="Times New Roman"/>
          <w:sz w:val="24"/>
          <w:szCs w:val="24"/>
          <w:lang w:val="ru-RU" w:eastAsia="ru-RU"/>
        </w:rPr>
      </w:pPr>
      <w:r w:rsidRPr="0042698C">
        <w:rPr>
          <w:rFonts w:eastAsia="Times New Roman"/>
          <w:sz w:val="24"/>
          <w:szCs w:val="24"/>
          <w:lang w:val="ru-RU" w:eastAsia="ru-RU"/>
        </w:rPr>
        <w:object w:dxaOrig="5950" w:dyaOrig="8420">
          <v:shape id="_x0000_i1026" type="#_x0000_t75" style="width:512.05pt;height:662.15pt" o:ole="">
            <v:imagedata r:id="rId78" o:title=""/>
          </v:shape>
          <o:OLEObject Type="Embed" ProgID="AcroExch.Document.11" ShapeID="_x0000_i1026" DrawAspect="Content" ObjectID="_1681210741" r:id="rId79"/>
        </w:object>
      </w:r>
    </w:p>
    <w:p w:rsidR="003E3AA2" w:rsidRDefault="003E3AA2" w:rsidP="003E3AA2">
      <w:pPr>
        <w:tabs>
          <w:tab w:val="left" w:pos="7701"/>
        </w:tabs>
        <w:jc w:val="center"/>
        <w:rPr>
          <w:rFonts w:eastAsia="Times New Roman"/>
          <w:szCs w:val="28"/>
          <w:lang w:val="ru-RU" w:eastAsia="ru-RU"/>
        </w:rPr>
      </w:pPr>
    </w:p>
    <w:p w:rsidR="00B761A9" w:rsidRDefault="00B761A9" w:rsidP="00B761A9">
      <w:pPr>
        <w:tabs>
          <w:tab w:val="left" w:pos="7701"/>
        </w:tabs>
        <w:jc w:val="right"/>
        <w:rPr>
          <w:rFonts w:eastAsia="Times New Roman"/>
          <w:szCs w:val="28"/>
          <w:lang w:val="ru-RU" w:eastAsia="ru-RU"/>
        </w:rPr>
      </w:pPr>
      <w:r>
        <w:rPr>
          <w:rFonts w:eastAsia="Times New Roman"/>
          <w:szCs w:val="28"/>
          <w:lang w:val="ru-RU" w:eastAsia="ru-RU"/>
        </w:rPr>
        <w:lastRenderedPageBreak/>
        <w:t>Додаток З-3</w:t>
      </w:r>
    </w:p>
    <w:p w:rsidR="0055021D" w:rsidRPr="0055021D" w:rsidRDefault="002C5EDB" w:rsidP="0055021D">
      <w:pPr>
        <w:rPr>
          <w:rFonts w:eastAsia="Times New Roman"/>
          <w:sz w:val="24"/>
          <w:szCs w:val="24"/>
          <w:lang w:val="ru-RU" w:eastAsia="ru-RU"/>
        </w:rPr>
      </w:pPr>
      <w:r w:rsidRPr="0042698C">
        <w:rPr>
          <w:rFonts w:eastAsia="Times New Roman"/>
          <w:sz w:val="24"/>
          <w:szCs w:val="24"/>
          <w:lang w:val="ru-RU" w:eastAsia="ru-RU"/>
        </w:rPr>
        <w:object w:dxaOrig="5950" w:dyaOrig="8420">
          <v:shape id="_x0000_i1027" type="#_x0000_t75" style="width:7in;height:667.5pt" o:ole="">
            <v:imagedata r:id="rId80" o:title=""/>
          </v:shape>
          <o:OLEObject Type="Embed" ProgID="AcroExch.Document.11" ShapeID="_x0000_i1027" DrawAspect="Content" ObjectID="_1681210742" r:id="rId81"/>
        </w:object>
      </w:r>
    </w:p>
    <w:p w:rsidR="0042698C" w:rsidRDefault="0042698C" w:rsidP="0055021D">
      <w:pPr>
        <w:tabs>
          <w:tab w:val="left" w:pos="3143"/>
        </w:tabs>
        <w:rPr>
          <w:rFonts w:eastAsia="Times New Roman"/>
          <w:sz w:val="24"/>
          <w:szCs w:val="24"/>
          <w:lang w:val="ru-RU" w:eastAsia="ru-RU"/>
        </w:rPr>
      </w:pPr>
    </w:p>
    <w:p w:rsidR="001B4579" w:rsidRPr="001B4579" w:rsidRDefault="001B4579" w:rsidP="001B4579">
      <w:pPr>
        <w:pageBreakBefore/>
        <w:tabs>
          <w:tab w:val="left" w:pos="3143"/>
        </w:tabs>
        <w:jc w:val="right"/>
        <w:rPr>
          <w:rFonts w:eastAsia="Times New Roman"/>
          <w:szCs w:val="28"/>
          <w:lang w:val="ru-RU" w:eastAsia="ru-RU"/>
        </w:rPr>
      </w:pPr>
      <w:r w:rsidRPr="001B4579">
        <w:rPr>
          <w:rFonts w:eastAsia="Times New Roman"/>
          <w:szCs w:val="28"/>
          <w:lang w:val="ru-RU" w:eastAsia="ru-RU"/>
        </w:rPr>
        <w:lastRenderedPageBreak/>
        <w:t>Додаток З-4</w:t>
      </w:r>
    </w:p>
    <w:p w:rsidR="0055021D" w:rsidRPr="0055021D" w:rsidRDefault="00EE4500" w:rsidP="0055021D">
      <w:pPr>
        <w:rPr>
          <w:rFonts w:eastAsia="Times New Roman"/>
          <w:sz w:val="24"/>
          <w:szCs w:val="24"/>
          <w:lang w:val="ru-RU" w:eastAsia="ru-RU"/>
        </w:rPr>
      </w:pPr>
      <w:r>
        <w:rPr>
          <w:rFonts w:eastAsia="Times New Roman"/>
          <w:sz w:val="24"/>
          <w:szCs w:val="24"/>
          <w:lang w:val="ru-RU" w:eastAsia="ru-RU"/>
        </w:rPr>
        <w:pict>
          <v:shape id="_x0000_i1028" type="#_x0000_t75" style="width:502pt;height:656.05pt">
            <v:imagedata r:id="rId82" o:title=""/>
          </v:shape>
        </w:pict>
      </w:r>
    </w:p>
    <w:p w:rsidR="001B4579" w:rsidRDefault="001B4579" w:rsidP="0055021D">
      <w:pPr>
        <w:tabs>
          <w:tab w:val="left" w:pos="3982"/>
        </w:tabs>
        <w:rPr>
          <w:rFonts w:eastAsia="Times New Roman"/>
          <w:sz w:val="24"/>
          <w:szCs w:val="24"/>
          <w:lang w:val="ru-RU" w:eastAsia="ru-RU"/>
        </w:rPr>
      </w:pPr>
    </w:p>
    <w:p w:rsidR="001B4579" w:rsidRDefault="001B4579" w:rsidP="0055021D">
      <w:pPr>
        <w:tabs>
          <w:tab w:val="left" w:pos="3982"/>
        </w:tabs>
        <w:rPr>
          <w:rFonts w:eastAsia="Times New Roman"/>
          <w:sz w:val="24"/>
          <w:szCs w:val="24"/>
          <w:lang w:val="ru-RU" w:eastAsia="ru-RU"/>
        </w:rPr>
      </w:pPr>
    </w:p>
    <w:p w:rsidR="0055021D" w:rsidRPr="001B4579" w:rsidRDefault="001B4579" w:rsidP="001B4579">
      <w:pPr>
        <w:tabs>
          <w:tab w:val="left" w:pos="3982"/>
        </w:tabs>
        <w:jc w:val="right"/>
        <w:rPr>
          <w:rFonts w:eastAsia="Times New Roman"/>
          <w:szCs w:val="28"/>
          <w:lang w:val="ru-RU" w:eastAsia="ru-RU"/>
        </w:rPr>
      </w:pPr>
      <w:r w:rsidRPr="001B4579">
        <w:rPr>
          <w:rFonts w:eastAsia="Times New Roman"/>
          <w:szCs w:val="28"/>
          <w:lang w:val="ru-RU" w:eastAsia="ru-RU"/>
        </w:rPr>
        <w:lastRenderedPageBreak/>
        <w:t>Додаток З-5</w:t>
      </w:r>
    </w:p>
    <w:p w:rsidR="0055021D" w:rsidRPr="0055021D" w:rsidRDefault="00EE4500" w:rsidP="0042698C">
      <w:pPr>
        <w:tabs>
          <w:tab w:val="left" w:pos="1553"/>
        </w:tabs>
        <w:rPr>
          <w:rFonts w:eastAsia="Times New Roman"/>
          <w:sz w:val="24"/>
          <w:szCs w:val="24"/>
          <w:lang w:val="ru-RU" w:eastAsia="ru-RU"/>
        </w:rPr>
      </w:pPr>
      <w:r>
        <w:rPr>
          <w:rFonts w:eastAsia="Times New Roman"/>
          <w:sz w:val="24"/>
          <w:szCs w:val="24"/>
          <w:lang w:val="ru-RU" w:eastAsia="ru-RU"/>
        </w:rPr>
        <w:pict>
          <v:shape id="_x0000_i1029" type="#_x0000_t75" style="width:498.6pt;height:652.7pt">
            <v:imagedata r:id="rId83" o:title=""/>
          </v:shape>
        </w:pict>
      </w:r>
    </w:p>
    <w:p w:rsidR="0055021D" w:rsidRDefault="0055021D" w:rsidP="00880265">
      <w:pPr>
        <w:rPr>
          <w:rFonts w:eastAsia="Times New Roman"/>
          <w:szCs w:val="28"/>
          <w:lang w:val="ru-RU" w:eastAsia="ru-RU"/>
        </w:rPr>
      </w:pPr>
    </w:p>
    <w:p w:rsidR="001B4579" w:rsidRDefault="001B4579" w:rsidP="00880265">
      <w:pPr>
        <w:rPr>
          <w:rFonts w:eastAsia="Times New Roman"/>
          <w:szCs w:val="28"/>
          <w:lang w:val="ru-RU" w:eastAsia="ru-RU"/>
        </w:rPr>
      </w:pPr>
    </w:p>
    <w:p w:rsidR="001B4579" w:rsidRPr="00796964" w:rsidRDefault="001B4579" w:rsidP="001B4579">
      <w:pPr>
        <w:jc w:val="right"/>
        <w:rPr>
          <w:rFonts w:eastAsia="Times New Roman"/>
          <w:szCs w:val="28"/>
          <w:lang w:val="ru-RU" w:eastAsia="ru-RU"/>
        </w:rPr>
      </w:pPr>
      <w:r>
        <w:rPr>
          <w:rFonts w:eastAsia="Times New Roman"/>
          <w:szCs w:val="28"/>
          <w:lang w:val="ru-RU" w:eastAsia="ru-RU"/>
        </w:rPr>
        <w:lastRenderedPageBreak/>
        <w:t>Додаток З-6</w:t>
      </w:r>
    </w:p>
    <w:p w:rsidR="00BA43CE" w:rsidRDefault="00EE4500" w:rsidP="00BA43CE">
      <w:pPr>
        <w:tabs>
          <w:tab w:val="left" w:pos="1866"/>
        </w:tabs>
        <w:rPr>
          <w:rFonts w:eastAsia="Times New Roman"/>
          <w:sz w:val="24"/>
          <w:szCs w:val="24"/>
          <w:lang w:val="ru-RU" w:eastAsia="ru-RU"/>
        </w:rPr>
      </w:pPr>
      <w:r>
        <w:rPr>
          <w:rFonts w:eastAsia="Times New Roman"/>
          <w:sz w:val="24"/>
          <w:szCs w:val="24"/>
          <w:lang w:val="ru-RU" w:eastAsia="ru-RU"/>
        </w:rPr>
        <w:pict>
          <v:shape id="_x0000_i1030" type="#_x0000_t75" style="width:512.05pt;height:668.85pt">
            <v:imagedata r:id="rId84" o:title=""/>
          </v:shape>
        </w:pict>
      </w:r>
    </w:p>
    <w:p w:rsidR="00BA43CE" w:rsidRDefault="00BA43CE" w:rsidP="00BA43CE">
      <w:pPr>
        <w:tabs>
          <w:tab w:val="left" w:pos="1866"/>
        </w:tabs>
        <w:rPr>
          <w:rFonts w:eastAsia="Times New Roman"/>
          <w:sz w:val="24"/>
          <w:szCs w:val="24"/>
          <w:lang w:val="ru-RU" w:eastAsia="ru-RU"/>
        </w:rPr>
      </w:pPr>
    </w:p>
    <w:p w:rsidR="001B4579" w:rsidRPr="001B4579" w:rsidRDefault="001B4579" w:rsidP="001B4579">
      <w:pPr>
        <w:tabs>
          <w:tab w:val="left" w:pos="1866"/>
        </w:tabs>
        <w:jc w:val="right"/>
        <w:rPr>
          <w:rFonts w:eastAsia="Times New Roman"/>
          <w:szCs w:val="28"/>
          <w:lang w:val="ru-RU" w:eastAsia="ru-RU"/>
        </w:rPr>
      </w:pPr>
      <w:r w:rsidRPr="001B4579">
        <w:rPr>
          <w:rFonts w:eastAsia="Times New Roman"/>
          <w:szCs w:val="28"/>
          <w:lang w:val="ru-RU" w:eastAsia="ru-RU"/>
        </w:rPr>
        <w:lastRenderedPageBreak/>
        <w:t>Додаток З-7</w:t>
      </w:r>
    </w:p>
    <w:p w:rsidR="0055021D" w:rsidRPr="0055021D" w:rsidRDefault="00EE4500" w:rsidP="0055021D">
      <w:pPr>
        <w:rPr>
          <w:rFonts w:eastAsia="Times New Roman"/>
          <w:sz w:val="24"/>
          <w:szCs w:val="24"/>
          <w:lang w:val="ru-RU" w:eastAsia="ru-RU"/>
        </w:rPr>
      </w:pPr>
      <w:r>
        <w:rPr>
          <w:rFonts w:eastAsia="Times New Roman"/>
          <w:sz w:val="24"/>
          <w:szCs w:val="24"/>
          <w:lang w:val="ru-RU" w:eastAsia="ru-RU"/>
        </w:rPr>
        <w:pict>
          <v:shape id="_x0000_i1031" type="#_x0000_t75" style="width:512.05pt;height:658.75pt">
            <v:imagedata r:id="rId85" o:title=""/>
          </v:shape>
        </w:pict>
      </w:r>
    </w:p>
    <w:p w:rsidR="00796964" w:rsidRDefault="00796964" w:rsidP="00796964">
      <w:pPr>
        <w:tabs>
          <w:tab w:val="left" w:pos="902"/>
        </w:tabs>
        <w:rPr>
          <w:rFonts w:eastAsia="Times New Roman"/>
          <w:szCs w:val="28"/>
          <w:lang w:val="ru-RU" w:eastAsia="ru-RU"/>
        </w:rPr>
      </w:pPr>
    </w:p>
    <w:p w:rsidR="001B4579" w:rsidRDefault="001B4579" w:rsidP="001B4579">
      <w:pPr>
        <w:tabs>
          <w:tab w:val="left" w:pos="902"/>
        </w:tabs>
        <w:jc w:val="right"/>
        <w:rPr>
          <w:rFonts w:eastAsia="Times New Roman"/>
          <w:szCs w:val="28"/>
          <w:lang w:val="ru-RU" w:eastAsia="ru-RU"/>
        </w:rPr>
      </w:pPr>
      <w:r>
        <w:rPr>
          <w:rFonts w:eastAsia="Times New Roman"/>
          <w:szCs w:val="28"/>
          <w:lang w:val="ru-RU" w:eastAsia="ru-RU"/>
        </w:rPr>
        <w:lastRenderedPageBreak/>
        <w:t>Додаток З-8</w:t>
      </w:r>
    </w:p>
    <w:p w:rsidR="000929AD" w:rsidRDefault="00EE4500" w:rsidP="000929AD">
      <w:pPr>
        <w:tabs>
          <w:tab w:val="left" w:pos="3706"/>
        </w:tabs>
        <w:rPr>
          <w:rFonts w:eastAsia="Times New Roman"/>
          <w:sz w:val="24"/>
          <w:szCs w:val="24"/>
          <w:lang w:val="ru-RU" w:eastAsia="ru-RU"/>
        </w:rPr>
      </w:pPr>
      <w:r>
        <w:rPr>
          <w:rFonts w:eastAsia="Times New Roman"/>
          <w:sz w:val="24"/>
          <w:szCs w:val="24"/>
          <w:lang w:val="ru-RU" w:eastAsia="ru-RU"/>
        </w:rPr>
        <w:pict>
          <v:shape id="_x0000_i1032" type="#_x0000_t75" style="width:512.05pt;height:656.05pt">
            <v:imagedata r:id="rId86" o:title=""/>
          </v:shape>
        </w:pict>
      </w:r>
    </w:p>
    <w:p w:rsidR="007F524C" w:rsidRDefault="007F524C" w:rsidP="00880265">
      <w:pPr>
        <w:tabs>
          <w:tab w:val="left" w:pos="939"/>
        </w:tabs>
        <w:rPr>
          <w:rFonts w:eastAsia="Times New Roman"/>
          <w:szCs w:val="28"/>
          <w:lang w:val="ru-RU" w:eastAsia="ru-RU"/>
        </w:rPr>
      </w:pPr>
    </w:p>
    <w:p w:rsidR="007F524C" w:rsidRDefault="007F524C" w:rsidP="00880265">
      <w:pPr>
        <w:tabs>
          <w:tab w:val="left" w:pos="939"/>
        </w:tabs>
        <w:rPr>
          <w:rFonts w:eastAsia="Times New Roman"/>
          <w:szCs w:val="28"/>
          <w:lang w:val="ru-RU" w:eastAsia="ru-RU"/>
        </w:rPr>
      </w:pPr>
    </w:p>
    <w:p w:rsidR="0055021D" w:rsidRPr="00FE17C5" w:rsidRDefault="007F524C" w:rsidP="007F524C">
      <w:pPr>
        <w:tabs>
          <w:tab w:val="left" w:pos="939"/>
        </w:tabs>
        <w:jc w:val="right"/>
        <w:rPr>
          <w:rFonts w:eastAsia="Times New Roman"/>
          <w:szCs w:val="28"/>
          <w:lang w:val="ru-RU" w:eastAsia="ru-RU"/>
        </w:rPr>
      </w:pPr>
      <w:r>
        <w:rPr>
          <w:rFonts w:eastAsia="Times New Roman"/>
          <w:szCs w:val="28"/>
          <w:lang w:val="ru-RU" w:eastAsia="ru-RU"/>
        </w:rPr>
        <w:lastRenderedPageBreak/>
        <w:t>Додаток З-9</w:t>
      </w:r>
    </w:p>
    <w:p w:rsidR="007F524C" w:rsidRDefault="00EE4500" w:rsidP="009B50B2">
      <w:pPr>
        <w:rPr>
          <w:rFonts w:eastAsia="Times New Roman"/>
          <w:sz w:val="24"/>
          <w:szCs w:val="24"/>
          <w:lang w:val="ru-RU" w:eastAsia="ru-RU"/>
        </w:rPr>
      </w:pPr>
      <w:r>
        <w:rPr>
          <w:rFonts w:eastAsia="Times New Roman"/>
          <w:sz w:val="24"/>
          <w:szCs w:val="24"/>
          <w:lang w:val="ru-RU" w:eastAsia="ru-RU"/>
        </w:rPr>
        <w:pict>
          <v:shape id="_x0000_i1033" type="#_x0000_t75" style="width:502pt;height:658.75pt">
            <v:imagedata r:id="rId87" o:title=""/>
          </v:shape>
        </w:pict>
      </w:r>
    </w:p>
    <w:p w:rsidR="00FE17C5" w:rsidRDefault="007F524C" w:rsidP="007F524C">
      <w:pPr>
        <w:tabs>
          <w:tab w:val="left" w:pos="2983"/>
        </w:tabs>
        <w:rPr>
          <w:rFonts w:eastAsia="Times New Roman"/>
          <w:sz w:val="24"/>
          <w:szCs w:val="24"/>
          <w:lang w:val="ru-RU" w:eastAsia="ru-RU"/>
        </w:rPr>
      </w:pPr>
      <w:r>
        <w:rPr>
          <w:rFonts w:eastAsia="Times New Roman"/>
          <w:sz w:val="24"/>
          <w:szCs w:val="24"/>
          <w:lang w:val="ru-RU" w:eastAsia="ru-RU"/>
        </w:rPr>
        <w:tab/>
      </w:r>
    </w:p>
    <w:p w:rsidR="007F524C" w:rsidRDefault="007F524C" w:rsidP="007F524C">
      <w:pPr>
        <w:tabs>
          <w:tab w:val="left" w:pos="2983"/>
        </w:tabs>
        <w:rPr>
          <w:rFonts w:eastAsia="Times New Roman"/>
          <w:sz w:val="24"/>
          <w:szCs w:val="24"/>
          <w:lang w:val="ru-RU" w:eastAsia="ru-RU"/>
        </w:rPr>
      </w:pPr>
    </w:p>
    <w:p w:rsidR="007F524C" w:rsidRPr="007F524C" w:rsidRDefault="007F524C" w:rsidP="007F524C">
      <w:pPr>
        <w:tabs>
          <w:tab w:val="left" w:pos="2983"/>
        </w:tabs>
        <w:jc w:val="right"/>
        <w:rPr>
          <w:rFonts w:eastAsia="Times New Roman"/>
          <w:szCs w:val="28"/>
          <w:lang w:val="ru-RU" w:eastAsia="ru-RU"/>
        </w:rPr>
      </w:pPr>
      <w:r w:rsidRPr="007F524C">
        <w:rPr>
          <w:rFonts w:eastAsia="Times New Roman"/>
          <w:szCs w:val="28"/>
          <w:lang w:val="ru-RU" w:eastAsia="ru-RU"/>
        </w:rPr>
        <w:lastRenderedPageBreak/>
        <w:t>Додаток З-10</w:t>
      </w:r>
    </w:p>
    <w:p w:rsidR="00FE17C5" w:rsidRPr="00FE17C5" w:rsidRDefault="00EE4500" w:rsidP="00FE17C5">
      <w:pPr>
        <w:tabs>
          <w:tab w:val="left" w:pos="3068"/>
        </w:tabs>
        <w:rPr>
          <w:rFonts w:eastAsia="Times New Roman"/>
          <w:sz w:val="24"/>
          <w:szCs w:val="24"/>
          <w:lang w:val="ru-RU" w:eastAsia="ru-RU"/>
        </w:rPr>
      </w:pPr>
      <w:r>
        <w:rPr>
          <w:rFonts w:eastAsia="Times New Roman"/>
          <w:sz w:val="24"/>
          <w:szCs w:val="24"/>
          <w:lang w:val="ru-RU" w:eastAsia="ru-RU"/>
        </w:rPr>
        <w:pict>
          <v:shape id="_x0000_i1034" type="#_x0000_t75" style="width:506.7pt;height:649.35pt">
            <v:imagedata r:id="rId88" o:title=""/>
          </v:shape>
        </w:pict>
      </w:r>
    </w:p>
    <w:p w:rsidR="00FE17C5" w:rsidRDefault="00FE17C5" w:rsidP="00FE17C5">
      <w:pPr>
        <w:tabs>
          <w:tab w:val="left" w:pos="889"/>
        </w:tabs>
        <w:jc w:val="right"/>
        <w:rPr>
          <w:rFonts w:eastAsia="Times New Roman"/>
          <w:szCs w:val="28"/>
          <w:lang w:val="ru-RU" w:eastAsia="ru-RU"/>
        </w:rPr>
      </w:pPr>
    </w:p>
    <w:p w:rsidR="007F524C" w:rsidRDefault="007F524C" w:rsidP="00FE17C5">
      <w:pPr>
        <w:tabs>
          <w:tab w:val="left" w:pos="889"/>
        </w:tabs>
        <w:jc w:val="right"/>
        <w:rPr>
          <w:rFonts w:eastAsia="Times New Roman"/>
          <w:szCs w:val="28"/>
          <w:lang w:val="ru-RU" w:eastAsia="ru-RU"/>
        </w:rPr>
      </w:pPr>
    </w:p>
    <w:p w:rsidR="007F524C" w:rsidRPr="007F524C" w:rsidRDefault="007F524C" w:rsidP="00FE17C5">
      <w:pPr>
        <w:tabs>
          <w:tab w:val="left" w:pos="889"/>
        </w:tabs>
        <w:jc w:val="right"/>
        <w:rPr>
          <w:rFonts w:eastAsia="Times New Roman"/>
          <w:szCs w:val="28"/>
          <w:lang w:val="ru-RU" w:eastAsia="ru-RU"/>
        </w:rPr>
      </w:pPr>
      <w:r w:rsidRPr="007F524C">
        <w:rPr>
          <w:rFonts w:eastAsia="Times New Roman"/>
          <w:szCs w:val="28"/>
          <w:lang w:val="ru-RU" w:eastAsia="ru-RU"/>
        </w:rPr>
        <w:lastRenderedPageBreak/>
        <w:t>Додаток З-11</w:t>
      </w:r>
    </w:p>
    <w:p w:rsidR="0055021D" w:rsidRPr="0055021D" w:rsidRDefault="00EE4500" w:rsidP="0055021D">
      <w:pPr>
        <w:rPr>
          <w:rFonts w:eastAsia="Times New Roman"/>
          <w:sz w:val="24"/>
          <w:szCs w:val="24"/>
          <w:lang w:val="ru-RU" w:eastAsia="ru-RU"/>
        </w:rPr>
      </w:pPr>
      <w:r>
        <w:rPr>
          <w:rFonts w:eastAsia="Times New Roman"/>
          <w:sz w:val="24"/>
          <w:szCs w:val="24"/>
          <w:lang w:val="ru-RU" w:eastAsia="ru-RU"/>
        </w:rPr>
        <w:pict>
          <v:shape id="_x0000_i1035" type="#_x0000_t75" style="width:511.4pt;height:645.3pt">
            <v:imagedata r:id="rId89" o:title=""/>
          </v:shape>
        </w:pict>
      </w:r>
    </w:p>
    <w:p w:rsidR="00FE17C5" w:rsidRDefault="00FE17C5" w:rsidP="00FE17C5">
      <w:pPr>
        <w:rPr>
          <w:rFonts w:eastAsia="Times New Roman"/>
          <w:szCs w:val="28"/>
          <w:lang w:val="ru-RU" w:eastAsia="ru-RU"/>
        </w:rPr>
      </w:pPr>
    </w:p>
    <w:p w:rsidR="007F524C" w:rsidRDefault="007F524C" w:rsidP="00FE17C5">
      <w:pPr>
        <w:rPr>
          <w:rFonts w:eastAsia="Times New Roman"/>
          <w:szCs w:val="28"/>
          <w:lang w:val="ru-RU" w:eastAsia="ru-RU"/>
        </w:rPr>
      </w:pPr>
    </w:p>
    <w:p w:rsidR="007F524C" w:rsidRDefault="007F524C" w:rsidP="007F524C">
      <w:pPr>
        <w:jc w:val="right"/>
        <w:rPr>
          <w:rFonts w:eastAsia="Times New Roman"/>
          <w:szCs w:val="28"/>
          <w:lang w:val="ru-RU" w:eastAsia="ru-RU"/>
        </w:rPr>
      </w:pPr>
      <w:r>
        <w:rPr>
          <w:rFonts w:eastAsia="Times New Roman"/>
          <w:szCs w:val="28"/>
          <w:lang w:val="ru-RU" w:eastAsia="ru-RU"/>
        </w:rPr>
        <w:lastRenderedPageBreak/>
        <w:t>Додаток З-12</w:t>
      </w:r>
    </w:p>
    <w:p w:rsidR="0042698C" w:rsidRDefault="00EE4500" w:rsidP="006944A1">
      <w:pPr>
        <w:tabs>
          <w:tab w:val="left" w:pos="3807"/>
        </w:tabs>
        <w:rPr>
          <w:rFonts w:eastAsia="Times New Roman"/>
          <w:sz w:val="24"/>
          <w:szCs w:val="24"/>
          <w:lang w:val="ru-RU" w:eastAsia="ru-RU"/>
        </w:rPr>
      </w:pPr>
      <w:r>
        <w:rPr>
          <w:rFonts w:eastAsia="Times New Roman"/>
          <w:sz w:val="24"/>
          <w:szCs w:val="24"/>
          <w:lang w:val="ru-RU" w:eastAsia="ru-RU"/>
        </w:rPr>
        <w:pict>
          <v:shape id="_x0000_i1036" type="#_x0000_t75" style="width:502pt;height:668.85pt">
            <v:imagedata r:id="rId90" o:title=""/>
          </v:shape>
        </w:pict>
      </w:r>
    </w:p>
    <w:p w:rsidR="007F524C" w:rsidRDefault="0042698C" w:rsidP="0042698C">
      <w:pPr>
        <w:tabs>
          <w:tab w:val="left" w:pos="7501"/>
        </w:tabs>
        <w:rPr>
          <w:rFonts w:eastAsia="Times New Roman"/>
          <w:sz w:val="24"/>
          <w:szCs w:val="24"/>
          <w:lang w:val="ru-RU" w:eastAsia="ru-RU"/>
        </w:rPr>
      </w:pPr>
      <w:r>
        <w:rPr>
          <w:rFonts w:eastAsia="Times New Roman"/>
          <w:sz w:val="24"/>
          <w:szCs w:val="24"/>
          <w:lang w:val="ru-RU" w:eastAsia="ru-RU"/>
        </w:rPr>
        <w:tab/>
      </w:r>
    </w:p>
    <w:p w:rsidR="0042698C" w:rsidRPr="007F524C" w:rsidRDefault="007F524C" w:rsidP="007F524C">
      <w:pPr>
        <w:tabs>
          <w:tab w:val="left" w:pos="7501"/>
        </w:tabs>
        <w:jc w:val="right"/>
        <w:rPr>
          <w:rFonts w:eastAsia="Times New Roman"/>
          <w:szCs w:val="28"/>
          <w:lang w:val="ru-RU" w:eastAsia="ru-RU"/>
        </w:rPr>
      </w:pPr>
      <w:r w:rsidRPr="007F524C">
        <w:rPr>
          <w:rFonts w:eastAsia="Times New Roman"/>
          <w:szCs w:val="28"/>
          <w:lang w:val="ru-RU" w:eastAsia="ru-RU"/>
        </w:rPr>
        <w:lastRenderedPageBreak/>
        <w:t>Додаток З-13</w:t>
      </w:r>
      <w:r w:rsidR="0042698C" w:rsidRPr="007F524C">
        <w:rPr>
          <w:rFonts w:eastAsia="Times New Roman"/>
          <w:szCs w:val="28"/>
          <w:lang w:val="ru-RU" w:eastAsia="ru-RU"/>
        </w:rPr>
        <w:t xml:space="preserve">         </w:t>
      </w:r>
      <w:r w:rsidR="005A0008" w:rsidRPr="007F524C">
        <w:rPr>
          <w:rFonts w:eastAsia="Times New Roman"/>
          <w:szCs w:val="28"/>
          <w:lang w:val="ru-RU" w:eastAsia="ru-RU"/>
        </w:rPr>
        <w:t xml:space="preserve">       </w:t>
      </w:r>
    </w:p>
    <w:p w:rsidR="0055021D" w:rsidRPr="0055021D" w:rsidRDefault="00EE4500" w:rsidP="0055021D">
      <w:pPr>
        <w:jc w:val="right"/>
        <w:rPr>
          <w:rFonts w:eastAsia="Times New Roman"/>
          <w:szCs w:val="28"/>
          <w:lang w:val="ru-RU" w:eastAsia="ru-RU"/>
        </w:rPr>
      </w:pPr>
      <w:r>
        <w:rPr>
          <w:rFonts w:eastAsia="Times New Roman"/>
          <w:szCs w:val="28"/>
          <w:lang w:val="ru-RU" w:eastAsia="ru-RU"/>
        </w:rPr>
        <w:pict>
          <v:shape id="_x0000_i1037" type="#_x0000_t75" style="width:490.55pt;height:674.25pt">
            <v:imagedata r:id="rId91" o:title=""/>
          </v:shape>
        </w:pict>
      </w:r>
    </w:p>
    <w:sectPr w:rsidR="0055021D" w:rsidRPr="0055021D" w:rsidSect="00E242B0">
      <w:pgSz w:w="11906" w:h="16838"/>
      <w:pgMar w:top="1134" w:right="567"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64C71" w:rsidRDefault="00D64C71">
      <w:pPr>
        <w:spacing w:line="240" w:lineRule="auto"/>
      </w:pPr>
      <w:r>
        <w:separator/>
      </w:r>
    </w:p>
  </w:endnote>
  <w:endnote w:type="continuationSeparator" w:id="0">
    <w:p w:rsidR="00D64C71" w:rsidRDefault="00D64C7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00006FF" w:usb1="4000205B" w:usb2="00000010" w:usb3="00000000" w:csb0="0000019F" w:csb1="00000000"/>
  </w:font>
  <w:font w:name="Times New Roman CYR">
    <w:panose1 w:val="02020603050405020304"/>
    <w:charset w:val="CC"/>
    <w:family w:val="roman"/>
    <w:pitch w:val="variable"/>
    <w:sig w:usb0="E0002EFF" w:usb1="C000785B" w:usb2="00000009" w:usb3="00000000" w:csb0="000001FF" w:csb1="00000000"/>
  </w:font>
  <w:font w:name="SchoolBook">
    <w:altName w:val="Arial"/>
    <w:panose1 w:val="00000000000000000000"/>
    <w:charset w:val="00"/>
    <w:family w:val="swiss"/>
    <w:notTrueType/>
    <w:pitch w:val="variable"/>
    <w:sig w:usb0="00000003" w:usb1="00000000" w:usb2="00000000" w:usb3="00000000" w:csb0="00000001" w:csb1="00000000"/>
  </w:font>
  <w:font w:name="Antiqua">
    <w:panose1 w:val="00000000000000000000"/>
    <w:charset w:val="00"/>
    <w:family w:val="roman"/>
    <w:notTrueType/>
    <w:pitch w:val="default"/>
  </w:font>
  <w:font w:name="MS Mincho">
    <w:altName w:val="MS Gothic"/>
    <w:panose1 w:val="02020609040205080304"/>
    <w:charset w:val="80"/>
    <w:family w:val="roman"/>
    <w:notTrueType/>
    <w:pitch w:val="fixed"/>
    <w:sig w:usb0="00000000" w:usb1="08070000" w:usb2="00000010" w:usb3="00000000" w:csb0="00020000" w:csb1="00000000"/>
  </w:font>
  <w:font w:name="Baltica">
    <w:altName w:val="Times New Roman"/>
    <w:charset w:val="00"/>
    <w:family w:val="auto"/>
    <w:pitch w:val="variable"/>
    <w:sig w:usb0="00000003" w:usb1="00000000" w:usb2="00000000" w:usb3="00000000" w:csb0="00000001" w:csb1="00000000"/>
  </w:font>
  <w:font w:name="Franklin Gothic Medium">
    <w:panose1 w:val="020B0603020102020204"/>
    <w:charset w:val="CC"/>
    <w:family w:val="swiss"/>
    <w:pitch w:val="variable"/>
    <w:sig w:usb0="00000287" w:usb1="00000000" w:usb2="00000000" w:usb3="00000000" w:csb0="0000009F" w:csb1="00000000"/>
  </w:font>
  <w:font w:name="UkrainianPeterburg">
    <w:altName w:val="Courier New"/>
    <w:panose1 w:val="00000000000000000000"/>
    <w:charset w:val="00"/>
    <w:family w:val="roman"/>
    <w:notTrueType/>
    <w:pitch w:val="variable"/>
    <w:sig w:usb0="00000003" w:usb1="00000000" w:usb2="00000000" w:usb3="00000000" w:csb0="00000001" w:csb1="00000000"/>
  </w:font>
  <w:font w:name="Cambria">
    <w:panose1 w:val="02040503050406030204"/>
    <w:charset w:val="CC"/>
    <w:family w:val="roman"/>
    <w:pitch w:val="variable"/>
    <w:sig w:usb0="E00006FF" w:usb1="420024FF" w:usb2="02000000" w:usb3="00000000" w:csb0="0000019F" w:csb1="00000000"/>
  </w:font>
  <w:font w:name="Segoe UI">
    <w:panose1 w:val="020B0502040204020203"/>
    <w:charset w:val="CC"/>
    <w:family w:val="swiss"/>
    <w:pitch w:val="variable"/>
    <w:sig w:usb0="E4002EFF" w:usb1="C000E47F" w:usb2="00000009" w:usb3="00000000" w:csb0="000001FF" w:csb1="00000000"/>
  </w:font>
  <w:font w:name="Batang">
    <w:altName w:val="바탕"/>
    <w:panose1 w:val="02030600000101010101"/>
    <w:charset w:val="81"/>
    <w:family w:val="auto"/>
    <w:notTrueType/>
    <w:pitch w:val="fixed"/>
    <w:sig w:usb0="00000001" w:usb1="09060000" w:usb2="00000010" w:usb3="00000000" w:csb0="00080000"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NewtonC-Bold">
    <w:altName w:val="MS Mincho"/>
    <w:panose1 w:val="00000000000000000000"/>
    <w:charset w:val="80"/>
    <w:family w:val="auto"/>
    <w:notTrueType/>
    <w:pitch w:val="default"/>
    <w:sig w:usb0="00000001" w:usb1="08070000" w:usb2="00000010" w:usb3="00000000" w:csb0="00020000" w:csb1="00000000"/>
  </w:font>
  <w:font w:name="Cambria Math">
    <w:panose1 w:val="02040503050406030204"/>
    <w:charset w:val="CC"/>
    <w:family w:val="roman"/>
    <w:pitch w:val="variable"/>
    <w:sig w:usb0="E00006FF" w:usb1="420024FF" w:usb2="02000000" w:usb3="00000000" w:csb0="0000019F" w:csb1="00000000"/>
  </w:font>
  <w:font w:name="ProbaPro">
    <w:altName w:val="Times New Roman"/>
    <w:panose1 w:val="00000000000000000000"/>
    <w:charset w:val="00"/>
    <w:family w:val="roman"/>
    <w:notTrueType/>
    <w:pitch w:val="default"/>
  </w:font>
  <w:font w:name="Calibri Light">
    <w:panose1 w:val="020F0302020204030204"/>
    <w:charset w:val="CC"/>
    <w:family w:val="swiss"/>
    <w:pitch w:val="variable"/>
    <w:sig w:usb0="E4002EFF" w:usb1="C000247B" w:usb2="00000009" w:usb3="00000000" w:csb0="000001FF" w:csb1="00000000"/>
  </w:font>
  <w:font w:name="TimesNewRomanPSMT">
    <w:altName w:val="MS Mincho"/>
    <w:panose1 w:val="00000000000000000000"/>
    <w:charset w:val="80"/>
    <w:family w:val="auto"/>
    <w:notTrueType/>
    <w:pitch w:val="default"/>
    <w:sig w:usb0="00000283" w:usb1="08070000" w:usb2="00000010" w:usb3="00000000" w:csb0="0002000D"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64C71" w:rsidRDefault="00D64C71">
      <w:pPr>
        <w:spacing w:line="240" w:lineRule="auto"/>
      </w:pPr>
      <w:r>
        <w:separator/>
      </w:r>
    </w:p>
  </w:footnote>
  <w:footnote w:type="continuationSeparator" w:id="0">
    <w:p w:rsidR="00D64C71" w:rsidRDefault="00D64C71">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25357062"/>
      <w:docPartObj>
        <w:docPartGallery w:val="Page Numbers (Top of Page)"/>
        <w:docPartUnique/>
      </w:docPartObj>
    </w:sdtPr>
    <w:sdtEndPr>
      <w:rPr>
        <w:rFonts w:ascii="Times New Roman" w:hAnsi="Times New Roman" w:cs="Times New Roman"/>
        <w:sz w:val="24"/>
        <w:szCs w:val="24"/>
      </w:rPr>
    </w:sdtEndPr>
    <w:sdtContent>
      <w:p w:rsidR="001E1DF5" w:rsidRPr="00F37592" w:rsidRDefault="001E1DF5" w:rsidP="00F37592">
        <w:pPr>
          <w:pStyle w:val="ab"/>
          <w:jc w:val="right"/>
          <w:rPr>
            <w:rFonts w:ascii="Times New Roman" w:hAnsi="Times New Roman" w:cs="Times New Roman"/>
            <w:sz w:val="24"/>
            <w:szCs w:val="24"/>
          </w:rPr>
        </w:pPr>
        <w:r w:rsidRPr="0070084B">
          <w:rPr>
            <w:rFonts w:ascii="Times New Roman" w:hAnsi="Times New Roman" w:cs="Times New Roman"/>
            <w:sz w:val="24"/>
            <w:szCs w:val="24"/>
          </w:rPr>
          <w:fldChar w:fldCharType="begin"/>
        </w:r>
        <w:r w:rsidRPr="0070084B">
          <w:rPr>
            <w:rFonts w:ascii="Times New Roman" w:hAnsi="Times New Roman" w:cs="Times New Roman"/>
            <w:sz w:val="24"/>
            <w:szCs w:val="24"/>
          </w:rPr>
          <w:instrText>PAGE   \* MERGEFORMAT</w:instrText>
        </w:r>
        <w:r w:rsidRPr="0070084B">
          <w:rPr>
            <w:rFonts w:ascii="Times New Roman" w:hAnsi="Times New Roman" w:cs="Times New Roman"/>
            <w:sz w:val="24"/>
            <w:szCs w:val="24"/>
          </w:rPr>
          <w:fldChar w:fldCharType="separate"/>
        </w:r>
        <w:r w:rsidR="00CE3341" w:rsidRPr="00CE3341">
          <w:rPr>
            <w:rFonts w:ascii="Times New Roman" w:hAnsi="Times New Roman" w:cs="Times New Roman"/>
            <w:noProof/>
            <w:sz w:val="24"/>
            <w:szCs w:val="24"/>
            <w:lang w:val="ru-RU"/>
          </w:rPr>
          <w:t>22</w:t>
        </w:r>
        <w:r w:rsidRPr="0070084B">
          <w:rPr>
            <w:rFonts w:ascii="Times New Roman" w:hAnsi="Times New Roman" w:cs="Times New Roman"/>
            <w:sz w:val="24"/>
            <w:szCs w:val="24"/>
          </w:rP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28700F"/>
    <w:multiLevelType w:val="hybridMultilevel"/>
    <w:tmpl w:val="0EFA0B74"/>
    <w:lvl w:ilvl="0" w:tplc="43F800B8">
      <w:start w:val="3"/>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
    <w:nsid w:val="06522CAE"/>
    <w:multiLevelType w:val="hybridMultilevel"/>
    <w:tmpl w:val="E6DABDFE"/>
    <w:lvl w:ilvl="0" w:tplc="72989DD2">
      <w:numFmt w:val="bullet"/>
      <w:lvlText w:val="-"/>
      <w:lvlJc w:val="left"/>
      <w:pPr>
        <w:ind w:left="1211" w:hanging="360"/>
      </w:pPr>
      <w:rPr>
        <w:rFonts w:ascii="Calibri" w:eastAsiaTheme="minorHAnsi" w:hAnsi="Calibri" w:cs="Calibri" w:hint="default"/>
        <w:color w:val="auto"/>
      </w:rPr>
    </w:lvl>
    <w:lvl w:ilvl="1" w:tplc="04190003" w:tentative="1">
      <w:start w:val="1"/>
      <w:numFmt w:val="bullet"/>
      <w:lvlText w:val="o"/>
      <w:lvlJc w:val="left"/>
      <w:pPr>
        <w:ind w:left="1931" w:hanging="360"/>
      </w:pPr>
      <w:rPr>
        <w:rFonts w:ascii="Courier New" w:hAnsi="Courier New" w:cs="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cs="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cs="Courier New" w:hint="default"/>
      </w:rPr>
    </w:lvl>
    <w:lvl w:ilvl="8" w:tplc="04190005" w:tentative="1">
      <w:start w:val="1"/>
      <w:numFmt w:val="bullet"/>
      <w:lvlText w:val=""/>
      <w:lvlJc w:val="left"/>
      <w:pPr>
        <w:ind w:left="6971" w:hanging="360"/>
      </w:pPr>
      <w:rPr>
        <w:rFonts w:ascii="Wingdings" w:hAnsi="Wingdings" w:hint="default"/>
      </w:rPr>
    </w:lvl>
  </w:abstractNum>
  <w:abstractNum w:abstractNumId="2">
    <w:nsid w:val="06E95AE0"/>
    <w:multiLevelType w:val="hybridMultilevel"/>
    <w:tmpl w:val="1AB2A2EA"/>
    <w:lvl w:ilvl="0" w:tplc="B002EBFC">
      <w:start w:val="2"/>
      <w:numFmt w:val="bullet"/>
      <w:lvlText w:val="-"/>
      <w:lvlJc w:val="left"/>
      <w:pPr>
        <w:ind w:left="1428" w:hanging="360"/>
      </w:pPr>
      <w:rPr>
        <w:rFonts w:ascii="Times New Roman" w:eastAsia="Calibri" w:hAnsi="Times New Roman" w:cs="Times New Roman"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3">
    <w:nsid w:val="0D603C04"/>
    <w:multiLevelType w:val="hybridMultilevel"/>
    <w:tmpl w:val="36A48900"/>
    <w:lvl w:ilvl="0" w:tplc="EDE87652">
      <w:start w:val="1"/>
      <w:numFmt w:val="bullet"/>
      <w:lvlText w:val="–"/>
      <w:lvlJc w:val="left"/>
      <w:pPr>
        <w:ind w:left="1440" w:hanging="360"/>
      </w:pPr>
      <w:rPr>
        <w:rFonts w:ascii="Times New Roman" w:hAnsi="Times New Roman" w:cs="Times New Roman"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4">
    <w:nsid w:val="130A2A2F"/>
    <w:multiLevelType w:val="hybridMultilevel"/>
    <w:tmpl w:val="020AAD04"/>
    <w:lvl w:ilvl="0" w:tplc="012AEB9A">
      <w:start w:val="11"/>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nsid w:val="14A65E5F"/>
    <w:multiLevelType w:val="hybridMultilevel"/>
    <w:tmpl w:val="7AF0A738"/>
    <w:lvl w:ilvl="0" w:tplc="9272C442">
      <w:start w:val="1"/>
      <w:numFmt w:val="decimal"/>
      <w:lvlText w:val="%1."/>
      <w:lvlJc w:val="left"/>
      <w:pPr>
        <w:ind w:left="502" w:hanging="360"/>
      </w:pPr>
      <w:rPr>
        <w:rFonts w:hint="default"/>
        <w:b w:val="0"/>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15EC3D51"/>
    <w:multiLevelType w:val="hybridMultilevel"/>
    <w:tmpl w:val="F704EC3E"/>
    <w:lvl w:ilvl="0" w:tplc="305A3746">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7">
    <w:nsid w:val="18BE5932"/>
    <w:multiLevelType w:val="hybridMultilevel"/>
    <w:tmpl w:val="87AE8E08"/>
    <w:lvl w:ilvl="0" w:tplc="04190001">
      <w:start w:val="1"/>
      <w:numFmt w:val="bullet"/>
      <w:lvlText w:val=""/>
      <w:lvlJc w:val="left"/>
      <w:pPr>
        <w:tabs>
          <w:tab w:val="num" w:pos="720"/>
        </w:tabs>
        <w:ind w:left="720" w:hanging="360"/>
      </w:pPr>
      <w:rPr>
        <w:rFonts w:ascii="Symbol" w:hAnsi="Symbol" w:hint="default"/>
      </w:rPr>
    </w:lvl>
    <w:lvl w:ilvl="1" w:tplc="5C56E414">
      <w:start w:val="1"/>
      <w:numFmt w:val="decimal"/>
      <w:lvlText w:val="%2."/>
      <w:lvlJc w:val="left"/>
      <w:pPr>
        <w:ind w:left="1789" w:hanging="360"/>
      </w:pPr>
      <w:rPr>
        <w:rFonts w:hint="default"/>
      </w:rPr>
    </w:lvl>
    <w:lvl w:ilvl="2" w:tplc="0419001B" w:tentative="1">
      <w:start w:val="1"/>
      <w:numFmt w:val="lowerRoman"/>
      <w:lvlText w:val="%3."/>
      <w:lvlJc w:val="right"/>
      <w:pPr>
        <w:tabs>
          <w:tab w:val="num" w:pos="2509"/>
        </w:tabs>
        <w:ind w:left="2509" w:hanging="180"/>
      </w:pPr>
    </w:lvl>
    <w:lvl w:ilvl="3" w:tplc="0419000F" w:tentative="1">
      <w:start w:val="1"/>
      <w:numFmt w:val="decimal"/>
      <w:lvlText w:val="%4."/>
      <w:lvlJc w:val="left"/>
      <w:pPr>
        <w:tabs>
          <w:tab w:val="num" w:pos="3229"/>
        </w:tabs>
        <w:ind w:left="3229" w:hanging="360"/>
      </w:pPr>
    </w:lvl>
    <w:lvl w:ilvl="4" w:tplc="04190019" w:tentative="1">
      <w:start w:val="1"/>
      <w:numFmt w:val="lowerLetter"/>
      <w:lvlText w:val="%5."/>
      <w:lvlJc w:val="left"/>
      <w:pPr>
        <w:tabs>
          <w:tab w:val="num" w:pos="3949"/>
        </w:tabs>
        <w:ind w:left="3949" w:hanging="360"/>
      </w:pPr>
    </w:lvl>
    <w:lvl w:ilvl="5" w:tplc="0419001B" w:tentative="1">
      <w:start w:val="1"/>
      <w:numFmt w:val="lowerRoman"/>
      <w:lvlText w:val="%6."/>
      <w:lvlJc w:val="right"/>
      <w:pPr>
        <w:tabs>
          <w:tab w:val="num" w:pos="4669"/>
        </w:tabs>
        <w:ind w:left="4669" w:hanging="180"/>
      </w:pPr>
    </w:lvl>
    <w:lvl w:ilvl="6" w:tplc="0419000F" w:tentative="1">
      <w:start w:val="1"/>
      <w:numFmt w:val="decimal"/>
      <w:lvlText w:val="%7."/>
      <w:lvlJc w:val="left"/>
      <w:pPr>
        <w:tabs>
          <w:tab w:val="num" w:pos="5389"/>
        </w:tabs>
        <w:ind w:left="5389" w:hanging="360"/>
      </w:pPr>
    </w:lvl>
    <w:lvl w:ilvl="7" w:tplc="04190019" w:tentative="1">
      <w:start w:val="1"/>
      <w:numFmt w:val="lowerLetter"/>
      <w:lvlText w:val="%8."/>
      <w:lvlJc w:val="left"/>
      <w:pPr>
        <w:tabs>
          <w:tab w:val="num" w:pos="6109"/>
        </w:tabs>
        <w:ind w:left="6109" w:hanging="360"/>
      </w:pPr>
    </w:lvl>
    <w:lvl w:ilvl="8" w:tplc="0419001B" w:tentative="1">
      <w:start w:val="1"/>
      <w:numFmt w:val="lowerRoman"/>
      <w:lvlText w:val="%9."/>
      <w:lvlJc w:val="right"/>
      <w:pPr>
        <w:tabs>
          <w:tab w:val="num" w:pos="6829"/>
        </w:tabs>
        <w:ind w:left="6829" w:hanging="180"/>
      </w:pPr>
    </w:lvl>
  </w:abstractNum>
  <w:abstractNum w:abstractNumId="8">
    <w:nsid w:val="18D00E31"/>
    <w:multiLevelType w:val="hybridMultilevel"/>
    <w:tmpl w:val="2874738A"/>
    <w:lvl w:ilvl="0" w:tplc="76F40B06">
      <w:start w:val="25"/>
      <w:numFmt w:val="bullet"/>
      <w:lvlText w:val="-"/>
      <w:lvlJc w:val="left"/>
      <w:pPr>
        <w:ind w:left="1050" w:hanging="360"/>
      </w:pPr>
      <w:rPr>
        <w:rFonts w:ascii="Times New Roman" w:eastAsia="Calibri" w:hAnsi="Times New Roman" w:cs="Times New Roman" w:hint="default"/>
      </w:rPr>
    </w:lvl>
    <w:lvl w:ilvl="1" w:tplc="04190003" w:tentative="1">
      <w:start w:val="1"/>
      <w:numFmt w:val="bullet"/>
      <w:lvlText w:val="o"/>
      <w:lvlJc w:val="left"/>
      <w:pPr>
        <w:ind w:left="1770" w:hanging="360"/>
      </w:pPr>
      <w:rPr>
        <w:rFonts w:ascii="Courier New" w:hAnsi="Courier New" w:cs="Courier New" w:hint="default"/>
      </w:rPr>
    </w:lvl>
    <w:lvl w:ilvl="2" w:tplc="04190005" w:tentative="1">
      <w:start w:val="1"/>
      <w:numFmt w:val="bullet"/>
      <w:lvlText w:val=""/>
      <w:lvlJc w:val="left"/>
      <w:pPr>
        <w:ind w:left="2490" w:hanging="360"/>
      </w:pPr>
      <w:rPr>
        <w:rFonts w:ascii="Wingdings" w:hAnsi="Wingdings" w:hint="default"/>
      </w:rPr>
    </w:lvl>
    <w:lvl w:ilvl="3" w:tplc="04190001" w:tentative="1">
      <w:start w:val="1"/>
      <w:numFmt w:val="bullet"/>
      <w:lvlText w:val=""/>
      <w:lvlJc w:val="left"/>
      <w:pPr>
        <w:ind w:left="3210" w:hanging="360"/>
      </w:pPr>
      <w:rPr>
        <w:rFonts w:ascii="Symbol" w:hAnsi="Symbol" w:hint="default"/>
      </w:rPr>
    </w:lvl>
    <w:lvl w:ilvl="4" w:tplc="04190003" w:tentative="1">
      <w:start w:val="1"/>
      <w:numFmt w:val="bullet"/>
      <w:lvlText w:val="o"/>
      <w:lvlJc w:val="left"/>
      <w:pPr>
        <w:ind w:left="3930" w:hanging="360"/>
      </w:pPr>
      <w:rPr>
        <w:rFonts w:ascii="Courier New" w:hAnsi="Courier New" w:cs="Courier New" w:hint="default"/>
      </w:rPr>
    </w:lvl>
    <w:lvl w:ilvl="5" w:tplc="04190005" w:tentative="1">
      <w:start w:val="1"/>
      <w:numFmt w:val="bullet"/>
      <w:lvlText w:val=""/>
      <w:lvlJc w:val="left"/>
      <w:pPr>
        <w:ind w:left="4650" w:hanging="360"/>
      </w:pPr>
      <w:rPr>
        <w:rFonts w:ascii="Wingdings" w:hAnsi="Wingdings" w:hint="default"/>
      </w:rPr>
    </w:lvl>
    <w:lvl w:ilvl="6" w:tplc="04190001" w:tentative="1">
      <w:start w:val="1"/>
      <w:numFmt w:val="bullet"/>
      <w:lvlText w:val=""/>
      <w:lvlJc w:val="left"/>
      <w:pPr>
        <w:ind w:left="5370" w:hanging="360"/>
      </w:pPr>
      <w:rPr>
        <w:rFonts w:ascii="Symbol" w:hAnsi="Symbol" w:hint="default"/>
      </w:rPr>
    </w:lvl>
    <w:lvl w:ilvl="7" w:tplc="04190003" w:tentative="1">
      <w:start w:val="1"/>
      <w:numFmt w:val="bullet"/>
      <w:lvlText w:val="o"/>
      <w:lvlJc w:val="left"/>
      <w:pPr>
        <w:ind w:left="6090" w:hanging="360"/>
      </w:pPr>
      <w:rPr>
        <w:rFonts w:ascii="Courier New" w:hAnsi="Courier New" w:cs="Courier New" w:hint="default"/>
      </w:rPr>
    </w:lvl>
    <w:lvl w:ilvl="8" w:tplc="04190005" w:tentative="1">
      <w:start w:val="1"/>
      <w:numFmt w:val="bullet"/>
      <w:lvlText w:val=""/>
      <w:lvlJc w:val="left"/>
      <w:pPr>
        <w:ind w:left="6810" w:hanging="360"/>
      </w:pPr>
      <w:rPr>
        <w:rFonts w:ascii="Wingdings" w:hAnsi="Wingdings" w:hint="default"/>
      </w:rPr>
    </w:lvl>
  </w:abstractNum>
  <w:abstractNum w:abstractNumId="9">
    <w:nsid w:val="1D615117"/>
    <w:multiLevelType w:val="hybridMultilevel"/>
    <w:tmpl w:val="5798C730"/>
    <w:lvl w:ilvl="0" w:tplc="FFE0CA88">
      <w:start w:val="1"/>
      <w:numFmt w:val="upperRoman"/>
      <w:lvlText w:val="%1."/>
      <w:lvlJc w:val="left"/>
      <w:pPr>
        <w:ind w:left="720" w:hanging="360"/>
      </w:pPr>
      <w:rPr>
        <w:rFonts w:ascii="Times New Roman" w:eastAsiaTheme="minorHAnsi" w:hAnsi="Times New Roman" w:cs="Times New Roman" w:hint="default"/>
        <w:color w:val="auto"/>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0">
    <w:nsid w:val="20DE2785"/>
    <w:multiLevelType w:val="hybridMultilevel"/>
    <w:tmpl w:val="9D344DFA"/>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nsid w:val="23121103"/>
    <w:multiLevelType w:val="hybridMultilevel"/>
    <w:tmpl w:val="7AF0A738"/>
    <w:lvl w:ilvl="0" w:tplc="9272C442">
      <w:start w:val="1"/>
      <w:numFmt w:val="decimal"/>
      <w:lvlText w:val="%1."/>
      <w:lvlJc w:val="left"/>
      <w:pPr>
        <w:ind w:left="502" w:hanging="360"/>
      </w:pPr>
      <w:rPr>
        <w:rFonts w:hint="default"/>
        <w:b w:val="0"/>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23693B64"/>
    <w:multiLevelType w:val="hybridMultilevel"/>
    <w:tmpl w:val="6D6078D4"/>
    <w:lvl w:ilvl="0" w:tplc="D08E956E">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
    <w:nsid w:val="23983738"/>
    <w:multiLevelType w:val="hybridMultilevel"/>
    <w:tmpl w:val="76146364"/>
    <w:lvl w:ilvl="0" w:tplc="0419000F">
      <w:start w:val="1"/>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14">
    <w:nsid w:val="23FD5E03"/>
    <w:multiLevelType w:val="hybridMultilevel"/>
    <w:tmpl w:val="E3EEB402"/>
    <w:lvl w:ilvl="0" w:tplc="5ABEBC06">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5">
    <w:nsid w:val="24076B7F"/>
    <w:multiLevelType w:val="hybridMultilevel"/>
    <w:tmpl w:val="47E216BA"/>
    <w:lvl w:ilvl="0" w:tplc="B0449F92">
      <w:start w:val="1"/>
      <w:numFmt w:val="decimal"/>
      <w:lvlText w:val="%1."/>
      <w:lvlJc w:val="left"/>
      <w:pPr>
        <w:ind w:left="360" w:hanging="360"/>
      </w:pPr>
      <w:rPr>
        <w:rFonts w:hint="default"/>
      </w:rPr>
    </w:lvl>
    <w:lvl w:ilvl="1" w:tplc="04190019">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6">
    <w:nsid w:val="2A1822EB"/>
    <w:multiLevelType w:val="hybridMultilevel"/>
    <w:tmpl w:val="9544C712"/>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7">
    <w:nsid w:val="2B5A5205"/>
    <w:multiLevelType w:val="hybridMultilevel"/>
    <w:tmpl w:val="05CA5200"/>
    <w:lvl w:ilvl="0" w:tplc="0419000F">
      <w:start w:val="1"/>
      <w:numFmt w:val="decimal"/>
      <w:lvlText w:val="%1."/>
      <w:lvlJc w:val="left"/>
      <w:pPr>
        <w:ind w:left="720" w:hanging="360"/>
      </w:pPr>
      <w:rPr>
        <w:rFonts w:hint="default"/>
        <w:b/>
        <w:color w:val="00000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2DF13130"/>
    <w:multiLevelType w:val="hybridMultilevel"/>
    <w:tmpl w:val="179874F8"/>
    <w:lvl w:ilvl="0" w:tplc="CEA2A7C0">
      <w:start w:val="1"/>
      <w:numFmt w:val="upperRoman"/>
      <w:lvlText w:val="%1."/>
      <w:lvlJc w:val="left"/>
      <w:pPr>
        <w:ind w:left="1428" w:hanging="72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9">
    <w:nsid w:val="33310B5D"/>
    <w:multiLevelType w:val="hybridMultilevel"/>
    <w:tmpl w:val="C922C718"/>
    <w:lvl w:ilvl="0" w:tplc="90C688A8">
      <w:start w:val="1"/>
      <w:numFmt w:val="decimal"/>
      <w:lvlText w:val="%1)"/>
      <w:lvlJc w:val="left"/>
      <w:pPr>
        <w:ind w:left="1211" w:hanging="360"/>
      </w:pPr>
      <w:rPr>
        <w:rFonts w:hint="default"/>
        <w:color w:val="auto"/>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20">
    <w:nsid w:val="347945AE"/>
    <w:multiLevelType w:val="hybridMultilevel"/>
    <w:tmpl w:val="E6CCA2C6"/>
    <w:lvl w:ilvl="0" w:tplc="04190001">
      <w:start w:val="1"/>
      <w:numFmt w:val="bullet"/>
      <w:lvlText w:val=""/>
      <w:lvlJc w:val="left"/>
      <w:pPr>
        <w:tabs>
          <w:tab w:val="num" w:pos="720"/>
        </w:tabs>
        <w:ind w:left="720" w:hanging="360"/>
      </w:pPr>
      <w:rPr>
        <w:rFonts w:ascii="Symbol" w:hAnsi="Symbol" w:hint="default"/>
      </w:rPr>
    </w:lvl>
    <w:lvl w:ilvl="1" w:tplc="04190019" w:tentative="1">
      <w:start w:val="1"/>
      <w:numFmt w:val="lowerLetter"/>
      <w:lvlText w:val="%2."/>
      <w:lvlJc w:val="left"/>
      <w:pPr>
        <w:tabs>
          <w:tab w:val="num" w:pos="1789"/>
        </w:tabs>
        <w:ind w:left="1789" w:hanging="360"/>
      </w:pPr>
    </w:lvl>
    <w:lvl w:ilvl="2" w:tplc="0419001B" w:tentative="1">
      <w:start w:val="1"/>
      <w:numFmt w:val="lowerRoman"/>
      <w:lvlText w:val="%3."/>
      <w:lvlJc w:val="right"/>
      <w:pPr>
        <w:tabs>
          <w:tab w:val="num" w:pos="2509"/>
        </w:tabs>
        <w:ind w:left="2509" w:hanging="180"/>
      </w:pPr>
    </w:lvl>
    <w:lvl w:ilvl="3" w:tplc="0419000F" w:tentative="1">
      <w:start w:val="1"/>
      <w:numFmt w:val="decimal"/>
      <w:lvlText w:val="%4."/>
      <w:lvlJc w:val="left"/>
      <w:pPr>
        <w:tabs>
          <w:tab w:val="num" w:pos="3229"/>
        </w:tabs>
        <w:ind w:left="3229" w:hanging="360"/>
      </w:pPr>
    </w:lvl>
    <w:lvl w:ilvl="4" w:tplc="04190019" w:tentative="1">
      <w:start w:val="1"/>
      <w:numFmt w:val="lowerLetter"/>
      <w:lvlText w:val="%5."/>
      <w:lvlJc w:val="left"/>
      <w:pPr>
        <w:tabs>
          <w:tab w:val="num" w:pos="3949"/>
        </w:tabs>
        <w:ind w:left="3949" w:hanging="360"/>
      </w:pPr>
    </w:lvl>
    <w:lvl w:ilvl="5" w:tplc="0419001B" w:tentative="1">
      <w:start w:val="1"/>
      <w:numFmt w:val="lowerRoman"/>
      <w:lvlText w:val="%6."/>
      <w:lvlJc w:val="right"/>
      <w:pPr>
        <w:tabs>
          <w:tab w:val="num" w:pos="4669"/>
        </w:tabs>
        <w:ind w:left="4669" w:hanging="180"/>
      </w:pPr>
    </w:lvl>
    <w:lvl w:ilvl="6" w:tplc="0419000F" w:tentative="1">
      <w:start w:val="1"/>
      <w:numFmt w:val="decimal"/>
      <w:lvlText w:val="%7."/>
      <w:lvlJc w:val="left"/>
      <w:pPr>
        <w:tabs>
          <w:tab w:val="num" w:pos="5389"/>
        </w:tabs>
        <w:ind w:left="5389" w:hanging="360"/>
      </w:pPr>
    </w:lvl>
    <w:lvl w:ilvl="7" w:tplc="04190019" w:tentative="1">
      <w:start w:val="1"/>
      <w:numFmt w:val="lowerLetter"/>
      <w:lvlText w:val="%8."/>
      <w:lvlJc w:val="left"/>
      <w:pPr>
        <w:tabs>
          <w:tab w:val="num" w:pos="6109"/>
        </w:tabs>
        <w:ind w:left="6109" w:hanging="360"/>
      </w:pPr>
    </w:lvl>
    <w:lvl w:ilvl="8" w:tplc="0419001B" w:tentative="1">
      <w:start w:val="1"/>
      <w:numFmt w:val="lowerRoman"/>
      <w:lvlText w:val="%9."/>
      <w:lvlJc w:val="right"/>
      <w:pPr>
        <w:tabs>
          <w:tab w:val="num" w:pos="6829"/>
        </w:tabs>
        <w:ind w:left="6829" w:hanging="180"/>
      </w:pPr>
    </w:lvl>
  </w:abstractNum>
  <w:abstractNum w:abstractNumId="21">
    <w:nsid w:val="34B3677E"/>
    <w:multiLevelType w:val="hybridMultilevel"/>
    <w:tmpl w:val="55AE55C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35705129"/>
    <w:multiLevelType w:val="hybridMultilevel"/>
    <w:tmpl w:val="BFE4381C"/>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3">
    <w:nsid w:val="3662188B"/>
    <w:multiLevelType w:val="multilevel"/>
    <w:tmpl w:val="6E8ED986"/>
    <w:lvl w:ilvl="0">
      <w:start w:val="2"/>
      <w:numFmt w:val="decimal"/>
      <w:lvlText w:val="%1."/>
      <w:lvlJc w:val="left"/>
      <w:pPr>
        <w:ind w:left="450" w:hanging="450"/>
      </w:pPr>
      <w:rPr>
        <w:rFonts w:hint="default"/>
      </w:rPr>
    </w:lvl>
    <w:lvl w:ilvl="1">
      <w:start w:val="2"/>
      <w:numFmt w:val="decimal"/>
      <w:lvlText w:val="%1.%2."/>
      <w:lvlJc w:val="left"/>
      <w:pPr>
        <w:ind w:left="2149" w:hanging="720"/>
      </w:pPr>
      <w:rPr>
        <w:rFonts w:hint="default"/>
      </w:rPr>
    </w:lvl>
    <w:lvl w:ilvl="2">
      <w:start w:val="1"/>
      <w:numFmt w:val="decimal"/>
      <w:lvlText w:val="%1.%2.%3."/>
      <w:lvlJc w:val="left"/>
      <w:pPr>
        <w:ind w:left="3578" w:hanging="720"/>
      </w:pPr>
      <w:rPr>
        <w:rFonts w:hint="default"/>
      </w:rPr>
    </w:lvl>
    <w:lvl w:ilvl="3">
      <w:start w:val="1"/>
      <w:numFmt w:val="decimal"/>
      <w:lvlText w:val="%1.%2.%3.%4."/>
      <w:lvlJc w:val="left"/>
      <w:pPr>
        <w:ind w:left="5367" w:hanging="1080"/>
      </w:pPr>
      <w:rPr>
        <w:rFonts w:hint="default"/>
      </w:rPr>
    </w:lvl>
    <w:lvl w:ilvl="4">
      <w:start w:val="1"/>
      <w:numFmt w:val="decimal"/>
      <w:lvlText w:val="%1.%2.%3.%4.%5."/>
      <w:lvlJc w:val="left"/>
      <w:pPr>
        <w:ind w:left="6796" w:hanging="1080"/>
      </w:pPr>
      <w:rPr>
        <w:rFonts w:hint="default"/>
      </w:rPr>
    </w:lvl>
    <w:lvl w:ilvl="5">
      <w:start w:val="1"/>
      <w:numFmt w:val="decimal"/>
      <w:lvlText w:val="%1.%2.%3.%4.%5.%6."/>
      <w:lvlJc w:val="left"/>
      <w:pPr>
        <w:ind w:left="8585" w:hanging="1440"/>
      </w:pPr>
      <w:rPr>
        <w:rFonts w:hint="default"/>
      </w:rPr>
    </w:lvl>
    <w:lvl w:ilvl="6">
      <w:start w:val="1"/>
      <w:numFmt w:val="decimal"/>
      <w:lvlText w:val="%1.%2.%3.%4.%5.%6.%7."/>
      <w:lvlJc w:val="left"/>
      <w:pPr>
        <w:ind w:left="10374" w:hanging="1800"/>
      </w:pPr>
      <w:rPr>
        <w:rFonts w:hint="default"/>
      </w:rPr>
    </w:lvl>
    <w:lvl w:ilvl="7">
      <w:start w:val="1"/>
      <w:numFmt w:val="decimal"/>
      <w:lvlText w:val="%1.%2.%3.%4.%5.%6.%7.%8."/>
      <w:lvlJc w:val="left"/>
      <w:pPr>
        <w:ind w:left="11803" w:hanging="1800"/>
      </w:pPr>
      <w:rPr>
        <w:rFonts w:hint="default"/>
      </w:rPr>
    </w:lvl>
    <w:lvl w:ilvl="8">
      <w:start w:val="1"/>
      <w:numFmt w:val="decimal"/>
      <w:lvlText w:val="%1.%2.%3.%4.%5.%6.%7.%8.%9."/>
      <w:lvlJc w:val="left"/>
      <w:pPr>
        <w:ind w:left="13592" w:hanging="2160"/>
      </w:pPr>
      <w:rPr>
        <w:rFonts w:hint="default"/>
      </w:rPr>
    </w:lvl>
  </w:abstractNum>
  <w:abstractNum w:abstractNumId="24">
    <w:nsid w:val="367E2BAC"/>
    <w:multiLevelType w:val="hybridMultilevel"/>
    <w:tmpl w:val="358EEEE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38CF111A"/>
    <w:multiLevelType w:val="hybridMultilevel"/>
    <w:tmpl w:val="9E6879EC"/>
    <w:lvl w:ilvl="0" w:tplc="5ABEBC06">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6">
    <w:nsid w:val="38FC62B5"/>
    <w:multiLevelType w:val="hybridMultilevel"/>
    <w:tmpl w:val="33BE603C"/>
    <w:lvl w:ilvl="0" w:tplc="0F9632DA">
      <w:start w:val="1"/>
      <w:numFmt w:val="decimal"/>
      <w:lvlText w:val="%1."/>
      <w:lvlJc w:val="left"/>
      <w:pPr>
        <w:ind w:left="1065" w:hanging="705"/>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7">
    <w:nsid w:val="39D55818"/>
    <w:multiLevelType w:val="hybridMultilevel"/>
    <w:tmpl w:val="C82E2A66"/>
    <w:lvl w:ilvl="0" w:tplc="27869E4E">
      <w:start w:val="1"/>
      <w:numFmt w:val="bullet"/>
      <w:lvlText w:val=""/>
      <w:lvlJc w:val="left"/>
      <w:pPr>
        <w:ind w:left="720" w:hanging="360"/>
      </w:pPr>
      <w:rPr>
        <w:rFonts w:ascii="Symbol" w:hAnsi="Symbol"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nsid w:val="3AF876C4"/>
    <w:multiLevelType w:val="multilevel"/>
    <w:tmpl w:val="B78C0782"/>
    <w:lvl w:ilvl="0">
      <w:start w:val="1"/>
      <w:numFmt w:val="decimal"/>
      <w:lvlText w:val="%1."/>
      <w:lvlJc w:val="left"/>
      <w:pPr>
        <w:ind w:left="720" w:hanging="360"/>
      </w:pPr>
      <w:rPr>
        <w:rFonts w:ascii="Times New Roman" w:hAnsi="Times New Roman" w:cs="Times New Roman" w:hint="default"/>
      </w:rPr>
    </w:lvl>
    <w:lvl w:ilvl="1">
      <w:start w:val="4"/>
      <w:numFmt w:val="decimal"/>
      <w:isLgl/>
      <w:lvlText w:val="%1.%2."/>
      <w:lvlJc w:val="left"/>
      <w:pPr>
        <w:ind w:left="1429" w:hanging="72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4254" w:hanging="180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29">
    <w:nsid w:val="3D220D81"/>
    <w:multiLevelType w:val="hybridMultilevel"/>
    <w:tmpl w:val="7AF0A738"/>
    <w:lvl w:ilvl="0" w:tplc="9272C442">
      <w:start w:val="1"/>
      <w:numFmt w:val="decimal"/>
      <w:lvlText w:val="%1."/>
      <w:lvlJc w:val="left"/>
      <w:pPr>
        <w:ind w:left="502" w:hanging="360"/>
      </w:pPr>
      <w:rPr>
        <w:rFonts w:hint="default"/>
        <w:b w:val="0"/>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nsid w:val="3F49065B"/>
    <w:multiLevelType w:val="hybridMultilevel"/>
    <w:tmpl w:val="0FB0372A"/>
    <w:lvl w:ilvl="0" w:tplc="0419000F">
      <w:start w:val="1"/>
      <w:numFmt w:val="decimal"/>
      <w:lvlText w:val="%1."/>
      <w:lvlJc w:val="left"/>
      <w:pPr>
        <w:ind w:left="502" w:hanging="360"/>
      </w:pPr>
      <w:rPr>
        <w:rFonts w:hint="default"/>
        <w:b w:val="0"/>
        <w:color w:val="auto"/>
      </w:rPr>
    </w:lvl>
    <w:lvl w:ilvl="1" w:tplc="04190019" w:tentative="1">
      <w:start w:val="1"/>
      <w:numFmt w:val="lowerLetter"/>
      <w:lvlText w:val="%2."/>
      <w:lvlJc w:val="left"/>
      <w:pPr>
        <w:ind w:left="1298" w:hanging="360"/>
      </w:pPr>
    </w:lvl>
    <w:lvl w:ilvl="2" w:tplc="0419001B" w:tentative="1">
      <w:start w:val="1"/>
      <w:numFmt w:val="lowerRoman"/>
      <w:lvlText w:val="%3."/>
      <w:lvlJc w:val="right"/>
      <w:pPr>
        <w:ind w:left="2018" w:hanging="180"/>
      </w:pPr>
    </w:lvl>
    <w:lvl w:ilvl="3" w:tplc="0419000F" w:tentative="1">
      <w:start w:val="1"/>
      <w:numFmt w:val="decimal"/>
      <w:lvlText w:val="%4."/>
      <w:lvlJc w:val="left"/>
      <w:pPr>
        <w:ind w:left="2738" w:hanging="360"/>
      </w:pPr>
    </w:lvl>
    <w:lvl w:ilvl="4" w:tplc="04190019" w:tentative="1">
      <w:start w:val="1"/>
      <w:numFmt w:val="lowerLetter"/>
      <w:lvlText w:val="%5."/>
      <w:lvlJc w:val="left"/>
      <w:pPr>
        <w:ind w:left="3458" w:hanging="360"/>
      </w:pPr>
    </w:lvl>
    <w:lvl w:ilvl="5" w:tplc="0419001B" w:tentative="1">
      <w:start w:val="1"/>
      <w:numFmt w:val="lowerRoman"/>
      <w:lvlText w:val="%6."/>
      <w:lvlJc w:val="right"/>
      <w:pPr>
        <w:ind w:left="4178" w:hanging="180"/>
      </w:pPr>
    </w:lvl>
    <w:lvl w:ilvl="6" w:tplc="0419000F" w:tentative="1">
      <w:start w:val="1"/>
      <w:numFmt w:val="decimal"/>
      <w:lvlText w:val="%7."/>
      <w:lvlJc w:val="left"/>
      <w:pPr>
        <w:ind w:left="4898" w:hanging="360"/>
      </w:pPr>
    </w:lvl>
    <w:lvl w:ilvl="7" w:tplc="04190019" w:tentative="1">
      <w:start w:val="1"/>
      <w:numFmt w:val="lowerLetter"/>
      <w:lvlText w:val="%8."/>
      <w:lvlJc w:val="left"/>
      <w:pPr>
        <w:ind w:left="5618" w:hanging="360"/>
      </w:pPr>
    </w:lvl>
    <w:lvl w:ilvl="8" w:tplc="0419001B" w:tentative="1">
      <w:start w:val="1"/>
      <w:numFmt w:val="lowerRoman"/>
      <w:lvlText w:val="%9."/>
      <w:lvlJc w:val="right"/>
      <w:pPr>
        <w:ind w:left="6338" w:hanging="180"/>
      </w:pPr>
    </w:lvl>
  </w:abstractNum>
  <w:abstractNum w:abstractNumId="31">
    <w:nsid w:val="475D75C8"/>
    <w:multiLevelType w:val="hybridMultilevel"/>
    <w:tmpl w:val="7AF0A738"/>
    <w:lvl w:ilvl="0" w:tplc="9272C442">
      <w:start w:val="1"/>
      <w:numFmt w:val="decimal"/>
      <w:lvlText w:val="%1."/>
      <w:lvlJc w:val="left"/>
      <w:pPr>
        <w:ind w:left="502" w:hanging="360"/>
      </w:pPr>
      <w:rPr>
        <w:rFonts w:hint="default"/>
        <w:b w:val="0"/>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nsid w:val="49C37916"/>
    <w:multiLevelType w:val="hybridMultilevel"/>
    <w:tmpl w:val="9C9CA980"/>
    <w:lvl w:ilvl="0" w:tplc="2D5212FA">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4A4340B6"/>
    <w:multiLevelType w:val="hybridMultilevel"/>
    <w:tmpl w:val="7C62426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nsid w:val="4A944D22"/>
    <w:multiLevelType w:val="hybridMultilevel"/>
    <w:tmpl w:val="AA6A3FD2"/>
    <w:lvl w:ilvl="0" w:tplc="DF0A29A4">
      <w:start w:val="1"/>
      <w:numFmt w:val="decimal"/>
      <w:lvlText w:val="%1."/>
      <w:lvlJc w:val="left"/>
      <w:pPr>
        <w:ind w:left="720" w:hanging="360"/>
      </w:pPr>
      <w:rPr>
        <w:rFonts w:hint="default"/>
        <w:b w:val="0"/>
        <w:color w:val="auto"/>
        <w:lang w:val="en-US"/>
      </w:rPr>
    </w:lvl>
    <w:lvl w:ilvl="1" w:tplc="4D541986">
      <w:start w:val="1"/>
      <w:numFmt w:val="decimal"/>
      <w:lvlText w:val="%2."/>
      <w:lvlJc w:val="left"/>
      <w:pPr>
        <w:ind w:left="2080" w:hanging="1000"/>
      </w:pPr>
      <w:rPr>
        <w:rFonts w:hint="default"/>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
    <w:nsid w:val="4F757812"/>
    <w:multiLevelType w:val="hybridMultilevel"/>
    <w:tmpl w:val="39827CE0"/>
    <w:lvl w:ilvl="0" w:tplc="0419000F">
      <w:start w:val="1"/>
      <w:numFmt w:val="decimal"/>
      <w:lvlText w:val="%1."/>
      <w:lvlJc w:val="left"/>
      <w:pPr>
        <w:ind w:left="502" w:hanging="360"/>
      </w:pPr>
      <w:rPr>
        <w:rFonts w:hint="default"/>
        <w:b w:val="0"/>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
    <w:nsid w:val="516C5DF7"/>
    <w:multiLevelType w:val="hybridMultilevel"/>
    <w:tmpl w:val="31C4736A"/>
    <w:lvl w:ilvl="0" w:tplc="B002EBFC">
      <w:start w:val="2"/>
      <w:numFmt w:val="bullet"/>
      <w:lvlText w:val="-"/>
      <w:lvlJc w:val="left"/>
      <w:pPr>
        <w:ind w:left="720" w:hanging="360"/>
      </w:pPr>
      <w:rPr>
        <w:rFonts w:ascii="Times New Roman" w:eastAsia="Calibri" w:hAnsi="Times New Roman" w:cs="Times New Roman"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7">
    <w:nsid w:val="5340F5CF"/>
    <w:multiLevelType w:val="multilevel"/>
    <w:tmpl w:val="5340F5CF"/>
    <w:name w:val="Нумерованный список 1"/>
    <w:lvl w:ilvl="0">
      <w:start w:val="1"/>
      <w:numFmt w:val="decimal"/>
      <w:lvlText w:val="%1."/>
      <w:lvlJc w:val="left"/>
      <w:pPr>
        <w:ind w:left="0" w:firstLine="0"/>
      </w:pPr>
      <w:rPr>
        <w:sz w:val="20"/>
      </w:rPr>
    </w:lvl>
    <w:lvl w:ilvl="1">
      <w:start w:val="1"/>
      <w:numFmt w:val="lowerLetter"/>
      <w:lvlText w:val="%2."/>
      <w:lvlJc w:val="left"/>
      <w:pPr>
        <w:ind w:left="0" w:firstLine="0"/>
      </w:pPr>
    </w:lvl>
    <w:lvl w:ilvl="2">
      <w:start w:val="1"/>
      <w:numFmt w:val="lowerRoman"/>
      <w:lvlText w:val="%3."/>
      <w:lvlJc w:val="left"/>
      <w:pPr>
        <w:ind w:left="0" w:firstLine="0"/>
      </w:pPr>
    </w:lvl>
    <w:lvl w:ilvl="3">
      <w:start w:val="1"/>
      <w:numFmt w:val="decimal"/>
      <w:lvlText w:val="%4."/>
      <w:lvlJc w:val="left"/>
      <w:pPr>
        <w:ind w:left="0" w:firstLine="0"/>
      </w:pPr>
    </w:lvl>
    <w:lvl w:ilvl="4">
      <w:start w:val="1"/>
      <w:numFmt w:val="lowerLetter"/>
      <w:lvlText w:val="%5."/>
      <w:lvlJc w:val="left"/>
      <w:pPr>
        <w:ind w:left="0" w:firstLine="0"/>
      </w:pPr>
    </w:lvl>
    <w:lvl w:ilvl="5">
      <w:start w:val="1"/>
      <w:numFmt w:val="lowerRoman"/>
      <w:lvlText w:val="%6."/>
      <w:lvlJc w:val="left"/>
      <w:pPr>
        <w:ind w:left="0" w:firstLine="0"/>
      </w:pPr>
    </w:lvl>
    <w:lvl w:ilvl="6">
      <w:start w:val="1"/>
      <w:numFmt w:val="decimal"/>
      <w:lvlText w:val="%7."/>
      <w:lvlJc w:val="left"/>
      <w:pPr>
        <w:ind w:left="0" w:firstLine="0"/>
      </w:pPr>
    </w:lvl>
    <w:lvl w:ilvl="7">
      <w:start w:val="1"/>
      <w:numFmt w:val="lowerLetter"/>
      <w:lvlText w:val="%8."/>
      <w:lvlJc w:val="left"/>
      <w:pPr>
        <w:ind w:left="0" w:firstLine="0"/>
      </w:pPr>
    </w:lvl>
    <w:lvl w:ilvl="8">
      <w:start w:val="1"/>
      <w:numFmt w:val="lowerRoman"/>
      <w:lvlText w:val="%9."/>
      <w:lvlJc w:val="left"/>
      <w:pPr>
        <w:ind w:left="0" w:firstLine="0"/>
      </w:pPr>
    </w:lvl>
  </w:abstractNum>
  <w:abstractNum w:abstractNumId="38">
    <w:nsid w:val="5340F5D0"/>
    <w:multiLevelType w:val="multilevel"/>
    <w:tmpl w:val="5340F5D0"/>
    <w:name w:val="Нумерованный список 2"/>
    <w:lvl w:ilvl="0">
      <w:start w:val="1"/>
      <w:numFmt w:val="bullet"/>
      <w:lvlText w:val="–"/>
      <w:lvlJc w:val="left"/>
      <w:rPr>
        <w:rFonts w:ascii="Times New Roman" w:hAnsi="Times New Roman"/>
      </w:rPr>
    </w:lvl>
    <w:lvl w:ilvl="1">
      <w:start w:val="1"/>
      <w:numFmt w:val="bullet"/>
      <w:lvlText w:val="o"/>
      <w:lvlJc w:val="left"/>
      <w:rPr>
        <w:rFonts w:ascii="Courier New" w:hAnsi="Courier New"/>
      </w:rPr>
    </w:lvl>
    <w:lvl w:ilvl="2">
      <w:start w:val="1"/>
      <w:numFmt w:val="bullet"/>
      <w:lvlText w:val=""/>
      <w:lvlJc w:val="left"/>
      <w:rPr>
        <w:rFonts w:ascii="Wingdings" w:hAnsi="Wingdings"/>
      </w:rPr>
    </w:lvl>
    <w:lvl w:ilvl="3">
      <w:start w:val="1"/>
      <w:numFmt w:val="bullet"/>
      <w:lvlText w:val=""/>
      <w:lvlJc w:val="left"/>
      <w:rPr>
        <w:rFonts w:ascii="Symbol" w:hAnsi="Symbol"/>
      </w:rPr>
    </w:lvl>
    <w:lvl w:ilvl="4">
      <w:start w:val="1"/>
      <w:numFmt w:val="bullet"/>
      <w:lvlText w:val="o"/>
      <w:lvlJc w:val="left"/>
      <w:rPr>
        <w:rFonts w:ascii="Courier New" w:hAnsi="Courier New"/>
      </w:rPr>
    </w:lvl>
    <w:lvl w:ilvl="5">
      <w:start w:val="1"/>
      <w:numFmt w:val="bullet"/>
      <w:lvlText w:val=""/>
      <w:lvlJc w:val="left"/>
      <w:rPr>
        <w:rFonts w:ascii="Wingdings" w:hAnsi="Wingdings"/>
      </w:rPr>
    </w:lvl>
    <w:lvl w:ilvl="6">
      <w:start w:val="1"/>
      <w:numFmt w:val="bullet"/>
      <w:lvlText w:val=""/>
      <w:lvlJc w:val="left"/>
      <w:rPr>
        <w:rFonts w:ascii="Symbol" w:hAnsi="Symbol"/>
      </w:rPr>
    </w:lvl>
    <w:lvl w:ilvl="7">
      <w:start w:val="1"/>
      <w:numFmt w:val="bullet"/>
      <w:lvlText w:val="o"/>
      <w:lvlJc w:val="left"/>
      <w:rPr>
        <w:rFonts w:ascii="Courier New" w:hAnsi="Courier New"/>
      </w:rPr>
    </w:lvl>
    <w:lvl w:ilvl="8">
      <w:start w:val="1"/>
      <w:numFmt w:val="bullet"/>
      <w:lvlText w:val=""/>
      <w:lvlJc w:val="left"/>
      <w:rPr>
        <w:rFonts w:ascii="Wingdings" w:hAnsi="Wingdings"/>
      </w:rPr>
    </w:lvl>
  </w:abstractNum>
  <w:abstractNum w:abstractNumId="39">
    <w:nsid w:val="5796543F"/>
    <w:multiLevelType w:val="hybridMultilevel"/>
    <w:tmpl w:val="6498B87A"/>
    <w:lvl w:ilvl="0" w:tplc="B002EBFC">
      <w:start w:val="2"/>
      <w:numFmt w:val="bullet"/>
      <w:lvlText w:val="-"/>
      <w:lvlJc w:val="left"/>
      <w:pPr>
        <w:ind w:left="1428" w:hanging="360"/>
      </w:pPr>
      <w:rPr>
        <w:rFonts w:ascii="Times New Roman" w:eastAsia="Calibri" w:hAnsi="Times New Roman" w:cs="Times New Roman"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40">
    <w:nsid w:val="585B70C6"/>
    <w:multiLevelType w:val="hybridMultilevel"/>
    <w:tmpl w:val="71D699C6"/>
    <w:lvl w:ilvl="0" w:tplc="EDE87652">
      <w:start w:val="1"/>
      <w:numFmt w:val="bullet"/>
      <w:lvlText w:val="–"/>
      <w:lvlJc w:val="left"/>
      <w:pPr>
        <w:ind w:left="720" w:hanging="360"/>
      </w:pPr>
      <w:rPr>
        <w:rFonts w:ascii="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1">
    <w:nsid w:val="59776D58"/>
    <w:multiLevelType w:val="hybridMultilevel"/>
    <w:tmpl w:val="3A82FB50"/>
    <w:lvl w:ilvl="0" w:tplc="D08E956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2">
    <w:nsid w:val="603F2C49"/>
    <w:multiLevelType w:val="multilevel"/>
    <w:tmpl w:val="EB2A665C"/>
    <w:lvl w:ilvl="0">
      <w:start w:val="1"/>
      <w:numFmt w:val="decimal"/>
      <w:lvlText w:val="%1."/>
      <w:lvlJc w:val="left"/>
      <w:pPr>
        <w:ind w:left="72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43">
    <w:nsid w:val="60AA127E"/>
    <w:multiLevelType w:val="hybridMultilevel"/>
    <w:tmpl w:val="40F2CE1C"/>
    <w:lvl w:ilvl="0" w:tplc="04190003">
      <w:start w:val="1"/>
      <w:numFmt w:val="bullet"/>
      <w:lvlText w:val="o"/>
      <w:lvlJc w:val="left"/>
      <w:pPr>
        <w:ind w:left="1428" w:hanging="360"/>
      </w:pPr>
      <w:rPr>
        <w:rFonts w:ascii="Courier New" w:hAnsi="Courier New" w:cs="Courier New" w:hint="default"/>
      </w:rPr>
    </w:lvl>
    <w:lvl w:ilvl="1" w:tplc="04190003">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44">
    <w:nsid w:val="61043347"/>
    <w:multiLevelType w:val="hybridMultilevel"/>
    <w:tmpl w:val="7AF0A738"/>
    <w:lvl w:ilvl="0" w:tplc="9272C442">
      <w:start w:val="1"/>
      <w:numFmt w:val="decimal"/>
      <w:lvlText w:val="%1."/>
      <w:lvlJc w:val="left"/>
      <w:pPr>
        <w:ind w:left="502" w:hanging="360"/>
      </w:pPr>
      <w:rPr>
        <w:rFonts w:hint="default"/>
        <w:b w:val="0"/>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5">
    <w:nsid w:val="616F2F47"/>
    <w:multiLevelType w:val="singleLevel"/>
    <w:tmpl w:val="0419000F"/>
    <w:lvl w:ilvl="0">
      <w:start w:val="1"/>
      <w:numFmt w:val="decimal"/>
      <w:lvlText w:val="%1."/>
      <w:lvlJc w:val="left"/>
      <w:pPr>
        <w:ind w:left="644" w:hanging="360"/>
      </w:pPr>
    </w:lvl>
  </w:abstractNum>
  <w:abstractNum w:abstractNumId="46">
    <w:nsid w:val="626809CD"/>
    <w:multiLevelType w:val="hybridMultilevel"/>
    <w:tmpl w:val="7FAA30F6"/>
    <w:lvl w:ilvl="0" w:tplc="04220003">
      <w:start w:val="1"/>
      <w:numFmt w:val="bullet"/>
      <w:lvlText w:val="o"/>
      <w:lvlJc w:val="left"/>
      <w:pPr>
        <w:ind w:left="1429" w:hanging="360"/>
      </w:pPr>
      <w:rPr>
        <w:rFonts w:ascii="Courier New" w:hAnsi="Courier New" w:cs="Courier New"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7">
    <w:nsid w:val="634348A5"/>
    <w:multiLevelType w:val="hybridMultilevel"/>
    <w:tmpl w:val="C292E560"/>
    <w:lvl w:ilvl="0" w:tplc="AC246ACE">
      <w:start w:val="1"/>
      <w:numFmt w:val="decimal"/>
      <w:lvlText w:val="%1."/>
      <w:lvlJc w:val="left"/>
      <w:pPr>
        <w:ind w:left="1158" w:hanging="450"/>
      </w:pPr>
      <w:rPr>
        <w:b w:val="0"/>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48">
    <w:nsid w:val="64EB64F4"/>
    <w:multiLevelType w:val="hybridMultilevel"/>
    <w:tmpl w:val="DEEE0B5E"/>
    <w:lvl w:ilvl="0" w:tplc="DDCC8B70">
      <w:start w:val="2018"/>
      <w:numFmt w:val="bullet"/>
      <w:lvlText w:val="-"/>
      <w:lvlJc w:val="left"/>
      <w:pPr>
        <w:ind w:left="1080" w:hanging="360"/>
      </w:pPr>
      <w:rPr>
        <w:rFonts w:ascii="Times New Roman" w:eastAsiaTheme="minorHAnsi" w:hAnsi="Times New Roman" w:cs="Times New Roman"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49">
    <w:nsid w:val="684A29B0"/>
    <w:multiLevelType w:val="multilevel"/>
    <w:tmpl w:val="EC9E2136"/>
    <w:lvl w:ilvl="0">
      <w:start w:val="5"/>
      <w:numFmt w:val="decimal"/>
      <w:lvlText w:val="%1."/>
      <w:lvlJc w:val="left"/>
      <w:pPr>
        <w:ind w:left="450" w:hanging="450"/>
      </w:pPr>
      <w:rPr>
        <w:rFonts w:hint="default"/>
      </w:rPr>
    </w:lvl>
    <w:lvl w:ilvl="1">
      <w:start w:val="1"/>
      <w:numFmt w:val="decimal"/>
      <w:lvlText w:val="%1.%2."/>
      <w:lvlJc w:val="left"/>
      <w:pPr>
        <w:ind w:left="1996" w:hanging="720"/>
      </w:pPr>
      <w:rPr>
        <w:rFonts w:hint="default"/>
      </w:rPr>
    </w:lvl>
    <w:lvl w:ilvl="2">
      <w:start w:val="1"/>
      <w:numFmt w:val="decimal"/>
      <w:lvlText w:val="%1.%2.%3."/>
      <w:lvlJc w:val="left"/>
      <w:pPr>
        <w:ind w:left="3272" w:hanging="720"/>
      </w:pPr>
      <w:rPr>
        <w:rFonts w:hint="default"/>
      </w:rPr>
    </w:lvl>
    <w:lvl w:ilvl="3">
      <w:start w:val="1"/>
      <w:numFmt w:val="decimal"/>
      <w:lvlText w:val="%1.%2.%3.%4."/>
      <w:lvlJc w:val="left"/>
      <w:pPr>
        <w:ind w:left="4908" w:hanging="1080"/>
      </w:pPr>
      <w:rPr>
        <w:rFonts w:hint="default"/>
      </w:rPr>
    </w:lvl>
    <w:lvl w:ilvl="4">
      <w:start w:val="1"/>
      <w:numFmt w:val="decimal"/>
      <w:lvlText w:val="%1.%2.%3.%4.%5."/>
      <w:lvlJc w:val="left"/>
      <w:pPr>
        <w:ind w:left="6184" w:hanging="1080"/>
      </w:pPr>
      <w:rPr>
        <w:rFonts w:hint="default"/>
      </w:rPr>
    </w:lvl>
    <w:lvl w:ilvl="5">
      <w:start w:val="1"/>
      <w:numFmt w:val="decimal"/>
      <w:lvlText w:val="%1.%2.%3.%4.%5.%6."/>
      <w:lvlJc w:val="left"/>
      <w:pPr>
        <w:ind w:left="7820" w:hanging="1440"/>
      </w:pPr>
      <w:rPr>
        <w:rFonts w:hint="default"/>
      </w:rPr>
    </w:lvl>
    <w:lvl w:ilvl="6">
      <w:start w:val="1"/>
      <w:numFmt w:val="decimal"/>
      <w:lvlText w:val="%1.%2.%3.%4.%5.%6.%7."/>
      <w:lvlJc w:val="left"/>
      <w:pPr>
        <w:ind w:left="9456" w:hanging="1800"/>
      </w:pPr>
      <w:rPr>
        <w:rFonts w:hint="default"/>
      </w:rPr>
    </w:lvl>
    <w:lvl w:ilvl="7">
      <w:start w:val="1"/>
      <w:numFmt w:val="decimal"/>
      <w:lvlText w:val="%1.%2.%3.%4.%5.%6.%7.%8."/>
      <w:lvlJc w:val="left"/>
      <w:pPr>
        <w:ind w:left="10732" w:hanging="1800"/>
      </w:pPr>
      <w:rPr>
        <w:rFonts w:hint="default"/>
      </w:rPr>
    </w:lvl>
    <w:lvl w:ilvl="8">
      <w:start w:val="1"/>
      <w:numFmt w:val="decimal"/>
      <w:lvlText w:val="%1.%2.%3.%4.%5.%6.%7.%8.%9."/>
      <w:lvlJc w:val="left"/>
      <w:pPr>
        <w:ind w:left="12368" w:hanging="2160"/>
      </w:pPr>
      <w:rPr>
        <w:rFonts w:hint="default"/>
      </w:rPr>
    </w:lvl>
  </w:abstractNum>
  <w:abstractNum w:abstractNumId="50">
    <w:nsid w:val="6BE74606"/>
    <w:multiLevelType w:val="hybridMultilevel"/>
    <w:tmpl w:val="3EB2A910"/>
    <w:lvl w:ilvl="0" w:tplc="04190001">
      <w:start w:val="1"/>
      <w:numFmt w:val="bullet"/>
      <w:lvlText w:val=""/>
      <w:lvlJc w:val="left"/>
      <w:pPr>
        <w:tabs>
          <w:tab w:val="num" w:pos="720"/>
        </w:tabs>
        <w:ind w:left="720" w:hanging="360"/>
      </w:pPr>
      <w:rPr>
        <w:rFonts w:ascii="Symbol" w:hAnsi="Symbol" w:hint="default"/>
      </w:rPr>
    </w:lvl>
    <w:lvl w:ilvl="1" w:tplc="04190019" w:tentative="1">
      <w:start w:val="1"/>
      <w:numFmt w:val="lowerLetter"/>
      <w:lvlText w:val="%2."/>
      <w:lvlJc w:val="left"/>
      <w:pPr>
        <w:tabs>
          <w:tab w:val="num" w:pos="1789"/>
        </w:tabs>
        <w:ind w:left="1789" w:hanging="360"/>
      </w:pPr>
    </w:lvl>
    <w:lvl w:ilvl="2" w:tplc="0419001B" w:tentative="1">
      <w:start w:val="1"/>
      <w:numFmt w:val="lowerRoman"/>
      <w:lvlText w:val="%3."/>
      <w:lvlJc w:val="right"/>
      <w:pPr>
        <w:tabs>
          <w:tab w:val="num" w:pos="2509"/>
        </w:tabs>
        <w:ind w:left="2509" w:hanging="180"/>
      </w:pPr>
    </w:lvl>
    <w:lvl w:ilvl="3" w:tplc="0419000F" w:tentative="1">
      <w:start w:val="1"/>
      <w:numFmt w:val="decimal"/>
      <w:lvlText w:val="%4."/>
      <w:lvlJc w:val="left"/>
      <w:pPr>
        <w:tabs>
          <w:tab w:val="num" w:pos="3229"/>
        </w:tabs>
        <w:ind w:left="3229" w:hanging="360"/>
      </w:pPr>
    </w:lvl>
    <w:lvl w:ilvl="4" w:tplc="04190019" w:tentative="1">
      <w:start w:val="1"/>
      <w:numFmt w:val="lowerLetter"/>
      <w:lvlText w:val="%5."/>
      <w:lvlJc w:val="left"/>
      <w:pPr>
        <w:tabs>
          <w:tab w:val="num" w:pos="3949"/>
        </w:tabs>
        <w:ind w:left="3949" w:hanging="360"/>
      </w:pPr>
    </w:lvl>
    <w:lvl w:ilvl="5" w:tplc="0419001B" w:tentative="1">
      <w:start w:val="1"/>
      <w:numFmt w:val="lowerRoman"/>
      <w:lvlText w:val="%6."/>
      <w:lvlJc w:val="right"/>
      <w:pPr>
        <w:tabs>
          <w:tab w:val="num" w:pos="4669"/>
        </w:tabs>
        <w:ind w:left="4669" w:hanging="180"/>
      </w:pPr>
    </w:lvl>
    <w:lvl w:ilvl="6" w:tplc="0419000F" w:tentative="1">
      <w:start w:val="1"/>
      <w:numFmt w:val="decimal"/>
      <w:lvlText w:val="%7."/>
      <w:lvlJc w:val="left"/>
      <w:pPr>
        <w:tabs>
          <w:tab w:val="num" w:pos="5389"/>
        </w:tabs>
        <w:ind w:left="5389" w:hanging="360"/>
      </w:pPr>
    </w:lvl>
    <w:lvl w:ilvl="7" w:tplc="04190019" w:tentative="1">
      <w:start w:val="1"/>
      <w:numFmt w:val="lowerLetter"/>
      <w:lvlText w:val="%8."/>
      <w:lvlJc w:val="left"/>
      <w:pPr>
        <w:tabs>
          <w:tab w:val="num" w:pos="6109"/>
        </w:tabs>
        <w:ind w:left="6109" w:hanging="360"/>
      </w:pPr>
    </w:lvl>
    <w:lvl w:ilvl="8" w:tplc="0419001B" w:tentative="1">
      <w:start w:val="1"/>
      <w:numFmt w:val="lowerRoman"/>
      <w:lvlText w:val="%9."/>
      <w:lvlJc w:val="right"/>
      <w:pPr>
        <w:tabs>
          <w:tab w:val="num" w:pos="6829"/>
        </w:tabs>
        <w:ind w:left="6829" w:hanging="180"/>
      </w:pPr>
    </w:lvl>
  </w:abstractNum>
  <w:abstractNum w:abstractNumId="51">
    <w:nsid w:val="71AE7A51"/>
    <w:multiLevelType w:val="hybridMultilevel"/>
    <w:tmpl w:val="59F47330"/>
    <w:lvl w:ilvl="0" w:tplc="96FA9A70">
      <w:start w:val="1"/>
      <w:numFmt w:val="decimal"/>
      <w:lvlText w:val="%1."/>
      <w:lvlJc w:val="left"/>
      <w:pPr>
        <w:ind w:left="1069" w:hanging="360"/>
      </w:pPr>
      <w:rPr>
        <w:rFonts w:eastAsiaTheme="minorHAnsi"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52">
    <w:nsid w:val="76EA4697"/>
    <w:multiLevelType w:val="hybridMultilevel"/>
    <w:tmpl w:val="458C6344"/>
    <w:lvl w:ilvl="0" w:tplc="BB683FBA">
      <w:start w:val="5"/>
      <w:numFmt w:val="bullet"/>
      <w:lvlText w:val="-"/>
      <w:lvlJc w:val="left"/>
      <w:pPr>
        <w:tabs>
          <w:tab w:val="num" w:pos="1594"/>
        </w:tabs>
        <w:ind w:left="1594" w:hanging="885"/>
      </w:pPr>
      <w:rPr>
        <w:rFonts w:ascii="Times New Roman" w:eastAsia="Times New Roman" w:hAnsi="Times New Roman" w:hint="default"/>
      </w:rPr>
    </w:lvl>
    <w:lvl w:ilvl="1" w:tplc="04190003" w:tentative="1">
      <w:start w:val="1"/>
      <w:numFmt w:val="bullet"/>
      <w:lvlText w:val="o"/>
      <w:lvlJc w:val="left"/>
      <w:pPr>
        <w:tabs>
          <w:tab w:val="num" w:pos="1789"/>
        </w:tabs>
        <w:ind w:left="1789" w:hanging="360"/>
      </w:pPr>
      <w:rPr>
        <w:rFonts w:ascii="Courier New" w:hAnsi="Courier New" w:hint="default"/>
      </w:rPr>
    </w:lvl>
    <w:lvl w:ilvl="2" w:tplc="04190005" w:tentative="1">
      <w:start w:val="1"/>
      <w:numFmt w:val="bullet"/>
      <w:lvlText w:val=""/>
      <w:lvlJc w:val="left"/>
      <w:pPr>
        <w:tabs>
          <w:tab w:val="num" w:pos="2509"/>
        </w:tabs>
        <w:ind w:left="2509" w:hanging="360"/>
      </w:pPr>
      <w:rPr>
        <w:rFonts w:ascii="Wingdings" w:hAnsi="Wingdings" w:hint="default"/>
      </w:rPr>
    </w:lvl>
    <w:lvl w:ilvl="3" w:tplc="04190001" w:tentative="1">
      <w:start w:val="1"/>
      <w:numFmt w:val="bullet"/>
      <w:lvlText w:val=""/>
      <w:lvlJc w:val="left"/>
      <w:pPr>
        <w:tabs>
          <w:tab w:val="num" w:pos="3229"/>
        </w:tabs>
        <w:ind w:left="3229" w:hanging="360"/>
      </w:pPr>
      <w:rPr>
        <w:rFonts w:ascii="Symbol" w:hAnsi="Symbol" w:hint="default"/>
      </w:rPr>
    </w:lvl>
    <w:lvl w:ilvl="4" w:tplc="04190003" w:tentative="1">
      <w:start w:val="1"/>
      <w:numFmt w:val="bullet"/>
      <w:lvlText w:val="o"/>
      <w:lvlJc w:val="left"/>
      <w:pPr>
        <w:tabs>
          <w:tab w:val="num" w:pos="3949"/>
        </w:tabs>
        <w:ind w:left="3949" w:hanging="360"/>
      </w:pPr>
      <w:rPr>
        <w:rFonts w:ascii="Courier New" w:hAnsi="Courier New" w:hint="default"/>
      </w:rPr>
    </w:lvl>
    <w:lvl w:ilvl="5" w:tplc="04190005" w:tentative="1">
      <w:start w:val="1"/>
      <w:numFmt w:val="bullet"/>
      <w:lvlText w:val=""/>
      <w:lvlJc w:val="left"/>
      <w:pPr>
        <w:tabs>
          <w:tab w:val="num" w:pos="4669"/>
        </w:tabs>
        <w:ind w:left="4669" w:hanging="360"/>
      </w:pPr>
      <w:rPr>
        <w:rFonts w:ascii="Wingdings" w:hAnsi="Wingdings" w:hint="default"/>
      </w:rPr>
    </w:lvl>
    <w:lvl w:ilvl="6" w:tplc="04190001" w:tentative="1">
      <w:start w:val="1"/>
      <w:numFmt w:val="bullet"/>
      <w:lvlText w:val=""/>
      <w:lvlJc w:val="left"/>
      <w:pPr>
        <w:tabs>
          <w:tab w:val="num" w:pos="5389"/>
        </w:tabs>
        <w:ind w:left="5389" w:hanging="360"/>
      </w:pPr>
      <w:rPr>
        <w:rFonts w:ascii="Symbol" w:hAnsi="Symbol" w:hint="default"/>
      </w:rPr>
    </w:lvl>
    <w:lvl w:ilvl="7" w:tplc="04190003" w:tentative="1">
      <w:start w:val="1"/>
      <w:numFmt w:val="bullet"/>
      <w:lvlText w:val="o"/>
      <w:lvlJc w:val="left"/>
      <w:pPr>
        <w:tabs>
          <w:tab w:val="num" w:pos="6109"/>
        </w:tabs>
        <w:ind w:left="6109" w:hanging="360"/>
      </w:pPr>
      <w:rPr>
        <w:rFonts w:ascii="Courier New" w:hAnsi="Courier New" w:hint="default"/>
      </w:rPr>
    </w:lvl>
    <w:lvl w:ilvl="8" w:tplc="04190005" w:tentative="1">
      <w:start w:val="1"/>
      <w:numFmt w:val="bullet"/>
      <w:lvlText w:val=""/>
      <w:lvlJc w:val="left"/>
      <w:pPr>
        <w:tabs>
          <w:tab w:val="num" w:pos="6829"/>
        </w:tabs>
        <w:ind w:left="6829" w:hanging="360"/>
      </w:pPr>
      <w:rPr>
        <w:rFonts w:ascii="Wingdings" w:hAnsi="Wingdings" w:hint="default"/>
      </w:rPr>
    </w:lvl>
  </w:abstractNum>
  <w:abstractNum w:abstractNumId="53">
    <w:nsid w:val="77BF1B4D"/>
    <w:multiLevelType w:val="multilevel"/>
    <w:tmpl w:val="0F9ADBC8"/>
    <w:lvl w:ilvl="0">
      <w:start w:val="1"/>
      <w:numFmt w:val="decimal"/>
      <w:lvlText w:val="%1"/>
      <w:lvlJc w:val="left"/>
      <w:pPr>
        <w:ind w:left="360" w:hanging="360"/>
      </w:pPr>
      <w:rPr>
        <w:rFonts w:hint="default"/>
      </w:rPr>
    </w:lvl>
    <w:lvl w:ilvl="1">
      <w:start w:val="2"/>
      <w:numFmt w:val="decimal"/>
      <w:lvlText w:val="%1.%2"/>
      <w:lvlJc w:val="left"/>
      <w:pPr>
        <w:ind w:left="927"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4">
    <w:nsid w:val="7AD63D86"/>
    <w:multiLevelType w:val="hybridMultilevel"/>
    <w:tmpl w:val="30EAF6E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5">
    <w:nsid w:val="7C66285E"/>
    <w:multiLevelType w:val="hybridMultilevel"/>
    <w:tmpl w:val="1FAC616A"/>
    <w:lvl w:ilvl="0" w:tplc="90E88BE6">
      <w:start w:val="1"/>
      <w:numFmt w:val="bullet"/>
      <w:lvlText w:val="-"/>
      <w:lvlJc w:val="left"/>
      <w:pPr>
        <w:ind w:left="1429" w:hanging="360"/>
      </w:pPr>
      <w:rPr>
        <w:rFonts w:ascii="Times New Roman" w:eastAsiaTheme="minorHAnsi" w:hAnsi="Times New Roman" w:cs="Times New Roman" w:hint="default"/>
      </w:rPr>
    </w:lvl>
    <w:lvl w:ilvl="1" w:tplc="BDACE5CE">
      <w:numFmt w:val="bullet"/>
      <w:lvlText w:val="–"/>
      <w:lvlJc w:val="left"/>
      <w:pPr>
        <w:ind w:left="2194" w:hanging="405"/>
      </w:pPr>
      <w:rPr>
        <w:rFonts w:ascii="Times New Roman" w:eastAsiaTheme="minorEastAsia" w:hAnsi="Times New Roman" w:cs="Times New Roman"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6">
    <w:nsid w:val="7CFB6C66"/>
    <w:multiLevelType w:val="hybridMultilevel"/>
    <w:tmpl w:val="1FE2789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7">
    <w:nsid w:val="7E346C47"/>
    <w:multiLevelType w:val="singleLevel"/>
    <w:tmpl w:val="04190011"/>
    <w:lvl w:ilvl="0">
      <w:start w:val="1"/>
      <w:numFmt w:val="decimal"/>
      <w:lvlText w:val="%1)"/>
      <w:lvlJc w:val="left"/>
      <w:pPr>
        <w:tabs>
          <w:tab w:val="num" w:pos="360"/>
        </w:tabs>
        <w:ind w:left="360" w:hanging="360"/>
      </w:pPr>
    </w:lvl>
  </w:abstractNum>
  <w:num w:numId="1">
    <w:abstractNumId w:val="36"/>
  </w:num>
  <w:num w:numId="2">
    <w:abstractNumId w:val="4"/>
  </w:num>
  <w:num w:numId="3">
    <w:abstractNumId w:val="35"/>
  </w:num>
  <w:num w:numId="4">
    <w:abstractNumId w:val="26"/>
  </w:num>
  <w:num w:numId="5">
    <w:abstractNumId w:val="38"/>
  </w:num>
  <w:num w:numId="6">
    <w:abstractNumId w:val="32"/>
  </w:num>
  <w:num w:numId="7">
    <w:abstractNumId w:val="40"/>
  </w:num>
  <w:num w:numId="8">
    <w:abstractNumId w:val="51"/>
  </w:num>
  <w:num w:numId="9">
    <w:abstractNumId w:val="49"/>
  </w:num>
  <w:num w:numId="10">
    <w:abstractNumId w:val="50"/>
  </w:num>
  <w:num w:numId="11">
    <w:abstractNumId w:val="20"/>
  </w:num>
  <w:num w:numId="12">
    <w:abstractNumId w:val="7"/>
  </w:num>
  <w:num w:numId="13">
    <w:abstractNumId w:val="52"/>
  </w:num>
  <w:num w:numId="1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9"/>
  </w:num>
  <w:num w:numId="17">
    <w:abstractNumId w:val="18"/>
  </w:num>
  <w:num w:numId="18">
    <w:abstractNumId w:val="55"/>
  </w:num>
  <w:num w:numId="19">
    <w:abstractNumId w:val="42"/>
  </w:num>
  <w:num w:numId="20">
    <w:abstractNumId w:val="22"/>
  </w:num>
  <w:num w:numId="21">
    <w:abstractNumId w:val="10"/>
  </w:num>
  <w:num w:numId="22">
    <w:abstractNumId w:val="16"/>
  </w:num>
  <w:num w:numId="23">
    <w:abstractNumId w:val="48"/>
  </w:num>
  <w:num w:numId="24">
    <w:abstractNumId w:val="53"/>
  </w:num>
  <w:num w:numId="25">
    <w:abstractNumId w:val="3"/>
  </w:num>
  <w:num w:numId="26">
    <w:abstractNumId w:val="15"/>
  </w:num>
  <w:num w:numId="27">
    <w:abstractNumId w:val="14"/>
  </w:num>
  <w:num w:numId="28">
    <w:abstractNumId w:val="39"/>
  </w:num>
  <w:num w:numId="29">
    <w:abstractNumId w:val="2"/>
  </w:num>
  <w:num w:numId="30">
    <w:abstractNumId w:val="0"/>
  </w:num>
  <w:num w:numId="31">
    <w:abstractNumId w:val="45"/>
  </w:num>
  <w:num w:numId="32">
    <w:abstractNumId w:val="57"/>
    <w:lvlOverride w:ilvl="0">
      <w:startOverride w:val="1"/>
    </w:lvlOverride>
  </w:num>
  <w:num w:numId="33">
    <w:abstractNumId w:val="13"/>
  </w:num>
  <w:num w:numId="34">
    <w:abstractNumId w:val="17"/>
  </w:num>
  <w:num w:numId="35">
    <w:abstractNumId w:val="8"/>
  </w:num>
  <w:num w:numId="36">
    <w:abstractNumId w:val="56"/>
  </w:num>
  <w:num w:numId="37">
    <w:abstractNumId w:val="28"/>
  </w:num>
  <w:num w:numId="38">
    <w:abstractNumId w:val="46"/>
  </w:num>
  <w:num w:numId="39">
    <w:abstractNumId w:val="25"/>
  </w:num>
  <w:num w:numId="40">
    <w:abstractNumId w:val="41"/>
  </w:num>
  <w:num w:numId="41">
    <w:abstractNumId w:val="6"/>
  </w:num>
  <w:num w:numId="42">
    <w:abstractNumId w:val="23"/>
  </w:num>
  <w:num w:numId="43">
    <w:abstractNumId w:val="12"/>
  </w:num>
  <w:num w:numId="44">
    <w:abstractNumId w:val="34"/>
  </w:num>
  <w:num w:numId="45">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44"/>
  </w:num>
  <w:num w:numId="47">
    <w:abstractNumId w:val="21"/>
  </w:num>
  <w:num w:numId="48">
    <w:abstractNumId w:val="47"/>
  </w:num>
  <w:num w:numId="49">
    <w:abstractNumId w:val="30"/>
  </w:num>
  <w:num w:numId="50">
    <w:abstractNumId w:val="11"/>
  </w:num>
  <w:num w:numId="51">
    <w:abstractNumId w:val="31"/>
  </w:num>
  <w:num w:numId="52">
    <w:abstractNumId w:val="1"/>
  </w:num>
  <w:num w:numId="53">
    <w:abstractNumId w:val="5"/>
  </w:num>
  <w:num w:numId="54">
    <w:abstractNumId w:val="29"/>
  </w:num>
  <w:num w:numId="55">
    <w:abstractNumId w:val="33"/>
  </w:num>
  <w:num w:numId="56">
    <w:abstractNumId w:val="54"/>
  </w:num>
  <w:num w:numId="57">
    <w:abstractNumId w:val="43"/>
  </w:num>
  <w:num w:numId="58">
    <w:abstractNumId w:val="27"/>
  </w:num>
  <w:numIdMacAtCleanup w:val="5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4"/>
  <w:hideSpellingErrors/>
  <w:hideGrammaticalErrors/>
  <w:proofState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C116F"/>
    <w:rsid w:val="0000036E"/>
    <w:rsid w:val="000003CE"/>
    <w:rsid w:val="000003CF"/>
    <w:rsid w:val="00000770"/>
    <w:rsid w:val="000010C1"/>
    <w:rsid w:val="00002054"/>
    <w:rsid w:val="000025DA"/>
    <w:rsid w:val="00002C5A"/>
    <w:rsid w:val="00002F19"/>
    <w:rsid w:val="00003C85"/>
    <w:rsid w:val="00003E49"/>
    <w:rsid w:val="00004456"/>
    <w:rsid w:val="0000486A"/>
    <w:rsid w:val="00005088"/>
    <w:rsid w:val="00005124"/>
    <w:rsid w:val="00005D1F"/>
    <w:rsid w:val="00005DC7"/>
    <w:rsid w:val="00005FD0"/>
    <w:rsid w:val="0000651D"/>
    <w:rsid w:val="00006A39"/>
    <w:rsid w:val="0000705A"/>
    <w:rsid w:val="0000740D"/>
    <w:rsid w:val="000074ED"/>
    <w:rsid w:val="00007A25"/>
    <w:rsid w:val="000110D5"/>
    <w:rsid w:val="00011981"/>
    <w:rsid w:val="00012C4F"/>
    <w:rsid w:val="0001339D"/>
    <w:rsid w:val="000139EC"/>
    <w:rsid w:val="00013AF9"/>
    <w:rsid w:val="00013B4B"/>
    <w:rsid w:val="00013EF9"/>
    <w:rsid w:val="00013FC5"/>
    <w:rsid w:val="000140ED"/>
    <w:rsid w:val="000147E1"/>
    <w:rsid w:val="000151B8"/>
    <w:rsid w:val="00015498"/>
    <w:rsid w:val="0001673C"/>
    <w:rsid w:val="000168C7"/>
    <w:rsid w:val="0001727C"/>
    <w:rsid w:val="00017610"/>
    <w:rsid w:val="00017B37"/>
    <w:rsid w:val="00017E84"/>
    <w:rsid w:val="00017F66"/>
    <w:rsid w:val="00017F7F"/>
    <w:rsid w:val="00020758"/>
    <w:rsid w:val="00020AC8"/>
    <w:rsid w:val="000216FD"/>
    <w:rsid w:val="0002185F"/>
    <w:rsid w:val="00022B86"/>
    <w:rsid w:val="00022CF2"/>
    <w:rsid w:val="00023206"/>
    <w:rsid w:val="00023711"/>
    <w:rsid w:val="00024CC2"/>
    <w:rsid w:val="000252F8"/>
    <w:rsid w:val="00026984"/>
    <w:rsid w:val="00026EB7"/>
    <w:rsid w:val="000273AB"/>
    <w:rsid w:val="000300D3"/>
    <w:rsid w:val="00030901"/>
    <w:rsid w:val="00031E96"/>
    <w:rsid w:val="000331C9"/>
    <w:rsid w:val="0003323E"/>
    <w:rsid w:val="0003332D"/>
    <w:rsid w:val="00033988"/>
    <w:rsid w:val="00033D42"/>
    <w:rsid w:val="00033E35"/>
    <w:rsid w:val="000340EF"/>
    <w:rsid w:val="0003478E"/>
    <w:rsid w:val="00034AA0"/>
    <w:rsid w:val="00035E7C"/>
    <w:rsid w:val="00036072"/>
    <w:rsid w:val="0003664D"/>
    <w:rsid w:val="00036CEE"/>
    <w:rsid w:val="00037090"/>
    <w:rsid w:val="0003729C"/>
    <w:rsid w:val="0003792D"/>
    <w:rsid w:val="000403B9"/>
    <w:rsid w:val="00040BBC"/>
    <w:rsid w:val="000423DC"/>
    <w:rsid w:val="000429F5"/>
    <w:rsid w:val="000439D3"/>
    <w:rsid w:val="00044303"/>
    <w:rsid w:val="0004457E"/>
    <w:rsid w:val="00044911"/>
    <w:rsid w:val="00045257"/>
    <w:rsid w:val="000458B6"/>
    <w:rsid w:val="00045D3A"/>
    <w:rsid w:val="00045E30"/>
    <w:rsid w:val="00045F8E"/>
    <w:rsid w:val="00046056"/>
    <w:rsid w:val="00046E0F"/>
    <w:rsid w:val="000502C6"/>
    <w:rsid w:val="00050ABC"/>
    <w:rsid w:val="000512B2"/>
    <w:rsid w:val="000518A5"/>
    <w:rsid w:val="00051FC4"/>
    <w:rsid w:val="00052BD6"/>
    <w:rsid w:val="00053E5B"/>
    <w:rsid w:val="00056C0C"/>
    <w:rsid w:val="000572D4"/>
    <w:rsid w:val="00057E76"/>
    <w:rsid w:val="0006054D"/>
    <w:rsid w:val="0006083C"/>
    <w:rsid w:val="00060C3A"/>
    <w:rsid w:val="000611C0"/>
    <w:rsid w:val="000612DF"/>
    <w:rsid w:val="00061998"/>
    <w:rsid w:val="00061A9C"/>
    <w:rsid w:val="00061AF0"/>
    <w:rsid w:val="00061CD8"/>
    <w:rsid w:val="000620AA"/>
    <w:rsid w:val="00062729"/>
    <w:rsid w:val="000627EB"/>
    <w:rsid w:val="0006283F"/>
    <w:rsid w:val="00062997"/>
    <w:rsid w:val="00062B83"/>
    <w:rsid w:val="00063012"/>
    <w:rsid w:val="00064B2A"/>
    <w:rsid w:val="0006530C"/>
    <w:rsid w:val="000659FA"/>
    <w:rsid w:val="00065AC0"/>
    <w:rsid w:val="00065DFE"/>
    <w:rsid w:val="00065F95"/>
    <w:rsid w:val="000663CF"/>
    <w:rsid w:val="000664BA"/>
    <w:rsid w:val="00066998"/>
    <w:rsid w:val="0006747E"/>
    <w:rsid w:val="000679BA"/>
    <w:rsid w:val="00067E7E"/>
    <w:rsid w:val="00067FB1"/>
    <w:rsid w:val="0007075F"/>
    <w:rsid w:val="00070C1A"/>
    <w:rsid w:val="0007105C"/>
    <w:rsid w:val="00071180"/>
    <w:rsid w:val="000711C9"/>
    <w:rsid w:val="000719A8"/>
    <w:rsid w:val="00072CD2"/>
    <w:rsid w:val="000733FA"/>
    <w:rsid w:val="00074FAD"/>
    <w:rsid w:val="00075814"/>
    <w:rsid w:val="000759CE"/>
    <w:rsid w:val="00075C10"/>
    <w:rsid w:val="00075CD2"/>
    <w:rsid w:val="00076BEE"/>
    <w:rsid w:val="00076DFF"/>
    <w:rsid w:val="000771F6"/>
    <w:rsid w:val="000773D0"/>
    <w:rsid w:val="00080884"/>
    <w:rsid w:val="00080A47"/>
    <w:rsid w:val="0008180F"/>
    <w:rsid w:val="000822BC"/>
    <w:rsid w:val="00082769"/>
    <w:rsid w:val="00082A6B"/>
    <w:rsid w:val="00082E69"/>
    <w:rsid w:val="00083542"/>
    <w:rsid w:val="00085B6E"/>
    <w:rsid w:val="0008762E"/>
    <w:rsid w:val="000879D0"/>
    <w:rsid w:val="00087EE3"/>
    <w:rsid w:val="00087FB0"/>
    <w:rsid w:val="00090035"/>
    <w:rsid w:val="00090F6E"/>
    <w:rsid w:val="00091061"/>
    <w:rsid w:val="0009113E"/>
    <w:rsid w:val="00091D52"/>
    <w:rsid w:val="00091DA7"/>
    <w:rsid w:val="00092029"/>
    <w:rsid w:val="00092578"/>
    <w:rsid w:val="00092935"/>
    <w:rsid w:val="000929AD"/>
    <w:rsid w:val="00092CAE"/>
    <w:rsid w:val="00092CB2"/>
    <w:rsid w:val="00092D5D"/>
    <w:rsid w:val="00092DF1"/>
    <w:rsid w:val="00092FD1"/>
    <w:rsid w:val="000933B4"/>
    <w:rsid w:val="00095008"/>
    <w:rsid w:val="000952A0"/>
    <w:rsid w:val="00095437"/>
    <w:rsid w:val="0009673F"/>
    <w:rsid w:val="000971A5"/>
    <w:rsid w:val="0009725E"/>
    <w:rsid w:val="000976B4"/>
    <w:rsid w:val="000977FA"/>
    <w:rsid w:val="0009791E"/>
    <w:rsid w:val="00097E32"/>
    <w:rsid w:val="000A060F"/>
    <w:rsid w:val="000A07B6"/>
    <w:rsid w:val="000A11C0"/>
    <w:rsid w:val="000A11CF"/>
    <w:rsid w:val="000A13AC"/>
    <w:rsid w:val="000A13DE"/>
    <w:rsid w:val="000A257C"/>
    <w:rsid w:val="000A2819"/>
    <w:rsid w:val="000A3CA3"/>
    <w:rsid w:val="000A4B79"/>
    <w:rsid w:val="000A5031"/>
    <w:rsid w:val="000A5E5B"/>
    <w:rsid w:val="000A614C"/>
    <w:rsid w:val="000A6889"/>
    <w:rsid w:val="000A6A1B"/>
    <w:rsid w:val="000A6B6D"/>
    <w:rsid w:val="000A76AB"/>
    <w:rsid w:val="000B1A3B"/>
    <w:rsid w:val="000B1EFA"/>
    <w:rsid w:val="000B2804"/>
    <w:rsid w:val="000B36AA"/>
    <w:rsid w:val="000B39FE"/>
    <w:rsid w:val="000B3BED"/>
    <w:rsid w:val="000B42EB"/>
    <w:rsid w:val="000B42F0"/>
    <w:rsid w:val="000B4426"/>
    <w:rsid w:val="000B49F0"/>
    <w:rsid w:val="000B5150"/>
    <w:rsid w:val="000B52BB"/>
    <w:rsid w:val="000B52F1"/>
    <w:rsid w:val="000B580D"/>
    <w:rsid w:val="000B5834"/>
    <w:rsid w:val="000B5CF4"/>
    <w:rsid w:val="000B6647"/>
    <w:rsid w:val="000B69AB"/>
    <w:rsid w:val="000B6E93"/>
    <w:rsid w:val="000C00D5"/>
    <w:rsid w:val="000C0445"/>
    <w:rsid w:val="000C0EA7"/>
    <w:rsid w:val="000C15EE"/>
    <w:rsid w:val="000C1603"/>
    <w:rsid w:val="000C1E00"/>
    <w:rsid w:val="000C23B3"/>
    <w:rsid w:val="000C2504"/>
    <w:rsid w:val="000C2AC8"/>
    <w:rsid w:val="000C2C58"/>
    <w:rsid w:val="000C2CDB"/>
    <w:rsid w:val="000C3320"/>
    <w:rsid w:val="000C3757"/>
    <w:rsid w:val="000C3DD3"/>
    <w:rsid w:val="000C4411"/>
    <w:rsid w:val="000C449E"/>
    <w:rsid w:val="000C51B5"/>
    <w:rsid w:val="000C5279"/>
    <w:rsid w:val="000C5386"/>
    <w:rsid w:val="000C6B60"/>
    <w:rsid w:val="000C6BF3"/>
    <w:rsid w:val="000C6DAF"/>
    <w:rsid w:val="000C73A8"/>
    <w:rsid w:val="000C7594"/>
    <w:rsid w:val="000D004C"/>
    <w:rsid w:val="000D0487"/>
    <w:rsid w:val="000D0ADC"/>
    <w:rsid w:val="000D0E75"/>
    <w:rsid w:val="000D10BE"/>
    <w:rsid w:val="000D1587"/>
    <w:rsid w:val="000D197B"/>
    <w:rsid w:val="000D2F28"/>
    <w:rsid w:val="000D35DB"/>
    <w:rsid w:val="000D3FB5"/>
    <w:rsid w:val="000D40E9"/>
    <w:rsid w:val="000D675B"/>
    <w:rsid w:val="000D6A1D"/>
    <w:rsid w:val="000D7C44"/>
    <w:rsid w:val="000D7D4D"/>
    <w:rsid w:val="000E06F7"/>
    <w:rsid w:val="000E1241"/>
    <w:rsid w:val="000E1690"/>
    <w:rsid w:val="000E1CCD"/>
    <w:rsid w:val="000E1D03"/>
    <w:rsid w:val="000E1E3B"/>
    <w:rsid w:val="000E2232"/>
    <w:rsid w:val="000E23D5"/>
    <w:rsid w:val="000E29C8"/>
    <w:rsid w:val="000E2AC4"/>
    <w:rsid w:val="000E2BBF"/>
    <w:rsid w:val="000E30B1"/>
    <w:rsid w:val="000E30CC"/>
    <w:rsid w:val="000E324A"/>
    <w:rsid w:val="000E3464"/>
    <w:rsid w:val="000E3695"/>
    <w:rsid w:val="000E39CA"/>
    <w:rsid w:val="000E3C21"/>
    <w:rsid w:val="000E4954"/>
    <w:rsid w:val="000E4A40"/>
    <w:rsid w:val="000E4CB7"/>
    <w:rsid w:val="000E5D02"/>
    <w:rsid w:val="000E6192"/>
    <w:rsid w:val="000E6BF7"/>
    <w:rsid w:val="000E71D1"/>
    <w:rsid w:val="000E71D7"/>
    <w:rsid w:val="000E7B8A"/>
    <w:rsid w:val="000F01CB"/>
    <w:rsid w:val="000F0377"/>
    <w:rsid w:val="000F0A2B"/>
    <w:rsid w:val="000F0D90"/>
    <w:rsid w:val="000F1D15"/>
    <w:rsid w:val="000F2077"/>
    <w:rsid w:val="000F2EEF"/>
    <w:rsid w:val="000F3072"/>
    <w:rsid w:val="000F3DB5"/>
    <w:rsid w:val="000F4F4F"/>
    <w:rsid w:val="000F5442"/>
    <w:rsid w:val="000F6994"/>
    <w:rsid w:val="000F6D17"/>
    <w:rsid w:val="000F7A7A"/>
    <w:rsid w:val="000F7D7F"/>
    <w:rsid w:val="0010078D"/>
    <w:rsid w:val="00100D48"/>
    <w:rsid w:val="00101006"/>
    <w:rsid w:val="0010152A"/>
    <w:rsid w:val="001016D4"/>
    <w:rsid w:val="001021FD"/>
    <w:rsid w:val="001022FA"/>
    <w:rsid w:val="00102479"/>
    <w:rsid w:val="00102B3F"/>
    <w:rsid w:val="001031BE"/>
    <w:rsid w:val="00103C0C"/>
    <w:rsid w:val="00104D4A"/>
    <w:rsid w:val="00105176"/>
    <w:rsid w:val="00105639"/>
    <w:rsid w:val="00105DFD"/>
    <w:rsid w:val="001061D5"/>
    <w:rsid w:val="001063E2"/>
    <w:rsid w:val="00106A0D"/>
    <w:rsid w:val="00107143"/>
    <w:rsid w:val="00107525"/>
    <w:rsid w:val="00107B20"/>
    <w:rsid w:val="00110032"/>
    <w:rsid w:val="001102BD"/>
    <w:rsid w:val="00110A7C"/>
    <w:rsid w:val="0011152F"/>
    <w:rsid w:val="00111929"/>
    <w:rsid w:val="00112625"/>
    <w:rsid w:val="00113116"/>
    <w:rsid w:val="00113119"/>
    <w:rsid w:val="00113194"/>
    <w:rsid w:val="001141AE"/>
    <w:rsid w:val="001146B6"/>
    <w:rsid w:val="0011521B"/>
    <w:rsid w:val="00115416"/>
    <w:rsid w:val="00115787"/>
    <w:rsid w:val="00115C21"/>
    <w:rsid w:val="00115E6D"/>
    <w:rsid w:val="001160C7"/>
    <w:rsid w:val="00116CBA"/>
    <w:rsid w:val="0012039D"/>
    <w:rsid w:val="001203EF"/>
    <w:rsid w:val="001204CA"/>
    <w:rsid w:val="001207EF"/>
    <w:rsid w:val="00120A91"/>
    <w:rsid w:val="001218AF"/>
    <w:rsid w:val="00121AC6"/>
    <w:rsid w:val="001221DE"/>
    <w:rsid w:val="00122851"/>
    <w:rsid w:val="00122C86"/>
    <w:rsid w:val="00122DBC"/>
    <w:rsid w:val="00123190"/>
    <w:rsid w:val="00124867"/>
    <w:rsid w:val="001250E1"/>
    <w:rsid w:val="00125C15"/>
    <w:rsid w:val="00125ED2"/>
    <w:rsid w:val="00125FDA"/>
    <w:rsid w:val="0012630D"/>
    <w:rsid w:val="00126D76"/>
    <w:rsid w:val="00127459"/>
    <w:rsid w:val="001275CE"/>
    <w:rsid w:val="00127618"/>
    <w:rsid w:val="00127D6A"/>
    <w:rsid w:val="00127DE8"/>
    <w:rsid w:val="001303CB"/>
    <w:rsid w:val="00130508"/>
    <w:rsid w:val="00130D22"/>
    <w:rsid w:val="00132540"/>
    <w:rsid w:val="00132817"/>
    <w:rsid w:val="00132A07"/>
    <w:rsid w:val="00132A0E"/>
    <w:rsid w:val="00132DD2"/>
    <w:rsid w:val="00132F56"/>
    <w:rsid w:val="0013389B"/>
    <w:rsid w:val="001338C6"/>
    <w:rsid w:val="00133A77"/>
    <w:rsid w:val="00134806"/>
    <w:rsid w:val="00134CA8"/>
    <w:rsid w:val="001353E5"/>
    <w:rsid w:val="001366C9"/>
    <w:rsid w:val="00137A5B"/>
    <w:rsid w:val="00137BA7"/>
    <w:rsid w:val="00137DC5"/>
    <w:rsid w:val="00137DC8"/>
    <w:rsid w:val="00140110"/>
    <w:rsid w:val="00140862"/>
    <w:rsid w:val="00140957"/>
    <w:rsid w:val="00140B97"/>
    <w:rsid w:val="00140DD5"/>
    <w:rsid w:val="00141C18"/>
    <w:rsid w:val="0014265B"/>
    <w:rsid w:val="00143498"/>
    <w:rsid w:val="001435D5"/>
    <w:rsid w:val="00144BB4"/>
    <w:rsid w:val="00144E01"/>
    <w:rsid w:val="001451FD"/>
    <w:rsid w:val="001453C9"/>
    <w:rsid w:val="001455E0"/>
    <w:rsid w:val="00145926"/>
    <w:rsid w:val="00145C9F"/>
    <w:rsid w:val="00145D00"/>
    <w:rsid w:val="00145D1D"/>
    <w:rsid w:val="0014646B"/>
    <w:rsid w:val="00147534"/>
    <w:rsid w:val="001477F9"/>
    <w:rsid w:val="00150463"/>
    <w:rsid w:val="00150A52"/>
    <w:rsid w:val="00150E80"/>
    <w:rsid w:val="001515B7"/>
    <w:rsid w:val="001515F0"/>
    <w:rsid w:val="00153232"/>
    <w:rsid w:val="00153E19"/>
    <w:rsid w:val="00154A63"/>
    <w:rsid w:val="00154DAC"/>
    <w:rsid w:val="00154F8F"/>
    <w:rsid w:val="00155F0D"/>
    <w:rsid w:val="001607E7"/>
    <w:rsid w:val="0016111E"/>
    <w:rsid w:val="001617AF"/>
    <w:rsid w:val="00161964"/>
    <w:rsid w:val="00161986"/>
    <w:rsid w:val="00161A02"/>
    <w:rsid w:val="00161D58"/>
    <w:rsid w:val="00161FD9"/>
    <w:rsid w:val="00162CAD"/>
    <w:rsid w:val="00163085"/>
    <w:rsid w:val="00163CA4"/>
    <w:rsid w:val="00163F0B"/>
    <w:rsid w:val="00163FCF"/>
    <w:rsid w:val="0016433E"/>
    <w:rsid w:val="001657D6"/>
    <w:rsid w:val="00165AB2"/>
    <w:rsid w:val="00165C7C"/>
    <w:rsid w:val="00165D4D"/>
    <w:rsid w:val="0016623C"/>
    <w:rsid w:val="00166433"/>
    <w:rsid w:val="00166A87"/>
    <w:rsid w:val="00166D28"/>
    <w:rsid w:val="00167155"/>
    <w:rsid w:val="001673FA"/>
    <w:rsid w:val="00167501"/>
    <w:rsid w:val="0016765A"/>
    <w:rsid w:val="00167667"/>
    <w:rsid w:val="00167B68"/>
    <w:rsid w:val="0017000B"/>
    <w:rsid w:val="00170364"/>
    <w:rsid w:val="00170633"/>
    <w:rsid w:val="00170D56"/>
    <w:rsid w:val="00171EE0"/>
    <w:rsid w:val="00171FC0"/>
    <w:rsid w:val="00172004"/>
    <w:rsid w:val="00172923"/>
    <w:rsid w:val="00172DC3"/>
    <w:rsid w:val="0017319B"/>
    <w:rsid w:val="001732B8"/>
    <w:rsid w:val="001732C1"/>
    <w:rsid w:val="00173A86"/>
    <w:rsid w:val="001741CB"/>
    <w:rsid w:val="0017462F"/>
    <w:rsid w:val="00174A8F"/>
    <w:rsid w:val="001764BA"/>
    <w:rsid w:val="00176674"/>
    <w:rsid w:val="0017699E"/>
    <w:rsid w:val="00177C95"/>
    <w:rsid w:val="001809BC"/>
    <w:rsid w:val="00180A8D"/>
    <w:rsid w:val="00181AA5"/>
    <w:rsid w:val="00181D9E"/>
    <w:rsid w:val="00182418"/>
    <w:rsid w:val="001839CF"/>
    <w:rsid w:val="0018448B"/>
    <w:rsid w:val="00184EB0"/>
    <w:rsid w:val="00185B43"/>
    <w:rsid w:val="00185C32"/>
    <w:rsid w:val="00185EF2"/>
    <w:rsid w:val="001862F9"/>
    <w:rsid w:val="00186BE6"/>
    <w:rsid w:val="00186F1D"/>
    <w:rsid w:val="00187565"/>
    <w:rsid w:val="00190B74"/>
    <w:rsid w:val="00190BFE"/>
    <w:rsid w:val="00190DD1"/>
    <w:rsid w:val="00191358"/>
    <w:rsid w:val="0019135D"/>
    <w:rsid w:val="001918FC"/>
    <w:rsid w:val="00191A25"/>
    <w:rsid w:val="00191C0C"/>
    <w:rsid w:val="00192FB4"/>
    <w:rsid w:val="001933F2"/>
    <w:rsid w:val="00193488"/>
    <w:rsid w:val="0019506D"/>
    <w:rsid w:val="001950DD"/>
    <w:rsid w:val="00196227"/>
    <w:rsid w:val="00196EFD"/>
    <w:rsid w:val="001970C6"/>
    <w:rsid w:val="00197273"/>
    <w:rsid w:val="00197409"/>
    <w:rsid w:val="0019760E"/>
    <w:rsid w:val="001A05C0"/>
    <w:rsid w:val="001A1291"/>
    <w:rsid w:val="001A1302"/>
    <w:rsid w:val="001A1D12"/>
    <w:rsid w:val="001A1DBC"/>
    <w:rsid w:val="001A1FD2"/>
    <w:rsid w:val="001A2B79"/>
    <w:rsid w:val="001A353E"/>
    <w:rsid w:val="001A3A10"/>
    <w:rsid w:val="001A3BEA"/>
    <w:rsid w:val="001A4747"/>
    <w:rsid w:val="001A474C"/>
    <w:rsid w:val="001A4806"/>
    <w:rsid w:val="001A5762"/>
    <w:rsid w:val="001A5864"/>
    <w:rsid w:val="001A5B85"/>
    <w:rsid w:val="001A5E14"/>
    <w:rsid w:val="001A5F42"/>
    <w:rsid w:val="001A6C03"/>
    <w:rsid w:val="001A71BB"/>
    <w:rsid w:val="001A787D"/>
    <w:rsid w:val="001A7C8C"/>
    <w:rsid w:val="001B010B"/>
    <w:rsid w:val="001B02F6"/>
    <w:rsid w:val="001B0584"/>
    <w:rsid w:val="001B0792"/>
    <w:rsid w:val="001B34EF"/>
    <w:rsid w:val="001B3851"/>
    <w:rsid w:val="001B454D"/>
    <w:rsid w:val="001B4579"/>
    <w:rsid w:val="001B4649"/>
    <w:rsid w:val="001B4847"/>
    <w:rsid w:val="001B631B"/>
    <w:rsid w:val="001B6D21"/>
    <w:rsid w:val="001B72E9"/>
    <w:rsid w:val="001B74BD"/>
    <w:rsid w:val="001B78EC"/>
    <w:rsid w:val="001C0595"/>
    <w:rsid w:val="001C116F"/>
    <w:rsid w:val="001C11B3"/>
    <w:rsid w:val="001C1342"/>
    <w:rsid w:val="001C2E78"/>
    <w:rsid w:val="001C3B03"/>
    <w:rsid w:val="001C3E77"/>
    <w:rsid w:val="001C461D"/>
    <w:rsid w:val="001C4895"/>
    <w:rsid w:val="001C5312"/>
    <w:rsid w:val="001C5DDB"/>
    <w:rsid w:val="001C5F97"/>
    <w:rsid w:val="001C60D5"/>
    <w:rsid w:val="001C63FE"/>
    <w:rsid w:val="001C6573"/>
    <w:rsid w:val="001C68A2"/>
    <w:rsid w:val="001C6944"/>
    <w:rsid w:val="001C75EC"/>
    <w:rsid w:val="001C77D1"/>
    <w:rsid w:val="001C7AB6"/>
    <w:rsid w:val="001C7F4C"/>
    <w:rsid w:val="001D1484"/>
    <w:rsid w:val="001D1972"/>
    <w:rsid w:val="001D1B84"/>
    <w:rsid w:val="001D22A5"/>
    <w:rsid w:val="001D342F"/>
    <w:rsid w:val="001D47CC"/>
    <w:rsid w:val="001D498F"/>
    <w:rsid w:val="001D6579"/>
    <w:rsid w:val="001D74A0"/>
    <w:rsid w:val="001E05ED"/>
    <w:rsid w:val="001E0810"/>
    <w:rsid w:val="001E0C82"/>
    <w:rsid w:val="001E0DFB"/>
    <w:rsid w:val="001E1683"/>
    <w:rsid w:val="001E170C"/>
    <w:rsid w:val="001E18F0"/>
    <w:rsid w:val="001E1C91"/>
    <w:rsid w:val="001E1D84"/>
    <w:rsid w:val="001E1DF5"/>
    <w:rsid w:val="001E1EA4"/>
    <w:rsid w:val="001E1ECF"/>
    <w:rsid w:val="001E20F7"/>
    <w:rsid w:val="001E2164"/>
    <w:rsid w:val="001E2949"/>
    <w:rsid w:val="001E29EC"/>
    <w:rsid w:val="001E302D"/>
    <w:rsid w:val="001E3666"/>
    <w:rsid w:val="001E3A02"/>
    <w:rsid w:val="001E3AB1"/>
    <w:rsid w:val="001E4344"/>
    <w:rsid w:val="001E46CE"/>
    <w:rsid w:val="001E49DD"/>
    <w:rsid w:val="001E4D3A"/>
    <w:rsid w:val="001E4D96"/>
    <w:rsid w:val="001E56A0"/>
    <w:rsid w:val="001E57B0"/>
    <w:rsid w:val="001E5EBC"/>
    <w:rsid w:val="001E6563"/>
    <w:rsid w:val="001E70CB"/>
    <w:rsid w:val="001E7123"/>
    <w:rsid w:val="001E7363"/>
    <w:rsid w:val="001F000F"/>
    <w:rsid w:val="001F065F"/>
    <w:rsid w:val="001F14B9"/>
    <w:rsid w:val="001F16DE"/>
    <w:rsid w:val="001F1CED"/>
    <w:rsid w:val="001F272A"/>
    <w:rsid w:val="001F2B5E"/>
    <w:rsid w:val="001F31C8"/>
    <w:rsid w:val="001F3B71"/>
    <w:rsid w:val="001F41FB"/>
    <w:rsid w:val="001F550D"/>
    <w:rsid w:val="001F5D7F"/>
    <w:rsid w:val="001F6DB4"/>
    <w:rsid w:val="001F71C2"/>
    <w:rsid w:val="001F7350"/>
    <w:rsid w:val="001F7359"/>
    <w:rsid w:val="001F7CEB"/>
    <w:rsid w:val="00201531"/>
    <w:rsid w:val="00201917"/>
    <w:rsid w:val="002019A4"/>
    <w:rsid w:val="00203819"/>
    <w:rsid w:val="002040D1"/>
    <w:rsid w:val="002047B0"/>
    <w:rsid w:val="00204A4A"/>
    <w:rsid w:val="00204B2F"/>
    <w:rsid w:val="00205358"/>
    <w:rsid w:val="0020615C"/>
    <w:rsid w:val="002065D2"/>
    <w:rsid w:val="00206B55"/>
    <w:rsid w:val="00207DC2"/>
    <w:rsid w:val="00210367"/>
    <w:rsid w:val="0021090D"/>
    <w:rsid w:val="00211051"/>
    <w:rsid w:val="00211C47"/>
    <w:rsid w:val="0021248F"/>
    <w:rsid w:val="002127C7"/>
    <w:rsid w:val="00212E12"/>
    <w:rsid w:val="00213441"/>
    <w:rsid w:val="002145EB"/>
    <w:rsid w:val="00214819"/>
    <w:rsid w:val="00214978"/>
    <w:rsid w:val="00214A0D"/>
    <w:rsid w:val="0021560C"/>
    <w:rsid w:val="0021642C"/>
    <w:rsid w:val="00216F0B"/>
    <w:rsid w:val="0021738C"/>
    <w:rsid w:val="00217404"/>
    <w:rsid w:val="00220C7C"/>
    <w:rsid w:val="00221170"/>
    <w:rsid w:val="002211D4"/>
    <w:rsid w:val="00222129"/>
    <w:rsid w:val="00222221"/>
    <w:rsid w:val="00222C68"/>
    <w:rsid w:val="00223A24"/>
    <w:rsid w:val="00223D4E"/>
    <w:rsid w:val="00223E17"/>
    <w:rsid w:val="00224D7C"/>
    <w:rsid w:val="00225468"/>
    <w:rsid w:val="0022682C"/>
    <w:rsid w:val="00230BFF"/>
    <w:rsid w:val="00230CC9"/>
    <w:rsid w:val="00231426"/>
    <w:rsid w:val="00231816"/>
    <w:rsid w:val="00231FE8"/>
    <w:rsid w:val="00232266"/>
    <w:rsid w:val="00232399"/>
    <w:rsid w:val="002326C4"/>
    <w:rsid w:val="0023420B"/>
    <w:rsid w:val="0023553E"/>
    <w:rsid w:val="00235918"/>
    <w:rsid w:val="00235EC0"/>
    <w:rsid w:val="00236627"/>
    <w:rsid w:val="00236ACA"/>
    <w:rsid w:val="002376EF"/>
    <w:rsid w:val="00237D34"/>
    <w:rsid w:val="00237D9F"/>
    <w:rsid w:val="0024017B"/>
    <w:rsid w:val="00240235"/>
    <w:rsid w:val="0024097E"/>
    <w:rsid w:val="00240A8D"/>
    <w:rsid w:val="00240BA2"/>
    <w:rsid w:val="002413F0"/>
    <w:rsid w:val="00241534"/>
    <w:rsid w:val="002418D6"/>
    <w:rsid w:val="00241991"/>
    <w:rsid w:val="00242F6B"/>
    <w:rsid w:val="0024339E"/>
    <w:rsid w:val="0024398B"/>
    <w:rsid w:val="00243AE9"/>
    <w:rsid w:val="00243E35"/>
    <w:rsid w:val="002442DA"/>
    <w:rsid w:val="00244F78"/>
    <w:rsid w:val="00245598"/>
    <w:rsid w:val="00245E92"/>
    <w:rsid w:val="002466A0"/>
    <w:rsid w:val="002467A4"/>
    <w:rsid w:val="00247C20"/>
    <w:rsid w:val="0025033C"/>
    <w:rsid w:val="00250408"/>
    <w:rsid w:val="0025050D"/>
    <w:rsid w:val="00250CE0"/>
    <w:rsid w:val="00251022"/>
    <w:rsid w:val="0025293A"/>
    <w:rsid w:val="00252940"/>
    <w:rsid w:val="00252A34"/>
    <w:rsid w:val="00252C51"/>
    <w:rsid w:val="002535CD"/>
    <w:rsid w:val="00253EF1"/>
    <w:rsid w:val="00253FCE"/>
    <w:rsid w:val="00254DB6"/>
    <w:rsid w:val="0025561B"/>
    <w:rsid w:val="0025613D"/>
    <w:rsid w:val="00256687"/>
    <w:rsid w:val="00256AB0"/>
    <w:rsid w:val="00256B7F"/>
    <w:rsid w:val="002577D5"/>
    <w:rsid w:val="0026072C"/>
    <w:rsid w:val="00260D8D"/>
    <w:rsid w:val="00261931"/>
    <w:rsid w:val="00262C0D"/>
    <w:rsid w:val="0026364A"/>
    <w:rsid w:val="00263F98"/>
    <w:rsid w:val="00264316"/>
    <w:rsid w:val="00264B29"/>
    <w:rsid w:val="00265E6C"/>
    <w:rsid w:val="00265EA0"/>
    <w:rsid w:val="00265F90"/>
    <w:rsid w:val="00266328"/>
    <w:rsid w:val="00266B9D"/>
    <w:rsid w:val="00267F58"/>
    <w:rsid w:val="002702B0"/>
    <w:rsid w:val="002709FB"/>
    <w:rsid w:val="00271031"/>
    <w:rsid w:val="00271E44"/>
    <w:rsid w:val="00272062"/>
    <w:rsid w:val="002723E4"/>
    <w:rsid w:val="00272702"/>
    <w:rsid w:val="0027308C"/>
    <w:rsid w:val="00273471"/>
    <w:rsid w:val="0027395D"/>
    <w:rsid w:val="00273B99"/>
    <w:rsid w:val="0027469D"/>
    <w:rsid w:val="00274E1F"/>
    <w:rsid w:val="00274E3D"/>
    <w:rsid w:val="00274EB2"/>
    <w:rsid w:val="00275EED"/>
    <w:rsid w:val="002770A5"/>
    <w:rsid w:val="00277223"/>
    <w:rsid w:val="002774CE"/>
    <w:rsid w:val="00277836"/>
    <w:rsid w:val="00280AAC"/>
    <w:rsid w:val="00280B06"/>
    <w:rsid w:val="0028155C"/>
    <w:rsid w:val="002818B8"/>
    <w:rsid w:val="00281AD0"/>
    <w:rsid w:val="00281C75"/>
    <w:rsid w:val="00281E1C"/>
    <w:rsid w:val="002825F6"/>
    <w:rsid w:val="00282F93"/>
    <w:rsid w:val="002834B6"/>
    <w:rsid w:val="002835DF"/>
    <w:rsid w:val="00283A7A"/>
    <w:rsid w:val="002842BC"/>
    <w:rsid w:val="00284B85"/>
    <w:rsid w:val="00284E43"/>
    <w:rsid w:val="00285700"/>
    <w:rsid w:val="00285CB1"/>
    <w:rsid w:val="0028610B"/>
    <w:rsid w:val="0028613E"/>
    <w:rsid w:val="002861BC"/>
    <w:rsid w:val="00286546"/>
    <w:rsid w:val="0028682E"/>
    <w:rsid w:val="0028691E"/>
    <w:rsid w:val="002871EC"/>
    <w:rsid w:val="00287BB5"/>
    <w:rsid w:val="00287D53"/>
    <w:rsid w:val="002903DB"/>
    <w:rsid w:val="002905B0"/>
    <w:rsid w:val="00290D3B"/>
    <w:rsid w:val="00291ECF"/>
    <w:rsid w:val="002937A3"/>
    <w:rsid w:val="00293903"/>
    <w:rsid w:val="00293A57"/>
    <w:rsid w:val="002945EA"/>
    <w:rsid w:val="00294658"/>
    <w:rsid w:val="00294F56"/>
    <w:rsid w:val="00295113"/>
    <w:rsid w:val="00295200"/>
    <w:rsid w:val="00296A35"/>
    <w:rsid w:val="00296CDA"/>
    <w:rsid w:val="0029704A"/>
    <w:rsid w:val="0029718D"/>
    <w:rsid w:val="0029745C"/>
    <w:rsid w:val="00297B5B"/>
    <w:rsid w:val="002A015C"/>
    <w:rsid w:val="002A14EC"/>
    <w:rsid w:val="002A1573"/>
    <w:rsid w:val="002A1EE3"/>
    <w:rsid w:val="002A23C9"/>
    <w:rsid w:val="002A30C8"/>
    <w:rsid w:val="002A3464"/>
    <w:rsid w:val="002A39B4"/>
    <w:rsid w:val="002A42B2"/>
    <w:rsid w:val="002A4378"/>
    <w:rsid w:val="002A4861"/>
    <w:rsid w:val="002A4A54"/>
    <w:rsid w:val="002A5036"/>
    <w:rsid w:val="002A541A"/>
    <w:rsid w:val="002A565A"/>
    <w:rsid w:val="002A6C74"/>
    <w:rsid w:val="002A71F0"/>
    <w:rsid w:val="002A7447"/>
    <w:rsid w:val="002A7879"/>
    <w:rsid w:val="002B131C"/>
    <w:rsid w:val="002B15BE"/>
    <w:rsid w:val="002B1B59"/>
    <w:rsid w:val="002B303D"/>
    <w:rsid w:val="002B33EA"/>
    <w:rsid w:val="002B3B63"/>
    <w:rsid w:val="002B3BA1"/>
    <w:rsid w:val="002B3E61"/>
    <w:rsid w:val="002B4033"/>
    <w:rsid w:val="002B4A72"/>
    <w:rsid w:val="002B54BB"/>
    <w:rsid w:val="002B59D1"/>
    <w:rsid w:val="002B7699"/>
    <w:rsid w:val="002B7825"/>
    <w:rsid w:val="002B78B3"/>
    <w:rsid w:val="002C0232"/>
    <w:rsid w:val="002C0B8F"/>
    <w:rsid w:val="002C0BCC"/>
    <w:rsid w:val="002C0DA6"/>
    <w:rsid w:val="002C187C"/>
    <w:rsid w:val="002C1B21"/>
    <w:rsid w:val="002C31D7"/>
    <w:rsid w:val="002C3A6A"/>
    <w:rsid w:val="002C41E4"/>
    <w:rsid w:val="002C4362"/>
    <w:rsid w:val="002C442F"/>
    <w:rsid w:val="002C51EA"/>
    <w:rsid w:val="002C5860"/>
    <w:rsid w:val="002C59A6"/>
    <w:rsid w:val="002C5DDA"/>
    <w:rsid w:val="002C5EDB"/>
    <w:rsid w:val="002C632C"/>
    <w:rsid w:val="002C65A4"/>
    <w:rsid w:val="002C7B2C"/>
    <w:rsid w:val="002D0002"/>
    <w:rsid w:val="002D01E7"/>
    <w:rsid w:val="002D05FD"/>
    <w:rsid w:val="002D0782"/>
    <w:rsid w:val="002D0F5C"/>
    <w:rsid w:val="002D13EF"/>
    <w:rsid w:val="002D219E"/>
    <w:rsid w:val="002D227E"/>
    <w:rsid w:val="002D27AB"/>
    <w:rsid w:val="002D28DD"/>
    <w:rsid w:val="002D292A"/>
    <w:rsid w:val="002D2C06"/>
    <w:rsid w:val="002D31E3"/>
    <w:rsid w:val="002D34E6"/>
    <w:rsid w:val="002D45F3"/>
    <w:rsid w:val="002D4A95"/>
    <w:rsid w:val="002D4B75"/>
    <w:rsid w:val="002D5937"/>
    <w:rsid w:val="002D5965"/>
    <w:rsid w:val="002D604C"/>
    <w:rsid w:val="002D662F"/>
    <w:rsid w:val="002D6A64"/>
    <w:rsid w:val="002D6CC2"/>
    <w:rsid w:val="002D737A"/>
    <w:rsid w:val="002E0293"/>
    <w:rsid w:val="002E12CA"/>
    <w:rsid w:val="002E13E4"/>
    <w:rsid w:val="002E1B0F"/>
    <w:rsid w:val="002E22AC"/>
    <w:rsid w:val="002E23DF"/>
    <w:rsid w:val="002E2A40"/>
    <w:rsid w:val="002E2ACF"/>
    <w:rsid w:val="002E2C06"/>
    <w:rsid w:val="002E2D21"/>
    <w:rsid w:val="002E2FBB"/>
    <w:rsid w:val="002E3799"/>
    <w:rsid w:val="002E392E"/>
    <w:rsid w:val="002E3F8D"/>
    <w:rsid w:val="002E49E6"/>
    <w:rsid w:val="002E4A31"/>
    <w:rsid w:val="002E4C30"/>
    <w:rsid w:val="002E4FDF"/>
    <w:rsid w:val="002E54E5"/>
    <w:rsid w:val="002E62F1"/>
    <w:rsid w:val="002E68D5"/>
    <w:rsid w:val="002E6D21"/>
    <w:rsid w:val="002E6E9B"/>
    <w:rsid w:val="002E711F"/>
    <w:rsid w:val="002E74B5"/>
    <w:rsid w:val="002E78B5"/>
    <w:rsid w:val="002E7D68"/>
    <w:rsid w:val="002F032C"/>
    <w:rsid w:val="002F10FC"/>
    <w:rsid w:val="002F1870"/>
    <w:rsid w:val="002F1D8E"/>
    <w:rsid w:val="002F31DD"/>
    <w:rsid w:val="002F32BA"/>
    <w:rsid w:val="002F34F4"/>
    <w:rsid w:val="002F3813"/>
    <w:rsid w:val="002F3AA7"/>
    <w:rsid w:val="002F4C03"/>
    <w:rsid w:val="002F53AB"/>
    <w:rsid w:val="002F5AAF"/>
    <w:rsid w:val="002F5B75"/>
    <w:rsid w:val="002F5E2E"/>
    <w:rsid w:val="002F61D2"/>
    <w:rsid w:val="002F6C4B"/>
    <w:rsid w:val="002F6DA7"/>
    <w:rsid w:val="002F71DC"/>
    <w:rsid w:val="002F737B"/>
    <w:rsid w:val="002F7F23"/>
    <w:rsid w:val="00300099"/>
    <w:rsid w:val="003014E6"/>
    <w:rsid w:val="00301778"/>
    <w:rsid w:val="00301E7C"/>
    <w:rsid w:val="00301EC2"/>
    <w:rsid w:val="003034EB"/>
    <w:rsid w:val="003044E8"/>
    <w:rsid w:val="00305950"/>
    <w:rsid w:val="00305EF2"/>
    <w:rsid w:val="003067F5"/>
    <w:rsid w:val="003069DA"/>
    <w:rsid w:val="00306AD2"/>
    <w:rsid w:val="00307A87"/>
    <w:rsid w:val="00307CAC"/>
    <w:rsid w:val="00307CBE"/>
    <w:rsid w:val="003101F8"/>
    <w:rsid w:val="0031036E"/>
    <w:rsid w:val="003103F3"/>
    <w:rsid w:val="003106A8"/>
    <w:rsid w:val="00310811"/>
    <w:rsid w:val="003114E3"/>
    <w:rsid w:val="003116BD"/>
    <w:rsid w:val="0031225D"/>
    <w:rsid w:val="00312280"/>
    <w:rsid w:val="003123A8"/>
    <w:rsid w:val="00312A18"/>
    <w:rsid w:val="00313C9A"/>
    <w:rsid w:val="003143CF"/>
    <w:rsid w:val="003153F4"/>
    <w:rsid w:val="003157BC"/>
    <w:rsid w:val="00316313"/>
    <w:rsid w:val="00316754"/>
    <w:rsid w:val="00316EC0"/>
    <w:rsid w:val="00317256"/>
    <w:rsid w:val="00317A48"/>
    <w:rsid w:val="00320023"/>
    <w:rsid w:val="00320B9C"/>
    <w:rsid w:val="003210A5"/>
    <w:rsid w:val="003213FD"/>
    <w:rsid w:val="00323132"/>
    <w:rsid w:val="003231C8"/>
    <w:rsid w:val="003232DE"/>
    <w:rsid w:val="00323AD3"/>
    <w:rsid w:val="00323DA9"/>
    <w:rsid w:val="0032503E"/>
    <w:rsid w:val="00325D95"/>
    <w:rsid w:val="00326FF9"/>
    <w:rsid w:val="0032735F"/>
    <w:rsid w:val="00327396"/>
    <w:rsid w:val="00327F98"/>
    <w:rsid w:val="00330112"/>
    <w:rsid w:val="00330122"/>
    <w:rsid w:val="00330C5F"/>
    <w:rsid w:val="00331ED3"/>
    <w:rsid w:val="0033227E"/>
    <w:rsid w:val="00332706"/>
    <w:rsid w:val="00332C31"/>
    <w:rsid w:val="00333585"/>
    <w:rsid w:val="003337FA"/>
    <w:rsid w:val="003341DB"/>
    <w:rsid w:val="00334324"/>
    <w:rsid w:val="00334F41"/>
    <w:rsid w:val="0033502D"/>
    <w:rsid w:val="00336DAD"/>
    <w:rsid w:val="00336F89"/>
    <w:rsid w:val="00337F6F"/>
    <w:rsid w:val="00340711"/>
    <w:rsid w:val="00340C5A"/>
    <w:rsid w:val="0034144B"/>
    <w:rsid w:val="003419A3"/>
    <w:rsid w:val="0034253F"/>
    <w:rsid w:val="00342993"/>
    <w:rsid w:val="00342C82"/>
    <w:rsid w:val="00342E09"/>
    <w:rsid w:val="003431F2"/>
    <w:rsid w:val="00344EFF"/>
    <w:rsid w:val="00345506"/>
    <w:rsid w:val="00345934"/>
    <w:rsid w:val="003459AC"/>
    <w:rsid w:val="003462B6"/>
    <w:rsid w:val="003471D8"/>
    <w:rsid w:val="00347281"/>
    <w:rsid w:val="003473C6"/>
    <w:rsid w:val="00347556"/>
    <w:rsid w:val="00347F3D"/>
    <w:rsid w:val="00350173"/>
    <w:rsid w:val="0035138E"/>
    <w:rsid w:val="003517F4"/>
    <w:rsid w:val="00351AB0"/>
    <w:rsid w:val="00351CCC"/>
    <w:rsid w:val="0035251C"/>
    <w:rsid w:val="00352BA9"/>
    <w:rsid w:val="003532E6"/>
    <w:rsid w:val="0035399B"/>
    <w:rsid w:val="00353ADF"/>
    <w:rsid w:val="00353E24"/>
    <w:rsid w:val="00354391"/>
    <w:rsid w:val="0035478E"/>
    <w:rsid w:val="00354D86"/>
    <w:rsid w:val="00354E19"/>
    <w:rsid w:val="00354E22"/>
    <w:rsid w:val="0035522C"/>
    <w:rsid w:val="0035534C"/>
    <w:rsid w:val="0035550D"/>
    <w:rsid w:val="00356AB8"/>
    <w:rsid w:val="00356B73"/>
    <w:rsid w:val="0035739B"/>
    <w:rsid w:val="00360047"/>
    <w:rsid w:val="00360BD9"/>
    <w:rsid w:val="00360E81"/>
    <w:rsid w:val="00361227"/>
    <w:rsid w:val="00361BB4"/>
    <w:rsid w:val="00361BDB"/>
    <w:rsid w:val="00362838"/>
    <w:rsid w:val="00362A09"/>
    <w:rsid w:val="003633D4"/>
    <w:rsid w:val="00363ACF"/>
    <w:rsid w:val="00363F1E"/>
    <w:rsid w:val="0036411F"/>
    <w:rsid w:val="0036473C"/>
    <w:rsid w:val="00364765"/>
    <w:rsid w:val="00364FF1"/>
    <w:rsid w:val="0036523A"/>
    <w:rsid w:val="00365907"/>
    <w:rsid w:val="00366396"/>
    <w:rsid w:val="00366823"/>
    <w:rsid w:val="00366F45"/>
    <w:rsid w:val="00367201"/>
    <w:rsid w:val="00367544"/>
    <w:rsid w:val="003728B0"/>
    <w:rsid w:val="00372A17"/>
    <w:rsid w:val="0037302B"/>
    <w:rsid w:val="0037357A"/>
    <w:rsid w:val="0037390E"/>
    <w:rsid w:val="00373D24"/>
    <w:rsid w:val="00373DF5"/>
    <w:rsid w:val="00373E17"/>
    <w:rsid w:val="00373E93"/>
    <w:rsid w:val="00375277"/>
    <w:rsid w:val="00376742"/>
    <w:rsid w:val="00376B37"/>
    <w:rsid w:val="00376DD9"/>
    <w:rsid w:val="00376DED"/>
    <w:rsid w:val="00376FA1"/>
    <w:rsid w:val="00377E98"/>
    <w:rsid w:val="00380625"/>
    <w:rsid w:val="00380C8B"/>
    <w:rsid w:val="00380D6B"/>
    <w:rsid w:val="00380E34"/>
    <w:rsid w:val="003815C1"/>
    <w:rsid w:val="00381A36"/>
    <w:rsid w:val="00381AA0"/>
    <w:rsid w:val="0038238E"/>
    <w:rsid w:val="003826A3"/>
    <w:rsid w:val="0038328D"/>
    <w:rsid w:val="00383BD0"/>
    <w:rsid w:val="00383C7F"/>
    <w:rsid w:val="00385982"/>
    <w:rsid w:val="00386341"/>
    <w:rsid w:val="0038647A"/>
    <w:rsid w:val="00386B59"/>
    <w:rsid w:val="00386D4F"/>
    <w:rsid w:val="00386E7A"/>
    <w:rsid w:val="0038741F"/>
    <w:rsid w:val="0038765E"/>
    <w:rsid w:val="00387BA5"/>
    <w:rsid w:val="00387BAB"/>
    <w:rsid w:val="00387D58"/>
    <w:rsid w:val="00387F49"/>
    <w:rsid w:val="0039000F"/>
    <w:rsid w:val="003900C7"/>
    <w:rsid w:val="00390348"/>
    <w:rsid w:val="00390676"/>
    <w:rsid w:val="00391038"/>
    <w:rsid w:val="00392371"/>
    <w:rsid w:val="00392469"/>
    <w:rsid w:val="00392F62"/>
    <w:rsid w:val="0039313F"/>
    <w:rsid w:val="00393ACD"/>
    <w:rsid w:val="0039412A"/>
    <w:rsid w:val="0039494B"/>
    <w:rsid w:val="003955EF"/>
    <w:rsid w:val="0039580C"/>
    <w:rsid w:val="00395FD4"/>
    <w:rsid w:val="003969D9"/>
    <w:rsid w:val="003974FA"/>
    <w:rsid w:val="00397658"/>
    <w:rsid w:val="003977CF"/>
    <w:rsid w:val="003978C4"/>
    <w:rsid w:val="003A07A8"/>
    <w:rsid w:val="003A0FD8"/>
    <w:rsid w:val="003A1098"/>
    <w:rsid w:val="003A15A0"/>
    <w:rsid w:val="003A19DA"/>
    <w:rsid w:val="003A23B0"/>
    <w:rsid w:val="003A2725"/>
    <w:rsid w:val="003A2816"/>
    <w:rsid w:val="003A2A18"/>
    <w:rsid w:val="003A3017"/>
    <w:rsid w:val="003A36B8"/>
    <w:rsid w:val="003A3E27"/>
    <w:rsid w:val="003A3F7C"/>
    <w:rsid w:val="003A4014"/>
    <w:rsid w:val="003A45DF"/>
    <w:rsid w:val="003A4B4B"/>
    <w:rsid w:val="003A5593"/>
    <w:rsid w:val="003A5721"/>
    <w:rsid w:val="003A7666"/>
    <w:rsid w:val="003B14A0"/>
    <w:rsid w:val="003B22B2"/>
    <w:rsid w:val="003B2D57"/>
    <w:rsid w:val="003B30FE"/>
    <w:rsid w:val="003B3F62"/>
    <w:rsid w:val="003B3FDD"/>
    <w:rsid w:val="003B41B9"/>
    <w:rsid w:val="003B44BE"/>
    <w:rsid w:val="003B4FE9"/>
    <w:rsid w:val="003B5871"/>
    <w:rsid w:val="003B675D"/>
    <w:rsid w:val="003B67F9"/>
    <w:rsid w:val="003B6B42"/>
    <w:rsid w:val="003B6CC9"/>
    <w:rsid w:val="003B75F1"/>
    <w:rsid w:val="003B7668"/>
    <w:rsid w:val="003C0842"/>
    <w:rsid w:val="003C21F3"/>
    <w:rsid w:val="003C253A"/>
    <w:rsid w:val="003C2ACF"/>
    <w:rsid w:val="003C2CBD"/>
    <w:rsid w:val="003C353C"/>
    <w:rsid w:val="003C3630"/>
    <w:rsid w:val="003C3C3A"/>
    <w:rsid w:val="003C4A2D"/>
    <w:rsid w:val="003C5555"/>
    <w:rsid w:val="003C5681"/>
    <w:rsid w:val="003C5AF7"/>
    <w:rsid w:val="003C6226"/>
    <w:rsid w:val="003C6390"/>
    <w:rsid w:val="003C6B01"/>
    <w:rsid w:val="003C7D36"/>
    <w:rsid w:val="003D0826"/>
    <w:rsid w:val="003D1165"/>
    <w:rsid w:val="003D17FD"/>
    <w:rsid w:val="003D1A2E"/>
    <w:rsid w:val="003D1A8C"/>
    <w:rsid w:val="003D1ABF"/>
    <w:rsid w:val="003D39ED"/>
    <w:rsid w:val="003D4527"/>
    <w:rsid w:val="003D514B"/>
    <w:rsid w:val="003D5211"/>
    <w:rsid w:val="003D54C0"/>
    <w:rsid w:val="003D594D"/>
    <w:rsid w:val="003D59C3"/>
    <w:rsid w:val="003D5C63"/>
    <w:rsid w:val="003D65CD"/>
    <w:rsid w:val="003D6D96"/>
    <w:rsid w:val="003D6F77"/>
    <w:rsid w:val="003D7DEE"/>
    <w:rsid w:val="003E01D3"/>
    <w:rsid w:val="003E0E63"/>
    <w:rsid w:val="003E17FD"/>
    <w:rsid w:val="003E18A6"/>
    <w:rsid w:val="003E1DEF"/>
    <w:rsid w:val="003E2856"/>
    <w:rsid w:val="003E2C05"/>
    <w:rsid w:val="003E2FAC"/>
    <w:rsid w:val="003E3AA2"/>
    <w:rsid w:val="003E3D36"/>
    <w:rsid w:val="003E553F"/>
    <w:rsid w:val="003E5561"/>
    <w:rsid w:val="003E5C64"/>
    <w:rsid w:val="003E7464"/>
    <w:rsid w:val="003E7AF4"/>
    <w:rsid w:val="003E7C84"/>
    <w:rsid w:val="003E7F52"/>
    <w:rsid w:val="003F04EC"/>
    <w:rsid w:val="003F091E"/>
    <w:rsid w:val="003F0C2F"/>
    <w:rsid w:val="003F0EE8"/>
    <w:rsid w:val="003F1542"/>
    <w:rsid w:val="003F182E"/>
    <w:rsid w:val="003F1AEA"/>
    <w:rsid w:val="003F1DF0"/>
    <w:rsid w:val="003F2C5A"/>
    <w:rsid w:val="003F39BA"/>
    <w:rsid w:val="003F3A2E"/>
    <w:rsid w:val="003F434A"/>
    <w:rsid w:val="003F550F"/>
    <w:rsid w:val="003F5514"/>
    <w:rsid w:val="003F66F8"/>
    <w:rsid w:val="003F75D2"/>
    <w:rsid w:val="003F7BE2"/>
    <w:rsid w:val="003F7CE5"/>
    <w:rsid w:val="003F7FC8"/>
    <w:rsid w:val="00400338"/>
    <w:rsid w:val="004006CA"/>
    <w:rsid w:val="00401099"/>
    <w:rsid w:val="004016EC"/>
    <w:rsid w:val="00401AA1"/>
    <w:rsid w:val="004029C5"/>
    <w:rsid w:val="00402A4D"/>
    <w:rsid w:val="00402F53"/>
    <w:rsid w:val="00403202"/>
    <w:rsid w:val="00403344"/>
    <w:rsid w:val="004034A3"/>
    <w:rsid w:val="00403751"/>
    <w:rsid w:val="00404472"/>
    <w:rsid w:val="004047E6"/>
    <w:rsid w:val="004057A7"/>
    <w:rsid w:val="00406F27"/>
    <w:rsid w:val="004075F4"/>
    <w:rsid w:val="00407D8E"/>
    <w:rsid w:val="00407EE9"/>
    <w:rsid w:val="00411815"/>
    <w:rsid w:val="00412451"/>
    <w:rsid w:val="004124D1"/>
    <w:rsid w:val="0041250A"/>
    <w:rsid w:val="00412933"/>
    <w:rsid w:val="00413E96"/>
    <w:rsid w:val="0041492D"/>
    <w:rsid w:val="00414A23"/>
    <w:rsid w:val="00415460"/>
    <w:rsid w:val="00415911"/>
    <w:rsid w:val="004170CA"/>
    <w:rsid w:val="00417677"/>
    <w:rsid w:val="00417B5D"/>
    <w:rsid w:val="00417B89"/>
    <w:rsid w:val="00417E0C"/>
    <w:rsid w:val="004200A2"/>
    <w:rsid w:val="00420113"/>
    <w:rsid w:val="0042134A"/>
    <w:rsid w:val="00421983"/>
    <w:rsid w:val="00421A7C"/>
    <w:rsid w:val="004224E7"/>
    <w:rsid w:val="004229C3"/>
    <w:rsid w:val="0042308F"/>
    <w:rsid w:val="004230D2"/>
    <w:rsid w:val="0042369E"/>
    <w:rsid w:val="00423791"/>
    <w:rsid w:val="00423FFF"/>
    <w:rsid w:val="00424505"/>
    <w:rsid w:val="00424CD2"/>
    <w:rsid w:val="00425C00"/>
    <w:rsid w:val="00425EF0"/>
    <w:rsid w:val="004263FA"/>
    <w:rsid w:val="0042698C"/>
    <w:rsid w:val="004277F3"/>
    <w:rsid w:val="0043099F"/>
    <w:rsid w:val="00430EB0"/>
    <w:rsid w:val="00431E3A"/>
    <w:rsid w:val="00431FDC"/>
    <w:rsid w:val="0043241B"/>
    <w:rsid w:val="00432EF0"/>
    <w:rsid w:val="00433106"/>
    <w:rsid w:val="00433AE3"/>
    <w:rsid w:val="00434913"/>
    <w:rsid w:val="00434FF1"/>
    <w:rsid w:val="00435099"/>
    <w:rsid w:val="004368E7"/>
    <w:rsid w:val="004369E7"/>
    <w:rsid w:val="0043748E"/>
    <w:rsid w:val="0043797F"/>
    <w:rsid w:val="00440342"/>
    <w:rsid w:val="00440654"/>
    <w:rsid w:val="00440AB2"/>
    <w:rsid w:val="00440DA1"/>
    <w:rsid w:val="0044132C"/>
    <w:rsid w:val="0044137B"/>
    <w:rsid w:val="004414E5"/>
    <w:rsid w:val="004418D7"/>
    <w:rsid w:val="00441F83"/>
    <w:rsid w:val="00441FB3"/>
    <w:rsid w:val="00442020"/>
    <w:rsid w:val="0044231D"/>
    <w:rsid w:val="00442EEC"/>
    <w:rsid w:val="004432B1"/>
    <w:rsid w:val="00443569"/>
    <w:rsid w:val="004452CC"/>
    <w:rsid w:val="00445B1A"/>
    <w:rsid w:val="00447747"/>
    <w:rsid w:val="00447E70"/>
    <w:rsid w:val="00447EC2"/>
    <w:rsid w:val="00450CD9"/>
    <w:rsid w:val="00450D25"/>
    <w:rsid w:val="00450D6D"/>
    <w:rsid w:val="004518F3"/>
    <w:rsid w:val="00452026"/>
    <w:rsid w:val="004523A5"/>
    <w:rsid w:val="00452D6D"/>
    <w:rsid w:val="0045397A"/>
    <w:rsid w:val="00453F65"/>
    <w:rsid w:val="00454C94"/>
    <w:rsid w:val="00454EBD"/>
    <w:rsid w:val="00455032"/>
    <w:rsid w:val="0045524D"/>
    <w:rsid w:val="00455B98"/>
    <w:rsid w:val="00455C17"/>
    <w:rsid w:val="004561C3"/>
    <w:rsid w:val="004568D2"/>
    <w:rsid w:val="004569EE"/>
    <w:rsid w:val="00456C1C"/>
    <w:rsid w:val="00456C2E"/>
    <w:rsid w:val="0045763F"/>
    <w:rsid w:val="00457E33"/>
    <w:rsid w:val="0046036F"/>
    <w:rsid w:val="00461275"/>
    <w:rsid w:val="004617DA"/>
    <w:rsid w:val="00461E77"/>
    <w:rsid w:val="00461E90"/>
    <w:rsid w:val="00462CBB"/>
    <w:rsid w:val="00462FF1"/>
    <w:rsid w:val="0046435E"/>
    <w:rsid w:val="004644CD"/>
    <w:rsid w:val="00466F64"/>
    <w:rsid w:val="00467F04"/>
    <w:rsid w:val="004702FB"/>
    <w:rsid w:val="00470433"/>
    <w:rsid w:val="00470A07"/>
    <w:rsid w:val="00470A8E"/>
    <w:rsid w:val="00471153"/>
    <w:rsid w:val="0047206A"/>
    <w:rsid w:val="00472427"/>
    <w:rsid w:val="0047267C"/>
    <w:rsid w:val="00472AE3"/>
    <w:rsid w:val="00472D1E"/>
    <w:rsid w:val="00474299"/>
    <w:rsid w:val="004744EF"/>
    <w:rsid w:val="00474500"/>
    <w:rsid w:val="0047471C"/>
    <w:rsid w:val="0047595C"/>
    <w:rsid w:val="00475982"/>
    <w:rsid w:val="00475E48"/>
    <w:rsid w:val="00476C6E"/>
    <w:rsid w:val="004778DC"/>
    <w:rsid w:val="0048022B"/>
    <w:rsid w:val="0048058D"/>
    <w:rsid w:val="00480827"/>
    <w:rsid w:val="00480998"/>
    <w:rsid w:val="00480FD7"/>
    <w:rsid w:val="00481D65"/>
    <w:rsid w:val="004820FD"/>
    <w:rsid w:val="00482A7F"/>
    <w:rsid w:val="00482E02"/>
    <w:rsid w:val="0048319E"/>
    <w:rsid w:val="00483511"/>
    <w:rsid w:val="004836F9"/>
    <w:rsid w:val="00483A2B"/>
    <w:rsid w:val="004843ED"/>
    <w:rsid w:val="0048540B"/>
    <w:rsid w:val="004855F9"/>
    <w:rsid w:val="004868E3"/>
    <w:rsid w:val="00486BD1"/>
    <w:rsid w:val="0048745D"/>
    <w:rsid w:val="004875C3"/>
    <w:rsid w:val="00487EDB"/>
    <w:rsid w:val="004907EF"/>
    <w:rsid w:val="00490CB6"/>
    <w:rsid w:val="00490F53"/>
    <w:rsid w:val="004925CC"/>
    <w:rsid w:val="00492FF1"/>
    <w:rsid w:val="00493198"/>
    <w:rsid w:val="00493292"/>
    <w:rsid w:val="004933F4"/>
    <w:rsid w:val="004940A7"/>
    <w:rsid w:val="0049541B"/>
    <w:rsid w:val="00495C62"/>
    <w:rsid w:val="00495D6B"/>
    <w:rsid w:val="00496185"/>
    <w:rsid w:val="0049620D"/>
    <w:rsid w:val="0049716D"/>
    <w:rsid w:val="004A0755"/>
    <w:rsid w:val="004A17E4"/>
    <w:rsid w:val="004A18FD"/>
    <w:rsid w:val="004A21A8"/>
    <w:rsid w:val="004A2815"/>
    <w:rsid w:val="004A3E4E"/>
    <w:rsid w:val="004A3FDB"/>
    <w:rsid w:val="004A4F14"/>
    <w:rsid w:val="004A527A"/>
    <w:rsid w:val="004A595A"/>
    <w:rsid w:val="004A5C9D"/>
    <w:rsid w:val="004A627D"/>
    <w:rsid w:val="004A6947"/>
    <w:rsid w:val="004A7616"/>
    <w:rsid w:val="004A788F"/>
    <w:rsid w:val="004A798E"/>
    <w:rsid w:val="004A7B4F"/>
    <w:rsid w:val="004B003F"/>
    <w:rsid w:val="004B01FB"/>
    <w:rsid w:val="004B041C"/>
    <w:rsid w:val="004B1086"/>
    <w:rsid w:val="004B175F"/>
    <w:rsid w:val="004B230B"/>
    <w:rsid w:val="004B23BF"/>
    <w:rsid w:val="004B24A2"/>
    <w:rsid w:val="004B2597"/>
    <w:rsid w:val="004B2D4E"/>
    <w:rsid w:val="004B32D7"/>
    <w:rsid w:val="004B3652"/>
    <w:rsid w:val="004B3CD1"/>
    <w:rsid w:val="004B3D5A"/>
    <w:rsid w:val="004B4674"/>
    <w:rsid w:val="004B46AD"/>
    <w:rsid w:val="004B4A17"/>
    <w:rsid w:val="004B4ADB"/>
    <w:rsid w:val="004B4F01"/>
    <w:rsid w:val="004B5256"/>
    <w:rsid w:val="004B538A"/>
    <w:rsid w:val="004B5659"/>
    <w:rsid w:val="004B64A5"/>
    <w:rsid w:val="004B7B62"/>
    <w:rsid w:val="004B7D9A"/>
    <w:rsid w:val="004B7DEB"/>
    <w:rsid w:val="004C011A"/>
    <w:rsid w:val="004C0146"/>
    <w:rsid w:val="004C0367"/>
    <w:rsid w:val="004C077E"/>
    <w:rsid w:val="004C0AF6"/>
    <w:rsid w:val="004C1018"/>
    <w:rsid w:val="004C160E"/>
    <w:rsid w:val="004C1A48"/>
    <w:rsid w:val="004C1C0A"/>
    <w:rsid w:val="004C219E"/>
    <w:rsid w:val="004C2C1E"/>
    <w:rsid w:val="004C34A7"/>
    <w:rsid w:val="004C47B1"/>
    <w:rsid w:val="004C4AA8"/>
    <w:rsid w:val="004C4BF7"/>
    <w:rsid w:val="004C515A"/>
    <w:rsid w:val="004C51C0"/>
    <w:rsid w:val="004C5556"/>
    <w:rsid w:val="004C5F06"/>
    <w:rsid w:val="004C7A03"/>
    <w:rsid w:val="004C7B54"/>
    <w:rsid w:val="004D0337"/>
    <w:rsid w:val="004D0376"/>
    <w:rsid w:val="004D0995"/>
    <w:rsid w:val="004D1302"/>
    <w:rsid w:val="004D2643"/>
    <w:rsid w:val="004D31AB"/>
    <w:rsid w:val="004D34DB"/>
    <w:rsid w:val="004D3A5F"/>
    <w:rsid w:val="004D3AA9"/>
    <w:rsid w:val="004D40EC"/>
    <w:rsid w:val="004D43E1"/>
    <w:rsid w:val="004D441D"/>
    <w:rsid w:val="004D52B6"/>
    <w:rsid w:val="004D58EF"/>
    <w:rsid w:val="004D5C1E"/>
    <w:rsid w:val="004D5EE9"/>
    <w:rsid w:val="004D6037"/>
    <w:rsid w:val="004D753B"/>
    <w:rsid w:val="004D7D17"/>
    <w:rsid w:val="004E0BDA"/>
    <w:rsid w:val="004E1D62"/>
    <w:rsid w:val="004E2747"/>
    <w:rsid w:val="004E3273"/>
    <w:rsid w:val="004E357F"/>
    <w:rsid w:val="004E3E26"/>
    <w:rsid w:val="004E455A"/>
    <w:rsid w:val="004E4710"/>
    <w:rsid w:val="004E4AF9"/>
    <w:rsid w:val="004E548C"/>
    <w:rsid w:val="004E5A7F"/>
    <w:rsid w:val="004E64E5"/>
    <w:rsid w:val="004E6840"/>
    <w:rsid w:val="004E6989"/>
    <w:rsid w:val="004E6F8C"/>
    <w:rsid w:val="004E7074"/>
    <w:rsid w:val="004E78F6"/>
    <w:rsid w:val="004F088E"/>
    <w:rsid w:val="004F0A47"/>
    <w:rsid w:val="004F0BF8"/>
    <w:rsid w:val="004F28C4"/>
    <w:rsid w:val="004F2D02"/>
    <w:rsid w:val="004F31D7"/>
    <w:rsid w:val="004F3AE9"/>
    <w:rsid w:val="004F4549"/>
    <w:rsid w:val="004F516A"/>
    <w:rsid w:val="004F549F"/>
    <w:rsid w:val="004F64F2"/>
    <w:rsid w:val="004F657F"/>
    <w:rsid w:val="004F6662"/>
    <w:rsid w:val="004F6BB6"/>
    <w:rsid w:val="004F734D"/>
    <w:rsid w:val="004F75BC"/>
    <w:rsid w:val="004F75D5"/>
    <w:rsid w:val="004F7CE8"/>
    <w:rsid w:val="004F7D3B"/>
    <w:rsid w:val="00500337"/>
    <w:rsid w:val="00500497"/>
    <w:rsid w:val="0050078D"/>
    <w:rsid w:val="0050110F"/>
    <w:rsid w:val="00501153"/>
    <w:rsid w:val="00501614"/>
    <w:rsid w:val="00501A07"/>
    <w:rsid w:val="0050254A"/>
    <w:rsid w:val="00502738"/>
    <w:rsid w:val="005027D7"/>
    <w:rsid w:val="00502855"/>
    <w:rsid w:val="005028B4"/>
    <w:rsid w:val="0050319C"/>
    <w:rsid w:val="005032F7"/>
    <w:rsid w:val="0050341B"/>
    <w:rsid w:val="00503429"/>
    <w:rsid w:val="0050371D"/>
    <w:rsid w:val="00503C0D"/>
    <w:rsid w:val="00503C66"/>
    <w:rsid w:val="00503D09"/>
    <w:rsid w:val="00504856"/>
    <w:rsid w:val="00504A48"/>
    <w:rsid w:val="00504F3D"/>
    <w:rsid w:val="00504F7C"/>
    <w:rsid w:val="0050574C"/>
    <w:rsid w:val="00506A89"/>
    <w:rsid w:val="00507069"/>
    <w:rsid w:val="00507675"/>
    <w:rsid w:val="00507967"/>
    <w:rsid w:val="00507A3F"/>
    <w:rsid w:val="00507FDD"/>
    <w:rsid w:val="00511135"/>
    <w:rsid w:val="005117B3"/>
    <w:rsid w:val="00511BC8"/>
    <w:rsid w:val="00511EC2"/>
    <w:rsid w:val="00512290"/>
    <w:rsid w:val="00513011"/>
    <w:rsid w:val="00513F65"/>
    <w:rsid w:val="00514998"/>
    <w:rsid w:val="005154DA"/>
    <w:rsid w:val="00516109"/>
    <w:rsid w:val="005163E5"/>
    <w:rsid w:val="00516BC5"/>
    <w:rsid w:val="00517736"/>
    <w:rsid w:val="00517A40"/>
    <w:rsid w:val="0052072E"/>
    <w:rsid w:val="005209A8"/>
    <w:rsid w:val="00520A75"/>
    <w:rsid w:val="00520D08"/>
    <w:rsid w:val="00520FC7"/>
    <w:rsid w:val="005217B7"/>
    <w:rsid w:val="00521B6B"/>
    <w:rsid w:val="00521C11"/>
    <w:rsid w:val="00521F19"/>
    <w:rsid w:val="00521F3F"/>
    <w:rsid w:val="005222DA"/>
    <w:rsid w:val="00522F6E"/>
    <w:rsid w:val="00523A17"/>
    <w:rsid w:val="00523C13"/>
    <w:rsid w:val="00523C72"/>
    <w:rsid w:val="005241DF"/>
    <w:rsid w:val="005247CF"/>
    <w:rsid w:val="005247FA"/>
    <w:rsid w:val="00524E14"/>
    <w:rsid w:val="00526222"/>
    <w:rsid w:val="00526AB1"/>
    <w:rsid w:val="00526D49"/>
    <w:rsid w:val="005302F9"/>
    <w:rsid w:val="00530617"/>
    <w:rsid w:val="00530928"/>
    <w:rsid w:val="00531CCC"/>
    <w:rsid w:val="00531E98"/>
    <w:rsid w:val="0053257F"/>
    <w:rsid w:val="005339B9"/>
    <w:rsid w:val="005339D5"/>
    <w:rsid w:val="00534B65"/>
    <w:rsid w:val="00535094"/>
    <w:rsid w:val="00535106"/>
    <w:rsid w:val="00535822"/>
    <w:rsid w:val="005359F1"/>
    <w:rsid w:val="00535BCC"/>
    <w:rsid w:val="00536BC7"/>
    <w:rsid w:val="005372A3"/>
    <w:rsid w:val="00537A74"/>
    <w:rsid w:val="00537CE9"/>
    <w:rsid w:val="00540747"/>
    <w:rsid w:val="00540DE4"/>
    <w:rsid w:val="00541513"/>
    <w:rsid w:val="005416F9"/>
    <w:rsid w:val="0054199E"/>
    <w:rsid w:val="00541E8E"/>
    <w:rsid w:val="0054204B"/>
    <w:rsid w:val="00542DCD"/>
    <w:rsid w:val="0054337C"/>
    <w:rsid w:val="00544280"/>
    <w:rsid w:val="00544A65"/>
    <w:rsid w:val="00544B50"/>
    <w:rsid w:val="00545649"/>
    <w:rsid w:val="00545B5D"/>
    <w:rsid w:val="00545BD0"/>
    <w:rsid w:val="00545E96"/>
    <w:rsid w:val="0054688F"/>
    <w:rsid w:val="00546C48"/>
    <w:rsid w:val="00547F1A"/>
    <w:rsid w:val="0055021D"/>
    <w:rsid w:val="0055071B"/>
    <w:rsid w:val="005508BB"/>
    <w:rsid w:val="00550D27"/>
    <w:rsid w:val="00550F20"/>
    <w:rsid w:val="0055158E"/>
    <w:rsid w:val="005529BF"/>
    <w:rsid w:val="00552FE3"/>
    <w:rsid w:val="00553615"/>
    <w:rsid w:val="0055381D"/>
    <w:rsid w:val="0055396E"/>
    <w:rsid w:val="00553979"/>
    <w:rsid w:val="005539C3"/>
    <w:rsid w:val="00553F84"/>
    <w:rsid w:val="005545B5"/>
    <w:rsid w:val="00554876"/>
    <w:rsid w:val="00554937"/>
    <w:rsid w:val="005549C4"/>
    <w:rsid w:val="00555200"/>
    <w:rsid w:val="0055584C"/>
    <w:rsid w:val="00555D3A"/>
    <w:rsid w:val="00555F45"/>
    <w:rsid w:val="00555F93"/>
    <w:rsid w:val="00555FC0"/>
    <w:rsid w:val="005560DA"/>
    <w:rsid w:val="0055614C"/>
    <w:rsid w:val="005570DE"/>
    <w:rsid w:val="0055712B"/>
    <w:rsid w:val="0056068A"/>
    <w:rsid w:val="00560C16"/>
    <w:rsid w:val="00560D3C"/>
    <w:rsid w:val="005615DD"/>
    <w:rsid w:val="00561641"/>
    <w:rsid w:val="005619FC"/>
    <w:rsid w:val="00561CB5"/>
    <w:rsid w:val="00562204"/>
    <w:rsid w:val="005627AD"/>
    <w:rsid w:val="0056304A"/>
    <w:rsid w:val="005630AF"/>
    <w:rsid w:val="005633DD"/>
    <w:rsid w:val="0056480E"/>
    <w:rsid w:val="00565BEF"/>
    <w:rsid w:val="00565C90"/>
    <w:rsid w:val="00566062"/>
    <w:rsid w:val="00566742"/>
    <w:rsid w:val="00566F20"/>
    <w:rsid w:val="0056740F"/>
    <w:rsid w:val="00567617"/>
    <w:rsid w:val="00567A92"/>
    <w:rsid w:val="00567B28"/>
    <w:rsid w:val="00567BBD"/>
    <w:rsid w:val="00567CE3"/>
    <w:rsid w:val="005709BB"/>
    <w:rsid w:val="00570BBF"/>
    <w:rsid w:val="00571583"/>
    <w:rsid w:val="00571863"/>
    <w:rsid w:val="005729E6"/>
    <w:rsid w:val="00573426"/>
    <w:rsid w:val="005738F8"/>
    <w:rsid w:val="0057431A"/>
    <w:rsid w:val="005745AC"/>
    <w:rsid w:val="0057479E"/>
    <w:rsid w:val="00574D1D"/>
    <w:rsid w:val="005753A4"/>
    <w:rsid w:val="00575805"/>
    <w:rsid w:val="0057684C"/>
    <w:rsid w:val="00577448"/>
    <w:rsid w:val="005778B8"/>
    <w:rsid w:val="005804E0"/>
    <w:rsid w:val="00581227"/>
    <w:rsid w:val="00581538"/>
    <w:rsid w:val="0058411F"/>
    <w:rsid w:val="0058433D"/>
    <w:rsid w:val="005847BF"/>
    <w:rsid w:val="00584D7A"/>
    <w:rsid w:val="00585746"/>
    <w:rsid w:val="00585905"/>
    <w:rsid w:val="00586172"/>
    <w:rsid w:val="00590FDD"/>
    <w:rsid w:val="005930E7"/>
    <w:rsid w:val="005938A7"/>
    <w:rsid w:val="00594740"/>
    <w:rsid w:val="00594A26"/>
    <w:rsid w:val="005952E3"/>
    <w:rsid w:val="00595829"/>
    <w:rsid w:val="0059620C"/>
    <w:rsid w:val="00596344"/>
    <w:rsid w:val="00597B33"/>
    <w:rsid w:val="00597BE7"/>
    <w:rsid w:val="005A0008"/>
    <w:rsid w:val="005A00BC"/>
    <w:rsid w:val="005A05F2"/>
    <w:rsid w:val="005A0BCE"/>
    <w:rsid w:val="005A189C"/>
    <w:rsid w:val="005A22BE"/>
    <w:rsid w:val="005A27EC"/>
    <w:rsid w:val="005A360D"/>
    <w:rsid w:val="005A3BCE"/>
    <w:rsid w:val="005A47DA"/>
    <w:rsid w:val="005A4D09"/>
    <w:rsid w:val="005A4D7E"/>
    <w:rsid w:val="005A524A"/>
    <w:rsid w:val="005A5953"/>
    <w:rsid w:val="005A5C5F"/>
    <w:rsid w:val="005A5D4A"/>
    <w:rsid w:val="005A6160"/>
    <w:rsid w:val="005A6641"/>
    <w:rsid w:val="005A6CBD"/>
    <w:rsid w:val="005A7309"/>
    <w:rsid w:val="005A7486"/>
    <w:rsid w:val="005A7FCB"/>
    <w:rsid w:val="005B0BD0"/>
    <w:rsid w:val="005B1055"/>
    <w:rsid w:val="005B21F0"/>
    <w:rsid w:val="005B22B6"/>
    <w:rsid w:val="005B2718"/>
    <w:rsid w:val="005B2851"/>
    <w:rsid w:val="005B2873"/>
    <w:rsid w:val="005B2E8E"/>
    <w:rsid w:val="005B4AA2"/>
    <w:rsid w:val="005B4B43"/>
    <w:rsid w:val="005B5215"/>
    <w:rsid w:val="005B5584"/>
    <w:rsid w:val="005B5A7D"/>
    <w:rsid w:val="005B5D1F"/>
    <w:rsid w:val="005B6062"/>
    <w:rsid w:val="005B60F0"/>
    <w:rsid w:val="005B695D"/>
    <w:rsid w:val="005B6CAC"/>
    <w:rsid w:val="005B7229"/>
    <w:rsid w:val="005B7B42"/>
    <w:rsid w:val="005C086F"/>
    <w:rsid w:val="005C0E85"/>
    <w:rsid w:val="005C10E3"/>
    <w:rsid w:val="005C24E8"/>
    <w:rsid w:val="005C3495"/>
    <w:rsid w:val="005C3B3D"/>
    <w:rsid w:val="005C3DAA"/>
    <w:rsid w:val="005C414C"/>
    <w:rsid w:val="005C4746"/>
    <w:rsid w:val="005C480B"/>
    <w:rsid w:val="005C4907"/>
    <w:rsid w:val="005C4A91"/>
    <w:rsid w:val="005C53A0"/>
    <w:rsid w:val="005C691E"/>
    <w:rsid w:val="005D0B8A"/>
    <w:rsid w:val="005D0C87"/>
    <w:rsid w:val="005D0F87"/>
    <w:rsid w:val="005D175A"/>
    <w:rsid w:val="005D28BE"/>
    <w:rsid w:val="005D2AA4"/>
    <w:rsid w:val="005D2CFA"/>
    <w:rsid w:val="005D2E50"/>
    <w:rsid w:val="005D3D66"/>
    <w:rsid w:val="005D423C"/>
    <w:rsid w:val="005D4535"/>
    <w:rsid w:val="005D548B"/>
    <w:rsid w:val="005D5912"/>
    <w:rsid w:val="005D6093"/>
    <w:rsid w:val="005D697E"/>
    <w:rsid w:val="005D70C1"/>
    <w:rsid w:val="005D75EE"/>
    <w:rsid w:val="005E0109"/>
    <w:rsid w:val="005E045B"/>
    <w:rsid w:val="005E0AD1"/>
    <w:rsid w:val="005E0DB5"/>
    <w:rsid w:val="005E1587"/>
    <w:rsid w:val="005E1664"/>
    <w:rsid w:val="005E1735"/>
    <w:rsid w:val="005E1736"/>
    <w:rsid w:val="005E1AE7"/>
    <w:rsid w:val="005E223A"/>
    <w:rsid w:val="005E244D"/>
    <w:rsid w:val="005E27B3"/>
    <w:rsid w:val="005E28A0"/>
    <w:rsid w:val="005E2CEC"/>
    <w:rsid w:val="005E33D5"/>
    <w:rsid w:val="005E4321"/>
    <w:rsid w:val="005E4A20"/>
    <w:rsid w:val="005E5669"/>
    <w:rsid w:val="005E574F"/>
    <w:rsid w:val="005E589D"/>
    <w:rsid w:val="005E6922"/>
    <w:rsid w:val="005E6BC5"/>
    <w:rsid w:val="005E7A7D"/>
    <w:rsid w:val="005F02A7"/>
    <w:rsid w:val="005F054D"/>
    <w:rsid w:val="005F055D"/>
    <w:rsid w:val="005F05D4"/>
    <w:rsid w:val="005F158D"/>
    <w:rsid w:val="005F2A24"/>
    <w:rsid w:val="005F2B8F"/>
    <w:rsid w:val="005F2E24"/>
    <w:rsid w:val="005F3754"/>
    <w:rsid w:val="005F4913"/>
    <w:rsid w:val="005F57AF"/>
    <w:rsid w:val="005F64F9"/>
    <w:rsid w:val="005F6838"/>
    <w:rsid w:val="005F69E0"/>
    <w:rsid w:val="006008D6"/>
    <w:rsid w:val="006013C8"/>
    <w:rsid w:val="00601A3C"/>
    <w:rsid w:val="00602598"/>
    <w:rsid w:val="006031A0"/>
    <w:rsid w:val="0060378C"/>
    <w:rsid w:val="00603D45"/>
    <w:rsid w:val="00604C6C"/>
    <w:rsid w:val="0060560A"/>
    <w:rsid w:val="00605B35"/>
    <w:rsid w:val="00605BBD"/>
    <w:rsid w:val="00605BF6"/>
    <w:rsid w:val="00606AB0"/>
    <w:rsid w:val="00606FD7"/>
    <w:rsid w:val="00607867"/>
    <w:rsid w:val="00610154"/>
    <w:rsid w:val="00610211"/>
    <w:rsid w:val="00611609"/>
    <w:rsid w:val="00611E10"/>
    <w:rsid w:val="006123F6"/>
    <w:rsid w:val="00612D00"/>
    <w:rsid w:val="00614645"/>
    <w:rsid w:val="00616FCE"/>
    <w:rsid w:val="00617157"/>
    <w:rsid w:val="006172B6"/>
    <w:rsid w:val="00617B30"/>
    <w:rsid w:val="00617BBC"/>
    <w:rsid w:val="006201DD"/>
    <w:rsid w:val="006203E6"/>
    <w:rsid w:val="0062050C"/>
    <w:rsid w:val="00621303"/>
    <w:rsid w:val="0062195A"/>
    <w:rsid w:val="00621D4C"/>
    <w:rsid w:val="00621F09"/>
    <w:rsid w:val="00622030"/>
    <w:rsid w:val="00623A12"/>
    <w:rsid w:val="00623B6A"/>
    <w:rsid w:val="00623C2E"/>
    <w:rsid w:val="006241DC"/>
    <w:rsid w:val="00624269"/>
    <w:rsid w:val="0062450B"/>
    <w:rsid w:val="0062457F"/>
    <w:rsid w:val="0062528D"/>
    <w:rsid w:val="00625C98"/>
    <w:rsid w:val="00625E3A"/>
    <w:rsid w:val="00627EC4"/>
    <w:rsid w:val="00630610"/>
    <w:rsid w:val="0063069D"/>
    <w:rsid w:val="00630EE4"/>
    <w:rsid w:val="006313DB"/>
    <w:rsid w:val="0063205F"/>
    <w:rsid w:val="006322B4"/>
    <w:rsid w:val="0063230B"/>
    <w:rsid w:val="006325EE"/>
    <w:rsid w:val="0063337F"/>
    <w:rsid w:val="00633568"/>
    <w:rsid w:val="00633A1B"/>
    <w:rsid w:val="00634643"/>
    <w:rsid w:val="006348BC"/>
    <w:rsid w:val="00634B90"/>
    <w:rsid w:val="006352EA"/>
    <w:rsid w:val="006355E3"/>
    <w:rsid w:val="00635B0A"/>
    <w:rsid w:val="00635D70"/>
    <w:rsid w:val="0063633C"/>
    <w:rsid w:val="00636586"/>
    <w:rsid w:val="006369A2"/>
    <w:rsid w:val="006376B3"/>
    <w:rsid w:val="006411EF"/>
    <w:rsid w:val="00641C98"/>
    <w:rsid w:val="00641E8E"/>
    <w:rsid w:val="00641FB7"/>
    <w:rsid w:val="006424BF"/>
    <w:rsid w:val="00643E22"/>
    <w:rsid w:val="00644EBA"/>
    <w:rsid w:val="00645548"/>
    <w:rsid w:val="00646280"/>
    <w:rsid w:val="006462D0"/>
    <w:rsid w:val="0064639E"/>
    <w:rsid w:val="0064675D"/>
    <w:rsid w:val="00647A57"/>
    <w:rsid w:val="00647C5F"/>
    <w:rsid w:val="00647D8C"/>
    <w:rsid w:val="00650511"/>
    <w:rsid w:val="00650544"/>
    <w:rsid w:val="00650937"/>
    <w:rsid w:val="0065115D"/>
    <w:rsid w:val="006514E7"/>
    <w:rsid w:val="006522C7"/>
    <w:rsid w:val="00653EC0"/>
    <w:rsid w:val="0065410A"/>
    <w:rsid w:val="00654A0F"/>
    <w:rsid w:val="00654BD7"/>
    <w:rsid w:val="00655060"/>
    <w:rsid w:val="00655E7E"/>
    <w:rsid w:val="00656423"/>
    <w:rsid w:val="006566FC"/>
    <w:rsid w:val="00656EC6"/>
    <w:rsid w:val="00657284"/>
    <w:rsid w:val="006576A5"/>
    <w:rsid w:val="00657DFE"/>
    <w:rsid w:val="0066107B"/>
    <w:rsid w:val="006610EE"/>
    <w:rsid w:val="00661287"/>
    <w:rsid w:val="00661E43"/>
    <w:rsid w:val="0066216D"/>
    <w:rsid w:val="00662D77"/>
    <w:rsid w:val="00663526"/>
    <w:rsid w:val="006635C2"/>
    <w:rsid w:val="00663C28"/>
    <w:rsid w:val="00663F65"/>
    <w:rsid w:val="00664633"/>
    <w:rsid w:val="006653C9"/>
    <w:rsid w:val="006659E2"/>
    <w:rsid w:val="00666AB1"/>
    <w:rsid w:val="00667738"/>
    <w:rsid w:val="006677FE"/>
    <w:rsid w:val="006706D3"/>
    <w:rsid w:val="00670975"/>
    <w:rsid w:val="006715EE"/>
    <w:rsid w:val="006718DE"/>
    <w:rsid w:val="00671D81"/>
    <w:rsid w:val="0067293F"/>
    <w:rsid w:val="00673101"/>
    <w:rsid w:val="006732C7"/>
    <w:rsid w:val="006738F0"/>
    <w:rsid w:val="00673FD5"/>
    <w:rsid w:val="0067446B"/>
    <w:rsid w:val="006747FF"/>
    <w:rsid w:val="00674F7F"/>
    <w:rsid w:val="006759EC"/>
    <w:rsid w:val="0067642D"/>
    <w:rsid w:val="0067704A"/>
    <w:rsid w:val="006778F9"/>
    <w:rsid w:val="00677942"/>
    <w:rsid w:val="00677B51"/>
    <w:rsid w:val="00677D0E"/>
    <w:rsid w:val="00677EA8"/>
    <w:rsid w:val="00680051"/>
    <w:rsid w:val="006810FD"/>
    <w:rsid w:val="006815A4"/>
    <w:rsid w:val="00681793"/>
    <w:rsid w:val="00682872"/>
    <w:rsid w:val="00682B7E"/>
    <w:rsid w:val="0068323D"/>
    <w:rsid w:val="006835FA"/>
    <w:rsid w:val="006849A6"/>
    <w:rsid w:val="006855D9"/>
    <w:rsid w:val="00685720"/>
    <w:rsid w:val="006871ED"/>
    <w:rsid w:val="00687A4E"/>
    <w:rsid w:val="0069021B"/>
    <w:rsid w:val="006902CD"/>
    <w:rsid w:val="00690739"/>
    <w:rsid w:val="00690799"/>
    <w:rsid w:val="00691330"/>
    <w:rsid w:val="0069136E"/>
    <w:rsid w:val="00691430"/>
    <w:rsid w:val="00691DD3"/>
    <w:rsid w:val="00691F95"/>
    <w:rsid w:val="0069277A"/>
    <w:rsid w:val="006944A1"/>
    <w:rsid w:val="00695908"/>
    <w:rsid w:val="00695D31"/>
    <w:rsid w:val="00695D7C"/>
    <w:rsid w:val="00696CB7"/>
    <w:rsid w:val="00697544"/>
    <w:rsid w:val="00697659"/>
    <w:rsid w:val="00697E8B"/>
    <w:rsid w:val="006A0166"/>
    <w:rsid w:val="006A01AD"/>
    <w:rsid w:val="006A0A1C"/>
    <w:rsid w:val="006A2295"/>
    <w:rsid w:val="006A3092"/>
    <w:rsid w:val="006A36D6"/>
    <w:rsid w:val="006A395E"/>
    <w:rsid w:val="006A39F6"/>
    <w:rsid w:val="006A4147"/>
    <w:rsid w:val="006A47B8"/>
    <w:rsid w:val="006A55FA"/>
    <w:rsid w:val="006A5DFA"/>
    <w:rsid w:val="006A6B07"/>
    <w:rsid w:val="006A6BF7"/>
    <w:rsid w:val="006A6E0E"/>
    <w:rsid w:val="006A6EFF"/>
    <w:rsid w:val="006A7047"/>
    <w:rsid w:val="006A763C"/>
    <w:rsid w:val="006A7D96"/>
    <w:rsid w:val="006A7FAC"/>
    <w:rsid w:val="006B0127"/>
    <w:rsid w:val="006B16F4"/>
    <w:rsid w:val="006B1BBC"/>
    <w:rsid w:val="006B1D83"/>
    <w:rsid w:val="006B2245"/>
    <w:rsid w:val="006B2497"/>
    <w:rsid w:val="006B25A9"/>
    <w:rsid w:val="006B2E5D"/>
    <w:rsid w:val="006B3286"/>
    <w:rsid w:val="006B35A8"/>
    <w:rsid w:val="006B3860"/>
    <w:rsid w:val="006B4196"/>
    <w:rsid w:val="006B459C"/>
    <w:rsid w:val="006B59BC"/>
    <w:rsid w:val="006B5BD7"/>
    <w:rsid w:val="006B6A3E"/>
    <w:rsid w:val="006B7233"/>
    <w:rsid w:val="006B738E"/>
    <w:rsid w:val="006B7900"/>
    <w:rsid w:val="006B79C8"/>
    <w:rsid w:val="006B7CCB"/>
    <w:rsid w:val="006C05B8"/>
    <w:rsid w:val="006C0CAE"/>
    <w:rsid w:val="006C2F9E"/>
    <w:rsid w:val="006C310D"/>
    <w:rsid w:val="006C3135"/>
    <w:rsid w:val="006C3C21"/>
    <w:rsid w:val="006C3CE4"/>
    <w:rsid w:val="006C41B1"/>
    <w:rsid w:val="006C44F1"/>
    <w:rsid w:val="006C4E48"/>
    <w:rsid w:val="006C5A8C"/>
    <w:rsid w:val="006C6087"/>
    <w:rsid w:val="006C60B2"/>
    <w:rsid w:val="006C6ABD"/>
    <w:rsid w:val="006C7045"/>
    <w:rsid w:val="006C733B"/>
    <w:rsid w:val="006C76AE"/>
    <w:rsid w:val="006D019C"/>
    <w:rsid w:val="006D03B6"/>
    <w:rsid w:val="006D08F0"/>
    <w:rsid w:val="006D0FE2"/>
    <w:rsid w:val="006D108B"/>
    <w:rsid w:val="006D11EF"/>
    <w:rsid w:val="006D1273"/>
    <w:rsid w:val="006D190C"/>
    <w:rsid w:val="006D1AD5"/>
    <w:rsid w:val="006D2576"/>
    <w:rsid w:val="006D2B7A"/>
    <w:rsid w:val="006D3618"/>
    <w:rsid w:val="006D38D3"/>
    <w:rsid w:val="006D3A04"/>
    <w:rsid w:val="006D3CB5"/>
    <w:rsid w:val="006D45FD"/>
    <w:rsid w:val="006D4CC6"/>
    <w:rsid w:val="006D4D27"/>
    <w:rsid w:val="006D5001"/>
    <w:rsid w:val="006D535D"/>
    <w:rsid w:val="006D57A4"/>
    <w:rsid w:val="006D581E"/>
    <w:rsid w:val="006D5A46"/>
    <w:rsid w:val="006D5B64"/>
    <w:rsid w:val="006D5CC7"/>
    <w:rsid w:val="006D6183"/>
    <w:rsid w:val="006D6A4E"/>
    <w:rsid w:val="006D6BAA"/>
    <w:rsid w:val="006D7497"/>
    <w:rsid w:val="006D7869"/>
    <w:rsid w:val="006E044F"/>
    <w:rsid w:val="006E17F2"/>
    <w:rsid w:val="006E18DA"/>
    <w:rsid w:val="006E1A1F"/>
    <w:rsid w:val="006E23EC"/>
    <w:rsid w:val="006E2B6E"/>
    <w:rsid w:val="006E3A91"/>
    <w:rsid w:val="006E4AD0"/>
    <w:rsid w:val="006E5067"/>
    <w:rsid w:val="006E6BA7"/>
    <w:rsid w:val="006E7A36"/>
    <w:rsid w:val="006F0191"/>
    <w:rsid w:val="006F0249"/>
    <w:rsid w:val="006F17AF"/>
    <w:rsid w:val="006F190E"/>
    <w:rsid w:val="006F1C1D"/>
    <w:rsid w:val="006F1D95"/>
    <w:rsid w:val="006F1EC9"/>
    <w:rsid w:val="006F2C3E"/>
    <w:rsid w:val="006F3485"/>
    <w:rsid w:val="006F3DE4"/>
    <w:rsid w:val="006F4099"/>
    <w:rsid w:val="006F43AD"/>
    <w:rsid w:val="006F43D6"/>
    <w:rsid w:val="006F453A"/>
    <w:rsid w:val="006F4964"/>
    <w:rsid w:val="006F4F32"/>
    <w:rsid w:val="006F5C32"/>
    <w:rsid w:val="006F62A9"/>
    <w:rsid w:val="006F63AF"/>
    <w:rsid w:val="006F65CC"/>
    <w:rsid w:val="006F662E"/>
    <w:rsid w:val="006F773B"/>
    <w:rsid w:val="006F79EF"/>
    <w:rsid w:val="00700D44"/>
    <w:rsid w:val="00701654"/>
    <w:rsid w:val="00702A46"/>
    <w:rsid w:val="0070327F"/>
    <w:rsid w:val="00703C6D"/>
    <w:rsid w:val="007040AB"/>
    <w:rsid w:val="0070470C"/>
    <w:rsid w:val="0070521A"/>
    <w:rsid w:val="0070539A"/>
    <w:rsid w:val="00705B00"/>
    <w:rsid w:val="00705DDF"/>
    <w:rsid w:val="007060DD"/>
    <w:rsid w:val="007066C8"/>
    <w:rsid w:val="00706C90"/>
    <w:rsid w:val="00706E61"/>
    <w:rsid w:val="00707656"/>
    <w:rsid w:val="007076C8"/>
    <w:rsid w:val="007079AD"/>
    <w:rsid w:val="00707EB7"/>
    <w:rsid w:val="007101ED"/>
    <w:rsid w:val="00710406"/>
    <w:rsid w:val="00710522"/>
    <w:rsid w:val="0071097E"/>
    <w:rsid w:val="00712E04"/>
    <w:rsid w:val="00713D06"/>
    <w:rsid w:val="00713EF3"/>
    <w:rsid w:val="00714DFA"/>
    <w:rsid w:val="00715370"/>
    <w:rsid w:val="00715647"/>
    <w:rsid w:val="0071569D"/>
    <w:rsid w:val="00715A4C"/>
    <w:rsid w:val="00715D90"/>
    <w:rsid w:val="0071620A"/>
    <w:rsid w:val="007168A9"/>
    <w:rsid w:val="00717BD6"/>
    <w:rsid w:val="0072033D"/>
    <w:rsid w:val="00720DE7"/>
    <w:rsid w:val="00721203"/>
    <w:rsid w:val="00721219"/>
    <w:rsid w:val="00721405"/>
    <w:rsid w:val="00723421"/>
    <w:rsid w:val="007239FA"/>
    <w:rsid w:val="00723CDF"/>
    <w:rsid w:val="00724611"/>
    <w:rsid w:val="00724A96"/>
    <w:rsid w:val="00724FAC"/>
    <w:rsid w:val="00725266"/>
    <w:rsid w:val="00725653"/>
    <w:rsid w:val="007258DB"/>
    <w:rsid w:val="00725EC3"/>
    <w:rsid w:val="00726A49"/>
    <w:rsid w:val="00726C9B"/>
    <w:rsid w:val="007273C2"/>
    <w:rsid w:val="00727732"/>
    <w:rsid w:val="00727CFB"/>
    <w:rsid w:val="00730C14"/>
    <w:rsid w:val="00730E82"/>
    <w:rsid w:val="007310A3"/>
    <w:rsid w:val="007321C5"/>
    <w:rsid w:val="0073232C"/>
    <w:rsid w:val="007327A3"/>
    <w:rsid w:val="00732962"/>
    <w:rsid w:val="00733C1C"/>
    <w:rsid w:val="00735550"/>
    <w:rsid w:val="007355F8"/>
    <w:rsid w:val="0073597F"/>
    <w:rsid w:val="00735A31"/>
    <w:rsid w:val="00735C81"/>
    <w:rsid w:val="00735E03"/>
    <w:rsid w:val="00736356"/>
    <w:rsid w:val="007364F2"/>
    <w:rsid w:val="00737C42"/>
    <w:rsid w:val="007402FA"/>
    <w:rsid w:val="0074099C"/>
    <w:rsid w:val="00740AFE"/>
    <w:rsid w:val="0074169B"/>
    <w:rsid w:val="007416A2"/>
    <w:rsid w:val="0074178D"/>
    <w:rsid w:val="007419F3"/>
    <w:rsid w:val="00741BBC"/>
    <w:rsid w:val="007431A1"/>
    <w:rsid w:val="00743985"/>
    <w:rsid w:val="007441A1"/>
    <w:rsid w:val="00744D1A"/>
    <w:rsid w:val="007456D4"/>
    <w:rsid w:val="00745AA3"/>
    <w:rsid w:val="007462FA"/>
    <w:rsid w:val="00746767"/>
    <w:rsid w:val="00746C3C"/>
    <w:rsid w:val="0074719A"/>
    <w:rsid w:val="007471B5"/>
    <w:rsid w:val="0074728A"/>
    <w:rsid w:val="007475D2"/>
    <w:rsid w:val="00750723"/>
    <w:rsid w:val="007507B1"/>
    <w:rsid w:val="00750D31"/>
    <w:rsid w:val="00750EEE"/>
    <w:rsid w:val="00751193"/>
    <w:rsid w:val="007519DD"/>
    <w:rsid w:val="00752102"/>
    <w:rsid w:val="00752916"/>
    <w:rsid w:val="00752C20"/>
    <w:rsid w:val="00753665"/>
    <w:rsid w:val="00754854"/>
    <w:rsid w:val="00754D1D"/>
    <w:rsid w:val="0075633A"/>
    <w:rsid w:val="00756350"/>
    <w:rsid w:val="0075665D"/>
    <w:rsid w:val="0076080D"/>
    <w:rsid w:val="00760E2E"/>
    <w:rsid w:val="007611B4"/>
    <w:rsid w:val="007617A7"/>
    <w:rsid w:val="00761B71"/>
    <w:rsid w:val="0076232D"/>
    <w:rsid w:val="007629A4"/>
    <w:rsid w:val="00763353"/>
    <w:rsid w:val="007644A3"/>
    <w:rsid w:val="00764762"/>
    <w:rsid w:val="00764CCD"/>
    <w:rsid w:val="007656AD"/>
    <w:rsid w:val="00765AE0"/>
    <w:rsid w:val="00765D90"/>
    <w:rsid w:val="00765DD9"/>
    <w:rsid w:val="007663BA"/>
    <w:rsid w:val="00766B98"/>
    <w:rsid w:val="00766EE7"/>
    <w:rsid w:val="00767FAD"/>
    <w:rsid w:val="007700B1"/>
    <w:rsid w:val="007707F1"/>
    <w:rsid w:val="007717AF"/>
    <w:rsid w:val="00771A33"/>
    <w:rsid w:val="00771E3F"/>
    <w:rsid w:val="0077280D"/>
    <w:rsid w:val="00772B57"/>
    <w:rsid w:val="007737CD"/>
    <w:rsid w:val="0077410C"/>
    <w:rsid w:val="00774A03"/>
    <w:rsid w:val="0077560B"/>
    <w:rsid w:val="00775939"/>
    <w:rsid w:val="00775DE7"/>
    <w:rsid w:val="00776A97"/>
    <w:rsid w:val="007773A1"/>
    <w:rsid w:val="00777488"/>
    <w:rsid w:val="00777B8F"/>
    <w:rsid w:val="00777F97"/>
    <w:rsid w:val="00780562"/>
    <w:rsid w:val="00780E8F"/>
    <w:rsid w:val="00780F42"/>
    <w:rsid w:val="007815DF"/>
    <w:rsid w:val="0078173D"/>
    <w:rsid w:val="007819B7"/>
    <w:rsid w:val="0078229E"/>
    <w:rsid w:val="00782359"/>
    <w:rsid w:val="007825C7"/>
    <w:rsid w:val="00782670"/>
    <w:rsid w:val="007828EF"/>
    <w:rsid w:val="007831BB"/>
    <w:rsid w:val="00783275"/>
    <w:rsid w:val="007838A1"/>
    <w:rsid w:val="00783D44"/>
    <w:rsid w:val="007850BF"/>
    <w:rsid w:val="00785397"/>
    <w:rsid w:val="00785EA3"/>
    <w:rsid w:val="00785F69"/>
    <w:rsid w:val="0078600B"/>
    <w:rsid w:val="007866B9"/>
    <w:rsid w:val="0078673B"/>
    <w:rsid w:val="00786F4F"/>
    <w:rsid w:val="007873EF"/>
    <w:rsid w:val="007873F6"/>
    <w:rsid w:val="007874EA"/>
    <w:rsid w:val="00790641"/>
    <w:rsid w:val="00790ADC"/>
    <w:rsid w:val="00790CD3"/>
    <w:rsid w:val="00790D00"/>
    <w:rsid w:val="007912F2"/>
    <w:rsid w:val="00791561"/>
    <w:rsid w:val="00791AA2"/>
    <w:rsid w:val="00792091"/>
    <w:rsid w:val="00792225"/>
    <w:rsid w:val="0079261E"/>
    <w:rsid w:val="00792CE1"/>
    <w:rsid w:val="00792D06"/>
    <w:rsid w:val="00793012"/>
    <w:rsid w:val="00793097"/>
    <w:rsid w:val="00793586"/>
    <w:rsid w:val="0079377F"/>
    <w:rsid w:val="00793793"/>
    <w:rsid w:val="00794917"/>
    <w:rsid w:val="0079527C"/>
    <w:rsid w:val="007961D0"/>
    <w:rsid w:val="00796383"/>
    <w:rsid w:val="00796964"/>
    <w:rsid w:val="0079733B"/>
    <w:rsid w:val="007A0C08"/>
    <w:rsid w:val="007A18A3"/>
    <w:rsid w:val="007A1C53"/>
    <w:rsid w:val="007A209A"/>
    <w:rsid w:val="007A2631"/>
    <w:rsid w:val="007A38B9"/>
    <w:rsid w:val="007A4D86"/>
    <w:rsid w:val="007A5967"/>
    <w:rsid w:val="007A64A5"/>
    <w:rsid w:val="007A780E"/>
    <w:rsid w:val="007A7C10"/>
    <w:rsid w:val="007A7F6C"/>
    <w:rsid w:val="007B0484"/>
    <w:rsid w:val="007B172A"/>
    <w:rsid w:val="007B311F"/>
    <w:rsid w:val="007B5224"/>
    <w:rsid w:val="007B53F5"/>
    <w:rsid w:val="007B598D"/>
    <w:rsid w:val="007B61D1"/>
    <w:rsid w:val="007B67DD"/>
    <w:rsid w:val="007B70D1"/>
    <w:rsid w:val="007B7D69"/>
    <w:rsid w:val="007C00A2"/>
    <w:rsid w:val="007C045D"/>
    <w:rsid w:val="007C0F1A"/>
    <w:rsid w:val="007C1632"/>
    <w:rsid w:val="007C1868"/>
    <w:rsid w:val="007C1D0F"/>
    <w:rsid w:val="007C2151"/>
    <w:rsid w:val="007C21FD"/>
    <w:rsid w:val="007C318A"/>
    <w:rsid w:val="007C32BA"/>
    <w:rsid w:val="007C3BE5"/>
    <w:rsid w:val="007C4093"/>
    <w:rsid w:val="007C44A3"/>
    <w:rsid w:val="007C48DF"/>
    <w:rsid w:val="007C4AF7"/>
    <w:rsid w:val="007C52C7"/>
    <w:rsid w:val="007C54AB"/>
    <w:rsid w:val="007C5502"/>
    <w:rsid w:val="007C5EEC"/>
    <w:rsid w:val="007C7680"/>
    <w:rsid w:val="007D040C"/>
    <w:rsid w:val="007D09C1"/>
    <w:rsid w:val="007D17DE"/>
    <w:rsid w:val="007D18D6"/>
    <w:rsid w:val="007D196B"/>
    <w:rsid w:val="007D1B62"/>
    <w:rsid w:val="007D1BCD"/>
    <w:rsid w:val="007D1CBD"/>
    <w:rsid w:val="007D2935"/>
    <w:rsid w:val="007D3249"/>
    <w:rsid w:val="007D3A1E"/>
    <w:rsid w:val="007D3ADB"/>
    <w:rsid w:val="007D460E"/>
    <w:rsid w:val="007D5324"/>
    <w:rsid w:val="007D60EE"/>
    <w:rsid w:val="007D677E"/>
    <w:rsid w:val="007D6D70"/>
    <w:rsid w:val="007D70E5"/>
    <w:rsid w:val="007D73D5"/>
    <w:rsid w:val="007E0307"/>
    <w:rsid w:val="007E0331"/>
    <w:rsid w:val="007E0C6E"/>
    <w:rsid w:val="007E16E1"/>
    <w:rsid w:val="007E221C"/>
    <w:rsid w:val="007E2916"/>
    <w:rsid w:val="007E3B0F"/>
    <w:rsid w:val="007E4D41"/>
    <w:rsid w:val="007E50FC"/>
    <w:rsid w:val="007E55B1"/>
    <w:rsid w:val="007E59D8"/>
    <w:rsid w:val="007E6079"/>
    <w:rsid w:val="007E7481"/>
    <w:rsid w:val="007E7731"/>
    <w:rsid w:val="007F071F"/>
    <w:rsid w:val="007F136C"/>
    <w:rsid w:val="007F1BFD"/>
    <w:rsid w:val="007F2004"/>
    <w:rsid w:val="007F224E"/>
    <w:rsid w:val="007F23F2"/>
    <w:rsid w:val="007F2C12"/>
    <w:rsid w:val="007F384F"/>
    <w:rsid w:val="007F3EFF"/>
    <w:rsid w:val="007F4B2E"/>
    <w:rsid w:val="007F4FA4"/>
    <w:rsid w:val="007F524C"/>
    <w:rsid w:val="007F671C"/>
    <w:rsid w:val="007F6A35"/>
    <w:rsid w:val="007F72EF"/>
    <w:rsid w:val="007F7471"/>
    <w:rsid w:val="007F784F"/>
    <w:rsid w:val="008003D4"/>
    <w:rsid w:val="008004D1"/>
    <w:rsid w:val="00801054"/>
    <w:rsid w:val="008011AE"/>
    <w:rsid w:val="008014CE"/>
    <w:rsid w:val="008016E4"/>
    <w:rsid w:val="00801A15"/>
    <w:rsid w:val="00802081"/>
    <w:rsid w:val="0080283D"/>
    <w:rsid w:val="00802849"/>
    <w:rsid w:val="00802DB0"/>
    <w:rsid w:val="00803903"/>
    <w:rsid w:val="00803EF8"/>
    <w:rsid w:val="00804795"/>
    <w:rsid w:val="008048A6"/>
    <w:rsid w:val="00805A8C"/>
    <w:rsid w:val="00807A9C"/>
    <w:rsid w:val="00810434"/>
    <w:rsid w:val="0081085A"/>
    <w:rsid w:val="00810CFC"/>
    <w:rsid w:val="00811169"/>
    <w:rsid w:val="0081127E"/>
    <w:rsid w:val="008119C9"/>
    <w:rsid w:val="00811F67"/>
    <w:rsid w:val="008129EA"/>
    <w:rsid w:val="00812D9E"/>
    <w:rsid w:val="00812FA5"/>
    <w:rsid w:val="008131F8"/>
    <w:rsid w:val="00813317"/>
    <w:rsid w:val="0081376E"/>
    <w:rsid w:val="0081382A"/>
    <w:rsid w:val="008138DA"/>
    <w:rsid w:val="00813DEE"/>
    <w:rsid w:val="008143F1"/>
    <w:rsid w:val="00814A0C"/>
    <w:rsid w:val="00814A54"/>
    <w:rsid w:val="008156A1"/>
    <w:rsid w:val="00816787"/>
    <w:rsid w:val="0081684E"/>
    <w:rsid w:val="00816FCB"/>
    <w:rsid w:val="0081775C"/>
    <w:rsid w:val="0081779F"/>
    <w:rsid w:val="00817E3C"/>
    <w:rsid w:val="00820046"/>
    <w:rsid w:val="00820C7F"/>
    <w:rsid w:val="00820E7B"/>
    <w:rsid w:val="00821067"/>
    <w:rsid w:val="00822DFD"/>
    <w:rsid w:val="00822F2F"/>
    <w:rsid w:val="00823519"/>
    <w:rsid w:val="008237D9"/>
    <w:rsid w:val="0082474D"/>
    <w:rsid w:val="008247D8"/>
    <w:rsid w:val="00824C2D"/>
    <w:rsid w:val="00824E3D"/>
    <w:rsid w:val="00824F8E"/>
    <w:rsid w:val="008256DD"/>
    <w:rsid w:val="00825D76"/>
    <w:rsid w:val="008261D7"/>
    <w:rsid w:val="0082658F"/>
    <w:rsid w:val="00826C45"/>
    <w:rsid w:val="0082769C"/>
    <w:rsid w:val="0083032B"/>
    <w:rsid w:val="0083032F"/>
    <w:rsid w:val="0083089F"/>
    <w:rsid w:val="008324DC"/>
    <w:rsid w:val="00832632"/>
    <w:rsid w:val="00832AFE"/>
    <w:rsid w:val="00834463"/>
    <w:rsid w:val="00835B42"/>
    <w:rsid w:val="00835E11"/>
    <w:rsid w:val="00835E58"/>
    <w:rsid w:val="00835F21"/>
    <w:rsid w:val="00836D69"/>
    <w:rsid w:val="00836EED"/>
    <w:rsid w:val="00837663"/>
    <w:rsid w:val="00837956"/>
    <w:rsid w:val="00837B3D"/>
    <w:rsid w:val="0084024B"/>
    <w:rsid w:val="00840315"/>
    <w:rsid w:val="00840562"/>
    <w:rsid w:val="00841DD1"/>
    <w:rsid w:val="00841F5C"/>
    <w:rsid w:val="008422F4"/>
    <w:rsid w:val="008423E8"/>
    <w:rsid w:val="00843824"/>
    <w:rsid w:val="0084392B"/>
    <w:rsid w:val="00844409"/>
    <w:rsid w:val="0084500B"/>
    <w:rsid w:val="00846AB7"/>
    <w:rsid w:val="00846C61"/>
    <w:rsid w:val="00847335"/>
    <w:rsid w:val="0085013C"/>
    <w:rsid w:val="0085077A"/>
    <w:rsid w:val="00850964"/>
    <w:rsid w:val="00850AF7"/>
    <w:rsid w:val="00850E5D"/>
    <w:rsid w:val="00851F5C"/>
    <w:rsid w:val="00852002"/>
    <w:rsid w:val="008530F4"/>
    <w:rsid w:val="00853741"/>
    <w:rsid w:val="00853CB6"/>
    <w:rsid w:val="008547FD"/>
    <w:rsid w:val="00854C52"/>
    <w:rsid w:val="008550E2"/>
    <w:rsid w:val="0085547C"/>
    <w:rsid w:val="00855E13"/>
    <w:rsid w:val="0085624D"/>
    <w:rsid w:val="00856B8F"/>
    <w:rsid w:val="00856E47"/>
    <w:rsid w:val="0085703C"/>
    <w:rsid w:val="008578C7"/>
    <w:rsid w:val="00857FFE"/>
    <w:rsid w:val="00860294"/>
    <w:rsid w:val="00860482"/>
    <w:rsid w:val="00861412"/>
    <w:rsid w:val="00861C76"/>
    <w:rsid w:val="00862880"/>
    <w:rsid w:val="008629FA"/>
    <w:rsid w:val="008634DD"/>
    <w:rsid w:val="00864922"/>
    <w:rsid w:val="00865527"/>
    <w:rsid w:val="008655C2"/>
    <w:rsid w:val="00865669"/>
    <w:rsid w:val="0086653F"/>
    <w:rsid w:val="008666E4"/>
    <w:rsid w:val="00866EB4"/>
    <w:rsid w:val="00867678"/>
    <w:rsid w:val="00867C2B"/>
    <w:rsid w:val="00867DE2"/>
    <w:rsid w:val="008700C8"/>
    <w:rsid w:val="0087066F"/>
    <w:rsid w:val="00871139"/>
    <w:rsid w:val="00871237"/>
    <w:rsid w:val="008716DF"/>
    <w:rsid w:val="00871A71"/>
    <w:rsid w:val="00871B4D"/>
    <w:rsid w:val="00871C5C"/>
    <w:rsid w:val="00872B8B"/>
    <w:rsid w:val="00872C50"/>
    <w:rsid w:val="00872F54"/>
    <w:rsid w:val="00872F76"/>
    <w:rsid w:val="0087382B"/>
    <w:rsid w:val="00873C58"/>
    <w:rsid w:val="00874984"/>
    <w:rsid w:val="00874EA7"/>
    <w:rsid w:val="00874FE8"/>
    <w:rsid w:val="0087586A"/>
    <w:rsid w:val="00875BBF"/>
    <w:rsid w:val="0087603A"/>
    <w:rsid w:val="00877B6E"/>
    <w:rsid w:val="00877E74"/>
    <w:rsid w:val="00880265"/>
    <w:rsid w:val="00882023"/>
    <w:rsid w:val="00883603"/>
    <w:rsid w:val="00883AF1"/>
    <w:rsid w:val="008845B7"/>
    <w:rsid w:val="00884805"/>
    <w:rsid w:val="00884A42"/>
    <w:rsid w:val="00884D1A"/>
    <w:rsid w:val="00885DD3"/>
    <w:rsid w:val="00885E59"/>
    <w:rsid w:val="00885F1F"/>
    <w:rsid w:val="008863B9"/>
    <w:rsid w:val="00886782"/>
    <w:rsid w:val="0088702B"/>
    <w:rsid w:val="008877EB"/>
    <w:rsid w:val="00887B51"/>
    <w:rsid w:val="00887BDE"/>
    <w:rsid w:val="00890815"/>
    <w:rsid w:val="008909FA"/>
    <w:rsid w:val="0089114C"/>
    <w:rsid w:val="008918B9"/>
    <w:rsid w:val="00891A82"/>
    <w:rsid w:val="00892AA0"/>
    <w:rsid w:val="00892FD0"/>
    <w:rsid w:val="00893B76"/>
    <w:rsid w:val="0089422D"/>
    <w:rsid w:val="0089471E"/>
    <w:rsid w:val="00895338"/>
    <w:rsid w:val="0089550F"/>
    <w:rsid w:val="0089563D"/>
    <w:rsid w:val="00895F10"/>
    <w:rsid w:val="00895F62"/>
    <w:rsid w:val="00895F66"/>
    <w:rsid w:val="00895FBC"/>
    <w:rsid w:val="008964BB"/>
    <w:rsid w:val="00896A4D"/>
    <w:rsid w:val="00896E8F"/>
    <w:rsid w:val="00896F78"/>
    <w:rsid w:val="00896FCB"/>
    <w:rsid w:val="00897243"/>
    <w:rsid w:val="008972AB"/>
    <w:rsid w:val="008A0F29"/>
    <w:rsid w:val="008A1219"/>
    <w:rsid w:val="008A2B3C"/>
    <w:rsid w:val="008A2D51"/>
    <w:rsid w:val="008A3F0B"/>
    <w:rsid w:val="008A48BA"/>
    <w:rsid w:val="008A4D6E"/>
    <w:rsid w:val="008A4F4B"/>
    <w:rsid w:val="008A546E"/>
    <w:rsid w:val="008A5817"/>
    <w:rsid w:val="008A60BA"/>
    <w:rsid w:val="008A6BD6"/>
    <w:rsid w:val="008A6C77"/>
    <w:rsid w:val="008A6EFE"/>
    <w:rsid w:val="008A7E2C"/>
    <w:rsid w:val="008A7EE3"/>
    <w:rsid w:val="008B041B"/>
    <w:rsid w:val="008B1882"/>
    <w:rsid w:val="008B1C5C"/>
    <w:rsid w:val="008B1C66"/>
    <w:rsid w:val="008B2960"/>
    <w:rsid w:val="008B3465"/>
    <w:rsid w:val="008B35EE"/>
    <w:rsid w:val="008B37EC"/>
    <w:rsid w:val="008B38DB"/>
    <w:rsid w:val="008B3D25"/>
    <w:rsid w:val="008B4020"/>
    <w:rsid w:val="008B431B"/>
    <w:rsid w:val="008B4C6A"/>
    <w:rsid w:val="008B4FC6"/>
    <w:rsid w:val="008B6690"/>
    <w:rsid w:val="008B6957"/>
    <w:rsid w:val="008B6C03"/>
    <w:rsid w:val="008B6D5E"/>
    <w:rsid w:val="008B6EFE"/>
    <w:rsid w:val="008B6F6F"/>
    <w:rsid w:val="008B7806"/>
    <w:rsid w:val="008C004C"/>
    <w:rsid w:val="008C0BB3"/>
    <w:rsid w:val="008C14A0"/>
    <w:rsid w:val="008C16C4"/>
    <w:rsid w:val="008C1B20"/>
    <w:rsid w:val="008C1B56"/>
    <w:rsid w:val="008C1BC1"/>
    <w:rsid w:val="008C1EBD"/>
    <w:rsid w:val="008C22F8"/>
    <w:rsid w:val="008C2554"/>
    <w:rsid w:val="008C2663"/>
    <w:rsid w:val="008C293C"/>
    <w:rsid w:val="008C3919"/>
    <w:rsid w:val="008C421C"/>
    <w:rsid w:val="008C485A"/>
    <w:rsid w:val="008C4ACB"/>
    <w:rsid w:val="008C5955"/>
    <w:rsid w:val="008C662F"/>
    <w:rsid w:val="008C6E7A"/>
    <w:rsid w:val="008C6EA2"/>
    <w:rsid w:val="008C72B9"/>
    <w:rsid w:val="008C7874"/>
    <w:rsid w:val="008D01C6"/>
    <w:rsid w:val="008D0ACF"/>
    <w:rsid w:val="008D19A6"/>
    <w:rsid w:val="008D1F9F"/>
    <w:rsid w:val="008D2091"/>
    <w:rsid w:val="008D23B6"/>
    <w:rsid w:val="008D2690"/>
    <w:rsid w:val="008D34DC"/>
    <w:rsid w:val="008D4751"/>
    <w:rsid w:val="008D4BBC"/>
    <w:rsid w:val="008D4BCB"/>
    <w:rsid w:val="008D4E15"/>
    <w:rsid w:val="008D5113"/>
    <w:rsid w:val="008D5D0D"/>
    <w:rsid w:val="008D5DE6"/>
    <w:rsid w:val="008D5F5E"/>
    <w:rsid w:val="008D5F79"/>
    <w:rsid w:val="008D5FD6"/>
    <w:rsid w:val="008D69A3"/>
    <w:rsid w:val="008D6ABC"/>
    <w:rsid w:val="008D766B"/>
    <w:rsid w:val="008D78B3"/>
    <w:rsid w:val="008E0301"/>
    <w:rsid w:val="008E0D54"/>
    <w:rsid w:val="008E155B"/>
    <w:rsid w:val="008E1B0B"/>
    <w:rsid w:val="008E1C8D"/>
    <w:rsid w:val="008E26BB"/>
    <w:rsid w:val="008E2F0C"/>
    <w:rsid w:val="008E32CA"/>
    <w:rsid w:val="008E3529"/>
    <w:rsid w:val="008E3585"/>
    <w:rsid w:val="008E3597"/>
    <w:rsid w:val="008E392B"/>
    <w:rsid w:val="008E392D"/>
    <w:rsid w:val="008E3969"/>
    <w:rsid w:val="008E3ADB"/>
    <w:rsid w:val="008E4B42"/>
    <w:rsid w:val="008E4BC3"/>
    <w:rsid w:val="008E4F39"/>
    <w:rsid w:val="008E52DD"/>
    <w:rsid w:val="008E56EF"/>
    <w:rsid w:val="008E5894"/>
    <w:rsid w:val="008E5B51"/>
    <w:rsid w:val="008E6280"/>
    <w:rsid w:val="008E6715"/>
    <w:rsid w:val="008E73A8"/>
    <w:rsid w:val="008E7864"/>
    <w:rsid w:val="008F01FB"/>
    <w:rsid w:val="008F0E35"/>
    <w:rsid w:val="008F0FB9"/>
    <w:rsid w:val="008F14D7"/>
    <w:rsid w:val="008F1BCA"/>
    <w:rsid w:val="008F219C"/>
    <w:rsid w:val="008F2249"/>
    <w:rsid w:val="008F29B9"/>
    <w:rsid w:val="008F2FA2"/>
    <w:rsid w:val="008F32A5"/>
    <w:rsid w:val="008F36DC"/>
    <w:rsid w:val="008F3B10"/>
    <w:rsid w:val="008F3DBD"/>
    <w:rsid w:val="008F4134"/>
    <w:rsid w:val="008F5606"/>
    <w:rsid w:val="008F58E2"/>
    <w:rsid w:val="008F7F0C"/>
    <w:rsid w:val="00900AF5"/>
    <w:rsid w:val="00901396"/>
    <w:rsid w:val="00901506"/>
    <w:rsid w:val="009016B4"/>
    <w:rsid w:val="009019AC"/>
    <w:rsid w:val="0090201B"/>
    <w:rsid w:val="00902CBF"/>
    <w:rsid w:val="009036F3"/>
    <w:rsid w:val="00903FEA"/>
    <w:rsid w:val="00903FF6"/>
    <w:rsid w:val="0090578D"/>
    <w:rsid w:val="00905A3C"/>
    <w:rsid w:val="00906194"/>
    <w:rsid w:val="009074BF"/>
    <w:rsid w:val="009074CB"/>
    <w:rsid w:val="009078C1"/>
    <w:rsid w:val="00910495"/>
    <w:rsid w:val="009104B5"/>
    <w:rsid w:val="00910E88"/>
    <w:rsid w:val="00910F4B"/>
    <w:rsid w:val="009114BF"/>
    <w:rsid w:val="00911730"/>
    <w:rsid w:val="00911B16"/>
    <w:rsid w:val="00912059"/>
    <w:rsid w:val="009121F2"/>
    <w:rsid w:val="009126C5"/>
    <w:rsid w:val="0091387C"/>
    <w:rsid w:val="00913A33"/>
    <w:rsid w:val="00913C20"/>
    <w:rsid w:val="00913D30"/>
    <w:rsid w:val="00913F74"/>
    <w:rsid w:val="0091503D"/>
    <w:rsid w:val="00915AFD"/>
    <w:rsid w:val="00915BD8"/>
    <w:rsid w:val="00915EEE"/>
    <w:rsid w:val="009162EA"/>
    <w:rsid w:val="009163C8"/>
    <w:rsid w:val="009169D8"/>
    <w:rsid w:val="00916CEA"/>
    <w:rsid w:val="00916D90"/>
    <w:rsid w:val="00916FF6"/>
    <w:rsid w:val="00917260"/>
    <w:rsid w:val="00917ADD"/>
    <w:rsid w:val="00917BD5"/>
    <w:rsid w:val="00920470"/>
    <w:rsid w:val="00920754"/>
    <w:rsid w:val="00920950"/>
    <w:rsid w:val="00921BF6"/>
    <w:rsid w:val="009228D6"/>
    <w:rsid w:val="009234B6"/>
    <w:rsid w:val="00923973"/>
    <w:rsid w:val="00923F36"/>
    <w:rsid w:val="00924616"/>
    <w:rsid w:val="00924A7D"/>
    <w:rsid w:val="00925241"/>
    <w:rsid w:val="00925E0B"/>
    <w:rsid w:val="00926108"/>
    <w:rsid w:val="009262FC"/>
    <w:rsid w:val="00926B97"/>
    <w:rsid w:val="0092753A"/>
    <w:rsid w:val="009301AA"/>
    <w:rsid w:val="009302A2"/>
    <w:rsid w:val="0093069F"/>
    <w:rsid w:val="00930B86"/>
    <w:rsid w:val="00930E72"/>
    <w:rsid w:val="00931F49"/>
    <w:rsid w:val="00932F81"/>
    <w:rsid w:val="00933CEA"/>
    <w:rsid w:val="00934A49"/>
    <w:rsid w:val="00934B97"/>
    <w:rsid w:val="0093512F"/>
    <w:rsid w:val="009351BD"/>
    <w:rsid w:val="009352B3"/>
    <w:rsid w:val="00935462"/>
    <w:rsid w:val="00936727"/>
    <w:rsid w:val="0093689C"/>
    <w:rsid w:val="0093691F"/>
    <w:rsid w:val="00936AED"/>
    <w:rsid w:val="009374EE"/>
    <w:rsid w:val="00937FC2"/>
    <w:rsid w:val="00940710"/>
    <w:rsid w:val="00940B53"/>
    <w:rsid w:val="00940DB9"/>
    <w:rsid w:val="009412F8"/>
    <w:rsid w:val="00942165"/>
    <w:rsid w:val="00942CE0"/>
    <w:rsid w:val="0094383B"/>
    <w:rsid w:val="00943B5A"/>
    <w:rsid w:val="00943FA3"/>
    <w:rsid w:val="0094481A"/>
    <w:rsid w:val="00944CF1"/>
    <w:rsid w:val="00945293"/>
    <w:rsid w:val="00945D6A"/>
    <w:rsid w:val="00945EB0"/>
    <w:rsid w:val="009464A4"/>
    <w:rsid w:val="00946C16"/>
    <w:rsid w:val="0094709E"/>
    <w:rsid w:val="00947310"/>
    <w:rsid w:val="0094790F"/>
    <w:rsid w:val="00947A8E"/>
    <w:rsid w:val="00947E2A"/>
    <w:rsid w:val="00950BC0"/>
    <w:rsid w:val="00950C4B"/>
    <w:rsid w:val="00950F77"/>
    <w:rsid w:val="00951929"/>
    <w:rsid w:val="00951D34"/>
    <w:rsid w:val="00951EFA"/>
    <w:rsid w:val="0095282A"/>
    <w:rsid w:val="009529F2"/>
    <w:rsid w:val="00953BE8"/>
    <w:rsid w:val="00953C5D"/>
    <w:rsid w:val="00955026"/>
    <w:rsid w:val="0095577D"/>
    <w:rsid w:val="00955DAF"/>
    <w:rsid w:val="0095633F"/>
    <w:rsid w:val="00956C24"/>
    <w:rsid w:val="00957098"/>
    <w:rsid w:val="00957883"/>
    <w:rsid w:val="009606A7"/>
    <w:rsid w:val="00961972"/>
    <w:rsid w:val="0096231D"/>
    <w:rsid w:val="00962C15"/>
    <w:rsid w:val="00962C82"/>
    <w:rsid w:val="0096385E"/>
    <w:rsid w:val="00964187"/>
    <w:rsid w:val="00964242"/>
    <w:rsid w:val="009649EA"/>
    <w:rsid w:val="00964DB5"/>
    <w:rsid w:val="009657B7"/>
    <w:rsid w:val="0096581A"/>
    <w:rsid w:val="00966618"/>
    <w:rsid w:val="00966872"/>
    <w:rsid w:val="00966DCF"/>
    <w:rsid w:val="00967DC9"/>
    <w:rsid w:val="0097072E"/>
    <w:rsid w:val="00970DA1"/>
    <w:rsid w:val="00971E42"/>
    <w:rsid w:val="00971F59"/>
    <w:rsid w:val="009721C7"/>
    <w:rsid w:val="00972263"/>
    <w:rsid w:val="00972392"/>
    <w:rsid w:val="00972B8A"/>
    <w:rsid w:val="00973168"/>
    <w:rsid w:val="0097320D"/>
    <w:rsid w:val="0097360D"/>
    <w:rsid w:val="009746A3"/>
    <w:rsid w:val="00975B81"/>
    <w:rsid w:val="00975E84"/>
    <w:rsid w:val="00975F56"/>
    <w:rsid w:val="00976576"/>
    <w:rsid w:val="00976AF6"/>
    <w:rsid w:val="009778C4"/>
    <w:rsid w:val="0097796C"/>
    <w:rsid w:val="00977AF6"/>
    <w:rsid w:val="00977CAB"/>
    <w:rsid w:val="00980961"/>
    <w:rsid w:val="00980A60"/>
    <w:rsid w:val="00980B34"/>
    <w:rsid w:val="00980F87"/>
    <w:rsid w:val="00981579"/>
    <w:rsid w:val="00981BBD"/>
    <w:rsid w:val="00982171"/>
    <w:rsid w:val="00983718"/>
    <w:rsid w:val="00983967"/>
    <w:rsid w:val="009839E1"/>
    <w:rsid w:val="00983FA2"/>
    <w:rsid w:val="00984A17"/>
    <w:rsid w:val="0098619C"/>
    <w:rsid w:val="00986310"/>
    <w:rsid w:val="0098659F"/>
    <w:rsid w:val="00986802"/>
    <w:rsid w:val="00986D64"/>
    <w:rsid w:val="00986EAA"/>
    <w:rsid w:val="00987183"/>
    <w:rsid w:val="009875A1"/>
    <w:rsid w:val="009876DA"/>
    <w:rsid w:val="0098770A"/>
    <w:rsid w:val="009877DE"/>
    <w:rsid w:val="00987EE2"/>
    <w:rsid w:val="00990419"/>
    <w:rsid w:val="009912A2"/>
    <w:rsid w:val="00991406"/>
    <w:rsid w:val="009917AE"/>
    <w:rsid w:val="009929CF"/>
    <w:rsid w:val="00992BED"/>
    <w:rsid w:val="00993433"/>
    <w:rsid w:val="00994168"/>
    <w:rsid w:val="009949A5"/>
    <w:rsid w:val="00994A5C"/>
    <w:rsid w:val="009957BD"/>
    <w:rsid w:val="0099591E"/>
    <w:rsid w:val="009962C7"/>
    <w:rsid w:val="0099630E"/>
    <w:rsid w:val="00996F44"/>
    <w:rsid w:val="00997333"/>
    <w:rsid w:val="009A00C4"/>
    <w:rsid w:val="009A016D"/>
    <w:rsid w:val="009A0B8C"/>
    <w:rsid w:val="009A1D5D"/>
    <w:rsid w:val="009A226A"/>
    <w:rsid w:val="009A40A1"/>
    <w:rsid w:val="009A433B"/>
    <w:rsid w:val="009A4E56"/>
    <w:rsid w:val="009A4ED9"/>
    <w:rsid w:val="009A4F89"/>
    <w:rsid w:val="009A5442"/>
    <w:rsid w:val="009A5B6E"/>
    <w:rsid w:val="009A62CE"/>
    <w:rsid w:val="009A72AD"/>
    <w:rsid w:val="009A779C"/>
    <w:rsid w:val="009B083A"/>
    <w:rsid w:val="009B0DBB"/>
    <w:rsid w:val="009B1AFA"/>
    <w:rsid w:val="009B2673"/>
    <w:rsid w:val="009B2DAB"/>
    <w:rsid w:val="009B2F47"/>
    <w:rsid w:val="009B3849"/>
    <w:rsid w:val="009B3E8D"/>
    <w:rsid w:val="009B47EB"/>
    <w:rsid w:val="009B4E03"/>
    <w:rsid w:val="009B4F40"/>
    <w:rsid w:val="009B503F"/>
    <w:rsid w:val="009B50B2"/>
    <w:rsid w:val="009B5CBC"/>
    <w:rsid w:val="009B5E12"/>
    <w:rsid w:val="009B6226"/>
    <w:rsid w:val="009B6A27"/>
    <w:rsid w:val="009B6ECC"/>
    <w:rsid w:val="009B6FBE"/>
    <w:rsid w:val="009B7081"/>
    <w:rsid w:val="009B7A29"/>
    <w:rsid w:val="009C2903"/>
    <w:rsid w:val="009C310A"/>
    <w:rsid w:val="009C334F"/>
    <w:rsid w:val="009C34CD"/>
    <w:rsid w:val="009C36AF"/>
    <w:rsid w:val="009C37EB"/>
    <w:rsid w:val="009C3F58"/>
    <w:rsid w:val="009C4568"/>
    <w:rsid w:val="009C5CF7"/>
    <w:rsid w:val="009C6504"/>
    <w:rsid w:val="009C66C6"/>
    <w:rsid w:val="009C68F7"/>
    <w:rsid w:val="009D0492"/>
    <w:rsid w:val="009D1121"/>
    <w:rsid w:val="009D12BB"/>
    <w:rsid w:val="009D130D"/>
    <w:rsid w:val="009D141A"/>
    <w:rsid w:val="009D1CFB"/>
    <w:rsid w:val="009D2314"/>
    <w:rsid w:val="009D237B"/>
    <w:rsid w:val="009D23F3"/>
    <w:rsid w:val="009D35D0"/>
    <w:rsid w:val="009D361E"/>
    <w:rsid w:val="009D3B08"/>
    <w:rsid w:val="009D5E9C"/>
    <w:rsid w:val="009D626C"/>
    <w:rsid w:val="009D7F98"/>
    <w:rsid w:val="009E0B76"/>
    <w:rsid w:val="009E0E51"/>
    <w:rsid w:val="009E153C"/>
    <w:rsid w:val="009E19DA"/>
    <w:rsid w:val="009E1A3E"/>
    <w:rsid w:val="009E1AFD"/>
    <w:rsid w:val="009E29EE"/>
    <w:rsid w:val="009E37F8"/>
    <w:rsid w:val="009E3A9D"/>
    <w:rsid w:val="009E4038"/>
    <w:rsid w:val="009E490D"/>
    <w:rsid w:val="009E49FA"/>
    <w:rsid w:val="009E4A33"/>
    <w:rsid w:val="009E531D"/>
    <w:rsid w:val="009E5667"/>
    <w:rsid w:val="009E580F"/>
    <w:rsid w:val="009E5ACF"/>
    <w:rsid w:val="009E5E93"/>
    <w:rsid w:val="009E6164"/>
    <w:rsid w:val="009E61C1"/>
    <w:rsid w:val="009E6429"/>
    <w:rsid w:val="009E69CC"/>
    <w:rsid w:val="009E7184"/>
    <w:rsid w:val="009E74D3"/>
    <w:rsid w:val="009E7F83"/>
    <w:rsid w:val="009F051C"/>
    <w:rsid w:val="009F0893"/>
    <w:rsid w:val="009F0AC1"/>
    <w:rsid w:val="009F0BE9"/>
    <w:rsid w:val="009F0BF0"/>
    <w:rsid w:val="009F0C20"/>
    <w:rsid w:val="009F228D"/>
    <w:rsid w:val="009F2601"/>
    <w:rsid w:val="009F261E"/>
    <w:rsid w:val="009F2A45"/>
    <w:rsid w:val="009F2C6D"/>
    <w:rsid w:val="009F3561"/>
    <w:rsid w:val="009F3B2B"/>
    <w:rsid w:val="009F4325"/>
    <w:rsid w:val="009F503E"/>
    <w:rsid w:val="009F5634"/>
    <w:rsid w:val="009F58AC"/>
    <w:rsid w:val="009F5E1E"/>
    <w:rsid w:val="009F5E2D"/>
    <w:rsid w:val="009F69F7"/>
    <w:rsid w:val="009F772B"/>
    <w:rsid w:val="00A0010A"/>
    <w:rsid w:val="00A0017E"/>
    <w:rsid w:val="00A00578"/>
    <w:rsid w:val="00A00AC1"/>
    <w:rsid w:val="00A01246"/>
    <w:rsid w:val="00A019A8"/>
    <w:rsid w:val="00A025EE"/>
    <w:rsid w:val="00A02837"/>
    <w:rsid w:val="00A02B58"/>
    <w:rsid w:val="00A02F87"/>
    <w:rsid w:val="00A0333B"/>
    <w:rsid w:val="00A03EF1"/>
    <w:rsid w:val="00A03FEC"/>
    <w:rsid w:val="00A0457F"/>
    <w:rsid w:val="00A05B8E"/>
    <w:rsid w:val="00A064CF"/>
    <w:rsid w:val="00A0715F"/>
    <w:rsid w:val="00A07379"/>
    <w:rsid w:val="00A07892"/>
    <w:rsid w:val="00A10783"/>
    <w:rsid w:val="00A10B6D"/>
    <w:rsid w:val="00A129FE"/>
    <w:rsid w:val="00A12AD7"/>
    <w:rsid w:val="00A12B36"/>
    <w:rsid w:val="00A12FE7"/>
    <w:rsid w:val="00A13464"/>
    <w:rsid w:val="00A1362E"/>
    <w:rsid w:val="00A13877"/>
    <w:rsid w:val="00A143FC"/>
    <w:rsid w:val="00A14CA5"/>
    <w:rsid w:val="00A14E81"/>
    <w:rsid w:val="00A15F81"/>
    <w:rsid w:val="00A16421"/>
    <w:rsid w:val="00A16600"/>
    <w:rsid w:val="00A16F22"/>
    <w:rsid w:val="00A170DD"/>
    <w:rsid w:val="00A177A9"/>
    <w:rsid w:val="00A1789B"/>
    <w:rsid w:val="00A20D70"/>
    <w:rsid w:val="00A210A3"/>
    <w:rsid w:val="00A21360"/>
    <w:rsid w:val="00A2153A"/>
    <w:rsid w:val="00A21871"/>
    <w:rsid w:val="00A21DF5"/>
    <w:rsid w:val="00A22205"/>
    <w:rsid w:val="00A2242F"/>
    <w:rsid w:val="00A23113"/>
    <w:rsid w:val="00A23A52"/>
    <w:rsid w:val="00A23F75"/>
    <w:rsid w:val="00A23FB2"/>
    <w:rsid w:val="00A241B3"/>
    <w:rsid w:val="00A2459B"/>
    <w:rsid w:val="00A24EAF"/>
    <w:rsid w:val="00A2513D"/>
    <w:rsid w:val="00A255C0"/>
    <w:rsid w:val="00A25CFD"/>
    <w:rsid w:val="00A2674F"/>
    <w:rsid w:val="00A26DEA"/>
    <w:rsid w:val="00A26EE4"/>
    <w:rsid w:val="00A27F15"/>
    <w:rsid w:val="00A303CE"/>
    <w:rsid w:val="00A3054B"/>
    <w:rsid w:val="00A3185C"/>
    <w:rsid w:val="00A32F6A"/>
    <w:rsid w:val="00A33796"/>
    <w:rsid w:val="00A343FF"/>
    <w:rsid w:val="00A34D57"/>
    <w:rsid w:val="00A35632"/>
    <w:rsid w:val="00A365FC"/>
    <w:rsid w:val="00A36847"/>
    <w:rsid w:val="00A3700C"/>
    <w:rsid w:val="00A378B2"/>
    <w:rsid w:val="00A37A78"/>
    <w:rsid w:val="00A401E2"/>
    <w:rsid w:val="00A40897"/>
    <w:rsid w:val="00A40BF5"/>
    <w:rsid w:val="00A40CB9"/>
    <w:rsid w:val="00A42069"/>
    <w:rsid w:val="00A42C40"/>
    <w:rsid w:val="00A430C1"/>
    <w:rsid w:val="00A43692"/>
    <w:rsid w:val="00A43E6B"/>
    <w:rsid w:val="00A4485C"/>
    <w:rsid w:val="00A4502A"/>
    <w:rsid w:val="00A464BB"/>
    <w:rsid w:val="00A46D63"/>
    <w:rsid w:val="00A46F2E"/>
    <w:rsid w:val="00A47A4A"/>
    <w:rsid w:val="00A47E3E"/>
    <w:rsid w:val="00A502EF"/>
    <w:rsid w:val="00A50BE6"/>
    <w:rsid w:val="00A50DA2"/>
    <w:rsid w:val="00A510AD"/>
    <w:rsid w:val="00A51648"/>
    <w:rsid w:val="00A51913"/>
    <w:rsid w:val="00A51F07"/>
    <w:rsid w:val="00A529DD"/>
    <w:rsid w:val="00A52A71"/>
    <w:rsid w:val="00A546C4"/>
    <w:rsid w:val="00A547B0"/>
    <w:rsid w:val="00A54959"/>
    <w:rsid w:val="00A55155"/>
    <w:rsid w:val="00A5575D"/>
    <w:rsid w:val="00A55A92"/>
    <w:rsid w:val="00A55CB3"/>
    <w:rsid w:val="00A56A39"/>
    <w:rsid w:val="00A56B41"/>
    <w:rsid w:val="00A5787F"/>
    <w:rsid w:val="00A57A57"/>
    <w:rsid w:val="00A60247"/>
    <w:rsid w:val="00A607AD"/>
    <w:rsid w:val="00A608B4"/>
    <w:rsid w:val="00A609CD"/>
    <w:rsid w:val="00A61E6F"/>
    <w:rsid w:val="00A62316"/>
    <w:rsid w:val="00A62D42"/>
    <w:rsid w:val="00A62E27"/>
    <w:rsid w:val="00A63AE4"/>
    <w:rsid w:val="00A63B31"/>
    <w:rsid w:val="00A64279"/>
    <w:rsid w:val="00A645FC"/>
    <w:rsid w:val="00A6466B"/>
    <w:rsid w:val="00A64880"/>
    <w:rsid w:val="00A64B83"/>
    <w:rsid w:val="00A65156"/>
    <w:rsid w:val="00A65758"/>
    <w:rsid w:val="00A6578D"/>
    <w:rsid w:val="00A65EBD"/>
    <w:rsid w:val="00A66068"/>
    <w:rsid w:val="00A6612A"/>
    <w:rsid w:val="00A6614A"/>
    <w:rsid w:val="00A663BA"/>
    <w:rsid w:val="00A663DD"/>
    <w:rsid w:val="00A66531"/>
    <w:rsid w:val="00A66921"/>
    <w:rsid w:val="00A6710D"/>
    <w:rsid w:val="00A6723F"/>
    <w:rsid w:val="00A67438"/>
    <w:rsid w:val="00A70027"/>
    <w:rsid w:val="00A700E0"/>
    <w:rsid w:val="00A70199"/>
    <w:rsid w:val="00A7026D"/>
    <w:rsid w:val="00A70605"/>
    <w:rsid w:val="00A708F2"/>
    <w:rsid w:val="00A710B3"/>
    <w:rsid w:val="00A718DE"/>
    <w:rsid w:val="00A71C7F"/>
    <w:rsid w:val="00A71DF3"/>
    <w:rsid w:val="00A71F7A"/>
    <w:rsid w:val="00A73F50"/>
    <w:rsid w:val="00A73F8E"/>
    <w:rsid w:val="00A76179"/>
    <w:rsid w:val="00A765B5"/>
    <w:rsid w:val="00A76AC8"/>
    <w:rsid w:val="00A76C69"/>
    <w:rsid w:val="00A77780"/>
    <w:rsid w:val="00A77800"/>
    <w:rsid w:val="00A77B5F"/>
    <w:rsid w:val="00A77B7B"/>
    <w:rsid w:val="00A80022"/>
    <w:rsid w:val="00A8071C"/>
    <w:rsid w:val="00A8167E"/>
    <w:rsid w:val="00A81866"/>
    <w:rsid w:val="00A8261F"/>
    <w:rsid w:val="00A826FA"/>
    <w:rsid w:val="00A829FB"/>
    <w:rsid w:val="00A82B6D"/>
    <w:rsid w:val="00A82D14"/>
    <w:rsid w:val="00A82DA0"/>
    <w:rsid w:val="00A82E94"/>
    <w:rsid w:val="00A836C9"/>
    <w:rsid w:val="00A84502"/>
    <w:rsid w:val="00A84D39"/>
    <w:rsid w:val="00A84EE8"/>
    <w:rsid w:val="00A84FCF"/>
    <w:rsid w:val="00A85E04"/>
    <w:rsid w:val="00A863E5"/>
    <w:rsid w:val="00A86766"/>
    <w:rsid w:val="00A87AC4"/>
    <w:rsid w:val="00A87E34"/>
    <w:rsid w:val="00A90980"/>
    <w:rsid w:val="00A90C3F"/>
    <w:rsid w:val="00A90C9A"/>
    <w:rsid w:val="00A91049"/>
    <w:rsid w:val="00A923AD"/>
    <w:rsid w:val="00A92869"/>
    <w:rsid w:val="00A92DD4"/>
    <w:rsid w:val="00A92F08"/>
    <w:rsid w:val="00A93381"/>
    <w:rsid w:val="00A936D8"/>
    <w:rsid w:val="00A941C4"/>
    <w:rsid w:val="00A947D7"/>
    <w:rsid w:val="00A948E1"/>
    <w:rsid w:val="00A948E9"/>
    <w:rsid w:val="00A94E3F"/>
    <w:rsid w:val="00A94EF0"/>
    <w:rsid w:val="00A95A17"/>
    <w:rsid w:val="00A95B97"/>
    <w:rsid w:val="00A95F74"/>
    <w:rsid w:val="00A966B8"/>
    <w:rsid w:val="00A967C9"/>
    <w:rsid w:val="00A97050"/>
    <w:rsid w:val="00A97300"/>
    <w:rsid w:val="00A97502"/>
    <w:rsid w:val="00AA0766"/>
    <w:rsid w:val="00AA1840"/>
    <w:rsid w:val="00AA18CF"/>
    <w:rsid w:val="00AA2572"/>
    <w:rsid w:val="00AA2E69"/>
    <w:rsid w:val="00AA3487"/>
    <w:rsid w:val="00AA37A1"/>
    <w:rsid w:val="00AA3A9D"/>
    <w:rsid w:val="00AA3DAF"/>
    <w:rsid w:val="00AA4190"/>
    <w:rsid w:val="00AA4C5F"/>
    <w:rsid w:val="00AA5C00"/>
    <w:rsid w:val="00AA5C8C"/>
    <w:rsid w:val="00AA61EA"/>
    <w:rsid w:val="00AA68C3"/>
    <w:rsid w:val="00AA6C40"/>
    <w:rsid w:val="00AB0A30"/>
    <w:rsid w:val="00AB0B8C"/>
    <w:rsid w:val="00AB0BE3"/>
    <w:rsid w:val="00AB0F8A"/>
    <w:rsid w:val="00AB1597"/>
    <w:rsid w:val="00AB17C6"/>
    <w:rsid w:val="00AB3274"/>
    <w:rsid w:val="00AB392D"/>
    <w:rsid w:val="00AB563B"/>
    <w:rsid w:val="00AB5FBA"/>
    <w:rsid w:val="00AB6A24"/>
    <w:rsid w:val="00AC047F"/>
    <w:rsid w:val="00AC0642"/>
    <w:rsid w:val="00AC093A"/>
    <w:rsid w:val="00AC2190"/>
    <w:rsid w:val="00AC2510"/>
    <w:rsid w:val="00AC2709"/>
    <w:rsid w:val="00AC343C"/>
    <w:rsid w:val="00AC3CFD"/>
    <w:rsid w:val="00AC52C7"/>
    <w:rsid w:val="00AC5A8B"/>
    <w:rsid w:val="00AC632B"/>
    <w:rsid w:val="00AC6895"/>
    <w:rsid w:val="00AC75D4"/>
    <w:rsid w:val="00AD0349"/>
    <w:rsid w:val="00AD0383"/>
    <w:rsid w:val="00AD059C"/>
    <w:rsid w:val="00AD17FC"/>
    <w:rsid w:val="00AD1FC6"/>
    <w:rsid w:val="00AD2890"/>
    <w:rsid w:val="00AD305F"/>
    <w:rsid w:val="00AD3081"/>
    <w:rsid w:val="00AD5CCD"/>
    <w:rsid w:val="00AD5D7A"/>
    <w:rsid w:val="00AD620D"/>
    <w:rsid w:val="00AD62BE"/>
    <w:rsid w:val="00AD688B"/>
    <w:rsid w:val="00AD6D21"/>
    <w:rsid w:val="00AD705A"/>
    <w:rsid w:val="00AD7323"/>
    <w:rsid w:val="00AE0222"/>
    <w:rsid w:val="00AE0B65"/>
    <w:rsid w:val="00AE1A51"/>
    <w:rsid w:val="00AE1A68"/>
    <w:rsid w:val="00AE1DDC"/>
    <w:rsid w:val="00AE27B2"/>
    <w:rsid w:val="00AE28BA"/>
    <w:rsid w:val="00AE30EE"/>
    <w:rsid w:val="00AE33CF"/>
    <w:rsid w:val="00AE4567"/>
    <w:rsid w:val="00AE4781"/>
    <w:rsid w:val="00AE4F28"/>
    <w:rsid w:val="00AE53EB"/>
    <w:rsid w:val="00AE5EBC"/>
    <w:rsid w:val="00AE6381"/>
    <w:rsid w:val="00AE6572"/>
    <w:rsid w:val="00AE6F14"/>
    <w:rsid w:val="00AE7095"/>
    <w:rsid w:val="00AE7130"/>
    <w:rsid w:val="00AE71A9"/>
    <w:rsid w:val="00AE76FC"/>
    <w:rsid w:val="00AF1037"/>
    <w:rsid w:val="00AF2C6F"/>
    <w:rsid w:val="00AF2E51"/>
    <w:rsid w:val="00AF32D4"/>
    <w:rsid w:val="00AF3E0D"/>
    <w:rsid w:val="00AF4425"/>
    <w:rsid w:val="00AF4A48"/>
    <w:rsid w:val="00AF4F09"/>
    <w:rsid w:val="00AF52BE"/>
    <w:rsid w:val="00AF53B9"/>
    <w:rsid w:val="00AF5D19"/>
    <w:rsid w:val="00AF637F"/>
    <w:rsid w:val="00AF6680"/>
    <w:rsid w:val="00AF66DA"/>
    <w:rsid w:val="00AF6B8C"/>
    <w:rsid w:val="00AF6D53"/>
    <w:rsid w:val="00B00800"/>
    <w:rsid w:val="00B01A8F"/>
    <w:rsid w:val="00B01CB9"/>
    <w:rsid w:val="00B0280D"/>
    <w:rsid w:val="00B02A3F"/>
    <w:rsid w:val="00B02CF2"/>
    <w:rsid w:val="00B036C1"/>
    <w:rsid w:val="00B03A3A"/>
    <w:rsid w:val="00B03FDD"/>
    <w:rsid w:val="00B04383"/>
    <w:rsid w:val="00B044E4"/>
    <w:rsid w:val="00B04EB9"/>
    <w:rsid w:val="00B04F55"/>
    <w:rsid w:val="00B05672"/>
    <w:rsid w:val="00B05716"/>
    <w:rsid w:val="00B058C1"/>
    <w:rsid w:val="00B06135"/>
    <w:rsid w:val="00B069AE"/>
    <w:rsid w:val="00B06ABC"/>
    <w:rsid w:val="00B06E59"/>
    <w:rsid w:val="00B06F7F"/>
    <w:rsid w:val="00B06F8F"/>
    <w:rsid w:val="00B075DE"/>
    <w:rsid w:val="00B07A6C"/>
    <w:rsid w:val="00B10755"/>
    <w:rsid w:val="00B10A22"/>
    <w:rsid w:val="00B1133B"/>
    <w:rsid w:val="00B11562"/>
    <w:rsid w:val="00B11737"/>
    <w:rsid w:val="00B118A7"/>
    <w:rsid w:val="00B11B16"/>
    <w:rsid w:val="00B1287B"/>
    <w:rsid w:val="00B13E74"/>
    <w:rsid w:val="00B13EBF"/>
    <w:rsid w:val="00B142FA"/>
    <w:rsid w:val="00B16544"/>
    <w:rsid w:val="00B16D28"/>
    <w:rsid w:val="00B17043"/>
    <w:rsid w:val="00B20223"/>
    <w:rsid w:val="00B205B8"/>
    <w:rsid w:val="00B20848"/>
    <w:rsid w:val="00B21AE4"/>
    <w:rsid w:val="00B21B10"/>
    <w:rsid w:val="00B223DE"/>
    <w:rsid w:val="00B237C5"/>
    <w:rsid w:val="00B23F23"/>
    <w:rsid w:val="00B2481F"/>
    <w:rsid w:val="00B25C9D"/>
    <w:rsid w:val="00B262D8"/>
    <w:rsid w:val="00B26431"/>
    <w:rsid w:val="00B27016"/>
    <w:rsid w:val="00B271C0"/>
    <w:rsid w:val="00B272D7"/>
    <w:rsid w:val="00B272FB"/>
    <w:rsid w:val="00B273AD"/>
    <w:rsid w:val="00B30336"/>
    <w:rsid w:val="00B303ED"/>
    <w:rsid w:val="00B3115F"/>
    <w:rsid w:val="00B313FB"/>
    <w:rsid w:val="00B318AA"/>
    <w:rsid w:val="00B31B53"/>
    <w:rsid w:val="00B3237E"/>
    <w:rsid w:val="00B33BB8"/>
    <w:rsid w:val="00B33E37"/>
    <w:rsid w:val="00B34898"/>
    <w:rsid w:val="00B35F0E"/>
    <w:rsid w:val="00B366DA"/>
    <w:rsid w:val="00B367FF"/>
    <w:rsid w:val="00B36B23"/>
    <w:rsid w:val="00B36D46"/>
    <w:rsid w:val="00B36D88"/>
    <w:rsid w:val="00B36FC6"/>
    <w:rsid w:val="00B37181"/>
    <w:rsid w:val="00B37575"/>
    <w:rsid w:val="00B40156"/>
    <w:rsid w:val="00B40195"/>
    <w:rsid w:val="00B4136E"/>
    <w:rsid w:val="00B41423"/>
    <w:rsid w:val="00B4156E"/>
    <w:rsid w:val="00B419F9"/>
    <w:rsid w:val="00B41D93"/>
    <w:rsid w:val="00B42E06"/>
    <w:rsid w:val="00B42E74"/>
    <w:rsid w:val="00B43250"/>
    <w:rsid w:val="00B435EA"/>
    <w:rsid w:val="00B44693"/>
    <w:rsid w:val="00B44C3F"/>
    <w:rsid w:val="00B44FF8"/>
    <w:rsid w:val="00B456B6"/>
    <w:rsid w:val="00B46057"/>
    <w:rsid w:val="00B46117"/>
    <w:rsid w:val="00B46E84"/>
    <w:rsid w:val="00B475D3"/>
    <w:rsid w:val="00B478B1"/>
    <w:rsid w:val="00B47DCE"/>
    <w:rsid w:val="00B47F3C"/>
    <w:rsid w:val="00B50A56"/>
    <w:rsid w:val="00B51042"/>
    <w:rsid w:val="00B52190"/>
    <w:rsid w:val="00B52549"/>
    <w:rsid w:val="00B52A41"/>
    <w:rsid w:val="00B52BCA"/>
    <w:rsid w:val="00B5372C"/>
    <w:rsid w:val="00B53919"/>
    <w:rsid w:val="00B53F22"/>
    <w:rsid w:val="00B542B9"/>
    <w:rsid w:val="00B5436E"/>
    <w:rsid w:val="00B544DB"/>
    <w:rsid w:val="00B55B58"/>
    <w:rsid w:val="00B56780"/>
    <w:rsid w:val="00B57F34"/>
    <w:rsid w:val="00B6164E"/>
    <w:rsid w:val="00B62DD7"/>
    <w:rsid w:val="00B63763"/>
    <w:rsid w:val="00B637DD"/>
    <w:rsid w:val="00B637E1"/>
    <w:rsid w:val="00B63F5F"/>
    <w:rsid w:val="00B640CA"/>
    <w:rsid w:val="00B64D2E"/>
    <w:rsid w:val="00B65F7F"/>
    <w:rsid w:val="00B6720F"/>
    <w:rsid w:val="00B675B0"/>
    <w:rsid w:val="00B67B26"/>
    <w:rsid w:val="00B67CBA"/>
    <w:rsid w:val="00B70AF5"/>
    <w:rsid w:val="00B70B29"/>
    <w:rsid w:val="00B70F79"/>
    <w:rsid w:val="00B716BE"/>
    <w:rsid w:val="00B7249F"/>
    <w:rsid w:val="00B72717"/>
    <w:rsid w:val="00B72E81"/>
    <w:rsid w:val="00B731AF"/>
    <w:rsid w:val="00B73593"/>
    <w:rsid w:val="00B73E27"/>
    <w:rsid w:val="00B74601"/>
    <w:rsid w:val="00B7463E"/>
    <w:rsid w:val="00B749F6"/>
    <w:rsid w:val="00B75878"/>
    <w:rsid w:val="00B75EE9"/>
    <w:rsid w:val="00B761A9"/>
    <w:rsid w:val="00B765DC"/>
    <w:rsid w:val="00B76D63"/>
    <w:rsid w:val="00B76FBD"/>
    <w:rsid w:val="00B77387"/>
    <w:rsid w:val="00B77601"/>
    <w:rsid w:val="00B77BC9"/>
    <w:rsid w:val="00B80B90"/>
    <w:rsid w:val="00B81470"/>
    <w:rsid w:val="00B82FB0"/>
    <w:rsid w:val="00B83B00"/>
    <w:rsid w:val="00B840A4"/>
    <w:rsid w:val="00B84C1A"/>
    <w:rsid w:val="00B84EB4"/>
    <w:rsid w:val="00B858F7"/>
    <w:rsid w:val="00B8670D"/>
    <w:rsid w:val="00B86BD4"/>
    <w:rsid w:val="00B86C1D"/>
    <w:rsid w:val="00B86F2C"/>
    <w:rsid w:val="00B878AC"/>
    <w:rsid w:val="00B87DC4"/>
    <w:rsid w:val="00B90380"/>
    <w:rsid w:val="00B9070E"/>
    <w:rsid w:val="00B908BD"/>
    <w:rsid w:val="00B9111A"/>
    <w:rsid w:val="00B91306"/>
    <w:rsid w:val="00B917F7"/>
    <w:rsid w:val="00B923D9"/>
    <w:rsid w:val="00B92418"/>
    <w:rsid w:val="00B92BAD"/>
    <w:rsid w:val="00B92CA5"/>
    <w:rsid w:val="00B93A77"/>
    <w:rsid w:val="00B93BA5"/>
    <w:rsid w:val="00B94B28"/>
    <w:rsid w:val="00B9552B"/>
    <w:rsid w:val="00B95636"/>
    <w:rsid w:val="00B956CE"/>
    <w:rsid w:val="00B95811"/>
    <w:rsid w:val="00B958D8"/>
    <w:rsid w:val="00B97410"/>
    <w:rsid w:val="00B97995"/>
    <w:rsid w:val="00BA0C7D"/>
    <w:rsid w:val="00BA1BC0"/>
    <w:rsid w:val="00BA2697"/>
    <w:rsid w:val="00BA2A08"/>
    <w:rsid w:val="00BA30EA"/>
    <w:rsid w:val="00BA330A"/>
    <w:rsid w:val="00BA43CE"/>
    <w:rsid w:val="00BA4638"/>
    <w:rsid w:val="00BA4952"/>
    <w:rsid w:val="00BA5094"/>
    <w:rsid w:val="00BA61E1"/>
    <w:rsid w:val="00BA6D37"/>
    <w:rsid w:val="00BA76DD"/>
    <w:rsid w:val="00BB001C"/>
    <w:rsid w:val="00BB01EF"/>
    <w:rsid w:val="00BB0238"/>
    <w:rsid w:val="00BB0B3A"/>
    <w:rsid w:val="00BB15FE"/>
    <w:rsid w:val="00BB2A2B"/>
    <w:rsid w:val="00BB368C"/>
    <w:rsid w:val="00BB3F0F"/>
    <w:rsid w:val="00BB3FC6"/>
    <w:rsid w:val="00BB4233"/>
    <w:rsid w:val="00BB548D"/>
    <w:rsid w:val="00BB5E7E"/>
    <w:rsid w:val="00BB67E8"/>
    <w:rsid w:val="00BB723C"/>
    <w:rsid w:val="00BB78A9"/>
    <w:rsid w:val="00BB7A9C"/>
    <w:rsid w:val="00BB7CE9"/>
    <w:rsid w:val="00BC0523"/>
    <w:rsid w:val="00BC0EDB"/>
    <w:rsid w:val="00BC0F5F"/>
    <w:rsid w:val="00BC294D"/>
    <w:rsid w:val="00BC30DC"/>
    <w:rsid w:val="00BC3F33"/>
    <w:rsid w:val="00BC4BDD"/>
    <w:rsid w:val="00BC4D3F"/>
    <w:rsid w:val="00BC53DF"/>
    <w:rsid w:val="00BC5EF8"/>
    <w:rsid w:val="00BC5FF5"/>
    <w:rsid w:val="00BC68B5"/>
    <w:rsid w:val="00BC69E5"/>
    <w:rsid w:val="00BC6EC6"/>
    <w:rsid w:val="00BC7048"/>
    <w:rsid w:val="00BC718B"/>
    <w:rsid w:val="00BC733C"/>
    <w:rsid w:val="00BC7999"/>
    <w:rsid w:val="00BD010D"/>
    <w:rsid w:val="00BD013D"/>
    <w:rsid w:val="00BD1580"/>
    <w:rsid w:val="00BD1818"/>
    <w:rsid w:val="00BD1C45"/>
    <w:rsid w:val="00BD1C6B"/>
    <w:rsid w:val="00BD2899"/>
    <w:rsid w:val="00BD3071"/>
    <w:rsid w:val="00BD34A7"/>
    <w:rsid w:val="00BD34D4"/>
    <w:rsid w:val="00BD3E99"/>
    <w:rsid w:val="00BD40AE"/>
    <w:rsid w:val="00BD4640"/>
    <w:rsid w:val="00BD4ABF"/>
    <w:rsid w:val="00BD53E2"/>
    <w:rsid w:val="00BD5582"/>
    <w:rsid w:val="00BD68D6"/>
    <w:rsid w:val="00BD6D4B"/>
    <w:rsid w:val="00BD7AB9"/>
    <w:rsid w:val="00BD7D71"/>
    <w:rsid w:val="00BE03BE"/>
    <w:rsid w:val="00BE19B0"/>
    <w:rsid w:val="00BE21FB"/>
    <w:rsid w:val="00BE2262"/>
    <w:rsid w:val="00BE2844"/>
    <w:rsid w:val="00BE2B87"/>
    <w:rsid w:val="00BE3849"/>
    <w:rsid w:val="00BE3C23"/>
    <w:rsid w:val="00BE3C58"/>
    <w:rsid w:val="00BE3CEA"/>
    <w:rsid w:val="00BE4390"/>
    <w:rsid w:val="00BE44EA"/>
    <w:rsid w:val="00BE5AD6"/>
    <w:rsid w:val="00BE6A91"/>
    <w:rsid w:val="00BE6DE3"/>
    <w:rsid w:val="00BE6EAB"/>
    <w:rsid w:val="00BF010F"/>
    <w:rsid w:val="00BF1A6F"/>
    <w:rsid w:val="00BF1EE9"/>
    <w:rsid w:val="00BF1EFB"/>
    <w:rsid w:val="00BF1F99"/>
    <w:rsid w:val="00BF2706"/>
    <w:rsid w:val="00BF2934"/>
    <w:rsid w:val="00BF33E6"/>
    <w:rsid w:val="00BF4E5A"/>
    <w:rsid w:val="00BF5021"/>
    <w:rsid w:val="00BF5038"/>
    <w:rsid w:val="00BF5312"/>
    <w:rsid w:val="00BF5FDA"/>
    <w:rsid w:val="00BF61DB"/>
    <w:rsid w:val="00BF64A3"/>
    <w:rsid w:val="00BF798D"/>
    <w:rsid w:val="00BF7B84"/>
    <w:rsid w:val="00BF7CB1"/>
    <w:rsid w:val="00C00272"/>
    <w:rsid w:val="00C0072F"/>
    <w:rsid w:val="00C00741"/>
    <w:rsid w:val="00C00FC1"/>
    <w:rsid w:val="00C010DD"/>
    <w:rsid w:val="00C0145D"/>
    <w:rsid w:val="00C01497"/>
    <w:rsid w:val="00C016A8"/>
    <w:rsid w:val="00C01EA1"/>
    <w:rsid w:val="00C0271B"/>
    <w:rsid w:val="00C033C2"/>
    <w:rsid w:val="00C04105"/>
    <w:rsid w:val="00C043E5"/>
    <w:rsid w:val="00C04E43"/>
    <w:rsid w:val="00C05B1B"/>
    <w:rsid w:val="00C05BED"/>
    <w:rsid w:val="00C0624B"/>
    <w:rsid w:val="00C06631"/>
    <w:rsid w:val="00C069B6"/>
    <w:rsid w:val="00C07A01"/>
    <w:rsid w:val="00C07C62"/>
    <w:rsid w:val="00C07CC4"/>
    <w:rsid w:val="00C07E0D"/>
    <w:rsid w:val="00C101D6"/>
    <w:rsid w:val="00C1253C"/>
    <w:rsid w:val="00C1298F"/>
    <w:rsid w:val="00C12D05"/>
    <w:rsid w:val="00C12D0B"/>
    <w:rsid w:val="00C12E04"/>
    <w:rsid w:val="00C13221"/>
    <w:rsid w:val="00C13475"/>
    <w:rsid w:val="00C1369C"/>
    <w:rsid w:val="00C139A6"/>
    <w:rsid w:val="00C13F6E"/>
    <w:rsid w:val="00C1472E"/>
    <w:rsid w:val="00C14D56"/>
    <w:rsid w:val="00C150B2"/>
    <w:rsid w:val="00C1541A"/>
    <w:rsid w:val="00C155DF"/>
    <w:rsid w:val="00C15E29"/>
    <w:rsid w:val="00C1614D"/>
    <w:rsid w:val="00C1633A"/>
    <w:rsid w:val="00C16B82"/>
    <w:rsid w:val="00C1738A"/>
    <w:rsid w:val="00C17509"/>
    <w:rsid w:val="00C2002F"/>
    <w:rsid w:val="00C20B3D"/>
    <w:rsid w:val="00C20CEC"/>
    <w:rsid w:val="00C20D17"/>
    <w:rsid w:val="00C229B9"/>
    <w:rsid w:val="00C22B2B"/>
    <w:rsid w:val="00C2325F"/>
    <w:rsid w:val="00C237E7"/>
    <w:rsid w:val="00C23CB2"/>
    <w:rsid w:val="00C242E9"/>
    <w:rsid w:val="00C24C6A"/>
    <w:rsid w:val="00C2546C"/>
    <w:rsid w:val="00C25842"/>
    <w:rsid w:val="00C25B1C"/>
    <w:rsid w:val="00C26018"/>
    <w:rsid w:val="00C26252"/>
    <w:rsid w:val="00C27AAE"/>
    <w:rsid w:val="00C3079A"/>
    <w:rsid w:val="00C31474"/>
    <w:rsid w:val="00C31BB5"/>
    <w:rsid w:val="00C323ED"/>
    <w:rsid w:val="00C32871"/>
    <w:rsid w:val="00C333AB"/>
    <w:rsid w:val="00C34047"/>
    <w:rsid w:val="00C344E7"/>
    <w:rsid w:val="00C35170"/>
    <w:rsid w:val="00C35895"/>
    <w:rsid w:val="00C36071"/>
    <w:rsid w:val="00C361E1"/>
    <w:rsid w:val="00C37383"/>
    <w:rsid w:val="00C37A0D"/>
    <w:rsid w:val="00C37AE7"/>
    <w:rsid w:val="00C37D4F"/>
    <w:rsid w:val="00C37EC6"/>
    <w:rsid w:val="00C40478"/>
    <w:rsid w:val="00C41641"/>
    <w:rsid w:val="00C417D1"/>
    <w:rsid w:val="00C42450"/>
    <w:rsid w:val="00C428F9"/>
    <w:rsid w:val="00C42D9C"/>
    <w:rsid w:val="00C43518"/>
    <w:rsid w:val="00C43972"/>
    <w:rsid w:val="00C43A65"/>
    <w:rsid w:val="00C4577E"/>
    <w:rsid w:val="00C46251"/>
    <w:rsid w:val="00C463DC"/>
    <w:rsid w:val="00C5000B"/>
    <w:rsid w:val="00C507BA"/>
    <w:rsid w:val="00C51B33"/>
    <w:rsid w:val="00C51ECA"/>
    <w:rsid w:val="00C52038"/>
    <w:rsid w:val="00C52913"/>
    <w:rsid w:val="00C529A0"/>
    <w:rsid w:val="00C53C63"/>
    <w:rsid w:val="00C544E4"/>
    <w:rsid w:val="00C54756"/>
    <w:rsid w:val="00C54E49"/>
    <w:rsid w:val="00C55421"/>
    <w:rsid w:val="00C55586"/>
    <w:rsid w:val="00C55709"/>
    <w:rsid w:val="00C55E28"/>
    <w:rsid w:val="00C56406"/>
    <w:rsid w:val="00C56D40"/>
    <w:rsid w:val="00C5708A"/>
    <w:rsid w:val="00C57293"/>
    <w:rsid w:val="00C60B67"/>
    <w:rsid w:val="00C6136D"/>
    <w:rsid w:val="00C61529"/>
    <w:rsid w:val="00C61F9F"/>
    <w:rsid w:val="00C62B23"/>
    <w:rsid w:val="00C63592"/>
    <w:rsid w:val="00C640A0"/>
    <w:rsid w:val="00C6425C"/>
    <w:rsid w:val="00C64893"/>
    <w:rsid w:val="00C64A28"/>
    <w:rsid w:val="00C64F5A"/>
    <w:rsid w:val="00C6517C"/>
    <w:rsid w:val="00C65AE4"/>
    <w:rsid w:val="00C65B63"/>
    <w:rsid w:val="00C65D33"/>
    <w:rsid w:val="00C6631F"/>
    <w:rsid w:val="00C66A8E"/>
    <w:rsid w:val="00C66B6E"/>
    <w:rsid w:val="00C66CE7"/>
    <w:rsid w:val="00C70CAC"/>
    <w:rsid w:val="00C70F54"/>
    <w:rsid w:val="00C71B5B"/>
    <w:rsid w:val="00C72315"/>
    <w:rsid w:val="00C723DE"/>
    <w:rsid w:val="00C73763"/>
    <w:rsid w:val="00C73914"/>
    <w:rsid w:val="00C739B9"/>
    <w:rsid w:val="00C73CF2"/>
    <w:rsid w:val="00C742D5"/>
    <w:rsid w:val="00C74869"/>
    <w:rsid w:val="00C74D55"/>
    <w:rsid w:val="00C75502"/>
    <w:rsid w:val="00C75C89"/>
    <w:rsid w:val="00C76675"/>
    <w:rsid w:val="00C7741B"/>
    <w:rsid w:val="00C77EEB"/>
    <w:rsid w:val="00C77F28"/>
    <w:rsid w:val="00C80ABB"/>
    <w:rsid w:val="00C817FD"/>
    <w:rsid w:val="00C81E3E"/>
    <w:rsid w:val="00C820F8"/>
    <w:rsid w:val="00C82993"/>
    <w:rsid w:val="00C82F86"/>
    <w:rsid w:val="00C83414"/>
    <w:rsid w:val="00C834EC"/>
    <w:rsid w:val="00C83B91"/>
    <w:rsid w:val="00C83E10"/>
    <w:rsid w:val="00C84C0C"/>
    <w:rsid w:val="00C84E24"/>
    <w:rsid w:val="00C8553C"/>
    <w:rsid w:val="00C85869"/>
    <w:rsid w:val="00C86048"/>
    <w:rsid w:val="00C860A4"/>
    <w:rsid w:val="00C8672B"/>
    <w:rsid w:val="00C86DCE"/>
    <w:rsid w:val="00C879CC"/>
    <w:rsid w:val="00C90057"/>
    <w:rsid w:val="00C9093A"/>
    <w:rsid w:val="00C91B00"/>
    <w:rsid w:val="00C91E7F"/>
    <w:rsid w:val="00C9296F"/>
    <w:rsid w:val="00C929EF"/>
    <w:rsid w:val="00C92BC8"/>
    <w:rsid w:val="00C92C28"/>
    <w:rsid w:val="00C93109"/>
    <w:rsid w:val="00C93E79"/>
    <w:rsid w:val="00C94065"/>
    <w:rsid w:val="00C9516E"/>
    <w:rsid w:val="00C95425"/>
    <w:rsid w:val="00C957BB"/>
    <w:rsid w:val="00C95A80"/>
    <w:rsid w:val="00C95BA4"/>
    <w:rsid w:val="00C95C43"/>
    <w:rsid w:val="00C96685"/>
    <w:rsid w:val="00C96B27"/>
    <w:rsid w:val="00C96CB2"/>
    <w:rsid w:val="00C96D23"/>
    <w:rsid w:val="00C972EC"/>
    <w:rsid w:val="00CA04E0"/>
    <w:rsid w:val="00CA08BB"/>
    <w:rsid w:val="00CA159D"/>
    <w:rsid w:val="00CA16DA"/>
    <w:rsid w:val="00CA2247"/>
    <w:rsid w:val="00CA2435"/>
    <w:rsid w:val="00CA24B3"/>
    <w:rsid w:val="00CA37EA"/>
    <w:rsid w:val="00CA39EA"/>
    <w:rsid w:val="00CA3A50"/>
    <w:rsid w:val="00CA446A"/>
    <w:rsid w:val="00CA6A1B"/>
    <w:rsid w:val="00CA6CF0"/>
    <w:rsid w:val="00CA6DF6"/>
    <w:rsid w:val="00CA729F"/>
    <w:rsid w:val="00CA7A48"/>
    <w:rsid w:val="00CB0DDA"/>
    <w:rsid w:val="00CB0E4C"/>
    <w:rsid w:val="00CB16D7"/>
    <w:rsid w:val="00CB2980"/>
    <w:rsid w:val="00CB3039"/>
    <w:rsid w:val="00CB3173"/>
    <w:rsid w:val="00CB4A95"/>
    <w:rsid w:val="00CB4AE8"/>
    <w:rsid w:val="00CB4C1B"/>
    <w:rsid w:val="00CB4CA6"/>
    <w:rsid w:val="00CB4E06"/>
    <w:rsid w:val="00CB56FD"/>
    <w:rsid w:val="00CB5F51"/>
    <w:rsid w:val="00CB6CDA"/>
    <w:rsid w:val="00CB769D"/>
    <w:rsid w:val="00CB773B"/>
    <w:rsid w:val="00CB7AF5"/>
    <w:rsid w:val="00CC039C"/>
    <w:rsid w:val="00CC072E"/>
    <w:rsid w:val="00CC0D32"/>
    <w:rsid w:val="00CC1187"/>
    <w:rsid w:val="00CC1406"/>
    <w:rsid w:val="00CC1507"/>
    <w:rsid w:val="00CC171D"/>
    <w:rsid w:val="00CC1FBF"/>
    <w:rsid w:val="00CC2659"/>
    <w:rsid w:val="00CC2827"/>
    <w:rsid w:val="00CC378C"/>
    <w:rsid w:val="00CC3C00"/>
    <w:rsid w:val="00CC4444"/>
    <w:rsid w:val="00CC4C3A"/>
    <w:rsid w:val="00CC579A"/>
    <w:rsid w:val="00CC5EEA"/>
    <w:rsid w:val="00CC62D3"/>
    <w:rsid w:val="00CC6EB9"/>
    <w:rsid w:val="00CC7192"/>
    <w:rsid w:val="00CC79B1"/>
    <w:rsid w:val="00CC7E27"/>
    <w:rsid w:val="00CC7E82"/>
    <w:rsid w:val="00CC7F7F"/>
    <w:rsid w:val="00CD0202"/>
    <w:rsid w:val="00CD0577"/>
    <w:rsid w:val="00CD077E"/>
    <w:rsid w:val="00CD191E"/>
    <w:rsid w:val="00CD2223"/>
    <w:rsid w:val="00CD2648"/>
    <w:rsid w:val="00CD3628"/>
    <w:rsid w:val="00CD3713"/>
    <w:rsid w:val="00CD3B3E"/>
    <w:rsid w:val="00CD3B97"/>
    <w:rsid w:val="00CD3F1B"/>
    <w:rsid w:val="00CD4D82"/>
    <w:rsid w:val="00CD4E3D"/>
    <w:rsid w:val="00CD4E61"/>
    <w:rsid w:val="00CD549C"/>
    <w:rsid w:val="00CD58D0"/>
    <w:rsid w:val="00CD6072"/>
    <w:rsid w:val="00CD6215"/>
    <w:rsid w:val="00CD67AA"/>
    <w:rsid w:val="00CD6AB5"/>
    <w:rsid w:val="00CD6FE3"/>
    <w:rsid w:val="00CD7F72"/>
    <w:rsid w:val="00CE001E"/>
    <w:rsid w:val="00CE022F"/>
    <w:rsid w:val="00CE0D35"/>
    <w:rsid w:val="00CE1897"/>
    <w:rsid w:val="00CE1C2C"/>
    <w:rsid w:val="00CE2EA7"/>
    <w:rsid w:val="00CE32BC"/>
    <w:rsid w:val="00CE3341"/>
    <w:rsid w:val="00CE3364"/>
    <w:rsid w:val="00CE33B8"/>
    <w:rsid w:val="00CE3632"/>
    <w:rsid w:val="00CE4213"/>
    <w:rsid w:val="00CE45D0"/>
    <w:rsid w:val="00CE5CE7"/>
    <w:rsid w:val="00CE6282"/>
    <w:rsid w:val="00CE68BD"/>
    <w:rsid w:val="00CE6BFD"/>
    <w:rsid w:val="00CE71FB"/>
    <w:rsid w:val="00CE7ACE"/>
    <w:rsid w:val="00CF04FC"/>
    <w:rsid w:val="00CF174E"/>
    <w:rsid w:val="00CF32BB"/>
    <w:rsid w:val="00CF3695"/>
    <w:rsid w:val="00CF3B5B"/>
    <w:rsid w:val="00CF41CC"/>
    <w:rsid w:val="00CF43C2"/>
    <w:rsid w:val="00CF466E"/>
    <w:rsid w:val="00CF4959"/>
    <w:rsid w:val="00CF6415"/>
    <w:rsid w:val="00CF6687"/>
    <w:rsid w:val="00CF712D"/>
    <w:rsid w:val="00CF743B"/>
    <w:rsid w:val="00CF750F"/>
    <w:rsid w:val="00CF75F1"/>
    <w:rsid w:val="00CF7751"/>
    <w:rsid w:val="00CF79BB"/>
    <w:rsid w:val="00CF7E74"/>
    <w:rsid w:val="00D00116"/>
    <w:rsid w:val="00D00231"/>
    <w:rsid w:val="00D00544"/>
    <w:rsid w:val="00D00673"/>
    <w:rsid w:val="00D01CF0"/>
    <w:rsid w:val="00D021DA"/>
    <w:rsid w:val="00D02F21"/>
    <w:rsid w:val="00D02F92"/>
    <w:rsid w:val="00D03410"/>
    <w:rsid w:val="00D035A1"/>
    <w:rsid w:val="00D03B77"/>
    <w:rsid w:val="00D03BC9"/>
    <w:rsid w:val="00D048AB"/>
    <w:rsid w:val="00D05284"/>
    <w:rsid w:val="00D0541F"/>
    <w:rsid w:val="00D05647"/>
    <w:rsid w:val="00D068E4"/>
    <w:rsid w:val="00D06BEF"/>
    <w:rsid w:val="00D0704C"/>
    <w:rsid w:val="00D075C5"/>
    <w:rsid w:val="00D076A9"/>
    <w:rsid w:val="00D07B8C"/>
    <w:rsid w:val="00D101E9"/>
    <w:rsid w:val="00D1028D"/>
    <w:rsid w:val="00D102D4"/>
    <w:rsid w:val="00D107D5"/>
    <w:rsid w:val="00D10FBE"/>
    <w:rsid w:val="00D11386"/>
    <w:rsid w:val="00D1174C"/>
    <w:rsid w:val="00D12020"/>
    <w:rsid w:val="00D12354"/>
    <w:rsid w:val="00D124EE"/>
    <w:rsid w:val="00D12CFB"/>
    <w:rsid w:val="00D12F5C"/>
    <w:rsid w:val="00D13BF8"/>
    <w:rsid w:val="00D13CFF"/>
    <w:rsid w:val="00D145A6"/>
    <w:rsid w:val="00D1477A"/>
    <w:rsid w:val="00D147F8"/>
    <w:rsid w:val="00D14E74"/>
    <w:rsid w:val="00D17223"/>
    <w:rsid w:val="00D175C2"/>
    <w:rsid w:val="00D17A34"/>
    <w:rsid w:val="00D17CEA"/>
    <w:rsid w:val="00D17EBA"/>
    <w:rsid w:val="00D20794"/>
    <w:rsid w:val="00D20D62"/>
    <w:rsid w:val="00D21FC1"/>
    <w:rsid w:val="00D2217D"/>
    <w:rsid w:val="00D225B4"/>
    <w:rsid w:val="00D22FA3"/>
    <w:rsid w:val="00D22FFE"/>
    <w:rsid w:val="00D23406"/>
    <w:rsid w:val="00D23844"/>
    <w:rsid w:val="00D23A7C"/>
    <w:rsid w:val="00D249A6"/>
    <w:rsid w:val="00D24BD6"/>
    <w:rsid w:val="00D255FE"/>
    <w:rsid w:val="00D2647A"/>
    <w:rsid w:val="00D2762A"/>
    <w:rsid w:val="00D27CC6"/>
    <w:rsid w:val="00D27E86"/>
    <w:rsid w:val="00D306D8"/>
    <w:rsid w:val="00D3109F"/>
    <w:rsid w:val="00D310AF"/>
    <w:rsid w:val="00D311A8"/>
    <w:rsid w:val="00D32C4B"/>
    <w:rsid w:val="00D32D3C"/>
    <w:rsid w:val="00D32DF7"/>
    <w:rsid w:val="00D32FDB"/>
    <w:rsid w:val="00D330F5"/>
    <w:rsid w:val="00D3445B"/>
    <w:rsid w:val="00D34922"/>
    <w:rsid w:val="00D35350"/>
    <w:rsid w:val="00D358F3"/>
    <w:rsid w:val="00D35A4A"/>
    <w:rsid w:val="00D35DF1"/>
    <w:rsid w:val="00D35F0B"/>
    <w:rsid w:val="00D36A5A"/>
    <w:rsid w:val="00D36C15"/>
    <w:rsid w:val="00D37602"/>
    <w:rsid w:val="00D37871"/>
    <w:rsid w:val="00D40872"/>
    <w:rsid w:val="00D40C5B"/>
    <w:rsid w:val="00D41097"/>
    <w:rsid w:val="00D41565"/>
    <w:rsid w:val="00D420E2"/>
    <w:rsid w:val="00D42512"/>
    <w:rsid w:val="00D4272E"/>
    <w:rsid w:val="00D434C2"/>
    <w:rsid w:val="00D43D27"/>
    <w:rsid w:val="00D441AB"/>
    <w:rsid w:val="00D44367"/>
    <w:rsid w:val="00D44584"/>
    <w:rsid w:val="00D445B2"/>
    <w:rsid w:val="00D4496F"/>
    <w:rsid w:val="00D44FA1"/>
    <w:rsid w:val="00D45B4B"/>
    <w:rsid w:val="00D45C02"/>
    <w:rsid w:val="00D468C7"/>
    <w:rsid w:val="00D46C36"/>
    <w:rsid w:val="00D47349"/>
    <w:rsid w:val="00D479E9"/>
    <w:rsid w:val="00D50048"/>
    <w:rsid w:val="00D50432"/>
    <w:rsid w:val="00D5043C"/>
    <w:rsid w:val="00D50676"/>
    <w:rsid w:val="00D5180E"/>
    <w:rsid w:val="00D5188F"/>
    <w:rsid w:val="00D51BF7"/>
    <w:rsid w:val="00D522E2"/>
    <w:rsid w:val="00D52319"/>
    <w:rsid w:val="00D52E4A"/>
    <w:rsid w:val="00D5321E"/>
    <w:rsid w:val="00D5332E"/>
    <w:rsid w:val="00D54595"/>
    <w:rsid w:val="00D54D5D"/>
    <w:rsid w:val="00D550A2"/>
    <w:rsid w:val="00D556A1"/>
    <w:rsid w:val="00D558C0"/>
    <w:rsid w:val="00D566FA"/>
    <w:rsid w:val="00D56971"/>
    <w:rsid w:val="00D56E65"/>
    <w:rsid w:val="00D5707C"/>
    <w:rsid w:val="00D572A0"/>
    <w:rsid w:val="00D57943"/>
    <w:rsid w:val="00D61E08"/>
    <w:rsid w:val="00D62185"/>
    <w:rsid w:val="00D62DC5"/>
    <w:rsid w:val="00D63846"/>
    <w:rsid w:val="00D64C71"/>
    <w:rsid w:val="00D64CB5"/>
    <w:rsid w:val="00D651E0"/>
    <w:rsid w:val="00D65ACA"/>
    <w:rsid w:val="00D65C19"/>
    <w:rsid w:val="00D66388"/>
    <w:rsid w:val="00D66C63"/>
    <w:rsid w:val="00D66D6E"/>
    <w:rsid w:val="00D66EB5"/>
    <w:rsid w:val="00D70024"/>
    <w:rsid w:val="00D70298"/>
    <w:rsid w:val="00D7097A"/>
    <w:rsid w:val="00D70C1B"/>
    <w:rsid w:val="00D71AA7"/>
    <w:rsid w:val="00D71CE0"/>
    <w:rsid w:val="00D71DCB"/>
    <w:rsid w:val="00D72567"/>
    <w:rsid w:val="00D731BD"/>
    <w:rsid w:val="00D7393A"/>
    <w:rsid w:val="00D74E6E"/>
    <w:rsid w:val="00D751D0"/>
    <w:rsid w:val="00D75640"/>
    <w:rsid w:val="00D763FC"/>
    <w:rsid w:val="00D7700D"/>
    <w:rsid w:val="00D77030"/>
    <w:rsid w:val="00D770AB"/>
    <w:rsid w:val="00D77646"/>
    <w:rsid w:val="00D776BD"/>
    <w:rsid w:val="00D808E7"/>
    <w:rsid w:val="00D80E1A"/>
    <w:rsid w:val="00D81514"/>
    <w:rsid w:val="00D81736"/>
    <w:rsid w:val="00D81E01"/>
    <w:rsid w:val="00D81EC4"/>
    <w:rsid w:val="00D82249"/>
    <w:rsid w:val="00D82264"/>
    <w:rsid w:val="00D82336"/>
    <w:rsid w:val="00D826C8"/>
    <w:rsid w:val="00D82B06"/>
    <w:rsid w:val="00D82E85"/>
    <w:rsid w:val="00D834F7"/>
    <w:rsid w:val="00D83612"/>
    <w:rsid w:val="00D838EC"/>
    <w:rsid w:val="00D838F0"/>
    <w:rsid w:val="00D83C58"/>
    <w:rsid w:val="00D84414"/>
    <w:rsid w:val="00D84DAE"/>
    <w:rsid w:val="00D8503F"/>
    <w:rsid w:val="00D858DD"/>
    <w:rsid w:val="00D85AB6"/>
    <w:rsid w:val="00D85FD4"/>
    <w:rsid w:val="00D8604A"/>
    <w:rsid w:val="00D86AAF"/>
    <w:rsid w:val="00D86BDF"/>
    <w:rsid w:val="00D86F13"/>
    <w:rsid w:val="00D8758C"/>
    <w:rsid w:val="00D90252"/>
    <w:rsid w:val="00D9025E"/>
    <w:rsid w:val="00D904EE"/>
    <w:rsid w:val="00D90BB9"/>
    <w:rsid w:val="00D912C0"/>
    <w:rsid w:val="00D91883"/>
    <w:rsid w:val="00D91F92"/>
    <w:rsid w:val="00D92585"/>
    <w:rsid w:val="00D926C3"/>
    <w:rsid w:val="00D929A9"/>
    <w:rsid w:val="00D93A02"/>
    <w:rsid w:val="00D93F46"/>
    <w:rsid w:val="00D946AD"/>
    <w:rsid w:val="00D94C0A"/>
    <w:rsid w:val="00D95527"/>
    <w:rsid w:val="00D95B66"/>
    <w:rsid w:val="00D960DF"/>
    <w:rsid w:val="00D96FD9"/>
    <w:rsid w:val="00D9724A"/>
    <w:rsid w:val="00D97318"/>
    <w:rsid w:val="00DA009B"/>
    <w:rsid w:val="00DA0605"/>
    <w:rsid w:val="00DA1266"/>
    <w:rsid w:val="00DA26C2"/>
    <w:rsid w:val="00DA27C2"/>
    <w:rsid w:val="00DA27D0"/>
    <w:rsid w:val="00DA3F99"/>
    <w:rsid w:val="00DA3FC9"/>
    <w:rsid w:val="00DA4571"/>
    <w:rsid w:val="00DA4EEC"/>
    <w:rsid w:val="00DA4F78"/>
    <w:rsid w:val="00DA56D9"/>
    <w:rsid w:val="00DA5CFC"/>
    <w:rsid w:val="00DA5D16"/>
    <w:rsid w:val="00DA6423"/>
    <w:rsid w:val="00DA6779"/>
    <w:rsid w:val="00DA67A8"/>
    <w:rsid w:val="00DA7997"/>
    <w:rsid w:val="00DB0291"/>
    <w:rsid w:val="00DB0776"/>
    <w:rsid w:val="00DB0918"/>
    <w:rsid w:val="00DB0B3C"/>
    <w:rsid w:val="00DB1FE3"/>
    <w:rsid w:val="00DB2319"/>
    <w:rsid w:val="00DB25D4"/>
    <w:rsid w:val="00DB4106"/>
    <w:rsid w:val="00DB41B1"/>
    <w:rsid w:val="00DB49D6"/>
    <w:rsid w:val="00DB4D0E"/>
    <w:rsid w:val="00DB56EA"/>
    <w:rsid w:val="00DB58E0"/>
    <w:rsid w:val="00DB5A7B"/>
    <w:rsid w:val="00DB61ED"/>
    <w:rsid w:val="00DB6AFA"/>
    <w:rsid w:val="00DB6DF3"/>
    <w:rsid w:val="00DB7C88"/>
    <w:rsid w:val="00DC0187"/>
    <w:rsid w:val="00DC0397"/>
    <w:rsid w:val="00DC0A76"/>
    <w:rsid w:val="00DC0D5C"/>
    <w:rsid w:val="00DC1385"/>
    <w:rsid w:val="00DC161C"/>
    <w:rsid w:val="00DC1A7E"/>
    <w:rsid w:val="00DC234E"/>
    <w:rsid w:val="00DC286C"/>
    <w:rsid w:val="00DC297F"/>
    <w:rsid w:val="00DC2A28"/>
    <w:rsid w:val="00DC305D"/>
    <w:rsid w:val="00DC343A"/>
    <w:rsid w:val="00DC5695"/>
    <w:rsid w:val="00DC5ACB"/>
    <w:rsid w:val="00DC5F0A"/>
    <w:rsid w:val="00DC6A6A"/>
    <w:rsid w:val="00DC7019"/>
    <w:rsid w:val="00DD0C36"/>
    <w:rsid w:val="00DD1206"/>
    <w:rsid w:val="00DD1C18"/>
    <w:rsid w:val="00DD1EEE"/>
    <w:rsid w:val="00DD244A"/>
    <w:rsid w:val="00DD2AB0"/>
    <w:rsid w:val="00DD2AC2"/>
    <w:rsid w:val="00DD2BBD"/>
    <w:rsid w:val="00DD2C7E"/>
    <w:rsid w:val="00DD32B8"/>
    <w:rsid w:val="00DD44D8"/>
    <w:rsid w:val="00DD453C"/>
    <w:rsid w:val="00DD4C96"/>
    <w:rsid w:val="00DD51BC"/>
    <w:rsid w:val="00DD51E6"/>
    <w:rsid w:val="00DD53F8"/>
    <w:rsid w:val="00DD6081"/>
    <w:rsid w:val="00DD6AE6"/>
    <w:rsid w:val="00DD6E9F"/>
    <w:rsid w:val="00DD77F5"/>
    <w:rsid w:val="00DE02B6"/>
    <w:rsid w:val="00DE055C"/>
    <w:rsid w:val="00DE062E"/>
    <w:rsid w:val="00DE0A54"/>
    <w:rsid w:val="00DE2807"/>
    <w:rsid w:val="00DE29EB"/>
    <w:rsid w:val="00DE2ACF"/>
    <w:rsid w:val="00DE2B34"/>
    <w:rsid w:val="00DE35C2"/>
    <w:rsid w:val="00DE5E6F"/>
    <w:rsid w:val="00DE5EB9"/>
    <w:rsid w:val="00DE61C1"/>
    <w:rsid w:val="00DE6A46"/>
    <w:rsid w:val="00DE7208"/>
    <w:rsid w:val="00DE74F1"/>
    <w:rsid w:val="00DE77C1"/>
    <w:rsid w:val="00DE78D0"/>
    <w:rsid w:val="00DE7B60"/>
    <w:rsid w:val="00DF0448"/>
    <w:rsid w:val="00DF07CA"/>
    <w:rsid w:val="00DF0D4E"/>
    <w:rsid w:val="00DF0EE6"/>
    <w:rsid w:val="00DF0F51"/>
    <w:rsid w:val="00DF1096"/>
    <w:rsid w:val="00DF1A5C"/>
    <w:rsid w:val="00DF2F81"/>
    <w:rsid w:val="00DF349E"/>
    <w:rsid w:val="00DF34D0"/>
    <w:rsid w:val="00DF36B7"/>
    <w:rsid w:val="00DF4164"/>
    <w:rsid w:val="00DF4179"/>
    <w:rsid w:val="00DF4B64"/>
    <w:rsid w:val="00DF6880"/>
    <w:rsid w:val="00DF75AC"/>
    <w:rsid w:val="00DF7A78"/>
    <w:rsid w:val="00DF7D40"/>
    <w:rsid w:val="00DF7FE3"/>
    <w:rsid w:val="00E00A74"/>
    <w:rsid w:val="00E0111E"/>
    <w:rsid w:val="00E01BB6"/>
    <w:rsid w:val="00E01BD0"/>
    <w:rsid w:val="00E01CDB"/>
    <w:rsid w:val="00E02622"/>
    <w:rsid w:val="00E031E8"/>
    <w:rsid w:val="00E0360D"/>
    <w:rsid w:val="00E0365D"/>
    <w:rsid w:val="00E043EF"/>
    <w:rsid w:val="00E04DF1"/>
    <w:rsid w:val="00E04FB3"/>
    <w:rsid w:val="00E05279"/>
    <w:rsid w:val="00E05930"/>
    <w:rsid w:val="00E064CD"/>
    <w:rsid w:val="00E06A84"/>
    <w:rsid w:val="00E06BF7"/>
    <w:rsid w:val="00E078B3"/>
    <w:rsid w:val="00E07AFF"/>
    <w:rsid w:val="00E07C8A"/>
    <w:rsid w:val="00E113B1"/>
    <w:rsid w:val="00E11ACA"/>
    <w:rsid w:val="00E12D79"/>
    <w:rsid w:val="00E12F95"/>
    <w:rsid w:val="00E13632"/>
    <w:rsid w:val="00E147E6"/>
    <w:rsid w:val="00E149A8"/>
    <w:rsid w:val="00E14BA5"/>
    <w:rsid w:val="00E15379"/>
    <w:rsid w:val="00E1576C"/>
    <w:rsid w:val="00E16BD6"/>
    <w:rsid w:val="00E17456"/>
    <w:rsid w:val="00E17667"/>
    <w:rsid w:val="00E17B62"/>
    <w:rsid w:val="00E17CAA"/>
    <w:rsid w:val="00E20060"/>
    <w:rsid w:val="00E2045E"/>
    <w:rsid w:val="00E205BD"/>
    <w:rsid w:val="00E2096B"/>
    <w:rsid w:val="00E2162D"/>
    <w:rsid w:val="00E21C6B"/>
    <w:rsid w:val="00E21CC1"/>
    <w:rsid w:val="00E21E61"/>
    <w:rsid w:val="00E22641"/>
    <w:rsid w:val="00E2368B"/>
    <w:rsid w:val="00E23AD4"/>
    <w:rsid w:val="00E23BCA"/>
    <w:rsid w:val="00E23C45"/>
    <w:rsid w:val="00E23D3F"/>
    <w:rsid w:val="00E242B0"/>
    <w:rsid w:val="00E24519"/>
    <w:rsid w:val="00E24807"/>
    <w:rsid w:val="00E256E4"/>
    <w:rsid w:val="00E25C9D"/>
    <w:rsid w:val="00E25E05"/>
    <w:rsid w:val="00E26477"/>
    <w:rsid w:val="00E26CBF"/>
    <w:rsid w:val="00E277A8"/>
    <w:rsid w:val="00E278D0"/>
    <w:rsid w:val="00E30AFA"/>
    <w:rsid w:val="00E30FB4"/>
    <w:rsid w:val="00E3155E"/>
    <w:rsid w:val="00E3176A"/>
    <w:rsid w:val="00E318FB"/>
    <w:rsid w:val="00E31C5F"/>
    <w:rsid w:val="00E329EA"/>
    <w:rsid w:val="00E32C48"/>
    <w:rsid w:val="00E33B27"/>
    <w:rsid w:val="00E34BA7"/>
    <w:rsid w:val="00E357A1"/>
    <w:rsid w:val="00E357C8"/>
    <w:rsid w:val="00E365F1"/>
    <w:rsid w:val="00E36756"/>
    <w:rsid w:val="00E3725A"/>
    <w:rsid w:val="00E37826"/>
    <w:rsid w:val="00E40880"/>
    <w:rsid w:val="00E40893"/>
    <w:rsid w:val="00E408C2"/>
    <w:rsid w:val="00E40B5B"/>
    <w:rsid w:val="00E410B6"/>
    <w:rsid w:val="00E41BA6"/>
    <w:rsid w:val="00E41BB7"/>
    <w:rsid w:val="00E41BC5"/>
    <w:rsid w:val="00E421C4"/>
    <w:rsid w:val="00E4360F"/>
    <w:rsid w:val="00E465EF"/>
    <w:rsid w:val="00E46881"/>
    <w:rsid w:val="00E46B04"/>
    <w:rsid w:val="00E47438"/>
    <w:rsid w:val="00E47872"/>
    <w:rsid w:val="00E47B63"/>
    <w:rsid w:val="00E47B99"/>
    <w:rsid w:val="00E47BC0"/>
    <w:rsid w:val="00E50146"/>
    <w:rsid w:val="00E510A5"/>
    <w:rsid w:val="00E5172E"/>
    <w:rsid w:val="00E51C31"/>
    <w:rsid w:val="00E52507"/>
    <w:rsid w:val="00E526A3"/>
    <w:rsid w:val="00E52722"/>
    <w:rsid w:val="00E52DEF"/>
    <w:rsid w:val="00E53169"/>
    <w:rsid w:val="00E5319B"/>
    <w:rsid w:val="00E53825"/>
    <w:rsid w:val="00E53E7C"/>
    <w:rsid w:val="00E550E0"/>
    <w:rsid w:val="00E55483"/>
    <w:rsid w:val="00E556A2"/>
    <w:rsid w:val="00E55D2A"/>
    <w:rsid w:val="00E563F5"/>
    <w:rsid w:val="00E56537"/>
    <w:rsid w:val="00E56976"/>
    <w:rsid w:val="00E57439"/>
    <w:rsid w:val="00E576CF"/>
    <w:rsid w:val="00E6021A"/>
    <w:rsid w:val="00E60763"/>
    <w:rsid w:val="00E607B5"/>
    <w:rsid w:val="00E608C3"/>
    <w:rsid w:val="00E616B4"/>
    <w:rsid w:val="00E623CA"/>
    <w:rsid w:val="00E62CD9"/>
    <w:rsid w:val="00E633A6"/>
    <w:rsid w:val="00E63B08"/>
    <w:rsid w:val="00E64333"/>
    <w:rsid w:val="00E64578"/>
    <w:rsid w:val="00E6493D"/>
    <w:rsid w:val="00E64AD9"/>
    <w:rsid w:val="00E64FF5"/>
    <w:rsid w:val="00E650BA"/>
    <w:rsid w:val="00E654E6"/>
    <w:rsid w:val="00E655CD"/>
    <w:rsid w:val="00E66882"/>
    <w:rsid w:val="00E671E5"/>
    <w:rsid w:val="00E70575"/>
    <w:rsid w:val="00E70AFD"/>
    <w:rsid w:val="00E71218"/>
    <w:rsid w:val="00E71578"/>
    <w:rsid w:val="00E7207C"/>
    <w:rsid w:val="00E7220B"/>
    <w:rsid w:val="00E72700"/>
    <w:rsid w:val="00E7348E"/>
    <w:rsid w:val="00E73E9F"/>
    <w:rsid w:val="00E73FFA"/>
    <w:rsid w:val="00E74650"/>
    <w:rsid w:val="00E74652"/>
    <w:rsid w:val="00E760B8"/>
    <w:rsid w:val="00E76996"/>
    <w:rsid w:val="00E778FE"/>
    <w:rsid w:val="00E77BAE"/>
    <w:rsid w:val="00E77EAA"/>
    <w:rsid w:val="00E8013F"/>
    <w:rsid w:val="00E816D4"/>
    <w:rsid w:val="00E81D6C"/>
    <w:rsid w:val="00E81E15"/>
    <w:rsid w:val="00E83084"/>
    <w:rsid w:val="00E83737"/>
    <w:rsid w:val="00E83F7E"/>
    <w:rsid w:val="00E84915"/>
    <w:rsid w:val="00E8511D"/>
    <w:rsid w:val="00E853BF"/>
    <w:rsid w:val="00E8542A"/>
    <w:rsid w:val="00E85F8E"/>
    <w:rsid w:val="00E86C04"/>
    <w:rsid w:val="00E87104"/>
    <w:rsid w:val="00E900FA"/>
    <w:rsid w:val="00E901DB"/>
    <w:rsid w:val="00E9037A"/>
    <w:rsid w:val="00E916CF"/>
    <w:rsid w:val="00E92080"/>
    <w:rsid w:val="00E92598"/>
    <w:rsid w:val="00E928B6"/>
    <w:rsid w:val="00E92C88"/>
    <w:rsid w:val="00E93980"/>
    <w:rsid w:val="00E93B48"/>
    <w:rsid w:val="00E93BE2"/>
    <w:rsid w:val="00E95EAC"/>
    <w:rsid w:val="00E95EE3"/>
    <w:rsid w:val="00E96535"/>
    <w:rsid w:val="00E97370"/>
    <w:rsid w:val="00E97B1C"/>
    <w:rsid w:val="00EA047F"/>
    <w:rsid w:val="00EA0706"/>
    <w:rsid w:val="00EA09FC"/>
    <w:rsid w:val="00EA0D35"/>
    <w:rsid w:val="00EA11FE"/>
    <w:rsid w:val="00EA1498"/>
    <w:rsid w:val="00EA1EB2"/>
    <w:rsid w:val="00EA311E"/>
    <w:rsid w:val="00EA35F6"/>
    <w:rsid w:val="00EA361D"/>
    <w:rsid w:val="00EA4B8E"/>
    <w:rsid w:val="00EA55A5"/>
    <w:rsid w:val="00EA5D4B"/>
    <w:rsid w:val="00EA6CD1"/>
    <w:rsid w:val="00EA7147"/>
    <w:rsid w:val="00EA77E3"/>
    <w:rsid w:val="00EA7ACE"/>
    <w:rsid w:val="00EA7D99"/>
    <w:rsid w:val="00EB04B7"/>
    <w:rsid w:val="00EB0553"/>
    <w:rsid w:val="00EB096C"/>
    <w:rsid w:val="00EB1198"/>
    <w:rsid w:val="00EB16B3"/>
    <w:rsid w:val="00EB3172"/>
    <w:rsid w:val="00EB372B"/>
    <w:rsid w:val="00EB3B23"/>
    <w:rsid w:val="00EB45BD"/>
    <w:rsid w:val="00EB5B80"/>
    <w:rsid w:val="00EB5CE0"/>
    <w:rsid w:val="00EB68B6"/>
    <w:rsid w:val="00EB714E"/>
    <w:rsid w:val="00EB734D"/>
    <w:rsid w:val="00EB7843"/>
    <w:rsid w:val="00EB78F9"/>
    <w:rsid w:val="00EC0DEB"/>
    <w:rsid w:val="00EC0E56"/>
    <w:rsid w:val="00EC0FF2"/>
    <w:rsid w:val="00EC130D"/>
    <w:rsid w:val="00EC14BB"/>
    <w:rsid w:val="00EC1CEE"/>
    <w:rsid w:val="00EC2269"/>
    <w:rsid w:val="00EC25E9"/>
    <w:rsid w:val="00EC2901"/>
    <w:rsid w:val="00EC3A17"/>
    <w:rsid w:val="00EC493A"/>
    <w:rsid w:val="00EC4D83"/>
    <w:rsid w:val="00EC54AD"/>
    <w:rsid w:val="00EC5E6E"/>
    <w:rsid w:val="00EC610F"/>
    <w:rsid w:val="00EC7066"/>
    <w:rsid w:val="00EC7467"/>
    <w:rsid w:val="00EC77B2"/>
    <w:rsid w:val="00EC7827"/>
    <w:rsid w:val="00ED0C66"/>
    <w:rsid w:val="00ED1292"/>
    <w:rsid w:val="00ED219D"/>
    <w:rsid w:val="00ED2B24"/>
    <w:rsid w:val="00ED2D58"/>
    <w:rsid w:val="00ED4085"/>
    <w:rsid w:val="00ED4860"/>
    <w:rsid w:val="00ED49A7"/>
    <w:rsid w:val="00ED4D2D"/>
    <w:rsid w:val="00ED4DD8"/>
    <w:rsid w:val="00ED5311"/>
    <w:rsid w:val="00ED5511"/>
    <w:rsid w:val="00ED5D5B"/>
    <w:rsid w:val="00ED61AC"/>
    <w:rsid w:val="00ED690A"/>
    <w:rsid w:val="00ED6AD2"/>
    <w:rsid w:val="00ED6EED"/>
    <w:rsid w:val="00ED6F5E"/>
    <w:rsid w:val="00ED6FF9"/>
    <w:rsid w:val="00ED7A85"/>
    <w:rsid w:val="00ED7ADA"/>
    <w:rsid w:val="00ED7FBC"/>
    <w:rsid w:val="00EE03A7"/>
    <w:rsid w:val="00EE10C7"/>
    <w:rsid w:val="00EE11B4"/>
    <w:rsid w:val="00EE140E"/>
    <w:rsid w:val="00EE1CBA"/>
    <w:rsid w:val="00EE223E"/>
    <w:rsid w:val="00EE2246"/>
    <w:rsid w:val="00EE2BEB"/>
    <w:rsid w:val="00EE2CC1"/>
    <w:rsid w:val="00EE2DB8"/>
    <w:rsid w:val="00EE3045"/>
    <w:rsid w:val="00EE38FC"/>
    <w:rsid w:val="00EE3ABD"/>
    <w:rsid w:val="00EE3E3B"/>
    <w:rsid w:val="00EE41DF"/>
    <w:rsid w:val="00EE43FD"/>
    <w:rsid w:val="00EE4500"/>
    <w:rsid w:val="00EE46B3"/>
    <w:rsid w:val="00EE475E"/>
    <w:rsid w:val="00EE5D9B"/>
    <w:rsid w:val="00EE5E9E"/>
    <w:rsid w:val="00EE656B"/>
    <w:rsid w:val="00EE6DCF"/>
    <w:rsid w:val="00EE74DD"/>
    <w:rsid w:val="00EE7B69"/>
    <w:rsid w:val="00EE7D28"/>
    <w:rsid w:val="00EF1253"/>
    <w:rsid w:val="00EF1915"/>
    <w:rsid w:val="00EF2011"/>
    <w:rsid w:val="00EF20AE"/>
    <w:rsid w:val="00EF2D48"/>
    <w:rsid w:val="00EF37EC"/>
    <w:rsid w:val="00EF3D44"/>
    <w:rsid w:val="00EF3E93"/>
    <w:rsid w:val="00EF406D"/>
    <w:rsid w:val="00EF5437"/>
    <w:rsid w:val="00EF5957"/>
    <w:rsid w:val="00EF632C"/>
    <w:rsid w:val="00EF6FC4"/>
    <w:rsid w:val="00EF7241"/>
    <w:rsid w:val="00EF76B8"/>
    <w:rsid w:val="00F00292"/>
    <w:rsid w:val="00F0065A"/>
    <w:rsid w:val="00F024FB"/>
    <w:rsid w:val="00F02758"/>
    <w:rsid w:val="00F03DE0"/>
    <w:rsid w:val="00F0413E"/>
    <w:rsid w:val="00F0476D"/>
    <w:rsid w:val="00F049E9"/>
    <w:rsid w:val="00F04B97"/>
    <w:rsid w:val="00F04ED0"/>
    <w:rsid w:val="00F04FF3"/>
    <w:rsid w:val="00F0517F"/>
    <w:rsid w:val="00F06A46"/>
    <w:rsid w:val="00F06CC0"/>
    <w:rsid w:val="00F06DFF"/>
    <w:rsid w:val="00F06E17"/>
    <w:rsid w:val="00F07336"/>
    <w:rsid w:val="00F0797A"/>
    <w:rsid w:val="00F07FF1"/>
    <w:rsid w:val="00F10195"/>
    <w:rsid w:val="00F112B6"/>
    <w:rsid w:val="00F12060"/>
    <w:rsid w:val="00F1234E"/>
    <w:rsid w:val="00F12476"/>
    <w:rsid w:val="00F128D9"/>
    <w:rsid w:val="00F12929"/>
    <w:rsid w:val="00F12FC0"/>
    <w:rsid w:val="00F1314E"/>
    <w:rsid w:val="00F13673"/>
    <w:rsid w:val="00F14959"/>
    <w:rsid w:val="00F14BD7"/>
    <w:rsid w:val="00F14DF0"/>
    <w:rsid w:val="00F14E74"/>
    <w:rsid w:val="00F159A2"/>
    <w:rsid w:val="00F159BE"/>
    <w:rsid w:val="00F15AA0"/>
    <w:rsid w:val="00F15E71"/>
    <w:rsid w:val="00F16B73"/>
    <w:rsid w:val="00F176CA"/>
    <w:rsid w:val="00F17D67"/>
    <w:rsid w:val="00F20C9A"/>
    <w:rsid w:val="00F20D02"/>
    <w:rsid w:val="00F20D62"/>
    <w:rsid w:val="00F20EFA"/>
    <w:rsid w:val="00F2177D"/>
    <w:rsid w:val="00F2278D"/>
    <w:rsid w:val="00F22AC6"/>
    <w:rsid w:val="00F234A6"/>
    <w:rsid w:val="00F2384F"/>
    <w:rsid w:val="00F23A9C"/>
    <w:rsid w:val="00F23C07"/>
    <w:rsid w:val="00F23FF6"/>
    <w:rsid w:val="00F2435E"/>
    <w:rsid w:val="00F24665"/>
    <w:rsid w:val="00F24F93"/>
    <w:rsid w:val="00F253C7"/>
    <w:rsid w:val="00F256C6"/>
    <w:rsid w:val="00F25770"/>
    <w:rsid w:val="00F25793"/>
    <w:rsid w:val="00F2589A"/>
    <w:rsid w:val="00F26023"/>
    <w:rsid w:val="00F26C64"/>
    <w:rsid w:val="00F31B7F"/>
    <w:rsid w:val="00F3213A"/>
    <w:rsid w:val="00F32158"/>
    <w:rsid w:val="00F32203"/>
    <w:rsid w:val="00F32785"/>
    <w:rsid w:val="00F334EC"/>
    <w:rsid w:val="00F34224"/>
    <w:rsid w:val="00F3456E"/>
    <w:rsid w:val="00F34F91"/>
    <w:rsid w:val="00F35923"/>
    <w:rsid w:val="00F35B1F"/>
    <w:rsid w:val="00F3626B"/>
    <w:rsid w:val="00F36852"/>
    <w:rsid w:val="00F37003"/>
    <w:rsid w:val="00F37592"/>
    <w:rsid w:val="00F37803"/>
    <w:rsid w:val="00F40487"/>
    <w:rsid w:val="00F40675"/>
    <w:rsid w:val="00F40F98"/>
    <w:rsid w:val="00F41563"/>
    <w:rsid w:val="00F425B8"/>
    <w:rsid w:val="00F42864"/>
    <w:rsid w:val="00F42B48"/>
    <w:rsid w:val="00F43138"/>
    <w:rsid w:val="00F43822"/>
    <w:rsid w:val="00F43A11"/>
    <w:rsid w:val="00F43A49"/>
    <w:rsid w:val="00F43A54"/>
    <w:rsid w:val="00F4452D"/>
    <w:rsid w:val="00F45AEF"/>
    <w:rsid w:val="00F45DB7"/>
    <w:rsid w:val="00F46EFB"/>
    <w:rsid w:val="00F50194"/>
    <w:rsid w:val="00F501A5"/>
    <w:rsid w:val="00F51C85"/>
    <w:rsid w:val="00F51E9B"/>
    <w:rsid w:val="00F5271F"/>
    <w:rsid w:val="00F52A88"/>
    <w:rsid w:val="00F531E6"/>
    <w:rsid w:val="00F538E4"/>
    <w:rsid w:val="00F54305"/>
    <w:rsid w:val="00F54923"/>
    <w:rsid w:val="00F549DF"/>
    <w:rsid w:val="00F54B99"/>
    <w:rsid w:val="00F54F3C"/>
    <w:rsid w:val="00F55B87"/>
    <w:rsid w:val="00F56089"/>
    <w:rsid w:val="00F56F89"/>
    <w:rsid w:val="00F572D6"/>
    <w:rsid w:val="00F57A1F"/>
    <w:rsid w:val="00F57AD9"/>
    <w:rsid w:val="00F57B9F"/>
    <w:rsid w:val="00F60063"/>
    <w:rsid w:val="00F60F8C"/>
    <w:rsid w:val="00F61CFB"/>
    <w:rsid w:val="00F62A85"/>
    <w:rsid w:val="00F62EB1"/>
    <w:rsid w:val="00F6302E"/>
    <w:rsid w:val="00F63E76"/>
    <w:rsid w:val="00F64686"/>
    <w:rsid w:val="00F646E3"/>
    <w:rsid w:val="00F649D9"/>
    <w:rsid w:val="00F66409"/>
    <w:rsid w:val="00F66564"/>
    <w:rsid w:val="00F66DC9"/>
    <w:rsid w:val="00F67982"/>
    <w:rsid w:val="00F67F81"/>
    <w:rsid w:val="00F70177"/>
    <w:rsid w:val="00F70B18"/>
    <w:rsid w:val="00F70CBD"/>
    <w:rsid w:val="00F7156B"/>
    <w:rsid w:val="00F7170A"/>
    <w:rsid w:val="00F7191E"/>
    <w:rsid w:val="00F71E89"/>
    <w:rsid w:val="00F72091"/>
    <w:rsid w:val="00F722E5"/>
    <w:rsid w:val="00F72367"/>
    <w:rsid w:val="00F72370"/>
    <w:rsid w:val="00F72A46"/>
    <w:rsid w:val="00F72E2E"/>
    <w:rsid w:val="00F72FE5"/>
    <w:rsid w:val="00F731E5"/>
    <w:rsid w:val="00F74320"/>
    <w:rsid w:val="00F748D4"/>
    <w:rsid w:val="00F74D0E"/>
    <w:rsid w:val="00F75339"/>
    <w:rsid w:val="00F756BF"/>
    <w:rsid w:val="00F75FBA"/>
    <w:rsid w:val="00F76EDE"/>
    <w:rsid w:val="00F76F11"/>
    <w:rsid w:val="00F770E5"/>
    <w:rsid w:val="00F77589"/>
    <w:rsid w:val="00F77D42"/>
    <w:rsid w:val="00F804A0"/>
    <w:rsid w:val="00F8099D"/>
    <w:rsid w:val="00F80EA2"/>
    <w:rsid w:val="00F81E01"/>
    <w:rsid w:val="00F84C3C"/>
    <w:rsid w:val="00F85009"/>
    <w:rsid w:val="00F858A0"/>
    <w:rsid w:val="00F85A88"/>
    <w:rsid w:val="00F8655F"/>
    <w:rsid w:val="00F86C05"/>
    <w:rsid w:val="00F86D6A"/>
    <w:rsid w:val="00F87883"/>
    <w:rsid w:val="00F90211"/>
    <w:rsid w:val="00F908A4"/>
    <w:rsid w:val="00F90A06"/>
    <w:rsid w:val="00F91610"/>
    <w:rsid w:val="00F916B8"/>
    <w:rsid w:val="00F91CD7"/>
    <w:rsid w:val="00F92019"/>
    <w:rsid w:val="00F943A2"/>
    <w:rsid w:val="00F96639"/>
    <w:rsid w:val="00F968D3"/>
    <w:rsid w:val="00F96B3B"/>
    <w:rsid w:val="00F97241"/>
    <w:rsid w:val="00F97337"/>
    <w:rsid w:val="00FA00EB"/>
    <w:rsid w:val="00FA0560"/>
    <w:rsid w:val="00FA0C77"/>
    <w:rsid w:val="00FA1000"/>
    <w:rsid w:val="00FA14DA"/>
    <w:rsid w:val="00FA1D10"/>
    <w:rsid w:val="00FA1DB0"/>
    <w:rsid w:val="00FA1FF8"/>
    <w:rsid w:val="00FA2211"/>
    <w:rsid w:val="00FA2CE3"/>
    <w:rsid w:val="00FA33C9"/>
    <w:rsid w:val="00FA4960"/>
    <w:rsid w:val="00FA4BEF"/>
    <w:rsid w:val="00FA4E96"/>
    <w:rsid w:val="00FA51DD"/>
    <w:rsid w:val="00FA56DA"/>
    <w:rsid w:val="00FA5882"/>
    <w:rsid w:val="00FA66E0"/>
    <w:rsid w:val="00FA680C"/>
    <w:rsid w:val="00FA7375"/>
    <w:rsid w:val="00FA7C88"/>
    <w:rsid w:val="00FA7D22"/>
    <w:rsid w:val="00FA7FA0"/>
    <w:rsid w:val="00FB0353"/>
    <w:rsid w:val="00FB0783"/>
    <w:rsid w:val="00FB07DC"/>
    <w:rsid w:val="00FB08A7"/>
    <w:rsid w:val="00FB0FAB"/>
    <w:rsid w:val="00FB1487"/>
    <w:rsid w:val="00FB1520"/>
    <w:rsid w:val="00FB18E6"/>
    <w:rsid w:val="00FB3E53"/>
    <w:rsid w:val="00FB4C38"/>
    <w:rsid w:val="00FB4F12"/>
    <w:rsid w:val="00FB53CA"/>
    <w:rsid w:val="00FB54F8"/>
    <w:rsid w:val="00FB5956"/>
    <w:rsid w:val="00FB6B66"/>
    <w:rsid w:val="00FB77FB"/>
    <w:rsid w:val="00FB7A7B"/>
    <w:rsid w:val="00FB7FCC"/>
    <w:rsid w:val="00FC0023"/>
    <w:rsid w:val="00FC0172"/>
    <w:rsid w:val="00FC05A7"/>
    <w:rsid w:val="00FC16A3"/>
    <w:rsid w:val="00FC2624"/>
    <w:rsid w:val="00FC277C"/>
    <w:rsid w:val="00FC2E5F"/>
    <w:rsid w:val="00FC2E9D"/>
    <w:rsid w:val="00FC4C53"/>
    <w:rsid w:val="00FC682C"/>
    <w:rsid w:val="00FC7D43"/>
    <w:rsid w:val="00FC7F68"/>
    <w:rsid w:val="00FD0DFA"/>
    <w:rsid w:val="00FD0E49"/>
    <w:rsid w:val="00FD1543"/>
    <w:rsid w:val="00FD1D6D"/>
    <w:rsid w:val="00FD1DFE"/>
    <w:rsid w:val="00FD228B"/>
    <w:rsid w:val="00FD29D3"/>
    <w:rsid w:val="00FD30D6"/>
    <w:rsid w:val="00FD3E34"/>
    <w:rsid w:val="00FD457C"/>
    <w:rsid w:val="00FD4B48"/>
    <w:rsid w:val="00FD527D"/>
    <w:rsid w:val="00FD59BE"/>
    <w:rsid w:val="00FD6BF7"/>
    <w:rsid w:val="00FD6CC0"/>
    <w:rsid w:val="00FD72EF"/>
    <w:rsid w:val="00FD769A"/>
    <w:rsid w:val="00FD76DB"/>
    <w:rsid w:val="00FD7A39"/>
    <w:rsid w:val="00FD7E02"/>
    <w:rsid w:val="00FE05BB"/>
    <w:rsid w:val="00FE070B"/>
    <w:rsid w:val="00FE07CC"/>
    <w:rsid w:val="00FE07F1"/>
    <w:rsid w:val="00FE0E9A"/>
    <w:rsid w:val="00FE0EDC"/>
    <w:rsid w:val="00FE1083"/>
    <w:rsid w:val="00FE17C5"/>
    <w:rsid w:val="00FE1863"/>
    <w:rsid w:val="00FE1872"/>
    <w:rsid w:val="00FE196E"/>
    <w:rsid w:val="00FE2419"/>
    <w:rsid w:val="00FE2CBC"/>
    <w:rsid w:val="00FE320E"/>
    <w:rsid w:val="00FE3435"/>
    <w:rsid w:val="00FE3B5C"/>
    <w:rsid w:val="00FE3F86"/>
    <w:rsid w:val="00FE5386"/>
    <w:rsid w:val="00FE5540"/>
    <w:rsid w:val="00FE67BB"/>
    <w:rsid w:val="00FE6DF4"/>
    <w:rsid w:val="00FE7E32"/>
    <w:rsid w:val="00FF0264"/>
    <w:rsid w:val="00FF02A2"/>
    <w:rsid w:val="00FF07BC"/>
    <w:rsid w:val="00FF0B9D"/>
    <w:rsid w:val="00FF2CE1"/>
    <w:rsid w:val="00FF2FFE"/>
    <w:rsid w:val="00FF4170"/>
    <w:rsid w:val="00FF4519"/>
    <w:rsid w:val="00FF50E1"/>
    <w:rsid w:val="00FF5173"/>
    <w:rsid w:val="00FF5725"/>
    <w:rsid w:val="00FF63AD"/>
    <w:rsid w:val="00FF71E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imes New Roman"/>
        <w:sz w:val="28"/>
        <w:szCs w:val="22"/>
        <w:lang w:val="uk-UA" w:eastAsia="en-US" w:bidi="ar-SA"/>
      </w:rPr>
    </w:rPrDefault>
    <w:pPrDefault>
      <w:pPr>
        <w:spacing w:line="36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page number" w:uiPriority="0"/>
    <w:lsdException w:name="Title" w:semiHidden="0" w:uiPriority="0" w:unhideWhenUsed="0" w:qFormat="1"/>
    <w:lsdException w:name="Default Paragraph Font" w:uiPriority="1"/>
    <w:lsdException w:name="Body Text" w:uiPriority="0" w:qFormat="1"/>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Strong" w:semiHidden="0" w:uiPriority="22" w:unhideWhenUsed="0" w:qFormat="1"/>
    <w:lsdException w:name="Emphasis" w:semiHidden="0" w:uiPriority="0" w:unhideWhenUsed="0" w:qFormat="1"/>
    <w:lsdException w:name="Plain Text" w:uiPriority="0"/>
    <w:lsdException w:name="HTML Top of Form" w:uiPriority="0"/>
    <w:lsdException w:name="HTML Bottom of Form" w:uiPriority="0"/>
    <w:lsdException w:name="Normal (Web)" w:uiPriority="0" w:qFormat="1"/>
    <w:lsdException w:name="HTML Preformatted"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0"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1492D"/>
  </w:style>
  <w:style w:type="paragraph" w:styleId="1">
    <w:name w:val="heading 1"/>
    <w:basedOn w:val="a"/>
    <w:next w:val="a"/>
    <w:link w:val="10"/>
    <w:qFormat/>
    <w:rsid w:val="004F31D7"/>
    <w:pPr>
      <w:keepNext/>
      <w:spacing w:before="240" w:after="60"/>
      <w:ind w:firstLine="709"/>
      <w:outlineLvl w:val="0"/>
    </w:pPr>
    <w:rPr>
      <w:rFonts w:ascii="Arial" w:eastAsia="Times New Roman" w:hAnsi="Arial" w:cs="Arial"/>
      <w:b/>
      <w:color w:val="000000"/>
      <w:sz w:val="32"/>
      <w:szCs w:val="32"/>
      <w:lang w:eastAsia="ru-RU"/>
    </w:rPr>
  </w:style>
  <w:style w:type="paragraph" w:styleId="2">
    <w:name w:val="heading 2"/>
    <w:basedOn w:val="a"/>
    <w:next w:val="a"/>
    <w:link w:val="20"/>
    <w:unhideWhenUsed/>
    <w:qFormat/>
    <w:rsid w:val="003B67F9"/>
    <w:pPr>
      <w:keepNext/>
      <w:spacing w:after="120" w:line="240" w:lineRule="auto"/>
      <w:ind w:left="567" w:firstLine="567"/>
      <w:outlineLvl w:val="1"/>
    </w:pPr>
    <w:rPr>
      <w:rFonts w:eastAsia="Times New Roman"/>
      <w:b/>
      <w:sz w:val="24"/>
      <w:szCs w:val="20"/>
      <w:lang w:eastAsia="ru-RU"/>
    </w:rPr>
  </w:style>
  <w:style w:type="paragraph" w:styleId="3">
    <w:name w:val="heading 3"/>
    <w:basedOn w:val="a"/>
    <w:next w:val="a"/>
    <w:link w:val="30"/>
    <w:unhideWhenUsed/>
    <w:qFormat/>
    <w:rsid w:val="003B67F9"/>
    <w:pPr>
      <w:keepNext/>
      <w:spacing w:before="240" w:after="60" w:line="240" w:lineRule="auto"/>
      <w:jc w:val="left"/>
      <w:outlineLvl w:val="2"/>
    </w:pPr>
    <w:rPr>
      <w:rFonts w:ascii="Arial" w:eastAsia="Times New Roman" w:hAnsi="Arial" w:cs="Arial"/>
      <w:b/>
      <w:bCs/>
      <w:sz w:val="26"/>
      <w:szCs w:val="26"/>
      <w:lang w:eastAsia="ru-RU"/>
    </w:rPr>
  </w:style>
  <w:style w:type="paragraph" w:styleId="4">
    <w:name w:val="heading 4"/>
    <w:basedOn w:val="a"/>
    <w:next w:val="a"/>
    <w:link w:val="40"/>
    <w:unhideWhenUsed/>
    <w:qFormat/>
    <w:rsid w:val="003B67F9"/>
    <w:pPr>
      <w:keepNext/>
      <w:spacing w:before="240" w:after="60" w:line="240" w:lineRule="auto"/>
      <w:jc w:val="left"/>
      <w:outlineLvl w:val="3"/>
    </w:pPr>
    <w:rPr>
      <w:rFonts w:eastAsia="Times New Roman"/>
      <w:b/>
      <w:bCs/>
      <w:szCs w:val="28"/>
      <w:lang w:eastAsia="ru-RU"/>
    </w:rPr>
  </w:style>
  <w:style w:type="paragraph" w:styleId="5">
    <w:name w:val="heading 5"/>
    <w:basedOn w:val="a"/>
    <w:next w:val="a"/>
    <w:link w:val="50"/>
    <w:unhideWhenUsed/>
    <w:qFormat/>
    <w:rsid w:val="003B67F9"/>
    <w:pPr>
      <w:spacing w:before="240" w:after="60" w:line="240" w:lineRule="auto"/>
      <w:jc w:val="left"/>
      <w:outlineLvl w:val="4"/>
    </w:pPr>
    <w:rPr>
      <w:rFonts w:eastAsia="Times New Roman"/>
      <w:b/>
      <w:bCs/>
      <w:i/>
      <w:iCs/>
      <w:sz w:val="26"/>
      <w:szCs w:val="26"/>
      <w:lang w:eastAsia="ru-RU"/>
    </w:rPr>
  </w:style>
  <w:style w:type="paragraph" w:styleId="6">
    <w:name w:val="heading 6"/>
    <w:basedOn w:val="a"/>
    <w:next w:val="a"/>
    <w:link w:val="60"/>
    <w:semiHidden/>
    <w:unhideWhenUsed/>
    <w:qFormat/>
    <w:rsid w:val="003B67F9"/>
    <w:pPr>
      <w:spacing w:before="240" w:after="60" w:line="240" w:lineRule="auto"/>
      <w:jc w:val="left"/>
      <w:outlineLvl w:val="5"/>
    </w:pPr>
    <w:rPr>
      <w:rFonts w:eastAsia="Times New Roman"/>
      <w:b/>
      <w:bCs/>
      <w:sz w:val="22"/>
      <w:lang w:eastAsia="ru-RU"/>
    </w:rPr>
  </w:style>
  <w:style w:type="paragraph" w:styleId="7">
    <w:name w:val="heading 7"/>
    <w:basedOn w:val="a"/>
    <w:next w:val="a"/>
    <w:link w:val="70"/>
    <w:semiHidden/>
    <w:unhideWhenUsed/>
    <w:qFormat/>
    <w:rsid w:val="003B67F9"/>
    <w:pPr>
      <w:keepNext/>
      <w:suppressAutoHyphens/>
      <w:autoSpaceDE w:val="0"/>
      <w:autoSpaceDN w:val="0"/>
      <w:adjustRightInd w:val="0"/>
      <w:spacing w:line="240" w:lineRule="auto"/>
      <w:jc w:val="center"/>
      <w:outlineLvl w:val="6"/>
    </w:pPr>
    <w:rPr>
      <w:rFonts w:eastAsia="Times New Roman"/>
      <w:b/>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aliases w:val="webb,Обычный (Web), webb"/>
    <w:basedOn w:val="a"/>
    <w:link w:val="a4"/>
    <w:unhideWhenUsed/>
    <w:qFormat/>
    <w:rsid w:val="001C116F"/>
    <w:pPr>
      <w:spacing w:before="100" w:beforeAutospacing="1" w:after="100" w:afterAutospacing="1" w:line="240" w:lineRule="auto"/>
    </w:pPr>
    <w:rPr>
      <w:rFonts w:eastAsia="Times New Roman"/>
      <w:sz w:val="24"/>
      <w:szCs w:val="24"/>
      <w:lang w:val="x-none" w:eastAsia="ru-RU"/>
    </w:rPr>
  </w:style>
  <w:style w:type="character" w:customStyle="1" w:styleId="a4">
    <w:name w:val="Обычный (веб) Знак"/>
    <w:aliases w:val="webb Знак,Обычный (Web) Знак, webb Знак"/>
    <w:link w:val="a3"/>
    <w:locked/>
    <w:rsid w:val="001C116F"/>
    <w:rPr>
      <w:rFonts w:eastAsia="Times New Roman" w:cs="Times New Roman"/>
      <w:szCs w:val="24"/>
      <w:lang w:val="x-none" w:eastAsia="ru-RU"/>
    </w:rPr>
  </w:style>
  <w:style w:type="paragraph" w:styleId="a5">
    <w:name w:val="List Paragraph"/>
    <w:basedOn w:val="a"/>
    <w:uiPriority w:val="34"/>
    <w:qFormat/>
    <w:rsid w:val="001C116F"/>
    <w:pPr>
      <w:ind w:left="720"/>
      <w:contextualSpacing/>
    </w:pPr>
  </w:style>
  <w:style w:type="table" w:styleId="a6">
    <w:name w:val="Table Grid"/>
    <w:basedOn w:val="a1"/>
    <w:rsid w:val="001C116F"/>
    <w:pPr>
      <w:spacing w:line="240" w:lineRule="auto"/>
    </w:pPr>
    <w:rPr>
      <w:rFonts w:ascii="Calibri" w:eastAsia="Calibri" w:hAnsi="Calibri"/>
      <w:sz w:val="20"/>
      <w:szCs w:val="20"/>
      <w:lang w:val="ru-RU" w:eastAsia="ru-RU"/>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41">
    <w:name w:val="Сетка таблицы4"/>
    <w:basedOn w:val="a1"/>
    <w:next w:val="a6"/>
    <w:rsid w:val="00D96FD9"/>
    <w:pPr>
      <w:spacing w:line="240" w:lineRule="auto"/>
    </w:pPr>
    <w:rPr>
      <w:rFonts w:ascii="Calibri" w:eastAsia="Times New Roman" w:hAnsi="Calibri"/>
      <w:sz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
    <w:name w:val="Сетка таблицы2"/>
    <w:basedOn w:val="a1"/>
    <w:next w:val="a6"/>
    <w:rsid w:val="00D96FD9"/>
    <w:pPr>
      <w:spacing w:line="240" w:lineRule="auto"/>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Body Text Indent"/>
    <w:basedOn w:val="a"/>
    <w:link w:val="a8"/>
    <w:unhideWhenUsed/>
    <w:rsid w:val="00D96FD9"/>
    <w:pPr>
      <w:spacing w:after="120"/>
      <w:ind w:left="283"/>
    </w:pPr>
    <w:rPr>
      <w:rFonts w:eastAsia="Times New Roman"/>
      <w:color w:val="000000"/>
      <w:szCs w:val="24"/>
      <w:lang w:eastAsia="ru-RU"/>
    </w:rPr>
  </w:style>
  <w:style w:type="character" w:customStyle="1" w:styleId="a8">
    <w:name w:val="Основной текст с отступом Знак"/>
    <w:basedOn w:val="a0"/>
    <w:link w:val="a7"/>
    <w:rsid w:val="00D96FD9"/>
    <w:rPr>
      <w:rFonts w:eastAsia="Times New Roman" w:cs="Times New Roman"/>
      <w:color w:val="000000"/>
      <w:sz w:val="28"/>
      <w:szCs w:val="24"/>
      <w:lang w:eastAsia="ru-RU"/>
    </w:rPr>
  </w:style>
  <w:style w:type="paragraph" w:styleId="a9">
    <w:name w:val="Balloon Text"/>
    <w:basedOn w:val="a"/>
    <w:link w:val="aa"/>
    <w:uiPriority w:val="99"/>
    <w:unhideWhenUsed/>
    <w:rsid w:val="00D96FD9"/>
    <w:pPr>
      <w:spacing w:line="240" w:lineRule="auto"/>
    </w:pPr>
    <w:rPr>
      <w:rFonts w:ascii="Tahoma" w:hAnsi="Tahoma" w:cs="Tahoma"/>
      <w:sz w:val="16"/>
      <w:szCs w:val="16"/>
    </w:rPr>
  </w:style>
  <w:style w:type="character" w:customStyle="1" w:styleId="aa">
    <w:name w:val="Текст выноски Знак"/>
    <w:basedOn w:val="a0"/>
    <w:link w:val="a9"/>
    <w:uiPriority w:val="99"/>
    <w:rsid w:val="00D96FD9"/>
    <w:rPr>
      <w:rFonts w:ascii="Tahoma" w:hAnsi="Tahoma" w:cs="Tahoma"/>
      <w:sz w:val="16"/>
      <w:szCs w:val="16"/>
      <w:lang w:val="ru-RU"/>
    </w:rPr>
  </w:style>
  <w:style w:type="numbering" w:customStyle="1" w:styleId="11">
    <w:name w:val="Нет списка1"/>
    <w:next w:val="a2"/>
    <w:uiPriority w:val="99"/>
    <w:semiHidden/>
    <w:unhideWhenUsed/>
    <w:rsid w:val="00D96FD9"/>
  </w:style>
  <w:style w:type="table" w:customStyle="1" w:styleId="12">
    <w:name w:val="Сетка таблицы1"/>
    <w:basedOn w:val="a1"/>
    <w:next w:val="a6"/>
    <w:rsid w:val="00D96FD9"/>
    <w:pPr>
      <w:spacing w:line="240" w:lineRule="auto"/>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b">
    <w:name w:val="header"/>
    <w:basedOn w:val="a"/>
    <w:link w:val="ac"/>
    <w:uiPriority w:val="99"/>
    <w:unhideWhenUsed/>
    <w:rsid w:val="00D96FD9"/>
    <w:pPr>
      <w:tabs>
        <w:tab w:val="center" w:pos="4844"/>
        <w:tab w:val="right" w:pos="9689"/>
      </w:tabs>
      <w:spacing w:line="240" w:lineRule="auto"/>
    </w:pPr>
    <w:rPr>
      <w:rFonts w:asciiTheme="minorHAnsi" w:hAnsiTheme="minorHAnsi" w:cstheme="minorBidi"/>
    </w:rPr>
  </w:style>
  <w:style w:type="character" w:customStyle="1" w:styleId="ac">
    <w:name w:val="Верхний колонтитул Знак"/>
    <w:basedOn w:val="a0"/>
    <w:link w:val="ab"/>
    <w:uiPriority w:val="99"/>
    <w:rsid w:val="00D96FD9"/>
    <w:rPr>
      <w:rFonts w:asciiTheme="minorHAnsi" w:hAnsiTheme="minorHAnsi"/>
      <w:sz w:val="22"/>
      <w:lang w:val="ru-RU"/>
    </w:rPr>
  </w:style>
  <w:style w:type="paragraph" w:styleId="ad">
    <w:name w:val="footer"/>
    <w:basedOn w:val="a"/>
    <w:link w:val="ae"/>
    <w:uiPriority w:val="99"/>
    <w:unhideWhenUsed/>
    <w:rsid w:val="00D96FD9"/>
    <w:pPr>
      <w:tabs>
        <w:tab w:val="center" w:pos="4844"/>
        <w:tab w:val="right" w:pos="9689"/>
      </w:tabs>
      <w:spacing w:line="240" w:lineRule="auto"/>
    </w:pPr>
    <w:rPr>
      <w:rFonts w:asciiTheme="minorHAnsi" w:hAnsiTheme="minorHAnsi" w:cstheme="minorBidi"/>
    </w:rPr>
  </w:style>
  <w:style w:type="character" w:customStyle="1" w:styleId="ae">
    <w:name w:val="Нижний колонтитул Знак"/>
    <w:basedOn w:val="a0"/>
    <w:link w:val="ad"/>
    <w:uiPriority w:val="99"/>
    <w:rsid w:val="00D96FD9"/>
    <w:rPr>
      <w:rFonts w:asciiTheme="minorHAnsi" w:hAnsiTheme="minorHAnsi"/>
      <w:sz w:val="22"/>
      <w:lang w:val="ru-RU"/>
    </w:rPr>
  </w:style>
  <w:style w:type="character" w:customStyle="1" w:styleId="13">
    <w:name w:val="Гиперссылка1"/>
    <w:basedOn w:val="a0"/>
    <w:uiPriority w:val="99"/>
    <w:unhideWhenUsed/>
    <w:rsid w:val="00D96FD9"/>
    <w:rPr>
      <w:color w:val="0563C1"/>
      <w:u w:val="single"/>
    </w:rPr>
  </w:style>
  <w:style w:type="table" w:customStyle="1" w:styleId="410">
    <w:name w:val="Сетка таблицы41"/>
    <w:basedOn w:val="a1"/>
    <w:next w:val="a6"/>
    <w:rsid w:val="00D96FD9"/>
    <w:pPr>
      <w:spacing w:line="240" w:lineRule="auto"/>
    </w:pPr>
    <w:rPr>
      <w:rFonts w:ascii="Calibri" w:eastAsia="Times New Roman" w:hAnsi="Calibri"/>
      <w:sz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0">
    <w:name w:val="Сетка таблицы21"/>
    <w:basedOn w:val="a1"/>
    <w:next w:val="a6"/>
    <w:rsid w:val="00D96FD9"/>
    <w:pPr>
      <w:spacing w:line="240" w:lineRule="auto"/>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
    <w:name w:val="!Текст"/>
    <w:basedOn w:val="a"/>
    <w:rsid w:val="00D96FD9"/>
    <w:pPr>
      <w:ind w:firstLine="720"/>
    </w:pPr>
    <w:rPr>
      <w:rFonts w:eastAsia="Times New Roman"/>
      <w:szCs w:val="24"/>
      <w:lang w:eastAsia="ru-RU"/>
    </w:rPr>
  </w:style>
  <w:style w:type="table" w:customStyle="1" w:styleId="31">
    <w:name w:val="Сетка таблицы3"/>
    <w:basedOn w:val="a1"/>
    <w:next w:val="a6"/>
    <w:rsid w:val="00D96FD9"/>
    <w:pPr>
      <w:spacing w:line="240" w:lineRule="auto"/>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1">
    <w:name w:val="Сетка таблицы5"/>
    <w:basedOn w:val="a1"/>
    <w:next w:val="a6"/>
    <w:rsid w:val="00D96FD9"/>
    <w:pPr>
      <w:spacing w:line="240" w:lineRule="auto"/>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1">
    <w:name w:val="Сетка таблицы6"/>
    <w:basedOn w:val="a1"/>
    <w:next w:val="a6"/>
    <w:rsid w:val="00D96FD9"/>
    <w:pPr>
      <w:spacing w:line="240" w:lineRule="auto"/>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1">
    <w:name w:val="Сетка таблицы7"/>
    <w:basedOn w:val="a1"/>
    <w:next w:val="a6"/>
    <w:rsid w:val="00D96FD9"/>
    <w:pPr>
      <w:spacing w:line="240" w:lineRule="auto"/>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
    <w:name w:val="Сетка таблицы8"/>
    <w:basedOn w:val="a1"/>
    <w:next w:val="a6"/>
    <w:rsid w:val="00D96FD9"/>
    <w:pPr>
      <w:spacing w:line="240" w:lineRule="auto"/>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9">
    <w:name w:val="Сетка таблицы9"/>
    <w:basedOn w:val="a1"/>
    <w:next w:val="a6"/>
    <w:rsid w:val="00D96FD9"/>
    <w:pPr>
      <w:spacing w:line="240" w:lineRule="auto"/>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00">
    <w:name w:val="Сетка таблицы10"/>
    <w:basedOn w:val="a1"/>
    <w:next w:val="a6"/>
    <w:rsid w:val="00D96FD9"/>
    <w:pPr>
      <w:spacing w:line="240" w:lineRule="auto"/>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0">
    <w:name w:val="No Spacing"/>
    <w:link w:val="af1"/>
    <w:uiPriority w:val="1"/>
    <w:qFormat/>
    <w:rsid w:val="00D96FD9"/>
    <w:pPr>
      <w:spacing w:line="240" w:lineRule="auto"/>
    </w:pPr>
    <w:rPr>
      <w:rFonts w:ascii="Calibri" w:hAnsi="Calibri"/>
      <w:sz w:val="22"/>
      <w:lang w:val="ru-RU"/>
    </w:rPr>
  </w:style>
  <w:style w:type="character" w:customStyle="1" w:styleId="14">
    <w:name w:val="Просмотренная гиперссылка1"/>
    <w:basedOn w:val="a0"/>
    <w:uiPriority w:val="99"/>
    <w:semiHidden/>
    <w:unhideWhenUsed/>
    <w:rsid w:val="00D96FD9"/>
    <w:rPr>
      <w:color w:val="954F72"/>
      <w:u w:val="single"/>
    </w:rPr>
  </w:style>
  <w:style w:type="character" w:styleId="af2">
    <w:name w:val="annotation reference"/>
    <w:basedOn w:val="a0"/>
    <w:uiPriority w:val="99"/>
    <w:semiHidden/>
    <w:unhideWhenUsed/>
    <w:rsid w:val="00D96FD9"/>
    <w:rPr>
      <w:sz w:val="16"/>
      <w:szCs w:val="16"/>
    </w:rPr>
  </w:style>
  <w:style w:type="paragraph" w:styleId="af3">
    <w:name w:val="annotation text"/>
    <w:basedOn w:val="a"/>
    <w:link w:val="af4"/>
    <w:uiPriority w:val="99"/>
    <w:semiHidden/>
    <w:unhideWhenUsed/>
    <w:rsid w:val="00D96FD9"/>
    <w:pPr>
      <w:spacing w:line="240" w:lineRule="auto"/>
    </w:pPr>
    <w:rPr>
      <w:rFonts w:asciiTheme="minorHAnsi" w:hAnsiTheme="minorHAnsi" w:cstheme="minorBidi"/>
      <w:sz w:val="20"/>
      <w:szCs w:val="20"/>
    </w:rPr>
  </w:style>
  <w:style w:type="character" w:customStyle="1" w:styleId="af4">
    <w:name w:val="Текст примечания Знак"/>
    <w:basedOn w:val="a0"/>
    <w:link w:val="af3"/>
    <w:uiPriority w:val="99"/>
    <w:semiHidden/>
    <w:rsid w:val="00D96FD9"/>
    <w:rPr>
      <w:rFonts w:asciiTheme="minorHAnsi" w:hAnsiTheme="minorHAnsi"/>
      <w:sz w:val="20"/>
      <w:szCs w:val="20"/>
      <w:lang w:val="ru-RU"/>
    </w:rPr>
  </w:style>
  <w:style w:type="paragraph" w:styleId="af5">
    <w:name w:val="annotation subject"/>
    <w:basedOn w:val="af3"/>
    <w:next w:val="af3"/>
    <w:link w:val="af6"/>
    <w:uiPriority w:val="99"/>
    <w:semiHidden/>
    <w:unhideWhenUsed/>
    <w:rsid w:val="00D96FD9"/>
    <w:rPr>
      <w:b/>
      <w:bCs/>
    </w:rPr>
  </w:style>
  <w:style w:type="character" w:customStyle="1" w:styleId="af6">
    <w:name w:val="Тема примечания Знак"/>
    <w:basedOn w:val="af4"/>
    <w:link w:val="af5"/>
    <w:uiPriority w:val="99"/>
    <w:semiHidden/>
    <w:rsid w:val="00D96FD9"/>
    <w:rPr>
      <w:rFonts w:asciiTheme="minorHAnsi" w:hAnsiTheme="minorHAnsi"/>
      <w:b/>
      <w:bCs/>
      <w:sz w:val="20"/>
      <w:szCs w:val="20"/>
      <w:lang w:val="ru-RU"/>
    </w:rPr>
  </w:style>
  <w:style w:type="paragraph" w:styleId="22">
    <w:name w:val="Body Text Indent 2"/>
    <w:basedOn w:val="a"/>
    <w:link w:val="23"/>
    <w:unhideWhenUsed/>
    <w:rsid w:val="00D96FD9"/>
    <w:pPr>
      <w:spacing w:after="120" w:line="480" w:lineRule="auto"/>
      <w:ind w:left="283"/>
    </w:pPr>
    <w:rPr>
      <w:rFonts w:eastAsia="Times New Roman"/>
      <w:color w:val="000000"/>
      <w:szCs w:val="24"/>
      <w:lang w:eastAsia="ru-RU"/>
    </w:rPr>
  </w:style>
  <w:style w:type="character" w:customStyle="1" w:styleId="23">
    <w:name w:val="Основной текст с отступом 2 Знак"/>
    <w:basedOn w:val="a0"/>
    <w:link w:val="22"/>
    <w:rsid w:val="00D96FD9"/>
    <w:rPr>
      <w:rFonts w:eastAsia="Times New Roman" w:cs="Times New Roman"/>
      <w:color w:val="000000"/>
      <w:sz w:val="28"/>
      <w:szCs w:val="24"/>
      <w:lang w:eastAsia="ru-RU"/>
    </w:rPr>
  </w:style>
  <w:style w:type="character" w:styleId="af7">
    <w:name w:val="Hyperlink"/>
    <w:basedOn w:val="a0"/>
    <w:uiPriority w:val="99"/>
    <w:unhideWhenUsed/>
    <w:rsid w:val="00D96FD9"/>
    <w:rPr>
      <w:color w:val="0563C1" w:themeColor="hyperlink"/>
      <w:u w:val="single"/>
    </w:rPr>
  </w:style>
  <w:style w:type="character" w:styleId="af8">
    <w:name w:val="FollowedHyperlink"/>
    <w:basedOn w:val="a0"/>
    <w:uiPriority w:val="99"/>
    <w:unhideWhenUsed/>
    <w:rsid w:val="00D96FD9"/>
    <w:rPr>
      <w:color w:val="954F72" w:themeColor="followedHyperlink"/>
      <w:u w:val="single"/>
    </w:rPr>
  </w:style>
  <w:style w:type="character" w:customStyle="1" w:styleId="10">
    <w:name w:val="Заголовок 1 Знак"/>
    <w:basedOn w:val="a0"/>
    <w:link w:val="1"/>
    <w:rsid w:val="004F31D7"/>
    <w:rPr>
      <w:rFonts w:ascii="Arial" w:eastAsia="Times New Roman" w:hAnsi="Arial" w:cs="Arial"/>
      <w:b/>
      <w:color w:val="000000"/>
      <w:sz w:val="32"/>
      <w:szCs w:val="32"/>
      <w:lang w:val="ru-RU" w:eastAsia="ru-RU"/>
    </w:rPr>
  </w:style>
  <w:style w:type="paragraph" w:styleId="af9">
    <w:name w:val="Body Text"/>
    <w:basedOn w:val="a"/>
    <w:link w:val="afa"/>
    <w:qFormat/>
    <w:rsid w:val="004F31D7"/>
    <w:pPr>
      <w:spacing w:after="120"/>
      <w:ind w:firstLine="709"/>
    </w:pPr>
    <w:rPr>
      <w:rFonts w:eastAsia="Times New Roman"/>
      <w:szCs w:val="24"/>
      <w:lang w:eastAsia="ru-RU"/>
    </w:rPr>
  </w:style>
  <w:style w:type="character" w:customStyle="1" w:styleId="afa">
    <w:name w:val="Основной текст Знак"/>
    <w:basedOn w:val="a0"/>
    <w:link w:val="af9"/>
    <w:rsid w:val="004F31D7"/>
    <w:rPr>
      <w:rFonts w:eastAsia="Times New Roman" w:cs="Times New Roman"/>
      <w:sz w:val="28"/>
      <w:szCs w:val="24"/>
      <w:lang w:val="ru-RU" w:eastAsia="ru-RU"/>
    </w:rPr>
  </w:style>
  <w:style w:type="paragraph" w:customStyle="1" w:styleId="TableParagraph">
    <w:name w:val="Table Paragraph"/>
    <w:basedOn w:val="a"/>
    <w:uiPriority w:val="1"/>
    <w:qFormat/>
    <w:rsid w:val="006738F0"/>
    <w:pPr>
      <w:widowControl w:val="0"/>
      <w:autoSpaceDE w:val="0"/>
      <w:autoSpaceDN w:val="0"/>
      <w:spacing w:line="240" w:lineRule="auto"/>
      <w:jc w:val="center"/>
    </w:pPr>
    <w:rPr>
      <w:rFonts w:eastAsia="Times New Roman"/>
      <w:sz w:val="22"/>
    </w:rPr>
  </w:style>
  <w:style w:type="table" w:customStyle="1" w:styleId="TableNormal3">
    <w:name w:val="Table Normal3"/>
    <w:uiPriority w:val="2"/>
    <w:semiHidden/>
    <w:unhideWhenUsed/>
    <w:qFormat/>
    <w:rsid w:val="006738F0"/>
    <w:pPr>
      <w:widowControl w:val="0"/>
      <w:autoSpaceDE w:val="0"/>
      <w:autoSpaceDN w:val="0"/>
      <w:spacing w:line="240" w:lineRule="auto"/>
      <w:jc w:val="left"/>
    </w:pPr>
    <w:rPr>
      <w:rFonts w:asciiTheme="minorHAnsi" w:hAnsiTheme="minorHAnsi" w:cstheme="minorBidi"/>
      <w:sz w:val="22"/>
      <w:lang w:val="en-US"/>
    </w:rPr>
    <w:tblPr>
      <w:tblInd w:w="0" w:type="dxa"/>
      <w:tblCellMar>
        <w:top w:w="0" w:type="dxa"/>
        <w:left w:w="0" w:type="dxa"/>
        <w:bottom w:w="0" w:type="dxa"/>
        <w:right w:w="0" w:type="dxa"/>
      </w:tblCellMar>
    </w:tblPr>
  </w:style>
  <w:style w:type="paragraph" w:customStyle="1" w:styleId="15">
    <w:name w:val="Абзац списка1"/>
    <w:basedOn w:val="a"/>
    <w:qFormat/>
    <w:rsid w:val="006738F0"/>
    <w:pPr>
      <w:spacing w:after="200" w:line="276" w:lineRule="auto"/>
      <w:ind w:left="720"/>
      <w:jc w:val="left"/>
    </w:pPr>
    <w:rPr>
      <w:rFonts w:ascii="Calibri" w:eastAsia="Times New Roman" w:hAnsi="Calibri" w:cs="Calibri"/>
      <w:sz w:val="22"/>
      <w:lang w:eastAsia="uk-UA"/>
    </w:rPr>
  </w:style>
  <w:style w:type="table" w:customStyle="1" w:styleId="TableNormal">
    <w:name w:val="Table Normal"/>
    <w:uiPriority w:val="2"/>
    <w:semiHidden/>
    <w:unhideWhenUsed/>
    <w:qFormat/>
    <w:rsid w:val="006738F0"/>
    <w:pPr>
      <w:widowControl w:val="0"/>
      <w:autoSpaceDE w:val="0"/>
      <w:autoSpaceDN w:val="0"/>
      <w:spacing w:line="240" w:lineRule="auto"/>
      <w:jc w:val="left"/>
    </w:pPr>
    <w:rPr>
      <w:rFonts w:asciiTheme="minorHAnsi" w:hAnsiTheme="minorHAnsi" w:cstheme="minorBidi"/>
      <w:sz w:val="22"/>
      <w:lang w:val="en-US"/>
    </w:rPr>
    <w:tblPr>
      <w:tblInd w:w="0" w:type="dxa"/>
      <w:tblCellMar>
        <w:top w:w="0" w:type="dxa"/>
        <w:left w:w="0" w:type="dxa"/>
        <w:bottom w:w="0" w:type="dxa"/>
        <w:right w:w="0" w:type="dxa"/>
      </w:tblCellMar>
    </w:tblPr>
  </w:style>
  <w:style w:type="table" w:customStyle="1" w:styleId="TableNormal1">
    <w:name w:val="Table Normal1"/>
    <w:uiPriority w:val="2"/>
    <w:semiHidden/>
    <w:unhideWhenUsed/>
    <w:qFormat/>
    <w:rsid w:val="006738F0"/>
    <w:pPr>
      <w:widowControl w:val="0"/>
      <w:autoSpaceDE w:val="0"/>
      <w:autoSpaceDN w:val="0"/>
      <w:spacing w:line="240" w:lineRule="auto"/>
      <w:jc w:val="left"/>
    </w:pPr>
    <w:rPr>
      <w:rFonts w:asciiTheme="minorHAnsi" w:hAnsiTheme="minorHAnsi" w:cstheme="minorBidi"/>
      <w:sz w:val="22"/>
      <w:lang w:val="en-US"/>
    </w:rPr>
    <w:tblPr>
      <w:tblInd w:w="0" w:type="dxa"/>
      <w:tblCellMar>
        <w:top w:w="0" w:type="dxa"/>
        <w:left w:w="0" w:type="dxa"/>
        <w:bottom w:w="0" w:type="dxa"/>
        <w:right w:w="0" w:type="dxa"/>
      </w:tblCellMar>
    </w:tblPr>
  </w:style>
  <w:style w:type="character" w:customStyle="1" w:styleId="20">
    <w:name w:val="Заголовок 2 Знак"/>
    <w:basedOn w:val="a0"/>
    <w:link w:val="2"/>
    <w:rsid w:val="003B67F9"/>
    <w:rPr>
      <w:rFonts w:eastAsia="Times New Roman"/>
      <w:b/>
      <w:sz w:val="24"/>
      <w:szCs w:val="20"/>
      <w:lang w:eastAsia="ru-RU"/>
    </w:rPr>
  </w:style>
  <w:style w:type="character" w:customStyle="1" w:styleId="30">
    <w:name w:val="Заголовок 3 Знак"/>
    <w:basedOn w:val="a0"/>
    <w:link w:val="3"/>
    <w:rsid w:val="003B67F9"/>
    <w:rPr>
      <w:rFonts w:ascii="Arial" w:eastAsia="Times New Roman" w:hAnsi="Arial" w:cs="Arial"/>
      <w:b/>
      <w:bCs/>
      <w:sz w:val="26"/>
      <w:szCs w:val="26"/>
      <w:lang w:eastAsia="ru-RU"/>
    </w:rPr>
  </w:style>
  <w:style w:type="character" w:customStyle="1" w:styleId="40">
    <w:name w:val="Заголовок 4 Знак"/>
    <w:basedOn w:val="a0"/>
    <w:link w:val="4"/>
    <w:rsid w:val="003B67F9"/>
    <w:rPr>
      <w:rFonts w:eastAsia="Times New Roman"/>
      <w:b/>
      <w:bCs/>
      <w:szCs w:val="28"/>
      <w:lang w:eastAsia="ru-RU"/>
    </w:rPr>
  </w:style>
  <w:style w:type="character" w:customStyle="1" w:styleId="50">
    <w:name w:val="Заголовок 5 Знак"/>
    <w:basedOn w:val="a0"/>
    <w:link w:val="5"/>
    <w:rsid w:val="003B67F9"/>
    <w:rPr>
      <w:rFonts w:eastAsia="Times New Roman"/>
      <w:b/>
      <w:bCs/>
      <w:i/>
      <w:iCs/>
      <w:sz w:val="26"/>
      <w:szCs w:val="26"/>
      <w:lang w:eastAsia="ru-RU"/>
    </w:rPr>
  </w:style>
  <w:style w:type="character" w:customStyle="1" w:styleId="60">
    <w:name w:val="Заголовок 6 Знак"/>
    <w:basedOn w:val="a0"/>
    <w:link w:val="6"/>
    <w:semiHidden/>
    <w:rsid w:val="003B67F9"/>
    <w:rPr>
      <w:rFonts w:eastAsia="Times New Roman"/>
      <w:b/>
      <w:bCs/>
      <w:sz w:val="22"/>
      <w:lang w:eastAsia="ru-RU"/>
    </w:rPr>
  </w:style>
  <w:style w:type="character" w:customStyle="1" w:styleId="70">
    <w:name w:val="Заголовок 7 Знак"/>
    <w:basedOn w:val="a0"/>
    <w:link w:val="7"/>
    <w:semiHidden/>
    <w:rsid w:val="003B67F9"/>
    <w:rPr>
      <w:rFonts w:eastAsia="Times New Roman"/>
      <w:b/>
      <w:sz w:val="20"/>
      <w:szCs w:val="20"/>
      <w:lang w:eastAsia="ru-RU"/>
    </w:rPr>
  </w:style>
  <w:style w:type="numbering" w:customStyle="1" w:styleId="16">
    <w:name w:val="Немає списку1"/>
    <w:next w:val="a2"/>
    <w:uiPriority w:val="99"/>
    <w:semiHidden/>
    <w:unhideWhenUsed/>
    <w:rsid w:val="003B67F9"/>
  </w:style>
  <w:style w:type="paragraph" w:styleId="HTML">
    <w:name w:val="HTML Preformatted"/>
    <w:basedOn w:val="a"/>
    <w:link w:val="HTML0"/>
    <w:semiHidden/>
    <w:unhideWhenUsed/>
    <w:rsid w:val="003B67F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semiHidden/>
    <w:rsid w:val="003B67F9"/>
    <w:rPr>
      <w:rFonts w:ascii="Courier New" w:eastAsia="Times New Roman" w:hAnsi="Courier New" w:cs="Courier New"/>
      <w:sz w:val="20"/>
      <w:szCs w:val="20"/>
      <w:lang w:eastAsia="ru-RU"/>
    </w:rPr>
  </w:style>
  <w:style w:type="paragraph" w:styleId="afb">
    <w:name w:val="footnote text"/>
    <w:basedOn w:val="a"/>
    <w:link w:val="afc"/>
    <w:unhideWhenUsed/>
    <w:rsid w:val="003B67F9"/>
    <w:pPr>
      <w:spacing w:line="240" w:lineRule="auto"/>
      <w:jc w:val="left"/>
    </w:pPr>
    <w:rPr>
      <w:rFonts w:eastAsia="Times New Roman"/>
      <w:sz w:val="20"/>
      <w:szCs w:val="20"/>
      <w:lang w:eastAsia="ru-RU"/>
    </w:rPr>
  </w:style>
  <w:style w:type="character" w:customStyle="1" w:styleId="afc">
    <w:name w:val="Текст сноски Знак"/>
    <w:basedOn w:val="a0"/>
    <w:link w:val="afb"/>
    <w:rsid w:val="003B67F9"/>
    <w:rPr>
      <w:rFonts w:eastAsia="Times New Roman"/>
      <w:sz w:val="20"/>
      <w:szCs w:val="20"/>
      <w:lang w:eastAsia="ru-RU"/>
    </w:rPr>
  </w:style>
  <w:style w:type="paragraph" w:styleId="afd">
    <w:name w:val="Title"/>
    <w:basedOn w:val="a"/>
    <w:link w:val="afe"/>
    <w:qFormat/>
    <w:rsid w:val="003B67F9"/>
    <w:pPr>
      <w:spacing w:line="240" w:lineRule="auto"/>
      <w:jc w:val="center"/>
    </w:pPr>
    <w:rPr>
      <w:rFonts w:eastAsia="Times New Roman"/>
      <w:szCs w:val="28"/>
      <w:lang w:eastAsia="ru-RU"/>
    </w:rPr>
  </w:style>
  <w:style w:type="character" w:customStyle="1" w:styleId="afe">
    <w:name w:val="Название Знак"/>
    <w:basedOn w:val="a0"/>
    <w:link w:val="afd"/>
    <w:rsid w:val="003B67F9"/>
    <w:rPr>
      <w:rFonts w:eastAsia="Times New Roman"/>
      <w:szCs w:val="28"/>
      <w:lang w:eastAsia="ru-RU"/>
    </w:rPr>
  </w:style>
  <w:style w:type="paragraph" w:styleId="24">
    <w:name w:val="Body Text 2"/>
    <w:basedOn w:val="a"/>
    <w:link w:val="25"/>
    <w:unhideWhenUsed/>
    <w:rsid w:val="003B67F9"/>
    <w:pPr>
      <w:spacing w:after="120" w:line="480" w:lineRule="auto"/>
      <w:jc w:val="left"/>
    </w:pPr>
    <w:rPr>
      <w:rFonts w:eastAsia="Times New Roman"/>
      <w:sz w:val="20"/>
      <w:szCs w:val="20"/>
      <w:lang w:eastAsia="ru-RU"/>
    </w:rPr>
  </w:style>
  <w:style w:type="character" w:customStyle="1" w:styleId="25">
    <w:name w:val="Основной текст 2 Знак"/>
    <w:basedOn w:val="a0"/>
    <w:link w:val="24"/>
    <w:rsid w:val="003B67F9"/>
    <w:rPr>
      <w:rFonts w:eastAsia="Times New Roman"/>
      <w:sz w:val="20"/>
      <w:szCs w:val="20"/>
      <w:lang w:eastAsia="ru-RU"/>
    </w:rPr>
  </w:style>
  <w:style w:type="paragraph" w:styleId="32">
    <w:name w:val="Body Text 3"/>
    <w:basedOn w:val="a"/>
    <w:link w:val="33"/>
    <w:unhideWhenUsed/>
    <w:rsid w:val="003B67F9"/>
    <w:pPr>
      <w:spacing w:after="120" w:line="240" w:lineRule="auto"/>
      <w:jc w:val="left"/>
    </w:pPr>
    <w:rPr>
      <w:rFonts w:eastAsia="Times New Roman"/>
      <w:sz w:val="16"/>
      <w:szCs w:val="16"/>
      <w:lang w:eastAsia="ru-RU"/>
    </w:rPr>
  </w:style>
  <w:style w:type="character" w:customStyle="1" w:styleId="33">
    <w:name w:val="Основной текст 3 Знак"/>
    <w:basedOn w:val="a0"/>
    <w:link w:val="32"/>
    <w:rsid w:val="003B67F9"/>
    <w:rPr>
      <w:rFonts w:eastAsia="Times New Roman"/>
      <w:sz w:val="16"/>
      <w:szCs w:val="16"/>
      <w:lang w:eastAsia="ru-RU"/>
    </w:rPr>
  </w:style>
  <w:style w:type="paragraph" w:styleId="34">
    <w:name w:val="Body Text Indent 3"/>
    <w:basedOn w:val="a"/>
    <w:link w:val="35"/>
    <w:semiHidden/>
    <w:unhideWhenUsed/>
    <w:rsid w:val="003B67F9"/>
    <w:pPr>
      <w:spacing w:after="120" w:line="240" w:lineRule="auto"/>
      <w:ind w:left="283"/>
      <w:jc w:val="left"/>
    </w:pPr>
    <w:rPr>
      <w:rFonts w:eastAsia="Times New Roman"/>
      <w:sz w:val="16"/>
      <w:szCs w:val="16"/>
      <w:lang w:eastAsia="ru-RU"/>
    </w:rPr>
  </w:style>
  <w:style w:type="character" w:customStyle="1" w:styleId="35">
    <w:name w:val="Основной текст с отступом 3 Знак"/>
    <w:basedOn w:val="a0"/>
    <w:link w:val="34"/>
    <w:semiHidden/>
    <w:rsid w:val="003B67F9"/>
    <w:rPr>
      <w:rFonts w:eastAsia="Times New Roman"/>
      <w:sz w:val="16"/>
      <w:szCs w:val="16"/>
      <w:lang w:eastAsia="ru-RU"/>
    </w:rPr>
  </w:style>
  <w:style w:type="paragraph" w:styleId="aff">
    <w:name w:val="Plain Text"/>
    <w:basedOn w:val="a"/>
    <w:link w:val="aff0"/>
    <w:unhideWhenUsed/>
    <w:rsid w:val="003B67F9"/>
    <w:pPr>
      <w:spacing w:line="240" w:lineRule="auto"/>
      <w:jc w:val="left"/>
    </w:pPr>
    <w:rPr>
      <w:rFonts w:ascii="Courier New" w:eastAsia="Times New Roman" w:hAnsi="Courier New" w:cs="Courier New"/>
      <w:sz w:val="20"/>
      <w:szCs w:val="20"/>
      <w:lang w:eastAsia="ru-RU"/>
    </w:rPr>
  </w:style>
  <w:style w:type="character" w:customStyle="1" w:styleId="aff0">
    <w:name w:val="Текст Знак"/>
    <w:basedOn w:val="a0"/>
    <w:link w:val="aff"/>
    <w:rsid w:val="003B67F9"/>
    <w:rPr>
      <w:rFonts w:ascii="Courier New" w:eastAsia="Times New Roman" w:hAnsi="Courier New" w:cs="Courier New"/>
      <w:sz w:val="20"/>
      <w:szCs w:val="20"/>
      <w:lang w:eastAsia="ru-RU"/>
    </w:rPr>
  </w:style>
  <w:style w:type="paragraph" w:customStyle="1" w:styleId="CharChar">
    <w:name w:val="Char Char"/>
    <w:basedOn w:val="a"/>
    <w:rsid w:val="003B67F9"/>
    <w:pPr>
      <w:spacing w:line="240" w:lineRule="auto"/>
      <w:jc w:val="left"/>
    </w:pPr>
    <w:rPr>
      <w:rFonts w:ascii="Verdana" w:eastAsia="Times New Roman" w:hAnsi="Verdana"/>
      <w:sz w:val="20"/>
      <w:szCs w:val="20"/>
      <w:lang w:val="en-US"/>
    </w:rPr>
  </w:style>
  <w:style w:type="paragraph" w:customStyle="1" w:styleId="-12-">
    <w:name w:val="Блок-схема12-"/>
    <w:rsid w:val="003B67F9"/>
    <w:pPr>
      <w:spacing w:line="240" w:lineRule="auto"/>
      <w:jc w:val="center"/>
    </w:pPr>
    <w:rPr>
      <w:rFonts w:ascii="Arial" w:eastAsia="Times New Roman" w:hAnsi="Arial"/>
      <w:b/>
      <w:noProof/>
      <w:sz w:val="24"/>
      <w:szCs w:val="20"/>
      <w:lang w:val="ru-RU" w:eastAsia="ru-RU"/>
    </w:rPr>
  </w:style>
  <w:style w:type="paragraph" w:customStyle="1" w:styleId="aff1">
    <w:name w:val="Знак Знак Знак Знак"/>
    <w:basedOn w:val="a"/>
    <w:rsid w:val="003B67F9"/>
    <w:pPr>
      <w:spacing w:line="240" w:lineRule="auto"/>
      <w:jc w:val="left"/>
    </w:pPr>
    <w:rPr>
      <w:rFonts w:ascii="Verdana" w:eastAsia="Times New Roman" w:hAnsi="Verdana"/>
      <w:sz w:val="20"/>
      <w:szCs w:val="20"/>
      <w:lang w:val="en-US"/>
    </w:rPr>
  </w:style>
  <w:style w:type="paragraph" w:customStyle="1" w:styleId="aff2">
    <w:name w:val="Знак Знак Знак"/>
    <w:basedOn w:val="a"/>
    <w:rsid w:val="003B67F9"/>
    <w:pPr>
      <w:spacing w:line="240" w:lineRule="auto"/>
      <w:jc w:val="left"/>
    </w:pPr>
    <w:rPr>
      <w:rFonts w:ascii="Verdana" w:eastAsia="Times New Roman" w:hAnsi="Verdana" w:cs="Verdana"/>
      <w:sz w:val="20"/>
      <w:szCs w:val="20"/>
      <w:lang w:val="en-US"/>
    </w:rPr>
  </w:style>
  <w:style w:type="paragraph" w:customStyle="1" w:styleId="aff3">
    <w:name w:val="Знак"/>
    <w:basedOn w:val="a"/>
    <w:uiPriority w:val="99"/>
    <w:rsid w:val="003B67F9"/>
    <w:pPr>
      <w:spacing w:line="240" w:lineRule="auto"/>
      <w:jc w:val="left"/>
    </w:pPr>
    <w:rPr>
      <w:rFonts w:ascii="Verdana" w:eastAsia="Times New Roman" w:hAnsi="Verdana" w:cs="Verdana"/>
      <w:sz w:val="20"/>
      <w:szCs w:val="20"/>
      <w:lang w:val="en-US" w:bidi="sa-IN"/>
    </w:rPr>
  </w:style>
  <w:style w:type="paragraph" w:customStyle="1" w:styleId="Iauiue">
    <w:name w:val="Iau?iue"/>
    <w:rsid w:val="003B67F9"/>
    <w:pPr>
      <w:widowControl w:val="0"/>
      <w:spacing w:line="240" w:lineRule="auto"/>
      <w:jc w:val="left"/>
    </w:pPr>
    <w:rPr>
      <w:rFonts w:ascii="Times New Roman CYR" w:eastAsia="Times New Roman" w:hAnsi="Times New Roman CYR"/>
      <w:szCs w:val="20"/>
      <w:lang w:val="en-GB" w:eastAsia="ru-RU"/>
    </w:rPr>
  </w:style>
  <w:style w:type="paragraph" w:customStyle="1" w:styleId="CharChar0">
    <w:name w:val="Знак Char Char Знак Знак Знак Знак"/>
    <w:basedOn w:val="a"/>
    <w:rsid w:val="003B67F9"/>
    <w:pPr>
      <w:spacing w:line="240" w:lineRule="auto"/>
      <w:jc w:val="left"/>
    </w:pPr>
    <w:rPr>
      <w:rFonts w:ascii="Verdana" w:eastAsia="Times New Roman" w:hAnsi="Verdana" w:cs="Verdana"/>
      <w:sz w:val="20"/>
      <w:szCs w:val="20"/>
      <w:lang w:val="en-US"/>
    </w:rPr>
  </w:style>
  <w:style w:type="paragraph" w:customStyle="1" w:styleId="Style1">
    <w:name w:val="Style1"/>
    <w:basedOn w:val="a"/>
    <w:rsid w:val="003B67F9"/>
    <w:pPr>
      <w:spacing w:line="312" w:lineRule="auto"/>
      <w:ind w:firstLine="851"/>
    </w:pPr>
    <w:rPr>
      <w:rFonts w:ascii="SchoolBook" w:eastAsia="Times New Roman" w:hAnsi="SchoolBook"/>
      <w:szCs w:val="20"/>
      <w:lang w:val="en-GB" w:eastAsia="ru-RU"/>
    </w:rPr>
  </w:style>
  <w:style w:type="paragraph" w:customStyle="1" w:styleId="BodyText21">
    <w:name w:val="Body Text 21"/>
    <w:basedOn w:val="a"/>
    <w:rsid w:val="003B67F9"/>
    <w:pPr>
      <w:spacing w:line="240" w:lineRule="auto"/>
      <w:jc w:val="center"/>
    </w:pPr>
    <w:rPr>
      <w:rFonts w:eastAsia="Times New Roman"/>
      <w:sz w:val="24"/>
      <w:szCs w:val="20"/>
      <w:lang w:eastAsia="ru-RU"/>
    </w:rPr>
  </w:style>
  <w:style w:type="paragraph" w:customStyle="1" w:styleId="17">
    <w:name w:val="Знак1"/>
    <w:basedOn w:val="a"/>
    <w:rsid w:val="003B67F9"/>
    <w:pPr>
      <w:spacing w:line="240" w:lineRule="auto"/>
      <w:jc w:val="left"/>
    </w:pPr>
    <w:rPr>
      <w:rFonts w:ascii="Verdana" w:eastAsia="Times New Roman" w:hAnsi="Verdana" w:cs="Verdana"/>
      <w:sz w:val="20"/>
      <w:szCs w:val="20"/>
      <w:lang w:val="en-US"/>
    </w:rPr>
  </w:style>
  <w:style w:type="paragraph" w:customStyle="1" w:styleId="Iauiue1">
    <w:name w:val="Iau?iue1"/>
    <w:rsid w:val="003B67F9"/>
    <w:pPr>
      <w:widowControl w:val="0"/>
      <w:snapToGrid w:val="0"/>
      <w:spacing w:line="240" w:lineRule="auto"/>
      <w:jc w:val="left"/>
    </w:pPr>
    <w:rPr>
      <w:rFonts w:eastAsia="Times New Roman"/>
      <w:szCs w:val="20"/>
      <w:lang w:val="en-GB" w:eastAsia="ru-RU"/>
    </w:rPr>
  </w:style>
  <w:style w:type="paragraph" w:customStyle="1" w:styleId="CharCharCharCharCharCharCharChar">
    <w:name w:val="Char Знак Знак Char Знак Знак Char Знак Знак Char Знак Знак Знак Знак Знак Знак Знак Знак Знак Знак Char Знак Char Знак Знак Char Знак Char"/>
    <w:basedOn w:val="a"/>
    <w:rsid w:val="003B67F9"/>
    <w:pPr>
      <w:spacing w:line="240" w:lineRule="auto"/>
      <w:jc w:val="left"/>
    </w:pPr>
    <w:rPr>
      <w:rFonts w:ascii="Verdana" w:eastAsia="Times New Roman" w:hAnsi="Verdana" w:cs="Verdana"/>
      <w:sz w:val="20"/>
      <w:szCs w:val="20"/>
      <w:lang w:val="en-US"/>
    </w:rPr>
  </w:style>
  <w:style w:type="paragraph" w:customStyle="1" w:styleId="aff4">
    <w:name w:val="Знак Знак Знак Знак Знак Знак Знак"/>
    <w:basedOn w:val="a"/>
    <w:rsid w:val="003B67F9"/>
    <w:pPr>
      <w:spacing w:line="240" w:lineRule="auto"/>
      <w:jc w:val="left"/>
    </w:pPr>
    <w:rPr>
      <w:rFonts w:ascii="Verdana" w:eastAsia="Times New Roman" w:hAnsi="Verdana" w:cs="Verdana"/>
      <w:sz w:val="20"/>
      <w:szCs w:val="20"/>
      <w:lang w:val="en-US"/>
    </w:rPr>
  </w:style>
  <w:style w:type="paragraph" w:customStyle="1" w:styleId="aff5">
    <w:name w:val="Нормальний текст"/>
    <w:basedOn w:val="a"/>
    <w:rsid w:val="003B67F9"/>
    <w:pPr>
      <w:spacing w:before="120" w:line="240" w:lineRule="auto"/>
      <w:ind w:firstLine="567"/>
      <w:jc w:val="left"/>
    </w:pPr>
    <w:rPr>
      <w:rFonts w:ascii="Antiqua" w:eastAsia="Times New Roman" w:hAnsi="Antiqua"/>
      <w:sz w:val="26"/>
      <w:szCs w:val="20"/>
      <w:lang w:eastAsia="ru-RU"/>
    </w:rPr>
  </w:style>
  <w:style w:type="paragraph" w:customStyle="1" w:styleId="msonormalbullet2gifbullet1gifbullet3gifbullet2gif">
    <w:name w:val="msonormalbullet2gifbullet1gifbullet3gifbullet2.gif"/>
    <w:basedOn w:val="a"/>
    <w:rsid w:val="003B67F9"/>
    <w:pPr>
      <w:spacing w:before="100" w:beforeAutospacing="1" w:after="100" w:afterAutospacing="1" w:line="240" w:lineRule="auto"/>
      <w:jc w:val="left"/>
    </w:pPr>
    <w:rPr>
      <w:rFonts w:eastAsia="Times New Roman"/>
      <w:sz w:val="24"/>
      <w:szCs w:val="24"/>
      <w:lang w:eastAsia="ru-RU"/>
    </w:rPr>
  </w:style>
  <w:style w:type="paragraph" w:customStyle="1" w:styleId="aff6">
    <w:name w:val="Стиль"/>
    <w:rsid w:val="003B67F9"/>
    <w:pPr>
      <w:widowControl w:val="0"/>
      <w:autoSpaceDE w:val="0"/>
      <w:autoSpaceDN w:val="0"/>
      <w:adjustRightInd w:val="0"/>
      <w:spacing w:line="240" w:lineRule="auto"/>
      <w:jc w:val="left"/>
    </w:pPr>
    <w:rPr>
      <w:rFonts w:eastAsia="MS Mincho"/>
      <w:sz w:val="24"/>
      <w:szCs w:val="24"/>
      <w:lang w:val="ru-RU" w:eastAsia="ja-JP"/>
    </w:rPr>
  </w:style>
  <w:style w:type="paragraph" w:customStyle="1" w:styleId="P8">
    <w:name w:val="P8"/>
    <w:basedOn w:val="a"/>
    <w:rsid w:val="003B67F9"/>
    <w:pPr>
      <w:overflowPunct w:val="0"/>
      <w:autoSpaceDE w:val="0"/>
      <w:autoSpaceDN w:val="0"/>
      <w:adjustRightInd w:val="0"/>
      <w:spacing w:line="240" w:lineRule="auto"/>
    </w:pPr>
    <w:rPr>
      <w:rFonts w:ascii="Baltica" w:eastAsia="Times New Roman" w:hAnsi="Baltica"/>
      <w:sz w:val="20"/>
      <w:szCs w:val="20"/>
      <w:lang w:val="en-US" w:eastAsia="ru-RU"/>
    </w:rPr>
  </w:style>
  <w:style w:type="paragraph" w:customStyle="1" w:styleId="211">
    <w:name w:val="Основной текст 21"/>
    <w:basedOn w:val="a"/>
    <w:uiPriority w:val="99"/>
    <w:rsid w:val="003B67F9"/>
    <w:pPr>
      <w:spacing w:line="276" w:lineRule="auto"/>
      <w:ind w:firstLine="709"/>
    </w:pPr>
    <w:rPr>
      <w:rFonts w:ascii="Times New Roman CYR" w:eastAsia="Times New Roman" w:hAnsi="Times New Roman CYR"/>
      <w:szCs w:val="20"/>
      <w:lang w:eastAsia="ru-RU"/>
    </w:rPr>
  </w:style>
  <w:style w:type="paragraph" w:customStyle="1" w:styleId="110">
    <w:name w:val="1 Знак Знак Знак Знак Знак Знак Знак Знак Знак Знак Знак Знак1 Знак"/>
    <w:basedOn w:val="a"/>
    <w:uiPriority w:val="99"/>
    <w:rsid w:val="003B67F9"/>
    <w:pPr>
      <w:spacing w:line="240" w:lineRule="auto"/>
      <w:jc w:val="left"/>
    </w:pPr>
    <w:rPr>
      <w:rFonts w:ascii="Verdana" w:eastAsia="Times New Roman" w:hAnsi="Verdana" w:cs="Verdana"/>
      <w:sz w:val="20"/>
      <w:szCs w:val="20"/>
      <w:lang w:val="en-US"/>
    </w:rPr>
  </w:style>
  <w:style w:type="paragraph" w:customStyle="1" w:styleId="Style8">
    <w:name w:val="Style8"/>
    <w:basedOn w:val="a"/>
    <w:rsid w:val="003B67F9"/>
    <w:pPr>
      <w:widowControl w:val="0"/>
      <w:autoSpaceDE w:val="0"/>
      <w:autoSpaceDN w:val="0"/>
      <w:adjustRightInd w:val="0"/>
      <w:spacing w:line="266" w:lineRule="exact"/>
      <w:ind w:firstLine="283"/>
    </w:pPr>
    <w:rPr>
      <w:rFonts w:ascii="Calibri" w:eastAsia="Times New Roman" w:hAnsi="Calibri"/>
      <w:sz w:val="24"/>
      <w:szCs w:val="24"/>
      <w:lang w:eastAsia="ru-RU"/>
    </w:rPr>
  </w:style>
  <w:style w:type="paragraph" w:customStyle="1" w:styleId="Style23">
    <w:name w:val="Style23"/>
    <w:basedOn w:val="a"/>
    <w:rsid w:val="003B67F9"/>
    <w:pPr>
      <w:widowControl w:val="0"/>
      <w:autoSpaceDE w:val="0"/>
      <w:autoSpaceDN w:val="0"/>
      <w:adjustRightInd w:val="0"/>
      <w:spacing w:line="277" w:lineRule="exact"/>
      <w:ind w:firstLine="288"/>
    </w:pPr>
    <w:rPr>
      <w:rFonts w:ascii="Calibri" w:eastAsia="Times New Roman" w:hAnsi="Calibri"/>
      <w:sz w:val="24"/>
      <w:szCs w:val="24"/>
      <w:lang w:eastAsia="ru-RU"/>
    </w:rPr>
  </w:style>
  <w:style w:type="character" w:customStyle="1" w:styleId="36">
    <w:name w:val="Основной текст (3)_"/>
    <w:basedOn w:val="a0"/>
    <w:link w:val="310"/>
    <w:locked/>
    <w:rsid w:val="003B67F9"/>
    <w:rPr>
      <w:sz w:val="16"/>
      <w:szCs w:val="16"/>
      <w:shd w:val="clear" w:color="auto" w:fill="FFFFFF"/>
    </w:rPr>
  </w:style>
  <w:style w:type="paragraph" w:customStyle="1" w:styleId="310">
    <w:name w:val="Основной текст (3)1"/>
    <w:basedOn w:val="a"/>
    <w:link w:val="36"/>
    <w:rsid w:val="003B67F9"/>
    <w:pPr>
      <w:shd w:val="clear" w:color="auto" w:fill="FFFFFF"/>
      <w:spacing w:line="240" w:lineRule="atLeast"/>
      <w:jc w:val="left"/>
    </w:pPr>
    <w:rPr>
      <w:sz w:val="16"/>
      <w:szCs w:val="16"/>
    </w:rPr>
  </w:style>
  <w:style w:type="character" w:customStyle="1" w:styleId="42">
    <w:name w:val="Основной текст (4)_"/>
    <w:basedOn w:val="a0"/>
    <w:link w:val="43"/>
    <w:locked/>
    <w:rsid w:val="003B67F9"/>
    <w:rPr>
      <w:b/>
      <w:bCs/>
      <w:sz w:val="18"/>
      <w:szCs w:val="18"/>
      <w:shd w:val="clear" w:color="auto" w:fill="FFFFFF"/>
    </w:rPr>
  </w:style>
  <w:style w:type="paragraph" w:customStyle="1" w:styleId="43">
    <w:name w:val="Основной текст (4)"/>
    <w:basedOn w:val="a"/>
    <w:link w:val="42"/>
    <w:rsid w:val="003B67F9"/>
    <w:pPr>
      <w:shd w:val="clear" w:color="auto" w:fill="FFFFFF"/>
      <w:spacing w:line="226" w:lineRule="exact"/>
      <w:jc w:val="left"/>
    </w:pPr>
    <w:rPr>
      <w:b/>
      <w:bCs/>
      <w:sz w:val="18"/>
      <w:szCs w:val="18"/>
    </w:rPr>
  </w:style>
  <w:style w:type="character" w:customStyle="1" w:styleId="aff7">
    <w:name w:val="текст дис Знак"/>
    <w:basedOn w:val="a0"/>
    <w:link w:val="aff8"/>
    <w:locked/>
    <w:rsid w:val="003B67F9"/>
    <w:rPr>
      <w:color w:val="000000"/>
      <w:szCs w:val="24"/>
      <w:shd w:val="clear" w:color="auto" w:fill="FFFFFF"/>
    </w:rPr>
  </w:style>
  <w:style w:type="paragraph" w:customStyle="1" w:styleId="aff8">
    <w:name w:val="текст дис"/>
    <w:basedOn w:val="a"/>
    <w:link w:val="aff7"/>
    <w:rsid w:val="003B67F9"/>
    <w:pPr>
      <w:widowControl w:val="0"/>
      <w:shd w:val="clear" w:color="auto" w:fill="FFFFFF"/>
      <w:tabs>
        <w:tab w:val="left" w:pos="6120"/>
      </w:tabs>
      <w:ind w:firstLine="720"/>
    </w:pPr>
    <w:rPr>
      <w:color w:val="000000"/>
      <w:szCs w:val="24"/>
    </w:rPr>
  </w:style>
  <w:style w:type="paragraph" w:customStyle="1" w:styleId="aff9">
    <w:name w:val="Установа"/>
    <w:basedOn w:val="a"/>
    <w:rsid w:val="003B67F9"/>
    <w:pPr>
      <w:keepNext/>
      <w:keepLines/>
      <w:spacing w:before="120" w:line="240" w:lineRule="auto"/>
      <w:jc w:val="center"/>
    </w:pPr>
    <w:rPr>
      <w:rFonts w:ascii="Antiqua" w:eastAsia="Times New Roman" w:hAnsi="Antiqua"/>
      <w:b/>
      <w:i/>
      <w:caps/>
      <w:sz w:val="48"/>
      <w:szCs w:val="20"/>
      <w:lang w:eastAsia="ru-RU"/>
    </w:rPr>
  </w:style>
  <w:style w:type="character" w:customStyle="1" w:styleId="26">
    <w:name w:val="Основной текст (2)_"/>
    <w:link w:val="27"/>
    <w:locked/>
    <w:rsid w:val="003B67F9"/>
    <w:rPr>
      <w:b/>
      <w:bCs/>
      <w:sz w:val="26"/>
      <w:szCs w:val="26"/>
      <w:shd w:val="clear" w:color="auto" w:fill="FFFFFF"/>
    </w:rPr>
  </w:style>
  <w:style w:type="paragraph" w:customStyle="1" w:styleId="27">
    <w:name w:val="Основной текст (2)"/>
    <w:basedOn w:val="a"/>
    <w:link w:val="26"/>
    <w:rsid w:val="003B67F9"/>
    <w:pPr>
      <w:shd w:val="clear" w:color="auto" w:fill="FFFFFF"/>
      <w:spacing w:line="312" w:lineRule="exact"/>
      <w:jc w:val="right"/>
    </w:pPr>
    <w:rPr>
      <w:b/>
      <w:bCs/>
      <w:sz w:val="26"/>
      <w:szCs w:val="26"/>
    </w:rPr>
  </w:style>
  <w:style w:type="character" w:customStyle="1" w:styleId="affa">
    <w:name w:val="мій стиль Знак"/>
    <w:link w:val="affb"/>
    <w:locked/>
    <w:rsid w:val="003B67F9"/>
    <w:rPr>
      <w:kern w:val="28"/>
      <w:szCs w:val="28"/>
    </w:rPr>
  </w:style>
  <w:style w:type="paragraph" w:customStyle="1" w:styleId="affb">
    <w:name w:val="мій стиль"/>
    <w:basedOn w:val="a"/>
    <w:link w:val="affa"/>
    <w:rsid w:val="003B67F9"/>
    <w:pPr>
      <w:spacing w:line="240" w:lineRule="auto"/>
      <w:ind w:firstLine="709"/>
    </w:pPr>
    <w:rPr>
      <w:kern w:val="28"/>
      <w:szCs w:val="28"/>
    </w:rPr>
  </w:style>
  <w:style w:type="character" w:customStyle="1" w:styleId="90">
    <w:name w:val="Основной текст (9)_"/>
    <w:basedOn w:val="a0"/>
    <w:link w:val="91"/>
    <w:locked/>
    <w:rsid w:val="003B67F9"/>
    <w:rPr>
      <w:sz w:val="23"/>
      <w:szCs w:val="23"/>
      <w:shd w:val="clear" w:color="auto" w:fill="FFFFFF"/>
    </w:rPr>
  </w:style>
  <w:style w:type="paragraph" w:customStyle="1" w:styleId="91">
    <w:name w:val="Основной текст (9)"/>
    <w:basedOn w:val="a"/>
    <w:link w:val="90"/>
    <w:rsid w:val="003B67F9"/>
    <w:pPr>
      <w:shd w:val="clear" w:color="auto" w:fill="FFFFFF"/>
      <w:spacing w:line="240" w:lineRule="atLeast"/>
      <w:jc w:val="left"/>
    </w:pPr>
    <w:rPr>
      <w:sz w:val="23"/>
      <w:szCs w:val="23"/>
    </w:rPr>
  </w:style>
  <w:style w:type="character" w:customStyle="1" w:styleId="48">
    <w:name w:val="Основной текст (48)_"/>
    <w:basedOn w:val="a0"/>
    <w:link w:val="480"/>
    <w:locked/>
    <w:rsid w:val="003B67F9"/>
    <w:rPr>
      <w:b/>
      <w:bCs/>
      <w:sz w:val="23"/>
      <w:szCs w:val="23"/>
      <w:shd w:val="clear" w:color="auto" w:fill="FFFFFF"/>
    </w:rPr>
  </w:style>
  <w:style w:type="paragraph" w:customStyle="1" w:styleId="480">
    <w:name w:val="Основной текст (48)"/>
    <w:basedOn w:val="a"/>
    <w:link w:val="48"/>
    <w:rsid w:val="003B67F9"/>
    <w:pPr>
      <w:shd w:val="clear" w:color="auto" w:fill="FFFFFF"/>
      <w:spacing w:line="240" w:lineRule="atLeast"/>
      <w:jc w:val="left"/>
    </w:pPr>
    <w:rPr>
      <w:b/>
      <w:bCs/>
      <w:sz w:val="23"/>
      <w:szCs w:val="23"/>
    </w:rPr>
  </w:style>
  <w:style w:type="character" w:customStyle="1" w:styleId="18">
    <w:name w:val="Заголовок №1_"/>
    <w:basedOn w:val="a0"/>
    <w:link w:val="19"/>
    <w:locked/>
    <w:rsid w:val="003B67F9"/>
    <w:rPr>
      <w:b/>
      <w:bCs/>
      <w:sz w:val="42"/>
      <w:szCs w:val="42"/>
      <w:shd w:val="clear" w:color="auto" w:fill="FFFFFF"/>
    </w:rPr>
  </w:style>
  <w:style w:type="paragraph" w:customStyle="1" w:styleId="19">
    <w:name w:val="Заголовок №1"/>
    <w:basedOn w:val="a"/>
    <w:link w:val="18"/>
    <w:rsid w:val="003B67F9"/>
    <w:pPr>
      <w:shd w:val="clear" w:color="auto" w:fill="FFFFFF"/>
      <w:spacing w:after="120" w:line="240" w:lineRule="atLeast"/>
      <w:jc w:val="center"/>
      <w:outlineLvl w:val="0"/>
    </w:pPr>
    <w:rPr>
      <w:b/>
      <w:bCs/>
      <w:sz w:val="42"/>
      <w:szCs w:val="42"/>
    </w:rPr>
  </w:style>
  <w:style w:type="character" w:customStyle="1" w:styleId="affc">
    <w:name w:val="Колонтитул_"/>
    <w:basedOn w:val="a0"/>
    <w:link w:val="affd"/>
    <w:locked/>
    <w:rsid w:val="003B67F9"/>
    <w:rPr>
      <w:shd w:val="clear" w:color="auto" w:fill="FFFFFF"/>
    </w:rPr>
  </w:style>
  <w:style w:type="paragraph" w:customStyle="1" w:styleId="affd">
    <w:name w:val="Колонтитул"/>
    <w:basedOn w:val="a"/>
    <w:link w:val="affc"/>
    <w:rsid w:val="003B67F9"/>
    <w:pPr>
      <w:shd w:val="clear" w:color="auto" w:fill="FFFFFF"/>
      <w:spacing w:line="240" w:lineRule="auto"/>
      <w:jc w:val="left"/>
    </w:pPr>
  </w:style>
  <w:style w:type="character" w:customStyle="1" w:styleId="52">
    <w:name w:val="Основной текст (5)_"/>
    <w:basedOn w:val="a0"/>
    <w:link w:val="53"/>
    <w:locked/>
    <w:rsid w:val="003B67F9"/>
    <w:rPr>
      <w:rFonts w:ascii="Arial" w:hAnsi="Arial" w:cs="Arial"/>
      <w:sz w:val="29"/>
      <w:szCs w:val="29"/>
      <w:shd w:val="clear" w:color="auto" w:fill="FFFFFF"/>
    </w:rPr>
  </w:style>
  <w:style w:type="paragraph" w:customStyle="1" w:styleId="53">
    <w:name w:val="Основной текст (5)"/>
    <w:basedOn w:val="a"/>
    <w:link w:val="52"/>
    <w:rsid w:val="003B67F9"/>
    <w:pPr>
      <w:shd w:val="clear" w:color="auto" w:fill="FFFFFF"/>
      <w:spacing w:after="60" w:line="240" w:lineRule="atLeast"/>
      <w:jc w:val="left"/>
    </w:pPr>
    <w:rPr>
      <w:rFonts w:ascii="Arial" w:hAnsi="Arial" w:cs="Arial"/>
      <w:sz w:val="29"/>
      <w:szCs w:val="29"/>
    </w:rPr>
  </w:style>
  <w:style w:type="character" w:customStyle="1" w:styleId="62">
    <w:name w:val="Основной текст (6)_"/>
    <w:basedOn w:val="a0"/>
    <w:link w:val="610"/>
    <w:locked/>
    <w:rsid w:val="003B67F9"/>
    <w:rPr>
      <w:rFonts w:ascii="Arial" w:hAnsi="Arial" w:cs="Arial"/>
      <w:i/>
      <w:iCs/>
      <w:shd w:val="clear" w:color="auto" w:fill="FFFFFF"/>
    </w:rPr>
  </w:style>
  <w:style w:type="paragraph" w:customStyle="1" w:styleId="610">
    <w:name w:val="Основной текст (6)1"/>
    <w:basedOn w:val="a"/>
    <w:link w:val="62"/>
    <w:rsid w:val="003B67F9"/>
    <w:pPr>
      <w:shd w:val="clear" w:color="auto" w:fill="FFFFFF"/>
      <w:spacing w:before="60" w:after="60" w:line="240" w:lineRule="atLeast"/>
      <w:jc w:val="left"/>
    </w:pPr>
    <w:rPr>
      <w:rFonts w:ascii="Arial" w:hAnsi="Arial" w:cs="Arial"/>
      <w:i/>
      <w:iCs/>
    </w:rPr>
  </w:style>
  <w:style w:type="character" w:customStyle="1" w:styleId="190">
    <w:name w:val="Основной текст (19)_"/>
    <w:basedOn w:val="a0"/>
    <w:link w:val="191"/>
    <w:locked/>
    <w:rsid w:val="003B67F9"/>
    <w:rPr>
      <w:rFonts w:ascii="Arial" w:hAnsi="Arial" w:cs="Arial"/>
      <w:b/>
      <w:bCs/>
      <w:sz w:val="36"/>
      <w:szCs w:val="36"/>
      <w:shd w:val="clear" w:color="auto" w:fill="FFFFFF"/>
    </w:rPr>
  </w:style>
  <w:style w:type="paragraph" w:customStyle="1" w:styleId="191">
    <w:name w:val="Основной текст (19)"/>
    <w:basedOn w:val="a"/>
    <w:link w:val="190"/>
    <w:rsid w:val="003B67F9"/>
    <w:pPr>
      <w:shd w:val="clear" w:color="auto" w:fill="FFFFFF"/>
      <w:spacing w:after="120" w:line="240" w:lineRule="atLeast"/>
      <w:jc w:val="left"/>
    </w:pPr>
    <w:rPr>
      <w:rFonts w:ascii="Arial" w:hAnsi="Arial" w:cs="Arial"/>
      <w:b/>
      <w:bCs/>
      <w:sz w:val="36"/>
      <w:szCs w:val="36"/>
    </w:rPr>
  </w:style>
  <w:style w:type="character" w:customStyle="1" w:styleId="200">
    <w:name w:val="Основной текст (20)_"/>
    <w:basedOn w:val="a0"/>
    <w:link w:val="201"/>
    <w:locked/>
    <w:rsid w:val="003B67F9"/>
    <w:rPr>
      <w:rFonts w:ascii="Arial" w:hAnsi="Arial" w:cs="Arial"/>
      <w:sz w:val="25"/>
      <w:szCs w:val="25"/>
      <w:shd w:val="clear" w:color="auto" w:fill="FFFFFF"/>
    </w:rPr>
  </w:style>
  <w:style w:type="paragraph" w:customStyle="1" w:styleId="201">
    <w:name w:val="Основной текст (20)"/>
    <w:basedOn w:val="a"/>
    <w:link w:val="200"/>
    <w:rsid w:val="003B67F9"/>
    <w:pPr>
      <w:shd w:val="clear" w:color="auto" w:fill="FFFFFF"/>
      <w:spacing w:before="120" w:after="120" w:line="240" w:lineRule="atLeast"/>
      <w:jc w:val="left"/>
    </w:pPr>
    <w:rPr>
      <w:rFonts w:ascii="Arial" w:hAnsi="Arial" w:cs="Arial"/>
      <w:sz w:val="25"/>
      <w:szCs w:val="25"/>
    </w:rPr>
  </w:style>
  <w:style w:type="character" w:customStyle="1" w:styleId="28">
    <w:name w:val="Подпись к таблице (2)_"/>
    <w:basedOn w:val="a0"/>
    <w:link w:val="29"/>
    <w:uiPriority w:val="99"/>
    <w:locked/>
    <w:rsid w:val="003B67F9"/>
    <w:rPr>
      <w:rFonts w:ascii="Arial" w:hAnsi="Arial" w:cs="Arial"/>
      <w:i/>
      <w:iCs/>
      <w:shd w:val="clear" w:color="auto" w:fill="FFFFFF"/>
    </w:rPr>
  </w:style>
  <w:style w:type="paragraph" w:customStyle="1" w:styleId="29">
    <w:name w:val="Подпись к таблице (2)"/>
    <w:basedOn w:val="a"/>
    <w:link w:val="28"/>
    <w:uiPriority w:val="99"/>
    <w:rsid w:val="003B67F9"/>
    <w:pPr>
      <w:shd w:val="clear" w:color="auto" w:fill="FFFFFF"/>
      <w:spacing w:line="240" w:lineRule="atLeast"/>
      <w:jc w:val="left"/>
    </w:pPr>
    <w:rPr>
      <w:rFonts w:ascii="Arial" w:hAnsi="Arial" w:cs="Arial"/>
      <w:i/>
      <w:iCs/>
    </w:rPr>
  </w:style>
  <w:style w:type="character" w:customStyle="1" w:styleId="101">
    <w:name w:val="Основной текст (10)_"/>
    <w:basedOn w:val="a0"/>
    <w:link w:val="102"/>
    <w:locked/>
    <w:rsid w:val="003B67F9"/>
    <w:rPr>
      <w:rFonts w:ascii="Arial" w:hAnsi="Arial" w:cs="Arial"/>
      <w:sz w:val="14"/>
      <w:szCs w:val="14"/>
      <w:shd w:val="clear" w:color="auto" w:fill="FFFFFF"/>
    </w:rPr>
  </w:style>
  <w:style w:type="paragraph" w:customStyle="1" w:styleId="102">
    <w:name w:val="Основной текст (10)"/>
    <w:basedOn w:val="a"/>
    <w:link w:val="101"/>
    <w:rsid w:val="003B67F9"/>
    <w:pPr>
      <w:shd w:val="clear" w:color="auto" w:fill="FFFFFF"/>
      <w:spacing w:line="240" w:lineRule="atLeast"/>
      <w:jc w:val="left"/>
    </w:pPr>
    <w:rPr>
      <w:rFonts w:ascii="Arial" w:hAnsi="Arial" w:cs="Arial"/>
      <w:sz w:val="14"/>
      <w:szCs w:val="14"/>
    </w:rPr>
  </w:style>
  <w:style w:type="character" w:customStyle="1" w:styleId="111">
    <w:name w:val="Основной текст (11)_"/>
    <w:basedOn w:val="a0"/>
    <w:link w:val="112"/>
    <w:locked/>
    <w:rsid w:val="003B67F9"/>
    <w:rPr>
      <w:b/>
      <w:bCs/>
      <w:sz w:val="19"/>
      <w:szCs w:val="19"/>
      <w:shd w:val="clear" w:color="auto" w:fill="FFFFFF"/>
    </w:rPr>
  </w:style>
  <w:style w:type="paragraph" w:customStyle="1" w:styleId="112">
    <w:name w:val="Основной текст (11)"/>
    <w:basedOn w:val="a"/>
    <w:link w:val="111"/>
    <w:rsid w:val="003B67F9"/>
    <w:pPr>
      <w:shd w:val="clear" w:color="auto" w:fill="FFFFFF"/>
      <w:spacing w:line="240" w:lineRule="atLeast"/>
      <w:jc w:val="center"/>
    </w:pPr>
    <w:rPr>
      <w:b/>
      <w:bCs/>
      <w:sz w:val="19"/>
      <w:szCs w:val="19"/>
    </w:rPr>
  </w:style>
  <w:style w:type="character" w:customStyle="1" w:styleId="130">
    <w:name w:val="Основной текст (13)_"/>
    <w:basedOn w:val="a0"/>
    <w:link w:val="131"/>
    <w:locked/>
    <w:rsid w:val="003B67F9"/>
    <w:rPr>
      <w:rFonts w:ascii="Franklin Gothic Medium" w:hAnsi="Franklin Gothic Medium"/>
      <w:b/>
      <w:bCs/>
      <w:noProof/>
      <w:sz w:val="16"/>
      <w:szCs w:val="16"/>
      <w:shd w:val="clear" w:color="auto" w:fill="FFFFFF"/>
    </w:rPr>
  </w:style>
  <w:style w:type="paragraph" w:customStyle="1" w:styleId="131">
    <w:name w:val="Основной текст (13)"/>
    <w:basedOn w:val="a"/>
    <w:link w:val="130"/>
    <w:rsid w:val="003B67F9"/>
    <w:pPr>
      <w:shd w:val="clear" w:color="auto" w:fill="FFFFFF"/>
      <w:spacing w:after="60" w:line="240" w:lineRule="atLeast"/>
      <w:jc w:val="center"/>
    </w:pPr>
    <w:rPr>
      <w:rFonts w:ascii="Franklin Gothic Medium" w:hAnsi="Franklin Gothic Medium"/>
      <w:b/>
      <w:bCs/>
      <w:noProof/>
      <w:sz w:val="16"/>
      <w:szCs w:val="16"/>
    </w:rPr>
  </w:style>
  <w:style w:type="character" w:customStyle="1" w:styleId="120">
    <w:name w:val="Основной текст (12)_"/>
    <w:basedOn w:val="a0"/>
    <w:link w:val="121"/>
    <w:locked/>
    <w:rsid w:val="003B67F9"/>
    <w:rPr>
      <w:rFonts w:ascii="Arial" w:hAnsi="Arial" w:cs="Arial"/>
      <w:sz w:val="14"/>
      <w:szCs w:val="14"/>
      <w:shd w:val="clear" w:color="auto" w:fill="FFFFFF"/>
    </w:rPr>
  </w:style>
  <w:style w:type="paragraph" w:customStyle="1" w:styleId="121">
    <w:name w:val="Основной текст (12)"/>
    <w:basedOn w:val="a"/>
    <w:link w:val="120"/>
    <w:rsid w:val="003B67F9"/>
    <w:pPr>
      <w:shd w:val="clear" w:color="auto" w:fill="FFFFFF"/>
      <w:spacing w:line="192" w:lineRule="exact"/>
      <w:jc w:val="center"/>
    </w:pPr>
    <w:rPr>
      <w:rFonts w:ascii="Arial" w:hAnsi="Arial" w:cs="Arial"/>
      <w:sz w:val="14"/>
      <w:szCs w:val="14"/>
    </w:rPr>
  </w:style>
  <w:style w:type="character" w:customStyle="1" w:styleId="150">
    <w:name w:val="Основной текст (15)_"/>
    <w:basedOn w:val="a0"/>
    <w:link w:val="151"/>
    <w:locked/>
    <w:rsid w:val="003B67F9"/>
    <w:rPr>
      <w:noProof/>
      <w:sz w:val="17"/>
      <w:szCs w:val="17"/>
      <w:shd w:val="clear" w:color="auto" w:fill="FFFFFF"/>
    </w:rPr>
  </w:style>
  <w:style w:type="paragraph" w:customStyle="1" w:styleId="151">
    <w:name w:val="Основной текст (15)"/>
    <w:basedOn w:val="a"/>
    <w:link w:val="150"/>
    <w:rsid w:val="003B67F9"/>
    <w:pPr>
      <w:shd w:val="clear" w:color="auto" w:fill="FFFFFF"/>
      <w:spacing w:after="60" w:line="240" w:lineRule="atLeast"/>
      <w:jc w:val="center"/>
    </w:pPr>
    <w:rPr>
      <w:noProof/>
      <w:sz w:val="17"/>
      <w:szCs w:val="17"/>
    </w:rPr>
  </w:style>
  <w:style w:type="character" w:customStyle="1" w:styleId="180">
    <w:name w:val="Основной текст (18)_"/>
    <w:basedOn w:val="a0"/>
    <w:link w:val="181"/>
    <w:locked/>
    <w:rsid w:val="003B67F9"/>
    <w:rPr>
      <w:rFonts w:ascii="Arial" w:hAnsi="Arial" w:cs="Arial"/>
      <w:noProof/>
      <w:sz w:val="14"/>
      <w:szCs w:val="14"/>
      <w:shd w:val="clear" w:color="auto" w:fill="FFFFFF"/>
    </w:rPr>
  </w:style>
  <w:style w:type="paragraph" w:customStyle="1" w:styleId="181">
    <w:name w:val="Основной текст (18)"/>
    <w:basedOn w:val="a"/>
    <w:link w:val="180"/>
    <w:rsid w:val="003B67F9"/>
    <w:pPr>
      <w:shd w:val="clear" w:color="auto" w:fill="FFFFFF"/>
      <w:spacing w:line="240" w:lineRule="atLeast"/>
      <w:jc w:val="center"/>
    </w:pPr>
    <w:rPr>
      <w:rFonts w:ascii="Arial" w:hAnsi="Arial" w:cs="Arial"/>
      <w:noProof/>
      <w:sz w:val="14"/>
      <w:szCs w:val="14"/>
    </w:rPr>
  </w:style>
  <w:style w:type="character" w:customStyle="1" w:styleId="80">
    <w:name w:val="Основной текст (8)_"/>
    <w:basedOn w:val="a0"/>
    <w:link w:val="81"/>
    <w:locked/>
    <w:rsid w:val="003B67F9"/>
    <w:rPr>
      <w:noProof/>
      <w:shd w:val="clear" w:color="auto" w:fill="FFFFFF"/>
    </w:rPr>
  </w:style>
  <w:style w:type="paragraph" w:customStyle="1" w:styleId="81">
    <w:name w:val="Основной текст (8)"/>
    <w:basedOn w:val="a"/>
    <w:link w:val="80"/>
    <w:rsid w:val="003B67F9"/>
    <w:pPr>
      <w:shd w:val="clear" w:color="auto" w:fill="FFFFFF"/>
      <w:spacing w:line="240" w:lineRule="atLeast"/>
      <w:jc w:val="left"/>
    </w:pPr>
    <w:rPr>
      <w:noProof/>
    </w:rPr>
  </w:style>
  <w:style w:type="character" w:customStyle="1" w:styleId="140">
    <w:name w:val="Основной текст (14)_"/>
    <w:basedOn w:val="a0"/>
    <w:link w:val="141"/>
    <w:locked/>
    <w:rsid w:val="003B67F9"/>
    <w:rPr>
      <w:rFonts w:ascii="Arial" w:hAnsi="Arial" w:cs="Arial"/>
      <w:b/>
      <w:bCs/>
      <w:sz w:val="14"/>
      <w:szCs w:val="14"/>
      <w:shd w:val="clear" w:color="auto" w:fill="FFFFFF"/>
    </w:rPr>
  </w:style>
  <w:style w:type="paragraph" w:customStyle="1" w:styleId="141">
    <w:name w:val="Основной текст (14)"/>
    <w:basedOn w:val="a"/>
    <w:link w:val="140"/>
    <w:rsid w:val="003B67F9"/>
    <w:pPr>
      <w:shd w:val="clear" w:color="auto" w:fill="FFFFFF"/>
      <w:spacing w:line="240" w:lineRule="atLeast"/>
      <w:jc w:val="center"/>
    </w:pPr>
    <w:rPr>
      <w:rFonts w:ascii="Arial" w:hAnsi="Arial" w:cs="Arial"/>
      <w:b/>
      <w:bCs/>
      <w:sz w:val="14"/>
      <w:szCs w:val="14"/>
    </w:rPr>
  </w:style>
  <w:style w:type="character" w:customStyle="1" w:styleId="170">
    <w:name w:val="Основной текст (17)_"/>
    <w:basedOn w:val="a0"/>
    <w:link w:val="171"/>
    <w:locked/>
    <w:rsid w:val="003B67F9"/>
    <w:rPr>
      <w:noProof/>
      <w:sz w:val="8"/>
      <w:szCs w:val="8"/>
      <w:shd w:val="clear" w:color="auto" w:fill="FFFFFF"/>
    </w:rPr>
  </w:style>
  <w:style w:type="paragraph" w:customStyle="1" w:styleId="171">
    <w:name w:val="Основной текст (17)"/>
    <w:basedOn w:val="a"/>
    <w:link w:val="170"/>
    <w:rsid w:val="003B67F9"/>
    <w:pPr>
      <w:shd w:val="clear" w:color="auto" w:fill="FFFFFF"/>
      <w:spacing w:line="240" w:lineRule="atLeast"/>
      <w:jc w:val="left"/>
    </w:pPr>
    <w:rPr>
      <w:noProof/>
      <w:sz w:val="8"/>
      <w:szCs w:val="8"/>
    </w:rPr>
  </w:style>
  <w:style w:type="character" w:customStyle="1" w:styleId="72">
    <w:name w:val="Основной текст (7)_"/>
    <w:basedOn w:val="a0"/>
    <w:link w:val="710"/>
    <w:locked/>
    <w:rsid w:val="003B67F9"/>
    <w:rPr>
      <w:sz w:val="19"/>
      <w:szCs w:val="19"/>
      <w:shd w:val="clear" w:color="auto" w:fill="FFFFFF"/>
    </w:rPr>
  </w:style>
  <w:style w:type="paragraph" w:customStyle="1" w:styleId="710">
    <w:name w:val="Основной текст (7)1"/>
    <w:basedOn w:val="a"/>
    <w:link w:val="72"/>
    <w:rsid w:val="003B67F9"/>
    <w:pPr>
      <w:shd w:val="clear" w:color="auto" w:fill="FFFFFF"/>
      <w:spacing w:line="240" w:lineRule="atLeast"/>
      <w:jc w:val="left"/>
    </w:pPr>
    <w:rPr>
      <w:sz w:val="19"/>
      <w:szCs w:val="19"/>
    </w:rPr>
  </w:style>
  <w:style w:type="character" w:customStyle="1" w:styleId="160">
    <w:name w:val="Основной текст (16)_"/>
    <w:basedOn w:val="a0"/>
    <w:link w:val="161"/>
    <w:locked/>
    <w:rsid w:val="003B67F9"/>
    <w:rPr>
      <w:rFonts w:ascii="Arial" w:hAnsi="Arial" w:cs="Arial"/>
      <w:sz w:val="16"/>
      <w:szCs w:val="16"/>
      <w:shd w:val="clear" w:color="auto" w:fill="FFFFFF"/>
    </w:rPr>
  </w:style>
  <w:style w:type="paragraph" w:customStyle="1" w:styleId="161">
    <w:name w:val="Основной текст (16)"/>
    <w:basedOn w:val="a"/>
    <w:link w:val="160"/>
    <w:rsid w:val="003B67F9"/>
    <w:pPr>
      <w:shd w:val="clear" w:color="auto" w:fill="FFFFFF"/>
      <w:spacing w:line="240" w:lineRule="atLeast"/>
    </w:pPr>
    <w:rPr>
      <w:rFonts w:ascii="Arial" w:hAnsi="Arial" w:cs="Arial"/>
      <w:sz w:val="16"/>
      <w:szCs w:val="16"/>
    </w:rPr>
  </w:style>
  <w:style w:type="character" w:customStyle="1" w:styleId="311">
    <w:name w:val="Основной текст (31)_"/>
    <w:basedOn w:val="a0"/>
    <w:link w:val="312"/>
    <w:locked/>
    <w:rsid w:val="003B67F9"/>
    <w:rPr>
      <w:rFonts w:ascii="Arial" w:hAnsi="Arial" w:cs="Arial"/>
      <w:i/>
      <w:iCs/>
      <w:sz w:val="19"/>
      <w:szCs w:val="19"/>
      <w:shd w:val="clear" w:color="auto" w:fill="FFFFFF"/>
    </w:rPr>
  </w:style>
  <w:style w:type="paragraph" w:customStyle="1" w:styleId="312">
    <w:name w:val="Основной текст (31)"/>
    <w:basedOn w:val="a"/>
    <w:link w:val="311"/>
    <w:rsid w:val="003B67F9"/>
    <w:pPr>
      <w:shd w:val="clear" w:color="auto" w:fill="FFFFFF"/>
      <w:spacing w:before="180" w:after="180" w:line="240" w:lineRule="atLeast"/>
      <w:jc w:val="left"/>
    </w:pPr>
    <w:rPr>
      <w:rFonts w:ascii="Arial" w:hAnsi="Arial" w:cs="Arial"/>
      <w:i/>
      <w:iCs/>
      <w:sz w:val="19"/>
      <w:szCs w:val="19"/>
    </w:rPr>
  </w:style>
  <w:style w:type="character" w:customStyle="1" w:styleId="320">
    <w:name w:val="Основной текст (32)_"/>
    <w:basedOn w:val="a0"/>
    <w:link w:val="321"/>
    <w:locked/>
    <w:rsid w:val="003B67F9"/>
    <w:rPr>
      <w:rFonts w:ascii="Arial" w:hAnsi="Arial" w:cs="Arial"/>
      <w:i/>
      <w:iCs/>
      <w:sz w:val="16"/>
      <w:szCs w:val="16"/>
      <w:shd w:val="clear" w:color="auto" w:fill="FFFFFF"/>
    </w:rPr>
  </w:style>
  <w:style w:type="paragraph" w:customStyle="1" w:styleId="321">
    <w:name w:val="Основной текст (32)"/>
    <w:basedOn w:val="a"/>
    <w:link w:val="320"/>
    <w:rsid w:val="003B67F9"/>
    <w:pPr>
      <w:shd w:val="clear" w:color="auto" w:fill="FFFFFF"/>
      <w:spacing w:before="180" w:after="60" w:line="240" w:lineRule="atLeast"/>
      <w:jc w:val="left"/>
    </w:pPr>
    <w:rPr>
      <w:rFonts w:ascii="Arial" w:hAnsi="Arial" w:cs="Arial"/>
      <w:i/>
      <w:iCs/>
      <w:sz w:val="16"/>
      <w:szCs w:val="16"/>
    </w:rPr>
  </w:style>
  <w:style w:type="character" w:customStyle="1" w:styleId="260">
    <w:name w:val="Основной текст (26)_"/>
    <w:basedOn w:val="a0"/>
    <w:link w:val="261"/>
    <w:locked/>
    <w:rsid w:val="003B67F9"/>
    <w:rPr>
      <w:rFonts w:ascii="Arial" w:hAnsi="Arial" w:cs="Arial"/>
      <w:i/>
      <w:iCs/>
      <w:sz w:val="13"/>
      <w:szCs w:val="13"/>
      <w:shd w:val="clear" w:color="auto" w:fill="FFFFFF"/>
    </w:rPr>
  </w:style>
  <w:style w:type="paragraph" w:customStyle="1" w:styleId="261">
    <w:name w:val="Основной текст (26)"/>
    <w:basedOn w:val="a"/>
    <w:link w:val="260"/>
    <w:rsid w:val="003B67F9"/>
    <w:pPr>
      <w:shd w:val="clear" w:color="auto" w:fill="FFFFFF"/>
      <w:spacing w:line="240" w:lineRule="atLeast"/>
      <w:jc w:val="left"/>
    </w:pPr>
    <w:rPr>
      <w:rFonts w:ascii="Arial" w:hAnsi="Arial" w:cs="Arial"/>
      <w:i/>
      <w:iCs/>
      <w:sz w:val="13"/>
      <w:szCs w:val="13"/>
    </w:rPr>
  </w:style>
  <w:style w:type="character" w:customStyle="1" w:styleId="220">
    <w:name w:val="Основной текст (22)_"/>
    <w:basedOn w:val="a0"/>
    <w:link w:val="221"/>
    <w:locked/>
    <w:rsid w:val="003B67F9"/>
    <w:rPr>
      <w:rFonts w:ascii="Arial" w:hAnsi="Arial" w:cs="Arial"/>
      <w:sz w:val="12"/>
      <w:szCs w:val="12"/>
      <w:shd w:val="clear" w:color="auto" w:fill="FFFFFF"/>
    </w:rPr>
  </w:style>
  <w:style w:type="paragraph" w:customStyle="1" w:styleId="221">
    <w:name w:val="Основной текст (22)"/>
    <w:basedOn w:val="a"/>
    <w:link w:val="220"/>
    <w:rsid w:val="003B67F9"/>
    <w:pPr>
      <w:shd w:val="clear" w:color="auto" w:fill="FFFFFF"/>
      <w:spacing w:line="240" w:lineRule="atLeast"/>
      <w:jc w:val="left"/>
    </w:pPr>
    <w:rPr>
      <w:rFonts w:ascii="Arial" w:hAnsi="Arial" w:cs="Arial"/>
      <w:sz w:val="12"/>
      <w:szCs w:val="12"/>
    </w:rPr>
  </w:style>
  <w:style w:type="character" w:customStyle="1" w:styleId="270">
    <w:name w:val="Основной текст (27)_"/>
    <w:basedOn w:val="a0"/>
    <w:link w:val="271"/>
    <w:locked/>
    <w:rsid w:val="003B67F9"/>
    <w:rPr>
      <w:i/>
      <w:iCs/>
      <w:noProof/>
      <w:sz w:val="14"/>
      <w:szCs w:val="14"/>
      <w:shd w:val="clear" w:color="auto" w:fill="FFFFFF"/>
    </w:rPr>
  </w:style>
  <w:style w:type="paragraph" w:customStyle="1" w:styleId="271">
    <w:name w:val="Основной текст (27)"/>
    <w:basedOn w:val="a"/>
    <w:link w:val="270"/>
    <w:rsid w:val="003B67F9"/>
    <w:pPr>
      <w:shd w:val="clear" w:color="auto" w:fill="FFFFFF"/>
      <w:spacing w:after="60" w:line="240" w:lineRule="atLeast"/>
    </w:pPr>
    <w:rPr>
      <w:i/>
      <w:iCs/>
      <w:noProof/>
      <w:sz w:val="14"/>
      <w:szCs w:val="14"/>
    </w:rPr>
  </w:style>
  <w:style w:type="character" w:customStyle="1" w:styleId="250">
    <w:name w:val="Основной текст (25)_"/>
    <w:basedOn w:val="a0"/>
    <w:link w:val="251"/>
    <w:locked/>
    <w:rsid w:val="003B67F9"/>
    <w:rPr>
      <w:sz w:val="12"/>
      <w:szCs w:val="12"/>
      <w:shd w:val="clear" w:color="auto" w:fill="FFFFFF"/>
    </w:rPr>
  </w:style>
  <w:style w:type="paragraph" w:customStyle="1" w:styleId="251">
    <w:name w:val="Основной текст (25)"/>
    <w:basedOn w:val="a"/>
    <w:link w:val="250"/>
    <w:rsid w:val="003B67F9"/>
    <w:pPr>
      <w:shd w:val="clear" w:color="auto" w:fill="FFFFFF"/>
      <w:spacing w:line="240" w:lineRule="atLeast"/>
    </w:pPr>
    <w:rPr>
      <w:sz w:val="12"/>
      <w:szCs w:val="12"/>
    </w:rPr>
  </w:style>
  <w:style w:type="character" w:customStyle="1" w:styleId="280">
    <w:name w:val="Основной текст (28)_"/>
    <w:basedOn w:val="a0"/>
    <w:link w:val="281"/>
    <w:locked/>
    <w:rsid w:val="003B67F9"/>
    <w:rPr>
      <w:noProof/>
      <w:sz w:val="12"/>
      <w:szCs w:val="12"/>
      <w:shd w:val="clear" w:color="auto" w:fill="FFFFFF"/>
    </w:rPr>
  </w:style>
  <w:style w:type="paragraph" w:customStyle="1" w:styleId="281">
    <w:name w:val="Основной текст (28)"/>
    <w:basedOn w:val="a"/>
    <w:link w:val="280"/>
    <w:rsid w:val="003B67F9"/>
    <w:pPr>
      <w:shd w:val="clear" w:color="auto" w:fill="FFFFFF"/>
      <w:spacing w:after="60" w:line="240" w:lineRule="atLeast"/>
    </w:pPr>
    <w:rPr>
      <w:noProof/>
      <w:sz w:val="12"/>
      <w:szCs w:val="12"/>
    </w:rPr>
  </w:style>
  <w:style w:type="character" w:customStyle="1" w:styleId="300">
    <w:name w:val="Основной текст (30)_"/>
    <w:basedOn w:val="a0"/>
    <w:link w:val="301"/>
    <w:locked/>
    <w:rsid w:val="003B67F9"/>
    <w:rPr>
      <w:noProof/>
      <w:sz w:val="13"/>
      <w:szCs w:val="13"/>
      <w:shd w:val="clear" w:color="auto" w:fill="FFFFFF"/>
    </w:rPr>
  </w:style>
  <w:style w:type="paragraph" w:customStyle="1" w:styleId="301">
    <w:name w:val="Основной текст (30)"/>
    <w:basedOn w:val="a"/>
    <w:link w:val="300"/>
    <w:rsid w:val="003B67F9"/>
    <w:pPr>
      <w:shd w:val="clear" w:color="auto" w:fill="FFFFFF"/>
      <w:spacing w:after="60" w:line="240" w:lineRule="atLeast"/>
    </w:pPr>
    <w:rPr>
      <w:noProof/>
      <w:sz w:val="13"/>
      <w:szCs w:val="13"/>
    </w:rPr>
  </w:style>
  <w:style w:type="character" w:customStyle="1" w:styleId="240">
    <w:name w:val="Основной текст (24)_"/>
    <w:basedOn w:val="a0"/>
    <w:link w:val="241"/>
    <w:locked/>
    <w:rsid w:val="003B67F9"/>
    <w:rPr>
      <w:sz w:val="10"/>
      <w:szCs w:val="10"/>
      <w:shd w:val="clear" w:color="auto" w:fill="FFFFFF"/>
    </w:rPr>
  </w:style>
  <w:style w:type="paragraph" w:customStyle="1" w:styleId="241">
    <w:name w:val="Основной текст (24)"/>
    <w:basedOn w:val="a"/>
    <w:link w:val="240"/>
    <w:rsid w:val="003B67F9"/>
    <w:pPr>
      <w:shd w:val="clear" w:color="auto" w:fill="FFFFFF"/>
      <w:spacing w:line="240" w:lineRule="atLeast"/>
    </w:pPr>
    <w:rPr>
      <w:sz w:val="10"/>
      <w:szCs w:val="10"/>
    </w:rPr>
  </w:style>
  <w:style w:type="character" w:customStyle="1" w:styleId="212">
    <w:name w:val="Основной текст (21)_"/>
    <w:basedOn w:val="a0"/>
    <w:link w:val="213"/>
    <w:locked/>
    <w:rsid w:val="003B67F9"/>
    <w:rPr>
      <w:sz w:val="17"/>
      <w:szCs w:val="17"/>
      <w:shd w:val="clear" w:color="auto" w:fill="FFFFFF"/>
    </w:rPr>
  </w:style>
  <w:style w:type="paragraph" w:customStyle="1" w:styleId="213">
    <w:name w:val="Основной текст (21)"/>
    <w:basedOn w:val="a"/>
    <w:link w:val="212"/>
    <w:rsid w:val="003B67F9"/>
    <w:pPr>
      <w:shd w:val="clear" w:color="auto" w:fill="FFFFFF"/>
      <w:spacing w:line="240" w:lineRule="atLeast"/>
      <w:jc w:val="left"/>
    </w:pPr>
    <w:rPr>
      <w:sz w:val="17"/>
      <w:szCs w:val="17"/>
    </w:rPr>
  </w:style>
  <w:style w:type="character" w:customStyle="1" w:styleId="290">
    <w:name w:val="Основной текст (29)_"/>
    <w:basedOn w:val="a0"/>
    <w:link w:val="291"/>
    <w:locked/>
    <w:rsid w:val="003B67F9"/>
    <w:rPr>
      <w:i/>
      <w:iCs/>
      <w:noProof/>
      <w:sz w:val="12"/>
      <w:szCs w:val="12"/>
      <w:shd w:val="clear" w:color="auto" w:fill="FFFFFF"/>
    </w:rPr>
  </w:style>
  <w:style w:type="paragraph" w:customStyle="1" w:styleId="291">
    <w:name w:val="Основной текст (29)"/>
    <w:basedOn w:val="a"/>
    <w:link w:val="290"/>
    <w:rsid w:val="003B67F9"/>
    <w:pPr>
      <w:shd w:val="clear" w:color="auto" w:fill="FFFFFF"/>
      <w:spacing w:line="240" w:lineRule="atLeast"/>
    </w:pPr>
    <w:rPr>
      <w:i/>
      <w:iCs/>
      <w:noProof/>
      <w:sz w:val="12"/>
      <w:szCs w:val="12"/>
    </w:rPr>
  </w:style>
  <w:style w:type="character" w:customStyle="1" w:styleId="230">
    <w:name w:val="Основной текст (23)_"/>
    <w:basedOn w:val="a0"/>
    <w:link w:val="231"/>
    <w:locked/>
    <w:rsid w:val="003B67F9"/>
    <w:rPr>
      <w:sz w:val="15"/>
      <w:szCs w:val="15"/>
      <w:shd w:val="clear" w:color="auto" w:fill="FFFFFF"/>
    </w:rPr>
  </w:style>
  <w:style w:type="paragraph" w:customStyle="1" w:styleId="231">
    <w:name w:val="Основной текст (23)"/>
    <w:basedOn w:val="a"/>
    <w:link w:val="230"/>
    <w:rsid w:val="003B67F9"/>
    <w:pPr>
      <w:shd w:val="clear" w:color="auto" w:fill="FFFFFF"/>
      <w:spacing w:line="240" w:lineRule="atLeast"/>
      <w:jc w:val="left"/>
    </w:pPr>
    <w:rPr>
      <w:sz w:val="15"/>
      <w:szCs w:val="15"/>
    </w:rPr>
  </w:style>
  <w:style w:type="character" w:customStyle="1" w:styleId="330">
    <w:name w:val="Основной текст (33)_"/>
    <w:basedOn w:val="a0"/>
    <w:link w:val="331"/>
    <w:locked/>
    <w:rsid w:val="003B67F9"/>
    <w:rPr>
      <w:i/>
      <w:iCs/>
      <w:noProof/>
      <w:sz w:val="14"/>
      <w:szCs w:val="14"/>
      <w:shd w:val="clear" w:color="auto" w:fill="FFFFFF"/>
    </w:rPr>
  </w:style>
  <w:style w:type="paragraph" w:customStyle="1" w:styleId="331">
    <w:name w:val="Основной текст (33)"/>
    <w:basedOn w:val="a"/>
    <w:link w:val="330"/>
    <w:rsid w:val="003B67F9"/>
    <w:pPr>
      <w:shd w:val="clear" w:color="auto" w:fill="FFFFFF"/>
      <w:spacing w:line="240" w:lineRule="atLeast"/>
    </w:pPr>
    <w:rPr>
      <w:i/>
      <w:iCs/>
      <w:noProof/>
      <w:sz w:val="14"/>
      <w:szCs w:val="14"/>
    </w:rPr>
  </w:style>
  <w:style w:type="character" w:customStyle="1" w:styleId="37">
    <w:name w:val="Заголовок №3_"/>
    <w:basedOn w:val="a0"/>
    <w:link w:val="38"/>
    <w:locked/>
    <w:rsid w:val="003B67F9"/>
    <w:rPr>
      <w:rFonts w:ascii="Arial" w:hAnsi="Arial" w:cs="Arial"/>
      <w:b/>
      <w:bCs/>
      <w:sz w:val="36"/>
      <w:szCs w:val="36"/>
      <w:shd w:val="clear" w:color="auto" w:fill="FFFFFF"/>
    </w:rPr>
  </w:style>
  <w:style w:type="paragraph" w:customStyle="1" w:styleId="38">
    <w:name w:val="Заголовок №3"/>
    <w:basedOn w:val="a"/>
    <w:link w:val="37"/>
    <w:rsid w:val="003B67F9"/>
    <w:pPr>
      <w:shd w:val="clear" w:color="auto" w:fill="FFFFFF"/>
      <w:spacing w:after="60" w:line="240" w:lineRule="atLeast"/>
      <w:jc w:val="center"/>
      <w:outlineLvl w:val="2"/>
    </w:pPr>
    <w:rPr>
      <w:rFonts w:ascii="Arial" w:hAnsi="Arial" w:cs="Arial"/>
      <w:b/>
      <w:bCs/>
      <w:sz w:val="36"/>
      <w:szCs w:val="36"/>
    </w:rPr>
  </w:style>
  <w:style w:type="character" w:customStyle="1" w:styleId="39">
    <w:name w:val="Подпись к таблице (3)_"/>
    <w:basedOn w:val="a0"/>
    <w:link w:val="3a"/>
    <w:locked/>
    <w:rsid w:val="003B67F9"/>
    <w:rPr>
      <w:rFonts w:ascii="Arial" w:hAnsi="Arial" w:cs="Arial"/>
      <w:sz w:val="29"/>
      <w:szCs w:val="29"/>
      <w:shd w:val="clear" w:color="auto" w:fill="FFFFFF"/>
    </w:rPr>
  </w:style>
  <w:style w:type="paragraph" w:customStyle="1" w:styleId="3a">
    <w:name w:val="Подпись к таблице (3)"/>
    <w:basedOn w:val="a"/>
    <w:link w:val="39"/>
    <w:rsid w:val="003B67F9"/>
    <w:pPr>
      <w:shd w:val="clear" w:color="auto" w:fill="FFFFFF"/>
      <w:spacing w:line="360" w:lineRule="exact"/>
      <w:jc w:val="center"/>
    </w:pPr>
    <w:rPr>
      <w:rFonts w:ascii="Arial" w:hAnsi="Arial" w:cs="Arial"/>
      <w:sz w:val="29"/>
      <w:szCs w:val="29"/>
    </w:rPr>
  </w:style>
  <w:style w:type="character" w:customStyle="1" w:styleId="420">
    <w:name w:val="Заголовок №4 (2)_"/>
    <w:basedOn w:val="a0"/>
    <w:link w:val="421"/>
    <w:locked/>
    <w:rsid w:val="003B67F9"/>
    <w:rPr>
      <w:rFonts w:ascii="Arial" w:hAnsi="Arial" w:cs="Arial"/>
      <w:i/>
      <w:iCs/>
      <w:shd w:val="clear" w:color="auto" w:fill="FFFFFF"/>
    </w:rPr>
  </w:style>
  <w:style w:type="paragraph" w:customStyle="1" w:styleId="421">
    <w:name w:val="Заголовок №4 (2)"/>
    <w:basedOn w:val="a"/>
    <w:link w:val="420"/>
    <w:rsid w:val="003B67F9"/>
    <w:pPr>
      <w:shd w:val="clear" w:color="auto" w:fill="FFFFFF"/>
      <w:spacing w:after="180" w:line="240" w:lineRule="atLeast"/>
      <w:jc w:val="left"/>
      <w:outlineLvl w:val="3"/>
    </w:pPr>
    <w:rPr>
      <w:rFonts w:ascii="Arial" w:hAnsi="Arial" w:cs="Arial"/>
      <w:i/>
      <w:iCs/>
    </w:rPr>
  </w:style>
  <w:style w:type="character" w:customStyle="1" w:styleId="44">
    <w:name w:val="Заголовок №4_"/>
    <w:basedOn w:val="a0"/>
    <w:link w:val="45"/>
    <w:locked/>
    <w:rsid w:val="003B67F9"/>
    <w:rPr>
      <w:rFonts w:ascii="Arial" w:hAnsi="Arial" w:cs="Arial"/>
      <w:b/>
      <w:bCs/>
      <w:sz w:val="30"/>
      <w:szCs w:val="30"/>
      <w:shd w:val="clear" w:color="auto" w:fill="FFFFFF"/>
    </w:rPr>
  </w:style>
  <w:style w:type="paragraph" w:customStyle="1" w:styleId="45">
    <w:name w:val="Заголовок №4"/>
    <w:basedOn w:val="a"/>
    <w:link w:val="44"/>
    <w:rsid w:val="003B67F9"/>
    <w:pPr>
      <w:shd w:val="clear" w:color="auto" w:fill="FFFFFF"/>
      <w:spacing w:before="180" w:after="180" w:line="240" w:lineRule="atLeast"/>
      <w:jc w:val="left"/>
      <w:outlineLvl w:val="3"/>
    </w:pPr>
    <w:rPr>
      <w:rFonts w:ascii="Arial" w:hAnsi="Arial" w:cs="Arial"/>
      <w:b/>
      <w:bCs/>
      <w:sz w:val="30"/>
      <w:szCs w:val="30"/>
    </w:rPr>
  </w:style>
  <w:style w:type="character" w:customStyle="1" w:styleId="350">
    <w:name w:val="Основной текст (35)_"/>
    <w:basedOn w:val="a0"/>
    <w:link w:val="351"/>
    <w:locked/>
    <w:rsid w:val="003B67F9"/>
    <w:rPr>
      <w:rFonts w:ascii="Arial" w:hAnsi="Arial" w:cs="Arial"/>
      <w:b/>
      <w:bCs/>
      <w:i/>
      <w:iCs/>
      <w:sz w:val="27"/>
      <w:szCs w:val="27"/>
      <w:shd w:val="clear" w:color="auto" w:fill="FFFFFF"/>
    </w:rPr>
  </w:style>
  <w:style w:type="paragraph" w:customStyle="1" w:styleId="351">
    <w:name w:val="Основной текст (35)"/>
    <w:basedOn w:val="a"/>
    <w:link w:val="350"/>
    <w:rsid w:val="003B67F9"/>
    <w:pPr>
      <w:shd w:val="clear" w:color="auto" w:fill="FFFFFF"/>
      <w:spacing w:before="180" w:after="180" w:line="240" w:lineRule="atLeast"/>
      <w:jc w:val="left"/>
    </w:pPr>
    <w:rPr>
      <w:rFonts w:ascii="Arial" w:hAnsi="Arial" w:cs="Arial"/>
      <w:b/>
      <w:bCs/>
      <w:i/>
      <w:iCs/>
      <w:sz w:val="27"/>
      <w:szCs w:val="27"/>
    </w:rPr>
  </w:style>
  <w:style w:type="character" w:customStyle="1" w:styleId="340">
    <w:name w:val="Основной текст (34)_"/>
    <w:basedOn w:val="a0"/>
    <w:link w:val="341"/>
    <w:locked/>
    <w:rsid w:val="003B67F9"/>
    <w:rPr>
      <w:rFonts w:ascii="Arial" w:hAnsi="Arial" w:cs="Arial"/>
      <w:sz w:val="18"/>
      <w:szCs w:val="18"/>
      <w:shd w:val="clear" w:color="auto" w:fill="FFFFFF"/>
    </w:rPr>
  </w:style>
  <w:style w:type="paragraph" w:customStyle="1" w:styleId="341">
    <w:name w:val="Основной текст (34)"/>
    <w:basedOn w:val="a"/>
    <w:link w:val="340"/>
    <w:rsid w:val="003B67F9"/>
    <w:pPr>
      <w:shd w:val="clear" w:color="auto" w:fill="FFFFFF"/>
      <w:spacing w:line="240" w:lineRule="atLeast"/>
      <w:jc w:val="left"/>
    </w:pPr>
    <w:rPr>
      <w:rFonts w:ascii="Arial" w:hAnsi="Arial" w:cs="Arial"/>
      <w:sz w:val="18"/>
      <w:szCs w:val="18"/>
    </w:rPr>
  </w:style>
  <w:style w:type="character" w:customStyle="1" w:styleId="422">
    <w:name w:val="Основной текст (42)_"/>
    <w:basedOn w:val="a0"/>
    <w:link w:val="423"/>
    <w:locked/>
    <w:rsid w:val="003B67F9"/>
    <w:rPr>
      <w:rFonts w:ascii="Arial" w:hAnsi="Arial" w:cs="Arial"/>
      <w:b/>
      <w:bCs/>
      <w:sz w:val="18"/>
      <w:szCs w:val="18"/>
      <w:shd w:val="clear" w:color="auto" w:fill="FFFFFF"/>
    </w:rPr>
  </w:style>
  <w:style w:type="paragraph" w:customStyle="1" w:styleId="423">
    <w:name w:val="Основной текст (42)"/>
    <w:basedOn w:val="a"/>
    <w:link w:val="422"/>
    <w:rsid w:val="003B67F9"/>
    <w:pPr>
      <w:shd w:val="clear" w:color="auto" w:fill="FFFFFF"/>
      <w:spacing w:line="240" w:lineRule="atLeast"/>
      <w:jc w:val="left"/>
    </w:pPr>
    <w:rPr>
      <w:rFonts w:ascii="Arial" w:hAnsi="Arial" w:cs="Arial"/>
      <w:b/>
      <w:bCs/>
      <w:sz w:val="18"/>
      <w:szCs w:val="18"/>
    </w:rPr>
  </w:style>
  <w:style w:type="character" w:customStyle="1" w:styleId="360">
    <w:name w:val="Основной текст (36)_"/>
    <w:basedOn w:val="a0"/>
    <w:link w:val="361"/>
    <w:locked/>
    <w:rsid w:val="003B67F9"/>
    <w:rPr>
      <w:sz w:val="29"/>
      <w:szCs w:val="29"/>
      <w:shd w:val="clear" w:color="auto" w:fill="FFFFFF"/>
    </w:rPr>
  </w:style>
  <w:style w:type="paragraph" w:customStyle="1" w:styleId="361">
    <w:name w:val="Основной текст (36)"/>
    <w:basedOn w:val="a"/>
    <w:link w:val="360"/>
    <w:rsid w:val="003B67F9"/>
    <w:pPr>
      <w:shd w:val="clear" w:color="auto" w:fill="FFFFFF"/>
      <w:spacing w:line="240" w:lineRule="atLeast"/>
      <w:jc w:val="left"/>
    </w:pPr>
    <w:rPr>
      <w:sz w:val="29"/>
      <w:szCs w:val="29"/>
    </w:rPr>
  </w:style>
  <w:style w:type="character" w:customStyle="1" w:styleId="370">
    <w:name w:val="Основной текст (37)_"/>
    <w:basedOn w:val="a0"/>
    <w:link w:val="371"/>
    <w:locked/>
    <w:rsid w:val="003B67F9"/>
    <w:rPr>
      <w:spacing w:val="20"/>
      <w:shd w:val="clear" w:color="auto" w:fill="FFFFFF"/>
    </w:rPr>
  </w:style>
  <w:style w:type="paragraph" w:customStyle="1" w:styleId="371">
    <w:name w:val="Основной текст (37)"/>
    <w:basedOn w:val="a"/>
    <w:link w:val="370"/>
    <w:rsid w:val="003B67F9"/>
    <w:pPr>
      <w:shd w:val="clear" w:color="auto" w:fill="FFFFFF"/>
      <w:spacing w:line="240" w:lineRule="atLeast"/>
      <w:jc w:val="left"/>
    </w:pPr>
    <w:rPr>
      <w:spacing w:val="20"/>
    </w:rPr>
  </w:style>
  <w:style w:type="character" w:customStyle="1" w:styleId="411">
    <w:name w:val="Основной текст (41)_"/>
    <w:basedOn w:val="a0"/>
    <w:link w:val="412"/>
    <w:locked/>
    <w:rsid w:val="003B67F9"/>
    <w:rPr>
      <w:noProof/>
      <w:shd w:val="clear" w:color="auto" w:fill="FFFFFF"/>
    </w:rPr>
  </w:style>
  <w:style w:type="paragraph" w:customStyle="1" w:styleId="412">
    <w:name w:val="Основной текст (41)"/>
    <w:basedOn w:val="a"/>
    <w:link w:val="411"/>
    <w:rsid w:val="003B67F9"/>
    <w:pPr>
      <w:shd w:val="clear" w:color="auto" w:fill="FFFFFF"/>
      <w:spacing w:line="240" w:lineRule="atLeast"/>
      <w:jc w:val="left"/>
    </w:pPr>
    <w:rPr>
      <w:noProof/>
    </w:rPr>
  </w:style>
  <w:style w:type="character" w:customStyle="1" w:styleId="390">
    <w:name w:val="Основной текст (39)_"/>
    <w:basedOn w:val="a0"/>
    <w:link w:val="391"/>
    <w:locked/>
    <w:rsid w:val="003B67F9"/>
    <w:rPr>
      <w:noProof/>
      <w:sz w:val="10"/>
      <w:szCs w:val="10"/>
      <w:shd w:val="clear" w:color="auto" w:fill="FFFFFF"/>
    </w:rPr>
  </w:style>
  <w:style w:type="paragraph" w:customStyle="1" w:styleId="391">
    <w:name w:val="Основной текст (39)"/>
    <w:basedOn w:val="a"/>
    <w:link w:val="390"/>
    <w:rsid w:val="003B67F9"/>
    <w:pPr>
      <w:shd w:val="clear" w:color="auto" w:fill="FFFFFF"/>
      <w:spacing w:line="240" w:lineRule="atLeast"/>
      <w:jc w:val="left"/>
    </w:pPr>
    <w:rPr>
      <w:noProof/>
      <w:sz w:val="10"/>
      <w:szCs w:val="10"/>
    </w:rPr>
  </w:style>
  <w:style w:type="character" w:customStyle="1" w:styleId="400">
    <w:name w:val="Основной текст (40)_"/>
    <w:basedOn w:val="a0"/>
    <w:link w:val="401"/>
    <w:locked/>
    <w:rsid w:val="003B67F9"/>
    <w:rPr>
      <w:noProof/>
      <w:sz w:val="10"/>
      <w:szCs w:val="10"/>
      <w:shd w:val="clear" w:color="auto" w:fill="FFFFFF"/>
    </w:rPr>
  </w:style>
  <w:style w:type="paragraph" w:customStyle="1" w:styleId="401">
    <w:name w:val="Основной текст (40)"/>
    <w:basedOn w:val="a"/>
    <w:link w:val="400"/>
    <w:rsid w:val="003B67F9"/>
    <w:pPr>
      <w:shd w:val="clear" w:color="auto" w:fill="FFFFFF"/>
      <w:spacing w:line="240" w:lineRule="atLeast"/>
      <w:jc w:val="left"/>
    </w:pPr>
    <w:rPr>
      <w:noProof/>
      <w:sz w:val="10"/>
      <w:szCs w:val="10"/>
    </w:rPr>
  </w:style>
  <w:style w:type="character" w:customStyle="1" w:styleId="430">
    <w:name w:val="Основной текст (43)_"/>
    <w:basedOn w:val="a0"/>
    <w:link w:val="431"/>
    <w:locked/>
    <w:rsid w:val="003B67F9"/>
    <w:rPr>
      <w:noProof/>
      <w:sz w:val="11"/>
      <w:szCs w:val="11"/>
      <w:shd w:val="clear" w:color="auto" w:fill="FFFFFF"/>
    </w:rPr>
  </w:style>
  <w:style w:type="paragraph" w:customStyle="1" w:styleId="431">
    <w:name w:val="Основной текст (43)"/>
    <w:basedOn w:val="a"/>
    <w:link w:val="430"/>
    <w:rsid w:val="003B67F9"/>
    <w:pPr>
      <w:shd w:val="clear" w:color="auto" w:fill="FFFFFF"/>
      <w:spacing w:line="240" w:lineRule="atLeast"/>
      <w:jc w:val="left"/>
    </w:pPr>
    <w:rPr>
      <w:noProof/>
      <w:sz w:val="11"/>
      <w:szCs w:val="11"/>
    </w:rPr>
  </w:style>
  <w:style w:type="character" w:customStyle="1" w:styleId="440">
    <w:name w:val="Основной текст (44)_"/>
    <w:basedOn w:val="a0"/>
    <w:link w:val="441"/>
    <w:locked/>
    <w:rsid w:val="003B67F9"/>
    <w:rPr>
      <w:noProof/>
      <w:sz w:val="11"/>
      <w:szCs w:val="11"/>
      <w:shd w:val="clear" w:color="auto" w:fill="FFFFFF"/>
    </w:rPr>
  </w:style>
  <w:style w:type="paragraph" w:customStyle="1" w:styleId="441">
    <w:name w:val="Основной текст (44)"/>
    <w:basedOn w:val="a"/>
    <w:link w:val="440"/>
    <w:rsid w:val="003B67F9"/>
    <w:pPr>
      <w:shd w:val="clear" w:color="auto" w:fill="FFFFFF"/>
      <w:spacing w:line="240" w:lineRule="atLeast"/>
      <w:jc w:val="left"/>
    </w:pPr>
    <w:rPr>
      <w:noProof/>
      <w:sz w:val="11"/>
      <w:szCs w:val="11"/>
    </w:rPr>
  </w:style>
  <w:style w:type="character" w:customStyle="1" w:styleId="380">
    <w:name w:val="Основной текст (38)_"/>
    <w:basedOn w:val="a0"/>
    <w:link w:val="381"/>
    <w:locked/>
    <w:rsid w:val="003B67F9"/>
    <w:rPr>
      <w:noProof/>
      <w:sz w:val="11"/>
      <w:szCs w:val="11"/>
      <w:shd w:val="clear" w:color="auto" w:fill="FFFFFF"/>
    </w:rPr>
  </w:style>
  <w:style w:type="paragraph" w:customStyle="1" w:styleId="381">
    <w:name w:val="Основной текст (38)"/>
    <w:basedOn w:val="a"/>
    <w:link w:val="380"/>
    <w:rsid w:val="003B67F9"/>
    <w:pPr>
      <w:shd w:val="clear" w:color="auto" w:fill="FFFFFF"/>
      <w:spacing w:line="240" w:lineRule="atLeast"/>
      <w:jc w:val="left"/>
    </w:pPr>
    <w:rPr>
      <w:noProof/>
      <w:sz w:val="11"/>
      <w:szCs w:val="11"/>
    </w:rPr>
  </w:style>
  <w:style w:type="character" w:customStyle="1" w:styleId="2a">
    <w:name w:val="Заголовок №2_"/>
    <w:basedOn w:val="a0"/>
    <w:link w:val="2b"/>
    <w:locked/>
    <w:rsid w:val="003B67F9"/>
    <w:rPr>
      <w:rFonts w:ascii="Arial" w:hAnsi="Arial" w:cs="Arial"/>
      <w:b/>
      <w:bCs/>
      <w:sz w:val="36"/>
      <w:szCs w:val="36"/>
      <w:shd w:val="clear" w:color="auto" w:fill="FFFFFF"/>
    </w:rPr>
  </w:style>
  <w:style w:type="paragraph" w:customStyle="1" w:styleId="2b">
    <w:name w:val="Заголовок №2"/>
    <w:basedOn w:val="a"/>
    <w:link w:val="2a"/>
    <w:rsid w:val="003B67F9"/>
    <w:pPr>
      <w:shd w:val="clear" w:color="auto" w:fill="FFFFFF"/>
      <w:spacing w:after="60" w:line="240" w:lineRule="atLeast"/>
      <w:jc w:val="center"/>
      <w:outlineLvl w:val="1"/>
    </w:pPr>
    <w:rPr>
      <w:rFonts w:ascii="Arial" w:hAnsi="Arial" w:cs="Arial"/>
      <w:b/>
      <w:bCs/>
      <w:sz w:val="36"/>
      <w:szCs w:val="36"/>
    </w:rPr>
  </w:style>
  <w:style w:type="character" w:customStyle="1" w:styleId="46">
    <w:name w:val="Основной текст (46)_"/>
    <w:basedOn w:val="a0"/>
    <w:link w:val="460"/>
    <w:locked/>
    <w:rsid w:val="003B67F9"/>
    <w:rPr>
      <w:i/>
      <w:iCs/>
      <w:sz w:val="23"/>
      <w:szCs w:val="23"/>
      <w:shd w:val="clear" w:color="auto" w:fill="FFFFFF"/>
    </w:rPr>
  </w:style>
  <w:style w:type="paragraph" w:customStyle="1" w:styleId="460">
    <w:name w:val="Основной текст (46)"/>
    <w:basedOn w:val="a"/>
    <w:link w:val="46"/>
    <w:rsid w:val="003B67F9"/>
    <w:pPr>
      <w:shd w:val="clear" w:color="auto" w:fill="FFFFFF"/>
      <w:spacing w:line="293" w:lineRule="exact"/>
      <w:jc w:val="left"/>
    </w:pPr>
    <w:rPr>
      <w:i/>
      <w:iCs/>
      <w:sz w:val="23"/>
      <w:szCs w:val="23"/>
    </w:rPr>
  </w:style>
  <w:style w:type="character" w:customStyle="1" w:styleId="47">
    <w:name w:val="Основной текст (47)_"/>
    <w:basedOn w:val="a0"/>
    <w:link w:val="470"/>
    <w:locked/>
    <w:rsid w:val="003B67F9"/>
    <w:rPr>
      <w:noProof/>
      <w:sz w:val="9"/>
      <w:szCs w:val="9"/>
      <w:shd w:val="clear" w:color="auto" w:fill="FFFFFF"/>
    </w:rPr>
  </w:style>
  <w:style w:type="paragraph" w:customStyle="1" w:styleId="470">
    <w:name w:val="Основной текст (47)"/>
    <w:basedOn w:val="a"/>
    <w:link w:val="47"/>
    <w:rsid w:val="003B67F9"/>
    <w:pPr>
      <w:shd w:val="clear" w:color="auto" w:fill="FFFFFF"/>
      <w:spacing w:line="240" w:lineRule="atLeast"/>
      <w:jc w:val="left"/>
    </w:pPr>
    <w:rPr>
      <w:noProof/>
      <w:sz w:val="9"/>
      <w:szCs w:val="9"/>
    </w:rPr>
  </w:style>
  <w:style w:type="character" w:customStyle="1" w:styleId="450">
    <w:name w:val="Основной текст (45)_"/>
    <w:basedOn w:val="a0"/>
    <w:link w:val="451"/>
    <w:locked/>
    <w:rsid w:val="003B67F9"/>
    <w:rPr>
      <w:sz w:val="26"/>
      <w:szCs w:val="26"/>
      <w:shd w:val="clear" w:color="auto" w:fill="FFFFFF"/>
    </w:rPr>
  </w:style>
  <w:style w:type="paragraph" w:customStyle="1" w:styleId="451">
    <w:name w:val="Основной текст (45)"/>
    <w:basedOn w:val="a"/>
    <w:link w:val="450"/>
    <w:rsid w:val="003B67F9"/>
    <w:pPr>
      <w:shd w:val="clear" w:color="auto" w:fill="FFFFFF"/>
      <w:spacing w:line="240" w:lineRule="atLeast"/>
      <w:jc w:val="left"/>
    </w:pPr>
    <w:rPr>
      <w:sz w:val="26"/>
      <w:szCs w:val="26"/>
    </w:rPr>
  </w:style>
  <w:style w:type="character" w:customStyle="1" w:styleId="affe">
    <w:name w:val="Подпись к таблице_"/>
    <w:basedOn w:val="a0"/>
    <w:link w:val="afff"/>
    <w:locked/>
    <w:rsid w:val="003B67F9"/>
    <w:rPr>
      <w:i/>
      <w:iCs/>
      <w:shd w:val="clear" w:color="auto" w:fill="FFFFFF"/>
    </w:rPr>
  </w:style>
  <w:style w:type="paragraph" w:customStyle="1" w:styleId="afff">
    <w:name w:val="Подпись к таблице"/>
    <w:basedOn w:val="a"/>
    <w:link w:val="affe"/>
    <w:rsid w:val="003B67F9"/>
    <w:pPr>
      <w:shd w:val="clear" w:color="auto" w:fill="FFFFFF"/>
      <w:spacing w:line="240" w:lineRule="atLeast"/>
      <w:jc w:val="left"/>
    </w:pPr>
    <w:rPr>
      <w:i/>
      <w:iCs/>
    </w:rPr>
  </w:style>
  <w:style w:type="character" w:customStyle="1" w:styleId="49">
    <w:name w:val="Основной текст (49)_"/>
    <w:basedOn w:val="a0"/>
    <w:link w:val="490"/>
    <w:locked/>
    <w:rsid w:val="003B67F9"/>
    <w:rPr>
      <w:spacing w:val="-10"/>
      <w:szCs w:val="24"/>
      <w:shd w:val="clear" w:color="auto" w:fill="FFFFFF"/>
    </w:rPr>
  </w:style>
  <w:style w:type="paragraph" w:customStyle="1" w:styleId="490">
    <w:name w:val="Основной текст (49)"/>
    <w:basedOn w:val="a"/>
    <w:link w:val="49"/>
    <w:rsid w:val="003B67F9"/>
    <w:pPr>
      <w:shd w:val="clear" w:color="auto" w:fill="FFFFFF"/>
      <w:spacing w:line="240" w:lineRule="atLeast"/>
      <w:jc w:val="right"/>
    </w:pPr>
    <w:rPr>
      <w:spacing w:val="-10"/>
      <w:szCs w:val="24"/>
    </w:rPr>
  </w:style>
  <w:style w:type="character" w:customStyle="1" w:styleId="500">
    <w:name w:val="Основной текст (50)_"/>
    <w:basedOn w:val="a0"/>
    <w:link w:val="501"/>
    <w:locked/>
    <w:rsid w:val="003B67F9"/>
    <w:rPr>
      <w:szCs w:val="24"/>
      <w:shd w:val="clear" w:color="auto" w:fill="FFFFFF"/>
    </w:rPr>
  </w:style>
  <w:style w:type="paragraph" w:customStyle="1" w:styleId="501">
    <w:name w:val="Основной текст (50)"/>
    <w:basedOn w:val="a"/>
    <w:link w:val="500"/>
    <w:rsid w:val="003B67F9"/>
    <w:pPr>
      <w:shd w:val="clear" w:color="auto" w:fill="FFFFFF"/>
      <w:spacing w:line="240" w:lineRule="atLeast"/>
      <w:jc w:val="right"/>
    </w:pPr>
    <w:rPr>
      <w:szCs w:val="24"/>
    </w:rPr>
  </w:style>
  <w:style w:type="character" w:customStyle="1" w:styleId="510">
    <w:name w:val="Основной текст (51)_"/>
    <w:basedOn w:val="a0"/>
    <w:link w:val="511"/>
    <w:locked/>
    <w:rsid w:val="003B67F9"/>
    <w:rPr>
      <w:rFonts w:ascii="Arial" w:hAnsi="Arial" w:cs="Arial"/>
      <w:sz w:val="13"/>
      <w:szCs w:val="13"/>
      <w:shd w:val="clear" w:color="auto" w:fill="FFFFFF"/>
    </w:rPr>
  </w:style>
  <w:style w:type="paragraph" w:customStyle="1" w:styleId="511">
    <w:name w:val="Основной текст (51)"/>
    <w:basedOn w:val="a"/>
    <w:link w:val="510"/>
    <w:rsid w:val="003B67F9"/>
    <w:pPr>
      <w:shd w:val="clear" w:color="auto" w:fill="FFFFFF"/>
      <w:spacing w:line="240" w:lineRule="atLeast"/>
      <w:jc w:val="left"/>
    </w:pPr>
    <w:rPr>
      <w:rFonts w:ascii="Arial" w:hAnsi="Arial" w:cs="Arial"/>
      <w:sz w:val="13"/>
      <w:szCs w:val="13"/>
    </w:rPr>
  </w:style>
  <w:style w:type="character" w:customStyle="1" w:styleId="520">
    <w:name w:val="Основной текст (52)_"/>
    <w:basedOn w:val="a0"/>
    <w:link w:val="521"/>
    <w:locked/>
    <w:rsid w:val="003B67F9"/>
    <w:rPr>
      <w:sz w:val="13"/>
      <w:szCs w:val="13"/>
      <w:shd w:val="clear" w:color="auto" w:fill="FFFFFF"/>
    </w:rPr>
  </w:style>
  <w:style w:type="paragraph" w:customStyle="1" w:styleId="521">
    <w:name w:val="Основной текст (52)"/>
    <w:basedOn w:val="a"/>
    <w:link w:val="520"/>
    <w:rsid w:val="003B67F9"/>
    <w:pPr>
      <w:shd w:val="clear" w:color="auto" w:fill="FFFFFF"/>
      <w:spacing w:line="240" w:lineRule="atLeast"/>
    </w:pPr>
    <w:rPr>
      <w:sz w:val="13"/>
      <w:szCs w:val="13"/>
    </w:rPr>
  </w:style>
  <w:style w:type="character" w:customStyle="1" w:styleId="530">
    <w:name w:val="Основной текст (53)_"/>
    <w:basedOn w:val="a0"/>
    <w:link w:val="531"/>
    <w:locked/>
    <w:rsid w:val="003B67F9"/>
    <w:rPr>
      <w:rFonts w:ascii="Arial" w:hAnsi="Arial" w:cs="Arial"/>
      <w:noProof/>
      <w:sz w:val="11"/>
      <w:szCs w:val="11"/>
      <w:shd w:val="clear" w:color="auto" w:fill="FFFFFF"/>
    </w:rPr>
  </w:style>
  <w:style w:type="paragraph" w:customStyle="1" w:styleId="531">
    <w:name w:val="Основной текст (53)"/>
    <w:basedOn w:val="a"/>
    <w:link w:val="530"/>
    <w:rsid w:val="003B67F9"/>
    <w:pPr>
      <w:shd w:val="clear" w:color="auto" w:fill="FFFFFF"/>
      <w:spacing w:line="240" w:lineRule="atLeast"/>
    </w:pPr>
    <w:rPr>
      <w:rFonts w:ascii="Arial" w:hAnsi="Arial" w:cs="Arial"/>
      <w:noProof/>
      <w:sz w:val="11"/>
      <w:szCs w:val="11"/>
    </w:rPr>
  </w:style>
  <w:style w:type="character" w:customStyle="1" w:styleId="54">
    <w:name w:val="Основной текст (54)_"/>
    <w:basedOn w:val="a0"/>
    <w:link w:val="540"/>
    <w:locked/>
    <w:rsid w:val="003B67F9"/>
    <w:rPr>
      <w:noProof/>
      <w:sz w:val="12"/>
      <w:szCs w:val="12"/>
      <w:shd w:val="clear" w:color="auto" w:fill="FFFFFF"/>
    </w:rPr>
  </w:style>
  <w:style w:type="paragraph" w:customStyle="1" w:styleId="540">
    <w:name w:val="Основной текст (54)"/>
    <w:basedOn w:val="a"/>
    <w:link w:val="54"/>
    <w:rsid w:val="003B67F9"/>
    <w:pPr>
      <w:shd w:val="clear" w:color="auto" w:fill="FFFFFF"/>
      <w:spacing w:line="240" w:lineRule="atLeast"/>
    </w:pPr>
    <w:rPr>
      <w:noProof/>
      <w:sz w:val="12"/>
      <w:szCs w:val="12"/>
    </w:rPr>
  </w:style>
  <w:style w:type="character" w:customStyle="1" w:styleId="55">
    <w:name w:val="Основной текст (55)_"/>
    <w:basedOn w:val="a0"/>
    <w:link w:val="550"/>
    <w:locked/>
    <w:rsid w:val="003B67F9"/>
    <w:rPr>
      <w:noProof/>
      <w:sz w:val="11"/>
      <w:szCs w:val="11"/>
      <w:shd w:val="clear" w:color="auto" w:fill="FFFFFF"/>
    </w:rPr>
  </w:style>
  <w:style w:type="paragraph" w:customStyle="1" w:styleId="550">
    <w:name w:val="Основной текст (55)"/>
    <w:basedOn w:val="a"/>
    <w:link w:val="55"/>
    <w:rsid w:val="003B67F9"/>
    <w:pPr>
      <w:shd w:val="clear" w:color="auto" w:fill="FFFFFF"/>
      <w:spacing w:line="240" w:lineRule="atLeast"/>
    </w:pPr>
    <w:rPr>
      <w:noProof/>
      <w:sz w:val="11"/>
      <w:szCs w:val="11"/>
    </w:rPr>
  </w:style>
  <w:style w:type="character" w:customStyle="1" w:styleId="56">
    <w:name w:val="Основной текст (56)_"/>
    <w:basedOn w:val="a0"/>
    <w:link w:val="560"/>
    <w:locked/>
    <w:rsid w:val="003B67F9"/>
    <w:rPr>
      <w:i/>
      <w:iCs/>
      <w:noProof/>
      <w:sz w:val="13"/>
      <w:szCs w:val="13"/>
      <w:shd w:val="clear" w:color="auto" w:fill="FFFFFF"/>
    </w:rPr>
  </w:style>
  <w:style w:type="paragraph" w:customStyle="1" w:styleId="560">
    <w:name w:val="Основной текст (56)"/>
    <w:basedOn w:val="a"/>
    <w:link w:val="56"/>
    <w:rsid w:val="003B67F9"/>
    <w:pPr>
      <w:shd w:val="clear" w:color="auto" w:fill="FFFFFF"/>
      <w:spacing w:line="240" w:lineRule="atLeast"/>
    </w:pPr>
    <w:rPr>
      <w:i/>
      <w:iCs/>
      <w:noProof/>
      <w:sz w:val="13"/>
      <w:szCs w:val="13"/>
    </w:rPr>
  </w:style>
  <w:style w:type="character" w:customStyle="1" w:styleId="58">
    <w:name w:val="Основной текст (58)_"/>
    <w:basedOn w:val="a0"/>
    <w:link w:val="580"/>
    <w:locked/>
    <w:rsid w:val="003B67F9"/>
    <w:rPr>
      <w:noProof/>
      <w:sz w:val="13"/>
      <w:szCs w:val="13"/>
      <w:shd w:val="clear" w:color="auto" w:fill="FFFFFF"/>
    </w:rPr>
  </w:style>
  <w:style w:type="paragraph" w:customStyle="1" w:styleId="580">
    <w:name w:val="Основной текст (58)"/>
    <w:basedOn w:val="a"/>
    <w:link w:val="58"/>
    <w:rsid w:val="003B67F9"/>
    <w:pPr>
      <w:shd w:val="clear" w:color="auto" w:fill="FFFFFF"/>
      <w:spacing w:line="240" w:lineRule="atLeast"/>
      <w:jc w:val="left"/>
    </w:pPr>
    <w:rPr>
      <w:noProof/>
      <w:sz w:val="13"/>
      <w:szCs w:val="13"/>
    </w:rPr>
  </w:style>
  <w:style w:type="character" w:customStyle="1" w:styleId="57">
    <w:name w:val="Основной текст (57)_"/>
    <w:basedOn w:val="a0"/>
    <w:link w:val="570"/>
    <w:locked/>
    <w:rsid w:val="003B67F9"/>
    <w:rPr>
      <w:shd w:val="clear" w:color="auto" w:fill="FFFFFF"/>
    </w:rPr>
  </w:style>
  <w:style w:type="paragraph" w:customStyle="1" w:styleId="570">
    <w:name w:val="Основной текст (57)"/>
    <w:basedOn w:val="a"/>
    <w:link w:val="57"/>
    <w:rsid w:val="003B67F9"/>
    <w:pPr>
      <w:shd w:val="clear" w:color="auto" w:fill="FFFFFF"/>
      <w:spacing w:before="120" w:line="240" w:lineRule="atLeast"/>
      <w:jc w:val="left"/>
    </w:pPr>
  </w:style>
  <w:style w:type="character" w:customStyle="1" w:styleId="64">
    <w:name w:val="Основной текст (64)_"/>
    <w:basedOn w:val="a0"/>
    <w:link w:val="640"/>
    <w:locked/>
    <w:rsid w:val="003B67F9"/>
    <w:rPr>
      <w:rFonts w:ascii="Arial" w:hAnsi="Arial" w:cs="Arial"/>
      <w:i/>
      <w:iCs/>
      <w:sz w:val="23"/>
      <w:szCs w:val="23"/>
      <w:shd w:val="clear" w:color="auto" w:fill="FFFFFF"/>
    </w:rPr>
  </w:style>
  <w:style w:type="paragraph" w:customStyle="1" w:styleId="640">
    <w:name w:val="Основной текст (64)"/>
    <w:basedOn w:val="a"/>
    <w:link w:val="64"/>
    <w:rsid w:val="003B67F9"/>
    <w:pPr>
      <w:shd w:val="clear" w:color="auto" w:fill="FFFFFF"/>
      <w:spacing w:line="384" w:lineRule="exact"/>
      <w:jc w:val="center"/>
    </w:pPr>
    <w:rPr>
      <w:rFonts w:ascii="Arial" w:hAnsi="Arial" w:cs="Arial"/>
      <w:i/>
      <w:iCs/>
      <w:sz w:val="23"/>
      <w:szCs w:val="23"/>
    </w:rPr>
  </w:style>
  <w:style w:type="character" w:customStyle="1" w:styleId="59">
    <w:name w:val="Основной текст (59)_"/>
    <w:basedOn w:val="a0"/>
    <w:link w:val="590"/>
    <w:locked/>
    <w:rsid w:val="003B67F9"/>
    <w:rPr>
      <w:i/>
      <w:iCs/>
      <w:noProof/>
      <w:sz w:val="14"/>
      <w:szCs w:val="14"/>
      <w:shd w:val="clear" w:color="auto" w:fill="FFFFFF"/>
    </w:rPr>
  </w:style>
  <w:style w:type="paragraph" w:customStyle="1" w:styleId="590">
    <w:name w:val="Основной текст (59)"/>
    <w:basedOn w:val="a"/>
    <w:link w:val="59"/>
    <w:rsid w:val="003B67F9"/>
    <w:pPr>
      <w:shd w:val="clear" w:color="auto" w:fill="FFFFFF"/>
      <w:spacing w:line="240" w:lineRule="atLeast"/>
    </w:pPr>
    <w:rPr>
      <w:i/>
      <w:iCs/>
      <w:noProof/>
      <w:sz w:val="14"/>
      <w:szCs w:val="14"/>
    </w:rPr>
  </w:style>
  <w:style w:type="character" w:customStyle="1" w:styleId="620">
    <w:name w:val="Основной текст (62)_"/>
    <w:basedOn w:val="a0"/>
    <w:link w:val="621"/>
    <w:locked/>
    <w:rsid w:val="003B67F9"/>
    <w:rPr>
      <w:i/>
      <w:iCs/>
      <w:noProof/>
      <w:sz w:val="14"/>
      <w:szCs w:val="14"/>
      <w:shd w:val="clear" w:color="auto" w:fill="FFFFFF"/>
    </w:rPr>
  </w:style>
  <w:style w:type="paragraph" w:customStyle="1" w:styleId="621">
    <w:name w:val="Основной текст (62)"/>
    <w:basedOn w:val="a"/>
    <w:link w:val="620"/>
    <w:rsid w:val="003B67F9"/>
    <w:pPr>
      <w:shd w:val="clear" w:color="auto" w:fill="FFFFFF"/>
      <w:spacing w:line="240" w:lineRule="atLeast"/>
    </w:pPr>
    <w:rPr>
      <w:i/>
      <w:iCs/>
      <w:noProof/>
      <w:sz w:val="14"/>
      <w:szCs w:val="14"/>
    </w:rPr>
  </w:style>
  <w:style w:type="character" w:customStyle="1" w:styleId="611">
    <w:name w:val="Основной текст (61)_"/>
    <w:basedOn w:val="a0"/>
    <w:link w:val="612"/>
    <w:locked/>
    <w:rsid w:val="003B67F9"/>
    <w:rPr>
      <w:noProof/>
      <w:sz w:val="14"/>
      <w:szCs w:val="14"/>
      <w:shd w:val="clear" w:color="auto" w:fill="FFFFFF"/>
    </w:rPr>
  </w:style>
  <w:style w:type="paragraph" w:customStyle="1" w:styleId="612">
    <w:name w:val="Основной текст (61)"/>
    <w:basedOn w:val="a"/>
    <w:link w:val="611"/>
    <w:rsid w:val="003B67F9"/>
    <w:pPr>
      <w:shd w:val="clear" w:color="auto" w:fill="FFFFFF"/>
      <w:spacing w:line="240" w:lineRule="atLeast"/>
      <w:jc w:val="left"/>
    </w:pPr>
    <w:rPr>
      <w:noProof/>
      <w:sz w:val="14"/>
      <w:szCs w:val="14"/>
    </w:rPr>
  </w:style>
  <w:style w:type="character" w:customStyle="1" w:styleId="600">
    <w:name w:val="Основной текст (60)_"/>
    <w:basedOn w:val="a0"/>
    <w:link w:val="601"/>
    <w:locked/>
    <w:rsid w:val="003B67F9"/>
    <w:rPr>
      <w:rFonts w:ascii="Arial" w:hAnsi="Arial" w:cs="Arial"/>
      <w:noProof/>
      <w:sz w:val="13"/>
      <w:szCs w:val="13"/>
      <w:shd w:val="clear" w:color="auto" w:fill="FFFFFF"/>
    </w:rPr>
  </w:style>
  <w:style w:type="paragraph" w:customStyle="1" w:styleId="601">
    <w:name w:val="Основной текст (60)"/>
    <w:basedOn w:val="a"/>
    <w:link w:val="600"/>
    <w:rsid w:val="003B67F9"/>
    <w:pPr>
      <w:shd w:val="clear" w:color="auto" w:fill="FFFFFF"/>
      <w:spacing w:line="240" w:lineRule="atLeast"/>
      <w:jc w:val="left"/>
    </w:pPr>
    <w:rPr>
      <w:rFonts w:ascii="Arial" w:hAnsi="Arial" w:cs="Arial"/>
      <w:noProof/>
      <w:sz w:val="13"/>
      <w:szCs w:val="13"/>
    </w:rPr>
  </w:style>
  <w:style w:type="character" w:customStyle="1" w:styleId="63">
    <w:name w:val="Основной текст (63)_"/>
    <w:basedOn w:val="a0"/>
    <w:link w:val="630"/>
    <w:locked/>
    <w:rsid w:val="003B67F9"/>
    <w:rPr>
      <w:i/>
      <w:iCs/>
      <w:sz w:val="18"/>
      <w:szCs w:val="18"/>
      <w:shd w:val="clear" w:color="auto" w:fill="FFFFFF"/>
    </w:rPr>
  </w:style>
  <w:style w:type="paragraph" w:customStyle="1" w:styleId="630">
    <w:name w:val="Основной текст (63)"/>
    <w:basedOn w:val="a"/>
    <w:link w:val="63"/>
    <w:rsid w:val="003B67F9"/>
    <w:pPr>
      <w:shd w:val="clear" w:color="auto" w:fill="FFFFFF"/>
      <w:spacing w:line="240" w:lineRule="atLeast"/>
    </w:pPr>
    <w:rPr>
      <w:i/>
      <w:iCs/>
      <w:sz w:val="18"/>
      <w:szCs w:val="18"/>
    </w:rPr>
  </w:style>
  <w:style w:type="paragraph" w:customStyle="1" w:styleId="afff0">
    <w:name w:val="a"/>
    <w:basedOn w:val="a"/>
    <w:rsid w:val="003B67F9"/>
    <w:pPr>
      <w:spacing w:before="100" w:beforeAutospacing="1" w:after="100" w:afterAutospacing="1" w:line="240" w:lineRule="auto"/>
      <w:jc w:val="left"/>
    </w:pPr>
    <w:rPr>
      <w:rFonts w:eastAsia="Times New Roman"/>
      <w:sz w:val="24"/>
      <w:szCs w:val="24"/>
      <w:lang w:val="ru-RU" w:eastAsia="ru-RU"/>
    </w:rPr>
  </w:style>
  <w:style w:type="character" w:customStyle="1" w:styleId="ti">
    <w:name w:val="ti"/>
    <w:basedOn w:val="a0"/>
    <w:rsid w:val="003B67F9"/>
  </w:style>
  <w:style w:type="character" w:customStyle="1" w:styleId="hps">
    <w:name w:val="hps"/>
    <w:basedOn w:val="a0"/>
    <w:rsid w:val="003B67F9"/>
  </w:style>
  <w:style w:type="character" w:customStyle="1" w:styleId="s0">
    <w:name w:val="s0"/>
    <w:rsid w:val="003B67F9"/>
    <w:rPr>
      <w:rFonts w:ascii="Times New Roman" w:hAnsi="Times New Roman" w:cs="Times New Roman" w:hint="default"/>
      <w:strike w:val="0"/>
      <w:dstrike w:val="0"/>
      <w:color w:val="000000"/>
      <w:sz w:val="20"/>
      <w:szCs w:val="20"/>
      <w:u w:val="none"/>
      <w:effect w:val="none"/>
    </w:rPr>
  </w:style>
  <w:style w:type="character" w:customStyle="1" w:styleId="FontStyle34">
    <w:name w:val="Font Style34"/>
    <w:basedOn w:val="a0"/>
    <w:rsid w:val="003B67F9"/>
    <w:rPr>
      <w:rFonts w:ascii="Times New Roman" w:hAnsi="Times New Roman" w:cs="Times New Roman" w:hint="default"/>
      <w:sz w:val="18"/>
      <w:szCs w:val="18"/>
    </w:rPr>
  </w:style>
  <w:style w:type="character" w:customStyle="1" w:styleId="4a">
    <w:name w:val="Знак Знак4"/>
    <w:basedOn w:val="a0"/>
    <w:rsid w:val="003B67F9"/>
    <w:rPr>
      <w:sz w:val="24"/>
      <w:szCs w:val="24"/>
      <w:lang w:val="uk-UA" w:eastAsia="ru-RU" w:bidi="ar-SA"/>
    </w:rPr>
  </w:style>
  <w:style w:type="character" w:customStyle="1" w:styleId="1a">
    <w:name w:val="Название1"/>
    <w:basedOn w:val="a0"/>
    <w:rsid w:val="003B67F9"/>
    <w:rPr>
      <w:b/>
      <w:bCs/>
      <w:color w:val="6683AA"/>
      <w:sz w:val="26"/>
      <w:szCs w:val="26"/>
    </w:rPr>
  </w:style>
  <w:style w:type="character" w:customStyle="1" w:styleId="longtext">
    <w:name w:val="long_text"/>
    <w:basedOn w:val="a0"/>
    <w:rsid w:val="003B67F9"/>
  </w:style>
  <w:style w:type="character" w:customStyle="1" w:styleId="apple-converted-space">
    <w:name w:val="apple-converted-space"/>
    <w:rsid w:val="003B67F9"/>
  </w:style>
  <w:style w:type="character" w:customStyle="1" w:styleId="132">
    <w:name w:val="Знак Знак13"/>
    <w:basedOn w:val="a0"/>
    <w:rsid w:val="003B67F9"/>
    <w:rPr>
      <w:rFonts w:ascii="Times New Roman" w:eastAsia="Times New Roman" w:hAnsi="Times New Roman" w:cs="Times New Roman" w:hint="default"/>
      <w:b/>
      <w:bCs w:val="0"/>
      <w:sz w:val="24"/>
      <w:szCs w:val="20"/>
      <w:lang w:val="uk-UA" w:eastAsia="ru-RU"/>
    </w:rPr>
  </w:style>
  <w:style w:type="character" w:customStyle="1" w:styleId="font-10pt-ar-left">
    <w:name w:val="font-10pt-ar-left"/>
    <w:basedOn w:val="a0"/>
    <w:rsid w:val="003B67F9"/>
  </w:style>
  <w:style w:type="character" w:customStyle="1" w:styleId="FontStyle137">
    <w:name w:val="Font Style137"/>
    <w:basedOn w:val="a0"/>
    <w:rsid w:val="003B67F9"/>
    <w:rPr>
      <w:rFonts w:ascii="Times New Roman" w:hAnsi="Times New Roman" w:cs="Times New Roman" w:hint="default"/>
      <w:sz w:val="26"/>
      <w:szCs w:val="26"/>
    </w:rPr>
  </w:style>
  <w:style w:type="character" w:customStyle="1" w:styleId="FontStyle43">
    <w:name w:val="Font Style43"/>
    <w:basedOn w:val="a0"/>
    <w:rsid w:val="003B67F9"/>
    <w:rPr>
      <w:rFonts w:ascii="Times New Roman" w:hAnsi="Times New Roman" w:cs="Times New Roman" w:hint="default"/>
      <w:b/>
      <w:bCs/>
      <w:sz w:val="20"/>
      <w:szCs w:val="20"/>
    </w:rPr>
  </w:style>
  <w:style w:type="character" w:customStyle="1" w:styleId="2pt1">
    <w:name w:val="Основной текст + Интервал 2 pt1"/>
    <w:basedOn w:val="a0"/>
    <w:rsid w:val="003B67F9"/>
    <w:rPr>
      <w:rFonts w:ascii="Times New Roman" w:hAnsi="Times New Roman" w:cs="Times New Roman" w:hint="default"/>
      <w:spacing w:val="40"/>
      <w:sz w:val="18"/>
      <w:szCs w:val="18"/>
    </w:rPr>
  </w:style>
  <w:style w:type="character" w:customStyle="1" w:styleId="352">
    <w:name w:val="Основной текст (3) + 5"/>
    <w:aliases w:val="5 pt6,Основной текст (34) + 12"/>
    <w:basedOn w:val="36"/>
    <w:rsid w:val="003B67F9"/>
    <w:rPr>
      <w:noProof/>
      <w:sz w:val="11"/>
      <w:szCs w:val="11"/>
      <w:shd w:val="clear" w:color="auto" w:fill="FFFFFF"/>
    </w:rPr>
  </w:style>
  <w:style w:type="character" w:customStyle="1" w:styleId="longtext1">
    <w:name w:val="long_text1"/>
    <w:basedOn w:val="a0"/>
    <w:rsid w:val="003B67F9"/>
    <w:rPr>
      <w:sz w:val="22"/>
      <w:szCs w:val="22"/>
    </w:rPr>
  </w:style>
  <w:style w:type="character" w:customStyle="1" w:styleId="1b">
    <w:name w:val="Знак Знак1"/>
    <w:basedOn w:val="a0"/>
    <w:rsid w:val="003B67F9"/>
    <w:rPr>
      <w:rFonts w:ascii="Courier New" w:hAnsi="Courier New" w:cs="Courier New" w:hint="default"/>
      <w:lang w:val="uk-UA" w:eastAsia="ru-RU" w:bidi="ar-SA"/>
    </w:rPr>
  </w:style>
  <w:style w:type="character" w:customStyle="1" w:styleId="fontstyle11">
    <w:name w:val="fontstyle11"/>
    <w:basedOn w:val="a0"/>
    <w:rsid w:val="003B67F9"/>
  </w:style>
  <w:style w:type="character" w:customStyle="1" w:styleId="2c">
    <w:name w:val="Основной текст (2) + Не полужирный"/>
    <w:basedOn w:val="26"/>
    <w:rsid w:val="003B67F9"/>
    <w:rPr>
      <w:b/>
      <w:bCs/>
      <w:sz w:val="26"/>
      <w:szCs w:val="26"/>
      <w:shd w:val="clear" w:color="auto" w:fill="FFFFFF"/>
    </w:rPr>
  </w:style>
  <w:style w:type="character" w:customStyle="1" w:styleId="103">
    <w:name w:val="Колонтитул + 10"/>
    <w:aliases w:val="5 pt"/>
    <w:basedOn w:val="affc"/>
    <w:rsid w:val="003B67F9"/>
    <w:rPr>
      <w:spacing w:val="0"/>
      <w:sz w:val="21"/>
      <w:szCs w:val="21"/>
      <w:shd w:val="clear" w:color="auto" w:fill="FFFFFF"/>
      <w:lang w:val="ru-RU" w:eastAsia="ru-RU"/>
    </w:rPr>
  </w:style>
  <w:style w:type="character" w:customStyle="1" w:styleId="afff1">
    <w:name w:val="Основной текст_"/>
    <w:basedOn w:val="a0"/>
    <w:rsid w:val="003B67F9"/>
    <w:rPr>
      <w:sz w:val="26"/>
      <w:szCs w:val="26"/>
      <w:lang w:bidi="ar-SA"/>
    </w:rPr>
  </w:style>
  <w:style w:type="character" w:customStyle="1" w:styleId="Arial">
    <w:name w:val="Основной текст + Arial"/>
    <w:aliases w:val="11 pt,Курсив"/>
    <w:basedOn w:val="afff1"/>
    <w:rsid w:val="003B67F9"/>
    <w:rPr>
      <w:rFonts w:ascii="Arial" w:hAnsi="Arial" w:cs="Arial" w:hint="default"/>
      <w:i/>
      <w:iCs/>
      <w:sz w:val="22"/>
      <w:szCs w:val="22"/>
      <w:lang w:val="ru-RU" w:eastAsia="ru-RU" w:bidi="ar-SA"/>
    </w:rPr>
  </w:style>
  <w:style w:type="character" w:customStyle="1" w:styleId="afff2">
    <w:name w:val="Основной текст + Полужирный"/>
    <w:basedOn w:val="afff1"/>
    <w:rsid w:val="003B67F9"/>
    <w:rPr>
      <w:b/>
      <w:bCs/>
      <w:noProof/>
      <w:sz w:val="26"/>
      <w:szCs w:val="26"/>
      <w:lang w:bidi="ar-SA"/>
    </w:rPr>
  </w:style>
  <w:style w:type="character" w:customStyle="1" w:styleId="92">
    <w:name w:val="Основной текст + Полужирный9"/>
    <w:basedOn w:val="afff1"/>
    <w:rsid w:val="003B67F9"/>
    <w:rPr>
      <w:b/>
      <w:bCs/>
      <w:sz w:val="26"/>
      <w:szCs w:val="26"/>
      <w:u w:val="single"/>
      <w:lang w:bidi="ar-SA"/>
    </w:rPr>
  </w:style>
  <w:style w:type="character" w:customStyle="1" w:styleId="82">
    <w:name w:val="Основной текст + Полужирный8"/>
    <w:basedOn w:val="afff1"/>
    <w:rsid w:val="003B67F9"/>
    <w:rPr>
      <w:b/>
      <w:bCs/>
      <w:sz w:val="26"/>
      <w:szCs w:val="26"/>
      <w:lang w:bidi="ar-SA"/>
    </w:rPr>
  </w:style>
  <w:style w:type="character" w:customStyle="1" w:styleId="73">
    <w:name w:val="Основной текст + Полужирный7"/>
    <w:basedOn w:val="afff1"/>
    <w:rsid w:val="003B67F9"/>
    <w:rPr>
      <w:b/>
      <w:bCs/>
      <w:sz w:val="26"/>
      <w:szCs w:val="26"/>
      <w:u w:val="single"/>
      <w:lang w:bidi="ar-SA"/>
    </w:rPr>
  </w:style>
  <w:style w:type="character" w:customStyle="1" w:styleId="1pt">
    <w:name w:val="Основной текст + Интервал 1 pt"/>
    <w:basedOn w:val="afff1"/>
    <w:rsid w:val="003B67F9"/>
    <w:rPr>
      <w:spacing w:val="30"/>
      <w:sz w:val="26"/>
      <w:szCs w:val="26"/>
      <w:lang w:val="ru-RU" w:eastAsia="ru-RU" w:bidi="ar-SA"/>
    </w:rPr>
  </w:style>
  <w:style w:type="character" w:customStyle="1" w:styleId="65">
    <w:name w:val="Основной текст + Полужирный6"/>
    <w:basedOn w:val="afff1"/>
    <w:rsid w:val="003B67F9"/>
    <w:rPr>
      <w:b/>
      <w:bCs/>
      <w:noProof/>
      <w:sz w:val="26"/>
      <w:szCs w:val="26"/>
      <w:lang w:bidi="ar-SA"/>
    </w:rPr>
  </w:style>
  <w:style w:type="character" w:customStyle="1" w:styleId="5a">
    <w:name w:val="Основной текст + Полужирный5"/>
    <w:basedOn w:val="afff1"/>
    <w:rsid w:val="003B67F9"/>
    <w:rPr>
      <w:b/>
      <w:bCs/>
      <w:sz w:val="26"/>
      <w:szCs w:val="26"/>
      <w:u w:val="single"/>
      <w:lang w:bidi="ar-SA"/>
    </w:rPr>
  </w:style>
  <w:style w:type="character" w:customStyle="1" w:styleId="3pt">
    <w:name w:val="Основной текст + Интервал 3 pt"/>
    <w:basedOn w:val="afff1"/>
    <w:rsid w:val="003B67F9"/>
    <w:rPr>
      <w:spacing w:val="70"/>
      <w:sz w:val="26"/>
      <w:szCs w:val="26"/>
      <w:lang w:bidi="ar-SA"/>
    </w:rPr>
  </w:style>
  <w:style w:type="character" w:customStyle="1" w:styleId="3b">
    <w:name w:val="Основной текст (3) + Не полужирный"/>
    <w:basedOn w:val="36"/>
    <w:rsid w:val="003B67F9"/>
    <w:rPr>
      <w:b/>
      <w:bCs/>
      <w:sz w:val="26"/>
      <w:szCs w:val="26"/>
      <w:shd w:val="clear" w:color="auto" w:fill="FFFFFF"/>
    </w:rPr>
  </w:style>
  <w:style w:type="character" w:customStyle="1" w:styleId="3c">
    <w:name w:val="Основной текст (3)"/>
    <w:basedOn w:val="36"/>
    <w:rsid w:val="003B67F9"/>
    <w:rPr>
      <w:b/>
      <w:bCs/>
      <w:sz w:val="26"/>
      <w:szCs w:val="26"/>
      <w:u w:val="single"/>
      <w:shd w:val="clear" w:color="auto" w:fill="FFFFFF"/>
    </w:rPr>
  </w:style>
  <w:style w:type="character" w:customStyle="1" w:styleId="4b">
    <w:name w:val="Основной текст + Полужирный4"/>
    <w:basedOn w:val="afff1"/>
    <w:rsid w:val="003B67F9"/>
    <w:rPr>
      <w:b/>
      <w:bCs/>
      <w:noProof/>
      <w:sz w:val="26"/>
      <w:szCs w:val="26"/>
      <w:lang w:bidi="ar-SA"/>
    </w:rPr>
  </w:style>
  <w:style w:type="character" w:customStyle="1" w:styleId="3d">
    <w:name w:val="Основной текст + Полужирный3"/>
    <w:basedOn w:val="afff1"/>
    <w:rsid w:val="003B67F9"/>
    <w:rPr>
      <w:b/>
      <w:bCs/>
      <w:sz w:val="26"/>
      <w:szCs w:val="26"/>
      <w:u w:val="single"/>
      <w:lang w:bidi="ar-SA"/>
    </w:rPr>
  </w:style>
  <w:style w:type="character" w:customStyle="1" w:styleId="1pt1">
    <w:name w:val="Основной текст + Интервал 1 pt1"/>
    <w:basedOn w:val="afff1"/>
    <w:rsid w:val="003B67F9"/>
    <w:rPr>
      <w:spacing w:val="30"/>
      <w:sz w:val="26"/>
      <w:szCs w:val="26"/>
      <w:lang w:val="ru-RU" w:eastAsia="ru-RU" w:bidi="ar-SA"/>
    </w:rPr>
  </w:style>
  <w:style w:type="character" w:customStyle="1" w:styleId="2d">
    <w:name w:val="Основной текст + Полужирный2"/>
    <w:basedOn w:val="afff1"/>
    <w:rsid w:val="003B67F9"/>
    <w:rPr>
      <w:b/>
      <w:bCs/>
      <w:noProof/>
      <w:sz w:val="26"/>
      <w:szCs w:val="26"/>
      <w:lang w:bidi="ar-SA"/>
    </w:rPr>
  </w:style>
  <w:style w:type="character" w:customStyle="1" w:styleId="1c">
    <w:name w:val="Основной текст + Полужирный1"/>
    <w:basedOn w:val="afff1"/>
    <w:rsid w:val="003B67F9"/>
    <w:rPr>
      <w:b/>
      <w:bCs/>
      <w:sz w:val="26"/>
      <w:szCs w:val="26"/>
      <w:u w:val="single"/>
      <w:lang w:bidi="ar-SA"/>
    </w:rPr>
  </w:style>
  <w:style w:type="character" w:customStyle="1" w:styleId="8pt">
    <w:name w:val="Основной текст + Интервал 8 pt"/>
    <w:basedOn w:val="afff1"/>
    <w:rsid w:val="003B67F9"/>
    <w:rPr>
      <w:spacing w:val="160"/>
      <w:sz w:val="26"/>
      <w:szCs w:val="26"/>
      <w:lang w:val="ru-RU" w:eastAsia="ru-RU" w:bidi="ar-SA"/>
    </w:rPr>
  </w:style>
  <w:style w:type="character" w:customStyle="1" w:styleId="Arial0">
    <w:name w:val="Колонтитул + Arial"/>
    <w:aliases w:val="17,5 pt15,Полужирный"/>
    <w:basedOn w:val="affc"/>
    <w:rsid w:val="003B67F9"/>
    <w:rPr>
      <w:rFonts w:ascii="Arial" w:hAnsi="Arial" w:cs="Arial" w:hint="default"/>
      <w:b/>
      <w:bCs/>
      <w:spacing w:val="0"/>
      <w:sz w:val="35"/>
      <w:szCs w:val="35"/>
      <w:shd w:val="clear" w:color="auto" w:fill="FFFFFF"/>
    </w:rPr>
  </w:style>
  <w:style w:type="character" w:customStyle="1" w:styleId="Arial1">
    <w:name w:val="Колонтитул + Arial1"/>
    <w:aliases w:val="11,5 pt14,Курсив4"/>
    <w:basedOn w:val="affc"/>
    <w:rsid w:val="003B67F9"/>
    <w:rPr>
      <w:rFonts w:ascii="Arial" w:hAnsi="Arial" w:cs="Arial" w:hint="default"/>
      <w:i/>
      <w:iCs/>
      <w:spacing w:val="0"/>
      <w:sz w:val="23"/>
      <w:szCs w:val="23"/>
      <w:shd w:val="clear" w:color="auto" w:fill="FFFFFF"/>
    </w:rPr>
  </w:style>
  <w:style w:type="character" w:customStyle="1" w:styleId="74">
    <w:name w:val="Основной текст + 7"/>
    <w:aliases w:val="5 pt13"/>
    <w:basedOn w:val="afff1"/>
    <w:rsid w:val="003B67F9"/>
    <w:rPr>
      <w:noProof/>
      <w:sz w:val="15"/>
      <w:szCs w:val="15"/>
      <w:lang w:bidi="ar-SA"/>
    </w:rPr>
  </w:style>
  <w:style w:type="character" w:customStyle="1" w:styleId="108pt">
    <w:name w:val="Основной текст (10) + 8 pt"/>
    <w:basedOn w:val="101"/>
    <w:rsid w:val="003B67F9"/>
    <w:rPr>
      <w:rFonts w:ascii="Arial" w:hAnsi="Arial" w:cs="Arial"/>
      <w:sz w:val="16"/>
      <w:szCs w:val="16"/>
      <w:shd w:val="clear" w:color="auto" w:fill="FFFFFF"/>
    </w:rPr>
  </w:style>
  <w:style w:type="character" w:customStyle="1" w:styleId="75">
    <w:name w:val="Основной текст (7)"/>
    <w:basedOn w:val="72"/>
    <w:rsid w:val="003B67F9"/>
    <w:rPr>
      <w:sz w:val="19"/>
      <w:szCs w:val="19"/>
      <w:shd w:val="clear" w:color="auto" w:fill="FFFFFF"/>
    </w:rPr>
  </w:style>
  <w:style w:type="character" w:customStyle="1" w:styleId="76">
    <w:name w:val="Основной текст (7) + Полужирный"/>
    <w:basedOn w:val="72"/>
    <w:rsid w:val="003B67F9"/>
    <w:rPr>
      <w:b/>
      <w:bCs/>
      <w:noProof/>
      <w:sz w:val="19"/>
      <w:szCs w:val="19"/>
      <w:shd w:val="clear" w:color="auto" w:fill="FFFFFF"/>
    </w:rPr>
  </w:style>
  <w:style w:type="character" w:customStyle="1" w:styleId="121pt">
    <w:name w:val="Основной текст (12) + Интервал 1 pt"/>
    <w:basedOn w:val="120"/>
    <w:rsid w:val="003B67F9"/>
    <w:rPr>
      <w:rFonts w:ascii="Arial" w:hAnsi="Arial" w:cs="Arial"/>
      <w:spacing w:val="20"/>
      <w:sz w:val="14"/>
      <w:szCs w:val="14"/>
      <w:shd w:val="clear" w:color="auto" w:fill="FFFFFF"/>
      <w:lang w:val="ru-RU" w:eastAsia="ru-RU"/>
    </w:rPr>
  </w:style>
  <w:style w:type="character" w:customStyle="1" w:styleId="66">
    <w:name w:val="Основной текст (6)"/>
    <w:basedOn w:val="62"/>
    <w:rsid w:val="003B67F9"/>
    <w:rPr>
      <w:rFonts w:ascii="Arial" w:hAnsi="Arial" w:cs="Arial"/>
      <w:i/>
      <w:iCs/>
      <w:u w:val="single"/>
      <w:shd w:val="clear" w:color="auto" w:fill="FFFFFF"/>
    </w:rPr>
  </w:style>
  <w:style w:type="character" w:customStyle="1" w:styleId="730">
    <w:name w:val="Основной текст + 73"/>
    <w:aliases w:val="5 pt12"/>
    <w:basedOn w:val="afff1"/>
    <w:rsid w:val="003B67F9"/>
    <w:rPr>
      <w:noProof/>
      <w:sz w:val="15"/>
      <w:szCs w:val="15"/>
      <w:lang w:bidi="ar-SA"/>
    </w:rPr>
  </w:style>
  <w:style w:type="character" w:customStyle="1" w:styleId="255pt">
    <w:name w:val="Основной текст (25) + 5 pt"/>
    <w:basedOn w:val="250"/>
    <w:rsid w:val="003B67F9"/>
    <w:rPr>
      <w:sz w:val="10"/>
      <w:szCs w:val="10"/>
      <w:shd w:val="clear" w:color="auto" w:fill="FFFFFF"/>
    </w:rPr>
  </w:style>
  <w:style w:type="character" w:customStyle="1" w:styleId="24Arial">
    <w:name w:val="Основной текст (24) + Arial"/>
    <w:aliases w:val="6,5 pt11,Курсив3"/>
    <w:basedOn w:val="240"/>
    <w:rsid w:val="003B67F9"/>
    <w:rPr>
      <w:rFonts w:ascii="Arial" w:hAnsi="Arial" w:cs="Arial" w:hint="default"/>
      <w:i/>
      <w:iCs/>
      <w:sz w:val="13"/>
      <w:szCs w:val="13"/>
      <w:shd w:val="clear" w:color="auto" w:fill="FFFFFF"/>
    </w:rPr>
  </w:style>
  <w:style w:type="character" w:customStyle="1" w:styleId="246pt">
    <w:name w:val="Основной текст (24) + 6 pt"/>
    <w:basedOn w:val="240"/>
    <w:rsid w:val="003B67F9"/>
    <w:rPr>
      <w:sz w:val="12"/>
      <w:szCs w:val="12"/>
      <w:shd w:val="clear" w:color="auto" w:fill="FFFFFF"/>
    </w:rPr>
  </w:style>
  <w:style w:type="character" w:customStyle="1" w:styleId="215pt">
    <w:name w:val="Основной текст (21) + 5 pt"/>
    <w:basedOn w:val="212"/>
    <w:rsid w:val="003B67F9"/>
    <w:rPr>
      <w:sz w:val="10"/>
      <w:szCs w:val="10"/>
      <w:shd w:val="clear" w:color="auto" w:fill="FFFFFF"/>
    </w:rPr>
  </w:style>
  <w:style w:type="character" w:customStyle="1" w:styleId="226">
    <w:name w:val="Основной текст (22) + 6"/>
    <w:aliases w:val="5 pt10,Курсив2"/>
    <w:basedOn w:val="220"/>
    <w:rsid w:val="003B67F9"/>
    <w:rPr>
      <w:rFonts w:ascii="Arial" w:hAnsi="Arial" w:cs="Arial"/>
      <w:i/>
      <w:iCs/>
      <w:sz w:val="13"/>
      <w:szCs w:val="13"/>
      <w:shd w:val="clear" w:color="auto" w:fill="FFFFFF"/>
    </w:rPr>
  </w:style>
  <w:style w:type="character" w:customStyle="1" w:styleId="22TimesNewRoman">
    <w:name w:val="Основной текст (22) + Times New Roman"/>
    <w:aliases w:val="7,5 pt9,Курсив1"/>
    <w:basedOn w:val="220"/>
    <w:rsid w:val="003B67F9"/>
    <w:rPr>
      <w:rFonts w:ascii="Times New Roman" w:hAnsi="Times New Roman" w:cs="Times New Roman"/>
      <w:i/>
      <w:iCs/>
      <w:noProof/>
      <w:sz w:val="15"/>
      <w:szCs w:val="15"/>
      <w:shd w:val="clear" w:color="auto" w:fill="FFFFFF"/>
    </w:rPr>
  </w:style>
  <w:style w:type="character" w:customStyle="1" w:styleId="720">
    <w:name w:val="Основной текст + 72"/>
    <w:aliases w:val="5 pt8"/>
    <w:basedOn w:val="afff1"/>
    <w:rsid w:val="003B67F9"/>
    <w:rPr>
      <w:noProof/>
      <w:sz w:val="15"/>
      <w:szCs w:val="15"/>
      <w:lang w:bidi="ar-SA"/>
    </w:rPr>
  </w:style>
  <w:style w:type="character" w:customStyle="1" w:styleId="711">
    <w:name w:val="Основной текст + 71"/>
    <w:aliases w:val="5 pt7"/>
    <w:basedOn w:val="afff1"/>
    <w:rsid w:val="003B67F9"/>
    <w:rPr>
      <w:noProof/>
      <w:sz w:val="15"/>
      <w:szCs w:val="15"/>
      <w:lang w:bidi="ar-SA"/>
    </w:rPr>
  </w:style>
  <w:style w:type="character" w:customStyle="1" w:styleId="4215pt">
    <w:name w:val="Заголовок №4 (2) + 15 pt"/>
    <w:aliases w:val="Полужирный1,Не курсив"/>
    <w:basedOn w:val="420"/>
    <w:rsid w:val="003B67F9"/>
    <w:rPr>
      <w:rFonts w:ascii="Arial" w:hAnsi="Arial" w:cs="Arial"/>
      <w:b/>
      <w:bCs/>
      <w:i/>
      <w:iCs/>
      <w:sz w:val="30"/>
      <w:szCs w:val="30"/>
      <w:shd w:val="clear" w:color="auto" w:fill="FFFFFF"/>
    </w:rPr>
  </w:style>
  <w:style w:type="character" w:customStyle="1" w:styleId="42TimesNewRoman">
    <w:name w:val="Основной текст (42) + Times New Roman"/>
    <w:aliases w:val="9,5 pt5"/>
    <w:basedOn w:val="422"/>
    <w:rsid w:val="003B67F9"/>
    <w:rPr>
      <w:rFonts w:ascii="Times New Roman" w:hAnsi="Times New Roman" w:cs="Times New Roman"/>
      <w:b/>
      <w:bCs/>
      <w:sz w:val="19"/>
      <w:szCs w:val="19"/>
      <w:shd w:val="clear" w:color="auto" w:fill="FFFFFF"/>
    </w:rPr>
  </w:style>
  <w:style w:type="character" w:customStyle="1" w:styleId="342">
    <w:name w:val="Основной текст (34) + Полужирный"/>
    <w:basedOn w:val="340"/>
    <w:rsid w:val="003B67F9"/>
    <w:rPr>
      <w:rFonts w:ascii="Arial" w:hAnsi="Arial" w:cs="Arial"/>
      <w:b/>
      <w:bCs/>
      <w:sz w:val="18"/>
      <w:szCs w:val="18"/>
      <w:u w:val="single"/>
      <w:shd w:val="clear" w:color="auto" w:fill="FFFFFF"/>
    </w:rPr>
  </w:style>
  <w:style w:type="character" w:customStyle="1" w:styleId="113">
    <w:name w:val="Основной текст + 11"/>
    <w:aliases w:val="5 pt4"/>
    <w:basedOn w:val="afff1"/>
    <w:rsid w:val="003B67F9"/>
    <w:rPr>
      <w:sz w:val="23"/>
      <w:szCs w:val="23"/>
      <w:lang w:bidi="ar-SA"/>
    </w:rPr>
  </w:style>
  <w:style w:type="character" w:customStyle="1" w:styleId="913pt">
    <w:name w:val="Основной текст (9) + 13 pt"/>
    <w:basedOn w:val="90"/>
    <w:rsid w:val="003B67F9"/>
    <w:rPr>
      <w:sz w:val="26"/>
      <w:szCs w:val="26"/>
      <w:shd w:val="clear" w:color="auto" w:fill="FFFFFF"/>
    </w:rPr>
  </w:style>
  <w:style w:type="character" w:customStyle="1" w:styleId="4911">
    <w:name w:val="Основной текст (49) + 11"/>
    <w:aliases w:val="5 pt3,Интервал 0 pt"/>
    <w:basedOn w:val="49"/>
    <w:rsid w:val="003B67F9"/>
    <w:rPr>
      <w:spacing w:val="0"/>
      <w:sz w:val="23"/>
      <w:szCs w:val="23"/>
      <w:shd w:val="clear" w:color="auto" w:fill="FFFFFF"/>
    </w:rPr>
  </w:style>
  <w:style w:type="character" w:customStyle="1" w:styleId="912pt">
    <w:name w:val="Основной текст (9) + 12 pt"/>
    <w:aliases w:val="Интервал 0 pt1"/>
    <w:basedOn w:val="90"/>
    <w:rsid w:val="003B67F9"/>
    <w:rPr>
      <w:spacing w:val="-10"/>
      <w:sz w:val="24"/>
      <w:szCs w:val="24"/>
      <w:shd w:val="clear" w:color="auto" w:fill="FFFFFF"/>
    </w:rPr>
  </w:style>
  <w:style w:type="character" w:customStyle="1" w:styleId="329pt">
    <w:name w:val="Основной текст (32) + 9 pt"/>
    <w:basedOn w:val="320"/>
    <w:rsid w:val="003B67F9"/>
    <w:rPr>
      <w:rFonts w:ascii="Arial" w:hAnsi="Arial" w:cs="Arial"/>
      <w:i/>
      <w:iCs/>
      <w:sz w:val="18"/>
      <w:szCs w:val="18"/>
      <w:shd w:val="clear" w:color="auto" w:fill="FFFFFF"/>
    </w:rPr>
  </w:style>
  <w:style w:type="character" w:customStyle="1" w:styleId="22TimesNewRoman2">
    <w:name w:val="Основной текст (22) + Times New Roman2"/>
    <w:aliases w:val="71,5 pt2"/>
    <w:basedOn w:val="220"/>
    <w:rsid w:val="003B67F9"/>
    <w:rPr>
      <w:rFonts w:ascii="Times New Roman" w:hAnsi="Times New Roman" w:cs="Times New Roman"/>
      <w:sz w:val="15"/>
      <w:szCs w:val="15"/>
      <w:shd w:val="clear" w:color="auto" w:fill="FFFFFF"/>
    </w:rPr>
  </w:style>
  <w:style w:type="character" w:customStyle="1" w:styleId="22TimesNewRoman1">
    <w:name w:val="Основной текст (22) + Times New Roman1"/>
    <w:aliases w:val="61,5 pt1"/>
    <w:basedOn w:val="220"/>
    <w:rsid w:val="003B67F9"/>
    <w:rPr>
      <w:rFonts w:ascii="Times New Roman" w:hAnsi="Times New Roman" w:cs="Times New Roman"/>
      <w:sz w:val="13"/>
      <w:szCs w:val="13"/>
      <w:shd w:val="clear" w:color="auto" w:fill="FFFFFF"/>
    </w:rPr>
  </w:style>
  <w:style w:type="character" w:customStyle="1" w:styleId="66pt">
    <w:name w:val="Основной текст (6) + 6 pt"/>
    <w:aliases w:val="Не курсив1"/>
    <w:basedOn w:val="62"/>
    <w:rsid w:val="003B67F9"/>
    <w:rPr>
      <w:rFonts w:ascii="Arial" w:hAnsi="Arial" w:cs="Arial"/>
      <w:i/>
      <w:iCs/>
      <w:sz w:val="12"/>
      <w:szCs w:val="12"/>
      <w:shd w:val="clear" w:color="auto" w:fill="FFFFFF"/>
      <w:lang w:val="ru-RU" w:eastAsia="ru-RU"/>
    </w:rPr>
  </w:style>
  <w:style w:type="character" w:customStyle="1" w:styleId="329pt1">
    <w:name w:val="Основной текст (32) + 9 pt1"/>
    <w:basedOn w:val="320"/>
    <w:rsid w:val="003B67F9"/>
    <w:rPr>
      <w:rFonts w:ascii="Arial" w:hAnsi="Arial" w:cs="Arial"/>
      <w:i/>
      <w:iCs/>
      <w:sz w:val="18"/>
      <w:szCs w:val="18"/>
      <w:shd w:val="clear" w:color="auto" w:fill="FFFFFF"/>
    </w:rPr>
  </w:style>
  <w:style w:type="character" w:customStyle="1" w:styleId="241pt">
    <w:name w:val="Основной текст (24) + Интервал 1 pt"/>
    <w:basedOn w:val="240"/>
    <w:rsid w:val="003B67F9"/>
    <w:rPr>
      <w:spacing w:val="30"/>
      <w:sz w:val="10"/>
      <w:szCs w:val="10"/>
      <w:shd w:val="clear" w:color="auto" w:fill="FFFFFF"/>
    </w:rPr>
  </w:style>
  <w:style w:type="character" w:styleId="afff3">
    <w:name w:val="Emphasis"/>
    <w:basedOn w:val="a0"/>
    <w:qFormat/>
    <w:rsid w:val="003B67F9"/>
    <w:rPr>
      <w:i/>
      <w:iCs/>
    </w:rPr>
  </w:style>
  <w:style w:type="character" w:styleId="afff4">
    <w:name w:val="Strong"/>
    <w:basedOn w:val="a0"/>
    <w:uiPriority w:val="22"/>
    <w:qFormat/>
    <w:rsid w:val="003B67F9"/>
    <w:rPr>
      <w:b/>
      <w:bCs/>
    </w:rPr>
  </w:style>
  <w:style w:type="character" w:customStyle="1" w:styleId="hl">
    <w:name w:val="hl"/>
    <w:basedOn w:val="a0"/>
    <w:rsid w:val="003B67F9"/>
  </w:style>
  <w:style w:type="paragraph" w:styleId="afff5">
    <w:name w:val="Body Text First Indent"/>
    <w:basedOn w:val="af9"/>
    <w:link w:val="afff6"/>
    <w:uiPriority w:val="99"/>
    <w:semiHidden/>
    <w:rsid w:val="003B67F9"/>
    <w:pPr>
      <w:spacing w:line="240" w:lineRule="auto"/>
      <w:ind w:firstLine="210"/>
      <w:jc w:val="left"/>
    </w:pPr>
    <w:rPr>
      <w:sz w:val="24"/>
      <w:lang w:val="ru-RU"/>
    </w:rPr>
  </w:style>
  <w:style w:type="character" w:customStyle="1" w:styleId="afff6">
    <w:name w:val="Красная строка Знак"/>
    <w:basedOn w:val="afa"/>
    <w:link w:val="afff5"/>
    <w:uiPriority w:val="99"/>
    <w:semiHidden/>
    <w:rsid w:val="003B67F9"/>
    <w:rPr>
      <w:rFonts w:eastAsia="Times New Roman" w:cs="Times New Roman"/>
      <w:sz w:val="24"/>
      <w:szCs w:val="24"/>
      <w:lang w:val="ru-RU" w:eastAsia="ru-RU"/>
    </w:rPr>
  </w:style>
  <w:style w:type="paragraph" w:customStyle="1" w:styleId="2e">
    <w:name w:val="Знак2"/>
    <w:basedOn w:val="a"/>
    <w:rsid w:val="003B67F9"/>
    <w:pPr>
      <w:spacing w:line="240" w:lineRule="auto"/>
      <w:jc w:val="left"/>
    </w:pPr>
    <w:rPr>
      <w:rFonts w:ascii="Verdana" w:eastAsia="Times New Roman" w:hAnsi="Verdana" w:cs="Verdana"/>
      <w:sz w:val="20"/>
      <w:szCs w:val="20"/>
      <w:lang w:val="en-US" w:bidi="sa-IN"/>
    </w:rPr>
  </w:style>
  <w:style w:type="paragraph" w:customStyle="1" w:styleId="122">
    <w:name w:val="Знак Знак Знак Знак1 Знак Знак Знак2"/>
    <w:basedOn w:val="a"/>
    <w:rsid w:val="003B67F9"/>
    <w:pPr>
      <w:spacing w:line="240" w:lineRule="auto"/>
      <w:jc w:val="left"/>
    </w:pPr>
    <w:rPr>
      <w:rFonts w:ascii="Verdana" w:eastAsia="Times New Roman" w:hAnsi="Verdana" w:cs="Verdana"/>
      <w:bCs/>
      <w:color w:val="000000"/>
      <w:sz w:val="20"/>
      <w:szCs w:val="20"/>
      <w:lang w:val="en-US"/>
    </w:rPr>
  </w:style>
  <w:style w:type="numbering" w:customStyle="1" w:styleId="2f">
    <w:name w:val="Немає списку2"/>
    <w:next w:val="a2"/>
    <w:uiPriority w:val="99"/>
    <w:semiHidden/>
    <w:unhideWhenUsed/>
    <w:rsid w:val="003B67F9"/>
  </w:style>
  <w:style w:type="numbering" w:customStyle="1" w:styleId="114">
    <w:name w:val="Нет списка11"/>
    <w:next w:val="a2"/>
    <w:semiHidden/>
    <w:rsid w:val="003B67F9"/>
  </w:style>
  <w:style w:type="character" w:styleId="afff7">
    <w:name w:val="page number"/>
    <w:basedOn w:val="a0"/>
    <w:rsid w:val="003B67F9"/>
  </w:style>
  <w:style w:type="character" w:customStyle="1" w:styleId="rvts15">
    <w:name w:val="rvts15"/>
    <w:basedOn w:val="a0"/>
    <w:rsid w:val="003B67F9"/>
  </w:style>
  <w:style w:type="character" w:customStyle="1" w:styleId="rvts16">
    <w:name w:val="rvts16"/>
    <w:basedOn w:val="a0"/>
    <w:rsid w:val="003B67F9"/>
  </w:style>
  <w:style w:type="paragraph" w:customStyle="1" w:styleId="2f0">
    <w:name w:val="заголовок 2"/>
    <w:basedOn w:val="a"/>
    <w:next w:val="a"/>
    <w:rsid w:val="003B67F9"/>
    <w:pPr>
      <w:keepNext/>
      <w:autoSpaceDE w:val="0"/>
      <w:autoSpaceDN w:val="0"/>
      <w:jc w:val="center"/>
      <w:outlineLvl w:val="1"/>
    </w:pPr>
    <w:rPr>
      <w:rFonts w:eastAsia="Times New Roman"/>
      <w:b/>
      <w:sz w:val="36"/>
      <w:szCs w:val="28"/>
      <w:lang w:eastAsia="ru-RU"/>
    </w:rPr>
  </w:style>
  <w:style w:type="paragraph" w:customStyle="1" w:styleId="1d">
    <w:name w:val="Обычный1"/>
    <w:basedOn w:val="a"/>
    <w:rsid w:val="003B67F9"/>
    <w:pPr>
      <w:spacing w:line="240" w:lineRule="auto"/>
      <w:ind w:firstLine="426"/>
    </w:pPr>
    <w:rPr>
      <w:rFonts w:eastAsia="Times New Roman"/>
      <w:sz w:val="20"/>
      <w:szCs w:val="20"/>
      <w:lang w:eastAsia="ru-RU"/>
    </w:rPr>
  </w:style>
  <w:style w:type="character" w:customStyle="1" w:styleId="afff8">
    <w:name w:val="Знак Знак"/>
    <w:rsid w:val="003B67F9"/>
    <w:rPr>
      <w:rFonts w:ascii="UkrainianPeterburg" w:hAnsi="UkrainianPeterburg"/>
      <w:sz w:val="28"/>
      <w:lang w:val="uk-UA"/>
    </w:rPr>
  </w:style>
  <w:style w:type="paragraph" w:customStyle="1" w:styleId="Default">
    <w:name w:val="Default"/>
    <w:uiPriority w:val="99"/>
    <w:qFormat/>
    <w:rsid w:val="003B67F9"/>
    <w:pPr>
      <w:autoSpaceDE w:val="0"/>
      <w:autoSpaceDN w:val="0"/>
      <w:adjustRightInd w:val="0"/>
      <w:spacing w:line="240" w:lineRule="auto"/>
      <w:jc w:val="left"/>
    </w:pPr>
    <w:rPr>
      <w:rFonts w:eastAsia="Times New Roman"/>
      <w:color w:val="000000"/>
      <w:sz w:val="24"/>
      <w:szCs w:val="24"/>
      <w:lang w:val="ru-RU" w:eastAsia="ru-RU"/>
    </w:rPr>
  </w:style>
  <w:style w:type="numbering" w:customStyle="1" w:styleId="2f1">
    <w:name w:val="Нет списка2"/>
    <w:next w:val="a2"/>
    <w:uiPriority w:val="99"/>
    <w:semiHidden/>
    <w:rsid w:val="003B67F9"/>
  </w:style>
  <w:style w:type="numbering" w:customStyle="1" w:styleId="3e">
    <w:name w:val="Нет списка3"/>
    <w:next w:val="a2"/>
    <w:semiHidden/>
    <w:rsid w:val="003B67F9"/>
  </w:style>
  <w:style w:type="paragraph" w:customStyle="1" w:styleId="rvps2">
    <w:name w:val="rvps2"/>
    <w:basedOn w:val="a"/>
    <w:rsid w:val="003B67F9"/>
    <w:pPr>
      <w:spacing w:before="100" w:beforeAutospacing="1" w:after="100" w:afterAutospacing="1" w:line="240" w:lineRule="auto"/>
      <w:jc w:val="left"/>
    </w:pPr>
    <w:rPr>
      <w:rFonts w:eastAsia="Times New Roman"/>
      <w:sz w:val="24"/>
      <w:szCs w:val="24"/>
      <w:lang w:val="en-US"/>
    </w:rPr>
  </w:style>
  <w:style w:type="table" w:customStyle="1" w:styleId="TableNormal2">
    <w:name w:val="Table Normal2"/>
    <w:uiPriority w:val="2"/>
    <w:semiHidden/>
    <w:unhideWhenUsed/>
    <w:qFormat/>
    <w:rsid w:val="003B67F9"/>
    <w:pPr>
      <w:widowControl w:val="0"/>
      <w:autoSpaceDE w:val="0"/>
      <w:autoSpaceDN w:val="0"/>
      <w:spacing w:line="240" w:lineRule="auto"/>
      <w:jc w:val="left"/>
    </w:pPr>
    <w:rPr>
      <w:rFonts w:asciiTheme="minorHAnsi" w:hAnsiTheme="minorHAnsi" w:cstheme="minorBidi"/>
      <w:sz w:val="22"/>
      <w:lang w:val="en-US"/>
    </w:rPr>
    <w:tblPr>
      <w:tblInd w:w="0" w:type="dxa"/>
      <w:tblCellMar>
        <w:top w:w="0" w:type="dxa"/>
        <w:left w:w="0" w:type="dxa"/>
        <w:bottom w:w="0" w:type="dxa"/>
        <w:right w:w="0" w:type="dxa"/>
      </w:tblCellMar>
    </w:tblPr>
  </w:style>
  <w:style w:type="numbering" w:customStyle="1" w:styleId="4c">
    <w:name w:val="Нет списка4"/>
    <w:next w:val="a2"/>
    <w:uiPriority w:val="99"/>
    <w:semiHidden/>
    <w:unhideWhenUsed/>
    <w:rsid w:val="003B67F9"/>
  </w:style>
  <w:style w:type="numbering" w:customStyle="1" w:styleId="123">
    <w:name w:val="Нет списка12"/>
    <w:next w:val="a2"/>
    <w:uiPriority w:val="99"/>
    <w:semiHidden/>
    <w:unhideWhenUsed/>
    <w:rsid w:val="003B67F9"/>
  </w:style>
  <w:style w:type="character" w:customStyle="1" w:styleId="1e">
    <w:name w:val="Основной текст Знак1"/>
    <w:basedOn w:val="a0"/>
    <w:uiPriority w:val="99"/>
    <w:semiHidden/>
    <w:rsid w:val="003B67F9"/>
  </w:style>
  <w:style w:type="paragraph" w:customStyle="1" w:styleId="115">
    <w:name w:val="Оглавление 11"/>
    <w:basedOn w:val="a"/>
    <w:next w:val="a"/>
    <w:autoRedefine/>
    <w:semiHidden/>
    <w:rsid w:val="003B67F9"/>
    <w:pPr>
      <w:keepNext/>
      <w:tabs>
        <w:tab w:val="left" w:pos="9498"/>
      </w:tabs>
      <w:spacing w:line="312" w:lineRule="auto"/>
      <w:jc w:val="left"/>
    </w:pPr>
    <w:rPr>
      <w:rFonts w:eastAsia="Calibri"/>
      <w:color w:val="000000"/>
      <w:szCs w:val="28"/>
      <w:lang w:eastAsia="ru-RU"/>
    </w:rPr>
  </w:style>
  <w:style w:type="paragraph" w:customStyle="1" w:styleId="Iaudue">
    <w:name w:val="Iau?due"/>
    <w:rsid w:val="003B67F9"/>
    <w:pPr>
      <w:keepLines/>
      <w:widowControl w:val="0"/>
      <w:spacing w:line="240" w:lineRule="auto"/>
      <w:ind w:firstLine="737"/>
    </w:pPr>
    <w:rPr>
      <w:rFonts w:ascii="SchoolBook" w:eastAsia="Times New Roman" w:hAnsi="SchoolBook"/>
      <w:szCs w:val="20"/>
      <w:lang w:val="en-US" w:eastAsia="ru-RU"/>
    </w:rPr>
  </w:style>
  <w:style w:type="character" w:customStyle="1" w:styleId="1f">
    <w:name w:val="Текст сноски Знак1"/>
    <w:basedOn w:val="a0"/>
    <w:uiPriority w:val="99"/>
    <w:semiHidden/>
    <w:rsid w:val="003B67F9"/>
    <w:rPr>
      <w:sz w:val="20"/>
      <w:szCs w:val="20"/>
    </w:rPr>
  </w:style>
  <w:style w:type="character" w:customStyle="1" w:styleId="FooterChar">
    <w:name w:val="Footer Char"/>
    <w:locked/>
    <w:rsid w:val="003B67F9"/>
    <w:rPr>
      <w:rFonts w:ascii="Times New Roman" w:hAnsi="Times New Roman"/>
      <w:sz w:val="24"/>
      <w:lang w:eastAsia="ru-RU"/>
    </w:rPr>
  </w:style>
  <w:style w:type="character" w:customStyle="1" w:styleId="BodyTextIndentChar">
    <w:name w:val="Body Text Indent Char"/>
    <w:locked/>
    <w:rsid w:val="003B67F9"/>
    <w:rPr>
      <w:rFonts w:ascii="Times New Roman" w:hAnsi="Times New Roman"/>
      <w:sz w:val="20"/>
      <w:lang w:val="uk-UA" w:eastAsia="ru-RU"/>
    </w:rPr>
  </w:style>
  <w:style w:type="character" w:customStyle="1" w:styleId="313">
    <w:name w:val="Основной текст 3 Знак1"/>
    <w:basedOn w:val="a0"/>
    <w:uiPriority w:val="99"/>
    <w:semiHidden/>
    <w:rsid w:val="003B67F9"/>
    <w:rPr>
      <w:sz w:val="16"/>
      <w:szCs w:val="16"/>
    </w:rPr>
  </w:style>
  <w:style w:type="character" w:customStyle="1" w:styleId="af1">
    <w:name w:val="Без интервала Знак"/>
    <w:link w:val="af0"/>
    <w:uiPriority w:val="1"/>
    <w:locked/>
    <w:rsid w:val="003B67F9"/>
    <w:rPr>
      <w:rFonts w:ascii="Calibri" w:hAnsi="Calibri"/>
      <w:sz w:val="22"/>
      <w:lang w:val="ru-RU"/>
    </w:rPr>
  </w:style>
  <w:style w:type="paragraph" w:styleId="afff9">
    <w:name w:val="Intense Quote"/>
    <w:basedOn w:val="a"/>
    <w:next w:val="a"/>
    <w:link w:val="afffa"/>
    <w:qFormat/>
    <w:rsid w:val="003B67F9"/>
    <w:pPr>
      <w:pBdr>
        <w:bottom w:val="single" w:sz="4" w:space="4" w:color="4F81BD"/>
      </w:pBdr>
      <w:spacing w:before="200" w:after="280" w:line="240" w:lineRule="auto"/>
      <w:ind w:left="936" w:right="936"/>
      <w:jc w:val="left"/>
    </w:pPr>
    <w:rPr>
      <w:rFonts w:eastAsia="Times New Roman"/>
      <w:b/>
      <w:bCs/>
      <w:i/>
      <w:iCs/>
      <w:color w:val="4F81BD"/>
      <w:sz w:val="24"/>
      <w:szCs w:val="24"/>
      <w:lang w:eastAsia="ru-RU"/>
    </w:rPr>
  </w:style>
  <w:style w:type="character" w:customStyle="1" w:styleId="afffa">
    <w:name w:val="Выделенная цитата Знак"/>
    <w:basedOn w:val="a0"/>
    <w:link w:val="afff9"/>
    <w:rsid w:val="003B67F9"/>
    <w:rPr>
      <w:rFonts w:eastAsia="Times New Roman"/>
      <w:b/>
      <w:bCs/>
      <w:i/>
      <w:iCs/>
      <w:color w:val="4F81BD"/>
      <w:sz w:val="24"/>
      <w:szCs w:val="24"/>
      <w:lang w:eastAsia="ru-RU"/>
    </w:rPr>
  </w:style>
  <w:style w:type="paragraph" w:customStyle="1" w:styleId="monitor">
    <w:name w:val="Обычный.monitor"/>
    <w:rsid w:val="003B67F9"/>
    <w:pPr>
      <w:spacing w:line="240" w:lineRule="auto"/>
      <w:jc w:val="left"/>
    </w:pPr>
    <w:rPr>
      <w:rFonts w:eastAsia="Times New Roman"/>
      <w:sz w:val="20"/>
      <w:szCs w:val="20"/>
      <w:lang w:val="ru-RU" w:eastAsia="ru-RU"/>
    </w:rPr>
  </w:style>
  <w:style w:type="character" w:styleId="afffb">
    <w:name w:val="Intense Emphasis"/>
    <w:qFormat/>
    <w:rsid w:val="003B67F9"/>
    <w:rPr>
      <w:b/>
      <w:i/>
      <w:color w:val="4F81BD"/>
    </w:rPr>
  </w:style>
  <w:style w:type="character" w:customStyle="1" w:styleId="font33">
    <w:name w:val="font33"/>
    <w:rsid w:val="003B67F9"/>
  </w:style>
  <w:style w:type="character" w:customStyle="1" w:styleId="font45">
    <w:name w:val="font45"/>
    <w:rsid w:val="003B67F9"/>
  </w:style>
  <w:style w:type="character" w:customStyle="1" w:styleId="142">
    <w:name w:val="Знак Знак14"/>
    <w:rsid w:val="003B67F9"/>
    <w:rPr>
      <w:b/>
      <w:kern w:val="36"/>
      <w:sz w:val="48"/>
      <w:lang w:val="ru-RU" w:eastAsia="ru-RU"/>
    </w:rPr>
  </w:style>
  <w:style w:type="character" w:customStyle="1" w:styleId="z-">
    <w:name w:val="z-Начало формы Знак"/>
    <w:link w:val="z-0"/>
    <w:locked/>
    <w:rsid w:val="003B67F9"/>
    <w:rPr>
      <w:rFonts w:ascii="Arial" w:hAnsi="Arial" w:cs="Arial"/>
      <w:vanish/>
      <w:sz w:val="16"/>
      <w:szCs w:val="16"/>
      <w:lang w:eastAsia="ru-RU"/>
    </w:rPr>
  </w:style>
  <w:style w:type="paragraph" w:styleId="z-0">
    <w:name w:val="HTML Top of Form"/>
    <w:basedOn w:val="a"/>
    <w:next w:val="a"/>
    <w:link w:val="z-"/>
    <w:hidden/>
    <w:rsid w:val="003B67F9"/>
    <w:pPr>
      <w:pBdr>
        <w:bottom w:val="single" w:sz="6" w:space="1" w:color="auto"/>
      </w:pBdr>
      <w:spacing w:line="240" w:lineRule="auto"/>
      <w:jc w:val="center"/>
    </w:pPr>
    <w:rPr>
      <w:rFonts w:ascii="Arial" w:hAnsi="Arial" w:cs="Arial"/>
      <w:vanish/>
      <w:sz w:val="16"/>
      <w:szCs w:val="16"/>
      <w:lang w:eastAsia="ru-RU"/>
    </w:rPr>
  </w:style>
  <w:style w:type="character" w:customStyle="1" w:styleId="z-1">
    <w:name w:val="z-Начало формы Знак1"/>
    <w:basedOn w:val="a0"/>
    <w:uiPriority w:val="99"/>
    <w:semiHidden/>
    <w:rsid w:val="003B67F9"/>
    <w:rPr>
      <w:rFonts w:ascii="Arial" w:hAnsi="Arial" w:cs="Arial"/>
      <w:vanish/>
      <w:sz w:val="16"/>
      <w:szCs w:val="16"/>
    </w:rPr>
  </w:style>
  <w:style w:type="character" w:customStyle="1" w:styleId="mewtwo-flights-origin-countrypseudo">
    <w:name w:val="mewtwo-flights-origin-country__pseudo"/>
    <w:rsid w:val="003B67F9"/>
  </w:style>
  <w:style w:type="character" w:customStyle="1" w:styleId="mewtwo-flights-origin-countryname">
    <w:name w:val="mewtwo-flights-origin-country__name"/>
    <w:rsid w:val="003B67F9"/>
  </w:style>
  <w:style w:type="character" w:customStyle="1" w:styleId="z-2">
    <w:name w:val="z-Конец формы Знак"/>
    <w:link w:val="z-3"/>
    <w:locked/>
    <w:rsid w:val="003B67F9"/>
    <w:rPr>
      <w:rFonts w:ascii="Arial" w:hAnsi="Arial" w:cs="Arial"/>
      <w:vanish/>
      <w:sz w:val="16"/>
      <w:szCs w:val="16"/>
      <w:lang w:eastAsia="ru-RU"/>
    </w:rPr>
  </w:style>
  <w:style w:type="paragraph" w:styleId="z-3">
    <w:name w:val="HTML Bottom of Form"/>
    <w:basedOn w:val="a"/>
    <w:next w:val="a"/>
    <w:link w:val="z-2"/>
    <w:hidden/>
    <w:rsid w:val="003B67F9"/>
    <w:pPr>
      <w:pBdr>
        <w:top w:val="single" w:sz="6" w:space="1" w:color="auto"/>
      </w:pBdr>
      <w:spacing w:line="240" w:lineRule="auto"/>
      <w:jc w:val="center"/>
    </w:pPr>
    <w:rPr>
      <w:rFonts w:ascii="Arial" w:hAnsi="Arial" w:cs="Arial"/>
      <w:vanish/>
      <w:sz w:val="16"/>
      <w:szCs w:val="16"/>
      <w:lang w:eastAsia="ru-RU"/>
    </w:rPr>
  </w:style>
  <w:style w:type="character" w:customStyle="1" w:styleId="z-10">
    <w:name w:val="z-Конец формы Знак1"/>
    <w:basedOn w:val="a0"/>
    <w:uiPriority w:val="99"/>
    <w:semiHidden/>
    <w:rsid w:val="003B67F9"/>
    <w:rPr>
      <w:rFonts w:ascii="Arial" w:hAnsi="Arial" w:cs="Arial"/>
      <w:vanish/>
      <w:sz w:val="16"/>
      <w:szCs w:val="16"/>
    </w:rPr>
  </w:style>
  <w:style w:type="character" w:customStyle="1" w:styleId="xfm01964671">
    <w:name w:val="xfm_01964671"/>
    <w:rsid w:val="003B67F9"/>
  </w:style>
  <w:style w:type="character" w:customStyle="1" w:styleId="afffc">
    <w:name w:val="Печатная машинка"/>
    <w:rsid w:val="003B67F9"/>
    <w:rPr>
      <w:rFonts w:ascii="Courier New" w:hAnsi="Courier New"/>
      <w:sz w:val="20"/>
    </w:rPr>
  </w:style>
  <w:style w:type="paragraph" w:customStyle="1" w:styleId="Standard">
    <w:name w:val="Standard"/>
    <w:uiPriority w:val="99"/>
    <w:rsid w:val="003B67F9"/>
    <w:pPr>
      <w:suppressAutoHyphens/>
      <w:autoSpaceDN w:val="0"/>
      <w:spacing w:line="240" w:lineRule="auto"/>
      <w:jc w:val="left"/>
      <w:textAlignment w:val="baseline"/>
    </w:pPr>
    <w:rPr>
      <w:rFonts w:eastAsia="Times New Roman"/>
      <w:kern w:val="3"/>
      <w:sz w:val="24"/>
      <w:szCs w:val="24"/>
      <w:lang w:val="ru-RU" w:eastAsia="ru-RU" w:bidi="hi-IN"/>
    </w:rPr>
  </w:style>
  <w:style w:type="paragraph" w:styleId="2f2">
    <w:name w:val="List 2"/>
    <w:basedOn w:val="a"/>
    <w:uiPriority w:val="99"/>
    <w:semiHidden/>
    <w:rsid w:val="003B67F9"/>
    <w:pPr>
      <w:spacing w:line="240" w:lineRule="auto"/>
      <w:ind w:left="566" w:hanging="283"/>
      <w:jc w:val="left"/>
    </w:pPr>
    <w:rPr>
      <w:rFonts w:eastAsia="Times New Roman"/>
      <w:sz w:val="24"/>
      <w:szCs w:val="24"/>
      <w:lang w:val="ru-RU" w:eastAsia="ru-RU"/>
    </w:rPr>
  </w:style>
  <w:style w:type="paragraph" w:styleId="afffd">
    <w:name w:val="Subtitle"/>
    <w:basedOn w:val="a"/>
    <w:next w:val="a"/>
    <w:link w:val="afffe"/>
    <w:uiPriority w:val="11"/>
    <w:qFormat/>
    <w:rsid w:val="003B67F9"/>
    <w:pPr>
      <w:spacing w:after="60" w:line="240" w:lineRule="auto"/>
      <w:jc w:val="center"/>
      <w:outlineLvl w:val="1"/>
    </w:pPr>
    <w:rPr>
      <w:rFonts w:ascii="Cambria" w:eastAsia="Times New Roman" w:hAnsi="Cambria"/>
      <w:sz w:val="24"/>
      <w:szCs w:val="24"/>
      <w:lang w:eastAsia="ru-RU"/>
    </w:rPr>
  </w:style>
  <w:style w:type="character" w:customStyle="1" w:styleId="afffe">
    <w:name w:val="Подзаголовок Знак"/>
    <w:basedOn w:val="a0"/>
    <w:link w:val="afffd"/>
    <w:uiPriority w:val="11"/>
    <w:rsid w:val="003B67F9"/>
    <w:rPr>
      <w:rFonts w:ascii="Cambria" w:eastAsia="Times New Roman" w:hAnsi="Cambria"/>
      <w:sz w:val="24"/>
      <w:szCs w:val="24"/>
      <w:lang w:eastAsia="ru-RU"/>
    </w:rPr>
  </w:style>
  <w:style w:type="character" w:customStyle="1" w:styleId="A20">
    <w:name w:val="A2"/>
    <w:rsid w:val="003B67F9"/>
    <w:rPr>
      <w:rFonts w:ascii="Tahoma" w:hAnsi="Tahoma" w:cs="Tahoma" w:hint="default"/>
      <w:color w:val="000000"/>
    </w:rPr>
  </w:style>
  <w:style w:type="paragraph" w:customStyle="1" w:styleId="1f0">
    <w:name w:val="Знак Знак1 Знак"/>
    <w:basedOn w:val="a"/>
    <w:rsid w:val="003B67F9"/>
    <w:pPr>
      <w:spacing w:after="160" w:line="240" w:lineRule="exact"/>
      <w:jc w:val="left"/>
    </w:pPr>
    <w:rPr>
      <w:rFonts w:ascii="Verdana" w:eastAsia="Times New Roman" w:hAnsi="Verdana"/>
      <w:sz w:val="20"/>
      <w:szCs w:val="20"/>
      <w:lang w:val="en-US"/>
    </w:rPr>
  </w:style>
  <w:style w:type="character" w:styleId="affff">
    <w:name w:val="footnote reference"/>
    <w:unhideWhenUsed/>
    <w:rsid w:val="003B67F9"/>
    <w:rPr>
      <w:vertAlign w:val="superscript"/>
    </w:rPr>
  </w:style>
  <w:style w:type="character" w:customStyle="1" w:styleId="A10">
    <w:name w:val="A1"/>
    <w:uiPriority w:val="99"/>
    <w:rsid w:val="003B67F9"/>
    <w:rPr>
      <w:color w:val="000000"/>
      <w:sz w:val="18"/>
      <w:szCs w:val="18"/>
    </w:rPr>
  </w:style>
  <w:style w:type="paragraph" w:customStyle="1" w:styleId="Pa46">
    <w:name w:val="Pa46"/>
    <w:basedOn w:val="a"/>
    <w:next w:val="a"/>
    <w:uiPriority w:val="99"/>
    <w:rsid w:val="003B67F9"/>
    <w:pPr>
      <w:autoSpaceDE w:val="0"/>
      <w:autoSpaceDN w:val="0"/>
      <w:adjustRightInd w:val="0"/>
      <w:spacing w:line="221" w:lineRule="atLeast"/>
      <w:jc w:val="left"/>
    </w:pPr>
    <w:rPr>
      <w:rFonts w:ascii="Segoe UI" w:hAnsi="Segoe UI" w:cs="Segoe UI"/>
      <w:sz w:val="24"/>
      <w:szCs w:val="24"/>
      <w:lang w:val="ru-RU"/>
    </w:rPr>
  </w:style>
  <w:style w:type="character" w:customStyle="1" w:styleId="rvts9">
    <w:name w:val="rvts9"/>
    <w:basedOn w:val="a0"/>
    <w:rsid w:val="003B67F9"/>
  </w:style>
  <w:style w:type="numbering" w:customStyle="1" w:styleId="214">
    <w:name w:val="Нет списка21"/>
    <w:next w:val="a2"/>
    <w:uiPriority w:val="99"/>
    <w:semiHidden/>
    <w:unhideWhenUsed/>
    <w:rsid w:val="003B67F9"/>
  </w:style>
  <w:style w:type="table" w:customStyle="1" w:styleId="116">
    <w:name w:val="Сетка таблицы11"/>
    <w:basedOn w:val="a1"/>
    <w:next w:val="a6"/>
    <w:rsid w:val="003B67F9"/>
    <w:pPr>
      <w:spacing w:line="240" w:lineRule="auto"/>
      <w:jc w:val="left"/>
    </w:pPr>
    <w:rPr>
      <w:rFonts w:eastAsia="Times New Roman"/>
      <w:sz w:val="20"/>
      <w:szCs w:val="20"/>
      <w:lang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rvts44">
    <w:name w:val="rvts44"/>
    <w:basedOn w:val="a0"/>
    <w:rsid w:val="003B67F9"/>
  </w:style>
  <w:style w:type="table" w:customStyle="1" w:styleId="314">
    <w:name w:val="Сетка таблицы31"/>
    <w:basedOn w:val="a1"/>
    <w:next w:val="a6"/>
    <w:rsid w:val="003B67F9"/>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fff0">
    <w:name w:val="Placeholder Text"/>
    <w:basedOn w:val="a0"/>
    <w:uiPriority w:val="99"/>
    <w:semiHidden/>
    <w:rsid w:val="003B67F9"/>
    <w:rPr>
      <w:color w:val="808080"/>
    </w:rPr>
  </w:style>
  <w:style w:type="numbering" w:customStyle="1" w:styleId="5b">
    <w:name w:val="Нет списка5"/>
    <w:next w:val="a2"/>
    <w:uiPriority w:val="99"/>
    <w:semiHidden/>
    <w:unhideWhenUsed/>
    <w:rsid w:val="003B67F9"/>
  </w:style>
  <w:style w:type="numbering" w:customStyle="1" w:styleId="133">
    <w:name w:val="Нет списка13"/>
    <w:next w:val="a2"/>
    <w:uiPriority w:val="99"/>
    <w:semiHidden/>
    <w:unhideWhenUsed/>
    <w:rsid w:val="003B67F9"/>
  </w:style>
  <w:style w:type="paragraph" w:customStyle="1" w:styleId="124">
    <w:name w:val="Оглавление 12"/>
    <w:basedOn w:val="a"/>
    <w:next w:val="a"/>
    <w:autoRedefine/>
    <w:semiHidden/>
    <w:rsid w:val="003B67F9"/>
    <w:pPr>
      <w:keepNext/>
      <w:tabs>
        <w:tab w:val="left" w:pos="9498"/>
      </w:tabs>
      <w:spacing w:line="312" w:lineRule="auto"/>
      <w:jc w:val="left"/>
    </w:pPr>
    <w:rPr>
      <w:rFonts w:eastAsia="Calibri"/>
      <w:color w:val="000000"/>
      <w:szCs w:val="28"/>
      <w:lang w:eastAsia="ru-RU"/>
    </w:rPr>
  </w:style>
  <w:style w:type="numbering" w:customStyle="1" w:styleId="222">
    <w:name w:val="Нет списка22"/>
    <w:next w:val="a2"/>
    <w:uiPriority w:val="99"/>
    <w:semiHidden/>
    <w:unhideWhenUsed/>
    <w:rsid w:val="003B67F9"/>
  </w:style>
  <w:style w:type="table" w:customStyle="1" w:styleId="125">
    <w:name w:val="Сетка таблицы12"/>
    <w:basedOn w:val="a1"/>
    <w:next w:val="a6"/>
    <w:rsid w:val="003B67F9"/>
    <w:pPr>
      <w:spacing w:line="240" w:lineRule="auto"/>
      <w:jc w:val="left"/>
    </w:pPr>
    <w:rPr>
      <w:rFonts w:eastAsia="Times New Roman"/>
      <w:sz w:val="20"/>
      <w:szCs w:val="20"/>
      <w:lang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23">
    <w:name w:val="Сетка таблицы22"/>
    <w:basedOn w:val="a1"/>
    <w:next w:val="a6"/>
    <w:rsid w:val="003B67F9"/>
    <w:pPr>
      <w:spacing w:line="240" w:lineRule="auto"/>
      <w:jc w:val="left"/>
    </w:pPr>
    <w:rPr>
      <w:rFonts w:eastAsia="Times New Roman"/>
      <w:sz w:val="20"/>
      <w:szCs w:val="20"/>
      <w:lang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24">
    <w:name w:val="Сетка таблицы42"/>
    <w:basedOn w:val="a1"/>
    <w:next w:val="a6"/>
    <w:rsid w:val="003B67F9"/>
    <w:pPr>
      <w:spacing w:line="240" w:lineRule="auto"/>
      <w:jc w:val="left"/>
    </w:pPr>
    <w:rPr>
      <w:rFonts w:ascii="Calibri" w:eastAsia="Times New Roman" w:hAnsi="Calibri"/>
      <w:sz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22">
    <w:name w:val="Сетка таблицы32"/>
    <w:basedOn w:val="a1"/>
    <w:next w:val="a6"/>
    <w:rsid w:val="003B67F9"/>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1f1">
    <w:name w:val="toc 1"/>
    <w:basedOn w:val="a"/>
    <w:next w:val="a"/>
    <w:autoRedefine/>
    <w:semiHidden/>
    <w:rsid w:val="00EC25E9"/>
    <w:pPr>
      <w:keepNext/>
      <w:tabs>
        <w:tab w:val="left" w:pos="9498"/>
      </w:tabs>
      <w:spacing w:line="312" w:lineRule="auto"/>
      <w:jc w:val="left"/>
    </w:pPr>
    <w:rPr>
      <w:rFonts w:eastAsia="Calibri"/>
      <w:color w:val="000000" w:themeColor="text1"/>
      <w:szCs w:val="28"/>
      <w:lang w:eastAsia="ru-RU"/>
    </w:rPr>
  </w:style>
  <w:style w:type="numbering" w:customStyle="1" w:styleId="67">
    <w:name w:val="Нет списка6"/>
    <w:next w:val="a2"/>
    <w:uiPriority w:val="99"/>
    <w:semiHidden/>
    <w:unhideWhenUsed/>
    <w:rsid w:val="00323DA9"/>
  </w:style>
  <w:style w:type="numbering" w:customStyle="1" w:styleId="143">
    <w:name w:val="Нет списка14"/>
    <w:next w:val="a2"/>
    <w:semiHidden/>
    <w:rsid w:val="00323DA9"/>
  </w:style>
  <w:style w:type="character" w:customStyle="1" w:styleId="ref-journal">
    <w:name w:val="ref-journal"/>
    <w:basedOn w:val="a0"/>
    <w:rsid w:val="00323DA9"/>
  </w:style>
  <w:style w:type="character" w:customStyle="1" w:styleId="ref-vol">
    <w:name w:val="ref-vol"/>
    <w:basedOn w:val="a0"/>
    <w:rsid w:val="00323DA9"/>
  </w:style>
  <w:style w:type="character" w:customStyle="1" w:styleId="nowraprefpubmed">
    <w:name w:val="nowrap ref pubmed"/>
    <w:basedOn w:val="a0"/>
    <w:rsid w:val="00323DA9"/>
  </w:style>
  <w:style w:type="character" w:customStyle="1" w:styleId="nowraprefcrossref">
    <w:name w:val="nowrap ref crossref"/>
    <w:basedOn w:val="a0"/>
    <w:rsid w:val="00323DA9"/>
  </w:style>
  <w:style w:type="paragraph" w:customStyle="1" w:styleId="msolistparagraph0">
    <w:name w:val="msolistparagraph"/>
    <w:basedOn w:val="a"/>
    <w:rsid w:val="00323DA9"/>
    <w:pPr>
      <w:spacing w:line="240" w:lineRule="auto"/>
      <w:ind w:left="720"/>
      <w:contextualSpacing/>
      <w:jc w:val="left"/>
    </w:pPr>
    <w:rPr>
      <w:rFonts w:eastAsia="Times New Roman"/>
      <w:sz w:val="24"/>
      <w:szCs w:val="24"/>
      <w:lang w:val="ru-RU" w:eastAsia="ru-RU"/>
    </w:rPr>
  </w:style>
  <w:style w:type="table" w:customStyle="1" w:styleId="TableNormal4">
    <w:name w:val="Table Normal4"/>
    <w:uiPriority w:val="2"/>
    <w:semiHidden/>
    <w:unhideWhenUsed/>
    <w:qFormat/>
    <w:rsid w:val="00323DA9"/>
    <w:pPr>
      <w:widowControl w:val="0"/>
      <w:autoSpaceDE w:val="0"/>
      <w:autoSpaceDN w:val="0"/>
      <w:spacing w:line="240" w:lineRule="auto"/>
      <w:jc w:val="left"/>
    </w:pPr>
    <w:rPr>
      <w:rFonts w:ascii="Calibri" w:hAnsi="Calibri"/>
      <w:sz w:val="22"/>
      <w:lang w:val="en-US"/>
    </w:rPr>
    <w:tblPr>
      <w:tblInd w:w="0" w:type="dxa"/>
      <w:tblCellMar>
        <w:top w:w="0" w:type="dxa"/>
        <w:left w:w="0" w:type="dxa"/>
        <w:bottom w:w="0" w:type="dxa"/>
        <w:right w:w="0" w:type="dxa"/>
      </w:tblCellMar>
    </w:tblPr>
  </w:style>
  <w:style w:type="table" w:customStyle="1" w:styleId="TableNormal11">
    <w:name w:val="Table Normal11"/>
    <w:uiPriority w:val="2"/>
    <w:semiHidden/>
    <w:unhideWhenUsed/>
    <w:qFormat/>
    <w:rsid w:val="00323DA9"/>
    <w:pPr>
      <w:widowControl w:val="0"/>
      <w:autoSpaceDE w:val="0"/>
      <w:autoSpaceDN w:val="0"/>
      <w:spacing w:line="240" w:lineRule="auto"/>
      <w:jc w:val="left"/>
    </w:pPr>
    <w:rPr>
      <w:rFonts w:ascii="Calibri" w:hAnsi="Calibri"/>
      <w:sz w:val="22"/>
      <w:lang w:val="en-US"/>
    </w:rPr>
    <w:tblPr>
      <w:tblInd w:w="0" w:type="dxa"/>
      <w:tblCellMar>
        <w:top w:w="0" w:type="dxa"/>
        <w:left w:w="0" w:type="dxa"/>
        <w:bottom w:w="0" w:type="dxa"/>
        <w:right w:w="0" w:type="dxa"/>
      </w:tblCellMar>
    </w:tblPr>
  </w:style>
  <w:style w:type="table" w:customStyle="1" w:styleId="TableNormal21">
    <w:name w:val="Table Normal21"/>
    <w:uiPriority w:val="2"/>
    <w:semiHidden/>
    <w:unhideWhenUsed/>
    <w:qFormat/>
    <w:rsid w:val="00323DA9"/>
    <w:pPr>
      <w:widowControl w:val="0"/>
      <w:autoSpaceDE w:val="0"/>
      <w:autoSpaceDN w:val="0"/>
      <w:spacing w:line="240" w:lineRule="auto"/>
      <w:jc w:val="left"/>
    </w:pPr>
    <w:rPr>
      <w:rFonts w:ascii="Calibri" w:hAnsi="Calibri"/>
      <w:sz w:val="22"/>
      <w:lang w:val="en-US"/>
    </w:rPr>
    <w:tblPr>
      <w:tblInd w:w="0" w:type="dxa"/>
      <w:tblCellMar>
        <w:top w:w="0" w:type="dxa"/>
        <w:left w:w="0" w:type="dxa"/>
        <w:bottom w:w="0" w:type="dxa"/>
        <w:right w:w="0" w:type="dxa"/>
      </w:tblCellMar>
    </w:tblPr>
  </w:style>
  <w:style w:type="table" w:customStyle="1" w:styleId="TableNormal31">
    <w:name w:val="Table Normal31"/>
    <w:uiPriority w:val="2"/>
    <w:semiHidden/>
    <w:unhideWhenUsed/>
    <w:qFormat/>
    <w:rsid w:val="00323DA9"/>
    <w:pPr>
      <w:widowControl w:val="0"/>
      <w:autoSpaceDE w:val="0"/>
      <w:autoSpaceDN w:val="0"/>
      <w:spacing w:line="240" w:lineRule="auto"/>
      <w:jc w:val="left"/>
    </w:pPr>
    <w:rPr>
      <w:rFonts w:ascii="Calibri" w:hAnsi="Calibri"/>
      <w:sz w:val="22"/>
      <w:lang w:val="en-US"/>
    </w:rPr>
    <w:tblPr>
      <w:tblInd w:w="0" w:type="dxa"/>
      <w:tblCellMar>
        <w:top w:w="0" w:type="dxa"/>
        <w:left w:w="0" w:type="dxa"/>
        <w:bottom w:w="0" w:type="dxa"/>
        <w:right w:w="0" w:type="dxa"/>
      </w:tblCellMar>
    </w:tblPr>
  </w:style>
  <w:style w:type="table" w:customStyle="1" w:styleId="TableNormal5">
    <w:name w:val="Table Normal5"/>
    <w:uiPriority w:val="2"/>
    <w:semiHidden/>
    <w:unhideWhenUsed/>
    <w:qFormat/>
    <w:rsid w:val="00323DA9"/>
    <w:pPr>
      <w:widowControl w:val="0"/>
      <w:autoSpaceDE w:val="0"/>
      <w:autoSpaceDN w:val="0"/>
      <w:spacing w:line="240" w:lineRule="auto"/>
      <w:jc w:val="left"/>
    </w:pPr>
    <w:rPr>
      <w:rFonts w:ascii="Calibri" w:hAnsi="Calibri"/>
      <w:sz w:val="22"/>
      <w:lang w:val="en-US"/>
    </w:rPr>
    <w:tblPr>
      <w:tblInd w:w="0" w:type="dxa"/>
      <w:tblCellMar>
        <w:top w:w="0" w:type="dxa"/>
        <w:left w:w="0" w:type="dxa"/>
        <w:bottom w:w="0" w:type="dxa"/>
        <w:right w:w="0" w:type="dxa"/>
      </w:tblCellMar>
    </w:tblPr>
  </w:style>
  <w:style w:type="numbering" w:customStyle="1" w:styleId="77">
    <w:name w:val="Нет списка7"/>
    <w:next w:val="a2"/>
    <w:uiPriority w:val="99"/>
    <w:semiHidden/>
    <w:unhideWhenUsed/>
    <w:rsid w:val="004617DA"/>
  </w:style>
  <w:style w:type="character" w:customStyle="1" w:styleId="tr">
    <w:name w:val="tr"/>
    <w:basedOn w:val="a0"/>
    <w:rsid w:val="004617DA"/>
  </w:style>
  <w:style w:type="character" w:customStyle="1" w:styleId="authors-list-item">
    <w:name w:val="authors-list-item"/>
    <w:basedOn w:val="a0"/>
    <w:rsid w:val="004617DA"/>
  </w:style>
  <w:style w:type="character" w:customStyle="1" w:styleId="author-sup-separator">
    <w:name w:val="author-sup-separator"/>
    <w:basedOn w:val="a0"/>
    <w:rsid w:val="004617DA"/>
  </w:style>
  <w:style w:type="character" w:customStyle="1" w:styleId="comma">
    <w:name w:val="comma"/>
    <w:basedOn w:val="a0"/>
    <w:rsid w:val="004617DA"/>
  </w:style>
  <w:style w:type="character" w:customStyle="1" w:styleId="doi">
    <w:name w:val="doi"/>
    <w:basedOn w:val="a0"/>
    <w:rsid w:val="004617DA"/>
  </w:style>
  <w:style w:type="character" w:customStyle="1" w:styleId="rvts46">
    <w:name w:val="rvts46"/>
    <w:basedOn w:val="a0"/>
    <w:rsid w:val="004617DA"/>
  </w:style>
  <w:style w:type="character" w:customStyle="1" w:styleId="fm-vol-iss-date">
    <w:name w:val="fm-vol-iss-date"/>
    <w:basedOn w:val="a0"/>
    <w:rsid w:val="004617DA"/>
  </w:style>
  <w:style w:type="numbering" w:customStyle="1" w:styleId="83">
    <w:name w:val="Нет списка8"/>
    <w:next w:val="a2"/>
    <w:uiPriority w:val="99"/>
    <w:semiHidden/>
    <w:unhideWhenUsed/>
    <w:rsid w:val="00017F66"/>
  </w:style>
  <w:style w:type="numbering" w:customStyle="1" w:styleId="152">
    <w:name w:val="Нет списка15"/>
    <w:next w:val="a2"/>
    <w:uiPriority w:val="99"/>
    <w:semiHidden/>
    <w:unhideWhenUsed/>
    <w:rsid w:val="00017F66"/>
  </w:style>
  <w:style w:type="table" w:customStyle="1" w:styleId="134">
    <w:name w:val="Сетка таблицы13"/>
    <w:basedOn w:val="a1"/>
    <w:next w:val="a6"/>
    <w:rsid w:val="00017F66"/>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32">
    <w:name w:val="Сетка таблицы43"/>
    <w:basedOn w:val="a1"/>
    <w:next w:val="a6"/>
    <w:rsid w:val="00017F66"/>
    <w:pPr>
      <w:spacing w:line="240" w:lineRule="auto"/>
      <w:jc w:val="left"/>
    </w:pPr>
    <w:rPr>
      <w:rFonts w:ascii="Calibri" w:eastAsia="Times New Roman" w:hAnsi="Calibri"/>
      <w:sz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2">
    <w:name w:val="Сетка таблицы23"/>
    <w:basedOn w:val="a1"/>
    <w:next w:val="a6"/>
    <w:rsid w:val="00017F66"/>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44">
    <w:name w:val="Сетка таблицы14"/>
    <w:basedOn w:val="a1"/>
    <w:next w:val="a6"/>
    <w:rsid w:val="00017F66"/>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32">
    <w:name w:val="Сетка таблицы33"/>
    <w:basedOn w:val="a1"/>
    <w:next w:val="a6"/>
    <w:rsid w:val="00017F66"/>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12">
    <w:name w:val="Сетка таблицы51"/>
    <w:basedOn w:val="a1"/>
    <w:next w:val="a6"/>
    <w:rsid w:val="00017F66"/>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13">
    <w:name w:val="Сетка таблицы61"/>
    <w:basedOn w:val="a1"/>
    <w:next w:val="a6"/>
    <w:rsid w:val="00017F66"/>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12">
    <w:name w:val="Сетка таблицы71"/>
    <w:basedOn w:val="a1"/>
    <w:next w:val="a6"/>
    <w:rsid w:val="00017F66"/>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10">
    <w:name w:val="Сетка таблицы81"/>
    <w:basedOn w:val="a1"/>
    <w:next w:val="a6"/>
    <w:rsid w:val="00017F66"/>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910">
    <w:name w:val="Сетка таблицы91"/>
    <w:basedOn w:val="a1"/>
    <w:next w:val="a6"/>
    <w:rsid w:val="00017F66"/>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010">
    <w:name w:val="Сетка таблицы101"/>
    <w:basedOn w:val="a1"/>
    <w:next w:val="a6"/>
    <w:rsid w:val="00017F66"/>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33">
    <w:name w:val="Нет списка23"/>
    <w:next w:val="a2"/>
    <w:uiPriority w:val="99"/>
    <w:semiHidden/>
    <w:unhideWhenUsed/>
    <w:rsid w:val="00017F66"/>
  </w:style>
  <w:style w:type="numbering" w:customStyle="1" w:styleId="1110">
    <w:name w:val="Нет списка111"/>
    <w:next w:val="a2"/>
    <w:uiPriority w:val="99"/>
    <w:semiHidden/>
    <w:unhideWhenUsed/>
    <w:rsid w:val="00017F66"/>
  </w:style>
  <w:style w:type="numbering" w:customStyle="1" w:styleId="2110">
    <w:name w:val="Нет списка211"/>
    <w:next w:val="a2"/>
    <w:uiPriority w:val="99"/>
    <w:semiHidden/>
    <w:unhideWhenUsed/>
    <w:rsid w:val="00017F66"/>
  </w:style>
  <w:style w:type="numbering" w:customStyle="1" w:styleId="315">
    <w:name w:val="Нет списка31"/>
    <w:next w:val="a2"/>
    <w:uiPriority w:val="99"/>
    <w:semiHidden/>
    <w:unhideWhenUsed/>
    <w:rsid w:val="00017F66"/>
  </w:style>
  <w:style w:type="numbering" w:customStyle="1" w:styleId="1210">
    <w:name w:val="Нет списка121"/>
    <w:next w:val="a2"/>
    <w:uiPriority w:val="99"/>
    <w:semiHidden/>
    <w:unhideWhenUsed/>
    <w:rsid w:val="00017F66"/>
  </w:style>
  <w:style w:type="numbering" w:customStyle="1" w:styleId="2210">
    <w:name w:val="Нет списка221"/>
    <w:next w:val="a2"/>
    <w:uiPriority w:val="99"/>
    <w:semiHidden/>
    <w:unhideWhenUsed/>
    <w:rsid w:val="00017F66"/>
  </w:style>
  <w:style w:type="numbering" w:customStyle="1" w:styleId="413">
    <w:name w:val="Нет списка41"/>
    <w:next w:val="a2"/>
    <w:uiPriority w:val="99"/>
    <w:semiHidden/>
    <w:unhideWhenUsed/>
    <w:rsid w:val="00017F66"/>
  </w:style>
  <w:style w:type="numbering" w:customStyle="1" w:styleId="1310">
    <w:name w:val="Нет списка131"/>
    <w:next w:val="a2"/>
    <w:uiPriority w:val="99"/>
    <w:semiHidden/>
    <w:unhideWhenUsed/>
    <w:rsid w:val="00017F66"/>
  </w:style>
  <w:style w:type="paragraph" w:customStyle="1" w:styleId="135">
    <w:name w:val="Оглавление 13"/>
    <w:basedOn w:val="a"/>
    <w:next w:val="a"/>
    <w:autoRedefine/>
    <w:semiHidden/>
    <w:rsid w:val="00017F66"/>
    <w:pPr>
      <w:keepNext/>
      <w:tabs>
        <w:tab w:val="left" w:pos="9498"/>
      </w:tabs>
      <w:spacing w:line="312" w:lineRule="auto"/>
      <w:jc w:val="left"/>
    </w:pPr>
    <w:rPr>
      <w:rFonts w:eastAsia="Calibri"/>
      <w:color w:val="000000"/>
      <w:szCs w:val="28"/>
      <w:lang w:eastAsia="ru-RU"/>
    </w:rPr>
  </w:style>
  <w:style w:type="numbering" w:customStyle="1" w:styleId="2310">
    <w:name w:val="Нет списка231"/>
    <w:next w:val="a2"/>
    <w:uiPriority w:val="99"/>
    <w:semiHidden/>
    <w:unhideWhenUsed/>
    <w:rsid w:val="00017F66"/>
  </w:style>
  <w:style w:type="table" w:customStyle="1" w:styleId="1111">
    <w:name w:val="Сетка таблицы111"/>
    <w:basedOn w:val="a1"/>
    <w:next w:val="a6"/>
    <w:uiPriority w:val="59"/>
    <w:rsid w:val="00017F66"/>
    <w:pPr>
      <w:spacing w:line="240" w:lineRule="auto"/>
      <w:jc w:val="left"/>
    </w:pPr>
    <w:rPr>
      <w:rFonts w:ascii="Calibri" w:eastAsia="Calibri" w:hAnsi="Calibri"/>
      <w:sz w:val="22"/>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11">
    <w:name w:val="Сетка таблицы121"/>
    <w:basedOn w:val="a1"/>
    <w:next w:val="a6"/>
    <w:uiPriority w:val="59"/>
    <w:rsid w:val="00017F66"/>
    <w:pPr>
      <w:spacing w:line="240" w:lineRule="auto"/>
      <w:jc w:val="left"/>
    </w:pPr>
    <w:rPr>
      <w:rFonts w:ascii="Calibri" w:eastAsia="Calibri" w:hAnsi="Calibri"/>
      <w:sz w:val="22"/>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93">
    <w:name w:val="Нет списка9"/>
    <w:next w:val="a2"/>
    <w:uiPriority w:val="99"/>
    <w:semiHidden/>
    <w:unhideWhenUsed/>
    <w:rsid w:val="00105176"/>
  </w:style>
  <w:style w:type="numbering" w:customStyle="1" w:styleId="162">
    <w:name w:val="Нет списка16"/>
    <w:next w:val="a2"/>
    <w:uiPriority w:val="99"/>
    <w:semiHidden/>
    <w:unhideWhenUsed/>
    <w:rsid w:val="00105176"/>
  </w:style>
  <w:style w:type="table" w:customStyle="1" w:styleId="153">
    <w:name w:val="Сетка таблицы15"/>
    <w:basedOn w:val="a1"/>
    <w:next w:val="a6"/>
    <w:rsid w:val="00105176"/>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42">
    <w:name w:val="Сетка таблицы44"/>
    <w:basedOn w:val="a1"/>
    <w:next w:val="a6"/>
    <w:rsid w:val="00105176"/>
    <w:pPr>
      <w:spacing w:line="240" w:lineRule="auto"/>
      <w:jc w:val="left"/>
    </w:pPr>
    <w:rPr>
      <w:rFonts w:ascii="Calibri" w:eastAsia="Times New Roman" w:hAnsi="Calibri"/>
      <w:sz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2">
    <w:name w:val="Сетка таблицы24"/>
    <w:basedOn w:val="a1"/>
    <w:next w:val="a6"/>
    <w:rsid w:val="00105176"/>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63">
    <w:name w:val="Сетка таблицы16"/>
    <w:basedOn w:val="a1"/>
    <w:next w:val="a6"/>
    <w:rsid w:val="00105176"/>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43">
    <w:name w:val="Сетка таблицы34"/>
    <w:basedOn w:val="a1"/>
    <w:next w:val="a6"/>
    <w:rsid w:val="00105176"/>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22">
    <w:name w:val="Сетка таблицы52"/>
    <w:basedOn w:val="a1"/>
    <w:next w:val="a6"/>
    <w:rsid w:val="00105176"/>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22">
    <w:name w:val="Сетка таблицы62"/>
    <w:basedOn w:val="a1"/>
    <w:next w:val="a6"/>
    <w:rsid w:val="00105176"/>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21">
    <w:name w:val="Сетка таблицы72"/>
    <w:basedOn w:val="a1"/>
    <w:next w:val="a6"/>
    <w:rsid w:val="00105176"/>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20">
    <w:name w:val="Сетка таблицы82"/>
    <w:basedOn w:val="a1"/>
    <w:next w:val="a6"/>
    <w:rsid w:val="00105176"/>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920">
    <w:name w:val="Сетка таблицы92"/>
    <w:basedOn w:val="a1"/>
    <w:next w:val="a6"/>
    <w:rsid w:val="00105176"/>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020">
    <w:name w:val="Сетка таблицы102"/>
    <w:basedOn w:val="a1"/>
    <w:next w:val="a6"/>
    <w:rsid w:val="00105176"/>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43">
    <w:name w:val="Нет списка24"/>
    <w:next w:val="a2"/>
    <w:uiPriority w:val="99"/>
    <w:semiHidden/>
    <w:unhideWhenUsed/>
    <w:rsid w:val="00105176"/>
  </w:style>
  <w:style w:type="numbering" w:customStyle="1" w:styleId="1120">
    <w:name w:val="Нет списка112"/>
    <w:next w:val="a2"/>
    <w:uiPriority w:val="99"/>
    <w:semiHidden/>
    <w:unhideWhenUsed/>
    <w:rsid w:val="00105176"/>
  </w:style>
  <w:style w:type="numbering" w:customStyle="1" w:styleId="2120">
    <w:name w:val="Нет списка212"/>
    <w:next w:val="a2"/>
    <w:uiPriority w:val="99"/>
    <w:semiHidden/>
    <w:unhideWhenUsed/>
    <w:rsid w:val="00105176"/>
  </w:style>
  <w:style w:type="numbering" w:customStyle="1" w:styleId="323">
    <w:name w:val="Нет списка32"/>
    <w:next w:val="a2"/>
    <w:uiPriority w:val="99"/>
    <w:semiHidden/>
    <w:unhideWhenUsed/>
    <w:rsid w:val="00105176"/>
  </w:style>
  <w:style w:type="numbering" w:customStyle="1" w:styleId="1220">
    <w:name w:val="Нет списка122"/>
    <w:next w:val="a2"/>
    <w:uiPriority w:val="99"/>
    <w:semiHidden/>
    <w:unhideWhenUsed/>
    <w:rsid w:val="00105176"/>
  </w:style>
  <w:style w:type="numbering" w:customStyle="1" w:styleId="2220">
    <w:name w:val="Нет списка222"/>
    <w:next w:val="a2"/>
    <w:uiPriority w:val="99"/>
    <w:semiHidden/>
    <w:unhideWhenUsed/>
    <w:rsid w:val="00105176"/>
  </w:style>
  <w:style w:type="numbering" w:customStyle="1" w:styleId="425">
    <w:name w:val="Нет списка42"/>
    <w:next w:val="a2"/>
    <w:uiPriority w:val="99"/>
    <w:semiHidden/>
    <w:unhideWhenUsed/>
    <w:rsid w:val="00105176"/>
  </w:style>
  <w:style w:type="numbering" w:customStyle="1" w:styleId="1320">
    <w:name w:val="Нет списка132"/>
    <w:next w:val="a2"/>
    <w:uiPriority w:val="99"/>
    <w:semiHidden/>
    <w:unhideWhenUsed/>
    <w:rsid w:val="00105176"/>
  </w:style>
  <w:style w:type="numbering" w:customStyle="1" w:styleId="2320">
    <w:name w:val="Нет списка232"/>
    <w:next w:val="a2"/>
    <w:uiPriority w:val="99"/>
    <w:semiHidden/>
    <w:unhideWhenUsed/>
    <w:rsid w:val="00105176"/>
  </w:style>
  <w:style w:type="table" w:customStyle="1" w:styleId="1121">
    <w:name w:val="Сетка таблицы112"/>
    <w:basedOn w:val="a1"/>
    <w:next w:val="a6"/>
    <w:uiPriority w:val="59"/>
    <w:rsid w:val="00105176"/>
    <w:pPr>
      <w:spacing w:line="240" w:lineRule="auto"/>
      <w:jc w:val="left"/>
    </w:pPr>
    <w:rPr>
      <w:rFonts w:ascii="Calibri" w:eastAsia="Calibri" w:hAnsi="Calibri"/>
      <w:sz w:val="22"/>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21">
    <w:name w:val="Сетка таблицы122"/>
    <w:basedOn w:val="a1"/>
    <w:next w:val="a6"/>
    <w:uiPriority w:val="59"/>
    <w:rsid w:val="00105176"/>
    <w:pPr>
      <w:spacing w:line="240" w:lineRule="auto"/>
      <w:jc w:val="left"/>
    </w:pPr>
    <w:rPr>
      <w:rFonts w:ascii="Calibri" w:eastAsia="Calibri" w:hAnsi="Calibri"/>
      <w:sz w:val="22"/>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04">
    <w:name w:val="Нет списка10"/>
    <w:next w:val="a2"/>
    <w:uiPriority w:val="99"/>
    <w:semiHidden/>
    <w:unhideWhenUsed/>
    <w:rsid w:val="00250CE0"/>
  </w:style>
  <w:style w:type="numbering" w:customStyle="1" w:styleId="172">
    <w:name w:val="Нет списка17"/>
    <w:next w:val="a2"/>
    <w:uiPriority w:val="99"/>
    <w:semiHidden/>
    <w:unhideWhenUsed/>
    <w:rsid w:val="00250CE0"/>
  </w:style>
  <w:style w:type="table" w:customStyle="1" w:styleId="173">
    <w:name w:val="Сетка таблицы17"/>
    <w:basedOn w:val="a1"/>
    <w:next w:val="a6"/>
    <w:rsid w:val="00250CE0"/>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52">
    <w:name w:val="Сетка таблицы45"/>
    <w:basedOn w:val="a1"/>
    <w:next w:val="a6"/>
    <w:rsid w:val="00250CE0"/>
    <w:pPr>
      <w:spacing w:line="240" w:lineRule="auto"/>
      <w:jc w:val="left"/>
    </w:pPr>
    <w:rPr>
      <w:rFonts w:ascii="Calibri" w:eastAsia="Times New Roman" w:hAnsi="Calibri"/>
      <w:sz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52">
    <w:name w:val="Сетка таблицы25"/>
    <w:basedOn w:val="a1"/>
    <w:next w:val="a6"/>
    <w:rsid w:val="00250CE0"/>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82">
    <w:name w:val="Сетка таблицы18"/>
    <w:basedOn w:val="a1"/>
    <w:next w:val="a6"/>
    <w:rsid w:val="00250CE0"/>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53">
    <w:name w:val="Сетка таблицы35"/>
    <w:basedOn w:val="a1"/>
    <w:next w:val="a6"/>
    <w:rsid w:val="00250CE0"/>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32">
    <w:name w:val="Сетка таблицы53"/>
    <w:basedOn w:val="a1"/>
    <w:next w:val="a6"/>
    <w:rsid w:val="00250CE0"/>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31">
    <w:name w:val="Сетка таблицы63"/>
    <w:basedOn w:val="a1"/>
    <w:next w:val="a6"/>
    <w:rsid w:val="00250CE0"/>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31">
    <w:name w:val="Сетка таблицы73"/>
    <w:basedOn w:val="a1"/>
    <w:next w:val="a6"/>
    <w:rsid w:val="00250CE0"/>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30">
    <w:name w:val="Сетка таблицы83"/>
    <w:basedOn w:val="a1"/>
    <w:next w:val="a6"/>
    <w:rsid w:val="00250CE0"/>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930">
    <w:name w:val="Сетка таблицы93"/>
    <w:basedOn w:val="a1"/>
    <w:next w:val="a6"/>
    <w:rsid w:val="00250CE0"/>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030">
    <w:name w:val="Сетка таблицы103"/>
    <w:basedOn w:val="a1"/>
    <w:next w:val="a6"/>
    <w:rsid w:val="00250CE0"/>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53">
    <w:name w:val="Нет списка25"/>
    <w:next w:val="a2"/>
    <w:uiPriority w:val="99"/>
    <w:semiHidden/>
    <w:unhideWhenUsed/>
    <w:rsid w:val="00250CE0"/>
  </w:style>
  <w:style w:type="numbering" w:customStyle="1" w:styleId="1130">
    <w:name w:val="Нет списка113"/>
    <w:next w:val="a2"/>
    <w:uiPriority w:val="99"/>
    <w:semiHidden/>
    <w:unhideWhenUsed/>
    <w:rsid w:val="00250CE0"/>
  </w:style>
  <w:style w:type="numbering" w:customStyle="1" w:styleId="2130">
    <w:name w:val="Нет списка213"/>
    <w:next w:val="a2"/>
    <w:uiPriority w:val="99"/>
    <w:semiHidden/>
    <w:unhideWhenUsed/>
    <w:rsid w:val="00250CE0"/>
  </w:style>
  <w:style w:type="numbering" w:customStyle="1" w:styleId="333">
    <w:name w:val="Нет списка33"/>
    <w:next w:val="a2"/>
    <w:uiPriority w:val="99"/>
    <w:semiHidden/>
    <w:unhideWhenUsed/>
    <w:rsid w:val="00250CE0"/>
  </w:style>
  <w:style w:type="numbering" w:customStyle="1" w:styleId="1230">
    <w:name w:val="Нет списка123"/>
    <w:next w:val="a2"/>
    <w:uiPriority w:val="99"/>
    <w:semiHidden/>
    <w:unhideWhenUsed/>
    <w:rsid w:val="00250CE0"/>
  </w:style>
  <w:style w:type="numbering" w:customStyle="1" w:styleId="2230">
    <w:name w:val="Нет списка223"/>
    <w:next w:val="a2"/>
    <w:uiPriority w:val="99"/>
    <w:semiHidden/>
    <w:unhideWhenUsed/>
    <w:rsid w:val="00250CE0"/>
  </w:style>
  <w:style w:type="numbering" w:customStyle="1" w:styleId="433">
    <w:name w:val="Нет списка43"/>
    <w:next w:val="a2"/>
    <w:uiPriority w:val="99"/>
    <w:semiHidden/>
    <w:unhideWhenUsed/>
    <w:rsid w:val="00250CE0"/>
  </w:style>
  <w:style w:type="numbering" w:customStyle="1" w:styleId="1330">
    <w:name w:val="Нет списка133"/>
    <w:next w:val="a2"/>
    <w:uiPriority w:val="99"/>
    <w:semiHidden/>
    <w:unhideWhenUsed/>
    <w:rsid w:val="00250CE0"/>
  </w:style>
  <w:style w:type="numbering" w:customStyle="1" w:styleId="2330">
    <w:name w:val="Нет списка233"/>
    <w:next w:val="a2"/>
    <w:uiPriority w:val="99"/>
    <w:semiHidden/>
    <w:unhideWhenUsed/>
    <w:rsid w:val="00250CE0"/>
  </w:style>
  <w:style w:type="table" w:customStyle="1" w:styleId="1131">
    <w:name w:val="Сетка таблицы113"/>
    <w:basedOn w:val="a1"/>
    <w:next w:val="a6"/>
    <w:uiPriority w:val="59"/>
    <w:rsid w:val="00250CE0"/>
    <w:pPr>
      <w:spacing w:line="240" w:lineRule="auto"/>
      <w:jc w:val="left"/>
    </w:pPr>
    <w:rPr>
      <w:rFonts w:ascii="Calibri" w:eastAsia="Calibri" w:hAnsi="Calibri"/>
      <w:sz w:val="22"/>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31">
    <w:name w:val="Сетка таблицы123"/>
    <w:basedOn w:val="a1"/>
    <w:next w:val="a6"/>
    <w:uiPriority w:val="59"/>
    <w:rsid w:val="00250CE0"/>
    <w:pPr>
      <w:spacing w:line="240" w:lineRule="auto"/>
      <w:jc w:val="left"/>
    </w:pPr>
    <w:rPr>
      <w:rFonts w:ascii="Calibri" w:eastAsia="Calibri" w:hAnsi="Calibri"/>
      <w:sz w:val="22"/>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83">
    <w:name w:val="Нет списка18"/>
    <w:next w:val="a2"/>
    <w:uiPriority w:val="99"/>
    <w:semiHidden/>
    <w:unhideWhenUsed/>
    <w:rsid w:val="00250CE0"/>
  </w:style>
  <w:style w:type="numbering" w:customStyle="1" w:styleId="192">
    <w:name w:val="Нет списка19"/>
    <w:next w:val="a2"/>
    <w:uiPriority w:val="99"/>
    <w:semiHidden/>
    <w:unhideWhenUsed/>
    <w:rsid w:val="00250CE0"/>
  </w:style>
  <w:style w:type="table" w:customStyle="1" w:styleId="193">
    <w:name w:val="Сетка таблицы19"/>
    <w:basedOn w:val="a1"/>
    <w:next w:val="a6"/>
    <w:rsid w:val="00250CE0"/>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61">
    <w:name w:val="Сетка таблицы46"/>
    <w:basedOn w:val="a1"/>
    <w:next w:val="a6"/>
    <w:rsid w:val="00250CE0"/>
    <w:pPr>
      <w:spacing w:line="240" w:lineRule="auto"/>
      <w:jc w:val="left"/>
    </w:pPr>
    <w:rPr>
      <w:rFonts w:ascii="Calibri" w:eastAsia="Times New Roman" w:hAnsi="Calibri"/>
      <w:sz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62">
    <w:name w:val="Сетка таблицы26"/>
    <w:basedOn w:val="a1"/>
    <w:next w:val="a6"/>
    <w:rsid w:val="00250CE0"/>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00">
    <w:name w:val="Сетка таблицы110"/>
    <w:basedOn w:val="a1"/>
    <w:next w:val="a6"/>
    <w:rsid w:val="00250CE0"/>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62">
    <w:name w:val="Сетка таблицы36"/>
    <w:basedOn w:val="a1"/>
    <w:next w:val="a6"/>
    <w:rsid w:val="00250CE0"/>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41">
    <w:name w:val="Сетка таблицы54"/>
    <w:basedOn w:val="a1"/>
    <w:next w:val="a6"/>
    <w:rsid w:val="00250CE0"/>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41">
    <w:name w:val="Сетка таблицы64"/>
    <w:basedOn w:val="a1"/>
    <w:next w:val="a6"/>
    <w:rsid w:val="00250CE0"/>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40">
    <w:name w:val="Сетка таблицы74"/>
    <w:basedOn w:val="a1"/>
    <w:next w:val="a6"/>
    <w:rsid w:val="00250CE0"/>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4">
    <w:name w:val="Сетка таблицы84"/>
    <w:basedOn w:val="a1"/>
    <w:next w:val="a6"/>
    <w:rsid w:val="00250CE0"/>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94">
    <w:name w:val="Сетка таблицы94"/>
    <w:basedOn w:val="a1"/>
    <w:next w:val="a6"/>
    <w:rsid w:val="00250CE0"/>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040">
    <w:name w:val="Сетка таблицы104"/>
    <w:basedOn w:val="a1"/>
    <w:next w:val="a6"/>
    <w:rsid w:val="00250CE0"/>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63">
    <w:name w:val="Нет списка26"/>
    <w:next w:val="a2"/>
    <w:uiPriority w:val="99"/>
    <w:semiHidden/>
    <w:unhideWhenUsed/>
    <w:rsid w:val="00250CE0"/>
  </w:style>
  <w:style w:type="numbering" w:customStyle="1" w:styleId="1140">
    <w:name w:val="Нет списка114"/>
    <w:next w:val="a2"/>
    <w:uiPriority w:val="99"/>
    <w:semiHidden/>
    <w:unhideWhenUsed/>
    <w:rsid w:val="00250CE0"/>
  </w:style>
  <w:style w:type="numbering" w:customStyle="1" w:styleId="2140">
    <w:name w:val="Нет списка214"/>
    <w:next w:val="a2"/>
    <w:uiPriority w:val="99"/>
    <w:semiHidden/>
    <w:unhideWhenUsed/>
    <w:rsid w:val="00250CE0"/>
  </w:style>
  <w:style w:type="numbering" w:customStyle="1" w:styleId="344">
    <w:name w:val="Нет списка34"/>
    <w:next w:val="a2"/>
    <w:uiPriority w:val="99"/>
    <w:semiHidden/>
    <w:unhideWhenUsed/>
    <w:rsid w:val="00250CE0"/>
  </w:style>
  <w:style w:type="numbering" w:customStyle="1" w:styleId="1240">
    <w:name w:val="Нет списка124"/>
    <w:next w:val="a2"/>
    <w:uiPriority w:val="99"/>
    <w:semiHidden/>
    <w:unhideWhenUsed/>
    <w:rsid w:val="00250CE0"/>
  </w:style>
  <w:style w:type="numbering" w:customStyle="1" w:styleId="224">
    <w:name w:val="Нет списка224"/>
    <w:next w:val="a2"/>
    <w:uiPriority w:val="99"/>
    <w:semiHidden/>
    <w:unhideWhenUsed/>
    <w:rsid w:val="00250CE0"/>
  </w:style>
  <w:style w:type="numbering" w:customStyle="1" w:styleId="443">
    <w:name w:val="Нет списка44"/>
    <w:next w:val="a2"/>
    <w:uiPriority w:val="99"/>
    <w:semiHidden/>
    <w:unhideWhenUsed/>
    <w:rsid w:val="00250CE0"/>
  </w:style>
  <w:style w:type="numbering" w:customStyle="1" w:styleId="1340">
    <w:name w:val="Нет списка134"/>
    <w:next w:val="a2"/>
    <w:uiPriority w:val="99"/>
    <w:semiHidden/>
    <w:unhideWhenUsed/>
    <w:rsid w:val="00250CE0"/>
  </w:style>
  <w:style w:type="numbering" w:customStyle="1" w:styleId="234">
    <w:name w:val="Нет списка234"/>
    <w:next w:val="a2"/>
    <w:uiPriority w:val="99"/>
    <w:semiHidden/>
    <w:unhideWhenUsed/>
    <w:rsid w:val="00250CE0"/>
  </w:style>
  <w:style w:type="table" w:customStyle="1" w:styleId="1141">
    <w:name w:val="Сетка таблицы114"/>
    <w:basedOn w:val="a1"/>
    <w:next w:val="a6"/>
    <w:uiPriority w:val="59"/>
    <w:rsid w:val="00250CE0"/>
    <w:pPr>
      <w:spacing w:line="240" w:lineRule="auto"/>
      <w:jc w:val="left"/>
    </w:pPr>
    <w:rPr>
      <w:rFonts w:ascii="Calibri" w:eastAsia="Calibri" w:hAnsi="Calibri"/>
      <w:sz w:val="22"/>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41">
    <w:name w:val="Сетка таблицы124"/>
    <w:basedOn w:val="a1"/>
    <w:next w:val="a6"/>
    <w:uiPriority w:val="59"/>
    <w:rsid w:val="00250CE0"/>
    <w:pPr>
      <w:spacing w:line="240" w:lineRule="auto"/>
      <w:jc w:val="left"/>
    </w:pPr>
    <w:rPr>
      <w:rFonts w:ascii="Calibri" w:eastAsia="Calibri" w:hAnsi="Calibri"/>
      <w:sz w:val="22"/>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02">
    <w:name w:val="Нет списка20"/>
    <w:next w:val="a2"/>
    <w:uiPriority w:val="99"/>
    <w:semiHidden/>
    <w:unhideWhenUsed/>
    <w:rsid w:val="00250CE0"/>
  </w:style>
  <w:style w:type="numbering" w:customStyle="1" w:styleId="1101">
    <w:name w:val="Нет списка110"/>
    <w:next w:val="a2"/>
    <w:uiPriority w:val="99"/>
    <w:semiHidden/>
    <w:unhideWhenUsed/>
    <w:rsid w:val="00250CE0"/>
  </w:style>
  <w:style w:type="table" w:customStyle="1" w:styleId="203">
    <w:name w:val="Сетка таблицы20"/>
    <w:basedOn w:val="a1"/>
    <w:next w:val="a6"/>
    <w:rsid w:val="00250CE0"/>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71">
    <w:name w:val="Сетка таблицы47"/>
    <w:basedOn w:val="a1"/>
    <w:next w:val="a6"/>
    <w:rsid w:val="00250CE0"/>
    <w:pPr>
      <w:spacing w:line="240" w:lineRule="auto"/>
      <w:jc w:val="left"/>
    </w:pPr>
    <w:rPr>
      <w:rFonts w:ascii="Calibri" w:eastAsia="Times New Roman" w:hAnsi="Calibri"/>
      <w:sz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72">
    <w:name w:val="Сетка таблицы27"/>
    <w:basedOn w:val="a1"/>
    <w:next w:val="a6"/>
    <w:rsid w:val="00250CE0"/>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50">
    <w:name w:val="Сетка таблицы115"/>
    <w:basedOn w:val="a1"/>
    <w:next w:val="a6"/>
    <w:rsid w:val="00250CE0"/>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72">
    <w:name w:val="Сетка таблицы37"/>
    <w:basedOn w:val="a1"/>
    <w:next w:val="a6"/>
    <w:rsid w:val="00250CE0"/>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51">
    <w:name w:val="Сетка таблицы55"/>
    <w:basedOn w:val="a1"/>
    <w:next w:val="a6"/>
    <w:rsid w:val="00250CE0"/>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50">
    <w:name w:val="Сетка таблицы65"/>
    <w:basedOn w:val="a1"/>
    <w:next w:val="a6"/>
    <w:rsid w:val="00250CE0"/>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50">
    <w:name w:val="Сетка таблицы75"/>
    <w:basedOn w:val="a1"/>
    <w:next w:val="a6"/>
    <w:rsid w:val="00250CE0"/>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5">
    <w:name w:val="Сетка таблицы85"/>
    <w:basedOn w:val="a1"/>
    <w:next w:val="a6"/>
    <w:rsid w:val="00250CE0"/>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95">
    <w:name w:val="Сетка таблицы95"/>
    <w:basedOn w:val="a1"/>
    <w:next w:val="a6"/>
    <w:rsid w:val="00250CE0"/>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05">
    <w:name w:val="Сетка таблицы105"/>
    <w:basedOn w:val="a1"/>
    <w:next w:val="a6"/>
    <w:rsid w:val="00250CE0"/>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73">
    <w:name w:val="Нет списка27"/>
    <w:next w:val="a2"/>
    <w:uiPriority w:val="99"/>
    <w:semiHidden/>
    <w:unhideWhenUsed/>
    <w:rsid w:val="00250CE0"/>
  </w:style>
  <w:style w:type="numbering" w:customStyle="1" w:styleId="1151">
    <w:name w:val="Нет списка115"/>
    <w:next w:val="a2"/>
    <w:uiPriority w:val="99"/>
    <w:semiHidden/>
    <w:unhideWhenUsed/>
    <w:rsid w:val="00250CE0"/>
  </w:style>
  <w:style w:type="numbering" w:customStyle="1" w:styleId="215">
    <w:name w:val="Нет списка215"/>
    <w:next w:val="a2"/>
    <w:uiPriority w:val="99"/>
    <w:semiHidden/>
    <w:unhideWhenUsed/>
    <w:rsid w:val="00250CE0"/>
  </w:style>
  <w:style w:type="numbering" w:customStyle="1" w:styleId="354">
    <w:name w:val="Нет списка35"/>
    <w:next w:val="a2"/>
    <w:uiPriority w:val="99"/>
    <w:semiHidden/>
    <w:unhideWhenUsed/>
    <w:rsid w:val="00250CE0"/>
  </w:style>
  <w:style w:type="numbering" w:customStyle="1" w:styleId="1250">
    <w:name w:val="Нет списка125"/>
    <w:next w:val="a2"/>
    <w:uiPriority w:val="99"/>
    <w:semiHidden/>
    <w:unhideWhenUsed/>
    <w:rsid w:val="00250CE0"/>
  </w:style>
  <w:style w:type="numbering" w:customStyle="1" w:styleId="225">
    <w:name w:val="Нет списка225"/>
    <w:next w:val="a2"/>
    <w:uiPriority w:val="99"/>
    <w:semiHidden/>
    <w:unhideWhenUsed/>
    <w:rsid w:val="00250CE0"/>
  </w:style>
  <w:style w:type="numbering" w:customStyle="1" w:styleId="453">
    <w:name w:val="Нет списка45"/>
    <w:next w:val="a2"/>
    <w:uiPriority w:val="99"/>
    <w:semiHidden/>
    <w:unhideWhenUsed/>
    <w:rsid w:val="00250CE0"/>
  </w:style>
  <w:style w:type="numbering" w:customStyle="1" w:styleId="1350">
    <w:name w:val="Нет списка135"/>
    <w:next w:val="a2"/>
    <w:uiPriority w:val="99"/>
    <w:semiHidden/>
    <w:unhideWhenUsed/>
    <w:rsid w:val="00250CE0"/>
  </w:style>
  <w:style w:type="numbering" w:customStyle="1" w:styleId="235">
    <w:name w:val="Нет списка235"/>
    <w:next w:val="a2"/>
    <w:uiPriority w:val="99"/>
    <w:semiHidden/>
    <w:unhideWhenUsed/>
    <w:rsid w:val="00250CE0"/>
  </w:style>
  <w:style w:type="table" w:customStyle="1" w:styleId="1160">
    <w:name w:val="Сетка таблицы116"/>
    <w:basedOn w:val="a1"/>
    <w:next w:val="a6"/>
    <w:uiPriority w:val="59"/>
    <w:rsid w:val="00250CE0"/>
    <w:pPr>
      <w:spacing w:line="240" w:lineRule="auto"/>
      <w:jc w:val="left"/>
    </w:pPr>
    <w:rPr>
      <w:rFonts w:ascii="Calibri" w:eastAsia="Calibri" w:hAnsi="Calibri"/>
      <w:sz w:val="22"/>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51">
    <w:name w:val="Сетка таблицы125"/>
    <w:basedOn w:val="a1"/>
    <w:next w:val="a6"/>
    <w:uiPriority w:val="59"/>
    <w:rsid w:val="00250CE0"/>
    <w:pPr>
      <w:spacing w:line="240" w:lineRule="auto"/>
      <w:jc w:val="left"/>
    </w:pPr>
    <w:rPr>
      <w:rFonts w:ascii="Calibri" w:eastAsia="Calibri" w:hAnsi="Calibri"/>
      <w:sz w:val="22"/>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xfmc1">
    <w:name w:val="xfmc1"/>
    <w:basedOn w:val="a"/>
    <w:rsid w:val="00B72E81"/>
    <w:pPr>
      <w:spacing w:before="100" w:beforeAutospacing="1" w:after="100" w:afterAutospacing="1" w:line="240" w:lineRule="auto"/>
      <w:jc w:val="left"/>
    </w:pPr>
    <w:rPr>
      <w:rFonts w:eastAsia="Times New Roman"/>
      <w:sz w:val="24"/>
      <w:szCs w:val="24"/>
      <w:lang w:val="ru-RU" w:eastAsia="ru-RU"/>
    </w:rPr>
  </w:style>
  <w:style w:type="paragraph" w:customStyle="1" w:styleId="xfmc2">
    <w:name w:val="xfmc2"/>
    <w:basedOn w:val="a"/>
    <w:rsid w:val="00B72E81"/>
    <w:pPr>
      <w:spacing w:before="100" w:beforeAutospacing="1" w:after="100" w:afterAutospacing="1" w:line="240" w:lineRule="auto"/>
      <w:jc w:val="left"/>
    </w:pPr>
    <w:rPr>
      <w:rFonts w:eastAsia="Times New Roman"/>
      <w:sz w:val="24"/>
      <w:szCs w:val="24"/>
      <w:lang w:val="ru-RU" w:eastAsia="ru-RU"/>
    </w:rPr>
  </w:style>
  <w:style w:type="paragraph" w:customStyle="1" w:styleId="xfmc3">
    <w:name w:val="xfmc3"/>
    <w:basedOn w:val="a"/>
    <w:rsid w:val="00B72E81"/>
    <w:pPr>
      <w:spacing w:before="100" w:beforeAutospacing="1" w:after="100" w:afterAutospacing="1" w:line="240" w:lineRule="auto"/>
      <w:jc w:val="left"/>
    </w:pPr>
    <w:rPr>
      <w:rFonts w:eastAsia="Times New Roman"/>
      <w:sz w:val="24"/>
      <w:szCs w:val="24"/>
      <w:lang w:val="ru-RU" w:eastAsia="ru-RU"/>
    </w:rPr>
  </w:style>
  <w:style w:type="paragraph" w:customStyle="1" w:styleId="1f2">
    <w:name w:val="Обычный (веб)1"/>
    <w:basedOn w:val="a"/>
    <w:next w:val="a3"/>
    <w:uiPriority w:val="99"/>
    <w:unhideWhenUsed/>
    <w:rsid w:val="00B72E81"/>
    <w:pPr>
      <w:spacing w:after="160" w:line="259" w:lineRule="auto"/>
      <w:jc w:val="left"/>
    </w:pPr>
    <w:rPr>
      <w:sz w:val="24"/>
      <w:szCs w:val="24"/>
      <w:lang w:val="en-US"/>
    </w:rPr>
  </w:style>
  <w:style w:type="table" w:customStyle="1" w:styleId="282">
    <w:name w:val="Сетка таблицы28"/>
    <w:basedOn w:val="a1"/>
    <w:next w:val="a6"/>
    <w:rsid w:val="00562204"/>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92">
    <w:name w:val="Сетка таблицы29"/>
    <w:basedOn w:val="a1"/>
    <w:next w:val="a6"/>
    <w:rsid w:val="00C24C6A"/>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f3">
    <w:name w:val="Абзац списка2"/>
    <w:basedOn w:val="a"/>
    <w:rsid w:val="003D1A8C"/>
    <w:pPr>
      <w:spacing w:line="240" w:lineRule="auto"/>
      <w:ind w:left="720"/>
      <w:contextualSpacing/>
      <w:jc w:val="left"/>
    </w:pPr>
    <w:rPr>
      <w:rFonts w:eastAsia="Calibri"/>
      <w:sz w:val="24"/>
      <w:szCs w:val="24"/>
      <w:lang w:eastAsia="uk-UA"/>
    </w:rPr>
  </w:style>
  <w:style w:type="numbering" w:customStyle="1" w:styleId="283">
    <w:name w:val="Нет списка28"/>
    <w:next w:val="a2"/>
    <w:uiPriority w:val="99"/>
    <w:semiHidden/>
    <w:unhideWhenUsed/>
    <w:rsid w:val="00887B51"/>
  </w:style>
  <w:style w:type="numbering" w:customStyle="1" w:styleId="1161">
    <w:name w:val="Нет списка116"/>
    <w:next w:val="a2"/>
    <w:uiPriority w:val="99"/>
    <w:semiHidden/>
    <w:unhideWhenUsed/>
    <w:rsid w:val="00887B51"/>
  </w:style>
  <w:style w:type="table" w:customStyle="1" w:styleId="302">
    <w:name w:val="Сетка таблицы30"/>
    <w:basedOn w:val="a1"/>
    <w:next w:val="a6"/>
    <w:rsid w:val="00887B51"/>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81">
    <w:name w:val="Сетка таблицы48"/>
    <w:basedOn w:val="a1"/>
    <w:next w:val="a6"/>
    <w:uiPriority w:val="39"/>
    <w:rsid w:val="00887B51"/>
    <w:pPr>
      <w:spacing w:line="240" w:lineRule="auto"/>
      <w:jc w:val="left"/>
    </w:pPr>
    <w:rPr>
      <w:rFonts w:ascii="Calibri" w:eastAsia="Times New Roman" w:hAnsi="Calibri"/>
      <w:sz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00">
    <w:name w:val="Сетка таблицы210"/>
    <w:basedOn w:val="a1"/>
    <w:next w:val="a6"/>
    <w:rsid w:val="00887B51"/>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7">
    <w:name w:val="Сетка таблицы117"/>
    <w:basedOn w:val="a1"/>
    <w:next w:val="a6"/>
    <w:rsid w:val="00887B51"/>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82">
    <w:name w:val="Сетка таблицы38"/>
    <w:basedOn w:val="a1"/>
    <w:next w:val="a6"/>
    <w:rsid w:val="00887B51"/>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61">
    <w:name w:val="Сетка таблицы56"/>
    <w:basedOn w:val="a1"/>
    <w:next w:val="a6"/>
    <w:rsid w:val="00887B51"/>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60">
    <w:name w:val="Сетка таблицы66"/>
    <w:basedOn w:val="a1"/>
    <w:next w:val="a6"/>
    <w:rsid w:val="00887B51"/>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60">
    <w:name w:val="Сетка таблицы76"/>
    <w:basedOn w:val="a1"/>
    <w:next w:val="a6"/>
    <w:rsid w:val="00887B51"/>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6">
    <w:name w:val="Сетка таблицы86"/>
    <w:basedOn w:val="a1"/>
    <w:next w:val="a6"/>
    <w:rsid w:val="00887B51"/>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96">
    <w:name w:val="Сетка таблицы96"/>
    <w:basedOn w:val="a1"/>
    <w:next w:val="a6"/>
    <w:rsid w:val="00887B51"/>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06">
    <w:name w:val="Сетка таблицы106"/>
    <w:basedOn w:val="a1"/>
    <w:next w:val="a6"/>
    <w:rsid w:val="00887B51"/>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93">
    <w:name w:val="Нет списка29"/>
    <w:next w:val="a2"/>
    <w:uiPriority w:val="99"/>
    <w:semiHidden/>
    <w:unhideWhenUsed/>
    <w:rsid w:val="00887B51"/>
  </w:style>
  <w:style w:type="numbering" w:customStyle="1" w:styleId="1170">
    <w:name w:val="Нет списка117"/>
    <w:next w:val="a2"/>
    <w:uiPriority w:val="99"/>
    <w:semiHidden/>
    <w:unhideWhenUsed/>
    <w:rsid w:val="00887B51"/>
  </w:style>
  <w:style w:type="numbering" w:customStyle="1" w:styleId="216">
    <w:name w:val="Нет списка216"/>
    <w:next w:val="a2"/>
    <w:uiPriority w:val="99"/>
    <w:semiHidden/>
    <w:unhideWhenUsed/>
    <w:rsid w:val="00887B51"/>
  </w:style>
  <w:style w:type="numbering" w:customStyle="1" w:styleId="363">
    <w:name w:val="Нет списка36"/>
    <w:next w:val="a2"/>
    <w:uiPriority w:val="99"/>
    <w:semiHidden/>
    <w:unhideWhenUsed/>
    <w:rsid w:val="00887B51"/>
  </w:style>
  <w:style w:type="numbering" w:customStyle="1" w:styleId="126">
    <w:name w:val="Нет списка126"/>
    <w:next w:val="a2"/>
    <w:uiPriority w:val="99"/>
    <w:semiHidden/>
    <w:unhideWhenUsed/>
    <w:rsid w:val="00887B51"/>
  </w:style>
  <w:style w:type="numbering" w:customStyle="1" w:styleId="2260">
    <w:name w:val="Нет списка226"/>
    <w:next w:val="a2"/>
    <w:uiPriority w:val="99"/>
    <w:semiHidden/>
    <w:unhideWhenUsed/>
    <w:rsid w:val="00887B51"/>
  </w:style>
  <w:style w:type="numbering" w:customStyle="1" w:styleId="462">
    <w:name w:val="Нет списка46"/>
    <w:next w:val="a2"/>
    <w:uiPriority w:val="99"/>
    <w:semiHidden/>
    <w:unhideWhenUsed/>
    <w:rsid w:val="00887B51"/>
  </w:style>
  <w:style w:type="numbering" w:customStyle="1" w:styleId="136">
    <w:name w:val="Нет списка136"/>
    <w:next w:val="a2"/>
    <w:uiPriority w:val="99"/>
    <w:semiHidden/>
    <w:unhideWhenUsed/>
    <w:rsid w:val="00887B51"/>
  </w:style>
  <w:style w:type="numbering" w:customStyle="1" w:styleId="236">
    <w:name w:val="Нет списка236"/>
    <w:next w:val="a2"/>
    <w:uiPriority w:val="99"/>
    <w:semiHidden/>
    <w:unhideWhenUsed/>
    <w:rsid w:val="00887B51"/>
  </w:style>
  <w:style w:type="table" w:customStyle="1" w:styleId="118">
    <w:name w:val="Сетка таблицы118"/>
    <w:basedOn w:val="a1"/>
    <w:next w:val="a6"/>
    <w:uiPriority w:val="59"/>
    <w:rsid w:val="00887B51"/>
    <w:pPr>
      <w:spacing w:line="240" w:lineRule="auto"/>
      <w:jc w:val="left"/>
    </w:pPr>
    <w:rPr>
      <w:rFonts w:ascii="Calibri" w:eastAsia="Calibri" w:hAnsi="Calibri"/>
      <w:sz w:val="22"/>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60">
    <w:name w:val="Сетка таблицы126"/>
    <w:basedOn w:val="a1"/>
    <w:next w:val="a6"/>
    <w:uiPriority w:val="59"/>
    <w:rsid w:val="00887B51"/>
    <w:pPr>
      <w:spacing w:line="240" w:lineRule="auto"/>
      <w:jc w:val="left"/>
    </w:pPr>
    <w:rPr>
      <w:rFonts w:ascii="Calibri" w:eastAsia="Calibri" w:hAnsi="Calibri"/>
      <w:sz w:val="22"/>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Normal6">
    <w:name w:val="Table Normal6"/>
    <w:uiPriority w:val="2"/>
    <w:semiHidden/>
    <w:unhideWhenUsed/>
    <w:qFormat/>
    <w:rsid w:val="00887B51"/>
    <w:pPr>
      <w:widowControl w:val="0"/>
      <w:autoSpaceDE w:val="0"/>
      <w:autoSpaceDN w:val="0"/>
      <w:spacing w:line="240" w:lineRule="auto"/>
      <w:jc w:val="left"/>
    </w:pPr>
    <w:rPr>
      <w:rFonts w:ascii="Calibri" w:hAnsi="Calibri"/>
      <w:sz w:val="22"/>
      <w:lang w:val="en-US"/>
    </w:rPr>
    <w:tblPr>
      <w:tblInd w:w="0" w:type="dxa"/>
      <w:tblCellMar>
        <w:top w:w="0" w:type="dxa"/>
        <w:left w:w="0" w:type="dxa"/>
        <w:bottom w:w="0" w:type="dxa"/>
        <w:right w:w="0" w:type="dxa"/>
      </w:tblCellMar>
    </w:tblPr>
  </w:style>
  <w:style w:type="numbering" w:customStyle="1" w:styleId="303">
    <w:name w:val="Нет списка30"/>
    <w:next w:val="a2"/>
    <w:uiPriority w:val="99"/>
    <w:semiHidden/>
    <w:unhideWhenUsed/>
    <w:rsid w:val="006B6A3E"/>
  </w:style>
  <w:style w:type="numbering" w:customStyle="1" w:styleId="1180">
    <w:name w:val="Нет списка118"/>
    <w:next w:val="a2"/>
    <w:uiPriority w:val="99"/>
    <w:semiHidden/>
    <w:unhideWhenUsed/>
    <w:rsid w:val="006B6A3E"/>
  </w:style>
  <w:style w:type="table" w:customStyle="1" w:styleId="392">
    <w:name w:val="Сетка таблицы39"/>
    <w:basedOn w:val="a1"/>
    <w:next w:val="a6"/>
    <w:rsid w:val="006B6A3E"/>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91">
    <w:name w:val="Сетка таблицы49"/>
    <w:basedOn w:val="a1"/>
    <w:next w:val="a6"/>
    <w:uiPriority w:val="39"/>
    <w:rsid w:val="006B6A3E"/>
    <w:pPr>
      <w:spacing w:line="240" w:lineRule="auto"/>
      <w:jc w:val="left"/>
    </w:pPr>
    <w:rPr>
      <w:rFonts w:ascii="Calibri" w:eastAsia="Times New Roman" w:hAnsi="Calibri"/>
      <w:sz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11">
    <w:name w:val="Сетка таблицы211"/>
    <w:basedOn w:val="a1"/>
    <w:next w:val="a6"/>
    <w:rsid w:val="006B6A3E"/>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9">
    <w:name w:val="Сетка таблицы119"/>
    <w:basedOn w:val="a1"/>
    <w:next w:val="a6"/>
    <w:rsid w:val="006B6A3E"/>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100">
    <w:name w:val="Сетка таблицы310"/>
    <w:basedOn w:val="a1"/>
    <w:next w:val="a6"/>
    <w:rsid w:val="006B6A3E"/>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71">
    <w:name w:val="Сетка таблицы57"/>
    <w:basedOn w:val="a1"/>
    <w:next w:val="a6"/>
    <w:rsid w:val="006B6A3E"/>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70">
    <w:name w:val="Сетка таблицы67"/>
    <w:basedOn w:val="a1"/>
    <w:next w:val="a6"/>
    <w:rsid w:val="006B6A3E"/>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70">
    <w:name w:val="Сетка таблицы77"/>
    <w:basedOn w:val="a1"/>
    <w:next w:val="a6"/>
    <w:rsid w:val="006B6A3E"/>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7">
    <w:name w:val="Сетка таблицы87"/>
    <w:basedOn w:val="a1"/>
    <w:next w:val="a6"/>
    <w:rsid w:val="006B6A3E"/>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97">
    <w:name w:val="Сетка таблицы97"/>
    <w:basedOn w:val="a1"/>
    <w:next w:val="a6"/>
    <w:rsid w:val="006B6A3E"/>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07">
    <w:name w:val="Сетка таблицы107"/>
    <w:basedOn w:val="a1"/>
    <w:next w:val="a6"/>
    <w:rsid w:val="006B6A3E"/>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101">
    <w:name w:val="Нет списка210"/>
    <w:next w:val="a2"/>
    <w:uiPriority w:val="99"/>
    <w:semiHidden/>
    <w:unhideWhenUsed/>
    <w:rsid w:val="006B6A3E"/>
  </w:style>
  <w:style w:type="numbering" w:customStyle="1" w:styleId="1190">
    <w:name w:val="Нет списка119"/>
    <w:next w:val="a2"/>
    <w:uiPriority w:val="99"/>
    <w:semiHidden/>
    <w:unhideWhenUsed/>
    <w:rsid w:val="006B6A3E"/>
  </w:style>
  <w:style w:type="numbering" w:customStyle="1" w:styleId="217">
    <w:name w:val="Нет списка217"/>
    <w:next w:val="a2"/>
    <w:uiPriority w:val="99"/>
    <w:semiHidden/>
    <w:unhideWhenUsed/>
    <w:rsid w:val="006B6A3E"/>
  </w:style>
  <w:style w:type="numbering" w:customStyle="1" w:styleId="373">
    <w:name w:val="Нет списка37"/>
    <w:next w:val="a2"/>
    <w:uiPriority w:val="99"/>
    <w:semiHidden/>
    <w:unhideWhenUsed/>
    <w:rsid w:val="006B6A3E"/>
  </w:style>
  <w:style w:type="numbering" w:customStyle="1" w:styleId="127">
    <w:name w:val="Нет списка127"/>
    <w:next w:val="a2"/>
    <w:uiPriority w:val="99"/>
    <w:semiHidden/>
    <w:unhideWhenUsed/>
    <w:rsid w:val="006B6A3E"/>
  </w:style>
  <w:style w:type="numbering" w:customStyle="1" w:styleId="227">
    <w:name w:val="Нет списка227"/>
    <w:next w:val="a2"/>
    <w:uiPriority w:val="99"/>
    <w:semiHidden/>
    <w:unhideWhenUsed/>
    <w:rsid w:val="006B6A3E"/>
  </w:style>
  <w:style w:type="numbering" w:customStyle="1" w:styleId="472">
    <w:name w:val="Нет списка47"/>
    <w:next w:val="a2"/>
    <w:uiPriority w:val="99"/>
    <w:semiHidden/>
    <w:unhideWhenUsed/>
    <w:rsid w:val="006B6A3E"/>
  </w:style>
  <w:style w:type="numbering" w:customStyle="1" w:styleId="137">
    <w:name w:val="Нет списка137"/>
    <w:next w:val="a2"/>
    <w:uiPriority w:val="99"/>
    <w:semiHidden/>
    <w:unhideWhenUsed/>
    <w:rsid w:val="006B6A3E"/>
  </w:style>
  <w:style w:type="numbering" w:customStyle="1" w:styleId="237">
    <w:name w:val="Нет списка237"/>
    <w:next w:val="a2"/>
    <w:uiPriority w:val="99"/>
    <w:semiHidden/>
    <w:unhideWhenUsed/>
    <w:rsid w:val="006B6A3E"/>
  </w:style>
  <w:style w:type="table" w:customStyle="1" w:styleId="11100">
    <w:name w:val="Сетка таблицы1110"/>
    <w:basedOn w:val="a1"/>
    <w:next w:val="a6"/>
    <w:uiPriority w:val="59"/>
    <w:rsid w:val="006B6A3E"/>
    <w:pPr>
      <w:spacing w:line="240" w:lineRule="auto"/>
      <w:jc w:val="left"/>
    </w:pPr>
    <w:rPr>
      <w:rFonts w:ascii="Calibri" w:eastAsia="Calibri" w:hAnsi="Calibri"/>
      <w:sz w:val="22"/>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70">
    <w:name w:val="Сетка таблицы127"/>
    <w:basedOn w:val="a1"/>
    <w:next w:val="a6"/>
    <w:uiPriority w:val="59"/>
    <w:rsid w:val="006B6A3E"/>
    <w:pPr>
      <w:spacing w:line="240" w:lineRule="auto"/>
      <w:jc w:val="left"/>
    </w:pPr>
    <w:rPr>
      <w:rFonts w:ascii="Calibri" w:eastAsia="Calibri" w:hAnsi="Calibri"/>
      <w:sz w:val="22"/>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Normal7">
    <w:name w:val="Table Normal7"/>
    <w:uiPriority w:val="2"/>
    <w:semiHidden/>
    <w:unhideWhenUsed/>
    <w:qFormat/>
    <w:rsid w:val="006B6A3E"/>
    <w:pPr>
      <w:widowControl w:val="0"/>
      <w:autoSpaceDE w:val="0"/>
      <w:autoSpaceDN w:val="0"/>
      <w:spacing w:line="240" w:lineRule="auto"/>
      <w:jc w:val="left"/>
    </w:pPr>
    <w:rPr>
      <w:rFonts w:ascii="Calibri" w:hAnsi="Calibri"/>
      <w:sz w:val="22"/>
      <w:lang w:val="en-US"/>
    </w:rPr>
    <w:tblPr>
      <w:tblInd w:w="0" w:type="dxa"/>
      <w:tblCellMar>
        <w:top w:w="0" w:type="dxa"/>
        <w:left w:w="0" w:type="dxa"/>
        <w:bottom w:w="0" w:type="dxa"/>
        <w:right w:w="0" w:type="dxa"/>
      </w:tblCellMar>
    </w:tblPr>
  </w:style>
  <w:style w:type="numbering" w:customStyle="1" w:styleId="383">
    <w:name w:val="Нет списка38"/>
    <w:next w:val="a2"/>
    <w:uiPriority w:val="99"/>
    <w:semiHidden/>
    <w:unhideWhenUsed/>
    <w:rsid w:val="00C43972"/>
  </w:style>
  <w:style w:type="numbering" w:customStyle="1" w:styleId="1200">
    <w:name w:val="Нет списка120"/>
    <w:next w:val="a2"/>
    <w:uiPriority w:val="99"/>
    <w:semiHidden/>
    <w:unhideWhenUsed/>
    <w:rsid w:val="00C43972"/>
  </w:style>
  <w:style w:type="table" w:customStyle="1" w:styleId="402">
    <w:name w:val="Сетка таблицы40"/>
    <w:basedOn w:val="a1"/>
    <w:next w:val="a6"/>
    <w:rsid w:val="00C43972"/>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100">
    <w:name w:val="Сетка таблицы410"/>
    <w:basedOn w:val="a1"/>
    <w:next w:val="a6"/>
    <w:uiPriority w:val="39"/>
    <w:rsid w:val="00C43972"/>
    <w:pPr>
      <w:spacing w:line="240" w:lineRule="auto"/>
      <w:jc w:val="left"/>
    </w:pPr>
    <w:rPr>
      <w:rFonts w:ascii="Calibri" w:eastAsia="Times New Roman" w:hAnsi="Calibri"/>
      <w:sz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21">
    <w:name w:val="Сетка таблицы212"/>
    <w:basedOn w:val="a1"/>
    <w:next w:val="a6"/>
    <w:rsid w:val="00C43972"/>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01">
    <w:name w:val="Сетка таблицы120"/>
    <w:basedOn w:val="a1"/>
    <w:next w:val="a6"/>
    <w:rsid w:val="00C43972"/>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110">
    <w:name w:val="Сетка таблицы311"/>
    <w:basedOn w:val="a1"/>
    <w:next w:val="a6"/>
    <w:rsid w:val="00C43972"/>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81">
    <w:name w:val="Сетка таблицы58"/>
    <w:basedOn w:val="a1"/>
    <w:next w:val="a6"/>
    <w:rsid w:val="00C43972"/>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8">
    <w:name w:val="Сетка таблицы68"/>
    <w:basedOn w:val="a1"/>
    <w:next w:val="a6"/>
    <w:rsid w:val="00C43972"/>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8">
    <w:name w:val="Сетка таблицы78"/>
    <w:basedOn w:val="a1"/>
    <w:next w:val="a6"/>
    <w:rsid w:val="00C43972"/>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8">
    <w:name w:val="Сетка таблицы88"/>
    <w:basedOn w:val="a1"/>
    <w:next w:val="a6"/>
    <w:rsid w:val="00C43972"/>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98">
    <w:name w:val="Сетка таблицы98"/>
    <w:basedOn w:val="a1"/>
    <w:next w:val="a6"/>
    <w:rsid w:val="00C43972"/>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08">
    <w:name w:val="Сетка таблицы108"/>
    <w:basedOn w:val="a1"/>
    <w:next w:val="a6"/>
    <w:rsid w:val="00C43972"/>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18">
    <w:name w:val="Нет списка218"/>
    <w:next w:val="a2"/>
    <w:uiPriority w:val="99"/>
    <w:semiHidden/>
    <w:unhideWhenUsed/>
    <w:rsid w:val="00C43972"/>
  </w:style>
  <w:style w:type="numbering" w:customStyle="1" w:styleId="11101">
    <w:name w:val="Нет списка1110"/>
    <w:next w:val="a2"/>
    <w:uiPriority w:val="99"/>
    <w:semiHidden/>
    <w:unhideWhenUsed/>
    <w:rsid w:val="00C43972"/>
  </w:style>
  <w:style w:type="numbering" w:customStyle="1" w:styleId="219">
    <w:name w:val="Нет списка219"/>
    <w:next w:val="a2"/>
    <w:uiPriority w:val="99"/>
    <w:semiHidden/>
    <w:unhideWhenUsed/>
    <w:rsid w:val="00C43972"/>
  </w:style>
  <w:style w:type="numbering" w:customStyle="1" w:styleId="393">
    <w:name w:val="Нет списка39"/>
    <w:next w:val="a2"/>
    <w:uiPriority w:val="99"/>
    <w:semiHidden/>
    <w:unhideWhenUsed/>
    <w:rsid w:val="00C43972"/>
  </w:style>
  <w:style w:type="numbering" w:customStyle="1" w:styleId="128">
    <w:name w:val="Нет списка128"/>
    <w:next w:val="a2"/>
    <w:uiPriority w:val="99"/>
    <w:semiHidden/>
    <w:unhideWhenUsed/>
    <w:rsid w:val="00C43972"/>
  </w:style>
  <w:style w:type="numbering" w:customStyle="1" w:styleId="228">
    <w:name w:val="Нет списка228"/>
    <w:next w:val="a2"/>
    <w:uiPriority w:val="99"/>
    <w:semiHidden/>
    <w:unhideWhenUsed/>
    <w:rsid w:val="00C43972"/>
  </w:style>
  <w:style w:type="numbering" w:customStyle="1" w:styleId="482">
    <w:name w:val="Нет списка48"/>
    <w:next w:val="a2"/>
    <w:uiPriority w:val="99"/>
    <w:semiHidden/>
    <w:unhideWhenUsed/>
    <w:rsid w:val="00C43972"/>
  </w:style>
  <w:style w:type="numbering" w:customStyle="1" w:styleId="138">
    <w:name w:val="Нет списка138"/>
    <w:next w:val="a2"/>
    <w:uiPriority w:val="99"/>
    <w:semiHidden/>
    <w:unhideWhenUsed/>
    <w:rsid w:val="00C43972"/>
  </w:style>
  <w:style w:type="numbering" w:customStyle="1" w:styleId="238">
    <w:name w:val="Нет списка238"/>
    <w:next w:val="a2"/>
    <w:uiPriority w:val="99"/>
    <w:semiHidden/>
    <w:unhideWhenUsed/>
    <w:rsid w:val="00C43972"/>
  </w:style>
  <w:style w:type="table" w:customStyle="1" w:styleId="11110">
    <w:name w:val="Сетка таблицы1111"/>
    <w:basedOn w:val="a1"/>
    <w:next w:val="a6"/>
    <w:uiPriority w:val="59"/>
    <w:rsid w:val="00C43972"/>
    <w:pPr>
      <w:spacing w:line="240" w:lineRule="auto"/>
      <w:jc w:val="left"/>
    </w:pPr>
    <w:rPr>
      <w:rFonts w:ascii="Calibri" w:eastAsia="Calibri" w:hAnsi="Calibri"/>
      <w:sz w:val="22"/>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80">
    <w:name w:val="Сетка таблицы128"/>
    <w:basedOn w:val="a1"/>
    <w:next w:val="a6"/>
    <w:uiPriority w:val="59"/>
    <w:rsid w:val="00C43972"/>
    <w:pPr>
      <w:spacing w:line="240" w:lineRule="auto"/>
      <w:jc w:val="left"/>
    </w:pPr>
    <w:rPr>
      <w:rFonts w:ascii="Calibri" w:eastAsia="Calibri" w:hAnsi="Calibri"/>
      <w:sz w:val="22"/>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Normal8">
    <w:name w:val="Table Normal8"/>
    <w:uiPriority w:val="2"/>
    <w:semiHidden/>
    <w:unhideWhenUsed/>
    <w:qFormat/>
    <w:rsid w:val="00C43972"/>
    <w:pPr>
      <w:widowControl w:val="0"/>
      <w:autoSpaceDE w:val="0"/>
      <w:autoSpaceDN w:val="0"/>
      <w:spacing w:line="240" w:lineRule="auto"/>
      <w:jc w:val="left"/>
    </w:pPr>
    <w:rPr>
      <w:rFonts w:ascii="Calibri" w:hAnsi="Calibri"/>
      <w:sz w:val="22"/>
      <w:lang w:val="en-US"/>
    </w:rPr>
    <w:tblPr>
      <w:tblInd w:w="0" w:type="dxa"/>
      <w:tblCellMar>
        <w:top w:w="0" w:type="dxa"/>
        <w:left w:w="0" w:type="dxa"/>
        <w:bottom w:w="0" w:type="dxa"/>
        <w:right w:w="0" w:type="dxa"/>
      </w:tblCellMar>
    </w:tblPr>
  </w:style>
  <w:style w:type="table" w:customStyle="1" w:styleId="TableNormal9">
    <w:name w:val="Table Normal9"/>
    <w:uiPriority w:val="2"/>
    <w:semiHidden/>
    <w:unhideWhenUsed/>
    <w:qFormat/>
    <w:rsid w:val="00A71F7A"/>
    <w:pPr>
      <w:widowControl w:val="0"/>
      <w:autoSpaceDE w:val="0"/>
      <w:autoSpaceDN w:val="0"/>
      <w:spacing w:line="240" w:lineRule="auto"/>
      <w:jc w:val="left"/>
    </w:pPr>
    <w:rPr>
      <w:rFonts w:ascii="Calibri" w:hAnsi="Calibri"/>
      <w:sz w:val="22"/>
      <w:lang w:val="en-US"/>
    </w:rPr>
    <w:tblPr>
      <w:tblInd w:w="0" w:type="dxa"/>
      <w:tblCellMar>
        <w:top w:w="0" w:type="dxa"/>
        <w:left w:w="0" w:type="dxa"/>
        <w:bottom w:w="0" w:type="dxa"/>
        <w:right w:w="0" w:type="dxa"/>
      </w:tblCellMar>
    </w:tblPr>
  </w:style>
  <w:style w:type="table" w:customStyle="1" w:styleId="502">
    <w:name w:val="Сетка таблицы50"/>
    <w:basedOn w:val="a1"/>
    <w:next w:val="a6"/>
    <w:rsid w:val="00D12CFB"/>
    <w:pPr>
      <w:spacing w:line="240" w:lineRule="auto"/>
    </w:pPr>
    <w:rPr>
      <w:rFonts w:ascii="Calibri" w:eastAsia="Calibri" w:hAnsi="Calibri"/>
      <w:sz w:val="20"/>
      <w:szCs w:val="20"/>
      <w:lang w:val="ru-RU" w:eastAsia="ru-RU"/>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91">
    <w:name w:val="Сетка таблицы59"/>
    <w:basedOn w:val="a1"/>
    <w:next w:val="a6"/>
    <w:rsid w:val="0039412A"/>
    <w:pPr>
      <w:spacing w:line="240" w:lineRule="auto"/>
    </w:pPr>
    <w:rPr>
      <w:rFonts w:ascii="Calibri" w:eastAsia="Calibri" w:hAnsi="Calibri"/>
      <w:sz w:val="20"/>
      <w:szCs w:val="20"/>
      <w:lang w:val="ru-RU" w:eastAsia="ru-RU"/>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602">
    <w:name w:val="Сетка таблицы60"/>
    <w:basedOn w:val="a1"/>
    <w:next w:val="a6"/>
    <w:rsid w:val="009E5667"/>
    <w:pPr>
      <w:spacing w:line="240" w:lineRule="auto"/>
    </w:pPr>
    <w:rPr>
      <w:rFonts w:ascii="Calibri" w:eastAsia="Calibri" w:hAnsi="Calibri"/>
      <w:sz w:val="20"/>
      <w:szCs w:val="20"/>
      <w:lang w:val="ru-RU" w:eastAsia="ru-RU"/>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010">
    <w:name w:val="Сетка таблицы501"/>
    <w:basedOn w:val="a1"/>
    <w:next w:val="a6"/>
    <w:rsid w:val="003D6F77"/>
    <w:pPr>
      <w:spacing w:line="240" w:lineRule="auto"/>
    </w:pPr>
    <w:rPr>
      <w:rFonts w:ascii="Calibri" w:eastAsia="Calibri" w:hAnsi="Calibri"/>
      <w:sz w:val="20"/>
      <w:szCs w:val="20"/>
      <w:lang w:val="ru-RU" w:eastAsia="ru-RU"/>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69">
    <w:name w:val="Сетка таблицы69"/>
    <w:basedOn w:val="a1"/>
    <w:next w:val="a6"/>
    <w:rsid w:val="0062050C"/>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00">
    <w:name w:val="Сетка таблицы70"/>
    <w:basedOn w:val="a1"/>
    <w:next w:val="a6"/>
    <w:rsid w:val="0062050C"/>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403">
    <w:name w:val="Нет списка40"/>
    <w:next w:val="a2"/>
    <w:uiPriority w:val="99"/>
    <w:semiHidden/>
    <w:unhideWhenUsed/>
    <w:rsid w:val="00F32158"/>
  </w:style>
  <w:style w:type="numbering" w:customStyle="1" w:styleId="129">
    <w:name w:val="Нет списка129"/>
    <w:next w:val="a2"/>
    <w:uiPriority w:val="99"/>
    <w:semiHidden/>
    <w:unhideWhenUsed/>
    <w:rsid w:val="00F32158"/>
  </w:style>
  <w:style w:type="table" w:customStyle="1" w:styleId="79">
    <w:name w:val="Сетка таблицы79"/>
    <w:basedOn w:val="a1"/>
    <w:next w:val="a6"/>
    <w:rsid w:val="00F32158"/>
    <w:pPr>
      <w:spacing w:line="240" w:lineRule="auto"/>
    </w:pPr>
    <w:rPr>
      <w:rFonts w:ascii="Calibri" w:eastAsia="Calibri" w:hAnsi="Calibri"/>
      <w:sz w:val="20"/>
      <w:szCs w:val="20"/>
      <w:lang w:val="ru-RU" w:eastAsia="ru-RU"/>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4110">
    <w:name w:val="Сетка таблицы411"/>
    <w:basedOn w:val="a1"/>
    <w:next w:val="a6"/>
    <w:rsid w:val="00F32158"/>
    <w:pPr>
      <w:spacing w:line="240" w:lineRule="auto"/>
    </w:pPr>
    <w:rPr>
      <w:rFonts w:ascii="Calibri" w:eastAsia="Times New Roman" w:hAnsi="Calibri"/>
      <w:sz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31">
    <w:name w:val="Сетка таблицы213"/>
    <w:basedOn w:val="a1"/>
    <w:next w:val="a6"/>
    <w:rsid w:val="00F32158"/>
    <w:pPr>
      <w:spacing w:line="240" w:lineRule="auto"/>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
    <w:name w:val="Нет списка1111"/>
    <w:next w:val="a2"/>
    <w:uiPriority w:val="99"/>
    <w:semiHidden/>
    <w:unhideWhenUsed/>
    <w:rsid w:val="00F32158"/>
  </w:style>
  <w:style w:type="table" w:customStyle="1" w:styleId="1290">
    <w:name w:val="Сетка таблицы129"/>
    <w:basedOn w:val="a1"/>
    <w:next w:val="a6"/>
    <w:rsid w:val="00F32158"/>
    <w:pPr>
      <w:spacing w:line="240" w:lineRule="auto"/>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f3">
    <w:name w:val="Верхний колонтитул1"/>
    <w:basedOn w:val="a"/>
    <w:next w:val="ab"/>
    <w:uiPriority w:val="99"/>
    <w:unhideWhenUsed/>
    <w:rsid w:val="00F32158"/>
    <w:pPr>
      <w:tabs>
        <w:tab w:val="center" w:pos="4844"/>
        <w:tab w:val="right" w:pos="9689"/>
      </w:tabs>
      <w:spacing w:line="240" w:lineRule="auto"/>
    </w:pPr>
    <w:rPr>
      <w:rFonts w:ascii="Calibri" w:hAnsi="Calibri"/>
      <w:sz w:val="22"/>
      <w:lang w:val="ru-RU"/>
    </w:rPr>
  </w:style>
  <w:style w:type="paragraph" w:customStyle="1" w:styleId="1f4">
    <w:name w:val="Нижний колонтитул1"/>
    <w:basedOn w:val="a"/>
    <w:next w:val="ad"/>
    <w:uiPriority w:val="99"/>
    <w:unhideWhenUsed/>
    <w:rsid w:val="00F32158"/>
    <w:pPr>
      <w:tabs>
        <w:tab w:val="center" w:pos="4844"/>
        <w:tab w:val="right" w:pos="9689"/>
      </w:tabs>
      <w:spacing w:line="240" w:lineRule="auto"/>
    </w:pPr>
    <w:rPr>
      <w:rFonts w:ascii="Calibri" w:hAnsi="Calibri"/>
      <w:sz w:val="22"/>
      <w:lang w:val="ru-RU"/>
    </w:rPr>
  </w:style>
  <w:style w:type="table" w:customStyle="1" w:styleId="4120">
    <w:name w:val="Сетка таблицы412"/>
    <w:basedOn w:val="a1"/>
    <w:next w:val="a6"/>
    <w:rsid w:val="00F32158"/>
    <w:pPr>
      <w:spacing w:line="240" w:lineRule="auto"/>
    </w:pPr>
    <w:rPr>
      <w:rFonts w:ascii="Calibri" w:eastAsia="Times New Roman" w:hAnsi="Calibri"/>
      <w:sz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41">
    <w:name w:val="Сетка таблицы214"/>
    <w:basedOn w:val="a1"/>
    <w:next w:val="a6"/>
    <w:rsid w:val="00F32158"/>
    <w:pPr>
      <w:spacing w:line="240" w:lineRule="auto"/>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120">
    <w:name w:val="Сетка таблицы312"/>
    <w:basedOn w:val="a1"/>
    <w:next w:val="a6"/>
    <w:rsid w:val="00F32158"/>
    <w:pPr>
      <w:spacing w:line="240" w:lineRule="auto"/>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100">
    <w:name w:val="Сетка таблицы510"/>
    <w:basedOn w:val="a1"/>
    <w:next w:val="a6"/>
    <w:rsid w:val="00F32158"/>
    <w:pPr>
      <w:spacing w:line="240" w:lineRule="auto"/>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100">
    <w:name w:val="Сетка таблицы610"/>
    <w:basedOn w:val="a1"/>
    <w:next w:val="a6"/>
    <w:rsid w:val="00F32158"/>
    <w:pPr>
      <w:spacing w:line="240" w:lineRule="auto"/>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100">
    <w:name w:val="Сетка таблицы710"/>
    <w:basedOn w:val="a1"/>
    <w:next w:val="a6"/>
    <w:rsid w:val="00F32158"/>
    <w:pPr>
      <w:spacing w:line="240" w:lineRule="auto"/>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9">
    <w:name w:val="Сетка таблицы89"/>
    <w:basedOn w:val="a1"/>
    <w:next w:val="a6"/>
    <w:rsid w:val="00F32158"/>
    <w:pPr>
      <w:spacing w:line="240" w:lineRule="auto"/>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99">
    <w:name w:val="Сетка таблицы99"/>
    <w:basedOn w:val="a1"/>
    <w:next w:val="a6"/>
    <w:rsid w:val="00F32158"/>
    <w:pPr>
      <w:spacing w:line="240" w:lineRule="auto"/>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09">
    <w:name w:val="Сетка таблицы109"/>
    <w:basedOn w:val="a1"/>
    <w:next w:val="a6"/>
    <w:rsid w:val="00F32158"/>
    <w:pPr>
      <w:spacing w:line="240" w:lineRule="auto"/>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f5">
    <w:name w:val="Текст примечания1"/>
    <w:basedOn w:val="a"/>
    <w:next w:val="af3"/>
    <w:uiPriority w:val="99"/>
    <w:semiHidden/>
    <w:unhideWhenUsed/>
    <w:rsid w:val="00F32158"/>
    <w:pPr>
      <w:spacing w:line="240" w:lineRule="auto"/>
    </w:pPr>
    <w:rPr>
      <w:rFonts w:ascii="Calibri" w:hAnsi="Calibri"/>
      <w:sz w:val="20"/>
      <w:szCs w:val="20"/>
      <w:lang w:val="ru-RU"/>
    </w:rPr>
  </w:style>
  <w:style w:type="character" w:customStyle="1" w:styleId="1f6">
    <w:name w:val="Текст примечания Знак1"/>
    <w:basedOn w:val="a0"/>
    <w:uiPriority w:val="99"/>
    <w:semiHidden/>
    <w:rsid w:val="00F32158"/>
    <w:rPr>
      <w:sz w:val="20"/>
      <w:szCs w:val="20"/>
    </w:rPr>
  </w:style>
  <w:style w:type="character" w:customStyle="1" w:styleId="2f4">
    <w:name w:val="Гиперссылка2"/>
    <w:basedOn w:val="a0"/>
    <w:uiPriority w:val="99"/>
    <w:unhideWhenUsed/>
    <w:rsid w:val="00F32158"/>
    <w:rPr>
      <w:color w:val="0563C1"/>
      <w:u w:val="single"/>
    </w:rPr>
  </w:style>
  <w:style w:type="character" w:customStyle="1" w:styleId="2f5">
    <w:name w:val="Просмотренная гиперссылка2"/>
    <w:basedOn w:val="a0"/>
    <w:uiPriority w:val="99"/>
    <w:unhideWhenUsed/>
    <w:rsid w:val="00F32158"/>
    <w:rPr>
      <w:color w:val="954F72"/>
      <w:u w:val="single"/>
    </w:rPr>
  </w:style>
  <w:style w:type="table" w:customStyle="1" w:styleId="TableNormal32">
    <w:name w:val="Table Normal32"/>
    <w:uiPriority w:val="2"/>
    <w:semiHidden/>
    <w:unhideWhenUsed/>
    <w:qFormat/>
    <w:rsid w:val="00F32158"/>
    <w:pPr>
      <w:widowControl w:val="0"/>
      <w:autoSpaceDE w:val="0"/>
      <w:autoSpaceDN w:val="0"/>
      <w:spacing w:line="240" w:lineRule="auto"/>
      <w:jc w:val="left"/>
    </w:pPr>
    <w:rPr>
      <w:rFonts w:ascii="Calibri" w:hAnsi="Calibri"/>
      <w:sz w:val="22"/>
      <w:lang w:val="en-US"/>
    </w:rPr>
    <w:tblPr>
      <w:tblInd w:w="0" w:type="dxa"/>
      <w:tblCellMar>
        <w:top w:w="0" w:type="dxa"/>
        <w:left w:w="0" w:type="dxa"/>
        <w:bottom w:w="0" w:type="dxa"/>
        <w:right w:w="0" w:type="dxa"/>
      </w:tblCellMar>
    </w:tblPr>
  </w:style>
  <w:style w:type="table" w:customStyle="1" w:styleId="TableNormal10">
    <w:name w:val="Table Normal10"/>
    <w:uiPriority w:val="2"/>
    <w:semiHidden/>
    <w:unhideWhenUsed/>
    <w:qFormat/>
    <w:rsid w:val="00F32158"/>
    <w:pPr>
      <w:widowControl w:val="0"/>
      <w:autoSpaceDE w:val="0"/>
      <w:autoSpaceDN w:val="0"/>
      <w:spacing w:line="240" w:lineRule="auto"/>
      <w:jc w:val="left"/>
    </w:pPr>
    <w:rPr>
      <w:rFonts w:ascii="Calibri" w:hAnsi="Calibri"/>
      <w:sz w:val="22"/>
      <w:lang w:val="en-US"/>
    </w:rPr>
    <w:tblPr>
      <w:tblInd w:w="0" w:type="dxa"/>
      <w:tblCellMar>
        <w:top w:w="0" w:type="dxa"/>
        <w:left w:w="0" w:type="dxa"/>
        <w:bottom w:w="0" w:type="dxa"/>
        <w:right w:w="0" w:type="dxa"/>
      </w:tblCellMar>
    </w:tblPr>
  </w:style>
  <w:style w:type="table" w:customStyle="1" w:styleId="TableNormal12">
    <w:name w:val="Table Normal12"/>
    <w:uiPriority w:val="2"/>
    <w:semiHidden/>
    <w:unhideWhenUsed/>
    <w:qFormat/>
    <w:rsid w:val="00F32158"/>
    <w:pPr>
      <w:widowControl w:val="0"/>
      <w:autoSpaceDE w:val="0"/>
      <w:autoSpaceDN w:val="0"/>
      <w:spacing w:line="240" w:lineRule="auto"/>
      <w:jc w:val="left"/>
    </w:pPr>
    <w:rPr>
      <w:rFonts w:ascii="Calibri" w:hAnsi="Calibri"/>
      <w:sz w:val="22"/>
      <w:lang w:val="en-US"/>
    </w:rPr>
    <w:tblPr>
      <w:tblInd w:w="0" w:type="dxa"/>
      <w:tblCellMar>
        <w:top w:w="0" w:type="dxa"/>
        <w:left w:w="0" w:type="dxa"/>
        <w:bottom w:w="0" w:type="dxa"/>
        <w:right w:w="0" w:type="dxa"/>
      </w:tblCellMar>
    </w:tblPr>
  </w:style>
  <w:style w:type="numbering" w:customStyle="1" w:styleId="11a">
    <w:name w:val="Немає списку11"/>
    <w:next w:val="a2"/>
    <w:uiPriority w:val="99"/>
    <w:semiHidden/>
    <w:unhideWhenUsed/>
    <w:rsid w:val="00F32158"/>
  </w:style>
  <w:style w:type="numbering" w:customStyle="1" w:styleId="21a">
    <w:name w:val="Немає списку21"/>
    <w:next w:val="a2"/>
    <w:uiPriority w:val="99"/>
    <w:semiHidden/>
    <w:unhideWhenUsed/>
    <w:rsid w:val="00F32158"/>
  </w:style>
  <w:style w:type="numbering" w:customStyle="1" w:styleId="1112">
    <w:name w:val="Нет списка1112"/>
    <w:next w:val="a2"/>
    <w:semiHidden/>
    <w:rsid w:val="00F32158"/>
  </w:style>
  <w:style w:type="numbering" w:customStyle="1" w:styleId="2200">
    <w:name w:val="Нет списка220"/>
    <w:next w:val="a2"/>
    <w:uiPriority w:val="99"/>
    <w:semiHidden/>
    <w:rsid w:val="00F32158"/>
  </w:style>
  <w:style w:type="numbering" w:customStyle="1" w:styleId="3101">
    <w:name w:val="Нет списка310"/>
    <w:next w:val="a2"/>
    <w:semiHidden/>
    <w:rsid w:val="00F32158"/>
  </w:style>
  <w:style w:type="table" w:customStyle="1" w:styleId="TableNormal22">
    <w:name w:val="Table Normal22"/>
    <w:uiPriority w:val="2"/>
    <w:semiHidden/>
    <w:unhideWhenUsed/>
    <w:qFormat/>
    <w:rsid w:val="00F32158"/>
    <w:pPr>
      <w:widowControl w:val="0"/>
      <w:autoSpaceDE w:val="0"/>
      <w:autoSpaceDN w:val="0"/>
      <w:spacing w:line="240" w:lineRule="auto"/>
      <w:jc w:val="left"/>
    </w:pPr>
    <w:rPr>
      <w:rFonts w:ascii="Calibri" w:hAnsi="Calibri"/>
      <w:sz w:val="22"/>
      <w:lang w:val="en-US"/>
    </w:rPr>
    <w:tblPr>
      <w:tblInd w:w="0" w:type="dxa"/>
      <w:tblCellMar>
        <w:top w:w="0" w:type="dxa"/>
        <w:left w:w="0" w:type="dxa"/>
        <w:bottom w:w="0" w:type="dxa"/>
        <w:right w:w="0" w:type="dxa"/>
      </w:tblCellMar>
    </w:tblPr>
  </w:style>
  <w:style w:type="numbering" w:customStyle="1" w:styleId="492">
    <w:name w:val="Нет списка49"/>
    <w:next w:val="a2"/>
    <w:uiPriority w:val="99"/>
    <w:semiHidden/>
    <w:unhideWhenUsed/>
    <w:rsid w:val="00F32158"/>
  </w:style>
  <w:style w:type="numbering" w:customStyle="1" w:styleId="12100">
    <w:name w:val="Нет списка1210"/>
    <w:next w:val="a2"/>
    <w:uiPriority w:val="99"/>
    <w:semiHidden/>
    <w:unhideWhenUsed/>
    <w:rsid w:val="00F32158"/>
  </w:style>
  <w:style w:type="numbering" w:customStyle="1" w:styleId="21100">
    <w:name w:val="Нет списка2110"/>
    <w:next w:val="a2"/>
    <w:uiPriority w:val="99"/>
    <w:semiHidden/>
    <w:unhideWhenUsed/>
    <w:rsid w:val="00F32158"/>
  </w:style>
  <w:style w:type="table" w:customStyle="1" w:styleId="11120">
    <w:name w:val="Сетка таблицы1112"/>
    <w:basedOn w:val="a1"/>
    <w:next w:val="a6"/>
    <w:rsid w:val="00F32158"/>
    <w:pPr>
      <w:spacing w:line="240" w:lineRule="auto"/>
      <w:jc w:val="left"/>
    </w:pPr>
    <w:rPr>
      <w:rFonts w:eastAsia="Times New Roman"/>
      <w:sz w:val="20"/>
      <w:szCs w:val="20"/>
      <w:lang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130">
    <w:name w:val="Сетка таблицы313"/>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513">
    <w:name w:val="Нет списка51"/>
    <w:next w:val="a2"/>
    <w:uiPriority w:val="99"/>
    <w:semiHidden/>
    <w:unhideWhenUsed/>
    <w:rsid w:val="00F32158"/>
  </w:style>
  <w:style w:type="numbering" w:customStyle="1" w:styleId="139">
    <w:name w:val="Нет списка139"/>
    <w:next w:val="a2"/>
    <w:uiPriority w:val="99"/>
    <w:semiHidden/>
    <w:unhideWhenUsed/>
    <w:rsid w:val="00F32158"/>
  </w:style>
  <w:style w:type="numbering" w:customStyle="1" w:styleId="229">
    <w:name w:val="Нет списка229"/>
    <w:next w:val="a2"/>
    <w:uiPriority w:val="99"/>
    <w:semiHidden/>
    <w:unhideWhenUsed/>
    <w:rsid w:val="00F32158"/>
  </w:style>
  <w:style w:type="table" w:customStyle="1" w:styleId="12101">
    <w:name w:val="Сетка таблицы1210"/>
    <w:basedOn w:val="a1"/>
    <w:next w:val="a6"/>
    <w:rsid w:val="00F32158"/>
    <w:pPr>
      <w:spacing w:line="240" w:lineRule="auto"/>
      <w:jc w:val="left"/>
    </w:pPr>
    <w:rPr>
      <w:rFonts w:eastAsia="Times New Roman"/>
      <w:sz w:val="20"/>
      <w:szCs w:val="20"/>
      <w:lang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211">
    <w:name w:val="Сетка таблицы221"/>
    <w:basedOn w:val="a1"/>
    <w:next w:val="a6"/>
    <w:rsid w:val="00F32158"/>
    <w:pPr>
      <w:spacing w:line="240" w:lineRule="auto"/>
      <w:jc w:val="left"/>
    </w:pPr>
    <w:rPr>
      <w:rFonts w:eastAsia="Times New Roman"/>
      <w:sz w:val="20"/>
      <w:szCs w:val="20"/>
      <w:lang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210">
    <w:name w:val="Сетка таблицы421"/>
    <w:basedOn w:val="a1"/>
    <w:next w:val="a6"/>
    <w:rsid w:val="00F32158"/>
    <w:pPr>
      <w:spacing w:line="240" w:lineRule="auto"/>
      <w:jc w:val="left"/>
    </w:pPr>
    <w:rPr>
      <w:rFonts w:ascii="Calibri" w:eastAsia="Times New Roman" w:hAnsi="Calibri"/>
      <w:sz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210">
    <w:name w:val="Сетка таблицы32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614">
    <w:name w:val="Нет списка61"/>
    <w:next w:val="a2"/>
    <w:uiPriority w:val="99"/>
    <w:semiHidden/>
    <w:unhideWhenUsed/>
    <w:rsid w:val="00F32158"/>
  </w:style>
  <w:style w:type="numbering" w:customStyle="1" w:styleId="1410">
    <w:name w:val="Нет списка141"/>
    <w:next w:val="a2"/>
    <w:semiHidden/>
    <w:rsid w:val="00F32158"/>
  </w:style>
  <w:style w:type="table" w:customStyle="1" w:styleId="TableNormal41">
    <w:name w:val="Table Normal41"/>
    <w:uiPriority w:val="2"/>
    <w:semiHidden/>
    <w:unhideWhenUsed/>
    <w:qFormat/>
    <w:rsid w:val="00F32158"/>
    <w:pPr>
      <w:widowControl w:val="0"/>
      <w:autoSpaceDE w:val="0"/>
      <w:autoSpaceDN w:val="0"/>
      <w:spacing w:line="240" w:lineRule="auto"/>
      <w:jc w:val="left"/>
    </w:pPr>
    <w:rPr>
      <w:rFonts w:ascii="Calibri" w:hAnsi="Calibri"/>
      <w:sz w:val="22"/>
      <w:lang w:val="en-US"/>
    </w:rPr>
    <w:tblPr>
      <w:tblInd w:w="0" w:type="dxa"/>
      <w:tblCellMar>
        <w:top w:w="0" w:type="dxa"/>
        <w:left w:w="0" w:type="dxa"/>
        <w:bottom w:w="0" w:type="dxa"/>
        <w:right w:w="0" w:type="dxa"/>
      </w:tblCellMar>
    </w:tblPr>
  </w:style>
  <w:style w:type="table" w:customStyle="1" w:styleId="TableNormal111">
    <w:name w:val="Table Normal111"/>
    <w:uiPriority w:val="2"/>
    <w:semiHidden/>
    <w:unhideWhenUsed/>
    <w:qFormat/>
    <w:rsid w:val="00F32158"/>
    <w:pPr>
      <w:widowControl w:val="0"/>
      <w:autoSpaceDE w:val="0"/>
      <w:autoSpaceDN w:val="0"/>
      <w:spacing w:line="240" w:lineRule="auto"/>
      <w:jc w:val="left"/>
    </w:pPr>
    <w:rPr>
      <w:rFonts w:ascii="Calibri" w:hAnsi="Calibri"/>
      <w:sz w:val="22"/>
      <w:lang w:val="en-US"/>
    </w:rPr>
    <w:tblPr>
      <w:tblInd w:w="0" w:type="dxa"/>
      <w:tblCellMar>
        <w:top w:w="0" w:type="dxa"/>
        <w:left w:w="0" w:type="dxa"/>
        <w:bottom w:w="0" w:type="dxa"/>
        <w:right w:w="0" w:type="dxa"/>
      </w:tblCellMar>
    </w:tblPr>
  </w:style>
  <w:style w:type="table" w:customStyle="1" w:styleId="TableNormal211">
    <w:name w:val="Table Normal211"/>
    <w:uiPriority w:val="2"/>
    <w:semiHidden/>
    <w:unhideWhenUsed/>
    <w:qFormat/>
    <w:rsid w:val="00F32158"/>
    <w:pPr>
      <w:widowControl w:val="0"/>
      <w:autoSpaceDE w:val="0"/>
      <w:autoSpaceDN w:val="0"/>
      <w:spacing w:line="240" w:lineRule="auto"/>
      <w:jc w:val="left"/>
    </w:pPr>
    <w:rPr>
      <w:rFonts w:ascii="Calibri" w:hAnsi="Calibri"/>
      <w:sz w:val="22"/>
      <w:lang w:val="en-US"/>
    </w:rPr>
    <w:tblPr>
      <w:tblInd w:w="0" w:type="dxa"/>
      <w:tblCellMar>
        <w:top w:w="0" w:type="dxa"/>
        <w:left w:w="0" w:type="dxa"/>
        <w:bottom w:w="0" w:type="dxa"/>
        <w:right w:w="0" w:type="dxa"/>
      </w:tblCellMar>
    </w:tblPr>
  </w:style>
  <w:style w:type="table" w:customStyle="1" w:styleId="TableNormal311">
    <w:name w:val="Table Normal311"/>
    <w:uiPriority w:val="2"/>
    <w:semiHidden/>
    <w:unhideWhenUsed/>
    <w:qFormat/>
    <w:rsid w:val="00F32158"/>
    <w:pPr>
      <w:widowControl w:val="0"/>
      <w:autoSpaceDE w:val="0"/>
      <w:autoSpaceDN w:val="0"/>
      <w:spacing w:line="240" w:lineRule="auto"/>
      <w:jc w:val="left"/>
    </w:pPr>
    <w:rPr>
      <w:rFonts w:ascii="Calibri" w:hAnsi="Calibri"/>
      <w:sz w:val="22"/>
      <w:lang w:val="en-US"/>
    </w:rPr>
    <w:tblPr>
      <w:tblInd w:w="0" w:type="dxa"/>
      <w:tblCellMar>
        <w:top w:w="0" w:type="dxa"/>
        <w:left w:w="0" w:type="dxa"/>
        <w:bottom w:w="0" w:type="dxa"/>
        <w:right w:w="0" w:type="dxa"/>
      </w:tblCellMar>
    </w:tblPr>
  </w:style>
  <w:style w:type="table" w:customStyle="1" w:styleId="TableNormal51">
    <w:name w:val="Table Normal51"/>
    <w:uiPriority w:val="2"/>
    <w:semiHidden/>
    <w:unhideWhenUsed/>
    <w:qFormat/>
    <w:rsid w:val="00F32158"/>
    <w:pPr>
      <w:widowControl w:val="0"/>
      <w:autoSpaceDE w:val="0"/>
      <w:autoSpaceDN w:val="0"/>
      <w:spacing w:line="240" w:lineRule="auto"/>
      <w:jc w:val="left"/>
    </w:pPr>
    <w:rPr>
      <w:rFonts w:ascii="Calibri" w:hAnsi="Calibri"/>
      <w:sz w:val="22"/>
      <w:lang w:val="en-US"/>
    </w:rPr>
    <w:tblPr>
      <w:tblInd w:w="0" w:type="dxa"/>
      <w:tblCellMar>
        <w:top w:w="0" w:type="dxa"/>
        <w:left w:w="0" w:type="dxa"/>
        <w:bottom w:w="0" w:type="dxa"/>
        <w:right w:w="0" w:type="dxa"/>
      </w:tblCellMar>
    </w:tblPr>
  </w:style>
  <w:style w:type="numbering" w:customStyle="1" w:styleId="713">
    <w:name w:val="Нет списка71"/>
    <w:next w:val="a2"/>
    <w:uiPriority w:val="99"/>
    <w:semiHidden/>
    <w:unhideWhenUsed/>
    <w:rsid w:val="00F32158"/>
  </w:style>
  <w:style w:type="numbering" w:customStyle="1" w:styleId="811">
    <w:name w:val="Нет списка81"/>
    <w:next w:val="a2"/>
    <w:uiPriority w:val="99"/>
    <w:semiHidden/>
    <w:unhideWhenUsed/>
    <w:rsid w:val="00F32158"/>
  </w:style>
  <w:style w:type="numbering" w:customStyle="1" w:styleId="1510">
    <w:name w:val="Нет списка151"/>
    <w:next w:val="a2"/>
    <w:uiPriority w:val="99"/>
    <w:semiHidden/>
    <w:unhideWhenUsed/>
    <w:rsid w:val="00F32158"/>
  </w:style>
  <w:style w:type="table" w:customStyle="1" w:styleId="1311">
    <w:name w:val="Сетка таблицы13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310">
    <w:name w:val="Сетка таблицы431"/>
    <w:basedOn w:val="a1"/>
    <w:next w:val="a6"/>
    <w:rsid w:val="00F32158"/>
    <w:pPr>
      <w:spacing w:line="240" w:lineRule="auto"/>
      <w:jc w:val="left"/>
    </w:pPr>
    <w:rPr>
      <w:rFonts w:ascii="Calibri" w:eastAsia="Times New Roman" w:hAnsi="Calibri"/>
      <w:sz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11">
    <w:name w:val="Сетка таблицы23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411">
    <w:name w:val="Сетка таблицы14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310">
    <w:name w:val="Сетка таблицы33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110">
    <w:name w:val="Сетка таблицы51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110">
    <w:name w:val="Сетка таблицы61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110">
    <w:name w:val="Сетка таблицы71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110">
    <w:name w:val="Сетка таблицы81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911">
    <w:name w:val="Сетка таблицы91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011">
    <w:name w:val="Сетка таблицы101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39">
    <w:name w:val="Нет списка239"/>
    <w:next w:val="a2"/>
    <w:uiPriority w:val="99"/>
    <w:semiHidden/>
    <w:unhideWhenUsed/>
    <w:rsid w:val="00F32158"/>
  </w:style>
  <w:style w:type="numbering" w:customStyle="1" w:styleId="111110">
    <w:name w:val="Нет списка11111"/>
    <w:next w:val="a2"/>
    <w:uiPriority w:val="99"/>
    <w:semiHidden/>
    <w:unhideWhenUsed/>
    <w:rsid w:val="00F32158"/>
  </w:style>
  <w:style w:type="numbering" w:customStyle="1" w:styleId="21110">
    <w:name w:val="Нет списка2111"/>
    <w:next w:val="a2"/>
    <w:uiPriority w:val="99"/>
    <w:semiHidden/>
    <w:unhideWhenUsed/>
    <w:rsid w:val="00F32158"/>
  </w:style>
  <w:style w:type="numbering" w:customStyle="1" w:styleId="3111">
    <w:name w:val="Нет списка311"/>
    <w:next w:val="a2"/>
    <w:uiPriority w:val="99"/>
    <w:semiHidden/>
    <w:unhideWhenUsed/>
    <w:rsid w:val="00F32158"/>
  </w:style>
  <w:style w:type="numbering" w:customStyle="1" w:styleId="12110">
    <w:name w:val="Нет списка1211"/>
    <w:next w:val="a2"/>
    <w:uiPriority w:val="99"/>
    <w:semiHidden/>
    <w:unhideWhenUsed/>
    <w:rsid w:val="00F32158"/>
  </w:style>
  <w:style w:type="numbering" w:customStyle="1" w:styleId="22110">
    <w:name w:val="Нет списка2211"/>
    <w:next w:val="a2"/>
    <w:uiPriority w:val="99"/>
    <w:semiHidden/>
    <w:unhideWhenUsed/>
    <w:rsid w:val="00F32158"/>
  </w:style>
  <w:style w:type="numbering" w:customStyle="1" w:styleId="4111">
    <w:name w:val="Нет списка411"/>
    <w:next w:val="a2"/>
    <w:uiPriority w:val="99"/>
    <w:semiHidden/>
    <w:unhideWhenUsed/>
    <w:rsid w:val="00F32158"/>
  </w:style>
  <w:style w:type="numbering" w:customStyle="1" w:styleId="13110">
    <w:name w:val="Нет списка1311"/>
    <w:next w:val="a2"/>
    <w:uiPriority w:val="99"/>
    <w:semiHidden/>
    <w:unhideWhenUsed/>
    <w:rsid w:val="00F32158"/>
  </w:style>
  <w:style w:type="numbering" w:customStyle="1" w:styleId="23110">
    <w:name w:val="Нет списка2311"/>
    <w:next w:val="a2"/>
    <w:uiPriority w:val="99"/>
    <w:semiHidden/>
    <w:unhideWhenUsed/>
    <w:rsid w:val="00F32158"/>
  </w:style>
  <w:style w:type="table" w:customStyle="1" w:styleId="1113">
    <w:name w:val="Сетка таблицы1113"/>
    <w:basedOn w:val="a1"/>
    <w:next w:val="a6"/>
    <w:uiPriority w:val="59"/>
    <w:rsid w:val="00F32158"/>
    <w:pPr>
      <w:spacing w:line="240" w:lineRule="auto"/>
      <w:jc w:val="left"/>
    </w:pPr>
    <w:rPr>
      <w:rFonts w:ascii="Calibri" w:eastAsia="Calibri" w:hAnsi="Calibri"/>
      <w:sz w:val="22"/>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111">
    <w:name w:val="Сетка таблицы1211"/>
    <w:basedOn w:val="a1"/>
    <w:next w:val="a6"/>
    <w:uiPriority w:val="59"/>
    <w:rsid w:val="00F32158"/>
    <w:pPr>
      <w:spacing w:line="240" w:lineRule="auto"/>
      <w:jc w:val="left"/>
    </w:pPr>
    <w:rPr>
      <w:rFonts w:ascii="Calibri" w:eastAsia="Calibri" w:hAnsi="Calibri"/>
      <w:sz w:val="22"/>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912">
    <w:name w:val="Нет списка91"/>
    <w:next w:val="a2"/>
    <w:uiPriority w:val="99"/>
    <w:semiHidden/>
    <w:unhideWhenUsed/>
    <w:rsid w:val="00F32158"/>
  </w:style>
  <w:style w:type="numbering" w:customStyle="1" w:styleId="1610">
    <w:name w:val="Нет списка161"/>
    <w:next w:val="a2"/>
    <w:uiPriority w:val="99"/>
    <w:semiHidden/>
    <w:unhideWhenUsed/>
    <w:rsid w:val="00F32158"/>
  </w:style>
  <w:style w:type="table" w:customStyle="1" w:styleId="1511">
    <w:name w:val="Сетка таблицы15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410">
    <w:name w:val="Сетка таблицы441"/>
    <w:basedOn w:val="a1"/>
    <w:next w:val="a6"/>
    <w:rsid w:val="00F32158"/>
    <w:pPr>
      <w:spacing w:line="240" w:lineRule="auto"/>
      <w:jc w:val="left"/>
    </w:pPr>
    <w:rPr>
      <w:rFonts w:ascii="Calibri" w:eastAsia="Times New Roman" w:hAnsi="Calibri"/>
      <w:sz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10">
    <w:name w:val="Сетка таблицы24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611">
    <w:name w:val="Сетка таблицы16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410">
    <w:name w:val="Сетка таблицы34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210">
    <w:name w:val="Сетка таблицы52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210">
    <w:name w:val="Сетка таблицы62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210">
    <w:name w:val="Сетка таблицы72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21">
    <w:name w:val="Сетка таблицы82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921">
    <w:name w:val="Сетка таблицы92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021">
    <w:name w:val="Сетка таблицы102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411">
    <w:name w:val="Нет списка241"/>
    <w:next w:val="a2"/>
    <w:uiPriority w:val="99"/>
    <w:semiHidden/>
    <w:unhideWhenUsed/>
    <w:rsid w:val="00F32158"/>
  </w:style>
  <w:style w:type="numbering" w:customStyle="1" w:styleId="11210">
    <w:name w:val="Нет списка1121"/>
    <w:next w:val="a2"/>
    <w:uiPriority w:val="99"/>
    <w:semiHidden/>
    <w:unhideWhenUsed/>
    <w:rsid w:val="00F32158"/>
  </w:style>
  <w:style w:type="numbering" w:customStyle="1" w:styleId="21210">
    <w:name w:val="Нет списка2121"/>
    <w:next w:val="a2"/>
    <w:uiPriority w:val="99"/>
    <w:semiHidden/>
    <w:unhideWhenUsed/>
    <w:rsid w:val="00F32158"/>
  </w:style>
  <w:style w:type="numbering" w:customStyle="1" w:styleId="3211">
    <w:name w:val="Нет списка321"/>
    <w:next w:val="a2"/>
    <w:uiPriority w:val="99"/>
    <w:semiHidden/>
    <w:unhideWhenUsed/>
    <w:rsid w:val="00F32158"/>
  </w:style>
  <w:style w:type="numbering" w:customStyle="1" w:styleId="12210">
    <w:name w:val="Нет списка1221"/>
    <w:next w:val="a2"/>
    <w:uiPriority w:val="99"/>
    <w:semiHidden/>
    <w:unhideWhenUsed/>
    <w:rsid w:val="00F32158"/>
  </w:style>
  <w:style w:type="numbering" w:customStyle="1" w:styleId="2221">
    <w:name w:val="Нет списка2221"/>
    <w:next w:val="a2"/>
    <w:uiPriority w:val="99"/>
    <w:semiHidden/>
    <w:unhideWhenUsed/>
    <w:rsid w:val="00F32158"/>
  </w:style>
  <w:style w:type="numbering" w:customStyle="1" w:styleId="4211">
    <w:name w:val="Нет списка421"/>
    <w:next w:val="a2"/>
    <w:uiPriority w:val="99"/>
    <w:semiHidden/>
    <w:unhideWhenUsed/>
    <w:rsid w:val="00F32158"/>
  </w:style>
  <w:style w:type="numbering" w:customStyle="1" w:styleId="1321">
    <w:name w:val="Нет списка1321"/>
    <w:next w:val="a2"/>
    <w:uiPriority w:val="99"/>
    <w:semiHidden/>
    <w:unhideWhenUsed/>
    <w:rsid w:val="00F32158"/>
  </w:style>
  <w:style w:type="numbering" w:customStyle="1" w:styleId="2321">
    <w:name w:val="Нет списка2321"/>
    <w:next w:val="a2"/>
    <w:uiPriority w:val="99"/>
    <w:semiHidden/>
    <w:unhideWhenUsed/>
    <w:rsid w:val="00F32158"/>
  </w:style>
  <w:style w:type="table" w:customStyle="1" w:styleId="11211">
    <w:name w:val="Сетка таблицы1121"/>
    <w:basedOn w:val="a1"/>
    <w:next w:val="a6"/>
    <w:uiPriority w:val="59"/>
    <w:rsid w:val="00F32158"/>
    <w:pPr>
      <w:spacing w:line="240" w:lineRule="auto"/>
      <w:jc w:val="left"/>
    </w:pPr>
    <w:rPr>
      <w:rFonts w:ascii="Calibri" w:eastAsia="Calibri" w:hAnsi="Calibri"/>
      <w:sz w:val="22"/>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211">
    <w:name w:val="Сетка таблицы1221"/>
    <w:basedOn w:val="a1"/>
    <w:next w:val="a6"/>
    <w:uiPriority w:val="59"/>
    <w:rsid w:val="00F32158"/>
    <w:pPr>
      <w:spacing w:line="240" w:lineRule="auto"/>
      <w:jc w:val="left"/>
    </w:pPr>
    <w:rPr>
      <w:rFonts w:ascii="Calibri" w:eastAsia="Calibri" w:hAnsi="Calibri"/>
      <w:sz w:val="22"/>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012">
    <w:name w:val="Нет списка101"/>
    <w:next w:val="a2"/>
    <w:uiPriority w:val="99"/>
    <w:semiHidden/>
    <w:unhideWhenUsed/>
    <w:rsid w:val="00F32158"/>
  </w:style>
  <w:style w:type="numbering" w:customStyle="1" w:styleId="1710">
    <w:name w:val="Нет списка171"/>
    <w:next w:val="a2"/>
    <w:uiPriority w:val="99"/>
    <w:semiHidden/>
    <w:unhideWhenUsed/>
    <w:rsid w:val="00F32158"/>
  </w:style>
  <w:style w:type="table" w:customStyle="1" w:styleId="1711">
    <w:name w:val="Сетка таблицы17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510">
    <w:name w:val="Сетка таблицы451"/>
    <w:basedOn w:val="a1"/>
    <w:next w:val="a6"/>
    <w:rsid w:val="00F32158"/>
    <w:pPr>
      <w:spacing w:line="240" w:lineRule="auto"/>
      <w:jc w:val="left"/>
    </w:pPr>
    <w:rPr>
      <w:rFonts w:ascii="Calibri" w:eastAsia="Times New Roman" w:hAnsi="Calibri"/>
      <w:sz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510">
    <w:name w:val="Сетка таблицы25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810">
    <w:name w:val="Сетка таблицы18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510">
    <w:name w:val="Сетка таблицы35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310">
    <w:name w:val="Сетка таблицы53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310">
    <w:name w:val="Сетка таблицы63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310">
    <w:name w:val="Сетка таблицы73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31">
    <w:name w:val="Сетка таблицы83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931">
    <w:name w:val="Сетка таблицы93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031">
    <w:name w:val="Сетка таблицы103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511">
    <w:name w:val="Нет списка251"/>
    <w:next w:val="a2"/>
    <w:uiPriority w:val="99"/>
    <w:semiHidden/>
    <w:unhideWhenUsed/>
    <w:rsid w:val="00F32158"/>
  </w:style>
  <w:style w:type="numbering" w:customStyle="1" w:styleId="11310">
    <w:name w:val="Нет списка1131"/>
    <w:next w:val="a2"/>
    <w:uiPriority w:val="99"/>
    <w:semiHidden/>
    <w:unhideWhenUsed/>
    <w:rsid w:val="00F32158"/>
  </w:style>
  <w:style w:type="numbering" w:customStyle="1" w:styleId="21310">
    <w:name w:val="Нет списка2131"/>
    <w:next w:val="a2"/>
    <w:uiPriority w:val="99"/>
    <w:semiHidden/>
    <w:unhideWhenUsed/>
    <w:rsid w:val="00F32158"/>
  </w:style>
  <w:style w:type="numbering" w:customStyle="1" w:styleId="3311">
    <w:name w:val="Нет списка331"/>
    <w:next w:val="a2"/>
    <w:uiPriority w:val="99"/>
    <w:semiHidden/>
    <w:unhideWhenUsed/>
    <w:rsid w:val="00F32158"/>
  </w:style>
  <w:style w:type="numbering" w:customStyle="1" w:styleId="12310">
    <w:name w:val="Нет списка1231"/>
    <w:next w:val="a2"/>
    <w:uiPriority w:val="99"/>
    <w:semiHidden/>
    <w:unhideWhenUsed/>
    <w:rsid w:val="00F32158"/>
  </w:style>
  <w:style w:type="numbering" w:customStyle="1" w:styleId="2231">
    <w:name w:val="Нет списка2231"/>
    <w:next w:val="a2"/>
    <w:uiPriority w:val="99"/>
    <w:semiHidden/>
    <w:unhideWhenUsed/>
    <w:rsid w:val="00F32158"/>
  </w:style>
  <w:style w:type="numbering" w:customStyle="1" w:styleId="4311">
    <w:name w:val="Нет списка431"/>
    <w:next w:val="a2"/>
    <w:uiPriority w:val="99"/>
    <w:semiHidden/>
    <w:unhideWhenUsed/>
    <w:rsid w:val="00F32158"/>
  </w:style>
  <w:style w:type="numbering" w:customStyle="1" w:styleId="1331">
    <w:name w:val="Нет списка1331"/>
    <w:next w:val="a2"/>
    <w:uiPriority w:val="99"/>
    <w:semiHidden/>
    <w:unhideWhenUsed/>
    <w:rsid w:val="00F32158"/>
  </w:style>
  <w:style w:type="numbering" w:customStyle="1" w:styleId="2331">
    <w:name w:val="Нет списка2331"/>
    <w:next w:val="a2"/>
    <w:uiPriority w:val="99"/>
    <w:semiHidden/>
    <w:unhideWhenUsed/>
    <w:rsid w:val="00F32158"/>
  </w:style>
  <w:style w:type="table" w:customStyle="1" w:styleId="11311">
    <w:name w:val="Сетка таблицы1131"/>
    <w:basedOn w:val="a1"/>
    <w:next w:val="a6"/>
    <w:uiPriority w:val="59"/>
    <w:rsid w:val="00F32158"/>
    <w:pPr>
      <w:spacing w:line="240" w:lineRule="auto"/>
      <w:jc w:val="left"/>
    </w:pPr>
    <w:rPr>
      <w:rFonts w:ascii="Calibri" w:eastAsia="Calibri" w:hAnsi="Calibri"/>
      <w:sz w:val="22"/>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311">
    <w:name w:val="Сетка таблицы1231"/>
    <w:basedOn w:val="a1"/>
    <w:next w:val="a6"/>
    <w:uiPriority w:val="59"/>
    <w:rsid w:val="00F32158"/>
    <w:pPr>
      <w:spacing w:line="240" w:lineRule="auto"/>
      <w:jc w:val="left"/>
    </w:pPr>
    <w:rPr>
      <w:rFonts w:ascii="Calibri" w:eastAsia="Calibri" w:hAnsi="Calibri"/>
      <w:sz w:val="22"/>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811">
    <w:name w:val="Нет списка181"/>
    <w:next w:val="a2"/>
    <w:uiPriority w:val="99"/>
    <w:semiHidden/>
    <w:unhideWhenUsed/>
    <w:rsid w:val="00F32158"/>
  </w:style>
  <w:style w:type="numbering" w:customStyle="1" w:styleId="1910">
    <w:name w:val="Нет списка191"/>
    <w:next w:val="a2"/>
    <w:uiPriority w:val="99"/>
    <w:semiHidden/>
    <w:unhideWhenUsed/>
    <w:rsid w:val="00F32158"/>
  </w:style>
  <w:style w:type="table" w:customStyle="1" w:styleId="1911">
    <w:name w:val="Сетка таблицы19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610">
    <w:name w:val="Сетка таблицы461"/>
    <w:basedOn w:val="a1"/>
    <w:next w:val="a6"/>
    <w:rsid w:val="00F32158"/>
    <w:pPr>
      <w:spacing w:line="240" w:lineRule="auto"/>
      <w:jc w:val="left"/>
    </w:pPr>
    <w:rPr>
      <w:rFonts w:ascii="Calibri" w:eastAsia="Times New Roman" w:hAnsi="Calibri"/>
      <w:sz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610">
    <w:name w:val="Сетка таблицы26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010">
    <w:name w:val="Сетка таблицы110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610">
    <w:name w:val="Сетка таблицы36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410">
    <w:name w:val="Сетка таблицы54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410">
    <w:name w:val="Сетка таблицы64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41">
    <w:name w:val="Сетка таблицы74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41">
    <w:name w:val="Сетка таблицы84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941">
    <w:name w:val="Сетка таблицы94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041">
    <w:name w:val="Сетка таблицы104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611">
    <w:name w:val="Нет списка261"/>
    <w:next w:val="a2"/>
    <w:uiPriority w:val="99"/>
    <w:semiHidden/>
    <w:unhideWhenUsed/>
    <w:rsid w:val="00F32158"/>
  </w:style>
  <w:style w:type="numbering" w:customStyle="1" w:styleId="11410">
    <w:name w:val="Нет списка1141"/>
    <w:next w:val="a2"/>
    <w:uiPriority w:val="99"/>
    <w:semiHidden/>
    <w:unhideWhenUsed/>
    <w:rsid w:val="00F32158"/>
  </w:style>
  <w:style w:type="numbering" w:customStyle="1" w:styleId="21410">
    <w:name w:val="Нет списка2141"/>
    <w:next w:val="a2"/>
    <w:uiPriority w:val="99"/>
    <w:semiHidden/>
    <w:unhideWhenUsed/>
    <w:rsid w:val="00F32158"/>
  </w:style>
  <w:style w:type="numbering" w:customStyle="1" w:styleId="3411">
    <w:name w:val="Нет списка341"/>
    <w:next w:val="a2"/>
    <w:uiPriority w:val="99"/>
    <w:semiHidden/>
    <w:unhideWhenUsed/>
    <w:rsid w:val="00F32158"/>
  </w:style>
  <w:style w:type="numbering" w:customStyle="1" w:styleId="12410">
    <w:name w:val="Нет списка1241"/>
    <w:next w:val="a2"/>
    <w:uiPriority w:val="99"/>
    <w:semiHidden/>
    <w:unhideWhenUsed/>
    <w:rsid w:val="00F32158"/>
  </w:style>
  <w:style w:type="numbering" w:customStyle="1" w:styleId="2241">
    <w:name w:val="Нет списка2241"/>
    <w:next w:val="a2"/>
    <w:uiPriority w:val="99"/>
    <w:semiHidden/>
    <w:unhideWhenUsed/>
    <w:rsid w:val="00F32158"/>
  </w:style>
  <w:style w:type="numbering" w:customStyle="1" w:styleId="4411">
    <w:name w:val="Нет списка441"/>
    <w:next w:val="a2"/>
    <w:uiPriority w:val="99"/>
    <w:semiHidden/>
    <w:unhideWhenUsed/>
    <w:rsid w:val="00F32158"/>
  </w:style>
  <w:style w:type="numbering" w:customStyle="1" w:styleId="1341">
    <w:name w:val="Нет списка1341"/>
    <w:next w:val="a2"/>
    <w:uiPriority w:val="99"/>
    <w:semiHidden/>
    <w:unhideWhenUsed/>
    <w:rsid w:val="00F32158"/>
  </w:style>
  <w:style w:type="numbering" w:customStyle="1" w:styleId="2341">
    <w:name w:val="Нет списка2341"/>
    <w:next w:val="a2"/>
    <w:uiPriority w:val="99"/>
    <w:semiHidden/>
    <w:unhideWhenUsed/>
    <w:rsid w:val="00F32158"/>
  </w:style>
  <w:style w:type="table" w:customStyle="1" w:styleId="11411">
    <w:name w:val="Сетка таблицы1141"/>
    <w:basedOn w:val="a1"/>
    <w:next w:val="a6"/>
    <w:uiPriority w:val="59"/>
    <w:rsid w:val="00F32158"/>
    <w:pPr>
      <w:spacing w:line="240" w:lineRule="auto"/>
      <w:jc w:val="left"/>
    </w:pPr>
    <w:rPr>
      <w:rFonts w:ascii="Calibri" w:eastAsia="Calibri" w:hAnsi="Calibri"/>
      <w:sz w:val="22"/>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411">
    <w:name w:val="Сетка таблицы1241"/>
    <w:basedOn w:val="a1"/>
    <w:next w:val="a6"/>
    <w:uiPriority w:val="59"/>
    <w:rsid w:val="00F32158"/>
    <w:pPr>
      <w:spacing w:line="240" w:lineRule="auto"/>
      <w:jc w:val="left"/>
    </w:pPr>
    <w:rPr>
      <w:rFonts w:ascii="Calibri" w:eastAsia="Calibri" w:hAnsi="Calibri"/>
      <w:sz w:val="22"/>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010">
    <w:name w:val="Нет списка201"/>
    <w:next w:val="a2"/>
    <w:uiPriority w:val="99"/>
    <w:semiHidden/>
    <w:unhideWhenUsed/>
    <w:rsid w:val="00F32158"/>
  </w:style>
  <w:style w:type="numbering" w:customStyle="1" w:styleId="11011">
    <w:name w:val="Нет списка1101"/>
    <w:next w:val="a2"/>
    <w:uiPriority w:val="99"/>
    <w:semiHidden/>
    <w:unhideWhenUsed/>
    <w:rsid w:val="00F32158"/>
  </w:style>
  <w:style w:type="table" w:customStyle="1" w:styleId="2011">
    <w:name w:val="Сетка таблицы20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710">
    <w:name w:val="Сетка таблицы471"/>
    <w:basedOn w:val="a1"/>
    <w:next w:val="a6"/>
    <w:rsid w:val="00F32158"/>
    <w:pPr>
      <w:spacing w:line="240" w:lineRule="auto"/>
      <w:jc w:val="left"/>
    </w:pPr>
    <w:rPr>
      <w:rFonts w:ascii="Calibri" w:eastAsia="Times New Roman" w:hAnsi="Calibri"/>
      <w:sz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710">
    <w:name w:val="Сетка таблицы27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510">
    <w:name w:val="Сетка таблицы115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710">
    <w:name w:val="Сетка таблицы37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510">
    <w:name w:val="Сетка таблицы55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51">
    <w:name w:val="Сетка таблицы65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51">
    <w:name w:val="Сетка таблицы75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51">
    <w:name w:val="Сетка таблицы85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951">
    <w:name w:val="Сетка таблицы95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051">
    <w:name w:val="Сетка таблицы105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711">
    <w:name w:val="Нет списка271"/>
    <w:next w:val="a2"/>
    <w:uiPriority w:val="99"/>
    <w:semiHidden/>
    <w:unhideWhenUsed/>
    <w:rsid w:val="00F32158"/>
  </w:style>
  <w:style w:type="numbering" w:customStyle="1" w:styleId="11511">
    <w:name w:val="Нет списка1151"/>
    <w:next w:val="a2"/>
    <w:uiPriority w:val="99"/>
    <w:semiHidden/>
    <w:unhideWhenUsed/>
    <w:rsid w:val="00F32158"/>
  </w:style>
  <w:style w:type="numbering" w:customStyle="1" w:styleId="2151">
    <w:name w:val="Нет списка2151"/>
    <w:next w:val="a2"/>
    <w:uiPriority w:val="99"/>
    <w:semiHidden/>
    <w:unhideWhenUsed/>
    <w:rsid w:val="00F32158"/>
  </w:style>
  <w:style w:type="numbering" w:customStyle="1" w:styleId="3511">
    <w:name w:val="Нет списка351"/>
    <w:next w:val="a2"/>
    <w:uiPriority w:val="99"/>
    <w:semiHidden/>
    <w:unhideWhenUsed/>
    <w:rsid w:val="00F32158"/>
  </w:style>
  <w:style w:type="numbering" w:customStyle="1" w:styleId="12510">
    <w:name w:val="Нет списка1251"/>
    <w:next w:val="a2"/>
    <w:uiPriority w:val="99"/>
    <w:semiHidden/>
    <w:unhideWhenUsed/>
    <w:rsid w:val="00F32158"/>
  </w:style>
  <w:style w:type="numbering" w:customStyle="1" w:styleId="2251">
    <w:name w:val="Нет списка2251"/>
    <w:next w:val="a2"/>
    <w:uiPriority w:val="99"/>
    <w:semiHidden/>
    <w:unhideWhenUsed/>
    <w:rsid w:val="00F32158"/>
  </w:style>
  <w:style w:type="numbering" w:customStyle="1" w:styleId="4511">
    <w:name w:val="Нет списка451"/>
    <w:next w:val="a2"/>
    <w:uiPriority w:val="99"/>
    <w:semiHidden/>
    <w:unhideWhenUsed/>
    <w:rsid w:val="00F32158"/>
  </w:style>
  <w:style w:type="numbering" w:customStyle="1" w:styleId="1351">
    <w:name w:val="Нет списка1351"/>
    <w:next w:val="a2"/>
    <w:uiPriority w:val="99"/>
    <w:semiHidden/>
    <w:unhideWhenUsed/>
    <w:rsid w:val="00F32158"/>
  </w:style>
  <w:style w:type="numbering" w:customStyle="1" w:styleId="2351">
    <w:name w:val="Нет списка2351"/>
    <w:next w:val="a2"/>
    <w:uiPriority w:val="99"/>
    <w:semiHidden/>
    <w:unhideWhenUsed/>
    <w:rsid w:val="00F32158"/>
  </w:style>
  <w:style w:type="table" w:customStyle="1" w:styleId="11610">
    <w:name w:val="Сетка таблицы1161"/>
    <w:basedOn w:val="a1"/>
    <w:next w:val="a6"/>
    <w:uiPriority w:val="59"/>
    <w:rsid w:val="00F32158"/>
    <w:pPr>
      <w:spacing w:line="240" w:lineRule="auto"/>
      <w:jc w:val="left"/>
    </w:pPr>
    <w:rPr>
      <w:rFonts w:ascii="Calibri" w:eastAsia="Calibri" w:hAnsi="Calibri"/>
      <w:sz w:val="22"/>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511">
    <w:name w:val="Сетка таблицы1251"/>
    <w:basedOn w:val="a1"/>
    <w:next w:val="a6"/>
    <w:uiPriority w:val="59"/>
    <w:rsid w:val="00F32158"/>
    <w:pPr>
      <w:spacing w:line="240" w:lineRule="auto"/>
      <w:jc w:val="left"/>
    </w:pPr>
    <w:rPr>
      <w:rFonts w:ascii="Calibri" w:eastAsia="Calibri" w:hAnsi="Calibri"/>
      <w:sz w:val="22"/>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810">
    <w:name w:val="Сетка таблицы28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910">
    <w:name w:val="Сетка таблицы29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811">
    <w:name w:val="Нет списка281"/>
    <w:next w:val="a2"/>
    <w:uiPriority w:val="99"/>
    <w:semiHidden/>
    <w:unhideWhenUsed/>
    <w:rsid w:val="00F32158"/>
  </w:style>
  <w:style w:type="numbering" w:customStyle="1" w:styleId="11611">
    <w:name w:val="Нет списка1161"/>
    <w:next w:val="a2"/>
    <w:uiPriority w:val="99"/>
    <w:semiHidden/>
    <w:unhideWhenUsed/>
    <w:rsid w:val="00F32158"/>
  </w:style>
  <w:style w:type="table" w:customStyle="1" w:styleId="3010">
    <w:name w:val="Сетка таблицы30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810">
    <w:name w:val="Сетка таблицы481"/>
    <w:basedOn w:val="a1"/>
    <w:next w:val="a6"/>
    <w:uiPriority w:val="39"/>
    <w:rsid w:val="00F32158"/>
    <w:pPr>
      <w:spacing w:line="240" w:lineRule="auto"/>
      <w:jc w:val="left"/>
    </w:pPr>
    <w:rPr>
      <w:rFonts w:ascii="Calibri" w:eastAsia="Times New Roman" w:hAnsi="Calibri"/>
      <w:sz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010">
    <w:name w:val="Сетка таблицы210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71">
    <w:name w:val="Сетка таблицы117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810">
    <w:name w:val="Сетка таблицы38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610">
    <w:name w:val="Сетка таблицы56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61">
    <w:name w:val="Сетка таблицы66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61">
    <w:name w:val="Сетка таблицы76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61">
    <w:name w:val="Сетка таблицы86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961">
    <w:name w:val="Сетка таблицы96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061">
    <w:name w:val="Сетка таблицы106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911">
    <w:name w:val="Нет списка291"/>
    <w:next w:val="a2"/>
    <w:uiPriority w:val="99"/>
    <w:semiHidden/>
    <w:unhideWhenUsed/>
    <w:rsid w:val="00F32158"/>
  </w:style>
  <w:style w:type="numbering" w:customStyle="1" w:styleId="11710">
    <w:name w:val="Нет списка1171"/>
    <w:next w:val="a2"/>
    <w:uiPriority w:val="99"/>
    <w:semiHidden/>
    <w:unhideWhenUsed/>
    <w:rsid w:val="00F32158"/>
  </w:style>
  <w:style w:type="numbering" w:customStyle="1" w:styleId="2161">
    <w:name w:val="Нет списка2161"/>
    <w:next w:val="a2"/>
    <w:uiPriority w:val="99"/>
    <w:semiHidden/>
    <w:unhideWhenUsed/>
    <w:rsid w:val="00F32158"/>
  </w:style>
  <w:style w:type="numbering" w:customStyle="1" w:styleId="3611">
    <w:name w:val="Нет списка361"/>
    <w:next w:val="a2"/>
    <w:uiPriority w:val="99"/>
    <w:semiHidden/>
    <w:unhideWhenUsed/>
    <w:rsid w:val="00F32158"/>
  </w:style>
  <w:style w:type="numbering" w:customStyle="1" w:styleId="1261">
    <w:name w:val="Нет списка1261"/>
    <w:next w:val="a2"/>
    <w:uiPriority w:val="99"/>
    <w:semiHidden/>
    <w:unhideWhenUsed/>
    <w:rsid w:val="00F32158"/>
  </w:style>
  <w:style w:type="numbering" w:customStyle="1" w:styleId="2261">
    <w:name w:val="Нет списка2261"/>
    <w:next w:val="a2"/>
    <w:uiPriority w:val="99"/>
    <w:semiHidden/>
    <w:unhideWhenUsed/>
    <w:rsid w:val="00F32158"/>
  </w:style>
  <w:style w:type="numbering" w:customStyle="1" w:styleId="4611">
    <w:name w:val="Нет списка461"/>
    <w:next w:val="a2"/>
    <w:uiPriority w:val="99"/>
    <w:semiHidden/>
    <w:unhideWhenUsed/>
    <w:rsid w:val="00F32158"/>
  </w:style>
  <w:style w:type="numbering" w:customStyle="1" w:styleId="1361">
    <w:name w:val="Нет списка1361"/>
    <w:next w:val="a2"/>
    <w:uiPriority w:val="99"/>
    <w:semiHidden/>
    <w:unhideWhenUsed/>
    <w:rsid w:val="00F32158"/>
  </w:style>
  <w:style w:type="numbering" w:customStyle="1" w:styleId="2361">
    <w:name w:val="Нет списка2361"/>
    <w:next w:val="a2"/>
    <w:uiPriority w:val="99"/>
    <w:semiHidden/>
    <w:unhideWhenUsed/>
    <w:rsid w:val="00F32158"/>
  </w:style>
  <w:style w:type="table" w:customStyle="1" w:styleId="1181">
    <w:name w:val="Сетка таблицы1181"/>
    <w:basedOn w:val="a1"/>
    <w:next w:val="a6"/>
    <w:uiPriority w:val="59"/>
    <w:rsid w:val="00F32158"/>
    <w:pPr>
      <w:spacing w:line="240" w:lineRule="auto"/>
      <w:jc w:val="left"/>
    </w:pPr>
    <w:rPr>
      <w:rFonts w:ascii="Calibri" w:eastAsia="Calibri" w:hAnsi="Calibri"/>
      <w:sz w:val="22"/>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610">
    <w:name w:val="Сетка таблицы1261"/>
    <w:basedOn w:val="a1"/>
    <w:next w:val="a6"/>
    <w:uiPriority w:val="59"/>
    <w:rsid w:val="00F32158"/>
    <w:pPr>
      <w:spacing w:line="240" w:lineRule="auto"/>
      <w:jc w:val="left"/>
    </w:pPr>
    <w:rPr>
      <w:rFonts w:ascii="Calibri" w:eastAsia="Calibri" w:hAnsi="Calibri"/>
      <w:sz w:val="22"/>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Normal61">
    <w:name w:val="Table Normal61"/>
    <w:uiPriority w:val="2"/>
    <w:semiHidden/>
    <w:unhideWhenUsed/>
    <w:qFormat/>
    <w:rsid w:val="00F32158"/>
    <w:pPr>
      <w:widowControl w:val="0"/>
      <w:autoSpaceDE w:val="0"/>
      <w:autoSpaceDN w:val="0"/>
      <w:spacing w:line="240" w:lineRule="auto"/>
      <w:jc w:val="left"/>
    </w:pPr>
    <w:rPr>
      <w:rFonts w:ascii="Calibri" w:hAnsi="Calibri"/>
      <w:sz w:val="22"/>
      <w:lang w:val="en-US"/>
    </w:rPr>
    <w:tblPr>
      <w:tblInd w:w="0" w:type="dxa"/>
      <w:tblCellMar>
        <w:top w:w="0" w:type="dxa"/>
        <w:left w:w="0" w:type="dxa"/>
        <w:bottom w:w="0" w:type="dxa"/>
        <w:right w:w="0" w:type="dxa"/>
      </w:tblCellMar>
    </w:tblPr>
  </w:style>
  <w:style w:type="numbering" w:customStyle="1" w:styleId="3011">
    <w:name w:val="Нет списка301"/>
    <w:next w:val="a2"/>
    <w:uiPriority w:val="99"/>
    <w:semiHidden/>
    <w:unhideWhenUsed/>
    <w:rsid w:val="00F32158"/>
  </w:style>
  <w:style w:type="numbering" w:customStyle="1" w:styleId="11810">
    <w:name w:val="Нет списка1181"/>
    <w:next w:val="a2"/>
    <w:uiPriority w:val="99"/>
    <w:semiHidden/>
    <w:unhideWhenUsed/>
    <w:rsid w:val="00F32158"/>
  </w:style>
  <w:style w:type="table" w:customStyle="1" w:styleId="3910">
    <w:name w:val="Сетка таблицы39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910">
    <w:name w:val="Сетка таблицы491"/>
    <w:basedOn w:val="a1"/>
    <w:next w:val="a6"/>
    <w:uiPriority w:val="39"/>
    <w:rsid w:val="00F32158"/>
    <w:pPr>
      <w:spacing w:line="240" w:lineRule="auto"/>
      <w:jc w:val="left"/>
    </w:pPr>
    <w:rPr>
      <w:rFonts w:ascii="Calibri" w:eastAsia="Times New Roman" w:hAnsi="Calibri"/>
      <w:sz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111">
    <w:name w:val="Сетка таблицы211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91">
    <w:name w:val="Сетка таблицы119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1010">
    <w:name w:val="Сетка таблицы310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710">
    <w:name w:val="Сетка таблицы57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71">
    <w:name w:val="Сетка таблицы67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71">
    <w:name w:val="Сетка таблицы77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71">
    <w:name w:val="Сетка таблицы87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971">
    <w:name w:val="Сетка таблицы97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071">
    <w:name w:val="Сетка таблицы107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1011">
    <w:name w:val="Нет списка2101"/>
    <w:next w:val="a2"/>
    <w:uiPriority w:val="99"/>
    <w:semiHidden/>
    <w:unhideWhenUsed/>
    <w:rsid w:val="00F32158"/>
  </w:style>
  <w:style w:type="numbering" w:customStyle="1" w:styleId="11910">
    <w:name w:val="Нет списка1191"/>
    <w:next w:val="a2"/>
    <w:uiPriority w:val="99"/>
    <w:semiHidden/>
    <w:unhideWhenUsed/>
    <w:rsid w:val="00F32158"/>
  </w:style>
  <w:style w:type="numbering" w:customStyle="1" w:styleId="2171">
    <w:name w:val="Нет списка2171"/>
    <w:next w:val="a2"/>
    <w:uiPriority w:val="99"/>
    <w:semiHidden/>
    <w:unhideWhenUsed/>
    <w:rsid w:val="00F32158"/>
  </w:style>
  <w:style w:type="numbering" w:customStyle="1" w:styleId="3711">
    <w:name w:val="Нет списка371"/>
    <w:next w:val="a2"/>
    <w:uiPriority w:val="99"/>
    <w:semiHidden/>
    <w:unhideWhenUsed/>
    <w:rsid w:val="00F32158"/>
  </w:style>
  <w:style w:type="numbering" w:customStyle="1" w:styleId="1271">
    <w:name w:val="Нет списка1271"/>
    <w:next w:val="a2"/>
    <w:uiPriority w:val="99"/>
    <w:semiHidden/>
    <w:unhideWhenUsed/>
    <w:rsid w:val="00F32158"/>
  </w:style>
  <w:style w:type="numbering" w:customStyle="1" w:styleId="2271">
    <w:name w:val="Нет списка2271"/>
    <w:next w:val="a2"/>
    <w:uiPriority w:val="99"/>
    <w:semiHidden/>
    <w:unhideWhenUsed/>
    <w:rsid w:val="00F32158"/>
  </w:style>
  <w:style w:type="numbering" w:customStyle="1" w:styleId="4711">
    <w:name w:val="Нет списка471"/>
    <w:next w:val="a2"/>
    <w:uiPriority w:val="99"/>
    <w:semiHidden/>
    <w:unhideWhenUsed/>
    <w:rsid w:val="00F32158"/>
  </w:style>
  <w:style w:type="numbering" w:customStyle="1" w:styleId="1371">
    <w:name w:val="Нет списка1371"/>
    <w:next w:val="a2"/>
    <w:uiPriority w:val="99"/>
    <w:semiHidden/>
    <w:unhideWhenUsed/>
    <w:rsid w:val="00F32158"/>
  </w:style>
  <w:style w:type="numbering" w:customStyle="1" w:styleId="2371">
    <w:name w:val="Нет списка2371"/>
    <w:next w:val="a2"/>
    <w:uiPriority w:val="99"/>
    <w:semiHidden/>
    <w:unhideWhenUsed/>
    <w:rsid w:val="00F32158"/>
  </w:style>
  <w:style w:type="table" w:customStyle="1" w:styleId="111010">
    <w:name w:val="Сетка таблицы11101"/>
    <w:basedOn w:val="a1"/>
    <w:next w:val="a6"/>
    <w:uiPriority w:val="59"/>
    <w:rsid w:val="00F32158"/>
    <w:pPr>
      <w:spacing w:line="240" w:lineRule="auto"/>
      <w:jc w:val="left"/>
    </w:pPr>
    <w:rPr>
      <w:rFonts w:ascii="Calibri" w:eastAsia="Calibri" w:hAnsi="Calibri"/>
      <w:sz w:val="22"/>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710">
    <w:name w:val="Сетка таблицы1271"/>
    <w:basedOn w:val="a1"/>
    <w:next w:val="a6"/>
    <w:uiPriority w:val="59"/>
    <w:rsid w:val="00F32158"/>
    <w:pPr>
      <w:spacing w:line="240" w:lineRule="auto"/>
      <w:jc w:val="left"/>
    </w:pPr>
    <w:rPr>
      <w:rFonts w:ascii="Calibri" w:eastAsia="Calibri" w:hAnsi="Calibri"/>
      <w:sz w:val="22"/>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Normal71">
    <w:name w:val="Table Normal71"/>
    <w:uiPriority w:val="2"/>
    <w:semiHidden/>
    <w:unhideWhenUsed/>
    <w:qFormat/>
    <w:rsid w:val="00F32158"/>
    <w:pPr>
      <w:widowControl w:val="0"/>
      <w:autoSpaceDE w:val="0"/>
      <w:autoSpaceDN w:val="0"/>
      <w:spacing w:line="240" w:lineRule="auto"/>
      <w:jc w:val="left"/>
    </w:pPr>
    <w:rPr>
      <w:rFonts w:ascii="Calibri" w:hAnsi="Calibri"/>
      <w:sz w:val="22"/>
      <w:lang w:val="en-US"/>
    </w:rPr>
    <w:tblPr>
      <w:tblInd w:w="0" w:type="dxa"/>
      <w:tblCellMar>
        <w:top w:w="0" w:type="dxa"/>
        <w:left w:w="0" w:type="dxa"/>
        <w:bottom w:w="0" w:type="dxa"/>
        <w:right w:w="0" w:type="dxa"/>
      </w:tblCellMar>
    </w:tblPr>
  </w:style>
  <w:style w:type="numbering" w:customStyle="1" w:styleId="3811">
    <w:name w:val="Нет списка381"/>
    <w:next w:val="a2"/>
    <w:uiPriority w:val="99"/>
    <w:semiHidden/>
    <w:unhideWhenUsed/>
    <w:rsid w:val="00F32158"/>
  </w:style>
  <w:style w:type="numbering" w:customStyle="1" w:styleId="12010">
    <w:name w:val="Нет списка1201"/>
    <w:next w:val="a2"/>
    <w:uiPriority w:val="99"/>
    <w:semiHidden/>
    <w:unhideWhenUsed/>
    <w:rsid w:val="00F32158"/>
  </w:style>
  <w:style w:type="table" w:customStyle="1" w:styleId="4010">
    <w:name w:val="Сетка таблицы40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101">
    <w:name w:val="Сетка таблицы4101"/>
    <w:basedOn w:val="a1"/>
    <w:next w:val="a6"/>
    <w:uiPriority w:val="39"/>
    <w:rsid w:val="00F32158"/>
    <w:pPr>
      <w:spacing w:line="240" w:lineRule="auto"/>
      <w:jc w:val="left"/>
    </w:pPr>
    <w:rPr>
      <w:rFonts w:ascii="Calibri" w:eastAsia="Times New Roman" w:hAnsi="Calibri"/>
      <w:sz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211">
    <w:name w:val="Сетка таблицы212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011">
    <w:name w:val="Сетка таблицы120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1110">
    <w:name w:val="Сетка таблицы311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810">
    <w:name w:val="Сетка таблицы58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81">
    <w:name w:val="Сетка таблицы68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81">
    <w:name w:val="Сетка таблицы78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81">
    <w:name w:val="Сетка таблицы88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981">
    <w:name w:val="Сетка таблицы98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081">
    <w:name w:val="Сетка таблицы108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181">
    <w:name w:val="Нет списка2181"/>
    <w:next w:val="a2"/>
    <w:uiPriority w:val="99"/>
    <w:semiHidden/>
    <w:unhideWhenUsed/>
    <w:rsid w:val="00F32158"/>
  </w:style>
  <w:style w:type="numbering" w:customStyle="1" w:styleId="111011">
    <w:name w:val="Нет списка11101"/>
    <w:next w:val="a2"/>
    <w:uiPriority w:val="99"/>
    <w:semiHidden/>
    <w:unhideWhenUsed/>
    <w:rsid w:val="00F32158"/>
  </w:style>
  <w:style w:type="numbering" w:customStyle="1" w:styleId="2191">
    <w:name w:val="Нет списка2191"/>
    <w:next w:val="a2"/>
    <w:uiPriority w:val="99"/>
    <w:semiHidden/>
    <w:unhideWhenUsed/>
    <w:rsid w:val="00F32158"/>
  </w:style>
  <w:style w:type="numbering" w:customStyle="1" w:styleId="3911">
    <w:name w:val="Нет списка391"/>
    <w:next w:val="a2"/>
    <w:uiPriority w:val="99"/>
    <w:semiHidden/>
    <w:unhideWhenUsed/>
    <w:rsid w:val="00F32158"/>
  </w:style>
  <w:style w:type="numbering" w:customStyle="1" w:styleId="1281">
    <w:name w:val="Нет списка1281"/>
    <w:next w:val="a2"/>
    <w:uiPriority w:val="99"/>
    <w:semiHidden/>
    <w:unhideWhenUsed/>
    <w:rsid w:val="00F32158"/>
  </w:style>
  <w:style w:type="numbering" w:customStyle="1" w:styleId="2281">
    <w:name w:val="Нет списка2281"/>
    <w:next w:val="a2"/>
    <w:uiPriority w:val="99"/>
    <w:semiHidden/>
    <w:unhideWhenUsed/>
    <w:rsid w:val="00F32158"/>
  </w:style>
  <w:style w:type="numbering" w:customStyle="1" w:styleId="4811">
    <w:name w:val="Нет списка481"/>
    <w:next w:val="a2"/>
    <w:uiPriority w:val="99"/>
    <w:semiHidden/>
    <w:unhideWhenUsed/>
    <w:rsid w:val="00F32158"/>
  </w:style>
  <w:style w:type="numbering" w:customStyle="1" w:styleId="1381">
    <w:name w:val="Нет списка1381"/>
    <w:next w:val="a2"/>
    <w:uiPriority w:val="99"/>
    <w:semiHidden/>
    <w:unhideWhenUsed/>
    <w:rsid w:val="00F32158"/>
  </w:style>
  <w:style w:type="numbering" w:customStyle="1" w:styleId="2381">
    <w:name w:val="Нет списка2381"/>
    <w:next w:val="a2"/>
    <w:uiPriority w:val="99"/>
    <w:semiHidden/>
    <w:unhideWhenUsed/>
    <w:rsid w:val="00F32158"/>
  </w:style>
  <w:style w:type="table" w:customStyle="1" w:styleId="111111">
    <w:name w:val="Сетка таблицы11111"/>
    <w:basedOn w:val="a1"/>
    <w:next w:val="a6"/>
    <w:uiPriority w:val="59"/>
    <w:rsid w:val="00F32158"/>
    <w:pPr>
      <w:spacing w:line="240" w:lineRule="auto"/>
      <w:jc w:val="left"/>
    </w:pPr>
    <w:rPr>
      <w:rFonts w:ascii="Calibri" w:eastAsia="Calibri" w:hAnsi="Calibri"/>
      <w:sz w:val="22"/>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810">
    <w:name w:val="Сетка таблицы1281"/>
    <w:basedOn w:val="a1"/>
    <w:next w:val="a6"/>
    <w:uiPriority w:val="59"/>
    <w:rsid w:val="00F32158"/>
    <w:pPr>
      <w:spacing w:line="240" w:lineRule="auto"/>
      <w:jc w:val="left"/>
    </w:pPr>
    <w:rPr>
      <w:rFonts w:ascii="Calibri" w:eastAsia="Calibri" w:hAnsi="Calibri"/>
      <w:sz w:val="22"/>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Normal81">
    <w:name w:val="Table Normal81"/>
    <w:uiPriority w:val="2"/>
    <w:semiHidden/>
    <w:unhideWhenUsed/>
    <w:qFormat/>
    <w:rsid w:val="00F32158"/>
    <w:pPr>
      <w:widowControl w:val="0"/>
      <w:autoSpaceDE w:val="0"/>
      <w:autoSpaceDN w:val="0"/>
      <w:spacing w:line="240" w:lineRule="auto"/>
      <w:jc w:val="left"/>
    </w:pPr>
    <w:rPr>
      <w:rFonts w:ascii="Calibri" w:hAnsi="Calibri"/>
      <w:sz w:val="22"/>
      <w:lang w:val="en-US"/>
    </w:rPr>
    <w:tblPr>
      <w:tblInd w:w="0" w:type="dxa"/>
      <w:tblCellMar>
        <w:top w:w="0" w:type="dxa"/>
        <w:left w:w="0" w:type="dxa"/>
        <w:bottom w:w="0" w:type="dxa"/>
        <w:right w:w="0" w:type="dxa"/>
      </w:tblCellMar>
    </w:tblPr>
  </w:style>
  <w:style w:type="table" w:customStyle="1" w:styleId="TableNormal91">
    <w:name w:val="Table Normal91"/>
    <w:uiPriority w:val="2"/>
    <w:semiHidden/>
    <w:unhideWhenUsed/>
    <w:qFormat/>
    <w:rsid w:val="00F32158"/>
    <w:pPr>
      <w:widowControl w:val="0"/>
      <w:autoSpaceDE w:val="0"/>
      <w:autoSpaceDN w:val="0"/>
      <w:spacing w:line="240" w:lineRule="auto"/>
      <w:jc w:val="left"/>
    </w:pPr>
    <w:rPr>
      <w:rFonts w:ascii="Calibri" w:hAnsi="Calibri"/>
      <w:sz w:val="22"/>
      <w:lang w:val="en-US"/>
    </w:rPr>
    <w:tblPr>
      <w:tblInd w:w="0" w:type="dxa"/>
      <w:tblCellMar>
        <w:top w:w="0" w:type="dxa"/>
        <w:left w:w="0" w:type="dxa"/>
        <w:bottom w:w="0" w:type="dxa"/>
        <w:right w:w="0" w:type="dxa"/>
      </w:tblCellMar>
    </w:tblPr>
  </w:style>
  <w:style w:type="table" w:customStyle="1" w:styleId="5020">
    <w:name w:val="Сетка таблицы502"/>
    <w:basedOn w:val="a1"/>
    <w:next w:val="a6"/>
    <w:rsid w:val="00F32158"/>
    <w:pPr>
      <w:spacing w:line="240" w:lineRule="auto"/>
    </w:pPr>
    <w:rPr>
      <w:rFonts w:ascii="Calibri" w:eastAsia="Calibri" w:hAnsi="Calibri"/>
      <w:sz w:val="20"/>
      <w:szCs w:val="20"/>
      <w:lang w:val="ru-RU" w:eastAsia="ru-RU"/>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910">
    <w:name w:val="Сетка таблицы591"/>
    <w:basedOn w:val="a1"/>
    <w:next w:val="a6"/>
    <w:rsid w:val="00F32158"/>
    <w:pPr>
      <w:spacing w:line="240" w:lineRule="auto"/>
    </w:pPr>
    <w:rPr>
      <w:rFonts w:ascii="Calibri" w:eastAsia="Calibri" w:hAnsi="Calibri"/>
      <w:sz w:val="20"/>
      <w:szCs w:val="20"/>
      <w:lang w:val="ru-RU" w:eastAsia="ru-RU"/>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6010">
    <w:name w:val="Сетка таблицы601"/>
    <w:basedOn w:val="a1"/>
    <w:next w:val="a6"/>
    <w:rsid w:val="00F32158"/>
    <w:pPr>
      <w:spacing w:line="240" w:lineRule="auto"/>
    </w:pPr>
    <w:rPr>
      <w:rFonts w:ascii="Calibri" w:eastAsia="Calibri" w:hAnsi="Calibri"/>
      <w:sz w:val="20"/>
      <w:szCs w:val="20"/>
      <w:lang w:val="ru-RU" w:eastAsia="ru-RU"/>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011">
    <w:name w:val="Сетка таблицы5011"/>
    <w:basedOn w:val="a1"/>
    <w:next w:val="a6"/>
    <w:rsid w:val="00F32158"/>
    <w:pPr>
      <w:spacing w:line="240" w:lineRule="auto"/>
    </w:pPr>
    <w:rPr>
      <w:rFonts w:ascii="Calibri" w:eastAsia="Calibri" w:hAnsi="Calibri"/>
      <w:sz w:val="20"/>
      <w:szCs w:val="20"/>
      <w:lang w:val="ru-RU" w:eastAsia="ru-RU"/>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691">
    <w:name w:val="Сетка таблицы69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01">
    <w:name w:val="Сетка таблицы70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f7">
    <w:name w:val="Верхний колонтитул Знак1"/>
    <w:basedOn w:val="a0"/>
    <w:uiPriority w:val="99"/>
    <w:rsid w:val="00F32158"/>
  </w:style>
  <w:style w:type="character" w:customStyle="1" w:styleId="1f8">
    <w:name w:val="Нижний колонтитул Знак1"/>
    <w:basedOn w:val="a0"/>
    <w:uiPriority w:val="99"/>
    <w:rsid w:val="00F32158"/>
  </w:style>
  <w:style w:type="table" w:customStyle="1" w:styleId="28110">
    <w:name w:val="Сетка таблицы281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011">
    <w:name w:val="Сетка таблицы6011"/>
    <w:basedOn w:val="a1"/>
    <w:next w:val="a6"/>
    <w:rsid w:val="00F32158"/>
    <w:pPr>
      <w:spacing w:line="240" w:lineRule="auto"/>
    </w:pPr>
    <w:rPr>
      <w:rFonts w:ascii="Calibri" w:eastAsia="Calibri" w:hAnsi="Calibri"/>
      <w:sz w:val="20"/>
      <w:szCs w:val="20"/>
      <w:lang w:val="ru-RU" w:eastAsia="ru-RU"/>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3020">
    <w:name w:val="Сетка таблицы302"/>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imes New Roman"/>
        <w:sz w:val="28"/>
        <w:szCs w:val="22"/>
        <w:lang w:val="uk-UA" w:eastAsia="en-US" w:bidi="ar-SA"/>
      </w:rPr>
    </w:rPrDefault>
    <w:pPrDefault>
      <w:pPr>
        <w:spacing w:line="36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page number" w:uiPriority="0"/>
    <w:lsdException w:name="Title" w:semiHidden="0" w:uiPriority="0" w:unhideWhenUsed="0" w:qFormat="1"/>
    <w:lsdException w:name="Default Paragraph Font" w:uiPriority="1"/>
    <w:lsdException w:name="Body Text" w:uiPriority="0" w:qFormat="1"/>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Strong" w:semiHidden="0" w:uiPriority="22" w:unhideWhenUsed="0" w:qFormat="1"/>
    <w:lsdException w:name="Emphasis" w:semiHidden="0" w:uiPriority="0" w:unhideWhenUsed="0" w:qFormat="1"/>
    <w:lsdException w:name="Plain Text" w:uiPriority="0"/>
    <w:lsdException w:name="HTML Top of Form" w:uiPriority="0"/>
    <w:lsdException w:name="HTML Bottom of Form" w:uiPriority="0"/>
    <w:lsdException w:name="Normal (Web)" w:uiPriority="0" w:qFormat="1"/>
    <w:lsdException w:name="HTML Preformatted"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0"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1492D"/>
  </w:style>
  <w:style w:type="paragraph" w:styleId="1">
    <w:name w:val="heading 1"/>
    <w:basedOn w:val="a"/>
    <w:next w:val="a"/>
    <w:link w:val="10"/>
    <w:qFormat/>
    <w:rsid w:val="004F31D7"/>
    <w:pPr>
      <w:keepNext/>
      <w:spacing w:before="240" w:after="60"/>
      <w:ind w:firstLine="709"/>
      <w:outlineLvl w:val="0"/>
    </w:pPr>
    <w:rPr>
      <w:rFonts w:ascii="Arial" w:eastAsia="Times New Roman" w:hAnsi="Arial" w:cs="Arial"/>
      <w:b/>
      <w:color w:val="000000"/>
      <w:sz w:val="32"/>
      <w:szCs w:val="32"/>
      <w:lang w:eastAsia="ru-RU"/>
    </w:rPr>
  </w:style>
  <w:style w:type="paragraph" w:styleId="2">
    <w:name w:val="heading 2"/>
    <w:basedOn w:val="a"/>
    <w:next w:val="a"/>
    <w:link w:val="20"/>
    <w:unhideWhenUsed/>
    <w:qFormat/>
    <w:rsid w:val="003B67F9"/>
    <w:pPr>
      <w:keepNext/>
      <w:spacing w:after="120" w:line="240" w:lineRule="auto"/>
      <w:ind w:left="567" w:firstLine="567"/>
      <w:outlineLvl w:val="1"/>
    </w:pPr>
    <w:rPr>
      <w:rFonts w:eastAsia="Times New Roman"/>
      <w:b/>
      <w:sz w:val="24"/>
      <w:szCs w:val="20"/>
      <w:lang w:eastAsia="ru-RU"/>
    </w:rPr>
  </w:style>
  <w:style w:type="paragraph" w:styleId="3">
    <w:name w:val="heading 3"/>
    <w:basedOn w:val="a"/>
    <w:next w:val="a"/>
    <w:link w:val="30"/>
    <w:unhideWhenUsed/>
    <w:qFormat/>
    <w:rsid w:val="003B67F9"/>
    <w:pPr>
      <w:keepNext/>
      <w:spacing w:before="240" w:after="60" w:line="240" w:lineRule="auto"/>
      <w:jc w:val="left"/>
      <w:outlineLvl w:val="2"/>
    </w:pPr>
    <w:rPr>
      <w:rFonts w:ascii="Arial" w:eastAsia="Times New Roman" w:hAnsi="Arial" w:cs="Arial"/>
      <w:b/>
      <w:bCs/>
      <w:sz w:val="26"/>
      <w:szCs w:val="26"/>
      <w:lang w:eastAsia="ru-RU"/>
    </w:rPr>
  </w:style>
  <w:style w:type="paragraph" w:styleId="4">
    <w:name w:val="heading 4"/>
    <w:basedOn w:val="a"/>
    <w:next w:val="a"/>
    <w:link w:val="40"/>
    <w:unhideWhenUsed/>
    <w:qFormat/>
    <w:rsid w:val="003B67F9"/>
    <w:pPr>
      <w:keepNext/>
      <w:spacing w:before="240" w:after="60" w:line="240" w:lineRule="auto"/>
      <w:jc w:val="left"/>
      <w:outlineLvl w:val="3"/>
    </w:pPr>
    <w:rPr>
      <w:rFonts w:eastAsia="Times New Roman"/>
      <w:b/>
      <w:bCs/>
      <w:szCs w:val="28"/>
      <w:lang w:eastAsia="ru-RU"/>
    </w:rPr>
  </w:style>
  <w:style w:type="paragraph" w:styleId="5">
    <w:name w:val="heading 5"/>
    <w:basedOn w:val="a"/>
    <w:next w:val="a"/>
    <w:link w:val="50"/>
    <w:unhideWhenUsed/>
    <w:qFormat/>
    <w:rsid w:val="003B67F9"/>
    <w:pPr>
      <w:spacing w:before="240" w:after="60" w:line="240" w:lineRule="auto"/>
      <w:jc w:val="left"/>
      <w:outlineLvl w:val="4"/>
    </w:pPr>
    <w:rPr>
      <w:rFonts w:eastAsia="Times New Roman"/>
      <w:b/>
      <w:bCs/>
      <w:i/>
      <w:iCs/>
      <w:sz w:val="26"/>
      <w:szCs w:val="26"/>
      <w:lang w:eastAsia="ru-RU"/>
    </w:rPr>
  </w:style>
  <w:style w:type="paragraph" w:styleId="6">
    <w:name w:val="heading 6"/>
    <w:basedOn w:val="a"/>
    <w:next w:val="a"/>
    <w:link w:val="60"/>
    <w:semiHidden/>
    <w:unhideWhenUsed/>
    <w:qFormat/>
    <w:rsid w:val="003B67F9"/>
    <w:pPr>
      <w:spacing w:before="240" w:after="60" w:line="240" w:lineRule="auto"/>
      <w:jc w:val="left"/>
      <w:outlineLvl w:val="5"/>
    </w:pPr>
    <w:rPr>
      <w:rFonts w:eastAsia="Times New Roman"/>
      <w:b/>
      <w:bCs/>
      <w:sz w:val="22"/>
      <w:lang w:eastAsia="ru-RU"/>
    </w:rPr>
  </w:style>
  <w:style w:type="paragraph" w:styleId="7">
    <w:name w:val="heading 7"/>
    <w:basedOn w:val="a"/>
    <w:next w:val="a"/>
    <w:link w:val="70"/>
    <w:semiHidden/>
    <w:unhideWhenUsed/>
    <w:qFormat/>
    <w:rsid w:val="003B67F9"/>
    <w:pPr>
      <w:keepNext/>
      <w:suppressAutoHyphens/>
      <w:autoSpaceDE w:val="0"/>
      <w:autoSpaceDN w:val="0"/>
      <w:adjustRightInd w:val="0"/>
      <w:spacing w:line="240" w:lineRule="auto"/>
      <w:jc w:val="center"/>
      <w:outlineLvl w:val="6"/>
    </w:pPr>
    <w:rPr>
      <w:rFonts w:eastAsia="Times New Roman"/>
      <w:b/>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aliases w:val="webb,Обычный (Web), webb"/>
    <w:basedOn w:val="a"/>
    <w:link w:val="a4"/>
    <w:unhideWhenUsed/>
    <w:qFormat/>
    <w:rsid w:val="001C116F"/>
    <w:pPr>
      <w:spacing w:before="100" w:beforeAutospacing="1" w:after="100" w:afterAutospacing="1" w:line="240" w:lineRule="auto"/>
    </w:pPr>
    <w:rPr>
      <w:rFonts w:eastAsia="Times New Roman"/>
      <w:sz w:val="24"/>
      <w:szCs w:val="24"/>
      <w:lang w:val="x-none" w:eastAsia="ru-RU"/>
    </w:rPr>
  </w:style>
  <w:style w:type="character" w:customStyle="1" w:styleId="a4">
    <w:name w:val="Обычный (веб) Знак"/>
    <w:aliases w:val="webb Знак,Обычный (Web) Знак, webb Знак"/>
    <w:link w:val="a3"/>
    <w:locked/>
    <w:rsid w:val="001C116F"/>
    <w:rPr>
      <w:rFonts w:eastAsia="Times New Roman" w:cs="Times New Roman"/>
      <w:szCs w:val="24"/>
      <w:lang w:val="x-none" w:eastAsia="ru-RU"/>
    </w:rPr>
  </w:style>
  <w:style w:type="paragraph" w:styleId="a5">
    <w:name w:val="List Paragraph"/>
    <w:basedOn w:val="a"/>
    <w:uiPriority w:val="34"/>
    <w:qFormat/>
    <w:rsid w:val="001C116F"/>
    <w:pPr>
      <w:ind w:left="720"/>
      <w:contextualSpacing/>
    </w:pPr>
  </w:style>
  <w:style w:type="table" w:styleId="a6">
    <w:name w:val="Table Grid"/>
    <w:basedOn w:val="a1"/>
    <w:rsid w:val="001C116F"/>
    <w:pPr>
      <w:spacing w:line="240" w:lineRule="auto"/>
    </w:pPr>
    <w:rPr>
      <w:rFonts w:ascii="Calibri" w:eastAsia="Calibri" w:hAnsi="Calibri"/>
      <w:sz w:val="20"/>
      <w:szCs w:val="20"/>
      <w:lang w:val="ru-RU" w:eastAsia="ru-RU"/>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41">
    <w:name w:val="Сетка таблицы4"/>
    <w:basedOn w:val="a1"/>
    <w:next w:val="a6"/>
    <w:rsid w:val="00D96FD9"/>
    <w:pPr>
      <w:spacing w:line="240" w:lineRule="auto"/>
    </w:pPr>
    <w:rPr>
      <w:rFonts w:ascii="Calibri" w:eastAsia="Times New Roman" w:hAnsi="Calibri"/>
      <w:sz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
    <w:name w:val="Сетка таблицы2"/>
    <w:basedOn w:val="a1"/>
    <w:next w:val="a6"/>
    <w:rsid w:val="00D96FD9"/>
    <w:pPr>
      <w:spacing w:line="240" w:lineRule="auto"/>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Body Text Indent"/>
    <w:basedOn w:val="a"/>
    <w:link w:val="a8"/>
    <w:unhideWhenUsed/>
    <w:rsid w:val="00D96FD9"/>
    <w:pPr>
      <w:spacing w:after="120"/>
      <w:ind w:left="283"/>
    </w:pPr>
    <w:rPr>
      <w:rFonts w:eastAsia="Times New Roman"/>
      <w:color w:val="000000"/>
      <w:szCs w:val="24"/>
      <w:lang w:eastAsia="ru-RU"/>
    </w:rPr>
  </w:style>
  <w:style w:type="character" w:customStyle="1" w:styleId="a8">
    <w:name w:val="Основной текст с отступом Знак"/>
    <w:basedOn w:val="a0"/>
    <w:link w:val="a7"/>
    <w:rsid w:val="00D96FD9"/>
    <w:rPr>
      <w:rFonts w:eastAsia="Times New Roman" w:cs="Times New Roman"/>
      <w:color w:val="000000"/>
      <w:sz w:val="28"/>
      <w:szCs w:val="24"/>
      <w:lang w:eastAsia="ru-RU"/>
    </w:rPr>
  </w:style>
  <w:style w:type="paragraph" w:styleId="a9">
    <w:name w:val="Balloon Text"/>
    <w:basedOn w:val="a"/>
    <w:link w:val="aa"/>
    <w:uiPriority w:val="99"/>
    <w:unhideWhenUsed/>
    <w:rsid w:val="00D96FD9"/>
    <w:pPr>
      <w:spacing w:line="240" w:lineRule="auto"/>
    </w:pPr>
    <w:rPr>
      <w:rFonts w:ascii="Tahoma" w:hAnsi="Tahoma" w:cs="Tahoma"/>
      <w:sz w:val="16"/>
      <w:szCs w:val="16"/>
    </w:rPr>
  </w:style>
  <w:style w:type="character" w:customStyle="1" w:styleId="aa">
    <w:name w:val="Текст выноски Знак"/>
    <w:basedOn w:val="a0"/>
    <w:link w:val="a9"/>
    <w:uiPriority w:val="99"/>
    <w:rsid w:val="00D96FD9"/>
    <w:rPr>
      <w:rFonts w:ascii="Tahoma" w:hAnsi="Tahoma" w:cs="Tahoma"/>
      <w:sz w:val="16"/>
      <w:szCs w:val="16"/>
      <w:lang w:val="ru-RU"/>
    </w:rPr>
  </w:style>
  <w:style w:type="numbering" w:customStyle="1" w:styleId="11">
    <w:name w:val="Нет списка1"/>
    <w:next w:val="a2"/>
    <w:uiPriority w:val="99"/>
    <w:semiHidden/>
    <w:unhideWhenUsed/>
    <w:rsid w:val="00D96FD9"/>
  </w:style>
  <w:style w:type="table" w:customStyle="1" w:styleId="12">
    <w:name w:val="Сетка таблицы1"/>
    <w:basedOn w:val="a1"/>
    <w:next w:val="a6"/>
    <w:rsid w:val="00D96FD9"/>
    <w:pPr>
      <w:spacing w:line="240" w:lineRule="auto"/>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b">
    <w:name w:val="header"/>
    <w:basedOn w:val="a"/>
    <w:link w:val="ac"/>
    <w:uiPriority w:val="99"/>
    <w:unhideWhenUsed/>
    <w:rsid w:val="00D96FD9"/>
    <w:pPr>
      <w:tabs>
        <w:tab w:val="center" w:pos="4844"/>
        <w:tab w:val="right" w:pos="9689"/>
      </w:tabs>
      <w:spacing w:line="240" w:lineRule="auto"/>
    </w:pPr>
    <w:rPr>
      <w:rFonts w:asciiTheme="minorHAnsi" w:hAnsiTheme="minorHAnsi" w:cstheme="minorBidi"/>
    </w:rPr>
  </w:style>
  <w:style w:type="character" w:customStyle="1" w:styleId="ac">
    <w:name w:val="Верхний колонтитул Знак"/>
    <w:basedOn w:val="a0"/>
    <w:link w:val="ab"/>
    <w:uiPriority w:val="99"/>
    <w:rsid w:val="00D96FD9"/>
    <w:rPr>
      <w:rFonts w:asciiTheme="minorHAnsi" w:hAnsiTheme="minorHAnsi"/>
      <w:sz w:val="22"/>
      <w:lang w:val="ru-RU"/>
    </w:rPr>
  </w:style>
  <w:style w:type="paragraph" w:styleId="ad">
    <w:name w:val="footer"/>
    <w:basedOn w:val="a"/>
    <w:link w:val="ae"/>
    <w:uiPriority w:val="99"/>
    <w:unhideWhenUsed/>
    <w:rsid w:val="00D96FD9"/>
    <w:pPr>
      <w:tabs>
        <w:tab w:val="center" w:pos="4844"/>
        <w:tab w:val="right" w:pos="9689"/>
      </w:tabs>
      <w:spacing w:line="240" w:lineRule="auto"/>
    </w:pPr>
    <w:rPr>
      <w:rFonts w:asciiTheme="minorHAnsi" w:hAnsiTheme="minorHAnsi" w:cstheme="minorBidi"/>
    </w:rPr>
  </w:style>
  <w:style w:type="character" w:customStyle="1" w:styleId="ae">
    <w:name w:val="Нижний колонтитул Знак"/>
    <w:basedOn w:val="a0"/>
    <w:link w:val="ad"/>
    <w:uiPriority w:val="99"/>
    <w:rsid w:val="00D96FD9"/>
    <w:rPr>
      <w:rFonts w:asciiTheme="minorHAnsi" w:hAnsiTheme="minorHAnsi"/>
      <w:sz w:val="22"/>
      <w:lang w:val="ru-RU"/>
    </w:rPr>
  </w:style>
  <w:style w:type="character" w:customStyle="1" w:styleId="13">
    <w:name w:val="Гиперссылка1"/>
    <w:basedOn w:val="a0"/>
    <w:uiPriority w:val="99"/>
    <w:unhideWhenUsed/>
    <w:rsid w:val="00D96FD9"/>
    <w:rPr>
      <w:color w:val="0563C1"/>
      <w:u w:val="single"/>
    </w:rPr>
  </w:style>
  <w:style w:type="table" w:customStyle="1" w:styleId="410">
    <w:name w:val="Сетка таблицы41"/>
    <w:basedOn w:val="a1"/>
    <w:next w:val="a6"/>
    <w:rsid w:val="00D96FD9"/>
    <w:pPr>
      <w:spacing w:line="240" w:lineRule="auto"/>
    </w:pPr>
    <w:rPr>
      <w:rFonts w:ascii="Calibri" w:eastAsia="Times New Roman" w:hAnsi="Calibri"/>
      <w:sz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0">
    <w:name w:val="Сетка таблицы21"/>
    <w:basedOn w:val="a1"/>
    <w:next w:val="a6"/>
    <w:rsid w:val="00D96FD9"/>
    <w:pPr>
      <w:spacing w:line="240" w:lineRule="auto"/>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
    <w:name w:val="!Текст"/>
    <w:basedOn w:val="a"/>
    <w:rsid w:val="00D96FD9"/>
    <w:pPr>
      <w:ind w:firstLine="720"/>
    </w:pPr>
    <w:rPr>
      <w:rFonts w:eastAsia="Times New Roman"/>
      <w:szCs w:val="24"/>
      <w:lang w:eastAsia="ru-RU"/>
    </w:rPr>
  </w:style>
  <w:style w:type="table" w:customStyle="1" w:styleId="31">
    <w:name w:val="Сетка таблицы3"/>
    <w:basedOn w:val="a1"/>
    <w:next w:val="a6"/>
    <w:rsid w:val="00D96FD9"/>
    <w:pPr>
      <w:spacing w:line="240" w:lineRule="auto"/>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1">
    <w:name w:val="Сетка таблицы5"/>
    <w:basedOn w:val="a1"/>
    <w:next w:val="a6"/>
    <w:rsid w:val="00D96FD9"/>
    <w:pPr>
      <w:spacing w:line="240" w:lineRule="auto"/>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1">
    <w:name w:val="Сетка таблицы6"/>
    <w:basedOn w:val="a1"/>
    <w:next w:val="a6"/>
    <w:rsid w:val="00D96FD9"/>
    <w:pPr>
      <w:spacing w:line="240" w:lineRule="auto"/>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1">
    <w:name w:val="Сетка таблицы7"/>
    <w:basedOn w:val="a1"/>
    <w:next w:val="a6"/>
    <w:rsid w:val="00D96FD9"/>
    <w:pPr>
      <w:spacing w:line="240" w:lineRule="auto"/>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
    <w:name w:val="Сетка таблицы8"/>
    <w:basedOn w:val="a1"/>
    <w:next w:val="a6"/>
    <w:rsid w:val="00D96FD9"/>
    <w:pPr>
      <w:spacing w:line="240" w:lineRule="auto"/>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9">
    <w:name w:val="Сетка таблицы9"/>
    <w:basedOn w:val="a1"/>
    <w:next w:val="a6"/>
    <w:rsid w:val="00D96FD9"/>
    <w:pPr>
      <w:spacing w:line="240" w:lineRule="auto"/>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00">
    <w:name w:val="Сетка таблицы10"/>
    <w:basedOn w:val="a1"/>
    <w:next w:val="a6"/>
    <w:rsid w:val="00D96FD9"/>
    <w:pPr>
      <w:spacing w:line="240" w:lineRule="auto"/>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0">
    <w:name w:val="No Spacing"/>
    <w:link w:val="af1"/>
    <w:uiPriority w:val="1"/>
    <w:qFormat/>
    <w:rsid w:val="00D96FD9"/>
    <w:pPr>
      <w:spacing w:line="240" w:lineRule="auto"/>
    </w:pPr>
    <w:rPr>
      <w:rFonts w:ascii="Calibri" w:hAnsi="Calibri"/>
      <w:sz w:val="22"/>
      <w:lang w:val="ru-RU"/>
    </w:rPr>
  </w:style>
  <w:style w:type="character" w:customStyle="1" w:styleId="14">
    <w:name w:val="Просмотренная гиперссылка1"/>
    <w:basedOn w:val="a0"/>
    <w:uiPriority w:val="99"/>
    <w:semiHidden/>
    <w:unhideWhenUsed/>
    <w:rsid w:val="00D96FD9"/>
    <w:rPr>
      <w:color w:val="954F72"/>
      <w:u w:val="single"/>
    </w:rPr>
  </w:style>
  <w:style w:type="character" w:styleId="af2">
    <w:name w:val="annotation reference"/>
    <w:basedOn w:val="a0"/>
    <w:uiPriority w:val="99"/>
    <w:semiHidden/>
    <w:unhideWhenUsed/>
    <w:rsid w:val="00D96FD9"/>
    <w:rPr>
      <w:sz w:val="16"/>
      <w:szCs w:val="16"/>
    </w:rPr>
  </w:style>
  <w:style w:type="paragraph" w:styleId="af3">
    <w:name w:val="annotation text"/>
    <w:basedOn w:val="a"/>
    <w:link w:val="af4"/>
    <w:uiPriority w:val="99"/>
    <w:semiHidden/>
    <w:unhideWhenUsed/>
    <w:rsid w:val="00D96FD9"/>
    <w:pPr>
      <w:spacing w:line="240" w:lineRule="auto"/>
    </w:pPr>
    <w:rPr>
      <w:rFonts w:asciiTheme="minorHAnsi" w:hAnsiTheme="minorHAnsi" w:cstheme="minorBidi"/>
      <w:sz w:val="20"/>
      <w:szCs w:val="20"/>
    </w:rPr>
  </w:style>
  <w:style w:type="character" w:customStyle="1" w:styleId="af4">
    <w:name w:val="Текст примечания Знак"/>
    <w:basedOn w:val="a0"/>
    <w:link w:val="af3"/>
    <w:uiPriority w:val="99"/>
    <w:semiHidden/>
    <w:rsid w:val="00D96FD9"/>
    <w:rPr>
      <w:rFonts w:asciiTheme="minorHAnsi" w:hAnsiTheme="minorHAnsi"/>
      <w:sz w:val="20"/>
      <w:szCs w:val="20"/>
      <w:lang w:val="ru-RU"/>
    </w:rPr>
  </w:style>
  <w:style w:type="paragraph" w:styleId="af5">
    <w:name w:val="annotation subject"/>
    <w:basedOn w:val="af3"/>
    <w:next w:val="af3"/>
    <w:link w:val="af6"/>
    <w:uiPriority w:val="99"/>
    <w:semiHidden/>
    <w:unhideWhenUsed/>
    <w:rsid w:val="00D96FD9"/>
    <w:rPr>
      <w:b/>
      <w:bCs/>
    </w:rPr>
  </w:style>
  <w:style w:type="character" w:customStyle="1" w:styleId="af6">
    <w:name w:val="Тема примечания Знак"/>
    <w:basedOn w:val="af4"/>
    <w:link w:val="af5"/>
    <w:uiPriority w:val="99"/>
    <w:semiHidden/>
    <w:rsid w:val="00D96FD9"/>
    <w:rPr>
      <w:rFonts w:asciiTheme="minorHAnsi" w:hAnsiTheme="minorHAnsi"/>
      <w:b/>
      <w:bCs/>
      <w:sz w:val="20"/>
      <w:szCs w:val="20"/>
      <w:lang w:val="ru-RU"/>
    </w:rPr>
  </w:style>
  <w:style w:type="paragraph" w:styleId="22">
    <w:name w:val="Body Text Indent 2"/>
    <w:basedOn w:val="a"/>
    <w:link w:val="23"/>
    <w:unhideWhenUsed/>
    <w:rsid w:val="00D96FD9"/>
    <w:pPr>
      <w:spacing w:after="120" w:line="480" w:lineRule="auto"/>
      <w:ind w:left="283"/>
    </w:pPr>
    <w:rPr>
      <w:rFonts w:eastAsia="Times New Roman"/>
      <w:color w:val="000000"/>
      <w:szCs w:val="24"/>
      <w:lang w:eastAsia="ru-RU"/>
    </w:rPr>
  </w:style>
  <w:style w:type="character" w:customStyle="1" w:styleId="23">
    <w:name w:val="Основной текст с отступом 2 Знак"/>
    <w:basedOn w:val="a0"/>
    <w:link w:val="22"/>
    <w:rsid w:val="00D96FD9"/>
    <w:rPr>
      <w:rFonts w:eastAsia="Times New Roman" w:cs="Times New Roman"/>
      <w:color w:val="000000"/>
      <w:sz w:val="28"/>
      <w:szCs w:val="24"/>
      <w:lang w:eastAsia="ru-RU"/>
    </w:rPr>
  </w:style>
  <w:style w:type="character" w:styleId="af7">
    <w:name w:val="Hyperlink"/>
    <w:basedOn w:val="a0"/>
    <w:uiPriority w:val="99"/>
    <w:unhideWhenUsed/>
    <w:rsid w:val="00D96FD9"/>
    <w:rPr>
      <w:color w:val="0563C1" w:themeColor="hyperlink"/>
      <w:u w:val="single"/>
    </w:rPr>
  </w:style>
  <w:style w:type="character" w:styleId="af8">
    <w:name w:val="FollowedHyperlink"/>
    <w:basedOn w:val="a0"/>
    <w:uiPriority w:val="99"/>
    <w:unhideWhenUsed/>
    <w:rsid w:val="00D96FD9"/>
    <w:rPr>
      <w:color w:val="954F72" w:themeColor="followedHyperlink"/>
      <w:u w:val="single"/>
    </w:rPr>
  </w:style>
  <w:style w:type="character" w:customStyle="1" w:styleId="10">
    <w:name w:val="Заголовок 1 Знак"/>
    <w:basedOn w:val="a0"/>
    <w:link w:val="1"/>
    <w:rsid w:val="004F31D7"/>
    <w:rPr>
      <w:rFonts w:ascii="Arial" w:eastAsia="Times New Roman" w:hAnsi="Arial" w:cs="Arial"/>
      <w:b/>
      <w:color w:val="000000"/>
      <w:sz w:val="32"/>
      <w:szCs w:val="32"/>
      <w:lang w:val="ru-RU" w:eastAsia="ru-RU"/>
    </w:rPr>
  </w:style>
  <w:style w:type="paragraph" w:styleId="af9">
    <w:name w:val="Body Text"/>
    <w:basedOn w:val="a"/>
    <w:link w:val="afa"/>
    <w:qFormat/>
    <w:rsid w:val="004F31D7"/>
    <w:pPr>
      <w:spacing w:after="120"/>
      <w:ind w:firstLine="709"/>
    </w:pPr>
    <w:rPr>
      <w:rFonts w:eastAsia="Times New Roman"/>
      <w:szCs w:val="24"/>
      <w:lang w:eastAsia="ru-RU"/>
    </w:rPr>
  </w:style>
  <w:style w:type="character" w:customStyle="1" w:styleId="afa">
    <w:name w:val="Основной текст Знак"/>
    <w:basedOn w:val="a0"/>
    <w:link w:val="af9"/>
    <w:rsid w:val="004F31D7"/>
    <w:rPr>
      <w:rFonts w:eastAsia="Times New Roman" w:cs="Times New Roman"/>
      <w:sz w:val="28"/>
      <w:szCs w:val="24"/>
      <w:lang w:val="ru-RU" w:eastAsia="ru-RU"/>
    </w:rPr>
  </w:style>
  <w:style w:type="paragraph" w:customStyle="1" w:styleId="TableParagraph">
    <w:name w:val="Table Paragraph"/>
    <w:basedOn w:val="a"/>
    <w:uiPriority w:val="1"/>
    <w:qFormat/>
    <w:rsid w:val="006738F0"/>
    <w:pPr>
      <w:widowControl w:val="0"/>
      <w:autoSpaceDE w:val="0"/>
      <w:autoSpaceDN w:val="0"/>
      <w:spacing w:line="240" w:lineRule="auto"/>
      <w:jc w:val="center"/>
    </w:pPr>
    <w:rPr>
      <w:rFonts w:eastAsia="Times New Roman"/>
      <w:sz w:val="22"/>
    </w:rPr>
  </w:style>
  <w:style w:type="table" w:customStyle="1" w:styleId="TableNormal3">
    <w:name w:val="Table Normal3"/>
    <w:uiPriority w:val="2"/>
    <w:semiHidden/>
    <w:unhideWhenUsed/>
    <w:qFormat/>
    <w:rsid w:val="006738F0"/>
    <w:pPr>
      <w:widowControl w:val="0"/>
      <w:autoSpaceDE w:val="0"/>
      <w:autoSpaceDN w:val="0"/>
      <w:spacing w:line="240" w:lineRule="auto"/>
      <w:jc w:val="left"/>
    </w:pPr>
    <w:rPr>
      <w:rFonts w:asciiTheme="minorHAnsi" w:hAnsiTheme="minorHAnsi" w:cstheme="minorBidi"/>
      <w:sz w:val="22"/>
      <w:lang w:val="en-US"/>
    </w:rPr>
    <w:tblPr>
      <w:tblInd w:w="0" w:type="dxa"/>
      <w:tblCellMar>
        <w:top w:w="0" w:type="dxa"/>
        <w:left w:w="0" w:type="dxa"/>
        <w:bottom w:w="0" w:type="dxa"/>
        <w:right w:w="0" w:type="dxa"/>
      </w:tblCellMar>
    </w:tblPr>
  </w:style>
  <w:style w:type="paragraph" w:customStyle="1" w:styleId="15">
    <w:name w:val="Абзац списка1"/>
    <w:basedOn w:val="a"/>
    <w:qFormat/>
    <w:rsid w:val="006738F0"/>
    <w:pPr>
      <w:spacing w:after="200" w:line="276" w:lineRule="auto"/>
      <w:ind w:left="720"/>
      <w:jc w:val="left"/>
    </w:pPr>
    <w:rPr>
      <w:rFonts w:ascii="Calibri" w:eastAsia="Times New Roman" w:hAnsi="Calibri" w:cs="Calibri"/>
      <w:sz w:val="22"/>
      <w:lang w:eastAsia="uk-UA"/>
    </w:rPr>
  </w:style>
  <w:style w:type="table" w:customStyle="1" w:styleId="TableNormal">
    <w:name w:val="Table Normal"/>
    <w:uiPriority w:val="2"/>
    <w:semiHidden/>
    <w:unhideWhenUsed/>
    <w:qFormat/>
    <w:rsid w:val="006738F0"/>
    <w:pPr>
      <w:widowControl w:val="0"/>
      <w:autoSpaceDE w:val="0"/>
      <w:autoSpaceDN w:val="0"/>
      <w:spacing w:line="240" w:lineRule="auto"/>
      <w:jc w:val="left"/>
    </w:pPr>
    <w:rPr>
      <w:rFonts w:asciiTheme="minorHAnsi" w:hAnsiTheme="minorHAnsi" w:cstheme="minorBidi"/>
      <w:sz w:val="22"/>
      <w:lang w:val="en-US"/>
    </w:rPr>
    <w:tblPr>
      <w:tblInd w:w="0" w:type="dxa"/>
      <w:tblCellMar>
        <w:top w:w="0" w:type="dxa"/>
        <w:left w:w="0" w:type="dxa"/>
        <w:bottom w:w="0" w:type="dxa"/>
        <w:right w:w="0" w:type="dxa"/>
      </w:tblCellMar>
    </w:tblPr>
  </w:style>
  <w:style w:type="table" w:customStyle="1" w:styleId="TableNormal1">
    <w:name w:val="Table Normal1"/>
    <w:uiPriority w:val="2"/>
    <w:semiHidden/>
    <w:unhideWhenUsed/>
    <w:qFormat/>
    <w:rsid w:val="006738F0"/>
    <w:pPr>
      <w:widowControl w:val="0"/>
      <w:autoSpaceDE w:val="0"/>
      <w:autoSpaceDN w:val="0"/>
      <w:spacing w:line="240" w:lineRule="auto"/>
      <w:jc w:val="left"/>
    </w:pPr>
    <w:rPr>
      <w:rFonts w:asciiTheme="minorHAnsi" w:hAnsiTheme="minorHAnsi" w:cstheme="minorBidi"/>
      <w:sz w:val="22"/>
      <w:lang w:val="en-US"/>
    </w:rPr>
    <w:tblPr>
      <w:tblInd w:w="0" w:type="dxa"/>
      <w:tblCellMar>
        <w:top w:w="0" w:type="dxa"/>
        <w:left w:w="0" w:type="dxa"/>
        <w:bottom w:w="0" w:type="dxa"/>
        <w:right w:w="0" w:type="dxa"/>
      </w:tblCellMar>
    </w:tblPr>
  </w:style>
  <w:style w:type="character" w:customStyle="1" w:styleId="20">
    <w:name w:val="Заголовок 2 Знак"/>
    <w:basedOn w:val="a0"/>
    <w:link w:val="2"/>
    <w:rsid w:val="003B67F9"/>
    <w:rPr>
      <w:rFonts w:eastAsia="Times New Roman"/>
      <w:b/>
      <w:sz w:val="24"/>
      <w:szCs w:val="20"/>
      <w:lang w:eastAsia="ru-RU"/>
    </w:rPr>
  </w:style>
  <w:style w:type="character" w:customStyle="1" w:styleId="30">
    <w:name w:val="Заголовок 3 Знак"/>
    <w:basedOn w:val="a0"/>
    <w:link w:val="3"/>
    <w:rsid w:val="003B67F9"/>
    <w:rPr>
      <w:rFonts w:ascii="Arial" w:eastAsia="Times New Roman" w:hAnsi="Arial" w:cs="Arial"/>
      <w:b/>
      <w:bCs/>
      <w:sz w:val="26"/>
      <w:szCs w:val="26"/>
      <w:lang w:eastAsia="ru-RU"/>
    </w:rPr>
  </w:style>
  <w:style w:type="character" w:customStyle="1" w:styleId="40">
    <w:name w:val="Заголовок 4 Знак"/>
    <w:basedOn w:val="a0"/>
    <w:link w:val="4"/>
    <w:rsid w:val="003B67F9"/>
    <w:rPr>
      <w:rFonts w:eastAsia="Times New Roman"/>
      <w:b/>
      <w:bCs/>
      <w:szCs w:val="28"/>
      <w:lang w:eastAsia="ru-RU"/>
    </w:rPr>
  </w:style>
  <w:style w:type="character" w:customStyle="1" w:styleId="50">
    <w:name w:val="Заголовок 5 Знак"/>
    <w:basedOn w:val="a0"/>
    <w:link w:val="5"/>
    <w:rsid w:val="003B67F9"/>
    <w:rPr>
      <w:rFonts w:eastAsia="Times New Roman"/>
      <w:b/>
      <w:bCs/>
      <w:i/>
      <w:iCs/>
      <w:sz w:val="26"/>
      <w:szCs w:val="26"/>
      <w:lang w:eastAsia="ru-RU"/>
    </w:rPr>
  </w:style>
  <w:style w:type="character" w:customStyle="1" w:styleId="60">
    <w:name w:val="Заголовок 6 Знак"/>
    <w:basedOn w:val="a0"/>
    <w:link w:val="6"/>
    <w:semiHidden/>
    <w:rsid w:val="003B67F9"/>
    <w:rPr>
      <w:rFonts w:eastAsia="Times New Roman"/>
      <w:b/>
      <w:bCs/>
      <w:sz w:val="22"/>
      <w:lang w:eastAsia="ru-RU"/>
    </w:rPr>
  </w:style>
  <w:style w:type="character" w:customStyle="1" w:styleId="70">
    <w:name w:val="Заголовок 7 Знак"/>
    <w:basedOn w:val="a0"/>
    <w:link w:val="7"/>
    <w:semiHidden/>
    <w:rsid w:val="003B67F9"/>
    <w:rPr>
      <w:rFonts w:eastAsia="Times New Roman"/>
      <w:b/>
      <w:sz w:val="20"/>
      <w:szCs w:val="20"/>
      <w:lang w:eastAsia="ru-RU"/>
    </w:rPr>
  </w:style>
  <w:style w:type="numbering" w:customStyle="1" w:styleId="16">
    <w:name w:val="Немає списку1"/>
    <w:next w:val="a2"/>
    <w:uiPriority w:val="99"/>
    <w:semiHidden/>
    <w:unhideWhenUsed/>
    <w:rsid w:val="003B67F9"/>
  </w:style>
  <w:style w:type="paragraph" w:styleId="HTML">
    <w:name w:val="HTML Preformatted"/>
    <w:basedOn w:val="a"/>
    <w:link w:val="HTML0"/>
    <w:semiHidden/>
    <w:unhideWhenUsed/>
    <w:rsid w:val="003B67F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semiHidden/>
    <w:rsid w:val="003B67F9"/>
    <w:rPr>
      <w:rFonts w:ascii="Courier New" w:eastAsia="Times New Roman" w:hAnsi="Courier New" w:cs="Courier New"/>
      <w:sz w:val="20"/>
      <w:szCs w:val="20"/>
      <w:lang w:eastAsia="ru-RU"/>
    </w:rPr>
  </w:style>
  <w:style w:type="paragraph" w:styleId="afb">
    <w:name w:val="footnote text"/>
    <w:basedOn w:val="a"/>
    <w:link w:val="afc"/>
    <w:unhideWhenUsed/>
    <w:rsid w:val="003B67F9"/>
    <w:pPr>
      <w:spacing w:line="240" w:lineRule="auto"/>
      <w:jc w:val="left"/>
    </w:pPr>
    <w:rPr>
      <w:rFonts w:eastAsia="Times New Roman"/>
      <w:sz w:val="20"/>
      <w:szCs w:val="20"/>
      <w:lang w:eastAsia="ru-RU"/>
    </w:rPr>
  </w:style>
  <w:style w:type="character" w:customStyle="1" w:styleId="afc">
    <w:name w:val="Текст сноски Знак"/>
    <w:basedOn w:val="a0"/>
    <w:link w:val="afb"/>
    <w:rsid w:val="003B67F9"/>
    <w:rPr>
      <w:rFonts w:eastAsia="Times New Roman"/>
      <w:sz w:val="20"/>
      <w:szCs w:val="20"/>
      <w:lang w:eastAsia="ru-RU"/>
    </w:rPr>
  </w:style>
  <w:style w:type="paragraph" w:styleId="afd">
    <w:name w:val="Title"/>
    <w:basedOn w:val="a"/>
    <w:link w:val="afe"/>
    <w:qFormat/>
    <w:rsid w:val="003B67F9"/>
    <w:pPr>
      <w:spacing w:line="240" w:lineRule="auto"/>
      <w:jc w:val="center"/>
    </w:pPr>
    <w:rPr>
      <w:rFonts w:eastAsia="Times New Roman"/>
      <w:szCs w:val="28"/>
      <w:lang w:eastAsia="ru-RU"/>
    </w:rPr>
  </w:style>
  <w:style w:type="character" w:customStyle="1" w:styleId="afe">
    <w:name w:val="Название Знак"/>
    <w:basedOn w:val="a0"/>
    <w:link w:val="afd"/>
    <w:rsid w:val="003B67F9"/>
    <w:rPr>
      <w:rFonts w:eastAsia="Times New Roman"/>
      <w:szCs w:val="28"/>
      <w:lang w:eastAsia="ru-RU"/>
    </w:rPr>
  </w:style>
  <w:style w:type="paragraph" w:styleId="24">
    <w:name w:val="Body Text 2"/>
    <w:basedOn w:val="a"/>
    <w:link w:val="25"/>
    <w:unhideWhenUsed/>
    <w:rsid w:val="003B67F9"/>
    <w:pPr>
      <w:spacing w:after="120" w:line="480" w:lineRule="auto"/>
      <w:jc w:val="left"/>
    </w:pPr>
    <w:rPr>
      <w:rFonts w:eastAsia="Times New Roman"/>
      <w:sz w:val="20"/>
      <w:szCs w:val="20"/>
      <w:lang w:eastAsia="ru-RU"/>
    </w:rPr>
  </w:style>
  <w:style w:type="character" w:customStyle="1" w:styleId="25">
    <w:name w:val="Основной текст 2 Знак"/>
    <w:basedOn w:val="a0"/>
    <w:link w:val="24"/>
    <w:rsid w:val="003B67F9"/>
    <w:rPr>
      <w:rFonts w:eastAsia="Times New Roman"/>
      <w:sz w:val="20"/>
      <w:szCs w:val="20"/>
      <w:lang w:eastAsia="ru-RU"/>
    </w:rPr>
  </w:style>
  <w:style w:type="paragraph" w:styleId="32">
    <w:name w:val="Body Text 3"/>
    <w:basedOn w:val="a"/>
    <w:link w:val="33"/>
    <w:unhideWhenUsed/>
    <w:rsid w:val="003B67F9"/>
    <w:pPr>
      <w:spacing w:after="120" w:line="240" w:lineRule="auto"/>
      <w:jc w:val="left"/>
    </w:pPr>
    <w:rPr>
      <w:rFonts w:eastAsia="Times New Roman"/>
      <w:sz w:val="16"/>
      <w:szCs w:val="16"/>
      <w:lang w:eastAsia="ru-RU"/>
    </w:rPr>
  </w:style>
  <w:style w:type="character" w:customStyle="1" w:styleId="33">
    <w:name w:val="Основной текст 3 Знак"/>
    <w:basedOn w:val="a0"/>
    <w:link w:val="32"/>
    <w:rsid w:val="003B67F9"/>
    <w:rPr>
      <w:rFonts w:eastAsia="Times New Roman"/>
      <w:sz w:val="16"/>
      <w:szCs w:val="16"/>
      <w:lang w:eastAsia="ru-RU"/>
    </w:rPr>
  </w:style>
  <w:style w:type="paragraph" w:styleId="34">
    <w:name w:val="Body Text Indent 3"/>
    <w:basedOn w:val="a"/>
    <w:link w:val="35"/>
    <w:semiHidden/>
    <w:unhideWhenUsed/>
    <w:rsid w:val="003B67F9"/>
    <w:pPr>
      <w:spacing w:after="120" w:line="240" w:lineRule="auto"/>
      <w:ind w:left="283"/>
      <w:jc w:val="left"/>
    </w:pPr>
    <w:rPr>
      <w:rFonts w:eastAsia="Times New Roman"/>
      <w:sz w:val="16"/>
      <w:szCs w:val="16"/>
      <w:lang w:eastAsia="ru-RU"/>
    </w:rPr>
  </w:style>
  <w:style w:type="character" w:customStyle="1" w:styleId="35">
    <w:name w:val="Основной текст с отступом 3 Знак"/>
    <w:basedOn w:val="a0"/>
    <w:link w:val="34"/>
    <w:semiHidden/>
    <w:rsid w:val="003B67F9"/>
    <w:rPr>
      <w:rFonts w:eastAsia="Times New Roman"/>
      <w:sz w:val="16"/>
      <w:szCs w:val="16"/>
      <w:lang w:eastAsia="ru-RU"/>
    </w:rPr>
  </w:style>
  <w:style w:type="paragraph" w:styleId="aff">
    <w:name w:val="Plain Text"/>
    <w:basedOn w:val="a"/>
    <w:link w:val="aff0"/>
    <w:unhideWhenUsed/>
    <w:rsid w:val="003B67F9"/>
    <w:pPr>
      <w:spacing w:line="240" w:lineRule="auto"/>
      <w:jc w:val="left"/>
    </w:pPr>
    <w:rPr>
      <w:rFonts w:ascii="Courier New" w:eastAsia="Times New Roman" w:hAnsi="Courier New" w:cs="Courier New"/>
      <w:sz w:val="20"/>
      <w:szCs w:val="20"/>
      <w:lang w:eastAsia="ru-RU"/>
    </w:rPr>
  </w:style>
  <w:style w:type="character" w:customStyle="1" w:styleId="aff0">
    <w:name w:val="Текст Знак"/>
    <w:basedOn w:val="a0"/>
    <w:link w:val="aff"/>
    <w:rsid w:val="003B67F9"/>
    <w:rPr>
      <w:rFonts w:ascii="Courier New" w:eastAsia="Times New Roman" w:hAnsi="Courier New" w:cs="Courier New"/>
      <w:sz w:val="20"/>
      <w:szCs w:val="20"/>
      <w:lang w:eastAsia="ru-RU"/>
    </w:rPr>
  </w:style>
  <w:style w:type="paragraph" w:customStyle="1" w:styleId="CharChar">
    <w:name w:val="Char Char"/>
    <w:basedOn w:val="a"/>
    <w:rsid w:val="003B67F9"/>
    <w:pPr>
      <w:spacing w:line="240" w:lineRule="auto"/>
      <w:jc w:val="left"/>
    </w:pPr>
    <w:rPr>
      <w:rFonts w:ascii="Verdana" w:eastAsia="Times New Roman" w:hAnsi="Verdana"/>
      <w:sz w:val="20"/>
      <w:szCs w:val="20"/>
      <w:lang w:val="en-US"/>
    </w:rPr>
  </w:style>
  <w:style w:type="paragraph" w:customStyle="1" w:styleId="-12-">
    <w:name w:val="Блок-схема12-"/>
    <w:rsid w:val="003B67F9"/>
    <w:pPr>
      <w:spacing w:line="240" w:lineRule="auto"/>
      <w:jc w:val="center"/>
    </w:pPr>
    <w:rPr>
      <w:rFonts w:ascii="Arial" w:eastAsia="Times New Roman" w:hAnsi="Arial"/>
      <w:b/>
      <w:noProof/>
      <w:sz w:val="24"/>
      <w:szCs w:val="20"/>
      <w:lang w:val="ru-RU" w:eastAsia="ru-RU"/>
    </w:rPr>
  </w:style>
  <w:style w:type="paragraph" w:customStyle="1" w:styleId="aff1">
    <w:name w:val="Знак Знак Знак Знак"/>
    <w:basedOn w:val="a"/>
    <w:rsid w:val="003B67F9"/>
    <w:pPr>
      <w:spacing w:line="240" w:lineRule="auto"/>
      <w:jc w:val="left"/>
    </w:pPr>
    <w:rPr>
      <w:rFonts w:ascii="Verdana" w:eastAsia="Times New Roman" w:hAnsi="Verdana"/>
      <w:sz w:val="20"/>
      <w:szCs w:val="20"/>
      <w:lang w:val="en-US"/>
    </w:rPr>
  </w:style>
  <w:style w:type="paragraph" w:customStyle="1" w:styleId="aff2">
    <w:name w:val="Знак Знак Знак"/>
    <w:basedOn w:val="a"/>
    <w:rsid w:val="003B67F9"/>
    <w:pPr>
      <w:spacing w:line="240" w:lineRule="auto"/>
      <w:jc w:val="left"/>
    </w:pPr>
    <w:rPr>
      <w:rFonts w:ascii="Verdana" w:eastAsia="Times New Roman" w:hAnsi="Verdana" w:cs="Verdana"/>
      <w:sz w:val="20"/>
      <w:szCs w:val="20"/>
      <w:lang w:val="en-US"/>
    </w:rPr>
  </w:style>
  <w:style w:type="paragraph" w:customStyle="1" w:styleId="aff3">
    <w:name w:val="Знак"/>
    <w:basedOn w:val="a"/>
    <w:uiPriority w:val="99"/>
    <w:rsid w:val="003B67F9"/>
    <w:pPr>
      <w:spacing w:line="240" w:lineRule="auto"/>
      <w:jc w:val="left"/>
    </w:pPr>
    <w:rPr>
      <w:rFonts w:ascii="Verdana" w:eastAsia="Times New Roman" w:hAnsi="Verdana" w:cs="Verdana"/>
      <w:sz w:val="20"/>
      <w:szCs w:val="20"/>
      <w:lang w:val="en-US" w:bidi="sa-IN"/>
    </w:rPr>
  </w:style>
  <w:style w:type="paragraph" w:customStyle="1" w:styleId="Iauiue">
    <w:name w:val="Iau?iue"/>
    <w:rsid w:val="003B67F9"/>
    <w:pPr>
      <w:widowControl w:val="0"/>
      <w:spacing w:line="240" w:lineRule="auto"/>
      <w:jc w:val="left"/>
    </w:pPr>
    <w:rPr>
      <w:rFonts w:ascii="Times New Roman CYR" w:eastAsia="Times New Roman" w:hAnsi="Times New Roman CYR"/>
      <w:szCs w:val="20"/>
      <w:lang w:val="en-GB" w:eastAsia="ru-RU"/>
    </w:rPr>
  </w:style>
  <w:style w:type="paragraph" w:customStyle="1" w:styleId="CharChar0">
    <w:name w:val="Знак Char Char Знак Знак Знак Знак"/>
    <w:basedOn w:val="a"/>
    <w:rsid w:val="003B67F9"/>
    <w:pPr>
      <w:spacing w:line="240" w:lineRule="auto"/>
      <w:jc w:val="left"/>
    </w:pPr>
    <w:rPr>
      <w:rFonts w:ascii="Verdana" w:eastAsia="Times New Roman" w:hAnsi="Verdana" w:cs="Verdana"/>
      <w:sz w:val="20"/>
      <w:szCs w:val="20"/>
      <w:lang w:val="en-US"/>
    </w:rPr>
  </w:style>
  <w:style w:type="paragraph" w:customStyle="1" w:styleId="Style1">
    <w:name w:val="Style1"/>
    <w:basedOn w:val="a"/>
    <w:rsid w:val="003B67F9"/>
    <w:pPr>
      <w:spacing w:line="312" w:lineRule="auto"/>
      <w:ind w:firstLine="851"/>
    </w:pPr>
    <w:rPr>
      <w:rFonts w:ascii="SchoolBook" w:eastAsia="Times New Roman" w:hAnsi="SchoolBook"/>
      <w:szCs w:val="20"/>
      <w:lang w:val="en-GB" w:eastAsia="ru-RU"/>
    </w:rPr>
  </w:style>
  <w:style w:type="paragraph" w:customStyle="1" w:styleId="BodyText21">
    <w:name w:val="Body Text 21"/>
    <w:basedOn w:val="a"/>
    <w:rsid w:val="003B67F9"/>
    <w:pPr>
      <w:spacing w:line="240" w:lineRule="auto"/>
      <w:jc w:val="center"/>
    </w:pPr>
    <w:rPr>
      <w:rFonts w:eastAsia="Times New Roman"/>
      <w:sz w:val="24"/>
      <w:szCs w:val="20"/>
      <w:lang w:eastAsia="ru-RU"/>
    </w:rPr>
  </w:style>
  <w:style w:type="paragraph" w:customStyle="1" w:styleId="17">
    <w:name w:val="Знак1"/>
    <w:basedOn w:val="a"/>
    <w:rsid w:val="003B67F9"/>
    <w:pPr>
      <w:spacing w:line="240" w:lineRule="auto"/>
      <w:jc w:val="left"/>
    </w:pPr>
    <w:rPr>
      <w:rFonts w:ascii="Verdana" w:eastAsia="Times New Roman" w:hAnsi="Verdana" w:cs="Verdana"/>
      <w:sz w:val="20"/>
      <w:szCs w:val="20"/>
      <w:lang w:val="en-US"/>
    </w:rPr>
  </w:style>
  <w:style w:type="paragraph" w:customStyle="1" w:styleId="Iauiue1">
    <w:name w:val="Iau?iue1"/>
    <w:rsid w:val="003B67F9"/>
    <w:pPr>
      <w:widowControl w:val="0"/>
      <w:snapToGrid w:val="0"/>
      <w:spacing w:line="240" w:lineRule="auto"/>
      <w:jc w:val="left"/>
    </w:pPr>
    <w:rPr>
      <w:rFonts w:eastAsia="Times New Roman"/>
      <w:szCs w:val="20"/>
      <w:lang w:val="en-GB" w:eastAsia="ru-RU"/>
    </w:rPr>
  </w:style>
  <w:style w:type="paragraph" w:customStyle="1" w:styleId="CharCharCharCharCharCharCharChar">
    <w:name w:val="Char Знак Знак Char Знак Знак Char Знак Знак Char Знак Знак Знак Знак Знак Знак Знак Знак Знак Знак Char Знак Char Знак Знак Char Знак Char"/>
    <w:basedOn w:val="a"/>
    <w:rsid w:val="003B67F9"/>
    <w:pPr>
      <w:spacing w:line="240" w:lineRule="auto"/>
      <w:jc w:val="left"/>
    </w:pPr>
    <w:rPr>
      <w:rFonts w:ascii="Verdana" w:eastAsia="Times New Roman" w:hAnsi="Verdana" w:cs="Verdana"/>
      <w:sz w:val="20"/>
      <w:szCs w:val="20"/>
      <w:lang w:val="en-US"/>
    </w:rPr>
  </w:style>
  <w:style w:type="paragraph" w:customStyle="1" w:styleId="aff4">
    <w:name w:val="Знак Знак Знак Знак Знак Знак Знак"/>
    <w:basedOn w:val="a"/>
    <w:rsid w:val="003B67F9"/>
    <w:pPr>
      <w:spacing w:line="240" w:lineRule="auto"/>
      <w:jc w:val="left"/>
    </w:pPr>
    <w:rPr>
      <w:rFonts w:ascii="Verdana" w:eastAsia="Times New Roman" w:hAnsi="Verdana" w:cs="Verdana"/>
      <w:sz w:val="20"/>
      <w:szCs w:val="20"/>
      <w:lang w:val="en-US"/>
    </w:rPr>
  </w:style>
  <w:style w:type="paragraph" w:customStyle="1" w:styleId="aff5">
    <w:name w:val="Нормальний текст"/>
    <w:basedOn w:val="a"/>
    <w:rsid w:val="003B67F9"/>
    <w:pPr>
      <w:spacing w:before="120" w:line="240" w:lineRule="auto"/>
      <w:ind w:firstLine="567"/>
      <w:jc w:val="left"/>
    </w:pPr>
    <w:rPr>
      <w:rFonts w:ascii="Antiqua" w:eastAsia="Times New Roman" w:hAnsi="Antiqua"/>
      <w:sz w:val="26"/>
      <w:szCs w:val="20"/>
      <w:lang w:eastAsia="ru-RU"/>
    </w:rPr>
  </w:style>
  <w:style w:type="paragraph" w:customStyle="1" w:styleId="msonormalbullet2gifbullet1gifbullet3gifbullet2gif">
    <w:name w:val="msonormalbullet2gifbullet1gifbullet3gifbullet2.gif"/>
    <w:basedOn w:val="a"/>
    <w:rsid w:val="003B67F9"/>
    <w:pPr>
      <w:spacing w:before="100" w:beforeAutospacing="1" w:after="100" w:afterAutospacing="1" w:line="240" w:lineRule="auto"/>
      <w:jc w:val="left"/>
    </w:pPr>
    <w:rPr>
      <w:rFonts w:eastAsia="Times New Roman"/>
      <w:sz w:val="24"/>
      <w:szCs w:val="24"/>
      <w:lang w:eastAsia="ru-RU"/>
    </w:rPr>
  </w:style>
  <w:style w:type="paragraph" w:customStyle="1" w:styleId="aff6">
    <w:name w:val="Стиль"/>
    <w:rsid w:val="003B67F9"/>
    <w:pPr>
      <w:widowControl w:val="0"/>
      <w:autoSpaceDE w:val="0"/>
      <w:autoSpaceDN w:val="0"/>
      <w:adjustRightInd w:val="0"/>
      <w:spacing w:line="240" w:lineRule="auto"/>
      <w:jc w:val="left"/>
    </w:pPr>
    <w:rPr>
      <w:rFonts w:eastAsia="MS Mincho"/>
      <w:sz w:val="24"/>
      <w:szCs w:val="24"/>
      <w:lang w:val="ru-RU" w:eastAsia="ja-JP"/>
    </w:rPr>
  </w:style>
  <w:style w:type="paragraph" w:customStyle="1" w:styleId="P8">
    <w:name w:val="P8"/>
    <w:basedOn w:val="a"/>
    <w:rsid w:val="003B67F9"/>
    <w:pPr>
      <w:overflowPunct w:val="0"/>
      <w:autoSpaceDE w:val="0"/>
      <w:autoSpaceDN w:val="0"/>
      <w:adjustRightInd w:val="0"/>
      <w:spacing w:line="240" w:lineRule="auto"/>
    </w:pPr>
    <w:rPr>
      <w:rFonts w:ascii="Baltica" w:eastAsia="Times New Roman" w:hAnsi="Baltica"/>
      <w:sz w:val="20"/>
      <w:szCs w:val="20"/>
      <w:lang w:val="en-US" w:eastAsia="ru-RU"/>
    </w:rPr>
  </w:style>
  <w:style w:type="paragraph" w:customStyle="1" w:styleId="211">
    <w:name w:val="Основной текст 21"/>
    <w:basedOn w:val="a"/>
    <w:uiPriority w:val="99"/>
    <w:rsid w:val="003B67F9"/>
    <w:pPr>
      <w:spacing w:line="276" w:lineRule="auto"/>
      <w:ind w:firstLine="709"/>
    </w:pPr>
    <w:rPr>
      <w:rFonts w:ascii="Times New Roman CYR" w:eastAsia="Times New Roman" w:hAnsi="Times New Roman CYR"/>
      <w:szCs w:val="20"/>
      <w:lang w:eastAsia="ru-RU"/>
    </w:rPr>
  </w:style>
  <w:style w:type="paragraph" w:customStyle="1" w:styleId="110">
    <w:name w:val="1 Знак Знак Знак Знак Знак Знак Знак Знак Знак Знак Знак Знак1 Знак"/>
    <w:basedOn w:val="a"/>
    <w:uiPriority w:val="99"/>
    <w:rsid w:val="003B67F9"/>
    <w:pPr>
      <w:spacing w:line="240" w:lineRule="auto"/>
      <w:jc w:val="left"/>
    </w:pPr>
    <w:rPr>
      <w:rFonts w:ascii="Verdana" w:eastAsia="Times New Roman" w:hAnsi="Verdana" w:cs="Verdana"/>
      <w:sz w:val="20"/>
      <w:szCs w:val="20"/>
      <w:lang w:val="en-US"/>
    </w:rPr>
  </w:style>
  <w:style w:type="paragraph" w:customStyle="1" w:styleId="Style8">
    <w:name w:val="Style8"/>
    <w:basedOn w:val="a"/>
    <w:rsid w:val="003B67F9"/>
    <w:pPr>
      <w:widowControl w:val="0"/>
      <w:autoSpaceDE w:val="0"/>
      <w:autoSpaceDN w:val="0"/>
      <w:adjustRightInd w:val="0"/>
      <w:spacing w:line="266" w:lineRule="exact"/>
      <w:ind w:firstLine="283"/>
    </w:pPr>
    <w:rPr>
      <w:rFonts w:ascii="Calibri" w:eastAsia="Times New Roman" w:hAnsi="Calibri"/>
      <w:sz w:val="24"/>
      <w:szCs w:val="24"/>
      <w:lang w:eastAsia="ru-RU"/>
    </w:rPr>
  </w:style>
  <w:style w:type="paragraph" w:customStyle="1" w:styleId="Style23">
    <w:name w:val="Style23"/>
    <w:basedOn w:val="a"/>
    <w:rsid w:val="003B67F9"/>
    <w:pPr>
      <w:widowControl w:val="0"/>
      <w:autoSpaceDE w:val="0"/>
      <w:autoSpaceDN w:val="0"/>
      <w:adjustRightInd w:val="0"/>
      <w:spacing w:line="277" w:lineRule="exact"/>
      <w:ind w:firstLine="288"/>
    </w:pPr>
    <w:rPr>
      <w:rFonts w:ascii="Calibri" w:eastAsia="Times New Roman" w:hAnsi="Calibri"/>
      <w:sz w:val="24"/>
      <w:szCs w:val="24"/>
      <w:lang w:eastAsia="ru-RU"/>
    </w:rPr>
  </w:style>
  <w:style w:type="character" w:customStyle="1" w:styleId="36">
    <w:name w:val="Основной текст (3)_"/>
    <w:basedOn w:val="a0"/>
    <w:link w:val="310"/>
    <w:locked/>
    <w:rsid w:val="003B67F9"/>
    <w:rPr>
      <w:sz w:val="16"/>
      <w:szCs w:val="16"/>
      <w:shd w:val="clear" w:color="auto" w:fill="FFFFFF"/>
    </w:rPr>
  </w:style>
  <w:style w:type="paragraph" w:customStyle="1" w:styleId="310">
    <w:name w:val="Основной текст (3)1"/>
    <w:basedOn w:val="a"/>
    <w:link w:val="36"/>
    <w:rsid w:val="003B67F9"/>
    <w:pPr>
      <w:shd w:val="clear" w:color="auto" w:fill="FFFFFF"/>
      <w:spacing w:line="240" w:lineRule="atLeast"/>
      <w:jc w:val="left"/>
    </w:pPr>
    <w:rPr>
      <w:sz w:val="16"/>
      <w:szCs w:val="16"/>
    </w:rPr>
  </w:style>
  <w:style w:type="character" w:customStyle="1" w:styleId="42">
    <w:name w:val="Основной текст (4)_"/>
    <w:basedOn w:val="a0"/>
    <w:link w:val="43"/>
    <w:locked/>
    <w:rsid w:val="003B67F9"/>
    <w:rPr>
      <w:b/>
      <w:bCs/>
      <w:sz w:val="18"/>
      <w:szCs w:val="18"/>
      <w:shd w:val="clear" w:color="auto" w:fill="FFFFFF"/>
    </w:rPr>
  </w:style>
  <w:style w:type="paragraph" w:customStyle="1" w:styleId="43">
    <w:name w:val="Основной текст (4)"/>
    <w:basedOn w:val="a"/>
    <w:link w:val="42"/>
    <w:rsid w:val="003B67F9"/>
    <w:pPr>
      <w:shd w:val="clear" w:color="auto" w:fill="FFFFFF"/>
      <w:spacing w:line="226" w:lineRule="exact"/>
      <w:jc w:val="left"/>
    </w:pPr>
    <w:rPr>
      <w:b/>
      <w:bCs/>
      <w:sz w:val="18"/>
      <w:szCs w:val="18"/>
    </w:rPr>
  </w:style>
  <w:style w:type="character" w:customStyle="1" w:styleId="aff7">
    <w:name w:val="текст дис Знак"/>
    <w:basedOn w:val="a0"/>
    <w:link w:val="aff8"/>
    <w:locked/>
    <w:rsid w:val="003B67F9"/>
    <w:rPr>
      <w:color w:val="000000"/>
      <w:szCs w:val="24"/>
      <w:shd w:val="clear" w:color="auto" w:fill="FFFFFF"/>
    </w:rPr>
  </w:style>
  <w:style w:type="paragraph" w:customStyle="1" w:styleId="aff8">
    <w:name w:val="текст дис"/>
    <w:basedOn w:val="a"/>
    <w:link w:val="aff7"/>
    <w:rsid w:val="003B67F9"/>
    <w:pPr>
      <w:widowControl w:val="0"/>
      <w:shd w:val="clear" w:color="auto" w:fill="FFFFFF"/>
      <w:tabs>
        <w:tab w:val="left" w:pos="6120"/>
      </w:tabs>
      <w:ind w:firstLine="720"/>
    </w:pPr>
    <w:rPr>
      <w:color w:val="000000"/>
      <w:szCs w:val="24"/>
    </w:rPr>
  </w:style>
  <w:style w:type="paragraph" w:customStyle="1" w:styleId="aff9">
    <w:name w:val="Установа"/>
    <w:basedOn w:val="a"/>
    <w:rsid w:val="003B67F9"/>
    <w:pPr>
      <w:keepNext/>
      <w:keepLines/>
      <w:spacing w:before="120" w:line="240" w:lineRule="auto"/>
      <w:jc w:val="center"/>
    </w:pPr>
    <w:rPr>
      <w:rFonts w:ascii="Antiqua" w:eastAsia="Times New Roman" w:hAnsi="Antiqua"/>
      <w:b/>
      <w:i/>
      <w:caps/>
      <w:sz w:val="48"/>
      <w:szCs w:val="20"/>
      <w:lang w:eastAsia="ru-RU"/>
    </w:rPr>
  </w:style>
  <w:style w:type="character" w:customStyle="1" w:styleId="26">
    <w:name w:val="Основной текст (2)_"/>
    <w:link w:val="27"/>
    <w:locked/>
    <w:rsid w:val="003B67F9"/>
    <w:rPr>
      <w:b/>
      <w:bCs/>
      <w:sz w:val="26"/>
      <w:szCs w:val="26"/>
      <w:shd w:val="clear" w:color="auto" w:fill="FFFFFF"/>
    </w:rPr>
  </w:style>
  <w:style w:type="paragraph" w:customStyle="1" w:styleId="27">
    <w:name w:val="Основной текст (2)"/>
    <w:basedOn w:val="a"/>
    <w:link w:val="26"/>
    <w:rsid w:val="003B67F9"/>
    <w:pPr>
      <w:shd w:val="clear" w:color="auto" w:fill="FFFFFF"/>
      <w:spacing w:line="312" w:lineRule="exact"/>
      <w:jc w:val="right"/>
    </w:pPr>
    <w:rPr>
      <w:b/>
      <w:bCs/>
      <w:sz w:val="26"/>
      <w:szCs w:val="26"/>
    </w:rPr>
  </w:style>
  <w:style w:type="character" w:customStyle="1" w:styleId="affa">
    <w:name w:val="мій стиль Знак"/>
    <w:link w:val="affb"/>
    <w:locked/>
    <w:rsid w:val="003B67F9"/>
    <w:rPr>
      <w:kern w:val="28"/>
      <w:szCs w:val="28"/>
    </w:rPr>
  </w:style>
  <w:style w:type="paragraph" w:customStyle="1" w:styleId="affb">
    <w:name w:val="мій стиль"/>
    <w:basedOn w:val="a"/>
    <w:link w:val="affa"/>
    <w:rsid w:val="003B67F9"/>
    <w:pPr>
      <w:spacing w:line="240" w:lineRule="auto"/>
      <w:ind w:firstLine="709"/>
    </w:pPr>
    <w:rPr>
      <w:kern w:val="28"/>
      <w:szCs w:val="28"/>
    </w:rPr>
  </w:style>
  <w:style w:type="character" w:customStyle="1" w:styleId="90">
    <w:name w:val="Основной текст (9)_"/>
    <w:basedOn w:val="a0"/>
    <w:link w:val="91"/>
    <w:locked/>
    <w:rsid w:val="003B67F9"/>
    <w:rPr>
      <w:sz w:val="23"/>
      <w:szCs w:val="23"/>
      <w:shd w:val="clear" w:color="auto" w:fill="FFFFFF"/>
    </w:rPr>
  </w:style>
  <w:style w:type="paragraph" w:customStyle="1" w:styleId="91">
    <w:name w:val="Основной текст (9)"/>
    <w:basedOn w:val="a"/>
    <w:link w:val="90"/>
    <w:rsid w:val="003B67F9"/>
    <w:pPr>
      <w:shd w:val="clear" w:color="auto" w:fill="FFFFFF"/>
      <w:spacing w:line="240" w:lineRule="atLeast"/>
      <w:jc w:val="left"/>
    </w:pPr>
    <w:rPr>
      <w:sz w:val="23"/>
      <w:szCs w:val="23"/>
    </w:rPr>
  </w:style>
  <w:style w:type="character" w:customStyle="1" w:styleId="48">
    <w:name w:val="Основной текст (48)_"/>
    <w:basedOn w:val="a0"/>
    <w:link w:val="480"/>
    <w:locked/>
    <w:rsid w:val="003B67F9"/>
    <w:rPr>
      <w:b/>
      <w:bCs/>
      <w:sz w:val="23"/>
      <w:szCs w:val="23"/>
      <w:shd w:val="clear" w:color="auto" w:fill="FFFFFF"/>
    </w:rPr>
  </w:style>
  <w:style w:type="paragraph" w:customStyle="1" w:styleId="480">
    <w:name w:val="Основной текст (48)"/>
    <w:basedOn w:val="a"/>
    <w:link w:val="48"/>
    <w:rsid w:val="003B67F9"/>
    <w:pPr>
      <w:shd w:val="clear" w:color="auto" w:fill="FFFFFF"/>
      <w:spacing w:line="240" w:lineRule="atLeast"/>
      <w:jc w:val="left"/>
    </w:pPr>
    <w:rPr>
      <w:b/>
      <w:bCs/>
      <w:sz w:val="23"/>
      <w:szCs w:val="23"/>
    </w:rPr>
  </w:style>
  <w:style w:type="character" w:customStyle="1" w:styleId="18">
    <w:name w:val="Заголовок №1_"/>
    <w:basedOn w:val="a0"/>
    <w:link w:val="19"/>
    <w:locked/>
    <w:rsid w:val="003B67F9"/>
    <w:rPr>
      <w:b/>
      <w:bCs/>
      <w:sz w:val="42"/>
      <w:szCs w:val="42"/>
      <w:shd w:val="clear" w:color="auto" w:fill="FFFFFF"/>
    </w:rPr>
  </w:style>
  <w:style w:type="paragraph" w:customStyle="1" w:styleId="19">
    <w:name w:val="Заголовок №1"/>
    <w:basedOn w:val="a"/>
    <w:link w:val="18"/>
    <w:rsid w:val="003B67F9"/>
    <w:pPr>
      <w:shd w:val="clear" w:color="auto" w:fill="FFFFFF"/>
      <w:spacing w:after="120" w:line="240" w:lineRule="atLeast"/>
      <w:jc w:val="center"/>
      <w:outlineLvl w:val="0"/>
    </w:pPr>
    <w:rPr>
      <w:b/>
      <w:bCs/>
      <w:sz w:val="42"/>
      <w:szCs w:val="42"/>
    </w:rPr>
  </w:style>
  <w:style w:type="character" w:customStyle="1" w:styleId="affc">
    <w:name w:val="Колонтитул_"/>
    <w:basedOn w:val="a0"/>
    <w:link w:val="affd"/>
    <w:locked/>
    <w:rsid w:val="003B67F9"/>
    <w:rPr>
      <w:shd w:val="clear" w:color="auto" w:fill="FFFFFF"/>
    </w:rPr>
  </w:style>
  <w:style w:type="paragraph" w:customStyle="1" w:styleId="affd">
    <w:name w:val="Колонтитул"/>
    <w:basedOn w:val="a"/>
    <w:link w:val="affc"/>
    <w:rsid w:val="003B67F9"/>
    <w:pPr>
      <w:shd w:val="clear" w:color="auto" w:fill="FFFFFF"/>
      <w:spacing w:line="240" w:lineRule="auto"/>
      <w:jc w:val="left"/>
    </w:pPr>
  </w:style>
  <w:style w:type="character" w:customStyle="1" w:styleId="52">
    <w:name w:val="Основной текст (5)_"/>
    <w:basedOn w:val="a0"/>
    <w:link w:val="53"/>
    <w:locked/>
    <w:rsid w:val="003B67F9"/>
    <w:rPr>
      <w:rFonts w:ascii="Arial" w:hAnsi="Arial" w:cs="Arial"/>
      <w:sz w:val="29"/>
      <w:szCs w:val="29"/>
      <w:shd w:val="clear" w:color="auto" w:fill="FFFFFF"/>
    </w:rPr>
  </w:style>
  <w:style w:type="paragraph" w:customStyle="1" w:styleId="53">
    <w:name w:val="Основной текст (5)"/>
    <w:basedOn w:val="a"/>
    <w:link w:val="52"/>
    <w:rsid w:val="003B67F9"/>
    <w:pPr>
      <w:shd w:val="clear" w:color="auto" w:fill="FFFFFF"/>
      <w:spacing w:after="60" w:line="240" w:lineRule="atLeast"/>
      <w:jc w:val="left"/>
    </w:pPr>
    <w:rPr>
      <w:rFonts w:ascii="Arial" w:hAnsi="Arial" w:cs="Arial"/>
      <w:sz w:val="29"/>
      <w:szCs w:val="29"/>
    </w:rPr>
  </w:style>
  <w:style w:type="character" w:customStyle="1" w:styleId="62">
    <w:name w:val="Основной текст (6)_"/>
    <w:basedOn w:val="a0"/>
    <w:link w:val="610"/>
    <w:locked/>
    <w:rsid w:val="003B67F9"/>
    <w:rPr>
      <w:rFonts w:ascii="Arial" w:hAnsi="Arial" w:cs="Arial"/>
      <w:i/>
      <w:iCs/>
      <w:shd w:val="clear" w:color="auto" w:fill="FFFFFF"/>
    </w:rPr>
  </w:style>
  <w:style w:type="paragraph" w:customStyle="1" w:styleId="610">
    <w:name w:val="Основной текст (6)1"/>
    <w:basedOn w:val="a"/>
    <w:link w:val="62"/>
    <w:rsid w:val="003B67F9"/>
    <w:pPr>
      <w:shd w:val="clear" w:color="auto" w:fill="FFFFFF"/>
      <w:spacing w:before="60" w:after="60" w:line="240" w:lineRule="atLeast"/>
      <w:jc w:val="left"/>
    </w:pPr>
    <w:rPr>
      <w:rFonts w:ascii="Arial" w:hAnsi="Arial" w:cs="Arial"/>
      <w:i/>
      <w:iCs/>
    </w:rPr>
  </w:style>
  <w:style w:type="character" w:customStyle="1" w:styleId="190">
    <w:name w:val="Основной текст (19)_"/>
    <w:basedOn w:val="a0"/>
    <w:link w:val="191"/>
    <w:locked/>
    <w:rsid w:val="003B67F9"/>
    <w:rPr>
      <w:rFonts w:ascii="Arial" w:hAnsi="Arial" w:cs="Arial"/>
      <w:b/>
      <w:bCs/>
      <w:sz w:val="36"/>
      <w:szCs w:val="36"/>
      <w:shd w:val="clear" w:color="auto" w:fill="FFFFFF"/>
    </w:rPr>
  </w:style>
  <w:style w:type="paragraph" w:customStyle="1" w:styleId="191">
    <w:name w:val="Основной текст (19)"/>
    <w:basedOn w:val="a"/>
    <w:link w:val="190"/>
    <w:rsid w:val="003B67F9"/>
    <w:pPr>
      <w:shd w:val="clear" w:color="auto" w:fill="FFFFFF"/>
      <w:spacing w:after="120" w:line="240" w:lineRule="atLeast"/>
      <w:jc w:val="left"/>
    </w:pPr>
    <w:rPr>
      <w:rFonts w:ascii="Arial" w:hAnsi="Arial" w:cs="Arial"/>
      <w:b/>
      <w:bCs/>
      <w:sz w:val="36"/>
      <w:szCs w:val="36"/>
    </w:rPr>
  </w:style>
  <w:style w:type="character" w:customStyle="1" w:styleId="200">
    <w:name w:val="Основной текст (20)_"/>
    <w:basedOn w:val="a0"/>
    <w:link w:val="201"/>
    <w:locked/>
    <w:rsid w:val="003B67F9"/>
    <w:rPr>
      <w:rFonts w:ascii="Arial" w:hAnsi="Arial" w:cs="Arial"/>
      <w:sz w:val="25"/>
      <w:szCs w:val="25"/>
      <w:shd w:val="clear" w:color="auto" w:fill="FFFFFF"/>
    </w:rPr>
  </w:style>
  <w:style w:type="paragraph" w:customStyle="1" w:styleId="201">
    <w:name w:val="Основной текст (20)"/>
    <w:basedOn w:val="a"/>
    <w:link w:val="200"/>
    <w:rsid w:val="003B67F9"/>
    <w:pPr>
      <w:shd w:val="clear" w:color="auto" w:fill="FFFFFF"/>
      <w:spacing w:before="120" w:after="120" w:line="240" w:lineRule="atLeast"/>
      <w:jc w:val="left"/>
    </w:pPr>
    <w:rPr>
      <w:rFonts w:ascii="Arial" w:hAnsi="Arial" w:cs="Arial"/>
      <w:sz w:val="25"/>
      <w:szCs w:val="25"/>
    </w:rPr>
  </w:style>
  <w:style w:type="character" w:customStyle="1" w:styleId="28">
    <w:name w:val="Подпись к таблице (2)_"/>
    <w:basedOn w:val="a0"/>
    <w:link w:val="29"/>
    <w:uiPriority w:val="99"/>
    <w:locked/>
    <w:rsid w:val="003B67F9"/>
    <w:rPr>
      <w:rFonts w:ascii="Arial" w:hAnsi="Arial" w:cs="Arial"/>
      <w:i/>
      <w:iCs/>
      <w:shd w:val="clear" w:color="auto" w:fill="FFFFFF"/>
    </w:rPr>
  </w:style>
  <w:style w:type="paragraph" w:customStyle="1" w:styleId="29">
    <w:name w:val="Подпись к таблице (2)"/>
    <w:basedOn w:val="a"/>
    <w:link w:val="28"/>
    <w:uiPriority w:val="99"/>
    <w:rsid w:val="003B67F9"/>
    <w:pPr>
      <w:shd w:val="clear" w:color="auto" w:fill="FFFFFF"/>
      <w:spacing w:line="240" w:lineRule="atLeast"/>
      <w:jc w:val="left"/>
    </w:pPr>
    <w:rPr>
      <w:rFonts w:ascii="Arial" w:hAnsi="Arial" w:cs="Arial"/>
      <w:i/>
      <w:iCs/>
    </w:rPr>
  </w:style>
  <w:style w:type="character" w:customStyle="1" w:styleId="101">
    <w:name w:val="Основной текст (10)_"/>
    <w:basedOn w:val="a0"/>
    <w:link w:val="102"/>
    <w:locked/>
    <w:rsid w:val="003B67F9"/>
    <w:rPr>
      <w:rFonts w:ascii="Arial" w:hAnsi="Arial" w:cs="Arial"/>
      <w:sz w:val="14"/>
      <w:szCs w:val="14"/>
      <w:shd w:val="clear" w:color="auto" w:fill="FFFFFF"/>
    </w:rPr>
  </w:style>
  <w:style w:type="paragraph" w:customStyle="1" w:styleId="102">
    <w:name w:val="Основной текст (10)"/>
    <w:basedOn w:val="a"/>
    <w:link w:val="101"/>
    <w:rsid w:val="003B67F9"/>
    <w:pPr>
      <w:shd w:val="clear" w:color="auto" w:fill="FFFFFF"/>
      <w:spacing w:line="240" w:lineRule="atLeast"/>
      <w:jc w:val="left"/>
    </w:pPr>
    <w:rPr>
      <w:rFonts w:ascii="Arial" w:hAnsi="Arial" w:cs="Arial"/>
      <w:sz w:val="14"/>
      <w:szCs w:val="14"/>
    </w:rPr>
  </w:style>
  <w:style w:type="character" w:customStyle="1" w:styleId="111">
    <w:name w:val="Основной текст (11)_"/>
    <w:basedOn w:val="a0"/>
    <w:link w:val="112"/>
    <w:locked/>
    <w:rsid w:val="003B67F9"/>
    <w:rPr>
      <w:b/>
      <w:bCs/>
      <w:sz w:val="19"/>
      <w:szCs w:val="19"/>
      <w:shd w:val="clear" w:color="auto" w:fill="FFFFFF"/>
    </w:rPr>
  </w:style>
  <w:style w:type="paragraph" w:customStyle="1" w:styleId="112">
    <w:name w:val="Основной текст (11)"/>
    <w:basedOn w:val="a"/>
    <w:link w:val="111"/>
    <w:rsid w:val="003B67F9"/>
    <w:pPr>
      <w:shd w:val="clear" w:color="auto" w:fill="FFFFFF"/>
      <w:spacing w:line="240" w:lineRule="atLeast"/>
      <w:jc w:val="center"/>
    </w:pPr>
    <w:rPr>
      <w:b/>
      <w:bCs/>
      <w:sz w:val="19"/>
      <w:szCs w:val="19"/>
    </w:rPr>
  </w:style>
  <w:style w:type="character" w:customStyle="1" w:styleId="130">
    <w:name w:val="Основной текст (13)_"/>
    <w:basedOn w:val="a0"/>
    <w:link w:val="131"/>
    <w:locked/>
    <w:rsid w:val="003B67F9"/>
    <w:rPr>
      <w:rFonts w:ascii="Franklin Gothic Medium" w:hAnsi="Franklin Gothic Medium"/>
      <w:b/>
      <w:bCs/>
      <w:noProof/>
      <w:sz w:val="16"/>
      <w:szCs w:val="16"/>
      <w:shd w:val="clear" w:color="auto" w:fill="FFFFFF"/>
    </w:rPr>
  </w:style>
  <w:style w:type="paragraph" w:customStyle="1" w:styleId="131">
    <w:name w:val="Основной текст (13)"/>
    <w:basedOn w:val="a"/>
    <w:link w:val="130"/>
    <w:rsid w:val="003B67F9"/>
    <w:pPr>
      <w:shd w:val="clear" w:color="auto" w:fill="FFFFFF"/>
      <w:spacing w:after="60" w:line="240" w:lineRule="atLeast"/>
      <w:jc w:val="center"/>
    </w:pPr>
    <w:rPr>
      <w:rFonts w:ascii="Franklin Gothic Medium" w:hAnsi="Franklin Gothic Medium"/>
      <w:b/>
      <w:bCs/>
      <w:noProof/>
      <w:sz w:val="16"/>
      <w:szCs w:val="16"/>
    </w:rPr>
  </w:style>
  <w:style w:type="character" w:customStyle="1" w:styleId="120">
    <w:name w:val="Основной текст (12)_"/>
    <w:basedOn w:val="a0"/>
    <w:link w:val="121"/>
    <w:locked/>
    <w:rsid w:val="003B67F9"/>
    <w:rPr>
      <w:rFonts w:ascii="Arial" w:hAnsi="Arial" w:cs="Arial"/>
      <w:sz w:val="14"/>
      <w:szCs w:val="14"/>
      <w:shd w:val="clear" w:color="auto" w:fill="FFFFFF"/>
    </w:rPr>
  </w:style>
  <w:style w:type="paragraph" w:customStyle="1" w:styleId="121">
    <w:name w:val="Основной текст (12)"/>
    <w:basedOn w:val="a"/>
    <w:link w:val="120"/>
    <w:rsid w:val="003B67F9"/>
    <w:pPr>
      <w:shd w:val="clear" w:color="auto" w:fill="FFFFFF"/>
      <w:spacing w:line="192" w:lineRule="exact"/>
      <w:jc w:val="center"/>
    </w:pPr>
    <w:rPr>
      <w:rFonts w:ascii="Arial" w:hAnsi="Arial" w:cs="Arial"/>
      <w:sz w:val="14"/>
      <w:szCs w:val="14"/>
    </w:rPr>
  </w:style>
  <w:style w:type="character" w:customStyle="1" w:styleId="150">
    <w:name w:val="Основной текст (15)_"/>
    <w:basedOn w:val="a0"/>
    <w:link w:val="151"/>
    <w:locked/>
    <w:rsid w:val="003B67F9"/>
    <w:rPr>
      <w:noProof/>
      <w:sz w:val="17"/>
      <w:szCs w:val="17"/>
      <w:shd w:val="clear" w:color="auto" w:fill="FFFFFF"/>
    </w:rPr>
  </w:style>
  <w:style w:type="paragraph" w:customStyle="1" w:styleId="151">
    <w:name w:val="Основной текст (15)"/>
    <w:basedOn w:val="a"/>
    <w:link w:val="150"/>
    <w:rsid w:val="003B67F9"/>
    <w:pPr>
      <w:shd w:val="clear" w:color="auto" w:fill="FFFFFF"/>
      <w:spacing w:after="60" w:line="240" w:lineRule="atLeast"/>
      <w:jc w:val="center"/>
    </w:pPr>
    <w:rPr>
      <w:noProof/>
      <w:sz w:val="17"/>
      <w:szCs w:val="17"/>
    </w:rPr>
  </w:style>
  <w:style w:type="character" w:customStyle="1" w:styleId="180">
    <w:name w:val="Основной текст (18)_"/>
    <w:basedOn w:val="a0"/>
    <w:link w:val="181"/>
    <w:locked/>
    <w:rsid w:val="003B67F9"/>
    <w:rPr>
      <w:rFonts w:ascii="Arial" w:hAnsi="Arial" w:cs="Arial"/>
      <w:noProof/>
      <w:sz w:val="14"/>
      <w:szCs w:val="14"/>
      <w:shd w:val="clear" w:color="auto" w:fill="FFFFFF"/>
    </w:rPr>
  </w:style>
  <w:style w:type="paragraph" w:customStyle="1" w:styleId="181">
    <w:name w:val="Основной текст (18)"/>
    <w:basedOn w:val="a"/>
    <w:link w:val="180"/>
    <w:rsid w:val="003B67F9"/>
    <w:pPr>
      <w:shd w:val="clear" w:color="auto" w:fill="FFFFFF"/>
      <w:spacing w:line="240" w:lineRule="atLeast"/>
      <w:jc w:val="center"/>
    </w:pPr>
    <w:rPr>
      <w:rFonts w:ascii="Arial" w:hAnsi="Arial" w:cs="Arial"/>
      <w:noProof/>
      <w:sz w:val="14"/>
      <w:szCs w:val="14"/>
    </w:rPr>
  </w:style>
  <w:style w:type="character" w:customStyle="1" w:styleId="80">
    <w:name w:val="Основной текст (8)_"/>
    <w:basedOn w:val="a0"/>
    <w:link w:val="81"/>
    <w:locked/>
    <w:rsid w:val="003B67F9"/>
    <w:rPr>
      <w:noProof/>
      <w:shd w:val="clear" w:color="auto" w:fill="FFFFFF"/>
    </w:rPr>
  </w:style>
  <w:style w:type="paragraph" w:customStyle="1" w:styleId="81">
    <w:name w:val="Основной текст (8)"/>
    <w:basedOn w:val="a"/>
    <w:link w:val="80"/>
    <w:rsid w:val="003B67F9"/>
    <w:pPr>
      <w:shd w:val="clear" w:color="auto" w:fill="FFFFFF"/>
      <w:spacing w:line="240" w:lineRule="atLeast"/>
      <w:jc w:val="left"/>
    </w:pPr>
    <w:rPr>
      <w:noProof/>
    </w:rPr>
  </w:style>
  <w:style w:type="character" w:customStyle="1" w:styleId="140">
    <w:name w:val="Основной текст (14)_"/>
    <w:basedOn w:val="a0"/>
    <w:link w:val="141"/>
    <w:locked/>
    <w:rsid w:val="003B67F9"/>
    <w:rPr>
      <w:rFonts w:ascii="Arial" w:hAnsi="Arial" w:cs="Arial"/>
      <w:b/>
      <w:bCs/>
      <w:sz w:val="14"/>
      <w:szCs w:val="14"/>
      <w:shd w:val="clear" w:color="auto" w:fill="FFFFFF"/>
    </w:rPr>
  </w:style>
  <w:style w:type="paragraph" w:customStyle="1" w:styleId="141">
    <w:name w:val="Основной текст (14)"/>
    <w:basedOn w:val="a"/>
    <w:link w:val="140"/>
    <w:rsid w:val="003B67F9"/>
    <w:pPr>
      <w:shd w:val="clear" w:color="auto" w:fill="FFFFFF"/>
      <w:spacing w:line="240" w:lineRule="atLeast"/>
      <w:jc w:val="center"/>
    </w:pPr>
    <w:rPr>
      <w:rFonts w:ascii="Arial" w:hAnsi="Arial" w:cs="Arial"/>
      <w:b/>
      <w:bCs/>
      <w:sz w:val="14"/>
      <w:szCs w:val="14"/>
    </w:rPr>
  </w:style>
  <w:style w:type="character" w:customStyle="1" w:styleId="170">
    <w:name w:val="Основной текст (17)_"/>
    <w:basedOn w:val="a0"/>
    <w:link w:val="171"/>
    <w:locked/>
    <w:rsid w:val="003B67F9"/>
    <w:rPr>
      <w:noProof/>
      <w:sz w:val="8"/>
      <w:szCs w:val="8"/>
      <w:shd w:val="clear" w:color="auto" w:fill="FFFFFF"/>
    </w:rPr>
  </w:style>
  <w:style w:type="paragraph" w:customStyle="1" w:styleId="171">
    <w:name w:val="Основной текст (17)"/>
    <w:basedOn w:val="a"/>
    <w:link w:val="170"/>
    <w:rsid w:val="003B67F9"/>
    <w:pPr>
      <w:shd w:val="clear" w:color="auto" w:fill="FFFFFF"/>
      <w:spacing w:line="240" w:lineRule="atLeast"/>
      <w:jc w:val="left"/>
    </w:pPr>
    <w:rPr>
      <w:noProof/>
      <w:sz w:val="8"/>
      <w:szCs w:val="8"/>
    </w:rPr>
  </w:style>
  <w:style w:type="character" w:customStyle="1" w:styleId="72">
    <w:name w:val="Основной текст (7)_"/>
    <w:basedOn w:val="a0"/>
    <w:link w:val="710"/>
    <w:locked/>
    <w:rsid w:val="003B67F9"/>
    <w:rPr>
      <w:sz w:val="19"/>
      <w:szCs w:val="19"/>
      <w:shd w:val="clear" w:color="auto" w:fill="FFFFFF"/>
    </w:rPr>
  </w:style>
  <w:style w:type="paragraph" w:customStyle="1" w:styleId="710">
    <w:name w:val="Основной текст (7)1"/>
    <w:basedOn w:val="a"/>
    <w:link w:val="72"/>
    <w:rsid w:val="003B67F9"/>
    <w:pPr>
      <w:shd w:val="clear" w:color="auto" w:fill="FFFFFF"/>
      <w:spacing w:line="240" w:lineRule="atLeast"/>
      <w:jc w:val="left"/>
    </w:pPr>
    <w:rPr>
      <w:sz w:val="19"/>
      <w:szCs w:val="19"/>
    </w:rPr>
  </w:style>
  <w:style w:type="character" w:customStyle="1" w:styleId="160">
    <w:name w:val="Основной текст (16)_"/>
    <w:basedOn w:val="a0"/>
    <w:link w:val="161"/>
    <w:locked/>
    <w:rsid w:val="003B67F9"/>
    <w:rPr>
      <w:rFonts w:ascii="Arial" w:hAnsi="Arial" w:cs="Arial"/>
      <w:sz w:val="16"/>
      <w:szCs w:val="16"/>
      <w:shd w:val="clear" w:color="auto" w:fill="FFFFFF"/>
    </w:rPr>
  </w:style>
  <w:style w:type="paragraph" w:customStyle="1" w:styleId="161">
    <w:name w:val="Основной текст (16)"/>
    <w:basedOn w:val="a"/>
    <w:link w:val="160"/>
    <w:rsid w:val="003B67F9"/>
    <w:pPr>
      <w:shd w:val="clear" w:color="auto" w:fill="FFFFFF"/>
      <w:spacing w:line="240" w:lineRule="atLeast"/>
    </w:pPr>
    <w:rPr>
      <w:rFonts w:ascii="Arial" w:hAnsi="Arial" w:cs="Arial"/>
      <w:sz w:val="16"/>
      <w:szCs w:val="16"/>
    </w:rPr>
  </w:style>
  <w:style w:type="character" w:customStyle="1" w:styleId="311">
    <w:name w:val="Основной текст (31)_"/>
    <w:basedOn w:val="a0"/>
    <w:link w:val="312"/>
    <w:locked/>
    <w:rsid w:val="003B67F9"/>
    <w:rPr>
      <w:rFonts w:ascii="Arial" w:hAnsi="Arial" w:cs="Arial"/>
      <w:i/>
      <w:iCs/>
      <w:sz w:val="19"/>
      <w:szCs w:val="19"/>
      <w:shd w:val="clear" w:color="auto" w:fill="FFFFFF"/>
    </w:rPr>
  </w:style>
  <w:style w:type="paragraph" w:customStyle="1" w:styleId="312">
    <w:name w:val="Основной текст (31)"/>
    <w:basedOn w:val="a"/>
    <w:link w:val="311"/>
    <w:rsid w:val="003B67F9"/>
    <w:pPr>
      <w:shd w:val="clear" w:color="auto" w:fill="FFFFFF"/>
      <w:spacing w:before="180" w:after="180" w:line="240" w:lineRule="atLeast"/>
      <w:jc w:val="left"/>
    </w:pPr>
    <w:rPr>
      <w:rFonts w:ascii="Arial" w:hAnsi="Arial" w:cs="Arial"/>
      <w:i/>
      <w:iCs/>
      <w:sz w:val="19"/>
      <w:szCs w:val="19"/>
    </w:rPr>
  </w:style>
  <w:style w:type="character" w:customStyle="1" w:styleId="320">
    <w:name w:val="Основной текст (32)_"/>
    <w:basedOn w:val="a0"/>
    <w:link w:val="321"/>
    <w:locked/>
    <w:rsid w:val="003B67F9"/>
    <w:rPr>
      <w:rFonts w:ascii="Arial" w:hAnsi="Arial" w:cs="Arial"/>
      <w:i/>
      <w:iCs/>
      <w:sz w:val="16"/>
      <w:szCs w:val="16"/>
      <w:shd w:val="clear" w:color="auto" w:fill="FFFFFF"/>
    </w:rPr>
  </w:style>
  <w:style w:type="paragraph" w:customStyle="1" w:styleId="321">
    <w:name w:val="Основной текст (32)"/>
    <w:basedOn w:val="a"/>
    <w:link w:val="320"/>
    <w:rsid w:val="003B67F9"/>
    <w:pPr>
      <w:shd w:val="clear" w:color="auto" w:fill="FFFFFF"/>
      <w:spacing w:before="180" w:after="60" w:line="240" w:lineRule="atLeast"/>
      <w:jc w:val="left"/>
    </w:pPr>
    <w:rPr>
      <w:rFonts w:ascii="Arial" w:hAnsi="Arial" w:cs="Arial"/>
      <w:i/>
      <w:iCs/>
      <w:sz w:val="16"/>
      <w:szCs w:val="16"/>
    </w:rPr>
  </w:style>
  <w:style w:type="character" w:customStyle="1" w:styleId="260">
    <w:name w:val="Основной текст (26)_"/>
    <w:basedOn w:val="a0"/>
    <w:link w:val="261"/>
    <w:locked/>
    <w:rsid w:val="003B67F9"/>
    <w:rPr>
      <w:rFonts w:ascii="Arial" w:hAnsi="Arial" w:cs="Arial"/>
      <w:i/>
      <w:iCs/>
      <w:sz w:val="13"/>
      <w:szCs w:val="13"/>
      <w:shd w:val="clear" w:color="auto" w:fill="FFFFFF"/>
    </w:rPr>
  </w:style>
  <w:style w:type="paragraph" w:customStyle="1" w:styleId="261">
    <w:name w:val="Основной текст (26)"/>
    <w:basedOn w:val="a"/>
    <w:link w:val="260"/>
    <w:rsid w:val="003B67F9"/>
    <w:pPr>
      <w:shd w:val="clear" w:color="auto" w:fill="FFFFFF"/>
      <w:spacing w:line="240" w:lineRule="atLeast"/>
      <w:jc w:val="left"/>
    </w:pPr>
    <w:rPr>
      <w:rFonts w:ascii="Arial" w:hAnsi="Arial" w:cs="Arial"/>
      <w:i/>
      <w:iCs/>
      <w:sz w:val="13"/>
      <w:szCs w:val="13"/>
    </w:rPr>
  </w:style>
  <w:style w:type="character" w:customStyle="1" w:styleId="220">
    <w:name w:val="Основной текст (22)_"/>
    <w:basedOn w:val="a0"/>
    <w:link w:val="221"/>
    <w:locked/>
    <w:rsid w:val="003B67F9"/>
    <w:rPr>
      <w:rFonts w:ascii="Arial" w:hAnsi="Arial" w:cs="Arial"/>
      <w:sz w:val="12"/>
      <w:szCs w:val="12"/>
      <w:shd w:val="clear" w:color="auto" w:fill="FFFFFF"/>
    </w:rPr>
  </w:style>
  <w:style w:type="paragraph" w:customStyle="1" w:styleId="221">
    <w:name w:val="Основной текст (22)"/>
    <w:basedOn w:val="a"/>
    <w:link w:val="220"/>
    <w:rsid w:val="003B67F9"/>
    <w:pPr>
      <w:shd w:val="clear" w:color="auto" w:fill="FFFFFF"/>
      <w:spacing w:line="240" w:lineRule="atLeast"/>
      <w:jc w:val="left"/>
    </w:pPr>
    <w:rPr>
      <w:rFonts w:ascii="Arial" w:hAnsi="Arial" w:cs="Arial"/>
      <w:sz w:val="12"/>
      <w:szCs w:val="12"/>
    </w:rPr>
  </w:style>
  <w:style w:type="character" w:customStyle="1" w:styleId="270">
    <w:name w:val="Основной текст (27)_"/>
    <w:basedOn w:val="a0"/>
    <w:link w:val="271"/>
    <w:locked/>
    <w:rsid w:val="003B67F9"/>
    <w:rPr>
      <w:i/>
      <w:iCs/>
      <w:noProof/>
      <w:sz w:val="14"/>
      <w:szCs w:val="14"/>
      <w:shd w:val="clear" w:color="auto" w:fill="FFFFFF"/>
    </w:rPr>
  </w:style>
  <w:style w:type="paragraph" w:customStyle="1" w:styleId="271">
    <w:name w:val="Основной текст (27)"/>
    <w:basedOn w:val="a"/>
    <w:link w:val="270"/>
    <w:rsid w:val="003B67F9"/>
    <w:pPr>
      <w:shd w:val="clear" w:color="auto" w:fill="FFFFFF"/>
      <w:spacing w:after="60" w:line="240" w:lineRule="atLeast"/>
    </w:pPr>
    <w:rPr>
      <w:i/>
      <w:iCs/>
      <w:noProof/>
      <w:sz w:val="14"/>
      <w:szCs w:val="14"/>
    </w:rPr>
  </w:style>
  <w:style w:type="character" w:customStyle="1" w:styleId="250">
    <w:name w:val="Основной текст (25)_"/>
    <w:basedOn w:val="a0"/>
    <w:link w:val="251"/>
    <w:locked/>
    <w:rsid w:val="003B67F9"/>
    <w:rPr>
      <w:sz w:val="12"/>
      <w:szCs w:val="12"/>
      <w:shd w:val="clear" w:color="auto" w:fill="FFFFFF"/>
    </w:rPr>
  </w:style>
  <w:style w:type="paragraph" w:customStyle="1" w:styleId="251">
    <w:name w:val="Основной текст (25)"/>
    <w:basedOn w:val="a"/>
    <w:link w:val="250"/>
    <w:rsid w:val="003B67F9"/>
    <w:pPr>
      <w:shd w:val="clear" w:color="auto" w:fill="FFFFFF"/>
      <w:spacing w:line="240" w:lineRule="atLeast"/>
    </w:pPr>
    <w:rPr>
      <w:sz w:val="12"/>
      <w:szCs w:val="12"/>
    </w:rPr>
  </w:style>
  <w:style w:type="character" w:customStyle="1" w:styleId="280">
    <w:name w:val="Основной текст (28)_"/>
    <w:basedOn w:val="a0"/>
    <w:link w:val="281"/>
    <w:locked/>
    <w:rsid w:val="003B67F9"/>
    <w:rPr>
      <w:noProof/>
      <w:sz w:val="12"/>
      <w:szCs w:val="12"/>
      <w:shd w:val="clear" w:color="auto" w:fill="FFFFFF"/>
    </w:rPr>
  </w:style>
  <w:style w:type="paragraph" w:customStyle="1" w:styleId="281">
    <w:name w:val="Основной текст (28)"/>
    <w:basedOn w:val="a"/>
    <w:link w:val="280"/>
    <w:rsid w:val="003B67F9"/>
    <w:pPr>
      <w:shd w:val="clear" w:color="auto" w:fill="FFFFFF"/>
      <w:spacing w:after="60" w:line="240" w:lineRule="atLeast"/>
    </w:pPr>
    <w:rPr>
      <w:noProof/>
      <w:sz w:val="12"/>
      <w:szCs w:val="12"/>
    </w:rPr>
  </w:style>
  <w:style w:type="character" w:customStyle="1" w:styleId="300">
    <w:name w:val="Основной текст (30)_"/>
    <w:basedOn w:val="a0"/>
    <w:link w:val="301"/>
    <w:locked/>
    <w:rsid w:val="003B67F9"/>
    <w:rPr>
      <w:noProof/>
      <w:sz w:val="13"/>
      <w:szCs w:val="13"/>
      <w:shd w:val="clear" w:color="auto" w:fill="FFFFFF"/>
    </w:rPr>
  </w:style>
  <w:style w:type="paragraph" w:customStyle="1" w:styleId="301">
    <w:name w:val="Основной текст (30)"/>
    <w:basedOn w:val="a"/>
    <w:link w:val="300"/>
    <w:rsid w:val="003B67F9"/>
    <w:pPr>
      <w:shd w:val="clear" w:color="auto" w:fill="FFFFFF"/>
      <w:spacing w:after="60" w:line="240" w:lineRule="atLeast"/>
    </w:pPr>
    <w:rPr>
      <w:noProof/>
      <w:sz w:val="13"/>
      <w:szCs w:val="13"/>
    </w:rPr>
  </w:style>
  <w:style w:type="character" w:customStyle="1" w:styleId="240">
    <w:name w:val="Основной текст (24)_"/>
    <w:basedOn w:val="a0"/>
    <w:link w:val="241"/>
    <w:locked/>
    <w:rsid w:val="003B67F9"/>
    <w:rPr>
      <w:sz w:val="10"/>
      <w:szCs w:val="10"/>
      <w:shd w:val="clear" w:color="auto" w:fill="FFFFFF"/>
    </w:rPr>
  </w:style>
  <w:style w:type="paragraph" w:customStyle="1" w:styleId="241">
    <w:name w:val="Основной текст (24)"/>
    <w:basedOn w:val="a"/>
    <w:link w:val="240"/>
    <w:rsid w:val="003B67F9"/>
    <w:pPr>
      <w:shd w:val="clear" w:color="auto" w:fill="FFFFFF"/>
      <w:spacing w:line="240" w:lineRule="atLeast"/>
    </w:pPr>
    <w:rPr>
      <w:sz w:val="10"/>
      <w:szCs w:val="10"/>
    </w:rPr>
  </w:style>
  <w:style w:type="character" w:customStyle="1" w:styleId="212">
    <w:name w:val="Основной текст (21)_"/>
    <w:basedOn w:val="a0"/>
    <w:link w:val="213"/>
    <w:locked/>
    <w:rsid w:val="003B67F9"/>
    <w:rPr>
      <w:sz w:val="17"/>
      <w:szCs w:val="17"/>
      <w:shd w:val="clear" w:color="auto" w:fill="FFFFFF"/>
    </w:rPr>
  </w:style>
  <w:style w:type="paragraph" w:customStyle="1" w:styleId="213">
    <w:name w:val="Основной текст (21)"/>
    <w:basedOn w:val="a"/>
    <w:link w:val="212"/>
    <w:rsid w:val="003B67F9"/>
    <w:pPr>
      <w:shd w:val="clear" w:color="auto" w:fill="FFFFFF"/>
      <w:spacing w:line="240" w:lineRule="atLeast"/>
      <w:jc w:val="left"/>
    </w:pPr>
    <w:rPr>
      <w:sz w:val="17"/>
      <w:szCs w:val="17"/>
    </w:rPr>
  </w:style>
  <w:style w:type="character" w:customStyle="1" w:styleId="290">
    <w:name w:val="Основной текст (29)_"/>
    <w:basedOn w:val="a0"/>
    <w:link w:val="291"/>
    <w:locked/>
    <w:rsid w:val="003B67F9"/>
    <w:rPr>
      <w:i/>
      <w:iCs/>
      <w:noProof/>
      <w:sz w:val="12"/>
      <w:szCs w:val="12"/>
      <w:shd w:val="clear" w:color="auto" w:fill="FFFFFF"/>
    </w:rPr>
  </w:style>
  <w:style w:type="paragraph" w:customStyle="1" w:styleId="291">
    <w:name w:val="Основной текст (29)"/>
    <w:basedOn w:val="a"/>
    <w:link w:val="290"/>
    <w:rsid w:val="003B67F9"/>
    <w:pPr>
      <w:shd w:val="clear" w:color="auto" w:fill="FFFFFF"/>
      <w:spacing w:line="240" w:lineRule="atLeast"/>
    </w:pPr>
    <w:rPr>
      <w:i/>
      <w:iCs/>
      <w:noProof/>
      <w:sz w:val="12"/>
      <w:szCs w:val="12"/>
    </w:rPr>
  </w:style>
  <w:style w:type="character" w:customStyle="1" w:styleId="230">
    <w:name w:val="Основной текст (23)_"/>
    <w:basedOn w:val="a0"/>
    <w:link w:val="231"/>
    <w:locked/>
    <w:rsid w:val="003B67F9"/>
    <w:rPr>
      <w:sz w:val="15"/>
      <w:szCs w:val="15"/>
      <w:shd w:val="clear" w:color="auto" w:fill="FFFFFF"/>
    </w:rPr>
  </w:style>
  <w:style w:type="paragraph" w:customStyle="1" w:styleId="231">
    <w:name w:val="Основной текст (23)"/>
    <w:basedOn w:val="a"/>
    <w:link w:val="230"/>
    <w:rsid w:val="003B67F9"/>
    <w:pPr>
      <w:shd w:val="clear" w:color="auto" w:fill="FFFFFF"/>
      <w:spacing w:line="240" w:lineRule="atLeast"/>
      <w:jc w:val="left"/>
    </w:pPr>
    <w:rPr>
      <w:sz w:val="15"/>
      <w:szCs w:val="15"/>
    </w:rPr>
  </w:style>
  <w:style w:type="character" w:customStyle="1" w:styleId="330">
    <w:name w:val="Основной текст (33)_"/>
    <w:basedOn w:val="a0"/>
    <w:link w:val="331"/>
    <w:locked/>
    <w:rsid w:val="003B67F9"/>
    <w:rPr>
      <w:i/>
      <w:iCs/>
      <w:noProof/>
      <w:sz w:val="14"/>
      <w:szCs w:val="14"/>
      <w:shd w:val="clear" w:color="auto" w:fill="FFFFFF"/>
    </w:rPr>
  </w:style>
  <w:style w:type="paragraph" w:customStyle="1" w:styleId="331">
    <w:name w:val="Основной текст (33)"/>
    <w:basedOn w:val="a"/>
    <w:link w:val="330"/>
    <w:rsid w:val="003B67F9"/>
    <w:pPr>
      <w:shd w:val="clear" w:color="auto" w:fill="FFFFFF"/>
      <w:spacing w:line="240" w:lineRule="atLeast"/>
    </w:pPr>
    <w:rPr>
      <w:i/>
      <w:iCs/>
      <w:noProof/>
      <w:sz w:val="14"/>
      <w:szCs w:val="14"/>
    </w:rPr>
  </w:style>
  <w:style w:type="character" w:customStyle="1" w:styleId="37">
    <w:name w:val="Заголовок №3_"/>
    <w:basedOn w:val="a0"/>
    <w:link w:val="38"/>
    <w:locked/>
    <w:rsid w:val="003B67F9"/>
    <w:rPr>
      <w:rFonts w:ascii="Arial" w:hAnsi="Arial" w:cs="Arial"/>
      <w:b/>
      <w:bCs/>
      <w:sz w:val="36"/>
      <w:szCs w:val="36"/>
      <w:shd w:val="clear" w:color="auto" w:fill="FFFFFF"/>
    </w:rPr>
  </w:style>
  <w:style w:type="paragraph" w:customStyle="1" w:styleId="38">
    <w:name w:val="Заголовок №3"/>
    <w:basedOn w:val="a"/>
    <w:link w:val="37"/>
    <w:rsid w:val="003B67F9"/>
    <w:pPr>
      <w:shd w:val="clear" w:color="auto" w:fill="FFFFFF"/>
      <w:spacing w:after="60" w:line="240" w:lineRule="atLeast"/>
      <w:jc w:val="center"/>
      <w:outlineLvl w:val="2"/>
    </w:pPr>
    <w:rPr>
      <w:rFonts w:ascii="Arial" w:hAnsi="Arial" w:cs="Arial"/>
      <w:b/>
      <w:bCs/>
      <w:sz w:val="36"/>
      <w:szCs w:val="36"/>
    </w:rPr>
  </w:style>
  <w:style w:type="character" w:customStyle="1" w:styleId="39">
    <w:name w:val="Подпись к таблице (3)_"/>
    <w:basedOn w:val="a0"/>
    <w:link w:val="3a"/>
    <w:locked/>
    <w:rsid w:val="003B67F9"/>
    <w:rPr>
      <w:rFonts w:ascii="Arial" w:hAnsi="Arial" w:cs="Arial"/>
      <w:sz w:val="29"/>
      <w:szCs w:val="29"/>
      <w:shd w:val="clear" w:color="auto" w:fill="FFFFFF"/>
    </w:rPr>
  </w:style>
  <w:style w:type="paragraph" w:customStyle="1" w:styleId="3a">
    <w:name w:val="Подпись к таблице (3)"/>
    <w:basedOn w:val="a"/>
    <w:link w:val="39"/>
    <w:rsid w:val="003B67F9"/>
    <w:pPr>
      <w:shd w:val="clear" w:color="auto" w:fill="FFFFFF"/>
      <w:spacing w:line="360" w:lineRule="exact"/>
      <w:jc w:val="center"/>
    </w:pPr>
    <w:rPr>
      <w:rFonts w:ascii="Arial" w:hAnsi="Arial" w:cs="Arial"/>
      <w:sz w:val="29"/>
      <w:szCs w:val="29"/>
    </w:rPr>
  </w:style>
  <w:style w:type="character" w:customStyle="1" w:styleId="420">
    <w:name w:val="Заголовок №4 (2)_"/>
    <w:basedOn w:val="a0"/>
    <w:link w:val="421"/>
    <w:locked/>
    <w:rsid w:val="003B67F9"/>
    <w:rPr>
      <w:rFonts w:ascii="Arial" w:hAnsi="Arial" w:cs="Arial"/>
      <w:i/>
      <w:iCs/>
      <w:shd w:val="clear" w:color="auto" w:fill="FFFFFF"/>
    </w:rPr>
  </w:style>
  <w:style w:type="paragraph" w:customStyle="1" w:styleId="421">
    <w:name w:val="Заголовок №4 (2)"/>
    <w:basedOn w:val="a"/>
    <w:link w:val="420"/>
    <w:rsid w:val="003B67F9"/>
    <w:pPr>
      <w:shd w:val="clear" w:color="auto" w:fill="FFFFFF"/>
      <w:spacing w:after="180" w:line="240" w:lineRule="atLeast"/>
      <w:jc w:val="left"/>
      <w:outlineLvl w:val="3"/>
    </w:pPr>
    <w:rPr>
      <w:rFonts w:ascii="Arial" w:hAnsi="Arial" w:cs="Arial"/>
      <w:i/>
      <w:iCs/>
    </w:rPr>
  </w:style>
  <w:style w:type="character" w:customStyle="1" w:styleId="44">
    <w:name w:val="Заголовок №4_"/>
    <w:basedOn w:val="a0"/>
    <w:link w:val="45"/>
    <w:locked/>
    <w:rsid w:val="003B67F9"/>
    <w:rPr>
      <w:rFonts w:ascii="Arial" w:hAnsi="Arial" w:cs="Arial"/>
      <w:b/>
      <w:bCs/>
      <w:sz w:val="30"/>
      <w:szCs w:val="30"/>
      <w:shd w:val="clear" w:color="auto" w:fill="FFFFFF"/>
    </w:rPr>
  </w:style>
  <w:style w:type="paragraph" w:customStyle="1" w:styleId="45">
    <w:name w:val="Заголовок №4"/>
    <w:basedOn w:val="a"/>
    <w:link w:val="44"/>
    <w:rsid w:val="003B67F9"/>
    <w:pPr>
      <w:shd w:val="clear" w:color="auto" w:fill="FFFFFF"/>
      <w:spacing w:before="180" w:after="180" w:line="240" w:lineRule="atLeast"/>
      <w:jc w:val="left"/>
      <w:outlineLvl w:val="3"/>
    </w:pPr>
    <w:rPr>
      <w:rFonts w:ascii="Arial" w:hAnsi="Arial" w:cs="Arial"/>
      <w:b/>
      <w:bCs/>
      <w:sz w:val="30"/>
      <w:szCs w:val="30"/>
    </w:rPr>
  </w:style>
  <w:style w:type="character" w:customStyle="1" w:styleId="350">
    <w:name w:val="Основной текст (35)_"/>
    <w:basedOn w:val="a0"/>
    <w:link w:val="351"/>
    <w:locked/>
    <w:rsid w:val="003B67F9"/>
    <w:rPr>
      <w:rFonts w:ascii="Arial" w:hAnsi="Arial" w:cs="Arial"/>
      <w:b/>
      <w:bCs/>
      <w:i/>
      <w:iCs/>
      <w:sz w:val="27"/>
      <w:szCs w:val="27"/>
      <w:shd w:val="clear" w:color="auto" w:fill="FFFFFF"/>
    </w:rPr>
  </w:style>
  <w:style w:type="paragraph" w:customStyle="1" w:styleId="351">
    <w:name w:val="Основной текст (35)"/>
    <w:basedOn w:val="a"/>
    <w:link w:val="350"/>
    <w:rsid w:val="003B67F9"/>
    <w:pPr>
      <w:shd w:val="clear" w:color="auto" w:fill="FFFFFF"/>
      <w:spacing w:before="180" w:after="180" w:line="240" w:lineRule="atLeast"/>
      <w:jc w:val="left"/>
    </w:pPr>
    <w:rPr>
      <w:rFonts w:ascii="Arial" w:hAnsi="Arial" w:cs="Arial"/>
      <w:b/>
      <w:bCs/>
      <w:i/>
      <w:iCs/>
      <w:sz w:val="27"/>
      <w:szCs w:val="27"/>
    </w:rPr>
  </w:style>
  <w:style w:type="character" w:customStyle="1" w:styleId="340">
    <w:name w:val="Основной текст (34)_"/>
    <w:basedOn w:val="a0"/>
    <w:link w:val="341"/>
    <w:locked/>
    <w:rsid w:val="003B67F9"/>
    <w:rPr>
      <w:rFonts w:ascii="Arial" w:hAnsi="Arial" w:cs="Arial"/>
      <w:sz w:val="18"/>
      <w:szCs w:val="18"/>
      <w:shd w:val="clear" w:color="auto" w:fill="FFFFFF"/>
    </w:rPr>
  </w:style>
  <w:style w:type="paragraph" w:customStyle="1" w:styleId="341">
    <w:name w:val="Основной текст (34)"/>
    <w:basedOn w:val="a"/>
    <w:link w:val="340"/>
    <w:rsid w:val="003B67F9"/>
    <w:pPr>
      <w:shd w:val="clear" w:color="auto" w:fill="FFFFFF"/>
      <w:spacing w:line="240" w:lineRule="atLeast"/>
      <w:jc w:val="left"/>
    </w:pPr>
    <w:rPr>
      <w:rFonts w:ascii="Arial" w:hAnsi="Arial" w:cs="Arial"/>
      <w:sz w:val="18"/>
      <w:szCs w:val="18"/>
    </w:rPr>
  </w:style>
  <w:style w:type="character" w:customStyle="1" w:styleId="422">
    <w:name w:val="Основной текст (42)_"/>
    <w:basedOn w:val="a0"/>
    <w:link w:val="423"/>
    <w:locked/>
    <w:rsid w:val="003B67F9"/>
    <w:rPr>
      <w:rFonts w:ascii="Arial" w:hAnsi="Arial" w:cs="Arial"/>
      <w:b/>
      <w:bCs/>
      <w:sz w:val="18"/>
      <w:szCs w:val="18"/>
      <w:shd w:val="clear" w:color="auto" w:fill="FFFFFF"/>
    </w:rPr>
  </w:style>
  <w:style w:type="paragraph" w:customStyle="1" w:styleId="423">
    <w:name w:val="Основной текст (42)"/>
    <w:basedOn w:val="a"/>
    <w:link w:val="422"/>
    <w:rsid w:val="003B67F9"/>
    <w:pPr>
      <w:shd w:val="clear" w:color="auto" w:fill="FFFFFF"/>
      <w:spacing w:line="240" w:lineRule="atLeast"/>
      <w:jc w:val="left"/>
    </w:pPr>
    <w:rPr>
      <w:rFonts w:ascii="Arial" w:hAnsi="Arial" w:cs="Arial"/>
      <w:b/>
      <w:bCs/>
      <w:sz w:val="18"/>
      <w:szCs w:val="18"/>
    </w:rPr>
  </w:style>
  <w:style w:type="character" w:customStyle="1" w:styleId="360">
    <w:name w:val="Основной текст (36)_"/>
    <w:basedOn w:val="a0"/>
    <w:link w:val="361"/>
    <w:locked/>
    <w:rsid w:val="003B67F9"/>
    <w:rPr>
      <w:sz w:val="29"/>
      <w:szCs w:val="29"/>
      <w:shd w:val="clear" w:color="auto" w:fill="FFFFFF"/>
    </w:rPr>
  </w:style>
  <w:style w:type="paragraph" w:customStyle="1" w:styleId="361">
    <w:name w:val="Основной текст (36)"/>
    <w:basedOn w:val="a"/>
    <w:link w:val="360"/>
    <w:rsid w:val="003B67F9"/>
    <w:pPr>
      <w:shd w:val="clear" w:color="auto" w:fill="FFFFFF"/>
      <w:spacing w:line="240" w:lineRule="atLeast"/>
      <w:jc w:val="left"/>
    </w:pPr>
    <w:rPr>
      <w:sz w:val="29"/>
      <w:szCs w:val="29"/>
    </w:rPr>
  </w:style>
  <w:style w:type="character" w:customStyle="1" w:styleId="370">
    <w:name w:val="Основной текст (37)_"/>
    <w:basedOn w:val="a0"/>
    <w:link w:val="371"/>
    <w:locked/>
    <w:rsid w:val="003B67F9"/>
    <w:rPr>
      <w:spacing w:val="20"/>
      <w:shd w:val="clear" w:color="auto" w:fill="FFFFFF"/>
    </w:rPr>
  </w:style>
  <w:style w:type="paragraph" w:customStyle="1" w:styleId="371">
    <w:name w:val="Основной текст (37)"/>
    <w:basedOn w:val="a"/>
    <w:link w:val="370"/>
    <w:rsid w:val="003B67F9"/>
    <w:pPr>
      <w:shd w:val="clear" w:color="auto" w:fill="FFFFFF"/>
      <w:spacing w:line="240" w:lineRule="atLeast"/>
      <w:jc w:val="left"/>
    </w:pPr>
    <w:rPr>
      <w:spacing w:val="20"/>
    </w:rPr>
  </w:style>
  <w:style w:type="character" w:customStyle="1" w:styleId="411">
    <w:name w:val="Основной текст (41)_"/>
    <w:basedOn w:val="a0"/>
    <w:link w:val="412"/>
    <w:locked/>
    <w:rsid w:val="003B67F9"/>
    <w:rPr>
      <w:noProof/>
      <w:shd w:val="clear" w:color="auto" w:fill="FFFFFF"/>
    </w:rPr>
  </w:style>
  <w:style w:type="paragraph" w:customStyle="1" w:styleId="412">
    <w:name w:val="Основной текст (41)"/>
    <w:basedOn w:val="a"/>
    <w:link w:val="411"/>
    <w:rsid w:val="003B67F9"/>
    <w:pPr>
      <w:shd w:val="clear" w:color="auto" w:fill="FFFFFF"/>
      <w:spacing w:line="240" w:lineRule="atLeast"/>
      <w:jc w:val="left"/>
    </w:pPr>
    <w:rPr>
      <w:noProof/>
    </w:rPr>
  </w:style>
  <w:style w:type="character" w:customStyle="1" w:styleId="390">
    <w:name w:val="Основной текст (39)_"/>
    <w:basedOn w:val="a0"/>
    <w:link w:val="391"/>
    <w:locked/>
    <w:rsid w:val="003B67F9"/>
    <w:rPr>
      <w:noProof/>
      <w:sz w:val="10"/>
      <w:szCs w:val="10"/>
      <w:shd w:val="clear" w:color="auto" w:fill="FFFFFF"/>
    </w:rPr>
  </w:style>
  <w:style w:type="paragraph" w:customStyle="1" w:styleId="391">
    <w:name w:val="Основной текст (39)"/>
    <w:basedOn w:val="a"/>
    <w:link w:val="390"/>
    <w:rsid w:val="003B67F9"/>
    <w:pPr>
      <w:shd w:val="clear" w:color="auto" w:fill="FFFFFF"/>
      <w:spacing w:line="240" w:lineRule="atLeast"/>
      <w:jc w:val="left"/>
    </w:pPr>
    <w:rPr>
      <w:noProof/>
      <w:sz w:val="10"/>
      <w:szCs w:val="10"/>
    </w:rPr>
  </w:style>
  <w:style w:type="character" w:customStyle="1" w:styleId="400">
    <w:name w:val="Основной текст (40)_"/>
    <w:basedOn w:val="a0"/>
    <w:link w:val="401"/>
    <w:locked/>
    <w:rsid w:val="003B67F9"/>
    <w:rPr>
      <w:noProof/>
      <w:sz w:val="10"/>
      <w:szCs w:val="10"/>
      <w:shd w:val="clear" w:color="auto" w:fill="FFFFFF"/>
    </w:rPr>
  </w:style>
  <w:style w:type="paragraph" w:customStyle="1" w:styleId="401">
    <w:name w:val="Основной текст (40)"/>
    <w:basedOn w:val="a"/>
    <w:link w:val="400"/>
    <w:rsid w:val="003B67F9"/>
    <w:pPr>
      <w:shd w:val="clear" w:color="auto" w:fill="FFFFFF"/>
      <w:spacing w:line="240" w:lineRule="atLeast"/>
      <w:jc w:val="left"/>
    </w:pPr>
    <w:rPr>
      <w:noProof/>
      <w:sz w:val="10"/>
      <w:szCs w:val="10"/>
    </w:rPr>
  </w:style>
  <w:style w:type="character" w:customStyle="1" w:styleId="430">
    <w:name w:val="Основной текст (43)_"/>
    <w:basedOn w:val="a0"/>
    <w:link w:val="431"/>
    <w:locked/>
    <w:rsid w:val="003B67F9"/>
    <w:rPr>
      <w:noProof/>
      <w:sz w:val="11"/>
      <w:szCs w:val="11"/>
      <w:shd w:val="clear" w:color="auto" w:fill="FFFFFF"/>
    </w:rPr>
  </w:style>
  <w:style w:type="paragraph" w:customStyle="1" w:styleId="431">
    <w:name w:val="Основной текст (43)"/>
    <w:basedOn w:val="a"/>
    <w:link w:val="430"/>
    <w:rsid w:val="003B67F9"/>
    <w:pPr>
      <w:shd w:val="clear" w:color="auto" w:fill="FFFFFF"/>
      <w:spacing w:line="240" w:lineRule="atLeast"/>
      <w:jc w:val="left"/>
    </w:pPr>
    <w:rPr>
      <w:noProof/>
      <w:sz w:val="11"/>
      <w:szCs w:val="11"/>
    </w:rPr>
  </w:style>
  <w:style w:type="character" w:customStyle="1" w:styleId="440">
    <w:name w:val="Основной текст (44)_"/>
    <w:basedOn w:val="a0"/>
    <w:link w:val="441"/>
    <w:locked/>
    <w:rsid w:val="003B67F9"/>
    <w:rPr>
      <w:noProof/>
      <w:sz w:val="11"/>
      <w:szCs w:val="11"/>
      <w:shd w:val="clear" w:color="auto" w:fill="FFFFFF"/>
    </w:rPr>
  </w:style>
  <w:style w:type="paragraph" w:customStyle="1" w:styleId="441">
    <w:name w:val="Основной текст (44)"/>
    <w:basedOn w:val="a"/>
    <w:link w:val="440"/>
    <w:rsid w:val="003B67F9"/>
    <w:pPr>
      <w:shd w:val="clear" w:color="auto" w:fill="FFFFFF"/>
      <w:spacing w:line="240" w:lineRule="atLeast"/>
      <w:jc w:val="left"/>
    </w:pPr>
    <w:rPr>
      <w:noProof/>
      <w:sz w:val="11"/>
      <w:szCs w:val="11"/>
    </w:rPr>
  </w:style>
  <w:style w:type="character" w:customStyle="1" w:styleId="380">
    <w:name w:val="Основной текст (38)_"/>
    <w:basedOn w:val="a0"/>
    <w:link w:val="381"/>
    <w:locked/>
    <w:rsid w:val="003B67F9"/>
    <w:rPr>
      <w:noProof/>
      <w:sz w:val="11"/>
      <w:szCs w:val="11"/>
      <w:shd w:val="clear" w:color="auto" w:fill="FFFFFF"/>
    </w:rPr>
  </w:style>
  <w:style w:type="paragraph" w:customStyle="1" w:styleId="381">
    <w:name w:val="Основной текст (38)"/>
    <w:basedOn w:val="a"/>
    <w:link w:val="380"/>
    <w:rsid w:val="003B67F9"/>
    <w:pPr>
      <w:shd w:val="clear" w:color="auto" w:fill="FFFFFF"/>
      <w:spacing w:line="240" w:lineRule="atLeast"/>
      <w:jc w:val="left"/>
    </w:pPr>
    <w:rPr>
      <w:noProof/>
      <w:sz w:val="11"/>
      <w:szCs w:val="11"/>
    </w:rPr>
  </w:style>
  <w:style w:type="character" w:customStyle="1" w:styleId="2a">
    <w:name w:val="Заголовок №2_"/>
    <w:basedOn w:val="a0"/>
    <w:link w:val="2b"/>
    <w:locked/>
    <w:rsid w:val="003B67F9"/>
    <w:rPr>
      <w:rFonts w:ascii="Arial" w:hAnsi="Arial" w:cs="Arial"/>
      <w:b/>
      <w:bCs/>
      <w:sz w:val="36"/>
      <w:szCs w:val="36"/>
      <w:shd w:val="clear" w:color="auto" w:fill="FFFFFF"/>
    </w:rPr>
  </w:style>
  <w:style w:type="paragraph" w:customStyle="1" w:styleId="2b">
    <w:name w:val="Заголовок №2"/>
    <w:basedOn w:val="a"/>
    <w:link w:val="2a"/>
    <w:rsid w:val="003B67F9"/>
    <w:pPr>
      <w:shd w:val="clear" w:color="auto" w:fill="FFFFFF"/>
      <w:spacing w:after="60" w:line="240" w:lineRule="atLeast"/>
      <w:jc w:val="center"/>
      <w:outlineLvl w:val="1"/>
    </w:pPr>
    <w:rPr>
      <w:rFonts w:ascii="Arial" w:hAnsi="Arial" w:cs="Arial"/>
      <w:b/>
      <w:bCs/>
      <w:sz w:val="36"/>
      <w:szCs w:val="36"/>
    </w:rPr>
  </w:style>
  <w:style w:type="character" w:customStyle="1" w:styleId="46">
    <w:name w:val="Основной текст (46)_"/>
    <w:basedOn w:val="a0"/>
    <w:link w:val="460"/>
    <w:locked/>
    <w:rsid w:val="003B67F9"/>
    <w:rPr>
      <w:i/>
      <w:iCs/>
      <w:sz w:val="23"/>
      <w:szCs w:val="23"/>
      <w:shd w:val="clear" w:color="auto" w:fill="FFFFFF"/>
    </w:rPr>
  </w:style>
  <w:style w:type="paragraph" w:customStyle="1" w:styleId="460">
    <w:name w:val="Основной текст (46)"/>
    <w:basedOn w:val="a"/>
    <w:link w:val="46"/>
    <w:rsid w:val="003B67F9"/>
    <w:pPr>
      <w:shd w:val="clear" w:color="auto" w:fill="FFFFFF"/>
      <w:spacing w:line="293" w:lineRule="exact"/>
      <w:jc w:val="left"/>
    </w:pPr>
    <w:rPr>
      <w:i/>
      <w:iCs/>
      <w:sz w:val="23"/>
      <w:szCs w:val="23"/>
    </w:rPr>
  </w:style>
  <w:style w:type="character" w:customStyle="1" w:styleId="47">
    <w:name w:val="Основной текст (47)_"/>
    <w:basedOn w:val="a0"/>
    <w:link w:val="470"/>
    <w:locked/>
    <w:rsid w:val="003B67F9"/>
    <w:rPr>
      <w:noProof/>
      <w:sz w:val="9"/>
      <w:szCs w:val="9"/>
      <w:shd w:val="clear" w:color="auto" w:fill="FFFFFF"/>
    </w:rPr>
  </w:style>
  <w:style w:type="paragraph" w:customStyle="1" w:styleId="470">
    <w:name w:val="Основной текст (47)"/>
    <w:basedOn w:val="a"/>
    <w:link w:val="47"/>
    <w:rsid w:val="003B67F9"/>
    <w:pPr>
      <w:shd w:val="clear" w:color="auto" w:fill="FFFFFF"/>
      <w:spacing w:line="240" w:lineRule="atLeast"/>
      <w:jc w:val="left"/>
    </w:pPr>
    <w:rPr>
      <w:noProof/>
      <w:sz w:val="9"/>
      <w:szCs w:val="9"/>
    </w:rPr>
  </w:style>
  <w:style w:type="character" w:customStyle="1" w:styleId="450">
    <w:name w:val="Основной текст (45)_"/>
    <w:basedOn w:val="a0"/>
    <w:link w:val="451"/>
    <w:locked/>
    <w:rsid w:val="003B67F9"/>
    <w:rPr>
      <w:sz w:val="26"/>
      <w:szCs w:val="26"/>
      <w:shd w:val="clear" w:color="auto" w:fill="FFFFFF"/>
    </w:rPr>
  </w:style>
  <w:style w:type="paragraph" w:customStyle="1" w:styleId="451">
    <w:name w:val="Основной текст (45)"/>
    <w:basedOn w:val="a"/>
    <w:link w:val="450"/>
    <w:rsid w:val="003B67F9"/>
    <w:pPr>
      <w:shd w:val="clear" w:color="auto" w:fill="FFFFFF"/>
      <w:spacing w:line="240" w:lineRule="atLeast"/>
      <w:jc w:val="left"/>
    </w:pPr>
    <w:rPr>
      <w:sz w:val="26"/>
      <w:szCs w:val="26"/>
    </w:rPr>
  </w:style>
  <w:style w:type="character" w:customStyle="1" w:styleId="affe">
    <w:name w:val="Подпись к таблице_"/>
    <w:basedOn w:val="a0"/>
    <w:link w:val="afff"/>
    <w:locked/>
    <w:rsid w:val="003B67F9"/>
    <w:rPr>
      <w:i/>
      <w:iCs/>
      <w:shd w:val="clear" w:color="auto" w:fill="FFFFFF"/>
    </w:rPr>
  </w:style>
  <w:style w:type="paragraph" w:customStyle="1" w:styleId="afff">
    <w:name w:val="Подпись к таблице"/>
    <w:basedOn w:val="a"/>
    <w:link w:val="affe"/>
    <w:rsid w:val="003B67F9"/>
    <w:pPr>
      <w:shd w:val="clear" w:color="auto" w:fill="FFFFFF"/>
      <w:spacing w:line="240" w:lineRule="atLeast"/>
      <w:jc w:val="left"/>
    </w:pPr>
    <w:rPr>
      <w:i/>
      <w:iCs/>
    </w:rPr>
  </w:style>
  <w:style w:type="character" w:customStyle="1" w:styleId="49">
    <w:name w:val="Основной текст (49)_"/>
    <w:basedOn w:val="a0"/>
    <w:link w:val="490"/>
    <w:locked/>
    <w:rsid w:val="003B67F9"/>
    <w:rPr>
      <w:spacing w:val="-10"/>
      <w:szCs w:val="24"/>
      <w:shd w:val="clear" w:color="auto" w:fill="FFFFFF"/>
    </w:rPr>
  </w:style>
  <w:style w:type="paragraph" w:customStyle="1" w:styleId="490">
    <w:name w:val="Основной текст (49)"/>
    <w:basedOn w:val="a"/>
    <w:link w:val="49"/>
    <w:rsid w:val="003B67F9"/>
    <w:pPr>
      <w:shd w:val="clear" w:color="auto" w:fill="FFFFFF"/>
      <w:spacing w:line="240" w:lineRule="atLeast"/>
      <w:jc w:val="right"/>
    </w:pPr>
    <w:rPr>
      <w:spacing w:val="-10"/>
      <w:szCs w:val="24"/>
    </w:rPr>
  </w:style>
  <w:style w:type="character" w:customStyle="1" w:styleId="500">
    <w:name w:val="Основной текст (50)_"/>
    <w:basedOn w:val="a0"/>
    <w:link w:val="501"/>
    <w:locked/>
    <w:rsid w:val="003B67F9"/>
    <w:rPr>
      <w:szCs w:val="24"/>
      <w:shd w:val="clear" w:color="auto" w:fill="FFFFFF"/>
    </w:rPr>
  </w:style>
  <w:style w:type="paragraph" w:customStyle="1" w:styleId="501">
    <w:name w:val="Основной текст (50)"/>
    <w:basedOn w:val="a"/>
    <w:link w:val="500"/>
    <w:rsid w:val="003B67F9"/>
    <w:pPr>
      <w:shd w:val="clear" w:color="auto" w:fill="FFFFFF"/>
      <w:spacing w:line="240" w:lineRule="atLeast"/>
      <w:jc w:val="right"/>
    </w:pPr>
    <w:rPr>
      <w:szCs w:val="24"/>
    </w:rPr>
  </w:style>
  <w:style w:type="character" w:customStyle="1" w:styleId="510">
    <w:name w:val="Основной текст (51)_"/>
    <w:basedOn w:val="a0"/>
    <w:link w:val="511"/>
    <w:locked/>
    <w:rsid w:val="003B67F9"/>
    <w:rPr>
      <w:rFonts w:ascii="Arial" w:hAnsi="Arial" w:cs="Arial"/>
      <w:sz w:val="13"/>
      <w:szCs w:val="13"/>
      <w:shd w:val="clear" w:color="auto" w:fill="FFFFFF"/>
    </w:rPr>
  </w:style>
  <w:style w:type="paragraph" w:customStyle="1" w:styleId="511">
    <w:name w:val="Основной текст (51)"/>
    <w:basedOn w:val="a"/>
    <w:link w:val="510"/>
    <w:rsid w:val="003B67F9"/>
    <w:pPr>
      <w:shd w:val="clear" w:color="auto" w:fill="FFFFFF"/>
      <w:spacing w:line="240" w:lineRule="atLeast"/>
      <w:jc w:val="left"/>
    </w:pPr>
    <w:rPr>
      <w:rFonts w:ascii="Arial" w:hAnsi="Arial" w:cs="Arial"/>
      <w:sz w:val="13"/>
      <w:szCs w:val="13"/>
    </w:rPr>
  </w:style>
  <w:style w:type="character" w:customStyle="1" w:styleId="520">
    <w:name w:val="Основной текст (52)_"/>
    <w:basedOn w:val="a0"/>
    <w:link w:val="521"/>
    <w:locked/>
    <w:rsid w:val="003B67F9"/>
    <w:rPr>
      <w:sz w:val="13"/>
      <w:szCs w:val="13"/>
      <w:shd w:val="clear" w:color="auto" w:fill="FFFFFF"/>
    </w:rPr>
  </w:style>
  <w:style w:type="paragraph" w:customStyle="1" w:styleId="521">
    <w:name w:val="Основной текст (52)"/>
    <w:basedOn w:val="a"/>
    <w:link w:val="520"/>
    <w:rsid w:val="003B67F9"/>
    <w:pPr>
      <w:shd w:val="clear" w:color="auto" w:fill="FFFFFF"/>
      <w:spacing w:line="240" w:lineRule="atLeast"/>
    </w:pPr>
    <w:rPr>
      <w:sz w:val="13"/>
      <w:szCs w:val="13"/>
    </w:rPr>
  </w:style>
  <w:style w:type="character" w:customStyle="1" w:styleId="530">
    <w:name w:val="Основной текст (53)_"/>
    <w:basedOn w:val="a0"/>
    <w:link w:val="531"/>
    <w:locked/>
    <w:rsid w:val="003B67F9"/>
    <w:rPr>
      <w:rFonts w:ascii="Arial" w:hAnsi="Arial" w:cs="Arial"/>
      <w:noProof/>
      <w:sz w:val="11"/>
      <w:szCs w:val="11"/>
      <w:shd w:val="clear" w:color="auto" w:fill="FFFFFF"/>
    </w:rPr>
  </w:style>
  <w:style w:type="paragraph" w:customStyle="1" w:styleId="531">
    <w:name w:val="Основной текст (53)"/>
    <w:basedOn w:val="a"/>
    <w:link w:val="530"/>
    <w:rsid w:val="003B67F9"/>
    <w:pPr>
      <w:shd w:val="clear" w:color="auto" w:fill="FFFFFF"/>
      <w:spacing w:line="240" w:lineRule="atLeast"/>
    </w:pPr>
    <w:rPr>
      <w:rFonts w:ascii="Arial" w:hAnsi="Arial" w:cs="Arial"/>
      <w:noProof/>
      <w:sz w:val="11"/>
      <w:szCs w:val="11"/>
    </w:rPr>
  </w:style>
  <w:style w:type="character" w:customStyle="1" w:styleId="54">
    <w:name w:val="Основной текст (54)_"/>
    <w:basedOn w:val="a0"/>
    <w:link w:val="540"/>
    <w:locked/>
    <w:rsid w:val="003B67F9"/>
    <w:rPr>
      <w:noProof/>
      <w:sz w:val="12"/>
      <w:szCs w:val="12"/>
      <w:shd w:val="clear" w:color="auto" w:fill="FFFFFF"/>
    </w:rPr>
  </w:style>
  <w:style w:type="paragraph" w:customStyle="1" w:styleId="540">
    <w:name w:val="Основной текст (54)"/>
    <w:basedOn w:val="a"/>
    <w:link w:val="54"/>
    <w:rsid w:val="003B67F9"/>
    <w:pPr>
      <w:shd w:val="clear" w:color="auto" w:fill="FFFFFF"/>
      <w:spacing w:line="240" w:lineRule="atLeast"/>
    </w:pPr>
    <w:rPr>
      <w:noProof/>
      <w:sz w:val="12"/>
      <w:szCs w:val="12"/>
    </w:rPr>
  </w:style>
  <w:style w:type="character" w:customStyle="1" w:styleId="55">
    <w:name w:val="Основной текст (55)_"/>
    <w:basedOn w:val="a0"/>
    <w:link w:val="550"/>
    <w:locked/>
    <w:rsid w:val="003B67F9"/>
    <w:rPr>
      <w:noProof/>
      <w:sz w:val="11"/>
      <w:szCs w:val="11"/>
      <w:shd w:val="clear" w:color="auto" w:fill="FFFFFF"/>
    </w:rPr>
  </w:style>
  <w:style w:type="paragraph" w:customStyle="1" w:styleId="550">
    <w:name w:val="Основной текст (55)"/>
    <w:basedOn w:val="a"/>
    <w:link w:val="55"/>
    <w:rsid w:val="003B67F9"/>
    <w:pPr>
      <w:shd w:val="clear" w:color="auto" w:fill="FFFFFF"/>
      <w:spacing w:line="240" w:lineRule="atLeast"/>
    </w:pPr>
    <w:rPr>
      <w:noProof/>
      <w:sz w:val="11"/>
      <w:szCs w:val="11"/>
    </w:rPr>
  </w:style>
  <w:style w:type="character" w:customStyle="1" w:styleId="56">
    <w:name w:val="Основной текст (56)_"/>
    <w:basedOn w:val="a0"/>
    <w:link w:val="560"/>
    <w:locked/>
    <w:rsid w:val="003B67F9"/>
    <w:rPr>
      <w:i/>
      <w:iCs/>
      <w:noProof/>
      <w:sz w:val="13"/>
      <w:szCs w:val="13"/>
      <w:shd w:val="clear" w:color="auto" w:fill="FFFFFF"/>
    </w:rPr>
  </w:style>
  <w:style w:type="paragraph" w:customStyle="1" w:styleId="560">
    <w:name w:val="Основной текст (56)"/>
    <w:basedOn w:val="a"/>
    <w:link w:val="56"/>
    <w:rsid w:val="003B67F9"/>
    <w:pPr>
      <w:shd w:val="clear" w:color="auto" w:fill="FFFFFF"/>
      <w:spacing w:line="240" w:lineRule="atLeast"/>
    </w:pPr>
    <w:rPr>
      <w:i/>
      <w:iCs/>
      <w:noProof/>
      <w:sz w:val="13"/>
      <w:szCs w:val="13"/>
    </w:rPr>
  </w:style>
  <w:style w:type="character" w:customStyle="1" w:styleId="58">
    <w:name w:val="Основной текст (58)_"/>
    <w:basedOn w:val="a0"/>
    <w:link w:val="580"/>
    <w:locked/>
    <w:rsid w:val="003B67F9"/>
    <w:rPr>
      <w:noProof/>
      <w:sz w:val="13"/>
      <w:szCs w:val="13"/>
      <w:shd w:val="clear" w:color="auto" w:fill="FFFFFF"/>
    </w:rPr>
  </w:style>
  <w:style w:type="paragraph" w:customStyle="1" w:styleId="580">
    <w:name w:val="Основной текст (58)"/>
    <w:basedOn w:val="a"/>
    <w:link w:val="58"/>
    <w:rsid w:val="003B67F9"/>
    <w:pPr>
      <w:shd w:val="clear" w:color="auto" w:fill="FFFFFF"/>
      <w:spacing w:line="240" w:lineRule="atLeast"/>
      <w:jc w:val="left"/>
    </w:pPr>
    <w:rPr>
      <w:noProof/>
      <w:sz w:val="13"/>
      <w:szCs w:val="13"/>
    </w:rPr>
  </w:style>
  <w:style w:type="character" w:customStyle="1" w:styleId="57">
    <w:name w:val="Основной текст (57)_"/>
    <w:basedOn w:val="a0"/>
    <w:link w:val="570"/>
    <w:locked/>
    <w:rsid w:val="003B67F9"/>
    <w:rPr>
      <w:shd w:val="clear" w:color="auto" w:fill="FFFFFF"/>
    </w:rPr>
  </w:style>
  <w:style w:type="paragraph" w:customStyle="1" w:styleId="570">
    <w:name w:val="Основной текст (57)"/>
    <w:basedOn w:val="a"/>
    <w:link w:val="57"/>
    <w:rsid w:val="003B67F9"/>
    <w:pPr>
      <w:shd w:val="clear" w:color="auto" w:fill="FFFFFF"/>
      <w:spacing w:before="120" w:line="240" w:lineRule="atLeast"/>
      <w:jc w:val="left"/>
    </w:pPr>
  </w:style>
  <w:style w:type="character" w:customStyle="1" w:styleId="64">
    <w:name w:val="Основной текст (64)_"/>
    <w:basedOn w:val="a0"/>
    <w:link w:val="640"/>
    <w:locked/>
    <w:rsid w:val="003B67F9"/>
    <w:rPr>
      <w:rFonts w:ascii="Arial" w:hAnsi="Arial" w:cs="Arial"/>
      <w:i/>
      <w:iCs/>
      <w:sz w:val="23"/>
      <w:szCs w:val="23"/>
      <w:shd w:val="clear" w:color="auto" w:fill="FFFFFF"/>
    </w:rPr>
  </w:style>
  <w:style w:type="paragraph" w:customStyle="1" w:styleId="640">
    <w:name w:val="Основной текст (64)"/>
    <w:basedOn w:val="a"/>
    <w:link w:val="64"/>
    <w:rsid w:val="003B67F9"/>
    <w:pPr>
      <w:shd w:val="clear" w:color="auto" w:fill="FFFFFF"/>
      <w:spacing w:line="384" w:lineRule="exact"/>
      <w:jc w:val="center"/>
    </w:pPr>
    <w:rPr>
      <w:rFonts w:ascii="Arial" w:hAnsi="Arial" w:cs="Arial"/>
      <w:i/>
      <w:iCs/>
      <w:sz w:val="23"/>
      <w:szCs w:val="23"/>
    </w:rPr>
  </w:style>
  <w:style w:type="character" w:customStyle="1" w:styleId="59">
    <w:name w:val="Основной текст (59)_"/>
    <w:basedOn w:val="a0"/>
    <w:link w:val="590"/>
    <w:locked/>
    <w:rsid w:val="003B67F9"/>
    <w:rPr>
      <w:i/>
      <w:iCs/>
      <w:noProof/>
      <w:sz w:val="14"/>
      <w:szCs w:val="14"/>
      <w:shd w:val="clear" w:color="auto" w:fill="FFFFFF"/>
    </w:rPr>
  </w:style>
  <w:style w:type="paragraph" w:customStyle="1" w:styleId="590">
    <w:name w:val="Основной текст (59)"/>
    <w:basedOn w:val="a"/>
    <w:link w:val="59"/>
    <w:rsid w:val="003B67F9"/>
    <w:pPr>
      <w:shd w:val="clear" w:color="auto" w:fill="FFFFFF"/>
      <w:spacing w:line="240" w:lineRule="atLeast"/>
    </w:pPr>
    <w:rPr>
      <w:i/>
      <w:iCs/>
      <w:noProof/>
      <w:sz w:val="14"/>
      <w:szCs w:val="14"/>
    </w:rPr>
  </w:style>
  <w:style w:type="character" w:customStyle="1" w:styleId="620">
    <w:name w:val="Основной текст (62)_"/>
    <w:basedOn w:val="a0"/>
    <w:link w:val="621"/>
    <w:locked/>
    <w:rsid w:val="003B67F9"/>
    <w:rPr>
      <w:i/>
      <w:iCs/>
      <w:noProof/>
      <w:sz w:val="14"/>
      <w:szCs w:val="14"/>
      <w:shd w:val="clear" w:color="auto" w:fill="FFFFFF"/>
    </w:rPr>
  </w:style>
  <w:style w:type="paragraph" w:customStyle="1" w:styleId="621">
    <w:name w:val="Основной текст (62)"/>
    <w:basedOn w:val="a"/>
    <w:link w:val="620"/>
    <w:rsid w:val="003B67F9"/>
    <w:pPr>
      <w:shd w:val="clear" w:color="auto" w:fill="FFFFFF"/>
      <w:spacing w:line="240" w:lineRule="atLeast"/>
    </w:pPr>
    <w:rPr>
      <w:i/>
      <w:iCs/>
      <w:noProof/>
      <w:sz w:val="14"/>
      <w:szCs w:val="14"/>
    </w:rPr>
  </w:style>
  <w:style w:type="character" w:customStyle="1" w:styleId="611">
    <w:name w:val="Основной текст (61)_"/>
    <w:basedOn w:val="a0"/>
    <w:link w:val="612"/>
    <w:locked/>
    <w:rsid w:val="003B67F9"/>
    <w:rPr>
      <w:noProof/>
      <w:sz w:val="14"/>
      <w:szCs w:val="14"/>
      <w:shd w:val="clear" w:color="auto" w:fill="FFFFFF"/>
    </w:rPr>
  </w:style>
  <w:style w:type="paragraph" w:customStyle="1" w:styleId="612">
    <w:name w:val="Основной текст (61)"/>
    <w:basedOn w:val="a"/>
    <w:link w:val="611"/>
    <w:rsid w:val="003B67F9"/>
    <w:pPr>
      <w:shd w:val="clear" w:color="auto" w:fill="FFFFFF"/>
      <w:spacing w:line="240" w:lineRule="atLeast"/>
      <w:jc w:val="left"/>
    </w:pPr>
    <w:rPr>
      <w:noProof/>
      <w:sz w:val="14"/>
      <w:szCs w:val="14"/>
    </w:rPr>
  </w:style>
  <w:style w:type="character" w:customStyle="1" w:styleId="600">
    <w:name w:val="Основной текст (60)_"/>
    <w:basedOn w:val="a0"/>
    <w:link w:val="601"/>
    <w:locked/>
    <w:rsid w:val="003B67F9"/>
    <w:rPr>
      <w:rFonts w:ascii="Arial" w:hAnsi="Arial" w:cs="Arial"/>
      <w:noProof/>
      <w:sz w:val="13"/>
      <w:szCs w:val="13"/>
      <w:shd w:val="clear" w:color="auto" w:fill="FFFFFF"/>
    </w:rPr>
  </w:style>
  <w:style w:type="paragraph" w:customStyle="1" w:styleId="601">
    <w:name w:val="Основной текст (60)"/>
    <w:basedOn w:val="a"/>
    <w:link w:val="600"/>
    <w:rsid w:val="003B67F9"/>
    <w:pPr>
      <w:shd w:val="clear" w:color="auto" w:fill="FFFFFF"/>
      <w:spacing w:line="240" w:lineRule="atLeast"/>
      <w:jc w:val="left"/>
    </w:pPr>
    <w:rPr>
      <w:rFonts w:ascii="Arial" w:hAnsi="Arial" w:cs="Arial"/>
      <w:noProof/>
      <w:sz w:val="13"/>
      <w:szCs w:val="13"/>
    </w:rPr>
  </w:style>
  <w:style w:type="character" w:customStyle="1" w:styleId="63">
    <w:name w:val="Основной текст (63)_"/>
    <w:basedOn w:val="a0"/>
    <w:link w:val="630"/>
    <w:locked/>
    <w:rsid w:val="003B67F9"/>
    <w:rPr>
      <w:i/>
      <w:iCs/>
      <w:sz w:val="18"/>
      <w:szCs w:val="18"/>
      <w:shd w:val="clear" w:color="auto" w:fill="FFFFFF"/>
    </w:rPr>
  </w:style>
  <w:style w:type="paragraph" w:customStyle="1" w:styleId="630">
    <w:name w:val="Основной текст (63)"/>
    <w:basedOn w:val="a"/>
    <w:link w:val="63"/>
    <w:rsid w:val="003B67F9"/>
    <w:pPr>
      <w:shd w:val="clear" w:color="auto" w:fill="FFFFFF"/>
      <w:spacing w:line="240" w:lineRule="atLeast"/>
    </w:pPr>
    <w:rPr>
      <w:i/>
      <w:iCs/>
      <w:sz w:val="18"/>
      <w:szCs w:val="18"/>
    </w:rPr>
  </w:style>
  <w:style w:type="paragraph" w:customStyle="1" w:styleId="afff0">
    <w:name w:val="a"/>
    <w:basedOn w:val="a"/>
    <w:rsid w:val="003B67F9"/>
    <w:pPr>
      <w:spacing w:before="100" w:beforeAutospacing="1" w:after="100" w:afterAutospacing="1" w:line="240" w:lineRule="auto"/>
      <w:jc w:val="left"/>
    </w:pPr>
    <w:rPr>
      <w:rFonts w:eastAsia="Times New Roman"/>
      <w:sz w:val="24"/>
      <w:szCs w:val="24"/>
      <w:lang w:val="ru-RU" w:eastAsia="ru-RU"/>
    </w:rPr>
  </w:style>
  <w:style w:type="character" w:customStyle="1" w:styleId="ti">
    <w:name w:val="ti"/>
    <w:basedOn w:val="a0"/>
    <w:rsid w:val="003B67F9"/>
  </w:style>
  <w:style w:type="character" w:customStyle="1" w:styleId="hps">
    <w:name w:val="hps"/>
    <w:basedOn w:val="a0"/>
    <w:rsid w:val="003B67F9"/>
  </w:style>
  <w:style w:type="character" w:customStyle="1" w:styleId="s0">
    <w:name w:val="s0"/>
    <w:rsid w:val="003B67F9"/>
    <w:rPr>
      <w:rFonts w:ascii="Times New Roman" w:hAnsi="Times New Roman" w:cs="Times New Roman" w:hint="default"/>
      <w:strike w:val="0"/>
      <w:dstrike w:val="0"/>
      <w:color w:val="000000"/>
      <w:sz w:val="20"/>
      <w:szCs w:val="20"/>
      <w:u w:val="none"/>
      <w:effect w:val="none"/>
    </w:rPr>
  </w:style>
  <w:style w:type="character" w:customStyle="1" w:styleId="FontStyle34">
    <w:name w:val="Font Style34"/>
    <w:basedOn w:val="a0"/>
    <w:rsid w:val="003B67F9"/>
    <w:rPr>
      <w:rFonts w:ascii="Times New Roman" w:hAnsi="Times New Roman" w:cs="Times New Roman" w:hint="default"/>
      <w:sz w:val="18"/>
      <w:szCs w:val="18"/>
    </w:rPr>
  </w:style>
  <w:style w:type="character" w:customStyle="1" w:styleId="4a">
    <w:name w:val="Знак Знак4"/>
    <w:basedOn w:val="a0"/>
    <w:rsid w:val="003B67F9"/>
    <w:rPr>
      <w:sz w:val="24"/>
      <w:szCs w:val="24"/>
      <w:lang w:val="uk-UA" w:eastAsia="ru-RU" w:bidi="ar-SA"/>
    </w:rPr>
  </w:style>
  <w:style w:type="character" w:customStyle="1" w:styleId="1a">
    <w:name w:val="Название1"/>
    <w:basedOn w:val="a0"/>
    <w:rsid w:val="003B67F9"/>
    <w:rPr>
      <w:b/>
      <w:bCs/>
      <w:color w:val="6683AA"/>
      <w:sz w:val="26"/>
      <w:szCs w:val="26"/>
    </w:rPr>
  </w:style>
  <w:style w:type="character" w:customStyle="1" w:styleId="longtext">
    <w:name w:val="long_text"/>
    <w:basedOn w:val="a0"/>
    <w:rsid w:val="003B67F9"/>
  </w:style>
  <w:style w:type="character" w:customStyle="1" w:styleId="apple-converted-space">
    <w:name w:val="apple-converted-space"/>
    <w:rsid w:val="003B67F9"/>
  </w:style>
  <w:style w:type="character" w:customStyle="1" w:styleId="132">
    <w:name w:val="Знак Знак13"/>
    <w:basedOn w:val="a0"/>
    <w:rsid w:val="003B67F9"/>
    <w:rPr>
      <w:rFonts w:ascii="Times New Roman" w:eastAsia="Times New Roman" w:hAnsi="Times New Roman" w:cs="Times New Roman" w:hint="default"/>
      <w:b/>
      <w:bCs w:val="0"/>
      <w:sz w:val="24"/>
      <w:szCs w:val="20"/>
      <w:lang w:val="uk-UA" w:eastAsia="ru-RU"/>
    </w:rPr>
  </w:style>
  <w:style w:type="character" w:customStyle="1" w:styleId="font-10pt-ar-left">
    <w:name w:val="font-10pt-ar-left"/>
    <w:basedOn w:val="a0"/>
    <w:rsid w:val="003B67F9"/>
  </w:style>
  <w:style w:type="character" w:customStyle="1" w:styleId="FontStyle137">
    <w:name w:val="Font Style137"/>
    <w:basedOn w:val="a0"/>
    <w:rsid w:val="003B67F9"/>
    <w:rPr>
      <w:rFonts w:ascii="Times New Roman" w:hAnsi="Times New Roman" w:cs="Times New Roman" w:hint="default"/>
      <w:sz w:val="26"/>
      <w:szCs w:val="26"/>
    </w:rPr>
  </w:style>
  <w:style w:type="character" w:customStyle="1" w:styleId="FontStyle43">
    <w:name w:val="Font Style43"/>
    <w:basedOn w:val="a0"/>
    <w:rsid w:val="003B67F9"/>
    <w:rPr>
      <w:rFonts w:ascii="Times New Roman" w:hAnsi="Times New Roman" w:cs="Times New Roman" w:hint="default"/>
      <w:b/>
      <w:bCs/>
      <w:sz w:val="20"/>
      <w:szCs w:val="20"/>
    </w:rPr>
  </w:style>
  <w:style w:type="character" w:customStyle="1" w:styleId="2pt1">
    <w:name w:val="Основной текст + Интервал 2 pt1"/>
    <w:basedOn w:val="a0"/>
    <w:rsid w:val="003B67F9"/>
    <w:rPr>
      <w:rFonts w:ascii="Times New Roman" w:hAnsi="Times New Roman" w:cs="Times New Roman" w:hint="default"/>
      <w:spacing w:val="40"/>
      <w:sz w:val="18"/>
      <w:szCs w:val="18"/>
    </w:rPr>
  </w:style>
  <w:style w:type="character" w:customStyle="1" w:styleId="352">
    <w:name w:val="Основной текст (3) + 5"/>
    <w:aliases w:val="5 pt6,Основной текст (34) + 12"/>
    <w:basedOn w:val="36"/>
    <w:rsid w:val="003B67F9"/>
    <w:rPr>
      <w:noProof/>
      <w:sz w:val="11"/>
      <w:szCs w:val="11"/>
      <w:shd w:val="clear" w:color="auto" w:fill="FFFFFF"/>
    </w:rPr>
  </w:style>
  <w:style w:type="character" w:customStyle="1" w:styleId="longtext1">
    <w:name w:val="long_text1"/>
    <w:basedOn w:val="a0"/>
    <w:rsid w:val="003B67F9"/>
    <w:rPr>
      <w:sz w:val="22"/>
      <w:szCs w:val="22"/>
    </w:rPr>
  </w:style>
  <w:style w:type="character" w:customStyle="1" w:styleId="1b">
    <w:name w:val="Знак Знак1"/>
    <w:basedOn w:val="a0"/>
    <w:rsid w:val="003B67F9"/>
    <w:rPr>
      <w:rFonts w:ascii="Courier New" w:hAnsi="Courier New" w:cs="Courier New" w:hint="default"/>
      <w:lang w:val="uk-UA" w:eastAsia="ru-RU" w:bidi="ar-SA"/>
    </w:rPr>
  </w:style>
  <w:style w:type="character" w:customStyle="1" w:styleId="fontstyle11">
    <w:name w:val="fontstyle11"/>
    <w:basedOn w:val="a0"/>
    <w:rsid w:val="003B67F9"/>
  </w:style>
  <w:style w:type="character" w:customStyle="1" w:styleId="2c">
    <w:name w:val="Основной текст (2) + Не полужирный"/>
    <w:basedOn w:val="26"/>
    <w:rsid w:val="003B67F9"/>
    <w:rPr>
      <w:b/>
      <w:bCs/>
      <w:sz w:val="26"/>
      <w:szCs w:val="26"/>
      <w:shd w:val="clear" w:color="auto" w:fill="FFFFFF"/>
    </w:rPr>
  </w:style>
  <w:style w:type="character" w:customStyle="1" w:styleId="103">
    <w:name w:val="Колонтитул + 10"/>
    <w:aliases w:val="5 pt"/>
    <w:basedOn w:val="affc"/>
    <w:rsid w:val="003B67F9"/>
    <w:rPr>
      <w:spacing w:val="0"/>
      <w:sz w:val="21"/>
      <w:szCs w:val="21"/>
      <w:shd w:val="clear" w:color="auto" w:fill="FFFFFF"/>
      <w:lang w:val="ru-RU" w:eastAsia="ru-RU"/>
    </w:rPr>
  </w:style>
  <w:style w:type="character" w:customStyle="1" w:styleId="afff1">
    <w:name w:val="Основной текст_"/>
    <w:basedOn w:val="a0"/>
    <w:rsid w:val="003B67F9"/>
    <w:rPr>
      <w:sz w:val="26"/>
      <w:szCs w:val="26"/>
      <w:lang w:bidi="ar-SA"/>
    </w:rPr>
  </w:style>
  <w:style w:type="character" w:customStyle="1" w:styleId="Arial">
    <w:name w:val="Основной текст + Arial"/>
    <w:aliases w:val="11 pt,Курсив"/>
    <w:basedOn w:val="afff1"/>
    <w:rsid w:val="003B67F9"/>
    <w:rPr>
      <w:rFonts w:ascii="Arial" w:hAnsi="Arial" w:cs="Arial" w:hint="default"/>
      <w:i/>
      <w:iCs/>
      <w:sz w:val="22"/>
      <w:szCs w:val="22"/>
      <w:lang w:val="ru-RU" w:eastAsia="ru-RU" w:bidi="ar-SA"/>
    </w:rPr>
  </w:style>
  <w:style w:type="character" w:customStyle="1" w:styleId="afff2">
    <w:name w:val="Основной текст + Полужирный"/>
    <w:basedOn w:val="afff1"/>
    <w:rsid w:val="003B67F9"/>
    <w:rPr>
      <w:b/>
      <w:bCs/>
      <w:noProof/>
      <w:sz w:val="26"/>
      <w:szCs w:val="26"/>
      <w:lang w:bidi="ar-SA"/>
    </w:rPr>
  </w:style>
  <w:style w:type="character" w:customStyle="1" w:styleId="92">
    <w:name w:val="Основной текст + Полужирный9"/>
    <w:basedOn w:val="afff1"/>
    <w:rsid w:val="003B67F9"/>
    <w:rPr>
      <w:b/>
      <w:bCs/>
      <w:sz w:val="26"/>
      <w:szCs w:val="26"/>
      <w:u w:val="single"/>
      <w:lang w:bidi="ar-SA"/>
    </w:rPr>
  </w:style>
  <w:style w:type="character" w:customStyle="1" w:styleId="82">
    <w:name w:val="Основной текст + Полужирный8"/>
    <w:basedOn w:val="afff1"/>
    <w:rsid w:val="003B67F9"/>
    <w:rPr>
      <w:b/>
      <w:bCs/>
      <w:sz w:val="26"/>
      <w:szCs w:val="26"/>
      <w:lang w:bidi="ar-SA"/>
    </w:rPr>
  </w:style>
  <w:style w:type="character" w:customStyle="1" w:styleId="73">
    <w:name w:val="Основной текст + Полужирный7"/>
    <w:basedOn w:val="afff1"/>
    <w:rsid w:val="003B67F9"/>
    <w:rPr>
      <w:b/>
      <w:bCs/>
      <w:sz w:val="26"/>
      <w:szCs w:val="26"/>
      <w:u w:val="single"/>
      <w:lang w:bidi="ar-SA"/>
    </w:rPr>
  </w:style>
  <w:style w:type="character" w:customStyle="1" w:styleId="1pt">
    <w:name w:val="Основной текст + Интервал 1 pt"/>
    <w:basedOn w:val="afff1"/>
    <w:rsid w:val="003B67F9"/>
    <w:rPr>
      <w:spacing w:val="30"/>
      <w:sz w:val="26"/>
      <w:szCs w:val="26"/>
      <w:lang w:val="ru-RU" w:eastAsia="ru-RU" w:bidi="ar-SA"/>
    </w:rPr>
  </w:style>
  <w:style w:type="character" w:customStyle="1" w:styleId="65">
    <w:name w:val="Основной текст + Полужирный6"/>
    <w:basedOn w:val="afff1"/>
    <w:rsid w:val="003B67F9"/>
    <w:rPr>
      <w:b/>
      <w:bCs/>
      <w:noProof/>
      <w:sz w:val="26"/>
      <w:szCs w:val="26"/>
      <w:lang w:bidi="ar-SA"/>
    </w:rPr>
  </w:style>
  <w:style w:type="character" w:customStyle="1" w:styleId="5a">
    <w:name w:val="Основной текст + Полужирный5"/>
    <w:basedOn w:val="afff1"/>
    <w:rsid w:val="003B67F9"/>
    <w:rPr>
      <w:b/>
      <w:bCs/>
      <w:sz w:val="26"/>
      <w:szCs w:val="26"/>
      <w:u w:val="single"/>
      <w:lang w:bidi="ar-SA"/>
    </w:rPr>
  </w:style>
  <w:style w:type="character" w:customStyle="1" w:styleId="3pt">
    <w:name w:val="Основной текст + Интервал 3 pt"/>
    <w:basedOn w:val="afff1"/>
    <w:rsid w:val="003B67F9"/>
    <w:rPr>
      <w:spacing w:val="70"/>
      <w:sz w:val="26"/>
      <w:szCs w:val="26"/>
      <w:lang w:bidi="ar-SA"/>
    </w:rPr>
  </w:style>
  <w:style w:type="character" w:customStyle="1" w:styleId="3b">
    <w:name w:val="Основной текст (3) + Не полужирный"/>
    <w:basedOn w:val="36"/>
    <w:rsid w:val="003B67F9"/>
    <w:rPr>
      <w:b/>
      <w:bCs/>
      <w:sz w:val="26"/>
      <w:szCs w:val="26"/>
      <w:shd w:val="clear" w:color="auto" w:fill="FFFFFF"/>
    </w:rPr>
  </w:style>
  <w:style w:type="character" w:customStyle="1" w:styleId="3c">
    <w:name w:val="Основной текст (3)"/>
    <w:basedOn w:val="36"/>
    <w:rsid w:val="003B67F9"/>
    <w:rPr>
      <w:b/>
      <w:bCs/>
      <w:sz w:val="26"/>
      <w:szCs w:val="26"/>
      <w:u w:val="single"/>
      <w:shd w:val="clear" w:color="auto" w:fill="FFFFFF"/>
    </w:rPr>
  </w:style>
  <w:style w:type="character" w:customStyle="1" w:styleId="4b">
    <w:name w:val="Основной текст + Полужирный4"/>
    <w:basedOn w:val="afff1"/>
    <w:rsid w:val="003B67F9"/>
    <w:rPr>
      <w:b/>
      <w:bCs/>
      <w:noProof/>
      <w:sz w:val="26"/>
      <w:szCs w:val="26"/>
      <w:lang w:bidi="ar-SA"/>
    </w:rPr>
  </w:style>
  <w:style w:type="character" w:customStyle="1" w:styleId="3d">
    <w:name w:val="Основной текст + Полужирный3"/>
    <w:basedOn w:val="afff1"/>
    <w:rsid w:val="003B67F9"/>
    <w:rPr>
      <w:b/>
      <w:bCs/>
      <w:sz w:val="26"/>
      <w:szCs w:val="26"/>
      <w:u w:val="single"/>
      <w:lang w:bidi="ar-SA"/>
    </w:rPr>
  </w:style>
  <w:style w:type="character" w:customStyle="1" w:styleId="1pt1">
    <w:name w:val="Основной текст + Интервал 1 pt1"/>
    <w:basedOn w:val="afff1"/>
    <w:rsid w:val="003B67F9"/>
    <w:rPr>
      <w:spacing w:val="30"/>
      <w:sz w:val="26"/>
      <w:szCs w:val="26"/>
      <w:lang w:val="ru-RU" w:eastAsia="ru-RU" w:bidi="ar-SA"/>
    </w:rPr>
  </w:style>
  <w:style w:type="character" w:customStyle="1" w:styleId="2d">
    <w:name w:val="Основной текст + Полужирный2"/>
    <w:basedOn w:val="afff1"/>
    <w:rsid w:val="003B67F9"/>
    <w:rPr>
      <w:b/>
      <w:bCs/>
      <w:noProof/>
      <w:sz w:val="26"/>
      <w:szCs w:val="26"/>
      <w:lang w:bidi="ar-SA"/>
    </w:rPr>
  </w:style>
  <w:style w:type="character" w:customStyle="1" w:styleId="1c">
    <w:name w:val="Основной текст + Полужирный1"/>
    <w:basedOn w:val="afff1"/>
    <w:rsid w:val="003B67F9"/>
    <w:rPr>
      <w:b/>
      <w:bCs/>
      <w:sz w:val="26"/>
      <w:szCs w:val="26"/>
      <w:u w:val="single"/>
      <w:lang w:bidi="ar-SA"/>
    </w:rPr>
  </w:style>
  <w:style w:type="character" w:customStyle="1" w:styleId="8pt">
    <w:name w:val="Основной текст + Интервал 8 pt"/>
    <w:basedOn w:val="afff1"/>
    <w:rsid w:val="003B67F9"/>
    <w:rPr>
      <w:spacing w:val="160"/>
      <w:sz w:val="26"/>
      <w:szCs w:val="26"/>
      <w:lang w:val="ru-RU" w:eastAsia="ru-RU" w:bidi="ar-SA"/>
    </w:rPr>
  </w:style>
  <w:style w:type="character" w:customStyle="1" w:styleId="Arial0">
    <w:name w:val="Колонтитул + Arial"/>
    <w:aliases w:val="17,5 pt15,Полужирный"/>
    <w:basedOn w:val="affc"/>
    <w:rsid w:val="003B67F9"/>
    <w:rPr>
      <w:rFonts w:ascii="Arial" w:hAnsi="Arial" w:cs="Arial" w:hint="default"/>
      <w:b/>
      <w:bCs/>
      <w:spacing w:val="0"/>
      <w:sz w:val="35"/>
      <w:szCs w:val="35"/>
      <w:shd w:val="clear" w:color="auto" w:fill="FFFFFF"/>
    </w:rPr>
  </w:style>
  <w:style w:type="character" w:customStyle="1" w:styleId="Arial1">
    <w:name w:val="Колонтитул + Arial1"/>
    <w:aliases w:val="11,5 pt14,Курсив4"/>
    <w:basedOn w:val="affc"/>
    <w:rsid w:val="003B67F9"/>
    <w:rPr>
      <w:rFonts w:ascii="Arial" w:hAnsi="Arial" w:cs="Arial" w:hint="default"/>
      <w:i/>
      <w:iCs/>
      <w:spacing w:val="0"/>
      <w:sz w:val="23"/>
      <w:szCs w:val="23"/>
      <w:shd w:val="clear" w:color="auto" w:fill="FFFFFF"/>
    </w:rPr>
  </w:style>
  <w:style w:type="character" w:customStyle="1" w:styleId="74">
    <w:name w:val="Основной текст + 7"/>
    <w:aliases w:val="5 pt13"/>
    <w:basedOn w:val="afff1"/>
    <w:rsid w:val="003B67F9"/>
    <w:rPr>
      <w:noProof/>
      <w:sz w:val="15"/>
      <w:szCs w:val="15"/>
      <w:lang w:bidi="ar-SA"/>
    </w:rPr>
  </w:style>
  <w:style w:type="character" w:customStyle="1" w:styleId="108pt">
    <w:name w:val="Основной текст (10) + 8 pt"/>
    <w:basedOn w:val="101"/>
    <w:rsid w:val="003B67F9"/>
    <w:rPr>
      <w:rFonts w:ascii="Arial" w:hAnsi="Arial" w:cs="Arial"/>
      <w:sz w:val="16"/>
      <w:szCs w:val="16"/>
      <w:shd w:val="clear" w:color="auto" w:fill="FFFFFF"/>
    </w:rPr>
  </w:style>
  <w:style w:type="character" w:customStyle="1" w:styleId="75">
    <w:name w:val="Основной текст (7)"/>
    <w:basedOn w:val="72"/>
    <w:rsid w:val="003B67F9"/>
    <w:rPr>
      <w:sz w:val="19"/>
      <w:szCs w:val="19"/>
      <w:shd w:val="clear" w:color="auto" w:fill="FFFFFF"/>
    </w:rPr>
  </w:style>
  <w:style w:type="character" w:customStyle="1" w:styleId="76">
    <w:name w:val="Основной текст (7) + Полужирный"/>
    <w:basedOn w:val="72"/>
    <w:rsid w:val="003B67F9"/>
    <w:rPr>
      <w:b/>
      <w:bCs/>
      <w:noProof/>
      <w:sz w:val="19"/>
      <w:szCs w:val="19"/>
      <w:shd w:val="clear" w:color="auto" w:fill="FFFFFF"/>
    </w:rPr>
  </w:style>
  <w:style w:type="character" w:customStyle="1" w:styleId="121pt">
    <w:name w:val="Основной текст (12) + Интервал 1 pt"/>
    <w:basedOn w:val="120"/>
    <w:rsid w:val="003B67F9"/>
    <w:rPr>
      <w:rFonts w:ascii="Arial" w:hAnsi="Arial" w:cs="Arial"/>
      <w:spacing w:val="20"/>
      <w:sz w:val="14"/>
      <w:szCs w:val="14"/>
      <w:shd w:val="clear" w:color="auto" w:fill="FFFFFF"/>
      <w:lang w:val="ru-RU" w:eastAsia="ru-RU"/>
    </w:rPr>
  </w:style>
  <w:style w:type="character" w:customStyle="1" w:styleId="66">
    <w:name w:val="Основной текст (6)"/>
    <w:basedOn w:val="62"/>
    <w:rsid w:val="003B67F9"/>
    <w:rPr>
      <w:rFonts w:ascii="Arial" w:hAnsi="Arial" w:cs="Arial"/>
      <w:i/>
      <w:iCs/>
      <w:u w:val="single"/>
      <w:shd w:val="clear" w:color="auto" w:fill="FFFFFF"/>
    </w:rPr>
  </w:style>
  <w:style w:type="character" w:customStyle="1" w:styleId="730">
    <w:name w:val="Основной текст + 73"/>
    <w:aliases w:val="5 pt12"/>
    <w:basedOn w:val="afff1"/>
    <w:rsid w:val="003B67F9"/>
    <w:rPr>
      <w:noProof/>
      <w:sz w:val="15"/>
      <w:szCs w:val="15"/>
      <w:lang w:bidi="ar-SA"/>
    </w:rPr>
  </w:style>
  <w:style w:type="character" w:customStyle="1" w:styleId="255pt">
    <w:name w:val="Основной текст (25) + 5 pt"/>
    <w:basedOn w:val="250"/>
    <w:rsid w:val="003B67F9"/>
    <w:rPr>
      <w:sz w:val="10"/>
      <w:szCs w:val="10"/>
      <w:shd w:val="clear" w:color="auto" w:fill="FFFFFF"/>
    </w:rPr>
  </w:style>
  <w:style w:type="character" w:customStyle="1" w:styleId="24Arial">
    <w:name w:val="Основной текст (24) + Arial"/>
    <w:aliases w:val="6,5 pt11,Курсив3"/>
    <w:basedOn w:val="240"/>
    <w:rsid w:val="003B67F9"/>
    <w:rPr>
      <w:rFonts w:ascii="Arial" w:hAnsi="Arial" w:cs="Arial" w:hint="default"/>
      <w:i/>
      <w:iCs/>
      <w:sz w:val="13"/>
      <w:szCs w:val="13"/>
      <w:shd w:val="clear" w:color="auto" w:fill="FFFFFF"/>
    </w:rPr>
  </w:style>
  <w:style w:type="character" w:customStyle="1" w:styleId="246pt">
    <w:name w:val="Основной текст (24) + 6 pt"/>
    <w:basedOn w:val="240"/>
    <w:rsid w:val="003B67F9"/>
    <w:rPr>
      <w:sz w:val="12"/>
      <w:szCs w:val="12"/>
      <w:shd w:val="clear" w:color="auto" w:fill="FFFFFF"/>
    </w:rPr>
  </w:style>
  <w:style w:type="character" w:customStyle="1" w:styleId="215pt">
    <w:name w:val="Основной текст (21) + 5 pt"/>
    <w:basedOn w:val="212"/>
    <w:rsid w:val="003B67F9"/>
    <w:rPr>
      <w:sz w:val="10"/>
      <w:szCs w:val="10"/>
      <w:shd w:val="clear" w:color="auto" w:fill="FFFFFF"/>
    </w:rPr>
  </w:style>
  <w:style w:type="character" w:customStyle="1" w:styleId="226">
    <w:name w:val="Основной текст (22) + 6"/>
    <w:aliases w:val="5 pt10,Курсив2"/>
    <w:basedOn w:val="220"/>
    <w:rsid w:val="003B67F9"/>
    <w:rPr>
      <w:rFonts w:ascii="Arial" w:hAnsi="Arial" w:cs="Arial"/>
      <w:i/>
      <w:iCs/>
      <w:sz w:val="13"/>
      <w:szCs w:val="13"/>
      <w:shd w:val="clear" w:color="auto" w:fill="FFFFFF"/>
    </w:rPr>
  </w:style>
  <w:style w:type="character" w:customStyle="1" w:styleId="22TimesNewRoman">
    <w:name w:val="Основной текст (22) + Times New Roman"/>
    <w:aliases w:val="7,5 pt9,Курсив1"/>
    <w:basedOn w:val="220"/>
    <w:rsid w:val="003B67F9"/>
    <w:rPr>
      <w:rFonts w:ascii="Times New Roman" w:hAnsi="Times New Roman" w:cs="Times New Roman"/>
      <w:i/>
      <w:iCs/>
      <w:noProof/>
      <w:sz w:val="15"/>
      <w:szCs w:val="15"/>
      <w:shd w:val="clear" w:color="auto" w:fill="FFFFFF"/>
    </w:rPr>
  </w:style>
  <w:style w:type="character" w:customStyle="1" w:styleId="720">
    <w:name w:val="Основной текст + 72"/>
    <w:aliases w:val="5 pt8"/>
    <w:basedOn w:val="afff1"/>
    <w:rsid w:val="003B67F9"/>
    <w:rPr>
      <w:noProof/>
      <w:sz w:val="15"/>
      <w:szCs w:val="15"/>
      <w:lang w:bidi="ar-SA"/>
    </w:rPr>
  </w:style>
  <w:style w:type="character" w:customStyle="1" w:styleId="711">
    <w:name w:val="Основной текст + 71"/>
    <w:aliases w:val="5 pt7"/>
    <w:basedOn w:val="afff1"/>
    <w:rsid w:val="003B67F9"/>
    <w:rPr>
      <w:noProof/>
      <w:sz w:val="15"/>
      <w:szCs w:val="15"/>
      <w:lang w:bidi="ar-SA"/>
    </w:rPr>
  </w:style>
  <w:style w:type="character" w:customStyle="1" w:styleId="4215pt">
    <w:name w:val="Заголовок №4 (2) + 15 pt"/>
    <w:aliases w:val="Полужирный1,Не курсив"/>
    <w:basedOn w:val="420"/>
    <w:rsid w:val="003B67F9"/>
    <w:rPr>
      <w:rFonts w:ascii="Arial" w:hAnsi="Arial" w:cs="Arial"/>
      <w:b/>
      <w:bCs/>
      <w:i/>
      <w:iCs/>
      <w:sz w:val="30"/>
      <w:szCs w:val="30"/>
      <w:shd w:val="clear" w:color="auto" w:fill="FFFFFF"/>
    </w:rPr>
  </w:style>
  <w:style w:type="character" w:customStyle="1" w:styleId="42TimesNewRoman">
    <w:name w:val="Основной текст (42) + Times New Roman"/>
    <w:aliases w:val="9,5 pt5"/>
    <w:basedOn w:val="422"/>
    <w:rsid w:val="003B67F9"/>
    <w:rPr>
      <w:rFonts w:ascii="Times New Roman" w:hAnsi="Times New Roman" w:cs="Times New Roman"/>
      <w:b/>
      <w:bCs/>
      <w:sz w:val="19"/>
      <w:szCs w:val="19"/>
      <w:shd w:val="clear" w:color="auto" w:fill="FFFFFF"/>
    </w:rPr>
  </w:style>
  <w:style w:type="character" w:customStyle="1" w:styleId="342">
    <w:name w:val="Основной текст (34) + Полужирный"/>
    <w:basedOn w:val="340"/>
    <w:rsid w:val="003B67F9"/>
    <w:rPr>
      <w:rFonts w:ascii="Arial" w:hAnsi="Arial" w:cs="Arial"/>
      <w:b/>
      <w:bCs/>
      <w:sz w:val="18"/>
      <w:szCs w:val="18"/>
      <w:u w:val="single"/>
      <w:shd w:val="clear" w:color="auto" w:fill="FFFFFF"/>
    </w:rPr>
  </w:style>
  <w:style w:type="character" w:customStyle="1" w:styleId="113">
    <w:name w:val="Основной текст + 11"/>
    <w:aliases w:val="5 pt4"/>
    <w:basedOn w:val="afff1"/>
    <w:rsid w:val="003B67F9"/>
    <w:rPr>
      <w:sz w:val="23"/>
      <w:szCs w:val="23"/>
      <w:lang w:bidi="ar-SA"/>
    </w:rPr>
  </w:style>
  <w:style w:type="character" w:customStyle="1" w:styleId="913pt">
    <w:name w:val="Основной текст (9) + 13 pt"/>
    <w:basedOn w:val="90"/>
    <w:rsid w:val="003B67F9"/>
    <w:rPr>
      <w:sz w:val="26"/>
      <w:szCs w:val="26"/>
      <w:shd w:val="clear" w:color="auto" w:fill="FFFFFF"/>
    </w:rPr>
  </w:style>
  <w:style w:type="character" w:customStyle="1" w:styleId="4911">
    <w:name w:val="Основной текст (49) + 11"/>
    <w:aliases w:val="5 pt3,Интервал 0 pt"/>
    <w:basedOn w:val="49"/>
    <w:rsid w:val="003B67F9"/>
    <w:rPr>
      <w:spacing w:val="0"/>
      <w:sz w:val="23"/>
      <w:szCs w:val="23"/>
      <w:shd w:val="clear" w:color="auto" w:fill="FFFFFF"/>
    </w:rPr>
  </w:style>
  <w:style w:type="character" w:customStyle="1" w:styleId="912pt">
    <w:name w:val="Основной текст (9) + 12 pt"/>
    <w:aliases w:val="Интервал 0 pt1"/>
    <w:basedOn w:val="90"/>
    <w:rsid w:val="003B67F9"/>
    <w:rPr>
      <w:spacing w:val="-10"/>
      <w:sz w:val="24"/>
      <w:szCs w:val="24"/>
      <w:shd w:val="clear" w:color="auto" w:fill="FFFFFF"/>
    </w:rPr>
  </w:style>
  <w:style w:type="character" w:customStyle="1" w:styleId="329pt">
    <w:name w:val="Основной текст (32) + 9 pt"/>
    <w:basedOn w:val="320"/>
    <w:rsid w:val="003B67F9"/>
    <w:rPr>
      <w:rFonts w:ascii="Arial" w:hAnsi="Arial" w:cs="Arial"/>
      <w:i/>
      <w:iCs/>
      <w:sz w:val="18"/>
      <w:szCs w:val="18"/>
      <w:shd w:val="clear" w:color="auto" w:fill="FFFFFF"/>
    </w:rPr>
  </w:style>
  <w:style w:type="character" w:customStyle="1" w:styleId="22TimesNewRoman2">
    <w:name w:val="Основной текст (22) + Times New Roman2"/>
    <w:aliases w:val="71,5 pt2"/>
    <w:basedOn w:val="220"/>
    <w:rsid w:val="003B67F9"/>
    <w:rPr>
      <w:rFonts w:ascii="Times New Roman" w:hAnsi="Times New Roman" w:cs="Times New Roman"/>
      <w:sz w:val="15"/>
      <w:szCs w:val="15"/>
      <w:shd w:val="clear" w:color="auto" w:fill="FFFFFF"/>
    </w:rPr>
  </w:style>
  <w:style w:type="character" w:customStyle="1" w:styleId="22TimesNewRoman1">
    <w:name w:val="Основной текст (22) + Times New Roman1"/>
    <w:aliases w:val="61,5 pt1"/>
    <w:basedOn w:val="220"/>
    <w:rsid w:val="003B67F9"/>
    <w:rPr>
      <w:rFonts w:ascii="Times New Roman" w:hAnsi="Times New Roman" w:cs="Times New Roman"/>
      <w:sz w:val="13"/>
      <w:szCs w:val="13"/>
      <w:shd w:val="clear" w:color="auto" w:fill="FFFFFF"/>
    </w:rPr>
  </w:style>
  <w:style w:type="character" w:customStyle="1" w:styleId="66pt">
    <w:name w:val="Основной текст (6) + 6 pt"/>
    <w:aliases w:val="Не курсив1"/>
    <w:basedOn w:val="62"/>
    <w:rsid w:val="003B67F9"/>
    <w:rPr>
      <w:rFonts w:ascii="Arial" w:hAnsi="Arial" w:cs="Arial"/>
      <w:i/>
      <w:iCs/>
      <w:sz w:val="12"/>
      <w:szCs w:val="12"/>
      <w:shd w:val="clear" w:color="auto" w:fill="FFFFFF"/>
      <w:lang w:val="ru-RU" w:eastAsia="ru-RU"/>
    </w:rPr>
  </w:style>
  <w:style w:type="character" w:customStyle="1" w:styleId="329pt1">
    <w:name w:val="Основной текст (32) + 9 pt1"/>
    <w:basedOn w:val="320"/>
    <w:rsid w:val="003B67F9"/>
    <w:rPr>
      <w:rFonts w:ascii="Arial" w:hAnsi="Arial" w:cs="Arial"/>
      <w:i/>
      <w:iCs/>
      <w:sz w:val="18"/>
      <w:szCs w:val="18"/>
      <w:shd w:val="clear" w:color="auto" w:fill="FFFFFF"/>
    </w:rPr>
  </w:style>
  <w:style w:type="character" w:customStyle="1" w:styleId="241pt">
    <w:name w:val="Основной текст (24) + Интервал 1 pt"/>
    <w:basedOn w:val="240"/>
    <w:rsid w:val="003B67F9"/>
    <w:rPr>
      <w:spacing w:val="30"/>
      <w:sz w:val="10"/>
      <w:szCs w:val="10"/>
      <w:shd w:val="clear" w:color="auto" w:fill="FFFFFF"/>
    </w:rPr>
  </w:style>
  <w:style w:type="character" w:styleId="afff3">
    <w:name w:val="Emphasis"/>
    <w:basedOn w:val="a0"/>
    <w:qFormat/>
    <w:rsid w:val="003B67F9"/>
    <w:rPr>
      <w:i/>
      <w:iCs/>
    </w:rPr>
  </w:style>
  <w:style w:type="character" w:styleId="afff4">
    <w:name w:val="Strong"/>
    <w:basedOn w:val="a0"/>
    <w:uiPriority w:val="22"/>
    <w:qFormat/>
    <w:rsid w:val="003B67F9"/>
    <w:rPr>
      <w:b/>
      <w:bCs/>
    </w:rPr>
  </w:style>
  <w:style w:type="character" w:customStyle="1" w:styleId="hl">
    <w:name w:val="hl"/>
    <w:basedOn w:val="a0"/>
    <w:rsid w:val="003B67F9"/>
  </w:style>
  <w:style w:type="paragraph" w:styleId="afff5">
    <w:name w:val="Body Text First Indent"/>
    <w:basedOn w:val="af9"/>
    <w:link w:val="afff6"/>
    <w:uiPriority w:val="99"/>
    <w:semiHidden/>
    <w:rsid w:val="003B67F9"/>
    <w:pPr>
      <w:spacing w:line="240" w:lineRule="auto"/>
      <w:ind w:firstLine="210"/>
      <w:jc w:val="left"/>
    </w:pPr>
    <w:rPr>
      <w:sz w:val="24"/>
      <w:lang w:val="ru-RU"/>
    </w:rPr>
  </w:style>
  <w:style w:type="character" w:customStyle="1" w:styleId="afff6">
    <w:name w:val="Красная строка Знак"/>
    <w:basedOn w:val="afa"/>
    <w:link w:val="afff5"/>
    <w:uiPriority w:val="99"/>
    <w:semiHidden/>
    <w:rsid w:val="003B67F9"/>
    <w:rPr>
      <w:rFonts w:eastAsia="Times New Roman" w:cs="Times New Roman"/>
      <w:sz w:val="24"/>
      <w:szCs w:val="24"/>
      <w:lang w:val="ru-RU" w:eastAsia="ru-RU"/>
    </w:rPr>
  </w:style>
  <w:style w:type="paragraph" w:customStyle="1" w:styleId="2e">
    <w:name w:val="Знак2"/>
    <w:basedOn w:val="a"/>
    <w:rsid w:val="003B67F9"/>
    <w:pPr>
      <w:spacing w:line="240" w:lineRule="auto"/>
      <w:jc w:val="left"/>
    </w:pPr>
    <w:rPr>
      <w:rFonts w:ascii="Verdana" w:eastAsia="Times New Roman" w:hAnsi="Verdana" w:cs="Verdana"/>
      <w:sz w:val="20"/>
      <w:szCs w:val="20"/>
      <w:lang w:val="en-US" w:bidi="sa-IN"/>
    </w:rPr>
  </w:style>
  <w:style w:type="paragraph" w:customStyle="1" w:styleId="122">
    <w:name w:val="Знак Знак Знак Знак1 Знак Знак Знак2"/>
    <w:basedOn w:val="a"/>
    <w:rsid w:val="003B67F9"/>
    <w:pPr>
      <w:spacing w:line="240" w:lineRule="auto"/>
      <w:jc w:val="left"/>
    </w:pPr>
    <w:rPr>
      <w:rFonts w:ascii="Verdana" w:eastAsia="Times New Roman" w:hAnsi="Verdana" w:cs="Verdana"/>
      <w:bCs/>
      <w:color w:val="000000"/>
      <w:sz w:val="20"/>
      <w:szCs w:val="20"/>
      <w:lang w:val="en-US"/>
    </w:rPr>
  </w:style>
  <w:style w:type="numbering" w:customStyle="1" w:styleId="2f">
    <w:name w:val="Немає списку2"/>
    <w:next w:val="a2"/>
    <w:uiPriority w:val="99"/>
    <w:semiHidden/>
    <w:unhideWhenUsed/>
    <w:rsid w:val="003B67F9"/>
  </w:style>
  <w:style w:type="numbering" w:customStyle="1" w:styleId="114">
    <w:name w:val="Нет списка11"/>
    <w:next w:val="a2"/>
    <w:semiHidden/>
    <w:rsid w:val="003B67F9"/>
  </w:style>
  <w:style w:type="character" w:styleId="afff7">
    <w:name w:val="page number"/>
    <w:basedOn w:val="a0"/>
    <w:rsid w:val="003B67F9"/>
  </w:style>
  <w:style w:type="character" w:customStyle="1" w:styleId="rvts15">
    <w:name w:val="rvts15"/>
    <w:basedOn w:val="a0"/>
    <w:rsid w:val="003B67F9"/>
  </w:style>
  <w:style w:type="character" w:customStyle="1" w:styleId="rvts16">
    <w:name w:val="rvts16"/>
    <w:basedOn w:val="a0"/>
    <w:rsid w:val="003B67F9"/>
  </w:style>
  <w:style w:type="paragraph" w:customStyle="1" w:styleId="2f0">
    <w:name w:val="заголовок 2"/>
    <w:basedOn w:val="a"/>
    <w:next w:val="a"/>
    <w:rsid w:val="003B67F9"/>
    <w:pPr>
      <w:keepNext/>
      <w:autoSpaceDE w:val="0"/>
      <w:autoSpaceDN w:val="0"/>
      <w:jc w:val="center"/>
      <w:outlineLvl w:val="1"/>
    </w:pPr>
    <w:rPr>
      <w:rFonts w:eastAsia="Times New Roman"/>
      <w:b/>
      <w:sz w:val="36"/>
      <w:szCs w:val="28"/>
      <w:lang w:eastAsia="ru-RU"/>
    </w:rPr>
  </w:style>
  <w:style w:type="paragraph" w:customStyle="1" w:styleId="1d">
    <w:name w:val="Обычный1"/>
    <w:basedOn w:val="a"/>
    <w:rsid w:val="003B67F9"/>
    <w:pPr>
      <w:spacing w:line="240" w:lineRule="auto"/>
      <w:ind w:firstLine="426"/>
    </w:pPr>
    <w:rPr>
      <w:rFonts w:eastAsia="Times New Roman"/>
      <w:sz w:val="20"/>
      <w:szCs w:val="20"/>
      <w:lang w:eastAsia="ru-RU"/>
    </w:rPr>
  </w:style>
  <w:style w:type="character" w:customStyle="1" w:styleId="afff8">
    <w:name w:val="Знак Знак"/>
    <w:rsid w:val="003B67F9"/>
    <w:rPr>
      <w:rFonts w:ascii="UkrainianPeterburg" w:hAnsi="UkrainianPeterburg"/>
      <w:sz w:val="28"/>
      <w:lang w:val="uk-UA"/>
    </w:rPr>
  </w:style>
  <w:style w:type="paragraph" w:customStyle="1" w:styleId="Default">
    <w:name w:val="Default"/>
    <w:uiPriority w:val="99"/>
    <w:qFormat/>
    <w:rsid w:val="003B67F9"/>
    <w:pPr>
      <w:autoSpaceDE w:val="0"/>
      <w:autoSpaceDN w:val="0"/>
      <w:adjustRightInd w:val="0"/>
      <w:spacing w:line="240" w:lineRule="auto"/>
      <w:jc w:val="left"/>
    </w:pPr>
    <w:rPr>
      <w:rFonts w:eastAsia="Times New Roman"/>
      <w:color w:val="000000"/>
      <w:sz w:val="24"/>
      <w:szCs w:val="24"/>
      <w:lang w:val="ru-RU" w:eastAsia="ru-RU"/>
    </w:rPr>
  </w:style>
  <w:style w:type="numbering" w:customStyle="1" w:styleId="2f1">
    <w:name w:val="Нет списка2"/>
    <w:next w:val="a2"/>
    <w:uiPriority w:val="99"/>
    <w:semiHidden/>
    <w:rsid w:val="003B67F9"/>
  </w:style>
  <w:style w:type="numbering" w:customStyle="1" w:styleId="3e">
    <w:name w:val="Нет списка3"/>
    <w:next w:val="a2"/>
    <w:semiHidden/>
    <w:rsid w:val="003B67F9"/>
  </w:style>
  <w:style w:type="paragraph" w:customStyle="1" w:styleId="rvps2">
    <w:name w:val="rvps2"/>
    <w:basedOn w:val="a"/>
    <w:rsid w:val="003B67F9"/>
    <w:pPr>
      <w:spacing w:before="100" w:beforeAutospacing="1" w:after="100" w:afterAutospacing="1" w:line="240" w:lineRule="auto"/>
      <w:jc w:val="left"/>
    </w:pPr>
    <w:rPr>
      <w:rFonts w:eastAsia="Times New Roman"/>
      <w:sz w:val="24"/>
      <w:szCs w:val="24"/>
      <w:lang w:val="en-US"/>
    </w:rPr>
  </w:style>
  <w:style w:type="table" w:customStyle="1" w:styleId="TableNormal2">
    <w:name w:val="Table Normal2"/>
    <w:uiPriority w:val="2"/>
    <w:semiHidden/>
    <w:unhideWhenUsed/>
    <w:qFormat/>
    <w:rsid w:val="003B67F9"/>
    <w:pPr>
      <w:widowControl w:val="0"/>
      <w:autoSpaceDE w:val="0"/>
      <w:autoSpaceDN w:val="0"/>
      <w:spacing w:line="240" w:lineRule="auto"/>
      <w:jc w:val="left"/>
    </w:pPr>
    <w:rPr>
      <w:rFonts w:asciiTheme="minorHAnsi" w:hAnsiTheme="minorHAnsi" w:cstheme="minorBidi"/>
      <w:sz w:val="22"/>
      <w:lang w:val="en-US"/>
    </w:rPr>
    <w:tblPr>
      <w:tblInd w:w="0" w:type="dxa"/>
      <w:tblCellMar>
        <w:top w:w="0" w:type="dxa"/>
        <w:left w:w="0" w:type="dxa"/>
        <w:bottom w:w="0" w:type="dxa"/>
        <w:right w:w="0" w:type="dxa"/>
      </w:tblCellMar>
    </w:tblPr>
  </w:style>
  <w:style w:type="numbering" w:customStyle="1" w:styleId="4c">
    <w:name w:val="Нет списка4"/>
    <w:next w:val="a2"/>
    <w:uiPriority w:val="99"/>
    <w:semiHidden/>
    <w:unhideWhenUsed/>
    <w:rsid w:val="003B67F9"/>
  </w:style>
  <w:style w:type="numbering" w:customStyle="1" w:styleId="123">
    <w:name w:val="Нет списка12"/>
    <w:next w:val="a2"/>
    <w:uiPriority w:val="99"/>
    <w:semiHidden/>
    <w:unhideWhenUsed/>
    <w:rsid w:val="003B67F9"/>
  </w:style>
  <w:style w:type="character" w:customStyle="1" w:styleId="1e">
    <w:name w:val="Основной текст Знак1"/>
    <w:basedOn w:val="a0"/>
    <w:uiPriority w:val="99"/>
    <w:semiHidden/>
    <w:rsid w:val="003B67F9"/>
  </w:style>
  <w:style w:type="paragraph" w:customStyle="1" w:styleId="115">
    <w:name w:val="Оглавление 11"/>
    <w:basedOn w:val="a"/>
    <w:next w:val="a"/>
    <w:autoRedefine/>
    <w:semiHidden/>
    <w:rsid w:val="003B67F9"/>
    <w:pPr>
      <w:keepNext/>
      <w:tabs>
        <w:tab w:val="left" w:pos="9498"/>
      </w:tabs>
      <w:spacing w:line="312" w:lineRule="auto"/>
      <w:jc w:val="left"/>
    </w:pPr>
    <w:rPr>
      <w:rFonts w:eastAsia="Calibri"/>
      <w:color w:val="000000"/>
      <w:szCs w:val="28"/>
      <w:lang w:eastAsia="ru-RU"/>
    </w:rPr>
  </w:style>
  <w:style w:type="paragraph" w:customStyle="1" w:styleId="Iaudue">
    <w:name w:val="Iau?due"/>
    <w:rsid w:val="003B67F9"/>
    <w:pPr>
      <w:keepLines/>
      <w:widowControl w:val="0"/>
      <w:spacing w:line="240" w:lineRule="auto"/>
      <w:ind w:firstLine="737"/>
    </w:pPr>
    <w:rPr>
      <w:rFonts w:ascii="SchoolBook" w:eastAsia="Times New Roman" w:hAnsi="SchoolBook"/>
      <w:szCs w:val="20"/>
      <w:lang w:val="en-US" w:eastAsia="ru-RU"/>
    </w:rPr>
  </w:style>
  <w:style w:type="character" w:customStyle="1" w:styleId="1f">
    <w:name w:val="Текст сноски Знак1"/>
    <w:basedOn w:val="a0"/>
    <w:uiPriority w:val="99"/>
    <w:semiHidden/>
    <w:rsid w:val="003B67F9"/>
    <w:rPr>
      <w:sz w:val="20"/>
      <w:szCs w:val="20"/>
    </w:rPr>
  </w:style>
  <w:style w:type="character" w:customStyle="1" w:styleId="FooterChar">
    <w:name w:val="Footer Char"/>
    <w:locked/>
    <w:rsid w:val="003B67F9"/>
    <w:rPr>
      <w:rFonts w:ascii="Times New Roman" w:hAnsi="Times New Roman"/>
      <w:sz w:val="24"/>
      <w:lang w:eastAsia="ru-RU"/>
    </w:rPr>
  </w:style>
  <w:style w:type="character" w:customStyle="1" w:styleId="BodyTextIndentChar">
    <w:name w:val="Body Text Indent Char"/>
    <w:locked/>
    <w:rsid w:val="003B67F9"/>
    <w:rPr>
      <w:rFonts w:ascii="Times New Roman" w:hAnsi="Times New Roman"/>
      <w:sz w:val="20"/>
      <w:lang w:val="uk-UA" w:eastAsia="ru-RU"/>
    </w:rPr>
  </w:style>
  <w:style w:type="character" w:customStyle="1" w:styleId="313">
    <w:name w:val="Основной текст 3 Знак1"/>
    <w:basedOn w:val="a0"/>
    <w:uiPriority w:val="99"/>
    <w:semiHidden/>
    <w:rsid w:val="003B67F9"/>
    <w:rPr>
      <w:sz w:val="16"/>
      <w:szCs w:val="16"/>
    </w:rPr>
  </w:style>
  <w:style w:type="character" w:customStyle="1" w:styleId="af1">
    <w:name w:val="Без интервала Знак"/>
    <w:link w:val="af0"/>
    <w:uiPriority w:val="1"/>
    <w:locked/>
    <w:rsid w:val="003B67F9"/>
    <w:rPr>
      <w:rFonts w:ascii="Calibri" w:hAnsi="Calibri"/>
      <w:sz w:val="22"/>
      <w:lang w:val="ru-RU"/>
    </w:rPr>
  </w:style>
  <w:style w:type="paragraph" w:styleId="afff9">
    <w:name w:val="Intense Quote"/>
    <w:basedOn w:val="a"/>
    <w:next w:val="a"/>
    <w:link w:val="afffa"/>
    <w:qFormat/>
    <w:rsid w:val="003B67F9"/>
    <w:pPr>
      <w:pBdr>
        <w:bottom w:val="single" w:sz="4" w:space="4" w:color="4F81BD"/>
      </w:pBdr>
      <w:spacing w:before="200" w:after="280" w:line="240" w:lineRule="auto"/>
      <w:ind w:left="936" w:right="936"/>
      <w:jc w:val="left"/>
    </w:pPr>
    <w:rPr>
      <w:rFonts w:eastAsia="Times New Roman"/>
      <w:b/>
      <w:bCs/>
      <w:i/>
      <w:iCs/>
      <w:color w:val="4F81BD"/>
      <w:sz w:val="24"/>
      <w:szCs w:val="24"/>
      <w:lang w:eastAsia="ru-RU"/>
    </w:rPr>
  </w:style>
  <w:style w:type="character" w:customStyle="1" w:styleId="afffa">
    <w:name w:val="Выделенная цитата Знак"/>
    <w:basedOn w:val="a0"/>
    <w:link w:val="afff9"/>
    <w:rsid w:val="003B67F9"/>
    <w:rPr>
      <w:rFonts w:eastAsia="Times New Roman"/>
      <w:b/>
      <w:bCs/>
      <w:i/>
      <w:iCs/>
      <w:color w:val="4F81BD"/>
      <w:sz w:val="24"/>
      <w:szCs w:val="24"/>
      <w:lang w:eastAsia="ru-RU"/>
    </w:rPr>
  </w:style>
  <w:style w:type="paragraph" w:customStyle="1" w:styleId="monitor">
    <w:name w:val="Обычный.monitor"/>
    <w:rsid w:val="003B67F9"/>
    <w:pPr>
      <w:spacing w:line="240" w:lineRule="auto"/>
      <w:jc w:val="left"/>
    </w:pPr>
    <w:rPr>
      <w:rFonts w:eastAsia="Times New Roman"/>
      <w:sz w:val="20"/>
      <w:szCs w:val="20"/>
      <w:lang w:val="ru-RU" w:eastAsia="ru-RU"/>
    </w:rPr>
  </w:style>
  <w:style w:type="character" w:styleId="afffb">
    <w:name w:val="Intense Emphasis"/>
    <w:qFormat/>
    <w:rsid w:val="003B67F9"/>
    <w:rPr>
      <w:b/>
      <w:i/>
      <w:color w:val="4F81BD"/>
    </w:rPr>
  </w:style>
  <w:style w:type="character" w:customStyle="1" w:styleId="font33">
    <w:name w:val="font33"/>
    <w:rsid w:val="003B67F9"/>
  </w:style>
  <w:style w:type="character" w:customStyle="1" w:styleId="font45">
    <w:name w:val="font45"/>
    <w:rsid w:val="003B67F9"/>
  </w:style>
  <w:style w:type="character" w:customStyle="1" w:styleId="142">
    <w:name w:val="Знак Знак14"/>
    <w:rsid w:val="003B67F9"/>
    <w:rPr>
      <w:b/>
      <w:kern w:val="36"/>
      <w:sz w:val="48"/>
      <w:lang w:val="ru-RU" w:eastAsia="ru-RU"/>
    </w:rPr>
  </w:style>
  <w:style w:type="character" w:customStyle="1" w:styleId="z-">
    <w:name w:val="z-Начало формы Знак"/>
    <w:link w:val="z-0"/>
    <w:locked/>
    <w:rsid w:val="003B67F9"/>
    <w:rPr>
      <w:rFonts w:ascii="Arial" w:hAnsi="Arial" w:cs="Arial"/>
      <w:vanish/>
      <w:sz w:val="16"/>
      <w:szCs w:val="16"/>
      <w:lang w:eastAsia="ru-RU"/>
    </w:rPr>
  </w:style>
  <w:style w:type="paragraph" w:styleId="z-0">
    <w:name w:val="HTML Top of Form"/>
    <w:basedOn w:val="a"/>
    <w:next w:val="a"/>
    <w:link w:val="z-"/>
    <w:hidden/>
    <w:rsid w:val="003B67F9"/>
    <w:pPr>
      <w:pBdr>
        <w:bottom w:val="single" w:sz="6" w:space="1" w:color="auto"/>
      </w:pBdr>
      <w:spacing w:line="240" w:lineRule="auto"/>
      <w:jc w:val="center"/>
    </w:pPr>
    <w:rPr>
      <w:rFonts w:ascii="Arial" w:hAnsi="Arial" w:cs="Arial"/>
      <w:vanish/>
      <w:sz w:val="16"/>
      <w:szCs w:val="16"/>
      <w:lang w:eastAsia="ru-RU"/>
    </w:rPr>
  </w:style>
  <w:style w:type="character" w:customStyle="1" w:styleId="z-1">
    <w:name w:val="z-Начало формы Знак1"/>
    <w:basedOn w:val="a0"/>
    <w:uiPriority w:val="99"/>
    <w:semiHidden/>
    <w:rsid w:val="003B67F9"/>
    <w:rPr>
      <w:rFonts w:ascii="Arial" w:hAnsi="Arial" w:cs="Arial"/>
      <w:vanish/>
      <w:sz w:val="16"/>
      <w:szCs w:val="16"/>
    </w:rPr>
  </w:style>
  <w:style w:type="character" w:customStyle="1" w:styleId="mewtwo-flights-origin-countrypseudo">
    <w:name w:val="mewtwo-flights-origin-country__pseudo"/>
    <w:rsid w:val="003B67F9"/>
  </w:style>
  <w:style w:type="character" w:customStyle="1" w:styleId="mewtwo-flights-origin-countryname">
    <w:name w:val="mewtwo-flights-origin-country__name"/>
    <w:rsid w:val="003B67F9"/>
  </w:style>
  <w:style w:type="character" w:customStyle="1" w:styleId="z-2">
    <w:name w:val="z-Конец формы Знак"/>
    <w:link w:val="z-3"/>
    <w:locked/>
    <w:rsid w:val="003B67F9"/>
    <w:rPr>
      <w:rFonts w:ascii="Arial" w:hAnsi="Arial" w:cs="Arial"/>
      <w:vanish/>
      <w:sz w:val="16"/>
      <w:szCs w:val="16"/>
      <w:lang w:eastAsia="ru-RU"/>
    </w:rPr>
  </w:style>
  <w:style w:type="paragraph" w:styleId="z-3">
    <w:name w:val="HTML Bottom of Form"/>
    <w:basedOn w:val="a"/>
    <w:next w:val="a"/>
    <w:link w:val="z-2"/>
    <w:hidden/>
    <w:rsid w:val="003B67F9"/>
    <w:pPr>
      <w:pBdr>
        <w:top w:val="single" w:sz="6" w:space="1" w:color="auto"/>
      </w:pBdr>
      <w:spacing w:line="240" w:lineRule="auto"/>
      <w:jc w:val="center"/>
    </w:pPr>
    <w:rPr>
      <w:rFonts w:ascii="Arial" w:hAnsi="Arial" w:cs="Arial"/>
      <w:vanish/>
      <w:sz w:val="16"/>
      <w:szCs w:val="16"/>
      <w:lang w:eastAsia="ru-RU"/>
    </w:rPr>
  </w:style>
  <w:style w:type="character" w:customStyle="1" w:styleId="z-10">
    <w:name w:val="z-Конец формы Знак1"/>
    <w:basedOn w:val="a0"/>
    <w:uiPriority w:val="99"/>
    <w:semiHidden/>
    <w:rsid w:val="003B67F9"/>
    <w:rPr>
      <w:rFonts w:ascii="Arial" w:hAnsi="Arial" w:cs="Arial"/>
      <w:vanish/>
      <w:sz w:val="16"/>
      <w:szCs w:val="16"/>
    </w:rPr>
  </w:style>
  <w:style w:type="character" w:customStyle="1" w:styleId="xfm01964671">
    <w:name w:val="xfm_01964671"/>
    <w:rsid w:val="003B67F9"/>
  </w:style>
  <w:style w:type="character" w:customStyle="1" w:styleId="afffc">
    <w:name w:val="Печатная машинка"/>
    <w:rsid w:val="003B67F9"/>
    <w:rPr>
      <w:rFonts w:ascii="Courier New" w:hAnsi="Courier New"/>
      <w:sz w:val="20"/>
    </w:rPr>
  </w:style>
  <w:style w:type="paragraph" w:customStyle="1" w:styleId="Standard">
    <w:name w:val="Standard"/>
    <w:uiPriority w:val="99"/>
    <w:rsid w:val="003B67F9"/>
    <w:pPr>
      <w:suppressAutoHyphens/>
      <w:autoSpaceDN w:val="0"/>
      <w:spacing w:line="240" w:lineRule="auto"/>
      <w:jc w:val="left"/>
      <w:textAlignment w:val="baseline"/>
    </w:pPr>
    <w:rPr>
      <w:rFonts w:eastAsia="Times New Roman"/>
      <w:kern w:val="3"/>
      <w:sz w:val="24"/>
      <w:szCs w:val="24"/>
      <w:lang w:val="ru-RU" w:eastAsia="ru-RU" w:bidi="hi-IN"/>
    </w:rPr>
  </w:style>
  <w:style w:type="paragraph" w:styleId="2f2">
    <w:name w:val="List 2"/>
    <w:basedOn w:val="a"/>
    <w:uiPriority w:val="99"/>
    <w:semiHidden/>
    <w:rsid w:val="003B67F9"/>
    <w:pPr>
      <w:spacing w:line="240" w:lineRule="auto"/>
      <w:ind w:left="566" w:hanging="283"/>
      <w:jc w:val="left"/>
    </w:pPr>
    <w:rPr>
      <w:rFonts w:eastAsia="Times New Roman"/>
      <w:sz w:val="24"/>
      <w:szCs w:val="24"/>
      <w:lang w:val="ru-RU" w:eastAsia="ru-RU"/>
    </w:rPr>
  </w:style>
  <w:style w:type="paragraph" w:styleId="afffd">
    <w:name w:val="Subtitle"/>
    <w:basedOn w:val="a"/>
    <w:next w:val="a"/>
    <w:link w:val="afffe"/>
    <w:uiPriority w:val="11"/>
    <w:qFormat/>
    <w:rsid w:val="003B67F9"/>
    <w:pPr>
      <w:spacing w:after="60" w:line="240" w:lineRule="auto"/>
      <w:jc w:val="center"/>
      <w:outlineLvl w:val="1"/>
    </w:pPr>
    <w:rPr>
      <w:rFonts w:ascii="Cambria" w:eastAsia="Times New Roman" w:hAnsi="Cambria"/>
      <w:sz w:val="24"/>
      <w:szCs w:val="24"/>
      <w:lang w:eastAsia="ru-RU"/>
    </w:rPr>
  </w:style>
  <w:style w:type="character" w:customStyle="1" w:styleId="afffe">
    <w:name w:val="Подзаголовок Знак"/>
    <w:basedOn w:val="a0"/>
    <w:link w:val="afffd"/>
    <w:uiPriority w:val="11"/>
    <w:rsid w:val="003B67F9"/>
    <w:rPr>
      <w:rFonts w:ascii="Cambria" w:eastAsia="Times New Roman" w:hAnsi="Cambria"/>
      <w:sz w:val="24"/>
      <w:szCs w:val="24"/>
      <w:lang w:eastAsia="ru-RU"/>
    </w:rPr>
  </w:style>
  <w:style w:type="character" w:customStyle="1" w:styleId="A20">
    <w:name w:val="A2"/>
    <w:rsid w:val="003B67F9"/>
    <w:rPr>
      <w:rFonts w:ascii="Tahoma" w:hAnsi="Tahoma" w:cs="Tahoma" w:hint="default"/>
      <w:color w:val="000000"/>
    </w:rPr>
  </w:style>
  <w:style w:type="paragraph" w:customStyle="1" w:styleId="1f0">
    <w:name w:val="Знак Знак1 Знак"/>
    <w:basedOn w:val="a"/>
    <w:rsid w:val="003B67F9"/>
    <w:pPr>
      <w:spacing w:after="160" w:line="240" w:lineRule="exact"/>
      <w:jc w:val="left"/>
    </w:pPr>
    <w:rPr>
      <w:rFonts w:ascii="Verdana" w:eastAsia="Times New Roman" w:hAnsi="Verdana"/>
      <w:sz w:val="20"/>
      <w:szCs w:val="20"/>
      <w:lang w:val="en-US"/>
    </w:rPr>
  </w:style>
  <w:style w:type="character" w:styleId="affff">
    <w:name w:val="footnote reference"/>
    <w:unhideWhenUsed/>
    <w:rsid w:val="003B67F9"/>
    <w:rPr>
      <w:vertAlign w:val="superscript"/>
    </w:rPr>
  </w:style>
  <w:style w:type="character" w:customStyle="1" w:styleId="A10">
    <w:name w:val="A1"/>
    <w:uiPriority w:val="99"/>
    <w:rsid w:val="003B67F9"/>
    <w:rPr>
      <w:color w:val="000000"/>
      <w:sz w:val="18"/>
      <w:szCs w:val="18"/>
    </w:rPr>
  </w:style>
  <w:style w:type="paragraph" w:customStyle="1" w:styleId="Pa46">
    <w:name w:val="Pa46"/>
    <w:basedOn w:val="a"/>
    <w:next w:val="a"/>
    <w:uiPriority w:val="99"/>
    <w:rsid w:val="003B67F9"/>
    <w:pPr>
      <w:autoSpaceDE w:val="0"/>
      <w:autoSpaceDN w:val="0"/>
      <w:adjustRightInd w:val="0"/>
      <w:spacing w:line="221" w:lineRule="atLeast"/>
      <w:jc w:val="left"/>
    </w:pPr>
    <w:rPr>
      <w:rFonts w:ascii="Segoe UI" w:hAnsi="Segoe UI" w:cs="Segoe UI"/>
      <w:sz w:val="24"/>
      <w:szCs w:val="24"/>
      <w:lang w:val="ru-RU"/>
    </w:rPr>
  </w:style>
  <w:style w:type="character" w:customStyle="1" w:styleId="rvts9">
    <w:name w:val="rvts9"/>
    <w:basedOn w:val="a0"/>
    <w:rsid w:val="003B67F9"/>
  </w:style>
  <w:style w:type="numbering" w:customStyle="1" w:styleId="214">
    <w:name w:val="Нет списка21"/>
    <w:next w:val="a2"/>
    <w:uiPriority w:val="99"/>
    <w:semiHidden/>
    <w:unhideWhenUsed/>
    <w:rsid w:val="003B67F9"/>
  </w:style>
  <w:style w:type="table" w:customStyle="1" w:styleId="116">
    <w:name w:val="Сетка таблицы11"/>
    <w:basedOn w:val="a1"/>
    <w:next w:val="a6"/>
    <w:rsid w:val="003B67F9"/>
    <w:pPr>
      <w:spacing w:line="240" w:lineRule="auto"/>
      <w:jc w:val="left"/>
    </w:pPr>
    <w:rPr>
      <w:rFonts w:eastAsia="Times New Roman"/>
      <w:sz w:val="20"/>
      <w:szCs w:val="20"/>
      <w:lang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rvts44">
    <w:name w:val="rvts44"/>
    <w:basedOn w:val="a0"/>
    <w:rsid w:val="003B67F9"/>
  </w:style>
  <w:style w:type="table" w:customStyle="1" w:styleId="314">
    <w:name w:val="Сетка таблицы31"/>
    <w:basedOn w:val="a1"/>
    <w:next w:val="a6"/>
    <w:rsid w:val="003B67F9"/>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fff0">
    <w:name w:val="Placeholder Text"/>
    <w:basedOn w:val="a0"/>
    <w:uiPriority w:val="99"/>
    <w:semiHidden/>
    <w:rsid w:val="003B67F9"/>
    <w:rPr>
      <w:color w:val="808080"/>
    </w:rPr>
  </w:style>
  <w:style w:type="numbering" w:customStyle="1" w:styleId="5b">
    <w:name w:val="Нет списка5"/>
    <w:next w:val="a2"/>
    <w:uiPriority w:val="99"/>
    <w:semiHidden/>
    <w:unhideWhenUsed/>
    <w:rsid w:val="003B67F9"/>
  </w:style>
  <w:style w:type="numbering" w:customStyle="1" w:styleId="133">
    <w:name w:val="Нет списка13"/>
    <w:next w:val="a2"/>
    <w:uiPriority w:val="99"/>
    <w:semiHidden/>
    <w:unhideWhenUsed/>
    <w:rsid w:val="003B67F9"/>
  </w:style>
  <w:style w:type="paragraph" w:customStyle="1" w:styleId="124">
    <w:name w:val="Оглавление 12"/>
    <w:basedOn w:val="a"/>
    <w:next w:val="a"/>
    <w:autoRedefine/>
    <w:semiHidden/>
    <w:rsid w:val="003B67F9"/>
    <w:pPr>
      <w:keepNext/>
      <w:tabs>
        <w:tab w:val="left" w:pos="9498"/>
      </w:tabs>
      <w:spacing w:line="312" w:lineRule="auto"/>
      <w:jc w:val="left"/>
    </w:pPr>
    <w:rPr>
      <w:rFonts w:eastAsia="Calibri"/>
      <w:color w:val="000000"/>
      <w:szCs w:val="28"/>
      <w:lang w:eastAsia="ru-RU"/>
    </w:rPr>
  </w:style>
  <w:style w:type="numbering" w:customStyle="1" w:styleId="222">
    <w:name w:val="Нет списка22"/>
    <w:next w:val="a2"/>
    <w:uiPriority w:val="99"/>
    <w:semiHidden/>
    <w:unhideWhenUsed/>
    <w:rsid w:val="003B67F9"/>
  </w:style>
  <w:style w:type="table" w:customStyle="1" w:styleId="125">
    <w:name w:val="Сетка таблицы12"/>
    <w:basedOn w:val="a1"/>
    <w:next w:val="a6"/>
    <w:rsid w:val="003B67F9"/>
    <w:pPr>
      <w:spacing w:line="240" w:lineRule="auto"/>
      <w:jc w:val="left"/>
    </w:pPr>
    <w:rPr>
      <w:rFonts w:eastAsia="Times New Roman"/>
      <w:sz w:val="20"/>
      <w:szCs w:val="20"/>
      <w:lang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23">
    <w:name w:val="Сетка таблицы22"/>
    <w:basedOn w:val="a1"/>
    <w:next w:val="a6"/>
    <w:rsid w:val="003B67F9"/>
    <w:pPr>
      <w:spacing w:line="240" w:lineRule="auto"/>
      <w:jc w:val="left"/>
    </w:pPr>
    <w:rPr>
      <w:rFonts w:eastAsia="Times New Roman"/>
      <w:sz w:val="20"/>
      <w:szCs w:val="20"/>
      <w:lang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24">
    <w:name w:val="Сетка таблицы42"/>
    <w:basedOn w:val="a1"/>
    <w:next w:val="a6"/>
    <w:rsid w:val="003B67F9"/>
    <w:pPr>
      <w:spacing w:line="240" w:lineRule="auto"/>
      <w:jc w:val="left"/>
    </w:pPr>
    <w:rPr>
      <w:rFonts w:ascii="Calibri" w:eastAsia="Times New Roman" w:hAnsi="Calibri"/>
      <w:sz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22">
    <w:name w:val="Сетка таблицы32"/>
    <w:basedOn w:val="a1"/>
    <w:next w:val="a6"/>
    <w:rsid w:val="003B67F9"/>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1f1">
    <w:name w:val="toc 1"/>
    <w:basedOn w:val="a"/>
    <w:next w:val="a"/>
    <w:autoRedefine/>
    <w:semiHidden/>
    <w:rsid w:val="00EC25E9"/>
    <w:pPr>
      <w:keepNext/>
      <w:tabs>
        <w:tab w:val="left" w:pos="9498"/>
      </w:tabs>
      <w:spacing w:line="312" w:lineRule="auto"/>
      <w:jc w:val="left"/>
    </w:pPr>
    <w:rPr>
      <w:rFonts w:eastAsia="Calibri"/>
      <w:color w:val="000000" w:themeColor="text1"/>
      <w:szCs w:val="28"/>
      <w:lang w:eastAsia="ru-RU"/>
    </w:rPr>
  </w:style>
  <w:style w:type="numbering" w:customStyle="1" w:styleId="67">
    <w:name w:val="Нет списка6"/>
    <w:next w:val="a2"/>
    <w:uiPriority w:val="99"/>
    <w:semiHidden/>
    <w:unhideWhenUsed/>
    <w:rsid w:val="00323DA9"/>
  </w:style>
  <w:style w:type="numbering" w:customStyle="1" w:styleId="143">
    <w:name w:val="Нет списка14"/>
    <w:next w:val="a2"/>
    <w:semiHidden/>
    <w:rsid w:val="00323DA9"/>
  </w:style>
  <w:style w:type="character" w:customStyle="1" w:styleId="ref-journal">
    <w:name w:val="ref-journal"/>
    <w:basedOn w:val="a0"/>
    <w:rsid w:val="00323DA9"/>
  </w:style>
  <w:style w:type="character" w:customStyle="1" w:styleId="ref-vol">
    <w:name w:val="ref-vol"/>
    <w:basedOn w:val="a0"/>
    <w:rsid w:val="00323DA9"/>
  </w:style>
  <w:style w:type="character" w:customStyle="1" w:styleId="nowraprefpubmed">
    <w:name w:val="nowrap ref pubmed"/>
    <w:basedOn w:val="a0"/>
    <w:rsid w:val="00323DA9"/>
  </w:style>
  <w:style w:type="character" w:customStyle="1" w:styleId="nowraprefcrossref">
    <w:name w:val="nowrap ref crossref"/>
    <w:basedOn w:val="a0"/>
    <w:rsid w:val="00323DA9"/>
  </w:style>
  <w:style w:type="paragraph" w:customStyle="1" w:styleId="msolistparagraph0">
    <w:name w:val="msolistparagraph"/>
    <w:basedOn w:val="a"/>
    <w:rsid w:val="00323DA9"/>
    <w:pPr>
      <w:spacing w:line="240" w:lineRule="auto"/>
      <w:ind w:left="720"/>
      <w:contextualSpacing/>
      <w:jc w:val="left"/>
    </w:pPr>
    <w:rPr>
      <w:rFonts w:eastAsia="Times New Roman"/>
      <w:sz w:val="24"/>
      <w:szCs w:val="24"/>
      <w:lang w:val="ru-RU" w:eastAsia="ru-RU"/>
    </w:rPr>
  </w:style>
  <w:style w:type="table" w:customStyle="1" w:styleId="TableNormal4">
    <w:name w:val="Table Normal4"/>
    <w:uiPriority w:val="2"/>
    <w:semiHidden/>
    <w:unhideWhenUsed/>
    <w:qFormat/>
    <w:rsid w:val="00323DA9"/>
    <w:pPr>
      <w:widowControl w:val="0"/>
      <w:autoSpaceDE w:val="0"/>
      <w:autoSpaceDN w:val="0"/>
      <w:spacing w:line="240" w:lineRule="auto"/>
      <w:jc w:val="left"/>
    </w:pPr>
    <w:rPr>
      <w:rFonts w:ascii="Calibri" w:hAnsi="Calibri"/>
      <w:sz w:val="22"/>
      <w:lang w:val="en-US"/>
    </w:rPr>
    <w:tblPr>
      <w:tblInd w:w="0" w:type="dxa"/>
      <w:tblCellMar>
        <w:top w:w="0" w:type="dxa"/>
        <w:left w:w="0" w:type="dxa"/>
        <w:bottom w:w="0" w:type="dxa"/>
        <w:right w:w="0" w:type="dxa"/>
      </w:tblCellMar>
    </w:tblPr>
  </w:style>
  <w:style w:type="table" w:customStyle="1" w:styleId="TableNormal11">
    <w:name w:val="Table Normal11"/>
    <w:uiPriority w:val="2"/>
    <w:semiHidden/>
    <w:unhideWhenUsed/>
    <w:qFormat/>
    <w:rsid w:val="00323DA9"/>
    <w:pPr>
      <w:widowControl w:val="0"/>
      <w:autoSpaceDE w:val="0"/>
      <w:autoSpaceDN w:val="0"/>
      <w:spacing w:line="240" w:lineRule="auto"/>
      <w:jc w:val="left"/>
    </w:pPr>
    <w:rPr>
      <w:rFonts w:ascii="Calibri" w:hAnsi="Calibri"/>
      <w:sz w:val="22"/>
      <w:lang w:val="en-US"/>
    </w:rPr>
    <w:tblPr>
      <w:tblInd w:w="0" w:type="dxa"/>
      <w:tblCellMar>
        <w:top w:w="0" w:type="dxa"/>
        <w:left w:w="0" w:type="dxa"/>
        <w:bottom w:w="0" w:type="dxa"/>
        <w:right w:w="0" w:type="dxa"/>
      </w:tblCellMar>
    </w:tblPr>
  </w:style>
  <w:style w:type="table" w:customStyle="1" w:styleId="TableNormal21">
    <w:name w:val="Table Normal21"/>
    <w:uiPriority w:val="2"/>
    <w:semiHidden/>
    <w:unhideWhenUsed/>
    <w:qFormat/>
    <w:rsid w:val="00323DA9"/>
    <w:pPr>
      <w:widowControl w:val="0"/>
      <w:autoSpaceDE w:val="0"/>
      <w:autoSpaceDN w:val="0"/>
      <w:spacing w:line="240" w:lineRule="auto"/>
      <w:jc w:val="left"/>
    </w:pPr>
    <w:rPr>
      <w:rFonts w:ascii="Calibri" w:hAnsi="Calibri"/>
      <w:sz w:val="22"/>
      <w:lang w:val="en-US"/>
    </w:rPr>
    <w:tblPr>
      <w:tblInd w:w="0" w:type="dxa"/>
      <w:tblCellMar>
        <w:top w:w="0" w:type="dxa"/>
        <w:left w:w="0" w:type="dxa"/>
        <w:bottom w:w="0" w:type="dxa"/>
        <w:right w:w="0" w:type="dxa"/>
      </w:tblCellMar>
    </w:tblPr>
  </w:style>
  <w:style w:type="table" w:customStyle="1" w:styleId="TableNormal31">
    <w:name w:val="Table Normal31"/>
    <w:uiPriority w:val="2"/>
    <w:semiHidden/>
    <w:unhideWhenUsed/>
    <w:qFormat/>
    <w:rsid w:val="00323DA9"/>
    <w:pPr>
      <w:widowControl w:val="0"/>
      <w:autoSpaceDE w:val="0"/>
      <w:autoSpaceDN w:val="0"/>
      <w:spacing w:line="240" w:lineRule="auto"/>
      <w:jc w:val="left"/>
    </w:pPr>
    <w:rPr>
      <w:rFonts w:ascii="Calibri" w:hAnsi="Calibri"/>
      <w:sz w:val="22"/>
      <w:lang w:val="en-US"/>
    </w:rPr>
    <w:tblPr>
      <w:tblInd w:w="0" w:type="dxa"/>
      <w:tblCellMar>
        <w:top w:w="0" w:type="dxa"/>
        <w:left w:w="0" w:type="dxa"/>
        <w:bottom w:w="0" w:type="dxa"/>
        <w:right w:w="0" w:type="dxa"/>
      </w:tblCellMar>
    </w:tblPr>
  </w:style>
  <w:style w:type="table" w:customStyle="1" w:styleId="TableNormal5">
    <w:name w:val="Table Normal5"/>
    <w:uiPriority w:val="2"/>
    <w:semiHidden/>
    <w:unhideWhenUsed/>
    <w:qFormat/>
    <w:rsid w:val="00323DA9"/>
    <w:pPr>
      <w:widowControl w:val="0"/>
      <w:autoSpaceDE w:val="0"/>
      <w:autoSpaceDN w:val="0"/>
      <w:spacing w:line="240" w:lineRule="auto"/>
      <w:jc w:val="left"/>
    </w:pPr>
    <w:rPr>
      <w:rFonts w:ascii="Calibri" w:hAnsi="Calibri"/>
      <w:sz w:val="22"/>
      <w:lang w:val="en-US"/>
    </w:rPr>
    <w:tblPr>
      <w:tblInd w:w="0" w:type="dxa"/>
      <w:tblCellMar>
        <w:top w:w="0" w:type="dxa"/>
        <w:left w:w="0" w:type="dxa"/>
        <w:bottom w:w="0" w:type="dxa"/>
        <w:right w:w="0" w:type="dxa"/>
      </w:tblCellMar>
    </w:tblPr>
  </w:style>
  <w:style w:type="numbering" w:customStyle="1" w:styleId="77">
    <w:name w:val="Нет списка7"/>
    <w:next w:val="a2"/>
    <w:uiPriority w:val="99"/>
    <w:semiHidden/>
    <w:unhideWhenUsed/>
    <w:rsid w:val="004617DA"/>
  </w:style>
  <w:style w:type="character" w:customStyle="1" w:styleId="tr">
    <w:name w:val="tr"/>
    <w:basedOn w:val="a0"/>
    <w:rsid w:val="004617DA"/>
  </w:style>
  <w:style w:type="character" w:customStyle="1" w:styleId="authors-list-item">
    <w:name w:val="authors-list-item"/>
    <w:basedOn w:val="a0"/>
    <w:rsid w:val="004617DA"/>
  </w:style>
  <w:style w:type="character" w:customStyle="1" w:styleId="author-sup-separator">
    <w:name w:val="author-sup-separator"/>
    <w:basedOn w:val="a0"/>
    <w:rsid w:val="004617DA"/>
  </w:style>
  <w:style w:type="character" w:customStyle="1" w:styleId="comma">
    <w:name w:val="comma"/>
    <w:basedOn w:val="a0"/>
    <w:rsid w:val="004617DA"/>
  </w:style>
  <w:style w:type="character" w:customStyle="1" w:styleId="doi">
    <w:name w:val="doi"/>
    <w:basedOn w:val="a0"/>
    <w:rsid w:val="004617DA"/>
  </w:style>
  <w:style w:type="character" w:customStyle="1" w:styleId="rvts46">
    <w:name w:val="rvts46"/>
    <w:basedOn w:val="a0"/>
    <w:rsid w:val="004617DA"/>
  </w:style>
  <w:style w:type="character" w:customStyle="1" w:styleId="fm-vol-iss-date">
    <w:name w:val="fm-vol-iss-date"/>
    <w:basedOn w:val="a0"/>
    <w:rsid w:val="004617DA"/>
  </w:style>
  <w:style w:type="numbering" w:customStyle="1" w:styleId="83">
    <w:name w:val="Нет списка8"/>
    <w:next w:val="a2"/>
    <w:uiPriority w:val="99"/>
    <w:semiHidden/>
    <w:unhideWhenUsed/>
    <w:rsid w:val="00017F66"/>
  </w:style>
  <w:style w:type="numbering" w:customStyle="1" w:styleId="152">
    <w:name w:val="Нет списка15"/>
    <w:next w:val="a2"/>
    <w:uiPriority w:val="99"/>
    <w:semiHidden/>
    <w:unhideWhenUsed/>
    <w:rsid w:val="00017F66"/>
  </w:style>
  <w:style w:type="table" w:customStyle="1" w:styleId="134">
    <w:name w:val="Сетка таблицы13"/>
    <w:basedOn w:val="a1"/>
    <w:next w:val="a6"/>
    <w:rsid w:val="00017F66"/>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32">
    <w:name w:val="Сетка таблицы43"/>
    <w:basedOn w:val="a1"/>
    <w:next w:val="a6"/>
    <w:rsid w:val="00017F66"/>
    <w:pPr>
      <w:spacing w:line="240" w:lineRule="auto"/>
      <w:jc w:val="left"/>
    </w:pPr>
    <w:rPr>
      <w:rFonts w:ascii="Calibri" w:eastAsia="Times New Roman" w:hAnsi="Calibri"/>
      <w:sz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2">
    <w:name w:val="Сетка таблицы23"/>
    <w:basedOn w:val="a1"/>
    <w:next w:val="a6"/>
    <w:rsid w:val="00017F66"/>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44">
    <w:name w:val="Сетка таблицы14"/>
    <w:basedOn w:val="a1"/>
    <w:next w:val="a6"/>
    <w:rsid w:val="00017F66"/>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32">
    <w:name w:val="Сетка таблицы33"/>
    <w:basedOn w:val="a1"/>
    <w:next w:val="a6"/>
    <w:rsid w:val="00017F66"/>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12">
    <w:name w:val="Сетка таблицы51"/>
    <w:basedOn w:val="a1"/>
    <w:next w:val="a6"/>
    <w:rsid w:val="00017F66"/>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13">
    <w:name w:val="Сетка таблицы61"/>
    <w:basedOn w:val="a1"/>
    <w:next w:val="a6"/>
    <w:rsid w:val="00017F66"/>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12">
    <w:name w:val="Сетка таблицы71"/>
    <w:basedOn w:val="a1"/>
    <w:next w:val="a6"/>
    <w:rsid w:val="00017F66"/>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10">
    <w:name w:val="Сетка таблицы81"/>
    <w:basedOn w:val="a1"/>
    <w:next w:val="a6"/>
    <w:rsid w:val="00017F66"/>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910">
    <w:name w:val="Сетка таблицы91"/>
    <w:basedOn w:val="a1"/>
    <w:next w:val="a6"/>
    <w:rsid w:val="00017F66"/>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010">
    <w:name w:val="Сетка таблицы101"/>
    <w:basedOn w:val="a1"/>
    <w:next w:val="a6"/>
    <w:rsid w:val="00017F66"/>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33">
    <w:name w:val="Нет списка23"/>
    <w:next w:val="a2"/>
    <w:uiPriority w:val="99"/>
    <w:semiHidden/>
    <w:unhideWhenUsed/>
    <w:rsid w:val="00017F66"/>
  </w:style>
  <w:style w:type="numbering" w:customStyle="1" w:styleId="1110">
    <w:name w:val="Нет списка111"/>
    <w:next w:val="a2"/>
    <w:uiPriority w:val="99"/>
    <w:semiHidden/>
    <w:unhideWhenUsed/>
    <w:rsid w:val="00017F66"/>
  </w:style>
  <w:style w:type="numbering" w:customStyle="1" w:styleId="2110">
    <w:name w:val="Нет списка211"/>
    <w:next w:val="a2"/>
    <w:uiPriority w:val="99"/>
    <w:semiHidden/>
    <w:unhideWhenUsed/>
    <w:rsid w:val="00017F66"/>
  </w:style>
  <w:style w:type="numbering" w:customStyle="1" w:styleId="315">
    <w:name w:val="Нет списка31"/>
    <w:next w:val="a2"/>
    <w:uiPriority w:val="99"/>
    <w:semiHidden/>
    <w:unhideWhenUsed/>
    <w:rsid w:val="00017F66"/>
  </w:style>
  <w:style w:type="numbering" w:customStyle="1" w:styleId="1210">
    <w:name w:val="Нет списка121"/>
    <w:next w:val="a2"/>
    <w:uiPriority w:val="99"/>
    <w:semiHidden/>
    <w:unhideWhenUsed/>
    <w:rsid w:val="00017F66"/>
  </w:style>
  <w:style w:type="numbering" w:customStyle="1" w:styleId="2210">
    <w:name w:val="Нет списка221"/>
    <w:next w:val="a2"/>
    <w:uiPriority w:val="99"/>
    <w:semiHidden/>
    <w:unhideWhenUsed/>
    <w:rsid w:val="00017F66"/>
  </w:style>
  <w:style w:type="numbering" w:customStyle="1" w:styleId="413">
    <w:name w:val="Нет списка41"/>
    <w:next w:val="a2"/>
    <w:uiPriority w:val="99"/>
    <w:semiHidden/>
    <w:unhideWhenUsed/>
    <w:rsid w:val="00017F66"/>
  </w:style>
  <w:style w:type="numbering" w:customStyle="1" w:styleId="1310">
    <w:name w:val="Нет списка131"/>
    <w:next w:val="a2"/>
    <w:uiPriority w:val="99"/>
    <w:semiHidden/>
    <w:unhideWhenUsed/>
    <w:rsid w:val="00017F66"/>
  </w:style>
  <w:style w:type="paragraph" w:customStyle="1" w:styleId="135">
    <w:name w:val="Оглавление 13"/>
    <w:basedOn w:val="a"/>
    <w:next w:val="a"/>
    <w:autoRedefine/>
    <w:semiHidden/>
    <w:rsid w:val="00017F66"/>
    <w:pPr>
      <w:keepNext/>
      <w:tabs>
        <w:tab w:val="left" w:pos="9498"/>
      </w:tabs>
      <w:spacing w:line="312" w:lineRule="auto"/>
      <w:jc w:val="left"/>
    </w:pPr>
    <w:rPr>
      <w:rFonts w:eastAsia="Calibri"/>
      <w:color w:val="000000"/>
      <w:szCs w:val="28"/>
      <w:lang w:eastAsia="ru-RU"/>
    </w:rPr>
  </w:style>
  <w:style w:type="numbering" w:customStyle="1" w:styleId="2310">
    <w:name w:val="Нет списка231"/>
    <w:next w:val="a2"/>
    <w:uiPriority w:val="99"/>
    <w:semiHidden/>
    <w:unhideWhenUsed/>
    <w:rsid w:val="00017F66"/>
  </w:style>
  <w:style w:type="table" w:customStyle="1" w:styleId="1111">
    <w:name w:val="Сетка таблицы111"/>
    <w:basedOn w:val="a1"/>
    <w:next w:val="a6"/>
    <w:uiPriority w:val="59"/>
    <w:rsid w:val="00017F66"/>
    <w:pPr>
      <w:spacing w:line="240" w:lineRule="auto"/>
      <w:jc w:val="left"/>
    </w:pPr>
    <w:rPr>
      <w:rFonts w:ascii="Calibri" w:eastAsia="Calibri" w:hAnsi="Calibri"/>
      <w:sz w:val="22"/>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11">
    <w:name w:val="Сетка таблицы121"/>
    <w:basedOn w:val="a1"/>
    <w:next w:val="a6"/>
    <w:uiPriority w:val="59"/>
    <w:rsid w:val="00017F66"/>
    <w:pPr>
      <w:spacing w:line="240" w:lineRule="auto"/>
      <w:jc w:val="left"/>
    </w:pPr>
    <w:rPr>
      <w:rFonts w:ascii="Calibri" w:eastAsia="Calibri" w:hAnsi="Calibri"/>
      <w:sz w:val="22"/>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93">
    <w:name w:val="Нет списка9"/>
    <w:next w:val="a2"/>
    <w:uiPriority w:val="99"/>
    <w:semiHidden/>
    <w:unhideWhenUsed/>
    <w:rsid w:val="00105176"/>
  </w:style>
  <w:style w:type="numbering" w:customStyle="1" w:styleId="162">
    <w:name w:val="Нет списка16"/>
    <w:next w:val="a2"/>
    <w:uiPriority w:val="99"/>
    <w:semiHidden/>
    <w:unhideWhenUsed/>
    <w:rsid w:val="00105176"/>
  </w:style>
  <w:style w:type="table" w:customStyle="1" w:styleId="153">
    <w:name w:val="Сетка таблицы15"/>
    <w:basedOn w:val="a1"/>
    <w:next w:val="a6"/>
    <w:rsid w:val="00105176"/>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42">
    <w:name w:val="Сетка таблицы44"/>
    <w:basedOn w:val="a1"/>
    <w:next w:val="a6"/>
    <w:rsid w:val="00105176"/>
    <w:pPr>
      <w:spacing w:line="240" w:lineRule="auto"/>
      <w:jc w:val="left"/>
    </w:pPr>
    <w:rPr>
      <w:rFonts w:ascii="Calibri" w:eastAsia="Times New Roman" w:hAnsi="Calibri"/>
      <w:sz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2">
    <w:name w:val="Сетка таблицы24"/>
    <w:basedOn w:val="a1"/>
    <w:next w:val="a6"/>
    <w:rsid w:val="00105176"/>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63">
    <w:name w:val="Сетка таблицы16"/>
    <w:basedOn w:val="a1"/>
    <w:next w:val="a6"/>
    <w:rsid w:val="00105176"/>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43">
    <w:name w:val="Сетка таблицы34"/>
    <w:basedOn w:val="a1"/>
    <w:next w:val="a6"/>
    <w:rsid w:val="00105176"/>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22">
    <w:name w:val="Сетка таблицы52"/>
    <w:basedOn w:val="a1"/>
    <w:next w:val="a6"/>
    <w:rsid w:val="00105176"/>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22">
    <w:name w:val="Сетка таблицы62"/>
    <w:basedOn w:val="a1"/>
    <w:next w:val="a6"/>
    <w:rsid w:val="00105176"/>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21">
    <w:name w:val="Сетка таблицы72"/>
    <w:basedOn w:val="a1"/>
    <w:next w:val="a6"/>
    <w:rsid w:val="00105176"/>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20">
    <w:name w:val="Сетка таблицы82"/>
    <w:basedOn w:val="a1"/>
    <w:next w:val="a6"/>
    <w:rsid w:val="00105176"/>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920">
    <w:name w:val="Сетка таблицы92"/>
    <w:basedOn w:val="a1"/>
    <w:next w:val="a6"/>
    <w:rsid w:val="00105176"/>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020">
    <w:name w:val="Сетка таблицы102"/>
    <w:basedOn w:val="a1"/>
    <w:next w:val="a6"/>
    <w:rsid w:val="00105176"/>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43">
    <w:name w:val="Нет списка24"/>
    <w:next w:val="a2"/>
    <w:uiPriority w:val="99"/>
    <w:semiHidden/>
    <w:unhideWhenUsed/>
    <w:rsid w:val="00105176"/>
  </w:style>
  <w:style w:type="numbering" w:customStyle="1" w:styleId="1120">
    <w:name w:val="Нет списка112"/>
    <w:next w:val="a2"/>
    <w:uiPriority w:val="99"/>
    <w:semiHidden/>
    <w:unhideWhenUsed/>
    <w:rsid w:val="00105176"/>
  </w:style>
  <w:style w:type="numbering" w:customStyle="1" w:styleId="2120">
    <w:name w:val="Нет списка212"/>
    <w:next w:val="a2"/>
    <w:uiPriority w:val="99"/>
    <w:semiHidden/>
    <w:unhideWhenUsed/>
    <w:rsid w:val="00105176"/>
  </w:style>
  <w:style w:type="numbering" w:customStyle="1" w:styleId="323">
    <w:name w:val="Нет списка32"/>
    <w:next w:val="a2"/>
    <w:uiPriority w:val="99"/>
    <w:semiHidden/>
    <w:unhideWhenUsed/>
    <w:rsid w:val="00105176"/>
  </w:style>
  <w:style w:type="numbering" w:customStyle="1" w:styleId="1220">
    <w:name w:val="Нет списка122"/>
    <w:next w:val="a2"/>
    <w:uiPriority w:val="99"/>
    <w:semiHidden/>
    <w:unhideWhenUsed/>
    <w:rsid w:val="00105176"/>
  </w:style>
  <w:style w:type="numbering" w:customStyle="1" w:styleId="2220">
    <w:name w:val="Нет списка222"/>
    <w:next w:val="a2"/>
    <w:uiPriority w:val="99"/>
    <w:semiHidden/>
    <w:unhideWhenUsed/>
    <w:rsid w:val="00105176"/>
  </w:style>
  <w:style w:type="numbering" w:customStyle="1" w:styleId="425">
    <w:name w:val="Нет списка42"/>
    <w:next w:val="a2"/>
    <w:uiPriority w:val="99"/>
    <w:semiHidden/>
    <w:unhideWhenUsed/>
    <w:rsid w:val="00105176"/>
  </w:style>
  <w:style w:type="numbering" w:customStyle="1" w:styleId="1320">
    <w:name w:val="Нет списка132"/>
    <w:next w:val="a2"/>
    <w:uiPriority w:val="99"/>
    <w:semiHidden/>
    <w:unhideWhenUsed/>
    <w:rsid w:val="00105176"/>
  </w:style>
  <w:style w:type="numbering" w:customStyle="1" w:styleId="2320">
    <w:name w:val="Нет списка232"/>
    <w:next w:val="a2"/>
    <w:uiPriority w:val="99"/>
    <w:semiHidden/>
    <w:unhideWhenUsed/>
    <w:rsid w:val="00105176"/>
  </w:style>
  <w:style w:type="table" w:customStyle="1" w:styleId="1121">
    <w:name w:val="Сетка таблицы112"/>
    <w:basedOn w:val="a1"/>
    <w:next w:val="a6"/>
    <w:uiPriority w:val="59"/>
    <w:rsid w:val="00105176"/>
    <w:pPr>
      <w:spacing w:line="240" w:lineRule="auto"/>
      <w:jc w:val="left"/>
    </w:pPr>
    <w:rPr>
      <w:rFonts w:ascii="Calibri" w:eastAsia="Calibri" w:hAnsi="Calibri"/>
      <w:sz w:val="22"/>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21">
    <w:name w:val="Сетка таблицы122"/>
    <w:basedOn w:val="a1"/>
    <w:next w:val="a6"/>
    <w:uiPriority w:val="59"/>
    <w:rsid w:val="00105176"/>
    <w:pPr>
      <w:spacing w:line="240" w:lineRule="auto"/>
      <w:jc w:val="left"/>
    </w:pPr>
    <w:rPr>
      <w:rFonts w:ascii="Calibri" w:eastAsia="Calibri" w:hAnsi="Calibri"/>
      <w:sz w:val="22"/>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04">
    <w:name w:val="Нет списка10"/>
    <w:next w:val="a2"/>
    <w:uiPriority w:val="99"/>
    <w:semiHidden/>
    <w:unhideWhenUsed/>
    <w:rsid w:val="00250CE0"/>
  </w:style>
  <w:style w:type="numbering" w:customStyle="1" w:styleId="172">
    <w:name w:val="Нет списка17"/>
    <w:next w:val="a2"/>
    <w:uiPriority w:val="99"/>
    <w:semiHidden/>
    <w:unhideWhenUsed/>
    <w:rsid w:val="00250CE0"/>
  </w:style>
  <w:style w:type="table" w:customStyle="1" w:styleId="173">
    <w:name w:val="Сетка таблицы17"/>
    <w:basedOn w:val="a1"/>
    <w:next w:val="a6"/>
    <w:rsid w:val="00250CE0"/>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52">
    <w:name w:val="Сетка таблицы45"/>
    <w:basedOn w:val="a1"/>
    <w:next w:val="a6"/>
    <w:rsid w:val="00250CE0"/>
    <w:pPr>
      <w:spacing w:line="240" w:lineRule="auto"/>
      <w:jc w:val="left"/>
    </w:pPr>
    <w:rPr>
      <w:rFonts w:ascii="Calibri" w:eastAsia="Times New Roman" w:hAnsi="Calibri"/>
      <w:sz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52">
    <w:name w:val="Сетка таблицы25"/>
    <w:basedOn w:val="a1"/>
    <w:next w:val="a6"/>
    <w:rsid w:val="00250CE0"/>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82">
    <w:name w:val="Сетка таблицы18"/>
    <w:basedOn w:val="a1"/>
    <w:next w:val="a6"/>
    <w:rsid w:val="00250CE0"/>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53">
    <w:name w:val="Сетка таблицы35"/>
    <w:basedOn w:val="a1"/>
    <w:next w:val="a6"/>
    <w:rsid w:val="00250CE0"/>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32">
    <w:name w:val="Сетка таблицы53"/>
    <w:basedOn w:val="a1"/>
    <w:next w:val="a6"/>
    <w:rsid w:val="00250CE0"/>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31">
    <w:name w:val="Сетка таблицы63"/>
    <w:basedOn w:val="a1"/>
    <w:next w:val="a6"/>
    <w:rsid w:val="00250CE0"/>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31">
    <w:name w:val="Сетка таблицы73"/>
    <w:basedOn w:val="a1"/>
    <w:next w:val="a6"/>
    <w:rsid w:val="00250CE0"/>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30">
    <w:name w:val="Сетка таблицы83"/>
    <w:basedOn w:val="a1"/>
    <w:next w:val="a6"/>
    <w:rsid w:val="00250CE0"/>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930">
    <w:name w:val="Сетка таблицы93"/>
    <w:basedOn w:val="a1"/>
    <w:next w:val="a6"/>
    <w:rsid w:val="00250CE0"/>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030">
    <w:name w:val="Сетка таблицы103"/>
    <w:basedOn w:val="a1"/>
    <w:next w:val="a6"/>
    <w:rsid w:val="00250CE0"/>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53">
    <w:name w:val="Нет списка25"/>
    <w:next w:val="a2"/>
    <w:uiPriority w:val="99"/>
    <w:semiHidden/>
    <w:unhideWhenUsed/>
    <w:rsid w:val="00250CE0"/>
  </w:style>
  <w:style w:type="numbering" w:customStyle="1" w:styleId="1130">
    <w:name w:val="Нет списка113"/>
    <w:next w:val="a2"/>
    <w:uiPriority w:val="99"/>
    <w:semiHidden/>
    <w:unhideWhenUsed/>
    <w:rsid w:val="00250CE0"/>
  </w:style>
  <w:style w:type="numbering" w:customStyle="1" w:styleId="2130">
    <w:name w:val="Нет списка213"/>
    <w:next w:val="a2"/>
    <w:uiPriority w:val="99"/>
    <w:semiHidden/>
    <w:unhideWhenUsed/>
    <w:rsid w:val="00250CE0"/>
  </w:style>
  <w:style w:type="numbering" w:customStyle="1" w:styleId="333">
    <w:name w:val="Нет списка33"/>
    <w:next w:val="a2"/>
    <w:uiPriority w:val="99"/>
    <w:semiHidden/>
    <w:unhideWhenUsed/>
    <w:rsid w:val="00250CE0"/>
  </w:style>
  <w:style w:type="numbering" w:customStyle="1" w:styleId="1230">
    <w:name w:val="Нет списка123"/>
    <w:next w:val="a2"/>
    <w:uiPriority w:val="99"/>
    <w:semiHidden/>
    <w:unhideWhenUsed/>
    <w:rsid w:val="00250CE0"/>
  </w:style>
  <w:style w:type="numbering" w:customStyle="1" w:styleId="2230">
    <w:name w:val="Нет списка223"/>
    <w:next w:val="a2"/>
    <w:uiPriority w:val="99"/>
    <w:semiHidden/>
    <w:unhideWhenUsed/>
    <w:rsid w:val="00250CE0"/>
  </w:style>
  <w:style w:type="numbering" w:customStyle="1" w:styleId="433">
    <w:name w:val="Нет списка43"/>
    <w:next w:val="a2"/>
    <w:uiPriority w:val="99"/>
    <w:semiHidden/>
    <w:unhideWhenUsed/>
    <w:rsid w:val="00250CE0"/>
  </w:style>
  <w:style w:type="numbering" w:customStyle="1" w:styleId="1330">
    <w:name w:val="Нет списка133"/>
    <w:next w:val="a2"/>
    <w:uiPriority w:val="99"/>
    <w:semiHidden/>
    <w:unhideWhenUsed/>
    <w:rsid w:val="00250CE0"/>
  </w:style>
  <w:style w:type="numbering" w:customStyle="1" w:styleId="2330">
    <w:name w:val="Нет списка233"/>
    <w:next w:val="a2"/>
    <w:uiPriority w:val="99"/>
    <w:semiHidden/>
    <w:unhideWhenUsed/>
    <w:rsid w:val="00250CE0"/>
  </w:style>
  <w:style w:type="table" w:customStyle="1" w:styleId="1131">
    <w:name w:val="Сетка таблицы113"/>
    <w:basedOn w:val="a1"/>
    <w:next w:val="a6"/>
    <w:uiPriority w:val="59"/>
    <w:rsid w:val="00250CE0"/>
    <w:pPr>
      <w:spacing w:line="240" w:lineRule="auto"/>
      <w:jc w:val="left"/>
    </w:pPr>
    <w:rPr>
      <w:rFonts w:ascii="Calibri" w:eastAsia="Calibri" w:hAnsi="Calibri"/>
      <w:sz w:val="22"/>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31">
    <w:name w:val="Сетка таблицы123"/>
    <w:basedOn w:val="a1"/>
    <w:next w:val="a6"/>
    <w:uiPriority w:val="59"/>
    <w:rsid w:val="00250CE0"/>
    <w:pPr>
      <w:spacing w:line="240" w:lineRule="auto"/>
      <w:jc w:val="left"/>
    </w:pPr>
    <w:rPr>
      <w:rFonts w:ascii="Calibri" w:eastAsia="Calibri" w:hAnsi="Calibri"/>
      <w:sz w:val="22"/>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83">
    <w:name w:val="Нет списка18"/>
    <w:next w:val="a2"/>
    <w:uiPriority w:val="99"/>
    <w:semiHidden/>
    <w:unhideWhenUsed/>
    <w:rsid w:val="00250CE0"/>
  </w:style>
  <w:style w:type="numbering" w:customStyle="1" w:styleId="192">
    <w:name w:val="Нет списка19"/>
    <w:next w:val="a2"/>
    <w:uiPriority w:val="99"/>
    <w:semiHidden/>
    <w:unhideWhenUsed/>
    <w:rsid w:val="00250CE0"/>
  </w:style>
  <w:style w:type="table" w:customStyle="1" w:styleId="193">
    <w:name w:val="Сетка таблицы19"/>
    <w:basedOn w:val="a1"/>
    <w:next w:val="a6"/>
    <w:rsid w:val="00250CE0"/>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61">
    <w:name w:val="Сетка таблицы46"/>
    <w:basedOn w:val="a1"/>
    <w:next w:val="a6"/>
    <w:rsid w:val="00250CE0"/>
    <w:pPr>
      <w:spacing w:line="240" w:lineRule="auto"/>
      <w:jc w:val="left"/>
    </w:pPr>
    <w:rPr>
      <w:rFonts w:ascii="Calibri" w:eastAsia="Times New Roman" w:hAnsi="Calibri"/>
      <w:sz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62">
    <w:name w:val="Сетка таблицы26"/>
    <w:basedOn w:val="a1"/>
    <w:next w:val="a6"/>
    <w:rsid w:val="00250CE0"/>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00">
    <w:name w:val="Сетка таблицы110"/>
    <w:basedOn w:val="a1"/>
    <w:next w:val="a6"/>
    <w:rsid w:val="00250CE0"/>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62">
    <w:name w:val="Сетка таблицы36"/>
    <w:basedOn w:val="a1"/>
    <w:next w:val="a6"/>
    <w:rsid w:val="00250CE0"/>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41">
    <w:name w:val="Сетка таблицы54"/>
    <w:basedOn w:val="a1"/>
    <w:next w:val="a6"/>
    <w:rsid w:val="00250CE0"/>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41">
    <w:name w:val="Сетка таблицы64"/>
    <w:basedOn w:val="a1"/>
    <w:next w:val="a6"/>
    <w:rsid w:val="00250CE0"/>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40">
    <w:name w:val="Сетка таблицы74"/>
    <w:basedOn w:val="a1"/>
    <w:next w:val="a6"/>
    <w:rsid w:val="00250CE0"/>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4">
    <w:name w:val="Сетка таблицы84"/>
    <w:basedOn w:val="a1"/>
    <w:next w:val="a6"/>
    <w:rsid w:val="00250CE0"/>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94">
    <w:name w:val="Сетка таблицы94"/>
    <w:basedOn w:val="a1"/>
    <w:next w:val="a6"/>
    <w:rsid w:val="00250CE0"/>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040">
    <w:name w:val="Сетка таблицы104"/>
    <w:basedOn w:val="a1"/>
    <w:next w:val="a6"/>
    <w:rsid w:val="00250CE0"/>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63">
    <w:name w:val="Нет списка26"/>
    <w:next w:val="a2"/>
    <w:uiPriority w:val="99"/>
    <w:semiHidden/>
    <w:unhideWhenUsed/>
    <w:rsid w:val="00250CE0"/>
  </w:style>
  <w:style w:type="numbering" w:customStyle="1" w:styleId="1140">
    <w:name w:val="Нет списка114"/>
    <w:next w:val="a2"/>
    <w:uiPriority w:val="99"/>
    <w:semiHidden/>
    <w:unhideWhenUsed/>
    <w:rsid w:val="00250CE0"/>
  </w:style>
  <w:style w:type="numbering" w:customStyle="1" w:styleId="2140">
    <w:name w:val="Нет списка214"/>
    <w:next w:val="a2"/>
    <w:uiPriority w:val="99"/>
    <w:semiHidden/>
    <w:unhideWhenUsed/>
    <w:rsid w:val="00250CE0"/>
  </w:style>
  <w:style w:type="numbering" w:customStyle="1" w:styleId="344">
    <w:name w:val="Нет списка34"/>
    <w:next w:val="a2"/>
    <w:uiPriority w:val="99"/>
    <w:semiHidden/>
    <w:unhideWhenUsed/>
    <w:rsid w:val="00250CE0"/>
  </w:style>
  <w:style w:type="numbering" w:customStyle="1" w:styleId="1240">
    <w:name w:val="Нет списка124"/>
    <w:next w:val="a2"/>
    <w:uiPriority w:val="99"/>
    <w:semiHidden/>
    <w:unhideWhenUsed/>
    <w:rsid w:val="00250CE0"/>
  </w:style>
  <w:style w:type="numbering" w:customStyle="1" w:styleId="224">
    <w:name w:val="Нет списка224"/>
    <w:next w:val="a2"/>
    <w:uiPriority w:val="99"/>
    <w:semiHidden/>
    <w:unhideWhenUsed/>
    <w:rsid w:val="00250CE0"/>
  </w:style>
  <w:style w:type="numbering" w:customStyle="1" w:styleId="443">
    <w:name w:val="Нет списка44"/>
    <w:next w:val="a2"/>
    <w:uiPriority w:val="99"/>
    <w:semiHidden/>
    <w:unhideWhenUsed/>
    <w:rsid w:val="00250CE0"/>
  </w:style>
  <w:style w:type="numbering" w:customStyle="1" w:styleId="1340">
    <w:name w:val="Нет списка134"/>
    <w:next w:val="a2"/>
    <w:uiPriority w:val="99"/>
    <w:semiHidden/>
    <w:unhideWhenUsed/>
    <w:rsid w:val="00250CE0"/>
  </w:style>
  <w:style w:type="numbering" w:customStyle="1" w:styleId="234">
    <w:name w:val="Нет списка234"/>
    <w:next w:val="a2"/>
    <w:uiPriority w:val="99"/>
    <w:semiHidden/>
    <w:unhideWhenUsed/>
    <w:rsid w:val="00250CE0"/>
  </w:style>
  <w:style w:type="table" w:customStyle="1" w:styleId="1141">
    <w:name w:val="Сетка таблицы114"/>
    <w:basedOn w:val="a1"/>
    <w:next w:val="a6"/>
    <w:uiPriority w:val="59"/>
    <w:rsid w:val="00250CE0"/>
    <w:pPr>
      <w:spacing w:line="240" w:lineRule="auto"/>
      <w:jc w:val="left"/>
    </w:pPr>
    <w:rPr>
      <w:rFonts w:ascii="Calibri" w:eastAsia="Calibri" w:hAnsi="Calibri"/>
      <w:sz w:val="22"/>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41">
    <w:name w:val="Сетка таблицы124"/>
    <w:basedOn w:val="a1"/>
    <w:next w:val="a6"/>
    <w:uiPriority w:val="59"/>
    <w:rsid w:val="00250CE0"/>
    <w:pPr>
      <w:spacing w:line="240" w:lineRule="auto"/>
      <w:jc w:val="left"/>
    </w:pPr>
    <w:rPr>
      <w:rFonts w:ascii="Calibri" w:eastAsia="Calibri" w:hAnsi="Calibri"/>
      <w:sz w:val="22"/>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02">
    <w:name w:val="Нет списка20"/>
    <w:next w:val="a2"/>
    <w:uiPriority w:val="99"/>
    <w:semiHidden/>
    <w:unhideWhenUsed/>
    <w:rsid w:val="00250CE0"/>
  </w:style>
  <w:style w:type="numbering" w:customStyle="1" w:styleId="1101">
    <w:name w:val="Нет списка110"/>
    <w:next w:val="a2"/>
    <w:uiPriority w:val="99"/>
    <w:semiHidden/>
    <w:unhideWhenUsed/>
    <w:rsid w:val="00250CE0"/>
  </w:style>
  <w:style w:type="table" w:customStyle="1" w:styleId="203">
    <w:name w:val="Сетка таблицы20"/>
    <w:basedOn w:val="a1"/>
    <w:next w:val="a6"/>
    <w:rsid w:val="00250CE0"/>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71">
    <w:name w:val="Сетка таблицы47"/>
    <w:basedOn w:val="a1"/>
    <w:next w:val="a6"/>
    <w:rsid w:val="00250CE0"/>
    <w:pPr>
      <w:spacing w:line="240" w:lineRule="auto"/>
      <w:jc w:val="left"/>
    </w:pPr>
    <w:rPr>
      <w:rFonts w:ascii="Calibri" w:eastAsia="Times New Roman" w:hAnsi="Calibri"/>
      <w:sz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72">
    <w:name w:val="Сетка таблицы27"/>
    <w:basedOn w:val="a1"/>
    <w:next w:val="a6"/>
    <w:rsid w:val="00250CE0"/>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50">
    <w:name w:val="Сетка таблицы115"/>
    <w:basedOn w:val="a1"/>
    <w:next w:val="a6"/>
    <w:rsid w:val="00250CE0"/>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72">
    <w:name w:val="Сетка таблицы37"/>
    <w:basedOn w:val="a1"/>
    <w:next w:val="a6"/>
    <w:rsid w:val="00250CE0"/>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51">
    <w:name w:val="Сетка таблицы55"/>
    <w:basedOn w:val="a1"/>
    <w:next w:val="a6"/>
    <w:rsid w:val="00250CE0"/>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50">
    <w:name w:val="Сетка таблицы65"/>
    <w:basedOn w:val="a1"/>
    <w:next w:val="a6"/>
    <w:rsid w:val="00250CE0"/>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50">
    <w:name w:val="Сетка таблицы75"/>
    <w:basedOn w:val="a1"/>
    <w:next w:val="a6"/>
    <w:rsid w:val="00250CE0"/>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5">
    <w:name w:val="Сетка таблицы85"/>
    <w:basedOn w:val="a1"/>
    <w:next w:val="a6"/>
    <w:rsid w:val="00250CE0"/>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95">
    <w:name w:val="Сетка таблицы95"/>
    <w:basedOn w:val="a1"/>
    <w:next w:val="a6"/>
    <w:rsid w:val="00250CE0"/>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05">
    <w:name w:val="Сетка таблицы105"/>
    <w:basedOn w:val="a1"/>
    <w:next w:val="a6"/>
    <w:rsid w:val="00250CE0"/>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73">
    <w:name w:val="Нет списка27"/>
    <w:next w:val="a2"/>
    <w:uiPriority w:val="99"/>
    <w:semiHidden/>
    <w:unhideWhenUsed/>
    <w:rsid w:val="00250CE0"/>
  </w:style>
  <w:style w:type="numbering" w:customStyle="1" w:styleId="1151">
    <w:name w:val="Нет списка115"/>
    <w:next w:val="a2"/>
    <w:uiPriority w:val="99"/>
    <w:semiHidden/>
    <w:unhideWhenUsed/>
    <w:rsid w:val="00250CE0"/>
  </w:style>
  <w:style w:type="numbering" w:customStyle="1" w:styleId="215">
    <w:name w:val="Нет списка215"/>
    <w:next w:val="a2"/>
    <w:uiPriority w:val="99"/>
    <w:semiHidden/>
    <w:unhideWhenUsed/>
    <w:rsid w:val="00250CE0"/>
  </w:style>
  <w:style w:type="numbering" w:customStyle="1" w:styleId="354">
    <w:name w:val="Нет списка35"/>
    <w:next w:val="a2"/>
    <w:uiPriority w:val="99"/>
    <w:semiHidden/>
    <w:unhideWhenUsed/>
    <w:rsid w:val="00250CE0"/>
  </w:style>
  <w:style w:type="numbering" w:customStyle="1" w:styleId="1250">
    <w:name w:val="Нет списка125"/>
    <w:next w:val="a2"/>
    <w:uiPriority w:val="99"/>
    <w:semiHidden/>
    <w:unhideWhenUsed/>
    <w:rsid w:val="00250CE0"/>
  </w:style>
  <w:style w:type="numbering" w:customStyle="1" w:styleId="225">
    <w:name w:val="Нет списка225"/>
    <w:next w:val="a2"/>
    <w:uiPriority w:val="99"/>
    <w:semiHidden/>
    <w:unhideWhenUsed/>
    <w:rsid w:val="00250CE0"/>
  </w:style>
  <w:style w:type="numbering" w:customStyle="1" w:styleId="453">
    <w:name w:val="Нет списка45"/>
    <w:next w:val="a2"/>
    <w:uiPriority w:val="99"/>
    <w:semiHidden/>
    <w:unhideWhenUsed/>
    <w:rsid w:val="00250CE0"/>
  </w:style>
  <w:style w:type="numbering" w:customStyle="1" w:styleId="1350">
    <w:name w:val="Нет списка135"/>
    <w:next w:val="a2"/>
    <w:uiPriority w:val="99"/>
    <w:semiHidden/>
    <w:unhideWhenUsed/>
    <w:rsid w:val="00250CE0"/>
  </w:style>
  <w:style w:type="numbering" w:customStyle="1" w:styleId="235">
    <w:name w:val="Нет списка235"/>
    <w:next w:val="a2"/>
    <w:uiPriority w:val="99"/>
    <w:semiHidden/>
    <w:unhideWhenUsed/>
    <w:rsid w:val="00250CE0"/>
  </w:style>
  <w:style w:type="table" w:customStyle="1" w:styleId="1160">
    <w:name w:val="Сетка таблицы116"/>
    <w:basedOn w:val="a1"/>
    <w:next w:val="a6"/>
    <w:uiPriority w:val="59"/>
    <w:rsid w:val="00250CE0"/>
    <w:pPr>
      <w:spacing w:line="240" w:lineRule="auto"/>
      <w:jc w:val="left"/>
    </w:pPr>
    <w:rPr>
      <w:rFonts w:ascii="Calibri" w:eastAsia="Calibri" w:hAnsi="Calibri"/>
      <w:sz w:val="22"/>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51">
    <w:name w:val="Сетка таблицы125"/>
    <w:basedOn w:val="a1"/>
    <w:next w:val="a6"/>
    <w:uiPriority w:val="59"/>
    <w:rsid w:val="00250CE0"/>
    <w:pPr>
      <w:spacing w:line="240" w:lineRule="auto"/>
      <w:jc w:val="left"/>
    </w:pPr>
    <w:rPr>
      <w:rFonts w:ascii="Calibri" w:eastAsia="Calibri" w:hAnsi="Calibri"/>
      <w:sz w:val="22"/>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xfmc1">
    <w:name w:val="xfmc1"/>
    <w:basedOn w:val="a"/>
    <w:rsid w:val="00B72E81"/>
    <w:pPr>
      <w:spacing w:before="100" w:beforeAutospacing="1" w:after="100" w:afterAutospacing="1" w:line="240" w:lineRule="auto"/>
      <w:jc w:val="left"/>
    </w:pPr>
    <w:rPr>
      <w:rFonts w:eastAsia="Times New Roman"/>
      <w:sz w:val="24"/>
      <w:szCs w:val="24"/>
      <w:lang w:val="ru-RU" w:eastAsia="ru-RU"/>
    </w:rPr>
  </w:style>
  <w:style w:type="paragraph" w:customStyle="1" w:styleId="xfmc2">
    <w:name w:val="xfmc2"/>
    <w:basedOn w:val="a"/>
    <w:rsid w:val="00B72E81"/>
    <w:pPr>
      <w:spacing w:before="100" w:beforeAutospacing="1" w:after="100" w:afterAutospacing="1" w:line="240" w:lineRule="auto"/>
      <w:jc w:val="left"/>
    </w:pPr>
    <w:rPr>
      <w:rFonts w:eastAsia="Times New Roman"/>
      <w:sz w:val="24"/>
      <w:szCs w:val="24"/>
      <w:lang w:val="ru-RU" w:eastAsia="ru-RU"/>
    </w:rPr>
  </w:style>
  <w:style w:type="paragraph" w:customStyle="1" w:styleId="xfmc3">
    <w:name w:val="xfmc3"/>
    <w:basedOn w:val="a"/>
    <w:rsid w:val="00B72E81"/>
    <w:pPr>
      <w:spacing w:before="100" w:beforeAutospacing="1" w:after="100" w:afterAutospacing="1" w:line="240" w:lineRule="auto"/>
      <w:jc w:val="left"/>
    </w:pPr>
    <w:rPr>
      <w:rFonts w:eastAsia="Times New Roman"/>
      <w:sz w:val="24"/>
      <w:szCs w:val="24"/>
      <w:lang w:val="ru-RU" w:eastAsia="ru-RU"/>
    </w:rPr>
  </w:style>
  <w:style w:type="paragraph" w:customStyle="1" w:styleId="1f2">
    <w:name w:val="Обычный (веб)1"/>
    <w:basedOn w:val="a"/>
    <w:next w:val="a3"/>
    <w:uiPriority w:val="99"/>
    <w:unhideWhenUsed/>
    <w:rsid w:val="00B72E81"/>
    <w:pPr>
      <w:spacing w:after="160" w:line="259" w:lineRule="auto"/>
      <w:jc w:val="left"/>
    </w:pPr>
    <w:rPr>
      <w:sz w:val="24"/>
      <w:szCs w:val="24"/>
      <w:lang w:val="en-US"/>
    </w:rPr>
  </w:style>
  <w:style w:type="table" w:customStyle="1" w:styleId="282">
    <w:name w:val="Сетка таблицы28"/>
    <w:basedOn w:val="a1"/>
    <w:next w:val="a6"/>
    <w:rsid w:val="00562204"/>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92">
    <w:name w:val="Сетка таблицы29"/>
    <w:basedOn w:val="a1"/>
    <w:next w:val="a6"/>
    <w:rsid w:val="00C24C6A"/>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f3">
    <w:name w:val="Абзац списка2"/>
    <w:basedOn w:val="a"/>
    <w:rsid w:val="003D1A8C"/>
    <w:pPr>
      <w:spacing w:line="240" w:lineRule="auto"/>
      <w:ind w:left="720"/>
      <w:contextualSpacing/>
      <w:jc w:val="left"/>
    </w:pPr>
    <w:rPr>
      <w:rFonts w:eastAsia="Calibri"/>
      <w:sz w:val="24"/>
      <w:szCs w:val="24"/>
      <w:lang w:eastAsia="uk-UA"/>
    </w:rPr>
  </w:style>
  <w:style w:type="numbering" w:customStyle="1" w:styleId="283">
    <w:name w:val="Нет списка28"/>
    <w:next w:val="a2"/>
    <w:uiPriority w:val="99"/>
    <w:semiHidden/>
    <w:unhideWhenUsed/>
    <w:rsid w:val="00887B51"/>
  </w:style>
  <w:style w:type="numbering" w:customStyle="1" w:styleId="1161">
    <w:name w:val="Нет списка116"/>
    <w:next w:val="a2"/>
    <w:uiPriority w:val="99"/>
    <w:semiHidden/>
    <w:unhideWhenUsed/>
    <w:rsid w:val="00887B51"/>
  </w:style>
  <w:style w:type="table" w:customStyle="1" w:styleId="302">
    <w:name w:val="Сетка таблицы30"/>
    <w:basedOn w:val="a1"/>
    <w:next w:val="a6"/>
    <w:rsid w:val="00887B51"/>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81">
    <w:name w:val="Сетка таблицы48"/>
    <w:basedOn w:val="a1"/>
    <w:next w:val="a6"/>
    <w:uiPriority w:val="39"/>
    <w:rsid w:val="00887B51"/>
    <w:pPr>
      <w:spacing w:line="240" w:lineRule="auto"/>
      <w:jc w:val="left"/>
    </w:pPr>
    <w:rPr>
      <w:rFonts w:ascii="Calibri" w:eastAsia="Times New Roman" w:hAnsi="Calibri"/>
      <w:sz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00">
    <w:name w:val="Сетка таблицы210"/>
    <w:basedOn w:val="a1"/>
    <w:next w:val="a6"/>
    <w:rsid w:val="00887B51"/>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7">
    <w:name w:val="Сетка таблицы117"/>
    <w:basedOn w:val="a1"/>
    <w:next w:val="a6"/>
    <w:rsid w:val="00887B51"/>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82">
    <w:name w:val="Сетка таблицы38"/>
    <w:basedOn w:val="a1"/>
    <w:next w:val="a6"/>
    <w:rsid w:val="00887B51"/>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61">
    <w:name w:val="Сетка таблицы56"/>
    <w:basedOn w:val="a1"/>
    <w:next w:val="a6"/>
    <w:rsid w:val="00887B51"/>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60">
    <w:name w:val="Сетка таблицы66"/>
    <w:basedOn w:val="a1"/>
    <w:next w:val="a6"/>
    <w:rsid w:val="00887B51"/>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60">
    <w:name w:val="Сетка таблицы76"/>
    <w:basedOn w:val="a1"/>
    <w:next w:val="a6"/>
    <w:rsid w:val="00887B51"/>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6">
    <w:name w:val="Сетка таблицы86"/>
    <w:basedOn w:val="a1"/>
    <w:next w:val="a6"/>
    <w:rsid w:val="00887B51"/>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96">
    <w:name w:val="Сетка таблицы96"/>
    <w:basedOn w:val="a1"/>
    <w:next w:val="a6"/>
    <w:rsid w:val="00887B51"/>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06">
    <w:name w:val="Сетка таблицы106"/>
    <w:basedOn w:val="a1"/>
    <w:next w:val="a6"/>
    <w:rsid w:val="00887B51"/>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93">
    <w:name w:val="Нет списка29"/>
    <w:next w:val="a2"/>
    <w:uiPriority w:val="99"/>
    <w:semiHidden/>
    <w:unhideWhenUsed/>
    <w:rsid w:val="00887B51"/>
  </w:style>
  <w:style w:type="numbering" w:customStyle="1" w:styleId="1170">
    <w:name w:val="Нет списка117"/>
    <w:next w:val="a2"/>
    <w:uiPriority w:val="99"/>
    <w:semiHidden/>
    <w:unhideWhenUsed/>
    <w:rsid w:val="00887B51"/>
  </w:style>
  <w:style w:type="numbering" w:customStyle="1" w:styleId="216">
    <w:name w:val="Нет списка216"/>
    <w:next w:val="a2"/>
    <w:uiPriority w:val="99"/>
    <w:semiHidden/>
    <w:unhideWhenUsed/>
    <w:rsid w:val="00887B51"/>
  </w:style>
  <w:style w:type="numbering" w:customStyle="1" w:styleId="363">
    <w:name w:val="Нет списка36"/>
    <w:next w:val="a2"/>
    <w:uiPriority w:val="99"/>
    <w:semiHidden/>
    <w:unhideWhenUsed/>
    <w:rsid w:val="00887B51"/>
  </w:style>
  <w:style w:type="numbering" w:customStyle="1" w:styleId="126">
    <w:name w:val="Нет списка126"/>
    <w:next w:val="a2"/>
    <w:uiPriority w:val="99"/>
    <w:semiHidden/>
    <w:unhideWhenUsed/>
    <w:rsid w:val="00887B51"/>
  </w:style>
  <w:style w:type="numbering" w:customStyle="1" w:styleId="2260">
    <w:name w:val="Нет списка226"/>
    <w:next w:val="a2"/>
    <w:uiPriority w:val="99"/>
    <w:semiHidden/>
    <w:unhideWhenUsed/>
    <w:rsid w:val="00887B51"/>
  </w:style>
  <w:style w:type="numbering" w:customStyle="1" w:styleId="462">
    <w:name w:val="Нет списка46"/>
    <w:next w:val="a2"/>
    <w:uiPriority w:val="99"/>
    <w:semiHidden/>
    <w:unhideWhenUsed/>
    <w:rsid w:val="00887B51"/>
  </w:style>
  <w:style w:type="numbering" w:customStyle="1" w:styleId="136">
    <w:name w:val="Нет списка136"/>
    <w:next w:val="a2"/>
    <w:uiPriority w:val="99"/>
    <w:semiHidden/>
    <w:unhideWhenUsed/>
    <w:rsid w:val="00887B51"/>
  </w:style>
  <w:style w:type="numbering" w:customStyle="1" w:styleId="236">
    <w:name w:val="Нет списка236"/>
    <w:next w:val="a2"/>
    <w:uiPriority w:val="99"/>
    <w:semiHidden/>
    <w:unhideWhenUsed/>
    <w:rsid w:val="00887B51"/>
  </w:style>
  <w:style w:type="table" w:customStyle="1" w:styleId="118">
    <w:name w:val="Сетка таблицы118"/>
    <w:basedOn w:val="a1"/>
    <w:next w:val="a6"/>
    <w:uiPriority w:val="59"/>
    <w:rsid w:val="00887B51"/>
    <w:pPr>
      <w:spacing w:line="240" w:lineRule="auto"/>
      <w:jc w:val="left"/>
    </w:pPr>
    <w:rPr>
      <w:rFonts w:ascii="Calibri" w:eastAsia="Calibri" w:hAnsi="Calibri"/>
      <w:sz w:val="22"/>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60">
    <w:name w:val="Сетка таблицы126"/>
    <w:basedOn w:val="a1"/>
    <w:next w:val="a6"/>
    <w:uiPriority w:val="59"/>
    <w:rsid w:val="00887B51"/>
    <w:pPr>
      <w:spacing w:line="240" w:lineRule="auto"/>
      <w:jc w:val="left"/>
    </w:pPr>
    <w:rPr>
      <w:rFonts w:ascii="Calibri" w:eastAsia="Calibri" w:hAnsi="Calibri"/>
      <w:sz w:val="22"/>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Normal6">
    <w:name w:val="Table Normal6"/>
    <w:uiPriority w:val="2"/>
    <w:semiHidden/>
    <w:unhideWhenUsed/>
    <w:qFormat/>
    <w:rsid w:val="00887B51"/>
    <w:pPr>
      <w:widowControl w:val="0"/>
      <w:autoSpaceDE w:val="0"/>
      <w:autoSpaceDN w:val="0"/>
      <w:spacing w:line="240" w:lineRule="auto"/>
      <w:jc w:val="left"/>
    </w:pPr>
    <w:rPr>
      <w:rFonts w:ascii="Calibri" w:hAnsi="Calibri"/>
      <w:sz w:val="22"/>
      <w:lang w:val="en-US"/>
    </w:rPr>
    <w:tblPr>
      <w:tblInd w:w="0" w:type="dxa"/>
      <w:tblCellMar>
        <w:top w:w="0" w:type="dxa"/>
        <w:left w:w="0" w:type="dxa"/>
        <w:bottom w:w="0" w:type="dxa"/>
        <w:right w:w="0" w:type="dxa"/>
      </w:tblCellMar>
    </w:tblPr>
  </w:style>
  <w:style w:type="numbering" w:customStyle="1" w:styleId="303">
    <w:name w:val="Нет списка30"/>
    <w:next w:val="a2"/>
    <w:uiPriority w:val="99"/>
    <w:semiHidden/>
    <w:unhideWhenUsed/>
    <w:rsid w:val="006B6A3E"/>
  </w:style>
  <w:style w:type="numbering" w:customStyle="1" w:styleId="1180">
    <w:name w:val="Нет списка118"/>
    <w:next w:val="a2"/>
    <w:uiPriority w:val="99"/>
    <w:semiHidden/>
    <w:unhideWhenUsed/>
    <w:rsid w:val="006B6A3E"/>
  </w:style>
  <w:style w:type="table" w:customStyle="1" w:styleId="392">
    <w:name w:val="Сетка таблицы39"/>
    <w:basedOn w:val="a1"/>
    <w:next w:val="a6"/>
    <w:rsid w:val="006B6A3E"/>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91">
    <w:name w:val="Сетка таблицы49"/>
    <w:basedOn w:val="a1"/>
    <w:next w:val="a6"/>
    <w:uiPriority w:val="39"/>
    <w:rsid w:val="006B6A3E"/>
    <w:pPr>
      <w:spacing w:line="240" w:lineRule="auto"/>
      <w:jc w:val="left"/>
    </w:pPr>
    <w:rPr>
      <w:rFonts w:ascii="Calibri" w:eastAsia="Times New Roman" w:hAnsi="Calibri"/>
      <w:sz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11">
    <w:name w:val="Сетка таблицы211"/>
    <w:basedOn w:val="a1"/>
    <w:next w:val="a6"/>
    <w:rsid w:val="006B6A3E"/>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9">
    <w:name w:val="Сетка таблицы119"/>
    <w:basedOn w:val="a1"/>
    <w:next w:val="a6"/>
    <w:rsid w:val="006B6A3E"/>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100">
    <w:name w:val="Сетка таблицы310"/>
    <w:basedOn w:val="a1"/>
    <w:next w:val="a6"/>
    <w:rsid w:val="006B6A3E"/>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71">
    <w:name w:val="Сетка таблицы57"/>
    <w:basedOn w:val="a1"/>
    <w:next w:val="a6"/>
    <w:rsid w:val="006B6A3E"/>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70">
    <w:name w:val="Сетка таблицы67"/>
    <w:basedOn w:val="a1"/>
    <w:next w:val="a6"/>
    <w:rsid w:val="006B6A3E"/>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70">
    <w:name w:val="Сетка таблицы77"/>
    <w:basedOn w:val="a1"/>
    <w:next w:val="a6"/>
    <w:rsid w:val="006B6A3E"/>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7">
    <w:name w:val="Сетка таблицы87"/>
    <w:basedOn w:val="a1"/>
    <w:next w:val="a6"/>
    <w:rsid w:val="006B6A3E"/>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97">
    <w:name w:val="Сетка таблицы97"/>
    <w:basedOn w:val="a1"/>
    <w:next w:val="a6"/>
    <w:rsid w:val="006B6A3E"/>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07">
    <w:name w:val="Сетка таблицы107"/>
    <w:basedOn w:val="a1"/>
    <w:next w:val="a6"/>
    <w:rsid w:val="006B6A3E"/>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101">
    <w:name w:val="Нет списка210"/>
    <w:next w:val="a2"/>
    <w:uiPriority w:val="99"/>
    <w:semiHidden/>
    <w:unhideWhenUsed/>
    <w:rsid w:val="006B6A3E"/>
  </w:style>
  <w:style w:type="numbering" w:customStyle="1" w:styleId="1190">
    <w:name w:val="Нет списка119"/>
    <w:next w:val="a2"/>
    <w:uiPriority w:val="99"/>
    <w:semiHidden/>
    <w:unhideWhenUsed/>
    <w:rsid w:val="006B6A3E"/>
  </w:style>
  <w:style w:type="numbering" w:customStyle="1" w:styleId="217">
    <w:name w:val="Нет списка217"/>
    <w:next w:val="a2"/>
    <w:uiPriority w:val="99"/>
    <w:semiHidden/>
    <w:unhideWhenUsed/>
    <w:rsid w:val="006B6A3E"/>
  </w:style>
  <w:style w:type="numbering" w:customStyle="1" w:styleId="373">
    <w:name w:val="Нет списка37"/>
    <w:next w:val="a2"/>
    <w:uiPriority w:val="99"/>
    <w:semiHidden/>
    <w:unhideWhenUsed/>
    <w:rsid w:val="006B6A3E"/>
  </w:style>
  <w:style w:type="numbering" w:customStyle="1" w:styleId="127">
    <w:name w:val="Нет списка127"/>
    <w:next w:val="a2"/>
    <w:uiPriority w:val="99"/>
    <w:semiHidden/>
    <w:unhideWhenUsed/>
    <w:rsid w:val="006B6A3E"/>
  </w:style>
  <w:style w:type="numbering" w:customStyle="1" w:styleId="227">
    <w:name w:val="Нет списка227"/>
    <w:next w:val="a2"/>
    <w:uiPriority w:val="99"/>
    <w:semiHidden/>
    <w:unhideWhenUsed/>
    <w:rsid w:val="006B6A3E"/>
  </w:style>
  <w:style w:type="numbering" w:customStyle="1" w:styleId="472">
    <w:name w:val="Нет списка47"/>
    <w:next w:val="a2"/>
    <w:uiPriority w:val="99"/>
    <w:semiHidden/>
    <w:unhideWhenUsed/>
    <w:rsid w:val="006B6A3E"/>
  </w:style>
  <w:style w:type="numbering" w:customStyle="1" w:styleId="137">
    <w:name w:val="Нет списка137"/>
    <w:next w:val="a2"/>
    <w:uiPriority w:val="99"/>
    <w:semiHidden/>
    <w:unhideWhenUsed/>
    <w:rsid w:val="006B6A3E"/>
  </w:style>
  <w:style w:type="numbering" w:customStyle="1" w:styleId="237">
    <w:name w:val="Нет списка237"/>
    <w:next w:val="a2"/>
    <w:uiPriority w:val="99"/>
    <w:semiHidden/>
    <w:unhideWhenUsed/>
    <w:rsid w:val="006B6A3E"/>
  </w:style>
  <w:style w:type="table" w:customStyle="1" w:styleId="11100">
    <w:name w:val="Сетка таблицы1110"/>
    <w:basedOn w:val="a1"/>
    <w:next w:val="a6"/>
    <w:uiPriority w:val="59"/>
    <w:rsid w:val="006B6A3E"/>
    <w:pPr>
      <w:spacing w:line="240" w:lineRule="auto"/>
      <w:jc w:val="left"/>
    </w:pPr>
    <w:rPr>
      <w:rFonts w:ascii="Calibri" w:eastAsia="Calibri" w:hAnsi="Calibri"/>
      <w:sz w:val="22"/>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70">
    <w:name w:val="Сетка таблицы127"/>
    <w:basedOn w:val="a1"/>
    <w:next w:val="a6"/>
    <w:uiPriority w:val="59"/>
    <w:rsid w:val="006B6A3E"/>
    <w:pPr>
      <w:spacing w:line="240" w:lineRule="auto"/>
      <w:jc w:val="left"/>
    </w:pPr>
    <w:rPr>
      <w:rFonts w:ascii="Calibri" w:eastAsia="Calibri" w:hAnsi="Calibri"/>
      <w:sz w:val="22"/>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Normal7">
    <w:name w:val="Table Normal7"/>
    <w:uiPriority w:val="2"/>
    <w:semiHidden/>
    <w:unhideWhenUsed/>
    <w:qFormat/>
    <w:rsid w:val="006B6A3E"/>
    <w:pPr>
      <w:widowControl w:val="0"/>
      <w:autoSpaceDE w:val="0"/>
      <w:autoSpaceDN w:val="0"/>
      <w:spacing w:line="240" w:lineRule="auto"/>
      <w:jc w:val="left"/>
    </w:pPr>
    <w:rPr>
      <w:rFonts w:ascii="Calibri" w:hAnsi="Calibri"/>
      <w:sz w:val="22"/>
      <w:lang w:val="en-US"/>
    </w:rPr>
    <w:tblPr>
      <w:tblInd w:w="0" w:type="dxa"/>
      <w:tblCellMar>
        <w:top w:w="0" w:type="dxa"/>
        <w:left w:w="0" w:type="dxa"/>
        <w:bottom w:w="0" w:type="dxa"/>
        <w:right w:w="0" w:type="dxa"/>
      </w:tblCellMar>
    </w:tblPr>
  </w:style>
  <w:style w:type="numbering" w:customStyle="1" w:styleId="383">
    <w:name w:val="Нет списка38"/>
    <w:next w:val="a2"/>
    <w:uiPriority w:val="99"/>
    <w:semiHidden/>
    <w:unhideWhenUsed/>
    <w:rsid w:val="00C43972"/>
  </w:style>
  <w:style w:type="numbering" w:customStyle="1" w:styleId="1200">
    <w:name w:val="Нет списка120"/>
    <w:next w:val="a2"/>
    <w:uiPriority w:val="99"/>
    <w:semiHidden/>
    <w:unhideWhenUsed/>
    <w:rsid w:val="00C43972"/>
  </w:style>
  <w:style w:type="table" w:customStyle="1" w:styleId="402">
    <w:name w:val="Сетка таблицы40"/>
    <w:basedOn w:val="a1"/>
    <w:next w:val="a6"/>
    <w:rsid w:val="00C43972"/>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100">
    <w:name w:val="Сетка таблицы410"/>
    <w:basedOn w:val="a1"/>
    <w:next w:val="a6"/>
    <w:uiPriority w:val="39"/>
    <w:rsid w:val="00C43972"/>
    <w:pPr>
      <w:spacing w:line="240" w:lineRule="auto"/>
      <w:jc w:val="left"/>
    </w:pPr>
    <w:rPr>
      <w:rFonts w:ascii="Calibri" w:eastAsia="Times New Roman" w:hAnsi="Calibri"/>
      <w:sz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21">
    <w:name w:val="Сетка таблицы212"/>
    <w:basedOn w:val="a1"/>
    <w:next w:val="a6"/>
    <w:rsid w:val="00C43972"/>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01">
    <w:name w:val="Сетка таблицы120"/>
    <w:basedOn w:val="a1"/>
    <w:next w:val="a6"/>
    <w:rsid w:val="00C43972"/>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110">
    <w:name w:val="Сетка таблицы311"/>
    <w:basedOn w:val="a1"/>
    <w:next w:val="a6"/>
    <w:rsid w:val="00C43972"/>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81">
    <w:name w:val="Сетка таблицы58"/>
    <w:basedOn w:val="a1"/>
    <w:next w:val="a6"/>
    <w:rsid w:val="00C43972"/>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8">
    <w:name w:val="Сетка таблицы68"/>
    <w:basedOn w:val="a1"/>
    <w:next w:val="a6"/>
    <w:rsid w:val="00C43972"/>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8">
    <w:name w:val="Сетка таблицы78"/>
    <w:basedOn w:val="a1"/>
    <w:next w:val="a6"/>
    <w:rsid w:val="00C43972"/>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8">
    <w:name w:val="Сетка таблицы88"/>
    <w:basedOn w:val="a1"/>
    <w:next w:val="a6"/>
    <w:rsid w:val="00C43972"/>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98">
    <w:name w:val="Сетка таблицы98"/>
    <w:basedOn w:val="a1"/>
    <w:next w:val="a6"/>
    <w:rsid w:val="00C43972"/>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08">
    <w:name w:val="Сетка таблицы108"/>
    <w:basedOn w:val="a1"/>
    <w:next w:val="a6"/>
    <w:rsid w:val="00C43972"/>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18">
    <w:name w:val="Нет списка218"/>
    <w:next w:val="a2"/>
    <w:uiPriority w:val="99"/>
    <w:semiHidden/>
    <w:unhideWhenUsed/>
    <w:rsid w:val="00C43972"/>
  </w:style>
  <w:style w:type="numbering" w:customStyle="1" w:styleId="11101">
    <w:name w:val="Нет списка1110"/>
    <w:next w:val="a2"/>
    <w:uiPriority w:val="99"/>
    <w:semiHidden/>
    <w:unhideWhenUsed/>
    <w:rsid w:val="00C43972"/>
  </w:style>
  <w:style w:type="numbering" w:customStyle="1" w:styleId="219">
    <w:name w:val="Нет списка219"/>
    <w:next w:val="a2"/>
    <w:uiPriority w:val="99"/>
    <w:semiHidden/>
    <w:unhideWhenUsed/>
    <w:rsid w:val="00C43972"/>
  </w:style>
  <w:style w:type="numbering" w:customStyle="1" w:styleId="393">
    <w:name w:val="Нет списка39"/>
    <w:next w:val="a2"/>
    <w:uiPriority w:val="99"/>
    <w:semiHidden/>
    <w:unhideWhenUsed/>
    <w:rsid w:val="00C43972"/>
  </w:style>
  <w:style w:type="numbering" w:customStyle="1" w:styleId="128">
    <w:name w:val="Нет списка128"/>
    <w:next w:val="a2"/>
    <w:uiPriority w:val="99"/>
    <w:semiHidden/>
    <w:unhideWhenUsed/>
    <w:rsid w:val="00C43972"/>
  </w:style>
  <w:style w:type="numbering" w:customStyle="1" w:styleId="228">
    <w:name w:val="Нет списка228"/>
    <w:next w:val="a2"/>
    <w:uiPriority w:val="99"/>
    <w:semiHidden/>
    <w:unhideWhenUsed/>
    <w:rsid w:val="00C43972"/>
  </w:style>
  <w:style w:type="numbering" w:customStyle="1" w:styleId="482">
    <w:name w:val="Нет списка48"/>
    <w:next w:val="a2"/>
    <w:uiPriority w:val="99"/>
    <w:semiHidden/>
    <w:unhideWhenUsed/>
    <w:rsid w:val="00C43972"/>
  </w:style>
  <w:style w:type="numbering" w:customStyle="1" w:styleId="138">
    <w:name w:val="Нет списка138"/>
    <w:next w:val="a2"/>
    <w:uiPriority w:val="99"/>
    <w:semiHidden/>
    <w:unhideWhenUsed/>
    <w:rsid w:val="00C43972"/>
  </w:style>
  <w:style w:type="numbering" w:customStyle="1" w:styleId="238">
    <w:name w:val="Нет списка238"/>
    <w:next w:val="a2"/>
    <w:uiPriority w:val="99"/>
    <w:semiHidden/>
    <w:unhideWhenUsed/>
    <w:rsid w:val="00C43972"/>
  </w:style>
  <w:style w:type="table" w:customStyle="1" w:styleId="11110">
    <w:name w:val="Сетка таблицы1111"/>
    <w:basedOn w:val="a1"/>
    <w:next w:val="a6"/>
    <w:uiPriority w:val="59"/>
    <w:rsid w:val="00C43972"/>
    <w:pPr>
      <w:spacing w:line="240" w:lineRule="auto"/>
      <w:jc w:val="left"/>
    </w:pPr>
    <w:rPr>
      <w:rFonts w:ascii="Calibri" w:eastAsia="Calibri" w:hAnsi="Calibri"/>
      <w:sz w:val="22"/>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80">
    <w:name w:val="Сетка таблицы128"/>
    <w:basedOn w:val="a1"/>
    <w:next w:val="a6"/>
    <w:uiPriority w:val="59"/>
    <w:rsid w:val="00C43972"/>
    <w:pPr>
      <w:spacing w:line="240" w:lineRule="auto"/>
      <w:jc w:val="left"/>
    </w:pPr>
    <w:rPr>
      <w:rFonts w:ascii="Calibri" w:eastAsia="Calibri" w:hAnsi="Calibri"/>
      <w:sz w:val="22"/>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Normal8">
    <w:name w:val="Table Normal8"/>
    <w:uiPriority w:val="2"/>
    <w:semiHidden/>
    <w:unhideWhenUsed/>
    <w:qFormat/>
    <w:rsid w:val="00C43972"/>
    <w:pPr>
      <w:widowControl w:val="0"/>
      <w:autoSpaceDE w:val="0"/>
      <w:autoSpaceDN w:val="0"/>
      <w:spacing w:line="240" w:lineRule="auto"/>
      <w:jc w:val="left"/>
    </w:pPr>
    <w:rPr>
      <w:rFonts w:ascii="Calibri" w:hAnsi="Calibri"/>
      <w:sz w:val="22"/>
      <w:lang w:val="en-US"/>
    </w:rPr>
    <w:tblPr>
      <w:tblInd w:w="0" w:type="dxa"/>
      <w:tblCellMar>
        <w:top w:w="0" w:type="dxa"/>
        <w:left w:w="0" w:type="dxa"/>
        <w:bottom w:w="0" w:type="dxa"/>
        <w:right w:w="0" w:type="dxa"/>
      </w:tblCellMar>
    </w:tblPr>
  </w:style>
  <w:style w:type="table" w:customStyle="1" w:styleId="TableNormal9">
    <w:name w:val="Table Normal9"/>
    <w:uiPriority w:val="2"/>
    <w:semiHidden/>
    <w:unhideWhenUsed/>
    <w:qFormat/>
    <w:rsid w:val="00A71F7A"/>
    <w:pPr>
      <w:widowControl w:val="0"/>
      <w:autoSpaceDE w:val="0"/>
      <w:autoSpaceDN w:val="0"/>
      <w:spacing w:line="240" w:lineRule="auto"/>
      <w:jc w:val="left"/>
    </w:pPr>
    <w:rPr>
      <w:rFonts w:ascii="Calibri" w:hAnsi="Calibri"/>
      <w:sz w:val="22"/>
      <w:lang w:val="en-US"/>
    </w:rPr>
    <w:tblPr>
      <w:tblInd w:w="0" w:type="dxa"/>
      <w:tblCellMar>
        <w:top w:w="0" w:type="dxa"/>
        <w:left w:w="0" w:type="dxa"/>
        <w:bottom w:w="0" w:type="dxa"/>
        <w:right w:w="0" w:type="dxa"/>
      </w:tblCellMar>
    </w:tblPr>
  </w:style>
  <w:style w:type="table" w:customStyle="1" w:styleId="502">
    <w:name w:val="Сетка таблицы50"/>
    <w:basedOn w:val="a1"/>
    <w:next w:val="a6"/>
    <w:rsid w:val="00D12CFB"/>
    <w:pPr>
      <w:spacing w:line="240" w:lineRule="auto"/>
    </w:pPr>
    <w:rPr>
      <w:rFonts w:ascii="Calibri" w:eastAsia="Calibri" w:hAnsi="Calibri"/>
      <w:sz w:val="20"/>
      <w:szCs w:val="20"/>
      <w:lang w:val="ru-RU" w:eastAsia="ru-RU"/>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91">
    <w:name w:val="Сетка таблицы59"/>
    <w:basedOn w:val="a1"/>
    <w:next w:val="a6"/>
    <w:rsid w:val="0039412A"/>
    <w:pPr>
      <w:spacing w:line="240" w:lineRule="auto"/>
    </w:pPr>
    <w:rPr>
      <w:rFonts w:ascii="Calibri" w:eastAsia="Calibri" w:hAnsi="Calibri"/>
      <w:sz w:val="20"/>
      <w:szCs w:val="20"/>
      <w:lang w:val="ru-RU" w:eastAsia="ru-RU"/>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602">
    <w:name w:val="Сетка таблицы60"/>
    <w:basedOn w:val="a1"/>
    <w:next w:val="a6"/>
    <w:rsid w:val="009E5667"/>
    <w:pPr>
      <w:spacing w:line="240" w:lineRule="auto"/>
    </w:pPr>
    <w:rPr>
      <w:rFonts w:ascii="Calibri" w:eastAsia="Calibri" w:hAnsi="Calibri"/>
      <w:sz w:val="20"/>
      <w:szCs w:val="20"/>
      <w:lang w:val="ru-RU" w:eastAsia="ru-RU"/>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010">
    <w:name w:val="Сетка таблицы501"/>
    <w:basedOn w:val="a1"/>
    <w:next w:val="a6"/>
    <w:rsid w:val="003D6F77"/>
    <w:pPr>
      <w:spacing w:line="240" w:lineRule="auto"/>
    </w:pPr>
    <w:rPr>
      <w:rFonts w:ascii="Calibri" w:eastAsia="Calibri" w:hAnsi="Calibri"/>
      <w:sz w:val="20"/>
      <w:szCs w:val="20"/>
      <w:lang w:val="ru-RU" w:eastAsia="ru-RU"/>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69">
    <w:name w:val="Сетка таблицы69"/>
    <w:basedOn w:val="a1"/>
    <w:next w:val="a6"/>
    <w:rsid w:val="0062050C"/>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00">
    <w:name w:val="Сетка таблицы70"/>
    <w:basedOn w:val="a1"/>
    <w:next w:val="a6"/>
    <w:rsid w:val="0062050C"/>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403">
    <w:name w:val="Нет списка40"/>
    <w:next w:val="a2"/>
    <w:uiPriority w:val="99"/>
    <w:semiHidden/>
    <w:unhideWhenUsed/>
    <w:rsid w:val="00F32158"/>
  </w:style>
  <w:style w:type="numbering" w:customStyle="1" w:styleId="129">
    <w:name w:val="Нет списка129"/>
    <w:next w:val="a2"/>
    <w:uiPriority w:val="99"/>
    <w:semiHidden/>
    <w:unhideWhenUsed/>
    <w:rsid w:val="00F32158"/>
  </w:style>
  <w:style w:type="table" w:customStyle="1" w:styleId="79">
    <w:name w:val="Сетка таблицы79"/>
    <w:basedOn w:val="a1"/>
    <w:next w:val="a6"/>
    <w:rsid w:val="00F32158"/>
    <w:pPr>
      <w:spacing w:line="240" w:lineRule="auto"/>
    </w:pPr>
    <w:rPr>
      <w:rFonts w:ascii="Calibri" w:eastAsia="Calibri" w:hAnsi="Calibri"/>
      <w:sz w:val="20"/>
      <w:szCs w:val="20"/>
      <w:lang w:val="ru-RU" w:eastAsia="ru-RU"/>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4110">
    <w:name w:val="Сетка таблицы411"/>
    <w:basedOn w:val="a1"/>
    <w:next w:val="a6"/>
    <w:rsid w:val="00F32158"/>
    <w:pPr>
      <w:spacing w:line="240" w:lineRule="auto"/>
    </w:pPr>
    <w:rPr>
      <w:rFonts w:ascii="Calibri" w:eastAsia="Times New Roman" w:hAnsi="Calibri"/>
      <w:sz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31">
    <w:name w:val="Сетка таблицы213"/>
    <w:basedOn w:val="a1"/>
    <w:next w:val="a6"/>
    <w:rsid w:val="00F32158"/>
    <w:pPr>
      <w:spacing w:line="240" w:lineRule="auto"/>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
    <w:name w:val="Нет списка1111"/>
    <w:next w:val="a2"/>
    <w:uiPriority w:val="99"/>
    <w:semiHidden/>
    <w:unhideWhenUsed/>
    <w:rsid w:val="00F32158"/>
  </w:style>
  <w:style w:type="table" w:customStyle="1" w:styleId="1290">
    <w:name w:val="Сетка таблицы129"/>
    <w:basedOn w:val="a1"/>
    <w:next w:val="a6"/>
    <w:rsid w:val="00F32158"/>
    <w:pPr>
      <w:spacing w:line="240" w:lineRule="auto"/>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f3">
    <w:name w:val="Верхний колонтитул1"/>
    <w:basedOn w:val="a"/>
    <w:next w:val="ab"/>
    <w:uiPriority w:val="99"/>
    <w:unhideWhenUsed/>
    <w:rsid w:val="00F32158"/>
    <w:pPr>
      <w:tabs>
        <w:tab w:val="center" w:pos="4844"/>
        <w:tab w:val="right" w:pos="9689"/>
      </w:tabs>
      <w:spacing w:line="240" w:lineRule="auto"/>
    </w:pPr>
    <w:rPr>
      <w:rFonts w:ascii="Calibri" w:hAnsi="Calibri"/>
      <w:sz w:val="22"/>
      <w:lang w:val="ru-RU"/>
    </w:rPr>
  </w:style>
  <w:style w:type="paragraph" w:customStyle="1" w:styleId="1f4">
    <w:name w:val="Нижний колонтитул1"/>
    <w:basedOn w:val="a"/>
    <w:next w:val="ad"/>
    <w:uiPriority w:val="99"/>
    <w:unhideWhenUsed/>
    <w:rsid w:val="00F32158"/>
    <w:pPr>
      <w:tabs>
        <w:tab w:val="center" w:pos="4844"/>
        <w:tab w:val="right" w:pos="9689"/>
      </w:tabs>
      <w:spacing w:line="240" w:lineRule="auto"/>
    </w:pPr>
    <w:rPr>
      <w:rFonts w:ascii="Calibri" w:hAnsi="Calibri"/>
      <w:sz w:val="22"/>
      <w:lang w:val="ru-RU"/>
    </w:rPr>
  </w:style>
  <w:style w:type="table" w:customStyle="1" w:styleId="4120">
    <w:name w:val="Сетка таблицы412"/>
    <w:basedOn w:val="a1"/>
    <w:next w:val="a6"/>
    <w:rsid w:val="00F32158"/>
    <w:pPr>
      <w:spacing w:line="240" w:lineRule="auto"/>
    </w:pPr>
    <w:rPr>
      <w:rFonts w:ascii="Calibri" w:eastAsia="Times New Roman" w:hAnsi="Calibri"/>
      <w:sz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41">
    <w:name w:val="Сетка таблицы214"/>
    <w:basedOn w:val="a1"/>
    <w:next w:val="a6"/>
    <w:rsid w:val="00F32158"/>
    <w:pPr>
      <w:spacing w:line="240" w:lineRule="auto"/>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120">
    <w:name w:val="Сетка таблицы312"/>
    <w:basedOn w:val="a1"/>
    <w:next w:val="a6"/>
    <w:rsid w:val="00F32158"/>
    <w:pPr>
      <w:spacing w:line="240" w:lineRule="auto"/>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100">
    <w:name w:val="Сетка таблицы510"/>
    <w:basedOn w:val="a1"/>
    <w:next w:val="a6"/>
    <w:rsid w:val="00F32158"/>
    <w:pPr>
      <w:spacing w:line="240" w:lineRule="auto"/>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100">
    <w:name w:val="Сетка таблицы610"/>
    <w:basedOn w:val="a1"/>
    <w:next w:val="a6"/>
    <w:rsid w:val="00F32158"/>
    <w:pPr>
      <w:spacing w:line="240" w:lineRule="auto"/>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100">
    <w:name w:val="Сетка таблицы710"/>
    <w:basedOn w:val="a1"/>
    <w:next w:val="a6"/>
    <w:rsid w:val="00F32158"/>
    <w:pPr>
      <w:spacing w:line="240" w:lineRule="auto"/>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9">
    <w:name w:val="Сетка таблицы89"/>
    <w:basedOn w:val="a1"/>
    <w:next w:val="a6"/>
    <w:rsid w:val="00F32158"/>
    <w:pPr>
      <w:spacing w:line="240" w:lineRule="auto"/>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99">
    <w:name w:val="Сетка таблицы99"/>
    <w:basedOn w:val="a1"/>
    <w:next w:val="a6"/>
    <w:rsid w:val="00F32158"/>
    <w:pPr>
      <w:spacing w:line="240" w:lineRule="auto"/>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09">
    <w:name w:val="Сетка таблицы109"/>
    <w:basedOn w:val="a1"/>
    <w:next w:val="a6"/>
    <w:rsid w:val="00F32158"/>
    <w:pPr>
      <w:spacing w:line="240" w:lineRule="auto"/>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f5">
    <w:name w:val="Текст примечания1"/>
    <w:basedOn w:val="a"/>
    <w:next w:val="af3"/>
    <w:uiPriority w:val="99"/>
    <w:semiHidden/>
    <w:unhideWhenUsed/>
    <w:rsid w:val="00F32158"/>
    <w:pPr>
      <w:spacing w:line="240" w:lineRule="auto"/>
    </w:pPr>
    <w:rPr>
      <w:rFonts w:ascii="Calibri" w:hAnsi="Calibri"/>
      <w:sz w:val="20"/>
      <w:szCs w:val="20"/>
      <w:lang w:val="ru-RU"/>
    </w:rPr>
  </w:style>
  <w:style w:type="character" w:customStyle="1" w:styleId="1f6">
    <w:name w:val="Текст примечания Знак1"/>
    <w:basedOn w:val="a0"/>
    <w:uiPriority w:val="99"/>
    <w:semiHidden/>
    <w:rsid w:val="00F32158"/>
    <w:rPr>
      <w:sz w:val="20"/>
      <w:szCs w:val="20"/>
    </w:rPr>
  </w:style>
  <w:style w:type="character" w:customStyle="1" w:styleId="2f4">
    <w:name w:val="Гиперссылка2"/>
    <w:basedOn w:val="a0"/>
    <w:uiPriority w:val="99"/>
    <w:unhideWhenUsed/>
    <w:rsid w:val="00F32158"/>
    <w:rPr>
      <w:color w:val="0563C1"/>
      <w:u w:val="single"/>
    </w:rPr>
  </w:style>
  <w:style w:type="character" w:customStyle="1" w:styleId="2f5">
    <w:name w:val="Просмотренная гиперссылка2"/>
    <w:basedOn w:val="a0"/>
    <w:uiPriority w:val="99"/>
    <w:unhideWhenUsed/>
    <w:rsid w:val="00F32158"/>
    <w:rPr>
      <w:color w:val="954F72"/>
      <w:u w:val="single"/>
    </w:rPr>
  </w:style>
  <w:style w:type="table" w:customStyle="1" w:styleId="TableNormal32">
    <w:name w:val="Table Normal32"/>
    <w:uiPriority w:val="2"/>
    <w:semiHidden/>
    <w:unhideWhenUsed/>
    <w:qFormat/>
    <w:rsid w:val="00F32158"/>
    <w:pPr>
      <w:widowControl w:val="0"/>
      <w:autoSpaceDE w:val="0"/>
      <w:autoSpaceDN w:val="0"/>
      <w:spacing w:line="240" w:lineRule="auto"/>
      <w:jc w:val="left"/>
    </w:pPr>
    <w:rPr>
      <w:rFonts w:ascii="Calibri" w:hAnsi="Calibri"/>
      <w:sz w:val="22"/>
      <w:lang w:val="en-US"/>
    </w:rPr>
    <w:tblPr>
      <w:tblInd w:w="0" w:type="dxa"/>
      <w:tblCellMar>
        <w:top w:w="0" w:type="dxa"/>
        <w:left w:w="0" w:type="dxa"/>
        <w:bottom w:w="0" w:type="dxa"/>
        <w:right w:w="0" w:type="dxa"/>
      </w:tblCellMar>
    </w:tblPr>
  </w:style>
  <w:style w:type="table" w:customStyle="1" w:styleId="TableNormal10">
    <w:name w:val="Table Normal10"/>
    <w:uiPriority w:val="2"/>
    <w:semiHidden/>
    <w:unhideWhenUsed/>
    <w:qFormat/>
    <w:rsid w:val="00F32158"/>
    <w:pPr>
      <w:widowControl w:val="0"/>
      <w:autoSpaceDE w:val="0"/>
      <w:autoSpaceDN w:val="0"/>
      <w:spacing w:line="240" w:lineRule="auto"/>
      <w:jc w:val="left"/>
    </w:pPr>
    <w:rPr>
      <w:rFonts w:ascii="Calibri" w:hAnsi="Calibri"/>
      <w:sz w:val="22"/>
      <w:lang w:val="en-US"/>
    </w:rPr>
    <w:tblPr>
      <w:tblInd w:w="0" w:type="dxa"/>
      <w:tblCellMar>
        <w:top w:w="0" w:type="dxa"/>
        <w:left w:w="0" w:type="dxa"/>
        <w:bottom w:w="0" w:type="dxa"/>
        <w:right w:w="0" w:type="dxa"/>
      </w:tblCellMar>
    </w:tblPr>
  </w:style>
  <w:style w:type="table" w:customStyle="1" w:styleId="TableNormal12">
    <w:name w:val="Table Normal12"/>
    <w:uiPriority w:val="2"/>
    <w:semiHidden/>
    <w:unhideWhenUsed/>
    <w:qFormat/>
    <w:rsid w:val="00F32158"/>
    <w:pPr>
      <w:widowControl w:val="0"/>
      <w:autoSpaceDE w:val="0"/>
      <w:autoSpaceDN w:val="0"/>
      <w:spacing w:line="240" w:lineRule="auto"/>
      <w:jc w:val="left"/>
    </w:pPr>
    <w:rPr>
      <w:rFonts w:ascii="Calibri" w:hAnsi="Calibri"/>
      <w:sz w:val="22"/>
      <w:lang w:val="en-US"/>
    </w:rPr>
    <w:tblPr>
      <w:tblInd w:w="0" w:type="dxa"/>
      <w:tblCellMar>
        <w:top w:w="0" w:type="dxa"/>
        <w:left w:w="0" w:type="dxa"/>
        <w:bottom w:w="0" w:type="dxa"/>
        <w:right w:w="0" w:type="dxa"/>
      </w:tblCellMar>
    </w:tblPr>
  </w:style>
  <w:style w:type="numbering" w:customStyle="1" w:styleId="11a">
    <w:name w:val="Немає списку11"/>
    <w:next w:val="a2"/>
    <w:uiPriority w:val="99"/>
    <w:semiHidden/>
    <w:unhideWhenUsed/>
    <w:rsid w:val="00F32158"/>
  </w:style>
  <w:style w:type="numbering" w:customStyle="1" w:styleId="21a">
    <w:name w:val="Немає списку21"/>
    <w:next w:val="a2"/>
    <w:uiPriority w:val="99"/>
    <w:semiHidden/>
    <w:unhideWhenUsed/>
    <w:rsid w:val="00F32158"/>
  </w:style>
  <w:style w:type="numbering" w:customStyle="1" w:styleId="1112">
    <w:name w:val="Нет списка1112"/>
    <w:next w:val="a2"/>
    <w:semiHidden/>
    <w:rsid w:val="00F32158"/>
  </w:style>
  <w:style w:type="numbering" w:customStyle="1" w:styleId="2200">
    <w:name w:val="Нет списка220"/>
    <w:next w:val="a2"/>
    <w:uiPriority w:val="99"/>
    <w:semiHidden/>
    <w:rsid w:val="00F32158"/>
  </w:style>
  <w:style w:type="numbering" w:customStyle="1" w:styleId="3101">
    <w:name w:val="Нет списка310"/>
    <w:next w:val="a2"/>
    <w:semiHidden/>
    <w:rsid w:val="00F32158"/>
  </w:style>
  <w:style w:type="table" w:customStyle="1" w:styleId="TableNormal22">
    <w:name w:val="Table Normal22"/>
    <w:uiPriority w:val="2"/>
    <w:semiHidden/>
    <w:unhideWhenUsed/>
    <w:qFormat/>
    <w:rsid w:val="00F32158"/>
    <w:pPr>
      <w:widowControl w:val="0"/>
      <w:autoSpaceDE w:val="0"/>
      <w:autoSpaceDN w:val="0"/>
      <w:spacing w:line="240" w:lineRule="auto"/>
      <w:jc w:val="left"/>
    </w:pPr>
    <w:rPr>
      <w:rFonts w:ascii="Calibri" w:hAnsi="Calibri"/>
      <w:sz w:val="22"/>
      <w:lang w:val="en-US"/>
    </w:rPr>
    <w:tblPr>
      <w:tblInd w:w="0" w:type="dxa"/>
      <w:tblCellMar>
        <w:top w:w="0" w:type="dxa"/>
        <w:left w:w="0" w:type="dxa"/>
        <w:bottom w:w="0" w:type="dxa"/>
        <w:right w:w="0" w:type="dxa"/>
      </w:tblCellMar>
    </w:tblPr>
  </w:style>
  <w:style w:type="numbering" w:customStyle="1" w:styleId="492">
    <w:name w:val="Нет списка49"/>
    <w:next w:val="a2"/>
    <w:uiPriority w:val="99"/>
    <w:semiHidden/>
    <w:unhideWhenUsed/>
    <w:rsid w:val="00F32158"/>
  </w:style>
  <w:style w:type="numbering" w:customStyle="1" w:styleId="12100">
    <w:name w:val="Нет списка1210"/>
    <w:next w:val="a2"/>
    <w:uiPriority w:val="99"/>
    <w:semiHidden/>
    <w:unhideWhenUsed/>
    <w:rsid w:val="00F32158"/>
  </w:style>
  <w:style w:type="numbering" w:customStyle="1" w:styleId="21100">
    <w:name w:val="Нет списка2110"/>
    <w:next w:val="a2"/>
    <w:uiPriority w:val="99"/>
    <w:semiHidden/>
    <w:unhideWhenUsed/>
    <w:rsid w:val="00F32158"/>
  </w:style>
  <w:style w:type="table" w:customStyle="1" w:styleId="11120">
    <w:name w:val="Сетка таблицы1112"/>
    <w:basedOn w:val="a1"/>
    <w:next w:val="a6"/>
    <w:rsid w:val="00F32158"/>
    <w:pPr>
      <w:spacing w:line="240" w:lineRule="auto"/>
      <w:jc w:val="left"/>
    </w:pPr>
    <w:rPr>
      <w:rFonts w:eastAsia="Times New Roman"/>
      <w:sz w:val="20"/>
      <w:szCs w:val="20"/>
      <w:lang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130">
    <w:name w:val="Сетка таблицы313"/>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513">
    <w:name w:val="Нет списка51"/>
    <w:next w:val="a2"/>
    <w:uiPriority w:val="99"/>
    <w:semiHidden/>
    <w:unhideWhenUsed/>
    <w:rsid w:val="00F32158"/>
  </w:style>
  <w:style w:type="numbering" w:customStyle="1" w:styleId="139">
    <w:name w:val="Нет списка139"/>
    <w:next w:val="a2"/>
    <w:uiPriority w:val="99"/>
    <w:semiHidden/>
    <w:unhideWhenUsed/>
    <w:rsid w:val="00F32158"/>
  </w:style>
  <w:style w:type="numbering" w:customStyle="1" w:styleId="229">
    <w:name w:val="Нет списка229"/>
    <w:next w:val="a2"/>
    <w:uiPriority w:val="99"/>
    <w:semiHidden/>
    <w:unhideWhenUsed/>
    <w:rsid w:val="00F32158"/>
  </w:style>
  <w:style w:type="table" w:customStyle="1" w:styleId="12101">
    <w:name w:val="Сетка таблицы1210"/>
    <w:basedOn w:val="a1"/>
    <w:next w:val="a6"/>
    <w:rsid w:val="00F32158"/>
    <w:pPr>
      <w:spacing w:line="240" w:lineRule="auto"/>
      <w:jc w:val="left"/>
    </w:pPr>
    <w:rPr>
      <w:rFonts w:eastAsia="Times New Roman"/>
      <w:sz w:val="20"/>
      <w:szCs w:val="20"/>
      <w:lang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211">
    <w:name w:val="Сетка таблицы221"/>
    <w:basedOn w:val="a1"/>
    <w:next w:val="a6"/>
    <w:rsid w:val="00F32158"/>
    <w:pPr>
      <w:spacing w:line="240" w:lineRule="auto"/>
      <w:jc w:val="left"/>
    </w:pPr>
    <w:rPr>
      <w:rFonts w:eastAsia="Times New Roman"/>
      <w:sz w:val="20"/>
      <w:szCs w:val="20"/>
      <w:lang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210">
    <w:name w:val="Сетка таблицы421"/>
    <w:basedOn w:val="a1"/>
    <w:next w:val="a6"/>
    <w:rsid w:val="00F32158"/>
    <w:pPr>
      <w:spacing w:line="240" w:lineRule="auto"/>
      <w:jc w:val="left"/>
    </w:pPr>
    <w:rPr>
      <w:rFonts w:ascii="Calibri" w:eastAsia="Times New Roman" w:hAnsi="Calibri"/>
      <w:sz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210">
    <w:name w:val="Сетка таблицы32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614">
    <w:name w:val="Нет списка61"/>
    <w:next w:val="a2"/>
    <w:uiPriority w:val="99"/>
    <w:semiHidden/>
    <w:unhideWhenUsed/>
    <w:rsid w:val="00F32158"/>
  </w:style>
  <w:style w:type="numbering" w:customStyle="1" w:styleId="1410">
    <w:name w:val="Нет списка141"/>
    <w:next w:val="a2"/>
    <w:semiHidden/>
    <w:rsid w:val="00F32158"/>
  </w:style>
  <w:style w:type="table" w:customStyle="1" w:styleId="TableNormal41">
    <w:name w:val="Table Normal41"/>
    <w:uiPriority w:val="2"/>
    <w:semiHidden/>
    <w:unhideWhenUsed/>
    <w:qFormat/>
    <w:rsid w:val="00F32158"/>
    <w:pPr>
      <w:widowControl w:val="0"/>
      <w:autoSpaceDE w:val="0"/>
      <w:autoSpaceDN w:val="0"/>
      <w:spacing w:line="240" w:lineRule="auto"/>
      <w:jc w:val="left"/>
    </w:pPr>
    <w:rPr>
      <w:rFonts w:ascii="Calibri" w:hAnsi="Calibri"/>
      <w:sz w:val="22"/>
      <w:lang w:val="en-US"/>
    </w:rPr>
    <w:tblPr>
      <w:tblInd w:w="0" w:type="dxa"/>
      <w:tblCellMar>
        <w:top w:w="0" w:type="dxa"/>
        <w:left w:w="0" w:type="dxa"/>
        <w:bottom w:w="0" w:type="dxa"/>
        <w:right w:w="0" w:type="dxa"/>
      </w:tblCellMar>
    </w:tblPr>
  </w:style>
  <w:style w:type="table" w:customStyle="1" w:styleId="TableNormal111">
    <w:name w:val="Table Normal111"/>
    <w:uiPriority w:val="2"/>
    <w:semiHidden/>
    <w:unhideWhenUsed/>
    <w:qFormat/>
    <w:rsid w:val="00F32158"/>
    <w:pPr>
      <w:widowControl w:val="0"/>
      <w:autoSpaceDE w:val="0"/>
      <w:autoSpaceDN w:val="0"/>
      <w:spacing w:line="240" w:lineRule="auto"/>
      <w:jc w:val="left"/>
    </w:pPr>
    <w:rPr>
      <w:rFonts w:ascii="Calibri" w:hAnsi="Calibri"/>
      <w:sz w:val="22"/>
      <w:lang w:val="en-US"/>
    </w:rPr>
    <w:tblPr>
      <w:tblInd w:w="0" w:type="dxa"/>
      <w:tblCellMar>
        <w:top w:w="0" w:type="dxa"/>
        <w:left w:w="0" w:type="dxa"/>
        <w:bottom w:w="0" w:type="dxa"/>
        <w:right w:w="0" w:type="dxa"/>
      </w:tblCellMar>
    </w:tblPr>
  </w:style>
  <w:style w:type="table" w:customStyle="1" w:styleId="TableNormal211">
    <w:name w:val="Table Normal211"/>
    <w:uiPriority w:val="2"/>
    <w:semiHidden/>
    <w:unhideWhenUsed/>
    <w:qFormat/>
    <w:rsid w:val="00F32158"/>
    <w:pPr>
      <w:widowControl w:val="0"/>
      <w:autoSpaceDE w:val="0"/>
      <w:autoSpaceDN w:val="0"/>
      <w:spacing w:line="240" w:lineRule="auto"/>
      <w:jc w:val="left"/>
    </w:pPr>
    <w:rPr>
      <w:rFonts w:ascii="Calibri" w:hAnsi="Calibri"/>
      <w:sz w:val="22"/>
      <w:lang w:val="en-US"/>
    </w:rPr>
    <w:tblPr>
      <w:tblInd w:w="0" w:type="dxa"/>
      <w:tblCellMar>
        <w:top w:w="0" w:type="dxa"/>
        <w:left w:w="0" w:type="dxa"/>
        <w:bottom w:w="0" w:type="dxa"/>
        <w:right w:w="0" w:type="dxa"/>
      </w:tblCellMar>
    </w:tblPr>
  </w:style>
  <w:style w:type="table" w:customStyle="1" w:styleId="TableNormal311">
    <w:name w:val="Table Normal311"/>
    <w:uiPriority w:val="2"/>
    <w:semiHidden/>
    <w:unhideWhenUsed/>
    <w:qFormat/>
    <w:rsid w:val="00F32158"/>
    <w:pPr>
      <w:widowControl w:val="0"/>
      <w:autoSpaceDE w:val="0"/>
      <w:autoSpaceDN w:val="0"/>
      <w:spacing w:line="240" w:lineRule="auto"/>
      <w:jc w:val="left"/>
    </w:pPr>
    <w:rPr>
      <w:rFonts w:ascii="Calibri" w:hAnsi="Calibri"/>
      <w:sz w:val="22"/>
      <w:lang w:val="en-US"/>
    </w:rPr>
    <w:tblPr>
      <w:tblInd w:w="0" w:type="dxa"/>
      <w:tblCellMar>
        <w:top w:w="0" w:type="dxa"/>
        <w:left w:w="0" w:type="dxa"/>
        <w:bottom w:w="0" w:type="dxa"/>
        <w:right w:w="0" w:type="dxa"/>
      </w:tblCellMar>
    </w:tblPr>
  </w:style>
  <w:style w:type="table" w:customStyle="1" w:styleId="TableNormal51">
    <w:name w:val="Table Normal51"/>
    <w:uiPriority w:val="2"/>
    <w:semiHidden/>
    <w:unhideWhenUsed/>
    <w:qFormat/>
    <w:rsid w:val="00F32158"/>
    <w:pPr>
      <w:widowControl w:val="0"/>
      <w:autoSpaceDE w:val="0"/>
      <w:autoSpaceDN w:val="0"/>
      <w:spacing w:line="240" w:lineRule="auto"/>
      <w:jc w:val="left"/>
    </w:pPr>
    <w:rPr>
      <w:rFonts w:ascii="Calibri" w:hAnsi="Calibri"/>
      <w:sz w:val="22"/>
      <w:lang w:val="en-US"/>
    </w:rPr>
    <w:tblPr>
      <w:tblInd w:w="0" w:type="dxa"/>
      <w:tblCellMar>
        <w:top w:w="0" w:type="dxa"/>
        <w:left w:w="0" w:type="dxa"/>
        <w:bottom w:w="0" w:type="dxa"/>
        <w:right w:w="0" w:type="dxa"/>
      </w:tblCellMar>
    </w:tblPr>
  </w:style>
  <w:style w:type="numbering" w:customStyle="1" w:styleId="713">
    <w:name w:val="Нет списка71"/>
    <w:next w:val="a2"/>
    <w:uiPriority w:val="99"/>
    <w:semiHidden/>
    <w:unhideWhenUsed/>
    <w:rsid w:val="00F32158"/>
  </w:style>
  <w:style w:type="numbering" w:customStyle="1" w:styleId="811">
    <w:name w:val="Нет списка81"/>
    <w:next w:val="a2"/>
    <w:uiPriority w:val="99"/>
    <w:semiHidden/>
    <w:unhideWhenUsed/>
    <w:rsid w:val="00F32158"/>
  </w:style>
  <w:style w:type="numbering" w:customStyle="1" w:styleId="1510">
    <w:name w:val="Нет списка151"/>
    <w:next w:val="a2"/>
    <w:uiPriority w:val="99"/>
    <w:semiHidden/>
    <w:unhideWhenUsed/>
    <w:rsid w:val="00F32158"/>
  </w:style>
  <w:style w:type="table" w:customStyle="1" w:styleId="1311">
    <w:name w:val="Сетка таблицы13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310">
    <w:name w:val="Сетка таблицы431"/>
    <w:basedOn w:val="a1"/>
    <w:next w:val="a6"/>
    <w:rsid w:val="00F32158"/>
    <w:pPr>
      <w:spacing w:line="240" w:lineRule="auto"/>
      <w:jc w:val="left"/>
    </w:pPr>
    <w:rPr>
      <w:rFonts w:ascii="Calibri" w:eastAsia="Times New Roman" w:hAnsi="Calibri"/>
      <w:sz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11">
    <w:name w:val="Сетка таблицы23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411">
    <w:name w:val="Сетка таблицы14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310">
    <w:name w:val="Сетка таблицы33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110">
    <w:name w:val="Сетка таблицы51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110">
    <w:name w:val="Сетка таблицы61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110">
    <w:name w:val="Сетка таблицы71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110">
    <w:name w:val="Сетка таблицы81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911">
    <w:name w:val="Сетка таблицы91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011">
    <w:name w:val="Сетка таблицы101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39">
    <w:name w:val="Нет списка239"/>
    <w:next w:val="a2"/>
    <w:uiPriority w:val="99"/>
    <w:semiHidden/>
    <w:unhideWhenUsed/>
    <w:rsid w:val="00F32158"/>
  </w:style>
  <w:style w:type="numbering" w:customStyle="1" w:styleId="111110">
    <w:name w:val="Нет списка11111"/>
    <w:next w:val="a2"/>
    <w:uiPriority w:val="99"/>
    <w:semiHidden/>
    <w:unhideWhenUsed/>
    <w:rsid w:val="00F32158"/>
  </w:style>
  <w:style w:type="numbering" w:customStyle="1" w:styleId="21110">
    <w:name w:val="Нет списка2111"/>
    <w:next w:val="a2"/>
    <w:uiPriority w:val="99"/>
    <w:semiHidden/>
    <w:unhideWhenUsed/>
    <w:rsid w:val="00F32158"/>
  </w:style>
  <w:style w:type="numbering" w:customStyle="1" w:styleId="3111">
    <w:name w:val="Нет списка311"/>
    <w:next w:val="a2"/>
    <w:uiPriority w:val="99"/>
    <w:semiHidden/>
    <w:unhideWhenUsed/>
    <w:rsid w:val="00F32158"/>
  </w:style>
  <w:style w:type="numbering" w:customStyle="1" w:styleId="12110">
    <w:name w:val="Нет списка1211"/>
    <w:next w:val="a2"/>
    <w:uiPriority w:val="99"/>
    <w:semiHidden/>
    <w:unhideWhenUsed/>
    <w:rsid w:val="00F32158"/>
  </w:style>
  <w:style w:type="numbering" w:customStyle="1" w:styleId="22110">
    <w:name w:val="Нет списка2211"/>
    <w:next w:val="a2"/>
    <w:uiPriority w:val="99"/>
    <w:semiHidden/>
    <w:unhideWhenUsed/>
    <w:rsid w:val="00F32158"/>
  </w:style>
  <w:style w:type="numbering" w:customStyle="1" w:styleId="4111">
    <w:name w:val="Нет списка411"/>
    <w:next w:val="a2"/>
    <w:uiPriority w:val="99"/>
    <w:semiHidden/>
    <w:unhideWhenUsed/>
    <w:rsid w:val="00F32158"/>
  </w:style>
  <w:style w:type="numbering" w:customStyle="1" w:styleId="13110">
    <w:name w:val="Нет списка1311"/>
    <w:next w:val="a2"/>
    <w:uiPriority w:val="99"/>
    <w:semiHidden/>
    <w:unhideWhenUsed/>
    <w:rsid w:val="00F32158"/>
  </w:style>
  <w:style w:type="numbering" w:customStyle="1" w:styleId="23110">
    <w:name w:val="Нет списка2311"/>
    <w:next w:val="a2"/>
    <w:uiPriority w:val="99"/>
    <w:semiHidden/>
    <w:unhideWhenUsed/>
    <w:rsid w:val="00F32158"/>
  </w:style>
  <w:style w:type="table" w:customStyle="1" w:styleId="1113">
    <w:name w:val="Сетка таблицы1113"/>
    <w:basedOn w:val="a1"/>
    <w:next w:val="a6"/>
    <w:uiPriority w:val="59"/>
    <w:rsid w:val="00F32158"/>
    <w:pPr>
      <w:spacing w:line="240" w:lineRule="auto"/>
      <w:jc w:val="left"/>
    </w:pPr>
    <w:rPr>
      <w:rFonts w:ascii="Calibri" w:eastAsia="Calibri" w:hAnsi="Calibri"/>
      <w:sz w:val="22"/>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111">
    <w:name w:val="Сетка таблицы1211"/>
    <w:basedOn w:val="a1"/>
    <w:next w:val="a6"/>
    <w:uiPriority w:val="59"/>
    <w:rsid w:val="00F32158"/>
    <w:pPr>
      <w:spacing w:line="240" w:lineRule="auto"/>
      <w:jc w:val="left"/>
    </w:pPr>
    <w:rPr>
      <w:rFonts w:ascii="Calibri" w:eastAsia="Calibri" w:hAnsi="Calibri"/>
      <w:sz w:val="22"/>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912">
    <w:name w:val="Нет списка91"/>
    <w:next w:val="a2"/>
    <w:uiPriority w:val="99"/>
    <w:semiHidden/>
    <w:unhideWhenUsed/>
    <w:rsid w:val="00F32158"/>
  </w:style>
  <w:style w:type="numbering" w:customStyle="1" w:styleId="1610">
    <w:name w:val="Нет списка161"/>
    <w:next w:val="a2"/>
    <w:uiPriority w:val="99"/>
    <w:semiHidden/>
    <w:unhideWhenUsed/>
    <w:rsid w:val="00F32158"/>
  </w:style>
  <w:style w:type="table" w:customStyle="1" w:styleId="1511">
    <w:name w:val="Сетка таблицы15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410">
    <w:name w:val="Сетка таблицы441"/>
    <w:basedOn w:val="a1"/>
    <w:next w:val="a6"/>
    <w:rsid w:val="00F32158"/>
    <w:pPr>
      <w:spacing w:line="240" w:lineRule="auto"/>
      <w:jc w:val="left"/>
    </w:pPr>
    <w:rPr>
      <w:rFonts w:ascii="Calibri" w:eastAsia="Times New Roman" w:hAnsi="Calibri"/>
      <w:sz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10">
    <w:name w:val="Сетка таблицы24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611">
    <w:name w:val="Сетка таблицы16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410">
    <w:name w:val="Сетка таблицы34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210">
    <w:name w:val="Сетка таблицы52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210">
    <w:name w:val="Сетка таблицы62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210">
    <w:name w:val="Сетка таблицы72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21">
    <w:name w:val="Сетка таблицы82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921">
    <w:name w:val="Сетка таблицы92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021">
    <w:name w:val="Сетка таблицы102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411">
    <w:name w:val="Нет списка241"/>
    <w:next w:val="a2"/>
    <w:uiPriority w:val="99"/>
    <w:semiHidden/>
    <w:unhideWhenUsed/>
    <w:rsid w:val="00F32158"/>
  </w:style>
  <w:style w:type="numbering" w:customStyle="1" w:styleId="11210">
    <w:name w:val="Нет списка1121"/>
    <w:next w:val="a2"/>
    <w:uiPriority w:val="99"/>
    <w:semiHidden/>
    <w:unhideWhenUsed/>
    <w:rsid w:val="00F32158"/>
  </w:style>
  <w:style w:type="numbering" w:customStyle="1" w:styleId="21210">
    <w:name w:val="Нет списка2121"/>
    <w:next w:val="a2"/>
    <w:uiPriority w:val="99"/>
    <w:semiHidden/>
    <w:unhideWhenUsed/>
    <w:rsid w:val="00F32158"/>
  </w:style>
  <w:style w:type="numbering" w:customStyle="1" w:styleId="3211">
    <w:name w:val="Нет списка321"/>
    <w:next w:val="a2"/>
    <w:uiPriority w:val="99"/>
    <w:semiHidden/>
    <w:unhideWhenUsed/>
    <w:rsid w:val="00F32158"/>
  </w:style>
  <w:style w:type="numbering" w:customStyle="1" w:styleId="12210">
    <w:name w:val="Нет списка1221"/>
    <w:next w:val="a2"/>
    <w:uiPriority w:val="99"/>
    <w:semiHidden/>
    <w:unhideWhenUsed/>
    <w:rsid w:val="00F32158"/>
  </w:style>
  <w:style w:type="numbering" w:customStyle="1" w:styleId="2221">
    <w:name w:val="Нет списка2221"/>
    <w:next w:val="a2"/>
    <w:uiPriority w:val="99"/>
    <w:semiHidden/>
    <w:unhideWhenUsed/>
    <w:rsid w:val="00F32158"/>
  </w:style>
  <w:style w:type="numbering" w:customStyle="1" w:styleId="4211">
    <w:name w:val="Нет списка421"/>
    <w:next w:val="a2"/>
    <w:uiPriority w:val="99"/>
    <w:semiHidden/>
    <w:unhideWhenUsed/>
    <w:rsid w:val="00F32158"/>
  </w:style>
  <w:style w:type="numbering" w:customStyle="1" w:styleId="1321">
    <w:name w:val="Нет списка1321"/>
    <w:next w:val="a2"/>
    <w:uiPriority w:val="99"/>
    <w:semiHidden/>
    <w:unhideWhenUsed/>
    <w:rsid w:val="00F32158"/>
  </w:style>
  <w:style w:type="numbering" w:customStyle="1" w:styleId="2321">
    <w:name w:val="Нет списка2321"/>
    <w:next w:val="a2"/>
    <w:uiPriority w:val="99"/>
    <w:semiHidden/>
    <w:unhideWhenUsed/>
    <w:rsid w:val="00F32158"/>
  </w:style>
  <w:style w:type="table" w:customStyle="1" w:styleId="11211">
    <w:name w:val="Сетка таблицы1121"/>
    <w:basedOn w:val="a1"/>
    <w:next w:val="a6"/>
    <w:uiPriority w:val="59"/>
    <w:rsid w:val="00F32158"/>
    <w:pPr>
      <w:spacing w:line="240" w:lineRule="auto"/>
      <w:jc w:val="left"/>
    </w:pPr>
    <w:rPr>
      <w:rFonts w:ascii="Calibri" w:eastAsia="Calibri" w:hAnsi="Calibri"/>
      <w:sz w:val="22"/>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211">
    <w:name w:val="Сетка таблицы1221"/>
    <w:basedOn w:val="a1"/>
    <w:next w:val="a6"/>
    <w:uiPriority w:val="59"/>
    <w:rsid w:val="00F32158"/>
    <w:pPr>
      <w:spacing w:line="240" w:lineRule="auto"/>
      <w:jc w:val="left"/>
    </w:pPr>
    <w:rPr>
      <w:rFonts w:ascii="Calibri" w:eastAsia="Calibri" w:hAnsi="Calibri"/>
      <w:sz w:val="22"/>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012">
    <w:name w:val="Нет списка101"/>
    <w:next w:val="a2"/>
    <w:uiPriority w:val="99"/>
    <w:semiHidden/>
    <w:unhideWhenUsed/>
    <w:rsid w:val="00F32158"/>
  </w:style>
  <w:style w:type="numbering" w:customStyle="1" w:styleId="1710">
    <w:name w:val="Нет списка171"/>
    <w:next w:val="a2"/>
    <w:uiPriority w:val="99"/>
    <w:semiHidden/>
    <w:unhideWhenUsed/>
    <w:rsid w:val="00F32158"/>
  </w:style>
  <w:style w:type="table" w:customStyle="1" w:styleId="1711">
    <w:name w:val="Сетка таблицы17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510">
    <w:name w:val="Сетка таблицы451"/>
    <w:basedOn w:val="a1"/>
    <w:next w:val="a6"/>
    <w:rsid w:val="00F32158"/>
    <w:pPr>
      <w:spacing w:line="240" w:lineRule="auto"/>
      <w:jc w:val="left"/>
    </w:pPr>
    <w:rPr>
      <w:rFonts w:ascii="Calibri" w:eastAsia="Times New Roman" w:hAnsi="Calibri"/>
      <w:sz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510">
    <w:name w:val="Сетка таблицы25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810">
    <w:name w:val="Сетка таблицы18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510">
    <w:name w:val="Сетка таблицы35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310">
    <w:name w:val="Сетка таблицы53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310">
    <w:name w:val="Сетка таблицы63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310">
    <w:name w:val="Сетка таблицы73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31">
    <w:name w:val="Сетка таблицы83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931">
    <w:name w:val="Сетка таблицы93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031">
    <w:name w:val="Сетка таблицы103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511">
    <w:name w:val="Нет списка251"/>
    <w:next w:val="a2"/>
    <w:uiPriority w:val="99"/>
    <w:semiHidden/>
    <w:unhideWhenUsed/>
    <w:rsid w:val="00F32158"/>
  </w:style>
  <w:style w:type="numbering" w:customStyle="1" w:styleId="11310">
    <w:name w:val="Нет списка1131"/>
    <w:next w:val="a2"/>
    <w:uiPriority w:val="99"/>
    <w:semiHidden/>
    <w:unhideWhenUsed/>
    <w:rsid w:val="00F32158"/>
  </w:style>
  <w:style w:type="numbering" w:customStyle="1" w:styleId="21310">
    <w:name w:val="Нет списка2131"/>
    <w:next w:val="a2"/>
    <w:uiPriority w:val="99"/>
    <w:semiHidden/>
    <w:unhideWhenUsed/>
    <w:rsid w:val="00F32158"/>
  </w:style>
  <w:style w:type="numbering" w:customStyle="1" w:styleId="3311">
    <w:name w:val="Нет списка331"/>
    <w:next w:val="a2"/>
    <w:uiPriority w:val="99"/>
    <w:semiHidden/>
    <w:unhideWhenUsed/>
    <w:rsid w:val="00F32158"/>
  </w:style>
  <w:style w:type="numbering" w:customStyle="1" w:styleId="12310">
    <w:name w:val="Нет списка1231"/>
    <w:next w:val="a2"/>
    <w:uiPriority w:val="99"/>
    <w:semiHidden/>
    <w:unhideWhenUsed/>
    <w:rsid w:val="00F32158"/>
  </w:style>
  <w:style w:type="numbering" w:customStyle="1" w:styleId="2231">
    <w:name w:val="Нет списка2231"/>
    <w:next w:val="a2"/>
    <w:uiPriority w:val="99"/>
    <w:semiHidden/>
    <w:unhideWhenUsed/>
    <w:rsid w:val="00F32158"/>
  </w:style>
  <w:style w:type="numbering" w:customStyle="1" w:styleId="4311">
    <w:name w:val="Нет списка431"/>
    <w:next w:val="a2"/>
    <w:uiPriority w:val="99"/>
    <w:semiHidden/>
    <w:unhideWhenUsed/>
    <w:rsid w:val="00F32158"/>
  </w:style>
  <w:style w:type="numbering" w:customStyle="1" w:styleId="1331">
    <w:name w:val="Нет списка1331"/>
    <w:next w:val="a2"/>
    <w:uiPriority w:val="99"/>
    <w:semiHidden/>
    <w:unhideWhenUsed/>
    <w:rsid w:val="00F32158"/>
  </w:style>
  <w:style w:type="numbering" w:customStyle="1" w:styleId="2331">
    <w:name w:val="Нет списка2331"/>
    <w:next w:val="a2"/>
    <w:uiPriority w:val="99"/>
    <w:semiHidden/>
    <w:unhideWhenUsed/>
    <w:rsid w:val="00F32158"/>
  </w:style>
  <w:style w:type="table" w:customStyle="1" w:styleId="11311">
    <w:name w:val="Сетка таблицы1131"/>
    <w:basedOn w:val="a1"/>
    <w:next w:val="a6"/>
    <w:uiPriority w:val="59"/>
    <w:rsid w:val="00F32158"/>
    <w:pPr>
      <w:spacing w:line="240" w:lineRule="auto"/>
      <w:jc w:val="left"/>
    </w:pPr>
    <w:rPr>
      <w:rFonts w:ascii="Calibri" w:eastAsia="Calibri" w:hAnsi="Calibri"/>
      <w:sz w:val="22"/>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311">
    <w:name w:val="Сетка таблицы1231"/>
    <w:basedOn w:val="a1"/>
    <w:next w:val="a6"/>
    <w:uiPriority w:val="59"/>
    <w:rsid w:val="00F32158"/>
    <w:pPr>
      <w:spacing w:line="240" w:lineRule="auto"/>
      <w:jc w:val="left"/>
    </w:pPr>
    <w:rPr>
      <w:rFonts w:ascii="Calibri" w:eastAsia="Calibri" w:hAnsi="Calibri"/>
      <w:sz w:val="22"/>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811">
    <w:name w:val="Нет списка181"/>
    <w:next w:val="a2"/>
    <w:uiPriority w:val="99"/>
    <w:semiHidden/>
    <w:unhideWhenUsed/>
    <w:rsid w:val="00F32158"/>
  </w:style>
  <w:style w:type="numbering" w:customStyle="1" w:styleId="1910">
    <w:name w:val="Нет списка191"/>
    <w:next w:val="a2"/>
    <w:uiPriority w:val="99"/>
    <w:semiHidden/>
    <w:unhideWhenUsed/>
    <w:rsid w:val="00F32158"/>
  </w:style>
  <w:style w:type="table" w:customStyle="1" w:styleId="1911">
    <w:name w:val="Сетка таблицы19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610">
    <w:name w:val="Сетка таблицы461"/>
    <w:basedOn w:val="a1"/>
    <w:next w:val="a6"/>
    <w:rsid w:val="00F32158"/>
    <w:pPr>
      <w:spacing w:line="240" w:lineRule="auto"/>
      <w:jc w:val="left"/>
    </w:pPr>
    <w:rPr>
      <w:rFonts w:ascii="Calibri" w:eastAsia="Times New Roman" w:hAnsi="Calibri"/>
      <w:sz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610">
    <w:name w:val="Сетка таблицы26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010">
    <w:name w:val="Сетка таблицы110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610">
    <w:name w:val="Сетка таблицы36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410">
    <w:name w:val="Сетка таблицы54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410">
    <w:name w:val="Сетка таблицы64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41">
    <w:name w:val="Сетка таблицы74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41">
    <w:name w:val="Сетка таблицы84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941">
    <w:name w:val="Сетка таблицы94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041">
    <w:name w:val="Сетка таблицы104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611">
    <w:name w:val="Нет списка261"/>
    <w:next w:val="a2"/>
    <w:uiPriority w:val="99"/>
    <w:semiHidden/>
    <w:unhideWhenUsed/>
    <w:rsid w:val="00F32158"/>
  </w:style>
  <w:style w:type="numbering" w:customStyle="1" w:styleId="11410">
    <w:name w:val="Нет списка1141"/>
    <w:next w:val="a2"/>
    <w:uiPriority w:val="99"/>
    <w:semiHidden/>
    <w:unhideWhenUsed/>
    <w:rsid w:val="00F32158"/>
  </w:style>
  <w:style w:type="numbering" w:customStyle="1" w:styleId="21410">
    <w:name w:val="Нет списка2141"/>
    <w:next w:val="a2"/>
    <w:uiPriority w:val="99"/>
    <w:semiHidden/>
    <w:unhideWhenUsed/>
    <w:rsid w:val="00F32158"/>
  </w:style>
  <w:style w:type="numbering" w:customStyle="1" w:styleId="3411">
    <w:name w:val="Нет списка341"/>
    <w:next w:val="a2"/>
    <w:uiPriority w:val="99"/>
    <w:semiHidden/>
    <w:unhideWhenUsed/>
    <w:rsid w:val="00F32158"/>
  </w:style>
  <w:style w:type="numbering" w:customStyle="1" w:styleId="12410">
    <w:name w:val="Нет списка1241"/>
    <w:next w:val="a2"/>
    <w:uiPriority w:val="99"/>
    <w:semiHidden/>
    <w:unhideWhenUsed/>
    <w:rsid w:val="00F32158"/>
  </w:style>
  <w:style w:type="numbering" w:customStyle="1" w:styleId="2241">
    <w:name w:val="Нет списка2241"/>
    <w:next w:val="a2"/>
    <w:uiPriority w:val="99"/>
    <w:semiHidden/>
    <w:unhideWhenUsed/>
    <w:rsid w:val="00F32158"/>
  </w:style>
  <w:style w:type="numbering" w:customStyle="1" w:styleId="4411">
    <w:name w:val="Нет списка441"/>
    <w:next w:val="a2"/>
    <w:uiPriority w:val="99"/>
    <w:semiHidden/>
    <w:unhideWhenUsed/>
    <w:rsid w:val="00F32158"/>
  </w:style>
  <w:style w:type="numbering" w:customStyle="1" w:styleId="1341">
    <w:name w:val="Нет списка1341"/>
    <w:next w:val="a2"/>
    <w:uiPriority w:val="99"/>
    <w:semiHidden/>
    <w:unhideWhenUsed/>
    <w:rsid w:val="00F32158"/>
  </w:style>
  <w:style w:type="numbering" w:customStyle="1" w:styleId="2341">
    <w:name w:val="Нет списка2341"/>
    <w:next w:val="a2"/>
    <w:uiPriority w:val="99"/>
    <w:semiHidden/>
    <w:unhideWhenUsed/>
    <w:rsid w:val="00F32158"/>
  </w:style>
  <w:style w:type="table" w:customStyle="1" w:styleId="11411">
    <w:name w:val="Сетка таблицы1141"/>
    <w:basedOn w:val="a1"/>
    <w:next w:val="a6"/>
    <w:uiPriority w:val="59"/>
    <w:rsid w:val="00F32158"/>
    <w:pPr>
      <w:spacing w:line="240" w:lineRule="auto"/>
      <w:jc w:val="left"/>
    </w:pPr>
    <w:rPr>
      <w:rFonts w:ascii="Calibri" w:eastAsia="Calibri" w:hAnsi="Calibri"/>
      <w:sz w:val="22"/>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411">
    <w:name w:val="Сетка таблицы1241"/>
    <w:basedOn w:val="a1"/>
    <w:next w:val="a6"/>
    <w:uiPriority w:val="59"/>
    <w:rsid w:val="00F32158"/>
    <w:pPr>
      <w:spacing w:line="240" w:lineRule="auto"/>
      <w:jc w:val="left"/>
    </w:pPr>
    <w:rPr>
      <w:rFonts w:ascii="Calibri" w:eastAsia="Calibri" w:hAnsi="Calibri"/>
      <w:sz w:val="22"/>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010">
    <w:name w:val="Нет списка201"/>
    <w:next w:val="a2"/>
    <w:uiPriority w:val="99"/>
    <w:semiHidden/>
    <w:unhideWhenUsed/>
    <w:rsid w:val="00F32158"/>
  </w:style>
  <w:style w:type="numbering" w:customStyle="1" w:styleId="11011">
    <w:name w:val="Нет списка1101"/>
    <w:next w:val="a2"/>
    <w:uiPriority w:val="99"/>
    <w:semiHidden/>
    <w:unhideWhenUsed/>
    <w:rsid w:val="00F32158"/>
  </w:style>
  <w:style w:type="table" w:customStyle="1" w:styleId="2011">
    <w:name w:val="Сетка таблицы20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710">
    <w:name w:val="Сетка таблицы471"/>
    <w:basedOn w:val="a1"/>
    <w:next w:val="a6"/>
    <w:rsid w:val="00F32158"/>
    <w:pPr>
      <w:spacing w:line="240" w:lineRule="auto"/>
      <w:jc w:val="left"/>
    </w:pPr>
    <w:rPr>
      <w:rFonts w:ascii="Calibri" w:eastAsia="Times New Roman" w:hAnsi="Calibri"/>
      <w:sz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710">
    <w:name w:val="Сетка таблицы27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510">
    <w:name w:val="Сетка таблицы115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710">
    <w:name w:val="Сетка таблицы37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510">
    <w:name w:val="Сетка таблицы55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51">
    <w:name w:val="Сетка таблицы65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51">
    <w:name w:val="Сетка таблицы75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51">
    <w:name w:val="Сетка таблицы85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951">
    <w:name w:val="Сетка таблицы95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051">
    <w:name w:val="Сетка таблицы105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711">
    <w:name w:val="Нет списка271"/>
    <w:next w:val="a2"/>
    <w:uiPriority w:val="99"/>
    <w:semiHidden/>
    <w:unhideWhenUsed/>
    <w:rsid w:val="00F32158"/>
  </w:style>
  <w:style w:type="numbering" w:customStyle="1" w:styleId="11511">
    <w:name w:val="Нет списка1151"/>
    <w:next w:val="a2"/>
    <w:uiPriority w:val="99"/>
    <w:semiHidden/>
    <w:unhideWhenUsed/>
    <w:rsid w:val="00F32158"/>
  </w:style>
  <w:style w:type="numbering" w:customStyle="1" w:styleId="2151">
    <w:name w:val="Нет списка2151"/>
    <w:next w:val="a2"/>
    <w:uiPriority w:val="99"/>
    <w:semiHidden/>
    <w:unhideWhenUsed/>
    <w:rsid w:val="00F32158"/>
  </w:style>
  <w:style w:type="numbering" w:customStyle="1" w:styleId="3511">
    <w:name w:val="Нет списка351"/>
    <w:next w:val="a2"/>
    <w:uiPriority w:val="99"/>
    <w:semiHidden/>
    <w:unhideWhenUsed/>
    <w:rsid w:val="00F32158"/>
  </w:style>
  <w:style w:type="numbering" w:customStyle="1" w:styleId="12510">
    <w:name w:val="Нет списка1251"/>
    <w:next w:val="a2"/>
    <w:uiPriority w:val="99"/>
    <w:semiHidden/>
    <w:unhideWhenUsed/>
    <w:rsid w:val="00F32158"/>
  </w:style>
  <w:style w:type="numbering" w:customStyle="1" w:styleId="2251">
    <w:name w:val="Нет списка2251"/>
    <w:next w:val="a2"/>
    <w:uiPriority w:val="99"/>
    <w:semiHidden/>
    <w:unhideWhenUsed/>
    <w:rsid w:val="00F32158"/>
  </w:style>
  <w:style w:type="numbering" w:customStyle="1" w:styleId="4511">
    <w:name w:val="Нет списка451"/>
    <w:next w:val="a2"/>
    <w:uiPriority w:val="99"/>
    <w:semiHidden/>
    <w:unhideWhenUsed/>
    <w:rsid w:val="00F32158"/>
  </w:style>
  <w:style w:type="numbering" w:customStyle="1" w:styleId="1351">
    <w:name w:val="Нет списка1351"/>
    <w:next w:val="a2"/>
    <w:uiPriority w:val="99"/>
    <w:semiHidden/>
    <w:unhideWhenUsed/>
    <w:rsid w:val="00F32158"/>
  </w:style>
  <w:style w:type="numbering" w:customStyle="1" w:styleId="2351">
    <w:name w:val="Нет списка2351"/>
    <w:next w:val="a2"/>
    <w:uiPriority w:val="99"/>
    <w:semiHidden/>
    <w:unhideWhenUsed/>
    <w:rsid w:val="00F32158"/>
  </w:style>
  <w:style w:type="table" w:customStyle="1" w:styleId="11610">
    <w:name w:val="Сетка таблицы1161"/>
    <w:basedOn w:val="a1"/>
    <w:next w:val="a6"/>
    <w:uiPriority w:val="59"/>
    <w:rsid w:val="00F32158"/>
    <w:pPr>
      <w:spacing w:line="240" w:lineRule="auto"/>
      <w:jc w:val="left"/>
    </w:pPr>
    <w:rPr>
      <w:rFonts w:ascii="Calibri" w:eastAsia="Calibri" w:hAnsi="Calibri"/>
      <w:sz w:val="22"/>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511">
    <w:name w:val="Сетка таблицы1251"/>
    <w:basedOn w:val="a1"/>
    <w:next w:val="a6"/>
    <w:uiPriority w:val="59"/>
    <w:rsid w:val="00F32158"/>
    <w:pPr>
      <w:spacing w:line="240" w:lineRule="auto"/>
      <w:jc w:val="left"/>
    </w:pPr>
    <w:rPr>
      <w:rFonts w:ascii="Calibri" w:eastAsia="Calibri" w:hAnsi="Calibri"/>
      <w:sz w:val="22"/>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810">
    <w:name w:val="Сетка таблицы28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910">
    <w:name w:val="Сетка таблицы29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811">
    <w:name w:val="Нет списка281"/>
    <w:next w:val="a2"/>
    <w:uiPriority w:val="99"/>
    <w:semiHidden/>
    <w:unhideWhenUsed/>
    <w:rsid w:val="00F32158"/>
  </w:style>
  <w:style w:type="numbering" w:customStyle="1" w:styleId="11611">
    <w:name w:val="Нет списка1161"/>
    <w:next w:val="a2"/>
    <w:uiPriority w:val="99"/>
    <w:semiHidden/>
    <w:unhideWhenUsed/>
    <w:rsid w:val="00F32158"/>
  </w:style>
  <w:style w:type="table" w:customStyle="1" w:styleId="3010">
    <w:name w:val="Сетка таблицы30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810">
    <w:name w:val="Сетка таблицы481"/>
    <w:basedOn w:val="a1"/>
    <w:next w:val="a6"/>
    <w:uiPriority w:val="39"/>
    <w:rsid w:val="00F32158"/>
    <w:pPr>
      <w:spacing w:line="240" w:lineRule="auto"/>
      <w:jc w:val="left"/>
    </w:pPr>
    <w:rPr>
      <w:rFonts w:ascii="Calibri" w:eastAsia="Times New Roman" w:hAnsi="Calibri"/>
      <w:sz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010">
    <w:name w:val="Сетка таблицы210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71">
    <w:name w:val="Сетка таблицы117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810">
    <w:name w:val="Сетка таблицы38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610">
    <w:name w:val="Сетка таблицы56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61">
    <w:name w:val="Сетка таблицы66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61">
    <w:name w:val="Сетка таблицы76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61">
    <w:name w:val="Сетка таблицы86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961">
    <w:name w:val="Сетка таблицы96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061">
    <w:name w:val="Сетка таблицы106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911">
    <w:name w:val="Нет списка291"/>
    <w:next w:val="a2"/>
    <w:uiPriority w:val="99"/>
    <w:semiHidden/>
    <w:unhideWhenUsed/>
    <w:rsid w:val="00F32158"/>
  </w:style>
  <w:style w:type="numbering" w:customStyle="1" w:styleId="11710">
    <w:name w:val="Нет списка1171"/>
    <w:next w:val="a2"/>
    <w:uiPriority w:val="99"/>
    <w:semiHidden/>
    <w:unhideWhenUsed/>
    <w:rsid w:val="00F32158"/>
  </w:style>
  <w:style w:type="numbering" w:customStyle="1" w:styleId="2161">
    <w:name w:val="Нет списка2161"/>
    <w:next w:val="a2"/>
    <w:uiPriority w:val="99"/>
    <w:semiHidden/>
    <w:unhideWhenUsed/>
    <w:rsid w:val="00F32158"/>
  </w:style>
  <w:style w:type="numbering" w:customStyle="1" w:styleId="3611">
    <w:name w:val="Нет списка361"/>
    <w:next w:val="a2"/>
    <w:uiPriority w:val="99"/>
    <w:semiHidden/>
    <w:unhideWhenUsed/>
    <w:rsid w:val="00F32158"/>
  </w:style>
  <w:style w:type="numbering" w:customStyle="1" w:styleId="1261">
    <w:name w:val="Нет списка1261"/>
    <w:next w:val="a2"/>
    <w:uiPriority w:val="99"/>
    <w:semiHidden/>
    <w:unhideWhenUsed/>
    <w:rsid w:val="00F32158"/>
  </w:style>
  <w:style w:type="numbering" w:customStyle="1" w:styleId="2261">
    <w:name w:val="Нет списка2261"/>
    <w:next w:val="a2"/>
    <w:uiPriority w:val="99"/>
    <w:semiHidden/>
    <w:unhideWhenUsed/>
    <w:rsid w:val="00F32158"/>
  </w:style>
  <w:style w:type="numbering" w:customStyle="1" w:styleId="4611">
    <w:name w:val="Нет списка461"/>
    <w:next w:val="a2"/>
    <w:uiPriority w:val="99"/>
    <w:semiHidden/>
    <w:unhideWhenUsed/>
    <w:rsid w:val="00F32158"/>
  </w:style>
  <w:style w:type="numbering" w:customStyle="1" w:styleId="1361">
    <w:name w:val="Нет списка1361"/>
    <w:next w:val="a2"/>
    <w:uiPriority w:val="99"/>
    <w:semiHidden/>
    <w:unhideWhenUsed/>
    <w:rsid w:val="00F32158"/>
  </w:style>
  <w:style w:type="numbering" w:customStyle="1" w:styleId="2361">
    <w:name w:val="Нет списка2361"/>
    <w:next w:val="a2"/>
    <w:uiPriority w:val="99"/>
    <w:semiHidden/>
    <w:unhideWhenUsed/>
    <w:rsid w:val="00F32158"/>
  </w:style>
  <w:style w:type="table" w:customStyle="1" w:styleId="1181">
    <w:name w:val="Сетка таблицы1181"/>
    <w:basedOn w:val="a1"/>
    <w:next w:val="a6"/>
    <w:uiPriority w:val="59"/>
    <w:rsid w:val="00F32158"/>
    <w:pPr>
      <w:spacing w:line="240" w:lineRule="auto"/>
      <w:jc w:val="left"/>
    </w:pPr>
    <w:rPr>
      <w:rFonts w:ascii="Calibri" w:eastAsia="Calibri" w:hAnsi="Calibri"/>
      <w:sz w:val="22"/>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610">
    <w:name w:val="Сетка таблицы1261"/>
    <w:basedOn w:val="a1"/>
    <w:next w:val="a6"/>
    <w:uiPriority w:val="59"/>
    <w:rsid w:val="00F32158"/>
    <w:pPr>
      <w:spacing w:line="240" w:lineRule="auto"/>
      <w:jc w:val="left"/>
    </w:pPr>
    <w:rPr>
      <w:rFonts w:ascii="Calibri" w:eastAsia="Calibri" w:hAnsi="Calibri"/>
      <w:sz w:val="22"/>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Normal61">
    <w:name w:val="Table Normal61"/>
    <w:uiPriority w:val="2"/>
    <w:semiHidden/>
    <w:unhideWhenUsed/>
    <w:qFormat/>
    <w:rsid w:val="00F32158"/>
    <w:pPr>
      <w:widowControl w:val="0"/>
      <w:autoSpaceDE w:val="0"/>
      <w:autoSpaceDN w:val="0"/>
      <w:spacing w:line="240" w:lineRule="auto"/>
      <w:jc w:val="left"/>
    </w:pPr>
    <w:rPr>
      <w:rFonts w:ascii="Calibri" w:hAnsi="Calibri"/>
      <w:sz w:val="22"/>
      <w:lang w:val="en-US"/>
    </w:rPr>
    <w:tblPr>
      <w:tblInd w:w="0" w:type="dxa"/>
      <w:tblCellMar>
        <w:top w:w="0" w:type="dxa"/>
        <w:left w:w="0" w:type="dxa"/>
        <w:bottom w:w="0" w:type="dxa"/>
        <w:right w:w="0" w:type="dxa"/>
      </w:tblCellMar>
    </w:tblPr>
  </w:style>
  <w:style w:type="numbering" w:customStyle="1" w:styleId="3011">
    <w:name w:val="Нет списка301"/>
    <w:next w:val="a2"/>
    <w:uiPriority w:val="99"/>
    <w:semiHidden/>
    <w:unhideWhenUsed/>
    <w:rsid w:val="00F32158"/>
  </w:style>
  <w:style w:type="numbering" w:customStyle="1" w:styleId="11810">
    <w:name w:val="Нет списка1181"/>
    <w:next w:val="a2"/>
    <w:uiPriority w:val="99"/>
    <w:semiHidden/>
    <w:unhideWhenUsed/>
    <w:rsid w:val="00F32158"/>
  </w:style>
  <w:style w:type="table" w:customStyle="1" w:styleId="3910">
    <w:name w:val="Сетка таблицы39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910">
    <w:name w:val="Сетка таблицы491"/>
    <w:basedOn w:val="a1"/>
    <w:next w:val="a6"/>
    <w:uiPriority w:val="39"/>
    <w:rsid w:val="00F32158"/>
    <w:pPr>
      <w:spacing w:line="240" w:lineRule="auto"/>
      <w:jc w:val="left"/>
    </w:pPr>
    <w:rPr>
      <w:rFonts w:ascii="Calibri" w:eastAsia="Times New Roman" w:hAnsi="Calibri"/>
      <w:sz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111">
    <w:name w:val="Сетка таблицы211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91">
    <w:name w:val="Сетка таблицы119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1010">
    <w:name w:val="Сетка таблицы310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710">
    <w:name w:val="Сетка таблицы57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71">
    <w:name w:val="Сетка таблицы67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71">
    <w:name w:val="Сетка таблицы77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71">
    <w:name w:val="Сетка таблицы87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971">
    <w:name w:val="Сетка таблицы97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071">
    <w:name w:val="Сетка таблицы107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1011">
    <w:name w:val="Нет списка2101"/>
    <w:next w:val="a2"/>
    <w:uiPriority w:val="99"/>
    <w:semiHidden/>
    <w:unhideWhenUsed/>
    <w:rsid w:val="00F32158"/>
  </w:style>
  <w:style w:type="numbering" w:customStyle="1" w:styleId="11910">
    <w:name w:val="Нет списка1191"/>
    <w:next w:val="a2"/>
    <w:uiPriority w:val="99"/>
    <w:semiHidden/>
    <w:unhideWhenUsed/>
    <w:rsid w:val="00F32158"/>
  </w:style>
  <w:style w:type="numbering" w:customStyle="1" w:styleId="2171">
    <w:name w:val="Нет списка2171"/>
    <w:next w:val="a2"/>
    <w:uiPriority w:val="99"/>
    <w:semiHidden/>
    <w:unhideWhenUsed/>
    <w:rsid w:val="00F32158"/>
  </w:style>
  <w:style w:type="numbering" w:customStyle="1" w:styleId="3711">
    <w:name w:val="Нет списка371"/>
    <w:next w:val="a2"/>
    <w:uiPriority w:val="99"/>
    <w:semiHidden/>
    <w:unhideWhenUsed/>
    <w:rsid w:val="00F32158"/>
  </w:style>
  <w:style w:type="numbering" w:customStyle="1" w:styleId="1271">
    <w:name w:val="Нет списка1271"/>
    <w:next w:val="a2"/>
    <w:uiPriority w:val="99"/>
    <w:semiHidden/>
    <w:unhideWhenUsed/>
    <w:rsid w:val="00F32158"/>
  </w:style>
  <w:style w:type="numbering" w:customStyle="1" w:styleId="2271">
    <w:name w:val="Нет списка2271"/>
    <w:next w:val="a2"/>
    <w:uiPriority w:val="99"/>
    <w:semiHidden/>
    <w:unhideWhenUsed/>
    <w:rsid w:val="00F32158"/>
  </w:style>
  <w:style w:type="numbering" w:customStyle="1" w:styleId="4711">
    <w:name w:val="Нет списка471"/>
    <w:next w:val="a2"/>
    <w:uiPriority w:val="99"/>
    <w:semiHidden/>
    <w:unhideWhenUsed/>
    <w:rsid w:val="00F32158"/>
  </w:style>
  <w:style w:type="numbering" w:customStyle="1" w:styleId="1371">
    <w:name w:val="Нет списка1371"/>
    <w:next w:val="a2"/>
    <w:uiPriority w:val="99"/>
    <w:semiHidden/>
    <w:unhideWhenUsed/>
    <w:rsid w:val="00F32158"/>
  </w:style>
  <w:style w:type="numbering" w:customStyle="1" w:styleId="2371">
    <w:name w:val="Нет списка2371"/>
    <w:next w:val="a2"/>
    <w:uiPriority w:val="99"/>
    <w:semiHidden/>
    <w:unhideWhenUsed/>
    <w:rsid w:val="00F32158"/>
  </w:style>
  <w:style w:type="table" w:customStyle="1" w:styleId="111010">
    <w:name w:val="Сетка таблицы11101"/>
    <w:basedOn w:val="a1"/>
    <w:next w:val="a6"/>
    <w:uiPriority w:val="59"/>
    <w:rsid w:val="00F32158"/>
    <w:pPr>
      <w:spacing w:line="240" w:lineRule="auto"/>
      <w:jc w:val="left"/>
    </w:pPr>
    <w:rPr>
      <w:rFonts w:ascii="Calibri" w:eastAsia="Calibri" w:hAnsi="Calibri"/>
      <w:sz w:val="22"/>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710">
    <w:name w:val="Сетка таблицы1271"/>
    <w:basedOn w:val="a1"/>
    <w:next w:val="a6"/>
    <w:uiPriority w:val="59"/>
    <w:rsid w:val="00F32158"/>
    <w:pPr>
      <w:spacing w:line="240" w:lineRule="auto"/>
      <w:jc w:val="left"/>
    </w:pPr>
    <w:rPr>
      <w:rFonts w:ascii="Calibri" w:eastAsia="Calibri" w:hAnsi="Calibri"/>
      <w:sz w:val="22"/>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Normal71">
    <w:name w:val="Table Normal71"/>
    <w:uiPriority w:val="2"/>
    <w:semiHidden/>
    <w:unhideWhenUsed/>
    <w:qFormat/>
    <w:rsid w:val="00F32158"/>
    <w:pPr>
      <w:widowControl w:val="0"/>
      <w:autoSpaceDE w:val="0"/>
      <w:autoSpaceDN w:val="0"/>
      <w:spacing w:line="240" w:lineRule="auto"/>
      <w:jc w:val="left"/>
    </w:pPr>
    <w:rPr>
      <w:rFonts w:ascii="Calibri" w:hAnsi="Calibri"/>
      <w:sz w:val="22"/>
      <w:lang w:val="en-US"/>
    </w:rPr>
    <w:tblPr>
      <w:tblInd w:w="0" w:type="dxa"/>
      <w:tblCellMar>
        <w:top w:w="0" w:type="dxa"/>
        <w:left w:w="0" w:type="dxa"/>
        <w:bottom w:w="0" w:type="dxa"/>
        <w:right w:w="0" w:type="dxa"/>
      </w:tblCellMar>
    </w:tblPr>
  </w:style>
  <w:style w:type="numbering" w:customStyle="1" w:styleId="3811">
    <w:name w:val="Нет списка381"/>
    <w:next w:val="a2"/>
    <w:uiPriority w:val="99"/>
    <w:semiHidden/>
    <w:unhideWhenUsed/>
    <w:rsid w:val="00F32158"/>
  </w:style>
  <w:style w:type="numbering" w:customStyle="1" w:styleId="12010">
    <w:name w:val="Нет списка1201"/>
    <w:next w:val="a2"/>
    <w:uiPriority w:val="99"/>
    <w:semiHidden/>
    <w:unhideWhenUsed/>
    <w:rsid w:val="00F32158"/>
  </w:style>
  <w:style w:type="table" w:customStyle="1" w:styleId="4010">
    <w:name w:val="Сетка таблицы40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101">
    <w:name w:val="Сетка таблицы4101"/>
    <w:basedOn w:val="a1"/>
    <w:next w:val="a6"/>
    <w:uiPriority w:val="39"/>
    <w:rsid w:val="00F32158"/>
    <w:pPr>
      <w:spacing w:line="240" w:lineRule="auto"/>
      <w:jc w:val="left"/>
    </w:pPr>
    <w:rPr>
      <w:rFonts w:ascii="Calibri" w:eastAsia="Times New Roman" w:hAnsi="Calibri"/>
      <w:sz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211">
    <w:name w:val="Сетка таблицы212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011">
    <w:name w:val="Сетка таблицы120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1110">
    <w:name w:val="Сетка таблицы311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810">
    <w:name w:val="Сетка таблицы58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81">
    <w:name w:val="Сетка таблицы68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81">
    <w:name w:val="Сетка таблицы78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81">
    <w:name w:val="Сетка таблицы88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981">
    <w:name w:val="Сетка таблицы98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081">
    <w:name w:val="Сетка таблицы108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181">
    <w:name w:val="Нет списка2181"/>
    <w:next w:val="a2"/>
    <w:uiPriority w:val="99"/>
    <w:semiHidden/>
    <w:unhideWhenUsed/>
    <w:rsid w:val="00F32158"/>
  </w:style>
  <w:style w:type="numbering" w:customStyle="1" w:styleId="111011">
    <w:name w:val="Нет списка11101"/>
    <w:next w:val="a2"/>
    <w:uiPriority w:val="99"/>
    <w:semiHidden/>
    <w:unhideWhenUsed/>
    <w:rsid w:val="00F32158"/>
  </w:style>
  <w:style w:type="numbering" w:customStyle="1" w:styleId="2191">
    <w:name w:val="Нет списка2191"/>
    <w:next w:val="a2"/>
    <w:uiPriority w:val="99"/>
    <w:semiHidden/>
    <w:unhideWhenUsed/>
    <w:rsid w:val="00F32158"/>
  </w:style>
  <w:style w:type="numbering" w:customStyle="1" w:styleId="3911">
    <w:name w:val="Нет списка391"/>
    <w:next w:val="a2"/>
    <w:uiPriority w:val="99"/>
    <w:semiHidden/>
    <w:unhideWhenUsed/>
    <w:rsid w:val="00F32158"/>
  </w:style>
  <w:style w:type="numbering" w:customStyle="1" w:styleId="1281">
    <w:name w:val="Нет списка1281"/>
    <w:next w:val="a2"/>
    <w:uiPriority w:val="99"/>
    <w:semiHidden/>
    <w:unhideWhenUsed/>
    <w:rsid w:val="00F32158"/>
  </w:style>
  <w:style w:type="numbering" w:customStyle="1" w:styleId="2281">
    <w:name w:val="Нет списка2281"/>
    <w:next w:val="a2"/>
    <w:uiPriority w:val="99"/>
    <w:semiHidden/>
    <w:unhideWhenUsed/>
    <w:rsid w:val="00F32158"/>
  </w:style>
  <w:style w:type="numbering" w:customStyle="1" w:styleId="4811">
    <w:name w:val="Нет списка481"/>
    <w:next w:val="a2"/>
    <w:uiPriority w:val="99"/>
    <w:semiHidden/>
    <w:unhideWhenUsed/>
    <w:rsid w:val="00F32158"/>
  </w:style>
  <w:style w:type="numbering" w:customStyle="1" w:styleId="1381">
    <w:name w:val="Нет списка1381"/>
    <w:next w:val="a2"/>
    <w:uiPriority w:val="99"/>
    <w:semiHidden/>
    <w:unhideWhenUsed/>
    <w:rsid w:val="00F32158"/>
  </w:style>
  <w:style w:type="numbering" w:customStyle="1" w:styleId="2381">
    <w:name w:val="Нет списка2381"/>
    <w:next w:val="a2"/>
    <w:uiPriority w:val="99"/>
    <w:semiHidden/>
    <w:unhideWhenUsed/>
    <w:rsid w:val="00F32158"/>
  </w:style>
  <w:style w:type="table" w:customStyle="1" w:styleId="111111">
    <w:name w:val="Сетка таблицы11111"/>
    <w:basedOn w:val="a1"/>
    <w:next w:val="a6"/>
    <w:uiPriority w:val="59"/>
    <w:rsid w:val="00F32158"/>
    <w:pPr>
      <w:spacing w:line="240" w:lineRule="auto"/>
      <w:jc w:val="left"/>
    </w:pPr>
    <w:rPr>
      <w:rFonts w:ascii="Calibri" w:eastAsia="Calibri" w:hAnsi="Calibri"/>
      <w:sz w:val="22"/>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810">
    <w:name w:val="Сетка таблицы1281"/>
    <w:basedOn w:val="a1"/>
    <w:next w:val="a6"/>
    <w:uiPriority w:val="59"/>
    <w:rsid w:val="00F32158"/>
    <w:pPr>
      <w:spacing w:line="240" w:lineRule="auto"/>
      <w:jc w:val="left"/>
    </w:pPr>
    <w:rPr>
      <w:rFonts w:ascii="Calibri" w:eastAsia="Calibri" w:hAnsi="Calibri"/>
      <w:sz w:val="22"/>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Normal81">
    <w:name w:val="Table Normal81"/>
    <w:uiPriority w:val="2"/>
    <w:semiHidden/>
    <w:unhideWhenUsed/>
    <w:qFormat/>
    <w:rsid w:val="00F32158"/>
    <w:pPr>
      <w:widowControl w:val="0"/>
      <w:autoSpaceDE w:val="0"/>
      <w:autoSpaceDN w:val="0"/>
      <w:spacing w:line="240" w:lineRule="auto"/>
      <w:jc w:val="left"/>
    </w:pPr>
    <w:rPr>
      <w:rFonts w:ascii="Calibri" w:hAnsi="Calibri"/>
      <w:sz w:val="22"/>
      <w:lang w:val="en-US"/>
    </w:rPr>
    <w:tblPr>
      <w:tblInd w:w="0" w:type="dxa"/>
      <w:tblCellMar>
        <w:top w:w="0" w:type="dxa"/>
        <w:left w:w="0" w:type="dxa"/>
        <w:bottom w:w="0" w:type="dxa"/>
        <w:right w:w="0" w:type="dxa"/>
      </w:tblCellMar>
    </w:tblPr>
  </w:style>
  <w:style w:type="table" w:customStyle="1" w:styleId="TableNormal91">
    <w:name w:val="Table Normal91"/>
    <w:uiPriority w:val="2"/>
    <w:semiHidden/>
    <w:unhideWhenUsed/>
    <w:qFormat/>
    <w:rsid w:val="00F32158"/>
    <w:pPr>
      <w:widowControl w:val="0"/>
      <w:autoSpaceDE w:val="0"/>
      <w:autoSpaceDN w:val="0"/>
      <w:spacing w:line="240" w:lineRule="auto"/>
      <w:jc w:val="left"/>
    </w:pPr>
    <w:rPr>
      <w:rFonts w:ascii="Calibri" w:hAnsi="Calibri"/>
      <w:sz w:val="22"/>
      <w:lang w:val="en-US"/>
    </w:rPr>
    <w:tblPr>
      <w:tblInd w:w="0" w:type="dxa"/>
      <w:tblCellMar>
        <w:top w:w="0" w:type="dxa"/>
        <w:left w:w="0" w:type="dxa"/>
        <w:bottom w:w="0" w:type="dxa"/>
        <w:right w:w="0" w:type="dxa"/>
      </w:tblCellMar>
    </w:tblPr>
  </w:style>
  <w:style w:type="table" w:customStyle="1" w:styleId="5020">
    <w:name w:val="Сетка таблицы502"/>
    <w:basedOn w:val="a1"/>
    <w:next w:val="a6"/>
    <w:rsid w:val="00F32158"/>
    <w:pPr>
      <w:spacing w:line="240" w:lineRule="auto"/>
    </w:pPr>
    <w:rPr>
      <w:rFonts w:ascii="Calibri" w:eastAsia="Calibri" w:hAnsi="Calibri"/>
      <w:sz w:val="20"/>
      <w:szCs w:val="20"/>
      <w:lang w:val="ru-RU" w:eastAsia="ru-RU"/>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910">
    <w:name w:val="Сетка таблицы591"/>
    <w:basedOn w:val="a1"/>
    <w:next w:val="a6"/>
    <w:rsid w:val="00F32158"/>
    <w:pPr>
      <w:spacing w:line="240" w:lineRule="auto"/>
    </w:pPr>
    <w:rPr>
      <w:rFonts w:ascii="Calibri" w:eastAsia="Calibri" w:hAnsi="Calibri"/>
      <w:sz w:val="20"/>
      <w:szCs w:val="20"/>
      <w:lang w:val="ru-RU" w:eastAsia="ru-RU"/>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6010">
    <w:name w:val="Сетка таблицы601"/>
    <w:basedOn w:val="a1"/>
    <w:next w:val="a6"/>
    <w:rsid w:val="00F32158"/>
    <w:pPr>
      <w:spacing w:line="240" w:lineRule="auto"/>
    </w:pPr>
    <w:rPr>
      <w:rFonts w:ascii="Calibri" w:eastAsia="Calibri" w:hAnsi="Calibri"/>
      <w:sz w:val="20"/>
      <w:szCs w:val="20"/>
      <w:lang w:val="ru-RU" w:eastAsia="ru-RU"/>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011">
    <w:name w:val="Сетка таблицы5011"/>
    <w:basedOn w:val="a1"/>
    <w:next w:val="a6"/>
    <w:rsid w:val="00F32158"/>
    <w:pPr>
      <w:spacing w:line="240" w:lineRule="auto"/>
    </w:pPr>
    <w:rPr>
      <w:rFonts w:ascii="Calibri" w:eastAsia="Calibri" w:hAnsi="Calibri"/>
      <w:sz w:val="20"/>
      <w:szCs w:val="20"/>
      <w:lang w:val="ru-RU" w:eastAsia="ru-RU"/>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691">
    <w:name w:val="Сетка таблицы69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01">
    <w:name w:val="Сетка таблицы70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f7">
    <w:name w:val="Верхний колонтитул Знак1"/>
    <w:basedOn w:val="a0"/>
    <w:uiPriority w:val="99"/>
    <w:rsid w:val="00F32158"/>
  </w:style>
  <w:style w:type="character" w:customStyle="1" w:styleId="1f8">
    <w:name w:val="Нижний колонтитул Знак1"/>
    <w:basedOn w:val="a0"/>
    <w:uiPriority w:val="99"/>
    <w:rsid w:val="00F32158"/>
  </w:style>
  <w:style w:type="table" w:customStyle="1" w:styleId="28110">
    <w:name w:val="Сетка таблицы2811"/>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011">
    <w:name w:val="Сетка таблицы6011"/>
    <w:basedOn w:val="a1"/>
    <w:next w:val="a6"/>
    <w:rsid w:val="00F32158"/>
    <w:pPr>
      <w:spacing w:line="240" w:lineRule="auto"/>
    </w:pPr>
    <w:rPr>
      <w:rFonts w:ascii="Calibri" w:eastAsia="Calibri" w:hAnsi="Calibri"/>
      <w:sz w:val="20"/>
      <w:szCs w:val="20"/>
      <w:lang w:val="ru-RU" w:eastAsia="ru-RU"/>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3020">
    <w:name w:val="Сетка таблицы302"/>
    <w:basedOn w:val="a1"/>
    <w:next w:val="a6"/>
    <w:rsid w:val="00F32158"/>
    <w:pPr>
      <w:spacing w:line="240" w:lineRule="auto"/>
      <w:jc w:val="left"/>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5460923">
      <w:bodyDiv w:val="1"/>
      <w:marLeft w:val="0"/>
      <w:marRight w:val="0"/>
      <w:marTop w:val="0"/>
      <w:marBottom w:val="0"/>
      <w:divBdr>
        <w:top w:val="none" w:sz="0" w:space="0" w:color="auto"/>
        <w:left w:val="none" w:sz="0" w:space="0" w:color="auto"/>
        <w:bottom w:val="none" w:sz="0" w:space="0" w:color="auto"/>
        <w:right w:val="none" w:sz="0" w:space="0" w:color="auto"/>
      </w:divBdr>
    </w:div>
    <w:div w:id="518278464">
      <w:bodyDiv w:val="1"/>
      <w:marLeft w:val="0"/>
      <w:marRight w:val="0"/>
      <w:marTop w:val="0"/>
      <w:marBottom w:val="0"/>
      <w:divBdr>
        <w:top w:val="none" w:sz="0" w:space="0" w:color="auto"/>
        <w:left w:val="none" w:sz="0" w:space="0" w:color="auto"/>
        <w:bottom w:val="none" w:sz="0" w:space="0" w:color="auto"/>
        <w:right w:val="none" w:sz="0" w:space="0" w:color="auto"/>
      </w:divBdr>
    </w:div>
    <w:div w:id="538592361">
      <w:bodyDiv w:val="1"/>
      <w:marLeft w:val="0"/>
      <w:marRight w:val="0"/>
      <w:marTop w:val="0"/>
      <w:marBottom w:val="0"/>
      <w:divBdr>
        <w:top w:val="none" w:sz="0" w:space="0" w:color="auto"/>
        <w:left w:val="none" w:sz="0" w:space="0" w:color="auto"/>
        <w:bottom w:val="none" w:sz="0" w:space="0" w:color="auto"/>
        <w:right w:val="none" w:sz="0" w:space="0" w:color="auto"/>
      </w:divBdr>
      <w:divsChild>
        <w:div w:id="78333975">
          <w:marLeft w:val="0"/>
          <w:marRight w:val="0"/>
          <w:marTop w:val="0"/>
          <w:marBottom w:val="0"/>
          <w:divBdr>
            <w:top w:val="none" w:sz="0" w:space="0" w:color="auto"/>
            <w:left w:val="none" w:sz="0" w:space="0" w:color="auto"/>
            <w:bottom w:val="none" w:sz="0" w:space="0" w:color="auto"/>
            <w:right w:val="none" w:sz="0" w:space="0" w:color="auto"/>
          </w:divBdr>
        </w:div>
        <w:div w:id="161120192">
          <w:marLeft w:val="0"/>
          <w:marRight w:val="0"/>
          <w:marTop w:val="0"/>
          <w:marBottom w:val="0"/>
          <w:divBdr>
            <w:top w:val="none" w:sz="0" w:space="0" w:color="auto"/>
            <w:left w:val="none" w:sz="0" w:space="0" w:color="auto"/>
            <w:bottom w:val="none" w:sz="0" w:space="0" w:color="auto"/>
            <w:right w:val="none" w:sz="0" w:space="0" w:color="auto"/>
          </w:divBdr>
        </w:div>
        <w:div w:id="339551218">
          <w:marLeft w:val="0"/>
          <w:marRight w:val="0"/>
          <w:marTop w:val="0"/>
          <w:marBottom w:val="0"/>
          <w:divBdr>
            <w:top w:val="none" w:sz="0" w:space="0" w:color="auto"/>
            <w:left w:val="none" w:sz="0" w:space="0" w:color="auto"/>
            <w:bottom w:val="none" w:sz="0" w:space="0" w:color="auto"/>
            <w:right w:val="none" w:sz="0" w:space="0" w:color="auto"/>
          </w:divBdr>
        </w:div>
        <w:div w:id="546645009">
          <w:marLeft w:val="0"/>
          <w:marRight w:val="0"/>
          <w:marTop w:val="0"/>
          <w:marBottom w:val="0"/>
          <w:divBdr>
            <w:top w:val="none" w:sz="0" w:space="0" w:color="auto"/>
            <w:left w:val="none" w:sz="0" w:space="0" w:color="auto"/>
            <w:bottom w:val="none" w:sz="0" w:space="0" w:color="auto"/>
            <w:right w:val="none" w:sz="0" w:space="0" w:color="auto"/>
          </w:divBdr>
        </w:div>
        <w:div w:id="604196249">
          <w:marLeft w:val="0"/>
          <w:marRight w:val="0"/>
          <w:marTop w:val="0"/>
          <w:marBottom w:val="0"/>
          <w:divBdr>
            <w:top w:val="none" w:sz="0" w:space="0" w:color="auto"/>
            <w:left w:val="none" w:sz="0" w:space="0" w:color="auto"/>
            <w:bottom w:val="none" w:sz="0" w:space="0" w:color="auto"/>
            <w:right w:val="none" w:sz="0" w:space="0" w:color="auto"/>
          </w:divBdr>
        </w:div>
        <w:div w:id="659577601">
          <w:marLeft w:val="0"/>
          <w:marRight w:val="0"/>
          <w:marTop w:val="0"/>
          <w:marBottom w:val="0"/>
          <w:divBdr>
            <w:top w:val="none" w:sz="0" w:space="0" w:color="auto"/>
            <w:left w:val="none" w:sz="0" w:space="0" w:color="auto"/>
            <w:bottom w:val="none" w:sz="0" w:space="0" w:color="auto"/>
            <w:right w:val="none" w:sz="0" w:space="0" w:color="auto"/>
          </w:divBdr>
        </w:div>
        <w:div w:id="1383872203">
          <w:marLeft w:val="0"/>
          <w:marRight w:val="0"/>
          <w:marTop w:val="0"/>
          <w:marBottom w:val="0"/>
          <w:divBdr>
            <w:top w:val="none" w:sz="0" w:space="0" w:color="auto"/>
            <w:left w:val="none" w:sz="0" w:space="0" w:color="auto"/>
            <w:bottom w:val="none" w:sz="0" w:space="0" w:color="auto"/>
            <w:right w:val="none" w:sz="0" w:space="0" w:color="auto"/>
          </w:divBdr>
        </w:div>
        <w:div w:id="1620722603">
          <w:marLeft w:val="0"/>
          <w:marRight w:val="0"/>
          <w:marTop w:val="0"/>
          <w:marBottom w:val="0"/>
          <w:divBdr>
            <w:top w:val="none" w:sz="0" w:space="0" w:color="auto"/>
            <w:left w:val="none" w:sz="0" w:space="0" w:color="auto"/>
            <w:bottom w:val="none" w:sz="0" w:space="0" w:color="auto"/>
            <w:right w:val="none" w:sz="0" w:space="0" w:color="auto"/>
          </w:divBdr>
        </w:div>
      </w:divsChild>
    </w:div>
    <w:div w:id="773206584">
      <w:bodyDiv w:val="1"/>
      <w:marLeft w:val="0"/>
      <w:marRight w:val="0"/>
      <w:marTop w:val="0"/>
      <w:marBottom w:val="0"/>
      <w:divBdr>
        <w:top w:val="none" w:sz="0" w:space="0" w:color="auto"/>
        <w:left w:val="none" w:sz="0" w:space="0" w:color="auto"/>
        <w:bottom w:val="none" w:sz="0" w:space="0" w:color="auto"/>
        <w:right w:val="none" w:sz="0" w:space="0" w:color="auto"/>
      </w:divBdr>
    </w:div>
    <w:div w:id="802036731">
      <w:bodyDiv w:val="1"/>
      <w:marLeft w:val="0"/>
      <w:marRight w:val="0"/>
      <w:marTop w:val="0"/>
      <w:marBottom w:val="0"/>
      <w:divBdr>
        <w:top w:val="none" w:sz="0" w:space="0" w:color="auto"/>
        <w:left w:val="none" w:sz="0" w:space="0" w:color="auto"/>
        <w:bottom w:val="none" w:sz="0" w:space="0" w:color="auto"/>
        <w:right w:val="none" w:sz="0" w:space="0" w:color="auto"/>
      </w:divBdr>
    </w:div>
    <w:div w:id="846670737">
      <w:bodyDiv w:val="1"/>
      <w:marLeft w:val="0"/>
      <w:marRight w:val="0"/>
      <w:marTop w:val="0"/>
      <w:marBottom w:val="0"/>
      <w:divBdr>
        <w:top w:val="none" w:sz="0" w:space="0" w:color="auto"/>
        <w:left w:val="none" w:sz="0" w:space="0" w:color="auto"/>
        <w:bottom w:val="none" w:sz="0" w:space="0" w:color="auto"/>
        <w:right w:val="none" w:sz="0" w:space="0" w:color="auto"/>
      </w:divBdr>
    </w:div>
    <w:div w:id="1069498202">
      <w:bodyDiv w:val="1"/>
      <w:marLeft w:val="0"/>
      <w:marRight w:val="0"/>
      <w:marTop w:val="0"/>
      <w:marBottom w:val="0"/>
      <w:divBdr>
        <w:top w:val="none" w:sz="0" w:space="0" w:color="auto"/>
        <w:left w:val="none" w:sz="0" w:space="0" w:color="auto"/>
        <w:bottom w:val="none" w:sz="0" w:space="0" w:color="auto"/>
        <w:right w:val="none" w:sz="0" w:space="0" w:color="auto"/>
      </w:divBdr>
    </w:div>
    <w:div w:id="1243099313">
      <w:bodyDiv w:val="1"/>
      <w:marLeft w:val="0"/>
      <w:marRight w:val="0"/>
      <w:marTop w:val="0"/>
      <w:marBottom w:val="0"/>
      <w:divBdr>
        <w:top w:val="none" w:sz="0" w:space="0" w:color="auto"/>
        <w:left w:val="none" w:sz="0" w:space="0" w:color="auto"/>
        <w:bottom w:val="none" w:sz="0" w:space="0" w:color="auto"/>
        <w:right w:val="none" w:sz="0" w:space="0" w:color="auto"/>
      </w:divBdr>
    </w:div>
    <w:div w:id="1279489587">
      <w:bodyDiv w:val="1"/>
      <w:marLeft w:val="0"/>
      <w:marRight w:val="0"/>
      <w:marTop w:val="0"/>
      <w:marBottom w:val="0"/>
      <w:divBdr>
        <w:top w:val="none" w:sz="0" w:space="0" w:color="auto"/>
        <w:left w:val="none" w:sz="0" w:space="0" w:color="auto"/>
        <w:bottom w:val="none" w:sz="0" w:space="0" w:color="auto"/>
        <w:right w:val="none" w:sz="0" w:space="0" w:color="auto"/>
      </w:divBdr>
    </w:div>
    <w:div w:id="1451047761">
      <w:bodyDiv w:val="1"/>
      <w:marLeft w:val="0"/>
      <w:marRight w:val="0"/>
      <w:marTop w:val="0"/>
      <w:marBottom w:val="0"/>
      <w:divBdr>
        <w:top w:val="none" w:sz="0" w:space="0" w:color="auto"/>
        <w:left w:val="none" w:sz="0" w:space="0" w:color="auto"/>
        <w:bottom w:val="none" w:sz="0" w:space="0" w:color="auto"/>
        <w:right w:val="none" w:sz="0" w:space="0" w:color="auto"/>
      </w:divBdr>
    </w:div>
    <w:div w:id="1482426982">
      <w:bodyDiv w:val="1"/>
      <w:marLeft w:val="0"/>
      <w:marRight w:val="0"/>
      <w:marTop w:val="0"/>
      <w:marBottom w:val="0"/>
      <w:divBdr>
        <w:top w:val="none" w:sz="0" w:space="0" w:color="auto"/>
        <w:left w:val="none" w:sz="0" w:space="0" w:color="auto"/>
        <w:bottom w:val="none" w:sz="0" w:space="0" w:color="auto"/>
        <w:right w:val="none" w:sz="0" w:space="0" w:color="auto"/>
      </w:divBdr>
    </w:div>
    <w:div w:id="1557813783">
      <w:bodyDiv w:val="1"/>
      <w:marLeft w:val="0"/>
      <w:marRight w:val="0"/>
      <w:marTop w:val="0"/>
      <w:marBottom w:val="0"/>
      <w:divBdr>
        <w:top w:val="none" w:sz="0" w:space="0" w:color="auto"/>
        <w:left w:val="none" w:sz="0" w:space="0" w:color="auto"/>
        <w:bottom w:val="none" w:sz="0" w:space="0" w:color="auto"/>
        <w:right w:val="none" w:sz="0" w:space="0" w:color="auto"/>
      </w:divBdr>
    </w:div>
    <w:div w:id="1622683901">
      <w:bodyDiv w:val="1"/>
      <w:marLeft w:val="0"/>
      <w:marRight w:val="0"/>
      <w:marTop w:val="0"/>
      <w:marBottom w:val="0"/>
      <w:divBdr>
        <w:top w:val="none" w:sz="0" w:space="0" w:color="auto"/>
        <w:left w:val="none" w:sz="0" w:space="0" w:color="auto"/>
        <w:bottom w:val="none" w:sz="0" w:space="0" w:color="auto"/>
        <w:right w:val="none" w:sz="0" w:space="0" w:color="auto"/>
      </w:divBdr>
    </w:div>
    <w:div w:id="1739479318">
      <w:bodyDiv w:val="1"/>
      <w:marLeft w:val="0"/>
      <w:marRight w:val="0"/>
      <w:marTop w:val="0"/>
      <w:marBottom w:val="0"/>
      <w:divBdr>
        <w:top w:val="none" w:sz="0" w:space="0" w:color="auto"/>
        <w:left w:val="none" w:sz="0" w:space="0" w:color="auto"/>
        <w:bottom w:val="none" w:sz="0" w:space="0" w:color="auto"/>
        <w:right w:val="none" w:sz="0" w:space="0" w:color="auto"/>
      </w:divBdr>
    </w:div>
    <w:div w:id="1851485134">
      <w:bodyDiv w:val="1"/>
      <w:marLeft w:val="0"/>
      <w:marRight w:val="0"/>
      <w:marTop w:val="0"/>
      <w:marBottom w:val="0"/>
      <w:divBdr>
        <w:top w:val="none" w:sz="0" w:space="0" w:color="auto"/>
        <w:left w:val="none" w:sz="0" w:space="0" w:color="auto"/>
        <w:bottom w:val="none" w:sz="0" w:space="0" w:color="auto"/>
        <w:right w:val="none" w:sz="0" w:space="0" w:color="auto"/>
      </w:divBdr>
    </w:div>
    <w:div w:id="1933316247">
      <w:bodyDiv w:val="1"/>
      <w:marLeft w:val="0"/>
      <w:marRight w:val="0"/>
      <w:marTop w:val="0"/>
      <w:marBottom w:val="0"/>
      <w:divBdr>
        <w:top w:val="none" w:sz="0" w:space="0" w:color="auto"/>
        <w:left w:val="none" w:sz="0" w:space="0" w:color="auto"/>
        <w:bottom w:val="none" w:sz="0" w:space="0" w:color="auto"/>
        <w:right w:val="none" w:sz="0" w:space="0" w:color="auto"/>
      </w:divBdr>
    </w:div>
    <w:div w:id="2015301828">
      <w:bodyDiv w:val="1"/>
      <w:marLeft w:val="0"/>
      <w:marRight w:val="0"/>
      <w:marTop w:val="0"/>
      <w:marBottom w:val="0"/>
      <w:divBdr>
        <w:top w:val="none" w:sz="0" w:space="0" w:color="auto"/>
        <w:left w:val="none" w:sz="0" w:space="0" w:color="auto"/>
        <w:bottom w:val="none" w:sz="0" w:space="0" w:color="auto"/>
        <w:right w:val="none" w:sz="0" w:space="0" w:color="auto"/>
      </w:divBdr>
    </w:div>
    <w:div w:id="20955845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7.png"/><Relationship Id="rId26" Type="http://schemas.openxmlformats.org/officeDocument/2006/relationships/image" Target="media/image13.png"/><Relationship Id="rId39" Type="http://schemas.openxmlformats.org/officeDocument/2006/relationships/chart" Target="charts/chart7.xml"/><Relationship Id="rId21" Type="http://schemas.openxmlformats.org/officeDocument/2006/relationships/image" Target="media/image9.png"/><Relationship Id="rId34" Type="http://schemas.openxmlformats.org/officeDocument/2006/relationships/image" Target="media/image21.emf"/><Relationship Id="rId42" Type="http://schemas.openxmlformats.org/officeDocument/2006/relationships/chart" Target="charts/chart9.xml"/><Relationship Id="rId47" Type="http://schemas.openxmlformats.org/officeDocument/2006/relationships/image" Target="media/image25.emf"/><Relationship Id="rId50" Type="http://schemas.openxmlformats.org/officeDocument/2006/relationships/image" Target="media/image28.png"/><Relationship Id="rId55" Type="http://schemas.openxmlformats.org/officeDocument/2006/relationships/image" Target="media/image32.emf"/><Relationship Id="rId63" Type="http://schemas.openxmlformats.org/officeDocument/2006/relationships/hyperlink" Target="https://pubmed.ncbi.nlm.nih.gov/24893887/" TargetMode="External"/><Relationship Id="rId68" Type="http://schemas.openxmlformats.org/officeDocument/2006/relationships/hyperlink" Target="https://www.globalfinancingfacility.org/sites/gff_new/files/documents/GFF_Business_Planpdf" TargetMode="External"/><Relationship Id="rId76" Type="http://schemas.openxmlformats.org/officeDocument/2006/relationships/image" Target="media/image34.emf"/><Relationship Id="rId84" Type="http://schemas.openxmlformats.org/officeDocument/2006/relationships/image" Target="media/image39.emf"/><Relationship Id="rId89" Type="http://schemas.openxmlformats.org/officeDocument/2006/relationships/image" Target="media/image44.emf"/><Relationship Id="rId7" Type="http://schemas.openxmlformats.org/officeDocument/2006/relationships/footnotes" Target="footnotes.xml"/><Relationship Id="rId71" Type="http://schemas.openxmlformats.org/officeDocument/2006/relationships/hyperlink" Target="http://elib.umsa.edu.ua:8080/bitstream/umsa/5260/1/kachestvo_okazaniya_meditsinskoy_pomoschi.pdf" TargetMode="External"/><Relationship Id="rId92"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5.png"/><Relationship Id="rId29" Type="http://schemas.openxmlformats.org/officeDocument/2006/relationships/image" Target="media/image16.png"/><Relationship Id="rId11" Type="http://schemas.openxmlformats.org/officeDocument/2006/relationships/image" Target="media/image1.png"/><Relationship Id="rId24" Type="http://schemas.openxmlformats.org/officeDocument/2006/relationships/image" Target="media/image12.emf"/><Relationship Id="rId32" Type="http://schemas.openxmlformats.org/officeDocument/2006/relationships/image" Target="media/image19.emf"/><Relationship Id="rId37" Type="http://schemas.openxmlformats.org/officeDocument/2006/relationships/chart" Target="charts/chart5.xml"/><Relationship Id="rId40" Type="http://schemas.openxmlformats.org/officeDocument/2006/relationships/chart" Target="charts/chart8.xml"/><Relationship Id="rId45" Type="http://schemas.openxmlformats.org/officeDocument/2006/relationships/image" Target="media/image24.wmf"/><Relationship Id="rId53" Type="http://schemas.openxmlformats.org/officeDocument/2006/relationships/chart" Target="charts/chart11.xml"/><Relationship Id="rId58" Type="http://schemas.openxmlformats.org/officeDocument/2006/relationships/hyperlink" Target="https://www.sd-network.eu/quarterly%20reports/report%20files/pdf/2017-July-The_Role_of_European_Parliaments_in_the_Implementation_of_the_2030_Agenda_and_the_SDGs.pdf" TargetMode="External"/><Relationship Id="rId66" Type="http://schemas.openxmlformats.org/officeDocument/2006/relationships/hyperlink" Target="https://www.thelancet.com/journals/langlo/issue/vol4no12/PIIS2214-109X(16)X0013-7" TargetMode="External"/><Relationship Id="rId74" Type="http://schemas.openxmlformats.org/officeDocument/2006/relationships/hyperlink" Target="http://www.euro.who.int/__data/assets/pdf_fil" TargetMode="External"/><Relationship Id="rId79" Type="http://schemas.openxmlformats.org/officeDocument/2006/relationships/oleObject" Target="embeddings/oleObject2.bin"/><Relationship Id="rId87" Type="http://schemas.openxmlformats.org/officeDocument/2006/relationships/image" Target="media/image42.emf"/><Relationship Id="rId5" Type="http://schemas.openxmlformats.org/officeDocument/2006/relationships/settings" Target="settings.xml"/><Relationship Id="rId61" Type="http://schemas.openxmlformats.org/officeDocument/2006/relationships/hyperlink" Target="https://www.unicef.org/media/50721/file/APR_2015_9_Sep_15.pdf" TargetMode="External"/><Relationship Id="rId82" Type="http://schemas.openxmlformats.org/officeDocument/2006/relationships/image" Target="media/image37.emf"/><Relationship Id="rId90" Type="http://schemas.openxmlformats.org/officeDocument/2006/relationships/image" Target="media/image45.emf"/><Relationship Id="rId19" Type="http://schemas.openxmlformats.org/officeDocument/2006/relationships/chart" Target="charts/chart2.xml"/><Relationship Id="rId14" Type="http://schemas.openxmlformats.org/officeDocument/2006/relationships/image" Target="media/image4.emf"/><Relationship Id="rId22" Type="http://schemas.openxmlformats.org/officeDocument/2006/relationships/image" Target="media/image10.png"/><Relationship Id="rId27" Type="http://schemas.openxmlformats.org/officeDocument/2006/relationships/image" Target="media/image14.png"/><Relationship Id="rId30" Type="http://schemas.openxmlformats.org/officeDocument/2006/relationships/image" Target="media/image17.png"/><Relationship Id="rId35" Type="http://schemas.openxmlformats.org/officeDocument/2006/relationships/image" Target="media/image22.emf"/><Relationship Id="rId43" Type="http://schemas.openxmlformats.org/officeDocument/2006/relationships/chart" Target="charts/chart10.xml"/><Relationship Id="rId48" Type="http://schemas.openxmlformats.org/officeDocument/2006/relationships/image" Target="media/image26.emf"/><Relationship Id="rId56" Type="http://schemas.openxmlformats.org/officeDocument/2006/relationships/image" Target="media/image33.png"/><Relationship Id="rId64" Type="http://schemas.openxmlformats.org/officeDocument/2006/relationships/hyperlink" Target="https://pubmed.ncbi.nlm.nih.gov/22155196/" TargetMode="External"/><Relationship Id="rId69" Type="http://schemas.openxmlformats.org/officeDocument/2006/relationships/hyperlink" Target="http://dx.doi.org/10.2471/BLT.17.204404" TargetMode="External"/><Relationship Id="rId77" Type="http://schemas.openxmlformats.org/officeDocument/2006/relationships/oleObject" Target="embeddings/oleObject1.bin"/><Relationship Id="rId8" Type="http://schemas.openxmlformats.org/officeDocument/2006/relationships/endnotes" Target="endnotes.xml"/><Relationship Id="rId51" Type="http://schemas.openxmlformats.org/officeDocument/2006/relationships/image" Target="media/image29.png"/><Relationship Id="rId72" Type="http://schemas.openxmlformats.org/officeDocument/2006/relationships/hyperlink" Target="https://www.who.int/pmnch/topics/part_publications/essential_interventions_18_01_2012.pdf?ua=1" TargetMode="External"/><Relationship Id="rId80" Type="http://schemas.openxmlformats.org/officeDocument/2006/relationships/image" Target="media/image36.emf"/><Relationship Id="rId85" Type="http://schemas.openxmlformats.org/officeDocument/2006/relationships/image" Target="media/image40.emf"/><Relationship Id="rId93" Type="http://schemas.openxmlformats.org/officeDocument/2006/relationships/theme" Target="theme/theme1.xml"/><Relationship Id="rId3" Type="http://schemas.openxmlformats.org/officeDocument/2006/relationships/styles" Target="styles.xml"/><Relationship Id="rId12" Type="http://schemas.openxmlformats.org/officeDocument/2006/relationships/image" Target="media/image2.png"/><Relationship Id="rId17" Type="http://schemas.openxmlformats.org/officeDocument/2006/relationships/image" Target="media/image6.png"/><Relationship Id="rId25" Type="http://schemas.openxmlformats.org/officeDocument/2006/relationships/chart" Target="charts/chart3.xml"/><Relationship Id="rId33" Type="http://schemas.openxmlformats.org/officeDocument/2006/relationships/image" Target="media/image20.emf"/><Relationship Id="rId38" Type="http://schemas.openxmlformats.org/officeDocument/2006/relationships/chart" Target="charts/chart6.xml"/><Relationship Id="rId46" Type="http://schemas.openxmlformats.org/officeDocument/2006/relationships/image" Target="media/image240.wmf"/><Relationship Id="rId59" Type="http://schemas.openxmlformats.org/officeDocument/2006/relationships/hyperlink" Target="https://doi.org/10.1016/S2214-109X(18)30495-9" TargetMode="External"/><Relationship Id="rId67" Type="http://schemas.openxmlformats.org/officeDocument/2006/relationships/hyperlink" Target="https://pubmed.ncbi.nlm.nih.gov/27717632/" TargetMode="External"/><Relationship Id="rId20" Type="http://schemas.openxmlformats.org/officeDocument/2006/relationships/image" Target="media/image8.emf"/><Relationship Id="rId41" Type="http://schemas.openxmlformats.org/officeDocument/2006/relationships/image" Target="media/image23.emf"/><Relationship Id="rId54" Type="http://schemas.openxmlformats.org/officeDocument/2006/relationships/image" Target="media/image31.emf"/><Relationship Id="rId62" Type="http://schemas.openxmlformats.org/officeDocument/2006/relationships/hyperlink" Target="https://www.thelancet.com/journals/lancet/article/PIIS0140-6736(12)61766-8/fulltext" TargetMode="External"/><Relationship Id="rId70" Type="http://schemas.openxmlformats.org/officeDocument/2006/relationships/hyperlink" Target="http://nbuv.gov.ua/UJRN/Uzn_2017_1_18" TargetMode="External"/><Relationship Id="rId75" Type="http://schemas.openxmlformats.org/officeDocument/2006/relationships/hyperlink" Target="https://nszu.gov.ua/storage/editor/files/paketi-medichnikh-poslug-07022020_1581100466.pdf" TargetMode="External"/><Relationship Id="rId83" Type="http://schemas.openxmlformats.org/officeDocument/2006/relationships/image" Target="media/image38.emf"/><Relationship Id="rId88" Type="http://schemas.openxmlformats.org/officeDocument/2006/relationships/image" Target="media/image43.emf"/><Relationship Id="rId91" Type="http://schemas.openxmlformats.org/officeDocument/2006/relationships/image" Target="media/image46.emf"/><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chart" Target="charts/chart1.xml"/><Relationship Id="rId23" Type="http://schemas.openxmlformats.org/officeDocument/2006/relationships/image" Target="media/image11.png"/><Relationship Id="rId28" Type="http://schemas.openxmlformats.org/officeDocument/2006/relationships/image" Target="media/image15.png"/><Relationship Id="rId36" Type="http://schemas.openxmlformats.org/officeDocument/2006/relationships/chart" Target="charts/chart4.xml"/><Relationship Id="rId49" Type="http://schemas.openxmlformats.org/officeDocument/2006/relationships/image" Target="media/image27.png"/><Relationship Id="rId57" Type="http://schemas.openxmlformats.org/officeDocument/2006/relationships/chart" Target="charts/chart12.xml"/><Relationship Id="rId10" Type="http://schemas.openxmlformats.org/officeDocument/2006/relationships/hyperlink" Target="http://zakon2.rada.gov.ua/laws/show/2168-19" TargetMode="External"/><Relationship Id="rId31" Type="http://schemas.openxmlformats.org/officeDocument/2006/relationships/image" Target="media/image18.png"/><Relationship Id="rId44" Type="http://schemas.openxmlformats.org/officeDocument/2006/relationships/hyperlink" Target="https://zakon.rada.gov.ua/laws/show/z1292-18" TargetMode="External"/><Relationship Id="rId52" Type="http://schemas.openxmlformats.org/officeDocument/2006/relationships/image" Target="media/image30.png"/><Relationship Id="rId60" Type="http://schemas.openxmlformats.org/officeDocument/2006/relationships/hyperlink" Target="https://journals.lww.com/pidj/Abstract/2015/01000/Risk_Factors_for_Invasive_Pneumococcal_Disease.7.aspx" TargetMode="External"/><Relationship Id="rId65" Type="http://schemas.openxmlformats.org/officeDocument/2006/relationships/hyperlink" Target="http://dx.doi.org/10.1016/S0140-6736(16)31698-1" TargetMode="External"/><Relationship Id="rId73" Type="http://schemas.openxmlformats.org/officeDocument/2006/relationships/hyperlink" Target="https://pubmed.ncbi.nlm.nih.gov/?term=Chopra+M&amp;cauthor_id=22999430" TargetMode="External"/><Relationship Id="rId78" Type="http://schemas.openxmlformats.org/officeDocument/2006/relationships/image" Target="media/image35.emf"/><Relationship Id="rId81" Type="http://schemas.openxmlformats.org/officeDocument/2006/relationships/oleObject" Target="embeddings/oleObject3.bin"/><Relationship Id="rId86" Type="http://schemas.openxmlformats.org/officeDocument/2006/relationships/image" Target="media/image41.emf"/><Relationship Id="rId4" Type="http://schemas.microsoft.com/office/2007/relationships/stylesWithEffects" Target="stylesWithEffects.xml"/><Relationship Id="rId9" Type="http://schemas.openxmlformats.org/officeDocument/2006/relationships/header" Target="header1.xml"/></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Microsoft_Excel1.xlsx"/><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1" Type="http://schemas.openxmlformats.org/officeDocument/2006/relationships/package" Target="../embeddings/_____Microsoft_Excel10.xlsx"/></Relationships>
</file>

<file path=word/charts/_rels/chart11.xml.rels><?xml version="1.0" encoding="UTF-8" standalone="yes"?>
<Relationships xmlns="http://schemas.openxmlformats.org/package/2006/relationships"><Relationship Id="rId2" Type="http://schemas.openxmlformats.org/officeDocument/2006/relationships/package" Target="../embeddings/_____Microsoft_Excel11.xlsx"/><Relationship Id="rId1" Type="http://schemas.openxmlformats.org/officeDocument/2006/relationships/themeOverride" Target="../theme/themeOverride4.xml"/></Relationships>
</file>

<file path=word/charts/_rels/chart12.xml.rels><?xml version="1.0" encoding="UTF-8" standalone="yes"?>
<Relationships xmlns="http://schemas.openxmlformats.org/package/2006/relationships"><Relationship Id="rId1" Type="http://schemas.openxmlformats.org/officeDocument/2006/relationships/package" Target="../embeddings/_____Microsoft_Excel12.xlsx"/></Relationships>
</file>

<file path=word/charts/_rels/chart2.xml.rels><?xml version="1.0" encoding="UTF-8" standalone="yes"?>
<Relationships xmlns="http://schemas.openxmlformats.org/package/2006/relationships"><Relationship Id="rId2" Type="http://schemas.openxmlformats.org/officeDocument/2006/relationships/package" Target="../embeddings/_____Microsoft_Excel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_____Microsoft_Excel3.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Microsoft_Excel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_____Microsoft_Excel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_____Microsoft_Excel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_____Microsoft_Excel9.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8603018372703412"/>
          <c:y val="2.8197897974878237E-2"/>
          <c:w val="0.80934036891221928"/>
          <c:h val="0.51761009887750997"/>
        </c:manualLayout>
      </c:layout>
      <c:lineChart>
        <c:grouping val="standard"/>
        <c:varyColors val="0"/>
        <c:ser>
          <c:idx val="0"/>
          <c:order val="0"/>
          <c:tx>
            <c:strRef>
              <c:f>Лист1!$A$2</c:f>
              <c:strCache>
                <c:ptCount val="1"/>
                <c:pt idx="0">
                  <c:v>Англія</c:v>
                </c:pt>
              </c:strCache>
            </c:strRef>
          </c:tx>
          <c:spPr>
            <a:ln w="28575" cap="rnd">
              <a:solidFill>
                <a:schemeClr val="accent1"/>
              </a:solidFill>
              <a:prstDash val="lgDashDot"/>
              <a:round/>
            </a:ln>
            <a:effectLst/>
          </c:spPr>
          <c:marker>
            <c:symbol val="none"/>
          </c:marker>
          <c:cat>
            <c:strRef>
              <c:f>Лист1!$B$1:$K$1</c:f>
              <c:strCache>
                <c:ptCount val="10"/>
                <c:pt idx="0">
                  <c:v>2010</c:v>
                </c:pt>
                <c:pt idx="1">
                  <c:v>2011</c:v>
                </c:pt>
                <c:pt idx="2">
                  <c:v>2012</c:v>
                </c:pt>
                <c:pt idx="3">
                  <c:v>2013</c:v>
                </c:pt>
                <c:pt idx="4">
                  <c:v>2014</c:v>
                </c:pt>
                <c:pt idx="5">
                  <c:v>2015</c:v>
                </c:pt>
                <c:pt idx="6">
                  <c:v>2016</c:v>
                </c:pt>
                <c:pt idx="7">
                  <c:v>2017</c:v>
                </c:pt>
                <c:pt idx="8">
                  <c:v>2018</c:v>
                </c:pt>
                <c:pt idx="9">
                  <c:v>2019</c:v>
                </c:pt>
              </c:strCache>
            </c:strRef>
          </c:cat>
          <c:val>
            <c:numRef>
              <c:f>Лист1!$B$2:$K$2</c:f>
              <c:numCache>
                <c:formatCode>General</c:formatCode>
                <c:ptCount val="10"/>
                <c:pt idx="0">
                  <c:v>104.87</c:v>
                </c:pt>
                <c:pt idx="1">
                  <c:v>101.37</c:v>
                </c:pt>
                <c:pt idx="2">
                  <c:v>96.14</c:v>
                </c:pt>
                <c:pt idx="3">
                  <c:v>90.64</c:v>
                </c:pt>
                <c:pt idx="4">
                  <c:v>88.57</c:v>
                </c:pt>
                <c:pt idx="5">
                  <c:v>89.01</c:v>
                </c:pt>
                <c:pt idx="6">
                  <c:v>88.8</c:v>
                </c:pt>
                <c:pt idx="7">
                  <c:v>87.52</c:v>
                </c:pt>
                <c:pt idx="8">
                  <c:v>85.83</c:v>
                </c:pt>
                <c:pt idx="9">
                  <c:v>83.18</c:v>
                </c:pt>
              </c:numCache>
            </c:numRef>
          </c:val>
          <c:smooth val="0"/>
          <c:extLst xmlns:c16r2="http://schemas.microsoft.com/office/drawing/2015/06/chart">
            <c:ext xmlns:c16="http://schemas.microsoft.com/office/drawing/2014/chart" uri="{C3380CC4-5D6E-409C-BE32-E72D297353CC}">
              <c16:uniqueId val="{00000000-AF03-4497-AD25-6EA7C573FC7B}"/>
            </c:ext>
          </c:extLst>
        </c:ser>
        <c:ser>
          <c:idx val="1"/>
          <c:order val="1"/>
          <c:tx>
            <c:strRef>
              <c:f>Лист1!$A$3</c:f>
              <c:strCache>
                <c:ptCount val="1"/>
                <c:pt idx="0">
                  <c:v>Естонія</c:v>
                </c:pt>
              </c:strCache>
            </c:strRef>
          </c:tx>
          <c:spPr>
            <a:ln w="28575" cap="rnd">
              <a:solidFill>
                <a:schemeClr val="accent2"/>
              </a:solidFill>
              <a:round/>
            </a:ln>
            <a:effectLst/>
          </c:spPr>
          <c:marker>
            <c:symbol val="none"/>
          </c:marker>
          <c:cat>
            <c:strRef>
              <c:f>Лист1!$B$1:$K$1</c:f>
              <c:strCache>
                <c:ptCount val="10"/>
                <c:pt idx="0">
                  <c:v>2010</c:v>
                </c:pt>
                <c:pt idx="1">
                  <c:v>2011</c:v>
                </c:pt>
                <c:pt idx="2">
                  <c:v>2012</c:v>
                </c:pt>
                <c:pt idx="3">
                  <c:v>2013</c:v>
                </c:pt>
                <c:pt idx="4">
                  <c:v>2014</c:v>
                </c:pt>
                <c:pt idx="5">
                  <c:v>2015</c:v>
                </c:pt>
                <c:pt idx="6">
                  <c:v>2016</c:v>
                </c:pt>
                <c:pt idx="7">
                  <c:v>2017</c:v>
                </c:pt>
                <c:pt idx="8">
                  <c:v>2018</c:v>
                </c:pt>
                <c:pt idx="9">
                  <c:v>2019</c:v>
                </c:pt>
              </c:strCache>
            </c:strRef>
          </c:cat>
          <c:val>
            <c:numRef>
              <c:f>Лист1!$B$3:$K$3</c:f>
              <c:numCache>
                <c:formatCode>General</c:formatCode>
                <c:ptCount val="10"/>
                <c:pt idx="0">
                  <c:v>94.1</c:v>
                </c:pt>
                <c:pt idx="1">
                  <c:v>77.010000000000005</c:v>
                </c:pt>
                <c:pt idx="2">
                  <c:v>74.91</c:v>
                </c:pt>
                <c:pt idx="3">
                  <c:v>65.69</c:v>
                </c:pt>
                <c:pt idx="4">
                  <c:v>64.78</c:v>
                </c:pt>
                <c:pt idx="5">
                  <c:v>64.05</c:v>
                </c:pt>
                <c:pt idx="6">
                  <c:v>59.77</c:v>
                </c:pt>
                <c:pt idx="7">
                  <c:v>57.79</c:v>
                </c:pt>
                <c:pt idx="8">
                  <c:v>54.42</c:v>
                </c:pt>
                <c:pt idx="9">
                  <c:v>51.14</c:v>
                </c:pt>
              </c:numCache>
            </c:numRef>
          </c:val>
          <c:smooth val="0"/>
          <c:extLst xmlns:c16r2="http://schemas.microsoft.com/office/drawing/2015/06/chart">
            <c:ext xmlns:c16="http://schemas.microsoft.com/office/drawing/2014/chart" uri="{C3380CC4-5D6E-409C-BE32-E72D297353CC}">
              <c16:uniqueId val="{00000001-AF03-4497-AD25-6EA7C573FC7B}"/>
            </c:ext>
          </c:extLst>
        </c:ser>
        <c:ser>
          <c:idx val="2"/>
          <c:order val="2"/>
          <c:tx>
            <c:strRef>
              <c:f>Лист1!$A$4</c:f>
              <c:strCache>
                <c:ptCount val="1"/>
                <c:pt idx="0">
                  <c:v>Німеччина</c:v>
                </c:pt>
              </c:strCache>
            </c:strRef>
          </c:tx>
          <c:spPr>
            <a:ln w="28575" cap="rnd">
              <a:solidFill>
                <a:schemeClr val="accent3"/>
              </a:solidFill>
              <a:round/>
            </a:ln>
            <a:effectLst/>
          </c:spPr>
          <c:marker>
            <c:symbol val="none"/>
          </c:marker>
          <c:cat>
            <c:strRef>
              <c:f>Лист1!$B$1:$K$1</c:f>
              <c:strCache>
                <c:ptCount val="10"/>
                <c:pt idx="0">
                  <c:v>2010</c:v>
                </c:pt>
                <c:pt idx="1">
                  <c:v>2011</c:v>
                </c:pt>
                <c:pt idx="2">
                  <c:v>2012</c:v>
                </c:pt>
                <c:pt idx="3">
                  <c:v>2013</c:v>
                </c:pt>
                <c:pt idx="4">
                  <c:v>2014</c:v>
                </c:pt>
                <c:pt idx="5">
                  <c:v>2015</c:v>
                </c:pt>
                <c:pt idx="6">
                  <c:v>2016</c:v>
                </c:pt>
                <c:pt idx="7">
                  <c:v>2017</c:v>
                </c:pt>
                <c:pt idx="8">
                  <c:v>2018</c:v>
                </c:pt>
                <c:pt idx="9">
                  <c:v>2019</c:v>
                </c:pt>
              </c:strCache>
            </c:strRef>
          </c:cat>
          <c:val>
            <c:numRef>
              <c:f>Лист1!$B$4:$K$4</c:f>
              <c:numCache>
                <c:formatCode>General</c:formatCode>
                <c:ptCount val="10"/>
                <c:pt idx="0">
                  <c:v>80.510000000000005</c:v>
                </c:pt>
                <c:pt idx="1">
                  <c:v>78.959999999999994</c:v>
                </c:pt>
                <c:pt idx="2">
                  <c:v>74.599999999999994</c:v>
                </c:pt>
                <c:pt idx="3">
                  <c:v>74.28</c:v>
                </c:pt>
                <c:pt idx="4">
                  <c:v>73.64</c:v>
                </c:pt>
                <c:pt idx="5">
                  <c:v>74.92</c:v>
                </c:pt>
                <c:pt idx="6">
                  <c:v>76.84</c:v>
                </c:pt>
                <c:pt idx="7">
                  <c:v>69.239999999999995</c:v>
                </c:pt>
                <c:pt idx="8">
                  <c:v>65.599999999999994</c:v>
                </c:pt>
                <c:pt idx="9">
                  <c:v>62.54</c:v>
                </c:pt>
              </c:numCache>
            </c:numRef>
          </c:val>
          <c:smooth val="0"/>
          <c:extLst xmlns:c16r2="http://schemas.microsoft.com/office/drawing/2015/06/chart">
            <c:ext xmlns:c16="http://schemas.microsoft.com/office/drawing/2014/chart" uri="{C3380CC4-5D6E-409C-BE32-E72D297353CC}">
              <c16:uniqueId val="{00000002-AF03-4497-AD25-6EA7C573FC7B}"/>
            </c:ext>
          </c:extLst>
        </c:ser>
        <c:ser>
          <c:idx val="3"/>
          <c:order val="3"/>
          <c:tx>
            <c:strRef>
              <c:f>Лист1!$A$5</c:f>
              <c:strCache>
                <c:ptCount val="1"/>
                <c:pt idx="0">
                  <c:v>Латвія</c:v>
                </c:pt>
              </c:strCache>
            </c:strRef>
          </c:tx>
          <c:spPr>
            <a:ln w="28575" cap="rnd">
              <a:solidFill>
                <a:schemeClr val="accent4"/>
              </a:solidFill>
              <a:prstDash val="lgDash"/>
              <a:round/>
            </a:ln>
            <a:effectLst/>
          </c:spPr>
          <c:marker>
            <c:symbol val="none"/>
          </c:marker>
          <c:cat>
            <c:strRef>
              <c:f>Лист1!$B$1:$K$1</c:f>
              <c:strCache>
                <c:ptCount val="10"/>
                <c:pt idx="0">
                  <c:v>2010</c:v>
                </c:pt>
                <c:pt idx="1">
                  <c:v>2011</c:v>
                </c:pt>
                <c:pt idx="2">
                  <c:v>2012</c:v>
                </c:pt>
                <c:pt idx="3">
                  <c:v>2013</c:v>
                </c:pt>
                <c:pt idx="4">
                  <c:v>2014</c:v>
                </c:pt>
                <c:pt idx="5">
                  <c:v>2015</c:v>
                </c:pt>
                <c:pt idx="6">
                  <c:v>2016</c:v>
                </c:pt>
                <c:pt idx="7">
                  <c:v>2017</c:v>
                </c:pt>
                <c:pt idx="8">
                  <c:v>2018</c:v>
                </c:pt>
                <c:pt idx="9">
                  <c:v>2019</c:v>
                </c:pt>
              </c:strCache>
            </c:strRef>
          </c:cat>
          <c:val>
            <c:numRef>
              <c:f>Лист1!$B$5:$K$5</c:f>
              <c:numCache>
                <c:formatCode>General</c:formatCode>
                <c:ptCount val="10"/>
                <c:pt idx="0">
                  <c:v>140.79</c:v>
                </c:pt>
                <c:pt idx="1">
                  <c:v>137.97</c:v>
                </c:pt>
                <c:pt idx="2">
                  <c:v>132.24</c:v>
                </c:pt>
                <c:pt idx="3">
                  <c:v>121.34</c:v>
                </c:pt>
                <c:pt idx="4">
                  <c:v>111.75</c:v>
                </c:pt>
                <c:pt idx="5">
                  <c:v>103.96</c:v>
                </c:pt>
                <c:pt idx="6">
                  <c:v>89.06</c:v>
                </c:pt>
                <c:pt idx="7">
                  <c:v>88.11</c:v>
                </c:pt>
                <c:pt idx="8">
                  <c:v>83.33</c:v>
                </c:pt>
                <c:pt idx="9">
                  <c:v>79.7</c:v>
                </c:pt>
              </c:numCache>
            </c:numRef>
          </c:val>
          <c:smooth val="0"/>
          <c:extLst xmlns:c16r2="http://schemas.microsoft.com/office/drawing/2015/06/chart">
            <c:ext xmlns:c16="http://schemas.microsoft.com/office/drawing/2014/chart" uri="{C3380CC4-5D6E-409C-BE32-E72D297353CC}">
              <c16:uniqueId val="{00000003-AF03-4497-AD25-6EA7C573FC7B}"/>
            </c:ext>
          </c:extLst>
        </c:ser>
        <c:ser>
          <c:idx val="4"/>
          <c:order val="4"/>
          <c:tx>
            <c:strRef>
              <c:f>Лист1!$A$6</c:f>
              <c:strCache>
                <c:ptCount val="1"/>
                <c:pt idx="0">
                  <c:v>Литва</c:v>
                </c:pt>
              </c:strCache>
            </c:strRef>
          </c:tx>
          <c:spPr>
            <a:ln w="28575" cap="rnd">
              <a:solidFill>
                <a:schemeClr val="accent5"/>
              </a:solidFill>
              <a:prstDash val="sysDot"/>
              <a:round/>
            </a:ln>
            <a:effectLst/>
          </c:spPr>
          <c:marker>
            <c:symbol val="none"/>
          </c:marker>
          <c:cat>
            <c:strRef>
              <c:f>Лист1!$B$1:$K$1</c:f>
              <c:strCache>
                <c:ptCount val="10"/>
                <c:pt idx="0">
                  <c:v>2010</c:v>
                </c:pt>
                <c:pt idx="1">
                  <c:v>2011</c:v>
                </c:pt>
                <c:pt idx="2">
                  <c:v>2012</c:v>
                </c:pt>
                <c:pt idx="3">
                  <c:v>2013</c:v>
                </c:pt>
                <c:pt idx="4">
                  <c:v>2014</c:v>
                </c:pt>
                <c:pt idx="5">
                  <c:v>2015</c:v>
                </c:pt>
                <c:pt idx="6">
                  <c:v>2016</c:v>
                </c:pt>
                <c:pt idx="7">
                  <c:v>2017</c:v>
                </c:pt>
                <c:pt idx="8">
                  <c:v>2018</c:v>
                </c:pt>
                <c:pt idx="9">
                  <c:v>2019</c:v>
                </c:pt>
              </c:strCache>
            </c:strRef>
          </c:cat>
          <c:val>
            <c:numRef>
              <c:f>Лист1!$B$6:$K$6</c:f>
              <c:numCache>
                <c:formatCode>General</c:formatCode>
                <c:ptCount val="10"/>
                <c:pt idx="0">
                  <c:v>127.53</c:v>
                </c:pt>
                <c:pt idx="1">
                  <c:v>116.93</c:v>
                </c:pt>
                <c:pt idx="2">
                  <c:v>102.76</c:v>
                </c:pt>
                <c:pt idx="3">
                  <c:v>98.18</c:v>
                </c:pt>
                <c:pt idx="4">
                  <c:v>101.32</c:v>
                </c:pt>
                <c:pt idx="5">
                  <c:v>103.02</c:v>
                </c:pt>
                <c:pt idx="6">
                  <c:v>99.23</c:v>
                </c:pt>
                <c:pt idx="7">
                  <c:v>83.22</c:v>
                </c:pt>
                <c:pt idx="8">
                  <c:v>80.650000000000006</c:v>
                </c:pt>
                <c:pt idx="9">
                  <c:v>76.98</c:v>
                </c:pt>
              </c:numCache>
            </c:numRef>
          </c:val>
          <c:smooth val="0"/>
          <c:extLst xmlns:c16r2="http://schemas.microsoft.com/office/drawing/2015/06/chart">
            <c:ext xmlns:c16="http://schemas.microsoft.com/office/drawing/2014/chart" uri="{C3380CC4-5D6E-409C-BE32-E72D297353CC}">
              <c16:uniqueId val="{00000004-AF03-4497-AD25-6EA7C573FC7B}"/>
            </c:ext>
          </c:extLst>
        </c:ser>
        <c:ser>
          <c:idx val="5"/>
          <c:order val="5"/>
          <c:tx>
            <c:strRef>
              <c:f>Лист1!$A$7</c:f>
              <c:strCache>
                <c:ptCount val="1"/>
                <c:pt idx="0">
                  <c:v>Польща</c:v>
                </c:pt>
              </c:strCache>
            </c:strRef>
          </c:tx>
          <c:spPr>
            <a:ln w="28575" cap="rnd">
              <a:solidFill>
                <a:schemeClr val="accent6"/>
              </a:solidFill>
              <a:prstDash val="lgDashDotDot"/>
              <a:round/>
            </a:ln>
            <a:effectLst/>
          </c:spPr>
          <c:marker>
            <c:symbol val="none"/>
          </c:marker>
          <c:cat>
            <c:strRef>
              <c:f>Лист1!$B$1:$K$1</c:f>
              <c:strCache>
                <c:ptCount val="10"/>
                <c:pt idx="0">
                  <c:v>2010</c:v>
                </c:pt>
                <c:pt idx="1">
                  <c:v>2011</c:v>
                </c:pt>
                <c:pt idx="2">
                  <c:v>2012</c:v>
                </c:pt>
                <c:pt idx="3">
                  <c:v>2013</c:v>
                </c:pt>
                <c:pt idx="4">
                  <c:v>2014</c:v>
                </c:pt>
                <c:pt idx="5">
                  <c:v>2015</c:v>
                </c:pt>
                <c:pt idx="6">
                  <c:v>2016</c:v>
                </c:pt>
                <c:pt idx="7">
                  <c:v>2017</c:v>
                </c:pt>
                <c:pt idx="8">
                  <c:v>2018</c:v>
                </c:pt>
                <c:pt idx="9">
                  <c:v>2019</c:v>
                </c:pt>
              </c:strCache>
            </c:strRef>
          </c:cat>
          <c:val>
            <c:numRef>
              <c:f>Лист1!$B$7:$K$7</c:f>
              <c:numCache>
                <c:formatCode>General</c:formatCode>
                <c:ptCount val="10"/>
                <c:pt idx="0">
                  <c:v>117.67</c:v>
                </c:pt>
                <c:pt idx="1">
                  <c:v>106.84</c:v>
                </c:pt>
                <c:pt idx="2">
                  <c:v>103.2</c:v>
                </c:pt>
                <c:pt idx="3">
                  <c:v>99.19</c:v>
                </c:pt>
                <c:pt idx="4">
                  <c:v>94.65</c:v>
                </c:pt>
                <c:pt idx="5">
                  <c:v>90.69</c:v>
                </c:pt>
                <c:pt idx="6">
                  <c:v>91.01</c:v>
                </c:pt>
                <c:pt idx="7">
                  <c:v>85.55</c:v>
                </c:pt>
                <c:pt idx="8">
                  <c:v>80.19</c:v>
                </c:pt>
                <c:pt idx="9">
                  <c:v>74.64</c:v>
                </c:pt>
              </c:numCache>
            </c:numRef>
          </c:val>
          <c:smooth val="0"/>
          <c:extLst xmlns:c16r2="http://schemas.microsoft.com/office/drawing/2015/06/chart">
            <c:ext xmlns:c16="http://schemas.microsoft.com/office/drawing/2014/chart" uri="{C3380CC4-5D6E-409C-BE32-E72D297353CC}">
              <c16:uniqueId val="{00000005-AF03-4497-AD25-6EA7C573FC7B}"/>
            </c:ext>
          </c:extLst>
        </c:ser>
        <c:ser>
          <c:idx val="6"/>
          <c:order val="6"/>
          <c:tx>
            <c:strRef>
              <c:f>Лист1!$A$8</c:f>
              <c:strCache>
                <c:ptCount val="1"/>
                <c:pt idx="0">
                  <c:v>Іспанія</c:v>
                </c:pt>
              </c:strCache>
            </c:strRef>
          </c:tx>
          <c:spPr>
            <a:ln w="28575" cap="rnd">
              <a:solidFill>
                <a:schemeClr val="accent1">
                  <a:lumMod val="60000"/>
                </a:schemeClr>
              </a:solidFill>
              <a:round/>
            </a:ln>
            <a:effectLst/>
          </c:spPr>
          <c:marker>
            <c:symbol val="none"/>
          </c:marker>
          <c:cat>
            <c:strRef>
              <c:f>Лист1!$B$1:$K$1</c:f>
              <c:strCache>
                <c:ptCount val="10"/>
                <c:pt idx="0">
                  <c:v>2010</c:v>
                </c:pt>
                <c:pt idx="1">
                  <c:v>2011</c:v>
                </c:pt>
                <c:pt idx="2">
                  <c:v>2012</c:v>
                </c:pt>
                <c:pt idx="3">
                  <c:v>2013</c:v>
                </c:pt>
                <c:pt idx="4">
                  <c:v>2014</c:v>
                </c:pt>
                <c:pt idx="5">
                  <c:v>2015</c:v>
                </c:pt>
                <c:pt idx="6">
                  <c:v>2016</c:v>
                </c:pt>
                <c:pt idx="7">
                  <c:v>2017</c:v>
                </c:pt>
                <c:pt idx="8">
                  <c:v>2018</c:v>
                </c:pt>
                <c:pt idx="9">
                  <c:v>2019</c:v>
                </c:pt>
              </c:strCache>
            </c:strRef>
          </c:cat>
          <c:val>
            <c:numRef>
              <c:f>Лист1!$B$8:$K$8</c:f>
              <c:numCache>
                <c:formatCode>General</c:formatCode>
                <c:ptCount val="10"/>
                <c:pt idx="0">
                  <c:v>77.41</c:v>
                </c:pt>
                <c:pt idx="1">
                  <c:v>73.75</c:v>
                </c:pt>
                <c:pt idx="2">
                  <c:v>69.02</c:v>
                </c:pt>
                <c:pt idx="3">
                  <c:v>63.43</c:v>
                </c:pt>
                <c:pt idx="4">
                  <c:v>64.98</c:v>
                </c:pt>
                <c:pt idx="5">
                  <c:v>62.31</c:v>
                </c:pt>
                <c:pt idx="6">
                  <c:v>62.44</c:v>
                </c:pt>
                <c:pt idx="7">
                  <c:v>60.12</c:v>
                </c:pt>
                <c:pt idx="8">
                  <c:v>57.92</c:v>
                </c:pt>
                <c:pt idx="9" formatCode="0.0">
                  <c:v>56</c:v>
                </c:pt>
              </c:numCache>
            </c:numRef>
          </c:val>
          <c:smooth val="0"/>
          <c:extLst xmlns:c16r2="http://schemas.microsoft.com/office/drawing/2015/06/chart">
            <c:ext xmlns:c16="http://schemas.microsoft.com/office/drawing/2014/chart" uri="{C3380CC4-5D6E-409C-BE32-E72D297353CC}">
              <c16:uniqueId val="{00000006-AF03-4497-AD25-6EA7C573FC7B}"/>
            </c:ext>
          </c:extLst>
        </c:ser>
        <c:ser>
          <c:idx val="7"/>
          <c:order val="7"/>
          <c:tx>
            <c:strRef>
              <c:f>Лист1!$A$9</c:f>
              <c:strCache>
                <c:ptCount val="1"/>
                <c:pt idx="0">
                  <c:v>Україна</c:v>
                </c:pt>
              </c:strCache>
            </c:strRef>
          </c:tx>
          <c:spPr>
            <a:ln w="28575" cap="rnd">
              <a:solidFill>
                <a:schemeClr val="accent2">
                  <a:lumMod val="60000"/>
                </a:schemeClr>
              </a:solidFill>
              <a:prstDash val="sysDash"/>
              <a:round/>
            </a:ln>
            <a:effectLst/>
          </c:spPr>
          <c:marker>
            <c:symbol val="none"/>
          </c:marker>
          <c:cat>
            <c:strRef>
              <c:f>Лист1!$B$1:$K$1</c:f>
              <c:strCache>
                <c:ptCount val="10"/>
                <c:pt idx="0">
                  <c:v>2010</c:v>
                </c:pt>
                <c:pt idx="1">
                  <c:v>2011</c:v>
                </c:pt>
                <c:pt idx="2">
                  <c:v>2012</c:v>
                </c:pt>
                <c:pt idx="3">
                  <c:v>2013</c:v>
                </c:pt>
                <c:pt idx="4">
                  <c:v>2014</c:v>
                </c:pt>
                <c:pt idx="5">
                  <c:v>2015</c:v>
                </c:pt>
                <c:pt idx="6">
                  <c:v>2016</c:v>
                </c:pt>
                <c:pt idx="7">
                  <c:v>2017</c:v>
                </c:pt>
                <c:pt idx="8">
                  <c:v>2018</c:v>
                </c:pt>
                <c:pt idx="9">
                  <c:v>2019</c:v>
                </c:pt>
              </c:strCache>
            </c:strRef>
          </c:cat>
          <c:val>
            <c:numRef>
              <c:f>Лист1!$B$9:$K$9</c:f>
              <c:numCache>
                <c:formatCode>General</c:formatCode>
                <c:ptCount val="10"/>
                <c:pt idx="0">
                  <c:v>215.32</c:v>
                </c:pt>
                <c:pt idx="1">
                  <c:v>203.66</c:v>
                </c:pt>
                <c:pt idx="2">
                  <c:v>193.87</c:v>
                </c:pt>
                <c:pt idx="3">
                  <c:v>178.81</c:v>
                </c:pt>
                <c:pt idx="4">
                  <c:v>188.42</c:v>
                </c:pt>
                <c:pt idx="5">
                  <c:v>197.08</c:v>
                </c:pt>
                <c:pt idx="6">
                  <c:v>186.83</c:v>
                </c:pt>
                <c:pt idx="7">
                  <c:v>176.93</c:v>
                </c:pt>
                <c:pt idx="8">
                  <c:v>170.23</c:v>
                </c:pt>
                <c:pt idx="9">
                  <c:v>163.35</c:v>
                </c:pt>
              </c:numCache>
            </c:numRef>
          </c:val>
          <c:smooth val="0"/>
          <c:extLst xmlns:c16r2="http://schemas.microsoft.com/office/drawing/2015/06/chart">
            <c:ext xmlns:c16="http://schemas.microsoft.com/office/drawing/2014/chart" uri="{C3380CC4-5D6E-409C-BE32-E72D297353CC}">
              <c16:uniqueId val="{00000007-AF03-4497-AD25-6EA7C573FC7B}"/>
            </c:ext>
          </c:extLst>
        </c:ser>
        <c:dLbls>
          <c:showLegendKey val="0"/>
          <c:showVal val="0"/>
          <c:showCatName val="0"/>
          <c:showSerName val="0"/>
          <c:showPercent val="0"/>
          <c:showBubbleSize val="0"/>
        </c:dLbls>
        <c:marker val="1"/>
        <c:smooth val="0"/>
        <c:axId val="458404992"/>
        <c:axId val="458406528"/>
      </c:lineChart>
      <c:catAx>
        <c:axId val="4584049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vert="horz"/>
          <a:lstStyle/>
          <a:p>
            <a:pPr>
              <a:defRPr/>
            </a:pPr>
            <a:endParaRPr lang="ru-RU"/>
          </a:p>
        </c:txPr>
        <c:crossAx val="458406528"/>
        <c:crosses val="autoZero"/>
        <c:auto val="1"/>
        <c:lblAlgn val="ctr"/>
        <c:lblOffset val="100"/>
        <c:noMultiLvlLbl val="0"/>
      </c:catAx>
      <c:valAx>
        <c:axId val="458406528"/>
        <c:scaling>
          <c:orientation val="minMax"/>
          <c:min val="50"/>
        </c:scaling>
        <c:delete val="0"/>
        <c:axPos val="l"/>
        <c:majorGridlines>
          <c:spPr>
            <a:ln w="9525" cap="flat" cmpd="sng" algn="ctr">
              <a:solidFill>
                <a:schemeClr val="tx1">
                  <a:lumMod val="15000"/>
                  <a:lumOff val="85000"/>
                </a:schemeClr>
              </a:solidFill>
              <a:round/>
            </a:ln>
            <a:effectLst/>
          </c:spPr>
        </c:majorGridlines>
        <c:title>
          <c:tx>
            <c:rich>
              <a:bodyPr rot="-5400000" vert="horz"/>
              <a:lstStyle/>
              <a:p>
                <a:pPr>
                  <a:defRPr/>
                </a:pPr>
                <a:r>
                  <a:rPr lang="uk-UA"/>
                  <a:t>На 100 тис. відповідного населення</a:t>
                </a:r>
              </a:p>
            </c:rich>
          </c:tx>
          <c:layout>
            <c:manualLayout>
              <c:xMode val="edge"/>
              <c:yMode val="edge"/>
              <c:x val="6.761391805191018E-2"/>
              <c:y val="3.8158800388351864E-2"/>
            </c:manualLayout>
          </c:layout>
          <c:overlay val="0"/>
          <c:spPr>
            <a:noFill/>
            <a:ln>
              <a:noFill/>
            </a:ln>
            <a:effectLst/>
          </c:spPr>
        </c:title>
        <c:numFmt formatCode="General" sourceLinked="1"/>
        <c:majorTickMark val="none"/>
        <c:minorTickMark val="none"/>
        <c:tickLblPos val="nextTo"/>
        <c:spPr>
          <a:noFill/>
          <a:ln>
            <a:noFill/>
          </a:ln>
          <a:effectLst/>
        </c:spPr>
        <c:txPr>
          <a:bodyPr rot="-60000000" vert="horz"/>
          <a:lstStyle/>
          <a:p>
            <a:pPr>
              <a:defRPr/>
            </a:pPr>
            <a:endParaRPr lang="ru-RU"/>
          </a:p>
        </c:txPr>
        <c:crossAx val="458404992"/>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dTable>
      <c:spPr>
        <a:noFill/>
        <a:ln>
          <a:noFill/>
        </a:ln>
        <a:effectLst/>
      </c:spPr>
    </c:plotArea>
    <c:legend>
      <c:legendPos val="b"/>
      <c:layout>
        <c:manualLayout>
          <c:xMode val="edge"/>
          <c:yMode val="edge"/>
          <c:x val="0.11730132691746865"/>
          <c:y val="0.92470014867773431"/>
          <c:w val="0.8787962962962963"/>
          <c:h val="7.4144727679355371E-2"/>
        </c:manualLayout>
      </c:layout>
      <c:overlay val="0"/>
      <c:spPr>
        <a:noFill/>
        <a:ln>
          <a:noFill/>
        </a:ln>
        <a:effectLst/>
      </c:spPr>
      <c:txPr>
        <a:bodyPr rot="0" vert="horz"/>
        <a:lstStyle/>
        <a:p>
          <a:pPr>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ru-RU"/>
    </a:p>
  </c:txPr>
  <c:externalData r:id="rId2">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3"/>
    </mc:Choice>
    <mc:Fallback>
      <c:style val="3"/>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9.5136896173846186E-2"/>
          <c:y val="4.0007274049827284E-2"/>
          <c:w val="0.88103288808404567"/>
          <c:h val="0.78774346290287223"/>
        </c:manualLayout>
      </c:layout>
      <c:bar3DChart>
        <c:barDir val="col"/>
        <c:grouping val="stacked"/>
        <c:varyColors val="0"/>
        <c:ser>
          <c:idx val="0"/>
          <c:order val="0"/>
          <c:tx>
            <c:strRef>
              <c:f>Аркуш1!$B$1</c:f>
              <c:strCache>
                <c:ptCount val="1"/>
                <c:pt idx="0">
                  <c:v>Добрий</c:v>
                </c:pt>
              </c:strCache>
            </c:strRef>
          </c:tx>
          <c:spPr>
            <a:solidFill>
              <a:schemeClr val="accent1">
                <a:shade val="58000"/>
              </a:schemeClr>
            </a:solidFill>
            <a:ln>
              <a:noFill/>
            </a:ln>
            <a:effectLst/>
            <a:sp3d/>
          </c:spPr>
          <c:invertIfNegative val="0"/>
          <c:dLbls>
            <c:dLbl>
              <c:idx val="0"/>
              <c:layout>
                <c:manualLayout>
                  <c:x val="0.17992799049869904"/>
                  <c:y val="1.4110770836198112E-4"/>
                </c:manualLayout>
              </c:layout>
              <c:tx>
                <c:rich>
                  <a:bodyPr/>
                  <a:lstStyle/>
                  <a:p>
                    <a:r>
                      <a:rPr lang="uk-UA" b="1">
                        <a:solidFill>
                          <a:sysClr val="windowText" lastClr="000000"/>
                        </a:solidFill>
                      </a:rPr>
                      <a:t>Добрий 6,0</a:t>
                    </a:r>
                    <a:r>
                      <a:rPr lang="uk-UA" b="1">
                        <a:solidFill>
                          <a:sysClr val="windowText" lastClr="000000"/>
                        </a:solidFill>
                        <a:latin typeface="Times New Roman" panose="02020603050405020304" pitchFamily="18" charset="0"/>
                        <a:cs typeface="Times New Roman" panose="02020603050405020304" pitchFamily="18" charset="0"/>
                      </a:rPr>
                      <a:t>±1,2%</a:t>
                    </a:r>
                    <a:endParaRPr lang="uk-UA" b="1"/>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9DDC-4A8F-8D60-48A4519D3599}"/>
                </c:ext>
              </c:extLst>
            </c:dLbl>
            <c:dLbl>
              <c:idx val="1"/>
              <c:layout>
                <c:manualLayout>
                  <c:x val="0.1971444752248257"/>
                  <c:y val="-1.1904813044032353E-2"/>
                </c:manualLayout>
              </c:layout>
              <c:tx>
                <c:rich>
                  <a:bodyPr/>
                  <a:lstStyle/>
                  <a:p>
                    <a:r>
                      <a:rPr lang="uk-UA" b="1">
                        <a:solidFill>
                          <a:sysClr val="windowText" lastClr="000000"/>
                        </a:solidFill>
                      </a:rPr>
                      <a:t>Добрий</a:t>
                    </a:r>
                    <a:r>
                      <a:rPr lang="uk-UA" b="1" baseline="0">
                        <a:solidFill>
                          <a:sysClr val="windowText" lastClr="000000"/>
                        </a:solidFill>
                      </a:rPr>
                      <a:t> 5,25</a:t>
                    </a:r>
                    <a:r>
                      <a:rPr lang="uk-UA" b="1" baseline="0">
                        <a:solidFill>
                          <a:sysClr val="windowText" lastClr="000000"/>
                        </a:solidFill>
                        <a:latin typeface="Times New Roman" panose="02020603050405020304" pitchFamily="18" charset="0"/>
                        <a:cs typeface="Times New Roman" panose="02020603050405020304" pitchFamily="18" charset="0"/>
                      </a:rPr>
                      <a:t>±1,1%</a:t>
                    </a:r>
                    <a:endParaRPr lang="uk-UA"/>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9DDC-4A8F-8D60-48A4519D3599}"/>
                </c:ext>
              </c:extLst>
            </c:dLbl>
            <c:spPr>
              <a:noFill/>
              <a:ln>
                <a:noFill/>
              </a:ln>
              <a:effectLst/>
            </c:spPr>
            <c:txPr>
              <a:bodyPr rot="0" spcFirstLastPara="1" vertOverflow="ellipsis" vert="horz" wrap="square" lIns="38100" tIns="19050" rIns="38100" bIns="19050" anchor="ctr" anchorCtr="1">
                <a:spAutoFit/>
              </a:bodyPr>
              <a:lstStyle/>
              <a:p>
                <a:pPr>
                  <a:defRPr sz="950" b="1" i="0" u="none" strike="noStrike" kern="1200" baseline="0">
                    <a:solidFill>
                      <a:sysClr val="windowText" lastClr="000000"/>
                    </a:solidFill>
                    <a:latin typeface="Times New Roman" panose="02020603050405020304" pitchFamily="18" charset="0"/>
                    <a:ea typeface="+mn-ea"/>
                    <a:cs typeface="+mn-cs"/>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Аркуш1!$A$2:$A$3</c:f>
              <c:strCache>
                <c:ptCount val="2"/>
                <c:pt idx="0">
                  <c:v>Рівень теоретичної підготовки ЛЗП-СЛ</c:v>
                </c:pt>
                <c:pt idx="1">
                  <c:v>Рівень практичної підготовки ЛЗП-СЛ</c:v>
                </c:pt>
              </c:strCache>
            </c:strRef>
          </c:cat>
          <c:val>
            <c:numRef>
              <c:f>Аркуш1!$B$2:$B$3</c:f>
              <c:numCache>
                <c:formatCode>0.00%</c:formatCode>
                <c:ptCount val="2"/>
                <c:pt idx="0">
                  <c:v>6.0000000000000019E-2</c:v>
                </c:pt>
                <c:pt idx="1">
                  <c:v>5.2500000000000012E-2</c:v>
                </c:pt>
              </c:numCache>
            </c:numRef>
          </c:val>
          <c:extLst xmlns:c16r2="http://schemas.microsoft.com/office/drawing/2015/06/chart">
            <c:ext xmlns:c16="http://schemas.microsoft.com/office/drawing/2014/chart" uri="{C3380CC4-5D6E-409C-BE32-E72D297353CC}">
              <c16:uniqueId val="{00000002-9DDC-4A8F-8D60-48A4519D3599}"/>
            </c:ext>
          </c:extLst>
        </c:ser>
        <c:ser>
          <c:idx val="1"/>
          <c:order val="1"/>
          <c:tx>
            <c:strRef>
              <c:f>Аркуш1!$C$1</c:f>
              <c:strCache>
                <c:ptCount val="1"/>
                <c:pt idx="0">
                  <c:v>Задовільний</c:v>
                </c:pt>
              </c:strCache>
            </c:strRef>
          </c:tx>
          <c:spPr>
            <a:solidFill>
              <a:schemeClr val="accent1">
                <a:shade val="86000"/>
              </a:schemeClr>
            </a:solidFill>
            <a:ln>
              <a:noFill/>
            </a:ln>
            <a:effectLst/>
            <a:sp3d/>
          </c:spPr>
          <c:invertIfNegative val="0"/>
          <c:dLbls>
            <c:dLbl>
              <c:idx val="0"/>
              <c:tx>
                <c:rich>
                  <a:bodyPr rot="0" spcFirstLastPara="1" vertOverflow="ellipsis" vert="horz" wrap="square" lIns="38100" tIns="19050" rIns="38100" bIns="19050" anchor="ctr" anchorCtr="1">
                    <a:noAutofit/>
                  </a:bodyPr>
                  <a:lstStyle/>
                  <a:p>
                    <a:pPr>
                      <a:defRPr sz="950" b="1" i="0" u="none" strike="noStrike" kern="1200" baseline="0">
                        <a:solidFill>
                          <a:sysClr val="windowText" lastClr="000000"/>
                        </a:solidFill>
                        <a:latin typeface="Times New Roman" panose="02020603050405020304" pitchFamily="18" charset="0"/>
                        <a:ea typeface="+mn-ea"/>
                        <a:cs typeface="+mn-cs"/>
                      </a:defRPr>
                    </a:pPr>
                    <a:r>
                      <a:rPr lang="uk-UA" sz="950" b="1" baseline="0">
                        <a:solidFill>
                          <a:sysClr val="windowText" lastClr="000000"/>
                        </a:solidFill>
                        <a:latin typeface="Times New Roman" panose="02020603050405020304" pitchFamily="18" charset="0"/>
                      </a:rPr>
                      <a:t>Задовільний 26,25</a:t>
                    </a:r>
                    <a:r>
                      <a:rPr lang="uk-UA" sz="950" b="1" baseline="0">
                        <a:solidFill>
                          <a:sysClr val="windowText" lastClr="000000"/>
                        </a:solidFill>
                        <a:latin typeface="Times New Roman" panose="02020603050405020304" pitchFamily="18" charset="0"/>
                        <a:cs typeface="Times New Roman" panose="02020603050405020304" pitchFamily="18" charset="0"/>
                      </a:rPr>
                      <a:t>±2,2%</a:t>
                    </a:r>
                    <a:endParaRPr lang="uk-UA" sz="950" baseline="0">
                      <a:solidFill>
                        <a:schemeClr val="tx2"/>
                      </a:solidFill>
                      <a:latin typeface="Times New Roman" panose="02020603050405020304" pitchFamily="18" charset="0"/>
                    </a:endParaRPr>
                  </a:p>
                </c:rich>
              </c:tx>
              <c:spPr>
                <a:noFill/>
                <a:ln>
                  <a:noFill/>
                </a:ln>
                <a:effectLst/>
              </c:spPr>
              <c:showLegendKey val="0"/>
              <c:showVal val="1"/>
              <c:showCatName val="0"/>
              <c:showSerName val="0"/>
              <c:showPercent val="0"/>
              <c:showBubbleSize val="0"/>
              <c:extLst xmlns:c16r2="http://schemas.microsoft.com/office/drawing/2015/06/chart">
                <c:ext xmlns:c15="http://schemas.microsoft.com/office/drawing/2012/chart" uri="{CE6537A1-D6FC-4f65-9D91-7224C49458BB}">
                  <c15:spPr xmlns:c15="http://schemas.microsoft.com/office/drawing/2012/chart">
                    <a:prstGeom prst="rect">
                      <a:avLst/>
                    </a:prstGeom>
                  </c15:spPr>
                </c:ext>
                <c:ext xmlns:c16="http://schemas.microsoft.com/office/drawing/2014/chart" uri="{C3380CC4-5D6E-409C-BE32-E72D297353CC}">
                  <c16:uniqueId val="{00000003-9DDC-4A8F-8D60-48A4519D3599}"/>
                </c:ext>
              </c:extLst>
            </c:dLbl>
            <c:dLbl>
              <c:idx val="1"/>
              <c:tx>
                <c:rich>
                  <a:bodyPr rot="0" spcFirstLastPara="1" vertOverflow="ellipsis" vert="horz" wrap="square" lIns="38100" tIns="19050" rIns="38100" bIns="19050" anchor="ctr" anchorCtr="1">
                    <a:noAutofit/>
                  </a:bodyPr>
                  <a:lstStyle/>
                  <a:p>
                    <a:pPr>
                      <a:defRPr sz="950" b="1" i="0" u="none" strike="noStrike" kern="1200" baseline="0">
                        <a:solidFill>
                          <a:sysClr val="windowText" lastClr="000000"/>
                        </a:solidFill>
                        <a:latin typeface="Times New Roman" panose="02020603050405020304" pitchFamily="18" charset="0"/>
                        <a:ea typeface="+mn-ea"/>
                        <a:cs typeface="+mn-cs"/>
                      </a:defRPr>
                    </a:pPr>
                    <a:r>
                      <a:rPr lang="uk-UA" b="1">
                        <a:solidFill>
                          <a:sysClr val="windowText" lastClr="000000"/>
                        </a:solidFill>
                      </a:rPr>
                      <a:t>Задовільний 24,5</a:t>
                    </a:r>
                    <a:r>
                      <a:rPr lang="uk-UA" b="1">
                        <a:solidFill>
                          <a:sysClr val="windowText" lastClr="000000"/>
                        </a:solidFill>
                        <a:latin typeface="Times New Roman" panose="02020603050405020304" pitchFamily="18" charset="0"/>
                        <a:cs typeface="Times New Roman" panose="02020603050405020304" pitchFamily="18" charset="0"/>
                      </a:rPr>
                      <a:t>±2,2%</a:t>
                    </a:r>
                    <a:endParaRPr lang="uk-UA" b="1"/>
                  </a:p>
                </c:rich>
              </c:tx>
              <c:spPr>
                <a:noFill/>
                <a:ln>
                  <a:noFill/>
                </a:ln>
                <a:effectLst/>
              </c:spPr>
              <c:showLegendKey val="0"/>
              <c:showVal val="1"/>
              <c:showCatName val="0"/>
              <c:showSerName val="0"/>
              <c:showPercent val="0"/>
              <c:showBubbleSize val="0"/>
              <c:extLst xmlns:c16r2="http://schemas.microsoft.com/office/drawing/2015/06/chart">
                <c:ext xmlns:c15="http://schemas.microsoft.com/office/drawing/2012/chart" uri="{CE6537A1-D6FC-4f65-9D91-7224C49458BB}">
                  <c15:spPr xmlns:c15="http://schemas.microsoft.com/office/drawing/2012/chart">
                    <a:prstGeom prst="rect">
                      <a:avLst/>
                    </a:prstGeom>
                  </c15:spPr>
                </c:ext>
                <c:ext xmlns:c16="http://schemas.microsoft.com/office/drawing/2014/chart" uri="{C3380CC4-5D6E-409C-BE32-E72D297353CC}">
                  <c16:uniqueId val="{00000004-9DDC-4A8F-8D60-48A4519D3599}"/>
                </c:ext>
              </c:extLst>
            </c:dLbl>
            <c:spPr>
              <a:noFill/>
              <a:ln>
                <a:noFill/>
              </a:ln>
              <a:effectLst/>
            </c:spPr>
            <c:txPr>
              <a:bodyPr rot="0" spcFirstLastPara="1" vertOverflow="ellipsis" vert="horz" wrap="square" lIns="38100" tIns="19050" rIns="38100" bIns="19050" anchor="ctr" anchorCtr="1">
                <a:spAutoFit/>
              </a:bodyPr>
              <a:lstStyle/>
              <a:p>
                <a:pPr>
                  <a:defRPr sz="950" b="1" i="0" u="none" strike="noStrike" kern="1200" baseline="0">
                    <a:solidFill>
                      <a:sysClr val="windowText" lastClr="000000"/>
                    </a:solidFill>
                    <a:latin typeface="Times New Roman" panose="02020603050405020304" pitchFamily="18" charset="0"/>
                    <a:ea typeface="+mn-ea"/>
                    <a:cs typeface="+mn-cs"/>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Аркуш1!$A$2:$A$3</c:f>
              <c:strCache>
                <c:ptCount val="2"/>
                <c:pt idx="0">
                  <c:v>Рівень теоретичної підготовки ЛЗП-СЛ</c:v>
                </c:pt>
                <c:pt idx="1">
                  <c:v>Рівень практичної підготовки ЛЗП-СЛ</c:v>
                </c:pt>
              </c:strCache>
            </c:strRef>
          </c:cat>
          <c:val>
            <c:numRef>
              <c:f>Аркуш1!$C$2:$C$3</c:f>
              <c:numCache>
                <c:formatCode>0.00%</c:formatCode>
                <c:ptCount val="2"/>
                <c:pt idx="0">
                  <c:v>0.26250000000000001</c:v>
                </c:pt>
                <c:pt idx="1">
                  <c:v>0.24500000000000005</c:v>
                </c:pt>
              </c:numCache>
            </c:numRef>
          </c:val>
          <c:extLst xmlns:c16r2="http://schemas.microsoft.com/office/drawing/2015/06/chart">
            <c:ext xmlns:c16="http://schemas.microsoft.com/office/drawing/2014/chart" uri="{C3380CC4-5D6E-409C-BE32-E72D297353CC}">
              <c16:uniqueId val="{00000005-9DDC-4A8F-8D60-48A4519D3599}"/>
            </c:ext>
          </c:extLst>
        </c:ser>
        <c:ser>
          <c:idx val="2"/>
          <c:order val="2"/>
          <c:tx>
            <c:strRef>
              <c:f>Аркуш1!$D$1</c:f>
              <c:strCache>
                <c:ptCount val="1"/>
                <c:pt idx="0">
                  <c:v>Недостатній</c:v>
                </c:pt>
              </c:strCache>
            </c:strRef>
          </c:tx>
          <c:spPr>
            <a:solidFill>
              <a:schemeClr val="accent1">
                <a:tint val="86000"/>
              </a:schemeClr>
            </a:solidFill>
            <a:ln>
              <a:noFill/>
            </a:ln>
            <a:effectLst/>
            <a:sp3d/>
          </c:spPr>
          <c:invertIfNegative val="0"/>
          <c:dLbls>
            <c:dLbl>
              <c:idx val="0"/>
              <c:tx>
                <c:rich>
                  <a:bodyPr rot="0" spcFirstLastPara="1" vertOverflow="ellipsis" vert="horz" wrap="square" lIns="38100" tIns="19050" rIns="38100" bIns="19050" anchor="ctr" anchorCtr="1">
                    <a:noAutofit/>
                  </a:bodyPr>
                  <a:lstStyle/>
                  <a:p>
                    <a:pPr>
                      <a:defRPr sz="950" b="1" i="0" u="none" strike="noStrike" kern="1200" baseline="0">
                        <a:solidFill>
                          <a:sysClr val="windowText" lastClr="000000"/>
                        </a:solidFill>
                        <a:latin typeface="Times New Roman" panose="02020603050405020304" pitchFamily="18" charset="0"/>
                        <a:ea typeface="+mn-ea"/>
                        <a:cs typeface="+mn-cs"/>
                      </a:defRPr>
                    </a:pPr>
                    <a:r>
                      <a:rPr lang="uk-UA" b="1">
                        <a:solidFill>
                          <a:sysClr val="windowText" lastClr="000000"/>
                        </a:solidFill>
                      </a:rPr>
                      <a:t>Недостатній</a:t>
                    </a:r>
                    <a:r>
                      <a:rPr lang="uk-UA" b="1" baseline="0">
                        <a:solidFill>
                          <a:sysClr val="windowText" lastClr="000000"/>
                        </a:solidFill>
                      </a:rPr>
                      <a:t> 41,0</a:t>
                    </a:r>
                    <a:r>
                      <a:rPr lang="uk-UA" b="1" baseline="0">
                        <a:solidFill>
                          <a:sysClr val="windowText" lastClr="000000"/>
                        </a:solidFill>
                        <a:latin typeface="Times New Roman" panose="02020603050405020304" pitchFamily="18" charset="0"/>
                        <a:cs typeface="Times New Roman" panose="02020603050405020304" pitchFamily="18" charset="0"/>
                      </a:rPr>
                      <a:t>±2,5%</a:t>
                    </a:r>
                    <a:endParaRPr lang="uk-UA"/>
                  </a:p>
                </c:rich>
              </c:tx>
              <c:spPr>
                <a:noFill/>
                <a:ln>
                  <a:noFill/>
                </a:ln>
                <a:effectLst/>
              </c:spPr>
              <c:showLegendKey val="0"/>
              <c:showVal val="1"/>
              <c:showCatName val="0"/>
              <c:showSerName val="0"/>
              <c:showPercent val="0"/>
              <c:showBubbleSize val="0"/>
              <c:extLst xmlns:c16r2="http://schemas.microsoft.com/office/drawing/2015/06/chart">
                <c:ext xmlns:c15="http://schemas.microsoft.com/office/drawing/2012/chart" uri="{CE6537A1-D6FC-4f65-9D91-7224C49458BB}">
                  <c15:spPr xmlns:c15="http://schemas.microsoft.com/office/drawing/2012/chart">
                    <a:prstGeom prst="rect">
                      <a:avLst/>
                    </a:prstGeom>
                  </c15:spPr>
                </c:ext>
                <c:ext xmlns:c16="http://schemas.microsoft.com/office/drawing/2014/chart" uri="{C3380CC4-5D6E-409C-BE32-E72D297353CC}">
                  <c16:uniqueId val="{00000006-9DDC-4A8F-8D60-48A4519D3599}"/>
                </c:ext>
              </c:extLst>
            </c:dLbl>
            <c:dLbl>
              <c:idx val="1"/>
              <c:layout>
                <c:manualLayout>
                  <c:x val="-2.3148148148148997E-3"/>
                  <c:y val="-5.9525371828522194E-3"/>
                </c:manualLayout>
              </c:layout>
              <c:tx>
                <c:rich>
                  <a:bodyPr rot="0" spcFirstLastPara="1" vertOverflow="ellipsis" vert="horz" wrap="square" lIns="38100" tIns="19050" rIns="38100" bIns="19050" anchor="ctr" anchorCtr="1">
                    <a:noAutofit/>
                  </a:bodyPr>
                  <a:lstStyle/>
                  <a:p>
                    <a:pPr>
                      <a:defRPr sz="950" b="1" i="0" u="none" strike="noStrike" kern="1200" baseline="0">
                        <a:solidFill>
                          <a:sysClr val="windowText" lastClr="000000"/>
                        </a:solidFill>
                        <a:latin typeface="Times New Roman" panose="02020603050405020304" pitchFamily="18" charset="0"/>
                        <a:ea typeface="+mn-ea"/>
                        <a:cs typeface="+mn-cs"/>
                      </a:defRPr>
                    </a:pPr>
                    <a:r>
                      <a:rPr lang="uk-UA" b="1">
                        <a:solidFill>
                          <a:sysClr val="windowText" lastClr="000000"/>
                        </a:solidFill>
                      </a:rPr>
                      <a:t>Недостатній 43,0</a:t>
                    </a:r>
                    <a:r>
                      <a:rPr lang="uk-UA" b="1">
                        <a:solidFill>
                          <a:sysClr val="windowText" lastClr="000000"/>
                        </a:solidFill>
                        <a:latin typeface="Times New Roman" panose="02020603050405020304" pitchFamily="18" charset="0"/>
                        <a:cs typeface="Times New Roman" panose="02020603050405020304" pitchFamily="18" charset="0"/>
                      </a:rPr>
                      <a:t>±2,5%</a:t>
                    </a:r>
                    <a:endParaRPr lang="uk-UA"/>
                  </a:p>
                </c:rich>
              </c:tx>
              <c:spPr>
                <a:noFill/>
                <a:ln>
                  <a:noFill/>
                </a:ln>
                <a:effectLst/>
              </c:spPr>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manualLayout>
                      <c:w val="0.13909722222222223"/>
                      <c:h val="0.14652793400824896"/>
                    </c:manualLayout>
                  </c15:layout>
                </c:ext>
                <c:ext xmlns:c16="http://schemas.microsoft.com/office/drawing/2014/chart" uri="{C3380CC4-5D6E-409C-BE32-E72D297353CC}">
                  <c16:uniqueId val="{00000007-9DDC-4A8F-8D60-48A4519D3599}"/>
                </c:ext>
              </c:extLst>
            </c:dLbl>
            <c:spPr>
              <a:noFill/>
              <a:ln>
                <a:noFill/>
              </a:ln>
              <a:effectLst/>
            </c:spPr>
            <c:txPr>
              <a:bodyPr rot="0" spcFirstLastPara="1" vertOverflow="ellipsis" vert="horz" wrap="square" lIns="38100" tIns="19050" rIns="38100" bIns="19050" anchor="ctr" anchorCtr="1">
                <a:spAutoFit/>
              </a:bodyPr>
              <a:lstStyle/>
              <a:p>
                <a:pPr>
                  <a:defRPr sz="950" b="1" i="0" u="none" strike="noStrike" kern="1200" baseline="0">
                    <a:solidFill>
                      <a:sysClr val="windowText" lastClr="000000"/>
                    </a:solidFill>
                    <a:latin typeface="Times New Roman" panose="02020603050405020304" pitchFamily="18" charset="0"/>
                    <a:ea typeface="+mn-ea"/>
                    <a:cs typeface="+mn-cs"/>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Аркуш1!$A$2:$A$3</c:f>
              <c:strCache>
                <c:ptCount val="2"/>
                <c:pt idx="0">
                  <c:v>Рівень теоретичної підготовки ЛЗП-СЛ</c:v>
                </c:pt>
                <c:pt idx="1">
                  <c:v>Рівень практичної підготовки ЛЗП-СЛ</c:v>
                </c:pt>
              </c:strCache>
            </c:strRef>
          </c:cat>
          <c:val>
            <c:numRef>
              <c:f>Аркуш1!$D$2:$D$3</c:f>
              <c:numCache>
                <c:formatCode>0.00%</c:formatCode>
                <c:ptCount val="2"/>
                <c:pt idx="0">
                  <c:v>0.41000000000000009</c:v>
                </c:pt>
                <c:pt idx="1">
                  <c:v>0.4300000000000001</c:v>
                </c:pt>
              </c:numCache>
            </c:numRef>
          </c:val>
          <c:extLst xmlns:c16r2="http://schemas.microsoft.com/office/drawing/2015/06/chart">
            <c:ext xmlns:c16="http://schemas.microsoft.com/office/drawing/2014/chart" uri="{C3380CC4-5D6E-409C-BE32-E72D297353CC}">
              <c16:uniqueId val="{00000008-9DDC-4A8F-8D60-48A4519D3599}"/>
            </c:ext>
          </c:extLst>
        </c:ser>
        <c:ser>
          <c:idx val="3"/>
          <c:order val="3"/>
          <c:tx>
            <c:strRef>
              <c:f>Аркуш1!$E$1</c:f>
              <c:strCache>
                <c:ptCount val="1"/>
                <c:pt idx="0">
                  <c:v>Вкрай недостатній</c:v>
                </c:pt>
              </c:strCache>
            </c:strRef>
          </c:tx>
          <c:spPr>
            <a:solidFill>
              <a:schemeClr val="accent1">
                <a:tint val="58000"/>
              </a:schemeClr>
            </a:solidFill>
            <a:ln>
              <a:noFill/>
            </a:ln>
            <a:effectLst/>
            <a:sp3d/>
          </c:spPr>
          <c:invertIfNegative val="0"/>
          <c:dLbls>
            <c:dLbl>
              <c:idx val="0"/>
              <c:layout>
                <c:manualLayout>
                  <c:x val="8.6066608441709143E-4"/>
                  <c:y val="9.2613832436248249E-3"/>
                </c:manualLayout>
              </c:layout>
              <c:tx>
                <c:rich>
                  <a:bodyPr rot="0" spcFirstLastPara="1" vertOverflow="ellipsis" vert="horz" wrap="square" lIns="38100" tIns="19050" rIns="38100" bIns="19050" anchor="ctr" anchorCtr="1">
                    <a:noAutofit/>
                  </a:bodyPr>
                  <a:lstStyle/>
                  <a:p>
                    <a:pPr>
                      <a:defRPr sz="950" b="1" i="0" u="none" strike="noStrike" kern="1200" baseline="0">
                        <a:solidFill>
                          <a:sysClr val="windowText" lastClr="000000"/>
                        </a:solidFill>
                        <a:latin typeface="Times New Roman" panose="02020603050405020304" pitchFamily="18" charset="0"/>
                        <a:ea typeface="+mn-ea"/>
                        <a:cs typeface="+mn-cs"/>
                      </a:defRPr>
                    </a:pPr>
                    <a:r>
                      <a:rPr lang="uk-UA" sz="950" b="1" baseline="0">
                        <a:solidFill>
                          <a:sysClr val="windowText" lastClr="000000"/>
                        </a:solidFill>
                        <a:latin typeface="Times New Roman" panose="02020603050405020304" pitchFamily="18" charset="0"/>
                      </a:rPr>
                      <a:t>Вкрай недостатній 26,75</a:t>
                    </a:r>
                    <a:r>
                      <a:rPr lang="uk-UA" sz="950" b="1" baseline="0">
                        <a:solidFill>
                          <a:sysClr val="windowText" lastClr="000000"/>
                        </a:solidFill>
                        <a:latin typeface="Times New Roman" panose="02020603050405020304" pitchFamily="18" charset="0"/>
                        <a:cs typeface="Times New Roman" panose="02020603050405020304" pitchFamily="18" charset="0"/>
                      </a:rPr>
                      <a:t>±2,2%</a:t>
                    </a:r>
                    <a:endParaRPr lang="uk-UA" sz="950" baseline="0">
                      <a:solidFill>
                        <a:schemeClr val="tx2"/>
                      </a:solidFill>
                      <a:latin typeface="Times New Roman" panose="02020603050405020304" pitchFamily="18" charset="0"/>
                    </a:endParaRPr>
                  </a:p>
                </c:rich>
              </c:tx>
              <c:spPr>
                <a:noFill/>
                <a:ln>
                  <a:noFill/>
                </a:ln>
                <a:effectLst/>
              </c:spPr>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manualLayout>
                      <c:w val="0.13067129629629629"/>
                      <c:h val="0.18924603174603175"/>
                    </c:manualLayout>
                  </c15:layout>
                </c:ext>
                <c:ext xmlns:c16="http://schemas.microsoft.com/office/drawing/2014/chart" uri="{C3380CC4-5D6E-409C-BE32-E72D297353CC}">
                  <c16:uniqueId val="{00000009-9DDC-4A8F-8D60-48A4519D3599}"/>
                </c:ext>
              </c:extLst>
            </c:dLbl>
            <c:dLbl>
              <c:idx val="1"/>
              <c:layout>
                <c:manualLayout>
                  <c:x val="0"/>
                  <c:y val="-1.454795646452544E-2"/>
                </c:manualLayout>
              </c:layout>
              <c:tx>
                <c:rich>
                  <a:bodyPr rot="0" spcFirstLastPara="1" vertOverflow="ellipsis" vert="horz" wrap="square" lIns="38100" tIns="19050" rIns="38100" bIns="19050" anchor="ctr" anchorCtr="1">
                    <a:noAutofit/>
                  </a:bodyPr>
                  <a:lstStyle/>
                  <a:p>
                    <a:pPr>
                      <a:defRPr sz="950" b="1" i="0" u="none" strike="noStrike" kern="1200" baseline="0">
                        <a:solidFill>
                          <a:sysClr val="windowText" lastClr="000000"/>
                        </a:solidFill>
                        <a:latin typeface="Times New Roman" panose="02020603050405020304" pitchFamily="18" charset="0"/>
                        <a:ea typeface="+mn-ea"/>
                        <a:cs typeface="+mn-cs"/>
                      </a:defRPr>
                    </a:pPr>
                    <a:r>
                      <a:rPr lang="uk-UA" sz="950" b="1" baseline="0">
                        <a:solidFill>
                          <a:sysClr val="windowText" lastClr="000000"/>
                        </a:solidFill>
                        <a:latin typeface="Times New Roman" panose="02020603050405020304" pitchFamily="18" charset="0"/>
                      </a:rPr>
                      <a:t>Вкрай недостатній 27,25</a:t>
                    </a:r>
                    <a:r>
                      <a:rPr lang="uk-UA" sz="950" b="1" baseline="0">
                        <a:solidFill>
                          <a:sysClr val="windowText" lastClr="000000"/>
                        </a:solidFill>
                        <a:latin typeface="Times New Roman" panose="02020603050405020304" pitchFamily="18" charset="0"/>
                        <a:cs typeface="Times New Roman" panose="02020603050405020304" pitchFamily="18" charset="0"/>
                      </a:rPr>
                      <a:t>±2,2%</a:t>
                    </a:r>
                    <a:endParaRPr lang="uk-UA" sz="950" baseline="0">
                      <a:solidFill>
                        <a:schemeClr val="tx2"/>
                      </a:solidFill>
                      <a:latin typeface="Times New Roman" panose="02020603050405020304" pitchFamily="18" charset="0"/>
                    </a:endParaRPr>
                  </a:p>
                </c:rich>
              </c:tx>
              <c:spPr>
                <a:noFill/>
                <a:ln>
                  <a:noFill/>
                </a:ln>
                <a:effectLst/>
              </c:spPr>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manualLayout>
                      <c:w val="0.1491898148148148"/>
                      <c:h val="0.14559523809523808"/>
                    </c:manualLayout>
                  </c15:layout>
                </c:ext>
                <c:ext xmlns:c16="http://schemas.microsoft.com/office/drawing/2014/chart" uri="{C3380CC4-5D6E-409C-BE32-E72D297353CC}">
                  <c16:uniqueId val="{0000000A-9DDC-4A8F-8D60-48A4519D3599}"/>
                </c:ext>
              </c:extLst>
            </c:dLbl>
            <c:spPr>
              <a:noFill/>
              <a:ln>
                <a:noFill/>
              </a:ln>
              <a:effectLst/>
            </c:spPr>
            <c:txPr>
              <a:bodyPr rot="0" spcFirstLastPara="1" vertOverflow="ellipsis" vert="horz" wrap="square" lIns="38100" tIns="19050" rIns="38100" bIns="19050" anchor="ctr" anchorCtr="1">
                <a:spAutoFit/>
              </a:bodyPr>
              <a:lstStyle/>
              <a:p>
                <a:pPr>
                  <a:defRPr sz="950" b="1" i="0" u="none" strike="noStrike" kern="1200" baseline="0">
                    <a:solidFill>
                      <a:sysClr val="windowText" lastClr="000000"/>
                    </a:solidFill>
                    <a:latin typeface="Times New Roman" panose="02020603050405020304" pitchFamily="18" charset="0"/>
                    <a:ea typeface="+mn-ea"/>
                    <a:cs typeface="+mn-cs"/>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Аркуш1!$A$2:$A$3</c:f>
              <c:strCache>
                <c:ptCount val="2"/>
                <c:pt idx="0">
                  <c:v>Рівень теоретичної підготовки ЛЗП-СЛ</c:v>
                </c:pt>
                <c:pt idx="1">
                  <c:v>Рівень практичної підготовки ЛЗП-СЛ</c:v>
                </c:pt>
              </c:strCache>
            </c:strRef>
          </c:cat>
          <c:val>
            <c:numRef>
              <c:f>Аркуш1!$E$2:$E$3</c:f>
              <c:numCache>
                <c:formatCode>0.00%</c:formatCode>
                <c:ptCount val="2"/>
                <c:pt idx="0">
                  <c:v>0.26750000000000002</c:v>
                </c:pt>
                <c:pt idx="1">
                  <c:v>0.27250000000000002</c:v>
                </c:pt>
              </c:numCache>
            </c:numRef>
          </c:val>
          <c:extLst xmlns:c16r2="http://schemas.microsoft.com/office/drawing/2015/06/chart">
            <c:ext xmlns:c16="http://schemas.microsoft.com/office/drawing/2014/chart" uri="{C3380CC4-5D6E-409C-BE32-E72D297353CC}">
              <c16:uniqueId val="{0000000B-9DDC-4A8F-8D60-48A4519D3599}"/>
            </c:ext>
          </c:extLst>
        </c:ser>
        <c:dLbls>
          <c:showLegendKey val="0"/>
          <c:showVal val="1"/>
          <c:showCatName val="0"/>
          <c:showSerName val="0"/>
          <c:showPercent val="0"/>
          <c:showBubbleSize val="0"/>
        </c:dLbls>
        <c:gapWidth val="150"/>
        <c:shape val="box"/>
        <c:axId val="529253120"/>
        <c:axId val="529254656"/>
        <c:axId val="0"/>
      </c:bar3DChart>
      <c:catAx>
        <c:axId val="52925312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cap="none" spc="0" normalizeH="0" baseline="0">
                <a:solidFill>
                  <a:sysClr val="windowText" lastClr="000000"/>
                </a:solidFill>
                <a:latin typeface="Times New Roman" panose="02020603050405020304" pitchFamily="18" charset="0"/>
                <a:ea typeface="+mn-ea"/>
                <a:cs typeface="+mn-cs"/>
              </a:defRPr>
            </a:pPr>
            <a:endParaRPr lang="ru-RU"/>
          </a:p>
        </c:txPr>
        <c:crossAx val="529254656"/>
        <c:crosses val="autoZero"/>
        <c:auto val="1"/>
        <c:lblAlgn val="ctr"/>
        <c:lblOffset val="100"/>
        <c:noMultiLvlLbl val="0"/>
      </c:catAx>
      <c:valAx>
        <c:axId val="529254656"/>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mn-cs"/>
              </a:defRPr>
            </a:pPr>
            <a:endParaRPr lang="ru-RU"/>
          </a:p>
        </c:txPr>
        <c:crossAx val="529253120"/>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ru-RU"/>
    </a:p>
  </c:tx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lrMapOvr bg1="lt1" tx1="dk1" bg2="lt2" tx2="dk2" accent1="accent1" accent2="accent2" accent3="accent3" accent4="accent4" accent5="accent5" accent6="accent6" hlink="hlink" folHlink="folHlink"/>
  <c:chart>
    <c:autoTitleDeleted val="1"/>
    <c:plotArea>
      <c:layout/>
      <c:barChart>
        <c:barDir val="col"/>
        <c:grouping val="stacked"/>
        <c:varyColors val="0"/>
        <c:ser>
          <c:idx val="0"/>
          <c:order val="0"/>
          <c:tx>
            <c:strRef>
              <c:f>Лист1!$B$1</c:f>
              <c:strCache>
                <c:ptCount val="1"/>
                <c:pt idx="0">
                  <c:v>Акушерські стаціонари ІІІ рівня</c:v>
                </c:pt>
              </c:strCache>
            </c:strRef>
          </c:tx>
          <c:spPr>
            <a:solidFill>
              <a:schemeClr val="accent3">
                <a:shade val="58000"/>
              </a:schemeClr>
            </a:solidFill>
            <a:ln>
              <a:solidFill>
                <a:schemeClr val="tx1"/>
              </a:solidFill>
            </a:ln>
            <a:effectLst/>
          </c:spPr>
          <c:invertIfNegative val="0"/>
          <c:cat>
            <c:strRef>
              <c:f>Лист1!$A$2:$A$8</c:f>
              <c:strCache>
                <c:ptCount val="7"/>
                <c:pt idx="0">
                  <c:v>квітень</c:v>
                </c:pt>
                <c:pt idx="1">
                  <c:v>травень</c:v>
                </c:pt>
                <c:pt idx="2">
                  <c:v>червень</c:v>
                </c:pt>
                <c:pt idx="3">
                  <c:v>липень</c:v>
                </c:pt>
                <c:pt idx="4">
                  <c:v>серпень</c:v>
                </c:pt>
                <c:pt idx="5">
                  <c:v>вересень</c:v>
                </c:pt>
                <c:pt idx="6">
                  <c:v>жовтень</c:v>
                </c:pt>
              </c:strCache>
            </c:strRef>
          </c:cat>
          <c:val>
            <c:numRef>
              <c:f>Лист1!$B$2:$B$8</c:f>
              <c:numCache>
                <c:formatCode>0.00</c:formatCode>
                <c:ptCount val="7"/>
                <c:pt idx="0">
                  <c:v>25.925925925925927</c:v>
                </c:pt>
                <c:pt idx="1">
                  <c:v>55.172413793103445</c:v>
                </c:pt>
                <c:pt idx="2">
                  <c:v>44</c:v>
                </c:pt>
                <c:pt idx="3">
                  <c:v>15.384615384615385</c:v>
                </c:pt>
                <c:pt idx="4">
                  <c:v>54.285714285714285</c:v>
                </c:pt>
                <c:pt idx="5">
                  <c:v>34.782608695652172</c:v>
                </c:pt>
                <c:pt idx="6">
                  <c:v>45.454545454545453</c:v>
                </c:pt>
              </c:numCache>
            </c:numRef>
          </c:val>
          <c:extLst xmlns:c16r2="http://schemas.microsoft.com/office/drawing/2015/06/chart">
            <c:ext xmlns:c16="http://schemas.microsoft.com/office/drawing/2014/chart" uri="{C3380CC4-5D6E-409C-BE32-E72D297353CC}">
              <c16:uniqueId val="{00000000-1A5C-474B-A1F7-52C649BE4EC7}"/>
            </c:ext>
          </c:extLst>
        </c:ser>
        <c:ser>
          <c:idx val="1"/>
          <c:order val="1"/>
          <c:tx>
            <c:strRef>
              <c:f>Лист1!$C$1</c:f>
              <c:strCache>
                <c:ptCount val="1"/>
                <c:pt idx="0">
                  <c:v>Акушерські стаціонари ІІ рівня</c:v>
                </c:pt>
              </c:strCache>
            </c:strRef>
          </c:tx>
          <c:spPr>
            <a:pattFill prst="narVert">
              <a:fgClr>
                <a:sysClr val="windowText" lastClr="000000"/>
              </a:fgClr>
              <a:bgClr>
                <a:schemeClr val="bg1"/>
              </a:bgClr>
            </a:pattFill>
            <a:ln>
              <a:solidFill>
                <a:schemeClr val="tx1"/>
              </a:solidFill>
            </a:ln>
            <a:effectLst/>
          </c:spPr>
          <c:invertIfNegative val="0"/>
          <c:cat>
            <c:strRef>
              <c:f>Лист1!$A$2:$A$8</c:f>
              <c:strCache>
                <c:ptCount val="7"/>
                <c:pt idx="0">
                  <c:v>квітень</c:v>
                </c:pt>
                <c:pt idx="1">
                  <c:v>травень</c:v>
                </c:pt>
                <c:pt idx="2">
                  <c:v>червень</c:v>
                </c:pt>
                <c:pt idx="3">
                  <c:v>липень</c:v>
                </c:pt>
                <c:pt idx="4">
                  <c:v>серпень</c:v>
                </c:pt>
                <c:pt idx="5">
                  <c:v>вересень</c:v>
                </c:pt>
                <c:pt idx="6">
                  <c:v>жовтень</c:v>
                </c:pt>
              </c:strCache>
            </c:strRef>
          </c:cat>
          <c:val>
            <c:numRef>
              <c:f>Лист1!$C$2:$C$8</c:f>
              <c:numCache>
                <c:formatCode>0.00</c:formatCode>
                <c:ptCount val="7"/>
                <c:pt idx="0">
                  <c:v>51.851851851851855</c:v>
                </c:pt>
                <c:pt idx="1">
                  <c:v>20.689655172413794</c:v>
                </c:pt>
                <c:pt idx="2">
                  <c:v>36</c:v>
                </c:pt>
                <c:pt idx="3">
                  <c:v>50</c:v>
                </c:pt>
                <c:pt idx="4">
                  <c:v>25.714285714285715</c:v>
                </c:pt>
                <c:pt idx="5">
                  <c:v>47.826086956521742</c:v>
                </c:pt>
                <c:pt idx="6">
                  <c:v>36.363636363636367</c:v>
                </c:pt>
              </c:numCache>
            </c:numRef>
          </c:val>
          <c:extLst xmlns:c16r2="http://schemas.microsoft.com/office/drawing/2015/06/chart">
            <c:ext xmlns:c16="http://schemas.microsoft.com/office/drawing/2014/chart" uri="{C3380CC4-5D6E-409C-BE32-E72D297353CC}">
              <c16:uniqueId val="{00000001-1A5C-474B-A1F7-52C649BE4EC7}"/>
            </c:ext>
          </c:extLst>
        </c:ser>
        <c:ser>
          <c:idx val="2"/>
          <c:order val="2"/>
          <c:tx>
            <c:strRef>
              <c:f>Лист1!$D$1</c:f>
              <c:strCache>
                <c:ptCount val="1"/>
                <c:pt idx="0">
                  <c:v>Дитячі лікарні</c:v>
                </c:pt>
              </c:strCache>
            </c:strRef>
          </c:tx>
          <c:spPr>
            <a:pattFill prst="pct10">
              <a:fgClr>
                <a:sysClr val="windowText" lastClr="000000"/>
              </a:fgClr>
              <a:bgClr>
                <a:schemeClr val="bg1"/>
              </a:bgClr>
            </a:pattFill>
            <a:ln>
              <a:solidFill>
                <a:schemeClr val="tx1"/>
              </a:solidFill>
            </a:ln>
            <a:effectLst/>
          </c:spPr>
          <c:invertIfNegative val="0"/>
          <c:cat>
            <c:strRef>
              <c:f>Лист1!$A$2:$A$8</c:f>
              <c:strCache>
                <c:ptCount val="7"/>
                <c:pt idx="0">
                  <c:v>квітень</c:v>
                </c:pt>
                <c:pt idx="1">
                  <c:v>травень</c:v>
                </c:pt>
                <c:pt idx="2">
                  <c:v>червень</c:v>
                </c:pt>
                <c:pt idx="3">
                  <c:v>липень</c:v>
                </c:pt>
                <c:pt idx="4">
                  <c:v>серпень</c:v>
                </c:pt>
                <c:pt idx="5">
                  <c:v>вересень</c:v>
                </c:pt>
                <c:pt idx="6">
                  <c:v>жовтень</c:v>
                </c:pt>
              </c:strCache>
            </c:strRef>
          </c:cat>
          <c:val>
            <c:numRef>
              <c:f>Лист1!$D$2:$D$8</c:f>
              <c:numCache>
                <c:formatCode>0.00</c:formatCode>
                <c:ptCount val="7"/>
                <c:pt idx="0">
                  <c:v>22.222222222222221</c:v>
                </c:pt>
                <c:pt idx="1">
                  <c:v>24.137931034482758</c:v>
                </c:pt>
                <c:pt idx="2">
                  <c:v>20</c:v>
                </c:pt>
                <c:pt idx="3">
                  <c:v>34.615384615384613</c:v>
                </c:pt>
                <c:pt idx="4">
                  <c:v>20</c:v>
                </c:pt>
                <c:pt idx="5">
                  <c:v>17.391304347826086</c:v>
                </c:pt>
                <c:pt idx="6">
                  <c:v>18.181818181818183</c:v>
                </c:pt>
              </c:numCache>
            </c:numRef>
          </c:val>
          <c:extLst xmlns:c16r2="http://schemas.microsoft.com/office/drawing/2015/06/chart">
            <c:ext xmlns:c16="http://schemas.microsoft.com/office/drawing/2014/chart" uri="{C3380CC4-5D6E-409C-BE32-E72D297353CC}">
              <c16:uniqueId val="{00000002-1A5C-474B-A1F7-52C649BE4EC7}"/>
            </c:ext>
          </c:extLst>
        </c:ser>
        <c:dLbls>
          <c:showLegendKey val="0"/>
          <c:showVal val="0"/>
          <c:showCatName val="0"/>
          <c:showSerName val="0"/>
          <c:showPercent val="0"/>
          <c:showBubbleSize val="0"/>
        </c:dLbls>
        <c:gapWidth val="219"/>
        <c:overlap val="100"/>
        <c:axId val="460997376"/>
        <c:axId val="460998912"/>
      </c:barChart>
      <c:lineChart>
        <c:grouping val="standard"/>
        <c:varyColors val="0"/>
        <c:ser>
          <c:idx val="3"/>
          <c:order val="3"/>
          <c:tx>
            <c:strRef>
              <c:f>Лист1!$E$1</c:f>
              <c:strCache>
                <c:ptCount val="1"/>
                <c:pt idx="0">
                  <c:v>Частка померлик дітей *</c:v>
                </c:pt>
              </c:strCache>
            </c:strRef>
          </c:tx>
          <c:spPr>
            <a:ln w="28575" cap="rnd">
              <a:solidFill>
                <a:schemeClr val="tx1"/>
              </a:solidFill>
              <a:round/>
            </a:ln>
            <a:effectLst/>
          </c:spPr>
          <c:marker>
            <c:symbol val="none"/>
          </c:marker>
          <c:cat>
            <c:strRef>
              <c:f>Лист1!$A$2:$A$8</c:f>
              <c:strCache>
                <c:ptCount val="7"/>
                <c:pt idx="0">
                  <c:v>квітень</c:v>
                </c:pt>
                <c:pt idx="1">
                  <c:v>травень</c:v>
                </c:pt>
                <c:pt idx="2">
                  <c:v>червень</c:v>
                </c:pt>
                <c:pt idx="3">
                  <c:v>липень</c:v>
                </c:pt>
                <c:pt idx="4">
                  <c:v>серпень</c:v>
                </c:pt>
                <c:pt idx="5">
                  <c:v>вересень</c:v>
                </c:pt>
                <c:pt idx="6">
                  <c:v>жовтень</c:v>
                </c:pt>
              </c:strCache>
            </c:strRef>
          </c:cat>
          <c:val>
            <c:numRef>
              <c:f>Лист1!$E$2:$E$8</c:f>
              <c:numCache>
                <c:formatCode>0.00</c:formatCode>
                <c:ptCount val="7"/>
                <c:pt idx="0">
                  <c:v>31.03448275862069</c:v>
                </c:pt>
                <c:pt idx="1">
                  <c:v>37.179487179487182</c:v>
                </c:pt>
                <c:pt idx="2">
                  <c:v>27.173913043478262</c:v>
                </c:pt>
                <c:pt idx="3">
                  <c:v>23.214285714285715</c:v>
                </c:pt>
                <c:pt idx="4">
                  <c:v>36.458333333333336</c:v>
                </c:pt>
                <c:pt idx="5">
                  <c:v>28.395061728395063</c:v>
                </c:pt>
                <c:pt idx="6">
                  <c:v>27.5</c:v>
                </c:pt>
              </c:numCache>
            </c:numRef>
          </c:val>
          <c:smooth val="0"/>
          <c:extLst xmlns:c16r2="http://schemas.microsoft.com/office/drawing/2015/06/chart">
            <c:ext xmlns:c16="http://schemas.microsoft.com/office/drawing/2014/chart" uri="{C3380CC4-5D6E-409C-BE32-E72D297353CC}">
              <c16:uniqueId val="{00000003-1A5C-474B-A1F7-52C649BE4EC7}"/>
            </c:ext>
          </c:extLst>
        </c:ser>
        <c:dLbls>
          <c:showLegendKey val="0"/>
          <c:showVal val="0"/>
          <c:showCatName val="0"/>
          <c:showSerName val="0"/>
          <c:showPercent val="0"/>
          <c:showBubbleSize val="0"/>
        </c:dLbls>
        <c:marker val="1"/>
        <c:smooth val="0"/>
        <c:axId val="461003008"/>
        <c:axId val="461001088"/>
      </c:lineChart>
      <c:catAx>
        <c:axId val="4609973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460998912"/>
        <c:crosses val="autoZero"/>
        <c:auto val="1"/>
        <c:lblAlgn val="ctr"/>
        <c:lblOffset val="100"/>
        <c:noMultiLvlLbl val="0"/>
      </c:catAx>
      <c:valAx>
        <c:axId val="460998912"/>
        <c:scaling>
          <c:orientation val="minMax"/>
          <c:max val="100"/>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uk-UA"/>
                  <a:t>%</a:t>
                </a:r>
              </a:p>
            </c:rich>
          </c:tx>
          <c:layout>
            <c:manualLayout>
              <c:xMode val="edge"/>
              <c:yMode val="edge"/>
              <c:x val="0.21678657074340527"/>
              <c:y val="0.34551418509872195"/>
            </c:manualLayout>
          </c:layout>
          <c:overlay val="0"/>
          <c:spPr>
            <a:noFill/>
            <a:ln>
              <a:noFill/>
            </a:ln>
            <a:effectLst/>
          </c:sp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460997376"/>
        <c:crosses val="autoZero"/>
        <c:crossBetween val="between"/>
      </c:valAx>
      <c:valAx>
        <c:axId val="461001088"/>
        <c:scaling>
          <c:orientation val="minMax"/>
          <c:max val="100"/>
        </c:scaling>
        <c:delete val="0"/>
        <c:axPos val="r"/>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uk-UA"/>
                  <a:t>%</a:t>
                </a:r>
              </a:p>
            </c:rich>
          </c:tx>
          <c:layout>
            <c:manualLayout>
              <c:xMode val="edge"/>
              <c:yMode val="edge"/>
              <c:x val="0.9434052757793765"/>
              <c:y val="0.37231485511547241"/>
            </c:manualLayout>
          </c:layout>
          <c:overlay val="0"/>
          <c:spPr>
            <a:noFill/>
            <a:ln>
              <a:noFill/>
            </a:ln>
            <a:effectLst/>
          </c:spPr>
        </c:title>
        <c:numFmt formatCode="0.0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461003008"/>
        <c:crosses val="max"/>
        <c:crossBetween val="between"/>
      </c:valAx>
      <c:catAx>
        <c:axId val="461003008"/>
        <c:scaling>
          <c:orientation val="minMax"/>
        </c:scaling>
        <c:delete val="1"/>
        <c:axPos val="b"/>
        <c:numFmt formatCode="General" sourceLinked="1"/>
        <c:majorTickMark val="out"/>
        <c:minorTickMark val="none"/>
        <c:tickLblPos val="nextTo"/>
        <c:crossAx val="461001088"/>
        <c:crosses val="autoZero"/>
        <c:auto val="1"/>
        <c:lblAlgn val="ctr"/>
        <c:lblOffset val="100"/>
        <c:noMultiLvlLbl val="0"/>
      </c:cat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dTable>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latin typeface="Times New Roman" panose="02020603050405020304" pitchFamily="18" charset="0"/>
          <a:cs typeface="Times New Roman" panose="02020603050405020304" pitchFamily="18" charset="0"/>
        </a:defRPr>
      </a:pPr>
      <a:endParaRPr lang="ru-RU"/>
    </a:p>
  </c:txPr>
  <c:externalData r:id="rId2">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Лист1!$B$1</c:f>
              <c:strCache>
                <c:ptCount val="1"/>
                <c:pt idx="0">
                  <c:v>Ряд 1</c:v>
                </c:pt>
              </c:strCache>
            </c:strRef>
          </c:tx>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Лист1!$A$2:$A$27</c:f>
              <c:strCache>
                <c:ptCount val="26"/>
                <c:pt idx="0">
                  <c:v>Україна</c:v>
                </c:pt>
                <c:pt idx="1">
                  <c:v>ВІННИЦЬКА</c:v>
                </c:pt>
                <c:pt idx="2">
                  <c:v>ВОЛИНСЬКА</c:v>
                </c:pt>
                <c:pt idx="3">
                  <c:v>ДНІПРОПЕТРОВСЬКА</c:v>
                </c:pt>
                <c:pt idx="4">
                  <c:v>ДОНЕЦЬКА</c:v>
                </c:pt>
                <c:pt idx="5">
                  <c:v>ЖИТОМИРСЬКА</c:v>
                </c:pt>
                <c:pt idx="6">
                  <c:v>ЗАКАРПАТСЬКА</c:v>
                </c:pt>
                <c:pt idx="7">
                  <c:v>ЗАПОРІЗЬКА</c:v>
                </c:pt>
                <c:pt idx="8">
                  <c:v>ІВАНО-ФРАНКІВСЬКА</c:v>
                </c:pt>
                <c:pt idx="9">
                  <c:v>КИЇВСЬКА</c:v>
                </c:pt>
                <c:pt idx="10">
                  <c:v>КІРОВОГРАДСЬКА</c:v>
                </c:pt>
                <c:pt idx="11">
                  <c:v>ЛУГАНСЬКА</c:v>
                </c:pt>
                <c:pt idx="12">
                  <c:v>ЛЬВІВСЬКА</c:v>
                </c:pt>
                <c:pt idx="13">
                  <c:v>М.КИЇВ</c:v>
                </c:pt>
                <c:pt idx="14">
                  <c:v>МИКОЛАЇВСЬКА</c:v>
                </c:pt>
                <c:pt idx="15">
                  <c:v>ОДЕСЬКА</c:v>
                </c:pt>
                <c:pt idx="16">
                  <c:v>ПОЛТАВСЬКА</c:v>
                </c:pt>
                <c:pt idx="17">
                  <c:v>РІВНЕНСЬКА</c:v>
                </c:pt>
                <c:pt idx="18">
                  <c:v>СУМСЬКА</c:v>
                </c:pt>
                <c:pt idx="19">
                  <c:v>ТЕРНОПІЛЬСЬКА</c:v>
                </c:pt>
                <c:pt idx="20">
                  <c:v>ХАРКІВСЬКА</c:v>
                </c:pt>
                <c:pt idx="21">
                  <c:v>ХЕРСОНСЬКА</c:v>
                </c:pt>
                <c:pt idx="22">
                  <c:v>ХМЕЛЬНИЦЬКА</c:v>
                </c:pt>
                <c:pt idx="23">
                  <c:v>ЧЕРКАСЬКА</c:v>
                </c:pt>
                <c:pt idx="24">
                  <c:v>ЧЕРНІВЕЦЬКА</c:v>
                </c:pt>
                <c:pt idx="25">
                  <c:v>ЧЕРНІГІВСЬКА</c:v>
                </c:pt>
              </c:strCache>
            </c:strRef>
          </c:cat>
          <c:val>
            <c:numRef>
              <c:f>Лист1!$B$2:$B$27</c:f>
              <c:numCache>
                <c:formatCode>General</c:formatCode>
                <c:ptCount val="26"/>
                <c:pt idx="0">
                  <c:v>25.28</c:v>
                </c:pt>
                <c:pt idx="1">
                  <c:v>19.47</c:v>
                </c:pt>
                <c:pt idx="2">
                  <c:v>24.06</c:v>
                </c:pt>
                <c:pt idx="3">
                  <c:v>24.34</c:v>
                </c:pt>
                <c:pt idx="4">
                  <c:v>25.14</c:v>
                </c:pt>
                <c:pt idx="5">
                  <c:v>25.58</c:v>
                </c:pt>
                <c:pt idx="6">
                  <c:v>26.22</c:v>
                </c:pt>
                <c:pt idx="7">
                  <c:v>25.14</c:v>
                </c:pt>
                <c:pt idx="8">
                  <c:v>30.21</c:v>
                </c:pt>
                <c:pt idx="9">
                  <c:v>22.52</c:v>
                </c:pt>
                <c:pt idx="10">
                  <c:v>30.02</c:v>
                </c:pt>
                <c:pt idx="11">
                  <c:v>30.72</c:v>
                </c:pt>
                <c:pt idx="12">
                  <c:v>25.66</c:v>
                </c:pt>
                <c:pt idx="13">
                  <c:v>25.03</c:v>
                </c:pt>
                <c:pt idx="14">
                  <c:v>24.18</c:v>
                </c:pt>
                <c:pt idx="15">
                  <c:v>29.27</c:v>
                </c:pt>
                <c:pt idx="16">
                  <c:v>24.93</c:v>
                </c:pt>
                <c:pt idx="17">
                  <c:v>19.79</c:v>
                </c:pt>
                <c:pt idx="18">
                  <c:v>27.56</c:v>
                </c:pt>
                <c:pt idx="19">
                  <c:v>23.04</c:v>
                </c:pt>
                <c:pt idx="20">
                  <c:v>28.63</c:v>
                </c:pt>
                <c:pt idx="21">
                  <c:v>26.55</c:v>
                </c:pt>
                <c:pt idx="22">
                  <c:v>24.94</c:v>
                </c:pt>
                <c:pt idx="23">
                  <c:v>24.31</c:v>
                </c:pt>
                <c:pt idx="24">
                  <c:v>19.670000000000002</c:v>
                </c:pt>
                <c:pt idx="25">
                  <c:v>25.59</c:v>
                </c:pt>
              </c:numCache>
            </c:numRef>
          </c:val>
          <c:extLst xmlns:c16r2="http://schemas.microsoft.com/office/drawing/2015/06/chart">
            <c:ext xmlns:c16="http://schemas.microsoft.com/office/drawing/2014/chart" uri="{C3380CC4-5D6E-409C-BE32-E72D297353CC}">
              <c16:uniqueId val="{00000001-5D50-4E3F-B904-C5AFC42BF3F0}"/>
            </c:ext>
          </c:extLst>
        </c:ser>
        <c:dLbls>
          <c:showLegendKey val="0"/>
          <c:showVal val="0"/>
          <c:showCatName val="0"/>
          <c:showSerName val="0"/>
          <c:showPercent val="0"/>
          <c:showBubbleSize val="0"/>
        </c:dLbls>
        <c:gapWidth val="182"/>
        <c:axId val="529268736"/>
        <c:axId val="529270272"/>
      </c:barChart>
      <c:catAx>
        <c:axId val="529268736"/>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529270272"/>
        <c:crosses val="autoZero"/>
        <c:auto val="1"/>
        <c:lblAlgn val="ctr"/>
        <c:lblOffset val="100"/>
        <c:noMultiLvlLbl val="0"/>
      </c:catAx>
      <c:valAx>
        <c:axId val="529270272"/>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52926873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000">
          <a:latin typeface="Times New Roman" panose="02020603050405020304" pitchFamily="18" charset="0"/>
          <a:cs typeface="Times New Roman" panose="02020603050405020304" pitchFamily="18" charset="0"/>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tx>
            <c:strRef>
              <c:f>Лист1!$B$1</c:f>
              <c:strCache>
                <c:ptCount val="1"/>
                <c:pt idx="0">
                  <c:v>Ряд 1</c:v>
                </c:pt>
              </c:strCache>
            </c:strRef>
          </c:tx>
          <c:spPr>
            <a:ln w="28575" cap="rnd">
              <a:solidFill>
                <a:schemeClr val="accent1"/>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dLblPos val="t"/>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Лист1!$A$2:$A$11</c:f>
              <c:numCache>
                <c:formatCode>General</c:formatCode>
                <c:ptCount val="10"/>
                <c:pt idx="0">
                  <c:v>2009</c:v>
                </c:pt>
                <c:pt idx="1">
                  <c:v>2010</c:v>
                </c:pt>
                <c:pt idx="2">
                  <c:v>2011</c:v>
                </c:pt>
                <c:pt idx="3">
                  <c:v>2012</c:v>
                </c:pt>
                <c:pt idx="4">
                  <c:v>2013</c:v>
                </c:pt>
                <c:pt idx="5">
                  <c:v>2014</c:v>
                </c:pt>
                <c:pt idx="6">
                  <c:v>2015</c:v>
                </c:pt>
                <c:pt idx="7">
                  <c:v>2016</c:v>
                </c:pt>
                <c:pt idx="8">
                  <c:v>2017</c:v>
                </c:pt>
                <c:pt idx="9">
                  <c:v>2018</c:v>
                </c:pt>
              </c:numCache>
            </c:numRef>
          </c:cat>
          <c:val>
            <c:numRef>
              <c:f>Лист1!$B$2:$B$11</c:f>
              <c:numCache>
                <c:formatCode>General</c:formatCode>
                <c:ptCount val="10"/>
                <c:pt idx="0">
                  <c:v>1.36</c:v>
                </c:pt>
                <c:pt idx="1">
                  <c:v>1.28</c:v>
                </c:pt>
                <c:pt idx="2">
                  <c:v>1.28</c:v>
                </c:pt>
                <c:pt idx="3">
                  <c:v>1.18</c:v>
                </c:pt>
                <c:pt idx="4">
                  <c:v>1.01</c:v>
                </c:pt>
                <c:pt idx="5">
                  <c:v>1.1499999999999999</c:v>
                </c:pt>
                <c:pt idx="6">
                  <c:v>1.1000000000000001</c:v>
                </c:pt>
                <c:pt idx="7" formatCode="0.0">
                  <c:v>1</c:v>
                </c:pt>
                <c:pt idx="8">
                  <c:v>0.96</c:v>
                </c:pt>
                <c:pt idx="9">
                  <c:v>0.89</c:v>
                </c:pt>
              </c:numCache>
            </c:numRef>
          </c:val>
          <c:smooth val="0"/>
          <c:extLst xmlns:c16r2="http://schemas.microsoft.com/office/drawing/2015/06/chart">
            <c:ext xmlns:c16="http://schemas.microsoft.com/office/drawing/2014/chart" uri="{C3380CC4-5D6E-409C-BE32-E72D297353CC}">
              <c16:uniqueId val="{00000000-D4BC-45BC-AC9A-07A2F0F68D97}"/>
            </c:ext>
          </c:extLst>
        </c:ser>
        <c:ser>
          <c:idx val="1"/>
          <c:order val="1"/>
          <c:tx>
            <c:strRef>
              <c:f>Лист1!$C$1</c:f>
              <c:strCache>
                <c:ptCount val="1"/>
                <c:pt idx="0">
                  <c:v>Столбец1</c:v>
                </c:pt>
              </c:strCache>
            </c:strRef>
          </c:tx>
          <c:spPr>
            <a:ln w="28575" cap="rnd">
              <a:solidFill>
                <a:schemeClr val="accent2"/>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t"/>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Лист1!$A$2:$A$11</c:f>
              <c:numCache>
                <c:formatCode>General</c:formatCode>
                <c:ptCount val="10"/>
                <c:pt idx="0">
                  <c:v>2009</c:v>
                </c:pt>
                <c:pt idx="1">
                  <c:v>2010</c:v>
                </c:pt>
                <c:pt idx="2">
                  <c:v>2011</c:v>
                </c:pt>
                <c:pt idx="3">
                  <c:v>2012</c:v>
                </c:pt>
                <c:pt idx="4">
                  <c:v>2013</c:v>
                </c:pt>
                <c:pt idx="5">
                  <c:v>2014</c:v>
                </c:pt>
                <c:pt idx="6">
                  <c:v>2015</c:v>
                </c:pt>
                <c:pt idx="7">
                  <c:v>2016</c:v>
                </c:pt>
                <c:pt idx="8">
                  <c:v>2017</c:v>
                </c:pt>
                <c:pt idx="9">
                  <c:v>2018</c:v>
                </c:pt>
              </c:numCache>
            </c:numRef>
          </c:cat>
          <c:val>
            <c:numRef>
              <c:f>Лист1!$C$2:$C$11</c:f>
              <c:numCache>
                <c:formatCode>General</c:formatCode>
                <c:ptCount val="10"/>
              </c:numCache>
            </c:numRef>
          </c:val>
          <c:smooth val="0"/>
          <c:extLst xmlns:c16r2="http://schemas.microsoft.com/office/drawing/2015/06/chart">
            <c:ext xmlns:c16="http://schemas.microsoft.com/office/drawing/2014/chart" uri="{C3380CC4-5D6E-409C-BE32-E72D297353CC}">
              <c16:uniqueId val="{00000001-D4BC-45BC-AC9A-07A2F0F68D97}"/>
            </c:ext>
          </c:extLst>
        </c:ser>
        <c:ser>
          <c:idx val="2"/>
          <c:order val="2"/>
          <c:tx>
            <c:strRef>
              <c:f>Лист1!$D$1</c:f>
              <c:strCache>
                <c:ptCount val="1"/>
                <c:pt idx="0">
                  <c:v>Столбец2</c:v>
                </c:pt>
              </c:strCache>
            </c:strRef>
          </c:tx>
          <c:spPr>
            <a:ln w="28575" cap="rnd">
              <a:solidFill>
                <a:schemeClr val="accent3"/>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t"/>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Лист1!$A$2:$A$11</c:f>
              <c:numCache>
                <c:formatCode>General</c:formatCode>
                <c:ptCount val="10"/>
                <c:pt idx="0">
                  <c:v>2009</c:v>
                </c:pt>
                <c:pt idx="1">
                  <c:v>2010</c:v>
                </c:pt>
                <c:pt idx="2">
                  <c:v>2011</c:v>
                </c:pt>
                <c:pt idx="3">
                  <c:v>2012</c:v>
                </c:pt>
                <c:pt idx="4">
                  <c:v>2013</c:v>
                </c:pt>
                <c:pt idx="5">
                  <c:v>2014</c:v>
                </c:pt>
                <c:pt idx="6">
                  <c:v>2015</c:v>
                </c:pt>
                <c:pt idx="7">
                  <c:v>2016</c:v>
                </c:pt>
                <c:pt idx="8">
                  <c:v>2017</c:v>
                </c:pt>
                <c:pt idx="9">
                  <c:v>2018</c:v>
                </c:pt>
              </c:numCache>
            </c:numRef>
          </c:cat>
          <c:val>
            <c:numRef>
              <c:f>Лист1!$D$2:$D$11</c:f>
              <c:numCache>
                <c:formatCode>General</c:formatCode>
                <c:ptCount val="10"/>
              </c:numCache>
            </c:numRef>
          </c:val>
          <c:smooth val="0"/>
          <c:extLst xmlns:c16r2="http://schemas.microsoft.com/office/drawing/2015/06/chart">
            <c:ext xmlns:c16="http://schemas.microsoft.com/office/drawing/2014/chart" uri="{C3380CC4-5D6E-409C-BE32-E72D297353CC}">
              <c16:uniqueId val="{00000002-D4BC-45BC-AC9A-07A2F0F68D97}"/>
            </c:ext>
          </c:extLst>
        </c:ser>
        <c:dLbls>
          <c:dLblPos val="t"/>
          <c:showLegendKey val="0"/>
          <c:showVal val="1"/>
          <c:showCatName val="0"/>
          <c:showSerName val="0"/>
          <c:showPercent val="0"/>
          <c:showBubbleSize val="0"/>
        </c:dLbls>
        <c:marker val="1"/>
        <c:smooth val="0"/>
        <c:axId val="657151872"/>
        <c:axId val="657227776"/>
      </c:lineChart>
      <c:catAx>
        <c:axId val="657151872"/>
        <c:scaling>
          <c:orientation val="minMax"/>
        </c:scaling>
        <c:delete val="0"/>
        <c:axPos val="b"/>
        <c:title>
          <c:tx>
            <c:rich>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uk-UA">
                    <a:solidFill>
                      <a:sysClr val="windowText" lastClr="000000"/>
                    </a:solidFill>
                    <a:latin typeface="Times New Roman" panose="02020603050405020304" pitchFamily="18" charset="0"/>
                    <a:cs typeface="Times New Roman" panose="02020603050405020304" pitchFamily="18" charset="0"/>
                  </a:rPr>
                  <a:t>роки</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657227776"/>
        <c:crosses val="autoZero"/>
        <c:auto val="1"/>
        <c:lblAlgn val="ctr"/>
        <c:lblOffset val="100"/>
        <c:noMultiLvlLbl val="0"/>
      </c:catAx>
      <c:valAx>
        <c:axId val="657227776"/>
        <c:scaling>
          <c:orientation val="minMax"/>
          <c:max val="2"/>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uk-UA" sz="1200">
                    <a:solidFill>
                      <a:sysClr val="windowText" lastClr="000000"/>
                    </a:solidFill>
                    <a:latin typeface="Times New Roman" panose="02020603050405020304" pitchFamily="18" charset="0"/>
                    <a:cs typeface="Times New Roman" panose="02020603050405020304" pitchFamily="18" charset="0"/>
                  </a:rPr>
                  <a:t>На 1000  відповідного віку</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65715187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8603018372703412"/>
          <c:y val="5.9062165840381056E-2"/>
          <c:w val="0.80934036891221928"/>
          <c:h val="0.47285870121914775"/>
        </c:manualLayout>
      </c:layout>
      <c:lineChart>
        <c:grouping val="standard"/>
        <c:varyColors val="0"/>
        <c:ser>
          <c:idx val="0"/>
          <c:order val="0"/>
          <c:tx>
            <c:strRef>
              <c:f>Лист1!$A$2</c:f>
              <c:strCache>
                <c:ptCount val="1"/>
                <c:pt idx="0">
                  <c:v>Англія</c:v>
                </c:pt>
              </c:strCache>
            </c:strRef>
          </c:tx>
          <c:spPr>
            <a:ln w="28575" cap="rnd">
              <a:solidFill>
                <a:schemeClr val="accent1"/>
              </a:solidFill>
              <a:round/>
            </a:ln>
            <a:effectLst/>
          </c:spPr>
          <c:marker>
            <c:symbol val="none"/>
          </c:marker>
          <c:cat>
            <c:strRef>
              <c:f>Лист1!$B$1:$K$1</c:f>
              <c:strCache>
                <c:ptCount val="10"/>
                <c:pt idx="0">
                  <c:v>2010</c:v>
                </c:pt>
                <c:pt idx="1">
                  <c:v>2011</c:v>
                </c:pt>
                <c:pt idx="2">
                  <c:v>2012</c:v>
                </c:pt>
                <c:pt idx="3">
                  <c:v>2013</c:v>
                </c:pt>
                <c:pt idx="4">
                  <c:v>2014</c:v>
                </c:pt>
                <c:pt idx="5">
                  <c:v>2015</c:v>
                </c:pt>
                <c:pt idx="6">
                  <c:v>2016</c:v>
                </c:pt>
                <c:pt idx="7">
                  <c:v>2017</c:v>
                </c:pt>
                <c:pt idx="8">
                  <c:v>2018</c:v>
                </c:pt>
                <c:pt idx="9">
                  <c:v>2019</c:v>
                </c:pt>
              </c:strCache>
            </c:strRef>
          </c:cat>
          <c:val>
            <c:numRef>
              <c:f>Лист1!$B$2:$K$2</c:f>
              <c:numCache>
                <c:formatCode>General</c:formatCode>
                <c:ptCount val="10"/>
                <c:pt idx="0">
                  <c:v>688977.71</c:v>
                </c:pt>
                <c:pt idx="1">
                  <c:v>687395.98</c:v>
                </c:pt>
                <c:pt idx="2">
                  <c:v>684758.6</c:v>
                </c:pt>
                <c:pt idx="3">
                  <c:v>681813.24</c:v>
                </c:pt>
                <c:pt idx="4">
                  <c:v>679871.59</c:v>
                </c:pt>
                <c:pt idx="5">
                  <c:v>679245.56</c:v>
                </c:pt>
                <c:pt idx="6">
                  <c:v>680847.49</c:v>
                </c:pt>
                <c:pt idx="7">
                  <c:v>682648.88</c:v>
                </c:pt>
                <c:pt idx="8">
                  <c:v>683250.15</c:v>
                </c:pt>
                <c:pt idx="9">
                  <c:v>684117.55</c:v>
                </c:pt>
              </c:numCache>
            </c:numRef>
          </c:val>
          <c:smooth val="0"/>
          <c:extLst xmlns:c16r2="http://schemas.microsoft.com/office/drawing/2015/06/chart">
            <c:ext xmlns:c16="http://schemas.microsoft.com/office/drawing/2014/chart" uri="{C3380CC4-5D6E-409C-BE32-E72D297353CC}">
              <c16:uniqueId val="{00000000-D596-4782-BC20-8657E171FFDB}"/>
            </c:ext>
          </c:extLst>
        </c:ser>
        <c:ser>
          <c:idx val="1"/>
          <c:order val="1"/>
          <c:tx>
            <c:strRef>
              <c:f>Лист1!$A$3</c:f>
              <c:strCache>
                <c:ptCount val="1"/>
                <c:pt idx="0">
                  <c:v>Естонія</c:v>
                </c:pt>
              </c:strCache>
            </c:strRef>
          </c:tx>
          <c:spPr>
            <a:ln w="28575" cap="rnd">
              <a:solidFill>
                <a:schemeClr val="accent2"/>
              </a:solidFill>
              <a:round/>
            </a:ln>
            <a:effectLst/>
          </c:spPr>
          <c:marker>
            <c:symbol val="none"/>
          </c:marker>
          <c:cat>
            <c:strRef>
              <c:f>Лист1!$B$1:$K$1</c:f>
              <c:strCache>
                <c:ptCount val="10"/>
                <c:pt idx="0">
                  <c:v>2010</c:v>
                </c:pt>
                <c:pt idx="1">
                  <c:v>2011</c:v>
                </c:pt>
                <c:pt idx="2">
                  <c:v>2012</c:v>
                </c:pt>
                <c:pt idx="3">
                  <c:v>2013</c:v>
                </c:pt>
                <c:pt idx="4">
                  <c:v>2014</c:v>
                </c:pt>
                <c:pt idx="5">
                  <c:v>2015</c:v>
                </c:pt>
                <c:pt idx="6">
                  <c:v>2016</c:v>
                </c:pt>
                <c:pt idx="7">
                  <c:v>2017</c:v>
                </c:pt>
                <c:pt idx="8">
                  <c:v>2018</c:v>
                </c:pt>
                <c:pt idx="9">
                  <c:v>2019</c:v>
                </c:pt>
              </c:strCache>
            </c:strRef>
          </c:cat>
          <c:val>
            <c:numRef>
              <c:f>Лист1!$B$3:$K$3</c:f>
              <c:numCache>
                <c:formatCode>General</c:formatCode>
                <c:ptCount val="10"/>
                <c:pt idx="0">
                  <c:v>513640.53</c:v>
                </c:pt>
                <c:pt idx="1">
                  <c:v>513219.03</c:v>
                </c:pt>
                <c:pt idx="2">
                  <c:v>513104.06</c:v>
                </c:pt>
                <c:pt idx="3">
                  <c:v>513632.19</c:v>
                </c:pt>
                <c:pt idx="4">
                  <c:v>514793.81</c:v>
                </c:pt>
                <c:pt idx="5">
                  <c:v>516278.88</c:v>
                </c:pt>
                <c:pt idx="6">
                  <c:v>519744.92</c:v>
                </c:pt>
                <c:pt idx="7">
                  <c:v>522649.2</c:v>
                </c:pt>
                <c:pt idx="8">
                  <c:v>522816.54</c:v>
                </c:pt>
                <c:pt idx="9">
                  <c:v>522234.17</c:v>
                </c:pt>
              </c:numCache>
            </c:numRef>
          </c:val>
          <c:smooth val="0"/>
          <c:extLst xmlns:c16r2="http://schemas.microsoft.com/office/drawing/2015/06/chart">
            <c:ext xmlns:c16="http://schemas.microsoft.com/office/drawing/2014/chart" uri="{C3380CC4-5D6E-409C-BE32-E72D297353CC}">
              <c16:uniqueId val="{00000001-D596-4782-BC20-8657E171FFDB}"/>
            </c:ext>
          </c:extLst>
        </c:ser>
        <c:ser>
          <c:idx val="2"/>
          <c:order val="2"/>
          <c:tx>
            <c:strRef>
              <c:f>Лист1!$A$4</c:f>
              <c:strCache>
                <c:ptCount val="1"/>
                <c:pt idx="0">
                  <c:v>Німеччина</c:v>
                </c:pt>
              </c:strCache>
            </c:strRef>
          </c:tx>
          <c:spPr>
            <a:ln w="28575" cap="rnd">
              <a:solidFill>
                <a:schemeClr val="accent3"/>
              </a:solidFill>
              <a:round/>
            </a:ln>
            <a:effectLst/>
          </c:spPr>
          <c:marker>
            <c:symbol val="none"/>
          </c:marker>
          <c:cat>
            <c:strRef>
              <c:f>Лист1!$B$1:$K$1</c:f>
              <c:strCache>
                <c:ptCount val="10"/>
                <c:pt idx="0">
                  <c:v>2010</c:v>
                </c:pt>
                <c:pt idx="1">
                  <c:v>2011</c:v>
                </c:pt>
                <c:pt idx="2">
                  <c:v>2012</c:v>
                </c:pt>
                <c:pt idx="3">
                  <c:v>2013</c:v>
                </c:pt>
                <c:pt idx="4">
                  <c:v>2014</c:v>
                </c:pt>
                <c:pt idx="5">
                  <c:v>2015</c:v>
                </c:pt>
                <c:pt idx="6">
                  <c:v>2016</c:v>
                </c:pt>
                <c:pt idx="7">
                  <c:v>2017</c:v>
                </c:pt>
                <c:pt idx="8">
                  <c:v>2018</c:v>
                </c:pt>
                <c:pt idx="9">
                  <c:v>2019</c:v>
                </c:pt>
              </c:strCache>
            </c:strRef>
          </c:cat>
          <c:val>
            <c:numRef>
              <c:f>Лист1!$B$4:$K$4</c:f>
              <c:numCache>
                <c:formatCode>General</c:formatCode>
                <c:ptCount val="10"/>
                <c:pt idx="0">
                  <c:v>683157.33</c:v>
                </c:pt>
                <c:pt idx="1">
                  <c:v>682581.13</c:v>
                </c:pt>
                <c:pt idx="2">
                  <c:v>682180.04</c:v>
                </c:pt>
                <c:pt idx="3">
                  <c:v>682067.73</c:v>
                </c:pt>
                <c:pt idx="4">
                  <c:v>682091.25</c:v>
                </c:pt>
                <c:pt idx="5">
                  <c:v>682100.94</c:v>
                </c:pt>
                <c:pt idx="6">
                  <c:v>696786.84</c:v>
                </c:pt>
                <c:pt idx="7">
                  <c:v>711772.49</c:v>
                </c:pt>
                <c:pt idx="8">
                  <c:v>712302.42</c:v>
                </c:pt>
                <c:pt idx="9">
                  <c:v>712191.26</c:v>
                </c:pt>
              </c:numCache>
            </c:numRef>
          </c:val>
          <c:smooth val="0"/>
          <c:extLst xmlns:c16r2="http://schemas.microsoft.com/office/drawing/2015/06/chart">
            <c:ext xmlns:c16="http://schemas.microsoft.com/office/drawing/2014/chart" uri="{C3380CC4-5D6E-409C-BE32-E72D297353CC}">
              <c16:uniqueId val="{00000002-D596-4782-BC20-8657E171FFDB}"/>
            </c:ext>
          </c:extLst>
        </c:ser>
        <c:ser>
          <c:idx val="3"/>
          <c:order val="3"/>
          <c:tx>
            <c:strRef>
              <c:f>Лист1!$A$5</c:f>
              <c:strCache>
                <c:ptCount val="1"/>
                <c:pt idx="0">
                  <c:v>Латвія</c:v>
                </c:pt>
              </c:strCache>
            </c:strRef>
          </c:tx>
          <c:spPr>
            <a:ln w="28575" cap="rnd">
              <a:solidFill>
                <a:schemeClr val="accent4"/>
              </a:solidFill>
              <a:round/>
            </a:ln>
            <a:effectLst/>
          </c:spPr>
          <c:marker>
            <c:symbol val="none"/>
          </c:marker>
          <c:dPt>
            <c:idx val="8"/>
            <c:bubble3D val="0"/>
            <c:spPr>
              <a:ln w="28575" cap="rnd">
                <a:solidFill>
                  <a:schemeClr val="accent4"/>
                </a:solidFill>
                <a:prstDash val="lgDashDotDot"/>
                <a:round/>
              </a:ln>
              <a:effectLst/>
            </c:spPr>
            <c:extLst xmlns:c16r2="http://schemas.microsoft.com/office/drawing/2015/06/chart">
              <c:ext xmlns:c16="http://schemas.microsoft.com/office/drawing/2014/chart" uri="{C3380CC4-5D6E-409C-BE32-E72D297353CC}">
                <c16:uniqueId val="{00000001-0FF5-40E6-855E-1E2253526F50}"/>
              </c:ext>
            </c:extLst>
          </c:dPt>
          <c:cat>
            <c:strRef>
              <c:f>Лист1!$B$1:$K$1</c:f>
              <c:strCache>
                <c:ptCount val="10"/>
                <c:pt idx="0">
                  <c:v>2010</c:v>
                </c:pt>
                <c:pt idx="1">
                  <c:v>2011</c:v>
                </c:pt>
                <c:pt idx="2">
                  <c:v>2012</c:v>
                </c:pt>
                <c:pt idx="3">
                  <c:v>2013</c:v>
                </c:pt>
                <c:pt idx="4">
                  <c:v>2014</c:v>
                </c:pt>
                <c:pt idx="5">
                  <c:v>2015</c:v>
                </c:pt>
                <c:pt idx="6">
                  <c:v>2016</c:v>
                </c:pt>
                <c:pt idx="7">
                  <c:v>2017</c:v>
                </c:pt>
                <c:pt idx="8">
                  <c:v>2018</c:v>
                </c:pt>
                <c:pt idx="9">
                  <c:v>2019</c:v>
                </c:pt>
              </c:strCache>
            </c:strRef>
          </c:cat>
          <c:val>
            <c:numRef>
              <c:f>Лист1!$B$5:$K$5</c:f>
              <c:numCache>
                <c:formatCode>General</c:formatCode>
                <c:ptCount val="10"/>
                <c:pt idx="0">
                  <c:v>514055.83</c:v>
                </c:pt>
                <c:pt idx="1">
                  <c:v>513946.78</c:v>
                </c:pt>
                <c:pt idx="2">
                  <c:v>513910.5</c:v>
                </c:pt>
                <c:pt idx="3">
                  <c:v>513965.1</c:v>
                </c:pt>
                <c:pt idx="4">
                  <c:v>514074.64</c:v>
                </c:pt>
                <c:pt idx="5">
                  <c:v>514154.83</c:v>
                </c:pt>
                <c:pt idx="6">
                  <c:v>517388.49</c:v>
                </c:pt>
                <c:pt idx="7">
                  <c:v>520460.43</c:v>
                </c:pt>
                <c:pt idx="8">
                  <c:v>519352.8</c:v>
                </c:pt>
                <c:pt idx="9">
                  <c:v>516250.61</c:v>
                </c:pt>
              </c:numCache>
            </c:numRef>
          </c:val>
          <c:smooth val="0"/>
          <c:extLst xmlns:c16r2="http://schemas.microsoft.com/office/drawing/2015/06/chart">
            <c:ext xmlns:c16="http://schemas.microsoft.com/office/drawing/2014/chart" uri="{C3380CC4-5D6E-409C-BE32-E72D297353CC}">
              <c16:uniqueId val="{00000003-D596-4782-BC20-8657E171FFDB}"/>
            </c:ext>
          </c:extLst>
        </c:ser>
        <c:ser>
          <c:idx val="4"/>
          <c:order val="4"/>
          <c:tx>
            <c:strRef>
              <c:f>Лист1!$A$6</c:f>
              <c:strCache>
                <c:ptCount val="1"/>
                <c:pt idx="0">
                  <c:v>Литва</c:v>
                </c:pt>
              </c:strCache>
            </c:strRef>
          </c:tx>
          <c:spPr>
            <a:ln w="28575" cap="rnd">
              <a:solidFill>
                <a:schemeClr val="accent5"/>
              </a:solidFill>
              <a:round/>
            </a:ln>
            <a:effectLst/>
          </c:spPr>
          <c:marker>
            <c:symbol val="none"/>
          </c:marker>
          <c:dPt>
            <c:idx val="7"/>
            <c:bubble3D val="0"/>
            <c:spPr>
              <a:ln w="28575" cap="sq">
                <a:solidFill>
                  <a:schemeClr val="accent5"/>
                </a:solidFill>
                <a:bevel/>
              </a:ln>
              <a:effectLst/>
            </c:spPr>
            <c:extLst xmlns:c16r2="http://schemas.microsoft.com/office/drawing/2015/06/chart">
              <c:ext xmlns:c16="http://schemas.microsoft.com/office/drawing/2014/chart" uri="{C3380CC4-5D6E-409C-BE32-E72D297353CC}">
                <c16:uniqueId val="{00000003-0FF5-40E6-855E-1E2253526F50}"/>
              </c:ext>
            </c:extLst>
          </c:dPt>
          <c:cat>
            <c:strRef>
              <c:f>Лист1!$B$1:$K$1</c:f>
              <c:strCache>
                <c:ptCount val="10"/>
                <c:pt idx="0">
                  <c:v>2010</c:v>
                </c:pt>
                <c:pt idx="1">
                  <c:v>2011</c:v>
                </c:pt>
                <c:pt idx="2">
                  <c:v>2012</c:v>
                </c:pt>
                <c:pt idx="3">
                  <c:v>2013</c:v>
                </c:pt>
                <c:pt idx="4">
                  <c:v>2014</c:v>
                </c:pt>
                <c:pt idx="5">
                  <c:v>2015</c:v>
                </c:pt>
                <c:pt idx="6">
                  <c:v>2016</c:v>
                </c:pt>
                <c:pt idx="7">
                  <c:v>2017</c:v>
                </c:pt>
                <c:pt idx="8">
                  <c:v>2018</c:v>
                </c:pt>
                <c:pt idx="9">
                  <c:v>2019</c:v>
                </c:pt>
              </c:strCache>
            </c:strRef>
          </c:cat>
          <c:val>
            <c:numRef>
              <c:f>Лист1!$B$6:$K$6</c:f>
              <c:numCache>
                <c:formatCode>General</c:formatCode>
                <c:ptCount val="10"/>
                <c:pt idx="0">
                  <c:v>515333.06</c:v>
                </c:pt>
                <c:pt idx="1">
                  <c:v>514038.21</c:v>
                </c:pt>
                <c:pt idx="2">
                  <c:v>511891.01</c:v>
                </c:pt>
                <c:pt idx="3">
                  <c:v>510146.09</c:v>
                </c:pt>
                <c:pt idx="4">
                  <c:v>509127.84</c:v>
                </c:pt>
                <c:pt idx="5">
                  <c:v>508694.68</c:v>
                </c:pt>
                <c:pt idx="6">
                  <c:v>511882.66</c:v>
                </c:pt>
                <c:pt idx="7">
                  <c:v>515141.01</c:v>
                </c:pt>
                <c:pt idx="8">
                  <c:v>514632.63</c:v>
                </c:pt>
                <c:pt idx="9">
                  <c:v>512817.59</c:v>
                </c:pt>
              </c:numCache>
            </c:numRef>
          </c:val>
          <c:smooth val="0"/>
          <c:extLst xmlns:c16r2="http://schemas.microsoft.com/office/drawing/2015/06/chart">
            <c:ext xmlns:c16="http://schemas.microsoft.com/office/drawing/2014/chart" uri="{C3380CC4-5D6E-409C-BE32-E72D297353CC}">
              <c16:uniqueId val="{00000004-D596-4782-BC20-8657E171FFDB}"/>
            </c:ext>
          </c:extLst>
        </c:ser>
        <c:ser>
          <c:idx val="5"/>
          <c:order val="5"/>
          <c:tx>
            <c:strRef>
              <c:f>Лист1!$A$7</c:f>
              <c:strCache>
                <c:ptCount val="1"/>
                <c:pt idx="0">
                  <c:v>Польща</c:v>
                </c:pt>
              </c:strCache>
            </c:strRef>
          </c:tx>
          <c:spPr>
            <a:ln w="28575" cap="rnd">
              <a:solidFill>
                <a:schemeClr val="accent6"/>
              </a:solidFill>
              <a:round/>
            </a:ln>
            <a:effectLst/>
          </c:spPr>
          <c:marker>
            <c:symbol val="none"/>
          </c:marker>
          <c:cat>
            <c:strRef>
              <c:f>Лист1!$B$1:$K$1</c:f>
              <c:strCache>
                <c:ptCount val="10"/>
                <c:pt idx="0">
                  <c:v>2010</c:v>
                </c:pt>
                <c:pt idx="1">
                  <c:v>2011</c:v>
                </c:pt>
                <c:pt idx="2">
                  <c:v>2012</c:v>
                </c:pt>
                <c:pt idx="3">
                  <c:v>2013</c:v>
                </c:pt>
                <c:pt idx="4">
                  <c:v>2014</c:v>
                </c:pt>
                <c:pt idx="5">
                  <c:v>2015</c:v>
                </c:pt>
                <c:pt idx="6">
                  <c:v>2016</c:v>
                </c:pt>
                <c:pt idx="7">
                  <c:v>2017</c:v>
                </c:pt>
                <c:pt idx="8">
                  <c:v>2018</c:v>
                </c:pt>
                <c:pt idx="9">
                  <c:v>2019</c:v>
                </c:pt>
              </c:strCache>
            </c:strRef>
          </c:cat>
          <c:val>
            <c:numRef>
              <c:f>Лист1!$B$7:$K$7</c:f>
              <c:numCache>
                <c:formatCode>General</c:formatCode>
                <c:ptCount val="10"/>
                <c:pt idx="0">
                  <c:v>476957.17</c:v>
                </c:pt>
                <c:pt idx="1">
                  <c:v>476463.96</c:v>
                </c:pt>
                <c:pt idx="2">
                  <c:v>475783.99</c:v>
                </c:pt>
                <c:pt idx="3">
                  <c:v>475421.04</c:v>
                </c:pt>
                <c:pt idx="4">
                  <c:v>475733.42</c:v>
                </c:pt>
                <c:pt idx="5">
                  <c:v>476963.5</c:v>
                </c:pt>
                <c:pt idx="6">
                  <c:v>481093.75</c:v>
                </c:pt>
                <c:pt idx="7">
                  <c:v>484542.73</c:v>
                </c:pt>
                <c:pt idx="8">
                  <c:v>484712.69</c:v>
                </c:pt>
                <c:pt idx="9">
                  <c:v>484072.39</c:v>
                </c:pt>
              </c:numCache>
            </c:numRef>
          </c:val>
          <c:smooth val="0"/>
          <c:extLst xmlns:c16r2="http://schemas.microsoft.com/office/drawing/2015/06/chart">
            <c:ext xmlns:c16="http://schemas.microsoft.com/office/drawing/2014/chart" uri="{C3380CC4-5D6E-409C-BE32-E72D297353CC}">
              <c16:uniqueId val="{00000005-D596-4782-BC20-8657E171FFDB}"/>
            </c:ext>
          </c:extLst>
        </c:ser>
        <c:ser>
          <c:idx val="6"/>
          <c:order val="6"/>
          <c:tx>
            <c:strRef>
              <c:f>Лист1!$A$8</c:f>
              <c:strCache>
                <c:ptCount val="1"/>
                <c:pt idx="0">
                  <c:v>Іспанія</c:v>
                </c:pt>
              </c:strCache>
            </c:strRef>
          </c:tx>
          <c:spPr>
            <a:ln w="28575" cap="rnd">
              <a:solidFill>
                <a:schemeClr val="accent1">
                  <a:lumMod val="60000"/>
                </a:schemeClr>
              </a:solidFill>
              <a:round/>
            </a:ln>
            <a:effectLst/>
          </c:spPr>
          <c:marker>
            <c:symbol val="none"/>
          </c:marker>
          <c:cat>
            <c:strRef>
              <c:f>Лист1!$B$1:$K$1</c:f>
              <c:strCache>
                <c:ptCount val="10"/>
                <c:pt idx="0">
                  <c:v>2010</c:v>
                </c:pt>
                <c:pt idx="1">
                  <c:v>2011</c:v>
                </c:pt>
                <c:pt idx="2">
                  <c:v>2012</c:v>
                </c:pt>
                <c:pt idx="3">
                  <c:v>2013</c:v>
                </c:pt>
                <c:pt idx="4">
                  <c:v>2014</c:v>
                </c:pt>
                <c:pt idx="5">
                  <c:v>2015</c:v>
                </c:pt>
                <c:pt idx="6">
                  <c:v>2016</c:v>
                </c:pt>
                <c:pt idx="7">
                  <c:v>2017</c:v>
                </c:pt>
                <c:pt idx="8">
                  <c:v>2018</c:v>
                </c:pt>
                <c:pt idx="9">
                  <c:v>2019</c:v>
                </c:pt>
              </c:strCache>
            </c:strRef>
          </c:cat>
          <c:val>
            <c:numRef>
              <c:f>Лист1!$B$8:$K$8</c:f>
              <c:numCache>
                <c:formatCode>General</c:formatCode>
                <c:ptCount val="10"/>
                <c:pt idx="0">
                  <c:v>699859.14</c:v>
                </c:pt>
                <c:pt idx="1">
                  <c:v>698890.86</c:v>
                </c:pt>
                <c:pt idx="2">
                  <c:v>696854.81</c:v>
                </c:pt>
                <c:pt idx="3">
                  <c:v>694916.49</c:v>
                </c:pt>
                <c:pt idx="4">
                  <c:v>694132.08</c:v>
                </c:pt>
                <c:pt idx="5">
                  <c:v>693988.18</c:v>
                </c:pt>
                <c:pt idx="6">
                  <c:v>696145.37</c:v>
                </c:pt>
                <c:pt idx="7">
                  <c:v>698371.31</c:v>
                </c:pt>
                <c:pt idx="8">
                  <c:v>699166.94</c:v>
                </c:pt>
                <c:pt idx="9">
                  <c:v>700446.9</c:v>
                </c:pt>
              </c:numCache>
            </c:numRef>
          </c:val>
          <c:smooth val="0"/>
          <c:extLst xmlns:c16r2="http://schemas.microsoft.com/office/drawing/2015/06/chart">
            <c:ext xmlns:c16="http://schemas.microsoft.com/office/drawing/2014/chart" uri="{C3380CC4-5D6E-409C-BE32-E72D297353CC}">
              <c16:uniqueId val="{00000006-D596-4782-BC20-8657E171FFDB}"/>
            </c:ext>
          </c:extLst>
        </c:ser>
        <c:ser>
          <c:idx val="7"/>
          <c:order val="7"/>
          <c:tx>
            <c:strRef>
              <c:f>Лист1!$A$9</c:f>
              <c:strCache>
                <c:ptCount val="1"/>
                <c:pt idx="0">
                  <c:v>Україна</c:v>
                </c:pt>
              </c:strCache>
            </c:strRef>
          </c:tx>
          <c:spPr>
            <a:ln w="28575" cap="rnd">
              <a:solidFill>
                <a:schemeClr val="accent2">
                  <a:lumMod val="60000"/>
                </a:schemeClr>
              </a:solidFill>
              <a:prstDash val="sysDot"/>
              <a:round/>
            </a:ln>
            <a:effectLst/>
          </c:spPr>
          <c:marker>
            <c:symbol val="none"/>
          </c:marker>
          <c:cat>
            <c:strRef>
              <c:f>Лист1!$B$1:$K$1</c:f>
              <c:strCache>
                <c:ptCount val="10"/>
                <c:pt idx="0">
                  <c:v>2010</c:v>
                </c:pt>
                <c:pt idx="1">
                  <c:v>2011</c:v>
                </c:pt>
                <c:pt idx="2">
                  <c:v>2012</c:v>
                </c:pt>
                <c:pt idx="3">
                  <c:v>2013</c:v>
                </c:pt>
                <c:pt idx="4">
                  <c:v>2014</c:v>
                </c:pt>
                <c:pt idx="5">
                  <c:v>2015</c:v>
                </c:pt>
                <c:pt idx="6">
                  <c:v>2016</c:v>
                </c:pt>
                <c:pt idx="7">
                  <c:v>2017</c:v>
                </c:pt>
                <c:pt idx="8">
                  <c:v>2018</c:v>
                </c:pt>
                <c:pt idx="9">
                  <c:v>2019</c:v>
                </c:pt>
              </c:strCache>
            </c:strRef>
          </c:cat>
          <c:val>
            <c:numRef>
              <c:f>Лист1!$B$9:$K$9</c:f>
              <c:numCache>
                <c:formatCode>General</c:formatCode>
                <c:ptCount val="10"/>
                <c:pt idx="0">
                  <c:v>490014.24</c:v>
                </c:pt>
                <c:pt idx="1">
                  <c:v>489881.65</c:v>
                </c:pt>
                <c:pt idx="2">
                  <c:v>489618.17</c:v>
                </c:pt>
                <c:pt idx="3">
                  <c:v>489547.28</c:v>
                </c:pt>
                <c:pt idx="4">
                  <c:v>491550.34</c:v>
                </c:pt>
                <c:pt idx="5">
                  <c:v>491228.67</c:v>
                </c:pt>
                <c:pt idx="6">
                  <c:v>493571.76</c:v>
                </c:pt>
                <c:pt idx="7">
                  <c:v>497733.76</c:v>
                </c:pt>
                <c:pt idx="8">
                  <c:v>507141.57</c:v>
                </c:pt>
                <c:pt idx="9">
                  <c:v>524057.24</c:v>
                </c:pt>
              </c:numCache>
            </c:numRef>
          </c:val>
          <c:smooth val="0"/>
          <c:extLst xmlns:c16r2="http://schemas.microsoft.com/office/drawing/2015/06/chart">
            <c:ext xmlns:c16="http://schemas.microsoft.com/office/drawing/2014/chart" uri="{C3380CC4-5D6E-409C-BE32-E72D297353CC}">
              <c16:uniqueId val="{00000007-D596-4782-BC20-8657E171FFDB}"/>
            </c:ext>
          </c:extLst>
        </c:ser>
        <c:dLbls>
          <c:showLegendKey val="0"/>
          <c:showVal val="0"/>
          <c:showCatName val="0"/>
          <c:showSerName val="0"/>
          <c:showPercent val="0"/>
          <c:showBubbleSize val="0"/>
        </c:dLbls>
        <c:marker val="1"/>
        <c:smooth val="0"/>
        <c:axId val="479313280"/>
        <c:axId val="479331456"/>
      </c:lineChart>
      <c:catAx>
        <c:axId val="4793132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479331456"/>
        <c:crosses val="autoZero"/>
        <c:auto val="1"/>
        <c:lblAlgn val="ctr"/>
        <c:lblOffset val="100"/>
        <c:noMultiLvlLbl val="0"/>
      </c:catAx>
      <c:valAx>
        <c:axId val="479331456"/>
        <c:scaling>
          <c:orientation val="minMax"/>
          <c:min val="40005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uk-UA" sz="900">
                    <a:solidFill>
                      <a:sysClr val="windowText" lastClr="000000"/>
                    </a:solidFill>
                  </a:rPr>
                  <a:t>на</a:t>
                </a:r>
                <a:r>
                  <a:rPr lang="uk-UA" sz="900" baseline="0">
                    <a:solidFill>
                      <a:sysClr val="windowText" lastClr="000000"/>
                    </a:solidFill>
                  </a:rPr>
                  <a:t> </a:t>
                </a:r>
                <a:r>
                  <a:rPr lang="uk-UA" sz="900">
                    <a:solidFill>
                      <a:sysClr val="windowText" lastClr="000000"/>
                    </a:solidFill>
                  </a:rPr>
                  <a:t>100 тис. відповідного населення</a:t>
                </a:r>
              </a:p>
            </c:rich>
          </c:tx>
          <c:layout>
            <c:manualLayout>
              <c:xMode val="edge"/>
              <c:yMode val="edge"/>
              <c:x val="7.4558362496354627E-2"/>
              <c:y val="6.6093359490473251E-3"/>
            </c:manualLayout>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479313280"/>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dTable>
      <c:spPr>
        <a:noFill/>
        <a:ln>
          <a:noFill/>
        </a:ln>
        <a:effectLst/>
      </c:spPr>
    </c:plotArea>
    <c:legend>
      <c:legendPos val="b"/>
      <c:layout>
        <c:manualLayout>
          <c:xMode val="edge"/>
          <c:yMode val="edge"/>
          <c:x val="0.10574074074074075"/>
          <c:y val="0.89815057839992218"/>
          <c:w val="0.8787962962962963"/>
          <c:h val="7.4144727679355371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ru-RU"/>
    </a:p>
  </c:tx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3646932414698163"/>
          <c:y val="1.7991494929669612E-2"/>
          <c:w val="0.60826388888888894"/>
          <c:h val="0.89336233608679194"/>
        </c:manualLayout>
      </c:layout>
      <c:barChart>
        <c:barDir val="bar"/>
        <c:grouping val="clustered"/>
        <c:varyColors val="0"/>
        <c:ser>
          <c:idx val="0"/>
          <c:order val="0"/>
          <c:tx>
            <c:strRef>
              <c:f>Лист1!$B$1</c:f>
              <c:strCache>
                <c:ptCount val="1"/>
                <c:pt idx="0">
                  <c:v>2014</c:v>
                </c:pt>
              </c:strCache>
            </c:strRef>
          </c:tx>
          <c:spPr>
            <a:solidFill>
              <a:schemeClr val="accent1"/>
            </a:solidFill>
            <a:ln>
              <a:noFill/>
            </a:ln>
            <a:effectLst/>
          </c:spPr>
          <c:invertIfNegative val="0"/>
          <c:dLbls>
            <c:dLbl>
              <c:idx val="7"/>
              <c:layout>
                <c:manualLayout>
                  <c:x val="-2.3148148148148147E-3"/>
                  <c:y val="6.8914332024096686E-3"/>
                </c:manualLayout>
              </c:layout>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A31E-47C2-9A18-26B28543F325}"/>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Лист1!$A$2:$A$25</c:f>
              <c:strCache>
                <c:ptCount val="24"/>
                <c:pt idx="0">
                  <c:v>Лікар-пульмонолог  дитячий</c:v>
                </c:pt>
                <c:pt idx="1">
                  <c:v>Лікар педіатр-неонатолог</c:v>
                </c:pt>
                <c:pt idx="2">
                  <c:v>Лікар-ревматолог дитячий</c:v>
                </c:pt>
                <c:pt idx="3">
                  <c:v>Лікар-гастроентеролог дитячий</c:v>
                </c:pt>
                <c:pt idx="4">
                  <c:v>Лікар- нефролог дитячий</c:v>
                </c:pt>
                <c:pt idx="5">
                  <c:v>Лікар-ендокринолог дитячий</c:v>
                </c:pt>
                <c:pt idx="6">
                  <c:v>Лікар-алерголог дитячий</c:v>
                </c:pt>
                <c:pt idx="7">
                  <c:v>Лікар-гематолог дитячий</c:v>
                </c:pt>
                <c:pt idx="8">
                  <c:v>Лікар-інфекціоніст дитячий</c:v>
                </c:pt>
                <c:pt idx="9">
                  <c:v>Лікар-хірург дитячий</c:v>
                </c:pt>
                <c:pt idx="10">
                  <c:v>Лікар-ортопед-травматолог</c:v>
                </c:pt>
                <c:pt idx="11">
                  <c:v>Лікар-уролог дитячий</c:v>
                </c:pt>
                <c:pt idx="12">
                  <c:v>Лікар-нейрохірург дитячий</c:v>
                </c:pt>
                <c:pt idx="13">
                  <c:v>Лікар-анестезіолог дитячий</c:v>
                </c:pt>
                <c:pt idx="14">
                  <c:v>Лікар-онколог дитячий</c:v>
                </c:pt>
                <c:pt idx="15">
                  <c:v>Лікар-стоматолог дитячий</c:v>
                </c:pt>
                <c:pt idx="16">
                  <c:v>Лікар-гінеколог дитячий</c:v>
                </c:pt>
                <c:pt idx="17">
                  <c:v>Лікар-офтальмолог дитячий</c:v>
                </c:pt>
                <c:pt idx="18">
                  <c:v>Лікар-отоларинголог дитячий</c:v>
                </c:pt>
                <c:pt idx="19">
                  <c:v>Лікар-фтизіатр дитячий</c:v>
                </c:pt>
                <c:pt idx="20">
                  <c:v>Лікар-невропатолог дитячий</c:v>
                </c:pt>
                <c:pt idx="21">
                  <c:v>Лікар-психіатр дитячий</c:v>
                </c:pt>
                <c:pt idx="22">
                  <c:v>Лікар-дерматовенеролог дитячий</c:v>
                </c:pt>
                <c:pt idx="23">
                  <c:v>Лікар-імунолог дитячий</c:v>
                </c:pt>
              </c:strCache>
            </c:strRef>
          </c:cat>
          <c:val>
            <c:numRef>
              <c:f>Лист1!$B$2:$B$25</c:f>
              <c:numCache>
                <c:formatCode>General</c:formatCode>
                <c:ptCount val="24"/>
                <c:pt idx="0">
                  <c:v>0.02</c:v>
                </c:pt>
                <c:pt idx="1">
                  <c:v>0.37</c:v>
                </c:pt>
                <c:pt idx="2">
                  <c:v>0.06</c:v>
                </c:pt>
                <c:pt idx="3">
                  <c:v>0.04</c:v>
                </c:pt>
                <c:pt idx="4">
                  <c:v>0.02</c:v>
                </c:pt>
                <c:pt idx="5">
                  <c:v>0.05</c:v>
                </c:pt>
                <c:pt idx="6">
                  <c:v>0.02</c:v>
                </c:pt>
                <c:pt idx="7">
                  <c:v>0.03</c:v>
                </c:pt>
                <c:pt idx="8">
                  <c:v>0.13</c:v>
                </c:pt>
                <c:pt idx="9">
                  <c:v>0.19</c:v>
                </c:pt>
                <c:pt idx="10">
                  <c:v>0.1</c:v>
                </c:pt>
                <c:pt idx="11">
                  <c:v>0.02</c:v>
                </c:pt>
                <c:pt idx="12">
                  <c:v>0.01</c:v>
                </c:pt>
                <c:pt idx="13">
                  <c:v>0.27</c:v>
                </c:pt>
                <c:pt idx="14">
                  <c:v>0.01</c:v>
                </c:pt>
                <c:pt idx="15">
                  <c:v>0.41</c:v>
                </c:pt>
                <c:pt idx="16">
                  <c:v>0.06</c:v>
                </c:pt>
                <c:pt idx="17">
                  <c:v>0.12</c:v>
                </c:pt>
                <c:pt idx="18">
                  <c:v>0.14000000000000001</c:v>
                </c:pt>
                <c:pt idx="19">
                  <c:v>0.08</c:v>
                </c:pt>
                <c:pt idx="20">
                  <c:v>0.16</c:v>
                </c:pt>
                <c:pt idx="21">
                  <c:v>0.08</c:v>
                </c:pt>
                <c:pt idx="22">
                  <c:v>0.04</c:v>
                </c:pt>
                <c:pt idx="23">
                  <c:v>0.01</c:v>
                </c:pt>
              </c:numCache>
            </c:numRef>
          </c:val>
          <c:extLst xmlns:c16r2="http://schemas.microsoft.com/office/drawing/2015/06/chart">
            <c:ext xmlns:c16="http://schemas.microsoft.com/office/drawing/2014/chart" uri="{C3380CC4-5D6E-409C-BE32-E72D297353CC}">
              <c16:uniqueId val="{00000001-A31E-47C2-9A18-26B28543F325}"/>
            </c:ext>
          </c:extLst>
        </c:ser>
        <c:ser>
          <c:idx val="1"/>
          <c:order val="1"/>
          <c:tx>
            <c:strRef>
              <c:f>Лист1!$C$1</c:f>
              <c:strCache>
                <c:ptCount val="1"/>
                <c:pt idx="0">
                  <c:v>2018</c:v>
                </c:pt>
              </c:strCache>
            </c:strRef>
          </c:tx>
          <c:invertIfNegative val="0"/>
          <c:dLbls>
            <c:dLbl>
              <c:idx val="0"/>
              <c:layout>
                <c:manualLayout>
                  <c:x val="-2.3148148148148147E-3"/>
                  <c:y val="-6.5418680845177254E-3"/>
                </c:manualLayout>
              </c:layout>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A31E-47C2-9A18-26B28543F325}"/>
                </c:ext>
              </c:extLst>
            </c:dLbl>
            <c:dLbl>
              <c:idx val="1"/>
              <c:layout>
                <c:manualLayout>
                  <c:x val="0"/>
                  <c:y val="-9.8128021267768883E-3"/>
                </c:manualLayout>
              </c:layout>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A31E-47C2-9A18-26B28543F325}"/>
                </c:ext>
              </c:extLst>
            </c:dLbl>
            <c:dLbl>
              <c:idx val="2"/>
              <c:layout>
                <c:manualLayout>
                  <c:x val="0"/>
                  <c:y val="-4.9064010633883834E-3"/>
                </c:manualLayout>
              </c:layout>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A31E-47C2-9A18-26B28543F325}"/>
                </c:ext>
              </c:extLst>
            </c:dLbl>
            <c:dLbl>
              <c:idx val="3"/>
              <c:layout>
                <c:manualLayout>
                  <c:x val="0"/>
                  <c:y val="-4.9064010633883834E-3"/>
                </c:manualLayout>
              </c:layout>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A31E-47C2-9A18-26B28543F325}"/>
                </c:ext>
              </c:extLst>
            </c:dLbl>
            <c:dLbl>
              <c:idx val="4"/>
              <c:layout>
                <c:manualLayout>
                  <c:x val="0"/>
                  <c:y val="-6.5418680845178451E-3"/>
                </c:manualLayout>
              </c:layout>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6-A31E-47C2-9A18-26B28543F325}"/>
                </c:ext>
              </c:extLst>
            </c:dLbl>
            <c:dLbl>
              <c:idx val="5"/>
              <c:layout>
                <c:manualLayout>
                  <c:x val="-2.3148148148148147E-3"/>
                  <c:y val="-4.9064010633883834E-3"/>
                </c:manualLayout>
              </c:layout>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7-A31E-47C2-9A18-26B28543F325}"/>
                </c:ext>
              </c:extLst>
            </c:dLbl>
            <c:dLbl>
              <c:idx val="6"/>
              <c:layout>
                <c:manualLayout>
                  <c:x val="0"/>
                  <c:y val="-4.9064010633883834E-3"/>
                </c:manualLayout>
              </c:layout>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8-A31E-47C2-9A18-26B28543F325}"/>
                </c:ext>
              </c:extLst>
            </c:dLbl>
            <c:dLbl>
              <c:idx val="8"/>
              <c:layout>
                <c:manualLayout>
                  <c:x val="0"/>
                  <c:y val="-6.5418680845178451E-3"/>
                </c:manualLayout>
              </c:layout>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9-A31E-47C2-9A18-26B28543F325}"/>
                </c:ext>
              </c:extLst>
            </c:dLbl>
            <c:dLbl>
              <c:idx val="9"/>
              <c:layout>
                <c:manualLayout>
                  <c:x val="0"/>
                  <c:y val="-1.1448269147906229E-2"/>
                </c:manualLayout>
              </c:layout>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A-A31E-47C2-9A18-26B28543F325}"/>
                </c:ext>
              </c:extLst>
            </c:dLbl>
            <c:dLbl>
              <c:idx val="10"/>
              <c:layout>
                <c:manualLayout>
                  <c:x val="0"/>
                  <c:y val="-4.9064010633883236E-3"/>
                </c:manualLayout>
              </c:layout>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B-A31E-47C2-9A18-26B28543F325}"/>
                </c:ext>
              </c:extLst>
            </c:dLbl>
            <c:dLbl>
              <c:idx val="11"/>
              <c:layout>
                <c:manualLayout>
                  <c:x val="0"/>
                  <c:y val="-6.5418680845178451E-3"/>
                </c:manualLayout>
              </c:layout>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C-A31E-47C2-9A18-26B28543F325}"/>
                </c:ext>
              </c:extLst>
            </c:dLbl>
            <c:dLbl>
              <c:idx val="12"/>
              <c:layout>
                <c:manualLayout>
                  <c:x val="0"/>
                  <c:y val="-3.2709340422589226E-3"/>
                </c:manualLayout>
              </c:layout>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D-A31E-47C2-9A18-26B28543F325}"/>
                </c:ext>
              </c:extLst>
            </c:dLbl>
            <c:dLbl>
              <c:idx val="13"/>
              <c:layout>
                <c:manualLayout>
                  <c:x val="-2.3148148148147301E-3"/>
                  <c:y val="-4.9064010633883834E-3"/>
                </c:manualLayout>
              </c:layout>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E-A31E-47C2-9A18-26B28543F325}"/>
                </c:ext>
              </c:extLst>
            </c:dLbl>
            <c:dLbl>
              <c:idx val="14"/>
              <c:layout>
                <c:manualLayout>
                  <c:x val="0"/>
                  <c:y val="-6.5418680845178451E-3"/>
                </c:manualLayout>
              </c:layout>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F-A31E-47C2-9A18-26B28543F325}"/>
                </c:ext>
              </c:extLst>
            </c:dLbl>
            <c:dLbl>
              <c:idx val="15"/>
              <c:layout>
                <c:manualLayout>
                  <c:x val="0"/>
                  <c:y val="-4.9064010633883834E-3"/>
                </c:manualLayout>
              </c:layout>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10-A31E-47C2-9A18-26B28543F325}"/>
                </c:ext>
              </c:extLst>
            </c:dLbl>
            <c:dLbl>
              <c:idx val="16"/>
              <c:layout>
                <c:manualLayout>
                  <c:x val="0"/>
                  <c:y val="-6.5418680845178451E-3"/>
                </c:manualLayout>
              </c:layout>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11-A31E-47C2-9A18-26B28543F325}"/>
                </c:ext>
              </c:extLst>
            </c:dLbl>
            <c:dLbl>
              <c:idx val="18"/>
              <c:layout>
                <c:manualLayout>
                  <c:x val="0"/>
                  <c:y val="-8.177335105647306E-3"/>
                </c:manualLayout>
              </c:layout>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12-A31E-47C2-9A18-26B28543F325}"/>
                </c:ext>
              </c:extLst>
            </c:dLbl>
            <c:dLbl>
              <c:idx val="19"/>
              <c:layout>
                <c:manualLayout>
                  <c:x val="0"/>
                  <c:y val="-3.2709340422589226E-3"/>
                </c:manualLayout>
              </c:layout>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13-A31E-47C2-9A18-26B28543F325}"/>
                </c:ext>
              </c:extLst>
            </c:dLbl>
            <c:dLbl>
              <c:idx val="20"/>
              <c:layout>
                <c:manualLayout>
                  <c:x val="0"/>
                  <c:y val="-4.906401063388399E-3"/>
                </c:manualLayout>
              </c:layout>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14-A31E-47C2-9A18-26B28543F325}"/>
                </c:ext>
              </c:extLst>
            </c:dLbl>
            <c:dLbl>
              <c:idx val="21"/>
              <c:layout>
                <c:manualLayout>
                  <c:x val="0"/>
                  <c:y val="-4.9064010633883834E-3"/>
                </c:manualLayout>
              </c:layout>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15-A31E-47C2-9A18-26B28543F325}"/>
                </c:ext>
              </c:extLst>
            </c:dLbl>
            <c:dLbl>
              <c:idx val="22"/>
              <c:layout>
                <c:manualLayout>
                  <c:x val="-2.3148148148148147E-3"/>
                  <c:y val="-9.8185425108100674E-3"/>
                </c:manualLayout>
              </c:layout>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16-A31E-47C2-9A18-26B28543F325}"/>
                </c:ext>
              </c:extLst>
            </c:dLbl>
            <c:dLbl>
              <c:idx val="23"/>
              <c:layout>
                <c:manualLayout>
                  <c:x val="0"/>
                  <c:y val="-4.9064010633883834E-3"/>
                </c:manualLayout>
              </c:layout>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17-A31E-47C2-9A18-26B28543F325}"/>
                </c:ext>
              </c:extLst>
            </c:dLbl>
            <c:spPr>
              <a:noFill/>
              <a:ln>
                <a:noFill/>
              </a:ln>
              <a:effectLst/>
            </c:spPr>
            <c:txPr>
              <a:bodyPr/>
              <a:lstStyle/>
              <a:p>
                <a:pPr>
                  <a:defRPr sz="900">
                    <a:latin typeface="Times New Roman" pitchFamily="18" charset="0"/>
                    <a:cs typeface="Times New Roman" pitchFamily="18" charset="0"/>
                  </a:defRPr>
                </a:pPr>
                <a:endParaRPr lang="ru-RU"/>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Лист1!$A$2:$A$25</c:f>
              <c:strCache>
                <c:ptCount val="24"/>
                <c:pt idx="0">
                  <c:v>Лікар-пульмонолог  дитячий</c:v>
                </c:pt>
                <c:pt idx="1">
                  <c:v>Лікар педіатр-неонатолог</c:v>
                </c:pt>
                <c:pt idx="2">
                  <c:v>Лікар-ревматолог дитячий</c:v>
                </c:pt>
                <c:pt idx="3">
                  <c:v>Лікар-гастроентеролог дитячий</c:v>
                </c:pt>
                <c:pt idx="4">
                  <c:v>Лікар- нефролог дитячий</c:v>
                </c:pt>
                <c:pt idx="5">
                  <c:v>Лікар-ендокринолог дитячий</c:v>
                </c:pt>
                <c:pt idx="6">
                  <c:v>Лікар-алерголог дитячий</c:v>
                </c:pt>
                <c:pt idx="7">
                  <c:v>Лікар-гематолог дитячий</c:v>
                </c:pt>
                <c:pt idx="8">
                  <c:v>Лікар-інфекціоніст дитячий</c:v>
                </c:pt>
                <c:pt idx="9">
                  <c:v>Лікар-хірург дитячий</c:v>
                </c:pt>
                <c:pt idx="10">
                  <c:v>Лікар-ортопед-травматолог</c:v>
                </c:pt>
                <c:pt idx="11">
                  <c:v>Лікар-уролог дитячий</c:v>
                </c:pt>
                <c:pt idx="12">
                  <c:v>Лікар-нейрохірург дитячий</c:v>
                </c:pt>
                <c:pt idx="13">
                  <c:v>Лікар-анестезіолог дитячий</c:v>
                </c:pt>
                <c:pt idx="14">
                  <c:v>Лікар-онколог дитячий</c:v>
                </c:pt>
                <c:pt idx="15">
                  <c:v>Лікар-стоматолог дитячий</c:v>
                </c:pt>
                <c:pt idx="16">
                  <c:v>Лікар-гінеколог дитячий</c:v>
                </c:pt>
                <c:pt idx="17">
                  <c:v>Лікар-офтальмолог дитячий</c:v>
                </c:pt>
                <c:pt idx="18">
                  <c:v>Лікар-отоларинголог дитячий</c:v>
                </c:pt>
                <c:pt idx="19">
                  <c:v>Лікар-фтизіатр дитячий</c:v>
                </c:pt>
                <c:pt idx="20">
                  <c:v>Лікар-невропатолог дитячий</c:v>
                </c:pt>
                <c:pt idx="21">
                  <c:v>Лікар-психіатр дитячий</c:v>
                </c:pt>
                <c:pt idx="22">
                  <c:v>Лікар-дерматовенеролог дитячий</c:v>
                </c:pt>
                <c:pt idx="23">
                  <c:v>Лікар-імунолог дитячий</c:v>
                </c:pt>
              </c:strCache>
            </c:strRef>
          </c:cat>
          <c:val>
            <c:numRef>
              <c:f>Лист1!$C$2:$C$25</c:f>
              <c:numCache>
                <c:formatCode>General</c:formatCode>
                <c:ptCount val="24"/>
                <c:pt idx="0">
                  <c:v>0.02</c:v>
                </c:pt>
                <c:pt idx="1">
                  <c:v>0.38</c:v>
                </c:pt>
                <c:pt idx="2">
                  <c:v>0.06</c:v>
                </c:pt>
                <c:pt idx="3">
                  <c:v>0.04</c:v>
                </c:pt>
                <c:pt idx="4">
                  <c:v>0.02</c:v>
                </c:pt>
                <c:pt idx="5">
                  <c:v>0.05</c:v>
                </c:pt>
                <c:pt idx="6">
                  <c:v>0.03</c:v>
                </c:pt>
                <c:pt idx="7">
                  <c:v>0.03</c:v>
                </c:pt>
                <c:pt idx="8">
                  <c:v>0.12</c:v>
                </c:pt>
                <c:pt idx="9">
                  <c:v>0.19</c:v>
                </c:pt>
                <c:pt idx="10">
                  <c:v>0.1</c:v>
                </c:pt>
                <c:pt idx="11">
                  <c:v>0.02</c:v>
                </c:pt>
                <c:pt idx="12">
                  <c:v>0.01</c:v>
                </c:pt>
                <c:pt idx="13">
                  <c:v>0.28000000000000003</c:v>
                </c:pt>
                <c:pt idx="14">
                  <c:v>0.01</c:v>
                </c:pt>
                <c:pt idx="15">
                  <c:v>0.4</c:v>
                </c:pt>
                <c:pt idx="16">
                  <c:v>0.06</c:v>
                </c:pt>
                <c:pt idx="17">
                  <c:v>0.11</c:v>
                </c:pt>
                <c:pt idx="18">
                  <c:v>0.14000000000000001</c:v>
                </c:pt>
                <c:pt idx="19">
                  <c:v>7.0000000000000007E-2</c:v>
                </c:pt>
                <c:pt idx="20">
                  <c:v>0.15</c:v>
                </c:pt>
                <c:pt idx="21">
                  <c:v>0.08</c:v>
                </c:pt>
                <c:pt idx="22">
                  <c:v>0.04</c:v>
                </c:pt>
                <c:pt idx="23">
                  <c:v>0.01</c:v>
                </c:pt>
              </c:numCache>
            </c:numRef>
          </c:val>
          <c:extLst xmlns:c16r2="http://schemas.microsoft.com/office/drawing/2015/06/chart">
            <c:ext xmlns:c16="http://schemas.microsoft.com/office/drawing/2014/chart" uri="{C3380CC4-5D6E-409C-BE32-E72D297353CC}">
              <c16:uniqueId val="{00000018-A31E-47C2-9A18-26B28543F325}"/>
            </c:ext>
          </c:extLst>
        </c:ser>
        <c:dLbls>
          <c:dLblPos val="outEnd"/>
          <c:showLegendKey val="0"/>
          <c:showVal val="1"/>
          <c:showCatName val="0"/>
          <c:showSerName val="0"/>
          <c:showPercent val="0"/>
          <c:showBubbleSize val="0"/>
        </c:dLbls>
        <c:gapWidth val="182"/>
        <c:axId val="521480448"/>
        <c:axId val="521486336"/>
      </c:barChart>
      <c:catAx>
        <c:axId val="521480448"/>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521486336"/>
        <c:crosses val="autoZero"/>
        <c:auto val="1"/>
        <c:lblAlgn val="ctr"/>
        <c:lblOffset val="100"/>
        <c:noMultiLvlLbl val="0"/>
      </c:catAx>
      <c:valAx>
        <c:axId val="521486336"/>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21480448"/>
        <c:crosses val="autoZero"/>
        <c:crossBetween val="between"/>
      </c:valAx>
      <c:spPr>
        <a:noFill/>
        <a:ln>
          <a:noFill/>
        </a:ln>
        <a:effectLst/>
      </c:spPr>
    </c:plotArea>
    <c:legend>
      <c:legendPos val="b"/>
      <c:overlay val="0"/>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31813848789734617"/>
          <c:y val="2.8314028314028315E-2"/>
          <c:w val="0.62899114173228343"/>
          <c:h val="0.88365954255718038"/>
        </c:manualLayout>
      </c:layout>
      <c:barChart>
        <c:barDir val="bar"/>
        <c:grouping val="clustered"/>
        <c:varyColors val="0"/>
        <c:ser>
          <c:idx val="0"/>
          <c:order val="0"/>
          <c:tx>
            <c:strRef>
              <c:f>Лист1!$B$1</c:f>
              <c:strCache>
                <c:ptCount val="1"/>
                <c:pt idx="0">
                  <c:v>2014</c:v>
                </c:pt>
              </c:strCache>
            </c:strRef>
          </c:tx>
          <c:spPr>
            <a:solidFill>
              <a:schemeClr val="accent1">
                <a:lumMod val="40000"/>
                <a:lumOff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Лист1!$A$2:$A$25</c:f>
              <c:strCache>
                <c:ptCount val="24"/>
                <c:pt idx="0">
                  <c:v>Лікар-пульмонолог  дитячий</c:v>
                </c:pt>
                <c:pt idx="1">
                  <c:v>Лікар педіатр-неонатолог</c:v>
                </c:pt>
                <c:pt idx="2">
                  <c:v>Лікар-ревматолог дитячий</c:v>
                </c:pt>
                <c:pt idx="3">
                  <c:v>Лікар-гастроентеролог дитячий</c:v>
                </c:pt>
                <c:pt idx="4">
                  <c:v>Лікар- нефролог дитячий</c:v>
                </c:pt>
                <c:pt idx="5">
                  <c:v>Лікар-ендокринолог дитячий</c:v>
                </c:pt>
                <c:pt idx="6">
                  <c:v>Лікар-алерголог дитячий</c:v>
                </c:pt>
                <c:pt idx="7">
                  <c:v>Лікар-гематолог дитячий</c:v>
                </c:pt>
                <c:pt idx="8">
                  <c:v>Лікар-інфекціоніст дитячий</c:v>
                </c:pt>
                <c:pt idx="9">
                  <c:v>Лікар-хірург дитячий</c:v>
                </c:pt>
                <c:pt idx="10">
                  <c:v>Лікар-ортопед-травматолог</c:v>
                </c:pt>
                <c:pt idx="11">
                  <c:v>Лікар-уролог дитячий</c:v>
                </c:pt>
                <c:pt idx="12">
                  <c:v>Лікар-нейрохірург дитячий</c:v>
                </c:pt>
                <c:pt idx="13">
                  <c:v>Лікар-анестезіолог дитячий</c:v>
                </c:pt>
                <c:pt idx="14">
                  <c:v>Лікар-онколог дитячий</c:v>
                </c:pt>
                <c:pt idx="15">
                  <c:v>Лікар-стоматолог дитячий</c:v>
                </c:pt>
                <c:pt idx="16">
                  <c:v>Лікар-гінеколог дитячий</c:v>
                </c:pt>
                <c:pt idx="17">
                  <c:v>Лікар-офтальмолог дитячий</c:v>
                </c:pt>
                <c:pt idx="18">
                  <c:v>Лікар-отоларинголог дитячий</c:v>
                </c:pt>
                <c:pt idx="19">
                  <c:v>Лікар-фтизіатр дитячий</c:v>
                </c:pt>
                <c:pt idx="20">
                  <c:v>Лікар-невропатолог дитячий</c:v>
                </c:pt>
                <c:pt idx="21">
                  <c:v>Лікар-психіатр дитячий</c:v>
                </c:pt>
                <c:pt idx="22">
                  <c:v>Лікар-дерматовенеролог дитячий</c:v>
                </c:pt>
                <c:pt idx="23">
                  <c:v>Лікар-імунолог дитячий</c:v>
                </c:pt>
              </c:strCache>
            </c:strRef>
          </c:cat>
          <c:val>
            <c:numRef>
              <c:f>Лист1!$B$2:$B$25</c:f>
              <c:numCache>
                <c:formatCode>General</c:formatCode>
                <c:ptCount val="24"/>
                <c:pt idx="0">
                  <c:v>81.8</c:v>
                </c:pt>
                <c:pt idx="1">
                  <c:v>77.760000000000005</c:v>
                </c:pt>
                <c:pt idx="2">
                  <c:v>76.5</c:v>
                </c:pt>
                <c:pt idx="3">
                  <c:v>80.989999999999995</c:v>
                </c:pt>
                <c:pt idx="4">
                  <c:v>71.900000000000006</c:v>
                </c:pt>
                <c:pt idx="5">
                  <c:v>75.349999999999994</c:v>
                </c:pt>
                <c:pt idx="6">
                  <c:v>88.31</c:v>
                </c:pt>
                <c:pt idx="7">
                  <c:v>72.62</c:v>
                </c:pt>
                <c:pt idx="8">
                  <c:v>71.98</c:v>
                </c:pt>
                <c:pt idx="9">
                  <c:v>75.3</c:v>
                </c:pt>
                <c:pt idx="10">
                  <c:v>72.09</c:v>
                </c:pt>
                <c:pt idx="11">
                  <c:v>67.13</c:v>
                </c:pt>
                <c:pt idx="12">
                  <c:v>67.489999999999995</c:v>
                </c:pt>
                <c:pt idx="13">
                  <c:v>63.77</c:v>
                </c:pt>
                <c:pt idx="14">
                  <c:v>66.260000000000005</c:v>
                </c:pt>
                <c:pt idx="15">
                  <c:v>97.56</c:v>
                </c:pt>
                <c:pt idx="16">
                  <c:v>72.56</c:v>
                </c:pt>
                <c:pt idx="17">
                  <c:v>78.97</c:v>
                </c:pt>
                <c:pt idx="18">
                  <c:v>80.78</c:v>
                </c:pt>
                <c:pt idx="19">
                  <c:v>69.09</c:v>
                </c:pt>
                <c:pt idx="20">
                  <c:v>72.78</c:v>
                </c:pt>
                <c:pt idx="21">
                  <c:v>75.53</c:v>
                </c:pt>
                <c:pt idx="22">
                  <c:v>89.35</c:v>
                </c:pt>
                <c:pt idx="23">
                  <c:v>58.24</c:v>
                </c:pt>
              </c:numCache>
            </c:numRef>
          </c:val>
          <c:extLst xmlns:c16r2="http://schemas.microsoft.com/office/drawing/2015/06/chart">
            <c:ext xmlns:c16="http://schemas.microsoft.com/office/drawing/2014/chart" uri="{C3380CC4-5D6E-409C-BE32-E72D297353CC}">
              <c16:uniqueId val="{00000000-FE39-482A-BD35-4C602FE8FBDF}"/>
            </c:ext>
          </c:extLst>
        </c:ser>
        <c:ser>
          <c:idx val="1"/>
          <c:order val="1"/>
          <c:tx>
            <c:strRef>
              <c:f>Лист1!$C$1</c:f>
              <c:strCache>
                <c:ptCount val="1"/>
                <c:pt idx="0">
                  <c:v>2018</c:v>
                </c:pt>
              </c:strCache>
            </c:strRef>
          </c:tx>
          <c:spPr>
            <a:solidFill>
              <a:schemeClr val="bg1">
                <a:lumMod val="7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Лист1!$A$2:$A$25</c:f>
              <c:strCache>
                <c:ptCount val="24"/>
                <c:pt idx="0">
                  <c:v>Лікар-пульмонолог  дитячий</c:v>
                </c:pt>
                <c:pt idx="1">
                  <c:v>Лікар педіатр-неонатолог</c:v>
                </c:pt>
                <c:pt idx="2">
                  <c:v>Лікар-ревматолог дитячий</c:v>
                </c:pt>
                <c:pt idx="3">
                  <c:v>Лікар-гастроентеролог дитячий</c:v>
                </c:pt>
                <c:pt idx="4">
                  <c:v>Лікар- нефролог дитячий</c:v>
                </c:pt>
                <c:pt idx="5">
                  <c:v>Лікар-ендокринолог дитячий</c:v>
                </c:pt>
                <c:pt idx="6">
                  <c:v>Лікар-алерголог дитячий</c:v>
                </c:pt>
                <c:pt idx="7">
                  <c:v>Лікар-гематолог дитячий</c:v>
                </c:pt>
                <c:pt idx="8">
                  <c:v>Лікар-інфекціоніст дитячий</c:v>
                </c:pt>
                <c:pt idx="9">
                  <c:v>Лікар-хірург дитячий</c:v>
                </c:pt>
                <c:pt idx="10">
                  <c:v>Лікар-ортопед-травматолог</c:v>
                </c:pt>
                <c:pt idx="11">
                  <c:v>Лікар-уролог дитячий</c:v>
                </c:pt>
                <c:pt idx="12">
                  <c:v>Лікар-нейрохірург дитячий</c:v>
                </c:pt>
                <c:pt idx="13">
                  <c:v>Лікар-анестезіолог дитячий</c:v>
                </c:pt>
                <c:pt idx="14">
                  <c:v>Лікар-онколог дитячий</c:v>
                </c:pt>
                <c:pt idx="15">
                  <c:v>Лікар-стоматолог дитячий</c:v>
                </c:pt>
                <c:pt idx="16">
                  <c:v>Лікар-гінеколог дитячий</c:v>
                </c:pt>
                <c:pt idx="17">
                  <c:v>Лікар-офтальмолог дитячий</c:v>
                </c:pt>
                <c:pt idx="18">
                  <c:v>Лікар-отоларинголог дитячий</c:v>
                </c:pt>
                <c:pt idx="19">
                  <c:v>Лікар-фтизіатр дитячий</c:v>
                </c:pt>
                <c:pt idx="20">
                  <c:v>Лікар-невропатолог дитячий</c:v>
                </c:pt>
                <c:pt idx="21">
                  <c:v>Лікар-психіатр дитячий</c:v>
                </c:pt>
                <c:pt idx="22">
                  <c:v>Лікар-дерматовенеролог дитячий</c:v>
                </c:pt>
                <c:pt idx="23">
                  <c:v>Лікар-імунолог дитячий</c:v>
                </c:pt>
              </c:strCache>
            </c:strRef>
          </c:cat>
          <c:val>
            <c:numRef>
              <c:f>Лист1!$C$2:$C$25</c:f>
              <c:numCache>
                <c:formatCode>General</c:formatCode>
                <c:ptCount val="24"/>
                <c:pt idx="0">
                  <c:v>79.17</c:v>
                </c:pt>
                <c:pt idx="1">
                  <c:v>77.33</c:v>
                </c:pt>
                <c:pt idx="2">
                  <c:v>79.2</c:v>
                </c:pt>
                <c:pt idx="3">
                  <c:v>80.790000000000006</c:v>
                </c:pt>
                <c:pt idx="4">
                  <c:v>74.95</c:v>
                </c:pt>
                <c:pt idx="5">
                  <c:v>77.64</c:v>
                </c:pt>
                <c:pt idx="6">
                  <c:v>88.34</c:v>
                </c:pt>
                <c:pt idx="7">
                  <c:v>71.959999999999994</c:v>
                </c:pt>
                <c:pt idx="8">
                  <c:v>74.13</c:v>
                </c:pt>
                <c:pt idx="9">
                  <c:v>73.19</c:v>
                </c:pt>
                <c:pt idx="10">
                  <c:v>74.39</c:v>
                </c:pt>
                <c:pt idx="11">
                  <c:v>73.66</c:v>
                </c:pt>
                <c:pt idx="12">
                  <c:v>69.37</c:v>
                </c:pt>
                <c:pt idx="13">
                  <c:v>67.95</c:v>
                </c:pt>
                <c:pt idx="14">
                  <c:v>66.67</c:v>
                </c:pt>
                <c:pt idx="15">
                  <c:v>93.85</c:v>
                </c:pt>
                <c:pt idx="16">
                  <c:v>71.81</c:v>
                </c:pt>
                <c:pt idx="17">
                  <c:v>73.540000000000006</c:v>
                </c:pt>
                <c:pt idx="18">
                  <c:v>82.26</c:v>
                </c:pt>
                <c:pt idx="19">
                  <c:v>70.44</c:v>
                </c:pt>
                <c:pt idx="20">
                  <c:v>79.17</c:v>
                </c:pt>
                <c:pt idx="21">
                  <c:v>72.900000000000006</c:v>
                </c:pt>
                <c:pt idx="22">
                  <c:v>85.37</c:v>
                </c:pt>
                <c:pt idx="23">
                  <c:v>66.459999999999994</c:v>
                </c:pt>
              </c:numCache>
            </c:numRef>
          </c:val>
          <c:extLst xmlns:c16r2="http://schemas.microsoft.com/office/drawing/2015/06/chart">
            <c:ext xmlns:c16="http://schemas.microsoft.com/office/drawing/2014/chart" uri="{C3380CC4-5D6E-409C-BE32-E72D297353CC}">
              <c16:uniqueId val="{00000001-FE39-482A-BD35-4C602FE8FBDF}"/>
            </c:ext>
          </c:extLst>
        </c:ser>
        <c:dLbls>
          <c:dLblPos val="outEnd"/>
          <c:showLegendKey val="0"/>
          <c:showVal val="1"/>
          <c:showCatName val="0"/>
          <c:showSerName val="0"/>
          <c:showPercent val="0"/>
          <c:showBubbleSize val="0"/>
        </c:dLbls>
        <c:gapWidth val="182"/>
        <c:axId val="512862080"/>
        <c:axId val="512863616"/>
      </c:barChart>
      <c:catAx>
        <c:axId val="512862080"/>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512863616"/>
        <c:crosses val="autoZero"/>
        <c:auto val="1"/>
        <c:lblAlgn val="ctr"/>
        <c:lblOffset val="100"/>
        <c:noMultiLvlLbl val="0"/>
      </c:catAx>
      <c:valAx>
        <c:axId val="512863616"/>
        <c:scaling>
          <c:orientation val="minMax"/>
          <c:max val="100"/>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51286208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900">
          <a:latin typeface="Times New Roman" panose="02020603050405020304" pitchFamily="18" charset="0"/>
          <a:cs typeface="Times New Roman" panose="02020603050405020304" pitchFamily="18" charset="0"/>
        </a:defRPr>
      </a:pPr>
      <a:endParaRPr lang="ru-RU"/>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0"/>
          <c:order val="0"/>
          <c:tx>
            <c:strRef>
              <c:f>Аркуш1!$B$1</c:f>
              <c:strCache>
                <c:ptCount val="1"/>
                <c:pt idx="0">
                  <c:v>до 25 років</c:v>
                </c:pt>
              </c:strCache>
            </c:strRef>
          </c:tx>
          <c:spPr>
            <a:solidFill>
              <a:schemeClr val="dk1">
                <a:tint val="88500"/>
              </a:schemeClr>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mn-cs"/>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c:f>
              <c:strCache>
                <c:ptCount val="1"/>
                <c:pt idx="0">
                  <c:v>Вік батьків</c:v>
                </c:pt>
              </c:strCache>
            </c:strRef>
          </c:cat>
          <c:val>
            <c:numRef>
              <c:f>Аркуш1!$B$2</c:f>
              <c:numCache>
                <c:formatCode>General</c:formatCode>
                <c:ptCount val="1"/>
                <c:pt idx="0">
                  <c:v>129</c:v>
                </c:pt>
              </c:numCache>
            </c:numRef>
          </c:val>
          <c:extLst xmlns:c16r2="http://schemas.microsoft.com/office/drawing/2015/06/chart">
            <c:ext xmlns:c16="http://schemas.microsoft.com/office/drawing/2014/chart" uri="{C3380CC4-5D6E-409C-BE32-E72D297353CC}">
              <c16:uniqueId val="{00000000-8671-4FBB-BC39-B08306BB9A31}"/>
            </c:ext>
          </c:extLst>
        </c:ser>
        <c:ser>
          <c:idx val="1"/>
          <c:order val="1"/>
          <c:tx>
            <c:strRef>
              <c:f>Аркуш1!$C$1</c:f>
              <c:strCache>
                <c:ptCount val="1"/>
                <c:pt idx="0">
                  <c:v>26-35 років</c:v>
                </c:pt>
              </c:strCache>
            </c:strRef>
          </c:tx>
          <c:spPr>
            <a:solidFill>
              <a:schemeClr val="dk1">
                <a:tint val="55000"/>
              </a:schemeClr>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mn-cs"/>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c:f>
              <c:strCache>
                <c:ptCount val="1"/>
                <c:pt idx="0">
                  <c:v>Вік батьків</c:v>
                </c:pt>
              </c:strCache>
            </c:strRef>
          </c:cat>
          <c:val>
            <c:numRef>
              <c:f>Аркуш1!$C$2</c:f>
              <c:numCache>
                <c:formatCode>General</c:formatCode>
                <c:ptCount val="1"/>
                <c:pt idx="0">
                  <c:v>192</c:v>
                </c:pt>
              </c:numCache>
            </c:numRef>
          </c:val>
          <c:extLst xmlns:c16r2="http://schemas.microsoft.com/office/drawing/2015/06/chart">
            <c:ext xmlns:c16="http://schemas.microsoft.com/office/drawing/2014/chart" uri="{C3380CC4-5D6E-409C-BE32-E72D297353CC}">
              <c16:uniqueId val="{00000001-8671-4FBB-BC39-B08306BB9A31}"/>
            </c:ext>
          </c:extLst>
        </c:ser>
        <c:ser>
          <c:idx val="2"/>
          <c:order val="2"/>
          <c:tx>
            <c:strRef>
              <c:f>Аркуш1!$D$1</c:f>
              <c:strCache>
                <c:ptCount val="1"/>
                <c:pt idx="0">
                  <c:v>36 років і старші</c:v>
                </c:pt>
              </c:strCache>
            </c:strRef>
          </c:tx>
          <c:spPr>
            <a:solidFill>
              <a:schemeClr val="dk1">
                <a:tint val="75000"/>
              </a:schemeClr>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mn-cs"/>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c:f>
              <c:strCache>
                <c:ptCount val="1"/>
                <c:pt idx="0">
                  <c:v>Вік батьків</c:v>
                </c:pt>
              </c:strCache>
            </c:strRef>
          </c:cat>
          <c:val>
            <c:numRef>
              <c:f>Аркуш1!$D$2</c:f>
              <c:numCache>
                <c:formatCode>General</c:formatCode>
                <c:ptCount val="1"/>
                <c:pt idx="0">
                  <c:v>79</c:v>
                </c:pt>
              </c:numCache>
            </c:numRef>
          </c:val>
          <c:extLst xmlns:c16r2="http://schemas.microsoft.com/office/drawing/2015/06/chart">
            <c:ext xmlns:c16="http://schemas.microsoft.com/office/drawing/2014/chart" uri="{C3380CC4-5D6E-409C-BE32-E72D297353CC}">
              <c16:uniqueId val="{00000002-8671-4FBB-BC39-B08306BB9A31}"/>
            </c:ext>
          </c:extLst>
        </c:ser>
        <c:dLbls>
          <c:showLegendKey val="0"/>
          <c:showVal val="0"/>
          <c:showCatName val="0"/>
          <c:showSerName val="0"/>
          <c:showPercent val="0"/>
          <c:showBubbleSize val="0"/>
        </c:dLbls>
        <c:gapWidth val="219"/>
        <c:overlap val="-27"/>
        <c:axId val="512833792"/>
        <c:axId val="519487488"/>
      </c:barChart>
      <c:catAx>
        <c:axId val="5128337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2"/>
                </a:solidFill>
                <a:latin typeface="Times New Roman" panose="02020603050405020304" pitchFamily="18" charset="0"/>
                <a:ea typeface="+mn-ea"/>
                <a:cs typeface="+mn-cs"/>
              </a:defRPr>
            </a:pPr>
            <a:endParaRPr lang="ru-RU"/>
          </a:p>
        </c:txPr>
        <c:crossAx val="519487488"/>
        <c:crosses val="autoZero"/>
        <c:auto val="1"/>
        <c:lblAlgn val="ctr"/>
        <c:lblOffset val="100"/>
        <c:noMultiLvlLbl val="0"/>
      </c:catAx>
      <c:valAx>
        <c:axId val="51948748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2"/>
                    </a:solidFill>
                    <a:latin typeface="Times New Roman" panose="02020603050405020304" pitchFamily="18" charset="0"/>
                    <a:ea typeface="+mn-ea"/>
                    <a:cs typeface="+mn-cs"/>
                  </a:defRPr>
                </a:pPr>
                <a:r>
                  <a:rPr lang="uk-UA" baseline="0">
                    <a:solidFill>
                      <a:schemeClr val="tx2"/>
                    </a:solidFill>
                  </a:rPr>
                  <a:t>Кількість респондентів (осіб)</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mn-cs"/>
              </a:defRPr>
            </a:pPr>
            <a:endParaRPr lang="ru-RU"/>
          </a:p>
        </c:txPr>
        <c:crossAx val="51283379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chemeClr val="tx2"/>
              </a:solidFill>
              <a:latin typeface="Times New Roman" panose="02020603050405020304" pitchFamily="18" charset="0"/>
              <a:ea typeface="+mn-ea"/>
              <a:cs typeface="+mn-cs"/>
            </a:defRPr>
          </a:pPr>
          <a:endParaRPr lang="ru-RU"/>
        </a:p>
      </c:txPr>
    </c:legend>
    <c:plotVisOnly val="1"/>
    <c:dispBlanksAs val="gap"/>
    <c:showDLblsOverMax val="0"/>
  </c:chart>
  <c:spPr>
    <a:solidFill>
      <a:schemeClr val="bg1"/>
    </a:solidFill>
    <a:ln w="9525" cap="flat" cmpd="sng" algn="ctr">
      <a:noFill/>
      <a:round/>
    </a:ln>
    <a:effectLst/>
  </c:spPr>
  <c:txPr>
    <a:bodyPr/>
    <a:lstStyle/>
    <a:p>
      <a:pPr>
        <a:defRPr baseline="0">
          <a:latin typeface="Times New Roman" panose="02020603050405020304" pitchFamily="18" charset="0"/>
        </a:defRPr>
      </a:pPr>
      <a:endParaRPr lang="ru-RU"/>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manualLayout>
          <c:layoutTarget val="inner"/>
          <c:xMode val="edge"/>
          <c:yMode val="edge"/>
          <c:x val="0.14242855059784199"/>
          <c:y val="4.3650793650793669E-2"/>
          <c:w val="0.83210848643919555"/>
          <c:h val="0.82070147481564804"/>
        </c:manualLayout>
      </c:layout>
      <c:barChart>
        <c:barDir val="col"/>
        <c:grouping val="clustered"/>
        <c:varyColors val="0"/>
        <c:ser>
          <c:idx val="0"/>
          <c:order val="0"/>
          <c:tx>
            <c:strRef>
              <c:f>Аркуш1!$B$1</c:f>
              <c:strCache>
                <c:ptCount val="1"/>
                <c:pt idx="0">
                  <c:v>Стовпець1</c:v>
                </c:pt>
              </c:strCache>
            </c:strRef>
          </c:tx>
          <c:spPr>
            <a:solidFill>
              <a:schemeClr val="dk1">
                <a:tint val="88500"/>
              </a:schemeClr>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mn-cs"/>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Аркуш1!$A$2:$A$7</c:f>
              <c:strCache>
                <c:ptCount val="6"/>
                <c:pt idx="0">
                  <c:v>студент</c:v>
                </c:pt>
                <c:pt idx="1">
                  <c:v>робочий</c:v>
                </c:pt>
                <c:pt idx="2">
                  <c:v>службовець</c:v>
                </c:pt>
                <c:pt idx="3">
                  <c:v>підприємець</c:v>
                </c:pt>
                <c:pt idx="4">
                  <c:v>тимчасово не працює</c:v>
                </c:pt>
                <c:pt idx="5">
                  <c:v>інші</c:v>
                </c:pt>
              </c:strCache>
            </c:strRef>
          </c:cat>
          <c:val>
            <c:numRef>
              <c:f>Аркуш1!$B$2:$B$7</c:f>
              <c:numCache>
                <c:formatCode>General</c:formatCode>
                <c:ptCount val="6"/>
                <c:pt idx="0">
                  <c:v>23</c:v>
                </c:pt>
                <c:pt idx="1">
                  <c:v>74</c:v>
                </c:pt>
                <c:pt idx="2">
                  <c:v>82</c:v>
                </c:pt>
                <c:pt idx="3">
                  <c:v>145</c:v>
                </c:pt>
                <c:pt idx="4">
                  <c:v>59</c:v>
                </c:pt>
                <c:pt idx="5">
                  <c:v>17</c:v>
                </c:pt>
              </c:numCache>
            </c:numRef>
          </c:val>
          <c:extLst xmlns:c16r2="http://schemas.microsoft.com/office/drawing/2015/06/chart">
            <c:ext xmlns:c16="http://schemas.microsoft.com/office/drawing/2014/chart" uri="{C3380CC4-5D6E-409C-BE32-E72D297353CC}">
              <c16:uniqueId val="{00000000-5698-48E5-9D60-DC8D62447C56}"/>
            </c:ext>
          </c:extLst>
        </c:ser>
        <c:dLbls>
          <c:showLegendKey val="0"/>
          <c:showVal val="0"/>
          <c:showCatName val="0"/>
          <c:showSerName val="0"/>
          <c:showPercent val="0"/>
          <c:showBubbleSize val="0"/>
        </c:dLbls>
        <c:gapWidth val="219"/>
        <c:overlap val="-27"/>
        <c:axId val="519664384"/>
        <c:axId val="519665920"/>
      </c:barChart>
      <c:catAx>
        <c:axId val="5196643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mn-cs"/>
              </a:defRPr>
            </a:pPr>
            <a:endParaRPr lang="ru-RU"/>
          </a:p>
        </c:txPr>
        <c:crossAx val="519665920"/>
        <c:crosses val="autoZero"/>
        <c:auto val="1"/>
        <c:lblAlgn val="ctr"/>
        <c:lblOffset val="100"/>
        <c:noMultiLvlLbl val="0"/>
      </c:catAx>
      <c:valAx>
        <c:axId val="51966592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mn-cs"/>
                  </a:defRPr>
                </a:pPr>
                <a:r>
                  <a:rPr lang="uk-UA"/>
                  <a:t>Кількість респондентів (осіб)</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mn-cs"/>
              </a:defRPr>
            </a:pPr>
            <a:endParaRPr lang="ru-RU"/>
          </a:p>
        </c:txPr>
        <c:crossAx val="519664384"/>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baseline="0">
          <a:solidFill>
            <a:schemeClr val="tx1"/>
          </a:solidFill>
          <a:latin typeface="Times New Roman" panose="02020603050405020304" pitchFamily="18" charset="0"/>
        </a:defRPr>
      </a:pPr>
      <a:endParaRPr lang="ru-RU"/>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Стовпець1</c:v>
                </c:pt>
              </c:strCache>
            </c:strRef>
          </c:tx>
          <c:spPr>
            <a:gradFill rotWithShape="1">
              <a:gsLst>
                <a:gs pos="0">
                  <a:schemeClr val="dk1">
                    <a:tint val="88500"/>
                    <a:tint val="50000"/>
                    <a:satMod val="300000"/>
                  </a:schemeClr>
                </a:gs>
                <a:gs pos="35000">
                  <a:schemeClr val="dk1">
                    <a:tint val="88500"/>
                    <a:tint val="37000"/>
                    <a:satMod val="300000"/>
                  </a:schemeClr>
                </a:gs>
                <a:gs pos="100000">
                  <a:schemeClr val="dk1">
                    <a:tint val="88500"/>
                    <a:tint val="15000"/>
                    <a:satMod val="350000"/>
                  </a:schemeClr>
                </a:gs>
              </a:gsLst>
              <a:lin ang="16200000" scaled="1"/>
            </a:gradFill>
            <a:ln w="9525" cap="flat" cmpd="sng" algn="ctr">
              <a:solidFill>
                <a:schemeClr val="dk1">
                  <a:tint val="88500"/>
                  <a:shade val="95000"/>
                </a:schemeClr>
              </a:solidFill>
              <a:round/>
            </a:ln>
            <a:effectLst>
              <a:outerShdw blurRad="40000" dist="20000" dir="5400000" rotWithShape="0">
                <a:srgbClr val="000000">
                  <a:alpha val="38000"/>
                </a:srgbClr>
              </a:outerShdw>
            </a:effectLst>
            <a:sp3d contourW="9525">
              <a:contourClr>
                <a:schemeClr val="dk1">
                  <a:tint val="88500"/>
                  <a:shade val="95000"/>
                </a:schemeClr>
              </a:contourClr>
            </a:sp3d>
          </c:spPr>
          <c:invertIfNegative val="0"/>
          <c:dLbls>
            <c:dLbl>
              <c:idx val="0"/>
              <c:layout>
                <c:manualLayout>
                  <c:x val="1.7015070491006319E-2"/>
                  <c:y val="-4.8192771084337387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6675-4C69-A04A-26A3753E561D}"/>
                </c:ext>
              </c:extLst>
            </c:dLbl>
            <c:dLbl>
              <c:idx val="1"/>
              <c:layout>
                <c:manualLayout>
                  <c:x val="2.1876519202722412E-2"/>
                  <c:y val="-6.2650602409638573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6675-4C69-A04A-26A3753E561D}"/>
                </c:ext>
              </c:extLst>
            </c:dLbl>
            <c:dLbl>
              <c:idx val="2"/>
              <c:layout>
                <c:manualLayout>
                  <c:x val="1.9445794846864286E-2"/>
                  <c:y val="-5.3012048192771083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6675-4C69-A04A-26A3753E561D}"/>
                </c:ext>
              </c:extLst>
            </c:dLbl>
            <c:dLbl>
              <c:idx val="3"/>
              <c:layout>
                <c:manualLayout>
                  <c:x val="2.4307243558580455E-2"/>
                  <c:y val="-6.265060240963867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6675-4C69-A04A-26A3753E561D}"/>
                </c:ext>
              </c:extLst>
            </c:dLbl>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Аркуш1!$A$2:$A$5</c:f>
              <c:strCache>
                <c:ptCount val="4"/>
                <c:pt idx="0">
                  <c:v>одна дитина</c:v>
                </c:pt>
                <c:pt idx="1">
                  <c:v>дві дитини</c:v>
                </c:pt>
                <c:pt idx="2">
                  <c:v>три дитини</c:v>
                </c:pt>
                <c:pt idx="3">
                  <c:v>більше трьох</c:v>
                </c:pt>
              </c:strCache>
            </c:strRef>
          </c:cat>
          <c:val>
            <c:numRef>
              <c:f>Аркуш1!$B$2:$B$5</c:f>
              <c:numCache>
                <c:formatCode>General</c:formatCode>
                <c:ptCount val="4"/>
                <c:pt idx="0">
                  <c:v>154</c:v>
                </c:pt>
                <c:pt idx="1">
                  <c:v>167</c:v>
                </c:pt>
                <c:pt idx="2">
                  <c:v>51</c:v>
                </c:pt>
                <c:pt idx="3">
                  <c:v>28</c:v>
                </c:pt>
              </c:numCache>
            </c:numRef>
          </c:val>
          <c:extLst xmlns:c16r2="http://schemas.microsoft.com/office/drawing/2015/06/chart">
            <c:ext xmlns:c16="http://schemas.microsoft.com/office/drawing/2014/chart" uri="{C3380CC4-5D6E-409C-BE32-E72D297353CC}">
              <c16:uniqueId val="{00000004-6675-4C69-A04A-26A3753E561D}"/>
            </c:ext>
          </c:extLst>
        </c:ser>
        <c:dLbls>
          <c:showLegendKey val="0"/>
          <c:showVal val="1"/>
          <c:showCatName val="0"/>
          <c:showSerName val="0"/>
          <c:showPercent val="0"/>
          <c:showBubbleSize val="0"/>
        </c:dLbls>
        <c:gapWidth val="150"/>
        <c:shape val="box"/>
        <c:axId val="519445888"/>
        <c:axId val="519641344"/>
        <c:axId val="0"/>
      </c:bar3DChart>
      <c:catAx>
        <c:axId val="51944588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mn-cs"/>
              </a:defRPr>
            </a:pPr>
            <a:endParaRPr lang="ru-RU"/>
          </a:p>
        </c:txPr>
        <c:crossAx val="519641344"/>
        <c:crosses val="autoZero"/>
        <c:auto val="1"/>
        <c:lblAlgn val="ctr"/>
        <c:lblOffset val="100"/>
        <c:noMultiLvlLbl val="0"/>
      </c:catAx>
      <c:valAx>
        <c:axId val="51964134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900" b="0" i="0" u="none" strike="noStrike" kern="1200" cap="none" baseline="0">
                    <a:solidFill>
                      <a:schemeClr val="tx1"/>
                    </a:solidFill>
                    <a:latin typeface="+mn-lt"/>
                    <a:ea typeface="+mn-ea"/>
                    <a:cs typeface="+mn-cs"/>
                  </a:defRPr>
                </a:pPr>
                <a:r>
                  <a:rPr lang="uk-UA" sz="1100" cap="none" baseline="0">
                    <a:solidFill>
                      <a:schemeClr val="tx1"/>
                    </a:solidFill>
                    <a:latin typeface="Times New Roman" panose="02020603050405020304" pitchFamily="18" charset="0"/>
                    <a:cs typeface="Times New Roman" panose="02020603050405020304" pitchFamily="18" charset="0"/>
                  </a:rPr>
                  <a:t>Кількість респондентів (осіб)</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ru-RU"/>
          </a:p>
        </c:txPr>
        <c:crossAx val="519445888"/>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baseline="0"/>
      </a:pPr>
      <a:endParaRPr lang="ru-RU"/>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3"/>
    </mc:Choice>
    <mc:Fallback>
      <c:style val="3"/>
    </mc:Fallback>
  </mc:AlternateContent>
  <c:chart>
    <c:autoTitleDeleted val="1"/>
    <c:plotArea>
      <c:layout>
        <c:manualLayout>
          <c:layoutTarget val="inner"/>
          <c:xMode val="edge"/>
          <c:yMode val="edge"/>
          <c:x val="8.2169943480991256E-2"/>
          <c:y val="4.9616599007668037E-2"/>
          <c:w val="0.91783005651900895"/>
          <c:h val="0.83904938844360466"/>
        </c:manualLayout>
      </c:layout>
      <c:barChart>
        <c:barDir val="col"/>
        <c:grouping val="clustered"/>
        <c:varyColors val="0"/>
        <c:ser>
          <c:idx val="0"/>
          <c:order val="0"/>
          <c:tx>
            <c:strRef>
              <c:f>Аркуш1!$B$1</c:f>
              <c:strCache>
                <c:ptCount val="1"/>
                <c:pt idx="0">
                  <c:v>Стовпець1</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ru-RU"/>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Аркуш1!$A$2:$A$6</c:f>
              <c:strCache>
                <c:ptCount val="5"/>
                <c:pt idx="0">
                  <c:v>Вища категорія</c:v>
                </c:pt>
                <c:pt idx="1">
                  <c:v>Перша категорія</c:v>
                </c:pt>
                <c:pt idx="2">
                  <c:v>Друга категорія</c:v>
                </c:pt>
                <c:pt idx="3">
                  <c:v>Сертифікат</c:v>
                </c:pt>
                <c:pt idx="4">
                  <c:v>Не атестовані</c:v>
                </c:pt>
              </c:strCache>
            </c:strRef>
          </c:cat>
          <c:val>
            <c:numRef>
              <c:f>Аркуш1!$B$2:$B$6</c:f>
              <c:numCache>
                <c:formatCode>General</c:formatCode>
                <c:ptCount val="5"/>
                <c:pt idx="0">
                  <c:v>154</c:v>
                </c:pt>
                <c:pt idx="1">
                  <c:v>131</c:v>
                </c:pt>
                <c:pt idx="2">
                  <c:v>82</c:v>
                </c:pt>
                <c:pt idx="3">
                  <c:v>29</c:v>
                </c:pt>
                <c:pt idx="4">
                  <c:v>4</c:v>
                </c:pt>
              </c:numCache>
            </c:numRef>
          </c:val>
          <c:extLst xmlns:c16r2="http://schemas.microsoft.com/office/drawing/2015/06/chart">
            <c:ext xmlns:c16="http://schemas.microsoft.com/office/drawing/2014/chart" uri="{C3380CC4-5D6E-409C-BE32-E72D297353CC}">
              <c16:uniqueId val="{00000000-D608-4D26-B30D-CBB0C0F66077}"/>
            </c:ext>
          </c:extLst>
        </c:ser>
        <c:dLbls>
          <c:showLegendKey val="0"/>
          <c:showVal val="1"/>
          <c:showCatName val="0"/>
          <c:showSerName val="0"/>
          <c:showPercent val="0"/>
          <c:showBubbleSize val="0"/>
        </c:dLbls>
        <c:gapWidth val="100"/>
        <c:overlap val="-24"/>
        <c:axId val="519316992"/>
        <c:axId val="519324032"/>
      </c:barChart>
      <c:catAx>
        <c:axId val="519316992"/>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mn-cs"/>
              </a:defRPr>
            </a:pPr>
            <a:endParaRPr lang="ru-RU"/>
          </a:p>
        </c:txPr>
        <c:crossAx val="519324032"/>
        <c:crosses val="autoZero"/>
        <c:auto val="1"/>
        <c:lblAlgn val="ctr"/>
        <c:lblOffset val="100"/>
        <c:noMultiLvlLbl val="0"/>
      </c:catAx>
      <c:valAx>
        <c:axId val="51932403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mn-cs"/>
                  </a:defRPr>
                </a:pPr>
                <a:r>
                  <a:rPr lang="uk-UA" sz="1000" baseline="0">
                    <a:solidFill>
                      <a:sysClr val="windowText" lastClr="000000"/>
                    </a:solidFill>
                    <a:latin typeface="Times New Roman" panose="02020603050405020304" pitchFamily="18" charset="0"/>
                  </a:rPr>
                  <a:t>Кількість респондентів (осіб)</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ru-RU"/>
          </a:p>
        </c:txPr>
        <c:crossAx val="519316992"/>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lgn="just">
        <a:defRPr>
          <a:solidFill>
            <a:schemeClr val="tx2"/>
          </a:solidFill>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93F3720-23E9-4F0B-9041-CE8A492AB1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16661</TotalTime>
  <Pages>490</Pages>
  <Words>122832</Words>
  <Characters>700147</Characters>
  <Application>Microsoft Office Word</Application>
  <DocSecurity>0</DocSecurity>
  <Lines>5834</Lines>
  <Paragraphs>1642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821337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 Windows</cp:lastModifiedBy>
  <cp:revision>1345</cp:revision>
  <cp:lastPrinted>2021-04-08T14:13:00Z</cp:lastPrinted>
  <dcterms:created xsi:type="dcterms:W3CDTF">2020-12-15T17:16:00Z</dcterms:created>
  <dcterms:modified xsi:type="dcterms:W3CDTF">2021-04-29T11:12:00Z</dcterms:modified>
</cp:coreProperties>
</file>